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CONSTITUICAO E O SUPREMO — ESPELHO MISTO</w:t>
      </w:r>
    </w:p>
    <w:p>
      <w:r>
        <w:rPr>
          <w:color w:val="003366"/>
        </w:rPr>
        <w:t>Norma em AZUL</w:t>
      </w:r>
      <w:r>
        <w:t xml:space="preserve"> | </w:t>
      </w:r>
      <w:r>
        <w:rPr>
          <w:color w:val="B45A00"/>
        </w:rPr>
        <w:t>Editorial em LARANJA</w:t>
      </w:r>
      <w:r>
        <w:t xml:space="preserve"> | </w:t>
      </w:r>
      <w:r>
        <w:rPr>
          <w:color w:val="1E1E1E"/>
        </w:rPr>
        <w:t>Decisao/comentario em PRETO</w:t>
      </w:r>
      <w:r>
        <w:t xml:space="preserve"> | </w:t>
      </w:r>
      <w:r>
        <w:rPr>
          <w:b/>
          <w:color w:val="003CA0"/>
        </w:rPr>
        <w:t>Metadado em AZUL NEGRITO</w:t>
      </w:r>
    </w:p>
    <w:p>
      <w:r>
        <w:t>229 artigos cobertos | 9.042 blocos | Parser v8</w:t>
      </w:r>
    </w:p>
    <w:p/>
    <w:p>
      <w:pPr>
        <w:pStyle w:val="Heading1"/>
      </w:pPr>
      <w:r>
        <w:rPr>
          <w:color w:val="003366"/>
        </w:rPr>
        <w:t>TÍTULO I</w:t>
      </w:r>
    </w:p>
    <w:p>
      <w:r>
        <w:rPr>
          <w:b/>
          <w:color w:val="003366"/>
          <w:sz w:val="20"/>
        </w:rPr>
        <w:t>Art. 1 A República Federativa do Brasil, formada pela união indissolúvel dos Est</w:t>
      </w:r>
      <w:r>
        <w:rPr>
          <w:color w:val="8C8C8C"/>
          <w:sz w:val="14"/>
        </w:rPr>
        <w:t xml:space="preserve">  [16 decisoes]</w:t>
      </w:r>
    </w:p>
    <w:p>
      <w:pPr>
        <w:ind w:left="144"/>
      </w:pPr>
      <w:r>
        <w:rPr>
          <w:b/>
          <w:color w:val="B45A00"/>
          <w:sz w:val="16"/>
        </w:rPr>
        <w:t>CONTROLE CONCENTRADO</w:t>
      </w:r>
    </w:p>
    <w:p>
      <w:pPr>
        <w:ind w:left="288"/>
      </w:pPr>
      <w:r>
        <w:rPr>
          <w:color w:val="8C8C8C"/>
          <w:sz w:val="12"/>
        </w:rPr>
        <w:t>cf-art-1</w:t>
      </w:r>
      <w:r>
        <w:rPr>
          <w:color w:val="003CA0"/>
          <w:sz w:val="12"/>
        </w:rPr>
        <w:t xml:space="preserve"> | ADI 7.231</w:t>
      </w:r>
      <w:r>
        <w:rPr>
          <w:color w:val="003CA0"/>
          <w:sz w:val="12"/>
        </w:rPr>
        <w:t xml:space="preserve"> | rel. Flávio Dino</w:t>
      </w:r>
    </w:p>
    <w:p>
      <w:pPr>
        <w:ind w:left="288"/>
      </w:pPr>
      <w:r>
        <w:rPr>
          <w:color w:val="1E1E1E"/>
          <w:sz w:val="18"/>
        </w:rPr>
        <w:t>O erro no processo de formação das leis que distorça a manifestação de vontade do Poder Legislativo enseja a inconstitucionalidade formal, por violação ao devido processo legislativo, previsto nos arts. 59 e seguintes da Constituição Federal, e ao princípio democrático (art. 1º, caput, CF).</w:t>
        <w:br/>
        <w:t>[ADI 7.231, rel. min. Flávio Dino, j. 16-6-2025, P, DJE de 22-8-2025.] Lei complementar estadual. Permuta nacional entre membros dos Ministérios Públicos Estaduais e do Distrito Federal e Territórios. Federalismo. Autonomia dos estados-membros. Inexistência de carreira única. (...) O caráter nacional do Min</w:t>
      </w:r>
    </w:p>
    <w:p>
      <w:pPr>
        <w:ind w:left="144"/>
      </w:pPr>
      <w:r>
        <w:rPr>
          <w:b/>
          <w:color w:val="B45A00"/>
          <w:sz w:val="16"/>
        </w:rPr>
        <w:t>JULGADOS CORRELATOS</w:t>
      </w:r>
    </w:p>
    <w:p>
      <w:pPr>
        <w:ind w:left="288"/>
      </w:pPr>
      <w:r>
        <w:rPr>
          <w:color w:val="8C8C8C"/>
          <w:sz w:val="12"/>
        </w:rPr>
        <w:t>cf-art-1</w:t>
      </w:r>
      <w:r>
        <w:rPr>
          <w:color w:val="003CA0"/>
          <w:sz w:val="12"/>
        </w:rPr>
        <w:t xml:space="preserve"> | HC 98.237</w:t>
      </w:r>
      <w:r>
        <w:rPr>
          <w:color w:val="003CA0"/>
          <w:sz w:val="12"/>
        </w:rPr>
        <w:t xml:space="preserve"> | rel. Celso de Mello</w:t>
      </w:r>
    </w:p>
    <w:p>
      <w:pPr>
        <w:ind w:left="288"/>
      </w:pPr>
      <w:r>
        <w:rPr>
          <w:color w:val="1E1E1E"/>
          <w:sz w:val="18"/>
        </w:rPr>
        <w:t>Controle jurisdicional da atividade persecutória do Estado: uma exigência inerente ao Estado Democrático de Direito. O Estado não tem o direito de exercer, sem base jurídica idônea e suporte fático adequado, o poder persecutório de que se acha investido, pois lhe é vedado, ética e juridicamente, agir de modo arbitrário, seja fazendo instaurar investigações policiais infundadas, seja promovendo acusações formais temerárias, notadamente naqueles casos em que os fatos subjacentes à persecutio criminis revelam-se destituídos de tipicidade penal.</w:t>
        <w:br/>
        <w:t>[HC 98.237, rel. min. Celso de Mello, j. 15-12-2009,</w:t>
      </w:r>
    </w:p>
    <w:p>
      <w:pPr>
        <w:ind w:left="288"/>
      </w:pPr>
      <w:r>
        <w:rPr>
          <w:color w:val="8C8C8C"/>
          <w:sz w:val="12"/>
        </w:rPr>
        <w:t>cf-art-1-inc-I</w:t>
      </w:r>
      <w:r>
        <w:rPr>
          <w:color w:val="003CA0"/>
          <w:sz w:val="12"/>
        </w:rPr>
        <w:t xml:space="preserve"> | EXT 1.085.</w:t>
      </w:r>
      <w:r>
        <w:rPr>
          <w:color w:val="003CA0"/>
          <w:sz w:val="12"/>
        </w:rPr>
        <w:t xml:space="preserve"> | rel. Gilmar Mendes</w:t>
      </w:r>
    </w:p>
    <w:p>
      <w:pPr>
        <w:ind w:left="288"/>
      </w:pPr>
      <w:r>
        <w:rPr>
          <w:color w:val="1E1E1E"/>
          <w:sz w:val="18"/>
        </w:rPr>
        <w:t>O art. 1º da Constituição assenta como um dos fundamentos do Estado brasileiro a sua soberania – que significa o poder político supremo dentro do território, e, no plano internacional, no tocante às relações da República Federativa do Brasil com outros Estados soberanos, nos termos do art. 4º, I, da Carta Magna. A soberania nacional no plano transnacional funda-se no princípio da independência nacional, efetivada pelo presidente da República, consoante suas atribuições previstas no art. 84, VII e VIII, da Lei Maior. A soberania, dicotomizada em interna e externa, tem na primeira a exteriorizaç</w:t>
      </w:r>
    </w:p>
    <w:p>
      <w:pPr>
        <w:ind w:left="144"/>
      </w:pPr>
      <w:r>
        <w:rPr>
          <w:b/>
          <w:color w:val="B45A00"/>
          <w:sz w:val="16"/>
        </w:rPr>
        <w:t>CONTROLE CONCENTRADO</w:t>
      </w:r>
    </w:p>
    <w:p>
      <w:pPr>
        <w:ind w:left="288"/>
      </w:pPr>
      <w:r>
        <w:rPr>
          <w:color w:val="8C8C8C"/>
          <w:sz w:val="12"/>
        </w:rPr>
        <w:t>cf-art-1-inc-II</w:t>
      </w:r>
      <w:r>
        <w:rPr>
          <w:color w:val="003CA0"/>
          <w:sz w:val="12"/>
        </w:rPr>
        <w:t xml:space="preserve"> | ADI 2.649</w:t>
      </w:r>
      <w:r>
        <w:rPr>
          <w:color w:val="003CA0"/>
          <w:sz w:val="12"/>
        </w:rPr>
        <w:t xml:space="preserve"> | rel. Cármen Lúcia</w:t>
      </w:r>
    </w:p>
    <w:p>
      <w:pPr>
        <w:ind w:left="288"/>
      </w:pPr>
      <w:r>
        <w:rPr>
          <w:color w:val="1E1E1E"/>
          <w:sz w:val="18"/>
        </w:rPr>
        <w:t>A Lei 8.899/1994 é parte das políticas públicas para inserir os portadores de necessidades especiais na sociedade e objetiva a igualdade de oportunidades e a humanização das relações sociais, em cumprimento aos fundamentos da República de cidadania e dignidade da pessoa humana, o que se concretiza pela definição de meios para que eles sejam alcançados.</w:t>
        <w:br/>
        <w:t>[ADI 2.649, rel. min. Cármen Lúcia, j. 8-5-2008, P, DJE de 17-10-2008.]</w:t>
      </w:r>
    </w:p>
    <w:p>
      <w:pPr>
        <w:ind w:left="144"/>
      </w:pPr>
      <w:r>
        <w:rPr>
          <w:b/>
          <w:color w:val="B45A00"/>
          <w:sz w:val="16"/>
        </w:rPr>
        <w:t>REPERCUSSAO GERAL</w:t>
      </w:r>
    </w:p>
    <w:p>
      <w:pPr>
        <w:ind w:left="288"/>
      </w:pPr>
      <w:r>
        <w:rPr>
          <w:color w:val="8C8C8C"/>
          <w:sz w:val="12"/>
        </w:rPr>
        <w:t>cf-art-1-inc-II</w:t>
      </w:r>
      <w:r>
        <w:rPr>
          <w:color w:val="003CA0"/>
          <w:sz w:val="12"/>
        </w:rPr>
        <w:t xml:space="preserve"> | ADPF 153.</w:t>
      </w:r>
      <w:r>
        <w:rPr>
          <w:color w:val="003CA0"/>
          <w:sz w:val="12"/>
        </w:rPr>
        <w:t xml:space="preserve"> | rel. Alexandre de Moraes</w:t>
      </w:r>
    </w:p>
    <w:p>
      <w:pPr>
        <w:ind w:left="288"/>
      </w:pPr>
      <w:r>
        <w:rPr>
          <w:color w:val="1E1E1E"/>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br/>
        <w:t>[ARE 1.058.822 RG, rel. min. Alexandre de Moraes, j. 21-2-2025, P, DJE de 28-2-2025, Tema 1.375, com mérito pendente.]</w:t>
      </w:r>
    </w:p>
    <w:p>
      <w:pPr>
        <w:ind w:left="144"/>
      </w:pPr>
      <w:r>
        <w:rPr>
          <w:b/>
          <w:color w:val="B45A00"/>
          <w:sz w:val="16"/>
        </w:rPr>
        <w:t>JULGADOS CORRELATOS</w:t>
      </w:r>
    </w:p>
    <w:p>
      <w:pPr>
        <w:ind w:left="288"/>
      </w:pPr>
      <w:r>
        <w:rPr>
          <w:color w:val="8C8C8C"/>
          <w:sz w:val="12"/>
        </w:rPr>
        <w:t>cf-art-1-inc-II</w:t>
      </w:r>
      <w:r>
        <w:rPr>
          <w:color w:val="003CA0"/>
          <w:sz w:val="12"/>
        </w:rPr>
        <w:t xml:space="preserve"> | HC 73.454</w:t>
      </w:r>
      <w:r>
        <w:rPr>
          <w:color w:val="003CA0"/>
          <w:sz w:val="12"/>
        </w:rPr>
        <w:t xml:space="preserve"> | rel. Maurício Corrêa</w:t>
      </w:r>
    </w:p>
    <w:p>
      <w:pPr>
        <w:ind w:left="288"/>
      </w:pPr>
      <w:r>
        <w:rPr>
          <w:color w:val="1E1E1E"/>
          <w:sz w:val="18"/>
        </w:rPr>
        <w:t>Ninguém é obrigado a cumprir ordem ilegal, ou a ela se submeter, ainda que emanada de autoridade judicial. Mais: é dever de cidadania opor-se à ordem ilegal; caso contrário, nega-se o Estado de Direito.</w:t>
        <w:br/>
        <w:t>[HC 73.454, rel. min. Maurício Corrêa, j. 22-4-1996, 2ª T, DJ de 7-6-1996.]</w:t>
      </w:r>
    </w:p>
    <w:p>
      <w:pPr>
        <w:ind w:left="288"/>
      </w:pPr>
      <w:r>
        <w:rPr>
          <w:color w:val="8C8C8C"/>
          <w:sz w:val="12"/>
        </w:rPr>
        <w:t>cf-art-1-inc-III</w:t>
      </w:r>
      <w:r>
        <w:rPr>
          <w:color w:val="003CA0"/>
          <w:sz w:val="12"/>
        </w:rPr>
        <w:t xml:space="preserve"> | RE 641.320</w:t>
      </w:r>
    </w:p>
    <w:p>
      <w:pPr>
        <w:ind w:left="288"/>
      </w:pPr>
      <w:r>
        <w:rPr>
          <w:color w:val="1E1E1E"/>
          <w:sz w:val="18"/>
        </w:rP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br/>
        <w:t>[Súmula Vinculante 11.] A falta de estabelecimento penal adequado não autoriza a manutenção do condenado em regime prisional mais gravoso, devendo-se observar, nessa hipótese, os parâmetros f</w:t>
      </w:r>
    </w:p>
    <w:p>
      <w:pPr>
        <w:ind w:left="144"/>
      </w:pPr>
      <w:r>
        <w:rPr>
          <w:b/>
          <w:color w:val="B45A00"/>
          <w:sz w:val="16"/>
        </w:rPr>
        <w:t>CONTROLE CONCENTRADO</w:t>
      </w:r>
    </w:p>
    <w:p>
      <w:pPr>
        <w:ind w:left="288"/>
      </w:pPr>
      <w:r>
        <w:rPr>
          <w:color w:val="8C8C8C"/>
          <w:sz w:val="12"/>
        </w:rPr>
        <w:t>cf-art-1-inc-III</w:t>
      </w:r>
      <w:r>
        <w:rPr>
          <w:color w:val="003CA0"/>
          <w:sz w:val="12"/>
        </w:rPr>
        <w:t xml:space="preserve"> | ARE 1.551.254</w:t>
      </w:r>
      <w:r>
        <w:rPr>
          <w:color w:val="003CA0"/>
          <w:sz w:val="12"/>
        </w:rPr>
        <w:t xml:space="preserve"> | rel. Cristiano Zanin</w:t>
      </w:r>
    </w:p>
    <w:p>
      <w:pPr>
        <w:ind w:left="288"/>
      </w:pPr>
      <w:r>
        <w:rPr>
          <w:color w:val="1E1E1E"/>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w:t>
      </w:r>
    </w:p>
    <w:p>
      <w:pPr>
        <w:ind w:left="288"/>
      </w:pPr>
      <w:r>
        <w:rPr>
          <w:b/>
          <w:color w:val="003CA0"/>
          <w:sz w:val="16"/>
        </w:rPr>
        <w:t>[ARE 1.551.254 AgR, rel. min. Cristiano Zanin, j. 22-12-2025, P, DJE de 2-2-2026.]</w:t>
      </w:r>
    </w:p>
    <w:p>
      <w:pPr>
        <w:ind w:left="288"/>
      </w:pPr>
      <w:r>
        <w:rPr>
          <w:color w:val="8C8C8C"/>
          <w:sz w:val="12"/>
        </w:rPr>
        <w:t>cf-art-1-inc-III</w:t>
      </w:r>
      <w:r>
        <w:rPr>
          <w:color w:val="003CA0"/>
          <w:sz w:val="12"/>
        </w:rPr>
        <w:t xml:space="preserve"> | ADI 4.245</w:t>
      </w:r>
      <w:r>
        <w:rPr>
          <w:color w:val="003CA0"/>
          <w:sz w:val="12"/>
        </w:rPr>
        <w:t xml:space="preserve"> | rel. Luís Roberto Barroso</w:t>
      </w:r>
    </w:p>
    <w:p>
      <w:pPr>
        <w:ind w:left="288"/>
      </w:pPr>
      <w:r>
        <w:rPr>
          <w:color w:val="1E1E1E"/>
          <w:sz w:val="18"/>
        </w:rPr>
        <w:t>“1. A Convenção da Haia de 1980 sobre os aspectos civis da subtração internacional de crianças é compatível com a Constituição Federal, possuindo status supralegal no ordenamento jurídico brasileiro, por sua natureza de tratado internacional de proteção de direitos da criança. 2. A aplicação da Convenção no Brasil, à luz do princípio do melhor interesse da criança (art. 227, CF), exige a adoção de medidas estruturais e procedimentais para garantir a tramitação célere e eficaz das ações sobre restituição internacional de crianças. 3. A exceção de risco grave à criança, prevista no art. 13 (1) (</w:t>
      </w:r>
    </w:p>
    <w:p>
      <w:pPr>
        <w:ind w:left="144"/>
      </w:pPr>
      <w:r>
        <w:rPr>
          <w:b/>
          <w:color w:val="B45A00"/>
          <w:sz w:val="16"/>
        </w:rPr>
        <w:t>REPERCUSSAO GERAL</w:t>
      </w:r>
    </w:p>
    <w:p>
      <w:pPr>
        <w:ind w:left="288"/>
      </w:pPr>
      <w:r>
        <w:rPr>
          <w:color w:val="8C8C8C"/>
          <w:sz w:val="12"/>
        </w:rPr>
        <w:t>cf-art-1-inc-III</w:t>
      </w:r>
      <w:r>
        <w:rPr>
          <w:color w:val="003CA0"/>
          <w:sz w:val="12"/>
        </w:rPr>
        <w:t xml:space="preserve"> | ARE 959.620</w:t>
      </w:r>
      <w:r>
        <w:rPr>
          <w:color w:val="003CA0"/>
          <w:sz w:val="12"/>
        </w:rPr>
        <w:t xml:space="preserve"> | rel. Edson Fachin</w:t>
      </w:r>
    </w:p>
    <w:p>
      <w:pPr>
        <w:ind w:left="288"/>
      </w:pPr>
      <w:r>
        <w:rPr>
          <w:color w:val="1E1E1E"/>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w:t>
      </w:r>
    </w:p>
    <w:p>
      <w:pPr>
        <w:ind w:left="288"/>
      </w:pPr>
      <w:r>
        <w:rPr>
          <w:b/>
          <w:color w:val="003CA0"/>
          <w:sz w:val="16"/>
        </w:rPr>
        <w:t>[RE 1.346.152, rel. min. Alexandre de Moraes, red. do ac. min. Flávio Dino, j. 26-11-2025, 1ª T, DJE de 5-3-2026.]</w:t>
      </w:r>
    </w:p>
    <w:p>
      <w:pPr>
        <w:ind w:left="144"/>
      </w:pPr>
      <w:r>
        <w:rPr>
          <w:b/>
          <w:color w:val="B45A00"/>
          <w:sz w:val="16"/>
        </w:rPr>
        <w:t>JULGADOS CORRELATOS</w:t>
      </w:r>
    </w:p>
    <w:p>
      <w:pPr>
        <w:ind w:left="288"/>
      </w:pPr>
      <w:r>
        <w:rPr>
          <w:color w:val="8C8C8C"/>
          <w:sz w:val="12"/>
        </w:rPr>
        <w:t>cf-art-1-inc-III</w:t>
      </w:r>
      <w:r>
        <w:rPr>
          <w:color w:val="003CA0"/>
          <w:sz w:val="12"/>
        </w:rPr>
        <w:t xml:space="preserve"> | ARE 1.397.865</w:t>
      </w:r>
      <w:r>
        <w:rPr>
          <w:color w:val="003CA0"/>
          <w:sz w:val="12"/>
        </w:rPr>
        <w:t xml:space="preserve"> | rel. Cristiano Zanin</w:t>
      </w:r>
    </w:p>
    <w:p>
      <w:pPr>
        <w:ind w:left="288"/>
      </w:pPr>
      <w:r>
        <w:rPr>
          <w:color w:val="1E1E1E"/>
          <w:sz w:val="18"/>
        </w:rPr>
        <w:t>Nos termos do Tema 622-RG, tanto os vínculos originados da ascendência biológica, como aqueles de filiação construídos pela relação afetiva entre os envolvidos, devem ser reconhecidos pelo Estado, à luz do princípio da dignidade humana</w:t>
        <w:br/>
        <w:t>[ARE 1.397.865 ED-AgR-EDv-AgR, rel. min. Cristiano Zanin, red. do ac. min. Alexandre de Moraes, j. 24-2-2025, P, DJE de 7-3-2025.] Habeas corpus coletivo. Cumprimento de medidas socioeducativas de internação. Impetração voltada a corrigir alegada superlotação em unidades. Admissibilidade da via eleita para o exame da questão de fundo. Violação de direitos fundam</w:t>
      </w:r>
    </w:p>
    <w:p>
      <w:pPr>
        <w:ind w:left="288"/>
      </w:pPr>
      <w:r>
        <w:rPr>
          <w:color w:val="8C8C8C"/>
          <w:sz w:val="12"/>
        </w:rPr>
        <w:t>cf-art-1-inc-IV</w:t>
      </w:r>
      <w:r>
        <w:rPr>
          <w:color w:val="003CA0"/>
          <w:sz w:val="12"/>
        </w:rPr>
        <w:t xml:space="preserve"> | ADPF 1.058</w:t>
      </w:r>
      <w:r>
        <w:rPr>
          <w:color w:val="003CA0"/>
          <w:sz w:val="12"/>
        </w:rPr>
        <w:t xml:space="preserve"> | rel. Gilmar Mendes</w:t>
      </w:r>
    </w:p>
    <w:p>
      <w:pPr>
        <w:ind w:left="288"/>
      </w:pPr>
      <w:r>
        <w:rPr>
          <w:color w:val="1E1E1E"/>
          <w:sz w:val="18"/>
        </w:rPr>
        <w:t xml:space="preserve">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(CLT/1943, art. 4º, § 2º). (...) É inconstitucional — por violar os princípios da legalidade, da livre iniciativa e da intervenção mínima </w:t>
      </w:r>
    </w:p>
    <w:p>
      <w:pPr>
        <w:ind w:left="288"/>
      </w:pPr>
      <w:r>
        <w:rPr>
          <w:b/>
          <w:color w:val="003CA0"/>
          <w:sz w:val="16"/>
        </w:rPr>
        <w:t>[ADPF 1.058 MC-Ref, rel. min. Gilmar Mendes, j. 13-11-2025, P, Informativo STF 1.199.]</w:t>
      </w:r>
    </w:p>
    <w:p>
      <w:pPr>
        <w:ind w:left="144"/>
      </w:pPr>
      <w:r>
        <w:rPr>
          <w:b/>
          <w:color w:val="B45A00"/>
          <w:sz w:val="16"/>
        </w:rPr>
        <w:t>CONTROLE CONCENTRADO</w:t>
      </w:r>
    </w:p>
    <w:p>
      <w:pPr>
        <w:ind w:left="288"/>
      </w:pPr>
      <w:r>
        <w:rPr>
          <w:color w:val="8C8C8C"/>
          <w:sz w:val="12"/>
        </w:rPr>
        <w:t>cf-art-1-inc-IV</w:t>
      </w:r>
      <w:r>
        <w:rPr>
          <w:color w:val="003CA0"/>
          <w:sz w:val="12"/>
        </w:rPr>
        <w:t xml:space="preserve"> | ADI 7.719</w:t>
      </w:r>
      <w:r>
        <w:rPr>
          <w:color w:val="003CA0"/>
          <w:sz w:val="12"/>
        </w:rPr>
        <w:t xml:space="preserve"> | rel. Dias Toffoli</w:t>
      </w:r>
    </w:p>
    <w:p>
      <w:pPr>
        <w:ind w:left="288"/>
      </w:pPr>
      <w:r>
        <w:rPr>
          <w:color w:val="1E1E1E"/>
          <w:sz w:val="18"/>
        </w:rPr>
        <w:t>“São inconstitucionais as leis que obrigam supermercados ou similares a fornecer gratuitamente sacolas ou embalagens para as compras, por violação do princípio da livre iniciativa (arts. 1º, inciso IV, e 170 da Constituição).”</w:t>
        <w:br/>
        <w:t>[ADI 7.719, rel. min. Dias Toffoli, j. 19-8-2025, P, DJE de 15-9-2025.] Contrato de trabalho intermitente. Regras instituídas pela Lei nº 13.467/2017 e pela Medida Provisória nº 808/2017. (...) A regulamentação do contrato intermitente, nos termos estabelecidos pelas normas questionadas, encontra fundamento de validade nos arts. 1º, IV, e 170, caput, da Constituição Fede</w:t>
      </w:r>
    </w:p>
    <w:p>
      <w:pPr>
        <w:ind w:left="144"/>
      </w:pPr>
      <w:r>
        <w:rPr>
          <w:b/>
          <w:color w:val="B45A00"/>
          <w:sz w:val="16"/>
        </w:rPr>
        <w:t>REPERCUSSAO GERAL</w:t>
      </w:r>
    </w:p>
    <w:p>
      <w:pPr>
        <w:ind w:left="288"/>
      </w:pPr>
      <w:r>
        <w:rPr>
          <w:color w:val="8C8C8C"/>
          <w:sz w:val="12"/>
        </w:rPr>
        <w:t>cf-art-1-inc-IV</w:t>
      </w:r>
      <w:r>
        <w:rPr>
          <w:color w:val="003CA0"/>
          <w:sz w:val="12"/>
        </w:rPr>
        <w:t xml:space="preserve"> | ARE 1.532.603</w:t>
      </w:r>
      <w:r>
        <w:rPr>
          <w:color w:val="003CA0"/>
          <w:sz w:val="12"/>
        </w:rPr>
        <w:t xml:space="preserve"> | rel. Gilmar Mendes</w:t>
      </w:r>
    </w:p>
    <w:p>
      <w:pPr>
        <w:ind w:left="288"/>
      </w:pPr>
      <w:r>
        <w:rPr>
          <w:color w:val="1E1E1E"/>
          <w:sz w:val="18"/>
        </w:rPr>
        <w:t>Competência e ônus da prova nos processos que discutem a existência de fraude no contrato civil/comercial de prestação de serviços; e a licitude da contratação de pessoa jurídica ou trabalhador autônomo para essa finalidade.</w:t>
        <w:br/>
        <w:t>[ARE 1.532.603 RG, rel. min. Gilmar Mendes, j. 11.4.2025, P, DJE de 24.4.2025, Tema 1.389, com mérito pendente.] Discussão sobre a exclusividade da propriedade industrial em razão da demora na concessão do registro de marca pelo INPI concomitante ao surgimento de uso mundialmente consagrado da mesma marca por concorrente.</w:t>
        <w:br/>
        <w:t>[ARE 1.266.095, rel. min. Dias Toffoli, j. 17-3-202</w:t>
      </w:r>
    </w:p>
    <w:p>
      <w:pPr>
        <w:ind w:left="144"/>
      </w:pPr>
      <w:r>
        <w:rPr>
          <w:b/>
          <w:color w:val="B45A00"/>
          <w:sz w:val="16"/>
        </w:rPr>
        <w:t>JULGADOS CORRELATOS</w:t>
      </w:r>
    </w:p>
    <w:p>
      <w:pPr>
        <w:ind w:left="288"/>
      </w:pPr>
      <w:r>
        <w:rPr>
          <w:color w:val="8C8C8C"/>
          <w:sz w:val="12"/>
        </w:rPr>
        <w:t>cf-art-1-inc-IV</w:t>
      </w:r>
      <w:r>
        <w:rPr>
          <w:color w:val="003CA0"/>
          <w:sz w:val="12"/>
        </w:rPr>
        <w:t xml:space="preserve"> | RCL 62.430</w:t>
      </w:r>
      <w:r>
        <w:rPr>
          <w:color w:val="003CA0"/>
          <w:sz w:val="12"/>
        </w:rPr>
        <w:t xml:space="preserve"> | rel. Edson Fachin</w:t>
      </w:r>
    </w:p>
    <w:p>
      <w:pPr>
        <w:ind w:left="288"/>
      </w:pPr>
      <w:r>
        <w:rPr>
          <w:color w:val="1E1E1E"/>
          <w:sz w:val="18"/>
        </w:rPr>
        <w:t>Tema nº 725 da Repercussão Geral (RE nº 958.252) e ADPF nº 324. (...) Existência de aderência estrita entre o ato reclamado e os paradigmas do STF. (...) Procedência do pedido para se afirmar a licitude do fenômeno da contratação de pessoa jurídica unipessoal para a prestação de serviço a empresa tomadora de serviço, destacando-se não somente a compatibilidade dos valores do trabalho e da livre iniciativa na terceirização do trabalho assentada nos precedentes obrigatórios, mas também a ausência de condição de vulnerabilidade na opção pelo contrato firmado na relação jurídica estabelecida que j</w:t>
      </w:r>
    </w:p>
    <w:p>
      <w:pPr>
        <w:ind w:left="144"/>
      </w:pPr>
      <w:r>
        <w:rPr>
          <w:b/>
          <w:color w:val="B45A00"/>
          <w:sz w:val="16"/>
        </w:rPr>
        <w:t>CONTROLE CONCENTRADO</w:t>
      </w:r>
    </w:p>
    <w:p>
      <w:pPr>
        <w:ind w:left="288"/>
      </w:pPr>
      <w:r>
        <w:rPr>
          <w:color w:val="8C8C8C"/>
          <w:sz w:val="12"/>
        </w:rPr>
        <w:t>cf-art-1-inc-V</w:t>
      </w:r>
      <w:r>
        <w:rPr>
          <w:color w:val="003CA0"/>
          <w:sz w:val="12"/>
        </w:rPr>
        <w:t xml:space="preserve"> | ADI 7.350</w:t>
      </w:r>
      <w:r>
        <w:rPr>
          <w:color w:val="003CA0"/>
          <w:sz w:val="12"/>
        </w:rPr>
        <w:t xml:space="preserve"> | rel. Dias Toffoli</w:t>
      </w:r>
    </w:p>
    <w:p>
      <w:pPr>
        <w:ind w:left="288"/>
      </w:pPr>
      <w:r>
        <w:rPr>
          <w:color w:val="1E1E1E"/>
          <w:sz w:val="18"/>
        </w:rPr>
        <w:t>Emenda nº 48/22 à Constituição do Estado do Tocantins. Eleições concomitantes da mesa diretora da Assembleia Legislativa para o primeiro e o segundo biênios. Inconstitucionalidade. (...) as eleições para as mesas das casas legislativas federais devem ser contemporâneas ao início do respectivo biênio (art. 57, § 4º, da CF/88). Não há no texto constitucional nenhuma norma que se assemelhe ao que previu o dispositivo questionado, isto é, que antecipe de forma tão desarrazoada a escolha de eleitos para um dado mandato e concentre em um único momento a escolha de duas “chapas” distintas para os mes</w:t>
      </w:r>
    </w:p>
    <w:p>
      <w:pPr>
        <w:ind w:left="720"/>
      </w:pPr>
      <w:r>
        <w:rPr>
          <w:color w:val="003366"/>
          <w:sz w:val="18"/>
        </w:rPr>
        <w:t>I – a soberania;</w:t>
      </w:r>
    </w:p>
    <w:p>
      <w:pPr>
        <w:ind w:left="720"/>
      </w:pPr>
      <w:r>
        <w:rPr>
          <w:color w:val="003366"/>
          <w:sz w:val="18"/>
        </w:rPr>
        <w:t>II – a cidadania</w:t>
      </w:r>
    </w:p>
    <w:p>
      <w:pPr>
        <w:ind w:left="720"/>
      </w:pPr>
      <w:r>
        <w:rPr>
          <w:color w:val="003366"/>
          <w:sz w:val="18"/>
        </w:rPr>
        <w:t>III – a dignidade da pessoa humana;</w:t>
      </w:r>
    </w:p>
    <w:p>
      <w:pPr>
        <w:ind w:left="720"/>
      </w:pPr>
      <w:r>
        <w:rPr>
          <w:color w:val="003366"/>
          <w:sz w:val="18"/>
        </w:rPr>
        <w:t xml:space="preserve">IV – os valores sociais do trabalho e da livre iniciativa; (Vide Lei nº 13.874, </w:t>
      </w:r>
    </w:p>
    <w:p>
      <w:pPr>
        <w:ind w:left="720"/>
      </w:pPr>
      <w:r>
        <w:rPr>
          <w:color w:val="003366"/>
          <w:sz w:val="18"/>
        </w:rPr>
        <w:t>V – o pluralismo político.</w:t>
      </w:r>
    </w:p>
    <w:p>
      <w:r>
        <w:rPr>
          <w:b/>
          <w:color w:val="003366"/>
          <w:sz w:val="20"/>
        </w:rPr>
        <w:t>Art. 2 São Poderes da União, independentes e harmônicos entre si, o Legislativo,</w:t>
      </w:r>
      <w:r>
        <w:rPr>
          <w:color w:val="8C8C8C"/>
          <w:sz w:val="14"/>
        </w:rPr>
        <w:t xml:space="preserve">  [4 decisoes]</w:t>
      </w:r>
    </w:p>
    <w:p>
      <w:pPr>
        <w:ind w:left="288"/>
      </w:pPr>
      <w:r>
        <w:rPr>
          <w:color w:val="8C8C8C"/>
          <w:sz w:val="12"/>
        </w:rPr>
        <w:t>cf-art-2</w:t>
      </w:r>
    </w:p>
    <w:p>
      <w:pPr>
        <w:ind w:left="288"/>
      </w:pPr>
      <w:r>
        <w:rPr>
          <w:color w:val="1E1E1E"/>
          <w:sz w:val="18"/>
        </w:rPr>
        <w:t>Não cabe ao Poder Judiciário, que não tem função legislativa, aumentar vencimentos de servidores públicos sob o fundamento de isonomia.</w:t>
        <w:br/>
        <w:t>[Súmula Vinculante 37.] É inconstitucional a criação, por Constituição estadual, de órgão de controle administrativo do Poder Judiciário do qual participem representantes de outros Poderes ou entidades.</w:t>
        <w:br/>
        <w:t>[Súmula 649.]</w:t>
      </w:r>
    </w:p>
    <w:p>
      <w:pPr>
        <w:ind w:left="144"/>
      </w:pPr>
      <w:r>
        <w:rPr>
          <w:b/>
          <w:color w:val="B45A00"/>
          <w:sz w:val="16"/>
        </w:rPr>
        <w:t>CONTROLE CONCENTRADO</w:t>
      </w:r>
    </w:p>
    <w:p>
      <w:pPr>
        <w:ind w:left="288"/>
      </w:pPr>
      <w:r>
        <w:rPr>
          <w:color w:val="8C8C8C"/>
          <w:sz w:val="12"/>
        </w:rPr>
        <w:t>cf-art-2</w:t>
      </w:r>
      <w:r>
        <w:rPr>
          <w:color w:val="003CA0"/>
          <w:sz w:val="12"/>
        </w:rPr>
        <w:t xml:space="preserve"> | ADI 5.705</w:t>
      </w:r>
      <w:r>
        <w:rPr>
          <w:color w:val="003CA0"/>
          <w:sz w:val="12"/>
        </w:rPr>
        <w:t xml:space="preserve"> | rel. André Mendonça</w:t>
      </w:r>
    </w:p>
    <w:p>
      <w:pPr>
        <w:ind w:left="288"/>
      </w:pPr>
      <w:r>
        <w:rPr>
          <w:color w:val="1E1E1E"/>
          <w:sz w:val="18"/>
        </w:rPr>
        <w:t>A Constituição Federal (artigos 70 a 74) prevê os sistemas de controle interno e externo como mecanismos autônomos e cooperativos de fiscalização da Administração Pública, sem relação de hierarquia entre si. O modelo constitucional atribui ao controle interno a função de apoio ao controle externo, mas não o subordina às determinações dos Tribunais de Contas, em respeito ao princípio da separação de poderes. (...) A expressão "por determinação do Tribunal de Contas do Estado", contida no art. 61, inciso I, da Lei complementar estadual nº 202, de 2000, implica subordinação hierárquica indevida d</w:t>
      </w:r>
    </w:p>
    <w:p>
      <w:pPr>
        <w:ind w:left="144"/>
      </w:pPr>
      <w:r>
        <w:rPr>
          <w:b/>
          <w:color w:val="B45A00"/>
          <w:sz w:val="16"/>
        </w:rPr>
        <w:t>REPERCUSSAO GERAL</w:t>
      </w:r>
    </w:p>
    <w:p>
      <w:pPr>
        <w:ind w:left="288"/>
      </w:pPr>
      <w:r>
        <w:rPr>
          <w:color w:val="8C8C8C"/>
          <w:sz w:val="12"/>
        </w:rPr>
        <w:t>cf-art-2</w:t>
      </w:r>
      <w:r>
        <w:rPr>
          <w:color w:val="003CA0"/>
          <w:sz w:val="12"/>
        </w:rPr>
        <w:t xml:space="preserve"> | ARE 1.520.300</w:t>
      </w:r>
      <w:r>
        <w:rPr>
          <w:color w:val="003CA0"/>
          <w:sz w:val="12"/>
        </w:rPr>
        <w:t xml:space="preserve"> | rel. Luís Roberto Barroso</w:t>
      </w:r>
    </w:p>
    <w:p>
      <w:pPr>
        <w:ind w:left="288"/>
      </w:pPr>
      <w:r>
        <w:rPr>
          <w:color w:val="1E1E1E"/>
          <w:sz w:val="18"/>
        </w:rPr>
        <w:t>“É infraconstitucional a controvérsia sobre o excesso de poder regulamentar no estabelecimento de limitação ao pagamento de ajuda de custo/auxílio a determinadas categorias de servidores públicos”.</w:t>
        <w:br/>
        <w:t>[ARE 1.520.300 RG, rel. min. Luís Roberto Barroso, j. 5-11-2024, P, DJE de 8-11-2024, Tema 1.350, com repercussão geral negada.] "Em respeito ao princípio da separação dos poderes, previsto no art. 2º da Constituição Federal, quando não caracterizado o desrespeito às normas constitucionais, é defeso ao Poder Judiciário exercer o controle jurisdicional em relação à interpretação do sentido e do alcan</w:t>
      </w:r>
    </w:p>
    <w:p>
      <w:pPr>
        <w:ind w:left="144"/>
      </w:pPr>
      <w:r>
        <w:rPr>
          <w:b/>
          <w:color w:val="B45A00"/>
          <w:sz w:val="16"/>
        </w:rPr>
        <w:t>JULGADOS CORRELATOS</w:t>
      </w:r>
    </w:p>
    <w:p>
      <w:pPr>
        <w:ind w:left="288"/>
      </w:pPr>
      <w:r>
        <w:rPr>
          <w:color w:val="8C8C8C"/>
          <w:sz w:val="12"/>
        </w:rPr>
        <w:t>cf-art-2</w:t>
      </w:r>
      <w:r>
        <w:rPr>
          <w:color w:val="003CA0"/>
          <w:sz w:val="12"/>
        </w:rPr>
        <w:t xml:space="preserve"> | RCL 80.211</w:t>
      </w:r>
      <w:r>
        <w:rPr>
          <w:color w:val="003CA0"/>
          <w:sz w:val="12"/>
        </w:rPr>
        <w:t xml:space="preserve"> | rel. Flávio Dino</w:t>
      </w:r>
    </w:p>
    <w:p>
      <w:pPr>
        <w:ind w:left="288"/>
      </w:pPr>
      <w:r>
        <w:rPr>
          <w:color w:val="1E1E1E"/>
          <w:sz w:val="18"/>
        </w:rPr>
        <w:t>O art. 7º, inciso I, do Decreto-Lei nº 201/1967 não condiciona a instauração de processo político-administrativo contra vereadora ao trânsito em julgado de decisão judicial que reconheça a prática de improbidade. O julgamento de vereadores por infrações político-administrativas é, a princípio, um processo político, conduzido por juízes políticos, regido por normas próprias e não subordinado à prévia chancela do Judiciário, sob pena de violação ao princípio da separação dos poderes, ressalvado o controle jurisdicional em caso de atos teratológicos, violação ao devido processo legal e notório ab</w:t>
      </w:r>
    </w:p>
    <w:p>
      <w:r>
        <w:rPr>
          <w:b/>
          <w:color w:val="003366"/>
          <w:sz w:val="20"/>
        </w:rPr>
        <w:t>Art. 3 Constituem objetivos fundamentais da República Federativa do Brasil:</w:t>
      </w:r>
      <w:r>
        <w:rPr>
          <w:color w:val="8C8C8C"/>
          <w:sz w:val="14"/>
        </w:rPr>
        <w:t xml:space="preserve">  [11 decisoes]</w:t>
      </w:r>
    </w:p>
    <w:p>
      <w:pPr>
        <w:ind w:left="144"/>
      </w:pPr>
      <w:r>
        <w:rPr>
          <w:b/>
          <w:color w:val="B45A00"/>
          <w:sz w:val="16"/>
        </w:rPr>
        <w:t>CONTROLE CONCENTRADO</w:t>
      </w:r>
    </w:p>
    <w:p>
      <w:pPr>
        <w:ind w:left="288"/>
      </w:pPr>
      <w:r>
        <w:rPr>
          <w:color w:val="8C8C8C"/>
          <w:sz w:val="12"/>
        </w:rPr>
        <w:t>cf-art-3-inc-I</w:t>
      </w:r>
      <w:r>
        <w:rPr>
          <w:color w:val="003CA0"/>
          <w:sz w:val="12"/>
        </w:rPr>
        <w:t xml:space="preserve"> | ADPF 522</w:t>
      </w:r>
      <w:r>
        <w:rPr>
          <w:color w:val="003CA0"/>
          <w:sz w:val="12"/>
        </w:rPr>
        <w:t xml:space="preserve"> | rel. Marco Aurélio</w:t>
      </w:r>
    </w:p>
    <w:p>
      <w:pPr>
        <w:ind w:left="288"/>
      </w:pPr>
      <w:r>
        <w:rPr>
          <w:color w:val="1E1E1E"/>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w:t>
      </w:r>
    </w:p>
    <w:p>
      <w:pPr>
        <w:ind w:left="288"/>
      </w:pPr>
      <w:r>
        <w:rPr>
          <w:b/>
          <w:color w:val="003CA0"/>
          <w:sz w:val="16"/>
        </w:rPr>
        <w:t>[ADPF 522, rel. min. Marco Aurélio, red. do ac. min. Cristiano Zanin, j. 15-10-2025, P, DJE de 23-2-2026.]</w:t>
      </w:r>
    </w:p>
    <w:p>
      <w:pPr>
        <w:ind w:left="288"/>
      </w:pPr>
      <w:r>
        <w:rPr>
          <w:color w:val="8C8C8C"/>
          <w:sz w:val="12"/>
        </w:rPr>
        <w:t>cf-art-3-inc-I</w:t>
      </w:r>
      <w:r>
        <w:rPr>
          <w:color w:val="003CA0"/>
          <w:sz w:val="12"/>
        </w:rPr>
        <w:t xml:space="preserve"> | ADI 7.654</w:t>
      </w:r>
      <w:r>
        <w:rPr>
          <w:color w:val="003CA0"/>
          <w:sz w:val="12"/>
        </w:rPr>
        <w:t xml:space="preserve"> | rel. Flávio Dino</w:t>
      </w:r>
    </w:p>
    <w:p>
      <w:pPr>
        <w:ind w:left="288"/>
      </w:pPr>
      <w:r>
        <w:rPr>
          <w:color w:val="1E1E1E"/>
          <w:sz w:val="18"/>
        </w:rPr>
        <w:t>Ação Direta de Inconstitucionalidade proposta em face dos arts. 1º, caput e § 1º, e 6º, todos da Lei nº 12.990/2014, que regulamentam a reserva de 20% das vagas oferecidas em concursos públicos federais para candidatos negros. O fim da vigência da ação afirmativa sem que haja avaliação dos seus efeitos, das consequências da sua descontinuidade e dos resultados alcançados, além de não resultar na mens legislatoris, (...), não se coaduna com as promessas constantes na nossa Constituição relativas à construção de uma sociedade justa e solidária, com erradicação das desigualdades sociais e sem pre</w:t>
      </w:r>
    </w:p>
    <w:p>
      <w:pPr>
        <w:ind w:left="144"/>
      </w:pPr>
      <w:r>
        <w:rPr>
          <w:b/>
          <w:color w:val="B45A00"/>
          <w:sz w:val="16"/>
        </w:rPr>
        <w:t>JULGADOS CORRELATOS</w:t>
      </w:r>
    </w:p>
    <w:p>
      <w:pPr>
        <w:ind w:left="288"/>
      </w:pPr>
      <w:r>
        <w:rPr>
          <w:color w:val="8C8C8C"/>
          <w:sz w:val="12"/>
        </w:rPr>
        <w:t>cf-art-3-inc-I</w:t>
      </w:r>
      <w:r>
        <w:rPr>
          <w:color w:val="003CA0"/>
          <w:sz w:val="12"/>
        </w:rPr>
        <w:t xml:space="preserve"> | ACO 3.121</w:t>
      </w:r>
      <w:r>
        <w:rPr>
          <w:color w:val="003CA0"/>
          <w:sz w:val="12"/>
        </w:rPr>
        <w:t xml:space="preserve"> | rel. Rosa Weber</w:t>
      </w:r>
    </w:p>
    <w:p>
      <w:pPr>
        <w:ind w:left="288"/>
      </w:pPr>
      <w:r>
        <w:rPr>
          <w:color w:val="1E1E1E"/>
          <w:sz w:val="18"/>
        </w:rPr>
        <w:t xml:space="preserve">O fluxo da imigração massiva é evento extraordinário, imprevisível, excepcional, e seu impacto no Estado-autor decorre do fato da posição geográfica de Roraima se mostrar atraente a facilitar a entrada dos imigrantes ao Brasil. O gasto extraordinário não resultou de qualquer fato imputável ao Estado de Roraima, mas sim da necessária – decorrência do cumprimento de tratados internacionais – abertura da fronteira, pelo Estado brasileiro, para recepcionar refugiados venezuelanos. O federalismo brasileiro é de base cooperativa, o que encontra fundamento constitucional. Nas matérias de que trata o </w:t>
      </w:r>
    </w:p>
    <w:p>
      <w:pPr>
        <w:ind w:left="144"/>
      </w:pPr>
      <w:r>
        <w:rPr>
          <w:b/>
          <w:color w:val="B45A00"/>
          <w:sz w:val="16"/>
        </w:rPr>
        <w:t>CONTROLE CONCENTRADO</w:t>
      </w:r>
    </w:p>
    <w:p>
      <w:pPr>
        <w:ind w:left="288"/>
      </w:pPr>
      <w:r>
        <w:rPr>
          <w:color w:val="8C8C8C"/>
          <w:sz w:val="12"/>
        </w:rPr>
        <w:t>cf-art-3-inc-II</w:t>
      </w:r>
      <w:r>
        <w:rPr>
          <w:color w:val="003CA0"/>
          <w:sz w:val="12"/>
        </w:rPr>
        <w:t xml:space="preserve"> | ADI 6.040</w:t>
      </w:r>
      <w:r>
        <w:rPr>
          <w:color w:val="003CA0"/>
          <w:sz w:val="12"/>
        </w:rPr>
        <w:t xml:space="preserve"> | rel. Gilmar Mendes</w:t>
      </w:r>
    </w:p>
    <w:p>
      <w:pPr>
        <w:ind w:left="288"/>
      </w:pPr>
      <w:r>
        <w:rPr>
          <w:color w:val="1E1E1E"/>
          <w:sz w:val="18"/>
        </w:rPr>
        <w:t>(...) o REINTEGRA, como política pública, vai ao encontro das normas constitucionais. Reconheço ainda a importância da indústria nacional para o desenvolvimento econômico, além da necessidade de incentivar a produção nacional e o incremento das exportações de produtos industrializados. (...) Entretanto, deve-se igualmente reconhecer a finitude dos recursos financeiros estatais e a necessidade de respeito ao Princípio da Separação dos Poderes. Vale dizer, apesar de considerar o REINTEGRA um programa louvável do ponto de vista de incentivo à economia nacional, trata-se de uma opção de política e</w:t>
      </w:r>
    </w:p>
    <w:p>
      <w:pPr>
        <w:ind w:left="144"/>
      </w:pPr>
      <w:r>
        <w:rPr>
          <w:b/>
          <w:color w:val="B45A00"/>
          <w:sz w:val="16"/>
        </w:rPr>
        <w:t>JULGADOS CORRELATOS</w:t>
      </w:r>
    </w:p>
    <w:p>
      <w:pPr>
        <w:ind w:left="288"/>
      </w:pPr>
      <w:r>
        <w:rPr>
          <w:color w:val="8C8C8C"/>
          <w:sz w:val="12"/>
        </w:rPr>
        <w:t>cf-art-3-inc-II</w:t>
      </w:r>
      <w:r>
        <w:rPr>
          <w:color w:val="003CA0"/>
          <w:sz w:val="12"/>
        </w:rPr>
        <w:t xml:space="preserve"> | PET 3.388</w:t>
      </w:r>
      <w:r>
        <w:rPr>
          <w:color w:val="003CA0"/>
          <w:sz w:val="12"/>
        </w:rPr>
        <w:t xml:space="preserve"> | rel. Ayres Britto</w:t>
      </w:r>
    </w:p>
    <w:p>
      <w:pPr>
        <w:ind w:left="288"/>
      </w:pPr>
      <w:r>
        <w:rPr>
          <w:color w:val="1E1E1E"/>
          <w:sz w:val="18"/>
        </w:rPr>
        <w:t xml:space="preserve">Ao poder público de todas as dimensões federativas o que incumbe não é subestimar, e muito menos hostilizar, comunidades indígenas brasileiras, mas tirar proveito delas para diversificar o potencial econômico-cultural dos seus territórios (dos entes federativos). O desenvolvimento que se fizer sem ou contra os índios, ali onde eles se encontrarem instalados por modo tradicional, à data da Constituição de 1988, desrespeita o objetivo fundamental do inciso II do art. 3º da CF, assecuratório de um tipo de "desenvolvimento nacional" tão ecologicamente equilibrado quanto humanizado e culturalmente </w:t>
      </w:r>
    </w:p>
    <w:p>
      <w:pPr>
        <w:ind w:left="144"/>
      </w:pPr>
      <w:r>
        <w:rPr>
          <w:b/>
          <w:color w:val="B45A00"/>
          <w:sz w:val="16"/>
        </w:rPr>
        <w:t>CONTROLE CONCENTRADO</w:t>
      </w:r>
    </w:p>
    <w:p>
      <w:pPr>
        <w:ind w:left="288"/>
      </w:pPr>
      <w:r>
        <w:rPr>
          <w:color w:val="8C8C8C"/>
          <w:sz w:val="12"/>
        </w:rPr>
        <w:t>cf-art-3-inc-III</w:t>
      </w:r>
      <w:r>
        <w:rPr>
          <w:color w:val="003CA0"/>
          <w:sz w:val="12"/>
        </w:rPr>
        <w:t xml:space="preserve"> | ADI 7.654</w:t>
      </w:r>
      <w:r>
        <w:rPr>
          <w:color w:val="003CA0"/>
          <w:sz w:val="12"/>
        </w:rPr>
        <w:t xml:space="preserve"> | rel. Flávio Dino</w:t>
      </w:r>
    </w:p>
    <w:p>
      <w:pPr>
        <w:ind w:left="288"/>
      </w:pPr>
      <w:r>
        <w:rPr>
          <w:color w:val="1E1E1E"/>
          <w:sz w:val="18"/>
        </w:rPr>
        <w:t>Ação Direta de Inconstitucionalidade proposta em face dos arts. 1º, caput e § 1º, e 6º, todos da Lei nº 12.990/2014, que regulamentam a reserva de 20% das vagas oferecidas em concursos públicos federais para candidatos negros. O fim da vigência da ação afirmativa sem que haja avaliação dos seus efeitos, das consequências da sua descontinuidade e dos resultados alcançados, além de não resultar na mens legislatoris, (...), não se coaduna com as promessas constantes na nossa Constituição relativas à construção de uma sociedade justa e solidária, com erradicação das desigualdades sociais e sem pre</w:t>
      </w:r>
    </w:p>
    <w:p>
      <w:pPr>
        <w:ind w:left="144"/>
      </w:pPr>
      <w:r>
        <w:rPr>
          <w:b/>
          <w:color w:val="B45A00"/>
          <w:sz w:val="16"/>
        </w:rPr>
        <w:t>JULGADOS CORRELATOS</w:t>
      </w:r>
    </w:p>
    <w:p>
      <w:pPr>
        <w:ind w:left="288"/>
      </w:pPr>
      <w:r>
        <w:rPr>
          <w:color w:val="8C8C8C"/>
          <w:sz w:val="12"/>
        </w:rPr>
        <w:t>cf-art-3-inc-III</w:t>
      </w:r>
      <w:r>
        <w:rPr>
          <w:color w:val="003CA0"/>
          <w:sz w:val="12"/>
        </w:rPr>
        <w:t xml:space="preserve"> | ACO 3.359</w:t>
      </w:r>
      <w:r>
        <w:rPr>
          <w:color w:val="003CA0"/>
          <w:sz w:val="12"/>
        </w:rPr>
        <w:t xml:space="preserve"> | rel. Marco Aurélio</w:t>
      </w:r>
    </w:p>
    <w:p>
      <w:pPr>
        <w:ind w:left="288"/>
      </w:pPr>
      <w:r>
        <w:rPr>
          <w:color w:val="1E1E1E"/>
          <w:sz w:val="18"/>
        </w:rPr>
        <w:t>Configura inobservância do princípio da igualdade e do objetivo constitucional de erradicar a pobreza e as desigualdades regionais a concessão de benefícios do Programa Bolsa Família a habitantes dos Estados do Nordeste, onde há maior taxa de pobreza, de forma desproporcional às demais Regiões do País.</w:t>
        <w:br/>
        <w:t>[ACO 3.359, rel. min. Marco Aurélio, red. do ac. min. Alexandre de Moraes, j. 25-4-2023, P, DJE de 20-6-2023.] O fluxo da imigração massiva é evento extraordinário, imprevisível, excepcional, e seu impacto no Estado-autor decorre do fato da posição geográfica de Roraima se mostrar atraente a fac</w:t>
      </w:r>
    </w:p>
    <w:p>
      <w:pPr>
        <w:ind w:left="144"/>
      </w:pPr>
      <w:r>
        <w:rPr>
          <w:b/>
          <w:color w:val="B45A00"/>
          <w:sz w:val="16"/>
        </w:rPr>
        <w:t>CONTROLE CONCENTRADO</w:t>
      </w:r>
    </w:p>
    <w:p>
      <w:pPr>
        <w:ind w:left="288"/>
      </w:pPr>
      <w:r>
        <w:rPr>
          <w:color w:val="8C8C8C"/>
          <w:sz w:val="12"/>
        </w:rPr>
        <w:t>cf-art-3-inc-IV</w:t>
      </w:r>
      <w:r>
        <w:rPr>
          <w:color w:val="003CA0"/>
          <w:sz w:val="12"/>
        </w:rPr>
        <w:t xml:space="preserve"> | ADPF 522</w:t>
      </w:r>
      <w:r>
        <w:rPr>
          <w:color w:val="003CA0"/>
          <w:sz w:val="12"/>
        </w:rPr>
        <w:t xml:space="preserve"> | rel. Marco Aurélio</w:t>
      </w:r>
    </w:p>
    <w:p>
      <w:pPr>
        <w:ind w:left="288"/>
      </w:pPr>
      <w:r>
        <w:rPr>
          <w:color w:val="1E1E1E"/>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w:t>
      </w:r>
    </w:p>
    <w:p>
      <w:pPr>
        <w:ind w:left="288"/>
      </w:pPr>
      <w:r>
        <w:rPr>
          <w:b/>
          <w:color w:val="003CA0"/>
          <w:sz w:val="16"/>
        </w:rPr>
        <w:t>[ADPF 522, rel. min. Marco Aurélio, red. do ac. min. Cristiano Zanin, j. 15-10-2025, P, DJE de 23-2-2026.]</w:t>
      </w:r>
    </w:p>
    <w:p>
      <w:pPr>
        <w:ind w:left="288"/>
      </w:pPr>
      <w:r>
        <w:rPr>
          <w:color w:val="8C8C8C"/>
          <w:sz w:val="12"/>
        </w:rPr>
        <w:t>cf-art-3-inc-IV</w:t>
      </w:r>
      <w:r>
        <w:rPr>
          <w:color w:val="003CA0"/>
          <w:sz w:val="12"/>
        </w:rPr>
        <w:t xml:space="preserve"> | ADPF 787</w:t>
      </w:r>
      <w:r>
        <w:rPr>
          <w:color w:val="003CA0"/>
          <w:sz w:val="12"/>
        </w:rPr>
        <w:t xml:space="preserve"> | rel. Gilmar Mendes</w:t>
      </w:r>
    </w:p>
    <w:p>
      <w:pPr>
        <w:ind w:left="288"/>
      </w:pPr>
      <w:r>
        <w:rPr>
          <w:color w:val="1E1E1E"/>
          <w:sz w:val="18"/>
        </w:rPr>
        <w:t>(...) é necessário garantir aos homens e mulheres trans acesso igualitário a todas as ações e programas de saúde do SUS, em especial aqueles relacionados à saúde sexual e reprodutiva, como agendamento de consultas nas especialidades de ginecologia, obstetrícia e urologia, independentemente de sua identidade de gênero, sendo fundamental eliminar obstáculos burocráticos que possam causar constrangimento à pessoa e atraso no acesso à prestação de saúde. (...) Essa realidade burocrática acaba por se afigurar atentatória ao direito social à saúde que é assegurado na Constituição a todas as pessoas.</w:t>
      </w:r>
    </w:p>
    <w:p>
      <w:pPr>
        <w:ind w:left="144"/>
      </w:pPr>
      <w:r>
        <w:rPr>
          <w:b/>
          <w:color w:val="B45A00"/>
          <w:sz w:val="16"/>
        </w:rPr>
        <w:t>REPERCUSSAO GERAL</w:t>
      </w:r>
    </w:p>
    <w:p>
      <w:pPr>
        <w:ind w:left="288"/>
      </w:pPr>
      <w:r>
        <w:rPr>
          <w:color w:val="8C8C8C"/>
          <w:sz w:val="12"/>
        </w:rPr>
        <w:t>cf-art-3-inc-IV</w:t>
      </w:r>
      <w:r>
        <w:rPr>
          <w:color w:val="003CA0"/>
          <w:sz w:val="12"/>
        </w:rPr>
        <w:t xml:space="preserve"> | RE 1.249.095</w:t>
      </w:r>
      <w:r>
        <w:rPr>
          <w:color w:val="003CA0"/>
          <w:sz w:val="12"/>
        </w:rPr>
        <w:t xml:space="preserve"> | rel. Cristiano Zanin</w:t>
      </w:r>
    </w:p>
    <w:p>
      <w:pPr>
        <w:ind w:left="288"/>
      </w:pPr>
      <w:r>
        <w:rPr>
          <w:color w:val="1E1E1E"/>
          <w:sz w:val="18"/>
        </w:rPr>
        <w:t>“A presença de símbolos religiosos em prédios públicos, pertencentes a qualquer dos Poderes da União, dos Estados, do Distrito Federal e dos Municípios, desde que tenha o objetivo de manifestar a tradição cultural da sociedade brasileira, não viola os princípios da não discriminação, da laicidade estatal e da impessoalidade”.</w:t>
        <w:br/>
        <w:t>[RE 1.249.095, rel. min. Cristiano Zanin, j. 27-11-2024, P, DJE de 27-2-2025, Tema 1.086, com mérito julgado.] Separação obrigatória de bens nos casamentos e uniões estáveis com pessoa maior de setenta anos. (...) O dispositivo aqui questionado, se interpretado de maneira</w:t>
      </w:r>
    </w:p>
    <w:p>
      <w:pPr>
        <w:ind w:left="144"/>
      </w:pPr>
      <w:r>
        <w:rPr>
          <w:b/>
          <w:color w:val="B45A00"/>
          <w:sz w:val="16"/>
        </w:rPr>
        <w:t>JULGADOS CORRELATOS</w:t>
      </w:r>
    </w:p>
    <w:p>
      <w:pPr>
        <w:ind w:left="288"/>
      </w:pPr>
      <w:r>
        <w:rPr>
          <w:color w:val="8C8C8C"/>
          <w:sz w:val="12"/>
        </w:rPr>
        <w:t>cf-art-3-inc-IV</w:t>
      </w:r>
      <w:r>
        <w:rPr>
          <w:color w:val="003CA0"/>
          <w:sz w:val="12"/>
        </w:rPr>
        <w:t xml:space="preserve"> | HC 208.240</w:t>
      </w:r>
      <w:r>
        <w:rPr>
          <w:color w:val="003CA0"/>
          <w:sz w:val="12"/>
        </w:rPr>
        <w:t xml:space="preserve"> | rel. Edson Fachin</w:t>
      </w:r>
    </w:p>
    <w:p>
      <w:pPr>
        <w:ind w:left="288"/>
      </w:pPr>
      <w:r>
        <w:rPr>
          <w:color w:val="1E1E1E"/>
          <w:sz w:val="18"/>
        </w:rPr>
        <w:t>A Constituição Federal protege a intimidade e a privacidade como direitos individuais (art. 5º, X). Também prevê como objetivo fundamental da República Federativa do Brasil a construção de uma sociedade justa, plural e solidária, sem preconceitos de origem, raça, sexo, cor, idade e quaisquer outras formas de discriminação (art. 3º, I e IV). (...) O Estado brasileiro comprometeu-se a proibir e a eliminar a discriminação racial em todas suas formas e a garantir o direito de cada um à igualdade perante a lei sem distinção de raça, de cor ou de origem nacional ou étnica (Convenção Internacional so</w:t>
      </w:r>
    </w:p>
    <w:p>
      <w:pPr>
        <w:ind w:left="720"/>
      </w:pPr>
      <w:r>
        <w:rPr>
          <w:color w:val="003366"/>
          <w:sz w:val="18"/>
        </w:rPr>
        <w:t>I – construir uma sociedade livre, justa e solidária;</w:t>
      </w:r>
    </w:p>
    <w:p>
      <w:pPr>
        <w:ind w:left="720"/>
      </w:pPr>
      <w:r>
        <w:rPr>
          <w:color w:val="003366"/>
          <w:sz w:val="18"/>
        </w:rPr>
        <w:t>II – garantir o desenvolvimento nacional;</w:t>
      </w:r>
    </w:p>
    <w:p>
      <w:pPr>
        <w:ind w:left="720"/>
      </w:pPr>
      <w:r>
        <w:rPr>
          <w:color w:val="003366"/>
          <w:sz w:val="18"/>
        </w:rPr>
        <w:t xml:space="preserve">III – erradicar a pobreza e a marginalização e reduzir as desigualdades sociais </w:t>
      </w:r>
    </w:p>
    <w:p>
      <w:pPr>
        <w:ind w:left="720"/>
      </w:pPr>
      <w:r>
        <w:rPr>
          <w:color w:val="003366"/>
          <w:sz w:val="18"/>
        </w:rPr>
        <w:t>IV – promover o bem de todos, sem preconceitos de origem, raça, sexo, cor, idade</w:t>
      </w:r>
    </w:p>
    <w:p>
      <w:r>
        <w:rPr>
          <w:b/>
          <w:color w:val="003366"/>
          <w:sz w:val="20"/>
        </w:rPr>
        <w:t>Art. 4 A República Federativa do Brasil rege-se nas suas relações internacionais</w:t>
      </w:r>
      <w:r>
        <w:rPr>
          <w:color w:val="8C8C8C"/>
          <w:sz w:val="14"/>
        </w:rPr>
        <w:t xml:space="preserve">  [12 decisoes]</w:t>
      </w:r>
    </w:p>
    <w:p>
      <w:pPr>
        <w:ind w:left="144"/>
      </w:pPr>
      <w:r>
        <w:rPr>
          <w:b/>
          <w:color w:val="B45A00"/>
          <w:sz w:val="16"/>
        </w:rPr>
        <w:t>CONTROLE CONCENTRADO</w:t>
      </w:r>
    </w:p>
    <w:p>
      <w:pPr>
        <w:ind w:left="288"/>
      </w:pPr>
      <w:r>
        <w:rPr>
          <w:color w:val="8C8C8C"/>
          <w:sz w:val="12"/>
        </w:rPr>
        <w:t>cf-art-4</w:t>
      </w:r>
      <w:r>
        <w:rPr>
          <w:color w:val="003CA0"/>
          <w:sz w:val="12"/>
        </w:rPr>
        <w:t xml:space="preserve"> | ADPF 172</w:t>
      </w:r>
      <w:r>
        <w:rPr>
          <w:color w:val="003CA0"/>
          <w:sz w:val="12"/>
        </w:rPr>
        <w:t xml:space="preserve"> | rel. Marco Aurélio</w:t>
      </w:r>
    </w:p>
    <w:p>
      <w:pPr>
        <w:ind w:left="288"/>
      </w:pPr>
      <w:r>
        <w:rPr>
          <w:color w:val="1E1E1E"/>
          <w:sz w:val="18"/>
        </w:rPr>
        <w:t>(...) gostaria (...) de tecer algumas considerações sobre a Convenção da Haia e a sua aplicação pelo Poder Judiciário brasileiro. (...) A primeira observação a ser feita, portanto, é a de que estamos diante de um documento produzido no contexto de negociações multilaterais a que o País formalmente aderiu e ratificou. Tais documentos, em que se incluem os tratados, as convenções e os acordos, pressupõem o cumprimento de boa-fé pelos Estados signatários. É o que expressa o velho brocardo pacta sunt servanda. A observância dessa prescrição é o que permite a coexistência e a cooperação entre naçõe</w:t>
      </w:r>
    </w:p>
    <w:p>
      <w:pPr>
        <w:ind w:left="144"/>
      </w:pPr>
      <w:r>
        <w:rPr>
          <w:b/>
          <w:color w:val="B45A00"/>
          <w:sz w:val="16"/>
        </w:rPr>
        <w:t>JULGADOS CORRELATOS</w:t>
      </w:r>
    </w:p>
    <w:p>
      <w:pPr>
        <w:ind w:left="288"/>
      </w:pPr>
      <w:r>
        <w:rPr>
          <w:color w:val="8C8C8C"/>
          <w:sz w:val="12"/>
        </w:rPr>
        <w:t>cf-art-4-inc-I</w:t>
      </w:r>
      <w:r>
        <w:rPr>
          <w:color w:val="003CA0"/>
          <w:sz w:val="12"/>
        </w:rPr>
        <w:t xml:space="preserve"> | EXT 1.085.</w:t>
      </w:r>
      <w:r>
        <w:rPr>
          <w:color w:val="003CA0"/>
          <w:sz w:val="12"/>
        </w:rPr>
        <w:t xml:space="preserve"> | rel. Gilmar Mendes</w:t>
      </w:r>
    </w:p>
    <w:p>
      <w:pPr>
        <w:ind w:left="288"/>
      </w:pPr>
      <w:r>
        <w:rPr>
          <w:color w:val="1E1E1E"/>
          <w:sz w:val="18"/>
        </w:rPr>
        <w:t>O art. 1º da Constituição assenta como um dos fundamentos do Estado brasileiro a sua soberania – que significa o poder político supremo dentro do território, e, no plano internacional, no tocante às relações da República Federativa do Brasil com outros Estados soberanos, nos termos do art. 4º, I, da Carta Magna. A soberania nacional no plano transnacional funda-se no princípio da independência nacional, efetivada pelo presidente da República, consoante suas atribuições previstas no art. 84, VII e VIII, da Lei Maior. A soberania, dicotomizada em interna e externa, tem na primeira a exteriorizaç</w:t>
      </w:r>
    </w:p>
    <w:p>
      <w:pPr>
        <w:ind w:left="144"/>
      </w:pPr>
      <w:r>
        <w:rPr>
          <w:b/>
          <w:color w:val="B45A00"/>
          <w:sz w:val="16"/>
        </w:rPr>
        <w:t>REPERCUSSAO GERAL</w:t>
      </w:r>
    </w:p>
    <w:p>
      <w:pPr>
        <w:ind w:left="288"/>
      </w:pPr>
      <w:r>
        <w:rPr>
          <w:color w:val="8C8C8C"/>
          <w:sz w:val="12"/>
        </w:rPr>
        <w:t>cf-art-4-inc-II</w:t>
      </w:r>
      <w:r>
        <w:rPr>
          <w:color w:val="003CA0"/>
          <w:sz w:val="12"/>
        </w:rPr>
        <w:t xml:space="preserve"> | ADPF 153.</w:t>
      </w:r>
      <w:r>
        <w:rPr>
          <w:color w:val="003CA0"/>
          <w:sz w:val="12"/>
        </w:rPr>
        <w:t xml:space="preserve"> | rel. Alexandre de Moraes</w:t>
      </w:r>
    </w:p>
    <w:p>
      <w:pPr>
        <w:ind w:left="288"/>
      </w:pPr>
      <w:r>
        <w:rPr>
          <w:color w:val="1E1E1E"/>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br/>
        <w:t>[ARE 1.058.822 RG, rel. min. Alexandre de Moraes, j. 21-2-2025, P, DJE de 28-2-2025, Tema 1.375, com mérito pendente.] Controvérsia inédita no âmbito desta Suprema Corte, estando em questão a derrotabilidade de regra imunizante de jurisdição em relação a atos de império praticados por Estado soberano, por conta de graves delitos oco</w:t>
      </w:r>
    </w:p>
    <w:p>
      <w:pPr>
        <w:ind w:left="144"/>
      </w:pPr>
      <w:r>
        <w:rPr>
          <w:b/>
          <w:color w:val="B45A00"/>
          <w:sz w:val="16"/>
        </w:rPr>
        <w:t>JULGADOS CORRELATOS</w:t>
      </w:r>
    </w:p>
    <w:p>
      <w:pPr>
        <w:ind w:left="288"/>
      </w:pPr>
      <w:r>
        <w:rPr>
          <w:color w:val="8C8C8C"/>
          <w:sz w:val="12"/>
        </w:rPr>
        <w:t>cf-art-4-inc-II</w:t>
      </w:r>
      <w:r>
        <w:rPr>
          <w:color w:val="003CA0"/>
          <w:sz w:val="12"/>
        </w:rPr>
        <w:t xml:space="preserve"> | EXT 1.195</w:t>
      </w:r>
      <w:r>
        <w:rPr>
          <w:color w:val="003CA0"/>
          <w:sz w:val="12"/>
        </w:rPr>
        <w:t xml:space="preserve"> | rel. Ayres Britto</w:t>
      </w:r>
    </w:p>
    <w:p>
      <w:pPr>
        <w:ind w:left="288"/>
      </w:pPr>
      <w:r>
        <w:rPr>
          <w:color w:val="1E1E1E"/>
          <w:sz w:val="18"/>
        </w:rPr>
        <w:t>A anuência do extraditando ao pedido de sua entrega não desobriga o Estado requerente de instruir devidamente esse pedido. Mais: o assentimento do acusado com a extradição não dispensa o exame dos requisitos legais para o deferimento do pleito pelo STF. STF que participa do processo de extradição para velar pela observância do princípio que a CF chama de "prevalência dos direitos humanos" (...).</w:t>
        <w:br/>
        <w:t xml:space="preserve">[Ext 1.195, rel. min. Ayres Britto, j. 12-5-2011, P, DJE de 21-6-2011.] No Estado de Direito Democrático, devem ser intransigentemente respeitados os princípios que garantem a prevalência dos direitos </w:t>
      </w:r>
    </w:p>
    <w:p>
      <w:pPr>
        <w:ind w:left="144"/>
      </w:pPr>
      <w:r>
        <w:rPr>
          <w:b/>
          <w:color w:val="B45A00"/>
          <w:sz w:val="16"/>
        </w:rPr>
        <w:t>CONTROLE CONCENTRADO</w:t>
      </w:r>
    </w:p>
    <w:p>
      <w:pPr>
        <w:ind w:left="288"/>
      </w:pPr>
      <w:r>
        <w:rPr>
          <w:color w:val="8C8C8C"/>
          <w:sz w:val="12"/>
        </w:rPr>
        <w:t>cf-art-4-inc-V</w:t>
      </w:r>
      <w:r>
        <w:rPr>
          <w:color w:val="003CA0"/>
          <w:sz w:val="12"/>
        </w:rPr>
        <w:t xml:space="preserve"> | ADPF 101</w:t>
      </w:r>
      <w:r>
        <w:rPr>
          <w:color w:val="003CA0"/>
          <w:sz w:val="12"/>
        </w:rPr>
        <w:t xml:space="preserve"> | rel. Cármen Lúcia</w:t>
      </w:r>
    </w:p>
    <w:p>
      <w:pPr>
        <w:ind w:left="288"/>
      </w:pPr>
      <w:r>
        <w:rPr>
          <w:color w:val="1E1E1E"/>
          <w:sz w:val="18"/>
        </w:rPr>
        <w:t xml:space="preserve">Arguição de descumprimento dos preceitos fundamentais constitucionalmente estabelecidos: decisões judiciais nacionais permitindo a importação de pneus usados de países que não compõem o Mercosul: objeto de contencioso na Organização Mundial do Comércio, a partir de 20-6-2005, pela Solicitação de Consulta da União Europeia ao Brasil. (...) Autorização para importação de remoldados provenientes de Estados integrantes do Mercosul limitados ao produto final, pneu, e não às carcaças: determinação do Tribunal ad hoc, à qual teve de se submeter o Brasil em decorrência dos acordos firmados pelo bloco </w:t>
      </w:r>
    </w:p>
    <w:p>
      <w:pPr>
        <w:ind w:left="144"/>
      </w:pPr>
      <w:r>
        <w:rPr>
          <w:b/>
          <w:color w:val="B45A00"/>
          <w:sz w:val="16"/>
        </w:rPr>
        <w:t>REPERCUSSAO GERAL</w:t>
      </w:r>
    </w:p>
    <w:p>
      <w:pPr>
        <w:ind w:left="288"/>
      </w:pPr>
      <w:r>
        <w:rPr>
          <w:color w:val="8C8C8C"/>
          <w:sz w:val="12"/>
        </w:rPr>
        <w:t>cf-art-4-inc-V</w:t>
      </w:r>
      <w:r>
        <w:rPr>
          <w:color w:val="003CA0"/>
          <w:sz w:val="12"/>
        </w:rPr>
        <w:t xml:space="preserve"> | RE 222.368</w:t>
      </w:r>
      <w:r>
        <w:rPr>
          <w:color w:val="003CA0"/>
          <w:sz w:val="12"/>
        </w:rPr>
        <w:t xml:space="preserve"> | rel. Celso de Mello</w:t>
      </w:r>
    </w:p>
    <w:p>
      <w:pPr>
        <w:ind w:left="288"/>
      </w:pPr>
      <w:r>
        <w:rPr>
          <w:color w:val="1E1E1E"/>
          <w:sz w:val="18"/>
        </w:rPr>
        <w:t>Os Estados estrangeiros não dispõem de imunidade de jurisdição, perante o Poder Judiciário brasileiro, nas causas de natureza trabalhista, pois essa prerrogativa de direito internacional público tem caráter meramente relativo. Privilégios diplomáticos não podem ser invocados, em processos trabalhistas, para coonestar o enriquecimento sem causa de Estados estrangeiros, em inaceitável detrimento de trabalhadores residentes em território brasileiro, sob pena de essa prática consagrar censurável desvio ético-jurídico, incompatível com o princípio da boa-fé e inconciliável com os grandes postulados</w:t>
      </w:r>
    </w:p>
    <w:p>
      <w:pPr>
        <w:ind w:left="144"/>
      </w:pPr>
      <w:r>
        <w:rPr>
          <w:b/>
          <w:color w:val="B45A00"/>
          <w:sz w:val="16"/>
        </w:rPr>
        <w:t>JULGADOS CORRELATOS</w:t>
      </w:r>
    </w:p>
    <w:p>
      <w:pPr>
        <w:ind w:left="288"/>
      </w:pPr>
      <w:r>
        <w:rPr>
          <w:color w:val="8C8C8C"/>
          <w:sz w:val="12"/>
        </w:rPr>
        <w:t>cf-art-4-inc-V</w:t>
      </w:r>
      <w:r>
        <w:rPr>
          <w:color w:val="003CA0"/>
          <w:sz w:val="12"/>
        </w:rPr>
        <w:t xml:space="preserve"> | ACO 543</w:t>
      </w:r>
      <w:r>
        <w:rPr>
          <w:color w:val="003CA0"/>
          <w:sz w:val="12"/>
        </w:rPr>
        <w:t xml:space="preserve"> | rel. Sepúlveda Pertence</w:t>
      </w:r>
    </w:p>
    <w:p>
      <w:pPr>
        <w:ind w:left="288"/>
      </w:pPr>
      <w:r>
        <w:rPr>
          <w:color w:val="1E1E1E"/>
          <w:sz w:val="18"/>
        </w:rPr>
        <w:t>Imunidade de jurisdição. Execução fiscal movida pela União contra a República da Coreia. É da jurisprudência do Supremo Tribunal que, salvo renúncia, é absoluta a imunidade do Estado estrangeiro à jurisdição executória.</w:t>
        <w:br/>
        <w:t>[ACO 543 AgR, rel. min. Sepúlveda Pertence, j. 30-8-2006, P, DJ de 24-11-2006.] O mero procedimento citatório não produz qualquer efeito atentatório à soberania nacional ou à ordem pública, apenas possibilita o conhecimento da ação que tramita perante a justiça alienígena e faculta a apresentação de defesa.</w:t>
        <w:br/>
        <w:t>[CR 10.849 AgR, rel. min. Maurício Corrêa, j. 28-4-2004, P, DJ de 21-5-</w:t>
      </w:r>
    </w:p>
    <w:p>
      <w:pPr>
        <w:ind w:left="288"/>
      </w:pPr>
      <w:r>
        <w:rPr>
          <w:color w:val="8C8C8C"/>
          <w:sz w:val="12"/>
        </w:rPr>
        <w:t>cf-art-4-inc-VIII</w:t>
      </w:r>
      <w:r>
        <w:rPr>
          <w:color w:val="003CA0"/>
          <w:sz w:val="12"/>
        </w:rPr>
        <w:t xml:space="preserve"> | EXT 855</w:t>
      </w:r>
      <w:r>
        <w:rPr>
          <w:color w:val="003CA0"/>
          <w:sz w:val="12"/>
        </w:rPr>
        <w:t xml:space="preserve"> | rel. Celso de Mello</w:t>
      </w:r>
    </w:p>
    <w:p>
      <w:pPr>
        <w:ind w:left="288"/>
      </w:pPr>
      <w:r>
        <w:rPr>
          <w:color w:val="1E1E1E"/>
          <w:sz w:val="18"/>
        </w:rPr>
        <w:t>O repúdio ao terrorismo: um compromisso ético-jurídico assumido pelo Brasil, quer em face de sua própria Constituição, quer perante a comunidade internacional. Os atos delituosos de natureza terrorista, considerados os parâmetros consagrados pela vigente CF, não se subsumem à noção de criminalidade política, pois a Lei Fundamental proclamou o repúdio ao terrorismo como um dos princípios essenciais que devem reger o Estado brasileiro em suas relações internacionais (CF, art. 4º, VIII), além de haver qualificado o terrorismo, para efeito de repressão interna, como crime equiparável aos delitos h</w:t>
      </w:r>
    </w:p>
    <w:p>
      <w:pPr>
        <w:ind w:left="144"/>
      </w:pPr>
      <w:r>
        <w:rPr>
          <w:b/>
          <w:color w:val="B45A00"/>
          <w:sz w:val="16"/>
        </w:rPr>
        <w:t>CONTROLE CONCENTRADO</w:t>
      </w:r>
    </w:p>
    <w:p>
      <w:pPr>
        <w:ind w:left="288"/>
      </w:pPr>
      <w:r>
        <w:rPr>
          <w:color w:val="8C8C8C"/>
          <w:sz w:val="12"/>
        </w:rPr>
        <w:t>cf-art-4-inc-IX</w:t>
      </w:r>
      <w:r>
        <w:rPr>
          <w:color w:val="003CA0"/>
          <w:sz w:val="12"/>
        </w:rPr>
        <w:t xml:space="preserve"> | ADC 51</w:t>
      </w:r>
      <w:r>
        <w:rPr>
          <w:color w:val="003CA0"/>
          <w:sz w:val="12"/>
        </w:rPr>
        <w:t xml:space="preserve"> | rel. Gilmar Mendes</w:t>
      </w:r>
    </w:p>
    <w:p>
      <w:pPr>
        <w:ind w:left="288"/>
      </w:pPr>
      <w:r>
        <w:rPr>
          <w:color w:val="1E1E1E"/>
          <w:sz w:val="18"/>
        </w:rPr>
        <w:t>O art. 11 do Marco Civil da Internet, que encontra respaldo no art. 18 da Convenção de Budapeste, é norma específica em relação às regras gerais do MLAT. O referido dispositivo assegura a aplicação da legislação brasileira em relação a atividades de coleta, armazenamento, guarda e tratamento de registros, dados e comunicações eletrônicas ocorridas em território nacional, desde que pelo menos um dos atos ou terminais se encontrem em território nacional, mesmo que a pessoa jurídica portadora dessas informações esteja localizada ou armazene tais informações no exterior. As hipóteses de requisição</w:t>
      </w:r>
    </w:p>
    <w:p>
      <w:pPr>
        <w:ind w:left="144"/>
      </w:pPr>
      <w:r>
        <w:rPr>
          <w:b/>
          <w:color w:val="B45A00"/>
          <w:sz w:val="16"/>
        </w:rPr>
        <w:t>JULGADOS CORRELATOS</w:t>
      </w:r>
    </w:p>
    <w:p>
      <w:pPr>
        <w:ind w:left="288"/>
      </w:pPr>
      <w:r>
        <w:rPr>
          <w:color w:val="8C8C8C"/>
          <w:sz w:val="12"/>
        </w:rPr>
        <w:t>cf-art-4-inc-IX</w:t>
      </w:r>
      <w:r>
        <w:rPr>
          <w:color w:val="003CA0"/>
          <w:sz w:val="12"/>
        </w:rPr>
        <w:t xml:space="preserve"> | HC 89.171</w:t>
      </w:r>
      <w:r>
        <w:rPr>
          <w:color w:val="003CA0"/>
          <w:sz w:val="12"/>
        </w:rPr>
        <w:t xml:space="preserve"> | rel. Marco Aurélio</w:t>
      </w:r>
    </w:p>
    <w:p>
      <w:pPr>
        <w:ind w:left="288"/>
      </w:pPr>
      <w:r>
        <w:rPr>
          <w:color w:val="1E1E1E"/>
          <w:sz w:val="18"/>
        </w:rPr>
        <w:t>No plano da cooperação internacional, é possível a participação das autoridades estrangeiras, desde que não haja nenhuma interferência delas no curso das providências tomadas.</w:t>
        <w:br/>
        <w:t>[HC 89.171, rel. min. Marco Aurélio, red. do ac. min. Menezes Direito, j. 24-3-2009, 1ª T, DJE de 8-5-2009.]</w:t>
      </w:r>
    </w:p>
    <w:p>
      <w:pPr>
        <w:ind w:left="288"/>
      </w:pPr>
      <w:r>
        <w:rPr>
          <w:color w:val="8C8C8C"/>
          <w:sz w:val="12"/>
        </w:rPr>
        <w:t>cf-art-4-inc-X</w:t>
      </w:r>
      <w:r>
        <w:rPr>
          <w:color w:val="003CA0"/>
          <w:sz w:val="12"/>
        </w:rPr>
        <w:t xml:space="preserve"> | EXT 1.085</w:t>
      </w:r>
      <w:r>
        <w:rPr>
          <w:color w:val="003CA0"/>
          <w:sz w:val="12"/>
        </w:rPr>
        <w:t xml:space="preserve"> | rel. Cezar Peluso</w:t>
      </w:r>
    </w:p>
    <w:p>
      <w:pPr>
        <w:ind w:left="288"/>
      </w:pPr>
      <w:r>
        <w:rPr>
          <w:color w:val="1E1E1E"/>
          <w:sz w:val="18"/>
        </w:rPr>
        <w:t>Questão sobre existência jurídica, validez e eficácia de ato administrativo que conceda refúgio ao extraditando é matéria preliminar inerente à cognição do mérito do processo de extradição e, como tal, deve ser conhecida de ofício ou mediante provocação de interessado jurídico na causa. (...) Eventual nulidade absoluta do ato administrativo que concede refúgio ao extraditando deve ser pronunciada, mediante provocação ou de ofício, no processo de extradição. (...) Não configura crime político, para fim de obstar o acolhimento de pedido de extradição, homicídio praticado por membro de organizaçã</w:t>
      </w:r>
    </w:p>
    <w:p>
      <w:pPr>
        <w:ind w:left="288"/>
      </w:pPr>
      <w:r>
        <w:rPr>
          <w:color w:val="8C8C8C"/>
          <w:sz w:val="12"/>
        </w:rPr>
        <w:t>cf-art-4-inc-X</w:t>
      </w:r>
      <w:r>
        <w:rPr>
          <w:color w:val="003CA0"/>
          <w:sz w:val="12"/>
        </w:rPr>
        <w:t xml:space="preserve"> | CR 8.279</w:t>
      </w:r>
      <w:r>
        <w:rPr>
          <w:color w:val="003CA0"/>
          <w:sz w:val="12"/>
        </w:rPr>
        <w:t xml:space="preserve"> | rel. Celso de Mello</w:t>
      </w:r>
    </w:p>
    <w:p>
      <w:pPr>
        <w:ind w:left="288"/>
      </w:pPr>
      <w:r>
        <w:rPr>
          <w:color w:val="1E1E1E"/>
          <w:sz w:val="18"/>
        </w:rPr>
        <w:t>Sob a égide do modelo constitucional brasileiro, mesmo cuidando-se de tratados de integração, ainda subsistem os clássicos mecanismos institucionais de recepção das convenções internacionais em geral, não bastando, para afastá-los, a existência da norma inscrita no art. 4º, parágrafo único, da Constituição da República, que possui conteúdo meramente programático e cujo sentido não torna dispensável a atuação dos instrumentos constitucionais de transposição, para a ordem jurídica doméstica, dos acordos, protocolos e convenções celebrados pelo Brasil no âmbito do Mercosul.</w:t>
        <w:br/>
        <w:t>[CR 8.279 AgR, rel. mi</w:t>
      </w:r>
    </w:p>
    <w:p>
      <w:pPr>
        <w:ind w:left="720"/>
      </w:pPr>
      <w:r>
        <w:rPr>
          <w:color w:val="003366"/>
          <w:sz w:val="18"/>
        </w:rPr>
        <w:t>I – independência nacional;</w:t>
      </w:r>
    </w:p>
    <w:p>
      <w:pPr>
        <w:ind w:left="720"/>
      </w:pPr>
      <w:r>
        <w:rPr>
          <w:color w:val="003366"/>
          <w:sz w:val="18"/>
        </w:rPr>
        <w:t>II – prevalência dos direitos humanos;</w:t>
      </w:r>
    </w:p>
    <w:p>
      <w:pPr>
        <w:ind w:left="720"/>
      </w:pPr>
      <w:r>
        <w:rPr>
          <w:color w:val="003366"/>
          <w:sz w:val="18"/>
        </w:rPr>
        <w:t>III – autodeterminação dos povos;</w:t>
      </w:r>
    </w:p>
    <w:p>
      <w:pPr>
        <w:ind w:left="720"/>
      </w:pPr>
      <w:r>
        <w:rPr>
          <w:color w:val="003366"/>
          <w:sz w:val="18"/>
        </w:rPr>
        <w:t>IV – não-intervenção;</w:t>
      </w:r>
    </w:p>
    <w:p>
      <w:pPr>
        <w:ind w:left="720"/>
      </w:pPr>
      <w:r>
        <w:rPr>
          <w:color w:val="003366"/>
          <w:sz w:val="18"/>
        </w:rPr>
        <w:t>V – igualdade entre os Estados;</w:t>
      </w:r>
    </w:p>
    <w:p>
      <w:pPr>
        <w:ind w:left="720"/>
      </w:pPr>
      <w:r>
        <w:rPr>
          <w:color w:val="003366"/>
          <w:sz w:val="18"/>
        </w:rPr>
        <w:t>VI – defesa da paz;</w:t>
      </w:r>
    </w:p>
    <w:p>
      <w:pPr>
        <w:ind w:left="720"/>
      </w:pPr>
      <w:r>
        <w:rPr>
          <w:color w:val="003366"/>
          <w:sz w:val="18"/>
        </w:rPr>
        <w:t>VII – solução pacífica dos conflitos;</w:t>
      </w:r>
    </w:p>
    <w:p>
      <w:pPr>
        <w:ind w:left="720"/>
      </w:pPr>
      <w:r>
        <w:rPr>
          <w:color w:val="003366"/>
          <w:sz w:val="18"/>
        </w:rPr>
        <w:t>VIII – repúdio ao terrorismo e ao racismo;</w:t>
      </w:r>
    </w:p>
    <w:p>
      <w:pPr>
        <w:ind w:left="720"/>
      </w:pPr>
      <w:r>
        <w:rPr>
          <w:color w:val="003366"/>
          <w:sz w:val="18"/>
        </w:rPr>
        <w:t>IX – cooperação entre os povos para o progresso da humanidade;</w:t>
      </w:r>
    </w:p>
    <w:p>
      <w:pPr>
        <w:ind w:left="720"/>
      </w:pPr>
      <w:r>
        <w:rPr>
          <w:color w:val="003366"/>
          <w:sz w:val="18"/>
        </w:rPr>
        <w:t>X – concessão de asilo político.</w:t>
      </w:r>
    </w:p>
    <w:p>
      <w:pPr>
        <w:pStyle w:val="Heading1"/>
      </w:pPr>
      <w:r>
        <w:rPr>
          <w:color w:val="003366"/>
        </w:rPr>
        <w:t>TÍTULO II</w:t>
      </w:r>
    </w:p>
    <w:p>
      <w:pPr>
        <w:pStyle w:val="Heading2"/>
      </w:pPr>
      <w:r>
        <w:rPr>
          <w:color w:val="003366"/>
        </w:rPr>
        <w:t>CAPÍTULO I - DOS DIREITOS E DEVERES INDIVIDUAIS E COLETIVOS</w:t>
      </w:r>
    </w:p>
    <w:p>
      <w:r>
        <w:rPr>
          <w:b/>
          <w:color w:val="003366"/>
          <w:sz w:val="20"/>
        </w:rPr>
        <w:t>Art. 5 Todos são iguais perante a lei, sem distinção de qualquer natureza, garan</w:t>
      </w:r>
      <w:r>
        <w:rPr>
          <w:color w:val="8C8C8C"/>
          <w:sz w:val="14"/>
        </w:rPr>
        <w:t xml:space="preserve">  [1737 decisoes]</w:t>
      </w:r>
    </w:p>
    <w:p>
      <w:pPr>
        <w:ind w:left="288"/>
      </w:pPr>
      <w:r>
        <w:rPr>
          <w:color w:val="8C8C8C"/>
          <w:sz w:val="12"/>
        </w:rPr>
        <w:t>cf-art-5</w:t>
      </w:r>
    </w:p>
    <w:p>
      <w:pPr>
        <w:ind w:left="288"/>
      </w:pPr>
      <w:r>
        <w:rPr>
          <w:color w:val="1E1E1E"/>
          <w:sz w:val="18"/>
        </w:rPr>
        <w:t>Não cabe ao Poder Judiciário, que não tem função legislativa, aumentar vencimentos de servidores públicos sob o fundamento de isonomia.</w:t>
      </w:r>
    </w:p>
    <w:p>
      <w:pPr>
        <w:ind w:left="288"/>
      </w:pPr>
      <w:r>
        <w:rPr>
          <w:b/>
          <w:color w:val="003CA0"/>
          <w:sz w:val="16"/>
        </w:rPr>
        <w:t>[Súmula Vinculante 37.]</w:t>
      </w:r>
    </w:p>
    <w:p>
      <w:pPr>
        <w:ind w:left="288"/>
      </w:pPr>
      <w:r>
        <w:rPr>
          <w:color w:val="8C8C8C"/>
          <w:sz w:val="12"/>
        </w:rPr>
        <w:t>cf-art-5</w:t>
      </w:r>
    </w:p>
    <w:p>
      <w:pPr>
        <w:ind w:left="288"/>
      </w:pPr>
      <w:r>
        <w:rPr>
          <w:color w:val="1E1E1E"/>
          <w:sz w:val="18"/>
        </w:rPr>
        <w:t>Não viola a Constituição o estabelecimento de remuneração inferior ao salário mínimo para as praças prestadoras de serviço militar inicial.</w:t>
      </w:r>
    </w:p>
    <w:p>
      <w:pPr>
        <w:ind w:left="288"/>
      </w:pPr>
      <w:r>
        <w:rPr>
          <w:b/>
          <w:color w:val="003CA0"/>
          <w:sz w:val="16"/>
        </w:rPr>
        <w:t>[Súmula Vinculante 6.]</w:t>
      </w:r>
    </w:p>
    <w:p>
      <w:pPr>
        <w:ind w:left="144"/>
      </w:pPr>
      <w:r>
        <w:rPr>
          <w:b/>
          <w:color w:val="B45A00"/>
          <w:sz w:val="16"/>
        </w:rPr>
        <w:t>CONTROLE CONCENTRADO</w:t>
      </w:r>
    </w:p>
    <w:p>
      <w:pPr>
        <w:ind w:left="288"/>
      </w:pPr>
      <w:r>
        <w:rPr>
          <w:color w:val="8C8C8C"/>
          <w:sz w:val="12"/>
        </w:rPr>
        <w:t>cf-art-5</w:t>
      </w:r>
      <w:r>
        <w:rPr>
          <w:color w:val="003CA0"/>
          <w:sz w:val="12"/>
        </w:rPr>
        <w:t xml:space="preserve"> | ADC 85</w:t>
      </w:r>
      <w:r>
        <w:rPr>
          <w:color w:val="003CA0"/>
          <w:sz w:val="12"/>
        </w:rPr>
        <w:t xml:space="preserve"> | rel. Gilmar Mendes</w:t>
      </w:r>
    </w:p>
    <w:p>
      <w:pPr>
        <w:ind w:left="288"/>
      </w:pPr>
      <w:r>
        <w:rPr>
          <w:color w:val="1E1E1E"/>
          <w:sz w:val="18"/>
        </w:rPr>
        <w:t>Decretos 11.366/2023 e 11.615/2023. Atos normativos que promoveram a regulamentação do Estatuto do Desarmamento (Lei 10.823/2003). (...) Os Decretos 11.366/2023 e 11.615/2023 visam reverter a vertiginosa tendência de proliferação de armas de fogo em circulação no Brasil e promover a reconstrução das políticas públicas de efetivo controle dessa circulação. Os atos normativos inserem-se no poder regulamentar privativo do Presidente da República (CF, art. 84, IV) e não extrapolam a margem de conformação regulamentar estabelecida pelo Estatuto do Desarmamento (10.826/2003). As determinações regula</w:t>
      </w:r>
    </w:p>
    <w:p>
      <w:pPr>
        <w:ind w:left="144"/>
      </w:pPr>
      <w:r>
        <w:rPr>
          <w:b/>
          <w:color w:val="B45A00"/>
          <w:sz w:val="16"/>
        </w:rPr>
        <w:t>REPERCUSSAO GERAL</w:t>
      </w:r>
    </w:p>
    <w:p>
      <w:pPr>
        <w:ind w:left="288"/>
      </w:pPr>
      <w:r>
        <w:rPr>
          <w:color w:val="8C8C8C"/>
          <w:sz w:val="12"/>
        </w:rPr>
        <w:t>cf-art-5</w:t>
      </w:r>
      <w:r>
        <w:rPr>
          <w:color w:val="003CA0"/>
          <w:sz w:val="12"/>
        </w:rPr>
        <w:t xml:space="preserve"> | RE 1.530.083</w:t>
      </w:r>
      <w:r>
        <w:rPr>
          <w:color w:val="003CA0"/>
          <w:sz w:val="12"/>
        </w:rPr>
        <w:t xml:space="preserve"> | rel. Luiz Fux</w:t>
      </w:r>
    </w:p>
    <w:p>
      <w:pPr>
        <w:ind w:left="288"/>
      </w:pPr>
      <w:r>
        <w:rPr>
          <w:color w:val="1E1E1E"/>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w:t>
      </w:r>
    </w:p>
    <w:p>
      <w:pPr>
        <w:ind w:left="144"/>
      </w:pPr>
      <w:r>
        <w:rPr>
          <w:b/>
          <w:color w:val="B45A00"/>
          <w:sz w:val="16"/>
        </w:rPr>
        <w:t>JULGADOS CORRELATOS</w:t>
      </w:r>
    </w:p>
    <w:p>
      <w:pPr>
        <w:ind w:left="288"/>
      </w:pPr>
      <w:r>
        <w:rPr>
          <w:color w:val="8C8C8C"/>
          <w:sz w:val="12"/>
        </w:rPr>
        <w:t>cf-art-5</w:t>
      </w:r>
      <w:r>
        <w:rPr>
          <w:color w:val="003CA0"/>
          <w:sz w:val="12"/>
        </w:rPr>
        <w:t xml:space="preserve"> | ADI 4.868</w:t>
      </w:r>
      <w:r>
        <w:rPr>
          <w:color w:val="003CA0"/>
          <w:sz w:val="12"/>
        </w:rPr>
        <w:t xml:space="preserve"> | rel. Luiz Fux</w:t>
      </w:r>
    </w:p>
    <w:p>
      <w:pPr>
        <w:ind w:left="288"/>
      </w:pPr>
      <w:r>
        <w:rPr>
          <w:color w:val="1E1E1E"/>
          <w:sz w:val="18"/>
        </w:rPr>
        <w:t>Bonificação para classificação no curso de medicina em Universidade Federal. Critério regional. Alegação de afronta ao julgamento da ADI 4.868 e RE 614.873 (tema 474-RG). Ocorrência. Precedentes que proíbem qualquer distinção entre brasileiros em razão da origem ou procedência. Bonificação adicional no certame em virtude da localidade onde foi concluído o ensino médio pelos candidatos oriundos da rede de ensino pública.</w:t>
        <w:br/>
        <w:t>[Rcl 68.736 TP-REF , rel. min. Luiz Fux, j. 1º-7-2024, 1ª T, DJE de 2-8-2024.] Lei do Estado do Amazonas 2.894/2004, que cria sistema de cotas para preenchimento de vagas em un</w:t>
      </w:r>
    </w:p>
    <w:p>
      <w:pPr>
        <w:ind w:left="288"/>
      </w:pPr>
      <w:r>
        <w:rPr>
          <w:color w:val="8C8C8C"/>
          <w:sz w:val="12"/>
        </w:rPr>
        <w:t>cf-art-5-inc-I</w:t>
      </w:r>
      <w:r>
        <w:rPr>
          <w:color w:val="003CA0"/>
          <w:sz w:val="12"/>
        </w:rPr>
        <w:t xml:space="preserve"> | ARE 1.551.254</w:t>
      </w:r>
      <w:r>
        <w:rPr>
          <w:color w:val="003CA0"/>
          <w:sz w:val="12"/>
        </w:rPr>
        <w:t xml:space="preserve"> | rel. Cristiano Zanin</w:t>
      </w:r>
    </w:p>
    <w:p>
      <w:pPr>
        <w:ind w:left="288"/>
      </w:pPr>
      <w:r>
        <w:rPr>
          <w:color w:val="1E1E1E"/>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w:t>
      </w:r>
    </w:p>
    <w:p>
      <w:pPr>
        <w:ind w:left="288"/>
      </w:pPr>
      <w:r>
        <w:rPr>
          <w:b/>
          <w:color w:val="003CA0"/>
          <w:sz w:val="16"/>
        </w:rPr>
        <w:t>[ARE 1.551.254 AgR, rel. min. Cristiano Zanin, j. 22-12-2025, P, DJE de 2-2-2026.]</w:t>
      </w:r>
    </w:p>
    <w:p>
      <w:pPr>
        <w:ind w:left="144"/>
      </w:pPr>
      <w:r>
        <w:rPr>
          <w:b/>
          <w:color w:val="B45A00"/>
          <w:sz w:val="16"/>
        </w:rPr>
        <w:t>CONTROLE CONCENTRADO</w:t>
      </w:r>
    </w:p>
    <w:p>
      <w:pPr>
        <w:ind w:left="288"/>
      </w:pPr>
      <w:r>
        <w:rPr>
          <w:color w:val="8C8C8C"/>
          <w:sz w:val="12"/>
        </w:rPr>
        <w:t>cf-art-5-inc-I</w:t>
      </w:r>
      <w:r>
        <w:rPr>
          <w:color w:val="003CA0"/>
          <w:sz w:val="12"/>
        </w:rPr>
        <w:t xml:space="preserve"> | ADI 7.596</w:t>
      </w:r>
      <w:r>
        <w:rPr>
          <w:color w:val="003CA0"/>
          <w:sz w:val="12"/>
        </w:rPr>
        <w:t xml:space="preserve"> | rel. Nunes Marques</w:t>
      </w:r>
    </w:p>
    <w:p>
      <w:pPr>
        <w:ind w:left="288"/>
      </w:pPr>
      <w:r>
        <w:rPr>
          <w:color w:val="1E1E1E"/>
          <w:sz w:val="18"/>
        </w:rPr>
        <w:t>O RenovaBio, instituído pela Lei n. 13.576/2017, concretiza compromissos internacionais de mitigação de gases de efeito estufa assumidos pelo Brasil no Acordo de Paris, consubstanciando política pública voltada à transição energética e à sustentabilidade ambiental. A imposição de metas de descarbonização aos distribuidores de combustíveis fósseis não afronta o princípio da isonomia, pois o critério de diferenciação – comercialização de combustíveis de origem fóssil – é objetivo e diretamente vinculado ao propósito da norma.</w:t>
        <w:br/>
        <w:t>[ADI 7.596 e ADI 7.617, rel. min. Nunes Marques, j. 17-11-2025, P, DJE</w:t>
      </w:r>
    </w:p>
    <w:p>
      <w:pPr>
        <w:ind w:left="288"/>
      </w:pPr>
      <w:r>
        <w:rPr>
          <w:b/>
          <w:color w:val="003CA0"/>
          <w:sz w:val="16"/>
        </w:rPr>
        <w:t>[ADI 4.424, rel. min. Marco Aurélio, j. 9-2-2012, P, DJE de 1º-8-2014.]</w:t>
      </w:r>
    </w:p>
    <w:p>
      <w:pPr>
        <w:ind w:left="288"/>
      </w:pPr>
      <w:r>
        <w:rPr>
          <w:color w:val="8C8C8C"/>
          <w:sz w:val="12"/>
        </w:rPr>
        <w:t>cf-art-5-inc-I</w:t>
      </w:r>
      <w:r>
        <w:rPr>
          <w:color w:val="003CA0"/>
          <w:sz w:val="12"/>
        </w:rPr>
        <w:t xml:space="preserve"> | ARE 773.765</w:t>
      </w:r>
      <w:r>
        <w:rPr>
          <w:color w:val="003CA0"/>
          <w:sz w:val="12"/>
        </w:rPr>
        <w:t xml:space="preserve"> | rel. Gilmar Mendes</w:t>
      </w:r>
    </w:p>
    <w:p>
      <w:pPr>
        <w:ind w:left="288"/>
      </w:pPr>
      <w:r>
        <w:rPr>
          <w:color w:val="1E1E1E"/>
          <w:sz w:val="18"/>
        </w:rPr>
        <w:t>= ARE 773.765 RG, rel. min. Gilmar Mendes, j. 3-4-2014, P, DJE de 28-4-2014, Tema 713 Plano de previdência complementar. Cláusula que exige o mesmo tempo de contribuição para homens e mulheres para recebimento do benefício integral. Constitucionalidade, em face do artigo 5º, inciso I da Constituição Federal.</w:t>
      </w:r>
    </w:p>
    <w:p>
      <w:pPr>
        <w:ind w:left="288"/>
      </w:pPr>
      <w:r>
        <w:rPr>
          <w:b/>
          <w:color w:val="003CA0"/>
          <w:sz w:val="16"/>
        </w:rPr>
        <w:t>[RE 1.415.115 RG, rel. min. Alexandre de Moraes, j. 6-2-2026, P, DJE de 2-3-2026, Tema 1.423, com mérito pendente.]</w:t>
      </w:r>
    </w:p>
    <w:p>
      <w:pPr>
        <w:ind w:left="144"/>
      </w:pPr>
      <w:r>
        <w:rPr>
          <w:b/>
          <w:color w:val="B45A00"/>
          <w:sz w:val="16"/>
        </w:rPr>
        <w:t>REPERCUSSAO GERAL</w:t>
      </w:r>
    </w:p>
    <w:p>
      <w:pPr>
        <w:ind w:left="288"/>
      </w:pPr>
      <w:r>
        <w:rPr>
          <w:color w:val="8C8C8C"/>
          <w:sz w:val="12"/>
        </w:rPr>
        <w:t>cf-art-5-inc-I</w:t>
      </w:r>
      <w:r>
        <w:rPr>
          <w:color w:val="003CA0"/>
          <w:sz w:val="12"/>
        </w:rPr>
        <w:t xml:space="preserve"> | RE 1.348.854</w:t>
      </w:r>
      <w:r>
        <w:rPr>
          <w:color w:val="003CA0"/>
          <w:sz w:val="12"/>
        </w:rPr>
        <w:t xml:space="preserve"> | rel. Alexandre de Moraes</w:t>
      </w:r>
    </w:p>
    <w:p>
      <w:pPr>
        <w:ind w:left="288"/>
      </w:pPr>
      <w:r>
        <w:rPr>
          <w:color w:val="1E1E1E"/>
          <w:sz w:val="18"/>
        </w:rPr>
        <w:t>À luz do art. 227 da CF que confere proteção integral da criança com absoluta prioridade, bem como do princípio da isonomia de direitos entre o homem e a mulher (art. 5º, I, CF), a licença maternidade, prevista no art. 7º, XVIII, da CF/88, e regulamentada pelo art. 207 da Lei 8.112/1990, estende-se ao pai, genitor monoparental, servidor público.</w:t>
        <w:br/>
        <w:t>[RE 1.348.854, rel. min. Alexandre de Moraes, j. 12-5-2022, P, DJE de 24-10-2022, Tema 1.182, com mérito julgado]</w:t>
        <w:br/>
        <w:t xml:space="preserve">Vide ADI 7.531, rel. min. Nunes Marques, j. 16-12-2024, P, DJE de 10-2-2025 O art. 384 da CLT, em relação ao período anterior à edição da </w:t>
      </w:r>
    </w:p>
    <w:p>
      <w:pPr>
        <w:ind w:left="144"/>
      </w:pPr>
      <w:r>
        <w:rPr>
          <w:b/>
          <w:color w:val="B45A00"/>
          <w:sz w:val="16"/>
        </w:rPr>
        <w:t>JULGADOS CORRELATOS</w:t>
      </w:r>
    </w:p>
    <w:p>
      <w:pPr>
        <w:ind w:left="288"/>
      </w:pPr>
      <w:r>
        <w:rPr>
          <w:color w:val="8C8C8C"/>
          <w:sz w:val="12"/>
        </w:rPr>
        <w:t>cf-art-5-inc-I</w:t>
      </w:r>
      <w:r>
        <w:rPr>
          <w:color w:val="003CA0"/>
          <w:sz w:val="12"/>
        </w:rPr>
        <w:t xml:space="preserve"> | RE 1.488.511</w:t>
      </w:r>
      <w:r>
        <w:rPr>
          <w:color w:val="003CA0"/>
          <w:sz w:val="12"/>
        </w:rPr>
        <w:t xml:space="preserve"> | rel. Flávio Dino</w:t>
      </w:r>
    </w:p>
    <w:p>
      <w:pPr>
        <w:ind w:left="288"/>
      </w:pPr>
      <w:r>
        <w:rPr>
          <w:color w:val="1E1E1E"/>
          <w:sz w:val="18"/>
        </w:rPr>
        <w:t>O princípio da isonomia material, conforme a tese do Tema 452, impõe que a aplicação das normas regulamentares dos planos de previdência complementar considere a correção de desigualdades estruturais, não sendo suficiente a mera igualdade formal se o efeito prático for a concessão de benefício inferior às mulheres em razão de seu menor tempo de contribuição. A previsão de cláusula contratual que desconsidera o tempo de contribuição reduzido constitucionalmente conferido às mulheres, resultando em benefício previdenciário inferior, configura violação direta à ratio decidendi do Tema 452.</w:t>
        <w:br/>
        <w:t>[RE 1.</w:t>
      </w:r>
    </w:p>
    <w:p>
      <w:pPr>
        <w:ind w:left="288"/>
      </w:pPr>
      <w:r>
        <w:rPr>
          <w:color w:val="8C8C8C"/>
          <w:sz w:val="12"/>
        </w:rPr>
        <w:t>cf-art-5-inc-II</w:t>
      </w:r>
    </w:p>
    <w:p>
      <w:pPr>
        <w:ind w:left="288"/>
      </w:pPr>
      <w:r>
        <w:rPr>
          <w:color w:val="1E1E1E"/>
          <w:sz w:val="18"/>
        </w:rPr>
        <w:t>A lei penal mais grave aplica-se ao crime continuado ou ao crime permanente, se a sua vigência é anterior à cessação da continuidade ou da permanência.</w:t>
      </w:r>
    </w:p>
    <w:p>
      <w:pPr>
        <w:ind w:left="288"/>
      </w:pPr>
      <w:r>
        <w:rPr>
          <w:b/>
          <w:color w:val="003CA0"/>
          <w:sz w:val="16"/>
        </w:rPr>
        <w:t>[Súmula 711.]</w:t>
      </w:r>
    </w:p>
    <w:p>
      <w:pPr>
        <w:ind w:left="288"/>
      </w:pPr>
      <w:r>
        <w:rPr>
          <w:color w:val="8C8C8C"/>
          <w:sz w:val="12"/>
        </w:rPr>
        <w:t>cf-art-5-inc-II</w:t>
      </w:r>
    </w:p>
    <w:p>
      <w:pPr>
        <w:ind w:left="288"/>
      </w:pPr>
      <w:r>
        <w:rPr>
          <w:color w:val="1E1E1E"/>
          <w:sz w:val="18"/>
        </w:rPr>
        <w:t>Só por lei se pode sujeitar a exame psicotécnico a habilitação de candidato a cargo público.</w:t>
      </w:r>
    </w:p>
    <w:p>
      <w:pPr>
        <w:ind w:left="288"/>
      </w:pPr>
      <w:r>
        <w:rPr>
          <w:b/>
          <w:color w:val="003CA0"/>
          <w:sz w:val="16"/>
        </w:rPr>
        <w:t>[Súmula 686.]</w:t>
      </w:r>
    </w:p>
    <w:p>
      <w:pPr>
        <w:ind w:left="288"/>
      </w:pPr>
      <w:r>
        <w:rPr>
          <w:color w:val="8C8C8C"/>
          <w:sz w:val="12"/>
        </w:rPr>
        <w:t>cf-art-5-inc-II</w:t>
      </w:r>
    </w:p>
    <w:p>
      <w:pPr>
        <w:ind w:left="288"/>
      </w:pPr>
      <w:r>
        <w:rPr>
          <w:color w:val="1E1E1E"/>
          <w:sz w:val="18"/>
        </w:rPr>
        <w:t>Não cabe recurso extraordinário por contrariedade ao princípio constitucional da legalidade, quando a sua verificação pressuponha rever a interpretação dada a normas infraconstitucionais pela decisão recorrida.</w:t>
      </w:r>
    </w:p>
    <w:p>
      <w:pPr>
        <w:ind w:left="288"/>
      </w:pPr>
      <w:r>
        <w:rPr>
          <w:b/>
          <w:color w:val="003CA0"/>
          <w:sz w:val="16"/>
        </w:rPr>
        <w:t>[Súmula 636.]</w:t>
      </w:r>
    </w:p>
    <w:p>
      <w:pPr>
        <w:ind w:left="288"/>
      </w:pPr>
      <w:r>
        <w:rPr>
          <w:color w:val="8C8C8C"/>
          <w:sz w:val="12"/>
        </w:rPr>
        <w:t>cf-art-5-inc-II</w:t>
      </w:r>
      <w:r>
        <w:rPr>
          <w:color w:val="003CA0"/>
          <w:sz w:val="12"/>
        </w:rPr>
        <w:t xml:space="preserve"> | ADPF 1.058</w:t>
      </w:r>
      <w:r>
        <w:rPr>
          <w:color w:val="003CA0"/>
          <w:sz w:val="12"/>
        </w:rPr>
        <w:t xml:space="preserve"> | rel. Gilmar Mendes</w:t>
      </w:r>
    </w:p>
    <w:p>
      <w:pPr>
        <w:ind w:left="288"/>
      </w:pPr>
      <w:r>
        <w:rPr>
          <w:color w:val="1E1E1E"/>
          <w:sz w:val="18"/>
        </w:rPr>
        <w:t xml:space="preserve">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(CLT/1943, art. 4º, § 2º). (...) É inconstitucional — por violar os princípios da legalidade, da livre iniciativa e da intervenção mínima </w:t>
      </w:r>
    </w:p>
    <w:p>
      <w:pPr>
        <w:ind w:left="288"/>
      </w:pPr>
      <w:r>
        <w:rPr>
          <w:b/>
          <w:color w:val="003CA0"/>
          <w:sz w:val="16"/>
        </w:rPr>
        <w:t>[ADPF 1.058 MC-Ref, rel. min. Gilmar Mendes, j. 13-11-2025, P, Informativo STF 1.199.]</w:t>
      </w:r>
    </w:p>
    <w:p>
      <w:pPr>
        <w:ind w:left="288"/>
      </w:pPr>
      <w:r>
        <w:rPr>
          <w:color w:val="8C8C8C"/>
          <w:sz w:val="12"/>
        </w:rPr>
        <w:t>cf-art-5-inc-II</w:t>
      </w:r>
      <w:r>
        <w:rPr>
          <w:color w:val="003CA0"/>
          <w:sz w:val="12"/>
        </w:rPr>
        <w:t xml:space="preserve"> | RE 1.393.330</w:t>
      </w:r>
      <w:r>
        <w:rPr>
          <w:color w:val="003CA0"/>
          <w:sz w:val="12"/>
        </w:rPr>
        <w:t xml:space="preserve"> | rel. André Mendonça</w:t>
      </w:r>
    </w:p>
    <w:p>
      <w:pPr>
        <w:ind w:left="288"/>
      </w:pPr>
      <w:r>
        <w:rPr>
          <w:color w:val="1E1E1E"/>
          <w:sz w:val="18"/>
        </w:rPr>
        <w:t xml:space="preserve">O STF declarou a inconstitucionalidade da incorporação de quintos referente ao período entre a edição da Lei nº 9.624, de 1998, e a MP nº 2.225-48/2001, com base na ausência de norma legal que a amparasse. A modulação dos efeitos da decisão no Tema RG nº 395 visou assegurar a manutenção do pagamento da parcela exclusivamente aos servidores que, na data do julgamento dos segundos embargos de declaração (18/12/2019), já a percebiam, seja por decisão administrativa ou judicial ainda não transitada em julgado, em respeito ao princípio da segurança jurídica e à boa-fé. A interpretação da modulação </w:t>
      </w:r>
    </w:p>
    <w:p>
      <w:pPr>
        <w:ind w:left="288"/>
      </w:pPr>
      <w:r>
        <w:rPr>
          <w:b/>
          <w:color w:val="003CA0"/>
          <w:sz w:val="16"/>
        </w:rPr>
        <w:t>[RE 1.393.330 AgR, rel. min. André Mendonça, j. 20.05.2025, 2ºT, DJE de 14.08.2025.]</w:t>
      </w:r>
    </w:p>
    <w:p>
      <w:pPr>
        <w:ind w:left="288"/>
      </w:pPr>
      <w:r>
        <w:rPr>
          <w:color w:val="8C8C8C"/>
          <w:sz w:val="12"/>
        </w:rPr>
        <w:t>cf-art-5-inc-II</w:t>
      </w:r>
      <w:r>
        <w:rPr>
          <w:color w:val="003CA0"/>
          <w:sz w:val="12"/>
        </w:rPr>
        <w:t xml:space="preserve"> | ADI 2.998</w:t>
      </w:r>
    </w:p>
    <w:p>
      <w:pPr>
        <w:ind w:left="288"/>
      </w:pPr>
      <w:r>
        <w:rPr>
          <w:color w:val="1E1E1E"/>
          <w:sz w:val="18"/>
        </w:rPr>
        <w:t>(...) Código de Trânsito Brasileiro – CTB. (...) É inconstitucional o estabelecimento de sanção por parte do Conselho Nacional de Trânsito – CONTRAN. Ação julgada procedente quanto ao parágrafo único do art. 161. A expressão ‘ou das resoluções do CONTRAN’ constante do caput do art. 161 contraria o princípio da reserva legal.</w:t>
      </w:r>
    </w:p>
    <w:p>
      <w:pPr>
        <w:ind w:left="288"/>
      </w:pPr>
      <w:r>
        <w:rPr>
          <w:b/>
          <w:color w:val="003CA0"/>
          <w:sz w:val="16"/>
        </w:rPr>
        <w:t>[ADI 2.998, red. do ac. min. Ricardo Lewandowski, j. 10-4-2019, P, DJE de 1º-10-2020.]</w:t>
      </w:r>
    </w:p>
    <w:p>
      <w:pPr>
        <w:ind w:left="288"/>
      </w:pPr>
      <w:r>
        <w:rPr>
          <w:color w:val="8C8C8C"/>
          <w:sz w:val="12"/>
        </w:rPr>
        <w:t>cf-art-5-inc-II</w:t>
      </w:r>
      <w:r>
        <w:rPr>
          <w:color w:val="003CA0"/>
          <w:sz w:val="12"/>
        </w:rPr>
        <w:t xml:space="preserve"> | ADI 3.510</w:t>
      </w:r>
      <w:r>
        <w:rPr>
          <w:color w:val="003CA0"/>
          <w:sz w:val="12"/>
        </w:rPr>
        <w:t xml:space="preserve"> | rel. Ayres Britto</w:t>
      </w:r>
    </w:p>
    <w:p>
      <w:pPr>
        <w:ind w:left="288"/>
      </w:pPr>
      <w:r>
        <w:rPr>
          <w:color w:val="1E1E1E"/>
          <w:sz w:val="18"/>
        </w:rPr>
        <w:t>O recurso a processos de fertilização artificial não implica o dever da tentativa de nidação no corpo da mulher de todos os óvulos afinal fecundados. Não existe tal dever (inciso II do art. 5º da CF), porque incompatível com o próprio instituto do "planejamento familiar" (...). Imposição, além do mais, que implicaria tratar o gênero feminino por modo desumano ou degradante, em contrapasso ao direito fundamental que se lê no inciso II do art. 5º da Constituição. Para que ao embrião in vitro fosse reconhecido o pleno direito à vida, necessário seria reconhecer a ele o direito a um útero. Proposi</w:t>
      </w:r>
    </w:p>
    <w:p>
      <w:pPr>
        <w:ind w:left="288"/>
      </w:pPr>
      <w:r>
        <w:rPr>
          <w:b/>
          <w:color w:val="003CA0"/>
          <w:sz w:val="16"/>
        </w:rPr>
        <w:t>[ADI 3.510, rel. min. Ayres Britto, j. 29-5-2008, P, DJE de 28-5-2010.]</w:t>
      </w:r>
    </w:p>
    <w:p>
      <w:pPr>
        <w:ind w:left="288"/>
      </w:pPr>
      <w:r>
        <w:rPr>
          <w:color w:val="8C8C8C"/>
          <w:sz w:val="12"/>
        </w:rPr>
        <w:t>cf-art-5-inc-II</w:t>
      </w:r>
      <w:r>
        <w:rPr>
          <w:color w:val="003CA0"/>
          <w:sz w:val="12"/>
        </w:rPr>
        <w:t xml:space="preserve"> | ADI 3.378</w:t>
      </w:r>
      <w:r>
        <w:rPr>
          <w:color w:val="003CA0"/>
          <w:sz w:val="12"/>
        </w:rPr>
        <w:t xml:space="preserve"> | rel. Ayres Britto</w:t>
      </w:r>
    </w:p>
    <w:p>
      <w:pPr>
        <w:ind w:left="288"/>
      </w:pPr>
      <w:r>
        <w:rPr>
          <w:color w:val="1E1E1E"/>
          <w:sz w:val="18"/>
        </w:rPr>
        <w:t>O compartilhamento-compensação ambiental de que trata o art. 36 da Lei 9.985/2000 não ofende o princípio da legalidade, dado haver sido a própria lei que previu o modo de financiamento dos gastos com as unidades de conservação da natureza.</w:t>
      </w:r>
    </w:p>
    <w:p>
      <w:pPr>
        <w:ind w:left="288"/>
      </w:pPr>
      <w:r>
        <w:rPr>
          <w:b/>
          <w:color w:val="003CA0"/>
          <w:sz w:val="16"/>
        </w:rPr>
        <w:t>[ADI 3.378, rel. min. Ayres Britto, j. 9-4-2008, P, DJE de 20-6-2008.]</w:t>
      </w:r>
    </w:p>
    <w:p>
      <w:pPr>
        <w:ind w:left="288"/>
      </w:pPr>
      <w:r>
        <w:rPr>
          <w:color w:val="8C8C8C"/>
          <w:sz w:val="12"/>
        </w:rPr>
        <w:t>cf-art-5-inc-II</w:t>
      </w:r>
      <w:r>
        <w:rPr>
          <w:color w:val="003CA0"/>
          <w:sz w:val="12"/>
        </w:rPr>
        <w:t xml:space="preserve"> | ADI 2.075</w:t>
      </w:r>
      <w:r>
        <w:rPr>
          <w:color w:val="003CA0"/>
          <w:sz w:val="12"/>
        </w:rPr>
        <w:t xml:space="preserve"> | rel. Celso de Mello</w:t>
      </w:r>
    </w:p>
    <w:p>
      <w:pPr>
        <w:ind w:left="288"/>
      </w:pPr>
      <w:r>
        <w:rPr>
          <w:color w:val="1E1E1E"/>
          <w:sz w:val="18"/>
        </w:rPr>
        <w:t>O princípio constitucional da reserva de lei formal traduz limitação ao exercício das atividades administrativas e jurisdicionais do Estado. A reserva de lei – analisada sob tal perspectiva – constitui postulado revestido de função excludente, de caráter negativo, pois veda, nas matérias a ela sujeitas, quaisquer intervenções normativas, a título primário, de órgãos estatais não legislativos. Essa cláusula constitucional, por sua vez, projeta-se em uma dimensão positiva, eis que a sua incidência reforça o princípio, que, fundado na autoridade da Constituição, impõe à administração e à jurisdiç</w:t>
      </w:r>
    </w:p>
    <w:p>
      <w:pPr>
        <w:ind w:left="288"/>
      </w:pPr>
      <w:r>
        <w:rPr>
          <w:b/>
          <w:color w:val="003CA0"/>
          <w:sz w:val="16"/>
        </w:rPr>
        <w:t>[ADI 2.075 MC, rel. min. Celso de Mello, j. 7-2-2001, P, DJ de 27-6-2003.]</w:t>
      </w:r>
    </w:p>
    <w:p>
      <w:pPr>
        <w:ind w:left="288"/>
      </w:pPr>
      <w:r>
        <w:rPr>
          <w:color w:val="8C8C8C"/>
          <w:sz w:val="12"/>
        </w:rPr>
        <w:t>cf-art-5-inc-II</w:t>
      </w:r>
      <w:r>
        <w:rPr>
          <w:color w:val="003CA0"/>
          <w:sz w:val="12"/>
        </w:rPr>
        <w:t xml:space="preserve"> | ARE 1.423.084</w:t>
      </w:r>
      <w:r>
        <w:rPr>
          <w:color w:val="003CA0"/>
          <w:sz w:val="12"/>
        </w:rPr>
        <w:t xml:space="preserve"> | rel. Rosa Weber</w:t>
      </w:r>
    </w:p>
    <w:p>
      <w:pPr>
        <w:ind w:left="288"/>
      </w:pPr>
      <w:r>
        <w:rPr>
          <w:color w:val="1E1E1E"/>
          <w:sz w:val="18"/>
        </w:rPr>
        <w:t>“Assentada a constitucionalidade das Resoluções ANTT 233/2003 e 3.075/2009, é infraconstitucional, a ela aplicando-se os efeitos da ausência de repercussão geral, a controvérsia acerca da validade de execução fiscal de créditos relativos a multa por infração administrativa nelas previstas.”</w:t>
      </w:r>
    </w:p>
    <w:p>
      <w:pPr>
        <w:ind w:left="288"/>
      </w:pPr>
      <w:r>
        <w:rPr>
          <w:b/>
          <w:color w:val="003CA0"/>
          <w:sz w:val="16"/>
        </w:rPr>
        <w:t>[ARE 1.423.084 RG, rel. min. Rosa Weber, j. 21.08.2023, P, DJE de 28.08.2023, Tema 1.263, com repercussão geral negada.]</w:t>
      </w:r>
    </w:p>
    <w:p>
      <w:pPr>
        <w:ind w:left="288"/>
      </w:pPr>
      <w:r>
        <w:rPr>
          <w:color w:val="8C8C8C"/>
          <w:sz w:val="12"/>
        </w:rPr>
        <w:t>cf-art-5-inc-II</w:t>
      </w:r>
      <w:r>
        <w:rPr>
          <w:color w:val="003CA0"/>
          <w:sz w:val="12"/>
        </w:rPr>
        <w:t xml:space="preserve"> | MS 37.325</w:t>
      </w:r>
      <w:r>
        <w:rPr>
          <w:color w:val="003CA0"/>
          <w:sz w:val="12"/>
        </w:rPr>
        <w:t xml:space="preserve"> | rel. Rosa Weber</w:t>
      </w:r>
    </w:p>
    <w:p>
      <w:pPr>
        <w:ind w:left="288"/>
      </w:pPr>
      <w:r>
        <w:rPr>
          <w:color w:val="1E1E1E"/>
          <w:sz w:val="18"/>
        </w:rPr>
        <w:t>O áudio que amparou a aplicação da penalidade disciplinar foi espontaneamente divulgado pela agravante em grupo de Promotores de Justiça no aplicativo de troca de mensagens WhatsApp. Tanto assim, aliás, que a agravante não coloca em dúvida a autenticidade e a autoria do arquivo de áudio em tela, limitando-se a questionar a idoneidade do método utilizado para sua obtenção. Não prospera o argumento de que a reprodução do áudio fora do grupo de Promotores de Justiça seria inválida e importaria em indevida vulneração dos sigilos telefônico e telemático. A divulgação de mensagem em grupo do aplicat</w:t>
      </w:r>
    </w:p>
    <w:p>
      <w:pPr>
        <w:ind w:left="288"/>
      </w:pPr>
      <w:r>
        <w:rPr>
          <w:b/>
          <w:color w:val="003CA0"/>
          <w:sz w:val="16"/>
        </w:rPr>
        <w:t>[MS 37.325 AgR, rel. min. Rosa Weber, j. 30-8-2021, 1ª T, DJE de 20-9-2021.]</w:t>
      </w:r>
    </w:p>
    <w:p>
      <w:pPr>
        <w:ind w:left="288"/>
      </w:pPr>
      <w:r>
        <w:rPr>
          <w:color w:val="8C8C8C"/>
          <w:sz w:val="12"/>
        </w:rPr>
        <w:t>cf-art-5-inc-II</w:t>
      </w:r>
      <w:r>
        <w:rPr>
          <w:color w:val="003CA0"/>
          <w:sz w:val="12"/>
        </w:rPr>
        <w:t xml:space="preserve"> | RE 638.115</w:t>
      </w:r>
      <w:r>
        <w:rPr>
          <w:color w:val="003CA0"/>
          <w:sz w:val="12"/>
        </w:rPr>
        <w:t xml:space="preserve"> | rel. Gilmar Mendes</w:t>
      </w:r>
    </w:p>
    <w:p>
      <w:pPr>
        <w:ind w:left="288"/>
      </w:pPr>
      <w:r>
        <w:rPr>
          <w:color w:val="1E1E1E"/>
          <w:sz w:val="18"/>
        </w:rPr>
        <w:t>(...) ofende o princípio da legalidade a decisão que concede a incorporação de quintos pelo exercício de função comissionada no período entre 8-4-1998 e 4-9-2001, ante a carência de fundamento legal.</w:t>
      </w:r>
    </w:p>
    <w:p>
      <w:pPr>
        <w:ind w:left="288"/>
      </w:pPr>
      <w:r>
        <w:rPr>
          <w:b/>
          <w:color w:val="003CA0"/>
          <w:sz w:val="16"/>
        </w:rPr>
        <w:t>[RE 638.115, rel. min. Gilmar Mendes, j. 19-3-2015, P, DJE de 3-8-2015, Tema 395, com mérito julgado.]</w:t>
      </w:r>
    </w:p>
    <w:p>
      <w:pPr>
        <w:ind w:left="288"/>
      </w:pPr>
      <w:r>
        <w:rPr>
          <w:color w:val="8C8C8C"/>
          <w:sz w:val="12"/>
        </w:rPr>
        <w:t>cf-art-5-inc-II</w:t>
      </w:r>
      <w:r>
        <w:rPr>
          <w:color w:val="003CA0"/>
          <w:sz w:val="12"/>
        </w:rPr>
        <w:t xml:space="preserve"> | RE 1.498.930</w:t>
      </w:r>
      <w:r>
        <w:rPr>
          <w:color w:val="003CA0"/>
          <w:sz w:val="12"/>
        </w:rPr>
        <w:t xml:space="preserve"> | rel. André Mendonça</w:t>
      </w:r>
    </w:p>
    <w:p>
      <w:pPr>
        <w:ind w:left="288"/>
      </w:pPr>
      <w:r>
        <w:rPr>
          <w:color w:val="1E1E1E"/>
          <w:sz w:val="18"/>
        </w:rPr>
        <w:t>Vide RE 1.498.930 AgR, rel. min. André Mendonça, j. 07.10.2024, 2ª T, DJE de 23.10.2024 Direito do trabalho. Ação civil pública. Shopping center. Obrigação de fazer do art. 389, §§ 1º e 2º, da CLT. Instalação de creches destinadas à amamentação dos filhos de empregadas de lojas. Ausência de previsão legal. Atuação do Poder Judiciário como legislador positivo. Impossibilidade. Ofensa à separação de poderes e ao princípio da legalidade.</w:t>
      </w:r>
    </w:p>
    <w:p>
      <w:pPr>
        <w:ind w:left="288"/>
      </w:pPr>
      <w:r>
        <w:rPr>
          <w:b/>
          <w:color w:val="003CA0"/>
          <w:sz w:val="16"/>
        </w:rPr>
        <w:t>[ARE 1.499.584 AgR, rel. min. Dias Toffoli, j. 25.2.2025, 2ª T, DJE de 15.09.2025.]</w:t>
      </w:r>
    </w:p>
    <w:p>
      <w:pPr>
        <w:ind w:left="288"/>
      </w:pPr>
      <w:r>
        <w:rPr>
          <w:color w:val="8C8C8C"/>
          <w:sz w:val="12"/>
        </w:rPr>
        <w:t>cf-art-5-inc-II</w:t>
      </w:r>
      <w:r>
        <w:rPr>
          <w:color w:val="003CA0"/>
          <w:sz w:val="12"/>
        </w:rPr>
        <w:t xml:space="preserve"> | RE 1.111.950</w:t>
      </w:r>
      <w:r>
        <w:rPr>
          <w:color w:val="003CA0"/>
          <w:sz w:val="12"/>
        </w:rPr>
        <w:t xml:space="preserve"> | rel. Gilmar Mendes</w:t>
      </w:r>
    </w:p>
    <w:p>
      <w:pPr>
        <w:ind w:left="288"/>
      </w:pPr>
      <w:r>
        <w:rPr>
          <w:color w:val="1E1E1E"/>
          <w:sz w:val="18"/>
        </w:rPr>
        <w:t>Banco Postal. Obrigatoriedade de adoção de medidas de segurança. Inexistência de norma que imponha tais obrigações aos correspondentes bancários. Afronta ao princípio da legalidade. Arts. 5º, II, e 37 do texto constitucional.</w:t>
      </w:r>
    </w:p>
    <w:p>
      <w:pPr>
        <w:ind w:left="288"/>
      </w:pPr>
      <w:r>
        <w:rPr>
          <w:b/>
          <w:color w:val="003CA0"/>
          <w:sz w:val="16"/>
        </w:rPr>
        <w:t>[RE 1.111.950 AgR-segundo, rel. min. Gilmar Mendes, j. 30-8-2021, 2ª T, DJE de 8-9-2021.]</w:t>
      </w:r>
    </w:p>
    <w:p>
      <w:pPr>
        <w:ind w:left="288"/>
      </w:pPr>
      <w:r>
        <w:rPr>
          <w:color w:val="8C8C8C"/>
          <w:sz w:val="12"/>
        </w:rPr>
        <w:t>cf-art-5-inc-II</w:t>
      </w:r>
      <w:r>
        <w:rPr>
          <w:color w:val="003CA0"/>
          <w:sz w:val="12"/>
        </w:rPr>
        <w:t xml:space="preserve"> | ARE 1.039.542</w:t>
      </w:r>
      <w:r>
        <w:rPr>
          <w:color w:val="003CA0"/>
          <w:sz w:val="12"/>
        </w:rPr>
        <w:t xml:space="preserve"> | rel. Roberto Barroso</w:t>
      </w:r>
    </w:p>
    <w:p>
      <w:pPr>
        <w:ind w:left="288"/>
      </w:pPr>
      <w:r>
        <w:rPr>
          <w:color w:val="1E1E1E"/>
          <w:sz w:val="18"/>
        </w:rPr>
        <w:t>ANP – Agência Nacional do Petróleo. Possibilidade de aplicação de multa. Recepção de decreto como lei ordinária pela Constituição de 1988. Ofensa ao princípio da legalidade. Inocorrência. A jurisprudência do Supremo Tribunal Federal é firme no sentido de que o Decreto-Lei nº 395/1938 foi recepcionado como lei ordinária pela ordem constitucional vigente, de modo que a ANP (Agência Nacional do Petróleo) e o DNC (Departamento Nacional de Combustíveis) podem autuar e aplicar multa.</w:t>
      </w:r>
    </w:p>
    <w:p>
      <w:pPr>
        <w:ind w:left="288"/>
      </w:pPr>
      <w:r>
        <w:rPr>
          <w:b/>
          <w:color w:val="003CA0"/>
          <w:sz w:val="16"/>
        </w:rPr>
        <w:t>[ARE 1.039.542 AgR-segundo, rel. min. Roberto Barroso, j. 26-10-2018, 1ª T, DJE de 8-11-2018.]</w:t>
      </w:r>
    </w:p>
    <w:p>
      <w:pPr>
        <w:ind w:left="288"/>
      </w:pPr>
      <w:r>
        <w:rPr>
          <w:color w:val="8C8C8C"/>
          <w:sz w:val="12"/>
        </w:rPr>
        <w:t>cf-art-5-inc-II</w:t>
      </w:r>
      <w:r>
        <w:rPr>
          <w:color w:val="003CA0"/>
          <w:sz w:val="12"/>
        </w:rPr>
        <w:t xml:space="preserve"> | ARE 1.046.163</w:t>
      </w:r>
      <w:r>
        <w:rPr>
          <w:color w:val="003CA0"/>
          <w:sz w:val="12"/>
        </w:rPr>
        <w:t xml:space="preserve"> | rel. Dias Toffoli</w:t>
      </w:r>
    </w:p>
    <w:p>
      <w:pPr>
        <w:ind w:left="288"/>
      </w:pPr>
      <w:r>
        <w:rPr>
          <w:color w:val="1E1E1E"/>
          <w:sz w:val="18"/>
        </w:rPr>
        <w:t>= ARE 1.046.163 AgR, rel. min. Dias Toffoli, j. 8-8-2017, 2ª T, DJE de 29-8-2017 Por não se confundir a associação de moradores com o condomínio disciplinado pela Lei 4.591/1964, descabe, a pretexto de evitar vantagem sem causa, impor mensalidade a morador ou a proprietário de imóvel que a ela não tenha aderido. Considerações sobre o princípio da legalidade e da autonomia da manifestação de vontade – art. 5º, II e XX, da CF.</w:t>
      </w:r>
    </w:p>
    <w:p>
      <w:pPr>
        <w:ind w:left="288"/>
      </w:pPr>
      <w:r>
        <w:rPr>
          <w:b/>
          <w:color w:val="003CA0"/>
          <w:sz w:val="16"/>
        </w:rPr>
        <w:t>[RE 432.106, rel. min. Marco Aurélio, j. 20-9-2011, 1ª T, DJE de 4-11-2011.]</w:t>
      </w:r>
    </w:p>
    <w:p>
      <w:pPr>
        <w:ind w:left="288"/>
      </w:pPr>
      <w:r>
        <w:rPr>
          <w:color w:val="8C8C8C"/>
          <w:sz w:val="12"/>
        </w:rPr>
        <w:t>cf-art-5-inc-II</w:t>
      </w:r>
      <w:r>
        <w:rPr>
          <w:color w:val="003CA0"/>
          <w:sz w:val="12"/>
        </w:rPr>
        <w:t xml:space="preserve"> | AI 758.533</w:t>
      </w:r>
      <w:r>
        <w:rPr>
          <w:color w:val="003CA0"/>
          <w:sz w:val="12"/>
        </w:rPr>
        <w:t xml:space="preserve"> | rel. Gilmar Mendes</w:t>
      </w:r>
    </w:p>
    <w:p>
      <w:pPr>
        <w:ind w:left="288"/>
      </w:pPr>
      <w:r>
        <w:rPr>
          <w:color w:val="1E1E1E"/>
          <w:sz w:val="18"/>
        </w:rPr>
        <w:t>Antiga é a jurisprudência desta Corte no sentido de que a exigência de avaliação psicológica ou teste psicotécnico, como requisito ou condição necessária ao acesso a determinados cargos públicos de carreira, somente é possível, nos termos da CF, se houver lei em sentido material (ato emanado do Poder Legislativo) que expressamente a autorize, além de previsão no edital do certame. Ademais, o exame psicotécnico necessita de um grau mínimo de objetividade e de publicidade dos atos em que se procede. A inexistência desses requisitos torna o ato ilegítimo, por não possibilitar o acesso à tutela ju</w:t>
      </w:r>
    </w:p>
    <w:p>
      <w:pPr>
        <w:ind w:left="288"/>
      </w:pPr>
      <w:r>
        <w:rPr>
          <w:b/>
          <w:color w:val="003CA0"/>
          <w:sz w:val="16"/>
        </w:rPr>
        <w:t>[AI 758.533 QO-RG, rel. min. Gilmar Mendes, j. 23-6-2010, P, DJE de 13-8-2010, Tema 338, com mérito julgado.]</w:t>
      </w:r>
    </w:p>
    <w:p>
      <w:pPr>
        <w:ind w:left="288"/>
      </w:pPr>
      <w:r>
        <w:rPr>
          <w:color w:val="8C8C8C"/>
          <w:sz w:val="12"/>
        </w:rPr>
        <w:t>cf-art-5-inc-II</w:t>
      </w:r>
      <w:r>
        <w:rPr>
          <w:color w:val="003CA0"/>
          <w:sz w:val="12"/>
        </w:rPr>
        <w:t xml:space="preserve"> | RHC 85.605</w:t>
      </w:r>
      <w:r>
        <w:rPr>
          <w:color w:val="003CA0"/>
          <w:sz w:val="12"/>
        </w:rPr>
        <w:t xml:space="preserve"> | rel. Gilmar Mendes</w:t>
      </w:r>
    </w:p>
    <w:p>
      <w:pPr>
        <w:ind w:left="288"/>
      </w:pPr>
      <w:r>
        <w:rPr>
          <w:color w:val="1E1E1E"/>
          <w:sz w:val="18"/>
        </w:rPr>
        <w:t>Orientação predominante no STF no sentido de que o cometimento de falta grave, durante a execução da pena privativa de liberdade, implica, por exemplo, a necessidade de reinício da contagem do prazo de 1/6 para obtenção da progressão no regime de cumprimento da pena (RHC 85.605, rel. min. Gilmar Mendes, DJ de 14-10-2005). Em tese, se a pessoa que cumpre pena privativa de liberdade em regime menos severo, ao praticar falta grave, pode ser transferida para regime prisional mais gravoso (regressão prisional), logicamente é do sistema jurídico que a pessoa que cumpre a pena corporal em regime fech</w:t>
      </w:r>
    </w:p>
    <w:p>
      <w:pPr>
        <w:ind w:left="288"/>
      </w:pPr>
      <w:r>
        <w:rPr>
          <w:b/>
          <w:color w:val="003CA0"/>
          <w:sz w:val="16"/>
        </w:rPr>
        <w:t>[HC 95.401, rel. min. Ellen Gracie, j. 21-10-2008, 2ª T, DJE de 8-11-2008.]</w:t>
      </w:r>
    </w:p>
    <w:p>
      <w:pPr>
        <w:ind w:left="288"/>
      </w:pPr>
      <w:r>
        <w:rPr>
          <w:color w:val="8C8C8C"/>
          <w:sz w:val="12"/>
        </w:rPr>
        <w:t>cf-art-5-inc-II</w:t>
      </w:r>
      <w:r>
        <w:rPr>
          <w:color w:val="003CA0"/>
          <w:sz w:val="12"/>
        </w:rPr>
        <w:t xml:space="preserve"> | HC 96.060</w:t>
      </w:r>
      <w:r>
        <w:rPr>
          <w:color w:val="003CA0"/>
          <w:sz w:val="12"/>
        </w:rPr>
        <w:t xml:space="preserve"> | rel. Cármen Lúcia</w:t>
      </w:r>
    </w:p>
    <w:p>
      <w:pPr>
        <w:ind w:left="288"/>
      </w:pPr>
      <w:r>
        <w:rPr>
          <w:color w:val="1E1E1E"/>
          <w:sz w:val="18"/>
        </w:rPr>
        <w:t>= HC 96.060, rel. min. Cármen Lúcia, j. 19-5-2009, 1ª T, DJE de 19-6-2009 Especializar varas e atribuir competência por natureza de feitos não é matéria alcançada pela reserva da lei em sentido estrito, porém apenas pelo princípio da legalidade afirmado no art. 5º, II, da CF, ou seja, pela reserva da norma. No enunciado do preceito – "ninguém será obrigado a fazer ou deixar de fazer alguma coisa senão em virtude de lei" – há visível distinção entre as seguintes situações: (i) vinculação às definições da lei e (ii) vinculação às definições "decorrentes" – isto é, fixadas em virtude dela – de le</w:t>
      </w:r>
    </w:p>
    <w:p>
      <w:pPr>
        <w:ind w:left="288"/>
      </w:pPr>
      <w:r>
        <w:rPr>
          <w:b/>
          <w:color w:val="003CA0"/>
          <w:sz w:val="16"/>
        </w:rPr>
        <w:t>[HC 85.060, rel. min. Eros Grau, j. 23-9-2008, 1ª T, DJE de 13-2-2009.]</w:t>
      </w:r>
    </w:p>
    <w:p>
      <w:pPr>
        <w:ind w:left="288"/>
      </w:pPr>
      <w:r>
        <w:rPr>
          <w:color w:val="8C8C8C"/>
          <w:sz w:val="12"/>
        </w:rPr>
        <w:t>cf-art-5-inc-II</w:t>
      </w:r>
      <w:r>
        <w:rPr>
          <w:color w:val="003CA0"/>
          <w:sz w:val="12"/>
        </w:rPr>
        <w:t xml:space="preserve"> | AC 1.033</w:t>
      </w:r>
      <w:r>
        <w:rPr>
          <w:color w:val="003CA0"/>
          <w:sz w:val="12"/>
        </w:rPr>
        <w:t xml:space="preserve"> | rel. Celso de Mello</w:t>
      </w:r>
    </w:p>
    <w:p>
      <w:pPr>
        <w:ind w:left="288"/>
      </w:pPr>
      <w:r>
        <w:rPr>
          <w:color w:val="1E1E1E"/>
          <w:sz w:val="18"/>
        </w:rPr>
        <w:t>Nenhum ato regulamentar pode criar obrigações ou restringir direitos, sob pena de incidir em domínio constitucionalmente reservado ao âmbito de atuação material da lei em sentido formal.</w:t>
      </w:r>
    </w:p>
    <w:p>
      <w:pPr>
        <w:ind w:left="288"/>
      </w:pPr>
      <w:r>
        <w:rPr>
          <w:b/>
          <w:color w:val="003CA0"/>
          <w:sz w:val="16"/>
        </w:rPr>
        <w:t>[AC 1.033 AgR-QO, rel. min. Celso de Mello, j. 25-5-2006, P, DJ de 16-6-2006.]</w:t>
      </w:r>
    </w:p>
    <w:p>
      <w:pPr>
        <w:ind w:left="288"/>
      </w:pPr>
      <w:r>
        <w:rPr>
          <w:color w:val="8C8C8C"/>
          <w:sz w:val="12"/>
        </w:rPr>
        <w:t>cf-art-5-inc-II</w:t>
      </w:r>
      <w:r>
        <w:rPr>
          <w:color w:val="003CA0"/>
          <w:sz w:val="12"/>
        </w:rPr>
        <w:t xml:space="preserve"> | AI 147.203</w:t>
      </w:r>
      <w:r>
        <w:rPr>
          <w:color w:val="003CA0"/>
          <w:sz w:val="12"/>
        </w:rPr>
        <w:t xml:space="preserve"> | rel. Marco Aurélio</w:t>
      </w:r>
    </w:p>
    <w:p>
      <w:pPr>
        <w:ind w:left="288"/>
      </w:pPr>
      <w:r>
        <w:rPr>
          <w:color w:val="1E1E1E"/>
          <w:sz w:val="18"/>
        </w:rPr>
        <w:t>A inobservância ao princípio da legalidade pressupõe o reconhecimento de preceito de lei dispondo de determinada forma e provimento judicial em sentido diverso, ou, então, a inexistência de base legal e, mesmo assim, a condenação a satisfazer o que pleiteado.</w:t>
      </w:r>
    </w:p>
    <w:p>
      <w:pPr>
        <w:ind w:left="288"/>
      </w:pPr>
      <w:r>
        <w:rPr>
          <w:b/>
          <w:color w:val="003CA0"/>
          <w:sz w:val="16"/>
        </w:rPr>
        <w:t>[AI 147.203 AgR, rel. min. Marco Aurélio, j. 18-5-1993, 2ª T, DJ de 11-6-1993.]</w:t>
      </w:r>
    </w:p>
    <w:p>
      <w:pPr>
        <w:ind w:left="288"/>
      </w:pPr>
      <w:r>
        <w:rPr>
          <w:color w:val="8C8C8C"/>
          <w:sz w:val="12"/>
        </w:rPr>
        <w:t>cf-art-5-inc-III</w:t>
      </w:r>
    </w:p>
    <w:p>
      <w:pPr>
        <w:ind w:left="288"/>
      </w:pPr>
      <w:r>
        <w:rPr>
          <w:color w:val="1E1E1E"/>
          <w:sz w:val="18"/>
        </w:rP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88"/>
      </w:pPr>
      <w:r>
        <w:rPr>
          <w:b/>
          <w:color w:val="003CA0"/>
          <w:sz w:val="16"/>
        </w:rPr>
        <w:t>[Súmula Vinculante 11.]</w:t>
      </w:r>
    </w:p>
    <w:p>
      <w:pPr>
        <w:ind w:left="288"/>
      </w:pPr>
      <w:r>
        <w:rPr>
          <w:color w:val="8C8C8C"/>
          <w:sz w:val="12"/>
        </w:rPr>
        <w:t>cf-art-5-inc-III</w:t>
      </w:r>
      <w:r>
        <w:rPr>
          <w:color w:val="003CA0"/>
          <w:sz w:val="12"/>
        </w:rPr>
        <w:t xml:space="preserve"> | ADPF 607</w:t>
      </w:r>
      <w:r>
        <w:rPr>
          <w:color w:val="003CA0"/>
          <w:sz w:val="12"/>
        </w:rPr>
        <w:t xml:space="preserve"> | rel. Dias Toffoli</w:t>
      </w:r>
    </w:p>
    <w:p>
      <w:pPr>
        <w:ind w:left="288"/>
      </w:pPr>
      <w:r>
        <w:rPr>
          <w:color w:val="1E1E1E"/>
          <w:sz w:val="18"/>
        </w:rPr>
        <w:t>A vedação à tortura e a tratamentos desumanos ou degradantes decorre diretamente da Constituição de 1988, o que importa em uma obrigação imposta às autoridades dos três Poderes e de todas as esferas de governo para que cessem, façam cessar e punam tais expedientes. A realidade das instituições de privação de liberdade demonstra que o Brasil se encontra distante de cumprir esse mandamento constitucional. A criação do Mecanismo Nacional de Prevenção e Combate à Tortura (MNPCT) é resultado de compromissos internacionais assumidos pelo Brasil, cujo cumprimento demanda que o país não apenas instale</w:t>
      </w:r>
    </w:p>
    <w:p>
      <w:pPr>
        <w:ind w:left="288"/>
      </w:pPr>
      <w:r>
        <w:rPr>
          <w:b/>
          <w:color w:val="003CA0"/>
          <w:sz w:val="16"/>
        </w:rPr>
        <w:t>[ADPF 607, rel. min. Dias Toffoli, j. 28-3-2022, P, DJE de 1º-6-2022.]</w:t>
      </w:r>
    </w:p>
    <w:p>
      <w:pPr>
        <w:ind w:left="288"/>
      </w:pPr>
      <w:r>
        <w:rPr>
          <w:color w:val="8C8C8C"/>
          <w:sz w:val="12"/>
        </w:rPr>
        <w:t>cf-art-5-inc-III</w:t>
      </w:r>
      <w:r>
        <w:rPr>
          <w:color w:val="003CA0"/>
          <w:sz w:val="12"/>
        </w:rPr>
        <w:t xml:space="preserve"> | ADPF 153</w:t>
      </w:r>
      <w:r>
        <w:rPr>
          <w:color w:val="003CA0"/>
          <w:sz w:val="12"/>
        </w:rPr>
        <w:t xml:space="preserve"> | rel. Eros Grau</w:t>
      </w:r>
    </w:p>
    <w:p>
      <w:pPr>
        <w:ind w:left="288"/>
      </w:pPr>
      <w:r>
        <w:rPr>
          <w:color w:val="1E1E1E"/>
          <w:sz w:val="18"/>
        </w:rPr>
        <w:t>A chamada Lei da Anistia veicula uma decisão política assumida naquele momento – o momento da transição conciliada de 1979. A Lei 6.683 é uma lei-medida, não uma regra para o futuro, dotada de abstração e generalidade. Há de ser interpretada a partir da realidade no momento em que foi conquistada. A Lei 6.683/1979 precede a Convenção das Nações Unidas contra a tortura e outros tratamentos ou penas cruéis, desumanos ou degradantes – adotada pela Assembleia Geral em 10-12-1984, vigorando desde 26-6-1987 – e a Lei 9.455, de 7-4-1997, que define o crime de tortura; e o preceito veiculado pelo art.</w:t>
      </w:r>
    </w:p>
    <w:p>
      <w:pPr>
        <w:ind w:left="288"/>
      </w:pPr>
      <w:r>
        <w:rPr>
          <w:b/>
          <w:color w:val="003CA0"/>
          <w:sz w:val="16"/>
        </w:rPr>
        <w:t>[ADPF 153, rel. min. Eros Grau, j. 29-4-2010, P, DJE de 6-8-2010.]</w:t>
      </w:r>
    </w:p>
    <w:p>
      <w:pPr>
        <w:ind w:left="288"/>
      </w:pPr>
      <w:r>
        <w:rPr>
          <w:color w:val="8C8C8C"/>
          <w:sz w:val="12"/>
        </w:rPr>
        <w:t>cf-art-5-inc-III</w:t>
      </w:r>
      <w:r>
        <w:rPr>
          <w:color w:val="003CA0"/>
          <w:sz w:val="12"/>
        </w:rPr>
        <w:t xml:space="preserve"> | ARE 959.620</w:t>
      </w:r>
      <w:r>
        <w:rPr>
          <w:color w:val="003CA0"/>
          <w:sz w:val="12"/>
        </w:rPr>
        <w:t xml:space="preserve"> | rel. Edson Fachin</w:t>
      </w:r>
    </w:p>
    <w:p>
      <w:pPr>
        <w:ind w:left="288"/>
      </w:pPr>
      <w:r>
        <w:rPr>
          <w:color w:val="1E1E1E"/>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w:t>
      </w:r>
    </w:p>
    <w:p>
      <w:pPr>
        <w:ind w:left="288"/>
      </w:pPr>
      <w:r>
        <w:rPr>
          <w:b/>
          <w:color w:val="003CA0"/>
          <w:sz w:val="16"/>
        </w:rPr>
        <w:t>[ARE 959.620, rel. min. Edson Fachin, j. 02.04.2025, P, DJE de 02.07.2025, Tema 998, com mérito julgado.]</w:t>
      </w:r>
    </w:p>
    <w:p>
      <w:pPr>
        <w:ind w:left="288"/>
      </w:pPr>
      <w:r>
        <w:rPr>
          <w:color w:val="8C8C8C"/>
          <w:sz w:val="12"/>
        </w:rPr>
        <w:t>cf-art-5-inc-III</w:t>
      </w:r>
      <w:r>
        <w:rPr>
          <w:color w:val="003CA0"/>
          <w:sz w:val="12"/>
        </w:rPr>
        <w:t xml:space="preserve"> | RCL 9.468</w:t>
      </w:r>
      <w:r>
        <w:rPr>
          <w:color w:val="003CA0"/>
          <w:sz w:val="12"/>
        </w:rPr>
        <w:t xml:space="preserve"> | rel. Ricardo Lewandowski</w:t>
      </w:r>
    </w:p>
    <w:p>
      <w:pPr>
        <w:ind w:left="288"/>
      </w:pPr>
      <w:r>
        <w:rPr>
          <w:color w:val="1E1E1E"/>
          <w:sz w:val="18"/>
        </w:rPr>
        <w:t>O uso de algemas durante audiência de instrução e julgamento pode ser determinado pelo magistrado quando presentes, de maneira concreta, riscos à segurança do acusado ou das pessoas ao ato presentes.</w:t>
      </w:r>
    </w:p>
    <w:p>
      <w:pPr>
        <w:ind w:left="288"/>
      </w:pPr>
      <w:r>
        <w:rPr>
          <w:b/>
          <w:color w:val="003CA0"/>
          <w:sz w:val="16"/>
        </w:rPr>
        <w:t>[Rcl 9.468 AgR, rel. min. Ricardo Lewandowski, j. 24-3-2011, P, DJE de 11-4-2011.]</w:t>
      </w:r>
    </w:p>
    <w:p>
      <w:pPr>
        <w:ind w:left="288"/>
      </w:pPr>
      <w:r>
        <w:rPr>
          <w:color w:val="8C8C8C"/>
          <w:sz w:val="12"/>
        </w:rPr>
        <w:t>cf-art-5-inc-III</w:t>
      </w:r>
      <w:r>
        <w:rPr>
          <w:color w:val="003CA0"/>
          <w:sz w:val="12"/>
        </w:rPr>
        <w:t xml:space="preserve"> | RCL 10.479</w:t>
      </w:r>
      <w:r>
        <w:rPr>
          <w:color w:val="003CA0"/>
          <w:sz w:val="12"/>
        </w:rPr>
        <w:t xml:space="preserve"> | rel. Dias Toffoli</w:t>
      </w:r>
    </w:p>
    <w:p>
      <w:pPr>
        <w:ind w:left="288"/>
      </w:pPr>
      <w:r>
        <w:rPr>
          <w:color w:val="1E1E1E"/>
          <w:sz w:val="18"/>
        </w:rPr>
        <w:t>= Rcl 10.479 AgR, rel. min. Dias Toffoli, j. 23-5-2013, P, DJE de 1º-8-2013 (...) o policial militar que, a pretexto de exercer atividade de repressão criminal em nome do Estado, inflige, mediante desempenho funcional abusivo, danos físicos a menor momentaneamente sujeito ao seu poder de coerção, valendo-se desse meio executivo para intimidá-lo e coagi-lo à confissão de determinado delito, pratica, inequivocamente, o crime de tortura (...).</w:t>
      </w:r>
    </w:p>
    <w:p>
      <w:pPr>
        <w:ind w:left="288"/>
      </w:pPr>
      <w:r>
        <w:rPr>
          <w:b/>
          <w:color w:val="003CA0"/>
          <w:sz w:val="16"/>
        </w:rPr>
        <w:t>[HC 70.389, rel. min. Celso de Mello, j. 23-6-1994, P, DJ de 10-8-2001.]</w:t>
      </w:r>
    </w:p>
    <w:p>
      <w:pPr>
        <w:ind w:left="288"/>
      </w:pPr>
      <w:r>
        <w:rPr>
          <w:color w:val="8C8C8C"/>
          <w:sz w:val="12"/>
        </w:rPr>
        <w:t>cf-art-5-inc-IV</w:t>
      </w:r>
      <w:r>
        <w:rPr>
          <w:color w:val="003CA0"/>
          <w:sz w:val="12"/>
        </w:rPr>
        <w:t xml:space="preserve"> | ADPF 1.151</w:t>
      </w:r>
      <w:r>
        <w:rPr>
          <w:color w:val="003CA0"/>
          <w:sz w:val="12"/>
        </w:rPr>
        <w:t xml:space="preserve"> | rel. Dias Toffoli</w:t>
      </w:r>
    </w:p>
    <w:p>
      <w:pPr>
        <w:ind w:left="288"/>
      </w:pPr>
      <w:r>
        <w:rPr>
          <w:color w:val="1E1E1E"/>
          <w:sz w:val="18"/>
        </w:rP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Ademais, a Constituição de 1988, ao enumerar os objetivos da República Federativa do Brasil, acaba por det</w:t>
      </w:r>
    </w:p>
    <w:p>
      <w:pPr>
        <w:ind w:left="288"/>
      </w:pPr>
      <w:r>
        <w:rPr>
          <w:b/>
          <w:color w:val="003CA0"/>
          <w:sz w:val="16"/>
        </w:rPr>
        <w:t>[ADPF 1.151, rel. min. Dias Toffoli, j. 09.12.2024, P, DJE de 13.12.2024.]</w:t>
      </w:r>
    </w:p>
    <w:p>
      <w:pPr>
        <w:ind w:left="288"/>
      </w:pPr>
      <w:r>
        <w:rPr>
          <w:color w:val="8C8C8C"/>
          <w:sz w:val="12"/>
        </w:rPr>
        <w:t>cf-art-5-inc-IV</w:t>
      </w:r>
      <w:r>
        <w:rPr>
          <w:color w:val="003CA0"/>
          <w:sz w:val="12"/>
        </w:rPr>
        <w:t xml:space="preserve"> | ADI 6.561</w:t>
      </w:r>
      <w:r>
        <w:rPr>
          <w:color w:val="003CA0"/>
          <w:sz w:val="12"/>
        </w:rPr>
        <w:t xml:space="preserve"> | rel. Edson Fachin</w:t>
      </w:r>
    </w:p>
    <w:p>
      <w:pPr>
        <w:ind w:left="288"/>
      </w:pPr>
      <w:r>
        <w:rPr>
          <w:color w:val="1E1E1E"/>
          <w:sz w:val="18"/>
        </w:rPr>
        <w:t>Lei 3.528 de 2019 do estado do Tocantins. Cadastro estadual de usuários e dependentes de drogas. (...) Materialmente (...) há inconstitucionalidade. A seletividade social do cadastro é incompatível com o Estado de Direito e os direitos fundamentais que a Constituição de 1988 protege, especialmente, a igualdade (CRFB, art. 5º, caput), a dignidade da pessoa humana (CRFB, art. 1º, III), o direito à intimidade e à vida privada (CRFB, art. 5º, X) e o devido processo legal (CRFB, art. 5º, LIV). Inexistência tampouco de protocolo claro de proteção e tratamento desses dados.</w:t>
      </w:r>
    </w:p>
    <w:p>
      <w:pPr>
        <w:ind w:left="288"/>
      </w:pPr>
      <w:r>
        <w:rPr>
          <w:b/>
          <w:color w:val="003CA0"/>
          <w:sz w:val="16"/>
        </w:rPr>
        <w:t>[ADI 6.561, rel. min. Edson Fachin, j. 4-9-2023, P, DJE de 3-11-2023.]</w:t>
      </w:r>
    </w:p>
    <w:p>
      <w:pPr>
        <w:ind w:left="288"/>
      </w:pPr>
      <w:r>
        <w:rPr>
          <w:color w:val="8C8C8C"/>
          <w:sz w:val="12"/>
        </w:rPr>
        <w:t>cf-art-5-inc-IV</w:t>
      </w:r>
      <w:r>
        <w:rPr>
          <w:color w:val="003CA0"/>
          <w:sz w:val="12"/>
        </w:rPr>
        <w:t xml:space="preserve"> | ADPF 475</w:t>
      </w:r>
      <w:r>
        <w:rPr>
          <w:color w:val="003CA0"/>
          <w:sz w:val="12"/>
        </w:rPr>
        <w:t xml:space="preserve"> | rel. Dias Toffoli</w:t>
      </w:r>
    </w:p>
    <w:p>
      <w:pPr>
        <w:ind w:left="288"/>
      </w:pPr>
      <w:r>
        <w:rPr>
          <w:color w:val="1E1E1E"/>
          <w:sz w:val="18"/>
        </w:rPr>
        <w:t>Artigo 166 do Decreto-Lei nº 1.001, de 21 de outubro de 1969. Código Penal Militar. (...) Na espécie, está-se diante de dispositivo do Código Penal Militar que proíbe os militares de criticar publicamente ato de seu superior ou assunto atinente à disciplina militar, ou a qualquer resolução do governo, sob pena de detenção. (...) A previsão normativa em apreço não ofende, a priori, os princípios e valores constitucionalmente protegidos. Ao reprimir a crítica dos militares “a atos de seu superior ou assunto atinente à disciplina militar, ou a qualquer resolução do Governo”, a norma pretende evit</w:t>
      </w:r>
    </w:p>
    <w:p>
      <w:pPr>
        <w:ind w:left="288"/>
      </w:pPr>
      <w:r>
        <w:rPr>
          <w:b/>
          <w:color w:val="003CA0"/>
          <w:sz w:val="16"/>
        </w:rPr>
        <w:t>[ADPF 475, rel. min. Dias Toffoli, j. 13-4-2023, P, DJE de 4-5-2023.]</w:t>
      </w:r>
    </w:p>
    <w:p>
      <w:pPr>
        <w:ind w:left="288"/>
      </w:pPr>
      <w:r>
        <w:rPr>
          <w:color w:val="8C8C8C"/>
          <w:sz w:val="12"/>
        </w:rPr>
        <w:t>cf-art-5-inc-IV</w:t>
      </w:r>
      <w:r>
        <w:rPr>
          <w:color w:val="003CA0"/>
          <w:sz w:val="12"/>
        </w:rPr>
        <w:t xml:space="preserve"> | ADPF 734</w:t>
      </w:r>
      <w:r>
        <w:rPr>
          <w:color w:val="003CA0"/>
          <w:sz w:val="12"/>
        </w:rPr>
        <w:t xml:space="preserve"> | rel. Dias Toffoli</w:t>
      </w:r>
    </w:p>
    <w:p>
      <w:pPr>
        <w:ind w:left="288"/>
      </w:pPr>
      <w:r>
        <w:rPr>
          <w:color w:val="1E1E1E"/>
          <w:sz w:val="18"/>
        </w:rPr>
        <w:t>Vide ADPF 734, rel. min. Dias Toffoli, j. 13-4-2023, P, DJE de 4-5-2023 Artigo 31, incisos IV e V, da Lei nº 6.425/72 do Estado de Pernambuco, a qual institui o estatuto policial no âmbito daquele estado. (...) Na espécie, impugna-se lei estadual que proíbe os policiais civis do Estado de Pernambuco de “promover ou participar de manifestações de apreço ou desapreço a quaisquer autoridades” e de “manifestar-se ou participar de manifestações contra atos da Administração Pública em geral”. (...) As restrições preconizadas no ato normativo em apreço são adequadas, necessárias e proporcionais, morm</w:t>
      </w:r>
    </w:p>
    <w:p>
      <w:pPr>
        <w:ind w:left="288"/>
      </w:pPr>
      <w:r>
        <w:rPr>
          <w:b/>
          <w:color w:val="003CA0"/>
          <w:sz w:val="16"/>
        </w:rPr>
        <w:t>[ADPF 734, rel. min. Dias Toffoli, j. 13-4-2023, P, DJE de 4-5-2023.]</w:t>
      </w:r>
    </w:p>
    <w:p>
      <w:pPr>
        <w:ind w:left="288"/>
      </w:pPr>
      <w:r>
        <w:rPr>
          <w:color w:val="8C8C8C"/>
          <w:sz w:val="12"/>
        </w:rPr>
        <w:t>cf-art-5-inc-IV</w:t>
      </w:r>
      <w:r>
        <w:rPr>
          <w:color w:val="003CA0"/>
          <w:sz w:val="12"/>
        </w:rPr>
        <w:t xml:space="preserve"> | ADPF 475</w:t>
      </w:r>
      <w:r>
        <w:rPr>
          <w:color w:val="003CA0"/>
          <w:sz w:val="12"/>
        </w:rPr>
        <w:t xml:space="preserve"> | rel. Dias Toffoli</w:t>
      </w:r>
    </w:p>
    <w:p>
      <w:pPr>
        <w:ind w:left="288"/>
      </w:pPr>
      <w:r>
        <w:rPr>
          <w:color w:val="1E1E1E"/>
          <w:sz w:val="18"/>
        </w:rPr>
        <w:t>Vide ADPF 475, rel. min. Dias Toffoli, j. 13-4-2023, P, DJE de 4-5-2023 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88"/>
      </w:pPr>
      <w:r>
        <w:rPr>
          <w:b/>
          <w:color w:val="003CA0"/>
          <w:sz w:val="16"/>
        </w:rPr>
        <w:t>[ADPF 722, rel. min. Cármen Lúcia, j. 16-5-2022, P, DJE de 9-6-2022.]</w:t>
      </w:r>
    </w:p>
    <w:p>
      <w:pPr>
        <w:ind w:left="288"/>
      </w:pPr>
      <w:r>
        <w:rPr>
          <w:color w:val="8C8C8C"/>
          <w:sz w:val="12"/>
        </w:rPr>
        <w:t>cf-art-5-inc-IV</w:t>
      </w:r>
      <w:r>
        <w:rPr>
          <w:color w:val="003CA0"/>
          <w:sz w:val="12"/>
        </w:rPr>
        <w:t xml:space="preserve"> | ADPF 548</w:t>
      </w:r>
      <w:r>
        <w:rPr>
          <w:color w:val="003CA0"/>
          <w:sz w:val="12"/>
        </w:rPr>
        <w:t xml:space="preserve"> | rel. Cármen Lúcia</w:t>
      </w:r>
    </w:p>
    <w:p>
      <w:pPr>
        <w:ind w:left="288"/>
      </w:pPr>
      <w:r>
        <w:rPr>
          <w:color w:val="1E1E1E"/>
          <w:sz w:val="18"/>
        </w:rPr>
        <w:t xml:space="preserve">Afronta aos princípios da liberdade de manifestação de pensamento e da autonomia universitária. (...) Inconstitucionalidade de interpretação dos arts. 24 e 37 da Lei n. 9.504/1997 que conduza a atos judiciais ou administrativos que possibilitem, determinem ou promovam ingresso de agentes públicos em universidades públicas e privadas, recolhimento de documentos, interrupção de aulas, debates ou manifestações de docentes e discentes universitários, a atividade disciplinar docente e discente e coleta irregular de depoimentos pela prática de manifestação livre de ideias e divulgação de pensamento </w:t>
      </w:r>
    </w:p>
    <w:p>
      <w:pPr>
        <w:ind w:left="288"/>
      </w:pPr>
      <w:r>
        <w:rPr>
          <w:b/>
          <w:color w:val="003CA0"/>
          <w:sz w:val="16"/>
        </w:rPr>
        <w:t>[ADPF 548, rel. min. Cármen Lúcia, j. 15-5-2020, P, DJE de 9-6-2020.]</w:t>
      </w:r>
    </w:p>
    <w:p>
      <w:pPr>
        <w:ind w:left="288"/>
      </w:pPr>
      <w:r>
        <w:rPr>
          <w:color w:val="8C8C8C"/>
          <w:sz w:val="12"/>
        </w:rPr>
        <w:t>cf-art-5-inc-IV</w:t>
      </w:r>
      <w:r>
        <w:rPr>
          <w:color w:val="003CA0"/>
          <w:sz w:val="12"/>
        </w:rPr>
        <w:t xml:space="preserve"> | ADI 4.451</w:t>
      </w:r>
      <w:r>
        <w:rPr>
          <w:color w:val="003CA0"/>
          <w:sz w:val="12"/>
        </w:rPr>
        <w:t xml:space="preserve"> | rel. Alexandre de Moraes</w:t>
      </w:r>
    </w:p>
    <w:p>
      <w:pPr>
        <w:ind w:left="288"/>
      </w:pPr>
      <w:r>
        <w:rPr>
          <w:color w:val="1E1E1E"/>
          <w:sz w:val="18"/>
        </w:rPr>
        <w:t>A Democracia não existirá e a livre participação política não florescerá onde a liberdade de expressão for ceifada, pois esta constitui condição essencial ao pluralismo de ideias, que por sua vez é um valor estruturante para o salutar funcionamento do sistema democrático. A livre discussão, a ampla participação política e o princípio democrático estão interligados com a liberdade de expressão, tendo por objeto não somente a proteção de pensamentos e ideias, mas também opiniões, crenças, realização de juízo de valor e críticas a agentes públicos, no sentido de garantir a real participação dos c</w:t>
      </w:r>
    </w:p>
    <w:p>
      <w:pPr>
        <w:ind w:left="288"/>
      </w:pPr>
      <w:r>
        <w:rPr>
          <w:b/>
          <w:color w:val="003CA0"/>
          <w:sz w:val="16"/>
        </w:rPr>
        <w:t>[ADI 4.451, rel. min. Alexandre de Moraes, j. 21-6-2018, P, DJE de 6-3-2019.]</w:t>
      </w:r>
    </w:p>
    <w:p>
      <w:pPr>
        <w:ind w:left="288"/>
      </w:pPr>
      <w:r>
        <w:rPr>
          <w:color w:val="8C8C8C"/>
          <w:sz w:val="12"/>
        </w:rPr>
        <w:t>cf-art-5-inc-IV</w:t>
      </w:r>
      <w:r>
        <w:rPr>
          <w:color w:val="003CA0"/>
          <w:sz w:val="12"/>
        </w:rPr>
        <w:t xml:space="preserve"> | ADI 2.566</w:t>
      </w:r>
      <w:r>
        <w:rPr>
          <w:color w:val="003CA0"/>
          <w:sz w:val="12"/>
        </w:rPr>
        <w:t xml:space="preserve"> | rel. Alexandre de Moraes</w:t>
      </w:r>
    </w:p>
    <w:p>
      <w:pPr>
        <w:ind w:left="288"/>
      </w:pPr>
      <w:r>
        <w:rPr>
          <w:color w:val="1E1E1E"/>
          <w:sz w:val="18"/>
        </w:rPr>
        <w:t>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pressupõem a livre troca de ideias e não apenas a divulgação de informações. O artigo 220 da Constituição Federal expressamente consagra a liberdade de expressão</w:t>
      </w:r>
    </w:p>
    <w:p>
      <w:pPr>
        <w:ind w:left="288"/>
      </w:pPr>
      <w:r>
        <w:rPr>
          <w:b/>
          <w:color w:val="003CA0"/>
          <w:sz w:val="16"/>
        </w:rPr>
        <w:t>[ADI 2.566, rel. min. Alexandre de Moraes, red. do ac. min. Edson Fachin, j. 16-5-2018, P, DJE de 23-10-2018.]</w:t>
      </w:r>
    </w:p>
    <w:p>
      <w:pPr>
        <w:ind w:left="288"/>
      </w:pPr>
      <w:r>
        <w:rPr>
          <w:color w:val="8C8C8C"/>
          <w:sz w:val="12"/>
        </w:rPr>
        <w:t>cf-art-5-inc-IV</w:t>
      </w:r>
      <w:r>
        <w:rPr>
          <w:color w:val="003CA0"/>
          <w:sz w:val="12"/>
        </w:rPr>
        <w:t xml:space="preserve"> | ADI 5.136</w:t>
      </w:r>
      <w:r>
        <w:rPr>
          <w:color w:val="003CA0"/>
          <w:sz w:val="12"/>
        </w:rPr>
        <w:t xml:space="preserve"> | rel. Gilmar Mendes</w:t>
      </w:r>
    </w:p>
    <w:p>
      <w:pPr>
        <w:ind w:left="288"/>
      </w:pPr>
      <w:r>
        <w:rPr>
          <w:color w:val="1E1E1E"/>
          <w:sz w:val="18"/>
        </w:rPr>
        <w:t>Ação direta de inconstitucionalidade. Parágrafo 1º do art. 28 da Lei 12.663/2012 ("Lei Geral da Copa"). Violação da liberdade de expressão. Inexistência. Aplicação do princípio da proporcionalidade. Juízo de ponderação do legislador para limitar manifestações que tenderiam a gerar maiores conflitos e atentar contra a segurança dos participantes de evento de grande porte.</w:t>
      </w:r>
    </w:p>
    <w:p>
      <w:pPr>
        <w:ind w:left="288"/>
      </w:pPr>
      <w:r>
        <w:rPr>
          <w:b/>
          <w:color w:val="003CA0"/>
          <w:sz w:val="16"/>
        </w:rPr>
        <w:t>[ADI 5.136 MC, rel. min. Gilmar Mendes, j. 1º-7-2014, P, DJE de 30-10-2014.]</w:t>
      </w:r>
    </w:p>
    <w:p>
      <w:pPr>
        <w:ind w:left="288"/>
      </w:pPr>
      <w:r>
        <w:rPr>
          <w:color w:val="8C8C8C"/>
          <w:sz w:val="12"/>
        </w:rPr>
        <w:t>cf-art-5-inc-IV</w:t>
      </w:r>
      <w:r>
        <w:rPr>
          <w:color w:val="003CA0"/>
          <w:sz w:val="12"/>
        </w:rPr>
        <w:t xml:space="preserve"> | ADI 4.274</w:t>
      </w:r>
      <w:r>
        <w:rPr>
          <w:color w:val="003CA0"/>
          <w:sz w:val="12"/>
        </w:rPr>
        <w:t xml:space="preserve"> | rel. Ayres Britto</w:t>
      </w:r>
    </w:p>
    <w:p>
      <w:pPr>
        <w:ind w:left="288"/>
      </w:pPr>
      <w:r>
        <w:rPr>
          <w:color w:val="1E1E1E"/>
          <w:sz w:val="18"/>
        </w:rPr>
        <w:t>Cabível o pedido de "interpretação conforme à Constituição" de preceito legal portador de mais de um sentido, dando-se que ao menos um deles é contrário à CF. A utilização do § 3º do art. 33 da Lei 11.343/2006 como fundamento para a proibição judicial de eventos públicos de defesa da legalização ou da descriminalização do uso de entorpecentes ofende o direito fundamental de reunião, expressamente outorgado pelo inciso XVI do art. 5º da Carta Magna. Regular exercício das liberdades constitucionais de manifestação de pensamento e expressão, em sentido lato, além do direito de acesso à informação</w:t>
      </w:r>
    </w:p>
    <w:p>
      <w:pPr>
        <w:ind w:left="288"/>
      </w:pPr>
      <w:r>
        <w:rPr>
          <w:b/>
          <w:color w:val="003CA0"/>
          <w:sz w:val="16"/>
        </w:rPr>
        <w:t>[ADI 4.274, rel. min. Ayres Britto, j. 23-11-2011, P, DJE de 2-5-2012.]</w:t>
      </w:r>
    </w:p>
    <w:p>
      <w:pPr>
        <w:ind w:left="288"/>
      </w:pPr>
      <w:r>
        <w:rPr>
          <w:color w:val="8C8C8C"/>
          <w:sz w:val="12"/>
        </w:rPr>
        <w:t>cf-art-5-inc-IV</w:t>
      </w:r>
      <w:r>
        <w:rPr>
          <w:color w:val="003CA0"/>
          <w:sz w:val="12"/>
        </w:rPr>
        <w:t xml:space="preserve"> | ADPF 187</w:t>
      </w:r>
      <w:r>
        <w:rPr>
          <w:color w:val="003CA0"/>
          <w:sz w:val="12"/>
        </w:rPr>
        <w:t xml:space="preserve"> | rel. Celso de Mello</w:t>
      </w:r>
    </w:p>
    <w:p>
      <w:pPr>
        <w:ind w:left="288"/>
      </w:pPr>
      <w:r>
        <w:rPr>
          <w:color w:val="1E1E1E"/>
          <w:sz w:val="18"/>
        </w:rPr>
        <w:t>Vide ADPF 187, rel. min. Celso de Mello, j. 15-6-2011, P, DJE de 29-5-2014 "Marcha da Maconha". Manifestação legítima, por cidadãos da República, de duas liberdades individuais revestidas de caráter fundamental: o direito de reunião (liberdade-meio) e o direito à livre expressão do pensamento (liberdade-fim). (...) Vinculação de caráter instrumental entre a liberdade de reunião e a liberdade de manifestação do pensamento. (...) A liberdade de expressão como um dos mais preciosos privilégios dos cidadãos em uma república fundada em bases democráticas. O direito à livre manifestação do pensament</w:t>
      </w:r>
    </w:p>
    <w:p>
      <w:pPr>
        <w:ind w:left="288"/>
      </w:pPr>
      <w:r>
        <w:rPr>
          <w:b/>
          <w:color w:val="003CA0"/>
          <w:sz w:val="16"/>
        </w:rPr>
        <w:t>[ADPF 187, rel. min. Celso de Mello, j. 15-6-2011, P, DJE de 29-5-2014.]</w:t>
      </w:r>
    </w:p>
    <w:p>
      <w:pPr>
        <w:ind w:left="288"/>
      </w:pPr>
      <w:r>
        <w:rPr>
          <w:color w:val="8C8C8C"/>
          <w:sz w:val="12"/>
        </w:rPr>
        <w:t>cf-art-5-inc-IV</w:t>
      </w:r>
      <w:r>
        <w:rPr>
          <w:color w:val="003CA0"/>
          <w:sz w:val="12"/>
        </w:rPr>
        <w:t xml:space="preserve"> | ADI 4.274</w:t>
      </w:r>
      <w:r>
        <w:rPr>
          <w:color w:val="003CA0"/>
          <w:sz w:val="12"/>
        </w:rPr>
        <w:t xml:space="preserve"> | rel. Ayres Britto</w:t>
      </w:r>
    </w:p>
    <w:p>
      <w:pPr>
        <w:ind w:left="288"/>
      </w:pPr>
      <w:r>
        <w:rPr>
          <w:color w:val="1E1E1E"/>
          <w:sz w:val="18"/>
        </w:rPr>
        <w:t>Vide ADI 4.274, rel. min. Ayres Britto, j. 23-11-2011, P, DJE de 2-5-2012 O art. 220 da Constituição radicaliza e alarga o regime de plena liberdade de atuação da imprensa, porquanto fala: a) que os mencionados direitos de personalidade (liberdade de pensamento, criação, expressão e informação) estão a salvo de qualquer restrição em seu exercício, seja qual for o suporte físico ou tecnológico de sua veiculação; b) que tal exercício não se sujeita a outras disposições que não sejam as figurantes dela própria, Constituição. (...) O art. 220 é de instantânea observância quanto ao desfrute das lib</w:t>
      </w:r>
    </w:p>
    <w:p>
      <w:pPr>
        <w:ind w:left="288"/>
      </w:pPr>
      <w:r>
        <w:rPr>
          <w:b/>
          <w:color w:val="003CA0"/>
          <w:sz w:val="16"/>
        </w:rPr>
        <w:t>[ADPF 130, rel. min. Ayres Britto, j. 30-4-2009, P, DJE de 6-11-2009.]</w:t>
      </w:r>
    </w:p>
    <w:p>
      <w:pPr>
        <w:ind w:left="288"/>
      </w:pPr>
      <w:r>
        <w:rPr>
          <w:color w:val="8C8C8C"/>
          <w:sz w:val="12"/>
        </w:rPr>
        <w:t>cf-art-5-inc-IV</w:t>
      </w:r>
      <w:r>
        <w:rPr>
          <w:color w:val="003CA0"/>
          <w:sz w:val="12"/>
        </w:rPr>
        <w:t xml:space="preserve"> | ADI 4.451</w:t>
      </w:r>
      <w:r>
        <w:rPr>
          <w:color w:val="003CA0"/>
          <w:sz w:val="12"/>
        </w:rPr>
        <w:t xml:space="preserve"> | rel. Alexandre de Moraes</w:t>
      </w:r>
    </w:p>
    <w:p>
      <w:pPr>
        <w:ind w:left="288"/>
      </w:pPr>
      <w:r>
        <w:rPr>
          <w:color w:val="1E1E1E"/>
          <w:sz w:val="18"/>
        </w:rPr>
        <w:t>Vide ADI 4.451, rel. min. Alexandre de Moraes, j. 21-6-2018, P, DJE de 6-3-2019 Vide Rcl 22.238, rel. min. Roberto Barroso, j. 6-3-2018, 1ª T, DJE de 10-5-2018 Divulgação total ou parcial, por qualquer meio de comunicação, de nome, ato ou documento de procedimento policial, administrativo ou judicial relativo a criança ou adolescente a que se atribua ato infracional. Publicidade indevida. Penalidade: suspensão da programação da emissora até por dois dias, bem como da publicação do periódico até por dois números. Inconstitucionalidade. A Constituição de 1988 em seu art. 220 estabeleceu que a li</w:t>
      </w:r>
    </w:p>
    <w:p>
      <w:pPr>
        <w:ind w:left="288"/>
      </w:pPr>
      <w:r>
        <w:rPr>
          <w:b/>
          <w:color w:val="003CA0"/>
          <w:sz w:val="16"/>
        </w:rPr>
        <w:t>[ADI 869, rel. min. Ilmar Galvão, red. do ac. min. Maurício Corrêa, j. 4-8-1999, P, DJ de 4-6-2004.]</w:t>
      </w:r>
    </w:p>
    <w:p>
      <w:pPr>
        <w:ind w:left="288"/>
      </w:pPr>
      <w:r>
        <w:rPr>
          <w:color w:val="8C8C8C"/>
          <w:sz w:val="12"/>
        </w:rPr>
        <w:t>cf-art-5-inc-IV</w:t>
      </w:r>
      <w:r>
        <w:rPr>
          <w:color w:val="003CA0"/>
          <w:sz w:val="12"/>
        </w:rPr>
        <w:t xml:space="preserve"> | RE 1.037.396</w:t>
      </w:r>
      <w:r>
        <w:rPr>
          <w:color w:val="003CA0"/>
          <w:sz w:val="12"/>
        </w:rPr>
        <w:t xml:space="preserve"> | rel. Dias Toffoli</w:t>
      </w:r>
    </w:p>
    <w:p>
      <w:pPr>
        <w:ind w:left="288"/>
      </w:pPr>
      <w:r>
        <w:rPr>
          <w:color w:val="1E1E1E"/>
          <w:sz w:val="18"/>
        </w:rPr>
        <w:t>“Reconhecimento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direitos fundamentais e da democracia). Interpretação do art. 19 do MCI 2. Enquant</w:t>
      </w:r>
    </w:p>
    <w:p>
      <w:pPr>
        <w:ind w:left="288"/>
      </w:pPr>
      <w:r>
        <w:rPr>
          <w:b/>
          <w:color w:val="003CA0"/>
          <w:sz w:val="16"/>
        </w:rPr>
        <w:t>[RE 1.037.396, rel. min. Dias Toffoli, j. 26.06.2025, P, DJE de 05.11.2025, Tema 987, com mérito julgado e RE 1.057.258, rel. min. Luiz Fux, j. 26.06.2025, P, DJE de 05.11.2025, Tema 533, com mérito julgado.]</w:t>
      </w:r>
    </w:p>
    <w:p>
      <w:pPr>
        <w:ind w:left="288"/>
      </w:pPr>
      <w:r>
        <w:rPr>
          <w:color w:val="8C8C8C"/>
          <w:sz w:val="12"/>
        </w:rPr>
        <w:t>cf-art-5-inc-IV</w:t>
      </w:r>
      <w:r>
        <w:rPr>
          <w:color w:val="003CA0"/>
          <w:sz w:val="12"/>
        </w:rPr>
        <w:t xml:space="preserve"> | ARE 1.470.552</w:t>
      </w:r>
      <w:r>
        <w:rPr>
          <w:color w:val="003CA0"/>
          <w:sz w:val="12"/>
        </w:rPr>
        <w:t xml:space="preserve"> | rel. Edson Fachin</w:t>
      </w:r>
    </w:p>
    <w:p>
      <w:pPr>
        <w:ind w:left="288"/>
      </w:pPr>
      <w:r>
        <w:rPr>
          <w:color w:val="1E1E1E"/>
          <w:sz w:val="18"/>
        </w:rPr>
        <w:t>Direito de liberdade de expressão e produção literária do preso, frente às exigências de segurança pública e disciplina carcerária.</w:t>
      </w:r>
    </w:p>
    <w:p>
      <w:pPr>
        <w:ind w:left="288"/>
      </w:pPr>
      <w:r>
        <w:rPr>
          <w:b/>
          <w:color w:val="003CA0"/>
          <w:sz w:val="16"/>
        </w:rPr>
        <w:t>[ARE 1.470.552 RG, rel. min. Edson Fachin, j. 14.2.2025, P, DJE de 21.2.2025, Tema 1.371, com mérito pendente.]</w:t>
      </w:r>
    </w:p>
    <w:p>
      <w:pPr>
        <w:ind w:left="288"/>
      </w:pPr>
      <w:r>
        <w:rPr>
          <w:color w:val="8C8C8C"/>
          <w:sz w:val="12"/>
        </w:rPr>
        <w:t>cf-art-5-inc-IV</w:t>
      </w:r>
      <w:r>
        <w:rPr>
          <w:color w:val="003CA0"/>
          <w:sz w:val="12"/>
        </w:rPr>
        <w:t xml:space="preserve"> | MS 35.779</w:t>
      </w:r>
      <w:r>
        <w:rPr>
          <w:color w:val="003CA0"/>
          <w:sz w:val="12"/>
        </w:rPr>
        <w:t xml:space="preserve"> | rel. Roberto Barroso</w:t>
      </w:r>
    </w:p>
    <w:p>
      <w:pPr>
        <w:ind w:left="288"/>
      </w:pPr>
      <w:r>
        <w:rPr>
          <w:color w:val="1E1E1E"/>
          <w:sz w:val="18"/>
        </w:rPr>
        <w:t>(...) a restrição à manifestação político-partidária em redes sociais imposta pelo Provimento nº 71/2018 contraria o regime legal e constitucional que assegura aos servidores civis o direito de filiação partidária e o exercício pleno de atividade política e afronta a autonomia dos Estados para disciplinar o estatuto de seus servidores. Liminar parcialmente deferida para afastar as limitações à manifestação político-partidária previstas no Provimento nº 71/2018 em relação aos servidores substituídos pelo Sindicato impetrante, salvo em relação àqueles em exercício na Justiça Eleitoral.</w:t>
      </w:r>
    </w:p>
    <w:p>
      <w:pPr>
        <w:ind w:left="288"/>
      </w:pPr>
      <w:r>
        <w:rPr>
          <w:b/>
          <w:color w:val="003CA0"/>
          <w:sz w:val="16"/>
        </w:rPr>
        <w:t>[MS 35.779 MC, rel. min. Roberto Barroso, j. 29-11-2018, dec. monocrática, DJE de 10-12-2018.]</w:t>
      </w:r>
    </w:p>
    <w:p>
      <w:pPr>
        <w:ind w:left="288"/>
      </w:pPr>
      <w:r>
        <w:rPr>
          <w:color w:val="8C8C8C"/>
          <w:sz w:val="12"/>
        </w:rPr>
        <w:t>cf-art-5-inc-IV</w:t>
      </w:r>
      <w:r>
        <w:rPr>
          <w:color w:val="003CA0"/>
          <w:sz w:val="12"/>
        </w:rPr>
        <w:t xml:space="preserve"> | RHC 134.682</w:t>
      </w:r>
      <w:r>
        <w:rPr>
          <w:color w:val="003CA0"/>
          <w:sz w:val="12"/>
        </w:rPr>
        <w:t xml:space="preserve"> | rel. Edson Fachin</w:t>
      </w:r>
    </w:p>
    <w:p>
      <w:pPr>
        <w:ind w:left="288"/>
      </w:pPr>
      <w:r>
        <w:rPr>
          <w:color w:val="1E1E1E"/>
          <w:sz w:val="18"/>
        </w:rPr>
        <w:t>A liberdade religiosa e a de expressão constituem elementos fundantes da ordem constitucional e devem ser exercidas com observância dos demais direitos e garantias fundamentais, não alcançando, nessa ótica, condutas reveladoras de discriminação. No que toca especificamente à liberdade de expressão religiosa, cumpre reconhecer, nas hipóteses de religiões que se alçam a universais, que o discurso proselitista é da essência de seu integral exercício. De tal modo, a finalidade de alcançar o outro, mediante persuasão, configura comportamento intrínseco a religiões de tal natureza. Para a consecução</w:t>
      </w:r>
    </w:p>
    <w:p>
      <w:pPr>
        <w:ind w:left="288"/>
      </w:pPr>
      <w:r>
        <w:rPr>
          <w:b/>
          <w:color w:val="003CA0"/>
          <w:sz w:val="16"/>
        </w:rPr>
        <w:t>[RHC 134.682, rel. min. Edson Fachin, j. 29-11-2016, 1ª T, DJE de 29-8-2017.]</w:t>
      </w:r>
    </w:p>
    <w:p>
      <w:pPr>
        <w:ind w:left="288"/>
      </w:pPr>
      <w:r>
        <w:rPr>
          <w:color w:val="8C8C8C"/>
          <w:sz w:val="12"/>
        </w:rPr>
        <w:t>cf-art-5-inc-IV</w:t>
      </w:r>
      <w:r>
        <w:rPr>
          <w:color w:val="003CA0"/>
          <w:sz w:val="12"/>
        </w:rPr>
        <w:t xml:space="preserve"> | ADI 2.566</w:t>
      </w:r>
      <w:r>
        <w:rPr>
          <w:color w:val="003CA0"/>
          <w:sz w:val="12"/>
        </w:rPr>
        <w:t xml:space="preserve"> | rel. Alexandre de Moraes</w:t>
      </w:r>
    </w:p>
    <w:p>
      <w:pPr>
        <w:ind w:left="288"/>
      </w:pPr>
      <w:r>
        <w:rPr>
          <w:color w:val="1E1E1E"/>
          <w:sz w:val="18"/>
        </w:rPr>
        <w:t>Vide ADI 2.566, rel. min. Alexandre de Moraes, red. do ac. min. Edson Fachin, j. 16-5-2018, P, DJE de 23-10-2018 A liberdade de imprensa, enquanto projeção das liberdades de comunicação e de manifestação do pensamento, reveste-se de conteúdo abrangente, por compreender, entre outras prerrogativas relevantes que lhe são inerentes, o direito de informar, o direito de buscar a informação, o direito de opinar e o direito de criticar. A crítica jornalística, desse modo, traduz direito impregnado de qualificação constitucional, plenamente oponível aos que exercem qualquer atividade de interesse da c</w:t>
      </w:r>
    </w:p>
    <w:p>
      <w:pPr>
        <w:ind w:left="288"/>
      </w:pPr>
      <w:r>
        <w:rPr>
          <w:b/>
          <w:color w:val="003CA0"/>
          <w:sz w:val="16"/>
        </w:rPr>
        <w:t>[AI 705.630 AgR, rel. min. Celso de Mello, j. 22-3-2011, 2ª T, DJE de 6-4-2011.]</w:t>
      </w:r>
    </w:p>
    <w:p>
      <w:pPr>
        <w:ind w:left="288"/>
      </w:pPr>
      <w:r>
        <w:rPr>
          <w:color w:val="8C8C8C"/>
          <w:sz w:val="12"/>
        </w:rPr>
        <w:t>cf-art-5-inc-IV</w:t>
      </w:r>
      <w:r>
        <w:rPr>
          <w:color w:val="003CA0"/>
          <w:sz w:val="12"/>
        </w:rPr>
        <w:t xml:space="preserve"> | RE 511.961</w:t>
      </w:r>
      <w:r>
        <w:rPr>
          <w:color w:val="003CA0"/>
          <w:sz w:val="12"/>
        </w:rPr>
        <w:t xml:space="preserve"> | rel. Gilmar Mendes</w:t>
      </w:r>
    </w:p>
    <w:p>
      <w:pPr>
        <w:ind w:left="288"/>
      </w:pPr>
      <w:r>
        <w:rPr>
          <w:color w:val="1E1E1E"/>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w:t>
      </w:r>
    </w:p>
    <w:p>
      <w:pPr>
        <w:ind w:left="288"/>
      </w:pPr>
      <w:r>
        <w:rPr>
          <w:b/>
          <w:color w:val="003CA0"/>
          <w:sz w:val="16"/>
        </w:rPr>
        <w:t>[RE 511.961, rel. min. Gilmar Mendes, j. 17-6-2009, P, DJE de 13-11-2009.]</w:t>
      </w:r>
    </w:p>
    <w:p>
      <w:pPr>
        <w:ind w:left="288"/>
      </w:pPr>
      <w:r>
        <w:rPr>
          <w:color w:val="8C8C8C"/>
          <w:sz w:val="12"/>
        </w:rPr>
        <w:t>cf-art-5-inc-IV</w:t>
      </w:r>
      <w:r>
        <w:rPr>
          <w:color w:val="003CA0"/>
          <w:sz w:val="12"/>
        </w:rPr>
        <w:t xml:space="preserve"> | HC 95.116</w:t>
      </w:r>
      <w:r>
        <w:rPr>
          <w:color w:val="003CA0"/>
          <w:sz w:val="12"/>
        </w:rPr>
        <w:t xml:space="preserve"> | rel. Ayres Britto</w:t>
      </w:r>
    </w:p>
    <w:p>
      <w:pPr>
        <w:ind w:left="288"/>
      </w:pPr>
      <w:r>
        <w:rPr>
          <w:color w:val="1E1E1E"/>
          <w:sz w:val="18"/>
        </w:rPr>
        <w:t>(...) o simples fato de a paciente participar de programa televisivo, discorrendo sobre o quadro empírico do crime de latrocínio a que foi condenada, não tem a força de justificar a respectiva segregação cautelar. Pelo que tenho como inidôneo o fato superveniente, apontado pelo juízo-processante da causa para a decretação da custódia provisória. Ainda mais – repito – quando esse fato não passou de uma entrevista concedida a emissora de televisão, ocasião em que a paciente simplesmente manifestou a sua própria versão sobre os fatos delituosos. Autodefendendo-se, portanto. Com efeito, entendo qu</w:t>
      </w:r>
    </w:p>
    <w:p>
      <w:pPr>
        <w:ind w:left="288"/>
      </w:pPr>
      <w:r>
        <w:rPr>
          <w:b/>
          <w:color w:val="003CA0"/>
          <w:sz w:val="16"/>
        </w:rPr>
        <w:t>[HC 95.116, rel. min. Ayres Britto, j. 3-2-2009, 1ª T, DJE de 6-3-2009.]</w:t>
      </w:r>
    </w:p>
    <w:p>
      <w:pPr>
        <w:ind w:left="288"/>
      </w:pPr>
      <w:r>
        <w:rPr>
          <w:color w:val="8C8C8C"/>
          <w:sz w:val="12"/>
        </w:rPr>
        <w:t>cf-art-5-inc-IV</w:t>
      </w:r>
      <w:r>
        <w:rPr>
          <w:color w:val="003CA0"/>
          <w:sz w:val="12"/>
        </w:rPr>
        <w:t xml:space="preserve"> | HC 84.827</w:t>
      </w:r>
      <w:r>
        <w:rPr>
          <w:color w:val="003CA0"/>
          <w:sz w:val="12"/>
        </w:rPr>
        <w:t xml:space="preserve"> | rel. Marco Aurélio</w:t>
      </w:r>
    </w:p>
    <w:p>
      <w:pPr>
        <w:ind w:left="288"/>
      </w:pPr>
      <w:r>
        <w:rPr>
          <w:color w:val="1E1E1E"/>
          <w:sz w:val="18"/>
        </w:rPr>
        <w:t>Anonimato. Notícia de prática criminosa. Persecução criminal. Impropriedade. Não serve à persecução criminal notícia de prática criminosa sem identificação da autoria, consideradas a vedação constitucional do anonimato e a necessidade de haver parâmetros próprios à responsabilidade, nos campos cível e penal, de quem a implemente.</w:t>
      </w:r>
    </w:p>
    <w:p>
      <w:pPr>
        <w:ind w:left="288"/>
      </w:pPr>
      <w:r>
        <w:rPr>
          <w:b/>
          <w:color w:val="003CA0"/>
          <w:sz w:val="16"/>
        </w:rPr>
        <w:t>[HC 84.827, rel. min. Marco Aurélio, j. 7-8-2007, 1ª T, DJE de 23-11-2007.]</w:t>
      </w:r>
    </w:p>
    <w:p>
      <w:pPr>
        <w:ind w:left="288"/>
      </w:pPr>
      <w:r>
        <w:rPr>
          <w:color w:val="8C8C8C"/>
          <w:sz w:val="12"/>
        </w:rPr>
        <w:t>cf-art-5-inc-IV</w:t>
      </w:r>
      <w:r>
        <w:rPr>
          <w:color w:val="003CA0"/>
          <w:sz w:val="12"/>
        </w:rPr>
        <w:t xml:space="preserve"> | INQ 1.957</w:t>
      </w:r>
      <w:r>
        <w:rPr>
          <w:color w:val="003CA0"/>
          <w:sz w:val="12"/>
        </w:rPr>
        <w:t xml:space="preserve"> | rel. Carlos Velloso</w:t>
      </w:r>
    </w:p>
    <w:p>
      <w:pPr>
        <w:ind w:left="288"/>
      </w:pPr>
      <w:r>
        <w:rPr>
          <w:color w:val="1E1E1E"/>
          <w:sz w:val="18"/>
        </w:rPr>
        <w:t>(...) deixo assentadas as seguintes conclusões: (a) os escritos anônimos não podem justificar, só por si, desde que isoladamente considerados, a imediata instauração da persecutio criminis, eis que peças apócrifas não podem ser incorporadas, formalmente, ao processo, salvo quando tais documentos forem produzidos pelo acusado, ou, ainda, quando constituírem, eles próprios, o corpo de delito (como sucede com bilhetes de resgate no delito de extorsão mediante sequestro, ou como ocorre com cartas que evidenciem a prática de crimes contra a honra, ou que corporifiquem o delito de ameaça ou que mate</w:t>
      </w:r>
    </w:p>
    <w:p>
      <w:pPr>
        <w:ind w:left="288"/>
      </w:pPr>
      <w:r>
        <w:rPr>
          <w:b/>
          <w:color w:val="003CA0"/>
          <w:sz w:val="16"/>
        </w:rPr>
        <w:t>[Inq 1.957, rel. min. Carlos Velloso, voto do min. Celso de Mello, j. 11-5-2005, P, DJ de 11-11-2005.]</w:t>
      </w:r>
    </w:p>
    <w:p>
      <w:pPr>
        <w:ind w:left="288"/>
      </w:pPr>
      <w:r>
        <w:rPr>
          <w:color w:val="8C8C8C"/>
          <w:sz w:val="12"/>
        </w:rPr>
        <w:t>cf-art-5-inc-IV</w:t>
      </w:r>
      <w:r>
        <w:rPr>
          <w:color w:val="003CA0"/>
          <w:sz w:val="12"/>
        </w:rPr>
        <w:t xml:space="preserve"> | HC 99.490</w:t>
      </w:r>
      <w:r>
        <w:rPr>
          <w:color w:val="003CA0"/>
          <w:sz w:val="12"/>
        </w:rPr>
        <w:t xml:space="preserve"> | rel. Joaquim Barbosa</w:t>
      </w:r>
    </w:p>
    <w:p>
      <w:pPr>
        <w:ind w:left="288"/>
      </w:pPr>
      <w:r>
        <w:rPr>
          <w:color w:val="1E1E1E"/>
          <w:sz w:val="18"/>
        </w:rPr>
        <w:t>= HC 99.490, rel. min. Joaquim Barbosa, j. 23-11-2010, 2ª T, DJE de 1º-2-2011 = HC 95.244, rel. min. Dias Toffoli, j. 23-3-2010, 1ª T, DJE de 30-4-2010 Vide HC 90.178, rel. min. Cezar Peluso, j. 2-2-2010, 2ª T, DJE de 26-3-2010 A Lei 8.443, de 1992, estabelece que qualquer cidadão, partido político ou sindicato é parte legítima para denunciar irregularidades ou ilegalidades perante o TCU. A apuração será em caráter sigiloso, até decisão definitiva sobre a matéria. Decidindo, o Tribunal manterá ou não o sigilo quanto ao objeto e à autoria da denúncia (§ 1º do art. 55). Estabeleceu o TCU, então,</w:t>
      </w:r>
    </w:p>
    <w:p>
      <w:pPr>
        <w:ind w:left="288"/>
      </w:pPr>
      <w:r>
        <w:rPr>
          <w:b/>
          <w:color w:val="003CA0"/>
          <w:sz w:val="16"/>
        </w:rPr>
        <w:t>[MS 24.405, rel. min. Carlos Velloso, j. 3-12-2003, P, DJ de 23-4-2004.]</w:t>
      </w:r>
    </w:p>
    <w:p>
      <w:pPr>
        <w:ind w:left="288"/>
      </w:pPr>
      <w:r>
        <w:rPr>
          <w:color w:val="8C8C8C"/>
          <w:sz w:val="12"/>
        </w:rPr>
        <w:t>cf-art-5-inc-IV</w:t>
      </w:r>
      <w:r>
        <w:rPr>
          <w:color w:val="003CA0"/>
          <w:sz w:val="12"/>
        </w:rPr>
        <w:t xml:space="preserve"> | HC 82.424</w:t>
      </w:r>
      <w:r>
        <w:rPr>
          <w:color w:val="003CA0"/>
          <w:sz w:val="12"/>
        </w:rPr>
        <w:t xml:space="preserve"> | rel. Moreira Alves</w:t>
      </w:r>
    </w:p>
    <w:p>
      <w:pPr>
        <w:ind w:left="288"/>
      </w:pPr>
      <w:r>
        <w:rPr>
          <w:color w:val="1E1E1E"/>
          <w:sz w:val="18"/>
        </w:rPr>
        <w:t>Liberdade de expressão. Garantia constitucional que não se tem como absoluta. Limites morais e jurídicos. O direito à livre expressão não pode abrigar, em sua abrangência, manifestações de conteúdo imoral que implicam ilicitude penal. As liberdades públicas não são incondicionais, por isso devem ser exercidas de maneira harmônica, observados os limites definidos na própria CF (art. 5º, § 2º, primeira parte). O preceito fundamental de liberdade de expressão não consagra o "direito à incitação ao racismo", dado que um direito individual não pode constituir-se em salvaguarda de condutas ilícitas,</w:t>
      </w:r>
    </w:p>
    <w:p>
      <w:pPr>
        <w:ind w:left="288"/>
      </w:pPr>
      <w:r>
        <w:rPr>
          <w:b/>
          <w:color w:val="003CA0"/>
          <w:sz w:val="16"/>
        </w:rPr>
        <w:t>[HC 82.424, rel. min. Moreira Alves, red. do ac. min. Maurício Corrêa, j. 17-9-2003, P, DJ de 19-3-2004.]</w:t>
      </w:r>
    </w:p>
    <w:p>
      <w:pPr>
        <w:ind w:left="288"/>
      </w:pPr>
      <w:r>
        <w:rPr>
          <w:color w:val="8C8C8C"/>
          <w:sz w:val="12"/>
        </w:rPr>
        <w:t>cf-art-5-inc-IV</w:t>
      </w:r>
      <w:r>
        <w:rPr>
          <w:color w:val="003CA0"/>
          <w:sz w:val="12"/>
        </w:rPr>
        <w:t xml:space="preserve"> | HC 83.125</w:t>
      </w:r>
      <w:r>
        <w:rPr>
          <w:color w:val="003CA0"/>
          <w:sz w:val="12"/>
        </w:rPr>
        <w:t xml:space="preserve"> | rel. Marco Aurélio</w:t>
      </w:r>
    </w:p>
    <w:p>
      <w:pPr>
        <w:ind w:left="288"/>
      </w:pPr>
      <w:r>
        <w:rPr>
          <w:color w:val="1E1E1E"/>
          <w:sz w:val="18"/>
        </w:rPr>
        <w:t>A liberdade de expressão constitui-se em direito fundamental do cidadão, envolvendo o pensamento, a exposição de fatos atuais ou históricos e a crítica.</w:t>
      </w:r>
    </w:p>
    <w:p>
      <w:pPr>
        <w:ind w:left="288"/>
      </w:pPr>
      <w:r>
        <w:rPr>
          <w:b/>
          <w:color w:val="003CA0"/>
          <w:sz w:val="16"/>
        </w:rPr>
        <w:t>[HC 83.125, rel. min. Marco Aurélio, j. 16-9-2003, 1ª T, DJ de 7-11-2003.]</w:t>
      </w:r>
    </w:p>
    <w:p>
      <w:pPr>
        <w:ind w:left="288"/>
      </w:pPr>
      <w:r>
        <w:rPr>
          <w:color w:val="8C8C8C"/>
          <w:sz w:val="12"/>
        </w:rPr>
        <w:t>cf-art-5-inc-V</w:t>
      </w:r>
      <w:r>
        <w:rPr>
          <w:color w:val="003CA0"/>
          <w:sz w:val="12"/>
        </w:rPr>
        <w:t xml:space="preserve"> | ADI 5.415</w:t>
      </w:r>
      <w:r>
        <w:rPr>
          <w:color w:val="003CA0"/>
          <w:sz w:val="12"/>
        </w:rPr>
        <w:t xml:space="preserve"> | rel. Dias Toffoli</w:t>
      </w:r>
    </w:p>
    <w:p>
      <w:pPr>
        <w:ind w:left="288"/>
      </w:pPr>
      <w:r>
        <w:rPr>
          <w:color w:val="1E1E1E"/>
          <w:sz w:val="18"/>
        </w:rPr>
        <w:t>A Lei 13.188/15 estabelece um rito especial para o exercício do direito de resposta. O art. 10 da lei, ao exigir deliberação colegiada para a concessão de efeito suspensivo a decisão de primeiro grau em que se concede ou nega direito de resposta, importa em inobservância ao poder geral de cautela do juiz, contraria a organicidade do Judiciário e subverte a hierarquia que inspira a estrutura desse Poder no texto constitucional, conforme indicado no art. 92 da Constituição Federal.</w:t>
      </w:r>
    </w:p>
    <w:p>
      <w:pPr>
        <w:ind w:left="288"/>
      </w:pPr>
      <w:r>
        <w:rPr>
          <w:b/>
          <w:color w:val="003CA0"/>
          <w:sz w:val="16"/>
        </w:rPr>
        <w:t>[ADI 5.415, rel. min. Dias Toffoli, j. 11-3-2021, P, DJE de 25-5-2021.]</w:t>
      </w:r>
    </w:p>
    <w:p>
      <w:pPr>
        <w:ind w:left="288"/>
      </w:pPr>
      <w:r>
        <w:rPr>
          <w:color w:val="8C8C8C"/>
          <w:sz w:val="12"/>
        </w:rPr>
        <w:t>cf-art-5-inc-V</w:t>
      </w:r>
      <w:r>
        <w:rPr>
          <w:color w:val="003CA0"/>
          <w:sz w:val="12"/>
        </w:rPr>
        <w:t xml:space="preserve"> | ADPF 130</w:t>
      </w:r>
      <w:r>
        <w:rPr>
          <w:color w:val="003CA0"/>
          <w:sz w:val="12"/>
        </w:rPr>
        <w:t xml:space="preserve"> | rel. Dias Toffoli</w:t>
      </w:r>
    </w:p>
    <w:p>
      <w:pPr>
        <w:ind w:left="288"/>
      </w:pPr>
      <w:r>
        <w:rPr>
          <w:color w:val="1E1E1E"/>
          <w:sz w:val="18"/>
        </w:rPr>
        <w:t>O direito de resposta possibilita que a liberdade de expressão seja exercida em sua plenitude, pois é acionado apenas após a livre e irrestrita manifestação do pensamento. Além disso, o direito de resposta concede ao ofendido espaço adequado para que exerça, com o necessário alcance, seu direito de voz no espaço público. O direito em tela é, ainda, complementar à liberdade de informar e de manter-se informado, já que possibilita a inserção no debate público de mais de uma perspectiva de uma controvérsia. No julgamento da ADPF 130, o Supremo Tribunal Federal considerou a Lei de Imprensa, em blo</w:t>
      </w:r>
    </w:p>
    <w:p>
      <w:pPr>
        <w:ind w:left="288"/>
      </w:pPr>
      <w:r>
        <w:rPr>
          <w:b/>
          <w:color w:val="003CA0"/>
          <w:sz w:val="16"/>
        </w:rPr>
        <w:t>[ADI 5.418, rel. min. Dias Toffoli, j. 11-3-2021, P, DJE de 25-5-2021.]</w:t>
      </w:r>
    </w:p>
    <w:p>
      <w:pPr>
        <w:ind w:left="288"/>
      </w:pPr>
      <w:r>
        <w:rPr>
          <w:color w:val="8C8C8C"/>
          <w:sz w:val="12"/>
        </w:rPr>
        <w:t>cf-art-5-inc-V</w:t>
      </w:r>
      <w:r>
        <w:rPr>
          <w:color w:val="003CA0"/>
          <w:sz w:val="12"/>
        </w:rPr>
        <w:t xml:space="preserve"> | ADPF 130</w:t>
      </w:r>
      <w:r>
        <w:rPr>
          <w:color w:val="003CA0"/>
          <w:sz w:val="12"/>
        </w:rPr>
        <w:t xml:space="preserve"> | rel. Ayres Britto</w:t>
      </w:r>
    </w:p>
    <w:p>
      <w:pPr>
        <w:ind w:left="288"/>
      </w:pPr>
      <w:r>
        <w:rPr>
          <w:color w:val="1E1E1E"/>
          <w:sz w:val="18"/>
        </w:rPr>
        <w:t>(...) a Lei Fundamental do Brasil veicula o mais democrático e civilizado regime da livre e plena circulação das ideias e opiniões, assim como das notícias e informações, mas sem deixar de prescrever o direito de resposta e todo um regime de responsabilidades civis, penais e administrativas. Direito de resposta e responsabilidades que, mesmo atuando a posteriori, infletem sobre as causas para inibir abusos no desfrute da plenitude de liberdade de imprensa. (...) Sem embargo, a excessividade indenizatória é, em si mesma, poderoso fator de inibição da liberdade de imprensa, em violação ao princí</w:t>
      </w:r>
    </w:p>
    <w:p>
      <w:pPr>
        <w:ind w:left="288"/>
      </w:pPr>
      <w:r>
        <w:rPr>
          <w:b/>
          <w:color w:val="003CA0"/>
          <w:sz w:val="16"/>
        </w:rPr>
        <w:t>[ADPF 130, rel. min. Ayres Britto, j. 30-4-2009, P, DJE de 6-11-2009.]</w:t>
      </w:r>
    </w:p>
    <w:p>
      <w:pPr>
        <w:ind w:left="288"/>
      </w:pPr>
      <w:r>
        <w:rPr>
          <w:color w:val="8C8C8C"/>
          <w:sz w:val="12"/>
        </w:rPr>
        <w:t>cf-art-5-inc-V</w:t>
      </w:r>
      <w:r>
        <w:rPr>
          <w:color w:val="003CA0"/>
          <w:sz w:val="12"/>
        </w:rPr>
        <w:t xml:space="preserve"> | ADI 4.451</w:t>
      </w:r>
      <w:r>
        <w:rPr>
          <w:color w:val="003CA0"/>
          <w:sz w:val="12"/>
        </w:rPr>
        <w:t xml:space="preserve"> | rel. Alexandre de Moraes</w:t>
      </w:r>
    </w:p>
    <w:p>
      <w:pPr>
        <w:ind w:left="288"/>
      </w:pPr>
      <w:r>
        <w:rPr>
          <w:color w:val="1E1E1E"/>
          <w:sz w:val="18"/>
        </w:rPr>
        <w:t>Vide ADI 4.451, rel. min. Alexandre de Moraes, j. 21-6-2018, P, DJE de 6-3-2019 “1.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w:t>
      </w:r>
    </w:p>
    <w:p>
      <w:pPr>
        <w:ind w:left="288"/>
      </w:pPr>
      <w:r>
        <w:rPr>
          <w:b/>
          <w:color w:val="003CA0"/>
          <w:sz w:val="16"/>
        </w:rPr>
        <w:t>[RE 1.075.412 ED, rel. min. Edson Fachin, j. 20.03.2025, P, DJE de 27.06.2025, Tema 995, com mérito julgado.]</w:t>
      </w:r>
    </w:p>
    <w:p>
      <w:pPr>
        <w:ind w:left="288"/>
      </w:pPr>
      <w:r>
        <w:rPr>
          <w:color w:val="8C8C8C"/>
          <w:sz w:val="12"/>
        </w:rPr>
        <w:t>cf-art-5-inc-V</w:t>
      </w:r>
      <w:r>
        <w:rPr>
          <w:color w:val="003CA0"/>
          <w:sz w:val="12"/>
        </w:rPr>
        <w:t xml:space="preserve"> | RE 172.720</w:t>
      </w:r>
      <w:r>
        <w:rPr>
          <w:color w:val="003CA0"/>
          <w:sz w:val="12"/>
        </w:rPr>
        <w:t xml:space="preserve"> | rel. Marco Aurélio</w:t>
      </w:r>
    </w:p>
    <w:p>
      <w:pPr>
        <w:ind w:left="288"/>
      </w:pPr>
      <w:r>
        <w:rPr>
          <w:color w:val="1E1E1E"/>
          <w:sz w:val="18"/>
        </w:rPr>
        <w:t>O fato de a Convenção de Varsóvia revelar, como regra, a indenização tarifada por danos materiais não exclui a relativa aos danos morais. Configurados esses pelo sentimento de desconforto, de constrangimento, aborrecimento e humilhação decorrentes do extravio de mala, cumpre observar a Carta Política da República – incisos V e X do art. 5º, no que se sobrepõe a tratados e convenções ratificados pelo Brasil.</w:t>
      </w:r>
    </w:p>
    <w:p>
      <w:pPr>
        <w:ind w:left="288"/>
      </w:pPr>
      <w:r>
        <w:rPr>
          <w:b/>
          <w:color w:val="003CA0"/>
          <w:sz w:val="16"/>
        </w:rPr>
        <w:t>[RE 172.720, rel. min. Marco Aurélio, j. 6-2-1996, 2ª T, DJ de 21-2-1997.]</w:t>
      </w:r>
    </w:p>
    <w:p>
      <w:pPr>
        <w:ind w:left="288"/>
      </w:pPr>
      <w:r>
        <w:rPr>
          <w:color w:val="8C8C8C"/>
          <w:sz w:val="12"/>
        </w:rPr>
        <w:t>cf-art-5-inc-VI</w:t>
      </w:r>
      <w:r>
        <w:rPr>
          <w:color w:val="003CA0"/>
          <w:sz w:val="12"/>
        </w:rPr>
        <w:t xml:space="preserve"> | MS 40.556</w:t>
      </w:r>
      <w:r>
        <w:rPr>
          <w:color w:val="003CA0"/>
          <w:sz w:val="12"/>
        </w:rPr>
        <w:t xml:space="preserve"> | rel. Nunes Marques</w:t>
      </w:r>
    </w:p>
    <w:p>
      <w:pPr>
        <w:ind w:left="288"/>
      </w:pPr>
      <w:r>
        <w:rPr>
          <w:color w:val="1E1E1E"/>
          <w:sz w:val="18"/>
        </w:rPr>
        <w:t>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VI, VIII, X e XVII), além do princípio do juiz natural, não se enquadrando em hipótese de restrição constitucionalmente autorizada.</w:t>
      </w:r>
    </w:p>
    <w:p>
      <w:pPr>
        <w:ind w:left="288"/>
      </w:pPr>
      <w:r>
        <w:rPr>
          <w:b/>
          <w:color w:val="003CA0"/>
          <w:sz w:val="16"/>
        </w:rPr>
        <w:t>[MS 40.556 AgR, rel. min. Nunes Marques, j. 18-2-2026, 2ª T, DJE de 27-2-2026.]</w:t>
      </w:r>
    </w:p>
    <w:p>
      <w:pPr>
        <w:ind w:left="288"/>
      </w:pPr>
      <w:r>
        <w:rPr>
          <w:color w:val="8C8C8C"/>
          <w:sz w:val="12"/>
        </w:rPr>
        <w:t>cf-art-5-inc-VI</w:t>
      </w:r>
      <w:r>
        <w:rPr>
          <w:color w:val="003CA0"/>
          <w:sz w:val="12"/>
        </w:rPr>
        <w:t xml:space="preserve"> | ADI 5.255</w:t>
      </w:r>
      <w:r>
        <w:rPr>
          <w:color w:val="003CA0"/>
          <w:sz w:val="12"/>
        </w:rPr>
        <w:t xml:space="preserve"> | rel. Nunes Marques</w:t>
      </w:r>
    </w:p>
    <w:p>
      <w:pPr>
        <w:ind w:left="288"/>
      </w:pPr>
      <w:r>
        <w:rPr>
          <w:color w:val="1E1E1E"/>
          <w:sz w:val="18"/>
        </w:rPr>
        <w:t>É constitucional — e não ofende os princípios da isonomia (CF/1988, art. 5º, caput), da liberdade religiosa (CF/1988, art. 5º, VI a VIII) e da laicidade estatal (CF/1988, art. 19, I) — norma estadual que permite a aquisição e a manutenção de exemplares da Bíblia Sagrada no acervo das bibliotecas públicas. O que é vedado ao legislador é obrigar (determinar) que se adquiram e/ou se mantenham livros religiosos em espaços públicos.</w:t>
      </w:r>
    </w:p>
    <w:p>
      <w:pPr>
        <w:ind w:left="288"/>
      </w:pPr>
      <w:r>
        <w:rPr>
          <w:b/>
          <w:color w:val="003CA0"/>
          <w:sz w:val="16"/>
        </w:rPr>
        <w:t>[ADI 5.255, rel. min. Nunes Marques, red. do ac. min. Cristiano Zanin, j. 26.09.2025, P, Informativo STF 1.192.]</w:t>
      </w:r>
    </w:p>
    <w:p>
      <w:pPr>
        <w:ind w:left="288"/>
      </w:pPr>
      <w:r>
        <w:rPr>
          <w:color w:val="8C8C8C"/>
          <w:sz w:val="12"/>
        </w:rPr>
        <w:t>cf-art-5-inc-VI</w:t>
      </w:r>
      <w:r>
        <w:rPr>
          <w:color w:val="003CA0"/>
          <w:sz w:val="12"/>
        </w:rPr>
        <w:t xml:space="preserve"> | ADI 5.258</w:t>
      </w:r>
      <w:r>
        <w:rPr>
          <w:color w:val="003CA0"/>
          <w:sz w:val="12"/>
        </w:rPr>
        <w:t xml:space="preserve"> | rel. Cármen Lúcia</w:t>
      </w:r>
    </w:p>
    <w:p>
      <w:pPr>
        <w:ind w:left="288"/>
      </w:pPr>
      <w:r>
        <w:rPr>
          <w:color w:val="1E1E1E"/>
          <w:sz w:val="18"/>
        </w:rPr>
        <w:t>É inconstitucional, por ofensa aos princípios da isonomia, da liberdade religiosa e da laicidade do Estado, norma que obrigue a manutenção de exemplar de determinado livro de cunho religioso em unidades escolares e bibliotecas públicas estaduais.</w:t>
      </w:r>
    </w:p>
    <w:p>
      <w:pPr>
        <w:ind w:left="288"/>
      </w:pPr>
      <w:r>
        <w:rPr>
          <w:b/>
          <w:color w:val="003CA0"/>
          <w:sz w:val="16"/>
        </w:rPr>
        <w:t>[ADI 5.258, rel. min. Cármen Lúcia, j. 13-4-2021, P, DJE de 27-4-2021.]</w:t>
      </w:r>
    </w:p>
    <w:p>
      <w:pPr>
        <w:ind w:left="288"/>
      </w:pPr>
      <w:r>
        <w:rPr>
          <w:color w:val="8C8C8C"/>
          <w:sz w:val="12"/>
        </w:rPr>
        <w:t>cf-art-5-inc-VI</w:t>
      </w:r>
      <w:r>
        <w:rPr>
          <w:color w:val="003CA0"/>
          <w:sz w:val="12"/>
        </w:rPr>
        <w:t xml:space="preserve"> | ADPF 811</w:t>
      </w:r>
      <w:r>
        <w:rPr>
          <w:color w:val="003CA0"/>
          <w:sz w:val="12"/>
        </w:rPr>
        <w:t xml:space="preserve"> | rel. Gilmar Mendes</w:t>
      </w:r>
    </w:p>
    <w:p>
      <w:pPr>
        <w:ind w:left="288"/>
      </w:pPr>
      <w:r>
        <w:rPr>
          <w:color w:val="1E1E1E"/>
          <w:sz w:val="18"/>
        </w:rPr>
        <w:t>“A dimensão do direito à liberdade religiosa (art. 5º, VI, da CF/1988) que reclama proteção jurídica na ADPF afasta-se do núcleo de liberdade de consciência (forum internum) e aproxima-se da proteção constitucionalmente conferida à liberdade do exercício de cultos em coletividade (forum externum). Sob a dimensão interna, a liberdade de consciência não se esgota no aspecto religioso, mas nele encontra expressão concreta de marcado relevo. Por outro lado, na dimensão externa, o texto constitucional brasileiro alberga a liberdade de crença, de aderir a alguma religião e a liberdade do exercício d</w:t>
      </w:r>
    </w:p>
    <w:p>
      <w:pPr>
        <w:ind w:left="288"/>
      </w:pPr>
      <w:r>
        <w:rPr>
          <w:b/>
          <w:color w:val="003CA0"/>
          <w:sz w:val="16"/>
        </w:rPr>
        <w:t>[ADPF 811, rel. min. Gilmar Mendes, j. 8-4-2021, P, DJE de 25-6-2021.]</w:t>
      </w:r>
    </w:p>
    <w:p>
      <w:pPr>
        <w:ind w:left="288"/>
      </w:pPr>
      <w:r>
        <w:rPr>
          <w:color w:val="8C8C8C"/>
          <w:sz w:val="12"/>
        </w:rPr>
        <w:t>cf-art-5-inc-VI</w:t>
      </w:r>
      <w:r>
        <w:rPr>
          <w:color w:val="003CA0"/>
          <w:sz w:val="12"/>
        </w:rPr>
        <w:t xml:space="preserve"> | ADI 5.257</w:t>
      </w:r>
      <w:r>
        <w:rPr>
          <w:color w:val="003CA0"/>
          <w:sz w:val="12"/>
        </w:rPr>
        <w:t xml:space="preserve"> | rel. Dias Toffoli</w:t>
      </w:r>
    </w:p>
    <w:p>
      <w:pPr>
        <w:ind w:left="288"/>
      </w:pPr>
      <w:r>
        <w:rPr>
          <w:color w:val="1E1E1E"/>
          <w:sz w:val="18"/>
        </w:rPr>
        <w:t>A oficialização da Bíblia como livro-base de fonte doutrinária para fundamentar princípios, usos e costumes de comunidades, igrejas e grupos no Estado de Rondônia implica inconstitucional discrímen entre crenças, além de caracterizar violação da neutralidade exigida do Estado pela Constituição Federal. Inconstitucionalidade do art. 1º da Lei 1.864/2008 do Estado de Rondônia. A previsão legal de utilização da Bíblia como base de decisões e atividades afins dos grupos grupos religiosos, tornando-as cogentes a ‘seus membros e a quem requerer usar os seus serviços ou vincular-se de alguma forma às</w:t>
      </w:r>
    </w:p>
    <w:p>
      <w:pPr>
        <w:ind w:left="288"/>
      </w:pPr>
      <w:r>
        <w:rPr>
          <w:b/>
          <w:color w:val="003CA0"/>
          <w:sz w:val="16"/>
        </w:rPr>
        <w:t>[ADI 5.257, rel. min. Dias Toffoli, j. 20-9-2018, P, DJE de 3-12-2018.]</w:t>
      </w:r>
    </w:p>
    <w:p>
      <w:pPr>
        <w:ind w:left="288"/>
      </w:pPr>
      <w:r>
        <w:rPr>
          <w:color w:val="8C8C8C"/>
          <w:sz w:val="12"/>
        </w:rPr>
        <w:t>cf-art-5-inc-VI</w:t>
      </w:r>
      <w:r>
        <w:rPr>
          <w:color w:val="003CA0"/>
          <w:sz w:val="12"/>
        </w:rPr>
        <w:t xml:space="preserve"> | ADI 2.566</w:t>
      </w:r>
      <w:r>
        <w:rPr>
          <w:color w:val="003CA0"/>
          <w:sz w:val="12"/>
        </w:rPr>
        <w:t xml:space="preserve"> | rel. Alexandre de Moraes</w:t>
      </w:r>
    </w:p>
    <w:p>
      <w:pPr>
        <w:ind w:left="288"/>
      </w:pPr>
      <w:r>
        <w:rPr>
          <w:color w:val="1E1E1E"/>
          <w:sz w:val="18"/>
        </w:rPr>
        <w:t>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pressupõem a livre troca de ideias e não apenas a divulgação de informações. O artigo 220 da Constituição Federal expressamente consagra a liberdade de expressão</w:t>
      </w:r>
    </w:p>
    <w:p>
      <w:pPr>
        <w:ind w:left="288"/>
      </w:pPr>
      <w:r>
        <w:rPr>
          <w:b/>
          <w:color w:val="003CA0"/>
          <w:sz w:val="16"/>
        </w:rPr>
        <w:t>[ADI 2.566, rel. min. Alexandre de Moraes, red. do ac. min. Edson Fachin, j. 16-5-2018, P, DJE de 23-10-2018.]</w:t>
      </w:r>
    </w:p>
    <w:p>
      <w:pPr>
        <w:ind w:left="288"/>
      </w:pPr>
      <w:r>
        <w:rPr>
          <w:color w:val="8C8C8C"/>
          <w:sz w:val="12"/>
        </w:rPr>
        <w:t>cf-art-5-inc-VI</w:t>
      </w:r>
      <w:r>
        <w:rPr>
          <w:color w:val="003CA0"/>
          <w:sz w:val="12"/>
        </w:rPr>
        <w:t xml:space="preserve"> | ADPF 54</w:t>
      </w:r>
      <w:r>
        <w:rPr>
          <w:color w:val="003CA0"/>
          <w:sz w:val="12"/>
        </w:rPr>
        <w:t xml:space="preserve"> | rel. Marco Aurélio</w:t>
      </w:r>
    </w:p>
    <w:p>
      <w:pPr>
        <w:ind w:left="288"/>
      </w:pPr>
      <w:r>
        <w:rPr>
          <w:color w:val="1E1E1E"/>
          <w:sz w:val="18"/>
        </w:rPr>
        <w:t>O Brasil é uma república laica, surgindo absolutamente neutro quanto às religiões.</w:t>
      </w:r>
    </w:p>
    <w:p>
      <w:pPr>
        <w:ind w:left="288"/>
      </w:pPr>
      <w:r>
        <w:rPr>
          <w:b/>
          <w:color w:val="003CA0"/>
          <w:sz w:val="16"/>
        </w:rPr>
        <w:t>[ADPF 54, rel. min. Marco Aurélio, j. 12-4-2012, P, DJE de 30-4-2013.]</w:t>
      </w:r>
    </w:p>
    <w:p>
      <w:pPr>
        <w:ind w:left="288"/>
      </w:pPr>
      <w:r>
        <w:rPr>
          <w:color w:val="8C8C8C"/>
          <w:sz w:val="12"/>
        </w:rPr>
        <w:t>cf-art-5-inc-VI</w:t>
      </w:r>
      <w:r>
        <w:rPr>
          <w:color w:val="003CA0"/>
          <w:sz w:val="12"/>
        </w:rPr>
        <w:t xml:space="preserve"> | ADI 4.439</w:t>
      </w:r>
      <w:r>
        <w:rPr>
          <w:color w:val="003CA0"/>
          <w:sz w:val="12"/>
        </w:rPr>
        <w:t xml:space="preserve"> | rel. Roberto Barroso</w:t>
      </w:r>
    </w:p>
    <w:p>
      <w:pPr>
        <w:ind w:left="288"/>
      </w:pPr>
      <w:r>
        <w:rPr>
          <w:color w:val="1E1E1E"/>
          <w:sz w:val="18"/>
        </w:rPr>
        <w:t>Vide ADI 4.439, rel. min. Roberto Barroso, red. do ac. min. Alexandre de Moraes, j. 27-9-2017, P, DJE de 21-6-2018 “1. Testemunhas de Jeová, quando maiores e capazes, têm o direito de recusar procedimento médico que envolva transfusão de sangue, com base na autonomia individual e na liberdade religiosa. 2. Como consequência, em respeito ao direito à vida e à saúde, fazem jus aos procedimentos alternativos disponíveis no Sistema Único de Saúde – SUS, podendo, se necessário, recorrer a tratamento fora de seu domicílio.”</w:t>
      </w:r>
    </w:p>
    <w:p>
      <w:pPr>
        <w:ind w:left="288"/>
      </w:pPr>
      <w:r>
        <w:rPr>
          <w:b/>
          <w:color w:val="003CA0"/>
          <w:sz w:val="16"/>
        </w:rPr>
        <w:t>[RE 979.742, rel. min. Luís Roberto Barroso, j. 25.09.2024, P, DJE de 26.11.2024, Tema 952, com mérito julgado.]</w:t>
      </w:r>
    </w:p>
    <w:p>
      <w:pPr>
        <w:ind w:left="288"/>
      </w:pPr>
      <w:r>
        <w:rPr>
          <w:color w:val="8C8C8C"/>
          <w:sz w:val="12"/>
        </w:rPr>
        <w:t>cf-art-5-inc-VI</w:t>
      </w:r>
      <w:r>
        <w:rPr>
          <w:color w:val="003CA0"/>
          <w:sz w:val="12"/>
        </w:rPr>
        <w:t xml:space="preserve"> | RE 1.212.272</w:t>
      </w:r>
      <w:r>
        <w:rPr>
          <w:color w:val="003CA0"/>
          <w:sz w:val="12"/>
        </w:rPr>
        <w:t xml:space="preserve"> | rel. Gilmar Mendes</w:t>
      </w:r>
    </w:p>
    <w:p>
      <w:pPr>
        <w:ind w:left="288"/>
      </w:pPr>
      <w:r>
        <w:rPr>
          <w:color w:val="1E1E1E"/>
          <w:sz w:val="18"/>
        </w:rPr>
        <w:t>“1. É permitido ao paciente, no gozo pleno de sua capacidade civil, a recusa, por motivos religiosos, de submeter-se a tratamento de saúde. A recusa, por razões religiosas, a tratamento de saúde é condicionada à decisão inequívoca, livre, informada e esclarecida do paciente, inclusive, quando veiculada por meio de diretivas antecipadas de vontade. 2. É possível a realização de procedimento médico, disponibilizado a todos pelo sistema público de saúde, com a interdição da realização de transfusão sanguínea ou outra medida excepcional, caso haja viabilidade técnico-científica de sucesso, anuênci</w:t>
      </w:r>
    </w:p>
    <w:p>
      <w:pPr>
        <w:ind w:left="288"/>
      </w:pPr>
      <w:r>
        <w:rPr>
          <w:b/>
          <w:color w:val="003CA0"/>
          <w:sz w:val="16"/>
        </w:rPr>
        <w:t>[RE 1.212.272, rel. min. Gilmar Mendes, j. 25.09.2024, P, DJE de 26.11.2024, Tema 1.069, com mérito julgado.]</w:t>
      </w:r>
    </w:p>
    <w:p>
      <w:pPr>
        <w:ind w:left="288"/>
      </w:pPr>
      <w:r>
        <w:rPr>
          <w:color w:val="8C8C8C"/>
          <w:sz w:val="12"/>
        </w:rPr>
        <w:t>cf-art-5-inc-VI</w:t>
      </w:r>
      <w:r>
        <w:rPr>
          <w:color w:val="003CA0"/>
          <w:sz w:val="12"/>
        </w:rPr>
        <w:t xml:space="preserve"> | RE 859.376</w:t>
      </w:r>
      <w:r>
        <w:rPr>
          <w:color w:val="003CA0"/>
          <w:sz w:val="12"/>
        </w:rPr>
        <w:t xml:space="preserve"> | rel. Luís Roberto Barroso</w:t>
      </w:r>
    </w:p>
    <w:p>
      <w:pPr>
        <w:ind w:left="288"/>
      </w:pPr>
      <w:r>
        <w:rPr>
          <w:color w:val="1E1E1E"/>
          <w:sz w:val="18"/>
        </w:rPr>
        <w:t>É constitucional a utilização de vestimentas ou acessórios relacionados à crença ou religião nas fotos de documentos oficiais, desde que não impeçam a adequada identificação individual, com rosto visível.</w:t>
      </w:r>
    </w:p>
    <w:p>
      <w:pPr>
        <w:ind w:left="288"/>
      </w:pPr>
      <w:r>
        <w:rPr>
          <w:b/>
          <w:color w:val="003CA0"/>
          <w:sz w:val="16"/>
        </w:rPr>
        <w:t>[RE 859.376, rel. min. Luís Roberto Barroso, j. 17.04.2024, P, DJE de 10.12.2024, Tema 953, com mérito julgado.]</w:t>
      </w:r>
    </w:p>
    <w:p>
      <w:pPr>
        <w:ind w:left="288"/>
      </w:pPr>
      <w:r>
        <w:rPr>
          <w:color w:val="8C8C8C"/>
          <w:sz w:val="12"/>
        </w:rPr>
        <w:t>cf-art-5-inc-VI</w:t>
      </w:r>
      <w:r>
        <w:rPr>
          <w:color w:val="003CA0"/>
          <w:sz w:val="12"/>
        </w:rPr>
        <w:t xml:space="preserve"> | ARE 1.267.879</w:t>
      </w:r>
      <w:r>
        <w:rPr>
          <w:color w:val="003CA0"/>
          <w:sz w:val="12"/>
        </w:rPr>
        <w:t xml:space="preserve"> | rel. Roberto Barroso</w:t>
      </w:r>
    </w:p>
    <w:p>
      <w:pPr>
        <w:ind w:left="288"/>
      </w:pPr>
      <w:r>
        <w:rPr>
          <w:color w:val="1E1E1E"/>
          <w:sz w:val="18"/>
        </w:rPr>
        <w:t>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 poder familiar.</w:t>
      </w:r>
    </w:p>
    <w:p>
      <w:pPr>
        <w:ind w:left="288"/>
      </w:pPr>
      <w:r>
        <w:rPr>
          <w:b/>
          <w:color w:val="003CA0"/>
          <w:sz w:val="16"/>
        </w:rPr>
        <w:t>[ARE 1.267.879, rel. min. Roberto Barroso, j. 17-12-2020, P, DJE de 8-4-2021. Tema 1.103, com mérito julgado]</w:t>
      </w:r>
    </w:p>
    <w:p>
      <w:pPr>
        <w:ind w:left="288"/>
      </w:pPr>
      <w:r>
        <w:rPr>
          <w:color w:val="8C8C8C"/>
          <w:sz w:val="12"/>
        </w:rPr>
        <w:t>cf-art-5-inc-VI</w:t>
      </w:r>
      <w:r>
        <w:rPr>
          <w:color w:val="003CA0"/>
          <w:sz w:val="12"/>
        </w:rPr>
        <w:t xml:space="preserve"> | ARE 1.315.221</w:t>
      </w:r>
      <w:r>
        <w:rPr>
          <w:color w:val="003CA0"/>
          <w:sz w:val="12"/>
        </w:rPr>
        <w:t xml:space="preserve"> | rel. Alexandre de Moraes</w:t>
      </w:r>
    </w:p>
    <w:p>
      <w:pPr>
        <w:ind w:left="288"/>
      </w:pPr>
      <w:r>
        <w:rPr>
          <w:color w:val="1E1E1E"/>
          <w:sz w:val="18"/>
        </w:rPr>
        <w:t xml:space="preserve">“O Poder Público tem a obrigação constitucional de garantir a plena liberdade religiosa. Entretanto, em face de sua laicidade, não pode ser subserviente, ou mesmo conivente com qualquer dogma ou princípio religioso que possa colocar em risco sua própria laicidade ou a efetividade dos demais direitos fundamentais - entre eles, o princípio isonômico no tratamento de todas as crenças e de seus adeptos, bem como dos agnósticos e ateus. Embora a Constituição Federal indubitavelmente consagre a inviolabilidade de liberdade de crença e de culto, esse direito fundamental admite limitações, levando-se </w:t>
      </w:r>
    </w:p>
    <w:p>
      <w:pPr>
        <w:ind w:left="288"/>
      </w:pPr>
      <w:r>
        <w:rPr>
          <w:b/>
          <w:color w:val="003CA0"/>
          <w:sz w:val="16"/>
        </w:rPr>
        <w:t>[ARE 1.315.221-AgR, rel. min. Alexandre de Moraes, j. 17-8-2021, 1ª T, DJE de 20-8-2021.]</w:t>
      </w:r>
    </w:p>
    <w:p>
      <w:pPr>
        <w:ind w:left="288"/>
      </w:pPr>
      <w:r>
        <w:rPr>
          <w:color w:val="8C8C8C"/>
          <w:sz w:val="12"/>
        </w:rPr>
        <w:t>cf-art-5-inc-VI</w:t>
      </w:r>
      <w:r>
        <w:rPr>
          <w:color w:val="003CA0"/>
          <w:sz w:val="12"/>
        </w:rPr>
        <w:t xml:space="preserve"> | ADPF 130</w:t>
      </w:r>
      <w:r>
        <w:rPr>
          <w:color w:val="003CA0"/>
          <w:sz w:val="12"/>
        </w:rPr>
        <w:t xml:space="preserve"> | rel. Gilmar Mendes</w:t>
      </w:r>
    </w:p>
    <w:p>
      <w:pPr>
        <w:ind w:left="288"/>
      </w:pPr>
      <w:r>
        <w:rPr>
          <w:color w:val="1E1E1E"/>
          <w:sz w:val="18"/>
        </w:rPr>
        <w:t>Liberdade de expressão. Decisões reclamadas que restringem difusão de conteúdo audiovisual em que formuladas sátiras a elementos religiosos inerentes ao Cristianismo. Ofensa à autoridade de decisão proferida pelo Supremo Tribunal Federal nos julgamentos da ADPF 130 e da ADI 2.404. Limites da liberdade artística. Importância da livre circulação de ideias em um Estado democrático. Proibição de divulgação de determinado conteúdo deve-se dar apenas em casos excepcionalíssimos, como na hipótese de configurar ocorrência de prática ilícita, de incitação à violência ou à discriminação, bem como de pro</w:t>
      </w:r>
    </w:p>
    <w:p>
      <w:pPr>
        <w:ind w:left="288"/>
      </w:pPr>
      <w:r>
        <w:rPr>
          <w:b/>
          <w:color w:val="003CA0"/>
          <w:sz w:val="16"/>
        </w:rPr>
        <w:t>[Rcl 38.782, rel. min. Gilmar Mendes, j. 3-11-2020, 2ª T, DJE de 24-2-2021.]</w:t>
      </w:r>
    </w:p>
    <w:p>
      <w:pPr>
        <w:ind w:left="288"/>
      </w:pPr>
      <w:r>
        <w:rPr>
          <w:color w:val="8C8C8C"/>
          <w:sz w:val="12"/>
        </w:rPr>
        <w:t>cf-art-5-inc-VI</w:t>
      </w:r>
      <w:r>
        <w:rPr>
          <w:color w:val="003CA0"/>
          <w:sz w:val="12"/>
        </w:rPr>
        <w:t xml:space="preserve"> | RE 494.601</w:t>
      </w:r>
      <w:r>
        <w:rPr>
          <w:color w:val="003CA0"/>
          <w:sz w:val="12"/>
        </w:rPr>
        <w:t xml:space="preserve"> | rel. Marco Aurélio</w:t>
      </w:r>
    </w:p>
    <w:p>
      <w:pPr>
        <w:ind w:left="288"/>
      </w:pPr>
      <w:r>
        <w:rPr>
          <w:color w:val="1E1E1E"/>
          <w:sz w:val="18"/>
        </w:rPr>
        <w:t>É constitucional a lei de proteção animal que, a fim de resguardar a liberdade religiosa, permite o sacrifício ritual de animais em cultos de religiões de matriz africana.</w:t>
      </w:r>
    </w:p>
    <w:p>
      <w:pPr>
        <w:ind w:left="288"/>
      </w:pPr>
      <w:r>
        <w:rPr>
          <w:b/>
          <w:color w:val="003CA0"/>
          <w:sz w:val="16"/>
        </w:rPr>
        <w:t>[RE 494.601, rel. min. Marco Aurélio, red. do ac. min. Edson Fachin, j. 28-3-2019, P, DJE de 19-11-2019.]</w:t>
      </w:r>
    </w:p>
    <w:p>
      <w:pPr>
        <w:ind w:left="288"/>
      </w:pPr>
      <w:r>
        <w:rPr>
          <w:color w:val="8C8C8C"/>
          <w:sz w:val="12"/>
        </w:rPr>
        <w:t>cf-art-5-inc-VI</w:t>
      </w:r>
      <w:r>
        <w:rPr>
          <w:color w:val="003CA0"/>
          <w:sz w:val="12"/>
        </w:rPr>
        <w:t xml:space="preserve"> | RHC 146.303</w:t>
      </w:r>
      <w:r>
        <w:rPr>
          <w:color w:val="003CA0"/>
          <w:sz w:val="12"/>
        </w:rPr>
        <w:t xml:space="preserve"> | rel. Edson Fachin</w:t>
      </w:r>
    </w:p>
    <w:p>
      <w:pPr>
        <w:ind w:left="288"/>
      </w:pPr>
      <w:r>
        <w:rPr>
          <w:color w:val="1E1E1E"/>
          <w:sz w:val="18"/>
        </w:rPr>
        <w:t>O direito à liberdade religiosa é, em grande medida, o direito à existência de uma multiplicidade de crenças/descrenças religiosas, que se vinculam e se harmonizam – para a sobrevivência de toda a multiplicidade de fés protegida constitucionalmente – na chamada tolerância religiosa. Há que se distinguir entre o discurso religioso (que é centrado na própria crença e nas razões da crença) e o discurso sobre a crença alheia, especialmente quando se faça com intuito de atingi-la, rebaixá-la ou desmerecê-la (ou a seus seguidores). Um é tipicamente a representação do direito à liberdade de crença re</w:t>
      </w:r>
    </w:p>
    <w:p>
      <w:pPr>
        <w:ind w:left="288"/>
      </w:pPr>
      <w:r>
        <w:rPr>
          <w:b/>
          <w:color w:val="003CA0"/>
          <w:sz w:val="16"/>
        </w:rPr>
        <w:t>[RHC 146.303, rel. min. Edson Fachin, red. do ac. min. Dias Toffoli, j. 6-3-2018, 2ª T, DJE de 7-8-2018.]</w:t>
      </w:r>
    </w:p>
    <w:p>
      <w:pPr>
        <w:ind w:left="288"/>
      </w:pPr>
      <w:r>
        <w:rPr>
          <w:color w:val="8C8C8C"/>
          <w:sz w:val="12"/>
        </w:rPr>
        <w:t>cf-art-5-inc-VI</w:t>
      </w:r>
      <w:r>
        <w:rPr>
          <w:color w:val="003CA0"/>
          <w:sz w:val="12"/>
        </w:rPr>
        <w:t xml:space="preserve"> | RHC 134.682</w:t>
      </w:r>
      <w:r>
        <w:rPr>
          <w:color w:val="003CA0"/>
          <w:sz w:val="12"/>
        </w:rPr>
        <w:t xml:space="preserve"> | rel. Edson Fachin</w:t>
      </w:r>
    </w:p>
    <w:p>
      <w:pPr>
        <w:ind w:left="288"/>
      </w:pPr>
      <w:r>
        <w:rPr>
          <w:color w:val="1E1E1E"/>
          <w:sz w:val="18"/>
        </w:rPr>
        <w:t>A liberdade religiosa e a de expressão constituem elementos fundantes da ordem constitucional e devem ser exercidas com observância dos demais direitos e garantias fundamentais, não alcançando, nessa ótica, condutas reveladoras de discriminação. No que toca especificamente à liberdade de expressão religiosa, cumpre reconhecer, nas hipóteses de religiões que se alçam a universais, que o discurso proselitista é da essência de seu integral exercício. De tal modo, a finalidade de alcançar o outro, mediante persuasão, configura comportamento intrínseco a religiões de tal natureza. Para a consecução</w:t>
      </w:r>
    </w:p>
    <w:p>
      <w:pPr>
        <w:ind w:left="288"/>
      </w:pPr>
      <w:r>
        <w:rPr>
          <w:b/>
          <w:color w:val="003CA0"/>
          <w:sz w:val="16"/>
        </w:rPr>
        <w:t>[RHC 134.682, rel. min. Edson Fachin, j. 29-11-2016, 1ª T, DJE de 29-8-2017.]</w:t>
      </w:r>
    </w:p>
    <w:p>
      <w:pPr>
        <w:ind w:left="288"/>
      </w:pPr>
      <w:r>
        <w:rPr>
          <w:color w:val="8C8C8C"/>
          <w:sz w:val="12"/>
        </w:rPr>
        <w:t>cf-art-5-inc-VI</w:t>
      </w:r>
      <w:r>
        <w:rPr>
          <w:color w:val="003CA0"/>
          <w:sz w:val="12"/>
        </w:rPr>
        <w:t xml:space="preserve"> | ADI 2.566</w:t>
      </w:r>
      <w:r>
        <w:rPr>
          <w:color w:val="003CA0"/>
          <w:sz w:val="12"/>
        </w:rPr>
        <w:t xml:space="preserve"> | rel. Alexandre de Moraes</w:t>
      </w:r>
    </w:p>
    <w:p>
      <w:pPr>
        <w:ind w:left="288"/>
      </w:pPr>
      <w:r>
        <w:rPr>
          <w:color w:val="1E1E1E"/>
          <w:sz w:val="18"/>
        </w:rPr>
        <w:t>Vide ADI 2.566, rel. min. Alexandre de Moraes, red. do ac. min. Edson Fachin, j. 16-5-2018, P, DJE de 23-10-2018</w:t>
      </w:r>
    </w:p>
    <w:p>
      <w:pPr>
        <w:ind w:left="288"/>
      </w:pPr>
      <w:r>
        <w:rPr>
          <w:color w:val="8C8C8C"/>
          <w:sz w:val="12"/>
        </w:rPr>
        <w:t>cf-art-5-inc-VII</w:t>
      </w:r>
      <w:r>
        <w:rPr>
          <w:color w:val="003CA0"/>
          <w:sz w:val="12"/>
        </w:rPr>
        <w:t xml:space="preserve"> | MS 40.556</w:t>
      </w:r>
      <w:r>
        <w:rPr>
          <w:color w:val="003CA0"/>
          <w:sz w:val="12"/>
        </w:rPr>
        <w:t xml:space="preserve"> | rel. Nunes Marques</w:t>
      </w:r>
    </w:p>
    <w:p>
      <w:pPr>
        <w:ind w:left="288"/>
      </w:pPr>
      <w:r>
        <w:rPr>
          <w:color w:val="1E1E1E"/>
          <w:sz w:val="18"/>
        </w:rPr>
        <w:t>VIII - ninguém será privado de direitos por motivo de crença religiosa ou de convicção filosófica ou política, salvo se as invocar para eximir-se de obrigação legal a todos imposta e recusar-se a cumprir prestação alternativa, fixada em lei; 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w:t>
      </w:r>
    </w:p>
    <w:p>
      <w:pPr>
        <w:ind w:left="288"/>
      </w:pPr>
      <w:r>
        <w:rPr>
          <w:b/>
          <w:color w:val="003CA0"/>
          <w:sz w:val="16"/>
        </w:rPr>
        <w:t>[MS 40.556 AgR, rel. min. Nunes Marques, j. 18-2-2026, 2ª T, DJE de 27-2-2026.]</w:t>
      </w:r>
    </w:p>
    <w:p>
      <w:pPr>
        <w:ind w:left="288"/>
      </w:pPr>
      <w:r>
        <w:rPr>
          <w:color w:val="8C8C8C"/>
          <w:sz w:val="12"/>
        </w:rPr>
        <w:t>cf-art-5-inc-VII</w:t>
      </w:r>
      <w:r>
        <w:rPr>
          <w:color w:val="003CA0"/>
          <w:sz w:val="12"/>
        </w:rPr>
        <w:t xml:space="preserve"> | ARE 1.267.879</w:t>
      </w:r>
      <w:r>
        <w:rPr>
          <w:color w:val="003CA0"/>
          <w:sz w:val="12"/>
        </w:rPr>
        <w:t xml:space="preserve"> | rel. Roberto Barroso</w:t>
      </w:r>
    </w:p>
    <w:p>
      <w:pPr>
        <w:ind w:left="288"/>
      </w:pPr>
      <w:r>
        <w:rPr>
          <w:color w:val="1E1E1E"/>
          <w:sz w:val="18"/>
        </w:rPr>
        <w:t>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 poder familiar.</w:t>
      </w:r>
    </w:p>
    <w:p>
      <w:pPr>
        <w:ind w:left="288"/>
      </w:pPr>
      <w:r>
        <w:rPr>
          <w:b/>
          <w:color w:val="003CA0"/>
          <w:sz w:val="16"/>
        </w:rPr>
        <w:t>[ARE 1.267.879, rel. min. Roberto Barroso, j. 17-12-2020, P, DJE de 8-4-2021. Tema 1.103, com mérito julgado.]</w:t>
      </w:r>
    </w:p>
    <w:p>
      <w:pPr>
        <w:ind w:left="288"/>
      </w:pPr>
      <w:r>
        <w:rPr>
          <w:color w:val="8C8C8C"/>
          <w:sz w:val="12"/>
        </w:rPr>
        <w:t>cf-art-5-inc-VII</w:t>
      </w:r>
      <w:r>
        <w:rPr>
          <w:color w:val="003CA0"/>
          <w:sz w:val="12"/>
        </w:rPr>
        <w:t xml:space="preserve"> | RE 611.874</w:t>
      </w:r>
      <w:r>
        <w:rPr>
          <w:color w:val="003CA0"/>
          <w:sz w:val="12"/>
        </w:rPr>
        <w:t xml:space="preserve"> | rel. Dias Toffoli</w:t>
      </w:r>
    </w:p>
    <w:p>
      <w:pPr>
        <w:ind w:left="288"/>
      </w:pPr>
      <w:r>
        <w:rPr>
          <w:color w:val="1E1E1E"/>
          <w:sz w:val="18"/>
        </w:rPr>
        <w:t>Nos termos do art. 5º, VIII, da CF, é possível a realização de etapas de concurso público em datas e horários distintos dos previstos em edital por candidato que invoca a escusa de consciência por motivo de crença religiosa, desde que presente a razoabilidade da alteração, a preservação da igualdade entre todos os candidatos e que não acarrete ônus desproporcional à Administração pública, que deverá decidir de maneira fundamentada.</w:t>
      </w:r>
    </w:p>
    <w:p>
      <w:pPr>
        <w:ind w:left="288"/>
      </w:pPr>
      <w:r>
        <w:rPr>
          <w:b/>
          <w:color w:val="003CA0"/>
          <w:sz w:val="16"/>
        </w:rPr>
        <w:t>[RE 611.874, rel. min. Dias Toffoli, red. do ac. min. Edson Fachin, j. 26-11-2020, P, DJE de 12-4-2021. Tema 386, com mérito julgado.]</w:t>
      </w:r>
    </w:p>
    <w:p>
      <w:pPr>
        <w:ind w:left="288"/>
      </w:pPr>
      <w:r>
        <w:rPr>
          <w:color w:val="8C8C8C"/>
          <w:sz w:val="12"/>
        </w:rPr>
        <w:t>cf-art-5-inc-VII</w:t>
      </w:r>
      <w:r>
        <w:rPr>
          <w:color w:val="003CA0"/>
          <w:sz w:val="12"/>
        </w:rPr>
        <w:t xml:space="preserve"> | ARE 1.099.099</w:t>
      </w:r>
      <w:r>
        <w:rPr>
          <w:color w:val="003CA0"/>
          <w:sz w:val="12"/>
        </w:rPr>
        <w:t xml:space="preserve"> | rel. Edson Fachin</w:t>
      </w:r>
    </w:p>
    <w:p>
      <w:pPr>
        <w:ind w:left="288"/>
      </w:pPr>
      <w:r>
        <w:rPr>
          <w:color w:val="1E1E1E"/>
          <w:sz w:val="18"/>
        </w:rPr>
        <w:t>Nos termos do art. 5º, VIII, da CRFB, é possível a Administração Pública, inclusive em estágio probatório, estabelecer critérios alternativos para o regular exercício dos deveres funcionais inerentes aos cargos públicos, em face de servidores que invocam escusa de consciência por motivos de crença religiosa, desde que presente a razoabilidade da alteração, não se caracterize o desvirtuamento no exercício de suas funções e não acarrete ônus desproporcional à Administração Pública, que deverá decidir de maneira fundamentada.</w:t>
      </w:r>
    </w:p>
    <w:p>
      <w:pPr>
        <w:ind w:left="288"/>
      </w:pPr>
      <w:r>
        <w:rPr>
          <w:b/>
          <w:color w:val="003CA0"/>
          <w:sz w:val="16"/>
        </w:rPr>
        <w:t>[ARE 1.099.099, rel. min. Edson Fachin, j. 26-11-2020, P, DJE de 12-4-2021. Tema 1.021, com mérito julgado.]</w:t>
      </w:r>
    </w:p>
    <w:p>
      <w:pPr>
        <w:ind w:left="288"/>
      </w:pPr>
      <w:r>
        <w:rPr>
          <w:color w:val="8C8C8C"/>
          <w:sz w:val="12"/>
        </w:rPr>
        <w:t>cf-art-5-inc-VII</w:t>
      </w:r>
      <w:r>
        <w:rPr>
          <w:color w:val="003CA0"/>
          <w:sz w:val="12"/>
        </w:rPr>
        <w:t xml:space="preserve"> | RE 1.319.019</w:t>
      </w:r>
      <w:r>
        <w:rPr>
          <w:color w:val="003CA0"/>
          <w:sz w:val="12"/>
        </w:rPr>
        <w:t xml:space="preserve"> | rel. Nunes Marques</w:t>
      </w:r>
    </w:p>
    <w:p>
      <w:pPr>
        <w:ind w:left="288"/>
      </w:pPr>
      <w:r>
        <w:rPr>
          <w:color w:val="1E1E1E"/>
          <w:sz w:val="18"/>
        </w:rPr>
        <w:t>Nos termos do art. 4º da Lei n. 5.292, de 8 de junho de 1967, os estudantes que concluíram curso de Medicina, Farmácia, Odontologia e Veterinária sem haver prestado o serviço militar obrigatório deverão apresentar-se para fazê-lo após a conclusão do bacharelado, de programa de residência médica ou pós-graduação. Havendo sido, o agravante, no início do curso de Medicina, contemplado pela prorrogação de cumprimento do serviço militar obrigatório, não lhe é lícito, ao término da graduação, postular um novo beneplácito consistente, dessa vez, em prestação alternativa. O manejo da via judicial para</w:t>
      </w:r>
    </w:p>
    <w:p>
      <w:pPr>
        <w:ind w:left="288"/>
      </w:pPr>
      <w:r>
        <w:rPr>
          <w:b/>
          <w:color w:val="003CA0"/>
          <w:sz w:val="16"/>
        </w:rPr>
        <w:t>[RE 1.319.019 AgR-segundo, rel. min. Nunes Marques, j. 24-10-2022, 2ª T, DJE de 11-11-2022.]</w:t>
      </w:r>
    </w:p>
    <w:p>
      <w:pPr>
        <w:ind w:left="288"/>
      </w:pPr>
      <w:r>
        <w:rPr>
          <w:color w:val="8C8C8C"/>
          <w:sz w:val="12"/>
        </w:rPr>
        <w:t>cf-art-5-inc-VII</w:t>
      </w:r>
      <w:r>
        <w:rPr>
          <w:color w:val="003CA0"/>
          <w:sz w:val="12"/>
        </w:rPr>
        <w:t xml:space="preserve"> | STA 389</w:t>
      </w:r>
      <w:r>
        <w:rPr>
          <w:color w:val="003CA0"/>
          <w:sz w:val="12"/>
        </w:rPr>
        <w:t xml:space="preserve"> | rel. Gilmar Mendes</w:t>
      </w:r>
    </w:p>
    <w:p>
      <w:pPr>
        <w:ind w:left="288"/>
      </w:pPr>
      <w:r>
        <w:rPr>
          <w:color w:val="1E1E1E"/>
          <w:sz w:val="18"/>
        </w:rPr>
        <w:t>Pedido de restabelecimento dos efeitos da decisão do Tribunal a quo que possibilitaria a participação de estudantes judeus no Exame Nacional do Ensino Médio (ENEM) em data alternativa ao Shabat. Alegação de inobservância ao direito fundamental de liberdade religiosa e ao direito à educação. Medida acautelatória que configura grave lesão à ordem jurídico-administrativa. Em mero juízo de delibação, pode-se afirmar que a designação de data alternativa para a realização dos exames não se revela em sintonia com o princípio da isonomia, convolando-se em privilégio para um determinado grupo religioso</w:t>
      </w:r>
    </w:p>
    <w:p>
      <w:pPr>
        <w:ind w:left="288"/>
      </w:pPr>
      <w:r>
        <w:rPr>
          <w:b/>
          <w:color w:val="003CA0"/>
          <w:sz w:val="16"/>
        </w:rPr>
        <w:t>[STA 389 AgR, rel. min. Gilmar Mendes, j. 3-12-2009, P, DJE de 14-5-2010.]</w:t>
      </w:r>
    </w:p>
    <w:p>
      <w:pPr>
        <w:ind w:left="288"/>
      </w:pPr>
      <w:r>
        <w:rPr>
          <w:color w:val="8C8C8C"/>
          <w:sz w:val="12"/>
        </w:rPr>
        <w:t>cf-art-5-inc-VII</w:t>
      </w:r>
      <w:r>
        <w:rPr>
          <w:color w:val="003CA0"/>
          <w:sz w:val="12"/>
        </w:rPr>
        <w:t xml:space="preserve"> | RE 130.206</w:t>
      </w:r>
      <w:r>
        <w:rPr>
          <w:color w:val="003CA0"/>
          <w:sz w:val="12"/>
        </w:rPr>
        <w:t xml:space="preserve"> | rel. Ilmar Galvão</w:t>
      </w:r>
    </w:p>
    <w:p>
      <w:pPr>
        <w:ind w:left="288"/>
      </w:pPr>
      <w:r>
        <w:rPr>
          <w:color w:val="1E1E1E"/>
          <w:sz w:val="18"/>
        </w:rPr>
        <w:t>Nulidade de ato de despedida de empregados de sociedade de economia mista, por razões de ordem político-partidária. (...) Decisão incensurável, por haver-se configurado flagrante violação ao princípio da liberdade de convicção política, constitucionalmente consagrado, ao qual estão especialmente adstritos os entes da administração pública.</w:t>
      </w:r>
    </w:p>
    <w:p>
      <w:pPr>
        <w:ind w:left="288"/>
      </w:pPr>
      <w:r>
        <w:rPr>
          <w:b/>
          <w:color w:val="003CA0"/>
          <w:sz w:val="16"/>
        </w:rPr>
        <w:t>[RE 130.206, rel. min. Ilmar Galvão, j. 17-9-1991, 1ª T, DJ de 22-11-1991.]</w:t>
      </w:r>
    </w:p>
    <w:p>
      <w:pPr>
        <w:ind w:left="288"/>
      </w:pPr>
      <w:r>
        <w:rPr>
          <w:color w:val="8C8C8C"/>
          <w:sz w:val="12"/>
        </w:rPr>
        <w:t>cf-art-5-inc-IX</w:t>
      </w:r>
      <w:r>
        <w:rPr>
          <w:color w:val="003CA0"/>
          <w:sz w:val="12"/>
        </w:rPr>
        <w:t xml:space="preserve"> | ADPF 522</w:t>
      </w:r>
      <w:r>
        <w:rPr>
          <w:color w:val="003CA0"/>
          <w:sz w:val="12"/>
        </w:rPr>
        <w:t xml:space="preserve"> | rel. Marco Aurélio</w:t>
      </w:r>
    </w:p>
    <w:p>
      <w:pPr>
        <w:ind w:left="288"/>
      </w:pPr>
      <w:r>
        <w:rPr>
          <w:color w:val="1E1E1E"/>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w:t>
      </w:r>
    </w:p>
    <w:p>
      <w:pPr>
        <w:ind w:left="288"/>
      </w:pPr>
      <w:r>
        <w:rPr>
          <w:b/>
          <w:color w:val="003CA0"/>
          <w:sz w:val="16"/>
        </w:rPr>
        <w:t>[ADPF 522, rel. min. Marco Aurélio, red. do ac. min. Cristiano Zanin, j. 15-10-2025, P, DJE de 23-2-2026.]</w:t>
      </w:r>
    </w:p>
    <w:p>
      <w:pPr>
        <w:ind w:left="288"/>
      </w:pPr>
      <w:r>
        <w:rPr>
          <w:color w:val="8C8C8C"/>
          <w:sz w:val="12"/>
        </w:rPr>
        <w:t>cf-art-5-inc-IX</w:t>
      </w:r>
      <w:r>
        <w:rPr>
          <w:color w:val="003CA0"/>
          <w:sz w:val="12"/>
        </w:rPr>
        <w:t xml:space="preserve"> | ADI 7.261</w:t>
      </w:r>
      <w:r>
        <w:rPr>
          <w:color w:val="003CA0"/>
          <w:sz w:val="12"/>
        </w:rPr>
        <w:t xml:space="preserve"> | rel. Edson Fachin</w:t>
      </w:r>
    </w:p>
    <w:p>
      <w:pPr>
        <w:ind w:left="288"/>
      </w:pPr>
      <w:r>
        <w:rPr>
          <w:color w:val="1E1E1E"/>
          <w:sz w:val="18"/>
        </w:rPr>
        <w:t>A Resolução TSE nº. 23.714/2022 não consiste em exercício de censura prévia. A disseminação de notícias falsas, no curto prazo do processo eleitoral, pode ter a força de ocupar todo espaço público, restringindo a circulação de ideias e o livre exercício do direito à informação. O fenômeno da desinformação veiculada por meio da internet, caso não fiscalizado pela autoridade eleitoral, tem o condão de restringir a formação livre e consciente da vontade do eleitor.</w:t>
      </w:r>
    </w:p>
    <w:p>
      <w:pPr>
        <w:ind w:left="288"/>
      </w:pPr>
      <w:r>
        <w:rPr>
          <w:b/>
          <w:color w:val="003CA0"/>
          <w:sz w:val="16"/>
        </w:rPr>
        <w:t>[ADI 7.261, rel. min. Edson Fachin, j. 19.12.2024, P, DJE de 06.03.2024.]</w:t>
      </w:r>
    </w:p>
    <w:p>
      <w:pPr>
        <w:ind w:left="288"/>
      </w:pPr>
      <w:r>
        <w:rPr>
          <w:color w:val="8C8C8C"/>
          <w:sz w:val="12"/>
        </w:rPr>
        <w:t>cf-art-5-inc-IX</w:t>
      </w:r>
      <w:r>
        <w:rPr>
          <w:color w:val="003CA0"/>
          <w:sz w:val="12"/>
        </w:rPr>
        <w:t xml:space="preserve"> | ADI 6.792</w:t>
      </w:r>
      <w:r>
        <w:rPr>
          <w:color w:val="003CA0"/>
          <w:sz w:val="12"/>
        </w:rPr>
        <w:t xml:space="preserve"> | rel. Rosa Weber</w:t>
      </w:r>
    </w:p>
    <w:p>
      <w:pPr>
        <w:ind w:left="288"/>
      </w:pPr>
      <w:r>
        <w:rPr>
          <w:color w:val="1E1E1E"/>
          <w:sz w:val="18"/>
        </w:rPr>
        <w:t>“1. Constitui assédio judicial comprometedor da liberdade de expressão o ajuizamento de inúmeras ações a respeito dos mesmos fatos, em comarcas diversas, com o intuito ou o efeito de constranger jornalista ou órgão de imprensa, dificultar sua defesa ou torná-la excessivamente onerosa. 2. Caracterizado o assédio judicial, a parte demandada poderá requerer a reunião de todas as ações no foro de seu domicílio. 3. A responsabilidade civil de jornalistas ou de órgãos de imprensa somente estará configurada em caso inequívoco de dolo ou de culpa grave (evidente negligência profissional na apuração do</w:t>
      </w:r>
    </w:p>
    <w:p>
      <w:pPr>
        <w:ind w:left="288"/>
      </w:pPr>
      <w:r>
        <w:rPr>
          <w:b/>
          <w:color w:val="003CA0"/>
          <w:sz w:val="16"/>
        </w:rPr>
        <w:t>[ADI 6.792 e ADI 7.055, rel. min. Rosa Weber, red. do ac. Luís Roberto Barroso, j. 22.05.2024, P, DJE de 04.04.2025.]</w:t>
      </w:r>
    </w:p>
    <w:p>
      <w:pPr>
        <w:ind w:left="288"/>
      </w:pPr>
      <w:r>
        <w:rPr>
          <w:color w:val="8C8C8C"/>
          <w:sz w:val="12"/>
        </w:rPr>
        <w:t>cf-art-5-inc-IX</w:t>
      </w:r>
      <w:r>
        <w:rPr>
          <w:color w:val="003CA0"/>
          <w:sz w:val="12"/>
        </w:rPr>
        <w:t xml:space="preserve"> | ADPF 475</w:t>
      </w:r>
      <w:r>
        <w:rPr>
          <w:color w:val="003CA0"/>
          <w:sz w:val="12"/>
        </w:rPr>
        <w:t xml:space="preserve"> | rel. Dias Toffoli</w:t>
      </w:r>
    </w:p>
    <w:p>
      <w:pPr>
        <w:ind w:left="288"/>
      </w:pPr>
      <w:r>
        <w:rPr>
          <w:color w:val="1E1E1E"/>
          <w:sz w:val="18"/>
        </w:rPr>
        <w:t>Artigo 166 do Decreto-Lei nº 1.001, de 21 de outubro de 1969. Código Penal Militar. (...) Na espécie, está-se diante de dispositivo do Código Penal Militar que proíbe os militares de criticar publicamente ato de seu superior ou assunto atinente à disciplina militar, ou a qualquer resolução do governo, sob pena de detenção. (...) A previsão normativa em apreço não ofende, a priori, os princípios e valores constitucionalmente protegidos. Ao reprimir a crítica dos militares “a atos de seu superior ou assunto atinente à disciplina militar, ou a qualquer resolução do Governo”, a norma pretende evit</w:t>
      </w:r>
    </w:p>
    <w:p>
      <w:pPr>
        <w:ind w:left="288"/>
      </w:pPr>
      <w:r>
        <w:rPr>
          <w:b/>
          <w:color w:val="003CA0"/>
          <w:sz w:val="16"/>
        </w:rPr>
        <w:t>[ADPF 475, rel. min. Dias Toffoli, j. 13-4-2023, P, DJE de 4-5-2023.]</w:t>
      </w:r>
    </w:p>
    <w:p>
      <w:pPr>
        <w:ind w:left="288"/>
      </w:pPr>
      <w:r>
        <w:rPr>
          <w:color w:val="8C8C8C"/>
          <w:sz w:val="12"/>
        </w:rPr>
        <w:t>cf-art-5-inc-IX</w:t>
      </w:r>
      <w:r>
        <w:rPr>
          <w:color w:val="003CA0"/>
          <w:sz w:val="12"/>
        </w:rPr>
        <w:t xml:space="preserve"> | ADPF 734</w:t>
      </w:r>
      <w:r>
        <w:rPr>
          <w:color w:val="003CA0"/>
          <w:sz w:val="12"/>
        </w:rPr>
        <w:t xml:space="preserve"> | rel. Dias Toffoli</w:t>
      </w:r>
    </w:p>
    <w:p>
      <w:pPr>
        <w:ind w:left="288"/>
      </w:pPr>
      <w:r>
        <w:rPr>
          <w:color w:val="1E1E1E"/>
          <w:sz w:val="18"/>
        </w:rPr>
        <w:t>Vide ADPF 734, rel. min. Dias Toffoli, j. 13-4-2023, P, DJE de 4-5-2023 Artigo 31, incisos IV e V, da Lei nº 6.425/72 do Estado de Pernambuco, a qual institui o estatuto policial no âmbito daquele estado. (...) Na espécie, impugna-se lei estadual que proíbe os policiais civis do Estado de Pernambuco de “promover ou participar de manifestações de apreço ou desapreço a quaisquer autoridades” e de “manifestar-se ou participar de manifestações contra atos da Administração Pública em geral”. (...) As restrições preconizadas no ato normativo em apreço são adequadas, necessárias e proporcionais, morm</w:t>
      </w:r>
    </w:p>
    <w:p>
      <w:pPr>
        <w:ind w:left="288"/>
      </w:pPr>
      <w:r>
        <w:rPr>
          <w:b/>
          <w:color w:val="003CA0"/>
          <w:sz w:val="16"/>
        </w:rPr>
        <w:t>[ADPF 734, rel. min. Dias Toffoli, j. 13-4-2023, P, DJE de 4-5-2023.]</w:t>
      </w:r>
    </w:p>
    <w:p>
      <w:pPr>
        <w:ind w:left="288"/>
      </w:pPr>
      <w:r>
        <w:rPr>
          <w:color w:val="8C8C8C"/>
          <w:sz w:val="12"/>
        </w:rPr>
        <w:t>cf-art-5-inc-IX</w:t>
      </w:r>
      <w:r>
        <w:rPr>
          <w:color w:val="003CA0"/>
          <w:sz w:val="12"/>
        </w:rPr>
        <w:t xml:space="preserve"> | ADPF 475</w:t>
      </w:r>
      <w:r>
        <w:rPr>
          <w:color w:val="003CA0"/>
          <w:sz w:val="12"/>
        </w:rPr>
        <w:t xml:space="preserve"> | rel. Dias Toffoli</w:t>
      </w:r>
    </w:p>
    <w:p>
      <w:pPr>
        <w:ind w:left="288"/>
      </w:pPr>
      <w:r>
        <w:rPr>
          <w:color w:val="1E1E1E"/>
          <w:sz w:val="18"/>
        </w:rPr>
        <w:t>Vide ADPF 475, rel. min. Dias Toffoli, j. 13-4-2023, P, DJE de 4-5-2023 Propaganda eleitoral paga em periódicos impressos e na internet. (...) A propaganda eleitoral é disciplinada em lei, que pode estipular limites para sua realização, nos diversos meios de comunicação, sem que isso signifique ofensa as liberdades de expressão, de imprensa ou de informação. Tais limitações, prescritas dentro da razoabilidade e da proporcionalidade, igualmente não importam em desrespeito aos princípios da democracia, da República e do pluralismo político, tampouco aos postulados da liberdade de iniciativa e da</w:t>
      </w:r>
    </w:p>
    <w:p>
      <w:pPr>
        <w:ind w:left="288"/>
      </w:pPr>
      <w:r>
        <w:rPr>
          <w:b/>
          <w:color w:val="003CA0"/>
          <w:sz w:val="16"/>
        </w:rPr>
        <w:t>[ADI 6.281, rel. min. Luiz Fux, red. do ac. min. Nunes Marques, j. 17-2-2022, P, DJE de 26-5-2022.]</w:t>
      </w:r>
    </w:p>
    <w:p>
      <w:pPr>
        <w:ind w:left="288"/>
      </w:pPr>
      <w:r>
        <w:rPr>
          <w:color w:val="8C8C8C"/>
          <w:sz w:val="12"/>
        </w:rPr>
        <w:t>cf-art-5-inc-IX</w:t>
      </w:r>
      <w:r>
        <w:rPr>
          <w:color w:val="003CA0"/>
          <w:sz w:val="12"/>
        </w:rPr>
        <w:t xml:space="preserve"> | ADI 5.970</w:t>
      </w:r>
      <w:r>
        <w:rPr>
          <w:color w:val="003CA0"/>
          <w:sz w:val="12"/>
        </w:rPr>
        <w:t xml:space="preserve"> | rel. Dias Toffoli</w:t>
      </w:r>
    </w:p>
    <w:p>
      <w:pPr>
        <w:ind w:left="288"/>
      </w:pPr>
      <w:r>
        <w:rPr>
          <w:color w:val="1E1E1E"/>
          <w:sz w:val="18"/>
        </w:rPr>
        <w:t>É (...) assegurado a todo cidadão manifestar seu apreço ou sua antipatia por qualquer candidato, garantia que, por óbvio, contempla os artistas que escolherem expressar, por meio de seu trabalho, um posicionamento político antes, durante ou depois do período eleitoral. A proibição dos showmícios e eventos assemelhados não vulnera a liberdade de expressão, já que a norma em questão não se traduz em uma censura prévia ou em proibição do engajamento político dos artistas, visto que dela não se extrai impedimento para que um artista manifeste seu posicionamento político em seus shows ou em suas ap</w:t>
      </w:r>
    </w:p>
    <w:p>
      <w:pPr>
        <w:ind w:left="288"/>
      </w:pPr>
      <w:r>
        <w:rPr>
          <w:b/>
          <w:color w:val="003CA0"/>
          <w:sz w:val="16"/>
        </w:rPr>
        <w:t>[ADI 5.970, rel. min. Dias Toffoli, j. 7-10-2021, P, DJE de 8-3-2022.]</w:t>
      </w:r>
    </w:p>
    <w:p>
      <w:pPr>
        <w:ind w:left="288"/>
      </w:pPr>
      <w:r>
        <w:rPr>
          <w:color w:val="8C8C8C"/>
          <w:sz w:val="12"/>
        </w:rPr>
        <w:t>cf-art-5-inc-IX</w:t>
      </w:r>
      <w:r>
        <w:rPr>
          <w:color w:val="003CA0"/>
          <w:sz w:val="12"/>
        </w:rPr>
        <w:t xml:space="preserve"> | ADI 5.418</w:t>
      </w:r>
      <w:r>
        <w:rPr>
          <w:color w:val="003CA0"/>
          <w:sz w:val="12"/>
        </w:rPr>
        <w:t xml:space="preserve"> | rel. Dias Toffoli</w:t>
      </w:r>
    </w:p>
    <w:p>
      <w:pPr>
        <w:ind w:left="288"/>
      </w:pPr>
      <w:r>
        <w:rPr>
          <w:color w:val="1E1E1E"/>
          <w:sz w:val="18"/>
        </w:rPr>
        <w:t>O direito de resposta possibilita que a liberdade de expressão seja exercida em sua plenitude, pois é acionado apenas após a livre e irrestrita manifestação do pensamento. Além disso, o direito de resposta concede ao ofendido espaço adequado para que exerça, com o necessário alcance, seu direito de voz no espaço público.</w:t>
      </w:r>
    </w:p>
    <w:p>
      <w:pPr>
        <w:ind w:left="288"/>
      </w:pPr>
      <w:r>
        <w:rPr>
          <w:b/>
          <w:color w:val="003CA0"/>
          <w:sz w:val="16"/>
        </w:rPr>
        <w:t>[ADI 5.418, rel. min. Dias Toffoli, j. 11-3-2021, P, DJE de 25-5-2021.]</w:t>
      </w:r>
    </w:p>
    <w:p>
      <w:pPr>
        <w:ind w:left="288"/>
      </w:pPr>
      <w:r>
        <w:rPr>
          <w:color w:val="8C8C8C"/>
          <w:sz w:val="12"/>
        </w:rPr>
        <w:t>cf-art-5-inc-IX</w:t>
      </w:r>
      <w:r>
        <w:rPr>
          <w:color w:val="003CA0"/>
          <w:sz w:val="12"/>
        </w:rPr>
        <w:t xml:space="preserve"> | ADPF 572</w:t>
      </w:r>
      <w:r>
        <w:rPr>
          <w:color w:val="003CA0"/>
          <w:sz w:val="12"/>
        </w:rPr>
        <w:t xml:space="preserve"> | rel. Edson Fachin</w:t>
      </w:r>
    </w:p>
    <w:p>
      <w:pPr>
        <w:ind w:left="288"/>
      </w:pPr>
      <w:r>
        <w:rPr>
          <w:color w:val="1E1E1E"/>
          <w:sz w:val="18"/>
        </w:rPr>
        <w:t>Nos limites desse processo, diante de incitamento ao fechamento do STF, de ameaça de morte ou de prisão de seus membros, de apregoada desobediência a decisões judiciais, arguição de descumprimento de preceito fundamental julgada totalmente improcedente, nos termos expressos em que foi formulado o pedido ao final da petição inicial, para declarar a constitucionalidade da Portaria GP 69/2019 enquanto constitucional o artigo 43 do RISTF, nas específicas e próprias circunstâncias de fato com esse ato exclusivamente envolvidas. Resta assentado o sentido adequado do referido ato a fim de que o proce</w:t>
      </w:r>
    </w:p>
    <w:p>
      <w:pPr>
        <w:ind w:left="288"/>
      </w:pPr>
      <w:r>
        <w:rPr>
          <w:b/>
          <w:color w:val="003CA0"/>
          <w:sz w:val="16"/>
        </w:rPr>
        <w:t>[ADPF 572, rel. min. Edson Fachin, j. 18-6-2020, P, DJE de 7-5-2021.]</w:t>
      </w:r>
    </w:p>
    <w:p>
      <w:pPr>
        <w:ind w:left="288"/>
      </w:pPr>
      <w:r>
        <w:rPr>
          <w:color w:val="8C8C8C"/>
          <w:sz w:val="12"/>
        </w:rPr>
        <w:t>cf-art-5-inc-IX</w:t>
      </w:r>
      <w:r>
        <w:rPr>
          <w:color w:val="003CA0"/>
          <w:sz w:val="12"/>
        </w:rPr>
        <w:t xml:space="preserve"> | ADPF 548</w:t>
      </w:r>
      <w:r>
        <w:rPr>
          <w:color w:val="003CA0"/>
          <w:sz w:val="12"/>
        </w:rPr>
        <w:t xml:space="preserve"> | rel. Cármen Lúcia</w:t>
      </w:r>
    </w:p>
    <w:p>
      <w:pPr>
        <w:ind w:left="288"/>
      </w:pPr>
      <w:r>
        <w:rPr>
          <w:color w:val="1E1E1E"/>
          <w:sz w:val="18"/>
        </w:rPr>
        <w:t xml:space="preserve">Afronta aos princípios da liberdade de manifestação de pensamento e da autonomia universitária. (...) Inconstitucionalidade de interpretação dos arts. 24 e 37 da Lei n. 9.504/1997 que conduza a atos judiciais ou administrativos que possibilitem, determinem ou promovam ingresso de agentes públicos em universidades públicas e privadas, recolhimento de documentos, interrupção de aulas, debates ou manifestações de docentes e discentes universitários, a atividade disciplinar docente e discente e coleta irregular de depoimentos pela prática de manifestação livre de ideias e divulgação de pensamento </w:t>
      </w:r>
    </w:p>
    <w:p>
      <w:pPr>
        <w:ind w:left="288"/>
      </w:pPr>
      <w:r>
        <w:rPr>
          <w:b/>
          <w:color w:val="003CA0"/>
          <w:sz w:val="16"/>
        </w:rPr>
        <w:t>[ADPF 548, rel. min. Cármen Lúcia, j. 15-5-2020, P, DJE de 9-6-2020.]</w:t>
      </w:r>
    </w:p>
    <w:p>
      <w:pPr>
        <w:ind w:left="288"/>
      </w:pPr>
      <w:r>
        <w:rPr>
          <w:color w:val="8C8C8C"/>
          <w:sz w:val="12"/>
        </w:rPr>
        <w:t>cf-art-5-inc-IX</w:t>
      </w:r>
      <w:r>
        <w:rPr>
          <w:color w:val="003CA0"/>
          <w:sz w:val="12"/>
        </w:rPr>
        <w:t xml:space="preserve"> | ADPF 183</w:t>
      </w:r>
      <w:r>
        <w:rPr>
          <w:color w:val="003CA0"/>
          <w:sz w:val="12"/>
        </w:rPr>
        <w:t xml:space="preserve"> | rel. Alexandre de Moraes</w:t>
      </w:r>
    </w:p>
    <w:p>
      <w:pPr>
        <w:ind w:left="288"/>
      </w:pPr>
      <w:r>
        <w:rPr>
          <w:color w:val="1E1E1E"/>
          <w:sz w:val="18"/>
        </w:rPr>
        <w:t>As limitações ao livre exercício das profissões serão legítimas apenas quando o inadequado exercício de determinada atividade possa vir a causar danos a terceiros e desde que obedeçam a critérios de adequação e razoabilidade, o que não ocorre em relação ao exercício da profissão de músico, ausente qualquer interesse público na sua restrição. A existência de um conselho profissional com competências para selecionar, disciplinar e fiscalizar o exercício da profissão de músico (art. 1º), para proceder a registros profissionais obrigatórios, para expedir carteiras profissionais obrigatórias (arts.</w:t>
      </w:r>
    </w:p>
    <w:p>
      <w:pPr>
        <w:ind w:left="288"/>
      </w:pPr>
      <w:r>
        <w:rPr>
          <w:b/>
          <w:color w:val="003CA0"/>
          <w:sz w:val="16"/>
        </w:rPr>
        <w:t>[ADPF 183, rel. min. Alexandre de Moraes, j. 27-9-2019, P, DJE de 18-11-2019.]</w:t>
      </w:r>
    </w:p>
    <w:p>
      <w:pPr>
        <w:ind w:left="288"/>
      </w:pPr>
      <w:r>
        <w:rPr>
          <w:color w:val="8C8C8C"/>
          <w:sz w:val="12"/>
        </w:rPr>
        <w:t>cf-art-5-inc-IX</w:t>
      </w:r>
      <w:r>
        <w:rPr>
          <w:color w:val="003CA0"/>
          <w:sz w:val="12"/>
        </w:rPr>
        <w:t xml:space="preserve"> | ADI 4.451</w:t>
      </w:r>
      <w:r>
        <w:rPr>
          <w:color w:val="003CA0"/>
          <w:sz w:val="12"/>
        </w:rPr>
        <w:t xml:space="preserve"> | rel. Alexandre de Moraes</w:t>
      </w:r>
    </w:p>
    <w:p>
      <w:pPr>
        <w:ind w:left="288"/>
      </w:pPr>
      <w:r>
        <w:rPr>
          <w:color w:val="1E1E1E"/>
          <w:sz w:val="18"/>
        </w:rPr>
        <w:t>A Democracia não existirá e a livre participação política não florescerá onde a liberdade de expressão for ceifada, pois esta constitui condição essencial ao pluralismo de ideias, que por sua vez é um valor estruturante para o salutar funcionamento do sistema democrático. A livre discussão, a ampla participação política e o princípio democrático estão interligados com a liberdade de expressão, tendo por objeto não somente a proteção de pensamentos e ideias, mas também opiniões, crenças, realização de juízo de valor e críticas a agentes públicos, no sentido de garantir a real participação dos c</w:t>
      </w:r>
    </w:p>
    <w:p>
      <w:pPr>
        <w:ind w:left="288"/>
      </w:pPr>
      <w:r>
        <w:rPr>
          <w:b/>
          <w:color w:val="003CA0"/>
          <w:sz w:val="16"/>
        </w:rPr>
        <w:t>[ADI 4.451, rel. min. Alexandre de Moraes, j. 21-6-2018, P, DJE de 6-3-2019.]</w:t>
      </w:r>
    </w:p>
    <w:p>
      <w:pPr>
        <w:ind w:left="288"/>
      </w:pPr>
      <w:r>
        <w:rPr>
          <w:color w:val="8C8C8C"/>
          <w:sz w:val="12"/>
        </w:rPr>
        <w:t>cf-art-5-inc-IX</w:t>
      </w:r>
      <w:r>
        <w:rPr>
          <w:color w:val="003CA0"/>
          <w:sz w:val="12"/>
        </w:rPr>
        <w:t xml:space="preserve"> | ADI 2.566</w:t>
      </w:r>
      <w:r>
        <w:rPr>
          <w:color w:val="003CA0"/>
          <w:sz w:val="12"/>
        </w:rPr>
        <w:t xml:space="preserve"> | rel. Alexandre de Moraes</w:t>
      </w:r>
    </w:p>
    <w:p>
      <w:pPr>
        <w:ind w:left="288"/>
      </w:pPr>
      <w:r>
        <w:rPr>
          <w:color w:val="1E1E1E"/>
          <w:sz w:val="18"/>
        </w:rPr>
        <w:t>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pressupõem a livre troca de ideias e não apenas a divulgação de informações. O artigo 220 da Constituição Federal expressamente consagra a liberdade de expressão</w:t>
      </w:r>
    </w:p>
    <w:p>
      <w:pPr>
        <w:ind w:left="288"/>
      </w:pPr>
      <w:r>
        <w:rPr>
          <w:b/>
          <w:color w:val="003CA0"/>
          <w:sz w:val="16"/>
        </w:rPr>
        <w:t>[ADI 2.566, rel. min. Alexandre de Moraes, red. do ac. min. Edson Fachin, j. 16-5-2018, P, DJE de 23-10-2018.]</w:t>
      </w:r>
    </w:p>
    <w:p>
      <w:pPr>
        <w:ind w:left="288"/>
      </w:pPr>
      <w:r>
        <w:rPr>
          <w:color w:val="8C8C8C"/>
          <w:sz w:val="12"/>
        </w:rPr>
        <w:t>cf-art-5-inc-IX</w:t>
      </w:r>
      <w:r>
        <w:rPr>
          <w:color w:val="003CA0"/>
          <w:sz w:val="12"/>
        </w:rPr>
        <w:t xml:space="preserve"> | ADI 2.404</w:t>
      </w:r>
      <w:r>
        <w:rPr>
          <w:color w:val="003CA0"/>
          <w:sz w:val="12"/>
        </w:rPr>
        <w:t xml:space="preserve"> | rel. Dias Toffoli</w:t>
      </w:r>
    </w:p>
    <w:p>
      <w:pPr>
        <w:ind w:left="288"/>
      </w:pPr>
      <w:r>
        <w:rPr>
          <w:color w:val="1E1E1E"/>
          <w:sz w:val="18"/>
        </w:rPr>
        <w:t xml:space="preserve">A própria Constituição da República delineou as regras de sopesamento entre os valores da liberdade de expressão dos meios de comunicação e da proteção da criança e do adolescente. Apesar da garantia constitucional da liberdade de expressão, livre de censura ou licença, a própria Carta de 1988 conferiu à União, com exclusividade, no art. 21, XVI, o desempenho da atividade material de " exercer a classificação, para efeito indicativo, de diversões públicas e de programas de rádio e televisão" . A CF estabeleceu mecanismo apto a oferecer aos telespectadores das diversões públicas e de programas </w:t>
      </w:r>
    </w:p>
    <w:p>
      <w:pPr>
        <w:ind w:left="288"/>
      </w:pPr>
      <w:r>
        <w:rPr>
          <w:b/>
          <w:color w:val="003CA0"/>
          <w:sz w:val="16"/>
        </w:rPr>
        <w:t>[ADI 2.404, rel. min. Dias Toffoli, j. 31-8-2016, P, DJE de 1º-8-2017.]</w:t>
      </w:r>
    </w:p>
    <w:p>
      <w:pPr>
        <w:ind w:left="288"/>
      </w:pPr>
      <w:r>
        <w:rPr>
          <w:color w:val="8C8C8C"/>
          <w:sz w:val="12"/>
        </w:rPr>
        <w:t>cf-art-5-inc-IX</w:t>
      </w:r>
      <w:r>
        <w:rPr>
          <w:color w:val="003CA0"/>
          <w:sz w:val="12"/>
        </w:rPr>
        <w:t xml:space="preserve"> | ADI 5.136</w:t>
      </w:r>
      <w:r>
        <w:rPr>
          <w:color w:val="003CA0"/>
          <w:sz w:val="12"/>
        </w:rPr>
        <w:t xml:space="preserve"> | rel. Gilmar Mendes</w:t>
      </w:r>
    </w:p>
    <w:p>
      <w:pPr>
        <w:ind w:left="288"/>
      </w:pPr>
      <w:r>
        <w:rPr>
          <w:color w:val="1E1E1E"/>
          <w:sz w:val="18"/>
        </w:rPr>
        <w:t>Ação direta de inconstitucionalidade. Parágrafo 1º do art. 28 da Lei 12.663/2012 ("Lei Geral da Copa"). Violação da liberdade de expressão. Inexistência. Aplicação do princípio da proporcionalidade. Juízo de ponderação do legislador para limitar manifestações que tenderiam a gerar maiores conflitos e atentar contra a segurança dos participantes de evento de grande porte.</w:t>
      </w:r>
    </w:p>
    <w:p>
      <w:pPr>
        <w:ind w:left="288"/>
      </w:pPr>
      <w:r>
        <w:rPr>
          <w:b/>
          <w:color w:val="003CA0"/>
          <w:sz w:val="16"/>
        </w:rPr>
        <w:t>[ADI 5.136 MC, rel. min. Gilmar Mendes, j. 1º-7-2014, P, DJE de 30-10-2014.]</w:t>
      </w:r>
    </w:p>
    <w:p>
      <w:pPr>
        <w:ind w:left="288"/>
      </w:pPr>
      <w:r>
        <w:rPr>
          <w:color w:val="8C8C8C"/>
          <w:sz w:val="12"/>
        </w:rPr>
        <w:t>cf-art-5-inc-IX</w:t>
      </w:r>
      <w:r>
        <w:rPr>
          <w:color w:val="003CA0"/>
          <w:sz w:val="12"/>
        </w:rPr>
        <w:t xml:space="preserve"> | ADPF 130</w:t>
      </w:r>
      <w:r>
        <w:rPr>
          <w:color w:val="003CA0"/>
          <w:sz w:val="12"/>
        </w:rPr>
        <w:t xml:space="preserve"> | rel. Ayres Britto</w:t>
      </w:r>
    </w:p>
    <w:p>
      <w:pPr>
        <w:ind w:left="288"/>
      </w:pPr>
      <w:r>
        <w:rPr>
          <w:color w:val="1E1E1E"/>
          <w:sz w:val="18"/>
        </w:rPr>
        <w:t>O pensamento crítico é parte integrante da informação plena e fidedigna. O possível conteúdo socialmente útil da obra compensa eventuais excessos de estilo e da própria verve do autor. O exercício concreto da liberdade de imprensa assegura ao jornalista o direito de expender críticas a qualquer pessoa, ainda que em tom áspero ou contundente, especialmente contra as autoridades e os agentes do Estado. A crítica jornalística, pela sua relação de inerência com o interesse público, não é aprioristicamente suscetível de censura, mesmo que legislativa ou judicialmente intentada. O próprio das ativid</w:t>
      </w:r>
    </w:p>
    <w:p>
      <w:pPr>
        <w:ind w:left="288"/>
      </w:pPr>
      <w:r>
        <w:rPr>
          <w:b/>
          <w:color w:val="003CA0"/>
          <w:sz w:val="16"/>
        </w:rPr>
        <w:t>[ADPF 130, rel. min. Ayres Britto, j. 30-4-2009, P, DJE de 6-11-2009.]</w:t>
      </w:r>
    </w:p>
    <w:p>
      <w:pPr>
        <w:ind w:left="288"/>
      </w:pPr>
      <w:r>
        <w:rPr>
          <w:color w:val="8C8C8C"/>
          <w:sz w:val="12"/>
        </w:rPr>
        <w:t>cf-art-5-inc-IX</w:t>
      </w:r>
      <w:r>
        <w:rPr>
          <w:color w:val="003CA0"/>
          <w:sz w:val="12"/>
        </w:rPr>
        <w:t xml:space="preserve"> | ADI 4.451</w:t>
      </w:r>
      <w:r>
        <w:rPr>
          <w:color w:val="003CA0"/>
          <w:sz w:val="12"/>
        </w:rPr>
        <w:t xml:space="preserve"> | rel. Alexandre de Moraes</w:t>
      </w:r>
    </w:p>
    <w:p>
      <w:pPr>
        <w:ind w:left="288"/>
      </w:pPr>
      <w:r>
        <w:rPr>
          <w:color w:val="1E1E1E"/>
          <w:sz w:val="18"/>
        </w:rPr>
        <w:t>Vide ADI 4.451, rel. min. Alexandre de Moraes, j. 21-6-2018, P, DJE de 6-3-2019 Vide Rcl 22.238, rel. min. Roberto Barroso, j. 6-3-2018, 1ª T, DJE de 10-5-2018 O termo "ciência", enquanto atividade individual, faz parte do catálogo dos direitos fundamentais da pessoa humana (inciso IX do art. 5º da CF). Liberdade de expressão que se afigura como clássico direito constitucional-civil ou genuíno direito de personalidade. Por isso que exigente do máximo de proteção jurídica, até como signo de vida coletiva civilizada. Tão qualificadora do indivíduo e da sociedade é essa vocação para os misteres d</w:t>
      </w:r>
    </w:p>
    <w:p>
      <w:pPr>
        <w:ind w:left="288"/>
      </w:pPr>
      <w:r>
        <w:rPr>
          <w:b/>
          <w:color w:val="003CA0"/>
          <w:sz w:val="16"/>
        </w:rPr>
        <w:t>[ADI 3.510, rel. min. Ayres Britto, j. 29-5-2008, P, DJE de 28-5-2010.]</w:t>
      </w:r>
    </w:p>
    <w:p>
      <w:pPr>
        <w:ind w:left="288"/>
      </w:pPr>
      <w:r>
        <w:rPr>
          <w:color w:val="8C8C8C"/>
          <w:sz w:val="12"/>
        </w:rPr>
        <w:t>cf-art-5-inc-IX</w:t>
      </w:r>
      <w:r>
        <w:rPr>
          <w:color w:val="003CA0"/>
          <w:sz w:val="12"/>
        </w:rPr>
        <w:t xml:space="preserve"> | RE 1.037.396</w:t>
      </w:r>
      <w:r>
        <w:rPr>
          <w:color w:val="003CA0"/>
          <w:sz w:val="12"/>
        </w:rPr>
        <w:t xml:space="preserve"> | rel. Dias Toffoli</w:t>
      </w:r>
    </w:p>
    <w:p>
      <w:pPr>
        <w:ind w:left="288"/>
      </w:pPr>
      <w:r>
        <w:rPr>
          <w:color w:val="1E1E1E"/>
          <w:sz w:val="18"/>
        </w:rPr>
        <w:t>“Reconhecimento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direitos fundamentais e da democracia). Interpretação do art. 19 do MCI 2. Enquant</w:t>
      </w:r>
    </w:p>
    <w:p>
      <w:pPr>
        <w:ind w:left="288"/>
      </w:pPr>
      <w:r>
        <w:rPr>
          <w:b/>
          <w:color w:val="003CA0"/>
          <w:sz w:val="16"/>
        </w:rPr>
        <w:t>[RE 1.037.396, rel. min. Dias Toffoli, j. 26.06.2025, P, DJE de 05.11.2025, Tema 987, com mérito julgado e RE 1.057.258, rel. min. Luiz Fux, j. 26.06.2025, P, DJE de 05.11.2025, Tema 533, com mérito julgado.]</w:t>
      </w:r>
    </w:p>
    <w:p>
      <w:pPr>
        <w:ind w:left="288"/>
      </w:pPr>
      <w:r>
        <w:rPr>
          <w:color w:val="8C8C8C"/>
          <w:sz w:val="12"/>
        </w:rPr>
        <w:t>cf-art-5-inc-IX</w:t>
      </w:r>
      <w:r>
        <w:rPr>
          <w:color w:val="003CA0"/>
          <w:sz w:val="12"/>
        </w:rPr>
        <w:t xml:space="preserve"> | RE 1.075.412</w:t>
      </w:r>
      <w:r>
        <w:rPr>
          <w:color w:val="003CA0"/>
          <w:sz w:val="12"/>
        </w:rPr>
        <w:t xml:space="preserve"> | rel. Edson Fachin</w:t>
      </w:r>
    </w:p>
    <w:p>
      <w:pPr>
        <w:ind w:left="288"/>
      </w:pPr>
      <w:r>
        <w:rPr>
          <w:color w:val="1E1E1E"/>
          <w:sz w:val="18"/>
        </w:rPr>
        <w:t>“1.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contraditório pelo veículo; 2. Na hipótese de entrevistas realizadas e transmitidas ao viv</w:t>
      </w:r>
    </w:p>
    <w:p>
      <w:pPr>
        <w:ind w:left="288"/>
      </w:pPr>
      <w:r>
        <w:rPr>
          <w:b/>
          <w:color w:val="003CA0"/>
          <w:sz w:val="16"/>
        </w:rPr>
        <w:t>[RE 1.075.412 ED, rel. min. Edson Fachin, j. 20.03.2025, P, DJE de 27.06.2025, Tema 995, com mérito julgado.]</w:t>
      </w:r>
    </w:p>
    <w:p>
      <w:pPr>
        <w:ind w:left="288"/>
      </w:pPr>
      <w:r>
        <w:rPr>
          <w:color w:val="8C8C8C"/>
          <w:sz w:val="12"/>
        </w:rPr>
        <w:t>cf-art-5-inc-IX</w:t>
      </w:r>
      <w:r>
        <w:rPr>
          <w:color w:val="003CA0"/>
          <w:sz w:val="12"/>
        </w:rPr>
        <w:t xml:space="preserve"> | RE 1.010.606</w:t>
      </w:r>
      <w:r>
        <w:rPr>
          <w:color w:val="003CA0"/>
          <w:sz w:val="12"/>
        </w:rPr>
        <w:t xml:space="preserve"> | rel. Dias Toffoli</w:t>
      </w:r>
    </w:p>
    <w:p>
      <w:pPr>
        <w:ind w:left="288"/>
      </w:pPr>
      <w:r>
        <w:rPr>
          <w:color w:val="1E1E1E"/>
          <w:sz w:val="18"/>
        </w:rPr>
        <w:t>É incompatível com a Constituição a ideia de um direito ao esquecimento, assim entendido como o poder de obstar, em razão da passagem do tempo, a divulgação de fatos ou dados verídicos e licitamente obtidos e publicados em meios de comunicação social analógicos ou digitais. Eventuais excessos ou abusos no exercício da liberdade de expressão e de informação devem ser analisados caso a caso, a partir dos parâmetros constitucionais - especialmente os relativos à proteção da honra, da imagem, da privacidade e da personalidade em geral - e das expressas e específicas previsões legais nos âmbitos pe</w:t>
      </w:r>
    </w:p>
    <w:p>
      <w:pPr>
        <w:ind w:left="288"/>
      </w:pPr>
      <w:r>
        <w:rPr>
          <w:b/>
          <w:color w:val="003CA0"/>
          <w:sz w:val="16"/>
        </w:rPr>
        <w:t>[RE 1.010.606, rel. min. Dias Toffoli, j. 11-2-2021, P, DJE de 20-5-2021. Tema 786, com mérito julgado.]</w:t>
      </w:r>
    </w:p>
    <w:p>
      <w:pPr>
        <w:ind w:left="288"/>
      </w:pPr>
      <w:r>
        <w:rPr>
          <w:color w:val="8C8C8C"/>
          <w:sz w:val="12"/>
        </w:rPr>
        <w:t>cf-art-5-inc-IX</w:t>
      </w:r>
      <w:r>
        <w:rPr>
          <w:color w:val="003CA0"/>
          <w:sz w:val="12"/>
        </w:rPr>
        <w:t xml:space="preserve"> | RE 685.493</w:t>
      </w:r>
      <w:r>
        <w:rPr>
          <w:color w:val="003CA0"/>
          <w:sz w:val="12"/>
        </w:rPr>
        <w:t xml:space="preserve"> | rel. Marco Aurélio</w:t>
      </w:r>
    </w:p>
    <w:p>
      <w:pPr>
        <w:ind w:left="288"/>
      </w:pPr>
      <w:r>
        <w:rPr>
          <w:color w:val="1E1E1E"/>
          <w:sz w:val="18"/>
        </w:rPr>
        <w:t>Ante conflito entre a liberdade de expressão de agente político, na defesa da coisa pública, e honra de terceiro, há de prevalecer o interesse coletivo, da sociedade, não cabendo potencializar o individual.</w:t>
      </w:r>
    </w:p>
    <w:p>
      <w:pPr>
        <w:ind w:left="288"/>
      </w:pPr>
      <w:r>
        <w:rPr>
          <w:b/>
          <w:color w:val="003CA0"/>
          <w:sz w:val="16"/>
        </w:rPr>
        <w:t>[RE 685.493, rel. min. Marco Aurélio, j. 22-5-2020, P, DJE de 17-8-2020. Tema 562, com mérito julgado.]</w:t>
      </w:r>
    </w:p>
    <w:p>
      <w:pPr>
        <w:ind w:left="288"/>
      </w:pPr>
      <w:r>
        <w:rPr>
          <w:color w:val="8C8C8C"/>
          <w:sz w:val="12"/>
        </w:rPr>
        <w:t>cf-art-5-inc-IX</w:t>
      </w:r>
      <w:r>
        <w:rPr>
          <w:color w:val="003CA0"/>
          <w:sz w:val="12"/>
        </w:rPr>
        <w:t xml:space="preserve"> | RE 414.426</w:t>
      </w:r>
      <w:r>
        <w:rPr>
          <w:color w:val="003CA0"/>
          <w:sz w:val="12"/>
        </w:rPr>
        <w:t xml:space="preserve"> | rel. Ellen Gracie</w:t>
      </w:r>
    </w:p>
    <w:p>
      <w:pPr>
        <w:ind w:left="288"/>
      </w:pPr>
      <w:r>
        <w:rPr>
          <w:color w:val="1E1E1E"/>
          <w:sz w:val="18"/>
        </w:rPr>
        <w:t>O Plenário do STF, no julgamento do RE 414.426, rel. min. Ellen Gracie, DJE de 10-10-2011, firmou o entendimento de que a atividade de músico é manifestação artística protegida pela garantia da liberdade de expressão, sendo, por isso, incompatível com a CF de 1988 a exigência de inscrição na Ordem dos Músicos do Brasil, bem como de pagamento de anuidade, para o exercício de tal profissão. Recurso extraordinário provido, com o reconhecimento da repercussão geral do tema e a reafirmação da jurisprudência sobre a matéria.</w:t>
      </w:r>
    </w:p>
    <w:p>
      <w:pPr>
        <w:ind w:left="288"/>
      </w:pPr>
      <w:r>
        <w:rPr>
          <w:b/>
          <w:color w:val="003CA0"/>
          <w:sz w:val="16"/>
        </w:rPr>
        <w:t>[RE 795.467 RG, rel. min. Teori Zavascki, j. 5-6-2014, P, DJE de 24-6-2014. Tema 738, com mérito julgado.]</w:t>
      </w:r>
    </w:p>
    <w:p>
      <w:pPr>
        <w:ind w:left="288"/>
      </w:pPr>
      <w:r>
        <w:rPr>
          <w:color w:val="8C8C8C"/>
          <w:sz w:val="12"/>
        </w:rPr>
        <w:t>cf-art-5-inc-IX</w:t>
      </w:r>
      <w:r>
        <w:rPr>
          <w:color w:val="003CA0"/>
          <w:sz w:val="12"/>
        </w:rPr>
        <w:t xml:space="preserve"> | PET 9.935</w:t>
      </w:r>
      <w:r>
        <w:rPr>
          <w:color w:val="003CA0"/>
          <w:sz w:val="12"/>
        </w:rPr>
        <w:t xml:space="preserve"> | rel. Alexandre de Moraes</w:t>
      </w:r>
    </w:p>
    <w:p>
      <w:pPr>
        <w:ind w:left="288"/>
      </w:pPr>
      <w:r>
        <w:rPr>
          <w:color w:val="1E1E1E"/>
          <w:sz w:val="18"/>
        </w:rPr>
        <w:t>A Constituição da República Federativa do Brasil de 1988 não permite que se confunda “liberdade de expressão” com “liberdade de agressão” ou “inexistente censura” com “necessária proibição constitucional ao discurso de ódio e de incitação a atos antidemocráticos”. Toda e qualquer entidade privada que exerça sua atividade econômica em território nacional deve respeitar o ordenamento jurídico nacional e cumprir, de forma efetiva, comandos diretos emitidos pelo Poder Judiciário brasileiro. O Código Civil brasileiro estabelece que a constituição de qualquer sociedade, obrigatoriamente, deve indica</w:t>
      </w:r>
    </w:p>
    <w:p>
      <w:pPr>
        <w:ind w:left="288"/>
      </w:pPr>
      <w:r>
        <w:rPr>
          <w:b/>
          <w:color w:val="003CA0"/>
          <w:sz w:val="16"/>
        </w:rPr>
        <w:t>[Pet 9.935 REF, rel. min. Alexandre de Moraes, j. 17.03.2025, 1ª T, DJE de 20.03.2025.]</w:t>
      </w:r>
    </w:p>
    <w:p>
      <w:pPr>
        <w:ind w:left="288"/>
      </w:pPr>
      <w:r>
        <w:rPr>
          <w:color w:val="8C8C8C"/>
          <w:sz w:val="12"/>
        </w:rPr>
        <w:t>cf-art-5-inc-IX</w:t>
      </w:r>
      <w:r>
        <w:rPr>
          <w:color w:val="003CA0"/>
          <w:sz w:val="12"/>
        </w:rPr>
        <w:t xml:space="preserve"> | MS 39.378</w:t>
      </w:r>
      <w:r>
        <w:rPr>
          <w:color w:val="003CA0"/>
          <w:sz w:val="12"/>
        </w:rPr>
        <w:t xml:space="preserve"> | rel. Luiz Fux</w:t>
      </w:r>
    </w:p>
    <w:p>
      <w:pPr>
        <w:ind w:left="288"/>
      </w:pPr>
      <w:r>
        <w:rPr>
          <w:color w:val="1E1E1E"/>
          <w:sz w:val="18"/>
        </w:rPr>
        <w:t>O livre exercício da profissão e das liberdades comunicativas não é, contudo, absoluto e deve observar limites constitucionais e legais, sendo possível a responsabilização civil, penal e administrativa por atos ilícitos eventualmente praticados. Há maior tolerância quanto a matérias de cunho potencialmente lesivo à honra dos agentes públicos, especialmente quando existente interesse público no conteúdo, no entanto, não lhes é negada a inviolabilidade das comunicações telefônicas (ou por dados) nem o núcleo essencial do direito à privacidade. (...) Deferimento monocrático de liminar, ad referen</w:t>
      </w:r>
    </w:p>
    <w:p>
      <w:pPr>
        <w:ind w:left="288"/>
      </w:pPr>
      <w:r>
        <w:rPr>
          <w:b/>
          <w:color w:val="003CA0"/>
          <w:sz w:val="16"/>
        </w:rPr>
        <w:t>[MS 39.378 MC-REF, rel. min. Luiz Fux, j. 2-10-2023, P, DJE de 23-10-2023.]</w:t>
      </w:r>
    </w:p>
    <w:p>
      <w:pPr>
        <w:ind w:left="288"/>
      </w:pPr>
      <w:r>
        <w:rPr>
          <w:color w:val="8C8C8C"/>
          <w:sz w:val="12"/>
        </w:rPr>
        <w:t>cf-art-5-inc-IX</w:t>
      </w:r>
      <w:r>
        <w:rPr>
          <w:color w:val="003CA0"/>
          <w:sz w:val="12"/>
        </w:rPr>
        <w:t xml:space="preserve"> | PET 10.391</w:t>
      </w:r>
      <w:r>
        <w:rPr>
          <w:color w:val="003CA0"/>
          <w:sz w:val="12"/>
        </w:rPr>
        <w:t xml:space="preserve"> | rel. Roberto Barroso</w:t>
      </w:r>
    </w:p>
    <w:p>
      <w:pPr>
        <w:ind w:left="288"/>
      </w:pPr>
      <w:r>
        <w:rPr>
          <w:color w:val="1E1E1E"/>
          <w:sz w:val="18"/>
        </w:rPr>
        <w:t>Utilização de perfis nas redes sociais para a propagação de discursos com conteúdo de ódio, subversão da ordem e incentivo à quebra da normalidade institucional e democrática. Abuso do direito de liberdade de expressão. Necessidade e adequação no bloqueio de perfis para fazer cessar a atividade criminosa. (...) A liberdade de expressão é consagrada constitucionalmente e balizada pelo binômio LIBERDADE E RESPONSABILIDADE, ou seja, o exercício desse direito não pode ser utilizado como verdadeiro escudo protetivo para a prática de atividades ilícitas. Não se confunde liberdade de expressão com im</w:t>
      </w:r>
    </w:p>
    <w:p>
      <w:pPr>
        <w:ind w:left="288"/>
      </w:pPr>
      <w:r>
        <w:rPr>
          <w:b/>
          <w:color w:val="003CA0"/>
          <w:sz w:val="16"/>
        </w:rPr>
        <w:t>[Pet 10.391 AgR, rel. min. Roberto Barroso, j. 14-11-2022, P, DJE de 14-2-2023.]</w:t>
      </w:r>
    </w:p>
    <w:p>
      <w:pPr>
        <w:ind w:left="288"/>
      </w:pPr>
      <w:r>
        <w:rPr>
          <w:color w:val="8C8C8C"/>
          <w:sz w:val="12"/>
        </w:rPr>
        <w:t>cf-art-5-inc-IX</w:t>
      </w:r>
      <w:r>
        <w:rPr>
          <w:color w:val="003CA0"/>
          <w:sz w:val="12"/>
        </w:rPr>
        <w:t xml:space="preserve"> | ADPF 130</w:t>
      </w:r>
      <w:r>
        <w:rPr>
          <w:color w:val="003CA0"/>
          <w:sz w:val="12"/>
        </w:rPr>
        <w:t xml:space="preserve"> | rel. Gilmar Mendes</w:t>
      </w:r>
    </w:p>
    <w:p>
      <w:pPr>
        <w:ind w:left="288"/>
      </w:pPr>
      <w:r>
        <w:rPr>
          <w:color w:val="1E1E1E"/>
          <w:sz w:val="18"/>
        </w:rPr>
        <w:t>Liberdade de expressão. Decisões reclamadas que restringem difusão de conteúdo audiovisual em que formuladas sátiras a elementos religiosos inerentes ao Cristianismo. Ofensa à autoridade de decisão proferida pelo Supremo Tribunal Federal nos julgamentos da ADPF 130 e da ADI 2.404. Limites da liberdade artística. Importância da livre circulação de ideias em um Estado democrático. Proibição de divulgação de determinado conteúdo deve-se dar apenas em casos excepcionalíssimos, como na hipótese de configurar ocorrência de prática ilícita, de incitação à violência ou à discriminação, bem como de pro</w:t>
      </w:r>
    </w:p>
    <w:p>
      <w:pPr>
        <w:ind w:left="288"/>
      </w:pPr>
      <w:r>
        <w:rPr>
          <w:b/>
          <w:color w:val="003CA0"/>
          <w:sz w:val="16"/>
        </w:rPr>
        <w:t>[Rcl 38.782, rel. min. Gilmar Mendes, j. 3-11-2020, 2ª T, DJE de 24-2-2021.]</w:t>
      </w:r>
    </w:p>
    <w:p>
      <w:pPr>
        <w:ind w:left="288"/>
      </w:pPr>
      <w:r>
        <w:rPr>
          <w:color w:val="8C8C8C"/>
          <w:sz w:val="12"/>
        </w:rPr>
        <w:t>cf-art-5-inc-IX</w:t>
      </w:r>
      <w:r>
        <w:rPr>
          <w:color w:val="003CA0"/>
          <w:sz w:val="12"/>
        </w:rPr>
        <w:t xml:space="preserve"> | AI 705.630</w:t>
      </w:r>
      <w:r>
        <w:rPr>
          <w:color w:val="003CA0"/>
          <w:sz w:val="12"/>
        </w:rPr>
        <w:t xml:space="preserve"> | rel. Celso de Mello</w:t>
      </w:r>
    </w:p>
    <w:p>
      <w:pPr>
        <w:ind w:left="288"/>
      </w:pPr>
      <w:r>
        <w:rPr>
          <w:color w:val="1E1E1E"/>
          <w:sz w:val="18"/>
        </w:rPr>
        <w:t>A liberdade de imprensa, enquanto projeção das liberdades de comunicação e de manifestação do pensamento, reveste-se de conteúdo abrangente, por compreender, entre outras prerrogativas relevantes que lhe são inerentes, o direito de informar, o direito de buscar a informação, o direito de opinar e o direito de criticar. A crítica jornalística, desse modo, traduz direito impregnado de qualificação constitucional, plenamente oponível aos que exercem qualquer atividade de interesse da coletividade em geral, pois o interesse social, que legitima o direito de criticar, sobrepõe-se a eventuais suscet</w:t>
      </w:r>
    </w:p>
    <w:p>
      <w:pPr>
        <w:ind w:left="288"/>
      </w:pPr>
      <w:r>
        <w:rPr>
          <w:b/>
          <w:color w:val="003CA0"/>
          <w:sz w:val="16"/>
        </w:rPr>
        <w:t>[AI 705.630 AgR, rel. min. Celso de Mello, j. 22-3-2011, 2ª T, DJE de 6-4-2011.]</w:t>
      </w:r>
    </w:p>
    <w:p>
      <w:pPr>
        <w:ind w:left="288"/>
      </w:pPr>
      <w:r>
        <w:rPr>
          <w:color w:val="8C8C8C"/>
          <w:sz w:val="12"/>
        </w:rPr>
        <w:t>cf-art-5-inc-IX</w:t>
      </w:r>
      <w:r>
        <w:rPr>
          <w:color w:val="003CA0"/>
          <w:sz w:val="12"/>
        </w:rPr>
        <w:t xml:space="preserve"> | RE 511.961</w:t>
      </w:r>
      <w:r>
        <w:rPr>
          <w:color w:val="003CA0"/>
          <w:sz w:val="12"/>
        </w:rPr>
        <w:t xml:space="preserve"> | rel. Gilmar Mendes</w:t>
      </w:r>
    </w:p>
    <w:p>
      <w:pPr>
        <w:ind w:left="288"/>
      </w:pPr>
      <w:r>
        <w:rPr>
          <w:color w:val="1E1E1E"/>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w:t>
      </w:r>
    </w:p>
    <w:p>
      <w:pPr>
        <w:ind w:left="288"/>
      </w:pPr>
      <w:r>
        <w:rPr>
          <w:b/>
          <w:color w:val="003CA0"/>
          <w:sz w:val="16"/>
        </w:rPr>
        <w:t>[RE 511.961, rel. min. Gilmar Mendes, j. 17-6-2009, P, DJE de 13-11-2009.]</w:t>
      </w:r>
    </w:p>
    <w:p>
      <w:pPr>
        <w:ind w:left="288"/>
      </w:pPr>
      <w:r>
        <w:rPr>
          <w:color w:val="8C8C8C"/>
          <w:sz w:val="12"/>
        </w:rPr>
        <w:t>cf-art-5-inc-IX</w:t>
      </w:r>
      <w:r>
        <w:rPr>
          <w:color w:val="003CA0"/>
          <w:sz w:val="12"/>
        </w:rPr>
        <w:t xml:space="preserve"> | INQ 2.297</w:t>
      </w:r>
      <w:r>
        <w:rPr>
          <w:color w:val="003CA0"/>
          <w:sz w:val="12"/>
        </w:rPr>
        <w:t xml:space="preserve"> | rel. Cármen Lúcia</w:t>
      </w:r>
    </w:p>
    <w:p>
      <w:pPr>
        <w:ind w:left="288"/>
      </w:pPr>
      <w:r>
        <w:rPr>
          <w:color w:val="1E1E1E"/>
          <w:sz w:val="18"/>
        </w:rPr>
        <w:t>Inquérito. Ação penal privada. Queixa-crime oferecida contra deputado federal e jornalista. Pretensas ofensas praticadas pelo primeiro querelado e publicadas pela segunda querelada em matéria jornalística (...). As afirmações tidas como ofensivas pelo querelante foram feitas no exercício do mandato parlamentar, por ter o querelado se manifestado na condição de deputado federal e de presidente da Câmara, não sendo possível desvincular aquelas afirmações do exercício da ampla liberdade de expressão, típica da atividade parlamentar (art. 51 da Constituição da República). O art. 53 da Constituição</w:t>
      </w:r>
    </w:p>
    <w:p>
      <w:pPr>
        <w:ind w:left="288"/>
      </w:pPr>
      <w:r>
        <w:rPr>
          <w:b/>
          <w:color w:val="003CA0"/>
          <w:sz w:val="16"/>
        </w:rPr>
        <w:t>[Inq 2.297, rel. min. Cármen Lúcia, j. 20-9-2007, P, DJ de 19-10-2007.]</w:t>
      </w:r>
    </w:p>
    <w:p>
      <w:pPr>
        <w:ind w:left="288"/>
      </w:pPr>
      <w:r>
        <w:rPr>
          <w:color w:val="8C8C8C"/>
          <w:sz w:val="12"/>
        </w:rPr>
        <w:t>cf-art-5-inc-X</w:t>
      </w:r>
    </w:p>
    <w:p>
      <w:pPr>
        <w:ind w:left="288"/>
      </w:pPr>
      <w:r>
        <w:rPr>
          <w:color w:val="1E1E1E"/>
          <w:sz w:val="18"/>
        </w:rP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88"/>
      </w:pPr>
      <w:r>
        <w:rPr>
          <w:b/>
          <w:color w:val="003CA0"/>
          <w:sz w:val="16"/>
        </w:rPr>
        <w:t>[Súmula Vinculante 11.]</w:t>
      </w:r>
    </w:p>
    <w:p>
      <w:pPr>
        <w:ind w:left="288"/>
      </w:pPr>
      <w:r>
        <w:rPr>
          <w:color w:val="8C8C8C"/>
          <w:sz w:val="12"/>
        </w:rPr>
        <w:t>cf-art-5-inc-X</w:t>
      </w:r>
      <w:r>
        <w:rPr>
          <w:color w:val="003CA0"/>
          <w:sz w:val="12"/>
        </w:rPr>
        <w:t xml:space="preserve"> | MS 40.556</w:t>
      </w:r>
      <w:r>
        <w:rPr>
          <w:color w:val="003CA0"/>
          <w:sz w:val="12"/>
        </w:rPr>
        <w:t xml:space="preserve"> | rel. Nunes Marques</w:t>
      </w:r>
    </w:p>
    <w:p>
      <w:pPr>
        <w:ind w:left="288"/>
      </w:pPr>
      <w:r>
        <w:rPr>
          <w:color w:val="1E1E1E"/>
          <w:sz w:val="18"/>
        </w:rPr>
        <w:t>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VI, VIII, X e XVII), além do princípio do juiz natural, não se enquadrando em hipótese de restrição constitucionalmente autorizada.</w:t>
      </w:r>
    </w:p>
    <w:p>
      <w:pPr>
        <w:ind w:left="288"/>
      </w:pPr>
      <w:r>
        <w:rPr>
          <w:b/>
          <w:color w:val="003CA0"/>
          <w:sz w:val="16"/>
        </w:rPr>
        <w:t>[MS 40.556 AgR, rel. min. Nunes Marques, j. 18-2-2026, 2ª T, DJE de 27-2-2026.]</w:t>
      </w:r>
    </w:p>
    <w:p>
      <w:pPr>
        <w:ind w:left="288"/>
      </w:pPr>
      <w:r>
        <w:rPr>
          <w:color w:val="8C8C8C"/>
          <w:sz w:val="12"/>
        </w:rPr>
        <w:t>cf-art-5-inc-X</w:t>
      </w:r>
      <w:r>
        <w:rPr>
          <w:color w:val="003CA0"/>
          <w:sz w:val="12"/>
        </w:rPr>
        <w:t xml:space="preserve"> | ARE 1.551.254</w:t>
      </w:r>
      <w:r>
        <w:rPr>
          <w:color w:val="003CA0"/>
          <w:sz w:val="12"/>
        </w:rPr>
        <w:t xml:space="preserve"> | rel. Cristiano Zanin</w:t>
      </w:r>
    </w:p>
    <w:p>
      <w:pPr>
        <w:ind w:left="288"/>
      </w:pPr>
      <w:r>
        <w:rPr>
          <w:color w:val="1E1E1E"/>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w:t>
      </w:r>
    </w:p>
    <w:p>
      <w:pPr>
        <w:ind w:left="288"/>
      </w:pPr>
      <w:r>
        <w:rPr>
          <w:b/>
          <w:color w:val="003CA0"/>
          <w:sz w:val="16"/>
        </w:rPr>
        <w:t>[ARE 1.551.254 AgR, rel. min. Cristiano Zanin, j. 22-12-2025, P, DJE de 2-2-2026.]</w:t>
      </w:r>
    </w:p>
    <w:p>
      <w:pPr>
        <w:ind w:left="288"/>
      </w:pPr>
      <w:r>
        <w:rPr>
          <w:color w:val="8C8C8C"/>
          <w:sz w:val="12"/>
        </w:rPr>
        <w:t>cf-art-5-inc-X</w:t>
      </w:r>
      <w:r>
        <w:rPr>
          <w:color w:val="003CA0"/>
          <w:sz w:val="12"/>
        </w:rPr>
        <w:t xml:space="preserve"> | ADI 7.600</w:t>
      </w:r>
      <w:r>
        <w:rPr>
          <w:color w:val="003CA0"/>
          <w:sz w:val="12"/>
        </w:rPr>
        <w:t xml:space="preserve"> | rel. Dias Toffoli</w:t>
      </w:r>
    </w:p>
    <w:p>
      <w:pPr>
        <w:ind w:left="288"/>
      </w:pPr>
      <w:r>
        <w:rPr>
          <w:color w:val="1E1E1E"/>
          <w:sz w:val="18"/>
        </w:rPr>
        <w:t>Nas diligências para a localização do bem móvel dado em garantia em alienação fiduciária e em sua apreensão, previstas nos §§ 4º, 5º e 7º do art. 8º-C do Decreto-Lei nº 911/69 (redação da Lei nº 14.711/23), devem ser assegurados os direitos à vida privada, à honra e à imagem do devedor; a inviolabilidade do sigilo de dados; a vedação ao uso privado da violência; a inviolabilidade do domicílio; a dignidade da pessoa humana e a autonomia da vontade.</w:t>
      </w:r>
    </w:p>
    <w:p>
      <w:pPr>
        <w:ind w:left="288"/>
      </w:pPr>
      <w:r>
        <w:rPr>
          <w:b/>
          <w:color w:val="003CA0"/>
          <w:sz w:val="16"/>
        </w:rPr>
        <w:t>[ADI 7.600, ADI 7.601 e 7.608, rel. min. Dias Toffoli, j. 01.07.2025, P, DJE de 15.09.2025.]</w:t>
      </w:r>
    </w:p>
    <w:p>
      <w:pPr>
        <w:ind w:left="288"/>
      </w:pPr>
      <w:r>
        <w:rPr>
          <w:color w:val="8C8C8C"/>
          <w:sz w:val="12"/>
        </w:rPr>
        <w:t>cf-art-5-inc-X</w:t>
      </w:r>
      <w:r>
        <w:rPr>
          <w:color w:val="003CA0"/>
          <w:sz w:val="12"/>
        </w:rPr>
        <w:t xml:space="preserve"> | ADI 3.270</w:t>
      </w:r>
      <w:r>
        <w:rPr>
          <w:color w:val="003CA0"/>
          <w:sz w:val="12"/>
        </w:rPr>
        <w:t xml:space="preserve"> | rel. Nunes Marques</w:t>
      </w:r>
    </w:p>
    <w:p>
      <w:pPr>
        <w:ind w:left="288"/>
      </w:pPr>
      <w:r>
        <w:rPr>
          <w:color w:val="1E1E1E"/>
          <w:sz w:val="18"/>
        </w:rPr>
        <w:t>A imposição do uso de equipamento ECF surge adequada e necessária à fiscalização e arrecadação tributárias, especialmente tendo em conta o combate à sonegação, de modo que se mostra proporcional. Além disso, as informações obtidas por meio do ECF não violam o direito à intimidade. Trata-se de informações correntes ligadas à venda e à prestação de serviços, relacionadas com a ocorrência do fato gerador dos tributos envolvidos. À administração tributária cabe utilizar os dados para fins de verificações próprias, mas nunca de divulgação ao “público externo”, sob pena, inclusive, de responsabiliza</w:t>
      </w:r>
    </w:p>
    <w:p>
      <w:pPr>
        <w:ind w:left="288"/>
      </w:pPr>
      <w:r>
        <w:rPr>
          <w:b/>
          <w:color w:val="003CA0"/>
          <w:sz w:val="16"/>
        </w:rPr>
        <w:t>[ADI 3.270, rel. min. Nunes Marques, j. 05.03.2025, P, DJE de 21.03.2025.]</w:t>
      </w:r>
    </w:p>
    <w:p>
      <w:pPr>
        <w:ind w:left="288"/>
      </w:pPr>
      <w:r>
        <w:rPr>
          <w:color w:val="8C8C8C"/>
          <w:sz w:val="12"/>
        </w:rPr>
        <w:t>cf-art-5-inc-X</w:t>
      </w:r>
      <w:r>
        <w:rPr>
          <w:color w:val="003CA0"/>
          <w:sz w:val="12"/>
        </w:rPr>
        <w:t xml:space="preserve"> | ADI 4.906</w:t>
      </w:r>
      <w:r>
        <w:rPr>
          <w:color w:val="003CA0"/>
          <w:sz w:val="12"/>
        </w:rPr>
        <w:t xml:space="preserve"> | rel. Nunes Marques</w:t>
      </w:r>
    </w:p>
    <w:p>
      <w:pPr>
        <w:ind w:left="288"/>
      </w:pPr>
      <w:r>
        <w:rPr>
          <w:color w:val="1E1E1E"/>
          <w:sz w:val="18"/>
        </w:rPr>
        <w:t>Conforme entendimento do Supremo, a proteção versada no art. 5º, XII, da Constituição Federal refere-se à comunicação de dados, e não aos dados em si mesmos. (...) O direito fundamental à proteção de dados e à autodeterminação informativa (CF, art. 5º, LXXIX) impõe a adoção de mecanismos capazes de assegurar a proteção e a segurança dos dados pessoais manipulados pelo poder público e por terceiros. É compatível com a Constituição de 1988 o compartilhamento direto de dados cadastrais genéricos com os órgãos de persecução penal, para fins de investigação criminal, mesmo sem autorização da Justiç</w:t>
      </w:r>
    </w:p>
    <w:p>
      <w:pPr>
        <w:ind w:left="288"/>
      </w:pPr>
      <w:r>
        <w:rPr>
          <w:b/>
          <w:color w:val="003CA0"/>
          <w:sz w:val="16"/>
        </w:rPr>
        <w:t>[ADI 4.906, rel. min. Nunes Marques, j. 11.09.2024, P, DJE de 24.10.2024.]</w:t>
      </w:r>
    </w:p>
    <w:p>
      <w:pPr>
        <w:ind w:left="288"/>
      </w:pPr>
      <w:r>
        <w:rPr>
          <w:color w:val="8C8C8C"/>
          <w:sz w:val="12"/>
        </w:rPr>
        <w:t>cf-art-5-inc-X</w:t>
      </w:r>
      <w:r>
        <w:rPr>
          <w:color w:val="003CA0"/>
          <w:sz w:val="12"/>
        </w:rPr>
        <w:t xml:space="preserve"> | ADI 5.642</w:t>
      </w:r>
      <w:r>
        <w:rPr>
          <w:color w:val="003CA0"/>
          <w:sz w:val="12"/>
        </w:rPr>
        <w:t xml:space="preserve"> | rel. Edson Fachin</w:t>
      </w:r>
    </w:p>
    <w:p>
      <w:pPr>
        <w:ind w:left="288"/>
      </w:pPr>
      <w:r>
        <w:rPr>
          <w:color w:val="1E1E1E"/>
          <w:sz w:val="18"/>
        </w:rPr>
        <w:t>As normas impugnadas não conferem amplo poder de requisição, mas um que é instrumentalmente necessário para reprimir as violações de crimes graves que atentam contra a liberdade pessoal e que se destinam a permitir o resgate das vítimas dessas infrações enquanto elas ainda estão em curso. A requisição apresentada pela autoridade policial, exclusivamente para o crimes previstos no art. 13-A do Código de Processo Penal, conquanto possível, deve se restringir apenas à finalidade a que foi fixada, qual seja, a de reprimir e impedir a ocorrência dos delitos descritos no caput, do citado dispositivo</w:t>
      </w:r>
    </w:p>
    <w:p>
      <w:pPr>
        <w:ind w:left="288"/>
      </w:pPr>
      <w:r>
        <w:rPr>
          <w:b/>
          <w:color w:val="003CA0"/>
          <w:sz w:val="16"/>
        </w:rPr>
        <w:t>[ADI 5.642, rel. min. Edson Fachin, j. 18.04.2024, P, DJE de 22.08.2024.]</w:t>
      </w:r>
    </w:p>
    <w:p>
      <w:pPr>
        <w:ind w:left="288"/>
      </w:pPr>
      <w:r>
        <w:rPr>
          <w:color w:val="8C8C8C"/>
          <w:sz w:val="12"/>
        </w:rPr>
        <w:t>cf-art-5-inc-X</w:t>
      </w:r>
      <w:r>
        <w:rPr>
          <w:color w:val="003CA0"/>
          <w:sz w:val="12"/>
        </w:rPr>
        <w:t xml:space="preserve"> | ADI 6.561</w:t>
      </w:r>
      <w:r>
        <w:rPr>
          <w:color w:val="003CA0"/>
          <w:sz w:val="12"/>
        </w:rPr>
        <w:t xml:space="preserve"> | rel. Edson Fachin</w:t>
      </w:r>
    </w:p>
    <w:p>
      <w:pPr>
        <w:ind w:left="288"/>
      </w:pPr>
      <w:r>
        <w:rPr>
          <w:color w:val="1E1E1E"/>
          <w:sz w:val="18"/>
        </w:rPr>
        <w:t>Lei 3.528 de 2019 do estado do Tocantins. Cadastro estadual de usuários e dependentes de drogas. (...) Materialmente (...) há inconstitucionalidade. A seletividade social do cadastro é incompatível com o Estado de Direito e os direitos fundamentais que a Constituição de 1988 protege, especialmente, a igualdade (CRFB, art. 5º, caput), a dignidade da pessoa humana (CRFB, art. 1º, III), o direito à intimidade e à vida privada (CRFB, art. 5º, X) e o devido processo legal (CRFB, art. 5º, LIV). Inexistência tampouco de protocolo claro de proteção e tratamento desses dados.</w:t>
      </w:r>
    </w:p>
    <w:p>
      <w:pPr>
        <w:ind w:left="288"/>
      </w:pPr>
      <w:r>
        <w:rPr>
          <w:b/>
          <w:color w:val="003CA0"/>
          <w:sz w:val="16"/>
        </w:rPr>
        <w:t>[ADI 6.561, rel. min. Edson Fachin, j. 4-9-2023, P, DJE de 3-11-2023.]</w:t>
      </w:r>
    </w:p>
    <w:p>
      <w:pPr>
        <w:ind w:left="288"/>
      </w:pPr>
      <w:r>
        <w:rPr>
          <w:color w:val="8C8C8C"/>
          <w:sz w:val="12"/>
        </w:rPr>
        <w:t>cf-art-5-inc-X</w:t>
      </w:r>
      <w:r>
        <w:rPr>
          <w:color w:val="003CA0"/>
          <w:sz w:val="12"/>
        </w:rPr>
        <w:t xml:space="preserve"> | ADI 5.545</w:t>
      </w:r>
      <w:r>
        <w:rPr>
          <w:color w:val="003CA0"/>
          <w:sz w:val="12"/>
        </w:rPr>
        <w:t xml:space="preserve"> | rel. Luiz Fux</w:t>
      </w:r>
    </w:p>
    <w:p>
      <w:pPr>
        <w:ind w:left="288"/>
      </w:pPr>
      <w:r>
        <w:rPr>
          <w:color w:val="1E1E1E"/>
          <w:sz w:val="18"/>
        </w:rPr>
        <w:t xml:space="preserve">O direito à privacidade relativa aos dados genéticos, em que pese sua imensurável importância para os avanços de métodos terapêuticos e regenerativos, a um só tempo, sob o prisma informacional, envolve profundas questões bioéticas relacionadas à posse e ao processamento de DNA de terceiros. A lei fluminense objeto desta ação fere ambas as dimensões do direito à privacidade, ao permitir a coleta e armazenagem de dados genéticos do nascituro e da parturiente, independentemente de prévio consentimento, e viola a dimensão negativa do direito à privacidade, que se traduz na prerrogativa de impedir </w:t>
      </w:r>
    </w:p>
    <w:p>
      <w:pPr>
        <w:ind w:left="288"/>
      </w:pPr>
      <w:r>
        <w:rPr>
          <w:b/>
          <w:color w:val="003CA0"/>
          <w:sz w:val="16"/>
        </w:rPr>
        <w:t>[ADI 5.545, rel. min. Luiz Fux, j. 9-5-2023, P, DJE de 16-6-2023.]</w:t>
      </w:r>
    </w:p>
    <w:p>
      <w:pPr>
        <w:ind w:left="288"/>
      </w:pPr>
      <w:r>
        <w:rPr>
          <w:color w:val="8C8C8C"/>
          <w:sz w:val="12"/>
        </w:rPr>
        <w:t>cf-art-5-inc-X</w:t>
      </w:r>
      <w:r>
        <w:rPr>
          <w:color w:val="003CA0"/>
          <w:sz w:val="12"/>
        </w:rPr>
        <w:t xml:space="preserve"> | ADI 6.649</w:t>
      </w:r>
      <w:r>
        <w:rPr>
          <w:color w:val="003CA0"/>
          <w:sz w:val="12"/>
        </w:rPr>
        <w:t xml:space="preserve"> | rel. Gilmar Mendes</w:t>
      </w:r>
    </w:p>
    <w:p>
      <w:pPr>
        <w:ind w:left="288"/>
      </w:pPr>
      <w:r>
        <w:rPr>
          <w:color w:val="1E1E1E"/>
          <w:sz w:val="18"/>
        </w:rPr>
        <w:t>O tratamento de dados pessoais pelo Estado é essencial para a prestação de serviços públicos. Todavia, diferentemente do que assevera o ente público, a discussão sobre a privacidade nas relações com a Administração Estatal não deve partir de uma visão dicotômica que coloque o interesse público como bem jurídico a ser tutelado de forma totalmente distinta e em confronto com o valor constitucional da privacidade e proteção de dados pessoais. (...) O compartilhamento de dados pessoais entre órgãos e entidades da Administração Pública, pressupõe: a) eleição de propósitos legítimos, específicos e e</w:t>
      </w:r>
    </w:p>
    <w:p>
      <w:pPr>
        <w:ind w:left="288"/>
      </w:pPr>
      <w:r>
        <w:rPr>
          <w:b/>
          <w:color w:val="003CA0"/>
          <w:sz w:val="16"/>
        </w:rPr>
        <w:t>[ADI 6.649 e ADPF 695, rel. min. Gilmar Mendes, j. 15-9-2022, P, DJE de 19-6-2023.]</w:t>
      </w:r>
    </w:p>
    <w:p>
      <w:pPr>
        <w:ind w:left="288"/>
      </w:pPr>
      <w:r>
        <w:rPr>
          <w:color w:val="8C8C8C"/>
          <w:sz w:val="12"/>
        </w:rPr>
        <w:t>cf-art-5-inc-X</w:t>
      </w:r>
      <w:r>
        <w:rPr>
          <w:color w:val="003CA0"/>
          <w:sz w:val="12"/>
        </w:rPr>
        <w:t xml:space="preserve"> | ADPF 722</w:t>
      </w:r>
      <w:r>
        <w:rPr>
          <w:color w:val="003CA0"/>
          <w:sz w:val="12"/>
        </w:rPr>
        <w:t xml:space="preserve"> | rel. Cármen Lúcia</w:t>
      </w:r>
    </w:p>
    <w:p>
      <w:pPr>
        <w:ind w:left="288"/>
      </w:pPr>
      <w:r>
        <w:rPr>
          <w:color w:val="1E1E1E"/>
          <w:sz w:val="18"/>
        </w:rPr>
        <w:t>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88"/>
      </w:pPr>
      <w:r>
        <w:rPr>
          <w:b/>
          <w:color w:val="003CA0"/>
          <w:sz w:val="16"/>
        </w:rPr>
        <w:t>[ADPF 722, rel. min. Cármen Lúcia, j. 16-5-2022, P, DJE de 9-6-2022.]</w:t>
      </w:r>
    </w:p>
    <w:p>
      <w:pPr>
        <w:ind w:left="288"/>
      </w:pPr>
      <w:r>
        <w:rPr>
          <w:color w:val="8C8C8C"/>
          <w:sz w:val="12"/>
        </w:rPr>
        <w:t>cf-art-5-inc-X</w:t>
      </w:r>
      <w:r>
        <w:rPr>
          <w:color w:val="003CA0"/>
          <w:sz w:val="12"/>
        </w:rPr>
        <w:t xml:space="preserve"> | ADI 4.924</w:t>
      </w:r>
      <w:r>
        <w:rPr>
          <w:color w:val="003CA0"/>
          <w:sz w:val="12"/>
        </w:rPr>
        <w:t xml:space="preserve"> | rel. Gilmar Mendes</w:t>
      </w:r>
    </w:p>
    <w:p>
      <w:pPr>
        <w:ind w:left="288"/>
      </w:pPr>
      <w:r>
        <w:rPr>
          <w:color w:val="1E1E1E"/>
          <w:sz w:val="18"/>
        </w:rPr>
        <w:t xml:space="preserve">Dispositivos que determinam que as prestadoras de serviço telefônico são obrigadas a fornecer, sob pena de multa, os dados pessoais dos usuários de terminais utilizados para passar trotes aos serviços de emergência. (...) Alegação de inconstitucionalidade material, por suposta violação ao direito à privacidade, pela quebra do sigilo de dados sem ordem judicial e em situação desproporcional – art. 5º, X e XII, da CF. Proporcionalidade da medida, desde que observadas as exigências que decorrem dos dispositivos constitucionais indicados. Quebra de sigilo limitada aos dados pessoais. Exigência de </w:t>
      </w:r>
    </w:p>
    <w:p>
      <w:pPr>
        <w:ind w:left="288"/>
      </w:pPr>
      <w:r>
        <w:rPr>
          <w:b/>
          <w:color w:val="003CA0"/>
          <w:sz w:val="16"/>
        </w:rPr>
        <w:t>[ADI 4.924, rel. min. Gilmar Mendes, j. 4-11-2021, P, DJE de 29-3-2022.]</w:t>
      </w:r>
    </w:p>
    <w:p>
      <w:pPr>
        <w:ind w:left="288"/>
      </w:pPr>
      <w:r>
        <w:rPr>
          <w:color w:val="8C8C8C"/>
          <w:sz w:val="12"/>
        </w:rPr>
        <w:t>cf-art-5-inc-X</w:t>
      </w:r>
      <w:r>
        <w:rPr>
          <w:color w:val="003CA0"/>
          <w:sz w:val="12"/>
        </w:rPr>
        <w:t xml:space="preserve"> | ADI 6.387</w:t>
      </w:r>
      <w:r>
        <w:rPr>
          <w:color w:val="003CA0"/>
          <w:sz w:val="12"/>
        </w:rPr>
        <w:t xml:space="preserve"> | rel. Rosa Weber</w:t>
      </w:r>
    </w:p>
    <w:p>
      <w:pPr>
        <w:ind w:left="288"/>
      </w:pPr>
      <w:r>
        <w:rPr>
          <w:color w:val="1E1E1E"/>
          <w:sz w:val="18"/>
        </w:rPr>
        <w:t>Decorrências dos direitos da personalidade, o respeito à privacidade e à autodeterminação informativa foram positivados, no art. 2º, I e II, da Lei 13.709/2018 (Lei Geral de Proteção de Dados Pessoais), como fundamentos específicos da disciplina da proteção de dados pessoais. Na medida em que relacionados à identificação – efetiva ou potencial – de pessoa natural, o tratamento e a manipulação de dados pessoais hão de observar os limites delineados pelo âmbito de proteção das cláusulas constitucionais assecuratórias da liberdade individual (art. 5º, caput), da privacidade e do livre desenvolvim</w:t>
      </w:r>
    </w:p>
    <w:p>
      <w:pPr>
        <w:ind w:left="288"/>
      </w:pPr>
      <w:r>
        <w:rPr>
          <w:b/>
          <w:color w:val="003CA0"/>
          <w:sz w:val="16"/>
        </w:rPr>
        <w:t>[ADI 6.387 MC-REF, ADI 6.388 MC-REF, ADI 6.389 MC-REF, ADI 6.390 MC-REF eADI 6.393-MC-REF, rel. min. Rosa Weber, j. 7-5-2020, P, DJE de 12-11-2020.]</w:t>
      </w:r>
    </w:p>
    <w:p>
      <w:pPr>
        <w:ind w:left="288"/>
      </w:pPr>
      <w:r>
        <w:rPr>
          <w:color w:val="8C8C8C"/>
          <w:sz w:val="12"/>
        </w:rPr>
        <w:t>cf-art-5-inc-X</w:t>
      </w:r>
      <w:r>
        <w:rPr>
          <w:color w:val="003CA0"/>
          <w:sz w:val="12"/>
        </w:rPr>
        <w:t xml:space="preserve"> | ADPF 130</w:t>
      </w:r>
      <w:r>
        <w:rPr>
          <w:color w:val="003CA0"/>
          <w:sz w:val="12"/>
        </w:rPr>
        <w:t xml:space="preserve"> | rel. Ayres Britto</w:t>
      </w:r>
    </w:p>
    <w:p>
      <w:pPr>
        <w:ind w:left="288"/>
      </w:pPr>
      <w:r>
        <w:rPr>
          <w:color w:val="1E1E1E"/>
          <w:sz w:val="18"/>
        </w:rPr>
        <w:t>(...) assegura-se o gozo dos "sobredireitos" de personalidade em que se traduz a "livre" e "plena" manifestação do pensamento, da criação e da informação. Somente depois é que se passa a cobrar do titular de tais situações jurídicas ativas um eventual desrespeito a direitos constitucionais alheios, ainda que também densificadores da personalidade humana. Determinação constitucional de momentânea paralisia à inviolabilidade de certas categorias de direitos subjetivos fundamentais, porquanto a cabeça do art. 220 da Constituição veda qualquer cerceio ou restrição à concreta manifestação do pensam</w:t>
      </w:r>
    </w:p>
    <w:p>
      <w:pPr>
        <w:ind w:left="288"/>
      </w:pPr>
      <w:r>
        <w:rPr>
          <w:b/>
          <w:color w:val="003CA0"/>
          <w:sz w:val="16"/>
        </w:rPr>
        <w:t>[ADPF 130, rel. min. Ayres Britto, j. 30-4-2009, P, DJE de 6-11-2009</w:t>
      </w:r>
    </w:p>
    <w:p>
      <w:pPr>
        <w:ind w:left="288"/>
      </w:pPr>
      <w:r>
        <w:rPr>
          <w:color w:val="8C8C8C"/>
          <w:sz w:val="12"/>
        </w:rPr>
        <w:t>cf-art-5-inc-X</w:t>
      </w:r>
      <w:r>
        <w:rPr>
          <w:color w:val="003CA0"/>
          <w:sz w:val="12"/>
        </w:rPr>
        <w:t xml:space="preserve"> | ADI 4.451</w:t>
      </w:r>
      <w:r>
        <w:rPr>
          <w:color w:val="003CA0"/>
          <w:sz w:val="12"/>
        </w:rPr>
        <w:t xml:space="preserve"> | rel. Alexandre de Moraes</w:t>
      </w:r>
    </w:p>
    <w:p>
      <w:pPr>
        <w:ind w:left="288"/>
      </w:pPr>
      <w:r>
        <w:rPr>
          <w:color w:val="1E1E1E"/>
          <w:sz w:val="18"/>
        </w:rPr>
        <w:t>Vide ADI 4.451, rel. min. Alexandre de Moraes, j. 21-6-2018, P, DJE de 6-3-2019 “Reconhecimento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w:t>
      </w:r>
    </w:p>
    <w:p>
      <w:pPr>
        <w:ind w:left="288"/>
      </w:pPr>
      <w:r>
        <w:rPr>
          <w:b/>
          <w:color w:val="003CA0"/>
          <w:sz w:val="16"/>
        </w:rPr>
        <w:t>[RE 1.037.396, rel. min. Dias Toffoli, j. 26.06.2025, P, DJE de 05.11.2025, Tema 987, com mérito julgado e RE 1.057.258, rel. min. Luiz Fux, j. 26.06.2025, P, DJE de 05.11.2025, Tema 533, com mérito julgado.]</w:t>
      </w:r>
    </w:p>
    <w:p>
      <w:pPr>
        <w:ind w:left="288"/>
      </w:pPr>
      <w:r>
        <w:rPr>
          <w:color w:val="8C8C8C"/>
          <w:sz w:val="12"/>
        </w:rPr>
        <w:t>cf-art-5-inc-X</w:t>
      </w:r>
      <w:r>
        <w:rPr>
          <w:color w:val="003CA0"/>
          <w:sz w:val="12"/>
        </w:rPr>
        <w:t xml:space="preserve"> | ARE 959.620</w:t>
      </w:r>
      <w:r>
        <w:rPr>
          <w:color w:val="003CA0"/>
          <w:sz w:val="12"/>
        </w:rPr>
        <w:t xml:space="preserve"> | rel. Edson Fachin</w:t>
      </w:r>
    </w:p>
    <w:p>
      <w:pPr>
        <w:ind w:left="288"/>
      </w:pPr>
      <w:r>
        <w:rPr>
          <w:color w:val="1E1E1E"/>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w:t>
      </w:r>
    </w:p>
    <w:p>
      <w:pPr>
        <w:ind w:left="288"/>
      </w:pPr>
      <w:r>
        <w:rPr>
          <w:b/>
          <w:color w:val="003CA0"/>
          <w:sz w:val="16"/>
        </w:rPr>
        <w:t>[ARE 959.620, rel. min. Edson Fachin, j. 02.04.2025, P, DJE de 02.07.2025, Tema 998, com mérito julgado.]</w:t>
      </w:r>
    </w:p>
    <w:p>
      <w:pPr>
        <w:ind w:left="288"/>
      </w:pPr>
      <w:r>
        <w:rPr>
          <w:color w:val="8C8C8C"/>
          <w:sz w:val="12"/>
        </w:rPr>
        <w:t>cf-art-5-inc-X</w:t>
      </w:r>
      <w:r>
        <w:rPr>
          <w:color w:val="003CA0"/>
          <w:sz w:val="12"/>
        </w:rPr>
        <w:t xml:space="preserve"> | RE 1.075.412</w:t>
      </w:r>
      <w:r>
        <w:rPr>
          <w:color w:val="003CA0"/>
          <w:sz w:val="12"/>
        </w:rPr>
        <w:t xml:space="preserve"> | rel. Edson Fachin</w:t>
      </w:r>
    </w:p>
    <w:p>
      <w:pPr>
        <w:ind w:left="288"/>
      </w:pPr>
      <w:r>
        <w:rPr>
          <w:color w:val="1E1E1E"/>
          <w:sz w:val="18"/>
        </w:rPr>
        <w:t>“1.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contraditório pelo veículo; 2. Na hipótese de entrevistas realizadas e transmitidas ao viv</w:t>
      </w:r>
    </w:p>
    <w:p>
      <w:pPr>
        <w:ind w:left="288"/>
      </w:pPr>
      <w:r>
        <w:rPr>
          <w:b/>
          <w:color w:val="003CA0"/>
          <w:sz w:val="16"/>
        </w:rPr>
        <w:t>[RE 1.075.412 ED, rel. min. Edson Fachin, j. 20.03.2025, P, DJE de 27.06.2025, Tema 995, com mérito julgado.]</w:t>
      </w:r>
    </w:p>
    <w:p>
      <w:pPr>
        <w:ind w:left="288"/>
      </w:pPr>
      <w:r>
        <w:rPr>
          <w:color w:val="8C8C8C"/>
          <w:sz w:val="12"/>
        </w:rPr>
        <w:t>cf-art-5-inc-X</w:t>
      </w:r>
      <w:r>
        <w:rPr>
          <w:color w:val="003CA0"/>
          <w:sz w:val="12"/>
        </w:rPr>
        <w:t xml:space="preserve"> | RE 635.659</w:t>
      </w:r>
      <w:r>
        <w:rPr>
          <w:color w:val="003CA0"/>
          <w:sz w:val="12"/>
        </w:rPr>
        <w:t xml:space="preserve"> | rel. Gilmar Mendes</w:t>
      </w:r>
    </w:p>
    <w:p>
      <w:pPr>
        <w:ind w:left="288"/>
      </w:pPr>
      <w:r>
        <w:rPr>
          <w:color w:val="1E1E1E"/>
          <w:sz w:val="18"/>
        </w:rPr>
        <w:t>(...) (i) não comete infração penal quem adquirir, guardar, tiver em depósito, transportar ou trouxer consigo, para consumo pessoal, a substância cannabis sativa, sem prejuízo do reconhecimento da ilicitude extrapenal da conduta, com apreensão da droga e aplicação de sanções de advertência sobre os efeitos dela (art. 28, I) e medida educativa de comparecimento a programa ou curso educativo (art. 28, III); (ii) as sanções estabelecidas nos incisos I e III do art. 28 da Lei 11.343/2006 serão aplicadas pelo juiz em procedimento de natureza não penal, sem nenhuma repercussão criminal para a condut</w:t>
      </w:r>
    </w:p>
    <w:p>
      <w:pPr>
        <w:ind w:left="288"/>
      </w:pPr>
      <w:r>
        <w:rPr>
          <w:b/>
          <w:color w:val="003CA0"/>
          <w:sz w:val="16"/>
        </w:rPr>
        <w:t>[RE 635.659, rel. min. Gilmar Mendes, j. 26.06.2024, P, DJE de 27.09.2024, Tema 506, com mérito julgado.]</w:t>
      </w:r>
    </w:p>
    <w:p>
      <w:pPr>
        <w:ind w:left="288"/>
      </w:pPr>
      <w:r>
        <w:rPr>
          <w:color w:val="8C8C8C"/>
          <w:sz w:val="12"/>
        </w:rPr>
        <w:t>cf-art-5-inc-X</w:t>
      </w:r>
      <w:r>
        <w:rPr>
          <w:color w:val="003CA0"/>
          <w:sz w:val="12"/>
        </w:rPr>
        <w:t xml:space="preserve"> | RE 670.422</w:t>
      </w:r>
      <w:r>
        <w:rPr>
          <w:color w:val="003CA0"/>
          <w:sz w:val="12"/>
        </w:rPr>
        <w:t xml:space="preserve"> | rel. Dias Toffoli</w:t>
      </w:r>
    </w:p>
    <w:p>
      <w:pPr>
        <w:ind w:left="288"/>
      </w:pPr>
      <w:r>
        <w:rPr>
          <w:color w:val="1E1E1E"/>
          <w:sz w:val="18"/>
        </w:rPr>
        <w:t xml:space="preserve">O transgênero tem direito fundamental subjetivo à alteração de seu prenome e de sua classificação de gênero no registro civil, não se exigindo, para tanto, nada além da manifestação da vontade do indivíduo, o qual poderá exercer tal faculdade tanto pela via judicial como diretamente pela via administrativa. ii) Essa alteração deve ser averbada à margem no assento de nascimento, sendo vedada a inclusão do termo ‘transexual’. iii) Nas certidões do registro não constará nenhuma observação sobre a origem do ato, sendo vedada a expedição de certidão de inteiro teor, salvo a requerimento do próprio </w:t>
      </w:r>
    </w:p>
    <w:p>
      <w:pPr>
        <w:ind w:left="288"/>
      </w:pPr>
      <w:r>
        <w:rPr>
          <w:b/>
          <w:color w:val="003CA0"/>
          <w:sz w:val="16"/>
        </w:rPr>
        <w:t>[RE 670.422, rel. min. Dias Toffoli, j. 15-8-2018, P, DJE de 10-3-2020. Tema 761, com mérito julgado.]</w:t>
      </w:r>
    </w:p>
    <w:p>
      <w:pPr>
        <w:ind w:left="288"/>
      </w:pPr>
      <w:r>
        <w:rPr>
          <w:color w:val="8C8C8C"/>
          <w:sz w:val="12"/>
        </w:rPr>
        <w:t>cf-art-5-inc-X</w:t>
      </w:r>
      <w:r>
        <w:rPr>
          <w:color w:val="003CA0"/>
          <w:sz w:val="12"/>
        </w:rPr>
        <w:t xml:space="preserve"> | RE 601.314</w:t>
      </w:r>
      <w:r>
        <w:rPr>
          <w:color w:val="003CA0"/>
          <w:sz w:val="12"/>
        </w:rPr>
        <w:t xml:space="preserve"> | rel. Edson Fachin</w:t>
      </w:r>
    </w:p>
    <w:p>
      <w:pPr>
        <w:ind w:left="288"/>
      </w:pPr>
      <w:r>
        <w:rPr>
          <w:color w:val="1E1E1E"/>
          <w:sz w:val="18"/>
        </w:rPr>
        <w:t>O litígio constitucional posto se traduz em um confronto entre o direito ao sigilo bancário e o dever de pagar tributos, ambos referidos a um mesmo cidadão e de caráter constituinte no que se refere à comunidade política, à luz da finalidade precípua da tributação de realizar a igualdade em seu duplo compromisso, a autonomia individual e o autogoverno coletivo. Do ponto de vista da autonomia individual, o sigilo bancário é uma das expressões do direito de personalidade que se traduz em ter suas atividades e informações bancárias livres de ingerências ou ofensas, qualificadas como arbitrárias o</w:t>
      </w:r>
    </w:p>
    <w:p>
      <w:pPr>
        <w:ind w:left="288"/>
      </w:pPr>
      <w:r>
        <w:rPr>
          <w:b/>
          <w:color w:val="003CA0"/>
          <w:sz w:val="16"/>
        </w:rPr>
        <w:t>[RE 601.314, rel. min. Edson Fachin, j. 24-2-2016, P, DJE de 16-9-2016. Tema 225, com mérito julgado.]</w:t>
      </w:r>
    </w:p>
    <w:p>
      <w:pPr>
        <w:ind w:left="288"/>
      </w:pPr>
      <w:r>
        <w:rPr>
          <w:color w:val="8C8C8C"/>
          <w:sz w:val="12"/>
        </w:rPr>
        <w:t>cf-art-5-inc-X</w:t>
      </w:r>
      <w:r>
        <w:rPr>
          <w:color w:val="003CA0"/>
          <w:sz w:val="12"/>
        </w:rPr>
        <w:t xml:space="preserve"> | RE 1.058.429</w:t>
      </w:r>
      <w:r>
        <w:rPr>
          <w:color w:val="003CA0"/>
          <w:sz w:val="12"/>
        </w:rPr>
        <w:t xml:space="preserve"> | rel. Alexandre de Moraes</w:t>
      </w:r>
    </w:p>
    <w:p>
      <w:pPr>
        <w:ind w:left="288"/>
      </w:pPr>
      <w:r>
        <w:rPr>
          <w:color w:val="1E1E1E"/>
          <w:sz w:val="18"/>
        </w:rPr>
        <w:t>Vide RE 1.058.429-AgR, rel. min. Alexandre de Moraes, j. 20-2-2018, 1ª T, DJE de 6-3-2018 Sigilo bancário. Solicitação de informações pelo Ministério Público diretamente ao Conselho de Atividades Financeiras – COAF para instruir procedimento investigatório criminal. (...) Há reiteradas decisões desta Corte estendendo a tese fixada no julgamento do RE 601.314-RG aos procedimentos criminais. Não há dúvida de que o desrespeito ao sigilo constitucionalmente protegido acarretaria violação às diversas garantias constitucionais; todavia, a inviolabilidade dos sigilos bancário e fiscal não é absoluta,</w:t>
      </w:r>
    </w:p>
    <w:p>
      <w:pPr>
        <w:ind w:left="288"/>
      </w:pPr>
      <w:r>
        <w:rPr>
          <w:b/>
          <w:color w:val="003CA0"/>
          <w:sz w:val="16"/>
        </w:rPr>
        <w:t>[RE 1.058.429 AgR, rel. min. Alexandre de Moraes, j. 20-2-2018, 1ª T, DJE de 6-3-2018.]</w:t>
      </w:r>
    </w:p>
    <w:p>
      <w:pPr>
        <w:ind w:left="288"/>
      </w:pPr>
      <w:r>
        <w:rPr>
          <w:color w:val="8C8C8C"/>
          <w:sz w:val="12"/>
        </w:rPr>
        <w:t>cf-art-5-inc-X</w:t>
      </w:r>
      <w:r>
        <w:rPr>
          <w:color w:val="003CA0"/>
          <w:sz w:val="12"/>
        </w:rPr>
        <w:t xml:space="preserve"> | RE 601.314</w:t>
      </w:r>
      <w:r>
        <w:rPr>
          <w:color w:val="003CA0"/>
          <w:sz w:val="12"/>
        </w:rPr>
        <w:t xml:space="preserve"> | rel. Edson Fachin</w:t>
      </w:r>
    </w:p>
    <w:p>
      <w:pPr>
        <w:ind w:left="288"/>
      </w:pPr>
      <w:r>
        <w:rPr>
          <w:color w:val="1E1E1E"/>
          <w:sz w:val="18"/>
        </w:rPr>
        <w:t>Vide RE 601.314, rel. min. Edson Fachin, j. 24-2-2016, P, DJE de 16-9-2016, Tema 225 “1. A mera apreensão de aparelho celular, nos termos do art. 6º do CPP ou em flagrante delito, não está sujeita à reserva de jurisdição. Contudo, o acesso aos dados nele contidos deve observar as seguintes condicionantes: 1.1 Nas hipóteses de encontro fortuito de aparelho celular, o acesso aos respectivos dados para o fim exclusivo de se esclarecer a autoria do fato supostamente criminoso, ou quem seja o proprietário do aparelho, não depende de consentimento ou de prévia decisão judicial, desde que justificada</w:t>
      </w:r>
    </w:p>
    <w:p>
      <w:pPr>
        <w:ind w:left="288"/>
      </w:pPr>
      <w:r>
        <w:rPr>
          <w:b/>
          <w:color w:val="003CA0"/>
          <w:sz w:val="16"/>
        </w:rPr>
        <w:t>[ARE 1.042.075, rel. min. Dias Toffoli, j. 25.06.2025, P, DJE de 24.09.2025, Tema 977, com mérito julgado.]</w:t>
      </w:r>
    </w:p>
    <w:p>
      <w:pPr>
        <w:ind w:left="288"/>
      </w:pPr>
      <w:r>
        <w:rPr>
          <w:color w:val="8C8C8C"/>
          <w:sz w:val="12"/>
        </w:rPr>
        <w:t>cf-art-5-inc-X</w:t>
      </w:r>
      <w:r>
        <w:rPr>
          <w:color w:val="003CA0"/>
          <w:sz w:val="12"/>
        </w:rPr>
        <w:t xml:space="preserve"> | RE 1.040.515</w:t>
      </w:r>
      <w:r>
        <w:rPr>
          <w:color w:val="003CA0"/>
          <w:sz w:val="12"/>
        </w:rPr>
        <w:t xml:space="preserve"> | rel. Dias Toffoli</w:t>
      </w:r>
    </w:p>
    <w:p>
      <w:pPr>
        <w:ind w:left="288"/>
      </w:pPr>
      <w:r>
        <w:rPr>
          <w:color w:val="1E1E1E"/>
          <w:sz w:val="18"/>
        </w:rPr>
        <w:t>No processo eleitoral, é ilícita a prova colhida por meio de gravação ambiental clandestina, sem autorização judicial e com violação da privacidade e da intimidade dos interlocutores, ainda que realizada por um dos participantes, sem o conhecimento dos demais. b) A exceção à regra da ilicitude da gravação ambiental feita sem o conhecimento de um dos interlocutores e sem autorização judicial ocorre na hipótese de registro de fato ocorrido em local público desprovido de qualquer controle de acesso, pois, nesse caso, não há violação da intimidade ou quebra da expectativa de privacidade.</w:t>
      </w:r>
    </w:p>
    <w:p>
      <w:pPr>
        <w:ind w:left="288"/>
      </w:pPr>
      <w:r>
        <w:rPr>
          <w:b/>
          <w:color w:val="003CA0"/>
          <w:sz w:val="16"/>
        </w:rPr>
        <w:t>[RE 1.040.515, rel. min. Dias Toffoli, j. 29.04.2024, P, DJE de 24.06.2024, Tema 979, com mérito julgado.]</w:t>
      </w:r>
    </w:p>
    <w:p>
      <w:pPr>
        <w:ind w:left="288"/>
      </w:pPr>
      <w:r>
        <w:rPr>
          <w:color w:val="8C8C8C"/>
          <w:sz w:val="12"/>
        </w:rPr>
        <w:t>cf-art-5-inc-X</w:t>
      </w:r>
      <w:r>
        <w:rPr>
          <w:color w:val="003CA0"/>
          <w:sz w:val="12"/>
        </w:rPr>
        <w:t xml:space="preserve"> | HC 208.240</w:t>
      </w:r>
      <w:r>
        <w:rPr>
          <w:color w:val="003CA0"/>
          <w:sz w:val="12"/>
        </w:rPr>
        <w:t xml:space="preserve"> | rel. Edson Fachin</w:t>
      </w:r>
    </w:p>
    <w:p>
      <w:pPr>
        <w:ind w:left="288"/>
      </w:pPr>
      <w:r>
        <w:rPr>
          <w:color w:val="1E1E1E"/>
          <w:sz w:val="18"/>
        </w:rPr>
        <w:t>A Constituição Federal protege a intimidade e a privacidade como direitos individuais (art. 5º, X). Também prevê como objetivo fundamental da República Federativa do Brasil a construção de uma sociedade justa, plural e solidária, sem preconceitos de origem, raça, sexo, cor, idade e quaisquer outras formas de discriminação (art. 3º, I e IV). (...) O Estado brasileiro comprometeu-se a proibir e a eliminar a discriminação racial em todas suas formas e a garantir o direito de cada um à igualdade perante a lei sem distinção de raça, de cor ou de origem nacional ou étnica (Convenção Internacional so</w:t>
      </w:r>
    </w:p>
    <w:p>
      <w:pPr>
        <w:ind w:left="288"/>
      </w:pPr>
      <w:r>
        <w:rPr>
          <w:b/>
          <w:color w:val="003CA0"/>
          <w:sz w:val="16"/>
        </w:rPr>
        <w:t>[HC 208.240, rel. min. Edson Fachin, j. 11.04.2024, P, DJE de 28.06.2024.]</w:t>
      </w:r>
    </w:p>
    <w:p>
      <w:pPr>
        <w:ind w:left="288"/>
      </w:pPr>
      <w:r>
        <w:rPr>
          <w:color w:val="8C8C8C"/>
          <w:sz w:val="12"/>
        </w:rPr>
        <w:t>cf-art-5-inc-X</w:t>
      </w:r>
      <w:r>
        <w:rPr>
          <w:color w:val="003CA0"/>
          <w:sz w:val="12"/>
        </w:rPr>
        <w:t xml:space="preserve"> | HC 222.141</w:t>
      </w:r>
      <w:r>
        <w:rPr>
          <w:color w:val="003CA0"/>
          <w:sz w:val="12"/>
        </w:rPr>
        <w:t xml:space="preserve"> | rel. Ricardo Lewandowski</w:t>
      </w:r>
    </w:p>
    <w:p>
      <w:pPr>
        <w:ind w:left="288"/>
      </w:pPr>
      <w:r>
        <w:rPr>
          <w:color w:val="1E1E1E"/>
          <w:sz w:val="18"/>
        </w:rPr>
        <w:t>Provedores e plataformas dos registros de conexão e registros de acesso a aplicações de Internet. Congelamento do conteúdo de comunicações privadas e de dados pessoais da paciente, com base no art. 13, § 2º, do Marco Civil da Internet, por determinação do Ministério Público, sem prévia autorização judicial. Ilegitimidade. A disponibilização de dados pessoais, comunicações privadas ou informações relativas a registros de conexão/acesso está condicionada à determinação do juiz. A exceção fica por conta dos dados cadastrais, que podem ser alcançados por autoridades administrativas devidamente aut</w:t>
      </w:r>
    </w:p>
    <w:p>
      <w:pPr>
        <w:ind w:left="288"/>
      </w:pPr>
      <w:r>
        <w:rPr>
          <w:b/>
          <w:color w:val="003CA0"/>
          <w:sz w:val="16"/>
        </w:rPr>
        <w:t>[HC 222.141 AgR, rel. min. Ricardo Lewandowski, red. do ac. min. Gilmar Mendes j. 06.02.2024, 2ª T, DJE de 03.04.2024.]</w:t>
      </w:r>
    </w:p>
    <w:p>
      <w:pPr>
        <w:ind w:left="288"/>
      </w:pPr>
      <w:r>
        <w:rPr>
          <w:color w:val="8C8C8C"/>
          <w:sz w:val="12"/>
        </w:rPr>
        <w:t>cf-art-5-inc-X</w:t>
      </w:r>
      <w:r>
        <w:rPr>
          <w:color w:val="003CA0"/>
          <w:sz w:val="12"/>
        </w:rPr>
        <w:t xml:space="preserve"> | ARE 1.369.282</w:t>
      </w:r>
      <w:r>
        <w:rPr>
          <w:color w:val="003CA0"/>
          <w:sz w:val="12"/>
        </w:rPr>
        <w:t xml:space="preserve"> | rel. Ricardo Lewandowski</w:t>
      </w:r>
    </w:p>
    <w:p>
      <w:pPr>
        <w:ind w:left="288"/>
      </w:pPr>
      <w:r>
        <w:rPr>
          <w:color w:val="1E1E1E"/>
          <w:sz w:val="18"/>
        </w:rPr>
        <w:t>O dano moral sofrido pela vítima é inerente aos crimes praticados contra a mulher no âmbito doméstico e familiar, de modo que a fixação do respectivo valor mínimo indenizatório (CPP/1941, art. 387, IV) pressupõe o respeito aos princípios do contraditório e da ampla defesa, viabilizados pela oportunidade de manifestação do réu durante o curso da ação penal.</w:t>
      </w:r>
    </w:p>
    <w:p>
      <w:pPr>
        <w:ind w:left="288"/>
      </w:pPr>
      <w:r>
        <w:rPr>
          <w:b/>
          <w:color w:val="003CA0"/>
          <w:sz w:val="16"/>
        </w:rPr>
        <w:t>[ARE 1.369.282 AgR, rel. min. Ricardo Lewandowski, red. do ac. min. Edson Fachin, j. 19-9-2023, 2ª T, DJE de 1-12-2023.]</w:t>
      </w:r>
    </w:p>
    <w:p>
      <w:pPr>
        <w:ind w:left="288"/>
      </w:pPr>
      <w:r>
        <w:rPr>
          <w:color w:val="8C8C8C"/>
          <w:sz w:val="12"/>
        </w:rPr>
        <w:t>cf-art-5-inc-X</w:t>
      </w:r>
      <w:r>
        <w:rPr>
          <w:color w:val="003CA0"/>
          <w:sz w:val="12"/>
        </w:rPr>
        <w:t xml:space="preserve"> | RE 1.292.275</w:t>
      </w:r>
      <w:r>
        <w:rPr>
          <w:color w:val="003CA0"/>
          <w:sz w:val="12"/>
        </w:rPr>
        <w:t xml:space="preserve"> | rel. Nunes Marques</w:t>
      </w:r>
    </w:p>
    <w:p>
      <w:pPr>
        <w:ind w:left="288"/>
      </w:pPr>
      <w:r>
        <w:rPr>
          <w:color w:val="1E1E1E"/>
          <w:sz w:val="18"/>
        </w:rPr>
        <w:t>Divulgação de imagens de presos provisórios. Direito à informação versus direito à intimidade. (...) Não há direitos fundamentais absolutos, cabendo ao julgador, dadas as circunstâncias do caso concreto, em juízo de ponderação, avaliar qual princípio deverá prevalecer.</w:t>
      </w:r>
    </w:p>
    <w:p>
      <w:pPr>
        <w:ind w:left="288"/>
      </w:pPr>
      <w:r>
        <w:rPr>
          <w:b/>
          <w:color w:val="003CA0"/>
          <w:sz w:val="16"/>
        </w:rPr>
        <w:t>[RE 1.292.275 AgR, rel. min. Nunes Marques, j. 3-5-2023, 1ª T, DJE de 22-5-2023.]</w:t>
      </w:r>
    </w:p>
    <w:p>
      <w:pPr>
        <w:ind w:left="288"/>
      </w:pPr>
      <w:r>
        <w:rPr>
          <w:color w:val="8C8C8C"/>
          <w:sz w:val="12"/>
        </w:rPr>
        <w:t>cf-art-5-inc-X</w:t>
      </w:r>
      <w:r>
        <w:rPr>
          <w:color w:val="003CA0"/>
          <w:sz w:val="12"/>
        </w:rPr>
        <w:t xml:space="preserve"> | MS 36.150</w:t>
      </w:r>
      <w:r>
        <w:rPr>
          <w:color w:val="003CA0"/>
          <w:sz w:val="12"/>
        </w:rPr>
        <w:t xml:space="preserve"> | rel. Roberto Barroso</w:t>
      </w:r>
    </w:p>
    <w:p>
      <w:pPr>
        <w:ind w:left="288"/>
      </w:pPr>
      <w:r>
        <w:rPr>
          <w:color w:val="1E1E1E"/>
          <w:sz w:val="18"/>
        </w:rPr>
        <w:t xml:space="preserve">Mandado de segurança impetrado pelo Instituto Nacional de Estudos e Pesquisas Educacionais Anísio Teixeira (INEP) contra acórdão do Tribunal de Contas da União (TCU) que determinou a entrega de dados individualizados do Censo Escolar e do ENEM para auditoria do Programa Bolsa Família. O art. 5º, X, XIV e XXXIII, da CF/1988 e a Lei nº 12.527/2011 – Lei de acesso à informação – asseguram o sigilo de dados pessoais. A divergência quanto ao dever de sigilo do INEP sobre os dados requisitados pelo TCU é matéria sujeita à reserva de jurisdição, não cabendo ao órgão de controle externo decidir sobre </w:t>
      </w:r>
    </w:p>
    <w:p>
      <w:pPr>
        <w:ind w:left="288"/>
      </w:pPr>
      <w:r>
        <w:rPr>
          <w:b/>
          <w:color w:val="003CA0"/>
          <w:sz w:val="16"/>
        </w:rPr>
        <w:t>[MS 36.150 AgR, rel. min. Roberto Barroso, j. 10-10-2022, 1ª T, DJE de 14-10-2022.]</w:t>
      </w:r>
    </w:p>
    <w:p>
      <w:pPr>
        <w:ind w:left="288"/>
      </w:pPr>
      <w:r>
        <w:rPr>
          <w:color w:val="8C8C8C"/>
          <w:sz w:val="12"/>
        </w:rPr>
        <w:t>cf-art-5-inc-X</w:t>
      </w:r>
      <w:r>
        <w:rPr>
          <w:color w:val="003CA0"/>
          <w:sz w:val="12"/>
        </w:rPr>
        <w:t xml:space="preserve"> | AP 996</w:t>
      </w:r>
    </w:p>
    <w:p>
      <w:pPr>
        <w:ind w:left="288"/>
      </w:pPr>
      <w:r>
        <w:rPr>
          <w:color w:val="1E1E1E"/>
          <w:sz w:val="18"/>
        </w:rPr>
        <w:t>As condutas praticadas pelos acusados foram direcionadas ao malferimento de patrimônio público, mediante indevida ingerência na função pública ocupada pelo agente colaborador nos quadros da sociedade de economia mista. Embora não desconheça a posição adotada por esta Egrégia Segunda Turma no julgamento da AP 996, continuo a entender que, no âmbito da responsabilidade civil, além do dano material, consubstanciado na diminuição do patrimônio da vítima verificado com a ocorrência do ato ilícito, o ordenamento jurídico tutela igualmente o dano moral, seja na esfera individual, seja de forma coleti</w:t>
      </w:r>
    </w:p>
    <w:p>
      <w:pPr>
        <w:ind w:left="288"/>
      </w:pPr>
      <w:r>
        <w:rPr>
          <w:b/>
          <w:color w:val="003CA0"/>
          <w:sz w:val="16"/>
        </w:rPr>
        <w:t>[AP 1.002, voto do min. Edson Fachin, j. 9-6-2020, 2ª T, DJE de 17-11-2020.]</w:t>
      </w:r>
    </w:p>
    <w:p>
      <w:pPr>
        <w:ind w:left="288"/>
      </w:pPr>
      <w:r>
        <w:rPr>
          <w:color w:val="8C8C8C"/>
          <w:sz w:val="12"/>
        </w:rPr>
        <w:t>cf-art-5-inc-X</w:t>
      </w:r>
      <w:r>
        <w:rPr>
          <w:color w:val="003CA0"/>
          <w:sz w:val="12"/>
        </w:rPr>
        <w:t xml:space="preserve"> | MS 31.631</w:t>
      </w:r>
      <w:r>
        <w:rPr>
          <w:color w:val="003CA0"/>
          <w:sz w:val="12"/>
        </w:rPr>
        <w:t xml:space="preserve"> | rel. Marco Aurélio</w:t>
      </w:r>
    </w:p>
    <w:p>
      <w:pPr>
        <w:ind w:left="288"/>
      </w:pPr>
      <w:r>
        <w:rPr>
          <w:color w:val="1E1E1E"/>
          <w:sz w:val="18"/>
        </w:rPr>
        <w:t>Consoante se extrai do sítio eletrônico do CNJ, o programa Justiça Plena “monitora e dá transparência ao andamento de processos de grande repercussão social”. Considerados coordenadores e participantes, atuam no plano de monitoramento o Ministério da Justiça, o CNJ, a AGU, a Secretaria de Direitos Humanos, o Conselho Nacional do Ministério Público, a OAB, as Defensorias Públicas da União e dos Estados e a Procuradoria Federal dos Direitos do Cidadão. O acesso às informações acontece por meio do Sistema de Acompanhamento de Processos de Relevância Social (SAPRS) e é permitido apenas aos represe</w:t>
      </w:r>
    </w:p>
    <w:p>
      <w:pPr>
        <w:ind w:left="288"/>
      </w:pPr>
      <w:r>
        <w:rPr>
          <w:b/>
          <w:color w:val="003CA0"/>
          <w:sz w:val="16"/>
        </w:rPr>
        <w:t>[MS 31.631, rel. min. Marco Aurélio, j. 15-8-2017, 1ª T, DJE de 28-8-2017.]</w:t>
      </w:r>
    </w:p>
    <w:p>
      <w:pPr>
        <w:ind w:left="288"/>
      </w:pPr>
      <w:r>
        <w:rPr>
          <w:color w:val="8C8C8C"/>
          <w:sz w:val="12"/>
        </w:rPr>
        <w:t>cf-art-5-inc-X</w:t>
      </w:r>
      <w:r>
        <w:rPr>
          <w:color w:val="003CA0"/>
          <w:sz w:val="12"/>
        </w:rPr>
        <w:t xml:space="preserve"> | INQ 3.784</w:t>
      </w:r>
    </w:p>
    <w:p>
      <w:pPr>
        <w:ind w:left="288"/>
      </w:pPr>
      <w:r>
        <w:rPr>
          <w:color w:val="1E1E1E"/>
          <w:sz w:val="18"/>
        </w:rPr>
        <w:t>A extensão das diligências efetuadas em inquérito policial supervisionado pelo STF pode alcançar pessoas sem prerrogativa de foro, quando se revelar indispensável à apuração da suposta infração. No caso, há fundadas suspeitas de que o repasse de vantagem indevida ao congressista investigado ocorrera por intermédio de conta bancária de titularidade de sua esposa, do que deflui a relevância da medida para o êxito das investigações.</w:t>
      </w:r>
    </w:p>
    <w:p>
      <w:pPr>
        <w:ind w:left="288"/>
      </w:pPr>
      <w:r>
        <w:rPr>
          <w:b/>
          <w:color w:val="003CA0"/>
          <w:sz w:val="16"/>
        </w:rPr>
        <w:t>[Inq 3.784 AgR, red. do ac. min. Edson Fachin, j. 20-9-2016, 1ª T, DJE de 31-8-2017.]</w:t>
      </w:r>
    </w:p>
    <w:p>
      <w:pPr>
        <w:ind w:left="288"/>
      </w:pPr>
      <w:r>
        <w:rPr>
          <w:color w:val="8C8C8C"/>
          <w:sz w:val="12"/>
        </w:rPr>
        <w:t>cf-art-5-inc-X</w:t>
      </w:r>
      <w:r>
        <w:rPr>
          <w:color w:val="003CA0"/>
          <w:sz w:val="12"/>
        </w:rPr>
        <w:t xml:space="preserve"> | AO 1.390</w:t>
      </w:r>
      <w:r>
        <w:rPr>
          <w:color w:val="003CA0"/>
          <w:sz w:val="12"/>
        </w:rPr>
        <w:t xml:space="preserve"> | rel. Dias Toffoli</w:t>
      </w:r>
    </w:p>
    <w:p>
      <w:pPr>
        <w:ind w:left="288"/>
      </w:pPr>
      <w:r>
        <w:rPr>
          <w:color w:val="1E1E1E"/>
          <w:sz w:val="18"/>
        </w:rPr>
        <w:t>A fixação do quantum indenizatório deve observar o grau de reprovabilidade da conduta. A conduta do réu, embora reprovável, destinou-se a pessoa pública, que está sujeita a críticas relacionadas com a sua função, o que atenua o grau de reprovabilidade da conduta. A extensão do dano é média; pois, apesar de haver publicações das acusações feitas pelo réu, foi igualmente publicada, e com destaque (capa do jornal), matéria que inocenta o autor, o que minimizou o impacto das ofensas perante a sociedade.</w:t>
      </w:r>
    </w:p>
    <w:p>
      <w:pPr>
        <w:ind w:left="288"/>
      </w:pPr>
      <w:r>
        <w:rPr>
          <w:b/>
          <w:color w:val="003CA0"/>
          <w:sz w:val="16"/>
        </w:rPr>
        <w:t>[AO 1.390, rel. min. Dias Toffoli, j. 12-5-2011, P, DJE de 30-8-2011.]</w:t>
      </w:r>
    </w:p>
    <w:p>
      <w:pPr>
        <w:ind w:left="288"/>
      </w:pPr>
      <w:r>
        <w:rPr>
          <w:color w:val="8C8C8C"/>
          <w:sz w:val="12"/>
        </w:rPr>
        <w:t>cf-art-5-inc-X</w:t>
      </w:r>
      <w:r>
        <w:rPr>
          <w:color w:val="003CA0"/>
          <w:sz w:val="12"/>
        </w:rPr>
        <w:t xml:space="preserve"> | ADPF 130</w:t>
      </w:r>
      <w:r>
        <w:rPr>
          <w:color w:val="003CA0"/>
          <w:sz w:val="12"/>
        </w:rPr>
        <w:t xml:space="preserve"> | rel. Cezar Peluso</w:t>
      </w:r>
    </w:p>
    <w:p>
      <w:pPr>
        <w:ind w:left="288"/>
      </w:pPr>
      <w:r>
        <w:rPr>
          <w:color w:val="1E1E1E"/>
          <w:sz w:val="18"/>
        </w:rPr>
        <w:t>Não ofende a autoridade do acórdão proferido na ADPF 130 a decisão que, proibindo a jornal a publicação de fatos relativos ao autor de ação inibitória, se fundou, de maneira expressa, na inviolabilidade constitucional de direitos da personalidade, notadamente o da privacidade, mediante proteção de sigilo legal de dados cobertos por segredo de justiça.</w:t>
      </w:r>
    </w:p>
    <w:p>
      <w:pPr>
        <w:ind w:left="288"/>
      </w:pPr>
      <w:r>
        <w:rPr>
          <w:b/>
          <w:color w:val="003CA0"/>
          <w:sz w:val="16"/>
        </w:rPr>
        <w:t>[Rcl 9.428, rel. min. Cezar Peluso, j. 10-12-2009, P, DJE de 25-6-2010.]</w:t>
      </w:r>
    </w:p>
    <w:p>
      <w:pPr>
        <w:ind w:left="288"/>
      </w:pPr>
      <w:r>
        <w:rPr>
          <w:color w:val="8C8C8C"/>
          <w:sz w:val="12"/>
        </w:rPr>
        <w:t>cf-art-5-inc-X</w:t>
      </w:r>
      <w:r>
        <w:rPr>
          <w:color w:val="003CA0"/>
          <w:sz w:val="12"/>
        </w:rPr>
        <w:t xml:space="preserve"> | MS 27.483</w:t>
      </w:r>
      <w:r>
        <w:rPr>
          <w:color w:val="003CA0"/>
          <w:sz w:val="12"/>
        </w:rPr>
        <w:t xml:space="preserve"> | rel. Cezar Peluso</w:t>
      </w:r>
    </w:p>
    <w:p>
      <w:pPr>
        <w:ind w:left="288"/>
      </w:pPr>
      <w:r>
        <w:rPr>
          <w:color w:val="1E1E1E"/>
          <w:sz w:val="18"/>
        </w:rPr>
        <w:t>CPI não tem poder jurídico de, mediante requisição, a operadoras de telefonia, de cópias de decisão nem de mandado judicial de interceptação telefônica, quebrar sigilo imposto a processo sujeito a segredo de justiça. Este é oponível a CPI, representando expressiva limitação aos seus poderes constitucionais.</w:t>
      </w:r>
    </w:p>
    <w:p>
      <w:pPr>
        <w:ind w:left="288"/>
      </w:pPr>
      <w:r>
        <w:rPr>
          <w:b/>
          <w:color w:val="003CA0"/>
          <w:sz w:val="16"/>
        </w:rPr>
        <w:t>[MS 27.483 MC-REF, rel. min. Cezar Peluso, j. 14-8-2008, P, DJE de 10-10-2008.]</w:t>
      </w:r>
    </w:p>
    <w:p>
      <w:pPr>
        <w:ind w:left="288"/>
      </w:pPr>
      <w:r>
        <w:rPr>
          <w:color w:val="8C8C8C"/>
          <w:sz w:val="12"/>
        </w:rPr>
        <w:t>cf-art-5-inc-X</w:t>
      </w:r>
      <w:r>
        <w:rPr>
          <w:color w:val="003CA0"/>
          <w:sz w:val="12"/>
        </w:rPr>
        <w:t xml:space="preserve"> | AI 655.298</w:t>
      </w:r>
      <w:r>
        <w:rPr>
          <w:color w:val="003CA0"/>
          <w:sz w:val="12"/>
        </w:rPr>
        <w:t xml:space="preserve"> | rel. Eros Grau</w:t>
      </w:r>
    </w:p>
    <w:p>
      <w:pPr>
        <w:ind w:left="288"/>
      </w:pPr>
      <w:r>
        <w:rPr>
          <w:color w:val="1E1E1E"/>
          <w:sz w:val="18"/>
        </w:rPr>
        <w:t>O sigilo bancário, espécie de direito à privacidade protegido pela Constituição de 1988, não é absoluto, pois deve ceder diante dos interesses público, social e da Justiça. Assim, deve ceder também na forma e com observância de procedimento legal e com respeito ao princípio da razoabilidade.</w:t>
      </w:r>
    </w:p>
    <w:p>
      <w:pPr>
        <w:ind w:left="288"/>
      </w:pPr>
      <w:r>
        <w:rPr>
          <w:b/>
          <w:color w:val="003CA0"/>
          <w:sz w:val="16"/>
        </w:rPr>
        <w:t>[AI 655.298 AgR, rel. min. Eros Grau, j. 4-9-2007, 2ª T, DJ de 28-9-2007.]</w:t>
      </w:r>
    </w:p>
    <w:p>
      <w:pPr>
        <w:ind w:left="288"/>
      </w:pPr>
      <w:r>
        <w:rPr>
          <w:color w:val="8C8C8C"/>
          <w:sz w:val="12"/>
        </w:rPr>
        <w:t>cf-art-5-inc-X</w:t>
      </w:r>
      <w:r>
        <w:rPr>
          <w:color w:val="003CA0"/>
          <w:sz w:val="12"/>
        </w:rPr>
        <w:t xml:space="preserve"> | INQ 2.245</w:t>
      </w:r>
      <w:r>
        <w:rPr>
          <w:color w:val="003CA0"/>
          <w:sz w:val="12"/>
        </w:rPr>
        <w:t xml:space="preserve"> | rel. Joaquim Barbosa</w:t>
      </w:r>
    </w:p>
    <w:p>
      <w:pPr>
        <w:ind w:left="288"/>
      </w:pPr>
      <w:r>
        <w:rPr>
          <w:color w:val="1E1E1E"/>
          <w:sz w:val="18"/>
        </w:rPr>
        <w:t>Não procede a alegação feita pelo quinto acusado de que os dados relativos aos supostos empréstimos bancários contraídos com as duas instituições financeiras envolvidas teriam sido colhidos de modo ilegal, pois o Banco Central teria atendido diretamente a pedido do PGR sem que houvesse autorização judicial. Tais dados constam de relatórios de fiscalização do Banco Central, que foram requisitados pela CPMI dos Correios. No âmbito deste inquérito, o presidente do STF determinou o "compartilhamento de todas as informações bancárias já obtidas pela CPMI dos Correios" para análise em conjunto com o</w:t>
      </w:r>
    </w:p>
    <w:p>
      <w:pPr>
        <w:ind w:left="288"/>
      </w:pPr>
      <w:r>
        <w:rPr>
          <w:b/>
          <w:color w:val="003CA0"/>
          <w:sz w:val="16"/>
        </w:rPr>
        <w:t>[Inq 2.245, rel. min. Joaquim Barbosa, j. 28-8-2007, P, DJ de 9-11-2007.]</w:t>
      </w:r>
    </w:p>
    <w:p>
      <w:pPr>
        <w:ind w:left="288"/>
      </w:pPr>
      <w:r>
        <w:rPr>
          <w:color w:val="8C8C8C"/>
          <w:sz w:val="12"/>
        </w:rPr>
        <w:t>cf-art-5-inc-X</w:t>
      </w:r>
      <w:r>
        <w:rPr>
          <w:color w:val="003CA0"/>
          <w:sz w:val="12"/>
        </w:rPr>
        <w:t xml:space="preserve"> | INQ 2.245</w:t>
      </w:r>
      <w:r>
        <w:rPr>
          <w:color w:val="003CA0"/>
          <w:sz w:val="12"/>
        </w:rPr>
        <w:t xml:space="preserve"> | rel. Joaquim Barbosa</w:t>
      </w:r>
    </w:p>
    <w:p>
      <w:pPr>
        <w:ind w:left="288"/>
      </w:pPr>
      <w:r>
        <w:rPr>
          <w:color w:val="1E1E1E"/>
          <w:sz w:val="18"/>
        </w:rPr>
        <w:t>Requisição de remessa ao STF de lista pela qual se identifiquem todas as pessoas que fizeram uso da conta de não residente para fins de remessa de valores ao exterior: impossibilidade. Configura-se ilegítima a quebra de sigilo bancário de listagem genérica, com nomes de pessoas não relacionados diretamente com as investigações (art. 5º, X, da CF). Ressalva da possibilidade de o MPF formular pedido específico, sobre pessoas identificadas, definindo e justificando com exatidão a sua pretensão.</w:t>
      </w:r>
    </w:p>
    <w:p>
      <w:pPr>
        <w:ind w:left="288"/>
      </w:pPr>
      <w:r>
        <w:rPr>
          <w:b/>
          <w:color w:val="003CA0"/>
          <w:sz w:val="16"/>
        </w:rPr>
        <w:t>[Inq 2.245 AgR, rel. min. Joaquim Barbosa, red. do ac. min. Cármen Lúcia, j. 29-11-2006, P, DJ de 9-11-2007.]</w:t>
      </w:r>
    </w:p>
    <w:p>
      <w:pPr>
        <w:ind w:left="288"/>
      </w:pPr>
      <w:r>
        <w:rPr>
          <w:color w:val="8C8C8C"/>
          <w:sz w:val="12"/>
        </w:rPr>
        <w:t>cf-art-5-inc-X</w:t>
      </w:r>
      <w:r>
        <w:rPr>
          <w:color w:val="003CA0"/>
          <w:sz w:val="12"/>
        </w:rPr>
        <w:t xml:space="preserve"> | HC 84.758</w:t>
      </w:r>
      <w:r>
        <w:rPr>
          <w:color w:val="003CA0"/>
          <w:sz w:val="12"/>
        </w:rPr>
        <w:t xml:space="preserve"> | rel. Celso de Mello</w:t>
      </w:r>
    </w:p>
    <w:p>
      <w:pPr>
        <w:ind w:left="288"/>
      </w:pPr>
      <w:r>
        <w:rPr>
          <w:color w:val="1E1E1E"/>
          <w:sz w:val="18"/>
        </w:rPr>
        <w:t>A quebra de sigilo não pode ser manipulada, de modo arbitrário, pelo poder público ou por seus agentes. É que, se assim não fosse, a quebra de sigilo converter-se-ia, ilegitimamente, em instrumento de busca generalizada e de devassa indiscriminada da esfera de intimidade das pessoas, o que daria ao Estado, em desconformidade com os postulados que informam o regime democrático, o poder absoluto de vasculhar, sem quaisquer limitações, registros sigilosos alheios. (...) Para que a medida excepcional da quebra de sigilo bancário não se descaracterize em sua finalidade legítima, torna-se imprescind</w:t>
      </w:r>
    </w:p>
    <w:p>
      <w:pPr>
        <w:ind w:left="288"/>
      </w:pPr>
      <w:r>
        <w:rPr>
          <w:b/>
          <w:color w:val="003CA0"/>
          <w:sz w:val="16"/>
        </w:rPr>
        <w:t>[HC 84.758, rel. min. Celso de Mello, j. 25-5-2006, P, DJ de 16-6-2006.]</w:t>
      </w:r>
    </w:p>
    <w:p>
      <w:pPr>
        <w:ind w:left="288"/>
      </w:pPr>
      <w:r>
        <w:rPr>
          <w:color w:val="8C8C8C"/>
          <w:sz w:val="12"/>
        </w:rPr>
        <w:t>cf-art-5-inc-X</w:t>
      </w:r>
      <w:r>
        <w:rPr>
          <w:color w:val="003CA0"/>
          <w:sz w:val="12"/>
        </w:rPr>
        <w:t xml:space="preserve"> | HC 87.654</w:t>
      </w:r>
      <w:r>
        <w:rPr>
          <w:color w:val="003CA0"/>
          <w:sz w:val="12"/>
        </w:rPr>
        <w:t xml:space="preserve"> | rel. Ellen Gracie</w:t>
      </w:r>
    </w:p>
    <w:p>
      <w:pPr>
        <w:ind w:left="288"/>
      </w:pPr>
      <w:r>
        <w:rPr>
          <w:color w:val="1E1E1E"/>
          <w:sz w:val="18"/>
        </w:rPr>
        <w:t>O chamado sigilo fiscal nada mais é que um desdobramento do direito à intimidade e à vida privada. Aqui se cuida de pessoa jurídica que exerce atividade tributável. Contribuinte, portanto. Os documentos foram apreendidos no interior da sede da empresa, e não no domicílio do seu responsável legal. A atividade da pessoa jurídica está prevista como crime contra a ordem econômica. Legítima, assim, a atuação do Fisco, com respaldo na legislação pertinente. Legítima, também, a atuação do Ministério Público instando a autoridade policial à instauração do inquérito policial, com vista a apurar a ocorr</w:t>
      </w:r>
    </w:p>
    <w:p>
      <w:pPr>
        <w:ind w:left="288"/>
      </w:pPr>
      <w:r>
        <w:rPr>
          <w:b/>
          <w:color w:val="003CA0"/>
          <w:sz w:val="16"/>
        </w:rPr>
        <w:t>[HC 87.654, rel. min. Ellen Gracie, j. 7-3-2006, 2ª T, DJ de 20-4-2006.]</w:t>
      </w:r>
    </w:p>
    <w:p>
      <w:pPr>
        <w:ind w:left="288"/>
      </w:pPr>
      <w:r>
        <w:rPr>
          <w:color w:val="8C8C8C"/>
          <w:sz w:val="12"/>
        </w:rPr>
        <w:t>cf-art-5-inc-X</w:t>
      </w:r>
      <w:r>
        <w:rPr>
          <w:color w:val="003CA0"/>
          <w:sz w:val="12"/>
        </w:rPr>
        <w:t xml:space="preserve"> | HC 87.341</w:t>
      </w:r>
      <w:r>
        <w:rPr>
          <w:color w:val="003CA0"/>
          <w:sz w:val="12"/>
        </w:rPr>
        <w:t xml:space="preserve"> | rel. Eros Grau</w:t>
      </w:r>
    </w:p>
    <w:p>
      <w:pPr>
        <w:ind w:left="288"/>
      </w:pPr>
      <w:r>
        <w:rPr>
          <w:color w:val="1E1E1E"/>
          <w:sz w:val="18"/>
        </w:rPr>
        <w:t>Paciente denunciado por falsidade ideológica, consubstanciada em exigir quantia em dinheiro para inserir falsa informação de excesso de contingente em certificado de dispensa de incorporação. Gravação clandestina realizada pelo alistando, a pedido de emissora de televisão, que levou as imagens ao ar em todo o território nacional por meio de conhecido programa jornalístico. (...) A questão posta não é de inviolabilidade das comunicações, e sim da proteção da privacidade e da própria honra, que não constitui direito absoluto, devendo ceder em prol do interesse público.</w:t>
      </w:r>
    </w:p>
    <w:p>
      <w:pPr>
        <w:ind w:left="288"/>
      </w:pPr>
      <w:r>
        <w:rPr>
          <w:b/>
          <w:color w:val="003CA0"/>
          <w:sz w:val="16"/>
        </w:rPr>
        <w:t>[HC 87.341, rel. min. Eros Grau, j. 7-2-2006, 1ª T, DJ de 3-3-2006.]</w:t>
      </w:r>
    </w:p>
    <w:p>
      <w:pPr>
        <w:ind w:left="288"/>
      </w:pPr>
      <w:r>
        <w:rPr>
          <w:color w:val="8C8C8C"/>
          <w:sz w:val="12"/>
        </w:rPr>
        <w:t>cf-art-5-inc-X</w:t>
      </w:r>
      <w:r>
        <w:rPr>
          <w:color w:val="003CA0"/>
          <w:sz w:val="12"/>
        </w:rPr>
        <w:t xml:space="preserve"> | RHC 108.156</w:t>
      </w:r>
      <w:r>
        <w:rPr>
          <w:color w:val="003CA0"/>
          <w:sz w:val="12"/>
        </w:rPr>
        <w:t xml:space="preserve"> | rel. Luiz Fux</w:t>
      </w:r>
    </w:p>
    <w:p>
      <w:pPr>
        <w:ind w:left="288"/>
      </w:pPr>
      <w:r>
        <w:rPr>
          <w:color w:val="1E1E1E"/>
          <w:sz w:val="18"/>
        </w:rPr>
        <w:t>= RHC 108.156, rel. min. Luiz Fux, j. 28-6-2011, 1ª T, DJE de 10-8-2011 O dano moral indenizável é o que atinge a esfera legítima de afeição da vítima, que agride seus valores, que humilha, que causa dor.</w:t>
      </w:r>
    </w:p>
    <w:p>
      <w:pPr>
        <w:ind w:left="288"/>
      </w:pPr>
      <w:r>
        <w:rPr>
          <w:b/>
          <w:color w:val="003CA0"/>
          <w:sz w:val="16"/>
        </w:rPr>
        <w:t>[RE 387.014 AgR, rel. min. Carlos Velloso, j. 8-6-2004, 2ª T, DJ de 25-6-2004.]</w:t>
      </w:r>
    </w:p>
    <w:p>
      <w:pPr>
        <w:ind w:left="288"/>
      </w:pPr>
      <w:r>
        <w:rPr>
          <w:color w:val="8C8C8C"/>
          <w:sz w:val="12"/>
        </w:rPr>
        <w:t>cf-art-5-inc-X</w:t>
      </w:r>
      <w:r>
        <w:rPr>
          <w:color w:val="003CA0"/>
          <w:sz w:val="12"/>
        </w:rPr>
        <w:t xml:space="preserve"> | RE 208.685</w:t>
      </w:r>
      <w:r>
        <w:rPr>
          <w:color w:val="003CA0"/>
          <w:sz w:val="12"/>
        </w:rPr>
        <w:t xml:space="preserve"> | rel. Ellen Gracie</w:t>
      </w:r>
    </w:p>
    <w:p>
      <w:pPr>
        <w:ind w:left="288"/>
      </w:pPr>
      <w:r>
        <w:rPr>
          <w:color w:val="1E1E1E"/>
          <w:sz w:val="18"/>
        </w:rPr>
        <w:t>A simples reprodução, pela imprensa, de acusação de mau uso de verbas públicas, prática de nepotismo e tráfico de influência, objeto de representação devidamente formulada perante o TST por federação de sindicatos, não constitui abuso de direito. Dano moral indevido.</w:t>
      </w:r>
    </w:p>
    <w:p>
      <w:pPr>
        <w:ind w:left="288"/>
      </w:pPr>
      <w:r>
        <w:rPr>
          <w:b/>
          <w:color w:val="003CA0"/>
          <w:sz w:val="16"/>
        </w:rPr>
        <w:t>[RE 208.685, rel. min. Ellen Gracie, j. 24-6-2003, 2ª T, DJ de 22-8-2003.]</w:t>
      </w:r>
    </w:p>
    <w:p>
      <w:pPr>
        <w:ind w:left="288"/>
      </w:pPr>
      <w:r>
        <w:rPr>
          <w:color w:val="8C8C8C"/>
          <w:sz w:val="12"/>
        </w:rPr>
        <w:t>cf-art-5-inc-X</w:t>
      </w:r>
      <w:r>
        <w:rPr>
          <w:color w:val="003CA0"/>
          <w:sz w:val="12"/>
        </w:rPr>
        <w:t xml:space="preserve"> | RE 215.984</w:t>
      </w:r>
      <w:r>
        <w:rPr>
          <w:color w:val="003CA0"/>
          <w:sz w:val="12"/>
        </w:rPr>
        <w:t xml:space="preserve"> | rel. Carlos Velloso</w:t>
      </w:r>
    </w:p>
    <w:p>
      <w:pPr>
        <w:ind w:left="288"/>
      </w:pPr>
      <w:r>
        <w:rPr>
          <w:color w:val="1E1E1E"/>
          <w:sz w:val="18"/>
        </w:rPr>
        <w:t>Dano moral: fotografia: publicação não consentida: indenização: cumulação com o dano material: possibilidade. CF, art. 5º, X. Para a reparação do dano moral não se exige a ocorrência de ofensa à reputação do indivíduo. O que acontece é que, de regra, a publicação da fotografia de alguém, com intuito comercial ou não, causa desconforto, aborrecimento ou constrangimento, não importando o tamanho desse desconforto, desse aborrecimento ou desse constrangimento. Desde que ele exista, há o dano moral, que deve ser reparado, manda a Constituição, art. 5º, X.</w:t>
      </w:r>
    </w:p>
    <w:p>
      <w:pPr>
        <w:ind w:left="288"/>
      </w:pPr>
      <w:r>
        <w:rPr>
          <w:b/>
          <w:color w:val="003CA0"/>
          <w:sz w:val="16"/>
        </w:rPr>
        <w:t>[RE 215.984, rel. min. Carlos Velloso, j. 4-6-2002, 2ª T, DJ de 28-6-2002.]</w:t>
      </w:r>
    </w:p>
    <w:p>
      <w:pPr>
        <w:ind w:left="288"/>
      </w:pPr>
      <w:r>
        <w:rPr>
          <w:color w:val="8C8C8C"/>
          <w:sz w:val="12"/>
        </w:rPr>
        <w:t>cf-art-5-inc-X</w:t>
      </w:r>
      <w:r>
        <w:rPr>
          <w:color w:val="003CA0"/>
          <w:sz w:val="12"/>
        </w:rPr>
        <w:t xml:space="preserve"> | RCL 2.040</w:t>
      </w:r>
      <w:r>
        <w:rPr>
          <w:color w:val="003CA0"/>
          <w:sz w:val="12"/>
        </w:rPr>
        <w:t xml:space="preserve"> | rel. Néri da Silveira</w:t>
      </w:r>
    </w:p>
    <w:p>
      <w:pPr>
        <w:ind w:left="288"/>
      </w:pPr>
      <w:r>
        <w:rPr>
          <w:color w:val="1E1E1E"/>
          <w:sz w:val="18"/>
        </w:rPr>
        <w:t>Coleta de material biológico da placenta, com propósito de fazer exame de DNA, para averiguação de paternidade do nascituro, embora a oposição da extraditanda. (...) Bens jurídicos constitucionais como "moralidade administrativa", "persecução penal pública" e "segurança pública" que se acrescem – como bens da comunidade, na expressão de Canotilho – ao direito fundamental à honra (CF, art. 5º, X), bem assim direito à honra e à imagem de policiais federais acusados de estupro da extraditanda, nas dependências da Polícia Federal, e direito à imagem da própria instituição, em confronto com o alega</w:t>
      </w:r>
    </w:p>
    <w:p>
      <w:pPr>
        <w:ind w:left="288"/>
      </w:pPr>
      <w:r>
        <w:rPr>
          <w:b/>
          <w:color w:val="003CA0"/>
          <w:sz w:val="16"/>
        </w:rPr>
        <w:t>[Rcl 2.040 QO, rel. min. Néri da Silveira, j. 21-2-2002, P, DJ de 27-6-2003.]</w:t>
      </w:r>
    </w:p>
    <w:p>
      <w:pPr>
        <w:ind w:left="288"/>
      </w:pPr>
      <w:r>
        <w:rPr>
          <w:color w:val="8C8C8C"/>
          <w:sz w:val="12"/>
        </w:rPr>
        <w:t>cf-art-5-inc-X</w:t>
      </w:r>
      <w:r>
        <w:rPr>
          <w:color w:val="003CA0"/>
          <w:sz w:val="12"/>
        </w:rPr>
        <w:t xml:space="preserve"> | MS 23.452</w:t>
      </w:r>
      <w:r>
        <w:rPr>
          <w:color w:val="003CA0"/>
          <w:sz w:val="12"/>
        </w:rPr>
        <w:t xml:space="preserve"> | rel. Celso de Mello</w:t>
      </w:r>
    </w:p>
    <w:p>
      <w:pPr>
        <w:ind w:left="288"/>
      </w:pPr>
      <w:r>
        <w:rPr>
          <w:color w:val="1E1E1E"/>
          <w:sz w:val="18"/>
        </w:rPr>
        <w:t>O sigilo bancário, o sigilo fiscal e o sigilo telefônico (sigilo este que incide sobre os dados/registros telefônicos e que não se identifica com a inviolabilidade das comunicações telefônicas) – ainda que representem projeções específicas do direito à intimidade, fundado no art. 5º, X, da Carta Política – não se revelam oponíveis, em nosso sistema jurídico, às CPIs, eis que o ato que lhes decreta a quebra traduz natural derivação dos poderes de investigação que foram conferidos, pela própria Constituição da República, aos órgãos de investigação parlamentar. As CPIs, no entanto, para decretare</w:t>
      </w:r>
    </w:p>
    <w:p>
      <w:pPr>
        <w:ind w:left="288"/>
      </w:pPr>
      <w:r>
        <w:rPr>
          <w:b/>
          <w:color w:val="003CA0"/>
          <w:sz w:val="16"/>
        </w:rPr>
        <w:t>[MS 23.452, rel. min. Celso de Mello, j. 16-9-1999, P, DJ de 12-5-2000.]</w:t>
      </w:r>
    </w:p>
    <w:p>
      <w:pPr>
        <w:ind w:left="288"/>
      </w:pPr>
      <w:r>
        <w:rPr>
          <w:color w:val="8C8C8C"/>
          <w:sz w:val="12"/>
        </w:rPr>
        <w:t>cf-art-5-inc-X</w:t>
      </w:r>
      <w:r>
        <w:rPr>
          <w:color w:val="003CA0"/>
          <w:sz w:val="12"/>
        </w:rPr>
        <w:t xml:space="preserve"> | HC 96.056</w:t>
      </w:r>
      <w:r>
        <w:rPr>
          <w:color w:val="003CA0"/>
          <w:sz w:val="12"/>
        </w:rPr>
        <w:t xml:space="preserve"> | rel. Gilmar Mendes</w:t>
      </w:r>
    </w:p>
    <w:p>
      <w:pPr>
        <w:ind w:left="288"/>
      </w:pPr>
      <w:r>
        <w:rPr>
          <w:color w:val="1E1E1E"/>
          <w:sz w:val="18"/>
        </w:rPr>
        <w:t>Vide HC 96.056, rel. min. Gilmar Mendes, j. 28-6-2011, 2ª T, DJE de 8-5-2012 Inexiste a alegada inconstitucionalidade do art. 235 do CPM por ofensa ao art. 5º, X, da Constituição, pois a inviolabilidade da intimidade não é direito absoluto a ser utilizado como garantia à permissão da prática de crimes sexuais.</w:t>
      </w:r>
    </w:p>
    <w:p>
      <w:pPr>
        <w:ind w:left="288"/>
      </w:pPr>
      <w:r>
        <w:rPr>
          <w:b/>
          <w:color w:val="003CA0"/>
          <w:sz w:val="16"/>
        </w:rPr>
        <w:t>[HC 79.285, rel. min. Moreira Alves, j. 31-8-1999, 1ª T, DJ de 12-11-1999.]</w:t>
      </w:r>
    </w:p>
    <w:p>
      <w:pPr>
        <w:ind w:left="288"/>
      </w:pPr>
      <w:r>
        <w:rPr>
          <w:color w:val="8C8C8C"/>
          <w:sz w:val="12"/>
        </w:rPr>
        <w:t>cf-art-5-inc-X</w:t>
      </w:r>
      <w:r>
        <w:rPr>
          <w:color w:val="003CA0"/>
          <w:sz w:val="12"/>
        </w:rPr>
        <w:t xml:space="preserve"> | HC 74.678</w:t>
      </w:r>
      <w:r>
        <w:rPr>
          <w:color w:val="003CA0"/>
          <w:sz w:val="12"/>
        </w:rPr>
        <w:t xml:space="preserve"> | rel. Moreira Alves</w:t>
      </w:r>
    </w:p>
    <w:p>
      <w:pPr>
        <w:ind w:left="288"/>
      </w:pPr>
      <w:r>
        <w:rPr>
          <w:color w:val="1E1E1E"/>
          <w:sz w:val="18"/>
        </w:rPr>
        <w:t>Utilização de gravação de conversa telefônica feita por terceiro com a autorização de um dos interlocutores sem o conhecimento do outro quando há, para essa utilização, excludente da antijuridicidade. Afastada a ilicitude de tal conduta – a de, por legítima defesa, fazer gravar e divulgar conversa telefônica ainda que não haja o conhecimento do terceiro que está praticando crime –, é ela, por via de consequência, lícita e, também consequentemente, essa gravação não pode ser tida como prova ilícita, para invocar-se o art. 5º, LVI, da Constituição com fundamento em que houve violação da intimida</w:t>
      </w:r>
    </w:p>
    <w:p>
      <w:pPr>
        <w:ind w:left="288"/>
      </w:pPr>
      <w:r>
        <w:rPr>
          <w:b/>
          <w:color w:val="003CA0"/>
          <w:sz w:val="16"/>
        </w:rPr>
        <w:t>[HC 74.678, rel. min. Moreira Alves, j. 10-6-1997, 1ª T, DJ de 15-8-1997.]</w:t>
      </w:r>
    </w:p>
    <w:p>
      <w:pPr>
        <w:ind w:left="288"/>
      </w:pPr>
      <w:r>
        <w:rPr>
          <w:color w:val="8C8C8C"/>
          <w:sz w:val="12"/>
        </w:rPr>
        <w:t>cf-art-5-inc-X</w:t>
      </w:r>
      <w:r>
        <w:rPr>
          <w:color w:val="003CA0"/>
          <w:sz w:val="12"/>
        </w:rPr>
        <w:t xml:space="preserve"> | HC 91.613</w:t>
      </w:r>
      <w:r>
        <w:rPr>
          <w:color w:val="003CA0"/>
          <w:sz w:val="12"/>
        </w:rPr>
        <w:t xml:space="preserve"> | rel. Gilmar Mendes</w:t>
      </w:r>
    </w:p>
    <w:p>
      <w:pPr>
        <w:ind w:left="288"/>
      </w:pPr>
      <w:r>
        <w:rPr>
          <w:color w:val="1E1E1E"/>
          <w:sz w:val="18"/>
        </w:rPr>
        <w:t>= HC 91.613, rel. min. Gilmar Mendes, j. 15-5-2012, 2ª T, DJE de 17-9-2012 O fato de a Convenção de Varsóvia revelar, como regra, a indenização tarifada por danos materiais não exclui a relativa aos danos morais. Configurados esses pelo sentimento de desconforto, de constrangimento, aborrecimento e humilhação decorrentes do extravio de mala, cumpre observar a Carta Política da República – incisos V e X do art. 5º, no que se sobrepõe a tratados e convenções ratificados pelo Brasil.</w:t>
      </w:r>
    </w:p>
    <w:p>
      <w:pPr>
        <w:ind w:left="288"/>
      </w:pPr>
      <w:r>
        <w:rPr>
          <w:b/>
          <w:color w:val="003CA0"/>
          <w:sz w:val="16"/>
        </w:rPr>
        <w:t>[RE 172.720, rel. min. Marco Aurélio, j. 6-2-1996, 2ª T, DJ de 21-2-1997.]</w:t>
      </w:r>
    </w:p>
    <w:p>
      <w:pPr>
        <w:ind w:left="288"/>
      </w:pPr>
      <w:r>
        <w:rPr>
          <w:color w:val="8C8C8C"/>
          <w:sz w:val="12"/>
        </w:rPr>
        <w:t>cf-art-5-inc-X</w:t>
      </w:r>
      <w:r>
        <w:rPr>
          <w:color w:val="003CA0"/>
          <w:sz w:val="12"/>
        </w:rPr>
        <w:t xml:space="preserve"> | AP 307</w:t>
      </w:r>
      <w:r>
        <w:rPr>
          <w:color w:val="003CA0"/>
          <w:sz w:val="12"/>
        </w:rPr>
        <w:t xml:space="preserve"> | rel. Ilmar Galvão</w:t>
      </w:r>
    </w:p>
    <w:p>
      <w:pPr>
        <w:ind w:left="288"/>
      </w:pPr>
      <w:r>
        <w:rPr>
          <w:color w:val="1E1E1E"/>
          <w:sz w:val="18"/>
        </w:rPr>
        <w:t>Inadmissibilidade, como prova, de laudos de degravação de conversa telefônica e de registros contidos na memória de microcomputador, obtidos por meios ilícitos (art. 5º, LVI, da CF); no primeiro caso, por se tratar de gravação realizada por um dos interlocutores, sem conhecimento do outro, havendo a degravação sido feita com inobservância do princípio do contraditório, e utilizada com violação à privacidade alheia (art. 5º, X, da CF); e, no segundo caso, por estar-se diante de microcomputador que, além de ter sido apreendido com violação de domicílio, teve a memória nele contida sido degravada</w:t>
      </w:r>
    </w:p>
    <w:p>
      <w:pPr>
        <w:ind w:left="288"/>
      </w:pPr>
      <w:r>
        <w:rPr>
          <w:b/>
          <w:color w:val="003CA0"/>
          <w:sz w:val="16"/>
        </w:rPr>
        <w:t>[AP 307, rel. min. Ilmar Galvão, j. 13-12-1994, P, DJ de 13-10-1995.]</w:t>
      </w:r>
    </w:p>
    <w:p>
      <w:pPr>
        <w:ind w:left="288"/>
      </w:pPr>
      <w:r>
        <w:rPr>
          <w:color w:val="8C8C8C"/>
          <w:sz w:val="12"/>
        </w:rPr>
        <w:t>cf-art-5-inc-X</w:t>
      </w:r>
      <w:r>
        <w:rPr>
          <w:color w:val="003CA0"/>
          <w:sz w:val="12"/>
        </w:rPr>
        <w:t xml:space="preserve"> | HC 71.373</w:t>
      </w:r>
      <w:r>
        <w:rPr>
          <w:color w:val="003CA0"/>
          <w:sz w:val="12"/>
        </w:rPr>
        <w:t xml:space="preserve"> | rel. Francisco Rezek</w:t>
      </w:r>
    </w:p>
    <w:p>
      <w:pPr>
        <w:ind w:left="288"/>
      </w:pPr>
      <w:r>
        <w:rPr>
          <w:color w:val="1E1E1E"/>
          <w:sz w:val="18"/>
        </w:rPr>
        <w:t>Discrepa, a mais não poder, de garantias constitucionais implícitas e explícitas – preservação da dignidade humana, da intimidade, da intangibilidade do corpo humano, do império da lei e da inexecução específica e direta de obrigação de fazer – provimento judicial que, em ação civil de investigação de paternidade, implique determinação no sentido de o réu ser conduzido ao laboratório, "debaixo de vara", para coleta do material indispensável à feitura do exame DNA. A recusa resolve-se no plano jurídico-instrumental, consideradas a dogmática, a doutrina e a jurisprudência, no que voltadas ao des</w:t>
      </w:r>
    </w:p>
    <w:p>
      <w:pPr>
        <w:ind w:left="288"/>
      </w:pPr>
      <w:r>
        <w:rPr>
          <w:b/>
          <w:color w:val="003CA0"/>
          <w:sz w:val="16"/>
        </w:rPr>
        <w:t>[HC 71.373, rel. min. Francisco Rezek, red. do ac. min. Marco Aurélio, j. 10-11-1994, P, DJ de 22-11-1996.]</w:t>
      </w:r>
    </w:p>
    <w:p>
      <w:pPr>
        <w:ind w:left="288"/>
      </w:pPr>
      <w:r>
        <w:rPr>
          <w:color w:val="8C8C8C"/>
          <w:sz w:val="12"/>
        </w:rPr>
        <w:t>cf-art-5-inc-X</w:t>
      </w:r>
      <w:r>
        <w:rPr>
          <w:color w:val="003CA0"/>
          <w:sz w:val="12"/>
        </w:rPr>
        <w:t xml:space="preserve"> | HC 76.060</w:t>
      </w:r>
      <w:r>
        <w:rPr>
          <w:color w:val="003CA0"/>
          <w:sz w:val="12"/>
        </w:rPr>
        <w:t xml:space="preserve"> | rel. Sepúlveda Pertence</w:t>
      </w:r>
    </w:p>
    <w:p>
      <w:pPr>
        <w:ind w:left="288"/>
      </w:pPr>
      <w:r>
        <w:rPr>
          <w:color w:val="1E1E1E"/>
          <w:sz w:val="18"/>
        </w:rPr>
        <w:t>= HC 76.060, rel. min. Sepúlveda Pertence, j. 31-3-1998, 1ª T, DJ de 15-5-1998 XI - a casa é asilo inviolável do indivíduo, ninguém nela podendo penetrar sem consentimento do morador, salvo em caso de flagrante delito ou desastre, ou para prestar socorro, ou, durante o dia, por determinação judicial; Nas diligências para a localização do bem móvel dado em garantia em alienação fiduciária e em sua apreensão, previstas nos §§ 4º, 5º e 7º do art. 8º-C do Decreto-Lei nº 911/69 (redação da Lei nº 14.711/23), devem ser assegurados os direitos à vida privada, à honra e à imagem do devedor; a inviolab</w:t>
      </w:r>
    </w:p>
    <w:p>
      <w:pPr>
        <w:ind w:left="288"/>
      </w:pPr>
      <w:r>
        <w:rPr>
          <w:b/>
          <w:color w:val="003CA0"/>
          <w:sz w:val="16"/>
        </w:rPr>
        <w:t>[ADI 7.600, ADI 7.601 e 7.608, rel. min. Dias Toffoli, j. 01.07.2025, P, DJE de 15.09.2025.]</w:t>
      </w:r>
    </w:p>
    <w:p>
      <w:pPr>
        <w:ind w:left="288"/>
      </w:pPr>
      <w:r>
        <w:rPr>
          <w:color w:val="8C8C8C"/>
          <w:sz w:val="12"/>
        </w:rPr>
        <w:t>cf-art-5-inc-X</w:t>
      </w:r>
      <w:r>
        <w:rPr>
          <w:color w:val="003CA0"/>
          <w:sz w:val="12"/>
        </w:rPr>
        <w:t xml:space="preserve"> | ADI 6.138</w:t>
      </w:r>
      <w:r>
        <w:rPr>
          <w:color w:val="003CA0"/>
          <w:sz w:val="12"/>
        </w:rPr>
        <w:t xml:space="preserve"> | rel. Alexandre de Moraes</w:t>
      </w:r>
    </w:p>
    <w:p>
      <w:pPr>
        <w:ind w:left="288"/>
      </w:pPr>
      <w:r>
        <w:rPr>
          <w:color w:val="1E1E1E"/>
          <w:sz w:val="18"/>
        </w:rPr>
        <w:t>A autorização excepcional para que delegados de polícia e policiais procedam na forma do art. 12-C II e III, E § 1º, da Lei nº 11.340/2006 (LEI MARIA DA PENHA), com as alterações incluídas pela Lei nº 13.827/2019, é resposta legislativa adequada e necessária ao rompimento do ciclo de violência doméstica em suas fases mais agudas, amplamente justificável em razão da eventual impossibilidade de obtenção da tutela jurisdicional em tempo hábil. Independentemente de ordem judicial ou prévio consentimento do seu morador, o artigo 5º, inciso XI, da Constituição Federal admite que qualquer do povo, e,</w:t>
      </w:r>
    </w:p>
    <w:p>
      <w:pPr>
        <w:ind w:left="288"/>
      </w:pPr>
      <w:r>
        <w:rPr>
          <w:b/>
          <w:color w:val="003CA0"/>
          <w:sz w:val="16"/>
        </w:rPr>
        <w:t>[ADI 6.138, rel. min. Alexandre de Moraes, j. 23.03.2022, P, DJE de 09.06.2022.]</w:t>
      </w:r>
    </w:p>
    <w:p>
      <w:pPr>
        <w:ind w:left="288"/>
      </w:pPr>
      <w:r>
        <w:rPr>
          <w:color w:val="8C8C8C"/>
          <w:sz w:val="12"/>
        </w:rPr>
        <w:t>cf-art-5-inc-X</w:t>
      </w:r>
      <w:r>
        <w:rPr>
          <w:color w:val="003CA0"/>
          <w:sz w:val="12"/>
        </w:rPr>
        <w:t xml:space="preserve"> | ARE 1.244.249</w:t>
      </w:r>
      <w:r>
        <w:rPr>
          <w:color w:val="003CA0"/>
          <w:sz w:val="12"/>
        </w:rPr>
        <w:t xml:space="preserve"> | rel. Alexandre de Moraes</w:t>
      </w:r>
    </w:p>
    <w:p>
      <w:pPr>
        <w:ind w:left="288"/>
      </w:pPr>
      <w:r>
        <w:rPr>
          <w:color w:val="1E1E1E"/>
          <w:sz w:val="18"/>
        </w:rPr>
        <w:t>Licitude de prova obtida por meio de busca pessoal realizada por agente de segurança privada, contratado por empresa pública ou sociedade de economia mista prestadoras de serviço público, no legítimo exercício de poder de polícia e com a finalidade de garantir a segurança dos usuários de serviços públicos (plataforma da estação da CPTM).</w:t>
      </w:r>
    </w:p>
    <w:p>
      <w:pPr>
        <w:ind w:left="288"/>
      </w:pPr>
      <w:r>
        <w:rPr>
          <w:b/>
          <w:color w:val="003CA0"/>
          <w:sz w:val="16"/>
        </w:rPr>
        <w:t>[ARE 1.244.249 RG, rel. min. Alexandre de Moraes, j. 16.08.2024, P, DJE de 13.09.2024, Tema 1.315, com mérito pendente.]</w:t>
      </w:r>
    </w:p>
    <w:p>
      <w:pPr>
        <w:ind w:left="288"/>
      </w:pPr>
      <w:r>
        <w:rPr>
          <w:color w:val="8C8C8C"/>
          <w:sz w:val="12"/>
        </w:rPr>
        <w:t>cf-art-5-inc-X</w:t>
      </w:r>
      <w:r>
        <w:rPr>
          <w:color w:val="003CA0"/>
          <w:sz w:val="12"/>
        </w:rPr>
        <w:t xml:space="preserve"> | RE 1.368.160</w:t>
      </w:r>
      <w:r>
        <w:rPr>
          <w:color w:val="003CA0"/>
          <w:sz w:val="12"/>
        </w:rPr>
        <w:t xml:space="preserve"> | rel. Luiz Fux</w:t>
      </w:r>
    </w:p>
    <w:p>
      <w:pPr>
        <w:ind w:left="288"/>
      </w:pPr>
      <w:r>
        <w:rPr>
          <w:color w:val="1E1E1E"/>
          <w:sz w:val="18"/>
        </w:rPr>
        <w:t>Pressupostos de validade do consentimento do morador para a busca e apreensão domiciliar.</w:t>
      </w:r>
    </w:p>
    <w:p>
      <w:pPr>
        <w:ind w:left="288"/>
      </w:pPr>
      <w:r>
        <w:rPr>
          <w:b/>
          <w:color w:val="003CA0"/>
          <w:sz w:val="16"/>
        </w:rPr>
        <w:t>[RE 1.368.160 RG, rel. min. Luiz Fux, j. 31-3-2022, P, DJE de 5-4-2022, Tema 1.208, com mérito pendente.]</w:t>
      </w:r>
    </w:p>
    <w:p>
      <w:pPr>
        <w:ind w:left="288"/>
      </w:pPr>
      <w:r>
        <w:rPr>
          <w:color w:val="8C8C8C"/>
          <w:sz w:val="12"/>
        </w:rPr>
        <w:t>cf-art-5-inc-X</w:t>
      </w:r>
      <w:r>
        <w:rPr>
          <w:color w:val="003CA0"/>
          <w:sz w:val="12"/>
        </w:rPr>
        <w:t xml:space="preserve"> | RE 603.616</w:t>
      </w:r>
      <w:r>
        <w:rPr>
          <w:color w:val="003CA0"/>
          <w:sz w:val="12"/>
        </w:rPr>
        <w:t xml:space="preserve"> | rel. Gilmar Mendes</w:t>
      </w:r>
    </w:p>
    <w:p>
      <w:pPr>
        <w:ind w:left="288"/>
      </w:pPr>
      <w:r>
        <w:rPr>
          <w:color w:val="1E1E1E"/>
          <w:sz w:val="18"/>
        </w:rPr>
        <w:t>Inviolabilidade de domicílio – art. 5º, XI, da CF. Busca e apreensão domiciliar sem mandado judicial em caso de crime permanente. (...) Fixada a interpretação de que 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w:t>
      </w:r>
    </w:p>
    <w:p>
      <w:pPr>
        <w:ind w:left="288"/>
      </w:pPr>
      <w:r>
        <w:rPr>
          <w:b/>
          <w:color w:val="003CA0"/>
          <w:sz w:val="16"/>
        </w:rPr>
        <w:t>[RE 603.616, rel. min. Gilmar Mendes, j. 5-11-2015, P, DJE de 10-5-2016. Tema 280, com mérito julgado.]</w:t>
      </w:r>
    </w:p>
    <w:p>
      <w:pPr>
        <w:ind w:left="288"/>
      </w:pPr>
      <w:r>
        <w:rPr>
          <w:color w:val="8C8C8C"/>
          <w:sz w:val="12"/>
        </w:rPr>
        <w:t>cf-art-5-inc-X</w:t>
      </w:r>
      <w:r>
        <w:rPr>
          <w:color w:val="003CA0"/>
          <w:sz w:val="12"/>
        </w:rPr>
        <w:t xml:space="preserve"> | RE 603.616</w:t>
      </w:r>
      <w:r>
        <w:rPr>
          <w:color w:val="003CA0"/>
          <w:sz w:val="12"/>
        </w:rPr>
        <w:t xml:space="preserve"> | rel. Gilmar Mendes</w:t>
      </w:r>
    </w:p>
    <w:p>
      <w:pPr>
        <w:ind w:left="288"/>
      </w:pPr>
      <w:r>
        <w:rPr>
          <w:color w:val="1E1E1E"/>
          <w:sz w:val="18"/>
        </w:rPr>
        <w:t>O Supremo Tribunal Federal, no julgamento do RE 603.616 (Rel. Min. Gilmar Mendes, DJe de 10/5/2016, Tema 280), fixou tese no sentido de que 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 O entendimento adotado pelo STF impõe que os agentes estatais devem permear suas ações, em tais casos, mot</w:t>
      </w:r>
    </w:p>
    <w:p>
      <w:pPr>
        <w:ind w:left="288"/>
      </w:pPr>
      <w:r>
        <w:rPr>
          <w:b/>
          <w:color w:val="003CA0"/>
          <w:sz w:val="16"/>
        </w:rPr>
        <w:t>[RE 1.468.558 AgR, rel. min. Alexandre de Moraes, j. 1.10.2024, P, DJE de 3.12.2024.]</w:t>
      </w:r>
    </w:p>
    <w:p>
      <w:pPr>
        <w:ind w:left="288"/>
      </w:pPr>
      <w:r>
        <w:rPr>
          <w:color w:val="8C8C8C"/>
          <w:sz w:val="12"/>
        </w:rPr>
        <w:t>cf-art-5-inc-X</w:t>
      </w:r>
      <w:r>
        <w:rPr>
          <w:color w:val="003CA0"/>
          <w:sz w:val="12"/>
        </w:rPr>
        <w:t xml:space="preserve"> | INQ 544</w:t>
      </w:r>
      <w:r>
        <w:rPr>
          <w:color w:val="003CA0"/>
          <w:sz w:val="12"/>
        </w:rPr>
        <w:t xml:space="preserve"> | rel. Gilmar Mendes</w:t>
      </w:r>
    </w:p>
    <w:p>
      <w:pPr>
        <w:ind w:left="288"/>
      </w:pPr>
      <w:r>
        <w:rPr>
          <w:color w:val="1E1E1E"/>
          <w:sz w:val="18"/>
        </w:rPr>
        <w:t>O sigilo profissional constitucionalmente determinado não exclui a possibilidade de cumprimento de mandado de busca e apreensão em escritório de advocacia. O local de trabalho do advogado, desde que este seja investigado, pode ser alvo de busca e apreensão, observando-se os limites impostos pela autoridade judicial. Tratando-se de local onde existem documentos que dizem respeito a outros sujeitos não investigados, é indispensável a especificação do âmbito de abrangência da medida, que não poderá ser executada sobre a esfera de direitos de não investigados. Equívoco quanto à indicação do escrit</w:t>
      </w:r>
    </w:p>
    <w:p>
      <w:pPr>
        <w:ind w:left="288"/>
      </w:pPr>
      <w:r>
        <w:rPr>
          <w:b/>
          <w:color w:val="003CA0"/>
          <w:sz w:val="16"/>
        </w:rPr>
        <w:t>[HC 91.610, rel. min. Gilmar Mendes, j. 8-6-2010, 2ª T, DJE de 22-10-2010.]</w:t>
      </w:r>
    </w:p>
    <w:p>
      <w:pPr>
        <w:ind w:left="288"/>
      </w:pPr>
      <w:r>
        <w:rPr>
          <w:color w:val="8C8C8C"/>
          <w:sz w:val="12"/>
        </w:rPr>
        <w:t>cf-art-5-inc-X</w:t>
      </w:r>
      <w:r>
        <w:rPr>
          <w:color w:val="003CA0"/>
          <w:sz w:val="12"/>
        </w:rPr>
        <w:t xml:space="preserve"> | RHC 91.189</w:t>
      </w:r>
      <w:r>
        <w:rPr>
          <w:color w:val="003CA0"/>
          <w:sz w:val="12"/>
        </w:rPr>
        <w:t xml:space="preserve"> | rel. Cezar Peluso</w:t>
      </w:r>
    </w:p>
    <w:p>
      <w:pPr>
        <w:ind w:left="288"/>
      </w:pPr>
      <w:r>
        <w:rPr>
          <w:color w:val="1E1E1E"/>
          <w:sz w:val="18"/>
        </w:rPr>
        <w:t>A CF autoriza a prisão em flagrante como exceção à inviolabilidade domiciliar, prescindindo de mandado judicial, qualquer que seja sua natureza.</w:t>
      </w:r>
    </w:p>
    <w:p>
      <w:pPr>
        <w:ind w:left="288"/>
      </w:pPr>
      <w:r>
        <w:rPr>
          <w:b/>
          <w:color w:val="003CA0"/>
          <w:sz w:val="16"/>
        </w:rPr>
        <w:t>[RHC 91.189, rel. min. Cezar Peluso, j. 9-3-2010, 2ª T, DJE de 23-4-2010.]</w:t>
      </w:r>
    </w:p>
    <w:p>
      <w:pPr>
        <w:ind w:left="288"/>
      </w:pPr>
      <w:r>
        <w:rPr>
          <w:color w:val="8C8C8C"/>
          <w:sz w:val="12"/>
        </w:rPr>
        <w:t>cf-art-5-inc-X</w:t>
      </w:r>
      <w:r>
        <w:rPr>
          <w:color w:val="003CA0"/>
          <w:sz w:val="12"/>
        </w:rPr>
        <w:t xml:space="preserve"> | INQ 2.424</w:t>
      </w:r>
      <w:r>
        <w:rPr>
          <w:color w:val="003CA0"/>
          <w:sz w:val="12"/>
        </w:rPr>
        <w:t xml:space="preserve"> | rel. Cezar Peluso</w:t>
      </w:r>
    </w:p>
    <w:p>
      <w:pPr>
        <w:ind w:left="288"/>
      </w:pPr>
      <w:r>
        <w:rPr>
          <w:color w:val="1E1E1E"/>
          <w:sz w:val="18"/>
        </w:rPr>
        <w:t xml:space="preserve">Escuta ambiental e exploração de local. Captação de sinais óticos e acústicos. Escritório de advocacia. Ingresso da autoridade policial, no período noturno, para instalação de equipamento. Medidas autorizadas por decisão judicial. Invasão de domicílio. Não caracterização. (...) Inteligência do art. 5º, X e XI, da CF; art. 150, § 4º, III, do CP; e art. 7º, II, da Lei 8.906/1994. (...) Não opera a inviolabilidade do escritório de advocacia, quando o próprio advogado seja suspeito da prática de crime, sobretudo concebido e consumado no âmbito desse local de trabalho, sob pretexto de exercício da </w:t>
      </w:r>
    </w:p>
    <w:p>
      <w:pPr>
        <w:ind w:left="288"/>
      </w:pPr>
      <w:r>
        <w:rPr>
          <w:b/>
          <w:color w:val="003CA0"/>
          <w:sz w:val="16"/>
        </w:rPr>
        <w:t>[Inq 2.424, rel. min. Cezar Peluso, j. 26-11-2008, P, DJE de 26-3-2010.]</w:t>
      </w:r>
    </w:p>
    <w:p>
      <w:pPr>
        <w:ind w:left="288"/>
      </w:pPr>
      <w:r>
        <w:rPr>
          <w:color w:val="8C8C8C"/>
          <w:sz w:val="12"/>
        </w:rPr>
        <w:t>cf-art-5-inc-X</w:t>
      </w:r>
      <w:r>
        <w:rPr>
          <w:color w:val="003CA0"/>
          <w:sz w:val="12"/>
        </w:rPr>
        <w:t xml:space="preserve"> | HC 95.009</w:t>
      </w:r>
      <w:r>
        <w:rPr>
          <w:color w:val="003CA0"/>
          <w:sz w:val="12"/>
        </w:rPr>
        <w:t xml:space="preserve"> | rel. Eros Grau</w:t>
      </w:r>
    </w:p>
    <w:p>
      <w:pPr>
        <w:ind w:left="288"/>
      </w:pPr>
      <w:r>
        <w:rPr>
          <w:color w:val="1E1E1E"/>
          <w:sz w:val="18"/>
        </w:rPr>
        <w:t>De que vale declarar a Constituição que "a casa é asilo inviolável do indivíduo" (art. 5º, XI) se moradias são invadidas por policiais munidos de mandados que consubstanciem verdadeiras cartas brancas, mandados com poderes de a tudo devassar, só porque o habitante é suspeito de um crime? Mandados expedidos sem justa causa, isto é, sem especificar o que se deve buscar e sem que a decisão que determina sua expedição seja precedida de perquirição quanto à possibilidade de adoção de meio menos gravoso para chegar-se ao mesmo fim. A polícia é autorizada, largamente, a apreender tudo quanto possa vi</w:t>
      </w:r>
    </w:p>
    <w:p>
      <w:pPr>
        <w:ind w:left="288"/>
      </w:pPr>
      <w:r>
        <w:rPr>
          <w:b/>
          <w:color w:val="003CA0"/>
          <w:sz w:val="16"/>
        </w:rPr>
        <w:t>[HC 95.009, rel. min. Eros Grau, j. 6-11-2008, P, DJE de 19-12-2008.]</w:t>
      </w:r>
    </w:p>
    <w:p>
      <w:pPr>
        <w:ind w:left="288"/>
      </w:pPr>
      <w:r>
        <w:rPr>
          <w:color w:val="8C8C8C"/>
          <w:sz w:val="12"/>
        </w:rPr>
        <w:t>cf-art-5-inc-X</w:t>
      </w:r>
      <w:r>
        <w:rPr>
          <w:color w:val="003CA0"/>
          <w:sz w:val="12"/>
        </w:rPr>
        <w:t xml:space="preserve"> | HC 91.350</w:t>
      </w:r>
      <w:r>
        <w:rPr>
          <w:color w:val="003CA0"/>
          <w:sz w:val="12"/>
        </w:rPr>
        <w:t xml:space="preserve"> | rel. Ellen Gracie</w:t>
      </w:r>
    </w:p>
    <w:p>
      <w:pPr>
        <w:ind w:left="288"/>
      </w:pPr>
      <w:r>
        <w:rPr>
          <w:color w:val="1E1E1E"/>
          <w:sz w:val="18"/>
        </w:rPr>
        <w:t xml:space="preserve">A representação de busca domiciliar se baseou em fundadas razões que autorizavam a apreensão de armas e munições, instrumentos utilizados para a prática de crime ou destinados a fim delituoso, a apreensão de documentos considerados elementos de convicção (CPP, art. 240, § 1º, d e h). Não houve medida de busca e apreensão provocada tão somente por "denúncia anônima", diversamente do que sustentam os impetrantes, mas baseada em elementos de convicção colhidos durante inquérito policial instaurado pela autoridade policial. Legitimidade, legalidade e regularidade das buscas domiciliares levadas a </w:t>
      </w:r>
    </w:p>
    <w:p>
      <w:pPr>
        <w:ind w:left="288"/>
      </w:pPr>
      <w:r>
        <w:rPr>
          <w:b/>
          <w:color w:val="003CA0"/>
          <w:sz w:val="16"/>
        </w:rPr>
        <w:t>[HC 91.350, rel. min. Ellen Gracie, j. 17-6-2008, 2ª T, DJE de 29-8-2008.]</w:t>
      </w:r>
    </w:p>
    <w:p>
      <w:pPr>
        <w:ind w:left="288"/>
      </w:pPr>
      <w:r>
        <w:rPr>
          <w:color w:val="8C8C8C"/>
          <w:sz w:val="12"/>
        </w:rPr>
        <w:t>cf-art-5-inc-X</w:t>
      </w:r>
      <w:r>
        <w:rPr>
          <w:color w:val="003CA0"/>
          <w:sz w:val="12"/>
        </w:rPr>
        <w:t xml:space="preserve"> | HC 93.050</w:t>
      </w:r>
      <w:r>
        <w:rPr>
          <w:color w:val="003CA0"/>
          <w:sz w:val="12"/>
        </w:rPr>
        <w:t xml:space="preserve"> | rel. Celso de Mello</w:t>
      </w:r>
    </w:p>
    <w:p>
      <w:pPr>
        <w:ind w:left="288"/>
      </w:pPr>
      <w:r>
        <w:rPr>
          <w:color w:val="1E1E1E"/>
          <w:sz w:val="18"/>
        </w:rPr>
        <w:t>Fiscalização tributária. Apreensão de livros contábeis e documentos fiscais realizada, em escritório de contabilidade, por agentes fazendários e policiais federais, sem mandado judicial. Inadmissibilidade. (...) Para os fins da proteção jurídica a que se refere o art. 5º, XI, da Constituição da República, o conceito normativo de "casa" revela-se abrangente e, por estender-se a qualquer compartimento privado não aberto ao público, onde alguém exerce profissão ou atividade (CP, art. 150, § 4º, III), compreende, observada essa específica limitação espacial (área interna não acessível ao público),</w:t>
      </w:r>
    </w:p>
    <w:p>
      <w:pPr>
        <w:ind w:left="288"/>
      </w:pPr>
      <w:r>
        <w:rPr>
          <w:b/>
          <w:color w:val="003CA0"/>
          <w:sz w:val="16"/>
        </w:rPr>
        <w:t>[HC 93.050, rel. min. Celso de Mello, j. 10-6-2008, 2ª T, DJE de 1º-8-2008.]</w:t>
      </w:r>
    </w:p>
    <w:p>
      <w:pPr>
        <w:ind w:left="288"/>
      </w:pPr>
      <w:r>
        <w:rPr>
          <w:color w:val="8C8C8C"/>
          <w:sz w:val="12"/>
        </w:rPr>
        <w:t>cf-art-5-inc-X</w:t>
      </w:r>
      <w:r>
        <w:rPr>
          <w:color w:val="003CA0"/>
          <w:sz w:val="12"/>
        </w:rPr>
        <w:t xml:space="preserve"> | RE 460.880</w:t>
      </w:r>
      <w:r>
        <w:rPr>
          <w:color w:val="003CA0"/>
          <w:sz w:val="12"/>
        </w:rPr>
        <w:t xml:space="preserve"> | rel. Marco Aurélio</w:t>
      </w:r>
    </w:p>
    <w:p>
      <w:pPr>
        <w:ind w:left="288"/>
      </w:pPr>
      <w:r>
        <w:rPr>
          <w:color w:val="1E1E1E"/>
          <w:sz w:val="18"/>
        </w:rPr>
        <w:t>Domicílio. Inviolabilidade noturna. Crime de resistência. Ausência de configuração. A garantia constitucional do inciso XI do art. 5º da Carta da República, a preservar a inviolabilidade do domicílio durante o período noturno, alcança também ordem judicial, não cabendo cogitar de crime de resistência.</w:t>
      </w:r>
    </w:p>
    <w:p>
      <w:pPr>
        <w:ind w:left="288"/>
      </w:pPr>
      <w:r>
        <w:rPr>
          <w:b/>
          <w:color w:val="003CA0"/>
          <w:sz w:val="16"/>
        </w:rPr>
        <w:t>[RE 460.880, rel. min. Marco Aurélio, j. 25-9-2007, 1ª T, DJE de 29-2-2008.]</w:t>
      </w:r>
    </w:p>
    <w:p>
      <w:pPr>
        <w:ind w:left="288"/>
      </w:pPr>
      <w:r>
        <w:rPr>
          <w:color w:val="8C8C8C"/>
          <w:sz w:val="12"/>
        </w:rPr>
        <w:t>cf-art-5-inc-X</w:t>
      </w:r>
      <w:r>
        <w:rPr>
          <w:color w:val="003CA0"/>
          <w:sz w:val="12"/>
        </w:rPr>
        <w:t xml:space="preserve"> | RHC 90.376</w:t>
      </w:r>
      <w:r>
        <w:rPr>
          <w:color w:val="003CA0"/>
          <w:sz w:val="12"/>
        </w:rPr>
        <w:t xml:space="preserve"> | rel. Celso de Mello</w:t>
      </w:r>
    </w:p>
    <w:p>
      <w:pPr>
        <w:ind w:left="288"/>
      </w:pPr>
      <w:r>
        <w:rPr>
          <w:color w:val="1E1E1E"/>
          <w:sz w:val="18"/>
        </w:rPr>
        <w:t>Para os fins da proteção jurídica a que se refere o art. 5º, XI, da CF, o conceito normativo de "casa" revela-se abrangente e, por estender-se a qualquer aposento de habitação coletiva, desde que ocupado (CP, art. 150, § 4º, II), compreende, observada essa específica limitação espacial, os quartos de hotel.</w:t>
      </w:r>
    </w:p>
    <w:p>
      <w:pPr>
        <w:ind w:left="288"/>
      </w:pPr>
      <w:r>
        <w:rPr>
          <w:b/>
          <w:color w:val="003CA0"/>
          <w:sz w:val="16"/>
        </w:rPr>
        <w:t>[RHC 90.376, rel. min. Celso de Mello, j. 3-4-2007, 2ª T, DJ de 18-5-2007.]</w:t>
      </w:r>
    </w:p>
    <w:p>
      <w:pPr>
        <w:ind w:left="288"/>
      </w:pPr>
      <w:r>
        <w:rPr>
          <w:color w:val="8C8C8C"/>
          <w:sz w:val="12"/>
        </w:rPr>
        <w:t>cf-art-5-inc-X</w:t>
      </w:r>
      <w:r>
        <w:rPr>
          <w:color w:val="003CA0"/>
          <w:sz w:val="12"/>
        </w:rPr>
        <w:t xml:space="preserve"> | AP 307</w:t>
      </w:r>
      <w:r>
        <w:rPr>
          <w:color w:val="003CA0"/>
          <w:sz w:val="12"/>
        </w:rPr>
        <w:t xml:space="preserve"> | rel. Sepúlveda Pertence</w:t>
      </w:r>
    </w:p>
    <w:p>
      <w:pPr>
        <w:ind w:left="288"/>
      </w:pPr>
      <w:r>
        <w:rPr>
          <w:color w:val="1E1E1E"/>
          <w:sz w:val="18"/>
        </w:rPr>
        <w:t xml:space="preserve">Proteção constitucional ao sigilo das comunicações de dados – art. 5º, XII, da CF: ausência de violação, no caso. Impertinência à hipótese da invocação da AP 307 (Pleno, 13-12-1994, Galvão, DJ de 13-10-1995), em que a tese da inviolabilidade absoluta de dados de computador não pode ser tomada como consagrada pelo Colegiado, dada a interferência, naquele caso, de outra razão suficiente para a exclusão da prova questionada – o ter sido o microcomputador apreendido sem ordem judicial e a consequente ofensa da garantia da inviolabilidade do domicílio da empresa – este segundo fundamento bastante, </w:t>
      </w:r>
    </w:p>
    <w:p>
      <w:pPr>
        <w:ind w:left="288"/>
      </w:pPr>
      <w:r>
        <w:rPr>
          <w:b/>
          <w:color w:val="003CA0"/>
          <w:sz w:val="16"/>
        </w:rPr>
        <w:t>[RE 418.416, rel. min. Sepúlveda Pertence, j. 10-5-2006, P, DJ de 19-12-2006.]</w:t>
      </w:r>
    </w:p>
    <w:p>
      <w:pPr>
        <w:ind w:left="288"/>
      </w:pPr>
      <w:r>
        <w:rPr>
          <w:color w:val="8C8C8C"/>
          <w:sz w:val="12"/>
        </w:rPr>
        <w:t>cf-art-5-inc-X</w:t>
      </w:r>
      <w:r>
        <w:rPr>
          <w:color w:val="003CA0"/>
          <w:sz w:val="12"/>
        </w:rPr>
        <w:t xml:space="preserve"> | MS 23.642</w:t>
      </w:r>
      <w:r>
        <w:rPr>
          <w:color w:val="003CA0"/>
          <w:sz w:val="12"/>
        </w:rPr>
        <w:t xml:space="preserve"> | rel. Néri da Silveira</w:t>
      </w:r>
    </w:p>
    <w:p>
      <w:pPr>
        <w:ind w:left="288"/>
      </w:pPr>
      <w:r>
        <w:rPr>
          <w:color w:val="1E1E1E"/>
          <w:sz w:val="18"/>
        </w:rPr>
        <w:t>Mandado de segurança contra ato do presidente da CPI destinada a investigar o avanço e a impunidade do narcotráfico. Apreensão de documentos e equipamentos sem fundamentação em locais invioláveis. Parecer da PGR pela concessão da ordem. O fato da autorização judicial para a perícia dos equipamentos, oriunda de autoridade judiciária de primeiro grau, após a apreensão, sem mandado judicial, não legitima os resultados da perícia que se tenha realizado ou em curso. Mandado de segurança que se defere para determinar a devolução dos bens e documentos apreendidos, declarando-se ineficaz eventual prov</w:t>
      </w:r>
    </w:p>
    <w:p>
      <w:pPr>
        <w:ind w:left="288"/>
      </w:pPr>
      <w:r>
        <w:rPr>
          <w:b/>
          <w:color w:val="003CA0"/>
          <w:sz w:val="16"/>
        </w:rPr>
        <w:t>[MS 23.642, rel. min. Néri da Silveira, j. 29-11-2000, P, DJ de 9-3-2001.]</w:t>
      </w:r>
    </w:p>
    <w:p>
      <w:pPr>
        <w:ind w:left="288"/>
      </w:pPr>
      <w:r>
        <w:rPr>
          <w:color w:val="8C8C8C"/>
          <w:sz w:val="12"/>
        </w:rPr>
        <w:t>cf-art-5-inc-X</w:t>
      </w:r>
      <w:r>
        <w:rPr>
          <w:color w:val="003CA0"/>
          <w:sz w:val="12"/>
        </w:rPr>
        <w:t xml:space="preserve"> | MS 23.452</w:t>
      </w:r>
      <w:r>
        <w:rPr>
          <w:color w:val="003CA0"/>
          <w:sz w:val="12"/>
        </w:rPr>
        <w:t xml:space="preserve"> | rel. Celso de Mello</w:t>
      </w:r>
    </w:p>
    <w:p>
      <w:pPr>
        <w:ind w:left="288"/>
      </w:pPr>
      <w:r>
        <w:rPr>
          <w:color w:val="1E1E1E"/>
          <w:sz w:val="18"/>
        </w:rPr>
        <w:t>A cláusula constitucional da reserva de jurisdição – que incide sobre determinadas matérias, como a busca domiciliar (CF, art. 5º, XI), a interceptação telefônica (CF, art. 5º, XII) e a decretação da prisão de qualquer pessoa, ressalvada a hipótese de flagrância (CF, art. 5º, LXI) – traduz a noção de que, nesses temas específicos, assiste ao Poder Judiciário, não apenas o direito de proferir a última palavra, mas, sobretudo, a prerrogativa de dizer, desde logo, a primeira palavra, excluindo-se, desse modo, por força e autoridade do que dispõe a própria Constituição, a possibilidade do exercíci</w:t>
      </w:r>
    </w:p>
    <w:p>
      <w:pPr>
        <w:ind w:left="288"/>
      </w:pPr>
      <w:r>
        <w:rPr>
          <w:b/>
          <w:color w:val="003CA0"/>
          <w:sz w:val="16"/>
        </w:rPr>
        <w:t>[MS 23.452, rel. min. Celso de Mello, j. 16-9-1999, P, DJ de 12-5-2000.]</w:t>
      </w:r>
    </w:p>
    <w:p>
      <w:pPr>
        <w:ind w:left="288"/>
      </w:pPr>
      <w:r>
        <w:rPr>
          <w:color w:val="8C8C8C"/>
          <w:sz w:val="12"/>
        </w:rPr>
        <w:t>cf-art-5-inc-X</w:t>
      </w:r>
      <w:r>
        <w:rPr>
          <w:color w:val="003CA0"/>
          <w:sz w:val="12"/>
        </w:rPr>
        <w:t xml:space="preserve"> | AP 307</w:t>
      </w:r>
      <w:r>
        <w:rPr>
          <w:color w:val="003CA0"/>
          <w:sz w:val="12"/>
        </w:rPr>
        <w:t xml:space="preserve"> | rel. Ilmar Galvão</w:t>
      </w:r>
    </w:p>
    <w:p>
      <w:pPr>
        <w:ind w:left="288"/>
      </w:pPr>
      <w:r>
        <w:rPr>
          <w:color w:val="1E1E1E"/>
          <w:sz w:val="18"/>
        </w:rPr>
        <w:t>Inadmissibilidade, como prova, de laudos de degravação de conversa telefônica e de registros contidos na memória de microcomputador, obtidos por meios ilícitos (art. 5º, LVI, da CF); no primeiro caso, por se tratar de gravação realizada por um dos interlocutores, sem conhecimento do outro, havendo a degravação sido feita com inobservância do princípio do contraditório, e utilizada com violação à privacidade alheia (art. 5º, X, da CF); e, no segundo caso, por estar-se diante de microcomputador que, além de ter sido apreendido com violação de domicílio, teve a memória nele contida degravada ao a</w:t>
      </w:r>
    </w:p>
    <w:p>
      <w:pPr>
        <w:ind w:left="288"/>
      </w:pPr>
      <w:r>
        <w:rPr>
          <w:b/>
          <w:color w:val="003CA0"/>
          <w:sz w:val="16"/>
        </w:rPr>
        <w:t>[AP 307, rel. min. Ilmar Galvão, j. 13-12-1994, P, DJ de 13-10-1995.]</w:t>
      </w:r>
    </w:p>
    <w:p>
      <w:pPr>
        <w:ind w:left="288"/>
      </w:pPr>
      <w:r>
        <w:rPr>
          <w:color w:val="8C8C8C"/>
          <w:sz w:val="12"/>
        </w:rPr>
        <w:t>cf-art-5-inc-X</w:t>
      </w:r>
      <w:r>
        <w:rPr>
          <w:color w:val="003CA0"/>
          <w:sz w:val="12"/>
        </w:rPr>
        <w:t xml:space="preserve"> | ADI 4.924</w:t>
      </w:r>
      <w:r>
        <w:rPr>
          <w:color w:val="003CA0"/>
          <w:sz w:val="12"/>
        </w:rPr>
        <w:t xml:space="preserve"> | rel. Gilmar Mendes</w:t>
      </w:r>
    </w:p>
    <w:p>
      <w:pPr>
        <w:ind w:left="288"/>
      </w:pPr>
      <w:r>
        <w:rPr>
          <w:color w:val="1E1E1E"/>
          <w:sz w:val="18"/>
        </w:rPr>
        <w:t>XII - é inviolável o sigilo da correspondência e das comunicações telegráficas, de dados e das comunicações telefônicas, salvo, no último caso, por ordem judicial, nas hipóteses e na forma que a lei estabelecer para fins de investigação criminal ou instrução processual penal; Dispositivos que determinam que as prestadoras de serviço telefônico são obrigadas a fornecer, sob pena de multa, os dados pessoais dos usuários de terminais utilizados para passar trotes aos serviços de emergência. (...) Alegação de inconstitucionalidade material, por suposta violação ao direito à privacidade, pela quebr</w:t>
      </w:r>
    </w:p>
    <w:p>
      <w:pPr>
        <w:ind w:left="288"/>
      </w:pPr>
      <w:r>
        <w:rPr>
          <w:b/>
          <w:color w:val="003CA0"/>
          <w:sz w:val="16"/>
        </w:rPr>
        <w:t>[ADI 4.924, rel. min. Gilmar Mendes, j. 4-11-2021, P, DJE de 29-3-2022.]</w:t>
      </w:r>
    </w:p>
    <w:p>
      <w:pPr>
        <w:ind w:left="288"/>
      </w:pPr>
      <w:r>
        <w:rPr>
          <w:color w:val="8C8C8C"/>
          <w:sz w:val="12"/>
        </w:rPr>
        <w:t>cf-art-5-inc-X</w:t>
      </w:r>
      <w:r>
        <w:rPr>
          <w:color w:val="003CA0"/>
          <w:sz w:val="12"/>
        </w:rPr>
        <w:t xml:space="preserve"> | ADI 6.387</w:t>
      </w:r>
      <w:r>
        <w:rPr>
          <w:color w:val="003CA0"/>
          <w:sz w:val="12"/>
        </w:rPr>
        <w:t xml:space="preserve"> | rel. Rosa Weber</w:t>
      </w:r>
    </w:p>
    <w:p>
      <w:pPr>
        <w:ind w:left="288"/>
      </w:pPr>
      <w:r>
        <w:rPr>
          <w:color w:val="1E1E1E"/>
          <w:sz w:val="18"/>
        </w:rPr>
        <w:t>Decorrências dos direitos da personalidade, o respeito à privacidade e à autodeterminação informativa foram positivados, no art. 2º, I e II, da Lei 13.709/2018 (Lei Geral de Proteção de Dados Pessoais), como fundamentos específicos da disciplina da proteção de dados pessoais. Na medida em que relacionados à identificação – efetiva ou potencial – de pessoa natural, o tratamento e a manipulação de dados pessoais hão de observar os limites delineados pelo âmbito de proteção das cláusulas constitucionais assecuratórias da liberdade individual (art. 5º, caput), da privacidade e do livre desenvolvim</w:t>
      </w:r>
    </w:p>
    <w:p>
      <w:pPr>
        <w:ind w:left="288"/>
      </w:pPr>
      <w:r>
        <w:rPr>
          <w:b/>
          <w:color w:val="003CA0"/>
          <w:sz w:val="16"/>
        </w:rPr>
        <w:t>[ADI 6.387 MC-REF, ADI 6.388 MC-REF, ADI 6.389 MC-REF, ADI 6.390 MC-REF e ADI 6.393-MC-REF, rel. min. Rosa Weber, j. 7-5-2020, P, DJE de 12-11-2020.]</w:t>
      </w:r>
    </w:p>
    <w:p>
      <w:pPr>
        <w:ind w:left="288"/>
      </w:pPr>
      <w:r>
        <w:rPr>
          <w:color w:val="8C8C8C"/>
          <w:sz w:val="12"/>
        </w:rPr>
        <w:t>cf-art-5-inc-X</w:t>
      </w:r>
      <w:r>
        <w:rPr>
          <w:color w:val="003CA0"/>
          <w:sz w:val="12"/>
        </w:rPr>
        <w:t xml:space="preserve"> | ADI 2.407</w:t>
      </w:r>
      <w:r>
        <w:rPr>
          <w:color w:val="003CA0"/>
          <w:sz w:val="12"/>
        </w:rPr>
        <w:t xml:space="preserve"> | rel. Cármen Lúcia</w:t>
      </w:r>
    </w:p>
    <w:p>
      <w:pPr>
        <w:ind w:left="288"/>
      </w:pPr>
      <w:r>
        <w:rPr>
          <w:color w:val="1E1E1E"/>
          <w:sz w:val="18"/>
        </w:rPr>
        <w:t>Os arts. 1º e 2º da Lei catarinense 11.223, de 17-11-1998, que cuidam da obrigatoriedade de identificação telefônica da sede da empresa ou do proprietário nos veículos licenciados no Estado de Santa Catarina e destinados ao transporte de carga e de passageiros, a ser disponibilizada na parte traseira do veículo, por meio de adesivo ou pintura, em lugar visível, constando o código de discagem direta à distância, seguido do número do telefone, não contrariam o inciso XII do art. 5º da CF. A proibição contida nessa norma constitucional refere-se à interceptação e à consequente captação de convers</w:t>
      </w:r>
    </w:p>
    <w:p>
      <w:pPr>
        <w:ind w:left="288"/>
      </w:pPr>
      <w:r>
        <w:rPr>
          <w:b/>
          <w:color w:val="003CA0"/>
          <w:sz w:val="16"/>
        </w:rPr>
        <w:t>[ADI 2.407, rel. min. Cármen Lúcia, j. 31-5-2007, P, DJ de 29-6-2007.]</w:t>
      </w:r>
    </w:p>
    <w:p>
      <w:pPr>
        <w:ind w:left="288"/>
      </w:pPr>
      <w:r>
        <w:rPr>
          <w:color w:val="8C8C8C"/>
          <w:sz w:val="12"/>
        </w:rPr>
        <w:t>cf-art-5-inc-X</w:t>
      </w:r>
      <w:r>
        <w:rPr>
          <w:color w:val="003CA0"/>
          <w:sz w:val="12"/>
        </w:rPr>
        <w:t xml:space="preserve"> | RE 1.537.165</w:t>
      </w:r>
      <w:r>
        <w:rPr>
          <w:color w:val="003CA0"/>
          <w:sz w:val="12"/>
        </w:rPr>
        <w:t xml:space="preserve"> | rel. Luís Roberto Barroso</w:t>
      </w:r>
    </w:p>
    <w:p>
      <w:pPr>
        <w:ind w:left="288"/>
      </w:pPr>
      <w:r>
        <w:rPr>
          <w:color w:val="1E1E1E"/>
          <w:sz w:val="18"/>
        </w:rPr>
        <w:t>Provas obtidas pelo Ministério Público por requisição de relatórios de inteligência financeira ou de procedimentos fiscalizatórios da Receita, sem autorização judicial e/ou sem a prévia instauração de procedimento de investigação formal.</w:t>
      </w:r>
    </w:p>
    <w:p>
      <w:pPr>
        <w:ind w:left="288"/>
      </w:pPr>
      <w:r>
        <w:rPr>
          <w:b/>
          <w:color w:val="003CA0"/>
          <w:sz w:val="16"/>
        </w:rPr>
        <w:t>[RE 1.537.165 RG, rel. min. Luís Roberto Barroso, j. 06.06.2025, P, DJE de 24.06.2025, Tema 1.404, com mérito pendente.]</w:t>
      </w:r>
    </w:p>
    <w:p>
      <w:pPr>
        <w:ind w:left="288"/>
      </w:pPr>
      <w:r>
        <w:rPr>
          <w:color w:val="8C8C8C"/>
          <w:sz w:val="12"/>
        </w:rPr>
        <w:t>cf-art-5-inc-X</w:t>
      </w:r>
      <w:r>
        <w:rPr>
          <w:color w:val="003CA0"/>
          <w:sz w:val="12"/>
        </w:rPr>
        <w:t xml:space="preserve"> | RE 625.263</w:t>
      </w:r>
      <w:r>
        <w:rPr>
          <w:color w:val="003CA0"/>
          <w:sz w:val="12"/>
        </w:rPr>
        <w:t xml:space="preserve"> | rel. Gilmar Mendes</w:t>
      </w:r>
    </w:p>
    <w:p>
      <w:pPr>
        <w:ind w:left="288"/>
      </w:pPr>
      <w:r>
        <w:rPr>
          <w:color w:val="1E1E1E"/>
          <w:sz w:val="18"/>
        </w:rPr>
        <w:t>São lícitas as sucessivas renovações de interceptação telefônica, desde que, verificados os requisitos do artigo 2º da Lei nº 9.296/1996 e demonstrada a necessidade da medida diante de elementos concretos e a complexidade da investigação, a decisão judicial inicial e as prorrogações sejam devidamente motivadas, com justificativa legítima, ainda que sucinta, a embasar a continuidade das investigações. São ilegais as motivações padronizadas ou reproduções de modelos genéricos sem relação com o caso concreto.</w:t>
      </w:r>
    </w:p>
    <w:p>
      <w:pPr>
        <w:ind w:left="288"/>
      </w:pPr>
      <w:r>
        <w:rPr>
          <w:b/>
          <w:color w:val="003CA0"/>
          <w:sz w:val="16"/>
        </w:rPr>
        <w:t>[RE 625.263, rel. min. Gilmar Mendes, red. do ac. min. Alexandre de Moraes, j. 17-3-2022, P, DJE de 6-6-2022, Tema 661, com mérito julgado.]</w:t>
      </w:r>
    </w:p>
    <w:p>
      <w:pPr>
        <w:ind w:left="288"/>
      </w:pPr>
      <w:r>
        <w:rPr>
          <w:color w:val="8C8C8C"/>
          <w:sz w:val="12"/>
        </w:rPr>
        <w:t>cf-art-5-inc-X</w:t>
      </w:r>
      <w:r>
        <w:rPr>
          <w:color w:val="003CA0"/>
          <w:sz w:val="12"/>
        </w:rPr>
        <w:t xml:space="preserve"> | RE 1.055.941</w:t>
      </w:r>
      <w:r>
        <w:rPr>
          <w:color w:val="003CA0"/>
          <w:sz w:val="12"/>
        </w:rPr>
        <w:t xml:space="preserve"> | rel. Dias Toffoli</w:t>
      </w:r>
    </w:p>
    <w:p>
      <w:pPr>
        <w:ind w:left="288"/>
      </w:pPr>
      <w:r>
        <w:rPr>
          <w:color w:val="1E1E1E"/>
          <w:sz w:val="18"/>
        </w:rPr>
        <w:t>É constitucional o compartilhamento dos relatórios de inteligência financeira da UIF e da íntegra do procedimento fiscalizatório da Receita Federal do Brasil - em que se define o lançamento do tributo - com os órgãos de persecução penal para fins criminais sem prévia autorização judicial, devendo ser resguardado o sigilo das informações em procedimentos formalmente instaurados e sujeitos a posterior controle jurisdicional; O compartilhamento pela UIF e pela RFB referido no item anterior deve ser feito unicamente por meio de comunicações formais, com garantia de sigilo, certificação do destinat</w:t>
      </w:r>
    </w:p>
    <w:p>
      <w:pPr>
        <w:ind w:left="288"/>
      </w:pPr>
      <w:r>
        <w:rPr>
          <w:b/>
          <w:color w:val="003CA0"/>
          <w:sz w:val="16"/>
        </w:rPr>
        <w:t>[RE 1.055.941, rel. min. Dias Toffoli, j. 4-12-2019, P, DJE de 6-10-2020. Tema 990, com mérito julgado.]</w:t>
      </w:r>
    </w:p>
    <w:p>
      <w:pPr>
        <w:ind w:left="288"/>
      </w:pPr>
      <w:r>
        <w:rPr>
          <w:color w:val="8C8C8C"/>
          <w:sz w:val="12"/>
        </w:rPr>
        <w:t>cf-art-5-inc-X</w:t>
      </w:r>
      <w:r>
        <w:rPr>
          <w:color w:val="003CA0"/>
          <w:sz w:val="12"/>
        </w:rPr>
        <w:t xml:space="preserve"> | RE 601.314</w:t>
      </w:r>
      <w:r>
        <w:rPr>
          <w:color w:val="003CA0"/>
          <w:sz w:val="12"/>
        </w:rPr>
        <w:t xml:space="preserve"> | rel. Alexandre de Moraes</w:t>
      </w:r>
    </w:p>
    <w:p>
      <w:pPr>
        <w:ind w:left="288"/>
      </w:pPr>
      <w:r>
        <w:rPr>
          <w:color w:val="1E1E1E"/>
          <w:sz w:val="18"/>
        </w:rPr>
        <w:t>Sigilo bancário. Solicitação de informações pelo Ministério Público diretamente ao Conselho de Atividades Financeiras – COAF para instruir procedimento investigatório criminal. (...) Há reiteradas decisões desta Corte estendendo a tese fixada no julgamento do RE 601.314-RG aos procedimentos criminais. Não há dúvida de que o desrespeito ao sigilo constitucionalmente protegido acarretaria violação às diversas garantias constitucionais; todavia, a inviolabilidade dos sigilos bancário e fiscal não é absoluta, podendo ser afastada quando eles estiverem sendo utilizados para ocultar a prática de ati</w:t>
      </w:r>
    </w:p>
    <w:p>
      <w:pPr>
        <w:ind w:left="288"/>
      </w:pPr>
      <w:r>
        <w:rPr>
          <w:b/>
          <w:color w:val="003CA0"/>
          <w:sz w:val="16"/>
        </w:rPr>
        <w:t>[RE 1.058.429-AgR, rel. min. Alexandre de Moraes, j. 20-2-2018, 1ª T, DJE de 6-3-2018.]</w:t>
      </w:r>
    </w:p>
    <w:p>
      <w:pPr>
        <w:ind w:left="288"/>
      </w:pPr>
      <w:r>
        <w:rPr>
          <w:color w:val="8C8C8C"/>
          <w:sz w:val="12"/>
        </w:rPr>
        <w:t>cf-art-5-inc-X</w:t>
      </w:r>
      <w:r>
        <w:rPr>
          <w:color w:val="003CA0"/>
          <w:sz w:val="12"/>
        </w:rPr>
        <w:t xml:space="preserve"> | RE 601.314</w:t>
      </w:r>
      <w:r>
        <w:rPr>
          <w:color w:val="003CA0"/>
          <w:sz w:val="12"/>
        </w:rPr>
        <w:t xml:space="preserve"> | rel. Edson Fachin</w:t>
      </w:r>
    </w:p>
    <w:p>
      <w:pPr>
        <w:ind w:left="288"/>
      </w:pPr>
      <w:r>
        <w:rPr>
          <w:color w:val="1E1E1E"/>
          <w:sz w:val="18"/>
        </w:rPr>
        <w:t>Vide RE 601.314, rel. min. Edson Fachin, j. 24-2016, P, DJE de 16-9-2016. Tema 225 O litígio constitucional posto se traduz em um confronto entre o direito ao sigilo bancário e o dever de pagar tributos, ambos referidos a um mesmo cidadão e de caráter constituinte no que se refere à comunidade política, à luz da finalidade precípua da tributação de realizar a igualdade em seu duplo compromisso, a autonomia individual e o autogoverno coletivo. Do ponto de vista da autonomia individual, o sigilo bancário é uma das expressões do direito de personalidade que se traduz em ter suas atividades e info</w:t>
      </w:r>
    </w:p>
    <w:p>
      <w:pPr>
        <w:ind w:left="288"/>
      </w:pPr>
      <w:r>
        <w:rPr>
          <w:b/>
          <w:color w:val="003CA0"/>
          <w:sz w:val="16"/>
        </w:rPr>
        <w:t>[RE 601.314, rel. min. Edson Fachin, j. 24-2-2016, P, DJE de 16-9-2016. Tema 225, com mérito julgado.]</w:t>
      </w:r>
    </w:p>
    <w:p>
      <w:pPr>
        <w:ind w:left="288"/>
      </w:pPr>
      <w:r>
        <w:rPr>
          <w:color w:val="8C8C8C"/>
          <w:sz w:val="12"/>
        </w:rPr>
        <w:t>cf-art-5-inc-X</w:t>
      </w:r>
      <w:r>
        <w:rPr>
          <w:color w:val="003CA0"/>
          <w:sz w:val="12"/>
        </w:rPr>
        <w:t xml:space="preserve"> | RE 1.058.429</w:t>
      </w:r>
      <w:r>
        <w:rPr>
          <w:color w:val="003CA0"/>
          <w:sz w:val="12"/>
        </w:rPr>
        <w:t xml:space="preserve"> | rel. Alexandre de Moraes</w:t>
      </w:r>
    </w:p>
    <w:p>
      <w:pPr>
        <w:ind w:left="288"/>
      </w:pPr>
      <w:r>
        <w:rPr>
          <w:color w:val="1E1E1E"/>
          <w:sz w:val="18"/>
        </w:rPr>
        <w:t>Vide RE 1.058.429-AgR, rel. min. Alexandre de Moraes, j. 20-2-2018, 1ª T, DJE de 6-3-2018 O compartilhamento de Relatórios de Inteligência Financeira (RIF) entre o COAF e os órgãos de persecução penal é constitucional e prescinde de autorização judicial prévia, desde que resguardado o sigilo e sujeito a controle jurisdicional posterior. O compartilhamento de informações pela UIF não equivale à requisição direta de dados bancários ou fiscais pelo órgão de acusação, pois a decisão sobre a disseminação cabe exclusivamente à unidade de inteligência financeira. O encontro fortuito de provas é legít</w:t>
      </w:r>
    </w:p>
    <w:p>
      <w:pPr>
        <w:ind w:left="288"/>
      </w:pPr>
      <w:r>
        <w:rPr>
          <w:b/>
          <w:color w:val="003CA0"/>
          <w:sz w:val="16"/>
        </w:rPr>
        <w:t>[HC 246.060 AgR, rel. min. Luís Roberto Barroso, j. 11.04.2025, P, DJE de 22.04.2025.]</w:t>
      </w:r>
    </w:p>
    <w:p>
      <w:pPr>
        <w:ind w:left="288"/>
      </w:pPr>
      <w:r>
        <w:rPr>
          <w:color w:val="8C8C8C"/>
          <w:sz w:val="12"/>
        </w:rPr>
        <w:t>cf-art-5-inc-X</w:t>
      </w:r>
      <w:r>
        <w:rPr>
          <w:color w:val="003CA0"/>
          <w:sz w:val="12"/>
        </w:rPr>
        <w:t xml:space="preserve"> | RE 1.393.219</w:t>
      </w:r>
      <w:r>
        <w:rPr>
          <w:color w:val="003CA0"/>
          <w:sz w:val="12"/>
        </w:rPr>
        <w:t xml:space="preserve"> | rel. Edson Fachin</w:t>
      </w:r>
    </w:p>
    <w:p>
      <w:pPr>
        <w:ind w:left="288"/>
      </w:pPr>
      <w:r>
        <w:rPr>
          <w:color w:val="1E1E1E"/>
          <w:sz w:val="18"/>
        </w:rPr>
        <w:t>Embora o Supremo Tribunal Federal, no julgamento do Tema 990 da repercussão geral, tenha autorizado o compartilhamento de relatórios de inteligência financeira da UIF e de procedimento fiscalizatório da Receita Federal do Brasil com os órgãos de persecução penal, não permitiu que o Ministério Público requisitasse diretamente dados bancários ou fiscais para fins de investigação ou ação penal sem autorização judicial prévia (...).</w:t>
      </w:r>
    </w:p>
    <w:p>
      <w:pPr>
        <w:ind w:left="288"/>
      </w:pPr>
      <w:r>
        <w:rPr>
          <w:b/>
          <w:color w:val="003CA0"/>
          <w:sz w:val="16"/>
        </w:rPr>
        <w:t>[RE 1.393.219 AgR, rel. min. Edson Fachin, j. 01.07.2024, 2ª T, DJE de 10.07.2024.]</w:t>
      </w:r>
    </w:p>
    <w:p>
      <w:pPr>
        <w:ind w:left="288"/>
      </w:pPr>
      <w:r>
        <w:rPr>
          <w:color w:val="8C8C8C"/>
          <w:sz w:val="12"/>
        </w:rPr>
        <w:t>cf-art-5-inc-X</w:t>
      </w:r>
      <w:r>
        <w:rPr>
          <w:color w:val="003CA0"/>
          <w:sz w:val="12"/>
        </w:rPr>
        <w:t xml:space="preserve"> | ARE 1.324.778</w:t>
      </w:r>
      <w:r>
        <w:rPr>
          <w:color w:val="003CA0"/>
          <w:sz w:val="12"/>
        </w:rPr>
        <w:t xml:space="preserve"> | rel. Gilmar Mendes</w:t>
      </w:r>
    </w:p>
    <w:p>
      <w:pPr>
        <w:ind w:left="288"/>
      </w:pPr>
      <w:r>
        <w:rPr>
          <w:color w:val="1E1E1E"/>
          <w:sz w:val="18"/>
        </w:rPr>
        <w:t>Acesso ao registro de ligações realizadas por empresas de telemarketing a usuários. Lei Estadual 13.226/2008 e Decreto Estadual 53.921/2008. Ausência de ofensa ao sigilo das comunicações e aos dados cadastrais telefônicos. Acesso limitado apenas às informações necessárias à fiscalização do Procon quanto à inobservância das solicitações de bloqueio realizadas pelos usuários. Cópias reprográficas da relação de chamadas recebidas pelo consumidor reclamante na data indicada e informação do titular do número que gerou a ligação.</w:t>
      </w:r>
    </w:p>
    <w:p>
      <w:pPr>
        <w:ind w:left="288"/>
      </w:pPr>
      <w:r>
        <w:rPr>
          <w:b/>
          <w:color w:val="003CA0"/>
          <w:sz w:val="16"/>
        </w:rPr>
        <w:t>[ARE 1.324.778 AgR, rel. min. Gilmar Mendes, j. 3-10-2022, 2ª T, DJE de 10-10-2022.]</w:t>
      </w:r>
    </w:p>
    <w:p>
      <w:pPr>
        <w:ind w:left="288"/>
      </w:pPr>
      <w:r>
        <w:rPr>
          <w:color w:val="8C8C8C"/>
          <w:sz w:val="12"/>
        </w:rPr>
        <w:t>cf-art-5-inc-X</w:t>
      </w:r>
      <w:r>
        <w:rPr>
          <w:color w:val="003CA0"/>
          <w:sz w:val="12"/>
        </w:rPr>
        <w:t xml:space="preserve"> | MS 23.168</w:t>
      </w:r>
      <w:r>
        <w:rPr>
          <w:color w:val="003CA0"/>
          <w:sz w:val="12"/>
        </w:rPr>
        <w:t xml:space="preserve"> | rel. Rosa Weber</w:t>
      </w:r>
    </w:p>
    <w:p>
      <w:pPr>
        <w:ind w:left="288"/>
      </w:pPr>
      <w:r>
        <w:rPr>
          <w:color w:val="1E1E1E"/>
          <w:sz w:val="18"/>
        </w:rPr>
        <w:t>Quando enfocados apenas dados operacionais da sociedade de economia mista, sem identificação de dados pessoais ou de movimentações individuais dos correntistas, não há falar em sigilo bancário como óbice ao fornecimento dos documentos de auditoria interna requisitados pelo TCU. Esse e o entendimento que se extrai dos princípios da publicidade e da transparência, além da exigência de prestar contas, inerentes, por imposição constitucional, ao atuar dos entes da administração pública direta e indireta.</w:t>
      </w:r>
    </w:p>
    <w:p>
      <w:pPr>
        <w:ind w:left="288"/>
      </w:pPr>
      <w:r>
        <w:rPr>
          <w:b/>
          <w:color w:val="003CA0"/>
          <w:sz w:val="16"/>
        </w:rPr>
        <w:t>[MS 23.168-AgR, rel. min. Rosa Weber, j. em 27-6-2019, 1ª T, DJE de 5-8-2019.]</w:t>
      </w:r>
    </w:p>
    <w:p>
      <w:pPr>
        <w:ind w:left="288"/>
      </w:pPr>
      <w:r>
        <w:rPr>
          <w:color w:val="8C8C8C"/>
          <w:sz w:val="12"/>
        </w:rPr>
        <w:t>cf-art-5-inc-X</w:t>
      </w:r>
      <w:r>
        <w:rPr>
          <w:color w:val="003CA0"/>
          <w:sz w:val="12"/>
        </w:rPr>
        <w:t xml:space="preserve"> | RHC 132.115</w:t>
      </w:r>
      <w:r>
        <w:rPr>
          <w:color w:val="003CA0"/>
          <w:sz w:val="12"/>
        </w:rPr>
        <w:t xml:space="preserve"> | rel. Dias Toffoli</w:t>
      </w:r>
    </w:p>
    <w:p>
      <w:pPr>
        <w:ind w:left="288"/>
      </w:pPr>
      <w:r>
        <w:rPr>
          <w:color w:val="1E1E1E"/>
          <w:sz w:val="18"/>
        </w:rPr>
        <w:t>Em face da concepção constitucional moderna de que inexistem garantias individuais de ordem absoluta, mormente com escopo de salvaguardar práticas ilícitas (v.g. HC nº 70.814/SP), a exceção constitucional ao sigilo alcança as comunicações de dados telemáticos, não havendo que se cogitar de incompatibilidade do parágrafo único do art. 1º da Lei 9.296/96 com o art. 5º, inciso XII, da Constituição Federal.</w:t>
      </w:r>
    </w:p>
    <w:p>
      <w:pPr>
        <w:ind w:left="288"/>
      </w:pPr>
      <w:r>
        <w:rPr>
          <w:b/>
          <w:color w:val="003CA0"/>
          <w:sz w:val="16"/>
        </w:rPr>
        <w:t>[RHC 132.115, rel. min. Dias Toffoli, j. 6-2-2018, 2ª T, DJE de 19-10-2018.]</w:t>
      </w:r>
    </w:p>
    <w:p>
      <w:pPr>
        <w:ind w:left="288"/>
      </w:pPr>
      <w:r>
        <w:rPr>
          <w:color w:val="8C8C8C"/>
          <w:sz w:val="12"/>
        </w:rPr>
        <w:t>cf-art-5-inc-X</w:t>
      </w:r>
      <w:r>
        <w:rPr>
          <w:color w:val="003CA0"/>
          <w:sz w:val="12"/>
        </w:rPr>
        <w:t xml:space="preserve"> | INQ 3.732</w:t>
      </w:r>
      <w:r>
        <w:rPr>
          <w:color w:val="003CA0"/>
          <w:sz w:val="12"/>
        </w:rPr>
        <w:t xml:space="preserve"> | rel. Cármen Lúcia</w:t>
      </w:r>
    </w:p>
    <w:p>
      <w:pPr>
        <w:ind w:left="288"/>
      </w:pPr>
      <w:r>
        <w:rPr>
          <w:color w:val="1E1E1E"/>
          <w:sz w:val="18"/>
        </w:rPr>
        <w:t xml:space="preserve">A prova encontrada, fortuitamente, durante a investigação criminal é válida, salvo se comprovado vício ensejador de sua nulidade. Nulidade da interceptação telefônica determinada por autoridade judicial incompetente, nos termos do art. 102, I, b, da Constituição da República e do art. 1º da Lei 9.296/1996. Ausência de remessa dos autos da investigação para o STF, depois de apresentados elementos mínimos caracterizadores da participação, em tese, de ministro do TCU e de membro do Congresso Nacional na prática de ilícito objeto de investigação. Contaminação das provas produzidas, por derivação, </w:t>
      </w:r>
    </w:p>
    <w:p>
      <w:pPr>
        <w:ind w:left="288"/>
      </w:pPr>
      <w:r>
        <w:rPr>
          <w:b/>
          <w:color w:val="003CA0"/>
          <w:sz w:val="16"/>
        </w:rPr>
        <w:t>[Inq 3.732, rel. min. Cármen Lúcia, j. 8-3-2016, 2ª T, DJE de 22-3-2016.]</w:t>
      </w:r>
    </w:p>
    <w:p>
      <w:pPr>
        <w:ind w:left="288"/>
      </w:pPr>
      <w:r>
        <w:rPr>
          <w:color w:val="8C8C8C"/>
          <w:sz w:val="12"/>
        </w:rPr>
        <w:t>cf-art-5-inc-X</w:t>
      </w:r>
      <w:r>
        <w:rPr>
          <w:color w:val="003CA0"/>
          <w:sz w:val="12"/>
        </w:rPr>
        <w:t xml:space="preserve"> | MS 33.340</w:t>
      </w:r>
      <w:r>
        <w:rPr>
          <w:color w:val="003CA0"/>
          <w:sz w:val="12"/>
        </w:rPr>
        <w:t xml:space="preserve"> | rel. Luiz Fux</w:t>
      </w:r>
    </w:p>
    <w:p>
      <w:pPr>
        <w:ind w:left="288"/>
      </w:pPr>
      <w:r>
        <w:rPr>
          <w:color w:val="1E1E1E"/>
          <w:sz w:val="18"/>
        </w:rPr>
        <w:t>O sigilo de informações necessárias para a preservação da intimidade é relativizado quando se está diante do interesse da sociedade de se conhecer o destino dos recursos públicos. Operações financeiras que envolvam recursos públicos não estão abrangidas pelo sigilo bancário a que alude a LC 105/2001, visto que as operações dessa espécie estão submetidas aos princípios da administração pública insculpidos no art. 37 da CF. Em tais situações, é prerrogativa constitucional do Tribunal [TCU] o acesso a informações relacionadas a operações financiadas com recursos públicos.</w:t>
      </w:r>
    </w:p>
    <w:p>
      <w:pPr>
        <w:ind w:left="288"/>
      </w:pPr>
      <w:r>
        <w:rPr>
          <w:b/>
          <w:color w:val="003CA0"/>
          <w:sz w:val="16"/>
        </w:rPr>
        <w:t>[MS 33.340, rel. min. Luiz Fux, j. 26-5-2015, 1ª T, DJE de 3-8-2015.]</w:t>
      </w:r>
    </w:p>
    <w:p>
      <w:pPr>
        <w:ind w:left="288"/>
      </w:pPr>
      <w:r>
        <w:rPr>
          <w:color w:val="8C8C8C"/>
          <w:sz w:val="12"/>
        </w:rPr>
        <w:t>cf-art-5-inc-X</w:t>
      </w:r>
      <w:r>
        <w:rPr>
          <w:color w:val="003CA0"/>
          <w:sz w:val="12"/>
        </w:rPr>
        <w:t xml:space="preserve"> | INQ 3.014</w:t>
      </w:r>
      <w:r>
        <w:rPr>
          <w:color w:val="003CA0"/>
          <w:sz w:val="12"/>
        </w:rPr>
        <w:t xml:space="preserve"> | rel. Marco Aurélio</w:t>
      </w:r>
    </w:p>
    <w:p>
      <w:pPr>
        <w:ind w:left="288"/>
      </w:pPr>
      <w:r>
        <w:rPr>
          <w:color w:val="1E1E1E"/>
          <w:sz w:val="18"/>
        </w:rPr>
        <w:t>Consoante dispõe o inciso XII do art. 5º da CF, mostra-se inadequado o compartilhamento de prova que, no campo da exceção – afastamento da privacidade –, implicou interceptação telefônica determinada por órgão judicial e para efeito específico, ou seja, investigação criminal ou instrução processual penal.</w:t>
      </w:r>
    </w:p>
    <w:p>
      <w:pPr>
        <w:ind w:left="288"/>
      </w:pPr>
      <w:r>
        <w:rPr>
          <w:b/>
          <w:color w:val="003CA0"/>
          <w:sz w:val="16"/>
        </w:rPr>
        <w:t>[Inq 3.014 AgR, rel. min. Marco Aurélio, j. 13-12-2012, P, DJE de 23-9-2013.]</w:t>
      </w:r>
    </w:p>
    <w:p>
      <w:pPr>
        <w:ind w:left="288"/>
      </w:pPr>
      <w:r>
        <w:rPr>
          <w:color w:val="8C8C8C"/>
          <w:sz w:val="12"/>
        </w:rPr>
        <w:t>cf-art-5-inc-X</w:t>
      </w:r>
      <w:r>
        <w:rPr>
          <w:color w:val="003CA0"/>
          <w:sz w:val="12"/>
        </w:rPr>
        <w:t xml:space="preserve"> | HC 91.867</w:t>
      </w:r>
      <w:r>
        <w:rPr>
          <w:color w:val="003CA0"/>
          <w:sz w:val="12"/>
        </w:rPr>
        <w:t xml:space="preserve"> | rel. Gilmar Mendes</w:t>
      </w:r>
    </w:p>
    <w:p>
      <w:pPr>
        <w:ind w:left="288"/>
      </w:pPr>
      <w:r>
        <w:rPr>
          <w:color w:val="1E1E1E"/>
          <w:sz w:val="18"/>
        </w:rPr>
        <w:t>Suposta ilegalidade decorrente do fato de os policiais, após a prisão em flagrante do corréu, terem realizado a análise dos últimos registros telefônicos dos dois aparelhos celulares apreendidos. Não ocorrência. Não se confundem comunicação telefônica e registros telefônicos, que recebem, inclusive, proteção jurídica distinta. Não se pode interpretar a cláusula do art. 5º, XII, da CF, no sentido de proteção aos dados enquanto registro, depósito registral. A proteção constitucional é da comunicação de dados, e não dos dados. Art. 6º do CPP: dever da autoridade policial de proceder à coleta do m</w:t>
      </w:r>
    </w:p>
    <w:p>
      <w:pPr>
        <w:ind w:left="288"/>
      </w:pPr>
      <w:r>
        <w:rPr>
          <w:b/>
          <w:color w:val="003CA0"/>
          <w:sz w:val="16"/>
        </w:rPr>
        <w:t>[HC 91.867, rel. min. Gilmar Mendes, j. 24-4-2012, 2ª T, DJE de 20-9-2012.]</w:t>
      </w:r>
    </w:p>
    <w:p>
      <w:pPr>
        <w:ind w:left="288"/>
      </w:pPr>
      <w:r>
        <w:rPr>
          <w:color w:val="8C8C8C"/>
          <w:sz w:val="12"/>
        </w:rPr>
        <w:t>cf-art-5-inc-X</w:t>
      </w:r>
      <w:r>
        <w:rPr>
          <w:color w:val="003CA0"/>
          <w:sz w:val="12"/>
        </w:rPr>
        <w:t xml:space="preserve"> | HC 96.056</w:t>
      </w:r>
      <w:r>
        <w:rPr>
          <w:color w:val="003CA0"/>
          <w:sz w:val="12"/>
        </w:rPr>
        <w:t xml:space="preserve"> | rel. Gilmar Mendes</w:t>
      </w:r>
    </w:p>
    <w:p>
      <w:pPr>
        <w:ind w:left="288"/>
      </w:pPr>
      <w:r>
        <w:rPr>
          <w:color w:val="1E1E1E"/>
          <w:sz w:val="18"/>
        </w:rPr>
        <w:t>(...) tenho que uma excepcional situação de restrição de um direito ou garantia constitucional só deve ocorrer em situações pontuais, em que restem evidenciadas de forma flagrante a sua real necessidade. No caso dos autos, a envolver o sigilo dos dados bancários, fiscais e das comunicações telefônicas, a regra é a inviolabilidade, a exceção, a sua violação, a qual somente se justifica quando devidamente fundamentada por autoridade judicial competente, consoante o disposto no art. 93, IX, da CF. Daí por que imperioso concluir que a mera alusão ao "requerimento" do Parquet e/ou da autoridade pol</w:t>
      </w:r>
    </w:p>
    <w:p>
      <w:pPr>
        <w:ind w:left="288"/>
      </w:pPr>
      <w:r>
        <w:rPr>
          <w:b/>
          <w:color w:val="003CA0"/>
          <w:sz w:val="16"/>
        </w:rPr>
        <w:t>[HC 96.056, rel. min. Gilmar Mendes, j. 28-6-2011, 2ª T, DJE de 8-5-2012.]</w:t>
      </w:r>
    </w:p>
    <w:p>
      <w:pPr>
        <w:ind w:left="288"/>
      </w:pPr>
      <w:r>
        <w:rPr>
          <w:color w:val="8C8C8C"/>
          <w:sz w:val="12"/>
        </w:rPr>
        <w:t>cf-art-5-inc-X</w:t>
      </w:r>
      <w:r>
        <w:rPr>
          <w:color w:val="003CA0"/>
          <w:sz w:val="12"/>
        </w:rPr>
        <w:t xml:space="preserve"> | RE 389.808</w:t>
      </w:r>
      <w:r>
        <w:rPr>
          <w:color w:val="003CA0"/>
          <w:sz w:val="12"/>
        </w:rPr>
        <w:t xml:space="preserve"> | rel. Marco Aurélio</w:t>
      </w:r>
    </w:p>
    <w:p>
      <w:pPr>
        <w:ind w:left="288"/>
      </w:pPr>
      <w:r>
        <w:rPr>
          <w:color w:val="1E1E1E"/>
          <w:sz w:val="18"/>
        </w:rPr>
        <w:t>Conforme disposto no inciso XII do art. 5º da CF, a regra é a privacidade quanto à correspondência, às comunicações telegráficas, aos dados e às comunicações, ficando a exceção – a quebra do sigilo – submetida ao crivo de órgão equidistante – o Judiciário – e, mesmo assim, para efeito de investigação criminal ou instrução processual penal. (...) Conflita com a Carta da República norma legal atribuindo à Receita Federal – parte na relação jurídico-tributária – o afastamento do sigilo de dados relativos ao contribuinte.</w:t>
      </w:r>
    </w:p>
    <w:p>
      <w:pPr>
        <w:ind w:left="288"/>
      </w:pPr>
      <w:r>
        <w:rPr>
          <w:b/>
          <w:color w:val="003CA0"/>
          <w:sz w:val="16"/>
        </w:rPr>
        <w:t>[RE 389.808, rel. min. Marco Aurélio, j. 15-12-2010, P, DJE de 10-5-2011.]</w:t>
      </w:r>
    </w:p>
    <w:p>
      <w:pPr>
        <w:ind w:left="288"/>
      </w:pPr>
      <w:r>
        <w:rPr>
          <w:color w:val="8C8C8C"/>
          <w:sz w:val="12"/>
        </w:rPr>
        <w:t>cf-art-5-inc-X</w:t>
      </w:r>
      <w:r>
        <w:rPr>
          <w:color w:val="003CA0"/>
          <w:sz w:val="12"/>
        </w:rPr>
        <w:t xml:space="preserve"> | AI 626.214</w:t>
      </w:r>
      <w:r>
        <w:rPr>
          <w:color w:val="003CA0"/>
          <w:sz w:val="12"/>
        </w:rPr>
        <w:t xml:space="preserve"> | rel. Joaquim Barbosa</w:t>
      </w:r>
    </w:p>
    <w:p>
      <w:pPr>
        <w:ind w:left="288"/>
      </w:pPr>
      <w:r>
        <w:rPr>
          <w:color w:val="1E1E1E"/>
          <w:sz w:val="18"/>
        </w:rPr>
        <w:t>Encontro fortuito de prova da prática de crime punido com detenção. (...) O STF, como intérprete maior da Constituição da República, considerou compatível com o art. 5º, XII e LVI, o uso de prova obtida fortuitamente através de interceptação telefônica licitamente conduzida, ainda que o crime descoberto, conexo ao que foi objeto da interceptação, seja punido com detenção.</w:t>
      </w:r>
    </w:p>
    <w:p>
      <w:pPr>
        <w:ind w:left="288"/>
      </w:pPr>
      <w:r>
        <w:rPr>
          <w:b/>
          <w:color w:val="003CA0"/>
          <w:sz w:val="16"/>
        </w:rPr>
        <w:t>[AI 626.214 AgR, rel. min. Joaquim Barbosa, j. 21-9-2010, 2ª T, DJE de 8-10-2010.]</w:t>
      </w:r>
    </w:p>
    <w:p>
      <w:pPr>
        <w:ind w:left="288"/>
      </w:pPr>
      <w:r>
        <w:rPr>
          <w:color w:val="8C8C8C"/>
          <w:sz w:val="12"/>
        </w:rPr>
        <w:t>cf-art-5-inc-X</w:t>
      </w:r>
      <w:r>
        <w:rPr>
          <w:color w:val="003CA0"/>
          <w:sz w:val="12"/>
        </w:rPr>
        <w:t xml:space="preserve"> | HC 83.515</w:t>
      </w:r>
      <w:r>
        <w:rPr>
          <w:color w:val="003CA0"/>
          <w:sz w:val="12"/>
        </w:rPr>
        <w:t xml:space="preserve"> | rel. Nelson Jobim</w:t>
      </w:r>
    </w:p>
    <w:p>
      <w:pPr>
        <w:ind w:left="288"/>
      </w:pPr>
      <w:r>
        <w:rPr>
          <w:color w:val="1E1E1E"/>
          <w:sz w:val="18"/>
        </w:rPr>
        <w:t>= HC 83.515, rel. min. Nelson Jobim, j. 16-9-2004, P, DJ de 4-3-2005 Vide HC 102.304, rel. min. Cármen Lúcia, j. 25-5-2010, 1ª T, DJE de 25-5-2011 (...) a Lei 9.296/1996 nada mais fez do que estabelecer as diretrizes para a resolução de conflitos entre a privacidade e o dever do Estado de aplicar as leis criminais. Em que pese ao caráter excepcional da medida, o inciso XII possibilita, expressamente, uma vez preenchidos os requisitos constitucionais, a interceptação das comunicações telefônicas. E tal permissão existe pelo simples fato de que os direitos e garantias constitucionais não podem s</w:t>
      </w:r>
    </w:p>
    <w:p>
      <w:pPr>
        <w:ind w:left="288"/>
      </w:pPr>
      <w:r>
        <w:rPr>
          <w:b/>
          <w:color w:val="003CA0"/>
          <w:sz w:val="16"/>
        </w:rPr>
        <w:t>[HC 103.236, rel. min. Gilmar Mendes, j. 14-6-2010, 2ª T, DJE de 3-9-2010.]</w:t>
      </w:r>
    </w:p>
    <w:p>
      <w:pPr>
        <w:ind w:left="288"/>
      </w:pPr>
      <w:r>
        <w:rPr>
          <w:color w:val="8C8C8C"/>
          <w:sz w:val="12"/>
        </w:rPr>
        <w:t>cf-art-5-inc-X</w:t>
      </w:r>
      <w:r>
        <w:rPr>
          <w:color w:val="003CA0"/>
          <w:sz w:val="12"/>
        </w:rPr>
        <w:t xml:space="preserve"> | HC 102.304</w:t>
      </w:r>
      <w:r>
        <w:rPr>
          <w:color w:val="003CA0"/>
          <w:sz w:val="12"/>
        </w:rPr>
        <w:t xml:space="preserve"> | rel. Cármen Lúcia</w:t>
      </w:r>
    </w:p>
    <w:p>
      <w:pPr>
        <w:ind w:left="288"/>
      </w:pPr>
      <w:r>
        <w:rPr>
          <w:color w:val="1E1E1E"/>
          <w:sz w:val="18"/>
        </w:rPr>
        <w:t>Interceptação realizada em linha telefônica do corréu que captou diálogo entre este e o ora paciente, mediante autorização judicial. Prova lícita que pode ser utilizada para subsidiar ação penal, sem contrariedade ao art. 5º, XII, LIV, LV e LVI, da Constituição da República.</w:t>
      </w:r>
    </w:p>
    <w:p>
      <w:pPr>
        <w:ind w:left="288"/>
      </w:pPr>
      <w:r>
        <w:rPr>
          <w:b/>
          <w:color w:val="003CA0"/>
          <w:sz w:val="16"/>
        </w:rPr>
        <w:t>[HC 102.304, rel. min. Cármen Lúcia, j. 25-5-2010, 1ª T, DJE de 25-5-2011.]</w:t>
      </w:r>
    </w:p>
    <w:p>
      <w:pPr>
        <w:ind w:left="288"/>
      </w:pPr>
      <w:r>
        <w:rPr>
          <w:color w:val="8C8C8C"/>
          <w:sz w:val="12"/>
        </w:rPr>
        <w:t>cf-art-5-inc-X</w:t>
      </w:r>
      <w:r>
        <w:rPr>
          <w:color w:val="003CA0"/>
          <w:sz w:val="12"/>
        </w:rPr>
        <w:t xml:space="preserve"> | AI 626.214</w:t>
      </w:r>
      <w:r>
        <w:rPr>
          <w:color w:val="003CA0"/>
          <w:sz w:val="12"/>
        </w:rPr>
        <w:t xml:space="preserve"> | rel. Joaquim Barbosa</w:t>
      </w:r>
    </w:p>
    <w:p>
      <w:pPr>
        <w:ind w:left="288"/>
      </w:pPr>
      <w:r>
        <w:rPr>
          <w:color w:val="1E1E1E"/>
          <w:sz w:val="18"/>
        </w:rPr>
        <w:t>Vide AI 626.214 AgR, rel. min. Joaquim Barbosa, j. 21-9-2010, 2ª T, DJE de 8-10-2010 Não ofende a autoridade do acórdão proferido na ADPF 130 a decisão que, proibindo a jornal a publicação de fatos relativos ao autor de ação inibitória, se fundou, de maneira expressa, na inviolabilidade constitucional de direitos da personalidade, notadamente o da privacidade, mediante proteção de sigilo legal de dados cobertos por segredo de justiça.</w:t>
      </w:r>
    </w:p>
    <w:p>
      <w:pPr>
        <w:ind w:left="288"/>
      </w:pPr>
      <w:r>
        <w:rPr>
          <w:b/>
          <w:color w:val="003CA0"/>
          <w:sz w:val="16"/>
        </w:rPr>
        <w:t>[Rcl 9.428, rel. min. Cezar Peluso, j. 10-12-2009, P, DJE de 25-6-2010.]</w:t>
      </w:r>
    </w:p>
    <w:p>
      <w:pPr>
        <w:ind w:left="288"/>
      </w:pPr>
      <w:r>
        <w:rPr>
          <w:color w:val="8C8C8C"/>
          <w:sz w:val="12"/>
        </w:rPr>
        <w:t>cf-art-5-inc-X</w:t>
      </w:r>
      <w:r>
        <w:rPr>
          <w:color w:val="003CA0"/>
          <w:sz w:val="12"/>
        </w:rPr>
        <w:t xml:space="preserve"> | AI 578.858</w:t>
      </w:r>
      <w:r>
        <w:rPr>
          <w:color w:val="003CA0"/>
          <w:sz w:val="12"/>
        </w:rPr>
        <w:t xml:space="preserve"> | rel. Ellen Gracie</w:t>
      </w:r>
    </w:p>
    <w:p>
      <w:pPr>
        <w:ind w:left="288"/>
      </w:pPr>
      <w:r>
        <w:rPr>
          <w:color w:val="1E1E1E"/>
          <w:sz w:val="18"/>
        </w:rPr>
        <w:t>A gravação de conversa telefônica feita por um dos interlocutores, sem conhecimento do outro, quando ausente causa legal de sigilo ou de reserva da conversação, não é considerada prova ilícita.</w:t>
      </w:r>
    </w:p>
    <w:p>
      <w:pPr>
        <w:ind w:left="288"/>
      </w:pPr>
      <w:r>
        <w:rPr>
          <w:b/>
          <w:color w:val="003CA0"/>
          <w:sz w:val="16"/>
        </w:rPr>
        <w:t>[AI 578.858 AgR, rel. min. Ellen Gracie, j. 4-8-2009, 2ª T, DJE de 28-8-2009.]</w:t>
      </w:r>
    </w:p>
    <w:p>
      <w:pPr>
        <w:ind w:left="288"/>
      </w:pPr>
      <w:r>
        <w:rPr>
          <w:color w:val="8C8C8C"/>
          <w:sz w:val="12"/>
        </w:rPr>
        <w:t>cf-art-5-inc-X</w:t>
      </w:r>
      <w:r>
        <w:rPr>
          <w:color w:val="003CA0"/>
          <w:sz w:val="12"/>
        </w:rPr>
        <w:t xml:space="preserve"> | RE 630.944</w:t>
      </w:r>
      <w:r>
        <w:rPr>
          <w:color w:val="003CA0"/>
          <w:sz w:val="12"/>
        </w:rPr>
        <w:t xml:space="preserve"> | rel. Ayres Britto</w:t>
      </w:r>
    </w:p>
    <w:p>
      <w:pPr>
        <w:ind w:left="288"/>
      </w:pPr>
      <w:r>
        <w:rPr>
          <w:color w:val="1E1E1E"/>
          <w:sz w:val="18"/>
        </w:rPr>
        <w:t>= RE 630.944 AgR, rel. min. Ayres Britto, j. 25-10-2011, 2ª T, DJE de 19-12-2011 É lícita a interceptação telefônica, determinada em decisão judicial fundamentada, quando necessária, como único meio de prova, à apuração de fato delituoso. (...) É lícita a prorrogação do prazo legal de autorização para interceptação telefônica, ainda que de modo sucessivo, quando o fato seja complexo e, como tal, exija investigação diferenciada e contínua. (...) O ministro relator de inquérito policial, objeto de supervisão do STF, tem competência para determinar, durante as férias e recesso forenses, realizaçã</w:t>
      </w:r>
    </w:p>
    <w:p>
      <w:pPr>
        <w:ind w:left="288"/>
      </w:pPr>
      <w:r>
        <w:rPr>
          <w:b/>
          <w:color w:val="003CA0"/>
          <w:sz w:val="16"/>
        </w:rPr>
        <w:t>[Inq 2.424, rel. min. Cezar Peluso, j. 26-11-2008, P, DJE de 26-3-2010.]</w:t>
      </w:r>
    </w:p>
    <w:p>
      <w:pPr>
        <w:ind w:left="288"/>
      </w:pPr>
      <w:r>
        <w:rPr>
          <w:color w:val="8C8C8C"/>
          <w:sz w:val="12"/>
        </w:rPr>
        <w:t>cf-art-5-inc-X</w:t>
      </w:r>
      <w:r>
        <w:rPr>
          <w:color w:val="003CA0"/>
          <w:sz w:val="12"/>
        </w:rPr>
        <w:t xml:space="preserve"> | RHC 108.926</w:t>
      </w:r>
      <w:r>
        <w:rPr>
          <w:color w:val="003CA0"/>
          <w:sz w:val="12"/>
        </w:rPr>
        <w:t xml:space="preserve"> | rel. Teori Zavascki</w:t>
      </w:r>
    </w:p>
    <w:p>
      <w:pPr>
        <w:ind w:left="288"/>
      </w:pPr>
      <w:r>
        <w:rPr>
          <w:color w:val="1E1E1E"/>
          <w:sz w:val="18"/>
        </w:rPr>
        <w:t>= RHC 108.926, rel. min. Teori Zavascki, j. 24-2-2015, 2ª T, DJE de 10-3-2015 De que vale declarar a Constituição que "a casa é asilo inviolável do indivíduo" (art. 5º, XI) se moradias são invadidas por policiais munidos de mandados que consubstanciem verdadeiras cartas brancas, mandados com poderes de a tudo devassar, só porque o habitante é suspeito de um crime? (...) Esses mandados ordinariamente autorizam a apreensão de computadores, nos quais fica indelevelmente gravado tudo quanto respeite à intimidade das pessoas e possa vir a ser, quando e se oportuno, no futuro, usado contra quem se p</w:t>
      </w:r>
    </w:p>
    <w:p>
      <w:pPr>
        <w:ind w:left="288"/>
      </w:pPr>
      <w:r>
        <w:rPr>
          <w:b/>
          <w:color w:val="003CA0"/>
          <w:sz w:val="16"/>
        </w:rPr>
        <w:t>[HC 95.009, rel. min. Eros Grau, j. 6-11-2008, P, DJE de 19-12-2008.]</w:t>
      </w:r>
    </w:p>
    <w:p>
      <w:pPr>
        <w:ind w:left="288"/>
      </w:pPr>
      <w:r>
        <w:rPr>
          <w:color w:val="8C8C8C"/>
          <w:sz w:val="12"/>
        </w:rPr>
        <w:t>cf-art-5-inc-X</w:t>
      </w:r>
      <w:r>
        <w:rPr>
          <w:color w:val="003CA0"/>
          <w:sz w:val="12"/>
        </w:rPr>
        <w:t xml:space="preserve"> | RE 453.562</w:t>
      </w:r>
      <w:r>
        <w:rPr>
          <w:color w:val="003CA0"/>
          <w:sz w:val="12"/>
        </w:rPr>
        <w:t xml:space="preserve"> | rel. Joaquim Barbosa</w:t>
      </w:r>
    </w:p>
    <w:p>
      <w:pPr>
        <w:ind w:left="288"/>
      </w:pPr>
      <w:r>
        <w:rPr>
          <w:color w:val="1E1E1E"/>
          <w:sz w:val="18"/>
        </w:rPr>
        <w:t>Alegação de ofensa ao art. 5º, XII, LIV e LVI, da CF. Recurso extraordinário que afirma a existência de interceptação telefônica ilícita porque efetivada por terceiros. Conversa gravada por um dos interlocutores. Precedentes do STF. Agravo regimental improvido. Alegação de existência de prova ilícita, porquanto a interceptação telefônica teria sido realizada sem autorização judicial. Não há interceptação telefônica quando a conversa é gravada por um dos interlocutores, ainda que com a ajuda de um repórter.</w:t>
      </w:r>
    </w:p>
    <w:p>
      <w:pPr>
        <w:ind w:left="288"/>
      </w:pPr>
      <w:r>
        <w:rPr>
          <w:b/>
          <w:color w:val="003CA0"/>
          <w:sz w:val="16"/>
        </w:rPr>
        <w:t>[RE 453.562 AgR, rel. min. Joaquim Barbosa, j. 23-9-2008, 2ª T, DJE de 28-11-2008.]</w:t>
      </w:r>
    </w:p>
    <w:p>
      <w:pPr>
        <w:ind w:left="288"/>
      </w:pPr>
      <w:r>
        <w:rPr>
          <w:color w:val="8C8C8C"/>
          <w:sz w:val="12"/>
        </w:rPr>
        <w:t>cf-art-5-inc-X</w:t>
      </w:r>
      <w:r>
        <w:rPr>
          <w:color w:val="003CA0"/>
          <w:sz w:val="12"/>
        </w:rPr>
        <w:t xml:space="preserve"> | HC 89.083</w:t>
      </w:r>
      <w:r>
        <w:rPr>
          <w:color w:val="003CA0"/>
          <w:sz w:val="12"/>
        </w:rPr>
        <w:t xml:space="preserve"> | rel. Marco Aurélio</w:t>
      </w:r>
    </w:p>
    <w:p>
      <w:pPr>
        <w:ind w:left="288"/>
      </w:pPr>
      <w:r>
        <w:rPr>
          <w:color w:val="1E1E1E"/>
          <w:sz w:val="18"/>
        </w:rPr>
        <w:t>Sigilo de dados. Quebra. Indícios. Embora a regra seja a privacidade, mostra-se possível o acesso a dados sigilosos, para o efeito de inquérito ou persecução criminais e por ordem judicial, ante indícios de prática criminosa.</w:t>
      </w:r>
    </w:p>
    <w:p>
      <w:pPr>
        <w:ind w:left="288"/>
      </w:pPr>
      <w:r>
        <w:rPr>
          <w:b/>
          <w:color w:val="003CA0"/>
          <w:sz w:val="16"/>
        </w:rPr>
        <w:t>[HC 89.083, rel. min. Marco Aurélio, j. 19-8-2008, 1ª T, DJE de 6-2-2009.]</w:t>
      </w:r>
    </w:p>
    <w:p>
      <w:pPr>
        <w:ind w:left="288"/>
      </w:pPr>
      <w:r>
        <w:rPr>
          <w:color w:val="8C8C8C"/>
          <w:sz w:val="12"/>
        </w:rPr>
        <w:t>cf-art-5-inc-X</w:t>
      </w:r>
      <w:r>
        <w:rPr>
          <w:color w:val="003CA0"/>
          <w:sz w:val="12"/>
        </w:rPr>
        <w:t xml:space="preserve"> | MS 24.832</w:t>
      </w:r>
      <w:r>
        <w:rPr>
          <w:color w:val="003CA0"/>
          <w:sz w:val="12"/>
        </w:rPr>
        <w:t xml:space="preserve"> | rel. Cezar Peluso</w:t>
      </w:r>
    </w:p>
    <w:p>
      <w:pPr>
        <w:ind w:left="288"/>
      </w:pPr>
      <w:r>
        <w:rPr>
          <w:color w:val="1E1E1E"/>
          <w:sz w:val="18"/>
        </w:rPr>
        <w:t>CPI. Interceptação telefônica. Sigilo judicial. Segredo de justiça. Quebra. Impossibilidade jurídica. Requisição de cópias das ordens judiciais e dos mandados. Liminar concedida. Admissibilidade de submissão da liminar ao Plenário, pelo relator, para referendo. Precedentes (MS 24.832 MC, MS 26.307 MC e MS 26.900 MC). Voto vencido. Pode o relator de mandado de segurança submeter ao Plenário, para efeito de referendo, a liminar que haja deferido. CPI. Prova. Interceptação telefônica. Decisão judicial. Sigilo judicial. Segredo de justiça. Quebra. Requisição, às operadoras, de cópias das ordens ju</w:t>
      </w:r>
    </w:p>
    <w:p>
      <w:pPr>
        <w:ind w:left="288"/>
      </w:pPr>
      <w:r>
        <w:rPr>
          <w:b/>
          <w:color w:val="003CA0"/>
          <w:sz w:val="16"/>
        </w:rPr>
        <w:t>[MS 27.483 MC-REF, rel. min. Cezar Peluso, j. 14-8-2008, P, DJE de 10-10-2008.]</w:t>
      </w:r>
    </w:p>
    <w:p>
      <w:pPr>
        <w:ind w:left="288"/>
      </w:pPr>
      <w:r>
        <w:rPr>
          <w:color w:val="8C8C8C"/>
          <w:sz w:val="12"/>
        </w:rPr>
        <w:t>cf-art-5-inc-X</w:t>
      </w:r>
      <w:r>
        <w:rPr>
          <w:color w:val="003CA0"/>
          <w:sz w:val="12"/>
        </w:rPr>
        <w:t xml:space="preserve"> | RE 568.498</w:t>
      </w:r>
      <w:r>
        <w:rPr>
          <w:color w:val="003CA0"/>
          <w:sz w:val="12"/>
        </w:rPr>
        <w:t xml:space="preserve"> | rel. Cezar Peluso</w:t>
      </w:r>
    </w:p>
    <w:p>
      <w:pPr>
        <w:ind w:left="288"/>
      </w:pPr>
      <w:r>
        <w:rPr>
          <w:color w:val="1E1E1E"/>
          <w:sz w:val="18"/>
        </w:rPr>
        <w:t>Não viola o direito constitucional ao sigilo bancário o uso, em processo judicial, de comprovante de consulta a órgão de proteção ao crédito, com o propósito de impedir, modificar ou extinguir direito da parte adversa.</w:t>
      </w:r>
    </w:p>
    <w:p>
      <w:pPr>
        <w:ind w:left="288"/>
      </w:pPr>
      <w:r>
        <w:rPr>
          <w:b/>
          <w:color w:val="003CA0"/>
          <w:sz w:val="16"/>
        </w:rPr>
        <w:t>[RE 568.498, rel. min. Cezar Peluso, j. 13-5-2008, 2ª T, DJE de 6-6-2008.]</w:t>
      </w:r>
    </w:p>
    <w:p>
      <w:pPr>
        <w:ind w:left="288"/>
      </w:pPr>
      <w:r>
        <w:rPr>
          <w:color w:val="8C8C8C"/>
          <w:sz w:val="12"/>
        </w:rPr>
        <w:t>cf-art-5-inc-X</w:t>
      </w:r>
      <w:r>
        <w:rPr>
          <w:color w:val="003CA0"/>
          <w:sz w:val="12"/>
        </w:rPr>
        <w:t xml:space="preserve"> | HC 94.028</w:t>
      </w:r>
      <w:r>
        <w:rPr>
          <w:color w:val="003CA0"/>
          <w:sz w:val="12"/>
        </w:rPr>
        <w:t xml:space="preserve"> | rel. Cármen Lúcia</w:t>
      </w:r>
    </w:p>
    <w:p>
      <w:pPr>
        <w:ind w:left="288"/>
      </w:pPr>
      <w:r>
        <w:rPr>
          <w:color w:val="1E1E1E"/>
          <w:sz w:val="18"/>
        </w:rPr>
        <w:t>Não há nulidade na decisão que, embora sucinta, apresenta fundamentos essenciais para a decretação da quebra do sigilo telefônico, ressaltando, inclusive, que "o modus operandi dos envolvidos" "dificilmente" poderia "ser esclarecido por outros meios". As informações prestadas pelo juízo local não se prestam para suprir a falta de fundamentação da decisão questionada, mas podem ser consideradas para esclarecimento de fundamentos nela já contidos.</w:t>
      </w:r>
    </w:p>
    <w:p>
      <w:pPr>
        <w:ind w:left="288"/>
      </w:pPr>
      <w:r>
        <w:rPr>
          <w:b/>
          <w:color w:val="003CA0"/>
          <w:sz w:val="16"/>
        </w:rPr>
        <w:t>[HC 94.028, rel. min. Cármen Lúcia, j. 22-4-2008, 1ª T, DJE de 29-5-2009.]</w:t>
      </w:r>
    </w:p>
    <w:p>
      <w:pPr>
        <w:ind w:left="288"/>
      </w:pPr>
      <w:r>
        <w:rPr>
          <w:color w:val="8C8C8C"/>
          <w:sz w:val="12"/>
        </w:rPr>
        <w:t>cf-art-5-inc-X</w:t>
      </w:r>
      <w:r>
        <w:rPr>
          <w:color w:val="003CA0"/>
          <w:sz w:val="12"/>
        </w:rPr>
        <w:t xml:space="preserve"> | MS 22.801</w:t>
      </w:r>
      <w:r>
        <w:rPr>
          <w:color w:val="003CA0"/>
          <w:sz w:val="12"/>
        </w:rPr>
        <w:t xml:space="preserve"> | rel. Menezes Direito</w:t>
      </w:r>
    </w:p>
    <w:p>
      <w:pPr>
        <w:ind w:left="288"/>
      </w:pPr>
      <w:r>
        <w:rPr>
          <w:color w:val="1E1E1E"/>
          <w:sz w:val="18"/>
        </w:rPr>
        <w:t>A LC 105, de 10-1-2001, não conferiu ao TCU poderes para determinar a quebra do sigilo bancário de dados constantes do Banco Central do Brasil. O legislador conferiu esses poderes ao Poder Judiciário (art. 3º), ao Poder Legislativo Federal (art. 4º), bem como às CPIs, após prévia aprovação do pedido pelo plenário da Câmara dos Deputados, do Senado Federal ou do plenário de suas respectivas CPIs (§ 1º e § 2º do art. 4º). Embora as atividades do TCU, por sua natureza, verificação de contas e até mesmo o julgamento das contas das pessoas enumeradas no art. 71, II, da CF, justifiquem a eventual qu</w:t>
      </w:r>
    </w:p>
    <w:p>
      <w:pPr>
        <w:ind w:left="288"/>
      </w:pPr>
      <w:r>
        <w:rPr>
          <w:b/>
          <w:color w:val="003CA0"/>
          <w:sz w:val="16"/>
        </w:rPr>
        <w:t>[MS 22.801, rel. min. Menezes Direito, j. 17-12-2007, P, DJE de 14-3-2008.]</w:t>
      </w:r>
    </w:p>
    <w:p>
      <w:pPr>
        <w:ind w:left="288"/>
      </w:pPr>
      <w:r>
        <w:rPr>
          <w:color w:val="8C8C8C"/>
          <w:sz w:val="12"/>
        </w:rPr>
        <w:t>cf-art-5-inc-X</w:t>
      </w:r>
      <w:r>
        <w:rPr>
          <w:color w:val="003CA0"/>
          <w:sz w:val="12"/>
        </w:rPr>
        <w:t xml:space="preserve"> | MS 22.934</w:t>
      </w:r>
      <w:r>
        <w:rPr>
          <w:color w:val="003CA0"/>
          <w:sz w:val="12"/>
        </w:rPr>
        <w:t xml:space="preserve"> | rel. Joaquim Barbosa</w:t>
      </w:r>
    </w:p>
    <w:p>
      <w:pPr>
        <w:ind w:left="288"/>
      </w:pPr>
      <w:r>
        <w:rPr>
          <w:color w:val="1E1E1E"/>
          <w:sz w:val="18"/>
        </w:rPr>
        <w:t>= MS 22.934, rel. min. Joaquim Barbosa, j. 17-4-2012, 2ª T, DJE de 9-5-2012 (...) a Lei 9.296, de 24-7-1996, é categórica ao prever, no § 1º do art. 6º, que, no caso de a diligência possibilitar a gravação da comunicação interceptada, será determinada a sua transcrição. Assim, a formalidade imposta por lei é essencial à valia da prova, viabilizando-se, com isso, o conhecimento da conversação interceptada e, portanto, o exercício de direito de defesa pelo acusado, a atuação do próprio Ministério Público e do órgão julgador. Descabe cogitar, em substituição ao que previsto em lei, do acesso às f</w:t>
      </w:r>
    </w:p>
    <w:p>
      <w:pPr>
        <w:ind w:left="288"/>
      </w:pPr>
      <w:r>
        <w:rPr>
          <w:b/>
          <w:color w:val="003CA0"/>
          <w:sz w:val="16"/>
        </w:rPr>
        <w:t>[HC 83.983, rel. min. Marco Aurélio, j. 4-12-2007, 1ª T, DJE de 23-5-2008.]</w:t>
      </w:r>
    </w:p>
    <w:p>
      <w:pPr>
        <w:ind w:left="288"/>
      </w:pPr>
      <w:r>
        <w:rPr>
          <w:color w:val="8C8C8C"/>
          <w:sz w:val="12"/>
        </w:rPr>
        <w:t>cf-art-5-inc-X</w:t>
      </w:r>
      <w:r>
        <w:rPr>
          <w:color w:val="003CA0"/>
          <w:sz w:val="12"/>
        </w:rPr>
        <w:t xml:space="preserve"> | INQ 2.245</w:t>
      </w:r>
      <w:r>
        <w:rPr>
          <w:color w:val="003CA0"/>
          <w:sz w:val="12"/>
        </w:rPr>
        <w:t xml:space="preserve"> | rel. Joaquim Barbosa</w:t>
      </w:r>
    </w:p>
    <w:p>
      <w:pPr>
        <w:ind w:left="288"/>
      </w:pPr>
      <w:r>
        <w:rPr>
          <w:color w:val="1E1E1E"/>
          <w:sz w:val="18"/>
        </w:rPr>
        <w:t>Não procede a alegação feita pelo quinto acusado de que os dados relativos aos supostos empréstimos bancários contraídos com as duas instituições financeiras envolvidas teriam sido colhidos de modo ilegal, pois o Banco Central teria atendido diretamente a pedido do PGR sem que houvesse autorização judicial. Tais dados constam de relatórios de fiscalização do Banco Central, que foram requisitados pela CPMI dos Correios. No âmbito deste inquérito, o presidente do STF determinou o "compartilhamento de todas as informações bancárias já obtidas pela CPMI dos Correios" para análise em conjunto com o</w:t>
      </w:r>
    </w:p>
    <w:p>
      <w:pPr>
        <w:ind w:left="288"/>
      </w:pPr>
      <w:r>
        <w:rPr>
          <w:b/>
          <w:color w:val="003CA0"/>
          <w:sz w:val="16"/>
        </w:rPr>
        <w:t>[Inq 2.245, rel. min. Joaquim Barbosa, j. 28-8-2007, P, DJ de 9-11-2007.]</w:t>
      </w:r>
    </w:p>
    <w:p>
      <w:pPr>
        <w:ind w:left="288"/>
      </w:pPr>
      <w:r>
        <w:rPr>
          <w:color w:val="8C8C8C"/>
          <w:sz w:val="12"/>
        </w:rPr>
        <w:t>cf-art-5-inc-X</w:t>
      </w:r>
      <w:r>
        <w:rPr>
          <w:color w:val="003CA0"/>
          <w:sz w:val="12"/>
        </w:rPr>
        <w:t xml:space="preserve"> | RE 461.366</w:t>
      </w:r>
      <w:r>
        <w:rPr>
          <w:color w:val="003CA0"/>
          <w:sz w:val="12"/>
        </w:rPr>
        <w:t xml:space="preserve"> | rel. Marco Aurélio</w:t>
      </w:r>
    </w:p>
    <w:p>
      <w:pPr>
        <w:ind w:left="288"/>
      </w:pPr>
      <w:r>
        <w:rPr>
          <w:color w:val="1E1E1E"/>
          <w:sz w:val="18"/>
        </w:rPr>
        <w:t>Sigilo de dados. Atuação fiscalizadora do Banco Central. Afastamento. Inviabilidade. A atuação fiscalizadora do Banco Central do Brasil não encerra a possibilidade de, no campo administrativo, alcançar dados bancários de correntistas, afastando o sigilo previsto no inciso XII do art. 5º da CF.</w:t>
      </w:r>
    </w:p>
    <w:p>
      <w:pPr>
        <w:ind w:left="288"/>
      </w:pPr>
      <w:r>
        <w:rPr>
          <w:b/>
          <w:color w:val="003CA0"/>
          <w:sz w:val="16"/>
        </w:rPr>
        <w:t>[RE 461.366, rel. min. Marco Aurélio, j. 3-8-2007, 1ª T, DJ de 5-10-2007.]</w:t>
      </w:r>
    </w:p>
    <w:p>
      <w:pPr>
        <w:ind w:left="288"/>
      </w:pPr>
      <w:r>
        <w:rPr>
          <w:color w:val="8C8C8C"/>
          <w:sz w:val="12"/>
        </w:rPr>
        <w:t>cf-art-5-inc-X</w:t>
      </w:r>
      <w:r>
        <w:rPr>
          <w:color w:val="003CA0"/>
          <w:sz w:val="12"/>
        </w:rPr>
        <w:t xml:space="preserve"> | INQ 2.424</w:t>
      </w:r>
      <w:r>
        <w:rPr>
          <w:color w:val="003CA0"/>
          <w:sz w:val="12"/>
        </w:rPr>
        <w:t xml:space="preserve"> | rel. Cezar Peluso</w:t>
      </w:r>
    </w:p>
    <w:p>
      <w:pPr>
        <w:ind w:left="288"/>
      </w:pPr>
      <w:r>
        <w:rPr>
          <w:color w:val="1E1E1E"/>
          <w:sz w:val="18"/>
        </w:rPr>
        <w:t>Prova emprestada. (...) Dados obtidos em interceptação de comunicações telefônicas e em escutas ambientais, judicialmente autorizadas para produção de prova em investigação criminal ou em instrução processual penal, podem ser usados em procedimento administrativo disciplinar, contra a mesma ou as mesmas pessoas em relação às quais foram colhidos, ou contra outros servidores cujos supostos ilícitos teriam despontado à colheita dessa prova.</w:t>
      </w:r>
    </w:p>
    <w:p>
      <w:pPr>
        <w:ind w:left="288"/>
      </w:pPr>
      <w:r>
        <w:rPr>
          <w:b/>
          <w:color w:val="003CA0"/>
          <w:sz w:val="16"/>
        </w:rPr>
        <w:t>[Inq 2.424 QO-QO, rel. min. Cezar Peluso, j. 20-6-2007, P, DJ de 24-8-2007.]</w:t>
      </w:r>
    </w:p>
    <w:p>
      <w:pPr>
        <w:ind w:left="288"/>
      </w:pPr>
      <w:r>
        <w:rPr>
          <w:color w:val="8C8C8C"/>
          <w:sz w:val="12"/>
        </w:rPr>
        <w:t>cf-art-5-inc-X</w:t>
      </w:r>
      <w:r>
        <w:rPr>
          <w:color w:val="003CA0"/>
          <w:sz w:val="12"/>
        </w:rPr>
        <w:t xml:space="preserve"> | RMS 28.774</w:t>
      </w:r>
      <w:r>
        <w:rPr>
          <w:color w:val="003CA0"/>
          <w:sz w:val="12"/>
        </w:rPr>
        <w:t xml:space="preserve"> | rel. Marco Aurélio</w:t>
      </w:r>
    </w:p>
    <w:p>
      <w:pPr>
        <w:ind w:left="288"/>
      </w:pPr>
      <w:r>
        <w:rPr>
          <w:color w:val="1E1E1E"/>
          <w:sz w:val="18"/>
        </w:rPr>
        <w:t xml:space="preserve">= RMS 28.774, rel. min. Marco Aurélio, red. do ac. min. Roberto Barroso, j. 22-9-2015, 1ª T, DJE de 25-8-2016 Questão de ordem. Inquérito. Disponibilidade de informações em meio eletrônico. Possibilidade, ressalvados os documentos protegidos por sigilo bancário, fiscal ou telefônico. Questão de ordem resolvida no sentido de que, uma vez digitalizados os documentos constantes dos autos, para o fim de facilitar a notificação dos denunciados, é permitido sejam tais informações colocadas à disposição no sítio do STF na internet, excluídas as informações de conteúdo sigiloso e limitado o acesso às </w:t>
      </w:r>
    </w:p>
    <w:p>
      <w:pPr>
        <w:ind w:left="288"/>
      </w:pPr>
      <w:r>
        <w:rPr>
          <w:b/>
          <w:color w:val="003CA0"/>
          <w:sz w:val="16"/>
        </w:rPr>
        <w:t>[Inq 2.245 QO, rel. min. Joaquim Barbosa, j. 31-5-2006, P, DJ de 9-11-2007.]</w:t>
      </w:r>
    </w:p>
    <w:p>
      <w:pPr>
        <w:ind w:left="288"/>
      </w:pPr>
      <w:r>
        <w:rPr>
          <w:color w:val="8C8C8C"/>
          <w:sz w:val="12"/>
        </w:rPr>
        <w:t>cf-art-5-inc-X</w:t>
      </w:r>
      <w:r>
        <w:rPr>
          <w:color w:val="003CA0"/>
          <w:sz w:val="12"/>
        </w:rPr>
        <w:t xml:space="preserve"> | HC 83.966</w:t>
      </w:r>
      <w:r>
        <w:rPr>
          <w:color w:val="003CA0"/>
          <w:sz w:val="12"/>
        </w:rPr>
        <w:t xml:space="preserve"> | rel. Celso de Mello</w:t>
      </w:r>
    </w:p>
    <w:p>
      <w:pPr>
        <w:ind w:left="288"/>
      </w:pPr>
      <w:r>
        <w:rPr>
          <w:color w:val="1E1E1E"/>
          <w:sz w:val="18"/>
        </w:rPr>
        <w:t>A mera formulação, por representante do Ministério Público, de pedido de interceptação telefônica, para os fins a que se refere a Lei 9.296/1996, por traduzir simples postulação dependente de apreciação jurisdicional (CF, art. 5º, XII), não importa, só por si, em ofensa à liberdade de locomoção física de qualquer pessoa, descaracterizando-se, desse modo, a possibilidade de adequada utilização do remédio constitucional do habeas corpus.</w:t>
      </w:r>
    </w:p>
    <w:p>
      <w:pPr>
        <w:ind w:left="288"/>
      </w:pPr>
      <w:r>
        <w:rPr>
          <w:b/>
          <w:color w:val="003CA0"/>
          <w:sz w:val="16"/>
        </w:rPr>
        <w:t>[HC 83.966 AgR, rel. min. Celso de Mello, j. 23-6-2004, P, DJ de 25-11-2005.]</w:t>
      </w:r>
    </w:p>
    <w:p>
      <w:pPr>
        <w:ind w:left="288"/>
      </w:pPr>
      <w:r>
        <w:rPr>
          <w:color w:val="8C8C8C"/>
          <w:sz w:val="12"/>
        </w:rPr>
        <w:t>cf-art-5-inc-X</w:t>
      </w:r>
      <w:r>
        <w:rPr>
          <w:color w:val="003CA0"/>
          <w:sz w:val="12"/>
        </w:rPr>
        <w:t xml:space="preserve"> | CR 9.854</w:t>
      </w:r>
      <w:r>
        <w:rPr>
          <w:color w:val="003CA0"/>
          <w:sz w:val="12"/>
        </w:rPr>
        <w:t xml:space="preserve"> | rel. Marco Aurélio</w:t>
      </w:r>
    </w:p>
    <w:p>
      <w:pPr>
        <w:ind w:left="288"/>
      </w:pPr>
      <w:r>
        <w:rPr>
          <w:color w:val="1E1E1E"/>
          <w:sz w:val="18"/>
        </w:rPr>
        <w:t>Carta rogatória. Objeto. Dados de processos em curso no Brasil e coleta de depoimentos. O levantamento de dados constantes de processos em andamento no Brasil não implica a quebra do sigilo assegurado pela Carta da República, ante a publicidade que os reveste.</w:t>
      </w:r>
    </w:p>
    <w:p>
      <w:pPr>
        <w:ind w:left="288"/>
      </w:pPr>
      <w:r>
        <w:rPr>
          <w:b/>
          <w:color w:val="003CA0"/>
          <w:sz w:val="16"/>
        </w:rPr>
        <w:t>[CR 9.854 AgR, rel. min. Marco Aurélio, j. 28-5-2003, P, DJ de 27-6-2003.]</w:t>
      </w:r>
    </w:p>
    <w:p>
      <w:pPr>
        <w:ind w:left="288"/>
      </w:pPr>
      <w:r>
        <w:rPr>
          <w:color w:val="8C8C8C"/>
          <w:sz w:val="12"/>
        </w:rPr>
        <w:t>cf-art-5-inc-X</w:t>
      </w:r>
      <w:r>
        <w:rPr>
          <w:color w:val="003CA0"/>
          <w:sz w:val="12"/>
        </w:rPr>
        <w:t xml:space="preserve"> | HC 81.260</w:t>
      </w:r>
      <w:r>
        <w:rPr>
          <w:color w:val="003CA0"/>
          <w:sz w:val="12"/>
        </w:rPr>
        <w:t xml:space="preserve"> | rel. Sepúlveda Pertence</w:t>
      </w:r>
    </w:p>
    <w:p>
      <w:pPr>
        <w:ind w:left="288"/>
      </w:pPr>
      <w:r>
        <w:rPr>
          <w:color w:val="1E1E1E"/>
          <w:sz w:val="18"/>
        </w:rPr>
        <w:t>Interceptação telefônica: exigência de autorização do "juiz competente da ação principal" (Lei 9.296/1996, art. 1º): inteligência. Se se cuida de obter a autorização para a interceptação telefônica no curso de processo penal, não suscita dúvidas a regra de competência do art. 1º da Lei 9.296/1996: só ao juiz da ação penal condenatória – e que dirige toda a instrução – caberá deferir a medida cautelar incidente. Quando, no entanto, a interceptação telefônica constituir medida cautelar preventiva, ainda no curso das investigações criminais, a mesma norma de competência há de ser entendida e apli</w:t>
      </w:r>
    </w:p>
    <w:p>
      <w:pPr>
        <w:ind w:left="288"/>
      </w:pPr>
      <w:r>
        <w:rPr>
          <w:b/>
          <w:color w:val="003CA0"/>
          <w:sz w:val="16"/>
        </w:rPr>
        <w:t>[HC 81.260, rel. min. Sepúlveda Pertence, j. 14-11-2001, P, DJ de 19-4-2002.]</w:t>
      </w:r>
    </w:p>
    <w:p>
      <w:pPr>
        <w:ind w:left="288"/>
      </w:pPr>
      <w:r>
        <w:rPr>
          <w:color w:val="8C8C8C"/>
          <w:sz w:val="12"/>
        </w:rPr>
        <w:t>cf-art-5-inc-X</w:t>
      </w:r>
      <w:r>
        <w:rPr>
          <w:color w:val="003CA0"/>
          <w:sz w:val="12"/>
        </w:rPr>
        <w:t xml:space="preserve"> | MS 24.803</w:t>
      </w:r>
      <w:r>
        <w:rPr>
          <w:color w:val="003CA0"/>
          <w:sz w:val="12"/>
        </w:rPr>
        <w:t xml:space="preserve"> | rel. Joaquim Barbosa</w:t>
      </w:r>
    </w:p>
    <w:p>
      <w:pPr>
        <w:ind w:left="288"/>
      </w:pPr>
      <w:r>
        <w:rPr>
          <w:color w:val="1E1E1E"/>
          <w:sz w:val="18"/>
        </w:rPr>
        <w:t>= MS 24.803, rel. min. Joaquim Barbosa, j. 29-10-2008, P, DJE de 5-6-2009 Escuta gravada da comunicação telefônica com terceiro, que conteria evidência de quadrilha que integrariam: ilicitude, nas circunstâncias, com relação a ambos os interlocutores. A hipótese não configura a gravação da conversa telefônica própria por um dos interlocutores – cujo uso como prova o STF, em dadas circunstâncias, tem julgado lícito – mas, sim, escuta e gravação por terceiro de comunicação telefônica alheia, ainda que com a ciência ou mesmo a cooperação de um dos interlocutores: essa última, dada a intervenção d</w:t>
      </w:r>
    </w:p>
    <w:p>
      <w:pPr>
        <w:ind w:left="288"/>
      </w:pPr>
      <w:r>
        <w:rPr>
          <w:b/>
          <w:color w:val="003CA0"/>
          <w:sz w:val="16"/>
        </w:rPr>
        <w:t>[HC 80.949, rel. min. Sepúlveda Pertence, j. 30-10-2001, 1ª T, DJ de 14-12-2001.]</w:t>
      </w:r>
    </w:p>
    <w:p>
      <w:pPr>
        <w:ind w:left="288"/>
      </w:pPr>
      <w:r>
        <w:rPr>
          <w:color w:val="8C8C8C"/>
          <w:sz w:val="12"/>
        </w:rPr>
        <w:t>cf-art-5-inc-X</w:t>
      </w:r>
      <w:r>
        <w:rPr>
          <w:color w:val="003CA0"/>
          <w:sz w:val="12"/>
        </w:rPr>
        <w:t xml:space="preserve"> | HC 75.338</w:t>
      </w:r>
      <w:r>
        <w:rPr>
          <w:color w:val="003CA0"/>
          <w:sz w:val="12"/>
        </w:rPr>
        <w:t xml:space="preserve"> | rel. Nelson Jobim</w:t>
      </w:r>
    </w:p>
    <w:p>
      <w:pPr>
        <w:ind w:left="288"/>
      </w:pPr>
      <w:r>
        <w:rPr>
          <w:color w:val="1E1E1E"/>
          <w:sz w:val="18"/>
        </w:rPr>
        <w:t>É lícita a gravação de conversa telefônica feita por um dos interlocutores, ou com sua autorização, sem ciência do outro, quando há investida criminosa deste último. É inconsistente e fere o senso comum falar-se em violação do direito à privacidade quando interlocutor grava diálogo com sequestradores, estelionatários ou qualquer tipo de chantagista.</w:t>
      </w:r>
    </w:p>
    <w:p>
      <w:pPr>
        <w:ind w:left="288"/>
      </w:pPr>
      <w:r>
        <w:rPr>
          <w:b/>
          <w:color w:val="003CA0"/>
          <w:sz w:val="16"/>
        </w:rPr>
        <w:t>[HC 75.338, rel. min. Nelson Jobim, j. 11-3-1998, P, DJ de 25-9-1998.]</w:t>
      </w:r>
    </w:p>
    <w:p>
      <w:pPr>
        <w:ind w:left="288"/>
      </w:pPr>
      <w:r>
        <w:rPr>
          <w:color w:val="8C8C8C"/>
          <w:sz w:val="12"/>
        </w:rPr>
        <w:t>cf-art-5-inc-X</w:t>
      </w:r>
      <w:r>
        <w:rPr>
          <w:color w:val="003CA0"/>
          <w:sz w:val="12"/>
        </w:rPr>
        <w:t xml:space="preserve"> | HC 74.678</w:t>
      </w:r>
      <w:r>
        <w:rPr>
          <w:color w:val="003CA0"/>
          <w:sz w:val="12"/>
        </w:rPr>
        <w:t xml:space="preserve"> | rel. Moreira Alves</w:t>
      </w:r>
    </w:p>
    <w:p>
      <w:pPr>
        <w:ind w:left="288"/>
      </w:pPr>
      <w:r>
        <w:rPr>
          <w:color w:val="1E1E1E"/>
          <w:sz w:val="18"/>
        </w:rPr>
        <w:t>= HC 74.678, rel. min. Moreira Alves, j. 10-6-1997, 1ª T, DJ de 15-8-1997 Vide AI 769.798 AgR, rel. min. Cármen Lúcia, j. 1º-2-2011, 1ª T, DJE de 23-2-2011 Vide RE 212.081, rel. min. Octavio Gallotti, j. 5-12-1997, 1ª T, DJ de 27-3-1998 A prova ilícita, caracterizada pela escuta telefônica, não sendo a única produzida no procedimento investigatório, não enseja desprezarem-se as demais que, por ela não contaminadas e dela não decorrentes, formam o conjunto probatório da autoria e materialidade do delito. (...) Sem que possa colher-se dos elementos do processo a resultante consequência de que to</w:t>
      </w:r>
    </w:p>
    <w:p>
      <w:pPr>
        <w:ind w:left="288"/>
      </w:pPr>
      <w:r>
        <w:rPr>
          <w:b/>
          <w:color w:val="003CA0"/>
          <w:sz w:val="16"/>
        </w:rPr>
        <w:t>[HC 75.497, rel. min. Maurício Corrêa, j. 14-10-1997, 2ª T, DJ de 9-5-2003.]</w:t>
      </w:r>
    </w:p>
    <w:p>
      <w:pPr>
        <w:ind w:left="288"/>
      </w:pPr>
      <w:r>
        <w:rPr>
          <w:color w:val="8C8C8C"/>
          <w:sz w:val="12"/>
        </w:rPr>
        <w:t>cf-art-5-inc-X</w:t>
      </w:r>
      <w:r>
        <w:rPr>
          <w:color w:val="003CA0"/>
          <w:sz w:val="12"/>
        </w:rPr>
        <w:t xml:space="preserve"> | MS 21.729</w:t>
      </w:r>
    </w:p>
    <w:p>
      <w:pPr>
        <w:ind w:left="288"/>
      </w:pPr>
      <w:r>
        <w:rPr>
          <w:color w:val="1E1E1E"/>
          <w:sz w:val="18"/>
        </w:rPr>
        <w:t>Da minha leitura, no inciso XII da Lei Fundamental, o que se protege, e de modo absoluto, até em relação ao Poder Judiciário, é a comunicação "de dados", e não os "dados", o que tornaria impossível qualquer investigação administrativa, fosse qual fosse.</w:t>
      </w:r>
    </w:p>
    <w:p>
      <w:pPr>
        <w:ind w:left="288"/>
      </w:pPr>
      <w:r>
        <w:rPr>
          <w:b/>
          <w:color w:val="003CA0"/>
          <w:sz w:val="16"/>
        </w:rPr>
        <w:t>[MS 21.729, red. do ac. min. Néri da Silveira, voto do min. Sepúlveda Pertence, j. 5-10-1995, P, DJ de 19-10-2001.]</w:t>
      </w:r>
    </w:p>
    <w:p>
      <w:pPr>
        <w:ind w:left="288"/>
      </w:pPr>
      <w:r>
        <w:rPr>
          <w:color w:val="8C8C8C"/>
          <w:sz w:val="12"/>
        </w:rPr>
        <w:t>cf-art-5-inc-X</w:t>
      </w:r>
      <w:r>
        <w:rPr>
          <w:color w:val="003CA0"/>
          <w:sz w:val="12"/>
        </w:rPr>
        <w:t xml:space="preserve"> | HC 70.814</w:t>
      </w:r>
      <w:r>
        <w:rPr>
          <w:color w:val="003CA0"/>
          <w:sz w:val="12"/>
        </w:rPr>
        <w:t xml:space="preserve"> | rel. Celso de Mello</w:t>
      </w:r>
    </w:p>
    <w:p>
      <w:pPr>
        <w:ind w:left="288"/>
      </w:pPr>
      <w:r>
        <w:rPr>
          <w:color w:val="1E1E1E"/>
          <w:sz w:val="18"/>
        </w:rPr>
        <w:t>A administração penitenciária, com fundamento em razões de segurança pública, de disciplina prisional ou de preservação da ordem jurídica, pode, sempre excepcionalmente, e desde que respeitada a norma inscrita no art. 41, parágrafo único, da Lei 7.210/1984, proceder à interceptação da correspondência remetida pelos sentenciados, eis que a cláusula tutelar da inviolabilidade do sigilo epistolar não pode constituir instrumento de salvaguarda de práticas ilícitas.]</w:t>
      </w:r>
    </w:p>
    <w:p>
      <w:pPr>
        <w:ind w:left="288"/>
      </w:pPr>
      <w:r>
        <w:rPr>
          <w:b/>
          <w:color w:val="003CA0"/>
          <w:sz w:val="16"/>
        </w:rPr>
        <w:t>[HC 70.814, rel. min. Celso de Mello, j. 1º-3-1994, 1ª T, DJ de 24-6-1994.]</w:t>
      </w:r>
    </w:p>
    <w:p>
      <w:pPr>
        <w:ind w:left="288"/>
      </w:pPr>
      <w:r>
        <w:rPr>
          <w:color w:val="8C8C8C"/>
          <w:sz w:val="12"/>
        </w:rPr>
        <w:t>cf-art-5-inc-X</w:t>
      </w:r>
      <w:r>
        <w:rPr>
          <w:color w:val="003CA0"/>
          <w:sz w:val="12"/>
        </w:rPr>
        <w:t xml:space="preserve"> | HC 69.818</w:t>
      </w:r>
      <w:r>
        <w:rPr>
          <w:color w:val="003CA0"/>
          <w:sz w:val="12"/>
        </w:rPr>
        <w:t xml:space="preserve"> | rel. Sepúlveda Pertence</w:t>
      </w:r>
    </w:p>
    <w:p>
      <w:pPr>
        <w:ind w:left="288"/>
      </w:pPr>
      <w:r>
        <w:rPr>
          <w:color w:val="1E1E1E"/>
          <w:sz w:val="18"/>
        </w:rPr>
        <w:t>À espécie – gravação de conversa pessoal entre indiciados presos e autoridades policiais, que os primeiros desconheceriam – não se poderia opor o princípio do sigilo das comunicações telefônicas – base dos precedentes recordados – mas, em tese, o direito ao silêncio (CF, art. 5º, LXIII), corolário do princípio nemo tenetur se detegere, o qual entretanto, não aproveita a terceiros, objeto da delação de corréus; acresce que, no caso, à luz da prova, a sentença concluiu que os indiciados estavam cientes da gravação e afastou a hipótese de coação psicológica.</w:t>
      </w:r>
    </w:p>
    <w:p>
      <w:pPr>
        <w:ind w:left="288"/>
      </w:pPr>
      <w:r>
        <w:rPr>
          <w:b/>
          <w:color w:val="003CA0"/>
          <w:sz w:val="16"/>
        </w:rPr>
        <w:t>[HC 69.818, rel. min. Sepúlveda Pertence, j. 3-11-1992, 1ª T, DJ de 27-11-1992.]</w:t>
      </w:r>
    </w:p>
    <w:p>
      <w:pPr>
        <w:ind w:left="288"/>
      </w:pPr>
      <w:r>
        <w:rPr>
          <w:color w:val="8C8C8C"/>
          <w:sz w:val="12"/>
        </w:rPr>
        <w:t>cf-art-5-inc-XIII</w:t>
      </w:r>
      <w:r>
        <w:rPr>
          <w:color w:val="003CA0"/>
          <w:sz w:val="12"/>
        </w:rPr>
        <w:t xml:space="preserve"> | ADI 6.260</w:t>
      </w:r>
      <w:r>
        <w:rPr>
          <w:color w:val="003CA0"/>
          <w:sz w:val="12"/>
        </w:rPr>
        <w:t xml:space="preserve"> | rel. Dias Toffoli</w:t>
      </w:r>
    </w:p>
    <w:p>
      <w:pPr>
        <w:ind w:left="288"/>
      </w:pPr>
      <w:r>
        <w:rPr>
          <w:color w:val="1E1E1E"/>
          <w:sz w:val="18"/>
        </w:rPr>
        <w:t>Os arts. 1º e 3º da Lei nº 9.696/98 prescrevem apenas que o profissional de educação física precisa ser registrado em conselho profissional, por se tratar de profissão regulamentada, e que ele terá determinadas competências. É certo que tais medidas são proporcionais, necessárias e instrumentais à fiscalização da atividade regulamentada, tendo em vista a segurança e o bem-estar da população em geral.</w:t>
      </w:r>
    </w:p>
    <w:p>
      <w:pPr>
        <w:ind w:left="288"/>
      </w:pPr>
      <w:r>
        <w:rPr>
          <w:b/>
          <w:color w:val="003CA0"/>
          <w:sz w:val="16"/>
        </w:rPr>
        <w:t>[ADI 6.260, rel. min. Dias Toffoli, j. 28.10.2024, P, DJE de 12.11.2024.]</w:t>
      </w:r>
    </w:p>
    <w:p>
      <w:pPr>
        <w:ind w:left="288"/>
      </w:pPr>
      <w:r>
        <w:rPr>
          <w:color w:val="8C8C8C"/>
          <w:sz w:val="12"/>
        </w:rPr>
        <w:t>cf-art-5-inc-XIII</w:t>
      </w:r>
      <w:r>
        <w:rPr>
          <w:color w:val="003CA0"/>
          <w:sz w:val="12"/>
        </w:rPr>
        <w:t xml:space="preserve"> | ADI 4.849</w:t>
      </w:r>
      <w:r>
        <w:rPr>
          <w:color w:val="003CA0"/>
          <w:sz w:val="12"/>
        </w:rPr>
        <w:t xml:space="preserve"> | rel. Luiz Fux</w:t>
      </w:r>
    </w:p>
    <w:p>
      <w:pPr>
        <w:ind w:left="288"/>
      </w:pPr>
      <w:r>
        <w:rPr>
          <w:color w:val="1E1E1E"/>
          <w:sz w:val="18"/>
        </w:rPr>
        <w:t>Limitações impostas pelo legislador ao alcance da legislação das cooperativas de trabalho. Restrição efetuada pelo legislador à luz de critérios técnicos. Respeito aos princípios atinentes ao regime jurídico das cooperativas. Observância do princípio da proporcionalidade. Inocorrência de violação ao princípio da livre iniciativa e ao livre exercício de atividade profissional.</w:t>
      </w:r>
    </w:p>
    <w:p>
      <w:pPr>
        <w:ind w:left="288"/>
      </w:pPr>
      <w:r>
        <w:rPr>
          <w:b/>
          <w:color w:val="003CA0"/>
          <w:sz w:val="16"/>
        </w:rPr>
        <w:t>[ADI 4.849, rel. min. Luiz Fux, j. 07.05.2024, P, DJE de 22.05.2024.]</w:t>
      </w:r>
    </w:p>
    <w:p>
      <w:pPr>
        <w:ind w:left="288"/>
      </w:pPr>
      <w:r>
        <w:rPr>
          <w:color w:val="8C8C8C"/>
          <w:sz w:val="12"/>
        </w:rPr>
        <w:t>cf-art-5-inc-XIII</w:t>
      </w:r>
      <w:r>
        <w:rPr>
          <w:color w:val="003CA0"/>
          <w:sz w:val="12"/>
        </w:rPr>
        <w:t xml:space="preserve"> | ADI 7.020</w:t>
      </w:r>
      <w:r>
        <w:rPr>
          <w:color w:val="003CA0"/>
          <w:sz w:val="12"/>
        </w:rPr>
        <w:t xml:space="preserve"> | rel. Edson Fachin</w:t>
      </w:r>
    </w:p>
    <w:p>
      <w:pPr>
        <w:ind w:left="288"/>
      </w:pPr>
      <w:r>
        <w:rPr>
          <w:color w:val="1E1E1E"/>
          <w:sz w:val="18"/>
        </w:rPr>
        <w:t>No julgamento do RE nº. 647885 (Tema 732 da sistemática de repercussão geral), este Supremo Tribunal Federal considerou que a suspensão de exercício profissional em virtude de não pagamento de anuidade da Ordem dos Advogados do Brasil configura sanção política. Por outro lado, a exigência do adimplemento das anuidades para votar nas eleições internas da OAB consiste em medida razoável, que não traduz restrição ao exercício profissional e de atividade econômica, mas sim em norma de organização do processo eleitoral da entidade. O estabelecimento da quitação das anuidades como critério para vota</w:t>
      </w:r>
    </w:p>
    <w:p>
      <w:pPr>
        <w:ind w:left="288"/>
      </w:pPr>
      <w:r>
        <w:rPr>
          <w:b/>
          <w:color w:val="003CA0"/>
          <w:sz w:val="16"/>
        </w:rPr>
        <w:t>[ADI 7.020, rel. min. Edson Fachin, j. 17-12-2022, P, DJE de 6-2-2023.]</w:t>
      </w:r>
    </w:p>
    <w:p>
      <w:pPr>
        <w:ind w:left="288"/>
      </w:pPr>
      <w:r>
        <w:rPr>
          <w:color w:val="8C8C8C"/>
          <w:sz w:val="12"/>
        </w:rPr>
        <w:t>cf-art-5-inc-XIII</w:t>
      </w:r>
      <w:r>
        <w:rPr>
          <w:color w:val="003CA0"/>
          <w:sz w:val="12"/>
        </w:rPr>
        <w:t xml:space="preserve"> | ADC 66</w:t>
      </w:r>
      <w:r>
        <w:rPr>
          <w:color w:val="003CA0"/>
          <w:sz w:val="12"/>
        </w:rPr>
        <w:t xml:space="preserve"> | rel. Cármen Lúcia</w:t>
      </w:r>
    </w:p>
    <w:p>
      <w:pPr>
        <w:ind w:left="288"/>
      </w:pPr>
      <w:r>
        <w:rPr>
          <w:color w:val="1E1E1E"/>
          <w:sz w:val="18"/>
        </w:rPr>
        <w:t>A norma do art. 129 da Lei 11.196/2005 harmoniza-se com as diretrizes constitucionais, especialmente com o inc. IV do art. 1º da Constituição da República, pelo qual estabeleceu a liberdade de iniciativa situando-a como fundamento da República Federativa do Brasil. Dessa liberdade econômica emanam a garantia de livre exercício de qualquer trabalho, ofício ou profissão e o livre exercício de qualquer atividade econômica, consagrados respectivamente no inc. XIII do art. 5º e no parágrafo único do art. 170 da Constituição da República.</w:t>
      </w:r>
    </w:p>
    <w:p>
      <w:pPr>
        <w:ind w:left="288"/>
      </w:pPr>
      <w:r>
        <w:rPr>
          <w:b/>
          <w:color w:val="003CA0"/>
          <w:sz w:val="16"/>
        </w:rPr>
        <w:t>[ADC 66, rel. min. Cármen Lúcia, j. 21-12-2020, P, DJE de 19-3-2021.]</w:t>
      </w:r>
    </w:p>
    <w:p>
      <w:pPr>
        <w:ind w:left="288"/>
      </w:pPr>
      <w:r>
        <w:rPr>
          <w:color w:val="8C8C8C"/>
          <w:sz w:val="12"/>
        </w:rPr>
        <w:t>cf-art-5-inc-XIII</w:t>
      </w:r>
      <w:r>
        <w:rPr>
          <w:color w:val="003CA0"/>
          <w:sz w:val="12"/>
        </w:rPr>
        <w:t xml:space="preserve"> | ADPF 419</w:t>
      </w:r>
      <w:r>
        <w:rPr>
          <w:color w:val="003CA0"/>
          <w:sz w:val="12"/>
        </w:rPr>
        <w:t xml:space="preserve"> | rel. Edson Fachin</w:t>
      </w:r>
    </w:p>
    <w:p>
      <w:pPr>
        <w:ind w:left="288"/>
      </w:pPr>
      <w:r>
        <w:rPr>
          <w:color w:val="1E1E1E"/>
          <w:sz w:val="18"/>
        </w:rPr>
        <w:t>É legítima restrição legislativa ao exercício profissional quando indispensável à viabilização da proteção de bens jurídicos de interesse público igualmente resguardados pela própria Constituição, de que são exemplos a segurança, a saúde, a ordem pública, a incolumidade individual e patrimonial. Para tanto, requer-se que a disciplina legislativa tendente a condicionar o exercício profissional atenda aos critérios de adequação e de razoabilidade e seja justificada por razão de interesse público e sustentada em parâmetros técnicos idôneos à mitigação de riscos sociais próprios do exercício da pr</w:t>
      </w:r>
    </w:p>
    <w:p>
      <w:pPr>
        <w:ind w:left="288"/>
      </w:pPr>
      <w:r>
        <w:rPr>
          <w:b/>
          <w:color w:val="003CA0"/>
          <w:sz w:val="16"/>
        </w:rPr>
        <w:t>[ADPF 419, rel. min. Edson Fachin, j. 15-12-2020, P, DJE de 8-2-2021.]</w:t>
      </w:r>
    </w:p>
    <w:p>
      <w:pPr>
        <w:ind w:left="288"/>
      </w:pPr>
      <w:r>
        <w:rPr>
          <w:color w:val="8C8C8C"/>
          <w:sz w:val="12"/>
        </w:rPr>
        <w:t>cf-art-5-inc-XIII</w:t>
      </w:r>
      <w:r>
        <w:rPr>
          <w:color w:val="003CA0"/>
          <w:sz w:val="12"/>
        </w:rPr>
        <w:t xml:space="preserve"> | ADI 3.880</w:t>
      </w:r>
      <w:r>
        <w:rPr>
          <w:color w:val="003CA0"/>
          <w:sz w:val="12"/>
        </w:rPr>
        <w:t xml:space="preserve"> | rel. Edson Fachin</w:t>
      </w:r>
    </w:p>
    <w:p>
      <w:pPr>
        <w:ind w:left="288"/>
      </w:pPr>
      <w:r>
        <w:rPr>
          <w:color w:val="1E1E1E"/>
          <w:sz w:val="18"/>
        </w:rPr>
        <w:t>Lei Federal 11.419/2006. Informatização do processo judicial. (...) O art. 5º, XIII, da Constituição da República não restringe a disciplina legal das qualificações profissionais da advocacia ao Estatuto da OAB, de forma que pode outra lei precisar novo requisito para o exercício da atividade. As normas impugnadas, ao disciplinarem regras quanto ao cadastramento e à obtenção de senha para acesso ao sistema interno de tribunais, não têm por fim fiscalizar a prática da advocacia, mas viabilizar a organização dos órgãos judiciários e o adequado funcionamento de seus trabalhos, motivo pelo qual se</w:t>
      </w:r>
    </w:p>
    <w:p>
      <w:pPr>
        <w:ind w:left="288"/>
      </w:pPr>
      <w:r>
        <w:rPr>
          <w:b/>
          <w:color w:val="003CA0"/>
          <w:sz w:val="16"/>
        </w:rPr>
        <w:t>[ADI 3.880, rel. min. Edson Fachin, j. 21-2-2020, P, DJE de 8-7-2020.]</w:t>
      </w:r>
    </w:p>
    <w:p>
      <w:pPr>
        <w:ind w:left="288"/>
      </w:pPr>
      <w:r>
        <w:rPr>
          <w:color w:val="8C8C8C"/>
          <w:sz w:val="12"/>
        </w:rPr>
        <w:t>cf-art-5-inc-XIII</w:t>
      </w:r>
      <w:r>
        <w:rPr>
          <w:color w:val="003CA0"/>
          <w:sz w:val="12"/>
        </w:rPr>
        <w:t xml:space="preserve"> | ADPF 183</w:t>
      </w:r>
      <w:r>
        <w:rPr>
          <w:color w:val="003CA0"/>
          <w:sz w:val="12"/>
        </w:rPr>
        <w:t xml:space="preserve"> | rel. Alexandre de Moraes</w:t>
      </w:r>
    </w:p>
    <w:p>
      <w:pPr>
        <w:ind w:left="288"/>
      </w:pPr>
      <w:r>
        <w:rPr>
          <w:color w:val="1E1E1E"/>
          <w:sz w:val="18"/>
        </w:rPr>
        <w:t>As limitações ao livre exercício das profissões serão legítimas apenas quando o inadequado exercício de determinada atividade possa vir a causar danos a terceiros e desde que obedeçam a critérios de adequação e razoabilidade, o que não ocorre em relação ao exercício da profissão de músico, ausente qualquer interesse público na sua restrição. A existência de um conselho profissional com competências para selecionar, disciplinar e fiscalizar o exercício da profissão de músico (art. 1º), para proceder a registros profissionais obrigatórios, para expedir carteiras profissionais obrigatórias (arts.</w:t>
      </w:r>
    </w:p>
    <w:p>
      <w:pPr>
        <w:ind w:left="288"/>
      </w:pPr>
      <w:r>
        <w:rPr>
          <w:b/>
          <w:color w:val="003CA0"/>
          <w:sz w:val="16"/>
        </w:rPr>
        <w:t>[ADPF 183, rel. min. Alexandre de Moraes, j. 27-9-2019, P, DJE de 18-11-2019.]</w:t>
      </w:r>
    </w:p>
    <w:p>
      <w:pPr>
        <w:ind w:left="288"/>
      </w:pPr>
      <w:r>
        <w:rPr>
          <w:color w:val="8C8C8C"/>
          <w:sz w:val="12"/>
        </w:rPr>
        <w:t>cf-art-5-inc-XIII</w:t>
      </w:r>
      <w:r>
        <w:rPr>
          <w:color w:val="003CA0"/>
          <w:sz w:val="12"/>
        </w:rPr>
        <w:t xml:space="preserve"> | ADPF 449</w:t>
      </w:r>
      <w:r>
        <w:rPr>
          <w:color w:val="003CA0"/>
          <w:sz w:val="12"/>
        </w:rPr>
        <w:t xml:space="preserve"> | rel. Luiz Fux</w:t>
      </w:r>
    </w:p>
    <w:p>
      <w:pPr>
        <w:ind w:left="288"/>
      </w:pPr>
      <w:r>
        <w:rPr>
          <w:color w:val="1E1E1E"/>
          <w:sz w:val="18"/>
        </w:rPr>
        <w:t>O motorista particular, em sua atividade laboral, é protegido pela liberdade fundamental insculpida no art. 5º, XIII, da Carta Magna, submetendo-se apenas à regulação proporcionalmente definida em lei federal, pelo que o art. 3º, VIII, da Lei Federal 12.965/2014 (Marco Civil da Internet) e a Lei Federal 12.587/2012, alterada pela Lei 13.640 de 26 de março de 2018, garantem a operação de serviços remunerados de transporte de passageiros por aplicativos. A liberdade de iniciativa garantida pelos artigos 1º, IV, e 170 da Constituição brasileira consubstancia cláusula de proteção destacada no orde</w:t>
      </w:r>
    </w:p>
    <w:p>
      <w:pPr>
        <w:ind w:left="288"/>
      </w:pPr>
      <w:r>
        <w:rPr>
          <w:b/>
          <w:color w:val="003CA0"/>
          <w:sz w:val="16"/>
        </w:rPr>
        <w:t>[ADPF 449, rel. min. Luiz Fux, j. 8-5-2019, P, DJE de 2-9-2019.]</w:t>
      </w:r>
    </w:p>
    <w:p>
      <w:pPr>
        <w:ind w:left="288"/>
      </w:pPr>
      <w:r>
        <w:rPr>
          <w:color w:val="8C8C8C"/>
          <w:sz w:val="12"/>
        </w:rPr>
        <w:t>cf-art-5-inc-XIII</w:t>
      </w:r>
      <w:r>
        <w:rPr>
          <w:color w:val="003CA0"/>
          <w:sz w:val="12"/>
        </w:rPr>
        <w:t xml:space="preserve"> | ADI 5.035</w:t>
      </w:r>
    </w:p>
    <w:p>
      <w:pPr>
        <w:ind w:left="288"/>
      </w:pPr>
      <w:r>
        <w:rPr>
          <w:color w:val="1E1E1E"/>
          <w:sz w:val="18"/>
        </w:rPr>
        <w:t>Programa Mais Médicos. Conversão da Medida Provisória 621/2013 na Lei 12.871/13. Relevância e urgência configuradas pela carência de profissonais médicos em diversas regiões do país. Parceria acadêmica que atende ao binômio ensino-serviço. (...) A grave carência de assistência médica em várias regiões do país admite a excepcionalidade legal de exigência de revalidação do diploma estrangeiro por ato normativo de mesma hierarquia daquele que a instituiu. A norma vincula a prestação de serviços por médicos estrangeiros ou brasileiros diplomados no exterior à supervisão por médicos brasileiros, no</w:t>
      </w:r>
    </w:p>
    <w:p>
      <w:pPr>
        <w:ind w:left="288"/>
      </w:pPr>
      <w:r>
        <w:rPr>
          <w:b/>
          <w:color w:val="003CA0"/>
          <w:sz w:val="16"/>
        </w:rPr>
        <w:t>[ADI 5.035, red. do ac. min. Alexandre de Moraes, j. 30-11-2017, P, DJE de 29-7-2020.]</w:t>
      </w:r>
    </w:p>
    <w:p>
      <w:pPr>
        <w:ind w:left="288"/>
      </w:pPr>
      <w:r>
        <w:rPr>
          <w:color w:val="8C8C8C"/>
          <w:sz w:val="12"/>
        </w:rPr>
        <w:t>cf-art-5-inc-XIII</w:t>
      </w:r>
      <w:r>
        <w:rPr>
          <w:color w:val="003CA0"/>
          <w:sz w:val="12"/>
        </w:rPr>
        <w:t xml:space="preserve"> | ADI 803</w:t>
      </w:r>
      <w:r>
        <w:rPr>
          <w:color w:val="003CA0"/>
          <w:sz w:val="12"/>
        </w:rPr>
        <w:t xml:space="preserve"> | rel. Gilmar Mendes</w:t>
      </w:r>
    </w:p>
    <w:p>
      <w:pPr>
        <w:ind w:left="288"/>
      </w:pPr>
      <w:r>
        <w:rPr>
          <w:color w:val="1E1E1E"/>
          <w:sz w:val="18"/>
        </w:rPr>
        <w:t>Lei 8.234, de 17 de setembro de 1991. Expressão "privativas" contida no caput do art. 3º. Profissão de nutricionista. Constitucionalidade. Atividades eminentemente técnicas que não se confundem com as desempenhadas por profissionais de nível médio. Ressalva quanto a outras categorias, tais como nutrólogos, bioquímicos e gastroenterologistas. Inexistência de restrição ao exercício de trabalho, ofício ou profissão em desconformidade com a Constituição.</w:t>
      </w:r>
    </w:p>
    <w:p>
      <w:pPr>
        <w:ind w:left="288"/>
      </w:pPr>
      <w:r>
        <w:rPr>
          <w:b/>
          <w:color w:val="003CA0"/>
          <w:sz w:val="16"/>
        </w:rPr>
        <w:t>[ADI 803, rel. min. Gilmar Mendes, j. 28-9-2017, P, DJE de 23-11-2017.]</w:t>
      </w:r>
    </w:p>
    <w:p>
      <w:pPr>
        <w:ind w:left="288"/>
      </w:pPr>
      <w:r>
        <w:rPr>
          <w:color w:val="8C8C8C"/>
          <w:sz w:val="12"/>
        </w:rPr>
        <w:t>cf-art-5-inc-XIII</w:t>
      </w:r>
      <w:r>
        <w:rPr>
          <w:color w:val="003CA0"/>
          <w:sz w:val="12"/>
        </w:rPr>
        <w:t xml:space="preserve"> | ADI 3.541</w:t>
      </w:r>
      <w:r>
        <w:rPr>
          <w:color w:val="003CA0"/>
          <w:sz w:val="12"/>
        </w:rPr>
        <w:t xml:space="preserve"> | rel. Dias Toffoli</w:t>
      </w:r>
    </w:p>
    <w:p>
      <w:pPr>
        <w:ind w:left="288"/>
      </w:pPr>
      <w:r>
        <w:rPr>
          <w:color w:val="1E1E1E"/>
          <w:sz w:val="18"/>
        </w:rPr>
        <w:t>A vedação do exercício da atividade de advocacia por aqueles que desempenham, direta ou indiretamente, serviço de caráter policial, prevista no art. 28, V, da Lei 8.906/1994, não se presta para fazer qualquer distinção qualificativa entre a atividade policial e a advocacia. Cada qual presta serviços imensamente relevantes no âmbito social, havendo, inclusive, previsão expressa na Carta Magna a respeito dessas atividades. O que pretendeu o legislador foi estabelecer cláusula de incompatibilidade de exercício simultâneo das referidas atividades, por entendê-lo prejudicial ao cumprimento das resp</w:t>
      </w:r>
    </w:p>
    <w:p>
      <w:pPr>
        <w:ind w:left="288"/>
      </w:pPr>
      <w:r>
        <w:rPr>
          <w:b/>
          <w:color w:val="003CA0"/>
          <w:sz w:val="16"/>
        </w:rPr>
        <w:t>[ADI 3.541, rel. min. Dias Toffoli, j. 12-2-2014, P, DJE de 24-3-2014.]</w:t>
      </w:r>
    </w:p>
    <w:p>
      <w:pPr>
        <w:ind w:left="288"/>
      </w:pPr>
      <w:r>
        <w:rPr>
          <w:color w:val="8C8C8C"/>
          <w:sz w:val="12"/>
        </w:rPr>
        <w:t>cf-art-5-inc-XIII</w:t>
      </w:r>
      <w:r>
        <w:rPr>
          <w:color w:val="003CA0"/>
          <w:sz w:val="12"/>
        </w:rPr>
        <w:t xml:space="preserve"> | RE 199.088</w:t>
      </w:r>
      <w:r>
        <w:rPr>
          <w:color w:val="003CA0"/>
          <w:sz w:val="12"/>
        </w:rPr>
        <w:t xml:space="preserve"> | rel. Carlos Velloso</w:t>
      </w:r>
    </w:p>
    <w:p>
      <w:pPr>
        <w:ind w:left="288"/>
      </w:pPr>
      <w:r>
        <w:rPr>
          <w:color w:val="1E1E1E"/>
          <w:sz w:val="18"/>
        </w:rPr>
        <w:t>Vide RE 199.088, rel. min. Carlos Velloso, j. 1º-10-1996, 2ª T, DJ de 16-4-1999 Ao garantir o livre exercício de qualquer trabalho, ofício ou profissão, o art. 5º, XIII, da CF, não o faz de forma absoluta, pelo que a observância dos recolhimentos tributários no desempenho dessas atividades impõe-se legal e legitimamente. A hipótese de retenção temporária de mercadorias prevista no art. 163, § 7º, da Constituição de São Paulo é providência para a fiscalização do cumprimento da legislação tributária nesse território e consubstancia exercício do poder de polícia da administração pública fazendári</w:t>
      </w:r>
    </w:p>
    <w:p>
      <w:pPr>
        <w:ind w:left="288"/>
      </w:pPr>
      <w:r>
        <w:rPr>
          <w:b/>
          <w:color w:val="003CA0"/>
          <w:sz w:val="16"/>
        </w:rPr>
        <w:t>[ADI 395, rel. min. Cármen Lúcia, j. 17-5-2007, P, DJ de 17-8-2007.]</w:t>
      </w:r>
    </w:p>
    <w:p>
      <w:pPr>
        <w:ind w:left="288"/>
      </w:pPr>
      <w:r>
        <w:rPr>
          <w:color w:val="8C8C8C"/>
          <w:sz w:val="12"/>
        </w:rPr>
        <w:t>cf-art-5-inc-XIII</w:t>
      </w:r>
      <w:r>
        <w:rPr>
          <w:color w:val="003CA0"/>
          <w:sz w:val="12"/>
        </w:rPr>
        <w:t xml:space="preserve"> | ADI 1.717</w:t>
      </w:r>
      <w:r>
        <w:rPr>
          <w:color w:val="003CA0"/>
          <w:sz w:val="12"/>
        </w:rPr>
        <w:t xml:space="preserve"> | rel. Sydney Sanches</w:t>
      </w:r>
    </w:p>
    <w:p>
      <w:pPr>
        <w:ind w:left="288"/>
      </w:pPr>
      <w:r>
        <w:rPr>
          <w:color w:val="1E1E1E"/>
          <w:sz w:val="18"/>
        </w:rPr>
        <w:t>Ação direta de inconstitucionalidade do art. 58 e seus parágrafos da Lei federal 9.649, de 27-5-1998, que tratam dos serviços de fiscalização de profissões regulamentadas. (...) a ação direta é julgada procedente (...) declarando-se a inconstitucionalidade do caput e dos §§ 1º, 2º, 4º, 5º, 6º, 7º e 8º do mesmo art. 58. Isso porque a interpretação conjugada dos arts. 5º, XIII; 22, XVI; 21, XXIV; 70, parágrafo único; 149; e 175 da CF leva à conclusão, no sentido da indelegabilidade, a uma entidade privada, de atividade típica de Estado, que abrange até poder de polícia, de tributar e de punir, n</w:t>
      </w:r>
    </w:p>
    <w:p>
      <w:pPr>
        <w:ind w:left="288"/>
      </w:pPr>
      <w:r>
        <w:rPr>
          <w:b/>
          <w:color w:val="003CA0"/>
          <w:sz w:val="16"/>
        </w:rPr>
        <w:t>[ADI 1.717, rel. min. Sydney Sanches, j. 7-11-2002, P, DJ de 28-3-2003.]</w:t>
      </w:r>
    </w:p>
    <w:p>
      <w:pPr>
        <w:ind w:left="288"/>
      </w:pPr>
      <w:r>
        <w:rPr>
          <w:color w:val="8C8C8C"/>
          <w:sz w:val="12"/>
        </w:rPr>
        <w:t>cf-art-5-inc-XIII</w:t>
      </w:r>
      <w:r>
        <w:rPr>
          <w:color w:val="003CA0"/>
          <w:sz w:val="12"/>
        </w:rPr>
        <w:t xml:space="preserve"> | RE 539.224</w:t>
      </w:r>
      <w:r>
        <w:rPr>
          <w:color w:val="003CA0"/>
          <w:sz w:val="12"/>
        </w:rPr>
        <w:t xml:space="preserve"> | rel. Luiz Fux</w:t>
      </w:r>
    </w:p>
    <w:p>
      <w:pPr>
        <w:ind w:left="288"/>
      </w:pPr>
      <w:r>
        <w:rPr>
          <w:color w:val="1E1E1E"/>
          <w:sz w:val="18"/>
        </w:rPr>
        <w:t>= RE 539.224, rel. min. Luiz Fux, j. 22-5-2012, 1ª T, DJE de 18-6-2012 = RE 611.947 AgR, rel. min. Ricardo Lewandowski, j. 4-10-2011, 2ª T, DJE de 19-10-2011 Resolução (...) do Conselho Monetário Nacional. Regulação das auditorias independentes nas instituições do sistema financeiro. (...) Ato normativo que, ao regular forma de controle do Banco Central do Brasil sobre as entidades do sistema financeiro, não veda o exercício de profissão nem impede o desenvolvimento de atividade econômica; não havendo falar, igualmente, em contrariedade ao mencionado princípio constitucional.</w:t>
      </w:r>
    </w:p>
    <w:p>
      <w:pPr>
        <w:ind w:left="288"/>
      </w:pPr>
      <w:r>
        <w:rPr>
          <w:b/>
          <w:color w:val="003CA0"/>
          <w:sz w:val="16"/>
        </w:rPr>
        <w:t>[ADI 2.317 MC, rel. min. Ilmar Galvão, j. 19-12-2000, P, DJ de 23-3-2001.]</w:t>
      </w:r>
    </w:p>
    <w:p>
      <w:pPr>
        <w:ind w:left="288"/>
      </w:pPr>
      <w:r>
        <w:rPr>
          <w:color w:val="8C8C8C"/>
          <w:sz w:val="12"/>
        </w:rPr>
        <w:t>cf-art-5-inc-XIII</w:t>
      </w:r>
      <w:r>
        <w:rPr>
          <w:color w:val="003CA0"/>
          <w:sz w:val="12"/>
        </w:rPr>
        <w:t xml:space="preserve"> | ADI 1.723</w:t>
      </w:r>
      <w:r>
        <w:rPr>
          <w:color w:val="003CA0"/>
          <w:sz w:val="12"/>
        </w:rPr>
        <w:t xml:space="preserve"> | rel. Carlos Velloso</w:t>
      </w:r>
    </w:p>
    <w:p>
      <w:pPr>
        <w:ind w:left="288"/>
      </w:pPr>
      <w:r>
        <w:rPr>
          <w:color w:val="1E1E1E"/>
          <w:sz w:val="18"/>
        </w:rPr>
        <w:t>(...) se a licitação tem por finalidade a escolha de concessionárias dos serviços públicos de inspeção de segurança de frota de veículos do Estado, parece-me adequada a exclusão da licitação de empresas do ramo automobilístico e das transportadoras, dado que essas comumente são proprietárias de muitos veículos. A elas seria possível vistoriar seus próprios veículos e os veículos de empresas transportadoras concorrentes? Com tal providência, não me parece ocorrer ofensa ao princípio da igualdade, mesmo porque está-se tratando desiguais desigualmente (CF, art. 5º, caput), e é exatamente assim qu</w:t>
      </w:r>
    </w:p>
    <w:p>
      <w:pPr>
        <w:ind w:left="288"/>
      </w:pPr>
      <w:r>
        <w:rPr>
          <w:b/>
          <w:color w:val="003CA0"/>
          <w:sz w:val="16"/>
        </w:rPr>
        <w:t>[ADI 1.723 MC, rel. min. Carlos Velloso, j. 16-4-1998, P, DJ de 19-12-2001.]</w:t>
      </w:r>
    </w:p>
    <w:p>
      <w:pPr>
        <w:ind w:left="288"/>
      </w:pPr>
      <w:r>
        <w:rPr>
          <w:color w:val="8C8C8C"/>
          <w:sz w:val="12"/>
        </w:rPr>
        <w:t>cf-art-5-inc-XIII</w:t>
      </w:r>
      <w:r>
        <w:rPr>
          <w:color w:val="003CA0"/>
          <w:sz w:val="12"/>
        </w:rPr>
        <w:t xml:space="preserve"> | RE 1.530.083</w:t>
      </w:r>
      <w:r>
        <w:rPr>
          <w:color w:val="003CA0"/>
          <w:sz w:val="12"/>
        </w:rPr>
        <w:t xml:space="preserve"> | rel. Luiz Fux</w:t>
      </w:r>
    </w:p>
    <w:p>
      <w:pPr>
        <w:ind w:left="288"/>
      </w:pPr>
      <w:r>
        <w:rPr>
          <w:color w:val="1E1E1E"/>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w:t>
      </w:r>
    </w:p>
    <w:p>
      <w:pPr>
        <w:ind w:left="288"/>
      </w:pPr>
      <w:r>
        <w:rPr>
          <w:b/>
          <w:color w:val="003CA0"/>
          <w:sz w:val="16"/>
        </w:rPr>
        <w:t>[RE 1.530.083, rel. min. Luiz Fux, j. 27.08.2025, P, DJE de 29.10.2025, Tema 1.388, com mérito julgado.]</w:t>
      </w:r>
    </w:p>
    <w:p>
      <w:pPr>
        <w:ind w:left="288"/>
      </w:pPr>
      <w:r>
        <w:rPr>
          <w:color w:val="8C8C8C"/>
          <w:sz w:val="12"/>
        </w:rPr>
        <w:t>cf-art-5-inc-XIII</w:t>
      </w:r>
      <w:r>
        <w:rPr>
          <w:color w:val="003CA0"/>
          <w:sz w:val="12"/>
        </w:rPr>
        <w:t xml:space="preserve"> | RE 680.871</w:t>
      </w:r>
      <w:r>
        <w:rPr>
          <w:color w:val="003CA0"/>
          <w:sz w:val="12"/>
        </w:rPr>
        <w:t xml:space="preserve"> | rel. Dias Toffoli</w:t>
      </w:r>
    </w:p>
    <w:p>
      <w:pPr>
        <w:ind w:left="288"/>
      </w:pPr>
      <w:r>
        <w:rPr>
          <w:color w:val="1E1E1E"/>
          <w:sz w:val="18"/>
        </w:rPr>
        <w:t>“Não possui repercussão geral a discussão sobre o desligamento voluntário do serviço militar, antes do cumprimento de lapso temporal legalmente previsto, de praça das Forças Armadas que ingressa na carreira por meio de concurso público”.</w:t>
      </w:r>
    </w:p>
    <w:p>
      <w:pPr>
        <w:ind w:left="288"/>
      </w:pPr>
      <w:r>
        <w:rPr>
          <w:b/>
          <w:color w:val="003CA0"/>
          <w:sz w:val="16"/>
        </w:rPr>
        <w:t>[RE 680.871, rel. min. Dias Toffoli, j. 07.05.2024, P, DJE de 09.08.2024, Tema 574, com repercussão geral negada.]</w:t>
      </w:r>
    </w:p>
    <w:p>
      <w:pPr>
        <w:ind w:left="288"/>
      </w:pPr>
      <w:r>
        <w:rPr>
          <w:color w:val="8C8C8C"/>
          <w:sz w:val="12"/>
        </w:rPr>
        <w:t>cf-art-5-inc-XIII</w:t>
      </w:r>
      <w:r>
        <w:rPr>
          <w:color w:val="003CA0"/>
          <w:sz w:val="12"/>
        </w:rPr>
        <w:t xml:space="preserve"> | RE 1.263.641</w:t>
      </w:r>
    </w:p>
    <w:p>
      <w:pPr>
        <w:ind w:left="288"/>
      </w:pPr>
      <w:r>
        <w:rPr>
          <w:color w:val="1E1E1E"/>
          <w:sz w:val="18"/>
        </w:rPr>
        <w:t>A cláusula da liberdade de profissão (art. 5º, XIII, da CF) assegura a brasileiros e a estrangeiros residentes no país o direito constitucional a exercer qualquer trabalho, ofício ou profissão, atendidas as qualificações profissionais que a lei estabelecer. (...) O Decreto 21.981/1932 dispõe, em seus artigos 6º, 7º e 8º, que “o leiloeiro, depois de habilitado devidamente perante as Juntas Comerciais fica obrigado, mediante despacho das mesmas Juntas, a prestar fiança, em dinheiro ou em apólices da Dívida Pública federal (…)”; “a fiança responde pelas dívidas ou responsabilidades do leiloeiro”;</w:t>
      </w:r>
    </w:p>
    <w:p>
      <w:pPr>
        <w:ind w:left="288"/>
      </w:pPr>
      <w:r>
        <w:rPr>
          <w:b/>
          <w:color w:val="003CA0"/>
          <w:sz w:val="16"/>
        </w:rPr>
        <w:t>[RE 1.263.641, red. do ac. min.. Alexandre de Moraes, j. 13-10-2020, P, DJE de 28-10-2020. Tema 445, com mérito julgado.]</w:t>
      </w:r>
    </w:p>
    <w:p>
      <w:pPr>
        <w:ind w:left="288"/>
      </w:pPr>
      <w:r>
        <w:rPr>
          <w:color w:val="8C8C8C"/>
          <w:sz w:val="12"/>
        </w:rPr>
        <w:t>cf-art-5-inc-XIII</w:t>
      </w:r>
      <w:r>
        <w:rPr>
          <w:color w:val="003CA0"/>
          <w:sz w:val="12"/>
        </w:rPr>
        <w:t xml:space="preserve"> | RE 902.261</w:t>
      </w:r>
      <w:r>
        <w:rPr>
          <w:color w:val="003CA0"/>
          <w:sz w:val="12"/>
        </w:rPr>
        <w:t xml:space="preserve"> | rel. Marco Aurélio</w:t>
      </w:r>
    </w:p>
    <w:p>
      <w:pPr>
        <w:ind w:left="288"/>
      </w:pPr>
      <w:r>
        <w:rPr>
          <w:color w:val="1E1E1E"/>
          <w:sz w:val="18"/>
        </w:rPr>
        <w:t>‘Os artigos 23 e 27 da Instrução 308/1999, da Comissão de Valores Mobiliários, ao estabelecerem restrições razoáveis, proporcionais e adequadas ao exercício da atividade de auditoria independente, prestada às companhias sujeitas à sua fiscalização, são constitucionais, à luz dos arts. 5º, incs. II e XIII, 84, incs. II e VI, 87, parágrafo único e inc. II, 88, 170 e 174 da Constituição Federal de 1988 ‘.</w:t>
      </w:r>
    </w:p>
    <w:p>
      <w:pPr>
        <w:ind w:left="288"/>
      </w:pPr>
      <w:r>
        <w:rPr>
          <w:b/>
          <w:color w:val="003CA0"/>
          <w:sz w:val="16"/>
        </w:rPr>
        <w:t>[RE 902.261, rel. min. Marco Aurélio, j. 22-9-2020, P, DJE de 9-10-2020. Tema 969, com mérito julgado.]</w:t>
      </w:r>
    </w:p>
    <w:p>
      <w:pPr>
        <w:ind w:left="288"/>
      </w:pPr>
      <w:r>
        <w:rPr>
          <w:color w:val="8C8C8C"/>
          <w:sz w:val="12"/>
        </w:rPr>
        <w:t>cf-art-5-inc-XIII</w:t>
      </w:r>
      <w:r>
        <w:rPr>
          <w:color w:val="003CA0"/>
          <w:sz w:val="12"/>
        </w:rPr>
        <w:t xml:space="preserve"> | RE 1.156.197</w:t>
      </w:r>
      <w:r>
        <w:rPr>
          <w:color w:val="003CA0"/>
          <w:sz w:val="12"/>
        </w:rPr>
        <w:t xml:space="preserve"> | rel. Marco Aurélio</w:t>
      </w:r>
    </w:p>
    <w:p>
      <w:pPr>
        <w:ind w:left="288"/>
      </w:pPr>
      <w:r>
        <w:rPr>
          <w:color w:val="1E1E1E"/>
          <w:sz w:val="18"/>
        </w:rPr>
        <w:t>Surgem constitucionais os artigos 5º e 6º, inciso I, da Lei 13.021/2014, no que previsto ser do farmacêutico a responsabilidade técnica por drogaria (...).</w:t>
      </w:r>
    </w:p>
    <w:p>
      <w:pPr>
        <w:ind w:left="288"/>
      </w:pPr>
      <w:r>
        <w:rPr>
          <w:b/>
          <w:color w:val="003CA0"/>
          <w:sz w:val="16"/>
        </w:rPr>
        <w:t>[RE 1.156.197, rel. min. Marco Aurélio, j. 24-8-2020, P, DJE de 17-9-2020. Tema 1.049, com mérito julgado.]</w:t>
      </w:r>
    </w:p>
    <w:p>
      <w:pPr>
        <w:ind w:left="288"/>
      </w:pPr>
      <w:r>
        <w:rPr>
          <w:color w:val="8C8C8C"/>
          <w:sz w:val="12"/>
        </w:rPr>
        <w:t>cf-art-5-inc-XIII</w:t>
      </w:r>
      <w:r>
        <w:rPr>
          <w:color w:val="003CA0"/>
          <w:sz w:val="12"/>
        </w:rPr>
        <w:t xml:space="preserve"> | RE 647.885</w:t>
      </w:r>
      <w:r>
        <w:rPr>
          <w:color w:val="003CA0"/>
          <w:sz w:val="12"/>
        </w:rPr>
        <w:t xml:space="preserve"> | rel. Edson Fachin</w:t>
      </w:r>
    </w:p>
    <w:p>
      <w:pPr>
        <w:ind w:left="288"/>
      </w:pPr>
      <w:r>
        <w:rPr>
          <w:color w:val="1E1E1E"/>
          <w:sz w:val="18"/>
        </w:rPr>
        <w:t>É inconstitucional a suspensão realizada por conselho de fiscalização profissional do exercício laboral de seus inscritos por inadimplência de anuidades, pois a medida consiste em sanção política em matéria tributária.</w:t>
      </w:r>
    </w:p>
    <w:p>
      <w:pPr>
        <w:ind w:left="288"/>
      </w:pPr>
      <w:r>
        <w:rPr>
          <w:b/>
          <w:color w:val="003CA0"/>
          <w:sz w:val="16"/>
        </w:rPr>
        <w:t>[RE 647.885, rel. min. Edson Fachin, j. 27-4-2020, P, DJE de 19-5-2020, Tema 732, com mérito julgado.]</w:t>
      </w:r>
    </w:p>
    <w:p>
      <w:pPr>
        <w:ind w:left="288"/>
      </w:pPr>
      <w:r>
        <w:rPr>
          <w:color w:val="8C8C8C"/>
          <w:sz w:val="12"/>
        </w:rPr>
        <w:t>cf-art-5-inc-XIII</w:t>
      </w:r>
      <w:r>
        <w:rPr>
          <w:color w:val="003CA0"/>
          <w:sz w:val="12"/>
        </w:rPr>
        <w:t xml:space="preserve"> | RE 607.107</w:t>
      </w:r>
      <w:r>
        <w:rPr>
          <w:color w:val="003CA0"/>
          <w:sz w:val="12"/>
        </w:rPr>
        <w:t xml:space="preserve"> | rel. Roberto Barroso</w:t>
      </w:r>
    </w:p>
    <w:p>
      <w:pPr>
        <w:ind w:left="288"/>
      </w:pPr>
      <w:r>
        <w:rPr>
          <w:color w:val="1E1E1E"/>
          <w:sz w:val="18"/>
        </w:rPr>
        <w:t>É constitucional a imposição da pena de suspensão de habilitação para dirigir veículo automotor ao motorista profissional condenado por homicídio culposo no trânsito.</w:t>
      </w:r>
    </w:p>
    <w:p>
      <w:pPr>
        <w:ind w:left="288"/>
      </w:pPr>
      <w:r>
        <w:rPr>
          <w:b/>
          <w:color w:val="003CA0"/>
          <w:sz w:val="16"/>
        </w:rPr>
        <w:t>[RE 607.107, rel. min. Roberto Barroso, j. 12-2-2020, P, DJE de 14-4-2020. Tema 486, com mérito julgado.]</w:t>
      </w:r>
    </w:p>
    <w:p>
      <w:pPr>
        <w:ind w:left="288"/>
      </w:pPr>
      <w:r>
        <w:rPr>
          <w:color w:val="8C8C8C"/>
          <w:sz w:val="12"/>
        </w:rPr>
        <w:t>cf-art-5-inc-XIII</w:t>
      </w:r>
      <w:r>
        <w:rPr>
          <w:color w:val="003CA0"/>
          <w:sz w:val="12"/>
        </w:rPr>
        <w:t xml:space="preserve"> | RE 808.424</w:t>
      </w:r>
      <w:r>
        <w:rPr>
          <w:color w:val="003CA0"/>
          <w:sz w:val="12"/>
        </w:rPr>
        <w:t xml:space="preserve"> | rel. Marco Aurélio</w:t>
      </w:r>
    </w:p>
    <w:p>
      <w:pPr>
        <w:ind w:left="288"/>
      </w:pPr>
      <w:r>
        <w:rPr>
          <w:color w:val="1E1E1E"/>
          <w:sz w:val="18"/>
        </w:rPr>
        <w:t>É inconstitucional, sob o ângulo da liberdade fundamental do exercício da profissão e do devido processo legal, preceito normativo a versar previsão de cancelamento automático do registro em conselho profissional, ante a inadimplência da anuidade, ausente prévia oitiva do associado.</w:t>
      </w:r>
    </w:p>
    <w:p>
      <w:pPr>
        <w:ind w:left="288"/>
      </w:pPr>
      <w:r>
        <w:rPr>
          <w:b/>
          <w:color w:val="003CA0"/>
          <w:sz w:val="16"/>
        </w:rPr>
        <w:t>[RE 808.424, rel. min. Marco Aurélio, j. 19-12-2019, P, DJE de 30-4-2020. Tema 757, com mérito julgado.]</w:t>
      </w:r>
    </w:p>
    <w:p>
      <w:pPr>
        <w:ind w:left="288"/>
      </w:pPr>
      <w:r>
        <w:rPr>
          <w:color w:val="8C8C8C"/>
          <w:sz w:val="12"/>
        </w:rPr>
        <w:t>cf-art-5-inc-XIII</w:t>
      </w:r>
      <w:r>
        <w:rPr>
          <w:color w:val="003CA0"/>
          <w:sz w:val="12"/>
        </w:rPr>
        <w:t xml:space="preserve"> | RE 414.426</w:t>
      </w:r>
      <w:r>
        <w:rPr>
          <w:color w:val="003CA0"/>
          <w:sz w:val="12"/>
        </w:rPr>
        <w:t xml:space="preserve"> | rel. Ellen Gracie</w:t>
      </w:r>
    </w:p>
    <w:p>
      <w:pPr>
        <w:ind w:left="288"/>
      </w:pPr>
      <w:r>
        <w:rPr>
          <w:color w:val="1E1E1E"/>
          <w:sz w:val="18"/>
        </w:rPr>
        <w:t>O Plenário do STF, no julgamento do RE 414.426, rel. min. Ellen Gracie, DJE de 10-10-2011, firmou o entendimento de que a atividade de músico é manifestação artística protegida pela garantia da liberdade de expressão, sendo, por isso, incompatível com a CF de 1988 a exigência de inscrição na Ordem dos Músicos do Brasil, bem como de pagamento de anuidade, para o exercício de tal profissão. Recurso extraordinário provido, com o reconhecimento da repercussão geral do tema e a reafirmação da jurisprudência sobre a matéria.</w:t>
      </w:r>
    </w:p>
    <w:p>
      <w:pPr>
        <w:ind w:left="288"/>
      </w:pPr>
      <w:r>
        <w:rPr>
          <w:b/>
          <w:color w:val="003CA0"/>
          <w:sz w:val="16"/>
        </w:rPr>
        <w:t>[RE 795.467 RG, rel. min. Teori Zavascki, j. 5-6-2014, P, DJE de 24-6-2014. Tema 738, com mérito julgado.]</w:t>
      </w:r>
    </w:p>
    <w:p>
      <w:pPr>
        <w:ind w:left="288"/>
      </w:pPr>
      <w:r>
        <w:rPr>
          <w:color w:val="8C8C8C"/>
          <w:sz w:val="12"/>
        </w:rPr>
        <w:t>cf-art-5-inc-XIII</w:t>
      </w:r>
      <w:r>
        <w:rPr>
          <w:color w:val="003CA0"/>
          <w:sz w:val="12"/>
        </w:rPr>
        <w:t xml:space="preserve"> | RE 603.583</w:t>
      </w:r>
      <w:r>
        <w:rPr>
          <w:color w:val="003CA0"/>
          <w:sz w:val="12"/>
        </w:rPr>
        <w:t xml:space="preserve"> | rel. Marco Aurélio</w:t>
      </w:r>
    </w:p>
    <w:p>
      <w:pPr>
        <w:ind w:left="288"/>
      </w:pPr>
      <w:r>
        <w:rPr>
          <w:color w:val="1E1E1E"/>
          <w:sz w:val="18"/>
        </w:rPr>
        <w:t>Alcança-se a qualificação de bacharel em direito mediante conclusão do curso respectivo e colação de grau. (...) O Exame de Ordem (...) mostra-se consentâneo com a CF, que remete às qualificações previstas em lei.</w:t>
      </w:r>
    </w:p>
    <w:p>
      <w:pPr>
        <w:ind w:left="288"/>
      </w:pPr>
      <w:r>
        <w:rPr>
          <w:b/>
          <w:color w:val="003CA0"/>
          <w:sz w:val="16"/>
        </w:rPr>
        <w:t>[RE 603.583, rel. min. Marco Aurélio, j. 26-10-2011, P, DJE de 25-5-2012. Tema 241, com mérito julgado.]</w:t>
      </w:r>
    </w:p>
    <w:p>
      <w:pPr>
        <w:ind w:left="288"/>
      </w:pPr>
      <w:r>
        <w:rPr>
          <w:color w:val="8C8C8C"/>
          <w:sz w:val="12"/>
        </w:rPr>
        <w:t>cf-art-5-inc-XIII</w:t>
      </w:r>
      <w:r>
        <w:rPr>
          <w:color w:val="003CA0"/>
          <w:sz w:val="12"/>
        </w:rPr>
        <w:t xml:space="preserve"> | RE 1.530.083</w:t>
      </w:r>
      <w:r>
        <w:rPr>
          <w:color w:val="003CA0"/>
          <w:sz w:val="12"/>
        </w:rPr>
        <w:t xml:space="preserve"> | rel. Luiz Fux</w:t>
      </w:r>
    </w:p>
    <w:p>
      <w:pPr>
        <w:ind w:left="288"/>
      </w:pPr>
      <w:r>
        <w:rPr>
          <w:color w:val="1E1E1E"/>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w:t>
      </w:r>
    </w:p>
    <w:p>
      <w:pPr>
        <w:ind w:left="288"/>
      </w:pPr>
      <w:r>
        <w:rPr>
          <w:b/>
          <w:color w:val="003CA0"/>
          <w:sz w:val="16"/>
        </w:rPr>
        <w:t>[RE 1.530.083, rel. min. Luiz Fux, j. 27.08.2025, P, DJE de 29.10.2025, Tema 1.388, com mérito julgado.]</w:t>
      </w:r>
    </w:p>
    <w:p>
      <w:pPr>
        <w:ind w:left="288"/>
      </w:pPr>
      <w:r>
        <w:rPr>
          <w:color w:val="8C8C8C"/>
          <w:sz w:val="12"/>
        </w:rPr>
        <w:t>cf-art-5-inc-XIII</w:t>
      </w:r>
      <w:r>
        <w:rPr>
          <w:color w:val="003CA0"/>
          <w:sz w:val="12"/>
        </w:rPr>
        <w:t xml:space="preserve"> | MS 39.378</w:t>
      </w:r>
      <w:r>
        <w:rPr>
          <w:color w:val="003CA0"/>
          <w:sz w:val="12"/>
        </w:rPr>
        <w:t xml:space="preserve"> | rel. Luiz Fux</w:t>
      </w:r>
    </w:p>
    <w:p>
      <w:pPr>
        <w:ind w:left="288"/>
      </w:pPr>
      <w:r>
        <w:rPr>
          <w:color w:val="1E1E1E"/>
          <w:sz w:val="18"/>
        </w:rPr>
        <w:t>O livre exercício da profissão e das liberdades comunicativas não é, contudo, absoluto e deve observar limites constitucionais e legais, sendo possível a responsabilização civil, penal e administrativa por atos ilícitos eventualmente praticados. Há maior tolerância quanto a matérias de cunho potencialmente lesivo à honra dos agentes públicos, especialmente quando existente interesse público no conteúdo, no entanto, não lhes é negada a inviolabilidade das comunicações telefônicas (ou por dados) nem o núcleo essencial do direito à privacidade. (...) Deferimento monocrático de liminar, ad referen</w:t>
      </w:r>
    </w:p>
    <w:p>
      <w:pPr>
        <w:ind w:left="288"/>
      </w:pPr>
      <w:r>
        <w:rPr>
          <w:b/>
          <w:color w:val="003CA0"/>
          <w:sz w:val="16"/>
        </w:rPr>
        <w:t>[MS 39.378 MC-REF, rel. min. Luiz Fux, j. 2-10-2023, P, DJE de 23-10-2023.]</w:t>
      </w:r>
    </w:p>
    <w:p>
      <w:pPr>
        <w:ind w:left="288"/>
      </w:pPr>
      <w:r>
        <w:rPr>
          <w:color w:val="8C8C8C"/>
          <w:sz w:val="12"/>
        </w:rPr>
        <w:t>cf-art-5-inc-XIII</w:t>
      </w:r>
      <w:r>
        <w:rPr>
          <w:color w:val="003CA0"/>
          <w:sz w:val="12"/>
        </w:rPr>
        <w:t xml:space="preserve"> | ADPF 131.</w:t>
      </w:r>
      <w:r>
        <w:rPr>
          <w:color w:val="003CA0"/>
          <w:sz w:val="12"/>
        </w:rPr>
        <w:t xml:space="preserve"> | rel. Gilmar Mendes</w:t>
      </w:r>
    </w:p>
    <w:p>
      <w:pPr>
        <w:ind w:left="288"/>
      </w:pPr>
      <w:r>
        <w:rPr>
          <w:color w:val="1E1E1E"/>
          <w:sz w:val="18"/>
        </w:rPr>
        <w:t>Matéria constitucional. Optometrista. Limitação ao exercício da profissão. Decretos 20.931/1932 e 24.492/1934. Possibilidade. Normas recepcionadas pelas Constituições posteriores às legislações e pela Constituição Federal de 1988. ADPF 131. Reserva legal qualificada pela necessidade de qualificação profissional. Atividade com potencial lesivo. Limitação por imperativos técnico-profissionais, referentes à saúde pública. Ausência de violação à liberdade profissional.</w:t>
      </w:r>
    </w:p>
    <w:p>
      <w:pPr>
        <w:ind w:left="288"/>
      </w:pPr>
      <w:r>
        <w:rPr>
          <w:b/>
          <w:color w:val="003CA0"/>
          <w:sz w:val="16"/>
        </w:rPr>
        <w:t>[ARE 972.009 AgR-ED, rel. min. Gilmar Mendes, j. 30-11-2020, 2ª T, DJE de 3-2-2020.]</w:t>
      </w:r>
    </w:p>
    <w:p>
      <w:pPr>
        <w:ind w:left="288"/>
      </w:pPr>
      <w:r>
        <w:rPr>
          <w:color w:val="8C8C8C"/>
          <w:sz w:val="12"/>
        </w:rPr>
        <w:t>cf-art-5-inc-XIII</w:t>
      </w:r>
      <w:r>
        <w:rPr>
          <w:color w:val="003CA0"/>
          <w:sz w:val="12"/>
        </w:rPr>
        <w:t xml:space="preserve"> | MI 6.113</w:t>
      </w:r>
      <w:r>
        <w:rPr>
          <w:color w:val="003CA0"/>
          <w:sz w:val="12"/>
        </w:rPr>
        <w:t xml:space="preserve"> | rel. Cármen Lúcia</w:t>
      </w:r>
    </w:p>
    <w:p>
      <w:pPr>
        <w:ind w:left="288"/>
      </w:pPr>
      <w:r>
        <w:rPr>
          <w:color w:val="1E1E1E"/>
          <w:sz w:val="18"/>
        </w:rPr>
        <w:t>O art. 5º, XIII, da Constituição da República é norma de aplicação imediata e eficácia contida que pode ser restringida pela legislação infraconstitucional. Inexistindo lei regulamentando o exercício da atividade profissional dos substituídos, é livre o seu exercício.</w:t>
      </w:r>
    </w:p>
    <w:p>
      <w:pPr>
        <w:ind w:left="288"/>
      </w:pPr>
      <w:r>
        <w:rPr>
          <w:b/>
          <w:color w:val="003CA0"/>
          <w:sz w:val="16"/>
        </w:rPr>
        <w:t>[MI 6.113 AgR, rel. min. Cármen Lúcia, j. 22-5-2014, P, DJE de 13-6-2014.]</w:t>
      </w:r>
    </w:p>
    <w:p>
      <w:pPr>
        <w:ind w:left="288"/>
      </w:pPr>
      <w:r>
        <w:rPr>
          <w:color w:val="8C8C8C"/>
          <w:sz w:val="12"/>
        </w:rPr>
        <w:t>cf-art-5-inc-XIII</w:t>
      </w:r>
      <w:r>
        <w:rPr>
          <w:color w:val="003CA0"/>
          <w:sz w:val="12"/>
        </w:rPr>
        <w:t xml:space="preserve"> | MI 2.227</w:t>
      </w:r>
      <w:r>
        <w:rPr>
          <w:color w:val="003CA0"/>
          <w:sz w:val="12"/>
        </w:rPr>
        <w:t xml:space="preserve"> | rel. Ricardo Lewandowski</w:t>
      </w:r>
    </w:p>
    <w:p>
      <w:pPr>
        <w:ind w:left="288"/>
      </w:pPr>
      <w:r>
        <w:rPr>
          <w:color w:val="1E1E1E"/>
          <w:sz w:val="18"/>
        </w:rPr>
        <w:t>Não há qualquer ausência de norma regulamentadora que torne inviável o exercício profissional dos graduados em direito. O impetrante busca, em verdade, a declaração de inconstitucionalidade do exame de ordem para inscrição na OAB – providência que não cabe nesta via.</w:t>
      </w:r>
    </w:p>
    <w:p>
      <w:pPr>
        <w:ind w:left="288"/>
      </w:pPr>
      <w:r>
        <w:rPr>
          <w:b/>
          <w:color w:val="003CA0"/>
          <w:sz w:val="16"/>
        </w:rPr>
        <w:t>[MI 2.227 AgR, rel. min. Ricardo Lewandowski, j. 24-10-2013, P, DJE de 14-11-2013.]</w:t>
      </w:r>
    </w:p>
    <w:p>
      <w:pPr>
        <w:ind w:left="288"/>
      </w:pPr>
      <w:r>
        <w:rPr>
          <w:color w:val="8C8C8C"/>
          <w:sz w:val="12"/>
        </w:rPr>
        <w:t>cf-art-5-inc-XIII</w:t>
      </w:r>
      <w:r>
        <w:rPr>
          <w:color w:val="003CA0"/>
          <w:sz w:val="12"/>
        </w:rPr>
        <w:t xml:space="preserve"> | HC 95.595</w:t>
      </w:r>
      <w:r>
        <w:rPr>
          <w:color w:val="003CA0"/>
          <w:sz w:val="12"/>
        </w:rPr>
        <w:t xml:space="preserve"> | rel. Eros Grau</w:t>
      </w:r>
    </w:p>
    <w:p>
      <w:pPr>
        <w:ind w:left="288"/>
      </w:pPr>
      <w:r>
        <w:rPr>
          <w:color w:val="1E1E1E"/>
          <w:sz w:val="18"/>
        </w:rPr>
        <w:t>Inexistindo previsão legal quanto à obrigatoriedade do registro do perito no órgão de classe, não cabe a exigência desse registro para a investidura no cargo de perito da Polícia Federal, tampouco para o exercício da função de Perito oficial.</w:t>
      </w:r>
    </w:p>
    <w:p>
      <w:pPr>
        <w:ind w:left="288"/>
      </w:pPr>
      <w:r>
        <w:rPr>
          <w:b/>
          <w:color w:val="003CA0"/>
          <w:sz w:val="16"/>
        </w:rPr>
        <w:t>[HC 95.595, rel. min. Eros Grau, j. 4-5-2010, 2ª T, DJE de 21-5-2010.]</w:t>
      </w:r>
    </w:p>
    <w:p>
      <w:pPr>
        <w:ind w:left="288"/>
      </w:pPr>
      <w:r>
        <w:rPr>
          <w:color w:val="8C8C8C"/>
          <w:sz w:val="12"/>
        </w:rPr>
        <w:t>cf-art-5-inc-XIII</w:t>
      </w:r>
      <w:r>
        <w:rPr>
          <w:color w:val="003CA0"/>
          <w:sz w:val="12"/>
        </w:rPr>
        <w:t xml:space="preserve"> | RE 511.961</w:t>
      </w:r>
      <w:r>
        <w:rPr>
          <w:color w:val="003CA0"/>
          <w:sz w:val="12"/>
        </w:rPr>
        <w:t xml:space="preserve"> | rel. Gilmar Mendes</w:t>
      </w:r>
    </w:p>
    <w:p>
      <w:pPr>
        <w:ind w:left="288"/>
      </w:pPr>
      <w:r>
        <w:rPr>
          <w:color w:val="1E1E1E"/>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w:t>
      </w:r>
    </w:p>
    <w:p>
      <w:pPr>
        <w:ind w:left="288"/>
      </w:pPr>
      <w:r>
        <w:rPr>
          <w:b/>
          <w:color w:val="003CA0"/>
          <w:sz w:val="16"/>
        </w:rPr>
        <w:t>[RE 511.961, rel. min. Gilmar Mendes, j. 17-6-2009, P, DJE de 13-11-2009.]</w:t>
      </w:r>
    </w:p>
    <w:p>
      <w:pPr>
        <w:ind w:left="288"/>
      </w:pPr>
      <w:r>
        <w:rPr>
          <w:color w:val="8C8C8C"/>
          <w:sz w:val="12"/>
        </w:rPr>
        <w:t>cf-art-5-inc-XIII</w:t>
      </w:r>
      <w:r>
        <w:rPr>
          <w:color w:val="003CA0"/>
          <w:sz w:val="12"/>
        </w:rPr>
        <w:t xml:space="preserve"> | RE 207.946</w:t>
      </w:r>
      <w:r>
        <w:rPr>
          <w:color w:val="003CA0"/>
          <w:sz w:val="12"/>
        </w:rPr>
        <w:t xml:space="preserve"> | rel. Menezes Direito</w:t>
      </w:r>
    </w:p>
    <w:p>
      <w:pPr>
        <w:ind w:left="288"/>
      </w:pPr>
      <w:r>
        <w:rPr>
          <w:color w:val="1E1E1E"/>
          <w:sz w:val="18"/>
        </w:rPr>
        <w:t>Descabe condicionar integração, a quadro societário, de pessoa jurídica de direito privado ao fato de o pretendente estar em dia com as obrigações tributárias.</w:t>
      </w:r>
    </w:p>
    <w:p>
      <w:pPr>
        <w:ind w:left="288"/>
      </w:pPr>
      <w:r>
        <w:rPr>
          <w:b/>
          <w:color w:val="003CA0"/>
          <w:sz w:val="16"/>
        </w:rPr>
        <w:t>[RE 207.946, rel. min. Menezes Direito, red. do ac. min. Marco Aurélio, j. 20-5-2008, 1ª T, DJE de 5-6-2009.]</w:t>
      </w:r>
    </w:p>
    <w:p>
      <w:pPr>
        <w:ind w:left="288"/>
      </w:pPr>
      <w:r>
        <w:rPr>
          <w:color w:val="8C8C8C"/>
          <w:sz w:val="12"/>
        </w:rPr>
        <w:t>cf-art-5-inc-XIII</w:t>
      </w:r>
      <w:r>
        <w:rPr>
          <w:color w:val="003CA0"/>
          <w:sz w:val="12"/>
        </w:rPr>
        <w:t xml:space="preserve"> | HC 92.183</w:t>
      </w:r>
      <w:r>
        <w:rPr>
          <w:color w:val="003CA0"/>
          <w:sz w:val="12"/>
        </w:rPr>
        <w:t xml:space="preserve"> | rel. Ayres Britto</w:t>
      </w:r>
    </w:p>
    <w:p>
      <w:pPr>
        <w:ind w:left="288"/>
      </w:pPr>
      <w:r>
        <w:rPr>
          <w:color w:val="1E1E1E"/>
          <w:sz w:val="18"/>
        </w:rPr>
        <w:t>(...) constitui ilegalidade reparável pela via do habeas corpus fazer com que alguém responda pelo exercício ilegal de uma profissão que ainda não foi regulamentada. (...) Condição sem a qual fica inviabilizado, neste caso concreto, o manejo da ação penal com base no art. 47 da LCP, por se tratar de "norma penal em branco, que depende da indicação de lei que estabeleça as condições para o exercício de determinada atividade" (...).</w:t>
      </w:r>
    </w:p>
    <w:p>
      <w:pPr>
        <w:ind w:left="288"/>
      </w:pPr>
      <w:r>
        <w:rPr>
          <w:b/>
          <w:color w:val="003CA0"/>
          <w:sz w:val="16"/>
        </w:rPr>
        <w:t>[HC 92.183, rel. min. Ayres Britto, j. 18-3-2008, 1ª T, DJE de 23-5-2008.]</w:t>
      </w:r>
    </w:p>
    <w:p>
      <w:pPr>
        <w:ind w:left="288"/>
      </w:pPr>
      <w:r>
        <w:rPr>
          <w:color w:val="8C8C8C"/>
          <w:sz w:val="12"/>
        </w:rPr>
        <w:t>cf-art-5-inc-XIII</w:t>
      </w:r>
      <w:r>
        <w:rPr>
          <w:color w:val="003CA0"/>
          <w:sz w:val="12"/>
        </w:rPr>
        <w:t xml:space="preserve"> | RE 413.782</w:t>
      </w:r>
      <w:r>
        <w:rPr>
          <w:color w:val="003CA0"/>
          <w:sz w:val="12"/>
        </w:rPr>
        <w:t xml:space="preserve"> | rel. Marco Aurélio</w:t>
      </w:r>
    </w:p>
    <w:p>
      <w:pPr>
        <w:ind w:left="288"/>
      </w:pPr>
      <w:r>
        <w:rPr>
          <w:color w:val="1E1E1E"/>
          <w:sz w:val="18"/>
        </w:rPr>
        <w:t>Em síntese, a legislação local submete o contribuinte à exceção de emitir notas fiscais individualizadas, quando em débito para com o fisco. Entendo conflitante com a Carta da República o procedimento adotado. (...) A lei estadual contraria, portanto, os textos constitucionais evocados, ou seja, a garantia do livre exercício do trabalho, ofício ou profissão – inciso XIII do art. 5º da Carta da República – e de qualquer atividade econômica – parágrafo único do art. 170 da CF.</w:t>
      </w:r>
    </w:p>
    <w:p>
      <w:pPr>
        <w:ind w:left="288"/>
      </w:pPr>
      <w:r>
        <w:rPr>
          <w:b/>
          <w:color w:val="003CA0"/>
          <w:sz w:val="16"/>
        </w:rPr>
        <w:t>[RE 413.782, rel. min. Marco Aurélio, j. 17-3-2005, P, DJ de 3-6-2005.]</w:t>
      </w:r>
    </w:p>
    <w:p>
      <w:pPr>
        <w:ind w:left="288"/>
      </w:pPr>
      <w:r>
        <w:rPr>
          <w:color w:val="8C8C8C"/>
          <w:sz w:val="12"/>
        </w:rPr>
        <w:t>cf-art-5-inc-XIII</w:t>
      </w:r>
      <w:r>
        <w:rPr>
          <w:color w:val="003CA0"/>
          <w:sz w:val="12"/>
        </w:rPr>
        <w:t xml:space="preserve"> | RE 216.983</w:t>
      </w:r>
      <w:r>
        <w:rPr>
          <w:color w:val="003CA0"/>
          <w:sz w:val="12"/>
        </w:rPr>
        <w:t xml:space="preserve"> | rel. Carlos Velloso</w:t>
      </w:r>
    </w:p>
    <w:p>
      <w:pPr>
        <w:ind w:left="288"/>
      </w:pPr>
      <w:r>
        <w:rPr>
          <w:color w:val="1E1E1E"/>
          <w:sz w:val="18"/>
        </w:rPr>
        <w:t>Regime especial de ICM, autorizado em lei estadual: restrições e limitações, nele constantes, à atividade comercial do contribuinte, ofensivas à garantia constitucional da liberdade de trabalho (CF/1967, art. 153, § 23; CF/1988, art. 5º, XIII), constituindo forma oblíqua de cobrança do tributo, assim execução política, que a jurisprudência do STF sempre repeliu (Súmulas 70, 323 e 547).</w:t>
      </w:r>
    </w:p>
    <w:p>
      <w:pPr>
        <w:ind w:left="288"/>
      </w:pPr>
      <w:r>
        <w:rPr>
          <w:b/>
          <w:color w:val="003CA0"/>
          <w:sz w:val="16"/>
        </w:rPr>
        <w:t>[RE 216.983 AgR, rel. min. Carlos Velloso, j. 6-10-1998, 2ª T, DJ de 13-11-1998.]</w:t>
      </w:r>
    </w:p>
    <w:p>
      <w:pPr>
        <w:ind w:left="288"/>
      </w:pPr>
      <w:r>
        <w:rPr>
          <w:color w:val="8C8C8C"/>
          <w:sz w:val="12"/>
        </w:rPr>
        <w:t>cf-art-5-inc-XIII</w:t>
      </w:r>
      <w:r>
        <w:rPr>
          <w:color w:val="003CA0"/>
          <w:sz w:val="12"/>
        </w:rPr>
        <w:t xml:space="preserve"> | RE 525.802</w:t>
      </w:r>
      <w:r>
        <w:rPr>
          <w:color w:val="003CA0"/>
          <w:sz w:val="12"/>
        </w:rPr>
        <w:t xml:space="preserve"> | rel. Ricardo Lewandowski</w:t>
      </w:r>
    </w:p>
    <w:p>
      <w:pPr>
        <w:ind w:left="288"/>
      </w:pPr>
      <w:r>
        <w:rPr>
          <w:color w:val="1E1E1E"/>
          <w:sz w:val="18"/>
        </w:rPr>
        <w:t>= RE 525.802 AgR, rel. min. Ricardo Lewandowski, j. 7-5-2013, 2ª T, DJE de 22-5-2013 Bacharel em direito que exerce o cargo de assessor de desembargador: incompatibilidade para o exercício da advocacia. Lei 4.215, de 1963, arts. 83 e 84. Lei 8.906/1994, art. 28, IV. Inocorrência de ofensa ao art. 5º, XIII, que deve ser interpretado em consonância com o art. 22, XVI, da CF e com o princípio da moralidade administrativa imposto à administração pública (CF, art. 37, caput).</w:t>
      </w:r>
    </w:p>
    <w:p>
      <w:pPr>
        <w:ind w:left="288"/>
      </w:pPr>
      <w:r>
        <w:rPr>
          <w:b/>
          <w:color w:val="003CA0"/>
          <w:sz w:val="16"/>
        </w:rPr>
        <w:t>[RE 199.088, rel. min. Carlos Velloso, j. 1º-10-1996, 2ª T, DJ de 16-4-1999.]</w:t>
      </w:r>
    </w:p>
    <w:p>
      <w:pPr>
        <w:ind w:left="288"/>
      </w:pPr>
      <w:r>
        <w:rPr>
          <w:color w:val="8C8C8C"/>
          <w:sz w:val="12"/>
        </w:rPr>
        <w:t>cf-art-5-inc-XIII</w:t>
      </w:r>
      <w:r>
        <w:rPr>
          <w:color w:val="003CA0"/>
          <w:sz w:val="12"/>
        </w:rPr>
        <w:t xml:space="preserve"> | RE 550.005</w:t>
      </w:r>
      <w:r>
        <w:rPr>
          <w:color w:val="003CA0"/>
          <w:sz w:val="12"/>
        </w:rPr>
        <w:t xml:space="preserve"> | rel. Joaquim Barbosa</w:t>
      </w:r>
    </w:p>
    <w:p>
      <w:pPr>
        <w:ind w:left="288"/>
      </w:pPr>
      <w:r>
        <w:rPr>
          <w:color w:val="1E1E1E"/>
          <w:sz w:val="18"/>
        </w:rPr>
        <w:t>= RE 550.005 AgR, rel. min. Joaquim Barbosa, j. 8-5-2012, 2ª T, DJE de 25-5-2012 Vide ADI 3.541, rel. min. Dias Toffoli, j. 12-2-2014, P, DJE de 24-3-2014 A exigência de especificidade, no âmbito da qualificação, para a feitura de concurso público não contraria o disposto no inciso XIII do art. 5º da CF, desde que prevista em lei e consentânea com os diplomas regedores do exercício profissional.</w:t>
      </w:r>
    </w:p>
    <w:p>
      <w:pPr>
        <w:ind w:left="288"/>
      </w:pPr>
      <w:r>
        <w:rPr>
          <w:b/>
          <w:color w:val="003CA0"/>
          <w:sz w:val="16"/>
        </w:rPr>
        <w:t>[MS 21.733, rel. min. Marco Aurélio, j. 9-2-1994, P, DJ de 8-4-1994.]</w:t>
      </w:r>
    </w:p>
    <w:p>
      <w:pPr>
        <w:ind w:left="288"/>
      </w:pPr>
      <w:r>
        <w:rPr>
          <w:color w:val="8C8C8C"/>
          <w:sz w:val="12"/>
        </w:rPr>
        <w:t>cf-art-5-inc-XIII</w:t>
      </w:r>
      <w:r>
        <w:rPr>
          <w:color w:val="003CA0"/>
          <w:sz w:val="12"/>
        </w:rPr>
        <w:t xml:space="preserve"> | ADI 7.194</w:t>
      </w:r>
      <w:r>
        <w:rPr>
          <w:color w:val="003CA0"/>
          <w:sz w:val="12"/>
        </w:rPr>
        <w:t xml:space="preserve"> | rel. Dias Toffoli</w:t>
      </w:r>
    </w:p>
    <w:p>
      <w:pPr>
        <w:ind w:left="288"/>
      </w:pPr>
      <w:r>
        <w:rPr>
          <w:color w:val="1E1E1E"/>
          <w:sz w:val="18"/>
        </w:rPr>
        <w:t>XIV - é assegurado a todos o acesso à informação e resguardado o sigilo da fonte, quando necessário ao exercício profissional; A publicação de atos societários se faz necessária como medida voltada ao acesso à informação, considerando-se que é dado aos acionistas, credores, concorrentes, empregados, bem como ao Poder Público e à sociedade em geral a possibilidade de fiscalizar o trabalho dos administradores, de forma a aferir a saúde da companhia, a regularidade e a rentabilidade dos negócios ali realizados, para que possam tomar decisões de maneira informada e observar o devido cumprimento da</w:t>
      </w:r>
    </w:p>
    <w:p>
      <w:pPr>
        <w:ind w:left="288"/>
      </w:pPr>
      <w:r>
        <w:rPr>
          <w:b/>
          <w:color w:val="003CA0"/>
          <w:sz w:val="16"/>
        </w:rPr>
        <w:t>[ADI 7.194, rel. min. Dias Toffoli, j. 01.07.2024, P, DJE de 05.07.2024.]</w:t>
      </w:r>
    </w:p>
    <w:p>
      <w:pPr>
        <w:ind w:left="288"/>
      </w:pPr>
      <w:r>
        <w:rPr>
          <w:color w:val="8C8C8C"/>
          <w:sz w:val="12"/>
        </w:rPr>
        <w:t>cf-art-5-inc-XIII</w:t>
      </w:r>
      <w:r>
        <w:rPr>
          <w:color w:val="003CA0"/>
          <w:sz w:val="12"/>
        </w:rPr>
        <w:t xml:space="preserve"> | ADI 7.261</w:t>
      </w:r>
      <w:r>
        <w:rPr>
          <w:color w:val="003CA0"/>
          <w:sz w:val="12"/>
        </w:rPr>
        <w:t xml:space="preserve"> | rel. Edson Fachin</w:t>
      </w:r>
    </w:p>
    <w:p>
      <w:pPr>
        <w:ind w:left="288"/>
      </w:pPr>
      <w:r>
        <w:rPr>
          <w:color w:val="1E1E1E"/>
          <w:sz w:val="18"/>
        </w:rPr>
        <w:t>A Resolução TSE nº. 23.714/2022 não consiste em exercício de censura prévia. A disseminação de notícias falsas, no curto prazo do processo eleitoral, pode ter a força de ocupar todo espaço público, restringindo a circulação de ideias e o livre exercício do direito à informação. O fenômeno da desinformação veiculada por meio da internet, caso não fiscalizado pela autoridade eleitoral, tem o condão de restringir a formação livre e consciente da vontade do eleitor.</w:t>
      </w:r>
    </w:p>
    <w:p>
      <w:pPr>
        <w:ind w:left="288"/>
      </w:pPr>
      <w:r>
        <w:rPr>
          <w:b/>
          <w:color w:val="003CA0"/>
          <w:sz w:val="16"/>
        </w:rPr>
        <w:t>[ADI 7.261, rel. min. Edson Fachin, j. 19.12.2023, P, DJE de 06.03.2024.]</w:t>
      </w:r>
    </w:p>
    <w:p>
      <w:pPr>
        <w:ind w:left="288"/>
      </w:pPr>
      <w:r>
        <w:rPr>
          <w:color w:val="8C8C8C"/>
          <w:sz w:val="12"/>
        </w:rPr>
        <w:t>cf-art-5-inc-XIII</w:t>
      </w:r>
      <w:r>
        <w:rPr>
          <w:color w:val="003CA0"/>
          <w:sz w:val="12"/>
        </w:rPr>
        <w:t xml:space="preserve"> | ADI 6.281</w:t>
      </w:r>
      <w:r>
        <w:rPr>
          <w:color w:val="003CA0"/>
          <w:sz w:val="12"/>
        </w:rPr>
        <w:t xml:space="preserve"> | rel. Luiz Fux</w:t>
      </w:r>
    </w:p>
    <w:p>
      <w:pPr>
        <w:ind w:left="288"/>
      </w:pPr>
      <w:r>
        <w:rPr>
          <w:color w:val="1E1E1E"/>
          <w:sz w:val="18"/>
        </w:rPr>
        <w:t>Propaganda eleitoral paga em periódicos impressos e na internet. (...) A propaganda eleitoral é disciplinada em lei, que pode estipular limites para sua realização, nos diversos meios de comunicação, sem que isso signifique ofensa as liberdades de expressão, de imprensa ou de informação. Tais limitações, prescritas dentro da razoabilidade e da proporcionalidade, igualmente não importam em desrespeito aos princípios da democracia, da República e do pluralismo político, tampouco aos postulados da liberdade de iniciativa e da liberdade de concorrência</w:t>
      </w:r>
    </w:p>
    <w:p>
      <w:pPr>
        <w:ind w:left="288"/>
      </w:pPr>
      <w:r>
        <w:rPr>
          <w:b/>
          <w:color w:val="003CA0"/>
          <w:sz w:val="16"/>
        </w:rPr>
        <w:t>[ADI 6.281, rel. min. Luiz Fux, red. do ac. min. Nunes Marques, j. 17-2-2022, P, DJE de 26-5-2022.]</w:t>
      </w:r>
    </w:p>
    <w:p>
      <w:pPr>
        <w:ind w:left="288"/>
      </w:pPr>
      <w:r>
        <w:rPr>
          <w:color w:val="8C8C8C"/>
          <w:sz w:val="12"/>
        </w:rPr>
        <w:t>cf-art-5-inc-XIII</w:t>
      </w:r>
      <w:r>
        <w:rPr>
          <w:color w:val="003CA0"/>
          <w:sz w:val="12"/>
        </w:rPr>
        <w:t xml:space="preserve"> | ADPF 130</w:t>
      </w:r>
      <w:r>
        <w:rPr>
          <w:color w:val="003CA0"/>
          <w:sz w:val="12"/>
        </w:rPr>
        <w:t xml:space="preserve"> | rel. Ayres Britto</w:t>
      </w:r>
    </w:p>
    <w:p>
      <w:pPr>
        <w:ind w:left="288"/>
      </w:pPr>
      <w:r>
        <w:rPr>
          <w:color w:val="1E1E1E"/>
          <w:sz w:val="18"/>
        </w:rPr>
        <w:t>O art. 220 é de instantânea observância quanto ao desfrute das liberdades de pensamento, criação, expressão e informação que, de alguma forma, se veiculem pelos órgãos de comunicação social. Isso sem prejuízo da aplicabilidade dos seguintes incisos do art. 5º da mesma CF: vedação do anonimato (parte final do inciso IV); do direito de resposta (inciso V); direito à indenização por dano material ou moral à intimidade, à vida privada, à honra e à imagem das pessoas (inciso X); livre exercício de qualquer trabalho, ofício ou profissão, atendidas as qualificações profissionais que a lei estabelecer</w:t>
      </w:r>
    </w:p>
    <w:p>
      <w:pPr>
        <w:ind w:left="288"/>
      </w:pPr>
      <w:r>
        <w:rPr>
          <w:b/>
          <w:color w:val="003CA0"/>
          <w:sz w:val="16"/>
        </w:rPr>
        <w:t>[ADPF 130, rel. min. Ayres Britto, j. 30-4-2009, P, DJE de 6-11-2009.]</w:t>
      </w:r>
    </w:p>
    <w:p>
      <w:pPr>
        <w:ind w:left="288"/>
      </w:pPr>
      <w:r>
        <w:rPr>
          <w:color w:val="8C8C8C"/>
          <w:sz w:val="12"/>
        </w:rPr>
        <w:t>cf-art-5-inc-XIII</w:t>
      </w:r>
      <w:r>
        <w:rPr>
          <w:color w:val="003CA0"/>
          <w:sz w:val="12"/>
        </w:rPr>
        <w:t xml:space="preserve"> | RCL 11.305</w:t>
      </w:r>
      <w:r>
        <w:rPr>
          <w:color w:val="003CA0"/>
          <w:sz w:val="12"/>
        </w:rPr>
        <w:t xml:space="preserve"> | rel. Gilmar Mendes</w:t>
      </w:r>
    </w:p>
    <w:p>
      <w:pPr>
        <w:ind w:left="288"/>
      </w:pPr>
      <w:r>
        <w:rPr>
          <w:color w:val="1E1E1E"/>
          <w:sz w:val="18"/>
        </w:rPr>
        <w:t>= Rcl 11.305, rel. min. Gilmar Mendes, j. 20-10-2011, P, DJE de 8-11-2011 Vide ADI 4.451, rel. min. Alexandre de Moraes, j. 21-6-2018, P, DJE de 6-3-2019 Vide Rcl 22.328, rel. min. Roberto Barroso, j. 6-3-2018, 1ªT, DJE de 10-5-2018 Lei 11.300/2006 (minirreforma eleitoral). (...) Proibição de divulgação de pesquisas eleitorais quinze dias antes do pleito. Inconstitucionalidade. Garantia da liberdade de expressão e do direito à informação livre e plural no Estado Democrático de Direito</w:t>
      </w:r>
    </w:p>
    <w:p>
      <w:pPr>
        <w:ind w:left="288"/>
      </w:pPr>
      <w:r>
        <w:rPr>
          <w:b/>
          <w:color w:val="003CA0"/>
          <w:sz w:val="16"/>
        </w:rPr>
        <w:t>[ADI 3.741, rel. min. Ricardo Lewandowski, j. 6-8-2006, P, DJ de 23-2-2007.]</w:t>
      </w:r>
    </w:p>
    <w:p>
      <w:pPr>
        <w:ind w:left="288"/>
      </w:pPr>
      <w:r>
        <w:rPr>
          <w:color w:val="8C8C8C"/>
          <w:sz w:val="12"/>
        </w:rPr>
        <w:t>cf-art-5-inc-XIII</w:t>
      </w:r>
      <w:r>
        <w:rPr>
          <w:color w:val="003CA0"/>
          <w:sz w:val="12"/>
        </w:rPr>
        <w:t xml:space="preserve"> | RE 1.010.606</w:t>
      </w:r>
      <w:r>
        <w:rPr>
          <w:color w:val="003CA0"/>
          <w:sz w:val="12"/>
        </w:rPr>
        <w:t xml:space="preserve"> | rel. Dias Toffoli</w:t>
      </w:r>
    </w:p>
    <w:p>
      <w:pPr>
        <w:ind w:left="288"/>
      </w:pPr>
      <w:r>
        <w:rPr>
          <w:color w:val="1E1E1E"/>
          <w:sz w:val="18"/>
        </w:rPr>
        <w:t>É incompatível com a Constituição a ideia de um direito ao esquecimento, assim entendido como o poder de obstar, em razão da passagem do tempo, a divulgação de fatos ou dados verídicos e licitamente obtidos e publicados em meios de comunicação social analógicos ou digitais. Eventuais excessos ou abusos no exercício da liberdade de expressão e de informação devem ser analisados caso a caso, a partir dos parâmetros constitucionais - especialmente os relativos à proteção da honra, da imagem, da privacidade e da personalidade em geral - e das expressas e específicas previsões legais nos âmbitos pe</w:t>
      </w:r>
    </w:p>
    <w:p>
      <w:pPr>
        <w:ind w:left="288"/>
      </w:pPr>
      <w:r>
        <w:rPr>
          <w:b/>
          <w:color w:val="003CA0"/>
          <w:sz w:val="16"/>
        </w:rPr>
        <w:t>[RE 1.010.606, rel. min. Dias Toffoli, j. 11-2-2021, P, DJE de 20-5-2021. Tema 786, com mérito julgado.]</w:t>
      </w:r>
    </w:p>
    <w:p>
      <w:pPr>
        <w:ind w:left="288"/>
      </w:pPr>
      <w:r>
        <w:rPr>
          <w:color w:val="8C8C8C"/>
          <w:sz w:val="12"/>
        </w:rPr>
        <w:t>cf-art-5-inc-XIII</w:t>
      </w:r>
      <w:r>
        <w:rPr>
          <w:color w:val="003CA0"/>
          <w:sz w:val="12"/>
        </w:rPr>
        <w:t xml:space="preserve"> | RE 1.292.275</w:t>
      </w:r>
      <w:r>
        <w:rPr>
          <w:color w:val="003CA0"/>
          <w:sz w:val="12"/>
        </w:rPr>
        <w:t xml:space="preserve"> | rel. Nunes Marques</w:t>
      </w:r>
    </w:p>
    <w:p>
      <w:pPr>
        <w:ind w:left="288"/>
      </w:pPr>
      <w:r>
        <w:rPr>
          <w:color w:val="1E1E1E"/>
          <w:sz w:val="18"/>
        </w:rPr>
        <w:t>Divulgação de imagens de presos provisórios. Direito à informação versus direito à intimidade. (...) Não há direitos fundamentais absolutos, cabendo ao julgador, dadas as circunstâncias do caso concreto, em juízo de ponderação, avaliar qual princípio deverá prevalecer.</w:t>
      </w:r>
    </w:p>
    <w:p>
      <w:pPr>
        <w:ind w:left="288"/>
      </w:pPr>
      <w:r>
        <w:rPr>
          <w:b/>
          <w:color w:val="003CA0"/>
          <w:sz w:val="16"/>
        </w:rPr>
        <w:t>[RE 1.292.275 AgR, rel. min. Nunes Marques, j. 3-5-2023, 1ª T, DJE de 22-5-2023.]</w:t>
      </w:r>
    </w:p>
    <w:p>
      <w:pPr>
        <w:ind w:left="288"/>
      </w:pPr>
      <w:r>
        <w:rPr>
          <w:color w:val="8C8C8C"/>
          <w:sz w:val="12"/>
        </w:rPr>
        <w:t>cf-art-5-inc-XIII</w:t>
      </w:r>
      <w:r>
        <w:rPr>
          <w:color w:val="003CA0"/>
          <w:sz w:val="12"/>
        </w:rPr>
        <w:t xml:space="preserve"> | RMS 23.036</w:t>
      </w:r>
      <w:r>
        <w:rPr>
          <w:color w:val="003CA0"/>
          <w:sz w:val="12"/>
        </w:rPr>
        <w:t xml:space="preserve"> | rel. Cármen Lúcia</w:t>
      </w:r>
    </w:p>
    <w:p>
      <w:pPr>
        <w:ind w:left="288"/>
      </w:pPr>
      <w:r>
        <w:rPr>
          <w:color w:val="1E1E1E"/>
          <w:sz w:val="18"/>
        </w:rPr>
        <w:t>A decisão proferida no julgamento do RMS 23.036 não restringiu o acesso dos então impetrantes aos documentos e arquivos fonográficos relacionados às sessões públicas de julgamentos do STM ocorridas na década de 1970, assentando que todos os julgamentos seriam públicos e que as gravações dos áudios dessas sessões deveriam ser disponibilizadas aos impetrantes, também no que se refere aos debates e votos proferidos pelos julgadores. Injustificável a resistência que o STM tenta opor ao cumprimento da decisão emanada deste Supremo Tribunal, que afastou os obstáculos erigidos para impedir fossem tra</w:t>
      </w:r>
    </w:p>
    <w:p>
      <w:pPr>
        <w:ind w:left="288"/>
      </w:pPr>
      <w:r>
        <w:rPr>
          <w:b/>
          <w:color w:val="003CA0"/>
          <w:sz w:val="16"/>
        </w:rPr>
        <w:t>[Rcl 11.949, rel. min. Cármen Lúcia, j. 16-3-2017, P, DJE de 16-8-2017.]</w:t>
      </w:r>
    </w:p>
    <w:p>
      <w:pPr>
        <w:ind w:left="288"/>
      </w:pPr>
      <w:r>
        <w:rPr>
          <w:color w:val="8C8C8C"/>
          <w:sz w:val="12"/>
        </w:rPr>
        <w:t>cf-art-5-inc-XIII</w:t>
      </w:r>
      <w:r>
        <w:rPr>
          <w:color w:val="003CA0"/>
          <w:sz w:val="12"/>
        </w:rPr>
        <w:t xml:space="preserve"> | INQ 544</w:t>
      </w:r>
      <w:r>
        <w:rPr>
          <w:color w:val="003CA0"/>
          <w:sz w:val="12"/>
        </w:rPr>
        <w:t xml:space="preserve"> | rel. Gilmar Mendes</w:t>
      </w:r>
    </w:p>
    <w:p>
      <w:pPr>
        <w:ind w:left="288"/>
      </w:pPr>
      <w:r>
        <w:rPr>
          <w:color w:val="1E1E1E"/>
          <w:sz w:val="18"/>
        </w:rPr>
        <w:t>O sigilo profissional constitucionalmente determinado não exclui a possibilidade de cumprimento de mandado de busca e apreensão em escritório de advocacia. O local de trabalho do advogado, desde que este seja investigado, pode ser alvo de busca e apreensão, observando-se os limites impostos pela autoridade judicial. Tratando-se de local onde existem documentos que dizem respeito a outros sujeitos não investigados, é indispensável a especificação do âmbito de abrangência da medida, que não poderá ser executada sobre a esfera de direitos de não investigados. Equívoco quanto à indicação do escrit</w:t>
      </w:r>
    </w:p>
    <w:p>
      <w:pPr>
        <w:ind w:left="288"/>
      </w:pPr>
      <w:r>
        <w:rPr>
          <w:b/>
          <w:color w:val="003CA0"/>
          <w:sz w:val="16"/>
        </w:rPr>
        <w:t>[HC 91.610, rel. min. Gilmar Mendes, j. 8-6-2010, 2ª T, DJE de 22-10-2010.]</w:t>
      </w:r>
    </w:p>
    <w:p>
      <w:pPr>
        <w:ind w:left="288"/>
      </w:pPr>
      <w:r>
        <w:rPr>
          <w:color w:val="8C8C8C"/>
          <w:sz w:val="12"/>
        </w:rPr>
        <w:t>cf-art-5-inc-XIII</w:t>
      </w:r>
      <w:r>
        <w:rPr>
          <w:color w:val="003CA0"/>
          <w:sz w:val="12"/>
        </w:rPr>
        <w:t xml:space="preserve"> | RE 511.961</w:t>
      </w:r>
      <w:r>
        <w:rPr>
          <w:color w:val="003CA0"/>
          <w:sz w:val="12"/>
        </w:rPr>
        <w:t xml:space="preserve"> | rel. Gilmar Mendes</w:t>
      </w:r>
    </w:p>
    <w:p>
      <w:pPr>
        <w:ind w:left="288"/>
      </w:pPr>
      <w:r>
        <w:rPr>
          <w:color w:val="1E1E1E"/>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w:t>
      </w:r>
    </w:p>
    <w:p>
      <w:pPr>
        <w:ind w:left="288"/>
      </w:pPr>
      <w:r>
        <w:rPr>
          <w:b/>
          <w:color w:val="003CA0"/>
          <w:sz w:val="16"/>
        </w:rPr>
        <w:t>[RE 511.961, rel. min. Gilmar Mendes, j. 17-6-2009, P, DJE de 13-11-2009.]</w:t>
      </w:r>
    </w:p>
    <w:p>
      <w:pPr>
        <w:ind w:left="288"/>
      </w:pPr>
      <w:r>
        <w:rPr>
          <w:color w:val="8C8C8C"/>
          <w:sz w:val="12"/>
        </w:rPr>
        <w:t>cf-art-5-inc-XIII</w:t>
      </w:r>
      <w:r>
        <w:rPr>
          <w:color w:val="003CA0"/>
          <w:sz w:val="12"/>
        </w:rPr>
        <w:t xml:space="preserve"> | RMS 23.036</w:t>
      </w:r>
      <w:r>
        <w:rPr>
          <w:color w:val="003CA0"/>
          <w:sz w:val="12"/>
        </w:rPr>
        <w:t xml:space="preserve"> | rel. Maurício Corrêa</w:t>
      </w:r>
    </w:p>
    <w:p>
      <w:pPr>
        <w:ind w:left="288"/>
      </w:pPr>
      <w:r>
        <w:rPr>
          <w:color w:val="1E1E1E"/>
          <w:sz w:val="18"/>
        </w:rPr>
        <w:t>STM. Cópia de processos e dos áudios de sessões. Fonte histórica para obra literária. Âmbito de proteção do direito à informação (art. 5º, XIV, da CF). Não se cogita da violação de direitos previstos no Estatuto da OAB (art. 7º, XIII, XIV e XV, da Lei 8.906/1996), uma vez que os impetrantes não requisitaram acesso às fontes documentais e fonográficas no exercício da função advocatícia, mas como pesquisadores. A publicidade e o direito à informação não podem ser restringidos com base em atos de natureza discricionária, salvo quando justificados, em casos excepcionais, para a defesa da honra, da</w:t>
      </w:r>
    </w:p>
    <w:p>
      <w:pPr>
        <w:ind w:left="288"/>
      </w:pPr>
      <w:r>
        <w:rPr>
          <w:b/>
          <w:color w:val="003CA0"/>
          <w:sz w:val="16"/>
        </w:rPr>
        <w:t>[RMS 23.036, rel. min. Maurício Corrêa, red. do ac. min. Nelson Jobim, j. 28-3-2006, 2ª T, DJ de 25-8-2006.]</w:t>
      </w:r>
    </w:p>
    <w:p>
      <w:pPr>
        <w:ind w:left="288"/>
      </w:pPr>
      <w:r>
        <w:rPr>
          <w:color w:val="8C8C8C"/>
          <w:sz w:val="12"/>
        </w:rPr>
        <w:t>cf-art-5-inc-XIII</w:t>
      </w:r>
      <w:r>
        <w:rPr>
          <w:color w:val="003CA0"/>
          <w:sz w:val="12"/>
        </w:rPr>
        <w:t xml:space="preserve"> | RCL 11.949</w:t>
      </w:r>
      <w:r>
        <w:rPr>
          <w:color w:val="003CA0"/>
          <w:sz w:val="12"/>
        </w:rPr>
        <w:t xml:space="preserve"> | rel. Cármen Lúcia</w:t>
      </w:r>
    </w:p>
    <w:p>
      <w:pPr>
        <w:ind w:left="288"/>
      </w:pPr>
      <w:r>
        <w:rPr>
          <w:color w:val="1E1E1E"/>
          <w:sz w:val="18"/>
        </w:rPr>
        <w:t xml:space="preserve">Vide Rcl 11.949, rel. min. Cármen Lúcia, j. 16-3-2017, P, DJE de 16-8-2017 XV - é livre a locomoção no território nacional em tempo de paz, podendo qualquer pessoa, nos termos da lei, nele entrar, permanecer ou dele sair com seus bens; A proibição de saída do município sede da unidade em que o servidor atua sem autorização do superior hierárquico configura grave violação da liberdade fundamental de locomoção (artigo 5º, XV, da Constituição de 1988) e do devido processo legal (artigo 5º, LIV, da Constituição), mercê de constituir medida de caráter excepcional no âmbito processual penal (artigo </w:t>
      </w:r>
    </w:p>
    <w:p>
      <w:pPr>
        <w:ind w:left="288"/>
      </w:pPr>
      <w:r>
        <w:rPr>
          <w:b/>
          <w:color w:val="003CA0"/>
          <w:sz w:val="16"/>
        </w:rPr>
        <w:t>[ADPF 90, rel. min. Edson Fachin, j. 3-4-2020, P, DJE de 13-5-2020.]</w:t>
      </w:r>
    </w:p>
    <w:p>
      <w:pPr>
        <w:ind w:left="288"/>
      </w:pPr>
      <w:r>
        <w:rPr>
          <w:color w:val="8C8C8C"/>
          <w:sz w:val="12"/>
        </w:rPr>
        <w:t>cf-art-5-inc-XIII</w:t>
      </w:r>
      <w:r>
        <w:rPr>
          <w:color w:val="003CA0"/>
          <w:sz w:val="12"/>
        </w:rPr>
        <w:t xml:space="preserve"> | ADI 1.706</w:t>
      </w:r>
      <w:r>
        <w:rPr>
          <w:color w:val="003CA0"/>
          <w:sz w:val="12"/>
        </w:rPr>
        <w:t xml:space="preserve"> | rel. Eros Grau</w:t>
      </w:r>
    </w:p>
    <w:p>
      <w:pPr>
        <w:ind w:left="288"/>
      </w:pPr>
      <w:r>
        <w:rPr>
          <w:color w:val="1E1E1E"/>
          <w:sz w:val="18"/>
        </w:rPr>
        <w:t>Lei distrital 1.713, de 3-9-1997. Quadras residenciais do Plano Piloto da Asa Norte e da Asa Sul. (...) O art. 4º da lei possibilita a fixação de obstáculos a fim de dificultar a entrada e saída de veículos nos limites externos das quadras ou conjuntos. Violação do direito à circulação, que é a manifestação mais característica do direito de locomoção. A administração não poderá impedir o trânsito de pessoas no que toca aos bens de uso comum. O tombamento é constituído mediante ato do Poder Executivo que estabelece o alcance da limitação ao direito de propriedade.</w:t>
      </w:r>
    </w:p>
    <w:p>
      <w:pPr>
        <w:ind w:left="288"/>
      </w:pPr>
      <w:r>
        <w:rPr>
          <w:b/>
          <w:color w:val="003CA0"/>
          <w:sz w:val="16"/>
        </w:rPr>
        <w:t>[ADI 1.706, rel. min. Eros Grau, j. 9-4-2008, P, DJE de 12-9-2008.]</w:t>
      </w:r>
    </w:p>
    <w:p>
      <w:pPr>
        <w:ind w:left="288"/>
      </w:pPr>
      <w:r>
        <w:rPr>
          <w:color w:val="8C8C8C"/>
          <w:sz w:val="12"/>
        </w:rPr>
        <w:t>cf-art-5-inc-XIII</w:t>
      </w:r>
      <w:r>
        <w:rPr>
          <w:color w:val="003CA0"/>
          <w:sz w:val="12"/>
        </w:rPr>
        <w:t xml:space="preserve"> | HC 94.147</w:t>
      </w:r>
      <w:r>
        <w:rPr>
          <w:color w:val="003CA0"/>
          <w:sz w:val="12"/>
        </w:rPr>
        <w:t xml:space="preserve"> | rel. Ellen Gracie</w:t>
      </w:r>
    </w:p>
    <w:p>
      <w:pPr>
        <w:ind w:left="288"/>
      </w:pPr>
      <w:r>
        <w:rPr>
          <w:color w:val="1E1E1E"/>
          <w:sz w:val="18"/>
        </w:rPr>
        <w:t>A questão jurídica debatida neste habeas corpus consiste na possibilidade (ou não) da imposição de condições ao paciente com a revogação da decisão que decretou sua prisão preventiva. Houve a observância dos princípios e regras constitucionais aplicáveis à matéria na decisão que condicionou a revogação do decreto prisional ao cumprimento de certas condições judiciais. Não há direito absoluto à liberdade de ir e vir (CF, art. 5º, XV) e, portanto, existem situações em que se faz necessária a ponderação dos interesses em conflito na apreciação do caso concreto. A medida adotada na decisão impugna</w:t>
      </w:r>
    </w:p>
    <w:p>
      <w:pPr>
        <w:ind w:left="288"/>
      </w:pPr>
      <w:r>
        <w:rPr>
          <w:b/>
          <w:color w:val="003CA0"/>
          <w:sz w:val="16"/>
        </w:rPr>
        <w:t>[HC 94.147, rel. min. Ellen Gracie, j. 27-5-2008, 2ª T, DJE de 13-6-2008.]</w:t>
      </w:r>
    </w:p>
    <w:p>
      <w:pPr>
        <w:ind w:left="288"/>
      </w:pPr>
      <w:r>
        <w:rPr>
          <w:color w:val="8C8C8C"/>
          <w:sz w:val="12"/>
        </w:rPr>
        <w:t>cf-art-5-inc-XIII</w:t>
      </w:r>
      <w:r>
        <w:rPr>
          <w:color w:val="003CA0"/>
          <w:sz w:val="12"/>
        </w:rPr>
        <w:t xml:space="preserve"> | HC 89.645</w:t>
      </w:r>
      <w:r>
        <w:rPr>
          <w:color w:val="003CA0"/>
          <w:sz w:val="12"/>
        </w:rPr>
        <w:t xml:space="preserve"> | rel. Gilmar Mendes</w:t>
      </w:r>
    </w:p>
    <w:p>
      <w:pPr>
        <w:ind w:left="288"/>
      </w:pPr>
      <w:r>
        <w:rPr>
          <w:color w:val="1E1E1E"/>
          <w:sz w:val="18"/>
        </w:rPr>
        <w:t>Para que a liberdade dos cidadãos seja legitimamente restringida, é necessário que o órgão judicial competente se pronuncie de modo expresso, fundamentado e, na linha da jurisprudência deste STF, com relação às prisões preventivas em geral, deve indicar elementos concretos aptos a justificar a constrição cautelar desse direito fundamental (...). O acórdão impugnado, entretanto, partiu da premissa de que a prisão preventiva, nos casos em que se apure suposta prática do crime de deserção (CPM, art. 187), deve ter duração automática de sessenta dias. A decretação judicial da custódia cautelar dev</w:t>
      </w:r>
    </w:p>
    <w:p>
      <w:pPr>
        <w:ind w:left="288"/>
      </w:pPr>
      <w:r>
        <w:rPr>
          <w:b/>
          <w:color w:val="003CA0"/>
          <w:sz w:val="16"/>
        </w:rPr>
        <w:t>[HC 89.645, rel. min. Gilmar Mendes, j. 11-9-2007, 2ª T, DJ de 28-9-2007.]</w:t>
      </w:r>
    </w:p>
    <w:p>
      <w:pPr>
        <w:ind w:left="288"/>
      </w:pPr>
      <w:r>
        <w:rPr>
          <w:color w:val="8C8C8C"/>
          <w:sz w:val="12"/>
        </w:rPr>
        <w:t>cf-art-5-inc-XIII</w:t>
      </w:r>
      <w:r>
        <w:rPr>
          <w:color w:val="003CA0"/>
          <w:sz w:val="12"/>
        </w:rPr>
        <w:t xml:space="preserve"> | RHC 105.776</w:t>
      </w:r>
      <w:r>
        <w:rPr>
          <w:color w:val="003CA0"/>
          <w:sz w:val="12"/>
        </w:rPr>
        <w:t xml:space="preserve"> | rel. Celso de Mello</w:t>
      </w:r>
    </w:p>
    <w:p>
      <w:pPr>
        <w:ind w:left="288"/>
      </w:pPr>
      <w:r>
        <w:rPr>
          <w:color w:val="1E1E1E"/>
          <w:sz w:val="18"/>
        </w:rPr>
        <w:t>= RHC 105.776, rel. min. Celso de Mello, j. 22-5-2012, 2ª T, DJE de 30-10-2014 XVI - todos podem reunir-se pacificamente, sem armas, em locais abertos ao público, independentemente de autorização, desde que não frustrem outra reunião anteriormente convocada para o mesmo local, sendo apenas exigido prévio aviso à autoridade competente; Artigo 31, incisos IV e V, da Lei nº 6.425/72 do Estado de Pernambuco, a qual institui o estatuto policial no âmbito daquele estado. (...) Na espécie, impugna-se lei estadual que proíbe os policiais civis do Estado de Pernambuco de “promover ou participar de mani</w:t>
      </w:r>
    </w:p>
    <w:p>
      <w:pPr>
        <w:ind w:left="288"/>
      </w:pPr>
      <w:r>
        <w:rPr>
          <w:b/>
          <w:color w:val="003CA0"/>
          <w:sz w:val="16"/>
        </w:rPr>
        <w:t>[ADPF 734, rel. min. Dias Toffoli, j. 13-4-2023, P, DJE de 4-5-2023.]</w:t>
      </w:r>
    </w:p>
    <w:p>
      <w:pPr>
        <w:ind w:left="288"/>
      </w:pPr>
      <w:r>
        <w:rPr>
          <w:color w:val="8C8C8C"/>
          <w:sz w:val="12"/>
        </w:rPr>
        <w:t>cf-art-5-inc-XIII</w:t>
      </w:r>
      <w:r>
        <w:rPr>
          <w:color w:val="003CA0"/>
          <w:sz w:val="12"/>
        </w:rPr>
        <w:t xml:space="preserve"> | ADPF 475</w:t>
      </w:r>
      <w:r>
        <w:rPr>
          <w:color w:val="003CA0"/>
          <w:sz w:val="12"/>
        </w:rPr>
        <w:t xml:space="preserve"> | rel. Dias Toffoli</w:t>
      </w:r>
    </w:p>
    <w:p>
      <w:pPr>
        <w:ind w:left="288"/>
      </w:pPr>
      <w:r>
        <w:rPr>
          <w:color w:val="1E1E1E"/>
          <w:sz w:val="18"/>
        </w:rPr>
        <w:t>Vide ADPF 475, rel. min. Dias Toffoli, j. 13-4-2023, P, DJE de 4-5-2023 A garantia plena e o efetivo exercício dos direitos de greve e reunião consistem em exigência nuclear do direito fundamental à livre manifestação de pensamento, sendo absolutamente necessários na efetivação da cidadania popular e fundamentais no desenvolvimento dos ideais democráticos. Esses direitos encontram seus limites nos demais direitos igualmente consagrados pela Constituição, não podendo ser exercícios, em uma sociedade democrática, de maneira abusiva e atentatória à proteção dos direitos e liberdades dos demais ci</w:t>
      </w:r>
    </w:p>
    <w:p>
      <w:pPr>
        <w:ind w:left="288"/>
      </w:pPr>
      <w:r>
        <w:rPr>
          <w:b/>
          <w:color w:val="003CA0"/>
          <w:sz w:val="16"/>
        </w:rPr>
        <w:t>[ADPF 519 REF, rel. min. Alexandre de Moraes, j. 2-11-2022, P, DJE de 9-2-2023.]</w:t>
      </w:r>
    </w:p>
    <w:p>
      <w:pPr>
        <w:ind w:left="288"/>
      </w:pPr>
      <w:r>
        <w:rPr>
          <w:color w:val="8C8C8C"/>
          <w:sz w:val="12"/>
        </w:rPr>
        <w:t>cf-art-5-inc-XIII</w:t>
      </w:r>
      <w:r>
        <w:rPr>
          <w:color w:val="003CA0"/>
          <w:sz w:val="12"/>
        </w:rPr>
        <w:t xml:space="preserve"> | ADPF 722</w:t>
      </w:r>
      <w:r>
        <w:rPr>
          <w:color w:val="003CA0"/>
          <w:sz w:val="12"/>
        </w:rPr>
        <w:t xml:space="preserve"> | rel. Cármen Lúcia</w:t>
      </w:r>
    </w:p>
    <w:p>
      <w:pPr>
        <w:ind w:left="288"/>
      </w:pPr>
      <w:r>
        <w:rPr>
          <w:color w:val="1E1E1E"/>
          <w:sz w:val="18"/>
        </w:rPr>
        <w:t>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88"/>
      </w:pPr>
      <w:r>
        <w:rPr>
          <w:b/>
          <w:color w:val="003CA0"/>
          <w:sz w:val="16"/>
        </w:rPr>
        <w:t>[ADPF 722, rel. min. Cármen Lúcia, j. 16-5-2022, P, DJE de 9-6-2022.]</w:t>
      </w:r>
    </w:p>
    <w:p>
      <w:pPr>
        <w:ind w:left="288"/>
      </w:pPr>
      <w:r>
        <w:rPr>
          <w:color w:val="8C8C8C"/>
          <w:sz w:val="12"/>
        </w:rPr>
        <w:t>cf-art-5-inc-XIII</w:t>
      </w:r>
      <w:r>
        <w:rPr>
          <w:color w:val="003CA0"/>
          <w:sz w:val="12"/>
        </w:rPr>
        <w:t xml:space="preserve"> | ADI 5.852</w:t>
      </w:r>
      <w:r>
        <w:rPr>
          <w:color w:val="003CA0"/>
          <w:sz w:val="12"/>
        </w:rPr>
        <w:t xml:space="preserve"> | rel. Dias Toffoli</w:t>
      </w:r>
    </w:p>
    <w:p>
      <w:pPr>
        <w:ind w:left="288"/>
      </w:pPr>
      <w:r>
        <w:rPr>
          <w:color w:val="1E1E1E"/>
          <w:sz w:val="18"/>
        </w:rPr>
        <w:t>O exercício da liberdade de reunião é essencial para a criação de um ambiente democrático real que oportunize ao cidadão desempenhar adequadamente o seu papel de cointérprete da Constituição, propiciando a criação de agendas sociais que poderiam passar ao largo dos interesses político-partidários hegemônicos. A liberdade de reunião alcança o nível de visibilidade desejado e comunica a sua mensagem quando da realização de atos eventualmente inconvenientes para os não-participantes do protesto, os quais, se razoáveis e não-violentos, devem ser tolerados pelo Estado e pela sociedade. A posição pr</w:t>
      </w:r>
    </w:p>
    <w:p>
      <w:pPr>
        <w:ind w:left="288"/>
      </w:pPr>
      <w:r>
        <w:rPr>
          <w:b/>
          <w:color w:val="003CA0"/>
          <w:sz w:val="16"/>
        </w:rPr>
        <w:t>[ADI 5.852, rel. min. Dias Toffoli, red. do ac. min. Luiz Fux, j. 24-8-2020, P, DJE de 26-11-2020.]</w:t>
      </w:r>
    </w:p>
    <w:p>
      <w:pPr>
        <w:ind w:left="288"/>
      </w:pPr>
      <w:r>
        <w:rPr>
          <w:color w:val="8C8C8C"/>
          <w:sz w:val="12"/>
        </w:rPr>
        <w:t>cf-art-5-inc-XIII</w:t>
      </w:r>
      <w:r>
        <w:rPr>
          <w:color w:val="003CA0"/>
          <w:sz w:val="12"/>
        </w:rPr>
        <w:t xml:space="preserve"> | ADI 4.274</w:t>
      </w:r>
      <w:r>
        <w:rPr>
          <w:color w:val="003CA0"/>
          <w:sz w:val="12"/>
        </w:rPr>
        <w:t xml:space="preserve"> | rel. Ayres Britto</w:t>
      </w:r>
    </w:p>
    <w:p>
      <w:pPr>
        <w:ind w:left="288"/>
      </w:pPr>
      <w:r>
        <w:rPr>
          <w:color w:val="1E1E1E"/>
          <w:sz w:val="18"/>
        </w:rPr>
        <w:t>Cabível o pedido de "interpretação conforme à Constituição" de preceito legal portador de mais de um sentido, dando-se que ao menos um deles é contrário à CF. A utilização do § 3º do art. 33 da Lei 11.343/2006 como fundamento para a proibição judicial de eventos públicos de defesa da legalização ou da descriminalização do uso de entorpecentes ofende o direito fundamental de reunião, expressamente outorgado pelo inciso XVI do art. 5º da Carta Magna. Regular exercício das liberdades constitucionais de manifestação de pensamento e expressão, em sentido lato, além do direito de acesso à informação</w:t>
      </w:r>
    </w:p>
    <w:p>
      <w:pPr>
        <w:ind w:left="288"/>
      </w:pPr>
      <w:r>
        <w:rPr>
          <w:b/>
          <w:color w:val="003CA0"/>
          <w:sz w:val="16"/>
        </w:rPr>
        <w:t>[ADI 4.274, rel. min. Ayres Britto, j. 23-11-2011, P, DJE de 2-5-2012.]</w:t>
      </w:r>
    </w:p>
    <w:p>
      <w:pPr>
        <w:ind w:left="288"/>
      </w:pPr>
      <w:r>
        <w:rPr>
          <w:color w:val="8C8C8C"/>
          <w:sz w:val="12"/>
        </w:rPr>
        <w:t>cf-art-5-inc-XIII</w:t>
      </w:r>
      <w:r>
        <w:rPr>
          <w:color w:val="003CA0"/>
          <w:sz w:val="12"/>
        </w:rPr>
        <w:t xml:space="preserve"> | ADPF 187</w:t>
      </w:r>
      <w:r>
        <w:rPr>
          <w:color w:val="003CA0"/>
          <w:sz w:val="12"/>
        </w:rPr>
        <w:t xml:space="preserve"> | rel. Celso de Mello</w:t>
      </w:r>
    </w:p>
    <w:p>
      <w:pPr>
        <w:ind w:left="288"/>
      </w:pPr>
      <w:r>
        <w:rPr>
          <w:color w:val="1E1E1E"/>
          <w:sz w:val="18"/>
        </w:rPr>
        <w:t>Vide ADPF 187, rel. min. Celso de Mello, j. 15-6-2011, P, DJE de 29-5-2014 "Marcha da Maconha". Manifestação legítima, por cidadãos da República, de duas liberdades individuais revestidas de caráter fundamental: o direito de reunião (liberdade-meio) e o direito à livre expressão do pensamento (liberdade-fim). A liberdade de reunião como pré-condição necessária à ativa participação dos cidadãos no processo político e no de tomada de decisões no âmbito do aparelho de Estado. Consequente legitimidade, sob perspectiva estritamente constitucional, de assembleias, reuniões, marchas, passeatas ou enc</w:t>
      </w:r>
    </w:p>
    <w:p>
      <w:pPr>
        <w:ind w:left="288"/>
      </w:pPr>
      <w:r>
        <w:rPr>
          <w:b/>
          <w:color w:val="003CA0"/>
          <w:sz w:val="16"/>
        </w:rPr>
        <w:t>[ADPF 187, rel. min. Celso de Mello, j. 15-6-2011, P, DJE de 29-5-2014.]</w:t>
      </w:r>
    </w:p>
    <w:p>
      <w:pPr>
        <w:ind w:left="288"/>
      </w:pPr>
      <w:r>
        <w:rPr>
          <w:color w:val="8C8C8C"/>
          <w:sz w:val="12"/>
        </w:rPr>
        <w:t>cf-art-5-inc-XIII</w:t>
      </w:r>
      <w:r>
        <w:rPr>
          <w:color w:val="003CA0"/>
          <w:sz w:val="12"/>
        </w:rPr>
        <w:t xml:space="preserve"> | ADI 4.274</w:t>
      </w:r>
      <w:r>
        <w:rPr>
          <w:color w:val="003CA0"/>
          <w:sz w:val="12"/>
        </w:rPr>
        <w:t xml:space="preserve"> | rel. Ayres Britto</w:t>
      </w:r>
    </w:p>
    <w:p>
      <w:pPr>
        <w:ind w:left="288"/>
      </w:pPr>
      <w:r>
        <w:rPr>
          <w:color w:val="1E1E1E"/>
          <w:sz w:val="18"/>
        </w:rPr>
        <w:t>Vide ADI 4.274, rel. min. Ayres Britto, j. 23-11-2011, P, DJE de 2-5-2012 Ofensa ao art. 5º, XVI, da CF. A liberdade de reunião e de associação para fins lícitos constitui uma das mais importantes conquistas da civilização, enquanto fundamento das modernas democracias políticas. A restrição ao direito de reunião estabelecida pelo Decreto distrital 20.098/1999, a toda evidência, mostra-se inadequada, desnecessária e desproporcional quando confrontada com a vontade da Constituição (Wille zur Verfassung).</w:t>
      </w:r>
    </w:p>
    <w:p>
      <w:pPr>
        <w:ind w:left="288"/>
      </w:pPr>
      <w:r>
        <w:rPr>
          <w:b/>
          <w:color w:val="003CA0"/>
          <w:sz w:val="16"/>
        </w:rPr>
        <w:t>[ADI 1.969, rel. min. Ricardo Lewandowski, j. 28-6-2007, P, DJ de 31-8-2007.]</w:t>
      </w:r>
    </w:p>
    <w:p>
      <w:pPr>
        <w:ind w:left="288"/>
      </w:pPr>
      <w:r>
        <w:rPr>
          <w:color w:val="8C8C8C"/>
          <w:sz w:val="12"/>
        </w:rPr>
        <w:t>cf-art-5-inc-XIII</w:t>
      </w:r>
      <w:r>
        <w:rPr>
          <w:color w:val="003CA0"/>
          <w:sz w:val="12"/>
        </w:rPr>
        <w:t xml:space="preserve"> | RE 806.339</w:t>
      </w:r>
    </w:p>
    <w:p>
      <w:pPr>
        <w:ind w:left="288"/>
      </w:pPr>
      <w:r>
        <w:rPr>
          <w:color w:val="1E1E1E"/>
          <w:sz w:val="18"/>
        </w:rPr>
        <w:t>A exigência constitucional de aviso prévio relativamente ao direito de reunião é satisfeita com a veiculação de informação que permita ao poder público zelar para que seu exercício se dê de forma pacífica ou para que não frustre outra reunião no mesmo local.</w:t>
      </w:r>
    </w:p>
    <w:p>
      <w:pPr>
        <w:ind w:left="288"/>
      </w:pPr>
      <w:r>
        <w:rPr>
          <w:b/>
          <w:color w:val="003CA0"/>
          <w:sz w:val="16"/>
        </w:rPr>
        <w:t>[RE 806.339, red. do ac. min. Edson Fachin, j. 15-12-2020, P, DJE de 19-3-2021. Tema 855, com mérito julgado.]</w:t>
      </w:r>
    </w:p>
    <w:p>
      <w:pPr>
        <w:ind w:left="288"/>
      </w:pPr>
      <w:r>
        <w:rPr>
          <w:color w:val="8C8C8C"/>
          <w:sz w:val="12"/>
        </w:rPr>
        <w:t>cf-art-5-inc-XIII</w:t>
      </w:r>
      <w:r>
        <w:rPr>
          <w:color w:val="003CA0"/>
          <w:sz w:val="12"/>
        </w:rPr>
        <w:t xml:space="preserve"> | RE 1.467.145</w:t>
      </w:r>
      <w:r>
        <w:rPr>
          <w:color w:val="003CA0"/>
          <w:sz w:val="12"/>
        </w:rPr>
        <w:t xml:space="preserve"> | rel. Flávio Dino</w:t>
      </w:r>
    </w:p>
    <w:p>
      <w:pPr>
        <w:ind w:left="288"/>
      </w:pPr>
      <w:r>
        <w:rPr>
          <w:color w:val="1E1E1E"/>
          <w:sz w:val="18"/>
        </w:rPr>
        <w:t>“I) O Estado do Paraná, em conformidade com postulados adotados pelo Supremo Tribunal Federal na fixação da tese no Tema nº 1.055 da Repercussão Geral, responde objetivamente pelos danos concretos diretamente causados por ação de policiais durante a ‘Operação Centro Cívico’, ocorrida em 29 de abril de 2015. Cabe ao ente público demonstrar, em cada caso, os fatos que comprovem eventual excludente da responsabilidade civil. II) Não se presume o reconhecimento da excludente de culpa exclusiva da vítima unicamente pelo fato desta estar presente na manifestação.”</w:t>
      </w:r>
    </w:p>
    <w:p>
      <w:pPr>
        <w:ind w:left="288"/>
      </w:pPr>
      <w:r>
        <w:rPr>
          <w:b/>
          <w:color w:val="003CA0"/>
          <w:sz w:val="16"/>
        </w:rPr>
        <w:t>[RE 1.467.145, rel. min. Flávio Dino, j. 29-10-2025, P, DJE de 11-2-2026.]</w:t>
      </w:r>
    </w:p>
    <w:p>
      <w:pPr>
        <w:ind w:left="288"/>
      </w:pPr>
      <w:r>
        <w:rPr>
          <w:color w:val="8C8C8C"/>
          <w:sz w:val="12"/>
        </w:rPr>
        <w:t>cf-art-5-inc-XIII</w:t>
      </w:r>
      <w:r>
        <w:rPr>
          <w:color w:val="003CA0"/>
          <w:sz w:val="12"/>
        </w:rPr>
        <w:t xml:space="preserve"> | MS 40.556</w:t>
      </w:r>
      <w:r>
        <w:rPr>
          <w:color w:val="003CA0"/>
          <w:sz w:val="12"/>
        </w:rPr>
        <w:t xml:space="preserve"> | rel. Nunes Marques</w:t>
      </w:r>
    </w:p>
    <w:p>
      <w:pPr>
        <w:ind w:left="288"/>
      </w:pPr>
      <w:r>
        <w:rPr>
          <w:color w:val="1E1E1E"/>
          <w:sz w:val="18"/>
        </w:rPr>
        <w:t>XVII - é plena a liberdade de associação para fins lícitos, vedada a de caráter paramilitar; 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VI, VIII, X e XVII), além do princípio do jui</w:t>
      </w:r>
    </w:p>
    <w:p>
      <w:pPr>
        <w:ind w:left="288"/>
      </w:pPr>
      <w:r>
        <w:rPr>
          <w:b/>
          <w:color w:val="003CA0"/>
          <w:sz w:val="16"/>
        </w:rPr>
        <w:t>[MS 40.556 AgR, rel. min. Nunes Marques, j. 18-2-2026, 2ª T, DJE de 27-2-2026.]</w:t>
      </w:r>
    </w:p>
    <w:p>
      <w:pPr>
        <w:ind w:left="288"/>
      </w:pPr>
      <w:r>
        <w:rPr>
          <w:color w:val="8C8C8C"/>
          <w:sz w:val="12"/>
        </w:rPr>
        <w:t>cf-art-5-inc-XIII</w:t>
      </w:r>
      <w:r>
        <w:rPr>
          <w:color w:val="003CA0"/>
          <w:sz w:val="12"/>
        </w:rPr>
        <w:t xml:space="preserve"> | ADPF 722</w:t>
      </w:r>
      <w:r>
        <w:rPr>
          <w:color w:val="003CA0"/>
          <w:sz w:val="12"/>
        </w:rPr>
        <w:t xml:space="preserve"> | rel. Cármen Lúcia</w:t>
      </w:r>
    </w:p>
    <w:p>
      <w:pPr>
        <w:ind w:left="288"/>
      </w:pPr>
      <w:r>
        <w:rPr>
          <w:color w:val="1E1E1E"/>
          <w:sz w:val="18"/>
        </w:rPr>
        <w:t>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88"/>
      </w:pPr>
      <w:r>
        <w:rPr>
          <w:b/>
          <w:color w:val="003CA0"/>
          <w:sz w:val="16"/>
        </w:rPr>
        <w:t>[ADPF 722, rel. min. Cármen Lúcia, j. 16-5-2022, P, DJE de 9-6-2022.]</w:t>
      </w:r>
    </w:p>
    <w:p>
      <w:pPr>
        <w:ind w:left="288"/>
      </w:pPr>
      <w:r>
        <w:rPr>
          <w:color w:val="8C8C8C"/>
          <w:sz w:val="12"/>
        </w:rPr>
        <w:t>cf-art-5-inc-XIII</w:t>
      </w:r>
      <w:r>
        <w:rPr>
          <w:color w:val="003CA0"/>
          <w:sz w:val="12"/>
        </w:rPr>
        <w:t xml:space="preserve"> | ADI 5.108</w:t>
      </w:r>
      <w:r>
        <w:rPr>
          <w:color w:val="003CA0"/>
          <w:sz w:val="12"/>
        </w:rPr>
        <w:t xml:space="preserve"> | rel. Dias Toffoli</w:t>
      </w:r>
    </w:p>
    <w:p>
      <w:pPr>
        <w:ind w:left="288"/>
      </w:pPr>
      <w:r>
        <w:rPr>
          <w:color w:val="1E1E1E"/>
          <w:sz w:val="18"/>
        </w:rPr>
        <w:t>A ordem constitucional brasileira garante a formação de associações por pessoas, naturais ou jurídicas, que queiram, juntas, perseguir finalidade lícita de forma continuada, do que decorre, além da pluralidade de atores e da estabilidade, a ideia de voluntariedade, característica que torna dissonante da estrutura que a Constituição Federal atribuiu às associações a reunião compulsória de seus membros. Ao consagrar a liberdade de associação, a Constituição fê-lo como expressão da autonomia da vontade, haja vista que à pessoa, natural ou não, foi conferido o direito de se associar, de não se ass</w:t>
      </w:r>
    </w:p>
    <w:p>
      <w:pPr>
        <w:ind w:left="288"/>
      </w:pPr>
      <w:r>
        <w:rPr>
          <w:b/>
          <w:color w:val="003CA0"/>
          <w:sz w:val="16"/>
        </w:rPr>
        <w:t>[ADI 5.108, rel. min. Dias Toffoli, j. 28-3-2022, P, DJE de 21-6-2022.]</w:t>
      </w:r>
    </w:p>
    <w:p>
      <w:pPr>
        <w:ind w:left="288"/>
      </w:pPr>
      <w:r>
        <w:rPr>
          <w:color w:val="8C8C8C"/>
          <w:sz w:val="12"/>
        </w:rPr>
        <w:t>cf-art-5-inc-XIII</w:t>
      </w:r>
      <w:r>
        <w:rPr>
          <w:color w:val="003CA0"/>
          <w:sz w:val="12"/>
        </w:rPr>
        <w:t xml:space="preserve"> | ADI 3.757</w:t>
      </w:r>
      <w:r>
        <w:rPr>
          <w:color w:val="003CA0"/>
          <w:sz w:val="12"/>
        </w:rPr>
        <w:t xml:space="preserve"> | rel. Dias Toffoli</w:t>
      </w:r>
    </w:p>
    <w:p>
      <w:pPr>
        <w:ind w:left="288"/>
      </w:pPr>
      <w:r>
        <w:rPr>
          <w:color w:val="1E1E1E"/>
          <w:sz w:val="18"/>
        </w:rPr>
        <w:t>É constitucional a norma estadual que assegura, no âmbito da educação superior: (i) a livre criação e a auto-organização de centros e diretórios acadêmicos, (ii) seu funcionamento no espaço físico da faculdade, (iii) a livre circulação das ideias por eles produzidas, (iv) o acesso dos seus membros às salas de aula e (v) a participação em órgãos colegiados, em observância aos mandamentos constitucionais da liberdade de associação (CF/1988, art. 5º, XVII), da promoção de uma educação plena e capacitadora para o exercício da cidadania (CF/1988, art. 205) e da gestão democrática da educação (CF/19</w:t>
      </w:r>
    </w:p>
    <w:p>
      <w:pPr>
        <w:ind w:left="288"/>
      </w:pPr>
      <w:r>
        <w:rPr>
          <w:b/>
          <w:color w:val="003CA0"/>
          <w:sz w:val="16"/>
        </w:rPr>
        <w:t>[ADI 3.757, rel. min. Dias Toffoli, j. 17-10-2018, P, DJE de 27-4-2020.]</w:t>
      </w:r>
    </w:p>
    <w:p>
      <w:pPr>
        <w:ind w:left="288"/>
      </w:pPr>
      <w:r>
        <w:rPr>
          <w:color w:val="8C8C8C"/>
          <w:sz w:val="12"/>
        </w:rPr>
        <w:t>cf-art-5-inc-XIII</w:t>
      </w:r>
      <w:r>
        <w:rPr>
          <w:color w:val="003CA0"/>
          <w:sz w:val="12"/>
        </w:rPr>
        <w:t xml:space="preserve"> | ADI 1.194</w:t>
      </w:r>
      <w:r>
        <w:rPr>
          <w:color w:val="003CA0"/>
          <w:sz w:val="12"/>
        </w:rPr>
        <w:t xml:space="preserve"> | rel. Maurício Corrêa</w:t>
      </w:r>
    </w:p>
    <w:p>
      <w:pPr>
        <w:ind w:left="288"/>
      </w:pPr>
      <w:r>
        <w:rPr>
          <w:color w:val="1E1E1E"/>
          <w:sz w:val="18"/>
        </w:rPr>
        <w:t>A obrigatoriedade do visto de advogado para o registro de atos e contratos constitutivos de pessoas jurídicas (art. 1º, § 2º, da Lei 8.906/1994) não ofende os princípios constitucionais da isonomia e da liberdade associativa.</w:t>
      </w:r>
    </w:p>
    <w:p>
      <w:pPr>
        <w:ind w:left="288"/>
      </w:pPr>
      <w:r>
        <w:rPr>
          <w:b/>
          <w:color w:val="003CA0"/>
          <w:sz w:val="16"/>
        </w:rPr>
        <w:t>[ADI 1.194, rel. min. Maurício Corrêa, red. do ac. min. Cármen Lúcia, j. 20-5-2009, P, DJE de 11-9-2009.]</w:t>
      </w:r>
    </w:p>
    <w:p>
      <w:pPr>
        <w:ind w:left="288"/>
      </w:pPr>
      <w:r>
        <w:rPr>
          <w:color w:val="8C8C8C"/>
          <w:sz w:val="12"/>
        </w:rPr>
        <w:t>cf-art-5-inc-XIII</w:t>
      </w:r>
      <w:r>
        <w:rPr>
          <w:color w:val="003CA0"/>
          <w:sz w:val="12"/>
        </w:rPr>
        <w:t xml:space="preserve"> | ADI 3.045</w:t>
      </w:r>
      <w:r>
        <w:rPr>
          <w:color w:val="003CA0"/>
          <w:sz w:val="12"/>
        </w:rPr>
        <w:t xml:space="preserve"> | rel. Celso de Mello</w:t>
      </w:r>
    </w:p>
    <w:p>
      <w:pPr>
        <w:ind w:left="288"/>
      </w:pPr>
      <w:r>
        <w:rPr>
          <w:color w:val="1E1E1E"/>
          <w:sz w:val="18"/>
        </w:rPr>
        <w:t>A primeira Constituição política do Brasil a dispor sobre a liberdade de associação foi, precisamente, a Constituição republicana de 1891, e, desde então, essa prerrogativa essencial tem sido contemplada nos sucessivos documentos constitucionais brasileiros, com a ressalva de que, somente a partir da Constituição de 1934, a liberdade de associação ganhou contornos próprios, dissociando-se do direito fundamental de reunião, consoante se depreende do art. 113, § 12, daquela Carta Política. Com efeito, a liberdade de associação não se confunde com o direito de reunião, possuindo, em relação a est</w:t>
      </w:r>
    </w:p>
    <w:p>
      <w:pPr>
        <w:ind w:left="288"/>
      </w:pPr>
      <w:r>
        <w:rPr>
          <w:b/>
          <w:color w:val="003CA0"/>
          <w:sz w:val="16"/>
        </w:rPr>
        <w:t>[ADI 3.045, rel. min. Celso de Mello, j. 10-8-2005, P, DJ de 1º-6-2007.]</w:t>
      </w:r>
    </w:p>
    <w:p>
      <w:pPr>
        <w:ind w:left="288"/>
      </w:pPr>
      <w:r>
        <w:rPr>
          <w:color w:val="8C8C8C"/>
          <w:sz w:val="12"/>
        </w:rPr>
        <w:t>cf-art-5-inc-XIII</w:t>
      </w:r>
      <w:r>
        <w:rPr>
          <w:color w:val="003CA0"/>
          <w:sz w:val="12"/>
        </w:rPr>
        <w:t xml:space="preserve"> | ADI 2.054</w:t>
      </w:r>
      <w:r>
        <w:rPr>
          <w:color w:val="003CA0"/>
          <w:sz w:val="12"/>
        </w:rPr>
        <w:t xml:space="preserve"> | rel. Ilmar Galvão</w:t>
      </w:r>
    </w:p>
    <w:p>
      <w:pPr>
        <w:ind w:left="288"/>
      </w:pPr>
      <w:r>
        <w:rPr>
          <w:color w:val="1E1E1E"/>
          <w:sz w:val="18"/>
        </w:rPr>
        <w:t xml:space="preserve">Liberdade negativa de associação: sua existência, nos textos constitucionais anteriores, como corolário da liberdade positiva de associação e seu alcance e inteligência, na Constituição, quando se cuide de entidade destinada a viabilizar a gestão coletiva de arrecadação e distribuição de direitos autorais e conexos, cuja forma e organização se remeteram à lei. Direitos autorais e conexos: sistema de gestão coletiva de arrecadação e distribuição por meio do Ecad [Escritório Central de Arrecadação e Distribuição] (Lei 9.610/1998, art. 99), sem ofensa do art. 5º, XVII e XX, da Constituição, cuja </w:t>
      </w:r>
    </w:p>
    <w:p>
      <w:pPr>
        <w:ind w:left="288"/>
      </w:pPr>
      <w:r>
        <w:rPr>
          <w:b/>
          <w:color w:val="003CA0"/>
          <w:sz w:val="16"/>
        </w:rPr>
        <w:t>[ADI 2.054, rel. min. Ilmar Galvão, red. do ac. min. Sepúlveda Pertence, j. 2-4-2003, P, DJ de 17-10-2003.]</w:t>
      </w:r>
    </w:p>
    <w:p>
      <w:pPr>
        <w:ind w:left="288"/>
      </w:pPr>
      <w:r>
        <w:rPr>
          <w:color w:val="8C8C8C"/>
          <w:sz w:val="12"/>
        </w:rPr>
        <w:t>cf-art-5-inc-XIII</w:t>
      </w:r>
      <w:r>
        <w:rPr>
          <w:color w:val="003CA0"/>
          <w:sz w:val="12"/>
        </w:rPr>
        <w:t xml:space="preserve"> | ADI 444</w:t>
      </w:r>
      <w:r>
        <w:rPr>
          <w:color w:val="003CA0"/>
          <w:sz w:val="12"/>
        </w:rPr>
        <w:t xml:space="preserve"> | rel. Moreira Alves</w:t>
      </w:r>
    </w:p>
    <w:p>
      <w:pPr>
        <w:ind w:left="288"/>
      </w:pPr>
      <w:r>
        <w:rPr>
          <w:color w:val="1E1E1E"/>
          <w:sz w:val="18"/>
        </w:rPr>
        <w:t>Confederações como a presente são meros organismos de coordenação de entidades sindicais ou não (...), que não integram a hierarquia das entidades sindicais, e que têm sido admitidas em nosso sistema jurídico tão só pelo princípio da liberdade de associação.</w:t>
      </w:r>
    </w:p>
    <w:p>
      <w:pPr>
        <w:ind w:left="288"/>
      </w:pPr>
      <w:r>
        <w:rPr>
          <w:b/>
          <w:color w:val="003CA0"/>
          <w:sz w:val="16"/>
        </w:rPr>
        <w:t>[ADI 444 MC, rel. min. Moreira Alves, j. 14-6-1991, P, DJ de 25-10-1991.]</w:t>
      </w:r>
    </w:p>
    <w:p>
      <w:pPr>
        <w:ind w:left="288"/>
      </w:pPr>
      <w:r>
        <w:rPr>
          <w:color w:val="8C8C8C"/>
          <w:sz w:val="12"/>
        </w:rPr>
        <w:t>cf-art-5-inc-XIII</w:t>
      </w:r>
      <w:r>
        <w:rPr>
          <w:color w:val="003CA0"/>
          <w:sz w:val="12"/>
        </w:rPr>
        <w:t xml:space="preserve"> | RE 695.911</w:t>
      </w:r>
      <w:r>
        <w:rPr>
          <w:color w:val="003CA0"/>
          <w:sz w:val="12"/>
        </w:rPr>
        <w:t xml:space="preserve"> | rel. Dias Toffoli</w:t>
      </w:r>
    </w:p>
    <w:p>
      <w:pPr>
        <w:ind w:left="288"/>
      </w:pPr>
      <w:r>
        <w:rPr>
          <w:color w:val="1E1E1E"/>
          <w:sz w:val="18"/>
        </w:rPr>
        <w:t>É inconstitucional a cobrança por parte de associação de taxa de manutenção e conservação de loteamento imobiliário urbano de proprietário não associado até o advento da Lei 13.465/17, ou de anterior lei municipal que discipline a questão, a partir da qual se torna possível a cotização dos proprietários de imóveis, titulares de direitos ou moradores em loteamentos de acesso controlado, que i) já possuindo lote, adiram ao ato constitutivo das entidades equiparadas a administradoras de imóveis ou (ii) sendo novos adquirentes de lotes, o ato constitutivo da obrigação esteja registrado no competen</w:t>
      </w:r>
    </w:p>
    <w:p>
      <w:pPr>
        <w:ind w:left="288"/>
      </w:pPr>
      <w:r>
        <w:rPr>
          <w:b/>
          <w:color w:val="003CA0"/>
          <w:sz w:val="16"/>
        </w:rPr>
        <w:t>[RE 695.911, rel. min. Dias Toffoli, j. 15-12-2020, P, DJE de 19-4-2021. Tema 492, com mérito julgado.]</w:t>
      </w:r>
    </w:p>
    <w:p>
      <w:pPr>
        <w:ind w:left="288"/>
      </w:pPr>
      <w:r>
        <w:rPr>
          <w:color w:val="8C8C8C"/>
          <w:sz w:val="12"/>
        </w:rPr>
        <w:t>cf-art-5-inc-XIII</w:t>
      </w:r>
      <w:r>
        <w:rPr>
          <w:color w:val="003CA0"/>
          <w:sz w:val="12"/>
        </w:rPr>
        <w:t xml:space="preserve"> | HC 106.808</w:t>
      </w:r>
      <w:r>
        <w:rPr>
          <w:color w:val="003CA0"/>
          <w:sz w:val="12"/>
        </w:rPr>
        <w:t xml:space="preserve"> | rel. Gilmar Mendes</w:t>
      </w:r>
    </w:p>
    <w:p>
      <w:pPr>
        <w:ind w:left="288"/>
      </w:pPr>
      <w:r>
        <w:rPr>
          <w:color w:val="1E1E1E"/>
          <w:sz w:val="18"/>
        </w:rPr>
        <w:t>O direito à plena liberdade de associação (art. 5º, XVII, da CF) está intrinsecamente ligado aos preceitos constitucionais de proteção da dignidade da pessoa, de livre iniciativa, da autonomia da vontade e da liberdade de expressão. Uma associação que deva pedir licença para criticar situações de arbitrariedades terá sua atuação completamente esvaziada.</w:t>
      </w:r>
    </w:p>
    <w:p>
      <w:pPr>
        <w:ind w:left="288"/>
      </w:pPr>
      <w:r>
        <w:rPr>
          <w:b/>
          <w:color w:val="003CA0"/>
          <w:sz w:val="16"/>
        </w:rPr>
        <w:t>[HC 106.808, rel. min. Gilmar Mendes, j. 9-4-2013, 2ª T, DJE de 24-4-2013.]</w:t>
      </w:r>
    </w:p>
    <w:p>
      <w:pPr>
        <w:ind w:left="288"/>
      </w:pPr>
      <w:r>
        <w:rPr>
          <w:color w:val="8C8C8C"/>
          <w:sz w:val="12"/>
        </w:rPr>
        <w:t>cf-art-5-inc-XIII</w:t>
      </w:r>
      <w:r>
        <w:rPr>
          <w:color w:val="003CA0"/>
          <w:sz w:val="12"/>
        </w:rPr>
        <w:t xml:space="preserve"> | RE 207.858</w:t>
      </w:r>
      <w:r>
        <w:rPr>
          <w:color w:val="003CA0"/>
          <w:sz w:val="12"/>
        </w:rPr>
        <w:t xml:space="preserve"> | rel. Marco Aurélio</w:t>
      </w:r>
    </w:p>
    <w:p>
      <w:pPr>
        <w:ind w:left="288"/>
      </w:pPr>
      <w:r>
        <w:rPr>
          <w:color w:val="1E1E1E"/>
          <w:sz w:val="18"/>
        </w:rPr>
        <w:t>Não se há de confundir a liberdade de associação, prevista de forma geral no inciso XVII do rol das garantias constitucionais, com a criação, em si, de sindicato. O critério da especificidade direciona à observação do disposto no inciso II do art. 8º da CF, no que agasalhada a unicidade sindical de forma mitigada, ou seja, considerada a área de atuação, nunca inferior à de um Município.</w:t>
      </w:r>
    </w:p>
    <w:p>
      <w:pPr>
        <w:ind w:left="288"/>
      </w:pPr>
      <w:r>
        <w:rPr>
          <w:b/>
          <w:color w:val="003CA0"/>
          <w:sz w:val="16"/>
        </w:rPr>
        <w:t>[RE 207.858, rel. min. Marco Aurélio, j. 27-10-1998, 2ª T, DJ de 14-5-1999.]</w:t>
      </w:r>
    </w:p>
    <w:p>
      <w:pPr>
        <w:ind w:left="288"/>
      </w:pPr>
      <w:r>
        <w:rPr>
          <w:color w:val="8C8C8C"/>
          <w:sz w:val="12"/>
        </w:rPr>
        <w:t>cf-art-5-inc-XIII</w:t>
      </w:r>
      <w:r>
        <w:rPr>
          <w:color w:val="003CA0"/>
          <w:sz w:val="12"/>
        </w:rPr>
        <w:t xml:space="preserve"> | ADI 3.045</w:t>
      </w:r>
      <w:r>
        <w:rPr>
          <w:color w:val="003CA0"/>
          <w:sz w:val="12"/>
        </w:rPr>
        <w:t xml:space="preserve"> | rel. Celso de Mello</w:t>
      </w:r>
    </w:p>
    <w:p>
      <w:pPr>
        <w:ind w:left="288"/>
      </w:pPr>
      <w:r>
        <w:rPr>
          <w:color w:val="1E1E1E"/>
          <w:sz w:val="18"/>
        </w:rPr>
        <w:t>XVIII - a criação de associações e, na forma da lei, a de cooperativas independem de autorização, sendo vedada a interferência estatal em seu funcionamento; XIX - as associações só poderão ser compulsoriamente dissolvidas ou ter suas atividades suspensas por decisão judicial, exigindo-se, no primeiro caso, o trânsito em julgado; Cabe enfatizar, neste ponto, que as normas inscritas no art. 5º, XVII a XXI, da atual CF, protegem as associações, inclusive as sociedades, da atuação eventualmente arbitrária do legislador e do administrador, eis que somente o Poder Judiciário, por meio de processo re</w:t>
      </w:r>
    </w:p>
    <w:p>
      <w:pPr>
        <w:ind w:left="288"/>
      </w:pPr>
      <w:r>
        <w:rPr>
          <w:b/>
          <w:color w:val="003CA0"/>
          <w:sz w:val="16"/>
        </w:rPr>
        <w:t>[ADI 3.045, rel. min. Celso de Mello, j. 10-8-2005, P, DJ de 1º-6-2007.]</w:t>
      </w:r>
    </w:p>
    <w:p>
      <w:pPr>
        <w:ind w:left="288"/>
      </w:pPr>
      <w:r>
        <w:rPr>
          <w:color w:val="8C8C8C"/>
          <w:sz w:val="12"/>
        </w:rPr>
        <w:t>cf-art-5-inc-XX</w:t>
      </w:r>
      <w:r>
        <w:rPr>
          <w:color w:val="003CA0"/>
          <w:sz w:val="12"/>
        </w:rPr>
        <w:t xml:space="preserve"> | ADI 3.464</w:t>
      </w:r>
      <w:r>
        <w:rPr>
          <w:color w:val="003CA0"/>
          <w:sz w:val="12"/>
        </w:rPr>
        <w:t xml:space="preserve"> | rel. Menezes Direito</w:t>
      </w:r>
    </w:p>
    <w:p>
      <w:pPr>
        <w:ind w:left="288"/>
      </w:pPr>
      <w:r>
        <w:rPr>
          <w:color w:val="1E1E1E"/>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88"/>
      </w:pPr>
      <w:r>
        <w:rPr>
          <w:b/>
          <w:color w:val="003CA0"/>
          <w:sz w:val="16"/>
        </w:rPr>
        <w:t>[ADI 3.464, rel. min. Menezes Direito, j. 29-10-2008, P, DJE de 6-3-2009.]</w:t>
      </w:r>
    </w:p>
    <w:p>
      <w:pPr>
        <w:ind w:left="288"/>
      </w:pPr>
      <w:r>
        <w:rPr>
          <w:color w:val="8C8C8C"/>
          <w:sz w:val="12"/>
        </w:rPr>
        <w:t>cf-art-5-inc-XX</w:t>
      </w:r>
      <w:r>
        <w:rPr>
          <w:color w:val="003CA0"/>
          <w:sz w:val="12"/>
        </w:rPr>
        <w:t xml:space="preserve"> | ADI 1.416</w:t>
      </w:r>
      <w:r>
        <w:rPr>
          <w:color w:val="003CA0"/>
          <w:sz w:val="12"/>
        </w:rPr>
        <w:t xml:space="preserve"> | rel. Gilmar Mendes</w:t>
      </w:r>
    </w:p>
    <w:p>
      <w:pPr>
        <w:ind w:left="288"/>
      </w:pPr>
      <w:r>
        <w:rPr>
          <w:color w:val="1E1E1E"/>
          <w:sz w:val="18"/>
        </w:rPr>
        <w:t>Estatuto da Polícia Civil do Estado do Piauí (LC 1, de 26-6-1990), art. 151; Portaria 12.000-007/1996, de 9-1-1996, do secretário de Segurança Pública do Estado do Piauí. Vedação de desconto de contribuição sindical. Violação ao art. 8º, IV, c/c o art. 37, VI, da Constituição. Reconhecimento de duas entidades representativas da Polícia Civil do Estado do Piauí. Transgressão ao art. 5º, XX, tanto na sua dimensão positiva quanto na dimensão negativa (direito de não se associar).</w:t>
      </w:r>
    </w:p>
    <w:p>
      <w:pPr>
        <w:ind w:left="288"/>
      </w:pPr>
      <w:r>
        <w:rPr>
          <w:b/>
          <w:color w:val="003CA0"/>
          <w:sz w:val="16"/>
        </w:rPr>
        <w:t>[ADI 1.416, rel. min. Gilmar Mendes, j. 10-10-2002, P, DJ de 14-11-2002.]</w:t>
      </w:r>
    </w:p>
    <w:p>
      <w:pPr>
        <w:ind w:left="288"/>
      </w:pPr>
      <w:r>
        <w:rPr>
          <w:color w:val="8C8C8C"/>
          <w:sz w:val="12"/>
        </w:rPr>
        <w:t>cf-art-5-inc-XX</w:t>
      </w:r>
      <w:r>
        <w:rPr>
          <w:color w:val="003CA0"/>
          <w:sz w:val="12"/>
        </w:rPr>
        <w:t xml:space="preserve"> | RE 820.823</w:t>
      </w:r>
      <w:r>
        <w:rPr>
          <w:color w:val="003CA0"/>
          <w:sz w:val="12"/>
        </w:rPr>
        <w:t xml:space="preserve"> | rel. Dias Toffoli</w:t>
      </w:r>
    </w:p>
    <w:p>
      <w:pPr>
        <w:ind w:left="288"/>
      </w:pPr>
      <w:r>
        <w:rPr>
          <w:color w:val="1E1E1E"/>
          <w:sz w:val="18"/>
        </w:rPr>
        <w:t>Considerando-se os princípios da legalidade, da autonomia de vontade e da liberdade de associação, não cabe à associação, a pretexto de evitar vantagem sem causa ou de proteger a boa-fé, condicionar o desligamento de associado à quitação de benefício (como, v.g., empréstimo bancário) obtido por intermédio daquela ou ao pagamento de multa. Tal circunstância, contudo, não impede que a associação se utilize dos meios de direito para a cobrança de eventuais compensações ou multas em face do indivíduo que a ela se filia para obter benefícios e, posteriormente, se desliga da entidade. (...) É incons</w:t>
      </w:r>
    </w:p>
    <w:p>
      <w:pPr>
        <w:ind w:left="288"/>
      </w:pPr>
      <w:r>
        <w:rPr>
          <w:b/>
          <w:color w:val="003CA0"/>
          <w:sz w:val="16"/>
        </w:rPr>
        <w:t>[RE 820.823, rel. min. Dias Toffoli, j. 3-10-2022, P, DJE de 25-10-2022, Tema 922, com mérito julgado.]</w:t>
      </w:r>
    </w:p>
    <w:p>
      <w:pPr>
        <w:ind w:left="288"/>
      </w:pPr>
      <w:r>
        <w:rPr>
          <w:color w:val="8C8C8C"/>
          <w:sz w:val="12"/>
        </w:rPr>
        <w:t>cf-art-5-inc-XX</w:t>
      </w:r>
      <w:r>
        <w:rPr>
          <w:color w:val="003CA0"/>
          <w:sz w:val="12"/>
        </w:rPr>
        <w:t xml:space="preserve"> | ARE 1.280.820</w:t>
      </w:r>
      <w:r>
        <w:rPr>
          <w:color w:val="003CA0"/>
          <w:sz w:val="12"/>
        </w:rPr>
        <w:t xml:space="preserve"> | rel. Gilmar Mendes</w:t>
      </w:r>
    </w:p>
    <w:p>
      <w:pPr>
        <w:ind w:left="288"/>
      </w:pPr>
      <w:r>
        <w:rPr>
          <w:color w:val="1E1E1E"/>
          <w:sz w:val="18"/>
        </w:rPr>
        <w:t>“1. É compatível com a Constituição a exigência de registro de cooperativas na Organização das Cooperativas Brasileiras – OCB ou em entidade estadual correspondente, prevista no art. 107 da Lei nº 5.764/71, como condição para obtenção de registro no RNTRC. 2. Tal exigência configura expressão legítima do dever estatal de fomentar e organizar o cooperativismo, não violando a liberdade de associação nem a livre iniciativa.”</w:t>
      </w:r>
    </w:p>
    <w:p>
      <w:pPr>
        <w:ind w:left="288"/>
      </w:pPr>
      <w:r>
        <w:rPr>
          <w:b/>
          <w:color w:val="003CA0"/>
          <w:sz w:val="16"/>
        </w:rPr>
        <w:t>[ARE 1.280.820, rel. min. Gilmar Mendes, j. 12.08.2025, 2ª T, DJE de 14.08.2025.]</w:t>
      </w:r>
    </w:p>
    <w:p>
      <w:pPr>
        <w:ind w:left="288"/>
      </w:pPr>
      <w:r>
        <w:rPr>
          <w:color w:val="8C8C8C"/>
          <w:sz w:val="12"/>
        </w:rPr>
        <w:t>cf-art-5-inc-XX</w:t>
      </w:r>
      <w:r>
        <w:rPr>
          <w:color w:val="003CA0"/>
          <w:sz w:val="12"/>
        </w:rPr>
        <w:t xml:space="preserve"> | RE 432.106</w:t>
      </w:r>
      <w:r>
        <w:rPr>
          <w:color w:val="003CA0"/>
          <w:sz w:val="12"/>
        </w:rPr>
        <w:t xml:space="preserve"> | rel. Marco Aurélio</w:t>
      </w:r>
    </w:p>
    <w:p>
      <w:pPr>
        <w:ind w:left="288"/>
      </w:pPr>
      <w:r>
        <w:rPr>
          <w:color w:val="1E1E1E"/>
          <w:sz w:val="18"/>
        </w:rPr>
        <w:t>Por não se confundir a associação de moradores com o condomínio disciplinado pela Lei 4.591/1964, descabe, a pretexto de evitar vantagem sem causa, impor mensalidade a morador ou a proprietário de imóvel que a ela não tenha aderido. Considerações sobre o princípio da legalidade e da autonomia da manifestação de vontade – art. 5º, II e XX, da CF.</w:t>
      </w:r>
    </w:p>
    <w:p>
      <w:pPr>
        <w:ind w:left="288"/>
      </w:pPr>
      <w:r>
        <w:rPr>
          <w:b/>
          <w:color w:val="003CA0"/>
          <w:sz w:val="16"/>
        </w:rPr>
        <w:t>[RE 432.106, rel. min. Marco Aurélio, j. 20-9-2011, 1ª T, DJE de 4-11-2011.]</w:t>
      </w:r>
    </w:p>
    <w:p>
      <w:pPr>
        <w:ind w:left="288"/>
      </w:pPr>
      <w:r>
        <w:rPr>
          <w:color w:val="8C8C8C"/>
          <w:sz w:val="12"/>
        </w:rPr>
        <w:t>cf-art-5-inc-XXI</w:t>
      </w:r>
    </w:p>
    <w:p>
      <w:pPr>
        <w:ind w:left="288"/>
      </w:pPr>
      <w:r>
        <w:rPr>
          <w:color w:val="1E1E1E"/>
          <w:sz w:val="18"/>
        </w:rPr>
        <w:t>A impetração de mandado de segurança coletivo por entidade de classe em favor dos associados independe da autorização destes.</w:t>
      </w:r>
    </w:p>
    <w:p>
      <w:pPr>
        <w:ind w:left="288"/>
      </w:pPr>
      <w:r>
        <w:rPr>
          <w:b/>
          <w:color w:val="003CA0"/>
          <w:sz w:val="16"/>
        </w:rPr>
        <w:t>[Súmula 629.]</w:t>
      </w:r>
    </w:p>
    <w:p>
      <w:pPr>
        <w:ind w:left="288"/>
      </w:pPr>
      <w:r>
        <w:rPr>
          <w:color w:val="8C8C8C"/>
          <w:sz w:val="12"/>
        </w:rPr>
        <w:t>cf-art-5-inc-XXI</w:t>
      </w:r>
      <w:r>
        <w:rPr>
          <w:color w:val="003CA0"/>
          <w:sz w:val="12"/>
        </w:rPr>
        <w:t xml:space="preserve"> | ARE 1.293.130</w:t>
      </w:r>
      <w:r>
        <w:rPr>
          <w:color w:val="003CA0"/>
          <w:sz w:val="12"/>
        </w:rPr>
        <w:t xml:space="preserve"> | rel. Luiz Fux</w:t>
      </w:r>
    </w:p>
    <w:p>
      <w:pPr>
        <w:ind w:left="288"/>
      </w:pPr>
      <w:r>
        <w:rPr>
          <w:color w:val="1E1E1E"/>
          <w:sz w:val="18"/>
        </w:rPr>
        <w:t>É desnecessária a autorização expressa dos associados, a relação nominal destes, bem como a comprovação de filiação prévia, para a cobrança de valores pretéritos de título judicial decorrente de mandado de segurança coletivo impetrado por entidade associativa de caráter civil.</w:t>
      </w:r>
    </w:p>
    <w:p>
      <w:pPr>
        <w:ind w:left="288"/>
      </w:pPr>
      <w:r>
        <w:rPr>
          <w:b/>
          <w:color w:val="003CA0"/>
          <w:sz w:val="16"/>
        </w:rPr>
        <w:t>[ARE 1.293.130, rel. min. Luiz Fux, j. 17-12-2020, P, DJE de 8-1-2021, Tema 1.119, com mérito julgado e reafirmação de jurisprudência.]</w:t>
      </w:r>
    </w:p>
    <w:p>
      <w:pPr>
        <w:ind w:left="288"/>
      </w:pPr>
      <w:r>
        <w:rPr>
          <w:color w:val="8C8C8C"/>
          <w:sz w:val="12"/>
        </w:rPr>
        <w:t>cf-art-5-inc-XXI</w:t>
      </w:r>
      <w:r>
        <w:rPr>
          <w:color w:val="003CA0"/>
          <w:sz w:val="12"/>
        </w:rPr>
        <w:t xml:space="preserve"> | RE 612.043</w:t>
      </w:r>
      <w:r>
        <w:rPr>
          <w:color w:val="003CA0"/>
          <w:sz w:val="12"/>
        </w:rPr>
        <w:t xml:space="preserve"> | rel. Marco Aurélio</w:t>
      </w:r>
    </w:p>
    <w:p>
      <w:pPr>
        <w:ind w:left="288"/>
      </w:pPr>
      <w:r>
        <w:rPr>
          <w:color w:val="1E1E1E"/>
          <w:sz w:val="18"/>
        </w:rPr>
        <w:t>Beneficiários do título executivo, no caso de ação proposta por associação, são aqueles que, residentes na área compreendida na jurisdição do órgão julgador, detinham, antes do ajuizamento, a condição de filiados e constaram da lista apresentada com a peça inicial.</w:t>
      </w:r>
    </w:p>
    <w:p>
      <w:pPr>
        <w:ind w:left="288"/>
      </w:pPr>
      <w:r>
        <w:rPr>
          <w:b/>
          <w:color w:val="003CA0"/>
          <w:sz w:val="16"/>
        </w:rPr>
        <w:t>[RE 612.043, rel. min. Marco Aurélio, j. 10-5-2017, P, DJE de 6-10-2017. Tema 499, com mérito julgado.]</w:t>
      </w:r>
    </w:p>
    <w:p>
      <w:pPr>
        <w:ind w:left="288"/>
      </w:pPr>
      <w:r>
        <w:rPr>
          <w:color w:val="8C8C8C"/>
          <w:sz w:val="12"/>
        </w:rPr>
        <w:t>cf-art-5-inc-XXI</w:t>
      </w:r>
      <w:r>
        <w:rPr>
          <w:color w:val="003CA0"/>
          <w:sz w:val="12"/>
        </w:rPr>
        <w:t xml:space="preserve"> | RE 573.232</w:t>
      </w:r>
    </w:p>
    <w:p>
      <w:pPr>
        <w:ind w:left="288"/>
      </w:pPr>
      <w:r>
        <w:rPr>
          <w:color w:val="1E1E1E"/>
          <w:sz w:val="18"/>
        </w:rPr>
        <w:t>Vide RE 573.232, red. do ac. min.. Marco Aurélio, voto do min. Teori Zavascki, j. 14-5-2014, P, DJE de 19-9-2014. Tema 82, com mérito julgado (...) reafirma-se o entendimento da jurisprudência do STF, corroborada pelo parágrafo único do art. 2º-A da Lei 9.494/1997, de que a autorização a que se refere o art. 5º, XXI, deve ser expressa por ato individual do associado ou por assembleia da entidade, sendo insuficiente a mera autorização genérica prevista em cláusula estatutária. Todavia, no caso concreto, a demanda foi proposta com base em autorizações individuais (não havendo notícia alguma sobr</w:t>
      </w:r>
    </w:p>
    <w:p>
      <w:pPr>
        <w:ind w:left="288"/>
      </w:pPr>
      <w:r>
        <w:rPr>
          <w:b/>
          <w:color w:val="003CA0"/>
          <w:sz w:val="16"/>
        </w:rPr>
        <w:t>[RE 573.232, red. do ac. min. Marco Aurélio, voto do min. Teori Zavascki, j. 14-5-2014, P, DJE de 19-9-2014. Tema 82, com mérito julgado.]</w:t>
      </w:r>
    </w:p>
    <w:p>
      <w:pPr>
        <w:ind w:left="288"/>
      </w:pPr>
      <w:r>
        <w:rPr>
          <w:color w:val="8C8C8C"/>
          <w:sz w:val="12"/>
        </w:rPr>
        <w:t>cf-art-5-inc-XXI</w:t>
      </w:r>
      <w:r>
        <w:rPr>
          <w:color w:val="003CA0"/>
          <w:sz w:val="12"/>
        </w:rPr>
        <w:t xml:space="preserve"> | RE 612.043</w:t>
      </w:r>
      <w:r>
        <w:rPr>
          <w:color w:val="003CA0"/>
          <w:sz w:val="12"/>
        </w:rPr>
        <w:t xml:space="preserve"> | rel. Marco Aurélio</w:t>
      </w:r>
    </w:p>
    <w:p>
      <w:pPr>
        <w:ind w:left="288"/>
      </w:pPr>
      <w:r>
        <w:rPr>
          <w:color w:val="1E1E1E"/>
          <w:sz w:val="18"/>
        </w:rPr>
        <w:t>Vide RE 612.043, rel. min. Marco Aurélio, j. 10-5-2017, P, DJE de 6-10-2017. Tema 499, com mérito julgado Esta Corte firmou o entendimento segundo o qual o sindicato tem legitimidade para atuar como substituto processual na defesa de direitos e interesses coletivos ou individuais homogêneos da categoria que representa. (...) Quanto à violação ao art. 5º, LXX e XXI, da Carta Magna, esta Corte firmou entendimento de que é desnecessária a expressa autorização dos sindicalizados para a substituição processual.</w:t>
      </w:r>
    </w:p>
    <w:p>
      <w:pPr>
        <w:ind w:left="288"/>
      </w:pPr>
      <w:r>
        <w:rPr>
          <w:b/>
          <w:color w:val="003CA0"/>
          <w:sz w:val="16"/>
        </w:rPr>
        <w:t>[RE 555.720 AgR, rel. min. Gilmar Mendes, j. 30-9-2008, 2ª T, DJE de 21-11-2008.]</w:t>
      </w:r>
    </w:p>
    <w:p>
      <w:pPr>
        <w:ind w:left="288"/>
      </w:pPr>
      <w:r>
        <w:rPr>
          <w:color w:val="8C8C8C"/>
          <w:sz w:val="12"/>
        </w:rPr>
        <w:t>cf-art-5-inc-XXI</w:t>
      </w:r>
      <w:r>
        <w:rPr>
          <w:color w:val="003CA0"/>
          <w:sz w:val="12"/>
        </w:rPr>
        <w:t xml:space="preserve"> | RE 193.382</w:t>
      </w:r>
      <w:r>
        <w:rPr>
          <w:color w:val="003CA0"/>
          <w:sz w:val="12"/>
        </w:rPr>
        <w:t xml:space="preserve"> | rel. Carlos Velloso</w:t>
      </w:r>
    </w:p>
    <w:p>
      <w:pPr>
        <w:ind w:left="288"/>
      </w:pPr>
      <w:r>
        <w:rPr>
          <w:color w:val="1E1E1E"/>
          <w:sz w:val="18"/>
        </w:rPr>
        <w:t>A legitimação das organizações sindicais, entidades de classe ou associações, para a segurança coletiva, é extraordinária, ocorrendo, em tal caso, substituição processual. CF, art. 5º, LXX. Não se exige, tratando-se de segurança coletiva, a autorização expressa aludida no inciso XXI do art. 5º da Constituição, que contempla hipótese de representação. O objeto do mandado de segurança coletivo será um direito dos associados, independentemente de guardar vínculo com os fins próprios da entidade impetrante do writ, exigindo-se, entretanto, que o direito esteja compreendido na titularidade dos asso</w:t>
      </w:r>
    </w:p>
    <w:p>
      <w:pPr>
        <w:ind w:left="288"/>
      </w:pPr>
      <w:r>
        <w:rPr>
          <w:b/>
          <w:color w:val="003CA0"/>
          <w:sz w:val="16"/>
        </w:rPr>
        <w:t>[RE 193.382, rel. min. Carlos Velloso, j. 28-6-1996, P, DJ de 20-9-1996.]</w:t>
      </w:r>
    </w:p>
    <w:p>
      <w:pPr>
        <w:ind w:left="288"/>
      </w:pPr>
      <w:r>
        <w:rPr>
          <w:color w:val="8C8C8C"/>
          <w:sz w:val="12"/>
        </w:rPr>
        <w:t>cf-art-5-inc-XXI</w:t>
      </w:r>
      <w:r>
        <w:rPr>
          <w:color w:val="003CA0"/>
          <w:sz w:val="12"/>
        </w:rPr>
        <w:t xml:space="preserve"> | RE 437.971</w:t>
      </w:r>
      <w:r>
        <w:rPr>
          <w:color w:val="003CA0"/>
          <w:sz w:val="12"/>
        </w:rPr>
        <w:t xml:space="preserve"> | rel. Cármen Lúcia</w:t>
      </w:r>
    </w:p>
    <w:p>
      <w:pPr>
        <w:ind w:left="288"/>
      </w:pPr>
      <w:r>
        <w:rPr>
          <w:color w:val="1E1E1E"/>
          <w:sz w:val="18"/>
        </w:rPr>
        <w:t>= RE 437.971 AgR, rel. min. Cármen Lúcia, j. 24-8-2010, 1ª T, DJE de 24-9-2010</w:t>
      </w:r>
    </w:p>
    <w:p>
      <w:pPr>
        <w:ind w:left="288"/>
      </w:pPr>
      <w:r>
        <w:rPr>
          <w:color w:val="8C8C8C"/>
          <w:sz w:val="12"/>
        </w:rPr>
        <w:t>cf-art-5-inc-XXII</w:t>
      </w:r>
      <w:r>
        <w:rPr>
          <w:color w:val="003CA0"/>
          <w:sz w:val="12"/>
        </w:rPr>
        <w:t xml:space="preserve"> | ADI 5.783</w:t>
      </w:r>
      <w:r>
        <w:rPr>
          <w:color w:val="003CA0"/>
          <w:sz w:val="12"/>
        </w:rPr>
        <w:t xml:space="preserve"> | rel. Rosa Weber</w:t>
      </w:r>
    </w:p>
    <w:p>
      <w:pPr>
        <w:ind w:left="288"/>
      </w:pPr>
      <w:r>
        <w:rPr>
          <w:color w:val="1E1E1E"/>
          <w:sz w:val="18"/>
        </w:rPr>
        <w:t>Impugnado o art. 3º, § 2º, da Lei nº 12.910/2013 do Estado da Bahia, que impõe prazo à regularização fundiária das terras tradicionalmente ocupadas pelas comunidades de fundo e fecho de pasto mediante a concessão de uso (...). Dada a íntima relação entre a posse das terras coletivas e a reprodução física e cultural das comunidades tradicionais, os direitos territoriais resultam abrangidos pelo direito fundamental à cultura (art. 215, CF), em particular no que diz com a proteção dos grupos participantes do processo civilizatório nacional (§ 1º). Suas diferentes formas de expressão e modos de cr</w:t>
      </w:r>
    </w:p>
    <w:p>
      <w:pPr>
        <w:ind w:left="288"/>
      </w:pPr>
      <w:r>
        <w:rPr>
          <w:b/>
          <w:color w:val="003CA0"/>
          <w:sz w:val="16"/>
        </w:rPr>
        <w:t>[ADI 5.783, rel. min. Rosa Weber, j. 6-9-2023, P, DJE de 14-11-2023.]</w:t>
      </w:r>
    </w:p>
    <w:p>
      <w:pPr>
        <w:ind w:left="288"/>
      </w:pPr>
      <w:r>
        <w:rPr>
          <w:color w:val="8C8C8C"/>
          <w:sz w:val="12"/>
        </w:rPr>
        <w:t>cf-art-5-inc-XXII</w:t>
      </w:r>
      <w:r>
        <w:rPr>
          <w:color w:val="003CA0"/>
          <w:sz w:val="12"/>
        </w:rPr>
        <w:t xml:space="preserve"> | ADI 3.112</w:t>
      </w:r>
      <w:r>
        <w:rPr>
          <w:color w:val="003CA0"/>
          <w:sz w:val="12"/>
        </w:rPr>
        <w:t xml:space="preserve"> | rel. Ricardo Lewandowski</w:t>
      </w:r>
    </w:p>
    <w:p>
      <w:pPr>
        <w:ind w:left="288"/>
      </w:pPr>
      <w:r>
        <w:rPr>
          <w:color w:val="1E1E1E"/>
          <w:sz w:val="18"/>
        </w:rPr>
        <w:t>Ação direta de inconstitucionalidade. Lei 10.826/2003. Estatuto do Desarmamento. (...) O direito do proprietário à percepção de justa e adequada indenização, reconhecida no diploma legal impugnado, afasta a alegada violação ao art. 5º, XXII, da CF, bem como ao ato jurídico perfeito e ao direito adquirido.</w:t>
      </w:r>
    </w:p>
    <w:p>
      <w:pPr>
        <w:ind w:left="288"/>
      </w:pPr>
      <w:r>
        <w:rPr>
          <w:b/>
          <w:color w:val="003CA0"/>
          <w:sz w:val="16"/>
        </w:rPr>
        <w:t>[ADI 3.112, rel. min. Ricardo Lewandowski, j. 2-5-2007, P, DJ de 26-10-2007.]</w:t>
      </w:r>
    </w:p>
    <w:p>
      <w:pPr>
        <w:ind w:left="288"/>
      </w:pPr>
      <w:r>
        <w:rPr>
          <w:color w:val="8C8C8C"/>
          <w:sz w:val="12"/>
        </w:rPr>
        <w:t>cf-art-5-inc-XXII</w:t>
      </w:r>
      <w:r>
        <w:rPr>
          <w:color w:val="003CA0"/>
          <w:sz w:val="12"/>
        </w:rPr>
        <w:t xml:space="preserve"> | ADI 2.213</w:t>
      </w:r>
      <w:r>
        <w:rPr>
          <w:color w:val="003CA0"/>
          <w:sz w:val="12"/>
        </w:rPr>
        <w:t xml:space="preserve"> | rel. Celso de Mello</w:t>
      </w:r>
    </w:p>
    <w:p>
      <w:pPr>
        <w:ind w:left="288"/>
      </w:pPr>
      <w:r>
        <w:rPr>
          <w:color w:val="1E1E1E"/>
          <w:sz w:val="18"/>
        </w:rPr>
        <w:t>O processo de reforma agrária, em uma sociedade estruturada em bases democráticas, não pode ser implementado pelo uso arbitrário da força e pela prática de atos ilícitos de violação possessória, ainda que se cuide de imóveis alegadamente improdutivos, notadamente porque a Constituição da República – ao amparar o proprietário com a cláusula de garantia do direito de propriedade (CF, art. 5º, XXII) – proclama que "ninguém será privado (...) de seus bens, sem o devido processo legal" (art. 5º, LIV).</w:t>
      </w:r>
    </w:p>
    <w:p>
      <w:pPr>
        <w:ind w:left="288"/>
      </w:pPr>
      <w:r>
        <w:rPr>
          <w:b/>
          <w:color w:val="003CA0"/>
          <w:sz w:val="16"/>
        </w:rPr>
        <w:t>[ADI 2.213 MC, rel. min. Celso de Mello, j. 4-4-2002, P, DJ de 23-4-2004.]</w:t>
      </w:r>
    </w:p>
    <w:p>
      <w:pPr>
        <w:ind w:left="288"/>
      </w:pPr>
      <w:r>
        <w:rPr>
          <w:color w:val="8C8C8C"/>
          <w:sz w:val="12"/>
        </w:rPr>
        <w:t>cf-art-5-inc-XXII</w:t>
      </w:r>
      <w:r>
        <w:rPr>
          <w:color w:val="003CA0"/>
          <w:sz w:val="12"/>
        </w:rPr>
        <w:t xml:space="preserve"> | MS 32.752</w:t>
      </w:r>
      <w:r>
        <w:rPr>
          <w:color w:val="003CA0"/>
          <w:sz w:val="12"/>
        </w:rPr>
        <w:t xml:space="preserve"> | rel. Celso de Mello</w:t>
      </w:r>
    </w:p>
    <w:p>
      <w:pPr>
        <w:ind w:left="288"/>
      </w:pPr>
      <w:r>
        <w:rPr>
          <w:color w:val="1E1E1E"/>
          <w:sz w:val="18"/>
        </w:rPr>
        <w:t>= MS 32.752 AgR, rel. min. Celso de Mello, j. 17-6-2015, P, DJE de 10-8-2015 “É infraconstitucional e fática a controvérsia sobre a possibilidade de se limitar, em liquidação de sentença, os efeitos de condenação judicial de reposição salarial decorrente de plano econômico em favor de servidores distritais”.</w:t>
      </w:r>
    </w:p>
    <w:p>
      <w:pPr>
        <w:ind w:left="288"/>
      </w:pPr>
      <w:r>
        <w:rPr>
          <w:b/>
          <w:color w:val="003CA0"/>
          <w:sz w:val="16"/>
        </w:rPr>
        <w:t>[ARE 1.514.867 RG, rel. min. Luís Roberto Barroso, j. 18.10.2024, P, DJE de 22.10.2024, Tema 1.342, com repercussão geral negada.]</w:t>
      </w:r>
    </w:p>
    <w:p>
      <w:pPr>
        <w:ind w:left="288"/>
      </w:pPr>
      <w:r>
        <w:rPr>
          <w:color w:val="8C8C8C"/>
          <w:sz w:val="12"/>
        </w:rPr>
        <w:t>cf-art-5-inc-XXII</w:t>
      </w:r>
      <w:r>
        <w:rPr>
          <w:color w:val="003CA0"/>
          <w:sz w:val="12"/>
        </w:rPr>
        <w:t xml:space="preserve"> | RE 870.947</w:t>
      </w:r>
      <w:r>
        <w:rPr>
          <w:color w:val="003CA0"/>
          <w:sz w:val="12"/>
        </w:rPr>
        <w:t xml:space="preserve"> | rel. Luiz Fux</w:t>
      </w:r>
    </w:p>
    <w:p>
      <w:pPr>
        <w:ind w:left="288"/>
      </w:pPr>
      <w:r>
        <w:rPr>
          <w:color w:val="1E1E1E"/>
          <w:sz w:val="18"/>
        </w:rPr>
        <w:t>O direito fundamental de propriedade (CRFB, art. 5º, XXII) repugna o disposto no art. 1º-F da Lei 9.494/1997, com a redação dada pela Lei 11.960/2009, porquanto a atualização monetária das condenações impostas à Fazenda Pública segundo a remuneração oficial da caderneta de poupança não se qualifica como medida adequada a capturar a variação de preços da economia, sendo inidônea a promover os fins a que se destina.</w:t>
      </w:r>
    </w:p>
    <w:p>
      <w:pPr>
        <w:ind w:left="288"/>
      </w:pPr>
      <w:r>
        <w:rPr>
          <w:b/>
          <w:color w:val="003CA0"/>
          <w:sz w:val="16"/>
        </w:rPr>
        <w:t>[RE 870.947, rel. min. Luiz Fux, j. 20-9-2017, P, DJE de 20-11-2017. Tema 810, com mérito julgado.]</w:t>
      </w:r>
    </w:p>
    <w:p>
      <w:pPr>
        <w:ind w:left="288"/>
      </w:pPr>
      <w:r>
        <w:rPr>
          <w:color w:val="8C8C8C"/>
          <w:sz w:val="12"/>
        </w:rPr>
        <w:t>cf-art-5-inc-XXII</w:t>
      </w:r>
      <w:r>
        <w:rPr>
          <w:color w:val="003CA0"/>
          <w:sz w:val="12"/>
        </w:rPr>
        <w:t xml:space="preserve"> | RE 638.491</w:t>
      </w:r>
      <w:r>
        <w:rPr>
          <w:color w:val="003CA0"/>
          <w:sz w:val="12"/>
        </w:rPr>
        <w:t xml:space="preserve"> | rel. Luiz Fux</w:t>
      </w:r>
    </w:p>
    <w:p>
      <w:pPr>
        <w:ind w:left="288"/>
      </w:pPr>
      <w:r>
        <w:rPr>
          <w:color w:val="1E1E1E"/>
          <w:sz w:val="18"/>
        </w:rPr>
        <w:t>É possível o confisco de todo e qualquer bem de valor econômico apreendido em decorrência do tráfico de drogas, sem a necessidade de se perquirir a habitualidade, reiteração do uso do bem para tal finalidade, a sua modificação para dificultar a descoberta do local do acondicionamento da droga ou qualquer outro requisito além daqueles previstos expressamente no art. 243, parágrafo único, da CF.</w:t>
      </w:r>
    </w:p>
    <w:p>
      <w:pPr>
        <w:ind w:left="288"/>
      </w:pPr>
      <w:r>
        <w:rPr>
          <w:b/>
          <w:color w:val="003CA0"/>
          <w:sz w:val="16"/>
        </w:rPr>
        <w:t>[RE 638.491, rel. min. Luiz Fux, j. 17-5-2017, P, DJE de 23-8-2017. Tema 647, com mérito julgado.]</w:t>
      </w:r>
    </w:p>
    <w:p>
      <w:pPr>
        <w:ind w:left="288"/>
      </w:pPr>
      <w:r>
        <w:rPr>
          <w:color w:val="8C8C8C"/>
          <w:sz w:val="12"/>
        </w:rPr>
        <w:t>cf-art-5-inc-XXII</w:t>
      </w:r>
      <w:r>
        <w:rPr>
          <w:color w:val="003CA0"/>
          <w:sz w:val="12"/>
        </w:rPr>
        <w:t xml:space="preserve"> | ARE 1.521.864</w:t>
      </w:r>
      <w:r>
        <w:rPr>
          <w:color w:val="003CA0"/>
          <w:sz w:val="12"/>
        </w:rPr>
        <w:t xml:space="preserve"> | rel. Flávio Dino</w:t>
      </w:r>
    </w:p>
    <w:p>
      <w:pPr>
        <w:ind w:left="288"/>
      </w:pPr>
      <w:r>
        <w:rPr>
          <w:color w:val="1E1E1E"/>
          <w:sz w:val="18"/>
        </w:rPr>
        <w:t>O direito à propriedade não é absoluto e encontra seu limite na função social, conforme o artigo 5º, XXII e XXIII, da CF/1988. Os proprietários podem ser exigidos a realizar obras no imóvel, porém, enquanto não detiverem o controle físico do bem, a obrigação de requalificar subsiste, mas sua exigibilidade fica condicionada à efetiva retomada da posse.</w:t>
      </w:r>
    </w:p>
    <w:p>
      <w:pPr>
        <w:ind w:left="288"/>
      </w:pPr>
      <w:r>
        <w:rPr>
          <w:b/>
          <w:color w:val="003CA0"/>
          <w:sz w:val="16"/>
        </w:rPr>
        <w:t>[ARE 1.521.864 ED-AgR, rel. min. Flávio Dino, j. 17.11.2025, 1ª T, DJE de 25.11.2025.]</w:t>
      </w:r>
    </w:p>
    <w:p>
      <w:pPr>
        <w:ind w:left="288"/>
      </w:pPr>
      <w:r>
        <w:rPr>
          <w:color w:val="8C8C8C"/>
          <w:sz w:val="12"/>
        </w:rPr>
        <w:t>cf-art-5-inc-XXII</w:t>
      </w:r>
      <w:r>
        <w:rPr>
          <w:color w:val="003CA0"/>
          <w:sz w:val="12"/>
        </w:rPr>
        <w:t xml:space="preserve"> | RE 1.499.300</w:t>
      </w:r>
      <w:r>
        <w:rPr>
          <w:color w:val="003CA0"/>
          <w:sz w:val="12"/>
        </w:rPr>
        <w:t xml:space="preserve"> | rel. Dias Toffoli</w:t>
      </w:r>
    </w:p>
    <w:p>
      <w:pPr>
        <w:ind w:left="288"/>
      </w:pPr>
      <w:r>
        <w:rPr>
          <w:color w:val="1E1E1E"/>
          <w:sz w:val="18"/>
        </w:rPr>
        <w:t>O tombamento exerce influência significativa sobre o direito fundamental à propriedade, impondo limitações que redefinem o modo como seu titular pode exercê-lo. No caso de tombamento compulsório, esse contexto enseja forças jurídicas conflitantes: de um lado, o direito fundamental em questão, cuja plenitude pretende preservar o proprietário; do outro, a pretensão de se preservar alegado patrimônio cultural. Por resultar em importantes restrições ao exercício do direito de propriedade, o tombamento deve observar o devido processo legal, incluindo a orientação da Corte sobre o marco temporal par</w:t>
      </w:r>
    </w:p>
    <w:p>
      <w:pPr>
        <w:ind w:left="288"/>
      </w:pPr>
      <w:r>
        <w:rPr>
          <w:b/>
          <w:color w:val="003CA0"/>
          <w:sz w:val="16"/>
        </w:rPr>
        <w:t>[RE 1.499.300 AgR-segundo, rel. min. Dias Toffoli, j. 19.08.2025, 2ª T, DJE de 11.09.2025.]</w:t>
      </w:r>
    </w:p>
    <w:p>
      <w:pPr>
        <w:ind w:left="288"/>
      </w:pPr>
      <w:r>
        <w:rPr>
          <w:color w:val="8C8C8C"/>
          <w:sz w:val="12"/>
        </w:rPr>
        <w:t>cf-art-5-inc-XXII</w:t>
      </w:r>
      <w:r>
        <w:rPr>
          <w:color w:val="003CA0"/>
          <w:sz w:val="12"/>
        </w:rPr>
        <w:t xml:space="preserve"> | MS 25.284</w:t>
      </w:r>
      <w:r>
        <w:rPr>
          <w:color w:val="003CA0"/>
          <w:sz w:val="12"/>
        </w:rPr>
        <w:t xml:space="preserve"> | rel. Marco Aurélio</w:t>
      </w:r>
    </w:p>
    <w:p>
      <w:pPr>
        <w:ind w:left="288"/>
      </w:pPr>
      <w:r>
        <w:rPr>
          <w:color w:val="1E1E1E"/>
          <w:sz w:val="18"/>
        </w:rPr>
        <w:t>O direito de propriedade não se revela absoluto. Está relativizado pela Carta da República – arts. 5º, XXII, XXIII e XXIV, e 184.</w:t>
      </w:r>
    </w:p>
    <w:p>
      <w:pPr>
        <w:ind w:left="288"/>
      </w:pPr>
      <w:r>
        <w:rPr>
          <w:b/>
          <w:color w:val="003CA0"/>
          <w:sz w:val="16"/>
        </w:rPr>
        <w:t>[MS 25.284, rel. min. Marco Aurélio, j. 17-6-2010, P, DJE de 13-8-2010.]</w:t>
      </w:r>
    </w:p>
    <w:p>
      <w:pPr>
        <w:ind w:left="288"/>
      </w:pPr>
      <w:r>
        <w:rPr>
          <w:color w:val="8C8C8C"/>
          <w:sz w:val="12"/>
        </w:rPr>
        <w:t>cf-art-5-inc-XXII</w:t>
      </w:r>
      <w:r>
        <w:rPr>
          <w:color w:val="003CA0"/>
          <w:sz w:val="12"/>
        </w:rPr>
        <w:t xml:space="preserve"> | ADI 1.715</w:t>
      </w:r>
      <w:r>
        <w:rPr>
          <w:color w:val="003CA0"/>
          <w:sz w:val="12"/>
        </w:rPr>
        <w:t xml:space="preserve"> | rel. Marco Aurélio</w:t>
      </w:r>
    </w:p>
    <w:p>
      <w:pPr>
        <w:ind w:left="288"/>
      </w:pPr>
      <w:r>
        <w:rPr>
          <w:color w:val="1E1E1E"/>
          <w:sz w:val="18"/>
        </w:rPr>
        <w:t>Liquidação extrajudicial de instituição financeira. Bloqueio de depósitos em conta-corrente. (...) Jurisprudência deste Supremo entende que, em razão da natureza jurídica do contrato de depósito bancário, o depositante perde a qualidade de proprietário do bem depositado e passa a mero titular do crédito equivalente ao depósito e eventuais rendimentos (ADI 1.715 MC, Maurício Corrêa, DJ de 30-4-2004). A liberação do bloqueio efetivado pelo Banco Central na conta-corrente do recorrido, em decorrência de liquidação extrajudicial da instituição financeira, fere o direito de propriedade da massa liq</w:t>
      </w:r>
    </w:p>
    <w:p>
      <w:pPr>
        <w:ind w:left="288"/>
      </w:pPr>
      <w:r>
        <w:rPr>
          <w:b/>
          <w:color w:val="003CA0"/>
          <w:sz w:val="16"/>
        </w:rPr>
        <w:t>[RE 198.583, rel. min. Marco Aurélio, red. do ac. min. Nelson Jobim, j. 14-3-2006, 2ª T, DJ de 7-12-2006.]</w:t>
      </w:r>
    </w:p>
    <w:p>
      <w:pPr>
        <w:ind w:left="288"/>
      </w:pPr>
      <w:r>
        <w:rPr>
          <w:color w:val="8C8C8C"/>
          <w:sz w:val="12"/>
        </w:rPr>
        <w:t>cf-art-5-inc-XXII</w:t>
      </w:r>
      <w:r>
        <w:rPr>
          <w:color w:val="003CA0"/>
          <w:sz w:val="12"/>
        </w:rPr>
        <w:t xml:space="preserve"> | RE 267.817</w:t>
      </w:r>
      <w:r>
        <w:rPr>
          <w:color w:val="003CA0"/>
          <w:sz w:val="12"/>
        </w:rPr>
        <w:t xml:space="preserve"> | rel. Maurício Corrêa</w:t>
      </w:r>
    </w:p>
    <w:p>
      <w:pPr>
        <w:ind w:left="288"/>
      </w:pPr>
      <w:r>
        <w:rPr>
          <w:color w:val="1E1E1E"/>
          <w:sz w:val="18"/>
        </w:rPr>
        <w:t>A inexistência de qualquer indenização sobre a parcela de cobertura vegetal sujeita a preservação permanente implica violação aos postulados que asseguram o direito de propriedade e a justa indenização (CF, art. 5º, XXII e XXIV).</w:t>
      </w:r>
    </w:p>
    <w:p>
      <w:pPr>
        <w:ind w:left="288"/>
      </w:pPr>
      <w:r>
        <w:rPr>
          <w:b/>
          <w:color w:val="003CA0"/>
          <w:sz w:val="16"/>
        </w:rPr>
        <w:t>[RE 267.817, rel. min. Maurício Corrêa, j. 29-10-2002, 2ª T, DJ de 29-11-2002.]</w:t>
      </w:r>
    </w:p>
    <w:p>
      <w:pPr>
        <w:ind w:left="288"/>
      </w:pPr>
      <w:r>
        <w:rPr>
          <w:color w:val="8C8C8C"/>
          <w:sz w:val="12"/>
        </w:rPr>
        <w:t>cf-art-5-inc-XXII</w:t>
      </w:r>
      <w:r>
        <w:rPr>
          <w:color w:val="003CA0"/>
          <w:sz w:val="12"/>
        </w:rPr>
        <w:t xml:space="preserve"> | RE 134.297</w:t>
      </w:r>
      <w:r>
        <w:rPr>
          <w:color w:val="003CA0"/>
          <w:sz w:val="12"/>
        </w:rPr>
        <w:t xml:space="preserve"> | rel. Celso de Mello</w:t>
      </w:r>
    </w:p>
    <w:p>
      <w:pPr>
        <w:ind w:left="288"/>
      </w:pPr>
      <w:r>
        <w:rPr>
          <w:color w:val="1E1E1E"/>
          <w:sz w:val="18"/>
        </w:rPr>
        <w:t>= RE 134.297, rel. min. Celso de Mello, j. 13-6-1995, 1ª T, DJ de 22-9-1995 Se a restrição ao direito de construir advinda da limitação administrativa causa aniquilamento da propriedade privada, resulta, em favor do proprietário, o direito à indenização. Todavia, o direito de edificar é relativo, dado que condicionado à função social da propriedade. Se as restrições decorrentes da limitação administrativa preexistiam à aquisição do terreno, assim já do conhecimento dos adquirentes, não podem estes, com base em tais restrições, pedir indenização ao poder público.</w:t>
      </w:r>
    </w:p>
    <w:p>
      <w:pPr>
        <w:ind w:left="288"/>
      </w:pPr>
      <w:r>
        <w:rPr>
          <w:b/>
          <w:color w:val="003CA0"/>
          <w:sz w:val="16"/>
        </w:rPr>
        <w:t>[RE 140.436, rel. min. Carlos Velloso, j. 25-5-1999, 2ª T, DJ de 6-8-1999.]</w:t>
      </w:r>
    </w:p>
    <w:p>
      <w:pPr>
        <w:ind w:left="288"/>
      </w:pPr>
      <w:r>
        <w:rPr>
          <w:color w:val="8C8C8C"/>
          <w:sz w:val="12"/>
        </w:rPr>
        <w:t>cf-art-5-inc-XXII</w:t>
      </w:r>
      <w:r>
        <w:rPr>
          <w:color w:val="003CA0"/>
          <w:sz w:val="12"/>
        </w:rPr>
        <w:t xml:space="preserve"> | AI 526.272</w:t>
      </w:r>
      <w:r>
        <w:rPr>
          <w:color w:val="003CA0"/>
          <w:sz w:val="12"/>
        </w:rPr>
        <w:t xml:space="preserve"> | rel. Ellen Gracie</w:t>
      </w:r>
    </w:p>
    <w:p>
      <w:pPr>
        <w:ind w:left="288"/>
      </w:pPr>
      <w:r>
        <w:rPr>
          <w:color w:val="1E1E1E"/>
          <w:sz w:val="18"/>
        </w:rPr>
        <w:t>= AI 526.272 AgR, rel. min. Ellen Gracie, j. 1º-2-2011, 2ª T, DJE de 22-2-2011 A circunstância de o Estado dispor de competência para criar reservas florestais não lhe confere, só por si – considerando-se os princípios que tutelam, em nosso sistema normativo, o direito de propriedade –, a prerrogativa de subtrair-se ao pagamento de indenização compensatória ao particular, quando a atividade pública, decorrente do exercício de atribuições em tema de direito florestal, impedir ou afetar a válida exploração econômica do imóvel por seu proprietário.</w:t>
      </w:r>
    </w:p>
    <w:p>
      <w:pPr>
        <w:ind w:left="288"/>
      </w:pPr>
      <w:r>
        <w:rPr>
          <w:b/>
          <w:color w:val="003CA0"/>
          <w:sz w:val="16"/>
        </w:rPr>
        <w:t>[RE 134.297, rel. min. Celso de Mello, j. 13-6-1995, 1ª T, DJ de 22-9-1995.]</w:t>
      </w:r>
    </w:p>
    <w:p>
      <w:pPr>
        <w:ind w:left="288"/>
      </w:pPr>
      <w:r>
        <w:rPr>
          <w:color w:val="8C8C8C"/>
          <w:sz w:val="12"/>
        </w:rPr>
        <w:t>cf-art-5-inc-XXIII</w:t>
      </w:r>
      <w:r>
        <w:rPr>
          <w:color w:val="003CA0"/>
          <w:sz w:val="12"/>
        </w:rPr>
        <w:t xml:space="preserve"> | ADI 2.354</w:t>
      </w:r>
      <w:r>
        <w:rPr>
          <w:color w:val="003CA0"/>
          <w:sz w:val="12"/>
        </w:rPr>
        <w:t xml:space="preserve"> | rel. Dias Tofolli</w:t>
      </w:r>
    </w:p>
    <w:p>
      <w:pPr>
        <w:ind w:left="288"/>
      </w:pPr>
      <w:r>
        <w:rPr>
          <w:color w:val="1E1E1E"/>
          <w:sz w:val="18"/>
        </w:rPr>
        <w:t>Lei Federal 8.025/90. Decreto 99.266/90. Vedação de alienação dos imóveis residenciais administrados pelas Forças Armadas destinados à ocupação militar. (...) A atividade militar sujeita-se a condições específicas, tais como de regime jurídico e previdenciário, além de impor a seus membros atuação de elevada rotatividade nas diversas instalações espalhadas pelo País, mormente na Capital Federal, onde se encontram os comandos do Exército, da Marinha e da Aeronáutica. O Estatuto dos Servidores Militares da União estabelece como direito do militar e de seus dependentes o de residir em imóvel públ</w:t>
      </w:r>
    </w:p>
    <w:p>
      <w:pPr>
        <w:ind w:left="288"/>
      </w:pPr>
      <w:r>
        <w:rPr>
          <w:b/>
          <w:color w:val="003CA0"/>
          <w:sz w:val="16"/>
        </w:rPr>
        <w:t>[ADI 2.354, rel. min. Dias Tofolli, j. 27-9-2019, P, DJE de 4-12-2019.]</w:t>
      </w:r>
    </w:p>
    <w:p>
      <w:pPr>
        <w:ind w:left="288"/>
      </w:pPr>
      <w:r>
        <w:rPr>
          <w:color w:val="8C8C8C"/>
          <w:sz w:val="12"/>
        </w:rPr>
        <w:t>cf-art-5-inc-XXIII</w:t>
      </w:r>
      <w:r>
        <w:rPr>
          <w:color w:val="003CA0"/>
          <w:sz w:val="12"/>
        </w:rPr>
        <w:t xml:space="preserve"> | ADI 2.213</w:t>
      </w:r>
      <w:r>
        <w:rPr>
          <w:color w:val="003CA0"/>
          <w:sz w:val="12"/>
        </w:rPr>
        <w:t xml:space="preserve"> | rel. Celso de Mello</w:t>
      </w:r>
    </w:p>
    <w:p>
      <w:pPr>
        <w:ind w:left="288"/>
      </w:pPr>
      <w:r>
        <w:rPr>
          <w:color w:val="1E1E1E"/>
          <w:sz w:val="18"/>
        </w:rPr>
        <w:t>O direito de propriedade não se reveste de caráter absoluto, eis que, sobre ele, pesa grave hipoteca social, a significar que, descumprida a função social que lhe é inerente (CF, art. 5º, XXIII), legitimar-se-á a intervenção estatal na esfera dominial privada, observados, contudo, para esse efeito, os limites, as formas e os procedimentos fixados na própria Constituição da República. O acesso à terra, a solução dos conflitos sociais, o aproveitamento racional e adequado do imóvel rural, a utilização apropriada dos recursos naturais disponíveis e a preservação do meio ambiente constituem elemen</w:t>
      </w:r>
    </w:p>
    <w:p>
      <w:pPr>
        <w:ind w:left="288"/>
      </w:pPr>
      <w:r>
        <w:rPr>
          <w:b/>
          <w:color w:val="003CA0"/>
          <w:sz w:val="16"/>
        </w:rPr>
        <w:t>[ADI 2.213 MC, rel. min. Celso de Mello, j. 4-4-2002, P, DJ de 23-4-2004.]</w:t>
      </w:r>
    </w:p>
    <w:p>
      <w:pPr>
        <w:ind w:left="288"/>
      </w:pPr>
      <w:r>
        <w:rPr>
          <w:color w:val="8C8C8C"/>
          <w:sz w:val="12"/>
        </w:rPr>
        <w:t>cf-art-5-inc-XXIII</w:t>
      </w:r>
      <w:r>
        <w:rPr>
          <w:color w:val="003CA0"/>
          <w:sz w:val="12"/>
        </w:rPr>
        <w:t xml:space="preserve"> | MS 25.284</w:t>
      </w:r>
      <w:r>
        <w:rPr>
          <w:color w:val="003CA0"/>
          <w:sz w:val="12"/>
        </w:rPr>
        <w:t xml:space="preserve"> | rel. Marco Aurélio</w:t>
      </w:r>
    </w:p>
    <w:p>
      <w:pPr>
        <w:ind w:left="288"/>
      </w:pPr>
      <w:r>
        <w:rPr>
          <w:color w:val="1E1E1E"/>
          <w:sz w:val="18"/>
        </w:rPr>
        <w:t>= MS 25.284, rel. min. Marco Aurélio, j. 17-6-2010, P, DJE de 13-8-2010 O direito à propriedade não é absoluto e encontra seu limite na função social, conforme o artigo 5º, XXII e XXIII, da CF/1988. Os proprietários podem ser exigidos a realizar obras no imóvel, porém, enquanto não detiverem o controle físico do bem, a obrigação de requalificar subsiste, mas sua exigibilidade fica condicionada à efetiva retomada da posse.</w:t>
      </w:r>
    </w:p>
    <w:p>
      <w:pPr>
        <w:ind w:left="288"/>
      </w:pPr>
      <w:r>
        <w:rPr>
          <w:b/>
          <w:color w:val="003CA0"/>
          <w:sz w:val="16"/>
        </w:rPr>
        <w:t>[ARE 1.521.864 ED-AgR, rel. min. Flávio Dino, j. 17.11.2025, 1ª T, DJE de 25.11.2025.]</w:t>
      </w:r>
    </w:p>
    <w:p>
      <w:pPr>
        <w:ind w:left="288"/>
      </w:pPr>
      <w:r>
        <w:rPr>
          <w:color w:val="8C8C8C"/>
          <w:sz w:val="12"/>
        </w:rPr>
        <w:t>cf-art-5-inc-XXIII</w:t>
      </w:r>
      <w:r>
        <w:rPr>
          <w:color w:val="003CA0"/>
          <w:sz w:val="12"/>
        </w:rPr>
        <w:t xml:space="preserve"> | RE 211.385</w:t>
      </w:r>
      <w:r>
        <w:rPr>
          <w:color w:val="003CA0"/>
          <w:sz w:val="12"/>
        </w:rPr>
        <w:t xml:space="preserve"> | rel. Octavio Gallotti</w:t>
      </w:r>
    </w:p>
    <w:p>
      <w:pPr>
        <w:ind w:left="288"/>
      </w:pPr>
      <w:r>
        <w:rPr>
          <w:color w:val="1E1E1E"/>
          <w:sz w:val="18"/>
        </w:rPr>
        <w:t>A garantia da função social da propriedade (art. 5º, XXIII, da Constituição) não afeta as normas de composição de conflito de vizinhança insertas no CC/1916 (...), para impor, gratuitamente, ao proprietário a ingerência de outro particular em seu poder de uso, pela circunstância de exercer este último atividade reconhecida como de utilidade pública.</w:t>
      </w:r>
    </w:p>
    <w:p>
      <w:pPr>
        <w:ind w:left="288"/>
      </w:pPr>
      <w:r>
        <w:rPr>
          <w:b/>
          <w:color w:val="003CA0"/>
          <w:sz w:val="16"/>
        </w:rPr>
        <w:t>[RE 211.385, rel. min. Octavio Gallotti, j. 20-4-1999, 1ª T, DJ de 24-9-1999.]</w:t>
      </w:r>
    </w:p>
    <w:p>
      <w:pPr>
        <w:ind w:left="288"/>
      </w:pPr>
      <w:r>
        <w:rPr>
          <w:color w:val="8C8C8C"/>
          <w:sz w:val="12"/>
        </w:rPr>
        <w:t>cf-art-5-inc-XXIII</w:t>
      </w:r>
      <w:r>
        <w:rPr>
          <w:color w:val="003CA0"/>
          <w:sz w:val="12"/>
        </w:rPr>
        <w:t xml:space="preserve"> | MS 22.164</w:t>
      </w:r>
      <w:r>
        <w:rPr>
          <w:color w:val="003CA0"/>
          <w:sz w:val="12"/>
        </w:rPr>
        <w:t xml:space="preserve"> | rel. Celso de Mello</w:t>
      </w:r>
    </w:p>
    <w:p>
      <w:pPr>
        <w:ind w:left="288"/>
      </w:pPr>
      <w:r>
        <w:rPr>
          <w:color w:val="1E1E1E"/>
          <w:sz w:val="18"/>
        </w:rPr>
        <w:t>A própria Constituição da República, ao impor ao poder público dever de fazer respeitar a integridade do patrimônio ambiental, não o inibe, quando necessária a intervenção estatal na esfera dominial privada, de promover a desapropriação de imóveis rurais para fins de reforma agrária, especialmente porque um dos instrumentos de realização da função social da propriedade consiste, precisamente, na submissão do domínio à necessidade de o seu titular utilizar adequadamente os recursos naturais disponíveis e de fazer preservar o equilíbrio do meio ambiente (...).</w:t>
      </w:r>
    </w:p>
    <w:p>
      <w:pPr>
        <w:ind w:left="288"/>
      </w:pPr>
      <w:r>
        <w:rPr>
          <w:b/>
          <w:color w:val="003CA0"/>
          <w:sz w:val="16"/>
        </w:rPr>
        <w:t>[MS 22.164, rel. min. Celso de Mello, j. 30-10-1995, P, DJ de 17-11-1995.]</w:t>
      </w:r>
    </w:p>
    <w:p>
      <w:pPr>
        <w:ind w:left="288"/>
      </w:pPr>
      <w:r>
        <w:rPr>
          <w:color w:val="8C8C8C"/>
          <w:sz w:val="12"/>
        </w:rPr>
        <w:t>cf-art-5-inc-XXIII</w:t>
      </w:r>
    </w:p>
    <w:p>
      <w:pPr>
        <w:ind w:left="288"/>
      </w:pPr>
      <w:r>
        <w:rPr>
          <w:color w:val="1E1E1E"/>
          <w:sz w:val="18"/>
        </w:rPr>
        <w:t>XXIV - a lei estabelecerá o procedimento para desapropriação por necessidade ou utilidade pública, ou por interesse social, mediante justa e prévia indenização em dinheiro, ressalvados os casos previstos nesta Constituição; Não contraria a Constituição o art. 15, § 1º, do DL 3.365/1941 (Lei da Desapropriação por Utilidade Pública).</w:t>
      </w:r>
    </w:p>
    <w:p>
      <w:pPr>
        <w:ind w:left="288"/>
      </w:pPr>
      <w:r>
        <w:rPr>
          <w:b/>
          <w:color w:val="003CA0"/>
          <w:sz w:val="16"/>
        </w:rPr>
        <w:t>[Súmula 652.]</w:t>
      </w:r>
    </w:p>
    <w:p>
      <w:pPr>
        <w:ind w:left="288"/>
      </w:pPr>
      <w:r>
        <w:rPr>
          <w:color w:val="8C8C8C"/>
          <w:sz w:val="12"/>
        </w:rPr>
        <w:t>cf-art-5-inc-XXIII</w:t>
      </w:r>
    </w:p>
    <w:p>
      <w:pPr>
        <w:ind w:left="288"/>
      </w:pPr>
      <w:r>
        <w:rPr>
          <w:color w:val="1E1E1E"/>
          <w:sz w:val="18"/>
        </w:rPr>
        <w:t>Na desapropriação, direta ou indireta, a taxa dos juros compensatórios é de 12% ao ano.</w:t>
      </w:r>
    </w:p>
    <w:p>
      <w:pPr>
        <w:ind w:left="288"/>
      </w:pPr>
      <w:r>
        <w:rPr>
          <w:b/>
          <w:color w:val="003CA0"/>
          <w:sz w:val="16"/>
        </w:rPr>
        <w:t>[Súmula 618.]</w:t>
      </w:r>
    </w:p>
    <w:p>
      <w:pPr>
        <w:ind w:left="288"/>
      </w:pPr>
      <w:r>
        <w:rPr>
          <w:color w:val="8C8C8C"/>
          <w:sz w:val="12"/>
        </w:rPr>
        <w:t>cf-art-5-inc-XXIII</w:t>
      </w:r>
      <w:r>
        <w:rPr>
          <w:color w:val="003CA0"/>
          <w:sz w:val="12"/>
        </w:rPr>
        <w:t xml:space="preserve"> | ADI 2.332</w:t>
      </w:r>
      <w:r>
        <w:rPr>
          <w:color w:val="003CA0"/>
          <w:sz w:val="12"/>
        </w:rPr>
        <w:t xml:space="preserve"> | rel. Roberto Barroso</w:t>
      </w:r>
    </w:p>
    <w:p>
      <w:pPr>
        <w:ind w:left="288"/>
      </w:pPr>
      <w:r>
        <w:rPr>
          <w:color w:val="1E1E1E"/>
          <w:sz w:val="18"/>
        </w:rPr>
        <w:t>É constitucional o percentual de juros compensatórios de 6% (seis por cento) ao ano para a remuneração do proprietário pela imissão provisória do ente público na posse do seu bem, na medida em que consiste em ponderação legislativa proporcional entre o direito constitucional do proprietário à justa indenização (art. 5º, XXIV, CF/88) e os princípios constitucionais da eficiência e da economicidade (art. 37, caput, CF/88). Declaração da inconstitucionalidade do termo ‘até’ e interpretação conforme a Constituição do caput do art. 15-A, de maneira a incidir juros compensatórios sobre a diferença e</w:t>
      </w:r>
    </w:p>
    <w:p>
      <w:pPr>
        <w:ind w:left="288"/>
      </w:pPr>
      <w:r>
        <w:rPr>
          <w:b/>
          <w:color w:val="003CA0"/>
          <w:sz w:val="16"/>
        </w:rPr>
        <w:t>[ADI 2.332, rel. min. Roberto Barroso, j. 17-5-2018, P, DJE de 16-4-2019.]</w:t>
      </w:r>
    </w:p>
    <w:p>
      <w:pPr>
        <w:ind w:left="288"/>
      </w:pPr>
      <w:r>
        <w:rPr>
          <w:color w:val="8C8C8C"/>
          <w:sz w:val="12"/>
        </w:rPr>
        <w:t>cf-art-5-inc-XXIII</w:t>
      </w:r>
      <w:r>
        <w:rPr>
          <w:color w:val="003CA0"/>
          <w:sz w:val="12"/>
        </w:rPr>
        <w:t xml:space="preserve"> | ADI 2.260</w:t>
      </w:r>
      <w:r>
        <w:rPr>
          <w:color w:val="003CA0"/>
          <w:sz w:val="12"/>
        </w:rPr>
        <w:t xml:space="preserve"> | rel. Moreira Alves</w:t>
      </w:r>
    </w:p>
    <w:p>
      <w:pPr>
        <w:ind w:left="288"/>
      </w:pPr>
      <w:r>
        <w:rPr>
          <w:color w:val="1E1E1E"/>
          <w:sz w:val="18"/>
        </w:rPr>
        <w:t>De há muito, a jurisprudência desta Corte afirmou que a ação de desapropriação indireta tem caráter real, e não pessoal, traduzindo-se numa verdadeira expropriação às avessas, tendo o direito à indenização que daí nasce o mesmo fundamento da garantia constitucional da justa indenização nos casos de desapropriação regular. Não tendo o dispositivo ora impugnado sequer criado uma modalidade de usucapião por ato ilícito com o prazo de cinco anos para, através dele, transcorrido esse prazo, atribuir o direito de propriedade ao poder público sobre a coisa de que ele se apossou administrativamente, é</w:t>
      </w:r>
    </w:p>
    <w:p>
      <w:pPr>
        <w:ind w:left="288"/>
      </w:pPr>
      <w:r>
        <w:rPr>
          <w:b/>
          <w:color w:val="003CA0"/>
          <w:sz w:val="16"/>
        </w:rPr>
        <w:t>[ADI 2.260 MC, rel. min. Moreira Alves, j. 14-2-2001, P, DJ de 2-8-2002.]</w:t>
      </w:r>
    </w:p>
    <w:p>
      <w:pPr>
        <w:ind w:left="288"/>
      </w:pPr>
      <w:r>
        <w:rPr>
          <w:color w:val="8C8C8C"/>
          <w:sz w:val="12"/>
        </w:rPr>
        <w:t>cf-art-5-inc-XXIII</w:t>
      </w:r>
      <w:r>
        <w:rPr>
          <w:color w:val="003CA0"/>
          <w:sz w:val="12"/>
        </w:rPr>
        <w:t xml:space="preserve"> | RE 922.144</w:t>
      </w:r>
      <w:r>
        <w:rPr>
          <w:color w:val="003CA0"/>
          <w:sz w:val="12"/>
        </w:rPr>
        <w:t xml:space="preserve"> | rel. Luís Roberto Barroso</w:t>
      </w:r>
    </w:p>
    <w:p>
      <w:pPr>
        <w:ind w:left="288"/>
      </w:pPr>
      <w:r>
        <w:rPr>
          <w:color w:val="1E1E1E"/>
          <w:sz w:val="18"/>
        </w:rPr>
        <w:t>“No caso de necessidade de complementação da indenização, ao final do processo expropriatório, deverá o pagamento ser feito mediante depósito judicial direto se o Poder Público não estiver em dia com os precatórios”.</w:t>
      </w:r>
    </w:p>
    <w:p>
      <w:pPr>
        <w:ind w:left="288"/>
      </w:pPr>
      <w:r>
        <w:rPr>
          <w:b/>
          <w:color w:val="003CA0"/>
          <w:sz w:val="16"/>
        </w:rPr>
        <w:t>[RE 922.144, rel. min. Luís Roberto Barroso, j. 19-10-2023, P, DJE de 7-2-2024, Tema 865, com mérito julgado.]</w:t>
      </w:r>
    </w:p>
    <w:p>
      <w:pPr>
        <w:ind w:left="288"/>
      </w:pPr>
      <w:r>
        <w:rPr>
          <w:color w:val="8C8C8C"/>
          <w:sz w:val="12"/>
        </w:rPr>
        <w:t>cf-art-5-inc-XXIII</w:t>
      </w:r>
      <w:r>
        <w:rPr>
          <w:color w:val="003CA0"/>
          <w:sz w:val="12"/>
        </w:rPr>
        <w:t xml:space="preserve"> | MS 32.898</w:t>
      </w:r>
      <w:r>
        <w:rPr>
          <w:color w:val="003CA0"/>
          <w:sz w:val="12"/>
        </w:rPr>
        <w:t xml:space="preserve"> | rel. Teori Zavascki</w:t>
      </w:r>
    </w:p>
    <w:p>
      <w:pPr>
        <w:ind w:left="288"/>
      </w:pPr>
      <w:r>
        <w:rPr>
          <w:color w:val="1E1E1E"/>
          <w:sz w:val="18"/>
        </w:rPr>
        <w:t>Declaração de imóvel rural como de interesse social para fins de reforma agrária. Decreto presidencial editado quatorze anos após a vistoria administrativa. Procedimento administrativo suspenso por mais de sete anos em razão de decisão liminar postulada pelo próprio impetrante. Restante do tempo utilizado na prática de atos indispensáveis para a conclusão do procedimento administrativo. Nulidades fundadas na demora da edição do ato impetrado. Não configuração. Inexistência de prazo de validade do ato de vistoria.</w:t>
      </w:r>
    </w:p>
    <w:p>
      <w:pPr>
        <w:ind w:left="288"/>
      </w:pPr>
      <w:r>
        <w:rPr>
          <w:b/>
          <w:color w:val="003CA0"/>
          <w:sz w:val="16"/>
        </w:rPr>
        <w:t>[MS 32.898 AgR, rel. min. Teori Zavascki, j. 9-9-2016, P, DJE de 23-9-2016.]</w:t>
      </w:r>
    </w:p>
    <w:p>
      <w:pPr>
        <w:ind w:left="288"/>
      </w:pPr>
      <w:r>
        <w:rPr>
          <w:color w:val="8C8C8C"/>
          <w:sz w:val="12"/>
        </w:rPr>
        <w:t>cf-art-5-inc-XXIII</w:t>
      </w:r>
      <w:r>
        <w:rPr>
          <w:color w:val="003CA0"/>
          <w:sz w:val="12"/>
        </w:rPr>
        <w:t xml:space="preserve"> | MS 26.192</w:t>
      </w:r>
      <w:r>
        <w:rPr>
          <w:color w:val="003CA0"/>
          <w:sz w:val="12"/>
        </w:rPr>
        <w:t xml:space="preserve"> | rel. Joaquim Barbosa</w:t>
      </w:r>
    </w:p>
    <w:p>
      <w:pPr>
        <w:ind w:left="288"/>
      </w:pPr>
      <w:r>
        <w:rPr>
          <w:color w:val="1E1E1E"/>
          <w:sz w:val="18"/>
        </w:rPr>
        <w:t>Mandado de segurança impetrado contra decreto presidencial que declarou de interesse social, para fins de estabelecimento e a manutenção de colônias ou cooperativas de povoamento de trabalho agrícola, o imóvel conhecido como "Fazenda Tambauzinho" (arts. 5º, XXIV, e 84, IV, da Constituição e art. 2º, III, da Lei 4.132/1962). Intervenção estatal para garantir as expectativas de moradores locais julgadas legítimas pela União. Quadro de potencial conflito social. Alegada violação de decisão transitada em julgado, prolatada pelo Tribunal de Justiça do Estado da Paraíba, que teria firmado a impossib</w:t>
      </w:r>
    </w:p>
    <w:p>
      <w:pPr>
        <w:ind w:left="288"/>
      </w:pPr>
      <w:r>
        <w:rPr>
          <w:b/>
          <w:color w:val="003CA0"/>
          <w:sz w:val="16"/>
        </w:rPr>
        <w:t>[MS 26.192, rel. min. Joaquim Barbosa, j. 11-5-2011, P, DJE de 23-8-2011.]</w:t>
      </w:r>
    </w:p>
    <w:p>
      <w:pPr>
        <w:ind w:left="288"/>
      </w:pPr>
      <w:r>
        <w:rPr>
          <w:color w:val="8C8C8C"/>
          <w:sz w:val="12"/>
        </w:rPr>
        <w:t>cf-art-5-inc-XXIII</w:t>
      </w:r>
      <w:r>
        <w:rPr>
          <w:color w:val="003CA0"/>
          <w:sz w:val="12"/>
        </w:rPr>
        <w:t xml:space="preserve"> | SL 392</w:t>
      </w:r>
      <w:r>
        <w:rPr>
          <w:color w:val="003CA0"/>
          <w:sz w:val="12"/>
        </w:rPr>
        <w:t xml:space="preserve"> | rel. Cezar Peluso</w:t>
      </w:r>
    </w:p>
    <w:p>
      <w:pPr>
        <w:ind w:left="288"/>
      </w:pPr>
      <w:r>
        <w:rPr>
          <w:color w:val="1E1E1E"/>
          <w:sz w:val="18"/>
        </w:rPr>
        <w:t>Não há risco de grave lesão à ordem econômica na decisão judicial que determina seja comprovado depósito do preço justo fixado por perícia para imissão na posse em ação de desapropriação.</w:t>
      </w:r>
    </w:p>
    <w:p>
      <w:pPr>
        <w:ind w:left="288"/>
      </w:pPr>
      <w:r>
        <w:rPr>
          <w:b/>
          <w:color w:val="003CA0"/>
          <w:sz w:val="16"/>
        </w:rPr>
        <w:t>[SL 392 AgR, rel. min. Cezar Peluso, j. 9-12-2010, P, DJE de 9-2-2011.]</w:t>
      </w:r>
    </w:p>
    <w:p>
      <w:pPr>
        <w:ind w:left="288"/>
      </w:pPr>
      <w:r>
        <w:rPr>
          <w:color w:val="8C8C8C"/>
          <w:sz w:val="12"/>
        </w:rPr>
        <w:t>cf-art-5-inc-XXIII</w:t>
      </w:r>
      <w:r>
        <w:rPr>
          <w:color w:val="003CA0"/>
          <w:sz w:val="12"/>
        </w:rPr>
        <w:t xml:space="preserve"> | MS 25.284</w:t>
      </w:r>
      <w:r>
        <w:rPr>
          <w:color w:val="003CA0"/>
          <w:sz w:val="12"/>
        </w:rPr>
        <w:t xml:space="preserve"> | rel. Marco Aurélio</w:t>
      </w:r>
    </w:p>
    <w:p>
      <w:pPr>
        <w:ind w:left="288"/>
      </w:pPr>
      <w:r>
        <w:rPr>
          <w:color w:val="1E1E1E"/>
          <w:sz w:val="18"/>
        </w:rPr>
        <w:t>Reserva extrativista. Desapropriação. Orçamento. A criação de reserva extrativista prescinde de previsão orçamentária visando satisfazer indenizações.</w:t>
      </w:r>
    </w:p>
    <w:p>
      <w:pPr>
        <w:ind w:left="288"/>
      </w:pPr>
      <w:r>
        <w:rPr>
          <w:b/>
          <w:color w:val="003CA0"/>
          <w:sz w:val="16"/>
        </w:rPr>
        <w:t>[MS 25.284, rel. min. Marco Aurélio, j. 17-6-2010, P, DJE de 13-8-2010.]</w:t>
      </w:r>
    </w:p>
    <w:p>
      <w:pPr>
        <w:ind w:left="288"/>
      </w:pPr>
      <w:r>
        <w:rPr>
          <w:color w:val="8C8C8C"/>
          <w:sz w:val="12"/>
        </w:rPr>
        <w:t>cf-art-5-inc-XXIII</w:t>
      </w:r>
      <w:r>
        <w:rPr>
          <w:color w:val="003CA0"/>
          <w:sz w:val="12"/>
        </w:rPr>
        <w:t xml:space="preserve"> | RE 598.678</w:t>
      </w:r>
      <w:r>
        <w:rPr>
          <w:color w:val="003CA0"/>
          <w:sz w:val="12"/>
        </w:rPr>
        <w:t xml:space="preserve"> | rel. Eros Grau</w:t>
      </w:r>
    </w:p>
    <w:p>
      <w:pPr>
        <w:ind w:left="288"/>
      </w:pPr>
      <w:r>
        <w:rPr>
          <w:color w:val="1E1E1E"/>
          <w:sz w:val="18"/>
        </w:rPr>
        <w:t>Verificada a insuficiência do depósito prévio na desapropriação por utilidade pública, a diferença do valor depositado para imissão na posse deve ser feito por meio de precatório, na forma do art. 100 da Constituição do Brasil/1988.</w:t>
      </w:r>
    </w:p>
    <w:p>
      <w:pPr>
        <w:ind w:left="288"/>
      </w:pPr>
      <w:r>
        <w:rPr>
          <w:b/>
          <w:color w:val="003CA0"/>
          <w:sz w:val="16"/>
        </w:rPr>
        <w:t>[RE 598.678 AgR, rel. min. Eros Grau, j. 1º-12-2009, 2ª T, DJE de 18-12-2009.]</w:t>
      </w:r>
    </w:p>
    <w:p>
      <w:pPr>
        <w:ind w:left="288"/>
      </w:pPr>
      <w:r>
        <w:rPr>
          <w:color w:val="8C8C8C"/>
          <w:sz w:val="12"/>
        </w:rPr>
        <w:t>cf-art-5-inc-XXIII</w:t>
      </w:r>
      <w:r>
        <w:rPr>
          <w:color w:val="003CA0"/>
          <w:sz w:val="12"/>
        </w:rPr>
        <w:t xml:space="preserve"> | RE 739.454</w:t>
      </w:r>
      <w:r>
        <w:rPr>
          <w:color w:val="003CA0"/>
          <w:sz w:val="12"/>
        </w:rPr>
        <w:t xml:space="preserve"> | rel. Cármen Lúcia</w:t>
      </w:r>
    </w:p>
    <w:p>
      <w:pPr>
        <w:ind w:left="288"/>
      </w:pPr>
      <w:r>
        <w:rPr>
          <w:color w:val="1E1E1E"/>
          <w:sz w:val="18"/>
        </w:rPr>
        <w:t>= RE 739.454 AgR, rel. min. Cármen Lúcia, j. 12-11-2013, 2ª T, DJE de 20-11-2013 Já assentou a Corte que o "depósito prévio não importa o pagamento definitivo e justo conforme o art. 5º, XXIV, da Lei Maior de 1988", com o que não existe "incompatibilidade do art. 3º do DL 1.075/1970 e do art. 15 e seus parágrafos, DL 3.365/1941, com os dispositivos constitucionais aludidos (...)" (RE 184.069/SP, rel. min. Néri da Silveira, DJ de 8-3-2002). Também a Primeira Turma decidiu que a "norma do art. 3º do DL 1.075/1970, que permite ao desapropriante o pagamento de metade do valor arbitrado, para imiti</w:t>
      </w:r>
    </w:p>
    <w:p>
      <w:pPr>
        <w:ind w:left="288"/>
      </w:pPr>
      <w:r>
        <w:rPr>
          <w:b/>
          <w:color w:val="003CA0"/>
          <w:sz w:val="16"/>
        </w:rPr>
        <w:t>[RE 191.078, rel. min. Menezes Direito, j. 15-4-2008, 1ª T, DJE de 20-6-2008.]</w:t>
      </w:r>
    </w:p>
    <w:p>
      <w:pPr>
        <w:ind w:left="288"/>
      </w:pPr>
      <w:r>
        <w:rPr>
          <w:color w:val="8C8C8C"/>
          <w:sz w:val="12"/>
        </w:rPr>
        <w:t>cf-art-5-inc-XXIII</w:t>
      </w:r>
      <w:r>
        <w:rPr>
          <w:color w:val="003CA0"/>
          <w:sz w:val="12"/>
        </w:rPr>
        <w:t xml:space="preserve"> | RE 161.552</w:t>
      </w:r>
      <w:r>
        <w:rPr>
          <w:color w:val="003CA0"/>
          <w:sz w:val="12"/>
        </w:rPr>
        <w:t xml:space="preserve"> | rel. Ilmar Galvão</w:t>
      </w:r>
    </w:p>
    <w:p>
      <w:pPr>
        <w:ind w:left="288"/>
      </w:pPr>
      <w:r>
        <w:rPr>
          <w:color w:val="1E1E1E"/>
          <w:sz w:val="18"/>
        </w:rPr>
        <w:t>Imóvel urbano. Desapropriação por utilidade pública e interesse social. Acórdão que declarou a sua ilegalidade, por ausência de plano diretor e de notificação prévia ao proprietário para que promovesse seu adequado aproveitamento, na forma do art. 182 e parágrafos da Constituição. Descabimento, entretanto, dessas exigências, se não se está diante da desapropriação-sanção prevista no art. 182, § 4º, III, da Constituição de 1988, mas de ato embasado no art. 5º, XXIV, da mesma Carta, para o qual se acha perfeitamente legitimada a municipalidade.</w:t>
      </w:r>
    </w:p>
    <w:p>
      <w:pPr>
        <w:ind w:left="288"/>
      </w:pPr>
      <w:r>
        <w:rPr>
          <w:b/>
          <w:color w:val="003CA0"/>
          <w:sz w:val="16"/>
        </w:rPr>
        <w:t>[RE 161.552, rel. min. Ilmar Galvão, j. 11-11-1997, 1ª T, DJ de 6-2-1998.]</w:t>
      </w:r>
    </w:p>
    <w:p>
      <w:pPr>
        <w:ind w:left="288"/>
      </w:pPr>
      <w:r>
        <w:rPr>
          <w:color w:val="8C8C8C"/>
          <w:sz w:val="12"/>
        </w:rPr>
        <w:t>cf-art-5-inc-XXIII</w:t>
      </w:r>
      <w:r>
        <w:rPr>
          <w:color w:val="003CA0"/>
          <w:sz w:val="12"/>
        </w:rPr>
        <w:t xml:space="preserve"> | MS 22.193</w:t>
      </w:r>
      <w:r>
        <w:rPr>
          <w:color w:val="003CA0"/>
          <w:sz w:val="12"/>
        </w:rPr>
        <w:t xml:space="preserve"> | rel. Ilmar Galvão</w:t>
      </w:r>
    </w:p>
    <w:p>
      <w:pPr>
        <w:ind w:left="288"/>
      </w:pPr>
      <w:r>
        <w:rPr>
          <w:color w:val="1E1E1E"/>
          <w:sz w:val="18"/>
        </w:rPr>
        <w:t>Caracterizado que a propriedade é produtiva, não se opera a desapropriação-sanção – por interesse social para os fins de reforma agrária –, em virtude de imperativo constitucional (CF, art. 185, II) que excepciona, para a reforma agrária, a atuação estatal, passando o processo de indenização, em princípio, a submeter-se às regras constantes do inciso XXIV do art. 5º da CF, "mediante justa e prévia indenização".</w:t>
      </w:r>
    </w:p>
    <w:p>
      <w:pPr>
        <w:ind w:left="288"/>
      </w:pPr>
      <w:r>
        <w:rPr>
          <w:b/>
          <w:color w:val="003CA0"/>
          <w:sz w:val="16"/>
        </w:rPr>
        <w:t>[MS 22.193, rel. min. Ilmar Galvão, red. do ac. min. Maurício Corrêa, j. 21-3-1996, P, DJ de 29-11-1996.]</w:t>
      </w:r>
    </w:p>
    <w:p>
      <w:pPr>
        <w:ind w:left="288"/>
      </w:pPr>
      <w:r>
        <w:rPr>
          <w:color w:val="8C8C8C"/>
          <w:sz w:val="12"/>
        </w:rPr>
        <w:t>cf-art-5-inc-XXIII</w:t>
      </w:r>
      <w:r>
        <w:rPr>
          <w:color w:val="003CA0"/>
          <w:sz w:val="12"/>
        </w:rPr>
        <w:t xml:space="preserve"> | RE 195.586</w:t>
      </w:r>
      <w:r>
        <w:rPr>
          <w:color w:val="003CA0"/>
          <w:sz w:val="12"/>
        </w:rPr>
        <w:t xml:space="preserve"> | rel. Octavio Gallotti</w:t>
      </w:r>
    </w:p>
    <w:p>
      <w:pPr>
        <w:ind w:left="288"/>
      </w:pPr>
      <w:r>
        <w:rPr>
          <w:color w:val="1E1E1E"/>
          <w:sz w:val="18"/>
        </w:rPr>
        <w:t>Subsiste, no regime da CF de 1988 (art. 5º, XXIV), a jurisprudência firmada pelo Supremo Tribunal sob a égide das Cartas anteriores, ao assentar que só a perda da propriedade, no final da ação de desapropriação – e não a imissão provisória na posse do imóvel – está compreendida na garantia da justa e prévia indenização.</w:t>
      </w:r>
    </w:p>
    <w:p>
      <w:pPr>
        <w:ind w:left="288"/>
      </w:pPr>
      <w:r>
        <w:rPr>
          <w:b/>
          <w:color w:val="003CA0"/>
          <w:sz w:val="16"/>
        </w:rPr>
        <w:t>[RE 195.586, rel. min. Octavio Gallotti, j. 12-3-1996, 1ª T, DJ de 26-4-1996.]</w:t>
      </w:r>
    </w:p>
    <w:p>
      <w:pPr>
        <w:ind w:left="288"/>
      </w:pPr>
      <w:r>
        <w:rPr>
          <w:color w:val="8C8C8C"/>
          <w:sz w:val="12"/>
        </w:rPr>
        <w:t>cf-art-5-inc-XXIII</w:t>
      </w:r>
      <w:r>
        <w:rPr>
          <w:color w:val="003CA0"/>
          <w:sz w:val="12"/>
        </w:rPr>
        <w:t xml:space="preserve"> | ADI 3.454</w:t>
      </w:r>
      <w:r>
        <w:rPr>
          <w:color w:val="003CA0"/>
          <w:sz w:val="12"/>
        </w:rPr>
        <w:t xml:space="preserve"> | rel. Dias Toffoli</w:t>
      </w:r>
    </w:p>
    <w:p>
      <w:pPr>
        <w:ind w:left="288"/>
      </w:pPr>
      <w:r>
        <w:rPr>
          <w:color w:val="1E1E1E"/>
          <w:sz w:val="18"/>
        </w:rPr>
        <w:t>XXV - no caso de iminente perigo público, a autoridade competente poderá usar de propriedade particular, assegurada ao proprietário indenização ulterior, se houver dano; A questão jurídica debatida nos autos está em saber se a requisição de que trata o art. 15, inciso XIII, da Lei nº 8.080/90 pode recair sobre bens e serviços públicos. Em outras palavras, discute-se, na presente ação, se um ente federativo pode requisitar bens e serviços pertencentes a outro. (...) A validade constitucional do dispositivo questionado está condicionada à exclusão da possibilidade de que a norma recaia sobre ben</w:t>
      </w:r>
    </w:p>
    <w:p>
      <w:pPr>
        <w:ind w:left="288"/>
      </w:pPr>
      <w:r>
        <w:rPr>
          <w:b/>
          <w:color w:val="003CA0"/>
          <w:sz w:val="16"/>
        </w:rPr>
        <w:t>[ADI 3.454, rel. min. Dias Toffoli, j. 21.06.2022, P, DJE de 17.08.2022.]</w:t>
      </w:r>
    </w:p>
    <w:p>
      <w:pPr>
        <w:ind w:left="288"/>
      </w:pPr>
      <w:r>
        <w:rPr>
          <w:color w:val="8C8C8C"/>
          <w:sz w:val="12"/>
        </w:rPr>
        <w:t>cf-art-5-inc-XXIII</w:t>
      </w:r>
      <w:r>
        <w:rPr>
          <w:color w:val="003CA0"/>
          <w:sz w:val="12"/>
        </w:rPr>
        <w:t xml:space="preserve"> | MS 25.295</w:t>
      </w:r>
      <w:r>
        <w:rPr>
          <w:color w:val="003CA0"/>
          <w:sz w:val="12"/>
        </w:rPr>
        <w:t xml:space="preserve"> | rel. Joaquim Barbosa</w:t>
      </w:r>
    </w:p>
    <w:p>
      <w:pPr>
        <w:ind w:left="288"/>
      </w:pPr>
      <w:r>
        <w:rPr>
          <w:color w:val="1E1E1E"/>
          <w:sz w:val="18"/>
        </w:rPr>
        <w:t>Decretação de estado de calamidade pública no SUS no Município do Rio de Janeiro. Requisição de bens e serviços municipais. (...) Ressalva do ministro presidente e do relator quanto à admissibilidade, em tese, da requisição, pela União, de bens e serviços municipais para o atendimento a situações de comprovada calamidade e perigo públicos. Ressalvas do relator quanto ao fundamento do deferimento da ordem: (i) ato sem expressa motivação e fixação de prazo para as medidas adotadas pelo governo federal; (...) (iii) nulidade do § 1º do art. 2º do decreto atacado, por inconstitucionalidade da deleg</w:t>
      </w:r>
    </w:p>
    <w:p>
      <w:pPr>
        <w:ind w:left="288"/>
      </w:pPr>
      <w:r>
        <w:rPr>
          <w:b/>
          <w:color w:val="003CA0"/>
          <w:sz w:val="16"/>
        </w:rPr>
        <w:t>[MS 25.295, rel. min. Joaquim Barbosa, j. 20-4-2005, P, DJ de 5-10-2007.]</w:t>
      </w:r>
    </w:p>
    <w:p>
      <w:pPr>
        <w:ind w:left="288"/>
      </w:pPr>
      <w:r>
        <w:rPr>
          <w:color w:val="8C8C8C"/>
          <w:sz w:val="12"/>
        </w:rPr>
        <w:t>cf-art-5-inc-XXIII</w:t>
      </w:r>
      <w:r>
        <w:rPr>
          <w:color w:val="003CA0"/>
          <w:sz w:val="12"/>
        </w:rPr>
        <w:t xml:space="preserve"> | RE 1.333.273</w:t>
      </w:r>
      <w:r>
        <w:rPr>
          <w:color w:val="003CA0"/>
          <w:sz w:val="12"/>
        </w:rPr>
        <w:t xml:space="preserve"> | rel. Luiz Fux</w:t>
      </w:r>
    </w:p>
    <w:p>
      <w:pPr>
        <w:ind w:left="288"/>
      </w:pPr>
      <w:r>
        <w:rPr>
          <w:color w:val="1E1E1E"/>
          <w:sz w:val="18"/>
        </w:rPr>
        <w:t>XXVI - a pequena propriedade rural, assim definida em lei, desde que trabalhada pela família, não será objeto de penhora para pagamento de débitos decorrentes de sua atividade produtiva, dispondo a lei sobre os meios de financiar o seu desenvolvimento; É infraconstitucional, a ela se aplicando os efeitos da ausência de repercussão geral, a controvérsia relativa ao cabimento de execução regressiva pela Eletrobras contra a União Federal, com fundamento na satisfação integral de dívida solidária reconhecida em título executivo transitado em julgado, decorrente da devolução de empréstimo compulsór</w:t>
      </w:r>
    </w:p>
    <w:p>
      <w:pPr>
        <w:ind w:left="288"/>
      </w:pPr>
      <w:r>
        <w:rPr>
          <w:b/>
          <w:color w:val="003CA0"/>
          <w:sz w:val="16"/>
        </w:rPr>
        <w:t>[RE 1.333.273 RG, rel. min. Luiz Fux, j. 18-11-2021, P, DJE de 6-12-2021, Tema 1.183, com repercussão geral negada.]</w:t>
      </w:r>
    </w:p>
    <w:p>
      <w:pPr>
        <w:ind w:left="288"/>
      </w:pPr>
      <w:r>
        <w:rPr>
          <w:color w:val="8C8C8C"/>
          <w:sz w:val="12"/>
        </w:rPr>
        <w:t>cf-art-5-inc-XXIII</w:t>
      </w:r>
      <w:r>
        <w:rPr>
          <w:color w:val="003CA0"/>
          <w:sz w:val="12"/>
        </w:rPr>
        <w:t xml:space="preserve"> | ARE 1.038.507</w:t>
      </w:r>
      <w:r>
        <w:rPr>
          <w:color w:val="003CA0"/>
          <w:sz w:val="12"/>
        </w:rPr>
        <w:t xml:space="preserve"> | rel. Edson Fachin</w:t>
      </w:r>
    </w:p>
    <w:p>
      <w:pPr>
        <w:ind w:left="288"/>
      </w:pPr>
      <w:r>
        <w:rPr>
          <w:color w:val="1E1E1E"/>
          <w:sz w:val="18"/>
        </w:rPr>
        <w:t>É impenhorável a pequena propriedade rural familiar constituída de mais de 01 (um) terreno, desde que contínuos e com área total inferior a 04 (quatro) módulos fiscais do município de localização.</w:t>
      </w:r>
    </w:p>
    <w:p>
      <w:pPr>
        <w:ind w:left="288"/>
      </w:pPr>
      <w:r>
        <w:rPr>
          <w:b/>
          <w:color w:val="003CA0"/>
          <w:sz w:val="16"/>
        </w:rPr>
        <w:t>[ARE 1.038.507, rel. min. Edson Fachin, j. 21-12-2020, P, DJE de 15-3-2021. Tema 961, com mérito julgado.]</w:t>
      </w:r>
    </w:p>
    <w:p>
      <w:pPr>
        <w:ind w:left="288"/>
      </w:pPr>
      <w:r>
        <w:rPr>
          <w:color w:val="8C8C8C"/>
          <w:sz w:val="12"/>
        </w:rPr>
        <w:t>cf-art-5-inc-XXIII</w:t>
      </w:r>
      <w:r>
        <w:rPr>
          <w:color w:val="003CA0"/>
          <w:sz w:val="12"/>
        </w:rPr>
        <w:t xml:space="preserve"> | RE 136.753</w:t>
      </w:r>
      <w:r>
        <w:rPr>
          <w:color w:val="003CA0"/>
          <w:sz w:val="12"/>
        </w:rPr>
        <w:t xml:space="preserve"> | rel. Sepúlveda Pertence</w:t>
      </w:r>
    </w:p>
    <w:p>
      <w:pPr>
        <w:ind w:left="288"/>
      </w:pPr>
      <w:r>
        <w:rPr>
          <w:color w:val="1E1E1E"/>
          <w:sz w:val="18"/>
        </w:rPr>
        <w:t>Impenhorabilidade da pequena propriedade rural de exploração familiar (CF, art. 5º, XXVI): aplicação imediata. A norma que torna impenhorável determinado bem desconstitui a penhora anteriormente efetivada, sem ofensa de ato jurídico perfeito ou de direito adquirido do credor: precedentes sobre hipótese similar. A falta de lei anterior ou posterior necessária à aplicabilidade de regra constitucional – sobretudo quando criadora de direito ou garantia fundamental – pode ser suprida por analogia: donde, a validade da utilização, para viabilizar a aplicação do art. 5º, XXVI, CF, do conceito de "pro</w:t>
      </w:r>
    </w:p>
    <w:p>
      <w:pPr>
        <w:ind w:left="288"/>
      </w:pPr>
      <w:r>
        <w:rPr>
          <w:b/>
          <w:color w:val="003CA0"/>
          <w:sz w:val="16"/>
        </w:rPr>
        <w:t>[RE 136.753, rel. min. Sepúlveda Pertence, j. 13-2-1997, P, DJ de 25-4-1997.]</w:t>
      </w:r>
    </w:p>
    <w:p>
      <w:pPr>
        <w:ind w:left="288"/>
      </w:pPr>
      <w:r>
        <w:rPr>
          <w:color w:val="8C8C8C"/>
          <w:sz w:val="12"/>
        </w:rPr>
        <w:t>cf-art-5-inc-XXIII</w:t>
      </w:r>
      <w:r>
        <w:rPr>
          <w:color w:val="003CA0"/>
          <w:sz w:val="12"/>
        </w:rPr>
        <w:t xml:space="preserve"> | ADI 5.800</w:t>
      </w:r>
      <w:r>
        <w:rPr>
          <w:color w:val="003CA0"/>
          <w:sz w:val="12"/>
        </w:rPr>
        <w:t xml:space="preserve"> | rel. Luiz Fux</w:t>
      </w:r>
    </w:p>
    <w:p>
      <w:pPr>
        <w:ind w:left="288"/>
      </w:pPr>
      <w:r>
        <w:rPr>
          <w:color w:val="1E1E1E"/>
          <w:sz w:val="18"/>
        </w:rPr>
        <w:t>XXVII - aos autores pertence o direito exclusivo de utilização, publicação ou reprodução de suas obras, transmissível aos herdeiros pelo tempo que a lei fixar; O direito autoral é um conjunto de prerrogativas que são conferidas por lei à pessoa física ou jurídica que cria alguma obra intelectual, dentre as quais se destaca o direito exclusivo do autor à utilização, à publicação ou à reprodução de suas obras, como corolário do direito de propriedade intelectual (art. 5º, XXII e XXVII, da Constituição Federal). In casu, a Lei 92/2010 do Estado do Amazonas estabeleceu a gratuidade para a execução</w:t>
      </w:r>
    </w:p>
    <w:p>
      <w:pPr>
        <w:ind w:left="288"/>
      </w:pPr>
      <w:r>
        <w:rPr>
          <w:b/>
          <w:color w:val="003CA0"/>
          <w:sz w:val="16"/>
        </w:rPr>
        <w:t>[ADI 5.800, rel. min. Luiz Fux, j. 8-5-2019, P, DJE de 22-5-2019.]</w:t>
      </w:r>
    </w:p>
    <w:p>
      <w:pPr>
        <w:ind w:left="288"/>
      </w:pPr>
      <w:r>
        <w:rPr>
          <w:color w:val="8C8C8C"/>
          <w:sz w:val="12"/>
        </w:rPr>
        <w:t>cf-art-5-inc-XXIII</w:t>
      </w:r>
      <w:r>
        <w:rPr>
          <w:color w:val="003CA0"/>
          <w:sz w:val="12"/>
        </w:rPr>
        <w:t xml:space="preserve"> | ARE 1.542.420</w:t>
      </w:r>
      <w:r>
        <w:rPr>
          <w:color w:val="003CA0"/>
          <w:sz w:val="12"/>
        </w:rPr>
        <w:t xml:space="preserve"> | rel. Dias Toffoli</w:t>
      </w:r>
    </w:p>
    <w:p>
      <w:pPr>
        <w:ind w:left="288"/>
      </w:pPr>
      <w:r>
        <w:rPr>
          <w:color w:val="1E1E1E"/>
          <w:sz w:val="18"/>
        </w:rPr>
        <w:t>Direito de fiscalização da exploração econômica das obras intelectuais inseridas em plataformas digitais, com fundamento nos dispositivos constitucionais que compõem o sistema de proteção da propriedade intelectual.</w:t>
      </w:r>
    </w:p>
    <w:p>
      <w:pPr>
        <w:ind w:left="288"/>
      </w:pPr>
      <w:r>
        <w:rPr>
          <w:b/>
          <w:color w:val="003CA0"/>
          <w:sz w:val="16"/>
        </w:rPr>
        <w:t>[ARE 1.542.420 RG, rel. min. Dias Toffoli, j. 30.05.2025, P, DJE de 06.06.2025, Tema 1.403, com mérito pendente.]</w:t>
      </w:r>
    </w:p>
    <w:p>
      <w:pPr>
        <w:ind w:left="288"/>
      </w:pPr>
      <w:r>
        <w:rPr>
          <w:color w:val="8C8C8C"/>
          <w:sz w:val="12"/>
        </w:rPr>
        <w:t>cf-art-5-inc-XXIII</w:t>
      </w:r>
    </w:p>
    <w:p>
      <w:pPr>
        <w:ind w:left="288"/>
      </w:pPr>
      <w:r>
        <w:rPr>
          <w:color w:val="1E1E1E"/>
          <w:sz w:val="18"/>
        </w:rPr>
        <w:t>XXVIII - são assegurados, nos termos da lei:</w:t>
      </w:r>
    </w:p>
    <w:p>
      <w:pPr>
        <w:ind w:left="288"/>
      </w:pPr>
      <w:r>
        <w:rPr>
          <w:color w:val="8C8C8C"/>
          <w:sz w:val="12"/>
        </w:rPr>
        <w:t>cf-art-5-inc-XXIII-ali-b</w:t>
      </w:r>
      <w:r>
        <w:rPr>
          <w:color w:val="003CA0"/>
          <w:sz w:val="12"/>
        </w:rPr>
        <w:t xml:space="preserve"> | ADI 5.062</w:t>
      </w:r>
      <w:r>
        <w:rPr>
          <w:color w:val="003CA0"/>
          <w:sz w:val="12"/>
        </w:rPr>
        <w:t xml:space="preserve"> | rel. Luiz Fux</w:t>
      </w:r>
    </w:p>
    <w:p>
      <w:pPr>
        <w:ind w:left="288"/>
      </w:pPr>
      <w:r>
        <w:rPr>
          <w:color w:val="1E1E1E"/>
          <w:sz w:val="18"/>
        </w:rPr>
        <w:t>A Lei 9.610/1998, com as alterações promovidas pela Lei 12.853/2013, impõe a divulgação de informações concernentes à execução pública de obras intelectuais, notadamente músicas, e à arrecadação dos respectivos direitos (art. 68, §§ 6º e 8º, e art. 98-B, I, II e parágrafo único), além de vedar a pactuação de cláusulas de confidencialidade nos contratos de licenciamento (art. 98-B, VI), estabelecendo penalidades em caso de descumprimento (art. 109-A). (...) As entidades de gestão coletiva possuem a evidente natureza instrumental de viabilizar trocas voluntárias envolvendo propriedade intelectua</w:t>
      </w:r>
    </w:p>
    <w:p>
      <w:pPr>
        <w:ind w:left="288"/>
      </w:pPr>
      <w:r>
        <w:rPr>
          <w:b/>
          <w:color w:val="003CA0"/>
          <w:sz w:val="16"/>
        </w:rPr>
        <w:t>[ADI 5.062 e ADI 5.065, rel. min. Luiz Fux, j. 27-10-2016, P, DJE de 21-6-2017.]</w:t>
      </w:r>
    </w:p>
    <w:p>
      <w:pPr>
        <w:ind w:left="288"/>
      </w:pPr>
      <w:r>
        <w:rPr>
          <w:color w:val="8C8C8C"/>
          <w:sz w:val="12"/>
        </w:rPr>
        <w:t>cf-art-5-inc-XXIII-ali-b</w:t>
      </w:r>
      <w:r>
        <w:rPr>
          <w:color w:val="003CA0"/>
          <w:sz w:val="12"/>
        </w:rPr>
        <w:t xml:space="preserve"> | ADI 2.054</w:t>
      </w:r>
    </w:p>
    <w:p>
      <w:pPr>
        <w:ind w:left="288"/>
      </w:pPr>
      <w:r>
        <w:rPr>
          <w:color w:val="1E1E1E"/>
          <w:sz w:val="18"/>
        </w:rPr>
        <w:t xml:space="preserve">Liberdade negativa de associação: sua existência, nos textos constitucionais anteriores, como corolário da liberdade positiva de associação e seu alcance e inteligência, na Constituição, quando se cuide de entidade destinada a viabilizar a gestão coletiva de arrecadação e distribuição de direitos autorais e conexos, cuja forma e organização se remeteram à lei. Direitos autorais e conexos: sistema de gestão coletiva de arrecadação e distribuição por meio do Ecad [Escritório Central de Arrecadação e Distribuição] (Lei 9.610/1998, art. 99), sem ofensa do art. 5º, XVII e XX, da Constituição, cuja </w:t>
      </w:r>
    </w:p>
    <w:p>
      <w:pPr>
        <w:ind w:left="288"/>
      </w:pPr>
      <w:r>
        <w:rPr>
          <w:b/>
          <w:color w:val="003CA0"/>
          <w:sz w:val="16"/>
        </w:rPr>
        <w:t>[ADI 2.054, red. do ac. min.. Sepúlveda Pertence, j. 2-4-2003, P, DJ de 17-10-2003.]</w:t>
      </w:r>
    </w:p>
    <w:p>
      <w:pPr>
        <w:ind w:left="288"/>
      </w:pPr>
      <w:r>
        <w:rPr>
          <w:color w:val="8C8C8C"/>
          <w:sz w:val="12"/>
        </w:rPr>
        <w:t>cf-art-5-inc-XXIII-ali-b</w:t>
      </w:r>
      <w:r>
        <w:rPr>
          <w:color w:val="003CA0"/>
          <w:sz w:val="12"/>
        </w:rPr>
        <w:t xml:space="preserve"> | ARE 1.542.420</w:t>
      </w:r>
      <w:r>
        <w:rPr>
          <w:color w:val="003CA0"/>
          <w:sz w:val="12"/>
        </w:rPr>
        <w:t xml:space="preserve"> | rel. Dias Toffoli</w:t>
      </w:r>
    </w:p>
    <w:p>
      <w:pPr>
        <w:ind w:left="288"/>
      </w:pPr>
      <w:r>
        <w:rPr>
          <w:color w:val="1E1E1E"/>
          <w:sz w:val="18"/>
        </w:rPr>
        <w:t>Direito de fiscalização da exploração econômica das obras intelectuais inseridas em plataformas digitais, com fundamento nos dispositivos constitucionais que compõem o sistema de proteção da propriedade intelectual.</w:t>
      </w:r>
    </w:p>
    <w:p>
      <w:pPr>
        <w:ind w:left="288"/>
      </w:pPr>
      <w:r>
        <w:rPr>
          <w:b/>
          <w:color w:val="003CA0"/>
          <w:sz w:val="16"/>
        </w:rPr>
        <w:t>[ARE 1.542.420 RG, rel. min. Dias Toffoli, j. 30.05.2025, P, DJE de 06.06.2025, Tema 1.403, com mérito pendente.]</w:t>
      </w:r>
    </w:p>
    <w:p>
      <w:pPr>
        <w:ind w:left="288"/>
      </w:pPr>
      <w:r>
        <w:rPr>
          <w:color w:val="8C8C8C"/>
          <w:sz w:val="12"/>
        </w:rPr>
        <w:t>cf-art-5-inc-XXIII-ali-b</w:t>
      </w:r>
      <w:r>
        <w:rPr>
          <w:color w:val="003CA0"/>
          <w:sz w:val="12"/>
        </w:rPr>
        <w:t xml:space="preserve"> | ADI 5.529</w:t>
      </w:r>
      <w:r>
        <w:rPr>
          <w:color w:val="003CA0"/>
          <w:sz w:val="12"/>
        </w:rPr>
        <w:t xml:space="preserve"> | rel. Dias Toffoli</w:t>
      </w:r>
    </w:p>
    <w:p>
      <w:pPr>
        <w:ind w:left="288"/>
      </w:pPr>
      <w:r>
        <w:rPr>
          <w:color w:val="1E1E1E"/>
          <w:sz w:val="18"/>
        </w:rPr>
        <w:t>XXIX - a lei assegurará aos autores de inventos industriais privilégio temporário para sua utilização, bem como proteção às criações industriais, à propriedade das marcas, aos nomes de empresas e a outros signos distintivos, tendo em vista o interesse social e o desenvolvimento tecnológico e econômico do País; A proteção à propriedade industrial, prevista como direito fundamental no art. 5º, inciso XXIX, da Constituição de 1988, se dá de forma temporária e com fundamento no interesse social e no desenvolvimento tecnológico e econômico. Trata-se, portanto, de instituto com finalidade determinad</w:t>
      </w:r>
    </w:p>
    <w:p>
      <w:pPr>
        <w:ind w:left="288"/>
      </w:pPr>
      <w:r>
        <w:rPr>
          <w:b/>
          <w:color w:val="003CA0"/>
          <w:sz w:val="16"/>
        </w:rPr>
        <w:t>[ADI 5.529, rel. min. Dias Toffoli, j. 12-5-2021, P, DJE de 1º-9-2021.]</w:t>
      </w:r>
    </w:p>
    <w:p>
      <w:pPr>
        <w:ind w:left="288"/>
      </w:pPr>
      <w:r>
        <w:rPr>
          <w:color w:val="8C8C8C"/>
          <w:sz w:val="12"/>
        </w:rPr>
        <w:t>cf-art-5-inc-XXIII-ali-b</w:t>
      </w:r>
      <w:r>
        <w:rPr>
          <w:color w:val="003CA0"/>
          <w:sz w:val="12"/>
        </w:rPr>
        <w:t xml:space="preserve"> | RCL 56.378</w:t>
      </w:r>
      <w:r>
        <w:rPr>
          <w:color w:val="003CA0"/>
          <w:sz w:val="12"/>
        </w:rPr>
        <w:t xml:space="preserve"> | rel. Luiz Fux</w:t>
      </w:r>
    </w:p>
    <w:p>
      <w:pPr>
        <w:ind w:left="288"/>
      </w:pPr>
      <w:r>
        <w:rPr>
          <w:color w:val="1E1E1E"/>
          <w:sz w:val="18"/>
        </w:rPr>
        <w:t xml:space="preserve">A decisão na ADI nº 5.529 está amparada na compreensão de que há, na legislação pátria vigente, instrumentos jurídicos destinados à dissuasão e à repressão civil e penal da imitação e da exploração indevida por parte de terceiros, ao mesmo tempo em que viabiliza aos agentes que assumiram o risco da inovação a apropriação dos resultados econômicos do invento em período determinado, em consonância com os parâmetros internacionais instituídos; não se admitindo que se condicione a prorrogação tão somente à demora na análise do processo pelo INPI, subvertendo a essência do art. 5º, inciso XXIX, da </w:t>
      </w:r>
    </w:p>
    <w:p>
      <w:pPr>
        <w:ind w:left="288"/>
      </w:pPr>
      <w:r>
        <w:rPr>
          <w:b/>
          <w:color w:val="003CA0"/>
          <w:sz w:val="16"/>
        </w:rPr>
        <w:t>[Rcl 56.378 MC-REF, rel. min. Luiz Fux, red. do ac. Dias Toffoli, j. 19-12-2022, 1ª T, DJE de 28-2-2023.]</w:t>
      </w:r>
    </w:p>
    <w:p>
      <w:pPr>
        <w:ind w:left="288"/>
      </w:pPr>
      <w:r>
        <w:rPr>
          <w:color w:val="8C8C8C"/>
          <w:sz w:val="12"/>
        </w:rPr>
        <w:t>cf-art-5-inc-XXX</w:t>
      </w:r>
      <w:r>
        <w:rPr>
          <w:color w:val="003CA0"/>
          <w:sz w:val="12"/>
        </w:rPr>
        <w:t xml:space="preserve"> | ADI 1.715</w:t>
      </w:r>
      <w:r>
        <w:rPr>
          <w:color w:val="003CA0"/>
          <w:sz w:val="12"/>
        </w:rPr>
        <w:t xml:space="preserve"> | rel. Maurício Corrêa</w:t>
      </w:r>
    </w:p>
    <w:p>
      <w:pPr>
        <w:ind w:left="288"/>
      </w:pPr>
      <w:r>
        <w:rPr>
          <w:color w:val="1E1E1E"/>
          <w:sz w:val="18"/>
        </w:rPr>
        <w:t>A Constituição garante o direito de herança, mas a forma como esse direito se exerce é matéria regulada por normas de direito privado.</w:t>
      </w:r>
    </w:p>
    <w:p>
      <w:pPr>
        <w:ind w:left="288"/>
      </w:pPr>
      <w:r>
        <w:rPr>
          <w:b/>
          <w:color w:val="003CA0"/>
          <w:sz w:val="16"/>
        </w:rPr>
        <w:t>[ADI 1.715 MC, rel. min. Maurício Corrêa, j. 21-5-1998, P, DJ de 30-4-2004.]</w:t>
      </w:r>
    </w:p>
    <w:p>
      <w:pPr>
        <w:ind w:left="288"/>
      </w:pPr>
      <w:r>
        <w:rPr>
          <w:color w:val="8C8C8C"/>
          <w:sz w:val="12"/>
        </w:rPr>
        <w:t>cf-art-5-inc-XXX</w:t>
      </w:r>
    </w:p>
    <w:p>
      <w:pPr>
        <w:ind w:left="288"/>
      </w:pPr>
      <w:r>
        <w:rPr>
          <w:color w:val="1E1E1E"/>
          <w:sz w:val="18"/>
        </w:rPr>
        <w:t>XXXI - a sucessão de bens de estrangeiros situados no País será regulada pela lei brasileira em benefício do cônjuge ou dos filhos brasileiros, sempre que não lhes seja mais favorável a lei pessoal do de cujus;</w:t>
      </w:r>
    </w:p>
    <w:p>
      <w:pPr>
        <w:ind w:left="288"/>
      </w:pPr>
      <w:r>
        <w:rPr>
          <w:color w:val="8C8C8C"/>
          <w:sz w:val="12"/>
        </w:rPr>
        <w:t>cf-art-5-inc-XXXII</w:t>
      </w:r>
      <w:r>
        <w:rPr>
          <w:color w:val="003CA0"/>
          <w:sz w:val="12"/>
        </w:rPr>
        <w:t xml:space="preserve"> | ADI 7.596</w:t>
      </w:r>
      <w:r>
        <w:rPr>
          <w:color w:val="003CA0"/>
          <w:sz w:val="12"/>
        </w:rPr>
        <w:t xml:space="preserve"> | rel. Nunes Marques</w:t>
      </w:r>
    </w:p>
    <w:p>
      <w:pPr>
        <w:ind w:left="288"/>
      </w:pPr>
      <w:r>
        <w:rPr>
          <w:color w:val="1E1E1E"/>
          <w:sz w:val="18"/>
        </w:rPr>
        <w:t>O RenovaBio, instituído pela Lei n. 13.576/2017, concretiza compromissos internacionais de mitigação de gases de efeito estufa assumidos pelo Brasil no Acordo de Paris, consubstanciando política pública voltada à transição energética e à sustentabilidade ambiental. (...) O princípio do poluidor-pagador é observado na medida em que o ônus da política ambiental recai verdadeiramente sobre os consumidores que optam por combustíveis fósseis. A disciplina legal não ofende os princípios da livre iniciativa e da livre concorrência, uma vez que o programa estabelece regras uniformes para todos os dist</w:t>
      </w:r>
    </w:p>
    <w:p>
      <w:pPr>
        <w:ind w:left="288"/>
      </w:pPr>
      <w:r>
        <w:rPr>
          <w:b/>
          <w:color w:val="003CA0"/>
          <w:sz w:val="16"/>
        </w:rPr>
        <w:t>[ADI 7.596 e ADI 7.617, rel. min. Nunes Marques, j. 17.11.2025, P, DJE de 24.11.2025.]</w:t>
      </w:r>
    </w:p>
    <w:p>
      <w:pPr>
        <w:ind w:left="288"/>
      </w:pPr>
      <w:r>
        <w:rPr>
          <w:color w:val="8C8C8C"/>
          <w:sz w:val="12"/>
        </w:rPr>
        <w:t>cf-art-5-inc-XXXII</w:t>
      </w:r>
      <w:r>
        <w:rPr>
          <w:color w:val="003CA0"/>
          <w:sz w:val="12"/>
        </w:rPr>
        <w:t xml:space="preserve"> | ADI 2.937</w:t>
      </w:r>
      <w:r>
        <w:rPr>
          <w:color w:val="003CA0"/>
          <w:sz w:val="12"/>
        </w:rPr>
        <w:t xml:space="preserve"> | rel. Cezar Peluso</w:t>
      </w:r>
    </w:p>
    <w:p>
      <w:pPr>
        <w:ind w:left="288"/>
      </w:pPr>
      <w:r>
        <w:rPr>
          <w:color w:val="1E1E1E"/>
          <w:sz w:val="18"/>
        </w:rPr>
        <w:t>Ação direta proposta contra a validez constitucional do Estatuto do Torcedor (...). A responsabilização objetiva prevista no art. 19 é consectário da textual equiparação das entidades desportivas, consoante o disposto no art. 3º, à figura do fornecedor do Código de Defesa do Consumidor (CDC). (...) Todo fornecedor ou prestador de espetáculo público responde pelos danos de suas falhas. E a solidariedade atribuída aos dirigentes tipifica hipótese de desconsideração direta, ope legis, da personalidade jurídica, positivada em estratégia normativa análoga ao que, além doutras leis, o CDC já prevê e</w:t>
      </w:r>
    </w:p>
    <w:p>
      <w:pPr>
        <w:ind w:left="288"/>
      </w:pPr>
      <w:r>
        <w:rPr>
          <w:b/>
          <w:color w:val="003CA0"/>
          <w:sz w:val="16"/>
        </w:rPr>
        <w:t>[ADI 2.937, rel. min. Cezar Peluso, j. 23-2-2012, P, DJE de 29-5-2012.]</w:t>
      </w:r>
    </w:p>
    <w:p>
      <w:pPr>
        <w:ind w:left="288"/>
      </w:pPr>
      <w:r>
        <w:rPr>
          <w:color w:val="8C8C8C"/>
          <w:sz w:val="12"/>
        </w:rPr>
        <w:t>cf-art-5-inc-XXXII</w:t>
      </w:r>
      <w:r>
        <w:rPr>
          <w:color w:val="003CA0"/>
          <w:sz w:val="12"/>
        </w:rPr>
        <w:t xml:space="preserve"> | ADI 2.591</w:t>
      </w:r>
      <w:r>
        <w:rPr>
          <w:color w:val="003CA0"/>
          <w:sz w:val="12"/>
        </w:rPr>
        <w:t xml:space="preserve"> | rel. Eros Grau</w:t>
      </w:r>
    </w:p>
    <w:p>
      <w:pPr>
        <w:ind w:left="288"/>
      </w:pPr>
      <w:r>
        <w:rPr>
          <w:color w:val="1E1E1E"/>
          <w:sz w:val="18"/>
        </w:rPr>
        <w:t>As instituições financeiras estão, todas elas, alcançadas pela incidência das normas veiculadas pelo Código de Defesa do Consumidor (CDC). "Consumidor", para os efeitos do CDC, é toda pessoa física ou jurídica que utiliza, como destinatário final, atividade bancária, financeira e de crédito.</w:t>
      </w:r>
    </w:p>
    <w:p>
      <w:pPr>
        <w:ind w:left="288"/>
      </w:pPr>
      <w:r>
        <w:rPr>
          <w:b/>
          <w:color w:val="003CA0"/>
          <w:sz w:val="16"/>
        </w:rPr>
        <w:t>[ADI 2.591 ED, rel. min. Eros Grau, j. 14-12-2006, P, DJ de 13-4-2007.]</w:t>
      </w:r>
    </w:p>
    <w:p>
      <w:pPr>
        <w:ind w:left="288"/>
      </w:pPr>
      <w:r>
        <w:rPr>
          <w:color w:val="8C8C8C"/>
          <w:sz w:val="12"/>
        </w:rPr>
        <w:t>cf-art-5-inc-XXXII</w:t>
      </w:r>
      <w:r>
        <w:rPr>
          <w:color w:val="003CA0"/>
          <w:sz w:val="12"/>
        </w:rPr>
        <w:t xml:space="preserve"> | AI 745.853</w:t>
      </w:r>
      <w:r>
        <w:rPr>
          <w:color w:val="003CA0"/>
          <w:sz w:val="12"/>
        </w:rPr>
        <w:t xml:space="preserve"> | rel. Luiz Fux</w:t>
      </w:r>
    </w:p>
    <w:p>
      <w:pPr>
        <w:ind w:left="288"/>
      </w:pPr>
      <w:r>
        <w:rPr>
          <w:color w:val="1E1E1E"/>
          <w:sz w:val="18"/>
        </w:rPr>
        <w:t>= AI 745.853 AgR, rel. min. Luiz Fux, j. 20-3-2012, 1ª T, DJE de 17-4-2012 Embargos de declaração opostos contra acórdão em que esta Corte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Superveniência de julgado, sob o rito da repercussão geral, em que esta Corte decidiu que “[n]ão se aplicam as Convenções de Varsóvia e Montreal às hipót</w:t>
      </w:r>
    </w:p>
    <w:p>
      <w:pPr>
        <w:ind w:left="288"/>
      </w:pPr>
      <w:r>
        <w:rPr>
          <w:b/>
          <w:color w:val="003CA0"/>
          <w:sz w:val="16"/>
        </w:rPr>
        <w:t>[ARE 766.618 ED, rel. min. Luís Roberto Barroso, j. 30.11.2023, P, DJE de 25.03.2024, Tema 210, com mérito julgado.]</w:t>
      </w:r>
    </w:p>
    <w:p>
      <w:pPr>
        <w:ind w:left="288"/>
      </w:pPr>
      <w:r>
        <w:rPr>
          <w:color w:val="8C8C8C"/>
          <w:sz w:val="12"/>
        </w:rPr>
        <w:t>cf-art-5-inc-XXXII</w:t>
      </w:r>
      <w:r>
        <w:rPr>
          <w:color w:val="003CA0"/>
          <w:sz w:val="12"/>
        </w:rPr>
        <w:t xml:space="preserve"> | RE 636.331</w:t>
      </w:r>
      <w:r>
        <w:rPr>
          <w:color w:val="003CA0"/>
          <w:sz w:val="12"/>
        </w:rPr>
        <w:t xml:space="preserve"> | rel. Gilmar Mendes</w:t>
      </w:r>
    </w:p>
    <w:p>
      <w:pPr>
        <w:ind w:left="288"/>
      </w:pPr>
      <w:r>
        <w:rPr>
          <w:color w:val="1E1E1E"/>
          <w:sz w:val="18"/>
        </w:rPr>
        <w:t>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w:t>
      </w:r>
    </w:p>
    <w:p>
      <w:pPr>
        <w:ind w:left="288"/>
      </w:pPr>
      <w:r>
        <w:rPr>
          <w:b/>
          <w:color w:val="003CA0"/>
          <w:sz w:val="16"/>
        </w:rPr>
        <w:t>[RE 636.331, rel. min. Gilmar Mendes, j. 25-5-2017, P, DJE de 13-11-2017. Tema 210, com mérito julgado.]</w:t>
      </w:r>
    </w:p>
    <w:p>
      <w:pPr>
        <w:ind w:left="288"/>
      </w:pPr>
      <w:r>
        <w:rPr>
          <w:color w:val="8C8C8C"/>
          <w:sz w:val="12"/>
        </w:rPr>
        <w:t>cf-art-5-inc-XXXII</w:t>
      </w:r>
      <w:r>
        <w:rPr>
          <w:color w:val="003CA0"/>
          <w:sz w:val="12"/>
        </w:rPr>
        <w:t xml:space="preserve"> | RE 636.331</w:t>
      </w:r>
      <w:r>
        <w:rPr>
          <w:color w:val="003CA0"/>
          <w:sz w:val="12"/>
        </w:rPr>
        <w:t xml:space="preserve"> | rel. GILMAR MENDES</w:t>
      </w:r>
    </w:p>
    <w:p>
      <w:pPr>
        <w:ind w:left="288"/>
      </w:pPr>
      <w:r>
        <w:rPr>
          <w:color w:val="1E1E1E"/>
          <w:sz w:val="18"/>
        </w:rPr>
        <w:t>Em relação à afronta ao art. 178, da CF/1988, o Plenário do SUPREMO TRIBUNAL FEDERAL, no RE 636.331-RG (Rel. Min. GILMAR MENDES, Tema 210), examinou a repercussão geral da questão constitucional debatida neste recurso 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Entretanto, em casos nos quais se debate vício na prestação de serviço de tr</w:t>
      </w:r>
    </w:p>
    <w:p>
      <w:pPr>
        <w:ind w:left="288"/>
      </w:pPr>
      <w:r>
        <w:rPr>
          <w:b/>
          <w:color w:val="003CA0"/>
          <w:sz w:val="16"/>
        </w:rPr>
        <w:t>[RE 1.047.443 AgR, rel. min. Alexandre de Moraes, j. 04.02.2025, 1ª T, DJE de 11.02.2025.]</w:t>
      </w:r>
    </w:p>
    <w:p>
      <w:pPr>
        <w:ind w:left="288"/>
      </w:pPr>
      <w:r>
        <w:rPr>
          <w:color w:val="8C8C8C"/>
          <w:sz w:val="12"/>
        </w:rPr>
        <w:t>cf-art-5-inc-XXXII</w:t>
      </w:r>
      <w:r>
        <w:rPr>
          <w:color w:val="003CA0"/>
          <w:sz w:val="12"/>
        </w:rPr>
        <w:t xml:space="preserve"> | RMS 23.732</w:t>
      </w:r>
      <w:r>
        <w:rPr>
          <w:color w:val="003CA0"/>
          <w:sz w:val="12"/>
        </w:rPr>
        <w:t xml:space="preserve"> | rel. Gilmar Mendes</w:t>
      </w:r>
    </w:p>
    <w:p>
      <w:pPr>
        <w:ind w:left="288"/>
      </w:pPr>
      <w:r>
        <w:rPr>
          <w:color w:val="1E1E1E"/>
          <w:sz w:val="18"/>
        </w:rPr>
        <w:t>Nestes autos, discute-se a utilização do sistema de código de barras e a exigência de afixação de etiquetas indicativas dos preços nas mercadorias expostas à venda. O mandado de segurança foi impetrado perante o STJ em 23-11-1998, questionando ato do ministro da Justiça (...). Tais dispositivos buscam realizar o postulado constitucional da defesa do consumidor, consagrado expressamente nos arts. 5º, XXXII, e 170, V, da CF/1988. Nesse sentido, não viola a Constituição a obrigação de afixar etiquetas indicativas do preço diretamente nas mercadorias. (...) não há que se falar em ofensa ao princíp</w:t>
      </w:r>
    </w:p>
    <w:p>
      <w:pPr>
        <w:ind w:left="288"/>
      </w:pPr>
      <w:r>
        <w:rPr>
          <w:b/>
          <w:color w:val="003CA0"/>
          <w:sz w:val="16"/>
        </w:rPr>
        <w:t>[RMS 23.732, rel. min. Gilmar Mendes, j. 17-11-2009, 2ª T, DJE de 19-2-2010.]</w:t>
      </w:r>
    </w:p>
    <w:p>
      <w:pPr>
        <w:ind w:left="288"/>
      </w:pPr>
      <w:r>
        <w:rPr>
          <w:color w:val="8C8C8C"/>
          <w:sz w:val="12"/>
        </w:rPr>
        <w:t>cf-art-5-inc-XXXII</w:t>
      </w:r>
      <w:r>
        <w:rPr>
          <w:color w:val="003CA0"/>
          <w:sz w:val="12"/>
        </w:rPr>
        <w:t xml:space="preserve"> | ADI 2.591</w:t>
      </w:r>
      <w:r>
        <w:rPr>
          <w:color w:val="003CA0"/>
          <w:sz w:val="12"/>
        </w:rPr>
        <w:t xml:space="preserve"> | rel. Sepúlveda Pertence</w:t>
      </w:r>
    </w:p>
    <w:p>
      <w:pPr>
        <w:ind w:left="288"/>
      </w:pPr>
      <w:r>
        <w:rPr>
          <w:color w:val="1E1E1E"/>
          <w:sz w:val="18"/>
        </w:rPr>
        <w:t>Código de Defesa do Consumidor (CDC): contrato firmado entre instituição financeira e seus clientes referente à caderneta de poupança: não obstante as normas veiculadas pelo CDC alcancem as instituições financeiras (cf. ADI 2.591, 7-6-2006, Pleno, Eros Grau), não é possível a sua aplicação retroativa, sob pena de violação do art. 5º, XXXVI, da CF.</w:t>
      </w:r>
    </w:p>
    <w:p>
      <w:pPr>
        <w:ind w:left="288"/>
      </w:pPr>
      <w:r>
        <w:rPr>
          <w:b/>
          <w:color w:val="003CA0"/>
          <w:sz w:val="16"/>
        </w:rPr>
        <w:t>[RE 395.384 ED, rel. min. Sepúlveda Pertence, j. 26-4-2007, 1ª T, DJ de 22-6-2007.]</w:t>
      </w:r>
    </w:p>
    <w:p>
      <w:pPr>
        <w:ind w:left="288"/>
      </w:pPr>
      <w:r>
        <w:rPr>
          <w:color w:val="8C8C8C"/>
          <w:sz w:val="12"/>
        </w:rPr>
        <w:t>cf-art-5-inc-XXXII</w:t>
      </w:r>
    </w:p>
    <w:p>
      <w:pPr>
        <w:ind w:left="288"/>
      </w:pPr>
      <w:r>
        <w:rPr>
          <w:color w:val="1E1E1E"/>
          <w:sz w:val="18"/>
        </w:rPr>
        <w:t>XXXIII - todos têm direito a receber dos órgãos públicos informações de seu interesse particular, ou de interesse coletivo ou geral, que serão prestadas no prazo da lei, sob pena de responsabilidade, ressalvadas aquelas cujo sigilo seja imprescindível à segurança da sociedade e do Estado; 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288"/>
      </w:pPr>
      <w:r>
        <w:rPr>
          <w:color w:val="8C8C8C"/>
          <w:sz w:val="12"/>
        </w:rPr>
        <w:t>cf-art-5-inc-XXXII</w:t>
      </w:r>
      <w:r>
        <w:rPr>
          <w:color w:val="003CA0"/>
          <w:sz w:val="12"/>
        </w:rPr>
        <w:t xml:space="preserve"> | ADPF 872</w:t>
      </w:r>
      <w:r>
        <w:rPr>
          <w:color w:val="003CA0"/>
          <w:sz w:val="12"/>
        </w:rPr>
        <w:t xml:space="preserve"> | rel. Cármen Lúcia</w:t>
      </w:r>
    </w:p>
    <w:p>
      <w:pPr>
        <w:ind w:left="288"/>
      </w:pPr>
      <w:r>
        <w:rPr>
          <w:color w:val="1E1E1E"/>
          <w:sz w:val="18"/>
        </w:rPr>
        <w:t>“O ato de qualquer dos poderes públicos restritivo de publicidade deve ser motivado de forma concreta, objetiva, específica e formal, sendo nulos os atos públicos que imponham, genericamente e sem fundamentação válida, restrição ao direito fundamental à informação”.</w:t>
      </w:r>
    </w:p>
    <w:p>
      <w:pPr>
        <w:ind w:left="288"/>
      </w:pPr>
      <w:r>
        <w:rPr>
          <w:b/>
          <w:color w:val="003CA0"/>
          <w:sz w:val="16"/>
        </w:rPr>
        <w:t>[ADPF 872, rel. min. Cármen Lúcia, j. 15-8-2023, P, DJE de 28-8-2023.]</w:t>
      </w:r>
    </w:p>
    <w:p>
      <w:pPr>
        <w:ind w:left="288"/>
      </w:pPr>
      <w:r>
        <w:rPr>
          <w:color w:val="8C8C8C"/>
          <w:sz w:val="12"/>
        </w:rPr>
        <w:t>cf-art-5-inc-XXXII</w:t>
      </w:r>
      <w:r>
        <w:rPr>
          <w:color w:val="003CA0"/>
          <w:sz w:val="12"/>
        </w:rPr>
        <w:t xml:space="preserve"> | ADI 6.637</w:t>
      </w:r>
      <w:r>
        <w:rPr>
          <w:color w:val="003CA0"/>
          <w:sz w:val="12"/>
        </w:rPr>
        <w:t xml:space="preserve"> | rel. Cármen Lúcia</w:t>
      </w:r>
    </w:p>
    <w:p>
      <w:pPr>
        <w:ind w:left="288"/>
      </w:pPr>
      <w:r>
        <w:rPr>
          <w:color w:val="1E1E1E"/>
          <w:sz w:val="18"/>
        </w:rPr>
        <w:t>O alcance das normas impugnadas há de se restringir ao direito de acesso à informação constitucionalmente assegurado (inc. XXXIII do art. 5º) e com maior relevo ao poder-dever fiscalizatório das Assembleias Legislativas, na forma da lei nacional, excluídas as imputações de crimes de responsabilidade, verificada a incompatibilidade formal com as disposições constitucionais sobre a matéria. Ação direta julgada parcialmente procedente para declarar inconstitucionais as expressões: “importando a ausência, sem justificação adequada, crime de responsabilidade” constante do caput do art. 100; “import</w:t>
      </w:r>
    </w:p>
    <w:p>
      <w:pPr>
        <w:ind w:left="288"/>
      </w:pPr>
      <w:r>
        <w:rPr>
          <w:b/>
          <w:color w:val="003CA0"/>
          <w:sz w:val="16"/>
        </w:rPr>
        <w:t>[ADI 6.637, rel. min. Cármen Lúcia, j. 17-12-2022, P, DJE de 25-1-2023.]</w:t>
      </w:r>
    </w:p>
    <w:p>
      <w:pPr>
        <w:ind w:left="288"/>
      </w:pPr>
      <w:r>
        <w:rPr>
          <w:color w:val="8C8C8C"/>
          <w:sz w:val="12"/>
        </w:rPr>
        <w:t>cf-art-5-inc-XXXII</w:t>
      </w:r>
      <w:r>
        <w:rPr>
          <w:color w:val="003CA0"/>
          <w:sz w:val="12"/>
        </w:rPr>
        <w:t xml:space="preserve"> | ADI 6.347</w:t>
      </w:r>
      <w:r>
        <w:rPr>
          <w:color w:val="003CA0"/>
          <w:sz w:val="12"/>
        </w:rPr>
        <w:t xml:space="preserve"> | rel. Alexandre de Moraes</w:t>
      </w:r>
    </w:p>
    <w:p>
      <w:pPr>
        <w:ind w:left="288"/>
      </w:pPr>
      <w:r>
        <w:rPr>
          <w:color w:val="1E1E1E"/>
          <w:sz w:val="18"/>
        </w:rPr>
        <w:t>A Constituição Federal de 1988 consagrou expressamente o princípio da publicidade como um dos vetores imprescindíveis à Administração Pública, conferindo-lhe absoluta prioridade na gestão administrativa e garantindo pleno acesso às informações a toda a Sociedade. À consagração constitucional de publicidade e transparência corresponde a obrigatoriedade do Estado em fornecer as informações solicitadas, sob pena de responsabilização política, civil e criminal, salvo nas hipóteses constitucionais de sigilo. O art. 6º-B da Lei 13.979/2020, incluído pelo art. 1º da Medida Provisória 928/2020, não es</w:t>
      </w:r>
    </w:p>
    <w:p>
      <w:pPr>
        <w:ind w:left="288"/>
      </w:pPr>
      <w:r>
        <w:rPr>
          <w:b/>
          <w:color w:val="003CA0"/>
          <w:sz w:val="16"/>
        </w:rPr>
        <w:t>[ADI 6.347 MC REF, ADI 6.351 MC REF e ADI 6.353 MC REF, rel. min. Alexandre de Moraes, j. 16-6-2020, P, DJE de 14-8-2020.]</w:t>
      </w:r>
    </w:p>
    <w:p>
      <w:pPr>
        <w:ind w:left="288"/>
      </w:pPr>
      <w:r>
        <w:rPr>
          <w:color w:val="8C8C8C"/>
          <w:sz w:val="12"/>
        </w:rPr>
        <w:t>cf-art-5-inc-XXXII</w:t>
      </w:r>
      <w:r>
        <w:rPr>
          <w:color w:val="003CA0"/>
          <w:sz w:val="12"/>
        </w:rPr>
        <w:t xml:space="preserve"> | ADPF 129</w:t>
      </w:r>
      <w:r>
        <w:rPr>
          <w:color w:val="003CA0"/>
          <w:sz w:val="12"/>
        </w:rPr>
        <w:t xml:space="preserve"> | rel. Edson Fachin</w:t>
      </w:r>
    </w:p>
    <w:p>
      <w:pPr>
        <w:ind w:left="288"/>
      </w:pPr>
      <w:r>
        <w:rPr>
          <w:color w:val="1E1E1E"/>
          <w:sz w:val="18"/>
        </w:rPr>
        <w:t>Art. 86 do Decreto-lei 200/1967, que prevê o sigilo da movimentação dos créditos destinados à realização de despesas reservadas ou confidenciais. Não Recepção pela Constituição de 1988. (...) O Princípio de Publicidade dos Atos da Administração Pública caracteriza-se como preceito fundamental para fins de cabimento de Arguição de Descumprimento de Preceito Fundamental. O Estado Democrático de Direito instaurado pela Constituição de 1988 estabeleceu, como regra, a publicidade das informações referentes às despesas públicas, prescrevendo o sigilo como exceção, apenas quando imprescindível à segu</w:t>
      </w:r>
    </w:p>
    <w:p>
      <w:pPr>
        <w:ind w:left="288"/>
      </w:pPr>
      <w:r>
        <w:rPr>
          <w:b/>
          <w:color w:val="003CA0"/>
          <w:sz w:val="16"/>
        </w:rPr>
        <w:t>[ADPF 129, rel. min. Edson Fachin, j. 5-11-2019, P, DJE de 9-12-2019.]</w:t>
      </w:r>
    </w:p>
    <w:p>
      <w:pPr>
        <w:ind w:left="288"/>
      </w:pPr>
      <w:r>
        <w:rPr>
          <w:color w:val="8C8C8C"/>
          <w:sz w:val="12"/>
        </w:rPr>
        <w:t>cf-art-5-inc-XXXII</w:t>
      </w:r>
      <w:r>
        <w:rPr>
          <w:color w:val="003CA0"/>
          <w:sz w:val="12"/>
        </w:rPr>
        <w:t xml:space="preserve"> | ADPF 153</w:t>
      </w:r>
      <w:r>
        <w:rPr>
          <w:color w:val="003CA0"/>
          <w:sz w:val="12"/>
        </w:rPr>
        <w:t xml:space="preserve"> | rel. Eros Grau</w:t>
      </w:r>
    </w:p>
    <w:p>
      <w:pPr>
        <w:ind w:left="288"/>
      </w:pPr>
      <w:r>
        <w:rPr>
          <w:color w:val="1E1E1E"/>
          <w:sz w:val="18"/>
        </w:rPr>
        <w:t>Lei 6.683/1979, a chamada "Lei de Anistia". Art. 5º, caput, III e XXXIII, da Constituição do Brasil (...). Circunstâncias históricas. (...) Acesso a documentos históricos como forma de exercício do direito fundamental à verdade. (...) Impõe-se o desembaraço dos mecanismos que ainda dificultam o conhecimento do quanto ocorreu no Brasil durante as décadas sombrias da ditadura.</w:t>
      </w:r>
    </w:p>
    <w:p>
      <w:pPr>
        <w:ind w:left="288"/>
      </w:pPr>
      <w:r>
        <w:rPr>
          <w:b/>
          <w:color w:val="003CA0"/>
          <w:sz w:val="16"/>
        </w:rPr>
        <w:t>[ADPF 153, rel. min. Eros Grau, j. 29-4-2010, P, DJE de 6-8-2010.]</w:t>
      </w:r>
    </w:p>
    <w:p>
      <w:pPr>
        <w:ind w:left="288"/>
      </w:pPr>
      <w:r>
        <w:rPr>
          <w:color w:val="8C8C8C"/>
          <w:sz w:val="12"/>
        </w:rPr>
        <w:t>cf-art-5-inc-XXXII</w:t>
      </w:r>
      <w:r>
        <w:rPr>
          <w:color w:val="003CA0"/>
          <w:sz w:val="12"/>
        </w:rPr>
        <w:t xml:space="preserve"> | RE 865.401</w:t>
      </w:r>
      <w:r>
        <w:rPr>
          <w:color w:val="003CA0"/>
          <w:sz w:val="12"/>
        </w:rPr>
        <w:t xml:space="preserve"> | rel. Marco Aurélio</w:t>
      </w:r>
    </w:p>
    <w:p>
      <w:pPr>
        <w:ind w:left="288"/>
      </w:pPr>
      <w:r>
        <w:rPr>
          <w:color w:val="1E1E1E"/>
          <w:sz w:val="18"/>
        </w:rPr>
        <w:t>(...) o parlamentar, na condição de cidadão, pode exercer plenamente seu direito fundamental de acesso a informações de interesse pessoal ou coletivo, nos termos do art. 5º, inciso XXXIII, da CF e das normas de regência desse direito.</w:t>
      </w:r>
    </w:p>
    <w:p>
      <w:pPr>
        <w:ind w:left="288"/>
      </w:pPr>
      <w:r>
        <w:rPr>
          <w:b/>
          <w:color w:val="003CA0"/>
          <w:sz w:val="16"/>
        </w:rPr>
        <w:t>[RE 865.401, rel. min. Marco Aurélio, j. 25-4-2018, P, DJE de 19-10-2018, Tema 832, com mérito julgado.]</w:t>
      </w:r>
    </w:p>
    <w:p>
      <w:pPr>
        <w:ind w:left="288"/>
      </w:pPr>
      <w:r>
        <w:rPr>
          <w:color w:val="8C8C8C"/>
          <w:sz w:val="12"/>
        </w:rPr>
        <w:t>cf-art-5-inc-XXXII</w:t>
      </w:r>
      <w:r>
        <w:rPr>
          <w:color w:val="003CA0"/>
          <w:sz w:val="12"/>
        </w:rPr>
        <w:t xml:space="preserve"> | ARE 652.777</w:t>
      </w:r>
      <w:r>
        <w:rPr>
          <w:color w:val="003CA0"/>
          <w:sz w:val="12"/>
        </w:rPr>
        <w:t xml:space="preserve"> | rel. Teori Zavascki</w:t>
      </w:r>
    </w:p>
    <w:p>
      <w:pPr>
        <w:ind w:left="288"/>
      </w:pPr>
      <w:r>
        <w:rPr>
          <w:color w:val="1E1E1E"/>
          <w:sz w:val="18"/>
        </w:rPr>
        <w:t>É legítima a publicação, inclusive em sítio eletrônico mantido pela administração pública, dos nomes dos seus servidores e do valor dos correspondentes vencimentos e vantagens pecuniárias.</w:t>
      </w:r>
    </w:p>
    <w:p>
      <w:pPr>
        <w:ind w:left="288"/>
      </w:pPr>
      <w:r>
        <w:rPr>
          <w:b/>
          <w:color w:val="003CA0"/>
          <w:sz w:val="16"/>
        </w:rPr>
        <w:t>[ARE 652.777, rel. min. Teori Zavascki, j. 23-4-2015, P, DJE de 1º-7-2015, Tema 483, com mérito julgado.]</w:t>
      </w:r>
    </w:p>
    <w:p>
      <w:pPr>
        <w:ind w:left="288"/>
      </w:pPr>
      <w:r>
        <w:rPr>
          <w:color w:val="8C8C8C"/>
          <w:sz w:val="12"/>
        </w:rPr>
        <w:t>cf-art-5-inc-XXXII</w:t>
      </w:r>
      <w:r>
        <w:rPr>
          <w:color w:val="003CA0"/>
          <w:sz w:val="12"/>
        </w:rPr>
        <w:t xml:space="preserve"> | MS 36.747</w:t>
      </w:r>
      <w:r>
        <w:rPr>
          <w:color w:val="003CA0"/>
          <w:sz w:val="12"/>
        </w:rPr>
        <w:t xml:space="preserve"> | rel. Roberto Barroso</w:t>
      </w:r>
    </w:p>
    <w:p>
      <w:pPr>
        <w:ind w:left="288"/>
      </w:pPr>
      <w:r>
        <w:rPr>
          <w:color w:val="1E1E1E"/>
          <w:sz w:val="18"/>
        </w:rPr>
        <w:t>A Lei de Acesso à Informação prevê expressamente a possibilidade de acesso somente aos resultados de processos de inspeções, auditorias, prestações e tomada de contas realizadas pelos órgãos de controle externo. Quanto aos documentos e informações contidos nesses tipos de procedimento, o direito ao acesso somente é franqueado após a edição do ato decisório respectivo (art. 7º, VII, b e § 3º, da Lei 12.527/2011).</w:t>
      </w:r>
    </w:p>
    <w:p>
      <w:pPr>
        <w:ind w:left="288"/>
      </w:pPr>
      <w:r>
        <w:rPr>
          <w:b/>
          <w:color w:val="003CA0"/>
          <w:sz w:val="16"/>
        </w:rPr>
        <w:t>[MS 36.747 AgR, rel. min. Roberto Barroso, j. 30-5-2022, 1ª T, DJE de 8-6-2022.]</w:t>
      </w:r>
    </w:p>
    <w:p>
      <w:pPr>
        <w:ind w:left="288"/>
      </w:pPr>
      <w:r>
        <w:rPr>
          <w:color w:val="8C8C8C"/>
          <w:sz w:val="12"/>
        </w:rPr>
        <w:t>cf-art-5-inc-XXXII</w:t>
      </w:r>
      <w:r>
        <w:rPr>
          <w:color w:val="003CA0"/>
          <w:sz w:val="12"/>
        </w:rPr>
        <w:t xml:space="preserve"> | MS 37.626</w:t>
      </w:r>
      <w:r>
        <w:rPr>
          <w:color w:val="003CA0"/>
          <w:sz w:val="12"/>
        </w:rPr>
        <w:t xml:space="preserve"> | rel. Flávio Dino</w:t>
      </w:r>
    </w:p>
    <w:p>
      <w:pPr>
        <w:ind w:left="288"/>
      </w:pPr>
      <w:r>
        <w:rPr>
          <w:color w:val="1E1E1E"/>
          <w:sz w:val="18"/>
        </w:rPr>
        <w:t xml:space="preserve">Na administração das entidades do Sistema “S”, a publicidade é a regra. O sigilo é situação anômala e excepcional, somente autorizada quando necessário à preservação da intimidade e em razão de sua imprescindibilidade para a segurança, devidamente justificada, o que não é o caso da divulgação da remuneração de seus agentes. As remunerações dos empregados e dirigentes do Sistema “S” devem ser publicizadas de forma individualizada, clara e sem generalizações que impeçam a correta compreensão dos dados. A mera divulgação da “estrutura remuneratória” não é suficiente. Os dados devem ser prestados </w:t>
      </w:r>
    </w:p>
    <w:p>
      <w:pPr>
        <w:ind w:left="288"/>
      </w:pPr>
      <w:r>
        <w:rPr>
          <w:b/>
          <w:color w:val="003CA0"/>
          <w:sz w:val="16"/>
        </w:rPr>
        <w:t>[MS 37.626, rel. min. Flávio Dino, j. 29.04.2024, 1ª T, DJE de 06.05.2024.]</w:t>
      </w:r>
    </w:p>
    <w:p>
      <w:pPr>
        <w:ind w:left="288"/>
      </w:pPr>
      <w:r>
        <w:rPr>
          <w:color w:val="8C8C8C"/>
          <w:sz w:val="12"/>
        </w:rPr>
        <w:t>cf-art-5-inc-XXXII</w:t>
      </w:r>
      <w:r>
        <w:rPr>
          <w:color w:val="003CA0"/>
          <w:sz w:val="12"/>
        </w:rPr>
        <w:t xml:space="preserve"> | ARE 652.777</w:t>
      </w:r>
      <w:r>
        <w:rPr>
          <w:color w:val="003CA0"/>
          <w:sz w:val="12"/>
        </w:rPr>
        <w:t xml:space="preserve"> | rel. Teori Zavascki</w:t>
      </w:r>
    </w:p>
    <w:p>
      <w:pPr>
        <w:ind w:left="288"/>
      </w:pPr>
      <w:r>
        <w:rPr>
          <w:color w:val="1E1E1E"/>
          <w:sz w:val="18"/>
        </w:rPr>
        <w:t>Vide ARE 652.777, rel. min. Teori Zavascki, j. 23.04.2015, P, DJE de 01.07.2015, Tema 483, com mérito julgado.] Ato que indefere acesso a documentos relativos ao pagamento de verbas públicas. (...) A regra geral num Estado Republicano é a da total transparência no acesso a documentos públicos, sendo o sigilo a exceção. (...) As verbas indenizatórias para exercício da atividade parlamentar têm natureza pública, não havendo razões de segurança ou de intimidade que justifiquem genericamente seu caráter sigiloso.</w:t>
      </w:r>
    </w:p>
    <w:p>
      <w:pPr>
        <w:ind w:left="288"/>
      </w:pPr>
      <w:r>
        <w:rPr>
          <w:b/>
          <w:color w:val="003CA0"/>
          <w:sz w:val="16"/>
        </w:rPr>
        <w:t>[MS 28.178, rel. min. Roberto Barroso, j. 4-3-2015, P, DJE de 8-5-2015.]</w:t>
      </w:r>
    </w:p>
    <w:p>
      <w:pPr>
        <w:ind w:left="288"/>
      </w:pPr>
      <w:r>
        <w:rPr>
          <w:color w:val="8C8C8C"/>
          <w:sz w:val="12"/>
        </w:rPr>
        <w:t>cf-art-5-inc-XXXII</w:t>
      </w:r>
      <w:r>
        <w:rPr>
          <w:color w:val="003CA0"/>
          <w:sz w:val="12"/>
        </w:rPr>
        <w:t xml:space="preserve"> | RCL 10.771</w:t>
      </w:r>
      <w:r>
        <w:rPr>
          <w:color w:val="003CA0"/>
          <w:sz w:val="12"/>
        </w:rPr>
        <w:t xml:space="preserve"> | rel. Marco Aurélio</w:t>
      </w:r>
    </w:p>
    <w:p>
      <w:pPr>
        <w:ind w:left="288"/>
      </w:pPr>
      <w:r>
        <w:rPr>
          <w:color w:val="1E1E1E"/>
          <w:sz w:val="18"/>
        </w:rPr>
        <w:t>O Verbete 14 da Súmula Vinculante do Supremo não alcança sindicância administrativa objetivando elucidar fatos sob o ângulo do cometimento de infração administrativa.</w:t>
      </w:r>
    </w:p>
    <w:p>
      <w:pPr>
        <w:ind w:left="288"/>
      </w:pPr>
      <w:r>
        <w:rPr>
          <w:b/>
          <w:color w:val="003CA0"/>
          <w:sz w:val="16"/>
        </w:rPr>
        <w:t>[Rcl 10.771 AgR, rel. min. Marco Aurélio, j. 4-2-2014, 1ª T, DJE de 18-2-2014.]</w:t>
      </w:r>
    </w:p>
    <w:p>
      <w:pPr>
        <w:ind w:left="288"/>
      </w:pPr>
      <w:r>
        <w:rPr>
          <w:color w:val="8C8C8C"/>
          <w:sz w:val="12"/>
        </w:rPr>
        <w:t>cf-art-5-inc-XXXII</w:t>
      </w:r>
      <w:r>
        <w:rPr>
          <w:color w:val="003CA0"/>
          <w:sz w:val="12"/>
        </w:rPr>
        <w:t xml:space="preserve"> | RCL 9.789</w:t>
      </w:r>
      <w:r>
        <w:rPr>
          <w:color w:val="003CA0"/>
          <w:sz w:val="12"/>
        </w:rPr>
        <w:t xml:space="preserve"> | rel. Ellen Gracie</w:t>
      </w:r>
    </w:p>
    <w:p>
      <w:pPr>
        <w:ind w:left="288"/>
      </w:pPr>
      <w:r>
        <w:rPr>
          <w:color w:val="1E1E1E"/>
          <w:sz w:val="18"/>
        </w:rPr>
        <w:t>Violação da Súmula Vinculante 14. Inocorrência. (...) Não há como conceder vista do inquérito policial (...) pela simples razão de o agravante não figurar como indiciado, além, é claro, de o feito tramitar sob a etiqueta do segredo de justiça.</w:t>
      </w:r>
    </w:p>
    <w:p>
      <w:pPr>
        <w:ind w:left="288"/>
      </w:pPr>
      <w:r>
        <w:rPr>
          <w:b/>
          <w:color w:val="003CA0"/>
          <w:sz w:val="16"/>
        </w:rPr>
        <w:t>[Rcl 9.789 AgR, rel. min. Ellen Gracie, j. 18-8-2010, P, DJE de 3-9-2010.]</w:t>
      </w:r>
    </w:p>
    <w:p>
      <w:pPr>
        <w:ind w:left="288"/>
      </w:pPr>
      <w:r>
        <w:rPr>
          <w:color w:val="8C8C8C"/>
          <w:sz w:val="12"/>
        </w:rPr>
        <w:t>cf-art-5-inc-XXXII</w:t>
      </w:r>
      <w:r>
        <w:rPr>
          <w:color w:val="003CA0"/>
          <w:sz w:val="12"/>
        </w:rPr>
        <w:t xml:space="preserve"> | MS 25.382</w:t>
      </w:r>
      <w:r>
        <w:rPr>
          <w:color w:val="003CA0"/>
          <w:sz w:val="12"/>
        </w:rPr>
        <w:t xml:space="preserve"> | rel. Sepúlveda Pertence</w:t>
      </w:r>
    </w:p>
    <w:p>
      <w:pPr>
        <w:ind w:left="288"/>
      </w:pPr>
      <w:r>
        <w:rPr>
          <w:color w:val="1E1E1E"/>
          <w:sz w:val="18"/>
        </w:rPr>
        <w:t>TCU: direito de acesso a documentos de processo administrativo. CF, art. 5º, XXXIII, XXXIV, b, e LXXII; e art. 37. Processo de representação instaurado para apurar eventual desvio dos recursos arrecadados com a exploração provisória do Complexo Pousada Esmeralda, situado no arquipélago de Fernando de Noronha/PE: direito da empresa impetrante, permissionária de uso, ter vista dos autos da representação mencionada, a fim de obter elementos que sirvam para a sua defesa em processos judiciais nos quais figura como parte. Não incidência, no caso, de qualquer limitação às garantias constitucionais (</w:t>
      </w:r>
    </w:p>
    <w:p>
      <w:pPr>
        <w:ind w:left="288"/>
      </w:pPr>
      <w:r>
        <w:rPr>
          <w:b/>
          <w:color w:val="003CA0"/>
          <w:sz w:val="16"/>
        </w:rPr>
        <w:t>[MS 25.382, rel. min. Sepúlveda Pertence, j. 15-2-2006, P, DJ de 31-3-2006.]</w:t>
      </w:r>
    </w:p>
    <w:p>
      <w:pPr>
        <w:ind w:left="288"/>
      </w:pPr>
      <w:r>
        <w:rPr>
          <w:color w:val="8C8C8C"/>
          <w:sz w:val="12"/>
        </w:rPr>
        <w:t>cf-art-5-inc-XXXII</w:t>
      </w:r>
    </w:p>
    <w:p>
      <w:pPr>
        <w:ind w:left="288"/>
      </w:pPr>
      <w:r>
        <w:rPr>
          <w:color w:val="1E1E1E"/>
          <w:sz w:val="18"/>
        </w:rPr>
        <w:t>XXXIV - são a todos assegurados, independentemente do pagamento de taxas:</w:t>
      </w:r>
    </w:p>
    <w:p>
      <w:pPr>
        <w:ind w:left="288"/>
      </w:pPr>
      <w:r>
        <w:rPr>
          <w:color w:val="8C8C8C"/>
          <w:sz w:val="12"/>
        </w:rPr>
        <w:t>cf-art-5-inc-XXXII-ali-a</w:t>
      </w:r>
    </w:p>
    <w:p>
      <w:pPr>
        <w:ind w:left="288"/>
      </w:pPr>
      <w:r>
        <w:rPr>
          <w:color w:val="1E1E1E"/>
          <w:sz w:val="18"/>
        </w:rPr>
        <w:t>É inconstitucional a exigência de depósito ou arrolamento prévios de dinheiro ou bens para admissibilidade de recurso administrativo</w:t>
      </w:r>
    </w:p>
    <w:p>
      <w:pPr>
        <w:ind w:left="288"/>
      </w:pPr>
      <w:r>
        <w:rPr>
          <w:b/>
          <w:color w:val="003CA0"/>
          <w:sz w:val="16"/>
        </w:rPr>
        <w:t>[Súmula Vinculante 21.]</w:t>
      </w:r>
    </w:p>
    <w:p>
      <w:pPr>
        <w:ind w:left="288"/>
      </w:pPr>
      <w:r>
        <w:rPr>
          <w:color w:val="8C8C8C"/>
          <w:sz w:val="12"/>
        </w:rPr>
        <w:t>cf-art-5-inc-XXXII-ali-a</w:t>
      </w:r>
      <w:r>
        <w:rPr>
          <w:color w:val="003CA0"/>
          <w:sz w:val="12"/>
        </w:rPr>
        <w:t xml:space="preserve"> | ADI 6.145</w:t>
      </w:r>
      <w:r>
        <w:rPr>
          <w:color w:val="003CA0"/>
          <w:sz w:val="12"/>
        </w:rPr>
        <w:t xml:space="preserve"> | rel. Rosa Weber</w:t>
      </w:r>
    </w:p>
    <w:p>
      <w:pPr>
        <w:ind w:left="288"/>
      </w:pPr>
      <w:r>
        <w:rPr>
          <w:color w:val="1E1E1E"/>
          <w:sz w:val="18"/>
        </w:rPr>
        <w:t>O recurso administrativo, nos termos da jurisprudência deste Supremo Tribunal Federal, decorre diretamente do direito de petição (art. 5º, XXXIV, a, CF). (...) O art. 5º, XXXIV, a, da Constituição Federal exclui competência para instituição de taxa em virtude do exercício do direito de petição, motivo pelo qual não pode incidir referida espécie tributária para interposição de recurso administrativo. Não está abarcada, entretanto, no âmbito conceitual do direito de petição (art. 5º XXXIV, a, CF), a realização de perícias e o empreendimento de diligências.</w:t>
      </w:r>
    </w:p>
    <w:p>
      <w:pPr>
        <w:ind w:left="288"/>
      </w:pPr>
      <w:r>
        <w:rPr>
          <w:b/>
          <w:color w:val="003CA0"/>
          <w:sz w:val="16"/>
        </w:rPr>
        <w:t>[ADI 6.145, rel. min. Rosa Weber, j. 14-9-2022, P, DJE de 24-10-2022.]</w:t>
      </w:r>
    </w:p>
    <w:p>
      <w:pPr>
        <w:ind w:left="288"/>
      </w:pPr>
      <w:r>
        <w:rPr>
          <w:color w:val="8C8C8C"/>
          <w:sz w:val="12"/>
        </w:rPr>
        <w:t>cf-art-5-inc-XXXII-ali-a</w:t>
      </w:r>
      <w:r>
        <w:rPr>
          <w:color w:val="003CA0"/>
          <w:sz w:val="12"/>
        </w:rPr>
        <w:t xml:space="preserve"> | ADPF 156</w:t>
      </w:r>
      <w:r>
        <w:rPr>
          <w:color w:val="003CA0"/>
          <w:sz w:val="12"/>
        </w:rPr>
        <w:t xml:space="preserve"> | rel. Cármen Lúcia</w:t>
      </w:r>
    </w:p>
    <w:p>
      <w:pPr>
        <w:ind w:left="288"/>
      </w:pPr>
      <w:r>
        <w:rPr>
          <w:color w:val="1E1E1E"/>
          <w:sz w:val="18"/>
        </w:rPr>
        <w:t>Arguição de descumprimento de preceito fundamental. Parágrafo 1º do art. 636 da CLT: não recepção pela Constituição de 1988. Incompatibilidade da exigência de depósito prévio do valor correspondente à multa como condição de admissibilidade de recurso administrativo interposto junto à autoridade trabalhista (§ 1º do art. 636 da CLT) com a Constituição de 1988. Inobservância das garantias constitucionais do devido processo legal e da ampla defesa (art. 5º, LIV e LV); do princípio da isonomia (art. 5º, caput); do direito de petição (art. 5º, XXXIV, a).</w:t>
      </w:r>
    </w:p>
    <w:p>
      <w:pPr>
        <w:ind w:left="288"/>
      </w:pPr>
      <w:r>
        <w:rPr>
          <w:b/>
          <w:color w:val="003CA0"/>
          <w:sz w:val="16"/>
        </w:rPr>
        <w:t>[ADPF 156, rel. min. Cármen Lúcia, j. 18-8-2011, P, DJE de 28-10-2011.]</w:t>
      </w:r>
    </w:p>
    <w:p>
      <w:pPr>
        <w:ind w:left="288"/>
      </w:pPr>
      <w:r>
        <w:rPr>
          <w:color w:val="8C8C8C"/>
          <w:sz w:val="12"/>
        </w:rPr>
        <w:t>cf-art-5-inc-XXXII-ali-a</w:t>
      </w:r>
      <w:r>
        <w:rPr>
          <w:color w:val="003CA0"/>
          <w:sz w:val="12"/>
        </w:rPr>
        <w:t xml:space="preserve"> | AI 698.626</w:t>
      </w:r>
      <w:r>
        <w:rPr>
          <w:color w:val="003CA0"/>
          <w:sz w:val="12"/>
        </w:rPr>
        <w:t xml:space="preserve"> | rel. Ellen Gracie</w:t>
      </w:r>
    </w:p>
    <w:p>
      <w:pPr>
        <w:ind w:left="288"/>
      </w:pPr>
      <w:r>
        <w:rPr>
          <w:color w:val="1E1E1E"/>
          <w:sz w:val="18"/>
        </w:rPr>
        <w:t>Vide AI 698.626 QO-RG, rel. min. Ellen Gracie, j. 2-10-2008, P, DJE de 5-12-2008 A natureza jurídica da reclamação não é a de um recurso, de uma ação e nem de um incidente processual. Situa-se ela no âmbito do direito constitucional de petição previsto no art. 5º, XXXIV, da CF.</w:t>
      </w:r>
    </w:p>
    <w:p>
      <w:pPr>
        <w:ind w:left="288"/>
      </w:pPr>
      <w:r>
        <w:rPr>
          <w:b/>
          <w:color w:val="003CA0"/>
          <w:sz w:val="16"/>
        </w:rPr>
        <w:t>[ADI 2.212, rel. min. Ellen Gracie, j. 2-10-2003, P, DJ de 14-11-2003.]</w:t>
      </w:r>
    </w:p>
    <w:p>
      <w:pPr>
        <w:ind w:left="288"/>
      </w:pPr>
      <w:r>
        <w:rPr>
          <w:color w:val="8C8C8C"/>
          <w:sz w:val="12"/>
        </w:rPr>
        <w:t>cf-art-5-inc-XXXII-ali-a</w:t>
      </w:r>
      <w:r>
        <w:rPr>
          <w:color w:val="003CA0"/>
          <w:sz w:val="12"/>
        </w:rPr>
        <w:t xml:space="preserve"> | RE 796.939</w:t>
      </w:r>
      <w:r>
        <w:rPr>
          <w:color w:val="003CA0"/>
          <w:sz w:val="12"/>
        </w:rPr>
        <w:t xml:space="preserve"> | rel. Edson Fachin</w:t>
      </w:r>
    </w:p>
    <w:p>
      <w:pPr>
        <w:ind w:left="288"/>
      </w:pPr>
      <w:r>
        <w:rPr>
          <w:color w:val="1E1E1E"/>
          <w:sz w:val="18"/>
        </w:rPr>
        <w:t>“É inconstitucional a multa isolada prevista em lei para incidir diante da mera negativa de homologação de compensação tributária por não consistir em ato ilícito com aptidão para propiciar automática penalidade pecuniária”. (...) Compreende-se uma falta de correlação entre a multa tributária e o pedido administrativo de compensação tributária, ainda que não homologado pela Administração Tributária, uma vez que este se traduz em legítimo exercício do direito de petição do contribuinte. (...) A aferição da correção material da conduta do contribuinte que busca à compensação tributária na via ad</w:t>
      </w:r>
    </w:p>
    <w:p>
      <w:pPr>
        <w:ind w:left="288"/>
      </w:pPr>
      <w:r>
        <w:rPr>
          <w:b/>
          <w:color w:val="003CA0"/>
          <w:sz w:val="16"/>
        </w:rPr>
        <w:t>[RE 796.939, rel. min. Edson Fachin, j. 18-3-2023, P, DJE de 23-5-2023, Tema 736, com mérito julgado.]</w:t>
      </w:r>
    </w:p>
    <w:p>
      <w:pPr>
        <w:ind w:left="288"/>
      </w:pPr>
      <w:r>
        <w:rPr>
          <w:color w:val="8C8C8C"/>
          <w:sz w:val="12"/>
        </w:rPr>
        <w:t>cf-art-5-inc-XXXII-ali-a</w:t>
      </w:r>
      <w:r>
        <w:rPr>
          <w:color w:val="003CA0"/>
          <w:sz w:val="12"/>
        </w:rPr>
        <w:t xml:space="preserve"> | PET 4.556</w:t>
      </w:r>
      <w:r>
        <w:rPr>
          <w:color w:val="003CA0"/>
          <w:sz w:val="12"/>
        </w:rPr>
        <w:t xml:space="preserve"> | rel. Eros Grau</w:t>
      </w:r>
    </w:p>
    <w:p>
      <w:pPr>
        <w:ind w:left="288"/>
      </w:pPr>
      <w:r>
        <w:rPr>
          <w:color w:val="1E1E1E"/>
          <w:sz w:val="18"/>
        </w:rPr>
        <w:t>As garantias constitucionais do direito de petição e da inafastabilidade da apreciação do Poder Judiciário, quando se trata de lesão ou ameaça a direito, reclamam, para o seu exercício, a observância do que preceitua o direito processual (art. 5º, XXXIV, a, e XXXV, da Constituição do Brasil/1988).</w:t>
      </w:r>
    </w:p>
    <w:p>
      <w:pPr>
        <w:ind w:left="288"/>
      </w:pPr>
      <w:r>
        <w:rPr>
          <w:b/>
          <w:color w:val="003CA0"/>
          <w:sz w:val="16"/>
        </w:rPr>
        <w:t>[Pet 4.556 AgR, rel. min. Eros Grau, j. 25-6-2009, P, DJE de 21-8-2009.]</w:t>
      </w:r>
    </w:p>
    <w:p>
      <w:pPr>
        <w:ind w:left="288"/>
      </w:pPr>
      <w:r>
        <w:rPr>
          <w:color w:val="8C8C8C"/>
          <w:sz w:val="12"/>
        </w:rPr>
        <w:t>cf-art-5-inc-XXXII-ali-a</w:t>
      </w:r>
      <w:r>
        <w:rPr>
          <w:color w:val="003CA0"/>
          <w:sz w:val="12"/>
        </w:rPr>
        <w:t xml:space="preserve"> | AI 258.867</w:t>
      </w:r>
      <w:r>
        <w:rPr>
          <w:color w:val="003CA0"/>
          <w:sz w:val="12"/>
        </w:rPr>
        <w:t xml:space="preserve"> | rel. Celso de Mello</w:t>
      </w:r>
    </w:p>
    <w:p>
      <w:pPr>
        <w:ind w:left="288"/>
      </w:pPr>
      <w:r>
        <w:rPr>
          <w:color w:val="1E1E1E"/>
          <w:sz w:val="18"/>
        </w:rPr>
        <w:t xml:space="preserve">Vide AI 258.867 AgR, rel. min. Celso de Mello, j. 26-9-2000, 2ª T, DJ de 2-2-2001 Vide AI 258.910 AgR, rel. min. Octavio Gallotti, j. 6-6-2000, 1ª T, DJ de 18-8-2000 (...) não se pode cogitar de disciplina em regimento interno, porquanto a reclamação ganha contornos de verdadeiro recurso, mostrando-se inserida, portanto, conforme ressaltado pelo Supremo, no direito constitucional de petição. Cumpre, no âmbito federal, ao Congresso Nacional dispor a respeito, ainda que o faça, ante a origem da regência do processo do trabalho, mediante lei ordinária. Relativamente ao Supremo e ao STJ, porque o </w:t>
      </w:r>
    </w:p>
    <w:p>
      <w:pPr>
        <w:ind w:left="288"/>
      </w:pPr>
      <w:r>
        <w:rPr>
          <w:b/>
          <w:color w:val="003CA0"/>
          <w:sz w:val="16"/>
        </w:rPr>
        <w:t>[RE 405.031, rel. min. Marco Aurélio, j. 15-10-2008, P, DJE de 17-4-2009.]</w:t>
      </w:r>
    </w:p>
    <w:p>
      <w:pPr>
        <w:ind w:left="288"/>
      </w:pPr>
      <w:r>
        <w:rPr>
          <w:color w:val="8C8C8C"/>
          <w:sz w:val="12"/>
        </w:rPr>
        <w:t>cf-art-5-inc-XXXII-ali-a</w:t>
      </w:r>
      <w:r>
        <w:rPr>
          <w:color w:val="003CA0"/>
          <w:sz w:val="12"/>
        </w:rPr>
        <w:t xml:space="preserve"> | RE 388.359</w:t>
      </w:r>
      <w:r>
        <w:rPr>
          <w:color w:val="003CA0"/>
          <w:sz w:val="12"/>
        </w:rPr>
        <w:t xml:space="preserve"> | rel. Ellen Gracie</w:t>
      </w:r>
    </w:p>
    <w:p>
      <w:pPr>
        <w:ind w:left="288"/>
      </w:pPr>
      <w:r>
        <w:rPr>
          <w:color w:val="1E1E1E"/>
          <w:sz w:val="18"/>
        </w:rPr>
        <w:t>Exigência de depósito prévio em recurso administrativo. (...) Ratificação do entendimento. (...) A exigência de depósito prévio como requisito de admissibilidade de recurso administrativo – assunto de indiscutível relevância econômica, social e jurídica – já teve a sua inconstitucionalidade reconhecida por esta Corte, no julgamento do RE 388.359, do RE 389.383 e do RE 390.513, todos de relatoria do eminente ministro Marco Aurélio.</w:t>
      </w:r>
    </w:p>
    <w:p>
      <w:pPr>
        <w:ind w:left="288"/>
      </w:pPr>
      <w:r>
        <w:rPr>
          <w:b/>
          <w:color w:val="003CA0"/>
          <w:sz w:val="16"/>
        </w:rPr>
        <w:t>[AI 698.626 QO-RG, rel. min. Ellen Gracie, j. 2-10-2008, P, DJE de 5-12-2008.]</w:t>
      </w:r>
    </w:p>
    <w:p>
      <w:pPr>
        <w:ind w:left="288"/>
      </w:pPr>
      <w:r>
        <w:rPr>
          <w:color w:val="8C8C8C"/>
          <w:sz w:val="12"/>
        </w:rPr>
        <w:t>cf-art-5-inc-XXXII-ali-a</w:t>
      </w:r>
      <w:r>
        <w:rPr>
          <w:color w:val="003CA0"/>
          <w:sz w:val="12"/>
        </w:rPr>
        <w:t xml:space="preserve"> | ADPF 156</w:t>
      </w:r>
      <w:r>
        <w:rPr>
          <w:color w:val="003CA0"/>
          <w:sz w:val="12"/>
        </w:rPr>
        <w:t xml:space="preserve"> | rel. Cármen Lúcia</w:t>
      </w:r>
    </w:p>
    <w:p>
      <w:pPr>
        <w:ind w:left="288"/>
      </w:pPr>
      <w:r>
        <w:rPr>
          <w:color w:val="1E1E1E"/>
          <w:sz w:val="18"/>
        </w:rPr>
        <w:t>Vide ADPF 156, rel. min. Cármen Lúcia, j. 18-8-2011, P, DJE de 28-10-2011 O direito à certidão traduz prerrogativa jurídica, de extração constitucional, destinada a viabilizar, em favor do indivíduo ou de uma determinada coletividade (como a dos segurados do sistema de previdência social), a defesa (individual ou coletiva) de direitos ou o esclarecimento de situações. A injusta recusa estatal em fornecer certidões, não obstante presentes os pressupostos legitimadores dessa pretensão, autorizará a utilização de instrumentos processuais adequados, como o mandado de segurança ou a própria ação ci</w:t>
      </w:r>
    </w:p>
    <w:p>
      <w:pPr>
        <w:ind w:left="288"/>
      </w:pPr>
      <w:r>
        <w:rPr>
          <w:b/>
          <w:color w:val="003CA0"/>
          <w:sz w:val="16"/>
        </w:rPr>
        <w:t>[RE 472.489 AgR, rel. min. Celso de Mello, j. 29-4-2008, 2ª T, DJE de 29-8-2008.]</w:t>
      </w:r>
    </w:p>
    <w:p>
      <w:pPr>
        <w:ind w:left="288"/>
      </w:pPr>
      <w:r>
        <w:rPr>
          <w:color w:val="8C8C8C"/>
          <w:sz w:val="12"/>
        </w:rPr>
        <w:t>cf-art-5-inc-XXXII-ali-a</w:t>
      </w:r>
      <w:r>
        <w:rPr>
          <w:color w:val="003CA0"/>
          <w:sz w:val="12"/>
        </w:rPr>
        <w:t xml:space="preserve"> | RE 167.118</w:t>
      </w:r>
      <w:r>
        <w:rPr>
          <w:color w:val="003CA0"/>
          <w:sz w:val="12"/>
        </w:rPr>
        <w:t xml:space="preserve"> | rel. Joaquim Barbosa</w:t>
      </w:r>
    </w:p>
    <w:p>
      <w:pPr>
        <w:ind w:left="288"/>
      </w:pPr>
      <w:r>
        <w:rPr>
          <w:color w:val="1E1E1E"/>
          <w:sz w:val="18"/>
        </w:rPr>
        <w:t>= RE 167.118 AgR, rel. min. Joaquim Barbosa, j. 20-4-2010, 2ª T, DJE de 28-5-2010 O direito constitucional de petição e o princípio da legalidade não implicam a necessidade de esgotamento da via administrativa para discussão judicial da validade de crédito inscrito em dívida ativa da Fazenda Pública. É constitucional o art. 38, parágrafo único, da Lei 6.830/1980 (Lei da Execução Fiscal – LEF), que dispõe que "a propositura, pelo contribuinte, da ação prevista neste artigo (ações destinadas à discussão judicial da validade de crédito inscrito em dívida ativa) importa em renúncia ao poder de rec</w:t>
      </w:r>
    </w:p>
    <w:p>
      <w:pPr>
        <w:ind w:left="288"/>
      </w:pPr>
      <w:r>
        <w:rPr>
          <w:b/>
          <w:color w:val="003CA0"/>
          <w:sz w:val="16"/>
        </w:rPr>
        <w:t>[RE 233.582, rel. min. Marco Aurélio, red. do ac. min. Joaquim Barbosa, j. 16-8-2007, P, DJE de 16-5-2008.]</w:t>
      </w:r>
    </w:p>
    <w:p>
      <w:pPr>
        <w:ind w:left="288"/>
      </w:pPr>
      <w:r>
        <w:rPr>
          <w:color w:val="8C8C8C"/>
          <w:sz w:val="12"/>
        </w:rPr>
        <w:t>cf-art-5-inc-XXXII-ali-a</w:t>
      </w:r>
      <w:r>
        <w:rPr>
          <w:color w:val="003CA0"/>
          <w:sz w:val="12"/>
        </w:rPr>
        <w:t xml:space="preserve"> | RE 469.600</w:t>
      </w:r>
      <w:r>
        <w:rPr>
          <w:color w:val="003CA0"/>
          <w:sz w:val="12"/>
        </w:rPr>
        <w:t xml:space="preserve"> | rel. Cármen Lúcia</w:t>
      </w:r>
    </w:p>
    <w:p>
      <w:pPr>
        <w:ind w:left="288"/>
      </w:pPr>
      <w:r>
        <w:rPr>
          <w:color w:val="1E1E1E"/>
          <w:sz w:val="18"/>
        </w:rPr>
        <w:t>= RE 469.600 AgR, rel. min. Cármen Lúcia, j. 8-2-2011, 1ª T, DJE de 3-3-2011 O direito de petição, fundado no art. 5º, XXXIV, a, da Constituição, não pode ser invocado, genericamente, para exonerar qualquer dos sujeitos processuais do dever de observar as exigências que condicionam o exercício do direito de ação, pois, tratando-se de controvérsia judicial, cumpre respeitar os pressupostos e os requisitos fixados pela legislação processual comum. A mera invocação do direito de petição, por si só, não basta para assegurar à parte interessada o acolhimento da pretensão que deduziu em sede recursa</w:t>
      </w:r>
    </w:p>
    <w:p>
      <w:pPr>
        <w:ind w:left="288"/>
      </w:pPr>
      <w:r>
        <w:rPr>
          <w:b/>
          <w:color w:val="003CA0"/>
          <w:sz w:val="16"/>
        </w:rPr>
        <w:t>[AI 258.867 AgR, rel. min. Celso de Mello, j. 26-9-2000, 2ª T, DJ de 2-2-2001.]</w:t>
      </w:r>
    </w:p>
    <w:p>
      <w:pPr>
        <w:ind w:left="288"/>
      </w:pPr>
      <w:r>
        <w:rPr>
          <w:color w:val="8C8C8C"/>
          <w:sz w:val="12"/>
        </w:rPr>
        <w:t>cf-art-5-inc-XXXII-ali-a</w:t>
      </w:r>
      <w:r>
        <w:rPr>
          <w:color w:val="003CA0"/>
          <w:sz w:val="12"/>
        </w:rPr>
        <w:t xml:space="preserve"> | AI 258.910</w:t>
      </w:r>
      <w:r>
        <w:rPr>
          <w:color w:val="003CA0"/>
          <w:sz w:val="12"/>
        </w:rPr>
        <w:t xml:space="preserve"> | rel. Octavio Gallotti</w:t>
      </w:r>
    </w:p>
    <w:p>
      <w:pPr>
        <w:ind w:left="288"/>
      </w:pPr>
      <w:r>
        <w:rPr>
          <w:color w:val="1E1E1E"/>
          <w:sz w:val="18"/>
        </w:rPr>
        <w:t>O direito de petição e a apreciação judicial regem-se por normas processuais de hierarquia ordinária, cuja interpretação não dá margem ao cabimento do recurso extraordinário.</w:t>
      </w:r>
    </w:p>
    <w:p>
      <w:pPr>
        <w:ind w:left="288"/>
      </w:pPr>
      <w:r>
        <w:rPr>
          <w:b/>
          <w:color w:val="003CA0"/>
          <w:sz w:val="16"/>
        </w:rPr>
        <w:t>[AI 258.910 AgR, rel. min. Octavio Gallotti, j. 6-6-2000, 1ª T, DJ de 18-8-2000.]</w:t>
      </w:r>
    </w:p>
    <w:p>
      <w:pPr>
        <w:ind w:left="288"/>
      </w:pPr>
      <w:r>
        <w:rPr>
          <w:color w:val="8C8C8C"/>
          <w:sz w:val="12"/>
        </w:rPr>
        <w:t>cf-art-5-inc-XXXII-ali-a</w:t>
      </w:r>
      <w:r>
        <w:rPr>
          <w:color w:val="003CA0"/>
          <w:sz w:val="12"/>
        </w:rPr>
        <w:t xml:space="preserve"> | AI 223.712</w:t>
      </w:r>
      <w:r>
        <w:rPr>
          <w:color w:val="003CA0"/>
          <w:sz w:val="12"/>
        </w:rPr>
        <w:t xml:space="preserve"> | rel. Celso de Mello</w:t>
      </w:r>
    </w:p>
    <w:p>
      <w:pPr>
        <w:ind w:left="288"/>
      </w:pPr>
      <w:r>
        <w:rPr>
          <w:color w:val="1E1E1E"/>
          <w:sz w:val="18"/>
        </w:rPr>
        <w:t>É inconsistente a postulação que, apoiada no direito de petição, formula pedido que constitui, na realidade, verdadeiro sucedâneo, legalmente não autorizado, da ação rescisória, eis que já transitada em julgado a decisão impugnada. (...) A mera invocação do direito de petição, por si só, não tem o condão de permitir que a parte interessada, mediante utilização de meio impróprio, busque desconstituir o acórdão (judicium rescindens) e obter o rejulgamento da causa (judicium rescissorium), em situação na qual a decisão questionada – embora transitada em julgado – não se reveste da autoridade da c</w:t>
      </w:r>
    </w:p>
    <w:p>
      <w:pPr>
        <w:ind w:left="288"/>
      </w:pPr>
      <w:r>
        <w:rPr>
          <w:b/>
          <w:color w:val="003CA0"/>
          <w:sz w:val="16"/>
        </w:rPr>
        <w:t>[AI 223.712 AgR-AgR, rel. min. Celso de Mello, j. 8-2-2000, 2ª T, DJE de 5-3-2010.]</w:t>
      </w:r>
    </w:p>
    <w:p>
      <w:pPr>
        <w:ind w:left="288"/>
      </w:pPr>
      <w:r>
        <w:rPr>
          <w:color w:val="8C8C8C"/>
          <w:sz w:val="12"/>
        </w:rPr>
        <w:t>cf-art-5-inc-XXXII-ali-a</w:t>
      </w:r>
      <w:r>
        <w:rPr>
          <w:color w:val="003CA0"/>
          <w:sz w:val="12"/>
        </w:rPr>
        <w:t xml:space="preserve"> | PET 1.256</w:t>
      </w:r>
      <w:r>
        <w:rPr>
          <w:color w:val="003CA0"/>
          <w:sz w:val="12"/>
        </w:rPr>
        <w:t xml:space="preserve"> | rel. Sepúlveda Pertence</w:t>
      </w:r>
    </w:p>
    <w:p>
      <w:pPr>
        <w:ind w:left="288"/>
      </w:pPr>
      <w:r>
        <w:rPr>
          <w:color w:val="1E1E1E"/>
          <w:sz w:val="18"/>
        </w:rPr>
        <w:t>Não se opõem os princípios a que, à parte interessada no cumprimento de ordem ou decisão judiciária, se faculte provocar o tribunal competente a requisitar a intervenção estadual ou federal, conforme o caso: mas a iniciativa do interessado nesse caso não é exercício do direito de ação, sim, de petição (CF, art. 5º, XXXIV): não há jurisdição – e, logo, não há causa, pressuposto de cabimento de recurso extraordinário – onde não haja ação ou, pelo menos, requerimento de interessado, na jurisdição voluntária: dessa inércia que lhe é essencial, resulta que não há jurisdição, quando, embora provocad</w:t>
      </w:r>
    </w:p>
    <w:p>
      <w:pPr>
        <w:ind w:left="288"/>
      </w:pPr>
      <w:r>
        <w:rPr>
          <w:b/>
          <w:color w:val="003CA0"/>
          <w:sz w:val="16"/>
        </w:rPr>
        <w:t>[Pet 1.256, rel. min. Sepúlveda Pertence, j. 4-11-1998, P, DJ de 4-5-2001.]</w:t>
      </w:r>
    </w:p>
    <w:p>
      <w:pPr>
        <w:ind w:left="288"/>
      </w:pPr>
      <w:r>
        <w:rPr>
          <w:color w:val="8C8C8C"/>
          <w:sz w:val="12"/>
        </w:rPr>
        <w:t>cf-art-5-inc-XXXII-ali-a</w:t>
      </w:r>
      <w:r>
        <w:rPr>
          <w:color w:val="003CA0"/>
          <w:sz w:val="12"/>
        </w:rPr>
        <w:t xml:space="preserve"> | AR 1.354</w:t>
      </w:r>
      <w:r>
        <w:rPr>
          <w:color w:val="003CA0"/>
          <w:sz w:val="12"/>
        </w:rPr>
        <w:t xml:space="preserve"> | rel. Celso de Mello</w:t>
      </w:r>
    </w:p>
    <w:p>
      <w:pPr>
        <w:ind w:left="288"/>
      </w:pPr>
      <w:r>
        <w:rPr>
          <w:color w:val="1E1E1E"/>
          <w:sz w:val="18"/>
        </w:rPr>
        <w:t>O direito de petição qualifica-se como prerrogativa de extração constitucional assegurada à generalidade das pessoas pela Carta Política (art. 5º, XXXIV, a). Traduz direito público subjetivo de índole essencialmente democrática. O direito de petição, contudo, não assegura, por si só, a possibilidade de o interessado – que não dispõe de capacidade postulatória – ingressar em juízo, para, independentemente de advogado, litigar em nome próprio ou como representante de terceiros.</w:t>
      </w:r>
    </w:p>
    <w:p>
      <w:pPr>
        <w:ind w:left="288"/>
      </w:pPr>
      <w:r>
        <w:rPr>
          <w:b/>
          <w:color w:val="003CA0"/>
          <w:sz w:val="16"/>
        </w:rPr>
        <w:t>[AR 1.354 AgR, rel. min. Celso de Mello, j. 21-10-1994, P, DJ de 6-6-1997.]</w:t>
      </w:r>
    </w:p>
    <w:p>
      <w:pPr>
        <w:ind w:left="288"/>
      </w:pPr>
      <w:r>
        <w:rPr>
          <w:color w:val="8C8C8C"/>
          <w:sz w:val="12"/>
        </w:rPr>
        <w:t>cf-art-5-inc-XXXII-ali-a</w:t>
      </w:r>
      <w:r>
        <w:rPr>
          <w:color w:val="003CA0"/>
          <w:sz w:val="12"/>
        </w:rPr>
        <w:t xml:space="preserve"> | AO 1.531</w:t>
      </w:r>
      <w:r>
        <w:rPr>
          <w:color w:val="003CA0"/>
          <w:sz w:val="12"/>
        </w:rPr>
        <w:t xml:space="preserve"> | rel. Cármen Lúcia</w:t>
      </w:r>
    </w:p>
    <w:p>
      <w:pPr>
        <w:ind w:left="288"/>
      </w:pPr>
      <w:r>
        <w:rPr>
          <w:color w:val="1E1E1E"/>
          <w:sz w:val="18"/>
        </w:rPr>
        <w:t>= AO 1.531 AgR, rel. min. Cármen Lúcia, j. 3-6-2009, P, DJE de 1º-7-2009</w:t>
      </w:r>
    </w:p>
    <w:p>
      <w:pPr>
        <w:ind w:left="288"/>
      </w:pPr>
      <w:r>
        <w:rPr>
          <w:color w:val="8C8C8C"/>
          <w:sz w:val="12"/>
        </w:rPr>
        <w:t>cf-art-5-inc-XXXII-ali-b</w:t>
      </w:r>
      <w:r>
        <w:rPr>
          <w:color w:val="003CA0"/>
          <w:sz w:val="12"/>
        </w:rPr>
        <w:t xml:space="preserve"> | ADI 7.035</w:t>
      </w:r>
      <w:r>
        <w:rPr>
          <w:color w:val="003CA0"/>
          <w:sz w:val="12"/>
        </w:rPr>
        <w:t xml:space="preserve"> | rel. Cármen Lúcia</w:t>
      </w:r>
    </w:p>
    <w:p>
      <w:pPr>
        <w:ind w:left="288"/>
      </w:pPr>
      <w:r>
        <w:rPr>
          <w:color w:val="1E1E1E"/>
          <w:sz w:val="18"/>
        </w:rPr>
        <w:t>A vedação prevista na al. b do inc. XXXIV do art. 5º da Constituição da República não impede a instituição de taxa pelo fornecimento de cópias e reproduções de documentos pelo órgão ou entidade pública consultada para o ressarcimento dos gastos com o material utilizado, bem como a cobrança de taxa para a emissão de atestado coletivo ou individual de interesse de empresa privada.</w:t>
      </w:r>
    </w:p>
    <w:p>
      <w:pPr>
        <w:ind w:left="288"/>
      </w:pPr>
      <w:r>
        <w:rPr>
          <w:b/>
          <w:color w:val="003CA0"/>
          <w:sz w:val="16"/>
        </w:rPr>
        <w:t>[ADI 7.035, rel. min. Cármen Lúcia, j. 21-6-2022, P, DJE de 29-6-2022.]</w:t>
      </w:r>
    </w:p>
    <w:p>
      <w:pPr>
        <w:ind w:left="288"/>
      </w:pPr>
      <w:r>
        <w:rPr>
          <w:color w:val="8C8C8C"/>
          <w:sz w:val="12"/>
        </w:rPr>
        <w:t>cf-art-5-inc-XXXII-ali-b</w:t>
      </w:r>
      <w:r>
        <w:rPr>
          <w:color w:val="003CA0"/>
          <w:sz w:val="12"/>
        </w:rPr>
        <w:t xml:space="preserve"> | ADI 2.259</w:t>
      </w:r>
      <w:r>
        <w:rPr>
          <w:color w:val="003CA0"/>
          <w:sz w:val="12"/>
        </w:rPr>
        <w:t xml:space="preserve"> | rel. Dias Toffoli</w:t>
      </w:r>
    </w:p>
    <w:p>
      <w:pPr>
        <w:ind w:left="288"/>
      </w:pPr>
      <w:r>
        <w:rPr>
          <w:color w:val="1E1E1E"/>
          <w:sz w:val="18"/>
        </w:rPr>
        <w:t>A Constituição da República garante aos cidadãos brasileiros e aos estrangeiros residentes no país a gratuidade na obtenção de certidões nas repartições públicas, desde que ‘para defesa de direitos e esclarecimento de situações de interesse pessoal’ (art. 5º, XXXIV, CF/88). (...) Essa garantia fundamental não depende de concretização ou regulamentação legal, uma vez que se trata de garantia fundamental dotada de eficácia plena e aplicabilidade imediata. O direito à gratuidade das certidões, contido no art. 5º, XXXIV, b, da Carta Magna, também inclui as certidões emitidas pelo Poder Judiciário,</w:t>
      </w:r>
    </w:p>
    <w:p>
      <w:pPr>
        <w:ind w:left="288"/>
      </w:pPr>
      <w:r>
        <w:rPr>
          <w:b/>
          <w:color w:val="003CA0"/>
          <w:sz w:val="16"/>
        </w:rPr>
        <w:t>[ADI 2.259, rel. min. Dias Toffoli, j. 14-2-2020, P, DJE de 25-3-2020.]</w:t>
      </w:r>
    </w:p>
    <w:p>
      <w:pPr>
        <w:ind w:left="288"/>
      </w:pPr>
      <w:r>
        <w:rPr>
          <w:color w:val="8C8C8C"/>
          <w:sz w:val="12"/>
        </w:rPr>
        <w:t>cf-art-5-inc-XXXII-ali-b</w:t>
      </w:r>
      <w:r>
        <w:rPr>
          <w:color w:val="003CA0"/>
          <w:sz w:val="12"/>
        </w:rPr>
        <w:t xml:space="preserve"> | ADI 2.969</w:t>
      </w:r>
      <w:r>
        <w:rPr>
          <w:color w:val="003CA0"/>
          <w:sz w:val="12"/>
        </w:rPr>
        <w:t xml:space="preserve"> | rel. Ayres Britto</w:t>
      </w:r>
    </w:p>
    <w:p>
      <w:pPr>
        <w:ind w:left="288"/>
      </w:pPr>
      <w:r>
        <w:rPr>
          <w:color w:val="1E1E1E"/>
          <w:sz w:val="18"/>
        </w:rPr>
        <w:t>Extração de certidões, em repartições públicas, condicionada ao recolhimento da "taxa de segurança pública". Violação à alínea b do inciso XXXIV do art. 5º da CF.</w:t>
      </w:r>
    </w:p>
    <w:p>
      <w:pPr>
        <w:ind w:left="288"/>
      </w:pPr>
      <w:r>
        <w:rPr>
          <w:b/>
          <w:color w:val="003CA0"/>
          <w:sz w:val="16"/>
        </w:rPr>
        <w:t>[ADI 2.969, rel. min. Ayres Britto, j. 29-3-2007, P, DJ de 22-6-2007.]</w:t>
      </w:r>
    </w:p>
    <w:p>
      <w:pPr>
        <w:ind w:left="288"/>
      </w:pPr>
      <w:r>
        <w:rPr>
          <w:color w:val="8C8C8C"/>
          <w:sz w:val="12"/>
        </w:rPr>
        <w:t>cf-art-5-inc-XXXII-ali-b</w:t>
      </w:r>
      <w:r>
        <w:rPr>
          <w:color w:val="003CA0"/>
          <w:sz w:val="12"/>
        </w:rPr>
        <w:t xml:space="preserve"> | RE 472.489</w:t>
      </w:r>
      <w:r>
        <w:rPr>
          <w:color w:val="003CA0"/>
          <w:sz w:val="12"/>
        </w:rPr>
        <w:t xml:space="preserve"> | rel. Celso de Mello</w:t>
      </w:r>
    </w:p>
    <w:p>
      <w:pPr>
        <w:ind w:left="288"/>
      </w:pPr>
      <w:r>
        <w:rPr>
          <w:color w:val="1E1E1E"/>
          <w:sz w:val="18"/>
        </w:rPr>
        <w:t>O direito à certidão traduz prerrogativa jurídica, de extração constitucional, destinada a viabilizar, em favor do indivíduo ou de uma determinada coletividade (como a dos segurados do sistema de previdência social), a defesa (individual ou coletiva) de direitos ou o esclarecimento de situações. A injusta recusa estatal em fornecer certidões, não obstante presentes os pressupostos legitimadores dessa pretensão, autorizará a utilização de instrumentos processuais adequados, como o mandado de segurança ou a própria ação civil pública. O Ministério Público tem legitimidade ativa para a defesa, em</w:t>
      </w:r>
    </w:p>
    <w:p>
      <w:pPr>
        <w:ind w:left="288"/>
      </w:pPr>
      <w:r>
        <w:rPr>
          <w:b/>
          <w:color w:val="003CA0"/>
          <w:sz w:val="16"/>
        </w:rPr>
        <w:t>[RE 472.489 AgR, rel. min. Celso de Mello, j. 29-4-2008, 2ª T, DJE de 29-8-2008.]</w:t>
      </w:r>
    </w:p>
    <w:p>
      <w:pPr>
        <w:ind w:left="288"/>
      </w:pPr>
      <w:r>
        <w:rPr>
          <w:color w:val="8C8C8C"/>
          <w:sz w:val="12"/>
        </w:rPr>
        <w:t>cf-art-5-inc-XXXII-ali-b</w:t>
      </w:r>
      <w:r>
        <w:rPr>
          <w:color w:val="003CA0"/>
          <w:sz w:val="12"/>
        </w:rPr>
        <w:t xml:space="preserve"> | RE 167.118</w:t>
      </w:r>
      <w:r>
        <w:rPr>
          <w:color w:val="003CA0"/>
          <w:sz w:val="12"/>
        </w:rPr>
        <w:t xml:space="preserve"> | rel. Joaquim Barbosa</w:t>
      </w:r>
    </w:p>
    <w:p>
      <w:pPr>
        <w:ind w:left="288"/>
      </w:pPr>
      <w:r>
        <w:rPr>
          <w:color w:val="1E1E1E"/>
          <w:sz w:val="18"/>
        </w:rPr>
        <w:t>= RE 167.118 AgR, rel. min. Joaquim Barbosa, j. 20-4-2010, 2ª T, DJE de 28-5-2010 TCU: direito de acesso a documentos de processo administrativo. CF, art. 5º, XXXIII, XXXIV, b, e LXXII; e art. 37. Processo de representação instaurado para apurar eventual desvio dos recursos arrecadados com a exploração provisória do Complexo Pousada Esmeralda, situado no arquipélago de Fernando de Noronha/PE: direito da empresa impetrante, permissionária de uso, ter vista dos autos da representação mencionada, a fim de obter elementos que sirvam para a sua defesa em processos judiciais nos quais figura como pa</w:t>
      </w:r>
    </w:p>
    <w:p>
      <w:pPr>
        <w:ind w:left="288"/>
      </w:pPr>
      <w:r>
        <w:rPr>
          <w:b/>
          <w:color w:val="003CA0"/>
          <w:sz w:val="16"/>
        </w:rPr>
        <w:t>[MS 25.382, rel. min. Sepúlveda Pertence, j. 15-2-2006, P, DJ de 31-3-2006.]</w:t>
      </w:r>
    </w:p>
    <w:p>
      <w:pPr>
        <w:ind w:left="288"/>
      </w:pPr>
      <w:r>
        <w:rPr>
          <w:color w:val="8C8C8C"/>
          <w:sz w:val="12"/>
        </w:rPr>
        <w:t>cf-art-5-inc-XXXII-ali-b</w:t>
      </w:r>
    </w:p>
    <w:p>
      <w:pPr>
        <w:ind w:left="288"/>
      </w:pPr>
      <w:r>
        <w:rPr>
          <w:color w:val="1E1E1E"/>
          <w:sz w:val="18"/>
        </w:rPr>
        <w:t>XXXV - a lei não excluirá da apreciação do Poder Judiciário lesão ou ameaça a direito; É inconstitucional a exigência de depósito prévio como requisito de admissibilidade de ação judicial na qual se pretenda discutir a exigibilidade de crédito tributário.</w:t>
      </w:r>
    </w:p>
    <w:p>
      <w:pPr>
        <w:ind w:left="288"/>
      </w:pPr>
      <w:r>
        <w:rPr>
          <w:b/>
          <w:color w:val="003CA0"/>
          <w:sz w:val="16"/>
        </w:rPr>
        <w:t>[Súmula Vinculante 28.]</w:t>
      </w:r>
    </w:p>
    <w:p>
      <w:pPr>
        <w:ind w:left="288"/>
      </w:pPr>
      <w:r>
        <w:rPr>
          <w:color w:val="8C8C8C"/>
          <w:sz w:val="12"/>
        </w:rPr>
        <w:t>cf-art-5-inc-XXXII-ali-b</w:t>
      </w:r>
    </w:p>
    <w:p>
      <w:pPr>
        <w:ind w:left="288"/>
      </w:pPr>
      <w:r>
        <w:rPr>
          <w:color w:val="1E1E1E"/>
          <w:sz w:val="18"/>
        </w:rPr>
        <w:t>Viola a garantia constitucional de acesso à jurisdição a taxa judiciária calculada sem limite sobre o valor da causa.</w:t>
      </w:r>
    </w:p>
    <w:p>
      <w:pPr>
        <w:ind w:left="288"/>
      </w:pPr>
      <w:r>
        <w:rPr>
          <w:b/>
          <w:color w:val="003CA0"/>
          <w:sz w:val="16"/>
        </w:rPr>
        <w:t>[Súmula 667.]</w:t>
      </w:r>
    </w:p>
    <w:p>
      <w:pPr>
        <w:ind w:left="288"/>
      </w:pPr>
      <w:r>
        <w:rPr>
          <w:color w:val="8C8C8C"/>
          <w:sz w:val="12"/>
        </w:rPr>
        <w:t>cf-art-5-inc-XXXII-ali-b</w:t>
      </w:r>
      <w:r>
        <w:rPr>
          <w:color w:val="003CA0"/>
          <w:sz w:val="12"/>
        </w:rPr>
        <w:t xml:space="preserve"> | ADI 5.689</w:t>
      </w:r>
      <w:r>
        <w:rPr>
          <w:color w:val="003CA0"/>
          <w:sz w:val="12"/>
        </w:rPr>
        <w:t xml:space="preserve"> | rel. Nunes Marques</w:t>
      </w:r>
    </w:p>
    <w:p>
      <w:pPr>
        <w:ind w:left="288"/>
      </w:pPr>
      <w:r>
        <w:rPr>
          <w:color w:val="1E1E1E"/>
          <w:sz w:val="18"/>
        </w:rPr>
        <w:t>A CF/1988 admite a instituição de taxas judiciais com base no valor da causa, desde que com previsão de alíquotas razoáveis e limites máximos aptos a garantir o acesso à justiça. As custas aplicáveis à fase de cumprimento de sentença não são inconstitucionais, pois correspondem a prestação jurisdicional distinta daquela referente à fase cognitiva. Não cabe aos tribunais de justiça estipular custas judiciais sobre recursos endereçados às cortes superiores, sendo competência do STF e do STJ definir os valores e efetuar a cobrança.</w:t>
      </w:r>
    </w:p>
    <w:p>
      <w:pPr>
        <w:ind w:left="288"/>
      </w:pPr>
      <w:r>
        <w:rPr>
          <w:b/>
          <w:color w:val="003CA0"/>
          <w:sz w:val="16"/>
        </w:rPr>
        <w:t>[ADI 5.689, rel. min. Nunes Marques, j. 01.09.2025, P, DJE de 03.10.2025.]</w:t>
      </w:r>
    </w:p>
    <w:p>
      <w:pPr>
        <w:ind w:left="288"/>
      </w:pPr>
      <w:r>
        <w:rPr>
          <w:color w:val="8C8C8C"/>
          <w:sz w:val="12"/>
        </w:rPr>
        <w:t>cf-art-5-inc-XXXII-ali-b</w:t>
      </w:r>
      <w:r>
        <w:rPr>
          <w:color w:val="003CA0"/>
          <w:sz w:val="12"/>
        </w:rPr>
        <w:t xml:space="preserve"> | ADI 7.600</w:t>
      </w:r>
      <w:r>
        <w:rPr>
          <w:color w:val="003CA0"/>
          <w:sz w:val="12"/>
        </w:rPr>
        <w:t xml:space="preserve"> | rel. Dias Toffoli</w:t>
      </w:r>
    </w:p>
    <w:p>
      <w:pPr>
        <w:ind w:left="288"/>
      </w:pPr>
      <w:r>
        <w:rPr>
          <w:color w:val="1E1E1E"/>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w:t>
      </w:r>
    </w:p>
    <w:p>
      <w:pPr>
        <w:ind w:left="288"/>
      </w:pPr>
      <w:r>
        <w:rPr>
          <w:b/>
          <w:color w:val="003CA0"/>
          <w:sz w:val="16"/>
        </w:rPr>
        <w:t>[ADI 7.600, ADI 7.601 e 7.608, rel. min. Dias Toffoli, j. 01.07.2025, P, DJE de 15.09.2025.]</w:t>
      </w:r>
    </w:p>
    <w:p>
      <w:pPr>
        <w:ind w:left="288"/>
      </w:pPr>
      <w:r>
        <w:rPr>
          <w:color w:val="8C8C8C"/>
          <w:sz w:val="12"/>
        </w:rPr>
        <w:t>cf-art-5-inc-XXXII-ali-b</w:t>
      </w:r>
      <w:r>
        <w:rPr>
          <w:color w:val="003CA0"/>
          <w:sz w:val="12"/>
        </w:rPr>
        <w:t xml:space="preserve"> | ADPF 591</w:t>
      </w:r>
      <w:r>
        <w:rPr>
          <w:color w:val="003CA0"/>
          <w:sz w:val="12"/>
        </w:rPr>
        <w:t xml:space="preserve"> | rel. Cristiano Zanin</w:t>
      </w:r>
    </w:p>
    <w:p>
      <w:pPr>
        <w:ind w:left="288"/>
      </w:pPr>
      <w:r>
        <w:rPr>
          <w:color w:val="1E1E1E"/>
          <w:sz w:val="18"/>
        </w:rPr>
        <w:t>Lei n. 5.478/1968. Dispositivos que dispensam a assistência de advogado na audiência inicial da ação de alimentos. Situação excepcional com fundamento no acesso à justiça e na essencialidade da obrigação alimentícia. () Na ação de alimento, o comparecimento a Juízo sem a assistência de advogado é medida assecuratória do direito do alimentando. A medida é prévia à instauração da lide e fundamentada na urgência da pretensão deduzida. Nas fases processuais subsequentes, a lei exige a presença de profissional habilitado.</w:t>
      </w:r>
    </w:p>
    <w:p>
      <w:pPr>
        <w:ind w:left="288"/>
      </w:pPr>
      <w:r>
        <w:rPr>
          <w:b/>
          <w:color w:val="003CA0"/>
          <w:sz w:val="16"/>
        </w:rPr>
        <w:t>[ADPF 591, rel. min. Cristiano Zanin, j. 19.08.2024, P, DJE de 28.08.2024.]</w:t>
      </w:r>
    </w:p>
    <w:p>
      <w:pPr>
        <w:ind w:left="288"/>
      </w:pPr>
      <w:r>
        <w:rPr>
          <w:color w:val="8C8C8C"/>
          <w:sz w:val="12"/>
        </w:rPr>
        <w:t>cf-art-5-inc-XXXII-ali-b</w:t>
      </w:r>
      <w:r>
        <w:rPr>
          <w:color w:val="003CA0"/>
          <w:sz w:val="12"/>
        </w:rPr>
        <w:t xml:space="preserve"> | ADI 6.039</w:t>
      </w:r>
      <w:r>
        <w:rPr>
          <w:color w:val="003CA0"/>
          <w:sz w:val="12"/>
        </w:rPr>
        <w:t xml:space="preserve"> | rel. Edson Fachin</w:t>
      </w:r>
    </w:p>
    <w:p>
      <w:pPr>
        <w:ind w:left="288"/>
      </w:pPr>
      <w:r>
        <w:rPr>
          <w:color w:val="1E1E1E"/>
          <w:sz w:val="18"/>
        </w:rPr>
        <w:t>Lei Estadual 8.008/2018 do Rio de Janeiro, que impõe a obrigatoriedade de que as crianças e adolescentes do sexo feminino vítimas de estupro sejam examinadas por perito legista mulher (...). Risco evidenciado pela negativa de realização de atos periciais às vítimas menores de idade do sexo feminino por legistas homens, o que compromete, concretamente e de modo mais urgente, o direito de crianças e adolescente de acesso à justiça (art. 39 da Convenção sobre os Direitos das Crianças) e os princípios da proteção integral e da prioridade absoluta (arts. 5º, XXXV, e 227 da CRFB). Inconstitucionalid</w:t>
      </w:r>
    </w:p>
    <w:p>
      <w:pPr>
        <w:ind w:left="288"/>
      </w:pPr>
      <w:r>
        <w:rPr>
          <w:b/>
          <w:color w:val="003CA0"/>
          <w:sz w:val="16"/>
        </w:rPr>
        <w:t>[ADI 6.039-MC, rel. min. Edson Fachin, j. 13-3-2019, P, DJE de 1º-8-2019.]</w:t>
      </w:r>
    </w:p>
    <w:p>
      <w:pPr>
        <w:ind w:left="288"/>
      </w:pPr>
      <w:r>
        <w:rPr>
          <w:color w:val="8C8C8C"/>
          <w:sz w:val="12"/>
        </w:rPr>
        <w:t>cf-art-5-inc-XXXII-ali-b</w:t>
      </w:r>
      <w:r>
        <w:rPr>
          <w:color w:val="003CA0"/>
          <w:sz w:val="12"/>
        </w:rPr>
        <w:t xml:space="preserve"> | ADI 3.995</w:t>
      </w:r>
      <w:r>
        <w:rPr>
          <w:color w:val="003CA0"/>
          <w:sz w:val="12"/>
        </w:rPr>
        <w:t xml:space="preserve"> | rel. Roberto Barroso</w:t>
      </w:r>
    </w:p>
    <w:p>
      <w:pPr>
        <w:ind w:left="288"/>
      </w:pPr>
      <w:r>
        <w:rPr>
          <w:color w:val="1E1E1E"/>
          <w:sz w:val="18"/>
        </w:rPr>
        <w:t>(...) é constitucional o depósito prévio no ajuizamento de ação rescisória como mecanismo legítimo de desincentivo ao ajuizamento de demandas ou de pedidos rescisórios aventureiros. Não há violação a direitos fundamentais, mas simples acomodação com outros valores constitucionalmente relevantes, como à tutela judicial efetiva, célere e de qualidade. O depósito no percentual de 20% sobre o valor da causa não representa uma medida demasiadamente onerosa, guardando razoabilidade e proporcionalidade.</w:t>
      </w:r>
    </w:p>
    <w:p>
      <w:pPr>
        <w:ind w:left="288"/>
      </w:pPr>
      <w:r>
        <w:rPr>
          <w:b/>
          <w:color w:val="003CA0"/>
          <w:sz w:val="16"/>
        </w:rPr>
        <w:t>[ADI 3.995, rel. min. Roberto Barroso, j. 18-12-2018, P, DJE de 1º-3-2019.]</w:t>
      </w:r>
    </w:p>
    <w:p>
      <w:pPr>
        <w:ind w:left="288"/>
      </w:pPr>
      <w:r>
        <w:rPr>
          <w:color w:val="8C8C8C"/>
          <w:sz w:val="12"/>
        </w:rPr>
        <w:t>cf-art-5-inc-XXXII-ali-b</w:t>
      </w:r>
      <w:r>
        <w:rPr>
          <w:color w:val="003CA0"/>
          <w:sz w:val="12"/>
        </w:rPr>
        <w:t xml:space="preserve"> | ADI 2.139</w:t>
      </w:r>
      <w:r>
        <w:rPr>
          <w:color w:val="003CA0"/>
          <w:sz w:val="12"/>
        </w:rPr>
        <w:t xml:space="preserve"> | rel. Cármen Lúcia</w:t>
      </w:r>
    </w:p>
    <w:p>
      <w:pPr>
        <w:ind w:left="288"/>
      </w:pPr>
      <w:r>
        <w:rPr>
          <w:color w:val="1E1E1E"/>
          <w:sz w:val="18"/>
        </w:rPr>
        <w:t>O Supremo Tribunal Federal tem reconhecido, em obediência ao inc. XXXV do art. 5º da Constituição da República, a desnecessidade de prévio cumprimento de requisitos desproporcionais ou inviabilizadores da submissão de pleito ao Poder Judiciário. Contraria a Constituição interpretação do previsto no art. 625-D e parágrafos da Consolidação das Leis do Trabalho pelo qual se reconhecesse a submissão da pretensão à Comissão de Conciliação Prévia como requisito para ajuizamento de reclamação trabalhista. Interpretação conforme a Constituição da norma. Art. 625-D e parágrafos da Consolidação das Leis</w:t>
      </w:r>
    </w:p>
    <w:p>
      <w:pPr>
        <w:ind w:left="288"/>
      </w:pPr>
      <w:r>
        <w:rPr>
          <w:b/>
          <w:color w:val="003CA0"/>
          <w:sz w:val="16"/>
        </w:rPr>
        <w:t>[ADI 2.139 e ADI 2.160, rel. min. Cármen Lúcia, j. 1º-8-2018, P, DJE de 19-2-2019.]</w:t>
      </w:r>
    </w:p>
    <w:p>
      <w:pPr>
        <w:ind w:left="288"/>
      </w:pPr>
      <w:r>
        <w:rPr>
          <w:color w:val="8C8C8C"/>
          <w:sz w:val="12"/>
        </w:rPr>
        <w:t>cf-art-5-inc-XXXII-ali-b</w:t>
      </w:r>
      <w:r>
        <w:rPr>
          <w:color w:val="003CA0"/>
          <w:sz w:val="12"/>
        </w:rPr>
        <w:t xml:space="preserve"> | ADPF 165</w:t>
      </w:r>
      <w:r>
        <w:rPr>
          <w:color w:val="003CA0"/>
          <w:sz w:val="12"/>
        </w:rPr>
        <w:t xml:space="preserve"> | rel. Ricardo Lewandowski</w:t>
      </w:r>
    </w:p>
    <w:p>
      <w:pPr>
        <w:ind w:left="288"/>
      </w:pPr>
      <w:r>
        <w:rPr>
          <w:color w:val="1E1E1E"/>
          <w:sz w:val="18"/>
        </w:rPr>
        <w:t>Homologação de Instrumento de Acordo Coletivo que prevê o pagamento das diferenças relativas aos Planos Econômicos Bresser, Verão e Collor II, bem como a não ressarcibilidade de diferenças referentes ao Plano Collor I. (...) Decisão do Supremo Tribunal Federal que assume o caráter de marco histórico na configuração do processo coletivo brasileiro, como forma de ampliação do acesso à Justiça, diante da disseminação das lides repetitivas no cenário jurídico nacional atual e da possibilidade de solução por meio de processos coletivos.</w:t>
      </w:r>
    </w:p>
    <w:p>
      <w:pPr>
        <w:ind w:left="288"/>
      </w:pPr>
      <w:r>
        <w:rPr>
          <w:b/>
          <w:color w:val="003CA0"/>
          <w:sz w:val="16"/>
        </w:rPr>
        <w:t>[ADPF 165 Acordo, rel. min. Ricardo Lewandowski, j. 1º-3-2018, P, DJE de 1º-4-2020.]</w:t>
      </w:r>
    </w:p>
    <w:p>
      <w:pPr>
        <w:ind w:left="288"/>
      </w:pPr>
      <w:r>
        <w:rPr>
          <w:color w:val="8C8C8C"/>
          <w:sz w:val="12"/>
        </w:rPr>
        <w:t>cf-art-5-inc-XXXII-ali-b</w:t>
      </w:r>
      <w:r>
        <w:rPr>
          <w:color w:val="003CA0"/>
          <w:sz w:val="12"/>
        </w:rPr>
        <w:t xml:space="preserve"> | ADI 4.414</w:t>
      </w:r>
      <w:r>
        <w:rPr>
          <w:color w:val="003CA0"/>
          <w:sz w:val="12"/>
        </w:rPr>
        <w:t xml:space="preserve"> | rel. Luiz Fux</w:t>
      </w:r>
    </w:p>
    <w:p>
      <w:pPr>
        <w:ind w:left="288"/>
      </w:pPr>
      <w:r>
        <w:rPr>
          <w:color w:val="1E1E1E"/>
          <w:sz w:val="18"/>
        </w:rPr>
        <w:t>O juízo incompetente pode, salvante os casos de erro grosseiro e manifesta má-fé, em hipóteses de urgência e desde que haja dúvida razoável a respeito do órgão que deve processar a causa, determinar o relaxamento de prisão ilegal, remetendo o caso, em seguida, ao juiz natural, configurando hipótese de translatio iudicii inferida do art. 5º, LXV, da Carta Magna, o qual não exige a competência da autoridade judiciária responsável pelo relaxamento, sendo certo que a complexidade dos critérios de divisão da competência jurisdicional não podem obstaculizar o acesso à justiça (art. 5º, XXXV, da CRFB</w:t>
      </w:r>
    </w:p>
    <w:p>
      <w:pPr>
        <w:ind w:left="288"/>
      </w:pPr>
      <w:r>
        <w:rPr>
          <w:b/>
          <w:color w:val="003CA0"/>
          <w:sz w:val="16"/>
        </w:rPr>
        <w:t>[ADI 4.414, rel. min. Luiz Fux, j. 31-5-2012, P, DJE de 17-6-2013.]</w:t>
      </w:r>
    </w:p>
    <w:p>
      <w:pPr>
        <w:ind w:left="288"/>
      </w:pPr>
      <w:r>
        <w:rPr>
          <w:color w:val="8C8C8C"/>
          <w:sz w:val="12"/>
        </w:rPr>
        <w:t>cf-art-5-inc-XXXII-ali-b</w:t>
      </w:r>
      <w:r>
        <w:rPr>
          <w:color w:val="003CA0"/>
          <w:sz w:val="12"/>
        </w:rPr>
        <w:t xml:space="preserve"> | ADI 2.078</w:t>
      </w:r>
      <w:r>
        <w:rPr>
          <w:color w:val="003CA0"/>
          <w:sz w:val="12"/>
        </w:rPr>
        <w:t xml:space="preserve"> | rel. Gilmar Mendes</w:t>
      </w:r>
    </w:p>
    <w:p>
      <w:pPr>
        <w:ind w:left="288"/>
      </w:pPr>
      <w:r>
        <w:rPr>
          <w:color w:val="1E1E1E"/>
          <w:sz w:val="18"/>
        </w:rPr>
        <w:t>(...) as Leis estaduais 6.688/1998 e 6.682/1998: estipulam margens mínima e máxima das custas, dos emolumentos e da taxa judiciária e realizam uma disciplina progressiva das alíquotas – somente sendo devido o pagamento dos valores elevados para as causas que envolvam considerável vulto econômico. (...) verifico que não há, no presente caso, ofensa aos princípios do livre acesso ao Poder Judiciário, da vedação ao confisco, da proibição do bis in idem, da proporcionalidade e da razoabilidade.</w:t>
      </w:r>
    </w:p>
    <w:p>
      <w:pPr>
        <w:ind w:left="288"/>
      </w:pPr>
      <w:r>
        <w:rPr>
          <w:b/>
          <w:color w:val="003CA0"/>
          <w:sz w:val="16"/>
        </w:rPr>
        <w:t>[ADI 2.078, rel. min. Gilmar Mendes, j. 17-3-2011, P, DJE de 13-4-2011.]</w:t>
      </w:r>
    </w:p>
    <w:p>
      <w:pPr>
        <w:ind w:left="288"/>
      </w:pPr>
      <w:r>
        <w:rPr>
          <w:color w:val="8C8C8C"/>
          <w:sz w:val="12"/>
        </w:rPr>
        <w:t>cf-art-5-inc-XXXII-ali-b</w:t>
      </w:r>
      <w:r>
        <w:rPr>
          <w:color w:val="003CA0"/>
          <w:sz w:val="12"/>
        </w:rPr>
        <w:t xml:space="preserve"> | ADPF 172</w:t>
      </w:r>
      <w:r>
        <w:rPr>
          <w:color w:val="003CA0"/>
          <w:sz w:val="12"/>
        </w:rPr>
        <w:t xml:space="preserve"> | rel. Marco Aurélio</w:t>
      </w:r>
    </w:p>
    <w:p>
      <w:pPr>
        <w:ind w:left="288"/>
      </w:pPr>
      <w:r>
        <w:rPr>
          <w:color w:val="1E1E1E"/>
          <w:sz w:val="18"/>
        </w:rPr>
        <w:t>Poder de cautela. Judiciário. Além de resultar da cláusula de acesso para evitar lesão a direito – parte final do inciso XXXV do art. 5º da CF –, o poder de cautela, mediante o implemento de liminar, é ínsito ao Judiciário.</w:t>
      </w:r>
    </w:p>
    <w:p>
      <w:pPr>
        <w:ind w:left="288"/>
      </w:pPr>
      <w:r>
        <w:rPr>
          <w:b/>
          <w:color w:val="003CA0"/>
          <w:sz w:val="16"/>
        </w:rPr>
        <w:t>[ADPF 172 MC-REF, rel. min. Marco Aurélio, j. 10-6-2009, P, DJE de 21-8-2009.]</w:t>
      </w:r>
    </w:p>
    <w:p>
      <w:pPr>
        <w:ind w:left="288"/>
      </w:pPr>
      <w:r>
        <w:rPr>
          <w:color w:val="8C8C8C"/>
          <w:sz w:val="12"/>
        </w:rPr>
        <w:t>cf-art-5-inc-XXXII-ali-b</w:t>
      </w:r>
      <w:r>
        <w:rPr>
          <w:color w:val="003CA0"/>
          <w:sz w:val="12"/>
        </w:rPr>
        <w:t xml:space="preserve"> | ADC 4</w:t>
      </w:r>
    </w:p>
    <w:p>
      <w:pPr>
        <w:ind w:left="288"/>
      </w:pPr>
      <w:r>
        <w:rPr>
          <w:color w:val="1E1E1E"/>
          <w:sz w:val="18"/>
        </w:rPr>
        <w:t>Importância do controle jurisdicional da razoabilidade das leis restritivas do poder cautelar deferido aos juízes e tribunais. Inocorrência de qualquer ofensa, por parte da Lei 9.494/1997 (art. 1º), aos postulados da proporcionalidade e da razoabilidade. Legitimidade das restrições estabelecidas em referida norma legal e justificadas por razões de interesse público. Ausência de vulneração à plenitude da jurisdição e à cláusula de proteção judicial efetiva. Garantia de pleno acesso à jurisdição do Estado não comprometida pela cláusula restritiva inscrita no preceito legal disciplinador da tutel</w:t>
      </w:r>
    </w:p>
    <w:p>
      <w:pPr>
        <w:ind w:left="288"/>
      </w:pPr>
      <w:r>
        <w:rPr>
          <w:b/>
          <w:color w:val="003CA0"/>
          <w:sz w:val="16"/>
        </w:rPr>
        <w:t>[ADC 4, red. do ac. min. Celso de Mello, j. 1º-10-2008, P, DJE de 30-10-2014.]</w:t>
      </w:r>
    </w:p>
    <w:p>
      <w:pPr>
        <w:ind w:left="288"/>
      </w:pPr>
      <w:r>
        <w:rPr>
          <w:color w:val="8C8C8C"/>
          <w:sz w:val="12"/>
        </w:rPr>
        <w:t>cf-art-5-inc-XXXII-ali-b</w:t>
      </w:r>
      <w:r>
        <w:rPr>
          <w:color w:val="003CA0"/>
          <w:sz w:val="12"/>
        </w:rPr>
        <w:t xml:space="preserve"> | ADI 173</w:t>
      </w:r>
      <w:r>
        <w:rPr>
          <w:color w:val="003CA0"/>
          <w:sz w:val="12"/>
        </w:rPr>
        <w:t xml:space="preserve"> | rel. Joaquim Barbosa</w:t>
      </w:r>
    </w:p>
    <w:p>
      <w:pPr>
        <w:ind w:left="288"/>
      </w:pPr>
      <w:r>
        <w:rPr>
          <w:color w:val="1E1E1E"/>
          <w:sz w:val="18"/>
        </w:rPr>
        <w:t>Ações diretas de inconstitucionalidade ajuizadas contra os arts. 1º, I, II, III e IV, §§ 1º a 3º, e 2º da Lei 7.711/1988 (...). Esta Corte tem historicamente confirmado e garantido a proibição constitucional às sanções políticas, invocando, para tanto, o direito ao exercício de atividades econômicas e profissionais lícitas (...), a violação do devido processo legal substantivo (falta de proporcionalidade e razoabilidade de medidas gravosas que se predispõem a substituir os mecanismos de cobrança de créditos tributários) e a violação do devido processo legal manifestado no direito de acesso aos</w:t>
      </w:r>
    </w:p>
    <w:p>
      <w:pPr>
        <w:ind w:left="288"/>
      </w:pPr>
      <w:r>
        <w:rPr>
          <w:b/>
          <w:color w:val="003CA0"/>
          <w:sz w:val="16"/>
        </w:rPr>
        <w:t>[ADI 173 e ADI 394, rel. min. Joaquim Barbosa, j. 25-9-2008, P, DJE de 20-3-2009.]</w:t>
      </w:r>
    </w:p>
    <w:p>
      <w:pPr>
        <w:ind w:left="288"/>
      </w:pPr>
      <w:r>
        <w:rPr>
          <w:color w:val="8C8C8C"/>
          <w:sz w:val="12"/>
        </w:rPr>
        <w:t>cf-art-5-inc-XXXII-ali-b</w:t>
      </w:r>
      <w:r>
        <w:rPr>
          <w:color w:val="003CA0"/>
          <w:sz w:val="12"/>
        </w:rPr>
        <w:t xml:space="preserve"> | RE 565.048</w:t>
      </w:r>
      <w:r>
        <w:rPr>
          <w:color w:val="003CA0"/>
          <w:sz w:val="12"/>
        </w:rPr>
        <w:t xml:space="preserve"> | rel. Marco Aurélio</w:t>
      </w:r>
    </w:p>
    <w:p>
      <w:pPr>
        <w:ind w:left="288"/>
      </w:pPr>
      <w:r>
        <w:rPr>
          <w:color w:val="1E1E1E"/>
          <w:sz w:val="18"/>
        </w:rPr>
        <w:t>= RE 565.048, rel. min. Marco Aurélio, j. 29-5-2014, P, DJE de 9-10-2014, Tema 31 Art. 19, caput, da Lei federal 8.870/1994. Discussão judicial de débito para com o INSS. Depósito prévio do valor monetariamente corrigido e acrescido de multa e juros. Violação do disposto no art. 5º, XXXV e LV, da CF. O art. 19 da Lei 8.870/1994 impõe condição à propositura das ações cujo objeto seja a discussão de créditos tributários. Consubstancia barreira ao acesso ao Poder Judiciário. Ação direta de inconstitucionalidade julgada procedente.</w:t>
      </w:r>
    </w:p>
    <w:p>
      <w:pPr>
        <w:ind w:left="288"/>
      </w:pPr>
      <w:r>
        <w:rPr>
          <w:b/>
          <w:color w:val="003CA0"/>
          <w:sz w:val="16"/>
        </w:rPr>
        <w:t>[ADI 1.074, rel. min. Eros Grau, j. 28-3-2007, P, DJ de 25-5-2007.]</w:t>
      </w:r>
    </w:p>
    <w:p>
      <w:pPr>
        <w:ind w:left="288"/>
      </w:pPr>
      <w:r>
        <w:rPr>
          <w:color w:val="8C8C8C"/>
          <w:sz w:val="12"/>
        </w:rPr>
        <w:t>cf-art-5-inc-XXXII-ali-b</w:t>
      </w:r>
      <w:r>
        <w:rPr>
          <w:color w:val="003CA0"/>
          <w:sz w:val="12"/>
        </w:rPr>
        <w:t xml:space="preserve"> | ADI 1.772</w:t>
      </w:r>
      <w:r>
        <w:rPr>
          <w:color w:val="003CA0"/>
          <w:sz w:val="12"/>
        </w:rPr>
        <w:t xml:space="preserve"> | rel. Carlos Velloso</w:t>
      </w:r>
    </w:p>
    <w:p>
      <w:pPr>
        <w:ind w:left="288"/>
      </w:pPr>
      <w:r>
        <w:rPr>
          <w:color w:val="1E1E1E"/>
          <w:sz w:val="18"/>
        </w:rPr>
        <w:t>Taxa judiciária e custas (...). Necessidade da existência de limite que estabeleça a equivalência entre o valor da taxa e o custo real dos serviços, ou do proveito do contribuinte. Valores excessivos: possibilidade de inviabilização do acesso de muitos à Justiça, com ofensa ao princípio da inafastabilidade do controle judicial de lesão ou ameaça a direito.</w:t>
      </w:r>
    </w:p>
    <w:p>
      <w:pPr>
        <w:ind w:left="288"/>
      </w:pPr>
      <w:r>
        <w:rPr>
          <w:b/>
          <w:color w:val="003CA0"/>
          <w:sz w:val="16"/>
        </w:rPr>
        <w:t>[ADI 1.772 MC, rel. min. Carlos Velloso, j. 15-4-1998, P, DJ de 8-9-2000.]</w:t>
      </w:r>
    </w:p>
    <w:p>
      <w:pPr>
        <w:ind w:left="288"/>
      </w:pPr>
      <w:r>
        <w:rPr>
          <w:color w:val="8C8C8C"/>
          <w:sz w:val="12"/>
        </w:rPr>
        <w:t>cf-art-5-inc-XXXII-ali-b</w:t>
      </w:r>
      <w:r>
        <w:rPr>
          <w:color w:val="003CA0"/>
          <w:sz w:val="12"/>
        </w:rPr>
        <w:t xml:space="preserve"> | ADI 3.826</w:t>
      </w:r>
      <w:r>
        <w:rPr>
          <w:color w:val="003CA0"/>
          <w:sz w:val="12"/>
        </w:rPr>
        <w:t xml:space="preserve"> | rel. Eros Grau</w:t>
      </w:r>
    </w:p>
    <w:p>
      <w:pPr>
        <w:ind w:left="288"/>
      </w:pPr>
      <w:r>
        <w:rPr>
          <w:color w:val="1E1E1E"/>
          <w:sz w:val="18"/>
        </w:rPr>
        <w:t>= ADI 3.826, rel. min. Eros Grau, j. 12-5-2010, P, DJE de 20-8-2010 Vide AI 564.642 AgR, rel. min. Ricardo Lewandowski, j. 30-6-2009, 1ª T, DJE de 21-8-2009 O proibir-se, em certos casos, por interesse público, a antecipação provisória da satisfação do direito material lesado ou ameaçado não exclui, evidentemente, da apreciação do Poder Judiciário a lesão ou ameaça a direito, pois ela se obtém normalmente na satisfação definitiva que é proporcionada pela ação principal, que, esta sim, não pode ser privada para privar-se o lesado ou ameaçado de socorrer-se do Poder Judiciário.</w:t>
      </w:r>
    </w:p>
    <w:p>
      <w:pPr>
        <w:ind w:left="288"/>
      </w:pPr>
      <w:r>
        <w:rPr>
          <w:b/>
          <w:color w:val="003CA0"/>
          <w:sz w:val="16"/>
        </w:rPr>
        <w:t>[ADI 223 MC, rel. min. Paulo Brossard, red. do ac. min. Sepúlveda Pertence, voto do min. Moreira Alves, j. 5-4-1990, P, DJ de 29-6-1990.]</w:t>
      </w:r>
    </w:p>
    <w:p>
      <w:pPr>
        <w:ind w:left="288"/>
      </w:pPr>
      <w:r>
        <w:rPr>
          <w:color w:val="8C8C8C"/>
          <w:sz w:val="12"/>
        </w:rPr>
        <w:t>cf-art-5-inc-XXXII-ali-b</w:t>
      </w:r>
      <w:r>
        <w:rPr>
          <w:color w:val="003CA0"/>
          <w:sz w:val="12"/>
        </w:rPr>
        <w:t xml:space="preserve"> | RE 1.525.407</w:t>
      </w:r>
      <w:r>
        <w:rPr>
          <w:color w:val="003CA0"/>
          <w:sz w:val="12"/>
        </w:rPr>
        <w:t xml:space="preserve"> | rel. Luís Roberto Barroso</w:t>
      </w:r>
    </w:p>
    <w:p>
      <w:pPr>
        <w:ind w:left="288"/>
      </w:pPr>
      <w:r>
        <w:rPr>
          <w:color w:val="1E1E1E"/>
          <w:sz w:val="18"/>
        </w:rPr>
        <w:t>“O ajuizamento de ação para o reconhecimento de isenção de imposto de renda por doença grave e para a repetição do indébito tributário não exige prévio requerimento administrativo”.</w:t>
      </w:r>
    </w:p>
    <w:p>
      <w:pPr>
        <w:ind w:left="288"/>
      </w:pPr>
      <w:r>
        <w:rPr>
          <w:b/>
          <w:color w:val="003CA0"/>
          <w:sz w:val="16"/>
        </w:rPr>
        <w:t>[RE 1.525.407 RG, rel. min. Luís Roberto Barroso, j. 21.2.2025, P, DJE de 5.3.2025, Tema 1.373, com mérito julgado.]</w:t>
      </w:r>
    </w:p>
    <w:p>
      <w:pPr>
        <w:ind w:left="288"/>
      </w:pPr>
      <w:r>
        <w:rPr>
          <w:color w:val="8C8C8C"/>
          <w:sz w:val="12"/>
        </w:rPr>
        <w:t>cf-art-5-inc-XXXII-ali-b</w:t>
      </w:r>
      <w:r>
        <w:rPr>
          <w:color w:val="003CA0"/>
          <w:sz w:val="12"/>
        </w:rPr>
        <w:t xml:space="preserve"> | ARE 1.327.576</w:t>
      </w:r>
      <w:r>
        <w:rPr>
          <w:color w:val="003CA0"/>
          <w:sz w:val="12"/>
        </w:rPr>
        <w:t xml:space="preserve"> | rel. Dias Toffoli</w:t>
      </w:r>
    </w:p>
    <w:p>
      <w:pPr>
        <w:ind w:left="288"/>
      </w:pPr>
      <w:r>
        <w:rPr>
          <w:color w:val="1E1E1E"/>
          <w:sz w:val="18"/>
        </w:rPr>
        <w:t>“A aplicação do art. 46, § 5º, do CPC deve ficar restrita aos limites do território de cada ente subnacional ou ao local de ocorrência do fato gerador”.</w:t>
      </w:r>
    </w:p>
    <w:p>
      <w:pPr>
        <w:ind w:left="288"/>
      </w:pPr>
      <w:r>
        <w:rPr>
          <w:b/>
          <w:color w:val="003CA0"/>
          <w:sz w:val="16"/>
        </w:rPr>
        <w:t>[ARE 1.327.576, rel. min. Dias Toffoli, j. 07.08.2024, P, DJE de 20.08.2024,Tema 1.204, com mérito julgado.]</w:t>
      </w:r>
    </w:p>
    <w:p>
      <w:pPr>
        <w:ind w:left="288"/>
      </w:pPr>
      <w:r>
        <w:rPr>
          <w:color w:val="8C8C8C"/>
          <w:sz w:val="12"/>
        </w:rPr>
        <w:t>cf-art-5-inc-XXXII-ali-b</w:t>
      </w:r>
      <w:r>
        <w:rPr>
          <w:color w:val="003CA0"/>
          <w:sz w:val="12"/>
        </w:rPr>
        <w:t xml:space="preserve"> | RE 1.382.897</w:t>
      </w:r>
      <w:r>
        <w:rPr>
          <w:color w:val="003CA0"/>
          <w:sz w:val="12"/>
        </w:rPr>
        <w:t xml:space="preserve"> | rel. Luiz Fux</w:t>
      </w:r>
    </w:p>
    <w:p>
      <w:pPr>
        <w:ind w:left="288"/>
      </w:pPr>
      <w:r>
        <w:rPr>
          <w:color w:val="1E1E1E"/>
          <w:sz w:val="18"/>
        </w:rPr>
        <w:t>É infraconstitucional, a ela se aplicando os efeitos da ausência de repercussão geral, a controvérsia relativa à definição do termo inicial do auxílio-acidente decorrente da cessação do auxílio-doença, na forma dos artigos 23 e 86, § 2º, 8.213/1991.</w:t>
      </w:r>
    </w:p>
    <w:p>
      <w:pPr>
        <w:ind w:left="288"/>
      </w:pPr>
      <w:r>
        <w:rPr>
          <w:b/>
          <w:color w:val="003CA0"/>
          <w:sz w:val="16"/>
        </w:rPr>
        <w:t>[RE 1.382.897 RG, rel. min. Luiz Fux, j. 12-8-2022, P, DJE de 17-8-2022, Tema 1.225, com repercussão geral negada.]</w:t>
      </w:r>
    </w:p>
    <w:p>
      <w:pPr>
        <w:ind w:left="288"/>
      </w:pPr>
      <w:r>
        <w:rPr>
          <w:color w:val="8C8C8C"/>
          <w:sz w:val="12"/>
        </w:rPr>
        <w:t>cf-art-5-inc-XXXII-ali-b</w:t>
      </w:r>
      <w:r>
        <w:rPr>
          <w:color w:val="003CA0"/>
          <w:sz w:val="12"/>
        </w:rPr>
        <w:t xml:space="preserve"> | ARE 1.320.407</w:t>
      </w:r>
      <w:r>
        <w:rPr>
          <w:color w:val="003CA0"/>
          <w:sz w:val="12"/>
        </w:rPr>
        <w:t xml:space="preserve"> | rel. Luiz Fux</w:t>
      </w:r>
    </w:p>
    <w:p>
      <w:pPr>
        <w:ind w:left="288"/>
      </w:pPr>
      <w:r>
        <w:rPr>
          <w:color w:val="1E1E1E"/>
          <w:sz w:val="18"/>
        </w:rPr>
        <w:t>É infraconstitucional, a ela se aplicando os efeitos da ausência de repercussão geral, a controvérsia relativa à ofensa ao princípio da inafastabilidade de jurisdição quando a instância ordinária, com base na legislação aplicável e no conjunto fático-probatório constante dos autos, julgar, ainda que antecipadamente, o mérito da causa, por decisão fundamentada e garantidos os meios recursais cabíveis.</w:t>
      </w:r>
    </w:p>
    <w:p>
      <w:pPr>
        <w:ind w:left="288"/>
      </w:pPr>
      <w:r>
        <w:rPr>
          <w:b/>
          <w:color w:val="003CA0"/>
          <w:sz w:val="16"/>
        </w:rPr>
        <w:t>[ARE 1.320.407 RG, rel. min. Luiz Fux, j. 24-5-2021, P, DJE de 10-6-2021, Tema 1.146, com repercussão geral negada.]</w:t>
      </w:r>
    </w:p>
    <w:p>
      <w:pPr>
        <w:ind w:left="288"/>
      </w:pPr>
      <w:r>
        <w:rPr>
          <w:color w:val="8C8C8C"/>
          <w:sz w:val="12"/>
        </w:rPr>
        <w:t>cf-art-5-inc-XXXII-ali-b</w:t>
      </w:r>
      <w:r>
        <w:rPr>
          <w:color w:val="003CA0"/>
          <w:sz w:val="12"/>
        </w:rPr>
        <w:t xml:space="preserve"> | RE 627.106</w:t>
      </w:r>
      <w:r>
        <w:rPr>
          <w:color w:val="003CA0"/>
          <w:sz w:val="12"/>
        </w:rPr>
        <w:t xml:space="preserve"> | rel. Dias Toffoli</w:t>
      </w:r>
    </w:p>
    <w:p>
      <w:pPr>
        <w:ind w:left="288"/>
      </w:pPr>
      <w:r>
        <w:rPr>
          <w:color w:val="1E1E1E"/>
          <w:sz w:val="18"/>
        </w:rPr>
        <w:t>É constitucional, pois foi devidamente recepcionado pela Constituição Federal de 1988, o procedimento de execução extrajudicial previsto no Decreto-lei nº 70/66.</w:t>
      </w:r>
    </w:p>
    <w:p>
      <w:pPr>
        <w:ind w:left="288"/>
      </w:pPr>
      <w:r>
        <w:rPr>
          <w:b/>
          <w:color w:val="003CA0"/>
          <w:sz w:val="16"/>
        </w:rPr>
        <w:t>[RE 627.106, rel. min. Dias Toffoli, j. 7-4-2021, P, DJE de 14-6-2021. Tema 249, com mérito julgado.]</w:t>
      </w:r>
    </w:p>
    <w:p>
      <w:pPr>
        <w:ind w:left="288"/>
      </w:pPr>
      <w:r>
        <w:rPr>
          <w:color w:val="8C8C8C"/>
          <w:sz w:val="12"/>
        </w:rPr>
        <w:t>cf-art-5-inc-XXXII-ali-b</w:t>
      </w:r>
      <w:r>
        <w:rPr>
          <w:color w:val="003CA0"/>
          <w:sz w:val="12"/>
        </w:rPr>
        <w:t xml:space="preserve"> | RE 1.101.937</w:t>
      </w:r>
      <w:r>
        <w:rPr>
          <w:color w:val="003CA0"/>
          <w:sz w:val="12"/>
        </w:rPr>
        <w:t xml:space="preserve"> | rel. Alexandre de Moraes</w:t>
      </w:r>
    </w:p>
    <w:p>
      <w:pPr>
        <w:ind w:left="288"/>
      </w:pPr>
      <w:r>
        <w:rPr>
          <w:color w:val="1E1E1E"/>
          <w:sz w:val="18"/>
        </w:rPr>
        <w:t>I - É inconstitucional a redação do art. 16 da Lei 7.347/1985, alterada pela Lei 9.494/1997, sendo repristinada sua redação original. II - Em se tratando de ação civil pública de efeitos nacionais ou regionais, a competência deve observar o art. 93, II, da Lei 8.078/1990 (Código de Defesa do Consumidor). III - Ajuizadas múltiplas ações civis públicas de âmbito nacional ou regional e fixada a competência nos termos do item II, firma-se a prevenção do juízo que primeiro conheceu de uma delas, para o julgamento de todas as demandas conexas.</w:t>
      </w:r>
    </w:p>
    <w:p>
      <w:pPr>
        <w:ind w:left="288"/>
      </w:pPr>
      <w:r>
        <w:rPr>
          <w:b/>
          <w:color w:val="003CA0"/>
          <w:sz w:val="16"/>
        </w:rPr>
        <w:t>[RE 1.101.937, rel. min. Alexandre de Moraes, j. 4-3-2021, P. DJE de 14-6-2021. Tema 1.075, com mérito julgado.]</w:t>
      </w:r>
    </w:p>
    <w:p>
      <w:pPr>
        <w:ind w:left="288"/>
      </w:pPr>
      <w:r>
        <w:rPr>
          <w:color w:val="8C8C8C"/>
          <w:sz w:val="12"/>
        </w:rPr>
        <w:t>cf-art-5-inc-XXXII-ali-b</w:t>
      </w:r>
      <w:r>
        <w:rPr>
          <w:color w:val="003CA0"/>
          <w:sz w:val="12"/>
        </w:rPr>
        <w:t xml:space="preserve"> | RE 640.905</w:t>
      </w:r>
      <w:r>
        <w:rPr>
          <w:color w:val="003CA0"/>
          <w:sz w:val="12"/>
        </w:rPr>
        <w:t xml:space="preserve"> | rel. Luiz Fux</w:t>
      </w:r>
    </w:p>
    <w:p>
      <w:pPr>
        <w:ind w:left="288"/>
      </w:pPr>
      <w:r>
        <w:rPr>
          <w:color w:val="1E1E1E"/>
          <w:sz w:val="18"/>
        </w:rPr>
        <w:t>Não viola o princípio da isonomia e o livre acesso à jurisdição a restrição de ingresso no parcelamento de dívida relativa à Contribuição para Financiamento da Seguridade Social – COFINS, instituída pela Portaria 655/1993, dos contribuintes que questionaram o tributo em juízo com depósito judicial dos débitos tributários.</w:t>
      </w:r>
    </w:p>
    <w:p>
      <w:pPr>
        <w:ind w:left="288"/>
      </w:pPr>
      <w:r>
        <w:rPr>
          <w:b/>
          <w:color w:val="003CA0"/>
          <w:sz w:val="16"/>
        </w:rPr>
        <w:t>[RE 640.905, rel. min. Luiz Fux, j. 15-12-2016, P, DJE de 1º-2-2018. Tema 573, com mérito julgado.]</w:t>
      </w:r>
    </w:p>
    <w:p>
      <w:pPr>
        <w:ind w:left="288"/>
      </w:pPr>
      <w:r>
        <w:rPr>
          <w:color w:val="8C8C8C"/>
          <w:sz w:val="12"/>
        </w:rPr>
        <w:t>cf-art-5-inc-XXXII-ali-b</w:t>
      </w:r>
      <w:r>
        <w:rPr>
          <w:color w:val="003CA0"/>
          <w:sz w:val="12"/>
        </w:rPr>
        <w:t xml:space="preserve"> | RE 631.240</w:t>
      </w:r>
      <w:r>
        <w:rPr>
          <w:color w:val="003CA0"/>
          <w:sz w:val="12"/>
        </w:rPr>
        <w:t xml:space="preserve"> | rel. Roberto Barroso</w:t>
      </w:r>
    </w:p>
    <w:p>
      <w:pPr>
        <w:ind w:left="288"/>
      </w:pPr>
      <w:r>
        <w:rPr>
          <w:color w:val="1E1E1E"/>
          <w:sz w:val="18"/>
        </w:rPr>
        <w:t>A concessão de benefícios previdenciários depende de requerimento do interessado, não se caracterizando ameaça ou lesão a direito antes de sua apreciação e indeferimento pelo INSS, ou se excedido o prazo legal para sua análise. É bem de ver, no entanto, que a exigência de prévio requerimento não se confunde com o exaurimento das vias administrativas. A exigência de prévio requerimento administrativo não deve prevalecer quando o entendimento da administração for notória e reiteradamente contrário à postulação do segurado. Na hipótese de pretensão de revisão, restabelecimento ou manutenção de be</w:t>
      </w:r>
    </w:p>
    <w:p>
      <w:pPr>
        <w:ind w:left="288"/>
      </w:pPr>
      <w:r>
        <w:rPr>
          <w:b/>
          <w:color w:val="003CA0"/>
          <w:sz w:val="16"/>
        </w:rPr>
        <w:t>[RE 631.240, rel. min. Roberto Barroso, j. 3-9-2014, P, DJE de 10-11-2014. Tema 350, com mérito julgado.]</w:t>
      </w:r>
    </w:p>
    <w:p>
      <w:pPr>
        <w:ind w:left="288"/>
      </w:pPr>
      <w:r>
        <w:rPr>
          <w:color w:val="8C8C8C"/>
          <w:sz w:val="12"/>
        </w:rPr>
        <w:t>cf-art-5-inc-XXXII-ali-b</w:t>
      </w:r>
      <w:r>
        <w:rPr>
          <w:color w:val="003CA0"/>
          <w:sz w:val="12"/>
        </w:rPr>
        <w:t xml:space="preserve"> | RE 565.048</w:t>
      </w:r>
      <w:r>
        <w:rPr>
          <w:color w:val="003CA0"/>
          <w:sz w:val="12"/>
        </w:rPr>
        <w:t xml:space="preserve"> | rel. Marco Aurélio</w:t>
      </w:r>
    </w:p>
    <w:p>
      <w:pPr>
        <w:ind w:left="288"/>
      </w:pPr>
      <w:r>
        <w:rPr>
          <w:color w:val="1E1E1E"/>
          <w:sz w:val="18"/>
        </w:rPr>
        <w:t>Discrepa, a mais não poder, da Carta Federal a sanção política objetivando a cobrança de tributos – Verbetes 70, 323 e 547 da Súmula do Supremo. (...) Consubstancia sanção política visando ao recolhimento de tributo condicionar a expedição de notas fiscais a fiança, garantia real ou fidejussória por parte do contribuinte.</w:t>
      </w:r>
    </w:p>
    <w:p>
      <w:pPr>
        <w:ind w:left="288"/>
      </w:pPr>
      <w:r>
        <w:rPr>
          <w:b/>
          <w:color w:val="003CA0"/>
          <w:sz w:val="16"/>
        </w:rPr>
        <w:t>[RE 565.048, rel. min. Marco Aurélio, j. 29-5-2014, P, DJE de 9-10-2014. Tema 31, com mérito julgado.]</w:t>
      </w:r>
    </w:p>
    <w:p>
      <w:pPr>
        <w:ind w:left="288"/>
      </w:pPr>
      <w:r>
        <w:rPr>
          <w:color w:val="8C8C8C"/>
          <w:sz w:val="12"/>
        </w:rPr>
        <w:t>cf-art-5-inc-XXXII-ali-b</w:t>
      </w:r>
      <w:r>
        <w:rPr>
          <w:color w:val="003CA0"/>
          <w:sz w:val="12"/>
        </w:rPr>
        <w:t xml:space="preserve"> | ADI 173</w:t>
      </w:r>
      <w:r>
        <w:rPr>
          <w:color w:val="003CA0"/>
          <w:sz w:val="12"/>
        </w:rPr>
        <w:t xml:space="preserve"> | rel. Joaquim Barbosa</w:t>
      </w:r>
    </w:p>
    <w:p>
      <w:pPr>
        <w:ind w:left="288"/>
      </w:pPr>
      <w:r>
        <w:rPr>
          <w:color w:val="1E1E1E"/>
          <w:sz w:val="18"/>
        </w:rPr>
        <w:t>= ADI 173 e ADI 394, rel. min. Joaquim Barbosa, j. 25-9-2008, P, DJE de 20-3-2009 O rito dos juizados especiais é talhado para ampliar o acesso à Justiça (art. 5º, XXXV, da CRFB) mediante redução das formalidades e aceleração da marcha processual, não sendo outra a exegese do art. 98, I, da Carta Magna, que determina sejam adotados nos aludidos juizados "os procedimentos oral e sumariíssimo", devendo, portanto, ser apreciadas cum grano salis as interpretações que pugnem pela aplicação "subsidiária" de normas alheias ao microssistema dos juizados especiais que importem delongas ou incremento de</w:t>
      </w:r>
    </w:p>
    <w:p>
      <w:pPr>
        <w:ind w:left="288"/>
      </w:pPr>
      <w:r>
        <w:rPr>
          <w:b/>
          <w:color w:val="003CA0"/>
          <w:sz w:val="16"/>
        </w:rPr>
        <w:t>[ARE 648.629, rel. min. Luiz Fux, j. 24-4-2013, P, DJE de 8-4-2014. Tema 549, com mérito julgado.]</w:t>
      </w:r>
    </w:p>
    <w:p>
      <w:pPr>
        <w:ind w:left="288"/>
      </w:pPr>
      <w:r>
        <w:rPr>
          <w:color w:val="8C8C8C"/>
          <w:sz w:val="12"/>
        </w:rPr>
        <w:t>cf-art-5-inc-XXXII-ali-b</w:t>
      </w:r>
      <w:r>
        <w:rPr>
          <w:color w:val="003CA0"/>
          <w:sz w:val="12"/>
        </w:rPr>
        <w:t xml:space="preserve"> | RE 566.621</w:t>
      </w:r>
      <w:r>
        <w:rPr>
          <w:color w:val="003CA0"/>
          <w:sz w:val="12"/>
        </w:rPr>
        <w:t xml:space="preserve"> | rel. Ellen Gracie</w:t>
      </w:r>
    </w:p>
    <w:p>
      <w:pPr>
        <w:ind w:left="288"/>
      </w:pPr>
      <w:r>
        <w:rPr>
          <w:color w:val="1E1E1E"/>
          <w:sz w:val="18"/>
        </w:rPr>
        <w:t xml:space="preserve">Quando do advento da LC 118/2005, estava consolidada a orientação da Primeira Seção do STJ no sentido de que, para os tributos sujeitos a lançamento por homologação, o prazo para repetição ou compensação de indébito era de 10 anos contados do seu fato gerador, tendo em conta a aplicação combinada dos arts. 150, § 4º; 156, VII; e 168, I, do CTN. A LC 118/2005, embora tenha se autoproclamado interpretativa, implicou inovação normativa, tendo reduzido o prazo de 10 anos contados do fato gerador para 5 anos contados do pagamento indevido. (...) A aplicação retroativa de novo e reduzido prazo para </w:t>
      </w:r>
    </w:p>
    <w:p>
      <w:pPr>
        <w:ind w:left="288"/>
      </w:pPr>
      <w:r>
        <w:rPr>
          <w:b/>
          <w:color w:val="003CA0"/>
          <w:sz w:val="16"/>
        </w:rPr>
        <w:t>[RE 566.621, rel. min. Ellen Gracie, j. 4-8-2011, P, DJE de 11-10-2011. Tema 4, com mérito julgado.]</w:t>
      </w:r>
    </w:p>
    <w:p>
      <w:pPr>
        <w:ind w:left="288"/>
      </w:pPr>
      <w:r>
        <w:rPr>
          <w:color w:val="8C8C8C"/>
          <w:sz w:val="12"/>
        </w:rPr>
        <w:t>cf-art-5-inc-XXXII-ali-b</w:t>
      </w:r>
      <w:r>
        <w:rPr>
          <w:color w:val="003CA0"/>
          <w:sz w:val="12"/>
        </w:rPr>
        <w:t xml:space="preserve"> | ARE 637.975</w:t>
      </w:r>
      <w:r>
        <w:rPr>
          <w:color w:val="003CA0"/>
          <w:sz w:val="12"/>
        </w:rPr>
        <w:t xml:space="preserve"> | rel. Cezar Peluso</w:t>
      </w:r>
    </w:p>
    <w:p>
      <w:pPr>
        <w:ind w:left="288"/>
      </w:pPr>
      <w:r>
        <w:rPr>
          <w:color w:val="1E1E1E"/>
          <w:sz w:val="18"/>
        </w:rPr>
        <w:t>É compatível com a Constituição norma que afirma incabível apelação em casos de execução fiscal cujo valor seja inferior a cinquenta ORTN [Obrigações Reajustáveis do Tesouro Nacional].</w:t>
      </w:r>
    </w:p>
    <w:p>
      <w:pPr>
        <w:ind w:left="288"/>
      </w:pPr>
      <w:r>
        <w:rPr>
          <w:b/>
          <w:color w:val="003CA0"/>
          <w:sz w:val="16"/>
        </w:rPr>
        <w:t>[ARE 637.975 RG, rel. min. Cezar Peluso, j. 9-6-2011, P, DJE de 1º-9-2011. Tema 408, com mérito julgado.]</w:t>
      </w:r>
    </w:p>
    <w:p>
      <w:pPr>
        <w:ind w:left="288"/>
      </w:pPr>
      <w:r>
        <w:rPr>
          <w:color w:val="8C8C8C"/>
          <w:sz w:val="12"/>
        </w:rPr>
        <w:t>cf-art-5-inc-XXXII-ali-b</w:t>
      </w:r>
      <w:r>
        <w:rPr>
          <w:color w:val="003CA0"/>
          <w:sz w:val="12"/>
        </w:rPr>
        <w:t xml:space="preserve"> | RE 591.033</w:t>
      </w:r>
      <w:r>
        <w:rPr>
          <w:color w:val="003CA0"/>
          <w:sz w:val="12"/>
        </w:rPr>
        <w:t xml:space="preserve"> | rel. Ellen Gracie</w:t>
      </w:r>
    </w:p>
    <w:p>
      <w:pPr>
        <w:ind w:left="288"/>
      </w:pPr>
      <w:r>
        <w:rPr>
          <w:color w:val="1E1E1E"/>
          <w:sz w:val="18"/>
        </w:rPr>
        <w:t xml:space="preserve">A Lei 4.468/1984 do Estado de São Paulo – que autoriza a não inscrição em dívida ativa e o não ajuizamento de débitos de pequeno valor – não pode ser aplicada a Município, não servindo de fundamento para a extinção das execuções fiscais que promova, sob pena de violação à sua competência tributária. Não é dado aos entes políticos valerem-se de sanções políticas contra os contribuintes inadimplentes, cabendo-lhes, isso, sim, proceder ao lançamento, inscrição e cobrança judicial de seus créditos, de modo que o interesse processual para o ajuizamento de execução está presente. Negar ao Município </w:t>
      </w:r>
    </w:p>
    <w:p>
      <w:pPr>
        <w:ind w:left="288"/>
      </w:pPr>
      <w:r>
        <w:rPr>
          <w:b/>
          <w:color w:val="003CA0"/>
          <w:sz w:val="16"/>
        </w:rPr>
        <w:t>[RE 591.033, rel. min. Ellen Gracie, j. 17-11-2010, P, DJE de 25-2-2011. Tema 109, com mérito julgado.]</w:t>
      </w:r>
    </w:p>
    <w:p>
      <w:pPr>
        <w:ind w:left="288"/>
      </w:pPr>
      <w:r>
        <w:rPr>
          <w:color w:val="8C8C8C"/>
          <w:sz w:val="12"/>
        </w:rPr>
        <w:t>cf-art-5-inc-XXXII-ali-b</w:t>
      </w:r>
      <w:r>
        <w:rPr>
          <w:color w:val="003CA0"/>
          <w:sz w:val="12"/>
        </w:rPr>
        <w:t xml:space="preserve"> | RE 612.359</w:t>
      </w:r>
      <w:r>
        <w:rPr>
          <w:color w:val="003CA0"/>
          <w:sz w:val="12"/>
        </w:rPr>
        <w:t xml:space="preserve"> | rel. Ellen Gracie</w:t>
      </w:r>
    </w:p>
    <w:p>
      <w:pPr>
        <w:ind w:left="288"/>
      </w:pPr>
      <w:r>
        <w:rPr>
          <w:color w:val="1E1E1E"/>
          <w:sz w:val="18"/>
        </w:rPr>
        <w:t>Cabimento do agravo interno no âmbito dos juizados especiais. Constitucionalidade do julgamento monocrático do recurso desde que haja possibilidade de revisão pelo órgão colegiado.</w:t>
      </w:r>
    </w:p>
    <w:p>
      <w:pPr>
        <w:ind w:left="288"/>
      </w:pPr>
      <w:r>
        <w:rPr>
          <w:b/>
          <w:color w:val="003CA0"/>
          <w:sz w:val="16"/>
        </w:rPr>
        <w:t>[RE 612.359 RG, rel. min. Ellen Gracie, j. 13-8-2010, P, DJE de 27-8-2010. Tema 294, com mérito julgado.]</w:t>
      </w:r>
    </w:p>
    <w:p>
      <w:pPr>
        <w:ind w:left="288"/>
      </w:pPr>
      <w:r>
        <w:rPr>
          <w:color w:val="8C8C8C"/>
          <w:sz w:val="12"/>
        </w:rPr>
        <w:t>cf-art-5-inc-XXXII-ali-b</w:t>
      </w:r>
      <w:r>
        <w:rPr>
          <w:color w:val="003CA0"/>
          <w:sz w:val="12"/>
        </w:rPr>
        <w:t xml:space="preserve"> | RE 860.631</w:t>
      </w:r>
      <w:r>
        <w:rPr>
          <w:color w:val="003CA0"/>
          <w:sz w:val="12"/>
        </w:rPr>
        <w:t xml:space="preserve"> | rel. Luiz Fux</w:t>
      </w:r>
    </w:p>
    <w:p>
      <w:pPr>
        <w:ind w:left="288"/>
      </w:pPr>
      <w:r>
        <w:rPr>
          <w:color w:val="1E1E1E"/>
          <w:sz w:val="18"/>
        </w:rPr>
        <w:t>A execução extrajudicial nos contratos de mútuo com alienação fiduciária de imóvel, prevista na Lei 9.514/1997, é compatível com as garantias constitucionais, destacando-se inexistir afronta ao princípio da inafastabilidade da jurisdição e do acesso à justiça (art. 5º, inciso XXXV, da CF/88) e do juiz natural (art. 5º, LIII, CF/88), posto que se assegura às partes, a qualquer momento, a possibilidade de controle de legalidade do procedimento executório na via judicial. Inexiste, igualmente, violação aos princípios do devido processo legal, do contraditório e da ampla defesa (art. 5º, LIV e LV,</w:t>
      </w:r>
    </w:p>
    <w:p>
      <w:pPr>
        <w:ind w:left="288"/>
      </w:pPr>
      <w:r>
        <w:rPr>
          <w:b/>
          <w:color w:val="003CA0"/>
          <w:sz w:val="16"/>
        </w:rPr>
        <w:t>[RE 860.631, rel. min. Luiz Fux, j. 26-10-2023, P, DJE de 14-2-2024, Tema 982, com mérito julgado.]</w:t>
      </w:r>
    </w:p>
    <w:p>
      <w:pPr>
        <w:ind w:left="288"/>
      </w:pPr>
      <w:r>
        <w:rPr>
          <w:color w:val="8C8C8C"/>
          <w:sz w:val="12"/>
        </w:rPr>
        <w:t>cf-art-5-inc-XXXII-ali-b</w:t>
      </w:r>
      <w:r>
        <w:rPr>
          <w:color w:val="003CA0"/>
          <w:sz w:val="12"/>
        </w:rPr>
        <w:t xml:space="preserve"> | PET 7.444</w:t>
      </w:r>
      <w:r>
        <w:rPr>
          <w:color w:val="003CA0"/>
          <w:sz w:val="12"/>
        </w:rPr>
        <w:t xml:space="preserve"> | rel. Edson Fachin</w:t>
      </w:r>
    </w:p>
    <w:p>
      <w:pPr>
        <w:ind w:left="288"/>
      </w:pPr>
      <w:r>
        <w:rPr>
          <w:color w:val="1E1E1E"/>
          <w:sz w:val="18"/>
        </w:rPr>
        <w:t>A possibilidade de a União adotar, nos contratos de refinanciamento de dívidas celebrados com os Estados e o Distrito Federal com base na Lei 9.496, de 11 de setembro de 1997, o prazo adicional de até duzentos e quarenta meses para o pagamento das dívidas refinanciadas, prevista pela Lei Complementar 156, de 2016, constitui legítimo mecanismo de autocomposição. Não ofende o princípio da inafastabilidade da jurisdição norma legal que condiciona a elaboração do termo aditivo à renúncia expressa e irrevogável ao direito em que se fundam ações judiciais cujo objeto é dívida ou contrato celebrado c</w:t>
      </w:r>
    </w:p>
    <w:p>
      <w:pPr>
        <w:ind w:left="288"/>
      </w:pPr>
      <w:r>
        <w:rPr>
          <w:b/>
          <w:color w:val="003CA0"/>
          <w:sz w:val="16"/>
        </w:rPr>
        <w:t>[Pet 7.444, rel. min. Edson Fachin, j. 21-12-2020, P, DJE de 4-3-2021.]</w:t>
      </w:r>
    </w:p>
    <w:p>
      <w:pPr>
        <w:ind w:left="288"/>
      </w:pPr>
      <w:r>
        <w:rPr>
          <w:color w:val="8C8C8C"/>
          <w:sz w:val="12"/>
        </w:rPr>
        <w:t>cf-art-5-inc-XXXII-ali-b</w:t>
      </w:r>
      <w:r>
        <w:rPr>
          <w:color w:val="003CA0"/>
          <w:sz w:val="12"/>
        </w:rPr>
        <w:t xml:space="preserve"> | RE 384.866</w:t>
      </w:r>
      <w:r>
        <w:rPr>
          <w:color w:val="003CA0"/>
          <w:sz w:val="12"/>
        </w:rPr>
        <w:t xml:space="preserve"> | rel. Marco Aurélio</w:t>
      </w:r>
    </w:p>
    <w:p>
      <w:pPr>
        <w:ind w:left="288"/>
      </w:pPr>
      <w:r>
        <w:rPr>
          <w:color w:val="1E1E1E"/>
          <w:sz w:val="18"/>
        </w:rPr>
        <w:t>A garantia constitucional relativa ao acesso ao Judiciário – inciso XXXV do art. 5º da Carta de 1988 – é conducente a assentar-se, vencedora a parte, o direito aos honorários advocatícios. (...) A exclusão dos honorários advocatícios prevista no art. 29-C da Lei 8.036/1990 surge conflitante com a CF, com o princípio segundo o qual o cidadão compelido a ingressar em juízo, se vencedor, não deve sofrer diminuição patrimonial.</w:t>
      </w:r>
    </w:p>
    <w:p>
      <w:pPr>
        <w:ind w:left="288"/>
      </w:pPr>
      <w:r>
        <w:rPr>
          <w:b/>
          <w:color w:val="003CA0"/>
          <w:sz w:val="16"/>
        </w:rPr>
        <w:t>[RE 384.866, rel. min. Marco Aurélio, j. 29-6-2012, P, DJE de 23-8-2012.]</w:t>
      </w:r>
    </w:p>
    <w:p>
      <w:pPr>
        <w:ind w:left="288"/>
      </w:pPr>
      <w:r>
        <w:rPr>
          <w:color w:val="8C8C8C"/>
          <w:sz w:val="12"/>
        </w:rPr>
        <w:t>cf-art-5-inc-XXXII-ali-b</w:t>
      </w:r>
      <w:r>
        <w:rPr>
          <w:color w:val="003CA0"/>
          <w:sz w:val="12"/>
        </w:rPr>
        <w:t xml:space="preserve"> | RE 353.514</w:t>
      </w:r>
      <w:r>
        <w:rPr>
          <w:color w:val="003CA0"/>
          <w:sz w:val="12"/>
        </w:rPr>
        <w:t xml:space="preserve"> | rel. Ellen Gracie</w:t>
      </w:r>
    </w:p>
    <w:p>
      <w:pPr>
        <w:ind w:left="288"/>
      </w:pPr>
      <w:r>
        <w:rPr>
          <w:color w:val="1E1E1E"/>
          <w:sz w:val="18"/>
        </w:rPr>
        <w:t>Não há negativa de prestação jurisdicional quando a parte recorrente opta por não atacar o fundamento infraconstitucional, arrastando para si a preclusão temporal para viabilizar, em tese, a sua pretensão.</w:t>
      </w:r>
    </w:p>
    <w:p>
      <w:pPr>
        <w:ind w:left="288"/>
      </w:pPr>
      <w:r>
        <w:rPr>
          <w:b/>
          <w:color w:val="003CA0"/>
          <w:sz w:val="16"/>
        </w:rPr>
        <w:t>[RE 353.514 AgR, rel. min. Ellen Gracie, j. 14-9-2010, 2ª T, DJE de 1º-10-2010.]</w:t>
      </w:r>
    </w:p>
    <w:p>
      <w:pPr>
        <w:ind w:left="288"/>
      </w:pPr>
      <w:r>
        <w:rPr>
          <w:color w:val="8C8C8C"/>
          <w:sz w:val="12"/>
        </w:rPr>
        <w:t>cf-art-5-inc-XXXII-ali-b</w:t>
      </w:r>
      <w:r>
        <w:rPr>
          <w:color w:val="003CA0"/>
          <w:sz w:val="12"/>
        </w:rPr>
        <w:t xml:space="preserve"> | AI 564.642</w:t>
      </w:r>
      <w:r>
        <w:rPr>
          <w:color w:val="003CA0"/>
          <w:sz w:val="12"/>
        </w:rPr>
        <w:t xml:space="preserve"> | rel. Ricardo Lewandowski</w:t>
      </w:r>
    </w:p>
    <w:p>
      <w:pPr>
        <w:ind w:left="288"/>
      </w:pPr>
      <w:r>
        <w:rPr>
          <w:color w:val="1E1E1E"/>
          <w:sz w:val="18"/>
        </w:rPr>
        <w:t>A simples circunstância de não haver sido estipulado um teto-limite para a taxa judiciária não constitui razão suficiente para que se tenha por violado o princípio do livre acesso ao Poder Judiciário.</w:t>
      </w:r>
    </w:p>
    <w:p>
      <w:pPr>
        <w:ind w:left="288"/>
      </w:pPr>
      <w:r>
        <w:rPr>
          <w:b/>
          <w:color w:val="003CA0"/>
          <w:sz w:val="16"/>
        </w:rPr>
        <w:t>[AI 564.642 AgR, rel. min. Ricardo Lewandowski, j. 30-6-2009, 1ª T, DJE de 21-8-2009.]</w:t>
      </w:r>
    </w:p>
    <w:p>
      <w:pPr>
        <w:ind w:left="288"/>
      </w:pPr>
      <w:r>
        <w:rPr>
          <w:color w:val="8C8C8C"/>
          <w:sz w:val="12"/>
        </w:rPr>
        <w:t>cf-art-5-inc-XXXII-ali-b</w:t>
      </w:r>
      <w:r>
        <w:rPr>
          <w:color w:val="003CA0"/>
          <w:sz w:val="12"/>
        </w:rPr>
        <w:t xml:space="preserve"> | ADI 1.772</w:t>
      </w:r>
      <w:r>
        <w:rPr>
          <w:color w:val="003CA0"/>
          <w:sz w:val="12"/>
        </w:rPr>
        <w:t xml:space="preserve"> | rel. Carlos Velloso</w:t>
      </w:r>
    </w:p>
    <w:p>
      <w:pPr>
        <w:ind w:left="288"/>
      </w:pPr>
      <w:r>
        <w:rPr>
          <w:color w:val="1E1E1E"/>
          <w:sz w:val="18"/>
        </w:rPr>
        <w:t>Vide ADI 1.772 MC, rel. min. Carlos Velloso, j. 15-4-1998, P, DJ de 8-9-2000 As garantias constitucionais do direito de petição e da inafastabilidade da apreciação do Poder Judiciário, quando se trata de lesão ou ameaça a direito, reclamam, para o seu exercício, a observância do que preceitua o direito processual (art. 5º, XXXIV, a, e XXXV, da CF/1988).</w:t>
      </w:r>
    </w:p>
    <w:p>
      <w:pPr>
        <w:ind w:left="288"/>
      </w:pPr>
      <w:r>
        <w:rPr>
          <w:b/>
          <w:color w:val="003CA0"/>
          <w:sz w:val="16"/>
        </w:rPr>
        <w:t>[Pet 4.556 AgR, rel. min. Eros Grau, j. 25-6-2009, P, DJE de 21-8-2009.]</w:t>
      </w:r>
    </w:p>
    <w:p>
      <w:pPr>
        <w:ind w:left="288"/>
      </w:pPr>
      <w:r>
        <w:rPr>
          <w:color w:val="8C8C8C"/>
          <w:sz w:val="12"/>
        </w:rPr>
        <w:t>cf-art-5-inc-XXXII-ali-b</w:t>
      </w:r>
      <w:r>
        <w:rPr>
          <w:color w:val="003CA0"/>
          <w:sz w:val="12"/>
        </w:rPr>
        <w:t xml:space="preserve"> | AO 1.531</w:t>
      </w:r>
      <w:r>
        <w:rPr>
          <w:color w:val="003CA0"/>
          <w:sz w:val="12"/>
        </w:rPr>
        <w:t xml:space="preserve"> | rel. Cármen Lúcia</w:t>
      </w:r>
    </w:p>
    <w:p>
      <w:pPr>
        <w:ind w:left="288"/>
      </w:pPr>
      <w:r>
        <w:rPr>
          <w:color w:val="1E1E1E"/>
          <w:sz w:val="18"/>
        </w:rPr>
        <w:t xml:space="preserve">A Constituição da República estabeleceu que o acesso à justiça e o direito de petição são direitos fundamentais (art. 5º, XXXIV, a, e XXXV), porém estes não garantem a quem não tenha capacidade postulatória litigar em juízo, ou seja, é vedado o exercício do direito de ação sem a presença de um advogado, considerado "indispensável à administração da Justiça" (art. 133 da Constituição da República e art. 1º da Lei 8.906/1994), com as ressalvas legais. (...) Incluem-se, ainda, no rol das exceções, as ações protocoladas nos juizados especiais cíveis, nas causas de valor até vinte salários mínimos </w:t>
      </w:r>
    </w:p>
    <w:p>
      <w:pPr>
        <w:ind w:left="288"/>
      </w:pPr>
      <w:r>
        <w:rPr>
          <w:b/>
          <w:color w:val="003CA0"/>
          <w:sz w:val="16"/>
        </w:rPr>
        <w:t>[AO 1.531 AgR, voto da rel. min. Cármen Lúcia, j. 3-6-2009, P, DJE de 1º-7-2009.]</w:t>
      </w:r>
    </w:p>
    <w:p>
      <w:pPr>
        <w:ind w:left="288"/>
      </w:pPr>
      <w:r>
        <w:rPr>
          <w:color w:val="8C8C8C"/>
          <w:sz w:val="12"/>
        </w:rPr>
        <w:t>cf-art-5-inc-XXXII-ali-b</w:t>
      </w:r>
      <w:r>
        <w:rPr>
          <w:color w:val="003CA0"/>
          <w:sz w:val="12"/>
        </w:rPr>
        <w:t xml:space="preserve"> | RE 549.238</w:t>
      </w:r>
      <w:r>
        <w:rPr>
          <w:color w:val="003CA0"/>
          <w:sz w:val="12"/>
        </w:rPr>
        <w:t xml:space="preserve"> | rel. Ricardo Lewandowski</w:t>
      </w:r>
    </w:p>
    <w:p>
      <w:pPr>
        <w:ind w:left="288"/>
      </w:pPr>
      <w:r>
        <w:rPr>
          <w:color w:val="1E1E1E"/>
          <w:sz w:val="18"/>
        </w:rPr>
        <w:t>Não há previsão constitucional de esgotamento da via administrativa como condição da ação que objetiva o reconhecimento de direito previdenciário.</w:t>
      </w:r>
    </w:p>
    <w:p>
      <w:pPr>
        <w:ind w:left="288"/>
      </w:pPr>
      <w:r>
        <w:rPr>
          <w:b/>
          <w:color w:val="003CA0"/>
          <w:sz w:val="16"/>
        </w:rPr>
        <w:t>[RE 549.238 AgR, rel. min. Ricardo Lewandowski, j. 5-5-2009, 1ª T, DJE de 5-6-2009.]</w:t>
      </w:r>
    </w:p>
    <w:p>
      <w:pPr>
        <w:ind w:left="288"/>
      </w:pPr>
      <w:r>
        <w:rPr>
          <w:color w:val="8C8C8C"/>
          <w:sz w:val="12"/>
        </w:rPr>
        <w:t>cf-art-5-inc-XXXII-ali-b</w:t>
      </w:r>
      <w:r>
        <w:rPr>
          <w:color w:val="003CA0"/>
          <w:sz w:val="12"/>
        </w:rPr>
        <w:t xml:space="preserve"> | RE 549.055</w:t>
      </w:r>
      <w:r>
        <w:rPr>
          <w:color w:val="003CA0"/>
          <w:sz w:val="12"/>
        </w:rPr>
        <w:t xml:space="preserve"> | rel. Ayres Britto</w:t>
      </w:r>
    </w:p>
    <w:p>
      <w:pPr>
        <w:ind w:left="288"/>
      </w:pPr>
      <w:r>
        <w:rPr>
          <w:color w:val="1E1E1E"/>
          <w:sz w:val="18"/>
        </w:rPr>
        <w:t>= RE 549.055 AgR, rel. min. Ayres Britto, j. 5-10-2010, 2ª T, DJE de 10-12-2010 A falta de apreciação, pelo STJ, de todos os fundamentos subjacentes à impetração do habeas corpus, desde que relevantes e essenciais à resolução da controvérsia, compromete o julgamento realizado. É que a resposta jurisdicional incompleta configura, quando ocorrente, transgressão ao postulado constitucional que garante o direito à jurisdição a qualquer pessoa que disponha, para tanto, de legítimo interesse.</w:t>
      </w:r>
    </w:p>
    <w:p>
      <w:pPr>
        <w:ind w:left="288"/>
      </w:pPr>
      <w:r>
        <w:rPr>
          <w:b/>
          <w:color w:val="003CA0"/>
          <w:sz w:val="16"/>
        </w:rPr>
        <w:t>[RHC 97.181 e RHC 97.182, rel. min. Celso de Mello, j. 14-4-2009, 2ª T, DJE de 19-6-2009.]</w:t>
      </w:r>
    </w:p>
    <w:p>
      <w:pPr>
        <w:ind w:left="288"/>
      </w:pPr>
      <w:r>
        <w:rPr>
          <w:color w:val="8C8C8C"/>
          <w:sz w:val="12"/>
        </w:rPr>
        <w:t>cf-art-5-inc-XXXII-ali-b</w:t>
      </w:r>
      <w:r>
        <w:rPr>
          <w:color w:val="003CA0"/>
          <w:sz w:val="12"/>
        </w:rPr>
        <w:t xml:space="preserve"> | AI 567.171</w:t>
      </w:r>
      <w:r>
        <w:rPr>
          <w:color w:val="003CA0"/>
          <w:sz w:val="12"/>
        </w:rPr>
        <w:t xml:space="preserve"> | rel. Celso de Mello</w:t>
      </w:r>
    </w:p>
    <w:p>
      <w:pPr>
        <w:ind w:left="288"/>
      </w:pPr>
      <w:r>
        <w:rPr>
          <w:color w:val="1E1E1E"/>
          <w:sz w:val="18"/>
        </w:rPr>
        <w:t>A norma inscrita no art. 557, § 2º, do CPC, na redação dada pela Lei 9.756/1998, especialmente quando analisada na perspectiva dos recursos manifestados perante o STF, não importa em frustração do direito de acesso ao Poder Judiciário, mesmo porque a exigência de depósito prévio tem por única finalidade coibir os excessos, os abusos e os desvios de caráter ético-jurídico nos quais incidiu o improbus litigator.</w:t>
      </w:r>
    </w:p>
    <w:p>
      <w:pPr>
        <w:ind w:left="288"/>
      </w:pPr>
      <w:r>
        <w:rPr>
          <w:b/>
          <w:color w:val="003CA0"/>
          <w:sz w:val="16"/>
        </w:rPr>
        <w:t>[AI 567.171 AgR-ED-EDv-ED, rel. min. Celso de Mello, j. 3-12-2008, P, DJE de 6-2-2009.]</w:t>
      </w:r>
    </w:p>
    <w:p>
      <w:pPr>
        <w:ind w:left="288"/>
      </w:pPr>
      <w:r>
        <w:rPr>
          <w:color w:val="8C8C8C"/>
          <w:sz w:val="12"/>
        </w:rPr>
        <w:t>cf-art-5-inc-XXXII-ali-b</w:t>
      </w:r>
      <w:r>
        <w:rPr>
          <w:color w:val="003CA0"/>
          <w:sz w:val="12"/>
        </w:rPr>
        <w:t xml:space="preserve"> | AI 775.934</w:t>
      </w:r>
      <w:r>
        <w:rPr>
          <w:color w:val="003CA0"/>
          <w:sz w:val="12"/>
        </w:rPr>
        <w:t xml:space="preserve"> | rel. Cezar Peluso</w:t>
      </w:r>
    </w:p>
    <w:p>
      <w:pPr>
        <w:ind w:left="288"/>
      </w:pPr>
      <w:r>
        <w:rPr>
          <w:color w:val="1E1E1E"/>
          <w:sz w:val="18"/>
        </w:rPr>
        <w:t>= AI 775.934 AgR-ED-ED, rel. min. Cezar Peluso, j. 10-11-2011, P, DJE de 13-12-2011 (...) de nada valeria a CF declarar com tanta pompa e circunstância o direito à razoável duração do processo (e, no caso, o direito à brevidade e excepcionalidade da internação preventiva), se a ele não correspondesse o direito estatal de julgar com presteza. Dever que é uma das vertentes da altissonante regra constitucional de que a "lei não excluirá da apreciação do Poder Judiciário lesão ou ameaça a direito" (inciso XXXV do art. 5º). Dever, enfim, que, do ângulo do indivíduo, é constitutivo da tradicional ga</w:t>
      </w:r>
    </w:p>
    <w:p>
      <w:pPr>
        <w:ind w:left="288"/>
      </w:pPr>
      <w:r>
        <w:rPr>
          <w:b/>
          <w:color w:val="003CA0"/>
          <w:sz w:val="16"/>
        </w:rPr>
        <w:t>[HC 94.000, rel. min. Ayres Britto, j. 17-6-2008, 1ª T, DJE de 13-3-2009.]</w:t>
      </w:r>
    </w:p>
    <w:p>
      <w:pPr>
        <w:ind w:left="288"/>
      </w:pPr>
      <w:r>
        <w:rPr>
          <w:color w:val="8C8C8C"/>
          <w:sz w:val="12"/>
        </w:rPr>
        <w:t>cf-art-5-inc-XXXII-ali-b</w:t>
      </w:r>
      <w:r>
        <w:rPr>
          <w:color w:val="003CA0"/>
          <w:sz w:val="12"/>
        </w:rPr>
        <w:t xml:space="preserve"> | AI 679.874</w:t>
      </w:r>
      <w:r>
        <w:rPr>
          <w:color w:val="003CA0"/>
          <w:sz w:val="12"/>
        </w:rPr>
        <w:t xml:space="preserve"> | rel. Celso de Mello</w:t>
      </w:r>
    </w:p>
    <w:p>
      <w:pPr>
        <w:ind w:left="288"/>
      </w:pPr>
      <w:r>
        <w:rPr>
          <w:color w:val="1E1E1E"/>
          <w:sz w:val="18"/>
        </w:rPr>
        <w:t>O STF firmou orientação no sentido de que as decisões, que, em sede de execução fiscal, julgam extinto o respectivo processo, por ausência do interesse de agir, revelada pela insignificância ou pela pequena expressão econômica do valor da dívida ativa em cobrança, não transgridem os postulados da igualdade (...) e da inafastabilidade do controle jurisdicional (...).</w:t>
      </w:r>
    </w:p>
    <w:p>
      <w:pPr>
        <w:ind w:left="288"/>
      </w:pPr>
      <w:r>
        <w:rPr>
          <w:b/>
          <w:color w:val="003CA0"/>
          <w:sz w:val="16"/>
        </w:rPr>
        <w:t>[AI 679.874 AgR, rel. min. Celso de Mello, j. 4-12-2007, 2ª T, DJE de 1º-2-2008.]</w:t>
      </w:r>
    </w:p>
    <w:p>
      <w:pPr>
        <w:ind w:left="288"/>
      </w:pPr>
      <w:r>
        <w:rPr>
          <w:color w:val="8C8C8C"/>
          <w:sz w:val="12"/>
        </w:rPr>
        <w:t>cf-art-5-inc-XXXII-ali-b</w:t>
      </w:r>
      <w:r>
        <w:rPr>
          <w:color w:val="003CA0"/>
          <w:sz w:val="12"/>
        </w:rPr>
        <w:t xml:space="preserve"> | RE 233.582</w:t>
      </w:r>
      <w:r>
        <w:rPr>
          <w:color w:val="003CA0"/>
          <w:sz w:val="12"/>
        </w:rPr>
        <w:t xml:space="preserve"> | rel. Marco Aurélio</w:t>
      </w:r>
    </w:p>
    <w:p>
      <w:pPr>
        <w:ind w:left="288"/>
      </w:pPr>
      <w:r>
        <w:rPr>
          <w:color w:val="1E1E1E"/>
          <w:sz w:val="18"/>
        </w:rPr>
        <w:t>O direito constitucional de petição e o princípio da legalidade não implicam a necessidade de esgotamento da via administrativa para discussão judicial da validade de crédito inscrito em dívida ativa da Fazenda Pública. É constitucional o art. 38, parágrafo único, da Lei 6.830/1980 (Lei da Execução Fiscal – LEF), que dispõe que "a propositura, pelo contribuinte, da ação prevista neste artigo (ações destinadas à discussão judicial da validade de crédito inscrito em dívida ativa) importa em renúncia ao poder de recorrer na esfera administrativa e desistência do recurso acaso interposto".</w:t>
      </w:r>
    </w:p>
    <w:p>
      <w:pPr>
        <w:ind w:left="288"/>
      </w:pPr>
      <w:r>
        <w:rPr>
          <w:b/>
          <w:color w:val="003CA0"/>
          <w:sz w:val="16"/>
        </w:rPr>
        <w:t>[RE 233.582, rel. min. Marco Aurélio, red. do ac. min. Joaquim Barbosa, j. 16-8-2007, P, DJE de 16-5-2008.]</w:t>
      </w:r>
    </w:p>
    <w:p>
      <w:pPr>
        <w:ind w:left="288"/>
      </w:pPr>
      <w:r>
        <w:rPr>
          <w:color w:val="8C8C8C"/>
          <w:sz w:val="12"/>
        </w:rPr>
        <w:t>cf-art-5-inc-XXXII-ali-b</w:t>
      </w:r>
      <w:r>
        <w:rPr>
          <w:color w:val="003CA0"/>
          <w:sz w:val="12"/>
        </w:rPr>
        <w:t xml:space="preserve"> | RE 469.600</w:t>
      </w:r>
      <w:r>
        <w:rPr>
          <w:color w:val="003CA0"/>
          <w:sz w:val="12"/>
        </w:rPr>
        <w:t xml:space="preserve"> | rel. Cármen Lúcia</w:t>
      </w:r>
    </w:p>
    <w:p>
      <w:pPr>
        <w:ind w:left="288"/>
      </w:pPr>
      <w:r>
        <w:rPr>
          <w:color w:val="1E1E1E"/>
          <w:sz w:val="18"/>
        </w:rPr>
        <w:t>= RE 469.600 AgR, rel. min. Cármen Lúcia, j. 8-2-2011, 1ª T, DJE de 3-3-2011 São insuscetíveis de apreciação quaisquer petições recursais que veiculem consulta dirigida aos órgãos do Poder Judiciário, eis que postulações dessa natureza refogem ao domínio de atuação institucional dos tribunais e revelam-se incompatíveis com a própria essência da atividade jurisdicional.</w:t>
      </w:r>
    </w:p>
    <w:p>
      <w:pPr>
        <w:ind w:left="288"/>
      </w:pPr>
      <w:r>
        <w:rPr>
          <w:b/>
          <w:color w:val="003CA0"/>
          <w:sz w:val="16"/>
        </w:rPr>
        <w:t>[RE 434.640 ED, rel. min. Celso de Mello, j. 6-12-2005, 2ª T, DJ de 9-6-2006.]</w:t>
      </w:r>
    </w:p>
    <w:p>
      <w:pPr>
        <w:ind w:left="288"/>
      </w:pPr>
      <w:r>
        <w:rPr>
          <w:color w:val="8C8C8C"/>
          <w:sz w:val="12"/>
        </w:rPr>
        <w:t>cf-art-5-inc-XXXII-ali-b</w:t>
      </w:r>
      <w:r>
        <w:rPr>
          <w:color w:val="003CA0"/>
          <w:sz w:val="12"/>
        </w:rPr>
        <w:t xml:space="preserve"> | RE 569.019</w:t>
      </w:r>
      <w:r>
        <w:rPr>
          <w:color w:val="003CA0"/>
          <w:sz w:val="12"/>
        </w:rPr>
        <w:t xml:space="preserve"> | rel. Cármen Lúcia</w:t>
      </w:r>
    </w:p>
    <w:p>
      <w:pPr>
        <w:ind w:left="288"/>
      </w:pPr>
      <w:r>
        <w:rPr>
          <w:color w:val="1E1E1E"/>
          <w:sz w:val="18"/>
        </w:rPr>
        <w:t>= RE 569.019 ED, rel. min. Cármen Lúcia, j. 24-8-2010, 1ª T, DJE de 1º-10-2010 Os atos administrativos que envolvem a aplicação de "conceitos indeterminados" estão sujeitos ao exame e controle do Poder Judiciário. O controle jurisdicional pode e deve incidir sobre os elementos do ato, à luz dos princípios que regem a atuação da administração.</w:t>
      </w:r>
    </w:p>
    <w:p>
      <w:pPr>
        <w:ind w:left="288"/>
      </w:pPr>
      <w:r>
        <w:rPr>
          <w:b/>
          <w:color w:val="003CA0"/>
          <w:sz w:val="16"/>
        </w:rPr>
        <w:t>[RMS 24.699, rel. min. Eros Grau, j. 30-11-2004, 1ª T, DJ de 1º-7-2005.]</w:t>
      </w:r>
    </w:p>
    <w:p>
      <w:pPr>
        <w:ind w:left="288"/>
      </w:pPr>
      <w:r>
        <w:rPr>
          <w:color w:val="8C8C8C"/>
          <w:sz w:val="12"/>
        </w:rPr>
        <w:t>cf-art-5-inc-XXXII-ali-b</w:t>
      </w:r>
      <w:r>
        <w:rPr>
          <w:color w:val="003CA0"/>
          <w:sz w:val="12"/>
        </w:rPr>
        <w:t xml:space="preserve"> | RMS 24.901</w:t>
      </w:r>
      <w:r>
        <w:rPr>
          <w:color w:val="003CA0"/>
          <w:sz w:val="12"/>
        </w:rPr>
        <w:t xml:space="preserve"> | rel. Ayres Britto</w:t>
      </w:r>
    </w:p>
    <w:p>
      <w:pPr>
        <w:ind w:left="288"/>
      </w:pPr>
      <w:r>
        <w:rPr>
          <w:color w:val="1E1E1E"/>
          <w:sz w:val="18"/>
        </w:rPr>
        <w:t>Embora o Judiciário não possa substituir-se à administração na punição do servidor, pode determinar a esta, em homenagem ao princípio da proporcionalidade, a aplicação de pena menos severa, compatível com a falta cometida e a previsão legal.</w:t>
      </w:r>
    </w:p>
    <w:p>
      <w:pPr>
        <w:ind w:left="288"/>
      </w:pPr>
      <w:r>
        <w:rPr>
          <w:b/>
          <w:color w:val="003CA0"/>
          <w:sz w:val="16"/>
        </w:rPr>
        <w:t>[RMS 24.901, rel. min. Ayres Britto, j. 26-10-2004, 1ª T, DJ de 11-2-2005.]</w:t>
      </w:r>
    </w:p>
    <w:p>
      <w:pPr>
        <w:ind w:left="288"/>
      </w:pPr>
      <w:r>
        <w:rPr>
          <w:color w:val="8C8C8C"/>
          <w:sz w:val="12"/>
        </w:rPr>
        <w:t>cf-art-5-inc-XXXII-ali-b</w:t>
      </w:r>
      <w:r>
        <w:rPr>
          <w:color w:val="003CA0"/>
          <w:sz w:val="12"/>
        </w:rPr>
        <w:t xml:space="preserve"> | rel. Sepúlveda Pertence</w:t>
      </w:r>
    </w:p>
    <w:p>
      <w:pPr>
        <w:ind w:left="288"/>
      </w:pPr>
      <w:r>
        <w:rPr>
          <w:color w:val="1E1E1E"/>
          <w:sz w:val="18"/>
        </w:rPr>
        <w:t>Lei de Arbitragem (Lei 9.307/1996): constitucionalidade, em tese, do juízo arbitral; discussão incidental da constitucionalidade de vários dos tópicos da nova lei, especialmente acerca da compatibilidade, ou não, entre a execução judicial específica para a solução de futuros conflitos da cláusula compromissória e a garantia constitucional da universalidade da jurisdição do Poder Judiciário (CF, art. 5º, XXXV). Constitucionalidade declarada pelo Plenário, considerando o Tribunal, por maioria de votos, que a manifestação de vontade da parte na cláusula compromissória, quando da celebração do con</w:t>
      </w:r>
    </w:p>
    <w:p>
      <w:pPr>
        <w:ind w:left="288"/>
      </w:pPr>
      <w:r>
        <w:rPr>
          <w:b/>
          <w:color w:val="003CA0"/>
          <w:sz w:val="16"/>
        </w:rPr>
        <w:t>[SE 5.206 AgR, rel. min. Sepúlveda Pertence, j. 12-12-2001, P, DJ de 30-4-2004.]</w:t>
      </w:r>
    </w:p>
    <w:p>
      <w:pPr>
        <w:ind w:left="288"/>
      </w:pPr>
      <w:r>
        <w:rPr>
          <w:color w:val="8C8C8C"/>
          <w:sz w:val="12"/>
        </w:rPr>
        <w:t>cf-art-5-inc-XXXII-ali-b</w:t>
      </w:r>
      <w:r>
        <w:rPr>
          <w:color w:val="003CA0"/>
          <w:sz w:val="12"/>
        </w:rPr>
        <w:t xml:space="preserve"> | RE 148.872</w:t>
      </w:r>
      <w:r>
        <w:rPr>
          <w:color w:val="003CA0"/>
          <w:sz w:val="12"/>
        </w:rPr>
        <w:t xml:space="preserve"> | rel. Moreira Alves</w:t>
      </w:r>
    </w:p>
    <w:p>
      <w:pPr>
        <w:ind w:left="288"/>
      </w:pPr>
      <w:r>
        <w:rPr>
          <w:color w:val="1E1E1E"/>
          <w:sz w:val="18"/>
        </w:rPr>
        <w:t>Execução extrajudicial. Recepção, pela Constituição de 1988, do DL 70/1966. Esta Corte, em vários precedentes (assim, a título exemplificativo, nos RE 148.872, RE 223.075 e RE 240.361), tem-se orientado no sentido de que o DL 70/1966 é compatível com a atual Constituição, não se chocando, inclusive, com o disposto nos incisos XXXV, LIV e LV do art. 5º desta, razão por que foi por ela recebido.</w:t>
      </w:r>
    </w:p>
    <w:p>
      <w:pPr>
        <w:ind w:left="288"/>
      </w:pPr>
      <w:r>
        <w:rPr>
          <w:b/>
          <w:color w:val="003CA0"/>
          <w:sz w:val="16"/>
        </w:rPr>
        <w:t>[RE 287.453, rel. min. Moreira Alves, j. 18-9-2001, 1ª T, DJ de 26-10-2001.]</w:t>
      </w:r>
    </w:p>
    <w:p>
      <w:pPr>
        <w:ind w:left="288"/>
      </w:pPr>
      <w:r>
        <w:rPr>
          <w:color w:val="8C8C8C"/>
          <w:sz w:val="12"/>
        </w:rPr>
        <w:t>cf-art-5-inc-XXXII-ali-b</w:t>
      </w:r>
      <w:r>
        <w:rPr>
          <w:color w:val="003CA0"/>
          <w:sz w:val="12"/>
        </w:rPr>
        <w:t xml:space="preserve"> | AI 663.578</w:t>
      </w:r>
      <w:r>
        <w:rPr>
          <w:color w:val="003CA0"/>
          <w:sz w:val="12"/>
        </w:rPr>
        <w:t xml:space="preserve"> | rel. Ellen Gracie</w:t>
      </w:r>
    </w:p>
    <w:p>
      <w:pPr>
        <w:ind w:left="288"/>
      </w:pPr>
      <w:r>
        <w:rPr>
          <w:color w:val="1E1E1E"/>
          <w:sz w:val="18"/>
        </w:rPr>
        <w:t>= AI 663.578 AgR, rel. min. Ellen Gracie, j. 4-8-2009, 2ª T, DJE de 28-8-2009 O acórdão recorrido, em última análise, decidiu que a avaliação do candidato, em exame psicotécnico, com base em critérios subjetivos, sem um grau mínimo de objetividade, ou em critérios não revelados, é ilegítimo por não permitir o acesso ao Poder Judiciário para a verificação de eventual lesão de direito individual pelo uso desses critérios. Ora, esta Corte, em casos análogos, tem entendido que o exame psicotécnico ofende o disposto nos arts. 5º, XXXV, e 37, caput e I e II, da CF.</w:t>
      </w:r>
    </w:p>
    <w:p>
      <w:pPr>
        <w:ind w:left="288"/>
      </w:pPr>
      <w:r>
        <w:rPr>
          <w:b/>
          <w:color w:val="003CA0"/>
          <w:sz w:val="16"/>
        </w:rPr>
        <w:t>[RE 243.926, rel. min. Moreira Alves, j. 16-5-2000, 1ª T, DJ de 10-8-2000.]</w:t>
      </w:r>
    </w:p>
    <w:p>
      <w:pPr>
        <w:ind w:left="288"/>
      </w:pPr>
      <w:r>
        <w:rPr>
          <w:color w:val="8C8C8C"/>
          <w:sz w:val="12"/>
        </w:rPr>
        <w:t>cf-art-5-inc-XXXII-ali-b</w:t>
      </w:r>
      <w:r>
        <w:rPr>
          <w:color w:val="003CA0"/>
          <w:sz w:val="12"/>
        </w:rPr>
        <w:t xml:space="preserve"> | AI 711.570</w:t>
      </w:r>
      <w:r>
        <w:rPr>
          <w:color w:val="003CA0"/>
          <w:sz w:val="12"/>
        </w:rPr>
        <w:t xml:space="preserve"> | rel. Cármen Lúcia</w:t>
      </w:r>
    </w:p>
    <w:p>
      <w:pPr>
        <w:ind w:left="288"/>
      </w:pPr>
      <w:r>
        <w:rPr>
          <w:color w:val="1E1E1E"/>
          <w:sz w:val="18"/>
        </w:rPr>
        <w:t>= AI 711.570 AgR, rel. min. Cármen Lúcia, j. 3-2-2009, 1ª T, DJE de 13-3-2009 A garantia de acesso ao Judiciário não pode ser tida como certeza de que as teses serão apreciadas de acordo com a conveniência das partes.</w:t>
      </w:r>
    </w:p>
    <w:p>
      <w:pPr>
        <w:ind w:left="288"/>
      </w:pPr>
      <w:r>
        <w:rPr>
          <w:b/>
          <w:color w:val="003CA0"/>
          <w:sz w:val="16"/>
        </w:rPr>
        <w:t>[RE 113.958, rel. min. Ilmar Galvão, j. 15-10-1996, 1ª T, DJ de 7-2-1997.]</w:t>
      </w:r>
    </w:p>
    <w:p>
      <w:pPr>
        <w:ind w:left="288"/>
      </w:pPr>
      <w:r>
        <w:rPr>
          <w:color w:val="8C8C8C"/>
          <w:sz w:val="12"/>
        </w:rPr>
        <w:t>cf-art-5-inc-XXXII-ali-b</w:t>
      </w:r>
      <w:r>
        <w:rPr>
          <w:color w:val="003CA0"/>
          <w:sz w:val="12"/>
        </w:rPr>
        <w:t xml:space="preserve"> | AI 185.669</w:t>
      </w:r>
      <w:r>
        <w:rPr>
          <w:color w:val="003CA0"/>
          <w:sz w:val="12"/>
        </w:rPr>
        <w:t xml:space="preserve"> | rel. Sydney Sanches</w:t>
      </w:r>
    </w:p>
    <w:p>
      <w:pPr>
        <w:ind w:left="288"/>
      </w:pPr>
      <w:r>
        <w:rPr>
          <w:color w:val="1E1E1E"/>
          <w:sz w:val="18"/>
        </w:rPr>
        <w:t>Se, em qualquer das instâncias, ocorreu vício de julgamento, por falta de fundamentação ou de adequado exame das questões de fato e de direito, isso, se for verdade, configurará nulidade de caráter processual, mas não denegação de jurisdição, de molde a afrontar a norma constitucional focalizada (inciso XXXV do art. 5º da CF).</w:t>
      </w:r>
    </w:p>
    <w:p>
      <w:pPr>
        <w:ind w:left="288"/>
      </w:pPr>
      <w:r>
        <w:rPr>
          <w:b/>
          <w:color w:val="003CA0"/>
          <w:sz w:val="16"/>
        </w:rPr>
        <w:t>[AI 185.669 AgR, rel. min. Sydney Sanches, j. 17-9-1996, 1ª T, DJ de 29-11-1996.]</w:t>
      </w:r>
    </w:p>
    <w:p>
      <w:pPr>
        <w:ind w:left="288"/>
      </w:pPr>
      <w:r>
        <w:rPr>
          <w:color w:val="8C8C8C"/>
          <w:sz w:val="12"/>
        </w:rPr>
        <w:t>cf-art-5-inc-XXXII-ali-b</w:t>
      </w:r>
      <w:r>
        <w:rPr>
          <w:color w:val="003CA0"/>
          <w:sz w:val="12"/>
        </w:rPr>
        <w:t xml:space="preserve"> | MS 22.472</w:t>
      </w:r>
      <w:r>
        <w:rPr>
          <w:color w:val="003CA0"/>
          <w:sz w:val="12"/>
        </w:rPr>
        <w:t xml:space="preserve"> | rel. Moreira Alves</w:t>
      </w:r>
    </w:p>
    <w:p>
      <w:pPr>
        <w:ind w:left="288"/>
      </w:pPr>
      <w:r>
        <w:rPr>
          <w:color w:val="1E1E1E"/>
          <w:sz w:val="18"/>
        </w:rPr>
        <w:t>A competência excepcional conferida pelo art. 102, I, n, da CF a esta Corte não abrange hipóteses – como a presente – de paralisação total dos órgãos de primeiro e de segundo grau do Poder Judiciário de um Estado-membro (...). Diante, porém, de obstáculo dessa natureza ao exercício do direito fundamental ao acesso ao Poder Judiciário previsto no art. 5º, XXXV, da Carta Magna, determina-se ao presidente do Tribunal de Justiça do Estado de Alagoas que organize um plantão de juízes para a adoção das medidas judiciais de urgência que lhe forem requeridas, ou então, não o fazendo, chame a si a adoç</w:t>
      </w:r>
    </w:p>
    <w:p>
      <w:pPr>
        <w:ind w:left="288"/>
      </w:pPr>
      <w:r>
        <w:rPr>
          <w:b/>
          <w:color w:val="003CA0"/>
          <w:sz w:val="16"/>
        </w:rPr>
        <w:t>[MS 22.472 QO, rel. min. Moreira Alves, j. 21-3-1996, P, DJ de 23-3-2001.]</w:t>
      </w:r>
    </w:p>
    <w:p>
      <w:pPr>
        <w:ind w:left="288"/>
      </w:pPr>
      <w:r>
        <w:rPr>
          <w:color w:val="8C8C8C"/>
          <w:sz w:val="12"/>
        </w:rPr>
        <w:t>cf-art-5-inc-XXXII-ali-b</w:t>
      </w:r>
      <w:r>
        <w:rPr>
          <w:color w:val="003CA0"/>
          <w:sz w:val="12"/>
        </w:rPr>
        <w:t xml:space="preserve"> | AI 152.676</w:t>
      </w:r>
      <w:r>
        <w:rPr>
          <w:color w:val="003CA0"/>
          <w:sz w:val="12"/>
        </w:rPr>
        <w:t xml:space="preserve"> | rel. Maurício Corrêa</w:t>
      </w:r>
    </w:p>
    <w:p>
      <w:pPr>
        <w:ind w:left="288"/>
      </w:pPr>
      <w:r>
        <w:rPr>
          <w:color w:val="1E1E1E"/>
          <w:sz w:val="18"/>
        </w:rPr>
        <w:t>Os princípios constitucionais que garantem o livre acesso ao Poder Judiciário, o contraditório e a ampla defesa, não são absolutos e hão de ser exercidos, pelos jurisdicionados, por meio das normas processuais que regem a matéria, não se constituindo negativa de prestação jurisdicional e cerceamento de defesa a inadmissão de recursos quando não observados os procedimentos estatuídos nas normas instrumentais.</w:t>
      </w:r>
    </w:p>
    <w:p>
      <w:pPr>
        <w:ind w:left="288"/>
      </w:pPr>
      <w:r>
        <w:rPr>
          <w:b/>
          <w:color w:val="003CA0"/>
          <w:sz w:val="16"/>
        </w:rPr>
        <w:t>[AI 152.676 AgR, rel. min. Maurício Corrêa, j. 15-9-1995, 1ª T, DJ de 3-11-1995.]</w:t>
      </w:r>
    </w:p>
    <w:p>
      <w:pPr>
        <w:ind w:left="288"/>
      </w:pPr>
      <w:r>
        <w:rPr>
          <w:color w:val="8C8C8C"/>
          <w:sz w:val="12"/>
        </w:rPr>
        <w:t>cf-art-5-inc-XXXII-ali-b</w:t>
      </w:r>
      <w:r>
        <w:rPr>
          <w:color w:val="003CA0"/>
          <w:sz w:val="12"/>
        </w:rPr>
        <w:t xml:space="preserve"> | AO 238</w:t>
      </w:r>
      <w:r>
        <w:rPr>
          <w:color w:val="003CA0"/>
          <w:sz w:val="12"/>
        </w:rPr>
        <w:t xml:space="preserve"> | rel. Sydney Sanches</w:t>
      </w:r>
    </w:p>
    <w:p>
      <w:pPr>
        <w:ind w:left="288"/>
      </w:pPr>
      <w:r>
        <w:rPr>
          <w:color w:val="1E1E1E"/>
          <w:sz w:val="18"/>
        </w:rPr>
        <w:t>Não compete ao STF, mas, sim, ao próprio tribunal, perante o qual tem curso procedimento administrativo, de caráter disciplinar, examinar "exceção de suspeição" da maioria de seus membros, nele incidentalmente suscitada. A decisão do tribunal, a respeito dessa questão, fica sujeita ao controle jurisdicional, pela via adequada, se houver lesão ou ameaça a direito.</w:t>
      </w:r>
    </w:p>
    <w:p>
      <w:pPr>
        <w:ind w:left="288"/>
      </w:pPr>
      <w:r>
        <w:rPr>
          <w:b/>
          <w:color w:val="003CA0"/>
          <w:sz w:val="16"/>
        </w:rPr>
        <w:t>[AO 238 QO, rel. min. Sydney Sanches, j. 15-2-1995, P, DJ de 24-3-1995.]</w:t>
      </w:r>
    </w:p>
    <w:p>
      <w:pPr>
        <w:ind w:left="288"/>
      </w:pPr>
      <w:r>
        <w:rPr>
          <w:color w:val="8C8C8C"/>
          <w:sz w:val="12"/>
        </w:rPr>
        <w:t>cf-art-5-inc-XXXII-ali-b</w:t>
      </w:r>
      <w:r>
        <w:rPr>
          <w:color w:val="003CA0"/>
          <w:sz w:val="12"/>
        </w:rPr>
        <w:t xml:space="preserve"> | MS 21.689</w:t>
      </w:r>
      <w:r>
        <w:rPr>
          <w:color w:val="003CA0"/>
          <w:sz w:val="12"/>
        </w:rPr>
        <w:t xml:space="preserve"> | rel. Carlos Velloso</w:t>
      </w:r>
    </w:p>
    <w:p>
      <w:pPr>
        <w:ind w:left="288"/>
      </w:pPr>
      <w:r>
        <w:rPr>
          <w:color w:val="1E1E1E"/>
          <w:sz w:val="18"/>
        </w:rPr>
        <w:t>Controle judicial do impeachment: possibilidade, desde que se alegue lesão ou ameaça a direito.</w:t>
      </w:r>
    </w:p>
    <w:p>
      <w:pPr>
        <w:ind w:left="288"/>
      </w:pPr>
      <w:r>
        <w:rPr>
          <w:b/>
          <w:color w:val="003CA0"/>
          <w:sz w:val="16"/>
        </w:rPr>
        <w:t>[MS 21.689, rel. min. Carlos Velloso, j. 16-12-1993, P, DJ de 7-4-1995.]</w:t>
      </w:r>
    </w:p>
    <w:p>
      <w:pPr>
        <w:ind w:left="288"/>
      </w:pPr>
      <w:r>
        <w:rPr>
          <w:color w:val="8C8C8C"/>
          <w:sz w:val="12"/>
        </w:rPr>
        <w:t>cf-art-5-inc-XXXII-ali-b</w:t>
      </w:r>
      <w:r>
        <w:rPr>
          <w:color w:val="003CA0"/>
          <w:sz w:val="12"/>
        </w:rPr>
        <w:t xml:space="preserve"> | AI 153.820</w:t>
      </w:r>
      <w:r>
        <w:rPr>
          <w:color w:val="003CA0"/>
          <w:sz w:val="12"/>
        </w:rPr>
        <w:t xml:space="preserve"> | rel. Marco Aurélio</w:t>
      </w:r>
    </w:p>
    <w:p>
      <w:pPr>
        <w:ind w:left="288"/>
      </w:pPr>
      <w:r>
        <w:rPr>
          <w:color w:val="1E1E1E"/>
          <w:sz w:val="18"/>
        </w:rPr>
        <w:t>Longe fica de transgredir os princípios consagrados nos incisos XXXV e LV do art. 5º da CF decisão que a partir da natureza interlocutória do acórdão proferido indica a irrecorribilidade, fazendo-o com base no art. 893, § 1º, da CLT, e sinalizando no sentido de a parte aguardar o julgamento em si da lide para então recorrer na via da revista.</w:t>
      </w:r>
    </w:p>
    <w:p>
      <w:pPr>
        <w:ind w:left="288"/>
      </w:pPr>
      <w:r>
        <w:rPr>
          <w:b/>
          <w:color w:val="003CA0"/>
          <w:sz w:val="16"/>
        </w:rPr>
        <w:t>[AI 153.820 AgR, rel. min. Marco Aurélio, j. 25-10-1993, 2ª T, DJ de 18-3-1994.]</w:t>
      </w:r>
    </w:p>
    <w:p>
      <w:pPr>
        <w:ind w:left="288"/>
      </w:pPr>
      <w:r>
        <w:rPr>
          <w:color w:val="8C8C8C"/>
          <w:sz w:val="12"/>
        </w:rPr>
        <w:t>cf-art-5-inc-XXXII-ali-b</w:t>
      </w:r>
      <w:r>
        <w:rPr>
          <w:color w:val="003CA0"/>
          <w:sz w:val="12"/>
        </w:rPr>
        <w:t xml:space="preserve"> | RE 125.556</w:t>
      </w:r>
      <w:r>
        <w:rPr>
          <w:color w:val="003CA0"/>
          <w:sz w:val="12"/>
        </w:rPr>
        <w:t xml:space="preserve"> | rel. Carlos Velloso</w:t>
      </w:r>
    </w:p>
    <w:p>
      <w:pPr>
        <w:ind w:left="288"/>
      </w:pPr>
      <w:r>
        <w:rPr>
          <w:color w:val="1E1E1E"/>
          <w:sz w:val="18"/>
        </w:rPr>
        <w:t>Exame e avaliação de candidato com base em critérios subjetivos, como, por exemplo, a verificação sigilosa sobre a conduta, pública e privada, do candidato, excluindo-o do concurso sem que sejam fornecidos os motivos. Ilegitimidade do ato, que atenta contra o princípio da inafastabilidade do conhecimento do Poder Judiciário de lesão ou ameaça a direito. É que, se a lesão é praticada com base em critérios subjetivos, ou em critérios não revelados, fica o Judiciário impossibilitado de prestar a tutela jurisdicional, porque não terá como verificar o acerto ou o desacerto de tais critérios. Por vi</w:t>
      </w:r>
    </w:p>
    <w:p>
      <w:pPr>
        <w:ind w:left="288"/>
      </w:pPr>
      <w:r>
        <w:rPr>
          <w:b/>
          <w:color w:val="003CA0"/>
          <w:sz w:val="16"/>
        </w:rPr>
        <w:t>[RE 125.556, rel. min. Carlos Velloso, j. 27-3-1992, P, DJ de 15-5-1992.]</w:t>
      </w:r>
    </w:p>
    <w:p>
      <w:pPr>
        <w:ind w:left="288"/>
      </w:pPr>
      <w:r>
        <w:rPr>
          <w:color w:val="8C8C8C"/>
          <w:sz w:val="12"/>
        </w:rPr>
        <w:t>cf-art-5-inc-XXXII-ali-b</w:t>
      </w:r>
      <w:r>
        <w:rPr>
          <w:color w:val="003CA0"/>
          <w:sz w:val="12"/>
        </w:rPr>
        <w:t xml:space="preserve"> | AI 179.583</w:t>
      </w:r>
      <w:r>
        <w:rPr>
          <w:color w:val="003CA0"/>
          <w:sz w:val="12"/>
        </w:rPr>
        <w:t xml:space="preserve"> | rel. Maurício Corrêa</w:t>
      </w:r>
    </w:p>
    <w:p>
      <w:pPr>
        <w:ind w:left="288"/>
      </w:pPr>
      <w:r>
        <w:rPr>
          <w:color w:val="1E1E1E"/>
          <w:sz w:val="18"/>
        </w:rPr>
        <w:t>= AI 179.583 AgR, rel. min. Maurício Corrêa, j. 15-4-1996, 2ª T, DJ de 1º-7-1996 Não há confundir negativa de prestação jurisdicional com decisão jurisdicional contrária à pretensão da parte.</w:t>
      </w:r>
    </w:p>
    <w:p>
      <w:pPr>
        <w:ind w:left="288"/>
      </w:pPr>
      <w:r>
        <w:rPr>
          <w:b/>
          <w:color w:val="003CA0"/>
          <w:sz w:val="16"/>
        </w:rPr>
        <w:t>[AI 135.850 AgR, rel. min. Carlos Velloso, j. 23-4-1991, 2ª T, DJ de 24-5-1991.]</w:t>
      </w:r>
    </w:p>
    <w:p>
      <w:pPr>
        <w:ind w:left="288"/>
      </w:pPr>
      <w:r>
        <w:rPr>
          <w:color w:val="8C8C8C"/>
          <w:sz w:val="12"/>
        </w:rPr>
        <w:t>cf-art-5-inc-XXXII-ali-b</w:t>
      </w:r>
      <w:r>
        <w:rPr>
          <w:color w:val="003CA0"/>
          <w:sz w:val="12"/>
        </w:rPr>
        <w:t xml:space="preserve"> | AI 811.144</w:t>
      </w:r>
      <w:r>
        <w:rPr>
          <w:color w:val="003CA0"/>
          <w:sz w:val="12"/>
        </w:rPr>
        <w:t xml:space="preserve"> | rel. Rosa Weber</w:t>
      </w:r>
    </w:p>
    <w:p>
      <w:pPr>
        <w:ind w:left="288"/>
      </w:pPr>
      <w:r>
        <w:rPr>
          <w:color w:val="1E1E1E"/>
          <w:sz w:val="18"/>
        </w:rPr>
        <w:t>= AI 811.144 AgR, rel. min. Rosa Weber, j. 28-2-2012, 1ª T, DJE de 15-3-2012 Conhecer de um recurso por outro, ainda que ocorra erronia, pode configurar violação de norma processual infraconstitucional, e não ofensa ao princípio constitucional de que "a lei não excluirá da apreciação do Poder Judiciário lesão ou ameaça a direito" (...).</w:t>
      </w:r>
    </w:p>
    <w:p>
      <w:pPr>
        <w:ind w:left="288"/>
      </w:pPr>
      <w:r>
        <w:rPr>
          <w:b/>
          <w:color w:val="003CA0"/>
          <w:sz w:val="16"/>
        </w:rPr>
        <w:t>[AI 134.000 AgR, rel. min. Moreira Alves, j. 12-3-1991, 1ª T, DJ de 3-5-1991.]</w:t>
      </w:r>
    </w:p>
    <w:p>
      <w:pPr>
        <w:ind w:left="288"/>
      </w:pPr>
      <w:r>
        <w:rPr>
          <w:color w:val="8C8C8C"/>
          <w:sz w:val="12"/>
        </w:rPr>
        <w:t>cf-art-5-inc-XXXII-ali-b</w:t>
      </w:r>
    </w:p>
    <w:p>
      <w:pPr>
        <w:ind w:left="288"/>
      </w:pPr>
      <w:r>
        <w:rPr>
          <w:color w:val="1E1E1E"/>
          <w:sz w:val="18"/>
        </w:rPr>
        <w:t>XXXVI - a lei não prejudicará o direito adquirido, o ato jurídico perfeito e a coisa julgada; A homologação da transação penal prevista no art. 76 da Lei 9.099/1995 não faz coisa julgada material e, descumpridas suas cláusulas, retoma-se a situação anterior, possibilitando-se ao Ministério Público a continuidade da persecução penal mediante oferecimento de denúncia ou requisição de inquérito policial.</w:t>
      </w:r>
    </w:p>
    <w:p>
      <w:pPr>
        <w:ind w:left="288"/>
      </w:pPr>
      <w:r>
        <w:rPr>
          <w:b/>
          <w:color w:val="003CA0"/>
          <w:sz w:val="16"/>
        </w:rPr>
        <w:t>[Súmula Vinculante 35.]</w:t>
      </w:r>
    </w:p>
    <w:p>
      <w:pPr>
        <w:ind w:left="288"/>
      </w:pPr>
      <w:r>
        <w:rPr>
          <w:color w:val="8C8C8C"/>
          <w:sz w:val="12"/>
        </w:rPr>
        <w:t>cf-art-5-inc-XXXII-ali-b</w:t>
      </w:r>
    </w:p>
    <w:p>
      <w:pPr>
        <w:ind w:left="288"/>
      </w:pPr>
      <w:r>
        <w:rPr>
          <w:color w:val="1E1E1E"/>
          <w:sz w:val="18"/>
        </w:rPr>
        <w:t>Ofende a garantia constitucional do ato jurídico perfeito a decisão que, sem ponderar as circunstâncias do caso concreto, desconsidera a validez e a eficácia de acordo constante de termo de adesão instituído pela LC 110/2001.</w:t>
      </w:r>
    </w:p>
    <w:p>
      <w:pPr>
        <w:ind w:left="288"/>
      </w:pPr>
      <w:r>
        <w:rPr>
          <w:b/>
          <w:color w:val="003CA0"/>
          <w:sz w:val="16"/>
        </w:rPr>
        <w:t>[Súmula Vinculante 1.]</w:t>
      </w:r>
    </w:p>
    <w:p>
      <w:pPr>
        <w:ind w:left="288"/>
      </w:pPr>
      <w:r>
        <w:rPr>
          <w:color w:val="8C8C8C"/>
          <w:sz w:val="12"/>
        </w:rPr>
        <w:t>cf-art-5-inc-XXXII-ali-b</w:t>
      </w:r>
    </w:p>
    <w:p>
      <w:pPr>
        <w:ind w:left="288"/>
      </w:pPr>
      <w:r>
        <w:rPr>
          <w:color w:val="1E1E1E"/>
          <w:sz w:val="18"/>
        </w:rPr>
        <w:t>É constitucional o § 2º do art. 6º da Lei 8.024/1990, resultante da conversão da MP 168/1990, que fixou o BTN fiscal como índice de correção monetária aplicável aos depósitos bloqueados pelo Plano Collor I.</w:t>
      </w:r>
    </w:p>
    <w:p>
      <w:pPr>
        <w:ind w:left="288"/>
      </w:pPr>
      <w:r>
        <w:rPr>
          <w:b/>
          <w:color w:val="003CA0"/>
          <w:sz w:val="16"/>
        </w:rPr>
        <w:t>[Súmula 725.]</w:t>
      </w:r>
    </w:p>
    <w:p>
      <w:pPr>
        <w:ind w:left="288"/>
      </w:pPr>
      <w:r>
        <w:rPr>
          <w:color w:val="8C8C8C"/>
          <w:sz w:val="12"/>
        </w:rPr>
        <w:t>cf-art-5-inc-XXXII-ali-b</w:t>
      </w:r>
    </w:p>
    <w:p>
      <w:pPr>
        <w:ind w:left="288"/>
      </w:pPr>
      <w:r>
        <w:rPr>
          <w:color w:val="1E1E1E"/>
          <w:sz w:val="18"/>
        </w:rPr>
        <w:t>São inconstitucionais os incisos I e III do art. 7º da Lei 8.162/1991, que afastam, para efeito de anuênio e de licença-prêmio, a contagem do tempo de serviço regido pela CLT dos servidores que passaram a submeter-se ao regime jurídico único.</w:t>
      </w:r>
    </w:p>
    <w:p>
      <w:pPr>
        <w:ind w:left="288"/>
      </w:pPr>
      <w:r>
        <w:rPr>
          <w:b/>
          <w:color w:val="003CA0"/>
          <w:sz w:val="16"/>
        </w:rPr>
        <w:t>[Súmula 678.]</w:t>
      </w:r>
    </w:p>
    <w:p>
      <w:pPr>
        <w:ind w:left="288"/>
      </w:pPr>
      <w:r>
        <w:rPr>
          <w:color w:val="8C8C8C"/>
          <w:sz w:val="12"/>
        </w:rPr>
        <w:t>cf-art-5-inc-XXXII-ali-b</w:t>
      </w:r>
    </w:p>
    <w:p>
      <w:pPr>
        <w:ind w:left="288"/>
      </w:pPr>
      <w:r>
        <w:rPr>
          <w:color w:val="1E1E1E"/>
          <w:sz w:val="18"/>
        </w:rPr>
        <w:t>A garantia da irretroatividade da lei, prevista no art. 5º, XXXVI, da CF, não é invocável pela entidade estatal que a tenha editado.</w:t>
      </w:r>
    </w:p>
    <w:p>
      <w:pPr>
        <w:ind w:left="288"/>
      </w:pPr>
      <w:r>
        <w:rPr>
          <w:b/>
          <w:color w:val="003CA0"/>
          <w:sz w:val="16"/>
        </w:rPr>
        <w:t>[Súmula 654.]</w:t>
      </w:r>
    </w:p>
    <w:p>
      <w:pPr>
        <w:ind w:left="288"/>
      </w:pPr>
      <w:r>
        <w:rPr>
          <w:color w:val="8C8C8C"/>
          <w:sz w:val="12"/>
        </w:rPr>
        <w:t>cf-art-5-inc-XXXII-ali-b</w:t>
      </w:r>
    </w:p>
    <w:p>
      <w:pPr>
        <w:ind w:left="288"/>
      </w:pPr>
      <w:r>
        <w:rPr>
          <w:color w:val="1E1E1E"/>
          <w:sz w:val="18"/>
        </w:rPr>
        <w:t>Arquivado o inquérito policial, por despacho do juiz, a requerimento do promotor de justiça, não pode a ação penal ser iniciada, sem novas provas.</w:t>
      </w:r>
    </w:p>
    <w:p>
      <w:pPr>
        <w:ind w:left="288"/>
      </w:pPr>
      <w:r>
        <w:rPr>
          <w:b/>
          <w:color w:val="003CA0"/>
          <w:sz w:val="16"/>
        </w:rPr>
        <w:t>[Súmula 524.]</w:t>
      </w:r>
    </w:p>
    <w:p>
      <w:pPr>
        <w:ind w:left="288"/>
      </w:pPr>
      <w:r>
        <w:rPr>
          <w:color w:val="8C8C8C"/>
          <w:sz w:val="12"/>
        </w:rPr>
        <w:t>cf-art-5-inc-XXXII-ali-b</w:t>
      </w:r>
    </w:p>
    <w:p>
      <w:pPr>
        <w:ind w:left="288"/>
      </w:pPr>
      <w:r>
        <w:rPr>
          <w:color w:val="1E1E1E"/>
          <w:sz w:val="18"/>
        </w:rPr>
        <w:t>A prescrição das prestações anteriores ao período previsto em lei não ocorre, quando não tiver sido negado, antes daquele prazo, o próprio direito reclamado, ou a situação jurídica de que ele resulta.</w:t>
      </w:r>
    </w:p>
    <w:p>
      <w:pPr>
        <w:ind w:left="288"/>
      </w:pPr>
      <w:r>
        <w:rPr>
          <w:b/>
          <w:color w:val="003CA0"/>
          <w:sz w:val="16"/>
        </w:rPr>
        <w:t>[Súmula 443.]</w:t>
      </w:r>
    </w:p>
    <w:p>
      <w:pPr>
        <w:ind w:left="288"/>
      </w:pPr>
      <w:r>
        <w:rPr>
          <w:color w:val="8C8C8C"/>
          <w:sz w:val="12"/>
        </w:rPr>
        <w:t>cf-art-5-inc-XXXII-ali-b</w:t>
      </w:r>
    </w:p>
    <w:p>
      <w:pPr>
        <w:ind w:left="288"/>
      </w:pPr>
      <w:r>
        <w:rPr>
          <w:color w:val="1E1E1E"/>
          <w:sz w:val="18"/>
        </w:rPr>
        <w:t>Não cabe ação rescisória por ofensa a literal disposição de lei, quando a decisão rescindenda se tiver baseado em texto legal de interpretação controvertida nos tribunais.</w:t>
      </w:r>
    </w:p>
    <w:p>
      <w:pPr>
        <w:ind w:left="288"/>
      </w:pPr>
      <w:r>
        <w:rPr>
          <w:b/>
          <w:color w:val="003CA0"/>
          <w:sz w:val="16"/>
        </w:rPr>
        <w:t>[Súmula 343.]</w:t>
      </w:r>
    </w:p>
    <w:p>
      <w:pPr>
        <w:ind w:left="288"/>
      </w:pPr>
      <w:r>
        <w:rPr>
          <w:color w:val="8C8C8C"/>
          <w:sz w:val="12"/>
        </w:rPr>
        <w:t>cf-art-5-inc-XXXII-ali-b</w:t>
      </w:r>
    </w:p>
    <w:p>
      <w:pPr>
        <w:ind w:left="288"/>
      </w:pPr>
      <w:r>
        <w:rPr>
          <w:color w:val="1E1E1E"/>
          <w:sz w:val="18"/>
        </w:rPr>
        <w:t>Decisão que declara indevida a cobrança do imposto em determinado exercício não faz coisa julgada em relação aos posteriores.</w:t>
      </w:r>
    </w:p>
    <w:p>
      <w:pPr>
        <w:ind w:left="288"/>
      </w:pPr>
      <w:r>
        <w:rPr>
          <w:b/>
          <w:color w:val="003CA0"/>
          <w:sz w:val="16"/>
        </w:rPr>
        <w:t>[Súmula 239.]</w:t>
      </w:r>
    </w:p>
    <w:p>
      <w:pPr>
        <w:ind w:left="288"/>
      </w:pPr>
      <w:r>
        <w:rPr>
          <w:color w:val="8C8C8C"/>
          <w:sz w:val="12"/>
        </w:rPr>
        <w:t>cf-art-5-inc-XXXII-ali-b</w:t>
      </w:r>
      <w:r>
        <w:rPr>
          <w:color w:val="003CA0"/>
          <w:sz w:val="12"/>
        </w:rPr>
        <w:t xml:space="preserve"> | ADPF 615</w:t>
      </w:r>
      <w:r>
        <w:rPr>
          <w:color w:val="003CA0"/>
          <w:sz w:val="12"/>
        </w:rPr>
        <w:t xml:space="preserve"> | rel. Luís Roberto Barroso</w:t>
      </w:r>
    </w:p>
    <w:p>
      <w:pPr>
        <w:ind w:left="288"/>
      </w:pPr>
      <w:r>
        <w:rPr>
          <w:color w:val="1E1E1E"/>
          <w:sz w:val="18"/>
        </w:rPr>
        <w:t>“1. É possível aplicar o artigo 741, parágrafo único, do CPC/1973, atual art. 535, § 5º, do CPC/2015, aos feitos submetidos ao procedimento sumaríssimo, desde que o trânsito em julgado da fase de conhecimento seja posterior a 27.08.2001; 2. É admissível a invocação como fundamento da inexigibilidade de ser o título judicial fundado em aplicação ou interpretação tida como incompatível com a Constituição quando houver pronunciamento jurisdicional, contrário ao decidido pelo Plenário do Supremo Tribunal Federal, seja no controle difuso, seja no controle concentrado de constitucionalidade; 3. O ar</w:t>
      </w:r>
    </w:p>
    <w:p>
      <w:pPr>
        <w:ind w:left="288"/>
      </w:pPr>
      <w:r>
        <w:rPr>
          <w:b/>
          <w:color w:val="003CA0"/>
          <w:sz w:val="16"/>
        </w:rPr>
        <w:t>[ADPF 615, rel. min. Luís Roberto Barroso, red. do ac. min. Alexandre de Moraes, j. 14-11-2025, P, Informativo STF 1.199.]</w:t>
      </w:r>
    </w:p>
    <w:p>
      <w:pPr>
        <w:ind w:left="288"/>
      </w:pPr>
      <w:r>
        <w:rPr>
          <w:color w:val="8C8C8C"/>
          <w:sz w:val="12"/>
        </w:rPr>
        <w:t>cf-art-5-inc-XXXII-ali-b</w:t>
      </w:r>
      <w:r>
        <w:rPr>
          <w:color w:val="003CA0"/>
          <w:sz w:val="12"/>
        </w:rPr>
        <w:t xml:space="preserve"> | ADI 5.319</w:t>
      </w:r>
      <w:r>
        <w:rPr>
          <w:color w:val="003CA0"/>
          <w:sz w:val="12"/>
        </w:rPr>
        <w:t xml:space="preserve"> | rel. Nunes Marques</w:t>
      </w:r>
    </w:p>
    <w:p>
      <w:pPr>
        <w:ind w:left="288"/>
      </w:pPr>
      <w:r>
        <w:rPr>
          <w:color w:val="1E1E1E"/>
          <w:sz w:val="18"/>
        </w:rPr>
        <w:t>A imunidade tributária outorgada pelo art. 195, § 7º, da Constituição Federal às entidades beneficentes de assistência social é condicionada ao atendimento das exigências estabelecidas em lei. A relação jurídica entre Administração Pública e entidade beneficente é de trato sucessivo, considerada a evolução constante da sociedade, impondo, assim, fiscalização durante toda a vigência do Cebas. A jurisprudência do STF consolidou-se pela inexistência de direito adquirido a regime jurídico relativo a imunidade tributária, de modo que a concessão do Cebas não dispensa a instituição do atendimento de</w:t>
      </w:r>
    </w:p>
    <w:p>
      <w:pPr>
        <w:ind w:left="288"/>
      </w:pPr>
      <w:r>
        <w:rPr>
          <w:b/>
          <w:color w:val="003CA0"/>
          <w:sz w:val="16"/>
        </w:rPr>
        <w:t>[ADI 5.319, rel. min. Nunes Marques, j. 27-10-2025, P, DJE de 11-2-2026.]</w:t>
      </w:r>
    </w:p>
    <w:p>
      <w:pPr>
        <w:ind w:left="288"/>
      </w:pPr>
      <w:r>
        <w:rPr>
          <w:color w:val="8C8C8C"/>
          <w:sz w:val="12"/>
        </w:rPr>
        <w:t>cf-art-5-inc-XXXII-ali-b</w:t>
      </w:r>
      <w:r>
        <w:rPr>
          <w:color w:val="003CA0"/>
          <w:sz w:val="12"/>
        </w:rPr>
        <w:t xml:space="preserve"> | ADI 2.527</w:t>
      </w:r>
      <w:r>
        <w:rPr>
          <w:color w:val="003CA0"/>
          <w:sz w:val="12"/>
        </w:rPr>
        <w:t xml:space="preserve"> | rel. Cármen Lúcia</w:t>
      </w:r>
    </w:p>
    <w:p>
      <w:pPr>
        <w:ind w:left="288"/>
      </w:pPr>
      <w:r>
        <w:rPr>
          <w:color w:val="1E1E1E"/>
          <w:sz w:val="18"/>
        </w:rPr>
        <w:t>Ausência de revogação do caput do art. 896-A, incluído pela Medida Provisória n. 2.226/2011 na Consolidação das Leis do Trabalho. (...) Editada a Medida Provisória n. 2.226, de 4.9.2001, antes da Emenda Constitucional n. 32, de 11.9.2001, e não tendo sido revogada por medida provisória posterior nem por deliberação definitiva do Congresso Nacional, a norma instituída no art. 1º da Medida Provisória n. 2.226/2001 não perdeu validade. (...) Para a solução da controvérsia, há de considerarem o decurso de mais de vinte e quatro anos desde a entrada em vigor da Medida Provisória n. 2.226, de 4.9.20</w:t>
      </w:r>
    </w:p>
    <w:p>
      <w:pPr>
        <w:ind w:left="288"/>
      </w:pPr>
      <w:r>
        <w:rPr>
          <w:b/>
          <w:color w:val="003CA0"/>
          <w:sz w:val="16"/>
        </w:rPr>
        <w:t>[ADI 2.527, rel. min. Cármen Lúcia, j. 09.10.2025, P, DJE de 16.12.2025.]</w:t>
      </w:r>
    </w:p>
    <w:p>
      <w:pPr>
        <w:ind w:left="288"/>
      </w:pPr>
      <w:r>
        <w:rPr>
          <w:color w:val="8C8C8C"/>
          <w:sz w:val="12"/>
        </w:rPr>
        <w:t>cf-art-5-inc-XXXII-ali-b</w:t>
      </w:r>
      <w:r>
        <w:rPr>
          <w:color w:val="003CA0"/>
          <w:sz w:val="12"/>
        </w:rPr>
        <w:t xml:space="preserve"> | ADPF 1.060</w:t>
      </w:r>
      <w:r>
        <w:rPr>
          <w:color w:val="003CA0"/>
          <w:sz w:val="12"/>
        </w:rPr>
        <w:t xml:space="preserve"> | rel. Dias Toffoli</w:t>
      </w:r>
    </w:p>
    <w:p>
      <w:pPr>
        <w:ind w:left="288"/>
      </w:pPr>
      <w:r>
        <w:rPr>
          <w:color w:val="1E1E1E"/>
          <w:sz w:val="18"/>
        </w:rPr>
        <w:t>“Prescrevem em 5 anos, a contar da publicação da ata de julgamento da presente ação, as pretensões de indenização propostas contra a União por filhos de pessoas atingidas pela hanseníase cujo fundamento seja o afastamento forçado promovido pelo Estado entre eles e seus pais, sem prejuízo da necessária demonstração, em cada caso, dos pressupostos da responsabilização civil do Estado”</w:t>
      </w:r>
    </w:p>
    <w:p>
      <w:pPr>
        <w:ind w:left="288"/>
      </w:pPr>
      <w:r>
        <w:rPr>
          <w:b/>
          <w:color w:val="003CA0"/>
          <w:sz w:val="16"/>
        </w:rPr>
        <w:t>[ADPF 1.060, rel. min. Dias Toffoli, j. 26.09.2025, P, Informativo STF 1.192.]</w:t>
      </w:r>
    </w:p>
    <w:p>
      <w:pPr>
        <w:ind w:left="288"/>
      </w:pPr>
      <w:r>
        <w:rPr>
          <w:color w:val="8C8C8C"/>
          <w:sz w:val="12"/>
        </w:rPr>
        <w:t>cf-art-5-inc-XXXII-ali-b</w:t>
      </w:r>
      <w:r>
        <w:rPr>
          <w:color w:val="003CA0"/>
          <w:sz w:val="12"/>
        </w:rPr>
        <w:t xml:space="preserve"> | ADI 2.111</w:t>
      </w:r>
      <w:r>
        <w:rPr>
          <w:color w:val="003CA0"/>
          <w:sz w:val="12"/>
        </w:rPr>
        <w:t xml:space="preserve"> | rel. Nunes Marques</w:t>
      </w:r>
    </w:p>
    <w:p>
      <w:pPr>
        <w:ind w:left="288"/>
      </w:pPr>
      <w:r>
        <w:rPr>
          <w:color w:val="1E1E1E"/>
          <w:sz w:val="18"/>
        </w:rPr>
        <w:t>Cumpre conhecer dos aclaratórios e acolhê-los parcialmente, apenas para assentar, na parte dispositiva do acórdão: (i) a irrepetibilidade dos valores percebidos a maior pelos segurados e pensionistas do INSS em virtude de decisões judiciais, definitivas ou provisórias, prolatadas até a data de 5.4.2024; (ii) a inexigibilidade de honorários advocatícios de sucumbência, custas e perícias contábeis dos postulantes de ações judiciais lastreadas na tese jurídica denominada “Revisão da Vida Toda”.</w:t>
      </w:r>
    </w:p>
    <w:p>
      <w:pPr>
        <w:ind w:left="288"/>
      </w:pPr>
      <w:r>
        <w:rPr>
          <w:b/>
          <w:color w:val="003CA0"/>
          <w:sz w:val="16"/>
        </w:rPr>
        <w:t>[ADI 2.111 ED-ED, rel. min. Nunes Marques, j. 10.04.2025, P, DJE de 12.06.2025.]</w:t>
      </w:r>
    </w:p>
    <w:p>
      <w:pPr>
        <w:ind w:left="288"/>
      </w:pPr>
      <w:r>
        <w:rPr>
          <w:color w:val="8C8C8C"/>
          <w:sz w:val="12"/>
        </w:rPr>
        <w:t>cf-art-5-inc-XXXII-ali-b</w:t>
      </w:r>
      <w:r>
        <w:rPr>
          <w:color w:val="003CA0"/>
          <w:sz w:val="12"/>
        </w:rPr>
        <w:t xml:space="preserve"> | ADI 5.340</w:t>
      </w:r>
      <w:r>
        <w:rPr>
          <w:color w:val="003CA0"/>
          <w:sz w:val="12"/>
        </w:rPr>
        <w:t xml:space="preserve"> | rel. Dias Toffoli</w:t>
      </w:r>
    </w:p>
    <w:p>
      <w:pPr>
        <w:ind w:left="288"/>
      </w:pPr>
      <w:r>
        <w:rPr>
          <w:color w:val="1E1E1E"/>
          <w:sz w:val="18"/>
        </w:rPr>
        <w:t>“A Lei nº 13.134/15, relativamente aos prazos de carência do seguro-desemprego, não importou em violação do princípio da proibição do retrocesso social nem do princípio da segurança jurídica”.</w:t>
      </w:r>
    </w:p>
    <w:p>
      <w:pPr>
        <w:ind w:left="288"/>
      </w:pPr>
      <w:r>
        <w:rPr>
          <w:b/>
          <w:color w:val="003CA0"/>
          <w:sz w:val="16"/>
        </w:rPr>
        <w:t>[ADI 5.340, rel. min. Dias Toffoli, j. 21.10.2024, P, DJE de 05.11.2024.]</w:t>
      </w:r>
    </w:p>
    <w:p>
      <w:pPr>
        <w:ind w:left="288"/>
      </w:pPr>
      <w:r>
        <w:rPr>
          <w:color w:val="8C8C8C"/>
          <w:sz w:val="12"/>
        </w:rPr>
        <w:t>cf-art-5-inc-XXXII-ali-b</w:t>
      </w:r>
      <w:r>
        <w:rPr>
          <w:color w:val="003CA0"/>
          <w:sz w:val="12"/>
        </w:rPr>
        <w:t xml:space="preserve"> | ADI 7.226</w:t>
      </w:r>
      <w:r>
        <w:rPr>
          <w:color w:val="003CA0"/>
          <w:sz w:val="12"/>
        </w:rPr>
        <w:t xml:space="preserve"> | rel. Dias Toffoli</w:t>
      </w:r>
    </w:p>
    <w:p>
      <w:pPr>
        <w:ind w:left="288"/>
      </w:pPr>
      <w:r>
        <w:rPr>
          <w:color w:val="1E1E1E"/>
          <w:sz w:val="18"/>
        </w:rPr>
        <w:t>“É constitucional a adoção de critérios diferenciados para a obtenção das progressões verticais e horizontais nas carreiras dos delegados e policiais civis dos estados a depender da data de ingresso no cargo, porquanto os princípios da segurança jurídica e da proteção ao direito adquirido não garantem aos servidores potencialmente afetados por alterações legislativas o direito à manutenção do regime jurídico anterior”.</w:t>
      </w:r>
    </w:p>
    <w:p>
      <w:pPr>
        <w:ind w:left="288"/>
      </w:pPr>
      <w:r>
        <w:rPr>
          <w:b/>
          <w:color w:val="003CA0"/>
          <w:sz w:val="16"/>
        </w:rPr>
        <w:t>[ADI 7.226, rel. min. Dias Toffoli, j. 22-8-2023, P, DJE de 5-9-2023.]</w:t>
      </w:r>
    </w:p>
    <w:p>
      <w:pPr>
        <w:ind w:left="288"/>
      </w:pPr>
      <w:r>
        <w:rPr>
          <w:color w:val="8C8C8C"/>
          <w:sz w:val="12"/>
        </w:rPr>
        <w:t>cf-art-5-inc-XXXII-ali-b</w:t>
      </w:r>
      <w:r>
        <w:rPr>
          <w:color w:val="003CA0"/>
          <w:sz w:val="12"/>
        </w:rPr>
        <w:t xml:space="preserve"> | ADPF 341</w:t>
      </w:r>
      <w:r>
        <w:rPr>
          <w:color w:val="003CA0"/>
          <w:sz w:val="12"/>
        </w:rPr>
        <w:t xml:space="preserve"> | rel. Roberto Barroso</w:t>
      </w:r>
    </w:p>
    <w:p>
      <w:pPr>
        <w:ind w:left="288"/>
      </w:pPr>
      <w:r>
        <w:rPr>
          <w:color w:val="1E1E1E"/>
          <w:sz w:val="18"/>
        </w:rPr>
        <w:t>O art. 3º da Portaria Normativa MEC nº 21/2014 alterou a redação do art. 19 da Portaria Normativa MEC nº 10/2010, passando a exigir média superior a 450 pontos e nota superior a zero nas redações do ENEM, como condição para a obtenção de financiamento de curso superior junto ao Fundo de Financiamento ao Estudante de Ensino Superior - FIES. Violação da segurança jurídica. Afastamento da exigência de desempenho mínimo no ENEM para a renovação dos contratos dos estudantes que já estavam cursando o ensino superior com financiamento do FIES antes da alteração da Portaria Normativa MEC nº 10/2010. Q</w:t>
      </w:r>
    </w:p>
    <w:p>
      <w:pPr>
        <w:ind w:left="288"/>
      </w:pPr>
      <w:r>
        <w:rPr>
          <w:b/>
          <w:color w:val="003CA0"/>
          <w:sz w:val="16"/>
        </w:rPr>
        <w:t>[ADPF 341, rel. min. Roberto Barroso, j. 22-2-2023, P, DJE de 2-3-2023.]</w:t>
      </w:r>
    </w:p>
    <w:p>
      <w:pPr>
        <w:ind w:left="288"/>
      </w:pPr>
      <w:r>
        <w:rPr>
          <w:color w:val="8C8C8C"/>
          <w:sz w:val="12"/>
        </w:rPr>
        <w:t>cf-art-5-inc-XXXII-ali-b</w:t>
      </w:r>
      <w:r>
        <w:rPr>
          <w:color w:val="003CA0"/>
          <w:sz w:val="12"/>
        </w:rPr>
        <w:t xml:space="preserve"> | ADI 5.606</w:t>
      </w:r>
      <w:r>
        <w:rPr>
          <w:color w:val="003CA0"/>
          <w:sz w:val="12"/>
        </w:rPr>
        <w:t xml:space="preserve"> | rel. Ricardo Lewandowski</w:t>
      </w:r>
    </w:p>
    <w:p>
      <w:pPr>
        <w:ind w:left="288"/>
      </w:pPr>
      <w:r>
        <w:rPr>
          <w:color w:val="1E1E1E"/>
          <w:sz w:val="18"/>
        </w:rPr>
        <w:t>A suspensão, por lei, de efeitos financeiros futuros de promoções de servidores públicos não ofende a proteção constitucional do direito adquirido e a regra da irredutibilidade de vencimentos.</w:t>
      </w:r>
    </w:p>
    <w:p>
      <w:pPr>
        <w:ind w:left="288"/>
      </w:pPr>
      <w:r>
        <w:rPr>
          <w:b/>
          <w:color w:val="003CA0"/>
          <w:sz w:val="16"/>
        </w:rPr>
        <w:t>[ADI 5.606, rel min. Ricardo Lewandowski, red. do ac. min. Roberto Barroso, j. 21-2-2022, P, DJE de 31-3-2022.]</w:t>
      </w:r>
    </w:p>
    <w:p>
      <w:pPr>
        <w:ind w:left="288"/>
      </w:pPr>
      <w:r>
        <w:rPr>
          <w:color w:val="8C8C8C"/>
          <w:sz w:val="12"/>
        </w:rPr>
        <w:t>cf-art-5-inc-XXXII-ali-b</w:t>
      </w:r>
      <w:r>
        <w:rPr>
          <w:color w:val="003CA0"/>
          <w:sz w:val="12"/>
        </w:rPr>
        <w:t xml:space="preserve"> | ADI 3.005</w:t>
      </w:r>
      <w:r>
        <w:rPr>
          <w:color w:val="003CA0"/>
          <w:sz w:val="12"/>
        </w:rPr>
        <w:t xml:space="preserve"> | rel. Ricardo Lewandowski</w:t>
      </w:r>
    </w:p>
    <w:p>
      <w:pPr>
        <w:ind w:left="288"/>
      </w:pPr>
      <w:r>
        <w:rPr>
          <w:color w:val="1E1E1E"/>
          <w:sz w:val="18"/>
        </w:rPr>
        <w:t>Lei 8.177/1991. Incidência em contratos anteriores à promulgação do diploma normativo com a fixação de novos índices de correção. (...) A norma atacada, ao estabelecer a incidência da TR em substituição do IPC nas operações de crédito rural, contratadas junto às instituições financeiras, com recursos oriundos de depósitos à vista, sem qualquer ressalva, tem o condão de alcançar ajustes celebrados antes do advento da mencionada Lei. Disposição que se afigura incompatível com a garantia fundamental de proteção ao ato jurídico perfeito, pois tem o potencial de alterar uma relação jurídica preexis</w:t>
      </w:r>
    </w:p>
    <w:p>
      <w:pPr>
        <w:ind w:left="288"/>
      </w:pPr>
      <w:r>
        <w:rPr>
          <w:b/>
          <w:color w:val="003CA0"/>
          <w:sz w:val="16"/>
        </w:rPr>
        <w:t>[ADI 3.005, rel. min. Ricardo Lewandowski, j. 1º-7-2020, P, DJE de 13-11-2020.]</w:t>
      </w:r>
    </w:p>
    <w:p>
      <w:pPr>
        <w:ind w:left="288"/>
      </w:pPr>
      <w:r>
        <w:rPr>
          <w:color w:val="8C8C8C"/>
          <w:sz w:val="12"/>
        </w:rPr>
        <w:t>cf-art-5-inc-XXXII-ali-b</w:t>
      </w:r>
      <w:r>
        <w:rPr>
          <w:color w:val="003CA0"/>
          <w:sz w:val="12"/>
        </w:rPr>
        <w:t xml:space="preserve"> | ADPF 77</w:t>
      </w:r>
      <w:r>
        <w:rPr>
          <w:color w:val="003CA0"/>
          <w:sz w:val="12"/>
        </w:rPr>
        <w:t xml:space="preserve"> | rel. Dias Toffoli</w:t>
      </w:r>
    </w:p>
    <w:p>
      <w:pPr>
        <w:ind w:left="288"/>
      </w:pPr>
      <w:r>
        <w:rPr>
          <w:color w:val="1E1E1E"/>
          <w:sz w:val="18"/>
        </w:rPr>
        <w:t>O art. 38 da Lei 8.880/94 (cuja origem remonta ao art. 36 da MP 494/94), estabelecedor das bases a serem tomadas para o cálculo dos índices de correção monetária em julho e agosto de 1994, ensejou a precisa medição da inflação antes e depois da substituição do cruzeiro real pelo real, bem como a preservação do equilíbrio econômico-financeiro das obrigações reajustáveis por ele alcançadas. O dispositivo, imanente às normas responsáveis pela alteração da moeda, não promoveu, quanto àqueles meses, expurgo inflacionário. Consoante o entendimento da Corte, normas que tratam de regime monetário, com</w:t>
      </w:r>
    </w:p>
    <w:p>
      <w:pPr>
        <w:ind w:left="288"/>
      </w:pPr>
      <w:r>
        <w:rPr>
          <w:b/>
          <w:color w:val="003CA0"/>
          <w:sz w:val="16"/>
        </w:rPr>
        <w:t>[ADPF 77, rel. min. Dias Toffoli, j. 16-5-2019, P, DJE de 5-5-2020.]</w:t>
      </w:r>
    </w:p>
    <w:p>
      <w:pPr>
        <w:ind w:left="288"/>
      </w:pPr>
      <w:r>
        <w:rPr>
          <w:color w:val="8C8C8C"/>
          <w:sz w:val="12"/>
        </w:rPr>
        <w:t>cf-art-5-inc-XXXII-ali-b</w:t>
      </w:r>
      <w:r>
        <w:rPr>
          <w:color w:val="003CA0"/>
          <w:sz w:val="12"/>
        </w:rPr>
        <w:t xml:space="preserve"> | ADI 1.931</w:t>
      </w:r>
    </w:p>
    <w:p>
      <w:pPr>
        <w:ind w:left="288"/>
      </w:pPr>
      <w:r>
        <w:rPr>
          <w:color w:val="1E1E1E"/>
          <w:sz w:val="18"/>
        </w:rPr>
        <w:t>Articula-se, na petição inicial, quanto aos artigos 10, § 2º, e 35-E da Lei nº 9.656/1998; e 2º da Medida Provisória nº 2.177-44/2001, com a ofensa ao direito adquirido e ao ato jurídico perfeito. (...) Os dispositivos em análise preveem a incidência das novas regras relativas aos planos de saúde em contratos celebrados anteriormente à vigência do diploma. A norma destoa do Texto Maior. A vida democrática pressupõe segurança jurídica, e esta não se coaduna com o afastamento de ato jurídico perfeito e acabado mediante aplicação de lei nova. É o que decorre do inciso XXXVI do artigo 5º da Consti</w:t>
      </w:r>
    </w:p>
    <w:p>
      <w:pPr>
        <w:ind w:left="288"/>
      </w:pPr>
      <w:r>
        <w:rPr>
          <w:b/>
          <w:color w:val="003CA0"/>
          <w:sz w:val="16"/>
        </w:rPr>
        <w:t>[ADI 1.931, voto do min. Marco Aurélio, j. 7-2-2018, P, DJE de 8-6-2018.]</w:t>
      </w:r>
    </w:p>
    <w:p>
      <w:pPr>
        <w:ind w:left="288"/>
      </w:pPr>
      <w:r>
        <w:rPr>
          <w:color w:val="8C8C8C"/>
          <w:sz w:val="12"/>
        </w:rPr>
        <w:t>cf-art-5-inc-XXXII-ali-b</w:t>
      </w:r>
      <w:r>
        <w:rPr>
          <w:color w:val="003CA0"/>
          <w:sz w:val="12"/>
        </w:rPr>
        <w:t xml:space="preserve"> | ADI 4.917</w:t>
      </w:r>
      <w:r>
        <w:rPr>
          <w:color w:val="003CA0"/>
          <w:sz w:val="12"/>
        </w:rPr>
        <w:t xml:space="preserve"> | rel. Cármen Lúcia</w:t>
      </w:r>
    </w:p>
    <w:p>
      <w:pPr>
        <w:ind w:left="288"/>
      </w:pPr>
      <w:r>
        <w:rPr>
          <w:color w:val="1E1E1E"/>
          <w:sz w:val="18"/>
        </w:rPr>
        <w:t>Dispositivos da Lei 9.478/1997 e da Lei 12.351/2010 alterados pela Lei 12.734/2012. Mudanças das regras de distribuição de royalties e participações especiais de Estados e Municípios: alegação de desobediência ao art. 20, § 1º, c/c a alínea b do inciso II do § 2º do art. 155 da Constituição da República. Impugnação retroação de efeitos da nova legislação em inobservância a atos jurídicos perfeitos e ao princípio da segurança jurídica. Plausibilidade jurídica demonstrada. Excepcional urgência configurada a impor deferimento cautelar ad referendum do Plenário.</w:t>
      </w:r>
    </w:p>
    <w:p>
      <w:pPr>
        <w:ind w:left="288"/>
      </w:pPr>
      <w:r>
        <w:rPr>
          <w:b/>
          <w:color w:val="003CA0"/>
          <w:sz w:val="16"/>
        </w:rPr>
        <w:t>[ADI 4.917 MC, rel. min. Cármen Lúcia, j. 18-3-2013, dec. monocrática, DJE de 21-3-2013.]</w:t>
      </w:r>
    </w:p>
    <w:p>
      <w:pPr>
        <w:ind w:left="288"/>
      </w:pPr>
      <w:r>
        <w:rPr>
          <w:color w:val="8C8C8C"/>
          <w:sz w:val="12"/>
        </w:rPr>
        <w:t>cf-art-5-inc-XXXII-ali-b</w:t>
      </w:r>
      <w:r>
        <w:rPr>
          <w:color w:val="003CA0"/>
          <w:sz w:val="12"/>
        </w:rPr>
        <w:t xml:space="preserve"> | ADC 29</w:t>
      </w:r>
      <w:r>
        <w:rPr>
          <w:color w:val="003CA0"/>
          <w:sz w:val="12"/>
        </w:rPr>
        <w:t xml:space="preserve"> | rel. Luiz Fux</w:t>
      </w:r>
    </w:p>
    <w:p>
      <w:pPr>
        <w:ind w:left="288"/>
      </w:pPr>
      <w:r>
        <w:rPr>
          <w:color w:val="1E1E1E"/>
          <w:sz w:val="18"/>
        </w:rPr>
        <w:t>A elegibilidade é a adequação do indivíduo ao regime jurídico – constitucional e legal complementar – do processo eleitoral, razão pela qual a aplicação da LC 135/2010 com a consideração de fatos anteriores não pode ser capitulada na retroatividade vedada pelo art. 5º, XXXV, da Constituição, mercê de incabível a invocação de direito adquirido ou de autoridade da coisa julgada (que opera sob o pálio da cláusula rebus sic stantibus) anteriormente ao pleito em oposição ao diploma legal retromencionado; subjaz a mera adequação ao sistema normativo pretérito (expectativa de direito).</w:t>
      </w:r>
    </w:p>
    <w:p>
      <w:pPr>
        <w:ind w:left="288"/>
      </w:pPr>
      <w:r>
        <w:rPr>
          <w:b/>
          <w:color w:val="003CA0"/>
          <w:sz w:val="16"/>
        </w:rPr>
        <w:t>[ADC 29, ADC 30 e ADI 4.578, rel. min. Luiz Fux, j. 16-2-2012, P, DJE de 29-6-2012.]</w:t>
      </w:r>
    </w:p>
    <w:p>
      <w:pPr>
        <w:ind w:left="288"/>
      </w:pPr>
      <w:r>
        <w:rPr>
          <w:color w:val="8C8C8C"/>
          <w:sz w:val="12"/>
        </w:rPr>
        <w:t>cf-art-5-inc-XXXII-ali-b</w:t>
      </w:r>
      <w:r>
        <w:rPr>
          <w:color w:val="003CA0"/>
          <w:sz w:val="12"/>
        </w:rPr>
        <w:t xml:space="preserve"> | RE 929.670</w:t>
      </w:r>
      <w:r>
        <w:rPr>
          <w:color w:val="003CA0"/>
          <w:sz w:val="12"/>
        </w:rPr>
        <w:t xml:space="preserve"> | rel. Cármen Lúcia</w:t>
      </w:r>
    </w:p>
    <w:p>
      <w:pPr>
        <w:ind w:left="288"/>
      </w:pPr>
      <w:r>
        <w:rPr>
          <w:color w:val="1E1E1E"/>
          <w:sz w:val="18"/>
        </w:rPr>
        <w:t>Vide RE 929.670, red. do ac. min. Luiz Fux, j. 1º-3-2018, P, DJE de 12-4-2019. Tema 860 Art. 2º e expressão "8º" do art. 10, ambos da EC 41/2003. Aposentadoria. Tempus regit actum. Regime jurídico. Direito adquirido: não ocorrência. A aposentadoria é direito constitucional que se adquire e se introduz no patrimônio jurídico do interessado no momento de sua formalização pela entidade competente. Em questões previdenciárias, aplicam-se as normas vigentes ao tempo da reunião dos requisitos de passagem para a inatividade. Somente os servidores públicos que preenchiam os requisitos estabelecidos na</w:t>
      </w:r>
    </w:p>
    <w:p>
      <w:pPr>
        <w:ind w:left="288"/>
      </w:pPr>
      <w:r>
        <w:rPr>
          <w:b/>
          <w:color w:val="003CA0"/>
          <w:sz w:val="16"/>
        </w:rPr>
        <w:t>[ADI 3.104, rel. min. Cármen Lúcia, j. 26-9-2007, P, DJ de 9-11-2007.]</w:t>
      </w:r>
    </w:p>
    <w:p>
      <w:pPr>
        <w:ind w:left="288"/>
      </w:pPr>
      <w:r>
        <w:rPr>
          <w:color w:val="8C8C8C"/>
          <w:sz w:val="12"/>
        </w:rPr>
        <w:t>cf-art-5-inc-XXXII-ali-b</w:t>
      </w:r>
      <w:r>
        <w:rPr>
          <w:color w:val="003CA0"/>
          <w:sz w:val="12"/>
        </w:rPr>
        <w:t xml:space="preserve"> | ADI 2.527</w:t>
      </w:r>
      <w:r>
        <w:rPr>
          <w:color w:val="003CA0"/>
          <w:sz w:val="12"/>
        </w:rPr>
        <w:t xml:space="preserve"> | rel. Ellen Gracie</w:t>
      </w:r>
    </w:p>
    <w:p>
      <w:pPr>
        <w:ind w:left="288"/>
      </w:pPr>
      <w:r>
        <w:rPr>
          <w:color w:val="1E1E1E"/>
          <w:sz w:val="18"/>
        </w:rPr>
        <w:t>A introdução, no art. 6º da Lei 9.469/1997, de dispositivo que afasta, no caso de transação ou acordo, a possibilidade do pagamento dos honorários devidos ao advogado da parte contrária, ainda que fruto de condenação transitada em julgado, choca-se, aparentemente, com a garantia insculpida no art. 5º, XXXVI, da Constituição, por desconsiderar a coisa julgada, além de afrontar a garantia de isonomia da parte obrigada a negociar despida de uma parcela significativa de seu poder de barganha, correspondente à verba honorária.</w:t>
      </w:r>
    </w:p>
    <w:p>
      <w:pPr>
        <w:ind w:left="288"/>
      </w:pPr>
      <w:r>
        <w:rPr>
          <w:b/>
          <w:color w:val="003CA0"/>
          <w:sz w:val="16"/>
        </w:rPr>
        <w:t>[ADI 2.527 MC, rel. min. Ellen Gracie, j. 16-8-2007, P, DJ de 23-11-2007.]</w:t>
      </w:r>
    </w:p>
    <w:p>
      <w:pPr>
        <w:ind w:left="288"/>
      </w:pPr>
      <w:r>
        <w:rPr>
          <w:color w:val="8C8C8C"/>
          <w:sz w:val="12"/>
        </w:rPr>
        <w:t>cf-art-5-inc-XXXII-ali-b</w:t>
      </w:r>
      <w:r>
        <w:rPr>
          <w:color w:val="003CA0"/>
          <w:sz w:val="12"/>
        </w:rPr>
        <w:t xml:space="preserve"> | ADI 3.112</w:t>
      </w:r>
      <w:r>
        <w:rPr>
          <w:color w:val="003CA0"/>
          <w:sz w:val="12"/>
        </w:rPr>
        <w:t xml:space="preserve"> | rel. Ricardo Lewandowski</w:t>
      </w:r>
    </w:p>
    <w:p>
      <w:pPr>
        <w:ind w:left="288"/>
      </w:pPr>
      <w:r>
        <w:rPr>
          <w:color w:val="1E1E1E"/>
          <w:sz w:val="18"/>
        </w:rPr>
        <w:t>Lei 10.826/2003. Estatuto do Desarmamento. O direito do proprietário à percepção de justa e adequada indenização, reconhecida no diploma legal impugnado, afasta a alegada violação ao art. 5º, XXII, da CF, bem como ao ato jurídico perfeito e ao direito adquirido</w:t>
      </w:r>
    </w:p>
    <w:p>
      <w:pPr>
        <w:ind w:left="288"/>
      </w:pPr>
      <w:r>
        <w:rPr>
          <w:b/>
          <w:color w:val="003CA0"/>
          <w:sz w:val="16"/>
        </w:rPr>
        <w:t>[ADI 3.112, rel. min. Ricardo Lewandowski, j. 2-5-2007, P, DJ de 26-10-2007.]</w:t>
      </w:r>
    </w:p>
    <w:p>
      <w:pPr>
        <w:ind w:left="288"/>
      </w:pPr>
      <w:r>
        <w:rPr>
          <w:color w:val="8C8C8C"/>
          <w:sz w:val="12"/>
        </w:rPr>
        <w:t>cf-art-5-inc-XXXII-ali-b</w:t>
      </w:r>
      <w:r>
        <w:rPr>
          <w:color w:val="003CA0"/>
          <w:sz w:val="12"/>
        </w:rPr>
        <w:t xml:space="preserve"> | ADI 3.453</w:t>
      </w:r>
      <w:r>
        <w:rPr>
          <w:color w:val="003CA0"/>
          <w:sz w:val="12"/>
        </w:rPr>
        <w:t xml:space="preserve"> | rel. Cármen Lúcia</w:t>
      </w:r>
    </w:p>
    <w:p>
      <w:pPr>
        <w:ind w:left="288"/>
      </w:pPr>
      <w:r>
        <w:rPr>
          <w:color w:val="1E1E1E"/>
          <w:sz w:val="18"/>
        </w:rPr>
        <w:t xml:space="preserve">Art. 19 da Lei nacional 11.033, de 21-12-2004. Afronta aos arts. 5º, XXXVI, e 100 da Constituição da República. O art. 19 da Lei 11.033/2004 impõe condições para o levantamento dos valores do precatório devido pela Fazenda Pública. A norma infraconstitucional estatuiu condição para a satisfação do direito do jurisdicionado – constitucionalmente garantido – que não se contém na norma fundamental da República. A matéria relativa a precatórios não chama a atuação do legislador infraconstitucional, menos ainda para impor restrições que não se coadunam com o direito à efetividade da jurisdição e o </w:t>
      </w:r>
    </w:p>
    <w:p>
      <w:pPr>
        <w:ind w:left="288"/>
      </w:pPr>
      <w:r>
        <w:rPr>
          <w:b/>
          <w:color w:val="003CA0"/>
          <w:sz w:val="16"/>
        </w:rPr>
        <w:t>[ADI 3.453, rel. min. Cármen Lúcia, j. 30-11-2006, P, DJ de 16-3-2007.]</w:t>
      </w:r>
    </w:p>
    <w:p>
      <w:pPr>
        <w:ind w:left="288"/>
      </w:pPr>
      <w:r>
        <w:rPr>
          <w:color w:val="8C8C8C"/>
          <w:sz w:val="12"/>
        </w:rPr>
        <w:t>cf-art-5-inc-XXXII-ali-b</w:t>
      </w:r>
      <w:r>
        <w:rPr>
          <w:color w:val="003CA0"/>
          <w:sz w:val="12"/>
        </w:rPr>
        <w:t xml:space="preserve"> | ADI 3.105</w:t>
      </w:r>
      <w:r>
        <w:rPr>
          <w:color w:val="003CA0"/>
          <w:sz w:val="12"/>
        </w:rPr>
        <w:t xml:space="preserve"> | rel. Ellen Gracie</w:t>
      </w:r>
    </w:p>
    <w:p>
      <w:pPr>
        <w:ind w:left="288"/>
      </w:pPr>
      <w:r>
        <w:rPr>
          <w:color w:val="1E1E1E"/>
          <w:sz w:val="18"/>
        </w:rPr>
        <w:t>Seguridade social. Servidor público. Vencimentos. Proventos de aposentadoria e pensões. Sujeição à incidência de contribuição previdenciária. Ofensa a direito adquirido no ato de aposentadoria. Não ocorrência. Contribuição social. Exigência patrimonial de natureza tributária. Inexistência de norma de imunidade tributária absoluta.</w:t>
      </w:r>
    </w:p>
    <w:p>
      <w:pPr>
        <w:ind w:left="288"/>
      </w:pPr>
      <w:r>
        <w:rPr>
          <w:b/>
          <w:color w:val="003CA0"/>
          <w:sz w:val="16"/>
        </w:rPr>
        <w:t>[ADI 3.105, rel. min. Ellen Gracie, red. do ac. min. Cezar Peluso, j. 18-8-2004, P, DJ de 18-2-2005.]</w:t>
      </w:r>
    </w:p>
    <w:p>
      <w:pPr>
        <w:ind w:left="288"/>
      </w:pPr>
      <w:r>
        <w:rPr>
          <w:color w:val="8C8C8C"/>
          <w:sz w:val="12"/>
        </w:rPr>
        <w:t>cf-art-5-inc-XXXII-ali-b</w:t>
      </w:r>
      <w:r>
        <w:rPr>
          <w:color w:val="003CA0"/>
          <w:sz w:val="12"/>
        </w:rPr>
        <w:t xml:space="preserve"> | RE 602.771</w:t>
      </w:r>
      <w:r>
        <w:rPr>
          <w:color w:val="003CA0"/>
          <w:sz w:val="12"/>
        </w:rPr>
        <w:t xml:space="preserve"> | rel. Cármen Lúcia</w:t>
      </w:r>
    </w:p>
    <w:p>
      <w:pPr>
        <w:ind w:left="288"/>
      </w:pPr>
      <w:r>
        <w:rPr>
          <w:color w:val="1E1E1E"/>
          <w:sz w:val="18"/>
        </w:rPr>
        <w:t>= RE 602.771 AgR, rel. min Cármen Lúcia, j. 15-2-2011, 1ª T, DJE de 18-3-2011 Vide AI 594.104 AgR, rel. min. Ellen Gracie, j. 4-5-2010, 2ª T, DJE de 21-5-2010 Vide RE 475.076 AgR, rel. min. Eros Grau, j. 25-11-2008, 2ª T, DJE de 19-12-2008 Afigura-se constitucional diploma que, a um só tempo, veda a transformação da licença-prêmio em pecúnia e assegura a situação jurídica daqueles que já tenham atendido ao fator temporal, havendo sido integrado no patrimônio o direito adquirido ao benefício de acordo com as normas alteradas pela nova regência.</w:t>
      </w:r>
    </w:p>
    <w:p>
      <w:pPr>
        <w:ind w:left="288"/>
      </w:pPr>
      <w:r>
        <w:rPr>
          <w:b/>
          <w:color w:val="003CA0"/>
          <w:sz w:val="16"/>
        </w:rPr>
        <w:t>[ADI 2.887, rel. min. Marco Aurélio, j. 4-2-2004, P, DJ de 6-8-2004.]</w:t>
      </w:r>
    </w:p>
    <w:p>
      <w:pPr>
        <w:ind w:left="288"/>
      </w:pPr>
      <w:r>
        <w:rPr>
          <w:color w:val="8C8C8C"/>
          <w:sz w:val="12"/>
        </w:rPr>
        <w:t>cf-art-5-inc-XXXII-ali-b</w:t>
      </w:r>
      <w:r>
        <w:rPr>
          <w:color w:val="003CA0"/>
          <w:sz w:val="12"/>
        </w:rPr>
        <w:t xml:space="preserve"> | ARE 664.387</w:t>
      </w:r>
      <w:r>
        <w:rPr>
          <w:color w:val="003CA0"/>
          <w:sz w:val="12"/>
        </w:rPr>
        <w:t xml:space="preserve"> | rel. Ayres Britto</w:t>
      </w:r>
    </w:p>
    <w:p>
      <w:pPr>
        <w:ind w:left="288"/>
      </w:pPr>
      <w:r>
        <w:rPr>
          <w:color w:val="1E1E1E"/>
          <w:sz w:val="18"/>
        </w:rPr>
        <w:t>= ARE 664.387 AgR, rel. min. Ayres Britto, j. 14-2-2012, 2ª T, DJE de 8-3-2012 = AI 745.905 AgR, rel. min. Dias Toffoli, j. 10-5-2011, 1ª T, DJE de 4-8-2011 A supremacia jurídica das normas inscritas na Carta Federal não permite, ressalvadas as eventuais exceções proclamadas no próprio Texto Constitucional, que contra elas seja invocado o direito adquirido.</w:t>
      </w:r>
    </w:p>
    <w:p>
      <w:pPr>
        <w:ind w:left="288"/>
      </w:pPr>
      <w:r>
        <w:rPr>
          <w:b/>
          <w:color w:val="003CA0"/>
          <w:sz w:val="16"/>
        </w:rPr>
        <w:t>[ADI 248, rel. min. Celso de Mello, j. 18-11-1993, P, DJ de 8-4-1994.]</w:t>
      </w:r>
    </w:p>
    <w:p>
      <w:pPr>
        <w:ind w:left="288"/>
      </w:pPr>
      <w:r>
        <w:rPr>
          <w:color w:val="8C8C8C"/>
          <w:sz w:val="12"/>
        </w:rPr>
        <w:t>cf-art-5-inc-XXXII-ali-b</w:t>
      </w:r>
      <w:r>
        <w:rPr>
          <w:color w:val="003CA0"/>
          <w:sz w:val="12"/>
        </w:rPr>
        <w:t xml:space="preserve"> | ADI 493</w:t>
      </w:r>
      <w:r>
        <w:rPr>
          <w:color w:val="003CA0"/>
          <w:sz w:val="12"/>
        </w:rPr>
        <w:t xml:space="preserve"> | rel. Moreira Alves</w:t>
      </w:r>
    </w:p>
    <w:p>
      <w:pPr>
        <w:ind w:left="288"/>
      </w:pPr>
      <w:r>
        <w:rPr>
          <w:color w:val="1E1E1E"/>
          <w:sz w:val="18"/>
        </w:rPr>
        <w:t>Se a lei alcançar os efeitos futuros de contratos celebrados anteriormente a ela, será essa lei retroativa (retroatividade mínima) porque vai interferir na causa, que é um ato ou fato ocorrido no passado. O disposto no art. 5º, XXXVI, da CF se aplica a toda e qualquer lei infraconstitucional, sem qualquer distinção entre lei de direito público e lei de direito privado, ou entre lei de ordem pública e lei dispositiva. Precedente do STF. Ocorrência, no caso, de violação de direito adquirido. A Taxa Referencial (TR) não é índice de correção monetária, pois, refletindo as variações do custo primár</w:t>
      </w:r>
    </w:p>
    <w:p>
      <w:pPr>
        <w:ind w:left="288"/>
      </w:pPr>
      <w:r>
        <w:rPr>
          <w:b/>
          <w:color w:val="003CA0"/>
          <w:sz w:val="16"/>
        </w:rPr>
        <w:t>[ADI 493, rel. min. Moreira Alves, j. 25-6-1992, P, DJ de 4-9-1992.]</w:t>
      </w:r>
    </w:p>
    <w:p>
      <w:pPr>
        <w:ind w:left="288"/>
      </w:pPr>
      <w:r>
        <w:rPr>
          <w:color w:val="8C8C8C"/>
          <w:sz w:val="12"/>
        </w:rPr>
        <w:t>cf-art-5-inc-XXXII-ali-b</w:t>
      </w:r>
      <w:r>
        <w:rPr>
          <w:color w:val="003CA0"/>
          <w:sz w:val="12"/>
        </w:rPr>
        <w:t xml:space="preserve"> | RE 552.272</w:t>
      </w:r>
      <w:r>
        <w:rPr>
          <w:color w:val="003CA0"/>
          <w:sz w:val="12"/>
        </w:rPr>
        <w:t xml:space="preserve"> | rel. Cármen Lúcia</w:t>
      </w:r>
    </w:p>
    <w:p>
      <w:pPr>
        <w:ind w:left="288"/>
      </w:pPr>
      <w:r>
        <w:rPr>
          <w:color w:val="1E1E1E"/>
          <w:sz w:val="18"/>
        </w:rPr>
        <w:t>= RE 552.272 AgR, rel. min Cármen Lúcia, j. 15-2-2011, 1ª T, DJE de 18-3-2011 = RE 567.673 AgR-ED, rel. min. Ellen Gracie, j. 14-12-2010, 2ª T, DJE de 7-2-2011 É plausível, em face do ordenamento constitucional brasileiro, o reconhecimento da admissibilidade das leis interpretativas, que configuram instrumento juridicamente idôneo de veiculação da denominada interpretação autêntica. (...) O princípio da irretroatividade "somente" condiciona a atividade jurídica do Estado nas hipóteses expressamente previstas pela Constituição, em ordem a inibir a ação do poder público eventualmente configurado</w:t>
      </w:r>
    </w:p>
    <w:p>
      <w:pPr>
        <w:ind w:left="288"/>
      </w:pPr>
      <w:r>
        <w:rPr>
          <w:b/>
          <w:color w:val="003CA0"/>
          <w:sz w:val="16"/>
        </w:rPr>
        <w:t>[ADI 605 MC, rel. min. Celso de Mello, j. 23-10-1991, P, DJ de 5-3-1993.]</w:t>
      </w:r>
    </w:p>
    <w:p>
      <w:pPr>
        <w:ind w:left="288"/>
      </w:pPr>
      <w:r>
        <w:rPr>
          <w:color w:val="8C8C8C"/>
          <w:sz w:val="12"/>
        </w:rPr>
        <w:t>cf-art-5-inc-XXXII-ali-b</w:t>
      </w:r>
      <w:r>
        <w:rPr>
          <w:color w:val="003CA0"/>
          <w:sz w:val="12"/>
        </w:rPr>
        <w:t xml:space="preserve"> | ADPF 165</w:t>
      </w:r>
      <w:r>
        <w:rPr>
          <w:color w:val="003CA0"/>
          <w:sz w:val="12"/>
        </w:rPr>
        <w:t xml:space="preserve"> | rel. Gilmar Mendes</w:t>
      </w:r>
    </w:p>
    <w:p>
      <w:pPr>
        <w:ind w:left="288"/>
      </w:pPr>
      <w:r>
        <w:rPr>
          <w:color w:val="1E1E1E"/>
          <w:sz w:val="18"/>
        </w:rPr>
        <w:t>1. “Considerando que o STF declarou a constitucionalidade do Plano Collor I na ADPF 165, o direito a diferenças de correção monetária de depósitos em cadernetas de poupança, por alegados expurgos inflacionários decorrentes de referido plano, dependerá de adesão ao acordo coletivo e seus aditamentos, homologados no âmbito da ADPF 165, no prazo de 24 meses da publicação da ata de julgamento da referida ação. 2. Com o objetivo de resguardar a segurança jurídica, não caberá ação rescisória ou arguição de inexigibilidade do título com base na constitucionalidade dos planos econômicos de processos j</w:t>
      </w:r>
    </w:p>
    <w:p>
      <w:pPr>
        <w:ind w:left="288"/>
      </w:pPr>
      <w:r>
        <w:rPr>
          <w:b/>
          <w:color w:val="003CA0"/>
          <w:sz w:val="16"/>
        </w:rPr>
        <w:t>[RE 631.363, rel. min. Gilmar Mendes, j. 01.07.2025, P, DJE de 04.09.2025, Tema 284, com mérito julgado.]</w:t>
      </w:r>
    </w:p>
    <w:p>
      <w:pPr>
        <w:ind w:left="288"/>
      </w:pPr>
      <w:r>
        <w:rPr>
          <w:color w:val="8C8C8C"/>
          <w:sz w:val="12"/>
        </w:rPr>
        <w:t>cf-art-5-inc-XXXII-ali-b</w:t>
      </w:r>
      <w:r>
        <w:rPr>
          <w:color w:val="003CA0"/>
          <w:sz w:val="12"/>
        </w:rPr>
        <w:t xml:space="preserve"> | ADPF 165</w:t>
      </w:r>
      <w:r>
        <w:rPr>
          <w:color w:val="003CA0"/>
          <w:sz w:val="12"/>
        </w:rPr>
        <w:t xml:space="preserve"> | rel. Gilmar Mendes</w:t>
      </w:r>
    </w:p>
    <w:p>
      <w:pPr>
        <w:ind w:left="288"/>
      </w:pPr>
      <w:r>
        <w:rPr>
          <w:color w:val="1E1E1E"/>
          <w:sz w:val="18"/>
        </w:rPr>
        <w:t>“Considerando que o STF declarou a constitucionalidade do Plano Collor II na ADPF 165, o direito a diferenças de correção monetária de depósitos em cadernetas de poupança, não bloqueados pelo Banco Central do Brasil, por alegados expurgos inflacionários decorrentes de referido plano, dependerá de adesão ao acordo coletivo e seus aditamentos, homologados no âmbito da ADPF 165, no prazo de 24 meses da publicação da ata de julgamento de referida ação. 2. Com o objetivo de resguardar a segurança jurídica, não caberá ação rescisória ou arguição de inexigibilidade do título com base na constituciona</w:t>
      </w:r>
    </w:p>
    <w:p>
      <w:pPr>
        <w:ind w:left="288"/>
      </w:pPr>
      <w:r>
        <w:rPr>
          <w:b/>
          <w:color w:val="003CA0"/>
          <w:sz w:val="16"/>
        </w:rPr>
        <w:t>[RE 632.212, rel. min. Gilmar Mendes, j. 16.06.2025, P, DJE de 04.09.2025, Tema 285, com mérito julgado.]</w:t>
      </w:r>
    </w:p>
    <w:p>
      <w:pPr>
        <w:ind w:left="288"/>
      </w:pPr>
      <w:r>
        <w:rPr>
          <w:color w:val="8C8C8C"/>
          <w:sz w:val="12"/>
        </w:rPr>
        <w:t>cf-art-5-inc-XXXII-ali-b</w:t>
      </w:r>
      <w:r>
        <w:rPr>
          <w:color w:val="003CA0"/>
          <w:sz w:val="12"/>
        </w:rPr>
        <w:t xml:space="preserve"> | ARE 1.499.697</w:t>
      </w:r>
      <w:r>
        <w:rPr>
          <w:color w:val="003CA0"/>
          <w:sz w:val="12"/>
        </w:rPr>
        <w:t xml:space="preserve"> | rel. Luís Roberto Barroso</w:t>
      </w:r>
    </w:p>
    <w:p>
      <w:pPr>
        <w:ind w:left="288"/>
      </w:pPr>
      <w:r>
        <w:rPr>
          <w:color w:val="1E1E1E"/>
          <w:sz w:val="18"/>
        </w:rPr>
        <w:t>“É infraconstitucional a controvérsia sobre a averbação de tempo de serviço nas Forças Armadas para fins de promoção nas carreiras militares estaduais” .</w:t>
      </w:r>
    </w:p>
    <w:p>
      <w:pPr>
        <w:ind w:left="288"/>
      </w:pPr>
      <w:r>
        <w:rPr>
          <w:b/>
          <w:color w:val="003CA0"/>
          <w:sz w:val="16"/>
        </w:rPr>
        <w:t>[ARE 1.499.697 RG, rel. min. Luís Roberto Barroso, j. 21.03.2025, P, DJE de 26.03.2025, Tema 1.384, com repercussão geral negada.]</w:t>
      </w:r>
    </w:p>
    <w:p>
      <w:pPr>
        <w:ind w:left="288"/>
      </w:pPr>
      <w:r>
        <w:rPr>
          <w:color w:val="8C8C8C"/>
          <w:sz w:val="12"/>
        </w:rPr>
        <w:t>cf-art-5-inc-XXXII-ali-b</w:t>
      </w:r>
      <w:r>
        <w:rPr>
          <w:color w:val="003CA0"/>
          <w:sz w:val="12"/>
        </w:rPr>
        <w:t xml:space="preserve"> | RE 687.813</w:t>
      </w:r>
      <w:r>
        <w:rPr>
          <w:color w:val="003CA0"/>
          <w:sz w:val="12"/>
        </w:rPr>
        <w:t xml:space="preserve"> | rel. Dias Toffoli</w:t>
      </w:r>
    </w:p>
    <w:p>
      <w:pPr>
        <w:ind w:left="288"/>
      </w:pPr>
      <w:r>
        <w:rPr>
          <w:color w:val="1E1E1E"/>
          <w:sz w:val="18"/>
        </w:rPr>
        <w:t>“O auxílio-suplementar, concedido à luz do art. 9º da Lei nº 6.367/76, é cumulável com a aposentadoria por invalidez somente se as condições para a concessão dessa tiverem sido implementadas na vigência da Lei nº 8.213/91 e antes de 11/11/97, quando entrou em vigor a MP nº 1.596-14/97 (convertida na Lei nº 9.528/97)”.</w:t>
      </w:r>
    </w:p>
    <w:p>
      <w:pPr>
        <w:ind w:left="288"/>
      </w:pPr>
      <w:r>
        <w:rPr>
          <w:b/>
          <w:color w:val="003CA0"/>
          <w:sz w:val="16"/>
        </w:rPr>
        <w:t>[RE 687.813, rel. min. Dias Toffoli, j. 17.02.2025, P, DJE de 21.02.2025, Tema 599, com mérito julgado.]</w:t>
      </w:r>
    </w:p>
    <w:p>
      <w:pPr>
        <w:ind w:left="288"/>
      </w:pPr>
      <w:r>
        <w:rPr>
          <w:color w:val="8C8C8C"/>
          <w:sz w:val="12"/>
        </w:rPr>
        <w:t>cf-art-5-inc-XXXII-ali-b</w:t>
      </w:r>
      <w:r>
        <w:rPr>
          <w:color w:val="003CA0"/>
          <w:sz w:val="12"/>
        </w:rPr>
        <w:t xml:space="preserve"> | RE 1.505.031</w:t>
      </w:r>
      <w:r>
        <w:rPr>
          <w:color w:val="003CA0"/>
          <w:sz w:val="12"/>
        </w:rPr>
        <w:t xml:space="preserve"> | rel. Luís Roberto Barroso</w:t>
      </w:r>
    </w:p>
    <w:p>
      <w:pPr>
        <w:ind w:left="288"/>
      </w:pPr>
      <w:r>
        <w:rPr>
          <w:color w:val="1E1E1E"/>
          <w:sz w:val="18"/>
        </w:rPr>
        <w:t>“O trânsito em julgado de decisão de mérito com previsão de índice específico de juros ou de correção monetária não impede a incidência de legislação ou entendimento jurisprudencial do STF supervenientes, nos termos do Tema 1.170/RG”.</w:t>
      </w:r>
    </w:p>
    <w:p>
      <w:pPr>
        <w:ind w:left="288"/>
      </w:pPr>
      <w:r>
        <w:rPr>
          <w:b/>
          <w:color w:val="003CA0"/>
          <w:sz w:val="16"/>
        </w:rPr>
        <w:t>[RE 1.505.031 RG, rel. min. Luís Roberto Barroso, j. 26.11.2024, P, DJE de 02.12.2024, Tema 1.361, com mérito julgado.]</w:t>
      </w:r>
    </w:p>
    <w:p>
      <w:pPr>
        <w:ind w:left="288"/>
      </w:pPr>
      <w:r>
        <w:rPr>
          <w:color w:val="8C8C8C"/>
          <w:sz w:val="12"/>
        </w:rPr>
        <w:t>cf-art-5-inc-XXXII-ali-b</w:t>
      </w:r>
      <w:r>
        <w:rPr>
          <w:color w:val="003CA0"/>
          <w:sz w:val="12"/>
        </w:rPr>
        <w:t xml:space="preserve"> | ARE 1.514.867</w:t>
      </w:r>
      <w:r>
        <w:rPr>
          <w:color w:val="003CA0"/>
          <w:sz w:val="12"/>
        </w:rPr>
        <w:t xml:space="preserve"> | rel. Luís Roberto Barroso</w:t>
      </w:r>
    </w:p>
    <w:p>
      <w:pPr>
        <w:ind w:left="288"/>
      </w:pPr>
      <w:r>
        <w:rPr>
          <w:color w:val="1E1E1E"/>
          <w:sz w:val="18"/>
        </w:rPr>
        <w:t>“É infraconstitucional e fática a controvérsia sobre a possibilidade de se limitar, em liquidação de sentença, os efeitos de condenação judicial de reposição salarial decorrente de plano econômico em favor de servidores distritais”.</w:t>
      </w:r>
    </w:p>
    <w:p>
      <w:pPr>
        <w:ind w:left="288"/>
      </w:pPr>
      <w:r>
        <w:rPr>
          <w:b/>
          <w:color w:val="003CA0"/>
          <w:sz w:val="16"/>
        </w:rPr>
        <w:t>[ARE 1.514.867 RG, rel. min. Luís Roberto Barroso, j. 18.10.2024, P, DJE de 22.10.2024, Tema 1.342, com repercussão geral negada.]</w:t>
      </w:r>
    </w:p>
    <w:p>
      <w:pPr>
        <w:ind w:left="288"/>
      </w:pPr>
      <w:r>
        <w:rPr>
          <w:color w:val="8C8C8C"/>
          <w:sz w:val="12"/>
        </w:rPr>
        <w:t>cf-art-5-inc-XXXII-ali-b</w:t>
      </w:r>
      <w:r>
        <w:rPr>
          <w:color w:val="003CA0"/>
          <w:sz w:val="12"/>
        </w:rPr>
        <w:t xml:space="preserve"> | ARE 1.517.985</w:t>
      </w:r>
      <w:r>
        <w:rPr>
          <w:color w:val="003CA0"/>
          <w:sz w:val="12"/>
        </w:rPr>
        <w:t xml:space="preserve"> | rel. Luís Roberto Barroso</w:t>
      </w:r>
    </w:p>
    <w:p>
      <w:pPr>
        <w:ind w:left="288"/>
      </w:pPr>
      <w:r>
        <w:rPr>
          <w:color w:val="1E1E1E"/>
          <w:sz w:val="18"/>
        </w:rPr>
        <w:t>“É infraconstitucional e pressupõe o exame de matéria fática a controvérsia sobre o direito à manutenção de plano de saúde de empregados aposentados de estatal privatizada”.</w:t>
      </w:r>
    </w:p>
    <w:p>
      <w:pPr>
        <w:ind w:left="288"/>
      </w:pPr>
      <w:r>
        <w:rPr>
          <w:b/>
          <w:color w:val="003CA0"/>
          <w:sz w:val="16"/>
        </w:rPr>
        <w:t>[ARE 1.517.985 RG, rel. min. Luís Roberto Barroso, j. 11.10.2024, P, DJE de 16.10.2024, Tema 1.336, com repercussão geral negada.]</w:t>
      </w:r>
    </w:p>
    <w:p>
      <w:pPr>
        <w:ind w:left="288"/>
      </w:pPr>
      <w:r>
        <w:rPr>
          <w:color w:val="8C8C8C"/>
          <w:sz w:val="12"/>
        </w:rPr>
        <w:t>cf-art-5-inc-XXXII-ali-b</w:t>
      </w:r>
      <w:r>
        <w:rPr>
          <w:color w:val="003CA0"/>
          <w:sz w:val="12"/>
        </w:rPr>
        <w:t xml:space="preserve"> | RE 699.535</w:t>
      </w:r>
      <w:r>
        <w:rPr>
          <w:color w:val="003CA0"/>
          <w:sz w:val="12"/>
        </w:rPr>
        <w:t xml:space="preserve"> | rel. Dias Toffoli</w:t>
      </w:r>
    </w:p>
    <w:p>
      <w:pPr>
        <w:ind w:left="288"/>
      </w:pPr>
      <w:r>
        <w:rPr>
          <w:color w:val="1E1E1E"/>
          <w:sz w:val="18"/>
        </w:rPr>
        <w:t>“Aplicam-se os efeitos da ausência de repercussão geral a controvérsias relativas à possibilidade de o Instituto Nacional do Seguro Social proceder, a qualquer tempo, à revisão do critério de reajuste da aposentadoria de ex-combatente e da correspondente pensão por morte com fundamento em errônea aplicação da Lei nº 5.698, de 31 de agosto de 1971.”</w:t>
      </w:r>
    </w:p>
    <w:p>
      <w:pPr>
        <w:ind w:left="288"/>
      </w:pPr>
      <w:r>
        <w:rPr>
          <w:b/>
          <w:color w:val="003CA0"/>
          <w:sz w:val="16"/>
        </w:rPr>
        <w:t>[RE 699.535 RG2JULG, rel. min. Dias Toffoli, j. 20.09.2024, P, DJE de 14.11.2024, Tema 632, com repercussão geral negada.]</w:t>
      </w:r>
    </w:p>
    <w:p>
      <w:pPr>
        <w:ind w:left="288"/>
      </w:pPr>
      <w:r>
        <w:rPr>
          <w:color w:val="8C8C8C"/>
          <w:sz w:val="12"/>
        </w:rPr>
        <w:t>cf-art-5-inc-XXXII-ali-b</w:t>
      </w:r>
      <w:r>
        <w:rPr>
          <w:color w:val="003CA0"/>
          <w:sz w:val="12"/>
        </w:rPr>
        <w:t xml:space="preserve"> | ARE 1.458.696</w:t>
      </w:r>
      <w:r>
        <w:rPr>
          <w:color w:val="003CA0"/>
          <w:sz w:val="12"/>
        </w:rPr>
        <w:t xml:space="preserve"> | rel. Flávio Dino</w:t>
      </w:r>
    </w:p>
    <w:p>
      <w:pPr>
        <w:ind w:left="288"/>
      </w:pPr>
      <w:r>
        <w:rPr>
          <w:color w:val="1E1E1E"/>
          <w:sz w:val="18"/>
        </w:rPr>
        <w:t>Possibilidade de despronúncia, após condenação pelo Tribunal do Júri transitada em julgado, por decisão em habeas corpus.</w:t>
      </w:r>
    </w:p>
    <w:p>
      <w:pPr>
        <w:ind w:left="288"/>
      </w:pPr>
      <w:r>
        <w:rPr>
          <w:b/>
          <w:color w:val="003CA0"/>
          <w:sz w:val="16"/>
        </w:rPr>
        <w:t>[ARE 1.458.696 RG, rel. min. Flávio Dino, j. 09.08.2024, P, DJE de 03.10.2024, Tema 1.311, com mérito pendente.]</w:t>
      </w:r>
    </w:p>
    <w:p>
      <w:pPr>
        <w:ind w:left="288"/>
      </w:pPr>
      <w:r>
        <w:rPr>
          <w:color w:val="8C8C8C"/>
          <w:sz w:val="12"/>
        </w:rPr>
        <w:t>cf-art-5-inc-XXXII-ali-b</w:t>
      </w:r>
      <w:r>
        <w:rPr>
          <w:color w:val="003CA0"/>
          <w:sz w:val="12"/>
        </w:rPr>
        <w:t xml:space="preserve"> | RE 1.317.982</w:t>
      </w:r>
      <w:r>
        <w:rPr>
          <w:color w:val="003CA0"/>
          <w:sz w:val="12"/>
        </w:rPr>
        <w:t xml:space="preserve"> | rel. Nunes Marques</w:t>
      </w:r>
    </w:p>
    <w:p>
      <w:pPr>
        <w:ind w:left="288"/>
      </w:pPr>
      <w:r>
        <w:rPr>
          <w:color w:val="1E1E1E"/>
          <w:sz w:val="18"/>
        </w:rPr>
        <w:t>"É aplicável às condenações da Fazenda Pública envolvendo relações jurídicas não tributárias o índice de juros moratórios estabelecido no art. 1º-F da Lei n. 9.494/1997, na redação dada pela Lei n. 11.960/2009, a partir da vigência da referida legislação, mesmo havendo previsão diversa em título executivo judicial transitado em julgado."</w:t>
        <w:br/>
        <w:t>[RE 1.317.982, rel. min. Nunes Marques, j. 12-12-2023, P, DJE de 8-1-2024, Tema 1170, com mérito julgado.] Fixação das teses, as quais demandam análise conjunta: 1) é possível aplicar o artigo 741, parágrafo único, do CPC/73, atual art. 535, § 5º, do CPC/2015,</w:t>
      </w:r>
    </w:p>
    <w:p>
      <w:pPr>
        <w:ind w:left="288"/>
      </w:pPr>
      <w:r>
        <w:rPr>
          <w:b/>
          <w:color w:val="003CA0"/>
          <w:sz w:val="16"/>
        </w:rPr>
        <w:t>[RE 586.068, rel. min. Rosa Weber, red. do acórdão min. Gilmar Mendes, j. 9.11.2023, P, DJE de 31.1.2024, Tema 100, com mérito julgado.]</w:t>
      </w:r>
    </w:p>
    <w:p>
      <w:pPr>
        <w:ind w:left="288"/>
      </w:pPr>
      <w:r>
        <w:rPr>
          <w:color w:val="8C8C8C"/>
          <w:sz w:val="12"/>
        </w:rPr>
        <w:t>cf-art-5-inc-XXXII-ali-b</w:t>
      </w:r>
      <w:r>
        <w:rPr>
          <w:color w:val="003CA0"/>
          <w:sz w:val="12"/>
        </w:rPr>
        <w:t xml:space="preserve"> | RE 949.297</w:t>
      </w:r>
      <w:r>
        <w:rPr>
          <w:color w:val="003CA0"/>
          <w:sz w:val="12"/>
        </w:rPr>
        <w:t xml:space="preserve"> | rel. Edson Fachin</w:t>
      </w:r>
    </w:p>
    <w:p>
      <w:pPr>
        <w:ind w:left="288"/>
      </w:pPr>
      <w:r>
        <w:rPr>
          <w:color w:val="1E1E1E"/>
          <w:sz w:val="18"/>
        </w:rPr>
        <w:t>“1. As decisões do STF em controle incidental de constitucionalidade, anteriores à instituição do regime de repercussão geral, não impactam automaticamente a coisa julgada que se tenha formado, mesmo nas relações jurídicas tributárias de trato sucessivo. 2. Já as decisões proferidas em ação direta ou em sede de repercussão geral interrompem automaticamente os efeitos temporais das decisões transitadas em julgado nas referidas relações, respeitadas a irretroatividade, a anterioridade anual e a noventena ou a anterioridade nonagesimal, conforme a natureza do tributo”.</w:t>
      </w:r>
    </w:p>
    <w:p>
      <w:pPr>
        <w:ind w:left="288"/>
      </w:pPr>
      <w:r>
        <w:rPr>
          <w:b/>
          <w:color w:val="003CA0"/>
          <w:sz w:val="16"/>
        </w:rPr>
        <w:t>[RE 949.297, rel. min. Edson Fachin, red. do ac. min. Roberto Barroso, j. 8-2-2023, P, DJE de 2-5-2023, Tema 881, com mérito julgado.]</w:t>
      </w:r>
    </w:p>
    <w:p>
      <w:pPr>
        <w:ind w:left="288"/>
      </w:pPr>
      <w:r>
        <w:rPr>
          <w:color w:val="8C8C8C"/>
          <w:sz w:val="12"/>
        </w:rPr>
        <w:t>cf-art-5-inc-XXXII-ali-b</w:t>
      </w:r>
      <w:r>
        <w:rPr>
          <w:color w:val="003CA0"/>
          <w:sz w:val="12"/>
        </w:rPr>
        <w:t xml:space="preserve"> | RE 226.855</w:t>
      </w:r>
      <w:r>
        <w:rPr>
          <w:color w:val="003CA0"/>
          <w:sz w:val="12"/>
        </w:rPr>
        <w:t xml:space="preserve"> | rel. Alexandre de Moraes</w:t>
      </w:r>
    </w:p>
    <w:p>
      <w:pPr>
        <w:ind w:left="288"/>
      </w:pPr>
      <w:r>
        <w:rPr>
          <w:color w:val="1E1E1E"/>
          <w:sz w:val="18"/>
        </w:rPr>
        <w:t>Inexiste direito adquirido à diferença de correção monetária dos saldos das contas vinculadas ao FGTS referente ao Plano Collor II (fevereiro de 1991), conforme entendimento firmado no RE 226.855, o qual não foi superado pelo julgamento do RE 611.503 (Tema 360).</w:t>
      </w:r>
    </w:p>
    <w:p>
      <w:pPr>
        <w:ind w:left="288"/>
      </w:pPr>
      <w:r>
        <w:rPr>
          <w:b/>
          <w:color w:val="003CA0"/>
          <w:sz w:val="16"/>
        </w:rPr>
        <w:t>[ARE 1.288.550, rel. min. Alexandre de Moraes, j. 14-12-2021, P, DJE de 10-1-2022, Tema 1.112, com mérito julgado.]</w:t>
      </w:r>
    </w:p>
    <w:p>
      <w:pPr>
        <w:ind w:left="288"/>
      </w:pPr>
      <w:r>
        <w:rPr>
          <w:color w:val="8C8C8C"/>
          <w:sz w:val="12"/>
        </w:rPr>
        <w:t>cf-art-5-inc-XXXII-ali-b</w:t>
      </w:r>
      <w:r>
        <w:rPr>
          <w:color w:val="003CA0"/>
          <w:sz w:val="12"/>
        </w:rPr>
        <w:t xml:space="preserve"> | RE 1.010.819</w:t>
      </w:r>
    </w:p>
    <w:p>
      <w:pPr>
        <w:ind w:left="288"/>
      </w:pPr>
      <w:r>
        <w:rPr>
          <w:color w:val="1E1E1E"/>
          <w:sz w:val="18"/>
        </w:rPr>
        <w:t>O trânsito em julgado de sentença condenatória proferida em sede de ação desapropriatória não obsta a propositura de Ação Civil Pública em defesa do patrimônio público, para discutir a dominialidade do bem expropriado, ainda que já se tenha expirado o prazo para a Ação Rescisória.</w:t>
      </w:r>
    </w:p>
    <w:p>
      <w:pPr>
        <w:ind w:left="288"/>
      </w:pPr>
      <w:r>
        <w:rPr>
          <w:b/>
          <w:color w:val="003CA0"/>
          <w:sz w:val="16"/>
        </w:rPr>
        <w:t>[RE 1.010.819, rel. Marco Aurélio, red. do ac. min. Alexandre de Moraes, j. 26-5-2021, P, DJE de 29-9-2021. Tema 858, com mérito julgado.]</w:t>
      </w:r>
    </w:p>
    <w:p>
      <w:pPr>
        <w:ind w:left="288"/>
      </w:pPr>
      <w:r>
        <w:rPr>
          <w:color w:val="8C8C8C"/>
          <w:sz w:val="12"/>
        </w:rPr>
        <w:t>cf-art-5-inc-XXXII-ali-b</w:t>
      </w:r>
      <w:r>
        <w:rPr>
          <w:color w:val="003CA0"/>
          <w:sz w:val="12"/>
        </w:rPr>
        <w:t xml:space="preserve"> | RE 1.101.937</w:t>
      </w:r>
      <w:r>
        <w:rPr>
          <w:color w:val="003CA0"/>
          <w:sz w:val="12"/>
        </w:rPr>
        <w:t xml:space="preserve"> | rel. Alexandre de Moraes</w:t>
      </w:r>
    </w:p>
    <w:p>
      <w:pPr>
        <w:ind w:left="288"/>
      </w:pPr>
      <w:r>
        <w:rPr>
          <w:color w:val="1E1E1E"/>
          <w:sz w:val="18"/>
        </w:rPr>
        <w:t>I - É inconstitucional a redação do art. 16 da Lei 7.347/1985, alterada pela Lei 9.494/1997, sendo repristinada sua redação original. II - Em se tratando de ação civil pública de efeitos nacionais ou regionais, a competência deve observar o art. 93, II, da Lei 8.078/1990 (Código de Defesa do Consumidor). III - Ajuizadas múltiplas ações civis públicas de âmbito nacional ou regional e fixada a competência nos termos do item II, firma-se a prevenção do juízo que primeiro conheceu de uma delas, para o julgamento de todas as demandas conexas.</w:t>
      </w:r>
    </w:p>
    <w:p>
      <w:pPr>
        <w:ind w:left="288"/>
      </w:pPr>
      <w:r>
        <w:rPr>
          <w:b/>
          <w:color w:val="003CA0"/>
          <w:sz w:val="16"/>
        </w:rPr>
        <w:t>[RE 1.101.937, rel. min. Alexandre de Moraes, j. 4-3-2021, P. DJE de 14-6-2021. Tema 1.075, com mérito julgado.]</w:t>
      </w:r>
    </w:p>
    <w:p>
      <w:pPr>
        <w:ind w:left="288"/>
      </w:pPr>
      <w:r>
        <w:rPr>
          <w:color w:val="8C8C8C"/>
          <w:sz w:val="12"/>
        </w:rPr>
        <w:t>cf-art-5-inc-XXXII-ali-b</w:t>
      </w:r>
      <w:r>
        <w:rPr>
          <w:color w:val="003CA0"/>
          <w:sz w:val="12"/>
        </w:rPr>
        <w:t xml:space="preserve"> | RE 948.634</w:t>
      </w:r>
      <w:r>
        <w:rPr>
          <w:color w:val="003CA0"/>
          <w:sz w:val="12"/>
        </w:rPr>
        <w:t xml:space="preserve"> | rel. Ricardo Lewandowski</w:t>
      </w:r>
    </w:p>
    <w:p>
      <w:pPr>
        <w:ind w:left="288"/>
      </w:pPr>
      <w:r>
        <w:rPr>
          <w:color w:val="1E1E1E"/>
          <w:sz w:val="18"/>
        </w:rPr>
        <w:t>As disposições da Lei 9.656/1998, à luz do art. 5º, XXXVI, da Constituição Federal, somente incidem sobre os contratos celebrados a partir de sua vigência, bem como nos contratos que, firmados anteriormente, foram adaptados ao seu regime, sendo as respectivas disposições inaplicáveis aos beneficiários que, exercendo sua autonomia de vontade, optaram por manter os planos antigos inalterados.</w:t>
      </w:r>
    </w:p>
    <w:p>
      <w:pPr>
        <w:ind w:left="288"/>
      </w:pPr>
      <w:r>
        <w:rPr>
          <w:b/>
          <w:color w:val="003CA0"/>
          <w:sz w:val="16"/>
        </w:rPr>
        <w:t>[RE 948.634, rel. min. Ricardo Lewandowski, j. 20-10-2020, P, DJE de 18-11-2020. Tema 123, com mérito julgado.]</w:t>
      </w:r>
    </w:p>
    <w:p>
      <w:pPr>
        <w:ind w:left="288"/>
      </w:pPr>
      <w:r>
        <w:rPr>
          <w:color w:val="8C8C8C"/>
          <w:sz w:val="12"/>
        </w:rPr>
        <w:t>cf-art-5-inc-XXXII-ali-b</w:t>
      </w:r>
      <w:r>
        <w:rPr>
          <w:color w:val="003CA0"/>
          <w:sz w:val="12"/>
        </w:rPr>
        <w:t xml:space="preserve"> | RE 611.503</w:t>
      </w:r>
    </w:p>
    <w:p>
      <w:pPr>
        <w:ind w:left="288"/>
      </w:pPr>
      <w:r>
        <w:rPr>
          <w:color w:val="1E1E1E"/>
          <w:sz w:val="18"/>
        </w:rPr>
        <w:t>São constitucionais as disposições normativas do parágrafo único do art. 741 do CPC, do § 1º do art. 475-L, ambos do CPC/73, bem como os correspondentes dispositivos do CPC/15, o art. 525, § 1º, III e §§ 12 e 14, o art. 535, § 5º. Os dispositivos questionados buscam harmonizar a garantia da coisa julgada com o primado da Constituição, agregando ao sistema processual brasileiro, um mecanismo com eficácia rescisória de sentenças revestidas de vício de inconstitucionalidade qualificado. São consideradas decisões com vícios de inconstitucionalidade qualificados: (a) a sentença exequenda fundada em</w:t>
      </w:r>
    </w:p>
    <w:p>
      <w:pPr>
        <w:ind w:left="288"/>
      </w:pPr>
      <w:r>
        <w:rPr>
          <w:b/>
          <w:color w:val="003CA0"/>
          <w:sz w:val="16"/>
        </w:rPr>
        <w:t>[RE 611.503, red. do ac. min. Edson Fachin, j. 20-9-2018, P, DJE de 19-3-2019. Tema 360, com mérito julgado.]</w:t>
      </w:r>
    </w:p>
    <w:p>
      <w:pPr>
        <w:ind w:left="288"/>
      </w:pPr>
      <w:r>
        <w:rPr>
          <w:color w:val="8C8C8C"/>
          <w:sz w:val="12"/>
        </w:rPr>
        <w:t>cf-art-5-inc-XXXII-ali-b</w:t>
      </w:r>
      <w:r>
        <w:rPr>
          <w:color w:val="003CA0"/>
          <w:sz w:val="12"/>
        </w:rPr>
        <w:t xml:space="preserve"> | RE 564.354</w:t>
      </w:r>
      <w:r>
        <w:rPr>
          <w:color w:val="003CA0"/>
          <w:sz w:val="12"/>
        </w:rPr>
        <w:t xml:space="preserve"> | rel. Roberto Barroso</w:t>
      </w:r>
    </w:p>
    <w:p>
      <w:pPr>
        <w:ind w:left="288"/>
      </w:pPr>
      <w:r>
        <w:rPr>
          <w:color w:val="1E1E1E"/>
          <w:sz w:val="18"/>
        </w:rPr>
        <w:t>(...) “os benefícios concedidos entre 5-10-1988 e 5-4-1991 (período do buraco negro) não estão, em tese, excluídos da possibilidade de readequação segundo os tetos instituídos pelas ECs 20/1998 e 41/2003, a ser aferida caso a caso, conforme os parâmetros definidos no julgamento do RE 564.354, em regime de repercussão geral”.</w:t>
      </w:r>
    </w:p>
    <w:p>
      <w:pPr>
        <w:ind w:left="288"/>
      </w:pPr>
      <w:r>
        <w:rPr>
          <w:b/>
          <w:color w:val="003CA0"/>
          <w:sz w:val="16"/>
        </w:rPr>
        <w:t>[RE 937.595 RG, rel. min. Roberto Barroso, j. 2-2-2017, P, DJE de 16-5-2017. Tema 930, com mérito julgado.]</w:t>
      </w:r>
    </w:p>
    <w:p>
      <w:pPr>
        <w:ind w:left="288"/>
      </w:pPr>
      <w:r>
        <w:rPr>
          <w:color w:val="8C8C8C"/>
          <w:sz w:val="12"/>
        </w:rPr>
        <w:t>cf-art-5-inc-XXXII-ali-b</w:t>
      </w:r>
      <w:r>
        <w:rPr>
          <w:color w:val="003CA0"/>
          <w:sz w:val="12"/>
        </w:rPr>
        <w:t xml:space="preserve"> | RE 564.354</w:t>
      </w:r>
      <w:r>
        <w:rPr>
          <w:color w:val="003CA0"/>
          <w:sz w:val="12"/>
        </w:rPr>
        <w:t xml:space="preserve"> | rel. Cármen Lúcia</w:t>
      </w:r>
    </w:p>
    <w:p>
      <w:pPr>
        <w:ind w:left="288"/>
      </w:pPr>
      <w:r>
        <w:rPr>
          <w:color w:val="1E1E1E"/>
          <w:sz w:val="18"/>
        </w:rPr>
        <w:t>Vide RE 564.354, rel. min. Cármen Lúcia, j. 8-9-2010, P, DJE de 15-2-2011. Tema 76, com mérito julgado (...) a decisão do STF declarando a constitucionalidade ou a inconstitucionalidade de preceito normativo não produz a automática reforma ou rescisão das sentenças anteriores que tenham adotado entendimento diferente; para que tal ocorra, será indispensável a interposição do recurso próprio ou, se for o caso, a propositura da ação rescisória própria, nos termos do art. 485, V, do CPC, observado o respectivo prazo decadencial (CPC, art. 495). Ressalva-se desse entendimento, quanto à indispensab</w:t>
      </w:r>
    </w:p>
    <w:p>
      <w:pPr>
        <w:ind w:left="288"/>
      </w:pPr>
      <w:r>
        <w:rPr>
          <w:b/>
          <w:color w:val="003CA0"/>
          <w:sz w:val="16"/>
        </w:rPr>
        <w:t>[ARE 704.520, rel. min. Gilmar Mendes, j. 23-10-2014, P, DJE de 2-12-2014. Tema 771, com mérito julgado.]</w:t>
      </w:r>
    </w:p>
    <w:p>
      <w:pPr>
        <w:ind w:left="288"/>
      </w:pPr>
      <w:r>
        <w:rPr>
          <w:color w:val="8C8C8C"/>
          <w:sz w:val="12"/>
        </w:rPr>
        <w:t>cf-art-5-inc-XXXII-ali-b</w:t>
      </w:r>
      <w:r>
        <w:rPr>
          <w:color w:val="003CA0"/>
          <w:sz w:val="12"/>
        </w:rPr>
        <w:t xml:space="preserve"> | RE 590.809</w:t>
      </w:r>
      <w:r>
        <w:rPr>
          <w:color w:val="003CA0"/>
          <w:sz w:val="12"/>
        </w:rPr>
        <w:t xml:space="preserve"> | rel. Marco Aurélio</w:t>
      </w:r>
    </w:p>
    <w:p>
      <w:pPr>
        <w:ind w:left="288"/>
      </w:pPr>
      <w:r>
        <w:rPr>
          <w:color w:val="1E1E1E"/>
          <w:sz w:val="18"/>
        </w:rPr>
        <w:t>Ação rescisória versus uniformização da jurisprudência. O Direito possui princípios, institutos, expressões e vocábulos com sentido próprio, não cabendo colar a sinonímia às expressões "ação rescisória" e "uniformização da jurisprudência". (...) O Verbete 343 da Súmula do Supremo deve de ser observado em situação jurídica na qual, inexistente controle concentrado de constitucionalidade, haja entendimentos diversos sobre o alcance da norma, mormente quando o Supremo tenha sinalizado, num primeiro passo, óptica coincidente com a revelada na decisão rescindenda.</w:t>
      </w:r>
    </w:p>
    <w:p>
      <w:pPr>
        <w:ind w:left="288"/>
      </w:pPr>
      <w:r>
        <w:rPr>
          <w:b/>
          <w:color w:val="003CA0"/>
          <w:sz w:val="16"/>
        </w:rPr>
        <w:t>[RE 590.809, rel. min. Marco Aurélio, j. 22-10-2014, P, DJE de 24-11-2014. Tema 136, com mérito julgado.]</w:t>
      </w:r>
    </w:p>
    <w:p>
      <w:pPr>
        <w:ind w:left="288"/>
      </w:pPr>
      <w:r>
        <w:rPr>
          <w:color w:val="8C8C8C"/>
          <w:sz w:val="12"/>
        </w:rPr>
        <w:t>cf-art-5-inc-XXXII-ali-b</w:t>
      </w:r>
      <w:r>
        <w:rPr>
          <w:color w:val="003CA0"/>
          <w:sz w:val="12"/>
        </w:rPr>
        <w:t xml:space="preserve"> | RE 596.663</w:t>
      </w:r>
    </w:p>
    <w:p>
      <w:pPr>
        <w:ind w:left="288"/>
      </w:pPr>
      <w:r>
        <w:rPr>
          <w:color w:val="1E1E1E"/>
          <w:sz w:val="18"/>
        </w:rPr>
        <w:t>A sentença que reconhece ao trabalhador ou servidor o direito a determinado percentual de acréscimo remuneratório deixa de ter eficácia a partir da superveniente incorporação definitiva do referido percentual nos seus ganhos.</w:t>
      </w:r>
    </w:p>
    <w:p>
      <w:pPr>
        <w:ind w:left="288"/>
      </w:pPr>
      <w:r>
        <w:rPr>
          <w:b/>
          <w:color w:val="003CA0"/>
          <w:sz w:val="16"/>
        </w:rPr>
        <w:t>[RE 596.663, red. do ac. min. Teori Zavascki, j. 24-9-2014, P, DJE de 26-11-2014. Tema 494, com mérito julgado.]</w:t>
      </w:r>
    </w:p>
    <w:p>
      <w:pPr>
        <w:ind w:left="288"/>
      </w:pPr>
      <w:r>
        <w:rPr>
          <w:color w:val="8C8C8C"/>
          <w:sz w:val="12"/>
        </w:rPr>
        <w:t>cf-art-5-inc-XXXII-ali-b</w:t>
      </w:r>
      <w:r>
        <w:rPr>
          <w:color w:val="003CA0"/>
          <w:sz w:val="12"/>
        </w:rPr>
        <w:t xml:space="preserve"> | RE 561.836</w:t>
      </w:r>
      <w:r>
        <w:rPr>
          <w:color w:val="003CA0"/>
          <w:sz w:val="12"/>
        </w:rPr>
        <w:t xml:space="preserve"> | rel. Luiz Fux</w:t>
      </w:r>
    </w:p>
    <w:p>
      <w:pPr>
        <w:ind w:left="288"/>
      </w:pPr>
      <w:r>
        <w:rPr>
          <w:color w:val="1E1E1E"/>
          <w:sz w:val="18"/>
        </w:rPr>
        <w:t>Vide RE 561.836, rel. min. Luiz Fux, j. 26-9-2013, P, DJE de 10-2-2014. Tema 5, com mérito julgado (...) considerando a vedação constitucional de acumulação remunerada de cargos públicos, não será legítimo transferir, para um deles, vantagem somente devida pelo exercício do outro. A vedação de acumular certamente se estende tanto aos deveres do cargo (= de prestar seus serviços) como aos direitos (de obter as vantagens remuneratórias). Assim, não encontra amparo constitucional a pretensão de acumular, no cargo de magistrado ou em qualquer outro, a vantagem correspondente a "quintos", a que o t</w:t>
      </w:r>
    </w:p>
    <w:p>
      <w:pPr>
        <w:ind w:left="288"/>
      </w:pPr>
      <w:r>
        <w:rPr>
          <w:b/>
          <w:color w:val="003CA0"/>
          <w:sz w:val="16"/>
        </w:rPr>
        <w:t>[RE 587.371, rel. min. Teori Zavascki, j. 14-11-2013, P, DJE de 24-6-2014. Tema 473, com mérito julgado.]</w:t>
      </w:r>
    </w:p>
    <w:p>
      <w:pPr>
        <w:ind w:left="288"/>
      </w:pPr>
      <w:r>
        <w:rPr>
          <w:color w:val="8C8C8C"/>
          <w:sz w:val="12"/>
        </w:rPr>
        <w:t>cf-art-5-inc-XXXII-ali-b</w:t>
      </w:r>
      <w:r>
        <w:rPr>
          <w:color w:val="003CA0"/>
          <w:sz w:val="12"/>
        </w:rPr>
        <w:t xml:space="preserve"> | RE 626.489</w:t>
      </w:r>
      <w:r>
        <w:rPr>
          <w:color w:val="003CA0"/>
          <w:sz w:val="12"/>
        </w:rPr>
        <w:t xml:space="preserve"> | rel. Roberto Barroso</w:t>
      </w:r>
    </w:p>
    <w:p>
      <w:pPr>
        <w:ind w:left="288"/>
      </w:pPr>
      <w:r>
        <w:rPr>
          <w:color w:val="1E1E1E"/>
          <w:sz w:val="18"/>
        </w:rPr>
        <w:t>O direito à previdência social constitui direito fundamental e, uma vez implementados os pressupostos de sua aquisição, não deve ser afetado pelo decurso do tempo. Como consequência, inexiste prazo decadencial para a concessão inicial do benefício previdenciário. É legítima, todavia, a instituição de prazo decadencial de dez anos para a revisão de benefício já concedido, com fundamento no princípio da segurança jurídica, no interesse em evitar a eternização dos litígios e na busca de equilíbrio financeiro e atuarial para o sistema previdenciário. O prazo decadencial de dez anos, instituído pel</w:t>
      </w:r>
    </w:p>
    <w:p>
      <w:pPr>
        <w:ind w:left="288"/>
      </w:pPr>
      <w:r>
        <w:rPr>
          <w:b/>
          <w:color w:val="003CA0"/>
          <w:sz w:val="16"/>
        </w:rPr>
        <w:t>[RE 626.489, rel. min. Roberto Barroso, j. 16-10-2013, P, DJE de 23-9-2014. Tema 313, com mérito julgado.]</w:t>
      </w:r>
    </w:p>
    <w:p>
      <w:pPr>
        <w:ind w:left="288"/>
      </w:pPr>
      <w:r>
        <w:rPr>
          <w:color w:val="8C8C8C"/>
          <w:sz w:val="12"/>
        </w:rPr>
        <w:t>cf-art-5-inc-XXXII-ali-b</w:t>
      </w:r>
      <w:r>
        <w:rPr>
          <w:color w:val="003CA0"/>
          <w:sz w:val="12"/>
        </w:rPr>
        <w:t xml:space="preserve"> | RE 630.501</w:t>
      </w:r>
    </w:p>
    <w:p>
      <w:pPr>
        <w:ind w:left="288"/>
      </w:pPr>
      <w:r>
        <w:rPr>
          <w:color w:val="1E1E1E"/>
          <w:sz w:val="18"/>
        </w:rPr>
        <w:t>O direito adquirido ao melhor benefício implica a possibilidade de o segurado ver o seu benefício deferido ou revisado de modo que corresponda à maior renda possível no cotejo entre a renda mensal inicial obtida e as rendas mensais que estaria percebendo, naquele momento, se houvesse requerido em algum momento anterior o benefício, desde quando possível a aposentadoria proporcional.</w:t>
      </w:r>
    </w:p>
    <w:p>
      <w:pPr>
        <w:ind w:left="288"/>
      </w:pPr>
      <w:r>
        <w:rPr>
          <w:b/>
          <w:color w:val="003CA0"/>
          <w:sz w:val="16"/>
        </w:rPr>
        <w:t>[RE 630.501, red. do ac. min. Marco Aurélio, j. 21-2-2013, P, DJE de 26-8-2013. Tema 334, com mérito julgado.]</w:t>
      </w:r>
    </w:p>
    <w:p>
      <w:pPr>
        <w:ind w:left="288"/>
      </w:pPr>
      <w:r>
        <w:rPr>
          <w:color w:val="8C8C8C"/>
          <w:sz w:val="12"/>
        </w:rPr>
        <w:t>cf-art-5-inc-XXXII-ali-b</w:t>
      </w:r>
      <w:r>
        <w:rPr>
          <w:color w:val="003CA0"/>
          <w:sz w:val="12"/>
        </w:rPr>
        <w:t xml:space="preserve"> | RE 583.834</w:t>
      </w:r>
      <w:r>
        <w:rPr>
          <w:color w:val="003CA0"/>
          <w:sz w:val="12"/>
        </w:rPr>
        <w:t xml:space="preserve"> | rel. Ayres Britto</w:t>
      </w:r>
    </w:p>
    <w:p>
      <w:pPr>
        <w:ind w:left="288"/>
      </w:pPr>
      <w:r>
        <w:rPr>
          <w:color w:val="1E1E1E"/>
          <w:sz w:val="18"/>
        </w:rPr>
        <w:t>O caráter contributivo do regime geral da previdência social (caput do art. 201 da CF) a princípio impede a contagem de tempo ficto de contribuição. O § 5º do art. 29 da Lei 8.213/1991 (Lei de Benefícios da Previdência Social (LBPS)) é exceção razoável à regra proibitiva de tempo de contribuição ficto com apoio no inciso II do art. 55 da mesma lei. E é aplicável somente às situações em que a aposentadoria por invalidez seja precedida do recebimento de auxílio-doença durante período de afastamento intercalado com atividade laborativa, em que há recolhimento da contribuição previdenciária. Enten</w:t>
      </w:r>
    </w:p>
    <w:p>
      <w:pPr>
        <w:ind w:left="288"/>
      </w:pPr>
      <w:r>
        <w:rPr>
          <w:b/>
          <w:color w:val="003CA0"/>
          <w:sz w:val="16"/>
        </w:rPr>
        <w:t>[RE 583.834, rel. min. Ayres Britto, j. 21-9-2011, P, DJE de 14-2-2012. Tema 88, com mérito julgado.]</w:t>
      </w:r>
    </w:p>
    <w:p>
      <w:pPr>
        <w:ind w:left="288"/>
      </w:pPr>
      <w:r>
        <w:rPr>
          <w:color w:val="8C8C8C"/>
          <w:sz w:val="12"/>
        </w:rPr>
        <w:t>cf-art-5-inc-XXXII-ali-b</w:t>
      </w:r>
      <w:r>
        <w:rPr>
          <w:color w:val="003CA0"/>
          <w:sz w:val="12"/>
        </w:rPr>
        <w:t xml:space="preserve"> | RE 598.099</w:t>
      </w:r>
      <w:r>
        <w:rPr>
          <w:color w:val="003CA0"/>
          <w:sz w:val="12"/>
        </w:rPr>
        <w:t xml:space="preserve"> | rel. Gilmar Mendes</w:t>
      </w:r>
    </w:p>
    <w:p>
      <w:pPr>
        <w:ind w:left="288"/>
      </w:pPr>
      <w:r>
        <w:rPr>
          <w:color w:val="1E1E1E"/>
          <w:sz w:val="18"/>
        </w:rPr>
        <w:t>(...) o comportamento da administração pública no decorrer do concurso público deve se pautar pela boa-fé, tanto no sentido objetivo quanto no aspecto subjetivo de respeito à confiança nela depositada por todos os cidadãos.</w:t>
      </w:r>
    </w:p>
    <w:p>
      <w:pPr>
        <w:ind w:left="288"/>
      </w:pPr>
      <w:r>
        <w:rPr>
          <w:b/>
          <w:color w:val="003CA0"/>
          <w:sz w:val="16"/>
        </w:rPr>
        <w:t>[RE 598.099, rel. min. Gilmar Mendes, j. 10-8-2011, P, DJE de 3-10-2011. Tema 161, com mérito julgado.]</w:t>
      </w:r>
    </w:p>
    <w:p>
      <w:pPr>
        <w:ind w:left="288"/>
      </w:pPr>
      <w:r>
        <w:rPr>
          <w:color w:val="8C8C8C"/>
          <w:sz w:val="12"/>
        </w:rPr>
        <w:t>cf-art-5-inc-XXXII-ali-b</w:t>
      </w:r>
      <w:r>
        <w:rPr>
          <w:color w:val="003CA0"/>
          <w:sz w:val="12"/>
        </w:rPr>
        <w:t xml:space="preserve"> | ARE 661.760</w:t>
      </w:r>
      <w:r>
        <w:rPr>
          <w:color w:val="003CA0"/>
          <w:sz w:val="12"/>
        </w:rPr>
        <w:t xml:space="preserve"> | rel. Dias Toffoli</w:t>
      </w:r>
    </w:p>
    <w:p>
      <w:pPr>
        <w:ind w:left="288"/>
      </w:pPr>
      <w:r>
        <w:rPr>
          <w:color w:val="1E1E1E"/>
          <w:sz w:val="18"/>
        </w:rPr>
        <w:t>Vide ARE 661.760 AgR, rel. min. Dias Toffoli, j. 3-9-2013, 1ª T, DJE de 29-10-2013 Vide MS 24.660, red. do ac. min. Cármen Lúcia, j. 3-2-2011, P, DJE de 23-9-2011 Quando do advento da LC 118/2005, estava consolidada a orientação da Primeira Seção do STJ no sentido de que, para os tributos sujeitos a lançamento por homologação, o prazo para repetição ou compensação de indébito era de 10 anos contados do seu fato gerador, tendo em conta a aplicação combinada dos arts. 150, § 4º; 156, VII; e 168, I, do CTN. A LC 118/2005, embora tenha se autoproclamado interpretativa, implicou inovação normativa,</w:t>
      </w:r>
    </w:p>
    <w:p>
      <w:pPr>
        <w:ind w:left="288"/>
      </w:pPr>
      <w:r>
        <w:rPr>
          <w:b/>
          <w:color w:val="003CA0"/>
          <w:sz w:val="16"/>
        </w:rPr>
        <w:t>[RE 566.621, rel. min. Ellen Gracie, j. 4-8-2011, P, DJE de 11-10-2011. Tema 4, com mérito julgado.]</w:t>
      </w:r>
    </w:p>
    <w:p>
      <w:pPr>
        <w:ind w:left="288"/>
      </w:pPr>
      <w:r>
        <w:rPr>
          <w:color w:val="8C8C8C"/>
          <w:sz w:val="12"/>
        </w:rPr>
        <w:t>cf-art-5-inc-XXXII-ali-b</w:t>
      </w:r>
      <w:r>
        <w:rPr>
          <w:color w:val="003CA0"/>
          <w:sz w:val="12"/>
        </w:rPr>
        <w:t xml:space="preserve"> | RE 596.542</w:t>
      </w:r>
      <w:r>
        <w:rPr>
          <w:color w:val="003CA0"/>
          <w:sz w:val="12"/>
        </w:rPr>
        <w:t xml:space="preserve"> | rel. Cezar Peluso</w:t>
      </w:r>
    </w:p>
    <w:p>
      <w:pPr>
        <w:ind w:left="288"/>
      </w:pPr>
      <w:r>
        <w:rPr>
          <w:color w:val="1E1E1E"/>
          <w:sz w:val="18"/>
        </w:rPr>
        <w:t>É compatível com a Constituição lei específica que altera o cálculo da Gratificação por Produção Suplementar (GPS), desde que não haja redução da remuneração na sua totalidade.</w:t>
      </w:r>
    </w:p>
    <w:p>
      <w:pPr>
        <w:ind w:left="288"/>
      </w:pPr>
      <w:r>
        <w:rPr>
          <w:b/>
          <w:color w:val="003CA0"/>
          <w:sz w:val="16"/>
        </w:rPr>
        <w:t>[RE 596.542 RG, rel. min. Cezar Peluso, j. 16-6-2011, P, DJE de 16-9-2011. Tema 434, com mérito julgado.]</w:t>
      </w:r>
    </w:p>
    <w:p>
      <w:pPr>
        <w:ind w:left="288"/>
      </w:pPr>
      <w:r>
        <w:rPr>
          <w:color w:val="8C8C8C"/>
          <w:sz w:val="12"/>
        </w:rPr>
        <w:t>cf-art-5-inc-XXXII-ali-b</w:t>
      </w:r>
      <w:r>
        <w:rPr>
          <w:color w:val="003CA0"/>
          <w:sz w:val="12"/>
        </w:rPr>
        <w:t xml:space="preserve"> | RE 363.889</w:t>
      </w:r>
      <w:r>
        <w:rPr>
          <w:color w:val="003CA0"/>
          <w:sz w:val="12"/>
        </w:rPr>
        <w:t xml:space="preserve"> | rel. Dias Toffoli</w:t>
      </w:r>
    </w:p>
    <w:p>
      <w:pPr>
        <w:ind w:left="288"/>
      </w:pPr>
      <w:r>
        <w:rPr>
          <w:color w:val="1E1E1E"/>
          <w:sz w:val="18"/>
        </w:rPr>
        <w:t>É dotada de repercussão geral a matéria atinente à possibilidade da repropositura de ação de investigação de paternidade, quando anterior demanda idêntica, entre as mesmas partes, foi julgada improcedente, por falta de provas, em razão de a parte interessada não dispor de condições econômicas para realizar o exame de DNA e de o Estado não ter custeado a produção dessa prova. Deve ser relativizada a coisa julgada estabelecida em ações de investigação de paternidade em que não foi possível determinar-se a efetiva existência de vínculo genético a unir as partes, em decorrência da não realização d</w:t>
      </w:r>
    </w:p>
    <w:p>
      <w:pPr>
        <w:ind w:left="288"/>
      </w:pPr>
      <w:r>
        <w:rPr>
          <w:b/>
          <w:color w:val="003CA0"/>
          <w:sz w:val="16"/>
        </w:rPr>
        <w:t>[RE 363.889, rel. min. Dias Toffoli, j. 2-6-2011, P, DJE de 16-12-2011. Tema 392, com mérito julgado.]</w:t>
      </w:r>
    </w:p>
    <w:p>
      <w:pPr>
        <w:ind w:left="288"/>
      </w:pPr>
      <w:r>
        <w:rPr>
          <w:color w:val="8C8C8C"/>
          <w:sz w:val="12"/>
        </w:rPr>
        <w:t>cf-art-5-inc-XXXII-ali-b</w:t>
      </w:r>
      <w:r>
        <w:rPr>
          <w:color w:val="003CA0"/>
          <w:sz w:val="12"/>
        </w:rPr>
        <w:t xml:space="preserve"> | RE 564.354</w:t>
      </w:r>
      <w:r>
        <w:rPr>
          <w:color w:val="003CA0"/>
          <w:sz w:val="12"/>
        </w:rPr>
        <w:t xml:space="preserve"> | rel. Cármen Lúcia</w:t>
      </w:r>
    </w:p>
    <w:p>
      <w:pPr>
        <w:ind w:left="288"/>
      </w:pPr>
      <w:r>
        <w:rPr>
          <w:color w:val="1E1E1E"/>
          <w:sz w:val="18"/>
        </w:rPr>
        <w:t>Não ofende o ato jurídico perfeito a aplicação imediata do art. 14 da EC 20/1998 e do art. 5º da EC 41/2003 aos benefícios previdenciários limitados a teto do regime geral de previdência estabelecido antes da vigência dessas normas, de modo que passem a observar o novo teto constitucional.</w:t>
      </w:r>
    </w:p>
    <w:p>
      <w:pPr>
        <w:ind w:left="288"/>
      </w:pPr>
      <w:r>
        <w:rPr>
          <w:b/>
          <w:color w:val="003CA0"/>
          <w:sz w:val="16"/>
        </w:rPr>
        <w:t>[RE 564.354, rel. min. Cármen Lúcia, j. 8-9-2010, P, DJE de 15-2-2011. Tema 76, com mérito julgado.]</w:t>
      </w:r>
    </w:p>
    <w:p>
      <w:pPr>
        <w:ind w:left="288"/>
      </w:pPr>
      <w:r>
        <w:rPr>
          <w:color w:val="8C8C8C"/>
          <w:sz w:val="12"/>
        </w:rPr>
        <w:t>cf-art-5-inc-XXXII-ali-b</w:t>
      </w:r>
      <w:r>
        <w:rPr>
          <w:color w:val="003CA0"/>
          <w:sz w:val="12"/>
        </w:rPr>
        <w:t xml:space="preserve"> | RE 937.595</w:t>
      </w:r>
      <w:r>
        <w:rPr>
          <w:color w:val="003CA0"/>
          <w:sz w:val="12"/>
        </w:rPr>
        <w:t xml:space="preserve"> | rel. Roberto Barroso</w:t>
      </w:r>
    </w:p>
    <w:p>
      <w:pPr>
        <w:ind w:left="288"/>
      </w:pPr>
      <w:r>
        <w:rPr>
          <w:color w:val="1E1E1E"/>
          <w:sz w:val="18"/>
        </w:rPr>
        <w:t>Vide RE 937.595 RG, rel. min. Roberto Barroso, j. 2-2-2017, P, DJE de 16-5-2017. Tema 930, com mérito julgado Não há, efetivamente, direito adquirido do membro do Ministério Público a candidatar-se ao exercício de novo mandado político. O que socorre a recorrente é o direito atual – não adquirido no passado, mas atual – a concorrer a nova eleição e ser reeleita, afirmado pelo art. 14, § 5º, da CF.</w:t>
      </w:r>
    </w:p>
    <w:p>
      <w:pPr>
        <w:ind w:left="288"/>
      </w:pPr>
      <w:r>
        <w:rPr>
          <w:b/>
          <w:color w:val="003CA0"/>
          <w:sz w:val="16"/>
        </w:rPr>
        <w:t>[RE 597.994, red. do ac. min. Eros Grau, j. 4-6-2009, P, DJE de 28-8-2009. Tema 172, com mérito julgado.]</w:t>
      </w:r>
    </w:p>
    <w:p>
      <w:pPr>
        <w:ind w:left="288"/>
      </w:pPr>
      <w:r>
        <w:rPr>
          <w:color w:val="8C8C8C"/>
          <w:sz w:val="12"/>
        </w:rPr>
        <w:t>cf-art-5-inc-XXXII-ali-b</w:t>
      </w:r>
      <w:r>
        <w:rPr>
          <w:color w:val="003CA0"/>
          <w:sz w:val="12"/>
        </w:rPr>
        <w:t xml:space="preserve"> | RE 563.965</w:t>
      </w:r>
      <w:r>
        <w:rPr>
          <w:color w:val="003CA0"/>
          <w:sz w:val="12"/>
        </w:rPr>
        <w:t xml:space="preserve"> | rel. Cármen Lúcia</w:t>
      </w:r>
    </w:p>
    <w:p>
      <w:pPr>
        <w:ind w:left="288"/>
      </w:pPr>
      <w:r>
        <w:rPr>
          <w:color w:val="1E1E1E"/>
          <w:sz w:val="18"/>
        </w:rPr>
        <w:t>O STF pacificou a sua jurisprudência sobre a constitucionalidade do instituto da estabilidade financeira e sobre a ausência de direito adquirido a regime jurídico. Nesta linha, a LC 203/2001 do Estado do Rio Grande do Norte, no ponto que alterou a forma de cálculo de gratificações e, consequentemente, a composição da remuneração de servidores públicos, não ofende a Constituição da República de 1988, por dar cumprimento ao princípio da irredutibilidade da remuneração.</w:t>
      </w:r>
    </w:p>
    <w:p>
      <w:pPr>
        <w:ind w:left="288"/>
      </w:pPr>
      <w:r>
        <w:rPr>
          <w:b/>
          <w:color w:val="003CA0"/>
          <w:sz w:val="16"/>
        </w:rPr>
        <w:t>[RE 563.965, rel. min. Cármen Lúcia, j. 11-2-2009, P, DJE de 20-3-2009. Tema 41, com mérito julgado.]</w:t>
      </w:r>
    </w:p>
    <w:p>
      <w:pPr>
        <w:ind w:left="288"/>
      </w:pPr>
      <w:r>
        <w:rPr>
          <w:color w:val="8C8C8C"/>
          <w:sz w:val="12"/>
        </w:rPr>
        <w:t>cf-art-5-inc-XXXII-ali-b</w:t>
      </w:r>
      <w:r>
        <w:rPr>
          <w:color w:val="003CA0"/>
          <w:sz w:val="12"/>
        </w:rPr>
        <w:t xml:space="preserve"> | RE 575.089</w:t>
      </w:r>
      <w:r>
        <w:rPr>
          <w:color w:val="003CA0"/>
          <w:sz w:val="12"/>
        </w:rPr>
        <w:t xml:space="preserve"> | rel. Ricardo Lewandowski</w:t>
      </w:r>
    </w:p>
    <w:p>
      <w:pPr>
        <w:ind w:left="288"/>
      </w:pPr>
      <w:r>
        <w:rPr>
          <w:color w:val="1E1E1E"/>
          <w:sz w:val="18"/>
        </w:rPr>
        <w:t>INSS. Aposentadoria. Contagem de tempo. Direito adquirido. Art. 3º da EC 20/1998. Contagem de tempo de serviço posterior a 16-12-1998. Possibilidade. Benefício calculado em conformidade com normas vigentes antes do advento da referida emenda. Inadmissibilidade. (...) Embora tenha o recorrente direito adquirido à aposentadoria, nos termos do art. 3º da EC 20/1998, não pode computar tempo de serviço posterior a ela, valendo-se das regras vigentes antes de sua edição. Inexiste direito adquirido a determinado regime jurídico, razão pela qual não é lícito ao segurado conjugar as vantagens do novo s</w:t>
      </w:r>
    </w:p>
    <w:p>
      <w:pPr>
        <w:ind w:left="288"/>
      </w:pPr>
      <w:r>
        <w:rPr>
          <w:b/>
          <w:color w:val="003CA0"/>
          <w:sz w:val="16"/>
        </w:rPr>
        <w:t>[RE 575.089, rel. min. Ricardo Lewandowski, j. 10-9-2008, P, DJE de 24-10-2008. Tema 70, com mérito julgado.]</w:t>
      </w:r>
    </w:p>
    <w:p>
      <w:pPr>
        <w:ind w:left="288"/>
      </w:pPr>
      <w:r>
        <w:rPr>
          <w:color w:val="8C8C8C"/>
          <w:sz w:val="12"/>
        </w:rPr>
        <w:t>cf-art-5-inc-XXXII-ali-b</w:t>
      </w:r>
      <w:r>
        <w:rPr>
          <w:color w:val="003CA0"/>
          <w:sz w:val="12"/>
        </w:rPr>
        <w:t xml:space="preserve"> | RE 591.068</w:t>
      </w:r>
      <w:r>
        <w:rPr>
          <w:color w:val="003CA0"/>
          <w:sz w:val="12"/>
        </w:rPr>
        <w:t xml:space="preserve"> | rel. Gilmar Mendes</w:t>
      </w:r>
    </w:p>
    <w:p>
      <w:pPr>
        <w:ind w:left="288"/>
      </w:pPr>
      <w:r>
        <w:rPr>
          <w:color w:val="1E1E1E"/>
          <w:sz w:val="18"/>
        </w:rPr>
        <w:t>Possui repercussão geral a discussão sobre a validade e a eficácia de acordo constante de termo de adesão instituído pela LC 110/2001, para pagamento das diferenças relativas aos expurgos inflacionários sobre os saldos das contas vinculadas de FGTS. Matéria já enfrentada por esta Corte em vários julgados, colegiados e monocráticos, que consagraram o entendimento consolidado na Súmula Vinculante 1, segundo o qual ofende a garantia constitucional do ato jurídico perfeito a decisão que, sem ponderar as circunstâncias do caso concreto, desconsidera a validez e a eficácia de acordo constante de ter</w:t>
      </w:r>
    </w:p>
    <w:p>
      <w:pPr>
        <w:ind w:left="288"/>
      </w:pPr>
      <w:r>
        <w:rPr>
          <w:b/>
          <w:color w:val="003CA0"/>
          <w:sz w:val="16"/>
        </w:rPr>
        <w:t>[RE 1.529.476, rel. min. Gilmar Mendes, j. 15.09.2025, P, DJE de 07.10.2025.]</w:t>
      </w:r>
    </w:p>
    <w:p>
      <w:pPr>
        <w:ind w:left="288"/>
      </w:pPr>
      <w:r>
        <w:rPr>
          <w:color w:val="8C8C8C"/>
          <w:sz w:val="12"/>
        </w:rPr>
        <w:t>cf-art-5-inc-XXXII-ali-b</w:t>
      </w:r>
      <w:r>
        <w:rPr>
          <w:color w:val="003CA0"/>
          <w:sz w:val="12"/>
        </w:rPr>
        <w:t xml:space="preserve"> | AR 2.876</w:t>
      </w:r>
      <w:r>
        <w:rPr>
          <w:color w:val="003CA0"/>
          <w:sz w:val="12"/>
        </w:rPr>
        <w:t xml:space="preserve"> | rel. Gilmar Mendes</w:t>
      </w:r>
    </w:p>
    <w:p>
      <w:pPr>
        <w:ind w:left="288"/>
      </w:pPr>
      <w:r>
        <w:rPr>
          <w:color w:val="1E1E1E"/>
          <w:sz w:val="18"/>
        </w:rPr>
        <w:t>“O § 15 do art. 525 e o § 8º do art. 535 do Código de Processo Civil devem ser interpretados conforme à Constituição, com efeitos ex nunc, no seguinte sentido, com a declaração incidental de inconstitucionalidade do § 14 do art. 525 e do § 7º do art. 535: 1. Em cada caso, o Supremo Tribunal Federal poderá definir os efeitos temporais de seus precedentes vinculantes e sua repercussão sobre a coisa julgada, estabelecendo inclusive a extensão da retroação para fins da ação rescisória ou mesmo o seu não cabimento diante do grave risco de lesão à segurança jurídica ou ao interesse social. 2. Na aus</w:t>
      </w:r>
    </w:p>
    <w:p>
      <w:pPr>
        <w:ind w:left="288"/>
      </w:pPr>
      <w:r>
        <w:rPr>
          <w:b/>
          <w:color w:val="003CA0"/>
          <w:sz w:val="16"/>
        </w:rPr>
        <w:t>[AR 2.876 QO, rel. min. Gilmar Mendes, j. 23.04.2025, P, Informativo STF 1.177.]</w:t>
      </w:r>
    </w:p>
    <w:p>
      <w:pPr>
        <w:ind w:left="288"/>
      </w:pPr>
      <w:r>
        <w:rPr>
          <w:color w:val="8C8C8C"/>
          <w:sz w:val="12"/>
        </w:rPr>
        <w:t>cf-art-5-inc-XXXII-ali-b</w:t>
      </w:r>
      <w:r>
        <w:rPr>
          <w:color w:val="003CA0"/>
          <w:sz w:val="12"/>
        </w:rPr>
        <w:t xml:space="preserve"> | ARE 1.434.340</w:t>
      </w:r>
      <w:r>
        <w:rPr>
          <w:color w:val="003CA0"/>
          <w:sz w:val="12"/>
        </w:rPr>
        <w:t xml:space="preserve"> | rel. André Mendonça</w:t>
      </w:r>
    </w:p>
    <w:p>
      <w:pPr>
        <w:ind w:left="288"/>
      </w:pPr>
      <w:r>
        <w:rPr>
          <w:color w:val="1E1E1E"/>
          <w:sz w:val="18"/>
        </w:rPr>
        <w:t>(...) na análise da Ação Direta de Inconstitucionalidade nº 4.420/SP, não foram examinados os temas referentes ao direito à manutenção da forma de atualização dos benefícios (com base no reajuste do salário mínimo) e à incolumidade do percentual relativo à contribuição previdenciária e, dessa forma, não restou garantido aos serventuários o direito à imutabilidade do regime previdenciário nesses pontos. Assim, o acórdão recorrido, ao reconhecer a inviabilidade da indexação de proventos de aposentadoria ao salário mínimo, não violou o princípio do direito adquirido, conforme suscitou a agravante</w:t>
      </w:r>
    </w:p>
    <w:p>
      <w:pPr>
        <w:ind w:left="288"/>
      </w:pPr>
      <w:r>
        <w:rPr>
          <w:b/>
          <w:color w:val="003CA0"/>
          <w:sz w:val="16"/>
        </w:rPr>
        <w:t>[ARE 1.434.340 AgR, rel. min. André Mendonça, j. 25-9-2023, 2ª T, DJE de 18-10-2023.]</w:t>
      </w:r>
    </w:p>
    <w:p>
      <w:pPr>
        <w:ind w:left="288"/>
      </w:pPr>
      <w:r>
        <w:rPr>
          <w:color w:val="8C8C8C"/>
          <w:sz w:val="12"/>
        </w:rPr>
        <w:t>cf-art-5-inc-XXXII-ali-b</w:t>
      </w:r>
      <w:r>
        <w:rPr>
          <w:color w:val="003CA0"/>
          <w:sz w:val="12"/>
        </w:rPr>
        <w:t xml:space="preserve"> | MS 32.672</w:t>
      </w:r>
      <w:r>
        <w:rPr>
          <w:color w:val="003CA0"/>
          <w:sz w:val="12"/>
        </w:rPr>
        <w:t xml:space="preserve"> | rel. Gilmar Mendes</w:t>
      </w:r>
    </w:p>
    <w:p>
      <w:pPr>
        <w:ind w:left="288"/>
      </w:pPr>
      <w:r>
        <w:rPr>
          <w:color w:val="1E1E1E"/>
          <w:sz w:val="18"/>
        </w:rPr>
        <w:t>Pagamento de salário-família a membros de MP estadual. Benefício não previsto na Resolução CNMP 9/2006. Incompatibilidade com o regime de subsídio. Ausência de direito adquirido a regime jurídico.</w:t>
      </w:r>
    </w:p>
    <w:p>
      <w:pPr>
        <w:ind w:left="288"/>
      </w:pPr>
      <w:r>
        <w:rPr>
          <w:b/>
          <w:color w:val="003CA0"/>
          <w:sz w:val="16"/>
        </w:rPr>
        <w:t>[MS 32.672 AgR, rel. min. Gilmar Mendes, j. 15-2-2019, 2ª T, DJE de 22-2-2019.]</w:t>
      </w:r>
    </w:p>
    <w:p>
      <w:pPr>
        <w:ind w:left="288"/>
      </w:pPr>
      <w:r>
        <w:rPr>
          <w:color w:val="8C8C8C"/>
          <w:sz w:val="12"/>
        </w:rPr>
        <w:t>cf-art-5-inc-XXXII-ali-b</w:t>
      </w:r>
      <w:r>
        <w:rPr>
          <w:color w:val="003CA0"/>
          <w:sz w:val="12"/>
        </w:rPr>
        <w:t xml:space="preserve"> | RE 881.864</w:t>
      </w:r>
      <w:r>
        <w:rPr>
          <w:color w:val="003CA0"/>
          <w:sz w:val="12"/>
        </w:rPr>
        <w:t xml:space="preserve"> | rel. Marco Aurélio</w:t>
      </w:r>
    </w:p>
    <w:p>
      <w:pPr>
        <w:ind w:left="288"/>
      </w:pPr>
      <w:r>
        <w:rPr>
          <w:color w:val="1E1E1E"/>
          <w:sz w:val="18"/>
        </w:rPr>
        <w:t>A coisa julgada, no que revela manifestação do princípio da segurança jurídica, assume a estatura de elemento estruturante do Estado Democrático de Direito. A autonomia das entidades desportivas – art. 217, I, do Documento Básico – não permite transformar a Confederação Brasileira de Futebol em órgão revisor de pronunciamentos alcançados pela preclusão maior. Não se deve potencializar os conceitos de autonomia técnica e de mérito desportivo, em detrimento do que soberanamente decidido em processo judicial, no qual – cabe destacar – o Clube de Regatas do Flamengo originariamente integrou o polo</w:t>
      </w:r>
    </w:p>
    <w:p>
      <w:pPr>
        <w:ind w:left="288"/>
      </w:pPr>
      <w:r>
        <w:rPr>
          <w:b/>
          <w:color w:val="003CA0"/>
          <w:sz w:val="16"/>
        </w:rPr>
        <w:t>[RE 881.864 AgR, rel. min. Marco Aurélio, j. 18-4-2017, 1ª T, DJE de 10-10-2017.]</w:t>
      </w:r>
    </w:p>
    <w:p>
      <w:pPr>
        <w:ind w:left="288"/>
      </w:pPr>
      <w:r>
        <w:rPr>
          <w:color w:val="8C8C8C"/>
          <w:sz w:val="12"/>
        </w:rPr>
        <w:t>cf-art-5-inc-XXXII-ali-b</w:t>
      </w:r>
      <w:r>
        <w:rPr>
          <w:color w:val="003CA0"/>
          <w:sz w:val="12"/>
        </w:rPr>
        <w:t xml:space="preserve"> | RCL 20.132</w:t>
      </w:r>
    </w:p>
    <w:p>
      <w:pPr>
        <w:ind w:left="288"/>
      </w:pPr>
      <w:r>
        <w:rPr>
          <w:color w:val="1E1E1E"/>
          <w:sz w:val="18"/>
        </w:rPr>
        <w:t xml:space="preserve">Art. 18 do CPP. Arquivamento de inquérito policial. "Novas pesquisas". Possibilidade de reabertura das investigações, se de outras provas houver notícia. Contrario sensu, a reabertura não pode decorrer da simples mudança de opinião ou reavaliação da situação. É indispensável que haja novas provas ou, ao menos, novas linhas de investigação em perspectiva. Impossibilidade de reabrir inquérito para aprofundar linhas de investigação que já estavam disponíveis para exploração anterior. O arquivamento da investigação, ainda que não faça coisa julgada, é ato sério que só pode ser revisto por motivos </w:t>
      </w:r>
    </w:p>
    <w:p>
      <w:pPr>
        <w:ind w:left="288"/>
      </w:pPr>
      <w:r>
        <w:rPr>
          <w:b/>
          <w:color w:val="003CA0"/>
          <w:sz w:val="16"/>
        </w:rPr>
        <w:t>[Rcl 20.132 AgR-segundo, red. do ac. min. Gilmar Mendes, j. 23-2-2016, 2ª T, DJE de 28-4-2016.]</w:t>
      </w:r>
    </w:p>
    <w:p>
      <w:pPr>
        <w:ind w:left="288"/>
      </w:pPr>
      <w:r>
        <w:rPr>
          <w:color w:val="8C8C8C"/>
          <w:sz w:val="12"/>
        </w:rPr>
        <w:t>cf-art-5-inc-XXXII-ali-b</w:t>
      </w:r>
      <w:r>
        <w:rPr>
          <w:color w:val="003CA0"/>
          <w:sz w:val="12"/>
        </w:rPr>
        <w:t xml:space="preserve"> | HC 95.211</w:t>
      </w:r>
      <w:r>
        <w:rPr>
          <w:color w:val="003CA0"/>
          <w:sz w:val="12"/>
        </w:rPr>
        <w:t xml:space="preserve"> | rel. Cármen Lúcia</w:t>
      </w:r>
    </w:p>
    <w:p>
      <w:pPr>
        <w:ind w:left="288"/>
      </w:pPr>
      <w:r>
        <w:rPr>
          <w:color w:val="1E1E1E"/>
          <w:sz w:val="18"/>
        </w:rPr>
        <w:t>Vide HC 95.211, rel. min. Cármen Lúcia, j. 10-3-2009, 1ª T, DJE de 22-8-2011 A sentença de mérito transitada em julgado só pode ser desconstituída mediante ajuizamento de específica ação autônoma de impugnação (ação rescisória) que haja sido proposta na fluência do prazo decadencial previsto em lei, pois, com o exaurimento de referido lapso temporal, estar-se-á diante da coisa soberanamente julgada, insuscetível de ulterior modificação, ainda que o ato sentencial encontre fundamento em legislação que, em momento posterior, tenha sido declarada inconstitucional pelo STF, quer em sede de control</w:t>
      </w:r>
    </w:p>
    <w:p>
      <w:pPr>
        <w:ind w:left="288"/>
      </w:pPr>
      <w:r>
        <w:rPr>
          <w:b/>
          <w:color w:val="003CA0"/>
          <w:sz w:val="16"/>
        </w:rPr>
        <w:t>[RE 589.513 ED-EDv-AgR, rel. min. Celso de Mello, j. 7-5-2015, P, DJE de 13-8-2015.]</w:t>
      </w:r>
    </w:p>
    <w:p>
      <w:pPr>
        <w:ind w:left="288"/>
      </w:pPr>
      <w:r>
        <w:rPr>
          <w:color w:val="8C8C8C"/>
          <w:sz w:val="12"/>
        </w:rPr>
        <w:t>cf-art-5-inc-XXXII-ali-b</w:t>
      </w:r>
      <w:r>
        <w:rPr>
          <w:color w:val="003CA0"/>
          <w:sz w:val="12"/>
        </w:rPr>
        <w:t xml:space="preserve"> | RE 211.304</w:t>
      </w:r>
    </w:p>
    <w:p>
      <w:pPr>
        <w:ind w:left="288"/>
      </w:pPr>
      <w:r>
        <w:rPr>
          <w:color w:val="1E1E1E"/>
          <w:sz w:val="18"/>
        </w:rPr>
        <w:t>A aplicação da cláusula constitucional que assegura, em face da lei nova, a preservação do direito adquirido e do ato jurídico perfeito (CF, art. 5º, XXXVI) impõe distinguir duas diferentes espécies de situações jurídicas: (a) as situações jurídicas individuais, que são formadas por ato de vontade (especialmente os contratos), cuja celebração, quando legítima, já lhes outorga a condição de ato jurídico perfeito, inibindo, desde então, a incidência de modificações legislativas supervenientes; e (b) as situações jurídicas institucionais ou estatutárias, que são formadas segundo normas gerais e a</w:t>
      </w:r>
    </w:p>
    <w:p>
      <w:pPr>
        <w:ind w:left="288"/>
      </w:pPr>
      <w:r>
        <w:rPr>
          <w:b/>
          <w:color w:val="003CA0"/>
          <w:sz w:val="16"/>
        </w:rPr>
        <w:t>[RE 211.304, red. do ac. min. Teori Zavascki, j. 29-4-2015, P, DJE de 3-8-2015.]</w:t>
      </w:r>
    </w:p>
    <w:p>
      <w:pPr>
        <w:ind w:left="288"/>
      </w:pPr>
      <w:r>
        <w:rPr>
          <w:color w:val="8C8C8C"/>
          <w:sz w:val="12"/>
        </w:rPr>
        <w:t>cf-art-5-inc-XXXII-ali-b</w:t>
      </w:r>
      <w:r>
        <w:rPr>
          <w:color w:val="003CA0"/>
          <w:sz w:val="12"/>
        </w:rPr>
        <w:t xml:space="preserve"> | RE 646.313</w:t>
      </w:r>
      <w:r>
        <w:rPr>
          <w:color w:val="003CA0"/>
          <w:sz w:val="12"/>
        </w:rPr>
        <w:t xml:space="preserve"> | rel. Celso de Mello</w:t>
      </w:r>
    </w:p>
    <w:p>
      <w:pPr>
        <w:ind w:left="288"/>
      </w:pPr>
      <w:r>
        <w:rPr>
          <w:color w:val="1E1E1E"/>
          <w:sz w:val="18"/>
        </w:rPr>
        <w:t>O postulado da segurança jurídica, enquanto expressão do Estado Democrático de Direito, mostra-se impregnado de elevado conteúdo ético, social e jurídico, projetando-se sobre as relações jurídicas, mesmo as de direito público (RTJ 191/922), em ordem a viabilizar a incidência desse mesmo princípio sobre comportamentos de qualquer dos Poderes ou órgãos do Estado, para que se preservem, desse modo, sem prejuízo ou surpresa para o administrado, situações já consolidadas no passado. A essencialidade do postulado da segurança jurídica e a necessidade de se respeitarem situações consolidadas no tempo</w:t>
      </w:r>
    </w:p>
    <w:p>
      <w:pPr>
        <w:ind w:left="288"/>
      </w:pPr>
      <w:r>
        <w:rPr>
          <w:b/>
          <w:color w:val="003CA0"/>
          <w:sz w:val="16"/>
        </w:rPr>
        <w:t>[RE 646.313 AgR, rel. min. Celso de Mello, j. 18-11-2014, 2ª T, DJE de 10-12-2014.]</w:t>
      </w:r>
    </w:p>
    <w:p>
      <w:pPr>
        <w:ind w:left="288"/>
      </w:pPr>
      <w:r>
        <w:rPr>
          <w:color w:val="8C8C8C"/>
          <w:sz w:val="12"/>
        </w:rPr>
        <w:t>cf-art-5-inc-XXXII-ali-b</w:t>
      </w:r>
      <w:r>
        <w:rPr>
          <w:color w:val="003CA0"/>
          <w:sz w:val="12"/>
        </w:rPr>
        <w:t xml:space="preserve"> | AI 632.933</w:t>
      </w:r>
      <w:r>
        <w:rPr>
          <w:color w:val="003CA0"/>
          <w:sz w:val="12"/>
        </w:rPr>
        <w:t xml:space="preserve"> | rel. Gilmar Mendes</w:t>
      </w:r>
    </w:p>
    <w:p>
      <w:pPr>
        <w:ind w:left="288"/>
      </w:pPr>
      <w:r>
        <w:rPr>
          <w:color w:val="1E1E1E"/>
          <w:sz w:val="18"/>
        </w:rPr>
        <w:t>Inexistência de direito adquirido a regime jurídico, consubstanciado nas parcelas que compõem a estrutura remuneratória de servidores inativos, desde que observada a irredutibilidade salarial. (...) A MP 2.131/2000 suprimiu validamente rubrica outrora devida aos militares da reserva da União a título de adicional de inatividade, porquanto as alterações nela veiculadas não resultaram na diminuição do valor global da remuneração dos servidores afetados.</w:t>
      </w:r>
    </w:p>
    <w:p>
      <w:pPr>
        <w:ind w:left="288"/>
      </w:pPr>
      <w:r>
        <w:rPr>
          <w:b/>
          <w:color w:val="003CA0"/>
          <w:sz w:val="16"/>
        </w:rPr>
        <w:t>[AI 632.933 AgR-EDv-AgR, rel. min. Gilmar Mendes, j. 1º-8-2014, P, DJE de 30-10-2014.]</w:t>
      </w:r>
    </w:p>
    <w:p>
      <w:pPr>
        <w:ind w:left="288"/>
      </w:pPr>
      <w:r>
        <w:rPr>
          <w:color w:val="8C8C8C"/>
          <w:sz w:val="12"/>
        </w:rPr>
        <w:t>cf-art-5-inc-XXXII-ali-b</w:t>
      </w:r>
      <w:r>
        <w:rPr>
          <w:color w:val="003CA0"/>
          <w:sz w:val="12"/>
        </w:rPr>
        <w:t xml:space="preserve"> | AR 2.082</w:t>
      </w:r>
      <w:r>
        <w:rPr>
          <w:color w:val="003CA0"/>
          <w:sz w:val="12"/>
        </w:rPr>
        <w:t xml:space="preserve"> | rel. Cármen Lúcia</w:t>
      </w:r>
    </w:p>
    <w:p>
      <w:pPr>
        <w:ind w:left="288"/>
      </w:pPr>
      <w:r>
        <w:rPr>
          <w:color w:val="1E1E1E"/>
          <w:sz w:val="18"/>
        </w:rPr>
        <w:t>Pretensão de atribuir natureza preventiva à ação rescisória em razão de mudança jurisprudencial futura. Impossibilidade.</w:t>
      </w:r>
    </w:p>
    <w:p>
      <w:pPr>
        <w:ind w:left="288"/>
      </w:pPr>
      <w:r>
        <w:rPr>
          <w:b/>
          <w:color w:val="003CA0"/>
          <w:sz w:val="16"/>
        </w:rPr>
        <w:t>[AR 2.082 AgR, rel. min. Cármen Lúcia, j. 14-5-2014, P, DJE de 2-6-2014.]</w:t>
      </w:r>
    </w:p>
    <w:p>
      <w:pPr>
        <w:ind w:left="288"/>
      </w:pPr>
      <w:r>
        <w:rPr>
          <w:color w:val="8C8C8C"/>
          <w:sz w:val="12"/>
        </w:rPr>
        <w:t>cf-art-5-inc-XXXII-ali-b</w:t>
      </w:r>
      <w:r>
        <w:rPr>
          <w:color w:val="003CA0"/>
          <w:sz w:val="12"/>
        </w:rPr>
        <w:t xml:space="preserve"> | AR 1.860</w:t>
      </w:r>
      <w:r>
        <w:rPr>
          <w:color w:val="003CA0"/>
          <w:sz w:val="12"/>
        </w:rPr>
        <w:t xml:space="preserve"> | rel. Ricardo Lewandowski</w:t>
      </w:r>
    </w:p>
    <w:p>
      <w:pPr>
        <w:ind w:left="288"/>
      </w:pPr>
      <w:r>
        <w:rPr>
          <w:color w:val="1E1E1E"/>
          <w:sz w:val="18"/>
        </w:rPr>
        <w:t>É inviável o sobrestamento da ação rescisória com a finalidade de aguardar eventual modificação da jurisprudência no âmbito do STF, sob pena de maltrato à segurança jurídica e burla ao prazo decadencial de ajuizamento da ação.</w:t>
      </w:r>
    </w:p>
    <w:p>
      <w:pPr>
        <w:ind w:left="288"/>
      </w:pPr>
      <w:r>
        <w:rPr>
          <w:b/>
          <w:color w:val="003CA0"/>
          <w:sz w:val="16"/>
        </w:rPr>
        <w:t>[AR 1.860 AgR, rel. min. Ricardo Lewandowski, j. 14-5-2014, P, DJE de 4-6-2014.]</w:t>
      </w:r>
    </w:p>
    <w:p>
      <w:pPr>
        <w:ind w:left="288"/>
      </w:pPr>
      <w:r>
        <w:rPr>
          <w:color w:val="8C8C8C"/>
          <w:sz w:val="12"/>
        </w:rPr>
        <w:t>cf-art-5-inc-XXXII-ali-b</w:t>
      </w:r>
      <w:r>
        <w:rPr>
          <w:color w:val="003CA0"/>
          <w:sz w:val="12"/>
        </w:rPr>
        <w:t xml:space="preserve"> | AR 2.098</w:t>
      </w:r>
      <w:r>
        <w:rPr>
          <w:color w:val="003CA0"/>
          <w:sz w:val="12"/>
        </w:rPr>
        <w:t xml:space="preserve"> | rel. Edson Fachin</w:t>
      </w:r>
    </w:p>
    <w:p>
      <w:pPr>
        <w:ind w:left="288"/>
      </w:pPr>
      <w:r>
        <w:rPr>
          <w:color w:val="1E1E1E"/>
          <w:sz w:val="18"/>
        </w:rPr>
        <w:t>Vide AR 2.098 AgR, rel. min. Edson Fachin, j. 1º-7-2016, P, DJE de 26-9-2016 Adoção pelo acórdão rescindendo de premissa equivocada fixada pelo demandante. Impossibilidade de a parte beneficiar-se da própria torpeza.</w:t>
      </w:r>
    </w:p>
    <w:p>
      <w:pPr>
        <w:ind w:left="288"/>
      </w:pPr>
      <w:r>
        <w:rPr>
          <w:b/>
          <w:color w:val="003CA0"/>
          <w:sz w:val="16"/>
        </w:rPr>
        <w:t>[AR 1.455 AgR, rel. min. Teori Zavascki, j. 14-5-2014, P, DJE de 4-6-2014.]</w:t>
      </w:r>
    </w:p>
    <w:p>
      <w:pPr>
        <w:ind w:left="288"/>
      </w:pPr>
      <w:r>
        <w:rPr>
          <w:color w:val="8C8C8C"/>
          <w:sz w:val="12"/>
        </w:rPr>
        <w:t>cf-art-5-inc-XXXII-ali-b</w:t>
      </w:r>
      <w:r>
        <w:rPr>
          <w:color w:val="003CA0"/>
          <w:sz w:val="12"/>
        </w:rPr>
        <w:t xml:space="preserve"> | AR 2.125</w:t>
      </w:r>
      <w:r>
        <w:rPr>
          <w:color w:val="003CA0"/>
          <w:sz w:val="12"/>
        </w:rPr>
        <w:t xml:space="preserve"> | rel. Marco Aurélio</w:t>
      </w:r>
    </w:p>
    <w:p>
      <w:pPr>
        <w:ind w:left="288"/>
      </w:pPr>
      <w:r>
        <w:rPr>
          <w:color w:val="1E1E1E"/>
          <w:sz w:val="18"/>
        </w:rPr>
        <w:t>Descabe, em mitigação precária e efêmera da coisa julgada, de envergadura constitucional, implementar, na rescisória, tutela antecipada.</w:t>
      </w:r>
    </w:p>
    <w:p>
      <w:pPr>
        <w:ind w:left="288"/>
      </w:pPr>
      <w:r>
        <w:rPr>
          <w:b/>
          <w:color w:val="003CA0"/>
          <w:sz w:val="16"/>
        </w:rPr>
        <w:t>[AR 2.125 AgR, rel. min. Marco Aurélio, j. 14-5-2014, P, DJE de 7-8-2014.]</w:t>
      </w:r>
    </w:p>
    <w:p>
      <w:pPr>
        <w:ind w:left="288"/>
      </w:pPr>
      <w:r>
        <w:rPr>
          <w:color w:val="8C8C8C"/>
          <w:sz w:val="12"/>
        </w:rPr>
        <w:t>cf-art-5-inc-XXXII-ali-b</w:t>
      </w:r>
      <w:r>
        <w:rPr>
          <w:color w:val="003CA0"/>
          <w:sz w:val="12"/>
        </w:rPr>
        <w:t xml:space="preserve"> | AR 1.734</w:t>
      </w:r>
      <w:r>
        <w:rPr>
          <w:color w:val="003CA0"/>
          <w:sz w:val="12"/>
        </w:rPr>
        <w:t xml:space="preserve"> | rel. Joaquim Barbosa</w:t>
      </w:r>
    </w:p>
    <w:p>
      <w:pPr>
        <w:ind w:left="288"/>
      </w:pPr>
      <w:r>
        <w:rPr>
          <w:color w:val="1E1E1E"/>
          <w:sz w:val="18"/>
        </w:rPr>
        <w:t>Vide AR 1.734 MC, rel. min. Joaquim Barbosa, j. 28-9-2005, P, DJ de 22-9-2006 A decisão tomada em sede de exceção de pré-executividade tem o condão de formar coisa julgada material.</w:t>
      </w:r>
    </w:p>
    <w:p>
      <w:pPr>
        <w:ind w:left="288"/>
      </w:pPr>
      <w:r>
        <w:rPr>
          <w:b/>
          <w:color w:val="003CA0"/>
          <w:sz w:val="16"/>
        </w:rPr>
        <w:t>[Rcl 13.335 AgR, rel. min. Ricardo Lewandowski, j. 19-9-2013, P, DJE de 16-10-2013.]</w:t>
      </w:r>
    </w:p>
    <w:p>
      <w:pPr>
        <w:ind w:left="288"/>
      </w:pPr>
      <w:r>
        <w:rPr>
          <w:color w:val="8C8C8C"/>
          <w:sz w:val="12"/>
        </w:rPr>
        <w:t>cf-art-5-inc-XXXII-ali-b</w:t>
      </w:r>
      <w:r>
        <w:rPr>
          <w:color w:val="003CA0"/>
          <w:sz w:val="12"/>
        </w:rPr>
        <w:t xml:space="preserve"> | MS 22.315</w:t>
      </w:r>
      <w:r>
        <w:rPr>
          <w:color w:val="003CA0"/>
          <w:sz w:val="12"/>
        </w:rPr>
        <w:t xml:space="preserve"> | rel. Gilmar Mendes</w:t>
      </w:r>
    </w:p>
    <w:p>
      <w:pPr>
        <w:ind w:left="288"/>
      </w:pPr>
      <w:r>
        <w:rPr>
          <w:color w:val="1E1E1E"/>
          <w:sz w:val="18"/>
        </w:rPr>
        <w:t>Aposentadoria. TCU. Negativa de registro de aposentadoria. Segurança jurídica como subprincípio do Estado de Direito. Situação consolidada, prevalecendo a boa-fé e a confiança. Aptidão da justificação judicial para produzir os efeitos a que se destina.</w:t>
      </w:r>
    </w:p>
    <w:p>
      <w:pPr>
        <w:ind w:left="288"/>
      </w:pPr>
      <w:r>
        <w:rPr>
          <w:b/>
          <w:color w:val="003CA0"/>
          <w:sz w:val="16"/>
        </w:rPr>
        <w:t>[MS 22.315, rel. min. Gilmar Mendes, j. 17-4-2012, 2ª T, DJE de 16-5-2012.]</w:t>
      </w:r>
    </w:p>
    <w:p>
      <w:pPr>
        <w:ind w:left="288"/>
      </w:pPr>
      <w:r>
        <w:rPr>
          <w:color w:val="8C8C8C"/>
          <w:sz w:val="12"/>
        </w:rPr>
        <w:t>cf-art-5-inc-XXXII-ali-b</w:t>
      </w:r>
      <w:r>
        <w:rPr>
          <w:color w:val="003CA0"/>
          <w:sz w:val="12"/>
        </w:rPr>
        <w:t xml:space="preserve"> | ACO 79</w:t>
      </w:r>
      <w:r>
        <w:rPr>
          <w:color w:val="003CA0"/>
          <w:sz w:val="12"/>
        </w:rPr>
        <w:t xml:space="preserve"> | rel. Cezar Peluso</w:t>
      </w:r>
    </w:p>
    <w:p>
      <w:pPr>
        <w:ind w:left="288"/>
      </w:pPr>
      <w:r>
        <w:rPr>
          <w:color w:val="1E1E1E"/>
          <w:sz w:val="18"/>
        </w:rPr>
        <w:t>Sob pena de ofensa aos princípios constitucionais da segurança jurídica e da proteção à confiança legítima, não podem ser anuladas, meio século depois, por falta de necessária autorização prévia do Legislativo, concessões de domínio de terras públicas, celebradas para fins de colonização, quando esta, sob absoluta boa-fé e convicção de validez dos negócios por parte dos adquirentes e sucessores, se consolidou, ao longo do tempo, com criação de cidades, fixação de famílias, construção de hospitais, estradas, aeroportos, residências, estabelecimentos comerciais, industriais e de serviços, etc.</w:t>
      </w:r>
    </w:p>
    <w:p>
      <w:pPr>
        <w:ind w:left="288"/>
      </w:pPr>
      <w:r>
        <w:rPr>
          <w:b/>
          <w:color w:val="003CA0"/>
          <w:sz w:val="16"/>
        </w:rPr>
        <w:t>[ACO 79, rel. min. Cezar Peluso, j. 15-3-2012, P, DJE de 28-5-2012.]</w:t>
      </w:r>
    </w:p>
    <w:p>
      <w:pPr>
        <w:ind w:left="288"/>
      </w:pPr>
      <w:r>
        <w:rPr>
          <w:color w:val="8C8C8C"/>
          <w:sz w:val="12"/>
        </w:rPr>
        <w:t>cf-art-5-inc-XXXII-ali-b</w:t>
      </w:r>
      <w:r>
        <w:rPr>
          <w:color w:val="003CA0"/>
          <w:sz w:val="12"/>
        </w:rPr>
        <w:t xml:space="preserve"> | MS 27.851</w:t>
      </w:r>
    </w:p>
    <w:p>
      <w:pPr>
        <w:ind w:left="288"/>
      </w:pPr>
      <w:r>
        <w:rPr>
          <w:color w:val="1E1E1E"/>
          <w:sz w:val="18"/>
        </w:rPr>
        <w:t>Desconto nos subsídios de magistrados para a recomposição de valores percebidos indevidamente. A realização do desconto ou a sua majoração dependem da observância do contraditório e da ampla defesa. É que as manifestações de vontade da administração pública devem, à medida do que for possível e viável, tal como in casu, obedecer um processo dialético que conte com a oitiva da parte interessada. A procedimentalização dos atos administrativos exige o respeito e prévia consulta aos administrados afetados quando da edição de um ato estatal executado na função administrativa. Majoração de 1% para 1</w:t>
      </w:r>
    </w:p>
    <w:p>
      <w:pPr>
        <w:ind w:left="288"/>
      </w:pPr>
      <w:r>
        <w:rPr>
          <w:b/>
          <w:color w:val="003CA0"/>
          <w:sz w:val="16"/>
        </w:rPr>
        <w:t>[MS 27.851, red. do ac. min. Luiz Fux, j. 27-9-2011, 1ª T, DJE de 23-11-2011.]</w:t>
      </w:r>
    </w:p>
    <w:p>
      <w:pPr>
        <w:ind w:left="288"/>
      </w:pPr>
      <w:r>
        <w:rPr>
          <w:color w:val="8C8C8C"/>
          <w:sz w:val="12"/>
        </w:rPr>
        <w:t>cf-art-5-inc-XXXII-ali-b</w:t>
      </w:r>
      <w:r>
        <w:rPr>
          <w:color w:val="003CA0"/>
          <w:sz w:val="12"/>
        </w:rPr>
        <w:t xml:space="preserve"> | MS 30.932</w:t>
      </w:r>
      <w:r>
        <w:rPr>
          <w:color w:val="003CA0"/>
          <w:sz w:val="12"/>
        </w:rPr>
        <w:t xml:space="preserve"> | rel. Cármen Lúcia</w:t>
      </w:r>
    </w:p>
    <w:p>
      <w:pPr>
        <w:ind w:left="288"/>
      </w:pPr>
      <w:r>
        <w:rPr>
          <w:color w:val="1E1E1E"/>
          <w:sz w:val="18"/>
        </w:rPr>
        <w:t>= MS 30.932, rel. min. Cármen Lúcia, j. 18-12-2012, 2ª T, DJE de 22-2-2013 Servidor público. Direito à restituição de contribuições. Fundo de pensão facultativo extinto unilateralmente pela administração pública. (...) Caso em que a administração pública editou uma lei para dar fim a plano especial de pensão, quando ainda vivos os supridores estipendiais desse plano. Situação em que lei posterior fez retroagir a sua eficácia temporal para impedir a produção dos efeitos futuros de ato jurídico anteriormente consolidado, com violação à garantia constitucional do inciso XXXVI do art. 5º da CF.</w:t>
      </w:r>
    </w:p>
    <w:p>
      <w:pPr>
        <w:ind w:left="288"/>
      </w:pPr>
      <w:r>
        <w:rPr>
          <w:b/>
          <w:color w:val="003CA0"/>
          <w:sz w:val="16"/>
        </w:rPr>
        <w:t>[RE 486.825, rel. min. Ayres Britto, j. 6-9-2011, 1ª T, DJE de 6-2-2012.]</w:t>
      </w:r>
    </w:p>
    <w:p>
      <w:pPr>
        <w:ind w:left="288"/>
      </w:pPr>
      <w:r>
        <w:rPr>
          <w:color w:val="8C8C8C"/>
          <w:sz w:val="12"/>
        </w:rPr>
        <w:t>cf-art-5-inc-XXXII-ali-b</w:t>
      </w:r>
      <w:r>
        <w:rPr>
          <w:color w:val="003CA0"/>
          <w:sz w:val="12"/>
        </w:rPr>
        <w:t xml:space="preserve"> | AI 842.063</w:t>
      </w:r>
      <w:r>
        <w:rPr>
          <w:color w:val="003CA0"/>
          <w:sz w:val="12"/>
        </w:rPr>
        <w:t xml:space="preserve"> | rel. Cezar Peluso</w:t>
      </w:r>
    </w:p>
    <w:p>
      <w:pPr>
        <w:ind w:left="288"/>
      </w:pPr>
      <w:r>
        <w:rPr>
          <w:color w:val="1E1E1E"/>
          <w:sz w:val="18"/>
        </w:rPr>
        <w:t>É compatível com a Constituição a aplicabilidade imediata do art. 1º-F da Lei 9.494/1997, com alteração pela MP 2.180-35/2001, ainda que em relação às ações ajuizadas antes de sua entrada em vigor.</w:t>
      </w:r>
    </w:p>
    <w:p>
      <w:pPr>
        <w:ind w:left="288"/>
      </w:pPr>
      <w:r>
        <w:rPr>
          <w:b/>
          <w:color w:val="003CA0"/>
          <w:sz w:val="16"/>
        </w:rPr>
        <w:t>[AI 842.063 RG, rel. min. Cezar Peluso, j. 16-6-2011, P, DJE de 2-9-2011. Tema 435, com mérito julgado.]</w:t>
      </w:r>
    </w:p>
    <w:p>
      <w:pPr>
        <w:ind w:left="288"/>
      </w:pPr>
      <w:r>
        <w:rPr>
          <w:color w:val="8C8C8C"/>
          <w:sz w:val="12"/>
        </w:rPr>
        <w:t>cf-art-5-inc-XXXII-ali-b</w:t>
      </w:r>
      <w:r>
        <w:rPr>
          <w:color w:val="003CA0"/>
          <w:sz w:val="12"/>
        </w:rPr>
        <w:t xml:space="preserve"> | AO 482</w:t>
      </w:r>
      <w:r>
        <w:rPr>
          <w:color w:val="003CA0"/>
          <w:sz w:val="12"/>
        </w:rPr>
        <w:t xml:space="preserve"> | rel. Cármen Lúcia</w:t>
      </w:r>
    </w:p>
    <w:p>
      <w:pPr>
        <w:ind w:left="288"/>
      </w:pPr>
      <w:r>
        <w:rPr>
          <w:color w:val="1E1E1E"/>
          <w:sz w:val="18"/>
        </w:rPr>
        <w:t>Pretensão de gozo do direito de licença-prêmio adquirido na condição de servidora pública federal (art. 87 da Lei 8.112/1990) após a impetrante passar a integrar a carreira da magistratura trabalhista (LC 35/1979 – Loman). (...) Não consta nos autos prova de que lhe teria sido negado o exercício do direito adquirido no primeiro período aquisitivo (14-9-1983 a 13-9-1988). O segundo período aquisitivo (14-9-1988 a 7-1-1992), no qual a impetrante ainda atuava como servidora pública, não pode ser somado ao tempo de serviço prestado como magistrada, para fins de reconhecimento do direito à licença-</w:t>
      </w:r>
    </w:p>
    <w:p>
      <w:pPr>
        <w:ind w:left="288"/>
      </w:pPr>
      <w:r>
        <w:rPr>
          <w:b/>
          <w:color w:val="003CA0"/>
          <w:sz w:val="16"/>
        </w:rPr>
        <w:t>[AO 482, rel. min. Cármen Lúcia, j. 14-4-2011, P, DJE de 25-5-2011.]</w:t>
      </w:r>
    </w:p>
    <w:p>
      <w:pPr>
        <w:ind w:left="288"/>
      </w:pPr>
      <w:r>
        <w:rPr>
          <w:color w:val="8C8C8C"/>
          <w:sz w:val="12"/>
        </w:rPr>
        <w:t>cf-art-5-inc-XXXII-ali-b</w:t>
      </w:r>
      <w:r>
        <w:rPr>
          <w:color w:val="003CA0"/>
          <w:sz w:val="12"/>
        </w:rPr>
        <w:t xml:space="preserve"> | MS 24.781</w:t>
      </w:r>
    </w:p>
    <w:p>
      <w:pPr>
        <w:ind w:left="288"/>
      </w:pPr>
      <w:r>
        <w:rPr>
          <w:color w:val="1E1E1E"/>
          <w:sz w:val="18"/>
        </w:rPr>
        <w:t>A recente jurisprudência consolidada do STF passou a se manifestar no sentido de exigir que o TCU assegure a ampla defesa e o contraditório nos casos em que o controle externo de legalidade exercido pela Corte de Contas, para registro de aposentadorias e pensões, ultrapassar o prazo de cinco anos, sob pena de ofensa ao princípio da confiança – face subjetiva do princípio da segurança jurídica.</w:t>
      </w:r>
    </w:p>
    <w:p>
      <w:pPr>
        <w:ind w:left="288"/>
      </w:pPr>
      <w:r>
        <w:rPr>
          <w:b/>
          <w:color w:val="003CA0"/>
          <w:sz w:val="16"/>
        </w:rPr>
        <w:t>[MS 24.781, red. do ac. min. Gilmar Mendes, j. 2-3-2011, P, DJE de 9-6-2011.]</w:t>
      </w:r>
    </w:p>
    <w:p>
      <w:pPr>
        <w:ind w:left="288"/>
      </w:pPr>
      <w:r>
        <w:rPr>
          <w:color w:val="8C8C8C"/>
          <w:sz w:val="12"/>
        </w:rPr>
        <w:t>cf-art-5-inc-XXXII-ali-b</w:t>
      </w:r>
      <w:r>
        <w:rPr>
          <w:color w:val="003CA0"/>
          <w:sz w:val="12"/>
        </w:rPr>
        <w:t xml:space="preserve"> | RE 599.618</w:t>
      </w:r>
      <w:r>
        <w:rPr>
          <w:color w:val="003CA0"/>
          <w:sz w:val="12"/>
        </w:rPr>
        <w:t xml:space="preserve"> | rel. Cármen Lúcia</w:t>
      </w:r>
    </w:p>
    <w:p>
      <w:pPr>
        <w:ind w:left="288"/>
      </w:pPr>
      <w:r>
        <w:rPr>
          <w:color w:val="1E1E1E"/>
          <w:sz w:val="18"/>
        </w:rPr>
        <w:t>Transposição do regime celetista para o estatutário. Inexistência de direito adquirido a regime jurídico. Possibilidade de diminuição ou supressão de vantagens sem redução do valor da remuneração.</w:t>
      </w:r>
    </w:p>
    <w:p>
      <w:pPr>
        <w:ind w:left="288"/>
      </w:pPr>
      <w:r>
        <w:rPr>
          <w:b/>
          <w:color w:val="003CA0"/>
          <w:sz w:val="16"/>
        </w:rPr>
        <w:t>[RE 599.618 ED, rel. min. Cármen Lúcia, j. 1º-2-2011, 1ª T, DJE de 14-3-2011.]</w:t>
      </w:r>
    </w:p>
    <w:p>
      <w:pPr>
        <w:ind w:left="288"/>
      </w:pPr>
      <w:r>
        <w:rPr>
          <w:color w:val="8C8C8C"/>
          <w:sz w:val="12"/>
        </w:rPr>
        <w:t>cf-art-5-inc-XXXII-ali-b</w:t>
      </w:r>
      <w:r>
        <w:rPr>
          <w:color w:val="003CA0"/>
          <w:sz w:val="12"/>
        </w:rPr>
        <w:t xml:space="preserve"> | RE 562.757</w:t>
      </w:r>
      <w:r>
        <w:rPr>
          <w:color w:val="003CA0"/>
          <w:sz w:val="12"/>
        </w:rPr>
        <w:t xml:space="preserve"> | rel. Gilmar Mendes</w:t>
      </w:r>
    </w:p>
    <w:p>
      <w:pPr>
        <w:ind w:left="288"/>
      </w:pPr>
      <w:r>
        <w:rPr>
          <w:color w:val="1E1E1E"/>
          <w:sz w:val="18"/>
        </w:rPr>
        <w:t>= RE 562.757 ED, rel. min. Gilmar Mendes, j. 21-8-2012, 2ª T, DJE de 5-9-2012 Vide RE 212.131, rel. min. Ilmar Galvão, j. 3-8-1999, 1ª T, DJ de 29-10-1999 O que regula os proventos da inatividade é a lei (e não sua interpretação) vigente ao tempo em que o servidor preencheu os requisitos para a respectiva aposentadoria (Súmula 359/STF). Somente a lei pode conceder vantagens a servidores públicos. Inexiste direito adquirido com fundamento em antiga e superada interpretação da lei.</w:t>
      </w:r>
    </w:p>
    <w:p>
      <w:pPr>
        <w:ind w:left="288"/>
      </w:pPr>
      <w:r>
        <w:rPr>
          <w:b/>
          <w:color w:val="003CA0"/>
          <w:sz w:val="16"/>
        </w:rPr>
        <w:t>[MS 26.196, rel. min. Ayres Britto, j. 18-11-2010, P, DJE de 1º-2-2011.]</w:t>
      </w:r>
    </w:p>
    <w:p>
      <w:pPr>
        <w:ind w:left="288"/>
      </w:pPr>
      <w:r>
        <w:rPr>
          <w:color w:val="8C8C8C"/>
          <w:sz w:val="12"/>
        </w:rPr>
        <w:t>cf-art-5-inc-XXXII-ali-b</w:t>
      </w:r>
      <w:r>
        <w:rPr>
          <w:color w:val="003CA0"/>
          <w:sz w:val="12"/>
        </w:rPr>
        <w:t xml:space="preserve"> | MS 25.116</w:t>
      </w:r>
      <w:r>
        <w:rPr>
          <w:color w:val="003CA0"/>
          <w:sz w:val="12"/>
        </w:rPr>
        <w:t xml:space="preserve"> | rel. Ayres Britto</w:t>
      </w:r>
    </w:p>
    <w:p>
      <w:pPr>
        <w:ind w:left="288"/>
      </w:pPr>
      <w:r>
        <w:rPr>
          <w:color w:val="1E1E1E"/>
          <w:sz w:val="18"/>
        </w:rPr>
        <w:t xml:space="preserve">Ato do TCU. (...) Negativa de registro a aposentadoria. (...) A inércia da Corte de Contas, por mais de cinco anos, a contar da aposentadoria, consolidou afirmativamente a expectativa do ex-servidor quanto ao recebimento de verba de caráter alimentar. Esse aspecto temporal diz intimamente com: o princípio da segurança jurídica, projeção objetiva do princípio da dignidade da pessoa humana e elemento conceitual do Estado de Direito; a lealdade, um dos conteúdos do princípio constitucional da moralidade administrativa (caput do art. 37). São de se reconhecer, portanto, certas situações jurídicas </w:t>
      </w:r>
    </w:p>
    <w:p>
      <w:pPr>
        <w:ind w:left="288"/>
      </w:pPr>
      <w:r>
        <w:rPr>
          <w:b/>
          <w:color w:val="003CA0"/>
          <w:sz w:val="16"/>
        </w:rPr>
        <w:t>[MS 25.116, rel. min. Ayres Britto, j. 8-9-2010, P, DJE de 10-2-2011.]</w:t>
      </w:r>
    </w:p>
    <w:p>
      <w:pPr>
        <w:ind w:left="288"/>
      </w:pPr>
      <w:r>
        <w:rPr>
          <w:color w:val="8C8C8C"/>
          <w:sz w:val="12"/>
        </w:rPr>
        <w:t>cf-art-5-inc-XXXII-ali-b</w:t>
      </w:r>
      <w:r>
        <w:rPr>
          <w:color w:val="003CA0"/>
          <w:sz w:val="12"/>
        </w:rPr>
        <w:t xml:space="preserve"> | AI 762.863</w:t>
      </w:r>
      <w:r>
        <w:rPr>
          <w:color w:val="003CA0"/>
          <w:sz w:val="12"/>
        </w:rPr>
        <w:t xml:space="preserve"> | rel. Eros Grau</w:t>
      </w:r>
    </w:p>
    <w:p>
      <w:pPr>
        <w:ind w:left="288"/>
      </w:pPr>
      <w:r>
        <w:rPr>
          <w:color w:val="1E1E1E"/>
          <w:sz w:val="18"/>
        </w:rPr>
        <w:t>O STF fixou entendimento no sentido de que a lei nova não pode revogar vantagem pessoal já incorporada ao patrimônio do servidor sob pena de ofensa ao direito adquirido.</w:t>
      </w:r>
    </w:p>
    <w:p>
      <w:pPr>
        <w:ind w:left="288"/>
      </w:pPr>
      <w:r>
        <w:rPr>
          <w:b/>
          <w:color w:val="003CA0"/>
          <w:sz w:val="16"/>
        </w:rPr>
        <w:t>[AI 762.863 AgR, rel. min. Eros Grau, j. 20-10-2009, 2ª T, DJE de 13-11-2009.]</w:t>
      </w:r>
    </w:p>
    <w:p>
      <w:pPr>
        <w:ind w:left="288"/>
      </w:pPr>
      <w:r>
        <w:rPr>
          <w:color w:val="8C8C8C"/>
          <w:sz w:val="12"/>
        </w:rPr>
        <w:t>cf-art-5-inc-XXXII-ali-b</w:t>
      </w:r>
      <w:r>
        <w:rPr>
          <w:color w:val="003CA0"/>
          <w:sz w:val="12"/>
        </w:rPr>
        <w:t xml:space="preserve"> | RE 538.569</w:t>
      </w:r>
      <w:r>
        <w:rPr>
          <w:color w:val="003CA0"/>
          <w:sz w:val="12"/>
        </w:rPr>
        <w:t xml:space="preserve"> | rel. Cezar Peluso</w:t>
      </w:r>
    </w:p>
    <w:p>
      <w:pPr>
        <w:ind w:left="288"/>
      </w:pPr>
      <w:r>
        <w:rPr>
          <w:color w:val="1E1E1E"/>
          <w:sz w:val="18"/>
        </w:rPr>
        <w:t>Vide RE 538.569 AgR, rel. min. Cezar Peluso, j. 3-2-2009, 2ª T, DJE de 13-3-2009 (...) a situação da recorrente ficou bem definida. No valor da pensão recebida, estava incluído o relativo ao adicional de inatividade. Pois bem, a pretexto de a remuneração do pessoal da ativa haver sido modificada, afastando-se do cenário jurídico o aludido adicional, procedeu-se à alteração quanto aos parâmetros da pensão, suprimindo-se a parcela a que a recorrente passou a ter jus. Ora, a reestruturação do que percebido pelos militares desaguou em extensão imprópria, alcançando situação devidamente constituída</w:t>
      </w:r>
    </w:p>
    <w:p>
      <w:pPr>
        <w:ind w:left="288"/>
      </w:pPr>
      <w:r>
        <w:rPr>
          <w:b/>
          <w:color w:val="003CA0"/>
          <w:sz w:val="16"/>
        </w:rPr>
        <w:t>[RE 414.014, voto do min. Marco Aurélio, j. 20-10-2009, 1ª T, DJE de 13-11-2009.]</w:t>
      </w:r>
    </w:p>
    <w:p>
      <w:pPr>
        <w:ind w:left="288"/>
      </w:pPr>
      <w:r>
        <w:rPr>
          <w:color w:val="8C8C8C"/>
          <w:sz w:val="12"/>
        </w:rPr>
        <w:t>cf-art-5-inc-XXXII-ali-b</w:t>
      </w:r>
      <w:r>
        <w:rPr>
          <w:color w:val="003CA0"/>
          <w:sz w:val="12"/>
        </w:rPr>
        <w:t xml:space="preserve"> | RMS 26.596</w:t>
      </w:r>
      <w:r>
        <w:rPr>
          <w:color w:val="003CA0"/>
          <w:sz w:val="12"/>
        </w:rPr>
        <w:t xml:space="preserve"> | rel. Marco Aurélio</w:t>
      </w:r>
    </w:p>
    <w:p>
      <w:pPr>
        <w:ind w:left="288"/>
      </w:pPr>
      <w:r>
        <w:rPr>
          <w:color w:val="1E1E1E"/>
          <w:sz w:val="18"/>
        </w:rPr>
        <w:t>Vindo à balha processo administrativo de revisão de ato a implicar o reconhecimento da condição de anistiado, descabe cogitar do direito líquido e certo à percepção do valor anteriormente reconhecido.</w:t>
      </w:r>
    </w:p>
    <w:p>
      <w:pPr>
        <w:ind w:left="288"/>
      </w:pPr>
      <w:r>
        <w:rPr>
          <w:b/>
          <w:color w:val="003CA0"/>
          <w:sz w:val="16"/>
        </w:rPr>
        <w:t>[RMS 26.596, rel. min. Marco Aurélio, j. 20-10-2009, 1ª T, DJE de 6-11-2009.]</w:t>
      </w:r>
    </w:p>
    <w:p>
      <w:pPr>
        <w:ind w:left="288"/>
      </w:pPr>
      <w:r>
        <w:rPr>
          <w:color w:val="8C8C8C"/>
          <w:sz w:val="12"/>
        </w:rPr>
        <w:t>cf-art-5-inc-XXXII-ali-b</w:t>
      </w:r>
      <w:r>
        <w:rPr>
          <w:color w:val="003CA0"/>
          <w:sz w:val="12"/>
        </w:rPr>
        <w:t xml:space="preserve"> | RMS 26.025</w:t>
      </w:r>
      <w:r>
        <w:rPr>
          <w:color w:val="003CA0"/>
          <w:sz w:val="12"/>
        </w:rPr>
        <w:t xml:space="preserve"> | rel. Teori Zavascki</w:t>
      </w:r>
    </w:p>
    <w:p>
      <w:pPr>
        <w:ind w:left="288"/>
      </w:pPr>
      <w:r>
        <w:rPr>
          <w:color w:val="1E1E1E"/>
          <w:sz w:val="18"/>
        </w:rPr>
        <w:t>= RMS 26.025 AgR, rel. min. Teori Zavascki, j. 23-6-2015, 2ª T, DJE de 3-8-2015 O STF já pacificou sua jurisprudência no sentido de que os quintos incorporados, conforme Portaria MEC 474/1987, constituem direito adquirido, não alcançado pelas alterações promovidas pela Lei 8.168/1991. A aplicação da referida lei às parcelas já incorporadas aos vencimentos, com a redução de valores, configuraria ofensa ao princípio constitucional da irredutibilidade de vencimentos.</w:t>
      </w:r>
    </w:p>
    <w:p>
      <w:pPr>
        <w:ind w:left="288"/>
      </w:pPr>
      <w:r>
        <w:rPr>
          <w:b/>
          <w:color w:val="003CA0"/>
          <w:sz w:val="16"/>
        </w:rPr>
        <w:t>[AI 754.613 AgR, voto da min. Ellen Gracie, j. 20-10-2009, 2ª T, DJE de 13-11-2009.]</w:t>
      </w:r>
    </w:p>
    <w:p>
      <w:pPr>
        <w:ind w:left="288"/>
      </w:pPr>
      <w:r>
        <w:rPr>
          <w:color w:val="8C8C8C"/>
          <w:sz w:val="12"/>
        </w:rPr>
        <w:t>cf-art-5-inc-XXXII-ali-b</w:t>
      </w:r>
      <w:r>
        <w:rPr>
          <w:color w:val="003CA0"/>
          <w:sz w:val="12"/>
        </w:rPr>
        <w:t xml:space="preserve"> | RE 437.774</w:t>
      </w:r>
      <w:r>
        <w:rPr>
          <w:color w:val="003CA0"/>
          <w:sz w:val="12"/>
        </w:rPr>
        <w:t xml:space="preserve"> | rel. Joaquim Barbosa</w:t>
      </w:r>
    </w:p>
    <w:p>
      <w:pPr>
        <w:ind w:left="288"/>
      </w:pPr>
      <w:r>
        <w:rPr>
          <w:color w:val="1E1E1E"/>
          <w:sz w:val="18"/>
        </w:rPr>
        <w:t>= RE 437.774 AgR, rel. min. Joaquim Barbosa, j. 8-5-2012, 2ª T, DJE de 25-5-2012 = RE 594.979 AgR, rel. min. Ricardo Lewandowski, j. 8-2-2011, 1ª T, DJE de 10-3-2011 Mostra-se relevante observar, neste ponto, considerada a estrita disciplina jurídica que a Loman impôs à remuneração judiciária, que a percepção, por magistrados, de vantagens pecuniárias (...), em desacordo com a própria Loman, por implicar transgressão à lei, não legitima a invocação de direito adquirido, pois, como se sabe, não há situação configuradora de válida aquisição de direitos, quando resultante de violação ao ordenamen</w:t>
      </w:r>
    </w:p>
    <w:p>
      <w:pPr>
        <w:ind w:left="288"/>
      </w:pPr>
      <w:r>
        <w:rPr>
          <w:b/>
          <w:color w:val="003CA0"/>
          <w:sz w:val="16"/>
        </w:rPr>
        <w:t>[MS 28.135 MC, rel. min. Ellen Gracie, j. 17-7-2009, dec. monocrática proferida pelo min. Celso de Mello no exercício da Presidência, DJE de 5-8-2009.]</w:t>
      </w:r>
    </w:p>
    <w:p>
      <w:pPr>
        <w:ind w:left="288"/>
      </w:pPr>
      <w:r>
        <w:rPr>
          <w:color w:val="8C8C8C"/>
          <w:sz w:val="12"/>
        </w:rPr>
        <w:t>cf-art-5-inc-XXXII-ali-b</w:t>
      </w:r>
      <w:r>
        <w:rPr>
          <w:color w:val="003CA0"/>
          <w:sz w:val="12"/>
        </w:rPr>
        <w:t xml:space="preserve"> | RE 577.471</w:t>
      </w:r>
      <w:r>
        <w:rPr>
          <w:color w:val="003CA0"/>
          <w:sz w:val="12"/>
        </w:rPr>
        <w:t xml:space="preserve"> | rel. Celso de Mello</w:t>
      </w:r>
    </w:p>
    <w:p>
      <w:pPr>
        <w:ind w:left="288"/>
      </w:pPr>
      <w:r>
        <w:rPr>
          <w:color w:val="1E1E1E"/>
          <w:sz w:val="18"/>
        </w:rPr>
        <w:t>A autoridade da coisa julgada em sentido material estende-se, por isso mesmo, tanto ao que foi efetivamente arguido pelas partes quanto ao que poderia ter sido alegado, mas não o foi, desde que tais alegações e defesas se contenham no objeto do processo (tantum judicatum quantum disputatum vel disputari debebat). Aplicação, ao caso, do art. 474 do CPC.</w:t>
      </w:r>
    </w:p>
    <w:p>
      <w:pPr>
        <w:ind w:left="288"/>
      </w:pPr>
      <w:r>
        <w:rPr>
          <w:b/>
          <w:color w:val="003CA0"/>
          <w:sz w:val="16"/>
        </w:rPr>
        <w:t>[RE 577.471 AgR, rel. min. Celso de Mello, j. 19-5-2009, 2ª T, DJE de 12-6-2009.]</w:t>
      </w:r>
    </w:p>
    <w:p>
      <w:pPr>
        <w:ind w:left="288"/>
      </w:pPr>
      <w:r>
        <w:rPr>
          <w:color w:val="8C8C8C"/>
          <w:sz w:val="12"/>
        </w:rPr>
        <w:t>cf-art-5-inc-XXXII-ali-b</w:t>
      </w:r>
      <w:r>
        <w:rPr>
          <w:color w:val="003CA0"/>
          <w:sz w:val="12"/>
        </w:rPr>
        <w:t xml:space="preserve"> | AI 598.630</w:t>
      </w:r>
      <w:r>
        <w:rPr>
          <w:color w:val="003CA0"/>
          <w:sz w:val="12"/>
        </w:rPr>
        <w:t xml:space="preserve"> | rel. Joaquim Barbosa</w:t>
      </w:r>
    </w:p>
    <w:p>
      <w:pPr>
        <w:ind w:left="288"/>
      </w:pPr>
      <w:r>
        <w:rPr>
          <w:color w:val="1E1E1E"/>
          <w:sz w:val="18"/>
        </w:rPr>
        <w:t>O entendimento firmado por esta Corte de que a contagem do tempo de serviço prestado por servidor público federal ex-celetista, desde que comprovadas as condições insalubres, periculosas ou penosas, em período anterior à Lei 8.112/1990, constitui direito adquirido para todos os efeitos também deve ser aplicado aos servidores públicos estaduais ex-celetistas.</w:t>
      </w:r>
    </w:p>
    <w:p>
      <w:pPr>
        <w:ind w:left="288"/>
      </w:pPr>
      <w:r>
        <w:rPr>
          <w:b/>
          <w:color w:val="003CA0"/>
          <w:sz w:val="16"/>
        </w:rPr>
        <w:t>[AI 598.630 AgR, rel. min. Joaquim Barbosa, j. 12-5-2009, 2ª T, DJE de 26-6-2009.]</w:t>
      </w:r>
    </w:p>
    <w:p>
      <w:pPr>
        <w:ind w:left="288"/>
      </w:pPr>
      <w:r>
        <w:rPr>
          <w:color w:val="8C8C8C"/>
          <w:sz w:val="12"/>
        </w:rPr>
        <w:t>cf-art-5-inc-XXXII-ali-b</w:t>
      </w:r>
      <w:r>
        <w:rPr>
          <w:color w:val="003CA0"/>
          <w:sz w:val="12"/>
        </w:rPr>
        <w:t xml:space="preserve"> | RE 333.246</w:t>
      </w:r>
      <w:r>
        <w:rPr>
          <w:color w:val="003CA0"/>
          <w:sz w:val="12"/>
        </w:rPr>
        <w:t xml:space="preserve"> | rel. Marco Aurélio</w:t>
      </w:r>
    </w:p>
    <w:p>
      <w:pPr>
        <w:ind w:left="288"/>
      </w:pPr>
      <w:r>
        <w:rPr>
          <w:color w:val="1E1E1E"/>
          <w:sz w:val="18"/>
        </w:rPr>
        <w:t>= RE 333.246 AgR, rel. min. Marco Aurélio, j. 8-11-2011, 1ª T, DJE de 7-12-2011 Não viola a coisa julgada a decisão do tribunal que, interpretando disposição de acórdão seu, entende como fixação de honorária sobre valor da causa a referência declarada a valor da execução.</w:t>
      </w:r>
    </w:p>
    <w:p>
      <w:pPr>
        <w:ind w:left="288"/>
      </w:pPr>
      <w:r>
        <w:rPr>
          <w:b/>
          <w:color w:val="003CA0"/>
          <w:sz w:val="16"/>
        </w:rPr>
        <w:t>[RE 420.909, rel. min. Marco Aurélio, red. do ac. min. Cezar Peluso, j. 5-5-2009, 1ª T, DJE de 12-2-2010.]</w:t>
      </w:r>
    </w:p>
    <w:p>
      <w:pPr>
        <w:ind w:left="288"/>
      </w:pPr>
      <w:r>
        <w:rPr>
          <w:color w:val="8C8C8C"/>
          <w:sz w:val="12"/>
        </w:rPr>
        <w:t>cf-art-5-inc-XXXII-ali-b</w:t>
      </w:r>
      <w:r>
        <w:rPr>
          <w:color w:val="003CA0"/>
          <w:sz w:val="12"/>
        </w:rPr>
        <w:t xml:space="preserve"> | RE 344.994</w:t>
      </w:r>
      <w:r>
        <w:rPr>
          <w:color w:val="003CA0"/>
          <w:sz w:val="12"/>
        </w:rPr>
        <w:t xml:space="preserve"> | rel. Marco Aurélio</w:t>
      </w:r>
    </w:p>
    <w:p>
      <w:pPr>
        <w:ind w:left="288"/>
      </w:pPr>
      <w:r>
        <w:rPr>
          <w:color w:val="1E1E1E"/>
          <w:sz w:val="18"/>
        </w:rPr>
        <w:t>Imposto de renda. Dedução de prejuízos fiscais. Limitações. Arts. 42 e 58 da Lei 8.981/1995. Constitucionalidade. Ausência de violação do disposto nos arts. 150, III, a e b, e 5º, XXXVI, da Constituição do Brasil. O direito ao abatimento dos prejuízos fiscais acumulados em exercícios anteriores é expressivo de benefício fiscal em favor do contribuinte. Instrumento de política tributária que pode ser revista pelo Estado. Ausência de direito adquirido. A Lei 8.981/1995 não incide sobre fatos geradores ocorridos antes do início de sua vigência. Prejuízos ocorridos em exercícios anteriores não afe</w:t>
      </w:r>
    </w:p>
    <w:p>
      <w:pPr>
        <w:ind w:left="288"/>
      </w:pPr>
      <w:r>
        <w:rPr>
          <w:b/>
          <w:color w:val="003CA0"/>
          <w:sz w:val="16"/>
        </w:rPr>
        <w:t>[RE 344.994, rel. min. Marco Aurélio, red. do ac. min. Eros Grau, j. 25-3-2009, P, DJE de 28-8-2009.]</w:t>
      </w:r>
    </w:p>
    <w:p>
      <w:pPr>
        <w:ind w:left="288"/>
      </w:pPr>
      <w:r>
        <w:rPr>
          <w:color w:val="8C8C8C"/>
          <w:sz w:val="12"/>
        </w:rPr>
        <w:t>cf-art-5-inc-XXXII-ali-b</w:t>
      </w:r>
      <w:r>
        <w:rPr>
          <w:color w:val="003CA0"/>
          <w:sz w:val="12"/>
        </w:rPr>
        <w:t xml:space="preserve"> | HC 95.211</w:t>
      </w:r>
      <w:r>
        <w:rPr>
          <w:color w:val="003CA0"/>
          <w:sz w:val="12"/>
        </w:rPr>
        <w:t xml:space="preserve"> | rel. Cármen Lúcia</w:t>
      </w:r>
    </w:p>
    <w:p>
      <w:pPr>
        <w:ind w:left="288"/>
      </w:pPr>
      <w:r>
        <w:rPr>
          <w:color w:val="1E1E1E"/>
          <w:sz w:val="18"/>
        </w:rPr>
        <w:t>A decisão que determina o arquivamento de inquérito policial, a pedido do Ministério Público e determinada por juiz competente, que reconhece que o fato apurado está coberto por excludente de ilicitude, não afasta a ocorrência de crime quando surgirem novas provas, suficientes para justificar o desarquivamento do inquérito, como autoriza a Súmula 524 deste STF.</w:t>
      </w:r>
    </w:p>
    <w:p>
      <w:pPr>
        <w:ind w:left="288"/>
      </w:pPr>
      <w:r>
        <w:rPr>
          <w:b/>
          <w:color w:val="003CA0"/>
          <w:sz w:val="16"/>
        </w:rPr>
        <w:t>[HC 95.211, rel. min. Cármen Lúcia, j. 10-3-2009, 1ª T, DJE de 22-8-2011.]</w:t>
      </w:r>
    </w:p>
    <w:p>
      <w:pPr>
        <w:ind w:left="288"/>
      </w:pPr>
      <w:r>
        <w:rPr>
          <w:color w:val="8C8C8C"/>
          <w:sz w:val="12"/>
        </w:rPr>
        <w:t>cf-art-5-inc-XXXII-ali-b</w:t>
      </w:r>
      <w:r>
        <w:rPr>
          <w:color w:val="003CA0"/>
          <w:sz w:val="12"/>
        </w:rPr>
        <w:t xml:space="preserve"> | RCL 20.132</w:t>
      </w:r>
      <w:r>
        <w:rPr>
          <w:color w:val="003CA0"/>
          <w:sz w:val="12"/>
        </w:rPr>
        <w:t xml:space="preserve"> | rel. Eros Grau</w:t>
      </w:r>
    </w:p>
    <w:p>
      <w:pPr>
        <w:ind w:left="288"/>
      </w:pPr>
      <w:r>
        <w:rPr>
          <w:color w:val="1E1E1E"/>
          <w:sz w:val="18"/>
        </w:rPr>
        <w:t>Vide Rcl 20.132 AgR-segundo, red. do ac. min. Gilmar Mendes, j. 23-2-2016, 2ª T, DJE de 28-4-2016 O STF fixou jurisprudência no sentido de que a legislação superveniente que altera a política salarial fixada em norma coletiva de trabalho não viola o direito adquirido, o ato jurídico perfeito e a coisa julgada.</w:t>
      </w:r>
    </w:p>
    <w:p>
      <w:pPr>
        <w:ind w:left="288"/>
      </w:pPr>
      <w:r>
        <w:rPr>
          <w:b/>
          <w:color w:val="003CA0"/>
          <w:sz w:val="16"/>
        </w:rPr>
        <w:t>[RE 593.126 AgR, rel. min. Eros Grau, j. 10-2-2009, 2ª T, DJE de 13-3-2009.]</w:t>
      </w:r>
    </w:p>
    <w:p>
      <w:pPr>
        <w:ind w:left="288"/>
      </w:pPr>
      <w:r>
        <w:rPr>
          <w:color w:val="8C8C8C"/>
          <w:sz w:val="12"/>
        </w:rPr>
        <w:t>cf-art-5-inc-XXXII-ali-b</w:t>
      </w:r>
      <w:r>
        <w:rPr>
          <w:color w:val="003CA0"/>
          <w:sz w:val="12"/>
        </w:rPr>
        <w:t xml:space="preserve"> | RE 564.425</w:t>
      </w:r>
      <w:r>
        <w:rPr>
          <w:color w:val="003CA0"/>
          <w:sz w:val="12"/>
        </w:rPr>
        <w:t xml:space="preserve"> | rel. Joaquim Barbosa</w:t>
      </w:r>
    </w:p>
    <w:p>
      <w:pPr>
        <w:ind w:left="288"/>
      </w:pPr>
      <w:r>
        <w:rPr>
          <w:color w:val="1E1E1E"/>
          <w:sz w:val="18"/>
        </w:rPr>
        <w:t>= RE 564.425 AgR, rel. min. Joaquim Barbosa, j. 5-6-2012, 2ª T, DJE de 22-6-2012 Servidor público. Aposentado. Proventos. Gratificação. Incorporação segundo a lei do tempo. Supressão por norma posterior. Inadmissibilidade. Direito adquirido. (...) Gratificação incorporada aos proventos por força de norma vigente à época da inativação não pode ser suprimida por lei posterior.</w:t>
      </w:r>
    </w:p>
    <w:p>
      <w:pPr>
        <w:ind w:left="288"/>
      </w:pPr>
      <w:r>
        <w:rPr>
          <w:b/>
          <w:color w:val="003CA0"/>
          <w:sz w:val="16"/>
        </w:rPr>
        <w:t>[RE 538.569 AgR, rel. min. Cezar Peluso, j. 3-2-2009, 2ª T, DJE de 13-3-2009.]</w:t>
      </w:r>
    </w:p>
    <w:p>
      <w:pPr>
        <w:ind w:left="288"/>
      </w:pPr>
      <w:r>
        <w:rPr>
          <w:color w:val="8C8C8C"/>
          <w:sz w:val="12"/>
        </w:rPr>
        <w:t>cf-art-5-inc-XXXII-ali-b</w:t>
      </w:r>
      <w:r>
        <w:rPr>
          <w:color w:val="003CA0"/>
          <w:sz w:val="12"/>
        </w:rPr>
        <w:t xml:space="preserve"> | AI 762.863</w:t>
      </w:r>
      <w:r>
        <w:rPr>
          <w:color w:val="003CA0"/>
          <w:sz w:val="12"/>
        </w:rPr>
        <w:t xml:space="preserve"> | rel. Eros Grau</w:t>
      </w:r>
    </w:p>
    <w:p>
      <w:pPr>
        <w:ind w:left="288"/>
      </w:pPr>
      <w:r>
        <w:rPr>
          <w:color w:val="1E1E1E"/>
          <w:sz w:val="18"/>
        </w:rPr>
        <w:t>Vide AI 762.863 AgR, rel. min. Eros Grau, j. 20-10-2009, 2ª T, DJE de 13-11-2009 Se o acórdão se alicerça em conclusão sobre o direito adquirido à contagem do tempo de serviço prestado em ambiente insalubre, considerada a legislação de regência, não há como cogitar de vulneração à CF.</w:t>
      </w:r>
    </w:p>
    <w:p>
      <w:pPr>
        <w:ind w:left="288"/>
      </w:pPr>
      <w:r>
        <w:rPr>
          <w:b/>
          <w:color w:val="003CA0"/>
          <w:sz w:val="16"/>
        </w:rPr>
        <w:t>[AI 503.951 AgR, rel. min. Marco Aurélio, j. 16-12-2008, 1ª T, DJE de 17-4-2009.]</w:t>
      </w:r>
    </w:p>
    <w:p>
      <w:pPr>
        <w:ind w:left="288"/>
      </w:pPr>
      <w:r>
        <w:rPr>
          <w:color w:val="8C8C8C"/>
          <w:sz w:val="12"/>
        </w:rPr>
        <w:t>cf-art-5-inc-XXXII-ali-b</w:t>
      </w:r>
      <w:r>
        <w:rPr>
          <w:color w:val="003CA0"/>
          <w:sz w:val="12"/>
        </w:rPr>
        <w:t xml:space="preserve"> | MS 21.540</w:t>
      </w:r>
      <w:r>
        <w:rPr>
          <w:color w:val="003CA0"/>
          <w:sz w:val="12"/>
        </w:rPr>
        <w:t xml:space="preserve"> | rel. Octavio Gallotti</w:t>
      </w:r>
    </w:p>
    <w:p>
      <w:pPr>
        <w:ind w:left="288"/>
      </w:pPr>
      <w:r>
        <w:rPr>
          <w:color w:val="1E1E1E"/>
          <w:sz w:val="18"/>
        </w:rPr>
        <w:t>Previdenciário. Pensão. Pessoa designada. Direito intertemporal. Precedentes. O óbito do instituidor é o marco temporal para definição do regime jurídico a que está sujeita a concessão do benefício: MS 21.540, rel. min. Octavio Gallotti, DJ de 14-5-1996. Inexistência de preterição a direito adquirido da autora de receber benefício com base em normas não recepcionadas pelo atual sistema constitucional: ADI 762, da minha relatoria, DJ de 14-5-2004.</w:t>
      </w:r>
    </w:p>
    <w:p>
      <w:pPr>
        <w:ind w:left="288"/>
      </w:pPr>
      <w:r>
        <w:rPr>
          <w:b/>
          <w:color w:val="003CA0"/>
          <w:sz w:val="16"/>
        </w:rPr>
        <w:t>[RE 436.995 AgR, rel. min. Ellen Gracie, j. 11-11-2008, 2ª T, DJE de 28-11-2008.]</w:t>
      </w:r>
    </w:p>
    <w:p>
      <w:pPr>
        <w:ind w:left="288"/>
      </w:pPr>
      <w:r>
        <w:rPr>
          <w:color w:val="8C8C8C"/>
          <w:sz w:val="12"/>
        </w:rPr>
        <w:t>cf-art-5-inc-XXXII-ali-b</w:t>
      </w:r>
      <w:r>
        <w:rPr>
          <w:color w:val="003CA0"/>
          <w:sz w:val="12"/>
        </w:rPr>
        <w:t xml:space="preserve"> | MS 25.963</w:t>
      </w:r>
      <w:r>
        <w:rPr>
          <w:color w:val="003CA0"/>
          <w:sz w:val="12"/>
        </w:rPr>
        <w:t xml:space="preserve"> | rel. Cezar Peluso</w:t>
      </w:r>
    </w:p>
    <w:p>
      <w:pPr>
        <w:ind w:left="288"/>
      </w:pPr>
      <w:r>
        <w:rPr>
          <w:color w:val="1E1E1E"/>
          <w:sz w:val="18"/>
        </w:rPr>
        <w:t>Servidor público. Funcionário. Aposentadoria. Cumulação de gratificações. Anulação pelo TCU. Inadmissibilidade. Ato julgado legal pelo TCU há mais de cinco anos. Anulação do julgamento. Inadmissibilidade. Decadência administrativa. Consumação reconhecida. Ofensa a direito líquido e certo. Respeito ao princípio da confiança e segurança jurídica. Cassação do acórdão. Segurança concedida para esse fim. Aplicação do art. 5º, LV, da CF e art. 54 da Lei federal 9.784/1999. Não pode o TCU, sob fundamento ou pretexto algum, anular aposentadoria que julgou legal há mais de cinco anos.</w:t>
      </w:r>
    </w:p>
    <w:p>
      <w:pPr>
        <w:ind w:left="288"/>
      </w:pPr>
      <w:r>
        <w:rPr>
          <w:b/>
          <w:color w:val="003CA0"/>
          <w:sz w:val="16"/>
        </w:rPr>
        <w:t>[MS 25.963, rel. min. Cezar Peluso, j. 23-10-2008, P, DJE de 21-11-2008.]</w:t>
      </w:r>
    </w:p>
    <w:p>
      <w:pPr>
        <w:ind w:left="288"/>
      </w:pPr>
      <w:r>
        <w:rPr>
          <w:color w:val="8C8C8C"/>
          <w:sz w:val="12"/>
        </w:rPr>
        <w:t>cf-art-5-inc-XXXII-ali-b</w:t>
      </w:r>
      <w:r>
        <w:rPr>
          <w:color w:val="003CA0"/>
          <w:sz w:val="12"/>
        </w:rPr>
        <w:t xml:space="preserve"> | RMS 25.833</w:t>
      </w:r>
      <w:r>
        <w:rPr>
          <w:color w:val="003CA0"/>
          <w:sz w:val="12"/>
        </w:rPr>
        <w:t xml:space="preserve"> | rel. Sepúlveda Pertence</w:t>
      </w:r>
    </w:p>
    <w:p>
      <w:pPr>
        <w:ind w:left="288"/>
      </w:pPr>
      <w:r>
        <w:rPr>
          <w:color w:val="1E1E1E"/>
          <w:sz w:val="18"/>
        </w:rPr>
        <w:t>A anistia, considerada a Portaria 1.104/1964 da Aeronáutica, apenas beneficia os integrados à Força Aérea em data anterior à edição da norma. Processo administrativo. Anistia. Reexame. Prazo decadencial. Observado o quinquênio previsto no art. 54 da Lei 9.784/1999, possível é o reexame de ato que tenha implicado, à margem da ordem jurídica, revisão de anistia.</w:t>
      </w:r>
    </w:p>
    <w:p>
      <w:pPr>
        <w:ind w:left="288"/>
      </w:pPr>
      <w:r>
        <w:rPr>
          <w:b/>
          <w:color w:val="003CA0"/>
          <w:sz w:val="16"/>
        </w:rPr>
        <w:t>[RMS 25.833, rel. min. Sepúlveda Pertence, red. do ac. min. Marco Aurélio, j. 9-9-2008, 1ª T, DJE de 21-11-2008.]</w:t>
      </w:r>
    </w:p>
    <w:p>
      <w:pPr>
        <w:ind w:left="288"/>
      </w:pPr>
      <w:r>
        <w:rPr>
          <w:color w:val="8C8C8C"/>
          <w:sz w:val="12"/>
        </w:rPr>
        <w:t>cf-art-5-inc-XXXII-ali-b</w:t>
      </w:r>
      <w:r>
        <w:rPr>
          <w:color w:val="003CA0"/>
          <w:sz w:val="12"/>
        </w:rPr>
        <w:t xml:space="preserve"> | RMS 25.711</w:t>
      </w:r>
      <w:r>
        <w:rPr>
          <w:color w:val="003CA0"/>
          <w:sz w:val="12"/>
        </w:rPr>
        <w:t xml:space="preserve"> | rel. Teori Zavascki</w:t>
      </w:r>
    </w:p>
    <w:p>
      <w:pPr>
        <w:ind w:left="288"/>
      </w:pPr>
      <w:r>
        <w:rPr>
          <w:color w:val="1E1E1E"/>
          <w:sz w:val="18"/>
        </w:rPr>
        <w:t>= RMS 25.711 AgR, rel. min. Teori Zavascki, j. 24-3-2015, 2ª T, DJE de 13-4-2015 Vide RMS 25.692, rel. min. Cármen Lúcia, j. 8-6-2010, 1ª T, DJE de 1º-7-2010 Cessada a atividade que deu origem à gratificação extraordinária, cessa igualmente a gratificação, não havendo falar em direito adquirido, tampouco, em princípio da irredutibilidade dos vencimentos.</w:t>
      </w:r>
    </w:p>
    <w:p>
      <w:pPr>
        <w:ind w:left="288"/>
      </w:pPr>
      <w:r>
        <w:rPr>
          <w:b/>
          <w:color w:val="003CA0"/>
          <w:sz w:val="16"/>
        </w:rPr>
        <w:t>[RE 338.436, rel. min. Menezes Direito, j. 2-9-2008, 1ª T, DJE de 21-11-2008.]</w:t>
      </w:r>
    </w:p>
    <w:p>
      <w:pPr>
        <w:ind w:left="288"/>
      </w:pPr>
      <w:r>
        <w:rPr>
          <w:color w:val="8C8C8C"/>
          <w:sz w:val="12"/>
        </w:rPr>
        <w:t>cf-art-5-inc-XXXII-ali-b</w:t>
      </w:r>
      <w:r>
        <w:rPr>
          <w:color w:val="003CA0"/>
          <w:sz w:val="12"/>
        </w:rPr>
        <w:t xml:space="preserve"> | ADI 3.105.</w:t>
      </w:r>
      <w:r>
        <w:rPr>
          <w:color w:val="003CA0"/>
          <w:sz w:val="12"/>
        </w:rPr>
        <w:t xml:space="preserve"> | rel. Cármen Lúcia</w:t>
      </w:r>
    </w:p>
    <w:p>
      <w:pPr>
        <w:ind w:left="288"/>
      </w:pPr>
      <w:r>
        <w:rPr>
          <w:color w:val="1E1E1E"/>
          <w:sz w:val="18"/>
        </w:rPr>
        <w:t>Magistrados e pensionistas de magistrados aposentados que entraram na magistratura quando vigente a Constituição da República de 1946. Reiteração dos argumentos de que a EC 20/1998 e a EC 41/2003 não alcançariam os servidores que ingressaram na carreira antes da promulgação da Constituição da República de 1988. Ausência de norma de imunidade tributária absoluta que assegure aos agravantes o direito adquirido de não se sujeitarem à contribuição previdenciária. Descumprimento da ADI 3.105.</w:t>
      </w:r>
    </w:p>
    <w:p>
      <w:pPr>
        <w:ind w:left="288"/>
      </w:pPr>
      <w:r>
        <w:rPr>
          <w:b/>
          <w:color w:val="003CA0"/>
          <w:sz w:val="16"/>
        </w:rPr>
        <w:t>[Rcl 4.486 MC-AgR, rel. min. Cármen Lúcia, j. 28-8-2008, P, DJE de 26-9-2008.]</w:t>
      </w:r>
    </w:p>
    <w:p>
      <w:pPr>
        <w:ind w:left="288"/>
      </w:pPr>
      <w:r>
        <w:rPr>
          <w:color w:val="8C8C8C"/>
          <w:sz w:val="12"/>
        </w:rPr>
        <w:t>cf-art-5-inc-XXXII-ali-b</w:t>
      </w:r>
      <w:r>
        <w:rPr>
          <w:color w:val="003CA0"/>
          <w:sz w:val="12"/>
        </w:rPr>
        <w:t xml:space="preserve"> | RE 554.477</w:t>
      </w:r>
      <w:r>
        <w:rPr>
          <w:color w:val="003CA0"/>
          <w:sz w:val="12"/>
        </w:rPr>
        <w:t xml:space="preserve"> | rel. Eros Grau</w:t>
      </w:r>
    </w:p>
    <w:p>
      <w:pPr>
        <w:ind w:left="288"/>
      </w:pPr>
      <w:r>
        <w:rPr>
          <w:color w:val="1E1E1E"/>
          <w:sz w:val="18"/>
        </w:rPr>
        <w:t>Servidor público. Aposentadoria. Lei 1.762/1986 do Estado do Amazonas. Vantagem pessoal. O art. 139, II, da Lei estadual 1.762/1986 assegurou aos agravados o direito de incorporar aos seus proventos 20% da remuneração percebida quando da atividade. À época da edição dessa lei, estava em vigor a Constituição de 1967-1969, que vedava a percepção de proventos superiores à remuneração da atividade. Todavia, eventual inconstitucionalidade do art. 139, II, daquela lei estadual, em face da Constituição do Brasil/1967-1969, nunca foi arguida e a gratificação por ela instituída incorporou-se ao patrimô</w:t>
      </w:r>
    </w:p>
    <w:p>
      <w:pPr>
        <w:ind w:left="288"/>
      </w:pPr>
      <w:r>
        <w:rPr>
          <w:b/>
          <w:color w:val="003CA0"/>
          <w:sz w:val="16"/>
        </w:rPr>
        <w:t>[RE 554.477 AgR, rel. min. Eros Grau, j. 10-6-2008, 2ª T, DJE de 27-6-2008.]</w:t>
      </w:r>
    </w:p>
    <w:p>
      <w:pPr>
        <w:ind w:left="288"/>
      </w:pPr>
      <w:r>
        <w:rPr>
          <w:color w:val="8C8C8C"/>
          <w:sz w:val="12"/>
        </w:rPr>
        <w:t>cf-art-5-inc-XXXII-ali-b</w:t>
      </w:r>
      <w:r>
        <w:rPr>
          <w:color w:val="003CA0"/>
          <w:sz w:val="12"/>
        </w:rPr>
        <w:t xml:space="preserve"> | RE 346.088</w:t>
      </w:r>
      <w:r>
        <w:rPr>
          <w:color w:val="003CA0"/>
          <w:sz w:val="12"/>
        </w:rPr>
        <w:t xml:space="preserve"> | rel. Gilmar Mendes</w:t>
      </w:r>
    </w:p>
    <w:p>
      <w:pPr>
        <w:ind w:left="288"/>
      </w:pPr>
      <w:r>
        <w:rPr>
          <w:color w:val="1E1E1E"/>
          <w:sz w:val="18"/>
        </w:rPr>
        <w:t>= RE 346.088 AgR, rel. min. Gilmar Mendes, j. 14-12-2010, 2ª T, DJE de 8-2-2011 = AI 419.620 AgR, rel. min. Ricardo Lewandowski, j. 19-5-2009, 1ª T, DJE de 5-6-2009 Fundo de Participação dos Municípios. Distribuição de recursos segundo critérios demográficos. Art. 161, II e parágrafo único, da Constituição. LC 91/1997 e LC 106/2001. Sistemática que reduziu o impacto inicial sobre os Municípios sujeitos ao fator redutor de ordem demográfica, compensando-se as diferenças nos repasses dos exercícios seguintes. Inexistência de ofensa a direito adquirido e ao princípio da legalidade. A LC 91/1997 n</w:t>
      </w:r>
    </w:p>
    <w:p>
      <w:pPr>
        <w:ind w:left="288"/>
      </w:pPr>
      <w:r>
        <w:rPr>
          <w:b/>
          <w:color w:val="003CA0"/>
          <w:sz w:val="16"/>
        </w:rPr>
        <w:t>[MS 26.469, rel. min. Eros Grau, j. 22-11-2007, P, DJE de 28-3-2008.]</w:t>
      </w:r>
    </w:p>
    <w:p>
      <w:pPr>
        <w:ind w:left="288"/>
      </w:pPr>
      <w:r>
        <w:rPr>
          <w:color w:val="8C8C8C"/>
          <w:sz w:val="12"/>
        </w:rPr>
        <w:t>cf-art-5-inc-XXXII-ali-b</w:t>
      </w:r>
      <w:r>
        <w:rPr>
          <w:color w:val="003CA0"/>
          <w:sz w:val="12"/>
        </w:rPr>
        <w:t xml:space="preserve"> | MS 26.236</w:t>
      </w:r>
      <w:r>
        <w:rPr>
          <w:color w:val="003CA0"/>
          <w:sz w:val="12"/>
        </w:rPr>
        <w:t xml:space="preserve"> | rel. Joaquim Barbosa</w:t>
      </w:r>
    </w:p>
    <w:p>
      <w:pPr>
        <w:ind w:left="288"/>
      </w:pPr>
      <w:r>
        <w:rPr>
          <w:color w:val="1E1E1E"/>
          <w:sz w:val="18"/>
        </w:rPr>
        <w:t>Vide MS 26.236 AgR, rel. min. Joaquim Barbosa, j. 1º-7-2009, P, DJE de 21-8-2009 Vide MS 26.464, rel. min. Cármen Lúcia, j. 7-4-2008, P, DJE de 16-5-2008 Vide MS 27.224 AgR, rel. min. Eros Grau, j. 20-8-2009, P, DJE de 25-9-2009 A jurisprudência do STF assevera que o pronunciamento de arquivamento, em regra, deve ser acolhido sem que se questione ou se entre no mérito da avaliação deduzida pelo titular da ação penal. (...) Esses julgados ressalvam, contudo, duas hipóteses em que a determinação judicial do arquivamento possa gerar coisa julgada material, a saber: prescrição da pretensão punitiv</w:t>
      </w:r>
    </w:p>
    <w:p>
      <w:pPr>
        <w:ind w:left="288"/>
      </w:pPr>
      <w:r>
        <w:rPr>
          <w:b/>
          <w:color w:val="003CA0"/>
          <w:sz w:val="16"/>
        </w:rPr>
        <w:t>[Inq 2.341 QO, rel. min. Gilmar Mendes, j. 28-6-2007, P, DJ de 17-8-2007.]</w:t>
      </w:r>
    </w:p>
    <w:p>
      <w:pPr>
        <w:ind w:left="288"/>
      </w:pPr>
      <w:r>
        <w:rPr>
          <w:color w:val="8C8C8C"/>
          <w:sz w:val="12"/>
        </w:rPr>
        <w:t>cf-art-5-inc-XXXII-ali-b</w:t>
      </w:r>
      <w:r>
        <w:rPr>
          <w:color w:val="003CA0"/>
          <w:sz w:val="12"/>
        </w:rPr>
        <w:t xml:space="preserve"> | MS 22.094</w:t>
      </w:r>
      <w:r>
        <w:rPr>
          <w:color w:val="003CA0"/>
          <w:sz w:val="12"/>
        </w:rPr>
        <w:t xml:space="preserve"> | rel. Sepúlveda Pertence</w:t>
      </w:r>
    </w:p>
    <w:p>
      <w:pPr>
        <w:ind w:left="288"/>
      </w:pPr>
      <w:r>
        <w:rPr>
          <w:color w:val="1E1E1E"/>
          <w:sz w:val="18"/>
        </w:rPr>
        <w:t>Servidores do Conselho Nacional de Desenvolvimento Científico e Tecnológico (CNPq): gratificação especial: inexistência de direito adquirido. Ao julgar o MS 22.094, Pleno, 2-2-2005, Ellen Gracie, DJ de 25-2-2005, o Supremo Tribunal decidiu que os servidores do CNPq, quando convertidos de celetistas em estatutários, não fazem jus à incorporação da gratificação especial, dada a inexistência de direito adquirido a regime jurídico.</w:t>
      </w:r>
    </w:p>
    <w:p>
      <w:pPr>
        <w:ind w:left="288"/>
      </w:pPr>
      <w:r>
        <w:rPr>
          <w:b/>
          <w:color w:val="003CA0"/>
          <w:sz w:val="16"/>
        </w:rPr>
        <w:t>[RE 425.579 AgR, rel. min. Sepúlveda Pertence, j. 15-5-2007, 1ª T, DJ de 8-6-2007.]</w:t>
      </w:r>
    </w:p>
    <w:p>
      <w:pPr>
        <w:ind w:left="288"/>
      </w:pPr>
      <w:r>
        <w:rPr>
          <w:color w:val="8C8C8C"/>
          <w:sz w:val="12"/>
        </w:rPr>
        <w:t>cf-art-5-inc-XXXII-ali-b</w:t>
      </w:r>
      <w:r>
        <w:rPr>
          <w:color w:val="003CA0"/>
          <w:sz w:val="12"/>
        </w:rPr>
        <w:t xml:space="preserve"> | AI 755.724</w:t>
      </w:r>
      <w:r>
        <w:rPr>
          <w:color w:val="003CA0"/>
          <w:sz w:val="12"/>
        </w:rPr>
        <w:t xml:space="preserve"> | rel. Gilmar Mendes</w:t>
      </w:r>
    </w:p>
    <w:p>
      <w:pPr>
        <w:ind w:left="288"/>
      </w:pPr>
      <w:r>
        <w:rPr>
          <w:color w:val="1E1E1E"/>
          <w:sz w:val="18"/>
        </w:rPr>
        <w:t>= AI 755.724 AgR, rel. min. Gilmar Mendes, j. 23-11-2010, 2ª T, DJE de 10-12-2010 Código de Defesa do Consumidor (CDC): contrato firmado entre instituição financeira e seus clientes referente à caderneta de poupança: não obstante as normas veiculadas pelo CDC alcancem as instituições financeiras (cf. ADI 2.591, 7-6-2006, Pleno, Eros Grau), não é possível a sua aplicação retroativa, sob pena de violação do art. 5º, XXXVI, da CF.</w:t>
      </w:r>
    </w:p>
    <w:p>
      <w:pPr>
        <w:ind w:left="288"/>
      </w:pPr>
      <w:r>
        <w:rPr>
          <w:b/>
          <w:color w:val="003CA0"/>
          <w:sz w:val="16"/>
        </w:rPr>
        <w:t>[RE 395.384 ED, rel. min. Sepúlveda Pertence, j. 26-4-2007, 1ª T, DJ de 22-6-2007.]</w:t>
      </w:r>
    </w:p>
    <w:p>
      <w:pPr>
        <w:ind w:left="288"/>
      </w:pPr>
      <w:r>
        <w:rPr>
          <w:color w:val="8C8C8C"/>
          <w:sz w:val="12"/>
        </w:rPr>
        <w:t>cf-art-5-inc-XXXII-ali-b</w:t>
      </w:r>
      <w:r>
        <w:rPr>
          <w:color w:val="003CA0"/>
          <w:sz w:val="12"/>
        </w:rPr>
        <w:t xml:space="preserve"> | RE 159.228</w:t>
      </w:r>
      <w:r>
        <w:rPr>
          <w:color w:val="003CA0"/>
          <w:sz w:val="12"/>
        </w:rPr>
        <w:t xml:space="preserve"> | rel. Sepúlveda Pertence</w:t>
      </w:r>
    </w:p>
    <w:p>
      <w:pPr>
        <w:ind w:left="288"/>
      </w:pPr>
      <w:r>
        <w:rPr>
          <w:color w:val="1E1E1E"/>
          <w:sz w:val="18"/>
        </w:rPr>
        <w:t>Servidor público do Distrito Federal: direito adquirido ao reajuste de vencimentos de 84,32% – relativo ao IPC de março de 1990, nos termos da Lei distrital 38/1989, posteriormente revogada pela Lei distrital 117/1990: precedentes. A jurisprudência do Supremo Tribunal não limita a percepção do percentual ao advento da Lei distrital 117/1990, mas, afirma, sim, a incorporação ao patrimônio jurídico dos servidores distritais desse percentual (cf. RE 159.228, Celso, RTJ 157/1045; RE 145.006 AgR, 13-2-1996, Segunda Turma, Corrêa; RE 235.802, Primeira Turma, 9-4-2002, Moreira). A disciplina da Lei 3</w:t>
      </w:r>
    </w:p>
    <w:p>
      <w:pPr>
        <w:ind w:left="288"/>
      </w:pPr>
      <w:r>
        <w:rPr>
          <w:b/>
          <w:color w:val="003CA0"/>
          <w:sz w:val="16"/>
        </w:rPr>
        <w:t>[RE 394.494, RE 420.076 e RE 420.431, rel. min. Sepúlveda Pertence, j. 6-3-2007, 1ª T, DJ de 18-5-2007.]</w:t>
      </w:r>
    </w:p>
    <w:p>
      <w:pPr>
        <w:ind w:left="288"/>
      </w:pPr>
      <w:r>
        <w:rPr>
          <w:color w:val="8C8C8C"/>
          <w:sz w:val="12"/>
        </w:rPr>
        <w:t>cf-art-5-inc-XXXII-ali-b</w:t>
      </w:r>
      <w:r>
        <w:rPr>
          <w:color w:val="003CA0"/>
          <w:sz w:val="12"/>
        </w:rPr>
        <w:t xml:space="preserve"> | AI 466.131</w:t>
      </w:r>
      <w:r>
        <w:rPr>
          <w:color w:val="003CA0"/>
          <w:sz w:val="12"/>
        </w:rPr>
        <w:t xml:space="preserve"> | rel. Ayres Britto</w:t>
      </w:r>
    </w:p>
    <w:p>
      <w:pPr>
        <w:ind w:left="288"/>
      </w:pPr>
      <w:r>
        <w:rPr>
          <w:color w:val="1E1E1E"/>
          <w:sz w:val="18"/>
        </w:rPr>
        <w:t>= AI 466.131 AgR, rel. min. Ayres Britto, j. 14-12-2010, 2ª T, DJE de 21-3-2011 Previdência Social. Benefício previdenciário. Pensão por morte. Aposentadoria por invalidez. Aposentadoria especial. Renda mensal. Valor. Majoração. Aplicação dos arts. 44; 57, § 1º; e 75 da Lei 8.213/1991, com as alterações da Lei 9.032/1995, a benefício concedido ou cujos requisitos foram implementados anteriormente ao início de sua vigência. Inadmissibilidade. Violação aos arts. 5º, XXXVI, e 195, § 5º, da CF. Recurso extraordinário provido. Precedentes do Plenário. Os arts. 44; 57, § 1º; e 75 da Lei federal 8.21</w:t>
      </w:r>
    </w:p>
    <w:p>
      <w:pPr>
        <w:ind w:left="288"/>
      </w:pPr>
      <w:r>
        <w:rPr>
          <w:b/>
          <w:color w:val="003CA0"/>
          <w:sz w:val="16"/>
        </w:rPr>
        <w:t>[RE 492.338, rel. min. Cezar Peluso, j. 9-2-2007, P, DJ de 30-3-2007.]</w:t>
      </w:r>
    </w:p>
    <w:p>
      <w:pPr>
        <w:ind w:left="288"/>
      </w:pPr>
      <w:r>
        <w:rPr>
          <w:color w:val="8C8C8C"/>
          <w:sz w:val="12"/>
        </w:rPr>
        <w:t>cf-art-5-inc-XXXII-ali-b</w:t>
      </w:r>
      <w:r>
        <w:rPr>
          <w:color w:val="003CA0"/>
          <w:sz w:val="12"/>
        </w:rPr>
        <w:t xml:space="preserve"> | AI 598.229</w:t>
      </w:r>
      <w:r>
        <w:rPr>
          <w:color w:val="003CA0"/>
          <w:sz w:val="12"/>
        </w:rPr>
        <w:t xml:space="preserve"> | rel. Sepúlveda Pertence</w:t>
      </w:r>
    </w:p>
    <w:p>
      <w:pPr>
        <w:ind w:left="288"/>
      </w:pPr>
      <w:r>
        <w:rPr>
          <w:color w:val="1E1E1E"/>
          <w:sz w:val="18"/>
        </w:rPr>
        <w:t>Servidor público: é da jurisprudência do Supremo Tribunal que não há direito adquirido a regime jurídico, no qual se inclui o nível hierárquico que o servidor ocupa na carreira.</w:t>
      </w:r>
    </w:p>
    <w:p>
      <w:pPr>
        <w:ind w:left="288"/>
      </w:pPr>
      <w:r>
        <w:rPr>
          <w:b/>
          <w:color w:val="003CA0"/>
          <w:sz w:val="16"/>
        </w:rPr>
        <w:t>[AI 598.229 AgR, rel. min. Sepúlveda Pertence, j. 13-12-2006, 1ª T, DJ de 16-2-2007.]</w:t>
      </w:r>
    </w:p>
    <w:p>
      <w:pPr>
        <w:ind w:left="288"/>
      </w:pPr>
      <w:r>
        <w:rPr>
          <w:color w:val="8C8C8C"/>
          <w:sz w:val="12"/>
        </w:rPr>
        <w:t>cf-art-5-inc-XXXII-ali-b</w:t>
      </w:r>
      <w:r>
        <w:rPr>
          <w:color w:val="003CA0"/>
          <w:sz w:val="12"/>
        </w:rPr>
        <w:t xml:space="preserve"> | AI 796.527</w:t>
      </w:r>
      <w:r>
        <w:rPr>
          <w:color w:val="003CA0"/>
          <w:sz w:val="12"/>
        </w:rPr>
        <w:t xml:space="preserve"> | rel. Dias Toffoli</w:t>
      </w:r>
    </w:p>
    <w:p>
      <w:pPr>
        <w:ind w:left="288"/>
      </w:pPr>
      <w:r>
        <w:rPr>
          <w:color w:val="1E1E1E"/>
          <w:sz w:val="18"/>
        </w:rPr>
        <w:t>= AI 796.527 AgR, rel. min. Dias Toffoli, j. 3-5-2011, 1ª T, DJE de 4-8-2011 = AI 766.683 AgR, rel. min. Gilmar Mendes, j. 16-11-2010, 2ª T, DJE de 30-11-2010 (...) normas de ordem pública que instituem novo padrão monetário têm aplicação imediata em relação aos contratos em curso como forma de reequilibrar a relação jurídica antes estabelecida. O Plano Collor II também representou mudança de padrão monetário e alteração profunda dos rumos econômicos do País e, por isso, a esse plano econômico também se aplica a jurisprudência assentada no julgamento do RE 141.190.</w:t>
      </w:r>
    </w:p>
    <w:p>
      <w:pPr>
        <w:ind w:left="288"/>
      </w:pPr>
      <w:r>
        <w:rPr>
          <w:b/>
          <w:color w:val="003CA0"/>
          <w:sz w:val="16"/>
        </w:rPr>
        <w:t>[RE 164.836, rel. min. Marco Aurélio, red. do ac. min. Nelson Jobim, j. 15-3-2006, P, DJ de 2-6-2006.]</w:t>
      </w:r>
    </w:p>
    <w:p>
      <w:pPr>
        <w:ind w:left="288"/>
      </w:pPr>
      <w:r>
        <w:rPr>
          <w:color w:val="8C8C8C"/>
          <w:sz w:val="12"/>
        </w:rPr>
        <w:t>cf-art-5-inc-XXXII-ali-b</w:t>
      </w:r>
      <w:r>
        <w:rPr>
          <w:color w:val="003CA0"/>
          <w:sz w:val="12"/>
        </w:rPr>
        <w:t xml:space="preserve"> | RE 217.561</w:t>
      </w:r>
      <w:r>
        <w:rPr>
          <w:color w:val="003CA0"/>
          <w:sz w:val="12"/>
        </w:rPr>
        <w:t xml:space="preserve"> | rel. Eros Grau</w:t>
      </w:r>
    </w:p>
    <w:p>
      <w:pPr>
        <w:ind w:left="288"/>
      </w:pPr>
      <w:r>
        <w:rPr>
          <w:color w:val="1E1E1E"/>
          <w:sz w:val="18"/>
        </w:rPr>
        <w:t>= RE 217.561 AgR-AgR, rel. min. Eros Grau, j. 6-10-2009, 2ª T, DJE de 29-10-2009 Serviço prestado antes do advento da Lei 9.032, de 1995. Caracterização como especial. Atividade insalubre prevista nos Decretos 53.831, de 1964, e 83.080, de 1979. Desnecessidade do laudo exigido pela citada lei.</w:t>
      </w:r>
    </w:p>
    <w:p>
      <w:pPr>
        <w:ind w:left="288"/>
      </w:pPr>
      <w:r>
        <w:rPr>
          <w:b/>
          <w:color w:val="003CA0"/>
          <w:sz w:val="16"/>
        </w:rPr>
        <w:t>[RE 392.559, rel. min. Gilmar Mendes, j. 7-2-2006, 2ª T, DJ de 3-3-2006.]</w:t>
      </w:r>
    </w:p>
    <w:p>
      <w:pPr>
        <w:ind w:left="288"/>
      </w:pPr>
      <w:r>
        <w:rPr>
          <w:color w:val="8C8C8C"/>
          <w:sz w:val="12"/>
        </w:rPr>
        <w:t>cf-art-5-inc-XXXII-ali-b</w:t>
      </w:r>
      <w:r>
        <w:rPr>
          <w:color w:val="003CA0"/>
          <w:sz w:val="12"/>
        </w:rPr>
        <w:t xml:space="preserve"> | MS 25.460</w:t>
      </w:r>
      <w:r>
        <w:rPr>
          <w:color w:val="003CA0"/>
          <w:sz w:val="12"/>
        </w:rPr>
        <w:t xml:space="preserve"> | rel. Carlos Velloso</w:t>
      </w:r>
    </w:p>
    <w:p>
      <w:pPr>
        <w:ind w:left="288"/>
      </w:pPr>
      <w:r>
        <w:rPr>
          <w:color w:val="1E1E1E"/>
          <w:sz w:val="18"/>
        </w:rPr>
        <w:t>Vantagem pecuniária incorporada aos proventos de aposentadoria de servidor público, por força de decisão judicial transitada em julgado: não pode o Tribunal de Contas, em caso assim, determinar a supressão de tal vantagem, por isso que a situação jurídica coberta pela coisa julgada somente pode ser modificada pela via da ação rescisória.</w:t>
      </w:r>
    </w:p>
    <w:p>
      <w:pPr>
        <w:ind w:left="288"/>
      </w:pPr>
      <w:r>
        <w:rPr>
          <w:b/>
          <w:color w:val="003CA0"/>
          <w:sz w:val="16"/>
        </w:rPr>
        <w:t>[MS 25.460, rel. min. Carlos Velloso, j. 15-12-2005, P, DJ de 10-2-2006.]</w:t>
      </w:r>
    </w:p>
    <w:p>
      <w:pPr>
        <w:ind w:left="288"/>
      </w:pPr>
      <w:r>
        <w:rPr>
          <w:color w:val="8C8C8C"/>
          <w:sz w:val="12"/>
        </w:rPr>
        <w:t>cf-art-5-inc-XXXII-ali-b</w:t>
      </w:r>
      <w:r>
        <w:rPr>
          <w:color w:val="003CA0"/>
          <w:sz w:val="12"/>
        </w:rPr>
        <w:t xml:space="preserve"> | MS 30.312</w:t>
      </w:r>
      <w:r>
        <w:rPr>
          <w:color w:val="003CA0"/>
          <w:sz w:val="12"/>
        </w:rPr>
        <w:t xml:space="preserve"> | rel. Dias Toffoli</w:t>
      </w:r>
    </w:p>
    <w:p>
      <w:pPr>
        <w:ind w:left="288"/>
      </w:pPr>
      <w:r>
        <w:rPr>
          <w:color w:val="1E1E1E"/>
          <w:sz w:val="18"/>
        </w:rPr>
        <w:t>= MS 30.312 AgR, rel. min. Dias Toffoli, j. 27-11-2012, 1ª T, DJE de 14-12-2012 Liminar em ação rescisória. (...) Possibilidade de concessão de liminar em ação rescisória para assegurar o resultado útil da ação.</w:t>
      </w:r>
    </w:p>
    <w:p>
      <w:pPr>
        <w:ind w:left="288"/>
      </w:pPr>
      <w:r>
        <w:rPr>
          <w:b/>
          <w:color w:val="003CA0"/>
          <w:sz w:val="16"/>
        </w:rPr>
        <w:t>[AR 1.734 MC, rel. min. Joaquim Barbosa, j. 28-9-2005, P, DJ de 22-9-2006.]</w:t>
      </w:r>
    </w:p>
    <w:p>
      <w:pPr>
        <w:ind w:left="288"/>
      </w:pPr>
      <w:r>
        <w:rPr>
          <w:color w:val="8C8C8C"/>
          <w:sz w:val="12"/>
        </w:rPr>
        <w:t>cf-art-5-inc-XXXII-ali-b</w:t>
      </w:r>
      <w:r>
        <w:rPr>
          <w:color w:val="003CA0"/>
          <w:sz w:val="12"/>
        </w:rPr>
        <w:t xml:space="preserve"> | AR 2.125</w:t>
      </w:r>
      <w:r>
        <w:rPr>
          <w:color w:val="003CA0"/>
          <w:sz w:val="12"/>
        </w:rPr>
        <w:t xml:space="preserve"> | rel. Marco Aurélio</w:t>
      </w:r>
    </w:p>
    <w:p>
      <w:pPr>
        <w:ind w:left="288"/>
      </w:pPr>
      <w:r>
        <w:rPr>
          <w:color w:val="1E1E1E"/>
          <w:sz w:val="18"/>
        </w:rPr>
        <w:t>Vide AR 2.125 AgR, rel. min. Marco Aurélio, j. 14-5-2014, P, DJE de 7-8-2014 Servidor público. Conversão de licença-prêmio não gozada em tempo de serviço. Direito adquirido antes da vigência da EC 20/1998. Conversão de licença-prêmio em tempo de serviço: direito adquirido na forma da lei vigente ao tempo da reunião dos requisitos necessários para a conversão.</w:t>
      </w:r>
    </w:p>
    <w:p>
      <w:pPr>
        <w:ind w:left="288"/>
      </w:pPr>
      <w:r>
        <w:rPr>
          <w:b/>
          <w:color w:val="003CA0"/>
          <w:sz w:val="16"/>
        </w:rPr>
        <w:t>[RE 394.661 AgR, rel. min. Carlos Velloso, j. 20-9-2005, 2ª T, DJ de 14-10-2005.]</w:t>
      </w:r>
    </w:p>
    <w:p>
      <w:pPr>
        <w:ind w:left="288"/>
      </w:pPr>
      <w:r>
        <w:rPr>
          <w:color w:val="8C8C8C"/>
          <w:sz w:val="12"/>
        </w:rPr>
        <w:t>cf-art-5-inc-XXXII-ali-b</w:t>
      </w:r>
      <w:r>
        <w:rPr>
          <w:color w:val="003CA0"/>
          <w:sz w:val="12"/>
        </w:rPr>
        <w:t xml:space="preserve"> | RE 364.917</w:t>
      </w:r>
      <w:r>
        <w:rPr>
          <w:color w:val="003CA0"/>
          <w:sz w:val="12"/>
        </w:rPr>
        <w:t xml:space="preserve"> | rel. Dias Toffoli</w:t>
      </w:r>
    </w:p>
    <w:p>
      <w:pPr>
        <w:ind w:left="288"/>
      </w:pPr>
      <w:r>
        <w:rPr>
          <w:color w:val="1E1E1E"/>
          <w:sz w:val="18"/>
        </w:rPr>
        <w:t>= RE 364.917 AgR, rel. min. Dias Toffoli, j. 28-2-2012, 1ª T, DJE de 30-3-2012 O Plano Bresser representou alteração profunda nos rumos da economia e mudança do padrão monetário do País. Os contratos fixados anteriormente ao plano incorporavam as expectativas inflacionárias e, por isso, estipulavam formas de reajuste de valor nominal. O congelamento importou em quebra radical das expectativas inflacionárias e, por consequência, em desequilíbrio econômico-financeiro dos contratos. A manutenção íntegra dos pactos importaria em assegurar ganhos reais não compatíveis com a vontade que deu origem a</w:t>
      </w:r>
    </w:p>
    <w:p>
      <w:pPr>
        <w:ind w:left="288"/>
      </w:pPr>
      <w:r>
        <w:rPr>
          <w:b/>
          <w:color w:val="003CA0"/>
          <w:sz w:val="16"/>
        </w:rPr>
        <w:t>[RE 141.190, rel. min. Ilmar Galvão, red. do ac. min.Nelson Jobim, j. 14-9-2005, P, DJ de 26-5-2006.]</w:t>
      </w:r>
    </w:p>
    <w:p>
      <w:pPr>
        <w:ind w:left="288"/>
      </w:pPr>
      <w:r>
        <w:rPr>
          <w:color w:val="8C8C8C"/>
          <w:sz w:val="12"/>
        </w:rPr>
        <w:t>cf-art-5-inc-XXXII-ali-b</w:t>
      </w:r>
      <w:r>
        <w:rPr>
          <w:color w:val="003CA0"/>
          <w:sz w:val="12"/>
        </w:rPr>
        <w:t xml:space="preserve"> | RE 387.270</w:t>
      </w:r>
      <w:r>
        <w:rPr>
          <w:color w:val="003CA0"/>
          <w:sz w:val="12"/>
        </w:rPr>
        <w:t xml:space="preserve"> | rel. Dias Toffoli</w:t>
      </w:r>
    </w:p>
    <w:p>
      <w:pPr>
        <w:ind w:left="288"/>
      </w:pPr>
      <w:r>
        <w:rPr>
          <w:color w:val="1E1E1E"/>
          <w:sz w:val="18"/>
        </w:rPr>
        <w:t>= RE 387.270 AgR, rel. min. Dias Toffoli, j. 25-10-2011, 1ª T, DJE de 29-11-2011 = AI 244.688 AgR, rel. min. Ellen Gracie, j. 22-6-2010, 2ª T, DJE de 6-8-2010 Inquérito policial: arquivamento com base na atipicidade do fato: eficácia de coisa julgada material. A decisão que determina o arquivamento do inquérito policial, quando fundado o pedido do Ministério Público em que o fato nele apurado não constitui crime, mais que preclusão, produz coisa julgada material, que – ainda quando emanada a decisão de juiz absolutamente incompetente – impede a instauração de processo que tenha por objeto o me</w:t>
      </w:r>
    </w:p>
    <w:p>
      <w:pPr>
        <w:ind w:left="288"/>
      </w:pPr>
      <w:r>
        <w:rPr>
          <w:b/>
          <w:color w:val="003CA0"/>
          <w:sz w:val="16"/>
        </w:rPr>
        <w:t>[HC 83.346, rel. min. Sepúlveda Pertence, j. 17-5-2005, 1ª T, DJ de 19-8-2005.]</w:t>
      </w:r>
    </w:p>
    <w:p>
      <w:pPr>
        <w:ind w:left="288"/>
      </w:pPr>
      <w:r>
        <w:rPr>
          <w:color w:val="8C8C8C"/>
          <w:sz w:val="12"/>
        </w:rPr>
        <w:t>cf-art-5-inc-XXXII-ali-b</w:t>
      </w:r>
      <w:r>
        <w:rPr>
          <w:color w:val="003CA0"/>
          <w:sz w:val="12"/>
        </w:rPr>
        <w:t xml:space="preserve"> | INQ 2.934</w:t>
      </w:r>
      <w:r>
        <w:rPr>
          <w:color w:val="003CA0"/>
          <w:sz w:val="12"/>
        </w:rPr>
        <w:t xml:space="preserve"> | rel. Dias Toffoli</w:t>
      </w:r>
    </w:p>
    <w:p>
      <w:pPr>
        <w:ind w:left="288"/>
      </w:pPr>
      <w:r>
        <w:rPr>
          <w:color w:val="1E1E1E"/>
          <w:sz w:val="18"/>
        </w:rPr>
        <w:t>= Inq 2.934, rel. min. Dias Toffoli, j. 25-11-2010, P, DJE de 22-2-2011 Coisa julgada: não ocorrência, por isso que a decisão que manda arquivar inquérito ou peças de informação não causa preclusão. Súmula 524/STF.</w:t>
      </w:r>
    </w:p>
    <w:p>
      <w:pPr>
        <w:ind w:left="288"/>
      </w:pPr>
      <w:r>
        <w:rPr>
          <w:b/>
          <w:color w:val="003CA0"/>
          <w:sz w:val="16"/>
        </w:rPr>
        <w:t>[Inq 1.769, rel. min. Carlos Velloso, j. 1º-12-2004, P, DJ de 3-6-2005.]</w:t>
      </w:r>
    </w:p>
    <w:p>
      <w:pPr>
        <w:ind w:left="288"/>
      </w:pPr>
      <w:r>
        <w:rPr>
          <w:color w:val="8C8C8C"/>
          <w:sz w:val="12"/>
        </w:rPr>
        <w:t>cf-art-5-inc-XXXII-ali-b</w:t>
      </w:r>
      <w:r>
        <w:rPr>
          <w:color w:val="003CA0"/>
          <w:sz w:val="12"/>
        </w:rPr>
        <w:t xml:space="preserve"> | AC 112</w:t>
      </w:r>
      <w:r>
        <w:rPr>
          <w:color w:val="003CA0"/>
          <w:sz w:val="12"/>
        </w:rPr>
        <w:t xml:space="preserve"> | rel. Cezar Peluso</w:t>
      </w:r>
    </w:p>
    <w:p>
      <w:pPr>
        <w:ind w:left="288"/>
      </w:pPr>
      <w:r>
        <w:rPr>
          <w:color w:val="1E1E1E"/>
          <w:sz w:val="18"/>
        </w:rPr>
        <w:t>Sob pena de ofensa à garantia constitucional da coisa julgada, não pode tribunal eleitoral, sob invocação do chamado efeito translativo do recurso, no âmbito de cognição do que foi interposto apenas pelo prefeito, cujo diploma foi cassado, por captação ilegal de sufrágio, cassar de ofício o diploma do vice-prefeito absolvido por capítulo decisório da sentença que, não impugnado por ninguém, transitou em julgado.</w:t>
      </w:r>
    </w:p>
    <w:p>
      <w:pPr>
        <w:ind w:left="288"/>
      </w:pPr>
      <w:r>
        <w:rPr>
          <w:b/>
          <w:color w:val="003CA0"/>
          <w:sz w:val="16"/>
        </w:rPr>
        <w:t>[AC 112, rel. min. Cezar Peluso, j. 1º-12-2004, P, DJ de 4-2-2005.]</w:t>
      </w:r>
    </w:p>
    <w:p>
      <w:pPr>
        <w:ind w:left="288"/>
      </w:pPr>
      <w:r>
        <w:rPr>
          <w:color w:val="8C8C8C"/>
          <w:sz w:val="12"/>
        </w:rPr>
        <w:t>cf-art-5-inc-XXXII-ali-b</w:t>
      </w:r>
      <w:r>
        <w:rPr>
          <w:color w:val="003CA0"/>
          <w:sz w:val="12"/>
        </w:rPr>
        <w:t xml:space="preserve"> | AI 292.979</w:t>
      </w:r>
      <w:r>
        <w:rPr>
          <w:color w:val="003CA0"/>
          <w:sz w:val="12"/>
        </w:rPr>
        <w:t xml:space="preserve"> | rel. Celso de Mello</w:t>
      </w:r>
    </w:p>
    <w:p>
      <w:pPr>
        <w:ind w:left="288"/>
      </w:pPr>
      <w:r>
        <w:rPr>
          <w:color w:val="1E1E1E"/>
          <w:sz w:val="18"/>
        </w:rPr>
        <w:t>Os contratos submetem-se, quanto ao seu estatuto de regência, ao ordenamento normativo vigente à época de sua celebração. Mesmo os efeitos futuros oriundos de contratos anteriormente celebrados não se expõem ao domínio normativo de leis supervenientes. As consequências jurídicas que emergem de um ajuste negocial válido são regidas pela legislação em vigor no momento de sua pactuação. Os contratos – que se qualificam como atos jurídicos perfeitos (RT 547/215) – acham-se protegidos, em sua integralidade, inclusive quanto aos efeitos futuros, pela norma de salvaguarda constante do art. 5º, XXXVI,</w:t>
      </w:r>
    </w:p>
    <w:p>
      <w:pPr>
        <w:ind w:left="288"/>
      </w:pPr>
      <w:r>
        <w:rPr>
          <w:b/>
          <w:color w:val="003CA0"/>
          <w:sz w:val="16"/>
        </w:rPr>
        <w:t>[AI 292.979 ED, rel. min. Celso de Mello, j. 19-11-2002, 2ª T, DJ de 19-12-2002.]</w:t>
      </w:r>
    </w:p>
    <w:p>
      <w:pPr>
        <w:ind w:left="288"/>
      </w:pPr>
      <w:r>
        <w:rPr>
          <w:color w:val="8C8C8C"/>
          <w:sz w:val="12"/>
        </w:rPr>
        <w:t>cf-art-5-inc-XXXII-ali-b</w:t>
      </w:r>
      <w:r>
        <w:rPr>
          <w:color w:val="003CA0"/>
          <w:sz w:val="12"/>
        </w:rPr>
        <w:t xml:space="preserve"> | RE 313.382</w:t>
      </w:r>
      <w:r>
        <w:rPr>
          <w:color w:val="003CA0"/>
          <w:sz w:val="12"/>
        </w:rPr>
        <w:t xml:space="preserve"> | rel. Maurício Corrêa</w:t>
      </w:r>
    </w:p>
    <w:p>
      <w:pPr>
        <w:ind w:left="288"/>
      </w:pPr>
      <w:r>
        <w:rPr>
          <w:color w:val="1E1E1E"/>
          <w:sz w:val="18"/>
        </w:rPr>
        <w:t>Conversão do benefício para URV. Observância das Leis 8.542/1992, 8.700/1993 e 8.880/1994. Inconstitucionalidade da palavra "nominal" contida no inciso I do art. 20 da Lei 8.880/1994, por ofensa à garantia constitucional do direito adquirido (CF, art. 5º, XXXVI). Improcedência. O referido vocábulo apenas traduz a vontade do legislador de que, no cálculo da média aritmética do valor a ser convertido para a nova moeda fossem considerados os reajustes e antecipações efetivamente concedidos nos meses de novembro e dezembro de 1993 e janeiro e fevereiro de 1994.</w:t>
      </w:r>
    </w:p>
    <w:p>
      <w:pPr>
        <w:ind w:left="288"/>
      </w:pPr>
      <w:r>
        <w:rPr>
          <w:b/>
          <w:color w:val="003CA0"/>
          <w:sz w:val="16"/>
        </w:rPr>
        <w:t>[RE 313.382, rel. min. Maurício Corrêa, j. 26-9-2002, P, DJ de 8-11-2002.]</w:t>
      </w:r>
    </w:p>
    <w:p>
      <w:pPr>
        <w:ind w:left="288"/>
      </w:pPr>
      <w:r>
        <w:rPr>
          <w:color w:val="8C8C8C"/>
          <w:sz w:val="12"/>
        </w:rPr>
        <w:t>cf-art-5-inc-XXXII-ali-b</w:t>
      </w:r>
      <w:r>
        <w:rPr>
          <w:color w:val="003CA0"/>
          <w:sz w:val="12"/>
        </w:rPr>
        <w:t xml:space="preserve"> | AI 587.822</w:t>
      </w:r>
      <w:r>
        <w:rPr>
          <w:color w:val="003CA0"/>
          <w:sz w:val="12"/>
        </w:rPr>
        <w:t xml:space="preserve"> | rel. Ayres Britto</w:t>
      </w:r>
    </w:p>
    <w:p>
      <w:pPr>
        <w:ind w:left="288"/>
      </w:pPr>
      <w:r>
        <w:rPr>
          <w:color w:val="1E1E1E"/>
          <w:sz w:val="18"/>
        </w:rPr>
        <w:t>= AI 587.822 AgR, rel. min. Ayres Britto, j. 14-9-2010, 2ª T, DJE de 3-11-2010 O FGTS, ao contrário do que sucede com as cadernetas de poupança, não tem natureza contratual, mas, sim, estatutária, por decorrer da lei e por ela ser disciplinado. Assim, é de aplicar-se a ele a firme jurisprudência desta Corte no sentido de que não há direito adquirido a regime jurídico. Quanto à atualização dos saldos do FGTS relativos aos Planos Verão e Collor I (este no que diz respeito ao mês de abril de 1990), não há questão de direito adquirido a ser examinada, situando-se a matéria exclusivamente no terren</w:t>
      </w:r>
    </w:p>
    <w:p>
      <w:pPr>
        <w:ind w:left="288"/>
      </w:pPr>
      <w:r>
        <w:rPr>
          <w:b/>
          <w:color w:val="003CA0"/>
          <w:sz w:val="16"/>
        </w:rPr>
        <w:t>[RE 226.855, rel. min. Moreira Alves, j. 31-8-2000, P, DJ de 13-10-2000.]</w:t>
      </w:r>
    </w:p>
    <w:p>
      <w:pPr>
        <w:ind w:left="288"/>
      </w:pPr>
      <w:r>
        <w:rPr>
          <w:color w:val="8C8C8C"/>
          <w:sz w:val="12"/>
        </w:rPr>
        <w:t>cf-art-5-inc-XXXII-ali-b</w:t>
      </w:r>
      <w:r>
        <w:rPr>
          <w:color w:val="003CA0"/>
          <w:sz w:val="12"/>
        </w:rPr>
        <w:t xml:space="preserve"> | AR 1.768</w:t>
      </w:r>
      <w:r>
        <w:rPr>
          <w:color w:val="003CA0"/>
          <w:sz w:val="12"/>
        </w:rPr>
        <w:t xml:space="preserve"> | rel. Dias Toffoli</w:t>
      </w:r>
    </w:p>
    <w:p>
      <w:pPr>
        <w:ind w:left="288"/>
      </w:pPr>
      <w:r>
        <w:rPr>
          <w:color w:val="1E1E1E"/>
          <w:sz w:val="18"/>
        </w:rPr>
        <w:t>= AR 1.768 AgR, rel. min. Dias Toffoli, j. 19-12-2012, P, DJE de 26-2-2013 As normas constitucionais federais é que, por terem aplicação imediata, alcançam os efeitos futuros de fatos passados (retroatividade mínima), e se expressamente o declararem podem alcançar até fatos consumados no passado (retroatividades média e máxima). Não assim, porém, as normas constitucionais estaduais que estão sujeitas à vedação do art. 5º, XXXVI, da Carta Magna Federal, inclusive a concernente à retroatividade mínima que ocorre com a aplicação imediata delas.</w:t>
      </w:r>
    </w:p>
    <w:p>
      <w:pPr>
        <w:ind w:left="288"/>
      </w:pPr>
      <w:r>
        <w:rPr>
          <w:b/>
          <w:color w:val="003CA0"/>
          <w:sz w:val="16"/>
        </w:rPr>
        <w:t>[AI 258.337 AgR, rel. min. Moreira Alves, j. 6-6-2000, 1ª T, DJ de 4-8-2000.]</w:t>
      </w:r>
    </w:p>
    <w:p>
      <w:pPr>
        <w:ind w:left="288"/>
      </w:pPr>
      <w:r>
        <w:rPr>
          <w:color w:val="8C8C8C"/>
          <w:sz w:val="12"/>
        </w:rPr>
        <w:t>cf-art-5-inc-XXXII-ali-b</w:t>
      </w:r>
      <w:r>
        <w:rPr>
          <w:color w:val="003CA0"/>
          <w:sz w:val="12"/>
        </w:rPr>
        <w:t xml:space="preserve"> | RE 254.459</w:t>
      </w:r>
      <w:r>
        <w:rPr>
          <w:color w:val="003CA0"/>
          <w:sz w:val="12"/>
        </w:rPr>
        <w:t xml:space="preserve"> | rel. Ilmar Galvão</w:t>
      </w:r>
    </w:p>
    <w:p>
      <w:pPr>
        <w:ind w:left="288"/>
      </w:pPr>
      <w:r>
        <w:rPr>
          <w:color w:val="1E1E1E"/>
          <w:sz w:val="18"/>
        </w:rPr>
        <w:t>Contribuições previdenciárias. Autônomos e administradores. Pagamento indevido. Crédito utilizável para extinção, por compensação, de débitos da mesma natureza, até o limite de 30%, quando constituídos após a edição da Lei 9.129/1995. (...) Se o crédito se constituiu após o advento do referido diploma legal, é fora de dúvida que a sua extinção, mediante compensação, ou por outro qualquer meio, há de processar-se pelo regime nele estabelecido e não pelo da lei anterior, posto aplicável, no caso, o princípio segundo o qual não há direito adquirido a regime jurídico.</w:t>
      </w:r>
    </w:p>
    <w:p>
      <w:pPr>
        <w:ind w:left="288"/>
      </w:pPr>
      <w:r>
        <w:rPr>
          <w:b/>
          <w:color w:val="003CA0"/>
          <w:sz w:val="16"/>
        </w:rPr>
        <w:t>[RE 254.459, rel. min. Ilmar Galvão, j. 23-5-2000, 1ª T, DJ de 10-8-2000.]</w:t>
      </w:r>
    </w:p>
    <w:p>
      <w:pPr>
        <w:ind w:left="288"/>
      </w:pPr>
      <w:r>
        <w:rPr>
          <w:color w:val="8C8C8C"/>
          <w:sz w:val="12"/>
        </w:rPr>
        <w:t>cf-art-5-inc-XXXII-ali-b</w:t>
      </w:r>
      <w:r>
        <w:rPr>
          <w:color w:val="003CA0"/>
          <w:sz w:val="12"/>
        </w:rPr>
        <w:t xml:space="preserve"> | RE 380.448</w:t>
      </w:r>
      <w:r>
        <w:rPr>
          <w:color w:val="003CA0"/>
          <w:sz w:val="12"/>
        </w:rPr>
        <w:t xml:space="preserve"> | rel. Ellen Gracie</w:t>
      </w:r>
    </w:p>
    <w:p>
      <w:pPr>
        <w:ind w:left="288"/>
      </w:pPr>
      <w:r>
        <w:rPr>
          <w:color w:val="1E1E1E"/>
          <w:sz w:val="18"/>
        </w:rPr>
        <w:t>= RE 380.448 AgR, rel. min. Ellen Gracie, j. 6-4-2010, 2ª T, DJE de 30-4-2010 Administrativo. Servidores federais. Vencimentos. Reajuste de 47,94% previsto na Lei 8.676/1993. MP 434/1994. Alegada ofensa aos arts. 5º, XXXVI; 37; e 62 da Constituição. Reeditada a MP 434/1994, conquanto por mais de uma vez, mas sempre dentro do trintídio, e, afinal, convertida em lei (Lei 8.800/1994), não sobrou espaço para falar-se em repristinação da Lei 8.576/1993 por ela revogada, nem, obviamente, em aquisição, após a revogação, de direito nela fundado. Recurso conhecido e provido.</w:t>
      </w:r>
    </w:p>
    <w:p>
      <w:pPr>
        <w:ind w:left="288"/>
      </w:pPr>
      <w:r>
        <w:rPr>
          <w:b/>
          <w:color w:val="003CA0"/>
          <w:sz w:val="16"/>
        </w:rPr>
        <w:t>[RE 239.556, rel. min. Ilmar Galvão, j. 29-6-1999, 1ª T, DJ de 2-10-1999.]</w:t>
      </w:r>
    </w:p>
    <w:p>
      <w:pPr>
        <w:ind w:left="288"/>
      </w:pPr>
      <w:r>
        <w:rPr>
          <w:color w:val="8C8C8C"/>
          <w:sz w:val="12"/>
        </w:rPr>
        <w:t>cf-art-5-inc-XXXII-ali-b</w:t>
      </w:r>
      <w:r>
        <w:rPr>
          <w:color w:val="003CA0"/>
          <w:sz w:val="12"/>
        </w:rPr>
        <w:t xml:space="preserve"> | RE 403.824</w:t>
      </w:r>
      <w:r>
        <w:rPr>
          <w:color w:val="003CA0"/>
          <w:sz w:val="12"/>
        </w:rPr>
        <w:t xml:space="preserve"> | rel. Dias Toffoli</w:t>
      </w:r>
    </w:p>
    <w:p>
      <w:pPr>
        <w:ind w:left="288"/>
      </w:pPr>
      <w:r>
        <w:rPr>
          <w:color w:val="1E1E1E"/>
          <w:sz w:val="18"/>
        </w:rPr>
        <w:t>= RE 403.824 AgR, rel. min. Dias Toffoli, j. 26-6-2012, 1ª T, DJE de 15-8-2012 Bem de família: impenhorabilidade legal (Lei 8.009/1990): aplicação aos processos em curso, desconstituindo penhoras anteriores, sem ofensa de direito adquirido ou ato jurídico perfeito (...).</w:t>
      </w:r>
    </w:p>
    <w:p>
      <w:pPr>
        <w:ind w:left="288"/>
      </w:pPr>
      <w:r>
        <w:rPr>
          <w:b/>
          <w:color w:val="003CA0"/>
          <w:sz w:val="16"/>
        </w:rPr>
        <w:t>[RE 224.659, rel. min. Sepúlveda Pertence, j. 24-3-1998, 1ª T, DJ de 8-5-1998.]</w:t>
      </w:r>
    </w:p>
    <w:p>
      <w:pPr>
        <w:ind w:left="288"/>
      </w:pPr>
      <w:r>
        <w:rPr>
          <w:color w:val="8C8C8C"/>
          <w:sz w:val="12"/>
        </w:rPr>
        <w:t>cf-art-5-inc-XXXII-ali-b</w:t>
      </w:r>
      <w:r>
        <w:rPr>
          <w:color w:val="003CA0"/>
          <w:sz w:val="12"/>
        </w:rPr>
        <w:t xml:space="preserve"> | AI 612.248</w:t>
      </w:r>
      <w:r>
        <w:rPr>
          <w:color w:val="003CA0"/>
          <w:sz w:val="12"/>
        </w:rPr>
        <w:t xml:space="preserve"> | rel. Gilmar Mendes</w:t>
      </w:r>
    </w:p>
    <w:p>
      <w:pPr>
        <w:ind w:left="288"/>
      </w:pPr>
      <w:r>
        <w:rPr>
          <w:color w:val="1E1E1E"/>
          <w:sz w:val="18"/>
        </w:rPr>
        <w:t>= AI 612.248 AgR, rel. min. Gilmar Mendes, j. 4-12-2007, 2ª T, DJE de 1º-2-2008 = RE 136.753, rel. min. Sepúlveda Pertence, j. 13-2-1997, P, DJ de 25-4-1997 A coisa julgada a que se refere o art. 5º, XXXVI, da Carta Magna é, como conceitua o § 3º do art. 6º da LICC, a decisão judicial de que já não caiba recurso, e não a denominada coisa julgada administrativa.</w:t>
      </w:r>
    </w:p>
    <w:p>
      <w:pPr>
        <w:ind w:left="288"/>
      </w:pPr>
      <w:r>
        <w:rPr>
          <w:b/>
          <w:color w:val="003CA0"/>
          <w:sz w:val="16"/>
        </w:rPr>
        <w:t>[RE 144.996, rel. min. Moreira Alves, j. 29-4-1997, 1ª T, DJ de 12-9-1997.]</w:t>
      </w:r>
    </w:p>
    <w:p>
      <w:pPr>
        <w:ind w:left="288"/>
      </w:pPr>
      <w:r>
        <w:rPr>
          <w:color w:val="8C8C8C"/>
          <w:sz w:val="12"/>
        </w:rPr>
        <w:t>cf-art-5-inc-XXXII-ali-b</w:t>
      </w:r>
      <w:r>
        <w:rPr>
          <w:color w:val="003CA0"/>
          <w:sz w:val="12"/>
        </w:rPr>
        <w:t xml:space="preserve"> | RE 196.140</w:t>
      </w:r>
      <w:r>
        <w:rPr>
          <w:color w:val="003CA0"/>
          <w:sz w:val="12"/>
        </w:rPr>
        <w:t xml:space="preserve"> | rel. Celso de Mello</w:t>
      </w:r>
    </w:p>
    <w:p>
      <w:pPr>
        <w:ind w:left="288"/>
      </w:pPr>
      <w:r>
        <w:rPr>
          <w:color w:val="1E1E1E"/>
          <w:sz w:val="18"/>
        </w:rPr>
        <w:t>A questão pertinente ao reconhecimento, ou não, da consolidação de situações jurídicas definitivas há de ser examinada em face dos ciclos de formação a que esteja eventualmente sujeito o processo de aquisição de determinado direito. Isso significa que a superveniência de ato legislativo, em tempo oportuno – vale dizer, enquanto ainda não concluído o ciclo de formação e constituição do direito vindicado – constitui fator capaz de impedir que se complete, validamente, o próprio processo de aquisição do direito (RTJ 134/1112 – RTJ 153/82 – RTJ 155/621, v.g.), inviabilizando, desse modo, ante a ex</w:t>
      </w:r>
    </w:p>
    <w:p>
      <w:pPr>
        <w:ind w:left="288"/>
      </w:pPr>
      <w:r>
        <w:rPr>
          <w:b/>
          <w:color w:val="003CA0"/>
          <w:sz w:val="16"/>
        </w:rPr>
        <w:t>[RE 196.140, rel. min. Celso de Mello, j. 25-2-1997, 1ª T, DJ de 25-8-2006.]</w:t>
      </w:r>
    </w:p>
    <w:p>
      <w:pPr>
        <w:ind w:left="288"/>
      </w:pPr>
      <w:r>
        <w:rPr>
          <w:color w:val="8C8C8C"/>
          <w:sz w:val="12"/>
        </w:rPr>
        <w:t>cf-art-5-inc-XXXII-ali-b</w:t>
      </w:r>
      <w:r>
        <w:rPr>
          <w:color w:val="003CA0"/>
          <w:sz w:val="12"/>
        </w:rPr>
        <w:t xml:space="preserve"> | AI 189.787</w:t>
      </w:r>
      <w:r>
        <w:rPr>
          <w:color w:val="003CA0"/>
          <w:sz w:val="12"/>
        </w:rPr>
        <w:t xml:space="preserve"> | rel. Ilmar Galvão</w:t>
      </w:r>
    </w:p>
    <w:p>
      <w:pPr>
        <w:ind w:left="288"/>
      </w:pPr>
      <w:r>
        <w:rPr>
          <w:color w:val="1E1E1E"/>
          <w:sz w:val="18"/>
        </w:rPr>
        <w:t>O entendimento desta Corte é firme no sentido de que a coisa julgada em matéria fiscal, inclusive quanto ao ICM [Imposto sobre Circulação de Mercadorias], fica delimitada à relação jurídico-material em que debatida, não podendo, portanto, ser invocada em exercícios posteriores, a teor da Súmula 239/STF.</w:t>
      </w:r>
    </w:p>
    <w:p>
      <w:pPr>
        <w:ind w:left="288"/>
      </w:pPr>
      <w:r>
        <w:rPr>
          <w:b/>
          <w:color w:val="003CA0"/>
          <w:sz w:val="16"/>
        </w:rPr>
        <w:t>[AI 189.787 AgR, rel. min. Ilmar Galvão, j. 17-12-1996, 1ª T, DJ de 4-4-1997.]</w:t>
      </w:r>
    </w:p>
    <w:p>
      <w:pPr>
        <w:ind w:left="288"/>
      </w:pPr>
      <w:r>
        <w:rPr>
          <w:color w:val="8C8C8C"/>
          <w:sz w:val="12"/>
        </w:rPr>
        <w:t>cf-art-5-inc-XXXII-ali-b</w:t>
      </w:r>
      <w:r>
        <w:rPr>
          <w:color w:val="003CA0"/>
          <w:sz w:val="12"/>
        </w:rPr>
        <w:t xml:space="preserve"> | RE 184.099</w:t>
      </w:r>
      <w:r>
        <w:rPr>
          <w:color w:val="003CA0"/>
          <w:sz w:val="12"/>
        </w:rPr>
        <w:t xml:space="preserve"> | rel. Octavio Gallotti</w:t>
      </w:r>
    </w:p>
    <w:p>
      <w:pPr>
        <w:ind w:left="288"/>
      </w:pPr>
      <w:r>
        <w:rPr>
          <w:color w:val="1E1E1E"/>
          <w:sz w:val="18"/>
        </w:rPr>
        <w:t>O princípio insculpido no inciso XXXVI do art. 5º da Constituição (garantia do direito adquirido) não impede a edição, pelo Estado, de norma retroativa (lei ou decreto) em benefício do particular.</w:t>
      </w:r>
    </w:p>
    <w:p>
      <w:pPr>
        <w:ind w:left="288"/>
      </w:pPr>
      <w:r>
        <w:rPr>
          <w:b/>
          <w:color w:val="003CA0"/>
          <w:sz w:val="16"/>
        </w:rPr>
        <w:t>[RE 184.099, rel. min. Octavio Gallotti, j. 10-12-1996, 1ª T, DJ de 18-4-1997.]</w:t>
      </w:r>
    </w:p>
    <w:p>
      <w:pPr>
        <w:ind w:left="288"/>
      </w:pPr>
      <w:r>
        <w:rPr>
          <w:color w:val="8C8C8C"/>
          <w:sz w:val="12"/>
        </w:rPr>
        <w:t>cf-art-5-inc-XXXII-ali-b</w:t>
      </w:r>
      <w:r>
        <w:rPr>
          <w:color w:val="003CA0"/>
          <w:sz w:val="12"/>
        </w:rPr>
        <w:t xml:space="preserve"> | RE 202.584</w:t>
      </w:r>
      <w:r>
        <w:rPr>
          <w:color w:val="003CA0"/>
          <w:sz w:val="12"/>
        </w:rPr>
        <w:t xml:space="preserve"> | rel. Moreira Alves</w:t>
      </w:r>
    </w:p>
    <w:p>
      <w:pPr>
        <w:ind w:left="288"/>
      </w:pPr>
      <w:r>
        <w:rPr>
          <w:color w:val="1E1E1E"/>
          <w:sz w:val="18"/>
        </w:rPr>
        <w:t>O princípio constitucional do respeito ao ato jurídico perfeito se aplica também, conforme é o entendimento desta Corte, às leis de ordem pública. Correto, portanto, o acórdão recorrido ao julgar que, no caso, ocorreu afronta ao ato jurídico perfeito, porquanto, com relação à caderneta de poupança, há contrato de adesão entre o poupador e o estabelecimento financeiro, não podendo, portanto, ser aplicada a ele, durante o período para a aquisição da correção monetária mensal já iniciado, legislação que altere, para menor, o índice dessa correção.</w:t>
      </w:r>
    </w:p>
    <w:p>
      <w:pPr>
        <w:ind w:left="288"/>
      </w:pPr>
      <w:r>
        <w:rPr>
          <w:b/>
          <w:color w:val="003CA0"/>
          <w:sz w:val="16"/>
        </w:rPr>
        <w:t>[RE 202.584, rel. min. Moreira Alves, j. 17-9-1996, 1ª T, DJ de 14-11-1996.]</w:t>
      </w:r>
    </w:p>
    <w:p>
      <w:pPr>
        <w:ind w:left="288"/>
      </w:pPr>
      <w:r>
        <w:rPr>
          <w:color w:val="8C8C8C"/>
          <w:sz w:val="12"/>
        </w:rPr>
        <w:t>cf-art-5-inc-XXXII-ali-b</w:t>
      </w:r>
      <w:r>
        <w:rPr>
          <w:color w:val="003CA0"/>
          <w:sz w:val="12"/>
        </w:rPr>
        <w:t xml:space="preserve"> | AI 749.694</w:t>
      </w:r>
      <w:r>
        <w:rPr>
          <w:color w:val="003CA0"/>
          <w:sz w:val="12"/>
        </w:rPr>
        <w:t xml:space="preserve"> | rel. Joaquim Barbosa</w:t>
      </w:r>
    </w:p>
    <w:p>
      <w:pPr>
        <w:ind w:left="288"/>
      </w:pPr>
      <w:r>
        <w:rPr>
          <w:color w:val="1E1E1E"/>
          <w:sz w:val="18"/>
        </w:rPr>
        <w:t>= AI 749.694 AgR, rel. min. Joaquim Barbosa, j. 2-3-2010, 2ª T, DJE de 26-3-2010 = AI 700.254 ED-AgR, rel. min. Ricardo Lewandowski, j. 17-3-2009, 1ª T, DJE de 17-4-2009 O constituinte, ao estabelecer a inviolabilidade do direito adquirido, do ato jurídico perfeito e da coisa julgada, diante da lei (art. 5º, XXXVI), obviamente se excluiu dessa limitação, razão pela qual nada o impedia de recusar a garantia à situação jurídica em foco. Assim é que, além de vedar, no art. 37, XIV, a concessão de vantagens funcionais "em cascata", determinou a imediata supressão de excessos da espécie, sem consid</w:t>
      </w:r>
    </w:p>
    <w:p>
      <w:pPr>
        <w:ind w:left="288"/>
      </w:pPr>
      <w:r>
        <w:rPr>
          <w:b/>
          <w:color w:val="003CA0"/>
          <w:sz w:val="16"/>
        </w:rPr>
        <w:t>[RE 140.894, rel. min. Ilmar Galvão, j. 10-5-1996, 1ª T, DJ de 9-8-1996.]</w:t>
      </w:r>
    </w:p>
    <w:p>
      <w:pPr>
        <w:ind w:left="288"/>
      </w:pPr>
      <w:r>
        <w:rPr>
          <w:color w:val="8C8C8C"/>
          <w:sz w:val="12"/>
        </w:rPr>
        <w:t>cf-art-5-inc-XXXII-ali-b</w:t>
      </w:r>
      <w:r>
        <w:rPr>
          <w:color w:val="003CA0"/>
          <w:sz w:val="12"/>
        </w:rPr>
        <w:t xml:space="preserve"> | RE 172.082</w:t>
      </w:r>
      <w:r>
        <w:rPr>
          <w:color w:val="003CA0"/>
          <w:sz w:val="12"/>
        </w:rPr>
        <w:t xml:space="preserve"> | rel. Celso de Mello</w:t>
      </w:r>
    </w:p>
    <w:p>
      <w:pPr>
        <w:ind w:left="288"/>
      </w:pPr>
      <w:r>
        <w:rPr>
          <w:color w:val="1E1E1E"/>
          <w:sz w:val="18"/>
        </w:rPr>
        <w:t>Não há direito adquirido contra disposição normativa inscrita no texto da Constituição, eis que situações inconstitucionais, por desprovidas de validade jurídica, não podem justificar o reconhecimento de quaisquer direitos.</w:t>
      </w:r>
    </w:p>
    <w:p>
      <w:pPr>
        <w:ind w:left="288"/>
      </w:pPr>
      <w:r>
        <w:rPr>
          <w:b/>
          <w:color w:val="003CA0"/>
          <w:sz w:val="16"/>
        </w:rPr>
        <w:t>[RE 172.082, rel. min. Celso de Mello, j. 12-12-1995, 1ª T, DJE de 13-2-2009.]</w:t>
      </w:r>
    </w:p>
    <w:p>
      <w:pPr>
        <w:ind w:left="288"/>
      </w:pPr>
      <w:r>
        <w:rPr>
          <w:color w:val="8C8C8C"/>
          <w:sz w:val="12"/>
        </w:rPr>
        <w:t>cf-art-5-inc-XXXII-ali-b</w:t>
      </w:r>
      <w:r>
        <w:rPr>
          <w:color w:val="003CA0"/>
          <w:sz w:val="12"/>
        </w:rPr>
        <w:t xml:space="preserve"> | AI 135.632</w:t>
      </w:r>
      <w:r>
        <w:rPr>
          <w:color w:val="003CA0"/>
          <w:sz w:val="12"/>
        </w:rPr>
        <w:t xml:space="preserve"> | rel. Celso de Mello</w:t>
      </w:r>
    </w:p>
    <w:p>
      <w:pPr>
        <w:ind w:left="288"/>
      </w:pPr>
      <w:r>
        <w:rPr>
          <w:color w:val="1E1E1E"/>
          <w:sz w:val="18"/>
        </w:rPr>
        <w:t>O sistema constitucional brasileiro, em cláusula de salvaguarda, impõe que se respeite o direito adquirido (CF, art. 5º, XXXVI). A Constituição da República, no entanto, não apresenta qualquer definição de direito adquirido, pois, em nosso ordenamento positivo, o conceito de direito adquirido representa matéria de caráter meramente legal. Não se pode confundir, desse modo, a noção conceitual de direito adquirido (tema da legislação ordinária) com o princípio inerente à proteção das situações definitivamente consolidadas (matéria de extração constitucional), pois é apenas a tutela do direito ad</w:t>
      </w:r>
    </w:p>
    <w:p>
      <w:pPr>
        <w:ind w:left="288"/>
      </w:pPr>
      <w:r>
        <w:rPr>
          <w:b/>
          <w:color w:val="003CA0"/>
          <w:sz w:val="16"/>
        </w:rPr>
        <w:t>[AI 135.632 AgR, rel. min. Celso de Mello, j. 10-10-1995, 1ª T, DJ de 3-9-1999.]</w:t>
      </w:r>
    </w:p>
    <w:p>
      <w:pPr>
        <w:ind w:left="288"/>
      </w:pPr>
      <w:r>
        <w:rPr>
          <w:color w:val="8C8C8C"/>
          <w:sz w:val="12"/>
        </w:rPr>
        <w:t>cf-art-5-inc-XXXII-ali-b</w:t>
      </w:r>
      <w:r>
        <w:rPr>
          <w:color w:val="003CA0"/>
          <w:sz w:val="12"/>
        </w:rPr>
        <w:t xml:space="preserve"> | RE 182.641</w:t>
      </w:r>
      <w:r>
        <w:rPr>
          <w:color w:val="003CA0"/>
          <w:sz w:val="12"/>
        </w:rPr>
        <w:t xml:space="preserve"> | rel. Octavio Gallotti</w:t>
      </w:r>
    </w:p>
    <w:p>
      <w:pPr>
        <w:ind w:left="288"/>
      </w:pPr>
      <w:r>
        <w:rPr>
          <w:color w:val="1E1E1E"/>
          <w:sz w:val="18"/>
        </w:rPr>
        <w:t>Cartório de notas. Depende da realização de concurso público de provas e títulos a investidura na titularidade de serventia cuja vaga tenha ocorrido após a promulgação da Constituição de 1988 (art. 236, § 3º), não se configurando direito adquirido ao provimento, por parte de quem haja preenchido, como substituto, o tempo de serviço contemplado no art. 208, acrescentado à Carta de 1967 pela Emenda 22, de 1982.</w:t>
      </w:r>
    </w:p>
    <w:p>
      <w:pPr>
        <w:ind w:left="288"/>
      </w:pPr>
      <w:r>
        <w:rPr>
          <w:b/>
          <w:color w:val="003CA0"/>
          <w:sz w:val="16"/>
        </w:rPr>
        <w:t>[RE 182.641, rel. min. Octavio Gallotti, j. 22-8-1995, 1ª T, DJ de 15-3-1996.]</w:t>
      </w:r>
    </w:p>
    <w:p>
      <w:pPr>
        <w:ind w:left="288"/>
      </w:pPr>
      <w:r>
        <w:rPr>
          <w:color w:val="8C8C8C"/>
          <w:sz w:val="12"/>
        </w:rPr>
        <w:t>cf-art-5-inc-XXXII-ali-b</w:t>
      </w:r>
      <w:r>
        <w:rPr>
          <w:color w:val="003CA0"/>
          <w:sz w:val="12"/>
        </w:rPr>
        <w:t xml:space="preserve"> | AI 829.502</w:t>
      </w:r>
      <w:r>
        <w:rPr>
          <w:color w:val="003CA0"/>
          <w:sz w:val="12"/>
        </w:rPr>
        <w:t xml:space="preserve"> | rel. Gilmar Mendes</w:t>
      </w:r>
    </w:p>
    <w:p>
      <w:pPr>
        <w:ind w:left="288"/>
      </w:pPr>
      <w:r>
        <w:rPr>
          <w:color w:val="1E1E1E"/>
          <w:sz w:val="18"/>
        </w:rPr>
        <w:t>= AI 829.502 AgR, rel. min. Gilmar Mendes, j. 11-9-2012, 2ª T, DJE de 24-9-2012 = MS 28.279, rel. min. Ellen Gracie, j. 16-12-2010, P, DJE de 29-4-2011 Vide ADI 417, rel. min. Maurício Corrêa, j. 5-3-1998, P, DJ de 8-5-1998 Correção monetária. Utilização da Taxa Referencial (TR) como índice de indexação. O STF, no julgamento das ADI 493, rel. min. Moreira Alves; ADI 768, rel. min. Marco Aurélio; e ADI 959/DF, rel. min. Sydney Sanches; não excluiu do universo jurídico a TR, vale dizer, não decidiu no sentido de que a TR não pode ser utilizada como índice de indexação. O que o Supremo Tribunal d</w:t>
      </w:r>
    </w:p>
    <w:p>
      <w:pPr>
        <w:ind w:left="288"/>
      </w:pPr>
      <w:r>
        <w:rPr>
          <w:b/>
          <w:color w:val="003CA0"/>
          <w:sz w:val="16"/>
        </w:rPr>
        <w:t>[RE 175.678, rel. min. Carlos Velloso, j. 29-11-1994, 2ª T, DJ de 4-8-1995.]</w:t>
      </w:r>
    </w:p>
    <w:p>
      <w:pPr>
        <w:ind w:left="288"/>
      </w:pPr>
      <w:r>
        <w:rPr>
          <w:color w:val="8C8C8C"/>
          <w:sz w:val="12"/>
        </w:rPr>
        <w:t>cf-art-5-inc-XXXII-ali-b</w:t>
      </w:r>
      <w:r>
        <w:rPr>
          <w:color w:val="003CA0"/>
          <w:sz w:val="12"/>
        </w:rPr>
        <w:t xml:space="preserve"> | RE 615.339</w:t>
      </w:r>
      <w:r>
        <w:rPr>
          <w:color w:val="003CA0"/>
          <w:sz w:val="12"/>
        </w:rPr>
        <w:t xml:space="preserve"> | rel. Ayres Britto</w:t>
      </w:r>
    </w:p>
    <w:p>
      <w:pPr>
        <w:ind w:left="288"/>
      </w:pPr>
      <w:r>
        <w:rPr>
          <w:color w:val="1E1E1E"/>
          <w:sz w:val="18"/>
        </w:rPr>
        <w:t>= RE 615.339 AgR-segundo, rel. min. Ayres Britto, j. 27-3-2012, 2ª T, DJE de 23-4-2012 A administração pública, observados os limites ditados pela CF, atua de modo discricionário ao instituir o regime jurídico de seus agentes e ao elaborar novos planos de carreira, não podendo o servidor a ela estatutariamente vinculado invocar direito adquirido para reivindicar enquadramento diverso daquele determinado pelo poder público, com fundamento em norma de caráter legal.</w:t>
      </w:r>
    </w:p>
    <w:p>
      <w:pPr>
        <w:ind w:left="288"/>
      </w:pPr>
      <w:r>
        <w:rPr>
          <w:b/>
          <w:color w:val="003CA0"/>
          <w:sz w:val="16"/>
        </w:rPr>
        <w:t>[RE 116.683, rel. min. Celso de Mello, j. 11-6-1991, 1ª T, DJ de 13-3-1992.]</w:t>
      </w:r>
    </w:p>
    <w:p>
      <w:pPr>
        <w:ind w:left="288"/>
      </w:pPr>
      <w:r>
        <w:rPr>
          <w:color w:val="8C8C8C"/>
          <w:sz w:val="12"/>
        </w:rPr>
        <w:t>cf-art-5-inc-XXXII-ali-b</w:t>
      </w:r>
      <w:r>
        <w:rPr>
          <w:color w:val="003CA0"/>
          <w:sz w:val="12"/>
        </w:rPr>
        <w:t xml:space="preserve"> | AI 852.070</w:t>
      </w:r>
      <w:r>
        <w:rPr>
          <w:color w:val="003CA0"/>
          <w:sz w:val="12"/>
        </w:rPr>
        <w:t xml:space="preserve"> | rel. Gilmar Mendes</w:t>
      </w:r>
    </w:p>
    <w:p>
      <w:pPr>
        <w:ind w:left="288"/>
      </w:pPr>
      <w:r>
        <w:rPr>
          <w:color w:val="1E1E1E"/>
          <w:sz w:val="18"/>
        </w:rPr>
        <w:t>= AI 852.070 AgR, rel. min. Gilmar Mendes, j. 29-11-2011, 2ª T, DJE de 7-2-2012 XXXVII - não haverá juízo ou tribunal de exceção; Criação, por lei estadual, de varas especializadas em delitos praticados por organizações criminosas. (...) O princípio do juiz natural não resta violado na hipótese em que lei estadual atribui a vara especializada competência territorial abrangente de todo o território da unidade federada, com fundamento no art. 125 da Constituição, porquanto o tema gravita em torno da organização judiciária, inexistindo afronta aos princípios da territorialidade e do juiz natural.</w:t>
      </w:r>
    </w:p>
    <w:p>
      <w:pPr>
        <w:ind w:left="288"/>
      </w:pPr>
      <w:r>
        <w:rPr>
          <w:b/>
          <w:color w:val="003CA0"/>
          <w:sz w:val="16"/>
        </w:rPr>
        <w:t>[ADI 4.414, rel. min. Luiz Fux, j. 31-5-2012, P, DJE de 17-6-2013.]</w:t>
      </w:r>
    </w:p>
    <w:p>
      <w:pPr>
        <w:ind w:left="288"/>
      </w:pPr>
      <w:r>
        <w:rPr>
          <w:color w:val="8C8C8C"/>
          <w:sz w:val="12"/>
        </w:rPr>
        <w:t>cf-art-5-inc-XXXII-ali-b</w:t>
      </w:r>
      <w:r>
        <w:rPr>
          <w:color w:val="003CA0"/>
          <w:sz w:val="12"/>
        </w:rPr>
        <w:t xml:space="preserve"> | RE 597.133</w:t>
      </w:r>
      <w:r>
        <w:rPr>
          <w:color w:val="003CA0"/>
          <w:sz w:val="12"/>
        </w:rPr>
        <w:t xml:space="preserve"> | rel. Ricardo Lewandowski</w:t>
      </w:r>
    </w:p>
    <w:p>
      <w:pPr>
        <w:ind w:left="288"/>
      </w:pPr>
      <w:r>
        <w:rPr>
          <w:color w:val="1E1E1E"/>
          <w:sz w:val="18"/>
        </w:rPr>
        <w:t>Não viola o postulado constitucional do juiz natural o julgamento de apelação por órgão composto majoritariamente por juízes convocados, autorizado no âmbito da Justiça Federal pela Lei 9.788/1999. Colegiados constituídos por magistrados togados, integrantes da Justiça Federal, e a quem a distribuição de processos é feita aleatoriamente. Julgamentos realizados com estrita observância do princípio da publicidade, bem como do direito ao devido processo legal, à ampla defesa e ao contraditório.</w:t>
      </w:r>
    </w:p>
    <w:p>
      <w:pPr>
        <w:ind w:left="288"/>
      </w:pPr>
      <w:r>
        <w:rPr>
          <w:b/>
          <w:color w:val="003CA0"/>
          <w:sz w:val="16"/>
        </w:rPr>
        <w:t>[RE 597.133, rel. min. Ricardo Lewandowski, j. 17-11-2010, P, DJE de 6-4-2011. Tema 170, com mérito julgado.]</w:t>
      </w:r>
    </w:p>
    <w:p>
      <w:pPr>
        <w:ind w:left="288"/>
      </w:pPr>
      <w:r>
        <w:rPr>
          <w:color w:val="8C8C8C"/>
          <w:sz w:val="12"/>
        </w:rPr>
        <w:t>cf-art-5-inc-XXXII-ali-b</w:t>
      </w:r>
      <w:r>
        <w:rPr>
          <w:color w:val="003CA0"/>
          <w:sz w:val="12"/>
        </w:rPr>
        <w:t xml:space="preserve"> | ARE 755.933</w:t>
      </w:r>
      <w:r>
        <w:rPr>
          <w:color w:val="003CA0"/>
          <w:sz w:val="12"/>
        </w:rPr>
        <w:t xml:space="preserve"> | rel. Dias Toffoli</w:t>
      </w:r>
    </w:p>
    <w:p>
      <w:pPr>
        <w:ind w:left="288"/>
      </w:pPr>
      <w:r>
        <w:rPr>
          <w:color w:val="1E1E1E"/>
          <w:sz w:val="18"/>
        </w:rPr>
        <w:t>Vide ARE 755.933 AgR, rel. min. Dias Toffoli, j. 11-11-2014, 1ª T, DJE de 19-12-2014 Crime previsto no § 4º do art. 14 da Lei nº 9.434/97 (remoção de tecidos, órgãos ou partes do corpo de pessoa viva, para fins de transplante e tratamento, em desacordo com as disposições legais e regulamentares, com resultado morte). Objeto jurídico: ética e moralidade no contexto da doação de tecidos, órgãos e partes do corpo humano, preservação da integridade física e da vida das pessoas e respeito à memória dos mortos. Delito qualificado pelo resultado. Competência do juízo criminal singular. Afastamento da</w:t>
      </w:r>
    </w:p>
    <w:p>
      <w:pPr>
        <w:ind w:left="288"/>
      </w:pPr>
      <w:r>
        <w:rPr>
          <w:b/>
          <w:color w:val="003CA0"/>
          <w:sz w:val="16"/>
        </w:rPr>
        <w:t>[RE 1.313.494, rel. min. Dias Toffoli, j. 14-9-2021, 1ª T, DJE de 6-12-2021.]</w:t>
      </w:r>
    </w:p>
    <w:p>
      <w:pPr>
        <w:ind w:left="288"/>
      </w:pPr>
      <w:r>
        <w:rPr>
          <w:color w:val="8C8C8C"/>
          <w:sz w:val="12"/>
        </w:rPr>
        <w:t>cf-art-5-inc-XXXII-ali-b</w:t>
      </w:r>
      <w:r>
        <w:rPr>
          <w:color w:val="003CA0"/>
          <w:sz w:val="12"/>
        </w:rPr>
        <w:t xml:space="preserve"> | HC 85.060</w:t>
      </w:r>
      <w:r>
        <w:rPr>
          <w:color w:val="003CA0"/>
          <w:sz w:val="12"/>
        </w:rPr>
        <w:t xml:space="preserve"> | rel. Eros Grau</w:t>
      </w:r>
    </w:p>
    <w:p>
      <w:pPr>
        <w:ind w:left="288"/>
      </w:pPr>
      <w:r>
        <w:rPr>
          <w:color w:val="1E1E1E"/>
          <w:sz w:val="18"/>
        </w:rPr>
        <w:t xml:space="preserve">Formação de quadrilha e gestão fraudulenta de instituição financeira. Competência. Especialização de vara por resolução do Poder Judiciário. (...) Paciente condenado a doze anos e oito meses de reclusão pela prática dos crimes de formação de quadrilha (CP, art. 288) e gestão fraudulenta de instituição financeira (Lei 7.492/1986). Inquérito supervisionado pelo juiz federal da Subseção Judiciária de Foz do Iguaçu, que deferiu medidas cautelares. Especialização, por resolução do Tribunal Regional da 4ª Região, da 2ª Vara Federal de Curitiba/PR para o julgamento de crimes financeiros. Remessa dos </w:t>
      </w:r>
    </w:p>
    <w:p>
      <w:pPr>
        <w:ind w:left="288"/>
      </w:pPr>
      <w:r>
        <w:rPr>
          <w:b/>
          <w:color w:val="003CA0"/>
          <w:sz w:val="16"/>
        </w:rPr>
        <w:t>[HC 85.060, rel. min. Eros Grau, j. 23-9-2008, 1ª T, DJE de 13-2-2009.]</w:t>
      </w:r>
    </w:p>
    <w:p>
      <w:pPr>
        <w:ind w:left="288"/>
      </w:pPr>
      <w:r>
        <w:rPr>
          <w:color w:val="8C8C8C"/>
          <w:sz w:val="12"/>
        </w:rPr>
        <w:t>cf-art-5-inc-XXXII-ali-b</w:t>
      </w:r>
      <w:r>
        <w:rPr>
          <w:color w:val="003CA0"/>
          <w:sz w:val="12"/>
        </w:rPr>
        <w:t xml:space="preserve"> | AI 548.203</w:t>
      </w:r>
      <w:r>
        <w:rPr>
          <w:color w:val="003CA0"/>
          <w:sz w:val="12"/>
        </w:rPr>
        <w:t xml:space="preserve"> | rel. Cezar Peluso</w:t>
      </w:r>
    </w:p>
    <w:p>
      <w:pPr>
        <w:ind w:left="288"/>
      </w:pPr>
      <w:r>
        <w:rPr>
          <w:color w:val="1E1E1E"/>
          <w:sz w:val="18"/>
        </w:rPr>
        <w:t>Distribuição injustificada de causa a determinado juízo ofende o justo processo da lei (due process of law) e, como tal, constitui nulidade processual absoluta.</w:t>
      </w:r>
    </w:p>
    <w:p>
      <w:pPr>
        <w:ind w:left="288"/>
      </w:pPr>
      <w:r>
        <w:rPr>
          <w:b/>
          <w:color w:val="003CA0"/>
          <w:sz w:val="16"/>
        </w:rPr>
        <w:t>[AI 548.203 ED, rel. min. Cezar Peluso, j. 12-2-2008, 2ª T, DJE de 7-3-2008.]</w:t>
      </w:r>
    </w:p>
    <w:p>
      <w:pPr>
        <w:ind w:left="288"/>
      </w:pPr>
      <w:r>
        <w:rPr>
          <w:color w:val="8C8C8C"/>
          <w:sz w:val="12"/>
        </w:rPr>
        <w:t>cf-art-5-inc-XXXII-ali-b</w:t>
      </w:r>
      <w:r>
        <w:rPr>
          <w:color w:val="003CA0"/>
          <w:sz w:val="12"/>
        </w:rPr>
        <w:t xml:space="preserve"> | AP 470</w:t>
      </w:r>
      <w:r>
        <w:rPr>
          <w:color w:val="003CA0"/>
          <w:sz w:val="12"/>
        </w:rPr>
        <w:t xml:space="preserve"> | rel. Joaquim Barbosa</w:t>
      </w:r>
    </w:p>
    <w:p>
      <w:pPr>
        <w:ind w:left="288"/>
      </w:pPr>
      <w:r>
        <w:rPr>
          <w:color w:val="1E1E1E"/>
          <w:sz w:val="18"/>
        </w:rPr>
        <w:t>A garantia do juiz natural, prevista nos incisos LIII e XXXVII do art. 5º da CF, é plenamente atendida quando se delegam o interrogatório dos réus e outros atos da instrução processual a juízes federais das respectivas seções judiciárias, escolhidos mediante sorteio.</w:t>
      </w:r>
    </w:p>
    <w:p>
      <w:pPr>
        <w:ind w:left="288"/>
      </w:pPr>
      <w:r>
        <w:rPr>
          <w:b/>
          <w:color w:val="003CA0"/>
          <w:sz w:val="16"/>
        </w:rPr>
        <w:t>[AP 470 QO, rel. min. Joaquim Barbosa, j. 6-12-2007, P, DJE de 14-3-2008.]</w:t>
      </w:r>
    </w:p>
    <w:p>
      <w:pPr>
        <w:ind w:left="288"/>
      </w:pPr>
      <w:r>
        <w:rPr>
          <w:color w:val="8C8C8C"/>
          <w:sz w:val="12"/>
        </w:rPr>
        <w:t>cf-art-5-inc-XXXII-ali-b</w:t>
      </w:r>
      <w:r>
        <w:rPr>
          <w:color w:val="003CA0"/>
          <w:sz w:val="12"/>
        </w:rPr>
        <w:t xml:space="preserve"> | HC 91.253</w:t>
      </w:r>
      <w:r>
        <w:rPr>
          <w:color w:val="003CA0"/>
          <w:sz w:val="12"/>
        </w:rPr>
        <w:t xml:space="preserve"> | rel. Ricardo Lewandowski</w:t>
      </w:r>
    </w:p>
    <w:p>
      <w:pPr>
        <w:ind w:left="288"/>
      </w:pPr>
      <w:r>
        <w:rPr>
          <w:color w:val="1E1E1E"/>
          <w:sz w:val="18"/>
        </w:rPr>
        <w:t>Provimento 275 do CJF da 3ª Região. (...) O provimento apontado como inconstitucional especializou vara federal já criada, nos exatos limites da atribuição que a Carta Magna confere aos tribunais. A remessa para vara especializada fundada em conexão não viola o princípio do juiz natural.</w:t>
      </w:r>
    </w:p>
    <w:p>
      <w:pPr>
        <w:ind w:left="288"/>
      </w:pPr>
      <w:r>
        <w:rPr>
          <w:b/>
          <w:color w:val="003CA0"/>
          <w:sz w:val="16"/>
        </w:rPr>
        <w:t>[HC 91.253, rel. min. Ricardo Lewandowski, j. 16-10-2007, 1ª T, DJ de 14-11-2007.]</w:t>
      </w:r>
    </w:p>
    <w:p>
      <w:pPr>
        <w:ind w:left="288"/>
      </w:pPr>
      <w:r>
        <w:rPr>
          <w:color w:val="8C8C8C"/>
          <w:sz w:val="12"/>
        </w:rPr>
        <w:t>cf-art-5-inc-XXXII-ali-b</w:t>
      </w:r>
      <w:r>
        <w:rPr>
          <w:color w:val="003CA0"/>
          <w:sz w:val="12"/>
        </w:rPr>
        <w:t xml:space="preserve"> | HC 91.509</w:t>
      </w:r>
      <w:r>
        <w:rPr>
          <w:color w:val="003CA0"/>
          <w:sz w:val="12"/>
        </w:rPr>
        <w:t xml:space="preserve"> | rel. Eros Grau</w:t>
      </w:r>
    </w:p>
    <w:p>
      <w:pPr>
        <w:ind w:left="288"/>
      </w:pPr>
      <w:r>
        <w:rPr>
          <w:color w:val="1E1E1E"/>
          <w:sz w:val="18"/>
        </w:rPr>
        <w:t>= HC 91.509, rel. min. Eros Grau, j. 27-10-2009, 2ª T, DJE de 12-2-2010 Obrigação do STF de manter e observar os parâmetros do devido processo legal, do Estado de Direito e dos direitos humanos. Informações veiculadas na mídia sobre a suspensão de nomeação de ministros da Corte Suprema de Justiça da Bolívia e possível interferência do Poder Executivo no Poder Judiciário daquele país. Necessidade de assegurar direitos fundamentais básicos ao extraditando. (...) Tema do juiz natural assume relevo inegável no contexto da extradição, uma vez que o pleito somente poderá ser deferido se o Estado req</w:t>
      </w:r>
    </w:p>
    <w:p>
      <w:pPr>
        <w:ind w:left="288"/>
      </w:pPr>
      <w:r>
        <w:rPr>
          <w:b/>
          <w:color w:val="003CA0"/>
          <w:sz w:val="16"/>
        </w:rPr>
        <w:t>[Ext 986, rel. min. Eros Grau, j. 15-8-2007, P, DJ de 5-10-2007.]</w:t>
      </w:r>
    </w:p>
    <w:p>
      <w:pPr>
        <w:ind w:left="288"/>
      </w:pPr>
      <w:r>
        <w:rPr>
          <w:color w:val="8C8C8C"/>
          <w:sz w:val="12"/>
        </w:rPr>
        <w:t>cf-art-5-inc-XXXII-ali-b</w:t>
      </w:r>
      <w:r>
        <w:rPr>
          <w:color w:val="003CA0"/>
          <w:sz w:val="12"/>
        </w:rPr>
        <w:t xml:space="preserve"> | AI 177.313</w:t>
      </w:r>
      <w:r>
        <w:rPr>
          <w:color w:val="003CA0"/>
          <w:sz w:val="12"/>
        </w:rPr>
        <w:t xml:space="preserve"> | rel. Celso de Mello</w:t>
      </w:r>
    </w:p>
    <w:p>
      <w:pPr>
        <w:ind w:left="288"/>
      </w:pPr>
      <w:r>
        <w:rPr>
          <w:color w:val="1E1E1E"/>
          <w:sz w:val="18"/>
        </w:rPr>
        <w:t>A definição constitucional das hipóteses de prerrogativa de foro ratione muneris representa elemento vinculante da atividade de persecução criminal exercida pelo poder público. (...) O postulado do juiz natural, por encerrar uma expressiva garantia de ordem constitucional, limita, de modo subordinante, os poderes do Estado – que fica, assim, impossibilitado de instituir juízos ad hoc ou de criar tribunais de exceção –, ao mesmo tempo em que assegura ao acusado o direito ao processo perante autoridade competente abstratamente designada na forma da lei anterior, vedados, em consequência, os juíz</w:t>
      </w:r>
    </w:p>
    <w:p>
      <w:pPr>
        <w:ind w:left="288"/>
      </w:pPr>
      <w:r>
        <w:rPr>
          <w:b/>
          <w:color w:val="003CA0"/>
          <w:sz w:val="16"/>
        </w:rPr>
        <w:t>[AI 177.313 AgR, rel. min. Celso de Mello, j. 23-4-1996, 1ª T, DJ de 17-5-1996.]</w:t>
      </w:r>
    </w:p>
    <w:p>
      <w:pPr>
        <w:ind w:left="288"/>
      </w:pPr>
      <w:r>
        <w:rPr>
          <w:color w:val="8C8C8C"/>
          <w:sz w:val="12"/>
        </w:rPr>
        <w:t>cf-art-5-inc-XXXII-ali-b</w:t>
      </w:r>
      <w:r>
        <w:rPr>
          <w:color w:val="003CA0"/>
          <w:sz w:val="12"/>
        </w:rPr>
        <w:t xml:space="preserve"> | EXT 615</w:t>
      </w:r>
      <w:r>
        <w:rPr>
          <w:color w:val="003CA0"/>
          <w:sz w:val="12"/>
        </w:rPr>
        <w:t xml:space="preserve"> | rel. Paulo Brossard</w:t>
      </w:r>
    </w:p>
    <w:p>
      <w:pPr>
        <w:ind w:left="288"/>
      </w:pPr>
      <w:r>
        <w:rPr>
          <w:color w:val="1E1E1E"/>
          <w:sz w:val="18"/>
        </w:rPr>
        <w:t>Tribunal de exceção. Não caracterização quando o julgamento se dá com fundamento e de conformidade com leis, desde há muito vigentes, e por integrantes da Suprema Corte de Justiça do país, na ocasião, regularmente investidos em suas funções.</w:t>
      </w:r>
    </w:p>
    <w:p>
      <w:pPr>
        <w:ind w:left="288"/>
      </w:pPr>
      <w:r>
        <w:rPr>
          <w:b/>
          <w:color w:val="003CA0"/>
          <w:sz w:val="16"/>
        </w:rPr>
        <w:t>[Ext 615, rel. min. Paulo Brossard, j. 19-10-1994, P, DJ de 5-12-1994.]</w:t>
      </w:r>
    </w:p>
    <w:p>
      <w:pPr>
        <w:ind w:left="288"/>
      </w:pPr>
      <w:r>
        <w:rPr>
          <w:color w:val="8C8C8C"/>
          <w:sz w:val="12"/>
        </w:rPr>
        <w:t>cf-art-5-inc-XXXII-ali-b</w:t>
      </w:r>
    </w:p>
    <w:p>
      <w:pPr>
        <w:ind w:left="288"/>
      </w:pPr>
      <w:r>
        <w:rPr>
          <w:color w:val="1E1E1E"/>
          <w:sz w:val="18"/>
        </w:rPr>
        <w:t>XXXVIII - é reconhecida a instituição do júri, com a organização que lhe der a lei, assegurados: O efeito devolutivo da apelação contra decisões do júri é adstrito aos fundamentos da sua interposição.</w:t>
      </w:r>
    </w:p>
    <w:p>
      <w:pPr>
        <w:ind w:left="288"/>
      </w:pPr>
      <w:r>
        <w:rPr>
          <w:b/>
          <w:color w:val="003CA0"/>
          <w:sz w:val="16"/>
        </w:rPr>
        <w:t>[Súmula 713.]</w:t>
      </w:r>
    </w:p>
    <w:p>
      <w:pPr>
        <w:ind w:left="288"/>
      </w:pPr>
      <w:r>
        <w:rPr>
          <w:color w:val="8C8C8C"/>
          <w:sz w:val="12"/>
        </w:rPr>
        <w:t>cf-art-5-inc-XXXII-ali-b</w:t>
      </w:r>
    </w:p>
    <w:p>
      <w:pPr>
        <w:ind w:left="288"/>
      </w:pPr>
      <w:r>
        <w:rPr>
          <w:color w:val="1E1E1E"/>
          <w:sz w:val="18"/>
        </w:rPr>
        <w:t>É absoluta a nulidade do julgamento pelo júri, quando os quesitos da defesa não precedem aos das circunstâncias agravantes.</w:t>
      </w:r>
    </w:p>
    <w:p>
      <w:pPr>
        <w:ind w:left="288"/>
      </w:pPr>
      <w:r>
        <w:rPr>
          <w:b/>
          <w:color w:val="003CA0"/>
          <w:sz w:val="16"/>
        </w:rPr>
        <w:t>[Súmula 162.]</w:t>
      </w:r>
    </w:p>
    <w:p>
      <w:pPr>
        <w:ind w:left="288"/>
      </w:pPr>
      <w:r>
        <w:rPr>
          <w:color w:val="8C8C8C"/>
          <w:sz w:val="12"/>
        </w:rPr>
        <w:t>cf-art-5-inc-XXXII-ali-b</w:t>
      </w:r>
    </w:p>
    <w:p>
      <w:pPr>
        <w:ind w:left="288"/>
      </w:pPr>
      <w:r>
        <w:rPr>
          <w:color w:val="1E1E1E"/>
          <w:sz w:val="18"/>
        </w:rPr>
        <w:t>É absoluta a nulidade do julgamento, pelo júri, por falta de quesito obrigatório.</w:t>
      </w:r>
    </w:p>
    <w:p>
      <w:pPr>
        <w:ind w:left="288"/>
      </w:pPr>
      <w:r>
        <w:rPr>
          <w:b/>
          <w:color w:val="003CA0"/>
          <w:sz w:val="16"/>
        </w:rPr>
        <w:t>[Súmula 156.]</w:t>
      </w:r>
    </w:p>
    <w:p>
      <w:pPr>
        <w:ind w:left="288"/>
      </w:pPr>
      <w:r>
        <w:rPr>
          <w:color w:val="8C8C8C"/>
          <w:sz w:val="12"/>
        </w:rPr>
        <w:t>cf-art-5-inc-XXXII-ali-b</w:t>
      </w:r>
      <w:r>
        <w:rPr>
          <w:color w:val="003CA0"/>
          <w:sz w:val="12"/>
        </w:rPr>
        <w:t xml:space="preserve"> | ADPF 779</w:t>
      </w:r>
      <w:r>
        <w:rPr>
          <w:color w:val="003CA0"/>
          <w:sz w:val="12"/>
        </w:rPr>
        <w:t xml:space="preserve"> | rel. Dias Toffoli</w:t>
      </w:r>
    </w:p>
    <w:p>
      <w:pPr>
        <w:ind w:left="288"/>
      </w:pPr>
      <w:r>
        <w:rPr>
          <w:color w:val="1E1E1E"/>
          <w:sz w:val="18"/>
        </w:rPr>
        <w:t>A “legítima defesa da honra” não pode ser invocada como argumento inerente à plenitude de defesa própria do tribunal do júri, a qual não pode constituir instrumento de salvaguarda de práticas ilícitas. Devem prevalecer a dignidade da pessoa humana, a vedação de todas as formas de discriminação, o direito à igualdade e o direito à vida, tendo em vista os riscos elevados e sistêmicos decorrentes da naturalização, da tolerância e do incentivo à cultura da violência doméstica e do feminicídio. Na hipótese de a defesa lançar mão, direta ou indiretamente, da tese da “legítima defesa da honra” (ou de</w:t>
      </w:r>
    </w:p>
    <w:p>
      <w:pPr>
        <w:ind w:left="288"/>
      </w:pPr>
      <w:r>
        <w:rPr>
          <w:b/>
          <w:color w:val="003CA0"/>
          <w:sz w:val="16"/>
        </w:rPr>
        <w:t>[ADPF 779, rel. min. Dias Toffoli, j. 1º-8-2023, P, DJE de 6-10-2023.]</w:t>
      </w:r>
    </w:p>
    <w:p>
      <w:pPr>
        <w:ind w:left="288"/>
      </w:pPr>
      <w:r>
        <w:rPr>
          <w:color w:val="8C8C8C"/>
          <w:sz w:val="12"/>
        </w:rPr>
        <w:t>cf-art-5-inc-XXXII-ali-b</w:t>
      </w:r>
      <w:r>
        <w:rPr>
          <w:color w:val="003CA0"/>
          <w:sz w:val="12"/>
        </w:rPr>
        <w:t xml:space="preserve"> | ARE 1.458.696</w:t>
      </w:r>
      <w:r>
        <w:rPr>
          <w:color w:val="003CA0"/>
          <w:sz w:val="12"/>
        </w:rPr>
        <w:t xml:space="preserve"> | rel. Flávio Dino</w:t>
      </w:r>
    </w:p>
    <w:p>
      <w:pPr>
        <w:ind w:left="288"/>
      </w:pPr>
      <w:r>
        <w:rPr>
          <w:color w:val="1E1E1E"/>
          <w:sz w:val="18"/>
        </w:rPr>
        <w:t>Possibilidade de despronúncia, após condenação pelo Tribunal do Júri transitada em julgado, por decisão em habeas corpus.</w:t>
      </w:r>
    </w:p>
    <w:p>
      <w:pPr>
        <w:ind w:left="288"/>
      </w:pPr>
      <w:r>
        <w:rPr>
          <w:b/>
          <w:color w:val="003CA0"/>
          <w:sz w:val="16"/>
        </w:rPr>
        <w:t>[ARE 1.458.696 RG, rel. min. Flávio Dino, j. 09.08.2024, P, DJE de 03.10.2024, Tema 1.311, com mérito pendente.]</w:t>
      </w:r>
    </w:p>
    <w:p>
      <w:pPr>
        <w:ind w:left="288"/>
      </w:pPr>
      <w:r>
        <w:rPr>
          <w:color w:val="8C8C8C"/>
          <w:sz w:val="12"/>
        </w:rPr>
        <w:t>cf-art-5-inc-XXXII-ali-b</w:t>
      </w:r>
      <w:r>
        <w:rPr>
          <w:color w:val="003CA0"/>
          <w:sz w:val="12"/>
        </w:rPr>
        <w:t xml:space="preserve"> | HC 107.457</w:t>
      </w:r>
      <w:r>
        <w:rPr>
          <w:color w:val="003CA0"/>
          <w:sz w:val="12"/>
        </w:rPr>
        <w:t xml:space="preserve"> | rel. Cármen Lúcia</w:t>
      </w:r>
    </w:p>
    <w:p>
      <w:pPr>
        <w:ind w:left="288"/>
      </w:pPr>
      <w:r>
        <w:rPr>
          <w:color w:val="1E1E1E"/>
          <w:sz w:val="18"/>
        </w:rPr>
        <w:t>O tribunal do júri é um órgão complexo, notabilizado pela sua heterogeneidade (juiz togado e leigos), sendo que a realização de suas atividades não se resume à atuação dos jurados, pelo que, não tendo competência o juiz federal para organizar e conduzir o tribunal do júri, não pode ser validada a decisão do colegiado popular.</w:t>
      </w:r>
    </w:p>
    <w:p>
      <w:pPr>
        <w:ind w:left="288"/>
      </w:pPr>
      <w:r>
        <w:rPr>
          <w:b/>
          <w:color w:val="003CA0"/>
          <w:sz w:val="16"/>
        </w:rPr>
        <w:t>[HC 107.457, rel. min. Cármen Lúcia, j. 2-10-2012, 2ª T, DJE de 22-10-2012.]</w:t>
      </w:r>
    </w:p>
    <w:p>
      <w:pPr>
        <w:ind w:left="288"/>
      </w:pPr>
      <w:r>
        <w:rPr>
          <w:color w:val="8C8C8C"/>
          <w:sz w:val="12"/>
        </w:rPr>
        <w:t>cf-art-5-inc-XXXII-ali-b</w:t>
      </w:r>
      <w:r>
        <w:rPr>
          <w:color w:val="003CA0"/>
          <w:sz w:val="12"/>
        </w:rPr>
        <w:t xml:space="preserve"> | HC 96.785</w:t>
      </w:r>
      <w:r>
        <w:rPr>
          <w:color w:val="003CA0"/>
          <w:sz w:val="12"/>
        </w:rPr>
        <w:t xml:space="preserve"> | rel. Eros Grau</w:t>
      </w:r>
    </w:p>
    <w:p>
      <w:pPr>
        <w:ind w:left="288"/>
      </w:pPr>
      <w:r>
        <w:rPr>
          <w:color w:val="1E1E1E"/>
          <w:sz w:val="18"/>
        </w:rPr>
        <w:t>Não é necessária, ao desaforamento, a afirmação da certeza da imparcialidade dos jurados, bastando o fundado receio de que reste comprometida.</w:t>
      </w:r>
    </w:p>
    <w:p>
      <w:pPr>
        <w:ind w:left="288"/>
      </w:pPr>
      <w:r>
        <w:rPr>
          <w:b/>
          <w:color w:val="003CA0"/>
          <w:sz w:val="16"/>
        </w:rPr>
        <w:t>[HC 96.785, rel. min. Eros Grau, j. 25-11-2008, 2ª T, DJE de 22-5-2009.]</w:t>
      </w:r>
    </w:p>
    <w:p>
      <w:pPr>
        <w:ind w:left="288"/>
      </w:pPr>
      <w:r>
        <w:rPr>
          <w:color w:val="8C8C8C"/>
          <w:sz w:val="12"/>
        </w:rPr>
        <w:t>cf-art-5-inc-XXXII-ali-b</w:t>
      </w:r>
      <w:r>
        <w:rPr>
          <w:color w:val="003CA0"/>
          <w:sz w:val="12"/>
        </w:rPr>
        <w:t xml:space="preserve"> | HC 97.547</w:t>
      </w:r>
      <w:r>
        <w:rPr>
          <w:color w:val="003CA0"/>
          <w:sz w:val="12"/>
        </w:rPr>
        <w:t xml:space="preserve"> | rel. Joaquim Barbosa</w:t>
      </w:r>
    </w:p>
    <w:p>
      <w:pPr>
        <w:ind w:left="288"/>
      </w:pPr>
      <w:r>
        <w:rPr>
          <w:color w:val="1E1E1E"/>
          <w:sz w:val="18"/>
        </w:rPr>
        <w:t>Vide HC 97.547, rel. min. Joaquim Barbosa, j. 19-10-2010, 2ª T, DJE de 19-11-2010 A competência do tribunal do júri não é absoluta. Afasta-a a própria CF, no que prevê, em face da dignidade de certos cargos e da relevância destes para o Estado, a competência de tribunais – arts. 29, VIII; 96, III; 108, I, a; 105, I, a; e 102, I, b e c.</w:t>
      </w:r>
    </w:p>
    <w:p>
      <w:pPr>
        <w:ind w:left="288"/>
      </w:pPr>
      <w:r>
        <w:rPr>
          <w:b/>
          <w:color w:val="003CA0"/>
          <w:sz w:val="16"/>
        </w:rPr>
        <w:t>[HC 70.581, rel. min. Marco Aurélio, j. 21-9-1993, 2ª T, DJ de 29-10-1993.]</w:t>
      </w:r>
    </w:p>
    <w:p>
      <w:pPr>
        <w:ind w:left="288"/>
      </w:pPr>
      <w:r>
        <w:rPr>
          <w:color w:val="8C8C8C"/>
          <w:sz w:val="12"/>
        </w:rPr>
        <w:t>cf-art-5-inc-XXXII-ali-a</w:t>
      </w:r>
      <w:r>
        <w:rPr>
          <w:color w:val="003CA0"/>
          <w:sz w:val="12"/>
        </w:rPr>
        <w:t xml:space="preserve"> | RHC 119.432</w:t>
      </w:r>
    </w:p>
    <w:p>
      <w:pPr>
        <w:ind w:left="288"/>
      </w:pPr>
      <w:r>
        <w:rPr>
          <w:color w:val="1E1E1E"/>
          <w:sz w:val="18"/>
        </w:rPr>
        <w:t>O indeferimento da produção de prova pericial por meio da qual se visava demonstrar realidade diversa da apontada nas perícias existentes e no conjunto probatório constante no processo-crime mostrou-se em harmonia com o art. 400, § 1º, do CPP, não consubstanciando violação aos princípios do contraditório e da ampla defesa. O magistrado tem a discricionariedade para indeferir a produção de provas que entender irrelevante para o julgamento da matéria.</w:t>
      </w:r>
    </w:p>
    <w:p>
      <w:pPr>
        <w:ind w:left="288"/>
      </w:pPr>
      <w:r>
        <w:rPr>
          <w:b/>
          <w:color w:val="003CA0"/>
          <w:sz w:val="16"/>
        </w:rPr>
        <w:t>[RHC 119.432, voto do min. Marco Aurélio, j. 9-12-2015, 1ª T, DJE de 31-3-2016.]</w:t>
      </w:r>
    </w:p>
    <w:p>
      <w:pPr>
        <w:ind w:left="288"/>
      </w:pPr>
      <w:r>
        <w:rPr>
          <w:color w:val="8C8C8C"/>
          <w:sz w:val="12"/>
        </w:rPr>
        <w:t>cf-art-5-inc-XXXII-ali-a</w:t>
      </w:r>
      <w:r>
        <w:rPr>
          <w:color w:val="003CA0"/>
          <w:sz w:val="12"/>
        </w:rPr>
        <w:t xml:space="preserve"> | HC 103.569</w:t>
      </w:r>
      <w:r>
        <w:rPr>
          <w:color w:val="003CA0"/>
          <w:sz w:val="12"/>
        </w:rPr>
        <w:t xml:space="preserve"> | rel. Dias Toffoli</w:t>
      </w:r>
    </w:p>
    <w:p>
      <w:pPr>
        <w:ind w:left="288"/>
      </w:pPr>
      <w:r>
        <w:rPr>
          <w:color w:val="1E1E1E"/>
          <w:sz w:val="18"/>
        </w:rPr>
        <w:t>A desistência da oitiva de testemunhas arroladas pela própria defesa, que inclusive poderiam vir a ser inquiridas em plenário caso algo de relevante tivessem a dizer, e o não oferecimento das alegações finais em procedimento da competência do tribunal do júri constituem adequada tática da acusação e da defesa de deixarem os argumentos de que dispõem para apresentação no plenário, ocasião em que poderão surtir melhor efeito, por não serem previamente conhecidos pela parte adversária.</w:t>
      </w:r>
    </w:p>
    <w:p>
      <w:pPr>
        <w:ind w:left="288"/>
      </w:pPr>
      <w:r>
        <w:rPr>
          <w:b/>
          <w:color w:val="003CA0"/>
          <w:sz w:val="16"/>
        </w:rPr>
        <w:t>[HC 103.569, rel. min. Dias Toffoli, j. 24-8-2010, 1ª T, DJE de 12-11-2010.]</w:t>
      </w:r>
    </w:p>
    <w:p>
      <w:pPr>
        <w:ind w:left="288"/>
      </w:pPr>
      <w:r>
        <w:rPr>
          <w:color w:val="8C8C8C"/>
          <w:sz w:val="12"/>
        </w:rPr>
        <w:t>cf-art-5-inc-XXXII-ali-a</w:t>
      </w:r>
      <w:r>
        <w:rPr>
          <w:color w:val="003CA0"/>
          <w:sz w:val="12"/>
        </w:rPr>
        <w:t xml:space="preserve"> | HC 92.194</w:t>
      </w:r>
      <w:r>
        <w:rPr>
          <w:color w:val="003CA0"/>
          <w:sz w:val="12"/>
        </w:rPr>
        <w:t xml:space="preserve"> | rel. Cezar Peluso</w:t>
      </w:r>
    </w:p>
    <w:p>
      <w:pPr>
        <w:ind w:left="288"/>
      </w:pPr>
      <w:r>
        <w:rPr>
          <w:color w:val="1E1E1E"/>
          <w:sz w:val="18"/>
        </w:rPr>
        <w:t>Sentença de pronúncia. (...) Não há falar em cerceamento de defesa, se, ante a falta de apresentação das razões de recurso pela defesa técnica, os réus não ratificam interesse recursal, depois de pessoalmente intimados para tanto.</w:t>
      </w:r>
    </w:p>
    <w:p>
      <w:pPr>
        <w:ind w:left="288"/>
      </w:pPr>
      <w:r>
        <w:rPr>
          <w:b/>
          <w:color w:val="003CA0"/>
          <w:sz w:val="16"/>
        </w:rPr>
        <w:t>[HC 92.194, rel. min. Cezar Peluso, j. 2-3-2010, 2ª T, DJE de 23-4-2010.]</w:t>
      </w:r>
    </w:p>
    <w:p>
      <w:pPr>
        <w:ind w:left="288"/>
      </w:pPr>
      <w:r>
        <w:rPr>
          <w:color w:val="8C8C8C"/>
          <w:sz w:val="12"/>
        </w:rPr>
        <w:t>cf-art-5-inc-XXXII-ali-a</w:t>
      </w:r>
      <w:r>
        <w:rPr>
          <w:color w:val="003CA0"/>
          <w:sz w:val="12"/>
        </w:rPr>
        <w:t xml:space="preserve"> | HC 97.313</w:t>
      </w:r>
      <w:r>
        <w:rPr>
          <w:color w:val="003CA0"/>
          <w:sz w:val="12"/>
        </w:rPr>
        <w:t xml:space="preserve"> | rel. Ellen Gracie</w:t>
      </w:r>
    </w:p>
    <w:p>
      <w:pPr>
        <w:ind w:left="288"/>
      </w:pPr>
      <w:r>
        <w:rPr>
          <w:color w:val="1E1E1E"/>
          <w:sz w:val="18"/>
        </w:rPr>
        <w:t>No processo penal vige o princípio tempus regit actum, segundo o qual a lei rege os fatos praticados durante a sua vigência; portanto, apesar da superveniência da Lei 11.689/2008, que alterou todo o capítulo relativo ao procedimento do tribunal do júri, aplica-se à espécie a antiga redação do art. 449 do CPP. Conforme se extrai dos autos, o julgamento da sessão do júri foi adiado em razão da ausência do defensor constituído do paciente e remarcado para a sessão seguinte. Diante do não comparecimento do defensor constituído ao julgamento remarcado, foi nomeado defensor dativo ao paciente. Rigor</w:t>
      </w:r>
    </w:p>
    <w:p>
      <w:pPr>
        <w:ind w:left="288"/>
      </w:pPr>
      <w:r>
        <w:rPr>
          <w:b/>
          <w:color w:val="003CA0"/>
          <w:sz w:val="16"/>
        </w:rPr>
        <w:t>[HC 97.313, rel. min. Ellen Gracie, j. 29-9-2009, 2ª T, DJE de 16-10-2009.]</w:t>
      </w:r>
    </w:p>
    <w:p>
      <w:pPr>
        <w:ind w:left="288"/>
      </w:pPr>
      <w:r>
        <w:rPr>
          <w:color w:val="8C8C8C"/>
          <w:sz w:val="12"/>
        </w:rPr>
        <w:t>cf-art-5-inc-XXXII-ali-a</w:t>
      </w:r>
      <w:r>
        <w:rPr>
          <w:color w:val="003CA0"/>
          <w:sz w:val="12"/>
        </w:rPr>
        <w:t xml:space="preserve"> | HC 123.228</w:t>
      </w:r>
      <w:r>
        <w:rPr>
          <w:color w:val="003CA0"/>
          <w:sz w:val="12"/>
        </w:rPr>
        <w:t xml:space="preserve"> | rel. Cármen Lúcia</w:t>
      </w:r>
    </w:p>
    <w:p>
      <w:pPr>
        <w:ind w:left="288"/>
      </w:pPr>
      <w:r>
        <w:rPr>
          <w:color w:val="1E1E1E"/>
          <w:sz w:val="18"/>
        </w:rPr>
        <w:t xml:space="preserve">Vide HC 123.228, rel. min. Cármen Lúcia, j. 24-6-2015, P, DJE de 28-9-2015 A elaboração dos quesitos é uma das fases processuais mais sensíveis da instituição do júri. Isso porque, diante das variáveis que se materializam na trama dos crimes dolosos contra a vida – tentativas, qualificadoras, causas de aumento e de diminuição de pena, concursos de agentes e outras mais –, condensá-las em quesitos precisos é uma tarefa árdua e não raras vezes ingrata. Na concreta situação dos autos, logo se percebe que os quesitos retrataram as teses sustentadas pela acusação e pela defesa em plenário. Tanto é </w:t>
      </w:r>
    </w:p>
    <w:p>
      <w:pPr>
        <w:ind w:left="288"/>
      </w:pPr>
      <w:r>
        <w:rPr>
          <w:b/>
          <w:color w:val="003CA0"/>
          <w:sz w:val="16"/>
        </w:rPr>
        <w:t>[HC 96.469, rel. min. Ayres Britto, j. 9-6-2009, 1ª T, DJE de 14-8-2009.]</w:t>
      </w:r>
    </w:p>
    <w:p>
      <w:pPr>
        <w:ind w:left="288"/>
      </w:pPr>
      <w:r>
        <w:rPr>
          <w:color w:val="8C8C8C"/>
          <w:sz w:val="12"/>
        </w:rPr>
        <w:t>cf-art-5-inc-XXXII-ali-a</w:t>
      </w:r>
      <w:r>
        <w:rPr>
          <w:color w:val="003CA0"/>
          <w:sz w:val="12"/>
        </w:rPr>
        <w:t xml:space="preserve"> | HC 95.157</w:t>
      </w:r>
      <w:r>
        <w:rPr>
          <w:color w:val="003CA0"/>
          <w:sz w:val="12"/>
        </w:rPr>
        <w:t xml:space="preserve"> | rel. Joaquim Barbosa</w:t>
      </w:r>
    </w:p>
    <w:p>
      <w:pPr>
        <w:ind w:left="288"/>
      </w:pPr>
      <w:r>
        <w:rPr>
          <w:color w:val="1E1E1E"/>
          <w:sz w:val="18"/>
        </w:rPr>
        <w:t>= HC 95.157, rel. min. Joaquim Barbosa, j. 16-11-2010, 2ª T, DJE de 1º-2-2011 Procedimento do júri. Juntada de documentos para leitura requerida três dias antes da data em que a sessão se realizaria. Indeferimento. Art. 475 do CPP. Inteligência. Cerceamento à ampla defesa e ao contraditório. Nulidade absoluta. Prejuízo evidente. (...) O pedido da defesa para juntada de documentos, cuja leitura pretendia realizar em plenário, não poderia ter sido indeferido, pois foi protocolizado exatos três dias antes da data do julgamento. (...) Impossibilidade de interpretação extensiva para prejudicar o ré</w:t>
      </w:r>
    </w:p>
    <w:p>
      <w:pPr>
        <w:ind w:left="288"/>
      </w:pPr>
      <w:r>
        <w:rPr>
          <w:b/>
          <w:color w:val="003CA0"/>
          <w:sz w:val="16"/>
        </w:rPr>
        <w:t>[HC 92.958, rel. min. Joaquim Barbosa, j. 1º-4-2008, 2ª T, DJE de 2-5-2008.]</w:t>
      </w:r>
    </w:p>
    <w:p>
      <w:pPr>
        <w:ind w:left="288"/>
      </w:pPr>
      <w:r>
        <w:rPr>
          <w:color w:val="8C8C8C"/>
          <w:sz w:val="12"/>
        </w:rPr>
        <w:t>cf-art-5-inc-XXXII-ali-b</w:t>
      </w:r>
      <w:r>
        <w:rPr>
          <w:color w:val="003CA0"/>
          <w:sz w:val="12"/>
        </w:rPr>
        <w:t xml:space="preserve"> | HC 104.308</w:t>
      </w:r>
      <w:r>
        <w:rPr>
          <w:color w:val="003CA0"/>
          <w:sz w:val="12"/>
        </w:rPr>
        <w:t xml:space="preserve"> | rel. Luiz Fux</w:t>
      </w:r>
    </w:p>
    <w:p>
      <w:pPr>
        <w:ind w:left="288"/>
      </w:pPr>
      <w:r>
        <w:rPr>
          <w:color w:val="1E1E1E"/>
          <w:sz w:val="18"/>
        </w:rPr>
        <w:t>O veredicto do júri resta imune de vícios acaso não conste o número de votos no Termo de Julgamento no sentido afirmativo ou negativo, não só por força de novatio legis, mas também porque a novel metodologia preserva o sigilo e a soberania da deliberação popular. (...) O art. 487 do CPP foi revogado pela Lei 11.689/2008, aprimorando assim o sistema de votação do júri, já que não se faz mais necessário constar quantos votos foram dados na forma afirmativa ou negativa, respeitando-se, portanto, o sigilo das votações e, consectariamente, a soberania dos veredictos.</w:t>
      </w:r>
    </w:p>
    <w:p>
      <w:pPr>
        <w:ind w:left="288"/>
      </w:pPr>
      <w:r>
        <w:rPr>
          <w:b/>
          <w:color w:val="003CA0"/>
          <w:sz w:val="16"/>
        </w:rPr>
        <w:t>[HC 104.308, rel. min. Luiz Fux, j. 31-5-2011, 1ª T, DJE de 29-6-2011.]</w:t>
      </w:r>
    </w:p>
    <w:p>
      <w:pPr>
        <w:ind w:left="288"/>
      </w:pPr>
      <w:r>
        <w:rPr>
          <w:color w:val="8C8C8C"/>
          <w:sz w:val="12"/>
        </w:rPr>
        <w:t>cf-art-5-inc-XXXII-ali-c</w:t>
      </w:r>
      <w:r>
        <w:rPr>
          <w:color w:val="003CA0"/>
          <w:sz w:val="12"/>
        </w:rPr>
        <w:t xml:space="preserve"> | ARE 1.225.185</w:t>
      </w:r>
      <w:r>
        <w:rPr>
          <w:color w:val="003CA0"/>
          <w:sz w:val="12"/>
        </w:rPr>
        <w:t xml:space="preserve"> | rel. Gilmar Mendes</w:t>
      </w:r>
    </w:p>
    <w:p>
      <w:pPr>
        <w:ind w:left="288"/>
      </w:pPr>
      <w:r>
        <w:rPr>
          <w:color w:val="1E1E1E"/>
          <w:sz w:val="18"/>
        </w:rPr>
        <w:t>1. É cabível recurso de apelação com base no artigo 593, III, d, do Código de Processo Penal, nas hipóteses em que a decisão do Tribunal do Júri, amparada em quesito genérico, for considerada pela acusação como manifestamente contrária à prova dos autos. 2. O Tribunal de Apelação não determinará novo júri quando tiver ocorrido a apresentação, constante em ata, de tese conducente à clemência ao acusado, e esta for acolhida pelos jurados, desde que seja compatível com a Constituição, com os precedentes vinculantes do Supremo Tribunal Federal e com as circunstâncias fáticas dos autos.</w:t>
      </w:r>
    </w:p>
    <w:p>
      <w:pPr>
        <w:ind w:left="288"/>
      </w:pPr>
      <w:r>
        <w:rPr>
          <w:b/>
          <w:color w:val="003CA0"/>
          <w:sz w:val="16"/>
        </w:rPr>
        <w:t>[ARE 1.225.185, rel. min. Gilmar Mendes, red. do ac. min. Edson Fachin, j. 03.10.2024, P, DJE de 16.12.2024, Tema 1.087, com mérito julgado.]</w:t>
      </w:r>
    </w:p>
    <w:p>
      <w:pPr>
        <w:ind w:left="288"/>
      </w:pPr>
      <w:r>
        <w:rPr>
          <w:color w:val="8C8C8C"/>
          <w:sz w:val="12"/>
        </w:rPr>
        <w:t>cf-art-5-inc-XXXII-ali-c</w:t>
      </w:r>
      <w:r>
        <w:rPr>
          <w:color w:val="003CA0"/>
          <w:sz w:val="12"/>
        </w:rPr>
        <w:t xml:space="preserve"> | RE 1.235.340</w:t>
      </w:r>
      <w:r>
        <w:rPr>
          <w:color w:val="003CA0"/>
          <w:sz w:val="12"/>
        </w:rPr>
        <w:t xml:space="preserve"> | rel. Luís Roberto Barroso</w:t>
      </w:r>
    </w:p>
    <w:p>
      <w:pPr>
        <w:ind w:left="288"/>
      </w:pPr>
      <w:r>
        <w:rPr>
          <w:color w:val="1E1E1E"/>
          <w:sz w:val="18"/>
        </w:rPr>
        <w:t>“A soberania dos veredictos do Tribunal do Júri autoriza a imediata execução de condenação imposta pelo corpo de jurados, independentemente do total da pena aplicada”.</w:t>
      </w:r>
    </w:p>
    <w:p>
      <w:pPr>
        <w:ind w:left="288"/>
      </w:pPr>
      <w:r>
        <w:rPr>
          <w:b/>
          <w:color w:val="003CA0"/>
          <w:sz w:val="16"/>
        </w:rPr>
        <w:t>[RE 1.235.340, rel. min. Luís Roberto Barroso, j. 12.09.2024, P, DJE de 13.11.2024, Tema 1.068, com mérito julgado.]</w:t>
      </w:r>
    </w:p>
    <w:p>
      <w:pPr>
        <w:ind w:left="288"/>
      </w:pPr>
      <w:r>
        <w:rPr>
          <w:color w:val="8C8C8C"/>
          <w:sz w:val="12"/>
        </w:rPr>
        <w:t>cf-art-5-inc-XXXII-ali-c</w:t>
      </w:r>
      <w:r>
        <w:rPr>
          <w:color w:val="003CA0"/>
          <w:sz w:val="12"/>
        </w:rPr>
        <w:t xml:space="preserve"> | HC 176.933</w:t>
      </w:r>
    </w:p>
    <w:p>
      <w:pPr>
        <w:ind w:left="288"/>
      </w:pPr>
      <w:r>
        <w:rPr>
          <w:color w:val="1E1E1E"/>
          <w:sz w:val="18"/>
        </w:rPr>
        <w:t>Tribunal do Júri e soberania dos veredictos (art. 5º, XXXVIII, “c”, CF). Impugnabilidade de absolvição a partir de quesito genérico (art. 483, III, c/c §2º, CPP) por hipótese de decisão manifestamente contrária à prova dos autos (art. 593, III, “d”, CPP). Absolvição por clemência e soberania dos veredictos. (...) Considerando o quesito genérico e a desnecessidade de motivação na decisão dos jurados, configura-se a possibilidade de absolvição por clemência, ou seja, mesmo em contrariedade manifesta à prova dos autos. Se ao responder o quesito genérico o jurado pode absolver o réu sem especifica</w:t>
      </w:r>
    </w:p>
    <w:p>
      <w:pPr>
        <w:ind w:left="288"/>
      </w:pPr>
      <w:r>
        <w:rPr>
          <w:b/>
          <w:color w:val="003CA0"/>
          <w:sz w:val="16"/>
        </w:rPr>
        <w:t>[HC 176.933, red. do ac. min. Gilmar Mendes, j. 20-10-2020, 2ª T, DJE de 18-11-2020.]</w:t>
      </w:r>
    </w:p>
    <w:p>
      <w:pPr>
        <w:ind w:left="288"/>
      </w:pPr>
      <w:r>
        <w:rPr>
          <w:color w:val="8C8C8C"/>
          <w:sz w:val="12"/>
        </w:rPr>
        <w:t>cf-art-5-inc-XXXII-ali-c</w:t>
      </w:r>
      <w:r>
        <w:rPr>
          <w:color w:val="003CA0"/>
          <w:sz w:val="12"/>
        </w:rPr>
        <w:t xml:space="preserve"> | HC 126.516</w:t>
      </w:r>
      <w:r>
        <w:rPr>
          <w:color w:val="003CA0"/>
          <w:sz w:val="12"/>
        </w:rPr>
        <w:t xml:space="preserve"> | rel. Luiz Fux</w:t>
      </w:r>
    </w:p>
    <w:p>
      <w:pPr>
        <w:ind w:left="288"/>
      </w:pPr>
      <w:r>
        <w:rPr>
          <w:color w:val="1E1E1E"/>
          <w:sz w:val="18"/>
        </w:rPr>
        <w:t>A soberania dos veredictos do tribunal do júri, prevista no art. 5º, XXXVIII, c, da CF, resta afrontada quando o acórdão da apelação interposta com fundamento no art. 593, III, d, do CPP acolhe a tese de contrariedade à prova dos autos, prestigiando uma das vertentes verossímeis, in casu a da acusação em detrimento da defensiva sufragada pelo Conselho de Sentença (...).</w:t>
      </w:r>
    </w:p>
    <w:p>
      <w:pPr>
        <w:ind w:left="288"/>
      </w:pPr>
      <w:r>
        <w:rPr>
          <w:b/>
          <w:color w:val="003CA0"/>
          <w:sz w:val="16"/>
        </w:rPr>
        <w:t>[HC 126.516, rel. min. Luiz Fux, j. 26-5-2015, 1ª T, DJE de 15-6-2015.]</w:t>
      </w:r>
    </w:p>
    <w:p>
      <w:pPr>
        <w:ind w:left="288"/>
      </w:pPr>
      <w:r>
        <w:rPr>
          <w:color w:val="8C8C8C"/>
          <w:sz w:val="12"/>
        </w:rPr>
        <w:t>cf-art-5-inc-XXXII-ali-c</w:t>
      </w:r>
      <w:r>
        <w:rPr>
          <w:color w:val="003CA0"/>
          <w:sz w:val="12"/>
        </w:rPr>
        <w:t xml:space="preserve"> | HC 88.707</w:t>
      </w:r>
      <w:r>
        <w:rPr>
          <w:color w:val="003CA0"/>
          <w:sz w:val="12"/>
        </w:rPr>
        <w:t xml:space="preserve"> | rel. Ellen Gracie</w:t>
      </w:r>
    </w:p>
    <w:p>
      <w:pPr>
        <w:ind w:left="288"/>
      </w:pPr>
      <w:r>
        <w:rPr>
          <w:color w:val="1E1E1E"/>
          <w:sz w:val="18"/>
        </w:rPr>
        <w:t>Vide HC 88.707, rel. min. Ellen Gracie, j. 9-9-2008, 2ª T, DJE de 17-10-2008 Vide RE 166.896, rel. min. Néri da Silveira, j. 26-3-2002, 2ª T, DJ de 17-5-2002 O Tribunal de segunda instância, ao julgar a ação de revisão criminal, dispõe de competência plena para formular tanto o juízo rescindente (judicium rescindens), que viabiliza a desconstituição da autoridade da coisa julgada penal mediante invalidação da condenação criminal, quanto o juízo rescisório (judicium rescissorium), que legitima o reexame do mérito da causa e autoriza, até mesmo, quando for o caso, a prolação de provimento absolu</w:t>
      </w:r>
    </w:p>
    <w:p>
      <w:pPr>
        <w:ind w:left="288"/>
      </w:pPr>
      <w:r>
        <w:rPr>
          <w:b/>
          <w:color w:val="003CA0"/>
          <w:sz w:val="16"/>
        </w:rPr>
        <w:t>[ARE 674.151, rel. min. Celso de Mello, j. 15-10-2013, dec. monocrática, DJE de 18-10-2013.]</w:t>
      </w:r>
    </w:p>
    <w:p>
      <w:pPr>
        <w:ind w:left="288"/>
      </w:pPr>
      <w:r>
        <w:rPr>
          <w:color w:val="8C8C8C"/>
          <w:sz w:val="12"/>
        </w:rPr>
        <w:t>cf-art-5-inc-XXXII-ali-c</w:t>
      </w:r>
      <w:r>
        <w:rPr>
          <w:color w:val="003CA0"/>
          <w:sz w:val="12"/>
        </w:rPr>
        <w:t xml:space="preserve"> | HC 102.442</w:t>
      </w:r>
      <w:r>
        <w:rPr>
          <w:color w:val="003CA0"/>
          <w:sz w:val="12"/>
        </w:rPr>
        <w:t xml:space="preserve"> | rel. Cármen Lúcia</w:t>
      </w:r>
    </w:p>
    <w:p>
      <w:pPr>
        <w:ind w:left="288"/>
      </w:pPr>
      <w:r>
        <w:rPr>
          <w:color w:val="1E1E1E"/>
          <w:sz w:val="18"/>
        </w:rPr>
        <w:t>Ao contrário de afrontar o princípio constitucional da soberania do veredicto do tribunal do júri, a exibição de documentos nitidamente capazes de influenciar no ânimo dos jurados, sobre os quais a acusação não teve a oportunidade de examinar no prazo legal previsto no art. 475 do CPP, justifica a necessidade de realização de um novo julgamento pelo tribunal do júri.</w:t>
      </w:r>
    </w:p>
    <w:p>
      <w:pPr>
        <w:ind w:left="288"/>
      </w:pPr>
      <w:r>
        <w:rPr>
          <w:b/>
          <w:color w:val="003CA0"/>
          <w:sz w:val="16"/>
        </w:rPr>
        <w:t>[HC 102.442, rel. min. Cármen Lúcia, j. 26-10-2010, 1ª T, DJE de 24-11-2010.]</w:t>
      </w:r>
    </w:p>
    <w:p>
      <w:pPr>
        <w:ind w:left="288"/>
      </w:pPr>
      <w:r>
        <w:rPr>
          <w:color w:val="8C8C8C"/>
          <w:sz w:val="12"/>
        </w:rPr>
        <w:t>cf-art-5-inc-XXXII-ali-c</w:t>
      </w:r>
      <w:r>
        <w:rPr>
          <w:color w:val="003CA0"/>
          <w:sz w:val="12"/>
        </w:rPr>
        <w:t xml:space="preserve"> | HC 94.274</w:t>
      </w:r>
      <w:r>
        <w:rPr>
          <w:color w:val="003CA0"/>
          <w:sz w:val="12"/>
        </w:rPr>
        <w:t xml:space="preserve"> | rel. Ayres Britto</w:t>
      </w:r>
    </w:p>
    <w:p>
      <w:pPr>
        <w:ind w:left="288"/>
      </w:pPr>
      <w:r>
        <w:rPr>
          <w:color w:val="1E1E1E"/>
          <w:sz w:val="18"/>
        </w:rPr>
        <w:t>Na pronúncia, o dever de fundamentação imposto ao magistrado é de ser cumprido dentro de limites estreitos. Fundamentação que é de se restringir à comprovação da materialidade do fato criminoso e à indicação dos indícios da autoria delitiva. Tudo o mais, todas as teses defensivas, todos os elementos de prova já coligidos hão de ser sopesados pelo próprio Conselho de Sentença, que é soberano em tema de crimes dolosos contra a vida. É vedado ao juízo de pronúncia o exame conclusivo dos elementos probatórios constantes dos autos. Além de se esperar que esse juízo pronunciante seja externado em li</w:t>
      </w:r>
    </w:p>
    <w:p>
      <w:pPr>
        <w:ind w:left="288"/>
      </w:pPr>
      <w:r>
        <w:rPr>
          <w:b/>
          <w:color w:val="003CA0"/>
          <w:sz w:val="16"/>
        </w:rPr>
        <w:t>[HC 94.274, rel. min. Ayres Britto, j. 1º-12-2009, 1ª T, DJE de 5-2-2010.]</w:t>
      </w:r>
    </w:p>
    <w:p>
      <w:pPr>
        <w:ind w:left="288"/>
      </w:pPr>
      <w:r>
        <w:rPr>
          <w:color w:val="8C8C8C"/>
          <w:sz w:val="12"/>
        </w:rPr>
        <w:t>cf-art-5-inc-XXXII-ali-c</w:t>
      </w:r>
      <w:r>
        <w:rPr>
          <w:color w:val="003CA0"/>
          <w:sz w:val="12"/>
        </w:rPr>
        <w:t xml:space="preserve"> | HC 99.834</w:t>
      </w:r>
      <w:r>
        <w:rPr>
          <w:color w:val="003CA0"/>
          <w:sz w:val="12"/>
        </w:rPr>
        <w:t xml:space="preserve"> | rel. Joaquim Barbosa</w:t>
      </w:r>
    </w:p>
    <w:p>
      <w:pPr>
        <w:ind w:left="288"/>
      </w:pPr>
      <w:r>
        <w:rPr>
          <w:color w:val="1E1E1E"/>
          <w:sz w:val="18"/>
        </w:rPr>
        <w:t>= HC 99.834, rel. min. Joaquim Barbosa, j. 15-2-2011, 2ª T, DJE de 16-3-2011 A soberania dos veredictos do tribunal do júri não é absoluta, submetendo-se ao controle do juízo ad quem, tal como disciplina o art. 593, III, d, do CPP. Conclusão manifestamente contrária à prova produzida durante a instrução criminal configura error in procedendo, a ensejar a realização de novo julgamento pelo tribunal do júri.</w:t>
      </w:r>
    </w:p>
    <w:p>
      <w:pPr>
        <w:ind w:left="288"/>
      </w:pPr>
      <w:r>
        <w:rPr>
          <w:b/>
          <w:color w:val="003CA0"/>
          <w:sz w:val="16"/>
        </w:rPr>
        <w:t>[HC 88.707, rel. min. Ellen Gracie, j. 9-9-2008, 2ª T, DJE de 17-10-2008.]</w:t>
      </w:r>
    </w:p>
    <w:p>
      <w:pPr>
        <w:ind w:left="288"/>
      </w:pPr>
      <w:r>
        <w:rPr>
          <w:color w:val="8C8C8C"/>
          <w:sz w:val="12"/>
        </w:rPr>
        <w:t>cf-art-5-inc-XXXII-ali-c</w:t>
      </w:r>
      <w:r>
        <w:rPr>
          <w:color w:val="003CA0"/>
          <w:sz w:val="12"/>
        </w:rPr>
        <w:t xml:space="preserve"> | AI 728.023</w:t>
      </w:r>
      <w:r>
        <w:rPr>
          <w:color w:val="003CA0"/>
          <w:sz w:val="12"/>
        </w:rPr>
        <w:t xml:space="preserve"> | rel. Joaquim Barbosa</w:t>
      </w:r>
    </w:p>
    <w:p>
      <w:pPr>
        <w:ind w:left="288"/>
      </w:pPr>
      <w:r>
        <w:rPr>
          <w:color w:val="1E1E1E"/>
          <w:sz w:val="18"/>
        </w:rPr>
        <w:t>= AI 728.023 AgR-segundo, rel. min. Joaquim Barbosa, j. 8-2-2011, 2ª T, DJE de 28-2-2011 = HC 97.905, rel. min. Ricardo Lewandowski, j. 1º-6-2010, 1ª T, DJE de 18-6-2010 Vide HC 126.516, rel. min. Luiz Fux, j. 26-5-2015, 1ª T, DJE de 15-6-2015 Vide HC 84.486 AgR, rel. min. Celso de Mello, j. 1º-6-2010, 2ª T, DJE de 6-8-2010 Uma vez interposto recurso contra a sentença de pronúncia, insistindo-se na configuração da legítima defesa, cumpre ao órgão julgador analisar os elementos coligidos. Esse procedimento não implica supressão da prerrogativa do corpo de jurados quanto ao julgamento final da m</w:t>
      </w:r>
    </w:p>
    <w:p>
      <w:pPr>
        <w:ind w:left="288"/>
      </w:pPr>
      <w:r>
        <w:rPr>
          <w:b/>
          <w:color w:val="003CA0"/>
          <w:sz w:val="16"/>
        </w:rPr>
        <w:t>[HC 90.909, rel. min. Marco Aurélio, j. 19-8-2008, 1ª T, DJE de 21-11-2008.]</w:t>
      </w:r>
    </w:p>
    <w:p>
      <w:pPr>
        <w:ind w:left="288"/>
      </w:pPr>
      <w:r>
        <w:rPr>
          <w:color w:val="8C8C8C"/>
          <w:sz w:val="12"/>
        </w:rPr>
        <w:t>cf-art-5-inc-XXXII-ali-c</w:t>
      </w:r>
      <w:r>
        <w:rPr>
          <w:color w:val="003CA0"/>
          <w:sz w:val="12"/>
        </w:rPr>
        <w:t xml:space="preserve"> | HC 87.614</w:t>
      </w:r>
      <w:r>
        <w:rPr>
          <w:color w:val="003CA0"/>
          <w:sz w:val="12"/>
        </w:rPr>
        <w:t xml:space="preserve"> | rel. Marco Aurélio</w:t>
      </w:r>
    </w:p>
    <w:p>
      <w:pPr>
        <w:ind w:left="288"/>
      </w:pPr>
      <w:r>
        <w:rPr>
          <w:color w:val="1E1E1E"/>
          <w:sz w:val="18"/>
        </w:rPr>
        <w:t>Sendo do tribunal do júri a competência para julgar crime doloso contra a vida, descabe a órgão revisor, apreciando recurso em sentido estrito, absolver o agente e impor medida de segurança.</w:t>
      </w:r>
    </w:p>
    <w:p>
      <w:pPr>
        <w:ind w:left="288"/>
      </w:pPr>
      <w:r>
        <w:rPr>
          <w:b/>
          <w:color w:val="003CA0"/>
          <w:sz w:val="16"/>
        </w:rPr>
        <w:t>[HC 87.614, rel. min. Marco Aurélio, j. 3-4-2007, 1ª T, DJ de 15-6-2007.]</w:t>
      </w:r>
    </w:p>
    <w:p>
      <w:pPr>
        <w:ind w:left="288"/>
      </w:pPr>
      <w:r>
        <w:rPr>
          <w:color w:val="8C8C8C"/>
          <w:sz w:val="12"/>
        </w:rPr>
        <w:t>cf-art-5-inc-XXXII-ali-c</w:t>
      </w:r>
      <w:r>
        <w:rPr>
          <w:color w:val="003CA0"/>
          <w:sz w:val="12"/>
        </w:rPr>
        <w:t xml:space="preserve"> | HC 85.904</w:t>
      </w:r>
      <w:r>
        <w:rPr>
          <w:color w:val="003CA0"/>
          <w:sz w:val="12"/>
        </w:rPr>
        <w:t xml:space="preserve"> | rel. Joaquim Barbosa</w:t>
      </w:r>
    </w:p>
    <w:p>
      <w:pPr>
        <w:ind w:left="288"/>
      </w:pPr>
      <w:r>
        <w:rPr>
          <w:color w:val="1E1E1E"/>
          <w:sz w:val="18"/>
        </w:rPr>
        <w:t>Decisão dos jurados que acolheu a tese do homicídio privilegiado, com base no histórico de discussões entre vítima e réu e no depoimento de testemunha que afirmou ter escutado vozes em tom exaltado momentos antes do crime. Inexistência de decisão arbitrária ou inverossímil. Em verdade, o Tribunal de Justiça considerou a prova de acusação mais sólida do que a de defesa, avaliação esta, entretanto, que é reservada ao tribunal do júri, juízo natural da causa, com base no critério da íntima convicção. Assim, por não caber à Justiça togada, nos estreitos limites da apelação contra veredicto do trib</w:t>
      </w:r>
    </w:p>
    <w:p>
      <w:pPr>
        <w:ind w:left="288"/>
      </w:pPr>
      <w:r>
        <w:rPr>
          <w:b/>
          <w:color w:val="003CA0"/>
          <w:sz w:val="16"/>
        </w:rPr>
        <w:t>[HC 85.904, rel. min. Joaquim Barbosa, j. 13-2-2007, 2ª T, DJ de 29-6-2007.]</w:t>
      </w:r>
    </w:p>
    <w:p>
      <w:pPr>
        <w:ind w:left="288"/>
      </w:pPr>
      <w:r>
        <w:rPr>
          <w:color w:val="8C8C8C"/>
          <w:sz w:val="12"/>
        </w:rPr>
        <w:t>cf-art-5-inc-XXXII-ali-c</w:t>
      </w:r>
      <w:r>
        <w:rPr>
          <w:color w:val="003CA0"/>
          <w:sz w:val="12"/>
        </w:rPr>
        <w:t xml:space="preserve"> | RE 122.706</w:t>
      </w:r>
      <w:r>
        <w:rPr>
          <w:color w:val="003CA0"/>
          <w:sz w:val="12"/>
        </w:rPr>
        <w:t xml:space="preserve"> | rel. Sepúlveda Pertence</w:t>
      </w:r>
    </w:p>
    <w:p>
      <w:pPr>
        <w:ind w:left="288"/>
      </w:pPr>
      <w:r>
        <w:rPr>
          <w:color w:val="1E1E1E"/>
          <w:sz w:val="18"/>
        </w:rPr>
        <w:t>A restrição, no processo penal comum, do efeito devolutivo da apelação do mérito dos veredictos do Conselho de Sentença não tem por base o crime de que se cogita – na espécie, o de homicídio –, mas, sim, a nota de soberania das decisões do júri, outorgada pela Constituição, que não é de estender-se às do órgão de primeiro grau da Justiça Militar (v.g., RE 122.706, 21-11-1990, Pertence, RTJ 137/418; HC 71.893, Primeira Turma, 6-12-1994, Ilmar, DJ de 3-3-1995).</w:t>
      </w:r>
    </w:p>
    <w:p>
      <w:pPr>
        <w:ind w:left="288"/>
      </w:pPr>
      <w:r>
        <w:rPr>
          <w:b/>
          <w:color w:val="003CA0"/>
          <w:sz w:val="16"/>
        </w:rPr>
        <w:t>[HC 84.690, rel. min. Sepúlveda Pertence, j. 27-9-2005, 1ª T, DJ de 18-11-2005.]</w:t>
      </w:r>
    </w:p>
    <w:p>
      <w:pPr>
        <w:ind w:left="288"/>
      </w:pPr>
      <w:r>
        <w:rPr>
          <w:color w:val="8C8C8C"/>
          <w:sz w:val="12"/>
        </w:rPr>
        <w:t>cf-art-5-inc-XXXII-ali-c</w:t>
      </w:r>
      <w:r>
        <w:rPr>
          <w:color w:val="003CA0"/>
          <w:sz w:val="12"/>
        </w:rPr>
        <w:t xml:space="preserve"> | RE 166.896</w:t>
      </w:r>
      <w:r>
        <w:rPr>
          <w:color w:val="003CA0"/>
          <w:sz w:val="12"/>
        </w:rPr>
        <w:t xml:space="preserve"> | rel. Néri da Silveira</w:t>
      </w:r>
    </w:p>
    <w:p>
      <w:pPr>
        <w:ind w:left="288"/>
      </w:pPr>
      <w:r>
        <w:rPr>
          <w:color w:val="1E1E1E"/>
          <w:sz w:val="18"/>
        </w:rPr>
        <w:t xml:space="preserve">Decisão do Conselho de Sentença que colidiu com as provas técnica e testemunhal legitimamente produzidas, de maneira a consistir a tese da legítima defesa em versão absolutamente inaceitável. Inexistência, no acórdão, de dupla versão exposta. A posição do réu é isolada e não pode efetivamente se pôr em confronto valorativo com a versão acolhida pelo aresto, com apoio na prova testemunhal e técnica. Hipótese em que a incidência do art. 593, III, d, do CPP não contraria o preceito maior do art. 5º, XXXVIII, c, da Constituição, quanto à soberania do júri, nos termos em que essa há de entender-se </w:t>
      </w:r>
    </w:p>
    <w:p>
      <w:pPr>
        <w:ind w:left="288"/>
      </w:pPr>
      <w:r>
        <w:rPr>
          <w:b/>
          <w:color w:val="003CA0"/>
          <w:sz w:val="16"/>
        </w:rPr>
        <w:t>[RE 166.896, rel. min. Néri da Silveira, j. 26-3-2002, 2ª T, DJ de 17-5-2002.]</w:t>
      </w:r>
    </w:p>
    <w:p>
      <w:pPr>
        <w:ind w:left="288"/>
      </w:pPr>
      <w:r>
        <w:rPr>
          <w:color w:val="8C8C8C"/>
          <w:sz w:val="12"/>
        </w:rPr>
        <w:t>cf-art-5-inc-XXXII-ali-c</w:t>
      </w:r>
      <w:r>
        <w:rPr>
          <w:color w:val="003CA0"/>
          <w:sz w:val="12"/>
        </w:rPr>
        <w:t xml:space="preserve"> | HC 126.516</w:t>
      </w:r>
      <w:r>
        <w:rPr>
          <w:color w:val="003CA0"/>
          <w:sz w:val="12"/>
        </w:rPr>
        <w:t xml:space="preserve"> | rel. Luiz Fux</w:t>
      </w:r>
    </w:p>
    <w:p>
      <w:pPr>
        <w:ind w:left="288"/>
      </w:pPr>
      <w:r>
        <w:rPr>
          <w:color w:val="1E1E1E"/>
          <w:sz w:val="18"/>
        </w:rPr>
        <w:t>Vide HC 126.516, rel. min. Luiz Fux, j. 26-5-2015, 1ª T, DJE de 15-6-2015 (...) mesmo após o advento da Constituição de 1988, o STF, em reiterada jurisprudência, tem considerado subsistente a norma do art. 593, III, d, do CPP, segundo a qual cabe apelação contra o julgamento perante o júri, quando a decisão dos jurados for manifestamente contrária à prova dos autos.</w:t>
      </w:r>
    </w:p>
    <w:p>
      <w:pPr>
        <w:ind w:left="288"/>
      </w:pPr>
      <w:r>
        <w:rPr>
          <w:b/>
          <w:color w:val="003CA0"/>
          <w:sz w:val="16"/>
        </w:rPr>
        <w:t>[HC 73.686, rel. min. Sydney Sanches, j. 7-5-1996, 1ª T, DJ de 14-6-1996.]</w:t>
      </w:r>
    </w:p>
    <w:p>
      <w:pPr>
        <w:ind w:left="288"/>
      </w:pPr>
      <w:r>
        <w:rPr>
          <w:color w:val="8C8C8C"/>
          <w:sz w:val="12"/>
        </w:rPr>
        <w:t>cf-art-5-inc-XXXII-ali-c</w:t>
      </w:r>
      <w:r>
        <w:rPr>
          <w:color w:val="003CA0"/>
          <w:sz w:val="12"/>
        </w:rPr>
        <w:t xml:space="preserve"> | RHC 118.656</w:t>
      </w:r>
      <w:r>
        <w:rPr>
          <w:color w:val="003CA0"/>
          <w:sz w:val="12"/>
        </w:rPr>
        <w:t xml:space="preserve"> | rel. Ricardo Lewandowski</w:t>
      </w:r>
    </w:p>
    <w:p>
      <w:pPr>
        <w:ind w:left="288"/>
      </w:pPr>
      <w:r>
        <w:rPr>
          <w:color w:val="1E1E1E"/>
          <w:sz w:val="18"/>
        </w:rPr>
        <w:t>= RHC 118.656, rel. min. Ricardo Lewandowski, j. 25-2-2014, 2ª T, DJE de 17-3-2014 A apreciação das descriminantes da legítima defesa e do estado de necessidade é da competência exclusiva do tribunal do júri, cuja soberania dos veredictos é constitucionalmente assegurada, art. 5º, XXXVIII, c.</w:t>
      </w:r>
    </w:p>
    <w:p>
      <w:pPr>
        <w:ind w:left="288"/>
      </w:pPr>
      <w:r>
        <w:rPr>
          <w:b/>
          <w:color w:val="003CA0"/>
          <w:sz w:val="16"/>
        </w:rPr>
        <w:t>[HC 69.552, rel. min. Paulo Brossard, j. 10-11-1992, 2ª T, DJ de 11-12-1992.]</w:t>
      </w:r>
    </w:p>
    <w:p>
      <w:pPr>
        <w:ind w:left="288"/>
      </w:pPr>
      <w:r>
        <w:rPr>
          <w:color w:val="8C8C8C"/>
          <w:sz w:val="12"/>
        </w:rPr>
        <w:t>cf-art-5-inc-XXXII-ali-c</w:t>
      </w:r>
      <w:r>
        <w:rPr>
          <w:color w:val="003CA0"/>
          <w:sz w:val="12"/>
        </w:rPr>
        <w:t xml:space="preserve"> | RE 115.202</w:t>
      </w:r>
      <w:r>
        <w:rPr>
          <w:color w:val="003CA0"/>
          <w:sz w:val="12"/>
        </w:rPr>
        <w:t xml:space="preserve"> | rel. Carlos Velloso</w:t>
      </w:r>
    </w:p>
    <w:p>
      <w:pPr>
        <w:ind w:left="288"/>
      </w:pPr>
      <w:r>
        <w:rPr>
          <w:color w:val="1E1E1E"/>
          <w:sz w:val="18"/>
        </w:rPr>
        <w:t>= RE 115.202, rel. min. Carlos Velloso, j. 30-4-1991, 2ª T, DJ de 21-6-1991</w:t>
      </w:r>
    </w:p>
    <w:p>
      <w:pPr>
        <w:ind w:left="288"/>
      </w:pPr>
      <w:r>
        <w:rPr>
          <w:color w:val="8C8C8C"/>
          <w:sz w:val="12"/>
        </w:rPr>
        <w:t>cf-art-5-inc-XXXII-ali-d</w:t>
      </w:r>
    </w:p>
    <w:p>
      <w:pPr>
        <w:ind w:left="288"/>
      </w:pPr>
      <w:r>
        <w:rPr>
          <w:color w:val="1E1E1E"/>
          <w:sz w:val="18"/>
        </w:rPr>
        <w:t>A competência constitucional do tribunal do júri prevalece sobre o foro por prerrogativa de função estabelecido exclusivamente pela Constituição estadual.</w:t>
      </w:r>
    </w:p>
    <w:p>
      <w:pPr>
        <w:ind w:left="288"/>
      </w:pPr>
      <w:r>
        <w:rPr>
          <w:b/>
          <w:color w:val="003CA0"/>
          <w:sz w:val="16"/>
        </w:rPr>
        <w:t>[Súmula 721.]</w:t>
      </w:r>
    </w:p>
    <w:p>
      <w:pPr>
        <w:ind w:left="288"/>
      </w:pPr>
      <w:r>
        <w:rPr>
          <w:color w:val="8C8C8C"/>
          <w:sz w:val="12"/>
        </w:rPr>
        <w:t>cf-art-5-inc-XXXII-ali-d</w:t>
      </w:r>
    </w:p>
    <w:p>
      <w:pPr>
        <w:ind w:left="288"/>
      </w:pPr>
      <w:r>
        <w:rPr>
          <w:color w:val="1E1E1E"/>
          <w:sz w:val="18"/>
        </w:rPr>
        <w:t>A competência para o processo e julgamento de latrocínio é do juiz singular e não do tribunal do júri.</w:t>
      </w:r>
    </w:p>
    <w:p>
      <w:pPr>
        <w:ind w:left="288"/>
      </w:pPr>
      <w:r>
        <w:rPr>
          <w:b/>
          <w:color w:val="003CA0"/>
          <w:sz w:val="16"/>
        </w:rPr>
        <w:t>[Súmula 603.]</w:t>
      </w:r>
    </w:p>
    <w:p>
      <w:pPr>
        <w:ind w:left="288"/>
      </w:pPr>
      <w:r>
        <w:rPr>
          <w:color w:val="8C8C8C"/>
          <w:sz w:val="12"/>
        </w:rPr>
        <w:t>cf-art-5-inc-XXXII-ali-d</w:t>
      </w:r>
      <w:r>
        <w:rPr>
          <w:color w:val="003CA0"/>
          <w:sz w:val="12"/>
        </w:rPr>
        <w:t xml:space="preserve"> | ADI 4.414</w:t>
      </w:r>
      <w:r>
        <w:rPr>
          <w:color w:val="003CA0"/>
          <w:sz w:val="12"/>
        </w:rPr>
        <w:t xml:space="preserve"> | rel. Luiz Fux</w:t>
      </w:r>
    </w:p>
    <w:p>
      <w:pPr>
        <w:ind w:left="288"/>
      </w:pPr>
      <w:r>
        <w:rPr>
          <w:color w:val="1E1E1E"/>
          <w:sz w:val="18"/>
        </w:rPr>
        <w:t>Criação, por lei estadual, de varas especializadas em delitos praticados por organizações criminosas. (...) A competência constitucional do tribunal do júri (art. 5º, XXXVIII) não pode ser afastada por lei estadual, nem usurpada por vara criminal especializada, sendo vedada, ainda, a alteração da forma de sua composição, que deve ser definida em lei nacional.</w:t>
      </w:r>
    </w:p>
    <w:p>
      <w:pPr>
        <w:ind w:left="288"/>
      </w:pPr>
      <w:r>
        <w:rPr>
          <w:b/>
          <w:color w:val="003CA0"/>
          <w:sz w:val="16"/>
        </w:rPr>
        <w:t>[ADI 4.414, rel. min. Luiz Fux, j. 31-5-2012, P, DJE de 17-6-2013.]</w:t>
      </w:r>
    </w:p>
    <w:p>
      <w:pPr>
        <w:ind w:left="288"/>
      </w:pPr>
      <w:r>
        <w:rPr>
          <w:color w:val="8C8C8C"/>
          <w:sz w:val="12"/>
        </w:rPr>
        <w:t>cf-art-5-inc-XXXII-ali-d</w:t>
      </w:r>
      <w:r>
        <w:rPr>
          <w:color w:val="003CA0"/>
          <w:sz w:val="12"/>
        </w:rPr>
        <w:t xml:space="preserve"> | RE 1.501.524</w:t>
      </w:r>
      <w:r>
        <w:rPr>
          <w:color w:val="003CA0"/>
          <w:sz w:val="12"/>
        </w:rPr>
        <w:t xml:space="preserve"> | rel. Flávio Dino</w:t>
      </w:r>
    </w:p>
    <w:p>
      <w:pPr>
        <w:ind w:left="288"/>
      </w:pPr>
      <w:r>
        <w:rPr>
          <w:color w:val="1E1E1E"/>
          <w:sz w:val="18"/>
        </w:rPr>
        <w:t>Possibilidade de a pronúncia, e consequente submissão ao Tribunal do Júri, poder ser realizada a partir de testemunhos de “ouvir dizer” e se essa prova é lícita e valorável pelos juízes.</w:t>
      </w:r>
    </w:p>
    <w:p>
      <w:pPr>
        <w:ind w:left="288"/>
      </w:pPr>
      <w:r>
        <w:rPr>
          <w:b/>
          <w:color w:val="003CA0"/>
          <w:sz w:val="16"/>
        </w:rPr>
        <w:t>[RE 1.501.524 RG, rel. min. Flávio Dino, j. 06.05.2025, P, DJE de 09.05.2025, Tema 1.392, com mérito pendente.]</w:t>
      </w:r>
    </w:p>
    <w:p>
      <w:pPr>
        <w:ind w:left="288"/>
      </w:pPr>
      <w:r>
        <w:rPr>
          <w:color w:val="8C8C8C"/>
          <w:sz w:val="12"/>
        </w:rPr>
        <w:t>cf-art-5-inc-XXXII-ali-d</w:t>
      </w:r>
      <w:r>
        <w:rPr>
          <w:color w:val="003CA0"/>
          <w:sz w:val="12"/>
        </w:rPr>
        <w:t xml:space="preserve"> | RE 593.443</w:t>
      </w:r>
    </w:p>
    <w:p>
      <w:pPr>
        <w:ind w:left="288"/>
      </w:pPr>
      <w:r>
        <w:rPr>
          <w:color w:val="1E1E1E"/>
          <w:sz w:val="18"/>
        </w:rPr>
        <w:t>Decisão judicial de rejeição de denúncia, impronúncia de réu, de absolvição sumária ou de trancamento de ação penal por falta de justa causa não viola a cláusula constitucional de monopólio do poder de iniciativa do Ministério Público em matéria de persecução penal e tampouco transgride o postulado do juiz natural nos procedimentos penais inerentes ao tribunal do júri.</w:t>
      </w:r>
    </w:p>
    <w:p>
      <w:pPr>
        <w:ind w:left="288"/>
      </w:pPr>
      <w:r>
        <w:rPr>
          <w:b/>
          <w:color w:val="003CA0"/>
          <w:sz w:val="16"/>
        </w:rPr>
        <w:t>[RE 593.443, red. do ac. min. Ricardo Lewandowski, j. 6-6-2013, P, DJE de 22-5-2014. Tema 154, com mérito julgado.]</w:t>
      </w:r>
    </w:p>
    <w:p>
      <w:pPr>
        <w:ind w:left="288"/>
      </w:pPr>
      <w:r>
        <w:rPr>
          <w:color w:val="8C8C8C"/>
          <w:sz w:val="12"/>
        </w:rPr>
        <w:t>cf-art-5-inc-XXXII-ali-d</w:t>
      </w:r>
      <w:r>
        <w:rPr>
          <w:color w:val="003CA0"/>
          <w:sz w:val="12"/>
        </w:rPr>
        <w:t xml:space="preserve"> | HC 110.286</w:t>
      </w:r>
    </w:p>
    <w:p>
      <w:pPr>
        <w:ind w:left="288"/>
      </w:pPr>
      <w:r>
        <w:rPr>
          <w:color w:val="1E1E1E"/>
          <w:sz w:val="18"/>
        </w:rPr>
        <w:t>Competência. Homicídio. Agente militar. Inexistente qualquer elemento configurador, a teor do disposto no art. 9º do CPM, de crime militar, a competência é da Justiça comum, do tribunal do júri.</w:t>
      </w:r>
    </w:p>
    <w:p>
      <w:pPr>
        <w:ind w:left="288"/>
      </w:pPr>
      <w:r>
        <w:rPr>
          <w:b/>
          <w:color w:val="003CA0"/>
          <w:sz w:val="16"/>
        </w:rPr>
        <w:t>[HC 110.286, red. do ac. min. Marco Aurélio, j. 14-2-2012, 1ª T, DJE de 29-3-2012.]</w:t>
      </w:r>
    </w:p>
    <w:p>
      <w:pPr>
        <w:ind w:left="288"/>
      </w:pPr>
      <w:r>
        <w:rPr>
          <w:color w:val="8C8C8C"/>
          <w:sz w:val="12"/>
        </w:rPr>
        <w:t>cf-art-5-inc-XXXII-ali-d</w:t>
      </w:r>
      <w:r>
        <w:rPr>
          <w:color w:val="003CA0"/>
          <w:sz w:val="12"/>
        </w:rPr>
        <w:t xml:space="preserve"> | HC 99.541</w:t>
      </w:r>
      <w:r>
        <w:rPr>
          <w:color w:val="003CA0"/>
          <w:sz w:val="12"/>
        </w:rPr>
        <w:t xml:space="preserve"> | rel. Luiz Fux</w:t>
      </w:r>
    </w:p>
    <w:p>
      <w:pPr>
        <w:ind w:left="288"/>
      </w:pPr>
      <w:r>
        <w:rPr>
          <w:color w:val="1E1E1E"/>
          <w:sz w:val="18"/>
        </w:rPr>
        <w:t>Vide HC 99.541, rel. min. Luiz Fux, j. 10-5-2011, 1ª T, DJE de 25-5-2011 A competência do tribunal do júri para o julgamento dos crimes contra a vida prevalece sobre a da Justiça Militar em se tratando de fato circunscrito ao âmbito privado, sem nexo relevante com as atividades castrenses.</w:t>
      </w:r>
    </w:p>
    <w:p>
      <w:pPr>
        <w:ind w:left="288"/>
      </w:pPr>
      <w:r>
        <w:rPr>
          <w:b/>
          <w:color w:val="003CA0"/>
          <w:sz w:val="16"/>
        </w:rPr>
        <w:t>[HC 103.812, red. do ac. min. Luiz Fux, j. 29-11-2011, 1ª T, DJE de 17-2-2012.]</w:t>
      </w:r>
    </w:p>
    <w:p>
      <w:pPr>
        <w:ind w:left="288"/>
      </w:pPr>
      <w:r>
        <w:rPr>
          <w:color w:val="8C8C8C"/>
          <w:sz w:val="12"/>
        </w:rPr>
        <w:t>cf-art-5-inc-XXXII-ali-d</w:t>
      </w:r>
      <w:r>
        <w:rPr>
          <w:color w:val="003CA0"/>
          <w:sz w:val="12"/>
        </w:rPr>
        <w:t xml:space="preserve"> | RHC 111.025</w:t>
      </w:r>
      <w:r>
        <w:rPr>
          <w:color w:val="003CA0"/>
          <w:sz w:val="12"/>
        </w:rPr>
        <w:t xml:space="preserve"> | rel. Gilmar Mendes</w:t>
      </w:r>
    </w:p>
    <w:p>
      <w:pPr>
        <w:ind w:left="288"/>
      </w:pPr>
      <w:r>
        <w:rPr>
          <w:color w:val="1E1E1E"/>
          <w:sz w:val="18"/>
        </w:rPr>
        <w:t>= RHC 111.025, rel. min. Gilmar Mendes, j. 10-4-2012, 2ª T, DJE de 24-4-2012 Vide HC 99.541, rel. min. Luiz Fux, j. 10-5-2011, 1ª T, DJE de 25-5-2011 A competência do tribunal do júri, fixada no art. 5º, XXXVIII, d, da CF, quanto ao julgamento de crimes dolosos contra a vida é passível de ampliação pelo legislador ordinário. A regra estabelecida no art. 78, I, do CPP, de observância obrigatória, faz com que a competência constitucional do tribunal do júri exerça uma vis atractiva sobre delitos que apresentem relação de continência ou conexão com os crimes dolosos contra a vida. (...) A manifes</w:t>
      </w:r>
    </w:p>
    <w:p>
      <w:pPr>
        <w:ind w:left="288"/>
      </w:pPr>
      <w:r>
        <w:rPr>
          <w:b/>
          <w:color w:val="003CA0"/>
          <w:sz w:val="16"/>
        </w:rPr>
        <w:t>[HC 101.542, rel. min. Ricardo Lewandowski, j. 4-5-2010, 1ª T, DJE de 28-5-2010.]</w:t>
      </w:r>
    </w:p>
    <w:p>
      <w:pPr>
        <w:ind w:left="288"/>
      </w:pPr>
      <w:r>
        <w:rPr>
          <w:color w:val="8C8C8C"/>
          <w:sz w:val="12"/>
        </w:rPr>
        <w:t>cf-art-5-inc-XXXII-ali-d</w:t>
      </w:r>
      <w:r>
        <w:rPr>
          <w:color w:val="003CA0"/>
          <w:sz w:val="12"/>
        </w:rPr>
        <w:t xml:space="preserve"> | RHC 98.731</w:t>
      </w:r>
      <w:r>
        <w:rPr>
          <w:color w:val="003CA0"/>
          <w:sz w:val="12"/>
        </w:rPr>
        <w:t xml:space="preserve"> | rel. Cármen Lúcia</w:t>
      </w:r>
    </w:p>
    <w:p>
      <w:pPr>
        <w:ind w:left="288"/>
      </w:pPr>
      <w:r>
        <w:rPr>
          <w:color w:val="1E1E1E"/>
          <w:sz w:val="18"/>
        </w:rPr>
        <w:t>= RHC 98.731, rel. min. Cármen Lúcia, j. 2-12-2010, 1ª T, DJE de 1º-2-2011 As qualificadoras do crime de homicídio só podem ser afastadas pela sentença de pronúncia quando totalmente divorciadas do conjunto fático-probatório dos autos, sob pena de usurpar-se a competência do juiz natural, qual seja, o tribunal do júri.</w:t>
      </w:r>
    </w:p>
    <w:p>
      <w:pPr>
        <w:ind w:left="288"/>
      </w:pPr>
      <w:r>
        <w:rPr>
          <w:b/>
          <w:color w:val="003CA0"/>
          <w:sz w:val="16"/>
        </w:rPr>
        <w:t>[HC 97.230, rel. min. Ricardo Lewandowski, j. 17-11-2009, 1ª T, DJE de 18-12-2009.]</w:t>
      </w:r>
    </w:p>
    <w:p>
      <w:pPr>
        <w:ind w:left="288"/>
      </w:pPr>
      <w:r>
        <w:rPr>
          <w:color w:val="8C8C8C"/>
          <w:sz w:val="12"/>
        </w:rPr>
        <w:t>cf-art-5-inc-XXXII-ali-d</w:t>
      </w:r>
      <w:r>
        <w:rPr>
          <w:color w:val="003CA0"/>
          <w:sz w:val="12"/>
        </w:rPr>
        <w:t xml:space="preserve"> | HC 103.569</w:t>
      </w:r>
      <w:r>
        <w:rPr>
          <w:color w:val="003CA0"/>
          <w:sz w:val="12"/>
        </w:rPr>
        <w:t xml:space="preserve"> | rel. Dias Toffoli</w:t>
      </w:r>
    </w:p>
    <w:p>
      <w:pPr>
        <w:ind w:left="288"/>
      </w:pPr>
      <w:r>
        <w:rPr>
          <w:color w:val="1E1E1E"/>
          <w:sz w:val="18"/>
        </w:rPr>
        <w:t>= HC 103.569, rel. min. Dias Toffoli, j. 24-8-2010, 1ª T, DJE de 12-11-2010 Vide HC 100.673, rel. min. Ellen Gracie, j. 27-4-2010, 2ª T, DJE de 14-5-2010 A fase processual denominada sumário da culpa é reservada essencialmente à formação de um juízo positivo ou negativo sobre a existência de um crime da competência do tribunal do júri. Ela se desenvolve perante o juiz singular que examinará a existência provável ou possível de um crime doloso contra a vida e, ao final, decidirá (1) pela absolvição sumária, quando presente causa excludente de ilicitude ou de culpabilidade; (2) pela desclassific</w:t>
      </w:r>
    </w:p>
    <w:p>
      <w:pPr>
        <w:ind w:left="288"/>
      </w:pPr>
      <w:r>
        <w:rPr>
          <w:b/>
          <w:color w:val="003CA0"/>
          <w:sz w:val="16"/>
        </w:rPr>
        <w:t>[HC 94.169, rel. min. Menezes Direito, j. 7-10-2008, 1ª T, DJE de 12-12-2008.]</w:t>
      </w:r>
    </w:p>
    <w:p>
      <w:pPr>
        <w:ind w:left="288"/>
      </w:pPr>
      <w:r>
        <w:rPr>
          <w:color w:val="8C8C8C"/>
          <w:sz w:val="12"/>
        </w:rPr>
        <w:t>cf-art-5-inc-XXXII-ali-d</w:t>
      </w:r>
      <w:r>
        <w:rPr>
          <w:color w:val="003CA0"/>
          <w:sz w:val="12"/>
        </w:rPr>
        <w:t xml:space="preserve"> | HC 93.191</w:t>
      </w:r>
      <w:r>
        <w:rPr>
          <w:color w:val="003CA0"/>
          <w:sz w:val="12"/>
        </w:rPr>
        <w:t xml:space="preserve"> | rel. Eros Grau</w:t>
      </w:r>
    </w:p>
    <w:p>
      <w:pPr>
        <w:ind w:left="288"/>
      </w:pPr>
      <w:r>
        <w:rPr>
          <w:color w:val="1E1E1E"/>
          <w:sz w:val="18"/>
        </w:rPr>
        <w:t xml:space="preserve">= HC 93.191, rel. min. Eros Grau, j. 8-9-2009, 2ª T, DJE de 23-10-2009 Vide HC 101.325, rel. min. Ellen Gracie, j. 22-6-2010, 2ª T, DJE de 6-8-2010 Crime doloso contra a vida. Tribunal do júri. Juízo natural. Desaforamento motivado pela imparcialidade dos jurados. Comarca mais próxima. Imprecisão. Recurso parcialmente provido. O art. 424 do CPP, por traduzir hipótese de mitigação das regras processuais de definição de competência, é de ser interpretado de modo restritivo. Logo, impõe-se ao tribunal de apelação o ônus de indicar os motivos pelos quais se faz imperioso o desaforamento da causa, </w:t>
      </w:r>
    </w:p>
    <w:p>
      <w:pPr>
        <w:ind w:left="288"/>
      </w:pPr>
      <w:r>
        <w:rPr>
          <w:b/>
          <w:color w:val="003CA0"/>
          <w:sz w:val="16"/>
        </w:rPr>
        <w:t>[RHC 94.008, rel. min. Ayres Britto, j. 24-6-2008, 1ª T, DJE de 3-4-2009.]</w:t>
      </w:r>
    </w:p>
    <w:p>
      <w:pPr>
        <w:ind w:left="288"/>
      </w:pPr>
      <w:r>
        <w:rPr>
          <w:color w:val="8C8C8C"/>
          <w:sz w:val="12"/>
        </w:rPr>
        <w:t>cf-art-5-inc-XXXII-ali-d</w:t>
      </w:r>
      <w:r>
        <w:rPr>
          <w:color w:val="003CA0"/>
          <w:sz w:val="12"/>
        </w:rPr>
        <w:t xml:space="preserve"> | HC 97.547</w:t>
      </w:r>
      <w:r>
        <w:rPr>
          <w:color w:val="003CA0"/>
          <w:sz w:val="12"/>
        </w:rPr>
        <w:t xml:space="preserve"> | rel. Joaquim Barbosa</w:t>
      </w:r>
    </w:p>
    <w:p>
      <w:pPr>
        <w:ind w:left="288"/>
      </w:pPr>
      <w:r>
        <w:rPr>
          <w:color w:val="1E1E1E"/>
          <w:sz w:val="18"/>
        </w:rPr>
        <w:t>Vide HC 97.547, rel. min. Joaquim Barbosa, j. 19-10-2010, 2ª T, DJE de 19-11-2010 O réu, na qualidade de detentor do mandato de parlamentar federal, detém prerrogativa de foro perante o STF, onde deve ser julgado pela imputação da prática de crime doloso contra a vida. A norma contida no art. 5º, XXXVIII, da CF, que garante a instituição do júri, cede diante do disposto no art. 102, I, b, da Lei Maior, definidor da competência do STF, dada a especialidade deste último. Os crimes dolosos contra a vida estão abarcados pelo conceito de crimes comuns.</w:t>
      </w:r>
    </w:p>
    <w:p>
      <w:pPr>
        <w:ind w:left="288"/>
      </w:pPr>
      <w:r>
        <w:rPr>
          <w:b/>
          <w:color w:val="003CA0"/>
          <w:sz w:val="16"/>
        </w:rPr>
        <w:t>[AP 333, rel. min. Joaquim Barbosa, j. 5-12-2007, P, DJE de 11-4-2008.]</w:t>
      </w:r>
    </w:p>
    <w:p>
      <w:pPr>
        <w:ind w:left="288"/>
      </w:pPr>
      <w:r>
        <w:rPr>
          <w:color w:val="8C8C8C"/>
          <w:sz w:val="12"/>
        </w:rPr>
        <w:t>cf-art-5-inc-XXXII-ali-d</w:t>
      </w:r>
      <w:r>
        <w:rPr>
          <w:color w:val="003CA0"/>
          <w:sz w:val="12"/>
        </w:rPr>
        <w:t xml:space="preserve"> | HC 91.003</w:t>
      </w:r>
      <w:r>
        <w:rPr>
          <w:color w:val="003CA0"/>
          <w:sz w:val="12"/>
        </w:rPr>
        <w:t xml:space="preserve"> | rel. Cármen Lúcia</w:t>
      </w:r>
    </w:p>
    <w:p>
      <w:pPr>
        <w:ind w:left="288"/>
      </w:pPr>
      <w:r>
        <w:rPr>
          <w:color w:val="1E1E1E"/>
          <w:sz w:val="18"/>
        </w:rPr>
        <w:t>A jurisprudência do STF é no sentido de ser constitucional o julgamento dos crimes dolosos contra a vida de militar em serviço pela Justiça Castrense, sem a submissão destes crimes ao tribunal do júri, nos termos do art. 9º, III, d, do CPM.</w:t>
      </w:r>
    </w:p>
    <w:p>
      <w:pPr>
        <w:ind w:left="288"/>
      </w:pPr>
      <w:r>
        <w:rPr>
          <w:b/>
          <w:color w:val="003CA0"/>
          <w:sz w:val="16"/>
        </w:rPr>
        <w:t>[HC 91.003, rel. min. Cármen Lúcia, j. 22-5-2007, 1ª T, DJ de 3-8-2007.]</w:t>
      </w:r>
    </w:p>
    <w:p>
      <w:pPr>
        <w:ind w:left="288"/>
      </w:pPr>
      <w:r>
        <w:rPr>
          <w:color w:val="8C8C8C"/>
          <w:sz w:val="12"/>
        </w:rPr>
        <w:t>cf-art-5-inc-XXXII-ali-d</w:t>
      </w:r>
      <w:r>
        <w:rPr>
          <w:color w:val="003CA0"/>
          <w:sz w:val="12"/>
        </w:rPr>
        <w:t xml:space="preserve"> | HC 110.286</w:t>
      </w:r>
      <w:r>
        <w:rPr>
          <w:color w:val="003CA0"/>
          <w:sz w:val="12"/>
        </w:rPr>
        <w:t xml:space="preserve"> | rel. Cezar Peluso</w:t>
      </w:r>
    </w:p>
    <w:p>
      <w:pPr>
        <w:ind w:left="288"/>
      </w:pPr>
      <w:r>
        <w:rPr>
          <w:color w:val="1E1E1E"/>
          <w:sz w:val="18"/>
        </w:rPr>
        <w:t>Vide HC 110.286, red. do ac. min. Marco Aurélio, j. 14-2-2012, 1ª T, DJE de 29-3-2012 Compete ao tribunal do júri da Justiça Federal julgar os delitos de genocídio e de homicídio ou homicídios dolosos que constituíram modalidade de sua execução.</w:t>
      </w:r>
    </w:p>
    <w:p>
      <w:pPr>
        <w:ind w:left="288"/>
      </w:pPr>
      <w:r>
        <w:rPr>
          <w:b/>
          <w:color w:val="003CA0"/>
          <w:sz w:val="16"/>
        </w:rPr>
        <w:t>[RE 351.487, rel. min. Cezar Peluso, j. 3-8-2006, P, DJ de 10-11-2006.]</w:t>
      </w:r>
    </w:p>
    <w:p>
      <w:pPr>
        <w:ind w:left="288"/>
      </w:pPr>
      <w:r>
        <w:rPr>
          <w:color w:val="8C8C8C"/>
          <w:sz w:val="12"/>
        </w:rPr>
        <w:t>cf-art-5-inc-XXXII-ali-d</w:t>
      </w:r>
      <w:r>
        <w:rPr>
          <w:color w:val="003CA0"/>
          <w:sz w:val="12"/>
        </w:rPr>
        <w:t xml:space="preserve"> | HC 78.168</w:t>
      </w:r>
      <w:r>
        <w:rPr>
          <w:color w:val="003CA0"/>
          <w:sz w:val="12"/>
        </w:rPr>
        <w:t xml:space="preserve"> | rel. Néri da Silveira</w:t>
      </w:r>
    </w:p>
    <w:p>
      <w:pPr>
        <w:ind w:left="288"/>
      </w:pPr>
      <w:r>
        <w:rPr>
          <w:color w:val="1E1E1E"/>
          <w:sz w:val="18"/>
        </w:rPr>
        <w:t>(...) somente regra expressa da Lei Magna da República, prevendo foro especial por prerrogativa de função, para autoridade estadual, nos crimes comuns e de responsabilidade, pode afastar a incidência do art. 5º, XXXVIII, d, da CF, quanto à competência do júri. Em se tratando, portanto, de crimes dolosos contra a vida, os procuradores do Estado da Paraíba hão de ser processados e julgados pelo júri.</w:t>
      </w:r>
    </w:p>
    <w:p>
      <w:pPr>
        <w:ind w:left="288"/>
      </w:pPr>
      <w:r>
        <w:rPr>
          <w:b/>
          <w:color w:val="003CA0"/>
          <w:sz w:val="16"/>
        </w:rPr>
        <w:t>[HC 78.168, rel. min. Néri da Silveira, j. 18-11-1998, 1ª T, DJ de 29-8-2003.]</w:t>
      </w:r>
    </w:p>
    <w:p>
      <w:pPr>
        <w:ind w:left="288"/>
      </w:pPr>
      <w:r>
        <w:rPr>
          <w:color w:val="8C8C8C"/>
          <w:sz w:val="12"/>
        </w:rPr>
        <w:t>cf-art-5-inc-XXXII-ali-d</w:t>
      </w:r>
      <w:r>
        <w:rPr>
          <w:color w:val="003CA0"/>
          <w:sz w:val="12"/>
        </w:rPr>
        <w:t xml:space="preserve"> | HC 73.235</w:t>
      </w:r>
      <w:r>
        <w:rPr>
          <w:color w:val="003CA0"/>
          <w:sz w:val="12"/>
        </w:rPr>
        <w:t xml:space="preserve"> | rel. Néri da Silveira</w:t>
      </w:r>
    </w:p>
    <w:p>
      <w:pPr>
        <w:ind w:left="288"/>
      </w:pPr>
      <w:r>
        <w:rPr>
          <w:color w:val="1E1E1E"/>
          <w:sz w:val="18"/>
        </w:rPr>
        <w:t>O envolvimento de corréus em crime doloso contra a vida, havendo em relação a um deles foro especial por prerrogativa de função, previsto constitucionalmente, não afasta os demais do juiz natural, ut art. 5º, XXXVIII, d, da Constituição.</w:t>
      </w:r>
    </w:p>
    <w:p>
      <w:pPr>
        <w:ind w:left="288"/>
      </w:pPr>
      <w:r>
        <w:rPr>
          <w:b/>
          <w:color w:val="003CA0"/>
          <w:sz w:val="16"/>
        </w:rPr>
        <w:t>[HC 73.235, rel. min. Néri da Silveira, j. 28-11-1995, 2ª T, DJE de 18-10-1996.]</w:t>
      </w:r>
    </w:p>
    <w:p>
      <w:pPr>
        <w:ind w:left="288"/>
      </w:pPr>
      <w:r>
        <w:rPr>
          <w:color w:val="8C8C8C"/>
          <w:sz w:val="12"/>
        </w:rPr>
        <w:t>cf-art-5-inc-XXXII-ali-d</w:t>
      </w:r>
      <w:r>
        <w:rPr>
          <w:color w:val="003CA0"/>
          <w:sz w:val="12"/>
        </w:rPr>
        <w:t xml:space="preserve"> | HC 67.851</w:t>
      </w:r>
      <w:r>
        <w:rPr>
          <w:color w:val="003CA0"/>
          <w:sz w:val="12"/>
        </w:rPr>
        <w:t xml:space="preserve"> | rel. Sydney Sanches</w:t>
      </w:r>
    </w:p>
    <w:p>
      <w:pPr>
        <w:ind w:left="288"/>
      </w:pPr>
      <w:r>
        <w:rPr>
          <w:color w:val="1E1E1E"/>
          <w:sz w:val="18"/>
        </w:rPr>
        <w:t>Juiz natural de processo por crimes dolosos contra a vida é o tribunal do júri. Mas o local do julgamento pode variar, conforme as normas processuais, ou seja, conforme ocorra alguma das hipóteses de desaforamento previstas no art. 424 do CPP, que não são incompatíveis com a Constituição anterior nem com a atual (de 1988) e também não ensejam a formação de um "tribunal de exceção".</w:t>
      </w:r>
    </w:p>
    <w:p>
      <w:pPr>
        <w:ind w:left="288"/>
      </w:pPr>
      <w:r>
        <w:rPr>
          <w:b/>
          <w:color w:val="003CA0"/>
          <w:sz w:val="16"/>
        </w:rPr>
        <w:t>[HC 67.851, rel. min. Sydney Sanches, j. 24-4-1990, 1ª T, DJ de 18-5-1990.]</w:t>
      </w:r>
    </w:p>
    <w:p>
      <w:pPr>
        <w:ind w:left="288"/>
      </w:pPr>
      <w:r>
        <w:rPr>
          <w:color w:val="8C8C8C"/>
          <w:sz w:val="12"/>
        </w:rPr>
        <w:t>cf-art-5-inc-XXXII-ali-d</w:t>
      </w:r>
      <w:r>
        <w:rPr>
          <w:color w:val="003CA0"/>
          <w:sz w:val="12"/>
        </w:rPr>
        <w:t xml:space="preserve"> | HC 103.646</w:t>
      </w:r>
      <w:r>
        <w:rPr>
          <w:color w:val="003CA0"/>
          <w:sz w:val="12"/>
        </w:rPr>
        <w:t xml:space="preserve"> | rel. Ricardo Lewandowski</w:t>
      </w:r>
    </w:p>
    <w:p>
      <w:pPr>
        <w:ind w:left="288"/>
      </w:pPr>
      <w:r>
        <w:rPr>
          <w:color w:val="1E1E1E"/>
          <w:sz w:val="18"/>
        </w:rPr>
        <w:t>= HC 103.646, rel. min. Ricardo Lewandowski, j. 24-8-2010, 1ª T, DJE de 1º-10-2010 Vide HC 97.547, rel. min. Joaquim Barbosa, j. 19-10-2010, 2ª T, DJE de 19-11-2010 XXXIX - não há crime sem lei anterior que o defina, nem pena sem prévia cominação legal; A criminalidade organizada é, hoje, um dos maiores problemas do mundo moderno. (...) Daí a superveniência da Lei n. 12.850, de 02 de agosto de 2013, que define organização criminosa e dispõe sobre a investigação criminal, os meios de obtenção da prova, infrações penais correlatas e o procedimento criminal. A utilização de termos mais abertos pe</w:t>
      </w:r>
    </w:p>
    <w:p>
      <w:pPr>
        <w:ind w:left="288"/>
      </w:pPr>
      <w:r>
        <w:rPr>
          <w:b/>
          <w:color w:val="003CA0"/>
          <w:sz w:val="16"/>
        </w:rPr>
        <w:t>[ADI 5.567, rel. min. Alexandre de Moraes, j. 21.11.2023, P, DJE de 24.1.2024.]</w:t>
      </w:r>
    </w:p>
    <w:p>
      <w:pPr>
        <w:ind w:left="288"/>
      </w:pPr>
      <w:r>
        <w:rPr>
          <w:color w:val="8C8C8C"/>
          <w:sz w:val="12"/>
        </w:rPr>
        <w:t>cf-art-5-inc-XXXII-ali-d</w:t>
      </w:r>
      <w:r>
        <w:rPr>
          <w:color w:val="003CA0"/>
          <w:sz w:val="12"/>
        </w:rPr>
        <w:t xml:space="preserve"> | ADI 3.330</w:t>
      </w:r>
      <w:r>
        <w:rPr>
          <w:color w:val="003CA0"/>
          <w:sz w:val="12"/>
        </w:rPr>
        <w:t xml:space="preserve"> | rel. Ayres Britto</w:t>
      </w:r>
    </w:p>
    <w:p>
      <w:pPr>
        <w:ind w:left="288"/>
      </w:pPr>
      <w:r>
        <w:rPr>
          <w:color w:val="1E1E1E"/>
          <w:sz w:val="18"/>
        </w:rPr>
        <w:t>Programa Universidade para Todos (PROUNI). (...) O art. 9º da Lei 11.096/2005 não desrespeita o inciso XXXIX do art. 5º da CF, porque a matéria nele (no art. 9º) versada não é de natureza penal, mas, sim, administrativa. Trata-se das únicas sanções aplicáveis aos casos de descumprimento das obrigações, assumidas pelos estabelecimentos de ensino superior, após a assinatura do termo de adesão ao programa. Sancionamento a cargo do Ministério da Educação, condicionado à abertura de processo administrativo, com total observância das garantias constitucionais do contraditório e da ampla defesa.</w:t>
      </w:r>
    </w:p>
    <w:p>
      <w:pPr>
        <w:ind w:left="288"/>
      </w:pPr>
      <w:r>
        <w:rPr>
          <w:b/>
          <w:color w:val="003CA0"/>
          <w:sz w:val="16"/>
        </w:rPr>
        <w:t>[ADI 3.330, rel. min. Ayres Britto, j. 3-5-2012, P, DJE de 22-3-2013.]</w:t>
      </w:r>
    </w:p>
    <w:p>
      <w:pPr>
        <w:ind w:left="288"/>
      </w:pPr>
      <w:r>
        <w:rPr>
          <w:color w:val="8C8C8C"/>
          <w:sz w:val="12"/>
        </w:rPr>
        <w:t>cf-art-5-inc-XXXII-ali-d</w:t>
      </w:r>
      <w:r>
        <w:rPr>
          <w:color w:val="003CA0"/>
          <w:sz w:val="12"/>
        </w:rPr>
        <w:t xml:space="preserve"> | ARE 901.623</w:t>
      </w:r>
      <w:r>
        <w:rPr>
          <w:color w:val="003CA0"/>
          <w:sz w:val="12"/>
        </w:rPr>
        <w:t xml:space="preserve"> | rel. Edson Fachin</w:t>
      </w:r>
    </w:p>
    <w:p>
      <w:pPr>
        <w:ind w:left="288"/>
      </w:pPr>
      <w:r>
        <w:rPr>
          <w:color w:val="1E1E1E"/>
          <w:sz w:val="18"/>
        </w:rPr>
        <w:t>“O art. 19 da Lei de Contravenções penais permanece válido e é aplicável ao porte de arma branca, cuja potencialidade lesiva deve ser aferida com base nas circunstâncias do caso concreto, tendo em conta, inclusive, o elemento subjetivo do agente”</w:t>
      </w:r>
    </w:p>
    <w:p>
      <w:pPr>
        <w:ind w:left="288"/>
      </w:pPr>
      <w:r>
        <w:rPr>
          <w:b/>
          <w:color w:val="003CA0"/>
          <w:sz w:val="16"/>
        </w:rPr>
        <w:t>[ARE 901.623, rel. min. Edson Fachin, red. do ac. min. Alexandre de Moraes, j. 07.10.2024, P, DJE de 25.10.2024, Tema 857, com mérito julgado.]</w:t>
      </w:r>
    </w:p>
    <w:p>
      <w:pPr>
        <w:ind w:left="288"/>
      </w:pPr>
      <w:r>
        <w:rPr>
          <w:color w:val="8C8C8C"/>
          <w:sz w:val="12"/>
        </w:rPr>
        <w:t>cf-art-5-inc-XXXII-ali-d</w:t>
      </w:r>
      <w:r>
        <w:rPr>
          <w:color w:val="003CA0"/>
          <w:sz w:val="12"/>
        </w:rPr>
        <w:t xml:space="preserve"> | ARE 1.327.963</w:t>
      </w:r>
      <w:r>
        <w:rPr>
          <w:color w:val="003CA0"/>
          <w:sz w:val="12"/>
        </w:rPr>
        <w:t xml:space="preserve"> | rel. Gilmar Mendes</w:t>
      </w:r>
    </w:p>
    <w:p>
      <w:pPr>
        <w:ind w:left="288"/>
      </w:pPr>
      <w:r>
        <w:rPr>
          <w:color w:val="1E1E1E"/>
          <w:sz w:val="18"/>
        </w:rPr>
        <w:t>Tendo em vista a legalidade e a taxatividade da norma penal (art. 5º, XXXIX, CF), a alteração promovida pela Lei 13.964/2019 no art. 112 da LEP não autoriza a incidência do percentual de 60% (inc. VII) aos condenados reincidentes não específicos para o fim de progressão de regime. Diante da omissão legislativa, impõe-se a analogia in bonam partem, para aplicação, inclusive retroativa, do inciso V do artigo 112 da LEP (lapso temporal de 40%) ao condenado por crime hediondo ou equiparado sem resultado morte reincidente não específico.</w:t>
      </w:r>
    </w:p>
    <w:p>
      <w:pPr>
        <w:ind w:left="288"/>
      </w:pPr>
      <w:r>
        <w:rPr>
          <w:b/>
          <w:color w:val="003CA0"/>
          <w:sz w:val="16"/>
        </w:rPr>
        <w:t>[ARE 1.327.963, rel. min. Gilmar Mendes, j. 17.09.2021, P, DJE de 13.02.2023, Tema 1.169, com mérito julgado.]</w:t>
      </w:r>
    </w:p>
    <w:p>
      <w:pPr>
        <w:ind w:left="288"/>
      </w:pPr>
      <w:r>
        <w:rPr>
          <w:color w:val="8C8C8C"/>
          <w:sz w:val="12"/>
        </w:rPr>
        <w:t>cf-art-5-inc-XXXII-ali-d</w:t>
      </w:r>
      <w:r>
        <w:rPr>
          <w:color w:val="003CA0"/>
          <w:sz w:val="12"/>
        </w:rPr>
        <w:t xml:space="preserve"> | RE 641.320</w:t>
      </w:r>
      <w:r>
        <w:rPr>
          <w:color w:val="003CA0"/>
          <w:sz w:val="12"/>
        </w:rPr>
        <w:t xml:space="preserve"> | rel. Gilmar Mendes</w:t>
      </w:r>
    </w:p>
    <w:p>
      <w:pPr>
        <w:ind w:left="288"/>
      </w:pPr>
      <w:r>
        <w:rPr>
          <w:color w:val="1E1E1E"/>
          <w:sz w:val="18"/>
        </w:rPr>
        <w:t>A falta de estabelecimento penal adequado não autoriza a manutenção do condenado em regime prisional mais gravoso. Os juízes da execução penal poderão avaliar os estabelecimentos destinados aos regimes semiaberto e aberto, para qualificação como adequados a tais regimes. São aceitáveis estabelecimentos que não se qualifiquem como "colônia agrícola, industrial" (regime semiaberto) ou "casa de albergado ou estabelecimento adequado" (regime aberto) (art. 33, § 1º, b e c). No entanto, não deverá haver alojamento conjunto de presos dos regimes semiaberto e aberto com presos do regime fechado. Haven</w:t>
      </w:r>
    </w:p>
    <w:p>
      <w:pPr>
        <w:ind w:left="288"/>
      </w:pPr>
      <w:r>
        <w:rPr>
          <w:b/>
          <w:color w:val="003CA0"/>
          <w:sz w:val="16"/>
        </w:rPr>
        <w:t>[RE 641.320, rel. min. Gilmar Mendes, j. 11-5-2016, P, DJE de 1º-8-2016, Tema 423.]</w:t>
      </w:r>
    </w:p>
    <w:p>
      <w:pPr>
        <w:ind w:left="288"/>
      </w:pPr>
      <w:r>
        <w:rPr>
          <w:color w:val="8C8C8C"/>
          <w:sz w:val="12"/>
        </w:rPr>
        <w:t>cf-art-5-inc-XXXII-ali-d</w:t>
      </w:r>
      <w:r>
        <w:rPr>
          <w:color w:val="003CA0"/>
          <w:sz w:val="12"/>
        </w:rPr>
        <w:t xml:space="preserve"> | RHC 200.879</w:t>
      </w:r>
      <w:r>
        <w:rPr>
          <w:color w:val="003CA0"/>
          <w:sz w:val="12"/>
        </w:rPr>
        <w:t xml:space="preserve"> | rel. Edson Fachin</w:t>
      </w:r>
    </w:p>
    <w:p>
      <w:pPr>
        <w:ind w:left="288"/>
      </w:pPr>
      <w:r>
        <w:rPr>
          <w:color w:val="1E1E1E"/>
          <w:sz w:val="18"/>
        </w:rPr>
        <w:t>A Lei 13.964/2019, ao alterar o art. 112 da LEP, não tratou, de forma expressa, das condições para progressão de regime do condenado por crime hediondo ou equiparado reincidente em crime comum, somente disciplinando a gradação da reprimenda do apenado primário (inciso V) e do reincidente específico (inciso VII). O silêncio normativo, contudo, deve ser saneado em atenção aos princípios norteadores da hermenêutica penal, cumprindo observar a proscrição à analogia in malam partem. Havendo dois incisos que, por analogia, poderiam ser aplicados ao apenado (no caso, o inciso V e o inciso VII), o dis</w:t>
      </w:r>
    </w:p>
    <w:p>
      <w:pPr>
        <w:ind w:left="288"/>
      </w:pPr>
      <w:r>
        <w:rPr>
          <w:b/>
          <w:color w:val="003CA0"/>
          <w:sz w:val="16"/>
        </w:rPr>
        <w:t>[RHC 200.879, rel. min. Edson Fachin, j. 24-5-2021, 2ª T, DJE de 14-6-2021.]</w:t>
      </w:r>
    </w:p>
    <w:p>
      <w:pPr>
        <w:ind w:left="288"/>
      </w:pPr>
      <w:r>
        <w:rPr>
          <w:color w:val="8C8C8C"/>
          <w:sz w:val="12"/>
        </w:rPr>
        <w:t>cf-art-5-inc-XXXII-ali-d</w:t>
      </w:r>
      <w:r>
        <w:rPr>
          <w:color w:val="003CA0"/>
          <w:sz w:val="12"/>
        </w:rPr>
        <w:t xml:space="preserve"> | RHC 130.738</w:t>
      </w:r>
      <w:r>
        <w:rPr>
          <w:color w:val="003CA0"/>
          <w:sz w:val="12"/>
        </w:rPr>
        <w:t xml:space="preserve"> | rel. Celso de Mello</w:t>
      </w:r>
    </w:p>
    <w:p>
      <w:pPr>
        <w:ind w:left="288"/>
      </w:pPr>
      <w:r>
        <w:rPr>
          <w:color w:val="1E1E1E"/>
          <w:sz w:val="18"/>
        </w:rPr>
        <w:t>Crime de lavagem de dinheiro ou de valores (Lei 9.613/1998). (...) Referência, na peça acusatória, como infrações antecedentes, a crimes contra a administração pública (Lei 9.613/1998, art. 1º, V) e ao delito de organização criminosa (Lei 9.613/1998, art. 1º, VII). Eventos ocorridos entre 1997 e 2004. Fatos imputados aos réus supostamente cometidos em momento anterior à vigência da Lei 12.683/2012 e da Lei 12.850/2013. Consequente atipicidade penal do crime de lavagem de dinheiro no ponto em que a denúncia indica como infração antecedente o delito de organização criminosa, que somente veio a s</w:t>
      </w:r>
    </w:p>
    <w:p>
      <w:pPr>
        <w:ind w:left="288"/>
      </w:pPr>
      <w:r>
        <w:rPr>
          <w:b/>
          <w:color w:val="003CA0"/>
          <w:sz w:val="16"/>
        </w:rPr>
        <w:t>[RHC 130.738, rel min. Celso de Mello, j. 1º-7-2016, dec. monocrática, DJE de 2-8-2016.]</w:t>
      </w:r>
    </w:p>
    <w:p>
      <w:pPr>
        <w:ind w:left="288"/>
      </w:pPr>
      <w:r>
        <w:rPr>
          <w:color w:val="8C8C8C"/>
          <w:sz w:val="12"/>
        </w:rPr>
        <w:t>cf-art-5-inc-XXXII-ali-d</w:t>
      </w:r>
      <w:r>
        <w:rPr>
          <w:color w:val="003CA0"/>
          <w:sz w:val="12"/>
        </w:rPr>
        <w:t xml:space="preserve"> | RHC 121.835</w:t>
      </w:r>
      <w:r>
        <w:rPr>
          <w:color w:val="003CA0"/>
          <w:sz w:val="12"/>
        </w:rPr>
        <w:t xml:space="preserve"> | rel. Celso de Mello</w:t>
      </w:r>
    </w:p>
    <w:p>
      <w:pPr>
        <w:ind w:left="288"/>
      </w:pPr>
      <w:r>
        <w:rPr>
          <w:color w:val="1E1E1E"/>
          <w:sz w:val="18"/>
        </w:rPr>
        <w:t>Em matéria penal, prevalece o dogma da reserva constitucional de lei em sentido formal, pois a Constituição da República somente admite a lei interna como única fonte formal e direta de regras de direito penal, a significar, portanto, que as cláusulas de tipificação e de cominação penais, para efeito de repressão estatal, subsumem-se ao âmbito das normas domésticas de direito penal incriminador, regendo-se, em consequência, pelo postulado da reserva de Parlamento. (...) As convenções internacionais, como a Convenção de Palermo, não se qualificam, constitucionalmente, como fonte formal direta l</w:t>
      </w:r>
    </w:p>
    <w:p>
      <w:pPr>
        <w:ind w:left="288"/>
      </w:pPr>
      <w:r>
        <w:rPr>
          <w:b/>
          <w:color w:val="003CA0"/>
          <w:sz w:val="16"/>
        </w:rPr>
        <w:t>[RHC 121.835 AgR, rel. min. Celso de Mello, j. 13-10-2015, 2ª T, DJE de 23-11-2015.]</w:t>
      </w:r>
    </w:p>
    <w:p>
      <w:pPr>
        <w:ind w:left="288"/>
      </w:pPr>
      <w:r>
        <w:rPr>
          <w:color w:val="8C8C8C"/>
          <w:sz w:val="12"/>
        </w:rPr>
        <w:t>cf-art-5-inc-XXXII-ali-d</w:t>
      </w:r>
      <w:r>
        <w:rPr>
          <w:color w:val="003CA0"/>
          <w:sz w:val="12"/>
        </w:rPr>
        <w:t xml:space="preserve"> | HC 97.772</w:t>
      </w:r>
      <w:r>
        <w:rPr>
          <w:color w:val="003CA0"/>
          <w:sz w:val="12"/>
        </w:rPr>
        <w:t xml:space="preserve"> | rel. Cármen Lúcia</w:t>
      </w:r>
    </w:p>
    <w:p>
      <w:pPr>
        <w:ind w:left="288"/>
      </w:pPr>
      <w:r>
        <w:rPr>
          <w:color w:val="1E1E1E"/>
          <w:sz w:val="18"/>
        </w:rPr>
        <w:t>A tipicidade penal não pode ser percebida como o trivial exercício de adequação do fato concreto à norma abstrata. Além da correspondência formal, para a configuração da tipicidade, é necessária uma análise materialmente valorativa das circunstâncias do caso concreto, no sentido de se verificar a ocorrência de alguma lesão grave, contundente e penalmente relevante do bem jurídico tutelado.</w:t>
      </w:r>
    </w:p>
    <w:p>
      <w:pPr>
        <w:ind w:left="288"/>
      </w:pPr>
      <w:r>
        <w:rPr>
          <w:b/>
          <w:color w:val="003CA0"/>
          <w:sz w:val="16"/>
        </w:rPr>
        <w:t>[HC 97.772, rel. min. Cármen Lúcia, j. 3-11-2009, 1ª T, DJE de 20-11-2009.]</w:t>
      </w:r>
    </w:p>
    <w:p>
      <w:pPr>
        <w:ind w:left="288"/>
      </w:pPr>
      <w:r>
        <w:rPr>
          <w:color w:val="8C8C8C"/>
          <w:sz w:val="12"/>
        </w:rPr>
        <w:t>cf-art-5-inc-XXXII-ali-d</w:t>
      </w:r>
      <w:r>
        <w:rPr>
          <w:color w:val="003CA0"/>
          <w:sz w:val="12"/>
        </w:rPr>
        <w:t xml:space="preserve"> | HC 92.411</w:t>
      </w:r>
      <w:r>
        <w:rPr>
          <w:color w:val="003CA0"/>
          <w:sz w:val="12"/>
        </w:rPr>
        <w:t xml:space="preserve"> | rel. Ayres Britto</w:t>
      </w:r>
    </w:p>
    <w:p>
      <w:pPr>
        <w:ind w:left="288"/>
      </w:pPr>
      <w:r>
        <w:rPr>
          <w:color w:val="1E1E1E"/>
          <w:sz w:val="18"/>
        </w:rPr>
        <w:t>Vide HC 92.411, rel. min. Ayres Britto, j. 12-2-2008, 1ª T, DJE de 9-5-2008 Porte de arma de fogo sem autorização e em oposição à determinação legal (art. 14 da Lei 10.826/2003 – Estatuto do Desarmamento). Vacatio legis especial. Atipicidade temporária apenas para o crime de posse. Inexistência de abolitio criminis para o crime de porte. Precedentes. A jurisprudência desta Corte firmou-se no sentido de que as condutas "possuir" e "ser proprietário" foram abolidas, temporariamente, pelos arts. 30 e 32 do Estatuto do Desarmamento, mas não a conduta de portar arma de fogo (fora da residência ou d</w:t>
      </w:r>
    </w:p>
    <w:p>
      <w:pPr>
        <w:ind w:left="288"/>
      </w:pPr>
      <w:r>
        <w:rPr>
          <w:b/>
          <w:color w:val="003CA0"/>
          <w:sz w:val="16"/>
        </w:rPr>
        <w:t>[HC 94.213, rel. min. Menezes Direito, j. 18-11-2008, 1ª T, DJE de 6-2-2009.]</w:t>
      </w:r>
    </w:p>
    <w:p>
      <w:pPr>
        <w:ind w:left="288"/>
      </w:pPr>
      <w:r>
        <w:rPr>
          <w:color w:val="8C8C8C"/>
          <w:sz w:val="12"/>
        </w:rPr>
        <w:t>cf-art-5-inc-XXXII-ali-d</w:t>
      </w:r>
      <w:r>
        <w:rPr>
          <w:color w:val="003CA0"/>
          <w:sz w:val="12"/>
        </w:rPr>
        <w:t xml:space="preserve"> | HC 96.383</w:t>
      </w:r>
      <w:r>
        <w:rPr>
          <w:color w:val="003CA0"/>
          <w:sz w:val="12"/>
        </w:rPr>
        <w:t xml:space="preserve"> | rel. Dias Toffoli</w:t>
      </w:r>
    </w:p>
    <w:p>
      <w:pPr>
        <w:ind w:left="288"/>
      </w:pPr>
      <w:r>
        <w:rPr>
          <w:color w:val="1E1E1E"/>
          <w:sz w:val="18"/>
        </w:rPr>
        <w:t>= HC 96.383, rel. min. Dias Toffoli, j. 23-3-2010, 1ª T, DJE de 16-4-2010 Vide HC 97.811, red. do ac. min. Eros Grau, j. 9-6-2009, 2ª T, DJE de 21-8-2009 Vide HC 96.922, rel. min. Ricardo Lewandowski, j. 17-3-2009, 1ª T, DJE de 17-4-2009 Vide HC 90.995, rel. min. Menezes Direito, j. 12-2-2008, 1ª T, DJE de 7-3-2008 Não pode o julgador, por analogia, estabelecer sanção sem previsão legal, ainda que para beneficiar o réu, ao argumento de que o legislador deveria ter disciplinado a situação de outra forma.</w:t>
      </w:r>
    </w:p>
    <w:p>
      <w:pPr>
        <w:ind w:left="288"/>
      </w:pPr>
      <w:r>
        <w:rPr>
          <w:b/>
          <w:color w:val="003CA0"/>
          <w:sz w:val="16"/>
        </w:rPr>
        <w:t>[HC 92.626, rel. min. Ricardo Lewandowski, j. 25-3-2008, 1ª T, DJE de 2-5-2008.]</w:t>
      </w:r>
    </w:p>
    <w:p>
      <w:pPr>
        <w:ind w:left="288"/>
      </w:pPr>
      <w:r>
        <w:rPr>
          <w:color w:val="8C8C8C"/>
          <w:sz w:val="12"/>
        </w:rPr>
        <w:t>cf-art-5-inc-XXXII-ali-d</w:t>
      </w:r>
      <w:r>
        <w:rPr>
          <w:color w:val="003CA0"/>
          <w:sz w:val="12"/>
        </w:rPr>
        <w:t xml:space="preserve"> | HC 92.399</w:t>
      </w:r>
      <w:r>
        <w:rPr>
          <w:color w:val="003CA0"/>
          <w:sz w:val="12"/>
        </w:rPr>
        <w:t xml:space="preserve"> | rel. Ayres Britto</w:t>
      </w:r>
    </w:p>
    <w:p>
      <w:pPr>
        <w:ind w:left="288"/>
      </w:pPr>
      <w:r>
        <w:rPr>
          <w:color w:val="1E1E1E"/>
          <w:sz w:val="18"/>
        </w:rPr>
        <w:t>= HC 92.399, rel. min. Ayres Britto, j. 29-6-2010, 1ª T, DJE de 27-8-2010 Não sendo, tecnicamente, penas, as medidas socioeducativas refogem ao princípio da legalidade estrita, o que permitem tenham duração indeterminada. Para a prestação de serviços à comunidade, o ECA previu a duração máxima de seis meses (art. 117), prazo tido como mínimo para a liberdade assistida (art. 118, § 2º).</w:t>
      </w:r>
    </w:p>
    <w:p>
      <w:pPr>
        <w:ind w:left="288"/>
      </w:pPr>
      <w:r>
        <w:rPr>
          <w:b/>
          <w:color w:val="003CA0"/>
          <w:sz w:val="16"/>
        </w:rPr>
        <w:t>[HC 90.129, voto do min. Ricardo Lewandowski, j. 10-4-2007, 1ª T, DJ de 18-5-2007.]</w:t>
      </w:r>
    </w:p>
    <w:p>
      <w:pPr>
        <w:ind w:left="288"/>
      </w:pPr>
      <w:r>
        <w:rPr>
          <w:color w:val="8C8C8C"/>
          <w:sz w:val="12"/>
        </w:rPr>
        <w:t>cf-art-5-inc-XXXII-ali-d</w:t>
      </w:r>
      <w:r>
        <w:rPr>
          <w:color w:val="003CA0"/>
          <w:sz w:val="12"/>
        </w:rPr>
        <w:t xml:space="preserve"> | INQ 1.145</w:t>
      </w:r>
      <w:r>
        <w:rPr>
          <w:color w:val="003CA0"/>
          <w:sz w:val="12"/>
        </w:rPr>
        <w:t xml:space="preserve"> | rel. Maurício Corrêa</w:t>
      </w:r>
    </w:p>
    <w:p>
      <w:pPr>
        <w:ind w:left="288"/>
      </w:pPr>
      <w:r>
        <w:rPr>
          <w:color w:val="1E1E1E"/>
          <w:sz w:val="18"/>
        </w:rPr>
        <w:t>Parlamentar denunciado pela suposta prática do crime de estelionato (...). Peça acusatória que descreve a suposta conduta de facilitação do uso de "cola eletrônica" em concurso vestibular (utilização de escuta eletrônica pela qual alguns candidatos – entre outros, a filha do denunciado – teriam recebido as respostas das questões da prova do vestibular de professores contratados para tal fim). O MPF manifestou-se pela configuração da conduta delitiva como falsidade ideológica (...), e não mais como estelionato. A tese vencedora, sistematizada no voto do ministro Gilmar Mendes, apresentou os seg</w:t>
      </w:r>
    </w:p>
    <w:p>
      <w:pPr>
        <w:ind w:left="288"/>
      </w:pPr>
      <w:r>
        <w:rPr>
          <w:b/>
          <w:color w:val="003CA0"/>
          <w:sz w:val="16"/>
        </w:rPr>
        <w:t>[Inq 1.145, rel. min. Maurício Corrêa, red. do ac. min. Gilmar Mendes, j. 19-12-2006, P, DJE de 4-4-2008.]</w:t>
      </w:r>
    </w:p>
    <w:p>
      <w:pPr>
        <w:ind w:left="288"/>
      </w:pPr>
      <w:r>
        <w:rPr>
          <w:color w:val="8C8C8C"/>
          <w:sz w:val="12"/>
        </w:rPr>
        <w:t>cf-art-5-inc-XL</w:t>
      </w:r>
    </w:p>
    <w:p>
      <w:pPr>
        <w:ind w:left="288"/>
      </w:pPr>
      <w:r>
        <w:rPr>
          <w:color w:val="1E1E1E"/>
          <w:sz w:val="18"/>
        </w:rPr>
        <w:t>A lei penal mais grave aplica-se ao crime continuado ou ao crime permanente, se a sua vigência é anterior à cessação da continuidade ou da permanência.</w:t>
      </w:r>
    </w:p>
    <w:p>
      <w:pPr>
        <w:ind w:left="288"/>
      </w:pPr>
      <w:r>
        <w:rPr>
          <w:b/>
          <w:color w:val="003CA0"/>
          <w:sz w:val="16"/>
        </w:rPr>
        <w:t>[Súmula 711.]</w:t>
      </w:r>
    </w:p>
    <w:p>
      <w:pPr>
        <w:ind w:left="288"/>
      </w:pPr>
      <w:r>
        <w:rPr>
          <w:color w:val="8C8C8C"/>
          <w:sz w:val="12"/>
        </w:rPr>
        <w:t>cf-art-5-inc-XL</w:t>
      </w:r>
    </w:p>
    <w:p>
      <w:pPr>
        <w:ind w:left="288"/>
      </w:pPr>
      <w:r>
        <w:rPr>
          <w:color w:val="1E1E1E"/>
          <w:sz w:val="18"/>
        </w:rPr>
        <w:t>Transitada em julgado a sentença condenatória, compete ao juízo das execuções a aplicação de lei mais benigna.</w:t>
      </w:r>
    </w:p>
    <w:p>
      <w:pPr>
        <w:ind w:left="288"/>
      </w:pPr>
      <w:r>
        <w:rPr>
          <w:b/>
          <w:color w:val="003CA0"/>
          <w:sz w:val="16"/>
        </w:rPr>
        <w:t>[Súmula 611.]</w:t>
      </w:r>
    </w:p>
    <w:p>
      <w:pPr>
        <w:ind w:left="288"/>
      </w:pPr>
      <w:r>
        <w:rPr>
          <w:color w:val="8C8C8C"/>
          <w:sz w:val="12"/>
        </w:rPr>
        <w:t>cf-art-5-inc-XL</w:t>
      </w:r>
      <w:r>
        <w:rPr>
          <w:color w:val="003CA0"/>
          <w:sz w:val="12"/>
        </w:rPr>
        <w:t xml:space="preserve"> | ADI 1.719</w:t>
      </w:r>
      <w:r>
        <w:rPr>
          <w:color w:val="003CA0"/>
          <w:sz w:val="12"/>
        </w:rPr>
        <w:t xml:space="preserve"> | rel. Joaquim Barbosa</w:t>
      </w:r>
    </w:p>
    <w:p>
      <w:pPr>
        <w:ind w:left="288"/>
      </w:pPr>
      <w:r>
        <w:rPr>
          <w:color w:val="1E1E1E"/>
          <w:sz w:val="18"/>
        </w:rPr>
        <w:t>O art. 90 da Lei 9.099/1995 determina que as disposições da Lei dos Juizados Especiais não são aplicáveis aos processos penais nos quais a fase de instrução já tenha sido iniciada. Em se tratando de normas de natureza processual, a exceção estabelecida por lei à regra geral contida no art. 2º do CPP não padece de vício de inconstitucionalidade. Contudo, as normas de direito penal que tenham conteúdo mais benéfico aos réus devem retroagir para beneficiá-los, à luz do que determina o art. 5º, XL, da CF. Interpretação conforme ao art. 90 da Lei 9.099/1995 para excluir de sua abrangência as normas</w:t>
      </w:r>
    </w:p>
    <w:p>
      <w:pPr>
        <w:ind w:left="288"/>
      </w:pPr>
      <w:r>
        <w:rPr>
          <w:b/>
          <w:color w:val="003CA0"/>
          <w:sz w:val="16"/>
        </w:rPr>
        <w:t>[ADI 1.719, rel. min. Joaquim Barbosa, j. 18-6-2007, P, DJ de 3-8-2007.]</w:t>
      </w:r>
    </w:p>
    <w:p>
      <w:pPr>
        <w:ind w:left="288"/>
      </w:pPr>
      <w:r>
        <w:rPr>
          <w:color w:val="8C8C8C"/>
          <w:sz w:val="12"/>
        </w:rPr>
        <w:t>cf-art-5-inc-XL</w:t>
      </w:r>
      <w:r>
        <w:rPr>
          <w:color w:val="003CA0"/>
          <w:sz w:val="12"/>
        </w:rPr>
        <w:t xml:space="preserve"> | RE 1.536.743</w:t>
      </w:r>
      <w:r>
        <w:rPr>
          <w:color w:val="003CA0"/>
          <w:sz w:val="12"/>
        </w:rPr>
        <w:t xml:space="preserve"> | rel. Luís Roberto Barroso</w:t>
      </w:r>
    </w:p>
    <w:p>
      <w:pPr>
        <w:ind w:left="288"/>
      </w:pPr>
      <w:r>
        <w:rPr>
          <w:color w:val="1E1E1E"/>
          <w:sz w:val="18"/>
        </w:rPr>
        <w:t>Aplicação da Lei nº 14.843/2024, sobre a obrigatoriedade do exame criminológico para a progressão de regime, na execução de pena por crimes praticados antes de sua vigência.</w:t>
      </w:r>
    </w:p>
    <w:p>
      <w:pPr>
        <w:ind w:left="288"/>
      </w:pPr>
      <w:r>
        <w:rPr>
          <w:b/>
          <w:color w:val="003CA0"/>
          <w:sz w:val="16"/>
        </w:rPr>
        <w:t>[RE 1.536.743 RG, rel. min. Luís Roberto Barroso, j. 13.06.2025, P, DJE de 24.06.2025, Tema 1.408, com mérito pendente.]</w:t>
      </w:r>
    </w:p>
    <w:p>
      <w:pPr>
        <w:ind w:left="288"/>
      </w:pPr>
      <w:r>
        <w:rPr>
          <w:color w:val="8C8C8C"/>
          <w:sz w:val="12"/>
        </w:rPr>
        <w:t>cf-art-5-inc-XL</w:t>
      </w:r>
      <w:r>
        <w:rPr>
          <w:color w:val="003CA0"/>
          <w:sz w:val="12"/>
        </w:rPr>
        <w:t xml:space="preserve"> | RE 1.532.446</w:t>
      </w:r>
      <w:r>
        <w:rPr>
          <w:color w:val="003CA0"/>
          <w:sz w:val="12"/>
        </w:rPr>
        <w:t xml:space="preserve"> | rel. Luís Roberto Barroso</w:t>
      </w:r>
    </w:p>
    <w:p>
      <w:pPr>
        <w:ind w:left="288"/>
      </w:pPr>
      <w:r>
        <w:rPr>
          <w:color w:val="1E1E1E"/>
          <w:sz w:val="18"/>
        </w:rPr>
        <w:t>Aplicação da Lei nº 14.843/2024, sobre saída temporária e trabalho externo do apenado, na execução de pena por crimes praticados antes de sua vigência.</w:t>
      </w:r>
    </w:p>
    <w:p>
      <w:pPr>
        <w:ind w:left="288"/>
      </w:pPr>
      <w:r>
        <w:rPr>
          <w:b/>
          <w:color w:val="003CA0"/>
          <w:sz w:val="16"/>
        </w:rPr>
        <w:t>[RE 1.532.446 RG, rel. min. Luís Roberto Barroso, j. 11.03.2025, P, DJE de 14.03.2025, Tema 1.381, com mérito pendente.]</w:t>
      </w:r>
    </w:p>
    <w:p>
      <w:pPr>
        <w:ind w:left="288"/>
      </w:pPr>
      <w:r>
        <w:rPr>
          <w:color w:val="8C8C8C"/>
          <w:sz w:val="12"/>
        </w:rPr>
        <w:t>cf-art-5-inc-XL</w:t>
      </w:r>
      <w:r>
        <w:rPr>
          <w:color w:val="003CA0"/>
          <w:sz w:val="12"/>
        </w:rPr>
        <w:t xml:space="preserve"> | RE 1.464.013</w:t>
      </w:r>
      <w:r>
        <w:rPr>
          <w:color w:val="003CA0"/>
          <w:sz w:val="12"/>
        </w:rPr>
        <w:t xml:space="preserve"> | rel. Luís Roberto Barroso</w:t>
      </w:r>
    </w:p>
    <w:p>
      <w:pPr>
        <w:ind w:left="288"/>
      </w:pPr>
      <w:r>
        <w:rPr>
          <w:color w:val="1E1E1E"/>
          <w:sz w:val="18"/>
        </w:rPr>
        <w:t>Saber se é possível aplicar retroativamente apenas a parte mais benéfica de lei penal sobre progressão de pena (art. 112, VI, a, da LEP), decotando-se a vedação ao livramento condicional e à saída temporária prevista na mesma lei, porque mais gravosa ao apenado por crime hediondo.</w:t>
      </w:r>
    </w:p>
    <w:p>
      <w:pPr>
        <w:ind w:left="288"/>
      </w:pPr>
      <w:r>
        <w:rPr>
          <w:b/>
          <w:color w:val="003CA0"/>
          <w:sz w:val="16"/>
        </w:rPr>
        <w:t>[RE 1.464.013 RG, rel. min. Luís Roberto Barroso, j. 06.09.2024, P, DJE de 12.09.2024, Tema 1.319, com mérito pendente.]</w:t>
      </w:r>
    </w:p>
    <w:p>
      <w:pPr>
        <w:ind w:left="288"/>
      </w:pPr>
      <w:r>
        <w:rPr>
          <w:color w:val="8C8C8C"/>
          <w:sz w:val="12"/>
        </w:rPr>
        <w:t>cf-art-5-inc-XL</w:t>
      </w:r>
      <w:r>
        <w:rPr>
          <w:color w:val="003CA0"/>
          <w:sz w:val="12"/>
        </w:rPr>
        <w:t xml:space="preserve"> | RE 600.817</w:t>
      </w:r>
      <w:r>
        <w:rPr>
          <w:color w:val="003CA0"/>
          <w:sz w:val="12"/>
        </w:rPr>
        <w:t xml:space="preserve"> | rel. Ricardo Lewandowski</w:t>
      </w:r>
    </w:p>
    <w:p>
      <w:pPr>
        <w:ind w:left="288"/>
      </w:pPr>
      <w:r>
        <w:rPr>
          <w:color w:val="1E1E1E"/>
          <w:sz w:val="18"/>
        </w:rPr>
        <w:t>É inadmissível a aplicação da causa de diminuição prevista no art. 33, § 4º, da Lei 11.343/2006 à pena relativa à condenação por crime cometido na vigência da Lei 6.368/1976. (...) Não é possível a conjugação de partes mais benéficas das referidas normas, para criar-se uma terceira lei, sob pena de violação aos princípios da legalidade e da separação de Poderes. O juiz, contudo, deverá, no caso concreto, avaliar qual das mencionadas leis é mais favorável ao réu e aplicá-la em sua integralidade.</w:t>
      </w:r>
    </w:p>
    <w:p>
      <w:pPr>
        <w:ind w:left="288"/>
      </w:pPr>
      <w:r>
        <w:rPr>
          <w:b/>
          <w:color w:val="003CA0"/>
          <w:sz w:val="16"/>
        </w:rPr>
        <w:t>[RE 600.817, rel. min. Ricardo Lewandowski, j. 7-11-2013, P, DJE de 30-10-2014, Tema 169, com mérito julgado.]</w:t>
      </w:r>
    </w:p>
    <w:p>
      <w:pPr>
        <w:ind w:left="288"/>
      </w:pPr>
      <w:r>
        <w:rPr>
          <w:color w:val="8C8C8C"/>
          <w:sz w:val="12"/>
        </w:rPr>
        <w:t>cf-art-5-inc-XL</w:t>
      </w:r>
      <w:r>
        <w:rPr>
          <w:color w:val="003CA0"/>
          <w:sz w:val="12"/>
        </w:rPr>
        <w:t xml:space="preserve"> | RE 768.494</w:t>
      </w:r>
      <w:r>
        <w:rPr>
          <w:color w:val="003CA0"/>
          <w:sz w:val="12"/>
        </w:rPr>
        <w:t xml:space="preserve"> | rel. Luiz Fux</w:t>
      </w:r>
    </w:p>
    <w:p>
      <w:pPr>
        <w:ind w:left="288"/>
      </w:pPr>
      <w:r>
        <w:rPr>
          <w:color w:val="1E1E1E"/>
          <w:sz w:val="18"/>
        </w:rPr>
        <w:t>O Estatuto do Desarmamento (Lei 10.826/2003) favoreceu os possuidores e proprietários de arma de fogo com duas medidas: (i) permitiu o registro da arma de fogo (art. 30) ou a sua renovação (art. 5º, § 3º); e (ii) facultou a entrega espontânea da arma de fogo à autoridade competente (art. 32). A sucessão legislativa prorrogou diversas vezes o prazo para as referidas medidas, a saber: (i) o Estatuto do Desarmamento, cuja publicação ocorreu em 23 de dezembro de 2003, permitiu aos proprietários e possuidores de armas de fogo tanto a solicitação do registro quanto a entrega das armas no prazo de 18</w:t>
      </w:r>
    </w:p>
    <w:p>
      <w:pPr>
        <w:ind w:left="288"/>
      </w:pPr>
      <w:r>
        <w:rPr>
          <w:b/>
          <w:color w:val="003CA0"/>
          <w:sz w:val="16"/>
        </w:rPr>
        <w:t>[RE 768.494, rel. min. Luiz Fux, j. 19-9-2013, P, DJE de 8-4-2014, Tema 650, com mérito julgado.]</w:t>
      </w:r>
    </w:p>
    <w:p>
      <w:pPr>
        <w:ind w:left="288"/>
      </w:pPr>
      <w:r>
        <w:rPr>
          <w:color w:val="8C8C8C"/>
          <w:sz w:val="12"/>
        </w:rPr>
        <w:t>cf-art-5-inc-XL</w:t>
      </w:r>
      <w:r>
        <w:rPr>
          <w:color w:val="003CA0"/>
          <w:sz w:val="12"/>
        </w:rPr>
        <w:t xml:space="preserve"> | HC 96.168</w:t>
      </w:r>
      <w:r>
        <w:rPr>
          <w:color w:val="003CA0"/>
          <w:sz w:val="12"/>
        </w:rPr>
        <w:t xml:space="preserve"> | rel. Eros Grau</w:t>
      </w:r>
    </w:p>
    <w:p>
      <w:pPr>
        <w:ind w:left="288"/>
      </w:pPr>
      <w:r>
        <w:rPr>
          <w:color w:val="1E1E1E"/>
          <w:sz w:val="18"/>
        </w:rPr>
        <w:t>= HC 96.168, rel. min. Eros Grau, j. 9-12-2008, 2ª T, DJE de 14-8-2009 A Lei 11.464/2007, que majorou o tempo necessário a progredir-se no cumprimento da pena, não se aplica a situações jurídicas que retratem crime cometido em momento anterior à respectiva vigência.</w:t>
      </w:r>
    </w:p>
    <w:p>
      <w:pPr>
        <w:ind w:left="288"/>
      </w:pPr>
      <w:r>
        <w:rPr>
          <w:b/>
          <w:color w:val="003CA0"/>
          <w:sz w:val="16"/>
        </w:rPr>
        <w:t>[RE 579.167, rel. min. Marco Aurélio, j. 16-5-2013, P, DJE de 18-10-2013, Tema 59, com mérito julgado.]</w:t>
      </w:r>
    </w:p>
    <w:p>
      <w:pPr>
        <w:ind w:left="288"/>
      </w:pPr>
      <w:r>
        <w:rPr>
          <w:color w:val="8C8C8C"/>
          <w:sz w:val="12"/>
        </w:rPr>
        <w:t>cf-art-5-inc-XL</w:t>
      </w:r>
      <w:r>
        <w:rPr>
          <w:color w:val="003CA0"/>
          <w:sz w:val="12"/>
        </w:rPr>
        <w:t xml:space="preserve"> | HC 185.913</w:t>
      </w:r>
      <w:r>
        <w:rPr>
          <w:color w:val="003CA0"/>
          <w:sz w:val="12"/>
        </w:rPr>
        <w:t xml:space="preserve"> | rel. Gilmar Mendes</w:t>
      </w:r>
    </w:p>
    <w:p>
      <w:pPr>
        <w:ind w:left="288"/>
      </w:pPr>
      <w:r>
        <w:rPr>
          <w:color w:val="1E1E1E"/>
          <w:sz w:val="18"/>
        </w:rPr>
        <w:t>“1. Compete ao membro do Ministério Público oficiante, motivadamente e no exercício do seu poder-dever, avaliar o preenchimento dos requisitos para negociação e celebração do ANPP, sem prejuízo do regular exercício dos controles jurisdicional e interno; 2. É cabível a celebração de Acordo de Não Persecução Penal em casos de processos em andamento quando da entrada em vigência da Lei nº 13.964, de 2019, mesmo se ausente confissão do réu até aquele momento, desde que o pedido tenha sido feito antes do trânsito em julgado; 3. Nos processos penais em andamento na data da proclamação do resultado d</w:t>
      </w:r>
    </w:p>
    <w:p>
      <w:pPr>
        <w:ind w:left="288"/>
      </w:pPr>
      <w:r>
        <w:rPr>
          <w:b/>
          <w:color w:val="003CA0"/>
          <w:sz w:val="16"/>
        </w:rPr>
        <w:t>[HC 185.913, rel. min. Gilmar Mendes, j. 18.09.2024, P, DJE de 19.11.2024.]</w:t>
      </w:r>
    </w:p>
    <w:p>
      <w:pPr>
        <w:ind w:left="288"/>
      </w:pPr>
      <w:r>
        <w:rPr>
          <w:color w:val="8C8C8C"/>
          <w:sz w:val="12"/>
        </w:rPr>
        <w:t>cf-art-5-inc-XL</w:t>
      </w:r>
      <w:r>
        <w:rPr>
          <w:color w:val="003CA0"/>
          <w:sz w:val="12"/>
        </w:rPr>
        <w:t xml:space="preserve"> | HC 208.817</w:t>
      </w:r>
      <w:r>
        <w:rPr>
          <w:color w:val="003CA0"/>
          <w:sz w:val="12"/>
        </w:rPr>
        <w:t xml:space="preserve"> | rel. Cármen Lúcia</w:t>
      </w:r>
    </w:p>
    <w:p>
      <w:pPr>
        <w:ind w:left="288"/>
      </w:pPr>
      <w:r>
        <w:rPr>
          <w:color w:val="1E1E1E"/>
          <w:sz w:val="18"/>
        </w:rPr>
        <w:t>No § 5º do art. 171 do Código Penal se incluiu nova condição de procedibilidade para a ação penal nos crimes de estelionato que não digam respeito à Administração Pública ou a vítimas vulneráveis especificadas em seus incisos. A norma processual, entretanto, é de natureza híbrida. Repercute diretamente na causa de extinção da punibilidade prevista no inc. IV do art. 107 c/c art. 103 do Código Penal. (...) Há que se ter em conta, pois, as razões de política criminal que motivaram a alteração legislativa e que se põem no sentido de se dotar de maior amplitude a retroatividade da nova norma posta</w:t>
      </w:r>
    </w:p>
    <w:p>
      <w:pPr>
        <w:ind w:left="288"/>
      </w:pPr>
      <w:r>
        <w:rPr>
          <w:b/>
          <w:color w:val="003CA0"/>
          <w:sz w:val="16"/>
        </w:rPr>
        <w:t>[HC 208.817 AgR, voto da rel. min. Cármen Lúcia, j. 13-4-2023, P, DJE de 2-5-2023.]</w:t>
      </w:r>
    </w:p>
    <w:p>
      <w:pPr>
        <w:ind w:left="288"/>
      </w:pPr>
      <w:r>
        <w:rPr>
          <w:color w:val="8C8C8C"/>
          <w:sz w:val="12"/>
        </w:rPr>
        <w:t>cf-art-5-inc-XL</w:t>
      </w:r>
      <w:r>
        <w:rPr>
          <w:color w:val="003CA0"/>
          <w:sz w:val="12"/>
        </w:rPr>
        <w:t xml:space="preserve"> | HC 220.249</w:t>
      </w:r>
      <w:r>
        <w:rPr>
          <w:color w:val="003CA0"/>
          <w:sz w:val="12"/>
        </w:rPr>
        <w:t xml:space="preserve"> | rel. Edson Fachin</w:t>
      </w:r>
    </w:p>
    <w:p>
      <w:pPr>
        <w:ind w:left="288"/>
      </w:pPr>
      <w:r>
        <w:rPr>
          <w:color w:val="1E1E1E"/>
          <w:sz w:val="18"/>
        </w:rPr>
        <w:t>A expressão “lei penal” contida no art. 5º, inciso XL, da Constituição Federal é de ser interpretada como gênero, de maneira a abranger tanto leis penais em sentido estrito quanto leis penais processuais que disciplinam o exercício da pretensão punitiva do Estado ou que interferem diretamente no status libertatis do indivíduo. O art. 28-A do Código de Processo Penal, acrescido pela Lei 13.964/2019, é norma de conteúdo processual-penal ou híbrido, porque consiste em medida despenalizadora, que atinge a própria pretensão punitiva estatal. Conforme explicita a lei, o cumprimento integral do acord</w:t>
      </w:r>
    </w:p>
    <w:p>
      <w:pPr>
        <w:ind w:left="288"/>
      </w:pPr>
      <w:r>
        <w:rPr>
          <w:b/>
          <w:color w:val="003CA0"/>
          <w:sz w:val="16"/>
        </w:rPr>
        <w:t>[HC 220.249, rel. min. Edson Fachin, j. 19-12-2022, 2ª T, DJE de 6-2-2023.]</w:t>
      </w:r>
    </w:p>
    <w:p>
      <w:pPr>
        <w:ind w:left="288"/>
      </w:pPr>
      <w:r>
        <w:rPr>
          <w:color w:val="8C8C8C"/>
          <w:sz w:val="12"/>
        </w:rPr>
        <w:t>cf-art-5-inc-XL</w:t>
      </w:r>
      <w:r>
        <w:rPr>
          <w:color w:val="003CA0"/>
          <w:sz w:val="12"/>
        </w:rPr>
        <w:t xml:space="preserve"> | HC 122.213</w:t>
      </w:r>
      <w:r>
        <w:rPr>
          <w:color w:val="003CA0"/>
          <w:sz w:val="12"/>
        </w:rPr>
        <w:t xml:space="preserve"> | rel. Ricardo Lewandowski</w:t>
      </w:r>
    </w:p>
    <w:p>
      <w:pPr>
        <w:ind w:left="288"/>
      </w:pPr>
      <w:r>
        <w:rPr>
          <w:color w:val="1E1E1E"/>
          <w:sz w:val="18"/>
        </w:rPr>
        <w:t>(...) o princípio da insignificância deve ser aplicado ao delito de descaminho quando o valor sonegado for inferior ao estabelecido no art. 20 da Lei 10.522/2002, atualizado pelas Portarias 75/2012 e 130/2012 do Ministério da Fazenda, que, por se tratar de normas mais benéficas ao réu, devem ser imediatamente aplicadas, consoante o disposto no art. 5º, XL, da Carta Magna.</w:t>
      </w:r>
    </w:p>
    <w:p>
      <w:pPr>
        <w:ind w:left="288"/>
      </w:pPr>
      <w:r>
        <w:rPr>
          <w:b/>
          <w:color w:val="003CA0"/>
          <w:sz w:val="16"/>
        </w:rPr>
        <w:t>[HC 122.213, rel. min. Ricardo Lewandowski, j. 27-5-2014, 2ª T, DJE de 12-6-2014.]</w:t>
      </w:r>
    </w:p>
    <w:p>
      <w:pPr>
        <w:ind w:left="288"/>
      </w:pPr>
      <w:r>
        <w:rPr>
          <w:color w:val="8C8C8C"/>
          <w:sz w:val="12"/>
        </w:rPr>
        <w:t>cf-art-5-inc-XL</w:t>
      </w:r>
      <w:r>
        <w:rPr>
          <w:color w:val="003CA0"/>
          <w:sz w:val="12"/>
        </w:rPr>
        <w:t xml:space="preserve"> | RHC 109.847</w:t>
      </w:r>
      <w:r>
        <w:rPr>
          <w:color w:val="003CA0"/>
          <w:sz w:val="12"/>
        </w:rPr>
        <w:t xml:space="preserve"> | rel. Dias Toffoli</w:t>
      </w:r>
    </w:p>
    <w:p>
      <w:pPr>
        <w:ind w:left="288"/>
      </w:pPr>
      <w:r>
        <w:rPr>
          <w:color w:val="1E1E1E"/>
          <w:sz w:val="18"/>
        </w:rPr>
        <w:t>A nova redação conferida pela Lei 12.433/2011 ao art. 127 da LEP, limita ao patamar máximo de 1/3 a revogação do tempo a ser remido. Por se tratar de uma novatio legis in mellius, nada impede que ela retroaja para beneficiar o paciente no caso concreto. Princípio da retroatividade da lei penal menos gravosa.</w:t>
      </w:r>
    </w:p>
    <w:p>
      <w:pPr>
        <w:ind w:left="288"/>
      </w:pPr>
      <w:r>
        <w:rPr>
          <w:b/>
          <w:color w:val="003CA0"/>
          <w:sz w:val="16"/>
        </w:rPr>
        <w:t>[RHC 109.847, rel. min. Dias Toffoli, j. 22-11-2011, 1ª T, DJE de 6-12-2011.]</w:t>
      </w:r>
    </w:p>
    <w:p>
      <w:pPr>
        <w:ind w:left="288"/>
      </w:pPr>
      <w:r>
        <w:rPr>
          <w:color w:val="8C8C8C"/>
          <w:sz w:val="12"/>
        </w:rPr>
        <w:t>cf-art-5-inc-XL</w:t>
      </w:r>
      <w:r>
        <w:rPr>
          <w:color w:val="003CA0"/>
          <w:sz w:val="12"/>
        </w:rPr>
        <w:t xml:space="preserve"> | HC 110.636</w:t>
      </w:r>
      <w:r>
        <w:rPr>
          <w:color w:val="003CA0"/>
          <w:sz w:val="12"/>
        </w:rPr>
        <w:t xml:space="preserve"> | rel. Luiz Fux</w:t>
      </w:r>
    </w:p>
    <w:p>
      <w:pPr>
        <w:ind w:left="288"/>
      </w:pPr>
      <w:r>
        <w:rPr>
          <w:color w:val="1E1E1E"/>
          <w:sz w:val="18"/>
        </w:rPr>
        <w:t>= HC 110.636, rel. min. Luiz Fux, j. 6-3-2012, 1ª T, DJE de 21-3-2012 = HC 110.040, rel. min. Gilmar Mendes, j. 8-11-2011, 2ª T, DJE de 29-11-2011 A Lei 12.403/2011, na parte em que alterou o quantum da pena máxima para concessão de fiança, é nitidamente processual e por isso se aplica o princípio do tempus regit actum, não o da retroatividade da lei penal mais benéfica.</w:t>
      </w:r>
    </w:p>
    <w:p>
      <w:pPr>
        <w:ind w:left="288"/>
      </w:pPr>
      <w:r>
        <w:rPr>
          <w:b/>
          <w:color w:val="003CA0"/>
          <w:sz w:val="16"/>
        </w:rPr>
        <w:t>[ARE 644.850 ED, rel. min. Gilmar Mendes, j. 18-10-2011, 2ª T, DJE de 4-11-2011.]</w:t>
      </w:r>
    </w:p>
    <w:p>
      <w:pPr>
        <w:ind w:left="288"/>
      </w:pPr>
      <w:r>
        <w:rPr>
          <w:color w:val="8C8C8C"/>
          <w:sz w:val="12"/>
        </w:rPr>
        <w:t>cf-art-5-inc-XL</w:t>
      </w:r>
      <w:r>
        <w:rPr>
          <w:color w:val="003CA0"/>
          <w:sz w:val="12"/>
        </w:rPr>
        <w:t xml:space="preserve"> | HC 96.168</w:t>
      </w:r>
      <w:r>
        <w:rPr>
          <w:color w:val="003CA0"/>
          <w:sz w:val="12"/>
        </w:rPr>
        <w:t xml:space="preserve"> | rel. Eros Grau</w:t>
      </w:r>
    </w:p>
    <w:p>
      <w:pPr>
        <w:ind w:left="288"/>
      </w:pPr>
      <w:r>
        <w:rPr>
          <w:color w:val="1E1E1E"/>
          <w:sz w:val="18"/>
        </w:rPr>
        <w:t>O prazo de 180 dias previsto nos arts. 30 e 32 da Lei 10.826/2003 é para que os possuidores e proprietários de armas de fogo as regularizem ou as entreguem às autoridades. Somente as condutas típicas "possuir ou ser proprietário" foram abolidas temporariamente. Delito de posse de arma de fogo ocorrido anteriormente à vigência da lei que instituiu a abolitio criminis temporária. Não cabimento da pretensão de retroação de lei benéfica.</w:t>
      </w:r>
    </w:p>
    <w:p>
      <w:pPr>
        <w:ind w:left="288"/>
      </w:pPr>
      <w:r>
        <w:rPr>
          <w:b/>
          <w:color w:val="003CA0"/>
          <w:sz w:val="16"/>
        </w:rPr>
        <w:t>[HC 96.168, rel. min. Eros Grau, j. 9-12-2008, 2ª T, DJE de 14-8-2009.]</w:t>
      </w:r>
    </w:p>
    <w:p>
      <w:pPr>
        <w:ind w:left="288"/>
      </w:pPr>
      <w:r>
        <w:rPr>
          <w:color w:val="8C8C8C"/>
          <w:sz w:val="12"/>
        </w:rPr>
        <w:t>cf-art-5-inc-XL</w:t>
      </w:r>
      <w:r>
        <w:rPr>
          <w:color w:val="003CA0"/>
          <w:sz w:val="12"/>
        </w:rPr>
        <w:t xml:space="preserve"> | HC 98.180</w:t>
      </w:r>
      <w:r>
        <w:rPr>
          <w:color w:val="003CA0"/>
          <w:sz w:val="12"/>
        </w:rPr>
        <w:t xml:space="preserve"> | rel. Ricardo Lewandowski</w:t>
      </w:r>
    </w:p>
    <w:p>
      <w:pPr>
        <w:ind w:left="288"/>
      </w:pPr>
      <w:r>
        <w:rPr>
          <w:color w:val="1E1E1E"/>
          <w:sz w:val="18"/>
        </w:rPr>
        <w:t xml:space="preserve">= HC 98.180, rel. min. Ricardo Lewandowski, j. 29-6-2010, 1ª T, DJE de 20-8-2010 = RE 768.494, rel. min. Luiz Fux, j. 19-9-2013, P, DJE de 8-4-2014, Tema 650 Vide HC 97.881, voto do min. Gilmar Mendes, j. 31-8-2010, 2ª T, DJE de 24-9-2010 Tráfico de entorpecentes. Comercialização de "lança-perfume". Edição válida da Resolução/Anvisa 104/2000. (...) Abolitio criminis. Republicação da resolução. Irrelevância. Retroatividade da lei penal mais benéfica. (...) A edição, por autoridade competente e de acordo com as disposições regimentais, da Resolução/Anvisa 104, de 7-12-2000, retirou o cloreto de </w:t>
      </w:r>
    </w:p>
    <w:p>
      <w:pPr>
        <w:ind w:left="288"/>
      </w:pPr>
      <w:r>
        <w:rPr>
          <w:b/>
          <w:color w:val="003CA0"/>
          <w:sz w:val="16"/>
        </w:rPr>
        <w:t>[HC 94.397, rel. min. Cezar Peluso, j. 9-3-2010, 2ª T, DJE de 23-4-2010.]</w:t>
      </w:r>
    </w:p>
    <w:p>
      <w:pPr>
        <w:ind w:left="288"/>
      </w:pPr>
      <w:r>
        <w:rPr>
          <w:color w:val="8C8C8C"/>
          <w:sz w:val="12"/>
        </w:rPr>
        <w:t>cf-art-5-inc-XL</w:t>
      </w:r>
      <w:r>
        <w:rPr>
          <w:color w:val="003CA0"/>
          <w:sz w:val="12"/>
        </w:rPr>
        <w:t xml:space="preserve"> | HC 86.110</w:t>
      </w:r>
      <w:r>
        <w:rPr>
          <w:color w:val="003CA0"/>
          <w:sz w:val="12"/>
        </w:rPr>
        <w:t xml:space="preserve"> | rel. Cezar Peluso</w:t>
      </w:r>
    </w:p>
    <w:p>
      <w:pPr>
        <w:ind w:left="288"/>
      </w:pPr>
      <w:r>
        <w:rPr>
          <w:color w:val="1E1E1E"/>
          <w:sz w:val="18"/>
        </w:rPr>
        <w:t>Estupro e atentado violento ao pudor. (...) Crimes da mesma espécie. (...) Superveniência da Lei 12.015/2009. Retroatividade da lei penal mais benéfica. Art. 5º, XL, da CF. (...) A edição da Lei 12.015/2009 torna possível o reconhecimento da continuidade delitiva dos antigos delitos de estupro e atentado violento ao pudor, quando praticados nas mesmas circunstâncias de tempo, modo e local e contra a mesma vítima.</w:t>
      </w:r>
    </w:p>
    <w:p>
      <w:pPr>
        <w:ind w:left="288"/>
      </w:pPr>
      <w:r>
        <w:rPr>
          <w:b/>
          <w:color w:val="003CA0"/>
          <w:sz w:val="16"/>
        </w:rPr>
        <w:t>[HC 86.110, rel. min. Cezar Peluso, j. 2-3-2010, 2ª T, DJE de 23-4-2010.]</w:t>
      </w:r>
    </w:p>
    <w:p>
      <w:pPr>
        <w:ind w:left="288"/>
      </w:pPr>
      <w:r>
        <w:rPr>
          <w:color w:val="8C8C8C"/>
          <w:sz w:val="12"/>
        </w:rPr>
        <w:t>cf-art-5-inc-XL</w:t>
      </w:r>
      <w:r>
        <w:rPr>
          <w:color w:val="003CA0"/>
          <w:sz w:val="12"/>
        </w:rPr>
        <w:t xml:space="preserve"> | HC 102.199</w:t>
      </w:r>
      <w:r>
        <w:rPr>
          <w:color w:val="003CA0"/>
          <w:sz w:val="12"/>
        </w:rPr>
        <w:t xml:space="preserve"> | rel. Gilmar Mendes</w:t>
      </w:r>
    </w:p>
    <w:p>
      <w:pPr>
        <w:ind w:left="288"/>
      </w:pPr>
      <w:r>
        <w:rPr>
          <w:color w:val="1E1E1E"/>
          <w:sz w:val="18"/>
        </w:rPr>
        <w:t>= HC 102.199, rel. min. Gilmar Mendes, j. 31-8-2010, 2ª T, DJE de 24-9-2010 Vide HC 99.265, rel. min. Cezar Peluso, j. 2-3-2010, 2ª T, DJE de 23-4-2010 A fixação do regime inicial fechado de cumprimento de pena para os crimes hediondos decorre de expressa previsão legal. A Lei 11.464/2007, no que tange à alteração promovida na redação do art. 2º, § 1º, da Lei 8.072/1990, deve ter aplicação retroativa por ser considerada mais benéfica ao sentenciado.</w:t>
      </w:r>
    </w:p>
    <w:p>
      <w:pPr>
        <w:ind w:left="288"/>
      </w:pPr>
      <w:r>
        <w:rPr>
          <w:b/>
          <w:color w:val="003CA0"/>
          <w:sz w:val="16"/>
        </w:rPr>
        <w:t>[HC 97.984, rel. min. Ricardo Lewandowski, j. 17-11-2009, 1ª T, DJE de 18-12-2009.]</w:t>
      </w:r>
    </w:p>
    <w:p>
      <w:pPr>
        <w:ind w:left="288"/>
      </w:pPr>
      <w:r>
        <w:rPr>
          <w:color w:val="8C8C8C"/>
          <w:sz w:val="12"/>
        </w:rPr>
        <w:t>cf-art-5-inc-XL</w:t>
      </w:r>
      <w:r>
        <w:rPr>
          <w:color w:val="003CA0"/>
          <w:sz w:val="12"/>
        </w:rPr>
        <w:t xml:space="preserve"> | HC 91.360</w:t>
      </w:r>
      <w:r>
        <w:rPr>
          <w:color w:val="003CA0"/>
          <w:sz w:val="12"/>
        </w:rPr>
        <w:t xml:space="preserve"> | rel. Joaquim Barbosa</w:t>
      </w:r>
    </w:p>
    <w:p>
      <w:pPr>
        <w:ind w:left="288"/>
      </w:pPr>
      <w:r>
        <w:rPr>
          <w:color w:val="1E1E1E"/>
          <w:sz w:val="18"/>
        </w:rPr>
        <w:t>= HC 91.360, rel. min. Joaquim Barbosa, j. 13-5-2009, 2ª T, DJE de 20-6-2009 Indulto e comutação de pena. Crimes hediondos (...). A vedação de benefícios prevista no Decreto 4.011/2001 àqueles que tenham cometido crime definido na Lei 8.072/1990 como hediondo remete à data em que foi praticado, ante o princípio constitucional da irretroatividade da lei penal mais gravosa.</w:t>
      </w:r>
    </w:p>
    <w:p>
      <w:pPr>
        <w:ind w:left="288"/>
      </w:pPr>
      <w:r>
        <w:rPr>
          <w:b/>
          <w:color w:val="003CA0"/>
          <w:sz w:val="16"/>
        </w:rPr>
        <w:t>[RE 452.991, rel. min. Marco Aurélio, j. 7-4-2009, 1ª T, DJE de 21-8-2009.]</w:t>
      </w:r>
    </w:p>
    <w:p>
      <w:pPr>
        <w:ind w:left="288"/>
      </w:pPr>
      <w:r>
        <w:rPr>
          <w:color w:val="8C8C8C"/>
          <w:sz w:val="12"/>
        </w:rPr>
        <w:t>cf-art-5-inc-XL</w:t>
      </w:r>
      <w:r>
        <w:rPr>
          <w:color w:val="003CA0"/>
          <w:sz w:val="12"/>
        </w:rPr>
        <w:t xml:space="preserve"> | RE 607.666</w:t>
      </w:r>
      <w:r>
        <w:rPr>
          <w:color w:val="003CA0"/>
          <w:sz w:val="12"/>
        </w:rPr>
        <w:t xml:space="preserve"> | rel. Cármen Lúcia</w:t>
      </w:r>
    </w:p>
    <w:p>
      <w:pPr>
        <w:ind w:left="288"/>
      </w:pPr>
      <w:r>
        <w:rPr>
          <w:color w:val="1E1E1E"/>
          <w:sz w:val="18"/>
        </w:rPr>
        <w:t>= RE 607.666 AgR, rel. min. Cármen Lúcia, j. 1º-2-2011, 1ª T, DJE de 23-2-2011 = HC 104.817, rel. min. Gilmar Mendes, j. 23-11-2010, 2ª T, DJE de 14-12-2010 A exigência de depósito prévio como requisito de admissibilidade de recurso administrativo – assunto de indiscutível relevância econômica, social e jurídica – já teve a sua inconstitucionalidade reconhecida por esta Corte, no julgamento do RE 388.359, do RE 389.383 e do RE 390.513, todos de relatoria do eminente ministro Marco Aurélio</w:t>
      </w:r>
    </w:p>
    <w:p>
      <w:pPr>
        <w:ind w:left="288"/>
      </w:pPr>
      <w:r>
        <w:rPr>
          <w:b/>
          <w:color w:val="003CA0"/>
          <w:sz w:val="16"/>
        </w:rPr>
        <w:t>[AI 698.626 QO-RG, rel. min. Ellen Gracie, j. 2-10-2008, P, DJE de 5-12-2008.]</w:t>
      </w:r>
    </w:p>
    <w:p>
      <w:pPr>
        <w:ind w:left="288"/>
      </w:pPr>
      <w:r>
        <w:rPr>
          <w:color w:val="8C8C8C"/>
          <w:sz w:val="12"/>
        </w:rPr>
        <w:t>cf-art-5-inc-XL</w:t>
      </w:r>
      <w:r>
        <w:rPr>
          <w:color w:val="003CA0"/>
          <w:sz w:val="12"/>
        </w:rPr>
        <w:t xml:space="preserve"> | ADPF 156</w:t>
      </w:r>
      <w:r>
        <w:rPr>
          <w:color w:val="003CA0"/>
          <w:sz w:val="12"/>
        </w:rPr>
        <w:t xml:space="preserve"> | rel. Cármen Lúcia</w:t>
      </w:r>
    </w:p>
    <w:p>
      <w:pPr>
        <w:ind w:left="288"/>
      </w:pPr>
      <w:r>
        <w:rPr>
          <w:color w:val="1E1E1E"/>
          <w:sz w:val="18"/>
        </w:rPr>
        <w:t>Vide ADPF 156, rel. min. Cármen Lúcia, j. 18-8-2011, P, DJE de 28-10-2011 O sistema constitucional brasileiro impede que se apliquem leis penais supervenientes mais gravosas, como aquelas que afastam a incidência de causas extintivas da punibilidade sobre fatos delituosos cometidos em momento anterior ao da edição da lex gravior. A eficácia ultrativa da norma penal mais benéfica – sob cuja égide foi praticado o fato delituoso – deve prevalecer por efeito do que prescreve o art. 5º, XL, da Constituição, sempre que, ocorrendo sucessão de leis penais no tempo, constatar-se que o diploma legislati</w:t>
      </w:r>
    </w:p>
    <w:p>
      <w:pPr>
        <w:ind w:left="288"/>
      </w:pPr>
      <w:r>
        <w:rPr>
          <w:b/>
          <w:color w:val="003CA0"/>
          <w:sz w:val="16"/>
        </w:rPr>
        <w:t>[HC 90.140, rel. min. Celso de Mello, j. 11-3-2008, 2ª T, DJE de 17-10-2008.]</w:t>
      </w:r>
    </w:p>
    <w:p>
      <w:pPr>
        <w:ind w:left="288"/>
      </w:pPr>
      <w:r>
        <w:rPr>
          <w:color w:val="8C8C8C"/>
          <w:sz w:val="12"/>
        </w:rPr>
        <w:t>cf-art-5-inc-XL</w:t>
      </w:r>
      <w:r>
        <w:rPr>
          <w:color w:val="003CA0"/>
          <w:sz w:val="12"/>
        </w:rPr>
        <w:t xml:space="preserve"> | HC 100.882</w:t>
      </w:r>
      <w:r>
        <w:rPr>
          <w:color w:val="003CA0"/>
          <w:sz w:val="12"/>
        </w:rPr>
        <w:t xml:space="preserve"> | rel. Ricardo Lewandowski</w:t>
      </w:r>
    </w:p>
    <w:p>
      <w:pPr>
        <w:ind w:left="288"/>
      </w:pPr>
      <w:r>
        <w:rPr>
          <w:color w:val="1E1E1E"/>
          <w:sz w:val="18"/>
        </w:rPr>
        <w:t>= HC 100.882, rel. min. Ricardo Lewandowski, j. 25-5-2010, 1ª T, DJE de 25-6-2010 Suspensão de direitos políticos pela condenação criminal: direito intertemporal. À incidência da regra do art. 15, III, da Constituição, sobre os condenados na sua vigência, não cabe opor a circunstância de ser o fato criminoso anterior à promulgação dela a fim de invocar a garantia da irretroatividade da lei penal mais severa: cuidando-se de norma originária da Constituição, obviamente não lhe são oponíveis as limitações materiais que nela se impuseram ao poder de reforma constitucional.</w:t>
      </w:r>
    </w:p>
    <w:p>
      <w:pPr>
        <w:ind w:left="288"/>
      </w:pPr>
      <w:r>
        <w:rPr>
          <w:b/>
          <w:color w:val="003CA0"/>
          <w:sz w:val="16"/>
        </w:rPr>
        <w:t>[RE 418.876, rel. min. Sepúlveda Pertence, j. 30-3-2004, 1ª T, DJ de 4-6-2004.]</w:t>
      </w:r>
    </w:p>
    <w:p>
      <w:pPr>
        <w:ind w:left="288"/>
      </w:pPr>
      <w:r>
        <w:rPr>
          <w:color w:val="8C8C8C"/>
          <w:sz w:val="12"/>
        </w:rPr>
        <w:t>cf-art-5-inc-XL</w:t>
      </w:r>
      <w:r>
        <w:rPr>
          <w:color w:val="003CA0"/>
          <w:sz w:val="12"/>
        </w:rPr>
        <w:t xml:space="preserve"> | RE 395.269</w:t>
      </w:r>
      <w:r>
        <w:rPr>
          <w:color w:val="003CA0"/>
          <w:sz w:val="12"/>
        </w:rPr>
        <w:t xml:space="preserve"> | rel. Gilmar Mendes</w:t>
      </w:r>
    </w:p>
    <w:p>
      <w:pPr>
        <w:ind w:left="288"/>
      </w:pPr>
      <w:r>
        <w:rPr>
          <w:color w:val="1E1E1E"/>
          <w:sz w:val="18"/>
        </w:rPr>
        <w:t>Não retroatividade da lei mais benigna para alcançar pena já cumprida.</w:t>
      </w:r>
    </w:p>
    <w:p>
      <w:pPr>
        <w:ind w:left="288"/>
      </w:pPr>
      <w:r>
        <w:rPr>
          <w:b/>
          <w:color w:val="003CA0"/>
          <w:sz w:val="16"/>
        </w:rPr>
        <w:t>[RE 395.269 AgR, rel. min. Gilmar Mendes, j. 10-2-2004, 2ª T, DJ de 5-3-2004.]</w:t>
      </w:r>
    </w:p>
    <w:p>
      <w:pPr>
        <w:ind w:left="288"/>
      </w:pPr>
      <w:r>
        <w:rPr>
          <w:color w:val="8C8C8C"/>
          <w:sz w:val="12"/>
        </w:rPr>
        <w:t>cf-art-5-inc-XL</w:t>
      </w:r>
      <w:r>
        <w:rPr>
          <w:color w:val="003CA0"/>
          <w:sz w:val="12"/>
        </w:rPr>
        <w:t xml:space="preserve"> | EXT 864</w:t>
      </w:r>
      <w:r>
        <w:rPr>
          <w:color w:val="003CA0"/>
          <w:sz w:val="12"/>
        </w:rPr>
        <w:t xml:space="preserve"> | rel. Sepúlveda Pertence</w:t>
      </w:r>
    </w:p>
    <w:p>
      <w:pPr>
        <w:ind w:left="288"/>
      </w:pPr>
      <w:r>
        <w:rPr>
          <w:color w:val="1E1E1E"/>
          <w:sz w:val="18"/>
        </w:rPr>
        <w:t>Extradição: lei ou tratado: aplicabilidade imediata. As normas extradicionais, legais ou convencionais, não constituem lei penal, não incidindo, em consequência, a vedação constitucional de aplicação a fato anterior da legislação penal menos favorável.</w:t>
      </w:r>
    </w:p>
    <w:p>
      <w:pPr>
        <w:ind w:left="288"/>
      </w:pPr>
      <w:r>
        <w:rPr>
          <w:b/>
          <w:color w:val="003CA0"/>
          <w:sz w:val="16"/>
        </w:rPr>
        <w:t>[Ext 864, rel. min. Sepúlveda Pertence, j. 18-6-2003, P, DJ de 29-8-2003.]</w:t>
      </w:r>
    </w:p>
    <w:p>
      <w:pPr>
        <w:ind w:left="288"/>
      </w:pPr>
      <w:r>
        <w:rPr>
          <w:color w:val="8C8C8C"/>
          <w:sz w:val="12"/>
        </w:rPr>
        <w:t>cf-art-5-inc-XL</w:t>
      </w:r>
      <w:r>
        <w:rPr>
          <w:color w:val="003CA0"/>
          <w:sz w:val="12"/>
        </w:rPr>
        <w:t xml:space="preserve"> | HC 74.132</w:t>
      </w:r>
      <w:r>
        <w:rPr>
          <w:color w:val="003CA0"/>
          <w:sz w:val="12"/>
        </w:rPr>
        <w:t xml:space="preserve"> | rel. Sydney Sanches</w:t>
      </w:r>
    </w:p>
    <w:p>
      <w:pPr>
        <w:ind w:left="288"/>
      </w:pPr>
      <w:r>
        <w:rPr>
          <w:color w:val="1E1E1E"/>
          <w:sz w:val="18"/>
        </w:rPr>
        <w:t>Precedentes do Plenário e das Turmas têm proclamado que os decretos com benefícios coletivos de indulto e comutação podem favorecer os condenados por certos delitos e excluir os condenados por outros. Essa exclusão pode fazer-se com a simples referência aos crimes que a lei classifica como hediondos (Lei 8.072, de 1990). A alusão, no decreto presidencial de indulto e comutação de penas, aos crimes hediondos, assim considerados na Lei 8.072, de 25-7-1990, modificada pela Lei 8.930, de 6-9-1994, foi uma forma simplificada de referir-se a cada um deles (inclusive o de latrocínio), para excluí-los</w:t>
      </w:r>
    </w:p>
    <w:p>
      <w:pPr>
        <w:ind w:left="288"/>
      </w:pPr>
      <w:r>
        <w:rPr>
          <w:b/>
          <w:color w:val="003CA0"/>
          <w:sz w:val="16"/>
        </w:rPr>
        <w:t>[HC 74.132, rel. min. Sydney Sanches, j. 22-8-1996, P, DJ de 27-9-1996.]</w:t>
      </w:r>
    </w:p>
    <w:p>
      <w:pPr>
        <w:ind w:left="288"/>
      </w:pPr>
      <w:r>
        <w:rPr>
          <w:color w:val="8C8C8C"/>
          <w:sz w:val="12"/>
        </w:rPr>
        <w:t>cf-art-5-inc-XL</w:t>
      </w:r>
      <w:r>
        <w:rPr>
          <w:color w:val="003CA0"/>
          <w:sz w:val="12"/>
        </w:rPr>
        <w:t xml:space="preserve"> | HC 81.810</w:t>
      </w:r>
      <w:r>
        <w:rPr>
          <w:color w:val="003CA0"/>
          <w:sz w:val="12"/>
        </w:rPr>
        <w:t xml:space="preserve"> | rel. Cezar Peluso</w:t>
      </w:r>
    </w:p>
    <w:p>
      <w:pPr>
        <w:ind w:left="288"/>
      </w:pPr>
      <w:r>
        <w:rPr>
          <w:color w:val="1E1E1E"/>
          <w:sz w:val="18"/>
        </w:rPr>
        <w:t>= HC 81.810, rel. min. Cezar Peluso, j. 16-4-2009, P, DJE de 7-8-2009 Vide HC 101.238, rel. min. Eros Grau, j. 2-2-2010, 2ª T, DJE de 21-5-2010 Vide RE 452.991, rel. min. Marco Aurélio, j. 7-4-2009, 1ª T, DJE de 21-8-2009 A cláusula constitucional inscrita no art. 5º, XL, da Carta Política – que consagra o princípio da irretroatividade da lex gravior – incide, no âmbito de sua aplicabilidade, unicamente, sobre as normas de direito penal material, que, no plano da tipificação, ou no da definição das penas aplicáveis, ou no da disciplinação do seu modo de execução, ou, ainda, no do reconheciment</w:t>
      </w:r>
    </w:p>
    <w:p>
      <w:pPr>
        <w:ind w:left="288"/>
      </w:pPr>
      <w:r>
        <w:rPr>
          <w:b/>
          <w:color w:val="003CA0"/>
          <w:sz w:val="16"/>
        </w:rPr>
        <w:t>[AI 177.313 AgR-ED, rel. min. Celso de Mello, j. 18-6-1996, 1ª T, DJ de 13-9-1996.]</w:t>
      </w:r>
    </w:p>
    <w:p>
      <w:pPr>
        <w:ind w:left="288"/>
      </w:pPr>
      <w:r>
        <w:rPr>
          <w:color w:val="8C8C8C"/>
          <w:sz w:val="12"/>
        </w:rPr>
        <w:t>cf-art-5-inc-XL</w:t>
      </w:r>
      <w:r>
        <w:rPr>
          <w:color w:val="003CA0"/>
          <w:sz w:val="12"/>
        </w:rPr>
        <w:t xml:space="preserve"> | HC 70.641</w:t>
      </w:r>
      <w:r>
        <w:rPr>
          <w:color w:val="003CA0"/>
          <w:sz w:val="12"/>
        </w:rPr>
        <w:t xml:space="preserve"> | rel. Sepúlveda Pertence</w:t>
      </w:r>
    </w:p>
    <w:p>
      <w:pPr>
        <w:ind w:left="288"/>
      </w:pPr>
      <w:r>
        <w:rPr>
          <w:color w:val="1E1E1E"/>
          <w:sz w:val="18"/>
        </w:rPr>
        <w:t>Lei penal: retroatividade in melius: inteligência. Lei superveniente, que atribuiu efeito extintivo da punibilidade de determinados crimes ao pagamento de tributos, desde que anterior ao recebimento da denúncia; inaplicabilidade ao pagamento só efetivado posteriormente ao recebimento da denúncia e, no caso, ao próprio trânsito em julgado da condenação. A retroatividade da lei penal mais favorável consiste basicamente em imputar as consequências jurídicas benéficas aos fatos nela previstos, embora ocorridos anteriormente à sua vigência, sem, contudo, poder fazer retroceder o próprio curso do te</w:t>
      </w:r>
    </w:p>
    <w:p>
      <w:pPr>
        <w:ind w:left="288"/>
      </w:pPr>
      <w:r>
        <w:rPr>
          <w:b/>
          <w:color w:val="003CA0"/>
          <w:sz w:val="16"/>
        </w:rPr>
        <w:t>[HC 70.641, rel. min. Sepúlveda Pertence, j. 10-5-1994, 1ª T, DJ de 26-8-1994.]</w:t>
      </w:r>
    </w:p>
    <w:p>
      <w:pPr>
        <w:ind w:left="288"/>
      </w:pPr>
      <w:r>
        <w:rPr>
          <w:color w:val="8C8C8C"/>
          <w:sz w:val="12"/>
        </w:rPr>
        <w:t>cf-art-5-inc-XL</w:t>
      </w:r>
      <w:r>
        <w:rPr>
          <w:color w:val="003CA0"/>
          <w:sz w:val="12"/>
        </w:rPr>
        <w:t xml:space="preserve"> | ADO 26</w:t>
      </w:r>
      <w:r>
        <w:rPr>
          <w:color w:val="003CA0"/>
          <w:sz w:val="12"/>
        </w:rPr>
        <w:t xml:space="preserve"> | rel. Celso de Mello</w:t>
      </w:r>
    </w:p>
    <w:p>
      <w:pPr>
        <w:ind w:left="288"/>
      </w:pPr>
      <w:r>
        <w:rPr>
          <w:color w:val="1E1E1E"/>
          <w:sz w:val="18"/>
        </w:rPr>
        <w:t>XLI - a lei punirá qualquer discriminação atentatória dos direitos e liberdades fundamentais; Até que sobrevenha lei emanada do Congresso Nacional destinada a implementar os mandados de criminalização definidos nos incisos XLI e XLII do art. 5º da Constituição da República, as condutas homofóbicas e transfóbicas, reais ou supostas, que envolvem aversão odiosa à orientação sexual ou à identidade de gênero de alguém, por traduzirem expressões de racismo, compreendido este em sua dimensão social, ajustam-se, por identidade de razão e mediante adequação típica, aos preceitos primários de incrimina</w:t>
      </w:r>
    </w:p>
    <w:p>
      <w:pPr>
        <w:ind w:left="288"/>
      </w:pPr>
      <w:r>
        <w:rPr>
          <w:b/>
          <w:color w:val="003CA0"/>
          <w:sz w:val="16"/>
        </w:rPr>
        <w:t>[ADO 26, rel. min. Celso de Mello, j. 13-6-2019, P, DJE de 6-10-2020.]</w:t>
      </w:r>
    </w:p>
    <w:p>
      <w:pPr>
        <w:ind w:left="288"/>
      </w:pPr>
      <w:r>
        <w:rPr>
          <w:color w:val="8C8C8C"/>
          <w:sz w:val="12"/>
        </w:rPr>
        <w:t>cf-art-5-inc-XL</w:t>
      </w:r>
      <w:r>
        <w:rPr>
          <w:color w:val="003CA0"/>
          <w:sz w:val="12"/>
        </w:rPr>
        <w:t xml:space="preserve"> | MI 4.733</w:t>
      </w:r>
      <w:r>
        <w:rPr>
          <w:color w:val="003CA0"/>
          <w:sz w:val="12"/>
        </w:rPr>
        <w:t xml:space="preserve"> | rel. Edson Fachin</w:t>
      </w:r>
    </w:p>
    <w:p>
      <w:pPr>
        <w:ind w:left="288"/>
      </w:pPr>
      <w:r>
        <w:rPr>
          <w:color w:val="1E1E1E"/>
          <w:sz w:val="18"/>
        </w:rPr>
        <w:t>= MI 4.733, rel. min. Edson Fachin, j. 13-6-2019, P, DJE de 29-9-2020 Vide MI 4.733 ED, rel. min. Edson Fachin, j. 22-8-2023, P, DJE de 11-9-2023 No tocante à violência doméstica, há de considerar-se a necessidade da intervenção estatal. (...) No caso presente, não bastasse a situação de notória desigualdade considerada a mulher, aspecto suficiente a legitimar o necessário tratamento normativo desigual, tem-se como base para assim se proceder a dignidade da pessoa humana – art. 1º, III –, o direito fundamental de igualdade – art. 5º, I – e a previsão pedagógica segundo a qual a lei punirá qual</w:t>
      </w:r>
    </w:p>
    <w:p>
      <w:pPr>
        <w:ind w:left="288"/>
      </w:pPr>
      <w:r>
        <w:rPr>
          <w:b/>
          <w:color w:val="003CA0"/>
          <w:sz w:val="16"/>
        </w:rPr>
        <w:t>[ADI 4.424, voto do min. Marco Aurélio, j. 9-2-2012, P, DJE de 1º-8-2014.]</w:t>
      </w:r>
    </w:p>
    <w:p>
      <w:pPr>
        <w:ind w:left="288"/>
      </w:pPr>
      <w:r>
        <w:rPr>
          <w:color w:val="8C8C8C"/>
          <w:sz w:val="12"/>
        </w:rPr>
        <w:t>cf-art-5-inc-XL</w:t>
      </w:r>
      <w:r>
        <w:rPr>
          <w:color w:val="003CA0"/>
          <w:sz w:val="12"/>
        </w:rPr>
        <w:t xml:space="preserve"> | MI 4.733</w:t>
      </w:r>
      <w:r>
        <w:rPr>
          <w:color w:val="003CA0"/>
          <w:sz w:val="12"/>
        </w:rPr>
        <w:t xml:space="preserve"> | rel. Edson Fachin</w:t>
      </w:r>
    </w:p>
    <w:p>
      <w:pPr>
        <w:ind w:left="288"/>
      </w:pPr>
      <w:r>
        <w:rPr>
          <w:color w:val="1E1E1E"/>
          <w:sz w:val="18"/>
        </w:rPr>
        <w:t>Mandado de injunção julgado procedente, para (i) reconhecer a mora inconstitucional do Congresso Nacional e; (ii) aplicar, até que o Congresso Nacional venha a legislar a respeito, a Lei 7.716/89 à discriminação por orientação sexual ou identidade de gênero. O crime de injúria racial reúne todos os elementos necessários à sua caracterização como uma das espécies de racismo e por ser espécie do gênero racismo, o crime de injúria racial é imprescritível. (...) Entendimento positivado pela Lei 14.532/2023. Tendo em vista que a injúria racial constitui uma espécie do crime de racismo, e que a disc</w:t>
      </w:r>
    </w:p>
    <w:p>
      <w:pPr>
        <w:ind w:left="288"/>
      </w:pPr>
      <w:r>
        <w:rPr>
          <w:b/>
          <w:color w:val="003CA0"/>
          <w:sz w:val="16"/>
        </w:rPr>
        <w:t>[MI 4.733 ED, rel. min. Edson Fachin, j. 22-8-2023, P, DJE de 11-9-2023.]</w:t>
      </w:r>
    </w:p>
    <w:p>
      <w:pPr>
        <w:ind w:left="288"/>
      </w:pPr>
      <w:r>
        <w:rPr>
          <w:color w:val="8C8C8C"/>
          <w:sz w:val="12"/>
        </w:rPr>
        <w:t>cf-art-5-inc-XL</w:t>
      </w:r>
      <w:r>
        <w:rPr>
          <w:color w:val="003CA0"/>
          <w:sz w:val="12"/>
        </w:rPr>
        <w:t xml:space="preserve"> | ADO 26</w:t>
      </w:r>
      <w:r>
        <w:rPr>
          <w:color w:val="003CA0"/>
          <w:sz w:val="12"/>
        </w:rPr>
        <w:t xml:space="preserve"> | rel. Celso de Mello</w:t>
      </w:r>
    </w:p>
    <w:p>
      <w:pPr>
        <w:ind w:left="288"/>
      </w:pPr>
      <w:r>
        <w:rPr>
          <w:color w:val="1E1E1E"/>
          <w:sz w:val="18"/>
        </w:rPr>
        <w:t xml:space="preserve">Vide ADO 26, rel. min. Celso de Mello, j. 13-6-2019, P, DJE de 6-10-2020 XLII - a prática do racismo constitui crime inafiançável e imprescritível, sujeito à pena de reclusão, nos termos da lei; Até que sobrevenha lei emanada do Congresso Nacional destinada a implementar os mandados de criminalização definidos nos incisos XLI e XLII do art. 5º da Constituição da República, as condutas homofóbicas e transfóbicas, reais ou supostas, que envolvem aversão odiosa à orientação sexual ou à identidade de gênero de alguém, por traduzirem expressões de racismo, compreendido este em sua dimensão social, </w:t>
      </w:r>
    </w:p>
    <w:p>
      <w:pPr>
        <w:ind w:left="288"/>
      </w:pPr>
      <w:r>
        <w:rPr>
          <w:b/>
          <w:color w:val="003CA0"/>
          <w:sz w:val="16"/>
        </w:rPr>
        <w:t>[ADO 26, rel. min. Celso de Mello, j. 13-6-2019, P, DJE de 6-10-2020.]</w:t>
      </w:r>
    </w:p>
    <w:p>
      <w:pPr>
        <w:ind w:left="288"/>
      </w:pPr>
      <w:r>
        <w:rPr>
          <w:color w:val="8C8C8C"/>
          <w:sz w:val="12"/>
        </w:rPr>
        <w:t>cf-art-5-inc-XL</w:t>
      </w:r>
      <w:r>
        <w:rPr>
          <w:color w:val="003CA0"/>
          <w:sz w:val="12"/>
        </w:rPr>
        <w:t xml:space="preserve"> | MI 4.733</w:t>
      </w:r>
      <w:r>
        <w:rPr>
          <w:color w:val="003CA0"/>
          <w:sz w:val="12"/>
        </w:rPr>
        <w:t xml:space="preserve"> | rel. Edson Fachin</w:t>
      </w:r>
    </w:p>
    <w:p>
      <w:pPr>
        <w:ind w:left="288"/>
      </w:pPr>
      <w:r>
        <w:rPr>
          <w:color w:val="1E1E1E"/>
          <w:sz w:val="18"/>
        </w:rPr>
        <w:t>= MI 4.733, rel. min. Edson Fachin, j. 13-6-2019, P, DJE de 29-9-2020 Vide MI 4.733 ED, rel. min. Edson Fachin, j. 22-8-2023, P, DJE de 11-9-2023 Mandado de injunção julgado procedente, para (i) reconhecer a mora inconstitucional do Congresso Nacional e; (ii) aplicar, até que o Congresso Nacional venha a legislar a respeito, a Lei 7.716/89 à discriminação por orientação sexual ou identidade de gênero. O crime de injúria racial reúne todos os elementos necessários à sua caracterização como uma das espécies de racismo e por ser espécie do gênero racismo, o crime de injúria racial é imprescritíve</w:t>
      </w:r>
    </w:p>
    <w:p>
      <w:pPr>
        <w:ind w:left="288"/>
      </w:pPr>
      <w:r>
        <w:rPr>
          <w:b/>
          <w:color w:val="003CA0"/>
          <w:sz w:val="16"/>
        </w:rPr>
        <w:t>[MI 4.733 ED, rel. min. Edson Fachin, j. 22-8-2023, P, DJE de 11-9-2023.]</w:t>
      </w:r>
    </w:p>
    <w:p>
      <w:pPr>
        <w:ind w:left="288"/>
      </w:pPr>
      <w:r>
        <w:rPr>
          <w:color w:val="8C8C8C"/>
          <w:sz w:val="12"/>
        </w:rPr>
        <w:t>cf-art-5-inc-XL</w:t>
      </w:r>
      <w:r>
        <w:rPr>
          <w:color w:val="003CA0"/>
          <w:sz w:val="12"/>
        </w:rPr>
        <w:t xml:space="preserve"> | ADO 26</w:t>
      </w:r>
      <w:r>
        <w:rPr>
          <w:color w:val="003CA0"/>
          <w:sz w:val="12"/>
        </w:rPr>
        <w:t xml:space="preserve"> | rel. Celso de Mello</w:t>
      </w:r>
    </w:p>
    <w:p>
      <w:pPr>
        <w:ind w:left="288"/>
      </w:pPr>
      <w:r>
        <w:rPr>
          <w:color w:val="1E1E1E"/>
          <w:sz w:val="18"/>
        </w:rPr>
        <w:t>Vide ADO 26, rel. min. Celso de Mello, j. 13-6-2019, P, DJE de 6-10-2020 Conforme assentou o STF, no julgamento da Ext 1.042, 19-12-2006, Pertence, a CF não proíbe a suspensão da prescrição, por prazo indeterminado, na hipótese do art. 366 do CPP. A indeterminação do prazo da suspensão não constitui, a rigor, hipótese de imprescritibilidade: não impede a retomada do curso da prescrição, apenas a condiciona a um evento futuro e incerto, situação substancialmente diversa da imprescritibilidade. Ademais, a CF se limita, no art. 5º, XLII e XLIV, a excluir os crimes que enumera da incidência materi</w:t>
      </w:r>
    </w:p>
    <w:p>
      <w:pPr>
        <w:ind w:left="288"/>
      </w:pPr>
      <w:r>
        <w:rPr>
          <w:b/>
          <w:color w:val="003CA0"/>
          <w:sz w:val="16"/>
        </w:rPr>
        <w:t>[RE 460.971, rel. min. Sepúlveda Pertence, j. 13-2-2007, 1ª T, DJ de 30-3-2007.]</w:t>
      </w:r>
    </w:p>
    <w:p>
      <w:pPr>
        <w:ind w:left="288"/>
      </w:pPr>
      <w:r>
        <w:rPr>
          <w:color w:val="8C8C8C"/>
          <w:sz w:val="12"/>
        </w:rPr>
        <w:t>cf-art-5-inc-XL</w:t>
      </w:r>
      <w:r>
        <w:rPr>
          <w:color w:val="003CA0"/>
          <w:sz w:val="12"/>
        </w:rPr>
        <w:t xml:space="preserve"> | HC 82.424</w:t>
      </w:r>
      <w:r>
        <w:rPr>
          <w:color w:val="003CA0"/>
          <w:sz w:val="12"/>
        </w:rPr>
        <w:t xml:space="preserve"> | rel. Moreira Alves</w:t>
      </w:r>
    </w:p>
    <w:p>
      <w:pPr>
        <w:ind w:left="288"/>
      </w:pPr>
      <w:r>
        <w:rPr>
          <w:color w:val="1E1E1E"/>
          <w:sz w:val="18"/>
        </w:rPr>
        <w:t>Escrever, editar, divulgar e comerciar livros "fazendo apologia de ideias preconceituosas e discriminatórias" contra a comunidade judaica (Lei 7.716/1989, art. 20, na redação dada pela Lei 8.081/1990) constitui crime de racismo sujeito às cláusulas de inafiançabilidade e imprescritibilidade (CF, art. 5º, XLII). Aplicação do princípio da prescritibilidade geral dos crimes: se os judeus não são uma raça, segue-se que contra eles não pode haver discriminação capaz de ensejar a exceção constitucional de imprescritibilidade. Inconsistência da premissa.</w:t>
      </w:r>
    </w:p>
    <w:p>
      <w:pPr>
        <w:ind w:left="288"/>
      </w:pPr>
      <w:r>
        <w:rPr>
          <w:b/>
          <w:color w:val="003CA0"/>
          <w:sz w:val="16"/>
        </w:rPr>
        <w:t>[HC 82.424, rel. min. Moreira Alves, red. do ac. min. Maurício Corrêa, j. 17-9-2003, P, DJ de 19-3-2004.]</w:t>
      </w:r>
    </w:p>
    <w:p>
      <w:pPr>
        <w:ind w:left="288"/>
      </w:pPr>
      <w:r>
        <w:rPr>
          <w:color w:val="8C8C8C"/>
          <w:sz w:val="12"/>
        </w:rPr>
        <w:t>cf-art-5-inc-XL</w:t>
      </w:r>
    </w:p>
    <w:p>
      <w:pPr>
        <w:ind w:left="288"/>
      </w:pPr>
      <w:r>
        <w:rPr>
          <w:color w:val="1E1E1E"/>
          <w:sz w:val="18"/>
        </w:rPr>
        <w:t>XLIII - a lei considerará crimes inafiançáveis e insuscetíveis de graça ou anistia a prática da tortura, o tráfico ilícito de entorpecentes e drogas afins, o terrorismo e os definidos como crimes hediondos, por eles respondendo os mandantes, os executores e os que, podendo evitá-los, se omitirem; Para efeito de progressão de regime no cumprimento de pena por crime hediondo, ou equiparado, o juízo da execução observará a inconstitucionalidade do art. 2º da Lei 8.072, de 25-7-1990, sem prejuízo de avaliar se o condenado preenche, ou não, os requisitos objetivos e subjetivos do benefício, podendo</w:t>
      </w:r>
    </w:p>
    <w:p>
      <w:pPr>
        <w:ind w:left="288"/>
      </w:pPr>
      <w:r>
        <w:rPr>
          <w:b/>
          <w:color w:val="003CA0"/>
          <w:sz w:val="16"/>
        </w:rPr>
        <w:t>[Súmula Vinculante 26.]</w:t>
      </w:r>
    </w:p>
    <w:p>
      <w:pPr>
        <w:ind w:left="288"/>
      </w:pPr>
      <w:r>
        <w:rPr>
          <w:color w:val="8C8C8C"/>
          <w:sz w:val="12"/>
        </w:rPr>
        <w:t>cf-art-5-inc-XL</w:t>
      </w:r>
      <w:r>
        <w:rPr>
          <w:color w:val="003CA0"/>
          <w:sz w:val="12"/>
        </w:rPr>
        <w:t xml:space="preserve"> | ADPF 153</w:t>
      </w:r>
      <w:r>
        <w:rPr>
          <w:color w:val="003CA0"/>
          <w:sz w:val="12"/>
        </w:rPr>
        <w:t xml:space="preserve"> | rel. Eros Grau</w:t>
      </w:r>
    </w:p>
    <w:p>
      <w:pPr>
        <w:ind w:left="288"/>
      </w:pPr>
      <w:r>
        <w:rPr>
          <w:color w:val="1E1E1E"/>
          <w:sz w:val="18"/>
        </w:rPr>
        <w:t>A chamada Lei da Anistia veicula uma decisão política assumida naquele momento – o momento da transição conciliada de 1979. A Lei 6.683 é uma lei-medida, não uma regra para o futuro, dotada de abstração e generalidade. Há de ser interpretada a partir da realidade no momento em que foi conquistada. A Lei 6.683/1979 precede a Convenção das Nações Unidas contra a Tortura e Outros Tratamentos ou Penas Cruéis, Desumanos ou Degradantes – adotada pela Assembleia Geral em 10-12-1984, vigorando desde 26-6-1987 – e a Lei 9.455, de 7-4-1997, que define o crime de tortura; e o preceito veiculado pelo art.</w:t>
      </w:r>
    </w:p>
    <w:p>
      <w:pPr>
        <w:ind w:left="288"/>
      </w:pPr>
      <w:r>
        <w:rPr>
          <w:b/>
          <w:color w:val="003CA0"/>
          <w:sz w:val="16"/>
        </w:rPr>
        <w:t>[ADPF 153, rel. min. Eros Grau, j. 29-4-2010, P, DJE de 6-8-2010.]</w:t>
      </w:r>
    </w:p>
    <w:p>
      <w:pPr>
        <w:ind w:left="288"/>
      </w:pPr>
      <w:r>
        <w:rPr>
          <w:color w:val="8C8C8C"/>
          <w:sz w:val="12"/>
        </w:rPr>
        <w:t>cf-art-5-inc-XL</w:t>
      </w:r>
      <w:r>
        <w:rPr>
          <w:color w:val="003CA0"/>
          <w:sz w:val="12"/>
        </w:rPr>
        <w:t xml:space="preserve"> | ADI 3.112</w:t>
      </w:r>
      <w:r>
        <w:rPr>
          <w:color w:val="003CA0"/>
          <w:sz w:val="12"/>
        </w:rPr>
        <w:t xml:space="preserve"> | rel. Ricardo Lewandowski</w:t>
      </w:r>
    </w:p>
    <w:p>
      <w:pPr>
        <w:ind w:left="288"/>
      </w:pPr>
      <w:r>
        <w:rPr>
          <w:color w:val="1E1E1E"/>
          <w:sz w:val="18"/>
        </w:rPr>
        <w:t>Lei 10.826/2003. Estatuto do desarmamento. (...) A proibição de estabelecimento de fiança para os delitos de "porte ilegal de arma de fogo de uso permitido" e de "disparo de arma de fogo" mostra-se desarrazoada, porquanto são crimes de mera conduta, que não se equiparam aos crimes que acarretam lesão ou ameaça de lesão à vida ou à propriedade.</w:t>
      </w:r>
    </w:p>
    <w:p>
      <w:pPr>
        <w:ind w:left="288"/>
      </w:pPr>
      <w:r>
        <w:rPr>
          <w:b/>
          <w:color w:val="003CA0"/>
          <w:sz w:val="16"/>
        </w:rPr>
        <w:t>[ADI 3.112, rel. min. Ricardo Lewandowski, j. 2-5-2007, P, DJ de 26-10-2007.]</w:t>
      </w:r>
    </w:p>
    <w:p>
      <w:pPr>
        <w:ind w:left="288"/>
      </w:pPr>
      <w:r>
        <w:rPr>
          <w:color w:val="8C8C8C"/>
          <w:sz w:val="12"/>
        </w:rPr>
        <w:t>cf-art-5-inc-XL</w:t>
      </w:r>
      <w:r>
        <w:rPr>
          <w:color w:val="003CA0"/>
          <w:sz w:val="12"/>
        </w:rPr>
        <w:t xml:space="preserve"> | ADI 2.795</w:t>
      </w:r>
      <w:r>
        <w:rPr>
          <w:color w:val="003CA0"/>
          <w:sz w:val="12"/>
        </w:rPr>
        <w:t xml:space="preserve"> | rel. Maurício Corrêa</w:t>
      </w:r>
    </w:p>
    <w:p>
      <w:pPr>
        <w:ind w:left="288"/>
      </w:pPr>
      <w:r>
        <w:rPr>
          <w:color w:val="1E1E1E"/>
          <w:sz w:val="18"/>
        </w:rPr>
        <w:t>A concessão de indulto aos condenados a penas privativas de liberdade insere-se no exercício do poder discricionário do presidente da República, limitado à vedação prevista no inciso XLIII do art. 5º da Carta da República. A outorga do benefício, precedido das cautelas devidas, não pode ser obstado por hipotética alegação de ameaça à segurança social, que tem como parâmetro simplesmente o montante da pena aplicada. Revela-se inconstitucional a possibilidade de que o indulto seja concedido aos condenados por crimes hediondos, de tortura, terrorismo ou tráfico ilícito de entorpecentes e drogas a</w:t>
      </w:r>
    </w:p>
    <w:p>
      <w:pPr>
        <w:ind w:left="288"/>
      </w:pPr>
      <w:r>
        <w:rPr>
          <w:b/>
          <w:color w:val="003CA0"/>
          <w:sz w:val="16"/>
        </w:rPr>
        <w:t>[ADI 2.795 MC, rel. min. Maurício Corrêa, j. 8-5-2003, P, DJ de 20-6-2003.]</w:t>
      </w:r>
    </w:p>
    <w:p>
      <w:pPr>
        <w:ind w:left="288"/>
      </w:pPr>
      <w:r>
        <w:rPr>
          <w:color w:val="8C8C8C"/>
          <w:sz w:val="12"/>
        </w:rPr>
        <w:t>cf-art-5-inc-XL</w:t>
      </w:r>
      <w:r>
        <w:rPr>
          <w:color w:val="003CA0"/>
          <w:sz w:val="12"/>
        </w:rPr>
        <w:t xml:space="preserve"> | RE 1.542.482</w:t>
      </w:r>
      <w:r>
        <w:rPr>
          <w:color w:val="003CA0"/>
          <w:sz w:val="12"/>
        </w:rPr>
        <w:t xml:space="preserve"> | rel. Luís Roberto Barroso</w:t>
      </w:r>
    </w:p>
    <w:p>
      <w:pPr>
        <w:ind w:left="288"/>
      </w:pPr>
      <w:r>
        <w:rPr>
          <w:color w:val="1E1E1E"/>
          <w:sz w:val="18"/>
        </w:rPr>
        <w:t>“É constitucional a concessão de indulto a condenado por tráfico privilegiado, uma vez que o crime não tem natureza hedionda”.</w:t>
      </w:r>
    </w:p>
    <w:p>
      <w:pPr>
        <w:ind w:left="288"/>
      </w:pPr>
      <w:r>
        <w:rPr>
          <w:b/>
          <w:color w:val="003CA0"/>
          <w:sz w:val="16"/>
        </w:rPr>
        <w:t>[RE 1.542.482 RG, rel. min. Luís Roberto Barroso, j. 30.05.2025, P, DJE de 09.06.2025, Tema 1.400, com mérito julgado.]</w:t>
      </w:r>
    </w:p>
    <w:p>
      <w:pPr>
        <w:ind w:left="288"/>
      </w:pPr>
      <w:r>
        <w:rPr>
          <w:color w:val="8C8C8C"/>
          <w:sz w:val="12"/>
        </w:rPr>
        <w:t>cf-art-5-inc-XL</w:t>
      </w:r>
      <w:r>
        <w:rPr>
          <w:color w:val="003CA0"/>
          <w:sz w:val="12"/>
        </w:rPr>
        <w:t xml:space="preserve"> | ARE 1.052.700</w:t>
      </w:r>
      <w:r>
        <w:rPr>
          <w:color w:val="003CA0"/>
          <w:sz w:val="12"/>
        </w:rPr>
        <w:t xml:space="preserve"> | rel. Edson Fachin</w:t>
      </w:r>
    </w:p>
    <w:p>
      <w:pPr>
        <w:ind w:left="288"/>
      </w:pPr>
      <w:r>
        <w:rPr>
          <w:color w:val="1E1E1E"/>
          <w:sz w:val="18"/>
        </w:rPr>
        <w:t>É inconstitucional a fixação ex lege, com base no art. 2º, § 1º, da Lei 8.072/1990, do regime inicial fechado, devendo o julgador, quando da condenação, ater-se aos parâmetros previstos no art. 33 do CP.</w:t>
      </w:r>
    </w:p>
    <w:p>
      <w:pPr>
        <w:ind w:left="288"/>
      </w:pPr>
      <w:r>
        <w:rPr>
          <w:b/>
          <w:color w:val="003CA0"/>
          <w:sz w:val="16"/>
        </w:rPr>
        <w:t>[ARE 1.052.700 RG, rel. min. Edson Fachin, j. 2-11-2017, P, DJE de 1º-2-2018, Tema 972, com mérito julgado.]</w:t>
      </w:r>
    </w:p>
    <w:p>
      <w:pPr>
        <w:ind w:left="288"/>
      </w:pPr>
      <w:r>
        <w:rPr>
          <w:color w:val="8C8C8C"/>
          <w:sz w:val="12"/>
        </w:rPr>
        <w:t>cf-art-5-inc-XL</w:t>
      </w:r>
      <w:r>
        <w:rPr>
          <w:color w:val="003CA0"/>
          <w:sz w:val="12"/>
        </w:rPr>
        <w:t xml:space="preserve"> | RE 1.038.925</w:t>
      </w:r>
      <w:r>
        <w:rPr>
          <w:color w:val="003CA0"/>
          <w:sz w:val="12"/>
        </w:rPr>
        <w:t xml:space="preserve"> | rel. Gilmar Mendes</w:t>
      </w:r>
    </w:p>
    <w:p>
      <w:pPr>
        <w:ind w:left="288"/>
      </w:pPr>
      <w:r>
        <w:rPr>
          <w:color w:val="1E1E1E"/>
          <w:sz w:val="18"/>
        </w:rPr>
        <w:t>É inconstitucional a expressão “e liberdade provisória”, constante do caput do art. 44 da Lei 11.343/2006.</w:t>
      </w:r>
    </w:p>
    <w:p>
      <w:pPr>
        <w:ind w:left="288"/>
      </w:pPr>
      <w:r>
        <w:rPr>
          <w:b/>
          <w:color w:val="003CA0"/>
          <w:sz w:val="16"/>
        </w:rPr>
        <w:t>[RE 1.038.925 RG, rel. min. Gilmar Mendes, j. 18-8-2017, P, DJE de 19-9-2017, Tema 959, com mérito julgado.]</w:t>
      </w:r>
    </w:p>
    <w:p>
      <w:pPr>
        <w:ind w:left="288"/>
      </w:pPr>
      <w:r>
        <w:rPr>
          <w:color w:val="8C8C8C"/>
          <w:sz w:val="12"/>
        </w:rPr>
        <w:t>cf-art-5-inc-XL</w:t>
      </w:r>
      <w:r>
        <w:rPr>
          <w:color w:val="003CA0"/>
          <w:sz w:val="12"/>
        </w:rPr>
        <w:t xml:space="preserve"> | HC 97.256.</w:t>
      </w:r>
      <w:r>
        <w:rPr>
          <w:color w:val="003CA0"/>
          <w:sz w:val="12"/>
        </w:rPr>
        <w:t xml:space="preserve"> | rel. Luiz Fux</w:t>
      </w:r>
    </w:p>
    <w:p>
      <w:pPr>
        <w:ind w:left="288"/>
      </w:pPr>
      <w:r>
        <w:rPr>
          <w:color w:val="1E1E1E"/>
          <w:sz w:val="18"/>
        </w:rPr>
        <w:t>Tráfico ilícito de entorpecentes. Substituição da pena privativa de liberdade por restritiva de direitos. Entendimento consolidado no HC 97.256. Inconstitucionalidade da vedação. Controvérsia constitucional com repercussão geral. Reafirmação da jurisprudência do STF.</w:t>
      </w:r>
    </w:p>
    <w:p>
      <w:pPr>
        <w:ind w:left="288"/>
      </w:pPr>
      <w:r>
        <w:rPr>
          <w:b/>
          <w:color w:val="003CA0"/>
          <w:sz w:val="16"/>
        </w:rPr>
        <w:t>[ARE 663.261 RG, rel. min. Luiz Fux, j. 13-12-2012, P, DJE de 6-2-2013, Tema 626, com mérito julgado.]</w:t>
      </w:r>
    </w:p>
    <w:p>
      <w:pPr>
        <w:ind w:left="288"/>
      </w:pPr>
      <w:r>
        <w:rPr>
          <w:color w:val="8C8C8C"/>
          <w:sz w:val="12"/>
        </w:rPr>
        <w:t>cf-art-5-inc-XL</w:t>
      </w:r>
      <w:r>
        <w:rPr>
          <w:color w:val="003CA0"/>
          <w:sz w:val="12"/>
        </w:rPr>
        <w:t xml:space="preserve"> | HC 85.894</w:t>
      </w:r>
      <w:r>
        <w:rPr>
          <w:color w:val="003CA0"/>
          <w:sz w:val="12"/>
        </w:rPr>
        <w:t xml:space="preserve"> | rel. Gilmar Mendes</w:t>
      </w:r>
    </w:p>
    <w:p>
      <w:pPr>
        <w:ind w:left="288"/>
      </w:pPr>
      <w:r>
        <w:rPr>
          <w:color w:val="1E1E1E"/>
          <w:sz w:val="18"/>
        </w:rPr>
        <w:t>Vide HC 85.894, rel. min. Gilmar Mendes, j. 19-4-2007, P, DJ de 28-9-2007 Vide HC 82.959, rel. min. Marco Aurélio, j. 23-2-2006, P, DJ de 1º-9-2006 Vide HC 84.928, rel. min. Cezar Peluso, j. 27-9-2005, 1ª T, DJ de 11-11-2005 (...) em caso análogo ao presente, o Ministro Alexandre de Moraes, ao julgar o HC 214.741/SP, assentou “[...] que ‘a revogação do § 2º do art. 2º da Lei 8.072/90 pela Lei 13.964/2019 não tem o condão de retirar do tráfico de drogas sua caracterização como delito equiparado a hediondo, pois a classificação da narcotraficância como infração penal equiparada a hedionda decorr</w:t>
      </w:r>
    </w:p>
    <w:p>
      <w:pPr>
        <w:ind w:left="288"/>
      </w:pPr>
      <w:r>
        <w:rPr>
          <w:b/>
          <w:color w:val="003CA0"/>
          <w:sz w:val="16"/>
        </w:rPr>
        <w:t>[HC 215.771 AgR, rel. min. Ricardo Lewandowski, j. 22-8-2022, 2ª T, DJE de 5-9-2022.]</w:t>
      </w:r>
    </w:p>
    <w:p>
      <w:pPr>
        <w:ind w:left="288"/>
      </w:pPr>
      <w:r>
        <w:rPr>
          <w:color w:val="8C8C8C"/>
          <w:sz w:val="12"/>
        </w:rPr>
        <w:t>cf-art-5-inc-XL</w:t>
      </w:r>
      <w:r>
        <w:rPr>
          <w:color w:val="003CA0"/>
          <w:sz w:val="12"/>
        </w:rPr>
        <w:t xml:space="preserve"> | HC 101.919</w:t>
      </w:r>
      <w:r>
        <w:rPr>
          <w:color w:val="003CA0"/>
          <w:sz w:val="12"/>
        </w:rPr>
        <w:t xml:space="preserve"> | rel. Marco Aurélio</w:t>
      </w:r>
    </w:p>
    <w:p>
      <w:pPr>
        <w:ind w:left="288"/>
      </w:pPr>
      <w:r>
        <w:rPr>
          <w:color w:val="1E1E1E"/>
          <w:sz w:val="18"/>
        </w:rPr>
        <w:t>O óbice, previsto no art. 44 da Lei 11.343/2006, à suspensão condicional da pena imposta ante tráfico de drogas mostra-se afinado com a Lei 8.072/1990 e com o disposto no inciso XLIII do art. 5º da CF.</w:t>
      </w:r>
    </w:p>
    <w:p>
      <w:pPr>
        <w:ind w:left="288"/>
      </w:pPr>
      <w:r>
        <w:rPr>
          <w:b/>
          <w:color w:val="003CA0"/>
          <w:sz w:val="16"/>
        </w:rPr>
        <w:t>[HC 101.919, rel. min. Marco Aurélio, j. 6-9-2011, 1ª T, DJE de 26-10-2011.]</w:t>
      </w:r>
    </w:p>
    <w:p>
      <w:pPr>
        <w:ind w:left="288"/>
      </w:pPr>
      <w:r>
        <w:rPr>
          <w:color w:val="8C8C8C"/>
          <w:sz w:val="12"/>
        </w:rPr>
        <w:t>cf-art-5-inc-XL</w:t>
      </w:r>
      <w:r>
        <w:rPr>
          <w:color w:val="003CA0"/>
          <w:sz w:val="12"/>
        </w:rPr>
        <w:t xml:space="preserve"> | HC 96.869</w:t>
      </w:r>
      <w:r>
        <w:rPr>
          <w:color w:val="003CA0"/>
          <w:sz w:val="12"/>
        </w:rPr>
        <w:t xml:space="preserve"> | rel. Marco Aurélio</w:t>
      </w:r>
    </w:p>
    <w:p>
      <w:pPr>
        <w:ind w:left="288"/>
      </w:pPr>
      <w:r>
        <w:rPr>
          <w:color w:val="1E1E1E"/>
          <w:sz w:val="18"/>
        </w:rPr>
        <w:t>Segundo dispõe o § 2º do art. 2º da Lei 8.072/1990, na sentença, o juízo decidirá, fundamentadamente, sobre a possibilidade, ou não, de o condenado interpor recurso em liberdade, sendo motivo para não acolher o pleito o fato de a persecução criminal haver revelado a necessidade de ter-se o deferimento de extradição.</w:t>
      </w:r>
    </w:p>
    <w:p>
      <w:pPr>
        <w:ind w:left="288"/>
      </w:pPr>
      <w:r>
        <w:rPr>
          <w:b/>
          <w:color w:val="003CA0"/>
          <w:sz w:val="16"/>
        </w:rPr>
        <w:t>[HC 96.869, rel. min. Marco Aurélio, j. 4-5-2010, 1ª T, DJE de 28-5-2010.]</w:t>
      </w:r>
    </w:p>
    <w:p>
      <w:pPr>
        <w:ind w:left="288"/>
      </w:pPr>
      <w:r>
        <w:rPr>
          <w:color w:val="8C8C8C"/>
          <w:sz w:val="12"/>
        </w:rPr>
        <w:t>cf-art-5-inc-XL</w:t>
      </w:r>
      <w:r>
        <w:rPr>
          <w:color w:val="003CA0"/>
          <w:sz w:val="12"/>
        </w:rPr>
        <w:t xml:space="preserve"> | HC 92.612</w:t>
      </w:r>
      <w:r>
        <w:rPr>
          <w:color w:val="003CA0"/>
          <w:sz w:val="12"/>
        </w:rPr>
        <w:t xml:space="preserve"> | rel. Ricardo Lewandowski</w:t>
      </w:r>
    </w:p>
    <w:p>
      <w:pPr>
        <w:ind w:left="288"/>
      </w:pPr>
      <w:r>
        <w:rPr>
          <w:color w:val="1E1E1E"/>
          <w:sz w:val="18"/>
        </w:rPr>
        <w:t>Vide HC 92.612, rel. min. Ricardo Lewandowski, j. 11-3-2008, 1ª T, DJE de 11-4-2008 A fixação do regime inicial fechado de cumprimento de pena para os crimes hediondos decorre de expressa previsão legal. (...) A Lei 11.464/2007, no que tange à alteração promovida na redação do art. 2º, § 1º, da Lei 8.072/1990, deve ter aplicação retroativa por ser considerada mais benéfica ao sentenciado.</w:t>
      </w:r>
    </w:p>
    <w:p>
      <w:pPr>
        <w:ind w:left="288"/>
      </w:pPr>
      <w:r>
        <w:rPr>
          <w:b/>
          <w:color w:val="003CA0"/>
          <w:sz w:val="16"/>
        </w:rPr>
        <w:t>[HC 97.984, rel. min. Ricardo Lewandowski, j. 17-11-2009, 1ª T, DJE de 18-12-2009.]</w:t>
      </w:r>
    </w:p>
    <w:p>
      <w:pPr>
        <w:ind w:left="288"/>
      </w:pPr>
      <w:r>
        <w:rPr>
          <w:color w:val="8C8C8C"/>
          <w:sz w:val="12"/>
        </w:rPr>
        <w:t>cf-art-5-inc-XL</w:t>
      </w:r>
      <w:r>
        <w:rPr>
          <w:color w:val="003CA0"/>
          <w:sz w:val="12"/>
        </w:rPr>
        <w:t xml:space="preserve"> | HC 91.360</w:t>
      </w:r>
      <w:r>
        <w:rPr>
          <w:color w:val="003CA0"/>
          <w:sz w:val="12"/>
        </w:rPr>
        <w:t xml:space="preserve"> | rel. Joaquim Barbosa</w:t>
      </w:r>
    </w:p>
    <w:p>
      <w:pPr>
        <w:ind w:left="288"/>
      </w:pPr>
      <w:r>
        <w:rPr>
          <w:color w:val="1E1E1E"/>
          <w:sz w:val="18"/>
        </w:rPr>
        <w:t>= HC 91.360, rel. min. Joaquim Barbosa, j. 13-5-2009, 2ª T, DJE de 20-6-2009 Crime de tortura. Condenação que implica a perda do cargo ou função pública. (...) O acórdão recorrido está em consonância com a jurisprudência do STF no sentido que é permitida a decretação de perda do cargo ou função pública, no caso de condenação por crime de tortura (art. 1º, § 5º, da Lei 9.455/1997).</w:t>
      </w:r>
    </w:p>
    <w:p>
      <w:pPr>
        <w:ind w:left="288"/>
      </w:pPr>
      <w:r>
        <w:rPr>
          <w:b/>
          <w:color w:val="003CA0"/>
          <w:sz w:val="16"/>
        </w:rPr>
        <w:t>[AI 748.600 AgR, rel. min. Eros Grau, j. 23-6-2009, 2ª T, DJE de 7-8-2009.]</w:t>
      </w:r>
    </w:p>
    <w:p>
      <w:pPr>
        <w:ind w:left="288"/>
      </w:pPr>
      <w:r>
        <w:rPr>
          <w:color w:val="8C8C8C"/>
          <w:sz w:val="12"/>
        </w:rPr>
        <w:t>cf-art-5-inc-XL</w:t>
      </w:r>
      <w:r>
        <w:rPr>
          <w:color w:val="003CA0"/>
          <w:sz w:val="12"/>
        </w:rPr>
        <w:t xml:space="preserve"> | ARE 799.102</w:t>
      </w:r>
      <w:r>
        <w:rPr>
          <w:color w:val="003CA0"/>
          <w:sz w:val="12"/>
        </w:rPr>
        <w:t xml:space="preserve"> | rel. Luiz Fux</w:t>
      </w:r>
    </w:p>
    <w:p>
      <w:pPr>
        <w:ind w:left="288"/>
      </w:pPr>
      <w:r>
        <w:rPr>
          <w:color w:val="1E1E1E"/>
          <w:sz w:val="18"/>
        </w:rPr>
        <w:t>= ARE 799.102 AgR-segundo, rel. min. Luiz Fux, j. 9-12-2014, 1ª T, DJE de 9-2-2015 = AI 769.637 AgR-ED-ED, rel. min. Celso de Mello, j. 25-6-2013, 2ª T, DJE de 16-10-2013 O art. 5º, XLIII, da CF, que proíbe a graça, gênero do qual o indulto é espécie, nos crimes hediondos definidos em lei, não conflita com o art. 84, XII, da Lei Maior. O decreto presidencial que concede o indulto configura ato de governo, caracterizado pela ampla discricionariedade.</w:t>
      </w:r>
    </w:p>
    <w:p>
      <w:pPr>
        <w:ind w:left="288"/>
      </w:pPr>
      <w:r>
        <w:rPr>
          <w:b/>
          <w:color w:val="003CA0"/>
          <w:sz w:val="16"/>
        </w:rPr>
        <w:t>[HC 90.364, rel. min. Ricardo Lewandowski, j. 31-10-2007, P, DJ de 30-11-2007.]</w:t>
      </w:r>
    </w:p>
    <w:p>
      <w:pPr>
        <w:ind w:left="288"/>
      </w:pPr>
      <w:r>
        <w:rPr>
          <w:color w:val="8C8C8C"/>
          <w:sz w:val="12"/>
        </w:rPr>
        <w:t>cf-art-5-inc-XL</w:t>
      </w:r>
      <w:r>
        <w:rPr>
          <w:color w:val="003CA0"/>
          <w:sz w:val="12"/>
        </w:rPr>
        <w:t xml:space="preserve"> | HC 81.810</w:t>
      </w:r>
      <w:r>
        <w:rPr>
          <w:color w:val="003CA0"/>
          <w:sz w:val="12"/>
        </w:rPr>
        <w:t xml:space="preserve"> | rel. Cezar Peluso</w:t>
      </w:r>
    </w:p>
    <w:p>
      <w:pPr>
        <w:ind w:left="288"/>
      </w:pPr>
      <w:r>
        <w:rPr>
          <w:color w:val="1E1E1E"/>
          <w:sz w:val="18"/>
        </w:rPr>
        <w:t>= HC 81.810, rel. min. Cezar Peluso, j. 16-4-2009, P, DJE de 7-8-2009 A progressão no regime de cumprimento da pena, nas espécies fechado, semiaberto e aberto, tem como razão maior a ressocialização do preso que, mais dia ou menos dia, voltará ao convívio social. (...) Conflita com a garantia da individualização da pena – art. 5º, XLVI, da CF – a imposição, mediante norma, do cumprimento da pena em regime integralmente fechado. Nova inteligência do princípio da individualização da pena, em evolução jurisprudencial, assentada a inconstitucionalidade do art. 2º, § 1º, da Lei 8.072/1990.</w:t>
      </w:r>
    </w:p>
    <w:p>
      <w:pPr>
        <w:ind w:left="288"/>
      </w:pPr>
      <w:r>
        <w:rPr>
          <w:b/>
          <w:color w:val="003CA0"/>
          <w:sz w:val="16"/>
        </w:rPr>
        <w:t>[HC 82.959, rel. min. Marco Aurélio, j. 23-2-2006, P, DJ de 1º-9-2006.]</w:t>
      </w:r>
    </w:p>
    <w:p>
      <w:pPr>
        <w:ind w:left="288"/>
      </w:pPr>
      <w:r>
        <w:rPr>
          <w:color w:val="8C8C8C"/>
          <w:sz w:val="12"/>
        </w:rPr>
        <w:t>cf-art-5-inc-XL</w:t>
      </w:r>
      <w:r>
        <w:rPr>
          <w:color w:val="003CA0"/>
          <w:sz w:val="12"/>
        </w:rPr>
        <w:t xml:space="preserve"> | EXT 855</w:t>
      </w:r>
      <w:r>
        <w:rPr>
          <w:color w:val="003CA0"/>
          <w:sz w:val="12"/>
        </w:rPr>
        <w:t xml:space="preserve"> | rel. Celso de Mello</w:t>
      </w:r>
    </w:p>
    <w:p>
      <w:pPr>
        <w:ind w:left="288"/>
      </w:pPr>
      <w:r>
        <w:rPr>
          <w:color w:val="1E1E1E"/>
          <w:sz w:val="18"/>
        </w:rPr>
        <w:t>O repúdio ao terrorismo: um compromisso ético-jurídico assumido pelo Brasil, quer em face de sua própria Constituição, quer perante a comunidade internacional. Os atos delituosos de natureza terrorista, considerados os parâmetros consagrados pela vigente Constituição da República, não se subsumem à noção de criminalidade política, pois a Lei Fundamental proclamou o repúdio ao terrorismo como um dos princípios essenciais que devem reger o Estado brasileiro em suas relações internacionais (CF, art. 4º, VIII), além de haver qualificado o terrorismo, para efeito de repressão interna, como crime eq</w:t>
      </w:r>
    </w:p>
    <w:p>
      <w:pPr>
        <w:ind w:left="288"/>
      </w:pPr>
      <w:r>
        <w:rPr>
          <w:b/>
          <w:color w:val="003CA0"/>
          <w:sz w:val="16"/>
        </w:rPr>
        <w:t>[Ext 855, rel. min. Celso de Mello, j. 26-8-2004, P, DJ de 1º-7-2005.]</w:t>
      </w:r>
    </w:p>
    <w:p>
      <w:pPr>
        <w:ind w:left="288"/>
      </w:pPr>
      <w:r>
        <w:rPr>
          <w:color w:val="8C8C8C"/>
          <w:sz w:val="12"/>
        </w:rPr>
        <w:t>cf-art-5-inc-XL</w:t>
      </w:r>
      <w:r>
        <w:rPr>
          <w:color w:val="003CA0"/>
          <w:sz w:val="12"/>
        </w:rPr>
        <w:t xml:space="preserve"> | HC 84.312</w:t>
      </w:r>
      <w:r>
        <w:rPr>
          <w:color w:val="003CA0"/>
          <w:sz w:val="12"/>
        </w:rPr>
        <w:t xml:space="preserve"> | rel. Sepúlveda Pertence</w:t>
      </w:r>
    </w:p>
    <w:p>
      <w:pPr>
        <w:ind w:left="288"/>
      </w:pPr>
      <w:r>
        <w:rPr>
          <w:color w:val="1E1E1E"/>
          <w:sz w:val="18"/>
        </w:rPr>
        <w:t>(...) é constitucional o art. 2º, I, da Lei 8.072/1990, porque, nele, a menção ao indulto é meramente expletiva da proibição de graça aos condenados por crimes hediondos ditada pelo art. 5º, XLIII, da Constituição. Na Constituição, a graça individual e o indulto coletivo – que ambos, tanto podem ser totais ou parciais, substantivando, nessa última hipótese, a comutação de pena – são modalidades do poder de graça do presidente da República (art. 84, XII) – que, no entanto, sofre a restrição do art. 5º, XLIII, para excluir a possibilidade de sua concessão, quando se trata de condenação por crime</w:t>
      </w:r>
    </w:p>
    <w:p>
      <w:pPr>
        <w:ind w:left="288"/>
      </w:pPr>
      <w:r>
        <w:rPr>
          <w:b/>
          <w:color w:val="003CA0"/>
          <w:sz w:val="16"/>
        </w:rPr>
        <w:t>[HC 84.312, rel. min. Sepúlveda Pertence, j. 15-6-2004, 1ª T, DJ de 25-6-2004.]</w:t>
      </w:r>
    </w:p>
    <w:p>
      <w:pPr>
        <w:ind w:left="288"/>
      </w:pPr>
      <w:r>
        <w:rPr>
          <w:color w:val="8C8C8C"/>
          <w:sz w:val="12"/>
        </w:rPr>
        <w:t>cf-art-5-inc-XL</w:t>
      </w:r>
      <w:r>
        <w:rPr>
          <w:color w:val="003CA0"/>
          <w:sz w:val="12"/>
        </w:rPr>
        <w:t xml:space="preserve"> | HC 103.618</w:t>
      </w:r>
      <w:r>
        <w:rPr>
          <w:color w:val="003CA0"/>
          <w:sz w:val="12"/>
        </w:rPr>
        <w:t xml:space="preserve"> | rel. Dias Toffoli</w:t>
      </w:r>
    </w:p>
    <w:p>
      <w:pPr>
        <w:ind w:left="288"/>
      </w:pPr>
      <w:r>
        <w:rPr>
          <w:color w:val="1E1E1E"/>
          <w:sz w:val="18"/>
        </w:rPr>
        <w:t>= HC 103.618, rel. min. Dias Toffoli, j. 24-8-2010, 1ª T, DJE de 8-11-2010 = HC 81.810, rel. min. Cezar Peluso, j. 16-4-2009, P, DJE de 7-8-2009 Vide HC 95.830, rel. min. Ellen Gracie, j. 9-6-2009, 2ª T, DJE de 26-6-2009 Vide RE 452.991, rel. min. Marco Aurélio, j. 7-4-2009, 1ª T, DJE de 21-8-2009 Os delitos de estupro e de atentado violento ao pudor, ainda que em sua forma simples, configuram modalidades de crime hediondo, sendo irrelevante – para efeito de incidência das restrições fundadas na Constituição da República (art. 5º, XLIII) e na Lei 8.072/1990 (art. 2º) – que a prática de qualque</w:t>
      </w:r>
    </w:p>
    <w:p>
      <w:pPr>
        <w:ind w:left="288"/>
      </w:pPr>
      <w:r>
        <w:rPr>
          <w:b/>
          <w:color w:val="003CA0"/>
          <w:sz w:val="16"/>
        </w:rPr>
        <w:t>[HC 82.235, rel. min. Celso de Mello, j. 24-9-2002, 2ª T, DJ de 28-2-2003.]</w:t>
      </w:r>
    </w:p>
    <w:p>
      <w:pPr>
        <w:ind w:left="288"/>
      </w:pPr>
      <w:r>
        <w:rPr>
          <w:color w:val="8C8C8C"/>
          <w:sz w:val="12"/>
        </w:rPr>
        <w:t>cf-art-5-inc-XL</w:t>
      </w:r>
      <w:r>
        <w:rPr>
          <w:color w:val="003CA0"/>
          <w:sz w:val="12"/>
        </w:rPr>
        <w:t xml:space="preserve"> | HC 99.406</w:t>
      </w:r>
      <w:r>
        <w:rPr>
          <w:color w:val="003CA0"/>
          <w:sz w:val="12"/>
        </w:rPr>
        <w:t xml:space="preserve"> | rel. Ellen Gracie</w:t>
      </w:r>
    </w:p>
    <w:p>
      <w:pPr>
        <w:ind w:left="288"/>
      </w:pPr>
      <w:r>
        <w:rPr>
          <w:color w:val="1E1E1E"/>
          <w:sz w:val="18"/>
        </w:rPr>
        <w:t>= HC 99.406, rel. min. Ellen Gracie, j. 24-8-2010, 2ª T, DJE de 10-9-2010 = HC 97.788, rel. min. Ricardo Lewandowski, j. 25-5-2010, 1ª T, DJE de 25-6-2010 Certo, a Constituição reservou a determinados crimes particular severidade repressiva (art. 5º, XLII, XLIII e XLIV). Mas, como observa Magalhães Gomes Filho, por sua natureza, as restrições que estabelecem são taxativas: delas, não se podem inferir, portanto, exceções a garantia constitucional – qual, a da vedação da prova ilícita –, estabelecida sem limitações em função da gravidade do crime investigado.</w:t>
      </w:r>
    </w:p>
    <w:p>
      <w:pPr>
        <w:ind w:left="288"/>
      </w:pPr>
      <w:r>
        <w:rPr>
          <w:b/>
          <w:color w:val="003CA0"/>
          <w:sz w:val="16"/>
        </w:rPr>
        <w:t>[HC 80.949, voto do min. Sepúlveda Pertence, j. 30-10-2001, 1ª T, DJ de 14-12-2001.]</w:t>
      </w:r>
    </w:p>
    <w:p>
      <w:pPr>
        <w:ind w:left="288"/>
      </w:pPr>
      <w:r>
        <w:rPr>
          <w:color w:val="8C8C8C"/>
          <w:sz w:val="12"/>
        </w:rPr>
        <w:t>cf-art-5-inc-XL</w:t>
      </w:r>
      <w:r>
        <w:rPr>
          <w:color w:val="003CA0"/>
          <w:sz w:val="12"/>
        </w:rPr>
        <w:t xml:space="preserve"> | HC 70.389</w:t>
      </w:r>
    </w:p>
    <w:p>
      <w:pPr>
        <w:ind w:left="288"/>
      </w:pPr>
      <w:r>
        <w:rPr>
          <w:color w:val="1E1E1E"/>
          <w:sz w:val="18"/>
        </w:rPr>
        <w:t>(...) o policial militar que, a pretexto de exercer atividade de repressão criminal em nome do Estado, inflige, mediante desempenho funcional abusivo, danos físicos a menor momentaneamente sujeito ao seu poder de coerção, valendo-se desse meio executivo para intimidá-lo e coagi-lo à confissão de determinado delito, pratica, inequivocamente, o crime de tortura, (...) expondo-se, em função desse comportamento arbitrário, a todas as consequências jurídicas que decorrem da Lei 8.072/1990 (art. 2º), editada com fundamento no art. 5º, XLIII, da Constituição.</w:t>
      </w:r>
    </w:p>
    <w:p>
      <w:pPr>
        <w:ind w:left="288"/>
      </w:pPr>
      <w:r>
        <w:rPr>
          <w:b/>
          <w:color w:val="003CA0"/>
          <w:sz w:val="16"/>
        </w:rPr>
        <w:t>[HC 70.389, voto do min. Celso de Mello, j. 23-6-1994, P, DJ de 10-8-2001.]</w:t>
      </w:r>
    </w:p>
    <w:p>
      <w:pPr>
        <w:ind w:left="288"/>
      </w:pPr>
      <w:r>
        <w:rPr>
          <w:color w:val="8C8C8C"/>
          <w:sz w:val="12"/>
        </w:rPr>
        <w:t>cf-art-5-inc-XL</w:t>
      </w:r>
      <w:r>
        <w:rPr>
          <w:color w:val="003CA0"/>
          <w:sz w:val="12"/>
        </w:rPr>
        <w:t xml:space="preserve"> | ADPF 153.</w:t>
      </w:r>
      <w:r>
        <w:rPr>
          <w:color w:val="003CA0"/>
          <w:sz w:val="12"/>
        </w:rPr>
        <w:t xml:space="preserve"> | rel. Alexandre de Moraes</w:t>
      </w:r>
    </w:p>
    <w:p>
      <w:pPr>
        <w:ind w:left="288"/>
      </w:pPr>
      <w:r>
        <w:rPr>
          <w:color w:val="1E1E1E"/>
          <w:sz w:val="18"/>
        </w:rPr>
        <w:t>XLIV - constitui crime inafiançável e imprescritível a ação de grupos armados, civis ou militares, contra a ordem constitucional e o Estado Democrático; Análise da recepção da Lei nº 6.683, de 28 de agosto de 1979, em relação aos crimes permanentes e àqueles que caracterizaram graves violações aos Direitos Humanos durante a Ditadura Militar, em virtude da decisão proferida pelo SUPREMO TRIBUNAL FEDERAL na ADPF 153.</w:t>
      </w:r>
    </w:p>
    <w:p>
      <w:pPr>
        <w:ind w:left="288"/>
      </w:pPr>
      <w:r>
        <w:rPr>
          <w:b/>
          <w:color w:val="003CA0"/>
          <w:sz w:val="16"/>
        </w:rPr>
        <w:t>[RE 881.748 RG, rel. min. Alexandre de Moraes, j. 21.2.2025, P, DJE de 28.2.2025, Tema 1.374, com mérito pendente.]</w:t>
      </w:r>
    </w:p>
    <w:p>
      <w:pPr>
        <w:ind w:left="288"/>
      </w:pPr>
      <w:r>
        <w:rPr>
          <w:color w:val="8C8C8C"/>
          <w:sz w:val="12"/>
        </w:rPr>
        <w:t>cf-art-5-inc-XL</w:t>
      </w:r>
      <w:r>
        <w:rPr>
          <w:color w:val="003CA0"/>
          <w:sz w:val="12"/>
        </w:rPr>
        <w:t xml:space="preserve"> | ADPF 153.</w:t>
      </w:r>
      <w:r>
        <w:rPr>
          <w:color w:val="003CA0"/>
          <w:sz w:val="12"/>
        </w:rPr>
        <w:t xml:space="preserve"> | rel. Alexandre de Moraes</w:t>
      </w:r>
    </w:p>
    <w:p>
      <w:pPr>
        <w:ind w:left="288"/>
      </w:pPr>
      <w:r>
        <w:rPr>
          <w:color w:val="1E1E1E"/>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r>
    </w:p>
    <w:p>
      <w:pPr>
        <w:ind w:left="288"/>
      </w:pPr>
      <w:r>
        <w:rPr>
          <w:b/>
          <w:color w:val="003CA0"/>
          <w:sz w:val="16"/>
        </w:rPr>
        <w:t>[ARE 1.316.562 RG, rel. min. Alexandre de Moraes, j. 21.2.2025, P, DJE de 28.2.2025, Tema 1.376, com mérito pendente.]</w:t>
      </w:r>
    </w:p>
    <w:p>
      <w:pPr>
        <w:ind w:left="288"/>
      </w:pPr>
      <w:r>
        <w:rPr>
          <w:color w:val="8C8C8C"/>
          <w:sz w:val="12"/>
        </w:rPr>
        <w:t>cf-art-5-inc-XL</w:t>
      </w:r>
      <w:r>
        <w:rPr>
          <w:color w:val="003CA0"/>
          <w:sz w:val="12"/>
        </w:rPr>
        <w:t xml:space="preserve"> | ADPF 153.</w:t>
      </w:r>
      <w:r>
        <w:rPr>
          <w:color w:val="003CA0"/>
          <w:sz w:val="12"/>
        </w:rPr>
        <w:t xml:space="preserve"> | rel. Alexandre de Moraes</w:t>
      </w:r>
    </w:p>
    <w:p>
      <w:pPr>
        <w:ind w:left="288"/>
      </w:pPr>
      <w:r>
        <w:rPr>
          <w:color w:val="1E1E1E"/>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r>
    </w:p>
    <w:p>
      <w:pPr>
        <w:ind w:left="288"/>
      </w:pPr>
      <w:r>
        <w:rPr>
          <w:b/>
          <w:color w:val="003CA0"/>
          <w:sz w:val="16"/>
        </w:rPr>
        <w:t>[ARE 1.058.822 RG, rel. min. Alexandre de Moraes, j. 21.2.2025, P, DJE de 28.2.2025, Tema 1.375, com mérito pendente.]</w:t>
      </w:r>
    </w:p>
    <w:p>
      <w:pPr>
        <w:ind w:left="288"/>
      </w:pPr>
      <w:r>
        <w:rPr>
          <w:color w:val="8C8C8C"/>
          <w:sz w:val="12"/>
        </w:rPr>
        <w:t>cf-art-5-inc-XL</w:t>
      </w:r>
      <w:r>
        <w:rPr>
          <w:color w:val="003CA0"/>
          <w:sz w:val="12"/>
        </w:rPr>
        <w:t xml:space="preserve"> | RE 1.501.674</w:t>
      </w:r>
      <w:r>
        <w:rPr>
          <w:color w:val="003CA0"/>
          <w:sz w:val="12"/>
        </w:rPr>
        <w:t xml:space="preserve"> | rel. Flávio Dino</w:t>
      </w:r>
    </w:p>
    <w:p>
      <w:pPr>
        <w:ind w:left="288"/>
      </w:pPr>
      <w:r>
        <w:rPr>
          <w:color w:val="1E1E1E"/>
          <w:sz w:val="18"/>
        </w:rPr>
        <w:t>Possibilidade, ou não, de reconhecimento de anistia a crime de ocultação de cadáver (crime permanente), cujo início da execução ocorreu antes da vigência da Lei da Anistia, mas continuou de modo ininterrupto a ser executado após a sua vigência, à luz da Emenda Constitucional 26/85 e da Lei nº. 6.683/79.</w:t>
      </w:r>
    </w:p>
    <w:p>
      <w:pPr>
        <w:ind w:left="288"/>
      </w:pPr>
      <w:r>
        <w:rPr>
          <w:b/>
          <w:color w:val="003CA0"/>
          <w:sz w:val="16"/>
        </w:rPr>
        <w:t>[RE 1.501.674 RG, rel. min. Flávio Dino, j. 14.2.2025, P, DJE de 26.2.2025, Tema 1.369, com mérito pendente.]</w:t>
      </w:r>
    </w:p>
    <w:p>
      <w:pPr>
        <w:ind w:left="288"/>
      </w:pPr>
      <w:r>
        <w:rPr>
          <w:color w:val="8C8C8C"/>
          <w:sz w:val="12"/>
        </w:rPr>
        <w:t>cf-art-5-inc-XL</w:t>
      </w:r>
      <w:r>
        <w:rPr>
          <w:color w:val="003CA0"/>
          <w:sz w:val="12"/>
        </w:rPr>
        <w:t xml:space="preserve"> | EXT 1.042</w:t>
      </w:r>
      <w:r>
        <w:rPr>
          <w:color w:val="003CA0"/>
          <w:sz w:val="12"/>
        </w:rPr>
        <w:t xml:space="preserve"> | rel. Sepúlveda Pertence</w:t>
      </w:r>
    </w:p>
    <w:p>
      <w:pPr>
        <w:ind w:left="288"/>
      </w:pPr>
      <w:r>
        <w:rPr>
          <w:color w:val="1E1E1E"/>
          <w:sz w:val="18"/>
        </w:rPr>
        <w:t>Conforme assentou o STF, no julgamento da Ext 1.042, 19-12-2006, Pertence, a CF não proíbe a suspensão da prescrição, por prazo indeterminado, na hipótese do art. 366 do CPP. A indeterminação do prazo da suspensão não constitui, a rigor, hipótese de imprescritibilidade: não impede a retomada do curso da prescrição, apenas a condiciona a um evento futuro e incerto, situação substancialmente diversa da imprescritibilidade. Ademais, a CF se limita, no art. 5º, XLII e XLIV, a excluir os crimes que enumera da incidência material das regras da prescrição, sem proibir, em tese, que a legislação ordin</w:t>
      </w:r>
    </w:p>
    <w:p>
      <w:pPr>
        <w:ind w:left="288"/>
      </w:pPr>
      <w:r>
        <w:rPr>
          <w:b/>
          <w:color w:val="003CA0"/>
          <w:sz w:val="16"/>
        </w:rPr>
        <w:t>[RE 460.971, rel. min. Sepúlveda Pertence, j. 13-2-2007, 1ª T, DJ de 30-3-2007.]</w:t>
      </w:r>
    </w:p>
    <w:p>
      <w:pPr>
        <w:ind w:left="288"/>
      </w:pPr>
      <w:r>
        <w:rPr>
          <w:color w:val="8C8C8C"/>
          <w:sz w:val="12"/>
        </w:rPr>
        <w:t>cf-art-5-inc-XL</w:t>
      </w:r>
      <w:r>
        <w:rPr>
          <w:color w:val="003CA0"/>
          <w:sz w:val="12"/>
        </w:rPr>
        <w:t xml:space="preserve"> | HC 80.949</w:t>
      </w:r>
    </w:p>
    <w:p>
      <w:pPr>
        <w:ind w:left="288"/>
      </w:pPr>
      <w:r>
        <w:rPr>
          <w:color w:val="1E1E1E"/>
          <w:sz w:val="18"/>
        </w:rPr>
        <w:t>Certo, a Constituição reservou a determinados crimes particular severidade repressiva (art. 5º, XLII, XLIII e XLIV). Mas, como observa Magalhães Gomes Filho, por sua natureza, as restrições que estabelecem são taxativas: delas, não se podem inferir, portanto, exceções a garantia constitucional – qual, a da vedação da prova ilícita –, estabelecida sem limitações em função da gravidade do crime investigado.</w:t>
      </w:r>
    </w:p>
    <w:p>
      <w:pPr>
        <w:ind w:left="288"/>
      </w:pPr>
      <w:r>
        <w:rPr>
          <w:b/>
          <w:color w:val="003CA0"/>
          <w:sz w:val="16"/>
        </w:rPr>
        <w:t>[HC 80.949, voto do min. Sepúlveda Pertence, j. 30-10-2001, 1ª T, DJ de 14-12-2001.]</w:t>
      </w:r>
    </w:p>
    <w:p>
      <w:pPr>
        <w:ind w:left="288"/>
      </w:pPr>
      <w:r>
        <w:rPr>
          <w:color w:val="8C8C8C"/>
          <w:sz w:val="12"/>
        </w:rPr>
        <w:t>cf-art-5-inc-XL</w:t>
      </w:r>
      <w:r>
        <w:rPr>
          <w:color w:val="003CA0"/>
          <w:sz w:val="12"/>
        </w:rPr>
        <w:t xml:space="preserve"> | HC 95.009</w:t>
      </w:r>
      <w:r>
        <w:rPr>
          <w:color w:val="003CA0"/>
          <w:sz w:val="12"/>
        </w:rPr>
        <w:t xml:space="preserve"> | rel. Eros Grau</w:t>
      </w:r>
    </w:p>
    <w:p>
      <w:pPr>
        <w:ind w:left="288"/>
      </w:pPr>
      <w:r>
        <w:rPr>
          <w:color w:val="1E1E1E"/>
          <w:sz w:val="18"/>
        </w:rPr>
        <w:t>XLV - nenhuma pena passará da pessoa do condenado, podendo a obrigação de reparar o dano e a decretação do perdimento de bens ser, nos termos da lei, estendidas aos sucessores e contra eles executadas, até o limite do valor do patrimônio transferido; De que vale declarar a Constituição que "a casa é asilo inviolável do indivíduo" (art. 5º, XI) se moradias são invadidas por policiais munidos de mandados que consubstanciem verdadeiras cartas brancas, mandados com poderes de a tudo devassar, só porque o habitante é suspeito de um crime? (...) Esses mandados ordinariamente autorizam a apreensão de</w:t>
      </w:r>
    </w:p>
    <w:p>
      <w:pPr>
        <w:ind w:left="288"/>
      </w:pPr>
      <w:r>
        <w:rPr>
          <w:b/>
          <w:color w:val="003CA0"/>
          <w:sz w:val="16"/>
        </w:rPr>
        <w:t>[HC 95.009, rel. min. Eros Grau, j. 6-11-2008, P, DJE de 19-12-2008.]</w:t>
      </w:r>
    </w:p>
    <w:p>
      <w:pPr>
        <w:ind w:left="288"/>
      </w:pPr>
      <w:r>
        <w:rPr>
          <w:color w:val="8C8C8C"/>
          <w:sz w:val="12"/>
        </w:rPr>
        <w:t>cf-art-5-inc-XL</w:t>
      </w:r>
      <w:r>
        <w:rPr>
          <w:color w:val="003CA0"/>
          <w:sz w:val="12"/>
        </w:rPr>
        <w:t xml:space="preserve"> | AC 1.033</w:t>
      </w:r>
      <w:r>
        <w:rPr>
          <w:color w:val="003CA0"/>
          <w:sz w:val="12"/>
        </w:rPr>
        <w:t xml:space="preserve"> | rel. Celso de Mello</w:t>
      </w:r>
    </w:p>
    <w:p>
      <w:pPr>
        <w:ind w:left="288"/>
      </w:pPr>
      <w:r>
        <w:rPr>
          <w:color w:val="1E1E1E"/>
          <w:sz w:val="18"/>
        </w:rPr>
        <w:t>O postulado da intranscendência impede que sanções e restrições de ordem jurídica superem a dimensão estritamente pessoal do infrator. Em virtude desse princípio, as limitações jurídicas que derivam da inscrição, no Cauc [Cadastro Único de Convênio], das autarquias, das empresas governamentais ou das entidades paraestatais não podem atingir os Estados-membros ou o Distrito Federal, projetando, sobre estes, consequências jurídicas desfavoráveis e gravosas, pois o inadimplemento obrigacional – por revelar-se unicamente imputável aos entes menores integrantes da administração descentralizada – só</w:t>
      </w:r>
    </w:p>
    <w:p>
      <w:pPr>
        <w:ind w:left="288"/>
      </w:pPr>
      <w:r>
        <w:rPr>
          <w:b/>
          <w:color w:val="003CA0"/>
          <w:sz w:val="16"/>
        </w:rPr>
        <w:t>[AC 1.033 AgR-QO, rel. min. Celso de Mello, j. 25-5-2006, P, DJ de 16-6-2006.]</w:t>
      </w:r>
    </w:p>
    <w:p>
      <w:pPr>
        <w:ind w:left="288"/>
      </w:pPr>
      <w:r>
        <w:rPr>
          <w:color w:val="8C8C8C"/>
          <w:sz w:val="12"/>
        </w:rPr>
        <w:t>cf-art-5-inc-XL</w:t>
      </w:r>
      <w:r>
        <w:rPr>
          <w:color w:val="003CA0"/>
          <w:sz w:val="12"/>
        </w:rPr>
        <w:t xml:space="preserve"> | ACO 1.289</w:t>
      </w:r>
      <w:r>
        <w:rPr>
          <w:color w:val="003CA0"/>
          <w:sz w:val="12"/>
        </w:rPr>
        <w:t xml:space="preserve"> | rel. Teori Zavascki</w:t>
      </w:r>
    </w:p>
    <w:p>
      <w:pPr>
        <w:ind w:left="288"/>
      </w:pPr>
      <w:r>
        <w:rPr>
          <w:color w:val="1E1E1E"/>
          <w:sz w:val="18"/>
        </w:rPr>
        <w:t>= ACO 1.289 AgR, rel. min. Teori Zavascki, j. 25-11-2015, P, DJE de 9-12-2015 A intransmissibilidade da pena traduz postulado de ordem constitucional. A sanção penal não passará da pessoa do delinquente. Vulnera o princípio da incontagiabilidade da pena a decisão judicial que permite ao condenado fazer-se substituir, por terceiro absolutamente estranho ao ilícito penal, na prestação de serviços à comunidade.</w:t>
      </w:r>
    </w:p>
    <w:p>
      <w:pPr>
        <w:ind w:left="288"/>
      </w:pPr>
      <w:r>
        <w:rPr>
          <w:b/>
          <w:color w:val="003CA0"/>
          <w:sz w:val="16"/>
        </w:rPr>
        <w:t>[HC 68.309, rel. min. Celso de Mello, j. 27-11-1990, 1ª T, DJ de 8-3-1991.]</w:t>
      </w:r>
    </w:p>
    <w:p>
      <w:pPr>
        <w:ind w:left="288"/>
      </w:pPr>
      <w:r>
        <w:rPr>
          <w:color w:val="8C8C8C"/>
          <w:sz w:val="12"/>
        </w:rPr>
        <w:t>cf-art-5-inc-XL</w:t>
      </w:r>
    </w:p>
    <w:p>
      <w:pPr>
        <w:ind w:left="288"/>
      </w:pPr>
      <w:r>
        <w:rPr>
          <w:color w:val="1E1E1E"/>
          <w:sz w:val="18"/>
        </w:rPr>
        <w:t>XLVI - a lei regulará a individualização da pena e adotará, entre outras, as seguintes: Para efeito de progressão de regime no cumprimento de pena por crime hediondo, ou equiparado, o juízo da execução observará a inconstitucionalidade do art. 2º da Lei 8.072, de 25-7-1990, sem prejuízo de avaliar se o condenado preenche, ou não, os requisitos objetivos e subjetivos do benefício, podendo determinar, para tal fim, de modo fundamentado, a realização de exame criminológico.</w:t>
      </w:r>
    </w:p>
    <w:p>
      <w:pPr>
        <w:ind w:left="288"/>
      </w:pPr>
      <w:r>
        <w:rPr>
          <w:b/>
          <w:color w:val="003CA0"/>
          <w:sz w:val="16"/>
        </w:rPr>
        <w:t>[Súmula Vinculante 26.]</w:t>
      </w:r>
    </w:p>
    <w:p>
      <w:pPr>
        <w:ind w:left="288"/>
      </w:pPr>
      <w:r>
        <w:rPr>
          <w:color w:val="8C8C8C"/>
          <w:sz w:val="12"/>
        </w:rPr>
        <w:t>cf-art-5-inc-XL</w:t>
      </w:r>
      <w:r>
        <w:rPr>
          <w:color w:val="003CA0"/>
          <w:sz w:val="12"/>
        </w:rPr>
        <w:t xml:space="preserve"> | RE 641.320</w:t>
      </w:r>
    </w:p>
    <w:p>
      <w:pPr>
        <w:ind w:left="288"/>
      </w:pPr>
      <w:r>
        <w:rPr>
          <w:color w:val="1E1E1E"/>
          <w:sz w:val="18"/>
        </w:rPr>
        <w:t>A falta de estabelecimento penal adequado não autoriza a manutenção do condenado em regime prisional mais gravoso, devendo-se observar, nessa hipótese, os parâmetros fixados no RE 641.320/RS.</w:t>
      </w:r>
    </w:p>
    <w:p>
      <w:pPr>
        <w:ind w:left="288"/>
      </w:pPr>
      <w:r>
        <w:rPr>
          <w:b/>
          <w:color w:val="003CA0"/>
          <w:sz w:val="16"/>
        </w:rPr>
        <w:t>[Súmula Vinculante 56.]</w:t>
      </w:r>
    </w:p>
    <w:p>
      <w:pPr>
        <w:ind w:left="288"/>
      </w:pPr>
      <w:r>
        <w:rPr>
          <w:color w:val="8C8C8C"/>
          <w:sz w:val="12"/>
        </w:rPr>
        <w:t>cf-art-5-inc-XL</w:t>
      </w:r>
    </w:p>
    <w:p>
      <w:pPr>
        <w:ind w:left="288"/>
      </w:pPr>
      <w:r>
        <w:rPr>
          <w:color w:val="1E1E1E"/>
          <w:sz w:val="18"/>
        </w:rPr>
        <w:t>A imposição do regime de cumprimento mais severo do que a pena aplicada permitir exige motivação idônea.</w:t>
      </w:r>
    </w:p>
    <w:p>
      <w:pPr>
        <w:ind w:left="288"/>
      </w:pPr>
      <w:r>
        <w:rPr>
          <w:b/>
          <w:color w:val="003CA0"/>
          <w:sz w:val="16"/>
        </w:rPr>
        <w:t>[Súmula 719.]</w:t>
      </w:r>
    </w:p>
    <w:p>
      <w:pPr>
        <w:ind w:left="288"/>
      </w:pPr>
      <w:r>
        <w:rPr>
          <w:color w:val="8C8C8C"/>
          <w:sz w:val="12"/>
        </w:rPr>
        <w:t>cf-art-5-inc-XL</w:t>
      </w:r>
    </w:p>
    <w:p>
      <w:pPr>
        <w:ind w:left="288"/>
      </w:pPr>
      <w:r>
        <w:rPr>
          <w:color w:val="1E1E1E"/>
          <w:sz w:val="18"/>
        </w:rPr>
        <w:t>Admite-se a progressão de regime de cumprimento da pena ou a aplicação imediata de regime menos severo nela determinada, antes do trânsito em julgado da sentença condenatória.</w:t>
      </w:r>
    </w:p>
    <w:p>
      <w:pPr>
        <w:ind w:left="288"/>
      </w:pPr>
      <w:r>
        <w:rPr>
          <w:b/>
          <w:color w:val="003CA0"/>
          <w:sz w:val="16"/>
        </w:rPr>
        <w:t>[Súmula 716.]</w:t>
      </w:r>
    </w:p>
    <w:p>
      <w:pPr>
        <w:ind w:left="288"/>
      </w:pPr>
      <w:r>
        <w:rPr>
          <w:color w:val="8C8C8C"/>
          <w:sz w:val="12"/>
        </w:rPr>
        <w:t>cf-art-5-inc-XL</w:t>
      </w:r>
    </w:p>
    <w:p>
      <w:pPr>
        <w:ind w:left="288"/>
      </w:pPr>
      <w:r>
        <w:rPr>
          <w:color w:val="1E1E1E"/>
          <w:sz w:val="18"/>
        </w:rPr>
        <w:t>A pena unificada para atender ao limite de trinta anos de cumprimento, determinado pelo art. 75 do CP, não é considerada para a concessão de outros benefícios, como o livramento condicional ou regime mais favorável de execução.</w:t>
      </w:r>
    </w:p>
    <w:p>
      <w:pPr>
        <w:ind w:left="288"/>
      </w:pPr>
      <w:r>
        <w:rPr>
          <w:b/>
          <w:color w:val="003CA0"/>
          <w:sz w:val="16"/>
        </w:rPr>
        <w:t>[Súmula 715.]</w:t>
      </w:r>
    </w:p>
    <w:p>
      <w:pPr>
        <w:ind w:left="288"/>
      </w:pPr>
      <w:r>
        <w:rPr>
          <w:color w:val="8C8C8C"/>
          <w:sz w:val="12"/>
        </w:rPr>
        <w:t>cf-art-5-inc-XL</w:t>
      </w:r>
      <w:r>
        <w:rPr>
          <w:color w:val="003CA0"/>
          <w:sz w:val="12"/>
        </w:rPr>
        <w:t xml:space="preserve"> | ADI 4.979</w:t>
      </w:r>
      <w:r>
        <w:rPr>
          <w:color w:val="003CA0"/>
          <w:sz w:val="12"/>
        </w:rPr>
        <w:t xml:space="preserve"> | rel. Nunes Marques</w:t>
      </w:r>
    </w:p>
    <w:p>
      <w:pPr>
        <w:ind w:left="288"/>
      </w:pPr>
      <w:r>
        <w:rPr>
          <w:color w:val="1E1E1E"/>
          <w:sz w:val="18"/>
        </w:rPr>
        <w:t>O princípio constitucional da individualização da pena, previsto no art. 5º, XLVI, da Constituição Federal, apresenta as seguintes dimensões: (i) necessidade de observância da proporcionalidade entre a sanção abstratamente cominada no preceito secundário da norma penal e a conduta descrita no tipo; (ii) concretização da pena pelo magistrado em conformidade com a conduta singular do agente e na medida de sua culpabilidade (CP, art. 59); e (iii) individualização no momento da execução, por meio de um sistema progressivo de cumprimento da pena privativa de liberdade em que seja considerada a natu</w:t>
      </w:r>
    </w:p>
    <w:p>
      <w:pPr>
        <w:ind w:left="288"/>
      </w:pPr>
      <w:r>
        <w:rPr>
          <w:b/>
          <w:color w:val="003CA0"/>
          <w:sz w:val="16"/>
        </w:rPr>
        <w:t>[ADI 4.979, rel. min. Nunes Marques, j. 19.08.2024, P, DJE de 02.09.2024.]</w:t>
      </w:r>
    </w:p>
    <w:p>
      <w:pPr>
        <w:ind w:left="288"/>
      </w:pPr>
      <w:r>
        <w:rPr>
          <w:color w:val="8C8C8C"/>
          <w:sz w:val="12"/>
        </w:rPr>
        <w:t>cf-art-5-inc-XL</w:t>
      </w:r>
      <w:r>
        <w:rPr>
          <w:color w:val="003CA0"/>
          <w:sz w:val="12"/>
        </w:rPr>
        <w:t xml:space="preserve"> | ARE 1.481.688</w:t>
      </w:r>
      <w:r>
        <w:rPr>
          <w:color w:val="003CA0"/>
          <w:sz w:val="12"/>
        </w:rPr>
        <w:t xml:space="preserve"> | rel. Luís Roberto Barroso</w:t>
      </w:r>
    </w:p>
    <w:p>
      <w:pPr>
        <w:ind w:left="288"/>
      </w:pPr>
      <w:r>
        <w:rPr>
          <w:color w:val="1E1E1E"/>
          <w:sz w:val="18"/>
        </w:rPr>
        <w:t>“É infraconstitucional a controvérsia sobre o período de valoração de bom comportamento durante a execução da pena para fins de concessão de livramento condicional”.</w:t>
      </w:r>
    </w:p>
    <w:p>
      <w:pPr>
        <w:ind w:left="288"/>
      </w:pPr>
      <w:r>
        <w:rPr>
          <w:b/>
          <w:color w:val="003CA0"/>
          <w:sz w:val="16"/>
        </w:rPr>
        <w:t>[ARE 1.481.688 RG, rel. min. Luís Roberto Barroso, j. 28.2.2025, P, DJE de 7.3.2025, Tema 1.377, com repercussão geral negada.]</w:t>
      </w:r>
    </w:p>
    <w:p>
      <w:pPr>
        <w:ind w:left="288"/>
      </w:pPr>
      <w:r>
        <w:rPr>
          <w:color w:val="8C8C8C"/>
          <w:sz w:val="12"/>
        </w:rPr>
        <w:t>cf-art-5-inc-XL</w:t>
      </w:r>
      <w:r>
        <w:rPr>
          <w:color w:val="003CA0"/>
          <w:sz w:val="12"/>
        </w:rPr>
        <w:t xml:space="preserve"> | ARE 1.052.700</w:t>
      </w:r>
      <w:r>
        <w:rPr>
          <w:color w:val="003CA0"/>
          <w:sz w:val="12"/>
        </w:rPr>
        <w:t xml:space="preserve"> | rel. Edson Fachin</w:t>
      </w:r>
    </w:p>
    <w:p>
      <w:pPr>
        <w:ind w:left="288"/>
      </w:pPr>
      <w:r>
        <w:rPr>
          <w:color w:val="1E1E1E"/>
          <w:sz w:val="18"/>
        </w:rPr>
        <w:t>É inconstitucional a fixação ex lege, com base no art. 2º, § 1º, da Lei 8.072/1990, do regime inicial fechado, devendo o julgador, quando da condenação, ater-se aos parâmetros previstos no art. 33 do CP.</w:t>
      </w:r>
    </w:p>
    <w:p>
      <w:pPr>
        <w:ind w:left="288"/>
      </w:pPr>
      <w:r>
        <w:rPr>
          <w:b/>
          <w:color w:val="003CA0"/>
          <w:sz w:val="16"/>
        </w:rPr>
        <w:t>[ARE 1.052.700 RG, rel. min. Edson Fachin, j. 2-11-2017, P, 1º-2-2018, Tema 972, com mérito julgado.]</w:t>
      </w:r>
    </w:p>
    <w:p>
      <w:pPr>
        <w:ind w:left="288"/>
      </w:pPr>
      <w:r>
        <w:rPr>
          <w:color w:val="8C8C8C"/>
          <w:sz w:val="12"/>
        </w:rPr>
        <w:t>cf-art-5-inc-XL</w:t>
      </w:r>
      <w:r>
        <w:rPr>
          <w:color w:val="003CA0"/>
          <w:sz w:val="12"/>
        </w:rPr>
        <w:t xml:space="preserve"> | RE 641.320</w:t>
      </w:r>
      <w:r>
        <w:rPr>
          <w:color w:val="003CA0"/>
          <w:sz w:val="12"/>
        </w:rPr>
        <w:t xml:space="preserve"> | rel. Gilmar Mendes</w:t>
      </w:r>
    </w:p>
    <w:p>
      <w:pPr>
        <w:ind w:left="288"/>
      </w:pPr>
      <w:r>
        <w:rPr>
          <w:color w:val="1E1E1E"/>
          <w:sz w:val="18"/>
        </w:rPr>
        <w:t>A falta de estabelecimento penal adequado não autoriza a manutenção do condenado em regime prisional mais gravoso. Os juízes da execução penal poderão avaliar os estabelecimentos destinados aos regimes semiaberto e aberto, para qualificação como adequados a tais regimes. São aceitáveis estabelecimentos que não se qualifiquem como "colônia agrícola, industrial" (regime semiaberto) ou "casa de albergado ou estabelecimento adequado" (regime aberto) (art. 33, § 1º, b e c). No entanto, não deverá haver alojamento conjunto de presos dos regimes semiaberto e aberto com presos do regime fechado. Haven</w:t>
      </w:r>
    </w:p>
    <w:p>
      <w:pPr>
        <w:ind w:left="288"/>
      </w:pPr>
      <w:r>
        <w:rPr>
          <w:b/>
          <w:color w:val="003CA0"/>
          <w:sz w:val="16"/>
        </w:rPr>
        <w:t>[RE 641.320, rel. min. Gilmar Mendes, j. 11-5-2016, P, DJE de 1º-8-2016, Tema 423, com mérito julgado.]</w:t>
      </w:r>
    </w:p>
    <w:p>
      <w:pPr>
        <w:ind w:left="288"/>
      </w:pPr>
      <w:r>
        <w:rPr>
          <w:color w:val="8C8C8C"/>
          <w:sz w:val="12"/>
        </w:rPr>
        <w:t>cf-art-5-inc-XL</w:t>
      </w:r>
      <w:r>
        <w:rPr>
          <w:color w:val="003CA0"/>
          <w:sz w:val="12"/>
        </w:rPr>
        <w:t xml:space="preserve"> | ARE 666.334</w:t>
      </w:r>
      <w:r>
        <w:rPr>
          <w:color w:val="003CA0"/>
          <w:sz w:val="12"/>
        </w:rPr>
        <w:t xml:space="preserve"> | rel. Gilmar Mendes</w:t>
      </w:r>
    </w:p>
    <w:p>
      <w:pPr>
        <w:ind w:left="288"/>
      </w:pPr>
      <w:r>
        <w:rPr>
          <w:color w:val="1E1E1E"/>
          <w:sz w:val="18"/>
        </w:rPr>
        <w:t>Tráfico de drogas. Valoração da natureza e da quantidade da droga apreendida em apenas uma das fases do cálculo da pena. Vedação ao bis in idem.</w:t>
      </w:r>
    </w:p>
    <w:p>
      <w:pPr>
        <w:ind w:left="288"/>
      </w:pPr>
      <w:r>
        <w:rPr>
          <w:b/>
          <w:color w:val="003CA0"/>
          <w:sz w:val="16"/>
        </w:rPr>
        <w:t>[ARE 666.334 RG, rel. min. Gilmar Mendes, j. 3-4-2014, P, DJE de 6-5-2014, Tema 712, com mérito julgado.]</w:t>
      </w:r>
    </w:p>
    <w:p>
      <w:pPr>
        <w:ind w:left="288"/>
      </w:pPr>
      <w:r>
        <w:rPr>
          <w:color w:val="8C8C8C"/>
          <w:sz w:val="12"/>
        </w:rPr>
        <w:t>cf-art-5-inc-XL</w:t>
      </w:r>
      <w:r>
        <w:rPr>
          <w:color w:val="003CA0"/>
          <w:sz w:val="12"/>
        </w:rPr>
        <w:t xml:space="preserve"> | RE 579.167</w:t>
      </w:r>
      <w:r>
        <w:rPr>
          <w:color w:val="003CA0"/>
          <w:sz w:val="12"/>
        </w:rPr>
        <w:t xml:space="preserve"> | rel. Marco Aurélio</w:t>
      </w:r>
    </w:p>
    <w:p>
      <w:pPr>
        <w:ind w:left="288"/>
      </w:pPr>
      <w:r>
        <w:rPr>
          <w:color w:val="1E1E1E"/>
          <w:sz w:val="18"/>
        </w:rPr>
        <w:t>A Lei 11.464/2007, que majorou o tempo necessário a progredir-se no cumprimento da pena, não se aplica a situações jurídicas que retratem crime cometido em momento anterior à respectiva vigência.</w:t>
      </w:r>
    </w:p>
    <w:p>
      <w:pPr>
        <w:ind w:left="288"/>
      </w:pPr>
      <w:r>
        <w:rPr>
          <w:b/>
          <w:color w:val="003CA0"/>
          <w:sz w:val="16"/>
        </w:rPr>
        <w:t>[RE 579.167, rel. min. Marco Aurélio, j. 16-5-2013, P, DJE de 18-10-2013, Tema 59, com mérito julgado.]</w:t>
      </w:r>
    </w:p>
    <w:p>
      <w:pPr>
        <w:ind w:left="288"/>
      </w:pPr>
      <w:r>
        <w:rPr>
          <w:color w:val="8C8C8C"/>
          <w:sz w:val="12"/>
        </w:rPr>
        <w:t>cf-art-5-inc-XL</w:t>
      </w:r>
      <w:r>
        <w:rPr>
          <w:color w:val="003CA0"/>
          <w:sz w:val="12"/>
        </w:rPr>
        <w:t xml:space="preserve"> | RE 453.000</w:t>
      </w:r>
    </w:p>
    <w:p>
      <w:pPr>
        <w:ind w:left="288"/>
      </w:pPr>
      <w:r>
        <w:rPr>
          <w:color w:val="1E1E1E"/>
          <w:sz w:val="18"/>
        </w:rPr>
        <w:t>(...) a reincidência repercute em diversos institutos penais, compondo consagrado sistema de política criminal de combate à delinquência. (...) Se assim o é quanto às diversas previsões, de forma diferente não acontece no tocante ao agravamento da pena. Afastem a possibilidade de cogitar de duplicidade. Logicamente, quando da condenação anterior, o instituto não foi considerado. Deve sê-lo na que se segue, em razão do fato de haver ocorrido, sem o interregno referido no art. 64 do CP – cinco anos –, outra prática delituosa. Então, não se aumenta a pena constante do título pretérito, mas, prese</w:t>
      </w:r>
    </w:p>
    <w:p>
      <w:pPr>
        <w:ind w:left="288"/>
      </w:pPr>
      <w:r>
        <w:rPr>
          <w:b/>
          <w:color w:val="003CA0"/>
          <w:sz w:val="16"/>
        </w:rPr>
        <w:t>[RE 453.000, voto do min. Marco Aurélio, j. 4-4-2013, P, DJE de 3-10-2013, Tema 114, com mérito julgado.]</w:t>
      </w:r>
    </w:p>
    <w:p>
      <w:pPr>
        <w:ind w:left="288"/>
      </w:pPr>
      <w:r>
        <w:rPr>
          <w:color w:val="8C8C8C"/>
          <w:sz w:val="12"/>
        </w:rPr>
        <w:t>cf-art-5-inc-XL</w:t>
      </w:r>
      <w:r>
        <w:rPr>
          <w:color w:val="003CA0"/>
          <w:sz w:val="12"/>
        </w:rPr>
        <w:t xml:space="preserve"> | HC 92.626</w:t>
      </w:r>
      <w:r>
        <w:rPr>
          <w:color w:val="003CA0"/>
          <w:sz w:val="12"/>
        </w:rPr>
        <w:t xml:space="preserve"> | rel. Ricardo Lewandowski</w:t>
      </w:r>
    </w:p>
    <w:p>
      <w:pPr>
        <w:ind w:left="288"/>
      </w:pPr>
      <w:r>
        <w:rPr>
          <w:color w:val="1E1E1E"/>
          <w:sz w:val="18"/>
        </w:rPr>
        <w:t>Vide HC 92.626, rel. min. Ricardo Lewandowski, j. 25-3-2008, 1ª T, DJE de 2-5-2008 Tráfico ilícito de entorpecentes. Substituição da pena privativa de liberdade por restritiva de direitos. Entendimento consolidado no HC 97.256. Inconstitucionalidade da vedação. Controvérsia constitucional com repercussão geral. Reafirmação da jurisprudência do STF.</w:t>
      </w:r>
    </w:p>
    <w:p>
      <w:pPr>
        <w:ind w:left="288"/>
      </w:pPr>
      <w:r>
        <w:rPr>
          <w:b/>
          <w:color w:val="003CA0"/>
          <w:sz w:val="16"/>
        </w:rPr>
        <w:t>[ARE 663.261 RG, rel. min. Luiz Fux, j. 13-12-2012, P, DJE de 6-2-2013, Tema 626, com mérito julgado.]</w:t>
      </w:r>
    </w:p>
    <w:p>
      <w:pPr>
        <w:ind w:left="288"/>
      </w:pPr>
      <w:r>
        <w:rPr>
          <w:color w:val="8C8C8C"/>
          <w:sz w:val="12"/>
        </w:rPr>
        <w:t>cf-art-5-inc-XL</w:t>
      </w:r>
      <w:r>
        <w:rPr>
          <w:color w:val="003CA0"/>
          <w:sz w:val="12"/>
        </w:rPr>
        <w:t xml:space="preserve"> | HC 85.894</w:t>
      </w:r>
      <w:r>
        <w:rPr>
          <w:color w:val="003CA0"/>
          <w:sz w:val="12"/>
        </w:rPr>
        <w:t xml:space="preserve"> | rel. Gilmar Mendes</w:t>
      </w:r>
    </w:p>
    <w:p>
      <w:pPr>
        <w:ind w:left="288"/>
      </w:pPr>
      <w:r>
        <w:rPr>
          <w:color w:val="1E1E1E"/>
          <w:sz w:val="18"/>
        </w:rPr>
        <w:t>Vide HC 85.894, rel. min. Gilmar Mendes, j. 19-4-2007, P, DJ de 28-9-2007 Vide HC 82.959, rel. min. Marco Aurélio, j. 23-2-2006, P, DJ de 1º-9-2006 Vide HC 84.928, rel. min. Cezar Peluso, j. 27-9-2005, 1ª T, DJ de 11-11 Condenação. Pena privativa de liberdade. Fixação abaixo do mínimo legal. Inadmissibilidade. Existência apenas de atenuante ou atenuantes genéricas, não de causa especial de redução. Aplicação da pena mínima. Jurisprudência reafirmada, repercussão geral reconhecida e recurso extraordinário improvido. Aplicação do art. 543-B, § 3º, do CPC. Circunstância atenuante genérica não pod</w:t>
      </w:r>
    </w:p>
    <w:p>
      <w:pPr>
        <w:ind w:left="288"/>
      </w:pPr>
      <w:r>
        <w:rPr>
          <w:b/>
          <w:color w:val="003CA0"/>
          <w:sz w:val="16"/>
        </w:rPr>
        <w:t>[RE 597.270 QO-RG, rel. min. Cezar Peluso, j. 26-3-2009, P, DJE de 5-6-2009, Tema 158, com mérito julgado.]</w:t>
      </w:r>
    </w:p>
    <w:p>
      <w:pPr>
        <w:ind w:left="288"/>
      </w:pPr>
      <w:r>
        <w:rPr>
          <w:color w:val="8C8C8C"/>
          <w:sz w:val="12"/>
        </w:rPr>
        <w:t>cf-art-5-inc-XL</w:t>
      </w:r>
      <w:r>
        <w:rPr>
          <w:color w:val="003CA0"/>
          <w:sz w:val="12"/>
        </w:rPr>
        <w:t xml:space="preserve"> | HC 110.191</w:t>
      </w:r>
      <w:r>
        <w:rPr>
          <w:color w:val="003CA0"/>
          <w:sz w:val="12"/>
        </w:rPr>
        <w:t xml:space="preserve"> | rel. Gilmar Mendes</w:t>
      </w:r>
    </w:p>
    <w:p>
      <w:pPr>
        <w:ind w:left="288"/>
      </w:pPr>
      <w:r>
        <w:rPr>
          <w:color w:val="1E1E1E"/>
          <w:sz w:val="18"/>
        </w:rPr>
        <w:t>Registro de uma condenação anterior, por contravenção (dirigir sem habilitação), transitada em julgado em 28-6-1979. Decorridos mais de cinco anos desde a extinção da pena da condenação anterior (CP, art. 64, I), não é possível alargar a interpretação de modo a permitir o reconhecimento dos maus antecedentes. Aplicação do princípio da razoabilidade.</w:t>
      </w:r>
    </w:p>
    <w:p>
      <w:pPr>
        <w:ind w:left="288"/>
      </w:pPr>
      <w:r>
        <w:rPr>
          <w:b/>
          <w:color w:val="003CA0"/>
          <w:sz w:val="16"/>
        </w:rPr>
        <w:t>[HC 110.191, rel. min. Gilmar Mendes, j. 23-4-2013, 2ª T, DJE de 6-5-2013.]</w:t>
      </w:r>
    </w:p>
    <w:p>
      <w:pPr>
        <w:ind w:left="288"/>
      </w:pPr>
      <w:r>
        <w:rPr>
          <w:color w:val="8C8C8C"/>
          <w:sz w:val="12"/>
        </w:rPr>
        <w:t>cf-art-5-inc-XL</w:t>
      </w:r>
      <w:r>
        <w:rPr>
          <w:color w:val="003CA0"/>
          <w:sz w:val="12"/>
        </w:rPr>
        <w:t xml:space="preserve"> | HC 119.200</w:t>
      </w:r>
      <w:r>
        <w:rPr>
          <w:color w:val="003CA0"/>
          <w:sz w:val="12"/>
        </w:rPr>
        <w:t xml:space="preserve"> | rel. Dias Toffoli</w:t>
      </w:r>
    </w:p>
    <w:p>
      <w:pPr>
        <w:ind w:left="288"/>
      </w:pPr>
      <w:r>
        <w:rPr>
          <w:color w:val="1E1E1E"/>
          <w:sz w:val="18"/>
        </w:rPr>
        <w:t>= HC 119.200, rel. min. Dias Toffoli, j. 11-2-2014, 1ª T, DJE de 12-3-2014 Os militares, indivíduos que são, não foram excluídos da garantia constitucional da individualização da pena. Digo isso porque, de ordinário, a CF de 1988, quando quis tratar por modo diferenciado os servidores militares, o fez explicitamente.</w:t>
      </w:r>
    </w:p>
    <w:p>
      <w:pPr>
        <w:ind w:left="288"/>
      </w:pPr>
      <w:r>
        <w:rPr>
          <w:b/>
          <w:color w:val="003CA0"/>
          <w:sz w:val="16"/>
        </w:rPr>
        <w:t>[HC 104.174, rel. min. Ayres Britto, j. 29-3-2011, 2ª T, DJE de 18-5-2011.]</w:t>
      </w:r>
    </w:p>
    <w:p>
      <w:pPr>
        <w:ind w:left="288"/>
      </w:pPr>
      <w:r>
        <w:rPr>
          <w:color w:val="8C8C8C"/>
          <w:sz w:val="12"/>
        </w:rPr>
        <w:t>cf-art-5-inc-XL</w:t>
      </w:r>
      <w:r>
        <w:rPr>
          <w:color w:val="003CA0"/>
          <w:sz w:val="12"/>
        </w:rPr>
        <w:t xml:space="preserve"> | RHC 92.746</w:t>
      </w:r>
      <w:r>
        <w:rPr>
          <w:color w:val="003CA0"/>
          <w:sz w:val="12"/>
        </w:rPr>
        <w:t xml:space="preserve"> | rel. Cármen Lúcia</w:t>
      </w:r>
    </w:p>
    <w:p>
      <w:pPr>
        <w:ind w:left="288"/>
      </w:pPr>
      <w:r>
        <w:rPr>
          <w:color w:val="1E1E1E"/>
          <w:sz w:val="18"/>
        </w:rPr>
        <w:t>= RHC 92.746, rel. min. Cármen Lúcia, j. 11-3-2008, 1ª T, DJE de 9-5-2008 O STF entende que o deferimento de benefícios prisionais está vinculado ao preenchimento, pelo condenado, de requisitos objetivo e subjetivo. Sendo certo que, na aferição do pressuposto subjetivo, pode o juiz da execução usar o exame criminológico como um dos elementos de formação de sua convicção. Noutro falar: a ideia-força que orienta os julgados desta Corte é a de que o exame criminológico pode subsidiar as decisões do juiz das execuções criminais. Juiz, é bom que se diga, que não estará adstrito ao laudo técnico, po</w:t>
      </w:r>
    </w:p>
    <w:p>
      <w:pPr>
        <w:ind w:left="288"/>
      </w:pPr>
      <w:r>
        <w:rPr>
          <w:b/>
          <w:color w:val="003CA0"/>
          <w:sz w:val="16"/>
        </w:rPr>
        <w:t>[HC 94.208, rel. min. Ayres Britto, j. 10-11-2009, 1ª T, DJE de 18-12-2009.]</w:t>
      </w:r>
    </w:p>
    <w:p>
      <w:pPr>
        <w:ind w:left="288"/>
      </w:pPr>
      <w:r>
        <w:rPr>
          <w:color w:val="8C8C8C"/>
          <w:sz w:val="12"/>
        </w:rPr>
        <w:t>cf-art-5-inc-XL</w:t>
      </w:r>
      <w:r>
        <w:rPr>
          <w:color w:val="003CA0"/>
          <w:sz w:val="12"/>
        </w:rPr>
        <w:t xml:space="preserve"> | HC 103.733</w:t>
      </w:r>
      <w:r>
        <w:rPr>
          <w:color w:val="003CA0"/>
          <w:sz w:val="12"/>
        </w:rPr>
        <w:t xml:space="preserve"> | rel. Ricardo Lewandowski</w:t>
      </w:r>
    </w:p>
    <w:p>
      <w:pPr>
        <w:ind w:left="288"/>
      </w:pPr>
      <w:r>
        <w:rPr>
          <w:color w:val="1E1E1E"/>
          <w:sz w:val="18"/>
        </w:rPr>
        <w:t>= HC 103.733, rel. min. Ricardo Lewandowski, j. 26-10-2010, 1ª T, DJE de 19-11-2010 A dosimetria da pena exige do julgador uma cuidadosa ponderação dos efeitos ético-sociais da sanção e das garantias constitucionais, especialmente a garantia da individualização do castigo. Em matéria penal, a necessidade de fundamentação das decisões judiciais tem na fixação da pena um dos seus momentos culminantes. Não há ilegalidade ou abuso de poder se, no trajeto da aplicação da pena, o julgador explicita os motivos de sua decisão. O inconformismo do impetrante com a análise das circunstâncias do crime não</w:t>
      </w:r>
    </w:p>
    <w:p>
      <w:pPr>
        <w:ind w:left="288"/>
      </w:pPr>
      <w:r>
        <w:rPr>
          <w:b/>
          <w:color w:val="003CA0"/>
          <w:sz w:val="16"/>
        </w:rPr>
        <w:t>[RHC 95.778, rel. min. Ayres Britto, j. 15-9-2009, 1ª T, DJE de 16-10-2009.]</w:t>
      </w:r>
    </w:p>
    <w:p>
      <w:pPr>
        <w:ind w:left="288"/>
      </w:pPr>
      <w:r>
        <w:rPr>
          <w:color w:val="8C8C8C"/>
          <w:sz w:val="12"/>
        </w:rPr>
        <w:t>cf-art-5-inc-XL</w:t>
      </w:r>
      <w:r>
        <w:rPr>
          <w:color w:val="003CA0"/>
          <w:sz w:val="12"/>
        </w:rPr>
        <w:t xml:space="preserve"> | HC 72.148</w:t>
      </w:r>
      <w:r>
        <w:rPr>
          <w:color w:val="003CA0"/>
          <w:sz w:val="12"/>
        </w:rPr>
        <w:t xml:space="preserve"> | rel. Celso de Mello</w:t>
      </w:r>
    </w:p>
    <w:p>
      <w:pPr>
        <w:ind w:left="288"/>
      </w:pPr>
      <w:r>
        <w:rPr>
          <w:color w:val="1E1E1E"/>
          <w:sz w:val="18"/>
        </w:rPr>
        <w:t>= HC 72.148, rel. min. Celso de Mello, j. 28-3-1995, 1ª T, DJE de 11-12-2009 Vide HC 68.742, red. do ac. min. Ilmar Galvão, j. 28-6-1991, P, DJ de 2-4-1993 Não é nula a sentença que considera, para a elevação da pena-base pelos maus antecedentes e para a configuração da agravante de reincidência, condenações distintas.</w:t>
      </w:r>
    </w:p>
    <w:p>
      <w:pPr>
        <w:ind w:left="288"/>
      </w:pPr>
      <w:r>
        <w:rPr>
          <w:b/>
          <w:color w:val="003CA0"/>
          <w:sz w:val="16"/>
        </w:rPr>
        <w:t>[HC 94.839, rel. min. Cezar Peluso, j. 8-9-2009, 2ª T, DJE de 16-10-2009.]</w:t>
      </w:r>
    </w:p>
    <w:p>
      <w:pPr>
        <w:ind w:left="288"/>
      </w:pPr>
      <w:r>
        <w:rPr>
          <w:color w:val="8C8C8C"/>
          <w:sz w:val="12"/>
        </w:rPr>
        <w:t>cf-art-5-inc-XL</w:t>
      </w:r>
      <w:r>
        <w:rPr>
          <w:color w:val="003CA0"/>
          <w:sz w:val="12"/>
        </w:rPr>
        <w:t xml:space="preserve"> | HC 96.771</w:t>
      </w:r>
      <w:r>
        <w:rPr>
          <w:color w:val="003CA0"/>
          <w:sz w:val="12"/>
        </w:rPr>
        <w:t xml:space="preserve"> | rel. Gilmar Mendes</w:t>
      </w:r>
    </w:p>
    <w:p>
      <w:pPr>
        <w:ind w:left="288"/>
      </w:pPr>
      <w:r>
        <w:rPr>
          <w:color w:val="1E1E1E"/>
          <w:sz w:val="18"/>
        </w:rPr>
        <w:t>= HC 96.771, rel. min. Gilmar Mendes, j. 17-8-2010, 2ª T, DJE de 3-9-2010 Vide HC 98.803, rel. min. Ellen Gracie, j. 18-8-2009, 2ª T, DJE de 11-9-2009 Esta Corte tem orientação pacífica de que condenação criminal não considerada para efeito de reincidência – em razão de decurso de prazo previsto no art. 64, I, do CP – pode vir a sê-lo para efeito de maus antecedentes quando da análise das circunstâncias judiciais na dosimetria da pena.</w:t>
      </w:r>
    </w:p>
    <w:p>
      <w:pPr>
        <w:ind w:left="288"/>
      </w:pPr>
      <w:r>
        <w:rPr>
          <w:b/>
          <w:color w:val="003CA0"/>
          <w:sz w:val="16"/>
        </w:rPr>
        <w:t>[HC 98.803, rel. min. Ellen Gracie, j. 18-8-2009, 2ª T, DJE de 11-9-2009.]</w:t>
      </w:r>
    </w:p>
    <w:p>
      <w:pPr>
        <w:ind w:left="288"/>
      </w:pPr>
      <w:r>
        <w:rPr>
          <w:color w:val="8C8C8C"/>
          <w:sz w:val="12"/>
        </w:rPr>
        <w:t>cf-art-5-inc-XL</w:t>
      </w:r>
      <w:r>
        <w:rPr>
          <w:color w:val="003CA0"/>
          <w:sz w:val="12"/>
        </w:rPr>
        <w:t xml:space="preserve"> | HC 97.390</w:t>
      </w:r>
      <w:r>
        <w:rPr>
          <w:color w:val="003CA0"/>
          <w:sz w:val="12"/>
        </w:rPr>
        <w:t xml:space="preserve"> | rel. Ricardo Lewandowski</w:t>
      </w:r>
    </w:p>
    <w:p>
      <w:pPr>
        <w:ind w:left="288"/>
      </w:pPr>
      <w:r>
        <w:rPr>
          <w:color w:val="1E1E1E"/>
          <w:sz w:val="18"/>
        </w:rPr>
        <w:t xml:space="preserve">= HC 97.390, rel. min. Ricardo Lewandowski, j. 31-8-2010, 1ª T, DJE de 24-9-2010 = HC 110.191, rel. min. Gilmar Mendes, j. 23-4-2013, 2ª T, DJE de 6-5-2013 Vide HC 94.839, rel. min. Cezar Peluso, j. 8-9-2009, 2ª T, DJE de 16-10-2009 A condenação penal há de refletir a absoluta coerência lógico-jurídica que deve existir entre a motivação e a parte dispositiva da decisão, eis que a análise desses elementos – que necessariamente compõem a estrutura formal da sentença – permitirá concluir, em cada caso ocorrente, se a sua fundamentação ajusta-se, ou não, de maneira harmoniosa, à base empírica que </w:t>
      </w:r>
    </w:p>
    <w:p>
      <w:pPr>
        <w:ind w:left="288"/>
      </w:pPr>
      <w:r>
        <w:rPr>
          <w:b/>
          <w:color w:val="003CA0"/>
          <w:sz w:val="16"/>
        </w:rPr>
        <w:t>[HC 96.590, rel. min. Celso de Mello, j. 9-6-2009, 2ª T, DJE de 4-12-2009.]</w:t>
      </w:r>
    </w:p>
    <w:p>
      <w:pPr>
        <w:ind w:left="288"/>
      </w:pPr>
      <w:r>
        <w:rPr>
          <w:color w:val="8C8C8C"/>
          <w:sz w:val="12"/>
        </w:rPr>
        <w:t>cf-art-5-inc-XL</w:t>
      </w:r>
      <w:r>
        <w:rPr>
          <w:color w:val="003CA0"/>
          <w:sz w:val="12"/>
        </w:rPr>
        <w:t xml:space="preserve"> | HC 98.729</w:t>
      </w:r>
      <w:r>
        <w:rPr>
          <w:color w:val="003CA0"/>
          <w:sz w:val="12"/>
        </w:rPr>
        <w:t xml:space="preserve"> | rel. Ayres Britto</w:t>
      </w:r>
    </w:p>
    <w:p>
      <w:pPr>
        <w:ind w:left="288"/>
      </w:pPr>
      <w:r>
        <w:rPr>
          <w:color w:val="1E1E1E"/>
          <w:sz w:val="18"/>
        </w:rPr>
        <w:t>= HC 98.729, rel. min. Ayres Britto, j. 25-5-2010, 1ª T, DJE de 25-6-2010 Vide HC 95.614, rel. min. Ayres Britto, j. 13-10-2009, 1ª T, DJE de 13-11-2009 Não se considera reincidente quem pratica fato criminoso antes do trânsito em julgado de condenação penal por fato diverso.</w:t>
      </w:r>
    </w:p>
    <w:p>
      <w:pPr>
        <w:ind w:left="288"/>
      </w:pPr>
      <w:r>
        <w:rPr>
          <w:b/>
          <w:color w:val="003CA0"/>
          <w:sz w:val="16"/>
        </w:rPr>
        <w:t>[HC 96.997, rel. min. Cezar Peluso, j. 2-6-2009, 2ª T, DJE de 26-6-2009.]</w:t>
      </w:r>
    </w:p>
    <w:p>
      <w:pPr>
        <w:ind w:left="288"/>
      </w:pPr>
      <w:r>
        <w:rPr>
          <w:color w:val="8C8C8C"/>
          <w:sz w:val="12"/>
        </w:rPr>
        <w:t>cf-art-5-inc-XL</w:t>
      </w:r>
      <w:r>
        <w:rPr>
          <w:color w:val="003CA0"/>
          <w:sz w:val="12"/>
        </w:rPr>
        <w:t xml:space="preserve"> | HC 97.424</w:t>
      </w:r>
      <w:r>
        <w:rPr>
          <w:color w:val="003CA0"/>
          <w:sz w:val="12"/>
        </w:rPr>
        <w:t xml:space="preserve"> | rel. Cezar Peluso</w:t>
      </w:r>
    </w:p>
    <w:p>
      <w:pPr>
        <w:ind w:left="288"/>
      </w:pPr>
      <w:r>
        <w:rPr>
          <w:color w:val="1E1E1E"/>
          <w:sz w:val="18"/>
        </w:rPr>
        <w:t>A só reincidência não constitui razão suficiente para imposição de regime de cumprimento mais severo do que a pena aplicada autorize.</w:t>
      </w:r>
    </w:p>
    <w:p>
      <w:pPr>
        <w:ind w:left="288"/>
      </w:pPr>
      <w:r>
        <w:rPr>
          <w:b/>
          <w:color w:val="003CA0"/>
          <w:sz w:val="16"/>
        </w:rPr>
        <w:t>[HC 97.424, rel. min. Cezar Peluso, j. 2-6-2009, 2ª T, DJE de 26-6-2009.]</w:t>
      </w:r>
    </w:p>
    <w:p>
      <w:pPr>
        <w:ind w:left="288"/>
      </w:pPr>
      <w:r>
        <w:rPr>
          <w:color w:val="8C8C8C"/>
          <w:sz w:val="12"/>
        </w:rPr>
        <w:t>cf-art-5-inc-XL</w:t>
      </w:r>
      <w:r>
        <w:rPr>
          <w:color w:val="003CA0"/>
          <w:sz w:val="12"/>
        </w:rPr>
        <w:t xml:space="preserve"> | HC 122.031</w:t>
      </w:r>
      <w:r>
        <w:rPr>
          <w:color w:val="003CA0"/>
          <w:sz w:val="12"/>
        </w:rPr>
        <w:t xml:space="preserve"> | rel. Ricardo Lewandowski</w:t>
      </w:r>
    </w:p>
    <w:p>
      <w:pPr>
        <w:ind w:left="288"/>
      </w:pPr>
      <w:r>
        <w:rPr>
          <w:color w:val="1E1E1E"/>
          <w:sz w:val="18"/>
        </w:rPr>
        <w:t>Vide HC 122.031, rel. min. Ricardo Lewandowski, j. 6-5-2014, 2ª T, DJE de 26-5-2014 Substituição de pena privativa de liberdade por restritiva de direitos. Art. 44, II e § 3º, do CP. (...) A falta de fundamentação no tocante à denegação do benefício previsto no art. 44 do CP ofende o princípio da individualização da pena.</w:t>
      </w:r>
    </w:p>
    <w:p>
      <w:pPr>
        <w:ind w:left="288"/>
      </w:pPr>
      <w:r>
        <w:rPr>
          <w:b/>
          <w:color w:val="003CA0"/>
          <w:sz w:val="16"/>
        </w:rPr>
        <w:t>[HC 94.990, rel. min. Ricardo Lewandowski, j. 2-12-2008, 1ª T, DJE de 19-12-2008.]</w:t>
      </w:r>
    </w:p>
    <w:p>
      <w:pPr>
        <w:ind w:left="288"/>
      </w:pPr>
      <w:r>
        <w:rPr>
          <w:color w:val="8C8C8C"/>
          <w:sz w:val="12"/>
        </w:rPr>
        <w:t>cf-art-5-inc-XL</w:t>
      </w:r>
      <w:r>
        <w:rPr>
          <w:color w:val="003CA0"/>
          <w:sz w:val="12"/>
        </w:rPr>
        <w:t xml:space="preserve"> | HC 94.874</w:t>
      </w:r>
      <w:r>
        <w:rPr>
          <w:color w:val="003CA0"/>
          <w:sz w:val="12"/>
        </w:rPr>
        <w:t xml:space="preserve"> | rel. Ricardo Lewandowski</w:t>
      </w:r>
    </w:p>
    <w:p>
      <w:pPr>
        <w:ind w:left="288"/>
      </w:pPr>
      <w:r>
        <w:rPr>
          <w:color w:val="1E1E1E"/>
          <w:sz w:val="18"/>
        </w:rPr>
        <w:t>Toda a vez que alguém é condenado por crime doloso à pena não superior a quatro anos, o julgador deve manifestar-se, fundamentadamente, se é ou não o caso de substituição da sanção corporal pela restritiva de direitos. Estando presentes os seus pressupostos, a substituição torna-se imperativa. É necessário, pois, que o juízo fundamente a não aplicação do art. 44 do CP, sob pena de ofensa ao princípio da individualização da pena.</w:t>
      </w:r>
    </w:p>
    <w:p>
      <w:pPr>
        <w:ind w:left="288"/>
      </w:pPr>
      <w:r>
        <w:rPr>
          <w:b/>
          <w:color w:val="003CA0"/>
          <w:sz w:val="16"/>
        </w:rPr>
        <w:t>[HC 94.874, rel. min. Ricardo Lewandowski, j. 21-10-2008, 1ª T, DJE de 12-12-2008.]</w:t>
      </w:r>
    </w:p>
    <w:p>
      <w:pPr>
        <w:ind w:left="288"/>
      </w:pPr>
      <w:r>
        <w:rPr>
          <w:color w:val="8C8C8C"/>
          <w:sz w:val="12"/>
        </w:rPr>
        <w:t>cf-art-5-inc-XL</w:t>
      </w:r>
      <w:r>
        <w:rPr>
          <w:color w:val="003CA0"/>
          <w:sz w:val="12"/>
        </w:rPr>
        <w:t xml:space="preserve"> | HC 100.791</w:t>
      </w:r>
      <w:r>
        <w:rPr>
          <w:color w:val="003CA0"/>
          <w:sz w:val="12"/>
        </w:rPr>
        <w:t xml:space="preserve"> | rel. Ellen Gracie</w:t>
      </w:r>
    </w:p>
    <w:p>
      <w:pPr>
        <w:ind w:left="288"/>
      </w:pPr>
      <w:r>
        <w:rPr>
          <w:color w:val="1E1E1E"/>
          <w:sz w:val="18"/>
        </w:rPr>
        <w:t>Vide HC 100.791, rel. min. Ellen Gracie, j. 24-11-2009, 2ª T, DJE de 11-12-2009 O instituto da continuidade delitiva é modalidade de concreção da garantia constitucional da individualização da pena, a operar mediante benefício àqueles que, nas mesmas circunstâncias de tempo, modo e lugar de execução, cometem crimes da mesma espécie.</w:t>
      </w:r>
    </w:p>
    <w:p>
      <w:pPr>
        <w:ind w:left="288"/>
      </w:pPr>
      <w:r>
        <w:rPr>
          <w:b/>
          <w:color w:val="003CA0"/>
          <w:sz w:val="16"/>
        </w:rPr>
        <w:t>[HC 93.536, rel. min. Ayres Britto, j. 16-9-2008, 1ª T, DJE de 7-8-2009.]</w:t>
      </w:r>
    </w:p>
    <w:p>
      <w:pPr>
        <w:ind w:left="288"/>
      </w:pPr>
      <w:r>
        <w:rPr>
          <w:color w:val="8C8C8C"/>
          <w:sz w:val="12"/>
        </w:rPr>
        <w:t>cf-art-5-inc-XL</w:t>
      </w:r>
      <w:r>
        <w:rPr>
          <w:color w:val="003CA0"/>
          <w:sz w:val="12"/>
        </w:rPr>
        <w:t xml:space="preserve"> | HC 98.831</w:t>
      </w:r>
      <w:r>
        <w:rPr>
          <w:color w:val="003CA0"/>
          <w:sz w:val="12"/>
        </w:rPr>
        <w:t xml:space="preserve"> | rel. Cármen Lúcia</w:t>
      </w:r>
    </w:p>
    <w:p>
      <w:pPr>
        <w:ind w:left="288"/>
      </w:pPr>
      <w:r>
        <w:rPr>
          <w:color w:val="1E1E1E"/>
          <w:sz w:val="18"/>
        </w:rPr>
        <w:t>= HC 98.831, rel. min. Cármen Lúcia, j. 10-11-2009, 1ª T, DJE de 28-5-2010 A individualização da pena não é violada pelo mero fato de as circunstâncias judiciais de alguns réus serem analisadas conjuntamente. Mera irregularidade técnica, que não acarreta qualquer nulidade passível de declaração na via do habeas corpus.</w:t>
      </w:r>
    </w:p>
    <w:p>
      <w:pPr>
        <w:ind w:left="288"/>
      </w:pPr>
      <w:r>
        <w:rPr>
          <w:b/>
          <w:color w:val="003CA0"/>
          <w:sz w:val="16"/>
        </w:rPr>
        <w:t>[RHC 91.190, rel. min. Joaquim Barbosa, j. 29-4-2008, 2ª T, DJE de 1º-8-2008.]</w:t>
      </w:r>
    </w:p>
    <w:p>
      <w:pPr>
        <w:ind w:left="288"/>
      </w:pPr>
      <w:r>
        <w:rPr>
          <w:color w:val="8C8C8C"/>
          <w:sz w:val="12"/>
        </w:rPr>
        <w:t>cf-art-5-inc-XL</w:t>
      </w:r>
      <w:r>
        <w:rPr>
          <w:color w:val="003CA0"/>
          <w:sz w:val="12"/>
        </w:rPr>
        <w:t xml:space="preserve"> | HC 90.991</w:t>
      </w:r>
      <w:r>
        <w:rPr>
          <w:color w:val="003CA0"/>
          <w:sz w:val="12"/>
        </w:rPr>
        <w:t xml:space="preserve"> | rel. Ayres Britto</w:t>
      </w:r>
    </w:p>
    <w:p>
      <w:pPr>
        <w:ind w:left="288"/>
      </w:pPr>
      <w:r>
        <w:rPr>
          <w:color w:val="1E1E1E"/>
          <w:sz w:val="18"/>
        </w:rPr>
        <w:t>As penas restritivas de direito têm assento constitucional (inciso XLVI do art. 5º da CF) e são timbradas pela contraposição aos efeitos certamente traumáticos e estigmatizantes do cárcere. O exame dos requisitos necessários à substituição integra o já tradicional "sistema trifásico" de aplicação de pena. Donde o magistrado não poder silenciar sobre o art. 44 do CP (art. 59 do CP). Para atender à teleologia da norma, o juiz precisa adentrar no exame das circunstâncias do caso concreto para nelas encontrar os fundamentos da negativa ou da concessão das penas restritivas de direito. No caso, a m</w:t>
      </w:r>
    </w:p>
    <w:p>
      <w:pPr>
        <w:ind w:left="288"/>
      </w:pPr>
      <w:r>
        <w:rPr>
          <w:b/>
          <w:color w:val="003CA0"/>
          <w:sz w:val="16"/>
        </w:rPr>
        <w:t>[HC 90.991, Rel. Min. Ayres Britto, j. 21-6-2007, 1ª T, DJ de 19-12-2007.]</w:t>
      </w:r>
    </w:p>
    <w:p>
      <w:pPr>
        <w:ind w:left="288"/>
      </w:pPr>
      <w:r>
        <w:rPr>
          <w:color w:val="8C8C8C"/>
          <w:sz w:val="12"/>
        </w:rPr>
        <w:t>cf-art-5-inc-XL</w:t>
      </w:r>
      <w:r>
        <w:rPr>
          <w:color w:val="003CA0"/>
          <w:sz w:val="12"/>
        </w:rPr>
        <w:t xml:space="preserve"> | HC 70.022</w:t>
      </w:r>
      <w:r>
        <w:rPr>
          <w:color w:val="003CA0"/>
          <w:sz w:val="12"/>
        </w:rPr>
        <w:t xml:space="preserve"> | rel. Celso de Mello</w:t>
      </w:r>
    </w:p>
    <w:p>
      <w:pPr>
        <w:ind w:left="288"/>
      </w:pPr>
      <w:r>
        <w:rPr>
          <w:color w:val="1E1E1E"/>
          <w:sz w:val="18"/>
        </w:rPr>
        <w:t>A norma consubstanciada no art. 29 do CP, que contém atenuações ao princípio da unidade do crime, não impede que o magistrado, ao proferir a sentença penal condenatória, imponha penas desiguais ao autor e ao coautor da prática delituosa. A possibilidade jurídica desse tratamento penal diferenciado justifica-se, quer em face do próprio princípio constitucional da individualização das penas, quer em função da cláusula legal que, inscrita no art. 29, caput, in fine, do CP, destina-se a "minorar os excessos da equiparação global dos coautores" (...).</w:t>
      </w:r>
    </w:p>
    <w:p>
      <w:pPr>
        <w:ind w:left="288"/>
      </w:pPr>
      <w:r>
        <w:rPr>
          <w:b/>
          <w:color w:val="003CA0"/>
          <w:sz w:val="16"/>
        </w:rPr>
        <w:t>[HC 70.022, rel. min. Celso de Mello, j. 20-4-1993, 1ª T, DJ de 14-5-1993.]</w:t>
      </w:r>
    </w:p>
    <w:p>
      <w:pPr>
        <w:ind w:left="288"/>
      </w:pPr>
      <w:r>
        <w:rPr>
          <w:color w:val="8C8C8C"/>
          <w:sz w:val="12"/>
        </w:rPr>
        <w:t>cf-art-5-inc-XL</w:t>
      </w:r>
      <w:r>
        <w:rPr>
          <w:color w:val="003CA0"/>
          <w:sz w:val="12"/>
        </w:rPr>
        <w:t xml:space="preserve"> | HC 69.419</w:t>
      </w:r>
      <w:r>
        <w:rPr>
          <w:color w:val="003CA0"/>
          <w:sz w:val="12"/>
        </w:rPr>
        <w:t xml:space="preserve"> | rel. Sepúlveda Pertence</w:t>
      </w:r>
    </w:p>
    <w:p>
      <w:pPr>
        <w:ind w:left="288"/>
      </w:pPr>
      <w:r>
        <w:rPr>
          <w:color w:val="1E1E1E"/>
          <w:sz w:val="18"/>
        </w:rPr>
        <w:t>A exigência de motivação da individualização da pena – hoje, garantia constitucional do condenado (CF, arts. 5º, XLVI, e 93, IX) – não se satisfaz com a existência na sentença de frases ou palavras quaisquer, a pretexto de cumpri-la: a fundamentação há de explicitar a sua base empírica, e esta, de sua vez, há de guardar relação de pertinência, legalmente adequada, com a exasperação da sanção penal, que visou a justificar.</w:t>
      </w:r>
    </w:p>
    <w:p>
      <w:pPr>
        <w:ind w:left="288"/>
      </w:pPr>
      <w:r>
        <w:rPr>
          <w:b/>
          <w:color w:val="003CA0"/>
          <w:sz w:val="16"/>
        </w:rPr>
        <w:t>[HC 69.419, rel. min. Sepúlveda Pertence, j. 23-6-1992, 1ª T, DJ de 28-8-1992.]</w:t>
      </w:r>
    </w:p>
    <w:p>
      <w:pPr>
        <w:ind w:left="288"/>
      </w:pPr>
      <w:r>
        <w:rPr>
          <w:color w:val="8C8C8C"/>
          <w:sz w:val="12"/>
        </w:rPr>
        <w:t>cf-art-5-inc-XL</w:t>
      </w:r>
      <w:r>
        <w:rPr>
          <w:color w:val="003CA0"/>
          <w:sz w:val="12"/>
        </w:rPr>
        <w:t xml:space="preserve"> | HC 93.857</w:t>
      </w:r>
      <w:r>
        <w:rPr>
          <w:color w:val="003CA0"/>
          <w:sz w:val="12"/>
        </w:rPr>
        <w:t xml:space="preserve"> | rel. Cezar Peluso</w:t>
      </w:r>
    </w:p>
    <w:p>
      <w:pPr>
        <w:ind w:left="288"/>
      </w:pPr>
      <w:r>
        <w:rPr>
          <w:color w:val="1E1E1E"/>
          <w:sz w:val="18"/>
        </w:rPr>
        <w:t>= HC 93.857, rel. min. Cezar Peluso, j. 25-8-2009, 2ª T, DJE de 16-10-2009</w:t>
      </w:r>
    </w:p>
    <w:p>
      <w:pPr>
        <w:ind w:left="288"/>
      </w:pPr>
      <w:r>
        <w:rPr>
          <w:color w:val="8C8C8C"/>
          <w:sz w:val="12"/>
        </w:rPr>
        <w:t>cf-art-5-inc-XL-ali-a</w:t>
      </w:r>
      <w:r>
        <w:rPr>
          <w:color w:val="003CA0"/>
          <w:sz w:val="12"/>
        </w:rPr>
        <w:t xml:space="preserve"> | RE 430.105</w:t>
      </w:r>
      <w:r>
        <w:rPr>
          <w:color w:val="003CA0"/>
          <w:sz w:val="12"/>
        </w:rPr>
        <w:t xml:space="preserve"> | rel. Sepúlveda Pertence</w:t>
      </w:r>
    </w:p>
    <w:p>
      <w:pPr>
        <w:ind w:left="288"/>
      </w:pPr>
      <w:r>
        <w:rPr>
          <w:color w:val="1E1E1E"/>
          <w:sz w:val="18"/>
        </w:rPr>
        <w:t>Posse de droga para consumo pessoal (art. 28 da Lei 11.343/2006 – nova lei de drogas): natureza jurídica de crime. O art. 1º da Lei de Introdução ao Código Penal – que se limita a estabelecer um critério que permite distinguir quando se está diante de um crime ou de uma contravenção – não obsta a que lei ordinária superveniente adote outros critérios gerais de distinção, ou estabeleça para determinado crime – como o fez o art. 28 da Lei 11.343/2006 – pena diversa da privação ou restrição da liberdade, a qual constitui somente uma das opções constitucionais passíveis de adoção pela lei incrimin</w:t>
      </w:r>
    </w:p>
    <w:p>
      <w:pPr>
        <w:ind w:left="288"/>
      </w:pPr>
      <w:r>
        <w:rPr>
          <w:b/>
          <w:color w:val="003CA0"/>
          <w:sz w:val="16"/>
        </w:rPr>
        <w:t>[RE 430.105 QO, rel. min. Sepúlveda Pertence, j. 13-2-2007, 1ª T, DJ de 27-4-2007.]</w:t>
      </w:r>
    </w:p>
    <w:p>
      <w:pPr>
        <w:ind w:left="288"/>
      </w:pPr>
      <w:r>
        <w:rPr>
          <w:color w:val="8C8C8C"/>
          <w:sz w:val="12"/>
        </w:rPr>
        <w:t>cf-art-5-inc-XL-ali-b</w:t>
      </w:r>
      <w:r>
        <w:rPr>
          <w:color w:val="003CA0"/>
          <w:sz w:val="12"/>
        </w:rPr>
        <w:t xml:space="preserve"> | RE 251.008</w:t>
      </w:r>
    </w:p>
    <w:p>
      <w:pPr>
        <w:ind w:left="288"/>
      </w:pPr>
      <w:r>
        <w:rPr>
          <w:color w:val="1E1E1E"/>
          <w:sz w:val="18"/>
        </w:rPr>
        <w:t>Quanto à suposta incompatibilidade entre a previsão da pena administrativa de perdimento de bens e o art. 5º, XLVI, b, da Constituição em vigor, melhor sorte não fica à agravante, consoante penso já ter advertido na decisão agravada: "(...) não precisa esforço algum por atinar com a impertinência da invocação de regra que, introduzida pela vigente CF, seria incompatível com a perseverança das normas jurídicas que serviram de fundamento à pena de perdimento do bem. O art. 5º, XLVI, b, da Constituição vigente não incidiria de nenhum modo no caso, e isso basta por repelir o recurso extraordinário</w:t>
      </w:r>
    </w:p>
    <w:p>
      <w:pPr>
        <w:ind w:left="288"/>
      </w:pPr>
      <w:r>
        <w:rPr>
          <w:b/>
          <w:color w:val="003CA0"/>
          <w:sz w:val="16"/>
        </w:rPr>
        <w:t>[RE 251.008 AgR, voto do min. Cezar Peluso, j. 28-3-2006, 1ª T, DJ de 16-6-2006.]</w:t>
      </w:r>
    </w:p>
    <w:p>
      <w:pPr>
        <w:ind w:left="288"/>
      </w:pPr>
      <w:r>
        <w:rPr>
          <w:color w:val="8C8C8C"/>
          <w:sz w:val="12"/>
        </w:rPr>
        <w:t>cf-art-5-inc-XL-ali-c</w:t>
      </w:r>
      <w:r>
        <w:rPr>
          <w:color w:val="003CA0"/>
          <w:sz w:val="12"/>
        </w:rPr>
        <w:t xml:space="preserve"> | ADI 7.032</w:t>
      </w:r>
      <w:r>
        <w:rPr>
          <w:color w:val="003CA0"/>
          <w:sz w:val="12"/>
        </w:rPr>
        <w:t xml:space="preserve"> | rel. Flávio Dino</w:t>
      </w:r>
    </w:p>
    <w:p>
      <w:pPr>
        <w:ind w:left="288"/>
      </w:pPr>
      <w:r>
        <w:rPr>
          <w:color w:val="1E1E1E"/>
          <w:sz w:val="18"/>
        </w:rPr>
        <w:t>A alteração legislativa implementada no art. 51 do Código Penal, pela Lei nº 13.964/2019, não desnaturou a pena de multa, que permanece dotada do caráter de sanção criminal, a teor do art. 5º, XLVI, “c”, da Constituição da República. (...) É constitucional condicionar o reconhecimento da extinção da punibilidade ao efetivo pagamento da pena de multa - conjuntamente cominada com a pena privativa de liberdade -, ressalvada a hipótese em que demonstrada a impossibilidade de pagamento da sanção patrimonial.</w:t>
      </w:r>
    </w:p>
    <w:p>
      <w:pPr>
        <w:ind w:left="288"/>
      </w:pPr>
      <w:r>
        <w:rPr>
          <w:b/>
          <w:color w:val="003CA0"/>
          <w:sz w:val="16"/>
        </w:rPr>
        <w:t>[ADI 7.032, rel. min. Flávio Dino, j. 25.03.2024, P, DJE de 12.04.2024.]</w:t>
      </w:r>
    </w:p>
    <w:p>
      <w:pPr>
        <w:ind w:left="288"/>
      </w:pPr>
      <w:r>
        <w:rPr>
          <w:color w:val="8C8C8C"/>
          <w:sz w:val="12"/>
        </w:rPr>
        <w:t>cf-art-5-inc-XL-ali-c</w:t>
      </w:r>
      <w:r>
        <w:rPr>
          <w:color w:val="003CA0"/>
          <w:sz w:val="12"/>
        </w:rPr>
        <w:t xml:space="preserve"> | ADI 3.150</w:t>
      </w:r>
    </w:p>
    <w:p>
      <w:pPr>
        <w:ind w:left="288"/>
      </w:pPr>
      <w:r>
        <w:rPr>
          <w:color w:val="1E1E1E"/>
          <w:sz w:val="18"/>
        </w:rPr>
        <w:t>A Lei 9.268/1996, ao considerar a multa penal como dívida de valor, não retirou dela o caráter de sanção criminal, que lhe é inerente por força do art. 5º, XLVI, c, da Constituição Federal. Como consequência, a legitimação prioritária para a execução da multa penal é do Ministério Público perante a Vara de Execuções Penais. Por ser também dívida de valor em face do Poder Público, a multa pode ser subsidiariamente cobrada pela Fazenda Pública, na Vara de Execução Fiscal, se o Ministério Público não houver atuado em prazo razoável (90 dias).</w:t>
      </w:r>
    </w:p>
    <w:p>
      <w:pPr>
        <w:ind w:left="288"/>
      </w:pPr>
      <w:r>
        <w:rPr>
          <w:b/>
          <w:color w:val="003CA0"/>
          <w:sz w:val="16"/>
        </w:rPr>
        <w:t>[ADI 3.150, red. do ac. min. Roberto Barroso, j. 13-12-2018, P, DJE de 6-8-2019.]</w:t>
      </w:r>
    </w:p>
    <w:p>
      <w:pPr>
        <w:ind w:left="288"/>
      </w:pPr>
      <w:r>
        <w:rPr>
          <w:color w:val="8C8C8C"/>
          <w:sz w:val="12"/>
        </w:rPr>
        <w:t>cf-art-5-inc-XL-ali-c</w:t>
      </w:r>
      <w:r>
        <w:rPr>
          <w:color w:val="003CA0"/>
          <w:sz w:val="12"/>
        </w:rPr>
        <w:t xml:space="preserve"> | RE 1.377.843</w:t>
      </w:r>
      <w:r>
        <w:rPr>
          <w:color w:val="003CA0"/>
          <w:sz w:val="12"/>
        </w:rPr>
        <w:t xml:space="preserve"> | rel. Luiz Fux</w:t>
      </w:r>
    </w:p>
    <w:p>
      <w:pPr>
        <w:ind w:left="288"/>
      </w:pPr>
      <w:r>
        <w:rPr>
          <w:color w:val="1E1E1E"/>
          <w:sz w:val="18"/>
        </w:rPr>
        <w:t>Legitimidade subsidiária da Procuradoria da Fazenda Pública, após a vigência da Lei 13.964/2019, para execução de pena de multa decorrente de condenação criminal, nos casos de inércia do Ministério Público.</w:t>
      </w:r>
    </w:p>
    <w:p>
      <w:pPr>
        <w:ind w:left="288"/>
      </w:pPr>
      <w:r>
        <w:rPr>
          <w:b/>
          <w:color w:val="003CA0"/>
          <w:sz w:val="16"/>
        </w:rPr>
        <w:t>[RE 1.377.843 RG, rel. min. Luiz Fux, j. 2-6-2022, P, DJE de 10-6-2022, Tema 1.219, com mérito pendente.]</w:t>
      </w:r>
    </w:p>
    <w:p>
      <w:pPr>
        <w:ind w:left="288"/>
      </w:pPr>
      <w:r>
        <w:rPr>
          <w:color w:val="8C8C8C"/>
          <w:sz w:val="12"/>
        </w:rPr>
        <w:t>cf-art-5-inc-XL-ali-c</w:t>
      </w:r>
      <w:r>
        <w:rPr>
          <w:color w:val="003CA0"/>
          <w:sz w:val="12"/>
        </w:rPr>
        <w:t xml:space="preserve"> | RE 1.346.152</w:t>
      </w:r>
      <w:r>
        <w:rPr>
          <w:color w:val="003CA0"/>
          <w:sz w:val="12"/>
        </w:rPr>
        <w:t xml:space="preserve"> | rel. Alexandre de Moraes</w:t>
      </w:r>
    </w:p>
    <w:p>
      <w:pPr>
        <w:ind w:left="288"/>
      </w:pPr>
      <w:r>
        <w:rPr>
          <w:color w:val="1E1E1E"/>
          <w:sz w:val="18"/>
        </w:rPr>
        <w:t>Recurso Extraordinário conhecido e com proposta de submissão ao regime de Repercussão Geral, com a fixação do seguinte Tema: “Possibilidade de o magistrado, na sentença penal condenatória, deixar de aplicar a pena de multa a pessoa em situação de rua, diante da presunção absoluta de hipossuficiência econômica, em face da proteção do mínimo existencial e dos arts. 1º, III; 5º, caput, II, XLVI e 37, caput, da Constituição Federal.”</w:t>
      </w:r>
    </w:p>
    <w:p>
      <w:pPr>
        <w:ind w:left="288"/>
      </w:pPr>
      <w:r>
        <w:rPr>
          <w:b/>
          <w:color w:val="003CA0"/>
          <w:sz w:val="16"/>
        </w:rPr>
        <w:t>[RE 1.346.152, rel. min. Alexandre de Moraes, red. do ac. min. Flávio Dino, j. 26-11-2025, 1ª T, DJE de 5-3-2026.]</w:t>
      </w:r>
    </w:p>
    <w:p>
      <w:pPr>
        <w:ind w:left="288"/>
      </w:pPr>
      <w:r>
        <w:rPr>
          <w:color w:val="8C8C8C"/>
          <w:sz w:val="12"/>
        </w:rPr>
        <w:t>cf-art-5-inc-XL-ali-c</w:t>
      </w:r>
      <w:r>
        <w:rPr>
          <w:color w:val="003CA0"/>
          <w:sz w:val="12"/>
        </w:rPr>
        <w:t xml:space="preserve"> | rel. Roberto Barroso</w:t>
      </w:r>
    </w:p>
    <w:p>
      <w:pPr>
        <w:ind w:left="288"/>
      </w:pPr>
      <w:r>
        <w:rPr>
          <w:color w:val="1E1E1E"/>
          <w:sz w:val="18"/>
        </w:rPr>
        <w:t>O inadimplemento deliberado da pena de multa cumulativamente aplicada ao sentenciado impede a progressão no regime prisional. Tal regra somente é excepcionada pela comprovação da absoluta impossibilidade econômica do apenado em pagar a multa, ainda que parceladamente.</w:t>
      </w:r>
    </w:p>
    <w:p>
      <w:pPr>
        <w:ind w:left="288"/>
      </w:pPr>
      <w:r>
        <w:rPr>
          <w:b/>
          <w:color w:val="003CA0"/>
          <w:sz w:val="16"/>
        </w:rPr>
        <w:t>[EP 12 ProgReg-AgR, rel. min. Roberto Barroso, j. 8-4-2015, P, DJE de 11-6-2015.]</w:t>
      </w:r>
    </w:p>
    <w:p>
      <w:pPr>
        <w:ind w:left="288"/>
      </w:pPr>
      <w:r>
        <w:rPr>
          <w:color w:val="8C8C8C"/>
          <w:sz w:val="12"/>
        </w:rPr>
        <w:t>cf-art-5-inc-XL-ali-d</w:t>
      </w:r>
      <w:r>
        <w:rPr>
          <w:color w:val="003CA0"/>
          <w:sz w:val="12"/>
        </w:rPr>
        <w:t xml:space="preserve"> | HC 88.741</w:t>
      </w:r>
      <w:r>
        <w:rPr>
          <w:color w:val="003CA0"/>
          <w:sz w:val="12"/>
        </w:rPr>
        <w:t xml:space="preserve"> | rel. Eros Grau</w:t>
      </w:r>
    </w:p>
    <w:p>
      <w:pPr>
        <w:ind w:left="288"/>
      </w:pPr>
      <w:r>
        <w:rPr>
          <w:color w:val="1E1E1E"/>
          <w:sz w:val="18"/>
        </w:rPr>
        <w:t>Pena de detenção substituída pela restritiva de direitos (prestação de serviços comunitários). (...) Embora haja precedentes de que as penas restritivas de direito não ensejam cumprimento antes de seu trânsito em julgado (HC 88.741, rel. min. Eros Grau, e RHC 86.086, rel. min. Marco Aurélio), tem-se que o mesmo tema pode ser interpretado em sentido oposto, em favor da sociedade, destinatária da prestação de serviços comunitários.</w:t>
      </w:r>
    </w:p>
    <w:p>
      <w:pPr>
        <w:ind w:left="288"/>
      </w:pPr>
      <w:r>
        <w:rPr>
          <w:b/>
          <w:color w:val="003CA0"/>
          <w:sz w:val="16"/>
        </w:rPr>
        <w:t>[AC 1.806 AgR, rel. min. Ayres Britto, j. 20-11-2007, 1ª T, DJE de 31-10-2008.]</w:t>
      </w:r>
    </w:p>
    <w:p>
      <w:pPr>
        <w:ind w:left="288"/>
      </w:pPr>
      <w:r>
        <w:rPr>
          <w:color w:val="8C8C8C"/>
          <w:sz w:val="12"/>
        </w:rPr>
        <w:t>cf-art-5-inc-XL-ali-d</w:t>
      </w:r>
      <w:r>
        <w:rPr>
          <w:color w:val="003CA0"/>
          <w:sz w:val="12"/>
        </w:rPr>
        <w:t xml:space="preserve"> | HC 68.309</w:t>
      </w:r>
      <w:r>
        <w:rPr>
          <w:color w:val="003CA0"/>
          <w:sz w:val="12"/>
        </w:rPr>
        <w:t xml:space="preserve"> | rel. Celso de Mello</w:t>
      </w:r>
    </w:p>
    <w:p>
      <w:pPr>
        <w:ind w:left="288"/>
      </w:pPr>
      <w:r>
        <w:rPr>
          <w:color w:val="1E1E1E"/>
          <w:sz w:val="18"/>
        </w:rPr>
        <w:t>A prestação de serviços à comunidade constitui sanção jurídica revestida de caráter penal. Trata-se de medida alternativa ou substitutiva da pena privativa de liberdade. Submete-se, em consequência, ao regime jurídico-constitucional das penas e sofre todas as limitações impostas pelos princípios tutelares da liberdade individual. A exigência judicial de doação de sangue não se ajusta aos parâmetros conceituais, fixados pelo ordenamento positivo, pertinentes à própria inteligência da expressão legal "prestação de serviços à comunidade", cujo sentido, claro e inequívoco, veicula a ideia de reali</w:t>
      </w:r>
    </w:p>
    <w:p>
      <w:pPr>
        <w:ind w:left="288"/>
      </w:pPr>
      <w:r>
        <w:rPr>
          <w:b/>
          <w:color w:val="003CA0"/>
          <w:sz w:val="16"/>
        </w:rPr>
        <w:t>[HC 68.309, rel. min. Celso de Mello, j. 27-11-1990, 1ª T, DJ de 8-3-1991.]</w:t>
      </w:r>
    </w:p>
    <w:p>
      <w:pPr>
        <w:ind w:left="288"/>
      </w:pPr>
      <w:r>
        <w:rPr>
          <w:color w:val="8C8C8C"/>
          <w:sz w:val="12"/>
        </w:rPr>
        <w:t>cf-art-5-inc-XL-ali-e</w:t>
      </w:r>
      <w:r>
        <w:rPr>
          <w:color w:val="003CA0"/>
          <w:sz w:val="12"/>
        </w:rPr>
        <w:t xml:space="preserve"> | ARE 1.470.552</w:t>
      </w:r>
      <w:r>
        <w:rPr>
          <w:color w:val="003CA0"/>
          <w:sz w:val="12"/>
        </w:rPr>
        <w:t xml:space="preserve"> | rel. Edson Fachin</w:t>
      </w:r>
    </w:p>
    <w:p>
      <w:pPr>
        <w:ind w:left="288"/>
      </w:pPr>
      <w:r>
        <w:rPr>
          <w:color w:val="1E1E1E"/>
          <w:sz w:val="18"/>
        </w:rPr>
        <w:t>XLVII - não haverá penas: Direito de liberdade de expressão e produção literária do preso, frente às exigências de segurança pública e disciplina carcerária.</w:t>
      </w:r>
    </w:p>
    <w:p>
      <w:pPr>
        <w:ind w:left="288"/>
      </w:pPr>
      <w:r>
        <w:rPr>
          <w:b/>
          <w:color w:val="003CA0"/>
          <w:sz w:val="16"/>
        </w:rPr>
        <w:t>[ARE 1.470.552 RG, rel. min. Edson Fachin, j. 14.2.2025, P, DJE de 21.2.2025, Tema 1.371, com mérito pendente.]</w:t>
      </w:r>
    </w:p>
    <w:p>
      <w:pPr>
        <w:ind w:left="288"/>
      </w:pPr>
      <w:r>
        <w:rPr>
          <w:color w:val="8C8C8C"/>
          <w:sz w:val="12"/>
        </w:rPr>
        <w:t>cf-art-5-inc-XL-ali-e</w:t>
      </w:r>
      <w:r>
        <w:rPr>
          <w:color w:val="003CA0"/>
          <w:sz w:val="12"/>
        </w:rPr>
        <w:t xml:space="preserve"> | EXT 1.428</w:t>
      </w:r>
      <w:r>
        <w:rPr>
          <w:color w:val="003CA0"/>
          <w:sz w:val="12"/>
        </w:rPr>
        <w:t xml:space="preserve"> | rel. Gilmar Mendes</w:t>
      </w:r>
    </w:p>
    <w:p>
      <w:pPr>
        <w:ind w:left="288"/>
      </w:pPr>
      <w:r>
        <w:rPr>
          <w:color w:val="1E1E1E"/>
          <w:sz w:val="18"/>
        </w:rPr>
        <w:t xml:space="preserve">A Constituição da República e os Tratados Internacionais assinados pelo Brasil proíbem a aplicação da pena de morte e os tratamentos cruéis, desumanos e degradantes. A jurisprudência do STF e das Cortes internacionais seguem o mesmo entendimento. O próprio Tratado de Extradição entre a República Federativa do Brasil e a República Popular da China, em execução por força do Decreto 8.431/2015, prevê a recusa obrigatória da entrega caso a pena imposta conflite com princípios fundamentais do direito da parte requerida, conforme se observa do artigo 3, 1., “i”. A aplicação de pena de morte em caso </w:t>
      </w:r>
    </w:p>
    <w:p>
      <w:pPr>
        <w:ind w:left="288"/>
      </w:pPr>
      <w:r>
        <w:rPr>
          <w:b/>
          <w:color w:val="003CA0"/>
          <w:sz w:val="16"/>
        </w:rPr>
        <w:t>[Ext 1.428, rel. min. Gilmar Mendes, j. 07.05.2019, 2ª T, DJE de 17.08 2020.]</w:t>
      </w:r>
    </w:p>
    <w:p>
      <w:pPr>
        <w:ind w:left="288"/>
      </w:pPr>
      <w:r>
        <w:rPr>
          <w:color w:val="8C8C8C"/>
          <w:sz w:val="12"/>
        </w:rPr>
        <w:t>cf-art-5-inc-XL-ali-e</w:t>
      </w:r>
      <w:r>
        <w:rPr>
          <w:color w:val="003CA0"/>
          <w:sz w:val="12"/>
        </w:rPr>
        <w:t xml:space="preserve"> | EXT 986</w:t>
      </w:r>
      <w:r>
        <w:rPr>
          <w:color w:val="003CA0"/>
          <w:sz w:val="12"/>
        </w:rPr>
        <w:t xml:space="preserve"> | rel. Eros Grau</w:t>
      </w:r>
    </w:p>
    <w:p>
      <w:pPr>
        <w:ind w:left="288"/>
      </w:pPr>
      <w:r>
        <w:rPr>
          <w:color w:val="1E1E1E"/>
          <w:sz w:val="18"/>
        </w:rPr>
        <w:t>Vide Ext 986, rel. min. Eros Grau, j. 15-8-2007, P, DJ de 5-10-2007</w:t>
      </w:r>
    </w:p>
    <w:p>
      <w:pPr>
        <w:ind w:left="288"/>
      </w:pPr>
      <w:r>
        <w:rPr>
          <w:color w:val="8C8C8C"/>
          <w:sz w:val="12"/>
        </w:rPr>
        <w:t>cf-art-5-inc-XL-ali-a</w:t>
      </w:r>
      <w:r>
        <w:rPr>
          <w:color w:val="003CA0"/>
          <w:sz w:val="12"/>
        </w:rPr>
        <w:t xml:space="preserve"> | EXT 633</w:t>
      </w:r>
      <w:r>
        <w:rPr>
          <w:color w:val="003CA0"/>
          <w:sz w:val="12"/>
        </w:rPr>
        <w:t xml:space="preserve"> | rel. Celso de Mello</w:t>
      </w:r>
    </w:p>
    <w:p>
      <w:pPr>
        <w:ind w:left="288"/>
      </w:pPr>
      <w:r>
        <w:rPr>
          <w:color w:val="1E1E1E"/>
          <w:sz w:val="18"/>
        </w:rPr>
        <w:t>O ordenamento positivo brasileiro, nas hipóteses em que se delineia a possibilidade de imposição do supplicium extremum, impede a entrega do extraditando ao Estado requerente, a menos que este, previamente, assuma o compromisso formal de comutar, em pena privativa de liberdade, a pena de morte, ressalvadas, quanto a esta, as situações em que a lei brasileira – fundada na CF (art. 5º, XLVII, a) – permitir a sua aplicação, caso em que se tornará dispensável a exigência de comutação.</w:t>
      </w:r>
    </w:p>
    <w:p>
      <w:pPr>
        <w:ind w:left="288"/>
      </w:pPr>
      <w:r>
        <w:rPr>
          <w:b/>
          <w:color w:val="003CA0"/>
          <w:sz w:val="16"/>
        </w:rPr>
        <w:t>[Ext 633, rel. min. Celso de Mello, j. 28-8-1996, P, DJ de 6-4-2001.]</w:t>
      </w:r>
    </w:p>
    <w:p>
      <w:pPr>
        <w:ind w:left="288"/>
      </w:pPr>
      <w:r>
        <w:rPr>
          <w:color w:val="8C8C8C"/>
          <w:sz w:val="12"/>
        </w:rPr>
        <w:t>cf-art-5-inc-XL-ali-a</w:t>
      </w:r>
      <w:r>
        <w:rPr>
          <w:color w:val="003CA0"/>
          <w:sz w:val="12"/>
        </w:rPr>
        <w:t xml:space="preserve"> | EXT 1.201</w:t>
      </w:r>
      <w:r>
        <w:rPr>
          <w:color w:val="003CA0"/>
          <w:sz w:val="12"/>
        </w:rPr>
        <w:t xml:space="preserve"> | rel. Celso de Mello</w:t>
      </w:r>
    </w:p>
    <w:p>
      <w:pPr>
        <w:ind w:left="288"/>
      </w:pPr>
      <w:r>
        <w:rPr>
          <w:color w:val="1E1E1E"/>
          <w:sz w:val="18"/>
        </w:rPr>
        <w:t>= Ext 1.201, rel. min. Celso de Mello, j. 17-2-2011, P, DJE de 15-3-2011</w:t>
      </w:r>
    </w:p>
    <w:p>
      <w:pPr>
        <w:ind w:left="288"/>
      </w:pPr>
      <w:r>
        <w:rPr>
          <w:color w:val="8C8C8C"/>
          <w:sz w:val="12"/>
        </w:rPr>
        <w:t>cf-art-5-inc-XL-ali-b</w:t>
      </w:r>
      <w:r>
        <w:rPr>
          <w:color w:val="003CA0"/>
          <w:sz w:val="12"/>
        </w:rPr>
        <w:t xml:space="preserve"> | ADI 2.975</w:t>
      </w:r>
      <w:r>
        <w:rPr>
          <w:color w:val="003CA0"/>
          <w:sz w:val="12"/>
        </w:rPr>
        <w:t xml:space="preserve"> | rel. Gilmar Mendes</w:t>
      </w:r>
    </w:p>
    <w:p>
      <w:pPr>
        <w:ind w:left="288"/>
      </w:pPr>
      <w:r>
        <w:rPr>
          <w:color w:val="1E1E1E"/>
          <w:sz w:val="18"/>
        </w:rPr>
        <w:t>Art. 137, parágrafo único, da Lei 8.112/1990. Direito Administrativo Disciplinar. Sanção perpétua. Impossibilidade de retorno ao serviço público. Inconstitucionalidade material. Afronta ao artigo 5º, XLVII, b, da Constituição da República. Norma impugnada que, ao impedir o retorno ao serviço público, impõe sanção de caráter perpétuo. Ação direta julgada procedente para declarar a inconstitucionalidade da norma questionada, sem pronuncia de nulidade. Comunicação ao Congresso Nacional, para que eventualmente delibere sobre o prazo de proibição de retorno ao serviço público a ser aplicável nas hi</w:t>
      </w:r>
    </w:p>
    <w:p>
      <w:pPr>
        <w:ind w:left="288"/>
      </w:pPr>
      <w:r>
        <w:rPr>
          <w:b/>
          <w:color w:val="003CA0"/>
          <w:sz w:val="16"/>
        </w:rPr>
        <w:t>[ADI 2.975, rel. min. Gilmar Mendes, j. 7-12-2020, P, DJE de 4-2-2021.]</w:t>
      </w:r>
    </w:p>
    <w:p>
      <w:pPr>
        <w:ind w:left="288"/>
      </w:pPr>
      <w:r>
        <w:rPr>
          <w:color w:val="8C8C8C"/>
          <w:sz w:val="12"/>
        </w:rPr>
        <w:t>cf-art-5-inc-XL-ali-b</w:t>
      </w:r>
      <w:r>
        <w:rPr>
          <w:color w:val="003CA0"/>
          <w:sz w:val="12"/>
        </w:rPr>
        <w:t xml:space="preserve"> | ADI 2.975</w:t>
      </w:r>
      <w:r>
        <w:rPr>
          <w:color w:val="003CA0"/>
          <w:sz w:val="12"/>
        </w:rPr>
        <w:t xml:space="preserve"> | rel. Gilmar Mendes</w:t>
      </w:r>
    </w:p>
    <w:p>
      <w:pPr>
        <w:ind w:left="288"/>
      </w:pPr>
      <w:r>
        <w:rPr>
          <w:color w:val="1E1E1E"/>
          <w:sz w:val="18"/>
        </w:rPr>
        <w:t>Vide ADI 2.975 ED, rel. min. Gilmar Mendes, red. do ac. min. Roberto Barroso, j. 27-3-2023, P, DJE de 17-5-2023 Extradição executória. (...) Inexistência de óbices legais à extradição. Entrega condicionada à assunção de compromissos. Afastamento da pena acessória de "interdição perpétua do exercício de funções públicas".</w:t>
      </w:r>
    </w:p>
    <w:p>
      <w:pPr>
        <w:ind w:left="288"/>
      </w:pPr>
      <w:r>
        <w:rPr>
          <w:b/>
          <w:color w:val="003CA0"/>
          <w:sz w:val="16"/>
        </w:rPr>
        <w:t>[Ext 1.321, rel. min. Rosa Weber, j. 1º-4-2014, 1ª T, DJE de 22-4-2014.]</w:t>
      </w:r>
    </w:p>
    <w:p>
      <w:pPr>
        <w:ind w:left="288"/>
      </w:pPr>
      <w:r>
        <w:rPr>
          <w:color w:val="8C8C8C"/>
          <w:sz w:val="12"/>
        </w:rPr>
        <w:t>cf-art-5-inc-XL-ali-b</w:t>
      </w:r>
      <w:r>
        <w:rPr>
          <w:color w:val="003CA0"/>
          <w:sz w:val="12"/>
        </w:rPr>
        <w:t xml:space="preserve"> | HC 84.766</w:t>
      </w:r>
      <w:r>
        <w:rPr>
          <w:color w:val="003CA0"/>
          <w:sz w:val="12"/>
        </w:rPr>
        <w:t xml:space="preserve"> | rel. Celso de Mello</w:t>
      </w:r>
    </w:p>
    <w:p>
      <w:pPr>
        <w:ind w:left="288"/>
      </w:pPr>
      <w:r>
        <w:rPr>
          <w:color w:val="1E1E1E"/>
          <w:sz w:val="18"/>
        </w:rPr>
        <w:t>A unificação penal autorizada pela norma inscrita no art. 75 do CP justifica-se como consequência direta e imediata do preceito constitucional que veda (...), de modo absoluto, a existência, no sistema jurídico brasileiro, de sanções penais de caráter perpétuo. Em decorrência dessa cláusula constitucional, o máximo penal legalmente exequível, no ordenamento positivo nacional, é de trinta anos, a significar, portanto, que o tempo de cumprimento das penas privativas de liberdade não pode ser superior àquele limite imposto pelo art. 75, caput, do CP.</w:t>
      </w:r>
    </w:p>
    <w:p>
      <w:pPr>
        <w:ind w:left="288"/>
      </w:pPr>
      <w:r>
        <w:rPr>
          <w:b/>
          <w:color w:val="003CA0"/>
          <w:sz w:val="16"/>
        </w:rPr>
        <w:t>[HC 84.766, rel. min. Celso de Mello, j. 11-9-2007, 2ª T, DJE de 25-4-2008.]</w:t>
      </w:r>
    </w:p>
    <w:p>
      <w:pPr>
        <w:ind w:left="288"/>
      </w:pPr>
      <w:r>
        <w:rPr>
          <w:color w:val="8C8C8C"/>
          <w:sz w:val="12"/>
        </w:rPr>
        <w:t>cf-art-5-inc-XL-ali-b</w:t>
      </w:r>
      <w:r>
        <w:rPr>
          <w:color w:val="003CA0"/>
          <w:sz w:val="12"/>
        </w:rPr>
        <w:t xml:space="preserve"> | HC 84.219</w:t>
      </w:r>
      <w:r>
        <w:rPr>
          <w:color w:val="003CA0"/>
          <w:sz w:val="12"/>
        </w:rPr>
        <w:t xml:space="preserve"> | rel. Marco Aurélio</w:t>
      </w:r>
    </w:p>
    <w:p>
      <w:pPr>
        <w:ind w:left="288"/>
      </w:pPr>
      <w:r>
        <w:rPr>
          <w:color w:val="1E1E1E"/>
          <w:sz w:val="18"/>
        </w:rPr>
        <w:t>Medida de segurança. Projeção no tempo. Limite. A interpretação sistemática e teleológica dos arts. 75, 97 e 183, os dois primeiros do CP e o último da LEP, deve fazer-se considerada a garantia constitucional abolidora das prisões perpétuas. A medida de segurança fica jungida ao período máximo de trinta anos.</w:t>
      </w:r>
    </w:p>
    <w:p>
      <w:pPr>
        <w:ind w:left="288"/>
      </w:pPr>
      <w:r>
        <w:rPr>
          <w:b/>
          <w:color w:val="003CA0"/>
          <w:sz w:val="16"/>
        </w:rPr>
        <w:t>[HC 84.219, rel. min. Marco Aurélio, j. 16-8-2005, 1ª T, DJ de 23-9-2005.]</w:t>
      </w:r>
    </w:p>
    <w:p>
      <w:pPr>
        <w:ind w:left="288"/>
      </w:pPr>
      <w:r>
        <w:rPr>
          <w:color w:val="8C8C8C"/>
          <w:sz w:val="12"/>
        </w:rPr>
        <w:t>cf-art-5-inc-XL-ali-b</w:t>
      </w:r>
      <w:r>
        <w:rPr>
          <w:color w:val="003CA0"/>
          <w:sz w:val="12"/>
        </w:rPr>
        <w:t xml:space="preserve"> | HC 97.621</w:t>
      </w:r>
      <w:r>
        <w:rPr>
          <w:color w:val="003CA0"/>
          <w:sz w:val="12"/>
        </w:rPr>
        <w:t xml:space="preserve"> | rel. Cezar Peluso</w:t>
      </w:r>
    </w:p>
    <w:p>
      <w:pPr>
        <w:ind w:left="288"/>
      </w:pPr>
      <w:r>
        <w:rPr>
          <w:color w:val="1E1E1E"/>
          <w:sz w:val="18"/>
        </w:rPr>
        <w:t>= HC 97.621, rel. min. Cezar Peluso, j. 2-6-2009, 2ª T, DJE de 26-6-2009 Extradição e prisão perpétua: necessidade de prévia comutação, em pena temporária (máximo de trinta anos), da pena de prisão perpétua. Revisão da jurisprudência do STF, em obediência à Declaração Constitucional de Direitos (CF, art. 5º, XLVII, b). A extradição somente será deferida pelo STF, tratando-se de fatos delituosos puníveis com prisão perpétua, se o Estado requerente assumir, formalmente, quanto a ela, perante o Governo brasileiro, o compromisso de comutá-la em pena não superior à duração máxima admitida na lei pe</w:t>
      </w:r>
    </w:p>
    <w:p>
      <w:pPr>
        <w:ind w:left="288"/>
      </w:pPr>
      <w:r>
        <w:rPr>
          <w:b/>
          <w:color w:val="003CA0"/>
          <w:sz w:val="16"/>
        </w:rPr>
        <w:t>[Ext 855, rel. min. Celso de Mello, j. 26-8-2004, P, DJ de 1º-7-2005.]</w:t>
      </w:r>
    </w:p>
    <w:p>
      <w:pPr>
        <w:ind w:left="288"/>
      </w:pPr>
      <w:r>
        <w:rPr>
          <w:color w:val="8C8C8C"/>
          <w:sz w:val="12"/>
        </w:rPr>
        <w:t>cf-art-5-inc-XL-ali-b</w:t>
      </w:r>
      <w:r>
        <w:rPr>
          <w:color w:val="003CA0"/>
          <w:sz w:val="12"/>
        </w:rPr>
        <w:t xml:space="preserve"> | EXT 1.201</w:t>
      </w:r>
      <w:r>
        <w:rPr>
          <w:color w:val="003CA0"/>
          <w:sz w:val="12"/>
        </w:rPr>
        <w:t xml:space="preserve"> | rel. Celso de Mello</w:t>
      </w:r>
    </w:p>
    <w:p>
      <w:pPr>
        <w:ind w:left="288"/>
      </w:pPr>
      <w:r>
        <w:rPr>
          <w:color w:val="1E1E1E"/>
          <w:sz w:val="18"/>
        </w:rPr>
        <w:t>= Ext 1.201, rel. min. Celso de Mello, j. 17-2-2011, P, DJE de 15-3-2011 Pena de inabilitação permanente para o exercício de cargos de administração ou gerência de instituições financeiras. Inadmissibilidade (...).</w:t>
      </w:r>
    </w:p>
    <w:p>
      <w:pPr>
        <w:ind w:left="288"/>
      </w:pPr>
      <w:r>
        <w:rPr>
          <w:b/>
          <w:color w:val="003CA0"/>
          <w:sz w:val="16"/>
        </w:rPr>
        <w:t>[RE 154.134, rel. min. Sydney Sanches, j. 15-12-1998, 1ª T, DJ de 29-10-1999.]</w:t>
      </w:r>
    </w:p>
    <w:p>
      <w:pPr>
        <w:ind w:left="288"/>
      </w:pPr>
      <w:r>
        <w:rPr>
          <w:color w:val="8C8C8C"/>
          <w:sz w:val="12"/>
        </w:rPr>
        <w:t>cf-art-5-inc-XL-ali-c</w:t>
      </w:r>
      <w:r>
        <w:rPr>
          <w:color w:val="003CA0"/>
          <w:sz w:val="12"/>
        </w:rPr>
        <w:t xml:space="preserve"> | EXT 486</w:t>
      </w:r>
    </w:p>
    <w:p>
      <w:pPr>
        <w:ind w:left="288"/>
      </w:pPr>
      <w:r>
        <w:rPr>
          <w:color w:val="1E1E1E"/>
          <w:sz w:val="18"/>
        </w:rPr>
        <w:t>Pondero, entretanto, que tem lugar, no caso, a aplicação da mesma jurisprudência que dispensou a comutação da pena de prisão perpétua. Esta, como a de trabalhos forçados, é inscrita entre as vedadas pelo art. 5º, XLVII, da Constituição. Mas, tanto para uma como para outra, deve a vedação ser entendida, no âmbito do direito interno brasileiro, pois a Lei 6.815/1980 (art. 90, III) só contempla comutação da pena de morte.</w:t>
      </w:r>
    </w:p>
    <w:p>
      <w:pPr>
        <w:ind w:left="288"/>
      </w:pPr>
      <w:r>
        <w:rPr>
          <w:b/>
          <w:color w:val="003CA0"/>
          <w:sz w:val="16"/>
        </w:rPr>
        <w:t>[Ext 486, voto do min. Octavio Gallotti, j. 7-3-1990, P, DJ de 3-8-1990.]</w:t>
      </w:r>
    </w:p>
    <w:p>
      <w:pPr>
        <w:ind w:left="288"/>
      </w:pPr>
      <w:r>
        <w:rPr>
          <w:color w:val="8C8C8C"/>
          <w:sz w:val="12"/>
        </w:rPr>
        <w:t>cf-art-5-inc-XL-ali-e</w:t>
      </w:r>
      <w:r>
        <w:rPr>
          <w:color w:val="003CA0"/>
          <w:sz w:val="12"/>
        </w:rPr>
        <w:t xml:space="preserve"> | HC 172.136</w:t>
      </w:r>
      <w:r>
        <w:rPr>
          <w:color w:val="003CA0"/>
          <w:sz w:val="12"/>
        </w:rPr>
        <w:t xml:space="preserve"> | rel. Nunes Marques</w:t>
      </w:r>
    </w:p>
    <w:p>
      <w:pPr>
        <w:ind w:left="288"/>
      </w:pPr>
      <w:r>
        <w:rPr>
          <w:color w:val="1E1E1E"/>
          <w:sz w:val="18"/>
        </w:rPr>
        <w:t>Há, lamentavelmente, no Brasil, no plano do sistema penitenciário nacional, um claro, indisfarçável e anômalo ‘estado de coisas inconstitucional’ resultante da omissão do Poder Público em implementar medidas eficazes de ordem estrutural que neutralizem a situação de absurda patologia constitucional gerada, incompreensivelmente, pela inércia do Estado, que descumpre a Constituição Federal, que ofende a Lei de Execução Penal, que vulnera a essencial dignidade dos sentenciados e dos custodiados em geral, que fere o sentimento de decência dos cidadãos desta República e que desrespeita as convençõe</w:t>
      </w:r>
    </w:p>
    <w:p>
      <w:pPr>
        <w:ind w:left="288"/>
      </w:pPr>
      <w:r>
        <w:rPr>
          <w:b/>
          <w:color w:val="003CA0"/>
          <w:sz w:val="16"/>
        </w:rPr>
        <w:t>[HC 172.136, rel. min. Nunes Marques, j. 10-10-2020, 2ª T, DJE de 1º-12-2020.]</w:t>
      </w:r>
    </w:p>
    <w:p>
      <w:pPr>
        <w:ind w:left="288"/>
      </w:pPr>
      <w:r>
        <w:rPr>
          <w:color w:val="8C8C8C"/>
          <w:sz w:val="12"/>
        </w:rPr>
        <w:t>cf-art-5-inc-XL-ali-e</w:t>
      </w:r>
      <w:r>
        <w:rPr>
          <w:color w:val="003CA0"/>
          <w:sz w:val="12"/>
        </w:rPr>
        <w:t xml:space="preserve"> | HC 100.087</w:t>
      </w:r>
      <w:r>
        <w:rPr>
          <w:color w:val="003CA0"/>
          <w:sz w:val="12"/>
        </w:rPr>
        <w:t xml:space="preserve"> | rel. Ellen Gracie</w:t>
      </w:r>
    </w:p>
    <w:p>
      <w:pPr>
        <w:ind w:left="288"/>
      </w:pPr>
      <w:r>
        <w:rPr>
          <w:color w:val="1E1E1E"/>
          <w:sz w:val="18"/>
        </w:rPr>
        <w:t>XLVIII - a pena será cumprida em estabelecimentos distintos, de acordo com a natureza do delito, a idade e o sexo do apenado; O art. 86, caput, da LEP permite o cumprimento da pena corporal em local diverso daquele em que houve a perpetração e consumação do crime. Entretanto, o exame minucioso de cada caso concreto pode afastar o comando legal supramencionado, desde que comprovadas as assertivas de falta de segurança do presídio destinatário da remoção, participação do preso em facção criminosa e outras circunstâncias relevantes à administração da Justiça. Ônus do Parquet. No caso sob exame, n</w:t>
      </w:r>
    </w:p>
    <w:p>
      <w:pPr>
        <w:ind w:left="288"/>
      </w:pPr>
      <w:r>
        <w:rPr>
          <w:b/>
          <w:color w:val="003CA0"/>
          <w:sz w:val="16"/>
        </w:rPr>
        <w:t>[HC 100.087, rel. min. Ellen Gracie, j. 16-3-2010, 2ª T, DJE de 9-4-2010.]</w:t>
      </w:r>
    </w:p>
    <w:p>
      <w:pPr>
        <w:ind w:left="288"/>
      </w:pPr>
      <w:r>
        <w:rPr>
          <w:color w:val="8C8C8C"/>
          <w:sz w:val="12"/>
        </w:rPr>
        <w:t>cf-art-5-inc-XL-ali-e</w:t>
      </w:r>
      <w:r>
        <w:rPr>
          <w:color w:val="003CA0"/>
          <w:sz w:val="12"/>
        </w:rPr>
        <w:t xml:space="preserve"> | HC 96.169</w:t>
      </w:r>
      <w:r>
        <w:rPr>
          <w:color w:val="003CA0"/>
          <w:sz w:val="12"/>
        </w:rPr>
        <w:t xml:space="preserve"> | rel. Marco Aurélio</w:t>
      </w:r>
    </w:p>
    <w:p>
      <w:pPr>
        <w:ind w:left="288"/>
      </w:pPr>
      <w:r>
        <w:rPr>
          <w:color w:val="1E1E1E"/>
          <w:sz w:val="18"/>
        </w:rPr>
        <w:t>Incumbe ao Estado aparelhar-se visando à observância irrestrita das decisões judiciais. Se não houver sistema capaz de implicar o cumprimento da pena em regime semiaberto, dá-se a transformação em aberto e, inexistente a casa do albergado, a prisão domiciliar.</w:t>
      </w:r>
    </w:p>
    <w:p>
      <w:pPr>
        <w:ind w:left="288"/>
      </w:pPr>
      <w:r>
        <w:rPr>
          <w:b/>
          <w:color w:val="003CA0"/>
          <w:sz w:val="16"/>
        </w:rPr>
        <w:t>[HC 96.169, rel. min. Marco Aurélio, j. 25-8-2009, 1ª T, DJE de 9-10-2009.]</w:t>
      </w:r>
    </w:p>
    <w:p>
      <w:pPr>
        <w:ind w:left="288"/>
      </w:pPr>
      <w:r>
        <w:rPr>
          <w:color w:val="8C8C8C"/>
          <w:sz w:val="12"/>
        </w:rPr>
        <w:t>cf-art-5-inc-XL-ali-e</w:t>
      </w:r>
      <w:r>
        <w:rPr>
          <w:color w:val="003CA0"/>
          <w:sz w:val="12"/>
        </w:rPr>
        <w:t xml:space="preserve"> | HC 94.810</w:t>
      </w:r>
      <w:r>
        <w:rPr>
          <w:color w:val="003CA0"/>
          <w:sz w:val="12"/>
        </w:rPr>
        <w:t xml:space="preserve"> | rel. Cármen Lúcia</w:t>
      </w:r>
    </w:p>
    <w:p>
      <w:pPr>
        <w:ind w:left="288"/>
      </w:pPr>
      <w:r>
        <w:rPr>
          <w:color w:val="1E1E1E"/>
          <w:sz w:val="18"/>
        </w:rPr>
        <w:t>Vide HC 94.810, rel. min. Cármen Lúcia, j. 28-10-2008, 1ª T, DJE de 6-3-2009 Vide HC 87.985, rel. min. Celso de Mello, j. 20-3-2007, 2ª T, DJE de 1º-8-2013 As instâncias de origem atestam que o paciente – portador de diploma de curso superior – está recolhido em cela distinta da prisão comum, em situação que bem atende à finalidade da norma que se extrai do inciso VII do art. 295 do CPP. Por outra volta, a penitenciária em que o paciente se encontra enclausurado é destinada a "presos especiais" (funcionários da administração da Justiça criminal; ou pessoas que possam sofrer "constrangimento fí</w:t>
      </w:r>
    </w:p>
    <w:p>
      <w:pPr>
        <w:ind w:left="288"/>
      </w:pPr>
      <w:r>
        <w:rPr>
          <w:b/>
          <w:color w:val="003CA0"/>
          <w:sz w:val="16"/>
        </w:rPr>
        <w:t>[HC 95.131, rel. min. Ayres Britto, j. 25-8-2009, 1ª T, DJE de 25-9-2009.]</w:t>
      </w:r>
    </w:p>
    <w:p>
      <w:pPr>
        <w:ind w:left="288"/>
      </w:pPr>
      <w:r>
        <w:rPr>
          <w:color w:val="8C8C8C"/>
          <w:sz w:val="12"/>
        </w:rPr>
        <w:t>cf-art-5-inc-XL-ali-e</w:t>
      </w:r>
      <w:r>
        <w:rPr>
          <w:color w:val="003CA0"/>
          <w:sz w:val="12"/>
        </w:rPr>
        <w:t xml:space="preserve"> | HC 94.810</w:t>
      </w:r>
      <w:r>
        <w:rPr>
          <w:color w:val="003CA0"/>
          <w:sz w:val="12"/>
        </w:rPr>
        <w:t xml:space="preserve"> | rel. Cármen Lúcia</w:t>
      </w:r>
    </w:p>
    <w:p>
      <w:pPr>
        <w:ind w:left="288"/>
      </w:pPr>
      <w:r>
        <w:rPr>
          <w:color w:val="1E1E1E"/>
          <w:sz w:val="18"/>
        </w:rPr>
        <w:t>Prisão para fins de cumprimento de pena em regime semiaberto. (...) A determinação judicial no sentido de que o paciente seja preso em cadeia pública interdita configura constrangimento ilegal. Ordem concedida para que seja assegurado ao paciente o cumprimento da pena em estabelecimento prisional adequado ao regime fixado na sentença, mesmo que em outra localidade.</w:t>
      </w:r>
    </w:p>
    <w:p>
      <w:pPr>
        <w:ind w:left="288"/>
      </w:pPr>
      <w:r>
        <w:rPr>
          <w:b/>
          <w:color w:val="003CA0"/>
          <w:sz w:val="16"/>
        </w:rPr>
        <w:t>[HC 94.810, rel. min. Cármen Lúcia, j. 28-10-2008, 1ª T, DJE de 6-3-2009.]</w:t>
      </w:r>
    </w:p>
    <w:p>
      <w:pPr>
        <w:ind w:left="288"/>
      </w:pPr>
      <w:r>
        <w:rPr>
          <w:color w:val="8C8C8C"/>
          <w:sz w:val="12"/>
        </w:rPr>
        <w:t>cf-art-5-inc-XL-ali-e</w:t>
      </w:r>
      <w:r>
        <w:rPr>
          <w:color w:val="003CA0"/>
          <w:sz w:val="12"/>
        </w:rPr>
        <w:t xml:space="preserve"> | RHC 94.358</w:t>
      </w:r>
      <w:r>
        <w:rPr>
          <w:color w:val="003CA0"/>
          <w:sz w:val="12"/>
        </w:rPr>
        <w:t xml:space="preserve"> | rel. Celso de Mello</w:t>
      </w:r>
    </w:p>
    <w:p>
      <w:pPr>
        <w:ind w:left="288"/>
      </w:pPr>
      <w:r>
        <w:rPr>
          <w:color w:val="1E1E1E"/>
          <w:sz w:val="18"/>
        </w:rPr>
        <w:t>A execução da pena em regime de prisão domiciliar, sempre sob a imediata e direta fiscalização do magistrado competente, constitui medida excepcional, que só se justifica – especialmente quando se tratar de pessoa condenada em caráter definitivo – em situações extraordinárias, apuráveis em cada caso ocorrente, como sucede na hipótese de o sentenciado ostentar, comprovadamente, mediante laudo oficial elaborado por peritos médicos designados pela autoridade judiciária competente, precário estado de saúde, provocado por grave patologia, e o poder público não dispuser de meios que viabilizem pront</w:t>
      </w:r>
    </w:p>
    <w:p>
      <w:pPr>
        <w:ind w:left="288"/>
      </w:pPr>
      <w:r>
        <w:rPr>
          <w:b/>
          <w:color w:val="003CA0"/>
          <w:sz w:val="16"/>
        </w:rPr>
        <w:t>[RHC 94.358, rel. min. Celso de Mello, j. 29-4-2008, 2ª T, DJE de 19-3-2014.]</w:t>
      </w:r>
    </w:p>
    <w:p>
      <w:pPr>
        <w:ind w:left="288"/>
      </w:pPr>
      <w:r>
        <w:rPr>
          <w:color w:val="8C8C8C"/>
          <w:sz w:val="12"/>
        </w:rPr>
        <w:t>cf-art-5-inc-XL-ali-e</w:t>
      </w:r>
      <w:r>
        <w:rPr>
          <w:color w:val="003CA0"/>
          <w:sz w:val="12"/>
        </w:rPr>
        <w:t xml:space="preserve"> | HC 87.985</w:t>
      </w:r>
      <w:r>
        <w:rPr>
          <w:color w:val="003CA0"/>
          <w:sz w:val="12"/>
        </w:rPr>
        <w:t xml:space="preserve"> | rel. Celso de Mello</w:t>
      </w:r>
    </w:p>
    <w:p>
      <w:pPr>
        <w:ind w:left="288"/>
      </w:pPr>
      <w:r>
        <w:rPr>
          <w:color w:val="1E1E1E"/>
          <w:sz w:val="18"/>
        </w:rPr>
        <w:t>O inadimplemento, por parte do Estado, das obrigações que lhe foram impostas pela LEP não pode repercutir, de modo negativo, na esfera jurídica do sentenciado, frustrando-lhe, injustamente, o exercício de direitos subjetivos a ele assegurados pelo ordenamento positivo ou reconhecidos em sentença emanada de órgão judiciário competente, sob pena de configurar-se, se e quando ocorrente tal situação, excesso de execução (LEP, art. 185). Não se revela aceitável que o exercício, pelo sentenciado, de direitos subjetivos – como o de iniciar, desde logo, porque assim ordenado na sentença, o cumprimento</w:t>
      </w:r>
    </w:p>
    <w:p>
      <w:pPr>
        <w:ind w:left="288"/>
      </w:pPr>
      <w:r>
        <w:rPr>
          <w:b/>
          <w:color w:val="003CA0"/>
          <w:sz w:val="16"/>
        </w:rPr>
        <w:t>[HC 87.985, rel. min. Celso de Mello, j. 20-3-2007, 2ª T, DJE de 1º-8-2013.]</w:t>
      </w:r>
    </w:p>
    <w:p>
      <w:pPr>
        <w:ind w:left="288"/>
      </w:pPr>
      <w:r>
        <w:rPr>
          <w:color w:val="8C8C8C"/>
          <w:sz w:val="12"/>
        </w:rPr>
        <w:t>cf-art-5-inc-XL-ali-e</w:t>
      </w:r>
      <w:r>
        <w:rPr>
          <w:color w:val="003CA0"/>
          <w:sz w:val="12"/>
        </w:rPr>
        <w:t xml:space="preserve"> | HC 96.169</w:t>
      </w:r>
      <w:r>
        <w:rPr>
          <w:color w:val="003CA0"/>
          <w:sz w:val="12"/>
        </w:rPr>
        <w:t xml:space="preserve"> | rel. Marco Aurélio</w:t>
      </w:r>
    </w:p>
    <w:p>
      <w:pPr>
        <w:ind w:left="288"/>
      </w:pPr>
      <w:r>
        <w:rPr>
          <w:color w:val="1E1E1E"/>
          <w:sz w:val="18"/>
        </w:rPr>
        <w:t>Vide HC 96.169, rel. min. Marco Aurélio, j. 25-8-2009, 1ª T, DJE de 9-10-2009 XLIX - é assegurado aos presos o respeito à integridade física e moral; 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88"/>
      </w:pPr>
      <w:r>
        <w:rPr>
          <w:b/>
          <w:color w:val="003CA0"/>
          <w:sz w:val="16"/>
        </w:rPr>
        <w:t>[Súmula Vinculante 11.]</w:t>
      </w:r>
    </w:p>
    <w:p>
      <w:pPr>
        <w:ind w:left="288"/>
      </w:pPr>
      <w:r>
        <w:rPr>
          <w:color w:val="8C8C8C"/>
          <w:sz w:val="12"/>
        </w:rPr>
        <w:t>cf-art-5-inc-XL-ali-e</w:t>
      </w:r>
      <w:r>
        <w:rPr>
          <w:color w:val="003CA0"/>
          <w:sz w:val="12"/>
        </w:rPr>
        <w:t xml:space="preserve"> | ADPF 347</w:t>
      </w:r>
      <w:r>
        <w:rPr>
          <w:color w:val="003CA0"/>
          <w:sz w:val="12"/>
        </w:rPr>
        <w:t xml:space="preserve"> | rel. Marco Aurélio</w:t>
      </w:r>
    </w:p>
    <w:p>
      <w:pPr>
        <w:ind w:left="288"/>
      </w:pPr>
      <w:r>
        <w:rPr>
          <w:color w:val="1E1E1E"/>
          <w:sz w:val="18"/>
        </w:rPr>
        <w:t xml:space="preserve">Há um estado de coisas inconstitucional no sistema carcerário brasileiro, responsável pela violação massiva de direitos fundamentais dos presos. Tal estado de coisas demanda a atuação cooperativa das diversas autoridades, instituições e comunidade para a construção de uma solução satisfatória. Diante disso, União, Estados e Distrito Federal, em conjunto com o Departamento de Monitoramento e Fiscalização do Conselho Nacional de Justiça (DMF/CNJ), deverão elaborar planos a serem submetidos à homologação do Supremo Tribunal Federal, nos prazos e observadas as diretrizes e finalidades expostas no </w:t>
      </w:r>
    </w:p>
    <w:p>
      <w:pPr>
        <w:ind w:left="288"/>
      </w:pPr>
      <w:r>
        <w:rPr>
          <w:b/>
          <w:color w:val="003CA0"/>
          <w:sz w:val="16"/>
        </w:rPr>
        <w:t>[ADPF 347, rel. min. Marco Aurélio, red. do ac. min. Luís Roberto Barroso, j. 04.10.2023, P, DJE de 19.12.2023.)</w:t>
      </w:r>
    </w:p>
    <w:p>
      <w:pPr>
        <w:ind w:left="288"/>
      </w:pPr>
      <w:r>
        <w:rPr>
          <w:color w:val="8C8C8C"/>
          <w:sz w:val="12"/>
        </w:rPr>
        <w:t>cf-art-5-inc-XL-ali-e</w:t>
      </w:r>
      <w:r>
        <w:rPr>
          <w:color w:val="003CA0"/>
          <w:sz w:val="12"/>
        </w:rPr>
        <w:t xml:space="preserve"> | ADI 5.240</w:t>
      </w:r>
      <w:r>
        <w:rPr>
          <w:color w:val="003CA0"/>
          <w:sz w:val="12"/>
        </w:rPr>
        <w:t xml:space="preserve"> | rel. Luiz Fux</w:t>
      </w:r>
    </w:p>
    <w:p>
      <w:pPr>
        <w:ind w:left="288"/>
      </w:pPr>
      <w:r>
        <w:rPr>
          <w:color w:val="1E1E1E"/>
          <w:sz w:val="18"/>
        </w:rPr>
        <w:t>A Convenção Americana sobre Direitos do Homem, que dispõe, em seu art. 7º, item 5, que "toda pessoa presa, detida ou retida deve ser conduzida, sem demora, à presença de um juiz", posto ostentar o status jurídico supralegal que os tratados internacionais sobre direitos humanos têm no ordenamento jurídico brasileiro, legitima a denominada "audiência de custódia”, cuja denominação sugere-se “audiência de apresentação". O direito convencional de apresentação do preso ao juiz, consectariamente, deflagra o procedimento legal de habeas corpus, no qual o juiz apreciará a legalidade da prisão, à vista</w:t>
      </w:r>
    </w:p>
    <w:p>
      <w:pPr>
        <w:ind w:left="288"/>
      </w:pPr>
      <w:r>
        <w:rPr>
          <w:b/>
          <w:color w:val="003CA0"/>
          <w:sz w:val="16"/>
        </w:rPr>
        <w:t>[ADI 5.240, rel. min. Luiz Fux, j. 20-8-2015, P, DJE de 1º-2-2016.]</w:t>
      </w:r>
    </w:p>
    <w:p>
      <w:pPr>
        <w:ind w:left="288"/>
      </w:pPr>
      <w:r>
        <w:rPr>
          <w:color w:val="8C8C8C"/>
          <w:sz w:val="12"/>
        </w:rPr>
        <w:t>cf-art-5-inc-XL-ali-e</w:t>
      </w:r>
      <w:r>
        <w:rPr>
          <w:color w:val="003CA0"/>
          <w:sz w:val="12"/>
        </w:rPr>
        <w:t xml:space="preserve"> | RE 580.252</w:t>
      </w:r>
    </w:p>
    <w:p>
      <w:pPr>
        <w:ind w:left="288"/>
      </w:pPr>
      <w:r>
        <w:rPr>
          <w:color w:val="1E1E1E"/>
          <w:sz w:val="18"/>
        </w:rPr>
        <w:t>Considerando que é dever do Estado, imposto pelo sistema normativo, manter em seus presídios os padrões mínimos de humanidade previstos no ordenamento jurídico, é de sua responsabilidade, nos termos do art. 37, § 6º, da Constituição, a obrigação de ressarcir os danos, inclusive morais, comprovadamente causados aos detentos em decorrência da falta ou insuficiência das condições legais de encarceramento.</w:t>
      </w:r>
    </w:p>
    <w:p>
      <w:pPr>
        <w:ind w:left="288"/>
      </w:pPr>
      <w:r>
        <w:rPr>
          <w:b/>
          <w:color w:val="003CA0"/>
          <w:sz w:val="16"/>
        </w:rPr>
        <w:t>[RE 580.252, red. do ac. min. Gilmar Mendes, j. 16-2-2017, P, DJE de 11-9-2017, Tema 365, com mérito julgado.]</w:t>
      </w:r>
    </w:p>
    <w:p>
      <w:pPr>
        <w:ind w:left="288"/>
      </w:pPr>
      <w:r>
        <w:rPr>
          <w:color w:val="8C8C8C"/>
          <w:sz w:val="12"/>
        </w:rPr>
        <w:t>cf-art-5-inc-XL-ali-e</w:t>
      </w:r>
      <w:r>
        <w:rPr>
          <w:color w:val="003CA0"/>
          <w:sz w:val="12"/>
        </w:rPr>
        <w:t xml:space="preserve"> | RE 841.526</w:t>
      </w:r>
      <w:r>
        <w:rPr>
          <w:color w:val="003CA0"/>
          <w:sz w:val="12"/>
        </w:rPr>
        <w:t xml:space="preserve"> | rel. Luiz Fux</w:t>
      </w:r>
    </w:p>
    <w:p>
      <w:pPr>
        <w:ind w:left="288"/>
      </w:pPr>
      <w:r>
        <w:rPr>
          <w:color w:val="1E1E1E"/>
          <w:sz w:val="18"/>
        </w:rPr>
        <w:t>A responsabilidade civil estatal, segundo a CF/1988, em seu art. 37, § 6º, subsume-se à teoria do risco administrativo, tanto para as condutas estatais comissivas quanto para as omissivas, posto rejeitada a teoria do risco integral. A omissão do Estado reclama nexo de causalidade em relação ao dano sofrido pela vítima nos casos em que o poder público ostenta o dever legal e a efetiva possibilidade de agir para impedir o resultado danoso. É dever do Estado e direito subjetivo do preso que a execução da pena se dê de forma humanizada, garantindo-se os direitos fundamentais do detento, e o de ter</w:t>
      </w:r>
    </w:p>
    <w:p>
      <w:pPr>
        <w:ind w:left="288"/>
      </w:pPr>
      <w:r>
        <w:rPr>
          <w:b/>
          <w:color w:val="003CA0"/>
          <w:sz w:val="16"/>
        </w:rPr>
        <w:t>[RE 841.526, rel min. Luiz Fux, j. 30-3-2016, P, DJE de 1º-8-2016, Tema 592, com mérito julgado.]</w:t>
      </w:r>
    </w:p>
    <w:p>
      <w:pPr>
        <w:ind w:left="288"/>
      </w:pPr>
      <w:r>
        <w:rPr>
          <w:color w:val="8C8C8C"/>
          <w:sz w:val="12"/>
        </w:rPr>
        <w:t>cf-art-5-inc-XL-ali-e</w:t>
      </w:r>
      <w:r>
        <w:rPr>
          <w:color w:val="003CA0"/>
          <w:sz w:val="12"/>
        </w:rPr>
        <w:t xml:space="preserve"> | RE 592.581</w:t>
      </w:r>
      <w:r>
        <w:rPr>
          <w:color w:val="003CA0"/>
          <w:sz w:val="12"/>
        </w:rPr>
        <w:t xml:space="preserve"> | rel. Ricardo Lewandowski</w:t>
      </w:r>
    </w:p>
    <w:p>
      <w:pPr>
        <w:ind w:left="288"/>
      </w:pPr>
      <w:r>
        <w:rPr>
          <w:color w:val="1E1E1E"/>
          <w:sz w:val="18"/>
        </w:rPr>
        <w:t>É lícito ao Judiciário impor à administração pública obrigação de fazer, consistente na promoção de medidas ou na execução de obras emergenciais em estabelecimentos prisionais. Supremacia da dignidade da pessoa humana que legitima a intervenção judicial.</w:t>
      </w:r>
    </w:p>
    <w:p>
      <w:pPr>
        <w:ind w:left="288"/>
      </w:pPr>
      <w:r>
        <w:rPr>
          <w:b/>
          <w:color w:val="003CA0"/>
          <w:sz w:val="16"/>
        </w:rPr>
        <w:t>[RE 592.581, rel. min. Ricardo Lewandowski, j. 13-8-2015, P, DJE de 1º-2-2016, Tema 220, com mérito julgado.]</w:t>
      </w:r>
    </w:p>
    <w:p>
      <w:pPr>
        <w:ind w:left="288"/>
      </w:pPr>
      <w:r>
        <w:rPr>
          <w:color w:val="8C8C8C"/>
          <w:sz w:val="12"/>
        </w:rPr>
        <w:t>cf-art-5-inc-XL-ali-e</w:t>
      </w:r>
      <w:r>
        <w:rPr>
          <w:color w:val="003CA0"/>
          <w:sz w:val="12"/>
        </w:rPr>
        <w:t xml:space="preserve"> | ADPF 347</w:t>
      </w:r>
      <w:r>
        <w:rPr>
          <w:color w:val="003CA0"/>
          <w:sz w:val="12"/>
        </w:rPr>
        <w:t xml:space="preserve"> | rel. Edson Fachin</w:t>
      </w:r>
    </w:p>
    <w:p>
      <w:pPr>
        <w:ind w:left="288"/>
      </w:pPr>
      <w:r>
        <w:rPr>
          <w:color w:val="1E1E1E"/>
          <w:sz w:val="18"/>
        </w:rPr>
        <w:t xml:space="preserve">A inobservância a condições minimamente aceitáveis de encarceramento, como aquelas inerentes a quadros de grave superlotação carcerária, não pode ser justificada pela escassez de recursos ou pelo grau de desenvolvimento do Estado (nesse sentido, Mukong v. Camarões, Caso nº. 458/1991, decisão de 21 de maio de 1994, Comitê de Direitos Humanos da ONU). Nessas condições, quando o Poder Judiciário for chamado ao controle judicial da política pública desviada deve atuar positivamente, forte no seu dever de tutela de direitos fundamentais. In casu, satisfeito o requisito da urgência, indispensável a </w:t>
      </w:r>
    </w:p>
    <w:p>
      <w:pPr>
        <w:ind w:left="288"/>
      </w:pPr>
      <w:r>
        <w:rPr>
          <w:b/>
          <w:color w:val="003CA0"/>
          <w:sz w:val="16"/>
        </w:rPr>
        <w:t>[Rcl 58.207 MC, rel. min. Edson Fachin, j. 19.08.2024, 2ª T, DJE de 02.09.2024.]</w:t>
      </w:r>
    </w:p>
    <w:p>
      <w:pPr>
        <w:ind w:left="288"/>
      </w:pPr>
      <w:r>
        <w:rPr>
          <w:color w:val="8C8C8C"/>
          <w:sz w:val="12"/>
        </w:rPr>
        <w:t>cf-art-5-inc-XL-ali-e</w:t>
      </w:r>
      <w:r>
        <w:rPr>
          <w:color w:val="003CA0"/>
          <w:sz w:val="12"/>
        </w:rPr>
        <w:t xml:space="preserve"> | HC 172.136</w:t>
      </w:r>
      <w:r>
        <w:rPr>
          <w:color w:val="003CA0"/>
          <w:sz w:val="12"/>
        </w:rPr>
        <w:t xml:space="preserve"> | rel. Nunes Marques</w:t>
      </w:r>
    </w:p>
    <w:p>
      <w:pPr>
        <w:ind w:left="288"/>
      </w:pPr>
      <w:r>
        <w:rPr>
          <w:color w:val="1E1E1E"/>
          <w:sz w:val="18"/>
        </w:rPr>
        <w:t>Há, lamentavelmente, no Brasil, no plano do sistema penitenciário nacional, um claro, indisfarçável e anômalo ‘estado de coisas inconstitucional’ resultante da omissão do Poder Público em implementar medidas eficazes de ordem estrutural que neutralizem a situação de absurda patologia constitucional gerada, incompreensivelmente, pela inércia do Estado, que descumpre a Constituição Federal, que ofende a Lei de Execução Penal, que vulnera a essencial dignidade dos sentenciados e dos custodiados em geral, que fere o sentimento de decência dos cidadãos desta República e que desrespeita as convençõe</w:t>
      </w:r>
    </w:p>
    <w:p>
      <w:pPr>
        <w:ind w:left="288"/>
      </w:pPr>
      <w:r>
        <w:rPr>
          <w:b/>
          <w:color w:val="003CA0"/>
          <w:sz w:val="16"/>
        </w:rPr>
        <w:t>[HC 172.136, rel. min. Nunes Marques, j. 10-10-2020, 2ª T, DJE de 1º-12-2020.]</w:t>
      </w:r>
    </w:p>
    <w:p>
      <w:pPr>
        <w:ind w:left="288"/>
      </w:pPr>
      <w:r>
        <w:rPr>
          <w:color w:val="8C8C8C"/>
          <w:sz w:val="12"/>
        </w:rPr>
        <w:t>cf-art-5-inc-XL-ali-e</w:t>
      </w:r>
      <w:r>
        <w:rPr>
          <w:color w:val="003CA0"/>
          <w:sz w:val="12"/>
        </w:rPr>
        <w:t xml:space="preserve"> | RCL 9.468</w:t>
      </w:r>
      <w:r>
        <w:rPr>
          <w:color w:val="003CA0"/>
          <w:sz w:val="12"/>
        </w:rPr>
        <w:t xml:space="preserve"> | rel. Ricardo Lewandowski</w:t>
      </w:r>
    </w:p>
    <w:p>
      <w:pPr>
        <w:ind w:left="288"/>
      </w:pPr>
      <w:r>
        <w:rPr>
          <w:color w:val="1E1E1E"/>
          <w:sz w:val="18"/>
        </w:rPr>
        <w:t>O uso de algemas durante audiência de instrução e julgamento pode ser determinado pelo magistrado quando presentes, de maneira concreta, riscos à segurança do acusado ou das pessoas ao ato presentes.</w:t>
      </w:r>
    </w:p>
    <w:p>
      <w:pPr>
        <w:ind w:left="288"/>
      </w:pPr>
      <w:r>
        <w:rPr>
          <w:b/>
          <w:color w:val="003CA0"/>
          <w:sz w:val="16"/>
        </w:rPr>
        <w:t>[Rcl 9.468 AgR, rel. min. Ricardo Lewandowski, j. 24-3-2011, P, DJE de 11-4-2011.]</w:t>
      </w:r>
    </w:p>
    <w:p>
      <w:pPr>
        <w:ind w:left="288"/>
      </w:pPr>
      <w:r>
        <w:rPr>
          <w:color w:val="8C8C8C"/>
          <w:sz w:val="12"/>
        </w:rPr>
        <w:t>cf-art-5-inc-XL-ali-e</w:t>
      </w:r>
      <w:r>
        <w:rPr>
          <w:color w:val="003CA0"/>
          <w:sz w:val="12"/>
        </w:rPr>
        <w:t xml:space="preserve"> | RCL 10.479</w:t>
      </w:r>
      <w:r>
        <w:rPr>
          <w:color w:val="003CA0"/>
          <w:sz w:val="12"/>
        </w:rPr>
        <w:t xml:space="preserve"> | rel. Dias Toffoli</w:t>
      </w:r>
    </w:p>
    <w:p>
      <w:pPr>
        <w:ind w:left="288"/>
      </w:pPr>
      <w:r>
        <w:rPr>
          <w:color w:val="1E1E1E"/>
          <w:sz w:val="18"/>
        </w:rPr>
        <w:t>= Rcl 10.479 AgR, rel. min. Dias Toffoli, j. 23-5-2013, P, DJE de 1º-8-2013 Vide HC 91.952, voto do min. Marco Aurélio, j. 7-8-2008, P, DJE de 19-12-2008 Vide HC 89.429, rel. min. Cármen Lúcia, j. 22-8-2006, 1ª T, DJ de 2-2-2007 Prisão preventiva. (...) Autos instruídos com documentos comprobatórios do debilitado estado de saúde do paciente, que provavelmente definhará na prisão sem a assistência médica de que necessita, o estabelecimento prisional reconhecendo não ter condições de prestá-la. O art. 117 da LEP determina, nas hipóteses mencionadas em seus incisos, o recolhimento do apenado, que</w:t>
      </w:r>
    </w:p>
    <w:p>
      <w:pPr>
        <w:ind w:left="288"/>
      </w:pPr>
      <w:r>
        <w:rPr>
          <w:b/>
          <w:color w:val="003CA0"/>
          <w:sz w:val="16"/>
        </w:rPr>
        <w:t>[HC 98.675, rel. min. Eros Grau, j. 9-6-2009, 2ª T, DJE de 21-8-2009.]</w:t>
      </w:r>
    </w:p>
    <w:p>
      <w:pPr>
        <w:ind w:left="288"/>
      </w:pPr>
      <w:r>
        <w:rPr>
          <w:color w:val="8C8C8C"/>
          <w:sz w:val="12"/>
        </w:rPr>
        <w:t>cf-art-5-inc-XL-ali-e</w:t>
      </w:r>
      <w:r>
        <w:rPr>
          <w:color w:val="003CA0"/>
          <w:sz w:val="12"/>
        </w:rPr>
        <w:t xml:space="preserve"> | HC 95.334</w:t>
      </w:r>
      <w:r>
        <w:rPr>
          <w:color w:val="003CA0"/>
          <w:sz w:val="12"/>
        </w:rPr>
        <w:t xml:space="preserve"> | rel. Ricardo Lewandowski</w:t>
      </w:r>
    </w:p>
    <w:p>
      <w:pPr>
        <w:ind w:left="288"/>
      </w:pPr>
      <w:r>
        <w:rPr>
          <w:color w:val="1E1E1E"/>
          <w:sz w:val="18"/>
        </w:rPr>
        <w:t>Vide HC 95.334, rel. min. Ricardo Lewandowski, red. do ac. min. Marco Aurélio, j. 3-3-2009, 1ª T, DJE de 21-8-2009 Vide RHC 94.358, rel. min. Celso de Mello, j. 29-4-2008, 2ª T, DJE de 19-3-2014 O julgamento perante o tribunal do júri não requer a custódia preventiva do acusado, até então simples acusado – inciso LVII do art. 5º da Lei Maior. Hoje não é necessária sequer a presença do acusado (...). Diante disso, indaga-se: surge harmônico com a Constituição mantê-lo, no recinto, com algemas? A resposta mostra-se iniludivelmente negativa. Em primeiro lugar, levem em conta o princípio da não cu</w:t>
      </w:r>
    </w:p>
    <w:p>
      <w:pPr>
        <w:ind w:left="288"/>
      </w:pPr>
      <w:r>
        <w:rPr>
          <w:b/>
          <w:color w:val="003CA0"/>
          <w:sz w:val="16"/>
        </w:rPr>
        <w:t>[HC 91.952, voto do min. Marco Aurélio, j. 7-8-2008, P, DJE de 19-12-2008.]</w:t>
      </w:r>
    </w:p>
    <w:p>
      <w:pPr>
        <w:ind w:left="288"/>
      </w:pPr>
      <w:r>
        <w:rPr>
          <w:color w:val="8C8C8C"/>
          <w:sz w:val="12"/>
        </w:rPr>
        <w:t>cf-art-5-inc-XL-ali-e</w:t>
      </w:r>
      <w:r>
        <w:rPr>
          <w:color w:val="003CA0"/>
          <w:sz w:val="12"/>
        </w:rPr>
        <w:t xml:space="preserve"> | RCL 9.468</w:t>
      </w:r>
      <w:r>
        <w:rPr>
          <w:color w:val="003CA0"/>
          <w:sz w:val="12"/>
        </w:rPr>
        <w:t xml:space="preserve"> | rel. Ricardo Lewandowski</w:t>
      </w:r>
    </w:p>
    <w:p>
      <w:pPr>
        <w:ind w:left="288"/>
      </w:pPr>
      <w:r>
        <w:rPr>
          <w:color w:val="1E1E1E"/>
          <w:sz w:val="18"/>
        </w:rPr>
        <w:t xml:space="preserve">Vide Rcl 9.468 AgR, rel. min. Ricardo Lewandowski, j. 24-3-2011, P, DJE de 11-4-2011 O fato de o paciente estar condenado por delito tipificado como hediondo não enseja, por si só, uma proibição objetiva incondicional à concessão de prisão domiciliar, pois a dignidade da pessoa humana, especialmente a dos idosos, sempre será preponderante, dada a sua condição de princípio fundamental da República (art. 1º, III, da CF/1988). Por outro lado, incontroverso que essa mesma dignidade se encontrará ameaçada nas hipóteses excepcionalíssimas em que o apenado idoso estiver acometido de doença grave que </w:t>
      </w:r>
    </w:p>
    <w:p>
      <w:pPr>
        <w:ind w:left="288"/>
      </w:pPr>
      <w:r>
        <w:rPr>
          <w:b/>
          <w:color w:val="003CA0"/>
          <w:sz w:val="16"/>
        </w:rPr>
        <w:t>[HC 83.358, rel. min. Ayres Britto, j. 4-5-2004, 1ª T, DJ de 4-6-2004.]</w:t>
      </w:r>
    </w:p>
    <w:p>
      <w:pPr>
        <w:ind w:left="288"/>
      </w:pPr>
      <w:r>
        <w:rPr>
          <w:color w:val="8C8C8C"/>
          <w:sz w:val="12"/>
        </w:rPr>
        <w:t>cf-art-5-inc-XL-ali-e</w:t>
      </w:r>
      <w:r>
        <w:rPr>
          <w:color w:val="003CA0"/>
          <w:sz w:val="12"/>
        </w:rPr>
        <w:t xml:space="preserve"> | RHC 94.358</w:t>
      </w:r>
      <w:r>
        <w:rPr>
          <w:color w:val="003CA0"/>
          <w:sz w:val="12"/>
        </w:rPr>
        <w:t xml:space="preserve"> | rel. Celso de Mello</w:t>
      </w:r>
    </w:p>
    <w:p>
      <w:pPr>
        <w:ind w:left="288"/>
      </w:pPr>
      <w:r>
        <w:rPr>
          <w:color w:val="1E1E1E"/>
          <w:sz w:val="18"/>
        </w:rPr>
        <w:t>= RHC 94.358, rel. min. Celso de Mello, j. 29-4-2008, 2ª T, DJE de 19-3-2014 Tanto quanto possível, incumbe ao Estado adotar medidas preparatórias ao retorno do condenado ao convívio social. Os valores humanos fulminam os enfoques segregacionistas. A ordem jurídica em vigor consagra o direito do preso de ser transferido para local em que possua raízes, visando à indispensável assistência pelos familiares. Os óbices ao acolhimento do pleito devem ser inafastáveis e exsurgir ao primeiro exame, consideradas as precárias condições do sistema carcerário pátrio.</w:t>
      </w:r>
    </w:p>
    <w:p>
      <w:pPr>
        <w:ind w:left="288"/>
      </w:pPr>
      <w:r>
        <w:rPr>
          <w:b/>
          <w:color w:val="003CA0"/>
          <w:sz w:val="16"/>
        </w:rPr>
        <w:t>[HC 71.179, rel. min. Marco Aurélio, j. 19-4-1994, 2ª T, DJ de 3-6-1994.]</w:t>
      </w:r>
    </w:p>
    <w:p>
      <w:pPr>
        <w:ind w:left="288"/>
      </w:pPr>
      <w:r>
        <w:rPr>
          <w:color w:val="8C8C8C"/>
          <w:sz w:val="12"/>
        </w:rPr>
        <w:t>cf-art-5-inc-L</w:t>
      </w:r>
    </w:p>
    <w:p>
      <w:pPr>
        <w:ind w:left="288"/>
      </w:pPr>
      <w:r>
        <w:rPr>
          <w:color w:val="1E1E1E"/>
          <w:sz w:val="18"/>
        </w:rPr>
        <w:t>LI - nenhum brasileiro será extraditado, salvo o naturalizado, em caso de crime comum, praticado antes da naturalização, ou de comprovado envolvimento em tráfico ilícito de entorpecentes e drogas afins, na forma da lei; Não impede a extradição a circunstância de ser o extraditando casado com brasileira ou ter filho brasileiro.</w:t>
      </w:r>
    </w:p>
    <w:p>
      <w:pPr>
        <w:ind w:left="288"/>
      </w:pPr>
      <w:r>
        <w:rPr>
          <w:b/>
          <w:color w:val="003CA0"/>
          <w:sz w:val="16"/>
        </w:rPr>
        <w:t>[Súmula 421.]</w:t>
      </w:r>
    </w:p>
    <w:p>
      <w:pPr>
        <w:ind w:left="288"/>
      </w:pPr>
      <w:r>
        <w:rPr>
          <w:color w:val="8C8C8C"/>
          <w:sz w:val="12"/>
        </w:rPr>
        <w:t>cf-art-5-inc-L</w:t>
      </w:r>
      <w:r>
        <w:rPr>
          <w:color w:val="003CA0"/>
          <w:sz w:val="12"/>
        </w:rPr>
        <w:t xml:space="preserve"> | EXT 1.446</w:t>
      </w:r>
      <w:r>
        <w:rPr>
          <w:color w:val="003CA0"/>
          <w:sz w:val="12"/>
        </w:rPr>
        <w:t xml:space="preserve"> | rel. Dias Toffoli</w:t>
      </w:r>
    </w:p>
    <w:p>
      <w:pPr>
        <w:ind w:left="288"/>
      </w:pPr>
      <w:r>
        <w:rPr>
          <w:color w:val="1E1E1E"/>
          <w:sz w:val="18"/>
        </w:rPr>
        <w:t>Extradição instrutória. (...) Nacionalidade do extraditando. Registros civis brasileiro e paraguaio atestando seu nascimento, na mesma data, em ambos os países. Impossibilidade lógica de sua coexistência. Pretendida suspensão do processo extradicional até o julgamento definitivo de ação anulatória do registro civil brasileiro. Descabimento. Presunção de veracidade do registro brasileiro não infirmada pela prova dos autos. Assento de nascimento brasileiro lavrado cinco meses após o nascimento. Registro congênere alienígena lavrado somente oito anos após o suposto nascimento em solo paraguaio. P</w:t>
      </w:r>
    </w:p>
    <w:p>
      <w:pPr>
        <w:ind w:left="288"/>
      </w:pPr>
      <w:r>
        <w:rPr>
          <w:b/>
          <w:color w:val="003CA0"/>
          <w:sz w:val="16"/>
        </w:rPr>
        <w:t>[Ext 1.446, rel. min. Dias Toffoli, j. 7-11-2017, 2ª T, DJE de 7-12-2017.]</w:t>
      </w:r>
    </w:p>
    <w:p>
      <w:pPr>
        <w:ind w:left="288"/>
      </w:pPr>
      <w:r>
        <w:rPr>
          <w:color w:val="8C8C8C"/>
          <w:sz w:val="12"/>
        </w:rPr>
        <w:t>cf-art-5-inc-L</w:t>
      </w:r>
      <w:r>
        <w:rPr>
          <w:color w:val="003CA0"/>
          <w:sz w:val="12"/>
        </w:rPr>
        <w:t xml:space="preserve"> | HC 97.511</w:t>
      </w:r>
      <w:r>
        <w:rPr>
          <w:color w:val="003CA0"/>
          <w:sz w:val="12"/>
        </w:rPr>
        <w:t xml:space="preserve"> | rel. Ricardo Lewandowski</w:t>
      </w:r>
    </w:p>
    <w:p>
      <w:pPr>
        <w:ind w:left="288"/>
      </w:pPr>
      <w:r>
        <w:rPr>
          <w:color w:val="1E1E1E"/>
          <w:sz w:val="18"/>
        </w:rPr>
        <w:t>A concessão de exequatur em rogatória que vise a obter provas relativas à investigação criminal, levada a efeito em país estrangeiro, não representa risco à liberdade de locomoção do paciente que, além de brasileiro nato, encontra-se domiciliado no Brasil, em face da impossibilidade de extradição.</w:t>
      </w:r>
    </w:p>
    <w:p>
      <w:pPr>
        <w:ind w:left="288"/>
      </w:pPr>
      <w:r>
        <w:rPr>
          <w:b/>
          <w:color w:val="003CA0"/>
          <w:sz w:val="16"/>
        </w:rPr>
        <w:t>[HC 97.511, rel. min. Ricardo Lewandowski, j. 10-8-2010, 1ª T, DJE de 10-9-2010.]</w:t>
      </w:r>
    </w:p>
    <w:p>
      <w:pPr>
        <w:ind w:left="288"/>
      </w:pPr>
      <w:r>
        <w:rPr>
          <w:color w:val="8C8C8C"/>
          <w:sz w:val="12"/>
        </w:rPr>
        <w:t>cf-art-5-inc-L</w:t>
      </w:r>
      <w:r>
        <w:rPr>
          <w:color w:val="003CA0"/>
          <w:sz w:val="12"/>
        </w:rPr>
        <w:t xml:space="preserve"> | EXT 688</w:t>
      </w:r>
      <w:r>
        <w:rPr>
          <w:color w:val="003CA0"/>
          <w:sz w:val="12"/>
        </w:rPr>
        <w:t xml:space="preserve"> | rel. Celso de Mello – Ext 934/República Oriental do Uruguai</w:t>
      </w:r>
    </w:p>
    <w:p>
      <w:pPr>
        <w:ind w:left="288"/>
      </w:pPr>
      <w:r>
        <w:rPr>
          <w:color w:val="1E1E1E"/>
          <w:sz w:val="18"/>
        </w:rPr>
        <w:t>Extradição passiva e brasileiro naturalizado. Possibilidade excepcional. Tráfico ilícito de entorpecentes. Necessidades, em tal hipótese, de que se demonstre "comprovado envolvimento" do brasileiro naturalizado (CF, art. 5º, LI). Exceção constitucional ao modelo de contenciosidade limitada. Inaplicabilidade dessa regra da Constituição da República ao súdito estrangeiro, embora o coautor do mesmo fato delituoso ostente a condição de brasileiro naturalizado. O brasileiro naturalizado, em tema de extradição passiva, dispõe de proteção constitucional mais intensa que aquela outorgada aos súditos e</w:t>
      </w:r>
    </w:p>
    <w:p>
      <w:pPr>
        <w:ind w:left="288"/>
      </w:pPr>
      <w:r>
        <w:rPr>
          <w:b/>
          <w:color w:val="003CA0"/>
          <w:sz w:val="16"/>
        </w:rPr>
        <w:t>[Ext 1.082, rel. min. Celso de Mello, j. 19-6-2008, P, DJE de 8-8-2008.]</w:t>
      </w:r>
    </w:p>
    <w:p>
      <w:pPr>
        <w:ind w:left="288"/>
      </w:pPr>
      <w:r>
        <w:rPr>
          <w:color w:val="8C8C8C"/>
          <w:sz w:val="12"/>
        </w:rPr>
        <w:t>cf-art-5-inc-L</w:t>
      </w:r>
      <w:r>
        <w:rPr>
          <w:color w:val="003CA0"/>
          <w:sz w:val="12"/>
        </w:rPr>
        <w:t xml:space="preserve"> | EXT 1.010</w:t>
      </w:r>
      <w:r>
        <w:rPr>
          <w:color w:val="003CA0"/>
          <w:sz w:val="12"/>
        </w:rPr>
        <w:t xml:space="preserve"> | rel. Joaquim Barbosa</w:t>
      </w:r>
    </w:p>
    <w:p>
      <w:pPr>
        <w:ind w:left="288"/>
      </w:pPr>
      <w:r>
        <w:rPr>
          <w:color w:val="1E1E1E"/>
          <w:sz w:val="18"/>
        </w:rPr>
        <w:t>Pedido de extradição, formulado com base em promessa de reciprocidade, de cidadão brasileiro naturalizado, por fatos relacionados a tráfico de drogas anteriores à entrega do certificado de naturalização. Inviabilidade da extradição, por impossibilidade de cumprimento da promessa de reciprocidade, uma vez que, no país requerente, a vedação de extradição de seus nacionais não admite exceções como as previstas na Constituição da República Federativa do Brasil de 1988 (art. 5º, LI).</w:t>
      </w:r>
    </w:p>
    <w:p>
      <w:pPr>
        <w:ind w:left="288"/>
      </w:pPr>
      <w:r>
        <w:rPr>
          <w:b/>
          <w:color w:val="003CA0"/>
          <w:sz w:val="16"/>
        </w:rPr>
        <w:t>[Ext 1.010 QO, rel. min. Joaquim Barbosa, j. 24-5-2006, P, DJ de 19-12-2006.]</w:t>
      </w:r>
    </w:p>
    <w:p>
      <w:pPr>
        <w:ind w:left="288"/>
      </w:pPr>
      <w:r>
        <w:rPr>
          <w:color w:val="8C8C8C"/>
          <w:sz w:val="12"/>
        </w:rPr>
        <w:t>cf-art-5-inc-L</w:t>
      </w:r>
      <w:r>
        <w:rPr>
          <w:color w:val="003CA0"/>
          <w:sz w:val="12"/>
        </w:rPr>
        <w:t xml:space="preserve"> | EXT 934</w:t>
      </w:r>
      <w:r>
        <w:rPr>
          <w:color w:val="003CA0"/>
          <w:sz w:val="12"/>
        </w:rPr>
        <w:t xml:space="preserve"> | rel. Eros Grau</w:t>
      </w:r>
    </w:p>
    <w:p>
      <w:pPr>
        <w:ind w:left="288"/>
      </w:pPr>
      <w:r>
        <w:rPr>
          <w:color w:val="1E1E1E"/>
          <w:sz w:val="18"/>
        </w:rPr>
        <w:t>Vide Ext 934 QO, rel. min. Eros Grau, j. 9-9-2004, P, DJ de 12-11-2004 A norma inserta no art. 5º, LI, da Constituição do Brasil não é regra de eficácia plena, nem de aplicabilidade imediata. Afigura-se imprescindível a implementação de legislação ordinária regulamentar. Precedente. Ausência de prova cabal de que o extraditando esteja envolvido em tráfico ilícito de entorpecentes e drogas afins. Possibilidade de renovação, no futuro, do pedido de extradição, com base em sentença definitiva, se apurado e comprovado o efetivo envolvimento na prática do referido delito.</w:t>
      </w:r>
    </w:p>
    <w:p>
      <w:pPr>
        <w:ind w:left="288"/>
      </w:pPr>
      <w:r>
        <w:rPr>
          <w:b/>
          <w:color w:val="003CA0"/>
          <w:sz w:val="16"/>
        </w:rPr>
        <w:t>[Ext 934 QO, rel. min. Eros Grau, j. 9-9-2004, P, DJ de 12-11-2004.]</w:t>
      </w:r>
    </w:p>
    <w:p>
      <w:pPr>
        <w:ind w:left="288"/>
      </w:pPr>
      <w:r>
        <w:rPr>
          <w:color w:val="8C8C8C"/>
          <w:sz w:val="12"/>
        </w:rPr>
        <w:t>cf-art-5-inc-L</w:t>
      </w:r>
      <w:r>
        <w:rPr>
          <w:color w:val="003CA0"/>
          <w:sz w:val="12"/>
        </w:rPr>
        <w:t xml:space="preserve"> | EXT 1.010</w:t>
      </w:r>
      <w:r>
        <w:rPr>
          <w:color w:val="003CA0"/>
          <w:sz w:val="12"/>
        </w:rPr>
        <w:t xml:space="preserve"> | rel. Joaquim Barbosa</w:t>
      </w:r>
    </w:p>
    <w:p>
      <w:pPr>
        <w:ind w:left="288"/>
      </w:pPr>
      <w:r>
        <w:rPr>
          <w:color w:val="1E1E1E"/>
          <w:sz w:val="18"/>
        </w:rPr>
        <w:t>Vide Ext 1.010 QO, rel. min. Joaquim Barbosa, j. 24-5-2006, P, DJ de 19-12-2006 O processo remete ao complexo problema da extradição no caso da dupla-nacionalidade, questão examinada pela Corte Internacional de Justiça no célebre caso Nottebohm. Naquele caso a Corte sustentou que, na hipótese de dupla nacionalidade, haveria uma prevalecente – a nacionalidade real e efetiva – identificada a partir de laços fáticos fortes entre a pessoa e o Estado. A falta de elementos concretos no presente processo inviabiliza qualquer solução sob esse enfoque.</w:t>
      </w:r>
    </w:p>
    <w:p>
      <w:pPr>
        <w:ind w:left="288"/>
      </w:pPr>
      <w:r>
        <w:rPr>
          <w:b/>
          <w:color w:val="003CA0"/>
          <w:sz w:val="16"/>
        </w:rPr>
        <w:t>[HC 83.450, rel. min. Marco Aurélio, red. do ac. min. Nelson Jobim, j. 26-8-2004, P, DJ de 4-3-2005.]</w:t>
      </w:r>
    </w:p>
    <w:p>
      <w:pPr>
        <w:ind w:left="288"/>
      </w:pPr>
      <w:r>
        <w:rPr>
          <w:color w:val="8C8C8C"/>
          <w:sz w:val="12"/>
        </w:rPr>
        <w:t>cf-art-5-inc-L</w:t>
      </w:r>
      <w:r>
        <w:rPr>
          <w:color w:val="003CA0"/>
          <w:sz w:val="12"/>
        </w:rPr>
        <w:t xml:space="preserve"> | HC 83.113</w:t>
      </w:r>
      <w:r>
        <w:rPr>
          <w:color w:val="003CA0"/>
          <w:sz w:val="12"/>
        </w:rPr>
        <w:t xml:space="preserve"> | rel. Celso de Mello</w:t>
      </w:r>
    </w:p>
    <w:p>
      <w:pPr>
        <w:ind w:left="288"/>
      </w:pPr>
      <w:r>
        <w:rPr>
          <w:color w:val="1E1E1E"/>
          <w:sz w:val="18"/>
        </w:rPr>
        <w:t>O brasileiro nato, quaisquer que sejam as circunstâncias e a natureza do delito, não pode ser extraditado, pelo Brasil, a pedido de governo estrangeiro, pois a Constituição da República, em cláusula que não comporta exceção, impede, em caráter absoluto, a efetivação da entrega extradicional daquele que é titular, seja pelo critério do jus soli, seja pelo critério do jus sanguinis, de nacionalidade brasileira primária ou originária. Esse privilégio constitucional, que beneficia, sem exceção, o brasileiro nato (CF, art. 5º, LI), não se descaracteriza pelo fato de o Estado estrangeiro, por lei pr</w:t>
      </w:r>
    </w:p>
    <w:p>
      <w:pPr>
        <w:ind w:left="288"/>
      </w:pPr>
      <w:r>
        <w:rPr>
          <w:b/>
          <w:color w:val="003CA0"/>
          <w:sz w:val="16"/>
        </w:rPr>
        <w:t>[HC 83.113 QO, rel. min. Celso de Mello, j. 26-6-2003, P, DJ de 29-8-2003.]</w:t>
      </w:r>
    </w:p>
    <w:p>
      <w:pPr>
        <w:ind w:left="288"/>
      </w:pPr>
      <w:r>
        <w:rPr>
          <w:color w:val="8C8C8C"/>
          <w:sz w:val="12"/>
        </w:rPr>
        <w:t>cf-art-5-inc-L</w:t>
      </w:r>
      <w:r>
        <w:rPr>
          <w:color w:val="003CA0"/>
          <w:sz w:val="12"/>
        </w:rPr>
        <w:t xml:space="preserve"> | EXT 916</w:t>
      </w:r>
      <w:r>
        <w:rPr>
          <w:color w:val="003CA0"/>
          <w:sz w:val="12"/>
        </w:rPr>
        <w:t xml:space="preserve"> | rel. Ayres Britto</w:t>
      </w:r>
    </w:p>
    <w:p>
      <w:pPr>
        <w:ind w:left="288"/>
      </w:pPr>
      <w:r>
        <w:rPr>
          <w:color w:val="1E1E1E"/>
          <w:sz w:val="18"/>
        </w:rPr>
        <w:t>= Ext 916, rel. min. Ayres Britto, j. 19-5-2005, P, DJ de 21-10-2005 O fato de o extraditando possuir domicílio no Brasil não é causa impeditiva da extradição (Lei 6.815/1980, art. 77).</w:t>
      </w:r>
    </w:p>
    <w:p>
      <w:pPr>
        <w:ind w:left="288"/>
      </w:pPr>
      <w:r>
        <w:rPr>
          <w:b/>
          <w:color w:val="003CA0"/>
          <w:sz w:val="16"/>
        </w:rPr>
        <w:t>[Ext 766, rel. min. Nelson Jobim, j. 6-4-2000, P, DJ de 10-8-2000.]</w:t>
      </w:r>
    </w:p>
    <w:p>
      <w:pPr>
        <w:ind w:left="288"/>
      </w:pPr>
      <w:r>
        <w:rPr>
          <w:color w:val="8C8C8C"/>
          <w:sz w:val="12"/>
        </w:rPr>
        <w:t>cf-art-5-inc-L</w:t>
      </w:r>
      <w:r>
        <w:rPr>
          <w:color w:val="003CA0"/>
          <w:sz w:val="12"/>
        </w:rPr>
        <w:t xml:space="preserve"> | EXT 541</w:t>
      </w:r>
      <w:r>
        <w:rPr>
          <w:color w:val="003CA0"/>
          <w:sz w:val="12"/>
        </w:rPr>
        <w:t xml:space="preserve"> | rel. Néri da Silveira</w:t>
      </w:r>
    </w:p>
    <w:p>
      <w:pPr>
        <w:ind w:left="288"/>
      </w:pPr>
      <w:r>
        <w:rPr>
          <w:color w:val="1E1E1E"/>
          <w:sz w:val="18"/>
        </w:rPr>
        <w:t xml:space="preserve">Ao princípio geral de inextraditabilidade do brasileiro, incluído o naturalizado, a Constituição admitiu, no art. 5º, LI, duas exceções: a primeira, de eficácia plena e aplicabilidade imediata, se a naturalização é posterior ao crime comum pelo qual procurado; a segunda, no caso de naturalização anterior ao fato, se se cuida de tráfico de entorpecentes: aí, porém, admitida, não como a de qualquer estrangeiro, mas, sim, "na forma da lei", e por "comprovado envolvimento" no crime: a essas exigências de caráter excepcional não basta a concorrência dos requisitos formais de toda extradição, quais </w:t>
      </w:r>
    </w:p>
    <w:p>
      <w:pPr>
        <w:ind w:left="288"/>
      </w:pPr>
      <w:r>
        <w:rPr>
          <w:b/>
          <w:color w:val="003CA0"/>
          <w:sz w:val="16"/>
        </w:rPr>
        <w:t>[Ext 541, rel. min. Néri da Silveira, red. do ac. min. Sepúlveda Pertence, j. 7-11-1992, P, DJ de 18-12-1992.]</w:t>
      </w:r>
    </w:p>
    <w:p>
      <w:pPr>
        <w:ind w:left="288"/>
      </w:pPr>
      <w:r>
        <w:rPr>
          <w:color w:val="8C8C8C"/>
          <w:sz w:val="12"/>
        </w:rPr>
        <w:t>cf-art-5-inc-L</w:t>
      </w:r>
      <w:r>
        <w:rPr>
          <w:color w:val="003CA0"/>
          <w:sz w:val="12"/>
        </w:rPr>
        <w:t xml:space="preserve"> | EXT 1.203</w:t>
      </w:r>
    </w:p>
    <w:p>
      <w:pPr>
        <w:ind w:left="288"/>
      </w:pPr>
      <w:r>
        <w:rPr>
          <w:color w:val="1E1E1E"/>
          <w:sz w:val="18"/>
        </w:rPr>
        <w:t>LII - não será concedida extradição de estrangeiro por crime político ou de opinião; A presente extradição (...) reveste-se de caráter instrutório, eis que o ora extraditando ainda não sofreu condenação penal definitiva pela suposta prática do crime de conduzir veículo, sob influência de bebida alcoólica e com velocidade excessiva, em contexto de que resultou a morte de sua passageira (...). A infração penal atribuída ao extraditando acha-se desvestida de caráter político. Constitui delito comum, insuscetível de julgamento perante órgãos judiciários ou tribunais de exceção no Estado requerente</w:t>
      </w:r>
    </w:p>
    <w:p>
      <w:pPr>
        <w:ind w:left="288"/>
      </w:pPr>
      <w:r>
        <w:rPr>
          <w:b/>
          <w:color w:val="003CA0"/>
          <w:sz w:val="16"/>
        </w:rPr>
        <w:t>[Ext 1.203, voto do min. Celso de Mello, j. 2-12-2010, P, DJE de 25-2-2011.]</w:t>
      </w:r>
    </w:p>
    <w:p>
      <w:pPr>
        <w:ind w:left="288"/>
      </w:pPr>
      <w:r>
        <w:rPr>
          <w:color w:val="8C8C8C"/>
          <w:sz w:val="12"/>
        </w:rPr>
        <w:t>cf-art-5-inc-L</w:t>
      </w:r>
      <w:r>
        <w:rPr>
          <w:color w:val="003CA0"/>
          <w:sz w:val="12"/>
        </w:rPr>
        <w:t xml:space="preserve"> | EXT 1.085</w:t>
      </w:r>
      <w:r>
        <w:rPr>
          <w:color w:val="003CA0"/>
          <w:sz w:val="12"/>
        </w:rPr>
        <w:t xml:space="preserve"> | rel. Cezar Peluso</w:t>
      </w:r>
    </w:p>
    <w:p>
      <w:pPr>
        <w:ind w:left="288"/>
      </w:pPr>
      <w:r>
        <w:rPr>
          <w:color w:val="1E1E1E"/>
          <w:sz w:val="18"/>
        </w:rPr>
        <w:t>Não configura crime político, para fim de obstar o acolhimento de pedido de extradição, homicídio praticado por membro de organização revolucionária clandestina, em plena normalidade institucional de Estado Democrático de Direito, sem nenhum propósito político imediato ou conotação de reação legítima a regime opressivo. (...) Não caracteriza a hipótese legal de concessão de refúgio, consistente em fundado receio de perseguição política, o pedido de extradição para regular execução de sentenças definitivas de condenação por crimes comuns, proferidas com observância do devido processo legal, qua</w:t>
      </w:r>
    </w:p>
    <w:p>
      <w:pPr>
        <w:ind w:left="288"/>
      </w:pPr>
      <w:r>
        <w:rPr>
          <w:b/>
          <w:color w:val="003CA0"/>
          <w:sz w:val="16"/>
        </w:rPr>
        <w:t>[Ext 1.085, rel. min. Cezar Peluso, j. 16-12-2009, P, DJE de 16-4-2010.]</w:t>
      </w:r>
    </w:p>
    <w:p>
      <w:pPr>
        <w:ind w:left="288"/>
      </w:pPr>
      <w:r>
        <w:rPr>
          <w:color w:val="8C8C8C"/>
          <w:sz w:val="12"/>
        </w:rPr>
        <w:t>cf-art-5-inc-L</w:t>
      </w:r>
      <w:r>
        <w:rPr>
          <w:color w:val="003CA0"/>
          <w:sz w:val="12"/>
        </w:rPr>
        <w:t xml:space="preserve"> | EXT 1.171</w:t>
      </w:r>
      <w:r>
        <w:rPr>
          <w:color w:val="003CA0"/>
          <w:sz w:val="12"/>
        </w:rPr>
        <w:t xml:space="preserve"> | rel. Celso de Mello</w:t>
      </w:r>
    </w:p>
    <w:p>
      <w:pPr>
        <w:ind w:left="288"/>
      </w:pPr>
      <w:r>
        <w:rPr>
          <w:color w:val="1E1E1E"/>
          <w:sz w:val="18"/>
        </w:rPr>
        <w:t>O sistema de contenciosidade limitada, que caracteriza o regime jurídico da extradição passiva no direito positivo brasileiro, não permite qualquer indagação probatória pertinente ao ilícito criminal cuja persecução, no exterior, justificou o ajuizamento da demanda extradicional perante o STF. Revelar-se-á excepcionalmente possível, no entanto, a análise, pelo STF, de aspectos materiais concernentes à própria substância da imputação penal, sempre que tal exame se mostrar indispensável à solução de controvérsia pertinente (a) à ocorrência de prescrição penal, (b) à observância do princípio da d</w:t>
      </w:r>
    </w:p>
    <w:p>
      <w:pPr>
        <w:ind w:left="288"/>
      </w:pPr>
      <w:r>
        <w:rPr>
          <w:b/>
          <w:color w:val="003CA0"/>
          <w:sz w:val="16"/>
        </w:rPr>
        <w:t>[Ext 1.171, rel. min. Celso de Mello, j. 19-11-2009, P, DJE de 25-6-2010.]</w:t>
      </w:r>
    </w:p>
    <w:p>
      <w:pPr>
        <w:ind w:left="288"/>
      </w:pPr>
      <w:r>
        <w:rPr>
          <w:color w:val="8C8C8C"/>
          <w:sz w:val="12"/>
        </w:rPr>
        <w:t>cf-art-5-inc-L</w:t>
      </w:r>
      <w:r>
        <w:rPr>
          <w:color w:val="003CA0"/>
          <w:sz w:val="12"/>
        </w:rPr>
        <w:t xml:space="preserve"> | EXT 493</w:t>
      </w:r>
      <w:r>
        <w:rPr>
          <w:color w:val="003CA0"/>
          <w:sz w:val="12"/>
        </w:rPr>
        <w:t xml:space="preserve"> | rel. Gilmar Mendes</w:t>
      </w:r>
    </w:p>
    <w:p>
      <w:pPr>
        <w:ind w:left="288"/>
      </w:pPr>
      <w:r>
        <w:rPr>
          <w:color w:val="1E1E1E"/>
          <w:sz w:val="18"/>
        </w:rPr>
        <w:t>Extradição: Colômbia: crimes relacionados à participação do extraditando – então sacerdote da Igreja Católica – em ação militar das Forças Armadas Revolucionárias da Colômbia (FARC). Questão de ordem. Reconhecimento do status de refugiado do extraditando, por decisão do Comitê Nacional para Refugiados (CONARE): pertinência temática entre a motivação do deferimento do refúgio e o objeto do pedido de extradição: aplicação da Lei 9.474/1997, art. 33 (Estatuto do Refugiado), cuja constitucionalidade é reconhecida: ausência de violação do princípio constitucional da separação dos Poderes. De acordo</w:t>
      </w:r>
    </w:p>
    <w:p>
      <w:pPr>
        <w:ind w:left="288"/>
      </w:pPr>
      <w:r>
        <w:rPr>
          <w:b/>
          <w:color w:val="003CA0"/>
          <w:sz w:val="16"/>
        </w:rPr>
        <w:t>[Ext 1.008, rel. min. Gilmar Mendes, red. do ac. min. Sepúlveda Pertence, j. 21-3-2007, P, DJ de 17-8-2007.]</w:t>
      </w:r>
    </w:p>
    <w:p>
      <w:pPr>
        <w:ind w:left="288"/>
      </w:pPr>
      <w:r>
        <w:rPr>
          <w:color w:val="8C8C8C"/>
          <w:sz w:val="12"/>
        </w:rPr>
        <w:t>cf-art-5-inc-L</w:t>
      </w:r>
      <w:r>
        <w:rPr>
          <w:color w:val="003CA0"/>
          <w:sz w:val="12"/>
        </w:rPr>
        <w:t xml:space="preserve"> | EXT 994</w:t>
      </w:r>
      <w:r>
        <w:rPr>
          <w:color w:val="003CA0"/>
          <w:sz w:val="12"/>
        </w:rPr>
        <w:t xml:space="preserve"> | rel. Marco Aurélio</w:t>
      </w:r>
    </w:p>
    <w:p>
      <w:pPr>
        <w:ind w:left="288"/>
      </w:pPr>
      <w:r>
        <w:rPr>
          <w:color w:val="1E1E1E"/>
          <w:sz w:val="18"/>
        </w:rPr>
        <w:t>Uma vez constatado o entrelaçamento de crimes de natureza política e comum, impõe indeferir a extradição.</w:t>
      </w:r>
    </w:p>
    <w:p>
      <w:pPr>
        <w:ind w:left="288"/>
      </w:pPr>
      <w:r>
        <w:rPr>
          <w:b/>
          <w:color w:val="003CA0"/>
          <w:sz w:val="16"/>
        </w:rPr>
        <w:t>[Ext 994, rel. min. Marco Aurélio, j. 14-12-2005, P, DJ de 4-8-2006.]</w:t>
      </w:r>
    </w:p>
    <w:p>
      <w:pPr>
        <w:ind w:left="288"/>
      </w:pPr>
      <w:r>
        <w:rPr>
          <w:color w:val="8C8C8C"/>
          <w:sz w:val="12"/>
        </w:rPr>
        <w:t>cf-art-5-inc-L</w:t>
      </w:r>
      <w:r>
        <w:rPr>
          <w:color w:val="003CA0"/>
          <w:sz w:val="12"/>
        </w:rPr>
        <w:t xml:space="preserve"> | EXT 855</w:t>
      </w:r>
      <w:r>
        <w:rPr>
          <w:color w:val="003CA0"/>
          <w:sz w:val="12"/>
        </w:rPr>
        <w:t xml:space="preserve"> | rel. Celso de Mello</w:t>
      </w:r>
    </w:p>
    <w:p>
      <w:pPr>
        <w:ind w:left="288"/>
      </w:pPr>
      <w:r>
        <w:rPr>
          <w:color w:val="1E1E1E"/>
          <w:sz w:val="18"/>
        </w:rPr>
        <w:t>A cláusula de proteção constante do art. 5º, LII, da Constituição da República – que veda a extradição de estrangeiros por crime político ou de opinião – não se estende, por tal razão, ao autor de atos delituosos de natureza terrorista, considerado o frontal repúdio que a ordem constitucional brasileira dispensa ao terrorismo e ao terrorista. A extradição – enquanto meio legítimo de cooperação internacional na repressão às práticas de criminalidade comum – representa instrumento de significativa importância no combate eficaz ao terrorismo, que constitui "uma grave ameaça para os valores democr</w:t>
      </w:r>
    </w:p>
    <w:p>
      <w:pPr>
        <w:ind w:left="288"/>
      </w:pPr>
      <w:r>
        <w:rPr>
          <w:b/>
          <w:color w:val="003CA0"/>
          <w:sz w:val="16"/>
        </w:rPr>
        <w:t>[Ext 855, rel. min. Celso de Mello, j. 26-8-2004, P, DJ de 1º-7-2005.]</w:t>
      </w:r>
    </w:p>
    <w:p>
      <w:pPr>
        <w:ind w:left="288"/>
      </w:pPr>
      <w:r>
        <w:rPr>
          <w:color w:val="8C8C8C"/>
          <w:sz w:val="12"/>
        </w:rPr>
        <w:t>cf-art-5-inc-L</w:t>
      </w:r>
      <w:r>
        <w:rPr>
          <w:color w:val="003CA0"/>
          <w:sz w:val="12"/>
        </w:rPr>
        <w:t xml:space="preserve"> | EXT 700</w:t>
      </w:r>
      <w:r>
        <w:rPr>
          <w:color w:val="003CA0"/>
          <w:sz w:val="12"/>
        </w:rPr>
        <w:t xml:space="preserve"> | rel. Octavio Gallotti</w:t>
      </w:r>
    </w:p>
    <w:p>
      <w:pPr>
        <w:ind w:left="288"/>
      </w:pPr>
      <w:r>
        <w:rPr>
          <w:color w:val="1E1E1E"/>
          <w:sz w:val="18"/>
        </w:rPr>
        <w:t>Extraditando acusado de transmitir ao Iraque segredo de Estado do Governo requerente (República Federal da Alemanha), utilizável em projeto de desenvolvimento de armamento nuclear. Crime político puro, cujo conceito compreende não só o cometido contra a segurança interna, como o praticado contra a segurança externa do Estado, a caracterizarem, ambas as hipóteses, a excludente de concessão de extradição.</w:t>
      </w:r>
    </w:p>
    <w:p>
      <w:pPr>
        <w:ind w:left="288"/>
      </w:pPr>
      <w:r>
        <w:rPr>
          <w:b/>
          <w:color w:val="003CA0"/>
          <w:sz w:val="16"/>
        </w:rPr>
        <w:t>[Ext 700, rel. min. Octavio Gallotti, j. 4-3-1998, P, DJ de 5-11-1999.]</w:t>
      </w:r>
    </w:p>
    <w:p>
      <w:pPr>
        <w:ind w:left="288"/>
      </w:pPr>
      <w:r>
        <w:rPr>
          <w:color w:val="8C8C8C"/>
          <w:sz w:val="12"/>
        </w:rPr>
        <w:t>cf-art-5-inc-L</w:t>
      </w:r>
      <w:r>
        <w:rPr>
          <w:color w:val="003CA0"/>
          <w:sz w:val="12"/>
        </w:rPr>
        <w:t xml:space="preserve"> | EXT 615</w:t>
      </w:r>
      <w:r>
        <w:rPr>
          <w:color w:val="003CA0"/>
          <w:sz w:val="12"/>
        </w:rPr>
        <w:t xml:space="preserve"> | rel. Paulo Brossard</w:t>
      </w:r>
    </w:p>
    <w:p>
      <w:pPr>
        <w:ind w:left="288"/>
      </w:pPr>
      <w:r>
        <w:rPr>
          <w:color w:val="1E1E1E"/>
          <w:sz w:val="18"/>
        </w:rPr>
        <w:t>Não havendo a Constituição definido o crime político, ao Supremo cabe, em face da conceituação da legislação ordinária vigente, dizer se os delitos pelos quais se pede a extradição, constituem infração de natureza política ou não, tendo em vista o sistema da principalidade ou da preponderância.</w:t>
      </w:r>
    </w:p>
    <w:p>
      <w:pPr>
        <w:ind w:left="288"/>
      </w:pPr>
      <w:r>
        <w:rPr>
          <w:b/>
          <w:color w:val="003CA0"/>
          <w:sz w:val="16"/>
        </w:rPr>
        <w:t>[Ext 615, rel. min. Paulo Brossard, j. 19-10-1994, P, DJ de 5-12-1994.]</w:t>
      </w:r>
    </w:p>
    <w:p>
      <w:pPr>
        <w:ind w:left="288"/>
      </w:pPr>
      <w:r>
        <w:rPr>
          <w:color w:val="8C8C8C"/>
          <w:sz w:val="12"/>
        </w:rPr>
        <w:t>cf-art-5-inc-L</w:t>
      </w:r>
      <w:r>
        <w:rPr>
          <w:color w:val="003CA0"/>
          <w:sz w:val="12"/>
        </w:rPr>
        <w:t xml:space="preserve"> | EXT 524</w:t>
      </w:r>
      <w:r>
        <w:rPr>
          <w:color w:val="003CA0"/>
          <w:sz w:val="12"/>
        </w:rPr>
        <w:t xml:space="preserve"> | rel. Celso de Mello</w:t>
      </w:r>
    </w:p>
    <w:p>
      <w:pPr>
        <w:ind w:left="288"/>
      </w:pPr>
      <w:r>
        <w:rPr>
          <w:color w:val="1E1E1E"/>
          <w:sz w:val="18"/>
        </w:rPr>
        <w:t>A inextraditabilidade de estrangeiros por delitos políticos ou de opinião reflete, em nosso sistema jurídico, uma tradição constitucional republicana. Dela emerge, em favor dos súditos estrangeiros, um direito público subjetivo, oponível ao próprio Estado e de cogência inquestionável. Há, no preceito normativo que consagra esse favor constitutionis, uma insuperável limitação jurídica ao poder de extraditar do Estado brasileiro. Não há incompatibilidade absoluta entre o instituto do asilo político e o da extradição passiva, na exata medida em que o STF não está vinculado ao juízo formulado pelo</w:t>
      </w:r>
    </w:p>
    <w:p>
      <w:pPr>
        <w:ind w:left="288"/>
      </w:pPr>
      <w:r>
        <w:rPr>
          <w:b/>
          <w:color w:val="003CA0"/>
          <w:sz w:val="16"/>
        </w:rPr>
        <w:t>[Ext 524, rel. min. Celso de Mello, j. 31-10-1989, P, DJ de 8-3-1991.]</w:t>
      </w:r>
    </w:p>
    <w:p>
      <w:pPr>
        <w:ind w:left="288"/>
      </w:pPr>
      <w:r>
        <w:rPr>
          <w:color w:val="8C8C8C"/>
          <w:sz w:val="12"/>
        </w:rPr>
        <w:t>cf-art-5-inc-L</w:t>
      </w:r>
    </w:p>
    <w:p>
      <w:pPr>
        <w:ind w:left="288"/>
      </w:pPr>
      <w:r>
        <w:rPr>
          <w:color w:val="1E1E1E"/>
          <w:sz w:val="18"/>
        </w:rPr>
        <w:t>LIII - ninguém será processado nem sentenciado senão pela autoridade competente; Não viola as garantias do juiz natural, da ampla defesa e do devido processo legal a atração por continência ou conexão do processo do corréu ao foro por prerrogativa de função de um dos denunciados.</w:t>
      </w:r>
    </w:p>
    <w:p>
      <w:pPr>
        <w:ind w:left="288"/>
      </w:pPr>
      <w:r>
        <w:rPr>
          <w:b/>
          <w:color w:val="003CA0"/>
          <w:sz w:val="16"/>
        </w:rPr>
        <w:t>[Súmula 704.]</w:t>
      </w:r>
    </w:p>
    <w:p>
      <w:pPr>
        <w:ind w:left="288"/>
      </w:pPr>
      <w:r>
        <w:rPr>
          <w:color w:val="8C8C8C"/>
          <w:sz w:val="12"/>
        </w:rPr>
        <w:t>cf-art-5-inc-L</w:t>
      </w:r>
      <w:r>
        <w:rPr>
          <w:color w:val="003CA0"/>
          <w:sz w:val="12"/>
        </w:rPr>
        <w:t xml:space="preserve"> | ADI 7.600</w:t>
      </w:r>
      <w:r>
        <w:rPr>
          <w:color w:val="003CA0"/>
          <w:sz w:val="12"/>
        </w:rPr>
        <w:t xml:space="preserve"> | rel. Dias Toffoli</w:t>
      </w:r>
    </w:p>
    <w:p>
      <w:pPr>
        <w:ind w:left="288"/>
      </w:pPr>
      <w:r>
        <w:rPr>
          <w:color w:val="1E1E1E"/>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w:t>
      </w:r>
    </w:p>
    <w:p>
      <w:pPr>
        <w:ind w:left="288"/>
      </w:pPr>
      <w:r>
        <w:rPr>
          <w:b/>
          <w:color w:val="003CA0"/>
          <w:sz w:val="16"/>
        </w:rPr>
        <w:t>[ADI 7.600, ADI 7.601 e 7.608, rel. min. Dias Toffoli, j. 01.07.2025, P, DJE de 15.09.2025.]</w:t>
      </w:r>
    </w:p>
    <w:p>
      <w:pPr>
        <w:ind w:left="288"/>
      </w:pPr>
      <w:r>
        <w:rPr>
          <w:color w:val="8C8C8C"/>
          <w:sz w:val="12"/>
        </w:rPr>
        <w:t>cf-art-5-inc-L</w:t>
      </w:r>
      <w:r>
        <w:rPr>
          <w:color w:val="003CA0"/>
          <w:sz w:val="12"/>
        </w:rPr>
        <w:t xml:space="preserve"> | ADI 5.953</w:t>
      </w:r>
      <w:r>
        <w:rPr>
          <w:color w:val="003CA0"/>
          <w:sz w:val="12"/>
        </w:rPr>
        <w:t xml:space="preserve"> | rel. Edson Fachin</w:t>
      </w:r>
    </w:p>
    <w:p>
      <w:pPr>
        <w:ind w:left="288"/>
      </w:pPr>
      <w:r>
        <w:rPr>
          <w:color w:val="1E1E1E"/>
          <w:sz w:val="18"/>
        </w:rPr>
        <w:t>Art. 144, inciso VIII, do Código de Processo Civil. Causa de impedimento de magistrado. Violação aos princípios da razoabilidade, da proporcionalidade e do juiz natural. (...) O inciso VIII do art. 144 do CPC (...) trata do impedimento do juiz no processo em que for parte “cliente do escritório de advocacia” de seu cônjuge, companheiro ou parente, “mesmo que patrocinado por advogado de outro escritório” (CPC, art. 144, VIII – grifo nosso). Portanto, esta ação direta tem por objeto a regra de impedimento do caso em que o “cliente do escritório de advocacia” do indivíduo que ostente a condição d</w:t>
      </w:r>
    </w:p>
    <w:p>
      <w:pPr>
        <w:ind w:left="288"/>
      </w:pPr>
      <w:r>
        <w:rPr>
          <w:b/>
          <w:color w:val="003CA0"/>
          <w:sz w:val="16"/>
        </w:rPr>
        <w:t>[ADI 5.953, rel. min. Edson Fachin, red. do ac. min. Gilmar Mendes, j. 22-8-2023, P, DJE de 18-10-2023.]</w:t>
      </w:r>
    </w:p>
    <w:p>
      <w:pPr>
        <w:ind w:left="288"/>
      </w:pPr>
      <w:r>
        <w:rPr>
          <w:color w:val="8C8C8C"/>
          <w:sz w:val="12"/>
        </w:rPr>
        <w:t>cf-art-5-inc-L</w:t>
      </w:r>
      <w:r>
        <w:rPr>
          <w:color w:val="003CA0"/>
          <w:sz w:val="12"/>
        </w:rPr>
        <w:t xml:space="preserve"> | ADI 4.414</w:t>
      </w:r>
      <w:r>
        <w:rPr>
          <w:color w:val="003CA0"/>
          <w:sz w:val="12"/>
        </w:rPr>
        <w:t xml:space="preserve"> | rel. Luiz Fux</w:t>
      </w:r>
    </w:p>
    <w:p>
      <w:pPr>
        <w:ind w:left="288"/>
      </w:pPr>
      <w:r>
        <w:rPr>
          <w:color w:val="1E1E1E"/>
          <w:sz w:val="18"/>
        </w:rPr>
        <w:t>Criação, por lei estadual, de varas especializadas em delitos praticados por organizações criminosas. (...) O princípio do juiz natural não resta violado na hipótese em que lei estadual atribui a vara especializada competência territorial abrangente de todo o território da unidade federada, com fundamento no art. 125 da Constituição, porquanto o tema gravita em torno da organização judiciária, inexistindo afronta aos princípios da territorialidade e do juiz natural. A perpetuatio jurisdictionis é excepcionada nas hipóteses de modificação da competência ratione materiae do órgão, motivo pelo qu</w:t>
      </w:r>
    </w:p>
    <w:p>
      <w:pPr>
        <w:ind w:left="288"/>
      </w:pPr>
      <w:r>
        <w:rPr>
          <w:b/>
          <w:color w:val="003CA0"/>
          <w:sz w:val="16"/>
        </w:rPr>
        <w:t>[RE 860.631, rel. min. Luiz Fux, j. 26-10-2023, P, DJE de 14-2-2024, Tema 982, com mérito julgado.]</w:t>
      </w:r>
    </w:p>
    <w:p>
      <w:pPr>
        <w:ind w:left="288"/>
      </w:pPr>
      <w:r>
        <w:rPr>
          <w:color w:val="8C8C8C"/>
          <w:sz w:val="12"/>
        </w:rPr>
        <w:t>cf-art-5-inc-L</w:t>
      </w:r>
      <w:r>
        <w:rPr>
          <w:color w:val="003CA0"/>
          <w:sz w:val="12"/>
        </w:rPr>
        <w:t xml:space="preserve"> | RE 549.560</w:t>
      </w:r>
      <w:r>
        <w:rPr>
          <w:color w:val="003CA0"/>
          <w:sz w:val="12"/>
        </w:rPr>
        <w:t xml:space="preserve"> | rel. Ricardo Lewandowski</w:t>
      </w:r>
    </w:p>
    <w:p>
      <w:pPr>
        <w:ind w:left="288"/>
      </w:pPr>
      <w:r>
        <w:rPr>
          <w:color w:val="1E1E1E"/>
          <w:sz w:val="18"/>
        </w:rPr>
        <w:t>A vitaliciedade é garantia inerente ao exercício do cargo pelos magistrados e tem como objetivo prover a jurisdição de independência e imparcialidade. Exercem a jurisdição, tão somente, os magistrados na atividade, não se estendendo aos inativos o foro especial por prerrogativa de função. A aposentadoria do magistrado, ainda que voluntária, transfere a competência para processamento e julgamento de eventual ilícito penal para o primeiro grau de jurisdição. [RE 549.560, rel. min. Ricardo Lewandowski, j. 22-3-2012, P, DJE de 30-5-2014, Tema 453, com mérito julgado.] Vide ADI 2.797 e ADI 2.860, r</w:t>
      </w:r>
    </w:p>
    <w:p>
      <w:pPr>
        <w:ind w:left="288"/>
      </w:pPr>
      <w:r>
        <w:rPr>
          <w:b/>
          <w:color w:val="003CA0"/>
          <w:sz w:val="16"/>
        </w:rPr>
        <w:t>[RE 597.133, rel. min. Ricardo Lewandowski, j. 17-11-2010, P, DJE de 6-4-2011, Tema 170, com mérito julgado.]</w:t>
      </w:r>
    </w:p>
    <w:p>
      <w:pPr>
        <w:ind w:left="288"/>
      </w:pPr>
      <w:r>
        <w:rPr>
          <w:color w:val="8C8C8C"/>
          <w:sz w:val="12"/>
        </w:rPr>
        <w:t>cf-art-5-inc-L</w:t>
      </w:r>
      <w:r>
        <w:rPr>
          <w:color w:val="003CA0"/>
          <w:sz w:val="12"/>
        </w:rPr>
        <w:t xml:space="preserve"> | ARE 755.933</w:t>
      </w:r>
      <w:r>
        <w:rPr>
          <w:color w:val="003CA0"/>
          <w:sz w:val="12"/>
        </w:rPr>
        <w:t xml:space="preserve"> | rel. Dias Toffoli</w:t>
      </w:r>
    </w:p>
    <w:p>
      <w:pPr>
        <w:ind w:left="288"/>
      </w:pPr>
      <w:r>
        <w:rPr>
          <w:color w:val="1E1E1E"/>
          <w:sz w:val="18"/>
        </w:rPr>
        <w:t>Vide ARE 755.933 AgR, rel. min. Dias Toffoli, j. 11-11-2014, 1ª T, DJE de 19-12-2014 O princípio do Juiz Natural deve ser interpretado em sua plenitude, de forma a não só proibir a criação de Tribunais ou Juízos de Exceção, mas também exigir respeito absoluto às regras objetivas de determinação de competência, para que não seja afetada a independência e a imparcialidade do órgão julgador. A imparcialidade do órgão julgador e a segurança do povo contra o arbítrio estatal encontram em tais valores, proclamados nos incisos XXXVII, LIII e LV do art. 5º da Constituição Federal, algumas de suas gara</w:t>
      </w:r>
    </w:p>
    <w:p>
      <w:pPr>
        <w:ind w:left="288"/>
      </w:pPr>
      <w:r>
        <w:rPr>
          <w:b/>
          <w:color w:val="003CA0"/>
          <w:sz w:val="16"/>
        </w:rPr>
        <w:t>[Rcl 47.666 AgR, rel. min. Alexandre de Moraes, j. 9-3-2022, 1ª T, DJE de 15-3-2022.]</w:t>
      </w:r>
    </w:p>
    <w:p>
      <w:pPr>
        <w:ind w:left="288"/>
      </w:pPr>
      <w:r>
        <w:rPr>
          <w:color w:val="8C8C8C"/>
          <w:sz w:val="12"/>
        </w:rPr>
        <w:t>cf-art-5-inc-L</w:t>
      </w:r>
      <w:r>
        <w:rPr>
          <w:color w:val="003CA0"/>
          <w:sz w:val="12"/>
        </w:rPr>
        <w:t xml:space="preserve"> | RHC 135.683</w:t>
      </w:r>
      <w:r>
        <w:rPr>
          <w:color w:val="003CA0"/>
          <w:sz w:val="12"/>
        </w:rPr>
        <w:t xml:space="preserve"> | rel. Dias Toffoli</w:t>
      </w:r>
    </w:p>
    <w:p>
      <w:pPr>
        <w:ind w:left="288"/>
      </w:pPr>
      <w:r>
        <w:rPr>
          <w:color w:val="1E1E1E"/>
          <w:sz w:val="18"/>
        </w:rPr>
        <w:t>Interceptações telefônicas realizadas em primeiro grau de jurisdição. Operação Vegas. Surgimento de indícios do envolvimento de senador da República, detentor de prerrogativa de foro, em fatos criminosos em apuração. Competência do STF para processar e julgar originariamente a causa (...). Necessidade de imediata remessa dos autos à Corte. Não ocorrência. Usurpação de sua competência constitucional configurada. Prosseguimento das investigações em primeiro grau. Tentativa de arrecadar maiores elementos de informação por via oblíqua sem a autorização do STF. Violação do princípio do juiz natural</w:t>
      </w:r>
    </w:p>
    <w:p>
      <w:pPr>
        <w:ind w:left="288"/>
      </w:pPr>
      <w:r>
        <w:rPr>
          <w:b/>
          <w:color w:val="003CA0"/>
          <w:sz w:val="16"/>
        </w:rPr>
        <w:t>[Inq 3.732, rel. min. Cármen Lúcia, j. 8-3-2016, 2ª T, DJE de 22-3-2016.]</w:t>
      </w:r>
    </w:p>
    <w:p>
      <w:pPr>
        <w:ind w:left="288"/>
      </w:pPr>
      <w:r>
        <w:rPr>
          <w:color w:val="8C8C8C"/>
          <w:sz w:val="12"/>
        </w:rPr>
        <w:t>cf-art-5-inc-L</w:t>
      </w:r>
      <w:r>
        <w:rPr>
          <w:color w:val="003CA0"/>
          <w:sz w:val="12"/>
        </w:rPr>
        <w:t xml:space="preserve"> | INQ 4.130</w:t>
      </w:r>
      <w:r>
        <w:rPr>
          <w:color w:val="003CA0"/>
          <w:sz w:val="12"/>
        </w:rPr>
        <w:t xml:space="preserve"> | rel. Dias Toffoli</w:t>
      </w:r>
    </w:p>
    <w:p>
      <w:pPr>
        <w:ind w:left="288"/>
      </w:pPr>
      <w:r>
        <w:rPr>
          <w:color w:val="1E1E1E"/>
          <w:sz w:val="18"/>
        </w:rPr>
        <w:t>Prevenção de ministro da Corte que supervisiona as investigações de crimes relacionados à Petrobras. Inexistência. Ausência de conexão entre os fatos reconhecida pela Presidência da Corte. Imbricação da matéria com o desmembramento do feito e seus consectários. Necessidade de seu exame para a determinação do juízo de primeiro grau competente para processar e julgar o feito desmembrado. Crimes de organização criminosa, lavagem de dinheiro, falsidade ideológica e corrupção passiva. Colaboração premiada. Delação de crimes não conexos com a investigação primária. Equiparação ao encontro fortuito d</w:t>
      </w:r>
    </w:p>
    <w:p>
      <w:pPr>
        <w:ind w:left="288"/>
      </w:pPr>
      <w:r>
        <w:rPr>
          <w:b/>
          <w:color w:val="003CA0"/>
          <w:sz w:val="16"/>
        </w:rPr>
        <w:t>[Inq 4.130 QO, rel. min. Dias Toffoli, j. 23-9-2015, P, DJE de 3-2-2016.]</w:t>
      </w:r>
    </w:p>
    <w:p>
      <w:pPr>
        <w:ind w:left="288"/>
      </w:pPr>
      <w:r>
        <w:rPr>
          <w:color w:val="8C8C8C"/>
          <w:sz w:val="12"/>
        </w:rPr>
        <w:t>cf-art-5-inc-L</w:t>
      </w:r>
      <w:r>
        <w:rPr>
          <w:color w:val="003CA0"/>
          <w:sz w:val="12"/>
        </w:rPr>
        <w:t xml:space="preserve"> | ARE 755.933</w:t>
      </w:r>
      <w:r>
        <w:rPr>
          <w:color w:val="003CA0"/>
          <w:sz w:val="12"/>
        </w:rPr>
        <w:t xml:space="preserve"> | rel. Dias Toffoli</w:t>
      </w:r>
    </w:p>
    <w:p>
      <w:pPr>
        <w:ind w:left="288"/>
      </w:pPr>
      <w:r>
        <w:rPr>
          <w:color w:val="1E1E1E"/>
          <w:sz w:val="18"/>
        </w:rPr>
        <w:t>O STF já firmou entendimento acerca da constitucionalidade da convocação de desembargadores para atuar nos tribunais superiores, ao passo que o RISTJ traz essa autorização em seu art. 56, não configurando isso, portanto, afronta ao princípio constitucional do juiz natural.</w:t>
        <w:br/>
        <w:t>[ARE 755.933 AgR, rel. min. Dias Toffoli, j. 11-11-2014, 1ª T, DJE de 19-12-2014.]</w:t>
        <w:br/>
        <w:t>Vide RE 597.133, rel. min. Ricardo Lewandowski, j. 17-11-2010, P, DJE de 6-4-2011, Tema 170 A designação de comissão disciplinar posteriormente ao fato, por si só, não configura violação do princípio do juiz natural, pois à autoridade se impõe</w:t>
      </w:r>
    </w:p>
    <w:p>
      <w:pPr>
        <w:ind w:left="288"/>
      </w:pPr>
      <w:r>
        <w:rPr>
          <w:b/>
          <w:color w:val="003CA0"/>
          <w:sz w:val="16"/>
        </w:rPr>
        <w:t>[RMS 31.207, rel min. Dias Toffoli, j. 18-12-2012, 1ª T, DJE de 25-2-2013].</w:t>
      </w:r>
    </w:p>
    <w:p>
      <w:pPr>
        <w:ind w:left="288"/>
      </w:pPr>
      <w:r>
        <w:rPr>
          <w:color w:val="8C8C8C"/>
          <w:sz w:val="12"/>
        </w:rPr>
        <w:t>cf-art-5-inc-L</w:t>
      </w:r>
      <w:r>
        <w:rPr>
          <w:color w:val="003CA0"/>
          <w:sz w:val="12"/>
        </w:rPr>
        <w:t xml:space="preserve"> | RE 636.359</w:t>
      </w:r>
      <w:r>
        <w:rPr>
          <w:color w:val="003CA0"/>
          <w:sz w:val="12"/>
        </w:rPr>
        <w:t xml:space="preserve"> | rel. Luiz Fux</w:t>
      </w:r>
    </w:p>
    <w:p>
      <w:pPr>
        <w:ind w:left="288"/>
      </w:pPr>
      <w:r>
        <w:rPr>
          <w:color w:val="1E1E1E"/>
          <w:sz w:val="18"/>
        </w:rPr>
        <w:t>O pleito de suspensão do processo (CPC, art. 265, III), na hipótese em que a arguição de suspeição de ministro deste STF seja manifestamente impertinente para a apreciação monocrática do recurso, não é apto a impedir o prosseguimento do feito, sob pena de beneficiar uma das partes em prejuízo da celeridade na solução dos conflitos, especialmente aquela tutelada pela decisão judicial que se pretende reverter. A inadmissibilidade recursal não pode ser declarada nas hipóteses em que a regularidade formal como requisito extrínseco não se verifica por fato inimputável ao recorrente. (...) A violaçã</w:t>
      </w:r>
    </w:p>
    <w:p>
      <w:pPr>
        <w:ind w:left="288"/>
      </w:pPr>
      <w:r>
        <w:rPr>
          <w:b/>
          <w:color w:val="003CA0"/>
          <w:sz w:val="16"/>
        </w:rPr>
        <w:t>[RE 636.359 AgR-segundo, rel. min. Luiz Fux, j. 3-11-2011, P, DJE de 25-11-2011.]</w:t>
      </w:r>
    </w:p>
    <w:p>
      <w:pPr>
        <w:ind w:left="288"/>
      </w:pPr>
      <w:r>
        <w:rPr>
          <w:color w:val="8C8C8C"/>
          <w:sz w:val="12"/>
        </w:rPr>
        <w:t>cf-art-5-inc-L</w:t>
      </w:r>
      <w:r>
        <w:rPr>
          <w:color w:val="003CA0"/>
          <w:sz w:val="12"/>
        </w:rPr>
        <w:t xml:space="preserve"> | RE 484.388</w:t>
      </w:r>
    </w:p>
    <w:p>
      <w:pPr>
        <w:ind w:left="288"/>
      </w:pPr>
      <w:r>
        <w:rPr>
          <w:color w:val="1E1E1E"/>
          <w:sz w:val="18"/>
        </w:rPr>
        <w:t>O quinto constitucional previsto para o provimento de lugares em Tribunal, quando eventualmente não observado, não gera nulidade do julgado, máxime em razão da ilegitimidade da parte para questionar os critérios de preenchimento das vagas nos órgãos do Judiciário, mercê da incidência do princípio pas de nullité sans grief, consagrado no art. 499 do CPPM (...).</w:t>
      </w:r>
    </w:p>
    <w:p>
      <w:pPr>
        <w:ind w:left="288"/>
      </w:pPr>
      <w:r>
        <w:rPr>
          <w:b/>
          <w:color w:val="003CA0"/>
          <w:sz w:val="16"/>
        </w:rPr>
        <w:t>[RE 484.388, red. do ac. min. Luiz Fux, j. 13-10-2011, P, DJE de 13-3-2012.]</w:t>
      </w:r>
    </w:p>
    <w:p>
      <w:pPr>
        <w:ind w:left="288"/>
      </w:pPr>
      <w:r>
        <w:rPr>
          <w:color w:val="8C8C8C"/>
          <w:sz w:val="12"/>
        </w:rPr>
        <w:t>cf-art-5-inc-L</w:t>
      </w:r>
      <w:r>
        <w:rPr>
          <w:color w:val="003CA0"/>
          <w:sz w:val="12"/>
        </w:rPr>
        <w:t xml:space="preserve"> | AO 1.408</w:t>
      </w:r>
    </w:p>
    <w:p>
      <w:pPr>
        <w:ind w:left="288"/>
      </w:pPr>
      <w:r>
        <w:rPr>
          <w:color w:val="1E1E1E"/>
          <w:sz w:val="18"/>
        </w:rPr>
        <w:t>(...) a simples condição de beneficiários de plano de saúde da excipiente não torna suspeitos os desembargadores (...) no julgamento da lide relacionada ao descredenciamento de hospital, a toda evidência. A alegação de parcialidade, na realidade, trata-se de mera conjectura, destituída de qualquer elemento objetivo.</w:t>
      </w:r>
    </w:p>
    <w:p>
      <w:pPr>
        <w:ind w:left="288"/>
      </w:pPr>
      <w:r>
        <w:rPr>
          <w:b/>
          <w:color w:val="003CA0"/>
          <w:sz w:val="16"/>
        </w:rPr>
        <w:t>[AO 1.408 AgR-segundo, voto do  min. Gilmar Mendes, j. 9-6-2011, P, DJE de 8-8-2011.]</w:t>
      </w:r>
    </w:p>
    <w:p>
      <w:pPr>
        <w:ind w:left="288"/>
      </w:pPr>
      <w:r>
        <w:rPr>
          <w:color w:val="8C8C8C"/>
          <w:sz w:val="12"/>
        </w:rPr>
        <w:t>cf-art-5-inc-L</w:t>
      </w:r>
      <w:r>
        <w:rPr>
          <w:color w:val="003CA0"/>
          <w:sz w:val="12"/>
        </w:rPr>
        <w:t xml:space="preserve"> | RCL 7.913</w:t>
      </w:r>
      <w:r>
        <w:rPr>
          <w:color w:val="003CA0"/>
          <w:sz w:val="12"/>
        </w:rPr>
        <w:t xml:space="preserve"> | rel. Dias Toffoli</w:t>
      </w:r>
    </w:p>
    <w:p>
      <w:pPr>
        <w:ind w:left="288"/>
      </w:pPr>
      <w:r>
        <w:rPr>
          <w:color w:val="1E1E1E"/>
          <w:sz w:val="18"/>
        </w:rPr>
        <w:t>Desmembramento de representação criminal. Envolvimento de parlamentar federal. (...) Até que esta Suprema Corte procedesse à análise devida, não cabia ao juízo de primeiro grau, ao deparar-se, nas investigações então conjuntamente realizadas, com suspeitos detentores de prerrogativa de foro – em razão das funções em que se encontravam investidos –, determinar a cisão das investigações e a remessa a esta Suprema Corte da apuração relativa a esses últimos, com o que acabou por usurpar competência que não detinha. Inadmissível pretendida convalidação de atos decisórios praticados por autoridade i</w:t>
      </w:r>
    </w:p>
    <w:p>
      <w:pPr>
        <w:ind w:left="288"/>
      </w:pPr>
      <w:r>
        <w:rPr>
          <w:b/>
          <w:color w:val="003CA0"/>
          <w:sz w:val="16"/>
        </w:rPr>
        <w:t>[Rcl 7.913 AgR, rel. min. Dias Toffoli, j. 12-5-2011, P, DJE de 9-9-2011.]</w:t>
      </w:r>
    </w:p>
    <w:p>
      <w:pPr>
        <w:ind w:left="288"/>
      </w:pPr>
      <w:r>
        <w:rPr>
          <w:color w:val="8C8C8C"/>
          <w:sz w:val="12"/>
        </w:rPr>
        <w:t>cf-art-5-inc-L</w:t>
      </w:r>
      <w:r>
        <w:rPr>
          <w:color w:val="003CA0"/>
          <w:sz w:val="12"/>
        </w:rPr>
        <w:t xml:space="preserve"> | HC 104.957</w:t>
      </w:r>
      <w:r>
        <w:rPr>
          <w:color w:val="003CA0"/>
          <w:sz w:val="12"/>
        </w:rPr>
        <w:t xml:space="preserve"> | rel. Cármen Lúcia</w:t>
      </w:r>
    </w:p>
    <w:p>
      <w:pPr>
        <w:ind w:left="288"/>
      </w:pPr>
      <w:r>
        <w:rPr>
          <w:color w:val="1E1E1E"/>
          <w:sz w:val="18"/>
        </w:rPr>
        <w:t>Reunião de inquéritos. Conveniência da instrução. Possibilidade. (...) Competência definida por prerrogativa de função. (...) Julgamento dos corréus na mesma instância. Jurisdição de maior graduação. Art. 78, III, do CPP. Preservação do princípio do juiz natural. A reunião de inquéritos policiais instaurados em unidades da federação diferentes pode ser determinada, quando presente qualquer das situações previstas no art. 76 do CPP. O CPP não condiciona o reconhecimento da conexão à perfeita simetria entre as condutas dos corréus.</w:t>
      </w:r>
    </w:p>
    <w:p>
      <w:pPr>
        <w:ind w:left="288"/>
      </w:pPr>
      <w:r>
        <w:rPr>
          <w:b/>
          <w:color w:val="003CA0"/>
          <w:sz w:val="16"/>
        </w:rPr>
        <w:t>[HC 104.957, rel. min. Cármen Lúcia, j. 22-3-2011, 1ª T, DJE de 27-5-2011.]</w:t>
      </w:r>
    </w:p>
    <w:p>
      <w:pPr>
        <w:ind w:left="288"/>
      </w:pPr>
      <w:r>
        <w:rPr>
          <w:color w:val="8C8C8C"/>
          <w:sz w:val="12"/>
        </w:rPr>
        <w:t>cf-art-5-inc-L</w:t>
      </w:r>
      <w:r>
        <w:rPr>
          <w:color w:val="003CA0"/>
          <w:sz w:val="12"/>
        </w:rPr>
        <w:t xml:space="preserve"> | EXT 1.162</w:t>
      </w:r>
      <w:r>
        <w:rPr>
          <w:color w:val="003CA0"/>
          <w:sz w:val="12"/>
        </w:rPr>
        <w:t xml:space="preserve"> | rel. Cármen Lúcia</w:t>
      </w:r>
    </w:p>
    <w:p>
      <w:pPr>
        <w:ind w:left="288"/>
      </w:pPr>
      <w:r>
        <w:rPr>
          <w:color w:val="1E1E1E"/>
          <w:sz w:val="18"/>
        </w:rPr>
        <w:t>O STF exerce com exclusividade constitucional o papel de juiz natural do processo de extradição, sendo irrelevante, para efeitos de declaração de nulidade, a eventual delegação de atribuição para o processamento e cumprimento de cartas de ordem nas instâncias ordinárias.</w:t>
      </w:r>
    </w:p>
    <w:p>
      <w:pPr>
        <w:ind w:left="288"/>
      </w:pPr>
      <w:r>
        <w:rPr>
          <w:b/>
          <w:color w:val="003CA0"/>
          <w:sz w:val="16"/>
        </w:rPr>
        <w:t>[Ext 1.162, rel. min. Cármen Lúcia, j. 17-3-2011, P, DJE de 5-4-2011.]</w:t>
      </w:r>
    </w:p>
    <w:p>
      <w:pPr>
        <w:ind w:left="288"/>
      </w:pPr>
      <w:r>
        <w:rPr>
          <w:color w:val="8C8C8C"/>
          <w:sz w:val="12"/>
        </w:rPr>
        <w:t>cf-art-5-inc-L</w:t>
      </w:r>
    </w:p>
    <w:p>
      <w:pPr>
        <w:ind w:left="288"/>
      </w:pPr>
      <w:r>
        <w:rPr>
          <w:color w:val="1E1E1E"/>
          <w:sz w:val="18"/>
        </w:rPr>
        <w:t>Quanto à suposta nulidade da decisão recorrida, em virtude de processo sobre o mesmo assunto anteriormente distribuído ao min. Celso de Mello, registre-se que a Seção de Prevenção e Distribuição deste Tribunal não identificou situação que revelasse conexão ou continência entre os processos. Ainda que assim não fosse, o art. 67, § 6º, do Regimento Interno desta Casa estabelece que a prevenção deve ser alegada pela parte na primeira oportunidade em que se lhe apresente, sob pena de preclusão, o que não ocorreu no presente caso. (...) Entendimento contrário permitiria que manobras artificiosas ma</w:t>
      </w:r>
    </w:p>
    <w:p>
      <w:pPr>
        <w:ind w:left="288"/>
      </w:pPr>
      <w:r>
        <w:rPr>
          <w:b/>
          <w:color w:val="003CA0"/>
          <w:sz w:val="16"/>
        </w:rPr>
        <w:t>[CC 7.699 AgR, voto do min. Gilmar Mendes, j. 24-2-2011, P, DJE de 18-3-2011.]</w:t>
      </w:r>
    </w:p>
    <w:p>
      <w:pPr>
        <w:ind w:left="288"/>
      </w:pPr>
      <w:r>
        <w:rPr>
          <w:color w:val="8C8C8C"/>
          <w:sz w:val="12"/>
        </w:rPr>
        <w:t>cf-art-5-inc-L</w:t>
      </w:r>
      <w:r>
        <w:rPr>
          <w:color w:val="003CA0"/>
          <w:sz w:val="12"/>
        </w:rPr>
        <w:t xml:space="preserve"> | HC 97.544</w:t>
      </w:r>
    </w:p>
    <w:p>
      <w:pPr>
        <w:ind w:left="288"/>
      </w:pPr>
      <w:r>
        <w:rPr>
          <w:color w:val="1E1E1E"/>
          <w:sz w:val="18"/>
        </w:rPr>
        <w:t>(...) entendo não se tratar de causa de impedimento o fato de um juiz com jurisdição ampla julgar, sucessivamente, o feito criminal e o de natureza cível decorrentes do mesmo fato. Quando esta Corte Suprema assenta que não se pode estender, pela via da interpretação, o rol do art. 252 do CPP, quer ela dizer que não é possível ao Judiciário legislar para incluir causa não prevista pelo legislador. Essa inclusão pode se dar por analogia pura e simples, como também pela dita interpretação extensiva, que nada mais é do que a inclusão, a partir de um referencial legal, de um item não previsto em um</w:t>
      </w:r>
    </w:p>
    <w:p>
      <w:pPr>
        <w:ind w:left="288"/>
      </w:pPr>
      <w:r>
        <w:rPr>
          <w:b/>
          <w:color w:val="003CA0"/>
          <w:sz w:val="16"/>
        </w:rPr>
        <w:t>[HC 97.544, voto do red. do ac. min. Gilmar Mendes, j. 21-9-2010, 2ª T, DJE de 3-12-2010.]</w:t>
      </w:r>
    </w:p>
    <w:p>
      <w:pPr>
        <w:ind w:left="288"/>
      </w:pPr>
      <w:r>
        <w:rPr>
          <w:color w:val="8C8C8C"/>
          <w:sz w:val="12"/>
        </w:rPr>
        <w:t>cf-art-5-inc-L</w:t>
      </w:r>
      <w:r>
        <w:rPr>
          <w:color w:val="003CA0"/>
          <w:sz w:val="12"/>
        </w:rPr>
        <w:t xml:space="preserve"> | HC 92.893</w:t>
      </w:r>
      <w:r>
        <w:rPr>
          <w:color w:val="003CA0"/>
          <w:sz w:val="12"/>
        </w:rPr>
        <w:t xml:space="preserve"> | rel. Ricardo Lewandowski</w:t>
      </w:r>
    </w:p>
    <w:p>
      <w:pPr>
        <w:ind w:left="288"/>
      </w:pPr>
      <w:r>
        <w:rPr>
          <w:color w:val="1E1E1E"/>
          <w:sz w:val="18"/>
        </w:rPr>
        <w:t>Vide HC 92.893, rel. min. Ricardo Lewandowski, j. 2-10-2008, P, DJE de 12-12-2008 Vide ADI 1.570, rel. min. Maurício Corrêa, j. 12-2-2004, P, DJ de 22-10-2004 Desmembramento indeferido. Prejuízo à exata compreensão do feito. (...) Embora apenas um dos réus detenha prerrogativa de foro no STF, o desmembramento da ação penal comprometeria a prestação jurisdicional, tornando inaplicáveis os precedentes da Corte no sentido do desmembramento. O julgamento do réu com foro privilegiado depende da análise das condutas imputadas aos corréus, tendo em vista a formação coletiva da vontade no sentido da p</w:t>
      </w:r>
    </w:p>
    <w:p>
      <w:pPr>
        <w:ind w:left="288"/>
      </w:pPr>
      <w:r>
        <w:rPr>
          <w:b/>
          <w:color w:val="003CA0"/>
          <w:sz w:val="16"/>
        </w:rPr>
        <w:t>[AP 420 AgR, rel. min. Joaquim Barbosa, j. 9-9-2010, P, DJE de 14-3-2012.]</w:t>
      </w:r>
    </w:p>
    <w:p>
      <w:pPr>
        <w:ind w:left="288"/>
      </w:pPr>
      <w:r>
        <w:rPr>
          <w:color w:val="8C8C8C"/>
          <w:sz w:val="12"/>
        </w:rPr>
        <w:t>cf-art-5-inc-L</w:t>
      </w:r>
      <w:r>
        <w:rPr>
          <w:color w:val="003CA0"/>
          <w:sz w:val="12"/>
        </w:rPr>
        <w:t xml:space="preserve"> | INQ 2.718</w:t>
      </w:r>
      <w:r>
        <w:rPr>
          <w:color w:val="003CA0"/>
          <w:sz w:val="12"/>
        </w:rPr>
        <w:t xml:space="preserve"> | rel. Ricardo Lewandowski</w:t>
      </w:r>
    </w:p>
    <w:p>
      <w:pPr>
        <w:ind w:left="288"/>
      </w:pPr>
      <w:r>
        <w:rPr>
          <w:color w:val="1E1E1E"/>
          <w:sz w:val="18"/>
        </w:rPr>
        <w:t>Vide Inq 2.718 QO, rel. min. Ricardo Lewandowski, j. 20-8-2009, P, DJE de 27-11-2009 Vide AP 351, rel. min. Marco Aurélio, j. 12-8-2004, P, DJ de 17-9-2004 Cabe ao órgão jurisdicional competente a decisão sobre eventual litispendência, não podendo esta Suprema Corte antecipar-se ao juiz natural da causa.</w:t>
      </w:r>
    </w:p>
    <w:p>
      <w:pPr>
        <w:ind w:left="288"/>
      </w:pPr>
      <w:r>
        <w:rPr>
          <w:b/>
          <w:color w:val="003CA0"/>
          <w:sz w:val="16"/>
        </w:rPr>
        <w:t>[HC 98.842, rel. min. Ricardo Lewandowski, j. 25-5-2010, 1ª T, DJE de 25-6-2010.]</w:t>
      </w:r>
    </w:p>
    <w:p>
      <w:pPr>
        <w:ind w:left="288"/>
      </w:pPr>
      <w:r>
        <w:rPr>
          <w:color w:val="8C8C8C"/>
          <w:sz w:val="12"/>
        </w:rPr>
        <w:t>cf-art-5-inc-L</w:t>
      </w:r>
      <w:r>
        <w:rPr>
          <w:color w:val="003CA0"/>
          <w:sz w:val="12"/>
        </w:rPr>
        <w:t xml:space="preserve"> | MS 28.712</w:t>
      </w:r>
      <w:r>
        <w:rPr>
          <w:color w:val="003CA0"/>
          <w:sz w:val="12"/>
        </w:rPr>
        <w:t xml:space="preserve"> | rel. Celso de Mello</w:t>
      </w:r>
    </w:p>
    <w:p>
      <w:pPr>
        <w:ind w:left="288"/>
      </w:pPr>
      <w:r>
        <w:rPr>
          <w:color w:val="1E1E1E"/>
          <w:sz w:val="18"/>
        </w:rPr>
        <w:t>(...) o postulado do juiz natural deriva de cláusula constitucional tipicamente bifronte, pois, dirigindo-se a dois destinatários distintos, ora representa um direito do réu ou do indiciado/sindicado (eficácia positiva da garantia constitucional), ora traduz uma imposição ao Estado (eficácia negativa dessa mesma garantia constitucional). O princípio da naturalidade do juízo, portanto, encerrando uma garantia constitucional, limita, de um lado, os poderes do Estado (impossibilitado, assim, de instituir juízos ad hoc ou de criar tribunais de exceção) e assegura, ao acusado (ou ao sindicado/indic</w:t>
      </w:r>
    </w:p>
    <w:p>
      <w:pPr>
        <w:ind w:left="288"/>
      </w:pPr>
      <w:r>
        <w:rPr>
          <w:b/>
          <w:color w:val="003CA0"/>
          <w:sz w:val="16"/>
        </w:rPr>
        <w:t>[MS 28.712 MC, rel. min. Celso de Mello, j. 6-5-2010, dec. monocrática, DJE de 11-5-2010.]</w:t>
      </w:r>
    </w:p>
    <w:p>
      <w:pPr>
        <w:ind w:left="288"/>
      </w:pPr>
      <w:r>
        <w:rPr>
          <w:color w:val="8C8C8C"/>
          <w:sz w:val="12"/>
        </w:rPr>
        <w:t>cf-art-5-inc-L</w:t>
      </w:r>
      <w:r>
        <w:rPr>
          <w:color w:val="003CA0"/>
          <w:sz w:val="12"/>
        </w:rPr>
        <w:t xml:space="preserve"> | HC 94.309</w:t>
      </w:r>
      <w:r>
        <w:rPr>
          <w:color w:val="003CA0"/>
          <w:sz w:val="12"/>
        </w:rPr>
        <w:t xml:space="preserve"> | rel. Marco Aurélio</w:t>
      </w:r>
    </w:p>
    <w:p>
      <w:pPr>
        <w:ind w:left="288"/>
      </w:pPr>
      <w:r>
        <w:rPr>
          <w:color w:val="1E1E1E"/>
          <w:sz w:val="18"/>
        </w:rPr>
        <w:t>O princípio do juízo natural afasta a possibilidade de o relator, como porta-voz do Colegiado, julgar o habeas corpus.</w:t>
      </w:r>
    </w:p>
    <w:p>
      <w:pPr>
        <w:ind w:left="288"/>
      </w:pPr>
      <w:r>
        <w:rPr>
          <w:b/>
          <w:color w:val="003CA0"/>
          <w:sz w:val="16"/>
        </w:rPr>
        <w:t>[HC 94.309, rel. min. Marco Aurélio, j. 13-4-2010, 1ª T, DJE de 7-5-2010.]</w:t>
      </w:r>
    </w:p>
    <w:p>
      <w:pPr>
        <w:ind w:left="288"/>
      </w:pPr>
      <w:r>
        <w:rPr>
          <w:color w:val="8C8C8C"/>
          <w:sz w:val="12"/>
        </w:rPr>
        <w:t>cf-art-5-inc-L</w:t>
      </w:r>
      <w:r>
        <w:rPr>
          <w:color w:val="003CA0"/>
          <w:sz w:val="12"/>
        </w:rPr>
        <w:t xml:space="preserve"> | HC 96.821</w:t>
      </w:r>
      <w:r>
        <w:rPr>
          <w:color w:val="003CA0"/>
          <w:sz w:val="12"/>
        </w:rPr>
        <w:t xml:space="preserve"> | rel. Ricardo Lewandowski</w:t>
      </w:r>
    </w:p>
    <w:p>
      <w:pPr>
        <w:ind w:left="288"/>
      </w:pPr>
      <w:r>
        <w:rPr>
          <w:color w:val="1E1E1E"/>
          <w:sz w:val="18"/>
        </w:rPr>
        <w:t>(...) não viola o postulado constitucional do juiz natural o julgamento de apelação por órgão composto majoritariamente por juízes convocados na forma de edital publicado na imprensa oficial.</w:t>
      </w:r>
    </w:p>
    <w:p>
      <w:pPr>
        <w:ind w:left="288"/>
      </w:pPr>
      <w:r>
        <w:rPr>
          <w:b/>
          <w:color w:val="003CA0"/>
          <w:sz w:val="16"/>
        </w:rPr>
        <w:t>[HC 96.821, rel. min. Ricardo Lewandowski, j. 8-4-2010, P, DJE de 25-6-2010.]</w:t>
      </w:r>
    </w:p>
    <w:p>
      <w:pPr>
        <w:ind w:left="288"/>
      </w:pPr>
      <w:r>
        <w:rPr>
          <w:color w:val="8C8C8C"/>
          <w:sz w:val="12"/>
        </w:rPr>
        <w:t>cf-art-5-inc-L</w:t>
      </w:r>
      <w:r>
        <w:rPr>
          <w:color w:val="003CA0"/>
          <w:sz w:val="12"/>
        </w:rPr>
        <w:t xml:space="preserve"> | HC 101.473</w:t>
      </w:r>
      <w:r>
        <w:rPr>
          <w:color w:val="003CA0"/>
          <w:sz w:val="12"/>
        </w:rPr>
        <w:t xml:space="preserve"> | rel. Marco Aurélio</w:t>
      </w:r>
    </w:p>
    <w:p>
      <w:pPr>
        <w:ind w:left="288"/>
      </w:pPr>
      <w:r>
        <w:rPr>
          <w:color w:val="1E1E1E"/>
          <w:sz w:val="18"/>
        </w:rPr>
        <w:t>= HC 101.473, rel. min. Marco Aurélio, red. do ac. min. Roberto Barroso, j. 16-2-2016, 1ª T, DJE de 8-6-2016 = RHC 109.070, rel. min. Joaquim Barbosa, j. 15-5-2012, 2ª T, DJE de 30-5-2012 A jurisprudência do STF fixou entendimento no sentido de que a concentração de vários processos que versem sobre a mesma matéria em um mesmo órgão julgador não ofende o princípio do juiz natural.</w:t>
      </w:r>
    </w:p>
    <w:p>
      <w:pPr>
        <w:ind w:left="288"/>
      </w:pPr>
      <w:r>
        <w:rPr>
          <w:b/>
          <w:color w:val="003CA0"/>
          <w:sz w:val="16"/>
        </w:rPr>
        <w:t>[AI 753.445 AgR, rel. min. Eros Grau, j. 8-9-2009, 2ª T, DJE de 25-9-2009.]</w:t>
      </w:r>
    </w:p>
    <w:p>
      <w:pPr>
        <w:ind w:left="288"/>
      </w:pPr>
      <w:r>
        <w:rPr>
          <w:color w:val="8C8C8C"/>
          <w:sz w:val="12"/>
        </w:rPr>
        <w:t>cf-art-5-inc-L</w:t>
      </w:r>
      <w:r>
        <w:rPr>
          <w:color w:val="003CA0"/>
          <w:sz w:val="12"/>
        </w:rPr>
        <w:t xml:space="preserve"> | AI 579.592</w:t>
      </w:r>
      <w:r>
        <w:rPr>
          <w:color w:val="003CA0"/>
          <w:sz w:val="12"/>
        </w:rPr>
        <w:t xml:space="preserve"> | rel. Marco Aurélio</w:t>
      </w:r>
    </w:p>
    <w:p>
      <w:pPr>
        <w:ind w:left="288"/>
      </w:pPr>
      <w:r>
        <w:rPr>
          <w:color w:val="1E1E1E"/>
          <w:sz w:val="18"/>
        </w:rPr>
        <w:t>Vício na distribuição há de ser veiculado na primeira oportunidade que a parte tiver para falar nos autos ou no processo.</w:t>
      </w:r>
    </w:p>
    <w:p>
      <w:pPr>
        <w:ind w:left="288"/>
      </w:pPr>
      <w:r>
        <w:rPr>
          <w:b/>
          <w:color w:val="003CA0"/>
          <w:sz w:val="16"/>
        </w:rPr>
        <w:t>[AI 579.592 AgR, rel. min. Marco Aurélio, j. 30-6-2009, 1ª T, DJE de 6-11-2009.]</w:t>
      </w:r>
    </w:p>
    <w:p>
      <w:pPr>
        <w:ind w:left="288"/>
      </w:pPr>
      <w:r>
        <w:rPr>
          <w:color w:val="8C8C8C"/>
          <w:sz w:val="12"/>
        </w:rPr>
        <w:t>cf-art-5-inc-L</w:t>
      </w:r>
      <w:r>
        <w:rPr>
          <w:color w:val="003CA0"/>
          <w:sz w:val="12"/>
        </w:rPr>
        <w:t xml:space="preserve"> | HC 97.293</w:t>
      </w:r>
      <w:r>
        <w:rPr>
          <w:color w:val="003CA0"/>
          <w:sz w:val="12"/>
        </w:rPr>
        <w:t xml:space="preserve"> | rel. Cármen Lúcia</w:t>
      </w:r>
    </w:p>
    <w:p>
      <w:pPr>
        <w:ind w:left="288"/>
      </w:pPr>
      <w:r>
        <w:rPr>
          <w:color w:val="1E1E1E"/>
          <w:sz w:val="18"/>
        </w:rPr>
        <w:t>O art. 252, III, do CPP (...) não preceitua qualquer ilegalidade em razão do juízo de admissibilidade dos recursos especial e extraordinário ser realizado pelo juiz que julgou o recurso de apelação criminal.</w:t>
      </w:r>
    </w:p>
    <w:p>
      <w:pPr>
        <w:ind w:left="288"/>
      </w:pPr>
      <w:r>
        <w:rPr>
          <w:b/>
          <w:color w:val="003CA0"/>
          <w:sz w:val="16"/>
        </w:rPr>
        <w:t>[HC 97.293, rel. min. Cármen Lúcia, j. 16-6-2009, 1ª T, DJE de 16-4-2010.]</w:t>
      </w:r>
    </w:p>
    <w:p>
      <w:pPr>
        <w:ind w:left="288"/>
      </w:pPr>
      <w:r>
        <w:rPr>
          <w:color w:val="8C8C8C"/>
          <w:sz w:val="12"/>
        </w:rPr>
        <w:t>cf-art-5-inc-L</w:t>
      </w:r>
      <w:r>
        <w:rPr>
          <w:color w:val="003CA0"/>
          <w:sz w:val="12"/>
        </w:rPr>
        <w:t xml:space="preserve"> | HC 92.893</w:t>
      </w:r>
      <w:r>
        <w:rPr>
          <w:color w:val="003CA0"/>
          <w:sz w:val="12"/>
        </w:rPr>
        <w:t xml:space="preserve"> | rel. Ricardo Lewandowski</w:t>
      </w:r>
    </w:p>
    <w:p>
      <w:pPr>
        <w:ind w:left="288"/>
      </w:pPr>
      <w:r>
        <w:rPr>
          <w:color w:val="1E1E1E"/>
          <w:sz w:val="18"/>
        </w:rPr>
        <w:t>Vide HC 92.893, rel. min. Ricardo Lewandowski, j. 2-10-2008, P, DJE de 12-12-2008 A inobservância da prerrogativa de foro conferida a deputado estadual, ainda que na fase pré-processual, torna ilícitos os atos investigatórios praticados após sua diplomação.</w:t>
      </w:r>
    </w:p>
    <w:p>
      <w:pPr>
        <w:ind w:left="288"/>
      </w:pPr>
      <w:r>
        <w:rPr>
          <w:b/>
          <w:color w:val="003CA0"/>
          <w:sz w:val="16"/>
        </w:rPr>
        <w:t>[HC 94.705, rel. min. Ricardo Lewandowski, j. 9-6-2009, 1ª T, DJE de 7-8-2009.]</w:t>
      </w:r>
    </w:p>
    <w:p>
      <w:pPr>
        <w:ind w:left="288"/>
      </w:pPr>
      <w:r>
        <w:rPr>
          <w:color w:val="8C8C8C"/>
          <w:sz w:val="12"/>
        </w:rPr>
        <w:t>cf-art-5-inc-L</w:t>
      </w:r>
      <w:r>
        <w:rPr>
          <w:color w:val="003CA0"/>
          <w:sz w:val="12"/>
        </w:rPr>
        <w:t xml:space="preserve"> | AI 706.078</w:t>
      </w:r>
      <w:r>
        <w:rPr>
          <w:color w:val="003CA0"/>
          <w:sz w:val="12"/>
        </w:rPr>
        <w:t xml:space="preserve"> | rel. Celso de Mello</w:t>
      </w:r>
    </w:p>
    <w:p>
      <w:pPr>
        <w:ind w:left="288"/>
      </w:pPr>
      <w:r>
        <w:rPr>
          <w:color w:val="1E1E1E"/>
          <w:sz w:val="18"/>
        </w:rPr>
        <w:t>Ministro do STJ que vem a julgar recurso interposto pelo réu condenado em processo no qual esse mesmo magistrado atuou, em momento anterior, como membro do Ministério Público. Inadmissibilidade. Hipótese de impedimento (CPP, art. 252, II). Causa de nulidade absoluta do julgamento. Necessidade de renovação desse mesmo julgamento, sem a participação do ministro impedido.</w:t>
      </w:r>
    </w:p>
    <w:p>
      <w:pPr>
        <w:ind w:left="288"/>
      </w:pPr>
      <w:r>
        <w:rPr>
          <w:b/>
          <w:color w:val="003CA0"/>
          <w:sz w:val="16"/>
        </w:rPr>
        <w:t>[AI 706.078 QO, rel. min. Celso de Mello, j. 10-3-2009, 2ª T, DJE de 23-10-2009.]</w:t>
      </w:r>
    </w:p>
    <w:p>
      <w:pPr>
        <w:ind w:left="288"/>
      </w:pPr>
      <w:r>
        <w:rPr>
          <w:color w:val="8C8C8C"/>
          <w:sz w:val="12"/>
        </w:rPr>
        <w:t>cf-art-5-inc-L</w:t>
      </w:r>
      <w:r>
        <w:rPr>
          <w:color w:val="003CA0"/>
          <w:sz w:val="12"/>
        </w:rPr>
        <w:t xml:space="preserve"> | HC 126.845</w:t>
      </w:r>
      <w:r>
        <w:rPr>
          <w:color w:val="003CA0"/>
          <w:sz w:val="12"/>
        </w:rPr>
        <w:t xml:space="preserve"> | rel. Teori Zavascki</w:t>
      </w:r>
    </w:p>
    <w:p>
      <w:pPr>
        <w:ind w:left="288"/>
      </w:pPr>
      <w:r>
        <w:rPr>
          <w:color w:val="1E1E1E"/>
          <w:sz w:val="18"/>
        </w:rPr>
        <w:t>Vide HC 126.845, rel. min. Teori Zavascki, j. 19-5-2015, 2ª T, DJE de 1º-6-2015 Vide HC 88.759 AgR-ED, rel. min. Gilmar Mendes, j. 1º-7-2009, P, DJE de 27-8-2010 Não é necessária, ao desaforamento, a afirmação da certeza da imparcialidade dos jurados, bastando o fundado receio de que reste comprometida.</w:t>
      </w:r>
    </w:p>
    <w:p>
      <w:pPr>
        <w:ind w:left="288"/>
      </w:pPr>
      <w:r>
        <w:rPr>
          <w:b/>
          <w:color w:val="003CA0"/>
          <w:sz w:val="16"/>
        </w:rPr>
        <w:t>[HC 96.785, rel. min. Eros Grau, j. 25-11-2008, 2ª T, DJE de 22-5-2009.]</w:t>
      </w:r>
    </w:p>
    <w:p>
      <w:pPr>
        <w:ind w:left="288"/>
      </w:pPr>
      <w:r>
        <w:rPr>
          <w:color w:val="8C8C8C"/>
          <w:sz w:val="12"/>
        </w:rPr>
        <w:t>cf-art-5-inc-L</w:t>
      </w:r>
      <w:r>
        <w:rPr>
          <w:color w:val="003CA0"/>
          <w:sz w:val="12"/>
        </w:rPr>
        <w:t xml:space="preserve"> | HC 97.547</w:t>
      </w:r>
      <w:r>
        <w:rPr>
          <w:color w:val="003CA0"/>
          <w:sz w:val="12"/>
        </w:rPr>
        <w:t xml:space="preserve"> | rel. Joaquim Barbosa</w:t>
      </w:r>
    </w:p>
    <w:p>
      <w:pPr>
        <w:ind w:left="288"/>
      </w:pPr>
      <w:r>
        <w:rPr>
          <w:color w:val="1E1E1E"/>
          <w:sz w:val="18"/>
        </w:rPr>
        <w:t>Vide HC 97.547, rel. min. Joaquim Barbosa, j. 19-10-2010, 2ª T, DJE de 19-11-2010 As hipóteses de impedimento elencadas no art. 252 do CPP constituem um numerus clausus. Não é possível, pois, interpretar-se extensivamente os seus incisos I e II de modo a entender que o juiz que atua em fase pré-processual desempenha funções equivalentes ao de um delegado de polícia ou membro do Ministério Público. Precedentes. Não se adotou, no Brasil, o instituto acolhido por outros países do juizado de instrução, no qual o magistrado exerce, grosso modo, as competências da polícia judiciária. O juiz, ao pres</w:t>
      </w:r>
    </w:p>
    <w:p>
      <w:pPr>
        <w:ind w:left="288"/>
      </w:pPr>
      <w:r>
        <w:rPr>
          <w:b/>
          <w:color w:val="003CA0"/>
          <w:sz w:val="16"/>
        </w:rPr>
        <w:t>[HC 92.893, rel. min. Ricardo Lewandowski, j. 2-10-2008, P, DJE de 12-12-2008.]</w:t>
      </w:r>
    </w:p>
    <w:p>
      <w:pPr>
        <w:ind w:left="288"/>
      </w:pPr>
      <w:r>
        <w:rPr>
          <w:color w:val="8C8C8C"/>
          <w:sz w:val="12"/>
        </w:rPr>
        <w:t>cf-art-5-inc-L</w:t>
      </w:r>
      <w:r>
        <w:rPr>
          <w:color w:val="003CA0"/>
          <w:sz w:val="12"/>
        </w:rPr>
        <w:t xml:space="preserve"> | HC 91.593</w:t>
      </w:r>
      <w:r>
        <w:rPr>
          <w:color w:val="003CA0"/>
          <w:sz w:val="12"/>
        </w:rPr>
        <w:t xml:space="preserve"> | rel. Ayres Britto</w:t>
      </w:r>
    </w:p>
    <w:p>
      <w:pPr>
        <w:ind w:left="288"/>
      </w:pPr>
      <w:r>
        <w:rPr>
          <w:color w:val="1E1E1E"/>
          <w:sz w:val="18"/>
        </w:rPr>
        <w:t>= AImp 4 AgR, rel. min. Ayres Britto, j. 24-5-2012, P, DJE de 29-6-2012 Prerrogativa de foro. Termo inicial. Recebida a denúncia em data anterior ao fenômeno gerador da prerrogativa de foro, descabe entender insubsistente o ato judicial formalizado, não se podendo concluir pela existência de vício considerado o fator tempo.</w:t>
      </w:r>
    </w:p>
    <w:p>
      <w:pPr>
        <w:ind w:left="288"/>
      </w:pPr>
      <w:r>
        <w:rPr>
          <w:b/>
          <w:color w:val="003CA0"/>
          <w:sz w:val="16"/>
        </w:rPr>
        <w:t>[HC 91.593, rel. min. Marco Aurélio, j. 11-9-2008, P, DJE de 17-4-2009.]</w:t>
      </w:r>
    </w:p>
    <w:p>
      <w:pPr>
        <w:ind w:left="288"/>
      </w:pPr>
      <w:r>
        <w:rPr>
          <w:color w:val="8C8C8C"/>
          <w:sz w:val="12"/>
        </w:rPr>
        <w:t>cf-art-5-inc-L</w:t>
      </w:r>
      <w:r>
        <w:rPr>
          <w:color w:val="003CA0"/>
          <w:sz w:val="12"/>
        </w:rPr>
        <w:t xml:space="preserve"> | RE 463.560</w:t>
      </w:r>
      <w:r>
        <w:rPr>
          <w:color w:val="003CA0"/>
          <w:sz w:val="12"/>
        </w:rPr>
        <w:t xml:space="preserve"> | rel. Joaquim Barbosa</w:t>
      </w:r>
    </w:p>
    <w:p>
      <w:pPr>
        <w:ind w:left="288"/>
      </w:pPr>
      <w:r>
        <w:rPr>
          <w:color w:val="1E1E1E"/>
          <w:sz w:val="18"/>
        </w:rPr>
        <w:t>Os juizados especiais e as turmas recursais foram instituídos, no Estado de Santa Catarina, por lei complementar estadual, anteriormente à edição da Lei 9.099/1995. Assim, a posterior exigência, por este último diploma legal, de lei estadual para a criação de juizados e turmas recursais nos Estados, já estava atendida no Estado de Santa Catarina. O fato de a lei complementar estadual prever apenas competência cível para as turmas de recursos não torna ilegítima a resolução do Tribunal de Justiça que declara a existência da competência também em matéria criminal. Observância dos princípios nort</w:t>
      </w:r>
    </w:p>
    <w:p>
      <w:pPr>
        <w:ind w:left="288"/>
      </w:pPr>
      <w:r>
        <w:rPr>
          <w:b/>
          <w:color w:val="003CA0"/>
          <w:sz w:val="16"/>
        </w:rPr>
        <w:t>[RE 463.560, rel. min. Joaquim Barbosa, j. 29-4-2008, 2ª T, DJE de 20-6-2008.]</w:t>
      </w:r>
    </w:p>
    <w:p>
      <w:pPr>
        <w:ind w:left="288"/>
      </w:pPr>
      <w:r>
        <w:rPr>
          <w:color w:val="8C8C8C"/>
          <w:sz w:val="12"/>
        </w:rPr>
        <w:t>cf-art-5-inc-L</w:t>
      </w:r>
      <w:r>
        <w:rPr>
          <w:color w:val="003CA0"/>
          <w:sz w:val="12"/>
        </w:rPr>
        <w:t xml:space="preserve"> | RE 721.967</w:t>
      </w:r>
      <w:r>
        <w:rPr>
          <w:color w:val="003CA0"/>
          <w:sz w:val="12"/>
        </w:rPr>
        <w:t xml:space="preserve"> | rel. Gilmar Mendes</w:t>
      </w:r>
    </w:p>
    <w:p>
      <w:pPr>
        <w:ind w:left="288"/>
      </w:pPr>
      <w:r>
        <w:rPr>
          <w:color w:val="1E1E1E"/>
          <w:sz w:val="18"/>
        </w:rPr>
        <w:t>= RE 721.967 AgR, rel. min. Gilmar Mendes, j. 19-11-2013, 2ª T, DJE de 5-12-2013 Desde que submetidos ao mesmo juízo, pode o magistrado utilizar-se da faculdade de não reunir processos conexos, por força do que dispõe o art. 80 do CPP (HC 80.717/SP, Tribunal Pleno, rel. min. Sepúlveda Pertence, DJ de 5-3-2004.) Embora a conexão não implique, necessariamente, a reunião dos feitos em curso num único processo, devem eles ser submetidos à competência do mesmo juízo prevento.</w:t>
      </w:r>
    </w:p>
    <w:p>
      <w:pPr>
        <w:ind w:left="288"/>
      </w:pPr>
      <w:r>
        <w:rPr>
          <w:b/>
          <w:color w:val="003CA0"/>
          <w:sz w:val="16"/>
        </w:rPr>
        <w:t>[HC 91.895, rel. min. Menezes Direito, j. 1º-4-2008, 1ª T, DJE de 8-8-2008.]</w:t>
      </w:r>
    </w:p>
    <w:p>
      <w:pPr>
        <w:ind w:left="288"/>
      </w:pPr>
      <w:r>
        <w:rPr>
          <w:color w:val="8C8C8C"/>
          <w:sz w:val="12"/>
        </w:rPr>
        <w:t>cf-art-5-inc-L</w:t>
      </w:r>
      <w:r>
        <w:rPr>
          <w:color w:val="003CA0"/>
          <w:sz w:val="12"/>
        </w:rPr>
        <w:t xml:space="preserve"> | INQ 2.443</w:t>
      </w:r>
      <w:r>
        <w:rPr>
          <w:color w:val="003CA0"/>
          <w:sz w:val="12"/>
        </w:rPr>
        <w:t xml:space="preserve"> | rel. Ellen Gracie</w:t>
      </w:r>
    </w:p>
    <w:p>
      <w:pPr>
        <w:ind w:left="288"/>
      </w:pPr>
      <w:r>
        <w:rPr>
          <w:color w:val="1E1E1E"/>
          <w:sz w:val="18"/>
        </w:rPr>
        <w:t>Inquérito penal que se baseia em provas cuja licitude é questionada no âmbito de habeas corpus em trâmite nesta Suprema Corte. A prejudicialidade das questões debatidas no âmbito do habeas corpus, a respeito da ilegalidade ou não dos documentos que subsidiam o presente inquérito, autoriza que se reconheça a prevenção de competência do ministro relator do writ.</w:t>
      </w:r>
    </w:p>
    <w:p>
      <w:pPr>
        <w:ind w:left="288"/>
      </w:pPr>
      <w:r>
        <w:rPr>
          <w:b/>
          <w:color w:val="003CA0"/>
          <w:sz w:val="16"/>
        </w:rPr>
        <w:t>[Inq 2.443 AgR, rel. min. Ellen Gracie, j. 28-2-2008, P, DJE de 2-5-2008.)</w:t>
      </w:r>
    </w:p>
    <w:p>
      <w:pPr>
        <w:ind w:left="288"/>
      </w:pPr>
      <w:r>
        <w:rPr>
          <w:color w:val="8C8C8C"/>
          <w:sz w:val="12"/>
        </w:rPr>
        <w:t>cf-art-5-inc-L</w:t>
      </w:r>
      <w:r>
        <w:rPr>
          <w:color w:val="003CA0"/>
          <w:sz w:val="12"/>
        </w:rPr>
        <w:t xml:space="preserve"> | INQ 2.767</w:t>
      </w:r>
      <w:r>
        <w:rPr>
          <w:color w:val="003CA0"/>
          <w:sz w:val="12"/>
        </w:rPr>
        <w:t xml:space="preserve"> | rel. Joaquim Barbosa</w:t>
      </w:r>
    </w:p>
    <w:p>
      <w:pPr>
        <w:ind w:left="288"/>
      </w:pPr>
      <w:r>
        <w:rPr>
          <w:color w:val="1E1E1E"/>
          <w:sz w:val="18"/>
        </w:rPr>
        <w:t xml:space="preserve">= Inq 2.767, rel. min. Joaquim Barbosa, j. 18-6-2009, P, DJE de 4-9-2009 Suspeição de magistrado. Impossibilidade de análise do conjunto probatório. Ciência posterior dos fatos que levaram à declaração de suspeição. Validade dos atos praticados até então. (...) Embora os fatos ensejadores da suspeição tenham ocorrido há mais de quinze anos, a motivação da suspeição se deu posteriormente, com a ciência do parentesco entre o paciente e a promotora de justiça que atuara no processo em que foi parte o magistrado, fato revelado somente com a apresentação da exceção, não havendo nenhuma ilegalidade </w:t>
      </w:r>
    </w:p>
    <w:p>
      <w:pPr>
        <w:ind w:left="288"/>
      </w:pPr>
      <w:r>
        <w:rPr>
          <w:b/>
          <w:color w:val="003CA0"/>
          <w:sz w:val="16"/>
        </w:rPr>
        <w:t>[HC 92.494, rel. min. Menezes Direito, j. 19-2-2008, 1ª T, DJE de 4-4-2008.]</w:t>
      </w:r>
    </w:p>
    <w:p>
      <w:pPr>
        <w:ind w:left="288"/>
      </w:pPr>
      <w:r>
        <w:rPr>
          <w:color w:val="8C8C8C"/>
          <w:sz w:val="12"/>
        </w:rPr>
        <w:t>cf-art-5-inc-L</w:t>
      </w:r>
      <w:r>
        <w:rPr>
          <w:color w:val="003CA0"/>
          <w:sz w:val="12"/>
        </w:rPr>
        <w:t xml:space="preserve"> | HC 95.254</w:t>
      </w:r>
      <w:r>
        <w:rPr>
          <w:color w:val="003CA0"/>
          <w:sz w:val="12"/>
        </w:rPr>
        <w:t xml:space="preserve"> | rel. Ricardo Lewandowski</w:t>
      </w:r>
    </w:p>
    <w:p>
      <w:pPr>
        <w:ind w:left="288"/>
      </w:pPr>
      <w:r>
        <w:rPr>
          <w:color w:val="1E1E1E"/>
          <w:sz w:val="18"/>
        </w:rPr>
        <w:t>= HC 95.254, rel. min. Ricardo Lewandowski, j. 9-3-2010, 1ª T, DJE de 26-3-2010 A garantia do juiz natural, prevista nos incisos LIII e XXXVII do art. 5º da CF, é plenamente atendida quando se delegam o interrogatório dos réus e outros atos da instrução processual a juízes federais das respectivas seções judiciárias, escolhidos mediante sorteio.</w:t>
      </w:r>
    </w:p>
    <w:p>
      <w:pPr>
        <w:ind w:left="288"/>
      </w:pPr>
      <w:r>
        <w:rPr>
          <w:b/>
          <w:color w:val="003CA0"/>
          <w:sz w:val="16"/>
        </w:rPr>
        <w:t>[AP 470 QO, rel. min. Joaquim Barbosa, j. 6-12-2007, P, DJE de 14-3-2008.]</w:t>
      </w:r>
    </w:p>
    <w:p>
      <w:pPr>
        <w:ind w:left="288"/>
      </w:pPr>
      <w:r>
        <w:rPr>
          <w:color w:val="8C8C8C"/>
          <w:sz w:val="12"/>
        </w:rPr>
        <w:t>cf-art-5-inc-L</w:t>
      </w:r>
      <w:r>
        <w:rPr>
          <w:color w:val="003CA0"/>
          <w:sz w:val="12"/>
        </w:rPr>
        <w:t xml:space="preserve"> | HC 91.253</w:t>
      </w:r>
      <w:r>
        <w:rPr>
          <w:color w:val="003CA0"/>
          <w:sz w:val="12"/>
        </w:rPr>
        <w:t xml:space="preserve"> | rel. Ricardo Lewandowski</w:t>
      </w:r>
    </w:p>
    <w:p>
      <w:pPr>
        <w:ind w:left="288"/>
      </w:pPr>
      <w:r>
        <w:rPr>
          <w:color w:val="1E1E1E"/>
          <w:sz w:val="18"/>
        </w:rPr>
        <w:t>A remessa para vara especializada fundada em conexão não viola o princípio do juiz natural.</w:t>
      </w:r>
    </w:p>
    <w:p>
      <w:pPr>
        <w:ind w:left="288"/>
      </w:pPr>
      <w:r>
        <w:rPr>
          <w:b/>
          <w:color w:val="003CA0"/>
          <w:sz w:val="16"/>
        </w:rPr>
        <w:t>[HC 91.253, rel. min. Ricardo Lewandowski, j. 16-10-2007, 1ª T, DJ de 14-11-2007.]</w:t>
      </w:r>
    </w:p>
    <w:p>
      <w:pPr>
        <w:ind w:left="288"/>
      </w:pPr>
      <w:r>
        <w:rPr>
          <w:color w:val="8C8C8C"/>
          <w:sz w:val="12"/>
        </w:rPr>
        <w:t>cf-art-5-inc-L</w:t>
      </w:r>
      <w:r>
        <w:rPr>
          <w:color w:val="003CA0"/>
          <w:sz w:val="12"/>
        </w:rPr>
        <w:t xml:space="preserve"> | HC 90.305</w:t>
      </w:r>
      <w:r>
        <w:rPr>
          <w:color w:val="003CA0"/>
          <w:sz w:val="12"/>
        </w:rPr>
        <w:t xml:space="preserve"> | rel. Ayres Britto</w:t>
      </w:r>
    </w:p>
    <w:p>
      <w:pPr>
        <w:ind w:left="288"/>
      </w:pPr>
      <w:r>
        <w:rPr>
          <w:color w:val="1E1E1E"/>
          <w:sz w:val="18"/>
        </w:rPr>
        <w:t>O pedido de reconhecimento de incompetência absoluta do juízo processante afeta diretamente a defesa de um direito individual indisponível do paciente: o de ser julgado por um juiz competente, nos exatos termos do que dispõe o inciso LIII do art. 5º da CF. O Ministério Público, órgão de defesa de toda a ordem jurídica, é parte legítima para impetrar habeas corpus que vise ao reconhecimento da incompetência absoluta do juiz processante de ação penal.</w:t>
      </w:r>
    </w:p>
    <w:p>
      <w:pPr>
        <w:ind w:left="288"/>
      </w:pPr>
      <w:r>
        <w:rPr>
          <w:b/>
          <w:color w:val="003CA0"/>
          <w:sz w:val="16"/>
        </w:rPr>
        <w:t>[HC 90.305, rel. min. Ayres Britto, j. 20-3-2007, 1ª T, DJ de 25-5-2007.]</w:t>
      </w:r>
    </w:p>
    <w:p>
      <w:pPr>
        <w:ind w:left="288"/>
      </w:pPr>
      <w:r>
        <w:rPr>
          <w:color w:val="8C8C8C"/>
          <w:sz w:val="12"/>
        </w:rPr>
        <w:t>cf-art-5-inc-L</w:t>
      </w:r>
      <w:r>
        <w:rPr>
          <w:color w:val="003CA0"/>
          <w:sz w:val="12"/>
        </w:rPr>
        <w:t xml:space="preserve"> | RHC 89.890</w:t>
      </w:r>
      <w:r>
        <w:rPr>
          <w:color w:val="003CA0"/>
          <w:sz w:val="12"/>
        </w:rPr>
        <w:t xml:space="preserve"> | rel. Ricardo Lewandowski</w:t>
      </w:r>
    </w:p>
    <w:p>
      <w:pPr>
        <w:ind w:left="288"/>
      </w:pPr>
      <w:r>
        <w:rPr>
          <w:color w:val="1E1E1E"/>
          <w:sz w:val="18"/>
        </w:rPr>
        <w:t>A designação de juiz para atuar, de forma genérica, em uma determinada vara, não ofende o princípio do juiz natural. Configura nulidade processual apenas a designação específica, casuística, de magistrado para atuar em determinado feito. Diante do pedido de afastamento do juiz titular, por motivo de foro íntimo, o processo deve ser encaminhado para o outro juiz, designado pelo Tribunal de Justiça, ante o acúmulo de processos, para ter exercício naquela vara.</w:t>
      </w:r>
    </w:p>
    <w:p>
      <w:pPr>
        <w:ind w:left="288"/>
      </w:pPr>
      <w:r>
        <w:rPr>
          <w:b/>
          <w:color w:val="003CA0"/>
          <w:sz w:val="16"/>
        </w:rPr>
        <w:t>[RHC 89.890, rel. min. Ricardo Lewandowski, j. 5-12-2006, 1ª T, DJ de 2-3-2007.]</w:t>
      </w:r>
    </w:p>
    <w:p>
      <w:pPr>
        <w:ind w:left="288"/>
      </w:pPr>
      <w:r>
        <w:rPr>
          <w:color w:val="8C8C8C"/>
          <w:sz w:val="12"/>
        </w:rPr>
        <w:t>cf-art-5-inc-L</w:t>
      </w:r>
      <w:r>
        <w:rPr>
          <w:color w:val="003CA0"/>
          <w:sz w:val="12"/>
        </w:rPr>
        <w:t xml:space="preserve"> | RE 418.852</w:t>
      </w:r>
      <w:r>
        <w:rPr>
          <w:color w:val="003CA0"/>
          <w:sz w:val="12"/>
        </w:rPr>
        <w:t xml:space="preserve"> | rel. Ayres Britto</w:t>
      </w:r>
    </w:p>
    <w:p>
      <w:pPr>
        <w:ind w:left="288"/>
      </w:pPr>
      <w:r>
        <w:rPr>
          <w:color w:val="1E1E1E"/>
          <w:sz w:val="18"/>
        </w:rPr>
        <w:t>Com efeito, a garantia do juízo natural, proclamada no inciso LIII do art. 5º da Carta de Outubro, é uma das mais eficazes condições de independência dos magistrados. Independência, a seu turno, que opera como um dos mais claros pressupostos de imparcialidade que deles, julgadores, se exige.</w:t>
      </w:r>
    </w:p>
    <w:p>
      <w:pPr>
        <w:ind w:left="288"/>
      </w:pPr>
      <w:r>
        <w:rPr>
          <w:b/>
          <w:color w:val="003CA0"/>
          <w:sz w:val="16"/>
        </w:rPr>
        <w:t>[RE 418.852, rel. min. Ayres Britto, j. 6-12-2005, 1ª T, DJ de 10-3-2006.]</w:t>
      </w:r>
    </w:p>
    <w:p>
      <w:pPr>
        <w:ind w:left="288"/>
      </w:pPr>
      <w:r>
        <w:rPr>
          <w:color w:val="8C8C8C"/>
          <w:sz w:val="12"/>
        </w:rPr>
        <w:t>cf-art-5-inc-L</w:t>
      </w:r>
      <w:r>
        <w:rPr>
          <w:color w:val="003CA0"/>
          <w:sz w:val="12"/>
        </w:rPr>
        <w:t xml:space="preserve"> | HC 85.056</w:t>
      </w:r>
      <w:r>
        <w:rPr>
          <w:color w:val="003CA0"/>
          <w:sz w:val="12"/>
        </w:rPr>
        <w:t xml:space="preserve"> | rel. Ayres Britto</w:t>
      </w:r>
    </w:p>
    <w:p>
      <w:pPr>
        <w:ind w:left="288"/>
      </w:pPr>
      <w:r>
        <w:rPr>
          <w:color w:val="1E1E1E"/>
          <w:sz w:val="18"/>
        </w:rPr>
        <w:t>Muito embora o inciso III do art. 252 do CPP não se aplique às turmas recursais integrantes dos juizados especiais (ante a inexistência de dualidade de instâncias), é de se ter como inconstitucional, por ofensiva ao inciso LIII do art. 5º da CF, norma regimental que habilita o magistrado prolator do ato impugnado a participar, já no âmbito das turmas recursais, da revisão do mesmo decisum que proferiu. Revela-se obstativa da automática aplicação da garantia fundamental do juiz natural a autorização de que, entre os três integrantes de turma recursal, figure o próprio autor do provimento questi</w:t>
      </w:r>
    </w:p>
    <w:p>
      <w:pPr>
        <w:ind w:left="288"/>
      </w:pPr>
      <w:r>
        <w:rPr>
          <w:b/>
          <w:color w:val="003CA0"/>
          <w:sz w:val="16"/>
        </w:rPr>
        <w:t>[HC 85.056, rel. min. Ayres Britto, j. 17-11-2005, P, DJ de 25-8-2006.]</w:t>
      </w:r>
    </w:p>
    <w:p>
      <w:pPr>
        <w:ind w:left="288"/>
      </w:pPr>
      <w:r>
        <w:rPr>
          <w:color w:val="8C8C8C"/>
          <w:sz w:val="12"/>
        </w:rPr>
        <w:t>cf-art-5-inc-L</w:t>
      </w:r>
      <w:r>
        <w:rPr>
          <w:color w:val="003CA0"/>
          <w:sz w:val="12"/>
        </w:rPr>
        <w:t xml:space="preserve"> | AO 1.120</w:t>
      </w:r>
      <w:r>
        <w:rPr>
          <w:color w:val="003CA0"/>
          <w:sz w:val="12"/>
        </w:rPr>
        <w:t xml:space="preserve"> | rel. Ellen Gracie</w:t>
      </w:r>
    </w:p>
    <w:p>
      <w:pPr>
        <w:ind w:left="288"/>
      </w:pPr>
      <w:r>
        <w:rPr>
          <w:color w:val="1E1E1E"/>
          <w:sz w:val="18"/>
        </w:rPr>
        <w:t>Contratação superveniente de advogado, após julgamento de embargos infringentes, que provoca a antevista declaração de suspeição da maioria dos integrantes do tribunal estadual para apreciar embargos de declaração. Ofensa ao postulado constitucional do juízo natural.</w:t>
      </w:r>
    </w:p>
    <w:p>
      <w:pPr>
        <w:ind w:left="288"/>
      </w:pPr>
      <w:r>
        <w:rPr>
          <w:b/>
          <w:color w:val="003CA0"/>
          <w:sz w:val="16"/>
        </w:rPr>
        <w:t>[AO 1.120 QO, rel. min. Ellen Gracie, j. 30-6-2005, P, DJ de 26-8-2005.]</w:t>
      </w:r>
    </w:p>
    <w:p>
      <w:pPr>
        <w:ind w:left="288"/>
      </w:pPr>
      <w:r>
        <w:rPr>
          <w:color w:val="8C8C8C"/>
          <w:sz w:val="12"/>
        </w:rPr>
        <w:t>cf-art-5-inc-L</w:t>
      </w:r>
      <w:r>
        <w:rPr>
          <w:color w:val="003CA0"/>
          <w:sz w:val="12"/>
        </w:rPr>
        <w:t xml:space="preserve"> | HC 84.635</w:t>
      </w:r>
      <w:r>
        <w:rPr>
          <w:color w:val="003CA0"/>
          <w:sz w:val="12"/>
        </w:rPr>
        <w:t xml:space="preserve"> | rel. Marco Aurélio</w:t>
      </w:r>
    </w:p>
    <w:p>
      <w:pPr>
        <w:ind w:left="288"/>
      </w:pPr>
      <w:r>
        <w:rPr>
          <w:color w:val="1E1E1E"/>
          <w:sz w:val="18"/>
        </w:rPr>
        <w:t>Consoante dispõe o art. 71 do RISTJ – norma semelhante ao art. 69 do RISTF –, a prevenção de relator pressupõe recurso ou medida judicial resultante do mesmo processo que implicara o exame de medida anteriormente apreciada. Sendo diversos os processos, descabe, sob pena de transgressão do princípio do juiz natural, a redistribuição.</w:t>
      </w:r>
    </w:p>
    <w:p>
      <w:pPr>
        <w:ind w:left="288"/>
      </w:pPr>
      <w:r>
        <w:rPr>
          <w:b/>
          <w:color w:val="003CA0"/>
          <w:sz w:val="16"/>
        </w:rPr>
        <w:t>[HC 84.635, rel. min. Marco Aurélio, j. 22-6-2005, 1ª T, DJ de 9-9-2005.]</w:t>
      </w:r>
    </w:p>
    <w:p>
      <w:pPr>
        <w:ind w:left="288"/>
      </w:pPr>
      <w:r>
        <w:rPr>
          <w:color w:val="8C8C8C"/>
          <w:sz w:val="12"/>
        </w:rPr>
        <w:t>cf-art-5-inc-L</w:t>
      </w:r>
      <w:r>
        <w:rPr>
          <w:color w:val="003CA0"/>
          <w:sz w:val="12"/>
        </w:rPr>
        <w:t xml:space="preserve"> | AP 351</w:t>
      </w:r>
      <w:r>
        <w:rPr>
          <w:color w:val="003CA0"/>
          <w:sz w:val="12"/>
        </w:rPr>
        <w:t xml:space="preserve"> | rel. Marco Aurélio</w:t>
      </w:r>
    </w:p>
    <w:p>
      <w:pPr>
        <w:ind w:left="288"/>
      </w:pPr>
      <w:r>
        <w:rPr>
          <w:color w:val="1E1E1E"/>
          <w:sz w:val="18"/>
        </w:rPr>
        <w:t>A racionalidade dos trabalhos do Judiciário direciona ao desmembramento do processo para remessa à primeira instância, objetivando a sequência no tocante aos que não gozem de prerrogativa de foro, preservando-se com isso o princípio constitucional do juiz natural.</w:t>
      </w:r>
    </w:p>
    <w:p>
      <w:pPr>
        <w:ind w:left="288"/>
      </w:pPr>
      <w:r>
        <w:rPr>
          <w:b/>
          <w:color w:val="003CA0"/>
          <w:sz w:val="16"/>
        </w:rPr>
        <w:t>[AP 351, rel. min. Marco Aurélio, j. 12-8-2004, P, DJ de 17-9-2004.]</w:t>
      </w:r>
    </w:p>
    <w:p>
      <w:pPr>
        <w:ind w:left="288"/>
      </w:pPr>
      <w:r>
        <w:rPr>
          <w:color w:val="8C8C8C"/>
          <w:sz w:val="12"/>
        </w:rPr>
        <w:t>cf-art-5-inc-L</w:t>
      </w:r>
      <w:r>
        <w:rPr>
          <w:color w:val="003CA0"/>
          <w:sz w:val="12"/>
        </w:rPr>
        <w:t xml:space="preserve"> | INQ 2.168</w:t>
      </w:r>
      <w:r>
        <w:rPr>
          <w:color w:val="003CA0"/>
          <w:sz w:val="12"/>
        </w:rPr>
        <w:t xml:space="preserve"> | rel. Menezes Direito</w:t>
      </w:r>
    </w:p>
    <w:p>
      <w:pPr>
        <w:ind w:left="288"/>
      </w:pPr>
      <w:r>
        <w:rPr>
          <w:color w:val="1E1E1E"/>
          <w:sz w:val="18"/>
        </w:rPr>
        <w:t>= Inq 2.168 ED, rel. min. Menezes Direito, j. 15-4-2009, P, DJE de 28-8-2009 Vide AP 420 AgR, rel. min. Joaquim Barbosa, j. 9-9-2010, P, DJE de 14-3-2012 O postulado do juiz natural representa garantia constitucional indisponível, assegurada a qualquer réu, em sede de persecução penal, mesmo quando instaurada perante a Justiça Militar da União. (...) O postulado do juiz natural, em sua projeção político-jurídica, reveste-se de dupla função instrumental, pois, enquanto garantia indisponível, tem, por titular, qualquer pessoa exposta, em juízo criminal, à ação persecutória do Estado, e, enquanto</w:t>
      </w:r>
    </w:p>
    <w:p>
      <w:pPr>
        <w:ind w:left="288"/>
      </w:pPr>
      <w:r>
        <w:rPr>
          <w:b/>
          <w:color w:val="003CA0"/>
          <w:sz w:val="16"/>
        </w:rPr>
        <w:t>[HC 81.963, rel. min. Celso de Mello, j. 18-6-2002, 2ª T, DJ de 28-10-2004.]</w:t>
      </w:r>
    </w:p>
    <w:p>
      <w:pPr>
        <w:ind w:left="288"/>
      </w:pPr>
      <w:r>
        <w:rPr>
          <w:color w:val="8C8C8C"/>
          <w:sz w:val="12"/>
        </w:rPr>
        <w:t>cf-art-5-inc-L</w:t>
      </w:r>
      <w:r>
        <w:rPr>
          <w:color w:val="003CA0"/>
          <w:sz w:val="12"/>
        </w:rPr>
        <w:t xml:space="preserve"> | HC 79.865</w:t>
      </w:r>
      <w:r>
        <w:rPr>
          <w:color w:val="003CA0"/>
          <w:sz w:val="12"/>
        </w:rPr>
        <w:t xml:space="preserve"> | rel. Celso de Mello</w:t>
      </w:r>
    </w:p>
    <w:p>
      <w:pPr>
        <w:ind w:left="288"/>
      </w:pPr>
      <w:r>
        <w:rPr>
          <w:color w:val="1E1E1E"/>
          <w:sz w:val="18"/>
        </w:rPr>
        <w:t>O princípio da naturalidade do juízo representa uma das mais importantes matrizes político-ideológicas que conformam a própria atividade legislativa do Estado e condicionam o desempenho, por parte do poder público, das funções de caráter penal-persecutório, notadamente quando exercidas em sede judicial.</w:t>
      </w:r>
    </w:p>
    <w:p>
      <w:pPr>
        <w:ind w:left="288"/>
      </w:pPr>
      <w:r>
        <w:rPr>
          <w:b/>
          <w:color w:val="003CA0"/>
          <w:sz w:val="16"/>
        </w:rPr>
        <w:t>[HC 79.865, rel. min. Celso de Mello, j. 14-3-2000, 2ª T, DJ de 20-4-2001.]</w:t>
      </w:r>
    </w:p>
    <w:p>
      <w:pPr>
        <w:ind w:left="288"/>
      </w:pPr>
      <w:r>
        <w:rPr>
          <w:color w:val="8C8C8C"/>
          <w:sz w:val="12"/>
        </w:rPr>
        <w:t>cf-art-5-inc-L</w:t>
      </w:r>
      <w:r>
        <w:rPr>
          <w:color w:val="003CA0"/>
          <w:sz w:val="12"/>
        </w:rPr>
        <w:t xml:space="preserve"> | HC 71.448</w:t>
      </w:r>
      <w:r>
        <w:rPr>
          <w:color w:val="003CA0"/>
          <w:sz w:val="12"/>
        </w:rPr>
        <w:t xml:space="preserve"> | rel. Celso de Mello</w:t>
      </w:r>
    </w:p>
    <w:p>
      <w:pPr>
        <w:ind w:left="288"/>
      </w:pPr>
      <w:r>
        <w:rPr>
          <w:color w:val="1E1E1E"/>
          <w:sz w:val="18"/>
        </w:rPr>
        <w:t>Não se registra situação configuradora de impedimento se o magistrado, no curso do procedimento penal, não se pronunciou sobre matéria de fato ou sobre questão de direito, uma e outra concernentes ao mérito da demanda penal. Eventual prática de atos de ordenação processual não basta, só por si, para caracterizar hipótese de impedimento do juiz.</w:t>
      </w:r>
    </w:p>
    <w:p>
      <w:pPr>
        <w:ind w:left="288"/>
      </w:pPr>
      <w:r>
        <w:rPr>
          <w:b/>
          <w:color w:val="003CA0"/>
          <w:sz w:val="16"/>
        </w:rPr>
        <w:t>[HC 71.448, rel. min. Celso de Mello, j.14-2-1995, 1ª T, DJE de 4-12-2009.]</w:t>
      </w:r>
    </w:p>
    <w:p>
      <w:pPr>
        <w:ind w:left="288"/>
      </w:pPr>
      <w:r>
        <w:rPr>
          <w:color w:val="8C8C8C"/>
          <w:sz w:val="12"/>
        </w:rPr>
        <w:t>cf-art-5-inc-L</w:t>
      </w:r>
      <w:r>
        <w:rPr>
          <w:color w:val="003CA0"/>
          <w:sz w:val="12"/>
        </w:rPr>
        <w:t xml:space="preserve"> | HC 92.893</w:t>
      </w:r>
      <w:r>
        <w:rPr>
          <w:color w:val="003CA0"/>
          <w:sz w:val="12"/>
        </w:rPr>
        <w:t xml:space="preserve"> | rel. Ricardo Lewandowski</w:t>
      </w:r>
    </w:p>
    <w:p>
      <w:pPr>
        <w:ind w:left="288"/>
      </w:pPr>
      <w:r>
        <w:rPr>
          <w:color w:val="1E1E1E"/>
          <w:sz w:val="18"/>
        </w:rPr>
        <w:t>Vide HC 92.893, rel. min. Ricardo Lewandowski, j. 2-10-2008, 2ª T, DJE de 12-12-2008 A Justiça Militar estadual não dispõe de competência penal para processar e julgar civil que tenha sido denunciado pela prática de crime contra a Polícia Militar do Estado. Qualquer tentativa de submeter os réus civis a procedimentos penais persecutórios instaurados perante órgãos da Justiça Militar estadual representa, no contexto de nosso sistema jurídico, clara violação ao princípio constitucional do juiz natural (CF, art. 5º, LIII).</w:t>
      </w:r>
    </w:p>
    <w:p>
      <w:pPr>
        <w:ind w:left="288"/>
      </w:pPr>
      <w:r>
        <w:rPr>
          <w:b/>
          <w:color w:val="003CA0"/>
          <w:sz w:val="16"/>
        </w:rPr>
        <w:t>[HC 70.604, rel. min. Celso de Mello, j. 10-5-1994, 1ª T, DJ de 1º-7-1994.]</w:t>
      </w:r>
    </w:p>
    <w:p>
      <w:pPr>
        <w:ind w:left="288"/>
      </w:pPr>
      <w:r>
        <w:rPr>
          <w:color w:val="8C8C8C"/>
          <w:sz w:val="12"/>
        </w:rPr>
        <w:t>cf-art-5-inc-L</w:t>
      </w:r>
      <w:r>
        <w:rPr>
          <w:color w:val="003CA0"/>
          <w:sz w:val="12"/>
        </w:rPr>
        <w:t xml:space="preserve"> | HC 69.601</w:t>
      </w:r>
      <w:r>
        <w:rPr>
          <w:color w:val="003CA0"/>
          <w:sz w:val="12"/>
        </w:rPr>
        <w:t xml:space="preserve"> | rel. Celso de Mello</w:t>
      </w:r>
    </w:p>
    <w:p>
      <w:pPr>
        <w:ind w:left="288"/>
      </w:pPr>
      <w:r>
        <w:rPr>
          <w:color w:val="1E1E1E"/>
          <w:sz w:val="18"/>
        </w:rPr>
        <w:t>O princípio da naturalidade do juízo – que traduz significativa conquista do processo penal liberal, essencialmente fundado em bases democráticas – atua como fator de limitação dos poderes persecutórios do Estado e representa importante garantia de imparcialidade dos juízes e tribunais. Nesse contexto, o mecanismo das substituições dos juízes traduz aspecto dos mais delicados nas relações entre o Estado, no exercício de sua atividade persecutória, e o indivíduo, na sua condição de imputado nos processos penais condenatórios.</w:t>
      </w:r>
    </w:p>
    <w:p>
      <w:pPr>
        <w:ind w:left="288"/>
      </w:pPr>
      <w:r>
        <w:rPr>
          <w:b/>
          <w:color w:val="003CA0"/>
          <w:sz w:val="16"/>
        </w:rPr>
        <w:t>[HC 69.601, rel. min. Celso de Mello, j. 24-11-1992, 1ª T, DJ de 18-12-1992.]</w:t>
      </w:r>
    </w:p>
    <w:p>
      <w:pPr>
        <w:ind w:left="288"/>
      </w:pPr>
      <w:r>
        <w:rPr>
          <w:color w:val="8C8C8C"/>
          <w:sz w:val="12"/>
        </w:rPr>
        <w:t>cf-art-5-inc-L</w:t>
      </w:r>
    </w:p>
    <w:p>
      <w:pPr>
        <w:ind w:left="288"/>
      </w:pPr>
      <w:r>
        <w:rPr>
          <w:color w:val="1E1E1E"/>
          <w:sz w:val="18"/>
        </w:rPr>
        <w:t>LIV - ninguém será privado da liberdade ou de seus bens sem o devido processo legal; Não se tipifica crime material contra a ordem tributária, previsto no art. 1º, I a IV, da Lei 8.137/1990, antes do lançamento definitivo do tributo.</w:t>
      </w:r>
    </w:p>
    <w:p>
      <w:pPr>
        <w:ind w:left="288"/>
      </w:pPr>
      <w:r>
        <w:rPr>
          <w:b/>
          <w:color w:val="003CA0"/>
          <w:sz w:val="16"/>
        </w:rPr>
        <w:t>[Súmula Vinculante 24.]</w:t>
      </w:r>
    </w:p>
    <w:p>
      <w:pPr>
        <w:ind w:left="288"/>
      </w:pPr>
      <w:r>
        <w:rPr>
          <w:color w:val="8C8C8C"/>
          <w:sz w:val="12"/>
        </w:rPr>
        <w:t>cf-art-5-inc-L</w:t>
      </w:r>
    </w:p>
    <w:p>
      <w:pPr>
        <w:ind w:left="288"/>
      </w:pPr>
      <w:r>
        <w:rPr>
          <w:color w:val="1E1E1E"/>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288"/>
      </w:pPr>
      <w:r>
        <w:rPr>
          <w:color w:val="8C8C8C"/>
          <w:sz w:val="12"/>
        </w:rPr>
        <w:t>cf-art-5-inc-L</w:t>
      </w:r>
    </w:p>
    <w:p>
      <w:pPr>
        <w:ind w:left="288"/>
      </w:pPr>
      <w:r>
        <w:rPr>
          <w:color w:val="1E1E1E"/>
          <w:sz w:val="18"/>
        </w:rPr>
        <w:t>Não viola as garantias do juiz natural, da ampla defesa e do devido processo legal a atração por continência ou conexão do processo do corréu ao foro por prerrogativa de função de um dos denunciados.</w:t>
      </w:r>
    </w:p>
    <w:p>
      <w:pPr>
        <w:ind w:left="288"/>
      </w:pPr>
      <w:r>
        <w:rPr>
          <w:b/>
          <w:color w:val="003CA0"/>
          <w:sz w:val="16"/>
        </w:rPr>
        <w:t>[Súmula 704.]</w:t>
      </w:r>
    </w:p>
    <w:p>
      <w:pPr>
        <w:ind w:left="288"/>
      </w:pPr>
      <w:r>
        <w:rPr>
          <w:color w:val="8C8C8C"/>
          <w:sz w:val="12"/>
        </w:rPr>
        <w:t>cf-art-5-inc-L</w:t>
      </w:r>
    </w:p>
    <w:p>
      <w:pPr>
        <w:ind w:left="288"/>
      </w:pPr>
      <w:r>
        <w:rPr>
          <w:color w:val="1E1E1E"/>
          <w:sz w:val="18"/>
        </w:rPr>
        <w:t>Ao contribuinte em débito, não é lícito à autoridade proibir que adquira estampilhas, despache mercadorias nas alfândegas e exerça suas atividades profissionais.</w:t>
      </w:r>
    </w:p>
    <w:p>
      <w:pPr>
        <w:ind w:left="288"/>
      </w:pPr>
      <w:r>
        <w:rPr>
          <w:b/>
          <w:color w:val="003CA0"/>
          <w:sz w:val="16"/>
        </w:rPr>
        <w:t>[Súmula 547.]</w:t>
      </w:r>
    </w:p>
    <w:p>
      <w:pPr>
        <w:ind w:left="288"/>
      </w:pPr>
      <w:r>
        <w:rPr>
          <w:color w:val="8C8C8C"/>
          <w:sz w:val="12"/>
        </w:rPr>
        <w:t>cf-art-5-inc-L</w:t>
      </w:r>
    </w:p>
    <w:p>
      <w:pPr>
        <w:ind w:left="288"/>
      </w:pPr>
      <w:r>
        <w:rPr>
          <w:color w:val="1E1E1E"/>
          <w:sz w:val="18"/>
        </w:rPr>
        <w:t>É inadmissível a apreensão de mercadorias como meio coercitivo para pagamento de tributos.</w:t>
      </w:r>
    </w:p>
    <w:p>
      <w:pPr>
        <w:ind w:left="288"/>
      </w:pPr>
      <w:r>
        <w:rPr>
          <w:b/>
          <w:color w:val="003CA0"/>
          <w:sz w:val="16"/>
        </w:rPr>
        <w:t>[Súmula 323.]</w:t>
      </w:r>
    </w:p>
    <w:p>
      <w:pPr>
        <w:ind w:left="288"/>
      </w:pPr>
      <w:r>
        <w:rPr>
          <w:color w:val="8C8C8C"/>
          <w:sz w:val="12"/>
        </w:rPr>
        <w:t>cf-art-5-inc-L</w:t>
      </w:r>
    </w:p>
    <w:p>
      <w:pPr>
        <w:ind w:left="288"/>
      </w:pPr>
      <w:r>
        <w:rPr>
          <w:color w:val="1E1E1E"/>
          <w:sz w:val="18"/>
        </w:rPr>
        <w:t>É inadmissível a interdição de estabelecimento como meio coercitivo para cobrança de tributo.</w:t>
      </w:r>
    </w:p>
    <w:p>
      <w:pPr>
        <w:ind w:left="288"/>
      </w:pPr>
      <w:r>
        <w:rPr>
          <w:b/>
          <w:color w:val="003CA0"/>
          <w:sz w:val="16"/>
        </w:rPr>
        <w:t>[Súmula 70.]</w:t>
      </w:r>
    </w:p>
    <w:p>
      <w:pPr>
        <w:ind w:left="288"/>
      </w:pPr>
      <w:r>
        <w:rPr>
          <w:color w:val="8C8C8C"/>
          <w:sz w:val="12"/>
        </w:rPr>
        <w:t>cf-art-5-inc-L</w:t>
      </w:r>
      <w:r>
        <w:rPr>
          <w:color w:val="003CA0"/>
          <w:sz w:val="12"/>
        </w:rPr>
        <w:t xml:space="preserve"> | ADI 7.600</w:t>
      </w:r>
      <w:r>
        <w:rPr>
          <w:color w:val="003CA0"/>
          <w:sz w:val="12"/>
        </w:rPr>
        <w:t xml:space="preserve"> | rel. Dias Toffoli</w:t>
      </w:r>
    </w:p>
    <w:p>
      <w:pPr>
        <w:ind w:left="288"/>
      </w:pPr>
      <w:r>
        <w:rPr>
          <w:color w:val="1E1E1E"/>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w:t>
      </w:r>
    </w:p>
    <w:p>
      <w:pPr>
        <w:ind w:left="288"/>
      </w:pPr>
      <w:r>
        <w:rPr>
          <w:b/>
          <w:color w:val="003CA0"/>
          <w:sz w:val="16"/>
        </w:rPr>
        <w:t>[ADI 7.600, ADI 7.601 e 7.608, rel. min. Dias Toffoli, j. 01.07.2025, P, DJE de 15.09.2025.]</w:t>
      </w:r>
    </w:p>
    <w:p>
      <w:pPr>
        <w:ind w:left="288"/>
      </w:pPr>
      <w:r>
        <w:rPr>
          <w:color w:val="8C8C8C"/>
          <w:sz w:val="12"/>
        </w:rPr>
        <w:t>cf-art-5-inc-L</w:t>
      </w:r>
      <w:r>
        <w:rPr>
          <w:color w:val="003CA0"/>
          <w:sz w:val="12"/>
        </w:rPr>
        <w:t xml:space="preserve"> | ADI 3.952</w:t>
      </w:r>
      <w:r>
        <w:rPr>
          <w:color w:val="003CA0"/>
          <w:sz w:val="12"/>
        </w:rPr>
        <w:t xml:space="preserve"> | rel. Joaquim Barbosa</w:t>
      </w:r>
    </w:p>
    <w:p>
      <w:pPr>
        <w:ind w:left="288"/>
      </w:pPr>
      <w:r>
        <w:rPr>
          <w:color w:val="1E1E1E"/>
          <w:sz w:val="18"/>
        </w:rPr>
        <w:t>Ao contribuinte alegadamente inadimplente é garantido o direito de insurgir-se contra a exigência tributária que repute indevida ou a aplicação de restrição administrativa que ponha em risco o livre exercício de sua atividade comercial. Entretanto, não pode o contribuinte, sob o pálio da livre de iniciativa, adotar prática comercial dirigida à inadimplência contumaz e preordenada para, valendo-se de infundadas impugnações administrativas ou judiciais sobre a exigibilidade da exação, alcançar vantagem competitiva capaz de desequilibrar a concorrência e frustrar o atendimento à função extrafisca</w:t>
      </w:r>
    </w:p>
    <w:p>
      <w:pPr>
        <w:ind w:left="288"/>
      </w:pPr>
      <w:r>
        <w:rPr>
          <w:b/>
          <w:color w:val="003CA0"/>
          <w:sz w:val="16"/>
        </w:rPr>
        <w:t>[ADI 3.952, rel. min. Joaquim Barbosa, red. do ac. min, Cármen Lúcia, j. 29.11.2023, P, DJE de 08.03.2024.]</w:t>
      </w:r>
    </w:p>
    <w:p>
      <w:pPr>
        <w:ind w:left="288"/>
      </w:pPr>
      <w:r>
        <w:rPr>
          <w:color w:val="8C8C8C"/>
          <w:sz w:val="12"/>
        </w:rPr>
        <w:t>cf-art-5-inc-L</w:t>
      </w:r>
      <w:r>
        <w:rPr>
          <w:color w:val="003CA0"/>
          <w:sz w:val="12"/>
        </w:rPr>
        <w:t xml:space="preserve"> | ADI 2.926</w:t>
      </w:r>
      <w:r>
        <w:rPr>
          <w:color w:val="003CA0"/>
          <w:sz w:val="12"/>
        </w:rPr>
        <w:t xml:space="preserve"> | rel. Nunes Marques</w:t>
      </w:r>
    </w:p>
    <w:p>
      <w:pPr>
        <w:ind w:left="288"/>
      </w:pPr>
      <w:r>
        <w:rPr>
          <w:color w:val="1E1E1E"/>
          <w:sz w:val="18"/>
        </w:rPr>
        <w:t>Por violar as cláusulas do devido processo legal e da não culpabilidade (CF, art. 5º, LIV e LIV), é inconstitucional o afastamento temporário do exercício do cargo ou das funções, com supressão das vantagens, do servidor processado criminalmente.</w:t>
      </w:r>
    </w:p>
    <w:p>
      <w:pPr>
        <w:ind w:left="288"/>
      </w:pPr>
      <w:r>
        <w:rPr>
          <w:b/>
          <w:color w:val="003CA0"/>
          <w:sz w:val="16"/>
        </w:rPr>
        <w:t>[ADI 2.926, rel. min. Nunes Marques, j. 18-3-2023, P, DJE de 22-5-2023.]</w:t>
      </w:r>
    </w:p>
    <w:p>
      <w:pPr>
        <w:ind w:left="288"/>
      </w:pPr>
      <w:r>
        <w:rPr>
          <w:color w:val="8C8C8C"/>
          <w:sz w:val="12"/>
        </w:rPr>
        <w:t>cf-art-5-inc-L</w:t>
      </w:r>
      <w:r>
        <w:rPr>
          <w:color w:val="003CA0"/>
          <w:sz w:val="12"/>
        </w:rPr>
        <w:t xml:space="preserve"> | ADI 5.755</w:t>
      </w:r>
      <w:r>
        <w:rPr>
          <w:color w:val="003CA0"/>
          <w:sz w:val="12"/>
        </w:rPr>
        <w:t xml:space="preserve"> | rel. Rosa Weber</w:t>
      </w:r>
    </w:p>
    <w:p>
      <w:pPr>
        <w:ind w:left="288"/>
      </w:pPr>
      <w:r>
        <w:rPr>
          <w:color w:val="1E1E1E"/>
          <w:sz w:val="18"/>
        </w:rPr>
        <w:t>A Lei nº 13.463/2017 criou verdadeira inovação ao disciplinar o pagamento de montantes por precatórios e requisições de pequeno valor por meio da determinação de um limite temporal para o exercício do direito de levantamento do importe do crédito depositado. A transferência automática, pela instituição financeira depositária, dos valores depositados para a Conta Única do Tesouro Nacional sem prévia ciência do interessado ou formalização de contraditório (art. 5º, LV, CF) afronta o devido processo legal (CF, art. 5º, LIV) no que atine ao respeito ao contraditório e à ampla defesa. 4. Tal lei de</w:t>
      </w:r>
    </w:p>
    <w:p>
      <w:pPr>
        <w:ind w:left="288"/>
      </w:pPr>
      <w:r>
        <w:rPr>
          <w:b/>
          <w:color w:val="003CA0"/>
          <w:sz w:val="16"/>
        </w:rPr>
        <w:t>[ADI 5.755, rel. min. Rosa Weber, j. 30-6-2022, P, DJE de 4-10-2022.]</w:t>
      </w:r>
    </w:p>
    <w:p>
      <w:pPr>
        <w:ind w:left="288"/>
      </w:pPr>
      <w:r>
        <w:rPr>
          <w:color w:val="8C8C8C"/>
          <w:sz w:val="12"/>
        </w:rPr>
        <w:t>cf-art-5-inc-L</w:t>
      </w:r>
      <w:r>
        <w:rPr>
          <w:color w:val="003CA0"/>
          <w:sz w:val="12"/>
        </w:rPr>
        <w:t xml:space="preserve"> | ADI 3.951</w:t>
      </w:r>
    </w:p>
    <w:p>
      <w:pPr>
        <w:ind w:left="288"/>
      </w:pPr>
      <w:r>
        <w:rPr>
          <w:color w:val="1E1E1E"/>
          <w:sz w:val="18"/>
        </w:rPr>
        <w:t xml:space="preserve">A suspensão imediata do direito de dirigir e a apreensão do documento de habilitação previstas no artigo 218, III, do Código de Trânsito Brasileiro, serão aplicadas pela autoridade competente, em caso de cometimento de infração classificada como gravíssima, de maneira conforme ao procedimento previsto no art. 281 e seguintes do mesmo diploma legal, asseguradas as garantias constitucionais inerentes ao devido processo legal. Trata-se de providências administrativas de natureza acautelatória que objetivam assegurar a eficiência da fiscalização de trânsito em casos de flagrante de prática de ato </w:t>
      </w:r>
    </w:p>
    <w:p>
      <w:pPr>
        <w:ind w:left="288"/>
      </w:pPr>
      <w:r>
        <w:rPr>
          <w:b/>
          <w:color w:val="003CA0"/>
          <w:sz w:val="16"/>
        </w:rPr>
        <w:t>[ADI 3.951, red. do ac. min. Edson Fachin, j. 29-5-2020, P, DJE de 8-7-2020.]</w:t>
      </w:r>
    </w:p>
    <w:p>
      <w:pPr>
        <w:ind w:left="288"/>
      </w:pPr>
      <w:r>
        <w:rPr>
          <w:color w:val="8C8C8C"/>
          <w:sz w:val="12"/>
        </w:rPr>
        <w:t>cf-art-5-inc-L</w:t>
      </w:r>
      <w:r>
        <w:rPr>
          <w:color w:val="003CA0"/>
          <w:sz w:val="12"/>
        </w:rPr>
        <w:t xml:space="preserve"> | ADI 5.139</w:t>
      </w:r>
      <w:r>
        <w:rPr>
          <w:color w:val="003CA0"/>
          <w:sz w:val="12"/>
        </w:rPr>
        <w:t xml:space="preserve"> | rel. Cármen Lúcia</w:t>
      </w:r>
    </w:p>
    <w:p>
      <w:pPr>
        <w:ind w:left="288"/>
      </w:pPr>
      <w:r>
        <w:rPr>
          <w:color w:val="1E1E1E"/>
          <w:sz w:val="18"/>
        </w:rPr>
        <w:t>Constitucional a iniciativa do legislador alagoano para editar a Lei estadual 7.508/2013, pela qual se determina que os estabelecimentos de ensino fundamental, médio e superior, públicos e privados, e cursos de extensão disponibilizem ‘cadeiras adaptadas para alunos portadores de deficiência física ou mobilidade reduzida’ (art. 1º). Desproporcionalidade da definição normativa do número de cadeiras a ser disponibilizado: interpretação conforme ao parágrafo único do art. 2º da Lei estadual 7.508/2013 para se entender que a expressão ‘número de alunos regularmente matriculados em cada sala’ se re</w:t>
      </w:r>
    </w:p>
    <w:p>
      <w:pPr>
        <w:ind w:left="288"/>
      </w:pPr>
      <w:r>
        <w:rPr>
          <w:b/>
          <w:color w:val="003CA0"/>
          <w:sz w:val="16"/>
        </w:rPr>
        <w:t>[ADI 5.139, rel. min. Cármen Lúcia, j. 11-10-2019, P, DJE de 6-11-2019.]</w:t>
      </w:r>
    </w:p>
    <w:p>
      <w:pPr>
        <w:ind w:left="288"/>
      </w:pPr>
      <w:r>
        <w:rPr>
          <w:color w:val="8C8C8C"/>
          <w:sz w:val="12"/>
        </w:rPr>
        <w:t>cf-art-5-inc-L</w:t>
      </w:r>
      <w:r>
        <w:rPr>
          <w:color w:val="003CA0"/>
          <w:sz w:val="12"/>
        </w:rPr>
        <w:t xml:space="preserve"> | ADI 4.338</w:t>
      </w:r>
      <w:r>
        <w:rPr>
          <w:color w:val="003CA0"/>
          <w:sz w:val="12"/>
        </w:rPr>
        <w:t xml:space="preserve"> | rel. Rosa Weber</w:t>
      </w:r>
    </w:p>
    <w:p>
      <w:pPr>
        <w:ind w:left="288"/>
      </w:pPr>
      <w:r>
        <w:rPr>
          <w:color w:val="1E1E1E"/>
          <w:sz w:val="18"/>
        </w:rPr>
        <w:t>Serviço de transporte público coletivo. Interrupção ou não conclusão da viagem. Ressarcimento de tarifa aos usuários. Extensão ao transporte de passageiros entre o Distrito Federal e a região do entorno. Transporte interestadual. (...) Ao instituir hipótese de presunção legal absoluta quanto à veracidade do fato alegado em denúncia de infração realizada por usuário do serviço de transporte público coletivo, o art. 3º, parágrafo único, da Lei 4.112/2008 do Distrito Federal inviabiliza o contraditório e impede o exercício do direito de defesa na esfera administrativa, mostrando-se incompatível c</w:t>
      </w:r>
    </w:p>
    <w:p>
      <w:pPr>
        <w:ind w:left="288"/>
      </w:pPr>
      <w:r>
        <w:rPr>
          <w:b/>
          <w:color w:val="003CA0"/>
          <w:sz w:val="16"/>
        </w:rPr>
        <w:t>[ADI 4.338, rel. min. Rosa Weber, j. 23-8-2019, P, DJE de 9-9-2019.]</w:t>
      </w:r>
    </w:p>
    <w:p>
      <w:pPr>
        <w:ind w:left="288"/>
      </w:pPr>
      <w:r>
        <w:rPr>
          <w:color w:val="8C8C8C"/>
          <w:sz w:val="12"/>
        </w:rPr>
        <w:t>cf-art-5-inc-L</w:t>
      </w:r>
      <w:r>
        <w:rPr>
          <w:color w:val="003CA0"/>
          <w:sz w:val="12"/>
        </w:rPr>
        <w:t xml:space="preserve"> | ADPF 378</w:t>
      </w:r>
    </w:p>
    <w:p>
      <w:pPr>
        <w:ind w:left="288"/>
      </w:pPr>
      <w:r>
        <w:rPr>
          <w:color w:val="1E1E1E"/>
          <w:sz w:val="18"/>
        </w:rPr>
        <w:t>No curso do procedimento de impeachment, o acusado tem a prerrogativa de se manifestar, de um modo geral, após a acusação. Concretização da garantia constitucional do devido processo legal (due process of law).</w:t>
      </w:r>
    </w:p>
    <w:p>
      <w:pPr>
        <w:ind w:left="288"/>
      </w:pPr>
      <w:r>
        <w:rPr>
          <w:b/>
          <w:color w:val="003CA0"/>
          <w:sz w:val="16"/>
        </w:rPr>
        <w:t>[ADPF 378 MC, red. do ac. min. Roberto Barroso, j. 16-12-2015, P, DJE de 8-3-2016.]</w:t>
      </w:r>
    </w:p>
    <w:p>
      <w:pPr>
        <w:ind w:left="288"/>
      </w:pPr>
      <w:r>
        <w:rPr>
          <w:color w:val="8C8C8C"/>
          <w:sz w:val="12"/>
        </w:rPr>
        <w:t>cf-art-5-inc-L</w:t>
      </w:r>
      <w:r>
        <w:rPr>
          <w:color w:val="003CA0"/>
          <w:sz w:val="12"/>
        </w:rPr>
        <w:t xml:space="preserve"> | ADI 1.082</w:t>
      </w:r>
      <w:r>
        <w:rPr>
          <w:color w:val="003CA0"/>
          <w:sz w:val="12"/>
        </w:rPr>
        <w:t xml:space="preserve"> | rel. Marco Aurélio</w:t>
      </w:r>
    </w:p>
    <w:p>
      <w:pPr>
        <w:ind w:left="288"/>
      </w:pPr>
      <w:r>
        <w:rPr>
          <w:color w:val="1E1E1E"/>
          <w:sz w:val="18"/>
        </w:rPr>
        <w:t>Surgem constitucionais as previsões, contidas nos arts. 7º, parágrafo único, e 23 da LC 64/1990, sobre a atuação do juiz no que é autorizado a formar convicção atendendo a fatos e circunstâncias constantes do processo, ainda que não arguidos pelas partes, e a considerar fatos públicos e notórios, indícios e presunções, mesmo que não indicados ou alegados pelos envolvidos no conflito de interesses.</w:t>
      </w:r>
    </w:p>
    <w:p>
      <w:pPr>
        <w:ind w:left="288"/>
      </w:pPr>
      <w:r>
        <w:rPr>
          <w:b/>
          <w:color w:val="003CA0"/>
          <w:sz w:val="16"/>
        </w:rPr>
        <w:t>[ADI 1.082, rel. min. Marco Aurélio, j. 22-5-2014, P, DJE de 30-10-2014.]</w:t>
      </w:r>
    </w:p>
    <w:p>
      <w:pPr>
        <w:ind w:left="288"/>
      </w:pPr>
      <w:r>
        <w:rPr>
          <w:color w:val="8C8C8C"/>
          <w:sz w:val="12"/>
        </w:rPr>
        <w:t>cf-art-5-inc-L</w:t>
      </w:r>
      <w:r>
        <w:rPr>
          <w:color w:val="003CA0"/>
          <w:sz w:val="12"/>
        </w:rPr>
        <w:t xml:space="preserve"> | ADPF 156</w:t>
      </w:r>
      <w:r>
        <w:rPr>
          <w:color w:val="003CA0"/>
          <w:sz w:val="12"/>
        </w:rPr>
        <w:t xml:space="preserve"> | rel. Cármen Lúcia</w:t>
      </w:r>
    </w:p>
    <w:p>
      <w:pPr>
        <w:ind w:left="288"/>
      </w:pPr>
      <w:r>
        <w:rPr>
          <w:color w:val="1E1E1E"/>
          <w:sz w:val="18"/>
        </w:rPr>
        <w:t>Arguição de descumprimento de preceito fundamental. Parágrafo 1º do art. 636 da CLT: não recepção pela Constituição de 1988. Incompatibilidade da exigência de depósito prévio do valor correspondente à multa como condição de admissibilidade de recurso administrativo interposto junto à autoridade trabalhista (§ 1º do art. 636 da CLT) com a Constituição de 1988. Inobservância das garantias constitucionais do devido processo legal e da ampla defesa (art. 5º, LIV e LV); do princípio da isonomia (art. 5º, caput); do direito de petição (art. 5º, XXXIV, a).</w:t>
      </w:r>
    </w:p>
    <w:p>
      <w:pPr>
        <w:ind w:left="288"/>
      </w:pPr>
      <w:r>
        <w:rPr>
          <w:b/>
          <w:color w:val="003CA0"/>
          <w:sz w:val="16"/>
        </w:rPr>
        <w:t>[ADPF 156, rel. min. Cármen Lúcia, j. 18-8-2011, P, DJE de 28-10-2011.]</w:t>
      </w:r>
    </w:p>
    <w:p>
      <w:pPr>
        <w:ind w:left="288"/>
      </w:pPr>
      <w:r>
        <w:rPr>
          <w:color w:val="8C8C8C"/>
          <w:sz w:val="12"/>
        </w:rPr>
        <w:t>cf-art-5-inc-L</w:t>
      </w:r>
      <w:r>
        <w:rPr>
          <w:color w:val="003CA0"/>
          <w:sz w:val="12"/>
        </w:rPr>
        <w:t xml:space="preserve"> | AI 698.626</w:t>
      </w:r>
      <w:r>
        <w:rPr>
          <w:color w:val="003CA0"/>
          <w:sz w:val="12"/>
        </w:rPr>
        <w:t xml:space="preserve"> | rel. Ellen Gracie</w:t>
      </w:r>
    </w:p>
    <w:p>
      <w:pPr>
        <w:ind w:left="288"/>
      </w:pPr>
      <w:r>
        <w:rPr>
          <w:color w:val="1E1E1E"/>
          <w:sz w:val="18"/>
        </w:rPr>
        <w:t>Vide AI 698.626 QO-RG, rel. min. Ellen Gracie, j. 2-10-2008, P, DJE de 5-12-2008 A suspensão preventiva dos membros da Polícia Civil do Estado de Minas Gerais está a se revelar como consequência automática do recebimento da denúncia pelo Poder Judiciário. Automaticidade que viola as garantias constitucionais do devido processo legal, do contraditório e da ampla defesa (incisos LIV e LV do art. 5º). Existência de outra lei estadual que adota idêntica medida cautelar administrativa, admitindo a suspensão, pelo prazo máximo de noventa dias, no curso de um processo administrativo específico, garan</w:t>
      </w:r>
    </w:p>
    <w:p>
      <w:pPr>
        <w:ind w:left="288"/>
      </w:pPr>
      <w:r>
        <w:rPr>
          <w:b/>
          <w:color w:val="003CA0"/>
          <w:sz w:val="16"/>
        </w:rPr>
        <w:t>[ADI 3.288, rel. min. Ayres Britto, j. 13-10-2010, P, DJE de 24-2-2011.]</w:t>
      </w:r>
    </w:p>
    <w:p>
      <w:pPr>
        <w:ind w:left="288"/>
      </w:pPr>
      <w:r>
        <w:rPr>
          <w:color w:val="8C8C8C"/>
          <w:sz w:val="12"/>
        </w:rPr>
        <w:t>cf-art-5-inc-L</w:t>
      </w:r>
      <w:r>
        <w:rPr>
          <w:color w:val="003CA0"/>
          <w:sz w:val="12"/>
        </w:rPr>
        <w:t xml:space="preserve"> | ADI 173</w:t>
      </w:r>
      <w:r>
        <w:rPr>
          <w:color w:val="003CA0"/>
          <w:sz w:val="12"/>
        </w:rPr>
        <w:t xml:space="preserve"> | rel. Joaquim Barbosa</w:t>
      </w:r>
    </w:p>
    <w:p>
      <w:pPr>
        <w:ind w:left="288"/>
      </w:pPr>
      <w:r>
        <w:rPr>
          <w:color w:val="1E1E1E"/>
          <w:sz w:val="18"/>
        </w:rPr>
        <w:t>Ações diretas de inconstitucionalidade ajuizadas contra os arts. 1º, I, II, III e IV, § 1º a § 3º, e 2º da Lei 7.711/1988 (...). (...) Esta Corte tem historicamente confirmado e garantido a proibição constitucional às sanções políticas, invocando, para tanto, o direito ao exercício de atividades econômicas e profissionais lícitas (...), a violação do devido processo legal substantivo (falta de proporcionalidade e razoabilidade de medidas gravosas que se predispõem a substituir os mecanismos de cobrança de créditos tributários) e a violação do devido processo legal manifestado no direito de ace</w:t>
      </w:r>
    </w:p>
    <w:p>
      <w:pPr>
        <w:ind w:left="288"/>
      </w:pPr>
      <w:r>
        <w:rPr>
          <w:b/>
          <w:color w:val="003CA0"/>
          <w:sz w:val="16"/>
        </w:rPr>
        <w:t>[ADI 173 e ADI 394, rel. min. Joaquim Barbosa, j. 25-9-2008, P, DJE de 20-3-2009.]</w:t>
      </w:r>
    </w:p>
    <w:p>
      <w:pPr>
        <w:ind w:left="288"/>
      </w:pPr>
      <w:r>
        <w:rPr>
          <w:color w:val="8C8C8C"/>
          <w:sz w:val="12"/>
        </w:rPr>
        <w:t>cf-art-5-inc-L</w:t>
      </w:r>
      <w:r>
        <w:rPr>
          <w:color w:val="003CA0"/>
          <w:sz w:val="12"/>
        </w:rPr>
        <w:t xml:space="preserve"> | RE 565.048</w:t>
      </w:r>
      <w:r>
        <w:rPr>
          <w:color w:val="003CA0"/>
          <w:sz w:val="12"/>
        </w:rPr>
        <w:t xml:space="preserve"> | rel. Marco Aurélio</w:t>
      </w:r>
    </w:p>
    <w:p>
      <w:pPr>
        <w:ind w:left="288"/>
      </w:pPr>
      <w:r>
        <w:rPr>
          <w:color w:val="1E1E1E"/>
          <w:sz w:val="18"/>
        </w:rPr>
        <w:t>= RE 565.048, rel. min. Marco Aurélio, j. 29-5-2014, P, DJE de 9-10-2014, Tema 31 A sustentação oral pelo advogado, após o voto do relator, afronta o devido processo legal, além de poder causar tumulto processual, uma vez que o contraditório se estabelece entre as partes.</w:t>
      </w:r>
    </w:p>
    <w:p>
      <w:pPr>
        <w:ind w:left="288"/>
      </w:pPr>
      <w:r>
        <w:rPr>
          <w:b/>
          <w:color w:val="003CA0"/>
          <w:sz w:val="16"/>
        </w:rPr>
        <w:t>[ADI 1.127, rel. min. Marco Aurélio, red. do ac. min. Ricardo Lewandowski, j. 17-5-2006, P, DJE de 11-6-2010.]</w:t>
      </w:r>
    </w:p>
    <w:p>
      <w:pPr>
        <w:ind w:left="288"/>
      </w:pPr>
      <w:r>
        <w:rPr>
          <w:color w:val="8C8C8C"/>
          <w:sz w:val="12"/>
        </w:rPr>
        <w:t>cf-art-5-inc-L</w:t>
      </w:r>
      <w:r>
        <w:rPr>
          <w:color w:val="003CA0"/>
          <w:sz w:val="12"/>
        </w:rPr>
        <w:t xml:space="preserve"> | HC 87.926</w:t>
      </w:r>
      <w:r>
        <w:rPr>
          <w:color w:val="003CA0"/>
          <w:sz w:val="12"/>
        </w:rPr>
        <w:t xml:space="preserve"> | rel. Cezar Peluso</w:t>
      </w:r>
    </w:p>
    <w:p>
      <w:pPr>
        <w:ind w:left="288"/>
      </w:pPr>
      <w:r>
        <w:rPr>
          <w:color w:val="1E1E1E"/>
          <w:sz w:val="18"/>
        </w:rPr>
        <w:t>Vide HC 87.926, rel. min. Cezar Peluso, j. 20-2-2008, P, DJE de 25-4-2008 Lei 1.952, de 19-3-1999, do Estado de Mato Grosso do Sul, que transfere os depósitos judiciais, referentes a tributos estaduais, à conta do erário da unidade federada. (...) Devolução do depósito após o trânsito em julgado já prevista no art. 32 da Lei de Execuções Fiscais – Lei 6.830, de 22-12-1980. Inexistência de ofensa ao princípio do devido processo legal.</w:t>
      </w:r>
    </w:p>
    <w:p>
      <w:pPr>
        <w:ind w:left="288"/>
      </w:pPr>
      <w:r>
        <w:rPr>
          <w:b/>
          <w:color w:val="003CA0"/>
          <w:sz w:val="16"/>
        </w:rPr>
        <w:t>[ADI 2.214 MC, rel. min. Maurício Corrêa, j. 6-2-2002, P, DJ de 19-4-2002.]</w:t>
      </w:r>
    </w:p>
    <w:p>
      <w:pPr>
        <w:ind w:left="288"/>
      </w:pPr>
      <w:r>
        <w:rPr>
          <w:color w:val="8C8C8C"/>
          <w:sz w:val="12"/>
        </w:rPr>
        <w:t>cf-art-5-inc-L</w:t>
      </w:r>
      <w:r>
        <w:rPr>
          <w:color w:val="003CA0"/>
          <w:sz w:val="12"/>
        </w:rPr>
        <w:t xml:space="preserve"> | ADI 1.933</w:t>
      </w:r>
      <w:r>
        <w:rPr>
          <w:color w:val="003CA0"/>
          <w:sz w:val="12"/>
        </w:rPr>
        <w:t xml:space="preserve"> | rel. Eros Grau</w:t>
      </w:r>
    </w:p>
    <w:p>
      <w:pPr>
        <w:ind w:left="288"/>
      </w:pPr>
      <w:r>
        <w:rPr>
          <w:color w:val="1E1E1E"/>
          <w:sz w:val="18"/>
        </w:rPr>
        <w:t>= ADI 1.933, rel. min. Eros Grau, j. 14-4-2010, P, DJE de 3-9-2010 Abrindo o debate, deixo expresso que a Constituição de 1988 consagra o devido processo legal nos seus dois aspectos, substantivo e processual, nos incisos LIV e LV do art. 5º, respectivamente. (...) Due process of law, com conteúdo substantivo – substantive due process – constitui limite ao Legislativo, no sentido de que as leis devem ser elaboradas com justiça, devem ser dotadas de razoabilidade (reasonableness) e de racionalidade (rationality), devem guardar, segundo W. Holmes, um real e substancial nexo com o objetivo que se</w:t>
      </w:r>
    </w:p>
    <w:p>
      <w:pPr>
        <w:ind w:left="288"/>
      </w:pPr>
      <w:r>
        <w:rPr>
          <w:b/>
          <w:color w:val="003CA0"/>
          <w:sz w:val="16"/>
        </w:rPr>
        <w:t>[ADI 1.511 MC, voto do min. Carlos Velloso, j. 16-10-1996, P, DJ de 6-6-2003.]</w:t>
      </w:r>
    </w:p>
    <w:p>
      <w:pPr>
        <w:ind w:left="288"/>
      </w:pPr>
      <w:r>
        <w:rPr>
          <w:color w:val="8C8C8C"/>
          <w:sz w:val="12"/>
        </w:rPr>
        <w:t>cf-art-5-inc-L</w:t>
      </w:r>
      <w:r>
        <w:rPr>
          <w:color w:val="003CA0"/>
          <w:sz w:val="12"/>
        </w:rPr>
        <w:t xml:space="preserve"> | ARE 1.467.470</w:t>
      </w:r>
      <w:r>
        <w:rPr>
          <w:color w:val="003CA0"/>
          <w:sz w:val="12"/>
        </w:rPr>
        <w:t xml:space="preserve"> | rel. Luís Roberto Barroso</w:t>
      </w:r>
    </w:p>
    <w:p>
      <w:pPr>
        <w:ind w:left="288"/>
      </w:pPr>
      <w:r>
        <w:rPr>
          <w:color w:val="1E1E1E"/>
          <w:sz w:val="18"/>
        </w:rPr>
        <w:t>Validade do reconhecimento pessoal realizado em desconformidade com o art. 226 do Código de Processo Penal.</w:t>
      </w:r>
    </w:p>
    <w:p>
      <w:pPr>
        <w:ind w:left="288"/>
      </w:pPr>
      <w:r>
        <w:rPr>
          <w:b/>
          <w:color w:val="003CA0"/>
          <w:sz w:val="16"/>
        </w:rPr>
        <w:t>[ARE 1.467.470 RG, rel. min. Luís Roberto Barroso, j. 28.2.2025, P, DJE de 7.3.2025, Tema 1.380, com mérito pendente.]</w:t>
      </w:r>
    </w:p>
    <w:p>
      <w:pPr>
        <w:ind w:left="288"/>
      </w:pPr>
      <w:r>
        <w:rPr>
          <w:color w:val="8C8C8C"/>
          <w:sz w:val="12"/>
        </w:rPr>
        <w:t>cf-art-5-inc-L</w:t>
      </w:r>
      <w:r>
        <w:rPr>
          <w:color w:val="003CA0"/>
          <w:sz w:val="12"/>
        </w:rPr>
        <w:t xml:space="preserve"> | RE 860.631</w:t>
      </w:r>
      <w:r>
        <w:rPr>
          <w:color w:val="003CA0"/>
          <w:sz w:val="12"/>
        </w:rPr>
        <w:t xml:space="preserve"> | rel. Luiz Fux</w:t>
      </w:r>
    </w:p>
    <w:p>
      <w:pPr>
        <w:ind w:left="288"/>
      </w:pPr>
      <w:r>
        <w:rPr>
          <w:color w:val="1E1E1E"/>
          <w:sz w:val="18"/>
        </w:rPr>
        <w:t>A execução extrajudicial nos contratos de mútuo com alienação fiduciária de imóvel, prevista na Lei 9.514/1997, é compatível com as garantias constitucionais, destacando-se inexistir afronta ao princípio da inafastabilidade da jurisdição e do acesso à justiça (art. 5º, inciso XXXV, da CF/88) e do juiz natural (art. 5º, LIII, CF/88), posto que se assegura às partes, a qualquer momento, a possibilidade de controle de legalidade do procedimento executório na via judicial. Inexiste, igualmente, violação aos princípios do devido processo legal, do contraditório e da ampla defesa (art. 5º, LIV e LV,</w:t>
      </w:r>
    </w:p>
    <w:p>
      <w:pPr>
        <w:ind w:left="288"/>
      </w:pPr>
      <w:r>
        <w:rPr>
          <w:b/>
          <w:color w:val="003CA0"/>
          <w:sz w:val="16"/>
        </w:rPr>
        <w:t>[RE 860.631, rel. min. Luiz Fux, j. 26-10-2023, P, DJE de 14-2-2024, Tema 982, com mérito julgado.]</w:t>
      </w:r>
    </w:p>
    <w:p>
      <w:pPr>
        <w:ind w:left="288"/>
      </w:pPr>
      <w:r>
        <w:rPr>
          <w:color w:val="8C8C8C"/>
          <w:sz w:val="12"/>
        </w:rPr>
        <w:t>cf-art-5-inc-L</w:t>
      </w:r>
      <w:r>
        <w:rPr>
          <w:color w:val="003CA0"/>
          <w:sz w:val="12"/>
        </w:rPr>
        <w:t xml:space="preserve"> | ARE 1.423.084</w:t>
      </w:r>
      <w:r>
        <w:rPr>
          <w:color w:val="003CA0"/>
          <w:sz w:val="12"/>
        </w:rPr>
        <w:t xml:space="preserve"> | rel. Rosa Weber</w:t>
      </w:r>
    </w:p>
    <w:p>
      <w:pPr>
        <w:ind w:left="288"/>
      </w:pPr>
      <w:r>
        <w:rPr>
          <w:color w:val="1E1E1E"/>
          <w:sz w:val="18"/>
        </w:rPr>
        <w:t>“Assentada a constitucionalidade das Resoluções ANTT 233/2003 e 3.075/2009, é infraconstitucional, a ela aplicando-se os efeitos da ausência de repercussão geral, a controvérsia acerca da validade de execução fiscal de créditos relativos a multa por infração administrativa nelas previstas.”</w:t>
      </w:r>
    </w:p>
    <w:p>
      <w:pPr>
        <w:ind w:left="288"/>
      </w:pPr>
      <w:r>
        <w:rPr>
          <w:b/>
          <w:color w:val="003CA0"/>
          <w:sz w:val="16"/>
        </w:rPr>
        <w:t>[ARE 1.423.084 RG, rel. min. Rosa Weber, j. 21.08.2023, P, DJE de 28.08.2023, Tema 1.263, com repercussão geral negada.]</w:t>
      </w:r>
    </w:p>
    <w:p>
      <w:pPr>
        <w:ind w:left="288"/>
      </w:pPr>
      <w:r>
        <w:rPr>
          <w:color w:val="8C8C8C"/>
          <w:sz w:val="12"/>
        </w:rPr>
        <w:t>cf-art-5-inc-L</w:t>
      </w:r>
      <w:r>
        <w:rPr>
          <w:color w:val="003CA0"/>
          <w:sz w:val="12"/>
        </w:rPr>
        <w:t xml:space="preserve"> | RE 627.106</w:t>
      </w:r>
      <w:r>
        <w:rPr>
          <w:color w:val="003CA0"/>
          <w:sz w:val="12"/>
        </w:rPr>
        <w:t xml:space="preserve"> | rel. Dias Toffoli</w:t>
      </w:r>
    </w:p>
    <w:p>
      <w:pPr>
        <w:ind w:left="288"/>
      </w:pPr>
      <w:r>
        <w:rPr>
          <w:color w:val="1E1E1E"/>
          <w:sz w:val="18"/>
        </w:rPr>
        <w:t>É constitucional, pois foi devidamente recepcionado pela Constituição Federal de 1988, o procedimento de execução extrajudicial previsto no Decreto-lei nº 70/66.</w:t>
      </w:r>
    </w:p>
    <w:p>
      <w:pPr>
        <w:ind w:left="288"/>
      </w:pPr>
      <w:r>
        <w:rPr>
          <w:b/>
          <w:color w:val="003CA0"/>
          <w:sz w:val="16"/>
        </w:rPr>
        <w:t>[RE 627.106, rel. min. Dias Toffoli, j. 8-4-2021, P, DJE de 14-6-2021, Tema 249, com mérito julgado.]</w:t>
      </w:r>
    </w:p>
    <w:p>
      <w:pPr>
        <w:ind w:left="288"/>
      </w:pPr>
      <w:r>
        <w:rPr>
          <w:color w:val="8C8C8C"/>
          <w:sz w:val="12"/>
        </w:rPr>
        <w:t>cf-art-5-inc-L</w:t>
      </w:r>
      <w:r>
        <w:rPr>
          <w:color w:val="003CA0"/>
          <w:sz w:val="12"/>
        </w:rPr>
        <w:t xml:space="preserve"> | RE 808.424</w:t>
      </w:r>
      <w:r>
        <w:rPr>
          <w:color w:val="003CA0"/>
          <w:sz w:val="12"/>
        </w:rPr>
        <w:t xml:space="preserve"> | rel. Marco Aurélio</w:t>
      </w:r>
    </w:p>
    <w:p>
      <w:pPr>
        <w:ind w:left="288"/>
      </w:pPr>
      <w:r>
        <w:rPr>
          <w:color w:val="1E1E1E"/>
          <w:sz w:val="18"/>
        </w:rPr>
        <w:t>É inconstitucional, sob o ângulo da liberdade fundamental do exercício da profissão e do devido processo legal, preceito normativo a versar previsão de cancelamento automático do registro em conselho profissional, ante a inadimplência da anuidade, ausente prévia oitiva do associado.</w:t>
      </w:r>
    </w:p>
    <w:p>
      <w:pPr>
        <w:ind w:left="288"/>
      </w:pPr>
      <w:r>
        <w:rPr>
          <w:b/>
          <w:color w:val="003CA0"/>
          <w:sz w:val="16"/>
        </w:rPr>
        <w:t>[RE 808.424, rel. min. Marco Aurélio, j. 19-12-2019, P, DJE de 30-4-2020, Tema 757, com mérito julgado.]</w:t>
      </w:r>
    </w:p>
    <w:p>
      <w:pPr>
        <w:ind w:left="288"/>
      </w:pPr>
      <w:r>
        <w:rPr>
          <w:color w:val="8C8C8C"/>
          <w:sz w:val="12"/>
        </w:rPr>
        <w:t>cf-art-5-inc-L</w:t>
      </w:r>
      <w:r>
        <w:rPr>
          <w:color w:val="003CA0"/>
          <w:sz w:val="12"/>
        </w:rPr>
        <w:t xml:space="preserve"> | RE 590.871</w:t>
      </w:r>
      <w:r>
        <w:rPr>
          <w:color w:val="003CA0"/>
          <w:sz w:val="12"/>
        </w:rPr>
        <w:t xml:space="preserve"> | rel. Edson Fachin</w:t>
      </w:r>
    </w:p>
    <w:p>
      <w:pPr>
        <w:ind w:left="288"/>
      </w:pPr>
      <w:r>
        <w:rPr>
          <w:color w:val="1E1E1E"/>
          <w:sz w:val="18"/>
        </w:rPr>
        <w:t>É compatível com a Constituição da República de 1988 a ampliação para 30 (trinta) dias do prazo de oposição de embargos à execução pela Fazenda Pública.</w:t>
      </w:r>
    </w:p>
    <w:p>
      <w:pPr>
        <w:ind w:left="288"/>
      </w:pPr>
      <w:r>
        <w:rPr>
          <w:b/>
          <w:color w:val="003CA0"/>
          <w:sz w:val="16"/>
        </w:rPr>
        <w:t>[RE 590.871, rel. min. Edson Fachin, j. 11-11-2019, P, DJE de 28-11-2019, Tema 137, com mérito julgado.]</w:t>
      </w:r>
    </w:p>
    <w:p>
      <w:pPr>
        <w:ind w:left="288"/>
      </w:pPr>
      <w:r>
        <w:rPr>
          <w:color w:val="8C8C8C"/>
          <w:sz w:val="12"/>
        </w:rPr>
        <w:t>cf-art-5-inc-L</w:t>
      </w:r>
      <w:r>
        <w:rPr>
          <w:color w:val="003CA0"/>
          <w:sz w:val="12"/>
        </w:rPr>
        <w:t xml:space="preserve"> | RE 795.567</w:t>
      </w:r>
      <w:r>
        <w:rPr>
          <w:color w:val="003CA0"/>
          <w:sz w:val="12"/>
        </w:rPr>
        <w:t xml:space="preserve"> | rel. Teori Zavascki</w:t>
      </w:r>
    </w:p>
    <w:p>
      <w:pPr>
        <w:ind w:left="288"/>
      </w:pPr>
      <w:r>
        <w:rPr>
          <w:color w:val="1E1E1E"/>
          <w:sz w:val="18"/>
        </w:rPr>
        <w:t>(...) os efeitos jurídicos previstos no art. 91 do CP são decorrentes de sentença penal condenatória. Tal não se verifica, portanto, quando há transação penal (art. 76 da Lei 9.099/1995), cuja sentença tem natureza homologatória, sem qualquer juízo sobre a responsabilidade criminal do aceitante. As consequências da homologação da transação são aquelas estipuladas de modo consensual no termo de acordo.</w:t>
      </w:r>
    </w:p>
    <w:p>
      <w:pPr>
        <w:ind w:left="288"/>
      </w:pPr>
      <w:r>
        <w:rPr>
          <w:b/>
          <w:color w:val="003CA0"/>
          <w:sz w:val="16"/>
        </w:rPr>
        <w:t>[RE 795.567, rel. min. Teori Zavascki, j. 28-5-2015, P, DJE de 9-9-2015, Tema 187, com mérito julgado.]</w:t>
      </w:r>
    </w:p>
    <w:p>
      <w:pPr>
        <w:ind w:left="288"/>
      </w:pPr>
      <w:r>
        <w:rPr>
          <w:color w:val="8C8C8C"/>
          <w:sz w:val="12"/>
        </w:rPr>
        <w:t>cf-art-5-inc-L</w:t>
      </w:r>
      <w:r>
        <w:rPr>
          <w:color w:val="003CA0"/>
          <w:sz w:val="12"/>
        </w:rPr>
        <w:t xml:space="preserve"> | ARE 691.306</w:t>
      </w:r>
    </w:p>
    <w:p>
      <w:pPr>
        <w:ind w:left="288"/>
      </w:pPr>
      <w:r>
        <w:rPr>
          <w:color w:val="1E1E1E"/>
          <w:sz w:val="18"/>
        </w:rPr>
        <w:t>A Corte possui jurisprudência firmada no sentido de que a competência conferida à Justiça Militar pelo art. 125, § 4º, da Constituição é relativa à perda de graduação como pena acessória criminal, e não à sanção disciplinar, que pode decorrer de adequado processo administrativo (Súmula 673). Firmou-se, ainda, entendimento de que não há óbice à aplicação de sanção disciplinar administrativa antes do trânsito em julgado da ação penal, pois são relativamente independentes as instâncias jurisdicional e administrativa.</w:t>
      </w:r>
    </w:p>
    <w:p>
      <w:pPr>
        <w:ind w:left="288"/>
      </w:pPr>
      <w:r>
        <w:rPr>
          <w:b/>
          <w:color w:val="003CA0"/>
          <w:sz w:val="16"/>
        </w:rPr>
        <w:t>[ARE 691.306 RG, voto do min. Cezar Peluso, j. 23-8-2012, P, DJE de 11-9-2012, Tema 565, com mérito julgado.]</w:t>
      </w:r>
    </w:p>
    <w:p>
      <w:pPr>
        <w:ind w:left="288"/>
      </w:pPr>
      <w:r>
        <w:rPr>
          <w:color w:val="8C8C8C"/>
          <w:sz w:val="12"/>
        </w:rPr>
        <w:t>cf-art-5-inc-L</w:t>
      </w:r>
      <w:r>
        <w:rPr>
          <w:color w:val="003CA0"/>
          <w:sz w:val="12"/>
        </w:rPr>
        <w:t xml:space="preserve"> | MS 21.545</w:t>
      </w:r>
      <w:r>
        <w:rPr>
          <w:color w:val="003CA0"/>
          <w:sz w:val="12"/>
        </w:rPr>
        <w:t xml:space="preserve"> | rel. Moreira Alves</w:t>
      </w:r>
    </w:p>
    <w:p>
      <w:pPr>
        <w:ind w:left="288"/>
      </w:pPr>
      <w:r>
        <w:rPr>
          <w:color w:val="1E1E1E"/>
          <w:sz w:val="18"/>
        </w:rPr>
        <w:t>Vide MS 21.545, rel. min. Moreira Alves, j. 11-3-1993, P, DJ de 2-4-1993 Cabimento do agravo interno no âmbito dos juizados especiais. Constitucionalidade do julgamento monocrático do recurso desde que haja possibilidade de revisão pelo órgão colegiado.</w:t>
      </w:r>
    </w:p>
    <w:p>
      <w:pPr>
        <w:ind w:left="288"/>
      </w:pPr>
      <w:r>
        <w:rPr>
          <w:b/>
          <w:color w:val="003CA0"/>
          <w:sz w:val="16"/>
        </w:rPr>
        <w:t>[RE 612.359 RG, rel. min. Ellen Gracie, j. 13-8-2010, P, DJE de 27-8-2010, Tema 294, com mérito julgado.]</w:t>
      </w:r>
    </w:p>
    <w:p>
      <w:pPr>
        <w:ind w:left="288"/>
      </w:pPr>
      <w:r>
        <w:rPr>
          <w:color w:val="8C8C8C"/>
          <w:sz w:val="12"/>
        </w:rPr>
        <w:t>cf-art-5-inc-L</w:t>
      </w:r>
      <w:r>
        <w:rPr>
          <w:color w:val="003CA0"/>
          <w:sz w:val="12"/>
        </w:rPr>
        <w:t xml:space="preserve"> | RE 602.527</w:t>
      </w:r>
      <w:r>
        <w:rPr>
          <w:color w:val="003CA0"/>
          <w:sz w:val="12"/>
        </w:rPr>
        <w:t xml:space="preserve"> | rel. Cezar Peluso</w:t>
      </w:r>
    </w:p>
    <w:p>
      <w:pPr>
        <w:ind w:left="288"/>
      </w:pPr>
      <w:r>
        <w:rPr>
          <w:color w:val="1E1E1E"/>
          <w:sz w:val="18"/>
        </w:rPr>
        <w:t>Prescrição da pretensão punitiva “em perspectiva, projetada ou antecipada”. Ausência de previsão legal. (...) É inadmissível a extinção da punibilidade em virtude de prescrição da pretensão punitiva com base em previsão da pena que hipoteticamente seria aplicada, independentemente da existência ou sorte do processo criminal.</w:t>
      </w:r>
    </w:p>
    <w:p>
      <w:pPr>
        <w:ind w:left="288"/>
      </w:pPr>
      <w:r>
        <w:rPr>
          <w:b/>
          <w:color w:val="003CA0"/>
          <w:sz w:val="16"/>
        </w:rPr>
        <w:t>[RE 602.527 RG-QO, rel. min. Cezar Peluso, j. 19-11-2009, P, DJE de 18-12-2009, Tema 239, com mérito julgado.]</w:t>
      </w:r>
    </w:p>
    <w:p>
      <w:pPr>
        <w:ind w:left="288"/>
      </w:pPr>
      <w:r>
        <w:rPr>
          <w:color w:val="8C8C8C"/>
          <w:sz w:val="12"/>
        </w:rPr>
        <w:t>cf-art-5-inc-L</w:t>
      </w:r>
      <w:r>
        <w:rPr>
          <w:color w:val="003CA0"/>
          <w:sz w:val="12"/>
        </w:rPr>
        <w:t xml:space="preserve"> | RE 602.072</w:t>
      </w:r>
      <w:r>
        <w:rPr>
          <w:color w:val="003CA0"/>
          <w:sz w:val="12"/>
        </w:rPr>
        <w:t xml:space="preserve"> | rel. Cezar Peluso</w:t>
      </w:r>
    </w:p>
    <w:p>
      <w:pPr>
        <w:ind w:left="288"/>
      </w:pPr>
      <w:r>
        <w:rPr>
          <w:color w:val="1E1E1E"/>
          <w:sz w:val="18"/>
        </w:rPr>
        <w:t>Não fere os preceitos constitucionais a propositura de ação penal em decorrência do não cumprimento das condições estabelecidas em transação penal.</w:t>
      </w:r>
    </w:p>
    <w:p>
      <w:pPr>
        <w:ind w:left="288"/>
      </w:pPr>
      <w:r>
        <w:rPr>
          <w:b/>
          <w:color w:val="003CA0"/>
          <w:sz w:val="16"/>
        </w:rPr>
        <w:t>[RE 602.072 RG-QO, rel. min. Cezar Peluso, j. 19-11-2009, P, DJE de 26-2-2010, Tema 238, com mérito julgado.]</w:t>
      </w:r>
    </w:p>
    <w:p>
      <w:pPr>
        <w:ind w:left="288"/>
      </w:pPr>
      <w:r>
        <w:rPr>
          <w:color w:val="8C8C8C"/>
          <w:sz w:val="12"/>
        </w:rPr>
        <w:t>cf-art-5-inc-L</w:t>
      </w:r>
      <w:r>
        <w:rPr>
          <w:color w:val="003CA0"/>
          <w:sz w:val="12"/>
        </w:rPr>
        <w:t xml:space="preserve"> | RE 565.048</w:t>
      </w:r>
      <w:r>
        <w:rPr>
          <w:color w:val="003CA0"/>
          <w:sz w:val="12"/>
        </w:rPr>
        <w:t xml:space="preserve"> | rel. Marco Aurélio</w:t>
      </w:r>
    </w:p>
    <w:p>
      <w:pPr>
        <w:ind w:left="288"/>
      </w:pPr>
      <w:r>
        <w:rPr>
          <w:color w:val="1E1E1E"/>
          <w:sz w:val="18"/>
        </w:rPr>
        <w:t>Discrepa, a mais não poder, da Carta Federal a sanção política objetivando a cobrança de tributos – Verbetes 70, 323 e 547 da Súmula do Supremo. (...) Consubstancia sanção política visando ao recolhimento de tributo condicionar a expedição de notas fiscais a fiança, garantia real ou fidejussória por parte do contribuinte.</w:t>
      </w:r>
    </w:p>
    <w:p>
      <w:pPr>
        <w:ind w:left="288"/>
      </w:pPr>
      <w:r>
        <w:rPr>
          <w:b/>
          <w:color w:val="003CA0"/>
          <w:sz w:val="16"/>
        </w:rPr>
        <w:t>[RE 565.048, rel. min. Marco Aurélio, j. 29-5-2014, P, DJE de 9-10-2014, Tema 31, com mérito julgado.]</w:t>
      </w:r>
    </w:p>
    <w:p>
      <w:pPr>
        <w:ind w:left="288"/>
      </w:pPr>
      <w:r>
        <w:rPr>
          <w:color w:val="8C8C8C"/>
          <w:sz w:val="12"/>
        </w:rPr>
        <w:t>cf-art-5-inc-L</w:t>
      </w:r>
      <w:r>
        <w:rPr>
          <w:color w:val="003CA0"/>
          <w:sz w:val="12"/>
        </w:rPr>
        <w:t xml:space="preserve"> | ADI 173</w:t>
      </w:r>
      <w:r>
        <w:rPr>
          <w:color w:val="003CA0"/>
          <w:sz w:val="12"/>
        </w:rPr>
        <w:t xml:space="preserve"> | rel. Joaquim Barbosa</w:t>
      </w:r>
    </w:p>
    <w:p>
      <w:pPr>
        <w:ind w:left="288"/>
      </w:pPr>
      <w:r>
        <w:rPr>
          <w:color w:val="1E1E1E"/>
          <w:sz w:val="18"/>
        </w:rPr>
        <w:t>= ADI 173 e ADI 394, rel. min. Joaquim Barbosa, j. 25-9-2008, P, DJE de 20-3-2009 O Corregedor Nacional de Justiça não pode inadmitir, por decisão monocrática, recurso administrativo interposto em face de decisão singular que determina o arquivamento sumário do feito, sob pena de ofensa ao due process of law (art. 5º, LIV, da CRFB/88).</w:t>
      </w:r>
    </w:p>
    <w:p>
      <w:pPr>
        <w:ind w:left="288"/>
      </w:pPr>
      <w:r>
        <w:rPr>
          <w:b/>
          <w:color w:val="003CA0"/>
          <w:sz w:val="16"/>
        </w:rPr>
        <w:t>[MS 34.702-AgR, rel. min. Luiz Fux, j. 15-6-2018, 1ª T, DJE de 27-8-2018.]</w:t>
      </w:r>
    </w:p>
    <w:p>
      <w:pPr>
        <w:ind w:left="288"/>
      </w:pPr>
      <w:r>
        <w:rPr>
          <w:color w:val="8C8C8C"/>
          <w:sz w:val="12"/>
        </w:rPr>
        <w:t>cf-art-5-inc-L</w:t>
      </w:r>
      <w:r>
        <w:rPr>
          <w:color w:val="003CA0"/>
          <w:sz w:val="12"/>
        </w:rPr>
        <w:t xml:space="preserve"> | HC 155.363</w:t>
      </w:r>
      <w:r>
        <w:rPr>
          <w:color w:val="003CA0"/>
          <w:sz w:val="12"/>
        </w:rPr>
        <w:t xml:space="preserve"> | rel. Dias Toffoli</w:t>
      </w:r>
    </w:p>
    <w:p>
      <w:pPr>
        <w:ind w:left="288"/>
      </w:pPr>
      <w:r>
        <w:rPr>
          <w:color w:val="1E1E1E"/>
          <w:sz w:val="18"/>
        </w:rPr>
        <w:t>O princípio do livre convencimento motivado (CPP, art. 400, § 1º) faculta ao juiz o indeferimento das provas consideradas irrelevantes, impertinentes ou protelatórias (v.g. RHC nº 126.853/SP-AgR, Primeira Turma, Relator o Ministro Luiz Fux, DJe de 15/9/15). Não obstante, o indeferimento das testemunhas de defesa, à luz desse princípio, se afigura inadmissível em um estado democrático de direito, em que a plenitude de defesa é garantia constitucional de todos os acusados (CF, art. 5º, inciso LV). A decisão em comento extrapola os limites do razoável, mormente se levado em consideração que a med</w:t>
      </w:r>
    </w:p>
    <w:p>
      <w:pPr>
        <w:ind w:left="288"/>
      </w:pPr>
      <w:r>
        <w:rPr>
          <w:b/>
          <w:color w:val="003CA0"/>
          <w:sz w:val="16"/>
        </w:rPr>
        <w:t>[MS 28.775, red. do ac. min. Ricardo Lewandowski, j. 17-10-2017, 2ª T, DJE de 9-3-2018.]</w:t>
      </w:r>
    </w:p>
    <w:p>
      <w:pPr>
        <w:ind w:left="288"/>
      </w:pPr>
      <w:r>
        <w:rPr>
          <w:color w:val="8C8C8C"/>
          <w:sz w:val="12"/>
        </w:rPr>
        <w:t>cf-art-5-inc-L</w:t>
      </w:r>
      <w:r>
        <w:rPr>
          <w:color w:val="003CA0"/>
          <w:sz w:val="12"/>
        </w:rPr>
        <w:t xml:space="preserve"> | ACO 1.803</w:t>
      </w:r>
      <w:r>
        <w:rPr>
          <w:color w:val="003CA0"/>
          <w:sz w:val="12"/>
        </w:rPr>
        <w:t xml:space="preserve"> | rel. Ricardo Lewandowski</w:t>
      </w:r>
    </w:p>
    <w:p>
      <w:pPr>
        <w:ind w:left="288"/>
      </w:pPr>
      <w:r>
        <w:rPr>
          <w:color w:val="1E1E1E"/>
          <w:sz w:val="18"/>
        </w:rPr>
        <w:t>Inscrição de Estado-membro no Siafi/Cauc [Cadastro Único de Convênio]. (...) Atuação do Estado em desconformidade com a legislação aplicável, que, autuado pela Delegacia Regional do Trabalho, deixou de sanar as irregularidades em prazo razoável. Constitucionalidade do art. 25, IV, a, da LC 101/2000, que em nada ofende o princípio da proporcionalidade (Constituição, art. 5º, LIV), situando-se dentro da margem de conformação do legislador para garantia da responsabilidade no trato da coisa pública.</w:t>
      </w:r>
    </w:p>
    <w:p>
      <w:pPr>
        <w:ind w:left="288"/>
      </w:pPr>
      <w:r>
        <w:rPr>
          <w:b/>
          <w:color w:val="003CA0"/>
          <w:sz w:val="16"/>
        </w:rPr>
        <w:t>[ACO 1.803 AgR, rel. min. Ricardo Lewandowski, j. 21-8-2017, P, DJE de 25-8-2017.]</w:t>
      </w:r>
    </w:p>
    <w:p>
      <w:pPr>
        <w:ind w:left="288"/>
      </w:pPr>
      <w:r>
        <w:rPr>
          <w:color w:val="8C8C8C"/>
          <w:sz w:val="12"/>
        </w:rPr>
        <w:t>cf-art-5-inc-L</w:t>
      </w:r>
      <w:r>
        <w:rPr>
          <w:color w:val="003CA0"/>
          <w:sz w:val="12"/>
        </w:rPr>
        <w:t xml:space="preserve"> | INQ 3.990</w:t>
      </w:r>
      <w:r>
        <w:rPr>
          <w:color w:val="003CA0"/>
          <w:sz w:val="12"/>
        </w:rPr>
        <w:t xml:space="preserve"> | rel. Edson Fachin</w:t>
      </w:r>
    </w:p>
    <w:p>
      <w:pPr>
        <w:ind w:left="288"/>
      </w:pPr>
      <w:r>
        <w:rPr>
          <w:color w:val="1E1E1E"/>
          <w:sz w:val="18"/>
        </w:rPr>
        <w:t>É possível assegurar, também no âmbito da Lei 8.038/1990, o direito ao órgão acusador de réplica às respostas dos denunciados, especialmente quando suscitadas questões que, se acolhidas, poderão impedir a deflagração da ação penal. Só assim se estará prestigiando o princípio constitucional do contraditório (art. 5º, LV, CF), que garante aos litigantes, e não apenas à defesa, a efetiva participação na decisão judicial. De outro lado, configura mera irregularidade a apresentação dessa peça pelo Ministério Público após o transcurso dos cinco dias prescritos no art. 5º da Lei 8.038/1990, uma vez q</w:t>
      </w:r>
    </w:p>
    <w:p>
      <w:pPr>
        <w:ind w:left="288"/>
      </w:pPr>
      <w:r>
        <w:rPr>
          <w:b/>
          <w:color w:val="003CA0"/>
          <w:sz w:val="16"/>
        </w:rPr>
        <w:t>[Inq 3.990, rel. min. Edson Fachin, j. 14-3-2017, 2ª T, DJE de 2-6-2017.]</w:t>
      </w:r>
    </w:p>
    <w:p>
      <w:pPr>
        <w:ind w:left="288"/>
      </w:pPr>
      <w:r>
        <w:rPr>
          <w:color w:val="8C8C8C"/>
          <w:sz w:val="12"/>
        </w:rPr>
        <w:t>cf-art-5-inc-L</w:t>
      </w:r>
      <w:r>
        <w:rPr>
          <w:color w:val="003CA0"/>
          <w:sz w:val="12"/>
        </w:rPr>
        <w:t xml:space="preserve"> | MS 30.248</w:t>
      </w:r>
      <w:r>
        <w:rPr>
          <w:color w:val="003CA0"/>
          <w:sz w:val="12"/>
        </w:rPr>
        <w:t xml:space="preserve"> | rel. Roberto Barroso</w:t>
      </w:r>
    </w:p>
    <w:p>
      <w:pPr>
        <w:ind w:left="288"/>
      </w:pPr>
      <w:r>
        <w:rPr>
          <w:color w:val="1E1E1E"/>
          <w:sz w:val="18"/>
        </w:rPr>
        <w:t>A Lei 8.443/1992 (Lei Orgânica do TCU) autoriza o desconto integral ou parcelado da dívida nos vencimentos, salários ou proventos (art. 28, I). Não obstante, fixado o percentual do desconto pelo TCU, a sua majoração exige a observância prévia do contraditório e da ampla defesa.</w:t>
      </w:r>
    </w:p>
    <w:p>
      <w:pPr>
        <w:ind w:left="288"/>
      </w:pPr>
      <w:r>
        <w:rPr>
          <w:b/>
          <w:color w:val="003CA0"/>
          <w:sz w:val="16"/>
        </w:rPr>
        <w:t>[MS 30.248 AgR, rel. min. Roberto Barroso, j. 7-10-2016, 1ª T, DJE de 26-10-2016.]</w:t>
      </w:r>
    </w:p>
    <w:p>
      <w:pPr>
        <w:ind w:left="288"/>
      </w:pPr>
      <w:r>
        <w:rPr>
          <w:color w:val="8C8C8C"/>
          <w:sz w:val="12"/>
        </w:rPr>
        <w:t>cf-art-5-inc-L</w:t>
      </w:r>
      <w:r>
        <w:rPr>
          <w:color w:val="003CA0"/>
          <w:sz w:val="12"/>
        </w:rPr>
        <w:t xml:space="preserve"> | RE 781.794</w:t>
      </w:r>
      <w:r>
        <w:rPr>
          <w:color w:val="003CA0"/>
          <w:sz w:val="12"/>
        </w:rPr>
        <w:t xml:space="preserve"> | rel. Luiz Fux</w:t>
      </w:r>
    </w:p>
    <w:p>
      <w:pPr>
        <w:ind w:left="288"/>
      </w:pPr>
      <w:r>
        <w:rPr>
          <w:color w:val="1E1E1E"/>
          <w:sz w:val="18"/>
        </w:rPr>
        <w:t>Administrativo. Ensino superior. Cancelamento de matrícula sem observância do devido processo legal. Impossibilidade.</w:t>
      </w:r>
    </w:p>
    <w:p>
      <w:pPr>
        <w:ind w:left="288"/>
      </w:pPr>
      <w:r>
        <w:rPr>
          <w:b/>
          <w:color w:val="003CA0"/>
          <w:sz w:val="16"/>
        </w:rPr>
        <w:t>[RE 781.794 AgR, rel. min. Luiz Fux, j. 2-8-2016, 1ª T, DJE de 19-8-2016.]</w:t>
      </w:r>
    </w:p>
    <w:p>
      <w:pPr>
        <w:ind w:left="288"/>
      </w:pPr>
      <w:r>
        <w:rPr>
          <w:color w:val="8C8C8C"/>
          <w:sz w:val="12"/>
        </w:rPr>
        <w:t>cf-art-5-inc-L</w:t>
      </w:r>
      <w:r>
        <w:rPr>
          <w:color w:val="003CA0"/>
          <w:sz w:val="12"/>
        </w:rPr>
        <w:t xml:space="preserve"> | HC 127.483</w:t>
      </w:r>
      <w:r>
        <w:rPr>
          <w:color w:val="003CA0"/>
          <w:sz w:val="12"/>
        </w:rPr>
        <w:t xml:space="preserve"> | rel. Dias Toffoli</w:t>
      </w:r>
    </w:p>
    <w:p>
      <w:pPr>
        <w:ind w:left="288"/>
      </w:pPr>
      <w:r>
        <w:rPr>
          <w:color w:val="1E1E1E"/>
          <w:sz w:val="18"/>
        </w:rPr>
        <w:t>Por se tratar de negócio jurídico personalíssimo, o acordo de colaboração premiada não pode ser impugnado por coautores ou partícipes do colaborador na organização criminosa e nas infrações penais por ela praticadas, ainda que venham a ser expressamente nominados no respectivo instrumento no “relato da colaboração e seus possíveis resultados” (art. 6º, I, da Lei 12.850/2013). De todo modo, nos procedimentos em que figurarem como imputados, os coautores ou partícipes delatados – no exercício do contraditório – poderão confrontar, em juízo, as declarações do colaborador e as provas por ele indic</w:t>
      </w:r>
    </w:p>
    <w:p>
      <w:pPr>
        <w:ind w:left="288"/>
      </w:pPr>
      <w:r>
        <w:rPr>
          <w:b/>
          <w:color w:val="003CA0"/>
          <w:sz w:val="16"/>
        </w:rPr>
        <w:t>[HC 127.483, rel. min. Dias Toffoli, j. 27-8-2015, P, DJE de 4-2-2016.]</w:t>
      </w:r>
    </w:p>
    <w:p>
      <w:pPr>
        <w:ind w:left="288"/>
      </w:pPr>
      <w:r>
        <w:rPr>
          <w:color w:val="8C8C8C"/>
          <w:sz w:val="12"/>
        </w:rPr>
        <w:t>cf-art-5-inc-L</w:t>
      </w:r>
      <w:r>
        <w:rPr>
          <w:color w:val="003CA0"/>
          <w:sz w:val="12"/>
        </w:rPr>
        <w:t xml:space="preserve"> | MS 28.417</w:t>
      </w:r>
      <w:r>
        <w:rPr>
          <w:color w:val="003CA0"/>
          <w:sz w:val="12"/>
        </w:rPr>
        <w:t xml:space="preserve"> | rel. Dias Toffoli</w:t>
      </w:r>
    </w:p>
    <w:p>
      <w:pPr>
        <w:ind w:left="288"/>
      </w:pPr>
      <w:r>
        <w:rPr>
          <w:color w:val="1E1E1E"/>
          <w:sz w:val="18"/>
        </w:rPr>
        <w:t>As garantias do contraditório e da ampla defesa não são absolutas quando considerado o caráter de urgência do pedido liminar, podendo o relator despachar a medida antes da oitiva das partes interessadas.</w:t>
      </w:r>
    </w:p>
    <w:p>
      <w:pPr>
        <w:ind w:left="288"/>
      </w:pPr>
      <w:r>
        <w:rPr>
          <w:b/>
          <w:color w:val="003CA0"/>
          <w:sz w:val="16"/>
        </w:rPr>
        <w:t>[MS 28.417 AgR, rel. min. Dias Toffoli, j. 27-2-2014, P, DJE de 2-4-2014.]</w:t>
      </w:r>
    </w:p>
    <w:p>
      <w:pPr>
        <w:ind w:left="288"/>
      </w:pPr>
      <w:r>
        <w:rPr>
          <w:color w:val="8C8C8C"/>
          <w:sz w:val="12"/>
        </w:rPr>
        <w:t>cf-art-5-inc-L</w:t>
      </w:r>
      <w:r>
        <w:rPr>
          <w:color w:val="003CA0"/>
          <w:sz w:val="12"/>
        </w:rPr>
        <w:t xml:space="preserve"> | RCL 10.771</w:t>
      </w:r>
      <w:r>
        <w:rPr>
          <w:color w:val="003CA0"/>
          <w:sz w:val="12"/>
        </w:rPr>
        <w:t xml:space="preserve"> | rel. Marco Aurélio</w:t>
      </w:r>
    </w:p>
    <w:p>
      <w:pPr>
        <w:ind w:left="288"/>
      </w:pPr>
      <w:r>
        <w:rPr>
          <w:color w:val="1E1E1E"/>
          <w:sz w:val="18"/>
        </w:rPr>
        <w:t>O Verbete 14 da Súmula Vinculante do Supremo não alcança sindicância administrativa objetivando elucidar fatos sob o ângulo do cometimento de infração administrativa.</w:t>
      </w:r>
    </w:p>
    <w:p>
      <w:pPr>
        <w:ind w:left="288"/>
      </w:pPr>
      <w:r>
        <w:rPr>
          <w:b/>
          <w:color w:val="003CA0"/>
          <w:sz w:val="16"/>
        </w:rPr>
        <w:t>[Rcl 10.771 AgR, rel. min. Marco Aurélio, j. 4-2-2014, 1ª T, DJE de 18-2-2014.]</w:t>
      </w:r>
    </w:p>
    <w:p>
      <w:pPr>
        <w:ind w:left="288"/>
      </w:pPr>
      <w:r>
        <w:rPr>
          <w:color w:val="8C8C8C"/>
          <w:sz w:val="12"/>
        </w:rPr>
        <w:t>cf-art-5-inc-L</w:t>
      </w:r>
      <w:r>
        <w:rPr>
          <w:color w:val="003CA0"/>
          <w:sz w:val="12"/>
        </w:rPr>
        <w:t xml:space="preserve"> | AP 516</w:t>
      </w:r>
    </w:p>
    <w:p>
      <w:pPr>
        <w:ind w:left="288"/>
      </w:pPr>
      <w:r>
        <w:rPr>
          <w:color w:val="1E1E1E"/>
          <w:sz w:val="18"/>
        </w:rPr>
        <w:t>Os embargos de declaração não consubstanciam crítica ao ofício judicante, mas lhe servem ao aprimoramento, devendo o órgão apreciá-los com espírito de compreensão, por consubstanciarem verdadeira contribuição da parte em prol do devido processo legal, havendo, inclusive, corrente jurisprudencial que admite a extrapolação do âmbito normal da eficácia dos embargos quando, utilizados para sanar omissões, contradições, obscuridades ou equívocos manifestos, impliquem modificação do que restou decidido no julgamento embargado.</w:t>
      </w:r>
    </w:p>
    <w:p>
      <w:pPr>
        <w:ind w:left="288"/>
      </w:pPr>
      <w:r>
        <w:rPr>
          <w:b/>
          <w:color w:val="003CA0"/>
          <w:sz w:val="16"/>
        </w:rPr>
        <w:t>[AP 516 ED, red. do ac. min. Luiz Fux, j. 5-12-2013, P, DJE de 1º-8-2014.]</w:t>
      </w:r>
    </w:p>
    <w:p>
      <w:pPr>
        <w:ind w:left="288"/>
      </w:pPr>
      <w:r>
        <w:rPr>
          <w:color w:val="8C8C8C"/>
          <w:sz w:val="12"/>
        </w:rPr>
        <w:t>cf-art-5-inc-L</w:t>
      </w:r>
      <w:r>
        <w:rPr>
          <w:color w:val="003CA0"/>
          <w:sz w:val="12"/>
        </w:rPr>
        <w:t xml:space="preserve"> | RE 550.769</w:t>
      </w:r>
      <w:r>
        <w:rPr>
          <w:color w:val="003CA0"/>
          <w:sz w:val="12"/>
        </w:rPr>
        <w:t xml:space="preserve"> | rel. Joaquim Barbosa</w:t>
      </w:r>
    </w:p>
    <w:p>
      <w:pPr>
        <w:ind w:left="288"/>
      </w:pPr>
      <w:r>
        <w:rPr>
          <w:color w:val="1E1E1E"/>
          <w:sz w:val="18"/>
        </w:rPr>
        <w:t>A orientação firmada pelo STF rechaça a aplicação de sanção política em matéria tributária. Contudo, para se caracterizar como sanção política, a norma extraída da interpretação do art. 2º, II, do DL 1.593/1977 deve atentar contra os seguintes parâmetros: (1) relevância do valor dos créditos tributários em aberto, cujo não pagamento implica a restrição ao funcionamento da empresa; (2) manutenção proporcional e razoável do devido processo legal de controle do ato de aplicação da penalidade; e (3) manutenção proporcional e razoável do devido processo legal de controle da validade dos créditos tr</w:t>
      </w:r>
    </w:p>
    <w:p>
      <w:pPr>
        <w:ind w:left="288"/>
      </w:pPr>
      <w:r>
        <w:rPr>
          <w:b/>
          <w:color w:val="003CA0"/>
          <w:sz w:val="16"/>
        </w:rPr>
        <w:t>[RE 550.769, rel. min. Joaquim Barbosa, j. 22-5-2013, P, DJE de 3-4-2014.]</w:t>
      </w:r>
    </w:p>
    <w:p>
      <w:pPr>
        <w:ind w:left="288"/>
      </w:pPr>
      <w:r>
        <w:rPr>
          <w:color w:val="8C8C8C"/>
          <w:sz w:val="12"/>
        </w:rPr>
        <w:t>cf-art-5-inc-L</w:t>
      </w:r>
      <w:r>
        <w:rPr>
          <w:color w:val="003CA0"/>
          <w:sz w:val="12"/>
        </w:rPr>
        <w:t xml:space="preserve"> | ADI 173</w:t>
      </w:r>
      <w:r>
        <w:rPr>
          <w:color w:val="003CA0"/>
          <w:sz w:val="12"/>
        </w:rPr>
        <w:t xml:space="preserve"> | rel. Joaquim Barbosa</w:t>
      </w:r>
    </w:p>
    <w:p>
      <w:pPr>
        <w:ind w:left="288"/>
      </w:pPr>
      <w:r>
        <w:rPr>
          <w:color w:val="1E1E1E"/>
          <w:sz w:val="18"/>
        </w:rPr>
        <w:t>Vide ADI 173 e ADI 394, rel. min. Joaquim Barbosa, j. 25-9-2008, P, DJE de 20-3-2009 Doutrina e jurisprudência são unânimes na exigência de que a cassação ou revogação dos atos administrativos benéficos sejam precedidas da oitiva do interessado, em atenção aos princípios constitucionais do contraditório e da ampla defesa, corolários da cláusula do devido processo legal. Contudo, na hipótese em análise, inexiste ato administrativo concessivo do auxílio-alimentação. Ao contrário, a impetrante foi buscar no Poder Judiciário provimento que lhe reconhecesse o direito à percepção da mencionada verba</w:t>
      </w:r>
    </w:p>
    <w:p>
      <w:pPr>
        <w:ind w:left="288"/>
      </w:pPr>
      <w:r>
        <w:rPr>
          <w:b/>
          <w:color w:val="003CA0"/>
          <w:sz w:val="16"/>
        </w:rPr>
        <w:t>[MS 29.247, voto do min. Marco Aurélio, j. 20-11-2012, 1ª T, DJE de 25-2-2013.]</w:t>
      </w:r>
    </w:p>
    <w:p>
      <w:pPr>
        <w:ind w:left="288"/>
      </w:pPr>
      <w:r>
        <w:rPr>
          <w:color w:val="8C8C8C"/>
          <w:sz w:val="12"/>
        </w:rPr>
        <w:t>cf-art-5-inc-L</w:t>
      </w:r>
      <w:r>
        <w:rPr>
          <w:color w:val="003CA0"/>
          <w:sz w:val="12"/>
        </w:rPr>
        <w:t xml:space="preserve"> | MS 30.799</w:t>
      </w:r>
      <w:r>
        <w:rPr>
          <w:color w:val="003CA0"/>
          <w:sz w:val="12"/>
        </w:rPr>
        <w:t xml:space="preserve"> | rel. Cármen Lúcia</w:t>
      </w:r>
    </w:p>
    <w:p>
      <w:pPr>
        <w:ind w:left="288"/>
      </w:pPr>
      <w:r>
        <w:rPr>
          <w:color w:val="1E1E1E"/>
          <w:sz w:val="18"/>
        </w:rPr>
        <w:t>TCU. Suspensão de pensão concedida com base em lei de anistia por presunção de ilegalidade, sem prévio exame do ato de concessão. Contrariedade ao princípio do devido processo legal.</w:t>
      </w:r>
    </w:p>
    <w:p>
      <w:pPr>
        <w:ind w:left="288"/>
      </w:pPr>
      <w:r>
        <w:rPr>
          <w:b/>
          <w:color w:val="003CA0"/>
          <w:sz w:val="16"/>
        </w:rPr>
        <w:t>[MS 30.799, rel. min. Cármen Lúcia, j. 2-10-2012, 2ª T, DJE de 9-11-2012.]</w:t>
      </w:r>
    </w:p>
    <w:p>
      <w:pPr>
        <w:ind w:left="288"/>
      </w:pPr>
      <w:r>
        <w:rPr>
          <w:color w:val="8C8C8C"/>
          <w:sz w:val="12"/>
        </w:rPr>
        <w:t>cf-art-5-inc-L</w:t>
      </w:r>
      <w:r>
        <w:rPr>
          <w:color w:val="003CA0"/>
          <w:sz w:val="12"/>
        </w:rPr>
        <w:t xml:space="preserve"> | RMS 28.047</w:t>
      </w:r>
      <w:r>
        <w:rPr>
          <w:color w:val="003CA0"/>
          <w:sz w:val="12"/>
        </w:rPr>
        <w:t xml:space="preserve"> | rel. Ricardo Lewandowski</w:t>
      </w:r>
    </w:p>
    <w:p>
      <w:pPr>
        <w:ind w:left="288"/>
      </w:pPr>
      <w:r>
        <w:rPr>
          <w:color w:val="1E1E1E"/>
          <w:sz w:val="18"/>
        </w:rPr>
        <w:t>Processo administrativo disciplinar. (...) Nada impede que a autoridade competente para a prática de um ato motive-o mediante remissão aos fundamentos de parecer ou relatório conclusivo elaborado por autoridade de menor hierarquia.</w:t>
      </w:r>
    </w:p>
    <w:p>
      <w:pPr>
        <w:ind w:left="288"/>
      </w:pPr>
      <w:r>
        <w:rPr>
          <w:b/>
          <w:color w:val="003CA0"/>
          <w:sz w:val="16"/>
        </w:rPr>
        <w:t>[RMS 28.047, rel. min. Ricardo Lewandowski, j. 6-12-2011, 2ª T, DJE de 19-12-2011.]</w:t>
      </w:r>
    </w:p>
    <w:p>
      <w:pPr>
        <w:ind w:left="288"/>
      </w:pPr>
      <w:r>
        <w:rPr>
          <w:color w:val="8C8C8C"/>
          <w:sz w:val="12"/>
        </w:rPr>
        <w:t>cf-art-5-inc-L</w:t>
      </w:r>
      <w:r>
        <w:rPr>
          <w:color w:val="003CA0"/>
          <w:sz w:val="12"/>
        </w:rPr>
        <w:t xml:space="preserve"> | HC 108.037</w:t>
      </w:r>
      <w:r>
        <w:rPr>
          <w:color w:val="003CA0"/>
          <w:sz w:val="12"/>
        </w:rPr>
        <w:t xml:space="preserve"> | rel. Marco Aurélio</w:t>
      </w:r>
    </w:p>
    <w:p>
      <w:pPr>
        <w:ind w:left="288"/>
      </w:pPr>
      <w:r>
        <w:rPr>
          <w:color w:val="1E1E1E"/>
          <w:sz w:val="18"/>
        </w:rPr>
        <w:t>Crime tributário. Processo administrativo. Persecução criminal. Necessidade. Caso a caso, é preciso perquirir a necessidade de esgotamento do processo administrativo-fiscal para iniciar-se a persecução criminal. Vale notar que, no tocante aos crimes tributários, a ordem jurídica constitucional não prevê a fase administrativa para ter-se a judicialização. Crime tributário. Justa causa. Surge a configurar a existência de justa causa situação concreta em que o Ministério Público haja atuado a partir de provocação da Receita Federal tendo em conta auto de infração relativa à sonegação de informaçõ</w:t>
      </w:r>
    </w:p>
    <w:p>
      <w:pPr>
        <w:ind w:left="288"/>
      </w:pPr>
      <w:r>
        <w:rPr>
          <w:b/>
          <w:color w:val="003CA0"/>
          <w:sz w:val="16"/>
        </w:rPr>
        <w:t>[HC 108.037, rel. min. Marco Aurélio, j. 29-11-2011, 1ª T, DJE de 1º-2-2012.]</w:t>
      </w:r>
    </w:p>
    <w:p>
      <w:pPr>
        <w:ind w:left="288"/>
      </w:pPr>
      <w:r>
        <w:rPr>
          <w:color w:val="8C8C8C"/>
          <w:sz w:val="12"/>
        </w:rPr>
        <w:t>cf-art-5-inc-L</w:t>
      </w:r>
      <w:r>
        <w:rPr>
          <w:color w:val="003CA0"/>
          <w:sz w:val="12"/>
        </w:rPr>
        <w:t xml:space="preserve"> | HC 101.900</w:t>
      </w:r>
      <w:r>
        <w:rPr>
          <w:color w:val="003CA0"/>
          <w:sz w:val="12"/>
        </w:rPr>
        <w:t xml:space="preserve"> | rel. Celso de Mello</w:t>
      </w:r>
    </w:p>
    <w:p>
      <w:pPr>
        <w:ind w:left="288"/>
      </w:pPr>
      <w:r>
        <w:rPr>
          <w:color w:val="1E1E1E"/>
          <w:sz w:val="18"/>
        </w:rPr>
        <w:t>Vide HC 101.900, rel. min. Celso de Mello, j. 21-9-2010, 2ª T, DJE de 11-3-2014 Abrangência da cláusula constitucional do due process of law, que compreende, entre as diversas prerrogativas de ordem jurídica que a compõem, o direito à prova. O fato de o poder público considerar suficientes os elementos de informação produzidos no procedimento administrativo não legitima nem autoriza a adoção, pelo órgão estatal competente, de medidas que, tomadas em detrimento daquele que sofre a persecução administrativa, culminem por frustrar a possibilidade de o próprio interessado produzir as provas que re</w:t>
      </w:r>
    </w:p>
    <w:p>
      <w:pPr>
        <w:ind w:left="288"/>
      </w:pPr>
      <w:r>
        <w:rPr>
          <w:b/>
          <w:color w:val="003CA0"/>
          <w:sz w:val="16"/>
        </w:rPr>
        <w:t>[RMS 28.517, rel. min. Celso de Mello, j. 1º-8-2011, dec. monocrática, DJE de 4-8-2011.]</w:t>
      </w:r>
    </w:p>
    <w:p>
      <w:pPr>
        <w:ind w:left="288"/>
      </w:pPr>
      <w:r>
        <w:rPr>
          <w:color w:val="8C8C8C"/>
          <w:sz w:val="12"/>
        </w:rPr>
        <w:t>cf-art-5-inc-L</w:t>
      </w:r>
      <w:r>
        <w:rPr>
          <w:color w:val="003CA0"/>
          <w:sz w:val="12"/>
        </w:rPr>
        <w:t xml:space="preserve"> | AI 541.949</w:t>
      </w:r>
      <w:r>
        <w:rPr>
          <w:color w:val="003CA0"/>
          <w:sz w:val="12"/>
        </w:rPr>
        <w:t xml:space="preserve"> | rel. Marco Aurélio</w:t>
      </w:r>
    </w:p>
    <w:p>
      <w:pPr>
        <w:ind w:left="288"/>
      </w:pPr>
      <w:r>
        <w:rPr>
          <w:color w:val="1E1E1E"/>
          <w:sz w:val="18"/>
        </w:rPr>
        <w:t>A alteração de proventos de servidor público somente pode ocorrer oportunizando-se o direito de defesa, ou seja, instaurando-se processo administrativo.</w:t>
      </w:r>
    </w:p>
    <w:p>
      <w:pPr>
        <w:ind w:left="288"/>
      </w:pPr>
      <w:r>
        <w:rPr>
          <w:b/>
          <w:color w:val="003CA0"/>
          <w:sz w:val="16"/>
        </w:rPr>
        <w:t>[AI 541.949 AgR, rel. min. Marco Aurélio, j. 13-4-2011, 1ª T, DJE de 18-5-2011.]</w:t>
      </w:r>
    </w:p>
    <w:p>
      <w:pPr>
        <w:ind w:left="288"/>
      </w:pPr>
      <w:r>
        <w:rPr>
          <w:color w:val="8C8C8C"/>
          <w:sz w:val="12"/>
        </w:rPr>
        <w:t>cf-art-5-inc-L</w:t>
      </w:r>
      <w:r>
        <w:rPr>
          <w:color w:val="003CA0"/>
          <w:sz w:val="12"/>
        </w:rPr>
        <w:t xml:space="preserve"> | RE 501.869</w:t>
      </w:r>
      <w:r>
        <w:rPr>
          <w:color w:val="003CA0"/>
          <w:sz w:val="12"/>
        </w:rPr>
        <w:t xml:space="preserve"> | rel. Eros Grau</w:t>
      </w:r>
    </w:p>
    <w:p>
      <w:pPr>
        <w:ind w:left="288"/>
      </w:pPr>
      <w:r>
        <w:rPr>
          <w:color w:val="1E1E1E"/>
          <w:sz w:val="18"/>
        </w:rPr>
        <w:t>Vide RE 501.869 AgR, rel. min. Eros Grau, j. 23-9-2008, 2ª T, DJE de 31-10-2008 Não é cabível, em sede de inquérito, encaminhar à Receita Federal informações bancárias obtidas por meio de requisição judicial quando o delito investigado for de natureza diversa daquele apurado pelo fisco. Ademais, a autoridade fiscal, em sede de procedimento administrativo, pode utilizar-se da faculdade insculpida no art. 6º da LC 105/2001, do que resulta desnecessário o compartilhamento in casu.</w:t>
      </w:r>
    </w:p>
    <w:p>
      <w:pPr>
        <w:ind w:left="288"/>
      </w:pPr>
      <w:r>
        <w:rPr>
          <w:b/>
          <w:color w:val="003CA0"/>
          <w:sz w:val="16"/>
        </w:rPr>
        <w:t>[Inq 2.593 AgR, rel. min. Ricardo Lewandowski, j. 9-12-2010, P, DJE de 15-2-2011.]</w:t>
      </w:r>
    </w:p>
    <w:p>
      <w:pPr>
        <w:ind w:left="288"/>
      </w:pPr>
      <w:r>
        <w:rPr>
          <w:color w:val="8C8C8C"/>
          <w:sz w:val="12"/>
        </w:rPr>
        <w:t>cf-art-5-inc-L</w:t>
      </w:r>
      <w:r>
        <w:rPr>
          <w:color w:val="003CA0"/>
          <w:sz w:val="12"/>
        </w:rPr>
        <w:t xml:space="preserve"> | AP 470</w:t>
      </w:r>
      <w:r>
        <w:rPr>
          <w:color w:val="003CA0"/>
          <w:sz w:val="12"/>
        </w:rPr>
        <w:t xml:space="preserve"> | rel. Joaquim Barbosa</w:t>
      </w:r>
    </w:p>
    <w:p>
      <w:pPr>
        <w:ind w:left="288"/>
      </w:pPr>
      <w:r>
        <w:rPr>
          <w:color w:val="1E1E1E"/>
          <w:sz w:val="18"/>
        </w:rPr>
        <w:t>A Lei 8.038/1990 é especial em relação ao CPP, alterado pela Lei 11.719/2008. Por conseguinte, as disposições do CPP aplicam-se aos feitos sujeitos ao procedimento previsto na Lei 8.038/1990 apenas subsidiariamente, somente "no que for aplicável" ou "no que couber". Daí por que a modificação legislativa referida pelos acusados em nada altera o procedimento até então observado, uma vez que a fase processual em que deve ocorrer o interrogatório continua expressamente prescrita no art. 7º Lei 8.038/1990, o qual prevê tal ato processual como a próxima etapa depois do recebimento da denúncia (ou qu</w:t>
      </w:r>
    </w:p>
    <w:p>
      <w:pPr>
        <w:ind w:left="288"/>
      </w:pPr>
      <w:r>
        <w:rPr>
          <w:b/>
          <w:color w:val="003CA0"/>
          <w:sz w:val="16"/>
        </w:rPr>
        <w:t>[AP 470 QO-oitava, rel. min. Joaquim Barbosa, j. 7-10-2010, P, DJE de 2-5-2011.]</w:t>
      </w:r>
    </w:p>
    <w:p>
      <w:pPr>
        <w:ind w:left="288"/>
      </w:pPr>
      <w:r>
        <w:rPr>
          <w:color w:val="8C8C8C"/>
          <w:sz w:val="12"/>
        </w:rPr>
        <w:t>cf-art-5-inc-L</w:t>
      </w:r>
      <w:r>
        <w:rPr>
          <w:color w:val="003CA0"/>
          <w:sz w:val="12"/>
        </w:rPr>
        <w:t xml:space="preserve"> | HC 101.900</w:t>
      </w:r>
      <w:r>
        <w:rPr>
          <w:color w:val="003CA0"/>
          <w:sz w:val="12"/>
        </w:rPr>
        <w:t xml:space="preserve"> | rel. Celso de Mello</w:t>
      </w:r>
    </w:p>
    <w:p>
      <w:pPr>
        <w:ind w:left="288"/>
      </w:pPr>
      <w:r>
        <w:rPr>
          <w:color w:val="1E1E1E"/>
          <w:sz w:val="18"/>
        </w:rPr>
        <w:t>Enquanto o crédito tributário não se constituir, definitivamente, em sede administrativa, não se terá por caracterizado, no plano da tipicidade penal, o crime contra a ordem tributária, tal como previsto no art. 1º da Lei 8.137/1990. É que, até então, não havendo sido ainda reconhecida a exigibilidade do crédito tributário (an debeatur) e determinado o respectivo valor (quantum debeatur), estar-se-á diante de conduta absolutamente desvestida de tipicidade penal. A instauração de persecução penal, desse modo, nos crimes contra a ordem tributária definidos no art. 1º da Lei 8.137/1990 somente se</w:t>
      </w:r>
    </w:p>
    <w:p>
      <w:pPr>
        <w:ind w:left="288"/>
      </w:pPr>
      <w:r>
        <w:rPr>
          <w:b/>
          <w:color w:val="003CA0"/>
          <w:sz w:val="16"/>
        </w:rPr>
        <w:t>[HC 101.900, rel. min. Celso de Mello, j. 21-9-2010, 2ª T, DJE de 11-3-2014.]</w:t>
      </w:r>
    </w:p>
    <w:p>
      <w:pPr>
        <w:ind w:left="288"/>
      </w:pPr>
      <w:r>
        <w:rPr>
          <w:color w:val="8C8C8C"/>
          <w:sz w:val="12"/>
        </w:rPr>
        <w:t>cf-art-5-inc-L</w:t>
      </w:r>
      <w:r>
        <w:rPr>
          <w:color w:val="003CA0"/>
          <w:sz w:val="12"/>
        </w:rPr>
        <w:t xml:space="preserve"> | HC 108.037</w:t>
      </w:r>
      <w:r>
        <w:rPr>
          <w:color w:val="003CA0"/>
          <w:sz w:val="12"/>
        </w:rPr>
        <w:t xml:space="preserve"> | rel. Marco Aurélio</w:t>
      </w:r>
    </w:p>
    <w:p>
      <w:pPr>
        <w:ind w:left="288"/>
      </w:pPr>
      <w:r>
        <w:rPr>
          <w:color w:val="1E1E1E"/>
          <w:sz w:val="18"/>
        </w:rPr>
        <w:t>Vide HC 108.037, rel. min. Marco Aurélio, j. 29-11-2011, 1ª T, DJE de 1º-2-2012 Não há violação do devido processo legal se o tribunal de origem considera argumentação posta em contrarrazões de apelação, ainda que sobre ela nada tenha dito a sentença recorrida.</w:t>
      </w:r>
    </w:p>
    <w:p>
      <w:pPr>
        <w:ind w:left="288"/>
      </w:pPr>
      <w:r>
        <w:rPr>
          <w:b/>
          <w:color w:val="003CA0"/>
          <w:sz w:val="16"/>
        </w:rPr>
        <w:t>[RE 495.370 AgR, rel. min. Joaquim Barbosa, j. 10-8-2010, 2ª T, DJE de 1º-10-2010.]</w:t>
      </w:r>
    </w:p>
    <w:p>
      <w:pPr>
        <w:ind w:left="288"/>
      </w:pPr>
      <w:r>
        <w:rPr>
          <w:color w:val="8C8C8C"/>
          <w:sz w:val="12"/>
        </w:rPr>
        <w:t>cf-art-5-inc-L</w:t>
      </w:r>
      <w:r>
        <w:rPr>
          <w:color w:val="003CA0"/>
          <w:sz w:val="12"/>
        </w:rPr>
        <w:t xml:space="preserve"> | HC 102.094</w:t>
      </w:r>
      <w:r>
        <w:rPr>
          <w:color w:val="003CA0"/>
          <w:sz w:val="12"/>
        </w:rPr>
        <w:t xml:space="preserve"> | rel. Celso de Mello</w:t>
      </w:r>
    </w:p>
    <w:p>
      <w:pPr>
        <w:ind w:left="288"/>
      </w:pPr>
      <w:r>
        <w:rPr>
          <w:color w:val="1E1E1E"/>
          <w:sz w:val="18"/>
        </w:rPr>
        <w:t>Receptação simples (dolo direto) e receptação qualificada (dolo indireto eventual). Cominação de pena mais leve para o crime mais grave (CP, art. 180, caput) e pena mais severa para o crime menos grave (CP, art. 180, § 1º). (...) O exame da adequação de determinado ato estatal ao princípio da proporcionalidade, exatamente por viabilizar o controle de sua razoabilidade, com fundamento no art. 5º, LIV, da Carta Política, inclui-se, por isso mesmo, no âmbito da própria fiscalização de constitucionalidade das prescrições normativas emanadas do poder público. Esse entendimento é prestigiado pela ju</w:t>
      </w:r>
    </w:p>
    <w:p>
      <w:pPr>
        <w:ind w:left="288"/>
      </w:pPr>
      <w:r>
        <w:rPr>
          <w:b/>
          <w:color w:val="003CA0"/>
          <w:sz w:val="16"/>
        </w:rPr>
        <w:t>[HC 102.094 MC, rel. min. Celso de Mello, j. 1º-7-2010, dec. monocrática, DJE de 2-8-2010.]</w:t>
      </w:r>
    </w:p>
    <w:p>
      <w:pPr>
        <w:ind w:left="288"/>
      </w:pPr>
      <w:r>
        <w:rPr>
          <w:color w:val="8C8C8C"/>
          <w:sz w:val="12"/>
        </w:rPr>
        <w:t>cf-art-5-inc-L</w:t>
      </w:r>
      <w:r>
        <w:rPr>
          <w:color w:val="003CA0"/>
          <w:sz w:val="12"/>
        </w:rPr>
        <w:t xml:space="preserve"> | HC 96.328</w:t>
      </w:r>
      <w:r>
        <w:rPr>
          <w:color w:val="003CA0"/>
          <w:sz w:val="12"/>
        </w:rPr>
        <w:t xml:space="preserve"> | rel. Cezar Peluso</w:t>
      </w:r>
    </w:p>
    <w:p>
      <w:pPr>
        <w:ind w:left="288"/>
      </w:pPr>
      <w:r>
        <w:rPr>
          <w:color w:val="1E1E1E"/>
          <w:sz w:val="18"/>
        </w:rPr>
        <w:t>O regime disciplinar diferenciado é sanção disciplinar, e sua aplicação depende de prévia instauração de procedimento administrativo para apuração dos fatos imputados ao custodiado.</w:t>
      </w:r>
    </w:p>
    <w:p>
      <w:pPr>
        <w:ind w:left="288"/>
      </w:pPr>
      <w:r>
        <w:rPr>
          <w:b/>
          <w:color w:val="003CA0"/>
          <w:sz w:val="16"/>
        </w:rPr>
        <w:t>[HC 96.328, rel. min. Cezar Peluso, j. 2-3-2010, 2ª T, DJE de 9-4-2010.]</w:t>
      </w:r>
    </w:p>
    <w:p>
      <w:pPr>
        <w:ind w:left="288"/>
      </w:pPr>
      <w:r>
        <w:rPr>
          <w:color w:val="8C8C8C"/>
          <w:sz w:val="12"/>
        </w:rPr>
        <w:t>cf-art-5-inc-L</w:t>
      </w:r>
      <w:r>
        <w:rPr>
          <w:color w:val="003CA0"/>
          <w:sz w:val="12"/>
        </w:rPr>
        <w:t xml:space="preserve"> | HC 96.864</w:t>
      </w:r>
      <w:r>
        <w:rPr>
          <w:color w:val="003CA0"/>
          <w:sz w:val="12"/>
        </w:rPr>
        <w:t xml:space="preserve"> | rel. Cármen Lúcia</w:t>
      </w:r>
    </w:p>
    <w:p>
      <w:pPr>
        <w:ind w:left="288"/>
      </w:pPr>
      <w:r>
        <w:rPr>
          <w:color w:val="1E1E1E"/>
          <w:sz w:val="18"/>
        </w:rPr>
        <w:t>O simples fato de olvidar-se elemento próprio ao devido processo legal gera a presunção de prejuízo, que, depois de prolatada decisão condenatória, fica certificado mediante instrumento público formalizado pelo Judiciário.</w:t>
      </w:r>
    </w:p>
    <w:p>
      <w:pPr>
        <w:ind w:left="288"/>
      </w:pPr>
      <w:r>
        <w:rPr>
          <w:b/>
          <w:color w:val="003CA0"/>
          <w:sz w:val="16"/>
        </w:rPr>
        <w:t>[HC 96.864, rel. min. Cármen Lúcia, red. do ac. min. Marco Aurélio, j. 20-10-2009, 1ª T, DJE de 18-12-2009.]</w:t>
      </w:r>
    </w:p>
    <w:p>
      <w:pPr>
        <w:ind w:left="288"/>
      </w:pPr>
      <w:r>
        <w:rPr>
          <w:color w:val="8C8C8C"/>
          <w:sz w:val="12"/>
        </w:rPr>
        <w:t>cf-art-5-inc-L</w:t>
      </w:r>
      <w:r>
        <w:rPr>
          <w:color w:val="003CA0"/>
          <w:sz w:val="12"/>
        </w:rPr>
        <w:t xml:space="preserve"> | RE 591.604</w:t>
      </w:r>
      <w:r>
        <w:rPr>
          <w:color w:val="003CA0"/>
          <w:sz w:val="12"/>
        </w:rPr>
        <w:t xml:space="preserve"> | rel. Cezar Peluso</w:t>
      </w:r>
    </w:p>
    <w:p>
      <w:pPr>
        <w:ind w:left="288"/>
      </w:pPr>
      <w:r>
        <w:rPr>
          <w:color w:val="1E1E1E"/>
          <w:sz w:val="18"/>
        </w:rPr>
        <w:t>Deve ser anulado julgamento realizado por engano, em momento posterior à homologação de requerimento de desistência.</w:t>
      </w:r>
    </w:p>
    <w:p>
      <w:pPr>
        <w:ind w:left="288"/>
      </w:pPr>
      <w:r>
        <w:rPr>
          <w:b/>
          <w:color w:val="003CA0"/>
          <w:sz w:val="16"/>
        </w:rPr>
        <w:t>[RE 591.604 AgR-ED-QO, rel. min. Cezar Peluso, j. 6-10-2009, 2ª T, DJE de 20-11-2009.]</w:t>
      </w:r>
    </w:p>
    <w:p>
      <w:pPr>
        <w:ind w:left="288"/>
      </w:pPr>
      <w:r>
        <w:rPr>
          <w:color w:val="8C8C8C"/>
          <w:sz w:val="12"/>
        </w:rPr>
        <w:t>cf-art-5-inc-L</w:t>
      </w:r>
      <w:r>
        <w:rPr>
          <w:color w:val="003CA0"/>
          <w:sz w:val="12"/>
        </w:rPr>
        <w:t xml:space="preserve"> | RHC 90.532</w:t>
      </w:r>
      <w:r>
        <w:rPr>
          <w:color w:val="003CA0"/>
          <w:sz w:val="12"/>
        </w:rPr>
        <w:t xml:space="preserve"> | rel. Joaquim Barbosa</w:t>
      </w:r>
    </w:p>
    <w:p>
      <w:pPr>
        <w:ind w:left="288"/>
      </w:pPr>
      <w:r>
        <w:rPr>
          <w:color w:val="1E1E1E"/>
          <w:sz w:val="18"/>
        </w:rPr>
        <w:t>Visando os embargos declaratórios à modificação do provimento embargado, impõe-se, considerado o devido processo legal e a ampla defesa, a ciência da parte contrária para, querendo, apresentar contrarrazões. O tipo penal previsto no art. 2º, I, da Lei 8.137/1990 é crime formal e, portanto, independe da consumação do resultado naturalístico correspondente à auferição de vantagem ilícita em desfavor do Fisco, bastando a omissão de informações ou a prestação de declaração falsa, não demandando a efetiva percepção material do ardil aplicado. Dispensável, por conseguinte, a conclusão de procediment</w:t>
      </w:r>
    </w:p>
    <w:p>
      <w:pPr>
        <w:ind w:left="288"/>
      </w:pPr>
      <w:r>
        <w:rPr>
          <w:b/>
          <w:color w:val="003CA0"/>
          <w:sz w:val="16"/>
        </w:rPr>
        <w:t>[RHC 90.532 ED, rel. min. Joaquim Barbosa, j. 23-9-2009, P, DJE de 6-11-2009.]</w:t>
      </w:r>
    </w:p>
    <w:p>
      <w:pPr>
        <w:ind w:left="288"/>
      </w:pPr>
      <w:r>
        <w:rPr>
          <w:color w:val="8C8C8C"/>
          <w:sz w:val="12"/>
        </w:rPr>
        <w:t>cf-art-5-inc-L</w:t>
      </w:r>
      <w:r>
        <w:rPr>
          <w:color w:val="003CA0"/>
          <w:sz w:val="12"/>
        </w:rPr>
        <w:t xml:space="preserve"> | AC 2.403</w:t>
      </w:r>
      <w:r>
        <w:rPr>
          <w:color w:val="003CA0"/>
          <w:sz w:val="12"/>
        </w:rPr>
        <w:t xml:space="preserve"> | rel. Celso de Mello</w:t>
      </w:r>
    </w:p>
    <w:p>
      <w:pPr>
        <w:ind w:left="288"/>
      </w:pPr>
      <w:r>
        <w:rPr>
          <w:color w:val="1E1E1E"/>
          <w:sz w:val="18"/>
        </w:rPr>
        <w:t>Recusa de prestação de aval pela União Federal e negativa de autorização, por parte da Secretaria do Tesouro Nacional (...). Obstáculos que impedem o Distrito Federal de celebrar operação de crédito com instituição financeira internacional. Sistema Siafi. Inclusão nesse sistema de cadastro nacional da Câmara Legislativa e órgãos integrantes do Distrito Federal. (...) A Constituição da República estabelece, em seu art. 5º, LIV e LV, considerada a essencialidade da garantia constitucional da plenitude de defesa e do contraditório, que ninguém pode ser privado de sua liberdade, de seus bens ou de</w:t>
      </w:r>
    </w:p>
    <w:p>
      <w:pPr>
        <w:ind w:left="288"/>
      </w:pPr>
      <w:r>
        <w:rPr>
          <w:b/>
          <w:color w:val="003CA0"/>
          <w:sz w:val="16"/>
        </w:rPr>
        <w:t>[AC 2.403 MC-ED-REF, rel. min. Celso de Mello, j. 20-8-2009, P, DJE de 18-9-2009.]</w:t>
      </w:r>
    </w:p>
    <w:p>
      <w:pPr>
        <w:ind w:left="288"/>
      </w:pPr>
      <w:r>
        <w:rPr>
          <w:color w:val="8C8C8C"/>
          <w:sz w:val="12"/>
        </w:rPr>
        <w:t>cf-art-5-inc-L</w:t>
      </w:r>
      <w:r>
        <w:rPr>
          <w:color w:val="003CA0"/>
          <w:sz w:val="12"/>
        </w:rPr>
        <w:t xml:space="preserve"> | HC 84.487</w:t>
      </w:r>
      <w:r>
        <w:rPr>
          <w:color w:val="003CA0"/>
          <w:sz w:val="12"/>
        </w:rPr>
        <w:t xml:space="preserve"> | rel. Cezar Peluso</w:t>
      </w:r>
    </w:p>
    <w:p>
      <w:pPr>
        <w:ind w:left="288"/>
      </w:pPr>
      <w:r>
        <w:rPr>
          <w:color w:val="1E1E1E"/>
          <w:sz w:val="18"/>
        </w:rPr>
        <w:t>A perfeição dos tipos de crimes comuns contra a previdência social independe da definição de prévio procedimento administrativo.</w:t>
      </w:r>
    </w:p>
    <w:p>
      <w:pPr>
        <w:ind w:left="288"/>
      </w:pPr>
      <w:r>
        <w:rPr>
          <w:b/>
          <w:color w:val="003CA0"/>
          <w:sz w:val="16"/>
        </w:rPr>
        <w:t>[HC 84.487, rel. min. Cezar Peluso, j. 2-6-2009, 2ª T, DJE de 26-6-2009.]</w:t>
      </w:r>
    </w:p>
    <w:p>
      <w:pPr>
        <w:ind w:left="288"/>
      </w:pPr>
      <w:r>
        <w:rPr>
          <w:color w:val="8C8C8C"/>
          <w:sz w:val="12"/>
        </w:rPr>
        <w:t>cf-art-5-inc-L</w:t>
      </w:r>
      <w:r>
        <w:rPr>
          <w:color w:val="003CA0"/>
          <w:sz w:val="12"/>
        </w:rPr>
        <w:t xml:space="preserve"> | HC 93.628</w:t>
      </w:r>
      <w:r>
        <w:rPr>
          <w:color w:val="003CA0"/>
          <w:sz w:val="12"/>
        </w:rPr>
        <w:t xml:space="preserve"> | rel. Ricardo Lewandowski</w:t>
      </w:r>
    </w:p>
    <w:p>
      <w:pPr>
        <w:ind w:left="288"/>
      </w:pPr>
      <w:r>
        <w:rPr>
          <w:color w:val="1E1E1E"/>
          <w:sz w:val="18"/>
        </w:rPr>
        <w:t>Em crimes societários, a denúncia deve pormenorizar a ação dos denunciados no quanto possível. Não impede a ampla defesa, entretanto, quando se evidencia o vínculo dos denunciados com a ação da empresa denunciada.</w:t>
      </w:r>
    </w:p>
    <w:p>
      <w:pPr>
        <w:ind w:left="288"/>
      </w:pPr>
      <w:r>
        <w:rPr>
          <w:b/>
          <w:color w:val="003CA0"/>
          <w:sz w:val="16"/>
        </w:rPr>
        <w:t>[HC 93.628, rel. min. Ricardo Lewandowski, j. 31-3-2009, 1ª T, DJE de 17-4-2009.]</w:t>
      </w:r>
    </w:p>
    <w:p>
      <w:pPr>
        <w:ind w:left="288"/>
      </w:pPr>
      <w:r>
        <w:rPr>
          <w:color w:val="8C8C8C"/>
          <w:sz w:val="12"/>
        </w:rPr>
        <w:t>cf-art-5-inc-L</w:t>
      </w:r>
      <w:r>
        <w:rPr>
          <w:color w:val="003CA0"/>
          <w:sz w:val="12"/>
        </w:rPr>
        <w:t xml:space="preserve"> | HC 101.754</w:t>
      </w:r>
      <w:r>
        <w:rPr>
          <w:color w:val="003CA0"/>
          <w:sz w:val="12"/>
        </w:rPr>
        <w:t xml:space="preserve"> | rel. Ellen Gracie</w:t>
      </w:r>
    </w:p>
    <w:p>
      <w:pPr>
        <w:ind w:left="288"/>
      </w:pPr>
      <w:r>
        <w:rPr>
          <w:color w:val="1E1E1E"/>
          <w:sz w:val="18"/>
        </w:rPr>
        <w:t xml:space="preserve">= HC 101.754, rel. min. Ellen Gracie, j. 8-6-2010, 2ª T, DJE de 25-6-2010 Vide HC 94.670, rel. min. Cármen Lúcia, j. 21-10-2008, P, DJE de 24-4-2009 Vide HC 86.879, rel. min. Joaquim Barbosa, red. do ac. min. Gilmar Mendes, j. 21-2-2006, 2ª T, DJ de 16-6-2006 Abstraídos os demais fundamentos do pedido, estou em que se patenteia, no caso, quebra da chamada imparcialidade objetiva, de que deve, como cláusula elementar do princípio constitucional do justo processo da lei (due process of law), revestir-se, na situação de cada causa, o magistrado competente para decidi-la. E, por implicar nulidade </w:t>
      </w:r>
    </w:p>
    <w:p>
      <w:pPr>
        <w:ind w:left="288"/>
      </w:pPr>
      <w:r>
        <w:rPr>
          <w:b/>
          <w:color w:val="003CA0"/>
          <w:sz w:val="16"/>
        </w:rPr>
        <w:t>[HC 94.641, rel. min. Ellen Gracie, red. do ac. min. Joaquim Barbosa, voto do min. Cezar Peluso, j. 11-11-2008, 2ª T, DJE de 6-3-2009.]</w:t>
      </w:r>
    </w:p>
    <w:p>
      <w:pPr>
        <w:ind w:left="288"/>
      </w:pPr>
      <w:r>
        <w:rPr>
          <w:color w:val="8C8C8C"/>
          <w:sz w:val="12"/>
        </w:rPr>
        <w:t>cf-art-5-inc-L</w:t>
      </w:r>
      <w:r>
        <w:rPr>
          <w:color w:val="003CA0"/>
          <w:sz w:val="12"/>
        </w:rPr>
        <w:t xml:space="preserve"> | MS 25.962</w:t>
      </w:r>
      <w:r>
        <w:rPr>
          <w:color w:val="003CA0"/>
          <w:sz w:val="12"/>
        </w:rPr>
        <w:t xml:space="preserve"> | rel. Marco Aurélio</w:t>
      </w:r>
    </w:p>
    <w:p>
      <w:pPr>
        <w:ind w:left="288"/>
      </w:pPr>
      <w:r>
        <w:rPr>
          <w:color w:val="1E1E1E"/>
          <w:sz w:val="18"/>
        </w:rPr>
        <w:t>CNJ. Devido processo legal. Ciência ficta. A espécie de conhecimento ficto, presente publicação ou edital fixado em setor do órgão, pressupõe a ciência do processo em curso, surgindo como regra a comunicação direta. (...) Desconhecida a existência do processo, mostra-se inconstitucional dispositivo do Regimento Interno do CNJ – art. 98 – prevendo a ciência ficta de quem pode ser alcançado por decisão administrativa.</w:t>
      </w:r>
    </w:p>
    <w:p>
      <w:pPr>
        <w:ind w:left="288"/>
      </w:pPr>
      <w:r>
        <w:rPr>
          <w:b/>
          <w:color w:val="003CA0"/>
          <w:sz w:val="16"/>
        </w:rPr>
        <w:t>[MS 25.962, rel. min. Marco Aurélio, j. 23-10-2008, P, DJE de 20-3-2009.]</w:t>
      </w:r>
    </w:p>
    <w:p>
      <w:pPr>
        <w:ind w:left="288"/>
      </w:pPr>
      <w:r>
        <w:rPr>
          <w:color w:val="8C8C8C"/>
          <w:sz w:val="12"/>
        </w:rPr>
        <w:t>cf-art-5-inc-L</w:t>
      </w:r>
      <w:r>
        <w:rPr>
          <w:color w:val="003CA0"/>
          <w:sz w:val="12"/>
        </w:rPr>
        <w:t xml:space="preserve"> | HC 94.670</w:t>
      </w:r>
      <w:r>
        <w:rPr>
          <w:color w:val="003CA0"/>
          <w:sz w:val="12"/>
        </w:rPr>
        <w:t xml:space="preserve"> | rel. Cármen Lúcia</w:t>
      </w:r>
    </w:p>
    <w:p>
      <w:pPr>
        <w:ind w:left="288"/>
      </w:pPr>
      <w:r>
        <w:rPr>
          <w:color w:val="1E1E1E"/>
          <w:sz w:val="18"/>
        </w:rPr>
        <w:t>Crime societário. Não há falar em inépcia da inicial quando está suficientemente indicada a responsabilidade dos denunciados pela condução da sociedade e esta condição não foi afastada, de plano, pelo ato constitutivo da pessoa jurídica. Embora a jurisprudência do STF se encaminhe no sentido de que, em relação aos delitos societários, a denúncia deve conter, ainda que minimamente, a descrição individualizada da conduta supostamente praticada por cada um dos denunciados, a observância do que disposto no art. 41 do CPP deve ser examinada caso a caso, sendo também deste Supremo Tribunal a orienta</w:t>
      </w:r>
    </w:p>
    <w:p>
      <w:pPr>
        <w:ind w:left="288"/>
      </w:pPr>
      <w:r>
        <w:rPr>
          <w:b/>
          <w:color w:val="003CA0"/>
          <w:sz w:val="16"/>
        </w:rPr>
        <w:t>[HC 94.670, rel. min. Cármen Lúcia, j. 21-10-2008, P, DJE de 24-4-2009.]</w:t>
      </w:r>
    </w:p>
    <w:p>
      <w:pPr>
        <w:ind w:left="288"/>
      </w:pPr>
      <w:r>
        <w:rPr>
          <w:color w:val="8C8C8C"/>
          <w:sz w:val="12"/>
        </w:rPr>
        <w:t>cf-art-5-inc-L</w:t>
      </w:r>
      <w:r>
        <w:rPr>
          <w:color w:val="003CA0"/>
          <w:sz w:val="12"/>
        </w:rPr>
        <w:t xml:space="preserve"> | HC 97.259</w:t>
      </w:r>
      <w:r>
        <w:rPr>
          <w:color w:val="003CA0"/>
          <w:sz w:val="12"/>
        </w:rPr>
        <w:t xml:space="preserve"> | rel. Ricardo Lewandowski</w:t>
      </w:r>
    </w:p>
    <w:p>
      <w:pPr>
        <w:ind w:left="288"/>
      </w:pPr>
      <w:r>
        <w:rPr>
          <w:color w:val="1E1E1E"/>
          <w:sz w:val="18"/>
        </w:rPr>
        <w:t>= HC 97.259, rel. min. Ricardo Lewandowski, j. 15-12-2009, 1ª T, DJE de 26-2-2010 Vide HC 105.953, rel. min. Celso de Mello, j. 18-2-2015, dec. monocrática, DJE de 23-2-2015 Recurso. Pauta. Adiamento. Regra especial. Se do regimento interno do tribunal constar a possibilidade de o recurso ser julgado nas duas sessões subsequentes àquela referida na pauta, ocorrendo o exame dentro do aludido intervalo, é de se concluir pela observância da norma de regência.</w:t>
      </w:r>
    </w:p>
    <w:p>
      <w:pPr>
        <w:ind w:left="288"/>
      </w:pPr>
      <w:r>
        <w:rPr>
          <w:b/>
          <w:color w:val="003CA0"/>
          <w:sz w:val="16"/>
        </w:rPr>
        <w:t>[HC 95.682, rel. min. Marco Aurélio, j. 14-10-2008, 1ª T, DJE de 19-12-2008.]</w:t>
      </w:r>
    </w:p>
    <w:p>
      <w:pPr>
        <w:ind w:left="288"/>
      </w:pPr>
      <w:r>
        <w:rPr>
          <w:color w:val="8C8C8C"/>
          <w:sz w:val="12"/>
        </w:rPr>
        <w:t>cf-art-5-inc-L</w:t>
      </w:r>
      <w:r>
        <w:rPr>
          <w:color w:val="003CA0"/>
          <w:sz w:val="12"/>
        </w:rPr>
        <w:t xml:space="preserve"> | RE 552.598</w:t>
      </w:r>
      <w:r>
        <w:rPr>
          <w:color w:val="003CA0"/>
          <w:sz w:val="12"/>
        </w:rPr>
        <w:t xml:space="preserve"> | rel. Menezes Direito</w:t>
      </w:r>
    </w:p>
    <w:p>
      <w:pPr>
        <w:ind w:left="288"/>
      </w:pPr>
      <w:r>
        <w:rPr>
          <w:color w:val="1E1E1E"/>
          <w:sz w:val="18"/>
        </w:rPr>
        <w:t>Citação por edital. Inventário. (...) A citação por edital prevista no art. 999, § 1º, do CPC não agride nenhum dispositivo da CF.</w:t>
      </w:r>
    </w:p>
    <w:p>
      <w:pPr>
        <w:ind w:left="288"/>
      </w:pPr>
      <w:r>
        <w:rPr>
          <w:b/>
          <w:color w:val="003CA0"/>
          <w:sz w:val="16"/>
        </w:rPr>
        <w:t>[RE 552.598, rel. min. Menezes Direito, j. 8-10-2008, P, DJE de 21-11-2008.]</w:t>
      </w:r>
    </w:p>
    <w:p>
      <w:pPr>
        <w:ind w:left="288"/>
      </w:pPr>
      <w:r>
        <w:rPr>
          <w:color w:val="8C8C8C"/>
          <w:sz w:val="12"/>
        </w:rPr>
        <w:t>cf-art-5-inc-L</w:t>
      </w:r>
      <w:r>
        <w:rPr>
          <w:color w:val="003CA0"/>
          <w:sz w:val="12"/>
        </w:rPr>
        <w:t xml:space="preserve"> | RE 501.869</w:t>
      </w:r>
      <w:r>
        <w:rPr>
          <w:color w:val="003CA0"/>
          <w:sz w:val="12"/>
        </w:rPr>
        <w:t xml:space="preserve"> | rel. Eros Grau</w:t>
      </w:r>
    </w:p>
    <w:p>
      <w:pPr>
        <w:ind w:left="288"/>
      </w:pPr>
      <w:r>
        <w:rPr>
          <w:color w:val="1E1E1E"/>
          <w:sz w:val="18"/>
        </w:rPr>
        <w:t>O STF fixou jurisprudência no sentido de que é necessária a observância do devido processo legal para a anulação de ato administrativo que tenha repercutido no campo de interesses individuais.</w:t>
      </w:r>
    </w:p>
    <w:p>
      <w:pPr>
        <w:ind w:left="288"/>
      </w:pPr>
      <w:r>
        <w:rPr>
          <w:b/>
          <w:color w:val="003CA0"/>
          <w:sz w:val="16"/>
        </w:rPr>
        <w:t>[RE 501.869 AgR, rel. min. Eros Grau, j. 23-9-2008, 2ª T, DJE de 31-10-2008.]</w:t>
      </w:r>
    </w:p>
    <w:p>
      <w:pPr>
        <w:ind w:left="288"/>
      </w:pPr>
      <w:r>
        <w:rPr>
          <w:color w:val="8C8C8C"/>
          <w:sz w:val="12"/>
        </w:rPr>
        <w:t>cf-art-5-inc-L</w:t>
      </w:r>
      <w:r>
        <w:rPr>
          <w:color w:val="003CA0"/>
          <w:sz w:val="12"/>
        </w:rPr>
        <w:t xml:space="preserve"> | AI 541.949</w:t>
      </w:r>
      <w:r>
        <w:rPr>
          <w:color w:val="003CA0"/>
          <w:sz w:val="12"/>
        </w:rPr>
        <w:t xml:space="preserve"> | rel. Marco Aurélio</w:t>
      </w:r>
    </w:p>
    <w:p>
      <w:pPr>
        <w:ind w:left="288"/>
      </w:pPr>
      <w:r>
        <w:rPr>
          <w:color w:val="1E1E1E"/>
          <w:sz w:val="18"/>
        </w:rPr>
        <w:t>Vide AI 541.949 AgR, rel. min. Marco Aurélio, j. 13-4-2011, 1ª T, DJE de 18-5-2011 Vide SS 3.952 AgR, rel. min. Cezar Peluso, j. 12-8-2010, P, DJE de 27-8-2010 A regra, antes do trânsito em julgado da sentença, é a liberdade; a prisão é a exceção, somente podendo ser decretada em situações excepcionalíssimas, demonstradas concretamente. A citação por edital não autoriza presumir que o paciente fugiu. A prisão cautelar, com fundamento nessa presunção, não se justifica para garantia da ordem pública nem por conveniência da instrução criminal.</w:t>
      </w:r>
    </w:p>
    <w:p>
      <w:pPr>
        <w:ind w:left="288"/>
      </w:pPr>
      <w:r>
        <w:rPr>
          <w:b/>
          <w:color w:val="003CA0"/>
          <w:sz w:val="16"/>
        </w:rPr>
        <w:t>[HC 95.674, rel. min. Eros Grau, j. 23-9-2008, 2ª T, DJE de 19-12-2008.]</w:t>
      </w:r>
    </w:p>
    <w:p>
      <w:pPr>
        <w:ind w:left="288"/>
      </w:pPr>
      <w:r>
        <w:rPr>
          <w:color w:val="8C8C8C"/>
          <w:sz w:val="12"/>
        </w:rPr>
        <w:t>cf-art-5-inc-L</w:t>
      </w:r>
      <w:r>
        <w:rPr>
          <w:color w:val="003CA0"/>
          <w:sz w:val="12"/>
        </w:rPr>
        <w:t xml:space="preserve"> | HC 97.028</w:t>
      </w:r>
      <w:r>
        <w:rPr>
          <w:color w:val="003CA0"/>
          <w:sz w:val="12"/>
        </w:rPr>
        <w:t xml:space="preserve"> | rel. Eros Grau</w:t>
      </w:r>
    </w:p>
    <w:p>
      <w:pPr>
        <w:ind w:left="288"/>
      </w:pPr>
      <w:r>
        <w:rPr>
          <w:color w:val="1E1E1E"/>
          <w:sz w:val="18"/>
        </w:rPr>
        <w:t>Vide HC 97.028, rel. min. Eros Grau, j. 16-12-2008, 2ª T, DJE de 14-8-2009 Impõe-se, ao Judiciário, o dever de assegurar, mesmo ao réu estrangeiro sem domicílio no Brasil, os direitos básicos que resultam do postulado do devido processo legal, notadamente as prerrogativas inerentes à garantia da ampla defesa, à garantia do contraditório, à igualdade entre as partes perante o juiz natural e à garantia de imparcialidade do magistrado processante. A essencialidade do postulado do devido processo legal, que se qualifica como requisito legitimador da própria persecutio criminis. O exame da cláusula</w:t>
      </w:r>
    </w:p>
    <w:p>
      <w:pPr>
        <w:ind w:left="288"/>
      </w:pPr>
      <w:r>
        <w:rPr>
          <w:b/>
          <w:color w:val="003CA0"/>
          <w:sz w:val="16"/>
        </w:rPr>
        <w:t>[HC 94.016, rel. min. Celso de Mello, j. 16-9-2008, 2ª T, DJE de 27-2-2009].</w:t>
      </w:r>
    </w:p>
    <w:p>
      <w:pPr>
        <w:ind w:left="288"/>
      </w:pPr>
      <w:r>
        <w:rPr>
          <w:color w:val="8C8C8C"/>
          <w:sz w:val="12"/>
        </w:rPr>
        <w:t>cf-art-5-inc-L</w:t>
      </w:r>
      <w:r>
        <w:rPr>
          <w:color w:val="003CA0"/>
          <w:sz w:val="12"/>
        </w:rPr>
        <w:t xml:space="preserve"> | EXT 1.126</w:t>
      </w:r>
      <w:r>
        <w:rPr>
          <w:color w:val="003CA0"/>
          <w:sz w:val="12"/>
        </w:rPr>
        <w:t xml:space="preserve"> | rel. Joaquim Barbosa</w:t>
      </w:r>
    </w:p>
    <w:p>
      <w:pPr>
        <w:ind w:left="288"/>
      </w:pPr>
      <w:r>
        <w:rPr>
          <w:color w:val="1E1E1E"/>
          <w:sz w:val="18"/>
        </w:rPr>
        <w:t>= Ext 1.126, rel. min. Joaquim Barbosa, j. 22-10-2009, P, DJE de 11-12-2009 Desapropriação. Interesse social. Reforma agrária. Imóvel rural. Levantamento de dados e informações. Vistoria. Prévia comunicação escrita ao proprietário, preposto ou representante. Elemento essencial do devido processo da lei (due process of law). Inobservância. Proprietária pessoalmente cientificada por ofício e aviso de recebimento sem menção da data em que foram recebidos. Notificação irregular e ineficaz. Nulidade do decreto reconhecida. Ofensa a direito líquido e certo. Segurança concedida. Aplicação do art. 2º,</w:t>
      </w:r>
    </w:p>
    <w:p>
      <w:pPr>
        <w:ind w:left="288"/>
      </w:pPr>
      <w:r>
        <w:rPr>
          <w:b/>
          <w:color w:val="003CA0"/>
          <w:sz w:val="16"/>
        </w:rPr>
        <w:t>[MS 24.130, rel. min. Cezar Peluso, j. 16-4-2008, P, DJE de 20-6-2008.]</w:t>
      </w:r>
    </w:p>
    <w:p>
      <w:pPr>
        <w:ind w:left="288"/>
      </w:pPr>
      <w:r>
        <w:rPr>
          <w:color w:val="8C8C8C"/>
          <w:sz w:val="12"/>
        </w:rPr>
        <w:t>cf-art-5-inc-L</w:t>
      </w:r>
      <w:r>
        <w:rPr>
          <w:color w:val="003CA0"/>
          <w:sz w:val="12"/>
        </w:rPr>
        <w:t xml:space="preserve"> | MS 25.793</w:t>
      </w:r>
      <w:r>
        <w:rPr>
          <w:color w:val="003CA0"/>
          <w:sz w:val="12"/>
        </w:rPr>
        <w:t xml:space="preserve"> | rel. Celso de Mello</w:t>
      </w:r>
    </w:p>
    <w:p>
      <w:pPr>
        <w:ind w:left="288"/>
      </w:pPr>
      <w:r>
        <w:rPr>
          <w:color w:val="1E1E1E"/>
          <w:sz w:val="18"/>
        </w:rPr>
        <w:t xml:space="preserve">Vide MS 25.793, rel. min. Celso de Mello, j. 5-11-2010, dec. monocrática, DJE de 11-11-2010 Não se faz necessária a notificação prévia e pessoal da data em que será realizada a sessão de julgamento de recurso de reconsideração pelo TCU. Ausência de ofensa aos princípios da ampla defesa e do devido processo legal quando a pauta de julgamentos é publicada no DOU. O pedido de sustentação oral pode ser feito, conforme autoriza o art. 168 do Regimento Interno do TCU, até quatro horas antes da sessão. Para tanto, é necessário que os interessados no julgamento acompanhem o andamento do processo e as </w:t>
      </w:r>
    </w:p>
    <w:p>
      <w:pPr>
        <w:ind w:left="288"/>
      </w:pPr>
      <w:r>
        <w:rPr>
          <w:b/>
          <w:color w:val="003CA0"/>
          <w:sz w:val="16"/>
        </w:rPr>
        <w:t>[MS 26.732 AgR, rel. min. Cármen Lúcia, j. 25-6-2008, P, DJE de 15-8-2008.]</w:t>
      </w:r>
    </w:p>
    <w:p>
      <w:pPr>
        <w:ind w:left="288"/>
      </w:pPr>
      <w:r>
        <w:rPr>
          <w:color w:val="8C8C8C"/>
          <w:sz w:val="12"/>
        </w:rPr>
        <w:t>cf-art-5-inc-L</w:t>
      </w:r>
      <w:r>
        <w:rPr>
          <w:color w:val="003CA0"/>
          <w:sz w:val="12"/>
        </w:rPr>
        <w:t xml:space="preserve"> | AC 1.621</w:t>
      </w:r>
      <w:r>
        <w:rPr>
          <w:color w:val="003CA0"/>
          <w:sz w:val="12"/>
        </w:rPr>
        <w:t xml:space="preserve"> | rel. Marco Aurélio</w:t>
      </w:r>
    </w:p>
    <w:p>
      <w:pPr>
        <w:ind w:left="288"/>
      </w:pPr>
      <w:r>
        <w:rPr>
          <w:color w:val="1E1E1E"/>
          <w:sz w:val="18"/>
        </w:rPr>
        <w:t>Estado. Inadimplência. Surpresa. Ajuizamento de ação. Suspensão do enquadramento. O enquadramento do Estado como inadimplente há de observar o devido processo legal, surgindo no campo da excepcionalidade. Relevância do tema e risco de manter-se com plena eficácia o quadro ante a necessidade de obter empréstimos externos.[AC 1.621 MC, rel. min. Marco Aurélio, j. 14-4-2008, P, DJE de 20-6-2008.] Padece de nulidade absoluta o processo penal em que, devidamente intimado, o advogado constituído do réu deixa de apresentar alegações finais, sem que o juízo, antes de proferir sentença condenatória, lh</w:t>
      </w:r>
    </w:p>
    <w:p>
      <w:pPr>
        <w:ind w:left="288"/>
      </w:pPr>
      <w:r>
        <w:rPr>
          <w:b/>
          <w:color w:val="003CA0"/>
          <w:sz w:val="16"/>
        </w:rPr>
        <w:t>[HC 92.680, rel. min. Cezar Peluso, j. 11-3-2008, 1ª T, DJE de 25-4-2008.]</w:t>
      </w:r>
    </w:p>
    <w:p>
      <w:pPr>
        <w:ind w:left="288"/>
      </w:pPr>
      <w:r>
        <w:rPr>
          <w:color w:val="8C8C8C"/>
          <w:sz w:val="12"/>
        </w:rPr>
        <w:t>cf-art-5-inc-L</w:t>
      </w:r>
      <w:r>
        <w:rPr>
          <w:color w:val="003CA0"/>
          <w:sz w:val="12"/>
        </w:rPr>
        <w:t xml:space="preserve"> | HC 95.667</w:t>
      </w:r>
      <w:r>
        <w:rPr>
          <w:color w:val="003CA0"/>
          <w:sz w:val="12"/>
        </w:rPr>
        <w:t xml:space="preserve"> | rel. Ricardo Lewandowski</w:t>
      </w:r>
    </w:p>
    <w:p>
      <w:pPr>
        <w:ind w:left="288"/>
      </w:pPr>
      <w:r>
        <w:rPr>
          <w:color w:val="1E1E1E"/>
          <w:sz w:val="18"/>
        </w:rPr>
        <w:t>= HC 95.667, rel. min. Ricardo Lewandowski, j. 16-6-2010, 1ª T, DJE de 1º-7-2010 Vide HC 98.664, rel. min. Marco Aurélio, j. 23-2-2010, 1ª T, DJE de 26-3-2010 Mandado de segurança. Legitimidade passiva para a causa. Pessoa jurídica de direito público a que pertence a autoridade. Representante processual do ente público. Falta de intimação da decisão concessiva da segurança. Violação do justo processo da lei (due process of law). Nulidade processual absoluta. (...) É nulo o processo de mandado de segurança a partir da falta de intimação, quanto à sentença, da pessoa jurídica de direito público,</w:t>
      </w:r>
    </w:p>
    <w:p>
      <w:pPr>
        <w:ind w:left="288"/>
      </w:pPr>
      <w:r>
        <w:rPr>
          <w:b/>
          <w:color w:val="003CA0"/>
          <w:sz w:val="16"/>
        </w:rPr>
        <w:t>[AI 431.264 AgR-segundo, rel. min. Cezar Peluso, j. 30-10-2007, 2ª T, DJ de 23-11-2007.]</w:t>
      </w:r>
    </w:p>
    <w:p>
      <w:pPr>
        <w:ind w:left="288"/>
      </w:pPr>
      <w:r>
        <w:rPr>
          <w:color w:val="8C8C8C"/>
          <w:sz w:val="12"/>
        </w:rPr>
        <w:t>cf-art-5-inc-L</w:t>
      </w:r>
      <w:r>
        <w:rPr>
          <w:color w:val="003CA0"/>
          <w:sz w:val="12"/>
        </w:rPr>
        <w:t xml:space="preserve"> | HC 85.717</w:t>
      </w:r>
      <w:r>
        <w:rPr>
          <w:color w:val="003CA0"/>
          <w:sz w:val="12"/>
        </w:rPr>
        <w:t xml:space="preserve"> | rel. Celso de Mello</w:t>
      </w:r>
    </w:p>
    <w:p>
      <w:pPr>
        <w:ind w:left="288"/>
      </w:pPr>
      <w:r>
        <w:rPr>
          <w:color w:val="1E1E1E"/>
          <w:sz w:val="18"/>
        </w:rPr>
        <w:t>Alegações finais inconsistentes e superficiais, produzidas, além do mais, por advogada com inscrição suspensa na OAB. Ofensa evidente ao direito de defesa do acusado. Nulidade processual absoluta. Desrespeito à garantia do due process of law. Abrangência dessa cláusula constitucional, que compreende, dentre as diversas prerrogativas de ordem jurídica que a compõem, o direito ao contraditório e à plenitude de defesa (direito à autodefesa e direito à defesa técnica, que deve ser adequada e efetiva).</w:t>
      </w:r>
    </w:p>
    <w:p>
      <w:pPr>
        <w:ind w:left="288"/>
      </w:pPr>
      <w:r>
        <w:rPr>
          <w:b/>
          <w:color w:val="003CA0"/>
          <w:sz w:val="16"/>
        </w:rPr>
        <w:t>[HC 85.717, rel. min. Celso de Mello, j. 9-10-2007, 1ª T, DJE de 14-6-2013.]</w:t>
      </w:r>
    </w:p>
    <w:p>
      <w:pPr>
        <w:ind w:left="288"/>
      </w:pPr>
      <w:r>
        <w:rPr>
          <w:color w:val="8C8C8C"/>
          <w:sz w:val="12"/>
        </w:rPr>
        <w:t>cf-art-5-inc-L</w:t>
      </w:r>
      <w:r>
        <w:rPr>
          <w:color w:val="003CA0"/>
          <w:sz w:val="12"/>
        </w:rPr>
        <w:t xml:space="preserve"> | RHC 119.900</w:t>
      </w:r>
      <w:r>
        <w:rPr>
          <w:color w:val="003CA0"/>
          <w:sz w:val="12"/>
        </w:rPr>
        <w:t xml:space="preserve"> | rel. Teori Zavascki</w:t>
      </w:r>
    </w:p>
    <w:p>
      <w:pPr>
        <w:ind w:left="288"/>
      </w:pPr>
      <w:r>
        <w:rPr>
          <w:color w:val="1E1E1E"/>
          <w:sz w:val="18"/>
        </w:rPr>
        <w:t>Vide RHC 119.900, rel. min. Teori Zavascki, j. 5-5-2015, 2ª T, DJE de 20-5-2015 É desnecessária a juntada do conteúdo integral das degravações das escutas telefônicas realizadas nos autos do inquérito no qual são investigados os ora pacientes, pois basta que se tenham degravados os excertos necessários ao embasamento da denúncia oferecida, não configurando, essa restrição, ofensa ao princípio do devido processo legal (art. 5º, LV, da Constituição da República).</w:t>
      </w:r>
    </w:p>
    <w:p>
      <w:pPr>
        <w:ind w:left="288"/>
      </w:pPr>
      <w:r>
        <w:rPr>
          <w:b/>
          <w:color w:val="003CA0"/>
          <w:sz w:val="16"/>
        </w:rPr>
        <w:t>[HC 91.207 MC, rel. min. Marco Aurélio, red. do ac. min. Cármen Lúcia, j. 11-6-2007, P, DJ de 21-9-2007.]</w:t>
      </w:r>
    </w:p>
    <w:p>
      <w:pPr>
        <w:ind w:left="288"/>
      </w:pPr>
      <w:r>
        <w:rPr>
          <w:color w:val="8C8C8C"/>
          <w:sz w:val="12"/>
        </w:rPr>
        <w:t>cf-art-5-inc-L</w:t>
      </w:r>
      <w:r>
        <w:rPr>
          <w:color w:val="003CA0"/>
          <w:sz w:val="12"/>
        </w:rPr>
        <w:t xml:space="preserve"> | INQ 2.774</w:t>
      </w:r>
      <w:r>
        <w:rPr>
          <w:color w:val="003CA0"/>
          <w:sz w:val="12"/>
        </w:rPr>
        <w:t xml:space="preserve"> | rel. Gilmar Mendes</w:t>
      </w:r>
    </w:p>
    <w:p>
      <w:pPr>
        <w:ind w:left="288"/>
      </w:pPr>
      <w:r>
        <w:rPr>
          <w:color w:val="1E1E1E"/>
          <w:sz w:val="18"/>
        </w:rPr>
        <w:t>= Inq 2.774, rel. min. Gilmar Mendes, j. 28-4-2011, P, DJE de 6-9-2011 O princípio do devido processo legal, que lastreia todo o leque de garantias constitucionais voltadas para a efetividade dos processos jurisdicionais e administrativos, assegura que todo julgamento seja realizado com a observância das regras procedimentais previamente estabelecidas e, além disso, representa uma exigência de fair trial, no sentido de garantir a participação equânime, justa, leal, enfim, sempre imbuída pela boa-fé e pela ética dos sujeitos processuais. A máxima do fair trial é uma das faces do princípio do de</w:t>
      </w:r>
    </w:p>
    <w:p>
      <w:pPr>
        <w:ind w:left="288"/>
      </w:pPr>
      <w:r>
        <w:rPr>
          <w:b/>
          <w:color w:val="003CA0"/>
          <w:sz w:val="16"/>
        </w:rPr>
        <w:t>[AI 529.733, voto do min. Gilmar Mendes, j. 17-10-2006, 2ª T, DJ de 1º-12-2006.]</w:t>
      </w:r>
    </w:p>
    <w:p>
      <w:pPr>
        <w:ind w:left="288"/>
      </w:pPr>
      <w:r>
        <w:rPr>
          <w:color w:val="8C8C8C"/>
          <w:sz w:val="12"/>
        </w:rPr>
        <w:t>cf-art-5-inc-L</w:t>
      </w:r>
      <w:r>
        <w:rPr>
          <w:color w:val="003CA0"/>
          <w:sz w:val="12"/>
        </w:rPr>
        <w:t xml:space="preserve"> | AC 1.033</w:t>
      </w:r>
      <w:r>
        <w:rPr>
          <w:color w:val="003CA0"/>
          <w:sz w:val="12"/>
        </w:rPr>
        <w:t xml:space="preserve"> | rel. Celso de Mello</w:t>
      </w:r>
    </w:p>
    <w:p>
      <w:pPr>
        <w:ind w:left="288"/>
      </w:pPr>
      <w:r>
        <w:rPr>
          <w:color w:val="1E1E1E"/>
          <w:sz w:val="18"/>
        </w:rPr>
        <w:t>Limitação de direitos e necessária observância, para efeito de sua imposição, da garantia constitucional do devido processo legal. A imposição estatal de restrições de ordem jurídica, quer se concretize na esfera judicial, quer se realize no âmbito estritamente administrativo (como sucede com a inclusão de supostos devedores em cadastros públicos de inadimplentes), supõe, para legitimar-se constitucionalmente, o efetivo respeito, pelo poder público, da garantia indisponível do due process of law, assegurada, pela Constituição da República (art. 5º, LIV), à generalidade das pessoas, inclusive à</w:t>
      </w:r>
    </w:p>
    <w:p>
      <w:pPr>
        <w:ind w:left="288"/>
      </w:pPr>
      <w:r>
        <w:rPr>
          <w:b/>
          <w:color w:val="003CA0"/>
          <w:sz w:val="16"/>
        </w:rPr>
        <w:t>[AC 1.033 AgR-QO, rel. min. Celso de Mello, j. 25-5-2006, P, DJ de 16-6-2006.]</w:t>
      </w:r>
    </w:p>
    <w:p>
      <w:pPr>
        <w:ind w:left="288"/>
      </w:pPr>
      <w:r>
        <w:rPr>
          <w:color w:val="8C8C8C"/>
          <w:sz w:val="12"/>
        </w:rPr>
        <w:t>cf-art-5-inc-L</w:t>
      </w:r>
      <w:r>
        <w:rPr>
          <w:color w:val="003CA0"/>
          <w:sz w:val="12"/>
        </w:rPr>
        <w:t xml:space="preserve"> | HC 86.879</w:t>
      </w:r>
      <w:r>
        <w:rPr>
          <w:color w:val="003CA0"/>
          <w:sz w:val="12"/>
        </w:rPr>
        <w:t xml:space="preserve"> | rel. Joaquim Barbosa</w:t>
      </w:r>
    </w:p>
    <w:p>
      <w:pPr>
        <w:ind w:left="288"/>
      </w:pPr>
      <w:r>
        <w:rPr>
          <w:color w:val="1E1E1E"/>
          <w:sz w:val="18"/>
        </w:rPr>
        <w:t>Crimes contra o Sistema Financeiro Nacional (Lei 7.492, de 1986). Crime societário. Alegada inépcia da denúncia, por ausência de indicação da conduta individualizada dos acusados. Mudança de orientação jurisprudencial, que, no caso de crimes societários, entendia ser apta a denúncia que não individualizasse as condutas de cada indiciado, bastando a indicação de que os acusados fossem de algum modo responsáveis pela condução da sociedade comercial sob a qual foram supostamente praticados os delitos. (...) Necessidade de individualização das respectivas condutas dos indiciados. Observância dos p</w:t>
      </w:r>
    </w:p>
    <w:p>
      <w:pPr>
        <w:ind w:left="288"/>
      </w:pPr>
      <w:r>
        <w:rPr>
          <w:b/>
          <w:color w:val="003CA0"/>
          <w:sz w:val="16"/>
        </w:rPr>
        <w:t>[HC 86.879, rel. min. Joaquim Barbosa, red. do ac. min. Gilmar Mendes, j. 21-2-2006, 2ª T, DJ de 16-6-2006.]</w:t>
      </w:r>
    </w:p>
    <w:p>
      <w:pPr>
        <w:ind w:left="288"/>
      </w:pPr>
      <w:r>
        <w:rPr>
          <w:color w:val="8C8C8C"/>
          <w:sz w:val="12"/>
        </w:rPr>
        <w:t>cf-art-5-inc-L</w:t>
      </w:r>
      <w:r>
        <w:rPr>
          <w:color w:val="003CA0"/>
          <w:sz w:val="12"/>
        </w:rPr>
        <w:t xml:space="preserve"> | HC 88.875</w:t>
      </w:r>
      <w:r>
        <w:rPr>
          <w:color w:val="003CA0"/>
          <w:sz w:val="12"/>
        </w:rPr>
        <w:t xml:space="preserve"> | rel. Celso de Mello</w:t>
      </w:r>
    </w:p>
    <w:p>
      <w:pPr>
        <w:ind w:left="288"/>
      </w:pPr>
      <w:r>
        <w:rPr>
          <w:color w:val="1E1E1E"/>
          <w:sz w:val="18"/>
        </w:rPr>
        <w:t>= HC 88.875, rel. min. Celso de Mello, j. 7-12-2010, 2ª T, DJE de 12-3-2012 Vide HC 93.628, rel. min. Ricardo Lewandowski, j. 31-3-2009, 1ª T, DJE de 17-4-2009 Vide HC 94.670, rel. min. Cármen Lúcia, j. 21-10-2008, P, DJE de 24-4-2009 Sociedade civil sem fins lucrativos. Entidade que integra espaço público, ainda que não estatal. Atividade de caráter público. Exclusão de sócio sem garantia do devido processo legal. Aplicação direta dos direitos fundamentais à ampla defesa e ao contraditório. As associações privadas que exercem função predominante em determinado âmbito econômico e/ou social, ma</w:t>
      </w:r>
    </w:p>
    <w:p>
      <w:pPr>
        <w:ind w:left="288"/>
      </w:pPr>
      <w:r>
        <w:rPr>
          <w:b/>
          <w:color w:val="003CA0"/>
          <w:sz w:val="16"/>
        </w:rPr>
        <w:t>[RE 201.819, rel. min. Ellen Gracie, red. do ac. min. Gilmar Mendes, j. 11-10-2005, 2ª T, DJ de 27-10-2006.]</w:t>
      </w:r>
    </w:p>
    <w:p>
      <w:pPr>
        <w:ind w:left="288"/>
      </w:pPr>
      <w:r>
        <w:rPr>
          <w:color w:val="8C8C8C"/>
          <w:sz w:val="12"/>
        </w:rPr>
        <w:t>cf-art-5-inc-L</w:t>
      </w:r>
      <w:r>
        <w:rPr>
          <w:color w:val="003CA0"/>
          <w:sz w:val="12"/>
        </w:rPr>
        <w:t xml:space="preserve"> | RE 413.327</w:t>
      </w:r>
      <w:r>
        <w:rPr>
          <w:color w:val="003CA0"/>
          <w:sz w:val="12"/>
        </w:rPr>
        <w:t xml:space="preserve"> | rel. Joaquim Barbosa</w:t>
      </w:r>
    </w:p>
    <w:p>
      <w:pPr>
        <w:ind w:left="288"/>
      </w:pPr>
      <w:r>
        <w:rPr>
          <w:color w:val="1E1E1E"/>
          <w:sz w:val="18"/>
        </w:rPr>
        <w:t>Sistema de votação que previa a distribuição de duas cédulas a cada vereador, uma contendo a palavra "sim" e outra a palavra "não". Ausência, nos autos, de controvérsia acerca da inexistência de recipiente para recolhimento dos votos remanescentes. Adotado formalmente pela Câmara de Vereadores o sigilo como regra do processo de cassação do mandato de vereador, é indispensável a previsão de mecanismo apto a assegurar, com plena eficácia, que os votos sejam proferidos de forma sigilosa, sob pena de violação do princípio do devido processo legal.</w:t>
      </w:r>
    </w:p>
    <w:p>
      <w:pPr>
        <w:ind w:left="288"/>
      </w:pPr>
      <w:r>
        <w:rPr>
          <w:b/>
          <w:color w:val="003CA0"/>
          <w:sz w:val="16"/>
        </w:rPr>
        <w:t>[RE 413.327, rel. min. Joaquim Barbosa, j. 14-12-2004, 2ª T, DJ de 3-6-2005.]</w:t>
      </w:r>
    </w:p>
    <w:p>
      <w:pPr>
        <w:ind w:left="288"/>
      </w:pPr>
      <w:r>
        <w:rPr>
          <w:color w:val="8C8C8C"/>
          <w:sz w:val="12"/>
        </w:rPr>
        <w:t>cf-art-5-inc-L</w:t>
      </w:r>
      <w:r>
        <w:rPr>
          <w:color w:val="003CA0"/>
          <w:sz w:val="12"/>
        </w:rPr>
        <w:t xml:space="preserve"> | EXT 897</w:t>
      </w:r>
      <w:r>
        <w:rPr>
          <w:color w:val="003CA0"/>
          <w:sz w:val="12"/>
        </w:rPr>
        <w:t xml:space="preserve"> | rel. Celso de Mello</w:t>
      </w:r>
    </w:p>
    <w:p>
      <w:pPr>
        <w:ind w:left="288"/>
      </w:pPr>
      <w:r>
        <w:rPr>
          <w:color w:val="1E1E1E"/>
          <w:sz w:val="18"/>
        </w:rPr>
        <w:t>O STF não deve autorizar a extradição, se se demonstrar que o ordenamento jurídico do Estado estrangeiro que a requer não se revela capaz de assegurar, aos réus, em juízo criminal, os direitos básicos que resultam do postulado do due process of law (RTJ 134/56-58 – RTJ 177/485-488), notadamente as prerrogativas inerentes à garantia da ampla defesa, à garantia do contraditório, à igualdade entre as partes perante o juiz natural e à garantia de imparcialidade do magistrado processante.</w:t>
      </w:r>
    </w:p>
    <w:p>
      <w:pPr>
        <w:ind w:left="288"/>
      </w:pPr>
      <w:r>
        <w:rPr>
          <w:b/>
          <w:color w:val="003CA0"/>
          <w:sz w:val="16"/>
        </w:rPr>
        <w:t>[Ext 897, rel. min. Celso de Mello, j. 23-9-2004, P, DJ de 18-2-2005.]</w:t>
      </w:r>
    </w:p>
    <w:p>
      <w:pPr>
        <w:ind w:left="288"/>
      </w:pPr>
      <w:r>
        <w:rPr>
          <w:color w:val="8C8C8C"/>
          <w:sz w:val="12"/>
        </w:rPr>
        <w:t>cf-art-5-inc-L</w:t>
      </w:r>
      <w:r>
        <w:rPr>
          <w:color w:val="003CA0"/>
          <w:sz w:val="12"/>
        </w:rPr>
        <w:t xml:space="preserve"> | EXT 986</w:t>
      </w:r>
      <w:r>
        <w:rPr>
          <w:color w:val="003CA0"/>
          <w:sz w:val="12"/>
        </w:rPr>
        <w:t xml:space="preserve"> | rel. Eros Grau</w:t>
      </w:r>
    </w:p>
    <w:p>
      <w:pPr>
        <w:ind w:left="288"/>
      </w:pPr>
      <w:r>
        <w:rPr>
          <w:color w:val="1E1E1E"/>
          <w:sz w:val="18"/>
        </w:rPr>
        <w:t>= Ext 986, rel. min. Eros Grau, j. 15-8-2007, P, DJ de 5-10-2007 O servidor público ocupante de cargo efetivo, ainda que em estágio probatório, não pode ser exonerado ad nutum, com base em decreto que declara a desnecessidade do cargo, sob pena de ofensa à garantia do devido processo legal, do contraditório e da ampla defesa. Incidência da Súmula 21/STF.</w:t>
      </w:r>
    </w:p>
    <w:p>
      <w:pPr>
        <w:ind w:left="288"/>
      </w:pPr>
      <w:r>
        <w:rPr>
          <w:b/>
          <w:color w:val="003CA0"/>
          <w:sz w:val="16"/>
        </w:rPr>
        <w:t>[RE 378.041, rel. min. Ayres Britto, j. 21-9-2004, 1ª T, DJ de 11-2-2005.]</w:t>
      </w:r>
    </w:p>
    <w:p>
      <w:pPr>
        <w:ind w:left="288"/>
      </w:pPr>
      <w:r>
        <w:rPr>
          <w:color w:val="8C8C8C"/>
          <w:sz w:val="12"/>
        </w:rPr>
        <w:t>cf-art-5-inc-L</w:t>
      </w:r>
      <w:r>
        <w:rPr>
          <w:color w:val="003CA0"/>
          <w:sz w:val="12"/>
        </w:rPr>
        <w:t xml:space="preserve"> | AI 623.854</w:t>
      </w:r>
      <w:r>
        <w:rPr>
          <w:color w:val="003CA0"/>
          <w:sz w:val="12"/>
        </w:rPr>
        <w:t xml:space="preserve"> | rel. Cármen Lúcia</w:t>
      </w:r>
    </w:p>
    <w:p>
      <w:pPr>
        <w:ind w:left="288"/>
      </w:pPr>
      <w:r>
        <w:rPr>
          <w:color w:val="1E1E1E"/>
          <w:sz w:val="18"/>
        </w:rPr>
        <w:t>= AI 623.854 AgR, rel. min. Cármen Lúcia, j. 25-8-2009, 1ª T, DJE de 23-10-2009. Vide RE 223.904, rel. min. Ellen Gracie, j. 8-6-2004, 2ª T, DJ de 6-8-2004 Vide RE 222.532, rel. min. Sepúlveda Pertence, j. 8-8-2000, 1ª T, DJ de 1º-9-2000 É nulo o decreto expropriatório de imóvel rural para fim de reforma agrária, quando o proprietário não tenha sido notificado antes do início dos trabalhos de vistoria, senão no dia em que esses tiveram início, ou quando a notificação, posto que prévia, não lhe haja sido entregue pessoalmente, nem a preposto ou representante seu.</w:t>
      </w:r>
    </w:p>
    <w:p>
      <w:pPr>
        <w:ind w:left="288"/>
      </w:pPr>
      <w:r>
        <w:rPr>
          <w:b/>
          <w:color w:val="003CA0"/>
          <w:sz w:val="16"/>
        </w:rPr>
        <w:t>[MS 24.417, rel. min. Cezar Peluso, j. 2-6-2004, P, DJ de 28-10-2004.]</w:t>
      </w:r>
    </w:p>
    <w:p>
      <w:pPr>
        <w:ind w:left="288"/>
      </w:pPr>
      <w:r>
        <w:rPr>
          <w:color w:val="8C8C8C"/>
          <w:sz w:val="12"/>
        </w:rPr>
        <w:t>cf-art-5-inc-L</w:t>
      </w:r>
      <w:r>
        <w:rPr>
          <w:color w:val="003CA0"/>
          <w:sz w:val="12"/>
        </w:rPr>
        <w:t xml:space="preserve"> | MS 22.164</w:t>
      </w:r>
      <w:r>
        <w:rPr>
          <w:color w:val="003CA0"/>
          <w:sz w:val="12"/>
        </w:rPr>
        <w:t xml:space="preserve"> | rel. Celso de Mello</w:t>
      </w:r>
    </w:p>
    <w:p>
      <w:pPr>
        <w:ind w:left="288"/>
      </w:pPr>
      <w:r>
        <w:rPr>
          <w:color w:val="1E1E1E"/>
          <w:sz w:val="18"/>
        </w:rPr>
        <w:t>= MS 22.164, rel. min. Celso de Mello, j. 30-10-1995, P, DJ de 17-11-1995 Crime material contra a ordem tributária (Lei 8.137/1990, art. 1º): lançamento do tributo pendente de decisão definitiva do processo administrativo: falta de justa causa para a ação penal, suspenso, porém, o curso da prescrição enquanto obstada a sua propositura pela falta do lançamento definitivo. Embora não condicionada a denúncia à representação da autoridade fiscal (ADI 1.571 MC), falta justa causa para a ação penal pela prática do crime tipificado no art. 1º da Lei 8.137/1990 – que é material ou de resultado –, enqu</w:t>
      </w:r>
    </w:p>
    <w:p>
      <w:pPr>
        <w:ind w:left="288"/>
      </w:pPr>
      <w:r>
        <w:rPr>
          <w:b/>
          <w:color w:val="003CA0"/>
          <w:sz w:val="16"/>
        </w:rPr>
        <w:t>[HC 81.611, rel. min. Sepúlveda Pertence, j. 10-12-2003, P, DJ de 13-5-2005.]</w:t>
      </w:r>
    </w:p>
    <w:p>
      <w:pPr>
        <w:ind w:left="288"/>
      </w:pPr>
      <w:r>
        <w:rPr>
          <w:color w:val="8C8C8C"/>
          <w:sz w:val="12"/>
        </w:rPr>
        <w:t>cf-art-5-inc-L</w:t>
      </w:r>
      <w:r>
        <w:rPr>
          <w:color w:val="003CA0"/>
          <w:sz w:val="12"/>
        </w:rPr>
        <w:t xml:space="preserve"> | HC 96.832</w:t>
      </w:r>
      <w:r>
        <w:rPr>
          <w:color w:val="003CA0"/>
          <w:sz w:val="12"/>
        </w:rPr>
        <w:t xml:space="preserve"> | rel. Joaquim Barbosa</w:t>
      </w:r>
    </w:p>
    <w:p>
      <w:pPr>
        <w:ind w:left="288"/>
      </w:pPr>
      <w:r>
        <w:rPr>
          <w:color w:val="1E1E1E"/>
          <w:sz w:val="18"/>
        </w:rPr>
        <w:t xml:space="preserve">= HC 96.832, rel. min. Joaquim Barbosa, j. 10-8-2010, 2ª T, DJE de 10-9-2010 = HC 97.118, rel. min. Ricardo Lewandowski, j. 23-3-2010, 1ª T, DJE de 23-4-2010 = Inq 2.486, rel. min. Ayres Britto, j. 8-10-2009, P, DJE de 18-12-2009 Vide HC 108.037, rel. min. Marco Aurélio, j. 29-11-2011, 1ª T, DJE de 1º-2-2012 Vide RHC 99.778, rel. min. Dias Toffoli, red. do ac. min. Luiz Fux, j. 2-8-2011, 1ª T, DJE de 2-9-2011 Vide HC 96.324, voto do min. Marco Aurélio, j. 14-6-2011, 1ª T, DJE de 17-8-2011 Vide HC 101.900, rel. min. Celso de Mello, j. 21-9-2010, 2ª T, DJE de 11-3-2014 Vide HC 92.959, rel. min. </w:t>
      </w:r>
    </w:p>
    <w:p>
      <w:pPr>
        <w:ind w:left="288"/>
      </w:pPr>
      <w:r>
        <w:rPr>
          <w:b/>
          <w:color w:val="003CA0"/>
          <w:sz w:val="16"/>
        </w:rPr>
        <w:t>[HC 83.255, rel. min. Marco Aurélio, j. 5-11-2003, P, DJ de 12-3-2004.]</w:t>
      </w:r>
    </w:p>
    <w:p>
      <w:pPr>
        <w:ind w:left="288"/>
      </w:pPr>
      <w:r>
        <w:rPr>
          <w:color w:val="8C8C8C"/>
          <w:sz w:val="12"/>
        </w:rPr>
        <w:t>cf-art-5-inc-L</w:t>
      </w:r>
      <w:r>
        <w:rPr>
          <w:color w:val="003CA0"/>
          <w:sz w:val="12"/>
        </w:rPr>
        <w:t xml:space="preserve"> | MS 23.949</w:t>
      </w:r>
      <w:r>
        <w:rPr>
          <w:color w:val="003CA0"/>
          <w:sz w:val="12"/>
        </w:rPr>
        <w:t xml:space="preserve"> | rel. Celso de Mello</w:t>
      </w:r>
    </w:p>
    <w:p>
      <w:pPr>
        <w:ind w:left="288"/>
      </w:pPr>
      <w:r>
        <w:rPr>
          <w:color w:val="1E1E1E"/>
          <w:sz w:val="18"/>
        </w:rPr>
        <w:t>Reforma agrária (...). Ofensa ao postulado do due process of law (CF, art. 5º, LIV). Nulidade radical da declaração expropriatória (...). O postulado constitucional do due process of law, em sua destinação jurídica, também está vocacionado à proteção da propriedade. Ninguém será privado de seus bens sem o devido processo legal (CF, art. 5º, LIV). A União Federal, mesmo tratando-se de execução e implementação do programa de reforma agrária, não está dispensada da obrigação de respeitar, no desempenho de sua atividade de expropriação, por interesse social, os princípios constitucionais que, em t</w:t>
      </w:r>
    </w:p>
    <w:p>
      <w:pPr>
        <w:ind w:left="288"/>
      </w:pPr>
      <w:r>
        <w:rPr>
          <w:b/>
          <w:color w:val="003CA0"/>
          <w:sz w:val="16"/>
        </w:rPr>
        <w:t>[MS 23.949, rel. min. Celso de Mello, j. 1º-2-2002, P, DJE de 27-3-2009.]</w:t>
      </w:r>
    </w:p>
    <w:p>
      <w:pPr>
        <w:ind w:left="288"/>
      </w:pPr>
      <w:r>
        <w:rPr>
          <w:color w:val="8C8C8C"/>
          <w:sz w:val="12"/>
        </w:rPr>
        <w:t>cf-art-5-inc-L</w:t>
      </w:r>
      <w:r>
        <w:rPr>
          <w:color w:val="003CA0"/>
          <w:sz w:val="12"/>
        </w:rPr>
        <w:t xml:space="preserve"> | RE 148.872</w:t>
      </w:r>
      <w:r>
        <w:rPr>
          <w:color w:val="003CA0"/>
          <w:sz w:val="12"/>
        </w:rPr>
        <w:t xml:space="preserve"> | rel. Moreira Alves</w:t>
      </w:r>
    </w:p>
    <w:p>
      <w:pPr>
        <w:ind w:left="288"/>
      </w:pPr>
      <w:r>
        <w:rPr>
          <w:color w:val="1E1E1E"/>
          <w:sz w:val="18"/>
        </w:rPr>
        <w:t>Execução extrajudicial. Recepção, pela Constituição de 1988, do DL 70/1966. Esta Corte, em vários precedentes (assim, a título exemplificativo, nos RE 148.872, RE 223.075 e RE 240.361), tem-se orientado no sentido de que o DL 70/1966 é compatível com a atual Constituição, não se chocando, inclusive, com o disposto nos incisos XXXV, LIV e LV do art. 5º desta, razão por que foi por ela recebido.</w:t>
      </w:r>
    </w:p>
    <w:p>
      <w:pPr>
        <w:ind w:left="288"/>
      </w:pPr>
      <w:r>
        <w:rPr>
          <w:b/>
          <w:color w:val="003CA0"/>
          <w:sz w:val="16"/>
        </w:rPr>
        <w:t>[RE 287.453, rel. min. Moreira Alves, j. 18-9-2001, 1ª T, DJ de 26-10-2001.]</w:t>
      </w:r>
    </w:p>
    <w:p>
      <w:pPr>
        <w:ind w:left="288"/>
      </w:pPr>
      <w:r>
        <w:rPr>
          <w:color w:val="8C8C8C"/>
          <w:sz w:val="12"/>
        </w:rPr>
        <w:t>cf-art-5-inc-L</w:t>
      </w:r>
      <w:r>
        <w:rPr>
          <w:color w:val="003CA0"/>
          <w:sz w:val="12"/>
        </w:rPr>
        <w:t xml:space="preserve"> | AI 663.578</w:t>
      </w:r>
      <w:r>
        <w:rPr>
          <w:color w:val="003CA0"/>
          <w:sz w:val="12"/>
        </w:rPr>
        <w:t xml:space="preserve"> | rel. Ellen Gracie</w:t>
      </w:r>
    </w:p>
    <w:p>
      <w:pPr>
        <w:ind w:left="288"/>
      </w:pPr>
      <w:r>
        <w:rPr>
          <w:color w:val="1E1E1E"/>
          <w:sz w:val="18"/>
        </w:rPr>
        <w:t>= AI 663.578 AgR, rel. min. Ellen Gracie, j. 4-8-2009, 2ª T, DJE de 28-8-2009 Na hipótese de exclusão de associado decorrente de conduta contrária aos estatutos, impõe-se a observância ao devido processo legal, viabilizado o exercício amplo da defesa. Simples desafio do associado à assembleia geral, no que toca à exclusão, não é de molde a atrair adoção de processo sumário. Observância obrigatória do próprio estatuto da cooperativa.</w:t>
      </w:r>
    </w:p>
    <w:p>
      <w:pPr>
        <w:ind w:left="288"/>
      </w:pPr>
      <w:r>
        <w:rPr>
          <w:b/>
          <w:color w:val="003CA0"/>
          <w:sz w:val="16"/>
        </w:rPr>
        <w:t>[RE 158.215, rel. min. Marco Aurélio, j. 30-4-1996, 2ª T, DJ de 7-6-1996.]</w:t>
      </w:r>
    </w:p>
    <w:p>
      <w:pPr>
        <w:ind w:left="288"/>
      </w:pPr>
      <w:r>
        <w:rPr>
          <w:color w:val="8C8C8C"/>
          <w:sz w:val="12"/>
        </w:rPr>
        <w:t>cf-art-5-inc-L</w:t>
      </w:r>
      <w:r>
        <w:rPr>
          <w:color w:val="003CA0"/>
          <w:sz w:val="12"/>
        </w:rPr>
        <w:t xml:space="preserve"> | MS 21.545</w:t>
      </w:r>
      <w:r>
        <w:rPr>
          <w:color w:val="003CA0"/>
          <w:sz w:val="12"/>
        </w:rPr>
        <w:t xml:space="preserve"> | rel. Moreira Alves</w:t>
      </w:r>
    </w:p>
    <w:p>
      <w:pPr>
        <w:ind w:left="288"/>
      </w:pPr>
      <w:r>
        <w:rPr>
          <w:color w:val="1E1E1E"/>
          <w:sz w:val="18"/>
        </w:rPr>
        <w:t>Não há dúvida de que são independentes as instâncias penal e administrativa, só repercutindo aquela nesta quando ela se manifesta pela inexistência material do fato ou pela negativa de sua autoria.</w:t>
      </w:r>
    </w:p>
    <w:p>
      <w:pPr>
        <w:ind w:left="288"/>
      </w:pPr>
      <w:r>
        <w:rPr>
          <w:b/>
          <w:color w:val="003CA0"/>
          <w:sz w:val="16"/>
        </w:rPr>
        <w:t>[MS 21.545, rel. min. Moreira Alves, j. 11-3-1993, P, DJ de 2-4-1993.]</w:t>
      </w:r>
    </w:p>
    <w:p>
      <w:pPr>
        <w:ind w:left="288"/>
      </w:pPr>
      <w:r>
        <w:rPr>
          <w:color w:val="8C8C8C"/>
          <w:sz w:val="12"/>
        </w:rPr>
        <w:t>cf-art-5-inc-L</w:t>
      </w:r>
      <w:r>
        <w:rPr>
          <w:color w:val="003CA0"/>
          <w:sz w:val="12"/>
        </w:rPr>
        <w:t xml:space="preserve"> | ARE 691.306</w:t>
      </w:r>
      <w:r>
        <w:rPr>
          <w:color w:val="003CA0"/>
          <w:sz w:val="12"/>
        </w:rPr>
        <w:t xml:space="preserve"> | rel. Cezar Peluso</w:t>
      </w:r>
    </w:p>
    <w:p>
      <w:pPr>
        <w:ind w:left="288"/>
      </w:pPr>
      <w:r>
        <w:rPr>
          <w:color w:val="1E1E1E"/>
          <w:sz w:val="18"/>
        </w:rPr>
        <w:t>Vide ARE 691.306 RG, rel. min. Cezar Peluso, j. 23-8-2012, P, DJE de 11-9-2012, Tema 565 LV - aos litigantes, em processo judicial ou administrativo, e aos acusados em geral são assegurados o contraditório e ampla defesa, com os meios e recursos a ela inerentes;</w:t>
      </w:r>
    </w:p>
    <w:p>
      <w:pPr>
        <w:ind w:left="144"/>
      </w:pPr>
      <w:r>
        <w:rPr>
          <w:b/>
          <w:color w:val="B45A00"/>
          <w:sz w:val="16"/>
        </w:rPr>
        <w:t>SUMULA VINCULANTE</w:t>
      </w:r>
    </w:p>
    <w:p>
      <w:pPr>
        <w:ind w:left="288"/>
      </w:pPr>
      <w:r>
        <w:rPr>
          <w:color w:val="8C8C8C"/>
          <w:sz w:val="12"/>
        </w:rPr>
        <w:t>cf-art-5-inc-L</w:t>
      </w:r>
    </w:p>
    <w:p>
      <w:pPr>
        <w:ind w:left="288"/>
      </w:pPr>
      <w:r>
        <w:rPr>
          <w:color w:val="1E1E1E"/>
          <w:sz w:val="18"/>
        </w:rPr>
        <w:t>É inconstitucional a exigência de depósito prévio como requisito de admissibilidade de ação judicial na qual se pretenda discutir a exigibilidade de crédito tributário.</w:t>
      </w:r>
    </w:p>
    <w:p>
      <w:pPr>
        <w:ind w:left="288"/>
      </w:pPr>
      <w:r>
        <w:rPr>
          <w:b/>
          <w:color w:val="003CA0"/>
          <w:sz w:val="16"/>
        </w:rPr>
        <w:t>[Súmula Vinculante 28.]</w:t>
      </w:r>
    </w:p>
    <w:p>
      <w:pPr>
        <w:ind w:left="288"/>
      </w:pPr>
      <w:r>
        <w:rPr>
          <w:color w:val="8C8C8C"/>
          <w:sz w:val="12"/>
        </w:rPr>
        <w:t>cf-art-5-inc-L</w:t>
      </w:r>
    </w:p>
    <w:p>
      <w:pPr>
        <w:ind w:left="288"/>
      </w:pPr>
      <w:r>
        <w:rPr>
          <w:color w:val="1E1E1E"/>
          <w:sz w:val="18"/>
        </w:rPr>
        <w:t>É inconstitucional a exigência de depósito ou arrolamento prévios de dinheiro ou bens para admissibilidade de recurso administrativo.</w:t>
      </w:r>
    </w:p>
    <w:p>
      <w:pPr>
        <w:ind w:left="288"/>
      </w:pPr>
      <w:r>
        <w:rPr>
          <w:b/>
          <w:color w:val="003CA0"/>
          <w:sz w:val="16"/>
        </w:rPr>
        <w:t>[Súmula Vinculante 21.]</w:t>
      </w:r>
    </w:p>
    <w:p>
      <w:pPr>
        <w:ind w:left="288"/>
      </w:pPr>
      <w:r>
        <w:rPr>
          <w:color w:val="8C8C8C"/>
          <w:sz w:val="12"/>
        </w:rPr>
        <w:t>cf-art-5-inc-L</w:t>
      </w:r>
    </w:p>
    <w:p>
      <w:pPr>
        <w:ind w:left="288"/>
      </w:pPr>
      <w:r>
        <w:rPr>
          <w:color w:val="1E1E1E"/>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288"/>
      </w:pPr>
      <w:r>
        <w:rPr>
          <w:color w:val="8C8C8C"/>
          <w:sz w:val="12"/>
        </w:rPr>
        <w:t>cf-art-5-inc-L</w:t>
      </w:r>
    </w:p>
    <w:p>
      <w:pPr>
        <w:ind w:left="288"/>
      </w:pPr>
      <w:r>
        <w:rPr>
          <w:color w:val="1E1E1E"/>
          <w:sz w:val="18"/>
        </w:rPr>
        <w:t>A falta de defesa técnica por advogado no processo administrativo disciplinar não ofende a Constituição.</w:t>
      </w:r>
    </w:p>
    <w:p>
      <w:pPr>
        <w:ind w:left="288"/>
      </w:pPr>
      <w:r>
        <w:rPr>
          <w:b/>
          <w:color w:val="003CA0"/>
          <w:sz w:val="16"/>
        </w:rPr>
        <w:t>[Súmula Vinculante 5.]</w:t>
      </w:r>
    </w:p>
    <w:p>
      <w:pPr>
        <w:ind w:left="288"/>
      </w:pPr>
      <w:r>
        <w:rPr>
          <w:color w:val="8C8C8C"/>
          <w:sz w:val="12"/>
        </w:rPr>
        <w:t>cf-art-5-inc-L</w:t>
      </w:r>
    </w:p>
    <w:p>
      <w:pPr>
        <w:ind w:left="288"/>
      </w:pPr>
      <w:r>
        <w:rPr>
          <w:color w:val="1E1E1E"/>
          <w:sz w:val="18"/>
        </w:rPr>
        <w:t>Nos processos perante o TCU asseguram-se o contraditório e a ampla defesa quando da decisão puder resultar anulação ou revogação de ato administrativo que beneficie o interessado, excetuada a apreciação da legalidade do ato de concessão inicial de aposentadoria, reforma e pensão.</w:t>
      </w:r>
    </w:p>
    <w:p>
      <w:pPr>
        <w:ind w:left="288"/>
      </w:pPr>
      <w:r>
        <w:rPr>
          <w:b/>
          <w:color w:val="003CA0"/>
          <w:sz w:val="16"/>
        </w:rPr>
        <w:t>[Súmula Vinculante 3.]</w:t>
      </w:r>
    </w:p>
    <w:p>
      <w:pPr>
        <w:ind w:left="288"/>
      </w:pPr>
      <w:r>
        <w:rPr>
          <w:color w:val="8C8C8C"/>
          <w:sz w:val="12"/>
        </w:rPr>
        <w:t>cf-art-5-inc-L</w:t>
      </w:r>
    </w:p>
    <w:p>
      <w:pPr>
        <w:ind w:left="288"/>
      </w:pPr>
      <w:r>
        <w:rPr>
          <w:color w:val="1E1E1E"/>
          <w:sz w:val="18"/>
        </w:rPr>
        <w:t>É nulo o julgamento da apelação se, após a manifestação nos autos da renúncia do único defensor, o réu não foi previamente intimado para constituir outro.</w:t>
      </w:r>
    </w:p>
    <w:p>
      <w:pPr>
        <w:ind w:left="288"/>
      </w:pPr>
      <w:r>
        <w:rPr>
          <w:b/>
          <w:color w:val="003CA0"/>
          <w:sz w:val="16"/>
        </w:rPr>
        <w:t>[Súmula 708.]</w:t>
      </w:r>
    </w:p>
    <w:p>
      <w:pPr>
        <w:ind w:left="288"/>
      </w:pPr>
      <w:r>
        <w:rPr>
          <w:color w:val="8C8C8C"/>
          <w:sz w:val="12"/>
        </w:rPr>
        <w:t>cf-art-5-inc-L</w:t>
      </w:r>
    </w:p>
    <w:p>
      <w:pPr>
        <w:ind w:left="288"/>
      </w:pPr>
      <w:r>
        <w:rPr>
          <w:color w:val="1E1E1E"/>
          <w:sz w:val="18"/>
        </w:rPr>
        <w:t>Não viola as garantias do juiz natural, da ampla defesa e do devido processo legal a atração por continência ou conexão do processo do corréu ao foro por prerrogativa de função de um dos denunciados.</w:t>
      </w:r>
    </w:p>
    <w:p>
      <w:pPr>
        <w:ind w:left="288"/>
      </w:pPr>
      <w:r>
        <w:rPr>
          <w:b/>
          <w:color w:val="003CA0"/>
          <w:sz w:val="16"/>
        </w:rPr>
        <w:t>[Súmula 704.]</w:t>
      </w:r>
    </w:p>
    <w:p>
      <w:pPr>
        <w:ind w:left="288"/>
      </w:pPr>
      <w:r>
        <w:rPr>
          <w:color w:val="8C8C8C"/>
          <w:sz w:val="12"/>
        </w:rPr>
        <w:t>cf-art-5-inc-L</w:t>
      </w:r>
    </w:p>
    <w:p>
      <w:pPr>
        <w:ind w:left="288"/>
      </w:pPr>
      <w:r>
        <w:rPr>
          <w:color w:val="1E1E1E"/>
          <w:sz w:val="18"/>
        </w:rPr>
        <w:t>No mandado de segurança impetrado pelo Ministério Público contra decisão proferida em processo penal, é obrigatória a citação do réu como litisconsorte passivo.</w:t>
      </w:r>
    </w:p>
    <w:p>
      <w:pPr>
        <w:ind w:left="288"/>
      </w:pPr>
      <w:r>
        <w:rPr>
          <w:b/>
          <w:color w:val="003CA0"/>
          <w:sz w:val="16"/>
        </w:rPr>
        <w:t>[Súmula 701.]</w:t>
      </w:r>
    </w:p>
    <w:p>
      <w:pPr>
        <w:ind w:left="288"/>
      </w:pPr>
      <w:r>
        <w:rPr>
          <w:color w:val="8C8C8C"/>
          <w:sz w:val="12"/>
        </w:rPr>
        <w:t>cf-art-5-inc-L</w:t>
      </w:r>
    </w:p>
    <w:p>
      <w:pPr>
        <w:ind w:left="288"/>
      </w:pPr>
      <w:r>
        <w:rPr>
          <w:color w:val="1E1E1E"/>
          <w:sz w:val="18"/>
        </w:rPr>
        <w:t>No processo penal, a falta da defesa constitui nulidade absoluta, mas a sua deficiência só o anulará se houver prova de prejuízo para o réu.</w:t>
      </w:r>
    </w:p>
    <w:p>
      <w:pPr>
        <w:ind w:left="288"/>
      </w:pPr>
      <w:r>
        <w:rPr>
          <w:b/>
          <w:color w:val="003CA0"/>
          <w:sz w:val="16"/>
        </w:rPr>
        <w:t>[Súmula 523.]</w:t>
      </w:r>
    </w:p>
    <w:p>
      <w:pPr>
        <w:ind w:left="288"/>
      </w:pPr>
      <w:r>
        <w:rPr>
          <w:color w:val="8C8C8C"/>
          <w:sz w:val="12"/>
        </w:rPr>
        <w:t>cf-art-5-inc-L</w:t>
      </w:r>
    </w:p>
    <w:p>
      <w:pPr>
        <w:ind w:left="288"/>
      </w:pPr>
      <w:r>
        <w:rPr>
          <w:color w:val="1E1E1E"/>
          <w:sz w:val="18"/>
        </w:rPr>
        <w:t>É necessário processo administrativo com ampla defesa, para demissão de funcionário admitido por concurso.</w:t>
      </w:r>
    </w:p>
    <w:p>
      <w:pPr>
        <w:ind w:left="288"/>
      </w:pPr>
      <w:r>
        <w:rPr>
          <w:b/>
          <w:color w:val="003CA0"/>
          <w:sz w:val="16"/>
        </w:rPr>
        <w:t>[Súmula 20.]</w:t>
      </w:r>
    </w:p>
    <w:p>
      <w:pPr>
        <w:ind w:left="288"/>
      </w:pPr>
      <w:r>
        <w:rPr>
          <w:color w:val="8C8C8C"/>
          <w:sz w:val="12"/>
        </w:rPr>
        <w:t>cf-art-5-inc-L</w:t>
      </w:r>
      <w:r>
        <w:rPr>
          <w:color w:val="003CA0"/>
          <w:sz w:val="12"/>
        </w:rPr>
        <w:t xml:space="preserve"> | ADI 7.600</w:t>
      </w:r>
      <w:r>
        <w:rPr>
          <w:color w:val="003CA0"/>
          <w:sz w:val="12"/>
        </w:rPr>
        <w:t xml:space="preserve"> | rel. Dias Toffoli</w:t>
      </w:r>
    </w:p>
    <w:p>
      <w:pPr>
        <w:ind w:left="288"/>
      </w:pPr>
      <w:r>
        <w:rPr>
          <w:color w:val="1E1E1E"/>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w:t>
      </w:r>
    </w:p>
    <w:p>
      <w:pPr>
        <w:ind w:left="288"/>
      </w:pPr>
      <w:r>
        <w:rPr>
          <w:b/>
          <w:color w:val="003CA0"/>
          <w:sz w:val="16"/>
        </w:rPr>
        <w:t>[ADI 7.600, ADI 7.601 e 7.608, rel. min. Dias Toffoli, j. 01.07.2025, P, DJE de 15.09.2025.]</w:t>
      </w:r>
    </w:p>
    <w:p>
      <w:pPr>
        <w:ind w:left="288"/>
      </w:pPr>
      <w:r>
        <w:rPr>
          <w:color w:val="8C8C8C"/>
          <w:sz w:val="12"/>
        </w:rPr>
        <w:t>cf-art-5-inc-L</w:t>
      </w:r>
      <w:r>
        <w:rPr>
          <w:color w:val="003CA0"/>
          <w:sz w:val="12"/>
        </w:rPr>
        <w:t xml:space="preserve"> | ADI 5.465</w:t>
      </w:r>
      <w:r>
        <w:rPr>
          <w:color w:val="003CA0"/>
          <w:sz w:val="12"/>
        </w:rPr>
        <w:t xml:space="preserve"> | rel. Nunes Marques</w:t>
      </w:r>
    </w:p>
    <w:p>
      <w:pPr>
        <w:ind w:left="288"/>
      </w:pPr>
      <w:r>
        <w:rPr>
          <w:color w:val="1E1E1E"/>
          <w:sz w:val="18"/>
        </w:rPr>
        <w:t>Ação direta de inconstitucionalidade proposta contra a Lei n. 14.946, de 28 de janeiro de 2013, do Estado de São Paulo, que “dispõe sobre a cassação da inscrição no cadastro de contribuintes do Imposto sobre Operações Relativas à Circulação de Mercadorias e sobre Prestações de Serviços de Transporte Interestadual e Intermunicipal – ICMS, de qualquer empresa que faça uso direto ou indireto de trabalho escravo ou em condições análogas”. (...) Pedido julgado parcialmente procedente, para conferir interpretação conforme à Constituição ao (i) art. 1º da Lei n. 14.946/2013, do Estado de São Paulo, d</w:t>
      </w:r>
    </w:p>
    <w:p>
      <w:pPr>
        <w:ind w:left="288"/>
      </w:pPr>
      <w:r>
        <w:rPr>
          <w:b/>
          <w:color w:val="003CA0"/>
          <w:sz w:val="16"/>
        </w:rPr>
        <w:t>[ADI 5.465, rel. min. Nunes Marques, j. 09.04.2025, P, DJE de 11.06.2025.]</w:t>
      </w:r>
    </w:p>
    <w:p>
      <w:pPr>
        <w:ind w:left="144"/>
      </w:pPr>
      <w:r>
        <w:rPr>
          <w:b/>
          <w:color w:val="B45A00"/>
          <w:sz w:val="16"/>
        </w:rPr>
        <w:t>CONTROLE CONCENTRADO</w:t>
      </w:r>
    </w:p>
    <w:p>
      <w:pPr>
        <w:ind w:left="288"/>
      </w:pPr>
      <w:r>
        <w:rPr>
          <w:color w:val="8C8C8C"/>
          <w:sz w:val="12"/>
        </w:rPr>
        <w:t>cf-art-5-inc-L</w:t>
      </w:r>
      <w:r>
        <w:rPr>
          <w:color w:val="003CA0"/>
          <w:sz w:val="12"/>
        </w:rPr>
        <w:t xml:space="preserve"> | ADI 5.737</w:t>
      </w:r>
      <w:r>
        <w:rPr>
          <w:color w:val="003CA0"/>
          <w:sz w:val="12"/>
        </w:rPr>
        <w:t xml:space="preserve"> | rel. Dias Toffoli</w:t>
      </w:r>
    </w:p>
    <w:p>
      <w:pPr>
        <w:ind w:left="288"/>
      </w:pPr>
      <w:r>
        <w:rPr>
          <w:color w:val="1E1E1E"/>
          <w:sz w:val="18"/>
        </w:rPr>
        <w:t>Nas hipóteses previstas nos arts. 9º, parágrafo único, inciso II, e 311, parágrafo único, do CPC/2015, o contraditório não foi suprimido, e sim diferido, como ocorre em qualquer provimento liminar. O legislador realizou uma ponderação entre a garantia do contraditório, de um lado, e a garantia de um processo justo e efetivo, de outro, o qual compreende a duração razoável do processo, a celeridade de sua tramitação e o acesso à justiça na dimensão material. Os preceitos questionados também conferem consequências de ordem prática às teses vinculantes firmadas nos termos do CPC/2015.</w:t>
        <w:br/>
        <w:t xml:space="preserve">[ADI 5.737, </w:t>
      </w:r>
    </w:p>
    <w:p>
      <w:pPr>
        <w:ind w:left="288"/>
      </w:pPr>
      <w:r>
        <w:rPr>
          <w:b/>
          <w:color w:val="003CA0"/>
          <w:sz w:val="16"/>
        </w:rPr>
        <w:t>[ADI 5.755, rel. min. Rosa Weber, j. 30-6-2022, P, DJE de 4-10-2022.]</w:t>
      </w:r>
    </w:p>
    <w:p>
      <w:pPr>
        <w:ind w:left="288"/>
      </w:pPr>
      <w:r>
        <w:rPr>
          <w:color w:val="8C8C8C"/>
          <w:sz w:val="12"/>
        </w:rPr>
        <w:t>cf-art-5-inc-L</w:t>
      </w:r>
      <w:r>
        <w:rPr>
          <w:color w:val="003CA0"/>
          <w:sz w:val="12"/>
        </w:rPr>
        <w:t xml:space="preserve"> | ADPF 509</w:t>
      </w:r>
      <w:r>
        <w:rPr>
          <w:color w:val="003CA0"/>
          <w:sz w:val="12"/>
        </w:rPr>
        <w:t xml:space="preserve"> | rel. Marco Aurélio</w:t>
      </w:r>
    </w:p>
    <w:p>
      <w:pPr>
        <w:ind w:left="288"/>
      </w:pPr>
      <w:r>
        <w:rPr>
          <w:color w:val="1E1E1E"/>
          <w:sz w:val="18"/>
        </w:rPr>
        <w:t>Identificada, por auditor-fiscal, exploração de trabalho em condição análoga à de escravo e lavrado auto de infração, a inclusão do empregador em cadastro ocorre após decisão administrativa irrecorrível, assegurados o contraditório e a ampla defesa.</w:t>
      </w:r>
    </w:p>
    <w:p>
      <w:pPr>
        <w:ind w:left="288"/>
      </w:pPr>
      <w:r>
        <w:rPr>
          <w:b/>
          <w:color w:val="003CA0"/>
          <w:sz w:val="16"/>
        </w:rPr>
        <w:t>[ADPF 509, rel. min. Marco Aurélio, j. 16-9-2020, P, DJE de 5-10-2020.]</w:t>
      </w:r>
    </w:p>
    <w:p>
      <w:pPr>
        <w:ind w:left="288"/>
      </w:pPr>
      <w:r>
        <w:rPr>
          <w:color w:val="8C8C8C"/>
          <w:sz w:val="12"/>
        </w:rPr>
        <w:t>cf-art-5-inc-L</w:t>
      </w:r>
      <w:r>
        <w:rPr>
          <w:color w:val="003CA0"/>
          <w:sz w:val="12"/>
        </w:rPr>
        <w:t xml:space="preserve"> | ADI 758</w:t>
      </w:r>
      <w:r>
        <w:rPr>
          <w:color w:val="003CA0"/>
          <w:sz w:val="12"/>
        </w:rPr>
        <w:t xml:space="preserve"> | rel. Dias Toffoli</w:t>
      </w:r>
    </w:p>
    <w:p>
      <w:pPr>
        <w:ind w:left="288"/>
      </w:pPr>
      <w:r>
        <w:rPr>
          <w:color w:val="1E1E1E"/>
          <w:sz w:val="18"/>
        </w:rPr>
        <w:t>Não ofende os princípios da isonomia, da ampla defesa e do contraditório a ausência de previsão, nas normas regimentais, de limitação de tempo para o Ministério Público realizar sustentação oral quando atuar na qualidade de custos legis, pois, nessa condição, não se equipara às partes e persegue o interesse público, pugnando pelo cumprimento do ordenamento jurídico de forma imparcial e independente.</w:t>
      </w:r>
    </w:p>
    <w:p>
      <w:pPr>
        <w:ind w:left="288"/>
      </w:pPr>
      <w:r>
        <w:rPr>
          <w:b/>
          <w:color w:val="003CA0"/>
          <w:sz w:val="16"/>
        </w:rPr>
        <w:t>[ADI 758, rel. min. Dias Toffoli, j. 27-9-2019, P, DJE de 18-11-2019.]</w:t>
      </w:r>
    </w:p>
    <w:p>
      <w:pPr>
        <w:ind w:left="288"/>
      </w:pPr>
      <w:r>
        <w:rPr>
          <w:color w:val="8C8C8C"/>
          <w:sz w:val="12"/>
        </w:rPr>
        <w:t>cf-art-5-inc-L</w:t>
      </w:r>
      <w:r>
        <w:rPr>
          <w:color w:val="003CA0"/>
          <w:sz w:val="12"/>
        </w:rPr>
        <w:t xml:space="preserve"> | ADI 4.338</w:t>
      </w:r>
      <w:r>
        <w:rPr>
          <w:color w:val="003CA0"/>
          <w:sz w:val="12"/>
        </w:rPr>
        <w:t xml:space="preserve"> | rel. Rosa Weber</w:t>
      </w:r>
    </w:p>
    <w:p>
      <w:pPr>
        <w:ind w:left="288"/>
      </w:pPr>
      <w:r>
        <w:rPr>
          <w:color w:val="1E1E1E"/>
          <w:sz w:val="18"/>
        </w:rPr>
        <w:t>Serviço de transporte público coletivo. Interrupção ou não conclusão da viagem. Ressarcimento de tarifa aos usuários. Extensão ao transporte de passageiros entre o Distrito Federal e a região do entorno. Transporte interestadual. (...) Ao instituir hipótese de presunção legal absoluta quanto à veracidade do fato alegado em denúncia de infração realizada por usuário do serviço de transporte público coletivo, o art. 3º, parágrafo único, da Lei 4.112/2008 do Distrito Federal inviabiliza o contraditório e impede o exercício do direito de defesa na esfera administrativa, mostrando-se incompatível c</w:t>
      </w:r>
    </w:p>
    <w:p>
      <w:pPr>
        <w:ind w:left="288"/>
      </w:pPr>
      <w:r>
        <w:rPr>
          <w:b/>
          <w:color w:val="003CA0"/>
          <w:sz w:val="16"/>
        </w:rPr>
        <w:t>[ADI 4.338, rel. min. Rosa Weber, j. 23-8-2019, P, DJE de 9-9-2019.]</w:t>
      </w:r>
    </w:p>
    <w:p>
      <w:pPr>
        <w:ind w:left="288"/>
      </w:pPr>
      <w:r>
        <w:rPr>
          <w:color w:val="8C8C8C"/>
          <w:sz w:val="12"/>
        </w:rPr>
        <w:t>cf-art-5-inc-L</w:t>
      </w:r>
      <w:r>
        <w:rPr>
          <w:color w:val="003CA0"/>
          <w:sz w:val="12"/>
        </w:rPr>
        <w:t xml:space="preserve"> | ADI 2.144</w:t>
      </w:r>
      <w:r>
        <w:rPr>
          <w:color w:val="003CA0"/>
          <w:sz w:val="12"/>
        </w:rPr>
        <w:t xml:space="preserve"> | rel. Teori Zavascki</w:t>
      </w:r>
    </w:p>
    <w:p>
      <w:pPr>
        <w:ind w:left="288"/>
      </w:pPr>
      <w:r>
        <w:rPr>
          <w:color w:val="1E1E1E"/>
          <w:sz w:val="18"/>
        </w:rPr>
        <w:t>É constitucional o tratamento diferenciado dado às intimações do defensor constituído, do advogado do querelante e do assistente, realizadas por meio de publicação oficial, em contraposição às do Ministério Público e do defensor nomeado, feitas pessoalmente (CPP, art. 370, §§ 1º e 4º).</w:t>
      </w:r>
    </w:p>
    <w:p>
      <w:pPr>
        <w:ind w:left="288"/>
      </w:pPr>
      <w:r>
        <w:rPr>
          <w:b/>
          <w:color w:val="003CA0"/>
          <w:sz w:val="16"/>
        </w:rPr>
        <w:t>[ADI 2.144, rel. min. Teori Zavascki, j. 2-6-2016, P, DJE de 14-6-2016.]</w:t>
      </w:r>
    </w:p>
    <w:p>
      <w:pPr>
        <w:ind w:left="288"/>
      </w:pPr>
      <w:r>
        <w:rPr>
          <w:color w:val="8C8C8C"/>
          <w:sz w:val="12"/>
        </w:rPr>
        <w:t>cf-art-5-inc-L</w:t>
      </w:r>
      <w:r>
        <w:rPr>
          <w:color w:val="003CA0"/>
          <w:sz w:val="12"/>
        </w:rPr>
        <w:t xml:space="preserve"> | HC 102.597</w:t>
      </w:r>
      <w:r>
        <w:rPr>
          <w:color w:val="003CA0"/>
          <w:sz w:val="12"/>
        </w:rPr>
        <w:t xml:space="preserve"> | rel. Cármen Lúcia</w:t>
      </w:r>
    </w:p>
    <w:p>
      <w:pPr>
        <w:ind w:left="288"/>
      </w:pPr>
      <w:r>
        <w:rPr>
          <w:color w:val="1E1E1E"/>
          <w:sz w:val="18"/>
        </w:rPr>
        <w:t>= HC 102.597, rel. min. Cármen Lúcia, j. 24-8-2010, 1ª T, DJE de 10-9-2010 Vide HC 98.802, rel. min. Joaquim Barbosa, j. 20-10-2009, 2ª T, DJE de 27-11-2009 Vide HC 89.315, rel. min. Ricardo Lewandowski, j. 19-9-2006, 1ª T, DJ de 13-10-2006 A apresentação de defesa prévia não é uma exigência do princípio constitucional da ampla defesa: ela é exceção, e não a regra no processo penal. Não há, portanto, impedimento para que a primeira oportunidade de apresentação de defesa no processo penal comum se dê após o recebimento da denúncia. No caso dos autos, muito embora não se assegure defesa previame</w:t>
      </w:r>
    </w:p>
    <w:p>
      <w:pPr>
        <w:ind w:left="288"/>
      </w:pPr>
      <w:r>
        <w:rPr>
          <w:b/>
          <w:color w:val="003CA0"/>
          <w:sz w:val="16"/>
        </w:rPr>
        <w:t>[ADPF 378 MC, red. do ac. min. Roberto Barroso, j. 16-12-2015, P, DJE de 8-3-2016.]</w:t>
      </w:r>
    </w:p>
    <w:p>
      <w:pPr>
        <w:ind w:left="288"/>
      </w:pPr>
      <w:r>
        <w:rPr>
          <w:color w:val="8C8C8C"/>
          <w:sz w:val="12"/>
        </w:rPr>
        <w:t>cf-art-5-inc-L</w:t>
      </w:r>
      <w:r>
        <w:rPr>
          <w:color w:val="003CA0"/>
          <w:sz w:val="12"/>
        </w:rPr>
        <w:t xml:space="preserve"> | ADPF 156</w:t>
      </w:r>
      <w:r>
        <w:rPr>
          <w:color w:val="003CA0"/>
          <w:sz w:val="12"/>
        </w:rPr>
        <w:t xml:space="preserve"> | rel. Cármen Lúcia</w:t>
      </w:r>
    </w:p>
    <w:p>
      <w:pPr>
        <w:ind w:left="288"/>
      </w:pPr>
      <w:r>
        <w:rPr>
          <w:color w:val="1E1E1E"/>
          <w:sz w:val="18"/>
        </w:rPr>
        <w:t>Arguição de descumprimento de preceito fundamental. Parágrafo 1º do art. 636 da CLT: não recepção pela Constituição de 1988. Incompatibilidade da exigência de depósito prévio do valor correspondente à multa como condição de admissibilidade de recurso administrativo interposto junto à autoridade trabalhista (§ 1º do art. 636 da CLT) com a Constituição de 1988. Inobservância das garantias constitucionais do devido processo legal e da ampla defesa (art. 5º, LIV e LV); do princípio da isonomia (art. 5º, caput); do direito de petição (art. 5º, XXXIV, a).</w:t>
      </w:r>
    </w:p>
    <w:p>
      <w:pPr>
        <w:ind w:left="288"/>
      </w:pPr>
      <w:r>
        <w:rPr>
          <w:b/>
          <w:color w:val="003CA0"/>
          <w:sz w:val="16"/>
        </w:rPr>
        <w:t>[ADPF 156, rel. min. Cármen Lúcia, j. 18-8-2011, P, DJE de 28-10-2011.]</w:t>
        <w:br/>
        <w:t>Vide AI 698.626 QO-RG, rel. min. Ellen Gracie, j. 2-10-2008, P, DJE de 5-12-2008</w:t>
      </w:r>
    </w:p>
    <w:p>
      <w:pPr>
        <w:ind w:left="288"/>
      </w:pPr>
      <w:r>
        <w:rPr>
          <w:color w:val="8C8C8C"/>
          <w:sz w:val="12"/>
        </w:rPr>
        <w:t>cf-art-5-inc-L</w:t>
      </w:r>
      <w:r>
        <w:rPr>
          <w:color w:val="003CA0"/>
          <w:sz w:val="12"/>
        </w:rPr>
        <w:t xml:space="preserve"> | ADI 4.264</w:t>
      </w:r>
      <w:r>
        <w:rPr>
          <w:color w:val="003CA0"/>
          <w:sz w:val="12"/>
        </w:rPr>
        <w:t xml:space="preserve"> | rel. Ricardo Lewandowski</w:t>
      </w:r>
    </w:p>
    <w:p>
      <w:pPr>
        <w:ind w:left="288"/>
      </w:pPr>
      <w:r>
        <w:rPr>
          <w:color w:val="1E1E1E"/>
          <w:sz w:val="18"/>
        </w:rPr>
        <w:t>Ofende as garantias do contraditório e da ampla defesa o convite aos interessados, por meio de edital, para subsidiar a Administração na demarcação da posição das linhas do preamar médio do ano de 1831, uma vez que o cumprimento do devido processo legal pressupõe a intimação pessoal.</w:t>
      </w:r>
    </w:p>
    <w:p>
      <w:pPr>
        <w:ind w:left="288"/>
      </w:pPr>
      <w:r>
        <w:rPr>
          <w:b/>
          <w:color w:val="003CA0"/>
          <w:sz w:val="16"/>
        </w:rPr>
        <w:t>[ADI 4.264 MC, rel. min. Ricardo Lewandowski, j. 16-3-2011, P, DJE de 30-5-2011.]</w:t>
      </w:r>
    </w:p>
    <w:p>
      <w:pPr>
        <w:ind w:left="288"/>
      </w:pPr>
      <w:r>
        <w:rPr>
          <w:color w:val="8C8C8C"/>
          <w:sz w:val="12"/>
        </w:rPr>
        <w:t>cf-art-5-inc-L</w:t>
      </w:r>
      <w:r>
        <w:rPr>
          <w:color w:val="003CA0"/>
          <w:sz w:val="12"/>
        </w:rPr>
        <w:t xml:space="preserve"> | ADI 3.288</w:t>
      </w:r>
      <w:r>
        <w:rPr>
          <w:color w:val="003CA0"/>
          <w:sz w:val="12"/>
        </w:rPr>
        <w:t xml:space="preserve"> | rel. Ayres Britto</w:t>
      </w:r>
    </w:p>
    <w:p>
      <w:pPr>
        <w:ind w:left="288"/>
      </w:pPr>
      <w:r>
        <w:rPr>
          <w:color w:val="1E1E1E"/>
          <w:sz w:val="18"/>
        </w:rPr>
        <w:t>A suspensão preventiva dos membros da Polícia Civil do Estado de Minas Gerais está a se revelar como consequência automática do recebimento da denúncia pelo Poder Judiciário. Automaticidade que viola as garantias constitucionais do devido processo legal, do contraditório e da ampla defesa (incisos LIV e LV do art. 5º). Existência de outra lei estadual que adota idêntica medida cautelar administrativa, admitindo a suspensão, pelo prazo máximo de noventa dias, no curso de um processo administrativo específico, garantidos o contraditório e a ampla defesa. Ação direta que se julga procedente.</w:t>
      </w:r>
    </w:p>
    <w:p>
      <w:pPr>
        <w:ind w:left="288"/>
      </w:pPr>
      <w:r>
        <w:rPr>
          <w:b/>
          <w:color w:val="003CA0"/>
          <w:sz w:val="16"/>
        </w:rPr>
        <w:t>[ADI 3.288, rel. min. Ayres Britto, j. 13-10-2010, P, DJE de 24-2-2011.]</w:t>
      </w:r>
    </w:p>
    <w:p>
      <w:pPr>
        <w:ind w:left="288"/>
      </w:pPr>
      <w:r>
        <w:rPr>
          <w:color w:val="8C8C8C"/>
          <w:sz w:val="12"/>
        </w:rPr>
        <w:t>cf-art-5-inc-L</w:t>
      </w:r>
      <w:r>
        <w:rPr>
          <w:color w:val="003CA0"/>
          <w:sz w:val="12"/>
        </w:rPr>
        <w:t xml:space="preserve"> | ADI 2.120</w:t>
      </w:r>
      <w:r>
        <w:rPr>
          <w:color w:val="003CA0"/>
          <w:sz w:val="12"/>
        </w:rPr>
        <w:t xml:space="preserve"> | rel. Celso de Mello</w:t>
      </w:r>
    </w:p>
    <w:p>
      <w:pPr>
        <w:ind w:left="288"/>
      </w:pPr>
      <w:r>
        <w:rPr>
          <w:color w:val="1E1E1E"/>
          <w:sz w:val="18"/>
        </w:rPr>
        <w:t>Nenhuma penalidade poderá ser imposta, mesmo no campo do direito administrativo, sem que se ofereça ao imputado a possibilidade de se defender previamente. A preterição do direito de defesa torna írrito e nulo o ato punitivo. Nemo inauditus damnari debet. O direito constitucional à ampla (e prévia) defesa, sob o domínio da Constituição de 1988 (art. 5º, LV), tem como precípuo destinatário o acusado, qualquer acusado, ainda que em sede meramente administrativa. O STF, ao proclamar a imprescindibilidade da observância desse postulado, essencial e inerente ao due process of law, tem advertido que</w:t>
      </w:r>
    </w:p>
    <w:p>
      <w:pPr>
        <w:ind w:left="288"/>
      </w:pPr>
      <w:r>
        <w:rPr>
          <w:b/>
          <w:color w:val="003CA0"/>
          <w:sz w:val="16"/>
        </w:rPr>
        <w:t>[ADI 2.120, rel. min. Celso de Mello, j. 16-10-2008, P, DJE de 30-10-2014.]</w:t>
      </w:r>
    </w:p>
    <w:p>
      <w:pPr>
        <w:ind w:left="288"/>
      </w:pPr>
      <w:r>
        <w:rPr>
          <w:color w:val="8C8C8C"/>
          <w:sz w:val="12"/>
        </w:rPr>
        <w:t>cf-art-5-inc-L</w:t>
      </w:r>
      <w:r>
        <w:rPr>
          <w:color w:val="003CA0"/>
          <w:sz w:val="12"/>
        </w:rPr>
        <w:t xml:space="preserve"> | ADI 3.168</w:t>
      </w:r>
      <w:r>
        <w:rPr>
          <w:color w:val="003CA0"/>
          <w:sz w:val="12"/>
        </w:rPr>
        <w:t xml:space="preserve"> | rel. Joaquim Barbosa</w:t>
      </w:r>
    </w:p>
    <w:p>
      <w:pPr>
        <w:ind w:left="288"/>
      </w:pPr>
      <w:r>
        <w:rPr>
          <w:color w:val="1E1E1E"/>
          <w:sz w:val="18"/>
        </w:rPr>
        <w:t>Perante os juizados especiais federais, em processos de natureza cível, as partes podem comparecer pessoalmente em juízo ou designar representante, advogado ou não, desde que a causa não ultrapasse o valor de sessenta salários mínimos (art. 3º da Lei 10.259/2001) e sem prejuízo da aplicação subsidiária integral dos parágrafos do art. 9º da Lei 9.099/1995. Já quanto aos processos de natureza criminal, em homenagem ao princípio da ampla defesa, é imperativo que o réu compareça ao processo devidamente acompanhado de profissional habilitado a oferecer-lhe defesa técnica de qualidade, ou seja, de a</w:t>
      </w:r>
    </w:p>
    <w:p>
      <w:pPr>
        <w:ind w:left="288"/>
      </w:pPr>
      <w:r>
        <w:rPr>
          <w:b/>
          <w:color w:val="003CA0"/>
          <w:sz w:val="16"/>
        </w:rPr>
        <w:t>[ADI 3.168, rel. min. Joaquim Barbosa, j. 8-6-2006, P, DJ de 3-8-2007.]</w:t>
      </w:r>
    </w:p>
    <w:p>
      <w:pPr>
        <w:ind w:left="288"/>
      </w:pPr>
      <w:r>
        <w:rPr>
          <w:color w:val="8C8C8C"/>
          <w:sz w:val="12"/>
        </w:rPr>
        <w:t>cf-art-5-inc-L</w:t>
      </w:r>
      <w:r>
        <w:rPr>
          <w:color w:val="003CA0"/>
          <w:sz w:val="12"/>
        </w:rPr>
        <w:t xml:space="preserve"> | ADI 1.127</w:t>
      </w:r>
      <w:r>
        <w:rPr>
          <w:color w:val="003CA0"/>
          <w:sz w:val="12"/>
        </w:rPr>
        <w:t xml:space="preserve"> | rel. Marco Aurélio</w:t>
      </w:r>
    </w:p>
    <w:p>
      <w:pPr>
        <w:ind w:left="288"/>
      </w:pPr>
      <w:r>
        <w:rPr>
          <w:color w:val="1E1E1E"/>
          <w:sz w:val="18"/>
        </w:rPr>
        <w:t>A sustentação oral pelo advogado, após o voto do relator, afronta o devido processo legal, além de poder causar tumulto processual, uma vez que o contraditório se estabelece entre as partes.</w:t>
      </w:r>
    </w:p>
    <w:p>
      <w:pPr>
        <w:ind w:left="288"/>
      </w:pPr>
      <w:r>
        <w:rPr>
          <w:b/>
          <w:color w:val="003CA0"/>
          <w:sz w:val="16"/>
        </w:rPr>
        <w:t>[ADI 1.127, rel. min. Marco Aurélio, red. do ac. min. Ricardo Lewandowski, j. 17-5-2006, P, DJE de 11-6-2010.]</w:t>
      </w:r>
    </w:p>
    <w:p>
      <w:pPr>
        <w:ind w:left="288"/>
      </w:pPr>
      <w:r>
        <w:rPr>
          <w:color w:val="8C8C8C"/>
          <w:sz w:val="12"/>
        </w:rPr>
        <w:t>cf-art-5-inc-L</w:t>
      </w:r>
      <w:r>
        <w:rPr>
          <w:color w:val="003CA0"/>
          <w:sz w:val="12"/>
        </w:rPr>
        <w:t xml:space="preserve"> | HC 87.926</w:t>
      </w:r>
      <w:r>
        <w:rPr>
          <w:color w:val="003CA0"/>
          <w:sz w:val="12"/>
        </w:rPr>
        <w:t xml:space="preserve"> | rel. Cezar Peluso</w:t>
      </w:r>
    </w:p>
    <w:p>
      <w:pPr>
        <w:ind w:left="288"/>
      </w:pPr>
      <w:r>
        <w:rPr>
          <w:color w:val="1E1E1E"/>
          <w:sz w:val="18"/>
        </w:rPr>
        <w:t>Vide HC 87.926, rel. min. Cezar Peluso, j. 20-2-2008, P, DJE de 25-4-2008 (...) a Lei estadual  5.839/1999, ao condicionar a imposição de multa à notificação via Correios, não trata de legislação de trânsito, mas de processo administrativo. Trata-se de mera pretensão fiscal, e não do exercício da ação fiscal. O Fisco só exercerá sua pretensão após o recebimento de notificação. Norma estatal que confere máxima efetividade do direito de defesa (CF, art. 5º, LV).</w:t>
      </w:r>
    </w:p>
    <w:p>
      <w:pPr>
        <w:ind w:left="288"/>
      </w:pPr>
      <w:r>
        <w:rPr>
          <w:b/>
          <w:color w:val="003CA0"/>
          <w:sz w:val="16"/>
        </w:rPr>
        <w:t>[ADI 2.374, rel. min. Gilmar Mendes, j. 6-10-2004, P, DJ de 16-2-2007.]</w:t>
      </w:r>
    </w:p>
    <w:p>
      <w:pPr>
        <w:ind w:left="288"/>
      </w:pPr>
      <w:r>
        <w:rPr>
          <w:color w:val="8C8C8C"/>
          <w:sz w:val="12"/>
        </w:rPr>
        <w:t>cf-art-5-inc-L</w:t>
      </w:r>
      <w:r>
        <w:rPr>
          <w:color w:val="003CA0"/>
          <w:sz w:val="12"/>
        </w:rPr>
        <w:t xml:space="preserve"> | ADI 1.511</w:t>
      </w:r>
    </w:p>
    <w:p>
      <w:pPr>
        <w:ind w:left="288"/>
      </w:pPr>
      <w:r>
        <w:rPr>
          <w:color w:val="1E1E1E"/>
          <w:sz w:val="18"/>
        </w:rPr>
        <w:t>Abrindo o debate, deixo expresso que a Constituição de 1988 consagra o devido processo legal nos seus dois aspectos, substantivo e processual, nos incisos LIV e LV do art. 5º, respectivamente. (...) Due process of law, com conteúdo substantivo – substantive due process – constitui limite ao Legislativo, no sentido de que as leis devem ser elaboradas com justiça, devem ser dotadas de razoabilidade (reasonableness) e de racionalidade (rationality), devem guardar, segundo W. Holmes, um real e substancial nexo com o objetivo que se quer atingir. Paralelamente, due process of law, com caráter proce</w:t>
      </w:r>
    </w:p>
    <w:p>
      <w:pPr>
        <w:ind w:left="288"/>
      </w:pPr>
      <w:r>
        <w:rPr>
          <w:b/>
          <w:color w:val="003CA0"/>
          <w:sz w:val="16"/>
        </w:rPr>
        <w:t>[ADI 1.511 MC, voto do min. Carlos Velloso, j. 16-10-1996, P, DJ de 6-6-2003.]</w:t>
      </w:r>
    </w:p>
    <w:p>
      <w:pPr>
        <w:ind w:left="288"/>
      </w:pPr>
      <w:r>
        <w:rPr>
          <w:color w:val="8C8C8C"/>
          <w:sz w:val="12"/>
        </w:rPr>
        <w:t>cf-art-5-inc-L</w:t>
      </w:r>
      <w:r>
        <w:rPr>
          <w:color w:val="003CA0"/>
          <w:sz w:val="12"/>
        </w:rPr>
        <w:t xml:space="preserve"> | RE 1.387.795</w:t>
      </w:r>
      <w:r>
        <w:rPr>
          <w:color w:val="003CA0"/>
          <w:sz w:val="12"/>
        </w:rPr>
        <w:t xml:space="preserve"> | rel. Dias Toffoli</w:t>
      </w:r>
    </w:p>
    <w:p>
      <w:pPr>
        <w:ind w:left="288"/>
      </w:pPr>
      <w:r>
        <w:rPr>
          <w:color w:val="1E1E1E"/>
          <w:sz w:val="18"/>
        </w:rPr>
        <w:t>“1 - O cumprimento de sentença trabalhista não poderá ser promovido em face de empresa que não tiver participado da fase de conhecimento do processo, devendo o reclamante indicar, na petição inicial, as pessoas jurídicas corresponsáveis solidárias contra as quais pretende direcionar a execução de eventual título judicial, inclusive nas hipóteses de grupo econômico (art. 2°, §§ 2° e 3°, da CLT), demonstrando concretamente, nessa hipótese, a presença dos requisitos legais; 2 - Admite-se, excepcionalmente, o redirecionamento da execução trabalhista a terceiro que não tenha participado do processo</w:t>
      </w:r>
    </w:p>
    <w:p>
      <w:pPr>
        <w:ind w:left="288"/>
      </w:pPr>
      <w:r>
        <w:rPr>
          <w:b/>
          <w:color w:val="003CA0"/>
          <w:sz w:val="16"/>
        </w:rPr>
        <w:t>[RE 1.387.795, rel. min. Dias Toffoli, j. 13.10.2025, P, DJE de 10.12.2025, Tema 1.232, com mérito julgado.]</w:t>
      </w:r>
    </w:p>
    <w:p>
      <w:pPr>
        <w:ind w:left="288"/>
      </w:pPr>
      <w:r>
        <w:rPr>
          <w:color w:val="8C8C8C"/>
          <w:sz w:val="12"/>
        </w:rPr>
        <w:t>cf-art-5-inc-L</w:t>
      </w:r>
      <w:r>
        <w:rPr>
          <w:color w:val="003CA0"/>
          <w:sz w:val="12"/>
        </w:rPr>
        <w:t xml:space="preserve"> | ARE 1.467.470</w:t>
      </w:r>
      <w:r>
        <w:rPr>
          <w:color w:val="003CA0"/>
          <w:sz w:val="12"/>
        </w:rPr>
        <w:t xml:space="preserve"> | rel. Luís Roberto Barroso</w:t>
      </w:r>
    </w:p>
    <w:p>
      <w:pPr>
        <w:ind w:left="288"/>
      </w:pPr>
      <w:r>
        <w:rPr>
          <w:color w:val="1E1E1E"/>
          <w:sz w:val="18"/>
        </w:rPr>
        <w:t>Validade do reconhecimento pessoal realizado em desconformidade com o art. 226 do Código de Processo Penal.</w:t>
      </w:r>
    </w:p>
    <w:p>
      <w:pPr>
        <w:ind w:left="288"/>
      </w:pPr>
      <w:r>
        <w:rPr>
          <w:b/>
          <w:color w:val="003CA0"/>
          <w:sz w:val="16"/>
        </w:rPr>
        <w:t>[ARE 1.467.470 RG, rel. min. Luís Roberto Barroso, j. 28.2.2025, P, DJE de 7.3.2025, Tema 1.380, com mérito pendente.]</w:t>
      </w:r>
    </w:p>
    <w:p>
      <w:pPr>
        <w:ind w:left="288"/>
      </w:pPr>
      <w:r>
        <w:rPr>
          <w:color w:val="8C8C8C"/>
          <w:sz w:val="12"/>
        </w:rPr>
        <w:t>cf-art-5-inc-L</w:t>
      </w:r>
      <w:r>
        <w:rPr>
          <w:color w:val="003CA0"/>
          <w:sz w:val="12"/>
        </w:rPr>
        <w:t xml:space="preserve"> | ARE 1.467.384</w:t>
      </w:r>
      <w:r>
        <w:rPr>
          <w:color w:val="003CA0"/>
          <w:sz w:val="12"/>
        </w:rPr>
        <w:t xml:space="preserve"> | rel. Luís Roberto Barroso</w:t>
      </w:r>
    </w:p>
    <w:p>
      <w:pPr>
        <w:ind w:left="288"/>
      </w:pPr>
      <w:r>
        <w:rPr>
          <w:color w:val="1E1E1E"/>
          <w:sz w:val="18"/>
        </w:rPr>
        <w:t>“É infraconstitucional a controvérsia sobre a necessidade de dupla notificação para aplicação de penalidade à pessoa jurídica que deixa de identificar o condutor responsável por infração de trânsito”.</w:t>
      </w:r>
    </w:p>
    <w:p>
      <w:pPr>
        <w:ind w:left="288"/>
      </w:pPr>
      <w:r>
        <w:rPr>
          <w:b/>
          <w:color w:val="003CA0"/>
          <w:sz w:val="16"/>
        </w:rPr>
        <w:t>[ARE 1.467.384 RG, rel. min. Luís Roberto Barroso, j. 11.11.2024, P, DJE de 14.11.2024, Tema 1.351, com repercussão geral negada.]</w:t>
      </w:r>
    </w:p>
    <w:p>
      <w:pPr>
        <w:ind w:left="288"/>
      </w:pPr>
      <w:r>
        <w:rPr>
          <w:color w:val="8C8C8C"/>
          <w:sz w:val="12"/>
        </w:rPr>
        <w:t>cf-art-5-inc-L</w:t>
      </w:r>
      <w:r>
        <w:rPr>
          <w:color w:val="003CA0"/>
          <w:sz w:val="12"/>
        </w:rPr>
        <w:t xml:space="preserve"> | RE 860.631</w:t>
      </w:r>
      <w:r>
        <w:rPr>
          <w:color w:val="003CA0"/>
          <w:sz w:val="12"/>
        </w:rPr>
        <w:t xml:space="preserve"> | rel. Luiz Fux</w:t>
      </w:r>
    </w:p>
    <w:p>
      <w:pPr>
        <w:ind w:left="288"/>
      </w:pPr>
      <w:r>
        <w:rPr>
          <w:color w:val="1E1E1E"/>
          <w:sz w:val="18"/>
        </w:rPr>
        <w:t>A execução extrajudicial nos contratos de mútuo com alienação fiduciária de imóvel, prevista na Lei 9.514/1997, é compatível com as garantias constitucionais, destacando-se inexistir afronta ao princípio da inafastabilidade da jurisdição e do acesso à justiça (art. 5º, inciso XXXV, da CF/88) e do juiz natural (art. 5º, LIII, CF/88), posto que se assegura às partes, a qualquer momento, a possibilidade de controle de legalidade do procedimento executório na via judicial. Inexiste, igualmente, violação aos princípios do devido processo legal, do contraditório e da ampla defesa (art. 5º, LIV e LV,</w:t>
      </w:r>
    </w:p>
    <w:p>
      <w:pPr>
        <w:ind w:left="288"/>
      </w:pPr>
      <w:r>
        <w:rPr>
          <w:b/>
          <w:color w:val="003CA0"/>
          <w:sz w:val="16"/>
        </w:rPr>
        <w:t>[RE 860.631, rel. min. Luiz Fux, j. 26-10-2023, P, DJE de 14-2-2024, Tema 982, com mérito julgado.]</w:t>
      </w:r>
    </w:p>
    <w:p>
      <w:pPr>
        <w:ind w:left="288"/>
      </w:pPr>
      <w:r>
        <w:rPr>
          <w:color w:val="8C8C8C"/>
          <w:sz w:val="12"/>
        </w:rPr>
        <w:t>cf-art-5-inc-L</w:t>
      </w:r>
      <w:r>
        <w:rPr>
          <w:color w:val="003CA0"/>
          <w:sz w:val="12"/>
        </w:rPr>
        <w:t xml:space="preserve"> | RE 629.647</w:t>
      </w:r>
      <w:r>
        <w:rPr>
          <w:color w:val="003CA0"/>
          <w:sz w:val="12"/>
        </w:rPr>
        <w:t xml:space="preserve"> | rel. Marco Aurélio</w:t>
      </w:r>
    </w:p>
    <w:p>
      <w:pPr>
        <w:ind w:left="288"/>
      </w:pPr>
      <w:r>
        <w:rPr>
          <w:color w:val="1E1E1E"/>
          <w:sz w:val="18"/>
        </w:rPr>
        <w:t>Em ação civil pública proposta pelo Ministério Público do Trabalho em face de empresa estatal, com o propósito de invalidar a contratação irregular de pessoal, não é cabível o ingresso, no polo passivo da causa, de todos os empregados atingidos, mas é indispensável sua representação pelo sindicato da categoria.</w:t>
      </w:r>
    </w:p>
    <w:p>
      <w:pPr>
        <w:ind w:left="288"/>
      </w:pPr>
      <w:r>
        <w:rPr>
          <w:b/>
          <w:color w:val="003CA0"/>
          <w:sz w:val="16"/>
        </w:rPr>
        <w:t>[RE 629.647, rel. min. Marco Aurélio, redator do acórdão min. Alexandre de Moraes, j. 3-11-2022, P, DJE de 9-1-2023, Tema 1.004, com mérito julgado.]</w:t>
      </w:r>
    </w:p>
    <w:p>
      <w:pPr>
        <w:ind w:left="288"/>
      </w:pPr>
      <w:r>
        <w:rPr>
          <w:color w:val="8C8C8C"/>
          <w:sz w:val="12"/>
        </w:rPr>
        <w:t>cf-art-5-inc-L</w:t>
      </w:r>
      <w:r>
        <w:rPr>
          <w:color w:val="003CA0"/>
          <w:sz w:val="12"/>
        </w:rPr>
        <w:t xml:space="preserve"> | RE 627.106</w:t>
      </w:r>
      <w:r>
        <w:rPr>
          <w:color w:val="003CA0"/>
          <w:sz w:val="12"/>
        </w:rPr>
        <w:t xml:space="preserve"> | rel. Dias Toffoli</w:t>
      </w:r>
    </w:p>
    <w:p>
      <w:pPr>
        <w:ind w:left="288"/>
      </w:pPr>
      <w:r>
        <w:rPr>
          <w:color w:val="1E1E1E"/>
          <w:sz w:val="18"/>
        </w:rPr>
        <w:t>É constitucional, pois foi devidamente recepcionado pela Constituição Federal de 1988, o procedimento de execução extrajudicial previsto no Decreto-lei nº 70/66.</w:t>
      </w:r>
    </w:p>
    <w:p>
      <w:pPr>
        <w:ind w:left="288"/>
      </w:pPr>
      <w:r>
        <w:rPr>
          <w:b/>
          <w:color w:val="003CA0"/>
          <w:sz w:val="16"/>
        </w:rPr>
        <w:t>[RE 627.106, rel. min. Dias Toffoli, j. 7-4-2021, P, DJE de 14-6-2021, Tema 249, com mérito julgado.]</w:t>
      </w:r>
    </w:p>
    <w:p>
      <w:pPr>
        <w:ind w:left="288"/>
      </w:pPr>
      <w:r>
        <w:rPr>
          <w:color w:val="8C8C8C"/>
          <w:sz w:val="12"/>
        </w:rPr>
        <w:t>cf-art-5-inc-L</w:t>
      </w:r>
      <w:r>
        <w:rPr>
          <w:color w:val="003CA0"/>
          <w:sz w:val="12"/>
        </w:rPr>
        <w:t xml:space="preserve"> | RE 635.145</w:t>
      </w:r>
    </w:p>
    <w:p>
      <w:pPr>
        <w:ind w:left="288"/>
      </w:pPr>
      <w:r>
        <w:rPr>
          <w:color w:val="1E1E1E"/>
          <w:sz w:val="18"/>
        </w:rPr>
        <w:t>É constitucional a citação por hora certa, prevista no art. 362, do Código de Processo Penal. A conformação dada pelo legislador à citação por hora certa está de acordo com a Constituição Federal e com o Pacto de São José da Costa Rica. A ocultação do réu para ser citado infringe cláusulas constitucionais do devido processo legal e viola as garantias constitucionais do acesso à justiça e da razoável duração do processo. O acusado que se utiliza de meios escusos para não ser pessoalmente citado atua em exercício abusivo de seu direito de defesa.</w:t>
      </w:r>
    </w:p>
    <w:p>
      <w:pPr>
        <w:ind w:left="288"/>
      </w:pPr>
      <w:r>
        <w:rPr>
          <w:b/>
          <w:color w:val="003CA0"/>
          <w:sz w:val="16"/>
        </w:rPr>
        <w:t>[RE 635.145, red. do ac. min. Luiz Fux, j. 1º-8-2016, P, DJE de 13-9-2017, Tema 613, com mérito julgado.]</w:t>
      </w:r>
    </w:p>
    <w:p>
      <w:pPr>
        <w:ind w:left="288"/>
      </w:pPr>
      <w:r>
        <w:rPr>
          <w:color w:val="8C8C8C"/>
          <w:sz w:val="12"/>
        </w:rPr>
        <w:t>cf-art-5-inc-L</w:t>
      </w:r>
      <w:r>
        <w:rPr>
          <w:color w:val="003CA0"/>
          <w:sz w:val="12"/>
        </w:rPr>
        <w:t xml:space="preserve"> | ARE 648.629</w:t>
      </w:r>
      <w:r>
        <w:rPr>
          <w:color w:val="003CA0"/>
          <w:sz w:val="12"/>
        </w:rPr>
        <w:t xml:space="preserve"> | rel. Luiz Fux</w:t>
      </w:r>
    </w:p>
    <w:p>
      <w:pPr>
        <w:ind w:left="288"/>
      </w:pPr>
      <w:r>
        <w:rPr>
          <w:color w:val="1E1E1E"/>
          <w:sz w:val="18"/>
        </w:rPr>
        <w:t>As exceções ao princípio da paridade de armas apenas têm lugar quando houver fundamento razoável baseado na necessidade de remediar um desequilíbrio entre as partes, e devem ser interpretadas de modo restritivo, conforme a parêmia exceptiones sunt strictissimae interpretationis. (...) Não se aplica aos juizados especiais federais a prerrogativa de intimação pessoal dos ocupantes de cargo de procurador federal, prevista no art. 17 da Lei 10.910/2004, na medida em que neste rito especial, ante a simplicidade das causas nele julgadas, particular e Fazenda Pública apresentam semelhante, se não idê</w:t>
      </w:r>
    </w:p>
    <w:p>
      <w:pPr>
        <w:ind w:left="288"/>
      </w:pPr>
      <w:r>
        <w:rPr>
          <w:b/>
          <w:color w:val="003CA0"/>
          <w:sz w:val="16"/>
        </w:rPr>
        <w:t>[ARE 648.629, rel. min. Luiz Fux, j. 24-4-2013, P, DJE de 8-4-2014, Tema 549, com mérito julgado.]</w:t>
      </w:r>
    </w:p>
    <w:p>
      <w:pPr>
        <w:ind w:left="288"/>
      </w:pPr>
      <w:r>
        <w:rPr>
          <w:color w:val="8C8C8C"/>
          <w:sz w:val="12"/>
        </w:rPr>
        <w:t>cf-art-5-inc-L</w:t>
      </w:r>
      <w:r>
        <w:rPr>
          <w:color w:val="003CA0"/>
          <w:sz w:val="12"/>
        </w:rPr>
        <w:t xml:space="preserve"> | RE 594.296</w:t>
      </w:r>
      <w:r>
        <w:rPr>
          <w:color w:val="003CA0"/>
          <w:sz w:val="12"/>
        </w:rPr>
        <w:t xml:space="preserve"> | rel. Dias Toffoli</w:t>
      </w:r>
    </w:p>
    <w:p>
      <w:pPr>
        <w:ind w:left="288"/>
      </w:pPr>
      <w:r>
        <w:rPr>
          <w:color w:val="1E1E1E"/>
          <w:sz w:val="18"/>
        </w:rPr>
        <w:t>Ao Estado é facultada a revogação de atos que repute ilegalmente praticados; porém, se de tais atos já decorreram efeitos concretos, seu desfazimento deve ser precedido de regular processo administrativo.</w:t>
      </w:r>
    </w:p>
    <w:p>
      <w:pPr>
        <w:ind w:left="288"/>
      </w:pPr>
      <w:r>
        <w:rPr>
          <w:b/>
          <w:color w:val="003CA0"/>
          <w:sz w:val="16"/>
        </w:rPr>
        <w:t>[RE 594.296, rel. min. Dias Toffoli, j. 21-9-2011, P, DJE de 13-2-2012, Tema 138, com mérito julgado.]</w:t>
      </w:r>
    </w:p>
    <w:p>
      <w:pPr>
        <w:ind w:left="288"/>
      </w:pPr>
      <w:r>
        <w:rPr>
          <w:color w:val="8C8C8C"/>
          <w:sz w:val="12"/>
        </w:rPr>
        <w:t>cf-art-5-inc-L</w:t>
      </w:r>
      <w:r>
        <w:rPr>
          <w:color w:val="003CA0"/>
          <w:sz w:val="12"/>
        </w:rPr>
        <w:t xml:space="preserve"> | AI 710.085</w:t>
      </w:r>
      <w:r>
        <w:rPr>
          <w:color w:val="003CA0"/>
          <w:sz w:val="12"/>
        </w:rPr>
        <w:t xml:space="preserve"> | rel. Ricardo Lewandowski</w:t>
      </w:r>
    </w:p>
    <w:p>
      <w:pPr>
        <w:ind w:left="288"/>
      </w:pPr>
      <w:r>
        <w:rPr>
          <w:color w:val="1E1E1E"/>
          <w:sz w:val="18"/>
        </w:rPr>
        <w:t>Vide AI 710.085 AgR, rel. min. Ricardo Lewandowski, j. 3-2-2009, 1ª T, DJE de 6-3-2009 Cabimento do agravo interno no âmbito dos juizados especiais. Constitucionalidade do julgamento monocrático do recurso desde que haja possibilidade de revisão pelo órgão colegiado.</w:t>
        <w:br/>
        <w:t>[RE 612.359 RG, rel. min. Ellen Gracie, j. 13-8-2010, P, DJE de 27-8-2010, Tema 294, com mérito julgado.] Não fere os preceitos constitucionais a propositura de ação penal em decorrência do não cumprimento das condições estabelecidas em transação penal.</w:t>
        <w:br/>
        <w:t>[RE 602.072 RG-QO, rel. min. Cezar Peluso, j. 19-11-2009, P, DJE de 26-2-2010,</w:t>
      </w:r>
    </w:p>
    <w:p>
      <w:pPr>
        <w:ind w:left="288"/>
      </w:pPr>
      <w:r>
        <w:rPr>
          <w:b/>
          <w:color w:val="003CA0"/>
          <w:sz w:val="16"/>
        </w:rPr>
        <w:t>[RE 576.847, rel. min. Eros Grau, j. 20-5-2009, P, DJE de 7-8-2009, Tema 77, com mérito julgado.]</w:t>
      </w:r>
    </w:p>
    <w:p>
      <w:pPr>
        <w:ind w:left="288"/>
      </w:pPr>
      <w:r>
        <w:rPr>
          <w:color w:val="8C8C8C"/>
          <w:sz w:val="12"/>
        </w:rPr>
        <w:t>cf-art-5-inc-L</w:t>
      </w:r>
      <w:r>
        <w:rPr>
          <w:color w:val="003CA0"/>
          <w:sz w:val="12"/>
        </w:rPr>
        <w:t xml:space="preserve"> | ARE 1.454.259</w:t>
      </w:r>
      <w:r>
        <w:rPr>
          <w:color w:val="003CA0"/>
          <w:sz w:val="12"/>
        </w:rPr>
        <w:t xml:space="preserve"> | rel. Roberto Barroso</w:t>
      </w:r>
    </w:p>
    <w:p>
      <w:pPr>
        <w:ind w:left="288"/>
      </w:pPr>
      <w:r>
        <w:rPr>
          <w:color w:val="1E1E1E"/>
          <w:sz w:val="18"/>
        </w:rPr>
        <w:t>A jurisprudência deste Tribunal já firmou entendimento de que o julgamento de processos no plenário virtual não enseja qualquer prejuízo às partes, sendo uma excepcionalidade, a ser deferida pelo relator. (...) No caso em análise, ainda que o acórdão tenha deixado de apreciar o pedido de destaque, impondo o esclarecimento da omissão, essa não trouxe qualquer prejuízo à parte. As razões apresentadas pela parte embargante não são capazes de justificar a excepcionalidade requerida.</w:t>
      </w:r>
    </w:p>
    <w:p>
      <w:pPr>
        <w:ind w:left="288"/>
      </w:pPr>
      <w:r>
        <w:rPr>
          <w:b/>
          <w:color w:val="003CA0"/>
          <w:sz w:val="16"/>
        </w:rPr>
        <w:t>[ARE 1.454.259-AgR-ED, rel. min. Roberto Barroso, j. 4-12-2023, P, DJE de 8-1-2024.]</w:t>
      </w:r>
    </w:p>
    <w:p>
      <w:pPr>
        <w:ind w:left="288"/>
      </w:pPr>
      <w:r>
        <w:rPr>
          <w:color w:val="8C8C8C"/>
          <w:sz w:val="12"/>
        </w:rPr>
        <w:t>cf-art-5-inc-L</w:t>
      </w:r>
      <w:r>
        <w:rPr>
          <w:color w:val="003CA0"/>
          <w:sz w:val="12"/>
        </w:rPr>
        <w:t xml:space="preserve"> | ARE 1.369.282</w:t>
      </w:r>
      <w:r>
        <w:rPr>
          <w:color w:val="003CA0"/>
          <w:sz w:val="12"/>
        </w:rPr>
        <w:t xml:space="preserve"> | rel. Ricardo Lewandowski</w:t>
      </w:r>
    </w:p>
    <w:p>
      <w:pPr>
        <w:ind w:left="288"/>
      </w:pPr>
      <w:r>
        <w:rPr>
          <w:color w:val="1E1E1E"/>
          <w:sz w:val="18"/>
        </w:rPr>
        <w:t>O dano moral sofrido pela vítima é inerente aos crimes praticados contra a mulher no âmbito doméstico e familiar, de modo que a fixação do respectivo valor mínimo indenizatório (CPP/1941, art. 387, IV) pressupõe o respeito aos princípios do contraditório e da ampla defesa, viabilizados pela oportunidade de manifestação do réu durante o curso da ação penal.</w:t>
      </w:r>
    </w:p>
    <w:p>
      <w:pPr>
        <w:ind w:left="288"/>
      </w:pPr>
      <w:r>
        <w:rPr>
          <w:b/>
          <w:color w:val="003CA0"/>
          <w:sz w:val="16"/>
        </w:rPr>
        <w:t>[ARE 1.369.282 AgR, rel. min. Ricardo Lewandowski, red. do ac. min. Edson Fachin, j. 19-9-2023, 2ª T, DJE de 1-12-2023.]</w:t>
      </w:r>
    </w:p>
    <w:p>
      <w:pPr>
        <w:ind w:left="288"/>
      </w:pPr>
      <w:r>
        <w:rPr>
          <w:color w:val="8C8C8C"/>
          <w:sz w:val="12"/>
        </w:rPr>
        <w:t>cf-art-5-inc-L</w:t>
      </w:r>
      <w:r>
        <w:rPr>
          <w:color w:val="003CA0"/>
          <w:sz w:val="12"/>
        </w:rPr>
        <w:t xml:space="preserve"> | MS 36.849</w:t>
      </w:r>
      <w:r>
        <w:rPr>
          <w:color w:val="003CA0"/>
          <w:sz w:val="12"/>
        </w:rPr>
        <w:t xml:space="preserve"> | rel. Dias Toffoli</w:t>
      </w:r>
    </w:p>
    <w:p>
      <w:pPr>
        <w:ind w:left="288"/>
      </w:pPr>
      <w:r>
        <w:rPr>
          <w:color w:val="1E1E1E"/>
          <w:sz w:val="18"/>
        </w:rPr>
        <w:t>A instauração de procedimento prévio de apuração prescinde da intimação de eventuais responsáveis, os quais apenas ingressam no feito quando da formal instauração da tomada de contas especial. Há possibilidade, destarte, de que, ao cabo desse procedimento, porque meramente preparatório, seja determinado que os sócios da empresa objeto da investigação passem a integrar o polo passivo da tomada de contas especial que será realizada. Inexistência de ofensa aos princípios do contraditório e da ampla defesa nesse proceder, pois o exercício da defesa técnica será devidamente assegurado aos investiga</w:t>
      </w:r>
    </w:p>
    <w:p>
      <w:pPr>
        <w:ind w:left="288"/>
      </w:pPr>
      <w:r>
        <w:rPr>
          <w:b/>
          <w:color w:val="003CA0"/>
          <w:sz w:val="16"/>
        </w:rPr>
        <w:t>[MS 36.849 AgR, rel. min. Dias Toffoli, j. 28-9-2021, 1ª T, DJE de 7-2-2022.]</w:t>
      </w:r>
    </w:p>
    <w:p>
      <w:pPr>
        <w:ind w:left="288"/>
      </w:pPr>
      <w:r>
        <w:rPr>
          <w:color w:val="8C8C8C"/>
          <w:sz w:val="12"/>
        </w:rPr>
        <w:t>cf-art-5-inc-L</w:t>
      </w:r>
      <w:r>
        <w:rPr>
          <w:color w:val="003CA0"/>
          <w:sz w:val="12"/>
        </w:rPr>
        <w:t xml:space="preserve"> | MS 35.715</w:t>
      </w:r>
      <w:r>
        <w:rPr>
          <w:color w:val="003CA0"/>
          <w:sz w:val="12"/>
        </w:rPr>
        <w:t xml:space="preserve"> | rel. Marco Aurelio</w:t>
      </w:r>
    </w:p>
    <w:p>
      <w:pPr>
        <w:ind w:left="288"/>
      </w:pPr>
      <w:r>
        <w:rPr>
          <w:color w:val="1E1E1E"/>
          <w:sz w:val="18"/>
        </w:rPr>
        <w:t xml:space="preserve">Ato do TCU que indeferiu acesso a documentos. (...) O exercício da prerrogativa do TCU relacionada com a competência constitucional implícita para garantir o cumprimento de suas atribuições, conforme o art. 71 da Constituição Federal, encontra-se delimitada por outros valores constitucionais, em especial, o do devido processo legal, que deixou de ser observado no presente caso. Nessa linha de consideração, o poder geral de cautela não exime o TCU de observar o contraditório e a ampla defesa, disponibilizando os documentos levados em consideração para a concessão da medida restritiva, sob pena </w:t>
      </w:r>
    </w:p>
    <w:p>
      <w:pPr>
        <w:ind w:left="288"/>
      </w:pPr>
      <w:r>
        <w:rPr>
          <w:b/>
          <w:color w:val="003CA0"/>
          <w:sz w:val="16"/>
        </w:rPr>
        <w:t>[MS 35.715, rel. min. Marco Aurelio, red. do ac. min. Alexandre de Moraes, j. 3-8-2021, 1ª T, DJE de 25-11-2021.]</w:t>
      </w:r>
    </w:p>
    <w:p>
      <w:pPr>
        <w:ind w:left="288"/>
      </w:pPr>
      <w:r>
        <w:rPr>
          <w:color w:val="8C8C8C"/>
          <w:sz w:val="12"/>
        </w:rPr>
        <w:t>cf-art-5-inc-L</w:t>
      </w:r>
      <w:r>
        <w:rPr>
          <w:color w:val="003CA0"/>
          <w:sz w:val="12"/>
        </w:rPr>
        <w:t xml:space="preserve"> | ACO 2.716</w:t>
      </w:r>
      <w:r>
        <w:rPr>
          <w:color w:val="003CA0"/>
          <w:sz w:val="12"/>
        </w:rPr>
        <w:t xml:space="preserve"> | rel. Marco Aurelio</w:t>
      </w:r>
    </w:p>
    <w:p>
      <w:pPr>
        <w:ind w:left="288"/>
      </w:pPr>
      <w:r>
        <w:rPr>
          <w:color w:val="1E1E1E"/>
          <w:sz w:val="18"/>
        </w:rPr>
        <w:t>A não abertura do procedimento de Tomada de Contas Especial, quando da inscrição dos entes federados nos cadastros de inadimplentes, configura violação aos princípios constitucionais do devido processo legal, do contraditório e da ampla defesa.</w:t>
      </w:r>
    </w:p>
    <w:p>
      <w:pPr>
        <w:ind w:left="288"/>
      </w:pPr>
      <w:r>
        <w:rPr>
          <w:b/>
          <w:color w:val="003CA0"/>
          <w:sz w:val="16"/>
        </w:rPr>
        <w:t>[ACO 2.716, rel. min. Marco Aurelio, j. 11-11-2020, P, DJE de 27-11-2020.]</w:t>
      </w:r>
    </w:p>
    <w:p>
      <w:pPr>
        <w:ind w:left="288"/>
      </w:pPr>
      <w:r>
        <w:rPr>
          <w:color w:val="8C8C8C"/>
          <w:sz w:val="12"/>
        </w:rPr>
        <w:t>cf-art-5-inc-L</w:t>
      </w:r>
      <w:r>
        <w:rPr>
          <w:color w:val="003CA0"/>
          <w:sz w:val="12"/>
        </w:rPr>
        <w:t xml:space="preserve"> | MS 32.505</w:t>
      </w:r>
      <w:r>
        <w:rPr>
          <w:color w:val="003CA0"/>
          <w:sz w:val="12"/>
        </w:rPr>
        <w:t xml:space="preserve"> | rel. Marco Aurélio</w:t>
      </w:r>
    </w:p>
    <w:p>
      <w:pPr>
        <w:ind w:left="288"/>
      </w:pPr>
      <w:r>
        <w:rPr>
          <w:color w:val="1E1E1E"/>
          <w:sz w:val="18"/>
        </w:rPr>
        <w:t>A exigibilidade do contraditório pressupõe o envolvimento, considerado processo administrativo ou judicial, de acusado ou litígio. Descabe observá-lo em julgamento implementado pelo Tribunal de Contas da União ante auditoria realizada em órgão público.</w:t>
      </w:r>
    </w:p>
    <w:p>
      <w:pPr>
        <w:ind w:left="288"/>
      </w:pPr>
      <w:r>
        <w:rPr>
          <w:b/>
          <w:color w:val="003CA0"/>
          <w:sz w:val="16"/>
        </w:rPr>
        <w:t>[MS 32.505, rel. min. Marco Aurélio, j. 22-9-2020, P, DJE de 9-10-2020.]</w:t>
      </w:r>
    </w:p>
    <w:p>
      <w:pPr>
        <w:ind w:left="288"/>
      </w:pPr>
      <w:r>
        <w:rPr>
          <w:color w:val="8C8C8C"/>
          <w:sz w:val="12"/>
        </w:rPr>
        <w:t>cf-art-5-inc-L</w:t>
      </w:r>
      <w:r>
        <w:rPr>
          <w:color w:val="003CA0"/>
          <w:sz w:val="12"/>
        </w:rPr>
        <w:t xml:space="preserve"> | ACO 2.892</w:t>
      </w:r>
    </w:p>
    <w:p>
      <w:pPr>
        <w:ind w:left="288"/>
      </w:pPr>
      <w:r>
        <w:rPr>
          <w:color w:val="1E1E1E"/>
          <w:sz w:val="18"/>
        </w:rPr>
        <w:t>(...) somente após a realização e término do procedimento de tomada de contas especial, é possível a inscrição dos entes federativos nos cadastros federais de inadimplentes que apresentam - e essa a grande importância - a repercussão do repasse de verbas imprescindíveis para continuidade de todos os outros projetos públicos daqueles entes estatais. Cabe lembrar, ainda, que a tomada de contas especial, procedimento pelo qual se alcança o reconhecimento definitivo das regularidades, com a devida observância do contraditório e da ampla defesa, tem suas regras definidas pela Lei 8.433, sendo possí</w:t>
      </w:r>
    </w:p>
    <w:p>
      <w:pPr>
        <w:ind w:left="288"/>
      </w:pPr>
      <w:r>
        <w:rPr>
          <w:b/>
          <w:color w:val="003CA0"/>
          <w:sz w:val="16"/>
        </w:rPr>
        <w:t>[ACO 2.892 AgR, voto do red. do ac. min.. Alexandre de Moraes, j. 11-9-2019, P, DJE de 27-11-2019.]</w:t>
      </w:r>
    </w:p>
    <w:p>
      <w:pPr>
        <w:ind w:left="288"/>
      </w:pPr>
      <w:r>
        <w:rPr>
          <w:color w:val="8C8C8C"/>
          <w:sz w:val="12"/>
        </w:rPr>
        <w:t>cf-art-5-inc-L</w:t>
      </w:r>
      <w:r>
        <w:rPr>
          <w:color w:val="003CA0"/>
          <w:sz w:val="12"/>
        </w:rPr>
        <w:t xml:space="preserve"> | MS 34.690</w:t>
      </w:r>
      <w:r>
        <w:rPr>
          <w:color w:val="003CA0"/>
          <w:sz w:val="12"/>
        </w:rPr>
        <w:t xml:space="preserve"> | rel. Edson Fachin</w:t>
      </w:r>
    </w:p>
    <w:p>
      <w:pPr>
        <w:ind w:left="288"/>
      </w:pPr>
      <w:r>
        <w:rPr>
          <w:color w:val="1E1E1E"/>
          <w:sz w:val="18"/>
        </w:rPr>
        <w:t>São mitigadas as exigências de contraditório na fase interna da tomada de contas especial, pois não existe um processo que tem por finalidade julgar a regularidade das condutas e a responsabilidade dos agentes, mas há apenas um procedimento investigatório da Administração Pública para resguardar a legalidade e a economicidade na aplicação dos recursos públicos.</w:t>
      </w:r>
    </w:p>
    <w:p>
      <w:pPr>
        <w:ind w:left="288"/>
      </w:pPr>
      <w:r>
        <w:rPr>
          <w:b/>
          <w:color w:val="003CA0"/>
          <w:sz w:val="16"/>
        </w:rPr>
        <w:t>[MS 34.690-AgR, rel. min. Edson Fachin, j. 25-9-2018, 2ª T, DJE de 5-10-2018.]</w:t>
      </w:r>
    </w:p>
    <w:p>
      <w:pPr>
        <w:ind w:left="288"/>
      </w:pPr>
      <w:r>
        <w:rPr>
          <w:color w:val="8C8C8C"/>
          <w:sz w:val="12"/>
        </w:rPr>
        <w:t>cf-art-5-inc-L</w:t>
      </w:r>
      <w:r>
        <w:rPr>
          <w:color w:val="003CA0"/>
          <w:sz w:val="12"/>
        </w:rPr>
        <w:t xml:space="preserve"> | MS 34.972</w:t>
      </w:r>
      <w:r>
        <w:rPr>
          <w:color w:val="003CA0"/>
          <w:sz w:val="12"/>
        </w:rPr>
        <w:t xml:space="preserve"> | rel. Marco Aurélio</w:t>
      </w:r>
    </w:p>
    <w:p>
      <w:pPr>
        <w:ind w:left="288"/>
      </w:pPr>
      <w:r>
        <w:rPr>
          <w:color w:val="1E1E1E"/>
          <w:sz w:val="18"/>
        </w:rPr>
        <w:t>A exigibilidade do contraditório pressupõe o envolvimento de acusado ou de litígio, não sendo necessário observá-lo em momento anterior à conversão do processo de monitoramento em tomada de contas especial.</w:t>
      </w:r>
    </w:p>
    <w:p>
      <w:pPr>
        <w:ind w:left="288"/>
      </w:pPr>
      <w:r>
        <w:rPr>
          <w:b/>
          <w:color w:val="003CA0"/>
          <w:sz w:val="16"/>
        </w:rPr>
        <w:t>[MS 34.972, rel. min. Marco Aurélio, j. 8-5-2018, 1ª T, DJE de 21-5-2018.]</w:t>
      </w:r>
    </w:p>
    <w:p>
      <w:pPr>
        <w:ind w:left="288"/>
      </w:pPr>
      <w:r>
        <w:rPr>
          <w:color w:val="8C8C8C"/>
          <w:sz w:val="12"/>
        </w:rPr>
        <w:t>cf-art-5-inc-L</w:t>
      </w:r>
      <w:r>
        <w:rPr>
          <w:color w:val="003CA0"/>
          <w:sz w:val="12"/>
        </w:rPr>
        <w:t xml:space="preserve"> | MS 34.180</w:t>
      </w:r>
      <w:r>
        <w:rPr>
          <w:color w:val="003CA0"/>
          <w:sz w:val="12"/>
        </w:rPr>
        <w:t xml:space="preserve"> | rel. Celso de Mello</w:t>
      </w:r>
    </w:p>
    <w:p>
      <w:pPr>
        <w:ind w:left="288"/>
      </w:pPr>
      <w:r>
        <w:rPr>
          <w:color w:val="1E1E1E"/>
          <w:sz w:val="18"/>
        </w:rPr>
        <w:t xml:space="preserve">(...) assiste ao interessado, mesmo em procedimentos de índole administrativa, como direta emanação da própria garantia constitucional do due process of law (independentemente, portanto, de haver, ou não, previsão normativa nos estatutos que regem a atuação dos órgãos do Estado), a prerrogativa indisponível do contraditório e da plenitude de defesa, com os meios e recursos a ela inerentes, consoante prescreve a Constituição da República, em seu art. 5º, LIV e LV. (...) O exame da garantia constitucional do due process of law permite nela identificar, em seu conteúdo material, alguns elementos </w:t>
      </w:r>
    </w:p>
    <w:p>
      <w:pPr>
        <w:ind w:left="288"/>
      </w:pPr>
      <w:r>
        <w:rPr>
          <w:b/>
          <w:color w:val="003CA0"/>
          <w:sz w:val="16"/>
        </w:rPr>
        <w:t>[HC 129.936, rel. min. Dias Toffoli, j. 31-5-2016, 2ª T, DJE de 15-6-2016.]</w:t>
      </w:r>
    </w:p>
    <w:p>
      <w:pPr>
        <w:ind w:left="288"/>
      </w:pPr>
      <w:r>
        <w:rPr>
          <w:color w:val="8C8C8C"/>
          <w:sz w:val="12"/>
        </w:rPr>
        <w:t>cf-art-5-inc-L</w:t>
      </w:r>
      <w:r>
        <w:rPr>
          <w:color w:val="003CA0"/>
          <w:sz w:val="12"/>
        </w:rPr>
        <w:t xml:space="preserve"> | INQ 4.013</w:t>
      </w:r>
      <w:r>
        <w:rPr>
          <w:color w:val="003CA0"/>
          <w:sz w:val="12"/>
        </w:rPr>
        <w:t xml:space="preserve"> | rel. Marco Aurélio</w:t>
      </w:r>
    </w:p>
    <w:p>
      <w:pPr>
        <w:ind w:left="288"/>
      </w:pPr>
      <w:r>
        <w:rPr>
          <w:color w:val="1E1E1E"/>
          <w:sz w:val="18"/>
        </w:rPr>
        <w:t>Complementos de diligências, como juntada ao processo de inquérito, procedimento administrativo licitatório e transcrição integral das conversas telefônicas interceptadas, podem ser providenciados no curso da instrução, não impedindo o recebimento da denúncia.</w:t>
      </w:r>
    </w:p>
    <w:p>
      <w:pPr>
        <w:ind w:left="288"/>
      </w:pPr>
      <w:r>
        <w:rPr>
          <w:b/>
          <w:color w:val="003CA0"/>
          <w:sz w:val="16"/>
        </w:rPr>
        <w:t>[Inq 4.013, rel. min. Marco Aurélio, j. 5-4-2016, 1ª T, DJE de 25-8-2016.]</w:t>
      </w:r>
    </w:p>
    <w:p>
      <w:pPr>
        <w:ind w:left="288"/>
      </w:pPr>
      <w:r>
        <w:rPr>
          <w:color w:val="8C8C8C"/>
          <w:sz w:val="12"/>
        </w:rPr>
        <w:t>cf-art-5-inc-L</w:t>
      </w:r>
      <w:r>
        <w:rPr>
          <w:color w:val="003CA0"/>
          <w:sz w:val="12"/>
        </w:rPr>
        <w:t xml:space="preserve"> | HC 123.228</w:t>
      </w:r>
      <w:r>
        <w:rPr>
          <w:color w:val="003CA0"/>
          <w:sz w:val="12"/>
        </w:rPr>
        <w:t xml:space="preserve"> | rel. Cármen Lúcia</w:t>
      </w:r>
    </w:p>
    <w:p>
      <w:pPr>
        <w:ind w:left="288"/>
      </w:pPr>
      <w:r>
        <w:rPr>
          <w:color w:val="1E1E1E"/>
          <w:sz w:val="18"/>
        </w:rPr>
        <w:t>Aplicação do rito previsto na Lei 11.719/2008 com a realização do interrogatório ao final da instrução. Pretensão de realização de novo interrogatório ao final da instrução criminal. Art. 400 do CPP. Impossibilidade. Ato praticado conforme à lei vigente à época. Tempus regit actum. (...) Interrogatório dos pacientes ocorrido em data anterior à publicação da Lei 11.719/2008. Impossibilidade de realização de novo interrogatório. Aplicação do princípio do tempus regit actum.</w:t>
      </w:r>
    </w:p>
    <w:p>
      <w:pPr>
        <w:ind w:left="288"/>
      </w:pPr>
      <w:r>
        <w:rPr>
          <w:b/>
          <w:color w:val="003CA0"/>
          <w:sz w:val="16"/>
        </w:rPr>
        <w:t>[HC 123.228, rel. min. Cármen Lúcia, j. 24-6-2015, P, DJE de 28-9-2015.]</w:t>
      </w:r>
    </w:p>
    <w:p>
      <w:pPr>
        <w:ind w:left="288"/>
      </w:pPr>
      <w:r>
        <w:rPr>
          <w:color w:val="8C8C8C"/>
          <w:sz w:val="12"/>
        </w:rPr>
        <w:t>cf-art-5-inc-L</w:t>
      </w:r>
      <w:r>
        <w:rPr>
          <w:color w:val="003CA0"/>
          <w:sz w:val="12"/>
        </w:rPr>
        <w:t xml:space="preserve"> | HC 97.313</w:t>
      </w:r>
      <w:r>
        <w:rPr>
          <w:color w:val="003CA0"/>
          <w:sz w:val="12"/>
        </w:rPr>
        <w:t xml:space="preserve"> | rel. Ellen Gracie</w:t>
      </w:r>
    </w:p>
    <w:p>
      <w:pPr>
        <w:ind w:left="288"/>
      </w:pPr>
      <w:r>
        <w:rPr>
          <w:color w:val="1E1E1E"/>
          <w:sz w:val="18"/>
        </w:rPr>
        <w:t>Vide HC 97.313, rel. min. Ellen Gracie, j. 29-9-2009, 2ª T, DJE de 16-10-2009 O duplo grau não é absoluto no âmbito jurisdicional. Desse modo, a previsão legal de instância única no contencioso administrativo não viola o alegado direito ao mencionado instituto.</w:t>
      </w:r>
    </w:p>
    <w:p>
      <w:pPr>
        <w:ind w:left="288"/>
      </w:pPr>
      <w:r>
        <w:rPr>
          <w:b/>
          <w:color w:val="003CA0"/>
          <w:sz w:val="16"/>
        </w:rPr>
        <w:t>[RE 794.149 AgR, rel. min. Dias Toffoli, j. 18-11-2014, 1ª T, DJE de 4-12-2014.]</w:t>
      </w:r>
    </w:p>
    <w:p>
      <w:pPr>
        <w:ind w:left="288"/>
      </w:pPr>
      <w:r>
        <w:rPr>
          <w:color w:val="8C8C8C"/>
          <w:sz w:val="12"/>
        </w:rPr>
        <w:t>cf-art-5-inc-L</w:t>
      </w:r>
      <w:r>
        <w:rPr>
          <w:color w:val="003CA0"/>
          <w:sz w:val="12"/>
        </w:rPr>
        <w:t xml:space="preserve"> | RHC 117.051</w:t>
      </w:r>
      <w:r>
        <w:rPr>
          <w:color w:val="003CA0"/>
          <w:sz w:val="12"/>
        </w:rPr>
        <w:t xml:space="preserve"> | rel. Luiz Fux</w:t>
      </w:r>
    </w:p>
    <w:p>
      <w:pPr>
        <w:ind w:left="288"/>
      </w:pPr>
      <w:r>
        <w:rPr>
          <w:color w:val="1E1E1E"/>
          <w:sz w:val="18"/>
        </w:rPr>
        <w:t>In casu, a Corte estadual consignou que "não há que se falar em nulidade do feito por falta de intimação do advogado constituído para o interrogatório realizado, por três razões. A uma, porque tal intimação efetivamente ocorreu, conforme certidão (...). A duas, porque não houve prova de prejuízo algum ao acusado, já que os advogados têm livre acesso aos estabelecimentos prisionais e podem orientar adequadamente seus clientes em qualquer momento antes do interrogatório judicial, não sendo prudente que aguardem os breves instantes que antecedem o ato para tanto. A três, porque a defesa constituí</w:t>
      </w:r>
    </w:p>
    <w:p>
      <w:pPr>
        <w:ind w:left="288"/>
      </w:pPr>
      <w:r>
        <w:rPr>
          <w:b/>
          <w:color w:val="003CA0"/>
          <w:sz w:val="16"/>
        </w:rPr>
        <w:t>[RHC 117.051, rel. min. Luiz Fux, j. 6-5-2014, 1ª T, DJE de 23-5-2014.]</w:t>
      </w:r>
    </w:p>
    <w:p>
      <w:pPr>
        <w:ind w:left="288"/>
      </w:pPr>
      <w:r>
        <w:rPr>
          <w:color w:val="8C8C8C"/>
          <w:sz w:val="12"/>
        </w:rPr>
        <w:t>cf-art-5-inc-L</w:t>
      </w:r>
      <w:r>
        <w:rPr>
          <w:color w:val="003CA0"/>
          <w:sz w:val="12"/>
        </w:rPr>
        <w:t xml:space="preserve"> | RHC 89.892</w:t>
      </w:r>
      <w:r>
        <w:rPr>
          <w:color w:val="003CA0"/>
          <w:sz w:val="12"/>
        </w:rPr>
        <w:t xml:space="preserve"> | rel. Celso de Mello</w:t>
      </w:r>
    </w:p>
    <w:p>
      <w:pPr>
        <w:ind w:left="288"/>
      </w:pPr>
      <w:r>
        <w:rPr>
          <w:color w:val="1E1E1E"/>
          <w:sz w:val="18"/>
        </w:rPr>
        <w:t xml:space="preserve">Vide RHC 89.892, rel. min. Celso de Mello, j. 6-3-2007, 2ª T, DJE de 26-4-2013 A administração pública submete-se ao princípio da legalidade, sobrepondo-se ao regulamento a lei em sentido formal e material. (...) Consoante dispõe o inciso II do art. 141 da Lei 8.112/1990, viabilizando o salutar duplo grau administrativo, cumpre à autoridade de hierarquia imediatamente inferior às mencionadas na cabeça do artigo, entre as quais os presidentes dos tribunais federais, impor a suspensão do servidor quando ultrapassado o período de trinta dias. Inconstitucionalidade do Regulamento da Secretaria do </w:t>
      </w:r>
    </w:p>
    <w:p>
      <w:pPr>
        <w:ind w:left="288"/>
      </w:pPr>
      <w:r>
        <w:rPr>
          <w:b/>
          <w:color w:val="003CA0"/>
          <w:sz w:val="16"/>
        </w:rPr>
        <w:t>[MS 28.033, rel. min. Marco Aurélio, j. 23-4-2014, P, DJE de 30-10-2014.]</w:t>
      </w:r>
    </w:p>
    <w:p>
      <w:pPr>
        <w:ind w:left="288"/>
      </w:pPr>
      <w:r>
        <w:rPr>
          <w:color w:val="8C8C8C"/>
          <w:sz w:val="12"/>
        </w:rPr>
        <w:t>cf-art-5-inc-L</w:t>
      </w:r>
      <w:r>
        <w:rPr>
          <w:color w:val="003CA0"/>
          <w:sz w:val="12"/>
        </w:rPr>
        <w:t xml:space="preserve"> | MS 29.270</w:t>
      </w:r>
      <w:r>
        <w:rPr>
          <w:color w:val="003CA0"/>
          <w:sz w:val="12"/>
        </w:rPr>
        <w:t xml:space="preserve"> | rel. Dias Toffoli</w:t>
      </w:r>
    </w:p>
    <w:p>
      <w:pPr>
        <w:ind w:left="288"/>
      </w:pPr>
      <w:r>
        <w:rPr>
          <w:color w:val="1E1E1E"/>
          <w:sz w:val="18"/>
        </w:rPr>
        <w:t>Quando configurada a identidade de objetos, não há violação do contraditório, mas, antes, respeito à duração razoável do processo, na análise conjunta pelo CNJ de pedidos de providência paralelamente instaurados naquele Conselho. Fica dispensada, na hipótese, nova intimação dos interessados, máxime quando suas razões forem apreciadas pelo CNJ e por comissão especialmente instituída no tribunal para o qual for dirigida a ordem do Conselho.</w:t>
      </w:r>
    </w:p>
    <w:p>
      <w:pPr>
        <w:ind w:left="288"/>
      </w:pPr>
      <w:r>
        <w:rPr>
          <w:b/>
          <w:color w:val="003CA0"/>
          <w:sz w:val="16"/>
        </w:rPr>
        <w:t>[MS 29.270 AgR, rel. min. Dias Toffoli, j. 10-4-2014, P, DJE de 2-6-2014.]</w:t>
      </w:r>
    </w:p>
    <w:p>
      <w:pPr>
        <w:ind w:left="288"/>
      </w:pPr>
      <w:r>
        <w:rPr>
          <w:color w:val="8C8C8C"/>
          <w:sz w:val="12"/>
        </w:rPr>
        <w:t>cf-art-5-inc-L</w:t>
      </w:r>
      <w:r>
        <w:rPr>
          <w:color w:val="003CA0"/>
          <w:sz w:val="12"/>
        </w:rPr>
        <w:t xml:space="preserve"> | HC 118.344</w:t>
      </w:r>
      <w:r>
        <w:rPr>
          <w:color w:val="003CA0"/>
          <w:sz w:val="12"/>
        </w:rPr>
        <w:t xml:space="preserve"> | rel. Gilmar Mendes</w:t>
      </w:r>
    </w:p>
    <w:p>
      <w:pPr>
        <w:ind w:left="288"/>
      </w:pPr>
      <w:r>
        <w:rPr>
          <w:color w:val="1E1E1E"/>
          <w:sz w:val="18"/>
        </w:rPr>
        <w:t>Condenação. Apelo defensivo. Juntada do voto divergente quinze dias após a publicação do acórdão no Diário da Justiça. Certificação do trânsito em julgado e expedição do mandado de prisão para o início do cumprimento da pena. Constrangimento ilegal verificado. Violação à ampla defesa. Ausente o voto vencido, ficou a parte impedida de verificar os fundamentos e a extensão da divergência para apresentar corretamente o recurso cabível. Ordem concedida parcialmente para reconhecer a nulidade da certidão de trânsito em julgado da condenação, e, assim, determinar à Corte Estadual que, superada a int</w:t>
      </w:r>
    </w:p>
    <w:p>
      <w:pPr>
        <w:ind w:left="288"/>
      </w:pPr>
      <w:r>
        <w:rPr>
          <w:b/>
          <w:color w:val="003CA0"/>
          <w:sz w:val="16"/>
        </w:rPr>
        <w:t>[HC 118.344, rel. min. Gilmar Mendes, j. 18-3-2014, 2ª T, DJE de 16-6-2014.]</w:t>
      </w:r>
    </w:p>
    <w:p>
      <w:pPr>
        <w:ind w:left="288"/>
      </w:pPr>
      <w:r>
        <w:rPr>
          <w:color w:val="8C8C8C"/>
          <w:sz w:val="12"/>
        </w:rPr>
        <w:t>cf-art-5-inc-L</w:t>
      </w:r>
      <w:r>
        <w:rPr>
          <w:color w:val="003CA0"/>
          <w:sz w:val="12"/>
        </w:rPr>
        <w:t xml:space="preserve"> | MS 28.417</w:t>
      </w:r>
      <w:r>
        <w:rPr>
          <w:color w:val="003CA0"/>
          <w:sz w:val="12"/>
        </w:rPr>
        <w:t xml:space="preserve"> | rel. Dias Toffoli</w:t>
      </w:r>
    </w:p>
    <w:p>
      <w:pPr>
        <w:ind w:left="288"/>
      </w:pPr>
      <w:r>
        <w:rPr>
          <w:color w:val="1E1E1E"/>
          <w:sz w:val="18"/>
        </w:rPr>
        <w:t>As garantias do contraditório e da ampla defesa não são absolutas quando considerado o caráter de urgência do pedido liminar, podendo o relator despachar a medida antes da oitiva das partes interessadas.</w:t>
      </w:r>
    </w:p>
    <w:p>
      <w:pPr>
        <w:ind w:left="288"/>
      </w:pPr>
      <w:r>
        <w:rPr>
          <w:b/>
          <w:color w:val="003CA0"/>
          <w:sz w:val="16"/>
        </w:rPr>
        <w:t>[MS 28.417 AgR, rel. min. Dias Toffoli, j. 27-2-2014, P, DJE de 2-4-2014.]</w:t>
      </w:r>
    </w:p>
    <w:p>
      <w:pPr>
        <w:ind w:left="288"/>
      </w:pPr>
      <w:r>
        <w:rPr>
          <w:color w:val="8C8C8C"/>
          <w:sz w:val="12"/>
        </w:rPr>
        <w:t>cf-art-5-inc-L</w:t>
      </w:r>
      <w:r>
        <w:rPr>
          <w:color w:val="003CA0"/>
          <w:sz w:val="12"/>
        </w:rPr>
        <w:t xml:space="preserve"> | RCL 10.771</w:t>
      </w:r>
      <w:r>
        <w:rPr>
          <w:color w:val="003CA0"/>
          <w:sz w:val="12"/>
        </w:rPr>
        <w:t xml:space="preserve"> | rel. Marco Aurélio</w:t>
      </w:r>
    </w:p>
    <w:p>
      <w:pPr>
        <w:ind w:left="288"/>
      </w:pPr>
      <w:r>
        <w:rPr>
          <w:color w:val="1E1E1E"/>
          <w:sz w:val="18"/>
        </w:rPr>
        <w:t>O Verbete 14 da Súmula Vinculante do Supremo não alcança sindicância administrativa objetivando elucidar fatos sob o ângulo do cometimento de infração administrativa.</w:t>
      </w:r>
    </w:p>
    <w:p>
      <w:pPr>
        <w:ind w:left="288"/>
      </w:pPr>
      <w:r>
        <w:rPr>
          <w:b/>
          <w:color w:val="003CA0"/>
          <w:sz w:val="16"/>
        </w:rPr>
        <w:t>[Rcl 10.771 AgR, rel. min. Marco Aurélio, j. 4-2-2014, 1ª T, DJE de 18-2-2014.]</w:t>
      </w:r>
    </w:p>
    <w:p>
      <w:pPr>
        <w:ind w:left="288"/>
      </w:pPr>
      <w:r>
        <w:rPr>
          <w:color w:val="8C8C8C"/>
          <w:sz w:val="12"/>
        </w:rPr>
        <w:t>cf-art-5-inc-L</w:t>
      </w:r>
      <w:r>
        <w:rPr>
          <w:color w:val="003CA0"/>
          <w:sz w:val="12"/>
        </w:rPr>
        <w:t xml:space="preserve"> | MS 28.290</w:t>
      </w:r>
      <w:r>
        <w:rPr>
          <w:color w:val="003CA0"/>
          <w:sz w:val="12"/>
        </w:rPr>
        <w:t xml:space="preserve"> | rel. Rosa Weber</w:t>
      </w:r>
    </w:p>
    <w:p>
      <w:pPr>
        <w:ind w:left="288"/>
      </w:pPr>
      <w:r>
        <w:rPr>
          <w:color w:val="1E1E1E"/>
          <w:sz w:val="18"/>
        </w:rPr>
        <w:t>Concurso público. Delegação de serviços notariais do Estado de Goiás. Concurso de ingresso. Prova de títulos. Possibilidade de cumulação de pontos relativos a títulos de mesma categoria. Procedimento de controle administrativo (PCA). CNJ. (...) A ausência de notificação a todos os interessados acerca da existência, no CNJ, de PCA relativo à avaliação de títulos em concurso público não implicou afronta à ampla defesa e ao contraditório. Não detinham os candidatos aprovados nas fases anteriores a titularidade de situações jurídicas consolidadas antes de iniciado o PCA. Quando da intervenção do C</w:t>
      </w:r>
    </w:p>
    <w:p>
      <w:pPr>
        <w:ind w:left="288"/>
      </w:pPr>
      <w:r>
        <w:rPr>
          <w:b/>
          <w:color w:val="003CA0"/>
          <w:sz w:val="16"/>
        </w:rPr>
        <w:t>[MS 28.290, MS 28.330, MS 28.375 e MS 28.477, rel. min. Rosa Weber, j. 4-12-2013, P, DJE de 9-5-2014.]</w:t>
      </w:r>
    </w:p>
    <w:p>
      <w:pPr>
        <w:ind w:left="288"/>
      </w:pPr>
      <w:r>
        <w:rPr>
          <w:color w:val="8C8C8C"/>
          <w:sz w:val="12"/>
        </w:rPr>
        <w:t>cf-art-5-inc-L</w:t>
      </w:r>
      <w:r>
        <w:rPr>
          <w:color w:val="003CA0"/>
          <w:sz w:val="12"/>
        </w:rPr>
        <w:t xml:space="preserve"> | AP 528</w:t>
      </w:r>
      <w:r>
        <w:rPr>
          <w:color w:val="003CA0"/>
          <w:sz w:val="12"/>
        </w:rPr>
        <w:t xml:space="preserve"> | rel. Ricardo Lewandowski</w:t>
      </w:r>
    </w:p>
    <w:p>
      <w:pPr>
        <w:ind w:left="288"/>
      </w:pPr>
      <w:r>
        <w:rPr>
          <w:color w:val="1E1E1E"/>
          <w:sz w:val="18"/>
        </w:rPr>
        <w:t xml:space="preserve">O art. 400 do CPP, com a redação dada pela Lei 11.719/2008, fixou o interrogatório do réu como ato derradeiro da instrução penal, prestigiando a máxima efetividade das garantias constitucionais do contraditório e da ampla defesa (CRFB, art. 5º, LV), dimensões elementares do devido processo legal (CRFB, art. 5º, LIV) e cânones essenciais do Estado Democrático de Direito (CRFB, art. 1º, caput), por isso que a nova regra do CPP comum também deve ser observada no processo penal militar, em detrimento da norma específica prevista no art. 302 do DL 1.002/1969, conforme precedente firmado pelo Pleno </w:t>
      </w:r>
    </w:p>
    <w:p>
      <w:pPr>
        <w:ind w:left="288"/>
      </w:pPr>
      <w:r>
        <w:rPr>
          <w:b/>
          <w:color w:val="003CA0"/>
          <w:sz w:val="16"/>
        </w:rPr>
        <w:t>[RHC 119.188, rel. min. Luiz Fux, j. 1º-10-2013, 1ª T, DJE de 23-10-2013.]</w:t>
      </w:r>
    </w:p>
    <w:p>
      <w:pPr>
        <w:ind w:left="288"/>
      </w:pPr>
      <w:r>
        <w:rPr>
          <w:color w:val="8C8C8C"/>
          <w:sz w:val="12"/>
        </w:rPr>
        <w:t>cf-art-5-inc-L</w:t>
      </w:r>
      <w:r>
        <w:rPr>
          <w:color w:val="003CA0"/>
          <w:sz w:val="12"/>
        </w:rPr>
        <w:t xml:space="preserve"> | AP 528</w:t>
      </w:r>
      <w:r>
        <w:rPr>
          <w:color w:val="003CA0"/>
          <w:sz w:val="12"/>
        </w:rPr>
        <w:t xml:space="preserve"> | rel. Ricardo Lewandowski</w:t>
      </w:r>
    </w:p>
    <w:p>
      <w:pPr>
        <w:ind w:left="288"/>
      </w:pPr>
      <w:r>
        <w:rPr>
          <w:color w:val="1E1E1E"/>
          <w:sz w:val="18"/>
        </w:rPr>
        <w:t>Vide AP 528 AgR, rel. min. Ricardo Lewandowski, j. 24-3-2011, P, DJE de 8-6-2011 Sendo a matéria debatida no âmbito do CNJ unicamente de direito, uma vez que relativa à aplicação do princípio da isonomia, a mera apresentação de manifestações e documentos na qualidade de memoriais, por si só, não configura prejuízo à defesa.</w:t>
      </w:r>
    </w:p>
    <w:p>
      <w:pPr>
        <w:ind w:left="288"/>
      </w:pPr>
      <w:r>
        <w:rPr>
          <w:b/>
          <w:color w:val="003CA0"/>
          <w:sz w:val="16"/>
        </w:rPr>
        <w:t>[MS 26.284 ED-ED, rel. min. Dias Toffoli, j. 19-6-2013, P, DJE de 19-9-2013.]</w:t>
      </w:r>
    </w:p>
    <w:p>
      <w:pPr>
        <w:ind w:left="288"/>
      </w:pPr>
      <w:r>
        <w:rPr>
          <w:color w:val="8C8C8C"/>
          <w:sz w:val="12"/>
        </w:rPr>
        <w:t>cf-art-5-inc-L</w:t>
      </w:r>
      <w:r>
        <w:rPr>
          <w:color w:val="003CA0"/>
          <w:sz w:val="12"/>
        </w:rPr>
        <w:t xml:space="preserve"> | AI 742.764</w:t>
      </w:r>
      <w:r>
        <w:rPr>
          <w:color w:val="003CA0"/>
          <w:sz w:val="12"/>
        </w:rPr>
        <w:t xml:space="preserve"> | rel. Luiz Fux</w:t>
      </w:r>
    </w:p>
    <w:p>
      <w:pPr>
        <w:ind w:left="288"/>
      </w:pPr>
      <w:r>
        <w:rPr>
          <w:color w:val="1E1E1E"/>
          <w:sz w:val="18"/>
        </w:rPr>
        <w:t>O advogado diligente que se antecipa à publicação do decisum está a contribuir com a celeridade e a efetividade da entrega da prestação jurisdicional. Desse modo, nos moldes do art. 242 do CPC, o proceder do advogado que teve ciência pessoal e formal de determinado pronunciamento decisório traz como consequência o início da fluência do prazo recursal na data da cientificação, pois estaria abdicando da intimação ficta que se dá via publicação do ato no Diário da Justiça.</w:t>
      </w:r>
    </w:p>
    <w:p>
      <w:pPr>
        <w:ind w:left="288"/>
      </w:pPr>
      <w:r>
        <w:rPr>
          <w:b/>
          <w:color w:val="003CA0"/>
          <w:sz w:val="16"/>
        </w:rPr>
        <w:t>[AI 742.764 AgR-AgR, rel. min. Luiz Fux, j. 28-5-2013, 1ª T, DJE de 12-6-2013.]</w:t>
      </w:r>
    </w:p>
    <w:p>
      <w:pPr>
        <w:ind w:left="288"/>
      </w:pPr>
      <w:r>
        <w:rPr>
          <w:color w:val="8C8C8C"/>
          <w:sz w:val="12"/>
        </w:rPr>
        <w:t>cf-art-5-inc-L</w:t>
      </w:r>
      <w:r>
        <w:rPr>
          <w:color w:val="003CA0"/>
          <w:sz w:val="12"/>
        </w:rPr>
        <w:t xml:space="preserve"> | RE 289.321</w:t>
      </w:r>
      <w:r>
        <w:rPr>
          <w:color w:val="003CA0"/>
          <w:sz w:val="12"/>
        </w:rPr>
        <w:t xml:space="preserve"> | rel. Marco Aurélio</w:t>
      </w:r>
    </w:p>
    <w:p>
      <w:pPr>
        <w:ind w:left="288"/>
      </w:pPr>
      <w:r>
        <w:rPr>
          <w:color w:val="1E1E1E"/>
          <w:sz w:val="18"/>
        </w:rPr>
        <w:t>A estabilidade prevista no art. 19 do ADCT requer tempo de serviço, à época da promulgação da Carta de 1988, igual a cinco anos. (...) A cessação de relação jurídica regida pela CLT, no tocante a servidor público que não detenha a estabilidade, prescinde da formalização de processo administrativo e, portanto, do contraditório.</w:t>
      </w:r>
    </w:p>
    <w:p>
      <w:pPr>
        <w:ind w:left="288"/>
      </w:pPr>
      <w:r>
        <w:rPr>
          <w:b/>
          <w:color w:val="003CA0"/>
          <w:sz w:val="16"/>
        </w:rPr>
        <w:t>[RE 289.321, rel. min. Marco Aurélio, j. 2-12-2010, 1ª T, DJE de 2-6-2011.]</w:t>
      </w:r>
    </w:p>
    <w:p>
      <w:pPr>
        <w:ind w:left="288"/>
      </w:pPr>
      <w:r>
        <w:rPr>
          <w:color w:val="8C8C8C"/>
          <w:sz w:val="12"/>
        </w:rPr>
        <w:t>cf-art-5-inc-L</w:t>
      </w:r>
      <w:r>
        <w:rPr>
          <w:color w:val="003CA0"/>
          <w:sz w:val="12"/>
        </w:rPr>
        <w:t xml:space="preserve"> | MS 29.247</w:t>
      </w:r>
    </w:p>
    <w:p>
      <w:pPr>
        <w:ind w:left="288"/>
      </w:pPr>
      <w:r>
        <w:rPr>
          <w:color w:val="1E1E1E"/>
          <w:sz w:val="18"/>
        </w:rPr>
        <w:t>Doutrina e jurisprudência são unânimes na exigência de que a cassação ou revogação dos atos administrativos benéficos sejam precedidas da oitiva do interessado, em atenção aos princípios constitucionais do contraditório e da ampla defesa, corolários da cláusula do devido processo legal. Contudo, na hipótese em análise, inexiste ato administrativo concessivo do auxílio-alimentação. Ao contrário, a impetrante foi buscar no Poder Judiciário provimento que lhe reconhecesse o direito à percepção da mencionada verba, tendo inclusive formulado pedido de natureza antecipatória. O Juízo da 5ª Vara Fede</w:t>
      </w:r>
    </w:p>
    <w:p>
      <w:pPr>
        <w:ind w:left="288"/>
      </w:pPr>
      <w:r>
        <w:rPr>
          <w:b/>
          <w:color w:val="003CA0"/>
          <w:sz w:val="16"/>
        </w:rPr>
        <w:t>[MS 29.247, voto do min. Marco Aurélio, j. 20-11-2012, 1ª T, DJE de 25-2-2013.]</w:t>
      </w:r>
    </w:p>
    <w:p>
      <w:pPr>
        <w:ind w:left="288"/>
      </w:pPr>
      <w:r>
        <w:rPr>
          <w:color w:val="8C8C8C"/>
          <w:sz w:val="12"/>
        </w:rPr>
        <w:t>cf-art-5-inc-L</w:t>
      </w:r>
      <w:r>
        <w:rPr>
          <w:color w:val="003CA0"/>
          <w:sz w:val="12"/>
        </w:rPr>
        <w:t xml:space="preserve"> | RMS 30.881</w:t>
      </w:r>
      <w:r>
        <w:rPr>
          <w:color w:val="003CA0"/>
          <w:sz w:val="12"/>
        </w:rPr>
        <w:t xml:space="preserve"> | rel. Cármen Lúcia</w:t>
      </w:r>
    </w:p>
    <w:p>
      <w:pPr>
        <w:ind w:left="288"/>
      </w:pPr>
      <w:r>
        <w:rPr>
          <w:color w:val="1E1E1E"/>
          <w:sz w:val="18"/>
        </w:rPr>
        <w:t>O indeferimento motivado de pedido de prova testemunhal formulado após o término da instrução do processo administrativo não caracteriza cerceamento de defesa.</w:t>
      </w:r>
    </w:p>
    <w:p>
      <w:pPr>
        <w:ind w:left="288"/>
      </w:pPr>
      <w:r>
        <w:rPr>
          <w:b/>
          <w:color w:val="003CA0"/>
          <w:sz w:val="16"/>
        </w:rPr>
        <w:t>[RMS 30.881, rel. min. Cármen Lúcia, j. 2-10-2012, 2ª T, DJE de 29-10-2012.]</w:t>
      </w:r>
    </w:p>
    <w:p>
      <w:pPr>
        <w:ind w:left="288"/>
      </w:pPr>
      <w:r>
        <w:rPr>
          <w:color w:val="8C8C8C"/>
          <w:sz w:val="12"/>
        </w:rPr>
        <w:t>cf-art-5-inc-L</w:t>
      </w:r>
      <w:r>
        <w:rPr>
          <w:color w:val="003CA0"/>
          <w:sz w:val="12"/>
        </w:rPr>
        <w:t xml:space="preserve"> | RMS 24.716</w:t>
      </w:r>
      <w:r>
        <w:rPr>
          <w:color w:val="003CA0"/>
          <w:sz w:val="12"/>
        </w:rPr>
        <w:t xml:space="preserve"> | rel. Gilmar Mendes</w:t>
      </w:r>
    </w:p>
    <w:p>
      <w:pPr>
        <w:ind w:left="288"/>
      </w:pPr>
      <w:r>
        <w:rPr>
          <w:color w:val="1E1E1E"/>
          <w:sz w:val="18"/>
        </w:rPr>
        <w:t>É dispensável a intimação de acusado em PAD [processo administrativo disciplinar] para interrogatório dos demais envolvidos, não se configurando, na espécie, cerceamento de defesa (art. 159, § 1º, Lei 8.112/1990). Ausência de intimação do acusado para interrogatório de testemunhas. Cerceamento de defesa configurado. Reconhecimento da ausência de irregularidades na conduta do impetrante. Inexistência de dano ao erário.</w:t>
      </w:r>
    </w:p>
    <w:p>
      <w:pPr>
        <w:ind w:left="288"/>
      </w:pPr>
      <w:r>
        <w:rPr>
          <w:b/>
          <w:color w:val="003CA0"/>
          <w:sz w:val="16"/>
        </w:rPr>
        <w:t>[RMS 24.716, rel. min. Gilmar Mendes, j. 6-3-2012, 2ª T, DJE de 23-5-2012.]</w:t>
      </w:r>
    </w:p>
    <w:p>
      <w:pPr>
        <w:ind w:left="288"/>
      </w:pPr>
      <w:r>
        <w:rPr>
          <w:color w:val="8C8C8C"/>
          <w:sz w:val="12"/>
        </w:rPr>
        <w:t>cf-art-5-inc-L</w:t>
      </w:r>
      <w:r>
        <w:rPr>
          <w:color w:val="003CA0"/>
          <w:sz w:val="12"/>
        </w:rPr>
        <w:t xml:space="preserve"> | RE 337.179</w:t>
      </w:r>
    </w:p>
    <w:p>
      <w:pPr>
        <w:ind w:left="288"/>
      </w:pPr>
      <w:r>
        <w:rPr>
          <w:color w:val="1E1E1E"/>
          <w:sz w:val="18"/>
        </w:rPr>
        <w:t>No rol das garantias, mais precisamente no inciso LV do art. 5º da Carta de 1988, está assegurado aos litigantes, em processo judicial ou administrativo, e aos acusados em geral o contraditório e a ampla defesa, com os meios e recursos a ela inerentes. O preceito visa possibilitar àquele que se diga titular de uma situação jurídica veicular o que entenda a respaldá-la. Pouco importa o móvel de glosa a ser possivelmente implementada. A adequação desta deve submeter-se a análise, concluindo-se, ante as peculiaridades do caso concreto, pela incidência de acontecimento verificado, como na hipótese</w:t>
      </w:r>
    </w:p>
    <w:p>
      <w:pPr>
        <w:ind w:left="288"/>
      </w:pPr>
      <w:r>
        <w:rPr>
          <w:b/>
          <w:color w:val="003CA0"/>
          <w:sz w:val="16"/>
        </w:rPr>
        <w:t>[RE 337.179, voto do min. Marco Aurélio, j. 13-2-2012, 1ª T, DJE de 22-2-2012.]</w:t>
      </w:r>
    </w:p>
    <w:p>
      <w:pPr>
        <w:ind w:left="288"/>
      </w:pPr>
      <w:r>
        <w:rPr>
          <w:color w:val="8C8C8C"/>
          <w:sz w:val="12"/>
        </w:rPr>
        <w:t>cf-art-5-inc-L</w:t>
      </w:r>
      <w:r>
        <w:rPr>
          <w:color w:val="003CA0"/>
          <w:sz w:val="12"/>
        </w:rPr>
        <w:t xml:space="preserve"> | AI 634.719</w:t>
      </w:r>
      <w:r>
        <w:rPr>
          <w:color w:val="003CA0"/>
          <w:sz w:val="12"/>
        </w:rPr>
        <w:t xml:space="preserve"> | rel. Dias Toffoli</w:t>
      </w:r>
    </w:p>
    <w:p>
      <w:pPr>
        <w:ind w:left="288"/>
      </w:pPr>
      <w:r>
        <w:rPr>
          <w:color w:val="1E1E1E"/>
          <w:sz w:val="18"/>
        </w:rPr>
        <w:t>A decisão ora agravada reflete a pacífica jurisprudência desta Corte a respeito do tema, que reconhece a necessidade da observância dos princípios do contraditório e da ampla defesa em procedimento de dispensa de servidor público. Esses postulados devem ser seguidos ainda que se trate de servidor contratado sob o regime celetista e mesmo que ainda se encontre em fase de estágio probatório.</w:t>
      </w:r>
    </w:p>
    <w:p>
      <w:pPr>
        <w:ind w:left="288"/>
      </w:pPr>
      <w:r>
        <w:rPr>
          <w:b/>
          <w:color w:val="003CA0"/>
          <w:sz w:val="16"/>
        </w:rPr>
        <w:t>[AI 634.719 ED, rel. min. Dias Toffoli, j. 7-2-2012, 1ª T, DJE de 9-3-2012.]</w:t>
      </w:r>
    </w:p>
    <w:p>
      <w:pPr>
        <w:ind w:left="288"/>
      </w:pPr>
      <w:r>
        <w:rPr>
          <w:color w:val="8C8C8C"/>
          <w:sz w:val="12"/>
        </w:rPr>
        <w:t>cf-art-5-inc-L</w:t>
      </w:r>
      <w:r>
        <w:rPr>
          <w:color w:val="003CA0"/>
          <w:sz w:val="12"/>
        </w:rPr>
        <w:t xml:space="preserve"> | RE 834.922</w:t>
      </w:r>
      <w:r>
        <w:rPr>
          <w:color w:val="003CA0"/>
          <w:sz w:val="12"/>
        </w:rPr>
        <w:t xml:space="preserve"> | rel. Gilmar Mendes</w:t>
      </w:r>
    </w:p>
    <w:p>
      <w:pPr>
        <w:ind w:left="288"/>
      </w:pPr>
      <w:r>
        <w:rPr>
          <w:color w:val="1E1E1E"/>
          <w:sz w:val="18"/>
        </w:rPr>
        <w:t>= RE 834.922 AgR, rel. min. Gilmar Mendes, j. 24-3-2015, 2ª T, DJE de 17-4-2015 Alegação de nulidade decorrente da falta de intimação pessoal do defensor público para a sessão de julgamento do recurso em sentido estrito. Não ocorrência. Inércia da defesa. Nulidade arguida somente após dois anos.</w:t>
      </w:r>
    </w:p>
    <w:p>
      <w:pPr>
        <w:ind w:left="288"/>
      </w:pPr>
      <w:r>
        <w:rPr>
          <w:b/>
          <w:color w:val="003CA0"/>
          <w:sz w:val="16"/>
        </w:rPr>
        <w:t>[HC 110.603, rel. min. Gilmar Mendes, j. 7-2-2012, 2ª T, DJE de 24-2-2012.]</w:t>
      </w:r>
    </w:p>
    <w:p>
      <w:pPr>
        <w:ind w:left="288"/>
      </w:pPr>
      <w:r>
        <w:rPr>
          <w:color w:val="8C8C8C"/>
          <w:sz w:val="12"/>
        </w:rPr>
        <w:t>cf-art-5-inc-L</w:t>
      </w:r>
      <w:r>
        <w:rPr>
          <w:color w:val="003CA0"/>
          <w:sz w:val="12"/>
        </w:rPr>
        <w:t xml:space="preserve"> | MS 30.604</w:t>
      </w:r>
      <w:r>
        <w:rPr>
          <w:color w:val="003CA0"/>
          <w:sz w:val="12"/>
        </w:rPr>
        <w:t xml:space="preserve"> | rel. Gilmar Mendes</w:t>
      </w:r>
    </w:p>
    <w:p>
      <w:pPr>
        <w:ind w:left="288"/>
      </w:pPr>
      <w:r>
        <w:rPr>
          <w:color w:val="1E1E1E"/>
          <w:sz w:val="18"/>
        </w:rPr>
        <w:t>Mandado de segurança. Concurso público. MPU. Notificação da impetrante via postal do indeferimento do recurso administrativo no qual pleiteava o reconhecimento da condição de portadora de deficiência. Posterior convocação para realização da perícia médica somente mediante a publicação de edital. Não comparecimento. Não é razoável exigir que candidato que tomou conhecimento do indeferimento de seu pleito administrativo por meio de correspondência seja obrigado a continuar acompanhando as publicações referentes ao certame para o qual concorria. Banca examinadora deveria diligenciar no sentido de</w:t>
      </w:r>
    </w:p>
    <w:p>
      <w:pPr>
        <w:ind w:left="288"/>
      </w:pPr>
      <w:r>
        <w:rPr>
          <w:b/>
          <w:color w:val="003CA0"/>
          <w:sz w:val="16"/>
        </w:rPr>
        <w:t>[MS 30.604, rel. min. Gilmar Mendes, j. 29-11-2011, 2ª T, DJE de 1º-3-2012.]</w:t>
      </w:r>
    </w:p>
    <w:p>
      <w:pPr>
        <w:ind w:left="288"/>
      </w:pPr>
      <w:r>
        <w:rPr>
          <w:color w:val="8C8C8C"/>
          <w:sz w:val="12"/>
        </w:rPr>
        <w:t>cf-art-5-inc-L</w:t>
      </w:r>
      <w:r>
        <w:rPr>
          <w:color w:val="003CA0"/>
          <w:sz w:val="12"/>
        </w:rPr>
        <w:t xml:space="preserve"> | MS 28.594</w:t>
      </w:r>
    </w:p>
    <w:p>
      <w:pPr>
        <w:ind w:left="288"/>
      </w:pPr>
      <w:r>
        <w:rPr>
          <w:color w:val="1E1E1E"/>
          <w:sz w:val="18"/>
        </w:rPr>
        <w:t>Como o ato de aprovação dos ora impetrantes representava um ato administrativo benéfico, a sua anulação deveria contar com a prévia instauração do contraditório entre os particulares envolvidos e a administração. Como, na espécie, a anulação não foi precedida de informação e possibilidade de manifestação, o ato do CNJ é nulo de pleno direito, a teor do art. 5º, LV, CRFB e do art. 2º da Lei 9.784/1999, dispositivos nos quais está previsto o princípio do contraditório como de observância cogente pela administração pública.</w:t>
      </w:r>
    </w:p>
    <w:p>
      <w:pPr>
        <w:ind w:left="288"/>
      </w:pPr>
      <w:r>
        <w:rPr>
          <w:b/>
          <w:color w:val="003CA0"/>
          <w:sz w:val="16"/>
        </w:rPr>
        <w:t>[MS 28.594, red. do ac. min. Marco Aurélio, voto do min. Luiz Fux, j. 6-10-2011, P, DJE de 19-10-2012.]</w:t>
      </w:r>
    </w:p>
    <w:p>
      <w:pPr>
        <w:ind w:left="288"/>
      </w:pPr>
      <w:r>
        <w:rPr>
          <w:color w:val="8C8C8C"/>
          <w:sz w:val="12"/>
        </w:rPr>
        <w:t>cf-art-5-inc-L</w:t>
      </w:r>
      <w:r>
        <w:rPr>
          <w:color w:val="003CA0"/>
          <w:sz w:val="12"/>
        </w:rPr>
        <w:t xml:space="preserve"> | RMS 31.661</w:t>
      </w:r>
      <w:r>
        <w:rPr>
          <w:color w:val="003CA0"/>
          <w:sz w:val="12"/>
        </w:rPr>
        <w:t xml:space="preserve"> | rel. Gilmar Mendes</w:t>
      </w:r>
    </w:p>
    <w:p>
      <w:pPr>
        <w:ind w:left="288"/>
      </w:pPr>
      <w:r>
        <w:rPr>
          <w:color w:val="1E1E1E"/>
          <w:sz w:val="18"/>
        </w:rPr>
        <w:t>Vide RMS 31.661, rel. min. Gilmar Mendes, j. 10-12-2013, 2ª T, DJE de 8-5-2014 Os princípios do contraditório e da ampla defesa aplicam-se plenamente à constituição do crédito tributário em desfavor de qualquer espécie de sujeito passivo, irrelevante sua nomenclatura legal (contribuintes, responsáveis, substitutos, devedores solidários etc). Porém, no caso em exame, houve oportunidade de impugnação integral da constituição do crédito tributário, não obstante os lapsos de linguagem da autoridade fiscal.</w:t>
      </w:r>
    </w:p>
    <w:p>
      <w:pPr>
        <w:ind w:left="288"/>
      </w:pPr>
      <w:r>
        <w:rPr>
          <w:b/>
          <w:color w:val="003CA0"/>
          <w:sz w:val="16"/>
        </w:rPr>
        <w:t>[RE 608.426 AgR, rel. min. Joaquim Barbosa, j. 4-10-2011, 2ª T, DJE de 24-10-2011.]</w:t>
      </w:r>
    </w:p>
    <w:p>
      <w:pPr>
        <w:ind w:left="288"/>
      </w:pPr>
      <w:r>
        <w:rPr>
          <w:color w:val="8C8C8C"/>
          <w:sz w:val="12"/>
        </w:rPr>
        <w:t>cf-art-5-inc-L</w:t>
      </w:r>
      <w:r>
        <w:rPr>
          <w:color w:val="003CA0"/>
          <w:sz w:val="12"/>
        </w:rPr>
        <w:t xml:space="preserve"> | RMS 30.234</w:t>
      </w:r>
      <w:r>
        <w:rPr>
          <w:color w:val="003CA0"/>
          <w:sz w:val="12"/>
        </w:rPr>
        <w:t xml:space="preserve"> | rel. Cármen Lúcia</w:t>
      </w:r>
    </w:p>
    <w:p>
      <w:pPr>
        <w:ind w:left="288"/>
      </w:pPr>
      <w:r>
        <w:rPr>
          <w:color w:val="1E1E1E"/>
          <w:sz w:val="18"/>
        </w:rPr>
        <w:t>A apresentação de memoriais não é ato essencial à defesa, mas mera faculdade que pode ser exercida pelas partes em qualquer momento processual anterior ao julgamento da causa. A negativa de adiamento de sessão de julgamento para a prática de ato processual de caráter facultativo não importa em cerceamento de defesa.</w:t>
      </w:r>
    </w:p>
    <w:p>
      <w:pPr>
        <w:ind w:left="288"/>
      </w:pPr>
      <w:r>
        <w:rPr>
          <w:b/>
          <w:color w:val="003CA0"/>
          <w:sz w:val="16"/>
        </w:rPr>
        <w:t>[RMS 30.234, rel. min. Cármen Lúcia, j. 4-10-2011, 1ª T, DJE de 20-10-2011.]</w:t>
      </w:r>
    </w:p>
    <w:p>
      <w:pPr>
        <w:ind w:left="288"/>
      </w:pPr>
      <w:r>
        <w:rPr>
          <w:color w:val="8C8C8C"/>
          <w:sz w:val="12"/>
        </w:rPr>
        <w:t>cf-art-5-inc-L</w:t>
      </w:r>
      <w:r>
        <w:rPr>
          <w:color w:val="003CA0"/>
          <w:sz w:val="12"/>
        </w:rPr>
        <w:t xml:space="preserve"> | MS 27.851</w:t>
      </w:r>
    </w:p>
    <w:p>
      <w:pPr>
        <w:ind w:left="288"/>
      </w:pPr>
      <w:r>
        <w:rPr>
          <w:color w:val="1E1E1E"/>
          <w:sz w:val="18"/>
        </w:rPr>
        <w:t>Desconto nos subsídios de magistrados para a recomposição de valores percebidos indevidamente. A realização do desconto ou a sua majoração dependem da observância do contraditório e da ampla defesa. É que as manifestações de vontade da administração pública devem, à medida do que for possível e viável, tal como in casu, obedecer um processo dialético que conte com a oitiva da parte interessada. A procedimentalização dos atos administrativos exige o respeito e prévia consulta aos administrados afetados quando da edição de um ato estatal executado na função administrativa.</w:t>
      </w:r>
    </w:p>
    <w:p>
      <w:pPr>
        <w:ind w:left="288"/>
      </w:pPr>
      <w:r>
        <w:rPr>
          <w:b/>
          <w:color w:val="003CA0"/>
          <w:sz w:val="16"/>
        </w:rPr>
        <w:t>[MS 27.851, red. do ac. min. Luiz Fux, j. 27-9-2011, 1ª T, DJE de 23-11-2011.]</w:t>
      </w:r>
    </w:p>
    <w:p>
      <w:pPr>
        <w:ind w:left="288"/>
      </w:pPr>
      <w:r>
        <w:rPr>
          <w:color w:val="8C8C8C"/>
          <w:sz w:val="12"/>
        </w:rPr>
        <w:t>cf-art-5-inc-L</w:t>
      </w:r>
      <w:r>
        <w:rPr>
          <w:color w:val="003CA0"/>
          <w:sz w:val="12"/>
        </w:rPr>
        <w:t xml:space="preserve"> | MS 30.932</w:t>
      </w:r>
      <w:r>
        <w:rPr>
          <w:color w:val="003CA0"/>
          <w:sz w:val="12"/>
        </w:rPr>
        <w:t xml:space="preserve"> | rel. Cármen Lúcia</w:t>
      </w:r>
    </w:p>
    <w:p>
      <w:pPr>
        <w:ind w:left="288"/>
      </w:pPr>
      <w:r>
        <w:rPr>
          <w:color w:val="1E1E1E"/>
          <w:sz w:val="18"/>
        </w:rPr>
        <w:t>= MS 30.932, rel. min. Cármen Lúcia, j. 18-12-2012, 2ª T, DJE de 14-5-2013 Prefeito municipal. Contas rejeitadas pela câmara municipal. Direito ao contraditório e à ampla defesa. (...) É pacífica a jurisprudência desta nossa Casa de Justiça no sentido de que é de ser assegurado a ex-prefeito o direito de defesa quando da deliberação da câmara municipal sobre suas contas.</w:t>
      </w:r>
    </w:p>
    <w:p>
      <w:pPr>
        <w:ind w:left="288"/>
      </w:pPr>
      <w:r>
        <w:rPr>
          <w:b/>
          <w:color w:val="003CA0"/>
          <w:sz w:val="16"/>
        </w:rPr>
        <w:t>[RE 414.908 AgR, rel. min. Ayres Britto, j. 16-8-2011, 2ª T, DJE de 18-10-2011.]</w:t>
      </w:r>
    </w:p>
    <w:p>
      <w:pPr>
        <w:ind w:left="288"/>
      </w:pPr>
      <w:r>
        <w:rPr>
          <w:color w:val="8C8C8C"/>
          <w:sz w:val="12"/>
        </w:rPr>
        <w:t>cf-art-5-inc-L</w:t>
      </w:r>
      <w:r>
        <w:rPr>
          <w:color w:val="003CA0"/>
          <w:sz w:val="12"/>
        </w:rPr>
        <w:t xml:space="preserve"> | RE 682.011</w:t>
      </w:r>
      <w:r>
        <w:rPr>
          <w:color w:val="003CA0"/>
          <w:sz w:val="12"/>
        </w:rPr>
        <w:t xml:space="preserve"> | rel. Celso de Mello</w:t>
      </w:r>
    </w:p>
    <w:p>
      <w:pPr>
        <w:ind w:left="288"/>
      </w:pPr>
      <w:r>
        <w:rPr>
          <w:color w:val="1E1E1E"/>
          <w:sz w:val="18"/>
        </w:rPr>
        <w:t>= RE 682.011, rel. min. Celso de Mello, j. 8-6-2012, dec.monocrática, DJE de 13-6-2012 (...) em procedimento administrativo-disciplinar, instaurado para apurar o cometimento de falta grave por réu condenado, tendo em vista estar em jogo a liberdade de ir e vir, deve ser observado amplamente o princípio do contraditório, com a presença de advogado constituído ou defensor público nomeado, devendo ser-lhe apresentada defesa, em observância às regras específicas contidas na LEP (...).</w:t>
      </w:r>
    </w:p>
    <w:p>
      <w:pPr>
        <w:ind w:left="288"/>
      </w:pPr>
      <w:r>
        <w:rPr>
          <w:b/>
          <w:color w:val="003CA0"/>
          <w:sz w:val="16"/>
        </w:rPr>
        <w:t>[RHC 104.584, voto do min. Gilmar Mendes, j. 24-5-2011, 2ª T, DJE de 6-6-2011.]</w:t>
      </w:r>
    </w:p>
    <w:p>
      <w:pPr>
        <w:ind w:left="288"/>
      </w:pPr>
      <w:r>
        <w:rPr>
          <w:color w:val="8C8C8C"/>
          <w:sz w:val="12"/>
        </w:rPr>
        <w:t>cf-art-5-inc-L</w:t>
      </w:r>
      <w:r>
        <w:rPr>
          <w:color w:val="003CA0"/>
          <w:sz w:val="12"/>
        </w:rPr>
        <w:t xml:space="preserve"> | RE 481.955</w:t>
      </w:r>
      <w:r>
        <w:rPr>
          <w:color w:val="003CA0"/>
          <w:sz w:val="12"/>
        </w:rPr>
        <w:t xml:space="preserve"> | rel. Cármen Lúcia</w:t>
      </w:r>
    </w:p>
    <w:p>
      <w:pPr>
        <w:ind w:left="288"/>
      </w:pPr>
      <w:r>
        <w:rPr>
          <w:color w:val="1E1E1E"/>
          <w:sz w:val="18"/>
        </w:rPr>
        <w:t>Desnecessidade de observância no inquérito civil dos princípios do contraditório e da ampla defesa.</w:t>
      </w:r>
    </w:p>
    <w:p>
      <w:pPr>
        <w:ind w:left="288"/>
      </w:pPr>
      <w:r>
        <w:rPr>
          <w:b/>
          <w:color w:val="003CA0"/>
          <w:sz w:val="16"/>
        </w:rPr>
        <w:t>[RE 481.955 AgR, rel. min. Cármen Lúcia, j. 10-5-2011, 1ª T, DJE de 26-5-2011.]</w:t>
      </w:r>
    </w:p>
    <w:p>
      <w:pPr>
        <w:ind w:left="288"/>
      </w:pPr>
      <w:r>
        <w:rPr>
          <w:color w:val="8C8C8C"/>
          <w:sz w:val="12"/>
        </w:rPr>
        <w:t>cf-art-5-inc-L</w:t>
      </w:r>
      <w:r>
        <w:rPr>
          <w:color w:val="003CA0"/>
          <w:sz w:val="12"/>
        </w:rPr>
        <w:t xml:space="preserve"> | HC 82.354</w:t>
      </w:r>
      <w:r>
        <w:rPr>
          <w:color w:val="003CA0"/>
          <w:sz w:val="12"/>
        </w:rPr>
        <w:t xml:space="preserve"> | rel. Sepúlveda Pertence</w:t>
      </w:r>
    </w:p>
    <w:p>
      <w:pPr>
        <w:ind w:left="288"/>
      </w:pPr>
      <w:r>
        <w:rPr>
          <w:color w:val="1E1E1E"/>
          <w:sz w:val="18"/>
        </w:rPr>
        <w:t>Vide HC 82.354, rel. min. Sepúlveda Pertence, j. 10-8-2004, 1ª T, DJ de 24-9-2004 A determinação de elaboração de laudo pericial na fase do inquérito, sem prévio oferecimento de quesitos pela defesa, não ofende o princípio da ampla defesa. Posterior juntada e oportunidade de manifestação da defesa e oferecimento de quesitos.</w:t>
      </w:r>
    </w:p>
    <w:p>
      <w:pPr>
        <w:ind w:left="288"/>
      </w:pPr>
      <w:r>
        <w:rPr>
          <w:b/>
          <w:color w:val="003CA0"/>
          <w:sz w:val="16"/>
        </w:rPr>
        <w:t>[AI 658.050 AgR, rel. min. Joaquim Barbosa, j. 12-4-2011, 2ª T, DJE de 29-4-2011.]</w:t>
      </w:r>
    </w:p>
    <w:p>
      <w:pPr>
        <w:ind w:left="288"/>
      </w:pPr>
      <w:r>
        <w:rPr>
          <w:color w:val="8C8C8C"/>
          <w:sz w:val="12"/>
        </w:rPr>
        <w:t>cf-art-5-inc-L</w:t>
      </w:r>
      <w:r>
        <w:rPr>
          <w:color w:val="003CA0"/>
          <w:sz w:val="12"/>
        </w:rPr>
        <w:t xml:space="preserve"> | HC 106.833</w:t>
      </w:r>
      <w:r>
        <w:rPr>
          <w:color w:val="003CA0"/>
          <w:sz w:val="12"/>
        </w:rPr>
        <w:t xml:space="preserve"> | rel. Ricardo Lewandowski</w:t>
      </w:r>
    </w:p>
    <w:p>
      <w:pPr>
        <w:ind w:left="288"/>
      </w:pPr>
      <w:r>
        <w:rPr>
          <w:color w:val="1E1E1E"/>
          <w:sz w:val="18"/>
        </w:rPr>
        <w:t>A ausência de intimação do advogado constituído pelo paciente para o oferecimento de contrarrazões ao recurso especial interposto importa violação aos princípios do contraditório, da ampla defesa e do devido processo legal.</w:t>
      </w:r>
    </w:p>
    <w:p>
      <w:pPr>
        <w:ind w:left="288"/>
      </w:pPr>
      <w:r>
        <w:rPr>
          <w:b/>
          <w:color w:val="003CA0"/>
          <w:sz w:val="16"/>
        </w:rPr>
        <w:t>[HC 106.833, rel. min. Ricardo Lewandowski, j. 12-4-2011, 1ª T, DJE de 6-5-2011.]</w:t>
      </w:r>
    </w:p>
    <w:p>
      <w:pPr>
        <w:ind w:left="288"/>
      </w:pPr>
      <w:r>
        <w:rPr>
          <w:color w:val="8C8C8C"/>
          <w:sz w:val="12"/>
        </w:rPr>
        <w:t>cf-art-5-inc-L</w:t>
      </w:r>
      <w:r>
        <w:rPr>
          <w:color w:val="003CA0"/>
          <w:sz w:val="12"/>
        </w:rPr>
        <w:t xml:space="preserve"> | AP 528</w:t>
      </w:r>
      <w:r>
        <w:rPr>
          <w:color w:val="003CA0"/>
          <w:sz w:val="12"/>
        </w:rPr>
        <w:t xml:space="preserve"> | rel. Ricardo Lewandowski</w:t>
      </w:r>
    </w:p>
    <w:p>
      <w:pPr>
        <w:ind w:left="288"/>
      </w:pPr>
      <w:r>
        <w:rPr>
          <w:color w:val="1E1E1E"/>
          <w:sz w:val="18"/>
        </w:rPr>
        <w:t>O art. 400 do CPP, com a redação dada pela Lei 11.719/2008, fixou o interrogatório do réu como ato derradeiro da instrução penal. Sendo tal prática benéfica à defesa, deve prevalecer nas ações penais originárias perante o STF, em detrimento do previsto no art. 7º da Lei 8.038/1990 nesse aspecto. Exceção apenas quanto às ações nas quais o interrogatório já se ultimou. Interpretação sistemática e teleológica do direito.</w:t>
      </w:r>
    </w:p>
    <w:p>
      <w:pPr>
        <w:ind w:left="288"/>
      </w:pPr>
      <w:r>
        <w:rPr>
          <w:b/>
          <w:color w:val="003CA0"/>
          <w:sz w:val="16"/>
        </w:rPr>
        <w:t>[AP 528 AgR, rel. min. Ricardo Lewandowski, j. 24-3-2011, P, DJE de 8-6-2011.]</w:t>
      </w:r>
    </w:p>
    <w:p>
      <w:pPr>
        <w:ind w:left="288"/>
      </w:pPr>
      <w:r>
        <w:rPr>
          <w:color w:val="8C8C8C"/>
          <w:sz w:val="12"/>
        </w:rPr>
        <w:t>cf-art-5-inc-L</w:t>
      </w:r>
      <w:r>
        <w:rPr>
          <w:color w:val="003CA0"/>
          <w:sz w:val="12"/>
        </w:rPr>
        <w:t xml:space="preserve"> | AP 470</w:t>
      </w:r>
      <w:r>
        <w:rPr>
          <w:color w:val="003CA0"/>
          <w:sz w:val="12"/>
        </w:rPr>
        <w:t xml:space="preserve"> | rel. Joaquim Barbosa</w:t>
      </w:r>
    </w:p>
    <w:p>
      <w:pPr>
        <w:ind w:left="288"/>
      </w:pPr>
      <w:r>
        <w:rPr>
          <w:color w:val="1E1E1E"/>
          <w:sz w:val="18"/>
        </w:rPr>
        <w:t>Vide AP 470 QO-oitava, rel. min. Joaquim Barbosa, j. 7-10-2010, P, DJE de 2-5-2011 A recente jurisprudência consolidada do STF passou a se manifestar no sentido de exigir que o TCU assegure a ampla defesa e o contraditório nos casos em que o controle externo de legalidade exercido pela Corte de Contas, para registro de aposentadorias e pensões, ultrapassar o prazo de cinco anos, sob pena de ofensa ao princípio da confiança – face subjetiva do princípio da segurança jurídica.</w:t>
      </w:r>
    </w:p>
    <w:p>
      <w:pPr>
        <w:ind w:left="288"/>
      </w:pPr>
      <w:r>
        <w:rPr>
          <w:b/>
          <w:color w:val="003CA0"/>
          <w:sz w:val="16"/>
        </w:rPr>
        <w:t>[MS 24.781, red. do ac. min. Gilmar Mendes, j. 2-3-2011, P, DJE de 9-6-2011.]</w:t>
      </w:r>
    </w:p>
    <w:p>
      <w:pPr>
        <w:ind w:left="288"/>
      </w:pPr>
      <w:r>
        <w:rPr>
          <w:color w:val="8C8C8C"/>
          <w:sz w:val="12"/>
        </w:rPr>
        <w:t>cf-art-5-inc-L</w:t>
      </w:r>
      <w:r>
        <w:rPr>
          <w:color w:val="003CA0"/>
          <w:sz w:val="12"/>
        </w:rPr>
        <w:t xml:space="preserve"> | MS 31.342</w:t>
      </w:r>
      <w:r>
        <w:rPr>
          <w:color w:val="003CA0"/>
          <w:sz w:val="12"/>
        </w:rPr>
        <w:t xml:space="preserve"> | rel. Dias Toffoli</w:t>
      </w:r>
    </w:p>
    <w:p>
      <w:pPr>
        <w:ind w:left="288"/>
      </w:pPr>
      <w:r>
        <w:rPr>
          <w:color w:val="1E1E1E"/>
          <w:sz w:val="18"/>
        </w:rPr>
        <w:t>= MS 31.342 AgR, rel. min. Dias Toffoli, j. 30-10-2012, 1ª T, DJE de 10-12-2012 (...) a decisão prolatada por esta Corte nos autos da ADC 4/DF não veda toda e qualquer antecipação de tutela contra a Fazenda Pública, mas tão somente as hipóteses taxativamente previstas no art. 1º da Lei 9.494/1997. A preocupação do Plenário deste Tribunal no julgamento da ADC 4 MC/DF foi justamente a de preservar a Fazenda Pública contra o deferimento generalizado de tutelas antecipatórias, em sede de cognição sumária, sem a observância do contraditório e da ampla defesa.</w:t>
      </w:r>
    </w:p>
    <w:p>
      <w:pPr>
        <w:ind w:left="288"/>
      </w:pPr>
      <w:r>
        <w:rPr>
          <w:b/>
          <w:color w:val="003CA0"/>
          <w:sz w:val="16"/>
        </w:rPr>
        <w:t>[Rcl 6.327 AgR, voto do min. Ricardo Lewandowski, j. 2-3-2011, P, DJE de 1º-4-2011.]</w:t>
      </w:r>
    </w:p>
    <w:p>
      <w:pPr>
        <w:ind w:left="288"/>
      </w:pPr>
      <w:r>
        <w:rPr>
          <w:color w:val="8C8C8C"/>
          <w:sz w:val="12"/>
        </w:rPr>
        <w:t>cf-art-5-inc-L</w:t>
      </w:r>
      <w:r>
        <w:rPr>
          <w:color w:val="003CA0"/>
          <w:sz w:val="12"/>
        </w:rPr>
        <w:t xml:space="preserve"> | MS 28.061</w:t>
      </w:r>
      <w:r>
        <w:rPr>
          <w:color w:val="003CA0"/>
          <w:sz w:val="12"/>
        </w:rPr>
        <w:t xml:space="preserve"> | rel. Ellen Gracie</w:t>
      </w:r>
    </w:p>
    <w:p>
      <w:pPr>
        <w:ind w:left="288"/>
      </w:pPr>
      <w:r>
        <w:rPr>
          <w:color w:val="1E1E1E"/>
          <w:sz w:val="18"/>
        </w:rPr>
        <w:t>O TCU considerou legal o ato de concessão inicial de pensão do montepio civil da União em favor da impetrante e de sua irmã, ordenando o seu registro. A Corte de Contas também determinou a adoção de medidas com o objetivo de efetuar a alteração dessa pensão para que a irmã da impetrante passasse a ser a única beneficiária, com fundamento em suposta ocorrência de união estável superveniente. Necessidade de garantir-se à impetrante o exercício do contraditório e da ampla defesa quanto à suposta união estável por ela mantida. Incidência na espécie da Súmula Vinculante 3. Cassação do acórdão do TC</w:t>
      </w:r>
    </w:p>
    <w:p>
      <w:pPr>
        <w:ind w:left="288"/>
      </w:pPr>
      <w:r>
        <w:rPr>
          <w:b/>
          <w:color w:val="003CA0"/>
          <w:sz w:val="16"/>
        </w:rPr>
        <w:t>[MS 28.061 AgR, rel. min. Ellen Gracie, j. 2-3-2011, P, DJE de 11-4-2011.]</w:t>
      </w:r>
    </w:p>
    <w:p>
      <w:pPr>
        <w:ind w:left="288"/>
      </w:pPr>
      <w:r>
        <w:rPr>
          <w:color w:val="8C8C8C"/>
          <w:sz w:val="12"/>
        </w:rPr>
        <w:t>cf-art-5-inc-L</w:t>
      </w:r>
      <w:r>
        <w:rPr>
          <w:color w:val="003CA0"/>
          <w:sz w:val="12"/>
        </w:rPr>
        <w:t xml:space="preserve"> | HC 102.019</w:t>
      </w:r>
      <w:r>
        <w:rPr>
          <w:color w:val="003CA0"/>
          <w:sz w:val="12"/>
        </w:rPr>
        <w:t xml:space="preserve"> | rel. Ricardo Lewandowski</w:t>
      </w:r>
    </w:p>
    <w:p>
      <w:pPr>
        <w:ind w:left="288"/>
      </w:pPr>
      <w:r>
        <w:rPr>
          <w:color w:val="1E1E1E"/>
          <w:sz w:val="18"/>
        </w:rPr>
        <w:t>A defesa técnica é aquela exercida por profissional legalmente habilitado, com capacidade postulatória, constituindo direito indisponível e irrenunciável. A pretensão do paciente de realizar sua própria defesa mostra-se inadmissível, pois se trata de faculdade excepcional, exercida nas hipóteses estritamente previstas na Constituição e nas leis processuais. Ao réu é assegurado o exercício da autodefesa consistente em ser interrogado pelo juízo ou em invocar direito ao silêncio, bem como de poder acompanhar os atos da instrução criminal, além de apresentar ao respectivo advogado a sua versão do</w:t>
      </w:r>
    </w:p>
    <w:p>
      <w:pPr>
        <w:ind w:left="288"/>
      </w:pPr>
      <w:r>
        <w:rPr>
          <w:b/>
          <w:color w:val="003CA0"/>
          <w:sz w:val="16"/>
        </w:rPr>
        <w:t>[HC 102.019, rel. min. Ricardo Lewandowski, j. 17-8-2010, 1ª T, DJE de 22-10-2010.]</w:t>
      </w:r>
    </w:p>
    <w:p>
      <w:pPr>
        <w:ind w:left="288"/>
      </w:pPr>
      <w:r>
        <w:rPr>
          <w:color w:val="8C8C8C"/>
          <w:sz w:val="12"/>
        </w:rPr>
        <w:t>cf-art-5-inc-L</w:t>
      </w:r>
      <w:r>
        <w:rPr>
          <w:color w:val="003CA0"/>
          <w:sz w:val="12"/>
        </w:rPr>
        <w:t xml:space="preserve"> | HC 102.836</w:t>
      </w:r>
      <w:r>
        <w:rPr>
          <w:color w:val="003CA0"/>
          <w:sz w:val="12"/>
        </w:rPr>
        <w:t xml:space="preserve"> | rel. Cármen Lúcia</w:t>
      </w:r>
    </w:p>
    <w:p>
      <w:pPr>
        <w:ind w:left="288"/>
      </w:pPr>
      <w:r>
        <w:rPr>
          <w:color w:val="1E1E1E"/>
          <w:sz w:val="18"/>
        </w:rPr>
        <w:t>Vide HC 102.836 AgR, rel. min. Cármen Lúcia, red. do ac. min. Dias Toffoli, j. 8-11-2011, 1ª T, DJE de 27-2-2012 Vide RHC 104.723, rel. min. Dias Toffoli, j. 23-11-2010, 1ª T, DJE de 22-2-2011 Vide HC 99.330, rel. min. Ellen Gracie, red. do ac. min. Eros Grau, j. 16-3-2010, 2ª T, DJE de 23-4-2010 Vide RE 459.131, rel. min. Ricardo Lewandowski, j. 12-8-2008, 1ª T, DJE de 12-9-2008 Não há risco de grave lesão à ordem pública na decisão judicial que determina sejam observados os princípios da ampla defesa e do contraditório em processo administrativo instaurado para anular contrato de concessão d</w:t>
      </w:r>
    </w:p>
    <w:p>
      <w:pPr>
        <w:ind w:left="288"/>
      </w:pPr>
      <w:r>
        <w:rPr>
          <w:b/>
          <w:color w:val="003CA0"/>
          <w:sz w:val="16"/>
        </w:rPr>
        <w:t>[SS 3.952 AgR, rel. min. Cezar Peluso, j. 12-8-2010, P, DJE de 27-8-2010.]</w:t>
      </w:r>
    </w:p>
    <w:p>
      <w:pPr>
        <w:ind w:left="288"/>
      </w:pPr>
      <w:r>
        <w:rPr>
          <w:color w:val="8C8C8C"/>
          <w:sz w:val="12"/>
        </w:rPr>
        <w:t>cf-art-5-inc-L</w:t>
      </w:r>
      <w:r>
        <w:rPr>
          <w:color w:val="003CA0"/>
          <w:sz w:val="12"/>
        </w:rPr>
        <w:t xml:space="preserve"> | HC 102.375</w:t>
      </w:r>
      <w:r>
        <w:rPr>
          <w:color w:val="003CA0"/>
          <w:sz w:val="12"/>
        </w:rPr>
        <w:t xml:space="preserve"> | rel. Cármen Lúcia</w:t>
      </w:r>
    </w:p>
    <w:p>
      <w:pPr>
        <w:ind w:left="288"/>
      </w:pPr>
      <w:r>
        <w:rPr>
          <w:color w:val="1E1E1E"/>
          <w:sz w:val="18"/>
        </w:rPr>
        <w:t>(...) o acusado se defende dos fatos narrados, e não da capitulação dada pelo Ministério Público. O juiz pode dar aos eventos delituosos descritos na inicial acusatória a classificação legal que entender mais adequada, procedendo à emenda na acusação (emendatio libelli), sem que isso gere surpresa para a defesa. A peça inicial acusatória, na forma redigida, possibilitou ao paciente saber exatamente os fatos que lhe eram imputados, não havendo que se falar em acusação incerta, que tivesse dificultado ou inviabilizado o exercício da defesa.</w:t>
      </w:r>
    </w:p>
    <w:p>
      <w:pPr>
        <w:ind w:left="288"/>
      </w:pPr>
      <w:r>
        <w:rPr>
          <w:b/>
          <w:color w:val="003CA0"/>
          <w:sz w:val="16"/>
        </w:rPr>
        <w:t>[HC 102.375, rel. min. Cármen Lúcia, j. 29-6-2010, 1ª T, DJE de 20-8-2010.]</w:t>
      </w:r>
    </w:p>
    <w:p>
      <w:pPr>
        <w:ind w:left="288"/>
      </w:pPr>
      <w:r>
        <w:rPr>
          <w:color w:val="8C8C8C"/>
          <w:sz w:val="12"/>
        </w:rPr>
        <w:t>cf-art-5-inc-L</w:t>
      </w:r>
      <w:r>
        <w:rPr>
          <w:color w:val="003CA0"/>
          <w:sz w:val="12"/>
        </w:rPr>
        <w:t xml:space="preserve"> | AP 372</w:t>
      </w:r>
      <w:r>
        <w:rPr>
          <w:color w:val="003CA0"/>
          <w:sz w:val="12"/>
        </w:rPr>
        <w:t xml:space="preserve"> | rel. Dias Toffoli</w:t>
      </w:r>
    </w:p>
    <w:p>
      <w:pPr>
        <w:ind w:left="288"/>
      </w:pPr>
      <w:r>
        <w:rPr>
          <w:color w:val="1E1E1E"/>
          <w:sz w:val="18"/>
        </w:rPr>
        <w:t>= AP 372, rel. min. Dias Toffoli, j. 16-12-2010, P, DJE de 4-4-2011 As notas taquigráficas são revisadas e devolvidas pelos ministros no prazo regimental. Durante esse período as manifestações podem ser canceladas pelo ministro que as houver proferido, hipótese em que não serão publicadas com o acórdão. Não há nulidade na publicação de acórdão sem a juntada de voto vogal que aderiu à tese vencedora do acórdão recorrido e foi cancelado na revisão de notas taquigráficas pelo ministro que o proferiu.</w:t>
      </w:r>
    </w:p>
    <w:p>
      <w:pPr>
        <w:ind w:left="288"/>
      </w:pPr>
      <w:r>
        <w:rPr>
          <w:b/>
          <w:color w:val="003CA0"/>
          <w:sz w:val="16"/>
        </w:rPr>
        <w:t>[RE 592.905 ED, rel. min. Eros Grau, j. 17-6-2010, P, DJE de 6-8-2010.]</w:t>
      </w:r>
    </w:p>
    <w:p>
      <w:pPr>
        <w:ind w:left="288"/>
      </w:pPr>
      <w:r>
        <w:rPr>
          <w:color w:val="8C8C8C"/>
          <w:sz w:val="12"/>
        </w:rPr>
        <w:t>cf-art-5-inc-L</w:t>
      </w:r>
      <w:r>
        <w:rPr>
          <w:color w:val="003CA0"/>
          <w:sz w:val="12"/>
        </w:rPr>
        <w:t xml:space="preserve"> | INQ 2.424</w:t>
      </w:r>
      <w:r>
        <w:rPr>
          <w:color w:val="003CA0"/>
          <w:sz w:val="12"/>
        </w:rPr>
        <w:t xml:space="preserve"> | rel. Gilmar Mendes</w:t>
      </w:r>
    </w:p>
    <w:p>
      <w:pPr>
        <w:ind w:left="288"/>
      </w:pPr>
      <w:r>
        <w:rPr>
          <w:color w:val="1E1E1E"/>
          <w:sz w:val="18"/>
        </w:rPr>
        <w:t>= Inq 2.424 ED, rel. min. Gilmar Mendes, j. 19-8-2010, P, DJE de 21-10-2011 Ausência de comunicação ao advogado da sessão de julgamento. Nulidade por cerceamento de defesa. Inocorrência. (...) É desnecessária de nova publicação quando o feito é incluído em pauta e julgado em prazo razoável nas sessões subsequentes, depois de cientificado o advogado. (...) Não há violação dos princípios do contraditório e da ampla defesa, quando, em julgamento de recurso de apelação do Ministério Público, o Tribunal aplica agravante não reconhecida pelo juiz de primeiro grau, mas cuja existência consta dos auto</w:t>
      </w:r>
    </w:p>
    <w:p>
      <w:pPr>
        <w:ind w:left="288"/>
      </w:pPr>
      <w:r>
        <w:rPr>
          <w:b/>
          <w:color w:val="003CA0"/>
          <w:sz w:val="16"/>
        </w:rPr>
        <w:t>[RHC 99.306, rel. min. Ricardo Lewandowski, j. 16-6-2010, 1ª T, DJE de 20-8-2010.]</w:t>
      </w:r>
    </w:p>
    <w:p>
      <w:pPr>
        <w:ind w:left="288"/>
      </w:pPr>
      <w:r>
        <w:rPr>
          <w:color w:val="8C8C8C"/>
          <w:sz w:val="12"/>
        </w:rPr>
        <w:t>cf-art-5-inc-L</w:t>
      </w:r>
      <w:r>
        <w:rPr>
          <w:color w:val="003CA0"/>
          <w:sz w:val="12"/>
        </w:rPr>
        <w:t xml:space="preserve"> | MS 26.872</w:t>
      </w:r>
      <w:r>
        <w:rPr>
          <w:color w:val="003CA0"/>
          <w:sz w:val="12"/>
        </w:rPr>
        <w:t xml:space="preserve"> | rel. Marco Aurélio</w:t>
      </w:r>
    </w:p>
    <w:p>
      <w:pPr>
        <w:ind w:left="288"/>
      </w:pPr>
      <w:r>
        <w:rPr>
          <w:color w:val="1E1E1E"/>
          <w:sz w:val="18"/>
        </w:rPr>
        <w:t>Aposentadoria. Registro. Revisão. Direito de defesa. Surgindo do processo notícia sobre a ciência do beneficiário do registro da aposentadoria revisto, tem-se como observado o devido processo administrativo.</w:t>
      </w:r>
    </w:p>
    <w:p>
      <w:pPr>
        <w:ind w:left="288"/>
      </w:pPr>
      <w:r>
        <w:rPr>
          <w:b/>
          <w:color w:val="003CA0"/>
          <w:sz w:val="16"/>
        </w:rPr>
        <w:t>[MS 26.872, rel. min. Marco Aurélio, j. 19-5-2010, P, DJE de 6-8-2010.]</w:t>
      </w:r>
    </w:p>
    <w:p>
      <w:pPr>
        <w:ind w:left="288"/>
      </w:pPr>
      <w:r>
        <w:rPr>
          <w:color w:val="8C8C8C"/>
          <w:sz w:val="12"/>
        </w:rPr>
        <w:t>cf-art-5-inc-L</w:t>
      </w:r>
      <w:r>
        <w:rPr>
          <w:color w:val="003CA0"/>
          <w:sz w:val="12"/>
        </w:rPr>
        <w:t xml:space="preserve"> | HC 96.943</w:t>
      </w:r>
      <w:r>
        <w:rPr>
          <w:color w:val="003CA0"/>
          <w:sz w:val="12"/>
        </w:rPr>
        <w:t xml:space="preserve"> | rel. Marco Aurélio</w:t>
      </w:r>
    </w:p>
    <w:p>
      <w:pPr>
        <w:ind w:left="288"/>
      </w:pPr>
      <w:r>
        <w:rPr>
          <w:color w:val="1E1E1E"/>
          <w:sz w:val="18"/>
        </w:rPr>
        <w:t>Havendo ocorrido a intimação para ciência da sentença, vindo a defesa a manifestar-se no sentido de não interpor recurso, fazendo-o mediante atuação de representante processual constituído, descabe versar nulidade.</w:t>
      </w:r>
    </w:p>
    <w:p>
      <w:pPr>
        <w:ind w:left="288"/>
      </w:pPr>
      <w:r>
        <w:rPr>
          <w:b/>
          <w:color w:val="003CA0"/>
          <w:sz w:val="16"/>
        </w:rPr>
        <w:t>[HC 96.943, rel. min. Marco Aurélio, j. 18-5-2010, 1ª T, DJE de 4-6-2010.]</w:t>
      </w:r>
    </w:p>
    <w:p>
      <w:pPr>
        <w:ind w:left="288"/>
      </w:pPr>
      <w:r>
        <w:rPr>
          <w:color w:val="8C8C8C"/>
          <w:sz w:val="12"/>
        </w:rPr>
        <w:t>cf-art-5-inc-L</w:t>
      </w:r>
      <w:r>
        <w:rPr>
          <w:color w:val="003CA0"/>
          <w:sz w:val="12"/>
        </w:rPr>
        <w:t xml:space="preserve"> | HC 93.120</w:t>
      </w:r>
      <w:r>
        <w:rPr>
          <w:color w:val="003CA0"/>
          <w:sz w:val="12"/>
        </w:rPr>
        <w:t xml:space="preserve"> | rel. Joaquim Barbosa</w:t>
      </w:r>
    </w:p>
    <w:p>
      <w:pPr>
        <w:ind w:left="288"/>
      </w:pPr>
      <w:r>
        <w:rPr>
          <w:color w:val="1E1E1E"/>
          <w:sz w:val="18"/>
        </w:rPr>
        <w:t>Vide HC 93.120, rel. min. Joaquim Barbosa, j. 8-4-2008, 2ª T, DJE de 27-6-2008 Não há nulidade, por falta de intimação dos advogados, quando o réu é intimado pessoalmente da sentença de pronúncia e, conforme restou comprovado, sua defesa revelou plena ciência do ato. A alegação de eventual nulidade deve ser arguida em momento oportuno sob pena de preclusão. Necessária, também, a comprovação do prejuízo sofrido.</w:t>
      </w:r>
    </w:p>
    <w:p>
      <w:pPr>
        <w:ind w:left="288"/>
      </w:pPr>
      <w:r>
        <w:rPr>
          <w:b/>
          <w:color w:val="003CA0"/>
          <w:sz w:val="16"/>
        </w:rPr>
        <w:t>[RHC 99.685, rel. min. Ricardo Lewandowski, j. 18-5-2010, 1ª T, DJE de 4-6-2010.]</w:t>
      </w:r>
    </w:p>
    <w:p>
      <w:pPr>
        <w:ind w:left="288"/>
      </w:pPr>
      <w:r>
        <w:rPr>
          <w:color w:val="8C8C8C"/>
          <w:sz w:val="12"/>
        </w:rPr>
        <w:t>cf-art-5-inc-L</w:t>
      </w:r>
      <w:r>
        <w:rPr>
          <w:color w:val="003CA0"/>
          <w:sz w:val="12"/>
        </w:rPr>
        <w:t xml:space="preserve"> | HC 95.712</w:t>
      </w:r>
      <w:r>
        <w:rPr>
          <w:color w:val="003CA0"/>
          <w:sz w:val="12"/>
        </w:rPr>
        <w:t xml:space="preserve"> | rel. Ayres Britto</w:t>
      </w:r>
    </w:p>
    <w:p>
      <w:pPr>
        <w:ind w:left="288"/>
      </w:pPr>
      <w:r>
        <w:rPr>
          <w:color w:val="1E1E1E"/>
          <w:sz w:val="18"/>
        </w:rPr>
        <w:t>Funcionário público. (...) Art. 514 do CPP. (...) a ausência de oportunidade para o oferecimento da resposta preliminar na ocasião legalmente assinalada revela-se incompatível com a pureza do princípio constitucional da plenitude de defesa e do contraditório, mormente em matéria penal. Noutros termos, a falta da defesa preliminar à decisão judicial quanto ao recebimento da denúncia, em processo tão vincado pela garantia constitucional da ampla defesa e do contraditório, como efetivamente é o processo penal, caracteriza vício insanável. A ampla defesa é transformada em curta defesa, ainda que p</w:t>
      </w:r>
    </w:p>
    <w:p>
      <w:pPr>
        <w:ind w:left="288"/>
      </w:pPr>
      <w:r>
        <w:rPr>
          <w:b/>
          <w:color w:val="003CA0"/>
          <w:sz w:val="16"/>
        </w:rPr>
        <w:t>[HC 95.712, rel. min. Ayres Britto, j. 20-4-2010, 1ª T, DJE de 21-5-2010.]</w:t>
      </w:r>
    </w:p>
    <w:p>
      <w:pPr>
        <w:ind w:left="288"/>
      </w:pPr>
      <w:r>
        <w:rPr>
          <w:color w:val="8C8C8C"/>
          <w:sz w:val="12"/>
        </w:rPr>
        <w:t>cf-art-5-inc-L</w:t>
      </w:r>
      <w:r>
        <w:rPr>
          <w:color w:val="003CA0"/>
          <w:sz w:val="12"/>
        </w:rPr>
        <w:t xml:space="preserve"> | HC 97.033</w:t>
      </w:r>
      <w:r>
        <w:rPr>
          <w:color w:val="003CA0"/>
          <w:sz w:val="12"/>
        </w:rPr>
        <w:t xml:space="preserve"> | rel. Cármen Lúcia</w:t>
      </w:r>
    </w:p>
    <w:p>
      <w:pPr>
        <w:ind w:left="288"/>
      </w:pPr>
      <w:r>
        <w:rPr>
          <w:color w:val="1E1E1E"/>
          <w:sz w:val="18"/>
        </w:rPr>
        <w:t>Vide HC 97.033, rel. min. Cármen Lúcia, j. 12-5-2009, 1ª T, DJE de 12-6-2009 Alteração da parte dispositiva de decisão, de forma a contrair ou exceder os fundamentos mantidos na decisão modificada, não configura mera correção de erro de fato, mas caracteriza nova decisão, a justificar a reabertura do prazo para recurso.</w:t>
      </w:r>
    </w:p>
    <w:p>
      <w:pPr>
        <w:ind w:left="288"/>
      </w:pPr>
      <w:r>
        <w:rPr>
          <w:b/>
          <w:color w:val="003CA0"/>
          <w:sz w:val="16"/>
        </w:rPr>
        <w:t>[RE 582.258 AgR-AgR, rel. min. Ricardo Lewandowski, j. 6-4-2010, 1ª T, DJE de 14-5-2010.]</w:t>
      </w:r>
    </w:p>
    <w:p>
      <w:pPr>
        <w:ind w:left="288"/>
      </w:pPr>
      <w:r>
        <w:rPr>
          <w:color w:val="8C8C8C"/>
          <w:sz w:val="12"/>
        </w:rPr>
        <w:t>cf-art-5-inc-L</w:t>
      </w:r>
      <w:r>
        <w:rPr>
          <w:color w:val="003CA0"/>
          <w:sz w:val="12"/>
        </w:rPr>
        <w:t xml:space="preserve"> | HC 99.330</w:t>
      </w:r>
      <w:r>
        <w:rPr>
          <w:color w:val="003CA0"/>
          <w:sz w:val="12"/>
        </w:rPr>
        <w:t xml:space="preserve"> | rel. Ellen Gracie</w:t>
      </w:r>
    </w:p>
    <w:p>
      <w:pPr>
        <w:ind w:left="288"/>
      </w:pPr>
      <w:r>
        <w:rPr>
          <w:color w:val="1E1E1E"/>
          <w:sz w:val="18"/>
        </w:rPr>
        <w:t>A Constituição do Brasil/1988 determina que "o advogado é indispensável à administração da justiça" (art. 133). É por intermédio dele que se exerce "o contraditório e a ampla defesa, com os meios e recursos a ela inerentes" (art. 5º, LV). O falecimento do patrono do réu cinco dias antes da publicação do acórdão, do STJ, que não admitiu o agravo de instrumento consubstancia situação relevante. Isso porque, havendo apenas um advogado constituído nos autos, a intimação do acórdão tornou-se impossível após a sua morte. Em consequência, o paciente ficou sem defesa técnica. Há, no caso, nítida viola</w:t>
      </w:r>
    </w:p>
    <w:p>
      <w:pPr>
        <w:ind w:left="288"/>
      </w:pPr>
      <w:r>
        <w:rPr>
          <w:b/>
          <w:color w:val="003CA0"/>
          <w:sz w:val="16"/>
        </w:rPr>
        <w:t>[HC 99.330, rel. min. Ellen Gracie, red. do ac. min. Eros Grau, j. 16-3-2010, 2ª T, DJE de 23-4-2010.]</w:t>
      </w:r>
    </w:p>
    <w:p>
      <w:pPr>
        <w:ind w:left="288"/>
      </w:pPr>
      <w:r>
        <w:rPr>
          <w:color w:val="8C8C8C"/>
          <w:sz w:val="12"/>
        </w:rPr>
        <w:t>cf-art-5-inc-L</w:t>
      </w:r>
      <w:r>
        <w:rPr>
          <w:color w:val="003CA0"/>
          <w:sz w:val="12"/>
        </w:rPr>
        <w:t xml:space="preserve"> | RHC 104.723</w:t>
      </w:r>
      <w:r>
        <w:rPr>
          <w:color w:val="003CA0"/>
          <w:sz w:val="12"/>
        </w:rPr>
        <w:t xml:space="preserve"> | rel. Dias Toffoli</w:t>
      </w:r>
    </w:p>
    <w:p>
      <w:pPr>
        <w:ind w:left="288"/>
      </w:pPr>
      <w:r>
        <w:rPr>
          <w:color w:val="1E1E1E"/>
          <w:sz w:val="18"/>
        </w:rPr>
        <w:t>= RHC 104.723, rel. min. Dias Toffoli, j. 23-11-2010, 1ª T, DJE de 22-2-2011 Uma vez verificado o silêncio do defensor dativo, deixando de apresentar contrarrazões, impõe-se designar outro profissional da advocacia ou intimar a Defensoria Pública para afastar a omissão, sob pena de nulidade.</w:t>
      </w:r>
    </w:p>
    <w:p>
      <w:pPr>
        <w:ind w:left="288"/>
      </w:pPr>
      <w:r>
        <w:rPr>
          <w:b/>
          <w:color w:val="003CA0"/>
          <w:sz w:val="16"/>
        </w:rPr>
        <w:t>[HC 98.664, rel. min. Marco Aurélio, j. 23-2-2010, 1ª T, DJE de 26-3-2010.]</w:t>
      </w:r>
    </w:p>
    <w:p>
      <w:pPr>
        <w:ind w:left="288"/>
      </w:pPr>
      <w:r>
        <w:rPr>
          <w:color w:val="8C8C8C"/>
          <w:sz w:val="12"/>
        </w:rPr>
        <w:t>cf-art-5-inc-L</w:t>
      </w:r>
      <w:r>
        <w:rPr>
          <w:color w:val="003CA0"/>
          <w:sz w:val="12"/>
        </w:rPr>
        <w:t xml:space="preserve"> | HC 92.680</w:t>
      </w:r>
      <w:r>
        <w:rPr>
          <w:color w:val="003CA0"/>
          <w:sz w:val="12"/>
        </w:rPr>
        <w:t xml:space="preserve"> | rel. Cezar Peluso</w:t>
      </w:r>
    </w:p>
    <w:p>
      <w:pPr>
        <w:ind w:left="288"/>
      </w:pPr>
      <w:r>
        <w:rPr>
          <w:color w:val="1E1E1E"/>
          <w:sz w:val="18"/>
        </w:rPr>
        <w:t>Vide HC 92.680, rel. min. Cezar Peluso, j. 11-3-2008, 1ª T, DJE de 25-4-2008 Não há que falar em desrespeito às garantias do contraditório e da ampla defesa, dado que, à luz das provas dos autos, foram realizados estudos técnicos e consultas às populações interessadas, antes da criação da estação ecológica.</w:t>
      </w:r>
    </w:p>
    <w:p>
      <w:pPr>
        <w:ind w:left="288"/>
      </w:pPr>
      <w:r>
        <w:rPr>
          <w:b/>
          <w:color w:val="003CA0"/>
          <w:sz w:val="16"/>
        </w:rPr>
        <w:t>[MS 25.347, rel. min. Ayres Britto, j. 17-2-2010, P, DJE de 19-3-2010.]</w:t>
      </w:r>
    </w:p>
    <w:p>
      <w:pPr>
        <w:ind w:left="288"/>
      </w:pPr>
      <w:r>
        <w:rPr>
          <w:color w:val="8C8C8C"/>
          <w:sz w:val="12"/>
        </w:rPr>
        <w:t>cf-art-5-inc-L</w:t>
      </w:r>
      <w:r>
        <w:rPr>
          <w:color w:val="003CA0"/>
          <w:sz w:val="12"/>
        </w:rPr>
        <w:t xml:space="preserve"> | HC 95.128</w:t>
      </w:r>
      <w:r>
        <w:rPr>
          <w:color w:val="003CA0"/>
          <w:sz w:val="12"/>
        </w:rPr>
        <w:t xml:space="preserve"> | rel. Dias Toffoli</w:t>
      </w:r>
    </w:p>
    <w:p>
      <w:pPr>
        <w:ind w:left="288"/>
      </w:pPr>
      <w:r>
        <w:rPr>
          <w:color w:val="1E1E1E"/>
          <w:sz w:val="18"/>
        </w:rPr>
        <w:t>Esta Suprema Corte já consolidou o entendimento de que, em se tratando de crime sujeito à ação penal pública, como no presente caso, as custas só se tornam exigíveis depois do trânsito em julgado da condenação, motivo pelo qual não pode o recurso do réu deixar de ser admitido pela ausência de preparo. Mutatis mutandis, esse entendimento deve ser aplicado ao presente caso, sob pena de violação do princípio da ampla defesa, especialmente porque, ainda que depois de transcorrido o prazo fixado para a complementação, o paciente acabou complementando o preparo, não podendo ser ignorado esse fato.</w:t>
      </w:r>
    </w:p>
    <w:p>
      <w:pPr>
        <w:ind w:left="288"/>
      </w:pPr>
      <w:r>
        <w:rPr>
          <w:b/>
          <w:color w:val="003CA0"/>
          <w:sz w:val="16"/>
        </w:rPr>
        <w:t>[HC 95.128, rel. min. Dias Toffoli, j. 9-2-2010, 1ª T, DJE de 5-3-2010.]</w:t>
      </w:r>
    </w:p>
    <w:p>
      <w:pPr>
        <w:ind w:left="288"/>
      </w:pPr>
      <w:r>
        <w:rPr>
          <w:color w:val="8C8C8C"/>
          <w:sz w:val="12"/>
        </w:rPr>
        <w:t>cf-art-5-inc-L</w:t>
      </w:r>
      <w:r>
        <w:rPr>
          <w:color w:val="003CA0"/>
          <w:sz w:val="12"/>
        </w:rPr>
        <w:t xml:space="preserve"> | RMS 24.902</w:t>
      </w:r>
      <w:r>
        <w:rPr>
          <w:color w:val="003CA0"/>
          <w:sz w:val="12"/>
        </w:rPr>
        <w:t xml:space="preserve"> | rel. Eros Grau</w:t>
      </w:r>
    </w:p>
    <w:p>
      <w:pPr>
        <w:ind w:left="288"/>
      </w:pPr>
      <w:r>
        <w:rPr>
          <w:color w:val="1E1E1E"/>
          <w:sz w:val="18"/>
        </w:rPr>
        <w:t>Não há cerceamento de defesa quando o servidor público, intimado diversas vezes pessoalmente do andamento do processo administrativo disciplinar e da necessidade de arrolamento de testemunhas, permanece inerte, limitando-se a alegar a existência de irregularidade na portaria que instaurou o feito.</w:t>
      </w:r>
    </w:p>
    <w:p>
      <w:pPr>
        <w:ind w:left="288"/>
      </w:pPr>
      <w:r>
        <w:rPr>
          <w:b/>
          <w:color w:val="003CA0"/>
          <w:sz w:val="16"/>
        </w:rPr>
        <w:t>[RMS 24.902 ED, rel. min. Eros Grau, j. 9-2-2010, 2ª T, DJE de 26-3-2010.]</w:t>
      </w:r>
    </w:p>
    <w:p>
      <w:pPr>
        <w:ind w:left="288"/>
      </w:pPr>
      <w:r>
        <w:rPr>
          <w:color w:val="8C8C8C"/>
          <w:sz w:val="12"/>
        </w:rPr>
        <w:t>cf-art-5-inc-L</w:t>
      </w:r>
      <w:r>
        <w:rPr>
          <w:color w:val="003CA0"/>
          <w:sz w:val="12"/>
        </w:rPr>
        <w:t xml:space="preserve"> | HC 99.684</w:t>
      </w:r>
      <w:r>
        <w:rPr>
          <w:color w:val="003CA0"/>
          <w:sz w:val="12"/>
        </w:rPr>
        <w:t xml:space="preserve"> | rel. Ellen Gracie</w:t>
      </w:r>
    </w:p>
    <w:p>
      <w:pPr>
        <w:ind w:left="288"/>
      </w:pPr>
      <w:r>
        <w:rPr>
          <w:color w:val="1E1E1E"/>
          <w:sz w:val="18"/>
        </w:rPr>
        <w:t>O direito de entrevista prévia e reservada entre o réu e seu defensor está ligado ao interrogatório do acusado e não à audiência de instrução e julgamento. A garantia possibilita ao réu que não possua advogado constituído conversar antecipadamente com o defensor nomeado, para que possa ser orientado sobre as consequências de suas declarações, de modo a não prejudicar sua defesa.</w:t>
      </w:r>
    </w:p>
    <w:p>
      <w:pPr>
        <w:ind w:left="288"/>
      </w:pPr>
      <w:r>
        <w:rPr>
          <w:b/>
          <w:color w:val="003CA0"/>
          <w:sz w:val="16"/>
        </w:rPr>
        <w:t>[HC 99.684, rel. min. Ellen Gracie, j. 24-11-2009, 2ª T, DJE de 11-12-2009.]</w:t>
      </w:r>
    </w:p>
    <w:p>
      <w:pPr>
        <w:ind w:left="288"/>
      </w:pPr>
      <w:r>
        <w:rPr>
          <w:color w:val="8C8C8C"/>
          <w:sz w:val="12"/>
        </w:rPr>
        <w:t>cf-art-5-inc-L</w:t>
      </w:r>
      <w:r>
        <w:rPr>
          <w:color w:val="003CA0"/>
          <w:sz w:val="12"/>
        </w:rPr>
        <w:t xml:space="preserve"> | RE 304.857</w:t>
      </w:r>
      <w:r>
        <w:rPr>
          <w:color w:val="003CA0"/>
          <w:sz w:val="12"/>
        </w:rPr>
        <w:t xml:space="preserve"> | rel. Marco Aurélio</w:t>
      </w:r>
    </w:p>
    <w:p>
      <w:pPr>
        <w:ind w:left="288"/>
      </w:pPr>
      <w:r>
        <w:rPr>
          <w:color w:val="1E1E1E"/>
          <w:sz w:val="18"/>
        </w:rPr>
        <w:t>Descabe ter-se como necessário o contraditório em inquérito administrativo. O instrumento consubstancia simples sindicância visando a, se for o caso, instaurar processo administrativo no qual observado o direito de defesa.</w:t>
      </w:r>
    </w:p>
    <w:p>
      <w:pPr>
        <w:ind w:left="288"/>
      </w:pPr>
      <w:r>
        <w:rPr>
          <w:b/>
          <w:color w:val="003CA0"/>
          <w:sz w:val="16"/>
        </w:rPr>
        <w:t>[RE 304.857, rel. min. Marco Aurélio, j. 24-11-2009, 1ª T, DJE de 5-2-2010.]</w:t>
      </w:r>
    </w:p>
    <w:p>
      <w:pPr>
        <w:ind w:left="288"/>
      </w:pPr>
      <w:r>
        <w:rPr>
          <w:color w:val="8C8C8C"/>
          <w:sz w:val="12"/>
        </w:rPr>
        <w:t>cf-art-5-inc-L</w:t>
      </w:r>
      <w:r>
        <w:rPr>
          <w:color w:val="003CA0"/>
          <w:sz w:val="12"/>
        </w:rPr>
        <w:t xml:space="preserve"> | RE 459.623</w:t>
      </w:r>
      <w:r>
        <w:rPr>
          <w:color w:val="003CA0"/>
          <w:sz w:val="12"/>
        </w:rPr>
        <w:t xml:space="preserve"> | rel. Joaquim Barbosa</w:t>
      </w:r>
    </w:p>
    <w:p>
      <w:pPr>
        <w:ind w:left="288"/>
      </w:pPr>
      <w:r>
        <w:rPr>
          <w:color w:val="1E1E1E"/>
          <w:sz w:val="18"/>
        </w:rPr>
        <w:t>(...) há decisões desta Turma no sentido da necessidade de observância do princípio da ampla defesa no processo administrativo que resulta na suspensão de benefício previdenciário.</w:t>
      </w:r>
    </w:p>
    <w:p>
      <w:pPr>
        <w:ind w:left="288"/>
      </w:pPr>
      <w:r>
        <w:rPr>
          <w:b/>
          <w:color w:val="003CA0"/>
          <w:sz w:val="16"/>
        </w:rPr>
        <w:t>[RE 459.623 AgR, rel. min. Joaquim Barbosa, j. 24-11-2009, 2ª T, DJE de 18-12-2009.]</w:t>
      </w:r>
    </w:p>
    <w:p>
      <w:pPr>
        <w:ind w:left="288"/>
      </w:pPr>
      <w:r>
        <w:rPr>
          <w:color w:val="8C8C8C"/>
          <w:sz w:val="12"/>
        </w:rPr>
        <w:t>cf-art-5-inc-L</w:t>
      </w:r>
      <w:r>
        <w:rPr>
          <w:color w:val="003CA0"/>
          <w:sz w:val="12"/>
        </w:rPr>
        <w:t xml:space="preserve"> | RE 469.247</w:t>
      </w:r>
      <w:r>
        <w:rPr>
          <w:color w:val="003CA0"/>
          <w:sz w:val="12"/>
        </w:rPr>
        <w:t xml:space="preserve"> | rel. Dias Toffoli</w:t>
      </w:r>
    </w:p>
    <w:p>
      <w:pPr>
        <w:ind w:left="288"/>
      </w:pPr>
      <w:r>
        <w:rPr>
          <w:color w:val="1E1E1E"/>
          <w:sz w:val="18"/>
        </w:rPr>
        <w:t>= RE 469.247 ED, rel. min. Dias Toffoli, j. 7-2-2012, 1ª T, DJE de 16-3-2012 Vide RE 426.147 AgR, rel. min. Gilmar Mendes, j. 28-3-2006, 2ª T, DJ de 5-5-2006 A jurisprudência desta Corte é no sentido de que a nulidade por deficiência na defesa do réu só deverá ser declarada se comprovado o efetivo prejuízo. Esse entendimento está, ainda, preconizado na Súmula 523/STF (...).</w:t>
      </w:r>
    </w:p>
    <w:p>
      <w:pPr>
        <w:ind w:left="288"/>
      </w:pPr>
      <w:r>
        <w:rPr>
          <w:b/>
          <w:color w:val="003CA0"/>
          <w:sz w:val="16"/>
        </w:rPr>
        <w:t>[HC 97.413, rel. min. Dias Toffoli, j. 24-11-2009, 1ª T, DJE de 18-12-2009.]</w:t>
      </w:r>
    </w:p>
    <w:p>
      <w:pPr>
        <w:ind w:left="288"/>
      </w:pPr>
      <w:r>
        <w:rPr>
          <w:color w:val="8C8C8C"/>
          <w:sz w:val="12"/>
        </w:rPr>
        <w:t>cf-art-5-inc-L</w:t>
      </w:r>
      <w:r>
        <w:rPr>
          <w:color w:val="003CA0"/>
          <w:sz w:val="12"/>
        </w:rPr>
        <w:t xml:space="preserve"> | HC 97.245</w:t>
      </w:r>
      <w:r>
        <w:rPr>
          <w:color w:val="003CA0"/>
          <w:sz w:val="12"/>
        </w:rPr>
        <w:t xml:space="preserve"> | rel. Cármen Lúcia</w:t>
      </w:r>
    </w:p>
    <w:p>
      <w:pPr>
        <w:ind w:left="288"/>
      </w:pPr>
      <w:r>
        <w:rPr>
          <w:color w:val="1E1E1E"/>
          <w:sz w:val="18"/>
        </w:rPr>
        <w:t>= HC 97.245, rel. min. Cármen Lúcia, j. 24-8-2010, 1ª T, DJE de 8-2-2011 É firme a jurisprudência deste Supremo Tribunal no sentido de que, havendo sido regularmente intimado o defensor constituído, não há como prosperar a alegação de ofensa aos princípios do devido processo legal, do contraditório e da ampla defesa, em razão da não apresentação das contrarrazões ao recurso especial.</w:t>
      </w:r>
    </w:p>
    <w:p>
      <w:pPr>
        <w:ind w:left="288"/>
      </w:pPr>
      <w:r>
        <w:rPr>
          <w:b/>
          <w:color w:val="003CA0"/>
          <w:sz w:val="16"/>
        </w:rPr>
        <w:t>[HC 98.256, rel. min. Cármen Lúcia, j. 3-11-2009, 1ª T, DJE de 11-12-2009.]</w:t>
      </w:r>
    </w:p>
    <w:p>
      <w:pPr>
        <w:ind w:left="288"/>
      </w:pPr>
      <w:r>
        <w:rPr>
          <w:color w:val="8C8C8C"/>
          <w:sz w:val="12"/>
        </w:rPr>
        <w:t>cf-art-5-inc-L</w:t>
      </w:r>
      <w:r>
        <w:rPr>
          <w:color w:val="003CA0"/>
          <w:sz w:val="12"/>
        </w:rPr>
        <w:t xml:space="preserve"> | MS 27.260</w:t>
      </w:r>
      <w:r>
        <w:rPr>
          <w:color w:val="003CA0"/>
          <w:sz w:val="12"/>
        </w:rPr>
        <w:t xml:space="preserve"> | rel. Ayres Britto</w:t>
      </w:r>
    </w:p>
    <w:p>
      <w:pPr>
        <w:ind w:left="288"/>
      </w:pPr>
      <w:r>
        <w:rPr>
          <w:color w:val="1E1E1E"/>
          <w:sz w:val="18"/>
        </w:rPr>
        <w:t>A ausência de previsão no edital do certame de interposição de novos recursos por candidatos prejudicados pela modificação do gabarito preliminar não contraria os princípios constitucionais do contraditório e da ampla defesa.</w:t>
      </w:r>
    </w:p>
    <w:p>
      <w:pPr>
        <w:ind w:left="288"/>
      </w:pPr>
      <w:r>
        <w:rPr>
          <w:b/>
          <w:color w:val="003CA0"/>
          <w:sz w:val="16"/>
        </w:rPr>
        <w:t>[MS 27.260, rel. min. Ayres Britto, red. do ac. min. Cármen Lúcia, j. 29-10-2009, P, DJE de 26-3-2010.]</w:t>
      </w:r>
    </w:p>
    <w:p>
      <w:pPr>
        <w:ind w:left="288"/>
      </w:pPr>
      <w:r>
        <w:rPr>
          <w:color w:val="8C8C8C"/>
          <w:sz w:val="12"/>
        </w:rPr>
        <w:t>cf-art-5-inc-L</w:t>
      </w:r>
      <w:r>
        <w:rPr>
          <w:color w:val="003CA0"/>
          <w:sz w:val="12"/>
        </w:rPr>
        <w:t xml:space="preserve"> | RCL 6.396</w:t>
      </w:r>
      <w:r>
        <w:rPr>
          <w:color w:val="003CA0"/>
          <w:sz w:val="12"/>
        </w:rPr>
        <w:t xml:space="preserve"> | rel. Joaquim Barbosa</w:t>
      </w:r>
    </w:p>
    <w:p>
      <w:pPr>
        <w:ind w:left="288"/>
      </w:pPr>
      <w:r>
        <w:rPr>
          <w:color w:val="1E1E1E"/>
          <w:sz w:val="18"/>
        </w:rPr>
        <w:t>(...) a Súmula Vinculante 3 se dirige, exclusivamente, às decisões do TCU que anulem ou revoguem atos administrativos que beneficiem algum interessado. Os precedentes que subsidiaram a elaboração da Súmula Vinculante 3 tratam tão somente de decisões da Corte de Contas que cancelaram aposentadorias ou pensões. Em nenhum deles há referência a procedimentos de tomadas de contas. O procedimento de tomadas de contas se destina à verificação, pelo Tribunal de Contas, da regularidade da utilização das verbas públicas pelos responsáveis. Ou seja, este procedimento não envolve a anulação ou a revogação</w:t>
      </w:r>
    </w:p>
    <w:p>
      <w:pPr>
        <w:ind w:left="288"/>
      </w:pPr>
      <w:r>
        <w:rPr>
          <w:b/>
          <w:color w:val="003CA0"/>
          <w:sz w:val="16"/>
        </w:rPr>
        <w:t>[Rcl 6.396 AgR, rel. min. Joaquim Barbosa, j. 21-10-2009, P, DJE de 13-11-2009.]</w:t>
      </w:r>
    </w:p>
    <w:p>
      <w:pPr>
        <w:ind w:left="288"/>
      </w:pPr>
      <w:r>
        <w:rPr>
          <w:color w:val="8C8C8C"/>
          <w:sz w:val="12"/>
        </w:rPr>
        <w:t>cf-art-5-inc-L</w:t>
      </w:r>
      <w:r>
        <w:rPr>
          <w:color w:val="003CA0"/>
          <w:sz w:val="12"/>
        </w:rPr>
        <w:t xml:space="preserve"> | RCL 10.546</w:t>
      </w:r>
      <w:r>
        <w:rPr>
          <w:color w:val="003CA0"/>
          <w:sz w:val="12"/>
        </w:rPr>
        <w:t xml:space="preserve"> | rel. Cármen Lúcia</w:t>
      </w:r>
    </w:p>
    <w:p>
      <w:pPr>
        <w:ind w:left="288"/>
      </w:pPr>
      <w:r>
        <w:rPr>
          <w:color w:val="1E1E1E"/>
          <w:sz w:val="18"/>
        </w:rPr>
        <w:t>= Rcl 10.546 AgR, rel. min. Cármen Lúcia, j. 24-2-2011, P, DJE de 13-4-2011 (...) mesmo quando conduzida, unilateralmente, pelo Ministério Público, a investigação penal não legitimará qualquer condenação criminal, se os elementos de convicção nela produzidos – porém não reproduzidos em juízo, sob a garantia do contraditório – forem os únicos dados probatórios existentes contra a pessoa investigada, o que afasta a objeção de que a investigação penal, quando realizada pelo Ministério Público, poderia comprometer o exercício do direito de defesa.</w:t>
      </w:r>
    </w:p>
    <w:p>
      <w:pPr>
        <w:ind w:left="288"/>
      </w:pPr>
      <w:r>
        <w:rPr>
          <w:b/>
          <w:color w:val="003CA0"/>
          <w:sz w:val="16"/>
        </w:rPr>
        <w:t>[HC 89.837, voto do min. Celso de Mello, j. 20-10-2009, 2ª T, DJE de 20-11-2009.]</w:t>
      </w:r>
    </w:p>
    <w:p>
      <w:pPr>
        <w:ind w:left="288"/>
      </w:pPr>
      <w:r>
        <w:rPr>
          <w:color w:val="8C8C8C"/>
          <w:sz w:val="12"/>
        </w:rPr>
        <w:t>cf-art-5-inc-L</w:t>
      </w:r>
      <w:r>
        <w:rPr>
          <w:color w:val="003CA0"/>
          <w:sz w:val="12"/>
        </w:rPr>
        <w:t xml:space="preserve"> | HC 84.965</w:t>
      </w:r>
      <w:r>
        <w:rPr>
          <w:color w:val="003CA0"/>
          <w:sz w:val="12"/>
        </w:rPr>
        <w:t xml:space="preserve"> | rel. Gilmar Mendes</w:t>
      </w:r>
    </w:p>
    <w:p>
      <w:pPr>
        <w:ind w:left="288"/>
      </w:pPr>
      <w:r>
        <w:rPr>
          <w:color w:val="1E1E1E"/>
          <w:sz w:val="18"/>
        </w:rPr>
        <w:t>= HC 84.965, rel. min. Gilmar Mendes, j. 13-12-2011, 2ª T, DJE de 11-4-2012 Vide HC 93.224, rel. min. Eros Grau, j. 13-5-2008, 2ª T, DJE de 5-9-2008 É entendimento reiterado desta Corte que a prerrogativa de intimação pessoal dos defensores de réus de ação penal é inerente aos defensores dativos, por força do art. 370, § 4º, do CPP, e decorrente da própria Constituição, que assegura o direito à ampla defesa em procedimento estatal que respeite as prerrogativas do devido processo legal. A falta de intimação pessoal do defensor dativo qualifica-se como causa geradora de nulidade processual absol</w:t>
      </w:r>
    </w:p>
    <w:p>
      <w:pPr>
        <w:ind w:left="288"/>
      </w:pPr>
      <w:r>
        <w:rPr>
          <w:b/>
          <w:color w:val="003CA0"/>
          <w:sz w:val="16"/>
        </w:rPr>
        <w:t>[HC 98.802, rel. min. Joaquim Barbosa, j. 20-10-2009, 2ª T, DJE de 27-11-2009.]</w:t>
      </w:r>
    </w:p>
    <w:p>
      <w:pPr>
        <w:ind w:left="288"/>
      </w:pPr>
      <w:r>
        <w:rPr>
          <w:color w:val="8C8C8C"/>
          <w:sz w:val="12"/>
        </w:rPr>
        <w:t>cf-art-5-inc-L</w:t>
      </w:r>
      <w:r>
        <w:rPr>
          <w:color w:val="003CA0"/>
          <w:sz w:val="12"/>
        </w:rPr>
        <w:t xml:space="preserve"> | HC 101.715</w:t>
      </w:r>
      <w:r>
        <w:rPr>
          <w:color w:val="003CA0"/>
          <w:sz w:val="12"/>
        </w:rPr>
        <w:t xml:space="preserve"> | rel. Dias Toffoli</w:t>
      </w:r>
    </w:p>
    <w:p>
      <w:pPr>
        <w:ind w:left="288"/>
      </w:pPr>
      <w:r>
        <w:rPr>
          <w:color w:val="1E1E1E"/>
          <w:sz w:val="18"/>
        </w:rPr>
        <w:t>= HC 101.715, rel min. Dias Toffoli, j. 9-3-2010, 1ª T, DJE de 9-4-2010 Vide HC 133.476, rel. min. Teori Zavascki, j. 14-6-2016, 2ª T, DJE de 27-6-2016 Vide HC 102.155, rel. min. Ayres Britto, j. 27-4-2010, 1ª T, DJE de 21-5-2010 Vide RHC 88.512, rel. min. Cezar Peluso, j. 9-3-2010, 2ª T, DJE de 23-4-2010 Vide HC 89.315, rel. min. Ricardo Lewandowski, j. 19-9-2006, 1ª T, DJ de 13-10-2006 O exame preliminar da denúncia é balizado pelos arts. 41 e 395 do CPP. No art. 41, a lei adjetiva penal indica um necessário conteúdo positivo para a denúncia. É dizer: ela, denúncia, deve conter a exposição d</w:t>
      </w:r>
    </w:p>
    <w:p>
      <w:pPr>
        <w:ind w:left="288"/>
      </w:pPr>
      <w:r>
        <w:rPr>
          <w:b/>
          <w:color w:val="003CA0"/>
          <w:sz w:val="16"/>
        </w:rPr>
        <w:t>[Inq 2.486, rel. min. Ayres Britto, j. 8-10-2009, P, DJE de 18-12-2009.]</w:t>
      </w:r>
    </w:p>
    <w:p>
      <w:pPr>
        <w:ind w:left="288"/>
      </w:pPr>
      <w:r>
        <w:rPr>
          <w:color w:val="8C8C8C"/>
          <w:sz w:val="12"/>
        </w:rPr>
        <w:t>cf-art-5-inc-L</w:t>
      </w:r>
      <w:r>
        <w:rPr>
          <w:color w:val="003CA0"/>
          <w:sz w:val="12"/>
        </w:rPr>
        <w:t xml:space="preserve"> | INQ 3.016</w:t>
      </w:r>
      <w:r>
        <w:rPr>
          <w:color w:val="003CA0"/>
          <w:sz w:val="12"/>
        </w:rPr>
        <w:t xml:space="preserve"> | rel. Ellen Gracie</w:t>
      </w:r>
    </w:p>
    <w:p>
      <w:pPr>
        <w:ind w:left="288"/>
      </w:pPr>
      <w:r>
        <w:rPr>
          <w:color w:val="1E1E1E"/>
          <w:sz w:val="18"/>
        </w:rPr>
        <w:t>= Inq 3.016, rel. min. Ellen Gracie, j. 30-9-2010, P, DJE de 17-2-2011 A decisão judicial, que, motivada pela existência de outras provas e elementos de convicção constantes dos autos, considera desnecessária a realização de determinada diligência probatória e julga antecipadamente a lide, não ofende a cláusula constitucional da plenitude de defesa.</w:t>
      </w:r>
    </w:p>
    <w:p>
      <w:pPr>
        <w:ind w:left="288"/>
      </w:pPr>
      <w:r>
        <w:rPr>
          <w:b/>
          <w:color w:val="003CA0"/>
          <w:sz w:val="16"/>
        </w:rPr>
        <w:t>[AI 752.176 AgR, rel. min. Celso de Mello, j. 29-9-2009, 2ª T, DJE de 20-11-2009.]</w:t>
      </w:r>
    </w:p>
    <w:p>
      <w:pPr>
        <w:ind w:left="288"/>
      </w:pPr>
      <w:r>
        <w:rPr>
          <w:color w:val="8C8C8C"/>
          <w:sz w:val="12"/>
        </w:rPr>
        <w:t>cf-art-5-inc-L</w:t>
      </w:r>
      <w:r>
        <w:rPr>
          <w:color w:val="003CA0"/>
          <w:sz w:val="12"/>
        </w:rPr>
        <w:t xml:space="preserve"> | HC 98.865</w:t>
      </w:r>
      <w:r>
        <w:rPr>
          <w:color w:val="003CA0"/>
          <w:sz w:val="12"/>
        </w:rPr>
        <w:t xml:space="preserve"> | rel. Ricardo Lewandowski</w:t>
      </w:r>
    </w:p>
    <w:p>
      <w:pPr>
        <w:ind w:left="288"/>
      </w:pPr>
      <w:r>
        <w:rPr>
          <w:color w:val="1E1E1E"/>
          <w:sz w:val="18"/>
        </w:rPr>
        <w:t>= HC 98.865, rel. min. Ricardo Lewandowski, j. 18-5-2010, 1ª T, DJE de 4-6-2010 Vide AI 623.228 AgR, rel. min. Sepúlveda Pertence, j. 14-8-2007, 1ª T, DJ de 14-9-2007 É nulo o processo penal desde a intimação do réu que não se fez na pessoa do defensor público que o assiste na causa.</w:t>
      </w:r>
    </w:p>
    <w:p>
      <w:pPr>
        <w:ind w:left="288"/>
      </w:pPr>
      <w:r>
        <w:rPr>
          <w:b/>
          <w:color w:val="003CA0"/>
          <w:sz w:val="16"/>
        </w:rPr>
        <w:t>[HC 98.905, rel. min. Cezar Peluso, j. 8-9-2009, 2ª T, DJE de 16-10-2009.]</w:t>
      </w:r>
    </w:p>
    <w:p>
      <w:pPr>
        <w:ind w:left="288"/>
      </w:pPr>
      <w:r>
        <w:rPr>
          <w:color w:val="8C8C8C"/>
          <w:sz w:val="12"/>
        </w:rPr>
        <w:t>cf-art-5-inc-L</w:t>
      </w:r>
      <w:r>
        <w:rPr>
          <w:color w:val="003CA0"/>
          <w:sz w:val="12"/>
        </w:rPr>
        <w:t xml:space="preserve"> | HC 72.204</w:t>
      </w:r>
      <w:r>
        <w:rPr>
          <w:color w:val="003CA0"/>
          <w:sz w:val="12"/>
        </w:rPr>
        <w:t xml:space="preserve"> | rel. Celso de Mello</w:t>
      </w:r>
    </w:p>
    <w:p>
      <w:pPr>
        <w:ind w:left="288"/>
      </w:pPr>
      <w:r>
        <w:rPr>
          <w:color w:val="1E1E1E"/>
          <w:sz w:val="18"/>
        </w:rPr>
        <w:t xml:space="preserve">Vide HC 72.204, rel. min. Celso de Mello, j. 15-8-1995, 1ª T, DJ de 24-8-2007 Diante da formulação de proposta de suspensão condicional do processo pelo Ministério Público, o denunciado tem o direito de aguardar a fase de recebimento da denúncia, para declarar se a aceita ou não. A suspensão condicional do processo, embora traga ínsita a idéia de benefício ao denunciado, que se vê afastado da ação penal mediante o cumprimento de certas condições, não deixa de representar constrangimento, caracterizado pela necessidade de submeter-se a condições que, viesse a ser exonerado da acusação, não lhe </w:t>
      </w:r>
    </w:p>
    <w:p>
      <w:pPr>
        <w:ind w:left="288"/>
      </w:pPr>
      <w:r>
        <w:rPr>
          <w:b/>
          <w:color w:val="003CA0"/>
          <w:sz w:val="16"/>
        </w:rPr>
        <w:t>[Pet 3.898, rel. min. Gilmar Mendes, j. 27-8-2009, P, DJE de 18-12-2009.]</w:t>
      </w:r>
    </w:p>
    <w:p>
      <w:pPr>
        <w:ind w:left="288"/>
      </w:pPr>
      <w:r>
        <w:rPr>
          <w:color w:val="8C8C8C"/>
          <w:sz w:val="12"/>
        </w:rPr>
        <w:t>cf-art-5-inc-L</w:t>
      </w:r>
      <w:r>
        <w:rPr>
          <w:color w:val="003CA0"/>
          <w:sz w:val="12"/>
        </w:rPr>
        <w:t xml:space="preserve"> | HC 84.580</w:t>
      </w:r>
      <w:r>
        <w:rPr>
          <w:color w:val="003CA0"/>
          <w:sz w:val="12"/>
        </w:rPr>
        <w:t xml:space="preserve"> | rel. Celso de Mello</w:t>
      </w:r>
    </w:p>
    <w:p>
      <w:pPr>
        <w:ind w:left="288"/>
      </w:pPr>
      <w:r>
        <w:rPr>
          <w:color w:val="1E1E1E"/>
          <w:sz w:val="18"/>
        </w:rPr>
        <w:t>Para o acusado exercer, em plenitude, a garantia do contraditório, torna-se indispensável que o órgão da acusação descreva, de modo preciso, os elementos estruturais (essentialia delicti) que compõem o tipo penal, sob pena de se devolver, ilegitimamente, ao réu, o ônus (que sobre ele não incide) de provar que é inocente. Em matéria de responsabilidade penal, não se registra, no modelo constitucional brasileiro, qualquer possibilidade de o Judiciário, por simples presunção ou com fundamento em meras suspeitas, reconhecer a culpa do réu. Os princípios democráticos que informam o sistema jurídico</w:t>
      </w:r>
    </w:p>
    <w:p>
      <w:pPr>
        <w:ind w:left="288"/>
      </w:pPr>
      <w:r>
        <w:rPr>
          <w:b/>
          <w:color w:val="003CA0"/>
          <w:sz w:val="16"/>
        </w:rPr>
        <w:t>[HC 84.580, rel. min. Celso de Mello, j. 25-8-2009, 2ª T, DJE de 18-9-2009.]</w:t>
      </w:r>
    </w:p>
    <w:p>
      <w:pPr>
        <w:ind w:left="288"/>
      </w:pPr>
      <w:r>
        <w:rPr>
          <w:color w:val="8C8C8C"/>
          <w:sz w:val="12"/>
        </w:rPr>
        <w:t>cf-art-5-inc-L</w:t>
      </w:r>
      <w:r>
        <w:rPr>
          <w:color w:val="003CA0"/>
          <w:sz w:val="12"/>
        </w:rPr>
        <w:t xml:space="preserve"> | AC 2.403</w:t>
      </w:r>
      <w:r>
        <w:rPr>
          <w:color w:val="003CA0"/>
          <w:sz w:val="12"/>
        </w:rPr>
        <w:t xml:space="preserve"> | rel. Celso de Mello</w:t>
      </w:r>
    </w:p>
    <w:p>
      <w:pPr>
        <w:ind w:left="288"/>
      </w:pPr>
      <w:r>
        <w:rPr>
          <w:color w:val="1E1E1E"/>
          <w:sz w:val="18"/>
        </w:rPr>
        <w:t>Recusa de prestação de aval pela União Federal e negativa de autorização, por parte da Secretaria do Tesouro Nacional (...). Obstáculos que impedem o Distrito Federal de celebrar operação de crédito com instituição financeira internacional. Sistema Siafi. Inclusão, nesse sistema de cadastro nacional da Câmara Legislativa e órgãos integrantes do Distrito Federal. (...) A Constituição da República estabelece, em seu art. 5º, LIV e LV, considerada a essencialidade da garantia constitucional da plenitude de defesa e do contraditório, que ninguém pode ser privado de sua liberdade, de seus bens ou d</w:t>
      </w:r>
    </w:p>
    <w:p>
      <w:pPr>
        <w:ind w:left="288"/>
      </w:pPr>
      <w:r>
        <w:rPr>
          <w:b/>
          <w:color w:val="003CA0"/>
          <w:sz w:val="16"/>
        </w:rPr>
        <w:t>[AC 2.403 MC-ED-REF, rel. min. Celso de Mello, j. 20-8-2009, P, DJE de 18-9-2009.]</w:t>
      </w:r>
    </w:p>
    <w:p>
      <w:pPr>
        <w:ind w:left="288"/>
      </w:pPr>
      <w:r>
        <w:rPr>
          <w:color w:val="8C8C8C"/>
          <w:sz w:val="12"/>
        </w:rPr>
        <w:t>cf-art-5-inc-L</w:t>
      </w:r>
      <w:r>
        <w:rPr>
          <w:color w:val="003CA0"/>
          <w:sz w:val="12"/>
        </w:rPr>
        <w:t xml:space="preserve"> | ACO 1.000</w:t>
      </w:r>
      <w:r>
        <w:rPr>
          <w:color w:val="003CA0"/>
          <w:sz w:val="12"/>
        </w:rPr>
        <w:t xml:space="preserve"> | rel. Joaquim Barbosa</w:t>
      </w:r>
    </w:p>
    <w:p>
      <w:pPr>
        <w:ind w:left="288"/>
      </w:pPr>
      <w:r>
        <w:rPr>
          <w:color w:val="1E1E1E"/>
          <w:sz w:val="18"/>
        </w:rPr>
        <w:t>Vide ACO 1.000 MC-AgR, rel. min. Joaquim Barbosa, j. 25-6-2008, P, DJE de 15-8-2008 Estrangeiro. Tráfico de substância entorpecente. Expulsão. (...) O art. 72 da Lei 6.815/1980 veda a interposição de pedido de reconsideração na hipótese dos autos. Não há, portanto, violação do contraditório e da ampla defesa, até porque essas garantias foram asseguradas no inquérito que precedeu ao decreto presidencial.</w:t>
      </w:r>
    </w:p>
    <w:p>
      <w:pPr>
        <w:ind w:left="288"/>
      </w:pPr>
      <w:r>
        <w:rPr>
          <w:b/>
          <w:color w:val="003CA0"/>
          <w:sz w:val="16"/>
        </w:rPr>
        <w:t>[HC 85.203, rel. min. Eros Grau, j. 6-8-2009, P, DJE de 16-12-2010.]</w:t>
      </w:r>
    </w:p>
    <w:p>
      <w:pPr>
        <w:ind w:left="288"/>
      </w:pPr>
      <w:r>
        <w:rPr>
          <w:color w:val="8C8C8C"/>
          <w:sz w:val="12"/>
        </w:rPr>
        <w:t>cf-art-5-inc-L</w:t>
      </w:r>
      <w:r>
        <w:rPr>
          <w:color w:val="003CA0"/>
          <w:sz w:val="12"/>
        </w:rPr>
        <w:t xml:space="preserve"> | HC 101.528</w:t>
      </w:r>
      <w:r>
        <w:rPr>
          <w:color w:val="003CA0"/>
          <w:sz w:val="12"/>
        </w:rPr>
        <w:t xml:space="preserve"> | rel. Dias Toffoli</w:t>
      </w:r>
    </w:p>
    <w:p>
      <w:pPr>
        <w:ind w:left="288"/>
      </w:pPr>
      <w:r>
        <w:rPr>
          <w:color w:val="1E1E1E"/>
          <w:sz w:val="18"/>
        </w:rPr>
        <w:t>= HC 101.528, rel. min. Dias Toffoli, j. 9-12-2010, P, DJE de 22-3-2011 = HC 68.324, rel. min. Sydney Sanches, j. 1º-3-1991, P, DJ de 14-6-1991 A utilização indevida das espécies recursais, consubstanciada na interposição de inúmeros e sucessivos recursos contrários à jurisprudência desta Suprema Corte, como mero expediente protelatório para evitar a execução da pena pela ocorrência da prescrição, desvirtua o próprio postulado constitucional da ampla defesa.</w:t>
      </w:r>
    </w:p>
    <w:p>
      <w:pPr>
        <w:ind w:left="288"/>
      </w:pPr>
      <w:r>
        <w:rPr>
          <w:b/>
          <w:color w:val="003CA0"/>
          <w:sz w:val="16"/>
        </w:rPr>
        <w:t>[HC 99.157, rel. min. Ellen Gracie, j. 4-8-2009, 2ª T, DJE de 28-8-2009.]</w:t>
      </w:r>
    </w:p>
    <w:p>
      <w:pPr>
        <w:ind w:left="288"/>
      </w:pPr>
      <w:r>
        <w:rPr>
          <w:color w:val="8C8C8C"/>
          <w:sz w:val="12"/>
        </w:rPr>
        <w:t>cf-art-5-inc-L</w:t>
      </w:r>
      <w:r>
        <w:rPr>
          <w:color w:val="003CA0"/>
          <w:sz w:val="12"/>
        </w:rPr>
        <w:t xml:space="preserve"> | HC 111.226</w:t>
      </w:r>
      <w:r>
        <w:rPr>
          <w:color w:val="003CA0"/>
          <w:sz w:val="12"/>
        </w:rPr>
        <w:t xml:space="preserve"> | rel. Luiz Fux</w:t>
      </w:r>
    </w:p>
    <w:p>
      <w:pPr>
        <w:ind w:left="288"/>
      </w:pPr>
      <w:r>
        <w:rPr>
          <w:color w:val="1E1E1E"/>
          <w:sz w:val="18"/>
        </w:rPr>
        <w:t>= HC 111.226, rel. min. Luiz Fux, j. 18-9-2012, 1ª T, DJE de 3-10-2012 Descabe assentar a inexistência de defesa quando profissional da advocacia comparece a audiência designada para a oitiva de testemunhas, requer a dispensa da presença do acusado, informa ao juízo não ter perguntas a formalizar e pede para retirar-se do local.</w:t>
      </w:r>
    </w:p>
    <w:p>
      <w:pPr>
        <w:ind w:left="288"/>
      </w:pPr>
      <w:r>
        <w:rPr>
          <w:b/>
          <w:color w:val="003CA0"/>
          <w:sz w:val="16"/>
        </w:rPr>
        <w:t>[HC 95.776, rel. min. Marco Aurélio, j. 30-6-2009, 1ª T, DJE de 21-8-2009.]</w:t>
      </w:r>
    </w:p>
    <w:p>
      <w:pPr>
        <w:ind w:left="288"/>
      </w:pPr>
      <w:r>
        <w:rPr>
          <w:color w:val="8C8C8C"/>
          <w:sz w:val="12"/>
        </w:rPr>
        <w:t>cf-art-5-inc-L</w:t>
      </w:r>
      <w:r>
        <w:rPr>
          <w:color w:val="003CA0"/>
          <w:sz w:val="12"/>
        </w:rPr>
        <w:t xml:space="preserve"> | HC 97.293</w:t>
      </w:r>
      <w:r>
        <w:rPr>
          <w:color w:val="003CA0"/>
          <w:sz w:val="12"/>
        </w:rPr>
        <w:t xml:space="preserve"> | rel. Cármen Lúcia</w:t>
      </w:r>
    </w:p>
    <w:p>
      <w:pPr>
        <w:ind w:left="288"/>
      </w:pPr>
      <w:r>
        <w:rPr>
          <w:color w:val="1E1E1E"/>
          <w:sz w:val="18"/>
        </w:rPr>
        <w:t>Não se verifica qualquer nulidade na circunstância de ser realizada a sustentação oral do membro do MPF depois da sustentação da defesa em sede de habeas corpus, notadamente porque a ação constitucional de habeas corpus foi pela defesa promovida, o que garante ao impetrante o direito de se pronunciar em primeiro lugar. Os regimentos internos do STJ e deste STF asseguram textualmente a sustentação oral primeira ao impetrante, e não ao Ministério Público, nas sessões do Plenário e das Turmas (art. 159, § 1º, do RISTJ; e art. 131 do RISTF).</w:t>
      </w:r>
    </w:p>
    <w:p>
      <w:pPr>
        <w:ind w:left="288"/>
      </w:pPr>
      <w:r>
        <w:rPr>
          <w:b/>
          <w:color w:val="003CA0"/>
          <w:sz w:val="16"/>
        </w:rPr>
        <w:t>[HC 97.293, rel. min. Cármen Lúcia, j. 16-6-2009, 1ª T, DJE de 16-4-2010.]</w:t>
      </w:r>
    </w:p>
    <w:p>
      <w:pPr>
        <w:ind w:left="288"/>
      </w:pPr>
      <w:r>
        <w:rPr>
          <w:color w:val="8C8C8C"/>
          <w:sz w:val="12"/>
        </w:rPr>
        <w:t>cf-art-5-inc-L</w:t>
      </w:r>
      <w:r>
        <w:rPr>
          <w:color w:val="003CA0"/>
          <w:sz w:val="12"/>
        </w:rPr>
        <w:t xml:space="preserve"> | HC 102.732</w:t>
      </w:r>
      <w:r>
        <w:rPr>
          <w:color w:val="003CA0"/>
          <w:sz w:val="12"/>
        </w:rPr>
        <w:t xml:space="preserve"> | rel. Marco Aurélio</w:t>
      </w:r>
    </w:p>
    <w:p>
      <w:pPr>
        <w:ind w:left="288"/>
      </w:pPr>
      <w:r>
        <w:rPr>
          <w:color w:val="1E1E1E"/>
          <w:sz w:val="18"/>
        </w:rPr>
        <w:t>= HC 102.732, rel. min. Marco Aurélio, j. 4-3-2010, P, DJE de 7-5-2010 Vide HC 87.926, rel. min. Cezar Peluso, j. 20-2-2008, P, DJE de 25-4-2008 Não há ofensa à garantia do contraditório e da ampla defesa, inerente ao devido processo legal, quando, em procedimento administrativo, o interessado, notificado, deixa, sem justa causa, de apresentar defesa no prazo legal.</w:t>
      </w:r>
    </w:p>
    <w:p>
      <w:pPr>
        <w:ind w:left="288"/>
      </w:pPr>
      <w:r>
        <w:rPr>
          <w:b/>
          <w:color w:val="003CA0"/>
          <w:sz w:val="16"/>
        </w:rPr>
        <w:t>[RMS 26.027 AgR, rel. min. Cezar Peluso, j. 2-6-2009, 2ª T, DJE de 7-8-2009.]</w:t>
      </w:r>
    </w:p>
    <w:p>
      <w:pPr>
        <w:ind w:left="288"/>
      </w:pPr>
      <w:r>
        <w:rPr>
          <w:color w:val="8C8C8C"/>
          <w:sz w:val="12"/>
        </w:rPr>
        <w:t>cf-art-5-inc-L</w:t>
      </w:r>
      <w:r>
        <w:rPr>
          <w:color w:val="003CA0"/>
          <w:sz w:val="12"/>
        </w:rPr>
        <w:t xml:space="preserve"> | HC 82.899</w:t>
      </w:r>
      <w:r>
        <w:rPr>
          <w:color w:val="003CA0"/>
          <w:sz w:val="12"/>
        </w:rPr>
        <w:t xml:space="preserve"> | rel. Cezar Peluso</w:t>
      </w:r>
    </w:p>
    <w:p>
      <w:pPr>
        <w:ind w:left="288"/>
      </w:pPr>
      <w:r>
        <w:rPr>
          <w:color w:val="1E1E1E"/>
          <w:sz w:val="18"/>
        </w:rPr>
        <w:t>Não há, no processo penal, nulidade ainda que absoluta, quando do vício alegado não haja decorrido prejuízo algum ao réu.</w:t>
      </w:r>
    </w:p>
    <w:p>
      <w:pPr>
        <w:ind w:left="288"/>
      </w:pPr>
      <w:r>
        <w:rPr>
          <w:b/>
          <w:color w:val="003CA0"/>
          <w:sz w:val="16"/>
        </w:rPr>
        <w:t>[HC 82.899, rel. min. Cezar Peluso, j. 2-6-2009, 2ª T, DJE de 26-6-2009.]</w:t>
      </w:r>
    </w:p>
    <w:p>
      <w:pPr>
        <w:ind w:left="288"/>
      </w:pPr>
      <w:r>
        <w:rPr>
          <w:color w:val="8C8C8C"/>
          <w:sz w:val="12"/>
        </w:rPr>
        <w:t>cf-art-5-inc-L</w:t>
      </w:r>
      <w:r>
        <w:rPr>
          <w:color w:val="003CA0"/>
          <w:sz w:val="12"/>
        </w:rPr>
        <w:t xml:space="preserve"> | HC 72.198</w:t>
      </w:r>
      <w:r>
        <w:rPr>
          <w:color w:val="003CA0"/>
          <w:sz w:val="12"/>
        </w:rPr>
        <w:t xml:space="preserve"> | rel. Cármen Lúcia</w:t>
      </w:r>
    </w:p>
    <w:p>
      <w:pPr>
        <w:ind w:left="288"/>
      </w:pPr>
      <w:r>
        <w:rPr>
          <w:color w:val="1E1E1E"/>
          <w:sz w:val="18"/>
        </w:rPr>
        <w:t xml:space="preserve">A ausência da notificação prévia de que trata o art. 514 do CPP constitui vício que gera nulidade relativa e deve ser arguida oportunamente, sob pena de preclusão. Precedentes. O princípio do pas de nullité sans grief exige a demonstração de prejuízo concreto à parte que suscita o vício, independentemente da sanção prevista para o ato, pois não se declara nulidade processual por mera presunção. Precedentes. A jurisprudência deste STF assentou o entendimento de que o art. 514 do CPP tem por objetivo "dar ao réu-funcionário a possibilidade de evitar a instauração de processo temerário, com base </w:t>
      </w:r>
    </w:p>
    <w:p>
      <w:pPr>
        <w:ind w:left="288"/>
      </w:pPr>
      <w:r>
        <w:rPr>
          <w:b/>
          <w:color w:val="003CA0"/>
          <w:sz w:val="16"/>
        </w:rPr>
        <w:t>[HC 97.033, rel. min. Cármen Lúcia, j. 12-5-2009, 1ª T, DJE de 12-6-2009.]</w:t>
      </w:r>
    </w:p>
    <w:p>
      <w:pPr>
        <w:ind w:left="288"/>
      </w:pPr>
      <w:r>
        <w:rPr>
          <w:color w:val="8C8C8C"/>
          <w:sz w:val="12"/>
        </w:rPr>
        <w:t>cf-art-5-inc-L</w:t>
      </w:r>
      <w:r>
        <w:rPr>
          <w:color w:val="003CA0"/>
          <w:sz w:val="12"/>
        </w:rPr>
        <w:t xml:space="preserve"> | HC 89.517</w:t>
      </w:r>
      <w:r>
        <w:rPr>
          <w:color w:val="003CA0"/>
          <w:sz w:val="12"/>
        </w:rPr>
        <w:t xml:space="preserve"> | rel. Cezar Peluso</w:t>
      </w:r>
    </w:p>
    <w:p>
      <w:pPr>
        <w:ind w:left="288"/>
      </w:pPr>
      <w:r>
        <w:rPr>
          <w:color w:val="1E1E1E"/>
          <w:sz w:val="18"/>
        </w:rPr>
        <w:t>= HC 89.517, rel. min. Cezar Peluso, j. 15-12-2009, 2ª T, DJE de 12-2-2010 Vide HC 95.712, rel. min. Ayres Britto, j. 20-4-2010, 1ª T, DJE de 21-5-2010 Vide HC 89.686, rel. min. Sepúlveda Pertence, j. 12-6-2007, 1ª T, DJ de 17-8-2007 Descabe falar em insubsistência da denúncia quando, na peça, são narrados os fatos que, em tese, consubstanciam crime, ficando, assim, viabilizada a defesa.</w:t>
      </w:r>
    </w:p>
    <w:p>
      <w:pPr>
        <w:ind w:left="288"/>
      </w:pPr>
      <w:r>
        <w:rPr>
          <w:b/>
          <w:color w:val="003CA0"/>
          <w:sz w:val="16"/>
        </w:rPr>
        <w:t>[HC 93.553, rel. min. Marco Aurélio, j. 7-5-2009, P, DJE de 4-9-2009.]</w:t>
      </w:r>
    </w:p>
    <w:p>
      <w:pPr>
        <w:ind w:left="288"/>
      </w:pPr>
      <w:r>
        <w:rPr>
          <w:color w:val="8C8C8C"/>
          <w:sz w:val="12"/>
        </w:rPr>
        <w:t>cf-art-5-inc-L</w:t>
      </w:r>
      <w:r>
        <w:rPr>
          <w:color w:val="003CA0"/>
          <w:sz w:val="12"/>
        </w:rPr>
        <w:t xml:space="preserve"> | RHC 97.925</w:t>
      </w:r>
      <w:r>
        <w:rPr>
          <w:color w:val="003CA0"/>
          <w:sz w:val="12"/>
        </w:rPr>
        <w:t xml:space="preserve"> | rel. Gilmar Mendes</w:t>
      </w:r>
    </w:p>
    <w:p>
      <w:pPr>
        <w:ind w:left="288"/>
      </w:pPr>
      <w:r>
        <w:rPr>
          <w:color w:val="1E1E1E"/>
          <w:sz w:val="18"/>
        </w:rPr>
        <w:t>= RHC 97.925, rel. min. Gilmar Mendes, j. 16-11-2010, 2ª T, DJE de 2-12-2010 Não está caracterizado cerceamento de defesa decorrente da negativa de acesso aos autos suplementares, porque a própria redação da Súmula Vinculante 14/STF prevê que o advogado poderá ter acesso aos autos do procedimento investigatório sigiloso somente após a documentação das diligências realizadas. Ademais, a defesa teve acesso ao procedimento suplementar tão logo foram encerradas as diligências e encaminhados os documentos ao Magistrado respectivo.</w:t>
      </w:r>
    </w:p>
    <w:p>
      <w:pPr>
        <w:ind w:left="288"/>
      </w:pPr>
      <w:r>
        <w:rPr>
          <w:b/>
          <w:color w:val="003CA0"/>
          <w:sz w:val="16"/>
        </w:rPr>
        <w:t>[HC 96.511, rel. min. Menezes Direito, j. 28-4-2009, 1ª T, DJE de 29-5-2009.]</w:t>
      </w:r>
    </w:p>
    <w:p>
      <w:pPr>
        <w:ind w:left="288"/>
      </w:pPr>
      <w:r>
        <w:rPr>
          <w:color w:val="8C8C8C"/>
          <w:sz w:val="12"/>
        </w:rPr>
        <w:t>cf-art-5-inc-L</w:t>
      </w:r>
      <w:r>
        <w:rPr>
          <w:color w:val="003CA0"/>
          <w:sz w:val="12"/>
        </w:rPr>
        <w:t xml:space="preserve"> | HC 95.402</w:t>
      </w:r>
      <w:r>
        <w:rPr>
          <w:color w:val="003CA0"/>
          <w:sz w:val="12"/>
        </w:rPr>
        <w:t xml:space="preserve"> | rel. Eros Grau</w:t>
      </w:r>
    </w:p>
    <w:p>
      <w:pPr>
        <w:ind w:left="288"/>
      </w:pPr>
      <w:r>
        <w:rPr>
          <w:color w:val="1E1E1E"/>
          <w:sz w:val="18"/>
        </w:rPr>
        <w:t>Crimes funcionais típicos, afiançáveis. Denúncia lastreada em inquérito policial, afastando-se o rito estabelecido no art. 514 do CPP. A não observância de formalidade essencial em procedimentos específicos viola frontalmente a garantia constitucional da ampla defesa.</w:t>
      </w:r>
    </w:p>
    <w:p>
      <w:pPr>
        <w:ind w:left="288"/>
      </w:pPr>
      <w:r>
        <w:rPr>
          <w:b/>
          <w:color w:val="003CA0"/>
          <w:sz w:val="16"/>
        </w:rPr>
        <w:t>[HC 95.402, rel. min. Eros Grau, j. 31-3-2009, 2ª T, DJE de 8-5-2009.]</w:t>
      </w:r>
    </w:p>
    <w:p>
      <w:pPr>
        <w:ind w:left="288"/>
      </w:pPr>
      <w:r>
        <w:rPr>
          <w:color w:val="8C8C8C"/>
          <w:sz w:val="12"/>
        </w:rPr>
        <w:t>cf-art-5-inc-L</w:t>
      </w:r>
      <w:r>
        <w:rPr>
          <w:color w:val="003CA0"/>
          <w:sz w:val="12"/>
        </w:rPr>
        <w:t xml:space="preserve"> | HC 95.712</w:t>
      </w:r>
      <w:r>
        <w:rPr>
          <w:color w:val="003CA0"/>
          <w:sz w:val="12"/>
        </w:rPr>
        <w:t xml:space="preserve"> | rel. Ayres Britto</w:t>
      </w:r>
    </w:p>
    <w:p>
      <w:pPr>
        <w:ind w:left="288"/>
      </w:pPr>
      <w:r>
        <w:rPr>
          <w:color w:val="1E1E1E"/>
          <w:sz w:val="18"/>
        </w:rPr>
        <w:t>= HC 95.712, rel. min. Ayres Britto, j. 20-4-2010, 1ª T, DJE de 21-5-2010 Vide HC 85.779, rel. min. Gilmar Mendes, red. do ac. min. Cármen Lúcia, j. 28-2-2007, P, DJ de 29-6-2007 Pedido do impetrante de intimação da apresentação do feito em mesa para julgamento. Ausência de comunicação. Havendo pedido de comunicação da data de apresentação em mesa para apreciação do feito e ausente a comunicação da Defensoria Pública da União, não subsiste o julgamento.</w:t>
      </w:r>
    </w:p>
    <w:p>
      <w:pPr>
        <w:ind w:left="288"/>
      </w:pPr>
      <w:r>
        <w:rPr>
          <w:b/>
          <w:color w:val="003CA0"/>
          <w:sz w:val="16"/>
        </w:rPr>
        <w:t>[HC 93.833 QO, rel. min. Ayres Britto, j. 31-3-2009, 1ª T, DJE de 8-5-2009.]</w:t>
      </w:r>
    </w:p>
    <w:p>
      <w:pPr>
        <w:ind w:left="288"/>
      </w:pPr>
      <w:r>
        <w:rPr>
          <w:color w:val="8C8C8C"/>
          <w:sz w:val="12"/>
        </w:rPr>
        <w:t>cf-art-5-inc-L</w:t>
      </w:r>
      <w:r>
        <w:rPr>
          <w:color w:val="003CA0"/>
          <w:sz w:val="12"/>
        </w:rPr>
        <w:t xml:space="preserve"> | HC 86.551</w:t>
      </w:r>
      <w:r>
        <w:rPr>
          <w:color w:val="003CA0"/>
          <w:sz w:val="12"/>
        </w:rPr>
        <w:t xml:space="preserve"> | rel. Celso de Mello</w:t>
      </w:r>
    </w:p>
    <w:p>
      <w:pPr>
        <w:ind w:left="288"/>
      </w:pPr>
      <w:r>
        <w:rPr>
          <w:color w:val="1E1E1E"/>
          <w:sz w:val="18"/>
        </w:rPr>
        <w:t>= HC 86.551, rel. min. Celso de Mello, j. 14-4-2009, 2ª T, DJE de 29-5-2009 Em crimes societários, a denúncia deve pormenorizar a ação dos denunciados no quanto possível. Não impede a ampla defesa, entretanto, quando se evidencia o vínculo dos denunciados com a ação da empresa denunciada.</w:t>
      </w:r>
    </w:p>
    <w:p>
      <w:pPr>
        <w:ind w:left="288"/>
      </w:pPr>
      <w:r>
        <w:rPr>
          <w:b/>
          <w:color w:val="003CA0"/>
          <w:sz w:val="16"/>
        </w:rPr>
        <w:t>[HC 93.628, rel. min. Ricardo Lewandowski, j. 31-3-2009, 1ª T, DJE de 17-4-2009.]</w:t>
      </w:r>
    </w:p>
    <w:p>
      <w:pPr>
        <w:ind w:left="288"/>
      </w:pPr>
      <w:r>
        <w:rPr>
          <w:color w:val="8C8C8C"/>
          <w:sz w:val="12"/>
        </w:rPr>
        <w:t>cf-art-5-inc-L</w:t>
      </w:r>
      <w:r>
        <w:rPr>
          <w:color w:val="003CA0"/>
          <w:sz w:val="12"/>
        </w:rPr>
        <w:t xml:space="preserve"> | HC 101.754</w:t>
      </w:r>
      <w:r>
        <w:rPr>
          <w:color w:val="003CA0"/>
          <w:sz w:val="12"/>
        </w:rPr>
        <w:t xml:space="preserve"> | rel. Ellen Gracie</w:t>
      </w:r>
    </w:p>
    <w:p>
      <w:pPr>
        <w:ind w:left="288"/>
      </w:pPr>
      <w:r>
        <w:rPr>
          <w:color w:val="1E1E1E"/>
          <w:sz w:val="18"/>
        </w:rPr>
        <w:t>= HC 101.754, rel. min. Ellen Gracie, j. 8-6-2010, 2ª T, DJE de 25-6-2010 Há precedentes desta Suprema Corte validando a disciplina da Resolução 9 do STJ, em que se assentou ser legítima, em carta rogatória, a realização de diligência sem a prévia audiência e sem a presença do réu da ação penal, quando essas possam frustrar o resultado da diligência, isso sem prejuízo da possibilidade do que se chama de exercício pleno do direito de defesa diferido, através de embargos, cabendo agravo regimental da decisão desses embargos.</w:t>
      </w:r>
    </w:p>
    <w:p>
      <w:pPr>
        <w:ind w:left="288"/>
      </w:pPr>
      <w:r>
        <w:rPr>
          <w:b/>
          <w:color w:val="003CA0"/>
          <w:sz w:val="16"/>
        </w:rPr>
        <w:t>[HC 89.171, rel. p/ o ac. min. Menezes Direito, j. 24-3-2009, 1ª T, DJE de 8-5-2009.]</w:t>
      </w:r>
    </w:p>
    <w:p>
      <w:pPr>
        <w:ind w:left="288"/>
      </w:pPr>
      <w:r>
        <w:rPr>
          <w:color w:val="8C8C8C"/>
          <w:sz w:val="12"/>
        </w:rPr>
        <w:t>cf-art-5-inc-L</w:t>
      </w:r>
      <w:r>
        <w:rPr>
          <w:color w:val="003CA0"/>
          <w:sz w:val="12"/>
        </w:rPr>
        <w:t xml:space="preserve"> | MS 24.045</w:t>
      </w:r>
      <w:r>
        <w:rPr>
          <w:color w:val="003CA0"/>
          <w:sz w:val="12"/>
        </w:rPr>
        <w:t xml:space="preserve"> | rel. Ayres Britto</w:t>
      </w:r>
    </w:p>
    <w:p>
      <w:pPr>
        <w:ind w:left="288"/>
      </w:pPr>
      <w:r>
        <w:rPr>
          <w:color w:val="1E1E1E"/>
          <w:sz w:val="18"/>
        </w:rPr>
        <w:t>Demarcação da Terra Indígena Raposa Serra do Sol. (...) Inexistência de vícios no processo administrativo demarcatório. Processo que observou as regras do Decreto 1.775/1996, já declaradas constitucionais pelo STF no MS 24.045, da relatoria do min. Joaquim Barbosa. Os interessados tiveram a oportunidade de se habilitar no processo administrativo de demarcação das terras indígenas, como de fato assim procederam o Estado de Roraima, o Município de Normandia, os pretensos posseiros e comunidades indígenas, estas por meio de petições, cartas e prestação de informações. Observância das garantias co</w:t>
      </w:r>
    </w:p>
    <w:p>
      <w:pPr>
        <w:ind w:left="288"/>
      </w:pPr>
      <w:r>
        <w:rPr>
          <w:b/>
          <w:color w:val="003CA0"/>
          <w:sz w:val="16"/>
        </w:rPr>
        <w:t>[Pet 3.388, rel. min. Ayres Britto, j. 19-3-2009, P, DJE de 1º-7-2010.]</w:t>
      </w:r>
    </w:p>
    <w:p>
      <w:pPr>
        <w:ind w:left="288"/>
      </w:pPr>
      <w:r>
        <w:rPr>
          <w:color w:val="8C8C8C"/>
          <w:sz w:val="12"/>
        </w:rPr>
        <w:t>cf-art-5-inc-L</w:t>
      </w:r>
      <w:r>
        <w:rPr>
          <w:color w:val="003CA0"/>
          <w:sz w:val="12"/>
        </w:rPr>
        <w:t xml:space="preserve"> | HC 82.980</w:t>
      </w:r>
      <w:r>
        <w:rPr>
          <w:color w:val="003CA0"/>
          <w:sz w:val="12"/>
        </w:rPr>
        <w:t xml:space="preserve"> | rel. Ayres Britto</w:t>
      </w:r>
    </w:p>
    <w:p>
      <w:pPr>
        <w:ind w:left="288"/>
      </w:pPr>
      <w:r>
        <w:rPr>
          <w:color w:val="1E1E1E"/>
          <w:sz w:val="18"/>
        </w:rPr>
        <w:t>O procedimento do Júri, marcado por duas fases distintas e procedimentos específicos, exige a correlação obrigatória entre pronúncia-libelo-quesitação. Correlação, essa, que decorre não só da garantia da ampla defesa e do contraditório do réu – que não pode ser surpreendido com nova imputação em plenário –, mas também da necessidade de observância à paridade de armas entre acusação e defesa. Daí a impossibilidade de alteração, na segunda fase do Júri (judicium causae), das teses balizadas pelas partes na primeira fase (judicium accusationis), não dispondo o Conselho de Sentença dos amplos pode</w:t>
      </w:r>
    </w:p>
    <w:p>
      <w:pPr>
        <w:ind w:left="288"/>
      </w:pPr>
      <w:r>
        <w:rPr>
          <w:b/>
          <w:color w:val="003CA0"/>
          <w:sz w:val="16"/>
        </w:rPr>
        <w:t>[HC 82.980, rel. min. Ayres Britto, j. 17-3-2009, 1ª T, DJE de 23-10-2009.]</w:t>
      </w:r>
    </w:p>
    <w:p>
      <w:pPr>
        <w:ind w:left="288"/>
      </w:pPr>
      <w:r>
        <w:rPr>
          <w:color w:val="8C8C8C"/>
          <w:sz w:val="12"/>
        </w:rPr>
        <w:t>cf-art-5-inc-L</w:t>
      </w:r>
      <w:r>
        <w:rPr>
          <w:color w:val="003CA0"/>
          <w:sz w:val="12"/>
        </w:rPr>
        <w:t xml:space="preserve"> | HC 93.637</w:t>
      </w:r>
      <w:r>
        <w:rPr>
          <w:color w:val="003CA0"/>
          <w:sz w:val="12"/>
        </w:rPr>
        <w:t xml:space="preserve"> | rel. Ellen Gracie</w:t>
      </w:r>
    </w:p>
    <w:p>
      <w:pPr>
        <w:ind w:left="288"/>
      </w:pPr>
      <w:r>
        <w:rPr>
          <w:color w:val="1E1E1E"/>
          <w:sz w:val="18"/>
        </w:rPr>
        <w:t>Por estar ilegível a data da certidão de publicação do acórdão recorrido, tal circunstância equivale à sua ausência, fato que impede a aferição da tempestividade do recurso, pressuposto de ordem pública do seu cabimento.</w:t>
      </w:r>
    </w:p>
    <w:p>
      <w:pPr>
        <w:ind w:left="288"/>
      </w:pPr>
      <w:r>
        <w:rPr>
          <w:b/>
          <w:color w:val="003CA0"/>
          <w:sz w:val="16"/>
        </w:rPr>
        <w:t>[HC 93.637, rel. min. Ellen Gracie, j. 17-3-2009, 2ª T, DJE de 17-4-2009.]</w:t>
      </w:r>
    </w:p>
    <w:p>
      <w:pPr>
        <w:ind w:left="288"/>
      </w:pPr>
      <w:r>
        <w:rPr>
          <w:color w:val="8C8C8C"/>
          <w:sz w:val="12"/>
        </w:rPr>
        <w:t>cf-art-5-inc-L</w:t>
      </w:r>
      <w:r>
        <w:rPr>
          <w:color w:val="003CA0"/>
          <w:sz w:val="12"/>
        </w:rPr>
        <w:t xml:space="preserve"> | AI 659.758</w:t>
      </w:r>
      <w:r>
        <w:rPr>
          <w:color w:val="003CA0"/>
          <w:sz w:val="12"/>
        </w:rPr>
        <w:t xml:space="preserve"> | rel. Cezar Peluso</w:t>
      </w:r>
    </w:p>
    <w:p>
      <w:pPr>
        <w:ind w:left="288"/>
      </w:pPr>
      <w:r>
        <w:rPr>
          <w:color w:val="1E1E1E"/>
          <w:sz w:val="18"/>
        </w:rPr>
        <w:t>Quando abusiva a interposição de recurso, deve o Tribunal determinar a imediata baixa dos autos ao juízo de origem, independentemente do trânsito em julgado da decisão recorrida.</w:t>
      </w:r>
    </w:p>
    <w:p>
      <w:pPr>
        <w:ind w:left="288"/>
      </w:pPr>
      <w:r>
        <w:rPr>
          <w:b/>
          <w:color w:val="003CA0"/>
          <w:sz w:val="16"/>
        </w:rPr>
        <w:t>[AI 659.758 ED, rel. min. Cezar Peluso, j. 17-2-2009, 2ª T, DJE de 8-5-2009.]</w:t>
      </w:r>
    </w:p>
    <w:p>
      <w:pPr>
        <w:ind w:left="288"/>
      </w:pPr>
      <w:r>
        <w:rPr>
          <w:color w:val="8C8C8C"/>
          <w:sz w:val="12"/>
        </w:rPr>
        <w:t>cf-art-5-inc-L</w:t>
      </w:r>
      <w:r>
        <w:rPr>
          <w:color w:val="003CA0"/>
          <w:sz w:val="12"/>
        </w:rPr>
        <w:t xml:space="preserve"> | RHC 107.452</w:t>
      </w:r>
      <w:r>
        <w:rPr>
          <w:color w:val="003CA0"/>
          <w:sz w:val="12"/>
        </w:rPr>
        <w:t xml:space="preserve"> | rel. Celso de Mello</w:t>
      </w:r>
    </w:p>
    <w:p>
      <w:pPr>
        <w:ind w:left="288"/>
      </w:pPr>
      <w:r>
        <w:rPr>
          <w:color w:val="1E1E1E"/>
          <w:sz w:val="18"/>
        </w:rPr>
        <w:t>= RHC 107.452 ED-ED, rel. min. Celso de Mello, j. 25-3-2014, 2ª T, DJE de 12-5-2014 (...) o simples fato de a paciente participar de programa televisivo, discorrendo sobre o quadro empírico do crime de latrocínio a que foi condenada, não tem a força de justificar a respectiva segregação cautelar. Pelo que tenho como inidôneo o fato superveniente, apontado pelo juízo-processante da causa para a decretação da custódia provisória. Ainda mais – repito – quando esse fato não passou de uma entrevista concedida a emissora de televisão, ocasião em que a paciente simplesmente manifestou a sua própria v</w:t>
      </w:r>
    </w:p>
    <w:p>
      <w:pPr>
        <w:ind w:left="288"/>
      </w:pPr>
      <w:r>
        <w:rPr>
          <w:b/>
          <w:color w:val="003CA0"/>
          <w:sz w:val="16"/>
        </w:rPr>
        <w:t>[HC 95.116, voto do rel. min. Ayres Britto, j. 3-2-2009, 1ª T, DJE de 6-3-2009.]</w:t>
      </w:r>
    </w:p>
    <w:p>
      <w:pPr>
        <w:ind w:left="288"/>
      </w:pPr>
      <w:r>
        <w:rPr>
          <w:color w:val="8C8C8C"/>
          <w:sz w:val="12"/>
        </w:rPr>
        <w:t>cf-art-5-inc-L</w:t>
      </w:r>
      <w:r>
        <w:rPr>
          <w:color w:val="003CA0"/>
          <w:sz w:val="12"/>
        </w:rPr>
        <w:t xml:space="preserve"> | HC 99.558</w:t>
      </w:r>
      <w:r>
        <w:rPr>
          <w:color w:val="003CA0"/>
          <w:sz w:val="12"/>
        </w:rPr>
        <w:t xml:space="preserve"> | rel. Gilmar Mendes</w:t>
      </w:r>
    </w:p>
    <w:p>
      <w:pPr>
        <w:ind w:left="288"/>
      </w:pPr>
      <w:r>
        <w:rPr>
          <w:color w:val="1E1E1E"/>
          <w:sz w:val="18"/>
        </w:rPr>
        <w:t>Vide HC 99.558, rel. min. Gilmar Mendes, j. 14-12-2010, 2ª T, DJE de 7-2-2011 O entendimento da Corte é no sentido de que, embora a administração esteja autorizada a anular seus próprios atos quando eivados de vícios que os tornem ilegais (Súmula 473/STF), não prescinde do processo administrativo, com obediência aos princípios constitucionais da ampla defesa e do contraditório.</w:t>
        <w:br/>
        <w:t>[AI 710.085 AgR, rel. min. Ricardo Lewandowski, j. 3-2-2009, 1ª T, DJE de 6-3-2009.]</w:t>
        <w:br/>
        <w:t>= RMS 25.856, rel. min. Eros Grau, j. 9-3-2010, 2ª T, DJE de 14-5-2010</w:t>
        <w:br/>
        <w:t>Vide RE 594.296, rel. min. Dias Toffoli, j. 21-9-2011, P, DJE d</w:t>
      </w:r>
    </w:p>
    <w:p>
      <w:pPr>
        <w:ind w:left="288"/>
      </w:pPr>
      <w:r>
        <w:rPr>
          <w:b/>
          <w:color w:val="003CA0"/>
          <w:sz w:val="16"/>
        </w:rPr>
        <w:t>[AI 680.650 AgR, rel. min. Ayres Britto, j. 16-12-2008, 1ª T, DJE de 13-2-2009.]</w:t>
      </w:r>
    </w:p>
    <w:p>
      <w:pPr>
        <w:ind w:left="288"/>
      </w:pPr>
      <w:r>
        <w:rPr>
          <w:color w:val="8C8C8C"/>
          <w:sz w:val="12"/>
        </w:rPr>
        <w:t>cf-art-5-inc-L</w:t>
      </w:r>
      <w:r>
        <w:rPr>
          <w:color w:val="003CA0"/>
          <w:sz w:val="12"/>
        </w:rPr>
        <w:t xml:space="preserve"> | RE 469.871</w:t>
      </w:r>
      <w:r>
        <w:rPr>
          <w:color w:val="003CA0"/>
          <w:sz w:val="12"/>
        </w:rPr>
        <w:t xml:space="preserve"> | rel. Joaquim Barbosa</w:t>
      </w:r>
    </w:p>
    <w:p>
      <w:pPr>
        <w:ind w:left="288"/>
      </w:pPr>
      <w:r>
        <w:rPr>
          <w:color w:val="1E1E1E"/>
          <w:sz w:val="18"/>
        </w:rPr>
        <w:t>= RE 469.871 AgR, rel. min. Joaquim Barbosa, j. 30-6-2009, 2ª T, DJE de 14-8-2009 No que se refere especificamente à intimação da defesa quanto à data da audiência para oitiva de testemunha no juízo deprecado, registro que a jurisprudência consolidada desta Corte Suprema já assentou que "a ausência de intimação para a oitiva de testemunhas no juízo deprecado não consubstancia nulidade (precedentes). Havendo ciência da expedição da carta precatória, como no caso, cabe ao paciente ou a seu defensor acompanhar o andamento no juízo deprecado" (HC 89.159/SP, rel. min. Eros Grau, Segunda Turma, DJ d</w:t>
      </w:r>
    </w:p>
    <w:p>
      <w:pPr>
        <w:ind w:left="288"/>
      </w:pPr>
      <w:r>
        <w:rPr>
          <w:b/>
          <w:color w:val="003CA0"/>
          <w:sz w:val="16"/>
        </w:rPr>
        <w:t>[HC 96.026, rel. min. Ellen Gracie, j. 9-12-2008, 2ª T, DJE de 6-2-2009.]</w:t>
      </w:r>
    </w:p>
    <w:p>
      <w:pPr>
        <w:ind w:left="288"/>
      </w:pPr>
      <w:r>
        <w:rPr>
          <w:color w:val="8C8C8C"/>
          <w:sz w:val="12"/>
        </w:rPr>
        <w:t>cf-art-5-inc-L</w:t>
      </w:r>
      <w:r>
        <w:rPr>
          <w:color w:val="003CA0"/>
          <w:sz w:val="12"/>
        </w:rPr>
        <w:t xml:space="preserve"> | RHC 93.817</w:t>
      </w:r>
      <w:r>
        <w:rPr>
          <w:color w:val="003CA0"/>
          <w:sz w:val="12"/>
        </w:rPr>
        <w:t xml:space="preserve"> | rel. Ayres Britto</w:t>
      </w:r>
    </w:p>
    <w:p>
      <w:pPr>
        <w:ind w:left="288"/>
      </w:pPr>
      <w:r>
        <w:rPr>
          <w:color w:val="1E1E1E"/>
          <w:sz w:val="18"/>
        </w:rPr>
        <w:t>= RHC 93.817, rel. min. Ayres Britto, j. 30-6-2009, 1ª T, DJE de 28-8-2009 Não cabe sustentação oral, em sede de "agravo regimental", considerada a existência de expressa vedação regimental (RISTF, art. 131, § 2º), fundada em norma cuja constitucionalidade foi expressamente reconhecida, já sob a égide da Constituição de 1988, pelo STF.</w:t>
      </w:r>
    </w:p>
    <w:p>
      <w:pPr>
        <w:ind w:left="288"/>
      </w:pPr>
      <w:r>
        <w:rPr>
          <w:b/>
          <w:color w:val="003CA0"/>
          <w:sz w:val="16"/>
        </w:rPr>
        <w:t>[HC 94.993 MC-AgR, rel. min. Celso de Mello, j. 26-11-2008, P, DJE de 13-2-2009.]</w:t>
      </w:r>
    </w:p>
    <w:p>
      <w:pPr>
        <w:ind w:left="288"/>
      </w:pPr>
      <w:r>
        <w:rPr>
          <w:color w:val="8C8C8C"/>
          <w:sz w:val="12"/>
        </w:rPr>
        <w:t>cf-art-5-inc-L</w:t>
      </w:r>
      <w:r>
        <w:rPr>
          <w:color w:val="003CA0"/>
          <w:sz w:val="12"/>
        </w:rPr>
        <w:t xml:space="preserve"> | AI 795.683</w:t>
      </w:r>
      <w:r>
        <w:rPr>
          <w:color w:val="003CA0"/>
          <w:sz w:val="12"/>
        </w:rPr>
        <w:t xml:space="preserve"> | rel. Ricardo Lewandowski</w:t>
      </w:r>
    </w:p>
    <w:p>
      <w:pPr>
        <w:ind w:left="288"/>
      </w:pPr>
      <w:r>
        <w:rPr>
          <w:color w:val="1E1E1E"/>
          <w:sz w:val="18"/>
        </w:rPr>
        <w:t>= AI 795.683 AgR, rel. min. Ricardo Lewandowski, j. 19-10-2010, 1ª T, DJE de 12-11-2010 Vide HC 152.676-AgR, rel. min. Edson Fachin, red. do ac. min. Gilmar Mendes, j. em 9-4-2019, 2ª T, DJE de 03-08-2020 (...) possibilidade de sustentação oral nos recursos de agravo interno interpostos no processo penal de “habeas corpus”, mediante aplicação analógica de regras fundadas no novo Código de Processo Civil (art. 1.021 c/c o art. 937, VI), que também estende essa mesma prerrogativa às hipóteses de recurso de agravo contra decisão monocrática que extingue, por ato do Relator, processo de mandado de</w:t>
      </w:r>
    </w:p>
    <w:p>
      <w:pPr>
        <w:ind w:left="288"/>
      </w:pPr>
      <w:r>
        <w:rPr>
          <w:b/>
          <w:color w:val="003CA0"/>
          <w:sz w:val="16"/>
        </w:rPr>
        <w:t>[HC 152.676 AgR, rel. min. Edson Fachin, red. do ac. min. Gilmar Mendes, voto do min. Celso de Mello, j. 09.04.2019, 2ª T, DJE de 03.08.2020.)</w:t>
      </w:r>
    </w:p>
    <w:p>
      <w:pPr>
        <w:ind w:left="288"/>
      </w:pPr>
      <w:r>
        <w:rPr>
          <w:color w:val="8C8C8C"/>
          <w:sz w:val="12"/>
        </w:rPr>
        <w:t>cf-art-5-inc-L</w:t>
      </w:r>
      <w:r>
        <w:rPr>
          <w:color w:val="003CA0"/>
          <w:sz w:val="12"/>
        </w:rPr>
        <w:t xml:space="preserve"> | HC 94.993</w:t>
      </w:r>
      <w:r>
        <w:rPr>
          <w:color w:val="003CA0"/>
          <w:sz w:val="12"/>
        </w:rPr>
        <w:t xml:space="preserve"> | rel. Celso de Mello</w:t>
      </w:r>
    </w:p>
    <w:p>
      <w:pPr>
        <w:ind w:left="288"/>
      </w:pPr>
      <w:r>
        <w:rPr>
          <w:color w:val="1E1E1E"/>
          <w:sz w:val="18"/>
        </w:rPr>
        <w:t>Vide HC 94.993 MC-AgR, rel. min. Celso de Mello, j. 26-11-2008, P, DJE de 13-2-2009 A intimação pessoal do Ministério Público pode ocorrer por mandado ou com a entrega dos autos, devidamente formalizada, no setor administrativo do Ministério Público, sendo que, para efeitos de comprovação da tempestividade do recurso, admite-se, excepcionalmente, a "aposição do ciente". Havendo a intimação pessoal por diversas formas, considera-se, para a contagem dos prazos recursais, a que ocorrer primeiro. Precedente. No caso, o Ministério Público foi intimado por mandado (Súmula 710/STF) e interpôs fora do</w:t>
      </w:r>
    </w:p>
    <w:p>
      <w:pPr>
        <w:ind w:left="288"/>
      </w:pPr>
      <w:r>
        <w:rPr>
          <w:b/>
          <w:color w:val="003CA0"/>
          <w:sz w:val="16"/>
        </w:rPr>
        <w:t>[AI 661.622 AgR-AgR, rel. min. Cármen Lúcia, j. 28-10-2008, 2ª T, DJE de 19-12-2008.]</w:t>
      </w:r>
    </w:p>
    <w:p>
      <w:pPr>
        <w:ind w:left="288"/>
      </w:pPr>
      <w:r>
        <w:rPr>
          <w:color w:val="8C8C8C"/>
          <w:sz w:val="12"/>
        </w:rPr>
        <w:t>cf-art-5-inc-L</w:t>
      </w:r>
      <w:r>
        <w:rPr>
          <w:color w:val="003CA0"/>
          <w:sz w:val="12"/>
        </w:rPr>
        <w:t xml:space="preserve"> | HC 83.255</w:t>
      </w:r>
      <w:r>
        <w:rPr>
          <w:color w:val="003CA0"/>
          <w:sz w:val="12"/>
        </w:rPr>
        <w:t xml:space="preserve"> | rel. Marco Aurélio</w:t>
      </w:r>
    </w:p>
    <w:p>
      <w:pPr>
        <w:ind w:left="288"/>
      </w:pPr>
      <w:r>
        <w:rPr>
          <w:color w:val="1E1E1E"/>
          <w:sz w:val="18"/>
        </w:rPr>
        <w:t>Vide HC 83.255, rel. min. Marco Aurélio, j. 5-11-2003, P, DJ de 12-3-2004 CNJ. Devido processo legal. Contraditório. Envolvida, no processo administrativo, situação constituída no tocante a terceiros, impõe-se a ciência destes para, querendo, apresentarem defesa.</w:t>
      </w:r>
    </w:p>
    <w:p>
      <w:pPr>
        <w:ind w:left="288"/>
      </w:pPr>
      <w:r>
        <w:rPr>
          <w:b/>
          <w:color w:val="003CA0"/>
          <w:sz w:val="16"/>
        </w:rPr>
        <w:t>[MS 25.962, rel. min. Marco Aurélio, j. 23-10-2008, P, DJE de 20-3-2009.]</w:t>
      </w:r>
    </w:p>
    <w:p>
      <w:pPr>
        <w:ind w:left="288"/>
      </w:pPr>
      <w:r>
        <w:rPr>
          <w:color w:val="8C8C8C"/>
          <w:sz w:val="12"/>
        </w:rPr>
        <w:t>cf-art-5-inc-L</w:t>
      </w:r>
      <w:r>
        <w:rPr>
          <w:color w:val="003CA0"/>
          <w:sz w:val="12"/>
        </w:rPr>
        <w:t xml:space="preserve"> | MS 27.154</w:t>
      </w:r>
      <w:r>
        <w:rPr>
          <w:color w:val="003CA0"/>
          <w:sz w:val="12"/>
        </w:rPr>
        <w:t xml:space="preserve"> | rel. Joaquim Barbosa</w:t>
      </w:r>
    </w:p>
    <w:p>
      <w:pPr>
        <w:ind w:left="288"/>
      </w:pPr>
      <w:r>
        <w:rPr>
          <w:color w:val="1E1E1E"/>
          <w:sz w:val="18"/>
        </w:rPr>
        <w:t>= MS 27.154, rel. min. Joaquim Barbosa, j. 10-11-2010, P, DJE de 8-2-2011 Servidor público. Funcionário. Aposentadoria. Cumulação de gratificações. Anulação pelo TCU. Inadmissibilidade. Ato julgado legal pelo TCU há mais de cinco anos. Anulação do julgamento. Inadmissibilidade. Decadência administrativa. Consumação reconhecida. Ofensa a direito líquido e certo. Respeito ao princípio da confiança e segurança jurídica. Cassação do acórdão. Segurança concedida para esse fim. Aplicação do art. 5º, LV, da CF e art. 54 da Lei federal 9.784/1999. Não pode o TCU, sob fundamento ou pretexto algum, anul</w:t>
      </w:r>
    </w:p>
    <w:p>
      <w:pPr>
        <w:ind w:left="288"/>
      </w:pPr>
      <w:r>
        <w:rPr>
          <w:b/>
          <w:color w:val="003CA0"/>
          <w:sz w:val="16"/>
        </w:rPr>
        <w:t>[MS 25.963, rel. min. Cezar Peluso, j. 23-10-2008, P, DJE de 21-11-2008.]</w:t>
      </w:r>
    </w:p>
    <w:p>
      <w:pPr>
        <w:ind w:left="288"/>
      </w:pPr>
      <w:r>
        <w:rPr>
          <w:color w:val="8C8C8C"/>
          <w:sz w:val="12"/>
        </w:rPr>
        <w:t>cf-art-5-inc-L</w:t>
      </w:r>
      <w:r>
        <w:rPr>
          <w:color w:val="003CA0"/>
          <w:sz w:val="12"/>
        </w:rPr>
        <w:t xml:space="preserve"> | HC 95.682</w:t>
      </w:r>
      <w:r>
        <w:rPr>
          <w:color w:val="003CA0"/>
          <w:sz w:val="12"/>
        </w:rPr>
        <w:t xml:space="preserve"> | rel. Marco Aurélio</w:t>
      </w:r>
    </w:p>
    <w:p>
      <w:pPr>
        <w:ind w:left="288"/>
      </w:pPr>
      <w:r>
        <w:rPr>
          <w:color w:val="1E1E1E"/>
          <w:sz w:val="18"/>
        </w:rPr>
        <w:t>Recurso. Pauta. Adiamento. Regra especial. Se do regimento interno do tribunal constar a possibilidade de o recurso ser julgado nas duas sessões subsequentes àquela referida na pauta, ocorrendo o exame dentro do aludido intervalo, é de se concluir pela observância da norma de regência.</w:t>
      </w:r>
    </w:p>
    <w:p>
      <w:pPr>
        <w:ind w:left="288"/>
      </w:pPr>
      <w:r>
        <w:rPr>
          <w:b/>
          <w:color w:val="003CA0"/>
          <w:sz w:val="16"/>
        </w:rPr>
        <w:t>[HC 95.682, rel. min. Marco Aurélio, j. 14-10-2008, 2ª T, DJE de 19-12-2008.]</w:t>
      </w:r>
    </w:p>
    <w:p>
      <w:pPr>
        <w:ind w:left="288"/>
      </w:pPr>
      <w:r>
        <w:rPr>
          <w:color w:val="8C8C8C"/>
          <w:sz w:val="12"/>
        </w:rPr>
        <w:t>cf-art-5-inc-L</w:t>
      </w:r>
      <w:r>
        <w:rPr>
          <w:color w:val="003CA0"/>
          <w:sz w:val="12"/>
        </w:rPr>
        <w:t xml:space="preserve"> | RHC 94.350</w:t>
      </w:r>
      <w:r>
        <w:rPr>
          <w:color w:val="003CA0"/>
          <w:sz w:val="12"/>
        </w:rPr>
        <w:t xml:space="preserve"> | rel. Cármen Lúcia</w:t>
      </w:r>
    </w:p>
    <w:p>
      <w:pPr>
        <w:ind w:left="288"/>
      </w:pPr>
      <w:r>
        <w:rPr>
          <w:color w:val="1E1E1E"/>
          <w:sz w:val="18"/>
        </w:rPr>
        <w:t>Juntada de parecer e aditamento da apelação. Documento: não caracterização. Constrangimento ilegal inexistente. Recurso ordinário ao qual se nega provimento. Parecer da lavra de jurista renomado não constitui documento nos termos da legislação processual penal vigente. A apelação da defesa, salvo limitação explícita no ato de sua interposição, devolve ao Tribunal todas as questões relevantes do processo, independentemente de elas terem sido arguidas pelos recorrentes nas razões de apelação ou, no caso, no pedido de aditamento.</w:t>
      </w:r>
    </w:p>
    <w:p>
      <w:pPr>
        <w:ind w:left="288"/>
      </w:pPr>
      <w:r>
        <w:rPr>
          <w:b/>
          <w:color w:val="003CA0"/>
          <w:sz w:val="16"/>
        </w:rPr>
        <w:t>[RHC 94.350, rel. min. Cármen Lúcia, j. 14-10-2008, 1ª T, DJE de 31-10-2008.]</w:t>
      </w:r>
    </w:p>
    <w:p>
      <w:pPr>
        <w:ind w:left="288"/>
      </w:pPr>
      <w:r>
        <w:rPr>
          <w:color w:val="8C8C8C"/>
          <w:sz w:val="12"/>
        </w:rPr>
        <w:t>cf-art-5-inc-L</w:t>
      </w:r>
      <w:r>
        <w:rPr>
          <w:color w:val="003CA0"/>
          <w:sz w:val="12"/>
        </w:rPr>
        <w:t xml:space="preserve"> | HC 88.008</w:t>
      </w:r>
      <w:r>
        <w:rPr>
          <w:color w:val="003CA0"/>
          <w:sz w:val="12"/>
        </w:rPr>
        <w:t xml:space="preserve"> | rel. Cezar Peluso</w:t>
      </w:r>
    </w:p>
    <w:p>
      <w:pPr>
        <w:ind w:left="288"/>
      </w:pPr>
      <w:r>
        <w:rPr>
          <w:color w:val="1E1E1E"/>
          <w:sz w:val="18"/>
        </w:rPr>
        <w:t>= HC 88.008, rel. min. Cezar Peluso, j. 2-2-2010, 2ª T, DJE de 19-2-2010 Exigência de depósito prévio em recurso administrativo. (...) Ratificação do entendimento. (...) A exigência de depósito prévio como requisito de admissibilidade de recurso administrativo – assunto de indiscutível relevância econômica, social e jurídica – já teve a sua inconstitucionalidade reconhecida por esta Corte, no julgamento do RE 388.359, do RE 389.383 e do RE 390.513, todos de relatoria do eminente ministro Marco Aurélio.</w:t>
      </w:r>
    </w:p>
    <w:p>
      <w:pPr>
        <w:ind w:left="288"/>
      </w:pPr>
      <w:r>
        <w:rPr>
          <w:b/>
          <w:color w:val="003CA0"/>
          <w:sz w:val="16"/>
        </w:rPr>
        <w:t>[AI 698.626 QO-RG, rel. min. Ellen Gracie, j. 2-10-2008, P, DJE de 5-12-2008.]</w:t>
      </w:r>
    </w:p>
    <w:p>
      <w:pPr>
        <w:ind w:left="288"/>
      </w:pPr>
      <w:r>
        <w:rPr>
          <w:color w:val="8C8C8C"/>
          <w:sz w:val="12"/>
        </w:rPr>
        <w:t>cf-art-5-inc-L</w:t>
      </w:r>
      <w:r>
        <w:rPr>
          <w:color w:val="003CA0"/>
          <w:sz w:val="12"/>
        </w:rPr>
        <w:t xml:space="preserve"> | ADPF 156</w:t>
      </w:r>
      <w:r>
        <w:rPr>
          <w:color w:val="003CA0"/>
          <w:sz w:val="12"/>
        </w:rPr>
        <w:t xml:space="preserve"> | rel. Cármen Lúcia</w:t>
      </w:r>
    </w:p>
    <w:p>
      <w:pPr>
        <w:ind w:left="288"/>
      </w:pPr>
      <w:r>
        <w:rPr>
          <w:color w:val="1E1E1E"/>
          <w:sz w:val="18"/>
        </w:rPr>
        <w:t>Vide ADPF 156, rel. min. Cármen Lúcia, j. 18-8-2011, P, DJE de 28-10-2011 Assiste a cada um dos litisconsortes penais passivos o direito – fundado em cláusulas constitucionais (CF, art. 5º, LIV e LV) – de formular reperguntas aos demais corréus, que, no entanto, não estão obrigados a respondê-las, em face da prerrogativa contra a autoincriminação, de que também são titulares. O desrespeito a essa franquia individual do réu, resultante da arbitrária recusa em lhe permitir a formulação de reperguntas, qualifica-se como causa geradora de nulidade processual absoluta, por implicar grave transgress</w:t>
      </w:r>
    </w:p>
    <w:p>
      <w:pPr>
        <w:ind w:left="288"/>
      </w:pPr>
      <w:r>
        <w:rPr>
          <w:b/>
          <w:color w:val="003CA0"/>
          <w:sz w:val="16"/>
        </w:rPr>
        <w:t>[HC 94.016, rel. min. Celso de Mello, j. 16-9-2008, 2ª T, DJE de 27-2-2009.]</w:t>
      </w:r>
    </w:p>
    <w:p>
      <w:pPr>
        <w:ind w:left="288"/>
      </w:pPr>
      <w:r>
        <w:rPr>
          <w:color w:val="8C8C8C"/>
          <w:sz w:val="12"/>
        </w:rPr>
        <w:t>cf-art-5-inc-L</w:t>
      </w:r>
      <w:r>
        <w:rPr>
          <w:color w:val="003CA0"/>
          <w:sz w:val="12"/>
        </w:rPr>
        <w:t xml:space="preserve"> | HC 101.648</w:t>
      </w:r>
      <w:r>
        <w:rPr>
          <w:color w:val="003CA0"/>
          <w:sz w:val="12"/>
        </w:rPr>
        <w:t xml:space="preserve"> | rel. Cármen Lúcia</w:t>
      </w:r>
    </w:p>
    <w:p>
      <w:pPr>
        <w:ind w:left="288"/>
      </w:pPr>
      <w:r>
        <w:rPr>
          <w:color w:val="1E1E1E"/>
          <w:sz w:val="18"/>
        </w:rPr>
        <w:t>= HC 101.648, rel. min. Cármen Lúcia, j. 11-5-2010, 1ª T, DJE de 9-2-2011 Vide HC 90.830, rel. min. Cezar Peluso, j. 2-3-2010, 2ª T, DJE de 23-4-2010 A tese da nulidade da citação por edital em razão da alegada falta de esgotamento dos meios para localização do paciente não merece acolhimento. Houve mera irregularidade no fato de o juiz haver decretado a revelia sem aguardar o retorno da carta precatória expedida para citação do paciente. O STF já decidiu que eventual nulidade da citação do acusado é sanada com a constituição de defesa técnica que passou a atuar desde o início do processo, com</w:t>
      </w:r>
    </w:p>
    <w:p>
      <w:pPr>
        <w:ind w:left="288"/>
      </w:pPr>
      <w:r>
        <w:rPr>
          <w:b/>
          <w:color w:val="003CA0"/>
          <w:sz w:val="16"/>
        </w:rPr>
        <w:t>[HC 94.619, rel. min. Ellen Gracie, j. 2-9-2008, 2ª T, DJE de 26-9-2008.]</w:t>
      </w:r>
    </w:p>
    <w:p>
      <w:pPr>
        <w:ind w:left="288"/>
      </w:pPr>
      <w:r>
        <w:rPr>
          <w:color w:val="8C8C8C"/>
          <w:sz w:val="12"/>
        </w:rPr>
        <w:t>cf-art-5-inc-L</w:t>
      </w:r>
      <w:r>
        <w:rPr>
          <w:color w:val="003CA0"/>
          <w:sz w:val="12"/>
        </w:rPr>
        <w:t xml:space="preserve"> | HC 91.371</w:t>
      </w:r>
      <w:r>
        <w:rPr>
          <w:color w:val="003CA0"/>
          <w:sz w:val="12"/>
        </w:rPr>
        <w:t xml:space="preserve"> | rel. Cezar Peluso</w:t>
      </w:r>
    </w:p>
    <w:p>
      <w:pPr>
        <w:ind w:left="288"/>
      </w:pPr>
      <w:r>
        <w:rPr>
          <w:color w:val="1E1E1E"/>
          <w:sz w:val="18"/>
        </w:rPr>
        <w:t>= HC 91.371, rel. min. Cezar Peluso, j. 2-3-2010, 2ª T, DJE de 23-4-2010 Vide HC 97.196, rel. min. Cármen Lúcia, j. 12-5-2009, 1ª T, DJE de 18-6-2010 Os embargos de declaração não se revestem, ordinariamente, de caráter infringente. Os embargos de declaração – desde que ausentes os seus requisitos de admissibilidade – não podem ser utilizados com o indevido objetivo de infringir o julgado, sob pena de inaceitável desvio da específica função jurídico-processual para a qual esse tipo recursal se acha instrumentalmente vocacionado. (...). O abuso do direito de recorrer – por qualificar-se como pr</w:t>
      </w:r>
    </w:p>
    <w:p>
      <w:pPr>
        <w:ind w:left="288"/>
      </w:pPr>
      <w:r>
        <w:rPr>
          <w:b/>
          <w:color w:val="003CA0"/>
          <w:sz w:val="16"/>
        </w:rPr>
        <w:t>[AI 664.123 AgR-ED-ED, rel. min. Celso de Mello, j. 26-8-2008, 2ª T, DJE de 3-10-2008.]</w:t>
      </w:r>
    </w:p>
    <w:p>
      <w:pPr>
        <w:ind w:left="288"/>
      </w:pPr>
      <w:r>
        <w:rPr>
          <w:color w:val="8C8C8C"/>
          <w:sz w:val="12"/>
        </w:rPr>
        <w:t>cf-art-5-inc-L</w:t>
      </w:r>
      <w:r>
        <w:rPr>
          <w:color w:val="003CA0"/>
          <w:sz w:val="12"/>
        </w:rPr>
        <w:t xml:space="preserve"> | AI 768.175</w:t>
      </w:r>
      <w:r>
        <w:rPr>
          <w:color w:val="003CA0"/>
          <w:sz w:val="12"/>
        </w:rPr>
        <w:t xml:space="preserve"> | rel. Cezar Peluso</w:t>
      </w:r>
    </w:p>
    <w:p>
      <w:pPr>
        <w:ind w:left="288"/>
      </w:pPr>
      <w:r>
        <w:rPr>
          <w:color w:val="1E1E1E"/>
          <w:sz w:val="18"/>
        </w:rPr>
        <w:t>= AI 768.175 AgR-ED, rel. min. Cezar Peluso, j. 7-10-2010, P, DJE de 11-11-2010 Processo penal. Interrogatório. Assistência técnica. A exigência de defesa técnica para observância do devido processo legal impõe a presença do profissional da advocacia na audiência de interrogatório do acusado. Não bastasse o disposto no art. 261 do CPP, a Lei 10.792/2003 explicitou a formalidade de cunho nitidamente constitucional. Art. 5º, LV, da CF.</w:t>
      </w:r>
    </w:p>
    <w:p>
      <w:pPr>
        <w:ind w:left="288"/>
      </w:pPr>
      <w:r>
        <w:rPr>
          <w:b/>
          <w:color w:val="003CA0"/>
          <w:sz w:val="16"/>
        </w:rPr>
        <w:t>[RE 459.131, rel. min. Ricardo Lewandowski, j. 12-8-2008, 1ª T, DJE de 12-9-2008.]</w:t>
      </w:r>
    </w:p>
    <w:p>
      <w:pPr>
        <w:ind w:left="288"/>
      </w:pPr>
      <w:r>
        <w:rPr>
          <w:color w:val="8C8C8C"/>
          <w:sz w:val="12"/>
        </w:rPr>
        <w:t>cf-art-5-inc-L</w:t>
      </w:r>
      <w:r>
        <w:rPr>
          <w:color w:val="003CA0"/>
          <w:sz w:val="12"/>
        </w:rPr>
        <w:t xml:space="preserve"> | HC 102.019</w:t>
      </w:r>
      <w:r>
        <w:rPr>
          <w:color w:val="003CA0"/>
          <w:sz w:val="12"/>
        </w:rPr>
        <w:t xml:space="preserve"> | rel. Ricardo Lewandowski</w:t>
      </w:r>
    </w:p>
    <w:p>
      <w:pPr>
        <w:ind w:left="288"/>
      </w:pPr>
      <w:r>
        <w:rPr>
          <w:color w:val="1E1E1E"/>
          <w:sz w:val="18"/>
        </w:rPr>
        <w:t>Vide HC 102.019, rel. min. Ricardo Lewandowski, j. 17-8-2010, 1ª T, DJE de 22-10-2010 Se o acusado, citado por edital, não comparece nem constitui advogado, pode o juiz, suspenso o processo, determinar colheita antecipada de elemento de prova testemunhal, apenas quando esta seja urgente nos termos do art. 225 do CPP.</w:t>
      </w:r>
    </w:p>
    <w:p>
      <w:pPr>
        <w:ind w:left="288"/>
      </w:pPr>
      <w:r>
        <w:rPr>
          <w:b/>
          <w:color w:val="003CA0"/>
          <w:sz w:val="16"/>
        </w:rPr>
        <w:t>[HC 85.824, rel. min. Cezar Peluso, j. 5-8-2008, 2ª T, DJE de 22-8-2008.]</w:t>
      </w:r>
    </w:p>
    <w:p>
      <w:pPr>
        <w:ind w:left="288"/>
      </w:pPr>
      <w:r>
        <w:rPr>
          <w:color w:val="8C8C8C"/>
          <w:sz w:val="12"/>
        </w:rPr>
        <w:t>cf-art-5-inc-L</w:t>
      </w:r>
      <w:r>
        <w:rPr>
          <w:color w:val="003CA0"/>
          <w:sz w:val="12"/>
        </w:rPr>
        <w:t xml:space="preserve"> | HC 96.325</w:t>
      </w:r>
      <w:r>
        <w:rPr>
          <w:color w:val="003CA0"/>
          <w:sz w:val="12"/>
        </w:rPr>
        <w:t xml:space="preserve"> | rel. Cármen Lúcia</w:t>
      </w:r>
    </w:p>
    <w:p>
      <w:pPr>
        <w:ind w:left="288"/>
      </w:pPr>
      <w:r>
        <w:rPr>
          <w:color w:val="1E1E1E"/>
          <w:sz w:val="18"/>
        </w:rPr>
        <w:t>= HC 96.325, rel. min. Cármen Lúcia, j. 19-5-2009, 1ª T, DJE de 21-8-2009 Não se faz necessária a notificação prévia e pessoal da data em que será realizada a sessão de julgamento de recurso de reconsideração pelo TCU. Ausência de ofensa aos princípios da ampla defesa e do devido processo legal quando a pauta de julgamentos é publicada no DOU. O pedido de sustentação oral pode ser feito, conforme autoriza o art. 168 do Regimento Interno do TCU, até quatro horas antes da sessão. Para tanto, é necessário que os interessados no julgamento acompanhem o andamento do processo e as publicações feitas</w:t>
      </w:r>
    </w:p>
    <w:p>
      <w:pPr>
        <w:ind w:left="288"/>
      </w:pPr>
      <w:r>
        <w:rPr>
          <w:b/>
          <w:color w:val="003CA0"/>
          <w:sz w:val="16"/>
        </w:rPr>
        <w:t>[MS 26.732 AgR, rel. min. Cármen Lúcia, j. 25-6-2008, P, DJE de 15-8-2008.]</w:t>
      </w:r>
    </w:p>
    <w:p>
      <w:pPr>
        <w:ind w:left="288"/>
      </w:pPr>
      <w:r>
        <w:rPr>
          <w:color w:val="8C8C8C"/>
          <w:sz w:val="12"/>
        </w:rPr>
        <w:t>cf-art-5-inc-L</w:t>
      </w:r>
      <w:r>
        <w:rPr>
          <w:color w:val="003CA0"/>
          <w:sz w:val="12"/>
        </w:rPr>
        <w:t xml:space="preserve"> | ACO 1.000</w:t>
      </w:r>
      <w:r>
        <w:rPr>
          <w:color w:val="003CA0"/>
          <w:sz w:val="12"/>
        </w:rPr>
        <w:t xml:space="preserve"> | rel. Joaquim Barbosa</w:t>
      </w:r>
    </w:p>
    <w:p>
      <w:pPr>
        <w:ind w:left="288"/>
      </w:pPr>
      <w:r>
        <w:rPr>
          <w:color w:val="1E1E1E"/>
          <w:sz w:val="18"/>
        </w:rPr>
        <w:t>Sistema Integrado de Administração Financeira (SIAFI) e Sistema de Acompanhamento das Leis de Incentivo à Cultura (SALIC). Registro de inadimplência de Estado-membro. Ausência de contraditório. Agravo interposto de decisão que reputou ausente o fumus boni juris pertinente à alegada violação dos direitos constitucionais ao contraditório e à ampla defesa, porquanto presentes nos autos documentos que indicam que a União ofereceu prazo para que o Estado-autor impugnasse as pretensas irregularidades apuradas na execução de três convênios. Não obstante a abertura de prazo, o Estado-autor não apresen</w:t>
      </w:r>
    </w:p>
    <w:p>
      <w:pPr>
        <w:ind w:left="288"/>
      </w:pPr>
      <w:r>
        <w:rPr>
          <w:b/>
          <w:color w:val="003CA0"/>
          <w:sz w:val="16"/>
        </w:rPr>
        <w:t>[ACO 1.000 MC-AgR, rel. min. Joaquim Barbosa, j. 25-6-2008, P, DJE de 15-8-2008.]</w:t>
      </w:r>
    </w:p>
    <w:p>
      <w:pPr>
        <w:ind w:left="288"/>
      </w:pPr>
      <w:r>
        <w:rPr>
          <w:color w:val="8C8C8C"/>
          <w:sz w:val="12"/>
        </w:rPr>
        <w:t>cf-art-5-inc-L</w:t>
      </w:r>
      <w:r>
        <w:rPr>
          <w:color w:val="003CA0"/>
          <w:sz w:val="12"/>
        </w:rPr>
        <w:t xml:space="preserve"> | HC 93.073</w:t>
      </w:r>
      <w:r>
        <w:rPr>
          <w:color w:val="003CA0"/>
          <w:sz w:val="12"/>
        </w:rPr>
        <w:t xml:space="preserve"> | rel. Joaquim Barbosa</w:t>
      </w:r>
    </w:p>
    <w:p>
      <w:pPr>
        <w:ind w:left="288"/>
      </w:pPr>
      <w:r>
        <w:rPr>
          <w:color w:val="1E1E1E"/>
          <w:sz w:val="18"/>
        </w:rPr>
        <w:t>É assegurado o contraditório e a ampla defesa no procedimento administrativo destinado à apuração de falta disciplinar. A ausência de intimação da defesa para se manifestar previamente à aplicação de penalidade disciplinar viola os princípios do contraditório e da ampla defesa, ocasionando a nulidade absoluta de todos os atos subsequentes.</w:t>
      </w:r>
    </w:p>
    <w:p>
      <w:pPr>
        <w:ind w:left="288"/>
      </w:pPr>
      <w:r>
        <w:rPr>
          <w:b/>
          <w:color w:val="003CA0"/>
          <w:sz w:val="16"/>
        </w:rPr>
        <w:t>[HC 93.073, rel. min. Joaquim Barbosa, j. 24-6-2008, 2ª T, DJE de 6-3-2009.]</w:t>
      </w:r>
    </w:p>
    <w:p>
      <w:pPr>
        <w:ind w:left="288"/>
      </w:pPr>
      <w:r>
        <w:rPr>
          <w:color w:val="8C8C8C"/>
          <w:sz w:val="12"/>
        </w:rPr>
        <w:t>cf-art-5-inc-L</w:t>
      </w:r>
      <w:r>
        <w:rPr>
          <w:color w:val="003CA0"/>
          <w:sz w:val="12"/>
        </w:rPr>
        <w:t xml:space="preserve"> | EXT 1.082</w:t>
      </w:r>
      <w:r>
        <w:rPr>
          <w:color w:val="003CA0"/>
          <w:sz w:val="12"/>
        </w:rPr>
        <w:t xml:space="preserve"> | rel. Celso de Mello</w:t>
      </w:r>
    </w:p>
    <w:p>
      <w:pPr>
        <w:ind w:left="288"/>
      </w:pPr>
      <w:r>
        <w:rPr>
          <w:color w:val="1E1E1E"/>
          <w:sz w:val="18"/>
        </w:rPr>
        <w:t>Validade constitucional do art. 85, § 1º, da Lei 6.815/1980. As restrições de ordem temática, estabelecidas no Estatuto do Estrangeiro (art. 85, § 1º) – cuja incidência delimita, nas ações de extradição passiva, o âmbito material do exercício do direito de defesa –, não são inconstitucionais, nem ofendem a garantia da plenitude de defesa, em face da natureza mesma de que se reveste o processo extradicional no direito brasileiro e, ainda, em decorrência do próprio modelo de contenciosidade limitada adotado pelo ordenamento positivo nacional.</w:t>
      </w:r>
    </w:p>
    <w:p>
      <w:pPr>
        <w:ind w:left="288"/>
      </w:pPr>
      <w:r>
        <w:rPr>
          <w:b/>
          <w:color w:val="003CA0"/>
          <w:sz w:val="16"/>
        </w:rPr>
        <w:t>[Ext 1.082, rel. min. Celso de Mello, j. 19-6-2008, P, DJE de 8-8-2008.]</w:t>
      </w:r>
    </w:p>
    <w:p>
      <w:pPr>
        <w:ind w:left="288"/>
      </w:pPr>
      <w:r>
        <w:rPr>
          <w:color w:val="8C8C8C"/>
          <w:sz w:val="12"/>
        </w:rPr>
        <w:t>cf-art-5-inc-L</w:t>
      </w:r>
      <w:r>
        <w:rPr>
          <w:color w:val="003CA0"/>
          <w:sz w:val="12"/>
        </w:rPr>
        <w:t xml:space="preserve"> | RE 513.585</w:t>
      </w:r>
      <w:r>
        <w:rPr>
          <w:color w:val="003CA0"/>
          <w:sz w:val="12"/>
        </w:rPr>
        <w:t xml:space="preserve"> | rel. Eros Grau</w:t>
      </w:r>
    </w:p>
    <w:p>
      <w:pPr>
        <w:ind w:left="288"/>
      </w:pPr>
      <w:r>
        <w:rPr>
          <w:color w:val="1E1E1E"/>
          <w:sz w:val="18"/>
        </w:rPr>
        <w:t>A jurisprudência desta Corte tem-se fixado no sentido de que a ausência de processo administrativo ou a inobservância aos princípios do contraditório e da ampla defesa tornam nulo o ato de demissão de servidor público, seja ele civil ou militar, estável ou não.</w:t>
      </w:r>
    </w:p>
    <w:p>
      <w:pPr>
        <w:ind w:left="288"/>
      </w:pPr>
      <w:r>
        <w:rPr>
          <w:b/>
          <w:color w:val="003CA0"/>
          <w:sz w:val="16"/>
        </w:rPr>
        <w:t>[RE 513.585 AgR, rel. min. Eros Grau, j. 17-6-2008, 2ª T, DJE de 1º-8-2008.]</w:t>
      </w:r>
    </w:p>
    <w:p>
      <w:pPr>
        <w:ind w:left="288"/>
      </w:pPr>
      <w:r>
        <w:rPr>
          <w:color w:val="8C8C8C"/>
          <w:sz w:val="12"/>
        </w:rPr>
        <w:t>cf-art-5-inc-L</w:t>
      </w:r>
      <w:r>
        <w:rPr>
          <w:color w:val="003CA0"/>
          <w:sz w:val="12"/>
        </w:rPr>
        <w:t xml:space="preserve"> | RE 594.040</w:t>
      </w:r>
      <w:r>
        <w:rPr>
          <w:color w:val="003CA0"/>
          <w:sz w:val="12"/>
        </w:rPr>
        <w:t xml:space="preserve"> | rel. Ricardo Lewandowski</w:t>
      </w:r>
    </w:p>
    <w:p>
      <w:pPr>
        <w:ind w:left="288"/>
      </w:pPr>
      <w:r>
        <w:rPr>
          <w:color w:val="1E1E1E"/>
          <w:sz w:val="18"/>
        </w:rPr>
        <w:t>= RE 594.040 AgR, rel. min. Ricardo Lewandowski, j. 6-4-2010, 1ª T, DJE de 23-4-2010 Não há ilegalidade na ampliação da acusação a servidor público, se durante o processo administrativo forem apurados fatos novos que constituam infração disciplinar. O princípio do contraditório e da ampla defesa deve ser rigorosamente observado. É permitido ao agente administrativo, para complementar suas razões, encampar os termos de parecer exarado por autoridade de menor hierarquia. A autoridade julgadora não está vinculada às conclusões da comissão processante. Precedentes: (MS 23.201, rel. min. Ellen Grac</w:t>
      </w:r>
    </w:p>
    <w:p>
      <w:pPr>
        <w:ind w:left="288"/>
      </w:pPr>
      <w:r>
        <w:rPr>
          <w:b/>
          <w:color w:val="003CA0"/>
          <w:sz w:val="16"/>
        </w:rPr>
        <w:t>[RMS 24.526, rel. min. Eros Grau, j. 3-6-2008, 1ª T, DJE de 15-8-2008.]</w:t>
      </w:r>
    </w:p>
    <w:p>
      <w:pPr>
        <w:ind w:left="288"/>
      </w:pPr>
      <w:r>
        <w:rPr>
          <w:color w:val="8C8C8C"/>
          <w:sz w:val="12"/>
        </w:rPr>
        <w:t>cf-art-5-inc-L</w:t>
      </w:r>
      <w:r>
        <w:rPr>
          <w:color w:val="003CA0"/>
          <w:sz w:val="12"/>
        </w:rPr>
        <w:t xml:space="preserve"> | RMS 30.881</w:t>
      </w:r>
      <w:r>
        <w:rPr>
          <w:color w:val="003CA0"/>
          <w:sz w:val="12"/>
        </w:rPr>
        <w:t xml:space="preserve"> | rel. Cármen Lúcia</w:t>
      </w:r>
    </w:p>
    <w:p>
      <w:pPr>
        <w:ind w:left="288"/>
      </w:pPr>
      <w:r>
        <w:rPr>
          <w:color w:val="1E1E1E"/>
          <w:sz w:val="18"/>
        </w:rPr>
        <w:t>= RMS 30.881, rel. min. Cármen Lúcia, j. 2-10-2012, 2ª T, DJE de 29-10-2012 A denúncia que descreve de forma clara, precisa, pormenorizada e individualizada a conduta praticada por todos e cada um dos corréus, viabilizando o exercício da ampla defesa, não é inepta. Está na peça acusatória que o paciente ordenou – verbo nuclear do tipo relativo ao delito de abuso de poder – que o delegado de polícia mantivesse, abusivamente, a prisão de pessoas, conduzindo-as à delegacia policial, sem flagrante delito ou ordem fundamentada da autoridade judiciária competente. Sendo o paciente membro do Ministér</w:t>
      </w:r>
    </w:p>
    <w:p>
      <w:pPr>
        <w:ind w:left="288"/>
      </w:pPr>
      <w:r>
        <w:rPr>
          <w:b/>
          <w:color w:val="003CA0"/>
          <w:sz w:val="16"/>
        </w:rPr>
        <w:t>[HC 93.224, rel. min. Eros Grau, j. 13-5-2008, 2ª T, DJE de 5-9-2008.]</w:t>
      </w:r>
    </w:p>
    <w:p>
      <w:pPr>
        <w:ind w:left="288"/>
      </w:pPr>
      <w:r>
        <w:rPr>
          <w:color w:val="8C8C8C"/>
          <w:sz w:val="12"/>
        </w:rPr>
        <w:t>cf-art-5-inc-L</w:t>
      </w:r>
      <w:r>
        <w:rPr>
          <w:color w:val="003CA0"/>
          <w:sz w:val="12"/>
        </w:rPr>
        <w:t xml:space="preserve"> | HC 100.968</w:t>
      </w:r>
      <w:r>
        <w:rPr>
          <w:color w:val="003CA0"/>
          <w:sz w:val="12"/>
        </w:rPr>
        <w:t xml:space="preserve"> | rel. Ricardo Lewandowski</w:t>
      </w:r>
    </w:p>
    <w:p>
      <w:pPr>
        <w:ind w:left="288"/>
      </w:pPr>
      <w:r>
        <w:rPr>
          <w:color w:val="1E1E1E"/>
          <w:sz w:val="18"/>
        </w:rPr>
        <w:t>= HC 100.968, rel. min. Ricardo Lewandowski, j. 18-5-2010, 1ª T, DJE de 4-6-2010 Vide HC 84.965, rel. min. Gilmar Mendes, j. 13-12-2011, 2ª T, DJE de 11-4-2012 Vide HC 89.837, rel. min. Celso de Mello, j. 20-10-2009, 2ª T, DJE de 20-11-2009 Não havendo elementos que o justifiquem, constitui constrangimento ilegal o ato de indiciamento em inquérito policial.</w:t>
      </w:r>
    </w:p>
    <w:p>
      <w:pPr>
        <w:ind w:left="288"/>
      </w:pPr>
      <w:r>
        <w:rPr>
          <w:b/>
          <w:color w:val="003CA0"/>
          <w:sz w:val="16"/>
        </w:rPr>
        <w:t>[HC 85.541, rel. min. Cezar Peluso, j. 22-4-2008, 2ª T, DJE de 22-8-2008.]</w:t>
      </w:r>
    </w:p>
    <w:p>
      <w:pPr>
        <w:ind w:left="288"/>
      </w:pPr>
      <w:r>
        <w:rPr>
          <w:color w:val="8C8C8C"/>
          <w:sz w:val="12"/>
        </w:rPr>
        <w:t>cf-art-5-inc-L</w:t>
      </w:r>
      <w:r>
        <w:rPr>
          <w:color w:val="003CA0"/>
          <w:sz w:val="12"/>
        </w:rPr>
        <w:t xml:space="preserve"> | HC 93.120</w:t>
      </w:r>
      <w:r>
        <w:rPr>
          <w:color w:val="003CA0"/>
          <w:sz w:val="12"/>
        </w:rPr>
        <w:t xml:space="preserve"> | rel. Joaquim Barbosa</w:t>
      </w:r>
    </w:p>
    <w:p>
      <w:pPr>
        <w:ind w:left="288"/>
      </w:pPr>
      <w:r>
        <w:rPr>
          <w:color w:val="1E1E1E"/>
          <w:sz w:val="18"/>
        </w:rPr>
        <w:t>Os réus e o defensor constituído foram regularmente intimados da sentença penal condenatória. A não interposição de apelação não equivale à ausência de defesa, porquanto o defensor constituído ofereceu embargos de declaração à sentença penal condenatória em tempo hábil. Ausência de recurso que se situa no âmbito da estratégia de defesa delineada pelo defensor constituído, dada a voluntariedade recursal. Não há qualquer dispositivo legal que determine a necessidade de o mandado de intimação de sentença condenatória ser acompanhado de um termo de apelação. Ausência de constrangimento ilegal.</w:t>
      </w:r>
    </w:p>
    <w:p>
      <w:pPr>
        <w:ind w:left="288"/>
      </w:pPr>
      <w:r>
        <w:rPr>
          <w:b/>
          <w:color w:val="003CA0"/>
          <w:sz w:val="16"/>
        </w:rPr>
        <w:t>[HC 93.120, rel. min. Joaquim Barbosa, j. 8-4-2008, 2ª T, DJE de 27-6-2008.]</w:t>
      </w:r>
    </w:p>
    <w:p>
      <w:pPr>
        <w:ind w:left="288"/>
      </w:pPr>
      <w:r>
        <w:rPr>
          <w:color w:val="8C8C8C"/>
          <w:sz w:val="12"/>
        </w:rPr>
        <w:t>cf-art-5-inc-L</w:t>
      </w:r>
      <w:r>
        <w:rPr>
          <w:color w:val="003CA0"/>
          <w:sz w:val="12"/>
        </w:rPr>
        <w:t xml:space="preserve"> | HC 104.166</w:t>
      </w:r>
      <w:r>
        <w:rPr>
          <w:color w:val="003CA0"/>
          <w:sz w:val="12"/>
        </w:rPr>
        <w:t xml:space="preserve"> | rel. Gilmar Mendes</w:t>
      </w:r>
    </w:p>
    <w:p>
      <w:pPr>
        <w:ind w:left="288"/>
      </w:pPr>
      <w:r>
        <w:rPr>
          <w:color w:val="1E1E1E"/>
          <w:sz w:val="18"/>
        </w:rPr>
        <w:t>= HC 104.166, rel. min. Gilmar Mendes, j. 15-2-2010, 2ª T, DJE de 1º-3-2011 Vide HC 96.943, rel. min. Marco Aurélio, j. 18-5-2010, 1ª T, DJE de 4-6-2010 A multiplicidade de ações penais não constitui, por si só, obstáculo ao exercício do direito de ampla defesa do paciente. Somente é possível aferir eventual desrespeito a essa garantia constitucional diante de situação concreta.</w:t>
      </w:r>
    </w:p>
    <w:p>
      <w:pPr>
        <w:ind w:left="288"/>
      </w:pPr>
      <w:r>
        <w:rPr>
          <w:b/>
          <w:color w:val="003CA0"/>
          <w:sz w:val="16"/>
        </w:rPr>
        <w:t>[HC 91.895, rel. min. Menezes Direito, j. 1º-4-2008, 1ª T, DJE de 8-8-2008.]</w:t>
      </w:r>
    </w:p>
    <w:p>
      <w:pPr>
        <w:ind w:left="288"/>
      </w:pPr>
      <w:r>
        <w:rPr>
          <w:color w:val="8C8C8C"/>
          <w:sz w:val="12"/>
        </w:rPr>
        <w:t>cf-art-5-inc-L</w:t>
      </w:r>
      <w:r>
        <w:rPr>
          <w:color w:val="003CA0"/>
          <w:sz w:val="12"/>
        </w:rPr>
        <w:t xml:space="preserve"> | HC 92.972</w:t>
      </w:r>
      <w:r>
        <w:rPr>
          <w:color w:val="003CA0"/>
          <w:sz w:val="12"/>
        </w:rPr>
        <w:t xml:space="preserve"> | rel. Ricardo Lewandowski</w:t>
      </w:r>
    </w:p>
    <w:p>
      <w:pPr>
        <w:ind w:left="288"/>
      </w:pPr>
      <w:r>
        <w:rPr>
          <w:color w:val="1E1E1E"/>
          <w:sz w:val="18"/>
        </w:rPr>
        <w:t>Não há falar em cerceamento à ampla defesa ou ao devido processo legal quando, ao devedor de alimentos, é viabilizado o conhecimento do inteiro teor da inicial da execução e da decisão que decretou sua prisão.</w:t>
      </w:r>
    </w:p>
    <w:p>
      <w:pPr>
        <w:ind w:left="288"/>
      </w:pPr>
      <w:r>
        <w:rPr>
          <w:b/>
          <w:color w:val="003CA0"/>
          <w:sz w:val="16"/>
        </w:rPr>
        <w:t>[HC 92.972, rel. min. Ricardo Lewandowski, j. 25-3-2008, 1ª T, DJE de 18-4-2008.]</w:t>
      </w:r>
    </w:p>
    <w:p>
      <w:pPr>
        <w:ind w:left="288"/>
      </w:pPr>
      <w:r>
        <w:rPr>
          <w:color w:val="8C8C8C"/>
          <w:sz w:val="12"/>
        </w:rPr>
        <w:t>cf-art-5-inc-L</w:t>
      </w:r>
      <w:r>
        <w:rPr>
          <w:color w:val="003CA0"/>
          <w:sz w:val="12"/>
        </w:rPr>
        <w:t xml:space="preserve"> | HC 88.548</w:t>
      </w:r>
      <w:r>
        <w:rPr>
          <w:color w:val="003CA0"/>
          <w:sz w:val="12"/>
        </w:rPr>
        <w:t xml:space="preserve"> | rel. Gilmar Mendes</w:t>
      </w:r>
    </w:p>
    <w:p>
      <w:pPr>
        <w:ind w:left="288"/>
      </w:pPr>
      <w:r>
        <w:rPr>
          <w:color w:val="1E1E1E"/>
          <w:sz w:val="18"/>
        </w:rPr>
        <w:t>Citação editalícia diretamente determinada pelo juízo, à vista de anterior informação, colhida na fase de inquérito, de que o então indiciado não fora localizado em seu local de trabalho e no endereço residencial que constava de sua ficha cadastral. Constata-se que não foram esgotados todos os meios disponíveis para a citação pessoal do paciente, antes de proceder-se à citação por edital. Não se verificando a regular cientificação do acusado, com uso de todos os meios ao alcance do juízo para que fosse localizado, negou-se-lhe o direito ao interrogatório, ato classificado pela melhor doutrina,</w:t>
      </w:r>
    </w:p>
    <w:p>
      <w:pPr>
        <w:ind w:left="288"/>
      </w:pPr>
      <w:r>
        <w:rPr>
          <w:b/>
          <w:color w:val="003CA0"/>
          <w:sz w:val="16"/>
        </w:rPr>
        <w:t>[HC 88.548, rel. min. Gilmar Mendes, j. 18-3-2008, 2ª T, DJE de 26-9-2008.]</w:t>
      </w:r>
    </w:p>
    <w:p>
      <w:pPr>
        <w:ind w:left="288"/>
      </w:pPr>
      <w:r>
        <w:rPr>
          <w:color w:val="8C8C8C"/>
          <w:sz w:val="12"/>
        </w:rPr>
        <w:t>cf-art-5-inc-L</w:t>
      </w:r>
      <w:r>
        <w:rPr>
          <w:color w:val="003CA0"/>
          <w:sz w:val="12"/>
        </w:rPr>
        <w:t xml:space="preserve"> | HC 92.680</w:t>
      </w:r>
      <w:r>
        <w:rPr>
          <w:color w:val="003CA0"/>
          <w:sz w:val="12"/>
        </w:rPr>
        <w:t xml:space="preserve"> | rel. Cezar Peluso</w:t>
      </w:r>
    </w:p>
    <w:p>
      <w:pPr>
        <w:ind w:left="288"/>
      </w:pPr>
      <w:r>
        <w:rPr>
          <w:color w:val="1E1E1E"/>
          <w:sz w:val="18"/>
        </w:rPr>
        <w:t>Padece de nulidade absoluta o processo penal em que, devidamente intimado, o advogado constituído do réu deixa de apresentar alegações finais, sem que o juízo, antes de proferir sentença condenatória, lhe haja designado defensor dativo ou público para suprir a falta.</w:t>
      </w:r>
    </w:p>
    <w:p>
      <w:pPr>
        <w:ind w:left="288"/>
      </w:pPr>
      <w:r>
        <w:rPr>
          <w:b/>
          <w:color w:val="003CA0"/>
          <w:sz w:val="16"/>
        </w:rPr>
        <w:t>[HC 92.680, rel. min. Cezar Peluso, j. 11-3-2008, 2ª T, DJE de 25-4-2008.]</w:t>
      </w:r>
    </w:p>
    <w:p>
      <w:pPr>
        <w:ind w:left="288"/>
      </w:pPr>
      <w:r>
        <w:rPr>
          <w:color w:val="8C8C8C"/>
          <w:sz w:val="12"/>
        </w:rPr>
        <w:t>cf-art-5-inc-L</w:t>
      </w:r>
      <w:r>
        <w:rPr>
          <w:color w:val="003CA0"/>
          <w:sz w:val="12"/>
        </w:rPr>
        <w:t xml:space="preserve"> | HC 95.667</w:t>
      </w:r>
      <w:r>
        <w:rPr>
          <w:color w:val="003CA0"/>
          <w:sz w:val="12"/>
        </w:rPr>
        <w:t xml:space="preserve"> | rel. Ricardo Lewandowski</w:t>
      </w:r>
    </w:p>
    <w:p>
      <w:pPr>
        <w:ind w:left="288"/>
      </w:pPr>
      <w:r>
        <w:rPr>
          <w:color w:val="1E1E1E"/>
          <w:sz w:val="18"/>
        </w:rPr>
        <w:t>= HC 95.667, rel. min. Ricardo Lewandowski, j. 16-6-2010, 1ª T, DJE de 1º-7-2010 Vide HC 98.664, rel. min. Marco Aurélio, j. 23-2-2010, 1ª T, DJE de 26-3-2010 Réu não encontrado por erro no mandado. Citação editalícia. Falta de intimação de defensor público para sessão de julgamento. Nulidade. (...) A nulidade que vicia a citação pessoal do acusado, impedindo-lhe o exercício da autodefesa e de constituir defensor de sua livre escolha causa prejuízo evidente. Tal vício pode ser alegado a qualquer tempo, por tratar-se de nulidade absoluta. É imprescindível a intimação pessoal do defensor público</w:t>
      </w:r>
    </w:p>
    <w:p>
      <w:pPr>
        <w:ind w:left="288"/>
      </w:pPr>
      <w:r>
        <w:rPr>
          <w:b/>
          <w:color w:val="003CA0"/>
          <w:sz w:val="16"/>
        </w:rPr>
        <w:t>[HC 92.569, rel. min. Ricardo Lewandowski, j. 11-3-2008, 1ª T, DJE de 25-4-2008.]</w:t>
      </w:r>
    </w:p>
    <w:p>
      <w:pPr>
        <w:ind w:left="288"/>
      </w:pPr>
      <w:r>
        <w:rPr>
          <w:color w:val="8C8C8C"/>
          <w:sz w:val="12"/>
        </w:rPr>
        <w:t>cf-art-5-inc-L</w:t>
      </w:r>
      <w:r>
        <w:rPr>
          <w:color w:val="003CA0"/>
          <w:sz w:val="12"/>
        </w:rPr>
        <w:t xml:space="preserve"> | HC 86.889</w:t>
      </w:r>
      <w:r>
        <w:rPr>
          <w:color w:val="003CA0"/>
          <w:sz w:val="12"/>
        </w:rPr>
        <w:t xml:space="preserve"> | rel. Menezes Direito</w:t>
      </w:r>
    </w:p>
    <w:p>
      <w:pPr>
        <w:ind w:left="288"/>
      </w:pPr>
      <w:r>
        <w:rPr>
          <w:color w:val="1E1E1E"/>
          <w:sz w:val="18"/>
        </w:rPr>
        <w:t>Pedido de comunicação da data do julgamento para sustentação oral devidamente observado. Cerceamento de defesa não caracterizado. Não ocorre cerceamento de defesa quando o impetrante foi comunicado antecipadamente da data do julgamento do feito para sustentar oralmente as razões da impetração (art. 192, parágrafo único-A, do RISTF). Essa comunicação poderá ocorrer por qualquer meio idôneo, sem necessidade de intimação pelos meios oficiais.</w:t>
      </w:r>
    </w:p>
    <w:p>
      <w:pPr>
        <w:ind w:left="288"/>
      </w:pPr>
      <w:r>
        <w:rPr>
          <w:b/>
          <w:color w:val="003CA0"/>
          <w:sz w:val="16"/>
        </w:rPr>
        <w:t>[HC 86.889 ED, rel. min. Menezes Direito, j. 11-3-2008, 1ª T, DJE de 11-4-2008.]</w:t>
      </w:r>
    </w:p>
    <w:p>
      <w:pPr>
        <w:ind w:left="288"/>
      </w:pPr>
      <w:r>
        <w:rPr>
          <w:color w:val="8C8C8C"/>
          <w:sz w:val="12"/>
        </w:rPr>
        <w:t>cf-art-5-inc-L</w:t>
      </w:r>
      <w:r>
        <w:rPr>
          <w:color w:val="003CA0"/>
          <w:sz w:val="12"/>
        </w:rPr>
        <w:t xml:space="preserve"> | HC 92.498</w:t>
      </w:r>
      <w:r>
        <w:rPr>
          <w:color w:val="003CA0"/>
          <w:sz w:val="12"/>
        </w:rPr>
        <w:t xml:space="preserve"> | rel. Ricardo Lewandowski</w:t>
      </w:r>
    </w:p>
    <w:p>
      <w:pPr>
        <w:ind w:left="288"/>
      </w:pPr>
      <w:r>
        <w:rPr>
          <w:color w:val="1E1E1E"/>
          <w:sz w:val="18"/>
        </w:rPr>
        <w:t>A jurisprudência da Casa é no sentido de que a intimação nos tribunais superiores se dá, em regra, por meio de publicação na imprensa oficial. (...) Registre-se que apenas a decisão correspondente à sentença é que deve ser objeto de intimação pessoal do advogado, podendo ela ser feita por outras vias, nas demais hipóteses. A eventual incúria ou engano de patrono anterior, devidamente intimado da decisão pelo DJ (...), à evidência, não é causa de nulidade.</w:t>
      </w:r>
    </w:p>
    <w:p>
      <w:pPr>
        <w:ind w:left="288"/>
      </w:pPr>
      <w:r>
        <w:rPr>
          <w:b/>
          <w:color w:val="003CA0"/>
          <w:sz w:val="16"/>
        </w:rPr>
        <w:t>[HC 92.498, voto do rel. min. Ricardo Lewandowski, j. 4-3-2008, 1ª T, DJE de 28-3-2008.]</w:t>
      </w:r>
    </w:p>
    <w:p>
      <w:pPr>
        <w:ind w:left="288"/>
      </w:pPr>
      <w:r>
        <w:rPr>
          <w:color w:val="8C8C8C"/>
          <w:sz w:val="12"/>
        </w:rPr>
        <w:t>cf-art-5-inc-L</w:t>
      </w:r>
      <w:r>
        <w:rPr>
          <w:color w:val="003CA0"/>
          <w:sz w:val="12"/>
        </w:rPr>
        <w:t xml:space="preserve"> | HC 101.643</w:t>
      </w:r>
      <w:r>
        <w:rPr>
          <w:color w:val="003CA0"/>
          <w:sz w:val="12"/>
        </w:rPr>
        <w:t xml:space="preserve"> | rel. Dias Tofolli</w:t>
      </w:r>
    </w:p>
    <w:p>
      <w:pPr>
        <w:ind w:left="288"/>
      </w:pPr>
      <w:r>
        <w:rPr>
          <w:color w:val="1E1E1E"/>
          <w:sz w:val="18"/>
        </w:rPr>
        <w:t>= HC 101.643, rel. min. Dias Tofolli, j. 28-9-2010, 1ª T, DJE de 30-11-2010 Ofensa às regras do contraditório e da ampla defesa, elementares do devido processo legal. (...) No processo criminal, a sustentação oral do representante do Ministério Público, sobretudo quando seja recorrente único, deve sempre preceder à da defesa, sob pena de nulidade do julgamento.</w:t>
      </w:r>
    </w:p>
    <w:p>
      <w:pPr>
        <w:ind w:left="288"/>
      </w:pPr>
      <w:r>
        <w:rPr>
          <w:b/>
          <w:color w:val="003CA0"/>
          <w:sz w:val="16"/>
        </w:rPr>
        <w:t>[HC 87.926, rel. min. Cezar Peluso, j. 20-2-2008, P, DJE de 25-4-2008.]</w:t>
      </w:r>
    </w:p>
    <w:p>
      <w:pPr>
        <w:ind w:left="288"/>
      </w:pPr>
      <w:r>
        <w:rPr>
          <w:color w:val="8C8C8C"/>
          <w:sz w:val="12"/>
        </w:rPr>
        <w:t>cf-art-5-inc-L</w:t>
      </w:r>
      <w:r>
        <w:rPr>
          <w:color w:val="003CA0"/>
          <w:sz w:val="12"/>
        </w:rPr>
        <w:t xml:space="preserve"> | HC 102.732</w:t>
      </w:r>
      <w:r>
        <w:rPr>
          <w:color w:val="003CA0"/>
          <w:sz w:val="12"/>
        </w:rPr>
        <w:t xml:space="preserve"> | rel. Marco Aurélio</w:t>
      </w:r>
    </w:p>
    <w:p>
      <w:pPr>
        <w:ind w:left="288"/>
      </w:pPr>
      <w:r>
        <w:rPr>
          <w:color w:val="1E1E1E"/>
          <w:sz w:val="18"/>
        </w:rPr>
        <w:t>Vide HC 102.732, rel. min. Marco Aurélio, j. 4-3-2010, P, DJE de 7-5-2010 Vide HC 97.293, rel. min. Cármen Lúcia, j. 16-6-2009, 1ª T, DJE de 16-4-2010 Vide ADI 1.127, rel. min. Marco Aurélio, red. do ac. min. Ricardo Lewandowski, j. 17-5-2006, P, DJE de 11-6-2010 Não pode o TCU, sob fundamento ou pretexto algum, anular ascensão funcional de servidor operada e aprovada há mais de cinco anos, sobretudo em procedimento que lhe não assegura o contraditório e a ampla defesa.</w:t>
      </w:r>
    </w:p>
    <w:p>
      <w:pPr>
        <w:ind w:left="288"/>
      </w:pPr>
      <w:r>
        <w:rPr>
          <w:b/>
          <w:color w:val="003CA0"/>
          <w:sz w:val="16"/>
        </w:rPr>
        <w:t>[MS 26.560, rel. min. Cezar Peluso, j. 17-12-2007, P, DJE de 22-2-2008.]</w:t>
      </w:r>
    </w:p>
    <w:p>
      <w:pPr>
        <w:ind w:left="288"/>
      </w:pPr>
      <w:r>
        <w:rPr>
          <w:color w:val="8C8C8C"/>
          <w:sz w:val="12"/>
        </w:rPr>
        <w:t>cf-art-5-inc-L</w:t>
      </w:r>
      <w:r>
        <w:rPr>
          <w:color w:val="003CA0"/>
          <w:sz w:val="12"/>
        </w:rPr>
        <w:t xml:space="preserve"> | MS 26.237</w:t>
      </w:r>
      <w:r>
        <w:rPr>
          <w:color w:val="003CA0"/>
          <w:sz w:val="12"/>
        </w:rPr>
        <w:t xml:space="preserve"> | rel. Dias Toffoli</w:t>
      </w:r>
    </w:p>
    <w:p>
      <w:pPr>
        <w:ind w:left="288"/>
      </w:pPr>
      <w:r>
        <w:rPr>
          <w:color w:val="1E1E1E"/>
          <w:sz w:val="18"/>
        </w:rPr>
        <w:t>= MS 26.237 AgR, rel. min. Dias Toffoli, j. 21-8-2012, 1ª T, DJE de 6-9-2012 Havendo requerimento expresso do impetrante quanto à comunicação da data do julgamento de habeas corpus, para o fim de sustentação oral das razões do writ, deve a Corte Superior de Justiça adotar procedimento capaz de permitir o uso de tal instrumento de defesa. Segundo orientação jurisprudencial desta nossa Turma, tal procedimento consiste na divulgação, no endereço oficial do STJ na internet, da provável data do julgamento, com antecedência mínima de 48 horas. Isso, é claro, na falta de ciência dos impetrantes por o</w:t>
      </w:r>
    </w:p>
    <w:p>
      <w:pPr>
        <w:ind w:left="288"/>
      </w:pPr>
      <w:r>
        <w:rPr>
          <w:b/>
          <w:color w:val="003CA0"/>
          <w:sz w:val="16"/>
        </w:rPr>
        <w:t>[HC 92.253, rel. min. Ayres Britto, j. 27-11-2007, 1ª T, DJ de 14-12-2007.]</w:t>
      </w:r>
    </w:p>
    <w:p>
      <w:pPr>
        <w:ind w:left="288"/>
      </w:pPr>
      <w:r>
        <w:rPr>
          <w:color w:val="8C8C8C"/>
          <w:sz w:val="12"/>
        </w:rPr>
        <w:t>cf-art-5-inc-L</w:t>
      </w:r>
      <w:r>
        <w:rPr>
          <w:color w:val="003CA0"/>
          <w:sz w:val="12"/>
        </w:rPr>
        <w:t xml:space="preserve"> | HC 84.223</w:t>
      </w:r>
      <w:r>
        <w:rPr>
          <w:color w:val="003CA0"/>
          <w:sz w:val="12"/>
        </w:rPr>
        <w:t xml:space="preserve"> | rel. Eros Grau</w:t>
      </w:r>
    </w:p>
    <w:p>
      <w:pPr>
        <w:ind w:left="288"/>
      </w:pPr>
      <w:r>
        <w:rPr>
          <w:color w:val="1E1E1E"/>
          <w:sz w:val="18"/>
        </w:rPr>
        <w:t>Vide HC 84.223 ED, rel. min. Eros Grau, j. 14-9-2004, 1ª T, DJE de 23-10-2009 Processo penal. Interrogatório. Assistência técnica. A exigência de defesa técnica para observância do devido processo legal impõe a presença do profissional da advocacia na audiência de interrogatório do acusado. Não bastasse o disposto no art.  261 do CPP, a Lei 10.792/2003 apenas explicitou a formalidade de cunho nitidamente constitucional – art. 5º, LV, da Carta Federal.</w:t>
      </w:r>
    </w:p>
    <w:p>
      <w:pPr>
        <w:ind w:left="288"/>
      </w:pPr>
      <w:r>
        <w:rPr>
          <w:b/>
          <w:color w:val="003CA0"/>
          <w:sz w:val="16"/>
        </w:rPr>
        <w:t>[RE 459.518, rel. min. Marco Aurélio, j. 23-10-2007, 1ª T, DJ de 1º-2-2008.]</w:t>
      </w:r>
    </w:p>
    <w:p>
      <w:pPr>
        <w:ind w:left="288"/>
      </w:pPr>
      <w:r>
        <w:rPr>
          <w:color w:val="8C8C8C"/>
          <w:sz w:val="12"/>
        </w:rPr>
        <w:t>cf-art-5-inc-L</w:t>
      </w:r>
      <w:r>
        <w:rPr>
          <w:color w:val="003CA0"/>
          <w:sz w:val="12"/>
        </w:rPr>
        <w:t xml:space="preserve"> | HC 90.828</w:t>
      </w:r>
      <w:r>
        <w:rPr>
          <w:color w:val="003CA0"/>
          <w:sz w:val="12"/>
        </w:rPr>
        <w:t xml:space="preserve"> | rel. Ricardo Lewandowski</w:t>
      </w:r>
    </w:p>
    <w:p>
      <w:pPr>
        <w:ind w:left="288"/>
      </w:pPr>
      <w:r>
        <w:rPr>
          <w:color w:val="1E1E1E"/>
          <w:sz w:val="18"/>
        </w:rPr>
        <w:t>A intimação do julgamento em segundo grau, com três dias de antecedência, é suficiente para que a defesa tome as providências que entender necessárias, inocorrendo a alegada violação ao princípio da razoabilidade. Tendo sido examinada na peça subscrita pelos advogados na sessão de julgamento, não há que se falar em ausência de defesa técnica.</w:t>
      </w:r>
    </w:p>
    <w:p>
      <w:pPr>
        <w:ind w:left="288"/>
      </w:pPr>
      <w:r>
        <w:rPr>
          <w:b/>
          <w:color w:val="003CA0"/>
          <w:sz w:val="16"/>
        </w:rPr>
        <w:t>[HC 90.828, rel. min. Ricardo Lewandowski, j. 23-10-2007, P, DJ de 30-11-2007.]</w:t>
      </w:r>
    </w:p>
    <w:p>
      <w:pPr>
        <w:ind w:left="288"/>
      </w:pPr>
      <w:r>
        <w:rPr>
          <w:color w:val="8C8C8C"/>
          <w:sz w:val="12"/>
        </w:rPr>
        <w:t>cf-art-5-inc-L</w:t>
      </w:r>
      <w:r>
        <w:rPr>
          <w:color w:val="003CA0"/>
          <w:sz w:val="12"/>
        </w:rPr>
        <w:t xml:space="preserve"> | RE 285.495</w:t>
      </w:r>
      <w:r>
        <w:rPr>
          <w:color w:val="003CA0"/>
          <w:sz w:val="12"/>
        </w:rPr>
        <w:t xml:space="preserve"> | rel. Marco Aurélio</w:t>
      </w:r>
    </w:p>
    <w:p>
      <w:pPr>
        <w:ind w:left="288"/>
      </w:pPr>
      <w:r>
        <w:rPr>
          <w:color w:val="1E1E1E"/>
          <w:sz w:val="18"/>
        </w:rPr>
        <w:t>Uma vez aperfeiçoado o ato complexo alusivo à aposentadoria, com a homologação pelo Tribunal de Contas, a modificação dos proventos não prescinde da observação do devido processo legal, presente a medula deste último, ou seja, o contraditório.</w:t>
      </w:r>
    </w:p>
    <w:p>
      <w:pPr>
        <w:ind w:left="288"/>
      </w:pPr>
      <w:r>
        <w:rPr>
          <w:b/>
          <w:color w:val="003CA0"/>
          <w:sz w:val="16"/>
        </w:rPr>
        <w:t>[RE 285.495, rel. min. Marco Aurélio, j. 2-10-2007, 1ª T, DJ de 30-11-2007.]</w:t>
      </w:r>
    </w:p>
    <w:p>
      <w:pPr>
        <w:ind w:left="288"/>
      </w:pPr>
      <w:r>
        <w:rPr>
          <w:color w:val="8C8C8C"/>
          <w:sz w:val="12"/>
        </w:rPr>
        <w:t>cf-art-5-inc-L</w:t>
      </w:r>
      <w:r>
        <w:rPr>
          <w:color w:val="003CA0"/>
          <w:sz w:val="12"/>
        </w:rPr>
        <w:t xml:space="preserve"> | MS 24.448</w:t>
      </w:r>
      <w:r>
        <w:rPr>
          <w:color w:val="003CA0"/>
          <w:sz w:val="12"/>
        </w:rPr>
        <w:t xml:space="preserve"> | rel. Ayres Britto</w:t>
      </w:r>
    </w:p>
    <w:p>
      <w:pPr>
        <w:ind w:left="288"/>
      </w:pPr>
      <w:r>
        <w:rPr>
          <w:color w:val="1E1E1E"/>
          <w:sz w:val="18"/>
        </w:rPr>
        <w:t>Ato do TCU (...). O prazo de cinco anos é de ser aplicado aos processos de contas que tenham por objeto o exame de legalidade dos atos concessivos de aposentadorias, reformas e pensões. Transcorrido in albis o interregno quinquenal, é de se convocarem os particulares para participar do processo de seu interesse, a fim de desfrutar das garantias do contraditório e da ampla defesa (inciso LV do art. 5º).</w:t>
      </w:r>
    </w:p>
    <w:p>
      <w:pPr>
        <w:ind w:left="288"/>
      </w:pPr>
      <w:r>
        <w:rPr>
          <w:b/>
          <w:color w:val="003CA0"/>
          <w:sz w:val="16"/>
        </w:rPr>
        <w:t>[MS 24.448, rel. min. Ayres Britto, j. 27-9-2007, P, DJ de 14-11-2007.]</w:t>
      </w:r>
    </w:p>
    <w:p>
      <w:pPr>
        <w:ind w:left="288"/>
      </w:pPr>
      <w:r>
        <w:rPr>
          <w:color w:val="8C8C8C"/>
          <w:sz w:val="12"/>
        </w:rPr>
        <w:t>cf-art-5-inc-L</w:t>
      </w:r>
      <w:r>
        <w:rPr>
          <w:color w:val="003CA0"/>
          <w:sz w:val="12"/>
        </w:rPr>
        <w:t xml:space="preserve"> | HC 81.489</w:t>
      </w:r>
      <w:r>
        <w:rPr>
          <w:color w:val="003CA0"/>
          <w:sz w:val="12"/>
        </w:rPr>
        <w:t xml:space="preserve"> | rel. Cezar Peluso</w:t>
      </w:r>
    </w:p>
    <w:p>
      <w:pPr>
        <w:ind w:left="288"/>
      </w:pPr>
      <w:r>
        <w:rPr>
          <w:color w:val="1E1E1E"/>
          <w:sz w:val="18"/>
        </w:rPr>
        <w:t>O só fato de, à míngua de Defensoria Pública, criada apenas ao depois, ter sido designado defensor dativo a réu carente, sem alegação nem demonstração de prejuízo concreto à defesa, não caracteriza nulidade processual.</w:t>
      </w:r>
    </w:p>
    <w:p>
      <w:pPr>
        <w:ind w:left="288"/>
      </w:pPr>
      <w:r>
        <w:rPr>
          <w:b/>
          <w:color w:val="003CA0"/>
          <w:sz w:val="16"/>
        </w:rPr>
        <w:t>[HC 81.489, rel. min. Cezar Peluso, j. 25-9-2007, 2ª T, DJ de 23-11-2007.]</w:t>
      </w:r>
    </w:p>
    <w:p>
      <w:pPr>
        <w:ind w:left="288"/>
      </w:pPr>
      <w:r>
        <w:rPr>
          <w:color w:val="8C8C8C"/>
          <w:sz w:val="12"/>
        </w:rPr>
        <w:t>cf-art-5-inc-L</w:t>
      </w:r>
      <w:r>
        <w:rPr>
          <w:color w:val="003CA0"/>
          <w:sz w:val="12"/>
        </w:rPr>
        <w:t xml:space="preserve"> | HC 89.222</w:t>
      </w:r>
      <w:r>
        <w:rPr>
          <w:color w:val="003CA0"/>
          <w:sz w:val="12"/>
        </w:rPr>
        <w:t xml:space="preserve"> | rel. Marco Aurélio</w:t>
      </w:r>
    </w:p>
    <w:p>
      <w:pPr>
        <w:ind w:left="288"/>
      </w:pPr>
      <w:r>
        <w:rPr>
          <w:color w:val="1E1E1E"/>
          <w:sz w:val="18"/>
        </w:rPr>
        <w:t>A garantia constitucional da defesa há de ser observada sob o ângulo efetivo, e não simplesmente formal. Veiculada por estagiário, sem a presença de profissional da advocacia quer na fase de instrução, quer na de alegações finais, longe fica de atender aos ditames legais.</w:t>
      </w:r>
    </w:p>
    <w:p>
      <w:pPr>
        <w:ind w:left="288"/>
      </w:pPr>
      <w:r>
        <w:rPr>
          <w:b/>
          <w:color w:val="003CA0"/>
          <w:sz w:val="16"/>
        </w:rPr>
        <w:t>[HC 89.222, rel. min. Marco Aurélio, j. 4-9-2007, 1ª T, DJE de 31-10-2008.]</w:t>
      </w:r>
    </w:p>
    <w:p>
      <w:pPr>
        <w:ind w:left="288"/>
      </w:pPr>
      <w:r>
        <w:rPr>
          <w:color w:val="8C8C8C"/>
          <w:sz w:val="12"/>
        </w:rPr>
        <w:t>cf-art-5-inc-L</w:t>
      </w:r>
      <w:r>
        <w:rPr>
          <w:color w:val="003CA0"/>
          <w:sz w:val="12"/>
        </w:rPr>
        <w:t xml:space="preserve"> | RMS 24.188</w:t>
      </w:r>
      <w:r>
        <w:rPr>
          <w:color w:val="003CA0"/>
          <w:sz w:val="12"/>
        </w:rPr>
        <w:t xml:space="preserve"> | rel. Cezar Peluso</w:t>
      </w:r>
    </w:p>
    <w:p>
      <w:pPr>
        <w:ind w:left="288"/>
      </w:pPr>
      <w:r>
        <w:rPr>
          <w:color w:val="1E1E1E"/>
          <w:sz w:val="18"/>
        </w:rPr>
        <w:t>Não incidência do art. 5º, LV, da CF, nem do art. 49, § 3º, da Lei 8.666/1993. (...) É lícito à administração pública, com base em fatos supervenientes configuradores do interesse público, revogar motivadamente, mas sem audiência dos concorrentes habilitados, procedimento de licitação antes do início da fase de qualificação das propostas.</w:t>
      </w:r>
    </w:p>
    <w:p>
      <w:pPr>
        <w:ind w:left="288"/>
      </w:pPr>
      <w:r>
        <w:rPr>
          <w:b/>
          <w:color w:val="003CA0"/>
          <w:sz w:val="16"/>
        </w:rPr>
        <w:t>[RMS 24.188, rel. min. Cezar Peluso, j. 14-8-2007, 2ª T, DJ de 14-9-2007.]</w:t>
      </w:r>
    </w:p>
    <w:p>
      <w:pPr>
        <w:ind w:left="288"/>
      </w:pPr>
      <w:r>
        <w:rPr>
          <w:color w:val="8C8C8C"/>
          <w:sz w:val="12"/>
        </w:rPr>
        <w:t>cf-art-5-inc-L</w:t>
      </w:r>
      <w:r>
        <w:rPr>
          <w:color w:val="003CA0"/>
          <w:sz w:val="12"/>
        </w:rPr>
        <w:t xml:space="preserve"> | RE 360.037</w:t>
      </w:r>
      <w:r>
        <w:rPr>
          <w:color w:val="003CA0"/>
          <w:sz w:val="12"/>
        </w:rPr>
        <w:t xml:space="preserve"> | rel. Cezar Peluso</w:t>
      </w:r>
    </w:p>
    <w:p>
      <w:pPr>
        <w:ind w:left="288"/>
      </w:pPr>
      <w:r>
        <w:rPr>
          <w:color w:val="1E1E1E"/>
          <w:sz w:val="18"/>
        </w:rPr>
        <w:t>Não fere as garantias do contraditório, da ampla defesa, nem da motivação das decisões judiciais, a adoção, como ratio decidendi, da manifestação, a título de custos legis, do Ministério Público.</w:t>
      </w:r>
    </w:p>
    <w:p>
      <w:pPr>
        <w:ind w:left="288"/>
      </w:pPr>
      <w:r>
        <w:rPr>
          <w:b/>
          <w:color w:val="003CA0"/>
          <w:sz w:val="16"/>
        </w:rPr>
        <w:t>[RE 360.037 AgR, rel. min. Cezar Peluso, j. 7-8-2007, 2ª T, DJ de 14-9-2007.]</w:t>
      </w:r>
    </w:p>
    <w:p>
      <w:pPr>
        <w:ind w:left="288"/>
      </w:pPr>
      <w:r>
        <w:rPr>
          <w:color w:val="8C8C8C"/>
          <w:sz w:val="12"/>
        </w:rPr>
        <w:t>cf-art-5-inc-L</w:t>
      </w:r>
      <w:r>
        <w:rPr>
          <w:color w:val="003CA0"/>
          <w:sz w:val="12"/>
        </w:rPr>
        <w:t xml:space="preserve"> | HC 91.251</w:t>
      </w:r>
      <w:r>
        <w:rPr>
          <w:color w:val="003CA0"/>
          <w:sz w:val="12"/>
        </w:rPr>
        <w:t xml:space="preserve"> | rel. Cármen Lúcia</w:t>
      </w:r>
    </w:p>
    <w:p>
      <w:pPr>
        <w:ind w:left="288"/>
      </w:pPr>
      <w:r>
        <w:rPr>
          <w:color w:val="1E1E1E"/>
          <w:sz w:val="18"/>
        </w:rPr>
        <w:t>A jurisprudência do STF firmou o entendimento de que a ausência de razões da apelação e de contrarrazões à apelação do Ministério Público não é causa de nulidade por cerceamento de defesa, se o defensor constituído pelo réu foi devidamente intimado para apresentá-las.</w:t>
      </w:r>
    </w:p>
    <w:p>
      <w:pPr>
        <w:ind w:left="288"/>
      </w:pPr>
      <w:r>
        <w:rPr>
          <w:b/>
          <w:color w:val="003CA0"/>
          <w:sz w:val="16"/>
        </w:rPr>
        <w:t>[HC 91.251, rel. min. Cármen Lúcia, j. 19-6-2007, 1ª T, DJ de 17-8-2007.]</w:t>
      </w:r>
    </w:p>
    <w:p>
      <w:pPr>
        <w:ind w:left="288"/>
      </w:pPr>
      <w:r>
        <w:rPr>
          <w:color w:val="8C8C8C"/>
          <w:sz w:val="12"/>
        </w:rPr>
        <w:t>cf-art-5-inc-L</w:t>
      </w:r>
      <w:r>
        <w:rPr>
          <w:color w:val="003CA0"/>
          <w:sz w:val="12"/>
        </w:rPr>
        <w:t xml:space="preserve"> | HC 102.142</w:t>
      </w:r>
      <w:r>
        <w:rPr>
          <w:color w:val="003CA0"/>
          <w:sz w:val="12"/>
        </w:rPr>
        <w:t xml:space="preserve"> | rel. Ricardo Lewandowski</w:t>
      </w:r>
    </w:p>
    <w:p>
      <w:pPr>
        <w:ind w:left="288"/>
      </w:pPr>
      <w:r>
        <w:rPr>
          <w:color w:val="1E1E1E"/>
          <w:sz w:val="18"/>
        </w:rPr>
        <w:t>= HC 102.142, rel. min. Ricardo Lewandowski, j. 3-8-2010, 1ª T, DJE de 27-8-2010 Necessidade de notificação prévia (CPP, art. 514). É da jurisprudência do Supremo Tribunal (v.g. HC 73.099, Primeira Turma, 3-10-1995, Moreira, DJ de 17-5-1996) que o procedimento previsto nos arts. 513 e seguintes do CPP se reserva aos casos em que a denúncia veicula tão somente crimes funcionais típicos (CP, arts. 312 a 326). (...) Ao julgar o HC 85.779, Gilmar, Informativo STF 457, o Plenário do Supremo Tribunal, abandonando entendimento anterior da jurisprudência, assentou, como obter dictum, que o fato de a d</w:t>
      </w:r>
    </w:p>
    <w:p>
      <w:pPr>
        <w:ind w:left="288"/>
      </w:pPr>
      <w:r>
        <w:rPr>
          <w:b/>
          <w:color w:val="003CA0"/>
          <w:sz w:val="16"/>
        </w:rPr>
        <w:t>[HC 89.686, rel. min. Sepúlveda Pertence, j. 12-6-2007, 1ª T, DJ de 17-8-2007.]</w:t>
      </w:r>
    </w:p>
    <w:p>
      <w:pPr>
        <w:ind w:left="288"/>
      </w:pPr>
      <w:r>
        <w:rPr>
          <w:color w:val="8C8C8C"/>
          <w:sz w:val="12"/>
        </w:rPr>
        <w:t>cf-art-5-inc-L</w:t>
      </w:r>
      <w:r>
        <w:rPr>
          <w:color w:val="003CA0"/>
          <w:sz w:val="12"/>
        </w:rPr>
        <w:t xml:space="preserve"> | HC 95.969</w:t>
      </w:r>
      <w:r>
        <w:rPr>
          <w:color w:val="003CA0"/>
          <w:sz w:val="12"/>
        </w:rPr>
        <w:t xml:space="preserve"> | rel. Ricardo Lewandowski</w:t>
      </w:r>
    </w:p>
    <w:p>
      <w:pPr>
        <w:ind w:left="288"/>
      </w:pPr>
      <w:r>
        <w:rPr>
          <w:color w:val="1E1E1E"/>
          <w:sz w:val="18"/>
        </w:rPr>
        <w:t>= HC 95.969, rel. min. Ricardo Lewandowski, j. 12-5-2009, 1ª T, DJE de 12-6-2009 = HC 96.058, rel. min. Eros Grau, j. 17-3-2009, 2ª T, DJE de 14-8-2009 O instituto do autolançamento do tributo, a revelar, em última análise, a confissão do contribuinte, dispensa a notificação para ter-se a exigibilidade.</w:t>
      </w:r>
    </w:p>
    <w:p>
      <w:pPr>
        <w:ind w:left="288"/>
      </w:pPr>
      <w:r>
        <w:rPr>
          <w:b/>
          <w:color w:val="003CA0"/>
          <w:sz w:val="16"/>
        </w:rPr>
        <w:t>[AI 539.891 AgR, rel. min. Marco Aurélio, j. 22-5-2007, 1ª T, DJ de 21-9-2007.]</w:t>
      </w:r>
    </w:p>
    <w:p>
      <w:pPr>
        <w:ind w:left="288"/>
      </w:pPr>
      <w:r>
        <w:rPr>
          <w:color w:val="8C8C8C"/>
          <w:sz w:val="12"/>
        </w:rPr>
        <w:t>cf-art-5-inc-L</w:t>
      </w:r>
      <w:r>
        <w:rPr>
          <w:color w:val="003CA0"/>
          <w:sz w:val="12"/>
        </w:rPr>
        <w:t xml:space="preserve"> | AI 144.609</w:t>
      </w:r>
      <w:r>
        <w:rPr>
          <w:color w:val="003CA0"/>
          <w:sz w:val="12"/>
        </w:rPr>
        <w:t xml:space="preserve"> | rel. Maurício Corrêa</w:t>
      </w:r>
    </w:p>
    <w:p>
      <w:pPr>
        <w:ind w:left="288"/>
      </w:pPr>
      <w:r>
        <w:rPr>
          <w:color w:val="1E1E1E"/>
          <w:sz w:val="18"/>
        </w:rPr>
        <w:t>Vide AI 144.609 AgR, rel. min. Maurício Corrêa, j. 11-4-1995, 2ª T, DJ de 1º-9-1995 Inicialmente, há precedentes de ambas as Turmas do STF que denotavam o entendimento no sentido de que a sustentação oral não seria ato essencial à defesa. A jurisprudência da Corte evoluiu adotando nova orientação para as sustentações orais em sede de habeas corpus a partir da Emenda Regimental 17, de 9-2-2006. Precedentes: RHC 90.891/GO, rel. min. Cezar Peluso, Segunda Turma, unânime, julgado em 24-4-2007; e HC 84.193/MG, de minha relatoria, Segunda Turma, maioria, DJ de 11-5-2007. A rigor, seria caso de acolh</w:t>
      </w:r>
    </w:p>
    <w:p>
      <w:pPr>
        <w:ind w:left="288"/>
      </w:pPr>
      <w:r>
        <w:rPr>
          <w:b/>
          <w:color w:val="003CA0"/>
          <w:sz w:val="16"/>
        </w:rPr>
        <w:t>[HC 86.186, rel. min. Gilmar Mendes, j. 15-5-2007, P, DJ de 17-8-2007.]</w:t>
      </w:r>
    </w:p>
    <w:p>
      <w:pPr>
        <w:ind w:left="288"/>
      </w:pPr>
      <w:r>
        <w:rPr>
          <w:color w:val="8C8C8C"/>
          <w:sz w:val="12"/>
        </w:rPr>
        <w:t>cf-art-5-inc-L</w:t>
      </w:r>
      <w:r>
        <w:rPr>
          <w:color w:val="003CA0"/>
          <w:sz w:val="12"/>
        </w:rPr>
        <w:t xml:space="preserve"> | HC 92.290</w:t>
      </w:r>
      <w:r>
        <w:rPr>
          <w:color w:val="003CA0"/>
          <w:sz w:val="12"/>
        </w:rPr>
        <w:t xml:space="preserve"> | rel. Ricardo Lewandowski</w:t>
      </w:r>
    </w:p>
    <w:p>
      <w:pPr>
        <w:ind w:left="288"/>
      </w:pPr>
      <w:r>
        <w:rPr>
          <w:color w:val="1E1E1E"/>
          <w:sz w:val="18"/>
        </w:rPr>
        <w:t>= HC 92.290, rel. min. Ricardo Lewandowski, j. 30-10-2007, 1ª T, DJ de 30-11-2007 Vide HC 84.223 ED, rel. min. Eros Grau, j. 14-9-2004, 1ª T, DJE de 23-10-2009 Vide HC 81.369, rel. min. Celso de Mello, j. 12-12-2001, P, DJE de 13-2-2009 Alegada ausência de intimação dos defensores constituídos pelo acusado para o interrogatório judicial. Inocorrência. Inúmeras tentativas frustradas para a viabilização dessa intimação. Nomeação de defensor ad hoc, havendo sido garantido, inclusive, o direito de entrevista prévia e reservada (CPP, art. 185, § 5º). Inexistência de demonstração de qualquer prejuíz</w:t>
      </w:r>
    </w:p>
    <w:p>
      <w:pPr>
        <w:ind w:left="288"/>
      </w:pPr>
      <w:r>
        <w:rPr>
          <w:b/>
          <w:color w:val="003CA0"/>
          <w:sz w:val="16"/>
        </w:rPr>
        <w:t>[RHC 89.892, rel. min. Celso de Mello, j. 6-3-2007, 1ª T, DJE de 26-4-2013.]</w:t>
      </w:r>
    </w:p>
    <w:p>
      <w:pPr>
        <w:ind w:left="288"/>
      </w:pPr>
      <w:r>
        <w:rPr>
          <w:color w:val="8C8C8C"/>
          <w:sz w:val="12"/>
        </w:rPr>
        <w:t>cf-art-5-inc-L</w:t>
      </w:r>
      <w:r>
        <w:rPr>
          <w:color w:val="003CA0"/>
          <w:sz w:val="12"/>
        </w:rPr>
        <w:t xml:space="preserve"> | RHC 117.051</w:t>
      </w:r>
      <w:r>
        <w:rPr>
          <w:color w:val="003CA0"/>
          <w:sz w:val="12"/>
        </w:rPr>
        <w:t xml:space="preserve"> | rel. Luiz Fux</w:t>
      </w:r>
    </w:p>
    <w:p>
      <w:pPr>
        <w:ind w:left="288"/>
      </w:pPr>
      <w:r>
        <w:rPr>
          <w:color w:val="1E1E1E"/>
          <w:sz w:val="18"/>
        </w:rPr>
        <w:t>Vide RHC 117.051, rel. min. Luiz Fux, j. 6-5-2014, 1ª T, DJE de 23-5-2014 A mera circunstância de a parte haver exercido o direito de recorrer não basta, só por si, para justificar seja formulado, contra ela, juízo de desrespeito ao postulado da lealdade processual, nem permite que se lhe atribua, por tal motivo, a qualificação de improbus litigator, ainda mais se o recurso que deduziu foi interposto em momento anterior ao da publicação do acórdão consubstanciador do julgamento plenário do leading case. Não se presume o caráter malicioso, procrastinatório ou fraudulento da conduta processual d</w:t>
      </w:r>
    </w:p>
    <w:p>
      <w:pPr>
        <w:ind w:left="288"/>
      </w:pPr>
      <w:r>
        <w:rPr>
          <w:b/>
          <w:color w:val="003CA0"/>
          <w:sz w:val="16"/>
        </w:rPr>
        <w:t>[AI 282.333 ED, rel. min. Celso de Mello, j. 12-12-2006, 2ª T, DJE de 19-2-2010.]</w:t>
      </w:r>
    </w:p>
    <w:p>
      <w:pPr>
        <w:ind w:left="288"/>
      </w:pPr>
      <w:r>
        <w:rPr>
          <w:color w:val="8C8C8C"/>
          <w:sz w:val="12"/>
        </w:rPr>
        <w:t>cf-art-5-inc-L</w:t>
      </w:r>
      <w:r>
        <w:rPr>
          <w:color w:val="003CA0"/>
          <w:sz w:val="12"/>
        </w:rPr>
        <w:t xml:space="preserve"> | HC 89.315</w:t>
      </w:r>
      <w:r>
        <w:rPr>
          <w:color w:val="003CA0"/>
          <w:sz w:val="12"/>
        </w:rPr>
        <w:t xml:space="preserve"> | rel. Ricardo Lewandowski</w:t>
      </w:r>
    </w:p>
    <w:p>
      <w:pPr>
        <w:ind w:left="288"/>
      </w:pPr>
      <w:r>
        <w:rPr>
          <w:color w:val="1E1E1E"/>
          <w:sz w:val="18"/>
        </w:rPr>
        <w:t>A partir da edição da Lei 9.271/1996, que incluiu o § 4º ao art. 370 do CPP, os defensores nomeados, entre os quais se inclui o defensor dativo, passaram também a possuir a prerrogativa da intimação pessoal.</w:t>
      </w:r>
    </w:p>
    <w:p>
      <w:pPr>
        <w:ind w:left="288"/>
      </w:pPr>
      <w:r>
        <w:rPr>
          <w:b/>
          <w:color w:val="003CA0"/>
          <w:sz w:val="16"/>
        </w:rPr>
        <w:t>[HC 89.315, rel. min. Ricardo Lewandowski, j. 19-9-2006, 1ª T, DJ de 13-10-2006.]</w:t>
      </w:r>
    </w:p>
    <w:p>
      <w:pPr>
        <w:ind w:left="288"/>
      </w:pPr>
      <w:r>
        <w:rPr>
          <w:color w:val="8C8C8C"/>
          <w:sz w:val="12"/>
        </w:rPr>
        <w:t>cf-art-5-inc-L</w:t>
      </w:r>
      <w:r>
        <w:rPr>
          <w:color w:val="003CA0"/>
          <w:sz w:val="12"/>
        </w:rPr>
        <w:t xml:space="preserve"> | HC 91.567</w:t>
      </w:r>
      <w:r>
        <w:rPr>
          <w:color w:val="003CA0"/>
          <w:sz w:val="12"/>
        </w:rPr>
        <w:t xml:space="preserve"> | rel. Ellen Gracie</w:t>
      </w:r>
    </w:p>
    <w:p>
      <w:pPr>
        <w:ind w:left="288"/>
      </w:pPr>
      <w:r>
        <w:rPr>
          <w:color w:val="1E1E1E"/>
          <w:sz w:val="18"/>
        </w:rPr>
        <w:t>= HC 91.567, rel. min. Ellen Gracie, j. 2-9-2008, 2ª T, DJE de 26-9-2008 Vide HC 102.155, rel. min. Ayres Britto, j. 27-4-2010, 1ª T, DJE de 21-5-2010 Vide RHC 88.512, rel. min. Cezar Peluso, j. 9-3-2010, 2ª T, DJE de 23-4-2010 Vide HC 98.802, rel. min. Joaquim Barbosa, j. 20-10-2009, 2ª T, DJE de 27-11-2009 Tal como ocorre no processo penal, no processo administrativo-parlamentar por quebra de decoro parlamentar o acompanhamento dos atos e termos do processo é função ordinária do profissional da advocacia, no exercício da representação do seu cliente, quanto atua no sentido de constituir espé</w:t>
      </w:r>
    </w:p>
    <w:p>
      <w:pPr>
        <w:ind w:left="288"/>
      </w:pPr>
      <w:r>
        <w:rPr>
          <w:b/>
          <w:color w:val="003CA0"/>
          <w:sz w:val="16"/>
        </w:rPr>
        <w:t>[MS 25.917, rel. min. Gilmar Mendes, j. 1º-6-2006, P, DJ de 1º-9-2006.]</w:t>
      </w:r>
    </w:p>
    <w:p>
      <w:pPr>
        <w:ind w:left="288"/>
      </w:pPr>
      <w:r>
        <w:rPr>
          <w:color w:val="8C8C8C"/>
          <w:sz w:val="12"/>
        </w:rPr>
        <w:t>cf-art-5-inc-L</w:t>
      </w:r>
      <w:r>
        <w:rPr>
          <w:color w:val="003CA0"/>
          <w:sz w:val="12"/>
        </w:rPr>
        <w:t xml:space="preserve"> | RE 467.658</w:t>
      </w:r>
      <w:r>
        <w:rPr>
          <w:color w:val="003CA0"/>
          <w:sz w:val="12"/>
        </w:rPr>
        <w:t xml:space="preserve"> | rel. Sepúlveda Pertence</w:t>
      </w:r>
    </w:p>
    <w:p>
      <w:pPr>
        <w:ind w:left="288"/>
      </w:pPr>
      <w:r>
        <w:rPr>
          <w:color w:val="1E1E1E"/>
          <w:sz w:val="18"/>
        </w:rPr>
        <w:t>Defesa: devido processo legal e contraditório (CF, art. 5º, LIV e LV): manifesta nulidade decorrente da abertura de prazo para alegações finais antes de encerrada a instrução, tendo sido, após a apresentação delas, inquiridas outras testemunhas, sobre as quais, por isso não foi dada oportunidade à defesa para manifestar-se: demonstração de prejuízo concreto: prova impossível. Consequente anulação do processo a partir da audiência em que inquirida a última das testemunhas, abrindo-se novo prazo para requerimento de diligências e alegações finais (Lei 8.038/1990, arts. 10 e seguintes).</w:t>
      </w:r>
    </w:p>
    <w:p>
      <w:pPr>
        <w:ind w:left="288"/>
      </w:pPr>
      <w:r>
        <w:rPr>
          <w:b/>
          <w:color w:val="003CA0"/>
          <w:sz w:val="16"/>
        </w:rPr>
        <w:t>[RE 467.658, rel. min. Sepúlveda Pertence, j. 30-5-2006, 1ª T, DJ de 25-8-2006.]</w:t>
      </w:r>
    </w:p>
    <w:p>
      <w:pPr>
        <w:ind w:left="288"/>
      </w:pPr>
      <w:r>
        <w:rPr>
          <w:color w:val="8C8C8C"/>
          <w:sz w:val="12"/>
        </w:rPr>
        <w:t>cf-art-5-inc-L</w:t>
      </w:r>
      <w:r>
        <w:rPr>
          <w:color w:val="003CA0"/>
          <w:sz w:val="12"/>
        </w:rPr>
        <w:t xml:space="preserve"> | RE 426.147</w:t>
      </w:r>
      <w:r>
        <w:rPr>
          <w:color w:val="003CA0"/>
          <w:sz w:val="12"/>
        </w:rPr>
        <w:t xml:space="preserve"> | rel. Gilmar Mendes</w:t>
      </w:r>
    </w:p>
    <w:p>
      <w:pPr>
        <w:ind w:left="288"/>
      </w:pPr>
      <w:r>
        <w:rPr>
          <w:color w:val="1E1E1E"/>
          <w:sz w:val="18"/>
        </w:rPr>
        <w:t>A garantia do direito de defesa contempla, no seu âmbito de proteção, todos os processos judiciais ou administrativos.</w:t>
      </w:r>
    </w:p>
    <w:p>
      <w:pPr>
        <w:ind w:left="288"/>
      </w:pPr>
      <w:r>
        <w:rPr>
          <w:b/>
          <w:color w:val="003CA0"/>
          <w:sz w:val="16"/>
        </w:rPr>
        <w:t>[RE 426.147 AgR, rel. min. Gilmar Mendes, j. 28-3-2006, 2ª T, DJ de 5-5-2006.]</w:t>
      </w:r>
    </w:p>
    <w:p>
      <w:pPr>
        <w:ind w:left="288"/>
      </w:pPr>
      <w:r>
        <w:rPr>
          <w:color w:val="8C8C8C"/>
          <w:sz w:val="12"/>
        </w:rPr>
        <w:t>cf-art-5-inc-L</w:t>
      </w:r>
      <w:r>
        <w:rPr>
          <w:color w:val="003CA0"/>
          <w:sz w:val="12"/>
        </w:rPr>
        <w:t xml:space="preserve"> | RE 459.623</w:t>
      </w:r>
      <w:r>
        <w:rPr>
          <w:color w:val="003CA0"/>
          <w:sz w:val="12"/>
        </w:rPr>
        <w:t xml:space="preserve"> | rel. Joaquim Barbosa</w:t>
      </w:r>
    </w:p>
    <w:p>
      <w:pPr>
        <w:ind w:left="288"/>
      </w:pPr>
      <w:r>
        <w:rPr>
          <w:color w:val="1E1E1E"/>
          <w:sz w:val="18"/>
        </w:rPr>
        <w:t>Vide RE 459.623 AgR, rel. min. Joaquim Barbosa, j. 24-11-2009, 2ª T, DJE de 18-12-2009 Crimes contra o Sistema Financeiro Nacional (Lei 7.492, de 1986). Crime societário. Alegada inépcia da denúncia, por ausência de indicação da conduta individualizada dos acusados. Mudança de orientação jurisprudencial, que, no caso de crimes societários, entendia ser apta a denúncia que não individualizasse as condutas de cada indiciado, bastando a indicação de que os acusados fossem de algum modo responsáveis pela condução da sociedade comercial sob a qual foram supostamente praticados os delitos. (...) Nec</w:t>
      </w:r>
    </w:p>
    <w:p>
      <w:pPr>
        <w:ind w:left="288"/>
      </w:pPr>
      <w:r>
        <w:rPr>
          <w:b/>
          <w:color w:val="003CA0"/>
          <w:sz w:val="16"/>
        </w:rPr>
        <w:t>[HC 86.879, rel. min. Joaquim Barbosa, red. do ac. min.Gilmar Mendes, j. 21-2-2006, 2ª T, DJ de 16-6-2006.]</w:t>
      </w:r>
    </w:p>
    <w:p>
      <w:pPr>
        <w:ind w:left="288"/>
      </w:pPr>
      <w:r>
        <w:rPr>
          <w:color w:val="8C8C8C"/>
          <w:sz w:val="12"/>
        </w:rPr>
        <w:t>cf-art-5-inc-L</w:t>
      </w:r>
      <w:r>
        <w:rPr>
          <w:color w:val="003CA0"/>
          <w:sz w:val="12"/>
        </w:rPr>
        <w:t xml:space="preserve"> | HC 96.100</w:t>
      </w:r>
      <w:r>
        <w:rPr>
          <w:color w:val="003CA0"/>
          <w:sz w:val="12"/>
        </w:rPr>
        <w:t xml:space="preserve"> | rel. Cármen Lúcia</w:t>
      </w:r>
    </w:p>
    <w:p>
      <w:pPr>
        <w:ind w:left="288"/>
      </w:pPr>
      <w:r>
        <w:rPr>
          <w:color w:val="1E1E1E"/>
          <w:sz w:val="18"/>
        </w:rPr>
        <w:t>= HC 96.100, rel. min. Cármen Lúcia, j. 23-6-2009, 1ª T, DJE de 7-8-2009 A falta de recursos materiais a inviabilizar as garantias constitucionais dos acusados em processo penal é inadmissível, na medida em que implica disparidade dos meios de manifestação entre a acusação e a defesa, com graves reflexos em um dos bens mais valiosos da vida, a liberdade. A circunstância de que a paciente poderia contatar a Defensora Pública por telefone e cartas, aventada no ato impugnado, não tem a virtude de sanar a nulidade alegada, senão o intuito de contorná-la, resultando franco prejuízo à defesa, sabido</w:t>
      </w:r>
    </w:p>
    <w:p>
      <w:pPr>
        <w:ind w:left="288"/>
      </w:pPr>
      <w:r>
        <w:rPr>
          <w:b/>
          <w:color w:val="003CA0"/>
          <w:sz w:val="16"/>
        </w:rPr>
        <w:t>[HC 85.200, rel. min. Eros Grau, j. 8-11-2005, 1ª T, DJ de 3-2-2006.]</w:t>
      </w:r>
    </w:p>
    <w:p>
      <w:pPr>
        <w:ind w:left="288"/>
      </w:pPr>
      <w:r>
        <w:rPr>
          <w:color w:val="8C8C8C"/>
          <w:sz w:val="12"/>
        </w:rPr>
        <w:t>cf-art-5-inc-L</w:t>
      </w:r>
      <w:r>
        <w:rPr>
          <w:color w:val="003CA0"/>
          <w:sz w:val="12"/>
        </w:rPr>
        <w:t xml:space="preserve"> | RE 201.819</w:t>
      </w:r>
      <w:r>
        <w:rPr>
          <w:color w:val="003CA0"/>
          <w:sz w:val="12"/>
        </w:rPr>
        <w:t xml:space="preserve"> | rel. Ellen Gracie</w:t>
      </w:r>
    </w:p>
    <w:p>
      <w:pPr>
        <w:ind w:left="288"/>
      </w:pPr>
      <w:r>
        <w:rPr>
          <w:color w:val="1E1E1E"/>
          <w:sz w:val="18"/>
        </w:rPr>
        <w:t>A União Brasileira de Compositores (UBC), sociedade civil sem fins lucrativos, integra a estrutura do Ecad [Escritório Central de Arrecadação e Distribuição] e, portanto, assume posição privilegiada para determinar a extensão do gozo e fruição dos direitos autorais de seus associados. A exclusão de sócio do quadro social da UBC, sem qualquer garantia de ampla defesa, do contraditório ou do devido processo constitucional, onera consideravelmente o recorrido, o qual fica impossibilitado de perceber os direitos autorais relativos à execução de suas obras. A vedação das garantias constitucionais d</w:t>
      </w:r>
    </w:p>
    <w:p>
      <w:pPr>
        <w:ind w:left="288"/>
      </w:pPr>
      <w:r>
        <w:rPr>
          <w:b/>
          <w:color w:val="003CA0"/>
          <w:sz w:val="16"/>
        </w:rPr>
        <w:t>[RE 201.819, rel. min. Ellen Gracie, red. do ac. min. Gilmar Mendes, j. 11-10-2005, 2ª T, DJ de 27-10-2006.]</w:t>
      </w:r>
    </w:p>
    <w:p>
      <w:pPr>
        <w:ind w:left="288"/>
      </w:pPr>
      <w:r>
        <w:rPr>
          <w:color w:val="8C8C8C"/>
          <w:sz w:val="12"/>
        </w:rPr>
        <w:t>cf-art-5-inc-L</w:t>
      </w:r>
      <w:r>
        <w:rPr>
          <w:color w:val="003CA0"/>
          <w:sz w:val="12"/>
        </w:rPr>
        <w:t xml:space="preserve"> | RHC 85.512</w:t>
      </w:r>
      <w:r>
        <w:rPr>
          <w:color w:val="003CA0"/>
          <w:sz w:val="12"/>
        </w:rPr>
        <w:t xml:space="preserve"> | rel. Carlos Velloso</w:t>
      </w:r>
    </w:p>
    <w:p>
      <w:pPr>
        <w:ind w:left="288"/>
      </w:pPr>
      <w:r>
        <w:rPr>
          <w:color w:val="1E1E1E"/>
          <w:sz w:val="18"/>
        </w:rPr>
        <w:t>A apresentação de memoriais não constitui ato essencial à defesa. É faculdade concedida às partes, que dela se utilizam ou não. Todavia, se o relator do habeas corpus defere pedido de vista do defensor, no qual esse manifesta, expressamente, o desejo de apresentar memoriais, o julgamento do writ antes da publicação do despacho e da retirada dos autos pelo advogado, impedindo a possibilidade da apresentação dos memoriais, constitui cerceamento de defesa.</w:t>
      </w:r>
    </w:p>
    <w:p>
      <w:pPr>
        <w:ind w:left="288"/>
      </w:pPr>
      <w:r>
        <w:rPr>
          <w:b/>
          <w:color w:val="003CA0"/>
          <w:sz w:val="16"/>
        </w:rPr>
        <w:t>[RHC 85.512, rel. min. Carlos Velloso, j. 16-8-2005, 1ª T, DJ de 23-9-2005.]</w:t>
      </w:r>
    </w:p>
    <w:p>
      <w:pPr>
        <w:ind w:left="288"/>
      </w:pPr>
      <w:r>
        <w:rPr>
          <w:color w:val="8C8C8C"/>
          <w:sz w:val="12"/>
        </w:rPr>
        <w:t>cf-art-5-inc-L</w:t>
      </w:r>
      <w:r>
        <w:rPr>
          <w:color w:val="003CA0"/>
          <w:sz w:val="12"/>
        </w:rPr>
        <w:t xml:space="preserve"> | HC 85.239</w:t>
      </w:r>
      <w:r>
        <w:rPr>
          <w:color w:val="003CA0"/>
          <w:sz w:val="12"/>
        </w:rPr>
        <w:t xml:space="preserve"> | rel. Gilmar Mendes</w:t>
      </w:r>
    </w:p>
    <w:p>
      <w:pPr>
        <w:ind w:left="288"/>
      </w:pPr>
      <w:r>
        <w:rPr>
          <w:color w:val="1E1E1E"/>
          <w:sz w:val="18"/>
        </w:rPr>
        <w:t>Dúvida sobre a tempestividade do desejo de apelar manifestado pelo próprio condenado. Inércia do defensor dativo. Ofensa ao princípio da ampla defesa. Prevalência da interpretação mais favorável ao réu.</w:t>
      </w:r>
    </w:p>
    <w:p>
      <w:pPr>
        <w:ind w:left="288"/>
      </w:pPr>
      <w:r>
        <w:rPr>
          <w:b/>
          <w:color w:val="003CA0"/>
          <w:sz w:val="16"/>
        </w:rPr>
        <w:t>[HC 85.239, rel. min. Gilmar Mendes, j. 22-2-2005, 1ª T, DJ de 8-4-2005.]</w:t>
      </w:r>
    </w:p>
    <w:p>
      <w:pPr>
        <w:ind w:left="288"/>
      </w:pPr>
      <w:r>
        <w:rPr>
          <w:color w:val="8C8C8C"/>
          <w:sz w:val="12"/>
        </w:rPr>
        <w:t>cf-art-5-inc-L</w:t>
      </w:r>
      <w:r>
        <w:rPr>
          <w:color w:val="003CA0"/>
          <w:sz w:val="12"/>
        </w:rPr>
        <w:t xml:space="preserve"> | RMS 24.699</w:t>
      </w:r>
      <w:r>
        <w:rPr>
          <w:color w:val="003CA0"/>
          <w:sz w:val="12"/>
        </w:rPr>
        <w:t xml:space="preserve"> | rel. Eros Grau</w:t>
      </w:r>
    </w:p>
    <w:p>
      <w:pPr>
        <w:ind w:left="288"/>
      </w:pPr>
      <w:r>
        <w:rPr>
          <w:color w:val="1E1E1E"/>
          <w:sz w:val="18"/>
        </w:rPr>
        <w:t xml:space="preserve">Servidor público. Processo administrativo. Demissão. Poder disciplinar. Limites de atuação do Poder Judiciário. Princípio da ampla defesa. Ato de improbidade. (...) A autoridade administrativa está autorizada a praticar atos discricionários apenas quando norma jurídica válida expressamente a ela atribuir essa livre atuação. Os atos administrativos que envolvem a aplicação de "conceitos indeterminados" estão sujeitos ao exame e controle do Poder Judiciário. O controle jurisdicional pode e deve incidir sobre os elementos do ato, à luz dos princípios que regem a atuação da Administração. (...) A </w:t>
      </w:r>
    </w:p>
    <w:p>
      <w:pPr>
        <w:ind w:left="288"/>
      </w:pPr>
      <w:r>
        <w:rPr>
          <w:b/>
          <w:color w:val="003CA0"/>
          <w:sz w:val="16"/>
        </w:rPr>
        <w:t>[RMS 24.699, rel. min. Eros Grau, j. 30-11-2004, 1ª T, DJ de 1º-7-2005.]</w:t>
      </w:r>
    </w:p>
    <w:p>
      <w:pPr>
        <w:ind w:left="288"/>
      </w:pPr>
      <w:r>
        <w:rPr>
          <w:color w:val="8C8C8C"/>
          <w:sz w:val="12"/>
        </w:rPr>
        <w:t>cf-art-5-inc-L</w:t>
      </w:r>
      <w:r>
        <w:rPr>
          <w:color w:val="003CA0"/>
          <w:sz w:val="12"/>
        </w:rPr>
        <w:t xml:space="preserve"> | RMS 24.129</w:t>
      </w:r>
      <w:r>
        <w:rPr>
          <w:color w:val="003CA0"/>
          <w:sz w:val="12"/>
        </w:rPr>
        <w:t xml:space="preserve"> | rel. Joaquim Barbosa</w:t>
      </w:r>
    </w:p>
    <w:p>
      <w:pPr>
        <w:ind w:left="288"/>
      </w:pPr>
      <w:r>
        <w:rPr>
          <w:color w:val="1E1E1E"/>
          <w:sz w:val="18"/>
        </w:rPr>
        <w:t xml:space="preserve">= RMS 24.129, rel. min. Joaquim Barbosa, j. 20-3-2012, 2ª T, DJE de 30-4-2012 A tomada de contas especial não constitui procedimento administrativo disciplinar. Ela tem por escopo a defesa da coisa pública. Busca a Corte de Contas, com tal medida, o ressarcimento pela lesão causada ao erário. A tomada de contas é procedimento administrativo, certo que a extensão da garantia do contraditório (CF, art. 5º, LV) aos procedimentos administrativos não exige a adoção da normatividade própria do processo judicial, em que é indispensável a atuação do advogado: AI 207.197 AgR/PR, min. Octavio Gallotti, </w:t>
      </w:r>
    </w:p>
    <w:p>
      <w:pPr>
        <w:ind w:left="288"/>
      </w:pPr>
      <w:r>
        <w:rPr>
          <w:b/>
          <w:color w:val="003CA0"/>
          <w:sz w:val="16"/>
        </w:rPr>
        <w:t>[MS 24.961, rel. min. Carlos Velloso, j. 24-11-2004, P, DJ de 4-3-2005.]</w:t>
      </w:r>
    </w:p>
    <w:p>
      <w:pPr>
        <w:ind w:left="288"/>
      </w:pPr>
      <w:r>
        <w:rPr>
          <w:color w:val="8C8C8C"/>
          <w:sz w:val="12"/>
        </w:rPr>
        <w:t>cf-art-5-inc-L</w:t>
      </w:r>
      <w:r>
        <w:rPr>
          <w:color w:val="003CA0"/>
          <w:sz w:val="12"/>
        </w:rPr>
        <w:t xml:space="preserve"> | MS 25.643</w:t>
      </w:r>
      <w:r>
        <w:rPr>
          <w:color w:val="003CA0"/>
          <w:sz w:val="12"/>
        </w:rPr>
        <w:t xml:space="preserve"> | rel. Ricardo Lewandowski</w:t>
      </w:r>
    </w:p>
    <w:p>
      <w:pPr>
        <w:ind w:left="288"/>
      </w:pPr>
      <w:r>
        <w:rPr>
          <w:color w:val="1E1E1E"/>
          <w:sz w:val="18"/>
        </w:rPr>
        <w:t>= MS 25.643, rel. min. Ricardo Lewandowski, j. 2-8-2011, 1ª T, DJE de 26-8-2011 Denúncia: cabimento, com base em elementos de informação colhidos em auditoria do Tribunal de Contas, sem que a estes – como também sucede com os colhidos em inquérito policial – caiba opor, para esse fim, a inobservância da garantia ao contraditório.</w:t>
      </w:r>
    </w:p>
    <w:p>
      <w:pPr>
        <w:ind w:left="288"/>
      </w:pPr>
      <w:r>
        <w:rPr>
          <w:b/>
          <w:color w:val="003CA0"/>
          <w:sz w:val="16"/>
        </w:rPr>
        <w:t>[Inq 1.070, rel. min. Sepúlveda Pertence, j. 24-11-2004, 1ª T, DJ de 1º-7-2005.]</w:t>
      </w:r>
    </w:p>
    <w:p>
      <w:pPr>
        <w:ind w:left="288"/>
      </w:pPr>
      <w:r>
        <w:rPr>
          <w:color w:val="8C8C8C"/>
          <w:sz w:val="12"/>
        </w:rPr>
        <w:t>cf-art-5-inc-L</w:t>
      </w:r>
      <w:r>
        <w:rPr>
          <w:color w:val="003CA0"/>
          <w:sz w:val="12"/>
        </w:rPr>
        <w:t xml:space="preserve"> | RE 205.260</w:t>
      </w:r>
      <w:r>
        <w:rPr>
          <w:color w:val="003CA0"/>
          <w:sz w:val="12"/>
        </w:rPr>
        <w:t xml:space="preserve"> | rel. Sepúlveda Pertence</w:t>
      </w:r>
    </w:p>
    <w:p>
      <w:pPr>
        <w:ind w:left="288"/>
      </w:pPr>
      <w:r>
        <w:rPr>
          <w:color w:val="1E1E1E"/>
          <w:sz w:val="18"/>
        </w:rPr>
        <w:t>Policial militar: processo administrativo disciplinar: validade: ampla defesa assegurada. No caso, o defensor dativo – malgrado sem contestar a materialidade do ilícito disciplinar – extrai dos testemunhos acerca das qualidades pessoais do acusado a base de sustentação do pedido de que lhe fosse imposta pena menos severa que a exclusão. Ante a evidência da responsabilidade do acusado, a postulação no vazio da absolvição pode configurar temeridade tática da defesa, da qual será lícito ao defensor furtar-se, de modo a resguardar a credibilidade da pretensão de uma penalidade menos rigorosa. Essa</w:t>
      </w:r>
    </w:p>
    <w:p>
      <w:pPr>
        <w:ind w:left="288"/>
      </w:pPr>
      <w:r>
        <w:rPr>
          <w:b/>
          <w:color w:val="003CA0"/>
          <w:sz w:val="16"/>
        </w:rPr>
        <w:t>[RE 205.260, rel. min. Sepúlveda Pertence, j. 23-11-2004, 1ª T, DJ de 4-2-2005.]</w:t>
      </w:r>
    </w:p>
    <w:p>
      <w:pPr>
        <w:ind w:left="288"/>
      </w:pPr>
      <w:r>
        <w:rPr>
          <w:color w:val="8C8C8C"/>
          <w:sz w:val="12"/>
        </w:rPr>
        <w:t>cf-art-5-inc-L</w:t>
      </w:r>
      <w:r>
        <w:rPr>
          <w:color w:val="003CA0"/>
          <w:sz w:val="12"/>
        </w:rPr>
        <w:t xml:space="preserve"> | RE 378.041</w:t>
      </w:r>
      <w:r>
        <w:rPr>
          <w:color w:val="003CA0"/>
          <w:sz w:val="12"/>
        </w:rPr>
        <w:t xml:space="preserve"> | rel. Ayres Britto</w:t>
      </w:r>
    </w:p>
    <w:p>
      <w:pPr>
        <w:ind w:left="288"/>
      </w:pPr>
      <w:r>
        <w:rPr>
          <w:color w:val="1E1E1E"/>
          <w:sz w:val="18"/>
        </w:rPr>
        <w:t>O servidor público ocupante de cargo efetivo, ainda que em estágio probatório, não pode ser exonerado ad nutum, com base em decreto que declara a desnecessidade do cargo, sob pena de ofensa à garantia do devido processo legal, do contraditório e da ampla defesa. Incidência da Súmula 21/STF.</w:t>
      </w:r>
    </w:p>
    <w:p>
      <w:pPr>
        <w:ind w:left="288"/>
      </w:pPr>
      <w:r>
        <w:rPr>
          <w:b/>
          <w:color w:val="003CA0"/>
          <w:sz w:val="16"/>
        </w:rPr>
        <w:t>[RE 378.041, rel. min. Ayres Britto, j. 21-9-2004, 1ª T, DJ de 11-2-2005.]</w:t>
      </w:r>
    </w:p>
    <w:p>
      <w:pPr>
        <w:ind w:left="288"/>
      </w:pPr>
      <w:r>
        <w:rPr>
          <w:color w:val="8C8C8C"/>
          <w:sz w:val="12"/>
        </w:rPr>
        <w:t>cf-art-5-inc-L</w:t>
      </w:r>
      <w:r>
        <w:rPr>
          <w:color w:val="003CA0"/>
          <w:sz w:val="12"/>
        </w:rPr>
        <w:t xml:space="preserve"> | AI 623.854</w:t>
      </w:r>
      <w:r>
        <w:rPr>
          <w:color w:val="003CA0"/>
          <w:sz w:val="12"/>
        </w:rPr>
        <w:t xml:space="preserve"> | rel. Cármen Lúcia</w:t>
      </w:r>
    </w:p>
    <w:p>
      <w:pPr>
        <w:ind w:left="288"/>
      </w:pPr>
      <w:r>
        <w:rPr>
          <w:color w:val="1E1E1E"/>
          <w:sz w:val="18"/>
        </w:rPr>
        <w:t>= AI 623.854 AgR, rel. min. Cármen Lúcia, j. 25-8-2009, 1ª T, DJE de 23-10-2009 Vide RE 223.904, rel. min. Ellen Gracie, j. 8-6-2004, 2ª T, DJ de 6-8-2004 Vide RE 222.532, rel. min. Sepúlveda Pertence, j. 8-8-2000, 1ª T, DJ de 1º-9-2000 A garantia constitucional da ampla defesa tem, por força direta da Constituição, um conteúdo mínimo, que independe da interpretação da lei ordinária que a discipline (RE 255.397, Primeira Turma, Pertence, DJ de 7-5-2004). (...) Não há afronta à garantia da ampla defesa no indeferimento de prova desnecessária ou irrelevante.</w:t>
      </w:r>
    </w:p>
    <w:p>
      <w:pPr>
        <w:ind w:left="288"/>
      </w:pPr>
      <w:r>
        <w:rPr>
          <w:b/>
          <w:color w:val="003CA0"/>
          <w:sz w:val="16"/>
        </w:rPr>
        <w:t>[RE 345.580, rel. min. Sepúlveda Pertence, j. 17-8-2004, 1ª T, DJ de 10-9-2004.]</w:t>
      </w:r>
    </w:p>
    <w:p>
      <w:pPr>
        <w:ind w:left="288"/>
      </w:pPr>
      <w:r>
        <w:rPr>
          <w:color w:val="8C8C8C"/>
          <w:sz w:val="12"/>
        </w:rPr>
        <w:t>cf-art-5-inc-L</w:t>
      </w:r>
      <w:r>
        <w:rPr>
          <w:color w:val="003CA0"/>
          <w:sz w:val="12"/>
        </w:rPr>
        <w:t xml:space="preserve"> | RHC 96.433</w:t>
      </w:r>
      <w:r>
        <w:rPr>
          <w:color w:val="003CA0"/>
          <w:sz w:val="12"/>
        </w:rPr>
        <w:t xml:space="preserve"> | rel. Cármen Lúcia</w:t>
      </w:r>
    </w:p>
    <w:p>
      <w:pPr>
        <w:ind w:left="288"/>
      </w:pPr>
      <w:r>
        <w:rPr>
          <w:color w:val="1E1E1E"/>
          <w:sz w:val="18"/>
        </w:rPr>
        <w:t>= RHC 96.433, rel. min. Cármen Lúcia, j. 20-10-2009, 1ª T, DJE de 20-11-2009 = HC 95.983, rel. min. Eros Grau, j. 3-2-2009, 2ª T, DJE de 20-3-2009 = HC 89.766, rel. min. Ayres Britto, j. 25-3-2008, 1ª T, DJE de 26-9-2008 Inaplicabilidade da garantia constitucional do contraditório e da ampla defesa ao inquérito policial, que não é processo, porque não destinado a decidir litígio algum, ainda que na esfera administrativa; existência, não obstante, de direitos fundamentais do indiciado no curso do inquérito, entre os quais o de fazer-se assistir por advogado, o de não se incriminar e o de manter</w:t>
      </w:r>
    </w:p>
    <w:p>
      <w:pPr>
        <w:ind w:left="288"/>
      </w:pPr>
      <w:r>
        <w:rPr>
          <w:b/>
          <w:color w:val="003CA0"/>
          <w:sz w:val="16"/>
        </w:rPr>
        <w:t>[HC 82.354, rel. min. Sepúlveda Pertence, j. 10-8-2004, 1ª T, DJ de 24-9-2004.]</w:t>
      </w:r>
    </w:p>
    <w:p>
      <w:pPr>
        <w:ind w:left="288"/>
      </w:pPr>
      <w:r>
        <w:rPr>
          <w:color w:val="8C8C8C"/>
          <w:sz w:val="12"/>
        </w:rPr>
        <w:t>cf-art-5-inc-L</w:t>
      </w:r>
      <w:r>
        <w:rPr>
          <w:color w:val="003CA0"/>
          <w:sz w:val="12"/>
        </w:rPr>
        <w:t xml:space="preserve"> | RE 481.955</w:t>
      </w:r>
      <w:r>
        <w:rPr>
          <w:color w:val="003CA0"/>
          <w:sz w:val="12"/>
        </w:rPr>
        <w:t xml:space="preserve"> | rel. Cármen Lúcia</w:t>
      </w:r>
    </w:p>
    <w:p>
      <w:pPr>
        <w:ind w:left="288"/>
      </w:pPr>
      <w:r>
        <w:rPr>
          <w:color w:val="1E1E1E"/>
          <w:sz w:val="18"/>
        </w:rPr>
        <w:t>Vide RE 481.955 AgR, rel. min. Cármen Lúcia, j. 10-5-2011, 1ª T, DJE de 26-5-2011 A entrega de processo em setor administrativo do Ministério Público, formalizada a carga pelo servidor, configura intimação direta, pessoal, cabendo tomar a data em que ocorrida como a da ciência da decisão judicial. Imprópria é a prática da colocação do processo em prateleira e a retirada à livre discrição do membro do Ministério Público, oportunidade na qual, de forma juridicamente irrelevante, apõe o "ciente", com a finalidade de, somente então, considerar-se intimado e em curso o prazo recursal.</w:t>
      </w:r>
    </w:p>
    <w:p>
      <w:pPr>
        <w:ind w:left="288"/>
      </w:pPr>
      <w:r>
        <w:rPr>
          <w:b/>
          <w:color w:val="003CA0"/>
          <w:sz w:val="16"/>
        </w:rPr>
        <w:t>[HC 83.255, rel. min. Marco Aurélio, j. 5-11-2003, P, DJ de 12-3-2004.]</w:t>
      </w:r>
    </w:p>
    <w:p>
      <w:pPr>
        <w:ind w:left="288"/>
      </w:pPr>
      <w:r>
        <w:rPr>
          <w:color w:val="8C8C8C"/>
          <w:sz w:val="12"/>
        </w:rPr>
        <w:t>cf-art-5-inc-L</w:t>
      </w:r>
      <w:r>
        <w:rPr>
          <w:color w:val="003CA0"/>
          <w:sz w:val="12"/>
        </w:rPr>
        <w:t xml:space="preserve"> | HC 94.815</w:t>
      </w:r>
      <w:r>
        <w:rPr>
          <w:color w:val="003CA0"/>
          <w:sz w:val="12"/>
        </w:rPr>
        <w:t xml:space="preserve"> | rel. Joaquim Barbosa</w:t>
      </w:r>
    </w:p>
    <w:p>
      <w:pPr>
        <w:ind w:left="288"/>
      </w:pPr>
      <w:r>
        <w:rPr>
          <w:color w:val="1E1E1E"/>
          <w:sz w:val="18"/>
        </w:rPr>
        <w:t>= HC 94.815, rel. min. Joaquim Barbosa, j. 4-8-2009, 2ª T, DJE de 18-9-2009 Vide AI 661.622 AgR-AgR, rel. min. Cármen Lúcia, j. 28-10-2008, 2ª T, DJE de 19-12-2008 O inquérito policial é peça meramente informativa, não suscetível de contraditório, e sua eventual irregularidade não é motivo para decretação de nulidade da ação penal.</w:t>
      </w:r>
    </w:p>
    <w:p>
      <w:pPr>
        <w:ind w:left="288"/>
      </w:pPr>
      <w:r>
        <w:rPr>
          <w:b/>
          <w:color w:val="003CA0"/>
          <w:sz w:val="16"/>
        </w:rPr>
        <w:t>[HC 83.233, rel. min. Nelson Jobim, j. 4-11-2003, 2ª T, DJ de 19-3-2004.]</w:t>
      </w:r>
    </w:p>
    <w:p>
      <w:pPr>
        <w:ind w:left="288"/>
      </w:pPr>
      <w:r>
        <w:rPr>
          <w:color w:val="8C8C8C"/>
          <w:sz w:val="12"/>
        </w:rPr>
        <w:t>cf-art-5-inc-L</w:t>
      </w:r>
      <w:r>
        <w:rPr>
          <w:color w:val="003CA0"/>
          <w:sz w:val="12"/>
        </w:rPr>
        <w:t xml:space="preserve"> | HC 99.936</w:t>
      </w:r>
      <w:r>
        <w:rPr>
          <w:color w:val="003CA0"/>
          <w:sz w:val="12"/>
        </w:rPr>
        <w:t xml:space="preserve"> | rel. Ellen Gracie</w:t>
      </w:r>
    </w:p>
    <w:p>
      <w:pPr>
        <w:ind w:left="288"/>
      </w:pPr>
      <w:r>
        <w:rPr>
          <w:color w:val="1E1E1E"/>
          <w:sz w:val="18"/>
        </w:rPr>
        <w:t>= HC 99.936, rel. min. Ellen Gracie, j. 24-11-2009, 2ª T, DJE de 11-12-2009 Ofende a garantia constitucional do contraditório fundar-se a condenação exclusivamente em testemunhos prestados no inquérito policial, sob o pretexto de não se haver provado, em juízo, que tivessem sido obtidos mediante coação.</w:t>
      </w:r>
    </w:p>
    <w:p>
      <w:pPr>
        <w:ind w:left="288"/>
      </w:pPr>
      <w:r>
        <w:rPr>
          <w:b/>
          <w:color w:val="003CA0"/>
          <w:sz w:val="16"/>
        </w:rPr>
        <w:t>[RE 287.658, rel. min. Sepúlveda Pertence, j. 16-9-2003, 1ª T, DJ de 3-10-2003.]</w:t>
      </w:r>
    </w:p>
    <w:p>
      <w:pPr>
        <w:ind w:left="288"/>
      </w:pPr>
      <w:r>
        <w:rPr>
          <w:color w:val="8C8C8C"/>
          <w:sz w:val="12"/>
        </w:rPr>
        <w:t>cf-art-5-inc-L</w:t>
      </w:r>
      <w:r>
        <w:rPr>
          <w:color w:val="003CA0"/>
          <w:sz w:val="12"/>
        </w:rPr>
        <w:t xml:space="preserve"> | AI 243.275</w:t>
      </w:r>
      <w:r>
        <w:rPr>
          <w:color w:val="003CA0"/>
          <w:sz w:val="12"/>
        </w:rPr>
        <w:t xml:space="preserve"> | rel. Nelson Jobim</w:t>
      </w:r>
    </w:p>
    <w:p>
      <w:pPr>
        <w:ind w:left="288"/>
      </w:pPr>
      <w:r>
        <w:rPr>
          <w:color w:val="1E1E1E"/>
          <w:sz w:val="18"/>
        </w:rPr>
        <w:t>Incorreção, pela simples omissão de uma consoante, na grafia do sobrenome do advogado. Circunstância que não configura nulidade do ato processual, nem mesmo sua ineficácia, vez que não se tornou impossível a identificação do processo, para efeito de intimação.</w:t>
      </w:r>
    </w:p>
    <w:p>
      <w:pPr>
        <w:ind w:left="288"/>
      </w:pPr>
      <w:r>
        <w:rPr>
          <w:b/>
          <w:color w:val="003CA0"/>
          <w:sz w:val="16"/>
        </w:rPr>
        <w:t>[AI 243.275 petição avulsa-AgR, rel. min. Nelson Jobim, red. do ac. min. Gilmar Mendes, j. 7-5-2003, P, DJ de 5-10-2007.]</w:t>
      </w:r>
    </w:p>
    <w:p>
      <w:pPr>
        <w:ind w:left="288"/>
      </w:pPr>
      <w:r>
        <w:rPr>
          <w:color w:val="8C8C8C"/>
          <w:sz w:val="12"/>
        </w:rPr>
        <w:t>cf-art-5-inc-L</w:t>
      </w:r>
      <w:r>
        <w:rPr>
          <w:color w:val="003CA0"/>
          <w:sz w:val="12"/>
        </w:rPr>
        <w:t xml:space="preserve"> | AI 765.746</w:t>
      </w:r>
      <w:r>
        <w:rPr>
          <w:color w:val="003CA0"/>
          <w:sz w:val="12"/>
        </w:rPr>
        <w:t xml:space="preserve"> | rel. Cármen Lúcia</w:t>
      </w:r>
    </w:p>
    <w:p>
      <w:pPr>
        <w:ind w:left="288"/>
      </w:pPr>
      <w:r>
        <w:rPr>
          <w:color w:val="1E1E1E"/>
          <w:sz w:val="18"/>
        </w:rPr>
        <w:t>= AI 765.746 AgR-ED-AgR, rel. min. Cármen Lúcia, j. 18-5-2010, 1ª T, DJE de 4-6-2010 = AI 635.885 ED, rel. min. Ellen Gracie, j. 20-9-2007, P, DJE de 9-11-2007 Alegação de cerceamento do exercício do direito à sustentação oral por ausência de prévia publicação da pauta de julgamento. Inocorrência. Antecedência mínima de 48 horas de publicação da pauta que foi observada no caso. Habeas corpus indeferido. A sustentação oral constitui ato essencial à defesa. A injusta frustração dessa magna prerrogativa afeta, de modo substancial, o princípio da amplitude de defesa que vem proclamado no próprio t</w:t>
      </w:r>
    </w:p>
    <w:p>
      <w:pPr>
        <w:ind w:left="288"/>
      </w:pPr>
      <w:r>
        <w:rPr>
          <w:b/>
          <w:color w:val="003CA0"/>
          <w:sz w:val="16"/>
        </w:rPr>
        <w:t>[HC 81.369, rel. min. Celso de Mello, j. 12-12-2001, P, DJE de 13-2-2009.]</w:t>
      </w:r>
    </w:p>
    <w:p>
      <w:pPr>
        <w:ind w:left="288"/>
      </w:pPr>
      <w:r>
        <w:rPr>
          <w:color w:val="8C8C8C"/>
          <w:sz w:val="12"/>
        </w:rPr>
        <w:t>cf-art-5-inc-L</w:t>
      </w:r>
      <w:r>
        <w:rPr>
          <w:color w:val="003CA0"/>
          <w:sz w:val="12"/>
        </w:rPr>
        <w:t xml:space="preserve"> | RE 585.535</w:t>
      </w:r>
      <w:r>
        <w:rPr>
          <w:color w:val="003CA0"/>
          <w:sz w:val="12"/>
        </w:rPr>
        <w:t xml:space="preserve"> | rel. Ellen Gracie</w:t>
      </w:r>
    </w:p>
    <w:p>
      <w:pPr>
        <w:ind w:left="288"/>
      </w:pPr>
      <w:r>
        <w:rPr>
          <w:color w:val="1E1E1E"/>
          <w:sz w:val="18"/>
        </w:rPr>
        <w:t xml:space="preserve">= RE 585.535 AgR, rel. min. Ellen Gracie, j. 17-12-2010, P, DJE de 4-3-2011 Vide HC 103.867 MC, rel. min. Celso de Mello, j. 23-6-2010, dec. monocrática, DJE de 29-6-2010 Há de se distinguir no processo penal duas formas de atuação do Ministério Público. A primeira como dominus litis e outra como custos legis. O promotor de justiça agiu como titular da ação penal ao oferecer denúncia e contrarrazões à apelação aviada. Já no Tribunal de Justiça do Estado de Minas Gerais e no STJ atuaram o procurador de justiça e o subprocurador-geral da República como fiscais da lei. Não há contraditório a ser </w:t>
      </w:r>
    </w:p>
    <w:p>
      <w:pPr>
        <w:ind w:left="288"/>
      </w:pPr>
      <w:r>
        <w:rPr>
          <w:b/>
          <w:color w:val="003CA0"/>
          <w:sz w:val="16"/>
        </w:rPr>
        <w:t>[HC 81.436, voto do min. Néri da Silveira, j. 11-12-2001, 2ª T, DJ de 22-2-2002.]</w:t>
      </w:r>
    </w:p>
    <w:p>
      <w:pPr>
        <w:ind w:left="288"/>
      </w:pPr>
      <w:r>
        <w:rPr>
          <w:color w:val="8C8C8C"/>
          <w:sz w:val="12"/>
        </w:rPr>
        <w:t>cf-art-5-inc-L</w:t>
      </w:r>
      <w:r>
        <w:rPr>
          <w:color w:val="003CA0"/>
          <w:sz w:val="12"/>
        </w:rPr>
        <w:t xml:space="preserve"> | RHC 107.584</w:t>
      </w:r>
      <w:r>
        <w:rPr>
          <w:color w:val="003CA0"/>
          <w:sz w:val="12"/>
        </w:rPr>
        <w:t xml:space="preserve"> | rel. Luiz Fux</w:t>
      </w:r>
    </w:p>
    <w:p>
      <w:pPr>
        <w:ind w:left="288"/>
      </w:pPr>
      <w:r>
        <w:rPr>
          <w:color w:val="1E1E1E"/>
          <w:sz w:val="18"/>
        </w:rPr>
        <w:t>= RHC 107.584, rel. min. Luiz Fux, j. 14-6-2011, 1ª T, DJE de 28-9-2011 Execução extrajudicial. Recepção, pela Constituição de 1988, do DL 70/1966. Esta Corte, em vários precedentes (assim, a título exemplificativo, nos RE 148.872, RE 223.075 e RE 240.361),  tem-se orientado no sentido de que o DL 70/1966 é compatível com a atual Constituição, não se chocando, inclusive, com o disposto nos incisos XXXV, LIV e LV do art. 5º desta, razão por que foi por ela recebido.</w:t>
      </w:r>
    </w:p>
    <w:p>
      <w:pPr>
        <w:ind w:left="288"/>
      </w:pPr>
      <w:r>
        <w:rPr>
          <w:b/>
          <w:color w:val="003CA0"/>
          <w:sz w:val="16"/>
        </w:rPr>
        <w:t>[RE 287.453, rel. min. Moreira Alves, j. 18-9-2001, 1ª T, DJ de 26-10-2001.]</w:t>
      </w:r>
    </w:p>
    <w:p>
      <w:pPr>
        <w:ind w:left="288"/>
      </w:pPr>
      <w:r>
        <w:rPr>
          <w:color w:val="8C8C8C"/>
          <w:sz w:val="12"/>
        </w:rPr>
        <w:t>cf-art-5-inc-L</w:t>
      </w:r>
      <w:r>
        <w:rPr>
          <w:color w:val="003CA0"/>
          <w:sz w:val="12"/>
        </w:rPr>
        <w:t xml:space="preserve"> | AI 663.578</w:t>
      </w:r>
      <w:r>
        <w:rPr>
          <w:color w:val="003CA0"/>
          <w:sz w:val="12"/>
        </w:rPr>
        <w:t xml:space="preserve"> | rel. Ellen Gracie</w:t>
      </w:r>
    </w:p>
    <w:p>
      <w:pPr>
        <w:ind w:left="288"/>
      </w:pPr>
      <w:r>
        <w:rPr>
          <w:color w:val="1E1E1E"/>
          <w:sz w:val="18"/>
        </w:rPr>
        <w:t>= AI 663.578 AgR, rel. min. Ellen Gracie, j. 4-8-2009, 2ª T, DJE de 28-8-2009 Esta Corte já firmou o entendimento de que a perda de graduação de praça da polícia militar, como sanção disciplinar administrativa, não se dá por meio de julgamento da Justiça Militar estadual, mas mediante processo administrativo na própria corporação, assegurando-se direito de defesa e o contraditório (...).</w:t>
      </w:r>
    </w:p>
    <w:p>
      <w:pPr>
        <w:ind w:left="288"/>
      </w:pPr>
      <w:r>
        <w:rPr>
          <w:b/>
          <w:color w:val="003CA0"/>
          <w:sz w:val="16"/>
        </w:rPr>
        <w:t>[RE 206.971, rel. min. Moreira Alves, j. 18-4-2000, 1ª T, DJ de 9-6-2000.]</w:t>
      </w:r>
    </w:p>
    <w:p>
      <w:pPr>
        <w:ind w:left="288"/>
      </w:pPr>
      <w:r>
        <w:rPr>
          <w:color w:val="8C8C8C"/>
          <w:sz w:val="12"/>
        </w:rPr>
        <w:t>cf-art-5-inc-L</w:t>
      </w:r>
      <w:r>
        <w:rPr>
          <w:color w:val="003CA0"/>
          <w:sz w:val="12"/>
        </w:rPr>
        <w:t xml:space="preserve"> | AI 760.320</w:t>
      </w:r>
      <w:r>
        <w:rPr>
          <w:color w:val="003CA0"/>
          <w:sz w:val="12"/>
        </w:rPr>
        <w:t xml:space="preserve"> | rel. Gilmar Mendes</w:t>
      </w:r>
    </w:p>
    <w:p>
      <w:pPr>
        <w:ind w:left="288"/>
      </w:pPr>
      <w:r>
        <w:rPr>
          <w:color w:val="1E1E1E"/>
          <w:sz w:val="18"/>
        </w:rPr>
        <w:t>= AI 760.320 AgR, rel. min. Gilmar Mendes, j. 1º-3-2011, 2ª T, DJE de 23-3-2011 O interessado, uma vez admitido ao processo de reclamação – e observada a fase procedimental em que este se acha –, tem o direito de ser intimado dos atos e termos processuais, assistindo-lhes, ainda, a prerrogativa de fazer sustentação oral, quando do julgamento final da causa.</w:t>
      </w:r>
    </w:p>
    <w:p>
      <w:pPr>
        <w:ind w:left="288"/>
      </w:pPr>
      <w:r>
        <w:rPr>
          <w:b/>
          <w:color w:val="003CA0"/>
          <w:sz w:val="16"/>
        </w:rPr>
        <w:t>[Rcl 449 AgR, rel. min. Celso de Mello, j. 12-12-1996, P, DJ de 21-2-1997.]</w:t>
      </w:r>
    </w:p>
    <w:p>
      <w:pPr>
        <w:ind w:left="288"/>
      </w:pPr>
      <w:r>
        <w:rPr>
          <w:color w:val="8C8C8C"/>
          <w:sz w:val="12"/>
        </w:rPr>
        <w:t>cf-art-5-inc-L</w:t>
      </w:r>
      <w:r>
        <w:rPr>
          <w:color w:val="003CA0"/>
          <w:sz w:val="12"/>
        </w:rPr>
        <w:t xml:space="preserve"> | RCL 8.478</w:t>
      </w:r>
      <w:r>
        <w:rPr>
          <w:color w:val="003CA0"/>
          <w:sz w:val="12"/>
        </w:rPr>
        <w:t xml:space="preserve"> | rel. Cármen Lúcia</w:t>
      </w:r>
    </w:p>
    <w:p>
      <w:pPr>
        <w:ind w:left="288"/>
      </w:pPr>
      <w:r>
        <w:rPr>
          <w:color w:val="1E1E1E"/>
          <w:sz w:val="18"/>
        </w:rPr>
        <w:t>= Rcl 8.478 AgR, rel. min. Cármen Lúcia, j. 1º-8-2011, P, DJE de 22-8-2011 = Rcl 3.375 AgR, rel. min. Gilmar Mendes, j. 27-9-2006, P, DJ de 19-12-2006 Não configura violência ao inciso LV do rol das garantias constitucionais decisão que, em embargos a execução, resulta no indeferimento de prova pericial, tendo em conta o fato de a cobrança do tributo resultar de autolançamento.</w:t>
      </w:r>
    </w:p>
    <w:p>
      <w:pPr>
        <w:ind w:left="288"/>
      </w:pPr>
      <w:r>
        <w:rPr>
          <w:b/>
          <w:color w:val="003CA0"/>
          <w:sz w:val="16"/>
        </w:rPr>
        <w:t>[AI 167.503 AgR, rel. min. Marco Aurélio, j. 12-3-1996, 2ª T, DJ de 26-4-1996.]</w:t>
      </w:r>
    </w:p>
    <w:p>
      <w:pPr>
        <w:ind w:left="288"/>
      </w:pPr>
      <w:r>
        <w:rPr>
          <w:color w:val="8C8C8C"/>
          <w:sz w:val="12"/>
        </w:rPr>
        <w:t>cf-art-5-inc-L</w:t>
      </w:r>
      <w:r>
        <w:rPr>
          <w:color w:val="003CA0"/>
          <w:sz w:val="12"/>
        </w:rPr>
        <w:t xml:space="preserve"> | AI 171.577</w:t>
      </w:r>
      <w:r>
        <w:rPr>
          <w:color w:val="003CA0"/>
          <w:sz w:val="12"/>
        </w:rPr>
        <w:t xml:space="preserve"> | rel. Francisco Rezek</w:t>
      </w:r>
    </w:p>
    <w:p>
      <w:pPr>
        <w:ind w:left="288"/>
      </w:pPr>
      <w:r>
        <w:rPr>
          <w:color w:val="1E1E1E"/>
          <w:sz w:val="18"/>
        </w:rPr>
        <w:t>O fato de o defensor público não ter recorrido não significa necessariamente falta de defesa, a atrair a incidência da Súmula 523.</w:t>
      </w:r>
    </w:p>
    <w:p>
      <w:pPr>
        <w:ind w:left="288"/>
      </w:pPr>
      <w:r>
        <w:rPr>
          <w:b/>
          <w:color w:val="003CA0"/>
          <w:sz w:val="16"/>
        </w:rPr>
        <w:t>[AI 171.577 AgR, rel. min. Francisco Rezek, j. 28-11-1995, 2ª T, DJ de 7-12-1995.]</w:t>
      </w:r>
    </w:p>
    <w:p>
      <w:pPr>
        <w:ind w:left="288"/>
      </w:pPr>
      <w:r>
        <w:rPr>
          <w:color w:val="8C8C8C"/>
          <w:sz w:val="12"/>
        </w:rPr>
        <w:t>cf-art-5-inc-L</w:t>
      </w:r>
      <w:r>
        <w:rPr>
          <w:color w:val="003CA0"/>
          <w:sz w:val="12"/>
        </w:rPr>
        <w:t xml:space="preserve"> | HC 72.204</w:t>
      </w:r>
      <w:r>
        <w:rPr>
          <w:color w:val="003CA0"/>
          <w:sz w:val="12"/>
        </w:rPr>
        <w:t xml:space="preserve"> | rel. Celso de Mello</w:t>
      </w:r>
    </w:p>
    <w:p>
      <w:pPr>
        <w:ind w:left="288"/>
      </w:pPr>
      <w:r>
        <w:rPr>
          <w:color w:val="1E1E1E"/>
          <w:sz w:val="18"/>
        </w:rPr>
        <w:t>O defensor público tem a prerrogativa jurídica de ser intimado, pessoalmente, de todos os atos do processo, qualquer que seja a natureza deste, sob pena de nulidade, especialmente quando a ausência da cientificação in faciem frustra o exercício do direito à sustentação oral.</w:t>
      </w:r>
    </w:p>
    <w:p>
      <w:pPr>
        <w:ind w:left="288"/>
      </w:pPr>
      <w:r>
        <w:rPr>
          <w:b/>
          <w:color w:val="003CA0"/>
          <w:sz w:val="16"/>
        </w:rPr>
        <w:t>[HC 72.204, rel. min. Celso de Mello, j. 15-8-1995, 1ª T, DJ de 24-8-2007.]</w:t>
      </w:r>
    </w:p>
    <w:p>
      <w:pPr>
        <w:ind w:left="288"/>
      </w:pPr>
      <w:r>
        <w:rPr>
          <w:color w:val="8C8C8C"/>
          <w:sz w:val="12"/>
        </w:rPr>
        <w:t>cf-art-5-inc-L</w:t>
      </w:r>
      <w:r>
        <w:rPr>
          <w:color w:val="003CA0"/>
          <w:sz w:val="12"/>
        </w:rPr>
        <w:t xml:space="preserve"> | HC 98.905</w:t>
      </w:r>
      <w:r>
        <w:rPr>
          <w:color w:val="003CA0"/>
          <w:sz w:val="12"/>
        </w:rPr>
        <w:t xml:space="preserve"> | rel. Cezar Peluso</w:t>
      </w:r>
    </w:p>
    <w:p>
      <w:pPr>
        <w:ind w:left="288"/>
      </w:pPr>
      <w:r>
        <w:rPr>
          <w:color w:val="1E1E1E"/>
          <w:sz w:val="18"/>
        </w:rPr>
        <w:t>Vide HC 98.905, rel. min. Cezar Peluso, j. 8-9-2009, 2ª T, DJE de 16-10-2009 Concurso público. Inscrição. Vida pregressa. Contraditório e ampla defesa. O que se contém no inciso LV do art. 5º da CF, a pressupor litígio ou acusação, não tem pertinência à hipótese em que analisado o atendimento de requisitos referentes à inscrição de candidato a concurso público. O levantamento ético-social dispensa o contraditório, não se podendo cogitar quer da existência de litígio, quer de acusação que vise a determinada sanção.</w:t>
      </w:r>
    </w:p>
    <w:p>
      <w:pPr>
        <w:ind w:left="288"/>
      </w:pPr>
      <w:r>
        <w:rPr>
          <w:b/>
          <w:color w:val="003CA0"/>
          <w:sz w:val="16"/>
        </w:rPr>
        <w:t>[RE 156.400, rel. min. Marco Aurélio, j. 5-6-1995, 2ª T, DJ de 15-9-1995.]</w:t>
      </w:r>
    </w:p>
    <w:p>
      <w:pPr>
        <w:ind w:left="288"/>
      </w:pPr>
      <w:r>
        <w:rPr>
          <w:color w:val="8C8C8C"/>
          <w:sz w:val="12"/>
        </w:rPr>
        <w:t>cf-art-5-inc-L</w:t>
      </w:r>
      <w:r>
        <w:rPr>
          <w:color w:val="003CA0"/>
          <w:sz w:val="12"/>
        </w:rPr>
        <w:t xml:space="preserve"> | RE 233.303</w:t>
      </w:r>
      <w:r>
        <w:rPr>
          <w:color w:val="003CA0"/>
          <w:sz w:val="12"/>
        </w:rPr>
        <w:t xml:space="preserve"> | rel. Menezes Direito</w:t>
      </w:r>
    </w:p>
    <w:p>
      <w:pPr>
        <w:ind w:left="288"/>
      </w:pPr>
      <w:r>
        <w:rPr>
          <w:color w:val="1E1E1E"/>
          <w:sz w:val="18"/>
        </w:rPr>
        <w:t>= RE 233.303, rel. min. Menezes Direito, j. 27-5-2008, 1ª T, DJE de 1º-8-2008 Em se tratando de autolançamento de débito fiscal declarado e não pago, desnecessária a instauração de procedimento administrativo para a inscrição e posterior cobrança.</w:t>
      </w:r>
    </w:p>
    <w:p>
      <w:pPr>
        <w:ind w:left="288"/>
      </w:pPr>
      <w:r>
        <w:rPr>
          <w:b/>
          <w:color w:val="003CA0"/>
          <w:sz w:val="16"/>
        </w:rPr>
        <w:t>[AI 144.609 AgR, rel. min. Maurício Corrêa, j. 11-4-1995, 2ª T, DJ de 1º-9-1995.]</w:t>
      </w:r>
    </w:p>
    <w:p>
      <w:pPr>
        <w:ind w:left="288"/>
      </w:pPr>
      <w:r>
        <w:rPr>
          <w:color w:val="8C8C8C"/>
          <w:sz w:val="12"/>
        </w:rPr>
        <w:t>cf-art-5-inc-L</w:t>
      </w:r>
      <w:r>
        <w:rPr>
          <w:color w:val="003CA0"/>
          <w:sz w:val="12"/>
        </w:rPr>
        <w:t xml:space="preserve"> | AI 767.629</w:t>
      </w:r>
      <w:r>
        <w:rPr>
          <w:color w:val="003CA0"/>
          <w:sz w:val="12"/>
        </w:rPr>
        <w:t xml:space="preserve"> | rel. Cármen Lúcia</w:t>
      </w:r>
    </w:p>
    <w:p>
      <w:pPr>
        <w:ind w:left="288"/>
      </w:pPr>
      <w:r>
        <w:rPr>
          <w:color w:val="1E1E1E"/>
          <w:sz w:val="18"/>
        </w:rPr>
        <w:t>= AI 767.629 AgR, rel. min. Cármen Lúcia, j. 8-2-2011, 1ª T, DJE de 24-3-2011 Vide AI 539.891 AgR, rel. min. Marco Aurélio, j. 22-5-2007, 1ª T, DJ de 21-9-2007 A colidência de teses defensivas é apenas invocável, como causa nullitatis, nas hipóteses em que, comprovado o efetivo prejuízo aos direitos dos réus, a defesa destes vem a ser confiada a um só defensor dativo, eis que – consoante adverte a jurisprudência do STF – "Não se configura a nulidade, se o defensor único foi livremente constituído pelos próprios acusados" (RTJ 58/858 – RTJ 59/360 – 69/52 – RTJ 88/481 – RTJ 110/95). A indisponib</w:t>
      </w:r>
    </w:p>
    <w:p>
      <w:pPr>
        <w:ind w:left="288"/>
      </w:pPr>
      <w:r>
        <w:rPr>
          <w:b/>
          <w:color w:val="003CA0"/>
          <w:sz w:val="16"/>
        </w:rPr>
        <w:t>[HC 70.600, rel. min. Celso de Mello, j. 19-4-1994, 1ª T, DJE de 21-8-2009.]</w:t>
      </w:r>
    </w:p>
    <w:p>
      <w:pPr>
        <w:ind w:left="288"/>
      </w:pPr>
      <w:r>
        <w:rPr>
          <w:color w:val="8C8C8C"/>
          <w:sz w:val="12"/>
        </w:rPr>
        <w:t>cf-art-5-inc-L</w:t>
      </w:r>
      <w:r>
        <w:rPr>
          <w:color w:val="003CA0"/>
          <w:sz w:val="12"/>
        </w:rPr>
        <w:t xml:space="preserve"> | HC 99.485</w:t>
      </w:r>
      <w:r>
        <w:rPr>
          <w:color w:val="003CA0"/>
          <w:sz w:val="12"/>
        </w:rPr>
        <w:t xml:space="preserve"> | rel. Cármen Lúcia</w:t>
      </w:r>
    </w:p>
    <w:p>
      <w:pPr>
        <w:ind w:left="288"/>
      </w:pPr>
      <w:r>
        <w:rPr>
          <w:color w:val="1E1E1E"/>
          <w:sz w:val="18"/>
        </w:rPr>
        <w:t>= HC 99.485, rel. min. Cármen Lúcia, j. 9-11-2010, 1ª T, DJE de 25-11-2010 A prova emprestada, especialmente no processo penal condenatório, tem valor precário, quando produzida sem observância do princípio constitucional do contraditório. Embora admissível, é questionável a sua eficácia jurídica. Inocorre, contudo, cerceamento de defesa, se, inobstante a existência de prova testemunhal emprestada, não foi ela a única a fundamentar a sentença de pronúncia.</w:t>
      </w:r>
    </w:p>
    <w:p>
      <w:pPr>
        <w:ind w:left="288"/>
      </w:pPr>
      <w:r>
        <w:rPr>
          <w:b/>
          <w:color w:val="003CA0"/>
          <w:sz w:val="16"/>
        </w:rPr>
        <w:t>[HC 67.707, rel. min. Celso de Mello, j. 7-11-1989, 1ª T, DJ de 14-8-1992.]</w:t>
      </w:r>
    </w:p>
    <w:p>
      <w:pPr>
        <w:ind w:left="288"/>
      </w:pPr>
      <w:r>
        <w:rPr>
          <w:color w:val="8C8C8C"/>
          <w:sz w:val="12"/>
        </w:rPr>
        <w:t>cf-art-5-inc-L</w:t>
      </w:r>
      <w:r>
        <w:rPr>
          <w:color w:val="003CA0"/>
          <w:sz w:val="12"/>
        </w:rPr>
        <w:t xml:space="preserve"> | RHC 106.398</w:t>
      </w:r>
      <w:r>
        <w:rPr>
          <w:color w:val="003CA0"/>
          <w:sz w:val="12"/>
        </w:rPr>
        <w:t xml:space="preserve"> | rel. Celso de Mello</w:t>
      </w:r>
    </w:p>
    <w:p>
      <w:pPr>
        <w:ind w:left="288"/>
      </w:pPr>
      <w:r>
        <w:rPr>
          <w:color w:val="1E1E1E"/>
          <w:sz w:val="18"/>
        </w:rPr>
        <w:t>= RHC 106.398, rel. min. Celso de Mello, j. 4-10-2011, 2ª T, DJE de 3-4-2012 = HC 95.186, rel. min. Ricardo Lewandowski, j. 26-5-2009, 1ª T, DJE de 12-6-2009 LVI - são inadmissíveis, no processo, as provas obtidas por meios ilícitos; Provas obtidas pelo Ministério Público por requisição de relatórios de inteligência financeira ou de procedimentos fiscalizatórios da Receita, sem autorização judicial e/ou sem a prévia instauração de procedimento de investigação formal.</w:t>
      </w:r>
    </w:p>
    <w:p>
      <w:pPr>
        <w:ind w:left="288"/>
      </w:pPr>
      <w:r>
        <w:rPr>
          <w:b/>
          <w:color w:val="003CA0"/>
          <w:sz w:val="16"/>
        </w:rPr>
        <w:t>[RE 1.537.165 RG, rel. min. Luís Roberto Barroso, j. 06.06.2025, P, DJE de 24.06.2025, Tema 1.404, com mérito pendente.]</w:t>
      </w:r>
    </w:p>
    <w:p>
      <w:pPr>
        <w:ind w:left="288"/>
      </w:pPr>
      <w:r>
        <w:rPr>
          <w:color w:val="8C8C8C"/>
          <w:sz w:val="12"/>
        </w:rPr>
        <w:t>cf-art-5-inc-L</w:t>
      </w:r>
      <w:r>
        <w:rPr>
          <w:color w:val="003CA0"/>
          <w:sz w:val="12"/>
        </w:rPr>
        <w:t xml:space="preserve"> | RE 1.501.524</w:t>
      </w:r>
      <w:r>
        <w:rPr>
          <w:color w:val="003CA0"/>
          <w:sz w:val="12"/>
        </w:rPr>
        <w:t xml:space="preserve"> | rel. Flávio Dino</w:t>
      </w:r>
    </w:p>
    <w:p>
      <w:pPr>
        <w:ind w:left="288"/>
      </w:pPr>
      <w:r>
        <w:rPr>
          <w:color w:val="1E1E1E"/>
          <w:sz w:val="18"/>
        </w:rPr>
        <w:t>Possibilidade de a pronúncia, e consequente submissão ao Tribunal do Júri, poder ser realizada a partir de testemunhos de “ouvir dizer” e se essa prova é lícita e valorável pelos juízes.</w:t>
      </w:r>
    </w:p>
    <w:p>
      <w:pPr>
        <w:ind w:left="288"/>
      </w:pPr>
      <w:r>
        <w:rPr>
          <w:b/>
          <w:color w:val="003CA0"/>
          <w:sz w:val="16"/>
        </w:rPr>
        <w:t>[RE 1.501.524 RG, rel. min. Flávio Dino, j. 06.05.2025, P, DJE de 09.05.2025, Tema 1.392, com mérito pendente.]</w:t>
      </w:r>
    </w:p>
    <w:p>
      <w:pPr>
        <w:ind w:left="288"/>
      </w:pPr>
      <w:r>
        <w:rPr>
          <w:color w:val="8C8C8C"/>
          <w:sz w:val="12"/>
        </w:rPr>
        <w:t>cf-art-5-inc-L</w:t>
      </w:r>
      <w:r>
        <w:rPr>
          <w:color w:val="003CA0"/>
          <w:sz w:val="12"/>
        </w:rPr>
        <w:t xml:space="preserve"> | ARE 959.620</w:t>
      </w:r>
      <w:r>
        <w:rPr>
          <w:color w:val="003CA0"/>
          <w:sz w:val="12"/>
        </w:rPr>
        <w:t xml:space="preserve"> | rel. Edson Fachin</w:t>
      </w:r>
    </w:p>
    <w:p>
      <w:pPr>
        <w:ind w:left="288"/>
      </w:pPr>
      <w:r>
        <w:rPr>
          <w:color w:val="1E1E1E"/>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w:t>
      </w:r>
    </w:p>
    <w:p>
      <w:pPr>
        <w:ind w:left="288"/>
      </w:pPr>
      <w:r>
        <w:rPr>
          <w:b/>
          <w:color w:val="003CA0"/>
          <w:sz w:val="16"/>
        </w:rPr>
        <w:t>[ARE 959.620, rel. min. Edson Fachin, j. 02.04.2025, P, DJE de 02.07.2025, Tema 998, com mérito julgado.]</w:t>
      </w:r>
    </w:p>
    <w:p>
      <w:pPr>
        <w:ind w:left="288"/>
      </w:pPr>
      <w:r>
        <w:rPr>
          <w:color w:val="8C8C8C"/>
          <w:sz w:val="12"/>
        </w:rPr>
        <w:t>cf-art-5-inc-L</w:t>
      </w:r>
      <w:r>
        <w:rPr>
          <w:color w:val="003CA0"/>
          <w:sz w:val="12"/>
        </w:rPr>
        <w:t xml:space="preserve"> | ARE 1.467.470</w:t>
      </w:r>
      <w:r>
        <w:rPr>
          <w:color w:val="003CA0"/>
          <w:sz w:val="12"/>
        </w:rPr>
        <w:t xml:space="preserve"> | rel. Luís Roberto Barroso</w:t>
      </w:r>
    </w:p>
    <w:p>
      <w:pPr>
        <w:ind w:left="288"/>
      </w:pPr>
      <w:r>
        <w:rPr>
          <w:color w:val="1E1E1E"/>
          <w:sz w:val="18"/>
        </w:rPr>
        <w:t>Validade do reconhecimento pessoal realizado em desconformidade com o art. 226 do Código de Processo Penal.</w:t>
      </w:r>
    </w:p>
    <w:p>
      <w:pPr>
        <w:ind w:left="288"/>
      </w:pPr>
      <w:r>
        <w:rPr>
          <w:b/>
          <w:color w:val="003CA0"/>
          <w:sz w:val="16"/>
        </w:rPr>
        <w:t>[ARE 1.467.470 RG, rel. min. Luís Roberto Barroso, j. 28.2.2025, P, DJE de 7.3.2025, Tema 1.380, com mérito pendente.]</w:t>
      </w:r>
    </w:p>
    <w:p>
      <w:pPr>
        <w:ind w:left="288"/>
      </w:pPr>
      <w:r>
        <w:rPr>
          <w:color w:val="8C8C8C"/>
          <w:sz w:val="12"/>
        </w:rPr>
        <w:t>cf-art-5-inc-L</w:t>
      </w:r>
      <w:r>
        <w:rPr>
          <w:color w:val="003CA0"/>
          <w:sz w:val="12"/>
        </w:rPr>
        <w:t xml:space="preserve"> | RE 1.040.515</w:t>
      </w:r>
      <w:r>
        <w:rPr>
          <w:color w:val="003CA0"/>
          <w:sz w:val="12"/>
        </w:rPr>
        <w:t xml:space="preserve"> | rel. Dias Toffoli</w:t>
      </w:r>
    </w:p>
    <w:p>
      <w:pPr>
        <w:ind w:left="288"/>
      </w:pPr>
      <w:r>
        <w:rPr>
          <w:color w:val="1E1E1E"/>
          <w:sz w:val="18"/>
        </w:rPr>
        <w:t>No processo eleitoral, é ilícita a prova colhida por meio de gravação ambiental clandestina, sem autorização judicial e com violação da privacidade e da intimidade dos interlocutores, ainda que realizada por um dos participantes, sem o conhecimento dos demais. b) A exceção à regra da ilicitude da gravação ambiental feita sem o conhecimento de um dos interlocutores e sem autorização judicial ocorre na hipótese de registro de fato ocorrido em local público desprovido de qualquer controle de acesso, pois, nesse caso, não há violação da intimidade ou quebra da expectativa de privacidade.</w:t>
      </w:r>
    </w:p>
    <w:p>
      <w:pPr>
        <w:ind w:left="288"/>
      </w:pPr>
      <w:r>
        <w:rPr>
          <w:b/>
          <w:color w:val="003CA0"/>
          <w:sz w:val="16"/>
        </w:rPr>
        <w:t>[RE 1.040.515, rel. min. Dias Toffoli, j. 29.04.2024, P, DJE de 24.06.2024, Tema 979, com mérito julgado.]</w:t>
      </w:r>
    </w:p>
    <w:p>
      <w:pPr>
        <w:ind w:left="288"/>
      </w:pPr>
      <w:r>
        <w:rPr>
          <w:color w:val="8C8C8C"/>
          <w:sz w:val="12"/>
        </w:rPr>
        <w:t>cf-art-5-inc-L</w:t>
      </w:r>
      <w:r>
        <w:rPr>
          <w:color w:val="003CA0"/>
          <w:sz w:val="12"/>
        </w:rPr>
        <w:t xml:space="preserve"> | RE 1.116.949</w:t>
      </w:r>
      <w:r>
        <w:rPr>
          <w:color w:val="003CA0"/>
          <w:sz w:val="12"/>
        </w:rPr>
        <w:t xml:space="preserve"> | rel. Edson Fachin</w:t>
      </w:r>
    </w:p>
    <w:p>
      <w:pPr>
        <w:ind w:left="288"/>
      </w:pPr>
      <w:r>
        <w:rPr>
          <w:color w:val="1E1E1E"/>
          <w:sz w:val="18"/>
        </w:rPr>
        <w:t>(1) Sem autorização judicial ou fora das hipóteses legais, é ilícita a prova obtida mediante abertura de carta, telegrama, pacote ou meio análogo, salvo se ocorrida em estabelecimento penitenciário, quando houver fundados indícios da prática de atividades ilícitas; (2) Em relação a abertura de encomenda postada nos Correios, a prova obtida somente será lícita quando houver fundados indícios da prática de atividade ilícita, formalizando-se as providências adotadas para fins de controle administrativo ou judicial.</w:t>
      </w:r>
    </w:p>
    <w:p>
      <w:pPr>
        <w:ind w:left="288"/>
      </w:pPr>
      <w:r>
        <w:rPr>
          <w:b/>
          <w:color w:val="003CA0"/>
          <w:sz w:val="16"/>
        </w:rPr>
        <w:t>[RE 1.116.949 ED, rel. min. Edson Fachin, j. 30.11.2023, P, DJE de 24.05.2024, Tema 1.041, com mérito julgado.]</w:t>
      </w:r>
    </w:p>
    <w:p>
      <w:pPr>
        <w:ind w:left="288"/>
      </w:pPr>
      <w:r>
        <w:rPr>
          <w:color w:val="8C8C8C"/>
          <w:sz w:val="12"/>
        </w:rPr>
        <w:t>cf-art-5-inc-L</w:t>
      </w:r>
      <w:r>
        <w:rPr>
          <w:color w:val="003CA0"/>
          <w:sz w:val="12"/>
        </w:rPr>
        <w:t xml:space="preserve"> | RE 1.316.369</w:t>
      </w:r>
      <w:r>
        <w:rPr>
          <w:color w:val="003CA0"/>
          <w:sz w:val="12"/>
        </w:rPr>
        <w:t xml:space="preserve"> | rel. Edson Fachin</w:t>
      </w:r>
    </w:p>
    <w:p>
      <w:pPr>
        <w:ind w:left="288"/>
      </w:pPr>
      <w:r>
        <w:rPr>
          <w:color w:val="1E1E1E"/>
          <w:sz w:val="18"/>
        </w:rPr>
        <w:t>“São inadmissíveis, em processos administrativos de qualquer espécie, provas consideradas ilícitas pelo Poder Judiciário.”</w:t>
      </w:r>
    </w:p>
    <w:p>
      <w:pPr>
        <w:ind w:left="288"/>
      </w:pPr>
      <w:r>
        <w:rPr>
          <w:b/>
          <w:color w:val="003CA0"/>
          <w:sz w:val="16"/>
        </w:rPr>
        <w:t>[RE 1.316.369, rel. min. Edson Fachin, red. do ac. min. Gilmar Mendes, j. 9-12-2022, P, DJE de 22-3-2023, Tema 1.238, com mérito julgado.]</w:t>
      </w:r>
    </w:p>
    <w:p>
      <w:pPr>
        <w:ind w:left="288"/>
      </w:pPr>
      <w:r>
        <w:rPr>
          <w:color w:val="8C8C8C"/>
          <w:sz w:val="12"/>
        </w:rPr>
        <w:t>cf-art-5-inc-L</w:t>
      </w:r>
      <w:r>
        <w:rPr>
          <w:color w:val="003CA0"/>
          <w:sz w:val="12"/>
        </w:rPr>
        <w:t xml:space="preserve"> | RE 583.937</w:t>
      </w:r>
      <w:r>
        <w:rPr>
          <w:color w:val="003CA0"/>
          <w:sz w:val="12"/>
        </w:rPr>
        <w:t xml:space="preserve"> | rel. Cezar Peluso</w:t>
      </w:r>
    </w:p>
    <w:p>
      <w:pPr>
        <w:ind w:left="288"/>
      </w:pPr>
      <w:r>
        <w:rPr>
          <w:color w:val="1E1E1E"/>
          <w:sz w:val="18"/>
        </w:rPr>
        <w:t>É lícita a prova consistente em gravação ambiental realizada por um dos interlocutores sem o conhecimento do outro.</w:t>
      </w:r>
    </w:p>
    <w:p>
      <w:pPr>
        <w:ind w:left="288"/>
      </w:pPr>
      <w:r>
        <w:rPr>
          <w:b/>
          <w:color w:val="003CA0"/>
          <w:sz w:val="16"/>
        </w:rPr>
        <w:t>[RE 583.937 QO-RG, rel. min. Cezar Peluso, j. 19-11-2009, P, DJE de 18-12-2009, Tema 237, com mérito julgado.]</w:t>
      </w:r>
    </w:p>
    <w:p>
      <w:pPr>
        <w:ind w:left="288"/>
      </w:pPr>
      <w:r>
        <w:rPr>
          <w:color w:val="8C8C8C"/>
          <w:sz w:val="12"/>
        </w:rPr>
        <w:t>cf-art-5-inc-L</w:t>
      </w:r>
      <w:r>
        <w:rPr>
          <w:color w:val="003CA0"/>
          <w:sz w:val="12"/>
        </w:rPr>
        <w:t xml:space="preserve"> | HC 129.678</w:t>
      </w:r>
    </w:p>
    <w:p>
      <w:pPr>
        <w:ind w:left="288"/>
      </w:pPr>
      <w:r>
        <w:rPr>
          <w:color w:val="1E1E1E"/>
          <w:sz w:val="18"/>
        </w:rPr>
        <w:t>O “crime achado”, ou seja, a infração penal desconhecida e, portanto, até aquele momento não investigada, sempre deve ser cuidadosamente analisada para que não se relativize em excesso o inciso XII do art. 5º da CF. A prova obtida mediante interceptação telefônica, quando referente a infração penal diversa da investigada, deve ser considerada lícita se presentes os requisitos constitucionais e legais.</w:t>
      </w:r>
    </w:p>
    <w:p>
      <w:pPr>
        <w:ind w:left="288"/>
      </w:pPr>
      <w:r>
        <w:rPr>
          <w:b/>
          <w:color w:val="003CA0"/>
          <w:sz w:val="16"/>
        </w:rPr>
        <w:t>[HC 129.678, red. do ac. min. Alexandre de Moraes, j. 13-6-2017, 1ª T, DJE de 18-8-2017.]</w:t>
      </w:r>
    </w:p>
    <w:p>
      <w:pPr>
        <w:ind w:left="288"/>
      </w:pPr>
      <w:r>
        <w:rPr>
          <w:color w:val="8C8C8C"/>
          <w:sz w:val="12"/>
        </w:rPr>
        <w:t>cf-art-5-inc-L</w:t>
      </w:r>
      <w:r>
        <w:rPr>
          <w:color w:val="003CA0"/>
          <w:sz w:val="12"/>
        </w:rPr>
        <w:t xml:space="preserve"> | RHC 135.683</w:t>
      </w:r>
      <w:r>
        <w:rPr>
          <w:color w:val="003CA0"/>
          <w:sz w:val="12"/>
        </w:rPr>
        <w:t xml:space="preserve"> | rel. Dias Toffoli</w:t>
      </w:r>
    </w:p>
    <w:p>
      <w:pPr>
        <w:ind w:left="288"/>
      </w:pPr>
      <w:r>
        <w:rPr>
          <w:color w:val="1E1E1E"/>
          <w:sz w:val="18"/>
        </w:rPr>
        <w:t>Interceptações telefônicas realizadas em primeiro grau de jurisdição. Operação Vegas. Surgimento de indícios do envolvimento de senador da República, detentor de prerrogativa de foro, em fatos criminosos em apuração. Competência do STF para processar e julgar originariamente a causa (...). Necessidade de imediata remessa dos autos à Corte. Não ocorrência. Usurpação de sua competência constitucional configurada. Prosseguimento das investigações em primeiro grau. Tentativa de arrecadar maiores elementos de informação por via oblíqua sem a autorização do STF. Violação do princípio do juiz natural</w:t>
      </w:r>
    </w:p>
    <w:p>
      <w:pPr>
        <w:ind w:left="288"/>
      </w:pPr>
      <w:r>
        <w:rPr>
          <w:b/>
          <w:color w:val="003CA0"/>
          <w:sz w:val="16"/>
        </w:rPr>
        <w:t>[RHC 135.683, rel. min. Dias Toffoli, j. 25-10-2016, 2ª T, DJE de 3-4-2017.]</w:t>
      </w:r>
    </w:p>
    <w:p>
      <w:pPr>
        <w:ind w:left="288"/>
      </w:pPr>
      <w:r>
        <w:rPr>
          <w:color w:val="8C8C8C"/>
          <w:sz w:val="12"/>
        </w:rPr>
        <w:t>cf-art-5-inc-L</w:t>
      </w:r>
      <w:r>
        <w:rPr>
          <w:color w:val="003CA0"/>
          <w:sz w:val="12"/>
        </w:rPr>
        <w:t xml:space="preserve"> | MS 33.751</w:t>
      </w:r>
    </w:p>
    <w:p>
      <w:pPr>
        <w:ind w:left="288"/>
      </w:pPr>
      <w:r>
        <w:rPr>
          <w:color w:val="1E1E1E"/>
          <w:sz w:val="18"/>
        </w:rPr>
        <w:t>As provas produzidas em contexto internacional, na hipótese em que amplamente disponíveis ao público em geral, como no caso de publicação na rede mundial de computadores, podem ser utilizadas em âmbito interno. Tratados de cooperação internacional têm como supedâneo a desburocratização da colheita da prova, de modo que, salvo proteção de interesse específico ou disposição expressa em sentido contrário, tais acordos não merecem aplicação, por ausência de interesse público, se consubstanciarem indevido obstáculo à apuração parlamentar.</w:t>
      </w:r>
    </w:p>
    <w:p>
      <w:pPr>
        <w:ind w:left="288"/>
      </w:pPr>
      <w:r>
        <w:rPr>
          <w:b/>
          <w:color w:val="003CA0"/>
          <w:sz w:val="16"/>
        </w:rPr>
        <w:t>[MS 33.751, red. do ac. min. Edson Fachin, j. 15-12-2015, 1ª T, DJE de 31-3-2016.]</w:t>
      </w:r>
    </w:p>
    <w:p>
      <w:pPr>
        <w:ind w:left="288"/>
      </w:pPr>
      <w:r>
        <w:rPr>
          <w:color w:val="8C8C8C"/>
          <w:sz w:val="12"/>
        </w:rPr>
        <w:t>cf-art-5-inc-L</w:t>
      </w:r>
      <w:r>
        <w:rPr>
          <w:color w:val="003CA0"/>
          <w:sz w:val="12"/>
        </w:rPr>
        <w:t xml:space="preserve"> | HC 91.867</w:t>
      </w:r>
      <w:r>
        <w:rPr>
          <w:color w:val="003CA0"/>
          <w:sz w:val="12"/>
        </w:rPr>
        <w:t xml:space="preserve"> | rel. Gilmar Mendes</w:t>
      </w:r>
    </w:p>
    <w:p>
      <w:pPr>
        <w:ind w:left="288"/>
      </w:pPr>
      <w:r>
        <w:rPr>
          <w:color w:val="1E1E1E"/>
          <w:sz w:val="18"/>
        </w:rPr>
        <w:t xml:space="preserve">Art. 6º do CPP: dever da autoridade policial de proceder à coleta do material comprobatório da prática da infração penal. Ao proceder à pesquisa na agenda eletrônica dos aparelhos devidamente apreendidos, meio material indireto de prova, a autoridade policial, cumprindo o seu mister, buscou, unicamente, colher elementos de informação hábeis a esclarecer a autoria e a materialidade do delito (dessa análise logrou encontrar ligações entre o executor do homicídio e o ora paciente). Verificação que permitiu a orientação inicial da linha investigatória a ser adotada, bem como possibilitou concluir </w:t>
      </w:r>
    </w:p>
    <w:p>
      <w:pPr>
        <w:ind w:left="288"/>
      </w:pPr>
      <w:r>
        <w:rPr>
          <w:b/>
          <w:color w:val="003CA0"/>
          <w:sz w:val="16"/>
        </w:rPr>
        <w:t>[HC 91.867, rel. min. Gilmar Mendes, j. 24-4-2012, 2ª T, DJE de 20-9-2012.]</w:t>
      </w:r>
    </w:p>
    <w:p>
      <w:pPr>
        <w:ind w:left="288"/>
      </w:pPr>
      <w:r>
        <w:rPr>
          <w:color w:val="8C8C8C"/>
          <w:sz w:val="12"/>
        </w:rPr>
        <w:t>cf-art-5-inc-L</w:t>
      </w:r>
      <w:r>
        <w:rPr>
          <w:color w:val="003CA0"/>
          <w:sz w:val="12"/>
        </w:rPr>
        <w:t xml:space="preserve"> | HC 93.050</w:t>
      </w:r>
      <w:r>
        <w:rPr>
          <w:color w:val="003CA0"/>
          <w:sz w:val="12"/>
        </w:rPr>
        <w:t xml:space="preserve"> | rel. Celso de Mello</w:t>
      </w:r>
    </w:p>
    <w:p>
      <w:pPr>
        <w:ind w:left="288"/>
      </w:pPr>
      <w:r>
        <w:rPr>
          <w:color w:val="1E1E1E"/>
          <w:sz w:val="18"/>
        </w:rPr>
        <w:t xml:space="preserve">Vide HC 93.050, rel. min. Celso de Mello, j. 10-6-2008, 2ª T, DJE de 1º-8-2008 (...) imperioso concluir que a mera alusão ao "requerimento" do Parquet e/ou da autoridade policial não se mostra suficiente para legitimar a quebra dos sigilos telefônico e bancário dos pacientes. A referência – argumento de autoridade – não passa pelo crivo da proporcionalidade, na medida em que não apresenta motivação idônea para fazer ceder a essa situação excepcional de ruptura da esfera da intimidade de quem se encontra sob investigação. Na espécie, em momento algum, o magistrado de primeiro grau aponta fatos </w:t>
      </w:r>
    </w:p>
    <w:p>
      <w:pPr>
        <w:ind w:left="288"/>
      </w:pPr>
      <w:r>
        <w:rPr>
          <w:b/>
          <w:color w:val="003CA0"/>
          <w:sz w:val="16"/>
        </w:rPr>
        <w:t>[HC 96.056, voto do min. Gilmar Mendes, j. 28-6-2011, 2ª T, DJE de 8-5-2012.]</w:t>
      </w:r>
    </w:p>
    <w:p>
      <w:pPr>
        <w:ind w:left="288"/>
      </w:pPr>
      <w:r>
        <w:rPr>
          <w:color w:val="8C8C8C"/>
          <w:sz w:val="12"/>
        </w:rPr>
        <w:t>cf-art-5-inc-L</w:t>
      </w:r>
      <w:r>
        <w:rPr>
          <w:color w:val="003CA0"/>
          <w:sz w:val="12"/>
        </w:rPr>
        <w:t xml:space="preserve"> | HC 91.883</w:t>
      </w:r>
      <w:r>
        <w:rPr>
          <w:color w:val="003CA0"/>
          <w:sz w:val="12"/>
        </w:rPr>
        <w:t xml:space="preserve"> | rel. Ellen Gracie</w:t>
      </w:r>
    </w:p>
    <w:p>
      <w:pPr>
        <w:ind w:left="288"/>
      </w:pPr>
      <w:r>
        <w:rPr>
          <w:color w:val="1E1E1E"/>
          <w:sz w:val="18"/>
        </w:rPr>
        <w:t>Vide HC 91.883, rel. min. Ellen Gracie, j. 24-6-2008, 2ª T, DJE de 22-8-2008 Vide HC 94.164, rel. min. Ricardo Lewandowski, j. 17-6-2008, 1ª T, DJE de 22-8-2008 Vide HC 93.748, rel. min. Cármen Lúcia, j. 1º-4-2008, 1ª T, DJE de 25-4-2008 As referências às escutas telefônicas empreendidas sem autorização judicial, por ilícitas, devem ser desentranhadas dos autos, na esteira do que determina o inciso LVI do art. 5º da Constituição da República. (...) Eventuais deficiências qualitativas na tradução do material degravado não invalidam a prova regularmente colhida, devendo o tema ser tratado no cur</w:t>
      </w:r>
    </w:p>
    <w:p>
      <w:pPr>
        <w:ind w:left="288"/>
      </w:pPr>
      <w:r>
        <w:rPr>
          <w:b/>
          <w:color w:val="003CA0"/>
          <w:sz w:val="16"/>
        </w:rPr>
        <w:t>[HC 106.244, rel. min. Cármen Lúcia, j. 17-5-2011, 1ª T, DJE de 19-8-2011.]</w:t>
      </w:r>
    </w:p>
    <w:p>
      <w:pPr>
        <w:ind w:left="288"/>
      </w:pPr>
      <w:r>
        <w:rPr>
          <w:color w:val="8C8C8C"/>
          <w:sz w:val="12"/>
        </w:rPr>
        <w:t>cf-art-5-inc-L</w:t>
      </w:r>
      <w:r>
        <w:rPr>
          <w:color w:val="003CA0"/>
          <w:sz w:val="12"/>
        </w:rPr>
        <w:t xml:space="preserve"> | HC 82.862</w:t>
      </w:r>
      <w:r>
        <w:rPr>
          <w:color w:val="003CA0"/>
          <w:sz w:val="12"/>
        </w:rPr>
        <w:t xml:space="preserve"> | rel. Cezar Peluso</w:t>
      </w:r>
    </w:p>
    <w:p>
      <w:pPr>
        <w:ind w:left="288"/>
      </w:pPr>
      <w:r>
        <w:rPr>
          <w:color w:val="1E1E1E"/>
          <w:sz w:val="18"/>
        </w:rPr>
        <w:t>Vide HC 82.862, rel. min. Cezar Peluso, j. 19-2-2008, 2ª T, DJE de 13-6-2008 O reconhecimento da ilicitude da interceptação telefônica, empreendida anteriormente ao lançamento definitivo do tributo, não inibe a instauração de outras ações penais contra o paciente por crimes de natureza diversa daquele contra a ordem tributária, desde que sejam apresentados outros elementos probatórios.</w:t>
      </w:r>
    </w:p>
    <w:p>
      <w:pPr>
        <w:ind w:left="288"/>
      </w:pPr>
      <w:r>
        <w:rPr>
          <w:b/>
          <w:color w:val="003CA0"/>
          <w:sz w:val="16"/>
        </w:rPr>
        <w:t>[HC 106.271, rel. min. Cármen Lúcia, j. 12-4-2011, 1ª T, DJE de 6-5-2011.]</w:t>
      </w:r>
    </w:p>
    <w:p>
      <w:pPr>
        <w:ind w:left="288"/>
      </w:pPr>
      <w:r>
        <w:rPr>
          <w:color w:val="8C8C8C"/>
          <w:sz w:val="12"/>
        </w:rPr>
        <w:t>cf-art-5-inc-L</w:t>
      </w:r>
      <w:r>
        <w:rPr>
          <w:color w:val="003CA0"/>
          <w:sz w:val="12"/>
        </w:rPr>
        <w:t xml:space="preserve"> | AI 626.214</w:t>
      </w:r>
      <w:r>
        <w:rPr>
          <w:color w:val="003CA0"/>
          <w:sz w:val="12"/>
        </w:rPr>
        <w:t xml:space="preserve"> | rel. Joaquim Barbosa</w:t>
      </w:r>
    </w:p>
    <w:p>
      <w:pPr>
        <w:ind w:left="288"/>
      </w:pPr>
      <w:r>
        <w:rPr>
          <w:color w:val="1E1E1E"/>
          <w:sz w:val="18"/>
        </w:rPr>
        <w:t>Encontro fortuito de prova da prática de crime punido com detenção. (...) O STF, como intérprete maior da Constituição da República, considerou compatível com o art. 5º, XII e LVI, o uso de prova obtida fortuitamente através de interceptação telefônica licitamente conduzida, ainda que o crime descoberto, conexo ao que foi objeto da interceptação, seja punido com detenção.</w:t>
      </w:r>
    </w:p>
    <w:p>
      <w:pPr>
        <w:ind w:left="288"/>
      </w:pPr>
      <w:r>
        <w:rPr>
          <w:b/>
          <w:color w:val="003CA0"/>
          <w:sz w:val="16"/>
        </w:rPr>
        <w:t>[AI 626.214 AgR, rel. min. Joaquim Barbosa, j. 21-9-2010, 2ª T, DJE de 8-10-2010.]</w:t>
      </w:r>
    </w:p>
    <w:p>
      <w:pPr>
        <w:ind w:left="288"/>
      </w:pPr>
      <w:r>
        <w:rPr>
          <w:color w:val="8C8C8C"/>
          <w:sz w:val="12"/>
        </w:rPr>
        <w:t>cf-art-5-inc-L</w:t>
      </w:r>
      <w:r>
        <w:rPr>
          <w:color w:val="003CA0"/>
          <w:sz w:val="12"/>
        </w:rPr>
        <w:t xml:space="preserve"> | HC 83.515</w:t>
      </w:r>
      <w:r>
        <w:rPr>
          <w:color w:val="003CA0"/>
          <w:sz w:val="12"/>
        </w:rPr>
        <w:t xml:space="preserve"> | rel. Nelson Jobim</w:t>
      </w:r>
    </w:p>
    <w:p>
      <w:pPr>
        <w:ind w:left="288"/>
      </w:pPr>
      <w:r>
        <w:rPr>
          <w:color w:val="1E1E1E"/>
          <w:sz w:val="18"/>
        </w:rPr>
        <w:t>= HC 83.515, rel. min. Nelson Jobim, j. 16-9-2004, P, DJ de 4-3-2005 Vide HC 102.304, rel. min. Cármen Lúcia, j. 25-5-2010, 1ª T, DJE de 25-5-2011 Interceptação realizada em linha telefônica do corréu que captou diálogo entre este e o ora paciente, mediante autorização judicial. Prova lícita que pode ser utilizada para subsidiar ação penal, sem contrariedade ao art. 5º, XII, LIV, LV e LVI, da Constituição da República.</w:t>
      </w:r>
    </w:p>
    <w:p>
      <w:pPr>
        <w:ind w:left="288"/>
      </w:pPr>
      <w:r>
        <w:rPr>
          <w:b/>
          <w:color w:val="003CA0"/>
          <w:sz w:val="16"/>
        </w:rPr>
        <w:t>[HC 102.304, rel. min. Cármen Lúcia, j. 25-5-2010, 1ª T, DJE de 25-5-2011.]</w:t>
      </w:r>
    </w:p>
    <w:p>
      <w:pPr>
        <w:ind w:left="288"/>
      </w:pPr>
      <w:r>
        <w:rPr>
          <w:color w:val="8C8C8C"/>
          <w:sz w:val="12"/>
        </w:rPr>
        <w:t>cf-art-5-inc-L</w:t>
      </w:r>
      <w:r>
        <w:rPr>
          <w:color w:val="003CA0"/>
          <w:sz w:val="12"/>
        </w:rPr>
        <w:t xml:space="preserve"> | AI 626.214</w:t>
      </w:r>
      <w:r>
        <w:rPr>
          <w:color w:val="003CA0"/>
          <w:sz w:val="12"/>
        </w:rPr>
        <w:t xml:space="preserve"> | rel. Joaquim Barbosa</w:t>
      </w:r>
    </w:p>
    <w:p>
      <w:pPr>
        <w:ind w:left="288"/>
      </w:pPr>
      <w:r>
        <w:rPr>
          <w:color w:val="1E1E1E"/>
          <w:sz w:val="18"/>
        </w:rPr>
        <w:t>Vide AI 626.214 AgR, rel. min. Joaquim Barbosa, j. 21-9-2010, 2ª T, DJE de 8-10-2010 A gravação de conversa telefônica feita por um dos interlocutores, sem conhecimento do outro, quando ausente causa legal de sigilo ou de reserva da conversação não é considerada prova ilícita.</w:t>
      </w:r>
    </w:p>
    <w:p>
      <w:pPr>
        <w:ind w:left="288"/>
      </w:pPr>
      <w:r>
        <w:rPr>
          <w:b/>
          <w:color w:val="003CA0"/>
          <w:sz w:val="16"/>
        </w:rPr>
        <w:t>[AI 578.858 AgR, rel. min. Ellen Gracie, j. 4-8-2009, 2ª T, DJE de 28-8-2009.]</w:t>
      </w:r>
    </w:p>
    <w:p>
      <w:pPr>
        <w:ind w:left="288"/>
      </w:pPr>
      <w:r>
        <w:rPr>
          <w:color w:val="8C8C8C"/>
          <w:sz w:val="12"/>
        </w:rPr>
        <w:t>cf-art-5-inc-L</w:t>
      </w:r>
      <w:r>
        <w:rPr>
          <w:color w:val="003CA0"/>
          <w:sz w:val="12"/>
        </w:rPr>
        <w:t xml:space="preserve"> | RE 630.944</w:t>
      </w:r>
      <w:r>
        <w:rPr>
          <w:color w:val="003CA0"/>
          <w:sz w:val="12"/>
        </w:rPr>
        <w:t xml:space="preserve"> | rel. Ayres Britto</w:t>
      </w:r>
    </w:p>
    <w:p>
      <w:pPr>
        <w:ind w:left="288"/>
      </w:pPr>
      <w:r>
        <w:rPr>
          <w:color w:val="1E1E1E"/>
          <w:sz w:val="18"/>
        </w:rPr>
        <w:t>= RE 630.944 AgR, rel. min. Ayres Britto, j. 25-10-2011, 2ª T, DJE de 19-12-2011 Vide RE 453.562 AgR, rel. min. Joaquim Barbosa, j. 23-9-2008, 2ª T, DJE de 28-11-2008 Nada impede a remessa à PGR, para fins de instrução de outros procedimentos, de cópias de documentos que instruíram ação penal extinta, desde que respeitado Acordo Internacional de cooperação judicial. Após a extinção da ação, resta sem sentido discutir eventual ilicitude na obtenção das provas documentais relativas ao caso, visto não mais ostentarem esta qualidade.</w:t>
      </w:r>
    </w:p>
    <w:p>
      <w:pPr>
        <w:ind w:left="288"/>
      </w:pPr>
      <w:r>
        <w:rPr>
          <w:b/>
          <w:color w:val="003CA0"/>
          <w:sz w:val="16"/>
        </w:rPr>
        <w:t>[AP 483 AgR-AgR, rel. min. Ricardo Lewandowski, j. 12-3-2009, P, DJE de 24-4-2009.]</w:t>
      </w:r>
    </w:p>
    <w:p>
      <w:pPr>
        <w:ind w:left="288"/>
      </w:pPr>
      <w:r>
        <w:rPr>
          <w:color w:val="8C8C8C"/>
          <w:sz w:val="12"/>
        </w:rPr>
        <w:t>cf-art-5-inc-L</w:t>
      </w:r>
      <w:r>
        <w:rPr>
          <w:color w:val="003CA0"/>
          <w:sz w:val="12"/>
        </w:rPr>
        <w:t xml:space="preserve"> | RE 453.562</w:t>
      </w:r>
      <w:r>
        <w:rPr>
          <w:color w:val="003CA0"/>
          <w:sz w:val="12"/>
        </w:rPr>
        <w:t xml:space="preserve"> | rel. Joaquim Barbosa</w:t>
      </w:r>
    </w:p>
    <w:p>
      <w:pPr>
        <w:ind w:left="288"/>
      </w:pPr>
      <w:r>
        <w:rPr>
          <w:color w:val="1E1E1E"/>
          <w:sz w:val="18"/>
        </w:rPr>
        <w:t>Alegação de ofensa ao art. 5°, XII, LIV e LVI, da CF. Recurso extraordinário que afirma a existência de interceptação telefônica ilícita porque efetivada por terceiros. Conversa gravada por um dos interlocutores. Precedentes do STF. Agravo regimental improvido. Alegação de existência de prova ilícita, porquanto a interceptação telefônica teria sido realizada sem autorização judicial. Não há interceptação telefônica quando a conversa é gravada por um dos interlocutores, ainda que com a ajuda de um repórter.</w:t>
      </w:r>
    </w:p>
    <w:p>
      <w:pPr>
        <w:ind w:left="288"/>
      </w:pPr>
      <w:r>
        <w:rPr>
          <w:b/>
          <w:color w:val="003CA0"/>
          <w:sz w:val="16"/>
        </w:rPr>
        <w:t>[RE 453.562 AgR, rel. min. Joaquim Barbosa, j. 23-9-2008, 2ª T, DJE de 28-11-2008.]</w:t>
      </w:r>
    </w:p>
    <w:p>
      <w:pPr>
        <w:ind w:left="288"/>
      </w:pPr>
      <w:r>
        <w:rPr>
          <w:color w:val="8C8C8C"/>
          <w:sz w:val="12"/>
        </w:rPr>
        <w:t>cf-art-5-inc-L</w:t>
      </w:r>
      <w:r>
        <w:rPr>
          <w:color w:val="003CA0"/>
          <w:sz w:val="12"/>
        </w:rPr>
        <w:t xml:space="preserve"> | AI 578.858</w:t>
      </w:r>
      <w:r>
        <w:rPr>
          <w:color w:val="003CA0"/>
          <w:sz w:val="12"/>
        </w:rPr>
        <w:t xml:space="preserve"> | rel. Ellen Gracie</w:t>
      </w:r>
    </w:p>
    <w:p>
      <w:pPr>
        <w:ind w:left="288"/>
      </w:pPr>
      <w:r>
        <w:rPr>
          <w:color w:val="1E1E1E"/>
          <w:sz w:val="18"/>
        </w:rPr>
        <w:t>Vide AI 578.858 AgR, rel. min. Ellen Gracie, j. 4-8-2009, 2ª T, DJE de 28-8-2009 Ilicitude da prova. Inadmissibilidade de sua produção em juízo (ou perante qualquer instância de poder). Inidoneidade jurídica da prova resultante de transgressão estatal ao regime constitucional dos direitos e garantias individuais. A ação persecutória do Estado, qualquer que seja a instância de poder perante a qual se instaure, para revestir-se de legitimidade, não pode apoiar-se em elementos probatórios ilicitamente obtidos, sob pena de ofensa à garantia constitucional do due process of law, que tem, no dogma d</w:t>
      </w:r>
    </w:p>
    <w:p>
      <w:pPr>
        <w:ind w:left="288"/>
      </w:pPr>
      <w:r>
        <w:rPr>
          <w:b/>
          <w:color w:val="003CA0"/>
          <w:sz w:val="16"/>
        </w:rPr>
        <w:t>[HC 93.050, rel. min. Celso de Mello, j. 10-6-2008, 2ª T, DJE de 1º-8-2008.]</w:t>
      </w:r>
    </w:p>
    <w:p>
      <w:pPr>
        <w:ind w:left="288"/>
      </w:pPr>
      <w:r>
        <w:rPr>
          <w:color w:val="8C8C8C"/>
          <w:sz w:val="12"/>
        </w:rPr>
        <w:t>cf-art-5-inc-L</w:t>
      </w:r>
      <w:r>
        <w:rPr>
          <w:color w:val="003CA0"/>
          <w:sz w:val="12"/>
        </w:rPr>
        <w:t xml:space="preserve"> | AP 341</w:t>
      </w:r>
      <w:r>
        <w:rPr>
          <w:color w:val="003CA0"/>
          <w:sz w:val="12"/>
        </w:rPr>
        <w:t xml:space="preserve"> | rel. Marco Aurélio</w:t>
      </w:r>
    </w:p>
    <w:p>
      <w:pPr>
        <w:ind w:left="288"/>
      </w:pPr>
      <w:r>
        <w:rPr>
          <w:color w:val="1E1E1E"/>
          <w:sz w:val="18"/>
        </w:rPr>
        <w:t xml:space="preserve">= AP 341, rel. min. Marco Aurélio, j. 25-8-2015, 1ª T, DJE de 2-10-2015 = HC 90.094, rel. min. Eros Grau, j. 8-6-2010, 2ª T, DJE de 6-8-2010 Vide HC 91.867, rel. min. Gilmar Mendes, j. 24-4-2012, 2ª T, DJE de 20-9-2012 Prova ilícita. Ofensa ao art. 5º, LVI, da CF e aos arts. 152, parágrafo único, 153 e 154 do CP. Desentranhamento determinado (...) Não se admite, sob nenhum pretexto ou fundamento, a juntada, em autos de inquérito policial ou de ação penal, de cópias ou originais de documentos confidenciais de empresa, obtidos, sem autorização nem conhecimento desta, por ex-empregado, ainda que </w:t>
      </w:r>
    </w:p>
    <w:p>
      <w:pPr>
        <w:ind w:left="288"/>
      </w:pPr>
      <w:r>
        <w:rPr>
          <w:b/>
          <w:color w:val="003CA0"/>
          <w:sz w:val="16"/>
        </w:rPr>
        <w:t>[HC 82.862, rel. min. Cezar Peluso, j. 19-2-2008, 2ª T, DJE de 13-6-2008.]</w:t>
      </w:r>
    </w:p>
    <w:p>
      <w:pPr>
        <w:ind w:left="288"/>
      </w:pPr>
      <w:r>
        <w:rPr>
          <w:color w:val="8C8C8C"/>
          <w:sz w:val="12"/>
        </w:rPr>
        <w:t>cf-art-5-inc-L</w:t>
      </w:r>
      <w:r>
        <w:rPr>
          <w:color w:val="003CA0"/>
          <w:sz w:val="12"/>
        </w:rPr>
        <w:t xml:space="preserve"> | HC 106.244</w:t>
      </w:r>
      <w:r>
        <w:rPr>
          <w:color w:val="003CA0"/>
          <w:sz w:val="12"/>
        </w:rPr>
        <w:t xml:space="preserve"> | rel. Cármen Lúcia</w:t>
      </w:r>
    </w:p>
    <w:p>
      <w:pPr>
        <w:ind w:left="288"/>
      </w:pPr>
      <w:r>
        <w:rPr>
          <w:color w:val="1E1E1E"/>
          <w:sz w:val="18"/>
        </w:rPr>
        <w:t>Vide HC 106.244, rel. min. Cármen Lúcia, j. 17-5-2011, 1ª T, DJE de 19-8-2011 Prova emprestada. (...) Dados obtidos em interceptação de comunicações telefônicas e em escutas ambientais, judicialmente autorizadas para produção de prova em investigação criminal ou em instrução processual penal, podem ser usados em procedimento administrativo disciplinar, contra a mesma ou as mesmas pessoas em relação às quais foram colhidos, ou contra outros servidores cujos supostos ilícitos teriam despontado à colheita dessa prova.</w:t>
      </w:r>
    </w:p>
    <w:p>
      <w:pPr>
        <w:ind w:left="288"/>
      </w:pPr>
      <w:r>
        <w:rPr>
          <w:b/>
          <w:color w:val="003CA0"/>
          <w:sz w:val="16"/>
        </w:rPr>
        <w:t>[Inq 2.424 QO-QO, rel. min. Cezar Peluso, j. 20-6-2007, P, DJ de 24-8-2007.]</w:t>
      </w:r>
    </w:p>
    <w:p>
      <w:pPr>
        <w:ind w:left="288"/>
      </w:pPr>
      <w:r>
        <w:rPr>
          <w:color w:val="8C8C8C"/>
          <w:sz w:val="12"/>
        </w:rPr>
        <w:t>cf-art-5-inc-L</w:t>
      </w:r>
      <w:r>
        <w:rPr>
          <w:color w:val="003CA0"/>
          <w:sz w:val="12"/>
        </w:rPr>
        <w:t xml:space="preserve"> | RMS 28.774</w:t>
      </w:r>
      <w:r>
        <w:rPr>
          <w:color w:val="003CA0"/>
          <w:sz w:val="12"/>
        </w:rPr>
        <w:t xml:space="preserve"> | rel. Marco Aurélio</w:t>
      </w:r>
    </w:p>
    <w:p>
      <w:pPr>
        <w:ind w:left="288"/>
      </w:pPr>
      <w:r>
        <w:rPr>
          <w:color w:val="1E1E1E"/>
          <w:sz w:val="18"/>
        </w:rPr>
        <w:t>= RMS 28.774, rel. min. Marco Aurélio, red. do ac. min. Roberto Barroso, j. 9-8-2016, 1ª T, DJE de 25-8-2016 Inteligência do art. 5º, LVI, da CF e da Resolução 9/2005 do STJ. É legítima, em carta rogatória, a realização liminar de diligências sem a ciência prévia nem a presença do réu da ação penal, quando estas possam frustrar o resultado daquelas.</w:t>
      </w:r>
    </w:p>
    <w:p>
      <w:pPr>
        <w:ind w:left="288"/>
      </w:pPr>
      <w:r>
        <w:rPr>
          <w:b/>
          <w:color w:val="003CA0"/>
          <w:sz w:val="16"/>
        </w:rPr>
        <w:t>[HC 90.485, rel. min. Cezar Peluso, j. 10-4-2007, 2ª T, DJ de 8-6-2007.]</w:t>
      </w:r>
    </w:p>
    <w:p>
      <w:pPr>
        <w:ind w:left="288"/>
      </w:pPr>
      <w:r>
        <w:rPr>
          <w:color w:val="8C8C8C"/>
          <w:sz w:val="12"/>
        </w:rPr>
        <w:t>cf-art-5-inc-L</w:t>
      </w:r>
      <w:r>
        <w:rPr>
          <w:color w:val="003CA0"/>
          <w:sz w:val="12"/>
        </w:rPr>
        <w:t xml:space="preserve"> | HC 89.171</w:t>
      </w:r>
      <w:r>
        <w:rPr>
          <w:color w:val="003CA0"/>
          <w:sz w:val="12"/>
        </w:rPr>
        <w:t xml:space="preserve"> | rel. Marco Aurélio</w:t>
      </w:r>
    </w:p>
    <w:p>
      <w:pPr>
        <w:ind w:left="288"/>
      </w:pPr>
      <w:r>
        <w:rPr>
          <w:color w:val="1E1E1E"/>
          <w:sz w:val="18"/>
        </w:rPr>
        <w:t>= HC 89.171, rel. min. Marco Aurélio, red. do ac. min. Menezes Direito, j. 24-3-2009, 1ª T, DJE de 8-5-2009 Filmagem realizada pela vítima, em sua própria vaga de garagem, situada no edifício em que reside. Gravação de imagens feita com o objetivo de identificar o autor de danos praticados contra o patrimônio da vítima. Legitimidade jurídica desse comportamento do ofendido. Desnecessidade, em tal hipótese, de prévia autorização judicial. Alegada ilicitude da prova penal. Inocorrência. Validade dos elementos de informação produzidos, em seu próprio espaço privado, pela vítima de atos delituosos</w:t>
      </w:r>
    </w:p>
    <w:p>
      <w:pPr>
        <w:ind w:left="288"/>
      </w:pPr>
      <w:r>
        <w:rPr>
          <w:b/>
          <w:color w:val="003CA0"/>
          <w:sz w:val="16"/>
        </w:rPr>
        <w:t>[HC 84.203, rel. min. Celso de Mello, j. 19-10-2004, 2ª T, DJE de 25-9-2009.]</w:t>
      </w:r>
    </w:p>
    <w:p>
      <w:pPr>
        <w:ind w:left="288"/>
      </w:pPr>
      <w:r>
        <w:rPr>
          <w:color w:val="8C8C8C"/>
          <w:sz w:val="12"/>
        </w:rPr>
        <w:t>cf-art-5-inc-L</w:t>
      </w:r>
      <w:r>
        <w:rPr>
          <w:color w:val="003CA0"/>
          <w:sz w:val="12"/>
        </w:rPr>
        <w:t xml:space="preserve"> | HC 83.921</w:t>
      </w:r>
      <w:r>
        <w:rPr>
          <w:color w:val="003CA0"/>
          <w:sz w:val="12"/>
        </w:rPr>
        <w:t xml:space="preserve"> | rel. Eros Grau</w:t>
      </w:r>
    </w:p>
    <w:p>
      <w:pPr>
        <w:ind w:left="288"/>
      </w:pPr>
      <w:r>
        <w:rPr>
          <w:color w:val="1E1E1E"/>
          <w:sz w:val="18"/>
        </w:rPr>
        <w:t>Eventuais vícios do inquérito policial não contaminam a ação penal. O reconhecimento fotográfico, procedido na fase inquisitorial, em desconformidade com o art. 226, I, do CPP, não tem a virtude de contaminar o acervo probatório coligido na fase judicial, sob o crivo do contraditório. Inaplicabilidade da teoria da árvore dos frutos envenenados (fruits of the poisonous tree). Sentença condenatória embasada em provas autônomas produzidas em juízo.</w:t>
      </w:r>
    </w:p>
    <w:p>
      <w:pPr>
        <w:ind w:left="288"/>
      </w:pPr>
      <w:r>
        <w:rPr>
          <w:b/>
          <w:color w:val="003CA0"/>
          <w:sz w:val="16"/>
        </w:rPr>
        <w:t>[HC 83.921, rel. min. Eros Grau, j. 3-8-2004, 1ª T, DJ de 27-8-2004.]</w:t>
      </w:r>
    </w:p>
    <w:p>
      <w:pPr>
        <w:ind w:left="288"/>
      </w:pPr>
      <w:r>
        <w:rPr>
          <w:color w:val="8C8C8C"/>
          <w:sz w:val="12"/>
        </w:rPr>
        <w:t>cf-art-5-inc-L</w:t>
      </w:r>
      <w:r>
        <w:rPr>
          <w:color w:val="003CA0"/>
          <w:sz w:val="12"/>
        </w:rPr>
        <w:t xml:space="preserve"> | RE 626.600</w:t>
      </w:r>
      <w:r>
        <w:rPr>
          <w:color w:val="003CA0"/>
          <w:sz w:val="12"/>
        </w:rPr>
        <w:t xml:space="preserve"> | rel. Cármen Lúcia</w:t>
      </w:r>
    </w:p>
    <w:p>
      <w:pPr>
        <w:ind w:left="288"/>
      </w:pPr>
      <w:r>
        <w:rPr>
          <w:color w:val="1E1E1E"/>
          <w:sz w:val="18"/>
        </w:rPr>
        <w:t>= RE 626.600 AgR, rel. min. Cármen Lúcia, j. 9-11-2010, 1ª T, DJE de 25-11-2010 Da explícita proscrição da prova ilícita, sem distinções quanto ao crime objeto do processo (CF, art. 5º, LVI), resulta a prevalência da garantia nela estabelecida sobre o interesse na busca, a qualquer custo, da verdade real no processo: consequente impertinência de apelar-se ao princípio da proporcionalidade – à luz de teorias estrangeiras inadequadas à ordem constitucional brasileira – para sobrepor, à vedação constitucional da admissão da prova ilícita, considerações sobre a gravidade da infração penal objeto d</w:t>
      </w:r>
    </w:p>
    <w:p>
      <w:pPr>
        <w:ind w:left="288"/>
      </w:pPr>
      <w:r>
        <w:rPr>
          <w:b/>
          <w:color w:val="003CA0"/>
          <w:sz w:val="16"/>
        </w:rPr>
        <w:t>[HC 80.949, rel. min. Sepúlveda Pertence, j. 30-10-2001, 1ª T, DJ de 14-12-2001.]</w:t>
      </w:r>
    </w:p>
    <w:p>
      <w:pPr>
        <w:ind w:left="288"/>
      </w:pPr>
      <w:r>
        <w:rPr>
          <w:color w:val="8C8C8C"/>
          <w:sz w:val="12"/>
        </w:rPr>
        <w:t>cf-art-5-inc-L</w:t>
      </w:r>
      <w:r>
        <w:rPr>
          <w:color w:val="003CA0"/>
          <w:sz w:val="12"/>
        </w:rPr>
        <w:t xml:space="preserve"> | HC 81.154</w:t>
      </w:r>
      <w:r>
        <w:rPr>
          <w:color w:val="003CA0"/>
          <w:sz w:val="12"/>
        </w:rPr>
        <w:t xml:space="preserve"> | rel. Maurício Corrêa</w:t>
      </w:r>
    </w:p>
    <w:p>
      <w:pPr>
        <w:ind w:left="288"/>
      </w:pPr>
      <w:r>
        <w:rPr>
          <w:color w:val="1E1E1E"/>
          <w:sz w:val="18"/>
        </w:rPr>
        <w:t>Interceptação telefônica. Prova ilícita. Autorização judicial deferida anteriormente à Lei 9.296/1996, que regulamentou o inciso XII do art. 5º da CF. Nulidade da ação penal, por fundar-se exclusivamente em conversas obtidas mediante quebra dos sigilos telefônicos dos pacientes.</w:t>
      </w:r>
    </w:p>
    <w:p>
      <w:pPr>
        <w:ind w:left="288"/>
      </w:pPr>
      <w:r>
        <w:rPr>
          <w:b/>
          <w:color w:val="003CA0"/>
          <w:sz w:val="16"/>
        </w:rPr>
        <w:t>[HC 81.154, rel. min. Maurício Corrêa, j. 2-10-2001, 2ª T, DJ de 19-12-2001.]</w:t>
      </w:r>
    </w:p>
    <w:p>
      <w:pPr>
        <w:ind w:left="288"/>
      </w:pPr>
      <w:r>
        <w:rPr>
          <w:color w:val="8C8C8C"/>
          <w:sz w:val="12"/>
        </w:rPr>
        <w:t>cf-art-5-inc-L</w:t>
      </w:r>
      <w:r>
        <w:rPr>
          <w:color w:val="003CA0"/>
          <w:sz w:val="12"/>
        </w:rPr>
        <w:t xml:space="preserve"> | HC 74.116</w:t>
      </w:r>
      <w:r>
        <w:rPr>
          <w:color w:val="003CA0"/>
          <w:sz w:val="12"/>
        </w:rPr>
        <w:t xml:space="preserve"> | rel. Sepúlveda Pertence</w:t>
      </w:r>
    </w:p>
    <w:p>
      <w:pPr>
        <w:ind w:left="288"/>
      </w:pPr>
      <w:r>
        <w:rPr>
          <w:color w:val="1E1E1E"/>
          <w:sz w:val="18"/>
        </w:rPr>
        <w:t>= HC 74.116, rel. Néri da Silveira, red. do ac. min. Maurício Corrêa, j. 5-11-1996, 2ª T, DJ de 14-3-1997 Objeção de princípio – em relação à qual houve reserva de ministros do Tribunal – à tese aventada de que à garantia constitucional da inadmissibilidade da prova ilícita se possa opor, com o fim de dar-lhe prevalência em nome do princípio da proporcionalidade, o interesse público na eficácia da repressão penal em geral ou, em particular, na de determinados crimes: é que, aí, foi a Constituição mesma que ponderou os valores contrapostos e optou – em prejuízo, se necessário da eficácia da per</w:t>
      </w:r>
    </w:p>
    <w:p>
      <w:pPr>
        <w:ind w:left="288"/>
      </w:pPr>
      <w:r>
        <w:rPr>
          <w:b/>
          <w:color w:val="003CA0"/>
          <w:sz w:val="16"/>
        </w:rPr>
        <w:t>[HC 79.512, rel. min. Sepúlveda Pertence, j. 16-12-1999, P, DJ de 16-5-2003.]</w:t>
      </w:r>
    </w:p>
    <w:p>
      <w:pPr>
        <w:ind w:left="288"/>
      </w:pPr>
      <w:r>
        <w:rPr>
          <w:color w:val="8C8C8C"/>
          <w:sz w:val="12"/>
        </w:rPr>
        <w:t>cf-art-5-inc-L</w:t>
      </w:r>
      <w:r>
        <w:rPr>
          <w:color w:val="003CA0"/>
          <w:sz w:val="12"/>
        </w:rPr>
        <w:t xml:space="preserve"> | HC 78.937</w:t>
      </w:r>
      <w:r>
        <w:rPr>
          <w:color w:val="003CA0"/>
          <w:sz w:val="12"/>
        </w:rPr>
        <w:t xml:space="preserve"> | rel. Maurício Corrêa</w:t>
      </w:r>
    </w:p>
    <w:p>
      <w:pPr>
        <w:ind w:left="288"/>
      </w:pPr>
      <w:r>
        <w:rPr>
          <w:color w:val="1E1E1E"/>
          <w:sz w:val="18"/>
        </w:rPr>
        <w:t>A falta de autenticação de cópia de laudo pericial juntado aos autos não caracteriza prova ilícita desde que a omissão possa ser suprida por outro meio idôneo. Precedente. Não configura prova ilícita o laudo de engenharia subscrito por diversos engenheiros, alguns sem inscrição profissional no Conselho Regional de Engenharia, Arquitetura e Agronomia (Crea).</w:t>
      </w:r>
    </w:p>
    <w:p>
      <w:pPr>
        <w:ind w:left="288"/>
      </w:pPr>
      <w:r>
        <w:rPr>
          <w:b/>
          <w:color w:val="003CA0"/>
          <w:sz w:val="16"/>
        </w:rPr>
        <w:t>[HC 78.937, rel. min. Maurício Corrêa, j. 18-5-1999, 2ª T, DJ de 29-8-2003.]</w:t>
      </w:r>
    </w:p>
    <w:p>
      <w:pPr>
        <w:ind w:left="288"/>
      </w:pPr>
      <w:r>
        <w:rPr>
          <w:color w:val="8C8C8C"/>
          <w:sz w:val="12"/>
        </w:rPr>
        <w:t>cf-art-5-inc-L</w:t>
      </w:r>
      <w:r>
        <w:rPr>
          <w:color w:val="003CA0"/>
          <w:sz w:val="12"/>
        </w:rPr>
        <w:t xml:space="preserve"> | HC 75.338</w:t>
      </w:r>
      <w:r>
        <w:rPr>
          <w:color w:val="003CA0"/>
          <w:sz w:val="12"/>
        </w:rPr>
        <w:t xml:space="preserve"> | rel. Nelson Jobim</w:t>
      </w:r>
    </w:p>
    <w:p>
      <w:pPr>
        <w:ind w:left="288"/>
      </w:pPr>
      <w:r>
        <w:rPr>
          <w:color w:val="1E1E1E"/>
          <w:sz w:val="18"/>
        </w:rPr>
        <w:t>É lícita a gravação de conversa telefônica feita por um dos interlocutores, ou com sua autorização, sem ciência do outro, quando há investida criminosa deste último.</w:t>
      </w:r>
    </w:p>
    <w:p>
      <w:pPr>
        <w:ind w:left="288"/>
      </w:pPr>
      <w:r>
        <w:rPr>
          <w:b/>
          <w:color w:val="003CA0"/>
          <w:sz w:val="16"/>
        </w:rPr>
        <w:t>[HC 75.338, rel. min. Nelson Jobim, j. 11-3-1998, P, DJ de 25-9-1998.]</w:t>
      </w:r>
    </w:p>
    <w:p>
      <w:pPr>
        <w:ind w:left="288"/>
      </w:pPr>
      <w:r>
        <w:rPr>
          <w:color w:val="8C8C8C"/>
          <w:sz w:val="12"/>
        </w:rPr>
        <w:t>cf-art-5-inc-L</w:t>
      </w:r>
      <w:r>
        <w:rPr>
          <w:color w:val="003CA0"/>
          <w:sz w:val="12"/>
        </w:rPr>
        <w:t xml:space="preserve"> | HC 74.678</w:t>
      </w:r>
      <w:r>
        <w:rPr>
          <w:color w:val="003CA0"/>
          <w:sz w:val="12"/>
        </w:rPr>
        <w:t xml:space="preserve"> | rel. Moreira Alves</w:t>
      </w:r>
    </w:p>
    <w:p>
      <w:pPr>
        <w:ind w:left="288"/>
      </w:pPr>
      <w:r>
        <w:rPr>
          <w:color w:val="1E1E1E"/>
          <w:sz w:val="18"/>
        </w:rPr>
        <w:t>= HC 74.678, rel. min. Moreira Alves, j. 10-6-1997, 1ª T, DJ de 15-8-1997 Vide AI 769.798 AgR, rel. min. Cármen Lúcia, j. 1º-2-2011, 1ª T, DJE de 23-2-2011 Vide RE 212.081, rel. min. Octavio Gallotti, j. 5-12-1997, 1ª T, DJ de 27-3-1998 A prova ilícita (...), não sendo a única mencionada na denúncia, não compromete a validade das demais provas que, por ela não contaminadas e dela não decorrentes, integram o conjunto probatório.</w:t>
      </w:r>
    </w:p>
    <w:p>
      <w:pPr>
        <w:ind w:left="288"/>
      </w:pPr>
      <w:r>
        <w:rPr>
          <w:b/>
          <w:color w:val="003CA0"/>
          <w:sz w:val="16"/>
        </w:rPr>
        <w:t>[RHC 74.807, rel. min. Maurício Corrêa, j. 22-4-1997, 2ª T, DJ de 20-6-1997.]</w:t>
      </w:r>
    </w:p>
    <w:p>
      <w:pPr>
        <w:ind w:left="288"/>
      </w:pPr>
      <w:r>
        <w:rPr>
          <w:color w:val="8C8C8C"/>
          <w:sz w:val="12"/>
        </w:rPr>
        <w:t>cf-art-5-inc-L</w:t>
      </w:r>
      <w:r>
        <w:rPr>
          <w:color w:val="003CA0"/>
          <w:sz w:val="12"/>
        </w:rPr>
        <w:t xml:space="preserve"> | HC 92.467</w:t>
      </w:r>
      <w:r>
        <w:rPr>
          <w:color w:val="003CA0"/>
          <w:sz w:val="12"/>
        </w:rPr>
        <w:t xml:space="preserve"> | rel. Eros Grau</w:t>
      </w:r>
    </w:p>
    <w:p>
      <w:pPr>
        <w:ind w:left="288"/>
      </w:pPr>
      <w:r>
        <w:rPr>
          <w:color w:val="1E1E1E"/>
          <w:sz w:val="18"/>
        </w:rPr>
        <w:t xml:space="preserve">= HC 92.467, rel. min. Eros Grau, red. do ac. min. Gilmar Mendes, j. 26-10-2010, 2ª T, DJE de 15-2-2011 Prova ilícita. Escuta telefônica. Fruits of the poisonous tree. Não acolhimento. Não cabe anular-se a decisão condenatória com base na alegação de haver a prisão em flagrante resultado de informação obtida por meio de censura telefônica deferida judicialmente. É que a interceptação telefônica – prova tida por ilícita até a edição da Lei 9.296, de 24-7-1996, e que contaminava as demais provas que dela se originavam – não foi a prova exclusiva que desencadeou o procedimento penal, mas somente </w:t>
      </w:r>
    </w:p>
    <w:p>
      <w:pPr>
        <w:ind w:left="288"/>
      </w:pPr>
      <w:r>
        <w:rPr>
          <w:b/>
          <w:color w:val="003CA0"/>
          <w:sz w:val="16"/>
        </w:rPr>
        <w:t>[HC 74.599, rel. min. Ilmar Galvão, j. 3-12-1996, 1ª T, DJ de 7-2-1997.]</w:t>
      </w:r>
    </w:p>
    <w:p>
      <w:pPr>
        <w:ind w:left="288"/>
      </w:pPr>
      <w:r>
        <w:rPr>
          <w:color w:val="8C8C8C"/>
          <w:sz w:val="12"/>
        </w:rPr>
        <w:t>cf-art-5-inc-L</w:t>
      </w:r>
      <w:r>
        <w:rPr>
          <w:color w:val="003CA0"/>
          <w:sz w:val="12"/>
        </w:rPr>
        <w:t xml:space="preserve"> | HC 74.267</w:t>
      </w:r>
      <w:r>
        <w:rPr>
          <w:color w:val="003CA0"/>
          <w:sz w:val="12"/>
        </w:rPr>
        <w:t xml:space="preserve"> | rel. Francisco Rezek</w:t>
      </w:r>
    </w:p>
    <w:p>
      <w:pPr>
        <w:ind w:left="288"/>
      </w:pPr>
      <w:r>
        <w:rPr>
          <w:color w:val="1E1E1E"/>
          <w:sz w:val="18"/>
        </w:rPr>
        <w:t>O reconhecimento fotográfico tem valor probante pleno quando acompanhado e reforçado por outros elementos de convicção.</w:t>
      </w:r>
    </w:p>
    <w:p>
      <w:pPr>
        <w:ind w:left="288"/>
      </w:pPr>
      <w:r>
        <w:rPr>
          <w:b/>
          <w:color w:val="003CA0"/>
          <w:sz w:val="16"/>
        </w:rPr>
        <w:t>[HC 74.267, rel. min. Francisco Rezek, j. 26-11-1996, 2ª T, DJ de 28-2-1997.]</w:t>
      </w:r>
    </w:p>
    <w:p>
      <w:pPr>
        <w:ind w:left="288"/>
      </w:pPr>
      <w:r>
        <w:rPr>
          <w:color w:val="8C8C8C"/>
          <w:sz w:val="12"/>
        </w:rPr>
        <w:t>cf-art-5-inc-L</w:t>
      </w:r>
      <w:r>
        <w:rPr>
          <w:color w:val="003CA0"/>
          <w:sz w:val="12"/>
        </w:rPr>
        <w:t xml:space="preserve"> | HC 104.404</w:t>
      </w:r>
      <w:r>
        <w:rPr>
          <w:color w:val="003CA0"/>
          <w:sz w:val="12"/>
        </w:rPr>
        <w:t xml:space="preserve"> | rel. Dias Tofolli</w:t>
      </w:r>
    </w:p>
    <w:p>
      <w:pPr>
        <w:ind w:left="288"/>
      </w:pPr>
      <w:r>
        <w:rPr>
          <w:color w:val="1E1E1E"/>
          <w:sz w:val="18"/>
        </w:rPr>
        <w:t>= HC 104.404, rel. min. Dias Tofolli, j. 21-9-2010, 1ª T, DJE de 30-11-2010 Impõe-se a extensão de habeas corpus, para anular-se o processo criminal, se a decisão se baseou em prova ilícita, a afastar qualquer caráter pessoal. Cuida-se de estabelecer, na forma do art. 580 do CPP, igualdade de tratamento entre os corréus que se encontram na mesma situação processual.</w:t>
      </w:r>
    </w:p>
    <w:p>
      <w:pPr>
        <w:ind w:left="288"/>
      </w:pPr>
      <w:r>
        <w:rPr>
          <w:b/>
          <w:color w:val="003CA0"/>
          <w:sz w:val="16"/>
        </w:rPr>
        <w:t>[HC 74.113, rel. min. Ilmar Galvão, j. 28-6-1996, P, DJ de 4-4-1997.]</w:t>
      </w:r>
    </w:p>
    <w:p>
      <w:pPr>
        <w:ind w:left="288"/>
      </w:pPr>
      <w:r>
        <w:rPr>
          <w:color w:val="8C8C8C"/>
          <w:sz w:val="12"/>
        </w:rPr>
        <w:t>cf-art-5-inc-L</w:t>
      </w:r>
      <w:r>
        <w:rPr>
          <w:color w:val="003CA0"/>
          <w:sz w:val="12"/>
        </w:rPr>
        <w:t xml:space="preserve"> | HC 72.588</w:t>
      </w:r>
      <w:r>
        <w:rPr>
          <w:color w:val="003CA0"/>
          <w:sz w:val="12"/>
        </w:rPr>
        <w:t xml:space="preserve"> | rel. Maurício Corrêa</w:t>
      </w:r>
    </w:p>
    <w:p>
      <w:pPr>
        <w:ind w:left="288"/>
      </w:pPr>
      <w:r>
        <w:rPr>
          <w:color w:val="1E1E1E"/>
          <w:sz w:val="18"/>
        </w:rPr>
        <w:t>As provas obtidas por meios ilícitos contaminam as que são exclusivamente delas decorrentes; tornam-se inadmissíveis no processo e não podem ensejar a investigação criminal e, com mais razão, a denúncia, a instrução e o julgamento (CF, art. 5º, LVI), ainda que tenha restado sobejamente comprovado, por meio delas, que o juiz foi vítima das contumélias do paciente.</w:t>
      </w:r>
    </w:p>
    <w:p>
      <w:pPr>
        <w:ind w:left="288"/>
      </w:pPr>
      <w:r>
        <w:rPr>
          <w:b/>
          <w:color w:val="003CA0"/>
          <w:sz w:val="16"/>
        </w:rPr>
        <w:t>[HC 72.588, rel. min. Maurício Corrêa, j. 12-6-1996, P, DJ de 4-8-2000.]</w:t>
      </w:r>
    </w:p>
    <w:p>
      <w:pPr>
        <w:ind w:left="288"/>
      </w:pPr>
      <w:r>
        <w:rPr>
          <w:color w:val="8C8C8C"/>
          <w:sz w:val="12"/>
        </w:rPr>
        <w:t>cf-art-5-inc-L</w:t>
      </w:r>
      <w:r>
        <w:rPr>
          <w:color w:val="003CA0"/>
          <w:sz w:val="12"/>
        </w:rPr>
        <w:t xml:space="preserve"> | HC 74.586</w:t>
      </w:r>
      <w:r>
        <w:rPr>
          <w:color w:val="003CA0"/>
          <w:sz w:val="12"/>
        </w:rPr>
        <w:t xml:space="preserve"> | rel. Marco Aurélio</w:t>
      </w:r>
    </w:p>
    <w:p>
      <w:pPr>
        <w:ind w:left="288"/>
      </w:pPr>
      <w:r>
        <w:rPr>
          <w:color w:val="1E1E1E"/>
          <w:sz w:val="18"/>
        </w:rPr>
        <w:t>= HC 74.586, rel. min. Marco Aurélio, j. 5-8-1997, 2ª T, DJ de 27-4-2001 Inadmissibilidade, como prova, de laudos de degravação de conversa telefônica e de registros contidos na memória de microcomputador, obtidos por meios ilícitos (art. 5º, LVI, da CF); no primeiro caso, por se tratar de gravação realizada por um dos interlocutores, sem conhecimento do outro, havendo a degravação sido feita com inobservância do princípio do contraditório, e utilizada com violação à privacidade alheia (art. 5º, X, da CF); e, no segundo caso, por estar-se diante de microcomputador que, além de ter sido apreend</w:t>
      </w:r>
    </w:p>
    <w:p>
      <w:pPr>
        <w:ind w:left="288"/>
      </w:pPr>
      <w:r>
        <w:rPr>
          <w:b/>
          <w:color w:val="003CA0"/>
          <w:sz w:val="16"/>
        </w:rPr>
        <w:t>[AP 307, rel. min. Ilmar Galvão, j. 13-12-1994, P, DJ de 13-10-1995.]</w:t>
      </w:r>
    </w:p>
    <w:p>
      <w:pPr>
        <w:ind w:left="288"/>
      </w:pPr>
      <w:r>
        <w:rPr>
          <w:color w:val="8C8C8C"/>
          <w:sz w:val="12"/>
        </w:rPr>
        <w:t>cf-art-5-inc-L</w:t>
      </w:r>
    </w:p>
    <w:p>
      <w:pPr>
        <w:ind w:left="288"/>
      </w:pPr>
      <w:r>
        <w:rPr>
          <w:color w:val="1E1E1E"/>
          <w:sz w:val="18"/>
        </w:rPr>
        <w:t>LVII - ninguém será considerado culpado até o trânsito em julgado de sentença penal condenatória; 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88"/>
      </w:pPr>
      <w:r>
        <w:rPr>
          <w:b/>
          <w:color w:val="003CA0"/>
          <w:sz w:val="16"/>
        </w:rPr>
        <w:t>[Súmula Vinculante 11.]</w:t>
      </w:r>
    </w:p>
    <w:p>
      <w:pPr>
        <w:ind w:left="288"/>
      </w:pPr>
      <w:r>
        <w:rPr>
          <w:color w:val="8C8C8C"/>
          <w:sz w:val="12"/>
        </w:rPr>
        <w:t>cf-art-5-inc-L</w:t>
      </w:r>
      <w:r>
        <w:rPr>
          <w:color w:val="003CA0"/>
          <w:sz w:val="12"/>
        </w:rPr>
        <w:t xml:space="preserve"> | ADI 6.620</w:t>
      </w:r>
      <w:r>
        <w:rPr>
          <w:color w:val="003CA0"/>
          <w:sz w:val="12"/>
        </w:rPr>
        <w:t xml:space="preserve"> | rel. Alexandre de Moraes</w:t>
      </w:r>
    </w:p>
    <w:p>
      <w:pPr>
        <w:ind w:left="288"/>
      </w:pPr>
      <w:r>
        <w:rPr>
          <w:color w:val="1E1E1E"/>
          <w:sz w:val="18"/>
        </w:rPr>
        <w:t>Competência estadual para a instituição de cadastros de crimes contra a dignidade sexual de crianças e adolescentes e de violência contra a mulher. (...) Os cadastros instituídos pelas Leis 10.315/2015 e 10.915/2019 do Estado de Mato Grosso constituem mecanismos voltados a subsidiar os órgãos públicos no controle de dados e informações relevantes para a persecução penal e para a adoção de políticas públicas, e fornecem à sociedade mato-grossense a possibilidade de monitoramento desses dados. Trata-se de uma medida apta a contribuir para a prevenção de novos delitos. (...) A sistematização de d</w:t>
      </w:r>
    </w:p>
    <w:p>
      <w:pPr>
        <w:ind w:left="288"/>
      </w:pPr>
      <w:r>
        <w:rPr>
          <w:b/>
          <w:color w:val="003CA0"/>
          <w:sz w:val="16"/>
        </w:rPr>
        <w:t>[ADI 6.620, rel. min. Alexandre de Moraes, j. 18.04.2024, P, DJE de 20.06.2024.]</w:t>
      </w:r>
    </w:p>
    <w:p>
      <w:pPr>
        <w:ind w:left="288"/>
      </w:pPr>
      <w:r>
        <w:rPr>
          <w:color w:val="8C8C8C"/>
          <w:sz w:val="12"/>
        </w:rPr>
        <w:t>cf-art-5-inc-L</w:t>
      </w:r>
      <w:r>
        <w:rPr>
          <w:color w:val="003CA0"/>
          <w:sz w:val="12"/>
        </w:rPr>
        <w:t xml:space="preserve"> | ADC 43</w:t>
      </w:r>
      <w:r>
        <w:rPr>
          <w:color w:val="003CA0"/>
          <w:sz w:val="12"/>
        </w:rPr>
        <w:t xml:space="preserve"> | rel. Marco Aurélio</w:t>
      </w:r>
    </w:p>
    <w:p>
      <w:pPr>
        <w:ind w:left="288"/>
      </w:pPr>
      <w:r>
        <w:rPr>
          <w:color w:val="1E1E1E"/>
          <w:sz w:val="18"/>
        </w:rPr>
        <w:t>Surge constitucional o artigo 283 do Código de Processo Penal, a condicionar o início do cumprimento da pena ao trânsito em julgado da sentença penal condenatória, considerado o alcance da garantia versada no artigo 5º, inciso LVII, da Constituição Federal, no que direciona a apurar para, selada a culpa em virtude de título precluso na via da recorribilidade, prender, em execução da sanção, a qual não admite forma provisória.</w:t>
      </w:r>
    </w:p>
    <w:p>
      <w:pPr>
        <w:ind w:left="288"/>
      </w:pPr>
      <w:r>
        <w:rPr>
          <w:b/>
          <w:color w:val="003CA0"/>
          <w:sz w:val="16"/>
        </w:rPr>
        <w:t>[ADC 43, ADC 44 e ADC 54, rel. min. Marco Aurélio, j. 7-11-2019, P, DJE de 12-11-2020.]</w:t>
      </w:r>
    </w:p>
    <w:p>
      <w:pPr>
        <w:ind w:left="288"/>
      </w:pPr>
      <w:r>
        <w:rPr>
          <w:color w:val="8C8C8C"/>
          <w:sz w:val="12"/>
        </w:rPr>
        <w:t>cf-art-5-inc-L</w:t>
      </w:r>
      <w:r>
        <w:rPr>
          <w:color w:val="003CA0"/>
          <w:sz w:val="12"/>
        </w:rPr>
        <w:t xml:space="preserve"> | ADPF 395</w:t>
      </w:r>
      <w:r>
        <w:rPr>
          <w:color w:val="003CA0"/>
          <w:sz w:val="12"/>
        </w:rPr>
        <w:t xml:space="preserve"> | rel. Gilmar Mendes</w:t>
      </w:r>
    </w:p>
    <w:p>
      <w:pPr>
        <w:ind w:left="288"/>
      </w:pPr>
      <w:r>
        <w:rPr>
          <w:color w:val="1E1E1E"/>
          <w:sz w:val="18"/>
        </w:rPr>
        <w:t xml:space="preserve">Presunção de não culpabilidade. A condução coercitiva representa restrição temporária da liberdade de locomoção mediante condução sob custódia por forças policiais, em vias públicas, não sendo tratamento normalmente aplicado a pessoas inocentes. Violação. Dignidade da pessoa humana (art. 1º, III, da CF/88). O indivíduo deve ser reconhecido como um membro da sociedade dotado de valor intrínseco, em condições de igualdade e com direitos iguais. Tornar o ser humano mero objeto no Estado, consequentemente, contraria a dignidade humana (NETO, João Costa. Dignidade Humana: São Paulo, Saraiva, 2014. </w:t>
      </w:r>
    </w:p>
    <w:p>
      <w:pPr>
        <w:ind w:left="288"/>
      </w:pPr>
      <w:r>
        <w:rPr>
          <w:b/>
          <w:color w:val="003CA0"/>
          <w:sz w:val="16"/>
        </w:rPr>
        <w:t>[ADPF 395 e ADPF 444, rel. min. Gilmar Mendes, j. 14-6-2018, P, DJE de 22-5-2019.]</w:t>
      </w:r>
    </w:p>
    <w:p>
      <w:pPr>
        <w:ind w:left="288"/>
      </w:pPr>
      <w:r>
        <w:rPr>
          <w:color w:val="8C8C8C"/>
          <w:sz w:val="12"/>
        </w:rPr>
        <w:t>cf-art-5-inc-L</w:t>
      </w:r>
      <w:r>
        <w:rPr>
          <w:color w:val="003CA0"/>
          <w:sz w:val="12"/>
        </w:rPr>
        <w:t xml:space="preserve"> | ADC 29</w:t>
      </w:r>
      <w:r>
        <w:rPr>
          <w:color w:val="003CA0"/>
          <w:sz w:val="12"/>
        </w:rPr>
        <w:t xml:space="preserve"> | rel. Luiz Fux</w:t>
      </w:r>
    </w:p>
    <w:p>
      <w:pPr>
        <w:ind w:left="288"/>
      </w:pPr>
      <w:r>
        <w:rPr>
          <w:color w:val="1E1E1E"/>
          <w:sz w:val="18"/>
        </w:rPr>
        <w:t>A presunção de inocência consagrada no art. 5º, LVII, da CF deve ser reconhecida como uma regra e interpretada com o recurso da metodologia análoga a uma redução teleológica, que reaproxime o enunciado normativo da sua própria literalidade, de modo a reconduzi-la aos efeitos próprios da condenação criminal (que podem incluir a perda ou a suspensão de direitos políticos, mas não a inelegibilidade), sob pena de frustrar o propósito moralizante do art. 14, § 9º, da CF. Não é violado pela LC 135/2010 o princípio constitucional da vedação de retrocesso, posto não vislumbrado o pressuposto de sua ap</w:t>
      </w:r>
    </w:p>
    <w:p>
      <w:pPr>
        <w:ind w:left="288"/>
      </w:pPr>
      <w:r>
        <w:rPr>
          <w:b/>
          <w:color w:val="003CA0"/>
          <w:sz w:val="16"/>
        </w:rPr>
        <w:t>[ADC 29, ADC 30 e ADI 4.578, rel. min. Luiz Fux, j. 16-2-2012, P, DJE de 29-6-2012.]</w:t>
      </w:r>
    </w:p>
    <w:p>
      <w:pPr>
        <w:ind w:left="288"/>
      </w:pPr>
      <w:r>
        <w:rPr>
          <w:color w:val="8C8C8C"/>
          <w:sz w:val="12"/>
        </w:rPr>
        <w:t>cf-art-5-inc-L</w:t>
      </w:r>
      <w:r>
        <w:rPr>
          <w:color w:val="003CA0"/>
          <w:sz w:val="12"/>
        </w:rPr>
        <w:t xml:space="preserve"> | ADI 3.112</w:t>
      </w:r>
      <w:r>
        <w:rPr>
          <w:color w:val="003CA0"/>
          <w:sz w:val="12"/>
        </w:rPr>
        <w:t xml:space="preserve"> | rel. Ricardo Lewandowski</w:t>
      </w:r>
    </w:p>
    <w:p>
      <w:pPr>
        <w:ind w:left="288"/>
      </w:pPr>
      <w:r>
        <w:rPr>
          <w:color w:val="1E1E1E"/>
          <w:sz w:val="18"/>
        </w:rPr>
        <w:t>Ação direta de inconstitucionalidade. Lei 10.826/2003. Estatuto do desarmamento. Insusceptibilidade de liberdade provisória quanto aos delitos elencados nos arts. 16, 17 e 18. Inconstitucionalidade reconhecida, visto que o Texto Magno não autoriza a prisão ex lege, em face dos princípios da presunção de inocência e da obrigatoriedade de fundamentação dos mandados de prisão pela autoridade judiciária competente.</w:t>
      </w:r>
    </w:p>
    <w:p>
      <w:pPr>
        <w:ind w:left="288"/>
      </w:pPr>
      <w:r>
        <w:rPr>
          <w:b/>
          <w:color w:val="003CA0"/>
          <w:sz w:val="16"/>
        </w:rPr>
        <w:t>[ADI 3.112, rel. min. Ricardo Lewandowski, j. 2-5-2007, P, DJ de 26-10-2007.]</w:t>
      </w:r>
    </w:p>
    <w:p>
      <w:pPr>
        <w:ind w:left="288"/>
      </w:pPr>
      <w:r>
        <w:rPr>
          <w:color w:val="8C8C8C"/>
          <w:sz w:val="12"/>
        </w:rPr>
        <w:t>cf-art-5-inc-L</w:t>
      </w:r>
      <w:r>
        <w:rPr>
          <w:color w:val="003CA0"/>
          <w:sz w:val="12"/>
        </w:rPr>
        <w:t xml:space="preserve"> | ARE 848.107</w:t>
      </w:r>
      <w:r>
        <w:rPr>
          <w:color w:val="003CA0"/>
          <w:sz w:val="12"/>
        </w:rPr>
        <w:t xml:space="preserve"> | rel. Dias Toffoli</w:t>
      </w:r>
    </w:p>
    <w:p>
      <w:pPr>
        <w:ind w:left="288"/>
      </w:pPr>
      <w:r>
        <w:rPr>
          <w:color w:val="1E1E1E"/>
          <w:sz w:val="18"/>
        </w:rPr>
        <w:t>A prescrição da execução da pena concretamente aplicada começa a correr do dia em que transita em julgado a sentença condenatória para ambas as partes, momento em que nasce para o Estado a pretensão executória da pena, conforme interpretação dada pelo Supremo Tribunal Federal, nas ADC nºs 43, 44 e 54, ao princípio da presunção de inocência (art. 5º, inciso LVII, da Constituição Federal).</w:t>
      </w:r>
    </w:p>
    <w:p>
      <w:pPr>
        <w:ind w:left="288"/>
      </w:pPr>
      <w:r>
        <w:rPr>
          <w:b/>
          <w:color w:val="003CA0"/>
          <w:sz w:val="16"/>
        </w:rPr>
        <w:t>[ARE 848.107, rel. min. Dias Toffoli, j. 3-7-2023, P, DJE de 4-8-2023, Tema 788, com mérito julgado.]</w:t>
      </w:r>
    </w:p>
    <w:p>
      <w:pPr>
        <w:ind w:left="288"/>
      </w:pPr>
      <w:r>
        <w:rPr>
          <w:color w:val="8C8C8C"/>
          <w:sz w:val="12"/>
        </w:rPr>
        <w:t>cf-art-5-inc-L</w:t>
      </w:r>
      <w:r>
        <w:rPr>
          <w:color w:val="003CA0"/>
          <w:sz w:val="12"/>
        </w:rPr>
        <w:t xml:space="preserve"> | RE 1.038.925</w:t>
      </w:r>
      <w:r>
        <w:rPr>
          <w:color w:val="003CA0"/>
          <w:sz w:val="12"/>
        </w:rPr>
        <w:t xml:space="preserve"> | rel. Gilmar Mendes</w:t>
      </w:r>
    </w:p>
    <w:p>
      <w:pPr>
        <w:ind w:left="288"/>
      </w:pPr>
      <w:r>
        <w:rPr>
          <w:color w:val="1E1E1E"/>
          <w:sz w:val="18"/>
        </w:rPr>
        <w:t>É inconstitucional a expressão “e liberdade provisória”, constante do caput do art. 44 da Lei 11.343/2006.</w:t>
      </w:r>
    </w:p>
    <w:p>
      <w:pPr>
        <w:ind w:left="288"/>
      </w:pPr>
      <w:r>
        <w:rPr>
          <w:b/>
          <w:color w:val="003CA0"/>
          <w:sz w:val="16"/>
        </w:rPr>
        <w:t>[RE 1.038.925 RG, rel. min. Gilmar Mendes, j. 18-8-2017, P, DJE de 19-9-2017, Tema 959, com mérito julgado.]</w:t>
      </w:r>
    </w:p>
    <w:p>
      <w:pPr>
        <w:ind w:left="288"/>
      </w:pPr>
      <w:r>
        <w:rPr>
          <w:color w:val="8C8C8C"/>
          <w:sz w:val="12"/>
        </w:rPr>
        <w:t>cf-art-5-inc-L</w:t>
      </w:r>
      <w:r>
        <w:rPr>
          <w:color w:val="003CA0"/>
          <w:sz w:val="12"/>
        </w:rPr>
        <w:t xml:space="preserve"> | ARE 964.246</w:t>
      </w:r>
      <w:r>
        <w:rPr>
          <w:color w:val="003CA0"/>
          <w:sz w:val="12"/>
        </w:rPr>
        <w:t xml:space="preserve"> | rel. Teori Zavascki</w:t>
      </w:r>
    </w:p>
    <w:p>
      <w:pPr>
        <w:ind w:left="288"/>
      </w:pPr>
      <w:r>
        <w:rPr>
          <w:color w:val="1E1E1E"/>
          <w:sz w:val="18"/>
        </w:rPr>
        <w:t>Em regime de repercussão geral, fica reafirmada a jurisprudência do STF no sentido de que a execução provisória de acórdão penal condenatório proferido em grau recursal, ainda que sujeito a recurso especial ou extraordinário, não compromete o princípio constitucional da presunção de inocência afirmado pelo art. 5º, LVII, da CF.</w:t>
      </w:r>
    </w:p>
    <w:p>
      <w:pPr>
        <w:ind w:left="288"/>
      </w:pPr>
      <w:r>
        <w:rPr>
          <w:b/>
          <w:color w:val="003CA0"/>
          <w:sz w:val="16"/>
        </w:rPr>
        <w:t>[ARE 964.246 RG, rel. min. Teori Zavascki, j. 10-11-2016, P, DJE de 25-11-2016, Tema 925, com mérito julgado.]</w:t>
      </w:r>
    </w:p>
    <w:p>
      <w:pPr>
        <w:ind w:left="288"/>
      </w:pPr>
      <w:r>
        <w:rPr>
          <w:color w:val="8C8C8C"/>
          <w:sz w:val="12"/>
        </w:rPr>
        <w:t>cf-art-5-inc-L</w:t>
      </w:r>
      <w:r>
        <w:rPr>
          <w:color w:val="003CA0"/>
          <w:sz w:val="12"/>
        </w:rPr>
        <w:t xml:space="preserve"> | HC 142.173</w:t>
      </w:r>
      <w:r>
        <w:rPr>
          <w:color w:val="003CA0"/>
          <w:sz w:val="12"/>
        </w:rPr>
        <w:t xml:space="preserve"> | rel. Gilmar Mendes</w:t>
      </w:r>
    </w:p>
    <w:p>
      <w:pPr>
        <w:ind w:left="288"/>
      </w:pPr>
      <w:r>
        <w:rPr>
          <w:color w:val="1E1E1E"/>
          <w:sz w:val="18"/>
        </w:rPr>
        <w:t>Vide HC 142.173, rel. min. Gilmar Mendes, j. 23-5-2017, 2ª T, DJE de 6-6-2017. Ante o princípio constitucional da não culpabilidade, inquéritos e processos criminais em curso são neutros na definição dos antecedentes criminais.</w:t>
      </w:r>
    </w:p>
    <w:p>
      <w:pPr>
        <w:ind w:left="288"/>
      </w:pPr>
      <w:r>
        <w:rPr>
          <w:b/>
          <w:color w:val="003CA0"/>
          <w:sz w:val="16"/>
        </w:rPr>
        <w:t>[RE 591.054, rel. min. Marco Aurélio, j. 17-12-2014, P, DJE de 26-2-2015, Tema 129, com mérito julgado.]</w:t>
      </w:r>
    </w:p>
    <w:p>
      <w:pPr>
        <w:ind w:left="288"/>
      </w:pPr>
      <w:r>
        <w:rPr>
          <w:color w:val="8C8C8C"/>
          <w:sz w:val="12"/>
        </w:rPr>
        <w:t>cf-art-5-inc-L</w:t>
      </w:r>
      <w:r>
        <w:rPr>
          <w:color w:val="003CA0"/>
          <w:sz w:val="12"/>
        </w:rPr>
        <w:t xml:space="preserve"> | AI 794.971</w:t>
      </w:r>
      <w:r>
        <w:rPr>
          <w:color w:val="003CA0"/>
          <w:sz w:val="12"/>
        </w:rPr>
        <w:t xml:space="preserve"> | rel. Roberto Barroso</w:t>
      </w:r>
    </w:p>
    <w:p>
      <w:pPr>
        <w:ind w:left="288"/>
      </w:pPr>
      <w:r>
        <w:rPr>
          <w:color w:val="1E1E1E"/>
          <w:sz w:val="18"/>
        </w:rPr>
        <w:t>Prescrição. Recurso. Inadmissibilidade. Enquanto não proclamada a inadmissão de recurso de natureza excepcional, tem-se o curso da prescrição da pretensão punitiva, e não a da pretensão executória. Prescrição. Pretensão punitiva. Transcorrido, entre os fatores interruptivos, período previsto no artigo 109 do Código Penal, tem-se prescrição da pretensão punitiva do Estado. Prescrição. Pretensão executória. Termo inicial. A prescrição da pretensão executória, no que pressupõe quadro a revelar a possibilidade de execução da pena, tem como marco inicial o trânsito em julgado, para ambas as partes,</w:t>
      </w:r>
    </w:p>
    <w:p>
      <w:pPr>
        <w:ind w:left="288"/>
      </w:pPr>
      <w:r>
        <w:rPr>
          <w:b/>
          <w:color w:val="003CA0"/>
          <w:sz w:val="16"/>
        </w:rPr>
        <w:t>[AI 794.971-AgR, rel. min. Roberto Barroso, red. do ac. min. Marco Aurélio, j. 16-4-2021, P, DJE de 28-6-2021.]</w:t>
      </w:r>
    </w:p>
    <w:p>
      <w:pPr>
        <w:ind w:left="288"/>
      </w:pPr>
      <w:r>
        <w:rPr>
          <w:color w:val="8C8C8C"/>
          <w:sz w:val="12"/>
        </w:rPr>
        <w:t>cf-art-5-inc-L</w:t>
      </w:r>
      <w:r>
        <w:rPr>
          <w:color w:val="003CA0"/>
          <w:sz w:val="12"/>
        </w:rPr>
        <w:t xml:space="preserve"> | HC 134.508</w:t>
      </w:r>
      <w:r>
        <w:rPr>
          <w:color w:val="003CA0"/>
          <w:sz w:val="12"/>
        </w:rPr>
        <w:t xml:space="preserve"> | rel. Celso de Mello</w:t>
      </w:r>
    </w:p>
    <w:p>
      <w:pPr>
        <w:ind w:left="288"/>
      </w:pPr>
      <w:r>
        <w:rPr>
          <w:color w:val="1E1E1E"/>
          <w:sz w:val="18"/>
        </w:rPr>
        <w:t>Prisão em flagrante. Furto simples (CP, art. 155, caput) e direção ilegal de veículo automotor (CTB, art. 309). Paciente que, por ser pobre, não tem condições de prestar fiança criminal (CPP, art. 325, § 1º, I). Manutenção, mesmo assim, de sua prisão cautelar. Ausência dos requisitos de cautelaridade. (...) Presunção constitucional de inocência. Direito fundamental que assiste a qualquer pessoa. Caráter excepcional da prisão cautelar. Incongruência de manter-se cautelarmente preso alguém que, se condenado, sofrerá a execução da pena em regime aberto (CP, art. 33, § 2º, c), caso o magistrado se</w:t>
      </w:r>
    </w:p>
    <w:p>
      <w:pPr>
        <w:ind w:left="288"/>
      </w:pPr>
      <w:r>
        <w:rPr>
          <w:b/>
          <w:color w:val="003CA0"/>
          <w:sz w:val="16"/>
        </w:rPr>
        <w:t>[HC 134.508 MC, rel. min. Celso de Mello, j. 22-6-2016, dec. monocrática, DJE de 27-6-2016.]</w:t>
      </w:r>
    </w:p>
    <w:p>
      <w:pPr>
        <w:ind w:left="288"/>
      </w:pPr>
      <w:r>
        <w:rPr>
          <w:color w:val="8C8C8C"/>
          <w:sz w:val="12"/>
        </w:rPr>
        <w:t>cf-art-5-inc-L</w:t>
      </w:r>
      <w:r>
        <w:rPr>
          <w:color w:val="003CA0"/>
          <w:sz w:val="12"/>
        </w:rPr>
        <w:t xml:space="preserve"> | PET 5.700</w:t>
      </w:r>
      <w:r>
        <w:rPr>
          <w:color w:val="003CA0"/>
          <w:sz w:val="12"/>
        </w:rPr>
        <w:t xml:space="preserve"> | rel. Celso de Mello</w:t>
      </w:r>
    </w:p>
    <w:p>
      <w:pPr>
        <w:ind w:left="288"/>
      </w:pPr>
      <w:r>
        <w:rPr>
          <w:color w:val="1E1E1E"/>
          <w:sz w:val="18"/>
        </w:rPr>
        <w:t>A colaboração premiada, que não é meio de prova, acha-se legalmente disciplinada como instrumento de obtenção de dados e subsídios informativos. Valor e restrição concernentes ao depoimento do agente colaborador. O "Caso Enzo Tortora" na Itália: um clamoroso erro judiciário. A investigação penal como dever jurídico e resposta legítima do Estado à notitia criminis: o investigado como sujeito de direitos e titular de garantias oponíveis ao Estado. A presunção constitucional de inocência não cessa nem deixa de prevalecer em face da instauração de investigação penal e/ou de processo criminal. Regi</w:t>
      </w:r>
    </w:p>
    <w:p>
      <w:pPr>
        <w:ind w:left="288"/>
      </w:pPr>
      <w:r>
        <w:rPr>
          <w:b/>
          <w:color w:val="003CA0"/>
          <w:sz w:val="16"/>
        </w:rPr>
        <w:t>[Pet 5.700, rel. min. Celso de Mello, j. 22-9-2015, dec. monocrática, DJE de 24-9-2015.]</w:t>
      </w:r>
    </w:p>
    <w:p>
      <w:pPr>
        <w:ind w:left="288"/>
      </w:pPr>
      <w:r>
        <w:rPr>
          <w:color w:val="8C8C8C"/>
          <w:sz w:val="12"/>
        </w:rPr>
        <w:t>cf-art-5-inc-L</w:t>
      </w:r>
      <w:r>
        <w:rPr>
          <w:color w:val="003CA0"/>
          <w:sz w:val="12"/>
        </w:rPr>
        <w:t xml:space="preserve"> | HC 122.072</w:t>
      </w:r>
      <w:r>
        <w:rPr>
          <w:color w:val="003CA0"/>
          <w:sz w:val="12"/>
        </w:rPr>
        <w:t xml:space="preserve"> | rel. Dias Toffoli</w:t>
      </w:r>
    </w:p>
    <w:p>
      <w:pPr>
        <w:ind w:left="288"/>
      </w:pPr>
      <w:r>
        <w:rPr>
          <w:color w:val="1E1E1E"/>
          <w:sz w:val="18"/>
        </w:rPr>
        <w:t>A presunção de inocência se aplica ao processo em que se apura a prática de ato infracional, uma vez que as medidas socioeducativas, ainda que primordialmente tenham natureza pedagógica e finalidade protetiva, podem importar na compressão da liberdade do adolescente, e, portanto, revestem-se de caráter sancionatório-aflitivo. A internação provisória, antes do trânsito em julgado da sentença, assim como a prisão preventiva, tem natureza cautelar, e não satisfativa, uma vez que visa resguardar os meios ou os fins do processo, a exigir, nos termos do art. 108, parágrafo único, do ECA, a demonstra</w:t>
      </w:r>
    </w:p>
    <w:p>
      <w:pPr>
        <w:ind w:left="288"/>
      </w:pPr>
      <w:r>
        <w:rPr>
          <w:b/>
          <w:color w:val="003CA0"/>
          <w:sz w:val="16"/>
        </w:rPr>
        <w:t>[HC 122.072, rel. min. Dias Toffoli, j. 2-9-2014, 1ª T, DJE de 29-9-2014.]</w:t>
      </w:r>
    </w:p>
    <w:p>
      <w:pPr>
        <w:ind w:left="288"/>
      </w:pPr>
      <w:r>
        <w:rPr>
          <w:color w:val="8C8C8C"/>
          <w:sz w:val="12"/>
        </w:rPr>
        <w:t>cf-art-5-inc-L</w:t>
      </w:r>
      <w:r>
        <w:rPr>
          <w:color w:val="003CA0"/>
          <w:sz w:val="12"/>
        </w:rPr>
        <w:t xml:space="preserve"> | HC 84.078</w:t>
      </w:r>
      <w:r>
        <w:rPr>
          <w:color w:val="003CA0"/>
          <w:sz w:val="12"/>
        </w:rPr>
        <w:t xml:space="preserve"> | rel. Eros Grau</w:t>
      </w:r>
    </w:p>
    <w:p>
      <w:pPr>
        <w:ind w:left="288"/>
      </w:pPr>
      <w:r>
        <w:rPr>
          <w:color w:val="1E1E1E"/>
          <w:sz w:val="18"/>
        </w:rPr>
        <w:t>Vide HC 84.078, rel. min. Eros Grau, j. 5-2-2009, P, DJE de 26-2-2010 Viola o princípio da presunção de inocência a negativa em homologar diploma de curso de formação de vigilante, com fundamento em inquéritos ou ações penais sem o trânsito em julgado.</w:t>
      </w:r>
    </w:p>
    <w:p>
      <w:pPr>
        <w:ind w:left="288"/>
      </w:pPr>
      <w:r>
        <w:rPr>
          <w:b/>
          <w:color w:val="003CA0"/>
          <w:sz w:val="16"/>
        </w:rPr>
        <w:t>[RE 805.821 AgR, rel. min. Ricardo Lewandowski, j. 24-6-2014, 2ª T, DJE de 15-8-2014.]</w:t>
      </w:r>
    </w:p>
    <w:p>
      <w:pPr>
        <w:ind w:left="288"/>
      </w:pPr>
      <w:r>
        <w:rPr>
          <w:color w:val="8C8C8C"/>
          <w:sz w:val="12"/>
        </w:rPr>
        <w:t>cf-art-5-inc-L</w:t>
      </w:r>
      <w:r>
        <w:rPr>
          <w:color w:val="003CA0"/>
          <w:sz w:val="12"/>
        </w:rPr>
        <w:t xml:space="preserve"> | ARE 943.503</w:t>
      </w:r>
      <w:r>
        <w:rPr>
          <w:color w:val="003CA0"/>
          <w:sz w:val="12"/>
        </w:rPr>
        <w:t xml:space="preserve"> | rel. Roberto Barroso</w:t>
      </w:r>
    </w:p>
    <w:p>
      <w:pPr>
        <w:ind w:left="288"/>
      </w:pPr>
      <w:r>
        <w:rPr>
          <w:color w:val="1E1E1E"/>
          <w:sz w:val="18"/>
        </w:rPr>
        <w:t>= ARE 943.503 AgR, rel. min. Roberto Barroso, j. 8-12-2016, 1ª T, DJE de 1º-2-2017 Vide RE 559.135 AgR, rel. min. Ricardo Lewandowski, j. 20-5-2008, 1ª T, DJE de 13-6-2008 Poder disciplinar. Prescrição. Anotação de fatos desabonadores nos assentamentos funcionais. Declaração incidental de inconstitucionalidade do art. 170 da Lei 8.112/1990. Violação do princípio da presunção de inocência. (...) A instauração do processo disciplinar interrompe o curso do prazo prescricional da infração, que volta a correr depois de ultrapassados 140 dias sem que haja decisão definitiva. O princípio da presunção</w:t>
      </w:r>
    </w:p>
    <w:p>
      <w:pPr>
        <w:ind w:left="288"/>
      </w:pPr>
      <w:r>
        <w:rPr>
          <w:b/>
          <w:color w:val="003CA0"/>
          <w:sz w:val="16"/>
        </w:rPr>
        <w:t>[MS 23.262, rel. min. Dias Toffoli, j. 23-4-2014, P, DJE de 30-10-2014.]</w:t>
      </w:r>
    </w:p>
    <w:p>
      <w:pPr>
        <w:ind w:left="288"/>
      </w:pPr>
      <w:r>
        <w:rPr>
          <w:color w:val="8C8C8C"/>
          <w:sz w:val="12"/>
        </w:rPr>
        <w:t>cf-art-5-inc-L</w:t>
      </w:r>
      <w:r>
        <w:rPr>
          <w:color w:val="003CA0"/>
          <w:sz w:val="12"/>
        </w:rPr>
        <w:t xml:space="preserve"> | AI 829.186</w:t>
      </w:r>
      <w:r>
        <w:rPr>
          <w:color w:val="003CA0"/>
          <w:sz w:val="12"/>
        </w:rPr>
        <w:t xml:space="preserve"> | rel. Dias Toffoli</w:t>
      </w:r>
    </w:p>
    <w:p>
      <w:pPr>
        <w:ind w:left="288"/>
      </w:pPr>
      <w:r>
        <w:rPr>
          <w:color w:val="1E1E1E"/>
          <w:sz w:val="18"/>
        </w:rPr>
        <w:t>Concurso público. (...) Investigação social. Exclusão do certame. (...) A jurisprudência da Corte firmou o entendimento de que viola o princípio da presunção de inocência a exclusão de certame público de candidato que responda a inquérito policial ou ação penal sem trânsito em julgado da sentença condenatória.</w:t>
      </w:r>
    </w:p>
    <w:p>
      <w:pPr>
        <w:ind w:left="288"/>
      </w:pPr>
      <w:r>
        <w:rPr>
          <w:b/>
          <w:color w:val="003CA0"/>
          <w:sz w:val="16"/>
        </w:rPr>
        <w:t>[AI 829.186 AgR, rel. min. Dias Toffoli, j. 23-4-2013, 1ª T, DJE de 27-6-2013.]</w:t>
      </w:r>
    </w:p>
    <w:p>
      <w:pPr>
        <w:ind w:left="288"/>
      </w:pPr>
      <w:r>
        <w:rPr>
          <w:color w:val="8C8C8C"/>
          <w:sz w:val="12"/>
        </w:rPr>
        <w:t>cf-art-5-inc-L</w:t>
      </w:r>
      <w:r>
        <w:rPr>
          <w:color w:val="003CA0"/>
          <w:sz w:val="12"/>
        </w:rPr>
        <w:t xml:space="preserve"> | ARE 847.535</w:t>
      </w:r>
      <w:r>
        <w:rPr>
          <w:color w:val="003CA0"/>
          <w:sz w:val="12"/>
        </w:rPr>
        <w:t xml:space="preserve"> | rel. Celso de Mello</w:t>
      </w:r>
    </w:p>
    <w:p>
      <w:pPr>
        <w:ind w:left="288"/>
      </w:pPr>
      <w:r>
        <w:rPr>
          <w:color w:val="1E1E1E"/>
          <w:sz w:val="18"/>
        </w:rPr>
        <w:t>= ARE 847.535 AgR, rel. min. Celso de Mello, j. 30-6-2015, 2ª T, DJE de 6-8-2015 Vide ARE 915.004 AgR, rel. min. Dias Toffoli, j. 15-3-2016, 2ª T, DJE de 18-4-2016 Vide RE 827.546 AgR, rel. min. Dias Toffoli, j. 14-4-2015, 2ª T, DJE de 26-5-2015 A presunção de não culpabilidade trata, mais do que de uma garantia, de um direito substantivo. Direito material que tem por conteúdo a presunção de não culpabilidade. Esse o bem jurídico substantivamente tutelado pela Constituição; ou seja, a presunção de não culpabilidade como o próprio conteúdo de um direito substantivo de matriz constitucional. Log</w:t>
      </w:r>
    </w:p>
    <w:p>
      <w:pPr>
        <w:ind w:left="288"/>
      </w:pPr>
      <w:r>
        <w:rPr>
          <w:b/>
          <w:color w:val="003CA0"/>
          <w:sz w:val="16"/>
        </w:rPr>
        <w:t>[HC 101.909, rel. min. Ayres Britto, j. 28-2-2012, 2ª T, DJE de 19-6-2012.]</w:t>
      </w:r>
    </w:p>
    <w:p>
      <w:pPr>
        <w:ind w:left="288"/>
      </w:pPr>
      <w:r>
        <w:rPr>
          <w:color w:val="8C8C8C"/>
          <w:sz w:val="12"/>
        </w:rPr>
        <w:t>cf-art-5-inc-L</w:t>
      </w:r>
      <w:r>
        <w:rPr>
          <w:color w:val="003CA0"/>
          <w:sz w:val="12"/>
        </w:rPr>
        <w:t xml:space="preserve"> | RHC 99.293</w:t>
      </w:r>
      <w:r>
        <w:rPr>
          <w:color w:val="003CA0"/>
          <w:sz w:val="12"/>
        </w:rPr>
        <w:t xml:space="preserve"> | rel. Cármen Lúcia</w:t>
      </w:r>
    </w:p>
    <w:p>
      <w:pPr>
        <w:ind w:left="288"/>
      </w:pPr>
      <w:r>
        <w:rPr>
          <w:color w:val="1E1E1E"/>
          <w:sz w:val="18"/>
        </w:rPr>
        <w:t>Na análise da conduta social, não poderia ter sido considerado como desfavorável o fato de responder o paciente a uma ação penal sem trânsito em julgado.</w:t>
      </w:r>
    </w:p>
    <w:p>
      <w:pPr>
        <w:ind w:left="288"/>
      </w:pPr>
      <w:r>
        <w:rPr>
          <w:b/>
          <w:color w:val="003CA0"/>
          <w:sz w:val="16"/>
        </w:rPr>
        <w:t>[RHC 99.293, rel. min. Cármen Lúcia, j. 31-8-2010, 1ª T, DJE de 7-2-2011.]</w:t>
      </w:r>
    </w:p>
    <w:p>
      <w:pPr>
        <w:ind w:left="288"/>
      </w:pPr>
      <w:r>
        <w:rPr>
          <w:color w:val="8C8C8C"/>
          <w:sz w:val="12"/>
        </w:rPr>
        <w:t>cf-art-5-inc-L</w:t>
      </w:r>
      <w:r>
        <w:rPr>
          <w:color w:val="003CA0"/>
          <w:sz w:val="12"/>
        </w:rPr>
        <w:t xml:space="preserve"> | HC 98.233</w:t>
      </w:r>
      <w:r>
        <w:rPr>
          <w:color w:val="003CA0"/>
          <w:sz w:val="12"/>
        </w:rPr>
        <w:t xml:space="preserve"> | rel. Eros Grau</w:t>
      </w:r>
    </w:p>
    <w:p>
      <w:pPr>
        <w:ind w:left="288"/>
      </w:pPr>
      <w:r>
        <w:rPr>
          <w:color w:val="1E1E1E"/>
          <w:sz w:val="18"/>
        </w:rPr>
        <w:t>Os fundamentos da prisão cautelar, considerada a excepcionalidade dessa medida, devem ser reavaliados a qualquer tempo, a fim de evitar-se o cumprimento da pena sem sentença transitada em julgado, em evidente afronta ao art. 5º, LVII, da Constituição do Brasil.</w:t>
      </w:r>
    </w:p>
    <w:p>
      <w:pPr>
        <w:ind w:left="288"/>
      </w:pPr>
      <w:r>
        <w:rPr>
          <w:b/>
          <w:color w:val="003CA0"/>
          <w:sz w:val="16"/>
        </w:rPr>
        <w:t>[HC 98.233, rel. min. Eros Grau, j. 6-10-2009, 2ª T, DJE de 29-10-2009.]</w:t>
      </w:r>
    </w:p>
    <w:p>
      <w:pPr>
        <w:ind w:left="288"/>
      </w:pPr>
      <w:r>
        <w:rPr>
          <w:color w:val="8C8C8C"/>
          <w:sz w:val="12"/>
        </w:rPr>
        <w:t>cf-art-5-inc-L</w:t>
      </w:r>
      <w:r>
        <w:rPr>
          <w:color w:val="003CA0"/>
          <w:sz w:val="12"/>
        </w:rPr>
        <w:t xml:space="preserve"> | HC 99.891</w:t>
      </w:r>
      <w:r>
        <w:rPr>
          <w:color w:val="003CA0"/>
          <w:sz w:val="12"/>
        </w:rPr>
        <w:t xml:space="preserve"> | rel. Celso de Mello</w:t>
      </w:r>
    </w:p>
    <w:p>
      <w:pPr>
        <w:ind w:left="288"/>
      </w:pPr>
      <w:r>
        <w:rPr>
          <w:color w:val="1E1E1E"/>
          <w:sz w:val="18"/>
        </w:rPr>
        <w:t xml:space="preserve">A Convenção Americana sobre Direitos Humanos não assegura, de modo irrestrito, ao condenado, o direito de (sempre) recorrer em liberdade, pois o Pacto de São José da Costa Rica, em tema de proteção ao status libertatis do réu, estabelece, em seu art. 7º, n. 2, que "Ninguém pode ser privado de sua liberdade física, salvo pelas causas e nas condições previamente fixadas pelas Constituições políticas dos Estados-partes ou pelas leis de acordo com elas promulgadas", admitindo, desse modo, a possibilidade de cada sistema jurídico nacional instituir os casos em que se legitimará, ou não, a privação </w:t>
      </w:r>
    </w:p>
    <w:p>
      <w:pPr>
        <w:ind w:left="288"/>
      </w:pPr>
      <w:r>
        <w:rPr>
          <w:b/>
          <w:color w:val="003CA0"/>
          <w:sz w:val="16"/>
        </w:rPr>
        <w:t>[HC 99.891, rel. min. Celso de Mello, j. 15-9-2009, 2ª T, DJE de 18-12-2009.]</w:t>
      </w:r>
    </w:p>
    <w:p>
      <w:pPr>
        <w:ind w:left="288"/>
      </w:pPr>
      <w:r>
        <w:rPr>
          <w:color w:val="8C8C8C"/>
          <w:sz w:val="12"/>
        </w:rPr>
        <w:t>cf-art-5-inc-L</w:t>
      </w:r>
      <w:r>
        <w:rPr>
          <w:color w:val="003CA0"/>
          <w:sz w:val="12"/>
        </w:rPr>
        <w:t xml:space="preserve"> | PET 3.898</w:t>
      </w:r>
      <w:r>
        <w:rPr>
          <w:color w:val="003CA0"/>
          <w:sz w:val="12"/>
        </w:rPr>
        <w:t xml:space="preserve"> | rel. Gilmar Mendes</w:t>
      </w:r>
    </w:p>
    <w:p>
      <w:pPr>
        <w:ind w:left="288"/>
      </w:pPr>
      <w:r>
        <w:rPr>
          <w:color w:val="1E1E1E"/>
          <w:sz w:val="18"/>
        </w:rPr>
        <w:t>Diante da formulação de proposta de suspensão condicional do processo pelo Ministério Público, o denunciado tem o direito de aguardar a fase de recebimento da denúncia, para declarar se a aceita ou não. A suspensão condicional do processo, embora traga ínsita a ideia de benefício ao denunciado, que se vê afastado da ação penal mediante o cumprimento de certas condições, não deixa de representar constrangimento, caracterizado pela necessidade de submeter-se a condições que, viesse a ser exonerado da acusação, não lhe seriam impostas. Diante da apresentação da acusação pelo Parquet, a interpreta</w:t>
      </w:r>
    </w:p>
    <w:p>
      <w:pPr>
        <w:ind w:left="288"/>
      </w:pPr>
      <w:r>
        <w:rPr>
          <w:b/>
          <w:color w:val="003CA0"/>
          <w:sz w:val="16"/>
        </w:rPr>
        <w:t>[Pet 3.898, rel. min. Gilmar Mendes, j. 27-8-2009, P, DJE de 18-12-2009.]</w:t>
      </w:r>
    </w:p>
    <w:p>
      <w:pPr>
        <w:ind w:left="288"/>
      </w:pPr>
      <w:r>
        <w:rPr>
          <w:color w:val="8C8C8C"/>
          <w:sz w:val="12"/>
        </w:rPr>
        <w:t>cf-art-5-inc-L</w:t>
      </w:r>
      <w:r>
        <w:rPr>
          <w:color w:val="003CA0"/>
          <w:sz w:val="12"/>
        </w:rPr>
        <w:t xml:space="preserve"> | INQ 2.424</w:t>
      </w:r>
      <w:r>
        <w:rPr>
          <w:color w:val="003CA0"/>
          <w:sz w:val="12"/>
        </w:rPr>
        <w:t xml:space="preserve"> | rel. Cezar Peluso</w:t>
      </w:r>
    </w:p>
    <w:p>
      <w:pPr>
        <w:ind w:left="288"/>
      </w:pPr>
      <w:r>
        <w:rPr>
          <w:color w:val="1E1E1E"/>
          <w:sz w:val="18"/>
        </w:rPr>
        <w:t>Afastamento do exercício da função jurisdicional. Aplicação do art. 29 da Loman (LC 35/1979). Medida aconselhável de resguardo ao prestígio do cargo e à própria respeitabilidade do juiz. (...) Não viola a garantia constitucional da chamada presunção de inocência o afastamento do cargo de magistrado contra o qual é recebida denúncia ou queixa.</w:t>
      </w:r>
    </w:p>
    <w:p>
      <w:pPr>
        <w:ind w:left="288"/>
      </w:pPr>
      <w:r>
        <w:rPr>
          <w:b/>
          <w:color w:val="003CA0"/>
          <w:sz w:val="16"/>
        </w:rPr>
        <w:t>[Inq 2.424, rel. min. Cezar Peluso, j. 26-11-2008, P, DJE de 26-3-2010.]</w:t>
      </w:r>
    </w:p>
    <w:p>
      <w:pPr>
        <w:ind w:left="288"/>
      </w:pPr>
      <w:r>
        <w:rPr>
          <w:color w:val="8C8C8C"/>
          <w:sz w:val="12"/>
        </w:rPr>
        <w:t>cf-art-5-inc-L</w:t>
      </w:r>
      <w:r>
        <w:rPr>
          <w:color w:val="003CA0"/>
          <w:sz w:val="12"/>
        </w:rPr>
        <w:t xml:space="preserve"> | HC 95.009</w:t>
      </w:r>
      <w:r>
        <w:rPr>
          <w:color w:val="003CA0"/>
          <w:sz w:val="12"/>
        </w:rPr>
        <w:t xml:space="preserve"> | rel. Eros Grau</w:t>
      </w:r>
    </w:p>
    <w:p>
      <w:pPr>
        <w:ind w:left="288"/>
      </w:pPr>
      <w:r>
        <w:rPr>
          <w:color w:val="1E1E1E"/>
          <w:sz w:val="18"/>
        </w:rPr>
        <w:t>A prisão preventiva em situações que vigorosamente não a justifiquem equivale a antecipação da pena, sanção a ser no futuro eventualmente imposta a quem a mereça, mediante sentença transitada em julgado. A afronta ao princípio da presunção de não culpabilidade, contemplado no plano constitucional (art. 5º, LVII, da Constituição do Brasil), é, desde essa perspectiva, evidente. Antes do trânsito em julgado da sentença condenatória, a regra é a liberdade; a prisão, a exceção. Aquela cede a esta em casos excepcionais. É necessária a demonstração de situações efetivas que justifiquem o sacrifício d</w:t>
      </w:r>
    </w:p>
    <w:p>
      <w:pPr>
        <w:ind w:left="288"/>
      </w:pPr>
      <w:r>
        <w:rPr>
          <w:b/>
          <w:color w:val="003CA0"/>
          <w:sz w:val="16"/>
        </w:rPr>
        <w:t>[HC 95.009, rel. min. Eros Grau, j. 6-11-2008, P, DJE de 19-12-2008.]</w:t>
      </w:r>
    </w:p>
    <w:p>
      <w:pPr>
        <w:ind w:left="288"/>
      </w:pPr>
      <w:r>
        <w:rPr>
          <w:color w:val="8C8C8C"/>
          <w:sz w:val="12"/>
        </w:rPr>
        <w:t>cf-art-5-inc-L</w:t>
      </w:r>
      <w:r>
        <w:rPr>
          <w:color w:val="003CA0"/>
          <w:sz w:val="12"/>
        </w:rPr>
        <w:t xml:space="preserve"> | HC 96.577</w:t>
      </w:r>
      <w:r>
        <w:rPr>
          <w:color w:val="003CA0"/>
          <w:sz w:val="12"/>
        </w:rPr>
        <w:t xml:space="preserve"> | rel. Celso de Mello</w:t>
      </w:r>
    </w:p>
    <w:p>
      <w:pPr>
        <w:ind w:left="288"/>
      </w:pPr>
      <w:r>
        <w:rPr>
          <w:color w:val="1E1E1E"/>
          <w:sz w:val="18"/>
        </w:rPr>
        <w:t xml:space="preserve">= HC 96.577, rel. min. Celso de Mello, j. 10-2-2009, 2ª T, DJE de 19-3-2010 Vide HC 97.028, rel. min. Eros Grau, j. 16-12-2008, 2ª T, DJE de 14-8-2009 A questão jurídica debatida neste habeas corpus consiste na possibilidade (ou não) da imposição de condições ao paciente com a revogação da decisão que decretou sua prisão preventiva. Houve a observância dos princípios e regras constitucionais aplicáveis à matéria na decisão que condicionou a revogação do decreto prisional ao cumprimento de certas condições judiciais. (...) A medida adotada na decisão impugnada tem clara natureza acautelatória, </w:t>
      </w:r>
    </w:p>
    <w:p>
      <w:pPr>
        <w:ind w:left="288"/>
      </w:pPr>
      <w:r>
        <w:rPr>
          <w:b/>
          <w:color w:val="003CA0"/>
          <w:sz w:val="16"/>
        </w:rPr>
        <w:t>[HC 94.147, rel. min. Ellen Gracie, j. 27-5-2008, 2ª T, DJE de 13-6-2008.]</w:t>
      </w:r>
    </w:p>
    <w:p>
      <w:pPr>
        <w:ind w:left="288"/>
      </w:pPr>
      <w:r>
        <w:rPr>
          <w:color w:val="8C8C8C"/>
          <w:sz w:val="12"/>
        </w:rPr>
        <w:t>cf-art-5-inc-L</w:t>
      </w:r>
      <w:r>
        <w:rPr>
          <w:color w:val="003CA0"/>
          <w:sz w:val="12"/>
        </w:rPr>
        <w:t xml:space="preserve"> | RE 459.320</w:t>
      </w:r>
      <w:r>
        <w:rPr>
          <w:color w:val="003CA0"/>
          <w:sz w:val="12"/>
        </w:rPr>
        <w:t xml:space="preserve"> | rel. Eros Grau</w:t>
      </w:r>
    </w:p>
    <w:p>
      <w:pPr>
        <w:ind w:left="288"/>
      </w:pPr>
      <w:r>
        <w:rPr>
          <w:color w:val="1E1E1E"/>
          <w:sz w:val="18"/>
        </w:rPr>
        <w:t>A jurisprudência do Supremo é no sentido da inexistência de violação do princípio da presunção da inocência (Constituição do Brasil/1988, art. 5º, LVII) no fato de a lei não permitir a inclusão de oficial militar no quadro de acesso à promoção em razão de denúncia em processo criminal.</w:t>
      </w:r>
    </w:p>
    <w:p>
      <w:pPr>
        <w:ind w:left="288"/>
      </w:pPr>
      <w:r>
        <w:rPr>
          <w:b/>
          <w:color w:val="003CA0"/>
          <w:sz w:val="16"/>
        </w:rPr>
        <w:t>[RE 459.320 AgR, rel. min. Eros Grau, j. 22-4-2008, 2ª T, DJE de 23-5-2008.]</w:t>
      </w:r>
    </w:p>
    <w:p>
      <w:pPr>
        <w:ind w:left="288"/>
      </w:pPr>
      <w:r>
        <w:rPr>
          <w:color w:val="8C8C8C"/>
          <w:sz w:val="12"/>
        </w:rPr>
        <w:t>cf-art-5-inc-L</w:t>
      </w:r>
      <w:r>
        <w:rPr>
          <w:color w:val="003CA0"/>
          <w:sz w:val="12"/>
        </w:rPr>
        <w:t xml:space="preserve"> | RE 434.198</w:t>
      </w:r>
      <w:r>
        <w:rPr>
          <w:color w:val="003CA0"/>
          <w:sz w:val="12"/>
        </w:rPr>
        <w:t xml:space="preserve"> | rel. Dias Toffoli</w:t>
      </w:r>
    </w:p>
    <w:p>
      <w:pPr>
        <w:ind w:left="288"/>
      </w:pPr>
      <w:r>
        <w:rPr>
          <w:color w:val="1E1E1E"/>
          <w:sz w:val="18"/>
        </w:rPr>
        <w:t>= RE 434.198 AgR, rel. min. Dias Toffoli, j. 28-2-2012, 1ª T, DJE de 30-3-2012 Sentença contra a evidência dos autos. Fragilidade evidente do conjunto probatório. Imutabilidade das decisões judiciais. Primazia do direito à presunção de não culpabilidade. A revisão criminal retrata o compromisso do nosso direito processual penal com a verdade material das decisões judiciais e permite ao Poder Judiciário reparar erros ou insuficiência cognitiva de seus julgados. Em matéria penal, a densificação do valor constitucional do justo real é o direito à presunção de não culpabilidade (...). É dizer: que</w:t>
      </w:r>
    </w:p>
    <w:p>
      <w:pPr>
        <w:ind w:left="288"/>
      </w:pPr>
      <w:r>
        <w:rPr>
          <w:b/>
          <w:color w:val="003CA0"/>
          <w:sz w:val="16"/>
        </w:rPr>
        <w:t>[HC 92.435, rel. min. Ayres Britto, j. 25-3-2008, 1ª T, DJE de 17-10-2008.]</w:t>
      </w:r>
    </w:p>
    <w:p>
      <w:pPr>
        <w:ind w:left="288"/>
      </w:pPr>
      <w:r>
        <w:rPr>
          <w:color w:val="8C8C8C"/>
          <w:sz w:val="12"/>
        </w:rPr>
        <w:t>cf-art-5-inc-L</w:t>
      </w:r>
      <w:r>
        <w:rPr>
          <w:color w:val="003CA0"/>
          <w:sz w:val="12"/>
        </w:rPr>
        <w:t xml:space="preserve"> | RE 482.006</w:t>
      </w:r>
      <w:r>
        <w:rPr>
          <w:color w:val="003CA0"/>
          <w:sz w:val="12"/>
        </w:rPr>
        <w:t xml:space="preserve"> | rel. Ricardo Lewandowski</w:t>
      </w:r>
    </w:p>
    <w:p>
      <w:pPr>
        <w:ind w:left="288"/>
      </w:pPr>
      <w:r>
        <w:rPr>
          <w:color w:val="1E1E1E"/>
          <w:sz w:val="18"/>
        </w:rPr>
        <w:t>A redução de vencimentos de servidores públicos processados criminalmente colide com o disposto nos arts. 5º, LVII, e 37, XV, da Constituição, que abrigam, respectivamente, os princípios da presunção de inocência e da irredutibilidade de vencimentos. Norma estadual não recepcionada pela atual Carta Magna, sendo irrelevante a previsão que nela se contém de devolução dos valores descontados em caso de absolvição.</w:t>
      </w:r>
    </w:p>
    <w:p>
      <w:pPr>
        <w:ind w:left="288"/>
      </w:pPr>
      <w:r>
        <w:rPr>
          <w:b/>
          <w:color w:val="003CA0"/>
          <w:sz w:val="16"/>
        </w:rPr>
        <w:t>[RE 482.006, rel. min. Ricardo Lewandowski, j. 7-11-2007, P, DJ de 14-12-2007.]</w:t>
      </w:r>
    </w:p>
    <w:p>
      <w:pPr>
        <w:ind w:left="288"/>
      </w:pPr>
      <w:r>
        <w:rPr>
          <w:color w:val="8C8C8C"/>
          <w:sz w:val="12"/>
        </w:rPr>
        <w:t>cf-art-5-inc-L</w:t>
      </w:r>
      <w:r>
        <w:rPr>
          <w:color w:val="003CA0"/>
          <w:sz w:val="12"/>
        </w:rPr>
        <w:t xml:space="preserve"> | ARE 776.213</w:t>
      </w:r>
      <w:r>
        <w:rPr>
          <w:color w:val="003CA0"/>
          <w:sz w:val="12"/>
        </w:rPr>
        <w:t xml:space="preserve"> | rel. Gilmar Mendes</w:t>
      </w:r>
    </w:p>
    <w:p>
      <w:pPr>
        <w:ind w:left="288"/>
      </w:pPr>
      <w:r>
        <w:rPr>
          <w:color w:val="1E1E1E"/>
          <w:sz w:val="18"/>
        </w:rPr>
        <w:t>= ARE 776.213 AgR, rel. min. Gilmar Mendes, j. 19-8-2014, 2ª T, DJE de 4-9-2014 = AI 723.284 AgR, rel. min. Dias Toffoli, j. 27-8-2013, 1ª T, DJE de 23-10-2013 Ofensa à presunção constitucional de inocência. Constrangimento ilegal caracterizado. Aplicação do art. 5º, LVII, da CF. Precedentes. É ilegal o decreto de prisão preventiva que se funda na periculosidade presumida do réu.</w:t>
      </w:r>
    </w:p>
    <w:p>
      <w:pPr>
        <w:ind w:left="288"/>
      </w:pPr>
      <w:r>
        <w:rPr>
          <w:b/>
          <w:color w:val="003CA0"/>
          <w:sz w:val="16"/>
        </w:rPr>
        <w:t>[HC 90.471, rel. min. Cezar Peluso, j. 7-8-2007, 1ª T, DJ de 14-9-2007.]</w:t>
      </w:r>
    </w:p>
    <w:p>
      <w:pPr>
        <w:ind w:left="288"/>
      </w:pPr>
      <w:r>
        <w:rPr>
          <w:color w:val="8C8C8C"/>
          <w:sz w:val="12"/>
        </w:rPr>
        <w:t>cf-art-5-inc-L</w:t>
      </w:r>
      <w:r>
        <w:rPr>
          <w:color w:val="003CA0"/>
          <w:sz w:val="12"/>
        </w:rPr>
        <w:t xml:space="preserve"> | HC 88.721</w:t>
      </w:r>
      <w:r>
        <w:rPr>
          <w:color w:val="003CA0"/>
          <w:sz w:val="12"/>
        </w:rPr>
        <w:t xml:space="preserve"> | rel. Marco Aurélio</w:t>
      </w:r>
    </w:p>
    <w:p>
      <w:pPr>
        <w:ind w:left="288"/>
      </w:pPr>
      <w:r>
        <w:rPr>
          <w:color w:val="1E1E1E"/>
          <w:sz w:val="18"/>
        </w:rPr>
        <w:t>= HC 88.721, rel. min. Marco Aurélio, j. 28-4-2009, 1ª T, DJE de 29-5-2009 O simples fato de o réu estar sendo processado por outros crimes e respondendo a outros inquéritos policiais não é suficiente para justificar a manutenção da constrição cautelar.</w:t>
      </w:r>
    </w:p>
    <w:p>
      <w:pPr>
        <w:ind w:left="288"/>
      </w:pPr>
      <w:r>
        <w:rPr>
          <w:b/>
          <w:color w:val="003CA0"/>
          <w:sz w:val="16"/>
        </w:rPr>
        <w:t>[HC 86.186, rel. min. Gilmar Mendes, j. 15-5-2007, 2ª T, DJ de 17-8-2007.]</w:t>
      </w:r>
    </w:p>
    <w:p>
      <w:pPr>
        <w:ind w:left="288"/>
      </w:pPr>
      <w:r>
        <w:rPr>
          <w:color w:val="8C8C8C"/>
          <w:sz w:val="12"/>
        </w:rPr>
        <w:t>cf-art-5-inc-L</w:t>
      </w:r>
      <w:r>
        <w:rPr>
          <w:color w:val="003CA0"/>
          <w:sz w:val="12"/>
        </w:rPr>
        <w:t xml:space="preserve"> | HC 100.091</w:t>
      </w:r>
      <w:r>
        <w:rPr>
          <w:color w:val="003CA0"/>
          <w:sz w:val="12"/>
        </w:rPr>
        <w:t xml:space="preserve"> | rel. Celso de Mello</w:t>
      </w:r>
    </w:p>
    <w:p>
      <w:pPr>
        <w:ind w:left="288"/>
      </w:pPr>
      <w:r>
        <w:rPr>
          <w:color w:val="1E1E1E"/>
          <w:sz w:val="18"/>
        </w:rPr>
        <w:t>= HC 100.091, rel. min. Celso de Mello, j. 15-9-2009, 2ª T, DJE de 28-6-2013 Inteligência dos arts. 5º, LVII, da CF e 312 do CPP. É ilegal o decreto de prisão preventiva que, a título de necessidade de garantia da ordem pública, se baseia no só fato de o réu já ter sido condenado, em primeiro grau, noutro processo, por delito igual ao que lhe é imputado.</w:t>
      </w:r>
    </w:p>
    <w:p>
      <w:pPr>
        <w:ind w:left="288"/>
      </w:pPr>
      <w:r>
        <w:rPr>
          <w:b/>
          <w:color w:val="003CA0"/>
          <w:sz w:val="16"/>
        </w:rPr>
        <w:t>[HC 87.717, rel. min. Cezar Peluso, j. 3-4-2007, 2ª T, DJ de 8-6-2007.]</w:t>
      </w:r>
    </w:p>
    <w:p>
      <w:pPr>
        <w:ind w:left="288"/>
      </w:pPr>
      <w:r>
        <w:rPr>
          <w:color w:val="8C8C8C"/>
          <w:sz w:val="12"/>
        </w:rPr>
        <w:t>cf-art-5-inc-L</w:t>
      </w:r>
      <w:r>
        <w:rPr>
          <w:color w:val="003CA0"/>
          <w:sz w:val="12"/>
        </w:rPr>
        <w:t xml:space="preserve"> | HC 118.345</w:t>
      </w:r>
      <w:r>
        <w:rPr>
          <w:color w:val="003CA0"/>
          <w:sz w:val="12"/>
        </w:rPr>
        <w:t xml:space="preserve"> | rel. Teori Zavascki</w:t>
      </w:r>
    </w:p>
    <w:p>
      <w:pPr>
        <w:ind w:left="288"/>
      </w:pPr>
      <w:r>
        <w:rPr>
          <w:color w:val="1E1E1E"/>
          <w:sz w:val="18"/>
        </w:rPr>
        <w:t>= HC 118.345, rel min. Teori Zavascki, j. 25-2-2014, 2ª T, DJE de 11-3-2014 Vide HC 118.361, rel. min. Gilmar Mendes, j. 25-2-2014, 2ª T, DJE de 17-3-2014 O postulado constitucional da não culpabilidade impede que o Estado trate, como se culpado fosse, aquele que ainda não sofreu condenação penal irrecorrível. A prerrogativa jurídica da liberdade – que possui extração constitucional (CF, art. 5º, LXI e LXV) – não pode ser ofendida por interpretações doutrinárias ou jurisprudenciais, que, fundadas em preocupante discurso de conteúdo autoritário, culminam por consagrar, paradoxalmente, em detrim</w:t>
      </w:r>
    </w:p>
    <w:p>
      <w:pPr>
        <w:ind w:left="288"/>
      </w:pPr>
      <w:r>
        <w:rPr>
          <w:b/>
          <w:color w:val="003CA0"/>
          <w:sz w:val="16"/>
        </w:rPr>
        <w:t>[HC 89.501, rel. min. Celso de Mello, j. 12-12-2006, 2ª T, DJ de 16-3-2007.]</w:t>
      </w:r>
    </w:p>
    <w:p>
      <w:pPr>
        <w:ind w:left="288"/>
      </w:pPr>
      <w:r>
        <w:rPr>
          <w:color w:val="8C8C8C"/>
          <w:sz w:val="12"/>
        </w:rPr>
        <w:t>cf-art-5-inc-L</w:t>
      </w:r>
      <w:r>
        <w:rPr>
          <w:color w:val="003CA0"/>
          <w:sz w:val="12"/>
        </w:rPr>
        <w:t xml:space="preserve"> | HC 84.677</w:t>
      </w:r>
      <w:r>
        <w:rPr>
          <w:color w:val="003CA0"/>
          <w:sz w:val="12"/>
        </w:rPr>
        <w:t xml:space="preserve"> | rel. Eros Grau</w:t>
      </w:r>
    </w:p>
    <w:p>
      <w:pPr>
        <w:ind w:left="288"/>
      </w:pPr>
      <w:r>
        <w:rPr>
          <w:color w:val="1E1E1E"/>
          <w:sz w:val="18"/>
        </w:rPr>
        <w:t>Pena restritiva de direitos só pode ser executada após o trânsito em julgado da sentença que a impôs.</w:t>
      </w:r>
    </w:p>
    <w:p>
      <w:pPr>
        <w:ind w:left="288"/>
      </w:pPr>
      <w:r>
        <w:rPr>
          <w:b/>
          <w:color w:val="003CA0"/>
          <w:sz w:val="16"/>
        </w:rPr>
        <w:t>[HC 84.677, rel. min. Eros Grau, red. do ac. min. Cezar Peluso, j. 23-11-2004, 1ª T, DJ de 8-4-2005.]</w:t>
      </w:r>
    </w:p>
    <w:p>
      <w:pPr>
        <w:ind w:left="288"/>
      </w:pPr>
      <w:r>
        <w:rPr>
          <w:color w:val="8C8C8C"/>
          <w:sz w:val="12"/>
        </w:rPr>
        <w:t>cf-art-5-inc-L</w:t>
      </w:r>
      <w:r>
        <w:rPr>
          <w:color w:val="003CA0"/>
          <w:sz w:val="12"/>
        </w:rPr>
        <w:t xml:space="preserve"> | HC 88.500</w:t>
      </w:r>
      <w:r>
        <w:rPr>
          <w:color w:val="003CA0"/>
          <w:sz w:val="12"/>
        </w:rPr>
        <w:t xml:space="preserve"> | rel. Joaquim Barbosa</w:t>
      </w:r>
    </w:p>
    <w:p>
      <w:pPr>
        <w:ind w:left="288"/>
      </w:pPr>
      <w:r>
        <w:rPr>
          <w:color w:val="1E1E1E"/>
          <w:sz w:val="18"/>
        </w:rPr>
        <w:t>Vide HC 88.500, rel. min. Joaquim Barbosa, j. 20-10-2009, 2ª T, DJE de 18-12-2009 A privação cautelar da liberdade individual reveste-se de caráter excepcional, somente devendo ser decretada em situações de absoluta necessidade. A prisão preventiva, para legitimar-se em face de nosso sistema jurídico, impõe – além da satisfação dos pressupostos a que se refere o art. 312 do CPP (prova da existência material do crime e indício suficiente de autoria) – que se evidenciem, com fundamento em base empírica idônea, razões justificadoras da imprescindibilidade dessa extraordinária medida cautelar de p</w:t>
      </w:r>
    </w:p>
    <w:p>
      <w:pPr>
        <w:ind w:left="288"/>
      </w:pPr>
      <w:r>
        <w:rPr>
          <w:b/>
          <w:color w:val="003CA0"/>
          <w:sz w:val="16"/>
        </w:rPr>
        <w:t>[HC 80.719, rel. min. Celso de Mello, j. 26-6-2001, 2ª T, DJ de 28-9-2001.]</w:t>
      </w:r>
    </w:p>
    <w:p>
      <w:pPr>
        <w:ind w:left="288"/>
      </w:pPr>
      <w:r>
        <w:rPr>
          <w:color w:val="8C8C8C"/>
          <w:sz w:val="12"/>
        </w:rPr>
        <w:t>cf-art-5-inc-L</w:t>
      </w:r>
      <w:r>
        <w:rPr>
          <w:color w:val="003CA0"/>
          <w:sz w:val="12"/>
        </w:rPr>
        <w:t xml:space="preserve"> | HC 95.483</w:t>
      </w:r>
      <w:r>
        <w:rPr>
          <w:color w:val="003CA0"/>
          <w:sz w:val="12"/>
        </w:rPr>
        <w:t xml:space="preserve"> | rel. Marco Aurélio</w:t>
      </w:r>
    </w:p>
    <w:p>
      <w:pPr>
        <w:ind w:left="288"/>
      </w:pPr>
      <w:r>
        <w:rPr>
          <w:color w:val="1E1E1E"/>
          <w:sz w:val="18"/>
        </w:rPr>
        <w:t>= HC 95.483, rel. min. Marco Aurélio, j. 15-9-2009, 1ª T, DJE 29-10-2009 A medida despenalizadora da suspensão condicional do processo (Lei 9.099/1995, art. 89) visa evitar que o autor do fato não tenha que ser submetido aos efeitos deletérios do processo. Uma vez respondendo a um processo e condenado por outro, a medida não se justifica. Precedentes: HC 73.793, min. Maurício Corrêa; HC 74.463, min. Celso de Mello; AGED 202.467, min. Moreira Alves. A restrição não é inconstitucional. Ela não viola o princípio constitucional da inocência.</w:t>
      </w:r>
    </w:p>
    <w:p>
      <w:pPr>
        <w:ind w:left="288"/>
      </w:pPr>
      <w:r>
        <w:rPr>
          <w:b/>
          <w:color w:val="003CA0"/>
          <w:sz w:val="16"/>
        </w:rPr>
        <w:t>[RHC 79.460, voto do red. do ac. min. Nelson Jobim, j. 27-10-1999, P, DJ de 18-5-2001.]</w:t>
      </w:r>
    </w:p>
    <w:p>
      <w:pPr>
        <w:ind w:left="288"/>
      </w:pPr>
      <w:r>
        <w:rPr>
          <w:color w:val="8C8C8C"/>
          <w:sz w:val="12"/>
        </w:rPr>
        <w:t>cf-art-5-inc-L</w:t>
      </w:r>
      <w:r>
        <w:rPr>
          <w:color w:val="003CA0"/>
          <w:sz w:val="12"/>
        </w:rPr>
        <w:t xml:space="preserve"> | HC 85.106</w:t>
      </w:r>
      <w:r>
        <w:rPr>
          <w:color w:val="003CA0"/>
          <w:sz w:val="12"/>
        </w:rPr>
        <w:t xml:space="preserve"> | rel. Sepúlveda Pertence</w:t>
      </w:r>
    </w:p>
    <w:p>
      <w:pPr>
        <w:ind w:left="288"/>
      </w:pPr>
      <w:r>
        <w:rPr>
          <w:color w:val="1E1E1E"/>
          <w:sz w:val="18"/>
        </w:rPr>
        <w:t>= HC 85.106, rel. min. Sepúlveda Pertence, j. 14-12-2004, 1ª T, DJ de 4-3-2005 Nenhuma acusação penal se presume provada. Não compete ao réu demonstrar a sua inocência. Cabe ao Ministério Público comprovar, de forma inequívoca, a culpabilidade do acusado. Já não mais prevalece, em nosso sistema de direito positivo, a regra, que, em dado momento histórico do processo político brasileiro (Estado Novo), criou, para o réu, com a falta de pudor que caracteriza os regimes autoritários, a obrigação de o acusado provar a sua própria inocência (DL 88, de 20-12-1937, art. 20, 5). Não se justifica, sem b</w:t>
      </w:r>
    </w:p>
    <w:p>
      <w:pPr>
        <w:ind w:left="288"/>
      </w:pPr>
      <w:r>
        <w:rPr>
          <w:b/>
          <w:color w:val="003CA0"/>
          <w:sz w:val="16"/>
        </w:rPr>
        <w:t>[HC 73.338, rel. min. Celso de Mello, j. 13-8-1996,1ª T, DJ de 19-12-1996.]</w:t>
      </w:r>
    </w:p>
    <w:p>
      <w:pPr>
        <w:ind w:left="288"/>
      </w:pPr>
      <w:r>
        <w:rPr>
          <w:color w:val="8C8C8C"/>
          <w:sz w:val="12"/>
        </w:rPr>
        <w:t>cf-art-5-inc-L</w:t>
      </w:r>
      <w:r>
        <w:rPr>
          <w:color w:val="003CA0"/>
          <w:sz w:val="12"/>
        </w:rPr>
        <w:t xml:space="preserve"> | HC 71.169</w:t>
      </w:r>
      <w:r>
        <w:rPr>
          <w:color w:val="003CA0"/>
          <w:sz w:val="12"/>
        </w:rPr>
        <w:t xml:space="preserve"> | rel. Moreira Alves</w:t>
      </w:r>
    </w:p>
    <w:p>
      <w:pPr>
        <w:ind w:left="288"/>
      </w:pPr>
      <w:r>
        <w:rPr>
          <w:color w:val="1E1E1E"/>
          <w:sz w:val="18"/>
        </w:rPr>
        <w:t>Já se firmou a jurisprudência desta Corte no sentido de que a prisão cautelar não viola o princípio constitucional da presunção de inocência, conclusão essa que decorre da conjugação dos incisos LVII, LXI e LXVI do art. 5º da CF.</w:t>
      </w:r>
    </w:p>
    <w:p>
      <w:pPr>
        <w:ind w:left="288"/>
      </w:pPr>
      <w:r>
        <w:rPr>
          <w:b/>
          <w:color w:val="003CA0"/>
          <w:sz w:val="16"/>
        </w:rPr>
        <w:t>[HC 71.169, rel. min. Moreira Alves, j. 26-4-1994, 1ª T, DJ de 16-9-1994.]</w:t>
      </w:r>
    </w:p>
    <w:p>
      <w:pPr>
        <w:ind w:left="288"/>
      </w:pPr>
      <w:r>
        <w:rPr>
          <w:color w:val="8C8C8C"/>
          <w:sz w:val="12"/>
        </w:rPr>
        <w:t>cf-art-5-inc-L</w:t>
      </w:r>
      <w:r>
        <w:rPr>
          <w:color w:val="003CA0"/>
          <w:sz w:val="12"/>
        </w:rPr>
        <w:t xml:space="preserve"> | RHC 93.123</w:t>
      </w:r>
      <w:r>
        <w:rPr>
          <w:color w:val="003CA0"/>
          <w:sz w:val="12"/>
        </w:rPr>
        <w:t xml:space="preserve"> | rel. Cármen Lúcia</w:t>
      </w:r>
    </w:p>
    <w:p>
      <w:pPr>
        <w:ind w:left="288"/>
      </w:pPr>
      <w:r>
        <w:rPr>
          <w:color w:val="1E1E1E"/>
          <w:sz w:val="18"/>
        </w:rPr>
        <w:t>= RHC 93.123, rel. min. Cármen Lúcia, j. 19-2-2009, P, DJE 1º-7-2009 Não há dúvida de que são independentes as instâncias penal e administrativa, só repercutindo aquela nesta quando ela se manifesta pela inexistência material do fato ou pela negativa de sua autoria. Assim, a administração pública, para punir por falta disciplinar que também pode configurar crime, não está obrigada a esperar a decisão judicial, até porque ela não pune pela prática de crime, por não ter competência para impor sanção penal, mas pela ocorrência de infração administrativa que pode, também, ser enquadrada como delit</w:t>
      </w:r>
    </w:p>
    <w:p>
      <w:pPr>
        <w:ind w:left="288"/>
      </w:pPr>
      <w:r>
        <w:rPr>
          <w:b/>
          <w:color w:val="003CA0"/>
          <w:sz w:val="16"/>
        </w:rPr>
        <w:t>[MS 21.545, voto do min. Moreira Alves, j. 11-3-1993, P, DJ de 2-4-1993.]</w:t>
      </w:r>
    </w:p>
    <w:p>
      <w:pPr>
        <w:ind w:left="288"/>
      </w:pPr>
      <w:r>
        <w:rPr>
          <w:color w:val="8C8C8C"/>
          <w:sz w:val="12"/>
        </w:rPr>
        <w:t>cf-art-5-inc-L</w:t>
      </w:r>
      <w:r>
        <w:rPr>
          <w:color w:val="003CA0"/>
          <w:sz w:val="12"/>
        </w:rPr>
        <w:t xml:space="preserve"> | AI 747.753</w:t>
      </w:r>
      <w:r>
        <w:rPr>
          <w:color w:val="003CA0"/>
          <w:sz w:val="12"/>
        </w:rPr>
        <w:t xml:space="preserve"> | rel. Ayres Britto</w:t>
      </w:r>
    </w:p>
    <w:p>
      <w:pPr>
        <w:ind w:left="288"/>
      </w:pPr>
      <w:r>
        <w:rPr>
          <w:color w:val="1E1E1E"/>
          <w:sz w:val="18"/>
        </w:rPr>
        <w:t>= AI 747.753 AgR, rel. min. Ayres Britto, j. 14-9-2010, 2ª T, DJE de 28-10-2010 Reconhecimento, pelo magistrado sentenciante, de que a existência de referido inquérito policial legitima a formulação de juízo negativo de maus antecedentes (...). A mera sujeição de alguém a simples investigações policiais (arquivadas ou não), ou a persecuções criminais ainda em curso, não basta, só por si – ante a inexistência, em tais situações, de condenação penal transitada em julgado –, para justificar o reconhecimento de que o réu não possui bons antecedentes. Somente a condenação penal transitada em julgad</w:t>
      </w:r>
    </w:p>
    <w:p>
      <w:pPr>
        <w:ind w:left="288"/>
      </w:pPr>
      <w:r>
        <w:rPr>
          <w:b/>
          <w:color w:val="003CA0"/>
          <w:sz w:val="16"/>
        </w:rPr>
        <w:t>[HC 69.298, red. do ac. min. Celso de Mello, j. 9-6-1992, 1ª T, DJ de 15-12-2006.]</w:t>
      </w:r>
    </w:p>
    <w:p>
      <w:pPr>
        <w:ind w:left="288"/>
      </w:pPr>
      <w:r>
        <w:rPr>
          <w:color w:val="8C8C8C"/>
          <w:sz w:val="12"/>
        </w:rPr>
        <w:t>cf-art-5-inc-L</w:t>
      </w:r>
      <w:r>
        <w:rPr>
          <w:color w:val="003CA0"/>
          <w:sz w:val="12"/>
        </w:rPr>
        <w:t xml:space="preserve"> | HC 104.266</w:t>
      </w:r>
      <w:r>
        <w:rPr>
          <w:color w:val="003CA0"/>
          <w:sz w:val="12"/>
        </w:rPr>
        <w:t xml:space="preserve"> | rel. Teori Zavascki</w:t>
      </w:r>
    </w:p>
    <w:p>
      <w:pPr>
        <w:ind w:left="288"/>
      </w:pPr>
      <w:r>
        <w:rPr>
          <w:color w:val="1E1E1E"/>
          <w:sz w:val="18"/>
        </w:rPr>
        <w:t>= HC 104.266, rel. min. Teori Zavascki, j. 12-5-2015, 2ª T, DJE de 26-5-2015 = HC 103.292, rel. min. Cármen Lúcia, j. 9-11-2010, 1ª T, DJE de 25-11-2010 LVIII - o civilmente identificado não será submetido a identificação criminal, salvo nas hipóteses previstas em lei; Identificação criminal que não se justifica, no caso, após o advento da Constituição de 1988. Precedentes de ambas as Turmas do STF. Recurso provido para determinar o cancelamento da identificação criminal do recorrente.</w:t>
      </w:r>
    </w:p>
    <w:p>
      <w:pPr>
        <w:ind w:left="288"/>
      </w:pPr>
      <w:r>
        <w:rPr>
          <w:b/>
          <w:color w:val="003CA0"/>
          <w:sz w:val="16"/>
        </w:rPr>
        <w:t>[RHC 66.471, rel. min. Célio Borja, j. 28-2-1989, 2ª T, DJ de 31-3-1989.]</w:t>
      </w:r>
    </w:p>
    <w:p>
      <w:pPr>
        <w:ind w:left="288"/>
      </w:pPr>
      <w:r>
        <w:rPr>
          <w:color w:val="8C8C8C"/>
          <w:sz w:val="12"/>
        </w:rPr>
        <w:t>cf-art-5-inc-L</w:t>
      </w:r>
      <w:r>
        <w:rPr>
          <w:color w:val="003CA0"/>
          <w:sz w:val="12"/>
        </w:rPr>
        <w:t xml:space="preserve"> | RHC 66.180</w:t>
      </w:r>
      <w:r>
        <w:rPr>
          <w:color w:val="003CA0"/>
          <w:sz w:val="12"/>
        </w:rPr>
        <w:t xml:space="preserve"> | rel. Francisco Rezek</w:t>
      </w:r>
    </w:p>
    <w:p>
      <w:pPr>
        <w:ind w:left="288"/>
      </w:pPr>
      <w:r>
        <w:rPr>
          <w:color w:val="1E1E1E"/>
          <w:sz w:val="18"/>
        </w:rPr>
        <w:t>A identificação criminal não será feita se apresentada, ante a autoridade policial, a identidade civil da indiciada (...).</w:t>
      </w:r>
    </w:p>
    <w:p>
      <w:pPr>
        <w:ind w:left="288"/>
      </w:pPr>
      <w:r>
        <w:rPr>
          <w:b/>
          <w:color w:val="003CA0"/>
          <w:sz w:val="16"/>
        </w:rPr>
        <w:t>[RHC 66.180, rel. min. Francisco Rezek, j. 16-12-1988, 2ª T, DJ de 10-3-1989.]</w:t>
      </w:r>
    </w:p>
    <w:p>
      <w:pPr>
        <w:ind w:left="288"/>
      </w:pPr>
      <w:r>
        <w:rPr>
          <w:color w:val="8C8C8C"/>
          <w:sz w:val="12"/>
        </w:rPr>
        <w:t>cf-art-5-inc-L</w:t>
      </w:r>
      <w:r>
        <w:rPr>
          <w:color w:val="003CA0"/>
          <w:sz w:val="12"/>
        </w:rPr>
        <w:t xml:space="preserve"> | RHC 67.066</w:t>
      </w:r>
      <w:r>
        <w:rPr>
          <w:color w:val="003CA0"/>
          <w:sz w:val="12"/>
        </w:rPr>
        <w:t xml:space="preserve"> | rel. Octavio Gallotti</w:t>
      </w:r>
    </w:p>
    <w:p>
      <w:pPr>
        <w:ind w:left="288"/>
      </w:pPr>
      <w:r>
        <w:rPr>
          <w:color w:val="1E1E1E"/>
          <w:sz w:val="18"/>
        </w:rPr>
        <w:t>Exigência de identificação criminal que não se evidencia ser ilegal, por falta de comprovação de haver sido o paciente civilmente identificado.</w:t>
      </w:r>
    </w:p>
    <w:p>
      <w:pPr>
        <w:ind w:left="288"/>
      </w:pPr>
      <w:r>
        <w:rPr>
          <w:b/>
          <w:color w:val="003CA0"/>
          <w:sz w:val="16"/>
        </w:rPr>
        <w:t>[RHC 67.066, rel. min. Octavio Gallotti, j. 6-12-1988, 1ª T, DJ de 10-2-1989.]</w:t>
      </w:r>
    </w:p>
    <w:p>
      <w:pPr>
        <w:ind w:left="288"/>
      </w:pPr>
      <w:r>
        <w:rPr>
          <w:color w:val="8C8C8C"/>
          <w:sz w:val="12"/>
        </w:rPr>
        <w:t>cf-art-5-inc-L</w:t>
      </w:r>
      <w:r>
        <w:rPr>
          <w:color w:val="003CA0"/>
          <w:sz w:val="12"/>
        </w:rPr>
        <w:t xml:space="preserve"> | ARE 859.251</w:t>
      </w:r>
      <w:r>
        <w:rPr>
          <w:color w:val="003CA0"/>
          <w:sz w:val="12"/>
        </w:rPr>
        <w:t xml:space="preserve"> | rel. Gilmar Mendes</w:t>
      </w:r>
    </w:p>
    <w:p>
      <w:pPr>
        <w:ind w:left="288"/>
      </w:pPr>
      <w:r>
        <w:rPr>
          <w:color w:val="1E1E1E"/>
          <w:sz w:val="18"/>
        </w:rPr>
        <w:t>LIX - será admitida ação privada nos crimes de ação pública, se esta não for intentada no prazo legal; Direito a mover ação penal privada subsidiária da pública. Art. 5º, LIX, da CF. Direito da vítima e sua família à aplicação da lei penal, inclusive tomando as rédeas da ação criminal, se o Ministério Público não agir em tempo. Relevância jurídica. Repercussão geral reconhecida. Inquérito policial relatado remetido ao Ministério Público. Ausência de movimentação externa ao Parquet por prazo superior ao legal (art. 46 do CPP). Surgimento do direito potestativo a propor ação penal privada. Quest</w:t>
      </w:r>
    </w:p>
    <w:p>
      <w:pPr>
        <w:ind w:left="288"/>
      </w:pPr>
      <w:r>
        <w:rPr>
          <w:b/>
          <w:color w:val="003CA0"/>
          <w:sz w:val="16"/>
        </w:rPr>
        <w:t>[ARE 859.251-RG, rel. min. Gilmar Mendes, j. 16-4-2015, P, DJE de 21-5-2015, Tema 811, com mérito julgado.]</w:t>
      </w:r>
    </w:p>
    <w:p>
      <w:pPr>
        <w:ind w:left="288"/>
      </w:pPr>
      <w:r>
        <w:rPr>
          <w:color w:val="8C8C8C"/>
          <w:sz w:val="12"/>
        </w:rPr>
        <w:t>cf-art-5-inc-L</w:t>
      </w:r>
      <w:r>
        <w:rPr>
          <w:color w:val="003CA0"/>
          <w:sz w:val="12"/>
        </w:rPr>
        <w:t xml:space="preserve"> | PET 4.281</w:t>
      </w:r>
      <w:r>
        <w:rPr>
          <w:color w:val="003CA0"/>
          <w:sz w:val="12"/>
        </w:rPr>
        <w:t xml:space="preserve"> | rel. Celso de Mello</w:t>
      </w:r>
    </w:p>
    <w:p>
      <w:pPr>
        <w:ind w:left="288"/>
      </w:pPr>
      <w:r>
        <w:rPr>
          <w:color w:val="1E1E1E"/>
          <w:sz w:val="18"/>
        </w:rPr>
        <w:t>Crimes militares: possibilidade, em tese, quanto a eles, de ajuizamento de queixa subsidiária. Ausência, no caso, dos pressupostos autorizadores da utilização da ação penal privada subsidiária. (...) Ausência, no caso, de legitimação ativa ad causam da associação civil de direito privado que ajuizou a queixa subsidiária. Entidade civil que não se qualifica, no contexto em exame, como sujeito passivo das condutas delituosas que imputou aos querelados, achando-se excluída, por isso mesmo, do rol (que é taxativo) daqueles ativamente legitimados ao exercício da queixa subsidiária (CPP, art. 29, c/</w:t>
      </w:r>
    </w:p>
    <w:p>
      <w:pPr>
        <w:ind w:left="288"/>
      </w:pPr>
      <w:r>
        <w:rPr>
          <w:b/>
          <w:color w:val="003CA0"/>
          <w:sz w:val="16"/>
        </w:rPr>
        <w:t>[Pet 4.281, rel. min. Celso de Mello, j. 10-8-2009, dec. monocrática, DJE de 17-8-2009.]</w:t>
      </w:r>
    </w:p>
    <w:p>
      <w:pPr>
        <w:ind w:left="288"/>
      </w:pPr>
      <w:r>
        <w:rPr>
          <w:color w:val="8C8C8C"/>
          <w:sz w:val="12"/>
        </w:rPr>
        <w:t>cf-art-5-inc-L</w:t>
      </w:r>
      <w:r>
        <w:rPr>
          <w:color w:val="003CA0"/>
          <w:sz w:val="12"/>
        </w:rPr>
        <w:t xml:space="preserve"> | HC 74.276</w:t>
      </w:r>
      <w:r>
        <w:rPr>
          <w:color w:val="003CA0"/>
          <w:sz w:val="12"/>
        </w:rPr>
        <w:t xml:space="preserve"> | rel. Celso de Mello</w:t>
      </w:r>
    </w:p>
    <w:p>
      <w:pPr>
        <w:ind w:left="288"/>
      </w:pPr>
      <w:r>
        <w:rPr>
          <w:color w:val="1E1E1E"/>
          <w:sz w:val="18"/>
        </w:rPr>
        <w:t>O STF tem enfatizado que, arquivado o inquérito policial, por decisão judicial, a pedido do Ministério Público, não cabe a ação penal subsidiária.</w:t>
      </w:r>
    </w:p>
    <w:p>
      <w:pPr>
        <w:ind w:left="288"/>
      </w:pPr>
      <w:r>
        <w:rPr>
          <w:b/>
          <w:color w:val="003CA0"/>
          <w:sz w:val="16"/>
        </w:rPr>
        <w:t>[HC 74.276, rel. min. Celso de Mello, j. 3-9-1996, 1ª T, DJE de 24-2-2011.]</w:t>
      </w:r>
    </w:p>
    <w:p>
      <w:pPr>
        <w:ind w:left="288"/>
      </w:pPr>
      <w:r>
        <w:rPr>
          <w:color w:val="8C8C8C"/>
          <w:sz w:val="12"/>
        </w:rPr>
        <w:t>cf-art-5-inc-L</w:t>
      </w:r>
      <w:r>
        <w:rPr>
          <w:color w:val="003CA0"/>
          <w:sz w:val="12"/>
        </w:rPr>
        <w:t xml:space="preserve"> | RE 274.115</w:t>
      </w:r>
      <w:r>
        <w:rPr>
          <w:color w:val="003CA0"/>
          <w:sz w:val="12"/>
        </w:rPr>
        <w:t xml:space="preserve"> | rel. Ellen Gracie</w:t>
      </w:r>
    </w:p>
    <w:p>
      <w:pPr>
        <w:ind w:left="288"/>
      </w:pPr>
      <w:r>
        <w:rPr>
          <w:color w:val="1E1E1E"/>
          <w:sz w:val="18"/>
        </w:rPr>
        <w:t>= RE 274.115 AgR, rel. min. Ellen Gracie, j. 12-8-2003, 2ª T, DJ de 19-9-2003 O direito de recorrer, que nasce no processo – embora condicionado ao exercício e instrumentalmente conexo ao direito de ação, que preexiste ao processo – a ele não se pode reduzir, sem abstração das diferenças substanciais que os distinguem. Em si mesma, a titularidade privativa da ação penal pública, deferida pela Constituição ao Ministério Público, veda que o poder de iniciativa do processo de ação penal pública se configura a outrem, mas nada antecipa sobre a outorga ou não de outros direitos e poderes processuai</w:t>
      </w:r>
    </w:p>
    <w:p>
      <w:pPr>
        <w:ind w:left="288"/>
      </w:pPr>
      <w:r>
        <w:rPr>
          <w:b/>
          <w:color w:val="003CA0"/>
          <w:sz w:val="16"/>
        </w:rPr>
        <w:t>[HC 68.413, rel. min. Sepúlveda Pertence, j. 22-5-1991, P, DJ de 18-10-1991.]</w:t>
      </w:r>
    </w:p>
    <w:p>
      <w:pPr>
        <w:ind w:left="288"/>
      </w:pPr>
      <w:r>
        <w:rPr>
          <w:color w:val="8C8C8C"/>
          <w:sz w:val="12"/>
        </w:rPr>
        <w:t>cf-art-5-inc-L</w:t>
      </w:r>
      <w:r>
        <w:rPr>
          <w:color w:val="003CA0"/>
          <w:sz w:val="12"/>
        </w:rPr>
        <w:t xml:space="preserve"> | ADI 4.414</w:t>
      </w:r>
      <w:r>
        <w:rPr>
          <w:color w:val="003CA0"/>
          <w:sz w:val="12"/>
        </w:rPr>
        <w:t xml:space="preserve"> | rel. Luiz Fux</w:t>
      </w:r>
    </w:p>
    <w:p>
      <w:pPr>
        <w:ind w:left="288"/>
      </w:pPr>
      <w:r>
        <w:rPr>
          <w:color w:val="1E1E1E"/>
          <w:sz w:val="18"/>
        </w:rPr>
        <w:t>LX - a lei só poderá restringir a publicidade dos atos processuais quando a defesa da intimidade ou o interesse social o exigirem; A publicidade assegurada constitucionalmente (art. 5º, LX, e 93, IX, da CRFB) alcança os autos do processo, e não somente as sessões e audiências, razão pela qual padece de inconstitucionalidade disposição normativa que determine abstratamente segredo de justiça em todos os processos em curso perante vara criminal.</w:t>
      </w:r>
    </w:p>
    <w:p>
      <w:pPr>
        <w:ind w:left="288"/>
      </w:pPr>
      <w:r>
        <w:rPr>
          <w:b/>
          <w:color w:val="003CA0"/>
          <w:sz w:val="16"/>
        </w:rPr>
        <w:t>[ADI 4.414, rel. min. Luiz Fux, j. 31-5-2012, P, DJE de 17-6-2013.]</w:t>
      </w:r>
    </w:p>
    <w:p>
      <w:pPr>
        <w:ind w:left="288"/>
      </w:pPr>
      <w:r>
        <w:rPr>
          <w:color w:val="8C8C8C"/>
          <w:sz w:val="12"/>
        </w:rPr>
        <w:t>cf-art-5-inc-L</w:t>
      </w:r>
      <w:r>
        <w:rPr>
          <w:color w:val="003CA0"/>
          <w:sz w:val="12"/>
        </w:rPr>
        <w:t xml:space="preserve"> | RE 575.144</w:t>
      </w:r>
    </w:p>
    <w:p>
      <w:pPr>
        <w:ind w:left="288"/>
      </w:pPr>
      <w:r>
        <w:rPr>
          <w:color w:val="1E1E1E"/>
          <w:sz w:val="18"/>
        </w:rPr>
        <w:t>Conforme destacado no relatório, o ministro relator apresentou o agravo regimental ao Plenário do STM, nos termos do art. 118, § 2º, do Regimento Interno daquela Corte Superior, para manter a decisão que concluiu pela competência da Justiça Militar da União para apreciar a matéria. (...) Ora, uma das garantias mais importantes no tocante aos atos processuais é a de sua ampla publicidade, abrigada no art. 5º, LX, da CR, e que somente admite temperamentos "quando a defesa da intimidade ou o interesse social o exigirem". Salta vista, pois, que a falta de formalização do acórdão, com base em norma</w:t>
      </w:r>
    </w:p>
    <w:p>
      <w:pPr>
        <w:ind w:left="288"/>
      </w:pPr>
      <w:r>
        <w:rPr>
          <w:b/>
          <w:color w:val="003CA0"/>
          <w:sz w:val="16"/>
        </w:rPr>
        <w:t>[RE 575.144, voto do min. Ricardo Lewandowski, j. 11-12-2008, P, DJE de 20-2-2009, Tema 50, com mérito julgado.]</w:t>
      </w:r>
    </w:p>
    <w:p>
      <w:pPr>
        <w:ind w:left="288"/>
      </w:pPr>
      <w:r>
        <w:rPr>
          <w:color w:val="8C8C8C"/>
          <w:sz w:val="12"/>
        </w:rPr>
        <w:t>cf-art-5-inc-L</w:t>
      </w:r>
      <w:r>
        <w:rPr>
          <w:color w:val="003CA0"/>
          <w:sz w:val="12"/>
        </w:rPr>
        <w:t xml:space="preserve"> | RCL 11.949</w:t>
      </w:r>
      <w:r>
        <w:rPr>
          <w:color w:val="003CA0"/>
          <w:sz w:val="12"/>
        </w:rPr>
        <w:t xml:space="preserve"> | rel. Cármen Lúcia</w:t>
      </w:r>
    </w:p>
    <w:p>
      <w:pPr>
        <w:ind w:left="288"/>
      </w:pPr>
      <w:r>
        <w:rPr>
          <w:color w:val="1E1E1E"/>
          <w:sz w:val="18"/>
        </w:rPr>
        <w:t>A decisão proferida no julgamento do Recurso Ordinário no Mandado de Segurança 23.036 não restringiu o acesso dos então impetrantes aos documentos e arquivos fonográficos relacionados às sessões públicas de julgamentos do STM ocorridas na década de 1970, assentando que todos os julgamentos seriam públicos e que as gravações dos áudios dessas sessões deveriam ser disponibilizadas aos impetrantes, também no que se refere aos debates e votos proferidos pelos julgadores. Injustificável a resistência que o STM tenta opor ao cumprimento da decisão emanada deste Supremo Tribunal, que afastou os obstá</w:t>
      </w:r>
    </w:p>
    <w:p>
      <w:pPr>
        <w:ind w:left="288"/>
      </w:pPr>
      <w:r>
        <w:rPr>
          <w:b/>
          <w:color w:val="003CA0"/>
          <w:sz w:val="16"/>
        </w:rPr>
        <w:t>[Rcl 11.949, rel. min. Cármen Lúcia, j. 15-3-2017, P, DJE de 16-8-2017.]</w:t>
      </w:r>
    </w:p>
    <w:p>
      <w:pPr>
        <w:ind w:left="288"/>
      </w:pPr>
      <w:r>
        <w:rPr>
          <w:color w:val="8C8C8C"/>
          <w:sz w:val="12"/>
        </w:rPr>
        <w:t>cf-art-5-inc-L</w:t>
      </w:r>
      <w:r>
        <w:rPr>
          <w:color w:val="003CA0"/>
          <w:sz w:val="12"/>
        </w:rPr>
        <w:t xml:space="preserve"> | HC 93.364</w:t>
      </w:r>
      <w:r>
        <w:rPr>
          <w:color w:val="003CA0"/>
          <w:sz w:val="12"/>
        </w:rPr>
        <w:t xml:space="preserve"> | rel. Marco Aurélio</w:t>
      </w:r>
    </w:p>
    <w:p>
      <w:pPr>
        <w:ind w:left="288"/>
      </w:pPr>
      <w:r>
        <w:rPr>
          <w:color w:val="1E1E1E"/>
          <w:sz w:val="18"/>
        </w:rPr>
        <w:t>Pregão. Ciência da data. Verificado o pregão do processo sem que avisado o impetrante quanto à data, deixando de ser observado requerimento em tal sentido, impõe-se a declaração de insubsistência do julgamento.</w:t>
      </w:r>
    </w:p>
    <w:p>
      <w:pPr>
        <w:ind w:left="288"/>
      </w:pPr>
      <w:r>
        <w:rPr>
          <w:b/>
          <w:color w:val="003CA0"/>
          <w:sz w:val="16"/>
        </w:rPr>
        <w:t>[HC 93.364 QO, rel. min. Marco Aurélio, j. 11-11-2008, 1ª T, DJE de 19-12-2008.]</w:t>
      </w:r>
    </w:p>
    <w:p>
      <w:pPr>
        <w:ind w:left="288"/>
      </w:pPr>
      <w:r>
        <w:rPr>
          <w:color w:val="8C8C8C"/>
          <w:sz w:val="12"/>
        </w:rPr>
        <w:t>cf-art-5-inc-L</w:t>
      </w:r>
      <w:r>
        <w:rPr>
          <w:color w:val="003CA0"/>
          <w:sz w:val="12"/>
        </w:rPr>
        <w:t xml:space="preserve"> | HC 90.321</w:t>
      </w:r>
      <w:r>
        <w:rPr>
          <w:color w:val="003CA0"/>
          <w:sz w:val="12"/>
        </w:rPr>
        <w:t xml:space="preserve"> | rel. Ellen Gracie</w:t>
      </w:r>
    </w:p>
    <w:p>
      <w:pPr>
        <w:ind w:left="288"/>
      </w:pPr>
      <w:r>
        <w:rPr>
          <w:color w:val="1E1E1E"/>
          <w:sz w:val="18"/>
        </w:rPr>
        <w:t>A tese de nulidade do ato do interrogatório do paciente devido ao sigilo das informações acerca da qualificação de uma das testemunhas arroladas na denúncia não deve ser acolhida. No caso concreto, há indicações claras de que houve a preservação do sigilo quanto à identidade de uma das testemunhas devido ao temor de represálias, sendo que sua qualificação foi anotada fora dos autos com acesso restrito aos juízes de direito, promotores de justiça e advogados constituídos e nomeados. Fatos imputados ao paciente foram de formação de quadrilha armada, da prática de dois latrocínios e de porte ileg</w:t>
      </w:r>
    </w:p>
    <w:p>
      <w:pPr>
        <w:ind w:left="288"/>
      </w:pPr>
      <w:r>
        <w:rPr>
          <w:b/>
          <w:color w:val="003CA0"/>
          <w:sz w:val="16"/>
        </w:rPr>
        <w:t>[HC 90.321, rel. min. Ellen Gracie, j. 2-9-2008, 2ª T, DJE de 26-9-2008.]</w:t>
      </w:r>
    </w:p>
    <w:p>
      <w:pPr>
        <w:ind w:left="288"/>
      </w:pPr>
      <w:r>
        <w:rPr>
          <w:color w:val="8C8C8C"/>
          <w:sz w:val="12"/>
        </w:rPr>
        <w:t>cf-art-5-inc-L</w:t>
      </w:r>
      <w:r>
        <w:rPr>
          <w:color w:val="003CA0"/>
          <w:sz w:val="12"/>
        </w:rPr>
        <w:t xml:space="preserve"> | MS 27.483</w:t>
      </w:r>
      <w:r>
        <w:rPr>
          <w:color w:val="003CA0"/>
          <w:sz w:val="12"/>
        </w:rPr>
        <w:t xml:space="preserve"> | rel. Cezar Peluso</w:t>
      </w:r>
    </w:p>
    <w:p>
      <w:pPr>
        <w:ind w:left="288"/>
      </w:pPr>
      <w:r>
        <w:rPr>
          <w:color w:val="1E1E1E"/>
          <w:sz w:val="18"/>
        </w:rPr>
        <w:t>Inteligência dos arts. 5º, X e LX, e 58, § 3º, da CF, art. 325 do CP, e art. 10, c/c art. 1º da Lei federal 9.296/1996. CPI não tem poder jurídico de, mediante requisição, a operadoras de telefonia, de cópias de decisão nem de mandado judicial de interceptação telefônica, quebrar sigilo imposto a processo sujeito a segredo de justiça. Este é oponível a CPI, representando expressiva limitação aos seus poderes constitucionais.</w:t>
      </w:r>
    </w:p>
    <w:p>
      <w:pPr>
        <w:ind w:left="288"/>
      </w:pPr>
      <w:r>
        <w:rPr>
          <w:b/>
          <w:color w:val="003CA0"/>
          <w:sz w:val="16"/>
        </w:rPr>
        <w:t>[MS 27.483 MC-REF, rel. min. Cezar Peluso, j. 14-8-2008, P, DJE de 10-10-2008.]</w:t>
      </w:r>
    </w:p>
    <w:p>
      <w:pPr>
        <w:ind w:left="288"/>
      </w:pPr>
      <w:r>
        <w:rPr>
          <w:color w:val="8C8C8C"/>
          <w:sz w:val="12"/>
        </w:rPr>
        <w:t>cf-art-5-inc-L</w:t>
      </w:r>
      <w:r>
        <w:rPr>
          <w:color w:val="003CA0"/>
          <w:sz w:val="12"/>
        </w:rPr>
        <w:t xml:space="preserve"> | HC 90.688</w:t>
      </w:r>
      <w:r>
        <w:rPr>
          <w:color w:val="003CA0"/>
          <w:sz w:val="12"/>
        </w:rPr>
        <w:t xml:space="preserve"> | rel. Ricardo Lewandowski</w:t>
      </w:r>
    </w:p>
    <w:p>
      <w:pPr>
        <w:ind w:left="288"/>
      </w:pPr>
      <w:r>
        <w:rPr>
          <w:color w:val="1E1E1E"/>
          <w:sz w:val="18"/>
        </w:rPr>
        <w:t>Acordo de cooperação. Delação premiada. Direito de saber quais as autoridades que participaram do ato. Admissibilidade. Parcialidade dos membros do Ministério Público. Suspeitas fundadas. (...) Sigilo do acordo de delação que, por definição legal, não pode ser quebrado. Sendo fundadas as suspeitas de impedimento das autoridades que propuseram ou homologaram o acordo, razoável a expedição de certidão dando fé de seus nomes.</w:t>
      </w:r>
    </w:p>
    <w:p>
      <w:pPr>
        <w:ind w:left="288"/>
      </w:pPr>
      <w:r>
        <w:rPr>
          <w:b/>
          <w:color w:val="003CA0"/>
          <w:sz w:val="16"/>
        </w:rPr>
        <w:t>[HC 90.688, rel. min. Ricardo Lewandowski, j. 12-2-2008, 1ª T, DJE de 25-4-2008.]</w:t>
      </w:r>
    </w:p>
    <w:p>
      <w:pPr>
        <w:ind w:left="288"/>
      </w:pPr>
      <w:r>
        <w:rPr>
          <w:color w:val="8C8C8C"/>
          <w:sz w:val="12"/>
        </w:rPr>
        <w:t>cf-art-5-inc-L</w:t>
      </w:r>
      <w:r>
        <w:rPr>
          <w:color w:val="003CA0"/>
          <w:sz w:val="12"/>
        </w:rPr>
        <w:t xml:space="preserve"> | RMS 23.036</w:t>
      </w:r>
      <w:r>
        <w:rPr>
          <w:color w:val="003CA0"/>
          <w:sz w:val="12"/>
        </w:rPr>
        <w:t xml:space="preserve"> | rel. Maurício Corrêa</w:t>
      </w:r>
    </w:p>
    <w:p>
      <w:pPr>
        <w:ind w:left="288"/>
      </w:pPr>
      <w:r>
        <w:rPr>
          <w:color w:val="1E1E1E"/>
          <w:sz w:val="18"/>
        </w:rPr>
        <w:t xml:space="preserve">A publicidade e o direito à informação não podem ser restringidos com base em atos de natureza discricionária, salvo quando justificados, em casos excepcionais, para a defesa da honra, da imagem e da intimidade de terceiros ou quando a medida for essencial para a proteção do interesse público. A coleta de dados históricos a partir de documentos públicos e registros fonográficos, mesmo que para fins particulares, constitui-se em motivação legítima a garantir o acesso a tais informações. No caso, tratava-se da busca por fontes a subsidiar elaboração de livro (em homenagem a advogados defensores </w:t>
      </w:r>
    </w:p>
    <w:p>
      <w:pPr>
        <w:ind w:left="288"/>
      </w:pPr>
      <w:r>
        <w:rPr>
          <w:b/>
          <w:color w:val="003CA0"/>
          <w:sz w:val="16"/>
        </w:rPr>
        <w:t>[RMS 23.036, rel. min. Maurício Corrêa, red. do ac. min. Nelson Jobim, j. 28-3-2006, 2ª T, DJ de 25-8-2006.]</w:t>
      </w:r>
    </w:p>
    <w:p>
      <w:pPr>
        <w:ind w:left="288"/>
      </w:pPr>
      <w:r>
        <w:rPr>
          <w:color w:val="8C8C8C"/>
          <w:sz w:val="12"/>
        </w:rPr>
        <w:t>cf-art-5-inc-L</w:t>
      </w:r>
      <w:r>
        <w:rPr>
          <w:color w:val="003CA0"/>
          <w:sz w:val="12"/>
        </w:rPr>
        <w:t xml:space="preserve"> | RCL 11.949</w:t>
      </w:r>
      <w:r>
        <w:rPr>
          <w:color w:val="003CA0"/>
          <w:sz w:val="12"/>
        </w:rPr>
        <w:t xml:space="preserve"> | rel. Cármen Lúcia</w:t>
      </w:r>
    </w:p>
    <w:p>
      <w:pPr>
        <w:ind w:left="288"/>
      </w:pPr>
      <w:r>
        <w:rPr>
          <w:color w:val="1E1E1E"/>
          <w:sz w:val="18"/>
        </w:rPr>
        <w:t>Vide Rcl 11.949, rel. min. Cármen Lúcia, j. 15-3-2017, P, DJE de 16-8-2017 LXI - ninguém será preso senão em flagrante delito ou por ordem escrita e fundamentada de autoridade judiciária competente, salvo nos casos de transgressão militar ou crime propriamente militar, definidos em lei; Estatuto da Criança e do Adolescente. Art. 16, I, consagra o direito de ir e vir da criança e do adolescente, e art. 230 tipifica criminalmente a apreensão de menor fora das hipóteses de flagrante ou de cumprimento de mandado de apreensão. Alegação de ofensa ao devido processo legal e à proteção integral – art.</w:t>
      </w:r>
    </w:p>
    <w:p>
      <w:pPr>
        <w:ind w:left="288"/>
      </w:pPr>
      <w:r>
        <w:rPr>
          <w:b/>
          <w:color w:val="003CA0"/>
          <w:sz w:val="16"/>
        </w:rPr>
        <w:t>[ADI 3.446, rel. min. Gilmar Mendes, j. 8-8-2019, P, DJE de 31-7-2020.]</w:t>
      </w:r>
    </w:p>
    <w:p>
      <w:pPr>
        <w:ind w:left="288"/>
      </w:pPr>
      <w:r>
        <w:rPr>
          <w:color w:val="8C8C8C"/>
          <w:sz w:val="12"/>
        </w:rPr>
        <w:t>cf-art-5-inc-L</w:t>
      </w:r>
      <w:r>
        <w:rPr>
          <w:color w:val="003CA0"/>
          <w:sz w:val="12"/>
        </w:rPr>
        <w:t xml:space="preserve"> | ADI 3.112</w:t>
      </w:r>
      <w:r>
        <w:rPr>
          <w:color w:val="003CA0"/>
          <w:sz w:val="12"/>
        </w:rPr>
        <w:t xml:space="preserve"> | rel. Ricardo Lewandowski</w:t>
      </w:r>
    </w:p>
    <w:p>
      <w:pPr>
        <w:ind w:left="288"/>
      </w:pPr>
      <w:r>
        <w:rPr>
          <w:color w:val="1E1E1E"/>
          <w:sz w:val="18"/>
        </w:rPr>
        <w:t>Ação direta de inconstitucionalidade. Lei 10.826/2003. Estatuto do desarmamento. (...) Insusceptibilidade de liberdade provisória quanto aos delitos elencados nos arts. 16, 17 e 18. Inconstitucionalidade reconhecida, visto que o Texto Magno não autoriza a prisão ex lege, em face dos princípios da presunção de inocência e da obrigatoriedade de fundamentação dos mandados de prisão pela autoridade judiciária competente.</w:t>
      </w:r>
    </w:p>
    <w:p>
      <w:pPr>
        <w:ind w:left="288"/>
      </w:pPr>
      <w:r>
        <w:rPr>
          <w:b/>
          <w:color w:val="003CA0"/>
          <w:sz w:val="16"/>
        </w:rPr>
        <w:t>[ADI 3.112, rel. min. Ricardo Lewandowski, j. 2-5-2007, P, DJ de 26-10-2007.]</w:t>
      </w:r>
    </w:p>
    <w:p>
      <w:pPr>
        <w:ind w:left="288"/>
      </w:pPr>
      <w:r>
        <w:rPr>
          <w:color w:val="8C8C8C"/>
          <w:sz w:val="12"/>
        </w:rPr>
        <w:t>cf-art-5-inc-L</w:t>
      </w:r>
      <w:r>
        <w:rPr>
          <w:color w:val="003CA0"/>
          <w:sz w:val="12"/>
        </w:rPr>
        <w:t xml:space="preserve"> | RE 603.116</w:t>
      </w:r>
      <w:r>
        <w:rPr>
          <w:color w:val="003CA0"/>
          <w:sz w:val="12"/>
        </w:rPr>
        <w:t xml:space="preserve"> | rel. Dias Toffoli</w:t>
      </w:r>
    </w:p>
    <w:p>
      <w:pPr>
        <w:ind w:left="288"/>
      </w:pPr>
      <w:r>
        <w:rPr>
          <w:color w:val="1E1E1E"/>
          <w:sz w:val="18"/>
        </w:rPr>
        <w:t>O art. 47 da Lei nº 6.880/80 foi recepcionado pela Constituição Federal de 1988, sendo válidos, por conseguinte, os incisos IV e V do art. 24 do Decreto nº 4.346/02, os quais não implicam ofensa ao princípio da reserva legal.</w:t>
      </w:r>
    </w:p>
    <w:p>
      <w:pPr>
        <w:ind w:left="288"/>
      </w:pPr>
      <w:r>
        <w:rPr>
          <w:b/>
          <w:color w:val="003CA0"/>
          <w:sz w:val="16"/>
        </w:rPr>
        <w:t>[RE 603.116, rel. min. Dias Toffoli, j. 19.08.2024, P, DJE de 11.10.2024, Tema 703, com mérito julgado.]</w:t>
      </w:r>
    </w:p>
    <w:p>
      <w:pPr>
        <w:ind w:left="288"/>
      </w:pPr>
      <w:r>
        <w:rPr>
          <w:color w:val="8C8C8C"/>
          <w:sz w:val="12"/>
        </w:rPr>
        <w:t>cf-art-5-inc-L</w:t>
      </w:r>
      <w:r>
        <w:rPr>
          <w:color w:val="003CA0"/>
          <w:sz w:val="12"/>
        </w:rPr>
        <w:t xml:space="preserve"> | HC 126.501</w:t>
      </w:r>
    </w:p>
    <w:p>
      <w:pPr>
        <w:ind w:left="288"/>
      </w:pPr>
      <w:r>
        <w:rPr>
          <w:color w:val="1E1E1E"/>
          <w:sz w:val="18"/>
        </w:rPr>
        <w:t>A periculosidade do agente pode ser aferida por intermédio de diversos elementos concretos, tal como o registro de inquéritos policiais e ações penais em andamento que, embora não possam ser fonte desfavorável da constatação de maus antecedentes, podem servir de respaldo da necessidade da imposição de custódia preventiva. Diante do disposto no art. 156 do CPP, não se reveste de ilegalidade a atuação de ofício do magistrado que, em pesquisa a banco de dados virtuais, verifica a presença de registros criminais em face do paciente.</w:t>
      </w:r>
    </w:p>
    <w:p>
      <w:pPr>
        <w:ind w:left="288"/>
      </w:pPr>
      <w:r>
        <w:rPr>
          <w:b/>
          <w:color w:val="003CA0"/>
          <w:sz w:val="16"/>
        </w:rPr>
        <w:t>[HC 126.501, red. do ac. min. Edson Fachin, j. 14-6-2016, 1ª T, DJE de 4-10-2016.]</w:t>
      </w:r>
    </w:p>
    <w:p>
      <w:pPr>
        <w:ind w:left="288"/>
      </w:pPr>
      <w:r>
        <w:rPr>
          <w:color w:val="8C8C8C"/>
          <w:sz w:val="12"/>
        </w:rPr>
        <w:t>cf-art-5-inc-L</w:t>
      </w:r>
      <w:r>
        <w:rPr>
          <w:color w:val="003CA0"/>
          <w:sz w:val="12"/>
        </w:rPr>
        <w:t xml:space="preserve"> | RHC 100.973</w:t>
      </w:r>
      <w:r>
        <w:rPr>
          <w:color w:val="003CA0"/>
          <w:sz w:val="12"/>
        </w:rPr>
        <w:t xml:space="preserve"> | rel. Ellen Gracie</w:t>
      </w:r>
    </w:p>
    <w:p>
      <w:pPr>
        <w:ind w:left="288"/>
      </w:pPr>
      <w:r>
        <w:rPr>
          <w:color w:val="1E1E1E"/>
          <w:sz w:val="18"/>
        </w:rPr>
        <w:t>Vide RHC 100.973, rel. min. Ellen Gracie, j. 4-5-2010, 2ª T, DJE de 28-5-2010 Esta Suprema Corte possui jurisprudência no sentido de permitir a decretação de nova prisão preventiva contra o réu que deixa de cumprir os compromissos firmados perante o juízo.</w:t>
      </w:r>
    </w:p>
    <w:p>
      <w:pPr>
        <w:ind w:left="288"/>
      </w:pPr>
      <w:r>
        <w:rPr>
          <w:b/>
          <w:color w:val="003CA0"/>
          <w:sz w:val="16"/>
        </w:rPr>
        <w:t>[HC 100.372, rel. min. Ellen Gracie, j. 14-9-2010, 2ª T, DJE de 1º-10-2010.]</w:t>
      </w:r>
    </w:p>
    <w:p>
      <w:pPr>
        <w:ind w:left="288"/>
      </w:pPr>
      <w:r>
        <w:rPr>
          <w:color w:val="8C8C8C"/>
          <w:sz w:val="12"/>
        </w:rPr>
        <w:t>cf-art-5-inc-L</w:t>
      </w:r>
      <w:r>
        <w:rPr>
          <w:color w:val="003CA0"/>
          <w:sz w:val="12"/>
        </w:rPr>
        <w:t xml:space="preserve"> | HC 93.705</w:t>
      </w:r>
      <w:r>
        <w:rPr>
          <w:color w:val="003CA0"/>
          <w:sz w:val="12"/>
        </w:rPr>
        <w:t xml:space="preserve"> | rel. Eros Grau</w:t>
      </w:r>
    </w:p>
    <w:p>
      <w:pPr>
        <w:ind w:left="288"/>
      </w:pPr>
      <w:r>
        <w:rPr>
          <w:color w:val="1E1E1E"/>
          <w:sz w:val="18"/>
        </w:rPr>
        <w:t>= HC 93.705, rel. min. Eros Grau, j. 20-5-2008, 2ª T, DJE de 15-8-2008 Esta Suprema Corte firmou entendimento no sentido de ser inidônea a decretação de prisão preventiva fundamentada apenas nos maus antecedentes do réu, mormente quando respondeu ao processo em liberdade (...).</w:t>
      </w:r>
    </w:p>
    <w:p>
      <w:pPr>
        <w:ind w:left="288"/>
      </w:pPr>
      <w:r>
        <w:rPr>
          <w:b/>
          <w:color w:val="003CA0"/>
          <w:sz w:val="16"/>
        </w:rPr>
        <w:t>[RHC 100.973, rel. min. Ellen Gracie, j. 4-5-2010, 2ª T, DJE de 28-5-2010.]</w:t>
      </w:r>
    </w:p>
    <w:p>
      <w:pPr>
        <w:ind w:left="288"/>
      </w:pPr>
      <w:r>
        <w:rPr>
          <w:color w:val="8C8C8C"/>
          <w:sz w:val="12"/>
        </w:rPr>
        <w:t>cf-art-5-inc-L</w:t>
      </w:r>
      <w:r>
        <w:rPr>
          <w:color w:val="003CA0"/>
          <w:sz w:val="12"/>
        </w:rPr>
        <w:t xml:space="preserve"> | HC 126.501</w:t>
      </w:r>
      <w:r>
        <w:rPr>
          <w:color w:val="003CA0"/>
          <w:sz w:val="12"/>
        </w:rPr>
        <w:t xml:space="preserve"> | rel. Marco Aurélio</w:t>
      </w:r>
    </w:p>
    <w:p>
      <w:pPr>
        <w:ind w:left="288"/>
      </w:pPr>
      <w:r>
        <w:rPr>
          <w:color w:val="1E1E1E"/>
          <w:sz w:val="18"/>
        </w:rPr>
        <w:t>Vide HC 126.501, rel. min. Marco Aurélio, red. do ac. min. Edson Fachin, j. 14-6-2016, 1ª T, DJE de 4-10-2016 Vide HC 96.019, rel. min. Joaquim Barbosa, j. 16-12-2008, 2ª T, DJE de 27-3-2009 Vide HC 97.177, rel. min. Cezar Peluso, j. 8-9-2009, 2ª T, DJE de 9-10-2009 A prática de atos concretos voltados a obstaculizar, de início, a apuração dos fatos mediante inquérito conduz à prisão preventiva de quem nela envolvido como investigado, pouco importando a ausência de atuação direta, incidindo a norma geral e abstrata do art. 312 do CPC. (...) A prisão preventiva prescinde da ciência prévia do de</w:t>
      </w:r>
    </w:p>
    <w:p>
      <w:pPr>
        <w:ind w:left="288"/>
      </w:pPr>
      <w:r>
        <w:rPr>
          <w:b/>
          <w:color w:val="003CA0"/>
          <w:sz w:val="16"/>
        </w:rPr>
        <w:t>[HC 102.732, rel. min. Marco Aurélio, j. 4-3-2010, P, DJE de 7-5-2010.]</w:t>
      </w:r>
    </w:p>
    <w:p>
      <w:pPr>
        <w:ind w:left="288"/>
      </w:pPr>
      <w:r>
        <w:rPr>
          <w:color w:val="8C8C8C"/>
          <w:sz w:val="12"/>
        </w:rPr>
        <w:t>cf-art-5-inc-L</w:t>
      </w:r>
      <w:r>
        <w:rPr>
          <w:color w:val="003CA0"/>
          <w:sz w:val="12"/>
        </w:rPr>
        <w:t xml:space="preserve"> | HC 90.178</w:t>
      </w:r>
      <w:r>
        <w:rPr>
          <w:color w:val="003CA0"/>
          <w:sz w:val="12"/>
        </w:rPr>
        <w:t xml:space="preserve"> | rel. Cezar Peluso</w:t>
      </w:r>
    </w:p>
    <w:p>
      <w:pPr>
        <w:ind w:left="288"/>
      </w:pPr>
      <w:r>
        <w:rPr>
          <w:color w:val="1E1E1E"/>
          <w:sz w:val="18"/>
        </w:rPr>
        <w:t>Não é nulo o inquérito policial instaurado a partir da prisão em flagrante dos acusados, ainda que a autoridade policial tenha tomado conhecimento prévios dos fatos por meio de denúncia anônima.</w:t>
      </w:r>
    </w:p>
    <w:p>
      <w:pPr>
        <w:ind w:left="288"/>
      </w:pPr>
      <w:r>
        <w:rPr>
          <w:b/>
          <w:color w:val="003CA0"/>
          <w:sz w:val="16"/>
        </w:rPr>
        <w:t>[HC 90.178, rel. min. Cezar Peluso, j. 2-2-2010, 2ª T, DJE de 26-3-2010.]</w:t>
      </w:r>
    </w:p>
    <w:p>
      <w:pPr>
        <w:ind w:left="288"/>
      </w:pPr>
      <w:r>
        <w:rPr>
          <w:color w:val="8C8C8C"/>
          <w:sz w:val="12"/>
        </w:rPr>
        <w:t>cf-art-5-inc-L</w:t>
      </w:r>
      <w:r>
        <w:rPr>
          <w:color w:val="003CA0"/>
          <w:sz w:val="12"/>
        </w:rPr>
        <w:t xml:space="preserve"> | HC 98.006</w:t>
      </w:r>
      <w:r>
        <w:rPr>
          <w:color w:val="003CA0"/>
          <w:sz w:val="12"/>
        </w:rPr>
        <w:t xml:space="preserve"> | rel. Ayres Britto</w:t>
      </w:r>
    </w:p>
    <w:p>
      <w:pPr>
        <w:ind w:left="288"/>
      </w:pPr>
      <w:r>
        <w:rPr>
          <w:color w:val="1E1E1E"/>
          <w:sz w:val="18"/>
        </w:rPr>
        <w:t>No caso, tenho por desatendido o dever jurisdicional de fundamentação real das decisões. É que a ordem constritiva está assentada, tão somente, na reprodução de algumas das expressões do art. 312 do CPP. Pelo que não se enxerga no decreto de prisão o conteúdo mínimo da garantia da fundamentação real das decisões judiciais. Garantia constitucional que se lê na segunda parte do inciso LXI do art. 5º e na parte inicial do inciso IX do art. 93 da Constituição e sem a qual não se viabiliza a ampla defesa nem se afere o dever do juiz de se manter equidistante das partes processuais em litígio. Noutr</w:t>
      </w:r>
    </w:p>
    <w:p>
      <w:pPr>
        <w:ind w:left="288"/>
      </w:pPr>
      <w:r>
        <w:rPr>
          <w:b/>
          <w:color w:val="003CA0"/>
          <w:sz w:val="16"/>
        </w:rPr>
        <w:t>[HC 98.006, rel. min. Ayres Britto, j. 24-11-2009, 1ª T, DJE de 5-2-2010.]</w:t>
      </w:r>
    </w:p>
    <w:p>
      <w:pPr>
        <w:ind w:left="288"/>
      </w:pPr>
      <w:r>
        <w:rPr>
          <w:color w:val="8C8C8C"/>
          <w:sz w:val="12"/>
        </w:rPr>
        <w:t>cf-art-5-inc-L</w:t>
      </w:r>
      <w:r>
        <w:rPr>
          <w:color w:val="003CA0"/>
          <w:sz w:val="12"/>
        </w:rPr>
        <w:t xml:space="preserve"> | HC 100.340</w:t>
      </w:r>
      <w:r>
        <w:rPr>
          <w:color w:val="003CA0"/>
          <w:sz w:val="12"/>
        </w:rPr>
        <w:t xml:space="preserve"> | rel. Cezar Peluso</w:t>
      </w:r>
    </w:p>
    <w:p>
      <w:pPr>
        <w:ind w:left="288"/>
      </w:pPr>
      <w:r>
        <w:rPr>
          <w:color w:val="1E1E1E"/>
          <w:sz w:val="18"/>
        </w:rPr>
        <w:t>Se a custódia cautelar foi decretada apenas com fundamento na conveniência da instrução criminal, o encerramento desta torna desnecessária aquela.</w:t>
      </w:r>
    </w:p>
    <w:p>
      <w:pPr>
        <w:ind w:left="288"/>
      </w:pPr>
      <w:r>
        <w:rPr>
          <w:b/>
          <w:color w:val="003CA0"/>
          <w:sz w:val="16"/>
        </w:rPr>
        <w:t>[HC 100.340, rel. min. Cezar Peluso, j. 10-11-2009, 2ª T, DJE de 18-12-2009.]</w:t>
      </w:r>
    </w:p>
    <w:p>
      <w:pPr>
        <w:ind w:left="288"/>
      </w:pPr>
      <w:r>
        <w:rPr>
          <w:color w:val="8C8C8C"/>
          <w:sz w:val="12"/>
        </w:rPr>
        <w:t>cf-art-5-inc-L</w:t>
      </w:r>
      <w:r>
        <w:rPr>
          <w:color w:val="003CA0"/>
          <w:sz w:val="12"/>
        </w:rPr>
        <w:t xml:space="preserve"> | HC 97.690</w:t>
      </w:r>
      <w:r>
        <w:rPr>
          <w:color w:val="003CA0"/>
          <w:sz w:val="12"/>
        </w:rPr>
        <w:t xml:space="preserve"> | rel. Ricardo Lewandowski</w:t>
      </w:r>
    </w:p>
    <w:p>
      <w:pPr>
        <w:ind w:left="288"/>
      </w:pPr>
      <w:r>
        <w:rPr>
          <w:color w:val="1E1E1E"/>
          <w:sz w:val="18"/>
        </w:rPr>
        <w:t>A incompetência do juízo gera a nulidade do decreto de prisão preventiva.</w:t>
      </w:r>
    </w:p>
    <w:p>
      <w:pPr>
        <w:ind w:left="288"/>
      </w:pPr>
      <w:r>
        <w:rPr>
          <w:b/>
          <w:color w:val="003CA0"/>
          <w:sz w:val="16"/>
        </w:rPr>
        <w:t>[HC 97.690, rel. min. Ricardo Lewandowski, j. 6-10-2009, 1ª T, DJE de 23-10-2009.]</w:t>
      </w:r>
    </w:p>
    <w:p>
      <w:pPr>
        <w:ind w:left="288"/>
      </w:pPr>
      <w:r>
        <w:rPr>
          <w:color w:val="8C8C8C"/>
          <w:sz w:val="12"/>
        </w:rPr>
        <w:t>cf-art-5-inc-L</w:t>
      </w:r>
      <w:r>
        <w:rPr>
          <w:color w:val="003CA0"/>
          <w:sz w:val="12"/>
        </w:rPr>
        <w:t xml:space="preserve"> | HC 98.689</w:t>
      </w:r>
      <w:r>
        <w:rPr>
          <w:color w:val="003CA0"/>
          <w:sz w:val="12"/>
        </w:rPr>
        <w:t xml:space="preserve"> | rel. Ricardo Lewandowski</w:t>
      </w:r>
    </w:p>
    <w:p>
      <w:pPr>
        <w:ind w:left="288"/>
      </w:pPr>
      <w:r>
        <w:rPr>
          <w:color w:val="1E1E1E"/>
          <w:sz w:val="18"/>
        </w:rPr>
        <w:t>As condições subjetivas favoráveis do paciente não obstam a segregação cautelar, desde que presentes nos autos elementos concretos a recomendar sua manutenção (...).</w:t>
      </w:r>
    </w:p>
    <w:p>
      <w:pPr>
        <w:ind w:left="288"/>
      </w:pPr>
      <w:r>
        <w:rPr>
          <w:b/>
          <w:color w:val="003CA0"/>
          <w:sz w:val="16"/>
        </w:rPr>
        <w:t>[HC 98.689, rel. min. Ricardo Lewandowski, j. 6-10-2009, 1ª T, DJE de 6-11-2009.]</w:t>
      </w:r>
    </w:p>
    <w:p>
      <w:pPr>
        <w:ind w:left="288"/>
      </w:pPr>
      <w:r>
        <w:rPr>
          <w:color w:val="8C8C8C"/>
          <w:sz w:val="12"/>
        </w:rPr>
        <w:t>cf-art-5-inc-L</w:t>
      </w:r>
      <w:r>
        <w:rPr>
          <w:color w:val="003CA0"/>
          <w:sz w:val="12"/>
        </w:rPr>
        <w:t xml:space="preserve"> | HC 100.372</w:t>
      </w:r>
      <w:r>
        <w:rPr>
          <w:color w:val="003CA0"/>
          <w:sz w:val="12"/>
        </w:rPr>
        <w:t xml:space="preserve"> | rel. Ellen Gracie</w:t>
      </w:r>
    </w:p>
    <w:p>
      <w:pPr>
        <w:ind w:left="288"/>
      </w:pPr>
      <w:r>
        <w:rPr>
          <w:color w:val="1E1E1E"/>
          <w:sz w:val="18"/>
        </w:rPr>
        <w:t>= HC 100.372, rel. min. Ellen Gracie, j. 14-9-2010, 2ª T, DJE de 1º-10-2010 Os fundamentos da prisão cautelar, considerada a excepcionalidade dessa medida, devem ser reavaliados a qualquer tempo, a fim de evitar-se o cumprimento da pena sem sentença transitada em julgado, em evidente afronta ao art. 5º, LVII, da Constituição do Brasil.</w:t>
      </w:r>
    </w:p>
    <w:p>
      <w:pPr>
        <w:ind w:left="288"/>
      </w:pPr>
      <w:r>
        <w:rPr>
          <w:b/>
          <w:color w:val="003CA0"/>
          <w:sz w:val="16"/>
        </w:rPr>
        <w:t>[HC 98.233, rel. min. Eros Grau, j. 6-10-2009, 2ª T, DJE de 29-10-2009.]</w:t>
      </w:r>
    </w:p>
    <w:p>
      <w:pPr>
        <w:ind w:left="288"/>
      </w:pPr>
      <w:r>
        <w:rPr>
          <w:color w:val="8C8C8C"/>
          <w:sz w:val="12"/>
        </w:rPr>
        <w:t>cf-art-5-inc-L</w:t>
      </w:r>
      <w:r>
        <w:rPr>
          <w:color w:val="003CA0"/>
          <w:sz w:val="12"/>
        </w:rPr>
        <w:t xml:space="preserve"> | HC 99.379</w:t>
      </w:r>
      <w:r>
        <w:rPr>
          <w:color w:val="003CA0"/>
          <w:sz w:val="12"/>
        </w:rPr>
        <w:t xml:space="preserve"> | rel. Eros Grau</w:t>
      </w:r>
    </w:p>
    <w:p>
      <w:pPr>
        <w:ind w:left="288"/>
      </w:pPr>
      <w:r>
        <w:rPr>
          <w:color w:val="1E1E1E"/>
          <w:sz w:val="18"/>
        </w:rPr>
        <w:t>O fundamento da garantia da ordem pública é inidôneo quando alicerçado na credibilidade da justiça e na gravidade do crime. De igual modo, circunstâncias judiciais como a gravidade do crime, o motivo, a frieza, a premeditação, o emprego de violência e o desprezo pelas normas que regem a vida em sociedade não conferem base concreta à prisão preventiva para garantia da ordem pública. Circunstâncias dessa ordem hão de refletir-se – e apenas isso – na fixação a pena.</w:t>
      </w:r>
    </w:p>
    <w:p>
      <w:pPr>
        <w:ind w:left="288"/>
      </w:pPr>
      <w:r>
        <w:rPr>
          <w:b/>
          <w:color w:val="003CA0"/>
          <w:sz w:val="16"/>
        </w:rPr>
        <w:t>[HC 99.379, rel. min. Eros Grau, j. 8-9-2009, 2ª T, DJE de 23-10-2009.]</w:t>
      </w:r>
    </w:p>
    <w:p>
      <w:pPr>
        <w:ind w:left="288"/>
      </w:pPr>
      <w:r>
        <w:rPr>
          <w:color w:val="8C8C8C"/>
          <w:sz w:val="12"/>
        </w:rPr>
        <w:t>cf-art-5-inc-L</w:t>
      </w:r>
      <w:r>
        <w:rPr>
          <w:color w:val="003CA0"/>
          <w:sz w:val="12"/>
        </w:rPr>
        <w:t xml:space="preserve"> | HC 95.290</w:t>
      </w:r>
      <w:r>
        <w:rPr>
          <w:color w:val="003CA0"/>
          <w:sz w:val="12"/>
        </w:rPr>
        <w:t xml:space="preserve"> | rel. Celso de Mello</w:t>
      </w:r>
    </w:p>
    <w:p>
      <w:pPr>
        <w:ind w:left="288"/>
      </w:pPr>
      <w:r>
        <w:rPr>
          <w:color w:val="1E1E1E"/>
          <w:sz w:val="18"/>
        </w:rPr>
        <w:t>= HC 95.290, rel. min. Celso de Mello, j. 1º-3-2012, 2ª T, DJE de 1º-8-2012 A legalidade da decisão que decreta a prisão cautelar ou que denega liberdade provisória deverá ser aferida em função dos fundamentos que lhe dão suporte, e não em face de eventual reforço advindo dos julgamentos emanados das instâncias judiciárias superiores. Precedentes. A motivação há de ser própria, inerente e contemporânea à decisão que decreta o ato excepcional de privação cautelar da liberdade, pois a ausência ou a deficiência de fundamentação não podem ser supridas a posteriori.</w:t>
      </w:r>
    </w:p>
    <w:p>
      <w:pPr>
        <w:ind w:left="288"/>
      </w:pPr>
      <w:r>
        <w:rPr>
          <w:b/>
          <w:color w:val="003CA0"/>
          <w:sz w:val="16"/>
        </w:rPr>
        <w:t>[HC 98.862, rel. min. Celso de Mello, j. 23-6-2009, 2ª T, DJE de 23-10-2009.]</w:t>
      </w:r>
    </w:p>
    <w:p>
      <w:pPr>
        <w:ind w:left="288"/>
      </w:pPr>
      <w:r>
        <w:rPr>
          <w:color w:val="8C8C8C"/>
          <w:sz w:val="12"/>
        </w:rPr>
        <w:t>cf-art-5-inc-L</w:t>
      </w:r>
      <w:r>
        <w:rPr>
          <w:color w:val="003CA0"/>
          <w:sz w:val="12"/>
        </w:rPr>
        <w:t xml:space="preserve"> | HC 101.980</w:t>
      </w:r>
      <w:r>
        <w:rPr>
          <w:color w:val="003CA0"/>
          <w:sz w:val="12"/>
        </w:rPr>
        <w:t xml:space="preserve"> | rel. Dias Toffoli</w:t>
      </w:r>
    </w:p>
    <w:p>
      <w:pPr>
        <w:ind w:left="288"/>
      </w:pPr>
      <w:r>
        <w:rPr>
          <w:color w:val="1E1E1E"/>
          <w:sz w:val="18"/>
        </w:rPr>
        <w:t>= HC 101.980, rel. min. Dias Toffoli, j. 11-5-2010, 1ª T, DJE de 4-6-2010. A superveniência do decreto de prisão preventiva, que constitui novo título da prisão, prejudica a alegação de ausência de fundamentação cautelar válida para a prisão temporária.</w:t>
      </w:r>
    </w:p>
    <w:p>
      <w:pPr>
        <w:ind w:left="288"/>
      </w:pPr>
      <w:r>
        <w:rPr>
          <w:b/>
          <w:color w:val="003CA0"/>
          <w:sz w:val="16"/>
        </w:rPr>
        <w:t>[HC 96.680, rel. min. Cármen Lúcia, j. 23-6-2009, 1ª T, DJE de 7-8-2009.]</w:t>
      </w:r>
    </w:p>
    <w:p>
      <w:pPr>
        <w:ind w:left="288"/>
      </w:pPr>
      <w:r>
        <w:rPr>
          <w:color w:val="8C8C8C"/>
          <w:sz w:val="12"/>
        </w:rPr>
        <w:t>cf-art-5-inc-L</w:t>
      </w:r>
      <w:r>
        <w:rPr>
          <w:color w:val="003CA0"/>
          <w:sz w:val="12"/>
        </w:rPr>
        <w:t xml:space="preserve"> | HC 97.049</w:t>
      </w:r>
      <w:r>
        <w:rPr>
          <w:color w:val="003CA0"/>
          <w:sz w:val="12"/>
        </w:rPr>
        <w:t xml:space="preserve"> | rel. Ayres Britto</w:t>
      </w:r>
    </w:p>
    <w:p>
      <w:pPr>
        <w:ind w:left="288"/>
      </w:pPr>
      <w:r>
        <w:rPr>
          <w:color w:val="1E1E1E"/>
          <w:sz w:val="18"/>
        </w:rPr>
        <w:t>Não há ilegalidade por abuso de poder quando o condenado, preso antes mesmo da instrução criminal, tem a sua prisão mantida por fundamento lançado na sentença penal condenatória. É dizer: carece de lógica permitir que o réu, preso preventivamente durante todo o desenrolar da instrução criminal, aguarde em liberdade o trânsito em julgado da causa se expressamente mantidos, na decisão condenatória, os motivos ensejadores da segregação cautelar.</w:t>
      </w:r>
    </w:p>
    <w:p>
      <w:pPr>
        <w:ind w:left="288"/>
      </w:pPr>
      <w:r>
        <w:rPr>
          <w:b/>
          <w:color w:val="003CA0"/>
          <w:sz w:val="16"/>
        </w:rPr>
        <w:t>[HC 97.049, rel. min. Ayres Britto, j. 16-6-2009, 1ª T, DJE de 7-8-2009.]</w:t>
      </w:r>
    </w:p>
    <w:p>
      <w:pPr>
        <w:ind w:left="288"/>
      </w:pPr>
      <w:r>
        <w:rPr>
          <w:color w:val="8C8C8C"/>
          <w:sz w:val="12"/>
        </w:rPr>
        <w:t>cf-art-5-inc-L</w:t>
      </w:r>
      <w:r>
        <w:rPr>
          <w:color w:val="003CA0"/>
          <w:sz w:val="12"/>
        </w:rPr>
        <w:t xml:space="preserve"> | RHC 103.744</w:t>
      </w:r>
      <w:r>
        <w:rPr>
          <w:color w:val="003CA0"/>
          <w:sz w:val="12"/>
        </w:rPr>
        <w:t xml:space="preserve"> | rel. Marco Aurélio</w:t>
      </w:r>
    </w:p>
    <w:p>
      <w:pPr>
        <w:ind w:left="288"/>
      </w:pPr>
      <w:r>
        <w:rPr>
          <w:color w:val="1E1E1E"/>
          <w:sz w:val="18"/>
        </w:rPr>
        <w:t>= RHC 103.744, rel. Ricardo Lewandowski, red. do ac. min. Dias Toffoli, j. 31-8-2010, 1ª T, DJE de 25-10-2010 Surge imprópria decretação de prisão preventiva lastreada em condutas delituosas suspeitas e, portanto, na presunção de culpabilidade do paciente.</w:t>
      </w:r>
    </w:p>
    <w:p>
      <w:pPr>
        <w:ind w:left="288"/>
      </w:pPr>
      <w:r>
        <w:rPr>
          <w:b/>
          <w:color w:val="003CA0"/>
          <w:sz w:val="16"/>
        </w:rPr>
        <w:t>[HC 88.721, rel. min. Marco Aurélio, j. 28-4-2009, 1ª T, DJE de 29-5-2009.]</w:t>
      </w:r>
    </w:p>
    <w:p>
      <w:pPr>
        <w:ind w:left="288"/>
      </w:pPr>
      <w:r>
        <w:rPr>
          <w:color w:val="8C8C8C"/>
          <w:sz w:val="12"/>
        </w:rPr>
        <w:t>cf-art-5-inc-L</w:t>
      </w:r>
      <w:r>
        <w:rPr>
          <w:color w:val="003CA0"/>
          <w:sz w:val="12"/>
        </w:rPr>
        <w:t xml:space="preserve"> | HC 98.061</w:t>
      </w:r>
      <w:r>
        <w:rPr>
          <w:color w:val="003CA0"/>
          <w:sz w:val="12"/>
        </w:rPr>
        <w:t xml:space="preserve"> | rel. Eros Grau</w:t>
      </w:r>
    </w:p>
    <w:p>
      <w:pPr>
        <w:ind w:left="288"/>
      </w:pPr>
      <w:r>
        <w:rPr>
          <w:color w:val="1E1E1E"/>
          <w:sz w:val="18"/>
        </w:rPr>
        <w:t>O julgamento sem a presença do réu, previsto na recente reforma do procedimento do júri, não elimina, como o impetrante sustenta, a necessidade da prisão cautelar para garantia da aplicação da lei penal, eis que esta não se confunde com a conveniência da instrução criminal. Na primeira hipótese, havendo nítida intenção, como no caso se dá, de o paciente pretender frustrar a aplicação da lei penal, a segregação cautelar se impõe.</w:t>
      </w:r>
    </w:p>
    <w:p>
      <w:pPr>
        <w:ind w:left="288"/>
      </w:pPr>
      <w:r>
        <w:rPr>
          <w:b/>
          <w:color w:val="003CA0"/>
          <w:sz w:val="16"/>
        </w:rPr>
        <w:t>[HC 98.061, rel. min. Eros Grau, j. 28-4-2009, 2ª T, DJE de 21-8-2009.]</w:t>
      </w:r>
    </w:p>
    <w:p>
      <w:pPr>
        <w:ind w:left="288"/>
      </w:pPr>
      <w:r>
        <w:rPr>
          <w:color w:val="8C8C8C"/>
          <w:sz w:val="12"/>
        </w:rPr>
        <w:t>cf-art-5-inc-L</w:t>
      </w:r>
      <w:r>
        <w:rPr>
          <w:color w:val="003CA0"/>
          <w:sz w:val="12"/>
        </w:rPr>
        <w:t xml:space="preserve"> | HC 94.344</w:t>
      </w:r>
      <w:r>
        <w:rPr>
          <w:color w:val="003CA0"/>
          <w:sz w:val="12"/>
        </w:rPr>
        <w:t xml:space="preserve"> | rel. Cezar Peluso</w:t>
      </w:r>
    </w:p>
    <w:p>
      <w:pPr>
        <w:ind w:left="288"/>
      </w:pPr>
      <w:r>
        <w:rPr>
          <w:color w:val="1E1E1E"/>
          <w:sz w:val="18"/>
        </w:rPr>
        <w:t>Quando a falta ou insuficiência de fundamentação de prisão preventiva constitua causa de nulidade da decisão, não a podem suprir informações prestadas em habeas corpus, nem o acórdão que o denegue ou negue provimento a recurso.</w:t>
      </w:r>
    </w:p>
    <w:p>
      <w:pPr>
        <w:ind w:left="288"/>
      </w:pPr>
      <w:r>
        <w:rPr>
          <w:b/>
          <w:color w:val="003CA0"/>
          <w:sz w:val="16"/>
        </w:rPr>
        <w:t>[HC 94.344, rel. min. Cezar Peluso, j. 31-3-2009, 2ª T, DJE de 22-5-2009.</w:t>
      </w:r>
    </w:p>
    <w:p>
      <w:pPr>
        <w:ind w:left="288"/>
      </w:pPr>
      <w:r>
        <w:rPr>
          <w:color w:val="8C8C8C"/>
          <w:sz w:val="12"/>
        </w:rPr>
        <w:t>cf-art-5-inc-L</w:t>
      </w:r>
      <w:r>
        <w:rPr>
          <w:color w:val="003CA0"/>
          <w:sz w:val="12"/>
        </w:rPr>
        <w:t xml:space="preserve"> | HC 94.421</w:t>
      </w:r>
      <w:r>
        <w:rPr>
          <w:color w:val="003CA0"/>
          <w:sz w:val="12"/>
        </w:rPr>
        <w:t xml:space="preserve"> | rel. Cármen Lúcia</w:t>
      </w:r>
    </w:p>
    <w:p>
      <w:pPr>
        <w:ind w:left="288"/>
      </w:pPr>
      <w:r>
        <w:rPr>
          <w:color w:val="1E1E1E"/>
          <w:sz w:val="18"/>
        </w:rPr>
        <w:t>Vide HC 94.421, rel. min. Cármen Lúcia, j. 3-6-2008, 1ª T, DJE de 31-10-2008 Há justa causa no decreto de prisão preventiva para garantia da ordem pública, quando o agente se revela propenso a prática delituosa, demonstrando menosprezo pelas normas penais. Nesse caso, a não decretação da prisão pode representar indesejável sensação de impunidade, que incentiva o cometimento de crimes e abala a credibilidade do Poder Judiciário. A circunstância de o paciente ser primário e ter bons antecedentes, à evidência, não se mostra obstáculo ao decreto de prisão preventiva, desde que presentes os pressup</w:t>
      </w:r>
    </w:p>
    <w:p>
      <w:pPr>
        <w:ind w:left="288"/>
      </w:pPr>
      <w:r>
        <w:rPr>
          <w:b/>
          <w:color w:val="003CA0"/>
          <w:sz w:val="16"/>
        </w:rPr>
        <w:t>[HC 83.868, rel. Marco Aurélio, red. do ac. min. Ellen Gracie, j. 5-3-2009, P, DJE de 17-4-2009.]</w:t>
      </w:r>
    </w:p>
    <w:p>
      <w:pPr>
        <w:ind w:left="288"/>
      </w:pPr>
      <w:r>
        <w:rPr>
          <w:color w:val="8C8C8C"/>
          <w:sz w:val="12"/>
        </w:rPr>
        <w:t>cf-art-5-inc-L</w:t>
      </w:r>
      <w:r>
        <w:rPr>
          <w:color w:val="003CA0"/>
          <w:sz w:val="12"/>
        </w:rPr>
        <w:t xml:space="preserve"> | RHC 93.123</w:t>
      </w:r>
      <w:r>
        <w:rPr>
          <w:color w:val="003CA0"/>
          <w:sz w:val="12"/>
        </w:rPr>
        <w:t xml:space="preserve"> | rel. Cármen Lúcia</w:t>
      </w:r>
    </w:p>
    <w:p>
      <w:pPr>
        <w:ind w:left="288"/>
      </w:pPr>
      <w:r>
        <w:rPr>
          <w:color w:val="1E1E1E"/>
          <w:sz w:val="18"/>
        </w:rPr>
        <w:t>É firme a jurisprudência deste Supremo Tribunal no sentido de que, para negar ao recorrente o direito de apelar em liberdade, pode o juízo local amparar-se em fundamentação cautelar nova e idônea a comprovar a necessidade da prisão.</w:t>
      </w:r>
    </w:p>
    <w:p>
      <w:pPr>
        <w:ind w:left="288"/>
      </w:pPr>
      <w:r>
        <w:rPr>
          <w:b/>
          <w:color w:val="003CA0"/>
          <w:sz w:val="16"/>
        </w:rPr>
        <w:t>[RHC 93.123, rel. min. Cármen Lúcia, j. 19-2-2009, P, DJE de 1º-7-2009.]</w:t>
      </w:r>
    </w:p>
    <w:p>
      <w:pPr>
        <w:ind w:left="288"/>
      </w:pPr>
      <w:r>
        <w:rPr>
          <w:color w:val="8C8C8C"/>
          <w:sz w:val="12"/>
        </w:rPr>
        <w:t>cf-art-5-inc-L</w:t>
      </w:r>
      <w:r>
        <w:rPr>
          <w:color w:val="003CA0"/>
          <w:sz w:val="12"/>
        </w:rPr>
        <w:t xml:space="preserve"> | HC 97.240</w:t>
      </w:r>
      <w:r>
        <w:rPr>
          <w:color w:val="003CA0"/>
          <w:sz w:val="12"/>
        </w:rPr>
        <w:t xml:space="preserve"> | rel. Ellen Gracie</w:t>
      </w:r>
    </w:p>
    <w:p>
      <w:pPr>
        <w:ind w:left="288"/>
      </w:pPr>
      <w:r>
        <w:rPr>
          <w:color w:val="1E1E1E"/>
          <w:sz w:val="18"/>
        </w:rPr>
        <w:t>= HC 97.240 AgR, rel. min. Ellen Gracie, j. 2-6-2009, 2ª T, DJE de 14-8-2009 Condições pessoais como primariedade, trabalho fixo e residência conhecida não impedem a prisão preventiva quando presentes seus requisitos.</w:t>
      </w:r>
    </w:p>
    <w:p>
      <w:pPr>
        <w:ind w:left="288"/>
      </w:pPr>
      <w:r>
        <w:rPr>
          <w:b/>
          <w:color w:val="003CA0"/>
          <w:sz w:val="16"/>
        </w:rPr>
        <w:t>[HC 93.798, rel. min. Eros Grau, j. 17-2-2009, 2ª T, DJE de 22-5-2009.]</w:t>
      </w:r>
    </w:p>
    <w:p>
      <w:pPr>
        <w:ind w:left="288"/>
      </w:pPr>
      <w:r>
        <w:rPr>
          <w:color w:val="8C8C8C"/>
          <w:sz w:val="12"/>
        </w:rPr>
        <w:t>cf-art-5-inc-L</w:t>
      </w:r>
      <w:r>
        <w:rPr>
          <w:color w:val="003CA0"/>
          <w:sz w:val="12"/>
        </w:rPr>
        <w:t xml:space="preserve"> | HC 97.177</w:t>
      </w:r>
      <w:r>
        <w:rPr>
          <w:color w:val="003CA0"/>
          <w:sz w:val="12"/>
        </w:rPr>
        <w:t xml:space="preserve"> | rel. Cezar Peluso</w:t>
      </w:r>
    </w:p>
    <w:p>
      <w:pPr>
        <w:ind w:left="288"/>
      </w:pPr>
      <w:r>
        <w:rPr>
          <w:color w:val="1E1E1E"/>
          <w:sz w:val="18"/>
        </w:rPr>
        <w:t>Vide HC 97.177, rel. min. Cezar Peluso, j. 8-9-2009, 2ª T, DJE de 9-10-2009 Vide HC 83.868, rel. min. Marco Aurélio, red. do ac. min. Ellen Gracie, j. 5-3-2009, P, DJE de 17-4-2009 O decreto de prisão cautelar há que se fundamentar em elementos fáticos concretos suficientes a demonstrar a necessidade da medida constritiva. Precedentes. A mera afirmação de suposta periculosidade e de gravidade em abstrato do crime, por si só, não são suficientes para fundamentar a constrição cautelar, sob pena de transformar o acusado em instrumento para a satisfação do anseio coletivo pela resposta penal.</w:t>
      </w:r>
    </w:p>
    <w:p>
      <w:pPr>
        <w:ind w:left="288"/>
      </w:pPr>
      <w:r>
        <w:rPr>
          <w:b/>
          <w:color w:val="003CA0"/>
          <w:sz w:val="16"/>
        </w:rPr>
        <w:t>[HC 93.971, rel. min. Joaquim Barbosa, j. 10-2-2009, 2ª T, DJE de 20-3-2009.]</w:t>
      </w:r>
    </w:p>
    <w:p>
      <w:pPr>
        <w:ind w:left="288"/>
      </w:pPr>
      <w:r>
        <w:rPr>
          <w:color w:val="8C8C8C"/>
          <w:sz w:val="12"/>
        </w:rPr>
        <w:t>cf-art-5-inc-L</w:t>
      </w:r>
      <w:r>
        <w:rPr>
          <w:color w:val="003CA0"/>
          <w:sz w:val="12"/>
        </w:rPr>
        <w:t xml:space="preserve"> | HC 101.705</w:t>
      </w:r>
      <w:r>
        <w:rPr>
          <w:color w:val="003CA0"/>
          <w:sz w:val="12"/>
        </w:rPr>
        <w:t xml:space="preserve"> | rel. Ayres Britto</w:t>
      </w:r>
    </w:p>
    <w:p>
      <w:pPr>
        <w:ind w:left="288"/>
      </w:pPr>
      <w:r>
        <w:rPr>
          <w:color w:val="1E1E1E"/>
          <w:sz w:val="18"/>
        </w:rPr>
        <w:t xml:space="preserve">= HC 101.705, rel. min. Ayres Britto, j. 29-6-2010, 1ª T, DJE de 3-9-2010 Segundo a jurisprudência do STF, não basta a mera explicitação textual dos requisitos previstos pelo art. 312 do CPP, mas é indispensável a indicação de elementos concretos que demonstrem a necessidade da segregação preventiva. Precedentes. A prisão preventiva é medida excepcional que demanda a explicitação de fundamentos consistentes e individualizados com relação a cada um dos cidadãos investigados (...). A existência de indícios de autoria e materialidade, por si só, não justifica a decretação de prisão preventiva. A </w:t>
      </w:r>
    </w:p>
    <w:p>
      <w:pPr>
        <w:ind w:left="288"/>
      </w:pPr>
      <w:r>
        <w:rPr>
          <w:b/>
          <w:color w:val="003CA0"/>
          <w:sz w:val="16"/>
        </w:rPr>
        <w:t>[HC 91.386, rel. min. Gilmar Mendes, j. 19-2-2008, 2ª T, DJE de 16-5-2008.]</w:t>
      </w:r>
    </w:p>
    <w:p>
      <w:pPr>
        <w:ind w:left="288"/>
      </w:pPr>
      <w:r>
        <w:rPr>
          <w:color w:val="8C8C8C"/>
          <w:sz w:val="12"/>
        </w:rPr>
        <w:t>cf-art-5-inc-L</w:t>
      </w:r>
      <w:r>
        <w:rPr>
          <w:color w:val="003CA0"/>
          <w:sz w:val="12"/>
        </w:rPr>
        <w:t xml:space="preserve"> | HC 91.205</w:t>
      </w:r>
      <w:r>
        <w:rPr>
          <w:color w:val="003CA0"/>
          <w:sz w:val="12"/>
        </w:rPr>
        <w:t xml:space="preserve"> | rel. Menezes Direito</w:t>
      </w:r>
    </w:p>
    <w:p>
      <w:pPr>
        <w:ind w:left="288"/>
      </w:pPr>
      <w:r>
        <w:rPr>
          <w:color w:val="1E1E1E"/>
          <w:sz w:val="18"/>
        </w:rPr>
        <w:t>Efeitos do decreto de prisão preventiva no tempo. Superveniência de pronúncia (...). A atual jurisprudência desta Corte é no sentido de que a sentença de pronúncia não autoriza, por si só, a prisão do réu, devendo, antes, indicar fundamentos tipicamente cautelares para tanto. Isso não significa que a segregação imposta preventivamente em momento anterior à pronúncia não possa persistir mesmo após o seu advento. Tal fica induvidoso quando o juiz afirmar na sentença de pronúncia que os fundamentos da prisão cautelar persistem. Precedente desta Primeira Turma, de que fui relator (HC 91.205/DF), a</w:t>
      </w:r>
    </w:p>
    <w:p>
      <w:pPr>
        <w:ind w:left="288"/>
      </w:pPr>
      <w:r>
        <w:rPr>
          <w:b/>
          <w:color w:val="003CA0"/>
          <w:sz w:val="16"/>
        </w:rPr>
        <w:t>[HC 96.182, rel. min. Menezes Direito, j. 2-12-2008, 1ª T, DJE de 20-3-2009.]</w:t>
      </w:r>
    </w:p>
    <w:p>
      <w:pPr>
        <w:ind w:left="288"/>
      </w:pPr>
      <w:r>
        <w:rPr>
          <w:color w:val="8C8C8C"/>
          <w:sz w:val="12"/>
        </w:rPr>
        <w:t>cf-art-5-inc-L</w:t>
      </w:r>
      <w:r>
        <w:rPr>
          <w:color w:val="003CA0"/>
          <w:sz w:val="12"/>
        </w:rPr>
        <w:t xml:space="preserve"> | HC 101.350</w:t>
      </w:r>
      <w:r>
        <w:rPr>
          <w:color w:val="003CA0"/>
          <w:sz w:val="12"/>
        </w:rPr>
        <w:t xml:space="preserve"> | rel. Marco Aurélio</w:t>
      </w:r>
    </w:p>
    <w:p>
      <w:pPr>
        <w:ind w:left="288"/>
      </w:pPr>
      <w:r>
        <w:rPr>
          <w:color w:val="1E1E1E"/>
          <w:sz w:val="18"/>
        </w:rPr>
        <w:t>= HC 101.350, rel. min. Marco Aurélio, red. do ac. min. Luiz Fux, j. 31-5-2011, 1ª T, DJE de 1º-8-2011 Vide HC 97.649 AgR, rel. min. Ellen Gracie, j. 15-9-2009, 2ª T, DJE de 9-10-2009 Mera suposição – vocábulo abundantemente utilizado no decreto prisional – de que o paciente obstruirá as investigações ou continuará delinquindo não autorizam a medida excepcional de constrição prematura da liberdade de locomoção. Indispensável, também aí, a indicação de elementos concretos que demonstrassem, cabalmente, a necessidade da prisão. (...) A prisão preventiva em situações que vigorosamente não a justi</w:t>
      </w:r>
    </w:p>
    <w:p>
      <w:pPr>
        <w:ind w:left="288"/>
      </w:pPr>
      <w:r>
        <w:rPr>
          <w:b/>
          <w:color w:val="003CA0"/>
          <w:sz w:val="16"/>
        </w:rPr>
        <w:t>[HC 95.009, rel. min. Eros Grau, j. 6-11-2008, P, DJE de 19-12-2008.]</w:t>
      </w:r>
    </w:p>
    <w:p>
      <w:pPr>
        <w:ind w:left="288"/>
      </w:pPr>
      <w:r>
        <w:rPr>
          <w:color w:val="8C8C8C"/>
          <w:sz w:val="12"/>
        </w:rPr>
        <w:t>cf-art-5-inc-L</w:t>
      </w:r>
      <w:r>
        <w:rPr>
          <w:color w:val="003CA0"/>
          <w:sz w:val="12"/>
        </w:rPr>
        <w:t xml:space="preserve"> | HC 94.541</w:t>
      </w:r>
      <w:r>
        <w:rPr>
          <w:color w:val="003CA0"/>
          <w:sz w:val="12"/>
        </w:rPr>
        <w:t xml:space="preserve"> | rel. Marco Aurélio</w:t>
      </w:r>
    </w:p>
    <w:p>
      <w:pPr>
        <w:ind w:left="288"/>
      </w:pPr>
      <w:r>
        <w:rPr>
          <w:color w:val="1E1E1E"/>
          <w:sz w:val="18"/>
        </w:rPr>
        <w:t>= HC 94.541, rel. min. Marco Aurélio, j. 30-6-2009, 1ª T, DJE de 23-10-2009 A prática do crime de deserção quando o paciente ainda ostentava a qualidade de militar autoriza a instauração de instrução provisória de deserção, assim como a prisão do desertor, independentemente de ordem judicial (art. 5º, LXI, da Constituição).</w:t>
      </w:r>
    </w:p>
    <w:p>
      <w:pPr>
        <w:ind w:left="288"/>
      </w:pPr>
      <w:r>
        <w:rPr>
          <w:b/>
          <w:color w:val="003CA0"/>
          <w:sz w:val="16"/>
        </w:rPr>
        <w:t>[HC 94.367, rel. min. Joaquim Barbosa, j. 21-10-2008, 2ª T, DJE de 6-2-2009.]</w:t>
      </w:r>
    </w:p>
    <w:p>
      <w:pPr>
        <w:ind w:left="288"/>
      </w:pPr>
      <w:r>
        <w:rPr>
          <w:color w:val="8C8C8C"/>
          <w:sz w:val="12"/>
        </w:rPr>
        <w:t>cf-art-5-inc-L</w:t>
      </w:r>
      <w:r>
        <w:rPr>
          <w:color w:val="003CA0"/>
          <w:sz w:val="12"/>
        </w:rPr>
        <w:t xml:space="preserve"> | HC 107.275</w:t>
      </w:r>
      <w:r>
        <w:rPr>
          <w:color w:val="003CA0"/>
          <w:sz w:val="12"/>
        </w:rPr>
        <w:t xml:space="preserve"> | rel. Ayres Britto</w:t>
      </w:r>
    </w:p>
    <w:p>
      <w:pPr>
        <w:ind w:left="288"/>
      </w:pPr>
      <w:r>
        <w:rPr>
          <w:color w:val="1E1E1E"/>
          <w:sz w:val="18"/>
        </w:rPr>
        <w:t>Vide HC 107.275, rel. min. Ayres Britto, j. 28-2-2012, 2ª T, DJE de 18-6-2012 A prisão do súdito estrangeiro constitui pressuposto indispensável ao regular processamento da ação de extradição passiva, sendo-lhe inaplicáveis, para efeito de sua válida decretação, os pressupostos e os fundamentos referidos no art. 312 do CPP. A privação cautelar da liberdade individual do extraditando deve perdurar até o julgamento final, pelo STF, do pedido de extradição, vedada, em regra, a adoção de meios alternativos que a substituam, como a prisão domiciliar, a prisão-albergue ou a liberdade vigiada (Lei 6.</w:t>
      </w:r>
    </w:p>
    <w:p>
      <w:pPr>
        <w:ind w:left="288"/>
      </w:pPr>
      <w:r>
        <w:rPr>
          <w:b/>
          <w:color w:val="003CA0"/>
          <w:sz w:val="16"/>
        </w:rPr>
        <w:t>[Ext 1.121 AgR, rel. min. Celso de Mello, j. 4-9-2008, P, DJE de 17-4-2009.]</w:t>
      </w:r>
    </w:p>
    <w:p>
      <w:pPr>
        <w:ind w:left="288"/>
      </w:pPr>
      <w:r>
        <w:rPr>
          <w:color w:val="8C8C8C"/>
          <w:sz w:val="12"/>
        </w:rPr>
        <w:t>cf-art-5-inc-L</w:t>
      </w:r>
      <w:r>
        <w:rPr>
          <w:color w:val="003CA0"/>
          <w:sz w:val="12"/>
        </w:rPr>
        <w:t xml:space="preserve"> | EXT 1.254</w:t>
      </w:r>
      <w:r>
        <w:rPr>
          <w:color w:val="003CA0"/>
          <w:sz w:val="12"/>
        </w:rPr>
        <w:t xml:space="preserve"> | rel. Ayres Britto</w:t>
      </w:r>
    </w:p>
    <w:p>
      <w:pPr>
        <w:ind w:left="288"/>
      </w:pPr>
      <w:r>
        <w:rPr>
          <w:color w:val="1E1E1E"/>
          <w:sz w:val="18"/>
        </w:rPr>
        <w:t>Vide Ext 1.254 QO, rel. min. Ayres Britto, j. 6-9-2011,2ª T, DJE de 20-9-2011 A privação cautelar da liberdade individual reveste-se de caráter excepcional, somente devendo ser decretada em situações de absoluta necessidade. A prisão preventiva, para legitimar-se em face de nosso sistema jurídico, impõe – além da satisfação dos pressupostos a que se refere o art. 312 do CPP (prova da existência material do crime e presença de indícios suficientes de autoria) – que se evidenciem, com fundamento em base empírica idônea, razões justificadoras da imprescindibilidade dessa extraordinária medida cau</w:t>
      </w:r>
    </w:p>
    <w:p>
      <w:pPr>
        <w:ind w:left="288"/>
      </w:pPr>
      <w:r>
        <w:rPr>
          <w:b/>
          <w:color w:val="003CA0"/>
          <w:sz w:val="16"/>
        </w:rPr>
        <w:t>[HC 93.883, rel. min. Celso de Mello, j. 26-8-2008, 2ª T, DJE de 27-3-2009.]</w:t>
      </w:r>
    </w:p>
    <w:p>
      <w:pPr>
        <w:ind w:left="288"/>
      </w:pPr>
      <w:r>
        <w:rPr>
          <w:color w:val="8C8C8C"/>
          <w:sz w:val="12"/>
        </w:rPr>
        <w:t>cf-art-5-inc-L</w:t>
      </w:r>
      <w:r>
        <w:rPr>
          <w:color w:val="003CA0"/>
          <w:sz w:val="12"/>
        </w:rPr>
        <w:t xml:space="preserve"> | HC 98.620</w:t>
      </w:r>
      <w:r>
        <w:rPr>
          <w:color w:val="003CA0"/>
          <w:sz w:val="12"/>
        </w:rPr>
        <w:t xml:space="preserve"> | rel. Marco Aurélio</w:t>
      </w:r>
    </w:p>
    <w:p>
      <w:pPr>
        <w:ind w:left="288"/>
      </w:pPr>
      <w:r>
        <w:rPr>
          <w:color w:val="1E1E1E"/>
          <w:sz w:val="18"/>
        </w:rPr>
        <w:t>= HC 98.620, rel. min. Marco Aurélio, red. do ac. min. Luiz Fux, j. 12-4-2011, 1ª T, DJE de 31-5-2011 Devem ser desconsiderados quaisquer fundamentos que não tenham sido expressamente mencionados no decreto de prisão preventiva, pois, na linha da jurisprudência deste Supremo Tribunal, a idoneidade formal e substancial da motivação das decisões judiciais há de ser aferida segundo o que nela haja posto o juiz da causa, não sendo dado "ao tribunal do habeas corpus, que a impugne, suprir-lhe as faltas ou complementá-la" (HC 90.064, rel. min. Sepúlveda Pertence, DJ de 22-6-2007; HC 79.248, rel. min</w:t>
      </w:r>
    </w:p>
    <w:p>
      <w:pPr>
        <w:ind w:left="288"/>
      </w:pPr>
      <w:r>
        <w:rPr>
          <w:b/>
          <w:color w:val="003CA0"/>
          <w:sz w:val="16"/>
        </w:rPr>
        <w:t>[HC 94.421, rel. min. Cármen Lúcia, j. 3-6-2008, 1ª T, DJE de 31-10-2008.]</w:t>
      </w:r>
    </w:p>
    <w:p>
      <w:pPr>
        <w:ind w:left="288"/>
      </w:pPr>
      <w:r>
        <w:rPr>
          <w:color w:val="8C8C8C"/>
          <w:sz w:val="12"/>
        </w:rPr>
        <w:t>cf-art-5-inc-L</w:t>
      </w:r>
      <w:r>
        <w:rPr>
          <w:color w:val="003CA0"/>
          <w:sz w:val="12"/>
        </w:rPr>
        <w:t xml:space="preserve"> | HC 97.487</w:t>
      </w:r>
      <w:r>
        <w:rPr>
          <w:color w:val="003CA0"/>
          <w:sz w:val="12"/>
        </w:rPr>
        <w:t xml:space="preserve"> | rel. Ellen Gracie</w:t>
      </w:r>
    </w:p>
    <w:p>
      <w:pPr>
        <w:ind w:left="288"/>
      </w:pPr>
      <w:r>
        <w:rPr>
          <w:color w:val="1E1E1E"/>
          <w:sz w:val="18"/>
        </w:rPr>
        <w:t>= HC 97.487, rel. min. Ellen Gracie, j. 9-6-2009, 2ª T, DJE de 14-8-2009 Vide HC 94.344, rel. min. Cezar Peluso, j. 31-3-2009, 2ª T, DJE de 22-5-2009 Não há que se falar em inidoneidade do decreto de prisão, se este embasa a custódia cautelar em dados concretos. A prisão preventiva pode ser decretada para evitar que o acusado pratique novos delitos. O decreto preventivo contém dados concretos quanto à periculosidade do paciente e da quadrilha de cujo comando faz parte. Ordem pública a se traduzir na tutela dos superiores bens jurídicos da incolumidade das pessoas e do patrimônio, constituindo-</w:t>
      </w:r>
    </w:p>
    <w:p>
      <w:pPr>
        <w:ind w:left="288"/>
      </w:pPr>
      <w:r>
        <w:rPr>
          <w:b/>
          <w:color w:val="003CA0"/>
          <w:sz w:val="16"/>
        </w:rPr>
        <w:t>[HC 91.016, rel. min. Ayres Britto, j. 13-11-2007, 1ª T, DJE de 9-5-2008.]</w:t>
      </w:r>
    </w:p>
    <w:p>
      <w:pPr>
        <w:ind w:left="288"/>
      </w:pPr>
      <w:r>
        <w:rPr>
          <w:color w:val="8C8C8C"/>
          <w:sz w:val="12"/>
        </w:rPr>
        <w:t>cf-art-5-inc-L</w:t>
      </w:r>
      <w:r>
        <w:rPr>
          <w:color w:val="003CA0"/>
          <w:sz w:val="12"/>
        </w:rPr>
        <w:t xml:space="preserve"> | HC 94.179</w:t>
      </w:r>
      <w:r>
        <w:rPr>
          <w:color w:val="003CA0"/>
          <w:sz w:val="12"/>
        </w:rPr>
        <w:t xml:space="preserve"> | rel. Gilmar Mendes</w:t>
      </w:r>
    </w:p>
    <w:p>
      <w:pPr>
        <w:ind w:left="288"/>
      </w:pPr>
      <w:r>
        <w:rPr>
          <w:color w:val="1E1E1E"/>
          <w:sz w:val="18"/>
        </w:rPr>
        <w:t>= HC 94.179, rel. min. Gilmar Mendes, j. 25-5-2010, 2ª T, DJE de 13-8-2010 A busca da proteção da ordem pública há de estar calcada em fatos concretos, descabendo potencializar o subjetivismo e, a mercê de capacidade intuitiva, imaginar dados passíveis de acontecer (...).</w:t>
      </w:r>
    </w:p>
    <w:p>
      <w:pPr>
        <w:ind w:left="288"/>
      </w:pPr>
      <w:r>
        <w:rPr>
          <w:b/>
          <w:color w:val="003CA0"/>
          <w:sz w:val="16"/>
        </w:rPr>
        <w:t>[HC 87.794, rel. min. Marco Aurélio, j. 14-11-2006, 1ª T, DJ de 2-2-2007.]</w:t>
      </w:r>
    </w:p>
    <w:p>
      <w:pPr>
        <w:ind w:left="288"/>
      </w:pPr>
      <w:r>
        <w:rPr>
          <w:color w:val="8C8C8C"/>
          <w:sz w:val="12"/>
        </w:rPr>
        <w:t>cf-art-5-inc-L</w:t>
      </w:r>
      <w:r>
        <w:rPr>
          <w:color w:val="003CA0"/>
          <w:sz w:val="12"/>
        </w:rPr>
        <w:t xml:space="preserve"> | HC 95.125</w:t>
      </w:r>
      <w:r>
        <w:rPr>
          <w:color w:val="003CA0"/>
          <w:sz w:val="12"/>
        </w:rPr>
        <w:t xml:space="preserve"> | rel. Ricardo Lewandowski</w:t>
      </w:r>
    </w:p>
    <w:p>
      <w:pPr>
        <w:ind w:left="288"/>
      </w:pPr>
      <w:r>
        <w:rPr>
          <w:color w:val="1E1E1E"/>
          <w:sz w:val="18"/>
        </w:rPr>
        <w:t>= HC 95.125, rel. min. Ricardo Lewandowski, j. 8-6-2010, 1ª T, DJE de 24-9-2010 O relaxamento da prisão preventiva, por excesso de prazo, não impede sua decretação por outros fundamentos explicitados na sentença.</w:t>
      </w:r>
    </w:p>
    <w:p>
      <w:pPr>
        <w:ind w:left="288"/>
      </w:pPr>
      <w:r>
        <w:rPr>
          <w:b/>
          <w:color w:val="003CA0"/>
          <w:sz w:val="16"/>
        </w:rPr>
        <w:t>[HC 86.304, rel. min. Eros Grau, j. 4-10-2005, 1ª T, DJ de 3-2-2006.]</w:t>
      </w:r>
    </w:p>
    <w:p>
      <w:pPr>
        <w:ind w:left="288"/>
      </w:pPr>
      <w:r>
        <w:rPr>
          <w:color w:val="8C8C8C"/>
          <w:sz w:val="12"/>
        </w:rPr>
        <w:t>cf-art-5-inc-L</w:t>
      </w:r>
      <w:r>
        <w:rPr>
          <w:color w:val="003CA0"/>
          <w:sz w:val="12"/>
        </w:rPr>
        <w:t xml:space="preserve"> | HC 103.881</w:t>
      </w:r>
      <w:r>
        <w:rPr>
          <w:color w:val="003CA0"/>
          <w:sz w:val="12"/>
        </w:rPr>
        <w:t xml:space="preserve"> | rel. Dias Toffoli</w:t>
      </w:r>
    </w:p>
    <w:p>
      <w:pPr>
        <w:ind w:left="288"/>
      </w:pPr>
      <w:r>
        <w:rPr>
          <w:color w:val="1E1E1E"/>
          <w:sz w:val="18"/>
        </w:rPr>
        <w:t>= HC 103.881, rel. min. Dias Toffoli, j. 31-8-2010, 1ª T, DJE de 22-10-2010 É firme o entendimento desta Corte no sentido de que a simples invocação do clamor público e da repercussão social, provocados pelo fato delituoso, não constituem fundamentos idôneos à decretação e manutenção da prisão cautelar.</w:t>
      </w:r>
    </w:p>
    <w:p>
      <w:pPr>
        <w:ind w:left="288"/>
      </w:pPr>
      <w:r>
        <w:rPr>
          <w:b/>
          <w:color w:val="003CA0"/>
          <w:sz w:val="16"/>
        </w:rPr>
        <w:t>[HC 85.046, rel. min. Eros Grau, j. 15-3-2005, 1ª T, DJ de 10-6-2005.]</w:t>
      </w:r>
    </w:p>
    <w:p>
      <w:pPr>
        <w:ind w:left="288"/>
      </w:pPr>
      <w:r>
        <w:rPr>
          <w:color w:val="8C8C8C"/>
          <w:sz w:val="12"/>
        </w:rPr>
        <w:t>cf-art-5-inc-L</w:t>
      </w:r>
      <w:r>
        <w:rPr>
          <w:color w:val="003CA0"/>
          <w:sz w:val="12"/>
        </w:rPr>
        <w:t xml:space="preserve"> | HC 95.290</w:t>
      </w:r>
      <w:r>
        <w:rPr>
          <w:color w:val="003CA0"/>
          <w:sz w:val="12"/>
        </w:rPr>
        <w:t xml:space="preserve"> | rel. Celso de Mello</w:t>
      </w:r>
    </w:p>
    <w:p>
      <w:pPr>
        <w:ind w:left="288"/>
      </w:pPr>
      <w:r>
        <w:rPr>
          <w:color w:val="1E1E1E"/>
          <w:sz w:val="18"/>
        </w:rPr>
        <w:t>= HC 95.290, rel. min. Celso de Mello, j. 1º-3-2012, 2ª T, DJE de 1º-8-2012 LXII - a prisão de qualquer pessoa e o local onde se encontre serão comunicados imediatamente ao juiz competente e à família do preso ou à pessoa por ele indicada; Não ocorre descumprimento do inciso LXII do art. 5º da CF, quando o preso, voluntariamente, não indica pessoa a ser comunicada da sua prisão. Encontrando-se o paciente cumprindo pena por condenação definitiva, é irrelevante eventual nulidade formal que tenha ocorrido no auto de prisão em flagrante, eis que se encontra preso por outro título.</w:t>
      </w:r>
    </w:p>
    <w:p>
      <w:pPr>
        <w:ind w:left="288"/>
      </w:pPr>
      <w:r>
        <w:rPr>
          <w:b/>
          <w:color w:val="003CA0"/>
          <w:sz w:val="16"/>
        </w:rPr>
        <w:t>[HC 69.630, rel. min. Paulo Brossard, j. 20-10-1992, 2ª T, DJ de 4-12-1992.]</w:t>
      </w:r>
    </w:p>
    <w:p>
      <w:pPr>
        <w:ind w:left="288"/>
      </w:pPr>
      <w:r>
        <w:rPr>
          <w:color w:val="8C8C8C"/>
          <w:sz w:val="12"/>
        </w:rPr>
        <w:t>cf-art-5-inc-L</w:t>
      </w:r>
      <w:r>
        <w:rPr>
          <w:color w:val="003CA0"/>
          <w:sz w:val="12"/>
        </w:rPr>
        <w:t xml:space="preserve"> | HC 68.503</w:t>
      </w:r>
      <w:r>
        <w:rPr>
          <w:color w:val="003CA0"/>
          <w:sz w:val="12"/>
        </w:rPr>
        <w:t xml:space="preserve"> | rel. Célio Borja</w:t>
      </w:r>
    </w:p>
    <w:p>
      <w:pPr>
        <w:ind w:left="288"/>
      </w:pPr>
      <w:r>
        <w:rPr>
          <w:color w:val="1E1E1E"/>
          <w:sz w:val="18"/>
        </w:rPr>
        <w:t>Descumprimento do inciso LXII do art. 5º da Constituição: circunstância que não compromete a materialidade dos delitos e sua autoria, nem autoriza o trancamento da ação penal, podendo ensejar a responsabilidade das autoridades envolvidas.</w:t>
      </w:r>
    </w:p>
    <w:p>
      <w:pPr>
        <w:ind w:left="288"/>
      </w:pPr>
      <w:r>
        <w:rPr>
          <w:b/>
          <w:color w:val="003CA0"/>
          <w:sz w:val="16"/>
        </w:rPr>
        <w:t>[HC 68.503, rel. min. Célio Borja, j. 19-3-1991, 2ª T, DJ de 29-5-1992.]</w:t>
      </w:r>
    </w:p>
    <w:p>
      <w:pPr>
        <w:ind w:left="288"/>
      </w:pPr>
      <w:r>
        <w:rPr>
          <w:color w:val="8C8C8C"/>
          <w:sz w:val="12"/>
        </w:rPr>
        <w:t>cf-art-5-inc-L</w:t>
      </w:r>
    </w:p>
    <w:p>
      <w:pPr>
        <w:ind w:left="288"/>
      </w:pPr>
      <w:r>
        <w:rPr>
          <w:color w:val="1E1E1E"/>
          <w:sz w:val="18"/>
        </w:rPr>
        <w:t>LXIII - o preso será informado de seus direitos, entre os quais o de permanecer calado, sendo-lhe assegurada a assistência da família e de advogado; 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288"/>
      </w:pPr>
      <w:r>
        <w:rPr>
          <w:color w:val="8C8C8C"/>
          <w:sz w:val="12"/>
        </w:rPr>
        <w:t>cf-art-5-inc-L</w:t>
      </w:r>
      <w:r>
        <w:rPr>
          <w:color w:val="003CA0"/>
          <w:sz w:val="12"/>
        </w:rPr>
        <w:t xml:space="preserve"> | ADI 5.567</w:t>
      </w:r>
      <w:r>
        <w:rPr>
          <w:color w:val="003CA0"/>
          <w:sz w:val="12"/>
        </w:rPr>
        <w:t xml:space="preserve"> | rel. Alexandre de Moraes</w:t>
      </w:r>
    </w:p>
    <w:p>
      <w:pPr>
        <w:ind w:left="288"/>
      </w:pPr>
      <w:r>
        <w:rPr>
          <w:color w:val="1E1E1E"/>
          <w:sz w:val="18"/>
        </w:rPr>
        <w:t xml:space="preserve">Caberá ao próprio indivíduo decidir, livremente e na presença da sua defesa técnica, se colabora (ou não) com os órgãos responsáveis pela persecução penal. Os benefícios legais oriundos da colaboração premiada servem como estímulo para o acusado fazer uso do exercício de não mais permanecer em silêncio. Compreensível, então, o termo "renúncia" ao direito ao silêncio não como forma de esgotamento da garantia do direito ao silêncio, que é irrenunciável e inalienável, mas sim como forma de "livre exercício do direito ao silêncio e da não autoincriminação pelos colaboradores, em relação aos fatos </w:t>
      </w:r>
    </w:p>
    <w:p>
      <w:pPr>
        <w:ind w:left="288"/>
      </w:pPr>
      <w:r>
        <w:rPr>
          <w:b/>
          <w:color w:val="003CA0"/>
          <w:sz w:val="16"/>
        </w:rPr>
        <w:t>[ADI 5.567, rel. min. Alexandre de Moraes, j. 21.11.2023, P, DJE de 24.1.2024.]</w:t>
      </w:r>
    </w:p>
    <w:p>
      <w:pPr>
        <w:ind w:left="288"/>
      </w:pPr>
      <w:r>
        <w:rPr>
          <w:color w:val="8C8C8C"/>
          <w:sz w:val="12"/>
        </w:rPr>
        <w:t>cf-art-5-inc-L</w:t>
      </w:r>
      <w:r>
        <w:rPr>
          <w:color w:val="003CA0"/>
          <w:sz w:val="12"/>
        </w:rPr>
        <w:t xml:space="preserve"> | RE 1.224.374</w:t>
      </w:r>
      <w:r>
        <w:rPr>
          <w:color w:val="003CA0"/>
          <w:sz w:val="12"/>
        </w:rPr>
        <w:t xml:space="preserve"> | rel. Luiz Fux</w:t>
      </w:r>
    </w:p>
    <w:p>
      <w:pPr>
        <w:ind w:left="288"/>
      </w:pPr>
      <w:r>
        <w:rPr>
          <w:color w:val="1E1E1E"/>
          <w:sz w:val="18"/>
        </w:rPr>
        <w:t>Não viola a Constituição a imposição legal de sanções administrativas ao condutor de veículo automotor que se recuse à realização dos testes, exames clínicos ou perícias voltados a aferir a influência de álcool ou outra substância psicoativa (art. 165-A e art. 277, §§ 2º e 3º, todos do CTB, na redação dada pela Lei 13.281/2016).</w:t>
      </w:r>
    </w:p>
    <w:p>
      <w:pPr>
        <w:ind w:left="288"/>
      </w:pPr>
      <w:r>
        <w:rPr>
          <w:b/>
          <w:color w:val="003CA0"/>
          <w:sz w:val="16"/>
        </w:rPr>
        <w:t>[RE 1.224.374, rel. min. Luiz Fux, j. 19-5-2022, P, DJE de 23-9-2022, Tema 1.079, com mérito julgado.]</w:t>
      </w:r>
    </w:p>
    <w:p>
      <w:pPr>
        <w:ind w:left="288"/>
      </w:pPr>
      <w:r>
        <w:rPr>
          <w:color w:val="8C8C8C"/>
          <w:sz w:val="12"/>
        </w:rPr>
        <w:t>cf-art-5-inc-L</w:t>
      </w:r>
      <w:r>
        <w:rPr>
          <w:color w:val="003CA0"/>
          <w:sz w:val="12"/>
        </w:rPr>
        <w:t xml:space="preserve"> | RE 971.959</w:t>
      </w:r>
      <w:r>
        <w:rPr>
          <w:color w:val="003CA0"/>
          <w:sz w:val="12"/>
        </w:rPr>
        <w:t xml:space="preserve"> | rel. Luiz Fux</w:t>
      </w:r>
    </w:p>
    <w:p>
      <w:pPr>
        <w:ind w:left="288"/>
      </w:pPr>
      <w:r>
        <w:rPr>
          <w:color w:val="1E1E1E"/>
          <w:sz w:val="18"/>
        </w:rPr>
        <w:t>O prncípio da vedação à autoincriminação, conquanto direito fundamental assegurado na Constituição Federal, pode ser restringido, desde que (a) não seja afetado o núcleo essencial da garantia por meio da exigência de uma postura ativa do agente na assunção da responsabilidade que lhe é imputada; e que (b) a restrição decorra de um exercício de ponderação que viabilize a efetivação de outros direitos também assegurados constitucionalmente, respeitado o cânone da dignidade humana do agente. O direito de não produzir prova contra si mesmo (nemo tenetur se detegere – nada a temer por se deter), do</w:t>
      </w:r>
    </w:p>
    <w:p>
      <w:pPr>
        <w:ind w:left="288"/>
      </w:pPr>
      <w:r>
        <w:rPr>
          <w:b/>
          <w:color w:val="003CA0"/>
          <w:sz w:val="16"/>
        </w:rPr>
        <w:t>[RE 971.959, rel. min. Luiz Fux, j. 14-11-2018, P, DJE de 31-7-2020, Tema 907, com mérito julgado.]</w:t>
      </w:r>
    </w:p>
    <w:p>
      <w:pPr>
        <w:ind w:left="288"/>
      </w:pPr>
      <w:r>
        <w:rPr>
          <w:color w:val="8C8C8C"/>
          <w:sz w:val="12"/>
        </w:rPr>
        <w:t>cf-art-5-inc-L</w:t>
      </w:r>
      <w:r>
        <w:rPr>
          <w:color w:val="003CA0"/>
          <w:sz w:val="12"/>
        </w:rPr>
        <w:t xml:space="preserve"> | RE 640.139</w:t>
      </w:r>
      <w:r>
        <w:rPr>
          <w:color w:val="003CA0"/>
          <w:sz w:val="12"/>
        </w:rPr>
        <w:t xml:space="preserve"> | rel. Dias Toffoli</w:t>
      </w:r>
    </w:p>
    <w:p>
      <w:pPr>
        <w:ind w:left="288"/>
      </w:pPr>
      <w:r>
        <w:rPr>
          <w:color w:val="1E1E1E"/>
          <w:sz w:val="18"/>
        </w:rPr>
        <w:t>O princípio constitucional da autodefesa (art. 5º, LXIII, da CF/1988) não alcança aquele que atribui falsa identidade perante autoridade policial com o intento de ocultar maus antecedentes, sendo, portanto, típica a conduta praticada pelo agente (art. 307 do CP).</w:t>
      </w:r>
    </w:p>
    <w:p>
      <w:pPr>
        <w:ind w:left="288"/>
      </w:pPr>
      <w:r>
        <w:rPr>
          <w:b/>
          <w:color w:val="003CA0"/>
          <w:sz w:val="16"/>
        </w:rPr>
        <w:t>[RE 640.139 RG, rel. min. Dias Toffoli, j. 22-9-2011, P, DJE de 14-10-2011, Tema 478, com mérito julgado.]</w:t>
      </w:r>
    </w:p>
    <w:p>
      <w:pPr>
        <w:ind w:left="288"/>
      </w:pPr>
      <w:r>
        <w:rPr>
          <w:color w:val="8C8C8C"/>
          <w:sz w:val="12"/>
        </w:rPr>
        <w:t>cf-art-5-inc-L</w:t>
      </w:r>
      <w:r>
        <w:rPr>
          <w:color w:val="003CA0"/>
          <w:sz w:val="12"/>
        </w:rPr>
        <w:t xml:space="preserve"> | RHC 170.843</w:t>
      </w:r>
      <w:r>
        <w:rPr>
          <w:color w:val="003CA0"/>
          <w:sz w:val="12"/>
        </w:rPr>
        <w:t xml:space="preserve"> | rel. Gilmar Mendes</w:t>
      </w:r>
    </w:p>
    <w:p>
      <w:pPr>
        <w:ind w:left="288"/>
      </w:pPr>
      <w:r>
        <w:rPr>
          <w:color w:val="1E1E1E"/>
          <w:sz w:val="18"/>
        </w:rPr>
        <w:t>Não se admite condenação baseada exclusivamente em declarações informais prestadas a policiais no momento da prisão em flagrante. A Constituição Federal impõe ao Estado a obrigação de informar ao preso seu direito ao silêncio não apenas no interrogatório formal, mas logo no momento da abordagem, quando recebe voz de prisão por policial, em situação de flagrante delito.</w:t>
      </w:r>
    </w:p>
    <w:p>
      <w:pPr>
        <w:ind w:left="288"/>
      </w:pPr>
      <w:r>
        <w:rPr>
          <w:b/>
          <w:color w:val="003CA0"/>
          <w:sz w:val="16"/>
        </w:rPr>
        <w:t>[RHC 170.843, rel. min. Gilmar Mendes, j. 4-5-2021, P, DJE de 1-9-2021.]</w:t>
      </w:r>
    </w:p>
    <w:p>
      <w:pPr>
        <w:ind w:left="288"/>
      </w:pPr>
      <w:r>
        <w:rPr>
          <w:color w:val="8C8C8C"/>
          <w:sz w:val="12"/>
        </w:rPr>
        <w:t>cf-art-5-inc-L</w:t>
      </w:r>
      <w:r>
        <w:rPr>
          <w:color w:val="003CA0"/>
          <w:sz w:val="12"/>
        </w:rPr>
        <w:t xml:space="preserve"> | HC 101.909</w:t>
      </w:r>
      <w:r>
        <w:rPr>
          <w:color w:val="003CA0"/>
          <w:sz w:val="12"/>
        </w:rPr>
        <w:t xml:space="preserve"> | rel. Ayres Britto</w:t>
      </w:r>
    </w:p>
    <w:p>
      <w:pPr>
        <w:ind w:left="288"/>
      </w:pPr>
      <w:r>
        <w:rPr>
          <w:color w:val="1E1E1E"/>
          <w:sz w:val="18"/>
        </w:rPr>
        <w:t>A CF assegura aos presos o direito ao silêncio (inciso LXIII do art. 5º). Nessa mesma linha de orientação, o Pacto Internacional sobre Direitos Civis e Políticos (Pacto de São José da Costa Rica) institucionaliza o princípio da "não autoincriminação" (nemo tenetur se detegere). Esse direito subjetivo de não se autoincriminar constitui uma das mais eminentes formas de densificação da garantia do devido processo penal e do direito à presunção de não culpabilidade (inciso LVII do art. 5º da CF). A revelar, primeiro, que o processo penal é o espaço de atuação apropriada para o órgão de acusação de</w:t>
      </w:r>
    </w:p>
    <w:p>
      <w:pPr>
        <w:ind w:left="288"/>
      </w:pPr>
      <w:r>
        <w:rPr>
          <w:b/>
          <w:color w:val="003CA0"/>
          <w:sz w:val="16"/>
        </w:rPr>
        <w:t>[HC 101.909, rel. min. Ayres Britto, j. 28-2-2012, 2ª T, DJE de 19-6-2012.]</w:t>
      </w:r>
    </w:p>
    <w:p>
      <w:pPr>
        <w:ind w:left="288"/>
      </w:pPr>
      <w:r>
        <w:rPr>
          <w:color w:val="8C8C8C"/>
          <w:sz w:val="12"/>
        </w:rPr>
        <w:t>cf-art-5-inc-L</w:t>
      </w:r>
      <w:r>
        <w:rPr>
          <w:color w:val="003CA0"/>
          <w:sz w:val="12"/>
        </w:rPr>
        <w:t xml:space="preserve"> | HC 103.236</w:t>
      </w:r>
      <w:r>
        <w:rPr>
          <w:color w:val="003CA0"/>
          <w:sz w:val="12"/>
        </w:rPr>
        <w:t xml:space="preserve"> | rel. Gilmar Mendes</w:t>
      </w:r>
    </w:p>
    <w:p>
      <w:pPr>
        <w:ind w:left="288"/>
      </w:pPr>
      <w:r>
        <w:rPr>
          <w:color w:val="1E1E1E"/>
          <w:sz w:val="18"/>
        </w:rPr>
        <w:t>(...) não pode vingar a tese da impetração de que o fato de a autoridade judiciária competente ter determinado a interceptação telefônica dos pacientes, envolvidos em investigação criminal, fere o direito constitucional ao silêncio, a não autoincriminação.</w:t>
      </w:r>
    </w:p>
    <w:p>
      <w:pPr>
        <w:ind w:left="288"/>
      </w:pPr>
      <w:r>
        <w:rPr>
          <w:b/>
          <w:color w:val="003CA0"/>
          <w:sz w:val="16"/>
        </w:rPr>
        <w:t>[HC 103.236, voto do rel. min. Gilmar Mendes, j. 14-6-2010, 2ª T, DJE de 3-9-2010.]</w:t>
      </w:r>
    </w:p>
    <w:p>
      <w:pPr>
        <w:ind w:left="288"/>
      </w:pPr>
      <w:r>
        <w:rPr>
          <w:color w:val="8C8C8C"/>
          <w:sz w:val="12"/>
        </w:rPr>
        <w:t>cf-art-5-inc-L</w:t>
      </w:r>
      <w:r>
        <w:rPr>
          <w:color w:val="003CA0"/>
          <w:sz w:val="12"/>
        </w:rPr>
        <w:t xml:space="preserve"> | HC 102.732</w:t>
      </w:r>
      <w:r>
        <w:rPr>
          <w:color w:val="003CA0"/>
          <w:sz w:val="12"/>
        </w:rPr>
        <w:t xml:space="preserve"> | rel. Marco Aurélio</w:t>
      </w:r>
    </w:p>
    <w:p>
      <w:pPr>
        <w:ind w:left="288"/>
      </w:pPr>
      <w:r>
        <w:rPr>
          <w:color w:val="1E1E1E"/>
          <w:sz w:val="18"/>
        </w:rPr>
        <w:t>A documentação do flagrante prescinde da presença do defensor técnico do conduzido, sendo suficiente a lembrança, pela autoridade policial, dos direitos constitucionais do preso de ser assistido, comunicando-se com a família e com profissional da advocacia, e de permanecer calado.</w:t>
      </w:r>
    </w:p>
    <w:p>
      <w:pPr>
        <w:ind w:left="288"/>
      </w:pPr>
      <w:r>
        <w:rPr>
          <w:b/>
          <w:color w:val="003CA0"/>
          <w:sz w:val="16"/>
        </w:rPr>
        <w:t>[HC 102.732, rel. min. Marco Aurélio, j. 4-3-2010, P, DJE de 7-5-2010.]</w:t>
      </w:r>
    </w:p>
    <w:p>
      <w:pPr>
        <w:ind w:left="288"/>
      </w:pPr>
      <w:r>
        <w:rPr>
          <w:color w:val="8C8C8C"/>
          <w:sz w:val="12"/>
        </w:rPr>
        <w:t>cf-art-5-inc-L</w:t>
      </w:r>
      <w:r>
        <w:rPr>
          <w:color w:val="003CA0"/>
          <w:sz w:val="12"/>
        </w:rPr>
        <w:t xml:space="preserve"> | HC 89.837</w:t>
      </w:r>
      <w:r>
        <w:rPr>
          <w:color w:val="003CA0"/>
          <w:sz w:val="12"/>
        </w:rPr>
        <w:t xml:space="preserve"> | rel. Celso de Mello</w:t>
      </w:r>
    </w:p>
    <w:p>
      <w:pPr>
        <w:ind w:left="288"/>
      </w:pPr>
      <w:r>
        <w:rPr>
          <w:color w:val="1E1E1E"/>
          <w:sz w:val="18"/>
        </w:rPr>
        <w:t xml:space="preserve">O Ministério Público, sem prejuízo da fiscalização intraorgânica e daquela desempenhada pelo Conselho Nacional do Ministério Público, está permanentemente sujeito ao controle jurisdicional dos atos que pratique no âmbito das investigações penais que promova ex propria auctoritate, não podendo, dentre outras limitações de ordem jurídica, desrespeitar o direito do investigado ao silêncio (nemo tenetur se detegere), nem lhe ordenar a condução coercitiva, nem constrangê-lo a produzir prova contra si próprio, nem lhe recusar o conhecimento das razões motivadoras do procedimento investigatório, nem </w:t>
      </w:r>
    </w:p>
    <w:p>
      <w:pPr>
        <w:ind w:left="288"/>
      </w:pPr>
      <w:r>
        <w:rPr>
          <w:b/>
          <w:color w:val="003CA0"/>
          <w:sz w:val="16"/>
        </w:rPr>
        <w:t>[HC 89.837, rel. min. Celso de Mello, j. 20-10-2009, 2ª T, DJE de 20-11-2009.]</w:t>
      </w:r>
    </w:p>
    <w:p>
      <w:pPr>
        <w:ind w:left="288"/>
      </w:pPr>
      <w:r>
        <w:rPr>
          <w:color w:val="8C8C8C"/>
          <w:sz w:val="12"/>
        </w:rPr>
        <w:t>cf-art-5-inc-L</w:t>
      </w:r>
      <w:r>
        <w:rPr>
          <w:color w:val="003CA0"/>
          <w:sz w:val="12"/>
        </w:rPr>
        <w:t xml:space="preserve"> | HC 96.219</w:t>
      </w:r>
      <w:r>
        <w:rPr>
          <w:color w:val="003CA0"/>
          <w:sz w:val="12"/>
        </w:rPr>
        <w:t xml:space="preserve"> | rel. Celso de Mello</w:t>
      </w:r>
    </w:p>
    <w:p>
      <w:pPr>
        <w:ind w:left="288"/>
      </w:pPr>
      <w:r>
        <w:rPr>
          <w:color w:val="1E1E1E"/>
          <w:sz w:val="18"/>
        </w:rPr>
        <w:t>O Estado – que não tem o direito de tratar suspeitos, indiciados ou réus, como se culpados fossem, antes do trânsito em julgado de eventual sentença penal condenatória (RTJ 176/805-806) – também não pode constrangê-los a produzir provas contra si próprios (RTJ 141/512), em face da cláusula que lhes garante, constitucionalmente, a prerrogativa contra a autoincriminação. Aquele que sofre persecução penal instaurada pelo Estado tem, entre outras prerrogativas básicas, (a) o direito de permanecer em silêncio, (b) o direito de não ser compelido a produzir elementos de incriminação contra si próprio</w:t>
      </w:r>
    </w:p>
    <w:p>
      <w:pPr>
        <w:ind w:left="288"/>
      </w:pPr>
      <w:r>
        <w:rPr>
          <w:b/>
          <w:color w:val="003CA0"/>
          <w:sz w:val="16"/>
        </w:rPr>
        <w:t>[HC 99.289, rel. min. Celso de Mello, j. 23-6-2009, 2ª T, DJE de 4-8-2011.]</w:t>
      </w:r>
    </w:p>
    <w:p>
      <w:pPr>
        <w:ind w:left="288"/>
      </w:pPr>
      <w:r>
        <w:rPr>
          <w:color w:val="8C8C8C"/>
          <w:sz w:val="12"/>
        </w:rPr>
        <w:t>cf-art-5-inc-L</w:t>
      </w:r>
      <w:r>
        <w:rPr>
          <w:color w:val="003CA0"/>
          <w:sz w:val="12"/>
        </w:rPr>
        <w:t xml:space="preserve"> | HC 95.009</w:t>
      </w:r>
      <w:r>
        <w:rPr>
          <w:color w:val="003CA0"/>
          <w:sz w:val="12"/>
        </w:rPr>
        <w:t xml:space="preserve"> | rel. Eros Grau</w:t>
      </w:r>
    </w:p>
    <w:p>
      <w:pPr>
        <w:ind w:left="288"/>
      </w:pPr>
      <w:r>
        <w:rPr>
          <w:color w:val="1E1E1E"/>
          <w:sz w:val="18"/>
        </w:rPr>
        <w:t xml:space="preserve">O controle difuso da constitucionalidade da prisão temporária deverá ser desenvolvido perquirindo-se necessidade e indispensabilidade da medida. A primeira indagação a ser feita no curso desse controle há de ser a seguinte: em que e no que o corpo do suspeito é necessário à investigação? Exclua-se desde logo a afirmação de que se prende para ouvir o detido. Pois a Constituição garante a qualquer um o direito de permanecer calado (art. 5º, LXIII), o que faz com que a resposta à inquirição investigatória consubstancie uma faculdade. Ora, não se prende alguém para que exerça uma faculdade. Sendo </w:t>
      </w:r>
    </w:p>
    <w:p>
      <w:pPr>
        <w:ind w:left="288"/>
      </w:pPr>
      <w:r>
        <w:rPr>
          <w:b/>
          <w:color w:val="003CA0"/>
          <w:sz w:val="16"/>
        </w:rPr>
        <w:t>[HC 95.009, rel. min. Eros Grau, j. 6-11-2008, P, DJE de 19-12-2008.]</w:t>
      </w:r>
    </w:p>
    <w:p>
      <w:pPr>
        <w:ind w:left="288"/>
      </w:pPr>
      <w:r>
        <w:rPr>
          <w:color w:val="8C8C8C"/>
          <w:sz w:val="12"/>
        </w:rPr>
        <w:t>cf-art-5-inc-L</w:t>
      </w:r>
      <w:r>
        <w:rPr>
          <w:color w:val="003CA0"/>
          <w:sz w:val="12"/>
        </w:rPr>
        <w:t xml:space="preserve"> | HC 94.016</w:t>
      </w:r>
      <w:r>
        <w:rPr>
          <w:color w:val="003CA0"/>
          <w:sz w:val="12"/>
        </w:rPr>
        <w:t xml:space="preserve"> | rel. Celso de Mello</w:t>
      </w:r>
    </w:p>
    <w:p>
      <w:pPr>
        <w:ind w:left="288"/>
      </w:pPr>
      <w:r>
        <w:rPr>
          <w:color w:val="1E1E1E"/>
          <w:sz w:val="18"/>
        </w:rPr>
        <w:t>Em sede de persecução penal, o interrogatório judicial – notadamente após o advento da Lei 10.792/2003 – qualifica-se como ato de defesa do réu, que, além de não ser obrigado a responder a qualquer indagação feita pelo magistrado processante, também não pode sofrer qualquer restrição em sua esfera jurídica em virtude do exercício, sempre legítimo, dessa especial prerrogativa. Doutrina. Precedentes. (...) Assiste, a cada um dos litisconsortes penais passivos, o direito – fundado em cláusulas constitucionais (CF, art. 5º, incisos LIV e LV) – de formular reperguntas aos demais corréus, que, no en</w:t>
      </w:r>
    </w:p>
    <w:p>
      <w:pPr>
        <w:ind w:left="288"/>
      </w:pPr>
      <w:r>
        <w:rPr>
          <w:b/>
          <w:color w:val="003CA0"/>
          <w:sz w:val="16"/>
        </w:rPr>
        <w:t>[HC 94.016, rel. min. Celso de Mello, j. 16-9-2008, 2ª T, DJE de 27-2-2009.]</w:t>
      </w:r>
    </w:p>
    <w:p>
      <w:pPr>
        <w:ind w:left="288"/>
      </w:pPr>
      <w:r>
        <w:rPr>
          <w:color w:val="8C8C8C"/>
          <w:sz w:val="12"/>
        </w:rPr>
        <w:t>cf-art-5-inc-L</w:t>
      </w:r>
      <w:r>
        <w:rPr>
          <w:color w:val="003CA0"/>
          <w:sz w:val="12"/>
        </w:rPr>
        <w:t xml:space="preserve"> | HC 91.654</w:t>
      </w:r>
      <w:r>
        <w:rPr>
          <w:color w:val="003CA0"/>
          <w:sz w:val="12"/>
        </w:rPr>
        <w:t xml:space="preserve"> | rel. Ayres Britto</w:t>
      </w:r>
    </w:p>
    <w:p>
      <w:pPr>
        <w:ind w:left="288"/>
      </w:pPr>
      <w:r>
        <w:rPr>
          <w:color w:val="1E1E1E"/>
          <w:sz w:val="18"/>
        </w:rPr>
        <w:t>"Toda pessoa acusada de um delito terá direito, em plena igualdade, a, pelo menos, as seguintes garantias:" (...) "g) de não ser obrigada a depor contra si mesma, nem a confessar-se culpada" (art. 14, 3, g, do Pacto Internacional sobre Direitos Civis e Políticos). Esse efetivo direito a não se autoincriminar constitui uma das mais eminentes formas de densificação da garantia do processo acusatório e do direito à presunção de não culpabilidade. A revelar que o processo é o meio de plena demonstração da materialidade do delito e da autoria.</w:t>
      </w:r>
    </w:p>
    <w:p>
      <w:pPr>
        <w:ind w:left="288"/>
      </w:pPr>
      <w:r>
        <w:rPr>
          <w:b/>
          <w:color w:val="003CA0"/>
          <w:sz w:val="16"/>
        </w:rPr>
        <w:t>[HC 91.654, rel. min. Ayres Britto, j. 8-4-2008, 1ª T, DJE de 7-11-2008.]</w:t>
      </w:r>
    </w:p>
    <w:p>
      <w:pPr>
        <w:ind w:left="288"/>
      </w:pPr>
      <w:r>
        <w:rPr>
          <w:color w:val="8C8C8C"/>
          <w:sz w:val="12"/>
        </w:rPr>
        <w:t>cf-art-5-inc-L</w:t>
      </w:r>
      <w:r>
        <w:rPr>
          <w:color w:val="003CA0"/>
          <w:sz w:val="12"/>
        </w:rPr>
        <w:t xml:space="preserve"> | HC 91.514</w:t>
      </w:r>
      <w:r>
        <w:rPr>
          <w:color w:val="003CA0"/>
          <w:sz w:val="12"/>
        </w:rPr>
        <w:t xml:space="preserve"> | rel. Gilmar Mendes</w:t>
      </w:r>
    </w:p>
    <w:p>
      <w:pPr>
        <w:ind w:left="288"/>
      </w:pPr>
      <w:r>
        <w:rPr>
          <w:color w:val="1E1E1E"/>
          <w:sz w:val="18"/>
        </w:rPr>
        <w:t>A boa aplicação dos direitos fundamentais de caráter processual, principalmente a proteção judicial efetiva, permite distinguir o Estado de Direito do Estado Policial. Na medida em que o silêncio corresponde a garantia fundamental intrínseca do direito constitucional de defesa, a mera recusa de manifestação por parte do paciente não pode ser interpretada em seu desfavor para fins de decretação de prisão preventiva.</w:t>
      </w:r>
    </w:p>
    <w:p>
      <w:pPr>
        <w:ind w:left="288"/>
      </w:pPr>
      <w:r>
        <w:rPr>
          <w:b/>
          <w:color w:val="003CA0"/>
          <w:sz w:val="16"/>
        </w:rPr>
        <w:t>[HC 91.514, rel. min. Gilmar Mendes, j. 11-3-2008, 2ª T, DJE de 16-5-2008.]</w:t>
      </w:r>
    </w:p>
    <w:p>
      <w:pPr>
        <w:ind w:left="288"/>
      </w:pPr>
      <w:r>
        <w:rPr>
          <w:color w:val="8C8C8C"/>
          <w:sz w:val="12"/>
        </w:rPr>
        <w:t>cf-art-5-inc-L</w:t>
      </w:r>
      <w:r>
        <w:rPr>
          <w:color w:val="003CA0"/>
          <w:sz w:val="12"/>
        </w:rPr>
        <w:t xml:space="preserve"> | HC 99.289</w:t>
      </w:r>
      <w:r>
        <w:rPr>
          <w:color w:val="003CA0"/>
          <w:sz w:val="12"/>
        </w:rPr>
        <w:t xml:space="preserve"> | rel. Celso de Mello</w:t>
      </w:r>
    </w:p>
    <w:p>
      <w:pPr>
        <w:ind w:left="288"/>
      </w:pPr>
      <w:r>
        <w:rPr>
          <w:color w:val="1E1E1E"/>
          <w:sz w:val="18"/>
        </w:rPr>
        <w:t>= HC 99.289, rel. min. Celso de Mello, j. 23-6-2009, 2ª T, DJE de 4-8-2011 O privilégio contra a autoincriminação, garantia constitucional, permite ao paciente o exercício do direito de silêncio, não estando, por essa razão, obrigado a fornecer os padrões vocais necessários a subsidiar prova pericial que entende lhe ser desfavorável.</w:t>
      </w:r>
    </w:p>
    <w:p>
      <w:pPr>
        <w:ind w:left="288"/>
      </w:pPr>
      <w:r>
        <w:rPr>
          <w:b/>
          <w:color w:val="003CA0"/>
          <w:sz w:val="16"/>
        </w:rPr>
        <w:t>[HC 83.096, rel. min. Ellen Gracie, j. 18-11-2003, 2ª T, DJ de 12-12-2003.]</w:t>
      </w:r>
    </w:p>
    <w:p>
      <w:pPr>
        <w:ind w:left="288"/>
      </w:pPr>
      <w:r>
        <w:rPr>
          <w:color w:val="8C8C8C"/>
          <w:sz w:val="12"/>
        </w:rPr>
        <w:t>cf-art-5-inc-L</w:t>
      </w:r>
      <w:r>
        <w:rPr>
          <w:color w:val="003CA0"/>
          <w:sz w:val="12"/>
        </w:rPr>
        <w:t xml:space="preserve"> | HC 82.463</w:t>
      </w:r>
      <w:r>
        <w:rPr>
          <w:color w:val="003CA0"/>
          <w:sz w:val="12"/>
        </w:rPr>
        <w:t xml:space="preserve"> | rel. Ellen Gracie</w:t>
      </w:r>
    </w:p>
    <w:p>
      <w:pPr>
        <w:ind w:left="288"/>
      </w:pPr>
      <w:r>
        <w:rPr>
          <w:color w:val="1E1E1E"/>
          <w:sz w:val="18"/>
        </w:rPr>
        <w:t>Juizados especiais criminais. (...) Não tendo sido o acusado informado do seu direito ao silêncio pelo juízo (art. 5º, LXIII), a audiência realizada, que se restringiu à sua oitiva, é nula.</w:t>
      </w:r>
    </w:p>
    <w:p>
      <w:pPr>
        <w:ind w:left="288"/>
      </w:pPr>
      <w:r>
        <w:rPr>
          <w:b/>
          <w:color w:val="003CA0"/>
          <w:sz w:val="16"/>
        </w:rPr>
        <w:t>[HC 82.463, rel. min. Ellen Gracie, j. 5-11-2002, 1ª T, DJ de 19-12-2002.]</w:t>
      </w:r>
    </w:p>
    <w:p>
      <w:pPr>
        <w:ind w:left="288"/>
      </w:pPr>
      <w:r>
        <w:rPr>
          <w:color w:val="8C8C8C"/>
          <w:sz w:val="12"/>
        </w:rPr>
        <w:t>cf-art-5-inc-L</w:t>
      </w:r>
      <w:r>
        <w:rPr>
          <w:color w:val="003CA0"/>
          <w:sz w:val="12"/>
        </w:rPr>
        <w:t xml:space="preserve"> | RHC 79.973</w:t>
      </w:r>
      <w:r>
        <w:rPr>
          <w:color w:val="003CA0"/>
          <w:sz w:val="12"/>
        </w:rPr>
        <w:t xml:space="preserve"> | rel. Nelson Jobim</w:t>
      </w:r>
    </w:p>
    <w:p>
      <w:pPr>
        <w:ind w:left="288"/>
      </w:pPr>
      <w:r>
        <w:rPr>
          <w:color w:val="1E1E1E"/>
          <w:sz w:val="18"/>
        </w:rPr>
        <w:t>= RHC 79.973, rel. min. Nelson Jobim, j. 23-5-2000, 2ª T, DJ de 13-10-2000 Gravação clandestina de "conversa informal" do indiciado com policiais. Ilicitude decorrente – quando não da evidência de estar o suspeito, na ocasião, ilegalmente preso ou da falta de prova idônea do seu assentimento à gravação ambiental –, de constituir, dita "conversa informal", modalidade de "interrogatório" sub-reptício, o qual – além de realizar-se sem as formalidades legais do interrogatório no inquérito policial (CPP, art. 6º, V) –, se faz sem que o indiciado seja advertido do seu direito ao silêncio. O privilég</w:t>
      </w:r>
    </w:p>
    <w:p>
      <w:pPr>
        <w:ind w:left="288"/>
      </w:pPr>
      <w:r>
        <w:rPr>
          <w:b/>
          <w:color w:val="003CA0"/>
          <w:sz w:val="16"/>
        </w:rPr>
        <w:t>[HC 80.949, rel. min. Sepúlveda Pertence, j. 30-10-2001, 1ª T, DJ de 14-12-2001.]</w:t>
      </w:r>
    </w:p>
    <w:p>
      <w:pPr>
        <w:ind w:left="288"/>
      </w:pPr>
      <w:r>
        <w:rPr>
          <w:color w:val="8C8C8C"/>
          <w:sz w:val="12"/>
        </w:rPr>
        <w:t>cf-art-5-inc-L</w:t>
      </w:r>
      <w:r>
        <w:rPr>
          <w:color w:val="003CA0"/>
          <w:sz w:val="12"/>
        </w:rPr>
        <w:t xml:space="preserve"> | HC 69.818</w:t>
      </w:r>
      <w:r>
        <w:rPr>
          <w:color w:val="003CA0"/>
          <w:sz w:val="12"/>
        </w:rPr>
        <w:t xml:space="preserve"> | rel. Sepúlveda Pertence</w:t>
      </w:r>
    </w:p>
    <w:p>
      <w:pPr>
        <w:ind w:left="288"/>
      </w:pPr>
      <w:r>
        <w:rPr>
          <w:color w:val="1E1E1E"/>
          <w:sz w:val="18"/>
        </w:rPr>
        <w:t>= HC 69.818, rel. min. Sepúlveda Pertence, j. 3-11-1992, 1ª T, DJ de 27-11-1992 O privilégio contra a autoincriminação – que é plenamente invocável perante as CPIs – traduz direito público subjetivo assegurado a qualquer pessoa, que, na condição de testemunha, de indiciado ou de réu, deva prestar depoimento perante órgãos do Poder Legislativo, do Poder Executivo ou do Poder Judiciário. O exercício do direito de permanecer em silêncio não autoriza os órgãos estatais a dispensarem qualquer tratamento que implique restrição à esfera jurídica daquele que regularmente invocou essa prerrogativa fund</w:t>
      </w:r>
    </w:p>
    <w:p>
      <w:pPr>
        <w:ind w:left="288"/>
      </w:pPr>
      <w:r>
        <w:rPr>
          <w:b/>
          <w:color w:val="003CA0"/>
          <w:sz w:val="16"/>
        </w:rPr>
        <w:t>[HC 79.812, rel. min. Celso de Mello, j. 8-11-2000, P, DJ de 16-2-2001.]</w:t>
      </w:r>
    </w:p>
    <w:p>
      <w:pPr>
        <w:ind w:left="288"/>
      </w:pPr>
      <w:r>
        <w:rPr>
          <w:color w:val="8C8C8C"/>
          <w:sz w:val="12"/>
        </w:rPr>
        <w:t>cf-art-5-inc-L</w:t>
      </w:r>
      <w:r>
        <w:rPr>
          <w:color w:val="003CA0"/>
          <w:sz w:val="12"/>
        </w:rPr>
        <w:t xml:space="preserve"> | HC 80.584</w:t>
      </w:r>
      <w:r>
        <w:rPr>
          <w:color w:val="003CA0"/>
          <w:sz w:val="12"/>
        </w:rPr>
        <w:t xml:space="preserve"> | rel. Néri da Silveira</w:t>
      </w:r>
    </w:p>
    <w:p>
      <w:pPr>
        <w:ind w:left="288"/>
      </w:pPr>
      <w:r>
        <w:rPr>
          <w:color w:val="1E1E1E"/>
          <w:sz w:val="18"/>
        </w:rPr>
        <w:t>= HC 80.584, rel. min. Néri da Silveira, j. 8-3-2001, P, DJ de 6-4-2001 Prisão preventiva: fundamentação inadequada. Não constituem fundamentos idôneos, por si sós, à prisão preventiva: (...) b) a consideração de que, interrogado, o acusado não haja demonstrado "interesse em colaborar com a Justiça"; ao indiciado não cabe o ônus de cooperar de qualquer modo com a apuração dos fatos que o possam incriminar – que é todo dos organismos estatais da repressão penal (...).</w:t>
      </w:r>
    </w:p>
    <w:p>
      <w:pPr>
        <w:ind w:left="288"/>
      </w:pPr>
      <w:r>
        <w:rPr>
          <w:b/>
          <w:color w:val="003CA0"/>
          <w:sz w:val="16"/>
        </w:rPr>
        <w:t>[HC 79.781, rel. min. Sepúlveda Pertence, j. 18-4-2000, 1ª T, DJ de 9-6-2000.]</w:t>
      </w:r>
    </w:p>
    <w:p>
      <w:pPr>
        <w:ind w:left="288"/>
      </w:pPr>
      <w:r>
        <w:rPr>
          <w:color w:val="8C8C8C"/>
          <w:sz w:val="12"/>
        </w:rPr>
        <w:t>cf-art-5-inc-L</w:t>
      </w:r>
      <w:r>
        <w:rPr>
          <w:color w:val="003CA0"/>
          <w:sz w:val="12"/>
        </w:rPr>
        <w:t xml:space="preserve"> | HC 79.244</w:t>
      </w:r>
      <w:r>
        <w:rPr>
          <w:color w:val="003CA0"/>
          <w:sz w:val="12"/>
        </w:rPr>
        <w:t xml:space="preserve"> | rel. Sepúlveda Pertence</w:t>
      </w:r>
    </w:p>
    <w:p>
      <w:pPr>
        <w:ind w:left="288"/>
      </w:pPr>
      <w:r>
        <w:rPr>
          <w:color w:val="1E1E1E"/>
          <w:sz w:val="18"/>
        </w:rPr>
        <w:t>Se o objeto da CPI é mais amplo do que os fatos em relação aos quais o cidadão intimado a depor tem sido objeto de suspeitas, do direito ao silêncio não decorre o de recusar-se de logo a depor, mas sim o de não responder às perguntas cujas repostas entenda possam vir a incriminá-lo (...).</w:t>
      </w:r>
    </w:p>
    <w:p>
      <w:pPr>
        <w:ind w:left="288"/>
      </w:pPr>
      <w:r>
        <w:rPr>
          <w:b/>
          <w:color w:val="003CA0"/>
          <w:sz w:val="16"/>
        </w:rPr>
        <w:t>[HC 79.244, rel. min. Sepúlveda Pertence, j. 23-2-2000, P, DJ de 24-3-2000.]</w:t>
      </w:r>
    </w:p>
    <w:p>
      <w:pPr>
        <w:ind w:left="288"/>
      </w:pPr>
      <w:r>
        <w:rPr>
          <w:color w:val="8C8C8C"/>
          <w:sz w:val="12"/>
        </w:rPr>
        <w:t>cf-art-5-inc-L</w:t>
      </w:r>
      <w:r>
        <w:rPr>
          <w:color w:val="003CA0"/>
          <w:sz w:val="12"/>
        </w:rPr>
        <w:t xml:space="preserve"> | HC 78.708</w:t>
      </w:r>
      <w:r>
        <w:rPr>
          <w:color w:val="003CA0"/>
          <w:sz w:val="12"/>
        </w:rPr>
        <w:t xml:space="preserve"> | rel. Sepúlveda Pertence</w:t>
      </w:r>
    </w:p>
    <w:p>
      <w:pPr>
        <w:ind w:left="288"/>
      </w:pPr>
      <w:r>
        <w:rPr>
          <w:color w:val="1E1E1E"/>
          <w:sz w:val="18"/>
        </w:rPr>
        <w:t>Informação do direito ao silêncio (Constituição, art. 5º, LXIII): relevância, momento de exigibilidade, consequências da omissão: elisão, no caso, pelo comportamento processual do acusado. O direito à informação da faculdade de manter-se silente ganhou dignidade constitucional, porque instrumento insubstituível da eficácia real da vetusta garantia contra a autoincriminação que a persistência planetária dos abusos policiais não deixa perder atualidade. Em princípio, ao invés de constituir desprezível irregularidade, a omissão do dever de informação ao preso dos seus direitos, no momento adequad</w:t>
      </w:r>
    </w:p>
    <w:p>
      <w:pPr>
        <w:ind w:left="288"/>
      </w:pPr>
      <w:r>
        <w:rPr>
          <w:b/>
          <w:color w:val="003CA0"/>
          <w:sz w:val="16"/>
        </w:rPr>
        <w:t>[HC 78.708, rel. min. Sepúlveda Pertence, j. 9-3-1999, 1ª T, DJ de 16-4-1999.]</w:t>
        <w:br/>
        <w:t>= RE 1.158.507 AgR, rel. min. Ricardo Lewandowski, red. do ac. min. Edson Fachin, j. 19-6-2023, 2ª T, DJE de 15-9-2023</w:t>
      </w:r>
    </w:p>
    <w:p>
      <w:pPr>
        <w:ind w:left="288"/>
      </w:pPr>
      <w:r>
        <w:rPr>
          <w:color w:val="8C8C8C"/>
          <w:sz w:val="12"/>
        </w:rPr>
        <w:t>cf-art-5-inc-L</w:t>
      </w:r>
      <w:r>
        <w:rPr>
          <w:color w:val="003CA0"/>
          <w:sz w:val="12"/>
        </w:rPr>
        <w:t xml:space="preserve"> | HC 77.862</w:t>
      </w:r>
      <w:r>
        <w:rPr>
          <w:color w:val="003CA0"/>
          <w:sz w:val="12"/>
        </w:rPr>
        <w:t xml:space="preserve"> | rel. Ilmar Galvão</w:t>
      </w:r>
    </w:p>
    <w:p>
      <w:pPr>
        <w:ind w:left="288"/>
      </w:pPr>
      <w:r>
        <w:rPr>
          <w:color w:val="1E1E1E"/>
          <w:sz w:val="18"/>
        </w:rPr>
        <w:t>Condenado submetido a sindicância para apuração de falta disciplinar de natureza grave. Defesa técnica. Formalidade a ser observada, sob pena de nulidade do procedimento – que pode repercutir na remição da pena, na concessão de livramento condicional, no indulto e em outros incidentes da execução –, em face das normas do art. 5º, LXIII, da Constituição e do art. 59 da LEP, não sendo por outra razão que esse último diploma legal impõe às unidades da Federação o dever de dotar os estabelecimentos penais de serviços de assistência judiciária, obviamente destinados aos presos e internados sem recu</w:t>
      </w:r>
    </w:p>
    <w:p>
      <w:pPr>
        <w:ind w:left="288"/>
      </w:pPr>
      <w:r>
        <w:rPr>
          <w:b/>
          <w:color w:val="003CA0"/>
          <w:sz w:val="16"/>
        </w:rPr>
        <w:t>[HC 77.862, rel. min. Ilmar Galvão, j. 17-12-1998, P, DJ de 2-4-2004.]</w:t>
      </w:r>
    </w:p>
    <w:p>
      <w:pPr>
        <w:ind w:left="288"/>
      </w:pPr>
      <w:r>
        <w:rPr>
          <w:color w:val="8C8C8C"/>
          <w:sz w:val="12"/>
        </w:rPr>
        <w:t>cf-art-5-inc-L</w:t>
      </w:r>
      <w:r>
        <w:rPr>
          <w:color w:val="003CA0"/>
          <w:sz w:val="12"/>
        </w:rPr>
        <w:t xml:space="preserve"> | HC 77.135</w:t>
      </w:r>
      <w:r>
        <w:rPr>
          <w:color w:val="003CA0"/>
          <w:sz w:val="12"/>
        </w:rPr>
        <w:t xml:space="preserve"> | rel. Ilmar Galvão</w:t>
      </w:r>
    </w:p>
    <w:p>
      <w:pPr>
        <w:ind w:left="288"/>
      </w:pPr>
      <w:r>
        <w:rPr>
          <w:color w:val="1E1E1E"/>
          <w:sz w:val="18"/>
        </w:rPr>
        <w:t>Diante do princípio nemo tenetur se detegere, que informa o nosso direito de punir, é fora de dúvida que o dispositivo do inciso IV do art. 174 do CPP há de ser interpretado no sentido de não poder ser o indiciado compelido a fornecer padrões gráficos do próprio punho, para os exames periciais, cabendo apenas ser intimado para fazê-lo a seu alvedrio.</w:t>
      </w:r>
    </w:p>
    <w:p>
      <w:pPr>
        <w:ind w:left="288"/>
      </w:pPr>
      <w:r>
        <w:rPr>
          <w:b/>
          <w:color w:val="003CA0"/>
          <w:sz w:val="16"/>
        </w:rPr>
        <w:t>[HC 77.135, rel. min. Ilmar Galvão, j. 8-9-1998, 1ª T, DJ de 6-11-1998.]</w:t>
      </w:r>
    </w:p>
    <w:p>
      <w:pPr>
        <w:ind w:left="288"/>
      </w:pPr>
      <w:r>
        <w:rPr>
          <w:color w:val="8C8C8C"/>
          <w:sz w:val="12"/>
        </w:rPr>
        <w:t>cf-art-5-inc-L</w:t>
      </w:r>
      <w:r>
        <w:rPr>
          <w:color w:val="003CA0"/>
          <w:sz w:val="12"/>
        </w:rPr>
        <w:t xml:space="preserve"> | HC 75.257</w:t>
      </w:r>
      <w:r>
        <w:rPr>
          <w:color w:val="003CA0"/>
          <w:sz w:val="12"/>
        </w:rPr>
        <w:t xml:space="preserve"> | rel. Moreira Alves</w:t>
      </w:r>
    </w:p>
    <w:p>
      <w:pPr>
        <w:ind w:left="288"/>
      </w:pPr>
      <w:r>
        <w:rPr>
          <w:color w:val="1E1E1E"/>
          <w:sz w:val="18"/>
        </w:rPr>
        <w:t>Falsidade ideológica. No caso, a hipótese não diz respeito, propriamente, à falsidade quanto à identidade do réu, mas, sim, ao fato de o então indiciado ter faltado com a verdade quando negou, em inquérito policial em que figurava como indiciado, que tivesse assinado termo de declarações anteriores que, assim, não seriam suas. Ora, tendo o indiciado o direito de permanecer calado e até mesmo o de mentir para não autoincriminar-se com as declarações prestadas, não tinha ele o dever de dizer a verdade, não se enquadrando, pois, sua conduta no tipo previsto no art. 299 do CP.</w:t>
      </w:r>
    </w:p>
    <w:p>
      <w:pPr>
        <w:ind w:left="288"/>
      </w:pPr>
      <w:r>
        <w:rPr>
          <w:b/>
          <w:color w:val="003CA0"/>
          <w:sz w:val="16"/>
        </w:rPr>
        <w:t>[HC 75.257, rel. min. Moreira Alves, j. 17-6-1997, 1ª T, DJ de 29-8-1997.]</w:t>
      </w:r>
    </w:p>
    <w:p>
      <w:pPr>
        <w:ind w:left="288"/>
      </w:pPr>
      <w:r>
        <w:rPr>
          <w:color w:val="8C8C8C"/>
          <w:sz w:val="12"/>
        </w:rPr>
        <w:t>cf-art-5-inc-L</w:t>
      </w:r>
      <w:r>
        <w:rPr>
          <w:color w:val="003CA0"/>
          <w:sz w:val="12"/>
        </w:rPr>
        <w:t xml:space="preserve"> | HC 72.815</w:t>
      </w:r>
      <w:r>
        <w:rPr>
          <w:color w:val="003CA0"/>
          <w:sz w:val="12"/>
        </w:rPr>
        <w:t xml:space="preserve"> | rel. Moreira Alves</w:t>
      </w:r>
    </w:p>
    <w:p>
      <w:pPr>
        <w:ind w:left="288"/>
      </w:pPr>
      <w:r>
        <w:rPr>
          <w:color w:val="1E1E1E"/>
          <w:sz w:val="18"/>
        </w:rPr>
        <w:t>O comportamento do réu durante o processo na tentativa de defender-se não pode ser levado em consideração para o efeito de aumento da pena, sendo certo, também, que o réu não está obrigado a dizer a verdade (art. 5º, LXIII, da Constituição) e que as testemunhas, se mentirosas, devem elas, sem reflexo na fixação da pena do réu em favor de quem depuseram, ser punidas, se for o caso, pelo crime de falso testemunho.</w:t>
      </w:r>
    </w:p>
    <w:p>
      <w:pPr>
        <w:ind w:left="288"/>
      </w:pPr>
      <w:r>
        <w:rPr>
          <w:b/>
          <w:color w:val="003CA0"/>
          <w:sz w:val="16"/>
        </w:rPr>
        <w:t>[HC 72.815, rel. min. Moreira Alves, j. 5-9-1995, 1ª T, DJ de 6-10-1995.]</w:t>
      </w:r>
    </w:p>
    <w:p>
      <w:pPr>
        <w:ind w:left="288"/>
      </w:pPr>
      <w:r>
        <w:rPr>
          <w:color w:val="8C8C8C"/>
          <w:sz w:val="12"/>
        </w:rPr>
        <w:t>cf-art-5-inc-L</w:t>
      </w:r>
      <w:r>
        <w:rPr>
          <w:color w:val="003CA0"/>
          <w:sz w:val="12"/>
        </w:rPr>
        <w:t xml:space="preserve"> | RE 136.239</w:t>
      </w:r>
      <w:r>
        <w:rPr>
          <w:color w:val="003CA0"/>
          <w:sz w:val="12"/>
        </w:rPr>
        <w:t xml:space="preserve"> | rel. Celso de Mello</w:t>
      </w:r>
    </w:p>
    <w:p>
      <w:pPr>
        <w:ind w:left="288"/>
      </w:pPr>
      <w:r>
        <w:rPr>
          <w:color w:val="1E1E1E"/>
          <w:sz w:val="18"/>
        </w:rPr>
        <w:t>A regra constitucional superveniente – tal como a inscrita no art. 5º, LXIII, e no art. 133 da Carta Política – não se reveste de retroprojeção normativa, eis que os preceitos de uma nova Constituição aplicam-se imediatamente, com eficácia ex nunc, ressalvadas as situações excepcionais, expressamente definidas no texto da Lei Fundamental. O princípio da imediata incidência das regras jurídico-constitucionais somente pode ser excepcionado, inclusive para efeito de sua aplicação retroativa, quando expressamente o dispuser a Carta Política, pois "As Constituições não têm, de ordinário, retroeficá</w:t>
      </w:r>
    </w:p>
    <w:p>
      <w:pPr>
        <w:ind w:left="288"/>
      </w:pPr>
      <w:r>
        <w:rPr>
          <w:b/>
          <w:color w:val="003CA0"/>
          <w:sz w:val="16"/>
        </w:rPr>
        <w:t>[RE 136.239, rel. min. Celso de Mello, j. 7-4-1992, 1ª T, DJ de 14-8-1992.]</w:t>
      </w:r>
    </w:p>
    <w:p>
      <w:pPr>
        <w:ind w:left="288"/>
      </w:pPr>
      <w:r>
        <w:rPr>
          <w:color w:val="8C8C8C"/>
          <w:sz w:val="12"/>
        </w:rPr>
        <w:t>cf-art-5-inc-L</w:t>
      </w:r>
      <w:r>
        <w:rPr>
          <w:color w:val="003CA0"/>
          <w:sz w:val="12"/>
        </w:rPr>
        <w:t xml:space="preserve"> | HC 68.929</w:t>
      </w:r>
      <w:r>
        <w:rPr>
          <w:color w:val="003CA0"/>
          <w:sz w:val="12"/>
        </w:rPr>
        <w:t xml:space="preserve"> | rel. Celso de Mello</w:t>
      </w:r>
    </w:p>
    <w:p>
      <w:pPr>
        <w:ind w:left="288"/>
      </w:pPr>
      <w:r>
        <w:rPr>
          <w:color w:val="1E1E1E"/>
          <w:sz w:val="18"/>
        </w:rPr>
        <w:t>Qualquer indivíduo que figure como objeto de procedimentos investigatórios policiais ou que ostente, em juízo penal, a condição jurídica de imputado tem, entre as várias prerrogativas que lhe são constitucionalmente asseguradas, o direito de permanecer calado. Nemo tenetur se detegere. Ninguém pode ser constrangido a confessar a prática de um ilícito penal. O direito de permanecer em silêncio insere-se no alcance concreto da cláusula constitucional do devido processo legal. E nesse direito ao silêncio inclui-se, até mesmo por implicitude, a prerrogativa processual de o acusado negar, ainda que</w:t>
      </w:r>
    </w:p>
    <w:p>
      <w:pPr>
        <w:ind w:left="288"/>
      </w:pPr>
      <w:r>
        <w:rPr>
          <w:b/>
          <w:color w:val="003CA0"/>
          <w:sz w:val="16"/>
        </w:rPr>
        <w:t>[HC 68.929, rel. min. Celso de Mello, j. 22-10-1991, 1ª T, DJ de 28-8-1992.]</w:t>
      </w:r>
    </w:p>
    <w:p>
      <w:pPr>
        <w:ind w:left="288"/>
      </w:pPr>
      <w:r>
        <w:rPr>
          <w:color w:val="8C8C8C"/>
          <w:sz w:val="12"/>
        </w:rPr>
        <w:t>cf-art-5-inc-L</w:t>
      </w:r>
      <w:r>
        <w:rPr>
          <w:color w:val="003CA0"/>
          <w:sz w:val="12"/>
        </w:rPr>
        <w:t xml:space="preserve"> | HC 68.742</w:t>
      </w:r>
      <w:r>
        <w:rPr>
          <w:color w:val="003CA0"/>
          <w:sz w:val="12"/>
        </w:rPr>
        <w:t xml:space="preserve"> | rel. Ilmar Galvão</w:t>
      </w:r>
    </w:p>
    <w:p>
      <w:pPr>
        <w:ind w:left="288"/>
      </w:pPr>
      <w:r>
        <w:rPr>
          <w:color w:val="1E1E1E"/>
          <w:sz w:val="18"/>
        </w:rPr>
        <w:t>A fixação da pena acima do mínimo legal exige fundamentação adequada, baseada em circunstâncias que, em tese, se enquadrem entre aquelas a ponderar, na forma prevista no art. 59 do CP, não se incluindo, entre elas, o fato de haver o acusado negado falsamente o crime, em virtude do princípio constitucional – nemo tenetur se detegere .</w:t>
      </w:r>
    </w:p>
    <w:p>
      <w:pPr>
        <w:ind w:left="288"/>
      </w:pPr>
      <w:r>
        <w:rPr>
          <w:b/>
          <w:color w:val="003CA0"/>
          <w:sz w:val="16"/>
        </w:rPr>
        <w:t>[HC 68.742, rel. p/ o ac. min. Ilmar Galvão, j. 28-6-1991, P, DJ de 2-4-1993.]</w:t>
      </w:r>
    </w:p>
    <w:p>
      <w:pPr>
        <w:ind w:left="288"/>
      </w:pPr>
      <w:r>
        <w:rPr>
          <w:color w:val="8C8C8C"/>
          <w:sz w:val="12"/>
        </w:rPr>
        <w:t>cf-art-5-inc-L</w:t>
      </w:r>
      <w:r>
        <w:rPr>
          <w:color w:val="003CA0"/>
          <w:sz w:val="12"/>
        </w:rPr>
        <w:t xml:space="preserve"> | HC 96.190</w:t>
      </w:r>
      <w:r>
        <w:rPr>
          <w:color w:val="003CA0"/>
          <w:sz w:val="12"/>
        </w:rPr>
        <w:t xml:space="preserve"> | rel. Gilmar Mendes</w:t>
      </w:r>
    </w:p>
    <w:p>
      <w:pPr>
        <w:ind w:left="288"/>
      </w:pPr>
      <w:r>
        <w:rPr>
          <w:color w:val="1E1E1E"/>
          <w:sz w:val="18"/>
        </w:rPr>
        <w:t>= HC 96.190, rel. min. Gilmar Mendes, j. 14-6-2010, 2ª T, DJE de 3-9-2010 LXIV - o preso tem direito à identificação dos responsáveis por sua prisão ou por seu interrogatório policial; LXV - a prisão ilegal será imediatamente relaxada pela autoridade judiciária;</w:t>
      </w:r>
    </w:p>
    <w:p>
      <w:pPr>
        <w:ind w:left="288"/>
      </w:pPr>
      <w:r>
        <w:rPr>
          <w:color w:val="8C8C8C"/>
          <w:sz w:val="12"/>
        </w:rPr>
        <w:t>cf-art-5-inc-L</w:t>
      </w:r>
      <w:r>
        <w:rPr>
          <w:color w:val="003CA0"/>
          <w:sz w:val="12"/>
        </w:rPr>
        <w:t xml:space="preserve"> | ADI 4.414</w:t>
      </w:r>
      <w:r>
        <w:rPr>
          <w:color w:val="003CA0"/>
          <w:sz w:val="12"/>
        </w:rPr>
        <w:t xml:space="preserve"> | rel. Luiz Fux</w:t>
      </w:r>
    </w:p>
    <w:p>
      <w:pPr>
        <w:ind w:left="288"/>
      </w:pPr>
      <w:r>
        <w:rPr>
          <w:color w:val="1E1E1E"/>
          <w:sz w:val="18"/>
        </w:rPr>
        <w:t>O juízo incompetente pode, salvante os casos de erro grosseiro e manifesta má-fé, em hipóteses de urgência e desde que haja dúvida razoável a respeito do órgão que deve processar a causa, determinar o relaxamento de prisão ilegal, remetendo o caso, em seguida, ao juiz natural, configurando hipótese de translatio iudicii inferida do art. 5º, LXV, da Carta Magna, o qual não exige a competência da autoridade judiciária responsável pelo relaxamento, sendo certo que a complexidade dos critérios de divisão da competência jurisdicional não podem obstaculizar o acesso à justiça (art. 5º, XXXV, da CRFB</w:t>
      </w:r>
    </w:p>
    <w:p>
      <w:pPr>
        <w:ind w:left="288"/>
      </w:pPr>
      <w:r>
        <w:rPr>
          <w:b/>
          <w:color w:val="003CA0"/>
          <w:sz w:val="16"/>
        </w:rPr>
        <w:t>[ADI 4.414, rel. min. Luiz Fux, j. 31-5-2012, P, DJE de 17-6-2013.]</w:t>
      </w:r>
    </w:p>
    <w:p>
      <w:pPr>
        <w:ind w:left="144"/>
      </w:pPr>
      <w:r>
        <w:rPr>
          <w:b/>
          <w:color w:val="B45A00"/>
          <w:sz w:val="16"/>
        </w:rPr>
        <w:t>JULGADOS CORRELATOS</w:t>
      </w:r>
    </w:p>
    <w:p>
      <w:pPr>
        <w:ind w:left="288"/>
      </w:pPr>
      <w:r>
        <w:rPr>
          <w:color w:val="8C8C8C"/>
          <w:sz w:val="12"/>
        </w:rPr>
        <w:t>cf-art-5-inc-L</w:t>
      </w:r>
      <w:r>
        <w:rPr>
          <w:color w:val="003CA0"/>
          <w:sz w:val="12"/>
        </w:rPr>
        <w:t xml:space="preserve"> | EXT 1.054</w:t>
      </w:r>
      <w:r>
        <w:rPr>
          <w:color w:val="003CA0"/>
          <w:sz w:val="12"/>
        </w:rPr>
        <w:t xml:space="preserve"> | rel. Marco Aurélio</w:t>
      </w:r>
    </w:p>
    <w:p>
      <w:pPr>
        <w:ind w:left="288"/>
      </w:pPr>
      <w:r>
        <w:rPr>
          <w:color w:val="1E1E1E"/>
          <w:sz w:val="18"/>
        </w:rPr>
        <w:t>Uma vez configurada a inércia do Governo requerente no cumprimento de diligência visando a instruir o pedido de extradição e projetada a prisão do extraditando no tempo, incumbe o relaxamento, expedindo-se alvará de soltura a ser cumprido com as cautelas próprias.</w:t>
      </w:r>
    </w:p>
    <w:p>
      <w:pPr>
        <w:ind w:left="288"/>
      </w:pPr>
      <w:r>
        <w:rPr>
          <w:b/>
          <w:color w:val="003CA0"/>
          <w:sz w:val="16"/>
        </w:rPr>
        <w:t>[Ext 1.054 QO, rel. min. Marco Aurélio, j. 29-8-2007, P, DJE de 22-2-2008.]</w:t>
      </w:r>
    </w:p>
    <w:p>
      <w:pPr>
        <w:ind w:left="288"/>
      </w:pPr>
      <w:r>
        <w:rPr>
          <w:color w:val="8C8C8C"/>
          <w:sz w:val="12"/>
        </w:rPr>
        <w:t>cf-art-5-inc-L</w:t>
      </w:r>
      <w:r>
        <w:rPr>
          <w:color w:val="003CA0"/>
          <w:sz w:val="12"/>
        </w:rPr>
        <w:t xml:space="preserve"> | HC 89.238</w:t>
      </w:r>
      <w:r>
        <w:rPr>
          <w:color w:val="003CA0"/>
          <w:sz w:val="12"/>
        </w:rPr>
        <w:t xml:space="preserve"> | rel. Gilmar Mendes</w:t>
      </w:r>
    </w:p>
    <w:p>
      <w:pPr>
        <w:ind w:left="288"/>
      </w:pPr>
      <w:r>
        <w:rPr>
          <w:color w:val="1E1E1E"/>
          <w:sz w:val="18"/>
        </w:rPr>
        <w:t>Na linha da jurisprudência deste Tribunal, porém, não basta, a mera explicitação textual dos requisitos previstos pelo art. 312 do CPP. (...) Da simples leitura do decreto prisional, as únicas afirmações ou adjetivações apresentadas pelo juízo de origem são ilações de que a constrição pautar-se-ia no modus operandi da prática criminosa imputada ao paciente e na "comoção social que a gravidade do delito causou na sociedade paulistana". Não há razões bastantes para a manutenção da custódia preventiva, seja tanto pela garantia da ordem pública, seja pela aplicação da lei penal e conveniência da i</w:t>
      </w:r>
    </w:p>
    <w:p>
      <w:pPr>
        <w:ind w:left="288"/>
      </w:pPr>
      <w:r>
        <w:rPr>
          <w:b/>
          <w:color w:val="003CA0"/>
          <w:sz w:val="16"/>
        </w:rPr>
        <w:t>[HC 89.238, rel. min. Gilmar Mendes, j. 29-5-2007, 2ª T, DJE de 28-3-2008.]</w:t>
      </w:r>
    </w:p>
    <w:p>
      <w:pPr>
        <w:ind w:left="288"/>
      </w:pPr>
      <w:r>
        <w:rPr>
          <w:color w:val="8C8C8C"/>
          <w:sz w:val="12"/>
        </w:rPr>
        <w:t>cf-art-5-inc-L</w:t>
      </w:r>
      <w:r>
        <w:rPr>
          <w:color w:val="003CA0"/>
          <w:sz w:val="12"/>
        </w:rPr>
        <w:t xml:space="preserve"> | HC 80.719</w:t>
      </w:r>
      <w:r>
        <w:rPr>
          <w:color w:val="003CA0"/>
          <w:sz w:val="12"/>
        </w:rPr>
        <w:t xml:space="preserve"> | rel. Celso de Mello</w:t>
      </w:r>
    </w:p>
    <w:p>
      <w:pPr>
        <w:ind w:left="288"/>
      </w:pPr>
      <w:r>
        <w:rPr>
          <w:color w:val="1E1E1E"/>
          <w:sz w:val="18"/>
        </w:rPr>
        <w:t>Sem que se caracterize situação de real necessidade, não se legitima a privação cautelar da liberdade individual do indiciado ou do réu. (...) Discursos de caráter autoritário não podem jamais subjugar o princípio da liberdade. A prerrogativa jurídica da liberdade – que possui extração constitucional (CF, art. 5º, LXI e LXV) – não pode ser ofendida por interpretações doutrinárias ou jurisprudenciais, que, fundadas em preocupante discurso de conteúdo autoritário, culminam por consagrar, paradoxalmente, em detrimento de direitos e garantias fundamentais proclamados pela Constituição da República</w:t>
      </w:r>
    </w:p>
    <w:p>
      <w:pPr>
        <w:ind w:left="288"/>
      </w:pPr>
      <w:r>
        <w:rPr>
          <w:b/>
          <w:color w:val="003CA0"/>
          <w:sz w:val="16"/>
        </w:rPr>
        <w:t>[HC 80.719, rel. min. Celso de Mello, j. 26-6-2001, 2ª T, DJ de 28-9-2001.]</w:t>
      </w:r>
    </w:p>
    <w:p>
      <w:pPr>
        <w:ind w:left="288"/>
      </w:pPr>
      <w:r>
        <w:rPr>
          <w:color w:val="8C8C8C"/>
          <w:sz w:val="12"/>
        </w:rPr>
        <w:t>cf-art-5-inc-L</w:t>
      </w:r>
      <w:r>
        <w:rPr>
          <w:color w:val="003CA0"/>
          <w:sz w:val="12"/>
        </w:rPr>
        <w:t xml:space="preserve"> | HC 80.379</w:t>
      </w:r>
      <w:r>
        <w:rPr>
          <w:color w:val="003CA0"/>
          <w:sz w:val="12"/>
        </w:rPr>
        <w:t xml:space="preserve"> | rel. Celso de Mello</w:t>
      </w:r>
    </w:p>
    <w:p>
      <w:pPr>
        <w:ind w:left="288"/>
      </w:pPr>
      <w:r>
        <w:rPr>
          <w:color w:val="1E1E1E"/>
          <w:sz w:val="18"/>
        </w:rPr>
        <w:t>A prerrogativa jurídica da liberdade – que possui extração constitucional (CF, art. 5º, LXI e LXV) – não pode ser ofendida por atos arbitrários do Poder Público, mesmo que se trate de pessoa acusada da suposta prática de crime hediondo, eis que, até que sobrevenha sentença condenatória irrecorrível (CF, art. 5º, LVII), não se revela possível presumir a culpabilidade do réu, qualquer que seja a natureza da infração penal que lhe tenha sido imputada. O clamor público não constitui fator de legitimação da privação cautelar da liberdade. (...) A natureza da infração penal não pode restringir a apl</w:t>
      </w:r>
    </w:p>
    <w:p>
      <w:pPr>
        <w:ind w:left="288"/>
      </w:pPr>
      <w:r>
        <w:rPr>
          <w:b/>
          <w:color w:val="003CA0"/>
          <w:sz w:val="16"/>
        </w:rPr>
        <w:t>[HC 80.379, rel. min. Celso de Mello, j. 18-12-2000, 2ª T, DJ de 25-5-2001.]</w:t>
      </w:r>
    </w:p>
    <w:p>
      <w:pPr>
        <w:ind w:left="288"/>
      </w:pPr>
      <w:r>
        <w:rPr>
          <w:color w:val="8C8C8C"/>
          <w:sz w:val="12"/>
        </w:rPr>
        <w:t>cf-art-5-inc-L</w:t>
      </w:r>
      <w:r>
        <w:rPr>
          <w:color w:val="003CA0"/>
          <w:sz w:val="12"/>
        </w:rPr>
        <w:t xml:space="preserve"> | HC 96.577</w:t>
      </w:r>
      <w:r>
        <w:rPr>
          <w:color w:val="003CA0"/>
          <w:sz w:val="12"/>
        </w:rPr>
        <w:t xml:space="preserve"> | rel. Celso de Mello</w:t>
      </w:r>
    </w:p>
    <w:p>
      <w:pPr>
        <w:ind w:left="288"/>
      </w:pPr>
      <w:r>
        <w:rPr>
          <w:color w:val="1E1E1E"/>
          <w:sz w:val="18"/>
        </w:rPr>
        <w:t>= HC 96.577, rel. min. Celso de Mello, j. 10-2-2009, 2ª T, DJE de 19-3-2010 Vide HC 103.399, rel. min. Ayres Britto, j. 22-6-2010, 1ª T, DJE de 20-8-2010 LXVI - ninguém será levado à prisão ou nela mantido, quando a lei admitir a liberdade provisória, com ou sem fiança;</w:t>
      </w:r>
    </w:p>
    <w:p>
      <w:pPr>
        <w:ind w:left="144"/>
      </w:pPr>
      <w:r>
        <w:rPr>
          <w:b/>
          <w:color w:val="B45A00"/>
          <w:sz w:val="16"/>
        </w:rPr>
        <w:t>REPERCUSSAO GERAL</w:t>
      </w:r>
    </w:p>
    <w:p>
      <w:pPr>
        <w:ind w:left="288"/>
      </w:pPr>
      <w:r>
        <w:rPr>
          <w:color w:val="8C8C8C"/>
          <w:sz w:val="12"/>
        </w:rPr>
        <w:t>cf-art-5-inc-L</w:t>
      </w:r>
      <w:r>
        <w:rPr>
          <w:color w:val="003CA0"/>
          <w:sz w:val="12"/>
        </w:rPr>
        <w:t xml:space="preserve"> | RE 1.038.925</w:t>
      </w:r>
      <w:r>
        <w:rPr>
          <w:color w:val="003CA0"/>
          <w:sz w:val="12"/>
        </w:rPr>
        <w:t xml:space="preserve"> | rel. Gilmar Mendes</w:t>
      </w:r>
    </w:p>
    <w:p>
      <w:pPr>
        <w:ind w:left="288"/>
      </w:pPr>
      <w:r>
        <w:rPr>
          <w:color w:val="1E1E1E"/>
          <w:sz w:val="18"/>
        </w:rPr>
        <w:t>Tráfico de drogas. Vedação legal de liberdade provisória. Interpretação dos incisos XLIII e LXVI do art. 5º da CF. Reafirmação de jurisprudência. Proposta de fixação da seguinte tese: É inconstitucional a expressão “e liberdade provisória”, constante do caput do art. 44 da Lei 11.343/2006.</w:t>
        <w:br/>
        <w:t>[RE 1.038.925 RG, rel. min. Gilmar Mendes, j. 18-8-2017, P, DJE de 19-9-2017, Tema 959, com mérito julgado.]</w:t>
      </w:r>
    </w:p>
    <w:p>
      <w:pPr>
        <w:ind w:left="144"/>
      </w:pPr>
      <w:r>
        <w:rPr>
          <w:b/>
          <w:color w:val="B45A00"/>
          <w:sz w:val="16"/>
        </w:rPr>
        <w:t>JULGADOS CORRELATOS</w:t>
      </w:r>
    </w:p>
    <w:p>
      <w:pPr>
        <w:ind w:left="288"/>
      </w:pPr>
      <w:r>
        <w:rPr>
          <w:color w:val="8C8C8C"/>
          <w:sz w:val="12"/>
        </w:rPr>
        <w:t>cf-art-5-inc-L</w:t>
      </w:r>
      <w:r>
        <w:rPr>
          <w:color w:val="003CA0"/>
          <w:sz w:val="12"/>
        </w:rPr>
        <w:t xml:space="preserve"> | HC 94.157</w:t>
      </w:r>
      <w:r>
        <w:rPr>
          <w:color w:val="003CA0"/>
          <w:sz w:val="12"/>
        </w:rPr>
        <w:t xml:space="preserve"> | rel. Celso de Mello</w:t>
      </w:r>
    </w:p>
    <w:p>
      <w:pPr>
        <w:ind w:left="288"/>
      </w:pPr>
      <w:r>
        <w:rPr>
          <w:color w:val="1E1E1E"/>
          <w:sz w:val="18"/>
        </w:rPr>
        <w:t>Aquele que foi preso em flagrante, embora formalmente perfeito o auto respectivo (CPP, arts. 304 a 306) e não obstante tecnicamente caracterizada a situação de flagrância (CPP, art. 302), tem, mesmo assim, direito subjetivo à obtenção da liberdade provisória (...), desde que não se registre, quanto a ele, qualquer das hipóteses autorizadoras da prisão preventiva, a significar que a prisão em flagrante somente deverá subsistir se se demonstrar que aquele que a sofreu deve permanecer sob a custódia cautelar do Estado, em razão de se verificarem, quanto a ele, os requisitos objetivos e subjetivos</w:t>
      </w:r>
    </w:p>
    <w:p>
      <w:pPr>
        <w:ind w:left="288"/>
      </w:pPr>
      <w:r>
        <w:rPr>
          <w:b/>
          <w:color w:val="003CA0"/>
          <w:sz w:val="16"/>
        </w:rPr>
        <w:t>[HC 94.157, rel. min. Celso de Mello, j. 10-6-2008, 2ª T, DJE de 28-3-2011.]</w:t>
      </w:r>
    </w:p>
    <w:p>
      <w:pPr>
        <w:ind w:left="288"/>
      </w:pPr>
      <w:r>
        <w:rPr>
          <w:color w:val="8C8C8C"/>
          <w:sz w:val="12"/>
        </w:rPr>
        <w:t>cf-art-5-inc-L</w:t>
      </w:r>
      <w:r>
        <w:rPr>
          <w:color w:val="003CA0"/>
          <w:sz w:val="12"/>
        </w:rPr>
        <w:t xml:space="preserve"> | HC 92.824</w:t>
      </w:r>
      <w:r>
        <w:rPr>
          <w:color w:val="003CA0"/>
          <w:sz w:val="12"/>
        </w:rPr>
        <w:t xml:space="preserve"> | rel. Joaquim Barbosa</w:t>
      </w:r>
    </w:p>
    <w:p>
      <w:pPr>
        <w:ind w:left="288"/>
      </w:pPr>
      <w:r>
        <w:rPr>
          <w:color w:val="1E1E1E"/>
          <w:sz w:val="18"/>
        </w:rPr>
        <w:t>A atual jurisprudência desta Corte admite a concessão de liberdade provisória em crimes hediondos ou equiparados, em hipóteses nas quais estejam ausentes os fundamentos previstos no art. 312 do CPP. Precedentes desta Corte. Em razão da supressão pela Lei 11.646/2007, da vedação à concessão de liberdade provisória nas hipóteses de crimes hediondos, é legítima a concessão de liberdade provisória ao paciente, em face da ausência de fundamentação idônea para a sua prisão.</w:t>
      </w:r>
    </w:p>
    <w:p>
      <w:pPr>
        <w:ind w:left="288"/>
      </w:pPr>
      <w:r>
        <w:rPr>
          <w:b/>
          <w:color w:val="003CA0"/>
          <w:sz w:val="16"/>
        </w:rPr>
        <w:t>[HC 92.824, rel. min. Joaquim Barbosa, j. 18-12-2007, 1ª T,  DJE de 9-5-2008.]</w:t>
      </w:r>
    </w:p>
    <w:p>
      <w:pPr>
        <w:ind w:left="288"/>
      </w:pPr>
      <w:r>
        <w:rPr>
          <w:color w:val="8C8C8C"/>
          <w:sz w:val="12"/>
        </w:rPr>
        <w:t>cf-art-5-inc-L</w:t>
      </w:r>
      <w:r>
        <w:rPr>
          <w:color w:val="003CA0"/>
          <w:sz w:val="12"/>
        </w:rPr>
        <w:t xml:space="preserve"> | HC 91.657</w:t>
      </w:r>
      <w:r>
        <w:rPr>
          <w:color w:val="003CA0"/>
          <w:sz w:val="12"/>
        </w:rPr>
        <w:t xml:space="preserve"> | rel. Gilmar Mendes</w:t>
      </w:r>
    </w:p>
    <w:p>
      <w:pPr>
        <w:ind w:left="288"/>
      </w:pPr>
      <w:r>
        <w:rPr>
          <w:color w:val="1E1E1E"/>
          <w:sz w:val="18"/>
        </w:rPr>
        <w:t>Pedido de revogação de prisão preventiva para extradição (PPE). (...) O Pacto de São José da Costa Rica proclama a liberdade provisória como direito fundamental da pessoa humana (art. 7º, 5). A prisão é medida excepcional em nosso Estado de Direito e não pode ser utilizada como meio generalizado de limitação das liberdades dos cidadãos (art. 5º, LXVI). Inexiste razão, tanto com base na CF/1988, quanto nos tratados internacionais com relação ao respeito aos direitos humanos e à dignidade da pessoa humana, para que tal entendimento não seja também aplicado às PPEs.</w:t>
      </w:r>
    </w:p>
    <w:p>
      <w:pPr>
        <w:ind w:left="288"/>
      </w:pPr>
      <w:r>
        <w:rPr>
          <w:b/>
          <w:color w:val="003CA0"/>
          <w:sz w:val="16"/>
        </w:rPr>
        <w:t>[HC 91.657, rel. min. Gilmar Mendes, j. 13-9-2007, P, DJE de 14-3-2008.]</w:t>
      </w:r>
    </w:p>
    <w:p>
      <w:pPr>
        <w:ind w:left="288"/>
      </w:pPr>
      <w:r>
        <w:rPr>
          <w:color w:val="8C8C8C"/>
          <w:sz w:val="12"/>
        </w:rPr>
        <w:t>cf-art-5-inc-L</w:t>
      </w:r>
    </w:p>
    <w:p>
      <w:pPr>
        <w:ind w:left="288"/>
      </w:pPr>
      <w:r>
        <w:rPr>
          <w:color w:val="1E1E1E"/>
          <w:sz w:val="18"/>
        </w:rPr>
        <w:t>LXVII - não haverá prisão civil por dívida, salvo a do responsável pelo inadimplemento voluntário e inescusável de obrigação alimentícia e a do depositário infiel;</w:t>
      </w:r>
    </w:p>
    <w:p>
      <w:pPr>
        <w:ind w:left="144"/>
      </w:pPr>
      <w:r>
        <w:rPr>
          <w:b/>
          <w:color w:val="B45A00"/>
          <w:sz w:val="16"/>
        </w:rPr>
        <w:t>SUMULA VINCULANTE</w:t>
      </w:r>
    </w:p>
    <w:p>
      <w:pPr>
        <w:ind w:left="288"/>
      </w:pPr>
      <w:r>
        <w:rPr>
          <w:color w:val="8C8C8C"/>
          <w:sz w:val="12"/>
        </w:rPr>
        <w:t>cf-art-5-inc-L</w:t>
      </w:r>
    </w:p>
    <w:p>
      <w:pPr>
        <w:ind w:left="288"/>
      </w:pPr>
      <w:r>
        <w:rPr>
          <w:color w:val="1E1E1E"/>
          <w:sz w:val="18"/>
        </w:rPr>
        <w:t>É ilícita a prisão civil de depositário infiel, qualquer que seja a modalidade do depósito.</w:t>
      </w:r>
    </w:p>
    <w:p>
      <w:pPr>
        <w:ind w:left="288"/>
      </w:pPr>
      <w:r>
        <w:rPr>
          <w:b/>
          <w:color w:val="003CA0"/>
          <w:sz w:val="16"/>
        </w:rPr>
        <w:t>[Súmula Vinculante 25.]</w:t>
      </w:r>
    </w:p>
    <w:p>
      <w:pPr>
        <w:ind w:left="144"/>
      </w:pPr>
      <w:r>
        <w:rPr>
          <w:b/>
          <w:color w:val="B45A00"/>
          <w:sz w:val="16"/>
        </w:rPr>
        <w:t>REPERCUSSAO GERAL</w:t>
      </w:r>
    </w:p>
    <w:p>
      <w:pPr>
        <w:ind w:left="288"/>
      </w:pPr>
      <w:r>
        <w:rPr>
          <w:color w:val="8C8C8C"/>
          <w:sz w:val="12"/>
        </w:rPr>
        <w:t>cf-art-5-inc-L</w:t>
      </w:r>
      <w:r>
        <w:rPr>
          <w:color w:val="003CA0"/>
          <w:sz w:val="12"/>
        </w:rPr>
        <w:t xml:space="preserve"> | ARE 999.425</w:t>
      </w:r>
      <w:r>
        <w:rPr>
          <w:color w:val="003CA0"/>
          <w:sz w:val="12"/>
        </w:rPr>
        <w:t xml:space="preserve"> | rel. Ricardo Lewandowski</w:t>
      </w:r>
    </w:p>
    <w:p>
      <w:pPr>
        <w:ind w:left="288"/>
      </w:pPr>
      <w:r>
        <w:rPr>
          <w:color w:val="1E1E1E"/>
          <w:sz w:val="18"/>
        </w:rPr>
        <w:t>A jurisprudência deste Supremo Tribunal é pacífica no sentido de que os delitos previstos na Lei 8.137/1990 não violam o disposto no art. 5°, LXVII, da Lei Maior, em virtude de terem caráter penal e não se relacionarem com a prisão civil por dívida. (...) as condutas tipificadas na Lei 8.137/1991 não se referem simplesmente ao não pagamento de tributos, mas aos atos praticados pelo contribuinte com o fim de sonegar o tributo devido, consubstanciados em fraude, omissão, prestação de informações falsas às autoridades fazendárias e outros ardis. Não se trata de punir a inadimplência do contribuin</w:t>
      </w:r>
    </w:p>
    <w:p>
      <w:pPr>
        <w:ind w:left="144"/>
      </w:pPr>
      <w:r>
        <w:rPr>
          <w:b/>
          <w:color w:val="B45A00"/>
          <w:sz w:val="16"/>
        </w:rPr>
        <w:t>JULGADOS CORRELATOS</w:t>
      </w:r>
    </w:p>
    <w:p>
      <w:pPr>
        <w:ind w:left="288"/>
      </w:pPr>
      <w:r>
        <w:rPr>
          <w:color w:val="8C8C8C"/>
          <w:sz w:val="12"/>
        </w:rPr>
        <w:t>cf-art-5-inc-L</w:t>
      </w:r>
      <w:r>
        <w:rPr>
          <w:color w:val="003CA0"/>
          <w:sz w:val="12"/>
        </w:rPr>
        <w:t xml:space="preserve"> | HC 121.426</w:t>
      </w:r>
      <w:r>
        <w:rPr>
          <w:color w:val="003CA0"/>
          <w:sz w:val="12"/>
        </w:rPr>
        <w:t xml:space="preserve"> | rel. Marco Aurélio</w:t>
      </w:r>
    </w:p>
    <w:p>
      <w:pPr>
        <w:ind w:left="288"/>
      </w:pPr>
      <w:r>
        <w:rPr>
          <w:color w:val="1E1E1E"/>
          <w:sz w:val="18"/>
        </w:rPr>
        <w:t>A prisão por dívida de natureza alimentícia está ligada ao inadimplemento inescusável de prestação, não alcançando situação jurídica a revelar cobrança de saldo devedor.</w:t>
      </w:r>
    </w:p>
    <w:p>
      <w:pPr>
        <w:ind w:left="288"/>
      </w:pPr>
      <w:r>
        <w:rPr>
          <w:b/>
          <w:color w:val="003CA0"/>
          <w:sz w:val="16"/>
        </w:rPr>
        <w:t>[HC 121.426, rel. min. Marco Aurélio, j. 14-3-2017, 1ª T, DJE de 29-3-2017.]</w:t>
      </w:r>
    </w:p>
    <w:p>
      <w:pPr>
        <w:ind w:left="288"/>
      </w:pPr>
      <w:r>
        <w:rPr>
          <w:color w:val="8C8C8C"/>
          <w:sz w:val="12"/>
        </w:rPr>
        <w:t>cf-art-5-inc-L</w:t>
      </w:r>
      <w:r>
        <w:rPr>
          <w:color w:val="003CA0"/>
          <w:sz w:val="12"/>
        </w:rPr>
        <w:t xml:space="preserve"> | HC 117.229</w:t>
      </w:r>
      <w:r>
        <w:rPr>
          <w:color w:val="003CA0"/>
          <w:sz w:val="12"/>
        </w:rPr>
        <w:t xml:space="preserve"> | rel. Marco Aurélio</w:t>
      </w:r>
    </w:p>
    <w:p>
      <w:pPr>
        <w:ind w:left="288"/>
      </w:pPr>
      <w:r>
        <w:rPr>
          <w:color w:val="1E1E1E"/>
          <w:sz w:val="18"/>
        </w:rPr>
        <w:t>Nos termos do que dispõe o § 1º do art. 733 do CPC, o juiz poderá decretar a prisão do devedor de alimentos pelo prazo de um a três meses.</w:t>
      </w:r>
    </w:p>
    <w:p>
      <w:pPr>
        <w:ind w:left="288"/>
      </w:pPr>
      <w:r>
        <w:rPr>
          <w:b/>
          <w:color w:val="003CA0"/>
          <w:sz w:val="16"/>
        </w:rPr>
        <w:t>[HC 117.229 AgR, rel. min. Marco Aurélio, j. 18-2-2014, 1ª T, DJE de 20-3-2014.]</w:t>
      </w:r>
    </w:p>
    <w:p>
      <w:pPr>
        <w:ind w:left="288"/>
      </w:pPr>
      <w:r>
        <w:rPr>
          <w:color w:val="8C8C8C"/>
          <w:sz w:val="12"/>
        </w:rPr>
        <w:t>cf-art-5-inc-L</w:t>
      </w:r>
      <w:r>
        <w:rPr>
          <w:color w:val="003CA0"/>
          <w:sz w:val="12"/>
        </w:rPr>
        <w:t xml:space="preserve"> | HC 106.709</w:t>
      </w:r>
    </w:p>
    <w:p>
      <w:pPr>
        <w:ind w:left="288"/>
      </w:pPr>
      <w:r>
        <w:rPr>
          <w:color w:val="1E1E1E"/>
          <w:sz w:val="18"/>
        </w:rPr>
        <w:t>(...) a jurisprudência do STF é no sentido de que a incapacidade econômica do alimentante não serve, por si só, de supedâneo para evitar a decretação de prisão civil, tendo em vista que o habeas corpus não é via adequada para análise de questões de provas. (...) Observam-se, no caso concreto, peculiaridades aptas a afastar o decreto prisional. É que, conforme consta da decisão formalizada pelo tribunal de justiça estadual, o paciente não possuía rendimentos suficientes para o pagamento da pensão alimentícia inicialmente determinada (R$ 765,00), que lhe demonstra a incapacidade de pagá-la. Dian</w:t>
      </w:r>
    </w:p>
    <w:p>
      <w:pPr>
        <w:ind w:left="288"/>
      </w:pPr>
      <w:r>
        <w:rPr>
          <w:b/>
          <w:color w:val="003CA0"/>
          <w:sz w:val="16"/>
        </w:rPr>
        <w:t>[HC 106.709, voto do min. Gilmar Mendes, j. 21-6-2011, 2ª T, DJE de 15-9-2011.]</w:t>
      </w:r>
    </w:p>
    <w:p>
      <w:pPr>
        <w:ind w:left="288"/>
      </w:pPr>
      <w:r>
        <w:rPr>
          <w:color w:val="8C8C8C"/>
          <w:sz w:val="12"/>
        </w:rPr>
        <w:t>cf-art-5-inc-L</w:t>
      </w:r>
      <w:r>
        <w:rPr>
          <w:color w:val="003CA0"/>
          <w:sz w:val="12"/>
        </w:rPr>
        <w:t xml:space="preserve"> | HC 100.104</w:t>
      </w:r>
      <w:r>
        <w:rPr>
          <w:color w:val="003CA0"/>
          <w:sz w:val="12"/>
        </w:rPr>
        <w:t xml:space="preserve"> | rel. Ellen Gracie</w:t>
      </w:r>
    </w:p>
    <w:p>
      <w:pPr>
        <w:ind w:left="288"/>
      </w:pPr>
      <w:r>
        <w:rPr>
          <w:color w:val="1E1E1E"/>
          <w:sz w:val="18"/>
        </w:rPr>
        <w:t>O afastamento do trabalho é efeito lógico da prisão, não podendo o paciente basear-se em tal fato para alegar a ausência de efeito prático da sua prisão, mormente quando já lhe foi conferida oportunidade para pagar sua dívida em liberdade.</w:t>
      </w:r>
    </w:p>
    <w:p>
      <w:pPr>
        <w:ind w:left="288"/>
      </w:pPr>
      <w:r>
        <w:rPr>
          <w:b/>
          <w:color w:val="003CA0"/>
          <w:sz w:val="16"/>
        </w:rPr>
        <w:t>[HC 100.104, rel. min. Ellen Gracie, j. 18-8-2009, 2ª T, DJE de 11-9-2009.]</w:t>
      </w:r>
    </w:p>
    <w:p>
      <w:pPr>
        <w:ind w:left="288"/>
      </w:pPr>
      <w:r>
        <w:rPr>
          <w:color w:val="8C8C8C"/>
          <w:sz w:val="12"/>
        </w:rPr>
        <w:t>cf-art-5-inc-L</w:t>
      </w:r>
      <w:r>
        <w:rPr>
          <w:color w:val="003CA0"/>
          <w:sz w:val="12"/>
        </w:rPr>
        <w:t xml:space="preserve"> | HC 92.566</w:t>
      </w:r>
      <w:r>
        <w:rPr>
          <w:color w:val="003CA0"/>
          <w:sz w:val="12"/>
        </w:rPr>
        <w:t xml:space="preserve"> | rel. Marco Aurélio</w:t>
      </w:r>
    </w:p>
    <w:p>
      <w:pPr>
        <w:ind w:left="288"/>
      </w:pPr>
      <w:r>
        <w:rPr>
          <w:color w:val="1E1E1E"/>
          <w:sz w:val="18"/>
        </w:rPr>
        <w:t>Prisão civil. Penhor rural. Cédula rural pignoratícia. Bens. Garantia. Impropriedade. Ante o ordenamento jurídico pátrio, a prisão civil somente subsiste no caso de descumprimento inescusável de obrigação alimentícia, e não no de depositário considerada a cédula rural pignoratícia.</w:t>
      </w:r>
    </w:p>
    <w:p>
      <w:pPr>
        <w:ind w:left="288"/>
      </w:pPr>
      <w:r>
        <w:rPr>
          <w:b/>
          <w:color w:val="003CA0"/>
          <w:sz w:val="16"/>
        </w:rPr>
        <w:t>[HC 92.566, rel. min. Marco Aurélio, j. 3-12-2008, P, DJE de 5-6-2009.]</w:t>
      </w:r>
    </w:p>
    <w:p>
      <w:pPr>
        <w:ind w:left="288"/>
      </w:pPr>
      <w:r>
        <w:rPr>
          <w:color w:val="8C8C8C"/>
          <w:sz w:val="12"/>
        </w:rPr>
        <w:t>cf-art-5-inc-L</w:t>
      </w:r>
      <w:r>
        <w:rPr>
          <w:color w:val="003CA0"/>
          <w:sz w:val="12"/>
        </w:rPr>
        <w:t xml:space="preserve"> | HC 87.134</w:t>
      </w:r>
      <w:r>
        <w:rPr>
          <w:color w:val="003CA0"/>
          <w:sz w:val="12"/>
        </w:rPr>
        <w:t xml:space="preserve"> | rel. Sepúlveda Pertence</w:t>
      </w:r>
    </w:p>
    <w:p>
      <w:pPr>
        <w:ind w:left="288"/>
      </w:pPr>
      <w:r>
        <w:rPr>
          <w:color w:val="1E1E1E"/>
          <w:sz w:val="18"/>
        </w:rPr>
        <w:t>Prisão civil por inadimplemento de obrigação alimentar: cabimento, dado que o acúmulo de parcelas não se deu por inércia do credor e não se comprovou o pagamento das prestações que venceram ao longo da ação de execução, que não podem ser consideradas pretéritas, de modo a perder o seu caráter alimentar.</w:t>
      </w:r>
    </w:p>
    <w:p>
      <w:pPr>
        <w:ind w:left="288"/>
      </w:pPr>
      <w:r>
        <w:rPr>
          <w:b/>
          <w:color w:val="003CA0"/>
          <w:sz w:val="16"/>
        </w:rPr>
        <w:t>[HC 87.134, rel. min. Sepúlveda Pertence, j. 8-8-2006, 1ª T, DJ de 29-9-2006.]</w:t>
      </w:r>
    </w:p>
    <w:p>
      <w:pPr>
        <w:ind w:left="288"/>
      </w:pPr>
      <w:r>
        <w:rPr>
          <w:color w:val="8C8C8C"/>
          <w:sz w:val="12"/>
        </w:rPr>
        <w:t>cf-art-5-inc-L</w:t>
      </w:r>
      <w:r>
        <w:rPr>
          <w:color w:val="003CA0"/>
          <w:sz w:val="12"/>
        </w:rPr>
        <w:t xml:space="preserve"> | RE 391.996</w:t>
      </w:r>
      <w:r>
        <w:rPr>
          <w:color w:val="003CA0"/>
          <w:sz w:val="12"/>
        </w:rPr>
        <w:t xml:space="preserve"> | rel. Ellen Gracie</w:t>
      </w:r>
    </w:p>
    <w:p>
      <w:pPr>
        <w:ind w:left="288"/>
      </w:pPr>
      <w:r>
        <w:rPr>
          <w:color w:val="1E1E1E"/>
          <w:sz w:val="18"/>
        </w:rPr>
        <w:t>Apropriação indébita. Não recolhimento de contribuições previdenciárias. Prisão criminal, e não civil. Inocorrência de ofensa ao art. 5º, LXVII, da CF.</w:t>
      </w:r>
    </w:p>
    <w:p>
      <w:pPr>
        <w:ind w:left="288"/>
      </w:pPr>
      <w:r>
        <w:rPr>
          <w:b/>
          <w:color w:val="003CA0"/>
          <w:sz w:val="16"/>
        </w:rPr>
        <w:t>[RE 391.996 AgR, rel. min. Ellen Gracie, j. 25-11-2003, 2ª T, DJ de 19-12-2003.]</w:t>
      </w:r>
    </w:p>
    <w:p>
      <w:pPr>
        <w:ind w:left="288"/>
      </w:pPr>
      <w:r>
        <w:rPr>
          <w:color w:val="8C8C8C"/>
          <w:sz w:val="12"/>
        </w:rPr>
        <w:t>cf-art-5-inc-L</w:t>
      </w:r>
      <w:r>
        <w:rPr>
          <w:color w:val="003CA0"/>
          <w:sz w:val="12"/>
        </w:rPr>
        <w:t xml:space="preserve"> | AI 800.589</w:t>
      </w:r>
      <w:r>
        <w:rPr>
          <w:color w:val="003CA0"/>
          <w:sz w:val="12"/>
        </w:rPr>
        <w:t xml:space="preserve"> | rel. Ayres Britto</w:t>
      </w:r>
    </w:p>
    <w:p>
      <w:pPr>
        <w:ind w:left="288"/>
      </w:pPr>
      <w:r>
        <w:rPr>
          <w:color w:val="1E1E1E"/>
          <w:sz w:val="18"/>
        </w:rPr>
        <w:t>= AI 800.589 AgR, rel. min. Ayres Britto, j. 26-10-2010, 2ª T, DJE de 14-2-2011 Responsável pelo inadimplemento de obrigação alimentícia. (...) Inexiste ilegalidade no decreto de prisão civil da paciente, dado que, além de expressamente autorizada pela Constituição (art. 5º, LXVII), não decorre ela da totalidade das parcelas em atraso, mas tão somente dos três meses anteriores ao ajuizamento da ação, mais as subsequentes.</w:t>
      </w:r>
    </w:p>
    <w:p>
      <w:pPr>
        <w:ind w:left="288"/>
      </w:pPr>
      <w:r>
        <w:rPr>
          <w:b/>
          <w:color w:val="003CA0"/>
          <w:sz w:val="16"/>
        </w:rPr>
        <w:t>[HC 82.839, rel. min. Carlos Velloso, j. 17-6-2003, 2ª T, DJ de 22-8-2003.]</w:t>
      </w:r>
    </w:p>
    <w:p>
      <w:pPr>
        <w:ind w:left="288"/>
      </w:pPr>
      <w:r>
        <w:rPr>
          <w:color w:val="8C8C8C"/>
          <w:sz w:val="12"/>
        </w:rPr>
        <w:t>cf-art-5-inc-L</w:t>
      </w:r>
      <w:r>
        <w:rPr>
          <w:color w:val="003CA0"/>
          <w:sz w:val="12"/>
        </w:rPr>
        <w:t xml:space="preserve"> | HC 117.229</w:t>
      </w:r>
      <w:r>
        <w:rPr>
          <w:color w:val="003CA0"/>
          <w:sz w:val="12"/>
        </w:rPr>
        <w:t xml:space="preserve"> | rel. Marco Aurélio</w:t>
      </w:r>
    </w:p>
    <w:p>
      <w:pPr>
        <w:ind w:left="288"/>
      </w:pPr>
      <w:r>
        <w:rPr>
          <w:color w:val="1E1E1E"/>
          <w:sz w:val="18"/>
        </w:rPr>
        <w:t>= HC 117.229 AgR, rel. min. Marco Aurélio, j. 18-2-2014, 1ª T, DJE de 20-3-2014 Como observam os doutrinadores: "A Lei 9.268, de 1º-4-1996 (DO de 2-4-1996), deu nova redação ao caput do art. 51 do CP e revogou os  §§ 1º e 2º, não mais existindo as anteriores conversão da multa em detenção e revogação da conversão. Essa alteração foi salutar, tendo em vista que a antiga conversão da multa em detenção correspondia, ainda que disfarçadamente, à verdadeira prisão por dívida (...)".</w:t>
      </w:r>
    </w:p>
    <w:p>
      <w:pPr>
        <w:ind w:left="288"/>
      </w:pPr>
      <w:r>
        <w:rPr>
          <w:b/>
          <w:color w:val="003CA0"/>
          <w:sz w:val="16"/>
        </w:rPr>
        <w:t>[HC 81.480 AgR, rel. min. Sydney Sanches, j. 5-2-2002, 1ª T, DJ de 5-4-2002.]</w:t>
      </w:r>
    </w:p>
    <w:p>
      <w:pPr>
        <w:ind w:left="288"/>
      </w:pPr>
      <w:r>
        <w:rPr>
          <w:color w:val="8C8C8C"/>
          <w:sz w:val="12"/>
        </w:rPr>
        <w:t>cf-art-5-inc-L</w:t>
      </w:r>
      <w:r>
        <w:rPr>
          <w:color w:val="003CA0"/>
          <w:sz w:val="12"/>
        </w:rPr>
        <w:t xml:space="preserve"> | HC 83.238</w:t>
      </w:r>
      <w:r>
        <w:rPr>
          <w:color w:val="003CA0"/>
          <w:sz w:val="12"/>
        </w:rPr>
        <w:t xml:space="preserve"> | rel. Celso de Mello</w:t>
      </w:r>
    </w:p>
    <w:p>
      <w:pPr>
        <w:ind w:left="288"/>
      </w:pPr>
      <w:r>
        <w:rPr>
          <w:color w:val="1E1E1E"/>
          <w:sz w:val="18"/>
        </w:rPr>
        <w:t>= HC 83.238, rel. min. Celso de Mello, j. 25-11-2003, 2ª T, DJE de 24-4-2009 LXVIII - conceder-se-á habeas corpus sempre que alguém sofrer ou se achar ameaçado de sofrer violência ou coação em sua liberdade de locomoção, por ilegalidade ou abuso de poder; Não cabe habeas corpus quando já extinta a pena privativa de liberdade.</w:t>
      </w:r>
    </w:p>
    <w:p>
      <w:pPr>
        <w:ind w:left="288"/>
      </w:pPr>
      <w:r>
        <w:rPr>
          <w:b/>
          <w:color w:val="003CA0"/>
          <w:sz w:val="16"/>
        </w:rPr>
        <w:t>[Súmula 695.]</w:t>
      </w:r>
    </w:p>
    <w:p>
      <w:pPr>
        <w:ind w:left="288"/>
      </w:pPr>
      <w:r>
        <w:rPr>
          <w:color w:val="8C8C8C"/>
          <w:sz w:val="12"/>
        </w:rPr>
        <w:t>cf-art-5-inc-L</w:t>
      </w:r>
    </w:p>
    <w:p>
      <w:pPr>
        <w:ind w:left="288"/>
      </w:pPr>
      <w:r>
        <w:rPr>
          <w:color w:val="1E1E1E"/>
          <w:sz w:val="18"/>
        </w:rPr>
        <w:t>Não cabe habeas corpus contra a imposição da pena de exclusão de militar ou de perda de patente ou de função pública.</w:t>
      </w:r>
    </w:p>
    <w:p>
      <w:pPr>
        <w:ind w:left="288"/>
      </w:pPr>
      <w:r>
        <w:rPr>
          <w:b/>
          <w:color w:val="003CA0"/>
          <w:sz w:val="16"/>
        </w:rPr>
        <w:t>[Súmula 694.]</w:t>
      </w:r>
    </w:p>
    <w:p>
      <w:pPr>
        <w:ind w:left="288"/>
      </w:pPr>
      <w:r>
        <w:rPr>
          <w:color w:val="8C8C8C"/>
          <w:sz w:val="12"/>
        </w:rPr>
        <w:t>cf-art-5-inc-L</w:t>
      </w:r>
    </w:p>
    <w:p>
      <w:pPr>
        <w:ind w:left="288"/>
      </w:pPr>
      <w:r>
        <w:rPr>
          <w:color w:val="1E1E1E"/>
          <w:sz w:val="18"/>
        </w:rPr>
        <w:t>Não cabe habeas corpus contra decisão condenatória a pena de multa, ou relativo a processo em curso por infração penal a que a pena pecuniária seja a única cominada.</w:t>
      </w:r>
    </w:p>
    <w:p>
      <w:pPr>
        <w:ind w:left="288"/>
      </w:pPr>
      <w:r>
        <w:rPr>
          <w:b/>
          <w:color w:val="003CA0"/>
          <w:sz w:val="16"/>
        </w:rPr>
        <w:t>[Súmula 693.]</w:t>
      </w:r>
    </w:p>
    <w:p>
      <w:pPr>
        <w:ind w:left="288"/>
      </w:pPr>
      <w:r>
        <w:rPr>
          <w:color w:val="8C8C8C"/>
          <w:sz w:val="12"/>
        </w:rPr>
        <w:t>cf-art-5-inc-L</w:t>
      </w:r>
    </w:p>
    <w:p>
      <w:pPr>
        <w:ind w:left="288"/>
      </w:pPr>
      <w:r>
        <w:rPr>
          <w:color w:val="1E1E1E"/>
          <w:sz w:val="18"/>
        </w:rPr>
        <w:t>Não se conhece de habeas corpus contra omissão de relator de extradição, se fundado em fato ou direito estrangeiro cuja prova não constava dos autos, nem foi ele provocado a respeito.</w:t>
      </w:r>
    </w:p>
    <w:p>
      <w:pPr>
        <w:ind w:left="288"/>
      </w:pPr>
      <w:r>
        <w:rPr>
          <w:b/>
          <w:color w:val="003CA0"/>
          <w:sz w:val="16"/>
        </w:rPr>
        <w:t>[Súmula 692.]</w:t>
      </w:r>
    </w:p>
    <w:p>
      <w:pPr>
        <w:ind w:left="288"/>
      </w:pPr>
      <w:r>
        <w:rPr>
          <w:color w:val="8C8C8C"/>
          <w:sz w:val="12"/>
        </w:rPr>
        <w:t>cf-art-5-inc-L</w:t>
      </w:r>
    </w:p>
    <w:p>
      <w:pPr>
        <w:ind w:left="288"/>
      </w:pPr>
      <w:r>
        <w:rPr>
          <w:color w:val="1E1E1E"/>
          <w:sz w:val="18"/>
        </w:rPr>
        <w:t>Não se conhece de recurso de habeas corpus cujo objeto seja resolver sobre o ônus das custas, por não estar mais em causa a liberdade de locomoção.</w:t>
      </w:r>
    </w:p>
    <w:p>
      <w:pPr>
        <w:ind w:left="288"/>
      </w:pPr>
      <w:r>
        <w:rPr>
          <w:b/>
          <w:color w:val="003CA0"/>
          <w:sz w:val="16"/>
        </w:rPr>
        <w:t>[Súmula 395.]</w:t>
      </w:r>
    </w:p>
    <w:p>
      <w:pPr>
        <w:ind w:left="288"/>
      </w:pPr>
      <w:r>
        <w:rPr>
          <w:color w:val="8C8C8C"/>
          <w:sz w:val="12"/>
        </w:rPr>
        <w:t>cf-art-5-inc-L</w:t>
      </w:r>
      <w:r>
        <w:rPr>
          <w:color w:val="003CA0"/>
          <w:sz w:val="12"/>
        </w:rPr>
        <w:t xml:space="preserve"> | HC 216.917</w:t>
      </w:r>
      <w:r>
        <w:rPr>
          <w:color w:val="003CA0"/>
          <w:sz w:val="12"/>
        </w:rPr>
        <w:t xml:space="preserve"> | rel. André Mendonça</w:t>
      </w:r>
    </w:p>
    <w:p>
      <w:pPr>
        <w:ind w:left="288"/>
      </w:pPr>
      <w:r>
        <w:rPr>
          <w:color w:val="1E1E1E"/>
          <w:sz w:val="18"/>
        </w:rPr>
        <w:t>A demora exacerbada para emissão de visto às menores haitianas viola, na via direta, o direito de entrada no país (liberdade de locomoção) e, de maneira indireta, os direitos do imigrante à reunião familiar e à acolhida humanitária, bem assim colide com a proteção conferida pelo arcabouço normativo pátrio à família e, com absoluta prioridade, às crianças e aos adolescentes (Arts. 1º, inc. III, 4º, incs. II e IX, 226 e 227, da CRFB; e arts. 3º, incs. I, VI, VIII, XII, XV, XVII, XVIII, e 4º, incs. I e III, da Lei nº 13.445, de 2017).</w:t>
      </w:r>
    </w:p>
    <w:p>
      <w:pPr>
        <w:ind w:left="288"/>
      </w:pPr>
      <w:r>
        <w:rPr>
          <w:b/>
          <w:color w:val="003CA0"/>
          <w:sz w:val="16"/>
        </w:rPr>
        <w:t>[HC 216.917, rel. min. André Mendonça, j. 8-10-2022, 2ª T, DJE de 11-11-2022.]</w:t>
      </w:r>
    </w:p>
    <w:p>
      <w:pPr>
        <w:ind w:left="288"/>
      </w:pPr>
      <w:r>
        <w:rPr>
          <w:color w:val="8C8C8C"/>
          <w:sz w:val="12"/>
        </w:rPr>
        <w:t>cf-art-5-inc-L</w:t>
      </w:r>
      <w:r>
        <w:rPr>
          <w:color w:val="003CA0"/>
          <w:sz w:val="12"/>
        </w:rPr>
        <w:t xml:space="preserve"> | HC 109.956</w:t>
      </w:r>
      <w:r>
        <w:rPr>
          <w:color w:val="003CA0"/>
          <w:sz w:val="12"/>
        </w:rPr>
        <w:t xml:space="preserve"> | rel. Marco Aurélio</w:t>
      </w:r>
    </w:p>
    <w:p>
      <w:pPr>
        <w:ind w:left="288"/>
      </w:pPr>
      <w:r>
        <w:rPr>
          <w:color w:val="1E1E1E"/>
          <w:sz w:val="18"/>
        </w:rPr>
        <w:t>Habeas corpus. Julgamento por tribunal superior. Impugnação. A teor do disposto no art. 102, II, a, da CF, contra decisão, proferida em processo revelador de habeas corpus, a implicar a não concessão da ordem, cabível é o recurso ordinário. Evolução quanto à admissibilidade do substitutivo do habeas corpus.</w:t>
      </w:r>
    </w:p>
    <w:p>
      <w:pPr>
        <w:ind w:left="288"/>
      </w:pPr>
      <w:r>
        <w:rPr>
          <w:b/>
          <w:color w:val="003CA0"/>
          <w:sz w:val="16"/>
        </w:rPr>
        <w:t>[HC 109.956, rel. min. Marco Aurélio, j. 7-8-2012, 1ª T, DJE de 11-9-2012.]</w:t>
      </w:r>
    </w:p>
    <w:p>
      <w:pPr>
        <w:ind w:left="288"/>
      </w:pPr>
      <w:r>
        <w:rPr>
          <w:color w:val="8C8C8C"/>
          <w:sz w:val="12"/>
        </w:rPr>
        <w:t>cf-art-5-inc-L</w:t>
      </w:r>
      <w:r>
        <w:rPr>
          <w:color w:val="003CA0"/>
          <w:sz w:val="12"/>
        </w:rPr>
        <w:t xml:space="preserve"> | HC 115.168</w:t>
      </w:r>
      <w:r>
        <w:rPr>
          <w:color w:val="003CA0"/>
          <w:sz w:val="12"/>
        </w:rPr>
        <w:t xml:space="preserve"> | rel. Marco Aurélio</w:t>
      </w:r>
    </w:p>
    <w:p>
      <w:pPr>
        <w:ind w:left="288"/>
      </w:pPr>
      <w:r>
        <w:rPr>
          <w:color w:val="1E1E1E"/>
          <w:sz w:val="18"/>
        </w:rPr>
        <w:t>Vide HC 115.168, rel. min. Marco Aurélio, j. 21-5-2013, 1ª T, DJE de 17-6-2013 Vide RHC 94.271, rel. min. Cármen Lúcia, j. 14-10-2008, 1ª T, DJE de 20-2-2009 Vide HC 91.570, rel. min. Marco Aurélio, j. 19-8-2008, 1ª T, DJE de 24-10-2008 A jurisprudência da Segunda Turma do Supremo Tribunal Federal consolidou-se no sentido de possibilitar a impetração de habeas corpus coletivo, notadamente nos casos em que se busca a tutela jurisdicional coletiva de direitos individuais homogêneos, sendo irrelevante, para esse efeito, a circunstância de inexistir previsão constitucional a respeito.</w:t>
      </w:r>
    </w:p>
    <w:p>
      <w:pPr>
        <w:ind w:left="288"/>
      </w:pPr>
      <w:r>
        <w:rPr>
          <w:b/>
          <w:color w:val="003CA0"/>
          <w:sz w:val="16"/>
        </w:rPr>
        <w:t>[HC 172.136, rel. min. Nunes Marques, j. 10-10-2020, 2ª T, DJE de 1º-12-2020.]</w:t>
      </w:r>
    </w:p>
    <w:p>
      <w:pPr>
        <w:ind w:left="288"/>
      </w:pPr>
      <w:r>
        <w:rPr>
          <w:color w:val="8C8C8C"/>
          <w:sz w:val="12"/>
        </w:rPr>
        <w:t>cf-art-5-inc-L</w:t>
      </w:r>
      <w:r>
        <w:rPr>
          <w:color w:val="003CA0"/>
          <w:sz w:val="12"/>
        </w:rPr>
        <w:t xml:space="preserve"> | HC 129.129</w:t>
      </w:r>
      <w:r>
        <w:rPr>
          <w:color w:val="003CA0"/>
          <w:sz w:val="12"/>
        </w:rPr>
        <w:t xml:space="preserve"> | rel. Cármen Lúcia</w:t>
      </w:r>
    </w:p>
    <w:p>
      <w:pPr>
        <w:ind w:left="288"/>
      </w:pPr>
      <w:r>
        <w:rPr>
          <w:color w:val="1E1E1E"/>
          <w:sz w:val="18"/>
        </w:rPr>
        <w:t>Este Supremo Tribunal reconhece o direito ao ingresso nos recintos reservados ao público na Câmara dos Deputados, respeitada a legislação vigente, incluída aquela pela qual assegurado o dever-poder dos deputados de atuarem livremente nas discussões e votações das matérias sujeitas a deliberação.</w:t>
      </w:r>
    </w:p>
    <w:p>
      <w:pPr>
        <w:ind w:left="288"/>
      </w:pPr>
      <w:r>
        <w:rPr>
          <w:b/>
          <w:color w:val="003CA0"/>
          <w:sz w:val="16"/>
        </w:rPr>
        <w:t>[HC 129.129, rel. min. Cármen Lúcia, 2ª. T, j. em 17-10-2019, DJE de 25-11-2019]</w:t>
      </w:r>
    </w:p>
    <w:p>
      <w:pPr>
        <w:ind w:left="288"/>
      </w:pPr>
      <w:r>
        <w:rPr>
          <w:color w:val="8C8C8C"/>
          <w:sz w:val="12"/>
        </w:rPr>
        <w:t>cf-art-5-inc-L</w:t>
      </w:r>
      <w:r>
        <w:rPr>
          <w:color w:val="003CA0"/>
          <w:sz w:val="12"/>
        </w:rPr>
        <w:t xml:space="preserve"> | HC 145.118</w:t>
      </w:r>
      <w:r>
        <w:rPr>
          <w:color w:val="003CA0"/>
          <w:sz w:val="12"/>
        </w:rPr>
        <w:t xml:space="preserve"> | rel. Dias Toffoli</w:t>
      </w:r>
    </w:p>
    <w:p>
      <w:pPr>
        <w:ind w:left="288"/>
      </w:pPr>
      <w:r>
        <w:rPr>
          <w:color w:val="1E1E1E"/>
          <w:sz w:val="18"/>
        </w:rPr>
        <w:t>Execução penal. Discussão a respeito da legalidade da proibição de visita a paciente preso. Meio inidôneo para questionar sua legalidade. Inexistência de efetiva restrição a seu status libertatis. (...) O habeas corpus não constitui meio idôneo para se discutir a legalidade da proibição de visita a paciente preso, por inexistência de efetiva restrição a seu status libertatis.</w:t>
      </w:r>
    </w:p>
    <w:p>
      <w:pPr>
        <w:ind w:left="288"/>
      </w:pPr>
      <w:r>
        <w:rPr>
          <w:b/>
          <w:color w:val="003CA0"/>
          <w:sz w:val="16"/>
        </w:rPr>
        <w:t>[HC 145.118 AgR, rel. min. Dias Toffoli, j. 6-10-2017, 2ª T, DJE de 26-10-2017.]</w:t>
      </w:r>
    </w:p>
    <w:p>
      <w:pPr>
        <w:ind w:left="288"/>
      </w:pPr>
      <w:r>
        <w:rPr>
          <w:color w:val="8C8C8C"/>
          <w:sz w:val="12"/>
        </w:rPr>
        <w:t>cf-art-5-inc-L</w:t>
      </w:r>
      <w:r>
        <w:rPr>
          <w:color w:val="003CA0"/>
          <w:sz w:val="12"/>
        </w:rPr>
        <w:t xml:space="preserve"> | HC 107.701</w:t>
      </w:r>
      <w:r>
        <w:rPr>
          <w:color w:val="003CA0"/>
          <w:sz w:val="12"/>
        </w:rPr>
        <w:t xml:space="preserve"> | rel. Gilmar Mendes</w:t>
      </w:r>
    </w:p>
    <w:p>
      <w:pPr>
        <w:ind w:left="288"/>
      </w:pPr>
      <w:r>
        <w:rPr>
          <w:color w:val="1E1E1E"/>
          <w:sz w:val="18"/>
        </w:rPr>
        <w:t>= HC 107.701, rel. min. Gilmar Mendes, j. 13-9-2011, 2ª T, DJE de 26-3-2012 (...) a parte se insurge contra erro no sistema de peticionamento desta Corte Suprema, porquanto manejou recurso ordinário contra decisão proferida por ministro do STF em sede de habeas corpus. No entanto, tal fato não é apto a ensejar a impetração de novo habeas corpus neste Tribunal, uma vez que eventuais erros de sistema ou administrativos devem ser solucionados diretamente com o setor responsável.</w:t>
      </w:r>
    </w:p>
    <w:p>
      <w:pPr>
        <w:ind w:left="288"/>
      </w:pPr>
      <w:r>
        <w:rPr>
          <w:b/>
          <w:color w:val="003CA0"/>
          <w:sz w:val="16"/>
        </w:rPr>
        <w:t>[HC 121.579 AgR, voto do rel. min. Gilmar Mendes, j. 29-4-2014, 2ª T, DJE de 13-5-2014.]</w:t>
      </w:r>
    </w:p>
    <w:p>
      <w:pPr>
        <w:ind w:left="288"/>
      </w:pPr>
      <w:r>
        <w:rPr>
          <w:color w:val="8C8C8C"/>
          <w:sz w:val="12"/>
        </w:rPr>
        <w:t>cf-art-5-inc-L</w:t>
      </w:r>
      <w:r>
        <w:rPr>
          <w:color w:val="003CA0"/>
          <w:sz w:val="12"/>
        </w:rPr>
        <w:t xml:space="preserve"> | HC 81.681</w:t>
      </w:r>
      <w:r>
        <w:rPr>
          <w:color w:val="003CA0"/>
          <w:sz w:val="12"/>
        </w:rPr>
        <w:t xml:space="preserve"> | rel. Néri da Silveira</w:t>
      </w:r>
    </w:p>
    <w:p>
      <w:pPr>
        <w:ind w:left="288"/>
      </w:pPr>
      <w:r>
        <w:rPr>
          <w:color w:val="1E1E1E"/>
          <w:sz w:val="18"/>
        </w:rPr>
        <w:t>Agravo regimental em habeas corpus. Decisão impugnada que negou seguimento ao writ, ao fundamento de que a via eleita não se mostra adequada ao intento perseguido, ou seja, sanar eventual inconformismo com sentença desfavorável em disputa de guarda de menor. "O habeas corpus não é sucedâneo de recurso cabível, não sendo, por esse meio, de pretender-se a solução de questão relativa à guarda de filhos" (HC 81.681/RS, rel. min. Néri da Silveira, DJ de 29-8-2003).</w:t>
      </w:r>
    </w:p>
    <w:p>
      <w:pPr>
        <w:ind w:left="288"/>
      </w:pPr>
      <w:r>
        <w:rPr>
          <w:b/>
          <w:color w:val="003CA0"/>
          <w:sz w:val="16"/>
        </w:rPr>
        <w:t>[HC 99.945 AgR, red. do ac. min. Gilmar Mendes, j. 7-2-2013, P, DJE de 21-2-2014.]</w:t>
      </w:r>
    </w:p>
    <w:p>
      <w:pPr>
        <w:ind w:left="288"/>
      </w:pPr>
      <w:r>
        <w:rPr>
          <w:color w:val="8C8C8C"/>
          <w:sz w:val="12"/>
        </w:rPr>
        <w:t>cf-art-5-inc-L</w:t>
      </w:r>
      <w:r>
        <w:rPr>
          <w:color w:val="003CA0"/>
          <w:sz w:val="12"/>
        </w:rPr>
        <w:t xml:space="preserve"> | HC 99.369</w:t>
      </w:r>
      <w:r>
        <w:rPr>
          <w:color w:val="003CA0"/>
          <w:sz w:val="12"/>
        </w:rPr>
        <w:t xml:space="preserve"> | rel. Cezar Peluso</w:t>
      </w:r>
    </w:p>
    <w:p>
      <w:pPr>
        <w:ind w:left="288"/>
      </w:pPr>
      <w:r>
        <w:rPr>
          <w:color w:val="1E1E1E"/>
          <w:sz w:val="18"/>
        </w:rPr>
        <w:t>Vide HC 99.369 AgR, rel. min. Cezar Peluso, j. 18-8-2009, 2ª T, DJE de 16-10-2009 O habeas corpus não é o meio adequado para impugnar ato alusivo a sequestro de bens móveis e imóveis bem como a bloqueio de valores.</w:t>
      </w:r>
    </w:p>
    <w:p>
      <w:pPr>
        <w:ind w:left="288"/>
      </w:pPr>
      <w:r>
        <w:rPr>
          <w:b/>
          <w:color w:val="003CA0"/>
          <w:sz w:val="16"/>
        </w:rPr>
        <w:t>[HC 103.823, rel. min. Marco Aurélio, j. 3-4-2012, 1ª T, DJE de 26-4-2012.]</w:t>
      </w:r>
    </w:p>
    <w:p>
      <w:pPr>
        <w:ind w:left="288"/>
      </w:pPr>
      <w:r>
        <w:rPr>
          <w:color w:val="8C8C8C"/>
          <w:sz w:val="12"/>
        </w:rPr>
        <w:t>cf-art-5-inc-L</w:t>
      </w:r>
      <w:r>
        <w:rPr>
          <w:color w:val="003CA0"/>
          <w:sz w:val="12"/>
        </w:rPr>
        <w:t xml:space="preserve"> | HC 99.619</w:t>
      </w:r>
    </w:p>
    <w:p>
      <w:pPr>
        <w:ind w:left="288"/>
      </w:pPr>
      <w:r>
        <w:rPr>
          <w:color w:val="1E1E1E"/>
          <w:sz w:val="18"/>
        </w:rPr>
        <w:t>O habeas corpus, garantia de liberdade de locomoção, não se presta para discutir confisco criminal de bem.</w:t>
      </w:r>
    </w:p>
    <w:p>
      <w:pPr>
        <w:ind w:left="288"/>
      </w:pPr>
      <w:r>
        <w:rPr>
          <w:b/>
          <w:color w:val="003CA0"/>
          <w:sz w:val="16"/>
        </w:rPr>
        <w:t>[HC 99.619, red. do ac. min. Rosa Weber, j. 14-2-2012, 1ª T, DJE de 22-3-2012.]</w:t>
      </w:r>
    </w:p>
    <w:p>
      <w:pPr>
        <w:ind w:left="288"/>
      </w:pPr>
      <w:r>
        <w:rPr>
          <w:color w:val="8C8C8C"/>
          <w:sz w:val="12"/>
        </w:rPr>
        <w:t>cf-art-5-inc-L</w:t>
      </w:r>
      <w:r>
        <w:rPr>
          <w:color w:val="003CA0"/>
          <w:sz w:val="12"/>
        </w:rPr>
        <w:t xml:space="preserve"> | HC 106.124</w:t>
      </w:r>
      <w:r>
        <w:rPr>
          <w:color w:val="003CA0"/>
          <w:sz w:val="12"/>
        </w:rPr>
        <w:t xml:space="preserve"> | rel. Celso de Mello</w:t>
      </w:r>
    </w:p>
    <w:p>
      <w:pPr>
        <w:ind w:left="288"/>
      </w:pPr>
      <w:r>
        <w:rPr>
          <w:color w:val="1E1E1E"/>
          <w:sz w:val="18"/>
        </w:rPr>
        <w:t>Inviável, em nosso sistema normativo, o arquivamento ex officio, por iniciativa do Poder Judiciário, de peças informativas e/ou de inquéritos policiais, pois, tratando-se de delitos perseguíveis mediante ação penal pública, a proposta de arquivamento só pode emanar, legítima e exclusivamente, do próprio Ministério Público. (...) Essa prerrogativa do Parquet, contudo, não impede que o magistrado, se eventualmente vislumbrar ausente a tipicidade penal dos fatos investigados, reconheça caracterizada situação de injusto constrangimento, tornando-se consequentemente lícita a concessão ex officio de</w:t>
      </w:r>
    </w:p>
    <w:p>
      <w:pPr>
        <w:ind w:left="288"/>
      </w:pPr>
      <w:r>
        <w:rPr>
          <w:b/>
          <w:color w:val="003CA0"/>
          <w:sz w:val="16"/>
        </w:rPr>
        <w:t>[HC 106.124, rel. min. Celso de Mello, j. 22-11-2011, 2ª T, DJE de 11-9-2013.]</w:t>
      </w:r>
    </w:p>
    <w:p>
      <w:pPr>
        <w:ind w:left="288"/>
      </w:pPr>
      <w:r>
        <w:rPr>
          <w:color w:val="8C8C8C"/>
          <w:sz w:val="12"/>
        </w:rPr>
        <w:t>cf-art-5-inc-L</w:t>
      </w:r>
      <w:r>
        <w:rPr>
          <w:color w:val="003CA0"/>
          <w:sz w:val="12"/>
        </w:rPr>
        <w:t xml:space="preserve"> | HC 99.829</w:t>
      </w:r>
      <w:r>
        <w:rPr>
          <w:color w:val="003CA0"/>
          <w:sz w:val="12"/>
        </w:rPr>
        <w:t xml:space="preserve"> | rel. Gilmar Mendes</w:t>
      </w:r>
    </w:p>
    <w:p>
      <w:pPr>
        <w:ind w:left="288"/>
      </w:pPr>
      <w:r>
        <w:rPr>
          <w:color w:val="1E1E1E"/>
          <w:sz w:val="18"/>
        </w:rPr>
        <w:t>O afastamento ou a perda do cargo de juiz federal não são ofensas atacáveis por habeas corpus.</w:t>
      </w:r>
    </w:p>
    <w:p>
      <w:pPr>
        <w:ind w:left="288"/>
      </w:pPr>
      <w:r>
        <w:rPr>
          <w:b/>
          <w:color w:val="003CA0"/>
          <w:sz w:val="16"/>
        </w:rPr>
        <w:t>[HC 99.829, rel. min. Gilmar Mendes, j. 27-9-2011, 2ª T, DJE de 21-11-2011.]</w:t>
      </w:r>
    </w:p>
    <w:p>
      <w:pPr>
        <w:ind w:left="288"/>
      </w:pPr>
      <w:r>
        <w:rPr>
          <w:color w:val="8C8C8C"/>
          <w:sz w:val="12"/>
        </w:rPr>
        <w:t>cf-art-5-inc-L</w:t>
      </w:r>
      <w:r>
        <w:rPr>
          <w:color w:val="003CA0"/>
          <w:sz w:val="12"/>
        </w:rPr>
        <w:t xml:space="preserve"> | HC 110.537</w:t>
      </w:r>
      <w:r>
        <w:rPr>
          <w:color w:val="003CA0"/>
          <w:sz w:val="12"/>
        </w:rPr>
        <w:t xml:space="preserve"> | rel. Roberto Barroso</w:t>
      </w:r>
    </w:p>
    <w:p>
      <w:pPr>
        <w:ind w:left="288"/>
      </w:pPr>
      <w:r>
        <w:rPr>
          <w:color w:val="1E1E1E"/>
          <w:sz w:val="18"/>
        </w:rPr>
        <w:t>= HC 110.537 AgR, rel. min. Roberto Barroso, j. 22-10-2013, 1ª T, DJE de 18-11-2013 Vide HC 95.496, rel. min. Cezar Peluso, j. 10-3-2009, 2ª T, DJE de 17-4-2009 Direito do paciente, preso há quase dez anos, de receber a visita de seus dois filhos e três enteados. Cognoscibilidade. Possibilidade. Liberdade de locomoção entendida de forma ampla, afetando toda e qualquer medida de autoridade que possa em tese acarretar constrangimento da liberdade de ir e vir. (...) Direito de visitas como desdobramento do direito de liberdade. Só há se falar em direito de visitas porque a liberdade do apenado en</w:t>
      </w:r>
    </w:p>
    <w:p>
      <w:pPr>
        <w:ind w:left="288"/>
      </w:pPr>
      <w:r>
        <w:rPr>
          <w:b/>
          <w:color w:val="003CA0"/>
          <w:sz w:val="16"/>
        </w:rPr>
        <w:t>[HC 107.701, rel. min. Gilmar Mendes, j. 13-9-2011, 2ª T, DJE de 26-3-2012.]</w:t>
      </w:r>
    </w:p>
    <w:p>
      <w:pPr>
        <w:ind w:left="288"/>
      </w:pPr>
      <w:r>
        <w:rPr>
          <w:color w:val="8C8C8C"/>
          <w:sz w:val="12"/>
        </w:rPr>
        <w:t>cf-art-5-inc-L</w:t>
      </w:r>
      <w:r>
        <w:rPr>
          <w:color w:val="003CA0"/>
          <w:sz w:val="12"/>
        </w:rPr>
        <w:t xml:space="preserve"> | HC 145.118</w:t>
      </w:r>
      <w:r>
        <w:rPr>
          <w:color w:val="003CA0"/>
          <w:sz w:val="12"/>
        </w:rPr>
        <w:t xml:space="preserve"> | rel. Dias Toffoli</w:t>
      </w:r>
    </w:p>
    <w:p>
      <w:pPr>
        <w:ind w:left="288"/>
      </w:pPr>
      <w:r>
        <w:rPr>
          <w:color w:val="1E1E1E"/>
          <w:sz w:val="18"/>
        </w:rPr>
        <w:t>= HC 145.118 AgR, rel. min. Dias Toffoli, j. 6-10-2017, 2ª T, DJE de 26-10-2017 O habeas corpus é garantia constitucional que pressupõe, para o seu adequado manejo, uma ilegalidade ou um abuso de poder tão flagrante que se revele de plano (inciso LXVIII do art. 5º da Magna Carta de 1988). Tal qual o mandado de segurança, a ação constitucional de habeas corpus é via processual de verdadeiro atalho. Isso no pressuposto do seu adequado ajuizamento, a se dar quando a petição inicial já vem aparelhada com material probatório que se revele, ao menos num primeiro exame, induvidoso quanto à sua fatici</w:t>
      </w:r>
    </w:p>
    <w:p>
      <w:pPr>
        <w:ind w:left="288"/>
      </w:pPr>
      <w:r>
        <w:rPr>
          <w:b/>
          <w:color w:val="003CA0"/>
          <w:sz w:val="16"/>
        </w:rPr>
        <w:t>[HC 96.787, rel. min. Ayres Britto, j. 31-5-2011, 2ª T, DJE de 21-11-2011.]</w:t>
      </w:r>
    </w:p>
    <w:p>
      <w:pPr>
        <w:ind w:left="288"/>
      </w:pPr>
      <w:r>
        <w:rPr>
          <w:color w:val="8C8C8C"/>
          <w:sz w:val="12"/>
        </w:rPr>
        <w:t>cf-art-5-inc-L</w:t>
      </w:r>
      <w:r>
        <w:rPr>
          <w:color w:val="003CA0"/>
          <w:sz w:val="12"/>
        </w:rPr>
        <w:t xml:space="preserve"> | HC 102.041</w:t>
      </w:r>
    </w:p>
    <w:p>
      <w:pPr>
        <w:ind w:left="288"/>
      </w:pPr>
      <w:r>
        <w:rPr>
          <w:color w:val="1E1E1E"/>
          <w:sz w:val="18"/>
        </w:rPr>
        <w:t>O acórdão ora embargado não afastou a possibilidade de utilização do remédio de habeas corpus, mesmo nas hipóteses de cooperação jurídica internacional (de que o auxílio direto constitui modalidade), desde que presentes, no entanto, quanto ao writ constitucional, os requisitos de sua admissibilidade (...).</w:t>
      </w:r>
    </w:p>
    <w:p>
      <w:pPr>
        <w:ind w:left="288"/>
      </w:pPr>
      <w:r>
        <w:rPr>
          <w:b/>
          <w:color w:val="003CA0"/>
          <w:sz w:val="16"/>
        </w:rPr>
        <w:t>[HC 102.041 ED, voto do min. Celso de Mello, j. 15-2-2011, 2ª T, DJE de 8-3-2013.]</w:t>
      </w:r>
    </w:p>
    <w:p>
      <w:pPr>
        <w:ind w:left="288"/>
      </w:pPr>
      <w:r>
        <w:rPr>
          <w:color w:val="8C8C8C"/>
          <w:sz w:val="12"/>
        </w:rPr>
        <w:t>cf-art-5-inc-L</w:t>
      </w:r>
      <w:r>
        <w:rPr>
          <w:color w:val="003CA0"/>
          <w:sz w:val="12"/>
        </w:rPr>
        <w:t xml:space="preserve"> | HC 94.016</w:t>
      </w:r>
      <w:r>
        <w:rPr>
          <w:color w:val="003CA0"/>
          <w:sz w:val="12"/>
        </w:rPr>
        <w:t xml:space="preserve"> | rel. Celso de Mello</w:t>
      </w:r>
    </w:p>
    <w:p>
      <w:pPr>
        <w:ind w:left="288"/>
      </w:pPr>
      <w:r>
        <w:rPr>
          <w:color w:val="1E1E1E"/>
          <w:sz w:val="18"/>
        </w:rPr>
        <w:t>Vide HC 94.016, rel. min. Celso de Mello, j. 16-9-2008, 2ª T, DJE de 27-2-2009 O habeas corpus não é instrumental próprio a questionar a sequência de processo administrativo.</w:t>
      </w:r>
    </w:p>
    <w:p>
      <w:pPr>
        <w:ind w:left="288"/>
      </w:pPr>
      <w:r>
        <w:rPr>
          <w:b/>
          <w:color w:val="003CA0"/>
          <w:sz w:val="16"/>
        </w:rPr>
        <w:t>[HC 100.664, rel. min. Marco Aurélio, j. 2-12-2010, 1ª T, DJE de 22-2-2011.]</w:t>
      </w:r>
    </w:p>
    <w:p>
      <w:pPr>
        <w:ind w:left="288"/>
      </w:pPr>
      <w:r>
        <w:rPr>
          <w:color w:val="8C8C8C"/>
          <w:sz w:val="12"/>
        </w:rPr>
        <w:t>cf-art-5-inc-L</w:t>
      </w:r>
      <w:r>
        <w:rPr>
          <w:color w:val="003CA0"/>
          <w:sz w:val="12"/>
        </w:rPr>
        <w:t xml:space="preserve"> | RHC 92.886</w:t>
      </w:r>
      <w:r>
        <w:rPr>
          <w:color w:val="003CA0"/>
          <w:sz w:val="12"/>
        </w:rPr>
        <w:t xml:space="preserve"> | rel. Joaquim Barbosa</w:t>
      </w:r>
    </w:p>
    <w:p>
      <w:pPr>
        <w:ind w:left="288"/>
      </w:pPr>
      <w:r>
        <w:rPr>
          <w:color w:val="1E1E1E"/>
          <w:sz w:val="18"/>
        </w:rPr>
        <w:t>O habeas corpus não se presta à revisão, em tese, do teor de súmulas da jurisprudência dos tribunais.</w:t>
      </w:r>
    </w:p>
    <w:p>
      <w:pPr>
        <w:ind w:left="288"/>
      </w:pPr>
      <w:r>
        <w:rPr>
          <w:b/>
          <w:color w:val="003CA0"/>
          <w:sz w:val="16"/>
        </w:rPr>
        <w:t>[RHC 92.886 AgR, rel. min. Joaquim Barbosa, j. 21-9-2010, 2ª T, DJE de 22-10-2010.]</w:t>
      </w:r>
    </w:p>
    <w:p>
      <w:pPr>
        <w:ind w:left="288"/>
      </w:pPr>
      <w:r>
        <w:rPr>
          <w:color w:val="8C8C8C"/>
          <w:sz w:val="12"/>
        </w:rPr>
        <w:t>cf-art-5-inc-L</w:t>
      </w:r>
      <w:r>
        <w:rPr>
          <w:color w:val="003CA0"/>
          <w:sz w:val="12"/>
        </w:rPr>
        <w:t xml:space="preserve"> | HC 91.716</w:t>
      </w:r>
      <w:r>
        <w:rPr>
          <w:color w:val="003CA0"/>
          <w:sz w:val="12"/>
        </w:rPr>
        <w:t xml:space="preserve"> | rel. Joaquim Barbosa</w:t>
      </w:r>
    </w:p>
    <w:p>
      <w:pPr>
        <w:ind w:left="288"/>
      </w:pPr>
      <w:r>
        <w:rPr>
          <w:color w:val="1E1E1E"/>
          <w:sz w:val="18"/>
        </w:rPr>
        <w:t>Decisão singular em recurso especial que, examinando o mérito da causa, deu parcial provimento (...). Insurgência do impetrante quanto à parte da decisão que negou provimento ao recurso com base no art. 557, § 1º-A, do CPC, e em conformidade com a jurisprudência consolidada no STJ. Ausência de ofensa ao princípio da colegialidade. Faculdade outorgada pela norma que possibilita ao relator dar provimento ao recurso quando a decisão recorrida estiver em manifesto confronto com súmula ou com jurisprudência dominante do Tribunal Superior. Ausência de ilegalidade a ser reparada por habeas corpus.</w:t>
      </w:r>
    </w:p>
    <w:p>
      <w:pPr>
        <w:ind w:left="288"/>
      </w:pPr>
      <w:r>
        <w:rPr>
          <w:b/>
          <w:color w:val="003CA0"/>
          <w:sz w:val="16"/>
        </w:rPr>
        <w:t>[HC 91.716, rel. min. Joaquim Barbosa, j. 31-8-2010, 2ª T, DJE de 1º-10-2010.]</w:t>
      </w:r>
    </w:p>
    <w:p>
      <w:pPr>
        <w:ind w:left="288"/>
      </w:pPr>
      <w:r>
        <w:rPr>
          <w:color w:val="8C8C8C"/>
          <w:sz w:val="12"/>
        </w:rPr>
        <w:t>cf-art-5-inc-L</w:t>
      </w:r>
      <w:r>
        <w:rPr>
          <w:color w:val="003CA0"/>
          <w:sz w:val="12"/>
        </w:rPr>
        <w:t xml:space="preserve"> | HC 84.486</w:t>
      </w:r>
      <w:r>
        <w:rPr>
          <w:color w:val="003CA0"/>
          <w:sz w:val="12"/>
        </w:rPr>
        <w:t xml:space="preserve"> | rel. Celso de Mello</w:t>
      </w:r>
    </w:p>
    <w:p>
      <w:pPr>
        <w:ind w:left="288"/>
      </w:pPr>
      <w:r>
        <w:rPr>
          <w:color w:val="1E1E1E"/>
          <w:sz w:val="18"/>
        </w:rPr>
        <w:t>Vide HC 84.486 AgR, rel. min. Celso de Mello, j. 1º-6-2010, 2ª T, DJE de 6-8-2010 Vide HC 93.401, rel. min. Ayres Britto, j. 16-9-2008, 1ª T, DJE de 31-10-2008 É possível a concessão de habeas corpus para a extinção de ação penal sempre que se constatar ou imputação de fato atípico, ou inexistência de qualquer elemento que demonstre a autoria do delito, ou extinção da punibilidade. (...) Nas palavras de Reale Júnior, tipicidade é a "congruência entre a ação concreta e o paradigma legal ou a configuração típica do injusto". Não preenchidos esses requisitos, inexiste justa causa para a instauraç</w:t>
      </w:r>
    </w:p>
    <w:p>
      <w:pPr>
        <w:ind w:left="288"/>
      </w:pPr>
      <w:r>
        <w:rPr>
          <w:b/>
          <w:color w:val="003CA0"/>
          <w:sz w:val="16"/>
        </w:rPr>
        <w:t>[HC 102.422, rel. min. Dias Toffoli, j. 10-6-2010, P, DJE de 14-9-2011.]</w:t>
      </w:r>
    </w:p>
    <w:p>
      <w:pPr>
        <w:ind w:left="288"/>
      </w:pPr>
      <w:r>
        <w:rPr>
          <w:color w:val="8C8C8C"/>
          <w:sz w:val="12"/>
        </w:rPr>
        <w:t>cf-art-5-inc-L</w:t>
      </w:r>
      <w:r>
        <w:rPr>
          <w:color w:val="003CA0"/>
          <w:sz w:val="12"/>
        </w:rPr>
        <w:t xml:space="preserve"> | HC 91.464</w:t>
      </w:r>
      <w:r>
        <w:rPr>
          <w:color w:val="003CA0"/>
          <w:sz w:val="12"/>
        </w:rPr>
        <w:t xml:space="preserve"> | rel. Cezar Peluso</w:t>
      </w:r>
    </w:p>
    <w:p>
      <w:pPr>
        <w:ind w:left="288"/>
      </w:pPr>
      <w:r>
        <w:rPr>
          <w:color w:val="1E1E1E"/>
          <w:sz w:val="18"/>
        </w:rPr>
        <w:t>= HC 91.464, rel. min. Cezar Peluso, j. 2-3-2010, 2ª T, DJE de 11-6-2010 Vide RHC 95.958, rel. min. Ricardo Lewandowski, j. 18-8-2009, 1ª T, DJE de 4-9-2009 Habeas corpus. Jurisprudência do STF consolidada quanto à matéria versada na impetração. Possibilidade, em tal hipótese, de o relator da causa decidir, monocraticamente, a controvérsia jurídica. Competência monocrática que o STF delegou, validamente, em sede regimental (RISTF, art. 192, caput, na redação dada pela Emenda Regimental 30/2009). Inocorrência de transgressão ao princípio da colegialidade. Plena legitimidade jurídica dessa deleg</w:t>
      </w:r>
    </w:p>
    <w:p>
      <w:pPr>
        <w:ind w:left="288"/>
      </w:pPr>
      <w:r>
        <w:rPr>
          <w:b/>
          <w:color w:val="003CA0"/>
          <w:sz w:val="16"/>
        </w:rPr>
        <w:t>[HC 84.486 AgR, rel. min. Celso de Mello, j. 1º-6-2010, 2ª T, DJE de 6-8-2010.]</w:t>
      </w:r>
    </w:p>
    <w:p>
      <w:pPr>
        <w:ind w:left="288"/>
      </w:pPr>
      <w:r>
        <w:rPr>
          <w:color w:val="8C8C8C"/>
          <w:sz w:val="12"/>
        </w:rPr>
        <w:t>cf-art-5-inc-L</w:t>
      </w:r>
      <w:r>
        <w:rPr>
          <w:color w:val="003CA0"/>
          <w:sz w:val="12"/>
        </w:rPr>
        <w:t xml:space="preserve"> | HC 91.716</w:t>
      </w:r>
      <w:r>
        <w:rPr>
          <w:color w:val="003CA0"/>
          <w:sz w:val="12"/>
        </w:rPr>
        <w:t xml:space="preserve"> | rel. Joaquim Barbosa</w:t>
      </w:r>
    </w:p>
    <w:p>
      <w:pPr>
        <w:ind w:left="288"/>
      </w:pPr>
      <w:r>
        <w:rPr>
          <w:color w:val="1E1E1E"/>
          <w:sz w:val="18"/>
        </w:rPr>
        <w:t>Vide HC 91.716, rel. min. Joaquim Barbosa, j. 31-8-2010, 2ª T, DJE de 1º-10-2010 Vide AI 684.893 AgR, rel. min. Ellen Gracie, j. 6-10-2009, 2ª T, DJE de 29-10-2009 Não é possível, na via do habeas corpus, fazer incursão sobre a correta tipificação dos fatos imputados ao paciente na ação penal.</w:t>
      </w:r>
    </w:p>
    <w:p>
      <w:pPr>
        <w:ind w:left="288"/>
      </w:pPr>
      <w:r>
        <w:rPr>
          <w:b/>
          <w:color w:val="003CA0"/>
          <w:sz w:val="16"/>
        </w:rPr>
        <w:t>[HC 99.417, rel. min. Ricardo Lewandowski, j. 1º-6-2010, 1ª T, DJE de 18-6-2010.]</w:t>
      </w:r>
    </w:p>
    <w:p>
      <w:pPr>
        <w:ind w:left="288"/>
      </w:pPr>
      <w:r>
        <w:rPr>
          <w:color w:val="8C8C8C"/>
          <w:sz w:val="12"/>
        </w:rPr>
        <w:t>cf-art-5-inc-L</w:t>
      </w:r>
      <w:r>
        <w:rPr>
          <w:color w:val="003CA0"/>
          <w:sz w:val="12"/>
        </w:rPr>
        <w:t xml:space="preserve"> | HC 101.918</w:t>
      </w:r>
      <w:r>
        <w:rPr>
          <w:color w:val="003CA0"/>
          <w:sz w:val="12"/>
        </w:rPr>
        <w:t xml:space="preserve"> | rel. Ricardo Lewandowski</w:t>
      </w:r>
    </w:p>
    <w:p>
      <w:pPr>
        <w:ind w:left="288"/>
      </w:pPr>
      <w:r>
        <w:rPr>
          <w:color w:val="1E1E1E"/>
          <w:sz w:val="18"/>
        </w:rPr>
        <w:t>O habeas corpus, ressalvadas hipóteses excepcionais, não pode servir para a correção da dosimetria da pena imposta pelo magistrado, mormente se observadas as determinações legais pertinentes ao sistema trifásico de cálculo.</w:t>
      </w:r>
    </w:p>
    <w:p>
      <w:pPr>
        <w:ind w:left="288"/>
      </w:pPr>
      <w:r>
        <w:rPr>
          <w:b/>
          <w:color w:val="003CA0"/>
          <w:sz w:val="16"/>
        </w:rPr>
        <w:t>[HC 101.918, rel. min. Ricardo Lewandowski, j. 11-5-2010, 1ª T, DJE de 4-6-2010.]</w:t>
      </w:r>
    </w:p>
    <w:p>
      <w:pPr>
        <w:ind w:left="288"/>
      </w:pPr>
      <w:r>
        <w:rPr>
          <w:color w:val="8C8C8C"/>
          <w:sz w:val="12"/>
        </w:rPr>
        <w:t>cf-art-5-inc-L</w:t>
      </w:r>
      <w:r>
        <w:rPr>
          <w:color w:val="003CA0"/>
          <w:sz w:val="12"/>
        </w:rPr>
        <w:t xml:space="preserve"> | HC 102.783</w:t>
      </w:r>
      <w:r>
        <w:rPr>
          <w:color w:val="003CA0"/>
          <w:sz w:val="12"/>
        </w:rPr>
        <w:t xml:space="preserve"> | rel. Cármen Lúcia</w:t>
      </w:r>
    </w:p>
    <w:p>
      <w:pPr>
        <w:ind w:left="288"/>
      </w:pPr>
      <w:r>
        <w:rPr>
          <w:color w:val="1E1E1E"/>
          <w:sz w:val="18"/>
        </w:rPr>
        <w:t>Não ofende o princípio da colegialidade a decisão de ministro relator do STJ que, constatando a reiteração de pedido com os mesmos fundamentos do anterior, nega seguimento ao segundo pedido por decisão monocrática. Aplicação do art. 210 do RISTJ. Possibilidade de recurso contra a decisão monocrática, fazendo com que os autos sejam levados a julgamento no órgão colegiado competente.</w:t>
      </w:r>
    </w:p>
    <w:p>
      <w:pPr>
        <w:ind w:left="288"/>
      </w:pPr>
      <w:r>
        <w:rPr>
          <w:b/>
          <w:color w:val="003CA0"/>
          <w:sz w:val="16"/>
        </w:rPr>
        <w:t>[HC 102.783, rel. min. Cármen Lúcia, j. 4-5-2010, 1ª T, DJE de 28-5-2010.]</w:t>
      </w:r>
    </w:p>
    <w:p>
      <w:pPr>
        <w:ind w:left="288"/>
      </w:pPr>
      <w:r>
        <w:rPr>
          <w:color w:val="8C8C8C"/>
          <w:sz w:val="12"/>
        </w:rPr>
        <w:t>cf-art-5-inc-L</w:t>
      </w:r>
      <w:r>
        <w:rPr>
          <w:color w:val="003CA0"/>
          <w:sz w:val="12"/>
        </w:rPr>
        <w:t xml:space="preserve"> | HC 98.304</w:t>
      </w:r>
      <w:r>
        <w:rPr>
          <w:color w:val="003CA0"/>
          <w:sz w:val="12"/>
        </w:rPr>
        <w:t xml:space="preserve"> | rel. Cezar Peluso</w:t>
      </w:r>
    </w:p>
    <w:p>
      <w:pPr>
        <w:ind w:left="288"/>
      </w:pPr>
      <w:r>
        <w:rPr>
          <w:color w:val="1E1E1E"/>
          <w:sz w:val="18"/>
        </w:rPr>
        <w:t>= HC 98.304, rel. min. Cezar Peluso, j. 8-9-2009, 2ª T, DJE de 16-10-2009 = HC 93.401, rel. min. Ayres Britto, j. 16-9-2008, 1ª T, DJE de 31-10-2008 O habeas corpus, ademais, em que pese configurar remédio constitucional de largo espectro, não pode ser utilizado como sucedâneo da revisão criminal, salvo em situações nas quais se verifique flagrante nulidade processual, seja na sentença condenatória, seja no acórdão que a tenha confirmado.</w:t>
      </w:r>
    </w:p>
    <w:p>
      <w:pPr>
        <w:ind w:left="288"/>
      </w:pPr>
      <w:r>
        <w:rPr>
          <w:b/>
          <w:color w:val="003CA0"/>
          <w:sz w:val="16"/>
        </w:rPr>
        <w:t>[HC 101.542, rel. min. Ricardo Lewandowski, j. 4-5-2010, 1ª T, DJE de 28-5-2010.]</w:t>
      </w:r>
    </w:p>
    <w:p>
      <w:pPr>
        <w:ind w:left="288"/>
      </w:pPr>
      <w:r>
        <w:rPr>
          <w:color w:val="8C8C8C"/>
          <w:sz w:val="12"/>
        </w:rPr>
        <w:t>cf-art-5-inc-L</w:t>
      </w:r>
      <w:r>
        <w:rPr>
          <w:color w:val="003CA0"/>
          <w:sz w:val="12"/>
        </w:rPr>
        <w:t xml:space="preserve"> | HC 109.547</w:t>
      </w:r>
      <w:r>
        <w:rPr>
          <w:color w:val="003CA0"/>
          <w:sz w:val="12"/>
        </w:rPr>
        <w:t xml:space="preserve"> | rel. Cármen Lúcia</w:t>
      </w:r>
    </w:p>
    <w:p>
      <w:pPr>
        <w:ind w:left="288"/>
      </w:pPr>
      <w:r>
        <w:rPr>
          <w:color w:val="1E1E1E"/>
          <w:sz w:val="18"/>
        </w:rPr>
        <w:t>= HC 109.547, rel. min. Cármen Lúcia, j. 13-3-2012, 1ª T, DJE de 29-3-2012 Para que o habeas corpus mostre-se adequado, basta alegar-se prática de ato, a alcançar a liberdade de ir e vir do paciente, à margem da ordem jurídica e existir órgão capaz de aferir o merecimento do que decidido. A procedência da causa de pedir pressupõe demonstração do vício.</w:t>
      </w:r>
    </w:p>
    <w:p>
      <w:pPr>
        <w:ind w:left="288"/>
      </w:pPr>
      <w:r>
        <w:rPr>
          <w:b/>
          <w:color w:val="003CA0"/>
          <w:sz w:val="16"/>
        </w:rPr>
        <w:t>[HC 95.431, rel. min. Marco Aurélio, j. 27-4-2010, 1ª T, DJE de 14-5-2010.]</w:t>
      </w:r>
    </w:p>
    <w:p>
      <w:pPr>
        <w:ind w:left="288"/>
      </w:pPr>
      <w:r>
        <w:rPr>
          <w:color w:val="8C8C8C"/>
          <w:sz w:val="12"/>
        </w:rPr>
        <w:t>cf-art-5-inc-L</w:t>
      </w:r>
      <w:r>
        <w:rPr>
          <w:color w:val="003CA0"/>
          <w:sz w:val="12"/>
        </w:rPr>
        <w:t xml:space="preserve"> | HC 102.041</w:t>
      </w:r>
      <w:r>
        <w:rPr>
          <w:color w:val="003CA0"/>
          <w:sz w:val="12"/>
        </w:rPr>
        <w:t xml:space="preserve"> | rel. Celso de Mello</w:t>
      </w:r>
    </w:p>
    <w:p>
      <w:pPr>
        <w:ind w:left="288"/>
      </w:pPr>
      <w:r>
        <w:rPr>
          <w:color w:val="1E1E1E"/>
          <w:sz w:val="18"/>
        </w:rPr>
        <w:t>A ação de habeas corpus não se revela cabível, quando inexistente situação de dano efetivo ou de risco potencial ao jus manendi, ambulandi, eundi ultro citroque do paciente. Esse entendimento decorre da circunstância histórica de a reforma constitucional de 1926 – que importou na cessação da doutrina brasileira do habeas corpus – haver restaurado a função clássica desse extraordinário remédio processual, destinando-o, quanto à sua finalidade, à específica tutela jurisdicional da imediata liberdade de locomoção física das pessoas.</w:t>
      </w:r>
    </w:p>
    <w:p>
      <w:pPr>
        <w:ind w:left="288"/>
      </w:pPr>
      <w:r>
        <w:rPr>
          <w:b/>
          <w:color w:val="003CA0"/>
          <w:sz w:val="16"/>
        </w:rPr>
        <w:t>[HC 102.041, rel. min. Celso de Mello, j. 20-4-2010, 2ª T, DJE de 20-8-2010.]</w:t>
      </w:r>
    </w:p>
    <w:p>
      <w:pPr>
        <w:ind w:left="288"/>
      </w:pPr>
      <w:r>
        <w:rPr>
          <w:color w:val="8C8C8C"/>
          <w:sz w:val="12"/>
        </w:rPr>
        <w:t>cf-art-5-inc-L</w:t>
      </w:r>
      <w:r>
        <w:rPr>
          <w:color w:val="003CA0"/>
          <w:sz w:val="12"/>
        </w:rPr>
        <w:t xml:space="preserve"> | HC 112.091</w:t>
      </w:r>
      <w:r>
        <w:rPr>
          <w:color w:val="003CA0"/>
          <w:sz w:val="12"/>
        </w:rPr>
        <w:t xml:space="preserve"> | rel. Dias Toffoli</w:t>
      </w:r>
    </w:p>
    <w:p>
      <w:pPr>
        <w:ind w:left="288"/>
      </w:pPr>
      <w:r>
        <w:rPr>
          <w:color w:val="1E1E1E"/>
          <w:sz w:val="18"/>
        </w:rPr>
        <w:t>= HC 112.091 AgR, rel. min. Dias Toffoli, j. 26-6-2012, 1ª T, DJE de 11-9-2012 A sedimentada jurisprudência desta Corte exige, para caracterizar o interesse de agir em habeas corpus destinado ao questionamento da regularidade de outro processo ou procedimento, que a pretensão posta no writ seja previamente levada à apreciação do relator do feito questionado. A peculiar natureza processual do habeas corpus não admite a realização de dilação probatória, incumbindo ao impetrante o ônus de demonstrar inequívoca e previamente os fatos constitutivos do direito invocado em favor do paciente.</w:t>
      </w:r>
    </w:p>
    <w:p>
      <w:pPr>
        <w:ind w:left="288"/>
      </w:pPr>
      <w:r>
        <w:rPr>
          <w:b/>
          <w:color w:val="003CA0"/>
          <w:sz w:val="16"/>
        </w:rPr>
        <w:t>[HC 92.702, rel. min. Joaquim Barbosa, j. 18-2-2010, P, DJE de 26-3-2010.]</w:t>
      </w:r>
    </w:p>
    <w:p>
      <w:pPr>
        <w:ind w:left="288"/>
      </w:pPr>
      <w:r>
        <w:rPr>
          <w:color w:val="8C8C8C"/>
          <w:sz w:val="12"/>
        </w:rPr>
        <w:t>cf-art-5-inc-L</w:t>
      </w:r>
      <w:r>
        <w:rPr>
          <w:color w:val="003CA0"/>
          <w:sz w:val="12"/>
        </w:rPr>
        <w:t xml:space="preserve"> | HC 92.664</w:t>
      </w:r>
      <w:r>
        <w:rPr>
          <w:color w:val="003CA0"/>
          <w:sz w:val="12"/>
        </w:rPr>
        <w:t xml:space="preserve"> | rel. Cezar Peluso</w:t>
      </w:r>
    </w:p>
    <w:p>
      <w:pPr>
        <w:ind w:left="288"/>
      </w:pPr>
      <w:r>
        <w:rPr>
          <w:color w:val="1E1E1E"/>
          <w:sz w:val="18"/>
        </w:rPr>
        <w:t>Vide HC 92.664 AgR, rel. min. Cezar Peluso, j. 13-12-2007, P, DJE de 15-2-2008 O julgamento de habeas corpus independe de pauta ou qualquer tipo de comunicação, cumprindo ao impetrante acompanhar a colocação do processo em mesa para julgamento, se deixa de requerer intimação ou ciência prévia para expor oralmente as razões da impetração.</w:t>
      </w:r>
    </w:p>
    <w:p>
      <w:pPr>
        <w:ind w:left="288"/>
      </w:pPr>
      <w:r>
        <w:rPr>
          <w:b/>
          <w:color w:val="003CA0"/>
          <w:sz w:val="16"/>
        </w:rPr>
        <w:t>[HC 89.339, rel. min. Cezar Peluso, j. 2-2-2010, 2ª T, DJE de 19-2-2010.]</w:t>
      </w:r>
    </w:p>
    <w:p>
      <w:pPr>
        <w:ind w:left="288"/>
      </w:pPr>
      <w:r>
        <w:rPr>
          <w:color w:val="8C8C8C"/>
          <w:sz w:val="12"/>
        </w:rPr>
        <w:t>cf-art-5-inc-L</w:t>
      </w:r>
      <w:r>
        <w:rPr>
          <w:color w:val="003CA0"/>
          <w:sz w:val="12"/>
        </w:rPr>
        <w:t xml:space="preserve"> | HC 86.889</w:t>
      </w:r>
      <w:r>
        <w:rPr>
          <w:color w:val="003CA0"/>
          <w:sz w:val="12"/>
        </w:rPr>
        <w:t xml:space="preserve"> | rel. Menezes Direito</w:t>
      </w:r>
    </w:p>
    <w:p>
      <w:pPr>
        <w:ind w:left="288"/>
      </w:pPr>
      <w:r>
        <w:rPr>
          <w:color w:val="1E1E1E"/>
          <w:sz w:val="18"/>
        </w:rPr>
        <w:t>Vide HC 86.889 ED, rel. min. Menezes Direito, j. 11-3-2008, 1ª T, DJE de 11-4-2008 Vide HC 90.326 QO, rel. min. Menezes Direito, j. 11-12-2007, 1ª T, DJE de 29-2-2008 Vide HC 92.253, rel. min. Ayres Britto, j. 27-11-2007, 1ª T, DJ de 14-12-2007 Ato coator imputado ao juízo de primeiro grau. Matéria não alegada nem submetida ao tribunal local. Supressão de instância. Não conhecimento pelo STJ. Constrangimento ilegal. Inocorrência. Recurso em habeas corpus a que se nega provimento. Não é ilegal a decisão de tribunal superior que não conhece de habeas corpus cujas questões não foram apreciadas pe</w:t>
      </w:r>
    </w:p>
    <w:p>
      <w:pPr>
        <w:ind w:left="288"/>
      </w:pPr>
      <w:r>
        <w:rPr>
          <w:b/>
          <w:color w:val="003CA0"/>
          <w:sz w:val="16"/>
        </w:rPr>
        <w:t>[RHC 84.570, rel. min. Cezar Peluso, j. 2-2-2010, 2ª T, DJE de 26-3-2010.]</w:t>
      </w:r>
    </w:p>
    <w:p>
      <w:pPr>
        <w:ind w:left="288"/>
      </w:pPr>
      <w:r>
        <w:rPr>
          <w:color w:val="8C8C8C"/>
          <w:sz w:val="12"/>
        </w:rPr>
        <w:t>cf-art-5-inc-L</w:t>
      </w:r>
      <w:r>
        <w:rPr>
          <w:color w:val="003CA0"/>
          <w:sz w:val="12"/>
        </w:rPr>
        <w:t xml:space="preserve"> | HC 99.114</w:t>
      </w:r>
      <w:r>
        <w:rPr>
          <w:color w:val="003CA0"/>
          <w:sz w:val="12"/>
        </w:rPr>
        <w:t xml:space="preserve"> | rel. Ricardo Lewandowski</w:t>
      </w:r>
    </w:p>
    <w:p>
      <w:pPr>
        <w:ind w:left="288"/>
      </w:pPr>
      <w:r>
        <w:rPr>
          <w:color w:val="1E1E1E"/>
          <w:sz w:val="18"/>
        </w:rPr>
        <w:t>= HC 99.114, rel. min. Ricardo Lewandowski, j. 21-9-2010, 1ª T, DJE de 15-10-2010 O habeas corpus é meio processual destinado à proteção do direito de ir e vir ameaçado por ilegalidade ou abuso de poder. Daí a impropriedade desse instrumento processual para solver controvérsia cível. Ainda que se admita que a ação de improbidade administrativa tem natureza penal, não há como trancá-la em habeas corpus, porquanto as sanções previstas na Lei 8.429/1992 não consubstanciam risco à liberdade de locomoção.</w:t>
      </w:r>
    </w:p>
    <w:p>
      <w:pPr>
        <w:ind w:left="288"/>
      </w:pPr>
      <w:r>
        <w:rPr>
          <w:b/>
          <w:color w:val="003CA0"/>
          <w:sz w:val="16"/>
        </w:rPr>
        <w:t>[HC 100.244 AgR, rel. min. Eros Grau, j. 24-11-2009, 2ª T, DJE de 19-2-2010.]</w:t>
      </w:r>
    </w:p>
    <w:p>
      <w:pPr>
        <w:ind w:left="288"/>
      </w:pPr>
      <w:r>
        <w:rPr>
          <w:color w:val="8C8C8C"/>
          <w:sz w:val="12"/>
        </w:rPr>
        <w:t>cf-art-5-inc-L</w:t>
      </w:r>
      <w:r>
        <w:rPr>
          <w:color w:val="003CA0"/>
          <w:sz w:val="12"/>
        </w:rPr>
        <w:t xml:space="preserve"> | HC 100.340</w:t>
      </w:r>
      <w:r>
        <w:rPr>
          <w:color w:val="003CA0"/>
          <w:sz w:val="12"/>
        </w:rPr>
        <w:t xml:space="preserve"> | rel. Cezar Peluso</w:t>
      </w:r>
    </w:p>
    <w:p>
      <w:pPr>
        <w:ind w:left="288"/>
      </w:pPr>
      <w:r>
        <w:rPr>
          <w:color w:val="1E1E1E"/>
          <w:sz w:val="18"/>
        </w:rPr>
        <w:t>Não é lícito às instâncias superiores suprir, em habeas corpus ou recurso da defesa, com novas razões, a falta ou deficiência de fundamentação da decisão penal impugnada.</w:t>
      </w:r>
    </w:p>
    <w:p>
      <w:pPr>
        <w:ind w:left="288"/>
      </w:pPr>
      <w:r>
        <w:rPr>
          <w:b/>
          <w:color w:val="003CA0"/>
          <w:sz w:val="16"/>
        </w:rPr>
        <w:t>[HC 100.340, rel. min. Cezar Peluso, j. 10-11-2009, 2ª T, DJE de 18-12-2009.]</w:t>
      </w:r>
    </w:p>
    <w:p>
      <w:pPr>
        <w:ind w:left="288"/>
      </w:pPr>
      <w:r>
        <w:rPr>
          <w:color w:val="8C8C8C"/>
          <w:sz w:val="12"/>
        </w:rPr>
        <w:t>cf-art-5-inc-L</w:t>
      </w:r>
      <w:r>
        <w:rPr>
          <w:color w:val="003CA0"/>
          <w:sz w:val="12"/>
        </w:rPr>
        <w:t xml:space="preserve"> | HC 91.665</w:t>
      </w:r>
      <w:r>
        <w:rPr>
          <w:color w:val="003CA0"/>
          <w:sz w:val="12"/>
        </w:rPr>
        <w:t xml:space="preserve"> | rel. Ricardo Lewandowski</w:t>
      </w:r>
    </w:p>
    <w:p>
      <w:pPr>
        <w:ind w:left="288"/>
      </w:pPr>
      <w:r>
        <w:rPr>
          <w:color w:val="1E1E1E"/>
          <w:sz w:val="18"/>
        </w:rPr>
        <w:t>O superveniente julgamento do mérito de habeas corpus impetrado ao STJ e cujo pedido de liminar foi inferido monocraticamente, dando ensejo à impetração do presente writ, acarreta a perda desta ação, impetrada ao STF (HC 91.665, rel. min. Ricardo Lewandowski, julgamento em 23-10-2010, Primeira Turma, DJE de 9-11-2007).</w:t>
      </w:r>
    </w:p>
    <w:p>
      <w:pPr>
        <w:ind w:left="288"/>
      </w:pPr>
      <w:r>
        <w:rPr>
          <w:b/>
          <w:color w:val="003CA0"/>
          <w:sz w:val="16"/>
        </w:rPr>
        <w:t>[HC 100.097, rel. min. Joaquim Barbosa, j. 3-11-2009, 2ª T, DJE de 27-11-2009.]</w:t>
      </w:r>
    </w:p>
    <w:p>
      <w:pPr>
        <w:ind w:left="288"/>
      </w:pPr>
      <w:r>
        <w:rPr>
          <w:color w:val="8C8C8C"/>
          <w:sz w:val="12"/>
        </w:rPr>
        <w:t>cf-art-5-inc-L</w:t>
      </w:r>
      <w:r>
        <w:rPr>
          <w:color w:val="003CA0"/>
          <w:sz w:val="12"/>
        </w:rPr>
        <w:t xml:space="preserve"> | HC 102.319</w:t>
      </w:r>
      <w:r>
        <w:rPr>
          <w:color w:val="003CA0"/>
          <w:sz w:val="12"/>
        </w:rPr>
        <w:t xml:space="preserve"> | rel. Cármen Lúcia</w:t>
      </w:r>
    </w:p>
    <w:p>
      <w:pPr>
        <w:ind w:left="288"/>
      </w:pPr>
      <w:r>
        <w:rPr>
          <w:color w:val="1E1E1E"/>
          <w:sz w:val="18"/>
        </w:rPr>
        <w:t>= HC 102.319, rel. min. Cármen Lúcia, j. 14-9-2010, 1ª T , DJE de 1º-10-2010 Vide HC 100.056, rel. min. Joaquim Barbosa, j. 1º-12-2009, 2ª T, DJE de 18-12-2009 O habeas corpus não é meio hábil para questionar-se aspectos ligados quer ao inquérito civil público, quer à ação civil pública, porquanto, nesses procedimentos, não se faz em jogo, sequer na via indireta, a liberdade de ir e vir.</w:t>
      </w:r>
    </w:p>
    <w:p>
      <w:pPr>
        <w:ind w:left="288"/>
      </w:pPr>
      <w:r>
        <w:rPr>
          <w:b/>
          <w:color w:val="003CA0"/>
          <w:sz w:val="16"/>
        </w:rPr>
        <w:t>[HC 90.378, rel. min. Marco Aurélio, j. 13-10-2009, 1ª T, DJE de 6-11-2009.]</w:t>
      </w:r>
    </w:p>
    <w:p>
      <w:pPr>
        <w:ind w:left="288"/>
      </w:pPr>
      <w:r>
        <w:rPr>
          <w:color w:val="8C8C8C"/>
          <w:sz w:val="12"/>
        </w:rPr>
        <w:t>cf-art-5-inc-L</w:t>
      </w:r>
      <w:r>
        <w:rPr>
          <w:color w:val="003CA0"/>
          <w:sz w:val="12"/>
        </w:rPr>
        <w:t xml:space="preserve"> | HC 97.649</w:t>
      </w:r>
      <w:r>
        <w:rPr>
          <w:color w:val="003CA0"/>
          <w:sz w:val="12"/>
        </w:rPr>
        <w:t xml:space="preserve"> | rel. Ellen Gracie</w:t>
      </w:r>
    </w:p>
    <w:p>
      <w:pPr>
        <w:ind w:left="288"/>
      </w:pPr>
      <w:r>
        <w:rPr>
          <w:color w:val="1E1E1E"/>
          <w:sz w:val="18"/>
        </w:rPr>
        <w:t>Esta Suprema Corte possui precedentes no sentido de que "a superveniência da sentença condenatória prejudica o habeas corpus quando esse tenha por objeto o decreto de prisão preventiva, dado que passa a sentença a constituir novo título para a prisão". O prosseguimento do feito após a superveniência da sentença condenatória implicaria em inadmissível supressão de instância, uma vez que o novo título prisional não foi submetido à análise das instâncias inferiores.</w:t>
      </w:r>
    </w:p>
    <w:p>
      <w:pPr>
        <w:ind w:left="288"/>
      </w:pPr>
      <w:r>
        <w:rPr>
          <w:b/>
          <w:color w:val="003CA0"/>
          <w:sz w:val="16"/>
        </w:rPr>
        <w:t>[HC 97.649 AgR, rel. min. Ellen Gracie, j. 15-9-2009, 2ª T, DJE de 9-10-2009.]</w:t>
      </w:r>
    </w:p>
    <w:p>
      <w:pPr>
        <w:ind w:left="288"/>
      </w:pPr>
      <w:r>
        <w:rPr>
          <w:color w:val="8C8C8C"/>
          <w:sz w:val="12"/>
        </w:rPr>
        <w:t>cf-art-5-inc-L</w:t>
      </w:r>
      <w:r>
        <w:rPr>
          <w:color w:val="003CA0"/>
          <w:sz w:val="12"/>
        </w:rPr>
        <w:t xml:space="preserve"> | HC 101.644</w:t>
      </w:r>
      <w:r>
        <w:rPr>
          <w:color w:val="003CA0"/>
          <w:sz w:val="12"/>
        </w:rPr>
        <w:t xml:space="preserve"> | rel. Dias Toffoli</w:t>
      </w:r>
    </w:p>
    <w:p>
      <w:pPr>
        <w:ind w:left="288"/>
      </w:pPr>
      <w:r>
        <w:rPr>
          <w:color w:val="1E1E1E"/>
          <w:sz w:val="18"/>
        </w:rPr>
        <w:t xml:space="preserve">= HC 101.644 AgR, rel. min. Dias Toffoli, j. 25-5-2010, 1ª T, DJE de 27-8-2010 Vide HC 96.182, rel. min. Menezes Direito, j. 2-12-2008, 1ª T, DJE de 20-3-2009 Vide HC 93.345, rel. min. Menezes Direito, j. 3-6-2008, 1ª T, DJE de 1º-8-2008 Habeas corpus. Negativa de seguimento. (...) Na concreta situação dos autos, a pessoa jurídica da qual o paciente é representante legal se acha processada por delitos ambientais. Pessoa jurídica que somente poderá ser punida com multa e pena restritiva de direitos. Noutro falar: a liberdade de locomoção do agravante não está, nem mesmo indiretamente, ameaçada </w:t>
      </w:r>
    </w:p>
    <w:p>
      <w:pPr>
        <w:ind w:left="288"/>
      </w:pPr>
      <w:r>
        <w:rPr>
          <w:b/>
          <w:color w:val="003CA0"/>
          <w:sz w:val="16"/>
        </w:rPr>
        <w:t>[HC 88.747 AgR, rel. min. Ayres Britto, j. 15-9-2009, 1ª T, DJE de 29-10-2009.]</w:t>
      </w:r>
    </w:p>
    <w:p>
      <w:pPr>
        <w:ind w:left="288"/>
      </w:pPr>
      <w:r>
        <w:rPr>
          <w:color w:val="8C8C8C"/>
          <w:sz w:val="12"/>
        </w:rPr>
        <w:t>cf-art-5-inc-L</w:t>
      </w:r>
      <w:r>
        <w:rPr>
          <w:color w:val="003CA0"/>
          <w:sz w:val="12"/>
        </w:rPr>
        <w:t xml:space="preserve"> | HC 98.668</w:t>
      </w:r>
      <w:r>
        <w:rPr>
          <w:color w:val="003CA0"/>
          <w:sz w:val="12"/>
        </w:rPr>
        <w:t xml:space="preserve"> | rel. Marco Aurélio</w:t>
      </w:r>
    </w:p>
    <w:p>
      <w:pPr>
        <w:ind w:left="288"/>
      </w:pPr>
      <w:r>
        <w:rPr>
          <w:color w:val="1E1E1E"/>
          <w:sz w:val="18"/>
        </w:rPr>
        <w:t>Verificada a duplicidade de causa de pedir e de pedido, considerado habeas julgado por Colegiado do Supremo, descabe novo pronunciamento, à míngua de aspecto jurídico novo.</w:t>
      </w:r>
    </w:p>
    <w:p>
      <w:pPr>
        <w:ind w:left="288"/>
      </w:pPr>
      <w:r>
        <w:rPr>
          <w:b/>
          <w:color w:val="003CA0"/>
          <w:sz w:val="16"/>
        </w:rPr>
        <w:t>[HC 98.668, rel. min. Marco Aurélio, j. 15-9-2009, 1ª T, DJE de 9-10-2009.]</w:t>
      </w:r>
    </w:p>
    <w:p>
      <w:pPr>
        <w:ind w:left="288"/>
      </w:pPr>
      <w:r>
        <w:rPr>
          <w:color w:val="8C8C8C"/>
          <w:sz w:val="12"/>
        </w:rPr>
        <w:t>cf-art-5-inc-L</w:t>
      </w:r>
      <w:r>
        <w:rPr>
          <w:color w:val="003CA0"/>
          <w:sz w:val="12"/>
        </w:rPr>
        <w:t xml:space="preserve"> | HC 99.369</w:t>
      </w:r>
      <w:r>
        <w:rPr>
          <w:color w:val="003CA0"/>
          <w:sz w:val="12"/>
        </w:rPr>
        <w:t xml:space="preserve"> | rel. Cezar Peluso</w:t>
      </w:r>
    </w:p>
    <w:p>
      <w:pPr>
        <w:ind w:left="288"/>
      </w:pPr>
      <w:r>
        <w:rPr>
          <w:color w:val="1E1E1E"/>
          <w:sz w:val="18"/>
        </w:rPr>
        <w:t>Habeas corpus não é remédio processual adequado para tutela do direito de visita de menor cuja guarda se disputa judicialmente.</w:t>
      </w:r>
    </w:p>
    <w:p>
      <w:pPr>
        <w:ind w:left="288"/>
      </w:pPr>
      <w:r>
        <w:rPr>
          <w:b/>
          <w:color w:val="003CA0"/>
          <w:sz w:val="16"/>
        </w:rPr>
        <w:t>[HC 99.369 AgR, rel. min. Cezar Peluso, j. 18-8-2009, 2ª T, DJE de 16-10-2009.]</w:t>
      </w:r>
    </w:p>
    <w:p>
      <w:pPr>
        <w:ind w:left="288"/>
      </w:pPr>
      <w:r>
        <w:rPr>
          <w:color w:val="8C8C8C"/>
          <w:sz w:val="12"/>
        </w:rPr>
        <w:t>cf-art-5-inc-L</w:t>
      </w:r>
      <w:r>
        <w:rPr>
          <w:color w:val="003CA0"/>
          <w:sz w:val="12"/>
        </w:rPr>
        <w:t xml:space="preserve"> | HC 99.945</w:t>
      </w:r>
      <w:r>
        <w:rPr>
          <w:color w:val="003CA0"/>
          <w:sz w:val="12"/>
        </w:rPr>
        <w:t xml:space="preserve"> | rel. Gilmar Mendes</w:t>
      </w:r>
    </w:p>
    <w:p>
      <w:pPr>
        <w:ind w:left="288"/>
      </w:pPr>
      <w:r>
        <w:rPr>
          <w:color w:val="1E1E1E"/>
          <w:sz w:val="18"/>
        </w:rPr>
        <w:t>Vide HC 99.945 AgR, rel. min. Gilmar Mendes, red. do ac. min. Gilmar Mendes, j. 7-2-2013, P, DJE de 21-2-2014 Se estiver presente ilegalidade, o habeas corpus é remédio próprio a atacar ato tanto comissivo quanto omissivo. (...) O órgão julgador, ao assentar a culpa do acusado, impondo-lhe pena, deve examinar, independentemente de provocação, a prescrição. O silêncio a revelar ato omissivo desafia não só embargos declaratórios como também habeas corpus.</w:t>
      </w:r>
    </w:p>
    <w:p>
      <w:pPr>
        <w:ind w:left="288"/>
      </w:pPr>
      <w:r>
        <w:rPr>
          <w:b/>
          <w:color w:val="003CA0"/>
          <w:sz w:val="16"/>
        </w:rPr>
        <w:t>[HC 95.563, rel. min. Marco Aurélio, j. 23-6-2009, 1ª T, DJE de 21-8-2009.]</w:t>
      </w:r>
    </w:p>
    <w:p>
      <w:pPr>
        <w:ind w:left="288"/>
      </w:pPr>
      <w:r>
        <w:rPr>
          <w:color w:val="8C8C8C"/>
          <w:sz w:val="12"/>
        </w:rPr>
        <w:t>cf-art-5-inc-L</w:t>
      </w:r>
      <w:r>
        <w:rPr>
          <w:color w:val="003CA0"/>
          <w:sz w:val="12"/>
        </w:rPr>
        <w:t xml:space="preserve"> | HC 96.220</w:t>
      </w:r>
      <w:r>
        <w:rPr>
          <w:color w:val="003CA0"/>
          <w:sz w:val="12"/>
        </w:rPr>
        <w:t xml:space="preserve"> | rel. Cármen Lúcia</w:t>
      </w:r>
    </w:p>
    <w:p>
      <w:pPr>
        <w:ind w:left="288"/>
      </w:pPr>
      <w:r>
        <w:rPr>
          <w:color w:val="1E1E1E"/>
          <w:sz w:val="18"/>
        </w:rPr>
        <w:t>A mera formulação de pedido de prisão preventiva por representante do Ministério Público não importa em ofensa à liberdade de locomoção física nos termos constitucionalmente garantidos, sendo firme a jurisprudência deste STF no sentido de que, não havendo risco efetivo de constrição à liberdade de locomoção física, não se revela pertinente o remédio do habeas corpus, cuja utilização supõe, necessariamente, a concreta configuração de ofensa – atual ou iminente – ao direito de ir, vir e permanecer das pessoas.</w:t>
      </w:r>
    </w:p>
    <w:p>
      <w:pPr>
        <w:ind w:left="288"/>
      </w:pPr>
      <w:r>
        <w:rPr>
          <w:b/>
          <w:color w:val="003CA0"/>
          <w:sz w:val="16"/>
        </w:rPr>
        <w:t>[HC 96.220, rel. min. Cármen Lúcia, j. 2-6-2009, 1ª T, DJE de 1º-7-2009.]</w:t>
      </w:r>
    </w:p>
    <w:p>
      <w:pPr>
        <w:ind w:left="288"/>
      </w:pPr>
      <w:r>
        <w:rPr>
          <w:color w:val="8C8C8C"/>
          <w:sz w:val="12"/>
        </w:rPr>
        <w:t>cf-art-5-inc-L</w:t>
      </w:r>
      <w:r>
        <w:rPr>
          <w:color w:val="003CA0"/>
          <w:sz w:val="12"/>
        </w:rPr>
        <w:t xml:space="preserve"> | HC 87.107</w:t>
      </w:r>
      <w:r>
        <w:rPr>
          <w:color w:val="003CA0"/>
          <w:sz w:val="12"/>
        </w:rPr>
        <w:t xml:space="preserve"> | rel. Cezar Peluso</w:t>
      </w:r>
    </w:p>
    <w:p>
      <w:pPr>
        <w:ind w:left="288"/>
      </w:pPr>
      <w:r>
        <w:rPr>
          <w:color w:val="1E1E1E"/>
          <w:sz w:val="18"/>
        </w:rPr>
        <w:t>Impetração contra denegação de outro habeas corpus. (...) Não se conhece de habeas corpus cujas questões não foram apreciadas pela decisão denegatória doutro habeas corpus, contra a qual é impetrado.</w:t>
      </w:r>
    </w:p>
    <w:p>
      <w:pPr>
        <w:ind w:left="288"/>
      </w:pPr>
      <w:r>
        <w:rPr>
          <w:b/>
          <w:color w:val="003CA0"/>
          <w:sz w:val="16"/>
        </w:rPr>
        <w:t>[HC 87.107, rel. min. Cezar Peluso, j. 2-6-2009, 2ª T, DJE de 26-6-2009.]</w:t>
      </w:r>
    </w:p>
    <w:p>
      <w:pPr>
        <w:ind w:left="288"/>
      </w:pPr>
      <w:r>
        <w:rPr>
          <w:color w:val="8C8C8C"/>
          <w:sz w:val="12"/>
        </w:rPr>
        <w:t>cf-art-5-inc-L</w:t>
      </w:r>
      <w:r>
        <w:rPr>
          <w:color w:val="003CA0"/>
          <w:sz w:val="12"/>
        </w:rPr>
        <w:t xml:space="preserve"> | HC 93.553</w:t>
      </w:r>
      <w:r>
        <w:rPr>
          <w:color w:val="003CA0"/>
          <w:sz w:val="12"/>
        </w:rPr>
        <w:t xml:space="preserve"> | rel. Marco Aurélio</w:t>
      </w:r>
    </w:p>
    <w:p>
      <w:pPr>
        <w:ind w:left="288"/>
      </w:pPr>
      <w:r>
        <w:rPr>
          <w:color w:val="1E1E1E"/>
          <w:sz w:val="18"/>
        </w:rPr>
        <w:t>Surge a adequação do habeas corpus com a articulação de prática de ato ilegal e a existência de órgão capaz de afastá-lo.</w:t>
      </w:r>
    </w:p>
    <w:p>
      <w:pPr>
        <w:ind w:left="288"/>
      </w:pPr>
      <w:r>
        <w:rPr>
          <w:b/>
          <w:color w:val="003CA0"/>
          <w:sz w:val="16"/>
        </w:rPr>
        <w:t>[HC 93.553, rel. min. Marco Aurélio, j. 7-5-2009, P, DJE de 4-9-2009.]</w:t>
      </w:r>
    </w:p>
    <w:p>
      <w:pPr>
        <w:ind w:left="288"/>
      </w:pPr>
      <w:r>
        <w:rPr>
          <w:color w:val="8C8C8C"/>
          <w:sz w:val="12"/>
        </w:rPr>
        <w:t>cf-art-5-inc-L</w:t>
      </w:r>
      <w:r>
        <w:rPr>
          <w:color w:val="003CA0"/>
          <w:sz w:val="12"/>
        </w:rPr>
        <w:t xml:space="preserve"> | RHC 94.444</w:t>
      </w:r>
      <w:r>
        <w:rPr>
          <w:color w:val="003CA0"/>
          <w:sz w:val="12"/>
        </w:rPr>
        <w:t xml:space="preserve"> | rel. Joaquim Barbosa</w:t>
      </w:r>
    </w:p>
    <w:p>
      <w:pPr>
        <w:ind w:left="288"/>
      </w:pPr>
      <w:r>
        <w:rPr>
          <w:color w:val="1E1E1E"/>
          <w:sz w:val="18"/>
        </w:rPr>
        <w:t>O prazo do livramento condicional do recorrente escoou, sem que houvesse a revogação do benefício. Com isso, operou-se o cumprimento da sua pena (ainda que a extinção da reprimenda ainda não tenha sido declarada), o que impede o conhecimento do recurso ordinário em habeas corpus, nos termos da Súmula 695/STF.</w:t>
      </w:r>
    </w:p>
    <w:p>
      <w:pPr>
        <w:ind w:left="288"/>
      </w:pPr>
      <w:r>
        <w:rPr>
          <w:b/>
          <w:color w:val="003CA0"/>
          <w:sz w:val="16"/>
        </w:rPr>
        <w:t>[RHC 94.444, rel. min. Joaquim Barbosa, j. 24-3-2009, 2ª T, DJE de 8-5-2009.]</w:t>
      </w:r>
    </w:p>
    <w:p>
      <w:pPr>
        <w:ind w:left="288"/>
      </w:pPr>
      <w:r>
        <w:rPr>
          <w:color w:val="8C8C8C"/>
          <w:sz w:val="12"/>
        </w:rPr>
        <w:t>cf-art-5-inc-L</w:t>
      </w:r>
      <w:r>
        <w:rPr>
          <w:color w:val="003CA0"/>
          <w:sz w:val="12"/>
        </w:rPr>
        <w:t xml:space="preserve"> | HC 95.270</w:t>
      </w:r>
      <w:r>
        <w:rPr>
          <w:color w:val="003CA0"/>
          <w:sz w:val="12"/>
        </w:rPr>
        <w:t xml:space="preserve"> | rel. Cármen Lúcia</w:t>
      </w:r>
    </w:p>
    <w:p>
      <w:pPr>
        <w:ind w:left="288"/>
      </w:pPr>
      <w:r>
        <w:rPr>
          <w:color w:val="1E1E1E"/>
          <w:sz w:val="18"/>
        </w:rPr>
        <w:t>Não se tranca ação penal, quando descritos, na denúncia, comportamentos típicos, ou seja, quando factíveis e manifestos os indícios de autoria e materialidade delitivas. (...) O exame da alegada inocência do paciente não se coaduna com a via processual eleita, sendo essa análise reservada aos processos de conhecimento, nos quais a dilação probatória tem espaço garantido.</w:t>
      </w:r>
    </w:p>
    <w:p>
      <w:pPr>
        <w:ind w:left="288"/>
      </w:pPr>
      <w:r>
        <w:rPr>
          <w:b/>
          <w:color w:val="003CA0"/>
          <w:sz w:val="16"/>
        </w:rPr>
        <w:t>[HC 95.270, rel. min. Cármen Lúcia, j. 24-3-2009, 1ª T, DJE de 24-4-2009.]</w:t>
      </w:r>
    </w:p>
    <w:p>
      <w:pPr>
        <w:ind w:left="288"/>
      </w:pPr>
      <w:r>
        <w:rPr>
          <w:color w:val="8C8C8C"/>
          <w:sz w:val="12"/>
        </w:rPr>
        <w:t>cf-art-5-inc-L</w:t>
      </w:r>
      <w:r>
        <w:rPr>
          <w:color w:val="003CA0"/>
          <w:sz w:val="12"/>
        </w:rPr>
        <w:t xml:space="preserve"> | HC 102.946</w:t>
      </w:r>
      <w:r>
        <w:rPr>
          <w:color w:val="003CA0"/>
          <w:sz w:val="12"/>
        </w:rPr>
        <w:t xml:space="preserve"> | rel. Gilmar Mendes</w:t>
      </w:r>
    </w:p>
    <w:p>
      <w:pPr>
        <w:ind w:left="288"/>
      </w:pPr>
      <w:r>
        <w:rPr>
          <w:color w:val="1E1E1E"/>
          <w:sz w:val="18"/>
        </w:rPr>
        <w:t>= HC 102.946, rel. min. Gilmar Mendes, j. 21-9-2010, 2ª T, DJE de 15-10-2010 Não cabe pedido de habeas corpus contra decisão que afasta das funções, em ação penal, magistrado que nela é acusado.</w:t>
      </w:r>
    </w:p>
    <w:p>
      <w:pPr>
        <w:ind w:left="288"/>
      </w:pPr>
      <w:r>
        <w:rPr>
          <w:b/>
          <w:color w:val="003CA0"/>
          <w:sz w:val="16"/>
        </w:rPr>
        <w:t>[HC 95.496, rel. min. Cezar Peluso, j. 10-3-2009, 2ª T, DJE de 17-4-2009.]</w:t>
      </w:r>
    </w:p>
    <w:p>
      <w:pPr>
        <w:ind w:left="288"/>
      </w:pPr>
      <w:r>
        <w:rPr>
          <w:color w:val="8C8C8C"/>
          <w:sz w:val="12"/>
        </w:rPr>
        <w:t>cf-art-5-inc-L</w:t>
      </w:r>
      <w:r>
        <w:rPr>
          <w:color w:val="003CA0"/>
          <w:sz w:val="12"/>
        </w:rPr>
        <w:t xml:space="preserve"> | HC 99.829</w:t>
      </w:r>
      <w:r>
        <w:rPr>
          <w:color w:val="003CA0"/>
          <w:sz w:val="12"/>
        </w:rPr>
        <w:t xml:space="preserve"> | rel. Gilmar Mendes</w:t>
      </w:r>
    </w:p>
    <w:p>
      <w:pPr>
        <w:ind w:left="288"/>
      </w:pPr>
      <w:r>
        <w:rPr>
          <w:color w:val="1E1E1E"/>
          <w:sz w:val="18"/>
        </w:rPr>
        <w:t>Vide HC 99.829, rel. min. Gilmar Mendes, j. 27-9-2011, 2ª T, DJE de 21-11-2011 O habeas corpus não é a via adequada para a análise da pena-base quando sua exasperação tiver apoio nas circunstâncias judiciais constantes do art. 59 do CP.</w:t>
      </w:r>
    </w:p>
    <w:p>
      <w:pPr>
        <w:ind w:left="288"/>
      </w:pPr>
      <w:r>
        <w:rPr>
          <w:b/>
          <w:color w:val="003CA0"/>
          <w:sz w:val="16"/>
        </w:rPr>
        <w:t>[HC 95.056, rel. min. Menezes Direito, j. 3-2-2009, 1ª T, DJE de 13-3-2009.]</w:t>
      </w:r>
    </w:p>
    <w:p>
      <w:pPr>
        <w:ind w:left="288"/>
      </w:pPr>
      <w:r>
        <w:rPr>
          <w:color w:val="8C8C8C"/>
          <w:sz w:val="12"/>
        </w:rPr>
        <w:t>cf-art-5-inc-L</w:t>
      </w:r>
      <w:r>
        <w:rPr>
          <w:color w:val="003CA0"/>
          <w:sz w:val="12"/>
        </w:rPr>
        <w:t xml:space="preserve"> | HC 97.776</w:t>
      </w:r>
      <w:r>
        <w:rPr>
          <w:color w:val="003CA0"/>
          <w:sz w:val="12"/>
        </w:rPr>
        <w:t xml:space="preserve"> | rel. Ellen Gracie</w:t>
      </w:r>
    </w:p>
    <w:p>
      <w:pPr>
        <w:ind w:left="288"/>
      </w:pPr>
      <w:r>
        <w:rPr>
          <w:color w:val="1E1E1E"/>
          <w:sz w:val="18"/>
        </w:rPr>
        <w:t>= HC 97.776, rel. min. Ellen Gracie, j. 2-6-2009, 2ª T, DJE de 19-6-2009 Vide RHC 88.288, rel. min. Eros Grau, j. 2-5-2006, 2ª T, DJ de 19-5-2006 É firme a jurisprudência deste STF no sentido de que a extinção da CPI prejudica o conhecimento do habeas corpus impetrado contra as eventuais ilegalidades de seu relatório final, notadamente por não mais existir legitimidade passiva do órgão impetrado.</w:t>
      </w:r>
    </w:p>
    <w:p>
      <w:pPr>
        <w:ind w:left="288"/>
      </w:pPr>
      <w:r>
        <w:rPr>
          <w:b/>
          <w:color w:val="003CA0"/>
          <w:sz w:val="16"/>
        </w:rPr>
        <w:t>[HC 95.277, rel. min. Cármen Lúcia, j. 19-12-2008, P, DJE de 20-2-2009.]</w:t>
      </w:r>
    </w:p>
    <w:p>
      <w:pPr>
        <w:ind w:left="288"/>
      </w:pPr>
      <w:r>
        <w:rPr>
          <w:color w:val="8C8C8C"/>
          <w:sz w:val="12"/>
        </w:rPr>
        <w:t>cf-art-5-inc-L</w:t>
      </w:r>
      <w:r>
        <w:rPr>
          <w:color w:val="003CA0"/>
          <w:sz w:val="12"/>
        </w:rPr>
        <w:t xml:space="preserve"> | HC 87.214</w:t>
      </w:r>
      <w:r>
        <w:rPr>
          <w:color w:val="003CA0"/>
          <w:sz w:val="12"/>
        </w:rPr>
        <w:t xml:space="preserve"> | rel. Marco Aurélio</w:t>
      </w:r>
    </w:p>
    <w:p>
      <w:pPr>
        <w:ind w:left="288"/>
      </w:pPr>
      <w:r>
        <w:rPr>
          <w:color w:val="1E1E1E"/>
          <w:sz w:val="18"/>
        </w:rPr>
        <w:t>= HC 87.214 AgR, rel. min. Marco Aurélio, j. 6-5-2010, P, DJE de 28-5-2010 Vide MS 25.459 AgR, rel. min. Cezar Peluso, j. 4-2-2010, P, DJE de 12-3-2010 Não pode a mesma autoridade desempenhar a função de juiz relator no julgamento da apelação criminal e do habeas corpus nos quais figurou, como apelante e paciente, respectivamente, a mesma parte, sob pena de nulidade.</w:t>
      </w:r>
    </w:p>
    <w:p>
      <w:pPr>
        <w:ind w:left="288"/>
      </w:pPr>
      <w:r>
        <w:rPr>
          <w:b/>
          <w:color w:val="003CA0"/>
          <w:sz w:val="16"/>
        </w:rPr>
        <w:t>[HC 96.774, rel. min. Cármen Lúcia, j. 16-12-2008, 1ª T, DJE de 17-4-2009.]</w:t>
      </w:r>
    </w:p>
    <w:p>
      <w:pPr>
        <w:ind w:left="288"/>
      </w:pPr>
      <w:r>
        <w:rPr>
          <w:color w:val="8C8C8C"/>
          <w:sz w:val="12"/>
        </w:rPr>
        <w:t>cf-art-5-inc-L</w:t>
      </w:r>
      <w:r>
        <w:rPr>
          <w:color w:val="003CA0"/>
          <w:sz w:val="12"/>
        </w:rPr>
        <w:t xml:space="preserve"> | RHC 95.183</w:t>
      </w:r>
      <w:r>
        <w:rPr>
          <w:color w:val="003CA0"/>
          <w:sz w:val="12"/>
        </w:rPr>
        <w:t xml:space="preserve"> | rel. Cármen Lúcia</w:t>
      </w:r>
    </w:p>
    <w:p>
      <w:pPr>
        <w:ind w:left="288"/>
      </w:pPr>
      <w:r>
        <w:rPr>
          <w:color w:val="1E1E1E"/>
          <w:sz w:val="18"/>
        </w:rPr>
        <w:t>Investigação de paternidade. Produção de prova em comarca diversa. Liberdade de locomoção. (...) Nos termos do art. 5º, LXVIII, da Constituição da República, conceder-se-á habeas corpus sempre que alguém sofrer ou se achar ameaçado de sofrer violência ou coação em sua liberdade de locomoção, por ilegalidade ou abuso de poder, sendo também assegurada a liberdade de não se locomover. A jurisprudência do STF repudia a determinação compulsória ou condução coercitiva ao fornecimento de material genético.</w:t>
      </w:r>
    </w:p>
    <w:p>
      <w:pPr>
        <w:ind w:left="288"/>
      </w:pPr>
      <w:r>
        <w:rPr>
          <w:b/>
          <w:color w:val="003CA0"/>
          <w:sz w:val="16"/>
        </w:rPr>
        <w:t>[RHC 95.183, rel. min. Cármen Lúcia, j. 9-12-2008, 1ª T, DJE de 17-10-2013.]</w:t>
      </w:r>
    </w:p>
    <w:p>
      <w:pPr>
        <w:ind w:left="288"/>
      </w:pPr>
      <w:r>
        <w:rPr>
          <w:color w:val="8C8C8C"/>
          <w:sz w:val="12"/>
        </w:rPr>
        <w:t>cf-art-5-inc-L</w:t>
      </w:r>
      <w:r>
        <w:rPr>
          <w:color w:val="003CA0"/>
          <w:sz w:val="12"/>
        </w:rPr>
        <w:t xml:space="preserve"> | HC 86.548</w:t>
      </w:r>
      <w:r>
        <w:rPr>
          <w:color w:val="003CA0"/>
          <w:sz w:val="12"/>
        </w:rPr>
        <w:t xml:space="preserve"> | rel. Cezar Peluso</w:t>
      </w:r>
    </w:p>
    <w:p>
      <w:pPr>
        <w:ind w:left="288"/>
      </w:pPr>
      <w:r>
        <w:rPr>
          <w:color w:val="1E1E1E"/>
          <w:sz w:val="18"/>
        </w:rPr>
        <w:t>Aplicação analógica da Súmula 606. Precedentes. (...) Não cabe pedido de habeas corpus originário para o Tribunal Pleno, contra ato de ministro ou outro órgão fracionário da Corte.</w:t>
      </w:r>
    </w:p>
    <w:p>
      <w:pPr>
        <w:ind w:left="288"/>
      </w:pPr>
      <w:r>
        <w:rPr>
          <w:b/>
          <w:color w:val="003CA0"/>
          <w:sz w:val="16"/>
        </w:rPr>
        <w:t>[HC 86.548, rel. min. Cezar Peluso, j. 16-10-2008, P, DJE de 19-12-2008.]</w:t>
      </w:r>
    </w:p>
    <w:p>
      <w:pPr>
        <w:ind w:left="288"/>
      </w:pPr>
      <w:r>
        <w:rPr>
          <w:color w:val="8C8C8C"/>
          <w:sz w:val="12"/>
        </w:rPr>
        <w:t>cf-art-5-inc-L</w:t>
      </w:r>
      <w:r>
        <w:rPr>
          <w:color w:val="003CA0"/>
          <w:sz w:val="12"/>
        </w:rPr>
        <w:t xml:space="preserve"> | HC 84.444</w:t>
      </w:r>
      <w:r>
        <w:rPr>
          <w:color w:val="003CA0"/>
          <w:sz w:val="12"/>
        </w:rPr>
        <w:t xml:space="preserve"> | rel. Celso de Mello</w:t>
      </w:r>
    </w:p>
    <w:p>
      <w:pPr>
        <w:ind w:left="288"/>
      </w:pPr>
      <w:r>
        <w:rPr>
          <w:color w:val="1E1E1E"/>
          <w:sz w:val="18"/>
        </w:rPr>
        <w:t>Vide HC 84.444 AgR, rel. min. Celso de Mello, j. 9-8-2007, P, DJ de 14-9-2007 Vide HC 80.082 QO, rel. min. Sepúlveda Pertence, j. 16-8-2001, P, DJ de 1º-8-2003 Basta haver, na via direta ou indireta, o envolvimento da liberdade de ir e vir e a assertiva sobre a prática de um ato ilícito à margem da ordem jurídica para concluir-se pela adequação. Portanto, se, no curso de uma ação penal, surge questionamento sobre suspeição ou impedimento do relator, esse questionamento pode desafiar o habeas corpus.</w:t>
      </w:r>
    </w:p>
    <w:p>
      <w:pPr>
        <w:ind w:left="288"/>
      </w:pPr>
      <w:r>
        <w:rPr>
          <w:b/>
          <w:color w:val="003CA0"/>
          <w:sz w:val="16"/>
        </w:rPr>
        <w:t>[HC 92.893, rel. min. Ricardo Lewandowski, voto do min. Marco Aurélio, j. 2-10-2008, P, DJE de 12-12-2008.]</w:t>
      </w:r>
    </w:p>
    <w:p>
      <w:pPr>
        <w:ind w:left="288"/>
      </w:pPr>
      <w:r>
        <w:rPr>
          <w:color w:val="8C8C8C"/>
          <w:sz w:val="12"/>
        </w:rPr>
        <w:t>cf-art-5-inc-L</w:t>
      </w:r>
      <w:r>
        <w:rPr>
          <w:color w:val="003CA0"/>
          <w:sz w:val="12"/>
        </w:rPr>
        <w:t xml:space="preserve"> | HC 94.016</w:t>
      </w:r>
      <w:r>
        <w:rPr>
          <w:color w:val="003CA0"/>
          <w:sz w:val="12"/>
        </w:rPr>
        <w:t xml:space="preserve"> | rel. Celso de Mello</w:t>
      </w:r>
    </w:p>
    <w:p>
      <w:pPr>
        <w:ind w:left="288"/>
      </w:pPr>
      <w:r>
        <w:rPr>
          <w:color w:val="1E1E1E"/>
          <w:sz w:val="18"/>
        </w:rPr>
        <w:t>O súdito estrangeiro, mesmo o não domiciliado no Brasil, tem plena legitimidade para impetrar o remédio constitucional do habeas corpus, em ordem a tornar efetivo, nas hipóteses de persecução penal, o direito subjetivo, de que também é titular, à observância e ao integral respeito, por parte do Estado, das prerrogativas que compõem e dão significado à cláusula do devido processo legal. A condição jurídica de não nacional do Brasil e a circunstância de o réu estrangeiro não possuir domicílio em nosso país não legitimam a adoção, contra tal acusado, de qualquer tratamento arbitrário ou discrimin</w:t>
      </w:r>
    </w:p>
    <w:p>
      <w:pPr>
        <w:ind w:left="288"/>
      </w:pPr>
      <w:r>
        <w:rPr>
          <w:b/>
          <w:color w:val="003CA0"/>
          <w:sz w:val="16"/>
        </w:rPr>
        <w:t>[HC 94.016, rel. min. Celso de Mello, j. 16-9-2008, 2ª T, DJE de 27-2-2009.]</w:t>
      </w:r>
    </w:p>
    <w:p>
      <w:pPr>
        <w:ind w:left="288"/>
      </w:pPr>
      <w:r>
        <w:rPr>
          <w:color w:val="8C8C8C"/>
          <w:sz w:val="12"/>
        </w:rPr>
        <w:t>cf-art-5-inc-L</w:t>
      </w:r>
      <w:r>
        <w:rPr>
          <w:color w:val="003CA0"/>
          <w:sz w:val="12"/>
        </w:rPr>
        <w:t xml:space="preserve"> | HC 102.041</w:t>
      </w:r>
      <w:r>
        <w:rPr>
          <w:color w:val="003CA0"/>
          <w:sz w:val="12"/>
        </w:rPr>
        <w:t xml:space="preserve"> | rel. Celso de Mello</w:t>
      </w:r>
    </w:p>
    <w:p>
      <w:pPr>
        <w:ind w:left="288"/>
      </w:pPr>
      <w:r>
        <w:rPr>
          <w:color w:val="1E1E1E"/>
          <w:sz w:val="18"/>
        </w:rPr>
        <w:t>Vide HC 102.041 ED, rel. min. Celso de Mello, j. 15-2-2011, 2ª T, DJE de 8-3-2013 A decisão singular do ministro relator no STJ, ao apreciar o mérito da impetração, negou seguimento ao habeas corpus ali ajuizado. O que viola o princípio da colegialidade, nos termos da Lei 8.038/1990 e do RISTJ (art. 202). Precedentes específicos: HC 90.367, da relatoria do min. Ricardo Lewandowski (Primeira Turma); e HC 90.427, da relatoria do min. Joaquim Barbosa (Segunda Turma).</w:t>
      </w:r>
    </w:p>
    <w:p>
      <w:pPr>
        <w:ind w:left="288"/>
      </w:pPr>
      <w:r>
        <w:rPr>
          <w:b/>
          <w:color w:val="003CA0"/>
          <w:sz w:val="16"/>
        </w:rPr>
        <w:t>[HC 93.401, rel. min. Ayres Britto, j. 16-9-2008, 1ª T, DJE de 31-10-2008.]</w:t>
      </w:r>
    </w:p>
    <w:p>
      <w:pPr>
        <w:ind w:left="288"/>
      </w:pPr>
      <w:r>
        <w:rPr>
          <w:color w:val="8C8C8C"/>
          <w:sz w:val="12"/>
        </w:rPr>
        <w:t>cf-art-5-inc-L</w:t>
      </w:r>
      <w:r>
        <w:rPr>
          <w:color w:val="003CA0"/>
          <w:sz w:val="12"/>
        </w:rPr>
        <w:t xml:space="preserve"> | HC 94.830</w:t>
      </w:r>
      <w:r>
        <w:rPr>
          <w:color w:val="003CA0"/>
          <w:sz w:val="12"/>
        </w:rPr>
        <w:t xml:space="preserve"> | rel. Joaquim Barbosa</w:t>
      </w:r>
    </w:p>
    <w:p>
      <w:pPr>
        <w:ind w:left="288"/>
      </w:pPr>
      <w:r>
        <w:rPr>
          <w:color w:val="1E1E1E"/>
          <w:sz w:val="18"/>
        </w:rPr>
        <w:t>= HC 94.830, rel. min. Joaquim Barbosa, j. 18-11-2008, 2ª T, DJE de 5-12-2008 ≠ HC 102.783, rel. min. Cármen Lúcia, j. 4-5-2010, 1ª T, DJE de 28-5-2010 Vide HC 91.716, rel. min. Joaquim Barbosa, j. 31-8-2010, 2ª T, DJE de 1º-10-2010 O STF não tem competência para conhecer e julgar pedido de habeas corpus cuja causa de pedir ainda não foi submetida ao crivo das Cortes ordinárias e do STJ, sob pena de supressão de instância.</w:t>
      </w:r>
    </w:p>
    <w:p>
      <w:pPr>
        <w:ind w:left="288"/>
      </w:pPr>
      <w:r>
        <w:rPr>
          <w:b/>
          <w:color w:val="003CA0"/>
          <w:sz w:val="16"/>
        </w:rPr>
        <w:t>[HC 94.619, rel. min. Ellen Gracie, j. 2-9-2008, 2ª T, DJE de 26-9-2008.]</w:t>
      </w:r>
    </w:p>
    <w:p>
      <w:pPr>
        <w:ind w:left="288"/>
      </w:pPr>
      <w:r>
        <w:rPr>
          <w:color w:val="8C8C8C"/>
          <w:sz w:val="12"/>
        </w:rPr>
        <w:t>cf-art-5-inc-L</w:t>
      </w:r>
      <w:r>
        <w:rPr>
          <w:color w:val="003CA0"/>
          <w:sz w:val="12"/>
        </w:rPr>
        <w:t xml:space="preserve"> | HC 101.377</w:t>
      </w:r>
      <w:r>
        <w:rPr>
          <w:color w:val="003CA0"/>
          <w:sz w:val="12"/>
        </w:rPr>
        <w:t xml:space="preserve"> | rel. Joaquim Barbosa</w:t>
      </w:r>
    </w:p>
    <w:p>
      <w:pPr>
        <w:ind w:left="288"/>
      </w:pPr>
      <w:r>
        <w:rPr>
          <w:color w:val="1E1E1E"/>
          <w:sz w:val="18"/>
        </w:rPr>
        <w:t>= HC 101.377, rel. min. Joaquim Barbosa, j. 20-4-2010, 2ª T, DJE de 27-8-2010 Vide HC 101.884, rel. min. Joaquim Barbosa, j. 14-9-2010, 2ª T, DJE de 1º-10-2010 Revolvimento da prova versus enquadramento jurídico dos fatos incontroversos. Sem fato não há julgamento. Descabe, de qualquer modo, confundir, considerado o habeas corpus, o revolvimento da prova com o enquadramento jurídico do que assentado na decisão condenatória.</w:t>
      </w:r>
    </w:p>
    <w:p>
      <w:pPr>
        <w:ind w:left="288"/>
      </w:pPr>
      <w:r>
        <w:rPr>
          <w:b/>
          <w:color w:val="003CA0"/>
          <w:sz w:val="16"/>
        </w:rPr>
        <w:t>[RHC 92.430, rel. min. Marco Aurélio, j. 26-8-2008, 1ª T, DJE de 21-11-2008.]</w:t>
      </w:r>
    </w:p>
    <w:p>
      <w:pPr>
        <w:ind w:left="288"/>
      </w:pPr>
      <w:r>
        <w:rPr>
          <w:color w:val="8C8C8C"/>
          <w:sz w:val="12"/>
        </w:rPr>
        <w:t>cf-art-5-inc-L</w:t>
      </w:r>
      <w:r>
        <w:rPr>
          <w:color w:val="003CA0"/>
          <w:sz w:val="12"/>
        </w:rPr>
        <w:t xml:space="preserve"> | HC 98.197</w:t>
      </w:r>
      <w:r>
        <w:rPr>
          <w:color w:val="003CA0"/>
          <w:sz w:val="12"/>
        </w:rPr>
        <w:t xml:space="preserve"> | rel. Eros Grau</w:t>
      </w:r>
    </w:p>
    <w:p>
      <w:pPr>
        <w:ind w:left="288"/>
      </w:pPr>
      <w:r>
        <w:rPr>
          <w:color w:val="1E1E1E"/>
          <w:sz w:val="18"/>
        </w:rPr>
        <w:t>=  HC 98.197, rel. min. Eros Grau, j. 12-5-2009, 2ª T, DJE de 1º-7-2009 A jurisprudência desta Suprema Corte consolidou-se no sentido de que "a coisa julgada estabelecida no processo condenatório não é empecilho, por si só, à concessão de habeas corpus por órgão jurisdicional de gradação superior, de modo a desconstituir a decisão coberta pela preclusão máxima" (RHC 82.045/SP, Primeira Turma, rel. min. Sepúlveda Pertence, DJ de 25-10-2002).</w:t>
      </w:r>
    </w:p>
    <w:p>
      <w:pPr>
        <w:ind w:left="288"/>
      </w:pPr>
      <w:r>
        <w:rPr>
          <w:b/>
          <w:color w:val="003CA0"/>
          <w:sz w:val="16"/>
        </w:rPr>
        <w:t>[HC 94.903, rel. min. Menezes Direito, j. 26-8-2008, 1ª T, DJE de 10-10-2008.]</w:t>
      </w:r>
    </w:p>
    <w:p>
      <w:pPr>
        <w:ind w:left="288"/>
      </w:pPr>
      <w:r>
        <w:rPr>
          <w:color w:val="8C8C8C"/>
          <w:sz w:val="12"/>
        </w:rPr>
        <w:t>cf-art-5-inc-L</w:t>
      </w:r>
      <w:r>
        <w:rPr>
          <w:color w:val="003CA0"/>
          <w:sz w:val="12"/>
        </w:rPr>
        <w:t xml:space="preserve"> | HC 95.570</w:t>
      </w:r>
      <w:r>
        <w:rPr>
          <w:color w:val="003CA0"/>
          <w:sz w:val="12"/>
        </w:rPr>
        <w:t xml:space="preserve"> | rel. Dias Toffoli</w:t>
      </w:r>
    </w:p>
    <w:p>
      <w:pPr>
        <w:ind w:left="288"/>
      </w:pPr>
      <w:r>
        <w:rPr>
          <w:color w:val="1E1E1E"/>
          <w:sz w:val="18"/>
        </w:rPr>
        <w:t>= HC 95.570, rel. min. Dias Toffoli, j. 1º-6-2010, 1ª T, DJE de 27-8-2010 Descabe, no julgamento de habeas corpus, formalizar decisão que venha a agravar a situação do paciente tal como retratada no ato que a impetração visa fulminar.</w:t>
      </w:r>
    </w:p>
    <w:p>
      <w:pPr>
        <w:ind w:left="288"/>
      </w:pPr>
      <w:r>
        <w:rPr>
          <w:b/>
          <w:color w:val="003CA0"/>
          <w:sz w:val="16"/>
        </w:rPr>
        <w:t>[RHC 90.509, rel. min. Marco Aurélio, j. 19-8-2008, 1ª T, DJE de 20-2-2009.]</w:t>
      </w:r>
    </w:p>
    <w:p>
      <w:pPr>
        <w:ind w:left="288"/>
      </w:pPr>
      <w:r>
        <w:rPr>
          <w:color w:val="8C8C8C"/>
          <w:sz w:val="12"/>
        </w:rPr>
        <w:t>cf-art-5-inc-L</w:t>
      </w:r>
      <w:r>
        <w:rPr>
          <w:color w:val="003CA0"/>
          <w:sz w:val="12"/>
        </w:rPr>
        <w:t xml:space="preserve"> | HC 91.570</w:t>
      </w:r>
      <w:r>
        <w:rPr>
          <w:color w:val="003CA0"/>
          <w:sz w:val="12"/>
        </w:rPr>
        <w:t xml:space="preserve"> | rel. Marco Aurélio</w:t>
      </w:r>
    </w:p>
    <w:p>
      <w:pPr>
        <w:ind w:left="288"/>
      </w:pPr>
      <w:r>
        <w:rPr>
          <w:color w:val="1E1E1E"/>
          <w:sz w:val="18"/>
        </w:rPr>
        <w:t>O habeas corpus não sofre qualquer peia, sendo-lhe estranhos os institutos da prescrição, da decadência e da preclusão ante o fator tempo.</w:t>
      </w:r>
    </w:p>
    <w:p>
      <w:pPr>
        <w:ind w:left="288"/>
      </w:pPr>
      <w:r>
        <w:rPr>
          <w:b/>
          <w:color w:val="003CA0"/>
          <w:sz w:val="16"/>
        </w:rPr>
        <w:t>[HC 91.570, rel. min. Marco Aurélio, j. 19-8-2008, 1ª T, DJE de 24-10-2008.]</w:t>
      </w:r>
    </w:p>
    <w:p>
      <w:pPr>
        <w:ind w:left="288"/>
      </w:pPr>
      <w:r>
        <w:rPr>
          <w:color w:val="8C8C8C"/>
          <w:sz w:val="12"/>
        </w:rPr>
        <w:t>cf-art-5-inc-L</w:t>
      </w:r>
      <w:r>
        <w:rPr>
          <w:color w:val="003CA0"/>
          <w:sz w:val="12"/>
        </w:rPr>
        <w:t xml:space="preserve"> | HC 94.154</w:t>
      </w:r>
      <w:r>
        <w:rPr>
          <w:color w:val="003CA0"/>
          <w:sz w:val="12"/>
        </w:rPr>
        <w:t xml:space="preserve"> | rel. Joaquim Barbosa</w:t>
      </w:r>
    </w:p>
    <w:p>
      <w:pPr>
        <w:ind w:left="288"/>
      </w:pPr>
      <w:r>
        <w:rPr>
          <w:color w:val="1E1E1E"/>
          <w:sz w:val="18"/>
        </w:rPr>
        <w:t>O real objetivo do impetrante é afastar a inabilitação do paciente para o exercício de funções públicas, que o impediria de participar do próximo pleito eleitoral. Ausente ameaça ao direito de ir e vir. O habeas corpus não pode se transformar em panaceia para quaisquer objetividades jurídicas, devendo restringir-se à garantia do direito de locomoção, que não está em jogo, na hipótese. A irresignação do paciente somente poderia ser objeto, se observados todos os seus pressupostos, de revisão criminal.</w:t>
      </w:r>
    </w:p>
    <w:p>
      <w:pPr>
        <w:ind w:left="288"/>
      </w:pPr>
      <w:r>
        <w:rPr>
          <w:b/>
          <w:color w:val="003CA0"/>
          <w:sz w:val="16"/>
        </w:rPr>
        <w:t>[HC 94.154, rel. min. Joaquim Barbosa, j. 24-6-2008, 1ª T, DJE de 19-9-2008.]</w:t>
      </w:r>
    </w:p>
    <w:p>
      <w:pPr>
        <w:ind w:left="288"/>
      </w:pPr>
      <w:r>
        <w:rPr>
          <w:color w:val="8C8C8C"/>
          <w:sz w:val="12"/>
        </w:rPr>
        <w:t>cf-art-5-inc-L</w:t>
      </w:r>
      <w:r>
        <w:rPr>
          <w:color w:val="003CA0"/>
          <w:sz w:val="12"/>
        </w:rPr>
        <w:t xml:space="preserve"> | HC 94.000</w:t>
      </w:r>
      <w:r>
        <w:rPr>
          <w:color w:val="003CA0"/>
          <w:sz w:val="12"/>
        </w:rPr>
        <w:t xml:space="preserve"> | rel. Ayres Britto</w:t>
      </w:r>
    </w:p>
    <w:p>
      <w:pPr>
        <w:ind w:left="288"/>
      </w:pPr>
      <w:r>
        <w:rPr>
          <w:color w:val="1E1E1E"/>
          <w:sz w:val="18"/>
        </w:rPr>
        <w:t>É pacífica a jurisprudência deste STF no sentido da inadmissibilidade de impetração sucessiva de habeas corpus, sem o julgamento definitivo do writ anteriormente impetrado. Tal jurisprudência comporta relativização, quando de logo avulta que o cerceio à liberdade de locomoção dos pacientes decorre de ilegalidade ou de abuso de poder (inciso LXVIII do art. 5º da CF/1988).</w:t>
      </w:r>
    </w:p>
    <w:p>
      <w:pPr>
        <w:ind w:left="288"/>
      </w:pPr>
      <w:r>
        <w:rPr>
          <w:b/>
          <w:color w:val="003CA0"/>
          <w:sz w:val="16"/>
        </w:rPr>
        <w:t>[HC 94.000, rel. min. Ayres Britto, j. 17-6-2008, 1ª T, DJE de 13-3-2009.]</w:t>
      </w:r>
    </w:p>
    <w:p>
      <w:pPr>
        <w:ind w:left="288"/>
      </w:pPr>
      <w:r>
        <w:rPr>
          <w:color w:val="8C8C8C"/>
          <w:sz w:val="12"/>
        </w:rPr>
        <w:t>cf-art-5-inc-L</w:t>
      </w:r>
      <w:r>
        <w:rPr>
          <w:color w:val="003CA0"/>
          <w:sz w:val="12"/>
        </w:rPr>
        <w:t xml:space="preserve"> | HC 94.224</w:t>
      </w:r>
      <w:r>
        <w:rPr>
          <w:color w:val="003CA0"/>
          <w:sz w:val="12"/>
        </w:rPr>
        <w:t xml:space="preserve"> | rel. Menezes Direito</w:t>
      </w:r>
    </w:p>
    <w:p>
      <w:pPr>
        <w:ind w:left="288"/>
      </w:pPr>
      <w:r>
        <w:rPr>
          <w:color w:val="1E1E1E"/>
          <w:sz w:val="18"/>
        </w:rPr>
        <w:t>É inviável o habeas corpus, pois a impetração, tal como posta nos autos, tem a finalidade exclusiva de alterar o local no qual deverá ser processado e julgado o paciente, o que demonstra, em última análise, que os impetrantes não buscam afastar ou evitar qualquer ameaça ao direito de locomoção do paciente mas, tão somente, alterar o órgão jurisdicional para o seu processamento e julgamento.</w:t>
      </w:r>
    </w:p>
    <w:p>
      <w:pPr>
        <w:ind w:left="288"/>
      </w:pPr>
      <w:r>
        <w:rPr>
          <w:b/>
          <w:color w:val="003CA0"/>
          <w:sz w:val="16"/>
        </w:rPr>
        <w:t>[HC 94.224 AgR, rel. min. Menezes Direito, j. 12-6-2008, P, DJE de 12-9-2008.]</w:t>
      </w:r>
    </w:p>
    <w:p>
      <w:pPr>
        <w:ind w:left="288"/>
      </w:pPr>
      <w:r>
        <w:rPr>
          <w:color w:val="8C8C8C"/>
          <w:sz w:val="12"/>
        </w:rPr>
        <w:t>cf-art-5-inc-L</w:t>
      </w:r>
      <w:r>
        <w:rPr>
          <w:color w:val="003CA0"/>
          <w:sz w:val="12"/>
        </w:rPr>
        <w:t xml:space="preserve"> | HC 93.345</w:t>
      </w:r>
      <w:r>
        <w:rPr>
          <w:color w:val="003CA0"/>
          <w:sz w:val="12"/>
        </w:rPr>
        <w:t xml:space="preserve"> | rel. Menezes Direito</w:t>
      </w:r>
    </w:p>
    <w:p>
      <w:pPr>
        <w:ind w:left="288"/>
      </w:pPr>
      <w:r>
        <w:rPr>
          <w:color w:val="1E1E1E"/>
          <w:sz w:val="18"/>
        </w:rPr>
        <w:t>Não é causa de prejudicialidade do habeas corpus a superveniência de sentença condenatória que mantém a prisão cautelar dos pacientes, com base nos fundamentos expostos no decreto preventivo.</w:t>
      </w:r>
    </w:p>
    <w:p>
      <w:pPr>
        <w:ind w:left="288"/>
      </w:pPr>
      <w:r>
        <w:rPr>
          <w:b/>
          <w:color w:val="003CA0"/>
          <w:sz w:val="16"/>
        </w:rPr>
        <w:t>[HC 93.345, rel. min. Menezes Direito, j. 3-6-2008, 1ª T, DJE de 1º-8-2008.]</w:t>
      </w:r>
    </w:p>
    <w:p>
      <w:pPr>
        <w:ind w:left="288"/>
      </w:pPr>
      <w:r>
        <w:rPr>
          <w:color w:val="8C8C8C"/>
          <w:sz w:val="12"/>
        </w:rPr>
        <w:t>cf-art-5-inc-L</w:t>
      </w:r>
      <w:r>
        <w:rPr>
          <w:color w:val="003CA0"/>
          <w:sz w:val="12"/>
        </w:rPr>
        <w:t xml:space="preserve"> | HC 104.459</w:t>
      </w:r>
      <w:r>
        <w:rPr>
          <w:color w:val="003CA0"/>
          <w:sz w:val="12"/>
        </w:rPr>
        <w:t xml:space="preserve"> | rel. Ricardo Lewandowski</w:t>
      </w:r>
    </w:p>
    <w:p>
      <w:pPr>
        <w:ind w:left="288"/>
      </w:pPr>
      <w:r>
        <w:rPr>
          <w:color w:val="1E1E1E"/>
          <w:sz w:val="18"/>
        </w:rPr>
        <w:t>= HC 104.459, rel. min. Ricardo Lewandowski, j. 14-9-2010, 1ª T, DJE de 3-11-2010 Vide HC 97.649 AgR, rel. min. Ellen Gracie, j. 15-9-2009, 2ª T, DJE de 9-10-2009 Não é possível a desistência do habeas corpus após o seu julgamento pelo Colegiado. Conhecimento como desistência de recursos.</w:t>
      </w:r>
    </w:p>
    <w:p>
      <w:pPr>
        <w:ind w:left="288"/>
      </w:pPr>
      <w:r>
        <w:rPr>
          <w:b/>
          <w:color w:val="003CA0"/>
          <w:sz w:val="16"/>
        </w:rPr>
        <w:t>[HC 92.170 segundo julgamento, red. do ac. min. Ricardo Lewandowski, j. 27-5-2008, 1ª T, DJE de 15-8-2008.]</w:t>
      </w:r>
    </w:p>
    <w:p>
      <w:pPr>
        <w:ind w:left="288"/>
      </w:pPr>
      <w:r>
        <w:rPr>
          <w:color w:val="8C8C8C"/>
          <w:sz w:val="12"/>
        </w:rPr>
        <w:t>cf-art-5-inc-L</w:t>
      </w:r>
      <w:r>
        <w:rPr>
          <w:color w:val="003CA0"/>
          <w:sz w:val="12"/>
        </w:rPr>
        <w:t xml:space="preserve"> | RHC 82.365</w:t>
      </w:r>
      <w:r>
        <w:rPr>
          <w:color w:val="003CA0"/>
          <w:sz w:val="12"/>
        </w:rPr>
        <w:t xml:space="preserve"> | rel. Cezar Peluso</w:t>
      </w:r>
    </w:p>
    <w:p>
      <w:pPr>
        <w:ind w:left="288"/>
      </w:pPr>
      <w:r>
        <w:rPr>
          <w:color w:val="1E1E1E"/>
          <w:sz w:val="18"/>
        </w:rPr>
        <w:t>A aceitação de proposta de suspensão condicional do processo não subtrai ao réu o interesse jurídico para ajuizar pedido de habeas corpus para trancamento da ação penal por falta de justa causa.</w:t>
      </w:r>
    </w:p>
    <w:p>
      <w:pPr>
        <w:ind w:left="288"/>
      </w:pPr>
      <w:r>
        <w:rPr>
          <w:b/>
          <w:color w:val="003CA0"/>
          <w:sz w:val="16"/>
        </w:rPr>
        <w:t>[RHC 82.365, rel. min. Cezar Peluso, j. 27-5-2008, 2ª T, DJE de 27-6-2008.]</w:t>
      </w:r>
    </w:p>
    <w:p>
      <w:pPr>
        <w:ind w:left="288"/>
      </w:pPr>
      <w:r>
        <w:rPr>
          <w:color w:val="8C8C8C"/>
          <w:sz w:val="12"/>
        </w:rPr>
        <w:t>cf-art-5-inc-L</w:t>
      </w:r>
      <w:r>
        <w:rPr>
          <w:color w:val="003CA0"/>
          <w:sz w:val="12"/>
        </w:rPr>
        <w:t xml:space="preserve"> | PET 3.898</w:t>
      </w:r>
      <w:r>
        <w:rPr>
          <w:color w:val="003CA0"/>
          <w:sz w:val="12"/>
        </w:rPr>
        <w:t xml:space="preserve"> | rel. Gilmar Mendes</w:t>
      </w:r>
    </w:p>
    <w:p>
      <w:pPr>
        <w:ind w:left="288"/>
      </w:pPr>
      <w:r>
        <w:rPr>
          <w:color w:val="1E1E1E"/>
          <w:sz w:val="18"/>
        </w:rPr>
        <w:t>Vide Pet 3.898, rel. min. Gilmar Mendes, j. 27-8-2009, P, DJE de 18-12-2009 O habeas corpus constitui remédio hábil para arguição e pronúncia de nulidade do processo, ainda que já tenha transitado em julgado a sentença penal condenatória.</w:t>
      </w:r>
    </w:p>
    <w:p>
      <w:pPr>
        <w:ind w:left="288"/>
      </w:pPr>
      <w:r>
        <w:rPr>
          <w:b/>
          <w:color w:val="003CA0"/>
          <w:sz w:val="16"/>
        </w:rPr>
        <w:t>[HC 93.942, rel. min. Cezar Peluso, j. 6-5-2008, 2ª T, DJE de 1º-8-2008.]</w:t>
      </w:r>
    </w:p>
    <w:p>
      <w:pPr>
        <w:ind w:left="288"/>
      </w:pPr>
      <w:r>
        <w:rPr>
          <w:color w:val="8C8C8C"/>
          <w:sz w:val="12"/>
        </w:rPr>
        <w:t>cf-art-5-inc-L</w:t>
      </w:r>
      <w:r>
        <w:rPr>
          <w:color w:val="003CA0"/>
          <w:sz w:val="12"/>
        </w:rPr>
        <w:t xml:space="preserve"> | HC 92.487</w:t>
      </w:r>
      <w:r>
        <w:rPr>
          <w:color w:val="003CA0"/>
          <w:sz w:val="12"/>
        </w:rPr>
        <w:t xml:space="preserve"> | rel. Marco Aurélio</w:t>
      </w:r>
    </w:p>
    <w:p>
      <w:pPr>
        <w:ind w:left="288"/>
      </w:pPr>
      <w:r>
        <w:rPr>
          <w:color w:val="1E1E1E"/>
          <w:sz w:val="18"/>
        </w:rPr>
        <w:t>Habeas corpus. Impetrações sucessivas. A sucessividade de impetrações, com processos em curso, não implica o prejuízo das formalizadas nos tribunais de origem, ainda que no Supremo haja sido deferida liminar, sempre de caráter precário e efêmero. Habeas corpus. Indeferimento de liminar em idêntica medida. Extinção de processo sem apreciação do mérito. Alcance. Estando o habeas por último impetrado voltado contra indeferimento de liminar em idêntica medida, sendo esta extinta sem julgamento de mérito, ocorre o prejuízo do pedido. Habeas corpus de ofício. Alcance. O instituto da concessão de hab</w:t>
      </w:r>
    </w:p>
    <w:p>
      <w:pPr>
        <w:ind w:left="288"/>
      </w:pPr>
      <w:r>
        <w:rPr>
          <w:b/>
          <w:color w:val="003CA0"/>
          <w:sz w:val="16"/>
        </w:rPr>
        <w:t>[HC 92.487, rel. min. Marco Aurélio, j. 25-3-2008, 1ª T, DJE 1º-8-2008.]</w:t>
      </w:r>
    </w:p>
    <w:p>
      <w:pPr>
        <w:ind w:left="288"/>
      </w:pPr>
      <w:r>
        <w:rPr>
          <w:color w:val="8C8C8C"/>
          <w:sz w:val="12"/>
        </w:rPr>
        <w:t>cf-art-5-inc-L</w:t>
      </w:r>
      <w:r>
        <w:rPr>
          <w:color w:val="003CA0"/>
          <w:sz w:val="12"/>
        </w:rPr>
        <w:t xml:space="preserve"> | HC 88.062</w:t>
      </w:r>
      <w:r>
        <w:rPr>
          <w:color w:val="003CA0"/>
          <w:sz w:val="12"/>
        </w:rPr>
        <w:t xml:space="preserve"> | rel. Marco Aurélio</w:t>
      </w:r>
    </w:p>
    <w:p>
      <w:pPr>
        <w:ind w:left="288"/>
      </w:pPr>
      <w:r>
        <w:rPr>
          <w:color w:val="1E1E1E"/>
          <w:sz w:val="18"/>
        </w:rPr>
        <w:t>Habeas corpus. Extensão. Fator temporal. O fato de a Turma haver apreciado o habeas corpus não implica óbice à extensão da ordem, a ser implementada mediante submissão da matéria ao Colegiado.</w:t>
      </w:r>
    </w:p>
    <w:p>
      <w:pPr>
        <w:ind w:left="288"/>
      </w:pPr>
      <w:r>
        <w:rPr>
          <w:b/>
          <w:color w:val="003CA0"/>
          <w:sz w:val="16"/>
        </w:rPr>
        <w:t>[HC 88.062, rel. min. Marco Aurélio, j. 18-3-2008, 1ª T, DJE de 9-5-2008.]</w:t>
      </w:r>
    </w:p>
    <w:p>
      <w:pPr>
        <w:ind w:left="288"/>
      </w:pPr>
      <w:r>
        <w:rPr>
          <w:color w:val="8C8C8C"/>
          <w:sz w:val="12"/>
        </w:rPr>
        <w:t>cf-art-5-inc-L</w:t>
      </w:r>
      <w:r>
        <w:rPr>
          <w:color w:val="003CA0"/>
          <w:sz w:val="12"/>
        </w:rPr>
        <w:t xml:space="preserve"> | HC 91.352</w:t>
      </w:r>
      <w:r>
        <w:rPr>
          <w:color w:val="003CA0"/>
          <w:sz w:val="12"/>
        </w:rPr>
        <w:t xml:space="preserve"> | rel. Menezes Direito</w:t>
      </w:r>
    </w:p>
    <w:p>
      <w:pPr>
        <w:ind w:left="288"/>
      </w:pPr>
      <w:r>
        <w:rPr>
          <w:color w:val="1E1E1E"/>
          <w:sz w:val="18"/>
        </w:rPr>
        <w:t>O habeas corpus não tem passagem quando impugna ato emanado por órgão fracionário deste Tribunal. Incidência da Súmula 606/STF.</w:t>
      </w:r>
    </w:p>
    <w:p>
      <w:pPr>
        <w:ind w:left="288"/>
      </w:pPr>
      <w:r>
        <w:rPr>
          <w:b/>
          <w:color w:val="003CA0"/>
          <w:sz w:val="16"/>
        </w:rPr>
        <w:t>[HC 91.352, rel. min. Menezes Direito, j. 28-2-2008, P, DJE de 18-4-2008.]</w:t>
      </w:r>
    </w:p>
    <w:p>
      <w:pPr>
        <w:ind w:left="288"/>
      </w:pPr>
      <w:r>
        <w:rPr>
          <w:color w:val="8C8C8C"/>
          <w:sz w:val="12"/>
        </w:rPr>
        <w:t>cf-art-5-inc-L</w:t>
      </w:r>
      <w:r>
        <w:rPr>
          <w:color w:val="003CA0"/>
          <w:sz w:val="12"/>
        </w:rPr>
        <w:t xml:space="preserve"> | HC 84.444</w:t>
      </w:r>
      <w:r>
        <w:rPr>
          <w:color w:val="003CA0"/>
          <w:sz w:val="12"/>
        </w:rPr>
        <w:t xml:space="preserve"> | rel. Celso de Mello</w:t>
      </w:r>
    </w:p>
    <w:p>
      <w:pPr>
        <w:ind w:left="288"/>
      </w:pPr>
      <w:r>
        <w:rPr>
          <w:color w:val="1E1E1E"/>
          <w:sz w:val="18"/>
        </w:rPr>
        <w:t>Vide HC 84.444 AgR, rel. min. Celso de Mello, j. 9-8-2007, P, DJ de 14-9-2007 Vide HC 80.082 QO, rel. min. Sepúlveda Pertence, j. 16-8-2001, P, DJ de 1º-8-2003 A decretação da perda do cargo público não se discute em habeas corpus por se tratar de via processual inadequada para discutir sua validade, dado que não representa ameaça à liberdade de locomoção.</w:t>
      </w:r>
    </w:p>
    <w:p>
      <w:pPr>
        <w:ind w:left="288"/>
      </w:pPr>
      <w:r>
        <w:rPr>
          <w:b/>
          <w:color w:val="003CA0"/>
          <w:sz w:val="16"/>
        </w:rPr>
        <w:t>[HC 91.760, rel. min. Cármen Lúcia, j. 30-10-2007, 1ª T, DJE de 29-2-2008.]</w:t>
      </w:r>
    </w:p>
    <w:p>
      <w:pPr>
        <w:ind w:left="288"/>
      </w:pPr>
      <w:r>
        <w:rPr>
          <w:color w:val="8C8C8C"/>
          <w:sz w:val="12"/>
        </w:rPr>
        <w:t>cf-art-5-inc-L</w:t>
      </w:r>
      <w:r>
        <w:rPr>
          <w:color w:val="003CA0"/>
          <w:sz w:val="12"/>
        </w:rPr>
        <w:t xml:space="preserve"> | HC 92.534</w:t>
      </w:r>
      <w:r>
        <w:rPr>
          <w:color w:val="003CA0"/>
          <w:sz w:val="12"/>
        </w:rPr>
        <w:t xml:space="preserve"> | rel. Ayres Britto</w:t>
      </w:r>
    </w:p>
    <w:p>
      <w:pPr>
        <w:ind w:left="288"/>
      </w:pPr>
      <w:r>
        <w:rPr>
          <w:color w:val="1E1E1E"/>
          <w:sz w:val="18"/>
        </w:rPr>
        <w:t>É certo que o enunciado da Súmula 691/STF comporta relativização. Mas somente quando, de logo, avulta que o cerceio à liberdade de locomoção do paciente decorre de ilegalidade ou abuso de poder (...).</w:t>
      </w:r>
    </w:p>
    <w:p>
      <w:pPr>
        <w:ind w:left="288"/>
      </w:pPr>
      <w:r>
        <w:rPr>
          <w:b/>
          <w:color w:val="003CA0"/>
          <w:sz w:val="16"/>
        </w:rPr>
        <w:t>[HC 92.534 AgR, rel. min. Ayres Britto, j. 23-10-2007, 1ª T, DJE de 29-8-2008.]</w:t>
      </w:r>
    </w:p>
    <w:p>
      <w:pPr>
        <w:ind w:left="288"/>
      </w:pPr>
      <w:r>
        <w:rPr>
          <w:color w:val="8C8C8C"/>
          <w:sz w:val="12"/>
        </w:rPr>
        <w:t>cf-art-5-inc-L</w:t>
      </w:r>
      <w:r>
        <w:rPr>
          <w:color w:val="003CA0"/>
          <w:sz w:val="12"/>
        </w:rPr>
        <w:t xml:space="preserve"> | HC 98.920</w:t>
      </w:r>
      <w:r>
        <w:rPr>
          <w:color w:val="003CA0"/>
          <w:sz w:val="12"/>
        </w:rPr>
        <w:t xml:space="preserve"> | rel. Luiz Fux</w:t>
      </w:r>
    </w:p>
    <w:p>
      <w:pPr>
        <w:ind w:left="288"/>
      </w:pPr>
      <w:r>
        <w:rPr>
          <w:color w:val="1E1E1E"/>
          <w:sz w:val="18"/>
        </w:rPr>
        <w:t>= HC 98.920 AgR, rel. min. Luiz Fux, j. 28-6-2011, 1ª T, DJE de 9-8-2011 O habeas corpus não se presta a discutir os requisitos subjetivos para a concessão de progressão de regime.</w:t>
      </w:r>
    </w:p>
    <w:p>
      <w:pPr>
        <w:ind w:left="288"/>
      </w:pPr>
      <w:r>
        <w:rPr>
          <w:b/>
          <w:color w:val="003CA0"/>
          <w:sz w:val="16"/>
        </w:rPr>
        <w:t>[HC 91.440, rel. min. Ricardo Lewandowski, j. 25-9-2007, 1ª T, DJ de 11-10-2007.]</w:t>
      </w:r>
    </w:p>
    <w:p>
      <w:pPr>
        <w:ind w:left="288"/>
      </w:pPr>
      <w:r>
        <w:rPr>
          <w:color w:val="8C8C8C"/>
          <w:sz w:val="12"/>
        </w:rPr>
        <w:t>cf-art-5-inc-L</w:t>
      </w:r>
      <w:r>
        <w:rPr>
          <w:color w:val="003CA0"/>
          <w:sz w:val="12"/>
        </w:rPr>
        <w:t xml:space="preserve"> | HC 95.746</w:t>
      </w:r>
      <w:r>
        <w:rPr>
          <w:color w:val="003CA0"/>
          <w:sz w:val="12"/>
        </w:rPr>
        <w:t xml:space="preserve"> | rel. Cármen Lúcia</w:t>
      </w:r>
    </w:p>
    <w:p>
      <w:pPr>
        <w:ind w:left="288"/>
      </w:pPr>
      <w:r>
        <w:rPr>
          <w:color w:val="1E1E1E"/>
          <w:sz w:val="18"/>
        </w:rPr>
        <w:t>= HC 95.746, rel. min. Cármen Lúcia, j. 30-9-2008, 1ª T, DJE de 1º-2-2011 O habeas corpus deve ser apresentado ao Colegiado após seu regular processamento, sendo indevida a decisão monocrática terminativa depois de apreciado o pedido liminar e oferecido o parecer do Ministério Público.</w:t>
      </w:r>
    </w:p>
    <w:p>
      <w:pPr>
        <w:ind w:left="288"/>
      </w:pPr>
      <w:r>
        <w:rPr>
          <w:b/>
          <w:color w:val="003CA0"/>
          <w:sz w:val="16"/>
        </w:rPr>
        <w:t>[HC 90.367, rel. min. Ricardo Lewandowski, j. 11-9-2007, 1ª T, DJ de 19-10-2007.]</w:t>
      </w:r>
    </w:p>
    <w:p>
      <w:pPr>
        <w:ind w:left="288"/>
      </w:pPr>
      <w:r>
        <w:rPr>
          <w:color w:val="8C8C8C"/>
          <w:sz w:val="12"/>
        </w:rPr>
        <w:t>cf-art-5-inc-L</w:t>
      </w:r>
      <w:r>
        <w:rPr>
          <w:color w:val="003CA0"/>
          <w:sz w:val="12"/>
        </w:rPr>
        <w:t xml:space="preserve"> | HC 90.138</w:t>
      </w:r>
      <w:r>
        <w:rPr>
          <w:color w:val="003CA0"/>
          <w:sz w:val="12"/>
        </w:rPr>
        <w:t xml:space="preserve"> | rel. Ricardo Lewandowski</w:t>
      </w:r>
    </w:p>
    <w:p>
      <w:pPr>
        <w:ind w:left="288"/>
      </w:pPr>
      <w:r>
        <w:rPr>
          <w:color w:val="1E1E1E"/>
          <w:sz w:val="18"/>
        </w:rPr>
        <w:t>A concessão de habeas corpus a determinados corréus, em situações processuais diversas, não implica violação ao princípio da isonomia.</w:t>
      </w:r>
    </w:p>
    <w:p>
      <w:pPr>
        <w:ind w:left="288"/>
      </w:pPr>
      <w:r>
        <w:rPr>
          <w:b/>
          <w:color w:val="003CA0"/>
          <w:sz w:val="16"/>
        </w:rPr>
        <w:t>[HC 90.138, rel. min. Ricardo Lewandowski, j. 11-9-2007, 1ª T, DJ de 28-9-2007.]</w:t>
      </w:r>
    </w:p>
    <w:p>
      <w:pPr>
        <w:ind w:left="288"/>
      </w:pPr>
      <w:r>
        <w:rPr>
          <w:color w:val="8C8C8C"/>
          <w:sz w:val="12"/>
        </w:rPr>
        <w:t>cf-art-5-inc-L</w:t>
      </w:r>
      <w:r>
        <w:rPr>
          <w:color w:val="003CA0"/>
          <w:sz w:val="12"/>
        </w:rPr>
        <w:t xml:space="preserve"> | HC 89.222</w:t>
      </w:r>
      <w:r>
        <w:rPr>
          <w:color w:val="003CA0"/>
          <w:sz w:val="12"/>
        </w:rPr>
        <w:t xml:space="preserve"> | rel. Marco Aurélio</w:t>
      </w:r>
    </w:p>
    <w:p>
      <w:pPr>
        <w:ind w:left="288"/>
      </w:pPr>
      <w:r>
        <w:rPr>
          <w:color w:val="1E1E1E"/>
          <w:sz w:val="18"/>
        </w:rPr>
        <w:t>A passagem do tempo não prejudica o habeas corpus quando voltado ao reconhecimento de nulidade absoluta e presente o direito de ir e vir.</w:t>
      </w:r>
    </w:p>
    <w:p>
      <w:pPr>
        <w:ind w:left="288"/>
      </w:pPr>
      <w:r>
        <w:rPr>
          <w:b/>
          <w:color w:val="003CA0"/>
          <w:sz w:val="16"/>
        </w:rPr>
        <w:t>[HC 89.222, rel. min. Marco Aurélio, j. 4-9-2007, 1ª T, DJE de 31-10-2008.]</w:t>
      </w:r>
    </w:p>
    <w:p>
      <w:pPr>
        <w:ind w:left="288"/>
      </w:pPr>
      <w:r>
        <w:rPr>
          <w:color w:val="8C8C8C"/>
          <w:sz w:val="12"/>
        </w:rPr>
        <w:t>cf-art-5-inc-L</w:t>
      </w:r>
      <w:r>
        <w:rPr>
          <w:color w:val="003CA0"/>
          <w:sz w:val="12"/>
        </w:rPr>
        <w:t xml:space="preserve"> | HC 91.233</w:t>
      </w:r>
      <w:r>
        <w:rPr>
          <w:color w:val="003CA0"/>
          <w:sz w:val="12"/>
        </w:rPr>
        <w:t xml:space="preserve"> | rel. Marco Aurélio</w:t>
      </w:r>
    </w:p>
    <w:p>
      <w:pPr>
        <w:ind w:left="288"/>
      </w:pPr>
      <w:r>
        <w:rPr>
          <w:color w:val="1E1E1E"/>
          <w:sz w:val="18"/>
        </w:rPr>
        <w:t>Habeas corpus. Instrumentalidade. Afastamento da ortodoxia. A envergadura maior do habeas, no que direcionado à preservação da liberdade de ir e vir, leva à flexibilização da forma.</w:t>
      </w:r>
    </w:p>
    <w:p>
      <w:pPr>
        <w:ind w:left="288"/>
      </w:pPr>
      <w:r>
        <w:rPr>
          <w:b/>
          <w:color w:val="003CA0"/>
          <w:sz w:val="16"/>
        </w:rPr>
        <w:t>[HC 91.233, rel. min. Marco Aurélio, j. 19-6-2007, 1ª T, DJ de 11-10-2007.]</w:t>
      </w:r>
    </w:p>
    <w:p>
      <w:pPr>
        <w:ind w:left="288"/>
      </w:pPr>
      <w:r>
        <w:rPr>
          <w:color w:val="8C8C8C"/>
          <w:sz w:val="12"/>
        </w:rPr>
        <w:t>cf-art-5-inc-L</w:t>
      </w:r>
      <w:r>
        <w:rPr>
          <w:color w:val="003CA0"/>
          <w:sz w:val="12"/>
        </w:rPr>
        <w:t xml:space="preserve"> | HC 91.200</w:t>
      </w:r>
      <w:r>
        <w:rPr>
          <w:color w:val="003CA0"/>
          <w:sz w:val="12"/>
        </w:rPr>
        <w:t xml:space="preserve"> | rel. Marco Aurélio</w:t>
      </w:r>
    </w:p>
    <w:p>
      <w:pPr>
        <w:ind w:left="288"/>
      </w:pPr>
      <w:r>
        <w:rPr>
          <w:color w:val="1E1E1E"/>
          <w:sz w:val="18"/>
        </w:rPr>
        <w:t>O habeas corpus, voltado à preservação da liberdade de ir e vir, deve merecer, sob todos os títulos, preferência no julgamento.</w:t>
      </w:r>
    </w:p>
    <w:p>
      <w:pPr>
        <w:ind w:left="288"/>
      </w:pPr>
      <w:r>
        <w:rPr>
          <w:b/>
          <w:color w:val="003CA0"/>
          <w:sz w:val="16"/>
        </w:rPr>
        <w:t>[HC 91.200, rel. min. Marco Aurélio, j. 19-6-2007, 1ª T, DJ de 11-10-2007.]</w:t>
      </w:r>
    </w:p>
    <w:p>
      <w:pPr>
        <w:ind w:left="288"/>
      </w:pPr>
      <w:r>
        <w:rPr>
          <w:color w:val="8C8C8C"/>
          <w:sz w:val="12"/>
        </w:rPr>
        <w:t>cf-art-5-inc-L</w:t>
      </w:r>
      <w:r>
        <w:rPr>
          <w:color w:val="003CA0"/>
          <w:sz w:val="12"/>
        </w:rPr>
        <w:t xml:space="preserve"> | HC 91.041</w:t>
      </w:r>
      <w:r>
        <w:rPr>
          <w:color w:val="003CA0"/>
          <w:sz w:val="12"/>
        </w:rPr>
        <w:t xml:space="preserve"> | rel. Cármen Lúcia</w:t>
      </w:r>
    </w:p>
    <w:p>
      <w:pPr>
        <w:ind w:left="288"/>
      </w:pPr>
      <w:r>
        <w:rPr>
          <w:color w:val="1E1E1E"/>
          <w:sz w:val="18"/>
        </w:rPr>
        <w:t>O direito a razoável duração do processo, do ângulo do indivíduo, transmuta-se em tradicional garantia de acesso eficaz ao Poder Judiciário. Direito, esse, a que corresponde o dever estatal de julgar. No habeas corpus, o dever de decidir se marca por um tônus de presteza máxima. Assiste ao STF determinar aos tribunais superiores o julgamento de mérito de habeas corpus, se entender irrazoável a demora no julgamento. Isso, é claro, sempre que o impetrante se desincumbir do seu dever processual de pré-constituir a prova de que se encontra padecente de "violência ou coação em sua liberdade de loco</w:t>
      </w:r>
    </w:p>
    <w:p>
      <w:pPr>
        <w:ind w:left="288"/>
      </w:pPr>
      <w:r>
        <w:rPr>
          <w:b/>
          <w:color w:val="003CA0"/>
          <w:sz w:val="16"/>
        </w:rPr>
        <w:t>[HC 91.041, rel. min. Cármen Lúcia, red. do ac. min. Ayres Britto, j. 5-6-2007, 1ª T, DJ de 17-8-2007.]</w:t>
      </w:r>
    </w:p>
    <w:p>
      <w:pPr>
        <w:ind w:left="288"/>
      </w:pPr>
      <w:r>
        <w:rPr>
          <w:color w:val="8C8C8C"/>
          <w:sz w:val="12"/>
        </w:rPr>
        <w:t>cf-art-5-inc-L</w:t>
      </w:r>
      <w:r>
        <w:rPr>
          <w:color w:val="003CA0"/>
          <w:sz w:val="12"/>
        </w:rPr>
        <w:t xml:space="preserve"> | HC 103.108</w:t>
      </w:r>
      <w:r>
        <w:rPr>
          <w:color w:val="003CA0"/>
          <w:sz w:val="12"/>
        </w:rPr>
        <w:t xml:space="preserve"> | rel. Dias Toffoli</w:t>
      </w:r>
    </w:p>
    <w:p>
      <w:pPr>
        <w:ind w:left="288"/>
      </w:pPr>
      <w:r>
        <w:rPr>
          <w:color w:val="1E1E1E"/>
          <w:sz w:val="18"/>
        </w:rPr>
        <w:t>= HC 103.108, rel. min. Dias Toffoli, j. 29-6-2010, 1ª T, DJE de 27-8-2010 A via do habeas corpus não é a adequada para o fim pretendido pela impetrante -- pedido de reabilitação do paciente. Extinta a punibilidade ou encerrada a sua execução, não há se falar em constrangimento à liberdade de locomoção do paciente a ser protegido via habeas corpus.</w:t>
      </w:r>
    </w:p>
    <w:p>
      <w:pPr>
        <w:ind w:left="288"/>
      </w:pPr>
      <w:r>
        <w:rPr>
          <w:b/>
          <w:color w:val="003CA0"/>
          <w:sz w:val="16"/>
        </w:rPr>
        <w:t>[HC 90.554, rel. min. Cármen Lúcia, j. 6-3-2007, 1ª T, DJ de 23-3-2007.]</w:t>
      </w:r>
    </w:p>
    <w:p>
      <w:pPr>
        <w:ind w:left="288"/>
      </w:pPr>
      <w:r>
        <w:rPr>
          <w:color w:val="8C8C8C"/>
          <w:sz w:val="12"/>
        </w:rPr>
        <w:t>cf-art-5-inc-L</w:t>
      </w:r>
      <w:r>
        <w:rPr>
          <w:color w:val="003CA0"/>
          <w:sz w:val="12"/>
        </w:rPr>
        <w:t xml:space="preserve"> | HC 89.105</w:t>
      </w:r>
      <w:r>
        <w:rPr>
          <w:color w:val="003CA0"/>
          <w:sz w:val="12"/>
        </w:rPr>
        <w:t xml:space="preserve"> | rel. Gilmar Mendes</w:t>
      </w:r>
    </w:p>
    <w:p>
      <w:pPr>
        <w:ind w:left="288"/>
      </w:pPr>
      <w:r>
        <w:rPr>
          <w:color w:val="1E1E1E"/>
          <w:sz w:val="18"/>
        </w:rPr>
        <w:t>A extensão da decisão em habeas corpus para corréu somente pode abranger aquele que esteja em situação objetivamente e/ou subjetivamente idêntica à do beneficiado.</w:t>
      </w:r>
    </w:p>
    <w:p>
      <w:pPr>
        <w:ind w:left="288"/>
      </w:pPr>
      <w:r>
        <w:rPr>
          <w:b/>
          <w:color w:val="003CA0"/>
          <w:sz w:val="16"/>
        </w:rPr>
        <w:t>[HC 89.105 segunda extensão, rel. min. Gilmar Mendes, j. 27-2-2007, 2ª T, DJ de 14-9-2007.]</w:t>
      </w:r>
    </w:p>
    <w:p>
      <w:pPr>
        <w:ind w:left="288"/>
      </w:pPr>
      <w:r>
        <w:rPr>
          <w:color w:val="8C8C8C"/>
          <w:sz w:val="12"/>
        </w:rPr>
        <w:t>cf-art-5-inc-L</w:t>
      </w:r>
      <w:r>
        <w:rPr>
          <w:color w:val="003CA0"/>
          <w:sz w:val="12"/>
        </w:rPr>
        <w:t xml:space="preserve"> | HC 97.599</w:t>
      </w:r>
      <w:r>
        <w:rPr>
          <w:color w:val="003CA0"/>
          <w:sz w:val="12"/>
        </w:rPr>
        <w:t xml:space="preserve"> | rel. Dias Toffoli</w:t>
      </w:r>
    </w:p>
    <w:p>
      <w:pPr>
        <w:ind w:left="288"/>
      </w:pPr>
      <w:r>
        <w:rPr>
          <w:color w:val="1E1E1E"/>
          <w:sz w:val="18"/>
        </w:rPr>
        <w:t>= HC 97.599, rel. min. Dias Toffoli, j. 9-3-2010, 1ª T, DJE de 16-4-2010 Vide HC 83.428, rel. min. Cezar Peluso, j. 6-10-2009, 2ª T, DJE de 27-11-2009 A superveniência de sentença penal condenatória torna prejudicada a impetração que visava ao trancamento da ação penal, por falta de justa causa (precedentes).</w:t>
      </w:r>
    </w:p>
    <w:p>
      <w:pPr>
        <w:ind w:left="288"/>
      </w:pPr>
      <w:r>
        <w:rPr>
          <w:b/>
          <w:color w:val="003CA0"/>
          <w:sz w:val="16"/>
        </w:rPr>
        <w:t>[HC 88.292, rel. min. Eros Grau, j. 13-6-2006, 2ª T, DJE de 4-8-2006.]</w:t>
      </w:r>
    </w:p>
    <w:p>
      <w:pPr>
        <w:ind w:left="288"/>
      </w:pPr>
      <w:r>
        <w:rPr>
          <w:color w:val="8C8C8C"/>
          <w:sz w:val="12"/>
        </w:rPr>
        <w:t>cf-art-5-inc-L</w:t>
      </w:r>
      <w:r>
        <w:rPr>
          <w:color w:val="003CA0"/>
          <w:sz w:val="12"/>
        </w:rPr>
        <w:t xml:space="preserve"> | HC 97.725</w:t>
      </w:r>
      <w:r>
        <w:rPr>
          <w:color w:val="003CA0"/>
          <w:sz w:val="12"/>
        </w:rPr>
        <w:t xml:space="preserve"> | rel. Cármen Lúcia</w:t>
      </w:r>
    </w:p>
    <w:p>
      <w:pPr>
        <w:ind w:left="288"/>
      </w:pPr>
      <w:r>
        <w:rPr>
          <w:color w:val="1E1E1E"/>
          <w:sz w:val="18"/>
        </w:rPr>
        <w:t>= HC 97.725, rel. min. Cármen Lúcia, j. 9-3-2010, 1ª T, DJE de 26-3-2010 Vide HC 88.521, rel. min. Joaquim Barbosa, j. 29-9-2009, 2ª T, DJE de 20-8-2010 Jurisprudência predominante no STF no sentido de que, salvo no caso de querelante, não há compatibilidade entre o rito do habeas corpus e os tipos de intervenção de terceiro.</w:t>
      </w:r>
    </w:p>
    <w:p>
      <w:pPr>
        <w:ind w:left="288"/>
      </w:pPr>
      <w:r>
        <w:rPr>
          <w:b/>
          <w:color w:val="003CA0"/>
          <w:sz w:val="16"/>
        </w:rPr>
        <w:t>[HC 83.170, rel. min. Gilmar Mendes, j. 18-5-2006, P, DJ de 9-6-2006.]</w:t>
      </w:r>
    </w:p>
    <w:p>
      <w:pPr>
        <w:ind w:left="288"/>
      </w:pPr>
      <w:r>
        <w:rPr>
          <w:color w:val="8C8C8C"/>
          <w:sz w:val="12"/>
        </w:rPr>
        <w:t>cf-art-5-inc-L</w:t>
      </w:r>
      <w:r>
        <w:rPr>
          <w:color w:val="003CA0"/>
          <w:sz w:val="12"/>
        </w:rPr>
        <w:t xml:space="preserve"> | HC 93.033</w:t>
      </w:r>
      <w:r>
        <w:rPr>
          <w:color w:val="003CA0"/>
          <w:sz w:val="12"/>
        </w:rPr>
        <w:t xml:space="preserve"> | rel. Celso de Mello</w:t>
      </w:r>
    </w:p>
    <w:p>
      <w:pPr>
        <w:ind w:left="288"/>
      </w:pPr>
      <w:r>
        <w:rPr>
          <w:color w:val="1E1E1E"/>
          <w:sz w:val="18"/>
        </w:rPr>
        <w:t>= HC 93.033, rel. min. Celso de Mello, j. 1º-8-2011, dec. monocrática, DJE de 8-8-2011 O CPP, em consonância com o Texto Constitucional de 1988, prestigia o caráter popular do habeas corpus, ao admitir a impetração por qualquer pessoa, em seu favor ou de outrem. Assim, não é de se exigir habilitação legal para impetração originária do writ ou para interposição do respectivo recurso ordinário.</w:t>
      </w:r>
    </w:p>
    <w:p>
      <w:pPr>
        <w:ind w:left="288"/>
      </w:pPr>
      <w:r>
        <w:rPr>
          <w:b/>
          <w:color w:val="003CA0"/>
          <w:sz w:val="16"/>
        </w:rPr>
        <w:t>[HC 86.307, rel. min. Ayres Britto, j. 17-11-2005, 1ª T, DJ de 26-5-2006.]</w:t>
      </w:r>
    </w:p>
    <w:p>
      <w:pPr>
        <w:ind w:left="288"/>
      </w:pPr>
      <w:r>
        <w:rPr>
          <w:color w:val="8C8C8C"/>
          <w:sz w:val="12"/>
        </w:rPr>
        <w:t>cf-art-5-inc-L</w:t>
      </w:r>
      <w:r>
        <w:rPr>
          <w:color w:val="003CA0"/>
          <w:sz w:val="12"/>
        </w:rPr>
        <w:t xml:space="preserve"> | HC 86.619</w:t>
      </w:r>
      <w:r>
        <w:rPr>
          <w:color w:val="003CA0"/>
          <w:sz w:val="12"/>
        </w:rPr>
        <w:t xml:space="preserve"> | rel. Sepúlveda Pertence</w:t>
      </w:r>
    </w:p>
    <w:p>
      <w:pPr>
        <w:ind w:left="288"/>
      </w:pPr>
      <w:r>
        <w:rPr>
          <w:color w:val="1E1E1E"/>
          <w:sz w:val="18"/>
        </w:rPr>
        <w:t>Habeas corpus: cabimento quanto à condenação à pena de prestação pecuniária, dado que esta, diversamente da pena de multa, se descumprida injustificadamente, converte-se em pena privativa de liberdade (CP, art. 44, § 4º).</w:t>
      </w:r>
    </w:p>
    <w:p>
      <w:pPr>
        <w:ind w:left="288"/>
      </w:pPr>
      <w:r>
        <w:rPr>
          <w:b/>
          <w:color w:val="003CA0"/>
          <w:sz w:val="16"/>
        </w:rPr>
        <w:t>[HC 86.619, rel. min. Sepúlveda Pertence, j. 27-9-2005, 1ª T, DJ de 14-10-2005.]</w:t>
      </w:r>
    </w:p>
    <w:p>
      <w:pPr>
        <w:ind w:left="288"/>
      </w:pPr>
      <w:r>
        <w:rPr>
          <w:color w:val="8C8C8C"/>
          <w:sz w:val="12"/>
        </w:rPr>
        <w:t>cf-art-5-inc-L</w:t>
      </w:r>
      <w:r>
        <w:rPr>
          <w:color w:val="003CA0"/>
          <w:sz w:val="12"/>
        </w:rPr>
        <w:t xml:space="preserve"> | HC 85.185</w:t>
      </w:r>
      <w:r>
        <w:rPr>
          <w:color w:val="003CA0"/>
          <w:sz w:val="12"/>
        </w:rPr>
        <w:t xml:space="preserve"> | rel. Cezar Peluso</w:t>
      </w:r>
    </w:p>
    <w:p>
      <w:pPr>
        <w:ind w:left="288"/>
      </w:pPr>
      <w:r>
        <w:rPr>
          <w:color w:val="1E1E1E"/>
          <w:sz w:val="18"/>
        </w:rPr>
        <w:t>Habeas corpus. Impetração contra decisão de ministro relator do STJ. Indeferimento de liminar em habeas corpus. Rejeição de proposta de cancelamento da Súmula 691 do Supremo. Conhecimento admitido no caso, com atenuação do alcance do enunciado da súmula. O enunciado da Súmula 691 do Supremo não o impede de, tal seja a hipótese, conhecer de habeas corpus contra decisão do relator que, em habeas corpus requerido ao STJ, indefere liminar.</w:t>
      </w:r>
    </w:p>
    <w:p>
      <w:pPr>
        <w:ind w:left="288"/>
      </w:pPr>
      <w:r>
        <w:rPr>
          <w:b/>
          <w:color w:val="003CA0"/>
          <w:sz w:val="16"/>
        </w:rPr>
        <w:t>[HC 85.185, rel. min. Cezar Peluso, j. 10-8-2005, P, DJ de 1º-9-2006.]</w:t>
      </w:r>
    </w:p>
    <w:p>
      <w:pPr>
        <w:ind w:left="288"/>
      </w:pPr>
      <w:r>
        <w:rPr>
          <w:color w:val="8C8C8C"/>
          <w:sz w:val="12"/>
        </w:rPr>
        <w:t>cf-art-5-inc-L</w:t>
      </w:r>
      <w:r>
        <w:rPr>
          <w:color w:val="003CA0"/>
          <w:sz w:val="12"/>
        </w:rPr>
        <w:t xml:space="preserve"> | HC 94.132</w:t>
      </w:r>
      <w:r>
        <w:rPr>
          <w:color w:val="003CA0"/>
          <w:sz w:val="12"/>
        </w:rPr>
        <w:t xml:space="preserve"> | rel. Ayres Britto</w:t>
      </w:r>
    </w:p>
    <w:p>
      <w:pPr>
        <w:ind w:left="288"/>
      </w:pPr>
      <w:r>
        <w:rPr>
          <w:color w:val="1E1E1E"/>
          <w:sz w:val="18"/>
        </w:rPr>
        <w:t>= HC 94.132 AgR, rel. min. Ayres Britto, j. 16-12-2008, 1ª T, DJE de 20-3-2009 Vide HC 100.082 AgR, rel. min. Ellen Gracie, j. 1º-12-2009, 2ª T, DJE de 18-12-2009 Dar amplitude ao writ para trancar sindicância administrativa é desbordar da destinação constitucional desse precioso instrumento de proteção do direito de ir e vir.</w:t>
      </w:r>
    </w:p>
    <w:p>
      <w:pPr>
        <w:ind w:left="288"/>
      </w:pPr>
      <w:r>
        <w:rPr>
          <w:b/>
          <w:color w:val="003CA0"/>
          <w:sz w:val="16"/>
        </w:rPr>
        <w:t>[RHC 85.105 AgR, rel. min. Eros Grau, j. 28-6-2005, 1ª T, DJ de 16-9-2005.]</w:t>
      </w:r>
    </w:p>
    <w:p>
      <w:pPr>
        <w:ind w:left="288"/>
      </w:pPr>
      <w:r>
        <w:rPr>
          <w:color w:val="8C8C8C"/>
          <w:sz w:val="12"/>
        </w:rPr>
        <w:t>cf-art-5-inc-L</w:t>
      </w:r>
      <w:r>
        <w:rPr>
          <w:color w:val="003CA0"/>
          <w:sz w:val="12"/>
        </w:rPr>
        <w:t xml:space="preserve"> | HC 85.457</w:t>
      </w:r>
      <w:r>
        <w:rPr>
          <w:color w:val="003CA0"/>
          <w:sz w:val="12"/>
        </w:rPr>
        <w:t xml:space="preserve"> | rel. Sepúlveda Pertence</w:t>
      </w:r>
    </w:p>
    <w:p>
      <w:pPr>
        <w:ind w:left="288"/>
      </w:pPr>
      <w:r>
        <w:rPr>
          <w:color w:val="1E1E1E"/>
          <w:sz w:val="18"/>
        </w:rPr>
        <w:t>Não cabe o habeas corpus para solver controvérsia de fato dependente da ponderação de provas desencontradas; cabe, entretanto, para aferir a idoneidade jurídica ou não das provas onde se fundou a decisão condenatória.</w:t>
      </w:r>
    </w:p>
    <w:p>
      <w:pPr>
        <w:ind w:left="288"/>
      </w:pPr>
      <w:r>
        <w:rPr>
          <w:b/>
          <w:color w:val="003CA0"/>
          <w:sz w:val="16"/>
        </w:rPr>
        <w:t>[HC 85.457, rel. min. Sepúlveda Pertence, j. 22-3-2005, 2ª T, DJ de 15-4-2005.]</w:t>
      </w:r>
    </w:p>
    <w:p>
      <w:pPr>
        <w:ind w:left="288"/>
      </w:pPr>
      <w:r>
        <w:rPr>
          <w:color w:val="8C8C8C"/>
          <w:sz w:val="12"/>
        </w:rPr>
        <w:t>cf-art-5-inc-L</w:t>
      </w:r>
      <w:r>
        <w:rPr>
          <w:color w:val="003CA0"/>
          <w:sz w:val="12"/>
        </w:rPr>
        <w:t xml:space="preserve"> | RHC 94.806</w:t>
      </w:r>
      <w:r>
        <w:rPr>
          <w:color w:val="003CA0"/>
          <w:sz w:val="12"/>
        </w:rPr>
        <w:t xml:space="preserve"> | rel. Cármen Lúcia</w:t>
      </w:r>
    </w:p>
    <w:p>
      <w:pPr>
        <w:ind w:left="288"/>
      </w:pPr>
      <w:r>
        <w:rPr>
          <w:color w:val="1E1E1E"/>
          <w:sz w:val="18"/>
        </w:rPr>
        <w:t>= RHC 94.806, rel. min. Cármen Lúcia, j. 9-3-2010, 1ª T, DJE de 16-4-2010 Não cabe habeas corpus quando já extinta a punibilidade pelo cumprimento da obrigação assumida em transação penal (Súmula 695/STF).</w:t>
      </w:r>
    </w:p>
    <w:p>
      <w:pPr>
        <w:ind w:left="288"/>
      </w:pPr>
      <w:r>
        <w:rPr>
          <w:b/>
          <w:color w:val="003CA0"/>
          <w:sz w:val="16"/>
        </w:rPr>
        <w:t>[RHC 84.413, rel. min. Carlos Velloso, j. 29-6-2004, 2ª T, DJ de 20-8-2004.]</w:t>
      </w:r>
    </w:p>
    <w:p>
      <w:pPr>
        <w:ind w:left="288"/>
      </w:pPr>
      <w:r>
        <w:rPr>
          <w:color w:val="8C8C8C"/>
          <w:sz w:val="12"/>
        </w:rPr>
        <w:t>cf-art-5-inc-L</w:t>
      </w:r>
      <w:r>
        <w:rPr>
          <w:color w:val="003CA0"/>
          <w:sz w:val="12"/>
        </w:rPr>
        <w:t xml:space="preserve"> | HC 68.715</w:t>
      </w:r>
      <w:r>
        <w:rPr>
          <w:color w:val="003CA0"/>
          <w:sz w:val="12"/>
        </w:rPr>
        <w:t xml:space="preserve"> | rel. Paulo Brossard</w:t>
      </w:r>
    </w:p>
    <w:p>
      <w:pPr>
        <w:ind w:left="288"/>
      </w:pPr>
      <w:r>
        <w:rPr>
          <w:color w:val="1E1E1E"/>
          <w:sz w:val="18"/>
        </w:rPr>
        <w:t xml:space="preserve">Vide HC 68.715, rel. min. Paulo Brossard, j. 10-12-1991, 2ª T, DJ de 14-2-1992 Com a cessação, em 1926, da doutrina brasileira do habeas corpus, a destinação constitucional do remédio heroico restringiu-se, no campo de sua específica projeção, ao plano da estreita tutela da imediata liberdade física de ir, vir e permanecer dos indivíduos, pertencendo, residualmente, ao âmbito do mandado de segurança, a tutela jurisdicional contra ofensas que desrespeitem os demais direitos líquidos e certos, mesmo quando tais situações de ilicitude ou de abuso de poder venham a afetar, ainda que obliquamente, </w:t>
      </w:r>
    </w:p>
    <w:p>
      <w:pPr>
        <w:ind w:left="288"/>
      </w:pPr>
      <w:r>
        <w:rPr>
          <w:b/>
          <w:color w:val="003CA0"/>
          <w:sz w:val="16"/>
        </w:rPr>
        <w:t>[HC 83.966 AgR, rel. min. Celso de Mello, j. 23-6-2004, P, DJ de 25-11-2005.]</w:t>
      </w:r>
    </w:p>
    <w:p>
      <w:pPr>
        <w:ind w:left="288"/>
      </w:pPr>
      <w:r>
        <w:rPr>
          <w:color w:val="8C8C8C"/>
          <w:sz w:val="12"/>
        </w:rPr>
        <w:t>cf-art-5-inc-L</w:t>
      </w:r>
      <w:r>
        <w:rPr>
          <w:color w:val="003CA0"/>
          <w:sz w:val="12"/>
        </w:rPr>
        <w:t xml:space="preserve"> | HC 83.162</w:t>
      </w:r>
      <w:r>
        <w:rPr>
          <w:color w:val="003CA0"/>
          <w:sz w:val="12"/>
        </w:rPr>
        <w:t xml:space="preserve"> | rel. Carlos Velloso</w:t>
      </w:r>
    </w:p>
    <w:p>
      <w:pPr>
        <w:ind w:left="288"/>
      </w:pPr>
      <w:r>
        <w:rPr>
          <w:color w:val="1E1E1E"/>
          <w:sz w:val="18"/>
        </w:rPr>
        <w:t>Não é somente a coação ou ameaça direta à liberdade de locomoção que autoriza a impetração do habeas corpus. Também a coação ou a ameaça indireta à liberdade individual justifica a impetração da garantia constitucional inscrita no art. 5º, LXVIII, da CF.</w:t>
      </w:r>
    </w:p>
    <w:p>
      <w:pPr>
        <w:ind w:left="288"/>
      </w:pPr>
      <w:r>
        <w:rPr>
          <w:b/>
          <w:color w:val="003CA0"/>
          <w:sz w:val="16"/>
        </w:rPr>
        <w:t>[HC 83.162, rel. min. Carlos Velloso, j. 2-9-2003, 2ª T, DJ de 26-9-2003.]</w:t>
      </w:r>
    </w:p>
    <w:p>
      <w:pPr>
        <w:ind w:left="288"/>
      </w:pPr>
      <w:r>
        <w:rPr>
          <w:color w:val="8C8C8C"/>
          <w:sz w:val="12"/>
        </w:rPr>
        <w:t>cf-art-5-inc-L</w:t>
      </w:r>
      <w:r>
        <w:rPr>
          <w:color w:val="003CA0"/>
          <w:sz w:val="12"/>
        </w:rPr>
        <w:t xml:space="preserve"> | HC 80.744</w:t>
      </w:r>
      <w:r>
        <w:rPr>
          <w:color w:val="003CA0"/>
          <w:sz w:val="12"/>
        </w:rPr>
        <w:t xml:space="preserve"> | rel. Nelson Jobim</w:t>
      </w:r>
    </w:p>
    <w:p>
      <w:pPr>
        <w:ind w:left="288"/>
      </w:pPr>
      <w:r>
        <w:rPr>
          <w:color w:val="1E1E1E"/>
          <w:sz w:val="18"/>
        </w:rPr>
        <w:t>A ação de habeas corpus pode ser ajuizada por qualquer pessoa, independente de sua qualificação profissional (CF, art. 5º, LXVIII e LXXIII, c/c CPP, art. 654). Não é exigível linguagem técnico-jurídica. Entretanto, o habeas não pode servir de instrumento para ataques às instituições. Nem para assaques de ofensas a seus membros. O emprego de expressões de baixo calão, num linguajar chulo e deselegante, não pode ser tolerado.</w:t>
      </w:r>
    </w:p>
    <w:p>
      <w:pPr>
        <w:ind w:left="288"/>
      </w:pPr>
      <w:r>
        <w:rPr>
          <w:b/>
          <w:color w:val="003CA0"/>
          <w:sz w:val="16"/>
        </w:rPr>
        <w:t>[HC 80.744, rel. min. Nelson Jobim, j. 27-3-2001, 2ª T, DJ de 28-6-2002.]</w:t>
      </w:r>
    </w:p>
    <w:p>
      <w:pPr>
        <w:ind w:left="288"/>
      </w:pPr>
      <w:r>
        <w:rPr>
          <w:color w:val="8C8C8C"/>
          <w:sz w:val="12"/>
        </w:rPr>
        <w:t>cf-art-5-inc-L</w:t>
      </w:r>
      <w:r>
        <w:rPr>
          <w:color w:val="003CA0"/>
          <w:sz w:val="12"/>
        </w:rPr>
        <w:t xml:space="preserve"> | HC 80.674</w:t>
      </w:r>
      <w:r>
        <w:rPr>
          <w:color w:val="003CA0"/>
          <w:sz w:val="12"/>
        </w:rPr>
        <w:t xml:space="preserve"> | rel. Nelson Jobim</w:t>
      </w:r>
    </w:p>
    <w:p>
      <w:pPr>
        <w:ind w:left="288"/>
      </w:pPr>
      <w:r>
        <w:rPr>
          <w:color w:val="1E1E1E"/>
          <w:sz w:val="18"/>
        </w:rPr>
        <w:t>= HC 80.674, rel. min. Nelson Jobim, j. 27-3-2001, 2ª T, DJ de 17-8-2001 A jurisprudência do STF tem reconhecido a inadmissibilidade, em sede de habeas corpus, de impetrações que se limitam a reproduzir, sem qualquer inovação de fato ou de direito, os mesmos fundamentos objeto de postulação anterior, especialmente quando esta resultar não conhecida, por incabível.</w:t>
      </w:r>
    </w:p>
    <w:p>
      <w:pPr>
        <w:ind w:left="288"/>
      </w:pPr>
      <w:r>
        <w:rPr>
          <w:b/>
          <w:color w:val="003CA0"/>
          <w:sz w:val="16"/>
        </w:rPr>
        <w:t>[HC 80.623 AgR, rel. min. Celso de Mello, j. 15-2-2001, P, DJ de 6-4-2001.]</w:t>
      </w:r>
    </w:p>
    <w:p>
      <w:pPr>
        <w:ind w:left="288"/>
      </w:pPr>
      <w:r>
        <w:rPr>
          <w:color w:val="8C8C8C"/>
          <w:sz w:val="12"/>
        </w:rPr>
        <w:t>cf-art-5-inc-L</w:t>
      </w:r>
      <w:r>
        <w:rPr>
          <w:color w:val="003CA0"/>
          <w:sz w:val="12"/>
        </w:rPr>
        <w:t xml:space="preserve"> | HC 103.693</w:t>
      </w:r>
      <w:r>
        <w:rPr>
          <w:color w:val="003CA0"/>
          <w:sz w:val="12"/>
        </w:rPr>
        <w:t xml:space="preserve"> | rel. Dias Toffoli</w:t>
      </w:r>
    </w:p>
    <w:p>
      <w:pPr>
        <w:ind w:left="288"/>
      </w:pPr>
      <w:r>
        <w:rPr>
          <w:color w:val="1E1E1E"/>
          <w:sz w:val="18"/>
        </w:rPr>
        <w:t>= HC 103.693 AgR, rel. min. Dias Toffoli, j. 21-9-2010, 1ª T, DJE de 2-12-2010 Negativa de suspensão do processo a paciente contemplado com sursis. Hipótese em que o writ não pode ser considerado, de plano, como incabível, dado o reflexo que eventual revogação do benefício da suspensão condicional da pena produziria sobre o direito de ir e vir do condenado.</w:t>
      </w:r>
    </w:p>
    <w:p>
      <w:pPr>
        <w:ind w:left="288"/>
      </w:pPr>
      <w:r>
        <w:rPr>
          <w:b/>
          <w:color w:val="003CA0"/>
          <w:sz w:val="16"/>
        </w:rPr>
        <w:t>[HC 80.218, rel. min. Ilmar Galvão, j. 8-8-2000, 1ª T, DJ de 13-10-2000.]</w:t>
      </w:r>
    </w:p>
    <w:p>
      <w:pPr>
        <w:ind w:left="288"/>
      </w:pPr>
      <w:r>
        <w:rPr>
          <w:color w:val="8C8C8C"/>
          <w:sz w:val="12"/>
        </w:rPr>
        <w:t>cf-art-5-inc-L</w:t>
      </w:r>
      <w:r>
        <w:rPr>
          <w:color w:val="003CA0"/>
          <w:sz w:val="12"/>
        </w:rPr>
        <w:t xml:space="preserve"> | HC 79.513</w:t>
      </w:r>
      <w:r>
        <w:rPr>
          <w:color w:val="003CA0"/>
          <w:sz w:val="12"/>
        </w:rPr>
        <w:t xml:space="preserve"> | rel. Sepúlveda Pertence</w:t>
      </w:r>
    </w:p>
    <w:p>
      <w:pPr>
        <w:ind w:left="288"/>
      </w:pPr>
      <w:r>
        <w:rPr>
          <w:color w:val="1E1E1E"/>
          <w:sz w:val="18"/>
        </w:rPr>
        <w:t>Impossibilidade do reexame, em habeas corpus, da existência, ou não, do dissídio de jurisprudência que determinou o conhecimento do recurso especial, por configurar hipótese de matéria de fato.</w:t>
      </w:r>
    </w:p>
    <w:p>
      <w:pPr>
        <w:ind w:left="288"/>
      </w:pPr>
      <w:r>
        <w:rPr>
          <w:b/>
          <w:color w:val="003CA0"/>
          <w:sz w:val="16"/>
        </w:rPr>
        <w:t>[HC 79.513, rel. min. Sepúlveda Pertence, red. do ac. min. Ilmar Galvão, j. 28-3-2000, 1ª T, DJ de 26-9-2003.]</w:t>
      </w:r>
    </w:p>
    <w:p>
      <w:pPr>
        <w:ind w:left="288"/>
      </w:pPr>
      <w:r>
        <w:rPr>
          <w:color w:val="8C8C8C"/>
          <w:sz w:val="12"/>
        </w:rPr>
        <w:t>cf-art-5-inc-L</w:t>
      </w:r>
      <w:r>
        <w:rPr>
          <w:color w:val="003CA0"/>
          <w:sz w:val="12"/>
        </w:rPr>
        <w:t xml:space="preserve"> | HC 78.796</w:t>
      </w:r>
      <w:r>
        <w:rPr>
          <w:color w:val="003CA0"/>
          <w:sz w:val="12"/>
        </w:rPr>
        <w:t xml:space="preserve"> | rel. Marco Aurélio</w:t>
      </w:r>
    </w:p>
    <w:p>
      <w:pPr>
        <w:ind w:left="288"/>
      </w:pPr>
      <w:r>
        <w:rPr>
          <w:color w:val="1E1E1E"/>
          <w:sz w:val="18"/>
        </w:rPr>
        <w:t>Cumpre ao órgão julgador emitir entendimento explícito sobre as causas de pedir versadas no habeas corpus, sob pena de vir a praticar, com a omissão, ato de constrangimento.</w:t>
      </w:r>
    </w:p>
    <w:p>
      <w:pPr>
        <w:ind w:left="288"/>
      </w:pPr>
      <w:r>
        <w:rPr>
          <w:b/>
          <w:color w:val="003CA0"/>
          <w:sz w:val="16"/>
        </w:rPr>
        <w:t>[HC 78.796, rel. min. Marco Aurélio, j. 15-6-1999, 2ª T, DJ de 10-9-1999.]</w:t>
      </w:r>
    </w:p>
    <w:p>
      <w:pPr>
        <w:ind w:left="288"/>
      </w:pPr>
      <w:r>
        <w:rPr>
          <w:color w:val="8C8C8C"/>
          <w:sz w:val="12"/>
        </w:rPr>
        <w:t>cf-art-5-inc-L</w:t>
      </w:r>
      <w:r>
        <w:rPr>
          <w:color w:val="003CA0"/>
          <w:sz w:val="12"/>
        </w:rPr>
        <w:t xml:space="preserve"> | HC 79.084</w:t>
      </w:r>
      <w:r>
        <w:rPr>
          <w:color w:val="003CA0"/>
          <w:sz w:val="12"/>
        </w:rPr>
        <w:t xml:space="preserve"> | rel. Octavio Gallotti</w:t>
      </w:r>
    </w:p>
    <w:p>
      <w:pPr>
        <w:ind w:left="288"/>
      </w:pPr>
      <w:r>
        <w:rPr>
          <w:color w:val="1E1E1E"/>
          <w:sz w:val="18"/>
        </w:rPr>
        <w:t>Advogado. Exigência de identificação, por meio de botton ou adesivo, para trânsito em dependências do tribunal. Habeas corpus de que não se conhece, por não se achar em causa direito de locomoção, senão suposta restrição ao exercício profissional.</w:t>
      </w:r>
    </w:p>
    <w:p>
      <w:pPr>
        <w:ind w:left="288"/>
      </w:pPr>
      <w:r>
        <w:rPr>
          <w:b/>
          <w:color w:val="003CA0"/>
          <w:sz w:val="16"/>
        </w:rPr>
        <w:t>[HC 79.084, rel. min. Octavio Gallotti, j. 4-5-1999, 1ª T, DJ de 11-2-2000.]</w:t>
      </w:r>
    </w:p>
    <w:p>
      <w:pPr>
        <w:ind w:left="288"/>
      </w:pPr>
      <w:r>
        <w:rPr>
          <w:color w:val="8C8C8C"/>
          <w:sz w:val="12"/>
        </w:rPr>
        <w:t>cf-art-5-inc-L</w:t>
      </w:r>
      <w:r>
        <w:rPr>
          <w:color w:val="003CA0"/>
          <w:sz w:val="12"/>
        </w:rPr>
        <w:t xml:space="preserve"> | RHC 78.951</w:t>
      </w:r>
      <w:r>
        <w:rPr>
          <w:color w:val="003CA0"/>
          <w:sz w:val="12"/>
        </w:rPr>
        <w:t xml:space="preserve"> | rel. Carlos Velloso</w:t>
      </w:r>
    </w:p>
    <w:p>
      <w:pPr>
        <w:ind w:left="288"/>
      </w:pPr>
      <w:r>
        <w:rPr>
          <w:color w:val="1E1E1E"/>
          <w:sz w:val="18"/>
        </w:rPr>
        <w:t>Não cabimento de habeas corpus em relação a punições disciplinares: CF, art. 142, § 2º: a restrição limita-se ao exame do mérito do ato.</w:t>
      </w:r>
    </w:p>
    <w:p>
      <w:pPr>
        <w:ind w:left="288"/>
      </w:pPr>
      <w:r>
        <w:rPr>
          <w:b/>
          <w:color w:val="003CA0"/>
          <w:sz w:val="16"/>
        </w:rPr>
        <w:t>[RHC 78.951, rel. min. Carlos Velloso, j. 13-4-1999, 1ª T, DJ de 28-5-1999.]</w:t>
      </w:r>
    </w:p>
    <w:p>
      <w:pPr>
        <w:ind w:left="288"/>
      </w:pPr>
      <w:r>
        <w:rPr>
          <w:color w:val="8C8C8C"/>
          <w:sz w:val="12"/>
        </w:rPr>
        <w:t>cf-art-5-inc-L</w:t>
      </w:r>
      <w:r>
        <w:rPr>
          <w:color w:val="003CA0"/>
          <w:sz w:val="12"/>
        </w:rPr>
        <w:t xml:space="preserve"> | HC 75.778</w:t>
      </w:r>
      <w:r>
        <w:rPr>
          <w:color w:val="003CA0"/>
          <w:sz w:val="12"/>
        </w:rPr>
        <w:t xml:space="preserve"> | rel. Néri da Silveira</w:t>
      </w:r>
    </w:p>
    <w:p>
      <w:pPr>
        <w:ind w:left="288"/>
      </w:pPr>
      <w:r>
        <w:rPr>
          <w:color w:val="1E1E1E"/>
          <w:sz w:val="18"/>
        </w:rPr>
        <w:t>Não cabe habeas corpus contra despacho do relator, no STF, que nega seguimento a pedido de habeas corpus, notadamente, quando se cuida de inépcia da inicial.</w:t>
      </w:r>
    </w:p>
    <w:p>
      <w:pPr>
        <w:ind w:left="288"/>
      </w:pPr>
      <w:r>
        <w:rPr>
          <w:b/>
          <w:color w:val="003CA0"/>
          <w:sz w:val="16"/>
        </w:rPr>
        <w:t>[HC 75.778 QO, rel. min. Néri da Silveira, j. 28-8-1997, P, DJ de 10-10-1997.]</w:t>
      </w:r>
    </w:p>
    <w:p>
      <w:pPr>
        <w:ind w:left="288"/>
      </w:pPr>
      <w:r>
        <w:rPr>
          <w:color w:val="8C8C8C"/>
          <w:sz w:val="12"/>
        </w:rPr>
        <w:t>cf-art-5-inc-L</w:t>
      </w:r>
      <w:r>
        <w:rPr>
          <w:color w:val="003CA0"/>
          <w:sz w:val="12"/>
        </w:rPr>
        <w:t xml:space="preserve"> | RHC 74.860</w:t>
      </w:r>
      <w:r>
        <w:rPr>
          <w:color w:val="003CA0"/>
          <w:sz w:val="12"/>
        </w:rPr>
        <w:t xml:space="preserve"> | rel. Carlos Velloso</w:t>
      </w:r>
    </w:p>
    <w:p>
      <w:pPr>
        <w:ind w:left="288"/>
      </w:pPr>
      <w:r>
        <w:rPr>
          <w:color w:val="1E1E1E"/>
          <w:sz w:val="18"/>
        </w:rPr>
        <w:t>Inquérito policial instaurado mediante requisição de autoridade judiciária: a esta atribui-se a coação e não à autoridade policial que preside o inquérito.</w:t>
      </w:r>
    </w:p>
    <w:p>
      <w:pPr>
        <w:ind w:left="288"/>
      </w:pPr>
      <w:r>
        <w:rPr>
          <w:b/>
          <w:color w:val="003CA0"/>
          <w:sz w:val="16"/>
        </w:rPr>
        <w:t>[RHC 74.860, rel. min. Carlos Velloso, j. 18-2-1997, 2ª T, DJ de 6-6-1997.]</w:t>
      </w:r>
    </w:p>
    <w:p>
      <w:pPr>
        <w:ind w:left="288"/>
      </w:pPr>
      <w:r>
        <w:rPr>
          <w:color w:val="8C8C8C"/>
          <w:sz w:val="12"/>
        </w:rPr>
        <w:t>cf-art-5-inc-L</w:t>
      </w:r>
      <w:r>
        <w:rPr>
          <w:color w:val="003CA0"/>
          <w:sz w:val="12"/>
        </w:rPr>
        <w:t xml:space="preserve"> | HC 73.455</w:t>
      </w:r>
      <w:r>
        <w:rPr>
          <w:color w:val="003CA0"/>
          <w:sz w:val="12"/>
        </w:rPr>
        <w:t xml:space="preserve"> | rel. Francisco Rezek</w:t>
      </w:r>
    </w:p>
    <w:p>
      <w:pPr>
        <w:ind w:left="288"/>
      </w:pPr>
      <w:r>
        <w:rPr>
          <w:color w:val="1E1E1E"/>
          <w:sz w:val="18"/>
        </w:rPr>
        <w:t>Quem tem legitimação para propor habeas corpus tem também legitimação para dele recorrer. Nas hipóteses de denegação do writ no tribunal de origem, aceita-se a interposição, pelo impetrante – independentemente de habilitação legal ou de representação –, de recurso ordinário constitucional.</w:t>
      </w:r>
    </w:p>
    <w:p>
      <w:pPr>
        <w:ind w:left="288"/>
      </w:pPr>
      <w:r>
        <w:rPr>
          <w:b/>
          <w:color w:val="003CA0"/>
          <w:sz w:val="16"/>
        </w:rPr>
        <w:t>[HC 73.455, rel. min. Francisco Rezek, j. 25-6-1996, 2ª T, DJ de 7-3-1997.]</w:t>
      </w:r>
    </w:p>
    <w:p>
      <w:pPr>
        <w:ind w:left="288"/>
      </w:pPr>
      <w:r>
        <w:rPr>
          <w:color w:val="8C8C8C"/>
          <w:sz w:val="12"/>
        </w:rPr>
        <w:t>cf-art-5-inc-L</w:t>
      </w:r>
      <w:r>
        <w:rPr>
          <w:color w:val="003CA0"/>
          <w:sz w:val="12"/>
        </w:rPr>
        <w:t xml:space="preserve"> | HC 102.836</w:t>
      </w:r>
      <w:r>
        <w:rPr>
          <w:color w:val="003CA0"/>
          <w:sz w:val="12"/>
        </w:rPr>
        <w:t xml:space="preserve"> | rel. Cármen Lúcia</w:t>
      </w:r>
    </w:p>
    <w:p>
      <w:pPr>
        <w:ind w:left="288"/>
      </w:pPr>
      <w:r>
        <w:rPr>
          <w:color w:val="1E1E1E"/>
          <w:sz w:val="18"/>
        </w:rPr>
        <w:t>= HC 102.836 AgR, rel min. Cármen Lúcia, red. do ac. min. Dias Toffoli, j. 8-11-2011, 1ª T, DJE de 27-2-2012 Versando o habeas corpus sobre a inviabilidade da extradição, indispensável é que a causa de pedir seja veiculada nos autos respectivos. Sem o conhecimento por parte do relator, não se pode dizer da prática, ou não, de ato de constrangimento.</w:t>
      </w:r>
    </w:p>
    <w:p>
      <w:pPr>
        <w:ind w:left="288"/>
      </w:pPr>
      <w:r>
        <w:rPr>
          <w:b/>
          <w:color w:val="003CA0"/>
          <w:sz w:val="16"/>
        </w:rPr>
        <w:t>[HC 73.783, rel. min. Marco Aurélio, j. 22-5-1996, P, DJ de 1º-7-1996.]</w:t>
      </w:r>
    </w:p>
    <w:p>
      <w:pPr>
        <w:ind w:left="288"/>
      </w:pPr>
      <w:r>
        <w:rPr>
          <w:color w:val="8C8C8C"/>
          <w:sz w:val="12"/>
        </w:rPr>
        <w:t>cf-art-5-inc-L</w:t>
      </w:r>
      <w:r>
        <w:rPr>
          <w:color w:val="003CA0"/>
          <w:sz w:val="12"/>
        </w:rPr>
        <w:t xml:space="preserve"> | HC 72.851</w:t>
      </w:r>
      <w:r>
        <w:rPr>
          <w:color w:val="003CA0"/>
          <w:sz w:val="12"/>
        </w:rPr>
        <w:t xml:space="preserve"> | rel. Celso de Mello</w:t>
      </w:r>
    </w:p>
    <w:p>
      <w:pPr>
        <w:ind w:left="288"/>
      </w:pPr>
      <w:r>
        <w:rPr>
          <w:color w:val="1E1E1E"/>
          <w:sz w:val="18"/>
        </w:rPr>
        <w:t>O remédio de habeas corpus não constitui instrumento processual adequado à invalidação do procedimento administrativo de expulsão regularmente instaurado e promovido pelo Departamento de Polícia Federal, especialmente se o súdito estrangeiro interessado – a quem se estendeu, de modo pleno, a garantia constitucional do direito de defesa – não invocou, em momento algum, por inocorrentes, quaisquer das causas de inexpulsabilidade previstas em lei.</w:t>
      </w:r>
    </w:p>
    <w:p>
      <w:pPr>
        <w:ind w:left="288"/>
      </w:pPr>
      <w:r>
        <w:rPr>
          <w:b/>
          <w:color w:val="003CA0"/>
          <w:sz w:val="16"/>
        </w:rPr>
        <w:t>[HC 72.851, rel. min. Celso de Mello, j. 25-10-1995, P, DJE de 28-11-2008.]</w:t>
      </w:r>
    </w:p>
    <w:p>
      <w:pPr>
        <w:ind w:left="288"/>
      </w:pPr>
      <w:r>
        <w:rPr>
          <w:color w:val="8C8C8C"/>
          <w:sz w:val="12"/>
        </w:rPr>
        <w:t>cf-art-5-inc-L</w:t>
      </w:r>
      <w:r>
        <w:rPr>
          <w:color w:val="003CA0"/>
          <w:sz w:val="12"/>
        </w:rPr>
        <w:t xml:space="preserve"> | HC 92.769</w:t>
      </w:r>
      <w:r>
        <w:rPr>
          <w:color w:val="003CA0"/>
          <w:sz w:val="12"/>
        </w:rPr>
        <w:t xml:space="preserve"> | rel. Celso de Mello</w:t>
      </w:r>
    </w:p>
    <w:p>
      <w:pPr>
        <w:ind w:left="288"/>
      </w:pPr>
      <w:r>
        <w:rPr>
          <w:color w:val="1E1E1E"/>
          <w:sz w:val="18"/>
        </w:rPr>
        <w:t>= HC 92.769, rel. min. Celso de Mello, j. 19-5-2014, dec. monocrática, DJE de 22-5-2014 Vide HC 72.082, rel. min. Francisco Rezek, j. 19-4-1995, P, DJ de 1º-3-1996 Pouco importa a natureza do recurso que viabiliza a reapreciação do habeas corpus. Ordinário ou extraordinário, como é o caso do especial definido no inciso III do art. 105 da CF, ocorrido o empate, cumpre proclamar a decisão mais favorável ao paciente, isso já tendo proferido voto o presidente do órgão julgador – inteligência dos arts. 664, parágrafo único, do CPP, e 162, § 2º e § 3º, e 181, § 4º, do RISTJ.</w:t>
      </w:r>
    </w:p>
    <w:p>
      <w:pPr>
        <w:ind w:left="288"/>
      </w:pPr>
      <w:r>
        <w:rPr>
          <w:b/>
          <w:color w:val="003CA0"/>
          <w:sz w:val="16"/>
        </w:rPr>
        <w:t>[HC 72.445, rel. min. Marco Aurélio, j. 2-5-1995, 2ª T, DJ de 22-9-1995.]</w:t>
      </w:r>
    </w:p>
    <w:p>
      <w:pPr>
        <w:ind w:left="288"/>
      </w:pPr>
      <w:r>
        <w:rPr>
          <w:color w:val="8C8C8C"/>
          <w:sz w:val="12"/>
        </w:rPr>
        <w:t>cf-art-5-inc-L</w:t>
      </w:r>
      <w:r>
        <w:rPr>
          <w:color w:val="003CA0"/>
          <w:sz w:val="12"/>
        </w:rPr>
        <w:t xml:space="preserve"> | HC 89.974</w:t>
      </w:r>
      <w:r>
        <w:rPr>
          <w:color w:val="003CA0"/>
          <w:sz w:val="12"/>
        </w:rPr>
        <w:t xml:space="preserve"> | rel. Cezar Peluso</w:t>
      </w:r>
    </w:p>
    <w:p>
      <w:pPr>
        <w:ind w:left="288"/>
      </w:pPr>
      <w:r>
        <w:rPr>
          <w:color w:val="1E1E1E"/>
          <w:sz w:val="18"/>
        </w:rPr>
        <w:t>= HC 89.974, rel. min. Cezar Peluso, j. 18-11-2008, 2ª T, DJE de 5-12-2008 O meio processual adequado para se impugnar decreto expulsório é o habeas corpus. Assim se firmou a jurisprudência do Supremo, seja porque o expulsando via de regra está preso, seja porque se trata de remédio mais expedito.</w:t>
      </w:r>
    </w:p>
    <w:p>
      <w:pPr>
        <w:ind w:left="288"/>
      </w:pPr>
      <w:r>
        <w:rPr>
          <w:b/>
          <w:color w:val="003CA0"/>
          <w:sz w:val="16"/>
        </w:rPr>
        <w:t>[HC 72.082, rel. min. Francisco Rezek, j. 19-4-1995, P, DJ de 1º-3-1996.]</w:t>
      </w:r>
    </w:p>
    <w:p>
      <w:pPr>
        <w:ind w:left="288"/>
      </w:pPr>
      <w:r>
        <w:rPr>
          <w:color w:val="8C8C8C"/>
          <w:sz w:val="12"/>
        </w:rPr>
        <w:t>cf-art-5-inc-L</w:t>
      </w:r>
      <w:r>
        <w:rPr>
          <w:color w:val="003CA0"/>
          <w:sz w:val="12"/>
        </w:rPr>
        <w:t xml:space="preserve"> | HC 72.851</w:t>
      </w:r>
      <w:r>
        <w:rPr>
          <w:color w:val="003CA0"/>
          <w:sz w:val="12"/>
        </w:rPr>
        <w:t xml:space="preserve"> | rel. Celso de Mello</w:t>
      </w:r>
    </w:p>
    <w:p>
      <w:pPr>
        <w:ind w:left="288"/>
      </w:pPr>
      <w:r>
        <w:rPr>
          <w:color w:val="1E1E1E"/>
          <w:sz w:val="18"/>
        </w:rPr>
        <w:t>Vide HC 72.851, rel. min. Celso de Mello, j. 25-10-1995, P, DJE de 28-11-2008 O processo de habeas corpus, uma vez cumprida, integralmente, a pena de prisão, não se revela meio juridicamente idôneo à discussão de eventual ocorrência de nulidade processual na causa de que resultou a condenação criminal, pois, em referido contexto, o exame de tal matéria comporta-se no âmbito da ação de revisão criminal, que constitui, para essa específica finalidade, o instrumento processual adequado.</w:t>
      </w:r>
    </w:p>
    <w:p>
      <w:pPr>
        <w:ind w:left="288"/>
      </w:pPr>
      <w:r>
        <w:rPr>
          <w:b/>
          <w:color w:val="003CA0"/>
          <w:sz w:val="16"/>
        </w:rPr>
        <w:t>[HC 71.597, rel. min. Celso de Mello, j. 14-3-1995, 1ª T, DJE de 11-12-2009.]</w:t>
      </w:r>
    </w:p>
    <w:p>
      <w:pPr>
        <w:ind w:left="288"/>
      </w:pPr>
      <w:r>
        <w:rPr>
          <w:color w:val="8C8C8C"/>
          <w:sz w:val="12"/>
        </w:rPr>
        <w:t>cf-art-5-inc-L</w:t>
      </w:r>
      <w:r>
        <w:rPr>
          <w:color w:val="003CA0"/>
          <w:sz w:val="12"/>
        </w:rPr>
        <w:t xml:space="preserve"> | HC 72.391</w:t>
      </w:r>
      <w:r>
        <w:rPr>
          <w:color w:val="003CA0"/>
          <w:sz w:val="12"/>
        </w:rPr>
        <w:t xml:space="preserve"> | rel. Celso de Mello</w:t>
      </w:r>
    </w:p>
    <w:p>
      <w:pPr>
        <w:ind w:left="288"/>
      </w:pPr>
      <w:r>
        <w:rPr>
          <w:color w:val="1E1E1E"/>
          <w:sz w:val="18"/>
        </w:rPr>
        <w:t>É inquestionável o direito de súditos estrangeiros ajuizarem, em causa própria, a ação de habeas corpus, eis que esse remédio constitucional – por qualificar-se como verdadeira ação popular – pode ser utilizado por qualquer pessoa, independentemente da condição jurídica resultante de sua origem nacional. A petição com que impetrado o habeas corpus deve ser redigida em português, sob pena de não conhecimento do writ constitucional (CPC, art. 156, c/c CPP, art. 3º), eis que o conteúdo dessa peça processual deve ser acessível a todos, sendo irrelevante, para esse efeito, que o juiz da causa conhe</w:t>
      </w:r>
    </w:p>
    <w:p>
      <w:pPr>
        <w:ind w:left="288"/>
      </w:pPr>
      <w:r>
        <w:rPr>
          <w:b/>
          <w:color w:val="003CA0"/>
          <w:sz w:val="16"/>
        </w:rPr>
        <w:t>[HC 72.391 QO, rel. min. Celso de Mello, j. 8-3-1995, P, DJ de 17-3-1995.]</w:t>
      </w:r>
    </w:p>
    <w:p>
      <w:pPr>
        <w:ind w:left="288"/>
      </w:pPr>
      <w:r>
        <w:rPr>
          <w:color w:val="8C8C8C"/>
          <w:sz w:val="12"/>
        </w:rPr>
        <w:t>cf-art-5-inc-L</w:t>
      </w:r>
      <w:r>
        <w:rPr>
          <w:color w:val="003CA0"/>
          <w:sz w:val="12"/>
        </w:rPr>
        <w:t xml:space="preserve"> | HC 94.016</w:t>
      </w:r>
      <w:r>
        <w:rPr>
          <w:color w:val="003CA0"/>
          <w:sz w:val="12"/>
        </w:rPr>
        <w:t xml:space="preserve"> | rel. Celso de Mello</w:t>
      </w:r>
    </w:p>
    <w:p>
      <w:pPr>
        <w:ind w:left="288"/>
      </w:pPr>
      <w:r>
        <w:rPr>
          <w:color w:val="1E1E1E"/>
          <w:sz w:val="18"/>
        </w:rPr>
        <w:t>Vide HC 94.016, rel. min. Celso de Mello, j. 16-9-2008, 2ª T, DJE de 27-2-2009 O habeas corpus pode ser impetrado, perante o STF, mediante fax. A petição de habeas corpus transmitida por reprodução fac-similar deverá, no entanto, ser ratificada pelo impetrante dentro do prazo que lhe for assinado. A ausência dessa necessária ratificação implicará o não conhecimento do pedido.</w:t>
      </w:r>
    </w:p>
    <w:p>
      <w:pPr>
        <w:ind w:left="288"/>
      </w:pPr>
      <w:r>
        <w:rPr>
          <w:b/>
          <w:color w:val="003CA0"/>
          <w:sz w:val="16"/>
        </w:rPr>
        <w:t>[HC 71.084 QO, rel. min. Celso de Mello, j. 22-2-1994, 1ª T, DJ de 10-6-1994.]</w:t>
      </w:r>
    </w:p>
    <w:p>
      <w:pPr>
        <w:ind w:left="288"/>
      </w:pPr>
      <w:r>
        <w:rPr>
          <w:color w:val="8C8C8C"/>
          <w:sz w:val="12"/>
        </w:rPr>
        <w:t>cf-art-5-inc-L</w:t>
      </w:r>
      <w:r>
        <w:rPr>
          <w:color w:val="003CA0"/>
          <w:sz w:val="12"/>
        </w:rPr>
        <w:t xml:space="preserve"> | RHC 81.961</w:t>
      </w:r>
      <w:r>
        <w:rPr>
          <w:color w:val="003CA0"/>
          <w:sz w:val="12"/>
        </w:rPr>
        <w:t xml:space="preserve"> | rel. Carlos Velloso</w:t>
      </w:r>
    </w:p>
    <w:p>
      <w:pPr>
        <w:ind w:left="288"/>
      </w:pPr>
      <w:r>
        <w:rPr>
          <w:color w:val="1E1E1E"/>
          <w:sz w:val="18"/>
        </w:rPr>
        <w:t>Vide RHC 81.961, rel. min. Carlos Velloso, j. 4-6-2002, 2ª T, DJ de 28-6-2002 O Ministério Público dispõe de legitimidade ativa ad causam para ajuizar, em favor de terceiros, a ação penal de habeas corpus. O remédio processual do habeas corpus não pode ser utilizado como instrumento de tutela dos direitos do Estado. Esse writ constitucional há de ser visto e interpretado em função de sua específica destinação tutelar: a salvaguarda do estado de liberdade do paciente. A impetração do habeas corpus, com desvio de sua finalidade jurídico-constitucional, objetivando satisfazer, ainda que por via r</w:t>
      </w:r>
    </w:p>
    <w:p>
      <w:pPr>
        <w:ind w:left="288"/>
      </w:pPr>
      <w:r>
        <w:rPr>
          <w:b/>
          <w:color w:val="003CA0"/>
          <w:sz w:val="16"/>
        </w:rPr>
        <w:t>[HC 69.889 diligência, rel. min. Celso de Mello, j. 2-2-1993, 1ª T, DJ de 1º-7-1993.]</w:t>
      </w:r>
    </w:p>
    <w:p>
      <w:pPr>
        <w:ind w:left="288"/>
      </w:pPr>
      <w:r>
        <w:rPr>
          <w:color w:val="8C8C8C"/>
          <w:sz w:val="12"/>
        </w:rPr>
        <w:t>cf-art-5-inc-L</w:t>
      </w:r>
      <w:r>
        <w:rPr>
          <w:color w:val="003CA0"/>
          <w:sz w:val="12"/>
        </w:rPr>
        <w:t xml:space="preserve"> | HC 75.347</w:t>
      </w:r>
      <w:r>
        <w:rPr>
          <w:color w:val="003CA0"/>
          <w:sz w:val="12"/>
        </w:rPr>
        <w:t xml:space="preserve"> | rel. Carlos Velloso</w:t>
      </w:r>
    </w:p>
    <w:p>
      <w:pPr>
        <w:ind w:left="288"/>
      </w:pPr>
      <w:r>
        <w:rPr>
          <w:color w:val="1E1E1E"/>
          <w:sz w:val="18"/>
        </w:rPr>
        <w:t>= HC 75.347, rel. min. Carlos Velloso, j. 3-12-1997, P, DJ de 6-3-1998 = HC 90.303, rel. min. Ricardo Lewandowski, j. 12-6-2007, 1ª T, DJE de 11-4-2008 A ação de habeas corpus constitui remédio processual inadequado, quando ajuizada com objetivo (a) de promover a análise da prova penal, (b) de efetuar o reexame do conjunto probatório regularmente produzido, (c) de provocar a reapreciação da matéria de fato e (d) de proceder à revalorização dos elementos instrutórios coligidos no processo penal de conhecimento.</w:t>
      </w:r>
    </w:p>
    <w:p>
      <w:pPr>
        <w:ind w:left="288"/>
      </w:pPr>
      <w:r>
        <w:rPr>
          <w:b/>
          <w:color w:val="003CA0"/>
          <w:sz w:val="16"/>
        </w:rPr>
        <w:t>[HC 69.780, rel. min. Celso de Mello, j. 1º-12-1992, 1ª T, DJ de 17-6-2005.]</w:t>
      </w:r>
    </w:p>
    <w:p>
      <w:pPr>
        <w:ind w:left="288"/>
      </w:pPr>
      <w:r>
        <w:rPr>
          <w:color w:val="8C8C8C"/>
          <w:sz w:val="12"/>
        </w:rPr>
        <w:t>cf-art-5-inc-L</w:t>
      </w:r>
      <w:r>
        <w:rPr>
          <w:color w:val="003CA0"/>
          <w:sz w:val="12"/>
        </w:rPr>
        <w:t xml:space="preserve"> | HC 94.817</w:t>
      </w:r>
      <w:r>
        <w:rPr>
          <w:color w:val="003CA0"/>
          <w:sz w:val="12"/>
        </w:rPr>
        <w:t xml:space="preserve"> | rel. Gilmar Mendes</w:t>
      </w:r>
    </w:p>
    <w:p>
      <w:pPr>
        <w:ind w:left="288"/>
      </w:pPr>
      <w:r>
        <w:rPr>
          <w:color w:val="1E1E1E"/>
          <w:sz w:val="18"/>
        </w:rPr>
        <w:t>= HC 94.817, rel. min. Gilmar Mendes, j. 3-8-2010, 2ª T, DJE de 3-9-2010 Vide HC 98.816, rel. min. Ricardo Lewandowski, j. 29-6-2010, 1ª T, DJE de 3-9-2010 São bastante estritos os pressupostos de aplicabilidade da norma inscrita no art. 580 do CPP, que somente se estende ao réu – que não recorreu – em quatro situações específicas: ausência de materialidade do fato; atipicidade do comportamento do agente; descaracterização da natureza infracional do ato objeto da imputação penal; e configuração de causa extintiva de punibilidade.</w:t>
      </w:r>
    </w:p>
    <w:p>
      <w:pPr>
        <w:ind w:left="288"/>
      </w:pPr>
      <w:r>
        <w:rPr>
          <w:b/>
          <w:color w:val="003CA0"/>
          <w:sz w:val="16"/>
        </w:rPr>
        <w:t>[HC 69.570, rel. min. Celso de Mello, j. 29-9-1992, 1ª T, DJE de 27-10-2006.]</w:t>
      </w:r>
    </w:p>
    <w:p>
      <w:pPr>
        <w:ind w:left="288"/>
      </w:pPr>
      <w:r>
        <w:rPr>
          <w:color w:val="8C8C8C"/>
          <w:sz w:val="12"/>
        </w:rPr>
        <w:t>cf-art-5-inc-L</w:t>
      </w:r>
      <w:r>
        <w:rPr>
          <w:color w:val="003CA0"/>
          <w:sz w:val="12"/>
        </w:rPr>
        <w:t xml:space="preserve"> | RHC 97.458</w:t>
      </w:r>
      <w:r>
        <w:rPr>
          <w:color w:val="003CA0"/>
          <w:sz w:val="12"/>
        </w:rPr>
        <w:t xml:space="preserve"> | rel. Cármen Lúcia</w:t>
      </w:r>
    </w:p>
    <w:p>
      <w:pPr>
        <w:ind w:left="288"/>
      </w:pPr>
      <w:r>
        <w:rPr>
          <w:color w:val="1E1E1E"/>
          <w:sz w:val="18"/>
        </w:rPr>
        <w:t>= RHC 97.458 extensão, rel. min. Cármen Lúcia, j. 26-10-2010, 1ª T, DJE de 30-11-2010 Na apreciação de habeas corpus, o órgão investido do ofício judicante não está vinculado à causa de pedir e ao pedido formulados. Exsurgindo das peças dos autos a convicção sobre a existência de ato ilegal não veiculado pelo impetrante, cumpre-lhe afastá-lo, ainda que isto implique concessão de ordem em sentido diverso do pleiteado. Esta conclusão decorre da norma inserta no § 2º do art. 654 do CPP, no que disciplina a atuação judicante em tal campo independentemente da impetração do habeas corpus.</w:t>
      </w:r>
    </w:p>
    <w:p>
      <w:pPr>
        <w:ind w:left="288"/>
      </w:pPr>
      <w:r>
        <w:rPr>
          <w:b/>
          <w:color w:val="003CA0"/>
          <w:sz w:val="16"/>
        </w:rPr>
        <w:t>[HC 69.421, rel. min. Marco Aurélio, j. 30-6-1992, 2ª T, DJ de 28-8-1992.]</w:t>
      </w:r>
    </w:p>
    <w:p>
      <w:pPr>
        <w:ind w:left="288"/>
      </w:pPr>
      <w:r>
        <w:rPr>
          <w:color w:val="8C8C8C"/>
          <w:sz w:val="12"/>
        </w:rPr>
        <w:t>cf-art-5-inc-L</w:t>
      </w:r>
      <w:r>
        <w:rPr>
          <w:color w:val="003CA0"/>
          <w:sz w:val="12"/>
        </w:rPr>
        <w:t xml:space="preserve"> | HC 69.619</w:t>
      </w:r>
      <w:r>
        <w:rPr>
          <w:color w:val="003CA0"/>
          <w:sz w:val="12"/>
        </w:rPr>
        <w:t xml:space="preserve"> | rel. Sepúlveda Pertence</w:t>
      </w:r>
    </w:p>
    <w:p>
      <w:pPr>
        <w:ind w:left="288"/>
      </w:pPr>
      <w:r>
        <w:rPr>
          <w:color w:val="1E1E1E"/>
          <w:sz w:val="18"/>
        </w:rPr>
        <w:t>Habeas corpus: inidoneidade, segundo a jurisprudência atual (v.g., HC 69.619 e HC 68.507), para corrigir quaisquer ilegalidades da sentença penal condenatória que não impliquem coação ou iminência direta de coação à liberdade de ir e vir: aplicação a fortiori à hipótese do caso, quando a perda de bens já apreendidos operou-se ipso jure com o trânsito em julgado da condenação, sem que caiba, portanto, cogitar de quaisquer eventuais reflexos sobre a liberdade pessoal do paciente, que pudessem advir da execução do confisco.</w:t>
      </w:r>
    </w:p>
    <w:p>
      <w:pPr>
        <w:ind w:left="288"/>
      </w:pPr>
      <w:r>
        <w:rPr>
          <w:b/>
          <w:color w:val="003CA0"/>
          <w:sz w:val="16"/>
        </w:rPr>
        <w:t>[HC 69.419, rel. min. Sepúlveda Pertence, j. 23-6-1992, 1ª T, DJ de 28-8-1992.]</w:t>
      </w:r>
    </w:p>
    <w:p>
      <w:pPr>
        <w:ind w:left="288"/>
      </w:pPr>
      <w:r>
        <w:rPr>
          <w:color w:val="8C8C8C"/>
          <w:sz w:val="12"/>
        </w:rPr>
        <w:t>cf-art-5-inc-L</w:t>
      </w:r>
      <w:r>
        <w:rPr>
          <w:color w:val="003CA0"/>
          <w:sz w:val="12"/>
        </w:rPr>
        <w:t xml:space="preserve"> | HC 68.397</w:t>
      </w:r>
      <w:r>
        <w:rPr>
          <w:color w:val="003CA0"/>
          <w:sz w:val="12"/>
        </w:rPr>
        <w:t xml:space="preserve"> | rel. Celso de Mello</w:t>
      </w:r>
    </w:p>
    <w:p>
      <w:pPr>
        <w:ind w:left="288"/>
      </w:pPr>
      <w:r>
        <w:rPr>
          <w:color w:val="1E1E1E"/>
          <w:sz w:val="18"/>
        </w:rPr>
        <w:t>O processo de habeas corpus não comporta, ordinariamente, em face de seu caráter sumaríssimo, qualquer dilação probatória. Nada impede, contudo, como medida excepcional – e ante a singularidade do caso ocorrente – que o STF determine, nas situações de comprovada homonímia, a realização de prova que, por sua natureza essencial e indispensável, reveste-se de definitividade plena: a comparação pericial das individuais dactiloscópicas. Impõe-se a concessão do writ se, do confronto das individuais dactiloscópicas, resultar configurado que o paciente e o seu homônimo, que sofreu condenação penal, nã</w:t>
      </w:r>
    </w:p>
    <w:p>
      <w:pPr>
        <w:ind w:left="288"/>
      </w:pPr>
      <w:r>
        <w:rPr>
          <w:b/>
          <w:color w:val="003CA0"/>
          <w:sz w:val="16"/>
        </w:rPr>
        <w:t>[HC 68.397, rel. min. Celso de Mello, j. 18-2-1992, 1ª T, DJ de 26-6-1992.]</w:t>
      </w:r>
    </w:p>
    <w:p>
      <w:pPr>
        <w:ind w:left="288"/>
      </w:pPr>
      <w:r>
        <w:rPr>
          <w:color w:val="8C8C8C"/>
          <w:sz w:val="12"/>
        </w:rPr>
        <w:t>cf-art-5-inc-L</w:t>
      </w:r>
      <w:r>
        <w:rPr>
          <w:color w:val="003CA0"/>
          <w:sz w:val="12"/>
        </w:rPr>
        <w:t xml:space="preserve"> | HC 68.715</w:t>
      </w:r>
      <w:r>
        <w:rPr>
          <w:color w:val="003CA0"/>
          <w:sz w:val="12"/>
        </w:rPr>
        <w:t xml:space="preserve"> | rel. Paulo Brossard</w:t>
      </w:r>
    </w:p>
    <w:p>
      <w:pPr>
        <w:ind w:left="288"/>
      </w:pPr>
      <w:r>
        <w:rPr>
          <w:color w:val="1E1E1E"/>
          <w:sz w:val="18"/>
        </w:rPr>
        <w:t>Se o paciente já cumpriu a pena imposta na condenação, não cabe habeas corpus por lhe faltar o objeto específico de sua tutela: a "liberdade de locomoção" – atual ou ameaçada.</w:t>
      </w:r>
    </w:p>
    <w:p>
      <w:pPr>
        <w:ind w:left="288"/>
      </w:pPr>
      <w:r>
        <w:rPr>
          <w:b/>
          <w:color w:val="003CA0"/>
          <w:sz w:val="16"/>
        </w:rPr>
        <w:t>[HC 68.715, rel. min. Paulo Brossard, j. 10-12-1991, 2ª T, DJ de 14-2-1992.]</w:t>
      </w:r>
    </w:p>
    <w:p>
      <w:pPr>
        <w:ind w:left="288"/>
      </w:pPr>
      <w:r>
        <w:rPr>
          <w:color w:val="8C8C8C"/>
          <w:sz w:val="12"/>
        </w:rPr>
        <w:t>cf-art-5-inc-L</w:t>
      </w:r>
      <w:r>
        <w:rPr>
          <w:color w:val="003CA0"/>
          <w:sz w:val="12"/>
        </w:rPr>
        <w:t xml:space="preserve"> | HC 104.105</w:t>
      </w:r>
      <w:r>
        <w:rPr>
          <w:color w:val="003CA0"/>
          <w:sz w:val="12"/>
        </w:rPr>
        <w:t xml:space="preserve"> | rel. Ricardo Lewandowski</w:t>
      </w:r>
    </w:p>
    <w:p>
      <w:pPr>
        <w:ind w:left="288"/>
      </w:pPr>
      <w:r>
        <w:rPr>
          <w:color w:val="1E1E1E"/>
          <w:sz w:val="18"/>
        </w:rPr>
        <w:t>= HC 104.105, rel. min. Ricardo Lewandowski, j. 5-10-2010, 1ª T, DJE de 4-11-2010 Vide RHC 84.413, rel. min. Carlos Velloso, j. 29-6-2004, 2ª T, DJ de 20-8-2004 Habeas corpus: julgamento no STF: intervenção do querelante: garantias constitucionais do devido processo legal, do contraditório e da ampla defesa dos litigantes. Em habeas corpus impetrado em favor do querelado contra decisão que recebeu a queixa, é irrecusável a intervenção do querelante, que comparece ao feito para oferecer razões escritas e sustentá-las oralmente. Diferentemente do assistente do Ministério Público, que não é parte</w:t>
      </w:r>
    </w:p>
    <w:p>
      <w:pPr>
        <w:ind w:left="288"/>
      </w:pPr>
      <w:r>
        <w:rPr>
          <w:b/>
          <w:color w:val="003CA0"/>
          <w:sz w:val="16"/>
        </w:rPr>
        <w:t>[Pet 423 AgR, rel. min. Celso de Mello, red. do ac. min. Sepúlveda Pertence, j. 26-4-1991, P, DJ de 13-3-1992.]</w:t>
      </w:r>
    </w:p>
    <w:p>
      <w:pPr>
        <w:ind w:left="288"/>
      </w:pPr>
      <w:r>
        <w:rPr>
          <w:color w:val="8C8C8C"/>
          <w:sz w:val="12"/>
        </w:rPr>
        <w:t>cf-art-5-inc-L</w:t>
      </w:r>
      <w:r>
        <w:rPr>
          <w:color w:val="003CA0"/>
          <w:sz w:val="12"/>
        </w:rPr>
        <w:t xml:space="preserve"> | HC 68.242</w:t>
      </w:r>
      <w:r>
        <w:rPr>
          <w:color w:val="003CA0"/>
          <w:sz w:val="12"/>
        </w:rPr>
        <w:t xml:space="preserve"> | rel. Celso de Mello</w:t>
      </w:r>
    </w:p>
    <w:p>
      <w:pPr>
        <w:ind w:left="288"/>
      </w:pPr>
      <w:r>
        <w:rPr>
          <w:color w:val="1E1E1E"/>
          <w:sz w:val="18"/>
        </w:rPr>
        <w:t>A via jurisdicional do habeas corpus, necessariamente estreita em função de seu caráter sumaríssimo, não se revela hábil para a análise das excludentes anímicas, animus jocandi, animus defendendi, animus consulendi, animus corrigendi, animus narrandi, cuja efetiva ocorrência descaracterizaria a intenção de injuriar.</w:t>
      </w:r>
    </w:p>
    <w:p>
      <w:pPr>
        <w:ind w:left="288"/>
      </w:pPr>
      <w:r>
        <w:rPr>
          <w:b/>
          <w:color w:val="003CA0"/>
          <w:sz w:val="16"/>
        </w:rPr>
        <w:t>[HC 68.242, rel. min. Celso de Mello, j. 6-11-1990, P, DJ de 15-3-1991.]</w:t>
      </w:r>
    </w:p>
    <w:p>
      <w:pPr>
        <w:ind w:left="288"/>
      </w:pPr>
      <w:r>
        <w:rPr>
          <w:color w:val="8C8C8C"/>
          <w:sz w:val="12"/>
        </w:rPr>
        <w:t>cf-art-5-inc-L</w:t>
      </w:r>
    </w:p>
    <w:p>
      <w:pPr>
        <w:ind w:left="288"/>
      </w:pPr>
      <w:r>
        <w:rPr>
          <w:color w:val="1E1E1E"/>
          <w:sz w:val="18"/>
        </w:rPr>
        <w:t>LXIX - conceder-se-á mandado de segurança para proteger direito líquido e certo, não amparado por habeas corpus ou habeas data, quando o responsável pela ilegalidade ou abuso de poder for autoridade pública ou agente de pessoa jurídica no exercício de atribuições do Poder Público; É constitucional lei que fixa prazo de decadência para impetração de mandado de segurança.</w:t>
      </w:r>
    </w:p>
    <w:p>
      <w:pPr>
        <w:ind w:left="288"/>
      </w:pPr>
      <w:r>
        <w:rPr>
          <w:b/>
          <w:color w:val="003CA0"/>
          <w:sz w:val="16"/>
        </w:rPr>
        <w:t>[Súmula 632.]</w:t>
      </w:r>
    </w:p>
    <w:p>
      <w:pPr>
        <w:ind w:left="288"/>
      </w:pPr>
      <w:r>
        <w:rPr>
          <w:color w:val="8C8C8C"/>
          <w:sz w:val="12"/>
        </w:rPr>
        <w:t>cf-art-5-inc-L</w:t>
      </w:r>
    </w:p>
    <w:p>
      <w:pPr>
        <w:ind w:left="288"/>
      </w:pPr>
      <w:r>
        <w:rPr>
          <w:color w:val="1E1E1E"/>
          <w:sz w:val="18"/>
        </w:rPr>
        <w:t>A entidade de classe tem legitimação para o mandado de segurança ainda quando a pretensão veiculada interesse apenas a uma parte da respectiva categoria.</w:t>
      </w:r>
    </w:p>
    <w:p>
      <w:pPr>
        <w:ind w:left="288"/>
      </w:pPr>
      <w:r>
        <w:rPr>
          <w:b/>
          <w:color w:val="003CA0"/>
          <w:sz w:val="16"/>
        </w:rPr>
        <w:t>[Súmula 630.]</w:t>
      </w:r>
    </w:p>
    <w:p>
      <w:pPr>
        <w:ind w:left="288"/>
      </w:pPr>
      <w:r>
        <w:rPr>
          <w:color w:val="8C8C8C"/>
          <w:sz w:val="12"/>
        </w:rPr>
        <w:t>cf-art-5-inc-L</w:t>
      </w:r>
    </w:p>
    <w:p>
      <w:pPr>
        <w:ind w:left="288"/>
      </w:pPr>
      <w:r>
        <w:rPr>
          <w:color w:val="1E1E1E"/>
          <w:sz w:val="18"/>
        </w:rPr>
        <w:t>Controvérsia sobre matéria de direito não impede concessão de mandado de segurança.</w:t>
      </w:r>
    </w:p>
    <w:p>
      <w:pPr>
        <w:ind w:left="288"/>
      </w:pPr>
      <w:r>
        <w:rPr>
          <w:b/>
          <w:color w:val="003CA0"/>
          <w:sz w:val="16"/>
        </w:rPr>
        <w:t>[Súmula 625.]</w:t>
      </w:r>
    </w:p>
    <w:p>
      <w:pPr>
        <w:ind w:left="288"/>
      </w:pPr>
      <w:r>
        <w:rPr>
          <w:color w:val="8C8C8C"/>
          <w:sz w:val="12"/>
        </w:rPr>
        <w:t>cf-art-5-inc-L</w:t>
      </w:r>
    </w:p>
    <w:p>
      <w:pPr>
        <w:ind w:left="288"/>
      </w:pPr>
      <w:r>
        <w:rPr>
          <w:color w:val="1E1E1E"/>
          <w:sz w:val="18"/>
        </w:rPr>
        <w:t>Não cabe condenação em honorários de advogado na ação de mandado de segurança.</w:t>
      </w:r>
    </w:p>
    <w:p>
      <w:pPr>
        <w:ind w:left="288"/>
      </w:pPr>
      <w:r>
        <w:rPr>
          <w:b/>
          <w:color w:val="003CA0"/>
          <w:sz w:val="16"/>
        </w:rPr>
        <w:t>[Súmula 512.]</w:t>
      </w:r>
    </w:p>
    <w:p>
      <w:pPr>
        <w:ind w:left="288"/>
      </w:pPr>
      <w:r>
        <w:rPr>
          <w:color w:val="8C8C8C"/>
          <w:sz w:val="12"/>
        </w:rPr>
        <w:t>cf-art-5-inc-L</w:t>
      </w:r>
    </w:p>
    <w:p>
      <w:pPr>
        <w:ind w:left="288"/>
      </w:pPr>
      <w:r>
        <w:rPr>
          <w:color w:val="1E1E1E"/>
          <w:sz w:val="18"/>
        </w:rPr>
        <w:t>Praticado o ato por autoridade, no exercício de competência delegada, contra ela cabe o mandado de segurança ou a medida judicial.</w:t>
      </w:r>
    </w:p>
    <w:p>
      <w:pPr>
        <w:ind w:left="288"/>
      </w:pPr>
      <w:r>
        <w:rPr>
          <w:b/>
          <w:color w:val="003CA0"/>
          <w:sz w:val="16"/>
        </w:rPr>
        <w:t>[Súmula 510.]</w:t>
      </w:r>
    </w:p>
    <w:p>
      <w:pPr>
        <w:ind w:left="288"/>
      </w:pPr>
      <w:r>
        <w:rPr>
          <w:color w:val="8C8C8C"/>
          <w:sz w:val="12"/>
        </w:rPr>
        <w:t>cf-art-5-inc-L</w:t>
      </w:r>
    </w:p>
    <w:p>
      <w:pPr>
        <w:ind w:left="288"/>
      </w:pPr>
      <w:r>
        <w:rPr>
          <w:color w:val="1E1E1E"/>
          <w:sz w:val="18"/>
        </w:rPr>
        <w:t>Pedido de reconsideração na via administrativa não interrompe o prazo para o mandado de segurança.</w:t>
      </w:r>
    </w:p>
    <w:p>
      <w:pPr>
        <w:ind w:left="288"/>
      </w:pPr>
      <w:r>
        <w:rPr>
          <w:b/>
          <w:color w:val="003CA0"/>
          <w:sz w:val="16"/>
        </w:rPr>
        <w:t>[Súmula 430.]</w:t>
      </w:r>
    </w:p>
    <w:p>
      <w:pPr>
        <w:ind w:left="288"/>
      </w:pPr>
      <w:r>
        <w:rPr>
          <w:color w:val="8C8C8C"/>
          <w:sz w:val="12"/>
        </w:rPr>
        <w:t>cf-art-5-inc-L</w:t>
      </w:r>
    </w:p>
    <w:p>
      <w:pPr>
        <w:ind w:left="288"/>
      </w:pPr>
      <w:r>
        <w:rPr>
          <w:color w:val="1E1E1E"/>
          <w:sz w:val="18"/>
        </w:rPr>
        <w:t>Concessão de mandado de segurança não produz efeitos patrimoniais em relação a período pretérito, os quais devem ser reclamados administrativamente ou pela via judicial própria.</w:t>
      </w:r>
    </w:p>
    <w:p>
      <w:pPr>
        <w:ind w:left="288"/>
      </w:pPr>
      <w:r>
        <w:rPr>
          <w:b/>
          <w:color w:val="003CA0"/>
          <w:sz w:val="16"/>
        </w:rPr>
        <w:t>[Súmula 271.]</w:t>
      </w:r>
    </w:p>
    <w:p>
      <w:pPr>
        <w:ind w:left="288"/>
      </w:pPr>
      <w:r>
        <w:rPr>
          <w:color w:val="8C8C8C"/>
          <w:sz w:val="12"/>
        </w:rPr>
        <w:t>cf-art-5-inc-L</w:t>
      </w:r>
    </w:p>
    <w:p>
      <w:pPr>
        <w:ind w:left="288"/>
      </w:pPr>
      <w:r>
        <w:rPr>
          <w:color w:val="1E1E1E"/>
          <w:sz w:val="18"/>
        </w:rPr>
        <w:t>Não cabe mandado de segurança para impugnar enquadramento da Lei 3.780, de 12-7-1960, que envolva exame de prova ou de situação funcional complexa.</w:t>
      </w:r>
    </w:p>
    <w:p>
      <w:pPr>
        <w:ind w:left="288"/>
      </w:pPr>
      <w:r>
        <w:rPr>
          <w:b/>
          <w:color w:val="003CA0"/>
          <w:sz w:val="16"/>
        </w:rPr>
        <w:t>[Súmula 270.]</w:t>
      </w:r>
    </w:p>
    <w:p>
      <w:pPr>
        <w:ind w:left="288"/>
      </w:pPr>
      <w:r>
        <w:rPr>
          <w:color w:val="8C8C8C"/>
          <w:sz w:val="12"/>
        </w:rPr>
        <w:t>cf-art-5-inc-L</w:t>
      </w:r>
    </w:p>
    <w:p>
      <w:pPr>
        <w:ind w:left="288"/>
      </w:pPr>
      <w:r>
        <w:rPr>
          <w:color w:val="1E1E1E"/>
          <w:sz w:val="18"/>
        </w:rPr>
        <w:t>O mandado de segurança não é substitutivo de ação de cobrança.</w:t>
      </w:r>
    </w:p>
    <w:p>
      <w:pPr>
        <w:ind w:left="288"/>
      </w:pPr>
      <w:r>
        <w:rPr>
          <w:b/>
          <w:color w:val="003CA0"/>
          <w:sz w:val="16"/>
        </w:rPr>
        <w:t>[Súmula 269.]</w:t>
      </w:r>
    </w:p>
    <w:p>
      <w:pPr>
        <w:ind w:left="288"/>
      </w:pPr>
      <w:r>
        <w:rPr>
          <w:color w:val="8C8C8C"/>
          <w:sz w:val="12"/>
        </w:rPr>
        <w:t>cf-art-5-inc-L</w:t>
      </w:r>
    </w:p>
    <w:p>
      <w:pPr>
        <w:ind w:left="288"/>
      </w:pPr>
      <w:r>
        <w:rPr>
          <w:color w:val="1E1E1E"/>
          <w:sz w:val="18"/>
        </w:rPr>
        <w:t>Não cabe mandado de segurança contra decisão judicial com trânsito em julgado.</w:t>
      </w:r>
    </w:p>
    <w:p>
      <w:pPr>
        <w:ind w:left="288"/>
      </w:pPr>
      <w:r>
        <w:rPr>
          <w:b/>
          <w:color w:val="003CA0"/>
          <w:sz w:val="16"/>
        </w:rPr>
        <w:t>[Súmula 268.]</w:t>
      </w:r>
    </w:p>
    <w:p>
      <w:pPr>
        <w:ind w:left="288"/>
      </w:pPr>
      <w:r>
        <w:rPr>
          <w:color w:val="8C8C8C"/>
          <w:sz w:val="12"/>
        </w:rPr>
        <w:t>cf-art-5-inc-L</w:t>
      </w:r>
    </w:p>
    <w:p>
      <w:pPr>
        <w:ind w:left="288"/>
      </w:pPr>
      <w:r>
        <w:rPr>
          <w:color w:val="1E1E1E"/>
          <w:sz w:val="18"/>
        </w:rPr>
        <w:t>Não cabe mandado de segurança contra ato judicial passível de recurso ou correição.</w:t>
      </w:r>
    </w:p>
    <w:p>
      <w:pPr>
        <w:ind w:left="288"/>
      </w:pPr>
      <w:r>
        <w:rPr>
          <w:b/>
          <w:color w:val="003CA0"/>
          <w:sz w:val="16"/>
        </w:rPr>
        <w:t>[Súmula 267.]</w:t>
      </w:r>
    </w:p>
    <w:p>
      <w:pPr>
        <w:ind w:left="288"/>
      </w:pPr>
      <w:r>
        <w:rPr>
          <w:color w:val="8C8C8C"/>
          <w:sz w:val="12"/>
        </w:rPr>
        <w:t>cf-art-5-inc-L</w:t>
      </w:r>
    </w:p>
    <w:p>
      <w:pPr>
        <w:ind w:left="288"/>
      </w:pPr>
      <w:r>
        <w:rPr>
          <w:color w:val="1E1E1E"/>
          <w:sz w:val="18"/>
        </w:rPr>
        <w:t>Não cabe mandado de segurança contra lei em tese.</w:t>
      </w:r>
    </w:p>
    <w:p>
      <w:pPr>
        <w:ind w:left="288"/>
      </w:pPr>
      <w:r>
        <w:rPr>
          <w:b/>
          <w:color w:val="003CA0"/>
          <w:sz w:val="16"/>
        </w:rPr>
        <w:t>[Súmula 266.]</w:t>
      </w:r>
    </w:p>
    <w:p>
      <w:pPr>
        <w:ind w:left="288"/>
      </w:pPr>
      <w:r>
        <w:rPr>
          <w:color w:val="8C8C8C"/>
          <w:sz w:val="12"/>
        </w:rPr>
        <w:t>cf-art-5-inc-L</w:t>
      </w:r>
    </w:p>
    <w:p>
      <w:pPr>
        <w:ind w:left="288"/>
      </w:pPr>
      <w:r>
        <w:rPr>
          <w:color w:val="1E1E1E"/>
          <w:sz w:val="18"/>
        </w:rPr>
        <w:t>O mandado de segurança não substitui a ação popular.</w:t>
      </w:r>
    </w:p>
    <w:p>
      <w:pPr>
        <w:ind w:left="288"/>
      </w:pPr>
      <w:r>
        <w:rPr>
          <w:b/>
          <w:color w:val="003CA0"/>
          <w:sz w:val="16"/>
        </w:rPr>
        <w:t>[Súmula 101.]</w:t>
      </w:r>
    </w:p>
    <w:p>
      <w:pPr>
        <w:ind w:left="288"/>
      </w:pPr>
      <w:r>
        <w:rPr>
          <w:color w:val="8C8C8C"/>
          <w:sz w:val="12"/>
        </w:rPr>
        <w:t>cf-art-5-inc-L</w:t>
      </w:r>
      <w:r>
        <w:rPr>
          <w:color w:val="003CA0"/>
          <w:sz w:val="12"/>
        </w:rPr>
        <w:t xml:space="preserve"> | ADI 4.296</w:t>
      </w:r>
      <w:r>
        <w:rPr>
          <w:color w:val="003CA0"/>
          <w:sz w:val="12"/>
        </w:rPr>
        <w:t xml:space="preserve"> | rel. Marco Aurélio</w:t>
      </w:r>
    </w:p>
    <w:p>
      <w:pPr>
        <w:ind w:left="288"/>
      </w:pPr>
      <w:r>
        <w:rPr>
          <w:color w:val="1E1E1E"/>
          <w:sz w:val="18"/>
        </w:rPr>
        <w:t>Não cabe mandado de segurança contra atos de gestão comercial praticados por administradores de empresas públicas, sociedades de economia mista e concessionárias de serviço público (Lei 12.016/2019, art. 1º, § 2º).</w:t>
      </w:r>
    </w:p>
    <w:p>
      <w:pPr>
        <w:ind w:left="288"/>
      </w:pPr>
      <w:r>
        <w:rPr>
          <w:b/>
          <w:color w:val="003CA0"/>
          <w:sz w:val="16"/>
        </w:rPr>
        <w:t>[ADI 4.296, rel. min. Marco Aurélio, red. do ac. min. Alexandre de Moraes, j. 9-6-2021, P, DJE de 11-10-2021.]</w:t>
      </w:r>
    </w:p>
    <w:p>
      <w:pPr>
        <w:ind w:left="288"/>
      </w:pPr>
      <w:r>
        <w:rPr>
          <w:color w:val="8C8C8C"/>
          <w:sz w:val="12"/>
        </w:rPr>
        <w:t>cf-art-5-inc-L</w:t>
      </w:r>
      <w:r>
        <w:rPr>
          <w:color w:val="003CA0"/>
          <w:sz w:val="12"/>
        </w:rPr>
        <w:t xml:space="preserve"> | ADI 4.403</w:t>
      </w:r>
      <w:r>
        <w:rPr>
          <w:color w:val="003CA0"/>
          <w:sz w:val="12"/>
        </w:rPr>
        <w:t xml:space="preserve"> | rel. Edson Fachin</w:t>
      </w:r>
    </w:p>
    <w:p>
      <w:pPr>
        <w:ind w:left="288"/>
      </w:pPr>
      <w:r>
        <w:rPr>
          <w:color w:val="1E1E1E"/>
          <w:sz w:val="18"/>
        </w:rPr>
        <w:t>O art. 14, §2º, da Lei n. 12.016/2009, conferiu legitimidade recursal, não capacidade postulatória, à autoridade coatora, não havendo, pois, ofensa ao art. 133 da CRFB.</w:t>
      </w:r>
    </w:p>
    <w:p>
      <w:pPr>
        <w:ind w:left="288"/>
      </w:pPr>
      <w:r>
        <w:rPr>
          <w:b/>
          <w:color w:val="003CA0"/>
          <w:sz w:val="16"/>
        </w:rPr>
        <w:t>[ADI 4.403, rel. min. Edson Fachin, j. 23-8-2019, P, DJE de 9-9-2019.]</w:t>
      </w:r>
    </w:p>
    <w:p>
      <w:pPr>
        <w:ind w:left="288"/>
      </w:pPr>
      <w:r>
        <w:rPr>
          <w:color w:val="8C8C8C"/>
          <w:sz w:val="12"/>
        </w:rPr>
        <w:t>cf-art-5-inc-L</w:t>
      </w:r>
      <w:r>
        <w:rPr>
          <w:color w:val="003CA0"/>
          <w:sz w:val="12"/>
        </w:rPr>
        <w:t xml:space="preserve"> | MS 26.890</w:t>
      </w:r>
    </w:p>
    <w:p>
      <w:pPr>
        <w:ind w:left="288"/>
      </w:pPr>
      <w:r>
        <w:rPr>
          <w:color w:val="1E1E1E"/>
          <w:sz w:val="18"/>
        </w:rPr>
        <w:t>(...) na jurisprudência tradicional desta Suprema Corte: (i) “É lícito ao impetrante desistir da ação de mandado de segurança, independentemente de aquiescência da autoridade apontada como coatora ou da entidade estatal interessada ou, ainda, quando for o caso, dos litisconsortes passivos necessários” (MS 26.890 AgR/DF, Pleno, ministro Celso de Mello, DJE de 23-10-2009), (ii) “a qualquer momento antes do término do julgamento” (MS 24.584 AgR/DF, Pleno, ministro Ricardo Lewandowski, DJE de 20-6-2008), (iii) “mesmo após eventual sentença concessiva do writ constitucional, (…) não se aplicando, e</w:t>
      </w:r>
    </w:p>
    <w:p>
      <w:pPr>
        <w:ind w:left="288"/>
      </w:pPr>
      <w:r>
        <w:rPr>
          <w:b/>
          <w:color w:val="003CA0"/>
          <w:sz w:val="16"/>
        </w:rPr>
        <w:t>[RE 669.367, voto do red. do ac. min. Rosa Weber, j. 2-5-2013, P, DJE de 30-10-2014, Tema 530, com mérito julgado.]</w:t>
      </w:r>
    </w:p>
    <w:p>
      <w:pPr>
        <w:ind w:left="288"/>
      </w:pPr>
      <w:r>
        <w:rPr>
          <w:color w:val="8C8C8C"/>
          <w:sz w:val="12"/>
        </w:rPr>
        <w:t>cf-art-5-inc-L</w:t>
      </w:r>
      <w:r>
        <w:rPr>
          <w:color w:val="003CA0"/>
          <w:sz w:val="12"/>
        </w:rPr>
        <w:t xml:space="preserve"> | MS 29.083</w:t>
      </w:r>
      <w:r>
        <w:rPr>
          <w:color w:val="003CA0"/>
          <w:sz w:val="12"/>
        </w:rPr>
        <w:t xml:space="preserve"> | rel. Eros Grau</w:t>
      </w:r>
    </w:p>
    <w:p>
      <w:pPr>
        <w:ind w:left="288"/>
      </w:pPr>
      <w:r>
        <w:rPr>
          <w:color w:val="1E1E1E"/>
          <w:sz w:val="18"/>
        </w:rPr>
        <w:t>Vide MS 29.083 ED-ED-AgR, red. do ac. min. Dias Toffoli, j. 16-5-2017, 2ª T, DJE de 6-10-2017 Não cabe mandado de segurança das decisões interlocutórias exaradas em processos submetidos ao rito da Lei 9.099/1995.</w:t>
      </w:r>
    </w:p>
    <w:p>
      <w:pPr>
        <w:ind w:left="288"/>
      </w:pPr>
      <w:r>
        <w:rPr>
          <w:b/>
          <w:color w:val="003CA0"/>
          <w:sz w:val="16"/>
        </w:rPr>
        <w:t>[RE 576.847, rel. min. Eros Grau, j. 20-5-2009, P, DJE de 7-8-2009, Tema 77, com mérito julgado.]</w:t>
      </w:r>
    </w:p>
    <w:p>
      <w:pPr>
        <w:ind w:left="288"/>
      </w:pPr>
      <w:r>
        <w:rPr>
          <w:color w:val="8C8C8C"/>
          <w:sz w:val="12"/>
        </w:rPr>
        <w:t>cf-art-5-inc-L</w:t>
      </w:r>
      <w:r>
        <w:rPr>
          <w:color w:val="003CA0"/>
          <w:sz w:val="12"/>
        </w:rPr>
        <w:t xml:space="preserve"> | RE 669.367</w:t>
      </w:r>
    </w:p>
    <w:p>
      <w:pPr>
        <w:ind w:left="288"/>
      </w:pPr>
      <w:r>
        <w:rPr>
          <w:color w:val="1E1E1E"/>
          <w:sz w:val="18"/>
        </w:rPr>
        <w:t>Nas hipóteses em que demonstrado o mero intuito de se recusar observância a jurisprudência pacífica da Corte, o Supremo Tribunal tem afastado o entendimento firmado no RE 669.367 RG (relatora para o acórdão a ministra Rosa Weber, Pleno, DJE de 30-10-2014), segundo o qual pode a parte impetrante manifestar desistência da ação mandamental a qualquer tempo, mesmo após a sentença, independentemente da concordância da parte impetrada.</w:t>
      </w:r>
    </w:p>
    <w:p>
      <w:pPr>
        <w:ind w:left="288"/>
      </w:pPr>
      <w:r>
        <w:rPr>
          <w:b/>
          <w:color w:val="003CA0"/>
          <w:sz w:val="16"/>
        </w:rPr>
        <w:t>[MS 29.083 ED-ED-AgR, red. do ac. min. Dias Toffoli, j. 16-5-2017, 2ª T, DJE de 6-10-2017.]</w:t>
      </w:r>
    </w:p>
    <w:p>
      <w:pPr>
        <w:ind w:left="288"/>
      </w:pPr>
      <w:r>
        <w:rPr>
          <w:color w:val="8C8C8C"/>
          <w:sz w:val="12"/>
        </w:rPr>
        <w:t>cf-art-5-inc-L</w:t>
      </w:r>
      <w:r>
        <w:rPr>
          <w:color w:val="003CA0"/>
          <w:sz w:val="12"/>
        </w:rPr>
        <w:t xml:space="preserve"> | RE 669.367</w:t>
      </w:r>
      <w:r>
        <w:rPr>
          <w:color w:val="003CA0"/>
          <w:sz w:val="12"/>
        </w:rPr>
        <w:t xml:space="preserve"> | rel. Edson Fachin)</w:t>
      </w:r>
    </w:p>
    <w:p>
      <w:pPr>
        <w:ind w:left="288"/>
      </w:pPr>
      <w:r>
        <w:rPr>
          <w:color w:val="1E1E1E"/>
          <w:sz w:val="18"/>
        </w:rPr>
        <w:t>Vide RE 669.367, red. do ac. min. Rosa Weber, j. 2-5-2013, P, DJE de 30-10-2014, Tema 530 Embora haja questionamentos sobre a constitucionalidade do art. 14, § 1º, da Lei 12.016/2009, que estende à autoridade impetrada o direito de recorrer (ADI 4.403, rel. min. Edson Fachin), para os fins desta análise liminar, apoio-me na presunção de constitucionalidade do dispositivo e deixo de problematizar a ilegitimidade do ora recorrente. Nada obstante isso, o recurso não deve ser conhecido, por ausência de interesse recursal. A decisão recorrida considerou presente a plausibilidade jurídica das alegaç</w:t>
      </w:r>
    </w:p>
    <w:p>
      <w:pPr>
        <w:ind w:left="288"/>
      </w:pPr>
      <w:r>
        <w:rPr>
          <w:b/>
          <w:color w:val="003CA0"/>
          <w:sz w:val="16"/>
        </w:rPr>
        <w:t>[MS 33.729 MC-AgR, voto do min. Roberto Barroso, j. 3-9-2015, P, DJE de 4-2-2016.]</w:t>
      </w:r>
    </w:p>
    <w:p>
      <w:pPr>
        <w:ind w:left="288"/>
      </w:pPr>
      <w:r>
        <w:rPr>
          <w:color w:val="8C8C8C"/>
          <w:sz w:val="12"/>
        </w:rPr>
        <w:t>cf-art-5-inc-L</w:t>
      </w:r>
      <w:r>
        <w:rPr>
          <w:color w:val="003CA0"/>
          <w:sz w:val="12"/>
        </w:rPr>
        <w:t xml:space="preserve"> | MS 33.694</w:t>
      </w:r>
      <w:r>
        <w:rPr>
          <w:color w:val="003CA0"/>
          <w:sz w:val="12"/>
        </w:rPr>
        <w:t xml:space="preserve"> | rel. Cármen Lúcia</w:t>
      </w:r>
    </w:p>
    <w:p>
      <w:pPr>
        <w:ind w:left="288"/>
      </w:pPr>
      <w:r>
        <w:rPr>
          <w:color w:val="1E1E1E"/>
          <w:sz w:val="18"/>
        </w:rPr>
        <w:t>(...) o impetrante pretende submeter ao controle abstrato de constitucionalidade deste Supremo Tribunal o mérito do veto aposto pela presidente da República a proposta legislativa votada pelo Congresso Nacional, afirmando-o contrário aos arts. 5º, §§ 2º e 3º, e 206, I, da Constituição da República (...). Pretende obter a declaração de inconstitucionalidade do veto e, com isso, a promulgação de normas vetadas. O impetrante pretende substituir os instrumentos de controle abstrato de constitucionalidade pela ação de mandado de segurança. Aqueles instrumentos são dispostos constitucionalmente, têm</w:t>
      </w:r>
    </w:p>
    <w:p>
      <w:pPr>
        <w:ind w:left="288"/>
      </w:pPr>
      <w:r>
        <w:rPr>
          <w:b/>
          <w:color w:val="003CA0"/>
          <w:sz w:val="16"/>
        </w:rPr>
        <w:t>[MS 33.694, rel. min. Cármen Lúcia, j. 6-8-2015, dec. monocrática, DJE de 14-8-2015.]</w:t>
      </w:r>
    </w:p>
    <w:p>
      <w:pPr>
        <w:ind w:left="288"/>
      </w:pPr>
      <w:r>
        <w:rPr>
          <w:color w:val="8C8C8C"/>
          <w:sz w:val="12"/>
        </w:rPr>
        <w:t>cf-art-5-inc-L</w:t>
      </w:r>
      <w:r>
        <w:rPr>
          <w:color w:val="003CA0"/>
          <w:sz w:val="12"/>
        </w:rPr>
        <w:t xml:space="preserve"> | MS 33.694</w:t>
      </w:r>
      <w:r>
        <w:rPr>
          <w:color w:val="003CA0"/>
          <w:sz w:val="12"/>
        </w:rPr>
        <w:t xml:space="preserve"> | rel. Cármen Lúcia</w:t>
      </w:r>
    </w:p>
    <w:p>
      <w:pPr>
        <w:ind w:left="288"/>
      </w:pPr>
      <w:r>
        <w:rPr>
          <w:color w:val="1E1E1E"/>
          <w:sz w:val="18"/>
        </w:rPr>
        <w:t>= MS 33.694 AgR, rel. min. Cármen Lúcia, j. 7-10-2015, P, DJE de 26-10-2015 (...) mandado de segurança (...). Ilegitimidade do particular para, na qualidade de cidadão, atuar em face da Mesa da Câmara dos Deputados ou do Senado Federal na defesa de interesse de toda a coletividade.</w:t>
      </w:r>
    </w:p>
    <w:p>
      <w:pPr>
        <w:ind w:left="288"/>
      </w:pPr>
      <w:r>
        <w:rPr>
          <w:b/>
          <w:color w:val="003CA0"/>
          <w:sz w:val="16"/>
        </w:rPr>
        <w:t>[MS 32.052 AgR, rel. min. Dias Toffoli, j. 18-12-2013, P, DJE de 19-2-2014.]</w:t>
      </w:r>
    </w:p>
    <w:p>
      <w:pPr>
        <w:ind w:left="288"/>
      </w:pPr>
      <w:r>
        <w:rPr>
          <w:color w:val="8C8C8C"/>
          <w:sz w:val="12"/>
        </w:rPr>
        <w:t>cf-art-5-inc-L</w:t>
      </w:r>
      <w:r>
        <w:rPr>
          <w:color w:val="003CA0"/>
          <w:sz w:val="12"/>
        </w:rPr>
        <w:t xml:space="preserve"> | MS 28.772</w:t>
      </w:r>
      <w:r>
        <w:rPr>
          <w:color w:val="003CA0"/>
          <w:sz w:val="12"/>
        </w:rPr>
        <w:t xml:space="preserve"> | rel. Dias Toffoli</w:t>
      </w:r>
    </w:p>
    <w:p>
      <w:pPr>
        <w:ind w:left="288"/>
      </w:pPr>
      <w:r>
        <w:rPr>
          <w:color w:val="1E1E1E"/>
          <w:sz w:val="18"/>
        </w:rPr>
        <w:t>O mandado de segurança pressupõe a existência de direito próprio do impetrante. Somente pode socorrer-se dessa ação o titular do direito lesado ou ameaçado de lesão por ato ou omissão de autoridade, o que não se vislumbra na espécie.</w:t>
      </w:r>
    </w:p>
    <w:p>
      <w:pPr>
        <w:ind w:left="288"/>
      </w:pPr>
      <w:r>
        <w:rPr>
          <w:b/>
          <w:color w:val="003CA0"/>
          <w:sz w:val="16"/>
        </w:rPr>
        <w:t>[MS 28.772 AgR, rel. min. Dias Toffoli, j. 19-9-2013, P, DJE de 18-11-2013.]</w:t>
      </w:r>
    </w:p>
    <w:p>
      <w:pPr>
        <w:ind w:left="288"/>
      </w:pPr>
      <w:r>
        <w:rPr>
          <w:color w:val="8C8C8C"/>
          <w:sz w:val="12"/>
        </w:rPr>
        <w:t>cf-art-5-inc-L</w:t>
      </w:r>
      <w:r>
        <w:rPr>
          <w:color w:val="003CA0"/>
          <w:sz w:val="12"/>
        </w:rPr>
        <w:t xml:space="preserve"> | MS 31.816</w:t>
      </w:r>
    </w:p>
    <w:p>
      <w:pPr>
        <w:ind w:left="288"/>
      </w:pPr>
      <w:r>
        <w:rPr>
          <w:color w:val="1E1E1E"/>
          <w:sz w:val="18"/>
        </w:rPr>
        <w:t>A concessão de liminar, em mandado de segurança, supõe, além do risco de ineficácia da futura decisão definitiva da demanda, a elevada probabilidade de êxito da pretensão, tal como nela formulada.</w:t>
      </w:r>
    </w:p>
    <w:p>
      <w:pPr>
        <w:ind w:left="288"/>
      </w:pPr>
      <w:r>
        <w:rPr>
          <w:b/>
          <w:color w:val="003CA0"/>
          <w:sz w:val="16"/>
        </w:rPr>
        <w:t>[MS 31.816 MC-AgR, red. do ac. min. Teori Zavascki, j. 27-2-2013, P, DJE de 13-5-2013.]</w:t>
      </w:r>
    </w:p>
    <w:p>
      <w:pPr>
        <w:ind w:left="288"/>
      </w:pPr>
      <w:r>
        <w:rPr>
          <w:color w:val="8C8C8C"/>
          <w:sz w:val="12"/>
        </w:rPr>
        <w:t>cf-art-5-inc-L</w:t>
      </w:r>
      <w:r>
        <w:rPr>
          <w:color w:val="003CA0"/>
          <w:sz w:val="12"/>
        </w:rPr>
        <w:t xml:space="preserve"> | MS 28.177</w:t>
      </w:r>
      <w:r>
        <w:rPr>
          <w:color w:val="003CA0"/>
          <w:sz w:val="12"/>
        </w:rPr>
        <w:t xml:space="preserve"> | rel. Dias Toffoli</w:t>
      </w:r>
    </w:p>
    <w:p>
      <w:pPr>
        <w:ind w:left="288"/>
      </w:pPr>
      <w:r>
        <w:rPr>
          <w:color w:val="1E1E1E"/>
          <w:sz w:val="18"/>
        </w:rPr>
        <w:t>Vide MS 28.177 MC-AgR, red. do ac. min. min. Ricardo Lewandowski, j. 30-9-2009, P, DJE de 18-12-2009 É posição pacífica da jurisprudência desta Suprema Corte que o prazo decadencial para ajuizamento do mandado de segurança, mesmo que tenha ocorrido perante juízo absolutamente incompetente, há de ser aferido pela data em que foi originariamente protocolizado.</w:t>
      </w:r>
    </w:p>
    <w:p>
      <w:pPr>
        <w:ind w:left="288"/>
      </w:pPr>
      <w:r>
        <w:rPr>
          <w:b/>
          <w:color w:val="003CA0"/>
          <w:sz w:val="16"/>
        </w:rPr>
        <w:t>[MS 26.792 AgR, rel. min. Dias Toffoli, j. 4-9-2012, 1ª T, DJE de 27-9-2012.]</w:t>
      </w:r>
    </w:p>
    <w:p>
      <w:pPr>
        <w:ind w:left="288"/>
      </w:pPr>
      <w:r>
        <w:rPr>
          <w:color w:val="8C8C8C"/>
          <w:sz w:val="12"/>
        </w:rPr>
        <w:t>cf-art-5-inc-L</w:t>
      </w:r>
      <w:r>
        <w:rPr>
          <w:color w:val="003CA0"/>
          <w:sz w:val="12"/>
        </w:rPr>
        <w:t xml:space="preserve"> | MS 27.750</w:t>
      </w:r>
    </w:p>
    <w:p>
      <w:pPr>
        <w:ind w:left="288"/>
      </w:pPr>
      <w:r>
        <w:rPr>
          <w:color w:val="1E1E1E"/>
          <w:sz w:val="18"/>
        </w:rPr>
        <w:t>Com efeito, o alegado direito líquido e certo à posse na data aprazada ou à reserva de vaga não configura direito autônomo do impetrante que mereça ser amparado por mandado de segurança, significando, tão somente, a extensão do provimento que se busca para acautelar eventual procedência da ação ordinária (...), devendo, portanto, ser postulado no juízo competente para conhecer da matéria de fundo.</w:t>
      </w:r>
    </w:p>
    <w:p>
      <w:pPr>
        <w:ind w:left="288"/>
      </w:pPr>
      <w:r>
        <w:rPr>
          <w:b/>
          <w:color w:val="003CA0"/>
          <w:sz w:val="16"/>
        </w:rPr>
        <w:t>[MS 27.750 AgR, voto do min. Dias Toffoli, j. 12-6-2012, 1ª T, DJE de 9-8-2012.]</w:t>
      </w:r>
    </w:p>
    <w:p>
      <w:pPr>
        <w:ind w:left="288"/>
      </w:pPr>
      <w:r>
        <w:rPr>
          <w:color w:val="8C8C8C"/>
          <w:sz w:val="12"/>
        </w:rPr>
        <w:t>cf-art-5-inc-L</w:t>
      </w:r>
      <w:r>
        <w:rPr>
          <w:color w:val="003CA0"/>
          <w:sz w:val="12"/>
        </w:rPr>
        <w:t xml:space="preserve"> | RE 676.774</w:t>
      </w:r>
      <w:r>
        <w:rPr>
          <w:color w:val="003CA0"/>
          <w:sz w:val="12"/>
        </w:rPr>
        <w:t xml:space="preserve"> | rel. Celso de Mello</w:t>
      </w:r>
    </w:p>
    <w:p>
      <w:pPr>
        <w:ind w:left="288"/>
      </w:pPr>
      <w:r>
        <w:rPr>
          <w:color w:val="1E1E1E"/>
          <w:sz w:val="18"/>
        </w:rPr>
        <w:t>Os efeitos patrimoniais resultantes da concessão de mandado de segurança somente abrangem os valores devidos a partir da data da impetração mandamental, excluídas, em consequência, as parcelas anteriores ao ajuizamento da ação de mandado de segurança, que poderão, no entanto, ser vindicadas em sede administrativa ou demandadas em via judicial própria.</w:t>
      </w:r>
    </w:p>
    <w:p>
      <w:pPr>
        <w:ind w:left="288"/>
      </w:pPr>
      <w:r>
        <w:rPr>
          <w:b/>
          <w:color w:val="003CA0"/>
          <w:sz w:val="16"/>
        </w:rPr>
        <w:t>[RE 676.774, rel. min. Celso de Mello, j. 8-6-2012, dec. monocrática, DJE de 13-6-2012.]</w:t>
      </w:r>
    </w:p>
    <w:p>
      <w:pPr>
        <w:ind w:left="288"/>
      </w:pPr>
      <w:r>
        <w:rPr>
          <w:color w:val="8C8C8C"/>
          <w:sz w:val="12"/>
        </w:rPr>
        <w:t>cf-art-5-inc-L</w:t>
      </w:r>
      <w:r>
        <w:rPr>
          <w:color w:val="003CA0"/>
          <w:sz w:val="12"/>
        </w:rPr>
        <w:t xml:space="preserve"> | MS 30.822</w:t>
      </w:r>
      <w:r>
        <w:rPr>
          <w:color w:val="003CA0"/>
          <w:sz w:val="12"/>
        </w:rPr>
        <w:t xml:space="preserve"> | rel. Ricardo Lewandowski</w:t>
      </w:r>
    </w:p>
    <w:p>
      <w:pPr>
        <w:ind w:left="288"/>
      </w:pPr>
      <w:r>
        <w:rPr>
          <w:color w:val="1E1E1E"/>
          <w:sz w:val="18"/>
        </w:rPr>
        <w:t>O art. 5º, I, da Lei 12.016/2009 não configura uma condição de procedibilidade, mas tão somente uma causa impeditiva de que se utilize simultaneamente o recurso administrativo com efeito suspensivo e o mandamus.</w:t>
      </w:r>
    </w:p>
    <w:p>
      <w:pPr>
        <w:ind w:left="288"/>
      </w:pPr>
      <w:r>
        <w:rPr>
          <w:b/>
          <w:color w:val="003CA0"/>
          <w:sz w:val="16"/>
        </w:rPr>
        <w:t>[MS 30.822, rel. min. Ricardo Lewandowski, j. 5-6-2012, 2ª T, DJE de 26-6-2012.]</w:t>
      </w:r>
    </w:p>
    <w:p>
      <w:pPr>
        <w:ind w:left="288"/>
      </w:pPr>
      <w:r>
        <w:rPr>
          <w:color w:val="8C8C8C"/>
          <w:sz w:val="12"/>
        </w:rPr>
        <w:t>cf-art-5-inc-L</w:t>
      </w:r>
      <w:r>
        <w:rPr>
          <w:color w:val="003CA0"/>
          <w:sz w:val="12"/>
        </w:rPr>
        <w:t xml:space="preserve"> | RMS 30.990</w:t>
      </w:r>
      <w:r>
        <w:rPr>
          <w:color w:val="003CA0"/>
          <w:sz w:val="12"/>
        </w:rPr>
        <w:t xml:space="preserve"> | rel. Marco Aurélio</w:t>
      </w:r>
    </w:p>
    <w:p>
      <w:pPr>
        <w:ind w:left="288"/>
      </w:pPr>
      <w:r>
        <w:rPr>
          <w:color w:val="1E1E1E"/>
          <w:sz w:val="18"/>
        </w:rPr>
        <w:t>O mandado de segurança há de ser impetrado no prazo assinado em lei, não o reabrindo pedido de reconsideração formalizado anos após o ato atacado ter vindo à balha.</w:t>
      </w:r>
    </w:p>
    <w:p>
      <w:pPr>
        <w:ind w:left="288"/>
      </w:pPr>
      <w:r>
        <w:rPr>
          <w:b/>
          <w:color w:val="003CA0"/>
          <w:sz w:val="16"/>
        </w:rPr>
        <w:t>[RMS 30.990, rel. min. Marco Aurélio, j. 8-5-2012, 1ª T, DJE de 5-6-2012.]</w:t>
      </w:r>
    </w:p>
    <w:p>
      <w:pPr>
        <w:ind w:left="288"/>
      </w:pPr>
      <w:r>
        <w:rPr>
          <w:color w:val="8C8C8C"/>
          <w:sz w:val="12"/>
        </w:rPr>
        <w:t>cf-art-5-inc-L</w:t>
      </w:r>
      <w:r>
        <w:rPr>
          <w:color w:val="003CA0"/>
          <w:sz w:val="12"/>
        </w:rPr>
        <w:t xml:space="preserve"> | MS 30.981</w:t>
      </w:r>
      <w:r>
        <w:rPr>
          <w:color w:val="003CA0"/>
          <w:sz w:val="12"/>
        </w:rPr>
        <w:t xml:space="preserve"> | rel. Gilmar Mendes</w:t>
      </w:r>
    </w:p>
    <w:p>
      <w:pPr>
        <w:ind w:left="288"/>
      </w:pPr>
      <w:r>
        <w:rPr>
          <w:color w:val="1E1E1E"/>
          <w:sz w:val="18"/>
        </w:rPr>
        <w:t>= MS 30.981 AgR, rel. min. Gilmar Mendes, j. 14-8-2012, 2ª T, DJE de 27-8-2012 CNJ. Decisão que determina a nomeação de candidatos aprovados em concurso público. Decadência do mandado de segurança. Alegada ausência de efeitos imediatos da decisão recorrida. Improcedência. O ato apontado como coator tem natureza comissiva e produz efeitos desde sua edição. O deferimento de prazo para o cumprimento da determinação não afasta a natureza cogente da decisão, que incide imediatamente na esfera jurídica da parte contra a qual ela é dirigida, restringindo sua autonomia para decidir sobre o momento e a</w:t>
      </w:r>
    </w:p>
    <w:p>
      <w:pPr>
        <w:ind w:left="288"/>
      </w:pPr>
      <w:r>
        <w:rPr>
          <w:b/>
          <w:color w:val="003CA0"/>
          <w:sz w:val="16"/>
        </w:rPr>
        <w:t>[MS 30.588 AgR, rel. min. Cármen Lúcia, j. 6-10-2011, P, DJE de 25-10-2011.]</w:t>
      </w:r>
    </w:p>
    <w:p>
      <w:pPr>
        <w:ind w:left="288"/>
      </w:pPr>
      <w:r>
        <w:rPr>
          <w:color w:val="8C8C8C"/>
          <w:sz w:val="12"/>
        </w:rPr>
        <w:t>cf-art-5-inc-L</w:t>
      </w:r>
      <w:r>
        <w:rPr>
          <w:color w:val="003CA0"/>
          <w:sz w:val="12"/>
        </w:rPr>
        <w:t xml:space="preserve"> | MS 27.851</w:t>
      </w:r>
      <w:r>
        <w:rPr>
          <w:color w:val="003CA0"/>
          <w:sz w:val="12"/>
        </w:rPr>
        <w:t xml:space="preserve"> | rel. Dias Toffoli</w:t>
      </w:r>
    </w:p>
    <w:p>
      <w:pPr>
        <w:ind w:left="288"/>
      </w:pPr>
      <w:r>
        <w:rPr>
          <w:color w:val="1E1E1E"/>
          <w:sz w:val="18"/>
        </w:rPr>
        <w:t>A própria Lei 12.016, no intuito de se amoldar ao entendimento desta Corte, estipulou, no seu art. 6º, §3º, que não apenas a autoridade que edita o ato mas também aquela que ordena a sua execução deverão figurar no polo passivo do writ.</w:t>
      </w:r>
    </w:p>
    <w:p>
      <w:pPr>
        <w:ind w:left="288"/>
      </w:pPr>
      <w:r>
        <w:rPr>
          <w:b/>
          <w:color w:val="003CA0"/>
          <w:sz w:val="16"/>
        </w:rPr>
        <w:t>[MS 27.851, rel. min. Dias Toffoli, red. do ac. Luiz Fux, j. 27-9-2011, 1ª T, DJE de 23-11-2011.]</w:t>
      </w:r>
    </w:p>
    <w:p>
      <w:pPr>
        <w:ind w:left="288"/>
      </w:pPr>
      <w:r>
        <w:rPr>
          <w:color w:val="8C8C8C"/>
          <w:sz w:val="12"/>
        </w:rPr>
        <w:t>cf-art-5-inc-L</w:t>
      </w:r>
      <w:r>
        <w:rPr>
          <w:color w:val="003CA0"/>
          <w:sz w:val="12"/>
        </w:rPr>
        <w:t xml:space="preserve"> | MS 28.447</w:t>
      </w:r>
      <w:r>
        <w:rPr>
          <w:color w:val="003CA0"/>
          <w:sz w:val="12"/>
        </w:rPr>
        <w:t xml:space="preserve"> | rel. Dias Toffoli</w:t>
      </w:r>
    </w:p>
    <w:p>
      <w:pPr>
        <w:ind w:left="288"/>
      </w:pPr>
      <w:r>
        <w:rPr>
          <w:color w:val="1E1E1E"/>
          <w:sz w:val="18"/>
        </w:rPr>
        <w:t>A condição de candidato elegível para cargo de direção de tribunal confere-lhe pretensão a ser deduzida em juízo, possuindo legitimidade para propositura do mandamus.</w:t>
      </w:r>
    </w:p>
    <w:p>
      <w:pPr>
        <w:ind w:left="288"/>
      </w:pPr>
      <w:r>
        <w:rPr>
          <w:b/>
          <w:color w:val="003CA0"/>
          <w:sz w:val="16"/>
        </w:rPr>
        <w:t>[MS 28.447, rel. min. Dias Toffoli, j. 25-8-2011, P, DJE de 23-11-2011.]</w:t>
      </w:r>
    </w:p>
    <w:p>
      <w:pPr>
        <w:ind w:left="288"/>
      </w:pPr>
      <w:r>
        <w:rPr>
          <w:color w:val="8C8C8C"/>
          <w:sz w:val="12"/>
        </w:rPr>
        <w:t>cf-art-5-inc-L</w:t>
      </w:r>
      <w:r>
        <w:rPr>
          <w:color w:val="003CA0"/>
          <w:sz w:val="12"/>
        </w:rPr>
        <w:t xml:space="preserve"> | MS 29.108</w:t>
      </w:r>
      <w:r>
        <w:rPr>
          <w:color w:val="003CA0"/>
          <w:sz w:val="12"/>
        </w:rPr>
        <w:t xml:space="preserve"> | rel. Celso de Mello</w:t>
      </w:r>
    </w:p>
    <w:p>
      <w:pPr>
        <w:ind w:left="288"/>
      </w:pPr>
      <w:r>
        <w:rPr>
          <w:color w:val="1E1E1E"/>
          <w:sz w:val="18"/>
        </w:rPr>
        <w:t>O termo inicial do prazo decadencial de 120 dias começa a fluir, para efeito de impetração do mandado de segurança, a partir da data em que o ato do poder público, formalmente divulgado no Diário Oficial, revela-se apto a gerar efeitos lesivos na esfera jurídica do interessado. (...) O ato estatal eivado de ilegalidade ou de abuso de poder não se convalida nem adquire consistência jurídica pelo simples decurso, in albis, do prazo decadencial a que se refere o art. 23 da Lei 12.016/2009. A extinção do direito de impetrar mandado de segurança, resultante da consumação do prazo decadencial, embor</w:t>
      </w:r>
    </w:p>
    <w:p>
      <w:pPr>
        <w:ind w:left="288"/>
      </w:pPr>
      <w:r>
        <w:rPr>
          <w:b/>
          <w:color w:val="003CA0"/>
          <w:sz w:val="16"/>
        </w:rPr>
        <w:t>[MS 29.108 ED, rel. min. Celso de Mello, j. 11-5-2011, P, DJE de 22-6-2011.]</w:t>
      </w:r>
    </w:p>
    <w:p>
      <w:pPr>
        <w:ind w:left="288"/>
      </w:pPr>
      <w:r>
        <w:rPr>
          <w:color w:val="8C8C8C"/>
          <w:sz w:val="12"/>
        </w:rPr>
        <w:t>cf-art-5-inc-L</w:t>
      </w:r>
      <w:r>
        <w:rPr>
          <w:color w:val="003CA0"/>
          <w:sz w:val="12"/>
        </w:rPr>
        <w:t xml:space="preserve"> | MS 25.985</w:t>
      </w:r>
      <w:r>
        <w:rPr>
          <w:color w:val="003CA0"/>
          <w:sz w:val="12"/>
        </w:rPr>
        <w:t xml:space="preserve"> | rel. Marco Aurélio</w:t>
      </w:r>
    </w:p>
    <w:p>
      <w:pPr>
        <w:ind w:left="288"/>
      </w:pPr>
      <w:r>
        <w:rPr>
          <w:color w:val="1E1E1E"/>
          <w:sz w:val="18"/>
        </w:rPr>
        <w:t>Vide MS 25.985 AgR, rel. min. Marco Aurélio, j. 1º-7-2009, P, DJE de 21-8-2009 Vide RMS 23.987, rel. min. Moreira Alves, j. 25-3-2003, 1ª T, DJ de 2-5-2003 Mandado de segurança preventivo. A circunstância de a alegada ameaça de lesão ao direito pretensamente titularizado pelo impetrante ter-se convolado em ato concreto não acarreta perda de objeto da ação.</w:t>
      </w:r>
    </w:p>
    <w:p>
      <w:pPr>
        <w:ind w:left="288"/>
      </w:pPr>
      <w:r>
        <w:rPr>
          <w:b/>
          <w:color w:val="003CA0"/>
          <w:sz w:val="16"/>
        </w:rPr>
        <w:t>[MS 30.260 e MS 30.272, rel. min. Cármen Lúcia, j. 27-4-2011, P, DJE de 30-8-2011.]</w:t>
      </w:r>
    </w:p>
    <w:p>
      <w:pPr>
        <w:ind w:left="288"/>
      </w:pPr>
      <w:r>
        <w:rPr>
          <w:color w:val="8C8C8C"/>
          <w:sz w:val="12"/>
        </w:rPr>
        <w:t>cf-art-5-inc-L</w:t>
      </w:r>
      <w:r>
        <w:rPr>
          <w:color w:val="003CA0"/>
          <w:sz w:val="12"/>
        </w:rPr>
        <w:t xml:space="preserve"> | MS 34.217</w:t>
      </w:r>
      <w:r>
        <w:rPr>
          <w:color w:val="003CA0"/>
          <w:sz w:val="12"/>
        </w:rPr>
        <w:t xml:space="preserve"> | rel. Celso de Mello</w:t>
      </w:r>
    </w:p>
    <w:p>
      <w:pPr>
        <w:ind w:left="288"/>
      </w:pPr>
      <w:r>
        <w:rPr>
          <w:color w:val="1E1E1E"/>
          <w:sz w:val="18"/>
        </w:rPr>
        <w:t>= MS 34.217 MC, rel. min. Celso de Mello, j. 22-8-2016, dec. monocrática, DJE de 25-8-2016 Mostra-se válido o redirecionamento subjetivo do mandado de segurança quando a inicial é aditada dentro do prazo de 120 dias da prática do ato impugnado.</w:t>
      </w:r>
    </w:p>
    <w:p>
      <w:pPr>
        <w:ind w:left="288"/>
      </w:pPr>
      <w:r>
        <w:rPr>
          <w:b/>
          <w:color w:val="003CA0"/>
          <w:sz w:val="16"/>
        </w:rPr>
        <w:t>[MS 26.391, rel. min. Marco Aurélio, j. 13-4-2011, P, DJE de 6-6-2011.]</w:t>
      </w:r>
    </w:p>
    <w:p>
      <w:pPr>
        <w:ind w:left="288"/>
      </w:pPr>
      <w:r>
        <w:rPr>
          <w:color w:val="8C8C8C"/>
          <w:sz w:val="12"/>
        </w:rPr>
        <w:t>cf-art-5-inc-L</w:t>
      </w:r>
      <w:r>
        <w:rPr>
          <w:color w:val="003CA0"/>
          <w:sz w:val="12"/>
        </w:rPr>
        <w:t xml:space="preserve"> | MS 25.563</w:t>
      </w:r>
      <w:r>
        <w:rPr>
          <w:color w:val="003CA0"/>
          <w:sz w:val="12"/>
        </w:rPr>
        <w:t xml:space="preserve"> | rel. Marco Aurélio</w:t>
      </w:r>
    </w:p>
    <w:p>
      <w:pPr>
        <w:ind w:left="288"/>
      </w:pPr>
      <w:r>
        <w:rPr>
          <w:color w:val="1E1E1E"/>
          <w:sz w:val="18"/>
        </w:rPr>
        <w:t>Vide MS 25.563 AgR, rel. min. Marco Aurélio, j. 9-12-2010, P, DJE de 10-2-2011 O mandado de segurança há de ser tomado conforme os parâmetros subjetivos e objetivos retratados na inicial, não cabendo redirecionamento.</w:t>
      </w:r>
    </w:p>
    <w:p>
      <w:pPr>
        <w:ind w:left="288"/>
      </w:pPr>
      <w:r>
        <w:rPr>
          <w:b/>
          <w:color w:val="003CA0"/>
          <w:sz w:val="16"/>
        </w:rPr>
        <w:t>[MS 25.563 AgR, rel. min. Marco Aurélio, j. 9-12-2010, P, DJE de 10-2-2011.]</w:t>
      </w:r>
    </w:p>
    <w:p>
      <w:pPr>
        <w:ind w:left="288"/>
      </w:pPr>
      <w:r>
        <w:rPr>
          <w:color w:val="8C8C8C"/>
          <w:sz w:val="12"/>
        </w:rPr>
        <w:t>cf-art-5-inc-L</w:t>
      </w:r>
      <w:r>
        <w:rPr>
          <w:color w:val="003CA0"/>
          <w:sz w:val="12"/>
        </w:rPr>
        <w:t xml:space="preserve"> | MS 26.391</w:t>
      </w:r>
      <w:r>
        <w:rPr>
          <w:color w:val="003CA0"/>
          <w:sz w:val="12"/>
        </w:rPr>
        <w:t xml:space="preserve"> | rel. Marco Aurélio</w:t>
      </w:r>
    </w:p>
    <w:p>
      <w:pPr>
        <w:ind w:left="288"/>
      </w:pPr>
      <w:r>
        <w:rPr>
          <w:color w:val="1E1E1E"/>
          <w:sz w:val="18"/>
        </w:rPr>
        <w:t>Vide MS 26.391, rel. min. Marco Aurélio, j. 13-4-2011, P, DJE de 6-6-2011 Ante o objeto limitado do mandado de segurança, presente interesse subjetivo peculiar, é inadmissível a intervenção de terceiro na relação processual.</w:t>
      </w:r>
    </w:p>
    <w:p>
      <w:pPr>
        <w:ind w:left="288"/>
      </w:pPr>
      <w:r>
        <w:rPr>
          <w:b/>
          <w:color w:val="003CA0"/>
          <w:sz w:val="16"/>
        </w:rPr>
        <w:t>[RE 575.093 AgR, rel. min. Marco Aurélio, j. 9-12-2010, P, DJE de 11-2-2011.]</w:t>
      </w:r>
    </w:p>
    <w:p>
      <w:pPr>
        <w:ind w:left="288"/>
      </w:pPr>
      <w:r>
        <w:rPr>
          <w:color w:val="8C8C8C"/>
          <w:sz w:val="12"/>
        </w:rPr>
        <w:t>cf-art-5-inc-L</w:t>
      </w:r>
      <w:r>
        <w:rPr>
          <w:color w:val="003CA0"/>
          <w:sz w:val="12"/>
        </w:rPr>
        <w:t xml:space="preserve"> | MS 26.662</w:t>
      </w:r>
      <w:r>
        <w:rPr>
          <w:color w:val="003CA0"/>
          <w:sz w:val="12"/>
        </w:rPr>
        <w:t xml:space="preserve"> | rel. Ayres Britto</w:t>
      </w:r>
    </w:p>
    <w:p>
      <w:pPr>
        <w:ind w:left="288"/>
      </w:pPr>
      <w:r>
        <w:rPr>
          <w:color w:val="1E1E1E"/>
          <w:sz w:val="18"/>
        </w:rPr>
        <w:t>A existência de diferentes impetrados não afasta a identidade de partes se as autoridades são vinculadas a u´a mesma pessoa jurídica de direito público. Há litispendência, e não continência, se a diferença entre os objetos das ações mandamentais é matéria insusceptível de exame por meio de mandado de segurança.</w:t>
      </w:r>
    </w:p>
    <w:p>
      <w:pPr>
        <w:ind w:left="288"/>
      </w:pPr>
      <w:r>
        <w:rPr>
          <w:b/>
          <w:color w:val="003CA0"/>
          <w:sz w:val="16"/>
        </w:rPr>
        <w:t>[MS 26.662 AgR, rel. min. Ayres Britto, j. 10-11-2010, P, DJE de 15-12-2010.]</w:t>
      </w:r>
    </w:p>
    <w:p>
      <w:pPr>
        <w:ind w:left="288"/>
      </w:pPr>
      <w:r>
        <w:rPr>
          <w:color w:val="8C8C8C"/>
          <w:sz w:val="12"/>
        </w:rPr>
        <w:t>cf-art-5-inc-L</w:t>
      </w:r>
      <w:r>
        <w:rPr>
          <w:color w:val="003CA0"/>
          <w:sz w:val="12"/>
        </w:rPr>
        <w:t xml:space="preserve"> | RMS 27.434</w:t>
      </w:r>
      <w:r>
        <w:rPr>
          <w:color w:val="003CA0"/>
          <w:sz w:val="12"/>
        </w:rPr>
        <w:t xml:space="preserve"> | rel. Marco Aurélio</w:t>
      </w:r>
    </w:p>
    <w:p>
      <w:pPr>
        <w:ind w:left="288"/>
      </w:pPr>
      <w:r>
        <w:rPr>
          <w:color w:val="1E1E1E"/>
          <w:sz w:val="18"/>
        </w:rPr>
        <w:t>Decadência. Mandado de segurança. Em se tratando de impugnação a ato que não deságua em prestações continuadas, incide o prazo decadencial.</w:t>
      </w:r>
    </w:p>
    <w:p>
      <w:pPr>
        <w:ind w:left="288"/>
      </w:pPr>
      <w:r>
        <w:rPr>
          <w:b/>
          <w:color w:val="003CA0"/>
          <w:sz w:val="16"/>
        </w:rPr>
        <w:t>[RMS 27.434, rel. min. Marco Aurélio, j. 24-8-2010, 1ª T, DJE de 15-2-2011.]</w:t>
      </w:r>
    </w:p>
    <w:p>
      <w:pPr>
        <w:ind w:left="288"/>
      </w:pPr>
      <w:r>
        <w:rPr>
          <w:color w:val="8C8C8C"/>
          <w:sz w:val="12"/>
        </w:rPr>
        <w:t>cf-art-5-inc-L</w:t>
      </w:r>
      <w:r>
        <w:rPr>
          <w:color w:val="003CA0"/>
          <w:sz w:val="12"/>
        </w:rPr>
        <w:t xml:space="preserve"> | RMS 27.241</w:t>
      </w:r>
      <w:r>
        <w:rPr>
          <w:color w:val="003CA0"/>
          <w:sz w:val="12"/>
        </w:rPr>
        <w:t xml:space="preserve"> | rel. Cármen Lúcia</w:t>
      </w:r>
    </w:p>
    <w:p>
      <w:pPr>
        <w:ind w:left="288"/>
      </w:pPr>
      <w:r>
        <w:rPr>
          <w:color w:val="1E1E1E"/>
          <w:sz w:val="18"/>
        </w:rPr>
        <w:t>É inadmissível a impetração de mandado de segurança para desconstituir ato revestido de conteúdo jurisdicional.</w:t>
      </w:r>
    </w:p>
    <w:p>
      <w:pPr>
        <w:ind w:left="288"/>
      </w:pPr>
      <w:r>
        <w:rPr>
          <w:b/>
          <w:color w:val="003CA0"/>
          <w:sz w:val="16"/>
        </w:rPr>
        <w:t>[RMS 27.241, rel. min. Cármen Lúcia, j. 22-6-2010, 1ª T, DJE de 13-8-2010.]</w:t>
      </w:r>
    </w:p>
    <w:p>
      <w:pPr>
        <w:ind w:left="288"/>
      </w:pPr>
      <w:r>
        <w:rPr>
          <w:color w:val="8C8C8C"/>
          <w:sz w:val="12"/>
        </w:rPr>
        <w:t>cf-art-5-inc-L</w:t>
      </w:r>
      <w:r>
        <w:rPr>
          <w:color w:val="003CA0"/>
          <w:sz w:val="12"/>
        </w:rPr>
        <w:t xml:space="preserve"> | RMS 28.193</w:t>
      </w:r>
      <w:r>
        <w:rPr>
          <w:color w:val="003CA0"/>
          <w:sz w:val="12"/>
        </w:rPr>
        <w:t xml:space="preserve"> | rel. Eros Grau</w:t>
      </w:r>
    </w:p>
    <w:p>
      <w:pPr>
        <w:ind w:left="288"/>
      </w:pPr>
      <w:r>
        <w:rPr>
          <w:color w:val="1E1E1E"/>
          <w:sz w:val="18"/>
        </w:rPr>
        <w:t>A autoridade administrativa legítima para figurar no polo passivo da impetração é a competente para a prática do ato no momento do ajuizamento do writ.</w:t>
      </w:r>
    </w:p>
    <w:p>
      <w:pPr>
        <w:ind w:left="288"/>
      </w:pPr>
      <w:r>
        <w:rPr>
          <w:b/>
          <w:color w:val="003CA0"/>
          <w:sz w:val="16"/>
        </w:rPr>
        <w:t>[RMS 28.193, rel. min. Eros Grau, j. 11-5-2010, 2ª T, DJE de 4-6-2010.]</w:t>
      </w:r>
    </w:p>
    <w:p>
      <w:pPr>
        <w:ind w:left="288"/>
      </w:pPr>
      <w:r>
        <w:rPr>
          <w:color w:val="8C8C8C"/>
          <w:sz w:val="12"/>
        </w:rPr>
        <w:t>cf-art-5-inc-L</w:t>
      </w:r>
      <w:r>
        <w:rPr>
          <w:color w:val="003CA0"/>
          <w:sz w:val="12"/>
        </w:rPr>
        <w:t xml:space="preserve"> | MS 28.245</w:t>
      </w:r>
      <w:r>
        <w:rPr>
          <w:color w:val="003CA0"/>
          <w:sz w:val="12"/>
        </w:rPr>
        <w:t xml:space="preserve"> | rel. Marco Aurélio</w:t>
      </w:r>
    </w:p>
    <w:p>
      <w:pPr>
        <w:ind w:left="288"/>
      </w:pPr>
      <w:r>
        <w:rPr>
          <w:color w:val="1E1E1E"/>
          <w:sz w:val="18"/>
        </w:rPr>
        <w:t>Ao mandado de segurança deve-se emprestar tramitação célere. Com esta não se coaduna a interposição de agravo, mediante apresentação de minuta improcedente, visando transmudar indeferimento de medida acauteladora em deferimento.</w:t>
      </w:r>
    </w:p>
    <w:p>
      <w:pPr>
        <w:ind w:left="288"/>
      </w:pPr>
      <w:r>
        <w:rPr>
          <w:b/>
          <w:color w:val="003CA0"/>
          <w:sz w:val="16"/>
        </w:rPr>
        <w:t>[MS 28.245 MC-AgR, rel. min. Marco Aurélio, j. 6-5-2010, P, DJE de 28-5-2010.]</w:t>
      </w:r>
    </w:p>
    <w:p>
      <w:pPr>
        <w:ind w:left="288"/>
      </w:pPr>
      <w:r>
        <w:rPr>
          <w:color w:val="8C8C8C"/>
          <w:sz w:val="12"/>
        </w:rPr>
        <w:t>cf-art-5-inc-L</w:t>
      </w:r>
      <w:r>
        <w:rPr>
          <w:color w:val="003CA0"/>
          <w:sz w:val="12"/>
        </w:rPr>
        <w:t xml:space="preserve"> | MS 25.459</w:t>
      </w:r>
      <w:r>
        <w:rPr>
          <w:color w:val="003CA0"/>
          <w:sz w:val="12"/>
        </w:rPr>
        <w:t xml:space="preserve"> | rel. Cezar Peluso</w:t>
      </w:r>
    </w:p>
    <w:p>
      <w:pPr>
        <w:ind w:left="288"/>
      </w:pPr>
      <w:r>
        <w:rPr>
          <w:color w:val="1E1E1E"/>
          <w:sz w:val="18"/>
        </w:rPr>
        <w:t>Encerrados os trabalhos de CPI, contra a qual tenha sido impetrado, extingue-se, sem julgamento de mérito, o processo de mandado de segurança.</w:t>
      </w:r>
    </w:p>
    <w:p>
      <w:pPr>
        <w:ind w:left="288"/>
      </w:pPr>
      <w:r>
        <w:rPr>
          <w:b/>
          <w:color w:val="003CA0"/>
          <w:sz w:val="16"/>
        </w:rPr>
        <w:t>[MS 25.459 AgR, rel. min. Cezar Peluso, j. 4-2-2010, P, DJE de 12-3-2010.]</w:t>
      </w:r>
    </w:p>
    <w:p>
      <w:pPr>
        <w:ind w:left="288"/>
      </w:pPr>
      <w:r>
        <w:rPr>
          <w:color w:val="8C8C8C"/>
          <w:sz w:val="12"/>
        </w:rPr>
        <w:t>cf-art-5-inc-L</w:t>
      </w:r>
      <w:r>
        <w:rPr>
          <w:color w:val="003CA0"/>
          <w:sz w:val="12"/>
        </w:rPr>
        <w:t xml:space="preserve"> | MS 28.250</w:t>
      </w:r>
      <w:r>
        <w:rPr>
          <w:color w:val="003CA0"/>
          <w:sz w:val="12"/>
        </w:rPr>
        <w:t xml:space="preserve"> | rel. Eros Grau</w:t>
      </w:r>
    </w:p>
    <w:p>
      <w:pPr>
        <w:ind w:left="288"/>
      </w:pPr>
      <w:r>
        <w:rPr>
          <w:color w:val="1E1E1E"/>
          <w:sz w:val="18"/>
        </w:rPr>
        <w:t>Não cabe mandado de segurança contra ato do presidente do STF dotado de caráter normativo, ato que disciplina situações gerais e abstratas. A portaria impugnada neste writ produz efeitos análogos ao de uma "lei em tese", contra a qual não cabe mandado de segurança (Súmula 266 desta Corte).</w:t>
      </w:r>
    </w:p>
    <w:p>
      <w:pPr>
        <w:ind w:left="288"/>
      </w:pPr>
      <w:r>
        <w:rPr>
          <w:b/>
          <w:color w:val="003CA0"/>
          <w:sz w:val="16"/>
        </w:rPr>
        <w:t>[MS 28.250 AgR, rel. min. Eros Grau, j. 4-2-2010, P, DJE de 26-3-2010.]</w:t>
      </w:r>
    </w:p>
    <w:p>
      <w:pPr>
        <w:ind w:left="288"/>
      </w:pPr>
      <w:r>
        <w:rPr>
          <w:color w:val="8C8C8C"/>
          <w:sz w:val="12"/>
        </w:rPr>
        <w:t>cf-art-5-inc-L</w:t>
      </w:r>
      <w:r>
        <w:rPr>
          <w:color w:val="003CA0"/>
          <w:sz w:val="12"/>
        </w:rPr>
        <w:t xml:space="preserve"> | MS 28.985</w:t>
      </w:r>
      <w:r>
        <w:rPr>
          <w:color w:val="003CA0"/>
          <w:sz w:val="12"/>
        </w:rPr>
        <w:t xml:space="preserve"> | rel. Dias Toffoli</w:t>
      </w:r>
    </w:p>
    <w:p>
      <w:pPr>
        <w:ind w:left="288"/>
      </w:pPr>
      <w:r>
        <w:rPr>
          <w:color w:val="1E1E1E"/>
          <w:sz w:val="18"/>
        </w:rPr>
        <w:t>= MS 28.985 AgR, rel. min. Dias Toffoli, j. 19-9-2013, P, DJE de 19-11-2013 “Não há fundamento legal para a interposição de agravo de instrumento diretamente nesta Corte contra decisão de juiz de primeiro grau que indefere petição inicial de mandado de segurança. Indeferida liminarmente a petição inicial pelo juiz de primeiro grau, cabe recurso de apelação, que será julgado pelo tribunal ao qual vinculado o magistrado. Em se tratando de mandado de segurança de competência originária de tribunal local, contra a decisão do relator cabe o recurso de agravo, que será julgado pelo órgão definido no</w:t>
      </w:r>
    </w:p>
    <w:p>
      <w:pPr>
        <w:ind w:left="288"/>
      </w:pPr>
      <w:r>
        <w:rPr>
          <w:b/>
          <w:color w:val="003CA0"/>
          <w:sz w:val="16"/>
        </w:rPr>
        <w:t>[Pet 4.673 AgR, rel. min. Eros Grau, j. 25-11-2009, P, DJE de 18-12-2009.]</w:t>
      </w:r>
    </w:p>
    <w:p>
      <w:pPr>
        <w:ind w:left="288"/>
      </w:pPr>
      <w:r>
        <w:rPr>
          <w:color w:val="8C8C8C"/>
          <w:sz w:val="12"/>
        </w:rPr>
        <w:t>cf-art-5-inc-L</w:t>
      </w:r>
      <w:r>
        <w:rPr>
          <w:color w:val="003CA0"/>
          <w:sz w:val="12"/>
        </w:rPr>
        <w:t xml:space="preserve"> | RMS 26.744</w:t>
      </w:r>
      <w:r>
        <w:rPr>
          <w:color w:val="003CA0"/>
          <w:sz w:val="12"/>
        </w:rPr>
        <w:t xml:space="preserve"> | rel. Marco Aurélio</w:t>
      </w:r>
    </w:p>
    <w:p>
      <w:pPr>
        <w:ind w:left="288"/>
      </w:pPr>
      <w:r>
        <w:rPr>
          <w:color w:val="1E1E1E"/>
          <w:sz w:val="18"/>
        </w:rPr>
        <w:t>O mandado de segurança não abre margem a dilação probatória. Os fatos articulados na inicial devem vir demonstrados mediante os documentos próprios, viabilizando-se requisição quando se encontrarem em setor público.</w:t>
      </w:r>
    </w:p>
    <w:p>
      <w:pPr>
        <w:ind w:left="288"/>
      </w:pPr>
      <w:r>
        <w:rPr>
          <w:b/>
          <w:color w:val="003CA0"/>
          <w:sz w:val="16"/>
        </w:rPr>
        <w:t>[RMS 26.744, rel. min. Marco Aurélio, j. 13-10-2009, 1ª T, DJE de 13-11-2009.]</w:t>
      </w:r>
    </w:p>
    <w:p>
      <w:pPr>
        <w:ind w:left="288"/>
      </w:pPr>
      <w:r>
        <w:rPr>
          <w:color w:val="8C8C8C"/>
          <w:sz w:val="12"/>
        </w:rPr>
        <w:t>cf-art-5-inc-L</w:t>
      </w:r>
      <w:r>
        <w:rPr>
          <w:color w:val="003CA0"/>
          <w:sz w:val="12"/>
        </w:rPr>
        <w:t xml:space="preserve"> | RMS 26.361</w:t>
      </w:r>
      <w:r>
        <w:rPr>
          <w:color w:val="003CA0"/>
          <w:sz w:val="12"/>
        </w:rPr>
        <w:t xml:space="preserve"> | rel. Marco Aurélio</w:t>
      </w:r>
    </w:p>
    <w:p>
      <w:pPr>
        <w:ind w:left="288"/>
      </w:pPr>
      <w:r>
        <w:rPr>
          <w:color w:val="1E1E1E"/>
          <w:sz w:val="18"/>
        </w:rPr>
        <w:t>Vide RMS 26.361, rel. min. Marco Aurélio, j. 4-3-2008, 1ª T, DJE de 9-5-2008 A concessão de medida liminar em mandado de segurança pressupõe a ineficácia da medida, caso seja deferida ao final. Além disso, a impetrante não demonstrou urgência na publicação das informações buscadas. A medida liminar, ademais, se mostra satisfativa, isto é, esvazia o próprio objeto do mandamus.</w:t>
      </w:r>
    </w:p>
    <w:p>
      <w:pPr>
        <w:ind w:left="288"/>
      </w:pPr>
      <w:r>
        <w:rPr>
          <w:b/>
          <w:color w:val="003CA0"/>
          <w:sz w:val="16"/>
        </w:rPr>
        <w:t>[MS 28.177 MC-AgR, rel. min. Marco Aurélio, red. do ac. min. Ricardo Lewandowski, j. 30-9-2009, P, DJE de 18-12-2009.]</w:t>
      </w:r>
    </w:p>
    <w:p>
      <w:pPr>
        <w:ind w:left="288"/>
      </w:pPr>
      <w:r>
        <w:rPr>
          <w:color w:val="8C8C8C"/>
          <w:sz w:val="12"/>
        </w:rPr>
        <w:t>cf-art-5-inc-L</w:t>
      </w:r>
      <w:r>
        <w:rPr>
          <w:color w:val="003CA0"/>
          <w:sz w:val="12"/>
        </w:rPr>
        <w:t xml:space="preserve"> | MS 31.816</w:t>
      </w:r>
      <w:r>
        <w:rPr>
          <w:color w:val="003CA0"/>
          <w:sz w:val="12"/>
        </w:rPr>
        <w:t xml:space="preserve"> | rel. Luiz Fux</w:t>
      </w:r>
    </w:p>
    <w:p>
      <w:pPr>
        <w:ind w:left="288"/>
      </w:pPr>
      <w:r>
        <w:rPr>
          <w:color w:val="1E1E1E"/>
          <w:sz w:val="18"/>
        </w:rPr>
        <w:t>Vide MS 31.816 MC-AgR, rel. min. Luiz Fux, red. do ac. min. Teori Zavascki, j. 27-2-2013, P, DJE de 13-5-2013 O prazo decadencial para ajuizamento de mandado de segurança renova-se mês a mês, quando o ato impugnado respeite a pagamento de prestações de trato sucessivo, sem que tenha havido indeferimento expresso da pretensão pela autoridade.</w:t>
      </w:r>
    </w:p>
    <w:p>
      <w:pPr>
        <w:ind w:left="288"/>
      </w:pPr>
      <w:r>
        <w:rPr>
          <w:b/>
          <w:color w:val="003CA0"/>
          <w:sz w:val="16"/>
        </w:rPr>
        <w:t>[RMS 24.250, rel. min. Cezar Peluso, j. 29-9-2009, 2ª T, DJE de 5-3-2010.]</w:t>
      </w:r>
    </w:p>
    <w:p>
      <w:pPr>
        <w:ind w:left="288"/>
      </w:pPr>
      <w:r>
        <w:rPr>
          <w:color w:val="8C8C8C"/>
          <w:sz w:val="12"/>
        </w:rPr>
        <w:t>cf-art-5-inc-L</w:t>
      </w:r>
      <w:r>
        <w:rPr>
          <w:color w:val="003CA0"/>
          <w:sz w:val="12"/>
        </w:rPr>
        <w:t xml:space="preserve"> | MS 25.985</w:t>
      </w:r>
      <w:r>
        <w:rPr>
          <w:color w:val="003CA0"/>
          <w:sz w:val="12"/>
        </w:rPr>
        <w:t xml:space="preserve"> | rel. Marco Aurélio</w:t>
      </w:r>
    </w:p>
    <w:p>
      <w:pPr>
        <w:ind w:left="288"/>
      </w:pPr>
      <w:r>
        <w:rPr>
          <w:color w:val="1E1E1E"/>
          <w:sz w:val="18"/>
        </w:rPr>
        <w:t>Mandado de segurança. Decadência. Ato do TCU. O prazo decadencial alusivo à impetração começa a correr a partir da ciência do ato atacado e não da primeira supressão da parcela glosada pelo TCU.</w:t>
      </w:r>
    </w:p>
    <w:p>
      <w:pPr>
        <w:ind w:left="288"/>
      </w:pPr>
      <w:r>
        <w:rPr>
          <w:b/>
          <w:color w:val="003CA0"/>
          <w:sz w:val="16"/>
        </w:rPr>
        <w:t>[MS 25.985 AgR, rel. min. Marco Aurélio, j. 1º-7-2009, P, DJE de 21-8-2009.]</w:t>
      </w:r>
    </w:p>
    <w:p>
      <w:pPr>
        <w:ind w:left="288"/>
      </w:pPr>
      <w:r>
        <w:rPr>
          <w:color w:val="8C8C8C"/>
          <w:sz w:val="12"/>
        </w:rPr>
        <w:t>cf-art-5-inc-L</w:t>
      </w:r>
      <w:r>
        <w:rPr>
          <w:color w:val="003CA0"/>
          <w:sz w:val="12"/>
        </w:rPr>
        <w:t xml:space="preserve"> | MS 26.282</w:t>
      </w:r>
      <w:r>
        <w:rPr>
          <w:color w:val="003CA0"/>
          <w:sz w:val="12"/>
        </w:rPr>
        <w:t xml:space="preserve"> | rel. Dias Toffoli</w:t>
      </w:r>
    </w:p>
    <w:p>
      <w:pPr>
        <w:ind w:left="288"/>
      </w:pPr>
      <w:r>
        <w:rPr>
          <w:color w:val="1E1E1E"/>
          <w:sz w:val="18"/>
        </w:rPr>
        <w:t>= MS 26.282 AgR, rel. min. Dias Toffoli, j. 12-6-2012, 1ª T, DJE de 9-8-2012 Impetrado, em 21-3-2007, mandado de segurança contra a Decisão Normativa 79/2006 do TCU, publicada no DOU em 20-11-2006, é de se reconhecer a decadência da impetração (art. 18 da Lei 1.533/1951). A ação mandamental foi manejada contra ato do TCU, e não contra os repasses mensais das quotas do Fundo de Participação dos Municípios. Daí não se poder falar em relação de trato sucessivo ou prestação continuada.</w:t>
      </w:r>
    </w:p>
    <w:p>
      <w:pPr>
        <w:ind w:left="288"/>
      </w:pPr>
      <w:r>
        <w:rPr>
          <w:b/>
          <w:color w:val="003CA0"/>
          <w:sz w:val="16"/>
        </w:rPr>
        <w:t>[MS 26.465 AgR, MS 26.475 AgR, MS 26.485 AgR e MS 26.495 AgR, rel. min. Ayres Britto, j. 1º-7-2009, P, DJE de 28-8-2009.]</w:t>
      </w:r>
    </w:p>
    <w:p>
      <w:pPr>
        <w:ind w:left="288"/>
      </w:pPr>
      <w:r>
        <w:rPr>
          <w:color w:val="8C8C8C"/>
          <w:sz w:val="12"/>
        </w:rPr>
        <w:t>cf-art-5-inc-L</w:t>
      </w:r>
      <w:r>
        <w:rPr>
          <w:color w:val="003CA0"/>
          <w:sz w:val="12"/>
        </w:rPr>
        <w:t xml:space="preserve"> | MS 26.043</w:t>
      </w:r>
      <w:r>
        <w:rPr>
          <w:color w:val="003CA0"/>
          <w:sz w:val="12"/>
        </w:rPr>
        <w:t xml:space="preserve"> | rel. Marco Aurélio</w:t>
      </w:r>
    </w:p>
    <w:p>
      <w:pPr>
        <w:ind w:left="288"/>
      </w:pPr>
      <w:r>
        <w:rPr>
          <w:color w:val="1E1E1E"/>
          <w:sz w:val="18"/>
        </w:rPr>
        <w:t>= MS 26.043 AgR, rel. min. Marco Aurélio, j. 18-9-2012, 1ª T, DJE de 3-10-2012 A impetração de mandado de segurança, após o lançamento definitivo do crédito tributário, não tem o condão de impedir o início da ação penal (...).</w:t>
      </w:r>
    </w:p>
    <w:p>
      <w:pPr>
        <w:ind w:left="288"/>
      </w:pPr>
      <w:r>
        <w:rPr>
          <w:b/>
          <w:color w:val="003CA0"/>
          <w:sz w:val="16"/>
        </w:rPr>
        <w:t>[HC 95.578, rel. min. Menezes Direito, j. 10-3-2009, 1ª T, DJE de 17-4-2009.]</w:t>
      </w:r>
    </w:p>
    <w:p>
      <w:pPr>
        <w:ind w:left="288"/>
      </w:pPr>
      <w:r>
        <w:rPr>
          <w:color w:val="8C8C8C"/>
          <w:sz w:val="12"/>
        </w:rPr>
        <w:t>cf-art-5-inc-L</w:t>
      </w:r>
      <w:r>
        <w:rPr>
          <w:color w:val="003CA0"/>
          <w:sz w:val="12"/>
        </w:rPr>
        <w:t xml:space="preserve"> | RHC 95.108</w:t>
      </w:r>
      <w:r>
        <w:rPr>
          <w:color w:val="003CA0"/>
          <w:sz w:val="12"/>
        </w:rPr>
        <w:t xml:space="preserve"> | rel. Ellen Gracie</w:t>
      </w:r>
    </w:p>
    <w:p>
      <w:pPr>
        <w:ind w:left="288"/>
      </w:pPr>
      <w:r>
        <w:rPr>
          <w:color w:val="1E1E1E"/>
          <w:sz w:val="18"/>
        </w:rPr>
        <w:t>= RHC 95.108, rel. min. Ellen Gracie, j. 24-11-2009, 2ª T, DJE de 18-12-2009 Mandado de segurança. Resolução do CNJ que proíbe o nepotismo. Lei em tese. Incabível. (...) A Resolução 20/CNJ tem eficácia erga omnes, valendo para todos que ocupam cargos no âmbito do Poder Judiciário. Não há qualquer ato concreto que tenha levado ao afastamento dos impetrantes de suas atividades.</w:t>
      </w:r>
    </w:p>
    <w:p>
      <w:pPr>
        <w:ind w:left="288"/>
      </w:pPr>
      <w:r>
        <w:rPr>
          <w:b/>
          <w:color w:val="003CA0"/>
          <w:sz w:val="16"/>
        </w:rPr>
        <w:t>[MS 27.188 AgR, rel. min. Ricardo Lewandowski, j. 19-12-2008, P, DJE de 20-2-2009.]</w:t>
      </w:r>
    </w:p>
    <w:p>
      <w:pPr>
        <w:ind w:left="288"/>
      </w:pPr>
      <w:r>
        <w:rPr>
          <w:color w:val="8C8C8C"/>
          <w:sz w:val="12"/>
        </w:rPr>
        <w:t>cf-art-5-inc-L</w:t>
      </w:r>
      <w:r>
        <w:rPr>
          <w:color w:val="003CA0"/>
          <w:sz w:val="12"/>
        </w:rPr>
        <w:t xml:space="preserve"> | MS 26.682</w:t>
      </w:r>
      <w:r>
        <w:rPr>
          <w:color w:val="003CA0"/>
          <w:sz w:val="12"/>
        </w:rPr>
        <w:t xml:space="preserve"> | rel. Cezar Peluso</w:t>
      </w:r>
    </w:p>
    <w:p>
      <w:pPr>
        <w:ind w:left="288"/>
      </w:pPr>
      <w:r>
        <w:rPr>
          <w:color w:val="1E1E1E"/>
          <w:sz w:val="18"/>
        </w:rPr>
        <w:t>Ação de mandado de segurança. Impetração contra ato do PGR. Legitimação excepcional deste como representante judicial da pessoa jurídica. (...) Não obstante seja, de regra, a pessoa jurídica de direito público a parte passiva legitimada para ação de mandado de segurança, admite-se, em exceção, figure no polo passivo o seu representante judicial, cujo ato é impugnado na causa.</w:t>
      </w:r>
    </w:p>
    <w:p>
      <w:pPr>
        <w:ind w:left="288"/>
      </w:pPr>
      <w:r>
        <w:rPr>
          <w:b/>
          <w:color w:val="003CA0"/>
          <w:sz w:val="16"/>
        </w:rPr>
        <w:t>[MS 26.682 ED, rel. min. Cezar Peluso, j. 18-9-2008, P, DJE de 7-11-2008.]</w:t>
      </w:r>
    </w:p>
    <w:p>
      <w:pPr>
        <w:ind w:left="288"/>
      </w:pPr>
      <w:r>
        <w:rPr>
          <w:color w:val="8C8C8C"/>
          <w:sz w:val="12"/>
        </w:rPr>
        <w:t>cf-art-5-inc-L</w:t>
      </w:r>
      <w:r>
        <w:rPr>
          <w:color w:val="003CA0"/>
          <w:sz w:val="12"/>
        </w:rPr>
        <w:t xml:space="preserve"> | RMS 24.953</w:t>
      </w:r>
      <w:r>
        <w:rPr>
          <w:color w:val="003CA0"/>
          <w:sz w:val="12"/>
        </w:rPr>
        <w:t xml:space="preserve"> | rel. Carlos Velloso). Considerando que a lei fixou prazo para a autoridade efetuar o pagamento da indenização – no caso</w:t>
      </w:r>
    </w:p>
    <w:p>
      <w:pPr>
        <w:ind w:left="288"/>
      </w:pPr>
      <w:r>
        <w:rPr>
          <w:color w:val="1E1E1E"/>
          <w:sz w:val="18"/>
        </w:rPr>
        <w:t>Anistiado político. Lei 10.559/2002. Indenização. Valores retroativos, fixados em portaria do ministro da Justiça. Cabimento da segurança. Decadência. Adequação da via eleita, dado que "a hipótese não consubstancia ação de cobrança, mas tem por finalidade sanar omissão da autoridade coatora, que não deu cumprimento integral às portarias do ministro de Estado da Justiça" (RMS 24.953, rel. min. Carlos Velloso). Considerando que a lei fixou prazo para a autoridade efetuar o pagamento da indenização – no caso, sessenta dias –, o término desse prazo, sem a aludida providência, implica o início da c</w:t>
      </w:r>
    </w:p>
    <w:p>
      <w:pPr>
        <w:ind w:left="288"/>
      </w:pPr>
      <w:r>
        <w:rPr>
          <w:b/>
          <w:color w:val="003CA0"/>
          <w:sz w:val="16"/>
        </w:rPr>
        <w:t>[RMS 26.881, rel. min. Ayres Britto, j. 20-5-2008, 1ª T, DJE de 7-11-2008.]</w:t>
      </w:r>
    </w:p>
    <w:p>
      <w:pPr>
        <w:ind w:left="288"/>
      </w:pPr>
      <w:r>
        <w:rPr>
          <w:color w:val="8C8C8C"/>
          <w:sz w:val="12"/>
        </w:rPr>
        <w:t>cf-art-5-inc-L</w:t>
      </w:r>
      <w:r>
        <w:rPr>
          <w:color w:val="003CA0"/>
          <w:sz w:val="12"/>
        </w:rPr>
        <w:t xml:space="preserve"> | RMS 26.947</w:t>
      </w:r>
      <w:r>
        <w:rPr>
          <w:color w:val="003CA0"/>
          <w:sz w:val="12"/>
        </w:rPr>
        <w:t xml:space="preserve"> | rel. Cármen Lúcia</w:t>
      </w:r>
    </w:p>
    <w:p>
      <w:pPr>
        <w:ind w:left="288"/>
      </w:pPr>
      <w:r>
        <w:rPr>
          <w:color w:val="1E1E1E"/>
          <w:sz w:val="18"/>
        </w:rPr>
        <w:t>= RMS 26.947, rel. min. Cármen Lúcia, j. 10-3-2009, 1ª T, DJE de 17-4-2009 Vide AI 798.495 AgR, rel. min. Gilmar Mendes, j. 16-11-2010, 2ª T, DJE de 30-11-2010 Com efeito, o mandado de segurança impetrado contra decisão judicial só é admissível nas raras hipóteses em que ela não possa ser atacada por outro remédio processual, exigindo-se ademais, a presença de direito líquido e certo. Nesse sentido, o ministro Marco Aurélio, no MS 25.340/DF, consignou o seguinte: "Mandado de segurança. Ato jurisdicional. Excepcionalidade não verificada. A admissão do mandado de segurança contra decisão judicia</w:t>
      </w:r>
    </w:p>
    <w:p>
      <w:pPr>
        <w:ind w:left="288"/>
      </w:pPr>
      <w:r>
        <w:rPr>
          <w:b/>
          <w:color w:val="003CA0"/>
          <w:sz w:val="16"/>
        </w:rPr>
        <w:t>[RMS 25.141, voto do min. Ricardo Lewandowski, j. 13-5-2008, P, DJE de 30-5-2008.]</w:t>
      </w:r>
    </w:p>
    <w:p>
      <w:pPr>
        <w:ind w:left="288"/>
      </w:pPr>
      <w:r>
        <w:rPr>
          <w:color w:val="8C8C8C"/>
          <w:sz w:val="12"/>
        </w:rPr>
        <w:t>cf-art-5-inc-L</w:t>
      </w:r>
      <w:r>
        <w:rPr>
          <w:color w:val="003CA0"/>
          <w:sz w:val="12"/>
        </w:rPr>
        <w:t xml:space="preserve"> | RE 170.145</w:t>
      </w:r>
      <w:r>
        <w:rPr>
          <w:color w:val="003CA0"/>
          <w:sz w:val="12"/>
        </w:rPr>
        <w:t xml:space="preserve"> | rel. Menezes Direito</w:t>
      </w:r>
    </w:p>
    <w:p>
      <w:pPr>
        <w:ind w:left="288"/>
      </w:pPr>
      <w:r>
        <w:rPr>
          <w:color w:val="1E1E1E"/>
          <w:sz w:val="18"/>
        </w:rPr>
        <w:t>Não se considera prejudicado o mandado de segurança em razão do julgamento do recurso administrativo por força de medida liminar, se o direito pleiteado necessita de definição jurisdicional considerando a disciplina da CF.</w:t>
      </w:r>
    </w:p>
    <w:p>
      <w:pPr>
        <w:ind w:left="288"/>
      </w:pPr>
      <w:r>
        <w:rPr>
          <w:b/>
          <w:color w:val="003CA0"/>
          <w:sz w:val="16"/>
        </w:rPr>
        <w:t>[RE 170.145, rel. min. Menezes Direito, j. 15-4-2008, 1ª T, DJE de 23-5-2008.]</w:t>
      </w:r>
    </w:p>
    <w:p>
      <w:pPr>
        <w:ind w:left="288"/>
      </w:pPr>
      <w:r>
        <w:rPr>
          <w:color w:val="8C8C8C"/>
          <w:sz w:val="12"/>
        </w:rPr>
        <w:t>cf-art-5-inc-L</w:t>
      </w:r>
      <w:r>
        <w:rPr>
          <w:color w:val="003CA0"/>
          <w:sz w:val="12"/>
        </w:rPr>
        <w:t xml:space="preserve"> | MS 26.231</w:t>
      </w:r>
      <w:r>
        <w:rPr>
          <w:color w:val="003CA0"/>
          <w:sz w:val="12"/>
        </w:rPr>
        <w:t xml:space="preserve"> | rel. Ayres Britto</w:t>
      </w:r>
    </w:p>
    <w:p>
      <w:pPr>
        <w:ind w:left="288"/>
      </w:pPr>
      <w:r>
        <w:rPr>
          <w:color w:val="1E1E1E"/>
          <w:sz w:val="18"/>
        </w:rPr>
        <w:t>O mandado de segurança impetrado contra ato omissivo do diretor-geral da Câmara dos Deputados, que deixou de cumprir decisão administrativa do primeiro secretário, perde objeto quando o ato da própria mesa diretora suspende a decisão a ser cumprida e, assim, faz cessar a omissão. Não pode o juízo de primeiro grau substituir a autoridade tida por coatora e alterar a causa de pedir e o pedido da ação. A identidade do mandado de segurança não se altera com o novo ato da administração superior. A questão é de subsistência, ou não, das condições da ação; não de incompetência superveniente do juízo.</w:t>
      </w:r>
    </w:p>
    <w:p>
      <w:pPr>
        <w:ind w:left="288"/>
      </w:pPr>
      <w:r>
        <w:rPr>
          <w:b/>
          <w:color w:val="003CA0"/>
          <w:sz w:val="16"/>
        </w:rPr>
        <w:t>[MS 26.231 QO, rel. min. Ayres Britto, j. 7-4-2008, 1ª T, DJE de 16-5-2008.]</w:t>
      </w:r>
    </w:p>
    <w:p>
      <w:pPr>
        <w:ind w:left="288"/>
      </w:pPr>
      <w:r>
        <w:rPr>
          <w:color w:val="8C8C8C"/>
          <w:sz w:val="12"/>
        </w:rPr>
        <w:t>cf-art-5-inc-L</w:t>
      </w:r>
      <w:r>
        <w:rPr>
          <w:color w:val="003CA0"/>
          <w:sz w:val="12"/>
        </w:rPr>
        <w:t xml:space="preserve"> | RMS 26.361</w:t>
      </w:r>
      <w:r>
        <w:rPr>
          <w:color w:val="003CA0"/>
          <w:sz w:val="12"/>
        </w:rPr>
        <w:t xml:space="preserve"> | rel. Marco Aurélio</w:t>
      </w:r>
    </w:p>
    <w:p>
      <w:pPr>
        <w:ind w:left="288"/>
      </w:pPr>
      <w:r>
        <w:rPr>
          <w:color w:val="1E1E1E"/>
          <w:sz w:val="18"/>
        </w:rPr>
        <w:t>Mandado de segurança. Prova pré-constituída. A exigência de haver, com a inicial, elementos a respaldá-la não se confunde com o enquadramento jurídico da controvérsia.</w:t>
      </w:r>
    </w:p>
    <w:p>
      <w:pPr>
        <w:ind w:left="288"/>
      </w:pPr>
      <w:r>
        <w:rPr>
          <w:b/>
          <w:color w:val="003CA0"/>
          <w:sz w:val="16"/>
        </w:rPr>
        <w:t>[RMS 26.361, rel. min. Marco Aurélio, j. 4-3-2008, 1ª T, DJE de 9-5-2008.]</w:t>
      </w:r>
    </w:p>
    <w:p>
      <w:pPr>
        <w:ind w:left="288"/>
      </w:pPr>
      <w:r>
        <w:rPr>
          <w:color w:val="8C8C8C"/>
          <w:sz w:val="12"/>
        </w:rPr>
        <w:t>cf-art-5-inc-L</w:t>
      </w:r>
      <w:r>
        <w:rPr>
          <w:color w:val="003CA0"/>
          <w:sz w:val="12"/>
        </w:rPr>
        <w:t xml:space="preserve"> | RMS 26.744</w:t>
      </w:r>
      <w:r>
        <w:rPr>
          <w:color w:val="003CA0"/>
          <w:sz w:val="12"/>
        </w:rPr>
        <w:t xml:space="preserve"> | rel. Marco Aurélio</w:t>
      </w:r>
    </w:p>
    <w:p>
      <w:pPr>
        <w:ind w:left="288"/>
      </w:pPr>
      <w:r>
        <w:rPr>
          <w:color w:val="1E1E1E"/>
          <w:sz w:val="18"/>
        </w:rPr>
        <w:t>Vide RMS 26.744, rel. min. Marco Aurélio, j. 13-10-2009, 1ª T, DJE de 13-11-2009 Em mandado de segurança não se aplica preceito de lei superveniente à impetração. O ato impugnado tem como parâmetro obrigatório a legislação em vigor ao tempo de sua expedição.</w:t>
      </w:r>
    </w:p>
    <w:p>
      <w:pPr>
        <w:ind w:left="288"/>
      </w:pPr>
      <w:r>
        <w:rPr>
          <w:b/>
          <w:color w:val="003CA0"/>
          <w:sz w:val="16"/>
        </w:rPr>
        <w:t>[RE 457.508 AgR, rel. min. Eros Grau, j. 14-8-2007, 2ª T, DJ de 21-9-2007.]</w:t>
      </w:r>
    </w:p>
    <w:p>
      <w:pPr>
        <w:ind w:left="288"/>
      </w:pPr>
      <w:r>
        <w:rPr>
          <w:color w:val="8C8C8C"/>
          <w:sz w:val="12"/>
        </w:rPr>
        <w:t>cf-art-5-inc-L</w:t>
      </w:r>
      <w:r>
        <w:rPr>
          <w:color w:val="003CA0"/>
          <w:sz w:val="12"/>
        </w:rPr>
        <w:t xml:space="preserve"> | RE 318.281</w:t>
      </w:r>
      <w:r>
        <w:rPr>
          <w:color w:val="003CA0"/>
          <w:sz w:val="12"/>
        </w:rPr>
        <w:t xml:space="preserve"> | rel. Eros Grau</w:t>
      </w:r>
    </w:p>
    <w:p>
      <w:pPr>
        <w:ind w:left="288"/>
      </w:pPr>
      <w:r>
        <w:rPr>
          <w:color w:val="1E1E1E"/>
          <w:sz w:val="18"/>
        </w:rPr>
        <w:t>A jurisprudência do Supremo pacificou entendimento no sentido de que a desistência, no mandado de segurança, não depende de aquiescência do impetrado. Essa regra aplica-se também aos casos em que a desistência é parcial.</w:t>
      </w:r>
    </w:p>
    <w:p>
      <w:pPr>
        <w:ind w:left="288"/>
      </w:pPr>
      <w:r>
        <w:rPr>
          <w:b/>
          <w:color w:val="003CA0"/>
          <w:sz w:val="16"/>
        </w:rPr>
        <w:t>[RE 318.281 AgR, rel. min. Eros Grau, j. 14-8-2007, 2ª T, DJ de 21-9-2007.]</w:t>
      </w:r>
    </w:p>
    <w:p>
      <w:pPr>
        <w:ind w:left="288"/>
      </w:pPr>
      <w:r>
        <w:rPr>
          <w:color w:val="8C8C8C"/>
          <w:sz w:val="12"/>
        </w:rPr>
        <w:t>cf-art-5-inc-L</w:t>
      </w:r>
      <w:r>
        <w:rPr>
          <w:color w:val="003CA0"/>
          <w:sz w:val="12"/>
        </w:rPr>
        <w:t xml:space="preserve"> | AI 221.462</w:t>
      </w:r>
      <w:r>
        <w:rPr>
          <w:color w:val="003CA0"/>
          <w:sz w:val="12"/>
        </w:rPr>
        <w:t xml:space="preserve"> | rel. Cezar Peluso</w:t>
      </w:r>
    </w:p>
    <w:p>
      <w:pPr>
        <w:ind w:left="288"/>
      </w:pPr>
      <w:r>
        <w:rPr>
          <w:color w:val="1E1E1E"/>
          <w:sz w:val="18"/>
        </w:rPr>
        <w:t>Vide AI 221.462 AgR-AgR, rel. min. Cezar Peluso, j. 7-8-2007, 1ª T, DJ de 24-8-2007 “Não se dará mandado de segurança quando se tratar de ato de que caiba recurso administrativo com efeito suspensivo" (...).</w:t>
      </w:r>
    </w:p>
    <w:p>
      <w:pPr>
        <w:ind w:left="288"/>
      </w:pPr>
      <w:r>
        <w:rPr>
          <w:b/>
          <w:color w:val="003CA0"/>
          <w:sz w:val="16"/>
        </w:rPr>
        <w:t>[MS 26.178 AgR, rel. min. Ayres Britto, j. 6-6-2007, P, DJE de 11-4-2008.]</w:t>
      </w:r>
    </w:p>
    <w:p>
      <w:pPr>
        <w:ind w:left="288"/>
      </w:pPr>
      <w:r>
        <w:rPr>
          <w:color w:val="8C8C8C"/>
          <w:sz w:val="12"/>
        </w:rPr>
        <w:t>cf-art-5-inc-L</w:t>
      </w:r>
      <w:r>
        <w:rPr>
          <w:color w:val="003CA0"/>
          <w:sz w:val="12"/>
        </w:rPr>
        <w:t xml:space="preserve"> | MS 26.737</w:t>
      </w:r>
      <w:r>
        <w:rPr>
          <w:color w:val="003CA0"/>
          <w:sz w:val="12"/>
        </w:rPr>
        <w:t xml:space="preserve"> | rel. Cármen Lúcia</w:t>
      </w:r>
    </w:p>
    <w:p>
      <w:pPr>
        <w:ind w:left="288"/>
      </w:pPr>
      <w:r>
        <w:rPr>
          <w:color w:val="1E1E1E"/>
          <w:sz w:val="18"/>
        </w:rPr>
        <w:t>= MS 26.737 ED, rel. min. Cármen Lúcia, j. 25-6-2008, P, DJE de 13-3-2009 Não cabe mandado de segurança contra lei em tese, nem sequer sob alegação de caráter preventivo, quando não tenha sido praticado nenhum ato suscetível de induzir receio fundado de lesão a direito subjetivo.</w:t>
      </w:r>
    </w:p>
    <w:p>
      <w:pPr>
        <w:ind w:left="288"/>
      </w:pPr>
      <w:r>
        <w:rPr>
          <w:b/>
          <w:color w:val="003CA0"/>
          <w:sz w:val="16"/>
        </w:rPr>
        <w:t>[RMS 25.473 AgR, rel. min. Cezar Peluso, j. 22-5-2007, 2ª T, DJ de 29-6-2007.]</w:t>
      </w:r>
    </w:p>
    <w:p>
      <w:pPr>
        <w:ind w:left="288"/>
      </w:pPr>
      <w:r>
        <w:rPr>
          <w:color w:val="8C8C8C"/>
          <w:sz w:val="12"/>
        </w:rPr>
        <w:t>cf-art-5-inc-L</w:t>
      </w:r>
      <w:r>
        <w:rPr>
          <w:color w:val="003CA0"/>
          <w:sz w:val="12"/>
        </w:rPr>
        <w:t xml:space="preserve"> | RMS 25.475</w:t>
      </w:r>
      <w:r>
        <w:rPr>
          <w:color w:val="003CA0"/>
          <w:sz w:val="12"/>
        </w:rPr>
        <w:t xml:space="preserve"> | rel. Gilmar Mendes</w:t>
      </w:r>
    </w:p>
    <w:p>
      <w:pPr>
        <w:ind w:left="288"/>
      </w:pPr>
      <w:r>
        <w:rPr>
          <w:color w:val="1E1E1E"/>
          <w:sz w:val="18"/>
        </w:rPr>
        <w:t>= RMS 25.475, rel. min. Gilmar Mendes, j. 11-9-2007, 2ª T, DJ de 19-10-2007 A inércia da autoridade coatora em apreciar recurso administrativo regularmente apresentado, sem justificativa razoável, configura omissão impugnável pela via do mandado de segurança. Ordem parcialmente concedida, para que seja fixado o prazo de trinta dias para a apreciação do recurso administrativo.</w:t>
      </w:r>
    </w:p>
    <w:p>
      <w:pPr>
        <w:ind w:left="288"/>
      </w:pPr>
      <w:r>
        <w:rPr>
          <w:b/>
          <w:color w:val="003CA0"/>
          <w:sz w:val="16"/>
        </w:rPr>
        <w:t>[MS 24.167, rel. min. Joaquim Barbosa, j. 5-10-2006, P, DJ de 2-2-2007.]</w:t>
      </w:r>
    </w:p>
    <w:p>
      <w:pPr>
        <w:ind w:left="288"/>
      </w:pPr>
      <w:r>
        <w:rPr>
          <w:color w:val="8C8C8C"/>
          <w:sz w:val="12"/>
        </w:rPr>
        <w:t>cf-art-5-inc-L</w:t>
      </w:r>
      <w:r>
        <w:rPr>
          <w:color w:val="003CA0"/>
          <w:sz w:val="12"/>
        </w:rPr>
        <w:t xml:space="preserve"> | MS 22.355</w:t>
      </w:r>
      <w:r>
        <w:rPr>
          <w:color w:val="003CA0"/>
          <w:sz w:val="12"/>
        </w:rPr>
        <w:t xml:space="preserve"> | rel. Eros Grau</w:t>
      </w:r>
    </w:p>
    <w:p>
      <w:pPr>
        <w:ind w:left="288"/>
      </w:pPr>
      <w:r>
        <w:rPr>
          <w:color w:val="1E1E1E"/>
          <w:sz w:val="18"/>
        </w:rPr>
        <w:t>A habilitação de herdeiros do impetrante de mandado de segurança é impossível em razão do caráter mandamental do writ e da natureza personalíssima do direito postulado.</w:t>
      </w:r>
    </w:p>
    <w:p>
      <w:pPr>
        <w:ind w:left="288"/>
      </w:pPr>
      <w:r>
        <w:rPr>
          <w:b/>
          <w:color w:val="003CA0"/>
          <w:sz w:val="16"/>
        </w:rPr>
        <w:t>[MS 22.355, rel. min. Eros Grau, j. 22-6-2006, P, DJ de 4-8-2006.]</w:t>
      </w:r>
    </w:p>
    <w:p>
      <w:pPr>
        <w:ind w:left="288"/>
      </w:pPr>
      <w:r>
        <w:rPr>
          <w:color w:val="8C8C8C"/>
          <w:sz w:val="12"/>
        </w:rPr>
        <w:t>cf-art-5-inc-L</w:t>
      </w:r>
      <w:r>
        <w:rPr>
          <w:color w:val="003CA0"/>
          <w:sz w:val="12"/>
        </w:rPr>
        <w:t xml:space="preserve"> | RE 445.409</w:t>
      </w:r>
      <w:r>
        <w:rPr>
          <w:color w:val="003CA0"/>
          <w:sz w:val="12"/>
        </w:rPr>
        <w:t xml:space="preserve"> | rel. Dias Toffoli</w:t>
      </w:r>
    </w:p>
    <w:p>
      <w:pPr>
        <w:ind w:left="288"/>
      </w:pPr>
      <w:r>
        <w:rPr>
          <w:color w:val="1E1E1E"/>
          <w:sz w:val="18"/>
        </w:rPr>
        <w:t>= RE 445.409 AgR, rel. min. Dias Toffoli, j. 26-4-2011, 1ª T, DJE de 1º-8-2011 O mandado de segurança não constitui instrumento hábil a pleitear parcelas remanescentes de Títulos da Dívida Agrária já resgatados, vez que não substitui a ação de cobrança (Súmula 269).</w:t>
      </w:r>
    </w:p>
    <w:p>
      <w:pPr>
        <w:ind w:left="288"/>
      </w:pPr>
      <w:r>
        <w:rPr>
          <w:b/>
          <w:color w:val="003CA0"/>
          <w:sz w:val="16"/>
        </w:rPr>
        <w:t>[RMS 24.613 AgR, rel. min. Eros Grau, j. 22-6-2005, 1ª T, DJE de 12-8-2005.]</w:t>
      </w:r>
    </w:p>
    <w:p>
      <w:pPr>
        <w:ind w:left="288"/>
      </w:pPr>
      <w:r>
        <w:rPr>
          <w:color w:val="8C8C8C"/>
          <w:sz w:val="12"/>
        </w:rPr>
        <w:t>cf-art-5-inc-L</w:t>
      </w:r>
      <w:r>
        <w:rPr>
          <w:color w:val="003CA0"/>
          <w:sz w:val="12"/>
        </w:rPr>
        <w:t xml:space="preserve"> | RMS 24.479</w:t>
      </w:r>
      <w:r>
        <w:rPr>
          <w:color w:val="003CA0"/>
          <w:sz w:val="12"/>
        </w:rPr>
        <w:t xml:space="preserve"> | rel. Eros Grau</w:t>
      </w:r>
    </w:p>
    <w:p>
      <w:pPr>
        <w:ind w:left="288"/>
      </w:pPr>
      <w:r>
        <w:rPr>
          <w:color w:val="1E1E1E"/>
          <w:sz w:val="18"/>
        </w:rPr>
        <w:t>= RMS 24.479, rel. min. Eros Grau, red. do ac. min. Gilmar Mendes, j. 17-8-2010, 2ª T, DJE de 8-10-2010 Com a cessação, em 1926, da doutrina brasileira do habeas corpus, a destinação constitucional do remédio heroico restringiu-se, no campo de sua específica projeção, ao plano da estreita tutela da imediata liberdade física de ir, vir e permanecer dos indivíduos, pertencendo, residualmente, ao âmbito do mandado de segurança, a tutela jurisdicional contra ofensas que desrespeitem os demais direitos líquidos e certos, mesmo quando tais situações de ilicitude ou de abuso de poder venham a afetar,</w:t>
      </w:r>
    </w:p>
    <w:p>
      <w:pPr>
        <w:ind w:left="288"/>
      </w:pPr>
      <w:r>
        <w:rPr>
          <w:b/>
          <w:color w:val="003CA0"/>
          <w:sz w:val="16"/>
        </w:rPr>
        <w:t>[HC 83.966 AgR, rel. min. Celso de Mello, j. 23-6-2004, 1ª T, DJ de 25-11-2005.]</w:t>
      </w:r>
    </w:p>
    <w:p>
      <w:pPr>
        <w:ind w:left="288"/>
      </w:pPr>
      <w:r>
        <w:rPr>
          <w:color w:val="8C8C8C"/>
          <w:sz w:val="12"/>
        </w:rPr>
        <w:t>cf-art-5-inc-L</w:t>
      </w:r>
      <w:r>
        <w:rPr>
          <w:color w:val="003CA0"/>
          <w:sz w:val="12"/>
        </w:rPr>
        <w:t xml:space="preserve"> | MS 24.667</w:t>
      </w:r>
      <w:r>
        <w:rPr>
          <w:color w:val="003CA0"/>
          <w:sz w:val="12"/>
        </w:rPr>
        <w:t xml:space="preserve"> | rel. Carlos Velloso</w:t>
      </w:r>
    </w:p>
    <w:p>
      <w:pPr>
        <w:ind w:left="288"/>
      </w:pPr>
      <w:r>
        <w:rPr>
          <w:color w:val="1E1E1E"/>
          <w:sz w:val="18"/>
        </w:rP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pPr>
        <w:ind w:left="288"/>
      </w:pPr>
      <w:r>
        <w:rPr>
          <w:b/>
          <w:color w:val="003CA0"/>
          <w:sz w:val="16"/>
        </w:rPr>
        <w:t>[MS 24.667 AgR, rel. min. Carlos Velloso, j. 4-12-2003, P, DJ de 23-4-2004.]</w:t>
      </w:r>
    </w:p>
    <w:p>
      <w:pPr>
        <w:ind w:left="288"/>
      </w:pPr>
      <w:r>
        <w:rPr>
          <w:color w:val="8C8C8C"/>
          <w:sz w:val="12"/>
        </w:rPr>
        <w:t>cf-art-5-inc-L</w:t>
      </w:r>
      <w:r>
        <w:rPr>
          <w:color w:val="003CA0"/>
          <w:sz w:val="12"/>
        </w:rPr>
        <w:t xml:space="preserve"> | MS 32.033</w:t>
      </w:r>
      <w:r>
        <w:rPr>
          <w:color w:val="003CA0"/>
          <w:sz w:val="12"/>
        </w:rPr>
        <w:t xml:space="preserve"> | rel. Maurício Corrêa</w:t>
      </w:r>
    </w:p>
    <w:p>
      <w:pPr>
        <w:ind w:left="288"/>
      </w:pPr>
      <w:r>
        <w:rPr>
          <w:color w:val="1E1E1E"/>
          <w:sz w:val="18"/>
        </w:rPr>
        <w:t>= MS 32.033, red. do ac. min. Teori Zavascki, j. 20-6-2013, P, DJE de 18-2-2014 Se o ato impugnado em mandado de segurança decorre de fatos apurados em processo administrativo, a competência do Poder Judiciário circunscreve-se ao exame da legalidade do ato coator, dos possíveis vícios de caráter formal ou dos que atentem contra os postulados constitucionais da ampla defesa e do due process of law.</w:t>
      </w:r>
    </w:p>
    <w:p>
      <w:pPr>
        <w:ind w:left="288"/>
      </w:pPr>
      <w:r>
        <w:rPr>
          <w:b/>
          <w:color w:val="003CA0"/>
          <w:sz w:val="16"/>
        </w:rPr>
        <w:t>[RMS 24.347, rel. min. Maurício Corrêa, j. 11-3-2003, P, DJ de 4-4-2003.]</w:t>
      </w:r>
    </w:p>
    <w:p>
      <w:pPr>
        <w:ind w:left="288"/>
      </w:pPr>
      <w:r>
        <w:rPr>
          <w:color w:val="8C8C8C"/>
          <w:sz w:val="12"/>
        </w:rPr>
        <w:t>cf-art-5-inc-L</w:t>
      </w:r>
      <w:r>
        <w:rPr>
          <w:color w:val="003CA0"/>
          <w:sz w:val="12"/>
        </w:rPr>
        <w:t xml:space="preserve"> | MS 24.803</w:t>
      </w:r>
      <w:r>
        <w:rPr>
          <w:color w:val="003CA0"/>
          <w:sz w:val="12"/>
        </w:rPr>
        <w:t xml:space="preserve"> | rel. Joaquim Barbosa</w:t>
      </w:r>
    </w:p>
    <w:p>
      <w:pPr>
        <w:ind w:left="288"/>
      </w:pPr>
      <w:r>
        <w:rPr>
          <w:color w:val="1E1E1E"/>
          <w:sz w:val="18"/>
        </w:rPr>
        <w:t>= MS 24.803, rel. min. Joaquim Barbosa, j. 29-10-2008, P, DJE de 5-6-2009 Completa reformulação da legislação, quanto à suspensão das liminares nos diversos processos, até mesmo na ação civil pública e na ação popular. Disciplina assimétrica na legislação do mandado de segurança. Recorribilidade, tão somente, da decisão que nega o pedido de suspensão em mandado de segurança. Súmula 506. Configuração de lacuna de regulação superveniente. Necessidade de sua colmatação. Extensão da disciplina prevista na Lei 8.437, de 1992, à hipótese de indeferimento do pedido de suspensão em mandado de seguranç</w:t>
      </w:r>
    </w:p>
    <w:p>
      <w:pPr>
        <w:ind w:left="288"/>
      </w:pPr>
      <w:r>
        <w:rPr>
          <w:b/>
          <w:color w:val="003CA0"/>
          <w:sz w:val="16"/>
        </w:rPr>
        <w:t>[SS 1.945 AgR-AgR-AgR-QO, rel. min. Marco Aurélio, red. do ac. min. Gilmar Mendes, j. 19-12-2002, P, DJ de 1º-8-2003.]</w:t>
      </w:r>
    </w:p>
    <w:p>
      <w:pPr>
        <w:ind w:left="288"/>
      </w:pPr>
      <w:r>
        <w:rPr>
          <w:color w:val="8C8C8C"/>
          <w:sz w:val="12"/>
        </w:rPr>
        <w:t>cf-art-5-inc-L</w:t>
      </w:r>
      <w:r>
        <w:rPr>
          <w:color w:val="003CA0"/>
          <w:sz w:val="12"/>
        </w:rPr>
        <w:t xml:space="preserve"> | MS 24.138</w:t>
      </w:r>
      <w:r>
        <w:rPr>
          <w:color w:val="003CA0"/>
          <w:sz w:val="12"/>
        </w:rPr>
        <w:t xml:space="preserve"> | rel. Gilmar Mendes</w:t>
      </w:r>
    </w:p>
    <w:p>
      <w:pPr>
        <w:ind w:left="288"/>
      </w:pPr>
      <w:r>
        <w:rPr>
          <w:color w:val="1E1E1E"/>
          <w:sz w:val="18"/>
        </w:rPr>
        <w:t>Mandado de segurança. Processo legislativo: projeto de lei. Controle de constitucionalidade preventivo. Conflito de atribuições. Comprometimento do modelo de controle repressivo e do sistema de divisão de poderes estabelecidos na Constituição.</w:t>
      </w:r>
    </w:p>
    <w:p>
      <w:pPr>
        <w:ind w:left="288"/>
      </w:pPr>
      <w:r>
        <w:rPr>
          <w:b/>
          <w:color w:val="003CA0"/>
          <w:sz w:val="16"/>
        </w:rPr>
        <w:t>[MS 24.138, rel. min. Gilmar Mendes, j. 28-11-2002, P, DJ de 14-3-2003.]</w:t>
      </w:r>
    </w:p>
    <w:p>
      <w:pPr>
        <w:ind w:left="288"/>
      </w:pPr>
      <w:r>
        <w:rPr>
          <w:color w:val="8C8C8C"/>
          <w:sz w:val="12"/>
        </w:rPr>
        <w:t>cf-art-5-inc-L</w:t>
      </w:r>
      <w:r>
        <w:rPr>
          <w:color w:val="003CA0"/>
          <w:sz w:val="12"/>
        </w:rPr>
        <w:t xml:space="preserve"> | MS 32.033</w:t>
      </w:r>
      <w:r>
        <w:rPr>
          <w:color w:val="003CA0"/>
          <w:sz w:val="12"/>
        </w:rPr>
        <w:t xml:space="preserve"> | rel. Gilmar Mendes</w:t>
      </w:r>
    </w:p>
    <w:p>
      <w:pPr>
        <w:ind w:left="288"/>
      </w:pPr>
      <w:r>
        <w:rPr>
          <w:color w:val="1E1E1E"/>
          <w:sz w:val="18"/>
        </w:rPr>
        <w:t>= MS 32.033, rel. min. Gilmar Mendes, red. do ac. min. Teori Zavascki, j. 20-6-2013, P, DJE de 18-2-2014 Hipótese excepcional em que se conhece de mandado de segurança impetrado contra ato jurisdicional da Presidência que, revogando despacho concessivo anterior, recusou a suspensão de segurança pleiteada.</w:t>
      </w:r>
    </w:p>
    <w:p>
      <w:pPr>
        <w:ind w:left="288"/>
      </w:pPr>
      <w:r>
        <w:rPr>
          <w:b/>
          <w:color w:val="003CA0"/>
          <w:sz w:val="16"/>
        </w:rPr>
        <w:t>[MS 24.159 QO, rel. min. Ellen Gracie, j. 26-6-2002, P, DJ de 31-10-2003.]</w:t>
      </w:r>
    </w:p>
    <w:p>
      <w:pPr>
        <w:ind w:left="288"/>
      </w:pPr>
      <w:r>
        <w:rPr>
          <w:color w:val="8C8C8C"/>
          <w:sz w:val="12"/>
        </w:rPr>
        <w:t>cf-art-5-inc-L</w:t>
      </w:r>
      <w:r>
        <w:rPr>
          <w:color w:val="003CA0"/>
          <w:sz w:val="12"/>
        </w:rPr>
        <w:t xml:space="preserve"> | MS 24.001</w:t>
      </w:r>
      <w:r>
        <w:rPr>
          <w:color w:val="003CA0"/>
          <w:sz w:val="12"/>
        </w:rPr>
        <w:t xml:space="preserve"> | rel. Maurício Corrêa</w:t>
      </w:r>
    </w:p>
    <w:p>
      <w:pPr>
        <w:ind w:left="288"/>
      </w:pPr>
      <w:r>
        <w:rPr>
          <w:color w:val="1E1E1E"/>
          <w:sz w:val="18"/>
        </w:rPr>
        <w:t>O TCU é parte legítima para figurar no polo passivo do mandado de segurança, quando a decisão impugnada revestir-se de caráter impositivo.</w:t>
      </w:r>
    </w:p>
    <w:p>
      <w:pPr>
        <w:ind w:left="288"/>
      </w:pPr>
      <w:r>
        <w:rPr>
          <w:b/>
          <w:color w:val="003CA0"/>
          <w:sz w:val="16"/>
        </w:rPr>
        <w:t>[MS 24.001, rel. min. Maurício Corrêa, j. 20-5-2002, P, DJ de 20-9-2002.]</w:t>
      </w:r>
    </w:p>
    <w:p>
      <w:pPr>
        <w:ind w:left="288"/>
      </w:pPr>
      <w:r>
        <w:rPr>
          <w:color w:val="8C8C8C"/>
          <w:sz w:val="12"/>
        </w:rPr>
        <w:t>cf-art-5-inc-L</w:t>
      </w:r>
      <w:r>
        <w:rPr>
          <w:color w:val="003CA0"/>
          <w:sz w:val="12"/>
        </w:rPr>
        <w:t xml:space="preserve"> | MS 25.149</w:t>
      </w:r>
      <w:r>
        <w:rPr>
          <w:color w:val="003CA0"/>
          <w:sz w:val="12"/>
        </w:rPr>
        <w:t xml:space="preserve"> | rel. Celso de Mello</w:t>
      </w:r>
    </w:p>
    <w:p>
      <w:pPr>
        <w:ind w:left="288"/>
      </w:pPr>
      <w:r>
        <w:rPr>
          <w:color w:val="1E1E1E"/>
          <w:sz w:val="18"/>
        </w:rPr>
        <w:t>= MS 25.149, rel. min. Celso de Mello, j. 9-6-2005, P, DJE de 18-9-2009 Não tem legitimidade ativa ad causam para impetrar mandado de segurança o parlamentar que pretende defender prerrogativa do Congresso Nacional, visto que "direito individual, para fins de mandado de segurança, é o que pertence a quem o invoca e não apenas à sua categoria, corporação ou associação de classe" (...).</w:t>
      </w:r>
    </w:p>
    <w:p>
      <w:pPr>
        <w:ind w:left="288"/>
      </w:pPr>
      <w:r>
        <w:rPr>
          <w:b/>
          <w:color w:val="003CA0"/>
          <w:sz w:val="16"/>
        </w:rPr>
        <w:t>[MS 23.914 AgR, rel. min. Maurício Corrêa, j. 20-6-2001, P, DJ de 24-8-2001.]</w:t>
      </w:r>
    </w:p>
    <w:p>
      <w:pPr>
        <w:ind w:left="288"/>
      </w:pPr>
      <w:r>
        <w:rPr>
          <w:color w:val="8C8C8C"/>
          <w:sz w:val="12"/>
        </w:rPr>
        <w:t>cf-art-5-inc-L</w:t>
      </w:r>
      <w:r>
        <w:rPr>
          <w:color w:val="003CA0"/>
          <w:sz w:val="12"/>
        </w:rPr>
        <w:t xml:space="preserve"> | RMS 28.251</w:t>
      </w:r>
      <w:r>
        <w:rPr>
          <w:color w:val="003CA0"/>
          <w:sz w:val="12"/>
        </w:rPr>
        <w:t xml:space="preserve"> | rel. Ricardo Lewandowski</w:t>
      </w:r>
    </w:p>
    <w:p>
      <w:pPr>
        <w:ind w:left="288"/>
      </w:pPr>
      <w:r>
        <w:rPr>
          <w:color w:val="1E1E1E"/>
          <w:sz w:val="18"/>
        </w:rPr>
        <w:t>= RMS 28.251 AgR, rel. min. Ricardo Lewandowski, j. 18-10-2011, 2ª T, DJE de 22-11-2011 Ao estrangeiro, residente no exterior, também é assegurado o direito de impetrar mandado de segurança, como decorre da interpretação sistemática do art. 153, caput, da Emenda Constitucional de 1969 e do [art.] 5º, LXIX, da Constituição atual.</w:t>
      </w:r>
    </w:p>
    <w:p>
      <w:pPr>
        <w:ind w:left="288"/>
      </w:pPr>
      <w:r>
        <w:rPr>
          <w:b/>
          <w:color w:val="003CA0"/>
          <w:sz w:val="16"/>
        </w:rPr>
        <w:t>[RE 215.267, rel. min. Ellen Gracie, j. 24-4-2001, 1ª T, DJ de 25-5-2001.]</w:t>
      </w:r>
    </w:p>
    <w:p>
      <w:pPr>
        <w:ind w:left="288"/>
      </w:pPr>
      <w:r>
        <w:rPr>
          <w:color w:val="8C8C8C"/>
          <w:sz w:val="12"/>
        </w:rPr>
        <w:t>cf-art-5-inc-L</w:t>
      </w:r>
      <w:r>
        <w:rPr>
          <w:color w:val="003CA0"/>
          <w:sz w:val="12"/>
        </w:rPr>
        <w:t xml:space="preserve"> | MS 22.623</w:t>
      </w:r>
      <w:r>
        <w:rPr>
          <w:color w:val="003CA0"/>
          <w:sz w:val="12"/>
        </w:rPr>
        <w:t xml:space="preserve"> | rel. Sydney Sanches</w:t>
      </w:r>
    </w:p>
    <w:p>
      <w:pPr>
        <w:ind w:left="288"/>
      </w:pPr>
      <w:r>
        <w:rPr>
          <w:color w:val="1E1E1E"/>
          <w:sz w:val="18"/>
        </w:rPr>
        <w:t>É certo que esta Corte, abrandando a rigidez da Súmula 267, tem admitido mandado de segurança quando, do ato impugnado, puder resultar dano irreparável, desde logo cabalmente demonstrado.</w:t>
      </w:r>
    </w:p>
    <w:p>
      <w:pPr>
        <w:ind w:left="288"/>
      </w:pPr>
      <w:r>
        <w:rPr>
          <w:b/>
          <w:color w:val="003CA0"/>
          <w:sz w:val="16"/>
        </w:rPr>
        <w:t>[MS 22.623 AgR, rel. min. Sydney Sanches, j. 9-12-1996, P, DJ de 7-3-1997.]</w:t>
      </w:r>
    </w:p>
    <w:p>
      <w:pPr>
        <w:ind w:left="288"/>
      </w:pPr>
      <w:r>
        <w:rPr>
          <w:color w:val="8C8C8C"/>
          <w:sz w:val="12"/>
        </w:rPr>
        <w:t>cf-art-5-inc-L</w:t>
      </w:r>
      <w:r>
        <w:rPr>
          <w:color w:val="003CA0"/>
          <w:sz w:val="12"/>
        </w:rPr>
        <w:t xml:space="preserve"> | RMS 25.293</w:t>
      </w:r>
      <w:r>
        <w:rPr>
          <w:color w:val="003CA0"/>
          <w:sz w:val="12"/>
        </w:rPr>
        <w:t xml:space="preserve"> | rel. Ayres Britto</w:t>
      </w:r>
    </w:p>
    <w:p>
      <w:pPr>
        <w:ind w:left="288"/>
      </w:pPr>
      <w:r>
        <w:rPr>
          <w:color w:val="1E1E1E"/>
          <w:sz w:val="18"/>
        </w:rPr>
        <w:t>= RMS 25.293, rel. min. Ayres Britto, j. 7-3-2006, 1ª T, DJ de 5-5-2006 O remédio constitucional do mandado de segurança não tem cabimento quando utilizado com o objetivo de desconstituir a autoridade da coisa julgada penal. O ordenamento jurídico brasileiro contempla, para esse efeito, um meio processual específico: a revisão criminal.</w:t>
      </w:r>
    </w:p>
    <w:p>
      <w:pPr>
        <w:ind w:left="288"/>
      </w:pPr>
      <w:r>
        <w:rPr>
          <w:b/>
          <w:color w:val="003CA0"/>
          <w:sz w:val="16"/>
        </w:rPr>
        <w:t>[RMS 21.597, rel. min. Celso de Mello, j. 29-3-1994, 1ª T, DJ de 30-9-1994.]</w:t>
      </w:r>
    </w:p>
    <w:p>
      <w:pPr>
        <w:ind w:left="288"/>
      </w:pPr>
      <w:r>
        <w:rPr>
          <w:color w:val="8C8C8C"/>
          <w:sz w:val="12"/>
        </w:rPr>
        <w:t>cf-art-5-inc-L</w:t>
      </w:r>
      <w:r>
        <w:rPr>
          <w:color w:val="003CA0"/>
          <w:sz w:val="12"/>
        </w:rPr>
        <w:t xml:space="preserve"> | RMS 21.514</w:t>
      </w:r>
      <w:r>
        <w:rPr>
          <w:color w:val="003CA0"/>
          <w:sz w:val="12"/>
        </w:rPr>
        <w:t xml:space="preserve"> | rel. Marco Aurélio</w:t>
      </w:r>
    </w:p>
    <w:p>
      <w:pPr>
        <w:ind w:left="288"/>
      </w:pPr>
      <w:r>
        <w:rPr>
          <w:color w:val="1E1E1E"/>
          <w:sz w:val="18"/>
        </w:rPr>
        <w:t>Há de se distinguir a complexidade dos fatos e do tema de direito daquelas situações que não prescindem da abertura de fase de instrução. Se o caso está compreendido no campo da referida dificuldade, nem por isso o mandado de segurança exsurge como via imprópria, impondo-se o julgamento de mérito. Somente em defrontando-se o órgão julgador com quadro a exigir elucidação de fatos cabe dizer da impertinência da medida, sinalizando no sentido do ingresso em juízo mediante ação ordinária.</w:t>
      </w:r>
    </w:p>
    <w:p>
      <w:pPr>
        <w:ind w:left="288"/>
      </w:pPr>
      <w:r>
        <w:rPr>
          <w:b/>
          <w:color w:val="003CA0"/>
          <w:sz w:val="16"/>
        </w:rPr>
        <w:t>[RMS 21.514, rel. min. Marco Aurélio, j. 27-4-1993, 2ª T, DJ de 18-6-1993.]</w:t>
      </w:r>
    </w:p>
    <w:p>
      <w:pPr>
        <w:ind w:left="288"/>
      </w:pPr>
      <w:r>
        <w:rPr>
          <w:color w:val="8C8C8C"/>
          <w:sz w:val="12"/>
        </w:rPr>
        <w:t>cf-art-5-inc-L</w:t>
      </w:r>
      <w:r>
        <w:rPr>
          <w:color w:val="003CA0"/>
          <w:sz w:val="12"/>
        </w:rPr>
        <w:t xml:space="preserve"> | RMS 21.476</w:t>
      </w:r>
      <w:r>
        <w:rPr>
          <w:color w:val="003CA0"/>
          <w:sz w:val="12"/>
        </w:rPr>
        <w:t xml:space="preserve"> | rel. Celso de Mello</w:t>
      </w:r>
    </w:p>
    <w:p>
      <w:pPr>
        <w:ind w:left="288"/>
      </w:pPr>
      <w:r>
        <w:rPr>
          <w:color w:val="1E1E1E"/>
          <w:sz w:val="18"/>
        </w:rPr>
        <w:t xml:space="preserve">Não cabe ao Poder Judiciário, sem iniciativa da parte, proceder à substituição de autoridade apontada pelo impetrante como órgão coator. Verificada a ilegitimidade passiva ad causam do impetrado, impõe-se ao juiz declarar extinto o processo mandamental, sem julgamento de mérito, por ausência de uma das condições da ação, com fundamento no art. 267, VI, do CPC. Não ofende a Constituição a norma legal que estipula prazo para a impetração do mandado de segurança. A circunstância de a Constituição da República nada dispor sobre a fixação de prazo para efeito de ajuizamento da ação mandamental não </w:t>
      </w:r>
    </w:p>
    <w:p>
      <w:pPr>
        <w:ind w:left="288"/>
      </w:pPr>
      <w:r>
        <w:rPr>
          <w:b/>
          <w:color w:val="003CA0"/>
          <w:sz w:val="16"/>
        </w:rPr>
        <w:t>[RMS 21.476, rel. min. Celso de Mello, j. 16-6-1992, 1ª T, DJ de 4-9-1992.]</w:t>
      </w:r>
    </w:p>
    <w:p>
      <w:pPr>
        <w:ind w:left="288"/>
      </w:pPr>
      <w:r>
        <w:rPr>
          <w:color w:val="8C8C8C"/>
          <w:sz w:val="12"/>
        </w:rPr>
        <w:t>cf-art-5-inc-L</w:t>
      </w:r>
      <w:r>
        <w:rPr>
          <w:color w:val="003CA0"/>
          <w:sz w:val="12"/>
        </w:rPr>
        <w:t xml:space="preserve"> | MS 28.549</w:t>
      </w:r>
      <w:r>
        <w:rPr>
          <w:color w:val="003CA0"/>
          <w:sz w:val="12"/>
        </w:rPr>
        <w:t xml:space="preserve"> | rel. Dias Toffoli</w:t>
      </w:r>
    </w:p>
    <w:p>
      <w:pPr>
        <w:ind w:left="288"/>
      </w:pPr>
      <w:r>
        <w:rPr>
          <w:color w:val="1E1E1E"/>
          <w:sz w:val="18"/>
        </w:rPr>
        <w:t>= MS 28.549 AgR-ED, rel. min. Dias Toffoli, j. 19-9-2013, P, DJE de 29-10-2013 A legitimidade ad causam no mandado de segurança pressupõe que o impetrante se afirme titular de um direito subjetivo próprio, violado ou ameaçado por ato de autoridade; no entanto, segundo assentado pela doutrina mais autorizada (cf. Jellinek, Malberg, Duguit, Dabin, Santi Romano), entre os direitos públicos subjetivos, incluem-se os chamados direitos-função, que têm por objeto a posse e o exercício da função pública pelo titular que a detenha, em toda a extensão das competências e prerrogativas que a substantivem:</w:t>
      </w:r>
    </w:p>
    <w:p>
      <w:pPr>
        <w:ind w:left="288"/>
      </w:pPr>
      <w:r>
        <w:rPr>
          <w:b/>
          <w:color w:val="003CA0"/>
          <w:sz w:val="16"/>
        </w:rPr>
        <w:t>[MS 21.239, rel. min. Sepúlveda Pertence, j. 5-6-1991, P, DJ de 23-4-1993.]</w:t>
      </w:r>
    </w:p>
    <w:p>
      <w:pPr>
        <w:ind w:left="288"/>
      </w:pPr>
      <w:r>
        <w:rPr>
          <w:color w:val="8C8C8C"/>
          <w:sz w:val="12"/>
        </w:rPr>
        <w:t>cf-art-5-inc-L</w:t>
      </w:r>
      <w:r>
        <w:rPr>
          <w:color w:val="003CA0"/>
          <w:sz w:val="12"/>
        </w:rPr>
        <w:t xml:space="preserve"> | MS 30.717</w:t>
      </w:r>
      <w:r>
        <w:rPr>
          <w:color w:val="003CA0"/>
          <w:sz w:val="12"/>
        </w:rPr>
        <w:t xml:space="preserve"> | rel. Ricardo Lewandowski</w:t>
      </w:r>
    </w:p>
    <w:p>
      <w:pPr>
        <w:ind w:left="288"/>
      </w:pPr>
      <w:r>
        <w:rPr>
          <w:color w:val="1E1E1E"/>
          <w:sz w:val="18"/>
        </w:rPr>
        <w:t>= MS 30.717 AgR, rel. min. Ricardo Lewandowski, j. 27-9-2011, 2ª T, DJE de 11-10-2011 LXX - o mandado de segurança coletivo pode ser impetrado por: É desnecessária a autorização expressa dos associados, a relação nominal destes, bem como a comprovação de filiação prévia, para a cobrança de valores pretéritos de título judicial decorrente de mandado de segurança coletivo impetrado por entidade associativa de caráter civil.</w:t>
      </w:r>
    </w:p>
    <w:p>
      <w:pPr>
        <w:ind w:left="288"/>
      </w:pPr>
      <w:r>
        <w:rPr>
          <w:b/>
          <w:color w:val="003CA0"/>
          <w:sz w:val="16"/>
        </w:rPr>
        <w:t>[RE 1.293.130, rel. min. Luiz Fux, j. 17-12-2020, P, DJE de 8-1-2021, Tema 1.119, com mérito julgado e reafirmação de jurisprudência.]</w:t>
      </w:r>
    </w:p>
    <w:p>
      <w:pPr>
        <w:ind w:left="288"/>
      </w:pPr>
      <w:r>
        <w:rPr>
          <w:color w:val="8C8C8C"/>
          <w:sz w:val="12"/>
        </w:rPr>
        <w:t>cf-art-5-inc-L</w:t>
      </w:r>
      <w:r>
        <w:rPr>
          <w:color w:val="003CA0"/>
          <w:sz w:val="12"/>
        </w:rPr>
        <w:t xml:space="preserve"> | ARE 1.339.496</w:t>
      </w:r>
      <w:r>
        <w:rPr>
          <w:color w:val="003CA0"/>
          <w:sz w:val="12"/>
        </w:rPr>
        <w:t xml:space="preserve"> | rel. Edson Fachin</w:t>
      </w:r>
    </w:p>
    <w:p>
      <w:pPr>
        <w:ind w:left="288"/>
      </w:pPr>
      <w:r>
        <w:rPr>
          <w:color w:val="1E1E1E"/>
          <w:sz w:val="18"/>
        </w:rPr>
        <w:t>Não se aplica às associações genéricas — que não representam qualquer categoria econômica ou profissional específica — a tese firmada no Tema 1.119 da sistemática da repercussão geral, sendo insuficiente a mera regularidade registral da entidade para sua atuação em sede de mandado de segurança coletivo, pois passível de causar prejuízo aos interesses dos beneficiários supostamente defendidos.</w:t>
      </w:r>
    </w:p>
    <w:p>
      <w:pPr>
        <w:ind w:left="288"/>
      </w:pPr>
      <w:r>
        <w:rPr>
          <w:b/>
          <w:color w:val="003CA0"/>
          <w:sz w:val="16"/>
        </w:rPr>
        <w:t>[ARE 1.339.496-AgR, rel. min. Edson Fachin, red. do ac. min. André Mendonça, j. 7-2-2023, 2ª T, Dje 10-4-2023.]</w:t>
      </w:r>
    </w:p>
    <w:p>
      <w:pPr>
        <w:ind w:left="288"/>
      </w:pPr>
      <w:r>
        <w:rPr>
          <w:color w:val="8C8C8C"/>
          <w:sz w:val="12"/>
        </w:rPr>
        <w:t>cf-art-5-inc-L</w:t>
      </w:r>
      <w:r>
        <w:rPr>
          <w:color w:val="003CA0"/>
          <w:sz w:val="12"/>
        </w:rPr>
        <w:t xml:space="preserve"> | MS 32.832</w:t>
      </w:r>
      <w:r>
        <w:rPr>
          <w:color w:val="003CA0"/>
          <w:sz w:val="12"/>
        </w:rPr>
        <w:t xml:space="preserve"> | rel. Rosa Weber</w:t>
      </w:r>
    </w:p>
    <w:p>
      <w:pPr>
        <w:ind w:left="288"/>
      </w:pPr>
      <w:r>
        <w:rPr>
          <w:color w:val="1E1E1E"/>
          <w:sz w:val="18"/>
        </w:rPr>
        <w:t>Pessoas físicas já impetrantes de mandados de segurança individuais não possuem autorização constitucional para nova impetração "coletiva". Eventual litisconsórcio ativo, instituto da teoria geral do processo, não se confunde com as hipóteses constitucionais do art. 5º, LXX, da CF/1988.</w:t>
      </w:r>
    </w:p>
    <w:p>
      <w:pPr>
        <w:ind w:left="288"/>
      </w:pPr>
      <w:r>
        <w:rPr>
          <w:b/>
          <w:color w:val="003CA0"/>
          <w:sz w:val="16"/>
        </w:rPr>
        <w:t>[MS 32.832 AgR, rel. min. Rosa Weber, j. 24-2-2015, 1ª T, DJE de 11-3-2015.]</w:t>
      </w:r>
    </w:p>
    <w:p>
      <w:pPr>
        <w:ind w:left="288"/>
      </w:pPr>
      <w:r>
        <w:rPr>
          <w:color w:val="8C8C8C"/>
          <w:sz w:val="12"/>
        </w:rPr>
        <w:t>cf-art-5-inc-L</w:t>
      </w:r>
      <w:r>
        <w:rPr>
          <w:color w:val="003CA0"/>
          <w:sz w:val="12"/>
        </w:rPr>
        <w:t xml:space="preserve"> | MS 26.794</w:t>
      </w:r>
      <w:r>
        <w:rPr>
          <w:color w:val="003CA0"/>
          <w:sz w:val="12"/>
        </w:rPr>
        <w:t xml:space="preserve"> | rel. Marco Aurélio</w:t>
      </w:r>
    </w:p>
    <w:p>
      <w:pPr>
        <w:ind w:left="288"/>
      </w:pPr>
      <w:r>
        <w:rPr>
          <w:color w:val="1E1E1E"/>
          <w:sz w:val="18"/>
        </w:rPr>
        <w:t>Impetrado mandado de segurança coletivo, descabe admitir, como terceiros interessados, os substituídos.</w:t>
      </w:r>
    </w:p>
    <w:p>
      <w:pPr>
        <w:ind w:left="288"/>
      </w:pPr>
      <w:r>
        <w:rPr>
          <w:b/>
          <w:color w:val="003CA0"/>
          <w:sz w:val="16"/>
        </w:rPr>
        <w:t>[MS 26.794 AgR, rel. min. Marco Aurélio, j. 23-5-2013, P, DJE de 1º-8-2013.]</w:t>
      </w:r>
    </w:p>
    <w:p>
      <w:pPr>
        <w:ind w:left="288"/>
      </w:pPr>
      <w:r>
        <w:rPr>
          <w:color w:val="8C8C8C"/>
          <w:sz w:val="12"/>
        </w:rPr>
        <w:t>cf-art-5-inc-L</w:t>
      </w:r>
      <w:r>
        <w:rPr>
          <w:color w:val="003CA0"/>
          <w:sz w:val="12"/>
        </w:rPr>
        <w:t xml:space="preserve"> | RE 601.914</w:t>
      </w:r>
      <w:r>
        <w:rPr>
          <w:color w:val="003CA0"/>
          <w:sz w:val="12"/>
        </w:rPr>
        <w:t xml:space="preserve"> | rel. Celso de Mello</w:t>
      </w:r>
    </w:p>
    <w:p>
      <w:pPr>
        <w:ind w:left="288"/>
      </w:pPr>
      <w:r>
        <w:rPr>
          <w:color w:val="1E1E1E"/>
          <w:sz w:val="18"/>
        </w:rPr>
        <w:t>Possibilidade de execução individual de sentença proferida em processo coletivo. O fato de tratar-se de mandado de segurança coletivo não representa obstáculo para que o interessado, favorecido pela sentença mandamental coletiva, promova, ele próprio, desde que integrante do grupo ou categoria processualmente substituídos pela parte impetrante, a execução individual desse mesmo julgado.</w:t>
      </w:r>
    </w:p>
    <w:p>
      <w:pPr>
        <w:ind w:left="288"/>
      </w:pPr>
      <w:r>
        <w:rPr>
          <w:b/>
          <w:color w:val="003CA0"/>
          <w:sz w:val="16"/>
        </w:rPr>
        <w:t>[RE 601.914 AgR, rel. min. Celso de Mello, j. 6-3-2012, 2ª T, DJE de 25-2-2013.]</w:t>
      </w:r>
    </w:p>
    <w:p>
      <w:pPr>
        <w:ind w:left="288"/>
      </w:pPr>
      <w:r>
        <w:rPr>
          <w:color w:val="8C8C8C"/>
          <w:sz w:val="12"/>
        </w:rPr>
        <w:t>cf-art-5-inc-L</w:t>
      </w:r>
      <w:r>
        <w:rPr>
          <w:color w:val="003CA0"/>
          <w:sz w:val="12"/>
        </w:rPr>
        <w:t xml:space="preserve"> | MS 23.769</w:t>
      </w:r>
      <w:r>
        <w:rPr>
          <w:color w:val="003CA0"/>
          <w:sz w:val="12"/>
        </w:rPr>
        <w:t xml:space="preserve"> | rel. Ellen Gracie</w:t>
      </w:r>
    </w:p>
    <w:p>
      <w:pPr>
        <w:ind w:left="288"/>
      </w:pPr>
      <w:r>
        <w:rPr>
          <w:color w:val="1E1E1E"/>
          <w:sz w:val="18"/>
        </w:rPr>
        <w:t>Não aplicação, ao mandado de segurança coletivo, da exigência inscrita no art. 2º-A da Lei 9.494/1997, de instrução da petição inicial com a relação nominal dos associados da impetrante e da indicação dos seus respectivos endereços.</w:t>
      </w:r>
    </w:p>
    <w:p>
      <w:pPr>
        <w:ind w:left="288"/>
      </w:pPr>
      <w:r>
        <w:rPr>
          <w:b/>
          <w:color w:val="003CA0"/>
          <w:sz w:val="16"/>
        </w:rPr>
        <w:t>[MS 23.769, rel. min. Ellen Gracie, j. 3-4-2002, P, DJ de 30-4-2004.]</w:t>
      </w:r>
    </w:p>
    <w:p>
      <w:pPr>
        <w:ind w:left="288"/>
      </w:pPr>
      <w:r>
        <w:rPr>
          <w:color w:val="8C8C8C"/>
          <w:sz w:val="12"/>
        </w:rPr>
        <w:t>cf-art-5-inc-L</w:t>
      </w:r>
      <w:r>
        <w:rPr>
          <w:color w:val="003CA0"/>
          <w:sz w:val="12"/>
        </w:rPr>
        <w:t xml:space="preserve"> | RE 501.953</w:t>
      </w:r>
      <w:r>
        <w:rPr>
          <w:color w:val="003CA0"/>
          <w:sz w:val="12"/>
        </w:rPr>
        <w:t xml:space="preserve"> | rel. Dias Toffoli</w:t>
      </w:r>
    </w:p>
    <w:p>
      <w:pPr>
        <w:ind w:left="288"/>
      </w:pPr>
      <w:r>
        <w:rPr>
          <w:color w:val="1E1E1E"/>
          <w:sz w:val="18"/>
        </w:rPr>
        <w:t>= RE 501.953 AgR, rel. min. Dias Toffoli, j. 20-3-2012, 1ª T, DJE de 26-4-2012 Lei 8.437, de 1992, art. 2º: no mandado de segurança coletivo e na ação civil pública, a liminar será concedida, quando cabível, após a audiência do representante judicial da pessoa jurídica de direito público, que deverá se pronunciar no prazo de 72 horas.</w:t>
      </w:r>
    </w:p>
    <w:p>
      <w:pPr>
        <w:ind w:left="288"/>
      </w:pPr>
      <w:r>
        <w:rPr>
          <w:b/>
          <w:color w:val="003CA0"/>
          <w:sz w:val="16"/>
        </w:rPr>
        <w:t>[Pet 2.066 AgR, rel. min. Carlos Velloso, j. 19-10-2000, P, DJ de 28-2-2003.]</w:t>
      </w:r>
    </w:p>
    <w:p>
      <w:pPr>
        <w:ind w:left="288"/>
      </w:pPr>
      <w:r>
        <w:rPr>
          <w:color w:val="8C8C8C"/>
          <w:sz w:val="12"/>
        </w:rPr>
        <w:t>cf-art-5-inc-L</w:t>
      </w:r>
      <w:r>
        <w:rPr>
          <w:color w:val="003CA0"/>
          <w:sz w:val="12"/>
        </w:rPr>
        <w:t xml:space="preserve"> | RMS 22.350</w:t>
      </w:r>
      <w:r>
        <w:rPr>
          <w:color w:val="003CA0"/>
          <w:sz w:val="12"/>
        </w:rPr>
        <w:t xml:space="preserve"> | rel. Sydney Sanches</w:t>
      </w:r>
    </w:p>
    <w:p>
      <w:pPr>
        <w:ind w:left="288"/>
      </w:pPr>
      <w:r>
        <w:rPr>
          <w:color w:val="1E1E1E"/>
          <w:sz w:val="18"/>
        </w:rPr>
        <w:t>Em se tratando de mandado de segurança, é imprescindível a demonstração de que o ato ilegal da autoridade prejudicou direito subjetivo, líquido e certo do impetrante, ou de seus representados, no caso de mandado de segurança coletivo.</w:t>
      </w:r>
    </w:p>
    <w:p>
      <w:pPr>
        <w:ind w:left="288"/>
      </w:pPr>
      <w:r>
        <w:rPr>
          <w:b/>
          <w:color w:val="003CA0"/>
          <w:sz w:val="16"/>
        </w:rPr>
        <w:t>[RMS 22.350, rel. min. Sydney Sanches, j. 3-9-1996, 1ª T, DJ de 8-11-1996.]</w:t>
      </w:r>
    </w:p>
    <w:p>
      <w:pPr>
        <w:ind w:left="288"/>
      </w:pPr>
      <w:r>
        <w:rPr>
          <w:color w:val="8C8C8C"/>
          <w:sz w:val="12"/>
        </w:rPr>
        <w:t>cf-art-5-inc-L</w:t>
      </w:r>
      <w:r>
        <w:rPr>
          <w:color w:val="003CA0"/>
          <w:sz w:val="12"/>
        </w:rPr>
        <w:t xml:space="preserve"> | MS 21.615</w:t>
      </w:r>
      <w:r>
        <w:rPr>
          <w:color w:val="003CA0"/>
          <w:sz w:val="12"/>
        </w:rPr>
        <w:t xml:space="preserve"> | rel. Néri da Silveira</w:t>
      </w:r>
    </w:p>
    <w:p>
      <w:pPr>
        <w:ind w:left="288"/>
      </w:pPr>
      <w:r>
        <w:rPr>
          <w:color w:val="1E1E1E"/>
          <w:sz w:val="18"/>
        </w:rPr>
        <w:t>Os princípios básicos que regem o mandado de segurança individual informam e condicionam, no plano jurídico-processual, a utilização do writ mandamental coletivo. Atos em tese acham-se pré-excluídos do âmbito de atuação e incidência do mandado de segurança, aplicando-se, em consequência, às ações mandamentais de caráter coletivo, a Súmula 266/STF.</w:t>
      </w:r>
    </w:p>
    <w:p>
      <w:pPr>
        <w:ind w:left="288"/>
      </w:pPr>
      <w:r>
        <w:rPr>
          <w:b/>
          <w:color w:val="003CA0"/>
          <w:sz w:val="16"/>
        </w:rPr>
        <w:t>[MS 21.615, rel. min. Néri da Silveira, red. do ac. min. Celso de Mello, j. 10-2-1994, P, DJ de 13-3-1998.]</w:t>
      </w:r>
    </w:p>
    <w:p>
      <w:pPr>
        <w:ind w:left="288"/>
      </w:pPr>
      <w:r>
        <w:rPr>
          <w:color w:val="8C8C8C"/>
          <w:sz w:val="12"/>
        </w:rPr>
        <w:t>cf-art-5-inc-L</w:t>
      </w:r>
      <w:r>
        <w:rPr>
          <w:color w:val="003CA0"/>
          <w:sz w:val="12"/>
        </w:rPr>
        <w:t xml:space="preserve"> | RMS 21.514</w:t>
      </w:r>
      <w:r>
        <w:rPr>
          <w:color w:val="003CA0"/>
          <w:sz w:val="12"/>
        </w:rPr>
        <w:t xml:space="preserve"> | rel. Marco Aurélio</w:t>
      </w:r>
    </w:p>
    <w:p>
      <w:pPr>
        <w:ind w:left="288"/>
      </w:pPr>
      <w:r>
        <w:rPr>
          <w:color w:val="1E1E1E"/>
          <w:sz w:val="18"/>
        </w:rPr>
        <w:t>O inciso LXX do art. 5º da CF encerra o instituto da substituição processual, distanciando-se da hipótese do inciso XXI, no que surge no âmbito da representação. As entidades e pessoas jurídicas nele mencionadas atuam, em nome próprio, na defesa de interesses que se irradiam, encontrando-se no patrimônio de pessoas diversas. Descabe a exigência de demonstração do credenciamento.</w:t>
      </w:r>
    </w:p>
    <w:p>
      <w:pPr>
        <w:ind w:left="288"/>
      </w:pPr>
      <w:r>
        <w:rPr>
          <w:b/>
          <w:color w:val="003CA0"/>
          <w:sz w:val="16"/>
        </w:rPr>
        <w:t>[RMS 21.514, rel. min. Marco Aurélio, j. 27-4-1993, 2ª T, DJ de 18-6-1993.]</w:t>
      </w:r>
    </w:p>
    <w:p>
      <w:pPr>
        <w:ind w:left="288"/>
      </w:pPr>
      <w:r>
        <w:rPr>
          <w:color w:val="8C8C8C"/>
          <w:sz w:val="12"/>
        </w:rPr>
        <w:t>cf-art-5-inc-L</w:t>
      </w:r>
      <w:r>
        <w:rPr>
          <w:color w:val="003CA0"/>
          <w:sz w:val="12"/>
        </w:rPr>
        <w:t xml:space="preserve"> | MS 21.291</w:t>
      </w:r>
      <w:r>
        <w:rPr>
          <w:color w:val="003CA0"/>
          <w:sz w:val="12"/>
        </w:rPr>
        <w:t xml:space="preserve"> | rel. Celso de Mello</w:t>
      </w:r>
    </w:p>
    <w:p>
      <w:pPr>
        <w:ind w:left="288"/>
      </w:pPr>
      <w:r>
        <w:rPr>
          <w:color w:val="1E1E1E"/>
          <w:sz w:val="18"/>
        </w:rPr>
        <w:t>O mandado de segurança coletivo – que constitui, ao lado do writ individual, mera espécie da ação mandamental instituída pela Constituição de 1934 – destina-se, em sua precípua função jurídico-processual, a viabilizar a tutela jurisdicional de direito líquido e certo não amparável pelos remédios constitucionais do habeas corpus e do habeas data. Simples interesses, que não configurem direitos, não legitimam a válida utilização do mandado de segurança coletivo.</w:t>
      </w:r>
    </w:p>
    <w:p>
      <w:pPr>
        <w:ind w:left="288"/>
      </w:pPr>
      <w:r>
        <w:rPr>
          <w:b/>
          <w:color w:val="003CA0"/>
          <w:sz w:val="16"/>
        </w:rPr>
        <w:t>[MS 21.291 AgR-QO, rel. min. Celso de Mello, j. 12-4-1991, P, DJ de 27-10-1995.]</w:t>
      </w:r>
    </w:p>
    <w:p>
      <w:pPr>
        <w:ind w:left="288"/>
      </w:pPr>
      <w:r>
        <w:rPr>
          <w:color w:val="8C8C8C"/>
          <w:sz w:val="12"/>
        </w:rPr>
        <w:t>cf-art-5-inc-L</w:t>
      </w:r>
      <w:r>
        <w:rPr>
          <w:color w:val="003CA0"/>
          <w:sz w:val="12"/>
        </w:rPr>
        <w:t xml:space="preserve"> | ADPF 307</w:t>
      </w:r>
      <w:r>
        <w:rPr>
          <w:color w:val="003CA0"/>
          <w:sz w:val="12"/>
        </w:rPr>
        <w:t xml:space="preserve"> | rel. Dias Toffoli</w:t>
      </w:r>
    </w:p>
    <w:p>
      <w:pPr>
        <w:ind w:left="288"/>
      </w:pPr>
      <w:r>
        <w:rPr>
          <w:color w:val="1E1E1E"/>
          <w:sz w:val="18"/>
        </w:rPr>
        <w:t>= ADPF 307 MC-REF, rel. min. Dias Toffoli, j. 19-12-2013, P, DJE de 27-3-2014 Ao Estado-membro não se outorgou legitimação extraordinária para a defesa, contra ato de autoridade federal no exercício de competência privativa da União, seja para a tutela de interesses difusos de sua população – que é restrito aos enumerados na lei da ação civil pública (Lei 7.347/1985) –, seja para a impetração de mandado de segurança coletivo, que é objeto da enumeração taxativa do art. 5º, LXX, da Constituição. Além de não se poder extrair mediante construção ou raciocínio analógicos, a alegada legitimação ext</w:t>
      </w:r>
    </w:p>
    <w:p>
      <w:pPr>
        <w:ind w:left="288"/>
      </w:pPr>
      <w:r>
        <w:rPr>
          <w:b/>
          <w:color w:val="003CA0"/>
          <w:sz w:val="16"/>
        </w:rPr>
        <w:t>[MS 21.059, rel. min. Sepúlveda Pertence, j. 5-9-1990, P, DJ de 19-10-1990.]</w:t>
      </w:r>
    </w:p>
    <w:p>
      <w:pPr>
        <w:ind w:left="288"/>
      </w:pPr>
      <w:r>
        <w:rPr>
          <w:color w:val="8C8C8C"/>
          <w:sz w:val="12"/>
        </w:rPr>
        <w:t>cf-art-5-inc-L-ali-a</w:t>
      </w:r>
      <w:r>
        <w:rPr>
          <w:color w:val="003CA0"/>
          <w:sz w:val="12"/>
        </w:rPr>
        <w:t xml:space="preserve"> | RE 213.631</w:t>
      </w:r>
      <w:r>
        <w:rPr>
          <w:color w:val="003CA0"/>
          <w:sz w:val="12"/>
        </w:rPr>
        <w:t xml:space="preserve"> | rel. Ilmar Galvão</w:t>
      </w:r>
    </w:p>
    <w:p>
      <w:pPr>
        <w:ind w:left="288"/>
      </w:pPr>
      <w:r>
        <w:rPr>
          <w:color w:val="1E1E1E"/>
          <w:sz w:val="18"/>
        </w:rPr>
        <w:t>Uma exigência tributária configura interesse de grupo ou classe de pessoas, só podendo ser impugnada por eles próprios, de forma individual ou coletiva. Precedente: RE 213.631, rel. min. Ilmar Galvão, DJ de 7-4-2000. O partido político não está, pois, autorizado a valer-se do mandado de segurança coletivo para, substituindo todos os cidadãos na defesa de interesses individuais, impugnar majoração de tributo.</w:t>
      </w:r>
    </w:p>
    <w:p>
      <w:pPr>
        <w:ind w:left="288"/>
      </w:pPr>
      <w:r>
        <w:rPr>
          <w:b/>
          <w:color w:val="003CA0"/>
          <w:sz w:val="16"/>
        </w:rPr>
        <w:t>[RE 196.184, rel. min. Ellen Gracie, j. 27-10-2004, P, DJ de 18-2-2005.]</w:t>
      </w:r>
    </w:p>
    <w:p>
      <w:pPr>
        <w:ind w:left="288"/>
      </w:pPr>
      <w:r>
        <w:rPr>
          <w:color w:val="8C8C8C"/>
          <w:sz w:val="12"/>
        </w:rPr>
        <w:t>cf-art-5-inc-L-ali-b</w:t>
      </w:r>
    </w:p>
    <w:p>
      <w:pPr>
        <w:ind w:left="288"/>
      </w:pPr>
      <w:r>
        <w:rPr>
          <w:color w:val="1E1E1E"/>
          <w:sz w:val="18"/>
        </w:rPr>
        <w:t>A entidade de classe tem legitimação para o mandado de segurança ainda quando a pretensão veiculada interesse apenas a uma parte da respectiva categoria.</w:t>
      </w:r>
    </w:p>
    <w:p>
      <w:pPr>
        <w:ind w:left="288"/>
      </w:pPr>
      <w:r>
        <w:rPr>
          <w:b/>
          <w:color w:val="003CA0"/>
          <w:sz w:val="16"/>
        </w:rPr>
        <w:t>[Súmula 630.]</w:t>
      </w:r>
    </w:p>
    <w:p>
      <w:pPr>
        <w:ind w:left="288"/>
      </w:pPr>
      <w:r>
        <w:rPr>
          <w:color w:val="8C8C8C"/>
          <w:sz w:val="12"/>
        </w:rPr>
        <w:t>cf-art-5-inc-L-ali-b</w:t>
      </w:r>
    </w:p>
    <w:p>
      <w:pPr>
        <w:ind w:left="288"/>
      </w:pPr>
      <w:r>
        <w:rPr>
          <w:color w:val="1E1E1E"/>
          <w:sz w:val="18"/>
        </w:rPr>
        <w:t>A impetração de mandado de segurança coletivo por entidade de classe em favor dos associados independe da autorização destes.</w:t>
      </w:r>
    </w:p>
    <w:p>
      <w:pPr>
        <w:ind w:left="288"/>
      </w:pPr>
      <w:r>
        <w:rPr>
          <w:b/>
          <w:color w:val="003CA0"/>
          <w:sz w:val="16"/>
        </w:rPr>
        <w:t>[Súmula 629.]</w:t>
      </w:r>
    </w:p>
    <w:p>
      <w:pPr>
        <w:ind w:left="288"/>
      </w:pPr>
      <w:r>
        <w:rPr>
          <w:color w:val="8C8C8C"/>
          <w:sz w:val="12"/>
        </w:rPr>
        <w:t>cf-art-5-inc-L-ali-b</w:t>
      </w:r>
      <w:r>
        <w:rPr>
          <w:color w:val="003CA0"/>
          <w:sz w:val="12"/>
        </w:rPr>
        <w:t xml:space="preserve"> | RE 370.834</w:t>
      </w:r>
      <w:r>
        <w:rPr>
          <w:color w:val="003CA0"/>
          <w:sz w:val="12"/>
        </w:rPr>
        <w:t xml:space="preserve"> | rel. Marco Aurélio</w:t>
      </w:r>
    </w:p>
    <w:p>
      <w:pPr>
        <w:ind w:left="288"/>
      </w:pPr>
      <w:r>
        <w:rPr>
          <w:color w:val="1E1E1E"/>
          <w:sz w:val="18"/>
        </w:rPr>
        <w:t>A legitimidade de sindicato para atuar como substituto processual no mandado de segurança coletivo pressupõe tão somente a existência jurídica, ou seja, o registro no cartório próprio, sendo indiferente estarem ou não os estatutos arquivados e registrados no Ministério do Trabalho.</w:t>
      </w:r>
    </w:p>
    <w:p>
      <w:pPr>
        <w:ind w:left="288"/>
      </w:pPr>
      <w:r>
        <w:rPr>
          <w:b/>
          <w:color w:val="003CA0"/>
          <w:sz w:val="16"/>
        </w:rPr>
        <w:t>[RE 370.834, rel. min. Marco Aurélio, j. 30-8-2011, 1ª T, DJE de 26-9-2011.]</w:t>
      </w:r>
    </w:p>
    <w:p>
      <w:pPr>
        <w:ind w:left="288"/>
      </w:pPr>
      <w:r>
        <w:rPr>
          <w:color w:val="8C8C8C"/>
          <w:sz w:val="12"/>
        </w:rPr>
        <w:t>cf-art-5-inc-L-ali-b</w:t>
      </w:r>
      <w:r>
        <w:rPr>
          <w:color w:val="003CA0"/>
          <w:sz w:val="12"/>
        </w:rPr>
        <w:t xml:space="preserve"> | MS 25.347</w:t>
      </w:r>
    </w:p>
    <w:p>
      <w:pPr>
        <w:ind w:left="288"/>
      </w:pPr>
      <w:r>
        <w:rPr>
          <w:color w:val="1E1E1E"/>
          <w:sz w:val="18"/>
        </w:rPr>
        <w:t>De saída, afasto a preliminar de ilegitimidade ativa, suscitada pelo presidente da República. É que a impetrante demonstrou ser associação legalmente constituída há mais de um ano. Sua legitimidade para a impetração de mandado de segurança, portanto, decorre diretamente do Texto Constitucional (inciso LXX do art. 5º), não obstante o silêncio do estatuto da autora quanto à representação judicial de seus associados.</w:t>
      </w:r>
    </w:p>
    <w:p>
      <w:pPr>
        <w:ind w:left="288"/>
      </w:pPr>
      <w:r>
        <w:rPr>
          <w:b/>
          <w:color w:val="003CA0"/>
          <w:sz w:val="16"/>
        </w:rPr>
        <w:t>[MS 25.347, voto do min. Ayres Britto, j. 17-2-2010, P, DJE de 19-3-2010.]</w:t>
      </w:r>
    </w:p>
    <w:p>
      <w:pPr>
        <w:ind w:left="288"/>
      </w:pPr>
      <w:r>
        <w:rPr>
          <w:color w:val="8C8C8C"/>
          <w:sz w:val="12"/>
        </w:rPr>
        <w:t>cf-art-5-inc-L-ali-b</w:t>
      </w:r>
      <w:r>
        <w:rPr>
          <w:color w:val="003CA0"/>
          <w:sz w:val="12"/>
        </w:rPr>
        <w:t xml:space="preserve"> | RE 266.689</w:t>
      </w:r>
      <w:r>
        <w:rPr>
          <w:color w:val="003CA0"/>
          <w:sz w:val="12"/>
        </w:rPr>
        <w:t xml:space="preserve"> | rel. Ellen Gracie</w:t>
      </w:r>
    </w:p>
    <w:p>
      <w:pPr>
        <w:ind w:left="288"/>
      </w:pPr>
      <w:r>
        <w:rPr>
          <w:color w:val="1E1E1E"/>
          <w:sz w:val="18"/>
        </w:rPr>
        <w:t>Presente a OAB – autarquia federal de regime especial – no polo ativo de mandado de segurança coletivo impetrado em favor de seus membros, a competência para julgá-lo é da Justiça Federal, a despeito de a autora não postular direito próprio.</w:t>
      </w:r>
    </w:p>
    <w:p>
      <w:pPr>
        <w:ind w:left="288"/>
      </w:pPr>
      <w:r>
        <w:rPr>
          <w:b/>
          <w:color w:val="003CA0"/>
          <w:sz w:val="16"/>
        </w:rPr>
        <w:t>[RE 266.689 AgR, rel. min. Ellen Gracie, j. 17-8-2004, 2ª T, DJE 3-9-2004.]</w:t>
      </w:r>
    </w:p>
    <w:p>
      <w:pPr>
        <w:ind w:left="288"/>
      </w:pPr>
      <w:r>
        <w:rPr>
          <w:color w:val="8C8C8C"/>
          <w:sz w:val="12"/>
        </w:rPr>
        <w:t>cf-art-5-inc-L-ali-b</w:t>
      </w:r>
      <w:r>
        <w:rPr>
          <w:color w:val="003CA0"/>
          <w:sz w:val="12"/>
        </w:rPr>
        <w:t xml:space="preserve"> | RCL 1.097</w:t>
      </w:r>
      <w:r>
        <w:rPr>
          <w:color w:val="003CA0"/>
          <w:sz w:val="12"/>
        </w:rPr>
        <w:t xml:space="preserve"> | rel. Moreira Alves</w:t>
      </w:r>
    </w:p>
    <w:p>
      <w:pPr>
        <w:ind w:left="288"/>
      </w:pPr>
      <w:r>
        <w:rPr>
          <w:color w:val="1E1E1E"/>
          <w:sz w:val="18"/>
        </w:rPr>
        <w:t>Em se tratando de mandado de segurança coletivo, esta Corte já firmou o entendimento de que, em tal caso, a entidade de classe ou a associação é parte legítima para impetrá-lo, ocorrendo, nesse caso, substituição processual. Na substituição processual, distingue-se o substituto como parte em sentido formal e os substituídos como partes em sentido material, por serem estes, embora não integrando a relação processual, titulares do direito que, em nome próprio, é defendido pelo substituto.</w:t>
      </w:r>
    </w:p>
    <w:p>
      <w:pPr>
        <w:ind w:left="288"/>
      </w:pPr>
      <w:r>
        <w:rPr>
          <w:b/>
          <w:color w:val="003CA0"/>
          <w:sz w:val="16"/>
        </w:rPr>
        <w:t>[Rcl 1.097 AgR, rel. min. Moreira Alves, j. 2-9-1999, P, DJ de 12-11-1999.]</w:t>
      </w:r>
    </w:p>
    <w:p>
      <w:pPr>
        <w:ind w:left="288"/>
      </w:pPr>
      <w:r>
        <w:rPr>
          <w:color w:val="8C8C8C"/>
          <w:sz w:val="12"/>
        </w:rPr>
        <w:t>cf-art-5-inc-L-ali-b</w:t>
      </w:r>
      <w:r>
        <w:rPr>
          <w:color w:val="003CA0"/>
          <w:sz w:val="12"/>
        </w:rPr>
        <w:t xml:space="preserve"> | RE 198.919</w:t>
      </w:r>
      <w:r>
        <w:rPr>
          <w:color w:val="003CA0"/>
          <w:sz w:val="12"/>
        </w:rPr>
        <w:t xml:space="preserve"> | rel. Ilmar Galvão</w:t>
      </w:r>
    </w:p>
    <w:p>
      <w:pPr>
        <w:ind w:left="288"/>
      </w:pPr>
      <w:r>
        <w:rPr>
          <w:color w:val="1E1E1E"/>
          <w:sz w:val="18"/>
        </w:rPr>
        <w:t>Legitimidade do sindicato para a impetração de mandado de segurança coletivo independentemente da comprovação de um ano de constituição e funcionamento.</w:t>
      </w:r>
    </w:p>
    <w:p>
      <w:pPr>
        <w:ind w:left="288"/>
      </w:pPr>
      <w:r>
        <w:rPr>
          <w:b/>
          <w:color w:val="003CA0"/>
          <w:sz w:val="16"/>
        </w:rPr>
        <w:t>[RE 198.919, rel. min. Ilmar Galvão, j. 15-6-1999, 1ª T, DJ de 24-9-1999.]</w:t>
      </w:r>
    </w:p>
    <w:p>
      <w:pPr>
        <w:ind w:left="288"/>
      </w:pPr>
      <w:r>
        <w:rPr>
          <w:color w:val="8C8C8C"/>
          <w:sz w:val="12"/>
        </w:rPr>
        <w:t>cf-art-5-inc-L-ali-b</w:t>
      </w:r>
      <w:r>
        <w:rPr>
          <w:color w:val="003CA0"/>
          <w:sz w:val="12"/>
        </w:rPr>
        <w:t xml:space="preserve"> | MS 22.451</w:t>
      </w:r>
      <w:r>
        <w:rPr>
          <w:color w:val="003CA0"/>
          <w:sz w:val="12"/>
        </w:rPr>
        <w:t xml:space="preserve"> | rel. Maurício Corrêa</w:t>
      </w:r>
    </w:p>
    <w:p>
      <w:pPr>
        <w:ind w:left="288"/>
      </w:pPr>
      <w:r>
        <w:rPr>
          <w:color w:val="1E1E1E"/>
          <w:sz w:val="18"/>
        </w:rPr>
        <w:t>As entidades de classe representativas da defesa de seus associados credenciam-se para figurarem no polo ativo da relação processual, legitimando-se para a utilização da via mandamental coletiva, se os seus atos constitutivos revestem-se das formalidades legais (...).</w:t>
      </w:r>
    </w:p>
    <w:p>
      <w:pPr>
        <w:ind w:left="288"/>
      </w:pPr>
      <w:r>
        <w:rPr>
          <w:b/>
          <w:color w:val="003CA0"/>
          <w:sz w:val="16"/>
        </w:rPr>
        <w:t>[MS 22.451, rel. min. Maurício Corrêa, j. 5-6-1997, P, DJ de 15-8-1997.]</w:t>
      </w:r>
    </w:p>
    <w:p>
      <w:pPr>
        <w:ind w:left="288"/>
      </w:pPr>
      <w:r>
        <w:rPr>
          <w:color w:val="8C8C8C"/>
          <w:sz w:val="12"/>
        </w:rPr>
        <w:t>cf-art-5-inc-L-ali-b</w:t>
      </w:r>
      <w:r>
        <w:rPr>
          <w:color w:val="003CA0"/>
          <w:sz w:val="12"/>
        </w:rPr>
        <w:t xml:space="preserve"> | MS 22.132</w:t>
      </w:r>
      <w:r>
        <w:rPr>
          <w:color w:val="003CA0"/>
          <w:sz w:val="12"/>
        </w:rPr>
        <w:t xml:space="preserve"> | rel. Carlos Velloso</w:t>
      </w:r>
    </w:p>
    <w:p>
      <w:pPr>
        <w:ind w:left="288"/>
      </w:pPr>
      <w:r>
        <w:rPr>
          <w:color w:val="1E1E1E"/>
          <w:sz w:val="18"/>
        </w:rPr>
        <w:t>O objeto do mandado de segurança coletivo será um direito dos associados, independentemente de guardar vínculo com os fins próprios da entidade impetrante do writ, exigindo-se, entretanto, que o direito esteja compreendido nas atividades exercidas pelos associados, mas não se exigindo que o direito seja peculiar, próprio, da classe.</w:t>
      </w:r>
    </w:p>
    <w:p>
      <w:pPr>
        <w:ind w:left="288"/>
      </w:pPr>
      <w:r>
        <w:rPr>
          <w:b/>
          <w:color w:val="003CA0"/>
          <w:sz w:val="16"/>
        </w:rPr>
        <w:t>[MS 22.132, rel. min. Carlos Velloso, j. 21-8-1996, P, DJ de 18-10-1996.]</w:t>
      </w:r>
    </w:p>
    <w:p>
      <w:pPr>
        <w:ind w:left="288"/>
      </w:pPr>
      <w:r>
        <w:rPr>
          <w:color w:val="8C8C8C"/>
          <w:sz w:val="12"/>
        </w:rPr>
        <w:t>cf-art-5-inc-L-ali-b</w:t>
      </w:r>
      <w:r>
        <w:rPr>
          <w:color w:val="003CA0"/>
          <w:sz w:val="12"/>
        </w:rPr>
        <w:t xml:space="preserve"> | RE 157.234</w:t>
      </w:r>
      <w:r>
        <w:rPr>
          <w:color w:val="003CA0"/>
          <w:sz w:val="12"/>
        </w:rPr>
        <w:t xml:space="preserve"> | rel. Marco Aurélio</w:t>
      </w:r>
    </w:p>
    <w:p>
      <w:pPr>
        <w:ind w:left="288"/>
      </w:pPr>
      <w:r>
        <w:rPr>
          <w:color w:val="1E1E1E"/>
          <w:sz w:val="18"/>
        </w:rPr>
        <w:t>O interesse exigido para a impetração de mandado de segurança coletivo há de ter ligação com o objeto da entidade sindical e, portanto, com o interesse jurídico desta, o que se configura quando em jogo a contribuição social sobre o lucro das pessoas jurídicas prevista na Lei 7.689/1988.</w:t>
      </w:r>
    </w:p>
    <w:p>
      <w:pPr>
        <w:ind w:left="288"/>
      </w:pPr>
      <w:r>
        <w:rPr>
          <w:b/>
          <w:color w:val="003CA0"/>
          <w:sz w:val="16"/>
        </w:rPr>
        <w:t>[RE 157.234, rel. min. Marco Aurélio, j. 12-6-1995, 2ª T, DJ de 22-9-1995.]</w:t>
      </w:r>
    </w:p>
    <w:p>
      <w:pPr>
        <w:ind w:left="288"/>
      </w:pPr>
      <w:r>
        <w:rPr>
          <w:color w:val="8C8C8C"/>
          <w:sz w:val="12"/>
        </w:rPr>
        <w:t>cf-art-5-inc-L-ali-b</w:t>
      </w:r>
      <w:r>
        <w:rPr>
          <w:color w:val="003CA0"/>
          <w:sz w:val="12"/>
        </w:rPr>
        <w:t xml:space="preserve"> | RMS 21.514</w:t>
      </w:r>
      <w:r>
        <w:rPr>
          <w:color w:val="003CA0"/>
          <w:sz w:val="12"/>
        </w:rPr>
        <w:t xml:space="preserve"> | rel. Marco Aurélio</w:t>
      </w:r>
    </w:p>
    <w:p>
      <w:pPr>
        <w:ind w:left="288"/>
      </w:pPr>
      <w:r>
        <w:rPr>
          <w:color w:val="1E1E1E"/>
          <w:sz w:val="18"/>
        </w:rPr>
        <w:t>Na disciplina constitucional do mandado de segurança coletivo, inconfundível com a relativa à ação direta de inconstitucionalidade, não se tem, quanto à legitimação ativa, a exigência de tratar-se de entidade de classe que congregue categoria única. Constatada a abrangência, a ponto de alcançar os titulares do direito substancial em questão, mister é concluir pela configuração de hipótese ensejadora da substituição processual que distingue a espécie de mandado de segurança que é o coletivo.</w:t>
      </w:r>
    </w:p>
    <w:p>
      <w:pPr>
        <w:ind w:left="288"/>
      </w:pPr>
      <w:r>
        <w:rPr>
          <w:b/>
          <w:color w:val="003CA0"/>
          <w:sz w:val="16"/>
        </w:rPr>
        <w:t>[RMS 21.514, rel. min. Marco Aurélio, j. 27-4-1993, 2ª T, DJ de 18-6-1993.]</w:t>
      </w:r>
    </w:p>
    <w:p>
      <w:pPr>
        <w:ind w:left="288"/>
      </w:pPr>
      <w:r>
        <w:rPr>
          <w:color w:val="8C8C8C"/>
          <w:sz w:val="12"/>
        </w:rPr>
        <w:t>cf-art-5-inc-L-ali-b</w:t>
      </w:r>
      <w:r>
        <w:rPr>
          <w:color w:val="003CA0"/>
          <w:sz w:val="12"/>
        </w:rPr>
        <w:t xml:space="preserve"> | MS 21.098</w:t>
      </w:r>
      <w:r>
        <w:rPr>
          <w:color w:val="003CA0"/>
          <w:sz w:val="12"/>
        </w:rPr>
        <w:t xml:space="preserve"> | rel. Sepúlveda Pertence</w:t>
      </w:r>
    </w:p>
    <w:p>
      <w:pPr>
        <w:ind w:left="288"/>
      </w:pPr>
      <w:r>
        <w:rPr>
          <w:color w:val="1E1E1E"/>
          <w:sz w:val="18"/>
        </w:rPr>
        <w:t>A ação de mandado de segurança – ainda que se trate do writ coletivo, que se submete às mesmas exigências e aos mesmos princípios básicos inerentes ao mandamus individual – não admite, em função de sua própria natureza, qualquer dilação probatória. É da essência do processo de mandado de segurança a característica de somente admitir prova literal pré-constituída, ressalvadas as situações excepcionais previstas em lei (...).</w:t>
      </w:r>
    </w:p>
    <w:p>
      <w:pPr>
        <w:ind w:left="288"/>
      </w:pPr>
      <w:r>
        <w:rPr>
          <w:b/>
          <w:color w:val="003CA0"/>
          <w:sz w:val="16"/>
        </w:rPr>
        <w:t>[MS 21.098, rel. min. Sepúlveda Pertence, red. do ac. min. Celso de Mello, j. 20-8-1991, 1ª T, DJ de 27-3-1992.]</w:t>
      </w:r>
    </w:p>
    <w:p>
      <w:pPr>
        <w:ind w:left="288"/>
      </w:pPr>
      <w:r>
        <w:rPr>
          <w:color w:val="8C8C8C"/>
          <w:sz w:val="12"/>
        </w:rPr>
        <w:t>cf-art-5-inc-L-ali-b</w:t>
      </w:r>
      <w:r>
        <w:rPr>
          <w:color w:val="003CA0"/>
          <w:sz w:val="12"/>
        </w:rPr>
        <w:t xml:space="preserve"> | RE 970.823</w:t>
      </w:r>
    </w:p>
    <w:p>
      <w:pPr>
        <w:ind w:left="288"/>
      </w:pPr>
      <w:r>
        <w:rPr>
          <w:color w:val="1E1E1E"/>
          <w:sz w:val="18"/>
        </w:rPr>
        <w:t xml:space="preserve">LXXI - conceder-se-á mandado de injunção sempre que a falta de norma regulamentadora torne inviável o exercício dos direitos e liberdades constitucionais e das prerrogativas inerentes à nacionalidade, à soberania e à cidadania; Nota: As decisões em que o Plenário do STF declarou a mora do Poder Legislativo e que ainda se encontram pendentes de disciplina estão disponíveis para consulta no sítio do Tribunal (https://portal.stf.jus.br/textos/verTexto.asp?servico=jurisprudenciaOmissaoInconstitucional). “I - A Constituição Federal não prevê adicional noturno aos Militares Estaduais ou Distritais. </w:t>
      </w:r>
    </w:p>
    <w:p>
      <w:pPr>
        <w:ind w:left="288"/>
      </w:pPr>
      <w:r>
        <w:rPr>
          <w:b/>
          <w:color w:val="003CA0"/>
          <w:sz w:val="16"/>
        </w:rPr>
        <w:t>[RE 970.823, red. do ac. min.. Alexandre de Moraes, j. 18-8-2020, P, DJE de 4-9-2020, Tema 1.038, com mérito julgado.]</w:t>
      </w:r>
    </w:p>
    <w:p>
      <w:pPr>
        <w:ind w:left="288"/>
      </w:pPr>
      <w:r>
        <w:rPr>
          <w:color w:val="8C8C8C"/>
          <w:sz w:val="12"/>
        </w:rPr>
        <w:t>cf-art-5-inc-L-ali-b</w:t>
      </w:r>
      <w:r>
        <w:rPr>
          <w:color w:val="003CA0"/>
          <w:sz w:val="12"/>
        </w:rPr>
        <w:t xml:space="preserve"> | MI 6.616</w:t>
      </w:r>
      <w:r>
        <w:rPr>
          <w:color w:val="003CA0"/>
          <w:sz w:val="12"/>
        </w:rPr>
        <w:t xml:space="preserve"> | rel. Alexandre de Moraes</w:t>
      </w:r>
    </w:p>
    <w:p>
      <w:pPr>
        <w:ind w:left="288"/>
      </w:pPr>
      <w:r>
        <w:rPr>
          <w:color w:val="1E1E1E"/>
          <w:sz w:val="18"/>
        </w:rPr>
        <w:t>A via injuncional não se presta à repristinação de normas revogadas ou à função de sucedâneo recursal, sendo igualmente pacífico o entendimento desta Corte no sentido de que “a simples insatisfação com o conteúdo da disciplina infraconstitucional editada não autoriza o manuseio do mandado de injunção” (MI 6.616 AgR, Relator: Min. NUNES MARQUES, Tribunal Pleno, DJe de 07/04/2022).</w:t>
      </w:r>
    </w:p>
    <w:p>
      <w:pPr>
        <w:ind w:left="288"/>
      </w:pPr>
      <w:r>
        <w:rPr>
          <w:b/>
          <w:color w:val="003CA0"/>
          <w:sz w:val="16"/>
        </w:rPr>
        <w:t>[MI 7.495 AgR, rel. min. Alexandre de Moraes, j. 01.07.2025, P, DJE de 08.07.2025.]</w:t>
      </w:r>
    </w:p>
    <w:p>
      <w:pPr>
        <w:ind w:left="288"/>
      </w:pPr>
      <w:r>
        <w:rPr>
          <w:color w:val="8C8C8C"/>
          <w:sz w:val="12"/>
        </w:rPr>
        <w:t>cf-art-5-inc-L-ali-b</w:t>
      </w:r>
      <w:r>
        <w:rPr>
          <w:color w:val="003CA0"/>
          <w:sz w:val="12"/>
        </w:rPr>
        <w:t xml:space="preserve"> | MI 6.591</w:t>
      </w:r>
      <w:r>
        <w:rPr>
          <w:color w:val="003CA0"/>
          <w:sz w:val="12"/>
        </w:rPr>
        <w:t xml:space="preserve"> | rel. Luiz Fux</w:t>
      </w:r>
    </w:p>
    <w:p>
      <w:pPr>
        <w:ind w:left="288"/>
      </w:pPr>
      <w:r>
        <w:rPr>
          <w:color w:val="1E1E1E"/>
          <w:sz w:val="18"/>
        </w:rPr>
        <w:t>(...) não há norma constitucional que imponha ao legislador o dever de regulamentar os direitos do nascituro. Como se infere do art. 5º, LXXI, da CRFB/1988, o mandado de injunção tem lugar quando a falta de norma regulamentadora impedir o exercício de direitos e liberdades constitucionais e das prerrogativas inerentes à nacionalidade, à soberania e à cidadania. Nesse passo, inexistente a previsão do direito na Constituição Federal, tampouco do dever de regulamentação, não há que se falar em omissão legislativa que possa ser imputada às autoridades impetradas.</w:t>
      </w:r>
    </w:p>
    <w:p>
      <w:pPr>
        <w:ind w:left="288"/>
      </w:pPr>
      <w:r>
        <w:rPr>
          <w:b/>
          <w:color w:val="003CA0"/>
          <w:sz w:val="16"/>
        </w:rPr>
        <w:t>[MI 6.591 AgR, rel. min. Luiz Fux, j. 16-6-2016, P, DJE de 30-6-2016.]</w:t>
      </w:r>
    </w:p>
    <w:p>
      <w:pPr>
        <w:ind w:left="288"/>
      </w:pPr>
      <w:r>
        <w:rPr>
          <w:color w:val="8C8C8C"/>
          <w:sz w:val="12"/>
        </w:rPr>
        <w:t>cf-art-5-inc-L-ali-b</w:t>
      </w:r>
      <w:r>
        <w:rPr>
          <w:color w:val="003CA0"/>
          <w:sz w:val="12"/>
        </w:rPr>
        <w:t xml:space="preserve"> | MI 5.926</w:t>
      </w:r>
      <w:r>
        <w:rPr>
          <w:color w:val="003CA0"/>
          <w:sz w:val="12"/>
        </w:rPr>
        <w:t xml:space="preserve"> | rel. Celso de Mello</w:t>
      </w:r>
    </w:p>
    <w:p>
      <w:pPr>
        <w:ind w:left="288"/>
      </w:pPr>
      <w:r>
        <w:rPr>
          <w:color w:val="1E1E1E"/>
          <w:sz w:val="18"/>
        </w:rPr>
        <w:t>O direito à legislação só pode ser invocado pelo interessado, quando também existir – simultaneamente imposta pelo próprio texto constitucional – a previsão do dever estatal de emanar normas legais. Isso significa que o direito individual à atividade legislativa do Estado apenas se evidenciará naquelas estritas hipóteses em que o desempenho da função de legislar refletir, por efeito de exclusiva determinação constitucional, uma obrigação jurídica indeclinável imposta ao poder público.</w:t>
      </w:r>
    </w:p>
    <w:p>
      <w:pPr>
        <w:ind w:left="288"/>
      </w:pPr>
      <w:r>
        <w:rPr>
          <w:b/>
          <w:color w:val="003CA0"/>
          <w:sz w:val="16"/>
        </w:rPr>
        <w:t>[MI 5.926 AgR, rel. min. Celso de Mello, j. 10-4-2014, P, DJE de 2-6-2014.]</w:t>
      </w:r>
    </w:p>
    <w:p>
      <w:pPr>
        <w:ind w:left="288"/>
      </w:pPr>
      <w:r>
        <w:rPr>
          <w:color w:val="8C8C8C"/>
          <w:sz w:val="12"/>
        </w:rPr>
        <w:t>cf-art-5-inc-L-ali-b</w:t>
      </w:r>
      <w:r>
        <w:rPr>
          <w:color w:val="003CA0"/>
          <w:sz w:val="12"/>
        </w:rPr>
        <w:t xml:space="preserve"> | MI 1.007</w:t>
      </w:r>
      <w:r>
        <w:rPr>
          <w:color w:val="003CA0"/>
          <w:sz w:val="12"/>
        </w:rPr>
        <w:t xml:space="preserve"> | rel. Dias Toffoli</w:t>
      </w:r>
    </w:p>
    <w:p>
      <w:pPr>
        <w:ind w:left="288"/>
      </w:pPr>
      <w:r>
        <w:rPr>
          <w:color w:val="1E1E1E"/>
          <w:sz w:val="18"/>
        </w:rPr>
        <w:t>Impossibilidade de formação de litisconsórcio passivo, em sede de mandado de injunção, entre a autoridade competente para a elaboração da norma regulamentadora de dispositivo constitucional e particulares.</w:t>
      </w:r>
    </w:p>
    <w:p>
      <w:pPr>
        <w:ind w:left="288"/>
      </w:pPr>
      <w:r>
        <w:rPr>
          <w:b/>
          <w:color w:val="003CA0"/>
          <w:sz w:val="16"/>
        </w:rPr>
        <w:t>[MI 1.007 AgR, rel. min. Dias Toffoli, j. 18-12-2013, P, DJE de 11-3-2014.]</w:t>
      </w:r>
    </w:p>
    <w:p>
      <w:pPr>
        <w:ind w:left="288"/>
      </w:pPr>
      <w:r>
        <w:rPr>
          <w:color w:val="8C8C8C"/>
          <w:sz w:val="12"/>
        </w:rPr>
        <w:t>cf-art-5-inc-L-ali-b</w:t>
      </w:r>
      <w:r>
        <w:rPr>
          <w:color w:val="003CA0"/>
          <w:sz w:val="12"/>
        </w:rPr>
        <w:t xml:space="preserve"> | MI 4.503</w:t>
      </w:r>
      <w:r>
        <w:rPr>
          <w:color w:val="003CA0"/>
          <w:sz w:val="12"/>
        </w:rPr>
        <w:t xml:space="preserve"> | rel. Ricardo Lewandowski</w:t>
      </w:r>
    </w:p>
    <w:p>
      <w:pPr>
        <w:ind w:left="288"/>
      </w:pPr>
      <w:r>
        <w:rPr>
          <w:color w:val="1E1E1E"/>
          <w:sz w:val="18"/>
        </w:rPr>
        <w:t>A jurisprudência desta Corte sedimentou a possibilidade de as entidades de classe, desde que legalmente constituídas e em funcionamento há pelo menos um ano, utilizarem o mandado de injunção coletivo.</w:t>
      </w:r>
    </w:p>
    <w:p>
      <w:pPr>
        <w:ind w:left="288"/>
      </w:pPr>
      <w:r>
        <w:rPr>
          <w:b/>
          <w:color w:val="003CA0"/>
          <w:sz w:val="16"/>
        </w:rPr>
        <w:t>[MI 4.503 AgR, rel. min. Ricardo Lewandowski, j. 7-11-2013, P, DJE de 3-12-2013.]</w:t>
      </w:r>
    </w:p>
    <w:p>
      <w:pPr>
        <w:ind w:left="288"/>
      </w:pPr>
      <w:r>
        <w:rPr>
          <w:color w:val="8C8C8C"/>
          <w:sz w:val="12"/>
        </w:rPr>
        <w:t>cf-art-5-inc-L-ali-b</w:t>
      </w:r>
      <w:r>
        <w:rPr>
          <w:color w:val="003CA0"/>
          <w:sz w:val="12"/>
        </w:rPr>
        <w:t xml:space="preserve"> | MI 472</w:t>
      </w:r>
      <w:r>
        <w:rPr>
          <w:color w:val="003CA0"/>
          <w:sz w:val="12"/>
        </w:rPr>
        <w:t xml:space="preserve"> | rel. Celso de Mello</w:t>
      </w:r>
    </w:p>
    <w:p>
      <w:pPr>
        <w:ind w:left="288"/>
      </w:pPr>
      <w:r>
        <w:rPr>
          <w:color w:val="1E1E1E"/>
          <w:sz w:val="18"/>
        </w:rPr>
        <w:t>Vide MI 472, rel. min. Celso de Mello, j. 6-9-2005, P, DJ de 2-3-2001 Nos mandados de injunção coletivos, a emissão de juízo de mérito pressupõe a especificação dos substituídos e a demonstração de que efetivamente inviabilizado o exercício do direito com base na lacuna normativa apontada.</w:t>
      </w:r>
    </w:p>
    <w:p>
      <w:pPr>
        <w:ind w:left="288"/>
      </w:pPr>
      <w:r>
        <w:rPr>
          <w:b/>
          <w:color w:val="003CA0"/>
          <w:sz w:val="16"/>
        </w:rPr>
        <w:t>[MI 2.859 ED, rel. min. Rosa Weber, j. 19-6-2013, P, DJE de 13-8-2013.]</w:t>
      </w:r>
    </w:p>
    <w:p>
      <w:pPr>
        <w:ind w:left="288"/>
      </w:pPr>
      <w:r>
        <w:rPr>
          <w:color w:val="8C8C8C"/>
          <w:sz w:val="12"/>
        </w:rPr>
        <w:t>cf-art-5-inc-L-ali-b</w:t>
      </w:r>
      <w:r>
        <w:rPr>
          <w:color w:val="003CA0"/>
          <w:sz w:val="12"/>
        </w:rPr>
        <w:t xml:space="preserve"> | MI 4.831</w:t>
      </w:r>
      <w:r>
        <w:rPr>
          <w:color w:val="003CA0"/>
          <w:sz w:val="12"/>
        </w:rPr>
        <w:t xml:space="preserve"> | rel. Teori Zavascki</w:t>
      </w:r>
    </w:p>
    <w:p>
      <w:pPr>
        <w:ind w:left="288"/>
      </w:pPr>
      <w:r>
        <w:rPr>
          <w:color w:val="1E1E1E"/>
          <w:sz w:val="18"/>
        </w:rPr>
        <w:t>(...) o mandado de injunção não é o meio processual adequado para questionar a efetividade da lei regulamentadora.</w:t>
      </w:r>
    </w:p>
    <w:p>
      <w:pPr>
        <w:ind w:left="288"/>
      </w:pPr>
      <w:r>
        <w:rPr>
          <w:b/>
          <w:color w:val="003CA0"/>
          <w:sz w:val="16"/>
        </w:rPr>
        <w:t>[MI 4.831 AgR, rel. min. Teori Zavascki, j. 29-5-2013, P, DJE de 28-8-2013.]</w:t>
      </w:r>
    </w:p>
    <w:p>
      <w:pPr>
        <w:ind w:left="288"/>
      </w:pPr>
      <w:r>
        <w:rPr>
          <w:color w:val="8C8C8C"/>
          <w:sz w:val="12"/>
        </w:rPr>
        <w:t>cf-art-5-inc-L-ali-b</w:t>
      </w:r>
      <w:r>
        <w:rPr>
          <w:color w:val="003CA0"/>
          <w:sz w:val="12"/>
        </w:rPr>
        <w:t xml:space="preserve"> | MI 5.071</w:t>
      </w:r>
      <w:r>
        <w:rPr>
          <w:color w:val="003CA0"/>
          <w:sz w:val="12"/>
        </w:rPr>
        <w:t xml:space="preserve"> | rel. Cármen Lúcia</w:t>
      </w:r>
    </w:p>
    <w:p>
      <w:pPr>
        <w:ind w:left="288"/>
      </w:pPr>
      <w:r>
        <w:rPr>
          <w:color w:val="1E1E1E"/>
          <w:sz w:val="18"/>
        </w:rPr>
        <w:t>Autoridade administrativa não necessita de decisão em mandado de injunção em favor de servidor público para simples verificação se ele preenche, ou não, os requisitos necessários para a aposentadoria especial (art. 57 da Lei 8.213/1991).</w:t>
      </w:r>
    </w:p>
    <w:p>
      <w:pPr>
        <w:ind w:left="288"/>
      </w:pPr>
      <w:r>
        <w:rPr>
          <w:b/>
          <w:color w:val="003CA0"/>
          <w:sz w:val="16"/>
        </w:rPr>
        <w:t>[MI 5.071 AgR, rel. min. Cármen Lúcia, j. 8-5-2013, P, DJE de 28-5-2013.]</w:t>
      </w:r>
    </w:p>
    <w:p>
      <w:pPr>
        <w:ind w:left="288"/>
      </w:pPr>
      <w:r>
        <w:rPr>
          <w:color w:val="8C8C8C"/>
          <w:sz w:val="12"/>
        </w:rPr>
        <w:t>cf-art-5-inc-L-ali-b</w:t>
      </w:r>
      <w:r>
        <w:rPr>
          <w:color w:val="003CA0"/>
          <w:sz w:val="12"/>
        </w:rPr>
        <w:t xml:space="preserve"> | MI 1.565</w:t>
      </w:r>
      <w:r>
        <w:rPr>
          <w:color w:val="003CA0"/>
          <w:sz w:val="12"/>
        </w:rPr>
        <w:t xml:space="preserve"> | rel. Teori Zavascki</w:t>
      </w:r>
    </w:p>
    <w:p>
      <w:pPr>
        <w:ind w:left="288"/>
      </w:pPr>
      <w:r>
        <w:rPr>
          <w:color w:val="1E1E1E"/>
          <w:sz w:val="18"/>
        </w:rPr>
        <w:t>(...) o STF tem competência para apreciar os mandados de injunção impetrados por servidores públicos municipais, estaduais e distritais, e não há litisconsórcio passivo necessário com o Estado ou instituto de previdência.</w:t>
      </w:r>
    </w:p>
    <w:p>
      <w:pPr>
        <w:ind w:left="288"/>
      </w:pPr>
      <w:r>
        <w:rPr>
          <w:b/>
          <w:color w:val="003CA0"/>
          <w:sz w:val="16"/>
        </w:rPr>
        <w:t>[MI 1.565 AgR, rel. min. Teori Zavascki, j. 24-4-2013, P, DJE de 27-5-2013.]</w:t>
      </w:r>
    </w:p>
    <w:p>
      <w:pPr>
        <w:ind w:left="288"/>
      </w:pPr>
      <w:r>
        <w:rPr>
          <w:color w:val="8C8C8C"/>
          <w:sz w:val="12"/>
        </w:rPr>
        <w:t>cf-art-5-inc-L-ali-b</w:t>
      </w:r>
      <w:r>
        <w:rPr>
          <w:color w:val="003CA0"/>
          <w:sz w:val="12"/>
        </w:rPr>
        <w:t xml:space="preserve"> | MI 2.247</w:t>
      </w:r>
      <w:r>
        <w:rPr>
          <w:color w:val="003CA0"/>
          <w:sz w:val="12"/>
        </w:rPr>
        <w:t xml:space="preserve"> | rel. Luiz Fux</w:t>
      </w:r>
    </w:p>
    <w:p>
      <w:pPr>
        <w:ind w:left="288"/>
      </w:pPr>
      <w:r>
        <w:rPr>
          <w:color w:val="1E1E1E"/>
          <w:sz w:val="18"/>
        </w:rPr>
        <w:t>= MI 2.247 AgR, rel. min. Luiz Fux, j. 19-9-2013, P, DJE de 11-10-2013 Aposentadoria especial de servidor público. (...) nos mandados de injunção coletivos, a petição inicial deve ser instruída com a especificação das categorias de servidores beneficiados pelo pedido, bem como de prova do requerimento e o indeferimento administrativo do pedido de aposentadoria especial.</w:t>
      </w:r>
    </w:p>
    <w:p>
      <w:pPr>
        <w:ind w:left="288"/>
      </w:pPr>
      <w:r>
        <w:rPr>
          <w:b/>
          <w:color w:val="003CA0"/>
          <w:sz w:val="16"/>
        </w:rPr>
        <w:t>[MI 1.708 AgR, rel. min. Teori Zavascki, j. 24-4-2013, P, DJE de 27-5-2013.]</w:t>
      </w:r>
    </w:p>
    <w:p>
      <w:pPr>
        <w:ind w:left="288"/>
      </w:pPr>
      <w:r>
        <w:rPr>
          <w:color w:val="8C8C8C"/>
          <w:sz w:val="12"/>
        </w:rPr>
        <w:t>cf-art-5-inc-L-ali-b</w:t>
      </w:r>
      <w:r>
        <w:rPr>
          <w:color w:val="003CA0"/>
          <w:sz w:val="12"/>
        </w:rPr>
        <w:t xml:space="preserve"> | MI 4.842</w:t>
      </w:r>
      <w:r>
        <w:rPr>
          <w:color w:val="003CA0"/>
          <w:sz w:val="12"/>
        </w:rPr>
        <w:t xml:space="preserve"> | rel. Cármen Lúcia</w:t>
      </w:r>
    </w:p>
    <w:p>
      <w:pPr>
        <w:ind w:left="288"/>
      </w:pPr>
      <w:r>
        <w:rPr>
          <w:color w:val="1E1E1E"/>
          <w:sz w:val="18"/>
        </w:rPr>
        <w:t>Cabível é o mandado de injunção quando a autoridade administrativa se recusa a examinar requerimento de aposentadoria especial de servidor público, com fundamento na ausência da norma regulamentadora do art. 40, § 4º, da Constituição da República.</w:t>
      </w:r>
    </w:p>
    <w:p>
      <w:pPr>
        <w:ind w:left="288"/>
      </w:pPr>
      <w:r>
        <w:rPr>
          <w:b/>
          <w:color w:val="003CA0"/>
          <w:sz w:val="16"/>
        </w:rPr>
        <w:t>[MI 4.842 AgR, rel. min. Cármen Lúcia, j. 6-3-2013, P, DJE de 1º-4-2013.]</w:t>
      </w:r>
    </w:p>
    <w:p>
      <w:pPr>
        <w:ind w:left="288"/>
      </w:pPr>
      <w:r>
        <w:rPr>
          <w:color w:val="8C8C8C"/>
          <w:sz w:val="12"/>
        </w:rPr>
        <w:t>cf-art-5-inc-L-ali-b</w:t>
      </w:r>
      <w:r>
        <w:rPr>
          <w:color w:val="003CA0"/>
          <w:sz w:val="12"/>
        </w:rPr>
        <w:t xml:space="preserve"> | MI 1.841</w:t>
      </w:r>
      <w:r>
        <w:rPr>
          <w:color w:val="003CA0"/>
          <w:sz w:val="12"/>
        </w:rPr>
        <w:t xml:space="preserve"> | rel. Celso de Mello</w:t>
      </w:r>
    </w:p>
    <w:p>
      <w:pPr>
        <w:ind w:left="288"/>
      </w:pPr>
      <w:r>
        <w:rPr>
          <w:color w:val="1E1E1E"/>
          <w:sz w:val="18"/>
        </w:rPr>
        <w:t>Servidor público. Direito público subjetivo à aposentadoria especial (CF, art. 40, § 4º). Injusta frustração desse direito em decorrência de inconstitucional, prolongada e lesiva omissão imputável a órgãos estatais da União Federal. Correlação entre a imposição constitucional de legislar e o reconhecimento do direito subjetivo à legislação. Descumprimento de imposição constitucional legiferante e desvalorização funcional da constituição escrita. A inércia do poder público como elemento revelador do desrespeito estatal ao dever de legislar imposto pela Constituição. Omissões normativas inconsti</w:t>
      </w:r>
    </w:p>
    <w:p>
      <w:pPr>
        <w:ind w:left="288"/>
      </w:pPr>
      <w:r>
        <w:rPr>
          <w:b/>
          <w:color w:val="003CA0"/>
          <w:sz w:val="16"/>
        </w:rPr>
        <w:t>[MI 1.841 AgR, rel. min. Celso de Mello, j. 6-2-2013, P, DJE de 14-3-2013.]</w:t>
      </w:r>
    </w:p>
    <w:p>
      <w:pPr>
        <w:ind w:left="288"/>
      </w:pPr>
      <w:r>
        <w:rPr>
          <w:color w:val="8C8C8C"/>
          <w:sz w:val="12"/>
        </w:rPr>
        <w:t>cf-art-5-inc-L-ali-b</w:t>
      </w:r>
      <w:r>
        <w:rPr>
          <w:color w:val="003CA0"/>
          <w:sz w:val="12"/>
        </w:rPr>
        <w:t xml:space="preserve"> | MI 1.011</w:t>
      </w:r>
      <w:r>
        <w:rPr>
          <w:color w:val="003CA0"/>
          <w:sz w:val="12"/>
        </w:rPr>
        <w:t xml:space="preserve"> | rel. Ricardo Lewandowski</w:t>
      </w:r>
    </w:p>
    <w:p>
      <w:pPr>
        <w:ind w:left="288"/>
      </w:pPr>
      <w:r>
        <w:rPr>
          <w:color w:val="1E1E1E"/>
          <w:sz w:val="18"/>
        </w:rPr>
        <w:t>A orientação do STF é pela prejudicialidade do mandado de injunção com a edição da norma regulamentadora então ausente. Excede os limites da via eleita a pretensão de sanar a alegada lacuna normativa do período pretérito à edição da lei regulamentadora.</w:t>
      </w:r>
    </w:p>
    <w:p>
      <w:pPr>
        <w:ind w:left="288"/>
      </w:pPr>
      <w:r>
        <w:rPr>
          <w:b/>
          <w:color w:val="003CA0"/>
          <w:sz w:val="16"/>
        </w:rPr>
        <w:t>[MI 1.011 AgR e MI 1.022 AgR, rel. min. Ricardo Lewandowski, j. 10-5-2012, P, DJE de 30-5-2012.]</w:t>
      </w:r>
    </w:p>
    <w:p>
      <w:pPr>
        <w:ind w:left="288"/>
      </w:pPr>
      <w:r>
        <w:rPr>
          <w:color w:val="8C8C8C"/>
          <w:sz w:val="12"/>
        </w:rPr>
        <w:t>cf-art-5-inc-L-ali-b</w:t>
      </w:r>
      <w:r>
        <w:rPr>
          <w:color w:val="003CA0"/>
          <w:sz w:val="12"/>
        </w:rPr>
        <w:t xml:space="preserve"> | MI 2.195</w:t>
      </w:r>
    </w:p>
    <w:p>
      <w:pPr>
        <w:ind w:left="288"/>
      </w:pPr>
      <w:r>
        <w:rPr>
          <w:color w:val="1E1E1E"/>
          <w:sz w:val="18"/>
        </w:rPr>
        <w:t>Para ser cabível o mandado de injunção, não basta que haja eventual obstáculo ao exercício de direito ou liberdade constitucional em razão de omissão legislativa, mas concreta inviabilidade de sua plena fruição pelo seu titular. Daí por que há de ser comprovada, de plano, a titularidade do direito (...) e a sua inviabilidade decorrente da ausência de norma regulamentadora do direito constitucional.</w:t>
      </w:r>
    </w:p>
    <w:p>
      <w:pPr>
        <w:ind w:left="288"/>
      </w:pPr>
      <w:r>
        <w:rPr>
          <w:b/>
          <w:color w:val="003CA0"/>
          <w:sz w:val="16"/>
        </w:rPr>
        <w:t>[MI 2.195 AgR, voto da min. Cármen Lúcia, j. 23-2-2011, P, DJE de 18-3-2011.]</w:t>
      </w:r>
    </w:p>
    <w:p>
      <w:pPr>
        <w:ind w:left="288"/>
      </w:pPr>
      <w:r>
        <w:rPr>
          <w:color w:val="8C8C8C"/>
          <w:sz w:val="12"/>
        </w:rPr>
        <w:t>cf-art-5-inc-L-ali-b</w:t>
      </w:r>
      <w:r>
        <w:rPr>
          <w:color w:val="003CA0"/>
          <w:sz w:val="12"/>
        </w:rPr>
        <w:t xml:space="preserve"> | MI 2.757</w:t>
      </w:r>
      <w:r>
        <w:rPr>
          <w:color w:val="003CA0"/>
          <w:sz w:val="12"/>
        </w:rPr>
        <w:t xml:space="preserve"> | rel. Gilmar Mendes</w:t>
      </w:r>
    </w:p>
    <w:p>
      <w:pPr>
        <w:ind w:left="288"/>
      </w:pPr>
      <w:r>
        <w:rPr>
          <w:color w:val="1E1E1E"/>
          <w:sz w:val="18"/>
        </w:rPr>
        <w:t>= MI 2.757, rel. min. Gilmar Mendes, j. 5-3-2012, dec. monocrática, DJE de 9-3-2012 = MI 624, rel. min. Menezes Direito, j. 21-11-2007, P, DJE de 28-3-2008 Os agravantes objetivam a regulamentação da atividade de jogos de bingo, mas não indicam o dispositivo constitucional que expressamente enuncie esse suposto direito. Para o cabimento do mandado de injunção, é imprescindível a existência de um direito previsto na Constituição que não esteja sendo exercido por ausência de norma regulamentadora. O mandado de injunção não é remédio destinado a fazer suprir lacuna ou ausência de regulamentação d</w:t>
      </w:r>
    </w:p>
    <w:p>
      <w:pPr>
        <w:ind w:left="288"/>
      </w:pPr>
      <w:r>
        <w:rPr>
          <w:b/>
          <w:color w:val="003CA0"/>
          <w:sz w:val="16"/>
        </w:rPr>
        <w:t>[MI 766 AgR, rel. min. Joaquim Barbosa, j. 21-10-2009, P, DJE de 13-11-2009.]</w:t>
      </w:r>
    </w:p>
    <w:p>
      <w:pPr>
        <w:ind w:left="288"/>
      </w:pPr>
      <w:r>
        <w:rPr>
          <w:color w:val="8C8C8C"/>
          <w:sz w:val="12"/>
        </w:rPr>
        <w:t>cf-art-5-inc-L-ali-b</w:t>
      </w:r>
      <w:r>
        <w:rPr>
          <w:color w:val="003CA0"/>
          <w:sz w:val="12"/>
        </w:rPr>
        <w:t xml:space="preserve"> | MI 4.345</w:t>
      </w:r>
      <w:r>
        <w:rPr>
          <w:color w:val="003CA0"/>
          <w:sz w:val="12"/>
        </w:rPr>
        <w:t xml:space="preserve"> | rel. Dias Toffoli</w:t>
      </w:r>
    </w:p>
    <w:p>
      <w:pPr>
        <w:ind w:left="288"/>
      </w:pPr>
      <w:r>
        <w:rPr>
          <w:color w:val="1E1E1E"/>
          <w:sz w:val="18"/>
        </w:rPr>
        <w:t>= MI 4.345 AgR, rel. min. Dias Toffoli, j. 23-5-2013, P, DJE de 1º-8-2013 Em observância aos ditames da segurança jurídica e à evolução jurisprudencial na interpretação da omissão legislativa sobre o direito de greve dos servidores públicos civis, fixação do prazo de sessenta dias para que o Congresso Nacional legisle sobre a matéria. Mandado de injunção deferido para determinar a aplicação das Leis 7.701/1988 e 7.783/1989. Sinais de evolução da garantia fundamental do mandado de injunção na jurisprudência do STF. No julgamento do MI 107/DF, rel. min. Moreira Alves, DJ de  21-9-1990, o Plenári</w:t>
      </w:r>
    </w:p>
    <w:p>
      <w:pPr>
        <w:ind w:left="288"/>
      </w:pPr>
      <w:r>
        <w:rPr>
          <w:b/>
          <w:color w:val="003CA0"/>
          <w:sz w:val="16"/>
        </w:rPr>
        <w:t>[MI 708, rel. min. Gilmar Mendes, j. 25-10-2007, P, DJE de 31-10-2008.]</w:t>
      </w:r>
    </w:p>
    <w:p>
      <w:pPr>
        <w:ind w:left="288"/>
      </w:pPr>
      <w:r>
        <w:rPr>
          <w:color w:val="8C8C8C"/>
          <w:sz w:val="12"/>
        </w:rPr>
        <w:t>cf-art-5-inc-L-ali-b</w:t>
      </w:r>
      <w:r>
        <w:rPr>
          <w:color w:val="003CA0"/>
          <w:sz w:val="12"/>
        </w:rPr>
        <w:t xml:space="preserve"> | MI 670</w:t>
      </w:r>
      <w:r>
        <w:rPr>
          <w:color w:val="003CA0"/>
          <w:sz w:val="12"/>
        </w:rPr>
        <w:t xml:space="preserve"> | rel. Maurício Corrêa</w:t>
      </w:r>
    </w:p>
    <w:p>
      <w:pPr>
        <w:ind w:left="288"/>
      </w:pPr>
      <w:r>
        <w:rPr>
          <w:color w:val="1E1E1E"/>
          <w:sz w:val="18"/>
        </w:rPr>
        <w:t>= MI 670, rel. min. Maurício Corrêa, red. do ac. min. Gilmar Mendes, e MI 712, rel. min. Eros Grau, j. 25-10-2007, P, DJE de 31-10-2008 A posse da capacidade postulatória constitui pressuposto processual subjetivo referente à parte. Sem que esta titularize o jus postulandi, torna-se inviável a válida constituição da própria relação processual, o que faz incidir a norma inscrita no art. 267, IV, do CPC, gerando, em consequência, como necessário efeito de ordem jurídica, a extinção do processo, sem resolução de mérito. Ninguém, ordinariamente, pode postular em juízo sem a assistência de advogado</w:t>
      </w:r>
    </w:p>
    <w:p>
      <w:pPr>
        <w:ind w:left="288"/>
      </w:pPr>
      <w:r>
        <w:rPr>
          <w:b/>
          <w:color w:val="003CA0"/>
          <w:sz w:val="16"/>
        </w:rPr>
        <w:t>[MI 772 AgR, rel. min. Celso de Mello, j. 24-10-2007, P, DJE de 20-3-2009.]</w:t>
      </w:r>
    </w:p>
    <w:p>
      <w:pPr>
        <w:ind w:left="288"/>
      </w:pPr>
      <w:r>
        <w:rPr>
          <w:color w:val="8C8C8C"/>
          <w:sz w:val="12"/>
        </w:rPr>
        <w:t>cf-art-5-inc-L-ali-b</w:t>
      </w:r>
      <w:r>
        <w:rPr>
          <w:color w:val="003CA0"/>
          <w:sz w:val="12"/>
        </w:rPr>
        <w:t xml:space="preserve"> | MI 712</w:t>
      </w:r>
      <w:r>
        <w:rPr>
          <w:color w:val="003CA0"/>
          <w:sz w:val="12"/>
        </w:rPr>
        <w:t xml:space="preserve"> | rel. Eros Grau</w:t>
      </w:r>
    </w:p>
    <w:p>
      <w:pPr>
        <w:ind w:left="288"/>
      </w:pPr>
      <w:r>
        <w:rPr>
          <w:color w:val="1E1E1E"/>
          <w:sz w:val="18"/>
        </w:rPr>
        <w:t>É incabível o pedido de desistência formulado após o início do julgamento por esta Corte, quando a maioria dos ministros já havia se manifestado favoravelmente à concessão da medida. O mandado de injunção coletivo, bem como a ação direta de inconstitucionalidade, não pode ser utilizado como meio de pressão sobre o Poder Judiciário ou qualquer entidade. Sindicato que, na relação processual, é legitimado extraordinário para figurar na causa; sindicato que postula em nome próprio, na defesa de direito alheio. Os substitutos processuais não detêm a titularidade dessas ações. O princípio da indispo</w:t>
      </w:r>
    </w:p>
    <w:p>
      <w:pPr>
        <w:ind w:left="288"/>
      </w:pPr>
      <w:r>
        <w:rPr>
          <w:b/>
          <w:color w:val="003CA0"/>
          <w:sz w:val="16"/>
        </w:rPr>
        <w:t>[MI 712 QO, rel. min. Eros Grau, j. 15-10-2007, P, DJ de 23-11-2007.]</w:t>
      </w:r>
    </w:p>
    <w:p>
      <w:pPr>
        <w:ind w:left="288"/>
      </w:pPr>
      <w:r>
        <w:rPr>
          <w:color w:val="8C8C8C"/>
          <w:sz w:val="12"/>
        </w:rPr>
        <w:t>cf-art-5-inc-L-ali-b</w:t>
      </w:r>
      <w:r>
        <w:rPr>
          <w:color w:val="003CA0"/>
          <w:sz w:val="12"/>
        </w:rPr>
        <w:t xml:space="preserve"> | MI 751</w:t>
      </w:r>
      <w:r>
        <w:rPr>
          <w:color w:val="003CA0"/>
          <w:sz w:val="12"/>
        </w:rPr>
        <w:t xml:space="preserve"> | rel. Ricardo Lewandowski</w:t>
      </w:r>
    </w:p>
    <w:p>
      <w:pPr>
        <w:ind w:left="288"/>
      </w:pPr>
      <w:r>
        <w:rPr>
          <w:color w:val="1E1E1E"/>
          <w:sz w:val="18"/>
        </w:rPr>
        <w:t>Acesso às notas taquigráficas dos julgamentos desta Corte. Inexistência de lacuna normativa. (...) Somente é cabível mandado de injunção quando existente lacuna normativa que impossibilite o exercício dos direitos e garantias constitucionais e das prerrogativas inerentes à nacionalidade, à soberania e à cidadania. O RISTF regulamenta o acesso às notas taquigráficas. Inexiste, portanto, lacuna normativa.</w:t>
      </w:r>
    </w:p>
    <w:p>
      <w:pPr>
        <w:ind w:left="288"/>
      </w:pPr>
      <w:r>
        <w:rPr>
          <w:b/>
          <w:color w:val="003CA0"/>
          <w:sz w:val="16"/>
        </w:rPr>
        <w:t>[MI 751 AgR, rel. min. Ricardo Lewandowski, j. 11-10-2007, P, DJ de 9-11-2007.]</w:t>
      </w:r>
    </w:p>
    <w:p>
      <w:pPr>
        <w:ind w:left="288"/>
      </w:pPr>
      <w:r>
        <w:rPr>
          <w:color w:val="8C8C8C"/>
          <w:sz w:val="12"/>
        </w:rPr>
        <w:t>cf-art-5-inc-L-ali-b</w:t>
      </w:r>
      <w:r>
        <w:rPr>
          <w:color w:val="003CA0"/>
          <w:sz w:val="12"/>
        </w:rPr>
        <w:t xml:space="preserve"> | MI 721</w:t>
      </w:r>
      <w:r>
        <w:rPr>
          <w:color w:val="003CA0"/>
          <w:sz w:val="12"/>
        </w:rPr>
        <w:t xml:space="preserve"> | rel. Marco Aurélio</w:t>
      </w:r>
    </w:p>
    <w:p>
      <w:pPr>
        <w:ind w:left="288"/>
      </w:pPr>
      <w:r>
        <w:rPr>
          <w:color w:val="1E1E1E"/>
          <w:sz w:val="18"/>
        </w:rPr>
        <w:t>Mandado de injunção. Natureza. Conforme disposto no inciso LXXI do art. 5º da CF, conceder-se-á mandado de injunção quando necessário ao exercício dos direitos e liberdades constitucionais e das prerrogativas inerentes à nacionalidade, à soberania e à cidadania. Há ação mandamental e não simplesmente declaratória de omissão. A carga de declaração não é objeto da impetração, mas premissa da ordem a ser formalizada. Mandado de injunção. Decisão. Balizas. Tratando-se de processo subjetivo, a decisão possui eficácia considerada a relação jurídica nele revelada. Aposentadoria. Trabalho em condições</w:t>
      </w:r>
    </w:p>
    <w:p>
      <w:pPr>
        <w:ind w:left="288"/>
      </w:pPr>
      <w:r>
        <w:rPr>
          <w:b/>
          <w:color w:val="003CA0"/>
          <w:sz w:val="16"/>
        </w:rPr>
        <w:t>[MI 721, rel. min. Marco Aurélio, j. 30-8-2007, P, DJ de 30-11-2007.]</w:t>
      </w:r>
    </w:p>
    <w:p>
      <w:pPr>
        <w:ind w:left="288"/>
      </w:pPr>
      <w:r>
        <w:rPr>
          <w:color w:val="8C8C8C"/>
          <w:sz w:val="12"/>
        </w:rPr>
        <w:t>cf-art-5-inc-L-ali-b</w:t>
      </w:r>
      <w:r>
        <w:rPr>
          <w:color w:val="003CA0"/>
          <w:sz w:val="12"/>
        </w:rPr>
        <w:t xml:space="preserve"> | MI 1.231</w:t>
      </w:r>
      <w:r>
        <w:rPr>
          <w:color w:val="003CA0"/>
          <w:sz w:val="12"/>
        </w:rPr>
        <w:t xml:space="preserve"> | rel. Ricardo Lewandowski</w:t>
      </w:r>
    </w:p>
    <w:p>
      <w:pPr>
        <w:ind w:left="288"/>
      </w:pPr>
      <w:r>
        <w:rPr>
          <w:color w:val="1E1E1E"/>
          <w:sz w:val="18"/>
        </w:rPr>
        <w:t>= MI 1.231 AgR, rel. min. Ricardo Lewandowski, j. 16-11-2011, P, DJE de 1º-12-2011 O mandado de injunção é ação constitutiva; não é ação condenatória, não se presta a condenar o Congresso ao cumprimento de obrigação de fazer. Não cabe a cominação de pena pecuniária pela continuidade da omissão legislativa.</w:t>
      </w:r>
    </w:p>
    <w:p>
      <w:pPr>
        <w:ind w:left="288"/>
      </w:pPr>
      <w:r>
        <w:rPr>
          <w:b/>
          <w:color w:val="003CA0"/>
          <w:sz w:val="16"/>
        </w:rPr>
        <w:t>[MI 689, rel. min. Eros Grau, j. 7-6-2006, P, DJ de 18-8-2006.]</w:t>
      </w:r>
    </w:p>
    <w:p>
      <w:pPr>
        <w:ind w:left="288"/>
      </w:pPr>
      <w:r>
        <w:rPr>
          <w:color w:val="8C8C8C"/>
          <w:sz w:val="12"/>
        </w:rPr>
        <w:t>cf-art-5-inc-L-ali-b</w:t>
      </w:r>
      <w:r>
        <w:rPr>
          <w:color w:val="003CA0"/>
          <w:sz w:val="12"/>
        </w:rPr>
        <w:t xml:space="preserve"> | MI 472</w:t>
      </w:r>
      <w:r>
        <w:rPr>
          <w:color w:val="003CA0"/>
          <w:sz w:val="12"/>
        </w:rPr>
        <w:t xml:space="preserve"> | rel. Celso de Mello</w:t>
      </w:r>
    </w:p>
    <w:p>
      <w:pPr>
        <w:ind w:left="288"/>
      </w:pPr>
      <w:r>
        <w:rPr>
          <w:color w:val="1E1E1E"/>
          <w:sz w:val="18"/>
        </w:rPr>
        <w:t>Entidades sindicais dispõem de legitimidade ativa para a impetração do mandado de injunção coletivo, que constitui instrumento de atuação processual destinado a viabilizar, em favor dos integrantes das categorias que essas instituições representam, o exercício de liberdades, prerrogativas e direitos assegurados pelo ordenamento constitucional.</w:t>
      </w:r>
    </w:p>
    <w:p>
      <w:pPr>
        <w:ind w:left="288"/>
      </w:pPr>
      <w:r>
        <w:rPr>
          <w:b/>
          <w:color w:val="003CA0"/>
          <w:sz w:val="16"/>
        </w:rPr>
        <w:t>[MI 472, rel. min. Celso de Mello, j. 6-9-2005, P, DJ de 2-3-2001.]</w:t>
      </w:r>
    </w:p>
    <w:p>
      <w:pPr>
        <w:ind w:left="288"/>
      </w:pPr>
      <w:r>
        <w:rPr>
          <w:color w:val="8C8C8C"/>
          <w:sz w:val="12"/>
        </w:rPr>
        <w:t>cf-art-5-inc-L-ali-b</w:t>
      </w:r>
      <w:r>
        <w:rPr>
          <w:color w:val="003CA0"/>
          <w:sz w:val="12"/>
        </w:rPr>
        <w:t xml:space="preserve"> | MI 3.322</w:t>
      </w:r>
      <w:r>
        <w:rPr>
          <w:color w:val="003CA0"/>
          <w:sz w:val="12"/>
        </w:rPr>
        <w:t xml:space="preserve"> | rel. Celso de Mello</w:t>
      </w:r>
    </w:p>
    <w:p>
      <w:pPr>
        <w:ind w:left="288"/>
      </w:pPr>
      <w:r>
        <w:rPr>
          <w:color w:val="1E1E1E"/>
          <w:sz w:val="18"/>
        </w:rPr>
        <w:t xml:space="preserve">= MI 3.322, rel. min. Celso de Mello, j. 1º-6-2011, dec. monocrática, DJE de 6-6-2011 Vide MI 4.503 AgR, rel. min. Ricardo Lewandowski, j. 7-11-2013, P, DJE de 3-12-2013 Na marcha do delineamento pretoriano do instituto do mandado de injunção, assentou este Supremo Tribunal que "a mera superação dos prazos constitucionalmente assinalados é bastante para qualificar, como omissão juridicamente relevante, a inércia estatal, apta a ensejar, como ordinário efeito consequencial, o reconhecimento, hic et nunc, de uma situação de inatividade inconstitucional". (MI 543, voto do min. Celso de Mello, DJ </w:t>
      </w:r>
    </w:p>
    <w:p>
      <w:pPr>
        <w:ind w:left="288"/>
      </w:pPr>
      <w:r>
        <w:rPr>
          <w:b/>
          <w:color w:val="003CA0"/>
          <w:sz w:val="16"/>
        </w:rPr>
        <w:t>[MI 562, rel. min. Carlos Velloso, red. do ac. min. Ellen Gracie, j. 20-2-2003, P, DJ de 20-6-2003.]</w:t>
      </w:r>
    </w:p>
    <w:p>
      <w:pPr>
        <w:ind w:left="288"/>
      </w:pPr>
      <w:r>
        <w:rPr>
          <w:color w:val="8C8C8C"/>
          <w:sz w:val="12"/>
        </w:rPr>
        <w:t>cf-art-5-inc-L-ali-b</w:t>
      </w:r>
      <w:r>
        <w:rPr>
          <w:color w:val="003CA0"/>
          <w:sz w:val="12"/>
        </w:rPr>
        <w:t xml:space="preserve"> | MI 498</w:t>
      </w:r>
      <w:r>
        <w:rPr>
          <w:color w:val="003CA0"/>
          <w:sz w:val="12"/>
        </w:rPr>
        <w:t xml:space="preserve"> | rel. Marco Aurélio</w:t>
      </w:r>
    </w:p>
    <w:p>
      <w:pPr>
        <w:ind w:left="288"/>
      </w:pPr>
      <w:r>
        <w:rPr>
          <w:color w:val="1E1E1E"/>
          <w:sz w:val="18"/>
        </w:rPr>
        <w:t>O mandado de injunção não é o meio próprio a ver-se declarada inconstitucionalidade por omissão, considerado ato administrativo do presidente da República criando determinado conselho e deixando de contemplar participação possivelmente assegurada, a entidade sindical, pelo texto constitucional.</w:t>
      </w:r>
    </w:p>
    <w:p>
      <w:pPr>
        <w:ind w:left="288"/>
      </w:pPr>
      <w:r>
        <w:rPr>
          <w:b/>
          <w:color w:val="003CA0"/>
          <w:sz w:val="16"/>
        </w:rPr>
        <w:t>[MI 498, rel. min. Marco Aurélio, j. 6-2-1997, P, DJ de 4-4-1997.]</w:t>
      </w:r>
    </w:p>
    <w:p>
      <w:pPr>
        <w:ind w:left="288"/>
      </w:pPr>
      <w:r>
        <w:rPr>
          <w:color w:val="8C8C8C"/>
          <w:sz w:val="12"/>
        </w:rPr>
        <w:t>cf-art-5-inc-L-ali-b</w:t>
      </w:r>
      <w:r>
        <w:rPr>
          <w:color w:val="003CA0"/>
          <w:sz w:val="12"/>
        </w:rPr>
        <w:t xml:space="preserve"> | MI 444</w:t>
      </w:r>
      <w:r>
        <w:rPr>
          <w:color w:val="003CA0"/>
          <w:sz w:val="12"/>
        </w:rPr>
        <w:t xml:space="preserve"> | rel. Sydney Sanches</w:t>
      </w:r>
    </w:p>
    <w:p>
      <w:pPr>
        <w:ind w:left="288"/>
      </w:pPr>
      <w:r>
        <w:rPr>
          <w:color w:val="1E1E1E"/>
          <w:sz w:val="18"/>
        </w:rPr>
        <w:t>Tratando-se de mera faculdade conferida ao legislador, que ainda não a exercitou, não há direito constitucional já criado, e cujo exercício esteja dependendo de norma regulamentadora.</w:t>
      </w:r>
    </w:p>
    <w:p>
      <w:pPr>
        <w:ind w:left="288"/>
      </w:pPr>
      <w:r>
        <w:rPr>
          <w:b/>
          <w:color w:val="003CA0"/>
          <w:sz w:val="16"/>
        </w:rPr>
        <w:t>[MI 444 QO, rel. min. Sydney Sanches, j. 29-9-1994, P, DJ de 4-11-1994.]</w:t>
      </w:r>
    </w:p>
    <w:p>
      <w:pPr>
        <w:ind w:left="288"/>
      </w:pPr>
      <w:r>
        <w:rPr>
          <w:color w:val="8C8C8C"/>
          <w:sz w:val="12"/>
        </w:rPr>
        <w:t>cf-art-5-inc-L-ali-b</w:t>
      </w:r>
      <w:r>
        <w:rPr>
          <w:color w:val="003CA0"/>
          <w:sz w:val="12"/>
        </w:rPr>
        <w:t xml:space="preserve"> | MI 352</w:t>
      </w:r>
      <w:r>
        <w:rPr>
          <w:color w:val="003CA0"/>
          <w:sz w:val="12"/>
        </w:rPr>
        <w:t xml:space="preserve"> | rel. Néri da Silveira</w:t>
      </w:r>
    </w:p>
    <w:p>
      <w:pPr>
        <w:ind w:left="288"/>
      </w:pPr>
      <w:r>
        <w:rPr>
          <w:color w:val="1E1E1E"/>
          <w:sz w:val="18"/>
        </w:rPr>
        <w:t>(...) o mandado de injunção há de dirigir-se contra o poder, o órgão, a entidade ou a autoridade que tem o dever de regulamentar a norma constitucional, não se legitimando ad causam, passivamente, em princípio, quem não estiver obrigado a editar a regulamentação respectiva.</w:t>
      </w:r>
    </w:p>
    <w:p>
      <w:pPr>
        <w:ind w:left="288"/>
      </w:pPr>
      <w:r>
        <w:rPr>
          <w:b/>
          <w:color w:val="003CA0"/>
          <w:sz w:val="16"/>
        </w:rPr>
        <w:t>[MI 352 QO, rel. min. Néri da Silveira, j. 4-9-1991, P, DJ de 12-12-1997.]</w:t>
      </w:r>
    </w:p>
    <w:p>
      <w:pPr>
        <w:ind w:left="288"/>
      </w:pPr>
      <w:r>
        <w:rPr>
          <w:color w:val="8C8C8C"/>
          <w:sz w:val="12"/>
        </w:rPr>
        <w:t>cf-art-5-inc-L-ali-b</w:t>
      </w:r>
      <w:r>
        <w:rPr>
          <w:color w:val="003CA0"/>
          <w:sz w:val="12"/>
        </w:rPr>
        <w:t xml:space="preserve"> | MI 1.231</w:t>
      </w:r>
      <w:r>
        <w:rPr>
          <w:color w:val="003CA0"/>
          <w:sz w:val="12"/>
        </w:rPr>
        <w:t xml:space="preserve"> | rel. Ricardo Lewandowski</w:t>
      </w:r>
    </w:p>
    <w:p>
      <w:pPr>
        <w:ind w:left="288"/>
      </w:pPr>
      <w:r>
        <w:rPr>
          <w:color w:val="1E1E1E"/>
          <w:sz w:val="18"/>
        </w:rPr>
        <w:t>= MI 1.231 AgR, rel. min. Ricardo Lewandowski, j. 16-11-2011, P, DJE de 1º-12-2011 É impróprio o uso do mandado de injunção para o exercício de direito decorrente de norma constitucional autoaplicável.</w:t>
      </w:r>
    </w:p>
    <w:p>
      <w:pPr>
        <w:ind w:left="288"/>
      </w:pPr>
      <w:r>
        <w:rPr>
          <w:b/>
          <w:color w:val="003CA0"/>
          <w:sz w:val="16"/>
        </w:rPr>
        <w:t>[MI 97 QO, rel. min. Sydney Sanches, j. 1º-2-1990, P, DJ de 23-3-1990.]</w:t>
      </w:r>
    </w:p>
    <w:p>
      <w:pPr>
        <w:ind w:left="288"/>
      </w:pPr>
      <w:r>
        <w:rPr>
          <w:color w:val="8C8C8C"/>
          <w:sz w:val="12"/>
        </w:rPr>
        <w:t>cf-art-5-inc-L-ali-b</w:t>
      </w:r>
      <w:r>
        <w:rPr>
          <w:color w:val="003CA0"/>
          <w:sz w:val="12"/>
        </w:rPr>
        <w:t xml:space="preserve"> | MI 14</w:t>
      </w:r>
      <w:r>
        <w:rPr>
          <w:color w:val="003CA0"/>
          <w:sz w:val="12"/>
        </w:rPr>
        <w:t xml:space="preserve"> | rel. Sydney Sanches</w:t>
      </w:r>
    </w:p>
    <w:p>
      <w:pPr>
        <w:ind w:left="288"/>
      </w:pPr>
      <w:r>
        <w:rPr>
          <w:color w:val="1E1E1E"/>
          <w:sz w:val="18"/>
        </w:rPr>
        <w:t>Não se presta o mandado de injunção à declaração judicial de vacância de cargo, nem a compelir o presidente da República a praticar ato administrativo, concreto e determinado, consistente na indicação, ao Senado Federal, de nome de membro do MPF, para ser investido no cargo de PGR.</w:t>
      </w:r>
    </w:p>
    <w:p>
      <w:pPr>
        <w:ind w:left="288"/>
      </w:pPr>
      <w:r>
        <w:rPr>
          <w:b/>
          <w:color w:val="003CA0"/>
          <w:sz w:val="16"/>
        </w:rPr>
        <w:t>[MI 14 QO, rel. min. Sydney Sanches, j. 26-10-1988, P, DJ de 18-11-1988.]</w:t>
      </w:r>
    </w:p>
    <w:p>
      <w:pPr>
        <w:ind w:left="288"/>
      </w:pPr>
      <w:r>
        <w:rPr>
          <w:color w:val="8C8C8C"/>
          <w:sz w:val="12"/>
        </w:rPr>
        <w:t>cf-art-5-inc-L-ali-b</w:t>
      </w:r>
      <w:r>
        <w:rPr>
          <w:color w:val="003CA0"/>
          <w:sz w:val="12"/>
        </w:rPr>
        <w:t xml:space="preserve"> | rel. Luiz Fux</w:t>
      </w:r>
    </w:p>
    <w:p>
      <w:pPr>
        <w:ind w:left="288"/>
      </w:pPr>
      <w:r>
        <w:rPr>
          <w:color w:val="1E1E1E"/>
          <w:sz w:val="18"/>
        </w:rPr>
        <w:t>LXXII - conceder-se-á habeas data: O habeas data é via processual inadequada ao atendimento de pretensão do autor de sustar a publicação de matéria em sítio eletrônico.</w:t>
      </w:r>
    </w:p>
    <w:p>
      <w:pPr>
        <w:ind w:left="288"/>
      </w:pPr>
      <w:r>
        <w:rPr>
          <w:b/>
          <w:color w:val="003CA0"/>
          <w:sz w:val="16"/>
        </w:rPr>
        <w:t>[HD 100 AgR, rel. min. Luiz Fux, j. 25-11-2014, 1ª T, DJE de 16-12-2014.]</w:t>
      </w:r>
    </w:p>
    <w:p>
      <w:pPr>
        <w:ind w:left="288"/>
      </w:pPr>
      <w:r>
        <w:rPr>
          <w:color w:val="8C8C8C"/>
          <w:sz w:val="12"/>
        </w:rPr>
        <w:t>cf-art-5-inc-L-ali-b</w:t>
      </w:r>
      <w:r>
        <w:rPr>
          <w:color w:val="003CA0"/>
          <w:sz w:val="12"/>
        </w:rPr>
        <w:t xml:space="preserve"> | rel. Ellen Gracie</w:t>
      </w:r>
    </w:p>
    <w:p>
      <w:pPr>
        <w:ind w:left="288"/>
      </w:pPr>
      <w:r>
        <w:rPr>
          <w:color w:val="1E1E1E"/>
          <w:sz w:val="18"/>
        </w:rPr>
        <w:t>A ação de habeas data visa à proteção da privacidade do indivíduo contra abuso no registro e/ou revelação de dados pessoais falsos ou equivocados. O habeas data não se revela meio idôneo para se obter vista de processo administrativo.</w:t>
      </w:r>
    </w:p>
    <w:p>
      <w:pPr>
        <w:ind w:left="288"/>
      </w:pPr>
      <w:r>
        <w:rPr>
          <w:b/>
          <w:color w:val="003CA0"/>
          <w:sz w:val="16"/>
        </w:rPr>
        <w:t>[HD 90 AgR, rel. min. Ellen Gracie, j. 18-2-2010, P, DJE de 19-3-2010.]</w:t>
      </w:r>
    </w:p>
    <w:p>
      <w:pPr>
        <w:ind w:left="288"/>
      </w:pPr>
      <w:r>
        <w:rPr>
          <w:color w:val="8C8C8C"/>
          <w:sz w:val="12"/>
        </w:rPr>
        <w:t>cf-art-5-inc-L-ali-b</w:t>
      </w:r>
      <w:r>
        <w:rPr>
          <w:color w:val="003CA0"/>
          <w:sz w:val="12"/>
        </w:rPr>
        <w:t xml:space="preserve"> | RMS 24.617</w:t>
      </w:r>
      <w:r>
        <w:rPr>
          <w:color w:val="003CA0"/>
          <w:sz w:val="12"/>
        </w:rPr>
        <w:t xml:space="preserve"> | rel. Gilmar Mendes</w:t>
      </w:r>
    </w:p>
    <w:p>
      <w:pPr>
        <w:ind w:left="288"/>
      </w:pPr>
      <w:r>
        <w:rPr>
          <w:color w:val="1E1E1E"/>
          <w:sz w:val="18"/>
        </w:rPr>
        <w:t>= HD 92 AgR, rel. min. Gilmar Mendes, j. 18-8-2010, P, DJE de 3-9-2010 O habeas data tem finalidade específica: assegurar o conhecimento de informações relativas à pessoa do impetrante, constantes de registros ou bancos de dados de entidades governamentais ou de caráter público, ou para a retificação de dados, quando não se prefira fazê-lo por processo sigiloso, judicial ou administrativo (CF, art. 5º, LXXII, a e b). No caso, visa a segurança ao fornecimento ao impetrante da identidade dos autores de agressões e denúncias que lhe foram feitas. A segurança, em tal caso, é meio adequado.</w:t>
      </w:r>
    </w:p>
    <w:p>
      <w:pPr>
        <w:ind w:left="288"/>
      </w:pPr>
      <w:r>
        <w:rPr>
          <w:b/>
          <w:color w:val="003CA0"/>
          <w:sz w:val="16"/>
        </w:rPr>
        <w:t>[RMS 24.617, rel. min. Carlos Velloso, j. 17-5-2005, 2ª T, DJ de 10-6-2005.]</w:t>
      </w:r>
    </w:p>
    <w:p>
      <w:pPr>
        <w:ind w:left="288"/>
      </w:pPr>
      <w:r>
        <w:rPr>
          <w:color w:val="8C8C8C"/>
          <w:sz w:val="12"/>
        </w:rPr>
        <w:t>cf-art-5-inc-L-ali-b</w:t>
      </w:r>
      <w:r>
        <w:rPr>
          <w:color w:val="003CA0"/>
          <w:sz w:val="12"/>
        </w:rPr>
        <w:t xml:space="preserve"> | rel. Maurício Corrêa</w:t>
      </w:r>
    </w:p>
    <w:p>
      <w:pPr>
        <w:ind w:left="288"/>
      </w:pPr>
      <w:r>
        <w:rPr>
          <w:color w:val="1E1E1E"/>
          <w:sz w:val="18"/>
        </w:rPr>
        <w:t>A Lei 9.507, de 12-11-1997, que regula o direito de acesso a informações e disciplina o rito processual do habeas data, acolheu os princípios gerais já proclamados por construção pretoriana.</w:t>
      </w:r>
    </w:p>
    <w:p>
      <w:pPr>
        <w:ind w:left="288"/>
      </w:pPr>
      <w:r>
        <w:rPr>
          <w:b/>
          <w:color w:val="003CA0"/>
          <w:sz w:val="16"/>
        </w:rPr>
        <w:t>[RHD 24, rel. min. Maurício Corrêa, j. 28-11-1997, 2ª T, DJ de 13-2-1998.]</w:t>
      </w:r>
    </w:p>
    <w:p>
      <w:pPr>
        <w:ind w:left="288"/>
      </w:pPr>
      <w:r>
        <w:rPr>
          <w:color w:val="8C8C8C"/>
          <w:sz w:val="12"/>
        </w:rPr>
        <w:t>cf-art-5-inc-L-ali-b</w:t>
      </w:r>
      <w:r>
        <w:rPr>
          <w:color w:val="003CA0"/>
          <w:sz w:val="12"/>
        </w:rPr>
        <w:t xml:space="preserve"> | rel. Marco Aurélio</w:t>
      </w:r>
    </w:p>
    <w:p>
      <w:pPr>
        <w:ind w:left="288"/>
      </w:pPr>
      <w:r>
        <w:rPr>
          <w:color w:val="1E1E1E"/>
          <w:sz w:val="18"/>
        </w:rPr>
        <w:t>O habeas data configura remédio jurídico-processual, de natureza constitucional, que se destina a garantir, em favor da pessoa interessada, o exercício de pretensão jurídica discernível em seu tríplice aspecto: (a) direito de acesso aos registros; (b) direito de retificação dos registros; e (c) direito de complementação dos registros. Trata-se de relevante instrumento de ativação da jurisdição constitucional das liberdades, a qual representa, no plano institucional, a mais expressiva reação jurídica do Estado às situações que lesem, efetiva ou potencialmente, os direitos fundamentais da pessoa</w:t>
      </w:r>
    </w:p>
    <w:p>
      <w:pPr>
        <w:ind w:left="288"/>
      </w:pPr>
      <w:r>
        <w:rPr>
          <w:b/>
          <w:color w:val="003CA0"/>
          <w:sz w:val="16"/>
        </w:rPr>
        <w:t>[RHD 22, rel. min. Marco Aurélio, red. do ac. min. Celso de Mello, j. 19-9-1991, P, DJ de 1º-9-1995.]</w:t>
      </w:r>
    </w:p>
    <w:p>
      <w:pPr>
        <w:ind w:left="288"/>
      </w:pPr>
      <w:r>
        <w:rPr>
          <w:color w:val="8C8C8C"/>
          <w:sz w:val="12"/>
        </w:rPr>
        <w:t>cf-art-5-inc-L-ali-b</w:t>
      </w:r>
      <w:r>
        <w:rPr>
          <w:color w:val="003CA0"/>
          <w:sz w:val="12"/>
        </w:rPr>
        <w:t xml:space="preserve"> | rel. Cármen Lúcia</w:t>
      </w:r>
    </w:p>
    <w:p>
      <w:pPr>
        <w:ind w:left="288"/>
      </w:pPr>
      <w:r>
        <w:rPr>
          <w:color w:val="1E1E1E"/>
          <w:sz w:val="18"/>
        </w:rPr>
        <w:t>= HD 87 AgR, rel. min. Cármen Lúcia, j. 25-11-2009, P, DJE de 5-2-2010</w:t>
      </w:r>
    </w:p>
    <w:p>
      <w:pPr>
        <w:ind w:left="288"/>
      </w:pPr>
      <w:r>
        <w:rPr>
          <w:color w:val="8C8C8C"/>
          <w:sz w:val="12"/>
        </w:rPr>
        <w:t>cf-art-5-inc-L-ali-a</w:t>
      </w:r>
      <w:r>
        <w:rPr>
          <w:color w:val="003CA0"/>
          <w:sz w:val="12"/>
        </w:rPr>
        <w:t xml:space="preserve"> | RE 673.707</w:t>
      </w:r>
      <w:r>
        <w:rPr>
          <w:color w:val="003CA0"/>
          <w:sz w:val="12"/>
        </w:rPr>
        <w:t xml:space="preserve"> | rel. Luiz Fux</w:t>
      </w:r>
    </w:p>
    <w:p>
      <w:pPr>
        <w:ind w:left="288"/>
      </w:pPr>
      <w:r>
        <w:rPr>
          <w:color w:val="1E1E1E"/>
          <w:sz w:val="18"/>
        </w:rPr>
        <w:t>O habeas data é garantia constitucional adequada para a obtenção dos dados concernentes ao pagamento de tributos do próprio contribuinte constantes dos sistemas informatizados de apoio à arrecadação dos órgãos da administração fazendária dos entes estatais.</w:t>
      </w:r>
    </w:p>
    <w:p>
      <w:pPr>
        <w:ind w:left="288"/>
      </w:pPr>
      <w:r>
        <w:rPr>
          <w:b/>
          <w:color w:val="003CA0"/>
          <w:sz w:val="16"/>
        </w:rPr>
        <w:t>[RE 673.707, rel. min. Luiz Fux, j. 17-6-2015, P, DJE de 30-9-2015, Tema 582, com mérito julgado.]</w:t>
      </w:r>
    </w:p>
    <w:p>
      <w:pPr>
        <w:ind w:left="288"/>
      </w:pPr>
      <w:r>
        <w:rPr>
          <w:color w:val="8C8C8C"/>
          <w:sz w:val="12"/>
        </w:rPr>
        <w:t>cf-art-5-inc-L-ali-a</w:t>
      </w:r>
      <w:r>
        <w:rPr>
          <w:color w:val="003CA0"/>
          <w:sz w:val="12"/>
        </w:rPr>
        <w:t xml:space="preserve"> | rel. Cármen Lúcia</w:t>
      </w:r>
    </w:p>
    <w:p>
      <w:pPr>
        <w:ind w:left="288"/>
      </w:pPr>
      <w:r>
        <w:rPr>
          <w:color w:val="1E1E1E"/>
          <w:sz w:val="18"/>
        </w:rPr>
        <w:t>O habeas data não se presta para solicitar informações relativas a terceiros, pois, nos termos do inciso LXXII do art. 5º da CF, sua impetração deve ter por objetivo "assegurar o conhecimento de informações relativas à pessoa do impetrante”.</w:t>
      </w:r>
    </w:p>
    <w:p>
      <w:pPr>
        <w:ind w:left="288"/>
      </w:pPr>
      <w:r>
        <w:rPr>
          <w:b/>
          <w:color w:val="003CA0"/>
          <w:sz w:val="16"/>
        </w:rPr>
        <w:t>[HD 87 AgR, rel. min. Cármen Lúcia, j. 25-11-2009, P, DJE de 5-2-2010.]</w:t>
      </w:r>
    </w:p>
    <w:p>
      <w:pPr>
        <w:ind w:left="288"/>
      </w:pPr>
      <w:r>
        <w:rPr>
          <w:color w:val="8C8C8C"/>
          <w:sz w:val="12"/>
        </w:rPr>
        <w:t>cf-art-5-inc-L-ali-a</w:t>
      </w:r>
      <w:r>
        <w:rPr>
          <w:color w:val="003CA0"/>
          <w:sz w:val="12"/>
        </w:rPr>
        <w:t xml:space="preserve"> | RE 165.304</w:t>
      </w:r>
      <w:r>
        <w:rPr>
          <w:color w:val="003CA0"/>
          <w:sz w:val="12"/>
        </w:rPr>
        <w:t xml:space="preserve"> | rel. Octavio Gallotti</w:t>
      </w:r>
    </w:p>
    <w:p>
      <w:pPr>
        <w:ind w:left="288"/>
      </w:pPr>
      <w:r>
        <w:rPr>
          <w:color w:val="1E1E1E"/>
          <w:sz w:val="18"/>
        </w:rPr>
        <w:t>Habeas data. Ilegitimidade passiva do Banco do Brasil S.A. para a revelação, a ex-empregada, do conteúdo da ficha de pessoal, por não se tratar, no caso, de registro de caráter público, nem atuar o impetrado na condição de entidade governamental (Constituição, art. 5º, LXXII, a, e art. 173, § 1º, texto original.).</w:t>
      </w:r>
    </w:p>
    <w:p>
      <w:pPr>
        <w:ind w:left="288"/>
      </w:pPr>
      <w:r>
        <w:rPr>
          <w:b/>
          <w:color w:val="003CA0"/>
          <w:sz w:val="16"/>
        </w:rPr>
        <w:t>[RE 165.304, rel. min. Octavio Gallotti, j. 19-10-2000, P, DJ de 15-12-2000.]</w:t>
      </w:r>
    </w:p>
    <w:p>
      <w:pPr>
        <w:ind w:left="288"/>
      </w:pPr>
      <w:r>
        <w:rPr>
          <w:color w:val="8C8C8C"/>
          <w:sz w:val="12"/>
        </w:rPr>
        <w:t>cf-art-5-inc-L-ali-b</w:t>
      </w:r>
    </w:p>
    <w:p>
      <w:pPr>
        <w:ind w:left="288"/>
      </w:pPr>
      <w:r>
        <w:rPr>
          <w:color w:val="1E1E1E"/>
          <w:sz w:val="18"/>
        </w:rPr>
        <w:t>LXXIII - qualquer cidadão é parte legítima para propor ação popular que vise a anular ato lesivo ao patrimônio público ou de entidade de que o Estado participe, à moralidade administrativa, ao meio ambiente e ao patrimônio histórico e cultural, ficando o autor, salvo comprovada má-fé, isento de custas judiciais e do ônus da sucumbência; Pessoa jurídica não tem legitimidade para propor ação popular.</w:t>
      </w:r>
    </w:p>
    <w:p>
      <w:pPr>
        <w:ind w:left="288"/>
      </w:pPr>
      <w:r>
        <w:rPr>
          <w:b/>
          <w:color w:val="003CA0"/>
          <w:sz w:val="16"/>
        </w:rPr>
        <w:t>[Súmula 365.]</w:t>
      </w:r>
    </w:p>
    <w:p>
      <w:pPr>
        <w:ind w:left="288"/>
      </w:pPr>
      <w:r>
        <w:rPr>
          <w:color w:val="8C8C8C"/>
          <w:sz w:val="12"/>
        </w:rPr>
        <w:t>cf-art-5-inc-L-ali-b</w:t>
      </w:r>
    </w:p>
    <w:p>
      <w:pPr>
        <w:ind w:left="288"/>
      </w:pPr>
      <w:r>
        <w:rPr>
          <w:color w:val="1E1E1E"/>
          <w:sz w:val="18"/>
        </w:rPr>
        <w:t>O mandado de segurança não substitui a ação popular.</w:t>
      </w:r>
    </w:p>
    <w:p>
      <w:pPr>
        <w:ind w:left="288"/>
      </w:pPr>
      <w:r>
        <w:rPr>
          <w:b/>
          <w:color w:val="003CA0"/>
          <w:sz w:val="16"/>
        </w:rPr>
        <w:t>[Súmula 101.]</w:t>
      </w:r>
    </w:p>
    <w:p>
      <w:pPr>
        <w:ind w:left="288"/>
      </w:pPr>
      <w:r>
        <w:rPr>
          <w:color w:val="8C8C8C"/>
          <w:sz w:val="12"/>
        </w:rPr>
        <w:t>cf-art-5-inc-L-ali-b</w:t>
      </w:r>
      <w:r>
        <w:rPr>
          <w:color w:val="003CA0"/>
          <w:sz w:val="12"/>
        </w:rPr>
        <w:t xml:space="preserve"> | ADI 769</w:t>
      </w:r>
      <w:r>
        <w:rPr>
          <w:color w:val="003CA0"/>
          <w:sz w:val="12"/>
        </w:rPr>
        <w:t xml:space="preserve"> | rel. Celso de Mello</w:t>
      </w:r>
    </w:p>
    <w:p>
      <w:pPr>
        <w:ind w:left="288"/>
      </w:pPr>
      <w:r>
        <w:rPr>
          <w:color w:val="1E1E1E"/>
          <w:sz w:val="18"/>
        </w:rPr>
        <w:t>A ação direta de inconstitucionalidade não constitui sucedâneo da ação popular constitucional, destinada, esta sim, a preservar, em função de seu amplo espectro de atuação jurídico-processual, a intangibilidade do patrimônio público e a integridade do princípio da moralidade administrativa (CF, art. 5º, LXXIII).</w:t>
      </w:r>
    </w:p>
    <w:p>
      <w:pPr>
        <w:ind w:left="288"/>
      </w:pPr>
      <w:r>
        <w:rPr>
          <w:b/>
          <w:color w:val="003CA0"/>
          <w:sz w:val="16"/>
        </w:rPr>
        <w:t>[ADI 769 MC, rel. min. Celso de Mello, j. 22-4-1993, P, DJ de 8-4-1994.]</w:t>
      </w:r>
    </w:p>
    <w:p>
      <w:pPr>
        <w:ind w:left="288"/>
      </w:pPr>
      <w:r>
        <w:rPr>
          <w:color w:val="8C8C8C"/>
          <w:sz w:val="12"/>
        </w:rPr>
        <w:t>cf-art-5-inc-L-ali-b</w:t>
      </w:r>
      <w:r>
        <w:rPr>
          <w:color w:val="003CA0"/>
          <w:sz w:val="12"/>
        </w:rPr>
        <w:t xml:space="preserve"> | AO 1.725</w:t>
      </w:r>
      <w:r>
        <w:rPr>
          <w:color w:val="003CA0"/>
          <w:sz w:val="12"/>
        </w:rPr>
        <w:t xml:space="preserve"> | rel. Luiz Fux</w:t>
      </w:r>
    </w:p>
    <w:p>
      <w:pPr>
        <w:ind w:left="288"/>
      </w:pPr>
      <w:r>
        <w:rPr>
          <w:color w:val="1E1E1E"/>
          <w:sz w:val="18"/>
        </w:rPr>
        <w:t>Vide AO 1.725 AgR, rel. min. Luiz Fux, j. 24-2-2015, 1ª T, DJE de 11-3-2015 I - É inconstitucional a redação do art. 16 da Lei 7.347/1985, alterada pela Lei 9.494/1997, sendo repristinada sua redação original. II - Em se tratando de ação civil pública de efeitos nacionais ou regionais, a competência deve observar o art. 93, II, da Lei 8.078/1990 (Código de Defesa do Consumidor). III - Ajuizadas múltiplas ações civis públicas de âmbito nacional ou regional e fixada a competência nos termos do item II, firma-se a prevenção do juízo que primeiro conheceu de uma delas, para o julgamento de todas a</w:t>
      </w:r>
    </w:p>
    <w:p>
      <w:pPr>
        <w:ind w:left="288"/>
      </w:pPr>
      <w:r>
        <w:rPr>
          <w:b/>
          <w:color w:val="003CA0"/>
          <w:sz w:val="16"/>
        </w:rPr>
        <w:t>[RE 1.101.937, rel. min. Alexandre de Moraes, j. 4-3-2021, P. DJE de 14-6-2021, Tema 1.075, com mérito julgado.]</w:t>
      </w:r>
    </w:p>
    <w:p>
      <w:pPr>
        <w:ind w:left="288"/>
      </w:pPr>
      <w:r>
        <w:rPr>
          <w:color w:val="8C8C8C"/>
          <w:sz w:val="12"/>
        </w:rPr>
        <w:t>cf-art-5-inc-L-ali-b</w:t>
      </w:r>
      <w:r>
        <w:rPr>
          <w:color w:val="003CA0"/>
          <w:sz w:val="12"/>
        </w:rPr>
        <w:t xml:space="preserve"> | ARE 824.781</w:t>
      </w:r>
      <w:r>
        <w:rPr>
          <w:color w:val="003CA0"/>
          <w:sz w:val="12"/>
        </w:rPr>
        <w:t xml:space="preserve"> | rel. Dias Toffoli</w:t>
      </w:r>
    </w:p>
    <w:p>
      <w:pPr>
        <w:ind w:left="288"/>
      </w:pPr>
      <w:r>
        <w:rPr>
          <w:color w:val="1E1E1E"/>
          <w:sz w:val="18"/>
        </w:rPr>
        <w:t>O entendimento sufragado no acórdão recorrido de que, para o cabimento de ação popular, é exigível a menção na exordial e a prova de prejuízo material aos cofres públicos, diverge do entendimento sufragado pelo STF. A decisão objurgada ofende o art. 5º, LXXIII, da CF, que tem como objetos a serem defendidos pelo cidadão, separadamente, qualquer ato lesivo ao patrimônio material público ou de entidade de que o Estado participe, ao patrimônio moral, ao cultural e ao histórico.</w:t>
      </w:r>
    </w:p>
    <w:p>
      <w:pPr>
        <w:ind w:left="288"/>
      </w:pPr>
      <w:r>
        <w:rPr>
          <w:b/>
          <w:color w:val="003CA0"/>
          <w:sz w:val="16"/>
        </w:rPr>
        <w:t>[ARE 824.781 RG, rel. min. Dias Toffoli, j. 27-8-2015, P, DJE de 9-10-2015, Tema 836, com mérito julgado.]</w:t>
      </w:r>
    </w:p>
    <w:p>
      <w:pPr>
        <w:ind w:left="288"/>
      </w:pPr>
      <w:r>
        <w:rPr>
          <w:color w:val="8C8C8C"/>
          <w:sz w:val="12"/>
        </w:rPr>
        <w:t>cf-art-5-inc-L-ali-b</w:t>
      </w:r>
      <w:r>
        <w:rPr>
          <w:color w:val="003CA0"/>
          <w:sz w:val="12"/>
        </w:rPr>
        <w:t xml:space="preserve"> | AO 1.725</w:t>
      </w:r>
      <w:r>
        <w:rPr>
          <w:color w:val="003CA0"/>
          <w:sz w:val="12"/>
        </w:rPr>
        <w:t xml:space="preserve"> | rel. Luiz Fux</w:t>
      </w:r>
    </w:p>
    <w:p>
      <w:pPr>
        <w:ind w:left="288"/>
      </w:pPr>
      <w:r>
        <w:rPr>
          <w:color w:val="1E1E1E"/>
          <w:sz w:val="18"/>
        </w:rPr>
        <w:t>A ação popular (...) não pode ser utilizada como alternativa à não propositura de uma ação direta de inconstitucionalidade, sob pena de uma ampliação indevida do rol de legitimados previsto no art. 103 da Constituição da República. Tal instrumento processual tem como objetivo anular atos administrativos lesivos ao Estado, e não a anulação de atos normativos genéricos.</w:t>
      </w:r>
    </w:p>
    <w:p>
      <w:pPr>
        <w:ind w:left="288"/>
      </w:pPr>
      <w:r>
        <w:rPr>
          <w:b/>
          <w:color w:val="003CA0"/>
          <w:sz w:val="16"/>
        </w:rPr>
        <w:t>[AO 1.725 AgR, rel. min. Luiz Fux, j. 24-2-2015, 1ª T, DJE de 11-3-2015.]</w:t>
      </w:r>
    </w:p>
    <w:p>
      <w:pPr>
        <w:ind w:left="288"/>
      </w:pPr>
      <w:r>
        <w:rPr>
          <w:color w:val="8C8C8C"/>
          <w:sz w:val="12"/>
        </w:rPr>
        <w:t>cf-art-5-inc-L-ali-b</w:t>
      </w:r>
      <w:r>
        <w:rPr>
          <w:color w:val="003CA0"/>
          <w:sz w:val="12"/>
        </w:rPr>
        <w:t xml:space="preserve"> | RCL 1.017</w:t>
      </w:r>
      <w:r>
        <w:rPr>
          <w:color w:val="003CA0"/>
          <w:sz w:val="12"/>
        </w:rPr>
        <w:t xml:space="preserve"> | rel. Sepúlveda Pertence</w:t>
      </w:r>
    </w:p>
    <w:p>
      <w:pPr>
        <w:ind w:left="288"/>
      </w:pPr>
      <w:r>
        <w:rPr>
          <w:color w:val="1E1E1E"/>
          <w:sz w:val="18"/>
        </w:rPr>
        <w:t>Vide Rcl 1.017, rel. min. Sepúlveda Pertence, j. 7-4-2005, P, DJ de 3-6-2005 Vide ADI 769 MC, rel. min. Celso de Mello, j. 22-4-1993, P, DJ de 8-4-1994 Ação popular. Demarcação da terra indígena Raposa Serra do Sol. (...) A decisão proferida em ação popular é desprovida de força vinculante, em sentido técnico. Nesses termos, os fundamentos adotados pela Corte não se estendem, de forma automática, a outros processos em que se discuta matéria similar. Sem prejuízo disso, o acórdão embargado ostenta a força moral e persuasiva de uma decisão da mais alta Corte do País, do que decorre um elevado ôn</w:t>
      </w:r>
    </w:p>
    <w:p>
      <w:pPr>
        <w:ind w:left="288"/>
      </w:pPr>
      <w:r>
        <w:rPr>
          <w:b/>
          <w:color w:val="003CA0"/>
          <w:sz w:val="16"/>
        </w:rPr>
        <w:t>[Pet 3.388 ED, rel. min. Roberto Barroso, j. 23-10-2013, P, DJE de 4-2-2014.]</w:t>
      </w:r>
    </w:p>
    <w:p>
      <w:pPr>
        <w:ind w:left="288"/>
      </w:pPr>
      <w:r>
        <w:rPr>
          <w:color w:val="8C8C8C"/>
          <w:sz w:val="12"/>
        </w:rPr>
        <w:t>cf-art-5-inc-L-ali-b</w:t>
      </w:r>
      <w:r>
        <w:rPr>
          <w:color w:val="003CA0"/>
          <w:sz w:val="12"/>
        </w:rPr>
        <w:t xml:space="preserve"> | RE 335.428</w:t>
      </w:r>
      <w:r>
        <w:rPr>
          <w:color w:val="003CA0"/>
          <w:sz w:val="12"/>
        </w:rPr>
        <w:t xml:space="preserve"> | rel. Dias Toffoli</w:t>
      </w:r>
    </w:p>
    <w:p>
      <w:pPr>
        <w:ind w:left="288"/>
      </w:pPr>
      <w:r>
        <w:rPr>
          <w:color w:val="1E1E1E"/>
          <w:sz w:val="18"/>
        </w:rPr>
        <w:t>Recurso extraordinário.  Medida cautelar preparatória de futura ação popular. Demanda principal que, contudo, não chegou a ser proposta. Irrelevância, para fins de isenção do autor do ônus da sucumbência, conforme expressa previsão constitucional. Procedimento cautelar intrinsecamente ligado ao processo principal. Interpretação restritiva do comando do art. 5º, LXXIII, da CF, que não pode prosperar. Recurso provido para isentar o recorrente do ônus da sucumbência.</w:t>
      </w:r>
    </w:p>
    <w:p>
      <w:pPr>
        <w:ind w:left="288"/>
      </w:pPr>
      <w:r>
        <w:rPr>
          <w:b/>
          <w:color w:val="003CA0"/>
          <w:sz w:val="16"/>
        </w:rPr>
        <w:t>[RE 335.428, rel. min. Dias Toffoli, j. 18-5-2010, 1ª T, DJE de 6-8-2010.]</w:t>
      </w:r>
    </w:p>
    <w:p>
      <w:pPr>
        <w:ind w:left="288"/>
      </w:pPr>
      <w:r>
        <w:rPr>
          <w:color w:val="8C8C8C"/>
          <w:sz w:val="12"/>
        </w:rPr>
        <w:t>cf-art-5-inc-L-ali-b</w:t>
      </w:r>
      <w:r>
        <w:rPr>
          <w:color w:val="003CA0"/>
          <w:sz w:val="12"/>
        </w:rPr>
        <w:t xml:space="preserve"> | PET 3.388</w:t>
      </w:r>
      <w:r>
        <w:rPr>
          <w:color w:val="003CA0"/>
          <w:sz w:val="12"/>
        </w:rPr>
        <w:t xml:space="preserve"> | rel. Ayres Britto</w:t>
      </w:r>
    </w:p>
    <w:p>
      <w:pPr>
        <w:ind w:left="288"/>
      </w:pPr>
      <w:r>
        <w:rPr>
          <w:color w:val="1E1E1E"/>
          <w:sz w:val="18"/>
        </w:rPr>
        <w:t xml:space="preserve">Demarcação da Terra Indígena Raposa Serra do Sol. (...) Inexistência de vícios processuais na ação popular. Nulidade dos atos, ainda que formais, tendo por objeto a ocupação, o domínio e a posse das terras situadas na área indígena Raposa Serra do Sol. Pretensos titulares privados que não são partes na presente ação popular. Ação que se destina à proteção do patrimônio público ou de entidade de que o Estado participe (inciso LXXIII do art. 5º da CF), e não à defesa de interesses particulares. Ilegitimidade passiva do Estado de Roraima, que não foi acusado de praticar ato lesivo ao tipo de bem </w:t>
      </w:r>
    </w:p>
    <w:p>
      <w:pPr>
        <w:ind w:left="288"/>
      </w:pPr>
      <w:r>
        <w:rPr>
          <w:b/>
          <w:color w:val="003CA0"/>
          <w:sz w:val="16"/>
        </w:rPr>
        <w:t>[Pet 3.388, rel. min. Ayres Britto, j. 19-3-2009, P, DJE de 1º-7-2010.]</w:t>
      </w:r>
    </w:p>
    <w:p>
      <w:pPr>
        <w:ind w:left="288"/>
      </w:pPr>
      <w:r>
        <w:rPr>
          <w:color w:val="8C8C8C"/>
          <w:sz w:val="12"/>
        </w:rPr>
        <w:t>cf-art-5-inc-L-ali-b</w:t>
      </w:r>
      <w:r>
        <w:rPr>
          <w:color w:val="003CA0"/>
          <w:sz w:val="12"/>
        </w:rPr>
        <w:t xml:space="preserve"> | PET 3.674</w:t>
      </w:r>
      <w:r>
        <w:rPr>
          <w:color w:val="003CA0"/>
          <w:sz w:val="12"/>
        </w:rPr>
        <w:t xml:space="preserve"> | rel. Sepúlveda Pertence</w:t>
      </w:r>
    </w:p>
    <w:p>
      <w:pPr>
        <w:ind w:left="288"/>
      </w:pPr>
      <w:r>
        <w:rPr>
          <w:color w:val="1E1E1E"/>
          <w:sz w:val="18"/>
        </w:rPr>
        <w:t>Competência originária do Supremo Tribunal para as ações contra o CNJ e contra o Conselho Nacional do Ministério Público (CF, art. 102, I, r, com a redação da EC 45/2004): inteligência: não inclusão da ação popular, ainda quando nela se vise à declaração de nulidade do ato de qualquer um dos conselhos nela referidos. Tratando-se de ação popular, o STF – com as únicas ressalvas da incidência da alínea n do art. 102, I, da Constituição ou de a lide substantivar conflito entre a União e Estado-membro – jamais admitiu a própria competência originária: ao contrário, a incompetência do Tribunal para</w:t>
      </w:r>
    </w:p>
    <w:p>
      <w:pPr>
        <w:ind w:left="288"/>
      </w:pPr>
      <w:r>
        <w:rPr>
          <w:b/>
          <w:color w:val="003CA0"/>
          <w:sz w:val="16"/>
        </w:rPr>
        <w:t>[Pet 3.674 QO, rel. min. Sepúlveda Pertence, j. 4-10-2006, P, DJ de 19-12-2006.]</w:t>
      </w:r>
    </w:p>
    <w:p>
      <w:pPr>
        <w:ind w:left="288"/>
      </w:pPr>
      <w:r>
        <w:rPr>
          <w:color w:val="8C8C8C"/>
          <w:sz w:val="12"/>
        </w:rPr>
        <w:t>cf-art-5-inc-L-ali-b</w:t>
      </w:r>
      <w:r>
        <w:rPr>
          <w:color w:val="003CA0"/>
          <w:sz w:val="12"/>
        </w:rPr>
        <w:t xml:space="preserve"> | RCL 2.769</w:t>
      </w:r>
      <w:r>
        <w:rPr>
          <w:color w:val="003CA0"/>
          <w:sz w:val="12"/>
        </w:rPr>
        <w:t xml:space="preserve"> | rel. Cármen Lúcia</w:t>
      </w:r>
    </w:p>
    <w:p>
      <w:pPr>
        <w:ind w:left="288"/>
      </w:pPr>
      <w:r>
        <w:rPr>
          <w:color w:val="1E1E1E"/>
          <w:sz w:val="18"/>
        </w:rPr>
        <w:t>= Rcl 2.769 AgR, rel. min. Cármen Lúcia, j. 23-9-2009, P, DJE de 16-10-2009 Competência: Justiça comum: ação popular contra o Sebrae [Serviço Brasileiro de Apoio às Micro e Pequenas Empresas] (...). O Sebrae não corresponde à noção constitucional de autarquia, que, para começar, há de ser criada por lei específica (CF, art. 37, XIX) e não na forma de sociedade civil, com personalidade de direito privado, como é o caso do recorrido. Por isso, o disposto no art. 20, f, da Lei 4.717/1965 (Lei de Ação Popular – LAP), para não se chocar com a Constituição, há de ter o seu alcance reduzido: não tran</w:t>
      </w:r>
    </w:p>
    <w:p>
      <w:pPr>
        <w:ind w:left="288"/>
      </w:pPr>
      <w:r>
        <w:rPr>
          <w:b/>
          <w:color w:val="003CA0"/>
          <w:sz w:val="16"/>
        </w:rPr>
        <w:t>[RE 366.168, rel. min. Sepúlveda Pertence, j. 3-2-2004, 1ª T, DJ de 14-5-2004.]</w:t>
      </w:r>
    </w:p>
    <w:p>
      <w:pPr>
        <w:ind w:left="288"/>
      </w:pPr>
      <w:r>
        <w:rPr>
          <w:color w:val="8C8C8C"/>
          <w:sz w:val="12"/>
        </w:rPr>
        <w:t>cf-art-5-inc-L-ali-b</w:t>
      </w:r>
      <w:r>
        <w:rPr>
          <w:color w:val="003CA0"/>
          <w:sz w:val="12"/>
        </w:rPr>
        <w:t xml:space="preserve"> | AO 859</w:t>
      </w:r>
      <w:r>
        <w:rPr>
          <w:color w:val="003CA0"/>
          <w:sz w:val="12"/>
        </w:rPr>
        <w:t xml:space="preserve"> | rel. Ellen Gracie</w:t>
      </w:r>
    </w:p>
    <w:p>
      <w:pPr>
        <w:ind w:left="288"/>
      </w:pPr>
      <w:r>
        <w:rPr>
          <w:color w:val="1E1E1E"/>
          <w:sz w:val="18"/>
        </w:rPr>
        <w:t>A competência para julgar ação popular contra ato de qualquer autoridade, até mesmo do presidente da República, é, via de regra, do juízo competente de primeiro grau.</w:t>
      </w:r>
    </w:p>
    <w:p>
      <w:pPr>
        <w:ind w:left="288"/>
      </w:pPr>
      <w:r>
        <w:rPr>
          <w:b/>
          <w:color w:val="003CA0"/>
          <w:sz w:val="16"/>
        </w:rPr>
        <w:t>[AO 859 QO, rel. min. Ellen Gracie, red. do ac. min. Maurício Corrêa, j. 11-10-2001, P, DJ de 1º-8-2003.]</w:t>
      </w:r>
    </w:p>
    <w:p>
      <w:pPr>
        <w:ind w:left="288"/>
      </w:pPr>
      <w:r>
        <w:rPr>
          <w:color w:val="8C8C8C"/>
          <w:sz w:val="12"/>
        </w:rPr>
        <w:t>cf-art-5-inc-L-ali-b</w:t>
      </w:r>
      <w:r>
        <w:rPr>
          <w:color w:val="003CA0"/>
          <w:sz w:val="12"/>
        </w:rPr>
        <w:t xml:space="preserve"> | PET 2.018</w:t>
      </w:r>
      <w:r>
        <w:rPr>
          <w:color w:val="003CA0"/>
          <w:sz w:val="12"/>
        </w:rPr>
        <w:t xml:space="preserve"> | rel. Celso de Mello</w:t>
      </w:r>
    </w:p>
    <w:p>
      <w:pPr>
        <w:ind w:left="288"/>
      </w:pPr>
      <w:r>
        <w:rPr>
          <w:color w:val="1E1E1E"/>
          <w:sz w:val="18"/>
        </w:rPr>
        <w:t>O STF – por ausência de previsão constitucional – não dispõe de competência originária para processar e julgar ação popular promovida contra qualquer órgão ou autoridade da República, mesmo que o ato cuja invalidação se pleiteie tenha emanado do presidente da República, das Mesas da Câmara dos Deputados ou do Senado Federal, ou, ainda, de qualquer dos tribunais superiores da União. (...) Os atos de conteúdo jurisdicional – precisamente por não se revestirem de caráter administrativo – estão excluídos do âmbito de incidência da ação popular, notadamente porque se acham sujeitos a um sistema esp</w:t>
      </w:r>
    </w:p>
    <w:p>
      <w:pPr>
        <w:ind w:left="288"/>
      </w:pPr>
      <w:r>
        <w:rPr>
          <w:b/>
          <w:color w:val="003CA0"/>
          <w:sz w:val="16"/>
        </w:rPr>
        <w:t>[Pet 2.018 AgR, rel. min. Celso de Mello, j. 22-8-2000, 2ª T, DJ de 16-2-2001.]</w:t>
      </w:r>
    </w:p>
    <w:p>
      <w:pPr>
        <w:ind w:left="288"/>
      </w:pPr>
      <w:r>
        <w:rPr>
          <w:color w:val="8C8C8C"/>
          <w:sz w:val="12"/>
        </w:rPr>
        <w:t>cf-art-5-inc-L-ali-b</w:t>
      </w:r>
      <w:r>
        <w:rPr>
          <w:color w:val="003CA0"/>
          <w:sz w:val="12"/>
        </w:rPr>
        <w:t xml:space="preserve"> | RCL 2.769</w:t>
      </w:r>
      <w:r>
        <w:rPr>
          <w:color w:val="003CA0"/>
          <w:sz w:val="12"/>
        </w:rPr>
        <w:t xml:space="preserve"> | rel. Cármen Lúcia</w:t>
      </w:r>
    </w:p>
    <w:p>
      <w:pPr>
        <w:ind w:left="288"/>
      </w:pPr>
      <w:r>
        <w:rPr>
          <w:color w:val="1E1E1E"/>
          <w:sz w:val="18"/>
        </w:rPr>
        <w:t>= Rcl 2.769 AgR, rel. min. Cármen Lúcia, j. 23-9-2009, P, DJE de 16-10-2009 A não ser quando há comprovação de má-fé do autor da ação popular, não pode ele ser condenado nos ônus das custas e da sucumbência.</w:t>
      </w:r>
    </w:p>
    <w:p>
      <w:pPr>
        <w:ind w:left="288"/>
      </w:pPr>
      <w:r>
        <w:rPr>
          <w:b/>
          <w:color w:val="003CA0"/>
          <w:sz w:val="16"/>
        </w:rPr>
        <w:t>[RE 221.291, rel. min. Moreira Alves, j. 11-4-2000, 1ª T, DJ de 9-6-2000.]</w:t>
      </w:r>
    </w:p>
    <w:p>
      <w:pPr>
        <w:ind w:left="288"/>
      </w:pPr>
      <w:r>
        <w:rPr>
          <w:color w:val="8C8C8C"/>
          <w:sz w:val="12"/>
        </w:rPr>
        <w:t>cf-art-5-inc-L-ali-b</w:t>
      </w:r>
      <w:r>
        <w:rPr>
          <w:color w:val="003CA0"/>
          <w:sz w:val="12"/>
        </w:rPr>
        <w:t xml:space="preserve"> | AI 582.683</w:t>
      </w:r>
      <w:r>
        <w:rPr>
          <w:color w:val="003CA0"/>
          <w:sz w:val="12"/>
        </w:rPr>
        <w:t xml:space="preserve"> | rel. Ayres Britto</w:t>
      </w:r>
    </w:p>
    <w:p>
      <w:pPr>
        <w:ind w:left="288"/>
      </w:pPr>
      <w:r>
        <w:rPr>
          <w:color w:val="1E1E1E"/>
          <w:sz w:val="18"/>
        </w:rPr>
        <w:t>= AI 582.683 AgR, rel. min. Ayres Britto, j. 17-8-2010, 2ª T, DJE de 17-9-2010 Vide AR 1.178, rel. min. Marco Aurélio, j. 3-5-1995, P, DJ de 6-9-1996 A ação popular é cabível, já que objetiva a suspensão definitiva do pagamento da gratificação de nível superior e a consequente condenação dos beneficiários à devolução de todas as quantias recebidas, devidamente corrigidas. Com efeito, a ação popular, como regulada pela Lei 4.717, de 29-6-1965, visa à declaração de nulidade ou à anulação de atos administrativos, quando lesivos ao patrimônio público, como dispõem seus arts. 1º, 2º e 4º. Mas não é</w:t>
      </w:r>
    </w:p>
    <w:p>
      <w:pPr>
        <w:ind w:left="288"/>
      </w:pPr>
      <w:r>
        <w:rPr>
          <w:b/>
          <w:color w:val="003CA0"/>
          <w:sz w:val="16"/>
        </w:rPr>
        <w:t>[AO 506 QO, rel. min. Sydney Sanches, j. 6-5-1998, P, DJ de 4-12-1998.]</w:t>
      </w:r>
    </w:p>
    <w:p>
      <w:pPr>
        <w:ind w:left="288"/>
      </w:pPr>
      <w:r>
        <w:rPr>
          <w:color w:val="8C8C8C"/>
          <w:sz w:val="12"/>
        </w:rPr>
        <w:t>cf-art-5-inc-L-ali-b</w:t>
      </w:r>
      <w:r>
        <w:rPr>
          <w:color w:val="003CA0"/>
          <w:sz w:val="12"/>
        </w:rPr>
        <w:t xml:space="preserve"> | RE 206.889</w:t>
      </w:r>
      <w:r>
        <w:rPr>
          <w:color w:val="003CA0"/>
          <w:sz w:val="12"/>
        </w:rPr>
        <w:t xml:space="preserve"> | rel. Carlos Velloso</w:t>
      </w:r>
    </w:p>
    <w:p>
      <w:pPr>
        <w:ind w:left="288"/>
      </w:pPr>
      <w:r>
        <w:rPr>
          <w:color w:val="1E1E1E"/>
          <w:sz w:val="18"/>
        </w:rPr>
        <w:t>Fixando os vereadores a sua própria remuneração, vale dizer, fixando essa remuneração para viger na própria legislatura, pratica ato inconstitucional lesivo não só ao patrimônio material do Poder Público, como à moralidade administrativa, que constitui patrimônio moral da sociedade. CF, art. 5º, LXXIII.</w:t>
      </w:r>
    </w:p>
    <w:p>
      <w:pPr>
        <w:ind w:left="288"/>
      </w:pPr>
      <w:r>
        <w:rPr>
          <w:b/>
          <w:color w:val="003CA0"/>
          <w:sz w:val="16"/>
        </w:rPr>
        <w:t>[RE 206.889, rel. min. Carlos Velloso, j. 25-3-1997, 2ª T, DJ de 13-6-1997.]</w:t>
      </w:r>
    </w:p>
    <w:p>
      <w:pPr>
        <w:ind w:left="288"/>
      </w:pPr>
      <w:r>
        <w:rPr>
          <w:color w:val="8C8C8C"/>
          <w:sz w:val="12"/>
        </w:rPr>
        <w:t>cf-art-5-inc-L-ali-b</w:t>
      </w:r>
      <w:r>
        <w:rPr>
          <w:color w:val="003CA0"/>
          <w:sz w:val="12"/>
        </w:rPr>
        <w:t xml:space="preserve"> | AR 1.178</w:t>
      </w:r>
      <w:r>
        <w:rPr>
          <w:color w:val="003CA0"/>
          <w:sz w:val="12"/>
        </w:rPr>
        <w:t xml:space="preserve"> | rel. Marco Aurélio</w:t>
      </w:r>
    </w:p>
    <w:p>
      <w:pPr>
        <w:ind w:left="288"/>
      </w:pPr>
      <w:r>
        <w:rPr>
          <w:color w:val="1E1E1E"/>
          <w:sz w:val="18"/>
        </w:rPr>
        <w:t>Tratando-se de rescisória ajuizada contra acórdão proferido em ação popular julgada procedente, descabe a condenação dos autores desta e réus na rescisória ao pagamento dos honorários advocatícios, a menos que exsurja a iniciativa em propô-la, como configuradora de procedimento de má-fé.</w:t>
      </w:r>
    </w:p>
    <w:p>
      <w:pPr>
        <w:ind w:left="288"/>
      </w:pPr>
      <w:r>
        <w:rPr>
          <w:b/>
          <w:color w:val="003CA0"/>
          <w:sz w:val="16"/>
        </w:rPr>
        <w:t>[AR 1.178, rel. min. Marco Aurélio, j. 3-5-1995, P, DJ de 6-9-1996.]</w:t>
      </w:r>
    </w:p>
    <w:p>
      <w:pPr>
        <w:ind w:left="288"/>
      </w:pPr>
      <w:r>
        <w:rPr>
          <w:color w:val="8C8C8C"/>
          <w:sz w:val="12"/>
        </w:rPr>
        <w:t>cf-art-5-inc-L-ali-b</w:t>
      </w:r>
      <w:r>
        <w:rPr>
          <w:color w:val="003CA0"/>
          <w:sz w:val="12"/>
        </w:rPr>
        <w:t xml:space="preserve"> | RE 221.291</w:t>
      </w:r>
      <w:r>
        <w:rPr>
          <w:color w:val="003CA0"/>
          <w:sz w:val="12"/>
        </w:rPr>
        <w:t xml:space="preserve"> | rel. Moreira Alves</w:t>
      </w:r>
    </w:p>
    <w:p>
      <w:pPr>
        <w:ind w:left="288"/>
      </w:pPr>
      <w:r>
        <w:rPr>
          <w:color w:val="1E1E1E"/>
          <w:sz w:val="18"/>
        </w:rPr>
        <w:t>Vide RE 221.291, rel. min. Moreira Alves, j. 11-4-2000, 1ª T, DJ de 9-6-2000 LXXIV - o Estado prestará assistência jurídica integral e gratuita aos que comprovarem insuficiência de recursos; A Constituição Federal, ao tratar da Defensoria Pública, previu em seu art. 5º, inciso LXXIV, que o ‘Estado prestará assistência jurídica integral e gratuita aos que comprovem insuficiência de recursos’. Já no art. 134, com redação dada pela Emenda Constitucional 80/2014, determinou a atuação da Defensoria em favor dos ‘necessitados’, na forma do inciso LXXIV do art. 5º. Ora, tanto a expressão ‘insuficiênc</w:t>
      </w:r>
    </w:p>
    <w:p>
      <w:pPr>
        <w:ind w:left="288"/>
      </w:pPr>
      <w:r>
        <w:rPr>
          <w:b/>
          <w:color w:val="003CA0"/>
          <w:sz w:val="16"/>
        </w:rPr>
        <w:t>[ADI 4.636, voto do min. Gilmar Mendes, j. 4-11-2021, P, DJE de 10-2-2022.]</w:t>
      </w:r>
    </w:p>
    <w:p>
      <w:pPr>
        <w:ind w:left="288"/>
      </w:pPr>
      <w:r>
        <w:rPr>
          <w:color w:val="8C8C8C"/>
          <w:sz w:val="12"/>
        </w:rPr>
        <w:t>cf-art-5-inc-L-ali-b</w:t>
      </w:r>
      <w:r>
        <w:rPr>
          <w:color w:val="003CA0"/>
          <w:sz w:val="12"/>
        </w:rPr>
        <w:t xml:space="preserve"> | ADI 5.766</w:t>
      </w:r>
      <w:r>
        <w:rPr>
          <w:color w:val="003CA0"/>
          <w:sz w:val="12"/>
        </w:rPr>
        <w:t xml:space="preserve"> | rel. Roberto Barroso</w:t>
      </w:r>
    </w:p>
    <w:p>
      <w:pPr>
        <w:ind w:left="288"/>
      </w:pPr>
      <w:r>
        <w:rPr>
          <w:color w:val="1E1E1E"/>
          <w:sz w:val="18"/>
        </w:rPr>
        <w:t xml:space="preserve">É inconstitucional a legislação que presume a perda da condição de hipossuficiência econômica para efeito de aplicação do benefício de gratuidade de justiça, apenas em razão da apuração de créditos em favor do trabalhador em outra relação processual, dispensado o empregador do ônus processual de comprovar eventual modificação na capacidade econômica do beneficiário. A ausência injustificada à audiência de julgamento frustra o exercício da jurisdição e acarreta prejuízos materiais para o órgão judiciário e para a parte reclamada, o que não se coaduna com deveres mínimos de boa-fé, cooperação e </w:t>
      </w:r>
    </w:p>
    <w:p>
      <w:pPr>
        <w:ind w:left="288"/>
      </w:pPr>
      <w:r>
        <w:rPr>
          <w:b/>
          <w:color w:val="003CA0"/>
          <w:sz w:val="16"/>
        </w:rPr>
        <w:t>[ADI 5.766, rel. min. Roberto Barroso, red. do ac. min. Alexandre de Moraes, j. 20-10-2021, P, DJE de 03-5-2022.]</w:t>
      </w:r>
    </w:p>
    <w:p>
      <w:pPr>
        <w:ind w:left="288"/>
      </w:pPr>
      <w:r>
        <w:rPr>
          <w:color w:val="8C8C8C"/>
          <w:sz w:val="12"/>
        </w:rPr>
        <w:t>cf-art-5-inc-L-ali-b</w:t>
      </w:r>
      <w:r>
        <w:rPr>
          <w:color w:val="003CA0"/>
          <w:sz w:val="12"/>
        </w:rPr>
        <w:t xml:space="preserve"> | ADI 3.658</w:t>
      </w:r>
      <w:r>
        <w:rPr>
          <w:color w:val="003CA0"/>
          <w:sz w:val="12"/>
        </w:rPr>
        <w:t xml:space="preserve"> | rel. Marco Aurélio</w:t>
      </w:r>
    </w:p>
    <w:p>
      <w:pPr>
        <w:ind w:left="288"/>
      </w:pPr>
      <w:r>
        <w:rPr>
          <w:color w:val="1E1E1E"/>
          <w:sz w:val="18"/>
        </w:rPr>
        <w:t>A isenção do pagamento de custas não fica jungida à inviabilidade de atuação da Defensoria Pública, sendo cabível no tocante a cidadão que, sem o prejuízo da assistência própria ou da família, não tenha condições de recolhê-las. Alcance do disposto no artigo 5º, inciso LXXIV, da Carta Federal, presentes princípios constitucionais explícitos e implícitos voltados ao pleno exercício de direitos inerentes à cidadania.</w:t>
      </w:r>
    </w:p>
    <w:p>
      <w:pPr>
        <w:ind w:left="288"/>
      </w:pPr>
      <w:r>
        <w:rPr>
          <w:b/>
          <w:color w:val="003CA0"/>
          <w:sz w:val="16"/>
        </w:rPr>
        <w:t>[ADI 3.658, rel. min. Marco Aurélio, j. 10-10-2019, P, DJE de 24-10-2019.]</w:t>
      </w:r>
    </w:p>
    <w:p>
      <w:pPr>
        <w:ind w:left="288"/>
      </w:pPr>
      <w:r>
        <w:rPr>
          <w:color w:val="8C8C8C"/>
          <w:sz w:val="12"/>
        </w:rPr>
        <w:t>cf-art-5-inc-L-ali-b</w:t>
      </w:r>
      <w:r>
        <w:rPr>
          <w:color w:val="003CA0"/>
          <w:sz w:val="12"/>
        </w:rPr>
        <w:t xml:space="preserve"> | ADI 3.892</w:t>
      </w:r>
      <w:r>
        <w:rPr>
          <w:color w:val="003CA0"/>
          <w:sz w:val="12"/>
        </w:rPr>
        <w:t xml:space="preserve"> | rel. Joaquim Barbosa</w:t>
      </w:r>
    </w:p>
    <w:p>
      <w:pPr>
        <w:ind w:left="288"/>
      </w:pPr>
      <w:r>
        <w:rPr>
          <w:color w:val="1E1E1E"/>
          <w:sz w:val="18"/>
        </w:rPr>
        <w:t>Art. 104 da Constituição do Estado de Santa Catarina. LC estadual 155/1997. Convênio com a seccional da OAB/SC para prestação de serviço de "defensoria pública dativa". Inexistência, no Estado de Santa Catarina, de órgão estatal destinado à orientação jurídica e à defesa dos necessitados. Situação institucional que configura severo ataque à dignidade do ser humano. Violação do inciso LXXIV do art. 5º e do art. 134, caput, da redação originária da Constituição de 1988. Ações diretas julgadas procedentes para declarar a inconstitucionalidade do art. 104 da Constituição do Estado de Santa Catarin</w:t>
      </w:r>
    </w:p>
    <w:p>
      <w:pPr>
        <w:ind w:left="288"/>
      </w:pPr>
      <w:r>
        <w:rPr>
          <w:b/>
          <w:color w:val="003CA0"/>
          <w:sz w:val="16"/>
        </w:rPr>
        <w:t>[ADI 3.892 e ADI 4.270, rel. min. Joaquim Barbosa, j. 14-3-2012, P, DJE de 25-9-2012.]</w:t>
      </w:r>
    </w:p>
    <w:p>
      <w:pPr>
        <w:ind w:left="288"/>
      </w:pPr>
      <w:r>
        <w:rPr>
          <w:color w:val="8C8C8C"/>
          <w:sz w:val="12"/>
        </w:rPr>
        <w:t>cf-art-5-inc-L-ali-b</w:t>
      </w:r>
      <w:r>
        <w:rPr>
          <w:color w:val="003CA0"/>
          <w:sz w:val="12"/>
        </w:rPr>
        <w:t xml:space="preserve"> | ARE 767.615</w:t>
      </w:r>
      <w:r>
        <w:rPr>
          <w:color w:val="003CA0"/>
          <w:sz w:val="12"/>
        </w:rPr>
        <w:t xml:space="preserve"> | rel. Cármen Lúcia</w:t>
      </w:r>
    </w:p>
    <w:p>
      <w:pPr>
        <w:ind w:left="288"/>
      </w:pPr>
      <w:r>
        <w:rPr>
          <w:color w:val="1E1E1E"/>
          <w:sz w:val="18"/>
        </w:rPr>
        <w:t>Vide ARE 767.615 AgR, rel. min. Cármen Lúcia, j. 5-11-2013, 2ª T, DJE de 11-11-2013 Reconhecimento, pelas Turmas desta Corte, da obrigatoriedade do custeio do exame de DNA pelo Estado-membro, em favor de hipossuficientes. O custeio do exame pericial da justiça gratuita viabiliza o efetivo exercício do direito à assistência judiciária, consagrado no art. 5º, LXXIV, da CF/1988.</w:t>
      </w:r>
    </w:p>
    <w:p>
      <w:pPr>
        <w:ind w:left="288"/>
      </w:pPr>
      <w:r>
        <w:rPr>
          <w:b/>
          <w:color w:val="003CA0"/>
          <w:sz w:val="16"/>
        </w:rPr>
        <w:t>[ADI 3.394, rel. min. Eros Grau, j. 2-4-2007, P, DJE de 15-8-2008.]</w:t>
      </w:r>
    </w:p>
    <w:p>
      <w:pPr>
        <w:ind w:left="288"/>
      </w:pPr>
      <w:r>
        <w:rPr>
          <w:color w:val="8C8C8C"/>
          <w:sz w:val="12"/>
        </w:rPr>
        <w:t>cf-art-5-inc-L-ali-b</w:t>
      </w:r>
      <w:r>
        <w:rPr>
          <w:color w:val="003CA0"/>
          <w:sz w:val="12"/>
        </w:rPr>
        <w:t xml:space="preserve"> | RE 207.732</w:t>
      </w:r>
      <w:r>
        <w:rPr>
          <w:color w:val="003CA0"/>
          <w:sz w:val="12"/>
        </w:rPr>
        <w:t xml:space="preserve"> | rel. Ellen Gracie</w:t>
      </w:r>
    </w:p>
    <w:p>
      <w:pPr>
        <w:ind w:left="288"/>
      </w:pPr>
      <w:r>
        <w:rPr>
          <w:color w:val="1E1E1E"/>
          <w:sz w:val="18"/>
        </w:rPr>
        <w:t>= RE 207.732, rel. min. Ellen Gracie, j. 11-6-2002, 1ª T, DJ de 2-8-2002 O art. 12 da Lei 1.060/1950 foi recepcionado quanto às custas processuais em sentido estrito, porquanto se mostra razoável interpretar que, em relação às custas não submetidas ao regime tributário, ao "isentar" o jurisdicionado beneficiário da justiça gratuita, o que ocorre é o estabelecimento, por força de lei, de uma condição suspensiva de exigibilidade. Em relação à taxa judiciária, firma-se convicção no sentido da recepção material e formal do art. 12 da Lei 1.060/1950, porquanto o Poder Legislativo em sua relativa li</w:t>
      </w:r>
    </w:p>
    <w:p>
      <w:pPr>
        <w:ind w:left="288"/>
      </w:pPr>
      <w:r>
        <w:rPr>
          <w:b/>
          <w:color w:val="003CA0"/>
          <w:sz w:val="16"/>
        </w:rPr>
        <w:t>[RE 249.003 ED, RE 249.277 ED e RE 284.729 AgR, rel. min. Edson Fachin, j. 9-12-2015, P, DJE de 10-5-2016.]</w:t>
      </w:r>
    </w:p>
    <w:p>
      <w:pPr>
        <w:ind w:left="288"/>
      </w:pPr>
      <w:r>
        <w:rPr>
          <w:color w:val="8C8C8C"/>
          <w:sz w:val="12"/>
        </w:rPr>
        <w:t>cf-art-5-inc-L-ali-b</w:t>
      </w:r>
      <w:r>
        <w:rPr>
          <w:color w:val="003CA0"/>
          <w:sz w:val="12"/>
        </w:rPr>
        <w:t xml:space="preserve"> | RE 482.367</w:t>
      </w:r>
      <w:r>
        <w:rPr>
          <w:color w:val="003CA0"/>
          <w:sz w:val="12"/>
        </w:rPr>
        <w:t xml:space="preserve"> | rel. Cármen Lúcia</w:t>
      </w:r>
    </w:p>
    <w:p>
      <w:pPr>
        <w:ind w:left="288"/>
      </w:pPr>
      <w:r>
        <w:rPr>
          <w:color w:val="1E1E1E"/>
          <w:sz w:val="18"/>
        </w:rPr>
        <w:t>= RE 482.367 AgR-AgR, rel. min. Cármen Lúcia, j. 15-12-2009, 1ª T, DJE de 5-2-2010 = RE 184.841, rel. min. Sepúlveda Pertence, j. 21-3-1995, 1ª T, DJ de 8-9-1995 Defensoria Pública. Implantação. Omissão estatal que compromete e frustra direitos fundamentais de pessoas necessitadas. Situação constitucionalmente intolerável. O reconhecimento, em favor de populações carentes e desassistidas, postas à margem do sistema jurídico, do "direito a ter direitos" como pressuposto de acesso aos demais direitos, liberdades e garantias. Intervenção jurisdicional concretizadora de programa constitucional des</w:t>
      </w:r>
    </w:p>
    <w:p>
      <w:pPr>
        <w:ind w:left="288"/>
      </w:pPr>
      <w:r>
        <w:rPr>
          <w:b/>
          <w:color w:val="003CA0"/>
          <w:sz w:val="16"/>
        </w:rPr>
        <w:t>[AI 598.212 ED, rel. min. Celso de Mello, j. 25-3-2014, 2ª T, DJE de 24-4-2014.]</w:t>
      </w:r>
    </w:p>
    <w:p>
      <w:pPr>
        <w:ind w:left="288"/>
      </w:pPr>
      <w:r>
        <w:rPr>
          <w:color w:val="8C8C8C"/>
          <w:sz w:val="12"/>
        </w:rPr>
        <w:t>cf-art-5-inc-L-ali-b</w:t>
      </w:r>
      <w:r>
        <w:rPr>
          <w:color w:val="003CA0"/>
          <w:sz w:val="12"/>
        </w:rPr>
        <w:t xml:space="preserve"> | AI 652.139</w:t>
      </w:r>
    </w:p>
    <w:p>
      <w:pPr>
        <w:ind w:left="288"/>
      </w:pPr>
      <w:r>
        <w:rPr>
          <w:color w:val="1E1E1E"/>
          <w:sz w:val="18"/>
        </w:rPr>
        <w:t>Justiça gratuita. Requerimento. Ausência de apreciação. Consequências. Uma vez pleiteado o reconhecimento do direito à justiça gratuita, afirmando a parte interessada não ter condições de fazer frente a preparo, cumpre afastar a deserção.</w:t>
      </w:r>
    </w:p>
    <w:p>
      <w:pPr>
        <w:ind w:left="288"/>
      </w:pPr>
      <w:r>
        <w:rPr>
          <w:b/>
          <w:color w:val="003CA0"/>
          <w:sz w:val="16"/>
        </w:rPr>
        <w:t>[AI 652.139 AgR, red. do ac. min.Marco Aurélio, j. 22-5-2012, 1ª T, DJE de 23-8-2012.]</w:t>
      </w:r>
    </w:p>
    <w:p>
      <w:pPr>
        <w:ind w:left="288"/>
      </w:pPr>
      <w:r>
        <w:rPr>
          <w:color w:val="8C8C8C"/>
          <w:sz w:val="12"/>
        </w:rPr>
        <w:t>cf-art-5-inc-L-ali-b</w:t>
      </w:r>
      <w:r>
        <w:rPr>
          <w:color w:val="003CA0"/>
          <w:sz w:val="12"/>
        </w:rPr>
        <w:t xml:space="preserve"> | AI 242.160</w:t>
      </w:r>
      <w:r>
        <w:rPr>
          <w:color w:val="003CA0"/>
          <w:sz w:val="12"/>
        </w:rPr>
        <w:t xml:space="preserve"> | rel. Dias Toffoli</w:t>
      </w:r>
    </w:p>
    <w:p>
      <w:pPr>
        <w:ind w:left="288"/>
      </w:pPr>
      <w:r>
        <w:rPr>
          <w:color w:val="1E1E1E"/>
          <w:sz w:val="18"/>
        </w:rPr>
        <w:t>A jurisprudência desta Corte é no sentido de que o prazo em dobro previsto na Lei 1.060/1950 é prerrogativa concedida unicamente aos defensores públicos, não sendo extensível aos beneficiários da justiça gratuita assistidos por advogados, como no caso, de sua livre escolha.</w:t>
      </w:r>
    </w:p>
    <w:p>
      <w:pPr>
        <w:ind w:left="288"/>
      </w:pPr>
      <w:r>
        <w:rPr>
          <w:b/>
          <w:color w:val="003CA0"/>
          <w:sz w:val="16"/>
        </w:rPr>
        <w:t>[AI 242.160 AgR, rel. min. Dias Toffoli, j. 28-2-2012, 1ª T, DJE de 10-4-2012.]</w:t>
      </w:r>
    </w:p>
    <w:p>
      <w:pPr>
        <w:ind w:left="288"/>
      </w:pPr>
      <w:r>
        <w:rPr>
          <w:color w:val="8C8C8C"/>
          <w:sz w:val="12"/>
        </w:rPr>
        <w:t>cf-art-5-inc-L-ali-b</w:t>
      </w:r>
      <w:r>
        <w:rPr>
          <w:color w:val="003CA0"/>
          <w:sz w:val="12"/>
        </w:rPr>
        <w:t xml:space="preserve"> | RE 346.566</w:t>
      </w:r>
      <w:r>
        <w:rPr>
          <w:color w:val="003CA0"/>
          <w:sz w:val="12"/>
        </w:rPr>
        <w:t xml:space="preserve"> | rel. Ricardo Lewandowski</w:t>
      </w:r>
    </w:p>
    <w:p>
      <w:pPr>
        <w:ind w:left="288"/>
      </w:pPr>
      <w:r>
        <w:rPr>
          <w:color w:val="1E1E1E"/>
          <w:sz w:val="18"/>
        </w:rPr>
        <w:t>O beneficiário de justiça gratuita não necessita comprovar o recolhimento do preparo para oposição de embargos de divergência.</w:t>
      </w:r>
    </w:p>
    <w:p>
      <w:pPr>
        <w:ind w:left="288"/>
      </w:pPr>
      <w:r>
        <w:rPr>
          <w:b/>
          <w:color w:val="003CA0"/>
          <w:sz w:val="16"/>
        </w:rPr>
        <w:t>[RE 346.566 AgR-AgR-EDv-AgR, rel. min. Ricardo Lewandowski, j. 18-11-2010, P, DJE de 13-12-2010.]</w:t>
      </w:r>
    </w:p>
    <w:p>
      <w:pPr>
        <w:ind w:left="288"/>
      </w:pPr>
      <w:r>
        <w:rPr>
          <w:color w:val="8C8C8C"/>
          <w:sz w:val="12"/>
        </w:rPr>
        <w:t>cf-art-5-inc-L-ali-b</w:t>
      </w:r>
      <w:r>
        <w:rPr>
          <w:color w:val="003CA0"/>
          <w:sz w:val="12"/>
        </w:rPr>
        <w:t xml:space="preserve"> | AI 342.393</w:t>
      </w:r>
      <w:r>
        <w:rPr>
          <w:color w:val="003CA0"/>
          <w:sz w:val="12"/>
        </w:rPr>
        <w:t xml:space="preserve"> | rel. Celso de Mello</w:t>
      </w:r>
    </w:p>
    <w:p>
      <w:pPr>
        <w:ind w:left="288"/>
      </w:pPr>
      <w:r>
        <w:rPr>
          <w:color w:val="1E1E1E"/>
          <w:sz w:val="18"/>
        </w:rPr>
        <w:t>A multa a que se refere o art. 18 do CPC – também incidente sobre o beneficiário da gratuidade – possui inquestionável função inibitória, eis que visa a impedir a procrastinação processual e a obstar o exercício abusivo do direito de recorrer.</w:t>
      </w:r>
    </w:p>
    <w:p>
      <w:pPr>
        <w:ind w:left="288"/>
      </w:pPr>
      <w:r>
        <w:rPr>
          <w:b/>
          <w:color w:val="003CA0"/>
          <w:sz w:val="16"/>
        </w:rPr>
        <w:t>[AI 342.393 AgR-ED-EI, rel. min. Celso de Mello, j. 6-4-2010, 2ª T, DJE de 23-4-2010.]</w:t>
      </w:r>
    </w:p>
    <w:p>
      <w:pPr>
        <w:ind w:left="288"/>
      </w:pPr>
      <w:r>
        <w:rPr>
          <w:color w:val="8C8C8C"/>
          <w:sz w:val="12"/>
        </w:rPr>
        <w:t>cf-art-5-inc-L-ali-b</w:t>
      </w:r>
      <w:r>
        <w:rPr>
          <w:color w:val="003CA0"/>
          <w:sz w:val="12"/>
        </w:rPr>
        <w:t xml:space="preserve"> | RHC 88.512</w:t>
      </w:r>
      <w:r>
        <w:rPr>
          <w:color w:val="003CA0"/>
          <w:sz w:val="12"/>
        </w:rPr>
        <w:t xml:space="preserve"> | rel. Cezar Peluso</w:t>
      </w:r>
    </w:p>
    <w:p>
      <w:pPr>
        <w:ind w:left="288"/>
      </w:pPr>
      <w:r>
        <w:rPr>
          <w:color w:val="1E1E1E"/>
          <w:sz w:val="18"/>
        </w:rPr>
        <w:t>Não é nulo o julgamento de apelação sem a intimação pessoal de defensor dativo, nos casos anteriores à entrada em vigor da Lei 9.271/1996.</w:t>
      </w:r>
    </w:p>
    <w:p>
      <w:pPr>
        <w:ind w:left="288"/>
      </w:pPr>
      <w:r>
        <w:rPr>
          <w:b/>
          <w:color w:val="003CA0"/>
          <w:sz w:val="16"/>
        </w:rPr>
        <w:t>[RHC 88.512, rel. min. Cezar Peluso, j. 9-3-2010, 2ª T, DJE de 23-4-2010.]</w:t>
      </w:r>
    </w:p>
    <w:p>
      <w:pPr>
        <w:ind w:left="288"/>
      </w:pPr>
      <w:r>
        <w:rPr>
          <w:color w:val="8C8C8C"/>
          <w:sz w:val="12"/>
        </w:rPr>
        <w:t>cf-art-5-inc-L-ali-b</w:t>
      </w:r>
      <w:r>
        <w:rPr>
          <w:color w:val="003CA0"/>
          <w:sz w:val="12"/>
        </w:rPr>
        <w:t xml:space="preserve"> | HC 105.500</w:t>
      </w:r>
      <w:r>
        <w:rPr>
          <w:color w:val="003CA0"/>
          <w:sz w:val="12"/>
        </w:rPr>
        <w:t xml:space="preserve"> | rel. Dias Toffoli</w:t>
      </w:r>
    </w:p>
    <w:p>
      <w:pPr>
        <w:ind w:left="288"/>
      </w:pPr>
      <w:r>
        <w:rPr>
          <w:color w:val="1E1E1E"/>
          <w:sz w:val="18"/>
        </w:rPr>
        <w:t>= HC 105.500, rel. min. Dias Toffoli, j. 22-5-2012, 1ª T, DJE de 14-6-2012 = HC 99.226, rel. min. Gilmar Mendes, j. 21-9-2010, 2ª T, DJE de 8-10-2010 O paciente postulou a assistência judiciária da Defensoria Pública da União, ao impetrar habeas corpus perante o STJ, de próprio punho. Pedido que não foi examinado pela autoridade apontada como coatora. O que viola as garantias constitucionais do devido processo legal e da "assistência judiciária integral e gratuita aos que comprovarem insuficiência de recursos" (...).</w:t>
      </w:r>
    </w:p>
    <w:p>
      <w:pPr>
        <w:ind w:left="288"/>
      </w:pPr>
      <w:r>
        <w:rPr>
          <w:b/>
          <w:color w:val="003CA0"/>
          <w:sz w:val="16"/>
        </w:rPr>
        <w:t>[HC 90.423, rel. min. Ayres Britto, j. 1º-12-2009, 1ª T, DJE de 12-2-2010.]</w:t>
      </w:r>
    </w:p>
    <w:p>
      <w:pPr>
        <w:ind w:left="288"/>
      </w:pPr>
      <w:r>
        <w:rPr>
          <w:color w:val="8C8C8C"/>
          <w:sz w:val="12"/>
        </w:rPr>
        <w:t>cf-art-5-inc-L-ali-b</w:t>
      </w:r>
      <w:r>
        <w:rPr>
          <w:color w:val="003CA0"/>
          <w:sz w:val="12"/>
        </w:rPr>
        <w:t xml:space="preserve"> | RE 231.705</w:t>
      </w:r>
      <w:r>
        <w:rPr>
          <w:color w:val="003CA0"/>
          <w:sz w:val="12"/>
        </w:rPr>
        <w:t xml:space="preserve"> | rel. Joaquim Barbosa</w:t>
      </w:r>
    </w:p>
    <w:p>
      <w:pPr>
        <w:ind w:left="288"/>
      </w:pPr>
      <w:r>
        <w:rPr>
          <w:color w:val="1E1E1E"/>
          <w:sz w:val="18"/>
        </w:rPr>
        <w:t>A omissão do Poder Judiciário sobre pedido de concessão do benefício da assistência judiciária não pode prejudicar a parte, especialmente quando não houver qualquer impugnação à concessão desse benefício.</w:t>
      </w:r>
    </w:p>
    <w:p>
      <w:pPr>
        <w:ind w:left="288"/>
      </w:pPr>
      <w:r>
        <w:rPr>
          <w:b/>
          <w:color w:val="003CA0"/>
          <w:sz w:val="16"/>
        </w:rPr>
        <w:t>[RE 231.705 ED, rel. min. Joaquim Barbosa, j. 29-9-2009, 2ª T, DJE de 29-10-2009.]</w:t>
      </w:r>
    </w:p>
    <w:p>
      <w:pPr>
        <w:ind w:left="288"/>
      </w:pPr>
      <w:r>
        <w:rPr>
          <w:color w:val="8C8C8C"/>
          <w:sz w:val="12"/>
        </w:rPr>
        <w:t>cf-art-5-inc-L-ali-b</w:t>
      </w:r>
      <w:r>
        <w:rPr>
          <w:color w:val="003CA0"/>
          <w:sz w:val="12"/>
        </w:rPr>
        <w:t xml:space="preserve"> | AI 744.487</w:t>
      </w:r>
      <w:r>
        <w:rPr>
          <w:color w:val="003CA0"/>
          <w:sz w:val="12"/>
        </w:rPr>
        <w:t xml:space="preserve"> | rel. Ricardo Lewandowski</w:t>
      </w:r>
    </w:p>
    <w:p>
      <w:pPr>
        <w:ind w:left="288"/>
      </w:pPr>
      <w:r>
        <w:rPr>
          <w:color w:val="1E1E1E"/>
          <w:sz w:val="18"/>
        </w:rPr>
        <w:t>O deferimento do benefício da gratuidade da justiça só produz efeitos futuros, assim, julgado deserto o recurso, de nada adiantaria a concessão posterior do benefício.</w:t>
      </w:r>
    </w:p>
    <w:p>
      <w:pPr>
        <w:ind w:left="288"/>
      </w:pPr>
      <w:r>
        <w:rPr>
          <w:b/>
          <w:color w:val="003CA0"/>
          <w:sz w:val="16"/>
        </w:rPr>
        <w:t>[AI 744.487 AgR, rel. min. Ricardo Lewandowski, j. 15-9-2009, 1ª T, DJE de 16-10-2009.]</w:t>
      </w:r>
    </w:p>
    <w:p>
      <w:pPr>
        <w:ind w:left="288"/>
      </w:pPr>
      <w:r>
        <w:rPr>
          <w:color w:val="8C8C8C"/>
          <w:sz w:val="12"/>
        </w:rPr>
        <w:t>cf-art-5-inc-L-ali-b</w:t>
      </w:r>
      <w:r>
        <w:rPr>
          <w:color w:val="003CA0"/>
          <w:sz w:val="12"/>
        </w:rPr>
        <w:t xml:space="preserve"> | AI 573.444</w:t>
      </w:r>
      <w:r>
        <w:rPr>
          <w:color w:val="003CA0"/>
          <w:sz w:val="12"/>
        </w:rPr>
        <w:t xml:space="preserve"> | rel. Cezar Peluso</w:t>
      </w:r>
    </w:p>
    <w:p>
      <w:pPr>
        <w:ind w:left="288"/>
      </w:pPr>
      <w:r>
        <w:rPr>
          <w:color w:val="1E1E1E"/>
          <w:sz w:val="18"/>
        </w:rPr>
        <w:t>É dever do Poder Judiciário prover gratuitamente a respeito de peças que devam compor instrumento de agravo interposto por beneficiário de gratuidade de justiça.</w:t>
      </w:r>
    </w:p>
    <w:p>
      <w:pPr>
        <w:ind w:left="288"/>
      </w:pPr>
      <w:r>
        <w:rPr>
          <w:b/>
          <w:color w:val="003CA0"/>
          <w:sz w:val="16"/>
        </w:rPr>
        <w:t>[AI 573.444 AgR, rel. min. Cezar Peluso, j. 8-9-2009, 2ª T, DJE de 9-10-2009.]</w:t>
      </w:r>
    </w:p>
    <w:p>
      <w:pPr>
        <w:ind w:left="288"/>
      </w:pPr>
      <w:r>
        <w:rPr>
          <w:color w:val="8C8C8C"/>
          <w:sz w:val="12"/>
        </w:rPr>
        <w:t>cf-art-5-inc-L-ali-b</w:t>
      </w:r>
      <w:r>
        <w:rPr>
          <w:color w:val="003CA0"/>
          <w:sz w:val="12"/>
        </w:rPr>
        <w:t xml:space="preserve"> | AI 580.880</w:t>
      </w:r>
      <w:r>
        <w:rPr>
          <w:color w:val="003CA0"/>
          <w:sz w:val="12"/>
        </w:rPr>
        <w:t xml:space="preserve"> | rel. Menezes Direito</w:t>
      </w:r>
    </w:p>
    <w:p>
      <w:pPr>
        <w:ind w:left="288"/>
      </w:pPr>
      <w:r>
        <w:rPr>
          <w:color w:val="1E1E1E"/>
          <w:sz w:val="18"/>
        </w:rPr>
        <w:t>Vide AI 580.880 AgR, rel. min. Menezes Direito, j. 7-4-2009, 1ª T, DJE de 8-5-2009 A gratuidade de justiça visa facilitar o amplo acesso ao Poder Judiciário, e não pode o devedor de alimentos se eximir de seu dever de prestá-los por ter sido beneficiado por esse direito.</w:t>
      </w:r>
    </w:p>
    <w:p>
      <w:pPr>
        <w:ind w:left="288"/>
      </w:pPr>
      <w:r>
        <w:rPr>
          <w:b/>
          <w:color w:val="003CA0"/>
          <w:sz w:val="16"/>
        </w:rPr>
        <w:t>[HC 100.104, rel. min. Ellen Gracie, j. 18-8-2009, 2ª T, DJE de 11-9-2009.]</w:t>
      </w:r>
    </w:p>
    <w:p>
      <w:pPr>
        <w:ind w:left="288"/>
      </w:pPr>
      <w:r>
        <w:rPr>
          <w:color w:val="8C8C8C"/>
          <w:sz w:val="12"/>
        </w:rPr>
        <w:t>cf-art-5-inc-L-ali-b</w:t>
      </w:r>
      <w:r>
        <w:rPr>
          <w:color w:val="003CA0"/>
          <w:sz w:val="12"/>
        </w:rPr>
        <w:t xml:space="preserve"> | AP 470</w:t>
      </w:r>
      <w:r>
        <w:rPr>
          <w:color w:val="003CA0"/>
          <w:sz w:val="12"/>
        </w:rPr>
        <w:t xml:space="preserve"> | rel. Joaquim Barbosa</w:t>
      </w:r>
    </w:p>
    <w:p>
      <w:pPr>
        <w:ind w:left="288"/>
      </w:pPr>
      <w:r>
        <w:rPr>
          <w:color w:val="1E1E1E"/>
          <w:sz w:val="18"/>
        </w:rPr>
        <w:t>A expedição de cartas rogatórias para oitiva de testemunhas residentes no exterior condiciona-se à demonstração da imprescindibilidade da diligência e ao pagamento prévio das respectivas custas, pela parte requerente, nos termos do art. 222-A do CPP, ressalvada a possibilidade de concessão de assistência judiciária aos economicamente necessitados.</w:t>
      </w:r>
    </w:p>
    <w:p>
      <w:pPr>
        <w:ind w:left="288"/>
      </w:pPr>
      <w:r>
        <w:rPr>
          <w:b/>
          <w:color w:val="003CA0"/>
          <w:sz w:val="16"/>
        </w:rPr>
        <w:t>[AP 470 QO-quarta, rel. min. Joaquim Barbosa, j. 10-6-2009, P, DJE de 2-10-2009.]</w:t>
      </w:r>
    </w:p>
    <w:p>
      <w:pPr>
        <w:ind w:left="288"/>
      </w:pPr>
      <w:r>
        <w:rPr>
          <w:color w:val="8C8C8C"/>
          <w:sz w:val="12"/>
        </w:rPr>
        <w:t>cf-art-5-inc-L-ali-b</w:t>
      </w:r>
      <w:r>
        <w:rPr>
          <w:color w:val="003CA0"/>
          <w:sz w:val="12"/>
        </w:rPr>
        <w:t xml:space="preserve"> | AI 580.880</w:t>
      </w:r>
      <w:r>
        <w:rPr>
          <w:color w:val="003CA0"/>
          <w:sz w:val="12"/>
        </w:rPr>
        <w:t xml:space="preserve"> | rel. Menezes Direito</w:t>
      </w:r>
    </w:p>
    <w:p>
      <w:pPr>
        <w:ind w:left="288"/>
      </w:pPr>
      <w:r>
        <w:rPr>
          <w:color w:val="1E1E1E"/>
          <w:sz w:val="18"/>
        </w:rPr>
        <w:t>O benefício da assistência judiciária gratuita implica a isenção de despesas, não de ônus processuais de outra natureza, como o de indicar as peças a serem trasladadas e o de fiscalizar a correta formação do instrumento.</w:t>
      </w:r>
    </w:p>
    <w:p>
      <w:pPr>
        <w:ind w:left="288"/>
      </w:pPr>
      <w:r>
        <w:rPr>
          <w:b/>
          <w:color w:val="003CA0"/>
          <w:sz w:val="16"/>
        </w:rPr>
        <w:t>[AI 580.880 AgR, rel. min. Menezes Direito, j. 7-4-2009, 1ª T, DJE de 8-5-2009.]</w:t>
      </w:r>
    </w:p>
    <w:p>
      <w:pPr>
        <w:ind w:left="288"/>
      </w:pPr>
      <w:r>
        <w:rPr>
          <w:color w:val="8C8C8C"/>
          <w:sz w:val="12"/>
        </w:rPr>
        <w:t>cf-art-5-inc-L-ali-b</w:t>
      </w:r>
      <w:r>
        <w:rPr>
          <w:color w:val="003CA0"/>
          <w:sz w:val="12"/>
        </w:rPr>
        <w:t xml:space="preserve"> | AI 748.374</w:t>
      </w:r>
      <w:r>
        <w:rPr>
          <w:color w:val="003CA0"/>
          <w:sz w:val="12"/>
        </w:rPr>
        <w:t xml:space="preserve"> | rel. Joaquim Barbosa</w:t>
      </w:r>
    </w:p>
    <w:p>
      <w:pPr>
        <w:ind w:left="288"/>
      </w:pPr>
      <w:r>
        <w:rPr>
          <w:color w:val="1E1E1E"/>
          <w:sz w:val="18"/>
        </w:rPr>
        <w:t>= AI 748.374 AgR, rel. min. Joaquim Barbosa, j. 16-3-2010, 2ª T, DJE de 7-5-2010 Vide AI 573.444 AgR, rel. min. Cezar Peluso, j. 8-9-2009, 2ª T, DJE de 9-10-2009 A tese da possibilidade ou não do fracionamento da execução principal contra a Fazenda Pública para pagamento de custas processuais não pôde ser examinada em razão de peculiaridade do caso concreto. No caso, o titular do cartório tem legitimidade para executar as custas processuais, uma vez que a parte, por ser beneficiária de assistência judiciária gratuita, não as adiantou.</w:t>
      </w:r>
    </w:p>
    <w:p>
      <w:pPr>
        <w:ind w:left="288"/>
      </w:pPr>
      <w:r>
        <w:rPr>
          <w:b/>
          <w:color w:val="003CA0"/>
          <w:sz w:val="16"/>
        </w:rPr>
        <w:t>[RE 578.695, rel. min. Ricardo Lewandowski, j. 29-10-2008, P, DJE de 20-3-2009.]</w:t>
      </w:r>
    </w:p>
    <w:p>
      <w:pPr>
        <w:ind w:left="288"/>
      </w:pPr>
      <w:r>
        <w:rPr>
          <w:color w:val="8C8C8C"/>
          <w:sz w:val="12"/>
        </w:rPr>
        <w:t>cf-art-5-inc-L-ali-b</w:t>
      </w:r>
      <w:r>
        <w:rPr>
          <w:color w:val="003CA0"/>
          <w:sz w:val="12"/>
        </w:rPr>
        <w:t xml:space="preserve"> | RE 601.115</w:t>
      </w:r>
      <w:r>
        <w:rPr>
          <w:color w:val="003CA0"/>
          <w:sz w:val="12"/>
        </w:rPr>
        <w:t xml:space="preserve"> | rel. Eros Grau</w:t>
      </w:r>
    </w:p>
    <w:p>
      <w:pPr>
        <w:ind w:left="288"/>
      </w:pPr>
      <w:r>
        <w:rPr>
          <w:color w:val="1E1E1E"/>
          <w:sz w:val="18"/>
        </w:rPr>
        <w:t>= RE 601.115 AgR, rel. min. Eros Grau, j. 24-11-2009, 2ª T, DJE de 18-12-2009 A partir da edição da Lei 9.271/1996, que incluiu o § 4º ao art. 370 do CPP, os defensores nomeados, entre os quais se inclui o defensor dativo, passaram também a possuir a prerrogativa da intimação pessoal.</w:t>
      </w:r>
    </w:p>
    <w:p>
      <w:pPr>
        <w:ind w:left="288"/>
      </w:pPr>
      <w:r>
        <w:rPr>
          <w:b/>
          <w:color w:val="003CA0"/>
          <w:sz w:val="16"/>
        </w:rPr>
        <w:t>[HC 89.315, rel. min. Ricardo Lewandowski, j. 19-9-2006, 1ª T, DJ de 13-10-2006.]</w:t>
      </w:r>
    </w:p>
    <w:p>
      <w:pPr>
        <w:ind w:left="288"/>
      </w:pPr>
      <w:r>
        <w:rPr>
          <w:color w:val="8C8C8C"/>
          <w:sz w:val="12"/>
        </w:rPr>
        <w:t>cf-art-5-inc-L-ali-b</w:t>
      </w:r>
      <w:r>
        <w:rPr>
          <w:color w:val="003CA0"/>
          <w:sz w:val="12"/>
        </w:rPr>
        <w:t xml:space="preserve"> | HC 91.567</w:t>
      </w:r>
      <w:r>
        <w:rPr>
          <w:color w:val="003CA0"/>
          <w:sz w:val="12"/>
        </w:rPr>
        <w:t xml:space="preserve"> | rel. Ellen Gracie</w:t>
      </w:r>
    </w:p>
    <w:p>
      <w:pPr>
        <w:ind w:left="288"/>
      </w:pPr>
      <w:r>
        <w:rPr>
          <w:color w:val="1E1E1E"/>
          <w:sz w:val="18"/>
        </w:rPr>
        <w:t>= HC 91.567, rel. min. Ellen Gracie, j. 2-9-2008, 2ª T, DJE de 26-9-2008 Vide HC 102.155, rel. min. Ayres Britto, j. 27-4-2010, 1ª T, DJE de 21-5-2010 Vide RHC 88.512, rel. min. Cezar Peluso, j. 9-3-2010, 2ª T, DJE de 23-4-2010 Vide HC 98.802, rel. min. Joaquim Barbosa, j. 20-10-2009, 2ª T, DJE de 27-11-2009 Ao contrário do que ocorre relativamente às pessoas naturais, não basta a pessoa jurídica asseverar a insuficiência de recursos, devendo comprovar, isto sim, o fato de se encontrar em situação inviabilizadora da assunção dos ônus decorrentes do ingresso em juízo.</w:t>
      </w:r>
    </w:p>
    <w:p>
      <w:pPr>
        <w:ind w:left="288"/>
      </w:pPr>
      <w:r>
        <w:rPr>
          <w:b/>
          <w:color w:val="003CA0"/>
          <w:sz w:val="16"/>
        </w:rPr>
        <w:t>[Rcl 1.905 ED-AgR, rel. min. Marco Aurélio, j. 15-8-2002, P, DJ de 20-9-2002.]</w:t>
      </w:r>
    </w:p>
    <w:p>
      <w:pPr>
        <w:ind w:left="288"/>
      </w:pPr>
      <w:r>
        <w:rPr>
          <w:color w:val="8C8C8C"/>
          <w:sz w:val="12"/>
        </w:rPr>
        <w:t>cf-art-5-inc-L-ali-b</w:t>
      </w:r>
      <w:r>
        <w:rPr>
          <w:color w:val="003CA0"/>
          <w:sz w:val="12"/>
        </w:rPr>
        <w:t xml:space="preserve"> | AI 810.593</w:t>
      </w:r>
      <w:r>
        <w:rPr>
          <w:color w:val="003CA0"/>
          <w:sz w:val="12"/>
        </w:rPr>
        <w:t xml:space="preserve"> | rel. Celso de Mello</w:t>
      </w:r>
    </w:p>
    <w:p>
      <w:pPr>
        <w:ind w:left="288"/>
      </w:pPr>
      <w:r>
        <w:rPr>
          <w:color w:val="1E1E1E"/>
          <w:sz w:val="18"/>
        </w:rPr>
        <w:t>= AI 810.593 AgR-segundo, rel. min. Celso de Mello, j. 20-9-2011, 2ª T, DJE de 4-10-2011 O dever de assistência judiciária pelo Estado não se exaure com o previsto no art. 5º, LXXIV, da Constituição, razão por que o reconhecimento, no caso, da responsabilidade dele pelo pagamento à recorrida, pelo exercício da curadoria especial, a que alude o art. 9º, II, do CPC, não viola o disposto no referido dispositivo constitucional, por não se estar exigindo do Estado mais do que a Carta Magna lhe impõe.</w:t>
      </w:r>
    </w:p>
    <w:p>
      <w:pPr>
        <w:ind w:left="288"/>
      </w:pPr>
      <w:r>
        <w:rPr>
          <w:b/>
          <w:color w:val="003CA0"/>
          <w:sz w:val="16"/>
        </w:rPr>
        <w:t>[RE 223.043, rel. min. Moreira Alves, j. 21-3-2000, 1ª T, DJ de 9-2-2001.]</w:t>
      </w:r>
    </w:p>
    <w:p>
      <w:pPr>
        <w:ind w:left="288"/>
      </w:pPr>
      <w:r>
        <w:rPr>
          <w:color w:val="8C8C8C"/>
          <w:sz w:val="12"/>
        </w:rPr>
        <w:t>cf-art-5-inc-L-ali-b</w:t>
      </w:r>
      <w:r>
        <w:rPr>
          <w:color w:val="003CA0"/>
          <w:sz w:val="12"/>
        </w:rPr>
        <w:t xml:space="preserve"> | RE 205.746</w:t>
      </w:r>
      <w:r>
        <w:rPr>
          <w:color w:val="003CA0"/>
          <w:sz w:val="12"/>
        </w:rPr>
        <w:t xml:space="preserve"> | rel. Carlos Velloso</w:t>
      </w:r>
    </w:p>
    <w:p>
      <w:pPr>
        <w:ind w:left="288"/>
      </w:pPr>
      <w:r>
        <w:rPr>
          <w:color w:val="1E1E1E"/>
          <w:sz w:val="18"/>
        </w:rPr>
        <w:t>A garantia do art. 5º, LXXIV – assistência jurídica integral e gratuita aos que comprovarem insuficiência de recursos –, não revogou a de assistência judiciária gratuita da Lei 1.060, de 1950, aos necessitados, certo que, para obtenção desta, basta a declaração, feita pelo próprio interessado, de que a sua situação econômica não permite vir a juízo sem prejuízo da sua manutenção ou de sua família. Essa norma infraconstitucional põe-se, ademais, dentro do espírito da Constituição, que deseja que seja facilitado o acesso de todos à Justiça (CF, art. 5º, XXXV).</w:t>
      </w:r>
    </w:p>
    <w:p>
      <w:pPr>
        <w:ind w:left="288"/>
      </w:pPr>
      <w:r>
        <w:rPr>
          <w:b/>
          <w:color w:val="003CA0"/>
          <w:sz w:val="16"/>
        </w:rPr>
        <w:t>[RE 205.746, rel. min. Carlos Velloso, j. 26-11-1996, 2ª T, DJ de 28-2-1997.]</w:t>
      </w:r>
    </w:p>
    <w:p>
      <w:pPr>
        <w:ind w:left="288"/>
      </w:pPr>
      <w:r>
        <w:rPr>
          <w:color w:val="8C8C8C"/>
          <w:sz w:val="12"/>
        </w:rPr>
        <w:t>cf-art-5-inc-L-ali-b</w:t>
      </w:r>
      <w:r>
        <w:rPr>
          <w:color w:val="003CA0"/>
          <w:sz w:val="12"/>
        </w:rPr>
        <w:t xml:space="preserve"> | HC 72.328</w:t>
      </w:r>
      <w:r>
        <w:rPr>
          <w:color w:val="003CA0"/>
          <w:sz w:val="12"/>
        </w:rPr>
        <w:t xml:space="preserve"> | rel. Celso de Mello</w:t>
      </w:r>
    </w:p>
    <w:p>
      <w:pPr>
        <w:ind w:left="288"/>
      </w:pPr>
      <w:r>
        <w:rPr>
          <w:color w:val="1E1E1E"/>
          <w:sz w:val="18"/>
        </w:rPr>
        <w:t>A demonstração do estado de miserabilidade pode resultar de quaisquer outros meios probatórios idôneos, além do atestado de pobreza fornecido por autoridade policial competente.</w:t>
      </w:r>
    </w:p>
    <w:p>
      <w:pPr>
        <w:ind w:left="288"/>
      </w:pPr>
      <w:r>
        <w:rPr>
          <w:b/>
          <w:color w:val="003CA0"/>
          <w:sz w:val="16"/>
        </w:rPr>
        <w:t>[HC 72.328, rel. min. Celso de Mello, j. 21-3-1995, 1ª T, DJE de 11-12-2009.)</w:t>
      </w:r>
    </w:p>
    <w:p>
      <w:pPr>
        <w:ind w:left="288"/>
      </w:pPr>
      <w:r>
        <w:rPr>
          <w:color w:val="8C8C8C"/>
          <w:sz w:val="12"/>
        </w:rPr>
        <w:t>cf-art-5-inc-L-ali-b</w:t>
      </w:r>
      <w:r>
        <w:rPr>
          <w:color w:val="003CA0"/>
          <w:sz w:val="12"/>
        </w:rPr>
        <w:t xml:space="preserve"> | HC 67.954</w:t>
      </w:r>
      <w:r>
        <w:rPr>
          <w:color w:val="003CA0"/>
          <w:sz w:val="12"/>
        </w:rPr>
        <w:t xml:space="preserve"> | rel. Paulo Brossard</w:t>
      </w:r>
    </w:p>
    <w:p>
      <w:pPr>
        <w:ind w:left="288"/>
      </w:pPr>
      <w:r>
        <w:rPr>
          <w:color w:val="1E1E1E"/>
          <w:sz w:val="18"/>
        </w:rPr>
        <w:t>Habeas corpus. Revisão criminal. Pedido formulado por advogado integrante de órgão público encarregado da prestação da assistência judiciária gratuita, sem instrumento de mandato outorgado pelo assistido para esse fim. Possibilidade em face da norma do parágrafo único, art. 16 da Lei 1.060/1950 e, hoje, da integralidade da assistência jurídica ao necessitado, consagrada no art. 5º, LXXIV, da CF.</w:t>
      </w:r>
    </w:p>
    <w:p>
      <w:pPr>
        <w:ind w:left="288"/>
      </w:pPr>
      <w:r>
        <w:rPr>
          <w:b/>
          <w:color w:val="003CA0"/>
          <w:sz w:val="16"/>
        </w:rPr>
        <w:t>[HC 67.954, rel. min. Paulo Brossard, j. 24-4-1990, 2ª T, DJ de 9-11-1990.]</w:t>
      </w:r>
    </w:p>
    <w:p>
      <w:pPr>
        <w:ind w:left="288"/>
      </w:pPr>
      <w:r>
        <w:rPr>
          <w:color w:val="8C8C8C"/>
          <w:sz w:val="12"/>
        </w:rPr>
        <w:t>cf-art-5-inc-L-ali-b</w:t>
      </w:r>
      <w:r>
        <w:rPr>
          <w:color w:val="003CA0"/>
          <w:sz w:val="12"/>
        </w:rPr>
        <w:t xml:space="preserve"> | RE 505.393</w:t>
      </w:r>
      <w:r>
        <w:rPr>
          <w:color w:val="003CA0"/>
          <w:sz w:val="12"/>
        </w:rPr>
        <w:t xml:space="preserve"> | rel. Sepúlveda Pertence</w:t>
      </w:r>
    </w:p>
    <w:p>
      <w:pPr>
        <w:ind w:left="288"/>
      </w:pPr>
      <w:r>
        <w:rPr>
          <w:color w:val="1E1E1E"/>
          <w:sz w:val="18"/>
        </w:rPr>
        <w:t>LXXV - o Estado indenizará o condenado por erro judiciário, assim como o que ficar preso além do tempo fixado na sentença; Erro judiciário. Responsabilidade civil objetiva do Estado. Direito à indenização por danos morais decorrentes de condenação desconstituída em revisão criminal e de prisão preventiva. CF, art. 5º, LXXV. CPP, art. 630. O direito à indenização da vítima de erro judiciário e daquela presa além do tempo devido, previsto no art. 5º, LXXV, da Constituição, já era previsto no art. 630 do CPP, com a exceção do caso de ação penal privada e só uma hipótese de exoneração, quando para</w:t>
      </w:r>
    </w:p>
    <w:p>
      <w:pPr>
        <w:ind w:left="288"/>
      </w:pPr>
      <w:r>
        <w:rPr>
          <w:b/>
          <w:color w:val="003CA0"/>
          <w:sz w:val="16"/>
        </w:rPr>
        <w:t>[RE 505.393, rel. min. Sepúlveda Pertence, j. 26-6-2007, 1ª T, DJ de 5-10-2007.]</w:t>
      </w:r>
    </w:p>
    <w:p>
      <w:pPr>
        <w:ind w:left="288"/>
      </w:pPr>
      <w:r>
        <w:rPr>
          <w:color w:val="8C8C8C"/>
          <w:sz w:val="12"/>
        </w:rPr>
        <w:t>cf-art-5-inc-L-ali-b</w:t>
      </w:r>
      <w:r>
        <w:rPr>
          <w:color w:val="003CA0"/>
          <w:sz w:val="12"/>
        </w:rPr>
        <w:t xml:space="preserve"> | HC 73.523</w:t>
      </w:r>
      <w:r>
        <w:rPr>
          <w:color w:val="003CA0"/>
          <w:sz w:val="12"/>
        </w:rPr>
        <w:t xml:space="preserve"> | rel. Octavio Gallotti</w:t>
      </w:r>
    </w:p>
    <w:p>
      <w:pPr>
        <w:ind w:left="288"/>
      </w:pPr>
      <w:r>
        <w:rPr>
          <w:color w:val="1E1E1E"/>
          <w:sz w:val="18"/>
        </w:rPr>
        <w:t>Alegação de erro judiciário que, a despeito de sua reconhecida relevância, não apresenta liquidez suficiente para exame em rito de habeas corpus.</w:t>
      </w:r>
    </w:p>
    <w:p>
      <w:pPr>
        <w:ind w:left="288"/>
      </w:pPr>
      <w:r>
        <w:rPr>
          <w:b/>
          <w:color w:val="003CA0"/>
          <w:sz w:val="16"/>
        </w:rPr>
        <w:t>[HC 73.523, rel. min. Octavio Gallotti, j. 26-3-1996, 1ª T, DJ de 25-10-1996.]</w:t>
      </w:r>
    </w:p>
    <w:p>
      <w:pPr>
        <w:ind w:left="288"/>
      </w:pPr>
      <w:r>
        <w:rPr>
          <w:color w:val="8C8C8C"/>
          <w:sz w:val="12"/>
        </w:rPr>
        <w:t>cf-art-5-inc-L-ali-b</w:t>
      </w:r>
      <w:r>
        <w:rPr>
          <w:color w:val="003CA0"/>
          <w:sz w:val="12"/>
        </w:rPr>
        <w:t xml:space="preserve"> | HC 70.766</w:t>
      </w:r>
      <w:r>
        <w:rPr>
          <w:color w:val="003CA0"/>
          <w:sz w:val="12"/>
        </w:rPr>
        <w:t xml:space="preserve"> | rel. Moreira Alves</w:t>
      </w:r>
    </w:p>
    <w:p>
      <w:pPr>
        <w:ind w:left="288"/>
      </w:pPr>
      <w:r>
        <w:rPr>
          <w:color w:val="1E1E1E"/>
          <w:sz w:val="18"/>
        </w:rPr>
        <w:t>= HC 70.766, rel. min. Moreira Alves, j. 9-11-1993, 1ª T, DJ de 11-3-1994 LXXVI - são gratuitos para os reconhecidamente pobres, na forma da lei: Lei 9.534/1997. Registros públicos. Atos relacionados ao exercício da cidadania. Gratuidade. (...) A atividade desenvolvida pelos titulares das serventias de notas e registros, embora seja análoga à atividade empresarial, sujeita-se a um regime de direito público. Não ofende o princípio da proporcionalidade lei que isenta os "reconhecidamente pobres" do pagamento dos emolumentos devidos pela expedição de registro civil de nascimento e de óbito, bem c</w:t>
      </w:r>
    </w:p>
    <w:p>
      <w:pPr>
        <w:ind w:left="288"/>
      </w:pPr>
      <w:r>
        <w:rPr>
          <w:b/>
          <w:color w:val="003CA0"/>
          <w:sz w:val="16"/>
        </w:rPr>
        <w:t>[ADC 5, rel. min. Ricardo Lewandowski, j. 11-6-2007, P, DJ de 5-10-2007.]</w:t>
      </w:r>
    </w:p>
    <w:p>
      <w:pPr>
        <w:ind w:left="288"/>
      </w:pPr>
      <w:r>
        <w:rPr>
          <w:color w:val="8C8C8C"/>
          <w:sz w:val="12"/>
        </w:rPr>
        <w:t>cf-art-5-inc-L-ali-b</w:t>
      </w:r>
      <w:r>
        <w:rPr>
          <w:color w:val="003CA0"/>
          <w:sz w:val="12"/>
        </w:rPr>
        <w:t xml:space="preserve"> | RE 1.018.911</w:t>
      </w:r>
      <w:r>
        <w:rPr>
          <w:color w:val="003CA0"/>
          <w:sz w:val="12"/>
        </w:rPr>
        <w:t xml:space="preserve"> | rel. Luiz Fux</w:t>
      </w:r>
    </w:p>
    <w:p>
      <w:pPr>
        <w:ind w:left="288"/>
      </w:pPr>
      <w:r>
        <w:rPr>
          <w:color w:val="1E1E1E"/>
          <w:sz w:val="18"/>
        </w:rPr>
        <w:t>É imune ao pagamento de taxas para registro da regularização migratória o estrangeiro que demonstre sua condição de hipossuficiente, nos termos da legislação de regência.</w:t>
      </w:r>
    </w:p>
    <w:p>
      <w:pPr>
        <w:ind w:left="288"/>
      </w:pPr>
      <w:r>
        <w:rPr>
          <w:b/>
          <w:color w:val="003CA0"/>
          <w:sz w:val="16"/>
        </w:rPr>
        <w:t>[RE 1.018.911, rel. min. Luiz Fux, j. 11-11-2021, P, DJE de 2-12-2021, Tema 988, com mérito julgado.]</w:t>
      </w:r>
    </w:p>
    <w:p>
      <w:pPr>
        <w:ind w:left="288"/>
      </w:pPr>
      <w:r>
        <w:rPr>
          <w:color w:val="8C8C8C"/>
          <w:sz w:val="12"/>
        </w:rPr>
        <w:t>cf-art-5-inc-L-ali-b</w:t>
      </w:r>
      <w:r>
        <w:rPr>
          <w:color w:val="003CA0"/>
          <w:sz w:val="12"/>
        </w:rPr>
        <w:t xml:space="preserve"> | ADI 4.825</w:t>
      </w:r>
      <w:r>
        <w:rPr>
          <w:color w:val="003CA0"/>
          <w:sz w:val="12"/>
        </w:rPr>
        <w:t xml:space="preserve"> | rel. Edson Fachin</w:t>
      </w:r>
    </w:p>
    <w:p>
      <w:pPr>
        <w:ind w:left="288"/>
      </w:pPr>
      <w:r>
        <w:rPr>
          <w:color w:val="1E1E1E"/>
          <w:sz w:val="18"/>
        </w:rPr>
        <w:t>LXXVII - são gratuitas as ações de habeas corpus e habeas data, e, na forma da lei, os atos necessários ao exercício da cidadania. O Registro Geral (RG) ou carteira de identidade é um documento público emitido para cidadãos nascidos e registrados no Brasil e para nascidos no exterior, que sejam filhos de brasileiros, servindo para confirmar a identidade da pessoa natural, solicitação de outros documentos e exercício de direitos relacionados à cidadania. A gratuidade da emissão da primeira via da carteira de identidade não desborda da legítima liberdade de conformação normativa do Poder Legisla</w:t>
      </w:r>
    </w:p>
    <w:p>
      <w:pPr>
        <w:ind w:left="288"/>
      </w:pPr>
      <w:r>
        <w:rPr>
          <w:b/>
          <w:color w:val="003CA0"/>
          <w:sz w:val="16"/>
        </w:rPr>
        <w:t>[ADI 4.825, rel. min. Edson Fachin, j. 15-12-2016, 1ª T, DJE de 9-2-2017.]</w:t>
      </w:r>
    </w:p>
    <w:p>
      <w:pPr>
        <w:ind w:left="288"/>
      </w:pPr>
      <w:r>
        <w:rPr>
          <w:color w:val="8C8C8C"/>
          <w:sz w:val="12"/>
        </w:rPr>
        <w:t>cf-art-5-inc-L-ali-b</w:t>
      </w:r>
      <w:r>
        <w:rPr>
          <w:color w:val="003CA0"/>
          <w:sz w:val="12"/>
        </w:rPr>
        <w:t xml:space="preserve"> | ADI 5.737</w:t>
      </w:r>
      <w:r>
        <w:rPr>
          <w:color w:val="003CA0"/>
          <w:sz w:val="12"/>
        </w:rPr>
        <w:t xml:space="preserve"> | rel. Dias Toffoli</w:t>
      </w:r>
    </w:p>
    <w:p>
      <w:pPr>
        <w:ind w:left="288"/>
      </w:pPr>
      <w:r>
        <w:rPr>
          <w:color w:val="1E1E1E"/>
          <w:sz w:val="18"/>
        </w:rPr>
        <w:t>LXXVIII - a todos, no âmbito judicial e administrativo, são assegurados a razoável duração do processo e os meios que garantam a celeridade de sua tramitação. (Incluído pela EC n. 45/2004) Nas hipóteses previstas nos arts. 9º, parágrafo único, inciso II, e 311, parágrafo único, do CPC/2015, o contraditório não foi suprimido, e sim diferido, como ocorre em qualquer provimento liminar. O legislador realizou uma ponderação entre a garantia do contraditório, de um lado, e a garantia de um processo justo e efetivo, de outro, o qual compreende a duração razoável do processo, a celeridade de sua tram</w:t>
      </w:r>
    </w:p>
    <w:p>
      <w:pPr>
        <w:ind w:left="288"/>
      </w:pPr>
      <w:r>
        <w:rPr>
          <w:b/>
          <w:color w:val="003CA0"/>
          <w:sz w:val="16"/>
        </w:rPr>
        <w:t>[ADI 5.737, rel. min. Dias Toffoli, red. do ac. min. Roberto Barroso, j. 25-4-2023, P, DJE de 27-6-2023.]</w:t>
      </w:r>
    </w:p>
    <w:p>
      <w:pPr>
        <w:ind w:left="288"/>
      </w:pPr>
      <w:r>
        <w:rPr>
          <w:color w:val="8C8C8C"/>
          <w:sz w:val="12"/>
        </w:rPr>
        <w:t>cf-art-5-inc-L-ali-b</w:t>
      </w:r>
      <w:r>
        <w:rPr>
          <w:color w:val="003CA0"/>
          <w:sz w:val="12"/>
        </w:rPr>
        <w:t xml:space="preserve"> | ADI 5.941</w:t>
      </w:r>
      <w:r>
        <w:rPr>
          <w:color w:val="003CA0"/>
          <w:sz w:val="12"/>
        </w:rPr>
        <w:t xml:space="preserve"> | rel. Luiz Fux</w:t>
      </w:r>
    </w:p>
    <w:p>
      <w:pPr>
        <w:ind w:left="288"/>
      </w:pPr>
      <w:r>
        <w:rPr>
          <w:color w:val="1E1E1E"/>
          <w:sz w:val="18"/>
        </w:rPr>
        <w:t>Os poderes do juiz no processo (...) incluem “determinar todas as medidas indutivas, coercitivas, mandamentais ou subrogatórias necessárias para assegurar o cumprimento de ordem judicial, inclusive nas ações que tenham por objeto prestação pecuniária” (artigo 139, IV), obedecidos o devido processo legal, a proporcionalidade, a eficiência, e, notadamente, a sistemática positivada no próprio NCPC, cuja leitura deve ser contextualizada e razoável à luz do texto legal. (...) In casu, o argumento da eventual possibilidade teórica de restrição irrazoável da liberdade do cidadão, por meio da aplicaçã</w:t>
      </w:r>
    </w:p>
    <w:p>
      <w:pPr>
        <w:ind w:left="288"/>
      </w:pPr>
      <w:r>
        <w:rPr>
          <w:b/>
          <w:color w:val="003CA0"/>
          <w:sz w:val="16"/>
        </w:rPr>
        <w:t>[ADI 5.941, rel. min. Luiz Fux, j. 9-2-2023, P, DJE de 28-4-2023.]</w:t>
      </w:r>
    </w:p>
    <w:p>
      <w:pPr>
        <w:ind w:left="288"/>
      </w:pPr>
      <w:r>
        <w:rPr>
          <w:color w:val="8C8C8C"/>
          <w:sz w:val="12"/>
        </w:rPr>
        <w:t>cf-art-5-inc-L-ali-b</w:t>
      </w:r>
      <w:r>
        <w:rPr>
          <w:color w:val="003CA0"/>
          <w:sz w:val="12"/>
        </w:rPr>
        <w:t xml:space="preserve"> | ADI 5.507</w:t>
      </w:r>
      <w:r>
        <w:rPr>
          <w:color w:val="003CA0"/>
          <w:sz w:val="12"/>
        </w:rPr>
        <w:t xml:space="preserve"> | rel. Dias Toffoli</w:t>
      </w:r>
    </w:p>
    <w:p>
      <w:pPr>
        <w:ind w:left="288"/>
      </w:pPr>
      <w:r>
        <w:rPr>
          <w:color w:val="1E1E1E"/>
          <w:sz w:val="18"/>
        </w:rPr>
        <w:t>Artigo 2º da Lei nº 13.165/15. Inclusão do art. 96-b na Lei nº 9.504/97 (Lei das eleições). (...) Quanto à expressão na instância em que ele se encontrar, prevista no § 2º do art. 96-B da Lei das Eleições, na hipótese de ajuizamento de ações por autores distintos, há que se determinar, sempre que possível, a reunião dos processos, o que equivaleria a um litisconsórcio ativo facultativo de uma única demanda. 7. Todavia, não se pode desconsiderar o juízo de conveniência e oportunidade a ser realizado pelo próprio julgador, que deverá avaliar se a reunião causará tumulto processual, violação do c</w:t>
      </w:r>
    </w:p>
    <w:p>
      <w:pPr>
        <w:ind w:left="288"/>
      </w:pPr>
      <w:r>
        <w:rPr>
          <w:b/>
          <w:color w:val="003CA0"/>
          <w:sz w:val="16"/>
        </w:rPr>
        <w:t>[ADI 5.507, rel. min. Dias Toffoli, j. 5-9-2022, P, DJE de 3-10-2022.]</w:t>
      </w:r>
    </w:p>
    <w:p>
      <w:pPr>
        <w:ind w:left="288"/>
      </w:pPr>
      <w:r>
        <w:rPr>
          <w:color w:val="8C8C8C"/>
          <w:sz w:val="12"/>
        </w:rPr>
        <w:t>cf-art-5-inc-L-ali-b</w:t>
      </w:r>
      <w:r>
        <w:rPr>
          <w:color w:val="003CA0"/>
          <w:sz w:val="12"/>
        </w:rPr>
        <w:t xml:space="preserve"> | ADI 3.880</w:t>
      </w:r>
      <w:r>
        <w:rPr>
          <w:color w:val="003CA0"/>
          <w:sz w:val="12"/>
        </w:rPr>
        <w:t xml:space="preserve"> | rel. Edson Fachin</w:t>
      </w:r>
    </w:p>
    <w:p>
      <w:pPr>
        <w:ind w:left="288"/>
      </w:pPr>
      <w:r>
        <w:rPr>
          <w:color w:val="1E1E1E"/>
          <w:sz w:val="18"/>
        </w:rPr>
        <w:t>A Lei 11.419/2006 tem o propósito de viabilizar o uso de recursos tecnológicos disponíveis de modo a garantir uma prestação jurisdicional mais célere e eficiente, tal como previsto como direito fundamental no art. 5º, LXXVII, incluído pela Emenda Constitucional 45/2004, a reforma do Judiciário. Na esteira dessa Emenda, a lei 11.419/06 inaugurou a informatização dos processos judiciais, disciplinando os parâmetros de incorporação dessas inovações, a fim de resguardar a segurança e a credibilidade do sistema processual.</w:t>
      </w:r>
    </w:p>
    <w:p>
      <w:pPr>
        <w:ind w:left="288"/>
      </w:pPr>
      <w:r>
        <w:rPr>
          <w:b/>
          <w:color w:val="003CA0"/>
          <w:sz w:val="16"/>
        </w:rPr>
        <w:t>[ADI 3.880, rel. min. Edson Fachin, j. 21-2-2020, P, DJE de 16-11-2020.]</w:t>
      </w:r>
    </w:p>
    <w:p>
      <w:pPr>
        <w:ind w:left="288"/>
      </w:pPr>
      <w:r>
        <w:rPr>
          <w:color w:val="8C8C8C"/>
          <w:sz w:val="12"/>
        </w:rPr>
        <w:t>cf-art-5-inc-L-ali-b</w:t>
      </w:r>
      <w:r>
        <w:rPr>
          <w:color w:val="003CA0"/>
          <w:sz w:val="12"/>
        </w:rPr>
        <w:t xml:space="preserve"> | RE 1.018.911</w:t>
      </w:r>
      <w:r>
        <w:rPr>
          <w:color w:val="003CA0"/>
          <w:sz w:val="12"/>
        </w:rPr>
        <w:t xml:space="preserve"> | rel. Luiz Fux</w:t>
      </w:r>
    </w:p>
    <w:p>
      <w:pPr>
        <w:ind w:left="288"/>
      </w:pPr>
      <w:r>
        <w:rPr>
          <w:color w:val="1E1E1E"/>
          <w:sz w:val="18"/>
        </w:rPr>
        <w:t>É imune ao pagamento de taxas para registro da regularização migratória o estrangeiro que demonstre sua condição de hipossuficiente, nos termos da legislação de regência.</w:t>
      </w:r>
    </w:p>
    <w:p>
      <w:pPr>
        <w:ind w:left="288"/>
      </w:pPr>
      <w:r>
        <w:rPr>
          <w:b/>
          <w:color w:val="003CA0"/>
          <w:sz w:val="16"/>
        </w:rPr>
        <w:t>[RE 1.018.911, rel. min. Luiz Fux, j. 10-11-2021, P, DJE de 2-12-2021, Tema 988, com mérito julgado.]</w:t>
      </w:r>
    </w:p>
    <w:p>
      <w:pPr>
        <w:ind w:left="288"/>
      </w:pPr>
      <w:r>
        <w:rPr>
          <w:color w:val="8C8C8C"/>
          <w:sz w:val="12"/>
        </w:rPr>
        <w:t>cf-art-5-inc-L-ali-b</w:t>
      </w:r>
      <w:r>
        <w:rPr>
          <w:color w:val="003CA0"/>
          <w:sz w:val="12"/>
        </w:rPr>
        <w:t xml:space="preserve"> | RCL 44.398</w:t>
      </w:r>
      <w:r>
        <w:rPr>
          <w:color w:val="003CA0"/>
          <w:sz w:val="12"/>
        </w:rPr>
        <w:t xml:space="preserve"> | rel. Edson Fachin</w:t>
      </w:r>
    </w:p>
    <w:p>
      <w:pPr>
        <w:ind w:left="288"/>
      </w:pPr>
      <w:r>
        <w:rPr>
          <w:color w:val="1E1E1E"/>
          <w:sz w:val="18"/>
        </w:rPr>
        <w:t>O Princípio Constitucional da Duração Razoável do processo, previsto no art. 5º, LXXVII, da Constituição Federal e no art. 8º da Convenção Americana de Direitos Humanos [CADH; Caso Baena Ricardo e outros v. Panamá], aplica-se a qualquer procedimento estatal, com três sentidos distintos. O primeiro é o de garantir à definição da situação jurídica de arguidos perante os procedimentos sancionatórios estatais, evitando a prorrogação do contexto de incerteza. O segundo é o de conferir estabilidade às relações jurídicas dos envolvidos, fundamento do próprio Estado. O terceiro é o de proporcionar con</w:t>
      </w:r>
    </w:p>
    <w:p>
      <w:pPr>
        <w:ind w:left="288"/>
      </w:pPr>
      <w:r>
        <w:rPr>
          <w:b/>
          <w:color w:val="003CA0"/>
          <w:sz w:val="16"/>
        </w:rPr>
        <w:t>[Rcl 44.398 AgR, rel. min. Edson Fachin, red. do ac. min. Gilmar Mendes, j. 5-6-2023, 2ª T, DJE de 29-8-2023.]</w:t>
      </w:r>
    </w:p>
    <w:p>
      <w:pPr>
        <w:ind w:left="288"/>
      </w:pPr>
      <w:r>
        <w:rPr>
          <w:color w:val="8C8C8C"/>
          <w:sz w:val="12"/>
        </w:rPr>
        <w:t>cf-art-5-inc-L-ali-b</w:t>
      </w:r>
      <w:r>
        <w:rPr>
          <w:color w:val="003CA0"/>
          <w:sz w:val="12"/>
        </w:rPr>
        <w:t xml:space="preserve"> | INQ 4.419</w:t>
      </w:r>
      <w:r>
        <w:rPr>
          <w:color w:val="003CA0"/>
          <w:sz w:val="12"/>
        </w:rPr>
        <w:t xml:space="preserve"> | rel. Gilmar Mendes</w:t>
      </w:r>
    </w:p>
    <w:p>
      <w:pPr>
        <w:ind w:left="288"/>
      </w:pPr>
      <w:r>
        <w:rPr>
          <w:color w:val="1E1E1E"/>
          <w:sz w:val="18"/>
        </w:rPr>
        <w:t>Constrangimento ilegal. Art. 231, §4o, do RISTF. Art. 654, §2o, CPP. Colaboração premiada. Necessidade de corroboração mínima das declarações. Falta de suporte fático-probatório para prosseguimento das investigações. Ausência de prazo razoável. Constrangimento manifestamente ilegal. Na forma do art. 231, §4°, “e”, do Regimento Interno do STF (RISTF) e do art. 654, §2o, do CPP, o relator deve determinar o arquivamento do inquérito quando verificar a ausência de indícios mínimos de autoria e materialidade e/ou nos casos em que foram descumpridos os prazos para a instrução. Trata-se de dispositiv</w:t>
      </w:r>
    </w:p>
    <w:p>
      <w:pPr>
        <w:ind w:left="288"/>
      </w:pPr>
      <w:r>
        <w:rPr>
          <w:b/>
          <w:color w:val="003CA0"/>
          <w:sz w:val="16"/>
        </w:rPr>
        <w:t>[INQ 4.419, rel. min. Gilmar Mendes, j. 11-9-2018, 2ª T, DJE de 23-11-2018.]</w:t>
      </w:r>
    </w:p>
    <w:p>
      <w:pPr>
        <w:ind w:left="288"/>
      </w:pPr>
      <w:r>
        <w:rPr>
          <w:color w:val="8C8C8C"/>
          <w:sz w:val="12"/>
        </w:rPr>
        <w:t>cf-art-5-inc-L-ali-b</w:t>
      </w:r>
      <w:r>
        <w:rPr>
          <w:color w:val="003CA0"/>
          <w:sz w:val="12"/>
        </w:rPr>
        <w:t xml:space="preserve"> | AR 1.244</w:t>
      </w:r>
      <w:r>
        <w:rPr>
          <w:color w:val="003CA0"/>
          <w:sz w:val="12"/>
        </w:rPr>
        <w:t xml:space="preserve"> | rel. Cármen Lúcia</w:t>
      </w:r>
    </w:p>
    <w:p>
      <w:pPr>
        <w:ind w:left="288"/>
      </w:pPr>
      <w:r>
        <w:rPr>
          <w:color w:val="1E1E1E"/>
          <w:sz w:val="18"/>
        </w:rPr>
        <w:t>Ressalte-se que a prestação jurisdicional firmou-se como um verdadeiro direito público subjetivo do cidadão na Constituição da República. Assim, o Poder Judiciário não é fonte de justiça segundo suas próprias razões, como se fosse um fim e a sociedade um meio. O Judiciário foi criado pela sociedade para fazer justiça, para que os cidadãos tenham convivência harmoniosa. Portanto, é dever do Judiciário dar a resposta buscada pelo cidadão no prazo razoável. A justiça humana se presta aos vivos e em prol da vida que se julga.</w:t>
      </w:r>
    </w:p>
    <w:p>
      <w:pPr>
        <w:ind w:left="288"/>
      </w:pPr>
      <w:r>
        <w:rPr>
          <w:b/>
          <w:color w:val="003CA0"/>
          <w:sz w:val="16"/>
        </w:rPr>
        <w:t>[AR 1.244 EI, rel. min. Cármen Lúcia, j. 22-9-2016, P, DJE de 30-3-2017.]</w:t>
      </w:r>
    </w:p>
    <w:p>
      <w:pPr>
        <w:ind w:left="288"/>
      </w:pPr>
      <w:r>
        <w:rPr>
          <w:color w:val="8C8C8C"/>
          <w:sz w:val="12"/>
        </w:rPr>
        <w:t>cf-art-5-inc-L-ali-b</w:t>
      </w:r>
      <w:r>
        <w:rPr>
          <w:color w:val="003CA0"/>
          <w:sz w:val="12"/>
        </w:rPr>
        <w:t xml:space="preserve"> | MS 29.270</w:t>
      </w:r>
      <w:r>
        <w:rPr>
          <w:color w:val="003CA0"/>
          <w:sz w:val="12"/>
        </w:rPr>
        <w:t xml:space="preserve"> | rel. Dias Toffoli</w:t>
      </w:r>
    </w:p>
    <w:p>
      <w:pPr>
        <w:ind w:left="288"/>
      </w:pPr>
      <w:r>
        <w:rPr>
          <w:color w:val="1E1E1E"/>
          <w:sz w:val="18"/>
        </w:rPr>
        <w:t>Quando configurada a identidade de objetos, não há violação do contraditório, mas, antes, respeito à duração razoável do processo, na análise conjunta pelo CNJ de pedidos de providência paralelamente instaurados naquele Conselho. Fica dispensada, na hipótese, nova intimação dos interessados, máxime quando suas razões forem apreciadas pelo CNJ e por comissão especialmente instituída no tribunal para o qual for dirigida a ordem do Conselho.</w:t>
      </w:r>
    </w:p>
    <w:p>
      <w:pPr>
        <w:ind w:left="288"/>
      </w:pPr>
      <w:r>
        <w:rPr>
          <w:b/>
          <w:color w:val="003CA0"/>
          <w:sz w:val="16"/>
        </w:rPr>
        <w:t>[MS 29.270 AgR, rel. min. Dias Toffoli, j. 10-4-2014, P, DJE de 2-6-2014.]</w:t>
      </w:r>
    </w:p>
    <w:p>
      <w:pPr>
        <w:ind w:left="288"/>
      </w:pPr>
      <w:r>
        <w:rPr>
          <w:color w:val="8C8C8C"/>
          <w:sz w:val="12"/>
        </w:rPr>
        <w:t>cf-art-5-inc-L-ali-b</w:t>
      </w:r>
      <w:r>
        <w:rPr>
          <w:color w:val="003CA0"/>
          <w:sz w:val="12"/>
        </w:rPr>
        <w:t xml:space="preserve"> | RCL 10.202</w:t>
      </w:r>
    </w:p>
    <w:p>
      <w:pPr>
        <w:ind w:left="288"/>
      </w:pPr>
      <w:r>
        <w:rPr>
          <w:color w:val="1E1E1E"/>
          <w:sz w:val="18"/>
        </w:rPr>
        <w:t>Prazo para a Fazenda Pública opor embargos à execução. (...) Aplicação do prazo ampliado de trinta dias, previsto no art. 730 do CPC, dando-se processamento imediato à petição, em respeito à razoável duração do processo.</w:t>
      </w:r>
    </w:p>
    <w:p>
      <w:pPr>
        <w:ind w:left="288"/>
      </w:pPr>
      <w:r>
        <w:rPr>
          <w:b/>
          <w:color w:val="003CA0"/>
          <w:sz w:val="16"/>
        </w:rPr>
        <w:t>[Rcl 10.202 AgR, red. do ac. min. Dias Toffoli, j. 18-11-2010, P, DJE de 17-5-2011.]</w:t>
      </w:r>
    </w:p>
    <w:p>
      <w:pPr>
        <w:ind w:left="288"/>
      </w:pPr>
      <w:r>
        <w:rPr>
          <w:color w:val="8C8C8C"/>
          <w:sz w:val="12"/>
        </w:rPr>
        <w:t>cf-art-5-inc-L-ali-b</w:t>
      </w:r>
      <w:r>
        <w:rPr>
          <w:color w:val="003CA0"/>
          <w:sz w:val="12"/>
        </w:rPr>
        <w:t xml:space="preserve"> | HC 100.299</w:t>
      </w:r>
      <w:r>
        <w:rPr>
          <w:color w:val="003CA0"/>
          <w:sz w:val="12"/>
        </w:rPr>
        <w:t xml:space="preserve"> | rel. Ricardo Lewandowski</w:t>
      </w:r>
    </w:p>
    <w:p>
      <w:pPr>
        <w:ind w:left="288"/>
      </w:pPr>
      <w:r>
        <w:rPr>
          <w:color w:val="1E1E1E"/>
          <w:sz w:val="18"/>
        </w:rPr>
        <w:t>O excesso de trabalho que assoberba o STJ permite a flexibilização, em alguma medida, da desejável celeridade processual. Instrução processual que se mostra deficiente, inviabilizando a apreciação do pleito. A concessão da ordem para determinar o julgamento do writ na Corte a quo, ademais, poderia redundar na injustiça de se determinar que a impetração manejada em favor do paciente seja colocada em posição privilegiada em relação a de outros jurisdicionados.</w:t>
      </w:r>
    </w:p>
    <w:p>
      <w:pPr>
        <w:ind w:left="288"/>
      </w:pPr>
      <w:r>
        <w:rPr>
          <w:b/>
          <w:color w:val="003CA0"/>
          <w:sz w:val="16"/>
        </w:rPr>
        <w:t>[HC 100.299, rel. min. Ricardo Lewandowski, j. 2-2-2010, 1ª T, DJE de 5-3-2010.]</w:t>
      </w:r>
    </w:p>
    <w:p>
      <w:pPr>
        <w:ind w:left="288"/>
      </w:pPr>
      <w:r>
        <w:rPr>
          <w:color w:val="8C8C8C"/>
          <w:sz w:val="12"/>
        </w:rPr>
        <w:t>cf-art-5-inc-L-ali-b</w:t>
      </w:r>
      <w:r>
        <w:rPr>
          <w:color w:val="003CA0"/>
          <w:sz w:val="12"/>
        </w:rPr>
        <w:t xml:space="preserve"> | HC 102.457</w:t>
      </w:r>
      <w:r>
        <w:rPr>
          <w:color w:val="003CA0"/>
          <w:sz w:val="12"/>
        </w:rPr>
        <w:t xml:space="preserve"> | rel. Celso de Mello</w:t>
      </w:r>
    </w:p>
    <w:p>
      <w:pPr>
        <w:ind w:left="288"/>
      </w:pPr>
      <w:r>
        <w:rPr>
          <w:color w:val="1E1E1E"/>
          <w:sz w:val="18"/>
        </w:rPr>
        <w:t>= HC 102.457, rel. min. Celso de Mello, j. 3-8-2010, 2ª T, DJE de 1º-8-2013 = HC 96.504, rel. min. Cármen Lúcia, j. 30-6-2009, 1ª T, DJE de 23-10-2009 = HC 91.041, red. do ac. min. Ayres Britto, j. 5-6-2007, 1ª T, DJ de 17-8-2007 Vide HC 91.408, rel. min. Eros Grau, j. 14-8-2007, 2ª T, DJ de 26-10-2007 Extrapola o limite do razoável o não julgamento de recurso de apelação interposto há quase dois anos e meio. Impõe-se rever o entendimento de que o excesso de prazo deve ser computado somente até a prolação da sentença, quando há a formação da culpa. Há de se impor, também, tempo razoável para o</w:t>
      </w:r>
    </w:p>
    <w:p>
      <w:pPr>
        <w:ind w:left="288"/>
      </w:pPr>
      <w:r>
        <w:rPr>
          <w:b/>
          <w:color w:val="003CA0"/>
          <w:sz w:val="16"/>
        </w:rPr>
        <w:t>[HC 99.425, rel. min. Eros Grau, j. 15-12-2009, 2ª T, DJE de 16-4-2010.]</w:t>
      </w:r>
    </w:p>
    <w:p>
      <w:pPr>
        <w:ind w:left="288"/>
      </w:pPr>
      <w:r>
        <w:rPr>
          <w:color w:val="8C8C8C"/>
          <w:sz w:val="12"/>
        </w:rPr>
        <w:t>cf-art-5-inc-L-ali-b</w:t>
      </w:r>
      <w:r>
        <w:rPr>
          <w:color w:val="003CA0"/>
          <w:sz w:val="12"/>
        </w:rPr>
        <w:t xml:space="preserve"> | HC 96.665</w:t>
      </w:r>
      <w:r>
        <w:rPr>
          <w:color w:val="003CA0"/>
          <w:sz w:val="12"/>
        </w:rPr>
        <w:t xml:space="preserve"> | rel. Joaquim Barbosa</w:t>
      </w:r>
    </w:p>
    <w:p>
      <w:pPr>
        <w:ind w:left="288"/>
      </w:pPr>
      <w:r>
        <w:rPr>
          <w:color w:val="1E1E1E"/>
          <w:sz w:val="18"/>
        </w:rPr>
        <w:t>= HC 96.665, rel. min. Joaquim Barbosa, j. 1º-2-2011, 2ª T, DJE de 16-3-2011 A mera expectativa de que a instrução criminal possa encerrar-se em data próxima não supera a alegação de excesso de prazo, quando não há previsão concreta de julgamento.</w:t>
      </w:r>
    </w:p>
    <w:p>
      <w:pPr>
        <w:ind w:left="288"/>
      </w:pPr>
      <w:r>
        <w:rPr>
          <w:b/>
          <w:color w:val="003CA0"/>
          <w:sz w:val="16"/>
        </w:rPr>
        <w:t>[HC 100.111, rel. min. Cezar Peluso, j. 17-11-2009, 2ª T, DJE de 18-12-2009.]</w:t>
      </w:r>
    </w:p>
    <w:p>
      <w:pPr>
        <w:ind w:left="288"/>
      </w:pPr>
      <w:r>
        <w:rPr>
          <w:color w:val="8C8C8C"/>
          <w:sz w:val="12"/>
        </w:rPr>
        <w:t>cf-art-5-inc-L-ali-b</w:t>
      </w:r>
      <w:r>
        <w:rPr>
          <w:color w:val="003CA0"/>
          <w:sz w:val="12"/>
        </w:rPr>
        <w:t xml:space="preserve"> | HC 100.574</w:t>
      </w:r>
      <w:r>
        <w:rPr>
          <w:color w:val="003CA0"/>
          <w:sz w:val="12"/>
        </w:rPr>
        <w:t xml:space="preserve"> | rel. Celso de Mello</w:t>
      </w:r>
    </w:p>
    <w:p>
      <w:pPr>
        <w:ind w:left="288"/>
      </w:pPr>
      <w:r>
        <w:rPr>
          <w:color w:val="1E1E1E"/>
          <w:sz w:val="18"/>
        </w:rPr>
        <w:t>O excesso de prazo, mesmo tratando-se de delito hediondo (ou a este equiparado), não pode ser tolerado, impondo-se, ao Poder Judiciário, em obséquio aos princípios consagrados na Constituição da República, a imediata revogação da prisão cautelar do indiciado ou do réu.</w:t>
      </w:r>
    </w:p>
    <w:p>
      <w:pPr>
        <w:ind w:left="288"/>
      </w:pPr>
      <w:r>
        <w:rPr>
          <w:b/>
          <w:color w:val="003CA0"/>
          <w:sz w:val="16"/>
        </w:rPr>
        <w:t>[HC 100.574, rel. min. Celso de Mello, j. 10-11-2009, 2ª T,  DJE de 9-4-2010.]</w:t>
      </w:r>
    </w:p>
    <w:p>
      <w:pPr>
        <w:ind w:left="288"/>
      </w:pPr>
      <w:r>
        <w:rPr>
          <w:color w:val="8C8C8C"/>
          <w:sz w:val="12"/>
        </w:rPr>
        <w:t>cf-art-5-inc-L-ali-b</w:t>
      </w:r>
      <w:r>
        <w:rPr>
          <w:color w:val="003CA0"/>
          <w:sz w:val="12"/>
        </w:rPr>
        <w:t xml:space="preserve"> | HC 98.163</w:t>
      </w:r>
      <w:r>
        <w:rPr>
          <w:color w:val="003CA0"/>
          <w:sz w:val="12"/>
        </w:rPr>
        <w:t xml:space="preserve"> | rel. Ellen Gracie</w:t>
      </w:r>
    </w:p>
    <w:p>
      <w:pPr>
        <w:ind w:left="288"/>
      </w:pPr>
      <w:r>
        <w:rPr>
          <w:color w:val="1E1E1E"/>
          <w:sz w:val="18"/>
        </w:rPr>
        <w:t>Como regra, desde que devidamente fundamentada e com base no parâmetro da razoabilidade, é possível a prorrogação dos prazos processuais para o término da instrução criminal de caráter complexo.</w:t>
      </w:r>
    </w:p>
    <w:p>
      <w:pPr>
        <w:ind w:left="288"/>
      </w:pPr>
      <w:r>
        <w:rPr>
          <w:b/>
          <w:color w:val="003CA0"/>
          <w:sz w:val="16"/>
        </w:rPr>
        <w:t>[HC 98.163, rel. min. Ellen Gracie, j. 6-10-2009, 2ª T, DJE de 29-10-2009.]</w:t>
      </w:r>
    </w:p>
    <w:p>
      <w:pPr>
        <w:ind w:left="288"/>
      </w:pPr>
      <w:r>
        <w:rPr>
          <w:color w:val="8C8C8C"/>
          <w:sz w:val="12"/>
        </w:rPr>
        <w:t>cf-art-5-inc-L-ali-b</w:t>
      </w:r>
      <w:r>
        <w:rPr>
          <w:color w:val="003CA0"/>
          <w:sz w:val="12"/>
        </w:rPr>
        <w:t xml:space="preserve"> | AP 470</w:t>
      </w:r>
      <w:r>
        <w:rPr>
          <w:color w:val="003CA0"/>
          <w:sz w:val="12"/>
        </w:rPr>
        <w:t xml:space="preserve"> | rel. Joaquim Barbosa</w:t>
      </w:r>
    </w:p>
    <w:p>
      <w:pPr>
        <w:ind w:left="288"/>
      </w:pPr>
      <w:r>
        <w:rPr>
          <w:color w:val="1E1E1E"/>
          <w:sz w:val="18"/>
        </w:rPr>
        <w:t>A expedição de cartas rogatórias para oitiva de testemunhas residentes no exterior condiciona-se à demonstração da imprescindibilidade da diligência (...). A norma que impõe à parte no processo penal a obrigatoriedade de demonstrar a imprescindibilidade da oitiva da testemunha por ela arrolada, e que vive no exterior, guarda perfeita harmonia com o inciso LXXVIII do art. 5º da CF.</w:t>
      </w:r>
    </w:p>
    <w:p>
      <w:pPr>
        <w:ind w:left="288"/>
      </w:pPr>
      <w:r>
        <w:rPr>
          <w:b/>
          <w:color w:val="003CA0"/>
          <w:sz w:val="16"/>
        </w:rPr>
        <w:t>[AP 470 QO-quarta, rel. min. Joaquim Barbosa, j. 10-6-2009, P, DJE de 2-10-2009.]</w:t>
      </w:r>
    </w:p>
    <w:p>
      <w:pPr>
        <w:ind w:left="288"/>
      </w:pPr>
      <w:r>
        <w:rPr>
          <w:color w:val="8C8C8C"/>
          <w:sz w:val="12"/>
        </w:rPr>
        <w:t>cf-art-5-inc-L-ali-b</w:t>
      </w:r>
      <w:r>
        <w:rPr>
          <w:color w:val="003CA0"/>
          <w:sz w:val="12"/>
        </w:rPr>
        <w:t xml:space="preserve"> | AP 477</w:t>
      </w:r>
      <w:r>
        <w:rPr>
          <w:color w:val="003CA0"/>
          <w:sz w:val="12"/>
        </w:rPr>
        <w:t xml:space="preserve"> | rel. Ricardo Lewandowski</w:t>
      </w:r>
    </w:p>
    <w:p>
      <w:pPr>
        <w:ind w:left="288"/>
      </w:pPr>
      <w:r>
        <w:rPr>
          <w:color w:val="1E1E1E"/>
          <w:sz w:val="18"/>
        </w:rPr>
        <w:t>= AP 477 AgR, rel. min. Ricardo Lewandowski, j. 7-10-2010, P, DJE de 25-10-2010 A interpretação da Constituição não é para ser procedida à margem da realidade, sem que se a compreenda como elemento da norma resultante da interpretação. A práxis social é, nesse sentido, elemento da norma, de modo que interpretações corretas são incompatíveis com teorizações nutridas em idealismo que não a tome, a práxis, como seu fundamento. Ao interpretá-la, a Constituição, o intérprete há de tomar como objeto de compreensão também a realidade em cujo contexto dá-se a interpretação, no momento histórico em que</w:t>
      </w:r>
    </w:p>
    <w:p>
      <w:pPr>
        <w:ind w:left="288"/>
      </w:pPr>
      <w:r>
        <w:rPr>
          <w:b/>
          <w:color w:val="003CA0"/>
          <w:sz w:val="16"/>
        </w:rPr>
        <w:t>[RE 433.512, rel. min. Eros Grau, j. 26-5-2009, 2ª T, DJE de 7-8-2009.]</w:t>
      </w:r>
    </w:p>
    <w:p>
      <w:pPr>
        <w:ind w:left="288"/>
      </w:pPr>
      <w:r>
        <w:rPr>
          <w:color w:val="8C8C8C"/>
          <w:sz w:val="12"/>
        </w:rPr>
        <w:t>cf-art-5-inc-L-ali-b</w:t>
      </w:r>
      <w:r>
        <w:rPr>
          <w:color w:val="003CA0"/>
          <w:sz w:val="12"/>
        </w:rPr>
        <w:t xml:space="preserve"> | ADC 11</w:t>
      </w:r>
      <w:r>
        <w:rPr>
          <w:color w:val="003CA0"/>
          <w:sz w:val="12"/>
        </w:rPr>
        <w:t xml:space="preserve"> | rel. Cármen Lúcia</w:t>
      </w:r>
    </w:p>
    <w:p>
      <w:pPr>
        <w:ind w:left="288"/>
      </w:pPr>
      <w:r>
        <w:rPr>
          <w:color w:val="1E1E1E"/>
          <w:sz w:val="18"/>
        </w:rPr>
        <w:t>A decisão que deixa de receber embargos à execução trabalhista opostos no prazo legal, afastando a aplicação do art. 1º-B da Lei 9.494/1997, descumpre a decisão proferida na ADC 11 MC/DF. A prestação jurisdicional é uma das formas de se concretizar o princípio da dignidade humana, o que torna imprescindível seja ela realizada de forma célere, plena e eficaz. Não é razoável que, diante das peculiaridades do caso e da idade avançada da exequente, se determine suspensão da execução trabalhista e se imponha à parte que aguarde o julgamento definitivo da ação apontada como paradigma nesta reclamaçã</w:t>
      </w:r>
    </w:p>
    <w:p>
      <w:pPr>
        <w:ind w:left="288"/>
      </w:pPr>
      <w:r>
        <w:rPr>
          <w:b/>
          <w:color w:val="003CA0"/>
          <w:sz w:val="16"/>
        </w:rPr>
        <w:t>[Rcl 5.758, rel. min. Cármen Lúcia, j. 13-5-2009, P, DJE de 7-8-2009.]</w:t>
      </w:r>
    </w:p>
    <w:p>
      <w:pPr>
        <w:ind w:left="288"/>
      </w:pPr>
      <w:r>
        <w:rPr>
          <w:color w:val="8C8C8C"/>
          <w:sz w:val="12"/>
        </w:rPr>
        <w:t>cf-art-5-inc-L-ali-b</w:t>
      </w:r>
      <w:r>
        <w:rPr>
          <w:color w:val="003CA0"/>
          <w:sz w:val="12"/>
        </w:rPr>
        <w:t xml:space="preserve"> | RCL 15.880</w:t>
      </w:r>
      <w:r>
        <w:rPr>
          <w:color w:val="003CA0"/>
          <w:sz w:val="12"/>
        </w:rPr>
        <w:t xml:space="preserve"> | rel. Teori Zavascki</w:t>
      </w:r>
    </w:p>
    <w:p>
      <w:pPr>
        <w:ind w:left="288"/>
      </w:pPr>
      <w:r>
        <w:rPr>
          <w:color w:val="1E1E1E"/>
          <w:sz w:val="18"/>
        </w:rPr>
        <w:t>= Rcl 15.880 AgR, rel. min. Teori Zavascki, j. 17-10-2013, P, DJE de 8-11-2013 (...) o excesso de prazo não resulta de simples operação aritmética. Complexidade do processo, retardamento justificado, atos procrastinatórios da defesa e número de réus envolvidos são fatores que, analisados em conjunto ou separadamente, indicam ser, ou não, razoável o prazo para o encerramento da instrução criminal.</w:t>
      </w:r>
    </w:p>
    <w:p>
      <w:pPr>
        <w:ind w:left="288"/>
      </w:pPr>
      <w:r>
        <w:rPr>
          <w:b/>
          <w:color w:val="003CA0"/>
          <w:sz w:val="16"/>
        </w:rPr>
        <w:t>[HC 97.461, rel. min. Eros Grau, j. 12-5-2009, 2ª T, DJE de 1º-7-2009.]</w:t>
      </w:r>
    </w:p>
    <w:p>
      <w:pPr>
        <w:ind w:left="288"/>
      </w:pPr>
      <w:r>
        <w:rPr>
          <w:color w:val="8C8C8C"/>
          <w:sz w:val="12"/>
        </w:rPr>
        <w:t>cf-art-5-inc-L-ali-b</w:t>
      </w:r>
      <w:r>
        <w:rPr>
          <w:color w:val="003CA0"/>
          <w:sz w:val="12"/>
        </w:rPr>
        <w:t xml:space="preserve"> | HC 96.511</w:t>
      </w:r>
      <w:r>
        <w:rPr>
          <w:color w:val="003CA0"/>
          <w:sz w:val="12"/>
        </w:rPr>
        <w:t xml:space="preserve"> | rel. Menezes Direito</w:t>
      </w:r>
    </w:p>
    <w:p>
      <w:pPr>
        <w:ind w:left="288"/>
      </w:pPr>
      <w:r>
        <w:rPr>
          <w:color w:val="1E1E1E"/>
          <w:sz w:val="18"/>
        </w:rPr>
        <w:t>Há comprovação nos autos de que a marcha processual ainda continua em razão de diligências requeridas pelo próprio paciente, que atua em defesa própria, não configurando, portanto, constrangimento ilegal flagrante decorrente do alegado excesso de prazo para o encerramento da instrução criminal.</w:t>
      </w:r>
    </w:p>
    <w:p>
      <w:pPr>
        <w:ind w:left="288"/>
      </w:pPr>
      <w:r>
        <w:rPr>
          <w:b/>
          <w:color w:val="003CA0"/>
          <w:sz w:val="16"/>
        </w:rPr>
        <w:t>[HC 96.511, rel. min. Menezes Direito, j. 28-4-2009, 1ª T, DJE de 29-5-2009.]</w:t>
      </w:r>
    </w:p>
    <w:p>
      <w:pPr>
        <w:ind w:left="288"/>
      </w:pPr>
      <w:r>
        <w:rPr>
          <w:color w:val="8C8C8C"/>
          <w:sz w:val="12"/>
        </w:rPr>
        <w:t>cf-art-5-inc-L-ali-b</w:t>
      </w:r>
      <w:r>
        <w:rPr>
          <w:color w:val="003CA0"/>
          <w:sz w:val="12"/>
        </w:rPr>
        <w:t xml:space="preserve"> | HC 102.449</w:t>
      </w:r>
      <w:r>
        <w:rPr>
          <w:color w:val="003CA0"/>
          <w:sz w:val="12"/>
        </w:rPr>
        <w:t xml:space="preserve"> | rel. Joaquim Barbosa</w:t>
      </w:r>
    </w:p>
    <w:p>
      <w:pPr>
        <w:ind w:left="288"/>
      </w:pPr>
      <w:r>
        <w:rPr>
          <w:color w:val="1E1E1E"/>
          <w:sz w:val="18"/>
        </w:rPr>
        <w:t>= HC 102.449, rel. min. Joaquim Barbosa, j. 21-9-2010, 2ª T, DJE de 22-10-2010 A prioridade de tramitação nos casos em que figurem como parte os maiores de sessenta anos abrange todas as instâncias recursais (art. 71 da Lei 10.741/2003). Não há razão para falar-se na impetração de mandado de segurança visando à concessão do benefício, bastando o requerimento com prova de sua idade, nos próprios autos em que se pretende a prioridade de tramitação (art. 71, § 1º, da Lei 10.741/2003).</w:t>
      </w:r>
    </w:p>
    <w:p>
      <w:pPr>
        <w:ind w:left="288"/>
      </w:pPr>
      <w:r>
        <w:rPr>
          <w:b/>
          <w:color w:val="003CA0"/>
          <w:sz w:val="16"/>
        </w:rPr>
        <w:t>[MS 26.946 AgR, rel. min. Eros Grau, j. 8-10-2008, P, DJE de 14-11-2008.]</w:t>
      </w:r>
    </w:p>
    <w:p>
      <w:pPr>
        <w:ind w:left="288"/>
      </w:pPr>
      <w:r>
        <w:rPr>
          <w:color w:val="8C8C8C"/>
          <w:sz w:val="12"/>
        </w:rPr>
        <w:t>cf-art-5-inc-L-ali-b</w:t>
      </w:r>
      <w:r>
        <w:rPr>
          <w:color w:val="003CA0"/>
          <w:sz w:val="12"/>
        </w:rPr>
        <w:t xml:space="preserve"> | HC 95.045</w:t>
      </w:r>
      <w:r>
        <w:rPr>
          <w:color w:val="003CA0"/>
          <w:sz w:val="12"/>
        </w:rPr>
        <w:t xml:space="preserve"> | rel. Ellen Gracie</w:t>
      </w:r>
    </w:p>
    <w:p>
      <w:pPr>
        <w:ind w:left="288"/>
      </w:pPr>
      <w:r>
        <w:rPr>
          <w:color w:val="1E1E1E"/>
          <w:sz w:val="18"/>
        </w:rPr>
        <w:t>A razoável duração do processo (...), logicamente, deve ser harmonizada com outros princípios e valores constitucionalmente adotados no direito brasileiro, não podendo ser considerada de maneira isolada e descontextualizada do caso relacionado à lide penal que se instaurou a partir da prática dos ilícitos. A jurisprudência desta Corte é uniforme ao considerar que o encerramento da instrução criminal torna prejudicada a alegação de excesso de prazo (...).</w:t>
      </w:r>
    </w:p>
    <w:p>
      <w:pPr>
        <w:ind w:left="288"/>
      </w:pPr>
      <w:r>
        <w:rPr>
          <w:b/>
          <w:color w:val="003CA0"/>
          <w:sz w:val="16"/>
        </w:rPr>
        <w:t>[HC 95.045, rel. min. Ellen Gracie, j. 9-9-2008, 2ª T, DJE de 26-9-2008.]</w:t>
      </w:r>
    </w:p>
    <w:p>
      <w:pPr>
        <w:ind w:left="288"/>
      </w:pPr>
      <w:r>
        <w:rPr>
          <w:color w:val="8C8C8C"/>
          <w:sz w:val="12"/>
        </w:rPr>
        <w:t>cf-art-5-inc-L-ali-b</w:t>
      </w:r>
      <w:r>
        <w:rPr>
          <w:color w:val="003CA0"/>
          <w:sz w:val="12"/>
        </w:rPr>
        <w:t xml:space="preserve"> | RHC 98.731</w:t>
      </w:r>
      <w:r>
        <w:rPr>
          <w:color w:val="003CA0"/>
          <w:sz w:val="12"/>
        </w:rPr>
        <w:t xml:space="preserve"> | rel. Cármen Lúcia</w:t>
      </w:r>
    </w:p>
    <w:p>
      <w:pPr>
        <w:ind w:left="288"/>
      </w:pPr>
      <w:r>
        <w:rPr>
          <w:color w:val="1E1E1E"/>
          <w:sz w:val="18"/>
        </w:rPr>
        <w:t>= RHC 98.731, rel. min. Cármen Lúcia, j. 2-12-2010, 1ª T, DJE de 1º-2-2011 Vide HC 98.621, rel. min. Ricardo Lewandowski, j. 23-3-2010, 1ª T, DJE de 23-4-2010 O direito de petição e o acesso ao Poder Judiciário para reparar lesão ou ameaça a direito são garantias previstas na CF. Contudo, o exercício abusivo desses direitos acaba por atrapalhar o bom andamento de ações que deveriam ser ininterruptas e mais céleres possíveis, justamente para garantir ao jurisdicionado a efetiva prestação da tutela pretendida.</w:t>
      </w:r>
    </w:p>
    <w:p>
      <w:pPr>
        <w:ind w:left="288"/>
      </w:pPr>
      <w:r>
        <w:rPr>
          <w:b/>
          <w:color w:val="003CA0"/>
          <w:sz w:val="16"/>
        </w:rPr>
        <w:t>[HC 94.170, rel. min. Menezes Direito, j. 10-6-2008, 1ª T, DJE de 8-8-2008.]</w:t>
      </w:r>
    </w:p>
    <w:p>
      <w:pPr>
        <w:ind w:left="288"/>
      </w:pPr>
      <w:r>
        <w:rPr>
          <w:color w:val="8C8C8C"/>
          <w:sz w:val="12"/>
        </w:rPr>
        <w:t>cf-art-5-inc-L-ali-b</w:t>
      </w:r>
      <w:r>
        <w:rPr>
          <w:color w:val="003CA0"/>
          <w:sz w:val="12"/>
        </w:rPr>
        <w:t xml:space="preserve"> | HC 94.421</w:t>
      </w:r>
      <w:r>
        <w:rPr>
          <w:color w:val="003CA0"/>
          <w:sz w:val="12"/>
        </w:rPr>
        <w:t xml:space="preserve"> | rel. Cármen Lúcia</w:t>
      </w:r>
    </w:p>
    <w:p>
      <w:pPr>
        <w:ind w:left="288"/>
      </w:pPr>
      <w:r>
        <w:rPr>
          <w:color w:val="1E1E1E"/>
          <w:sz w:val="18"/>
        </w:rPr>
        <w:t>Se a alegação de excesso de prazo da prisão não foi submetida às instâncias antecedentes, não cabe ao Supremo Tribunal dela conhecer originariamente, sob pena de supressão de instância.</w:t>
      </w:r>
    </w:p>
    <w:p>
      <w:pPr>
        <w:ind w:left="288"/>
      </w:pPr>
      <w:r>
        <w:rPr>
          <w:b/>
          <w:color w:val="003CA0"/>
          <w:sz w:val="16"/>
        </w:rPr>
        <w:t>[HC 94.421, rel. min. Cármen Lúcia, j. 3-6-2008, 1ª T, DJE de 31-10-2008.]</w:t>
      </w:r>
    </w:p>
    <w:p>
      <w:pPr>
        <w:ind w:left="288"/>
      </w:pPr>
      <w:r>
        <w:rPr>
          <w:color w:val="8C8C8C"/>
          <w:sz w:val="12"/>
        </w:rPr>
        <w:t>cf-art-5-inc-L-ali-b</w:t>
      </w:r>
      <w:r>
        <w:rPr>
          <w:color w:val="003CA0"/>
          <w:sz w:val="12"/>
        </w:rPr>
        <w:t xml:space="preserve"> | HC 97.072</w:t>
      </w:r>
      <w:r>
        <w:rPr>
          <w:color w:val="003CA0"/>
          <w:sz w:val="12"/>
        </w:rPr>
        <w:t xml:space="preserve"> | rel. Eros Grau</w:t>
      </w:r>
    </w:p>
    <w:p>
      <w:pPr>
        <w:ind w:left="288"/>
      </w:pPr>
      <w:r>
        <w:rPr>
          <w:color w:val="1E1E1E"/>
          <w:sz w:val="18"/>
        </w:rPr>
        <w:t>= HC 97.072 AgR, rel. min. Eros Grau, j. 3-3-2009, 2ª T, DJE de 14-8-2009 (...) a elaboração de uma petição de recurso extraordinário com a apresentação da repercussão geral da matéria constitucional suscitada em um tópico destacado torna mais célere a prestação jurisdicional almejada, otimizando a administração da Justiça (...).</w:t>
      </w:r>
    </w:p>
    <w:p>
      <w:pPr>
        <w:ind w:left="288"/>
      </w:pPr>
      <w:r>
        <w:rPr>
          <w:b/>
          <w:color w:val="003CA0"/>
          <w:sz w:val="16"/>
        </w:rPr>
        <w:t>[RE 569.476 AgR, voto da min. Ellen Gracie, j. 2-4-2008, P, DJE de 25-4-2008.]</w:t>
      </w:r>
    </w:p>
    <w:p>
      <w:pPr>
        <w:ind w:left="288"/>
      </w:pPr>
      <w:r>
        <w:rPr>
          <w:color w:val="8C8C8C"/>
          <w:sz w:val="12"/>
        </w:rPr>
        <w:t>cf-art-5-inc-L-ali-b</w:t>
      </w:r>
      <w:r>
        <w:rPr>
          <w:color w:val="003CA0"/>
          <w:sz w:val="12"/>
        </w:rPr>
        <w:t xml:space="preserve"> | HC 93.302</w:t>
      </w:r>
      <w:r>
        <w:rPr>
          <w:color w:val="003CA0"/>
          <w:sz w:val="12"/>
        </w:rPr>
        <w:t xml:space="preserve"> | rel. Cármen Lúcia</w:t>
      </w:r>
    </w:p>
    <w:p>
      <w:pPr>
        <w:ind w:left="288"/>
      </w:pPr>
      <w:r>
        <w:rPr>
          <w:color w:val="1E1E1E"/>
          <w:sz w:val="18"/>
        </w:rPr>
        <w:t>A superveniência da sentença condenatória – novo título de prisão – prejudica a questão referente ao excesso de prazo da prisão.</w:t>
      </w:r>
    </w:p>
    <w:p>
      <w:pPr>
        <w:ind w:left="288"/>
      </w:pPr>
      <w:r>
        <w:rPr>
          <w:b/>
          <w:color w:val="003CA0"/>
          <w:sz w:val="16"/>
        </w:rPr>
        <w:t>[HC 93.302, rel. min. Cármen Lúcia, j. 25-3-2008, 1ª T, DJE de 9-5-2008.]</w:t>
      </w:r>
    </w:p>
    <w:p>
      <w:pPr>
        <w:ind w:left="288"/>
      </w:pPr>
      <w:r>
        <w:rPr>
          <w:color w:val="8C8C8C"/>
          <w:sz w:val="12"/>
        </w:rPr>
        <w:t>cf-art-5-inc-L-ali-b</w:t>
      </w:r>
      <w:r>
        <w:rPr>
          <w:color w:val="003CA0"/>
          <w:sz w:val="12"/>
        </w:rPr>
        <w:t xml:space="preserve"> | HC 97.013</w:t>
      </w:r>
      <w:r>
        <w:rPr>
          <w:color w:val="003CA0"/>
          <w:sz w:val="12"/>
        </w:rPr>
        <w:t xml:space="preserve"> | rel. Marco Aurélio</w:t>
      </w:r>
    </w:p>
    <w:p>
      <w:pPr>
        <w:ind w:left="288"/>
      </w:pPr>
      <w:r>
        <w:rPr>
          <w:color w:val="1E1E1E"/>
          <w:sz w:val="18"/>
        </w:rPr>
        <w:t>= HC 97.013, rel. min. Marco Aurélio, red. do ac. min. Dias Toffoli, j. 28-9-2010, 1ª T, DJE de 15-2-2011 Não caracteriza constrangimento ilegal o excesso de prazo que não decorra de inércia ou desídia do Poder Judiciário.</w:t>
      </w:r>
    </w:p>
    <w:p>
      <w:pPr>
        <w:ind w:left="288"/>
      </w:pPr>
      <w:r>
        <w:rPr>
          <w:b/>
          <w:color w:val="003CA0"/>
          <w:sz w:val="16"/>
        </w:rPr>
        <w:t>[HC 91.480, rel. min. Cezar Peluso, j. 25-9-2007, 2ª T, DJ de 30-11-2007.]</w:t>
      </w:r>
    </w:p>
    <w:p>
      <w:pPr>
        <w:ind w:left="288"/>
      </w:pPr>
      <w:r>
        <w:rPr>
          <w:color w:val="8C8C8C"/>
          <w:sz w:val="12"/>
        </w:rPr>
        <w:t>cf-art-5-inc-L-ali-b</w:t>
      </w:r>
      <w:r>
        <w:rPr>
          <w:color w:val="003CA0"/>
          <w:sz w:val="12"/>
        </w:rPr>
        <w:t xml:space="preserve"> | HC 103.302</w:t>
      </w:r>
      <w:r>
        <w:rPr>
          <w:color w:val="003CA0"/>
          <w:sz w:val="12"/>
        </w:rPr>
        <w:t xml:space="preserve"> | rel. Ricardo Lewandowski</w:t>
      </w:r>
    </w:p>
    <w:p>
      <w:pPr>
        <w:ind w:left="288"/>
      </w:pPr>
      <w:r>
        <w:rPr>
          <w:color w:val="1E1E1E"/>
          <w:sz w:val="18"/>
        </w:rPr>
        <w:t>= HC 103.302, rel. min. Ricardo Lewandowski, j. 1º-6-2010, 1ª T, DJE de 25-6-2010 A Constituição do Brasil determina que "a todos, no âmbito judicial e administrativo, são assegurados a razoável duração do processo e os meios que garantam a celeridade de sua tramitação" (Constituição do Brasil, art. 5º, LXXVIII). A realidade pública e notória enfrentada pelo STJ e por esta Corte, marcada pela excessiva carga de processos, impede a plena realização da garantia constitucional do julgamento célere. Ordem denegada, mas com a recomendação, e não com a determinação, de que o STJ dê preferência aos j</w:t>
      </w:r>
    </w:p>
    <w:p>
      <w:pPr>
        <w:ind w:left="288"/>
      </w:pPr>
      <w:r>
        <w:rPr>
          <w:b/>
          <w:color w:val="003CA0"/>
          <w:sz w:val="16"/>
        </w:rPr>
        <w:t>[HC 91.408, rel. min. Eros Grau, j. 14-8-2007, 2ª T, DJ de 26-10-2007.]</w:t>
      </w:r>
    </w:p>
    <w:p>
      <w:pPr>
        <w:ind w:left="288"/>
      </w:pPr>
      <w:r>
        <w:rPr>
          <w:color w:val="8C8C8C"/>
          <w:sz w:val="12"/>
        </w:rPr>
        <w:t>cf-art-5-inc-L-ali-b</w:t>
      </w:r>
      <w:r>
        <w:rPr>
          <w:color w:val="003CA0"/>
          <w:sz w:val="12"/>
        </w:rPr>
        <w:t xml:space="preserve"> | HC 101.726</w:t>
      </w:r>
      <w:r>
        <w:rPr>
          <w:color w:val="003CA0"/>
          <w:sz w:val="12"/>
        </w:rPr>
        <w:t xml:space="preserve"> | rel. Ellen Gracie</w:t>
      </w:r>
    </w:p>
    <w:p>
      <w:pPr>
        <w:ind w:left="288"/>
      </w:pPr>
      <w:r>
        <w:rPr>
          <w:color w:val="1E1E1E"/>
          <w:sz w:val="18"/>
        </w:rPr>
        <w:t xml:space="preserve">= HC 101.726, rel. min. Ellen Gracie, j. 22-6-2010, 2ª T, DJE de 17-9-2010 Vide HC 101.693, rel. min. Ayres Britto, red. do ac. min. Dias Toffoli, j. 16-6-2010, 1ª T, DJE de 24-11-2010 Vide HC 100.299, rel. min. Ricardo Lewandowski, j. 2-2-2010, 1ª T, DJE de 5-3-2010 No caso concreto, o STJ determinou o afastamento do paciente do cargo de desembargador do TJPE e essa situação perdura por quase quatro anos sem que a instrução criminal tenha sido devidamente concluída. (...) O réu não pode suportar, preso, processo excessivamente demorado, a cuja delonga a defesa não deu causa. Diverso é o caso </w:t>
      </w:r>
    </w:p>
    <w:p>
      <w:pPr>
        <w:ind w:left="288"/>
      </w:pPr>
      <w:r>
        <w:rPr>
          <w:b/>
          <w:color w:val="003CA0"/>
          <w:sz w:val="16"/>
        </w:rPr>
        <w:t>[HC 90.617 QO, rel. min. Gilmar Mendes, j. 19-6-2007, 2ª T, DJ de 6-9-2007.]</w:t>
      </w:r>
    </w:p>
    <w:p>
      <w:pPr>
        <w:ind w:left="288"/>
      </w:pPr>
      <w:r>
        <w:rPr>
          <w:color w:val="8C8C8C"/>
          <w:sz w:val="12"/>
        </w:rPr>
        <w:t>cf-art-5-inc-L-ali-b</w:t>
      </w:r>
      <w:r>
        <w:rPr>
          <w:color w:val="003CA0"/>
          <w:sz w:val="12"/>
        </w:rPr>
        <w:t xml:space="preserve"> | MS 23.841</w:t>
      </w:r>
      <w:r>
        <w:rPr>
          <w:color w:val="003CA0"/>
          <w:sz w:val="12"/>
        </w:rPr>
        <w:t xml:space="preserve"> | rel. Eros Grau</w:t>
      </w:r>
    </w:p>
    <w:p>
      <w:pPr>
        <w:ind w:left="288"/>
      </w:pPr>
      <w:r>
        <w:rPr>
          <w:color w:val="1E1E1E"/>
          <w:sz w:val="18"/>
        </w:rPr>
        <w:t>A interposição de embargos de declaração com a finalidade meramente protelatória autoriza o imediato cumprimento da decisão emanada pelo STF, independente da publicação do acórdão.</w:t>
      </w:r>
    </w:p>
    <w:p>
      <w:pPr>
        <w:ind w:left="288"/>
      </w:pPr>
      <w:r>
        <w:rPr>
          <w:b/>
          <w:color w:val="003CA0"/>
          <w:sz w:val="16"/>
        </w:rPr>
        <w:t>[MS 23.841 AgR-ED-ED, rel. min. Eros Grau, j. 18-12-2006, 1ª T, DJ de 16-2-2007.]</w:t>
      </w:r>
    </w:p>
    <w:p>
      <w:pPr>
        <w:ind w:left="288"/>
      </w:pPr>
      <w:r>
        <w:rPr>
          <w:color w:val="8C8C8C"/>
          <w:sz w:val="12"/>
        </w:rPr>
        <w:t>cf-art-5-inc-L-ali-b</w:t>
      </w:r>
      <w:r>
        <w:rPr>
          <w:color w:val="003CA0"/>
          <w:sz w:val="12"/>
        </w:rPr>
        <w:t xml:space="preserve"> | AI 716.970</w:t>
      </w:r>
      <w:r>
        <w:rPr>
          <w:color w:val="003CA0"/>
          <w:sz w:val="12"/>
        </w:rPr>
        <w:t xml:space="preserve"> | rel. Ricardo Lewandowski</w:t>
      </w:r>
    </w:p>
    <w:p>
      <w:pPr>
        <w:ind w:left="288"/>
      </w:pPr>
      <w:r>
        <w:rPr>
          <w:color w:val="1E1E1E"/>
          <w:sz w:val="18"/>
        </w:rPr>
        <w:t>= AI 716.970 AgR-ED-AgR-ED, rel. min. Ricardo Lewandowski, j. 9-11-2010, 1ª T, DJE de 30-11-2010 O STF – reputando essencial impedir que a interposição sucessiva de recursos, destituídos de fundamento juridicamente idôneo, culmine por gerar inaceitável procrastinação do encerramento da causa – tem admitido, em caráter excepcional, notadamente quando se tratar de processos eleitorais, que se proceda ao imediato cumprimento da decisão recorrida, independentemente da publicação de acórdão e de eventual oposição ulterior de embargos de declaração.</w:t>
      </w:r>
    </w:p>
    <w:p>
      <w:pPr>
        <w:ind w:left="288"/>
      </w:pPr>
      <w:r>
        <w:rPr>
          <w:b/>
          <w:color w:val="003CA0"/>
          <w:sz w:val="16"/>
        </w:rPr>
        <w:t>[RE 247.416 EDv-ED-AgR, rel. min. Celso de Mello, j. 29-6-2000, P, DJ de 24-11-2000.]</w:t>
      </w:r>
    </w:p>
    <w:p>
      <w:pPr>
        <w:ind w:left="288"/>
      </w:pPr>
      <w:r>
        <w:rPr>
          <w:color w:val="8C8C8C"/>
          <w:sz w:val="12"/>
        </w:rPr>
        <w:t>cf-art-5-inc-L-ali-b</w:t>
      </w:r>
      <w:r>
        <w:rPr>
          <w:color w:val="003CA0"/>
          <w:sz w:val="12"/>
        </w:rPr>
        <w:t xml:space="preserve"> | AI 554.858</w:t>
      </w:r>
      <w:r>
        <w:rPr>
          <w:color w:val="003CA0"/>
          <w:sz w:val="12"/>
        </w:rPr>
        <w:t xml:space="preserve"> | rel. Ayres Britto</w:t>
      </w:r>
    </w:p>
    <w:p>
      <w:pPr>
        <w:ind w:left="288"/>
      </w:pPr>
      <w:r>
        <w:rPr>
          <w:color w:val="1E1E1E"/>
          <w:sz w:val="18"/>
        </w:rPr>
        <w:t>= AI 554.858 AgR-AgR-ED-ED, rel. min. Ayres Britto, j. 27-10-2009, 1ª T, DJE de 11-12-2009 Vide AI 759.450 ED, rel. min. Ellen Gracie, j. 1º-12-2009, 2ª T, DJE de 18-12-2009 Em tema de habeas corpus, o tamanho do direito à razoável duração do processo é ainda maior. Mais forte a sua compleição. Ele é a prioridade das prioridades ou o primus inter pares procedimental. A plenificar, por consequência, o correlato dever estatal da não negação de justiça.</w:t>
      </w:r>
    </w:p>
    <w:p>
      <w:pPr>
        <w:ind w:left="288"/>
      </w:pPr>
      <w:r>
        <w:rPr>
          <w:b/>
          <w:color w:val="003CA0"/>
          <w:sz w:val="16"/>
        </w:rPr>
        <w:t>[HC 106.518, rel. min. Ayres Britto, j. 5-4-2011, 2ª T, DJE de 13-10-2011.]</w:t>
      </w:r>
    </w:p>
    <w:p>
      <w:pPr>
        <w:ind w:left="288"/>
      </w:pPr>
      <w:r>
        <w:rPr>
          <w:color w:val="8C8C8C"/>
          <w:sz w:val="12"/>
        </w:rPr>
        <w:t>cf-art-5-inc-L-ali-b</w:t>
      </w:r>
      <w:r>
        <w:rPr>
          <w:color w:val="003CA0"/>
          <w:sz w:val="12"/>
        </w:rPr>
        <w:t xml:space="preserve"> | ARE 1.551.254</w:t>
      </w:r>
      <w:r>
        <w:rPr>
          <w:color w:val="003CA0"/>
          <w:sz w:val="12"/>
        </w:rPr>
        <w:t xml:space="preserve"> | rel. Cristiano Zanin</w:t>
      </w:r>
    </w:p>
    <w:p>
      <w:pPr>
        <w:ind w:left="288"/>
      </w:pPr>
      <w:r>
        <w:rPr>
          <w:color w:val="1E1E1E"/>
          <w:sz w:val="18"/>
        </w:rPr>
        <w:t>LXXIX - é assegurado, nos termos da lei, o direito à proteção dos dados pessoais, inclusive nos meios digitais. (Incluído pela EC n. 115/2022) 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w:t>
      </w:r>
    </w:p>
    <w:p>
      <w:pPr>
        <w:ind w:left="288"/>
      </w:pPr>
      <w:r>
        <w:rPr>
          <w:b/>
          <w:color w:val="003CA0"/>
          <w:sz w:val="16"/>
        </w:rPr>
        <w:t>[ARE 1.551.254 AgR, rel. min. Cristiano Zanin, j. 22-12-2025, P, DJE de 2-2-2026.]</w:t>
      </w:r>
    </w:p>
    <w:p>
      <w:pPr>
        <w:ind w:left="288"/>
      </w:pPr>
      <w:r>
        <w:rPr>
          <w:color w:val="8C8C8C"/>
          <w:sz w:val="12"/>
        </w:rPr>
        <w:t>cf-art-5-inc-L-ali-b</w:t>
      </w:r>
      <w:r>
        <w:rPr>
          <w:color w:val="003CA0"/>
          <w:sz w:val="12"/>
        </w:rPr>
        <w:t xml:space="preserve"> | ADI 4.906</w:t>
      </w:r>
      <w:r>
        <w:rPr>
          <w:color w:val="003CA0"/>
          <w:sz w:val="12"/>
        </w:rPr>
        <w:t xml:space="preserve"> | rel. Nunes Marques</w:t>
      </w:r>
    </w:p>
    <w:p>
      <w:pPr>
        <w:ind w:left="288"/>
      </w:pPr>
      <w:r>
        <w:rPr>
          <w:color w:val="1E1E1E"/>
          <w:sz w:val="18"/>
        </w:rPr>
        <w:t>Conforme entendimento do Supremo, a proteção versada no art. 5º, XII, da Constituição Federal refere-se à comunicação de dados, e não aos dados em si mesmos. (...) O direito fundamental à proteção de dados e à autodeterminação informativa (CF, art. 5º, LXXIX) impõe a adoção de mecanismos capazes de assegurar a proteção e a segurança dos dados pessoais manipulados pelo poder público e por terceiros. É compatível com a Constituição de 1988 o compartilhamento direto de dados cadastrais genéricos com os órgãos de persecução penal, para fins de investigação criminal, mesmo sem autorização da Justiç</w:t>
      </w:r>
    </w:p>
    <w:p>
      <w:pPr>
        <w:ind w:left="288"/>
      </w:pPr>
      <w:r>
        <w:rPr>
          <w:b/>
          <w:color w:val="003CA0"/>
          <w:sz w:val="16"/>
        </w:rPr>
        <w:t>[ADI 4.906, rel. min. Nunes Marques, j. 11.09.2024, P, DJE de 24.10.2024.]</w:t>
      </w:r>
    </w:p>
    <w:p>
      <w:pPr>
        <w:ind w:left="288"/>
      </w:pPr>
      <w:r>
        <w:rPr>
          <w:color w:val="8C8C8C"/>
          <w:sz w:val="12"/>
        </w:rPr>
        <w:t>cf-art-5-inc-L-ali-b</w:t>
      </w:r>
      <w:r>
        <w:rPr>
          <w:color w:val="003CA0"/>
          <w:sz w:val="12"/>
        </w:rPr>
        <w:t xml:space="preserve"> | ADI 6.649</w:t>
      </w:r>
      <w:r>
        <w:rPr>
          <w:color w:val="003CA0"/>
          <w:sz w:val="12"/>
        </w:rPr>
        <w:t xml:space="preserve"> | rel. Gilmar Mendes</w:t>
      </w:r>
    </w:p>
    <w:p>
      <w:pPr>
        <w:ind w:left="288"/>
      </w:pPr>
      <w:r>
        <w:rPr>
          <w:color w:val="1E1E1E"/>
          <w:sz w:val="18"/>
        </w:rPr>
        <w:t>É legítimo, desde que observados alguns parâmetros, o compartilhamento de dados pessoais entre órgãos e entidades da Administração Pública federal, sem qualquer prejuízo da irrestrita observância dos princípios gerais e mecanismos de proteção elencados na Lei Geral de Proteção de Dados Pessoais (Lei 13.709/2018) e dos direitos constitucionais à privacidade e proteção de dados. Consoante recente entendimento desta Corte, a proteção de dados pessoais e a autodeterminação informacional são direitos fundamentais autônomos, dos quais decorrem tutela jurídica específica e dimensão normativa própria.</w:t>
      </w:r>
    </w:p>
    <w:p>
      <w:pPr>
        <w:ind w:left="288"/>
      </w:pPr>
      <w:r>
        <w:rPr>
          <w:b/>
          <w:color w:val="003CA0"/>
          <w:sz w:val="16"/>
        </w:rPr>
        <w:t>[ADI 6.649, rel. min. Gilmar Mendes, j. 15-9-2022, P, DJE de 19-6-2023.]</w:t>
      </w:r>
    </w:p>
    <w:p>
      <w:pPr>
        <w:ind w:left="288"/>
      </w:pPr>
      <w:r>
        <w:rPr>
          <w:color w:val="8C8C8C"/>
          <w:sz w:val="12"/>
        </w:rPr>
        <w:t>cf-art-5-inc-L-ali-b</w:t>
      </w:r>
      <w:r>
        <w:rPr>
          <w:color w:val="003CA0"/>
          <w:sz w:val="12"/>
        </w:rPr>
        <w:t xml:space="preserve"> | ARE 1.042.075</w:t>
      </w:r>
      <w:r>
        <w:rPr>
          <w:color w:val="003CA0"/>
          <w:sz w:val="12"/>
        </w:rPr>
        <w:t xml:space="preserve"> | rel. Dias Toffoli</w:t>
      </w:r>
    </w:p>
    <w:p>
      <w:pPr>
        <w:ind w:left="288"/>
      </w:pPr>
      <w:r>
        <w:rPr>
          <w:color w:val="1E1E1E"/>
          <w:sz w:val="18"/>
        </w:rPr>
        <w:t>“1. A mera apreensão de aparelho celular, nos termos do art. 6º do CPP ou em flagrante delito, não está sujeita à reserva de jurisdição. Contudo, o acesso aos dados nele contidos deve observar as seguintes condicionantes: 1.1 Nas hipóteses de encontro fortuito de aparelho celular, o acesso aos respectivos dados para o fim exclusivo de se esclarecer a autoria do fato supostamente criminoso, ou quem seja o proprietário do aparelho, não depende de consentimento ou de prévia decisão judicial, desde que justificada posteriormente a adoção da medida. 1.2 No caso de aparelho celular apreendido por oc</w:t>
      </w:r>
    </w:p>
    <w:p>
      <w:pPr>
        <w:ind w:left="288"/>
      </w:pPr>
      <w:r>
        <w:rPr>
          <w:b/>
          <w:color w:val="003CA0"/>
          <w:sz w:val="16"/>
        </w:rPr>
        <w:t>[ARE 1.042.075, rel. min. Dias Toffoli, j. 25.06.2025, P, DJE de 24.09.2025, Tema 977, com mérito julgado.]</w:t>
      </w:r>
    </w:p>
    <w:p>
      <w:pPr>
        <w:ind w:left="288"/>
      </w:pPr>
      <w:r>
        <w:rPr>
          <w:color w:val="8C8C8C"/>
          <w:sz w:val="12"/>
        </w:rPr>
        <w:t>cf-art-5-inc-L-ali-b</w:t>
      </w:r>
      <w:r>
        <w:rPr>
          <w:color w:val="003CA0"/>
          <w:sz w:val="12"/>
        </w:rPr>
        <w:t xml:space="preserve"> | HC 222.141</w:t>
      </w:r>
      <w:r>
        <w:rPr>
          <w:color w:val="003CA0"/>
          <w:sz w:val="12"/>
        </w:rPr>
        <w:t xml:space="preserve"> | rel. Ricardo Lewandowski</w:t>
      </w:r>
    </w:p>
    <w:p>
      <w:pPr>
        <w:ind w:left="288"/>
      </w:pPr>
      <w:r>
        <w:rPr>
          <w:color w:val="1E1E1E"/>
          <w:sz w:val="18"/>
        </w:rPr>
        <w:t>Provedores e plataformas dos registros de conexão e registros de acesso a aplicações de Internet. Congelamento do conteúdo de comunicações privadas e de dados pessoais da paciente, com base no art. 13, § 2º, do Marco Civil da Internet, por determinação do Ministério Público, sem prévia autorização judicial. Ilegitimidade. A disponibilização de dados pessoais, comunicações privadas ou informações relativas a registros de conexão/acesso está condicionada à determinação do juiz. A exceção fica por conta dos dados cadastrais, que podem ser alcançados por autoridades administrativas devidamente aut</w:t>
      </w:r>
    </w:p>
    <w:p>
      <w:pPr>
        <w:ind w:left="288"/>
      </w:pPr>
      <w:r>
        <w:rPr>
          <w:b/>
          <w:color w:val="003CA0"/>
          <w:sz w:val="16"/>
        </w:rPr>
        <w:t>[HC 222.141 AgR, rel. min. Ricardo Lewandowski, red. do ac. min. Gilmar Mendes j. 06.02.2024, 2ª T, DJE de 03.04.2024.]</w:t>
      </w:r>
    </w:p>
    <w:p>
      <w:pPr>
        <w:ind w:left="288"/>
      </w:pPr>
      <w:r>
        <w:rPr>
          <w:color w:val="8C8C8C"/>
          <w:sz w:val="12"/>
        </w:rPr>
        <w:t>cf-art-5-par-1</w:t>
      </w:r>
      <w:r>
        <w:rPr>
          <w:color w:val="003CA0"/>
          <w:sz w:val="12"/>
        </w:rPr>
        <w:t xml:space="preserve"> | RE 1.381.261</w:t>
      </w:r>
      <w:r>
        <w:rPr>
          <w:color w:val="003CA0"/>
          <w:sz w:val="12"/>
        </w:rPr>
        <w:t xml:space="preserve"> | rel. Dias Toffoli</w:t>
      </w:r>
    </w:p>
    <w:p>
      <w:pPr>
        <w:ind w:left="288"/>
      </w:pPr>
      <w:r>
        <w:rPr>
          <w:color w:val="1E1E1E"/>
          <w:sz w:val="18"/>
        </w:rPr>
        <w:t>São inconstitucionais o Decreto n 3.048/99 e a Portaria MPAS n 1.135/01 no que alteraram a base de cálculo da contribuição previdenciária incidente sobre a remuneração paga ou creditada a transportadores autônomos, devendo o reconhecimento da inconstitucionalidade observar os princípios da congruência e da devolutividade.</w:t>
      </w:r>
    </w:p>
    <w:p>
      <w:pPr>
        <w:ind w:left="288"/>
      </w:pPr>
      <w:r>
        <w:rPr>
          <w:b/>
          <w:color w:val="003CA0"/>
          <w:sz w:val="16"/>
        </w:rPr>
        <w:t>[RE 1.381.261 RG rel. min. Dias Toffoli, j. 5-8-2022, P, DJE de 11-10-2022, Tema 1.223, com mérito julgado e reafirmação de jurisprudência.]</w:t>
      </w:r>
    </w:p>
    <w:p>
      <w:pPr>
        <w:ind w:left="288"/>
      </w:pPr>
      <w:r>
        <w:rPr>
          <w:color w:val="8C8C8C"/>
          <w:sz w:val="12"/>
        </w:rPr>
        <w:t>cf-art-5-par-1</w:t>
      </w:r>
      <w:r>
        <w:rPr>
          <w:color w:val="003CA0"/>
          <w:sz w:val="12"/>
        </w:rPr>
        <w:t xml:space="preserve"> | EXT 986</w:t>
      </w:r>
      <w:r>
        <w:rPr>
          <w:color w:val="003CA0"/>
          <w:sz w:val="12"/>
        </w:rPr>
        <w:t xml:space="preserve"> | rel. Eros Grau</w:t>
      </w:r>
    </w:p>
    <w:p>
      <w:pPr>
        <w:ind w:left="288"/>
      </w:pPr>
      <w:r>
        <w:rPr>
          <w:color w:val="1E1E1E"/>
          <w:sz w:val="18"/>
        </w:rPr>
        <w:t>Extradição e necessidade de observância dos parâmetros do devido processo legal, do estado de direito e do respeito aos direitos humanos. Constituição do Brasil, arts. 5º, § 1º, e 60, § 4º. (...) Obrigação do STF de manter e observar os parâmetros do devido processo legal, do estado de direito e dos direitos humanos. Informações veiculadas na mídia sobre a suspensão de nomeação de ministros da Corte Suprema de Justiça da Bolívia e possível interferência do Poder Executivo no Poder Judiciário daquele país. Necessidade de assegurar direitos fundamentais básicos ao extraditando. Direitos e garant</w:t>
      </w:r>
    </w:p>
    <w:p>
      <w:pPr>
        <w:ind w:left="288"/>
      </w:pPr>
      <w:r>
        <w:rPr>
          <w:b/>
          <w:color w:val="003CA0"/>
          <w:sz w:val="16"/>
        </w:rPr>
        <w:t>[Ext 986, rel. min. Eros Grau, j. 15-8-2007, P, DJ de 5-10-2007.]</w:t>
      </w:r>
    </w:p>
    <w:p>
      <w:pPr>
        <w:ind w:left="288"/>
      </w:pPr>
      <w:r>
        <w:rPr>
          <w:color w:val="8C8C8C"/>
          <w:sz w:val="12"/>
        </w:rPr>
        <w:t>cf-art-5-par-1</w:t>
      </w:r>
      <w:r>
        <w:rPr>
          <w:color w:val="003CA0"/>
          <w:sz w:val="12"/>
        </w:rPr>
        <w:t xml:space="preserve"> | EXT 1.428</w:t>
      </w:r>
      <w:r>
        <w:rPr>
          <w:color w:val="003CA0"/>
          <w:sz w:val="12"/>
        </w:rPr>
        <w:t xml:space="preserve"> | rel. Gilmar Mendes</w:t>
      </w:r>
    </w:p>
    <w:p>
      <w:pPr>
        <w:ind w:left="288"/>
      </w:pPr>
      <w:r>
        <w:rPr>
          <w:color w:val="1E1E1E"/>
          <w:sz w:val="18"/>
        </w:rPr>
        <w:t>Vide Ext 1.428, rel. min. Gilmar Mendes, j. em 7-5-2019, 2ª T, Dje de 17-8-2020</w:t>
      </w:r>
    </w:p>
    <w:p>
      <w:pPr>
        <w:ind w:left="288"/>
      </w:pPr>
      <w:r>
        <w:rPr>
          <w:color w:val="8C8C8C"/>
          <w:sz w:val="12"/>
        </w:rPr>
        <w:t>cf-art-5-par-2</w:t>
      </w:r>
    </w:p>
    <w:p>
      <w:pPr>
        <w:ind w:left="288"/>
      </w:pPr>
      <w:r>
        <w:rPr>
          <w:color w:val="1E1E1E"/>
          <w:sz w:val="18"/>
        </w:rPr>
        <w:t>É ilícita a prisão civil de depositário infiel, qualquer que seja a modalidade do depósito.</w:t>
      </w:r>
    </w:p>
    <w:p>
      <w:pPr>
        <w:ind w:left="288"/>
      </w:pPr>
      <w:r>
        <w:rPr>
          <w:b/>
          <w:color w:val="003CA0"/>
          <w:sz w:val="16"/>
        </w:rPr>
        <w:t>[Súmula Vinculante 25.]</w:t>
      </w:r>
    </w:p>
    <w:p>
      <w:pPr>
        <w:ind w:left="288"/>
      </w:pPr>
      <w:r>
        <w:rPr>
          <w:color w:val="8C8C8C"/>
          <w:sz w:val="12"/>
        </w:rPr>
        <w:t>cf-art-5-par-2</w:t>
      </w:r>
      <w:r>
        <w:rPr>
          <w:color w:val="003CA0"/>
          <w:sz w:val="12"/>
        </w:rPr>
        <w:t xml:space="preserve"> | ADPF 708</w:t>
      </w:r>
      <w:r>
        <w:rPr>
          <w:color w:val="003CA0"/>
          <w:sz w:val="12"/>
        </w:rPr>
        <w:t xml:space="preserve"> | rel. Roberto Barroso</w:t>
      </w:r>
    </w:p>
    <w:p>
      <w:pPr>
        <w:ind w:left="288"/>
      </w:pPr>
      <w:r>
        <w:rPr>
          <w:color w:val="1E1E1E"/>
          <w:sz w:val="18"/>
        </w:rPr>
        <w:t>O Poder Executivo tem o dever constitucional de fazer funcionar e alocar anualmente os recursos do Fundo Clima, para fins de mitigação das mudanças climáticas, estando vedado seu contingenciamento, em razão do dever constitucional de tutela ao meio ambiente (CF, art. 225), de direitos e compromissos internacionais assumidos pelo Brasil (CF, art. 5º, § 2º), bem como do princípio constitucional da separação dos poderes (CF, art. 2º, c/c o art. 9º, § 2º, LRF).</w:t>
      </w:r>
    </w:p>
    <w:p>
      <w:pPr>
        <w:ind w:left="288"/>
      </w:pPr>
      <w:r>
        <w:rPr>
          <w:b/>
          <w:color w:val="003CA0"/>
          <w:sz w:val="16"/>
        </w:rPr>
        <w:t>[ADPF 708, rel. min. Roberto Barroso, j. 4-7-2022, P, DJE de 28-9-2022.]</w:t>
      </w:r>
    </w:p>
    <w:p>
      <w:pPr>
        <w:ind w:left="288"/>
      </w:pPr>
      <w:r>
        <w:rPr>
          <w:color w:val="8C8C8C"/>
          <w:sz w:val="12"/>
        </w:rPr>
        <w:t>cf-art-5-par-2</w:t>
      </w:r>
      <w:r>
        <w:rPr>
          <w:color w:val="003CA0"/>
          <w:sz w:val="12"/>
        </w:rPr>
        <w:t xml:space="preserve"> | ADI 4.277</w:t>
      </w:r>
      <w:r>
        <w:rPr>
          <w:color w:val="003CA0"/>
          <w:sz w:val="12"/>
        </w:rPr>
        <w:t xml:space="preserve"> | rel. Ayres Britto</w:t>
      </w:r>
    </w:p>
    <w:p>
      <w:pPr>
        <w:ind w:left="288"/>
      </w:pPr>
      <w:r>
        <w:rPr>
          <w:color w:val="1E1E1E"/>
          <w:sz w:val="18"/>
        </w:rPr>
        <w:t>A Constituição não interdita a formação de família por pessoas do mesmo sexo. Consagração do juízo de que não se proíbe nada a ninguém senão em face de um direito ou de proteção de um legítimo interesse de outrem, ou de toda a sociedade, o que não se dá na hipótese sub judice. Inexistência do direito dos indivíduos heteroafetivos à sua não equiparação jurídica com os indivíduos homoafetivos. Aplicabilidade do § 2º do art. 5º da CF, a evidenciar que outros direitos e garantias, não expressamente listados na Constituição, emergem "do regime e dos princípios por ela adotados" (...).</w:t>
      </w:r>
    </w:p>
    <w:p>
      <w:pPr>
        <w:ind w:left="288"/>
      </w:pPr>
      <w:r>
        <w:rPr>
          <w:b/>
          <w:color w:val="003CA0"/>
          <w:sz w:val="16"/>
        </w:rPr>
        <w:t>[ADI 4.277 e ADPF 132, rel. min. Ayres Britto, j. 5-5-2011, P, DJE de 14-10-2011.]</w:t>
      </w:r>
    </w:p>
    <w:p>
      <w:pPr>
        <w:ind w:left="288"/>
      </w:pPr>
      <w:r>
        <w:rPr>
          <w:color w:val="8C8C8C"/>
          <w:sz w:val="12"/>
        </w:rPr>
        <w:t>cf-art-5-par-2</w:t>
      </w:r>
      <w:r>
        <w:rPr>
          <w:color w:val="003CA0"/>
          <w:sz w:val="12"/>
        </w:rPr>
        <w:t xml:space="preserve"> | ADPF 101</w:t>
      </w:r>
      <w:r>
        <w:rPr>
          <w:color w:val="003CA0"/>
          <w:sz w:val="12"/>
        </w:rPr>
        <w:t xml:space="preserve"> | rel. Cármen Lúcia</w:t>
      </w:r>
    </w:p>
    <w:p>
      <w:pPr>
        <w:ind w:left="288"/>
      </w:pPr>
      <w:r>
        <w:rPr>
          <w:color w:val="1E1E1E"/>
          <w:sz w:val="18"/>
        </w:rPr>
        <w:t xml:space="preserve">Arguição de descumprimento dos preceitos fundamentais constitucionalmente estabelecidos: decisões judiciais nacionais permitindo a importação de pneus usados de países que não compõem o Mercosul: objeto de contencioso na Organização Mundial do Comércio, a partir de 20-6-2005, pela Solicitação de Consulta da União Europeia ao Brasil. (...) Autorização para importação de remoldados provenientes de Estados integrantes do Mercosul limitados ao produto final, pneu, e não às carcaças: determinação do tribunal ad hoc, à qual teve de se submeter o Brasil em decorrência dos acordos firmados pelo bloco </w:t>
      </w:r>
    </w:p>
    <w:p>
      <w:pPr>
        <w:ind w:left="288"/>
      </w:pPr>
      <w:r>
        <w:rPr>
          <w:b/>
          <w:color w:val="003CA0"/>
          <w:sz w:val="16"/>
        </w:rPr>
        <w:t>[ADPF 101, rel. min. Cármen Lúcia, j. 24-6-2009, P, DJE de 4-6-2012.]</w:t>
      </w:r>
    </w:p>
    <w:p>
      <w:pPr>
        <w:ind w:left="288"/>
      </w:pPr>
      <w:r>
        <w:rPr>
          <w:color w:val="8C8C8C"/>
          <w:sz w:val="12"/>
        </w:rPr>
        <w:t>cf-art-5-par-2</w:t>
      </w:r>
      <w:r>
        <w:rPr>
          <w:color w:val="003CA0"/>
          <w:sz w:val="12"/>
        </w:rPr>
        <w:t xml:space="preserve"> | RE 1.034.840</w:t>
      </w:r>
      <w:r>
        <w:rPr>
          <w:color w:val="003CA0"/>
          <w:sz w:val="12"/>
        </w:rPr>
        <w:t xml:space="preserve"> | rel. Luiz Fux</w:t>
      </w:r>
    </w:p>
    <w:p>
      <w:pPr>
        <w:ind w:left="288"/>
      </w:pPr>
      <w:r>
        <w:rPr>
          <w:color w:val="1E1E1E"/>
          <w:sz w:val="18"/>
        </w:rPr>
        <w:t>O organismo internacional que tenha garantida a imunidade de jurisdição em tratado firmado pelo Brasil e internalizado na ordem jurídica brasileira não pode ser demandado em juízo, salvo em caso de renúncia expressa a essa imunidade.</w:t>
      </w:r>
    </w:p>
    <w:p>
      <w:pPr>
        <w:ind w:left="288"/>
      </w:pPr>
      <w:r>
        <w:rPr>
          <w:b/>
          <w:color w:val="003CA0"/>
          <w:sz w:val="16"/>
        </w:rPr>
        <w:t>[RE 1.034.840 RG, rel. min. Luiz Fux, j. 1º-6-2017, P, DJE de 30-6-2017, Tema 947, com mérito julgado.]</w:t>
      </w:r>
    </w:p>
    <w:p>
      <w:pPr>
        <w:ind w:left="288"/>
      </w:pPr>
      <w:r>
        <w:rPr>
          <w:color w:val="8C8C8C"/>
          <w:sz w:val="12"/>
        </w:rPr>
        <w:t>cf-art-5-par-2</w:t>
      </w:r>
      <w:r>
        <w:rPr>
          <w:color w:val="003CA0"/>
          <w:sz w:val="12"/>
        </w:rPr>
        <w:t xml:space="preserve"> | RE 222.368</w:t>
      </w:r>
      <w:r>
        <w:rPr>
          <w:color w:val="003CA0"/>
          <w:sz w:val="12"/>
        </w:rPr>
        <w:t xml:space="preserve"> | rel. Celso de Mello</w:t>
      </w:r>
    </w:p>
    <w:p>
      <w:pPr>
        <w:ind w:left="288"/>
      </w:pPr>
      <w:r>
        <w:rPr>
          <w:color w:val="1E1E1E"/>
          <w:sz w:val="18"/>
        </w:rPr>
        <w:t>Vide RE 222.368 AgR, rel. min. Celso de Mello, j. 30-4-2002, 2ª T, DJ de 14-2-2003 Vide ACi 9.696, rel. min. Sydney Sanches, j. 31-5-1989, P, DJ de 12-10-1990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w:t>
      </w:r>
    </w:p>
    <w:p>
      <w:pPr>
        <w:ind w:left="288"/>
      </w:pPr>
      <w:r>
        <w:rPr>
          <w:b/>
          <w:color w:val="003CA0"/>
          <w:sz w:val="16"/>
        </w:rPr>
        <w:t>[RE 636.331, rel. min. Gilmar Mendes, j. 25-5-2017, P, DJE de 13-11-2017, Tema 210, com mérito julgado.]</w:t>
      </w:r>
    </w:p>
    <w:p>
      <w:pPr>
        <w:ind w:left="288"/>
      </w:pPr>
      <w:r>
        <w:rPr>
          <w:color w:val="8C8C8C"/>
          <w:sz w:val="12"/>
        </w:rPr>
        <w:t>cf-art-5-par-2</w:t>
      </w:r>
      <w:r>
        <w:rPr>
          <w:color w:val="003CA0"/>
          <w:sz w:val="12"/>
        </w:rPr>
        <w:t xml:space="preserve"> | RE 466.343</w:t>
      </w:r>
      <w:r>
        <w:rPr>
          <w:color w:val="003CA0"/>
          <w:sz w:val="12"/>
        </w:rPr>
        <w:t xml:space="preserve"> | rel. Cezar Peluso</w:t>
      </w:r>
    </w:p>
    <w:p>
      <w:pPr>
        <w:ind w:left="288"/>
      </w:pPr>
      <w:r>
        <w:rPr>
          <w:color w:val="1E1E1E"/>
          <w:sz w:val="18"/>
        </w:rPr>
        <w:t>(...) desde a adesão do Brasil, sem qualquer reserva, ao Pacto Internacional dos Direitos Civis e Políticos (art. 11) e à Convenção Americana sobre Direitos Humanos – Pacto de São José da Costa Rica (art. 7º, 7), ambos no ano de 1992, não há mais base legal para prisão civil do depositário infiel, pois o caráter especial desses diplomas internacionais sobre direitos humanos lhes reserva lugar específico no ordenamento jurídico, estando abaixo da Constituição, porém acima da legislação interna. O status normativo supralegal dos tratados internacionais de direitos humanos subscritos pelo Brasil,</w:t>
      </w:r>
    </w:p>
    <w:p>
      <w:pPr>
        <w:ind w:left="288"/>
      </w:pPr>
      <w:r>
        <w:rPr>
          <w:b/>
          <w:color w:val="003CA0"/>
          <w:sz w:val="16"/>
        </w:rPr>
        <w:t>[RE 466.343, rel. min. Cezar Peluso, voto do min. Gilmar Mendes, j. 3-12-2008, P, DJE de 5-6-2009, Tema 60, com mérito julgado.]</w:t>
      </w:r>
    </w:p>
    <w:p>
      <w:pPr>
        <w:ind w:left="288"/>
      </w:pPr>
      <w:r>
        <w:rPr>
          <w:color w:val="8C8C8C"/>
          <w:sz w:val="12"/>
        </w:rPr>
        <w:t>cf-art-5-par-2</w:t>
      </w:r>
      <w:r>
        <w:rPr>
          <w:color w:val="003CA0"/>
          <w:sz w:val="12"/>
        </w:rPr>
        <w:t xml:space="preserve"> | AI 601.832</w:t>
      </w:r>
      <w:r>
        <w:rPr>
          <w:color w:val="003CA0"/>
          <w:sz w:val="12"/>
        </w:rPr>
        <w:t xml:space="preserve"> | rel. Joaquim Barbosa</w:t>
      </w:r>
    </w:p>
    <w:p>
      <w:pPr>
        <w:ind w:left="288"/>
      </w:pPr>
      <w:r>
        <w:rPr>
          <w:color w:val="1E1E1E"/>
          <w:sz w:val="18"/>
        </w:rPr>
        <w:t>Vide AI 601.832 AgR, rel. min. Joaquim Barbosa, j. 17-3-2009, 2ª T, DJE de 3-4-2009 Vide HC 91.361, rel. min. Celso de Mello, j. 23-9-2008, 2ª T, DJE de 6-2-2009 Vide HC 72.131, red. do ac. min. Moreira Alves, j. 23-11-1995, P, DJ de 1º-8-2003 Não se vê, no caso em tela, ofensa às disposições do Tratado de Assistência Mútua em Matéria Penal celebrado entre o Governo da República Federativa do Brasil e o Governo do Canadá -- internalizado pelo Decreto 6.747/2009 --, porquanto as mensagens interceptadas foram trocadas em território brasileiro e por pessoas com residência no Brasil, sendo a inter</w:t>
      </w:r>
    </w:p>
    <w:p>
      <w:pPr>
        <w:ind w:left="288"/>
      </w:pPr>
      <w:r>
        <w:rPr>
          <w:b/>
          <w:color w:val="003CA0"/>
          <w:sz w:val="16"/>
        </w:rPr>
        <w:t>[Inq 3.990, rel. min. Edson Fachin, j. 14-3-2017, 2ª T, DJE de 2-6-2017.]</w:t>
      </w:r>
    </w:p>
    <w:p>
      <w:pPr>
        <w:ind w:left="288"/>
      </w:pPr>
      <w:r>
        <w:rPr>
          <w:color w:val="8C8C8C"/>
          <w:sz w:val="12"/>
        </w:rPr>
        <w:t>cf-art-5-par-2</w:t>
      </w:r>
      <w:r>
        <w:rPr>
          <w:color w:val="003CA0"/>
          <w:sz w:val="12"/>
        </w:rPr>
        <w:t xml:space="preserve"> | HC 97.256</w:t>
      </w:r>
      <w:r>
        <w:rPr>
          <w:color w:val="003CA0"/>
          <w:sz w:val="12"/>
        </w:rPr>
        <w:t xml:space="preserve"> | rel. Ayres Britto</w:t>
      </w:r>
    </w:p>
    <w:p>
      <w:pPr>
        <w:ind w:left="288"/>
      </w:pPr>
      <w:r>
        <w:rPr>
          <w:color w:val="1E1E1E"/>
          <w:sz w:val="18"/>
        </w:rPr>
        <w:t xml:space="preserve">No plano dos tratados e convenções internacionais, aprovados e promulgados pelo Estado brasileiro, é conferido tratamento diferenciado ao tráfico ilícito de entorpecentes que se caracterize pelo seu menor potencial ofensivo. Tratamento diferenciado, esse, para possibilitar alternativas ao encarceramento. É o caso da Convenção contra o Tráfico Ilícito de Entorpecentes e de Substâncias Psicotrópicas, incorporada ao direito interno pelo Decreto 154, de 26-6-1991. Norma supralegal de hierarquia intermediária, portanto, que autoriza cada Estado soberano a adotar norma comum interna que viabilize a </w:t>
      </w:r>
    </w:p>
    <w:p>
      <w:pPr>
        <w:ind w:left="288"/>
      </w:pPr>
      <w:r>
        <w:rPr>
          <w:b/>
          <w:color w:val="003CA0"/>
          <w:sz w:val="16"/>
        </w:rPr>
        <w:t>[HC 97.256, rel. min. Ayres Britto, j. 1º-9-2010, P, DJE de 16-12-2010.]</w:t>
      </w:r>
    </w:p>
    <w:p>
      <w:pPr>
        <w:ind w:left="288"/>
      </w:pPr>
      <w:r>
        <w:rPr>
          <w:color w:val="8C8C8C"/>
          <w:sz w:val="12"/>
        </w:rPr>
        <w:t>cf-art-5-par-2</w:t>
      </w:r>
      <w:r>
        <w:rPr>
          <w:color w:val="003CA0"/>
          <w:sz w:val="12"/>
        </w:rPr>
        <w:t xml:space="preserve"> | RE 511.961</w:t>
      </w:r>
      <w:r>
        <w:rPr>
          <w:color w:val="003CA0"/>
          <w:sz w:val="12"/>
        </w:rPr>
        <w:t xml:space="preserve"> | rel. Gilmar Mendes</w:t>
      </w:r>
    </w:p>
    <w:p>
      <w:pPr>
        <w:ind w:left="288"/>
      </w:pPr>
      <w:r>
        <w:rPr>
          <w:color w:val="1E1E1E"/>
          <w:sz w:val="18"/>
        </w:rPr>
        <w:t>A exigência de diploma de curso superior para a prática do jornalismo – o qual, em sua essência, é o desenvolvimento profissional das liberdades de expressão e de informação – não está autorizada pela ordem constitucional, pois constitui uma restrição, um impedimento, uma verdadeira supressão do pleno, incondicionado e efetivo exercício da liberdade jornalística, expressamente proibido pelo art. 220, § 1º, da Constituição. (...) A Corte Interamericana de Direitos Humanos proferiu decisão no dia 13-11-1985, declarando que a obrigatoriedade do diploma universitário e da inscrição em ordem profis</w:t>
      </w:r>
    </w:p>
    <w:p>
      <w:pPr>
        <w:ind w:left="288"/>
      </w:pPr>
      <w:r>
        <w:rPr>
          <w:b/>
          <w:color w:val="003CA0"/>
          <w:sz w:val="16"/>
        </w:rPr>
        <w:t>[RE 511.961, rel. min. Gilmar Mendes, j. 17-6-2009, P, DJE de 13-11-2009.]</w:t>
      </w:r>
    </w:p>
    <w:p>
      <w:pPr>
        <w:ind w:left="288"/>
      </w:pPr>
      <w:r>
        <w:rPr>
          <w:color w:val="8C8C8C"/>
          <w:sz w:val="12"/>
        </w:rPr>
        <w:t>cf-art-5-par-2</w:t>
      </w:r>
      <w:r>
        <w:rPr>
          <w:color w:val="003CA0"/>
          <w:sz w:val="12"/>
        </w:rPr>
        <w:t xml:space="preserve"> | ADPF 172</w:t>
      </w:r>
      <w:r>
        <w:rPr>
          <w:color w:val="003CA0"/>
          <w:sz w:val="12"/>
        </w:rPr>
        <w:t xml:space="preserve"> | rel. Marco Aurélio</w:t>
      </w:r>
    </w:p>
    <w:p>
      <w:pPr>
        <w:ind w:left="288"/>
      </w:pPr>
      <w:r>
        <w:rPr>
          <w:color w:val="1E1E1E"/>
          <w:sz w:val="18"/>
        </w:rPr>
        <w:t>Gostaria (...) de tecer algumas considerações sobre a Convenção da Haia e a sua aplicação pelo Poder Judiciário brasileiro. (...) A primeira observação a ser feita, portanto, é a de que estamos diante de um documento produzido no contexto de negociações multilaterais a que o País formalmente aderiu e ratificou. Tais documentos, em que se incluem os tratados, as convenções e os acordos, pressupõem o cumprimento de boa-fé pelos Estados signatários. É o que expressa o velho brocardo "Pacta sunt servanda". A observância dessa prescrição é o que permite a coexistência e a cooperação entre nações so</w:t>
      </w:r>
    </w:p>
    <w:p>
      <w:pPr>
        <w:ind w:left="288"/>
      </w:pPr>
      <w:r>
        <w:rPr>
          <w:b/>
          <w:color w:val="003CA0"/>
          <w:sz w:val="16"/>
        </w:rPr>
        <w:t>[ADPF 172 MC-REF, rel. min. Marco Aurélio, voto da min. Ellen Gracie, j. 10-6-2009, P, DJE de 21-8-2009.]</w:t>
      </w:r>
    </w:p>
    <w:p>
      <w:pPr>
        <w:ind w:left="288"/>
      </w:pPr>
      <w:r>
        <w:rPr>
          <w:color w:val="8C8C8C"/>
          <w:sz w:val="12"/>
        </w:rPr>
        <w:t>cf-art-5-par-2</w:t>
      </w:r>
      <w:r>
        <w:rPr>
          <w:color w:val="003CA0"/>
          <w:sz w:val="12"/>
        </w:rPr>
        <w:t xml:space="preserve"> | HC 87.585</w:t>
      </w:r>
      <w:r>
        <w:rPr>
          <w:color w:val="003CA0"/>
          <w:sz w:val="12"/>
        </w:rPr>
        <w:t xml:space="preserve"> | rel. Marco Aurélio</w:t>
      </w:r>
    </w:p>
    <w:p>
      <w:pPr>
        <w:ind w:left="288"/>
      </w:pPr>
      <w:r>
        <w:rPr>
          <w:color w:val="1E1E1E"/>
          <w:sz w:val="18"/>
        </w:rPr>
        <w:t>A subscrição pelo Brasil do Pacto de São José da Costa Rica, limitando a prisão civil por dívida ao descumprimento inescusável de prestação alimentícia, implicou a derrogação das normas estritamente legais referentes à prisão do depositário infiel.</w:t>
      </w:r>
    </w:p>
    <w:p>
      <w:pPr>
        <w:ind w:left="288"/>
      </w:pPr>
      <w:r>
        <w:rPr>
          <w:b/>
          <w:color w:val="003CA0"/>
          <w:sz w:val="16"/>
        </w:rPr>
        <w:t>[HC 87.585, rel. min. Marco Aurélio, j. 3-12-2008, P, DJE de 26-6-2009.]</w:t>
      </w:r>
    </w:p>
    <w:p>
      <w:pPr>
        <w:ind w:left="288"/>
      </w:pPr>
      <w:r>
        <w:rPr>
          <w:color w:val="8C8C8C"/>
          <w:sz w:val="12"/>
        </w:rPr>
        <w:t>cf-art-5-par-2</w:t>
      </w:r>
      <w:r>
        <w:rPr>
          <w:color w:val="003CA0"/>
          <w:sz w:val="12"/>
        </w:rPr>
        <w:t xml:space="preserve"> | HC 94.404</w:t>
      </w:r>
      <w:r>
        <w:rPr>
          <w:color w:val="003CA0"/>
          <w:sz w:val="12"/>
        </w:rPr>
        <w:t xml:space="preserve"> | rel. Celso de Mello</w:t>
      </w:r>
    </w:p>
    <w:p>
      <w:pPr>
        <w:ind w:left="288"/>
      </w:pPr>
      <w:r>
        <w:rPr>
          <w:color w:val="1E1E1E"/>
          <w:sz w:val="18"/>
        </w:rPr>
        <w:t>Cláusulas inscritas nos textos de tratados internacionais que imponham a compulsória adoção, por autoridades judiciárias nacionais, de medidas de privação cautelar da liberdade individual, ou que vedem, em caráter imperativo, a concessão de liberdade provisória, não podem prevalecer em nosso sistema de direito positivo, sob pena de ofensa à presunção de inocência, entre outros princípios constitucionais que informam e compõem o estatuto jurídico daqueles que sofrem persecução penal instaurada pelo Estado.</w:t>
      </w:r>
    </w:p>
    <w:p>
      <w:pPr>
        <w:ind w:left="288"/>
      </w:pPr>
      <w:r>
        <w:rPr>
          <w:b/>
          <w:color w:val="003CA0"/>
          <w:sz w:val="16"/>
        </w:rPr>
        <w:t>[HC 94.404, rel. min. Celso de Mello, j. 18-11-2008, 2ª T, DJE de 18-6-2010.]</w:t>
      </w:r>
    </w:p>
    <w:p>
      <w:pPr>
        <w:ind w:left="288"/>
      </w:pPr>
      <w:r>
        <w:rPr>
          <w:color w:val="8C8C8C"/>
          <w:sz w:val="12"/>
        </w:rPr>
        <w:t>cf-art-5-par-2</w:t>
      </w:r>
      <w:r>
        <w:rPr>
          <w:color w:val="003CA0"/>
          <w:sz w:val="12"/>
        </w:rPr>
        <w:t xml:space="preserve"> | MI 772</w:t>
      </w:r>
      <w:r>
        <w:rPr>
          <w:color w:val="003CA0"/>
          <w:sz w:val="12"/>
        </w:rPr>
        <w:t xml:space="preserve"> | rel. Celso de Mello</w:t>
      </w:r>
    </w:p>
    <w:p>
      <w:pPr>
        <w:ind w:left="288"/>
      </w:pPr>
      <w:r>
        <w:rPr>
          <w:color w:val="1E1E1E"/>
          <w:sz w:val="18"/>
        </w:rPr>
        <w:t>Supremacia da Constituição da República sobre todos os tratados internacionais. O exercício do treaty-making power, pelo Estado brasileiro, está sujeito à observância das limitações jurídicas emergentes do texto constitucional. Os tratados celebrados pelo Brasil estão subordinados à autoridade normativa da Constituição da República. Nenhum valor jurídico terá o tratado internacional, que, incorporado ao sistema de direito positivo interno, transgredir, formal ou materialmente, o texto da Carta Política.</w:t>
      </w:r>
    </w:p>
    <w:p>
      <w:pPr>
        <w:ind w:left="288"/>
      </w:pPr>
      <w:r>
        <w:rPr>
          <w:b/>
          <w:color w:val="003CA0"/>
          <w:sz w:val="16"/>
        </w:rPr>
        <w:t>[MI 772 AgR, rel. min. Celso de Mello, j. 24-10-2007, P, DJE de 20-3-2009.]</w:t>
      </w:r>
    </w:p>
    <w:p>
      <w:pPr>
        <w:ind w:left="288"/>
      </w:pPr>
      <w:r>
        <w:rPr>
          <w:color w:val="8C8C8C"/>
          <w:sz w:val="12"/>
        </w:rPr>
        <w:t>cf-art-5-par-2</w:t>
      </w:r>
      <w:r>
        <w:rPr>
          <w:color w:val="003CA0"/>
          <w:sz w:val="12"/>
        </w:rPr>
        <w:t xml:space="preserve"> | HC 88.420</w:t>
      </w:r>
      <w:r>
        <w:rPr>
          <w:color w:val="003CA0"/>
          <w:sz w:val="12"/>
        </w:rPr>
        <w:t xml:space="preserve"> | rel. Ricardo Lewandowski</w:t>
      </w:r>
    </w:p>
    <w:p>
      <w:pPr>
        <w:ind w:left="288"/>
      </w:pPr>
      <w:r>
        <w:rPr>
          <w:color w:val="1E1E1E"/>
          <w:sz w:val="18"/>
        </w:rPr>
        <w:t>O acesso à instância recursal superior consubstancia direito que se encontra incorporado ao sistema pátrio de direitos e garantias fundamentais. Ainda que não se empreste dignidade constitucional ao duplo grau de jurisdição, trata-se de garantia prevista na Convenção Interamericana de Direitos Humanos, cuja ratificação pelo Brasil deu-se em 1992, data posterior à promulgação do CPP. A incorporação posterior ao ordenamento brasileiro de regra prevista em tratado internacional tem o condão de modificar a legislação ordinária que lhe é anterior.</w:t>
      </w:r>
    </w:p>
    <w:p>
      <w:pPr>
        <w:ind w:left="288"/>
      </w:pPr>
      <w:r>
        <w:rPr>
          <w:b/>
          <w:color w:val="003CA0"/>
          <w:sz w:val="16"/>
        </w:rPr>
        <w:t>[HC 88.420, rel. min. Ricardo Lewandowski, j. 17-4-2007, 1ª T, DJ de 8-6-2007.]</w:t>
      </w:r>
    </w:p>
    <w:p>
      <w:pPr>
        <w:ind w:left="288"/>
      </w:pPr>
      <w:r>
        <w:rPr>
          <w:color w:val="8C8C8C"/>
          <w:sz w:val="12"/>
        </w:rPr>
        <w:t>cf-art-5-par-3</w:t>
      </w:r>
      <w:r>
        <w:rPr>
          <w:color w:val="003CA0"/>
          <w:sz w:val="12"/>
        </w:rPr>
        <w:t xml:space="preserve"> | ADI 7.754</w:t>
      </w:r>
      <w:r>
        <w:rPr>
          <w:color w:val="003CA0"/>
          <w:sz w:val="12"/>
        </w:rPr>
        <w:t xml:space="preserve"> | rel. André Mendonça</w:t>
      </w:r>
    </w:p>
    <w:p>
      <w:pPr>
        <w:ind w:left="288"/>
      </w:pPr>
      <w:r>
        <w:rPr>
          <w:color w:val="1E1E1E"/>
          <w:sz w:val="18"/>
        </w:rPr>
        <w:t>É inconstitucional — por ofender o princípio da vedação ao retrocesso — lei estadual que dispõe sobre o transporte de animais de assistência emocional e de serviço nas cabines das aeronaves em voos operados em seu âmbito, restringindo direitos assegurados, em normas gerais, a pessoas com deficiência.</w:t>
      </w:r>
    </w:p>
    <w:p>
      <w:pPr>
        <w:ind w:left="288"/>
      </w:pPr>
      <w:r>
        <w:rPr>
          <w:b/>
          <w:color w:val="003CA0"/>
          <w:sz w:val="16"/>
        </w:rPr>
        <w:t>[ADI 7.754 MC-Ref, rel. min. André Mendonça, j. 19-11-2025, P, Informativo STF 1.200.]</w:t>
      </w:r>
    </w:p>
    <w:p>
      <w:pPr>
        <w:ind w:left="288"/>
      </w:pPr>
      <w:r>
        <w:rPr>
          <w:color w:val="8C8C8C"/>
          <w:sz w:val="12"/>
        </w:rPr>
        <w:t>cf-art-5-par-3</w:t>
      </w:r>
      <w:r>
        <w:rPr>
          <w:color w:val="003CA0"/>
          <w:sz w:val="12"/>
        </w:rPr>
        <w:t xml:space="preserve"> | ADPF 936</w:t>
      </w:r>
      <w:r>
        <w:rPr>
          <w:color w:val="003CA0"/>
          <w:sz w:val="12"/>
        </w:rPr>
        <w:t xml:space="preserve"> | rel. Dias Toffoli</w:t>
      </w:r>
    </w:p>
    <w:p>
      <w:pPr>
        <w:ind w:left="288"/>
      </w:pPr>
      <w:r>
        <w:rPr>
          <w:color w:val="1E1E1E"/>
          <w:sz w:val="18"/>
        </w:rPr>
        <w:t>A Convenção sobre os Direitos das Pessoas com Deficiência, internalizada pela ordem jurídica brasileira com status de emenda constitucional (art. 5º, § 3º, da Constituição Federal), obriga os estados-partes a instituir um ou mais mecanismos independentes de promoção, proteção e monitoramento das disposições do diploma internacional, assegurada a participação da sociedade civil nesse processo. A característica fulcral do CONADE é seu caráter de mecanismo independente, o qual carece de uma atuação, além de propositiva, crítica e fiscalizadora, cuja consecução afasta a possibilidade de qualquer i</w:t>
      </w:r>
    </w:p>
    <w:p>
      <w:pPr>
        <w:ind w:left="288"/>
      </w:pPr>
      <w:r>
        <w:rPr>
          <w:b/>
          <w:color w:val="003CA0"/>
          <w:sz w:val="16"/>
        </w:rPr>
        <w:t>[ADPF 936, rel. min. Dias Toffoli, j. 21.10.2024, P, DJE de 30.10.2024.]</w:t>
      </w:r>
    </w:p>
    <w:p>
      <w:pPr>
        <w:ind w:left="288"/>
      </w:pPr>
      <w:r>
        <w:rPr>
          <w:color w:val="8C8C8C"/>
          <w:sz w:val="12"/>
        </w:rPr>
        <w:t>cf-art-5-par-3</w:t>
      </w:r>
      <w:r>
        <w:rPr>
          <w:color w:val="003CA0"/>
          <w:sz w:val="12"/>
        </w:rPr>
        <w:t xml:space="preserve"> | ADI 7.028</w:t>
      </w:r>
      <w:r>
        <w:rPr>
          <w:color w:val="003CA0"/>
          <w:sz w:val="12"/>
        </w:rPr>
        <w:t xml:space="preserve"> | rel. Roberto Barroso</w:t>
      </w:r>
    </w:p>
    <w:p>
      <w:pPr>
        <w:ind w:left="288"/>
      </w:pPr>
      <w:r>
        <w:rPr>
          <w:color w:val="1E1E1E"/>
          <w:sz w:val="18"/>
        </w:rPr>
        <w:t>“É inconstitucional lei estadual que (a) reduza o conceito de pessoas com deficiência previsto na Constituição, na Convenção Internacional sobre os Direitos das Pessoas com Deficiência, de estatura constitucional, e na lei federal de normas gerais; (b) desconsidere, para a aferição da deficiência, a avaliação biopsicossocial por equipe multiprofissional e interdisciplinar prevista pela lei federal; ou (c) exclua o dever de adaptação de unidade escolar para o ensino inclusivo”.</w:t>
      </w:r>
    </w:p>
    <w:p>
      <w:pPr>
        <w:ind w:left="288"/>
      </w:pPr>
      <w:r>
        <w:rPr>
          <w:b/>
          <w:color w:val="003CA0"/>
          <w:sz w:val="16"/>
        </w:rPr>
        <w:t>[ADI 7.028, rel. min. Roberto Barroso, j. 19-6-2023, P, DJE de 23-6-2023.]</w:t>
      </w:r>
    </w:p>
    <w:p>
      <w:pPr>
        <w:ind w:left="288"/>
      </w:pPr>
      <w:r>
        <w:rPr>
          <w:color w:val="8C8C8C"/>
          <w:sz w:val="12"/>
        </w:rPr>
        <w:t>cf-art-5-par-3</w:t>
      </w:r>
      <w:r>
        <w:rPr>
          <w:color w:val="003CA0"/>
          <w:sz w:val="12"/>
        </w:rPr>
        <w:t xml:space="preserve"> | ADI 903</w:t>
      </w:r>
      <w:r>
        <w:rPr>
          <w:color w:val="003CA0"/>
          <w:sz w:val="12"/>
        </w:rPr>
        <w:t xml:space="preserve"> | rel. Dias Toffoli</w:t>
      </w:r>
    </w:p>
    <w:p>
      <w:pPr>
        <w:ind w:left="288"/>
      </w:pPr>
      <w:r>
        <w:rPr>
          <w:color w:val="1E1E1E"/>
          <w:sz w:val="18"/>
        </w:rPr>
        <w:t xml:space="preserve">A ordem constitucional brasileira, inaugurada em 1988, trouxe desde seus escritos originais a preocupação com a proteção das pessoas portadoras de necessidades especiais, construindo políticas e diretrizes de inserção nas diversas áreas sociais e econômicas da comunidade (trabalho privado, serviço público, previdência e assistência social). Estabeleceu, assim, nos arts. 227, § 2º, e 244, a necessidade de se conferir amplo acesso e plena capacidade de locomoção às pessoas com deficiência, no que concerne tanto aos logradouros públicos quanto aos veículos de transporte coletivo, determinando ao </w:t>
      </w:r>
    </w:p>
    <w:p>
      <w:pPr>
        <w:ind w:left="288"/>
      </w:pPr>
      <w:r>
        <w:rPr>
          <w:b/>
          <w:color w:val="003CA0"/>
          <w:sz w:val="16"/>
        </w:rPr>
        <w:t>[ADI 903, rel. min. Dias Toffoli, j. 22-5-2013, P, DJE de 7-2-2014.]</w:t>
      </w:r>
    </w:p>
    <w:p>
      <w:pPr>
        <w:ind w:left="288"/>
      </w:pPr>
      <w:r>
        <w:rPr>
          <w:color w:val="8C8C8C"/>
          <w:sz w:val="12"/>
        </w:rPr>
        <w:t>cf-art-5-par-3</w:t>
      </w:r>
      <w:r>
        <w:rPr>
          <w:color w:val="003CA0"/>
          <w:sz w:val="12"/>
        </w:rPr>
        <w:t xml:space="preserve"> | RMS 32.732</w:t>
      </w:r>
      <w:r>
        <w:rPr>
          <w:color w:val="003CA0"/>
          <w:sz w:val="12"/>
        </w:rPr>
        <w:t xml:space="preserve"> | rel. Celso de Mello</w:t>
      </w:r>
    </w:p>
    <w:p>
      <w:pPr>
        <w:ind w:left="288"/>
      </w:pPr>
      <w:r>
        <w:rPr>
          <w:color w:val="1E1E1E"/>
          <w:sz w:val="18"/>
        </w:rPr>
        <w:t>= RMS 32.732 AgR, rel. min. Celso de Mello, j. 3-6-2014, 2ª T, DJE de 1º-8-2014 (...) desde a adesão do Brasil, sem qualquer reserva, ao Pacto Internacional dos Direitos Civis e Políticos (art. 11) e à Convenção Americana sobre Direitos Humanos – Pacto de São José da Costa Rica (art. 7º, 7), ambos no ano de 1992, não há mais base legal para prisão civil do depositário infiel, pois o caráter especial desses diplomas internacionais sobre direitos humanos lhes reserva lugar específico no ordenamento jurídico, estando abaixo da Constituição, porém acima da legislação interna. O status normativo su</w:t>
      </w:r>
    </w:p>
    <w:p>
      <w:pPr>
        <w:ind w:left="288"/>
      </w:pPr>
      <w:r>
        <w:rPr>
          <w:b/>
          <w:color w:val="003CA0"/>
          <w:sz w:val="16"/>
        </w:rPr>
        <w:t>[RE 466.343, rel. min. Cezar Peluso, voto do min. Gilmar Mendes, j. 3-12-2008, P, DJE de 5-6-2009, Tema 60, com mérito julgado.]</w:t>
      </w:r>
    </w:p>
    <w:p>
      <w:pPr>
        <w:ind w:left="288"/>
      </w:pPr>
      <w:r>
        <w:rPr>
          <w:color w:val="8C8C8C"/>
          <w:sz w:val="12"/>
        </w:rPr>
        <w:t>cf-art-5-par-3</w:t>
      </w:r>
      <w:r>
        <w:rPr>
          <w:color w:val="003CA0"/>
          <w:sz w:val="12"/>
        </w:rPr>
        <w:t xml:space="preserve"> | AI 601.832</w:t>
      </w:r>
      <w:r>
        <w:rPr>
          <w:color w:val="003CA0"/>
          <w:sz w:val="12"/>
        </w:rPr>
        <w:t xml:space="preserve"> | rel. Joaquim Barbosa</w:t>
      </w:r>
    </w:p>
    <w:p>
      <w:pPr>
        <w:ind w:left="288"/>
      </w:pPr>
      <w:r>
        <w:rPr>
          <w:color w:val="1E1E1E"/>
          <w:sz w:val="18"/>
        </w:rPr>
        <w:t>Vide AI 601.832 AgR, rel. min. Joaquim Barbosa, j. 17-3-2009, 2ª T, DJE de 3-4-2009 Vide HC 91.361, rel. min. Celso de Mello, j. 23-9-2008, 2ª T, DJE de 6-2-2009 A subscrição pelo Brasil do Pacto de São José da Costa Rica, limitando a prisão civil por dívida ao descumprimento inescusável de prestação alimentícia, implicou a derrogação das normas estritamente legais referentes à prisão do depositário infiel.</w:t>
      </w:r>
    </w:p>
    <w:p>
      <w:pPr>
        <w:ind w:left="288"/>
      </w:pPr>
      <w:r>
        <w:rPr>
          <w:b/>
          <w:color w:val="003CA0"/>
          <w:sz w:val="16"/>
        </w:rPr>
        <w:t>[HC 87.585, rel. min. Marco Aurélio, j. 3-12-2008, P, DJE de 26-6-2009.]</w:t>
      </w:r>
    </w:p>
    <w:p>
      <w:pPr>
        <w:ind w:left="288"/>
      </w:pPr>
      <w:r>
        <w:rPr>
          <w:color w:val="8C8C8C"/>
          <w:sz w:val="12"/>
        </w:rPr>
        <w:t>cf-art-5-par-3</w:t>
      </w:r>
      <w:r>
        <w:rPr>
          <w:color w:val="003CA0"/>
          <w:sz w:val="12"/>
        </w:rPr>
        <w:t xml:space="preserve"> | MI 772</w:t>
      </w:r>
      <w:r>
        <w:rPr>
          <w:color w:val="003CA0"/>
          <w:sz w:val="12"/>
        </w:rPr>
        <w:t xml:space="preserve"> | rel. Celso de Mello</w:t>
      </w:r>
    </w:p>
    <w:p>
      <w:pPr>
        <w:ind w:left="288"/>
      </w:pPr>
      <w:r>
        <w:rPr>
          <w:color w:val="1E1E1E"/>
          <w:sz w:val="18"/>
        </w:rPr>
        <w:t>Supremacia da Constituição da República sobre todos os tratados internacionais. O exercício do treaty-making power, pelo Estado brasileiro, está sujeito à observância das limitações jurídicas emergentes do texto constitucional. Os tratados celebrados pelo Brasil estão subordinados à autoridade normativa da Constituição da República. Nenhum valor jurídico terá o tratado internacional, que, incorporado ao sistema de direito positivo interno, transgredir, formal ou materialmente, o texto da Carta Política.</w:t>
      </w:r>
    </w:p>
    <w:p>
      <w:pPr>
        <w:ind w:left="288"/>
      </w:pPr>
      <w:r>
        <w:rPr>
          <w:b/>
          <w:color w:val="003CA0"/>
          <w:sz w:val="16"/>
        </w:rPr>
        <w:t>[MI 772 AgR, rel. min. Celso de Mello, j. 24-10-2007, P, DJE de 20-3-2009.]</w:t>
      </w:r>
    </w:p>
    <w:p>
      <w:pPr>
        <w:ind w:left="288"/>
      </w:pPr>
      <w:r>
        <w:rPr>
          <w:color w:val="8C8C8C"/>
          <w:sz w:val="12"/>
        </w:rPr>
        <w:t>cf-art-5-par-4</w:t>
      </w:r>
      <w:r>
        <w:rPr>
          <w:color w:val="003CA0"/>
          <w:sz w:val="12"/>
        </w:rPr>
        <w:t xml:space="preserve"> | PET 4.625</w:t>
      </w:r>
    </w:p>
    <w:p>
      <w:pPr>
        <w:ind w:left="288"/>
      </w:pPr>
      <w:r>
        <w:rPr>
          <w:color w:val="1E1E1E"/>
          <w:sz w:val="18"/>
        </w:rPr>
        <w:t>Estatuto de Roma. Incorporação dessa convenção multilateral ao ordenamento jurídico interno brasileiro (Decreto 4.388/2002). Instituição do Tribunal Penal Internacional. Caráter supraestatal desse organismo judiciário. Incidência do princípio da complementaridade (ou da subsidiariedade) sobre o exercício, pelo Tribunal Penal Internacional, de sua jurisdição. Cooperação internacional e auxílio judiciário: obrigação geral que se impõe aos Estados-partes do Estatuto de Roma (art. 86). Pedido de detenção de chefe de Estado estrangeiro e de sua ulterior entrega ao Tribunal Penal Internacional, para</w:t>
      </w:r>
    </w:p>
    <w:p>
      <w:pPr>
        <w:ind w:left="288"/>
      </w:pPr>
      <w:r>
        <w:rPr>
          <w:b/>
          <w:color w:val="003CA0"/>
          <w:sz w:val="16"/>
        </w:rPr>
        <w:t>[Pet 4.625, ementa do despacho proferido pelo min. Celso de Mello, no exercício da Presidência, em 17-7-2009, DJE de 4-8-2009 e Informativo 554.]</w:t>
      </w:r>
    </w:p>
    <w:p>
      <w:pPr>
        <w:ind w:left="288"/>
      </w:pPr>
      <w:r>
        <w:rPr>
          <w:color w:val="8C8C8C"/>
          <w:sz w:val="12"/>
        </w:rPr>
        <w:t>cf-art-5-par-4</w:t>
      </w:r>
    </w:p>
    <w:p>
      <w:pPr>
        <w:ind w:left="288"/>
      </w:pPr>
      <w:r>
        <w:rPr>
          <w:color w:val="1E1E1E"/>
          <w:sz w:val="18"/>
        </w:rPr>
        <w:t>CAPÍTULO II Dos Direitos Sociais SUMÁRIO</w:t>
      </w:r>
    </w:p>
    <w:p>
      <w:pPr>
        <w:ind w:left="720"/>
      </w:pPr>
      <w:r>
        <w:rPr>
          <w:color w:val="003366"/>
          <w:sz w:val="18"/>
        </w:rPr>
        <w:t>I – homens e mulheres são iguais em direitos e obrigações, nos termos desta Cons</w:t>
      </w:r>
    </w:p>
    <w:p>
      <w:pPr>
        <w:ind w:left="720"/>
      </w:pPr>
      <w:r>
        <w:rPr>
          <w:color w:val="003366"/>
          <w:sz w:val="18"/>
        </w:rPr>
        <w:t>II – ninguém será obrigado a fazer ou deixar de fazer alguma coisa senão em virt</w:t>
      </w:r>
    </w:p>
    <w:p>
      <w:pPr>
        <w:ind w:left="720"/>
      </w:pPr>
      <w:r>
        <w:rPr>
          <w:color w:val="003366"/>
          <w:sz w:val="18"/>
        </w:rPr>
        <w:t>III – ninguém será submetido a tortura nem a tratamento desumano ou degradante;</w:t>
      </w:r>
    </w:p>
    <w:p>
      <w:pPr>
        <w:ind w:left="720"/>
      </w:pPr>
      <w:r>
        <w:rPr>
          <w:color w:val="003366"/>
          <w:sz w:val="18"/>
        </w:rPr>
        <w:t>IV – é livre a manifestação do pensamento, sendo vedado o anonimato;</w:t>
      </w:r>
    </w:p>
    <w:p>
      <w:pPr>
        <w:ind w:left="720"/>
      </w:pPr>
      <w:r>
        <w:rPr>
          <w:color w:val="003366"/>
          <w:sz w:val="18"/>
        </w:rPr>
        <w:t>V – é assegurado o direito de resposta, proporcional ao agravo, além da indeniza</w:t>
      </w:r>
    </w:p>
    <w:p>
      <w:pPr>
        <w:ind w:left="720"/>
      </w:pPr>
      <w:r>
        <w:rPr>
          <w:color w:val="003366"/>
          <w:sz w:val="18"/>
        </w:rPr>
        <w:t>VI – é inviolável a liberdade de consciência e de crença, sendo assegurado o liv</w:t>
      </w:r>
    </w:p>
    <w:p>
      <w:pPr>
        <w:ind w:left="720"/>
      </w:pPr>
      <w:r>
        <w:rPr>
          <w:color w:val="003366"/>
          <w:sz w:val="18"/>
        </w:rPr>
        <w:t xml:space="preserve">VII – é assegurada, nos termos da lei, a prestação de assistência religiosa nas </w:t>
      </w:r>
    </w:p>
    <w:p>
      <w:pPr>
        <w:ind w:left="720"/>
      </w:pPr>
      <w:r>
        <w:rPr>
          <w:color w:val="003366"/>
          <w:sz w:val="18"/>
        </w:rPr>
        <w:t>VIII – ninguém será privado de direitos por motivo de crença religiosa ou de con</w:t>
      </w:r>
    </w:p>
    <w:p>
      <w:pPr>
        <w:ind w:left="720"/>
      </w:pPr>
      <w:r>
        <w:rPr>
          <w:color w:val="003366"/>
          <w:sz w:val="18"/>
        </w:rPr>
        <w:t>IX – é livre a expressão da atividade intelectual, artística, científica e de co</w:t>
      </w:r>
    </w:p>
    <w:p>
      <w:pPr>
        <w:ind w:left="720"/>
      </w:pPr>
      <w:r>
        <w:rPr>
          <w:color w:val="003366"/>
          <w:sz w:val="18"/>
        </w:rPr>
        <w:t>X – são invioláveis a intimidade, a vida privada, a honra e a imagem das pessoas</w:t>
      </w:r>
    </w:p>
    <w:p>
      <w:pPr>
        <w:ind w:left="720"/>
      </w:pPr>
      <w:r>
        <w:rPr>
          <w:color w:val="003366"/>
          <w:sz w:val="18"/>
        </w:rPr>
        <w:t>XI – a casa é asilo inviolável do indivíduo, ninguém nela podendo penetrar sem c</w:t>
      </w:r>
    </w:p>
    <w:p>
      <w:pPr>
        <w:ind w:left="720"/>
      </w:pPr>
      <w:r>
        <w:rPr>
          <w:color w:val="003366"/>
          <w:sz w:val="18"/>
        </w:rPr>
        <w:t xml:space="preserve">XII – é inviolável o sigilo da correspondência e das comunicações telegráficas, </w:t>
      </w:r>
    </w:p>
    <w:p>
      <w:pPr>
        <w:ind w:left="720"/>
      </w:pPr>
      <w:r>
        <w:rPr>
          <w:color w:val="003366"/>
          <w:sz w:val="18"/>
        </w:rPr>
        <w:t xml:space="preserve">XIII – é livre o exercício de qualquer trabalho, ofício ou profissão, atendidas </w:t>
      </w:r>
    </w:p>
    <w:p>
      <w:pPr>
        <w:ind w:left="720"/>
      </w:pPr>
      <w:r>
        <w:rPr>
          <w:color w:val="003366"/>
          <w:sz w:val="18"/>
        </w:rPr>
        <w:t>XX – ninguém poderá ser compelido a associar-se ou a permanecer associado;</w:t>
      </w:r>
    </w:p>
    <w:p>
      <w:pPr>
        <w:ind w:left="720"/>
      </w:pPr>
      <w:r>
        <w:rPr>
          <w:color w:val="003366"/>
          <w:sz w:val="18"/>
        </w:rPr>
        <w:t>XXI – as entidades associativas, quando expressamente autorizadas, têm legitimid</w:t>
      </w:r>
    </w:p>
    <w:p>
      <w:pPr>
        <w:ind w:left="720"/>
      </w:pPr>
      <w:r>
        <w:rPr>
          <w:color w:val="003366"/>
          <w:sz w:val="18"/>
        </w:rPr>
        <w:t>XXII – é garantido o direito de propriedade;</w:t>
      </w:r>
    </w:p>
    <w:p>
      <w:pPr>
        <w:ind w:left="720"/>
      </w:pPr>
      <w:r>
        <w:rPr>
          <w:color w:val="003366"/>
          <w:sz w:val="18"/>
        </w:rPr>
        <w:t>XXIII – a propriedade atenderá a sua função social;</w:t>
      </w:r>
    </w:p>
    <w:p>
      <w:pPr>
        <w:ind w:left="1008"/>
      </w:pPr>
      <w:r>
        <w:rPr>
          <w:color w:val="003366"/>
          <w:sz w:val="18"/>
        </w:rPr>
        <w:t xml:space="preserve">a) a proteção às participações individuais em obras coletivas e à reprodução da </w:t>
      </w:r>
    </w:p>
    <w:p>
      <w:pPr>
        <w:ind w:left="1008"/>
      </w:pPr>
      <w:r>
        <w:rPr>
          <w:color w:val="003366"/>
          <w:sz w:val="18"/>
        </w:rPr>
        <w:t>b) o direito de fiscalização do aproveitamento econômico das obras que criarem o</w:t>
      </w:r>
    </w:p>
    <w:p>
      <w:pPr>
        <w:ind w:left="720"/>
      </w:pPr>
      <w:r>
        <w:rPr>
          <w:color w:val="003366"/>
          <w:sz w:val="18"/>
        </w:rPr>
        <w:t>XXX – é garantido o direito de herança;</w:t>
      </w:r>
    </w:p>
    <w:p>
      <w:pPr>
        <w:ind w:left="720"/>
      </w:pPr>
      <w:r>
        <w:rPr>
          <w:color w:val="003366"/>
          <w:sz w:val="18"/>
        </w:rPr>
        <w:t>XXXI – a sucessão de bens de estrangeiros situados no País será regulada pela le</w:t>
      </w:r>
    </w:p>
    <w:p>
      <w:pPr>
        <w:ind w:left="720"/>
      </w:pPr>
      <w:r>
        <w:rPr>
          <w:color w:val="003366"/>
          <w:sz w:val="18"/>
        </w:rPr>
        <w:t>XXXII – o Estado promoverá, na forma da lei, a defesa do consumidor;</w:t>
      </w:r>
    </w:p>
    <w:p>
      <w:pPr>
        <w:ind w:left="720"/>
      </w:pPr>
      <w:r>
        <w:rPr>
          <w:color w:val="003366"/>
          <w:sz w:val="18"/>
        </w:rPr>
        <w:t>XXXIII – todos têm direito a receber dos órgãos públicos informações de seu inte</w:t>
      </w:r>
    </w:p>
    <w:p>
      <w:pPr>
        <w:ind w:left="1008"/>
      </w:pPr>
      <w:r>
        <w:rPr>
          <w:color w:val="003366"/>
          <w:sz w:val="18"/>
        </w:rPr>
        <w:t>a) o direito de petição aos Poderes Públicos em defesa de direitos ou contra ile</w:t>
      </w:r>
    </w:p>
    <w:p>
      <w:pPr>
        <w:ind w:left="1008"/>
      </w:pPr>
      <w:r>
        <w:rPr>
          <w:color w:val="003366"/>
          <w:sz w:val="18"/>
        </w:rPr>
        <w:t>b) a obtenção de certidões em repartições públicas, para defesa de direitos e es</w:t>
      </w:r>
    </w:p>
    <w:p>
      <w:pPr>
        <w:ind w:left="1008"/>
      </w:pPr>
      <w:r>
        <w:rPr>
          <w:color w:val="003366"/>
          <w:sz w:val="18"/>
        </w:rPr>
        <w:t>a) a plenitude de defesa;</w:t>
      </w:r>
    </w:p>
    <w:p>
      <w:pPr>
        <w:ind w:left="1008"/>
      </w:pPr>
      <w:r>
        <w:rPr>
          <w:color w:val="003366"/>
          <w:sz w:val="18"/>
        </w:rPr>
        <w:t>b) o sigilo das votações;</w:t>
      </w:r>
    </w:p>
    <w:p>
      <w:pPr>
        <w:ind w:left="1008"/>
      </w:pPr>
      <w:r>
        <w:rPr>
          <w:color w:val="003366"/>
          <w:sz w:val="18"/>
        </w:rPr>
        <w:t>c) a soberania dos veredictos;</w:t>
      </w:r>
    </w:p>
    <w:p>
      <w:pPr>
        <w:ind w:left="1008"/>
      </w:pPr>
      <w:r>
        <w:rPr>
          <w:color w:val="003366"/>
          <w:sz w:val="18"/>
        </w:rPr>
        <w:t>d) a competência para o julgamento dos crimes dolosos contra a vida;</w:t>
      </w:r>
    </w:p>
    <w:p>
      <w:pPr>
        <w:ind w:left="720"/>
      </w:pPr>
      <w:r>
        <w:rPr>
          <w:color w:val="003366"/>
          <w:sz w:val="18"/>
        </w:rPr>
        <w:t>XL – a lei penal não retroagirá, salvo para beneficiar o réu;</w:t>
      </w:r>
    </w:p>
    <w:p>
      <w:pPr>
        <w:ind w:left="1008"/>
      </w:pPr>
      <w:r>
        <w:rPr>
          <w:color w:val="003366"/>
          <w:sz w:val="18"/>
        </w:rPr>
        <w:t>a) privação ou restrição da liberdade;</w:t>
      </w:r>
    </w:p>
    <w:p>
      <w:pPr>
        <w:ind w:left="1008"/>
      </w:pPr>
      <w:r>
        <w:rPr>
          <w:color w:val="003366"/>
          <w:sz w:val="18"/>
        </w:rPr>
        <w:t>b) perda de bens;</w:t>
      </w:r>
    </w:p>
    <w:p>
      <w:pPr>
        <w:ind w:left="1008"/>
      </w:pPr>
      <w:r>
        <w:rPr>
          <w:color w:val="003366"/>
          <w:sz w:val="18"/>
        </w:rPr>
        <w:t>c) multa;</w:t>
      </w:r>
    </w:p>
    <w:p>
      <w:pPr>
        <w:ind w:left="1008"/>
      </w:pPr>
      <w:r>
        <w:rPr>
          <w:color w:val="003366"/>
          <w:sz w:val="18"/>
        </w:rPr>
        <w:t>d) prestação social alternativa;</w:t>
      </w:r>
    </w:p>
    <w:p>
      <w:pPr>
        <w:ind w:left="1008"/>
      </w:pPr>
      <w:r>
        <w:rPr>
          <w:color w:val="003366"/>
          <w:sz w:val="18"/>
        </w:rPr>
        <w:t>e) suspensão ou interdição de direitos;</w:t>
      </w:r>
    </w:p>
    <w:p>
      <w:pPr>
        <w:ind w:left="1008"/>
      </w:pPr>
      <w:r>
        <w:rPr>
          <w:color w:val="003366"/>
          <w:sz w:val="18"/>
        </w:rPr>
        <w:t>a) de morte, salvo em caso de guerra declarada, nos termos do art. 84, XIX;</w:t>
      </w:r>
    </w:p>
    <w:p>
      <w:pPr>
        <w:ind w:left="1008"/>
      </w:pPr>
      <w:r>
        <w:rPr>
          <w:color w:val="003366"/>
          <w:sz w:val="18"/>
        </w:rPr>
        <w:t>b) de caráter perpétuo;</w:t>
      </w:r>
    </w:p>
    <w:p>
      <w:pPr>
        <w:ind w:left="1008"/>
      </w:pPr>
      <w:r>
        <w:rPr>
          <w:color w:val="003366"/>
          <w:sz w:val="18"/>
        </w:rPr>
        <w:t>c) de trabalhos forçados;</w:t>
      </w:r>
    </w:p>
    <w:p>
      <w:pPr>
        <w:ind w:left="1008"/>
      </w:pPr>
      <w:r>
        <w:rPr>
          <w:color w:val="003366"/>
          <w:sz w:val="18"/>
        </w:rPr>
        <w:t>d) de banimento;</w:t>
      </w:r>
    </w:p>
    <w:p>
      <w:pPr>
        <w:ind w:left="1008"/>
      </w:pPr>
      <w:r>
        <w:rPr>
          <w:color w:val="003366"/>
          <w:sz w:val="18"/>
        </w:rPr>
        <w:t>e) cruéis;</w:t>
      </w:r>
    </w:p>
    <w:p>
      <w:pPr>
        <w:ind w:left="720"/>
      </w:pPr>
      <w:r>
        <w:rPr>
          <w:color w:val="003366"/>
          <w:sz w:val="18"/>
        </w:rPr>
        <w:t>L – às presidiárias serão asseguradas condições para que possam permanecer com s</w:t>
      </w:r>
    </w:p>
    <w:p>
      <w:pPr>
        <w:ind w:left="1008"/>
      </w:pPr>
      <w:r>
        <w:rPr>
          <w:color w:val="003366"/>
          <w:sz w:val="18"/>
        </w:rPr>
        <w:t>a) partido político com representação no Congresso Nacional;</w:t>
      </w:r>
    </w:p>
    <w:p>
      <w:pPr>
        <w:ind w:left="1008"/>
      </w:pPr>
      <w:r>
        <w:rPr>
          <w:color w:val="003366"/>
          <w:sz w:val="18"/>
        </w:rPr>
        <w:t>b) organização sindical, entidade de classe ou associação legalmente constituída</w:t>
      </w:r>
    </w:p>
    <w:p>
      <w:pPr>
        <w:ind w:left="1008"/>
      </w:pPr>
      <w:r>
        <w:rPr>
          <w:color w:val="003366"/>
          <w:sz w:val="18"/>
        </w:rPr>
        <w:t>a) para assegurar o conhecimento de informações relativas à pessoa do impetrante</w:t>
      </w:r>
    </w:p>
    <w:p>
      <w:pPr>
        <w:ind w:left="1008"/>
      </w:pPr>
      <w:r>
        <w:rPr>
          <w:color w:val="003366"/>
          <w:sz w:val="18"/>
        </w:rPr>
        <w:t>b) para a retificação de dados, quando não se prefira fazê-lo por processo sigil</w:t>
      </w:r>
    </w:p>
    <w:p>
      <w:pPr>
        <w:ind w:left="1008"/>
      </w:pPr>
      <w:r>
        <w:rPr>
          <w:color w:val="003366"/>
          <w:sz w:val="18"/>
        </w:rPr>
        <w:t>a) o registro civil de nascimento;</w:t>
      </w:r>
    </w:p>
    <w:p>
      <w:pPr>
        <w:ind w:left="1008"/>
      </w:pPr>
      <w:r>
        <w:rPr>
          <w:color w:val="003366"/>
          <w:sz w:val="18"/>
        </w:rPr>
        <w:t>b) a certidão de óbito;</w:t>
      </w:r>
    </w:p>
    <w:p>
      <w:pPr>
        <w:ind w:left="432"/>
      </w:pPr>
      <w:r>
        <w:rPr>
          <w:color w:val="003366"/>
          <w:sz w:val="18"/>
        </w:rPr>
        <w:t>§ 1 As normas definidoras dos direitos e garantias fundamentais têm aplicação im</w:t>
      </w:r>
    </w:p>
    <w:p>
      <w:pPr>
        <w:ind w:left="432"/>
      </w:pPr>
      <w:r>
        <w:rPr>
          <w:color w:val="003366"/>
          <w:sz w:val="18"/>
        </w:rPr>
        <w:t>§ 2 Os direitos e garantias expressos nesta Constituição não excluem outros deco</w:t>
      </w:r>
    </w:p>
    <w:p>
      <w:pPr>
        <w:ind w:left="432"/>
      </w:pPr>
      <w:r>
        <w:rPr>
          <w:color w:val="003366"/>
          <w:sz w:val="18"/>
        </w:rPr>
        <w:t>§ 3 Os tratados e convenções internacionais sobre direitos humanos que forem apr</w:t>
      </w:r>
    </w:p>
    <w:p>
      <w:pPr>
        <w:ind w:left="432"/>
      </w:pPr>
      <w:r>
        <w:rPr>
          <w:color w:val="003366"/>
          <w:sz w:val="18"/>
        </w:rPr>
        <w:t>§ 4 O Brasil se submete à jurisdição de Tribunal Penal Internacional a cuja cria</w:t>
      </w:r>
    </w:p>
    <w:p>
      <w:pPr>
        <w:pStyle w:val="Heading2"/>
      </w:pPr>
      <w:r>
        <w:rPr>
          <w:color w:val="003366"/>
        </w:rPr>
        <w:t>CAPÍTULO II - DOS DIREITOS SOCIAIS</w:t>
      </w:r>
    </w:p>
    <w:p>
      <w:r>
        <w:rPr>
          <w:b/>
          <w:color w:val="003366"/>
          <w:sz w:val="20"/>
        </w:rPr>
        <w:t>Art. 6 São direitos sociais a educação, a saúde, a alimentação, o trabalho, a mo</w:t>
      </w:r>
      <w:r>
        <w:rPr>
          <w:color w:val="8C8C8C"/>
          <w:sz w:val="14"/>
        </w:rPr>
        <w:t xml:space="preserve">  [25 decisoes]</w:t>
      </w:r>
    </w:p>
    <w:p>
      <w:pPr>
        <w:ind w:left="288"/>
      </w:pPr>
      <w:r>
        <w:rPr>
          <w:color w:val="8C8C8C"/>
          <w:sz w:val="12"/>
        </w:rPr>
        <w:t>cf-art-6</w:t>
      </w:r>
      <w:r>
        <w:rPr>
          <w:color w:val="003CA0"/>
          <w:sz w:val="12"/>
        </w:rPr>
        <w:t xml:space="preserve"> | RCL 82.271</w:t>
      </w:r>
      <w:r>
        <w:rPr>
          <w:color w:val="003CA0"/>
          <w:sz w:val="12"/>
        </w:rPr>
        <w:t xml:space="preserve"> | rel. Dias Toffoli</w:t>
      </w:r>
    </w:p>
    <w:p>
      <w:pPr>
        <w:ind w:left="288"/>
      </w:pPr>
      <w:r>
        <w:rPr>
          <w:color w:val="1E1E1E"/>
          <w:sz w:val="18"/>
        </w:rPr>
        <w:t>O indeferimento de fornecimento de produto a base de canabidiol pelo poder público por ausência de comprovação do uso das alternativas terapêuticas disponíveis no Sistema Público de Saúde e da refratariedade aos tratamentos está em consonância com a tese do Tema nº 1.161 da RG.</w:t>
      </w:r>
    </w:p>
    <w:p>
      <w:pPr>
        <w:ind w:left="288"/>
      </w:pPr>
      <w:r>
        <w:rPr>
          <w:b/>
          <w:color w:val="003CA0"/>
          <w:sz w:val="16"/>
        </w:rPr>
        <w:t>[Rcl 82.271 AgR, rel. min. Dias Toffoli, j. 22.09.2025, 2ª T, DJE de 23.09.2025.]</w:t>
      </w:r>
    </w:p>
    <w:p>
      <w:pPr>
        <w:ind w:left="288"/>
      </w:pPr>
      <w:r>
        <w:rPr>
          <w:color w:val="8C8C8C"/>
          <w:sz w:val="12"/>
        </w:rPr>
        <w:t>cf-art-6</w:t>
      </w:r>
      <w:r>
        <w:rPr>
          <w:color w:val="003CA0"/>
          <w:sz w:val="12"/>
        </w:rPr>
        <w:t xml:space="preserve"> | ADI 6.618</w:t>
      </w:r>
      <w:r>
        <w:rPr>
          <w:color w:val="003CA0"/>
          <w:sz w:val="12"/>
        </w:rPr>
        <w:t xml:space="preserve"> | rel. Cristiano Zanin</w:t>
      </w:r>
    </w:p>
    <w:p>
      <w:pPr>
        <w:ind w:left="288"/>
      </w:pPr>
      <w:r>
        <w:rPr>
          <w:color w:val="1E1E1E"/>
          <w:sz w:val="18"/>
        </w:rPr>
        <w:t>O processo decisório ambiental do licenciamento é de alta complexidade e envolve também questões sociais, políticas e econômicas. O deslocamento de famílias interfere em profundas questões humanas, como identidade, memória e histórias, e em significativos direitos sociais, como os de moradia, de trabalho, de saúde, entre outros. Dessa forma, relegar o devido planejamento e, sobretudo, as decisões da realocação de pessoas apenas para a fase da Licença de Operação, significa proteger de forma deficiente os direitos fundamentais.</w:t>
      </w:r>
    </w:p>
    <w:p>
      <w:pPr>
        <w:ind w:left="288"/>
      </w:pPr>
      <w:r>
        <w:rPr>
          <w:b/>
          <w:color w:val="003CA0"/>
          <w:sz w:val="16"/>
        </w:rPr>
        <w:t>[ADI 6.618, rel. min. Cristiano Zanin, j. 07.04.2025, P, DJE de 09.05.2025.]</w:t>
      </w:r>
    </w:p>
    <w:p>
      <w:pPr>
        <w:ind w:left="144"/>
      </w:pPr>
      <w:r>
        <w:rPr>
          <w:b/>
          <w:color w:val="B45A00"/>
          <w:sz w:val="16"/>
        </w:rPr>
        <w:t>CONTROLE CONCENTRADO</w:t>
      </w:r>
    </w:p>
    <w:p>
      <w:pPr>
        <w:ind w:left="288"/>
      </w:pPr>
      <w:r>
        <w:rPr>
          <w:color w:val="8C8C8C"/>
          <w:sz w:val="12"/>
        </w:rPr>
        <w:t>cf-art-6</w:t>
      </w:r>
      <w:r>
        <w:rPr>
          <w:color w:val="003CA0"/>
          <w:sz w:val="12"/>
        </w:rPr>
        <w:t xml:space="preserve"> | ADPF 828</w:t>
      </w:r>
      <w:r>
        <w:rPr>
          <w:color w:val="003CA0"/>
          <w:sz w:val="12"/>
        </w:rPr>
        <w:t xml:space="preserve"> | rel. Roberto Barroso</w:t>
      </w:r>
    </w:p>
    <w:p>
      <w:pPr>
        <w:ind w:left="288"/>
      </w:pPr>
      <w:r>
        <w:rPr>
          <w:color w:val="1E1E1E"/>
          <w:sz w:val="18"/>
        </w:rPr>
        <w:t>Pedido de extensão da medida cautelar anteriormente deferida, a fim de que se mantenha a suspensão de desocupações coletivas e despejos enquanto perdurarem os efeitos da crise sanitária da COVID-19. Alteração do cenário epidemiológico no Brasil e arrefecimento dos efeitos da pandemia, notadamente com (i) a redução do número de casos diários e de mortes pela doença, (ii) o aumento exponencial da cobertura vacinal no país e (iii) a flexibilização das medidas de distanciamento físico e de uso de máscaras faciais. (...). Regime de transição quanto às ocupações coletivas. Determinação de criação im</w:t>
      </w:r>
    </w:p>
    <w:p>
      <w:pPr>
        <w:ind w:left="288"/>
      </w:pPr>
      <w:r>
        <w:rPr>
          <w:b/>
          <w:color w:val="003CA0"/>
          <w:sz w:val="16"/>
        </w:rPr>
        <w:t>[ADPF 828 TPI-quarta-REF, rel. min. Roberto Barroso, j. 2-11-2022, P, DJE de 1º-12-2022.]</w:t>
      </w:r>
    </w:p>
    <w:p>
      <w:pPr>
        <w:ind w:left="288"/>
      </w:pPr>
      <w:r>
        <w:rPr>
          <w:color w:val="8C8C8C"/>
          <w:sz w:val="12"/>
        </w:rPr>
        <w:t>cf-art-6</w:t>
      </w:r>
      <w:r>
        <w:rPr>
          <w:color w:val="003CA0"/>
          <w:sz w:val="12"/>
        </w:rPr>
        <w:t xml:space="preserve"> | ADI 6.466</w:t>
      </w:r>
      <w:r>
        <w:rPr>
          <w:color w:val="003CA0"/>
          <w:sz w:val="12"/>
        </w:rPr>
        <w:t xml:space="preserve"> | rel. Edson Fachin</w:t>
      </w:r>
    </w:p>
    <w:p>
      <w:pPr>
        <w:ind w:left="288"/>
      </w:pPr>
      <w:r>
        <w:rPr>
          <w:color w:val="1E1E1E"/>
          <w:sz w:val="18"/>
        </w:rPr>
        <w:t>Os direitos à vida e à segurança são dotados não apenas de dimensão negativa, senão também de dimensão positiva, constituindo exigência de que o Estado construa políticas de segurança pública e controle da violência armada. As obrigações assumidas pelo Estado brasileiro perante o direito internacional dos direitos humanos aprofundam a semântica dos direitos à vida e à segurança, devendo a responsabilidade do Poder Público passar pelo crivo da diligência devida e da proporcionalidade. O legislador, ao delegar ao Poder Executivo, no art. 4º, §2º da Lei nº 10.826, de 22 de dezembro de 2003, as de</w:t>
      </w:r>
    </w:p>
    <w:p>
      <w:pPr>
        <w:ind w:left="288"/>
      </w:pPr>
      <w:r>
        <w:rPr>
          <w:b/>
          <w:color w:val="003CA0"/>
          <w:sz w:val="16"/>
        </w:rPr>
        <w:t>[ADI 6.466 MC-REF, rel. min. Edson Fachin, j. 21-9-2022, P, DJE de 19-12-2022.]</w:t>
      </w:r>
    </w:p>
    <w:p>
      <w:pPr>
        <w:ind w:left="288"/>
      </w:pPr>
      <w:r>
        <w:rPr>
          <w:color w:val="8C8C8C"/>
          <w:sz w:val="12"/>
        </w:rPr>
        <w:t>cf-art-6</w:t>
      </w:r>
      <w:r>
        <w:rPr>
          <w:color w:val="003CA0"/>
          <w:sz w:val="12"/>
        </w:rPr>
        <w:t xml:space="preserve"> | ADI 5.583</w:t>
      </w:r>
      <w:r>
        <w:rPr>
          <w:color w:val="003CA0"/>
          <w:sz w:val="12"/>
        </w:rPr>
        <w:t xml:space="preserve"> | rel. Marco Aurélio</w:t>
      </w:r>
    </w:p>
    <w:p>
      <w:pPr>
        <w:ind w:left="288"/>
      </w:pPr>
      <w:r>
        <w:rPr>
          <w:color w:val="1E1E1E"/>
          <w:sz w:val="18"/>
        </w:rPr>
        <w:t>“O dispositivo impugnado traz um desestímulo a que as pessoas com deficiência busquem alternativas para se inserir no mercado de trabalho, principalmente quando incorrem em elevadas despesas médicas – que não raro estão atreladas a deficiências mais graves. Nessa hipótese, seu genitor ou responsável deixaria de deduzir tais gastos da base de cálculo do imposto devido. E, dados os baixos salários comumente pagos a elas, tal dedução dificilmente seria possível na sua própria declaração de imposto sobre a renda. (...) Na apuração do imposto sobre a renda de pessoa física, a pessoa com deficiência</w:t>
      </w:r>
    </w:p>
    <w:p>
      <w:pPr>
        <w:ind w:left="288"/>
      </w:pPr>
      <w:r>
        <w:rPr>
          <w:b/>
          <w:color w:val="003CA0"/>
          <w:sz w:val="16"/>
        </w:rPr>
        <w:t>[ADI 5.583, rel. min. Marco Aurélio, red. do ac. min. Roberto Barroso, j. 17-5-2021, P, DJE de 28-6-2021.]</w:t>
      </w:r>
    </w:p>
    <w:p>
      <w:pPr>
        <w:ind w:left="288"/>
      </w:pPr>
      <w:r>
        <w:rPr>
          <w:color w:val="8C8C8C"/>
          <w:sz w:val="12"/>
        </w:rPr>
        <w:t>cf-art-6</w:t>
      </w:r>
      <w:r>
        <w:rPr>
          <w:color w:val="003CA0"/>
          <w:sz w:val="12"/>
        </w:rPr>
        <w:t xml:space="preserve"> | RE 626.489</w:t>
      </w:r>
      <w:r>
        <w:rPr>
          <w:color w:val="003CA0"/>
          <w:sz w:val="12"/>
        </w:rPr>
        <w:t xml:space="preserve"> | rel. Edson Fachin</w:t>
      </w:r>
    </w:p>
    <w:p>
      <w:pPr>
        <w:ind w:left="288"/>
      </w:pPr>
      <w:r>
        <w:rPr>
          <w:color w:val="1E1E1E"/>
          <w:sz w:val="18"/>
        </w:rPr>
        <w:t>O núcleo essencial do direito fundamental à previdência social é imprescritível, irrenunciável e indisponível, motivo pelo qual não deve ser afetada pelos efeitos do tempo e da inércia de seu titular a pretensão relativa ao direito ao recebimento de benefício previdenciário. Este Supremo Tribunal Federal, no RE 626.489, de relatoria do i. Min. Roberto Barroso, admitiu a instituição de prazo decadencial para a revisão do ato concessório porque atingida tão somente a pretensão de rediscutir a graduação pecuniária do benefício, isto é, a forma de cálculo ou o valor final da prestação, já que, con</w:t>
      </w:r>
    </w:p>
    <w:p>
      <w:pPr>
        <w:ind w:left="288"/>
      </w:pPr>
      <w:r>
        <w:rPr>
          <w:b/>
          <w:color w:val="003CA0"/>
          <w:sz w:val="16"/>
        </w:rPr>
        <w:t>[ADI 6.096, rel. min. Edson Fachin, j. 13-10-2020, P, DJE de 26-11-2020.]</w:t>
      </w:r>
    </w:p>
    <w:p>
      <w:pPr>
        <w:ind w:left="288"/>
      </w:pPr>
      <w:r>
        <w:rPr>
          <w:color w:val="8C8C8C"/>
          <w:sz w:val="12"/>
        </w:rPr>
        <w:t>cf-art-6</w:t>
      </w:r>
      <w:r>
        <w:rPr>
          <w:color w:val="003CA0"/>
          <w:sz w:val="12"/>
        </w:rPr>
        <w:t xml:space="preserve"> | ADI 4.406</w:t>
      </w:r>
      <w:r>
        <w:rPr>
          <w:color w:val="003CA0"/>
          <w:sz w:val="12"/>
        </w:rPr>
        <w:t xml:space="preserve"> | rel. Rosa Weber</w:t>
      </w:r>
    </w:p>
    <w:p>
      <w:pPr>
        <w:ind w:left="288"/>
      </w:pPr>
      <w:r>
        <w:rPr>
          <w:color w:val="1E1E1E"/>
          <w:sz w:val="18"/>
        </w:rPr>
        <w:t>A Lei 8.112/1990 aplica-se aos professores universitários federais, que integram os quadros dos servidores públicos civis da União. O artigo 96-A, §§ 2°, 3° e 7°, da Lei nº 8.112/1990 não desrespeita a autonomia universitária. Inexiste, na autonomia universitária, espaço discricionário para a liberação dos professores universitários federais para participar de pós-graduação stricto sensu a qualquer tempo, sem observância dos requisitos mínimos legalmente determinados. A norma prestigia o direito social à educação, efetivamente concretizado pela oferta legal da oportunidade de aperfeiçoamento m</w:t>
      </w:r>
    </w:p>
    <w:p>
      <w:pPr>
        <w:ind w:left="288"/>
      </w:pPr>
      <w:r>
        <w:rPr>
          <w:b/>
          <w:color w:val="003CA0"/>
          <w:sz w:val="16"/>
        </w:rPr>
        <w:t>[ADI 4.406, rel. min. Rosa Weber, j. 18-10-2019, P, DJE de 4-11-2019.]</w:t>
      </w:r>
    </w:p>
    <w:p>
      <w:pPr>
        <w:ind w:left="288"/>
      </w:pPr>
      <w:r>
        <w:rPr>
          <w:color w:val="8C8C8C"/>
          <w:sz w:val="12"/>
        </w:rPr>
        <w:t>cf-art-6</w:t>
      </w:r>
      <w:r>
        <w:rPr>
          <w:color w:val="003CA0"/>
          <w:sz w:val="12"/>
        </w:rPr>
        <w:t xml:space="preserve"> | ADI 5.592</w:t>
      </w:r>
    </w:p>
    <w:p>
      <w:pPr>
        <w:ind w:left="288"/>
      </w:pPr>
      <w:r>
        <w:rPr>
          <w:color w:val="1E1E1E"/>
          <w:sz w:val="18"/>
        </w:rPr>
        <w:t>Apesar de submeter a incorporação do mecanismo de dispersão de substâncias químicas por aeronaves para combate ao mosquito transmissor do vírus da dengue, do vírus chikungunya e do vírus da zika à autorização da autoridade sanitária e à comprovação de eficácia da prática no combate ao mosquito, o legislador assumiu a positivação do instrumento sem a realização prévia de estudos em obediência ao princípio da precaução, o que pode levar à violação à sistemática de proteção ambiental contida no artigo 225 da Constituição Federal. (...) Em atendimento aos princípios da precaução e da prevenção, be</w:t>
      </w:r>
    </w:p>
    <w:p>
      <w:pPr>
        <w:ind w:left="288"/>
      </w:pPr>
      <w:r>
        <w:rPr>
          <w:b/>
          <w:color w:val="003CA0"/>
          <w:sz w:val="16"/>
        </w:rPr>
        <w:t>[ADI 5.592, red. do ac. min. Edson Fachin, j. 11-9-2019, P, DJE de 10-3-2020.]</w:t>
      </w:r>
    </w:p>
    <w:p>
      <w:pPr>
        <w:ind w:left="288"/>
      </w:pPr>
      <w:r>
        <w:rPr>
          <w:color w:val="8C8C8C"/>
          <w:sz w:val="12"/>
        </w:rPr>
        <w:t>cf-art-6</w:t>
      </w:r>
      <w:r>
        <w:rPr>
          <w:color w:val="003CA0"/>
          <w:sz w:val="12"/>
        </w:rPr>
        <w:t xml:space="preserve"> | ADI 5.938</w:t>
      </w:r>
      <w:r>
        <w:rPr>
          <w:color w:val="003CA0"/>
          <w:sz w:val="12"/>
        </w:rPr>
        <w:t xml:space="preserve"> | rel. Alexandre de Moraes</w:t>
      </w:r>
    </w:p>
    <w:p>
      <w:pPr>
        <w:ind w:left="288"/>
      </w:pPr>
      <w:r>
        <w:rPr>
          <w:color w:val="1E1E1E"/>
          <w:sz w:val="18"/>
        </w:rPr>
        <w:t xml:space="preserve">A Constituição Federal proclama importantes direitos em seu artigo 6º, entre eles a proteção à maternidade, que é a ratio para inúmeros outros direitos sociais instrumentais, tais como a licença-gestante e o direito à segurança no emprego, a proteção do mercado de trabalho da mulher, mediante incentivos específicos, nos termos da lei, e redução dos riscos inerentes ao trabalho, por meio de normas de saúde, higiene e segurança. A proteção contra a exposição da gestante e lactante a atividades insalubres caracteriza-se como importante direito social instrumental protetivo tanto da mulher quanto </w:t>
      </w:r>
    </w:p>
    <w:p>
      <w:pPr>
        <w:ind w:left="288"/>
      </w:pPr>
      <w:r>
        <w:rPr>
          <w:b/>
          <w:color w:val="003CA0"/>
          <w:sz w:val="16"/>
        </w:rPr>
        <w:t>[ADI 5.938, rel. min. Alexandre de Moraes, j. 29-5-2019, P, DJE de 23-9-2019.]</w:t>
      </w:r>
    </w:p>
    <w:p>
      <w:pPr>
        <w:ind w:left="288"/>
      </w:pPr>
      <w:r>
        <w:rPr>
          <w:color w:val="8C8C8C"/>
          <w:sz w:val="12"/>
        </w:rPr>
        <w:t>cf-art-6</w:t>
      </w:r>
      <w:r>
        <w:rPr>
          <w:color w:val="003CA0"/>
          <w:sz w:val="12"/>
        </w:rPr>
        <w:t xml:space="preserve"> | ADI 3.330</w:t>
      </w:r>
      <w:r>
        <w:rPr>
          <w:color w:val="003CA0"/>
          <w:sz w:val="12"/>
        </w:rPr>
        <w:t xml:space="preserve"> | rel. Ayres Britto</w:t>
      </w:r>
    </w:p>
    <w:p>
      <w:pPr>
        <w:ind w:left="288"/>
      </w:pPr>
      <w:r>
        <w:rPr>
          <w:color w:val="1E1E1E"/>
          <w:sz w:val="18"/>
        </w:rPr>
        <w:t xml:space="preserve">Programa Universidade para Todos (PROUNI). Ações afirmativas do Estado. Cumprimento do princípio constitucional da isonomia. (...) A educação, notadamente a escolar ou formal, é direito social que a todos deve alcançar. Por isso mesmo, dever do Estado e uma de suas políticas públicas de primeiríssima prioridade. A Lei 11.096/2005 não laborou no campo material reservado à lei complementar. Tratou, tão somente, de erigir um critério objetivo de contabilidade compensatória da aplicação financeira em gratuidade por parte das instituições educacionais. Critério que, se atendido, possibilita o gozo </w:t>
      </w:r>
    </w:p>
    <w:p>
      <w:pPr>
        <w:ind w:left="288"/>
      </w:pPr>
      <w:r>
        <w:rPr>
          <w:b/>
          <w:color w:val="003CA0"/>
          <w:sz w:val="16"/>
        </w:rPr>
        <w:t>[ADI 3.330, rel. min. Ayres Britto, j. 3-5-2012, P, DJE de 22-3-2013.]</w:t>
      </w:r>
    </w:p>
    <w:p>
      <w:pPr>
        <w:ind w:left="288"/>
      </w:pPr>
      <w:r>
        <w:rPr>
          <w:color w:val="8C8C8C"/>
          <w:sz w:val="12"/>
        </w:rPr>
        <w:t>cf-art-6</w:t>
      </w:r>
      <w:r>
        <w:rPr>
          <w:color w:val="003CA0"/>
          <w:sz w:val="12"/>
        </w:rPr>
        <w:t xml:space="preserve"> | ADI 1.698</w:t>
      </w:r>
      <w:r>
        <w:rPr>
          <w:color w:val="003CA0"/>
          <w:sz w:val="12"/>
        </w:rPr>
        <w:t xml:space="preserve"> | rel. Cármen Lúcia</w:t>
      </w:r>
    </w:p>
    <w:p>
      <w:pPr>
        <w:ind w:left="288"/>
      </w:pPr>
      <w:r>
        <w:rPr>
          <w:color w:val="1E1E1E"/>
          <w:sz w:val="18"/>
        </w:rPr>
        <w:t>Ação direta de inconstitucionalidade por omissão em relação ao disposto nos arts. 6º; 23, V; 208, I; e 214, I, da Constituição da República. Alegada inércia atribuída ao presidente da República para erradicar o analfabetismo no País e para implementar o ensino fundamental obrigatório e gratuito a todos os brasileiros. Dados do recenseamento do IBGE demonstram redução do índice da população analfabeta, complementado pelo aumento da escolaridade de jovens e adultos. Ausência de omissão por parte do chefe do Poder Executivo federal em razão do elevado número de programas governamentais para a áre</w:t>
      </w:r>
    </w:p>
    <w:p>
      <w:pPr>
        <w:ind w:left="288"/>
      </w:pPr>
      <w:r>
        <w:rPr>
          <w:b/>
          <w:color w:val="003CA0"/>
          <w:sz w:val="16"/>
        </w:rPr>
        <w:t>[ADI 1.698, rel. min. Cármen Lúcia, j. 25-2-2010, P, DJE de 16-4-2010.]</w:t>
      </w:r>
    </w:p>
    <w:p>
      <w:pPr>
        <w:ind w:left="288"/>
      </w:pPr>
      <w:r>
        <w:rPr>
          <w:color w:val="8C8C8C"/>
          <w:sz w:val="12"/>
        </w:rPr>
        <w:t>cf-art-6</w:t>
      </w:r>
      <w:r>
        <w:rPr>
          <w:color w:val="003CA0"/>
          <w:sz w:val="12"/>
        </w:rPr>
        <w:t xml:space="preserve"> | ADI 3.510</w:t>
      </w:r>
      <w:r>
        <w:rPr>
          <w:color w:val="003CA0"/>
          <w:sz w:val="12"/>
        </w:rPr>
        <w:t xml:space="preserve"> | rel. Ayres Britto</w:t>
      </w:r>
    </w:p>
    <w:p>
      <w:pPr>
        <w:ind w:left="288"/>
      </w:pPr>
      <w:r>
        <w:rPr>
          <w:color w:val="1E1E1E"/>
          <w:sz w:val="18"/>
        </w:rPr>
        <w:t>O § 4º do art. 199 da Constituição, versante sobre pesquisas com substâncias humanas para fins terapêuticos, faz parte da seção normativa dedicada à "Saúde" (Seção II do Capítulo II do Título VIII). Direito à saúde, positivado como um dos primeiros dos direitos sociais de natureza fundamental (art. 6º da CF) e também como o primeiro dos direitos constitutivos da seguridade social (cabeça do artigo constitucional de n. 194). Saúde que é "direito de todos e dever do Estado" (caput do art. 196 da Constituição), garantida mediante ações e serviços de pronto qualificados como "de relevância pública</w:t>
      </w:r>
    </w:p>
    <w:p>
      <w:pPr>
        <w:ind w:left="288"/>
      </w:pPr>
      <w:r>
        <w:rPr>
          <w:b/>
          <w:color w:val="003CA0"/>
          <w:sz w:val="16"/>
        </w:rPr>
        <w:t>[ADI 3.510, rel. min. Ayres Britto, j. 29-5-2008, P, DJE de 28-5-2010.]</w:t>
      </w:r>
    </w:p>
    <w:p>
      <w:pPr>
        <w:ind w:left="288"/>
      </w:pPr>
      <w:r>
        <w:rPr>
          <w:color w:val="8C8C8C"/>
          <w:sz w:val="12"/>
        </w:rPr>
        <w:t>cf-art-6</w:t>
      </w:r>
      <w:r>
        <w:rPr>
          <w:color w:val="003CA0"/>
          <w:sz w:val="12"/>
        </w:rPr>
        <w:t xml:space="preserve"> | ARE 1.484.919</w:t>
      </w:r>
      <w:r>
        <w:rPr>
          <w:color w:val="003CA0"/>
          <w:sz w:val="12"/>
        </w:rPr>
        <w:t xml:space="preserve"> | rel. Alexandre de Moraes</w:t>
      </w:r>
    </w:p>
    <w:p>
      <w:pPr>
        <w:ind w:left="288"/>
      </w:pPr>
      <w:r>
        <w:rPr>
          <w:color w:val="1E1E1E"/>
          <w:sz w:val="18"/>
        </w:rPr>
        <w:t>Indisponibilidade de bem de família e previsão de ressarcimento integral ao erário pela prática de ato de improbidade administrativa. Necessidade de conciliação interpretativa dos artigos 6º e 37, §4º da Constituição Federal.</w:t>
      </w:r>
    </w:p>
    <w:p>
      <w:pPr>
        <w:ind w:left="288"/>
      </w:pPr>
      <w:r>
        <w:rPr>
          <w:b/>
          <w:color w:val="003CA0"/>
          <w:sz w:val="16"/>
        </w:rPr>
        <w:t>[ARE 1.484.919 RG, rel. min. Alexandre de Moraes, j. 16.08.2024, P, DJE de 30.08.2024, Tema 1.316, com mérito pendente.]</w:t>
      </w:r>
    </w:p>
    <w:p>
      <w:pPr>
        <w:ind w:left="144"/>
      </w:pPr>
      <w:r>
        <w:rPr>
          <w:b/>
          <w:color w:val="B45A00"/>
          <w:sz w:val="16"/>
        </w:rPr>
        <w:t>REPERCUSSAO GERAL</w:t>
      </w:r>
    </w:p>
    <w:p>
      <w:pPr>
        <w:ind w:left="288"/>
      </w:pPr>
      <w:r>
        <w:rPr>
          <w:color w:val="8C8C8C"/>
          <w:sz w:val="12"/>
        </w:rPr>
        <w:t>cf-art-6</w:t>
      </w:r>
      <w:r>
        <w:rPr>
          <w:color w:val="003CA0"/>
          <w:sz w:val="12"/>
        </w:rPr>
        <w:t xml:space="preserve"> | RE 1.307.334</w:t>
      </w:r>
      <w:r>
        <w:rPr>
          <w:color w:val="003CA0"/>
          <w:sz w:val="12"/>
        </w:rPr>
        <w:t xml:space="preserve"> | rel. Alexandre de Moraes</w:t>
      </w:r>
    </w:p>
    <w:p>
      <w:pPr>
        <w:ind w:left="288"/>
      </w:pPr>
      <w:r>
        <w:rPr>
          <w:color w:val="1E1E1E"/>
          <w:sz w:val="18"/>
        </w:rPr>
        <w:t>É constitucional a penhora de bem de família pertencente a fiador de contrato de locação, seja residencial, seja comercial.</w:t>
        <w:br/>
        <w:t>[RE 1.307.334, rel. min. Alexandre de Moraes, j. 9-3-2022, P, DJE de 26-5-2022, Tema 1.127, com mérito julgado.] Cabe ao Estado fornecer, em termos excepcionais, medicamento que, embora não possua registro na ANVISA, tem a sua importação autorizada pela agência de vigilância sanitária, desde que comprovada a incapacidade econômica do paciente, a imprescindibilidade clínica do tratamento, e a impossibilidade de substituição por outro similar constante das listas oficiais d</w:t>
      </w:r>
    </w:p>
    <w:p>
      <w:pPr>
        <w:ind w:left="288"/>
      </w:pPr>
      <w:r>
        <w:rPr>
          <w:b/>
          <w:color w:val="003CA0"/>
          <w:sz w:val="16"/>
        </w:rPr>
        <w:t>[RE 1.165.959, rel. min. Marco Aurélio, red. do ac. Min. Alexandre de Moraes, j. 18-6-2021, P, DJE de 22-10-2021, RG, Tema 1.161, com mérito em julgado.]</w:t>
      </w:r>
    </w:p>
    <w:p>
      <w:pPr>
        <w:ind w:left="288"/>
      </w:pPr>
      <w:r>
        <w:rPr>
          <w:color w:val="8C8C8C"/>
          <w:sz w:val="12"/>
        </w:rPr>
        <w:t>cf-art-6</w:t>
      </w:r>
      <w:r>
        <w:rPr>
          <w:color w:val="003CA0"/>
          <w:sz w:val="12"/>
        </w:rPr>
        <w:t xml:space="preserve"> | RE 407.688</w:t>
      </w:r>
      <w:r>
        <w:rPr>
          <w:color w:val="003CA0"/>
          <w:sz w:val="12"/>
        </w:rPr>
        <w:t xml:space="preserve"> | rel. Cezar Peluso</w:t>
      </w:r>
    </w:p>
    <w:p>
      <w:pPr>
        <w:ind w:left="288"/>
      </w:pPr>
      <w:r>
        <w:rPr>
          <w:color w:val="1E1E1E"/>
          <w:sz w:val="18"/>
        </w:rPr>
        <w:t>O Plenário do STF, no julgamento do RE 407.688, rel. min. Cezar Peluso, DJ de 6-10-2006, afirmou ser legítima a penhora de bem de família pertencente a fiador de contrato de locação, em virtude da compatibilidade da exceção prevista no art. 3º, VII, da Lei 8.009/1990 com o direito à moradia consagrado no art. 6º da CF, com a redação da EC 26/2000.</w:t>
      </w:r>
    </w:p>
    <w:p>
      <w:pPr>
        <w:ind w:left="288"/>
      </w:pPr>
      <w:r>
        <w:rPr>
          <w:b/>
          <w:color w:val="003CA0"/>
          <w:sz w:val="16"/>
        </w:rPr>
        <w:t>[RE 612.360 RG, voto da min. Ellen Gracie, j. 13-8-2010, P, DJE de 3-9-2010, Tema 295, com mérito em julgado.]</w:t>
      </w:r>
    </w:p>
    <w:p>
      <w:pPr>
        <w:ind w:left="288"/>
      </w:pPr>
      <w:r>
        <w:rPr>
          <w:color w:val="8C8C8C"/>
          <w:sz w:val="12"/>
        </w:rPr>
        <w:t>cf-art-6</w:t>
      </w:r>
      <w:r>
        <w:rPr>
          <w:color w:val="003CA0"/>
          <w:sz w:val="12"/>
        </w:rPr>
        <w:t xml:space="preserve"> | RE 605.709</w:t>
      </w:r>
      <w:r>
        <w:rPr>
          <w:color w:val="003CA0"/>
          <w:sz w:val="12"/>
        </w:rPr>
        <w:t xml:space="preserve"> | rel. Flávio Dino</w:t>
      </w:r>
    </w:p>
    <w:p>
      <w:pPr>
        <w:ind w:left="288"/>
      </w:pPr>
      <w:r>
        <w:rPr>
          <w:color w:val="1E1E1E"/>
          <w:sz w:val="18"/>
        </w:rPr>
        <w:t>Vide RE 605.709, red. do ac. min. Rosa Weber, j. 12-6-2018, 1ª T, DJE de 18-2-2019 Mandado de injunção ajuizado com o objetivo de suprir alegada omissão normativa parcial no âmbito do CNJ acerca da definição de critérios objetivos, transparentes e não discriminatórios de identificação de vulnerabilidade em conflitos possessórios coletivos (ADPF 828; Resolução CNJ nº 510/2023). O Estado de Mato Grosso, a pretexto de suprir a suposta omissão do CNJ, fixou critérios restritivos e desconectados do diagnóstico social para caracterização de vulnerabilidade (renda per capita rígida, exclusão automáti</w:t>
      </w:r>
    </w:p>
    <w:p>
      <w:pPr>
        <w:ind w:left="288"/>
      </w:pPr>
      <w:r>
        <w:rPr>
          <w:b/>
          <w:color w:val="003CA0"/>
          <w:sz w:val="16"/>
        </w:rPr>
        <w:t>[MI 7.503 MC-REF, rel. min. Flávio Dino, j. 27.10.2025, P, DJE de 04.12.2025.]</w:t>
      </w:r>
    </w:p>
    <w:p>
      <w:pPr>
        <w:ind w:left="288"/>
      </w:pPr>
      <w:r>
        <w:rPr>
          <w:color w:val="8C8C8C"/>
          <w:sz w:val="12"/>
        </w:rPr>
        <w:t>cf-art-6</w:t>
      </w:r>
      <w:r>
        <w:rPr>
          <w:color w:val="003CA0"/>
          <w:sz w:val="12"/>
        </w:rPr>
        <w:t xml:space="preserve"> | MS 40.297</w:t>
      </w:r>
      <w:r>
        <w:rPr>
          <w:color w:val="003CA0"/>
          <w:sz w:val="12"/>
        </w:rPr>
        <w:t xml:space="preserve"> | rel. Flávio Dino</w:t>
      </w:r>
    </w:p>
    <w:p>
      <w:pPr>
        <w:ind w:left="288"/>
      </w:pPr>
      <w:r>
        <w:rPr>
          <w:color w:val="1E1E1E"/>
          <w:sz w:val="18"/>
        </w:rPr>
        <w:t>A Medida Provisória nº 1.287/2025, que institui a concessão de indenização às famílias de crianças com sequelas decorrentes da síndrome congênita do vírus da Zika, ainda não foi regulamentada nem operacionalizada pela administração pública, o que impede o acesso efetivo ao benefício. Há risco de perda do direito, pois a Medida Provisória deixará de valer em 2 de junho de 2025, caso não seja convertida em lei pelo Congresso Nacional. A omissão pode comprometer os direitos constitucionais das crianças e pessoas com deficiência, como o direito à saúde, à proteção integral e à dignidade (arts. 6º,</w:t>
      </w:r>
    </w:p>
    <w:p>
      <w:pPr>
        <w:ind w:left="288"/>
      </w:pPr>
      <w:r>
        <w:rPr>
          <w:b/>
          <w:color w:val="003CA0"/>
          <w:sz w:val="16"/>
        </w:rPr>
        <w:t>[MS 40.297 MC-REF rel. min. Flávio Dino, j. 10.06.2025, P, DJE de 06.08.2025.]</w:t>
      </w:r>
    </w:p>
    <w:p>
      <w:pPr>
        <w:ind w:left="144"/>
      </w:pPr>
      <w:r>
        <w:rPr>
          <w:b/>
          <w:color w:val="B45A00"/>
          <w:sz w:val="16"/>
        </w:rPr>
        <w:t>JULGADOS CORRELATOS</w:t>
      </w:r>
    </w:p>
    <w:p>
      <w:pPr>
        <w:ind w:left="288"/>
      </w:pPr>
      <w:r>
        <w:rPr>
          <w:color w:val="8C8C8C"/>
          <w:sz w:val="12"/>
        </w:rPr>
        <w:t>cf-art-6</w:t>
      </w:r>
      <w:r>
        <w:rPr>
          <w:color w:val="003CA0"/>
          <w:sz w:val="12"/>
        </w:rPr>
        <w:t xml:space="preserve"> | ADPF 672</w:t>
      </w:r>
      <w:r>
        <w:rPr>
          <w:color w:val="003CA0"/>
          <w:sz w:val="12"/>
        </w:rPr>
        <w:t xml:space="preserve"> | rel. Alexandre de Moraes</w:t>
      </w:r>
    </w:p>
    <w:p>
      <w:pPr>
        <w:ind w:left="288"/>
      </w:pPr>
      <w:r>
        <w:rPr>
          <w:color w:val="1E1E1E"/>
          <w:sz w:val="18"/>
        </w:rPr>
        <w:t>Compete à União promover a defesa permanente contra as calamidades públicas, impondo-lhe atuar como ente central de planejamento e coordenação em situação de emergência sanitária, ‘(...) inclusive no tocante ao financiamento e apoio logístico aos órgãos regionais e locais de saúde pública’ (ADPF 672, Rel. Min. Alexandre de Moraes, Plenário). Pedido julgado parcialmente procedente para determinar que a União preste suporte técnico e apoio financeiro para a expansão da rede de UTI no Estado durante o período de emergência sanitária.</w:t>
      </w:r>
    </w:p>
    <w:p>
      <w:pPr>
        <w:ind w:left="288"/>
      </w:pPr>
      <w:r>
        <w:rPr>
          <w:b/>
          <w:color w:val="003CA0"/>
          <w:sz w:val="16"/>
        </w:rPr>
        <w:t>[ACO 3.473, ACO 3.474, ACO 3.475, ACO 3.478 e ACO 3.483, rel. min. Rosa Weber, j. 11-11-2021, P, DJE de 2-12-2021.]</w:t>
      </w:r>
    </w:p>
    <w:p>
      <w:pPr>
        <w:ind w:left="288"/>
      </w:pPr>
      <w:r>
        <w:rPr>
          <w:color w:val="8C8C8C"/>
          <w:sz w:val="12"/>
        </w:rPr>
        <w:t>cf-art-6</w:t>
      </w:r>
      <w:r>
        <w:rPr>
          <w:color w:val="003CA0"/>
          <w:sz w:val="12"/>
        </w:rPr>
        <w:t xml:space="preserve"> | ACO 3.490</w:t>
      </w:r>
      <w:r>
        <w:rPr>
          <w:color w:val="003CA0"/>
          <w:sz w:val="12"/>
        </w:rPr>
        <w:t xml:space="preserve"> | rel. Rosa Weber</w:t>
      </w:r>
    </w:p>
    <w:p>
      <w:pPr>
        <w:ind w:left="288"/>
      </w:pPr>
      <w:r>
        <w:rPr>
          <w:color w:val="1E1E1E"/>
          <w:sz w:val="18"/>
        </w:rPr>
        <w:t>“As incertezas sobre a progressão da pandemia e a imprevisibilidade da conjuntura de saúde pública causada pela COVID-19 autorizam a fração genérica do pedido, no que diz ao quantitativo dos insumos do kit intubação, porquanto inviável ‘determinar, desde logo, as consequências do ato ou do fato’. Inépcia da petição inicial não configurada (art. 322, § 2º, c/c art. 324, § 1º, II, do CPC/15). O princípio da precaução orienta as políticas públicas sanitárias a gerenciar de forma imediata os riscos coletivos, com o olhar voltado para o futuro: in dubio pro salute. Dever estatal de enfrentamento da</w:t>
      </w:r>
    </w:p>
    <w:p>
      <w:pPr>
        <w:ind w:left="288"/>
      </w:pPr>
      <w:r>
        <w:rPr>
          <w:b/>
          <w:color w:val="003CA0"/>
          <w:sz w:val="16"/>
        </w:rPr>
        <w:t>[ACO 3.490-TP-Ref, rel. min. Rosa Weber, j. 14-6-2021, P, DJE de 24-6-2021.]</w:t>
      </w:r>
    </w:p>
    <w:p>
      <w:pPr>
        <w:ind w:left="288"/>
      </w:pPr>
      <w:r>
        <w:rPr>
          <w:color w:val="8C8C8C"/>
          <w:sz w:val="12"/>
        </w:rPr>
        <w:t>cf-art-6</w:t>
      </w:r>
      <w:r>
        <w:rPr>
          <w:color w:val="003CA0"/>
          <w:sz w:val="12"/>
        </w:rPr>
        <w:t xml:space="preserve"> | PET 8.002</w:t>
      </w:r>
      <w:r>
        <w:rPr>
          <w:color w:val="003CA0"/>
          <w:sz w:val="12"/>
        </w:rPr>
        <w:t xml:space="preserve"> | rel. Luiz Fux</w:t>
      </w:r>
    </w:p>
    <w:p>
      <w:pPr>
        <w:ind w:left="288"/>
      </w:pPr>
      <w:r>
        <w:rPr>
          <w:color w:val="1E1E1E"/>
          <w:sz w:val="18"/>
        </w:rPr>
        <w:t>In casu: (i) os acórdãos do Superior Tribunal de Justiça e do Tribunal Regional Federal da 4ª Região invocaram os princípios constitucionais da dignidade da pessoa humana (art. 1º, III, CRFB) e da isonomia (art. 5º, caput, CRFB), bem como os direitos sociais (art. 6º CRFB), para estender o adicional de assistência permanente previsto no art. 45 da Lei nº 8.213/91 a beneficiários diversos dos aposentados por invalidez, indicando o fumus boni iuris quanto à admissão do Recurso Extraordinário; (ii) o risco de lesão grave a ser afastado com a suspensão dos processos que versem sobre a controvérsia</w:t>
      </w:r>
    </w:p>
    <w:p>
      <w:pPr>
        <w:ind w:left="288"/>
      </w:pPr>
      <w:r>
        <w:rPr>
          <w:b/>
          <w:color w:val="003CA0"/>
          <w:sz w:val="16"/>
        </w:rPr>
        <w:t>[PET 8.002-AgR, rel. min. Luiz Fux, j. 12-3-2019, 1ª T, DJE de 1º-8-2019.]</w:t>
      </w:r>
    </w:p>
    <w:p>
      <w:pPr>
        <w:ind w:left="288"/>
      </w:pPr>
      <w:r>
        <w:rPr>
          <w:color w:val="8C8C8C"/>
          <w:sz w:val="12"/>
        </w:rPr>
        <w:t>cf-art-6</w:t>
      </w:r>
      <w:r>
        <w:rPr>
          <w:color w:val="003CA0"/>
          <w:sz w:val="12"/>
        </w:rPr>
        <w:t xml:space="preserve"> | ARE 908.144</w:t>
      </w:r>
      <w:r>
        <w:rPr>
          <w:color w:val="003CA0"/>
          <w:sz w:val="12"/>
        </w:rPr>
        <w:t xml:space="preserve"> | rel. Edson Fachin</w:t>
      </w:r>
    </w:p>
    <w:p>
      <w:pPr>
        <w:ind w:left="288"/>
      </w:pPr>
      <w:r>
        <w:rPr>
          <w:color w:val="1E1E1E"/>
          <w:sz w:val="18"/>
        </w:rPr>
        <w:t>Direito fundamental à moradia. Imóvel público. Loteamento irregular. Inércia do poder público. (...) O exercício do poder de polícia de ordenação territorial pode ser analisado a partir dos direitos fundamentais, que constituem, a toda evidência, o fundamento e o fim da atividade estatal. Na presença de instrumentos do Estatuto das Cidades (Lei 10.257/2001) para efetivar as diretrizes constitucionais, é razoável exigir do poder público medidas para mitigar as consequências causadas pela demolição de construções familiares erigidas em terrenos irregulares. Diante da previsão constitucional expr</w:t>
      </w:r>
    </w:p>
    <w:p>
      <w:pPr>
        <w:ind w:left="288"/>
      </w:pPr>
      <w:r>
        <w:rPr>
          <w:b/>
          <w:color w:val="003CA0"/>
          <w:sz w:val="16"/>
        </w:rPr>
        <w:t>[ARE 908.144-AgR, rel. min. Edson Fachin, j. 17-8-2018, 2ª T, DJE de 27-8-2018.]</w:t>
      </w:r>
    </w:p>
    <w:p>
      <w:pPr>
        <w:ind w:left="288"/>
      </w:pPr>
      <w:r>
        <w:rPr>
          <w:color w:val="8C8C8C"/>
          <w:sz w:val="12"/>
        </w:rPr>
        <w:t>cf-art-6</w:t>
      </w:r>
      <w:r>
        <w:rPr>
          <w:color w:val="003CA0"/>
          <w:sz w:val="12"/>
        </w:rPr>
        <w:t xml:space="preserve"> | RE 605.709</w:t>
      </w:r>
    </w:p>
    <w:p>
      <w:pPr>
        <w:ind w:left="288"/>
      </w:pPr>
      <w:r>
        <w:rPr>
          <w:color w:val="1E1E1E"/>
          <w:sz w:val="18"/>
        </w:rPr>
        <w:t>Insubmissão à sistemática da repercussão geral. Premissas distintas das verificadas em precedentes desta Suprema Corte, que abordaram garantia fidejussória em locação residencial. Caso concreto que envolve dívida decorrente de contrato de locação de imóvel comercial. Penhora de bem de família do fiador. Incompatibilidade com o direito à moradia e com o princípio da isonomia. A dignidade da pessoa humana e a proteção à família exigem que se ponham ao abrigo da constrição e da alienação forçada determinados bens. É o que ocorre com o bem de família do fiador, destinado à sua moradia, cujo sacrif</w:t>
      </w:r>
    </w:p>
    <w:p>
      <w:pPr>
        <w:ind w:left="288"/>
      </w:pPr>
      <w:r>
        <w:rPr>
          <w:b/>
          <w:color w:val="003CA0"/>
          <w:sz w:val="16"/>
        </w:rPr>
        <w:t>[RE 605.709, red. do ac. min. Rosa Weber, j. 12-6-2018, 1ª T, DJE de 18-2-2019.]</w:t>
      </w:r>
    </w:p>
    <w:p>
      <w:pPr>
        <w:ind w:left="288"/>
      </w:pPr>
      <w:r>
        <w:rPr>
          <w:color w:val="8C8C8C"/>
          <w:sz w:val="12"/>
        </w:rPr>
        <w:t>cf-art-6</w:t>
      </w:r>
      <w:r>
        <w:rPr>
          <w:color w:val="003CA0"/>
          <w:sz w:val="12"/>
        </w:rPr>
        <w:t xml:space="preserve"> | RE 1.304.844</w:t>
      </w:r>
      <w:r>
        <w:rPr>
          <w:color w:val="003CA0"/>
          <w:sz w:val="12"/>
        </w:rPr>
        <w:t xml:space="preserve"> | rel. Ricardo Lewandowski</w:t>
      </w:r>
    </w:p>
    <w:p>
      <w:pPr>
        <w:ind w:left="288"/>
      </w:pPr>
      <w:r>
        <w:rPr>
          <w:color w:val="1E1E1E"/>
          <w:sz w:val="18"/>
        </w:rPr>
        <w:t xml:space="preserve">= RE 1.304.844 AgR, rel. min. Ricardo Lewandowski, j. 22-3-2021, ª T, DJE de 4-5-2021 Suspensão de inclusão de novos beneficiários. Operadora de plano de saúde. GEAP [Autogestão em Saúde]. Óbice ao ingresso de servidor do Poder Executivo cedido à Justiça Federal, que, acometido de doença grave, retornou ao órgão de origem para aposentadoria por invalidez. Impossibilidade de interrupção do tratamento da doença iniciado durante período de cessão. Vedação administrativa excepcionada pelas peculiaridades da espécie em exame. Princípio da dignidade da pessoa humana e do direito à saúde. Mandado de </w:t>
      </w:r>
    </w:p>
    <w:p>
      <w:pPr>
        <w:ind w:left="288"/>
      </w:pPr>
      <w:r>
        <w:rPr>
          <w:b/>
          <w:color w:val="003CA0"/>
          <w:sz w:val="16"/>
        </w:rPr>
        <w:t>[MS 33.619, rel. min. Cármen Lúcia, j. 23-8-2016, 2ª T, DJE de 6-9-2016.]</w:t>
      </w:r>
    </w:p>
    <w:p>
      <w:pPr>
        <w:ind w:left="288"/>
      </w:pPr>
      <w:r>
        <w:rPr>
          <w:color w:val="8C8C8C"/>
          <w:sz w:val="12"/>
        </w:rPr>
        <w:t>cf-art-6</w:t>
      </w:r>
      <w:r>
        <w:rPr>
          <w:color w:val="003CA0"/>
          <w:sz w:val="12"/>
        </w:rPr>
        <w:t xml:space="preserve"> | RE 559.646</w:t>
      </w:r>
      <w:r>
        <w:rPr>
          <w:color w:val="003CA0"/>
          <w:sz w:val="12"/>
        </w:rPr>
        <w:t xml:space="preserve"> | rel. Ellen Gracie</w:t>
      </w:r>
    </w:p>
    <w:p>
      <w:pPr>
        <w:ind w:left="288"/>
      </w:pPr>
      <w:r>
        <w:rPr>
          <w:color w:val="1E1E1E"/>
          <w:sz w:val="18"/>
        </w:rPr>
        <w:t>O direito a segurança é prerrogativa constitucional indisponível, garantido mediante a implementação de políticas públicas, impondo ao Estado a obrigação de criar condições objetivas que possibilitem o efetivo acesso a tal serviço. É possível ao Poder Judiciário determinar a implementação pelo Estado, quando inadimplente, de políticas públicas constitucionalmente previstas, sem que haja ingerência em questão que envolve o poder discricionário do Poder Executivo.</w:t>
      </w:r>
    </w:p>
    <w:p>
      <w:pPr>
        <w:ind w:left="288"/>
      </w:pPr>
      <w:r>
        <w:rPr>
          <w:b/>
          <w:color w:val="003CA0"/>
          <w:sz w:val="16"/>
        </w:rPr>
        <w:t>[RE 559.646 AgR, rel. min. Ellen Gracie, j. 7-6-2011, 2ª T, DJE de 24-6-2011.]</w:t>
      </w:r>
    </w:p>
    <w:p>
      <w:pPr>
        <w:ind w:left="288"/>
      </w:pPr>
      <w:r>
        <w:rPr>
          <w:color w:val="8C8C8C"/>
          <w:sz w:val="12"/>
        </w:rPr>
        <w:t>cf-art-6</w:t>
      </w:r>
      <w:r>
        <w:rPr>
          <w:color w:val="003CA0"/>
          <w:sz w:val="12"/>
        </w:rPr>
        <w:t xml:space="preserve"> | ARE 654.823</w:t>
      </w:r>
      <w:r>
        <w:rPr>
          <w:color w:val="003CA0"/>
          <w:sz w:val="12"/>
        </w:rPr>
        <w:t xml:space="preserve"> | rel. Dias Toffoli</w:t>
      </w:r>
    </w:p>
    <w:p>
      <w:pPr>
        <w:ind w:left="288"/>
      </w:pPr>
      <w:r>
        <w:rPr>
          <w:color w:val="1E1E1E"/>
          <w:sz w:val="18"/>
        </w:rPr>
        <w:t>= ARE 654.823 AgR, rel. min. Dias Toffoli, j. 12-11-2013, 1ª T, DJE de 5-12-2013 Bem de família. Penhora. Decorrência de despesas condominiais. A relação condominial é, tipicamente, relação de comunhão de escopo. O pagamento da contribuição condominial (obrigação propter rem) é essencial à conservação da propriedade, vale dizer, à garantia da subsistência individual e familiar – a dignidade da pessoa humana. Não há razão para, no caso, cogitar-se de impenhorabilidade.</w:t>
      </w:r>
    </w:p>
    <w:p>
      <w:pPr>
        <w:ind w:left="288"/>
      </w:pPr>
      <w:r>
        <w:rPr>
          <w:b/>
          <w:color w:val="003CA0"/>
          <w:sz w:val="16"/>
        </w:rPr>
        <w:t>[RE 439.003, rel. min. Eros Grau, j. 6-2-2007, 2ª T, DJ de 2-3-2007.]</w:t>
      </w:r>
    </w:p>
    <w:p>
      <w:r>
        <w:rPr>
          <w:b/>
          <w:color w:val="003366"/>
          <w:sz w:val="20"/>
        </w:rPr>
        <w:t>Art. 7 São direitos dos trabalhadores urbanos e rurais, além de outros que visem</w:t>
      </w:r>
      <w:r>
        <w:rPr>
          <w:color w:val="8C8C8C"/>
          <w:sz w:val="14"/>
        </w:rPr>
        <w:t xml:space="preserve">  [175 decisoes]</w:t>
      </w:r>
    </w:p>
    <w:p>
      <w:pPr>
        <w:ind w:left="288"/>
      </w:pPr>
      <w:r>
        <w:rPr>
          <w:color w:val="8C8C8C"/>
          <w:sz w:val="12"/>
        </w:rPr>
        <w:t>cf-art-7</w:t>
      </w:r>
      <w:r>
        <w:rPr>
          <w:color w:val="003CA0"/>
          <w:sz w:val="12"/>
        </w:rPr>
        <w:t xml:space="preserve"> | ADI 5.826</w:t>
      </w:r>
      <w:r>
        <w:rPr>
          <w:color w:val="003CA0"/>
          <w:sz w:val="12"/>
        </w:rPr>
        <w:t xml:space="preserve"> | rel. Edson Fachin</w:t>
      </w:r>
    </w:p>
    <w:p>
      <w:pPr>
        <w:ind w:left="288"/>
      </w:pPr>
      <w:r>
        <w:rPr>
          <w:color w:val="1E1E1E"/>
          <w:sz w:val="18"/>
        </w:rPr>
        <w:t xml:space="preserve">Contrato de trabalho intermitente. Regras instituídas pela Lei nº 13.467/2017 e pela Medida Provisória nº 808/2017. (...) A regulamentação do contrato intermitente, nos termos estabelecidos pelas normas questionadas, encontra fundamento de validade nos arts. 1º, IV, e 170, caput, da Constituição Federal, os quais consagram a livre iniciativa e o valor social do trabalho. A flexibilização promovida pela Reforma Trabalhista visa à ampliação do mercado de trabalho, sem prejuízo das garantias mínimas asseguradas pela ordem constitucional trabalhista. Uma vez que a contratação intermitente observa </w:t>
      </w:r>
    </w:p>
    <w:p>
      <w:pPr>
        <w:ind w:left="288"/>
      </w:pPr>
      <w:r>
        <w:rPr>
          <w:b/>
          <w:color w:val="003CA0"/>
          <w:sz w:val="16"/>
        </w:rPr>
        <w:t>[ADI 5.826, ADI 5.829 e ADI 6.154, rel. min. Edson Fachin, red. do ac. min. Nunes Marques, j. 16.12.2024, P, DJE de 13.02.2025.]</w:t>
      </w:r>
    </w:p>
    <w:p>
      <w:pPr>
        <w:ind w:left="144"/>
      </w:pPr>
      <w:r>
        <w:rPr>
          <w:b/>
          <w:color w:val="B45A00"/>
          <w:sz w:val="16"/>
        </w:rPr>
        <w:t>CONTROLE CONCENTRADO</w:t>
      </w:r>
    </w:p>
    <w:p>
      <w:pPr>
        <w:ind w:left="288"/>
      </w:pPr>
      <w:r>
        <w:rPr>
          <w:color w:val="8C8C8C"/>
          <w:sz w:val="12"/>
        </w:rPr>
        <w:t>cf-art-7</w:t>
      </w:r>
      <w:r>
        <w:rPr>
          <w:color w:val="003CA0"/>
          <w:sz w:val="12"/>
        </w:rPr>
        <w:t xml:space="preserve"> | ADI 639</w:t>
      </w:r>
      <w:r>
        <w:rPr>
          <w:color w:val="003CA0"/>
          <w:sz w:val="12"/>
        </w:rPr>
        <w:t xml:space="preserve"> | rel. Joaquim Barbosa</w:t>
      </w:r>
    </w:p>
    <w:p>
      <w:pPr>
        <w:ind w:left="288"/>
      </w:pPr>
      <w:r>
        <w:rPr>
          <w:color w:val="1E1E1E"/>
          <w:sz w:val="18"/>
        </w:rPr>
        <w:t>(...) deve-se mencionar que o rol de garantias do art. 7º da Constituição não exaure a proteção aos direitos sociais.</w:t>
      </w:r>
    </w:p>
    <w:p>
      <w:pPr>
        <w:ind w:left="288"/>
      </w:pPr>
      <w:r>
        <w:rPr>
          <w:b/>
          <w:color w:val="003CA0"/>
          <w:sz w:val="16"/>
        </w:rPr>
        <w:t>[ADI 639, voto do rel. min. Joaquim Barbosa, j. 2-6-2005, P, DJ de 21-10-2005.]</w:t>
      </w:r>
    </w:p>
    <w:p>
      <w:pPr>
        <w:ind w:left="144"/>
      </w:pPr>
      <w:r>
        <w:rPr>
          <w:b/>
          <w:color w:val="B45A00"/>
          <w:sz w:val="16"/>
        </w:rPr>
        <w:t>JULGADOS CORRELATOS</w:t>
      </w:r>
    </w:p>
    <w:p>
      <w:pPr>
        <w:ind w:left="288"/>
      </w:pPr>
      <w:r>
        <w:rPr>
          <w:color w:val="8C8C8C"/>
          <w:sz w:val="12"/>
        </w:rPr>
        <w:t>cf-art-7</w:t>
      </w:r>
      <w:r>
        <w:rPr>
          <w:color w:val="003CA0"/>
          <w:sz w:val="12"/>
        </w:rPr>
        <w:t xml:space="preserve"> | RE 630.918</w:t>
      </w:r>
      <w:r>
        <w:rPr>
          <w:color w:val="003CA0"/>
          <w:sz w:val="12"/>
        </w:rPr>
        <w:t xml:space="preserve"> | rel. Roberto Barroso</w:t>
      </w:r>
    </w:p>
    <w:p>
      <w:pPr>
        <w:ind w:left="288"/>
      </w:pPr>
      <w:r>
        <w:rPr>
          <w:color w:val="1E1E1E"/>
          <w:sz w:val="18"/>
        </w:rPr>
        <w:t>O entendimento do Supremo Tribunal Federal (STF) orienta-se no sentido de que cabe à legislação infraconstitucional, com observância das regras de competência de cada ente federado, a disciplina da extensão aos servidores públicos civis dos direitos sociais estabelecidos no art. 7º do Texto Constitucional.</w:t>
      </w:r>
    </w:p>
    <w:p>
      <w:pPr>
        <w:ind w:left="288"/>
      </w:pPr>
      <w:r>
        <w:rPr>
          <w:b/>
          <w:color w:val="003CA0"/>
          <w:sz w:val="16"/>
        </w:rPr>
        <w:t>[RE 630.918 AgR-segundo, rel. min. Roberto Barroso, j. 23-3-2018, 1ª T, DJE de 12-4-2018.]</w:t>
      </w:r>
    </w:p>
    <w:p>
      <w:pPr>
        <w:ind w:left="144"/>
      </w:pPr>
      <w:r>
        <w:rPr>
          <w:b/>
          <w:color w:val="B45A00"/>
          <w:sz w:val="16"/>
        </w:rPr>
        <w:t>CONTROLE CONCENTRADO</w:t>
      </w:r>
    </w:p>
    <w:p>
      <w:pPr>
        <w:ind w:left="288"/>
      </w:pPr>
      <w:r>
        <w:rPr>
          <w:color w:val="8C8C8C"/>
          <w:sz w:val="12"/>
        </w:rPr>
        <w:t>cf-art-7-inc-I</w:t>
      </w:r>
      <w:r>
        <w:rPr>
          <w:color w:val="003CA0"/>
          <w:sz w:val="12"/>
        </w:rPr>
        <w:t xml:space="preserve"> | ADI 3.934</w:t>
      </w:r>
    </w:p>
    <w:p>
      <w:pPr>
        <w:ind w:left="288"/>
      </w:pPr>
      <w:r>
        <w:rPr>
          <w:color w:val="1E1E1E"/>
          <w:sz w:val="18"/>
        </w:rPr>
        <w:t>Com efeito, nos termos do art. 22, I, da CF, compete privativamente à União legislar sobre direito do trabalho, não estando ela obrigada a utilizar-se de lei complementar para disciplinar a matéria, que somente é exigida, nos termos do art. 7º, I, da mesma Carta, para regrar a dispensa imotivada. Esse tema, porém, definitivamente, não constitui objeto da Lei 11.101/2005. Não é difícil constatar, a meu ver, que o escopo do referido diploma normativo restringe-se a estabelecer normas para a recuperação judicial e a falência das empresas, além de proteger os direitos de seus credores. Mesmo que s</w:t>
      </w:r>
    </w:p>
    <w:p>
      <w:pPr>
        <w:ind w:left="288"/>
      </w:pPr>
      <w:r>
        <w:rPr>
          <w:b/>
          <w:color w:val="003CA0"/>
          <w:sz w:val="16"/>
        </w:rPr>
        <w:t>[ADI 3.934, voto do min. Ricardo Lewandowski, j. 27-5-2009, P, DJE de 6-11-2009.]</w:t>
      </w:r>
    </w:p>
    <w:p>
      <w:pPr>
        <w:ind w:left="288"/>
      </w:pPr>
      <w:r>
        <w:rPr>
          <w:color w:val="8C8C8C"/>
          <w:sz w:val="12"/>
        </w:rPr>
        <w:t>cf-art-7-inc-I</w:t>
      </w:r>
      <w:r>
        <w:rPr>
          <w:color w:val="003CA0"/>
          <w:sz w:val="12"/>
        </w:rPr>
        <w:t xml:space="preserve"> | ADI 1.721</w:t>
      </w:r>
      <w:r>
        <w:rPr>
          <w:color w:val="003CA0"/>
          <w:sz w:val="12"/>
        </w:rPr>
        <w:t xml:space="preserve"> | rel. Ayres Britto</w:t>
      </w:r>
    </w:p>
    <w:p>
      <w:pPr>
        <w:ind w:left="288"/>
      </w:pPr>
      <w:r>
        <w:rPr>
          <w:color w:val="1E1E1E"/>
          <w:sz w:val="18"/>
        </w:rPr>
        <w:t xml:space="preserve">Ação direta de inconstitucionalidade. Art. 3º da MP 1.596-14/1997, convertida na Lei 9.528/1997, que adicionou ao art. 453 da CLT um segundo parágrafo para extinguir o vínculo empregatício quando da concessão da aposentadoria espontânea. Procedência da ação. (...) Os valores sociais do trabalho constituem: a) fundamento da República Federativa do Brasil (inciso IV do art. 1º da CF); b) alicerce da ordem econômica, que tem por finalidade assegurar a todos existência digna, conforme os ditames da justiça social, e, por um dos seus princípios, a busca do pleno emprego (art. 170, caput, VIII); c) </w:t>
      </w:r>
    </w:p>
    <w:p>
      <w:pPr>
        <w:ind w:left="288"/>
      </w:pPr>
      <w:r>
        <w:rPr>
          <w:b/>
          <w:color w:val="003CA0"/>
          <w:sz w:val="16"/>
        </w:rPr>
        <w:t>[ADI 1.721, rel. min. Ayres Britto, j. 11-10-2006, P, DJ de 29-6-2007.]</w:t>
      </w:r>
    </w:p>
    <w:p>
      <w:pPr>
        <w:ind w:left="288"/>
      </w:pPr>
      <w:r>
        <w:rPr>
          <w:color w:val="8C8C8C"/>
          <w:sz w:val="12"/>
        </w:rPr>
        <w:t>cf-art-7-inc-I</w:t>
      </w:r>
      <w:r>
        <w:rPr>
          <w:color w:val="003CA0"/>
          <w:sz w:val="12"/>
        </w:rPr>
        <w:t xml:space="preserve"> | AI 756.861</w:t>
      </w:r>
      <w:r>
        <w:rPr>
          <w:color w:val="003CA0"/>
          <w:sz w:val="12"/>
        </w:rPr>
        <w:t xml:space="preserve"> | rel. Cármen Lúcia</w:t>
      </w:r>
    </w:p>
    <w:p>
      <w:pPr>
        <w:ind w:left="288"/>
      </w:pPr>
      <w:r>
        <w:rPr>
          <w:color w:val="1E1E1E"/>
          <w:sz w:val="18"/>
        </w:rPr>
        <w:t>= AI 756.861 ED, rel. min. Cármen Lúcia, j. 1º-2-2011, 1ª T, DJE de 4-3-2011 Norma que assegura ao trabalhador a manutenção de contrato de trabalho por doze meses após a cessão do auxílio-doença, independentemente de percepção de auxílio-acidente. Alegação de ofensa à reserva de lei complementar, prevista no art. 7º, I, da CF, para a disciplina da proteção da relação de emprego contra despedida arbitrária ou sem justa causa. Norma que se refere às garantias constitucionais do trabalhador em face de acidentes de trabalho e não guarda pertinência com a proteção da relação de emprego nos termos d</w:t>
      </w:r>
    </w:p>
    <w:p>
      <w:pPr>
        <w:ind w:left="288"/>
      </w:pPr>
      <w:r>
        <w:rPr>
          <w:b/>
          <w:color w:val="003CA0"/>
          <w:sz w:val="16"/>
        </w:rPr>
        <w:t>[ADI 639, rel. min. Joaquim Barbosa, j. 2-6-2005, P, DJ de 21-10-2005.]</w:t>
      </w:r>
    </w:p>
    <w:p>
      <w:pPr>
        <w:ind w:left="288"/>
      </w:pPr>
      <w:r>
        <w:rPr>
          <w:color w:val="8C8C8C"/>
          <w:sz w:val="12"/>
        </w:rPr>
        <w:t>cf-art-7-inc-I</w:t>
      </w:r>
      <w:r>
        <w:rPr>
          <w:color w:val="003CA0"/>
          <w:sz w:val="12"/>
        </w:rPr>
        <w:t xml:space="preserve"> | ADI 1.480</w:t>
      </w:r>
      <w:r>
        <w:rPr>
          <w:color w:val="003CA0"/>
          <w:sz w:val="12"/>
        </w:rPr>
        <w:t xml:space="preserve"> | rel. Celso de Mello</w:t>
      </w:r>
    </w:p>
    <w:p>
      <w:pPr>
        <w:ind w:left="288"/>
      </w:pPr>
      <w:r>
        <w:rPr>
          <w:color w:val="1E1E1E"/>
          <w:sz w:val="18"/>
        </w:rPr>
        <w:t>A Convenção 158 da OIT (...) não consagrou, como única consequência derivada da ruptura abusiva ou arbitrária do contrato de trabalho, o dever de os Estados-partes, como o Brasil, instituírem, em sua legislação nacional, apenas a garantia da reintegração no emprego. Pelo contrário, a Convenção 158/OIT expressamente permite a cada Estado-parte (art. 10), que, em função de seu próprio ordenamento positivo interno, opte pela solução normativa que se revelar mais consentânea e compatível com a legislação e a prática nacionais, adotando, em consequência, sempre com estrita observância do estatuto f</w:t>
      </w:r>
    </w:p>
    <w:p>
      <w:pPr>
        <w:ind w:left="288"/>
      </w:pPr>
      <w:r>
        <w:rPr>
          <w:b/>
          <w:color w:val="003CA0"/>
          <w:sz w:val="16"/>
        </w:rPr>
        <w:t>[ADI 1.480 MC, rel. min. Celso de Mello, j. 4-9-1997, P, DJ de 18-5-2001.]</w:t>
      </w:r>
    </w:p>
    <w:p>
      <w:pPr>
        <w:ind w:left="144"/>
      </w:pPr>
      <w:r>
        <w:rPr>
          <w:b/>
          <w:color w:val="B45A00"/>
          <w:sz w:val="16"/>
        </w:rPr>
        <w:t>REPERCUSSAO GERAL</w:t>
      </w:r>
    </w:p>
    <w:p>
      <w:pPr>
        <w:ind w:left="288"/>
      </w:pPr>
      <w:r>
        <w:rPr>
          <w:color w:val="8C8C8C"/>
          <w:sz w:val="12"/>
        </w:rPr>
        <w:t>cf-art-7-inc-I</w:t>
      </w:r>
      <w:r>
        <w:rPr>
          <w:color w:val="003CA0"/>
          <w:sz w:val="12"/>
        </w:rPr>
        <w:t xml:space="preserve"> | RE 999.435</w:t>
      </w:r>
      <w:r>
        <w:rPr>
          <w:color w:val="003CA0"/>
          <w:sz w:val="12"/>
        </w:rPr>
        <w:t xml:space="preserve"> | rel. Marco Aurélio</w:t>
      </w:r>
    </w:p>
    <w:p>
      <w:pPr>
        <w:ind w:left="288"/>
      </w:pPr>
      <w:r>
        <w:rPr>
          <w:color w:val="1E1E1E"/>
          <w:sz w:val="18"/>
        </w:rPr>
        <w:t>A intervenção sindical prévia é exigência procedimental imprescindível para a dispensa em massa de trabalhadores, que não se confunde com autorização prévia por parte da entidade sindical, ou celebração de convenção o acordo coletivo.</w:t>
      </w:r>
    </w:p>
    <w:p>
      <w:pPr>
        <w:ind w:left="288"/>
      </w:pPr>
      <w:r>
        <w:rPr>
          <w:b/>
          <w:color w:val="003CA0"/>
          <w:sz w:val="16"/>
        </w:rPr>
        <w:t>[RE 999.435, rel. min. Marco Aurélio, red. do ac. min. Edson Fachin, j. 8-6-2022, P, DJE de 15-9-2022, Tema 638, com mérito julgado.]</w:t>
      </w:r>
    </w:p>
    <w:p>
      <w:pPr>
        <w:ind w:left="288"/>
      </w:pPr>
      <w:r>
        <w:rPr>
          <w:color w:val="8C8C8C"/>
          <w:sz w:val="12"/>
        </w:rPr>
        <w:t>cf-art-7-inc-I</w:t>
      </w:r>
      <w:r>
        <w:rPr>
          <w:color w:val="003CA0"/>
          <w:sz w:val="12"/>
        </w:rPr>
        <w:t xml:space="preserve"> | RE 806.190</w:t>
      </w:r>
    </w:p>
    <w:p>
      <w:pPr>
        <w:ind w:left="288"/>
      </w:pPr>
      <w:r>
        <w:rPr>
          <w:color w:val="1E1E1E"/>
          <w:sz w:val="18"/>
        </w:rPr>
        <w:t>O Tribunal de origem, ao assentar a inconstitucionalidade do art. 31 da Lei 8.880/1994, fundamentado no art. 7º, I, da CF, destoou da jurisprudência desta Corte, a qual é firme no sentido de que o dispositivo questionado configurou medida legislativa emergencial do Estado em busca da preservação do nível de emprego durante o período de transição monetária (implantação do denominado Plano Real), não tendo a finalidade de implantar um sistema geral e definitivo de proteção da relação de emprego, mas se configurando como norma de ajustamento do sistema monetário, cuja competência é privativa da U</w:t>
      </w:r>
    </w:p>
    <w:p>
      <w:pPr>
        <w:ind w:left="288"/>
      </w:pPr>
      <w:r>
        <w:rPr>
          <w:b/>
          <w:color w:val="003CA0"/>
          <w:sz w:val="16"/>
        </w:rPr>
        <w:t>[RE 806.190 RG, voto do min. Gilmar Mendes, j. 12-6-2014, P, DJE de 27-6-2014, Tema 748, com mérito julgado.]</w:t>
      </w:r>
    </w:p>
    <w:p>
      <w:pPr>
        <w:ind w:left="144"/>
      </w:pPr>
      <w:r>
        <w:rPr>
          <w:b/>
          <w:color w:val="B45A00"/>
          <w:sz w:val="16"/>
        </w:rPr>
        <w:t>JULGADOS CORRELATOS</w:t>
      </w:r>
    </w:p>
    <w:p>
      <w:pPr>
        <w:ind w:left="288"/>
      </w:pPr>
      <w:r>
        <w:rPr>
          <w:color w:val="8C8C8C"/>
          <w:sz w:val="12"/>
        </w:rPr>
        <w:t>cf-art-7-inc-I</w:t>
      </w:r>
      <w:r>
        <w:rPr>
          <w:color w:val="003CA0"/>
          <w:sz w:val="12"/>
        </w:rPr>
        <w:t xml:space="preserve"> | RE 449.420</w:t>
      </w:r>
      <w:r>
        <w:rPr>
          <w:color w:val="003CA0"/>
          <w:sz w:val="12"/>
        </w:rPr>
        <w:t xml:space="preserve"> | rel. Sepúlveda Pertence</w:t>
      </w:r>
    </w:p>
    <w:p>
      <w:pPr>
        <w:ind w:left="288"/>
      </w:pPr>
      <w:r>
        <w:rPr>
          <w:color w:val="1E1E1E"/>
          <w:sz w:val="18"/>
        </w:rPr>
        <w:t>Previdência social: aposentadoria espontânea não implica, por si só, extinção do contrato de trabalho. Despedida arbitrária ou sem justa causa (CF, art. 7º, I): viola a garantia constitucional o acórdão que, partindo de premissa derivada de interpretação conferida ao art. 453, caput, da CLT (redação alterada pela Lei 6.204/1975), decide que a aposentadoria espontânea extingue o contrato de trabalho, mesmo quando o empregado continua a trabalhar na empresa após a concessão do benefício previdenciário. A aposentadoria espontânea pode ou não ser acompanhada do afastamento do empregado de seu trab</w:t>
      </w:r>
    </w:p>
    <w:p>
      <w:pPr>
        <w:ind w:left="288"/>
      </w:pPr>
      <w:r>
        <w:rPr>
          <w:b/>
          <w:color w:val="003CA0"/>
          <w:sz w:val="16"/>
        </w:rPr>
        <w:t>[RE 449.420, rel. min. Sepúlveda Pertence, j. 16-8-2005, 1ª T, DJ de 14-10-2005.]</w:t>
      </w:r>
    </w:p>
    <w:p>
      <w:pPr>
        <w:ind w:left="288"/>
      </w:pPr>
      <w:r>
        <w:rPr>
          <w:color w:val="8C8C8C"/>
          <w:sz w:val="12"/>
        </w:rPr>
        <w:t>cf-art-7-inc-I</w:t>
      </w:r>
      <w:r>
        <w:rPr>
          <w:color w:val="003CA0"/>
          <w:sz w:val="12"/>
        </w:rPr>
        <w:t xml:space="preserve"> | RE 605.501</w:t>
      </w:r>
      <w:r>
        <w:rPr>
          <w:color w:val="003CA0"/>
          <w:sz w:val="12"/>
        </w:rPr>
        <w:t xml:space="preserve"> | rel. Ricardo Lewandowski</w:t>
      </w:r>
    </w:p>
    <w:p>
      <w:pPr>
        <w:ind w:left="288"/>
      </w:pPr>
      <w:r>
        <w:rPr>
          <w:color w:val="1E1E1E"/>
          <w:sz w:val="18"/>
        </w:rPr>
        <w:t>= RE 605.501 AgR, rel. min. Ricardo Lewandowski, j. 2-12-2010, 1ª T, DJE de 1º-2-2011 Estabilidade provisória decorrente da gravidez (CF, art. 7º, I; ADCT, art. 10, II, b). Extinção do cargo, assegurando-se à ocupante, que detinha estabilidade provisória decorrente da gravidez, as vantagens financeiras pelo período constitucional da estabilidade.</w:t>
      </w:r>
    </w:p>
    <w:p>
      <w:pPr>
        <w:ind w:left="288"/>
      </w:pPr>
      <w:r>
        <w:rPr>
          <w:b/>
          <w:color w:val="003CA0"/>
          <w:sz w:val="16"/>
        </w:rPr>
        <w:t>[RMS 21.328, rel. min. Carlos Velloso, j. 11-12-2001, 2ª T, DJ de 3-5-2002.]</w:t>
      </w:r>
    </w:p>
    <w:p>
      <w:pPr>
        <w:ind w:left="288"/>
      </w:pPr>
      <w:r>
        <w:rPr>
          <w:color w:val="8C8C8C"/>
          <w:sz w:val="12"/>
        </w:rPr>
        <w:t>cf-art-7-inc-I</w:t>
      </w:r>
      <w:r>
        <w:rPr>
          <w:color w:val="003CA0"/>
          <w:sz w:val="12"/>
        </w:rPr>
        <w:t xml:space="preserve"> | RE 179.193</w:t>
      </w:r>
      <w:r>
        <w:rPr>
          <w:color w:val="003CA0"/>
          <w:sz w:val="12"/>
        </w:rPr>
        <w:t xml:space="preserve"> | rel. Ilmar Galvão</w:t>
      </w:r>
    </w:p>
    <w:p>
      <w:pPr>
        <w:ind w:left="288"/>
      </w:pPr>
      <w:r>
        <w:rPr>
          <w:color w:val="1E1E1E"/>
          <w:sz w:val="18"/>
        </w:rPr>
        <w:t>Não estabeleceu a Constituição de 1988 qualquer exceção expressa que conduzisse à estabilidade permanente, nem é possível admiti-la por interpretação extensiva ou por analogia, porquanto, como decorre, inequivocamente, do inciso I do art. 7º da Constituição, a proteção que ele dá à relação de emprego contra despedida arbitrária ou sem justa causa é a indenização compensatória que a lei complementar terá necessariamente que prever, além de outros direitos que venha esta a estabelecer, exceto, evidentemente, o de estabilidade permanente ou plena que daria margem a um bis in idem inadmissível com</w:t>
      </w:r>
    </w:p>
    <w:p>
      <w:pPr>
        <w:ind w:left="288"/>
      </w:pPr>
      <w:r>
        <w:rPr>
          <w:b/>
          <w:color w:val="003CA0"/>
          <w:sz w:val="16"/>
        </w:rPr>
        <w:t>[RE 179.193, rel. min. Ilmar Galvão, red. do ac. min. Moreira Alves, j. 18-12-1996, P, DJ de 19-10-2001.]</w:t>
      </w:r>
    </w:p>
    <w:p>
      <w:pPr>
        <w:ind w:left="288"/>
      </w:pPr>
      <w:r>
        <w:rPr>
          <w:color w:val="8C8C8C"/>
          <w:sz w:val="12"/>
        </w:rPr>
        <w:t>cf-art-7-inc-II</w:t>
      </w:r>
      <w:r>
        <w:rPr>
          <w:color w:val="003CA0"/>
          <w:sz w:val="12"/>
        </w:rPr>
        <w:t xml:space="preserve"> | ADI 5.340</w:t>
      </w:r>
      <w:r>
        <w:rPr>
          <w:color w:val="003CA0"/>
          <w:sz w:val="12"/>
        </w:rPr>
        <w:t xml:space="preserve"> | rel. Dias Toffoli</w:t>
      </w:r>
    </w:p>
    <w:p>
      <w:pPr>
        <w:ind w:left="288"/>
      </w:pPr>
      <w:r>
        <w:rPr>
          <w:color w:val="1E1E1E"/>
          <w:sz w:val="18"/>
        </w:rPr>
        <w:t>“A Lei nº 13.134/15, relativamente aos prazos de carência do seguro-desemprego, não importou em violação do princípio da proibição do retrocesso social nem do princípio da segurança jurídica”.</w:t>
      </w:r>
    </w:p>
    <w:p>
      <w:pPr>
        <w:ind w:left="288"/>
      </w:pPr>
      <w:r>
        <w:rPr>
          <w:b/>
          <w:color w:val="003CA0"/>
          <w:sz w:val="16"/>
        </w:rPr>
        <w:t>[ADI 5.340, rel. min. Dias Toffoli, j. 21.10.2024, P, DJE de 05.11.2024.]</w:t>
      </w:r>
    </w:p>
    <w:p>
      <w:pPr>
        <w:ind w:left="144"/>
      </w:pPr>
      <w:r>
        <w:rPr>
          <w:b/>
          <w:color w:val="B45A00"/>
          <w:sz w:val="16"/>
        </w:rPr>
        <w:t>CONTROLE CONCENTRADO</w:t>
      </w:r>
    </w:p>
    <w:p>
      <w:pPr>
        <w:ind w:left="288"/>
      </w:pPr>
      <w:r>
        <w:rPr>
          <w:color w:val="8C8C8C"/>
          <w:sz w:val="12"/>
        </w:rPr>
        <w:t>cf-art-7-inc-II</w:t>
      </w:r>
      <w:r>
        <w:rPr>
          <w:color w:val="003CA0"/>
          <w:sz w:val="12"/>
        </w:rPr>
        <w:t xml:space="preserve"> | ADI 3.464</w:t>
      </w:r>
      <w:r>
        <w:rPr>
          <w:color w:val="003CA0"/>
          <w:sz w:val="12"/>
        </w:rPr>
        <w:t xml:space="preserve"> | rel. Menezes Direito</w:t>
      </w:r>
    </w:p>
    <w:p>
      <w:pPr>
        <w:ind w:left="288"/>
      </w:pPr>
      <w:r>
        <w:rPr>
          <w:color w:val="1E1E1E"/>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88"/>
      </w:pPr>
      <w:r>
        <w:rPr>
          <w:b/>
          <w:color w:val="003CA0"/>
          <w:sz w:val="16"/>
        </w:rPr>
        <w:t>[ADI 3.464, rel. min. Menezes Direito, j. 29-10-2008, P, DJE de 6-3-2009.]</w:t>
      </w:r>
    </w:p>
    <w:p>
      <w:pPr>
        <w:ind w:left="288"/>
      </w:pPr>
      <w:r>
        <w:rPr>
          <w:color w:val="8C8C8C"/>
          <w:sz w:val="12"/>
        </w:rPr>
        <w:t>cf-art-7-inc-II</w:t>
      </w:r>
      <w:r>
        <w:rPr>
          <w:color w:val="003CA0"/>
          <w:sz w:val="12"/>
        </w:rPr>
        <w:t xml:space="preserve"> | RE 1.504.945</w:t>
      </w:r>
      <w:r>
        <w:rPr>
          <w:color w:val="003CA0"/>
          <w:sz w:val="12"/>
        </w:rPr>
        <w:t xml:space="preserve"> | rel. Luís Roberto Barroso</w:t>
      </w:r>
    </w:p>
    <w:p>
      <w:pPr>
        <w:ind w:left="288"/>
      </w:pPr>
      <w:r>
        <w:rPr>
          <w:color w:val="1E1E1E"/>
          <w:sz w:val="18"/>
        </w:rPr>
        <w:t>“É infraconstitucional e pressupõe o exame de matéria fática a controvérsia sobre a ocorrência de prescrição de pretensão de recebimento de seguro-desemprego de pescador artesanal para o período de defeso de 2015/2016”.</w:t>
      </w:r>
    </w:p>
    <w:p>
      <w:pPr>
        <w:ind w:left="288"/>
      </w:pPr>
      <w:r>
        <w:rPr>
          <w:b/>
          <w:color w:val="003CA0"/>
          <w:sz w:val="16"/>
        </w:rPr>
        <w:t>[RE 1.504.945 RG, rel. min. Luís Roberto Barroso, j. 13.09.2024, P, DJE de 18.09.2024, Tema 1.321, com repercussão geral negada.]</w:t>
      </w:r>
    </w:p>
    <w:p>
      <w:pPr>
        <w:ind w:left="144"/>
      </w:pPr>
      <w:r>
        <w:rPr>
          <w:b/>
          <w:color w:val="B45A00"/>
          <w:sz w:val="16"/>
        </w:rPr>
        <w:t>REPERCUSSAO GERAL</w:t>
      </w:r>
    </w:p>
    <w:p>
      <w:pPr>
        <w:ind w:left="288"/>
      </w:pPr>
      <w:r>
        <w:rPr>
          <w:color w:val="8C8C8C"/>
          <w:sz w:val="12"/>
        </w:rPr>
        <w:t>cf-art-7-inc-II</w:t>
      </w:r>
      <w:r>
        <w:rPr>
          <w:color w:val="003CA0"/>
          <w:sz w:val="12"/>
        </w:rPr>
        <w:t xml:space="preserve"> | ARE 1.389.781</w:t>
      </w:r>
      <w:r>
        <w:rPr>
          <w:color w:val="003CA0"/>
          <w:sz w:val="12"/>
        </w:rPr>
        <w:t xml:space="preserve"> | rel. Luiz Fux</w:t>
      </w:r>
    </w:p>
    <w:p>
      <w:pPr>
        <w:ind w:left="288"/>
      </w:pPr>
      <w:r>
        <w:rPr>
          <w:color w:val="1E1E1E"/>
          <w:sz w:val="18"/>
        </w:rPr>
        <w:t>Seguro-desemprego. Pescador profissional artesanal. Defeso da lagosta com duração de seis meses. Benefício limitado a cinco meses. Leis 10.779/2003 e 13.134/2015. Instrução Normativa 206/2008 do Instituto Brasileiro do Meio Ambiente e dos Recursos Naturais Renováveis – IBAMA. Controvérsia de índole infraconstitucional.</w:t>
      </w:r>
    </w:p>
    <w:p>
      <w:pPr>
        <w:ind w:left="288"/>
      </w:pPr>
      <w:r>
        <w:rPr>
          <w:b/>
          <w:color w:val="003CA0"/>
          <w:sz w:val="16"/>
        </w:rPr>
        <w:t>[ARE 1.389.781 RG, rel. min. Luiz Fux, j. 19-8-2022, P, DJE de 26-8-2022, Tema 1.228, com repercussão geral negada.]</w:t>
      </w:r>
    </w:p>
    <w:p>
      <w:pPr>
        <w:ind w:left="144"/>
      </w:pPr>
      <w:r>
        <w:rPr>
          <w:b/>
          <w:color w:val="B45A00"/>
          <w:sz w:val="16"/>
        </w:rPr>
        <w:t>SUMULA VINCULANTE</w:t>
      </w:r>
    </w:p>
    <w:p>
      <w:pPr>
        <w:ind w:left="288"/>
      </w:pPr>
      <w:r>
        <w:rPr>
          <w:color w:val="8C8C8C"/>
          <w:sz w:val="12"/>
        </w:rPr>
        <w:t>cf-art-7-inc-III</w:t>
      </w:r>
    </w:p>
    <w:p>
      <w:pPr>
        <w:ind w:left="288"/>
      </w:pPr>
      <w:r>
        <w:rPr>
          <w:color w:val="1E1E1E"/>
          <w:sz w:val="18"/>
        </w:rPr>
        <w:t>Ofende a garantia constitucional do ato jurídico perfeito a decisão que, sem ponderar as circunstâncias do caso concreto, desconsidera a validez e a eficácia de acordo constante de termo de adesão instituído pela LC 110/2001.</w:t>
      </w:r>
    </w:p>
    <w:p>
      <w:pPr>
        <w:ind w:left="288"/>
      </w:pPr>
      <w:r>
        <w:rPr>
          <w:b/>
          <w:color w:val="003CA0"/>
          <w:sz w:val="16"/>
        </w:rPr>
        <w:t>[Súmula Vinculante 1.]</w:t>
      </w:r>
    </w:p>
    <w:p>
      <w:pPr>
        <w:ind w:left="144"/>
      </w:pPr>
      <w:r>
        <w:rPr>
          <w:b/>
          <w:color w:val="B45A00"/>
          <w:sz w:val="16"/>
        </w:rPr>
        <w:t>CONTROLE CONCENTRADO</w:t>
      </w:r>
    </w:p>
    <w:p>
      <w:pPr>
        <w:ind w:left="288"/>
      </w:pPr>
      <w:r>
        <w:rPr>
          <w:color w:val="8C8C8C"/>
          <w:sz w:val="12"/>
        </w:rPr>
        <w:t>cf-art-7-inc-III</w:t>
      </w:r>
      <w:r>
        <w:rPr>
          <w:color w:val="003CA0"/>
          <w:sz w:val="12"/>
        </w:rPr>
        <w:t xml:space="preserve"> | ADI 5.090</w:t>
      </w:r>
      <w:r>
        <w:rPr>
          <w:color w:val="003CA0"/>
          <w:sz w:val="12"/>
        </w:rPr>
        <w:t xml:space="preserve"> | rel. Luís Roberto Barroso</w:t>
      </w:r>
    </w:p>
    <w:p>
      <w:pPr>
        <w:ind w:left="288"/>
      </w:pPr>
      <w:r>
        <w:rPr>
          <w:color w:val="1E1E1E"/>
          <w:sz w:val="18"/>
        </w:rPr>
        <w:t>O FGTS tem natureza dual porque cumpre a função de poupança individual dos trabalhadores, ao mesmo tempo em que serve como fonte de financiamento para investimentos em áreas sociais. Nenhuma dessas funções deve sobrepor-se à outra, de modo que a remuneração dos depósitos deve ser compatível com a taxa cobrada nos empréstimos em que são alocados, para não comprometer a finalidade social do Fundo. O art. 13, caput, da Lei nº 8.036/1990 e o art. 17, caput, da Lei nº 8.177/1991 devem ser interpretados conforme a Constituição para que a remuneração do saldo das contas do FGTS (TR + 3% ao ano + dist</w:t>
      </w:r>
    </w:p>
    <w:p>
      <w:pPr>
        <w:ind w:left="144"/>
      </w:pPr>
      <w:r>
        <w:rPr>
          <w:b/>
          <w:color w:val="B45A00"/>
          <w:sz w:val="16"/>
        </w:rPr>
        <w:t>REPERCUSSAO GERAL</w:t>
      </w:r>
    </w:p>
    <w:p>
      <w:pPr>
        <w:ind w:left="288"/>
      </w:pPr>
      <w:r>
        <w:rPr>
          <w:color w:val="8C8C8C"/>
          <w:sz w:val="12"/>
        </w:rPr>
        <w:t>cf-art-7-inc-III</w:t>
      </w:r>
      <w:r>
        <w:rPr>
          <w:color w:val="003CA0"/>
          <w:sz w:val="12"/>
        </w:rPr>
        <w:t xml:space="preserve"> | ARE 709.212</w:t>
      </w:r>
      <w:r>
        <w:rPr>
          <w:color w:val="003CA0"/>
          <w:sz w:val="12"/>
        </w:rPr>
        <w:t xml:space="preserve"> | rel. Gilmar Mendes</w:t>
      </w:r>
    </w:p>
    <w:p>
      <w:pPr>
        <w:ind w:left="288"/>
      </w:pPr>
      <w:r>
        <w:rPr>
          <w:color w:val="1E1E1E"/>
          <w:sz w:val="18"/>
        </w:rPr>
        <w:t>FGTS. Cobrança de valores não pagos. Prazo prescricional. Prescrição quinquenal. Art. 7º, XXIX, da Constituição. Superação de entendimento anterior sobre prescrição trintenária. Inconstitucionalidade dos arts. 23, § 5º, da Lei 8.036/1990 e 55 do Regulamento do FGTS aprovado pelo Decreto 99.684/1990.</w:t>
      </w:r>
    </w:p>
    <w:p>
      <w:pPr>
        <w:ind w:left="288"/>
      </w:pPr>
      <w:r>
        <w:rPr>
          <w:b/>
          <w:color w:val="003CA0"/>
          <w:sz w:val="16"/>
        </w:rPr>
        <w:t>[ARE 709.212, rel. min. Gilmar Mendes, j. 13-11-2014, P, DJE de 19-2-2015, Tema 608, com mérito julgado.]</w:t>
      </w:r>
    </w:p>
    <w:p>
      <w:pPr>
        <w:ind w:left="288"/>
      </w:pPr>
      <w:r>
        <w:rPr>
          <w:color w:val="8C8C8C"/>
          <w:sz w:val="12"/>
        </w:rPr>
        <w:t>cf-art-7-inc-III</w:t>
      </w:r>
      <w:r>
        <w:rPr>
          <w:color w:val="003CA0"/>
          <w:sz w:val="12"/>
        </w:rPr>
        <w:t xml:space="preserve"> | RE 596.478</w:t>
      </w:r>
    </w:p>
    <w:p>
      <w:pPr>
        <w:ind w:left="288"/>
      </w:pPr>
      <w:r>
        <w:rPr>
          <w:color w:val="1E1E1E"/>
          <w:sz w:val="18"/>
        </w:rPr>
        <w:t>É constitucional o art. 19-A da Lei 8.036/1990, o qual dispõe ser devido o depósito do FGTS na conta de trabalhador cujo contrato com a administração pública seja declarado nulo por ausência de prévia aprovação em concurso público, desde que mantido o seu direito ao salário. Mesmo quando reconhecida a nulidade da contratação do empregado público, nos termos do art. 37, § 2º, da CF, subsiste o direito do trabalhador ao depósito do FGTS quando reconhecido ser devido o salário pelos serviços prestados.</w:t>
        <w:br/>
        <w:t>[RE 596.478, red. do ac. min. Dias Toffoli, j. 13-6-2012, P, DJE de 1º-3-2013, Tema 191.]</w:t>
      </w:r>
    </w:p>
    <w:p>
      <w:pPr>
        <w:ind w:left="144"/>
      </w:pPr>
      <w:r>
        <w:rPr>
          <w:b/>
          <w:color w:val="B45A00"/>
          <w:sz w:val="16"/>
        </w:rPr>
        <w:t>JULGADOS CORRELATOS</w:t>
      </w:r>
    </w:p>
    <w:p>
      <w:pPr>
        <w:ind w:left="288"/>
      </w:pPr>
      <w:r>
        <w:rPr>
          <w:color w:val="8C8C8C"/>
          <w:sz w:val="12"/>
        </w:rPr>
        <w:t>cf-art-7-inc-III</w:t>
      </w:r>
      <w:r>
        <w:rPr>
          <w:color w:val="003CA0"/>
          <w:sz w:val="12"/>
        </w:rPr>
        <w:t xml:space="preserve"> | RE 226.855</w:t>
      </w:r>
      <w:r>
        <w:rPr>
          <w:color w:val="003CA0"/>
          <w:sz w:val="12"/>
        </w:rPr>
        <w:t xml:space="preserve"> | rel. Moreira Alves</w:t>
      </w:r>
    </w:p>
    <w:p>
      <w:pPr>
        <w:ind w:left="288"/>
      </w:pPr>
      <w:r>
        <w:rPr>
          <w:color w:val="1E1E1E"/>
          <w:sz w:val="18"/>
        </w:rPr>
        <w:t>O FGTS, ao contrário do que sucede com as cadernetas de poupança, não tem natureza contratual, mas, sim, estatutária, por decorrer da lei e por ela ser disciplinado. Assim, é de aplicar-se a ele a firme jurisprudência desta Corte no sentido de que não há direito adquirido a regime jurídico. Quanto à atualização dos saldos do FGTS relativos aos Planos Verão e Collor I (este no que diz respeito ao mês de abril de 1990), não há questão de direito adquirido a ser examinada, situando-se a matéria exclusivamente no terreno legal infraconstitucional. No tocante, porém, aos Planos Bresser, Collor I (q</w:t>
      </w:r>
    </w:p>
    <w:p>
      <w:pPr>
        <w:ind w:left="288"/>
      </w:pPr>
      <w:r>
        <w:rPr>
          <w:b/>
          <w:color w:val="003CA0"/>
          <w:sz w:val="16"/>
        </w:rPr>
        <w:t>[RE 226.855, rel. min. Moreira Alves, j. 31-8-2000, P, DJ de 13-10-2000.]</w:t>
      </w:r>
    </w:p>
    <w:p>
      <w:pPr>
        <w:ind w:left="288"/>
      </w:pPr>
      <w:r>
        <w:rPr>
          <w:color w:val="8C8C8C"/>
          <w:sz w:val="12"/>
        </w:rPr>
        <w:t>cf-art-7-inc-III</w:t>
      </w:r>
      <w:r>
        <w:rPr>
          <w:color w:val="003CA0"/>
          <w:sz w:val="12"/>
        </w:rPr>
        <w:t xml:space="preserve"> | AR 1.768</w:t>
      </w:r>
      <w:r>
        <w:rPr>
          <w:color w:val="003CA0"/>
          <w:sz w:val="12"/>
        </w:rPr>
        <w:t xml:space="preserve"> | rel. Dias Toffoli</w:t>
      </w:r>
    </w:p>
    <w:p>
      <w:pPr>
        <w:ind w:left="288"/>
      </w:pPr>
      <w:r>
        <w:rPr>
          <w:color w:val="1E1E1E"/>
          <w:sz w:val="18"/>
        </w:rPr>
        <w:t>= AR 1.768 AgR, rel. min. Dias Toffoli, j. 19-12-2012, P, DJE de 26-2-2013 IV - salário mínimo, fixado em lei, nacionalmente unificado, capaz de atender a suas necessidades vitais básicas e às de sua família com moradia, alimentação, educação, saúde, lazer, vestuário, higiene, transporte e previdência social, com reajustes periódicos que lhe preservem o poder aquisitivo, sendo vedada sua vinculação para qualquer fim;</w:t>
      </w:r>
    </w:p>
    <w:p>
      <w:pPr>
        <w:ind w:left="144"/>
      </w:pPr>
      <w:r>
        <w:rPr>
          <w:b/>
          <w:color w:val="B45A00"/>
          <w:sz w:val="16"/>
        </w:rPr>
        <w:t>SUMULA VINCULANTE</w:t>
      </w:r>
    </w:p>
    <w:p>
      <w:pPr>
        <w:ind w:left="288"/>
      </w:pPr>
      <w:r>
        <w:rPr>
          <w:color w:val="8C8C8C"/>
          <w:sz w:val="12"/>
        </w:rPr>
        <w:t>cf-art-7-inc-III</w:t>
      </w:r>
    </w:p>
    <w:p>
      <w:pPr>
        <w:ind w:left="288"/>
      </w:pPr>
      <w:r>
        <w:rPr>
          <w:color w:val="1E1E1E"/>
          <w:sz w:val="18"/>
        </w:rPr>
        <w:t>Os arts. 7º, IV, e 39, § 3º (redação da EC 19/1998), da Constituição referem-se ao total da remuneração percebida pelo servidor público.</w:t>
      </w:r>
    </w:p>
    <w:p>
      <w:pPr>
        <w:ind w:left="288"/>
      </w:pPr>
      <w:r>
        <w:rPr>
          <w:b/>
          <w:color w:val="003CA0"/>
          <w:sz w:val="16"/>
        </w:rPr>
        <w:t>[Súmula Vinculante 16.]</w:t>
      </w:r>
    </w:p>
    <w:p>
      <w:pPr>
        <w:ind w:left="288"/>
      </w:pPr>
      <w:r>
        <w:rPr>
          <w:color w:val="8C8C8C"/>
          <w:sz w:val="12"/>
        </w:rPr>
        <w:t>cf-art-7-inc-III</w:t>
      </w:r>
    </w:p>
    <w:p>
      <w:pPr>
        <w:ind w:left="288"/>
      </w:pPr>
      <w:r>
        <w:rPr>
          <w:color w:val="1E1E1E"/>
          <w:sz w:val="18"/>
        </w:rPr>
        <w:t>O cálculo de gratificações e outras vantagens do servidor público não incide sobre o abono utilizado para se atingir o salário mínimo.</w:t>
      </w:r>
    </w:p>
    <w:p>
      <w:pPr>
        <w:ind w:left="288"/>
      </w:pPr>
      <w:r>
        <w:rPr>
          <w:b/>
          <w:color w:val="003CA0"/>
          <w:sz w:val="16"/>
        </w:rPr>
        <w:t>[Súmula Vinculante 15.]</w:t>
      </w:r>
    </w:p>
    <w:p>
      <w:pPr>
        <w:ind w:left="288"/>
      </w:pPr>
      <w:r>
        <w:rPr>
          <w:color w:val="8C8C8C"/>
          <w:sz w:val="12"/>
        </w:rPr>
        <w:t>cf-art-7-inc-III</w:t>
      </w:r>
    </w:p>
    <w:p>
      <w:pPr>
        <w:ind w:left="288"/>
      </w:pPr>
      <w:r>
        <w:rPr>
          <w:color w:val="1E1E1E"/>
          <w:sz w:val="18"/>
        </w:rPr>
        <w:t>Não viola a Constituição o estabelecimento de remuneração inferior ao salário mínimo para as praças prestadoras de serviço militar inicial.</w:t>
      </w:r>
    </w:p>
    <w:p>
      <w:pPr>
        <w:ind w:left="288"/>
      </w:pPr>
      <w:r>
        <w:rPr>
          <w:b/>
          <w:color w:val="003CA0"/>
          <w:sz w:val="16"/>
        </w:rPr>
        <w:t>[Súmula Vinculante 6.]</w:t>
      </w:r>
    </w:p>
    <w:p>
      <w:pPr>
        <w:ind w:left="288"/>
      </w:pPr>
      <w:r>
        <w:rPr>
          <w:color w:val="8C8C8C"/>
          <w:sz w:val="12"/>
        </w:rPr>
        <w:t>cf-art-7-inc-III</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144"/>
      </w:pPr>
      <w:r>
        <w:rPr>
          <w:b/>
          <w:color w:val="B45A00"/>
          <w:sz w:val="16"/>
        </w:rPr>
        <w:t>CONTROLE CONCENTRADO</w:t>
      </w:r>
    </w:p>
    <w:p>
      <w:pPr>
        <w:ind w:left="288"/>
      </w:pPr>
      <w:r>
        <w:rPr>
          <w:color w:val="8C8C8C"/>
          <w:sz w:val="12"/>
        </w:rPr>
        <w:t>cf-art-7-inc-III</w:t>
      </w:r>
      <w:r>
        <w:rPr>
          <w:color w:val="003CA0"/>
          <w:sz w:val="12"/>
        </w:rPr>
        <w:t xml:space="preserve"> | ADPF 53</w:t>
      </w:r>
      <w:r>
        <w:rPr>
          <w:color w:val="003CA0"/>
          <w:sz w:val="12"/>
        </w:rPr>
        <w:t xml:space="preserve"> | rel. Rosa Weber</w:t>
      </w:r>
    </w:p>
    <w:p>
      <w:pPr>
        <w:ind w:left="288"/>
      </w:pPr>
      <w:r>
        <w:rPr>
          <w:color w:val="1E1E1E"/>
          <w:sz w:val="18"/>
        </w:rPr>
        <w:t>O texto constitucional (CF, art. 7º, IV, fine) não proíbe a utilização de múltiplos do salário-mínimo como mera referência paradigmática para definição do valor justo e proporcional do piso salarial destinado à remuneração de categorias profissionais especializadas (CF, art. 7º, V), impedindo, no entanto, reajustamentos automáticos futuros, destinados à adequação do salário inicialmente contratado aos novos valores vigentes para o salário-mínimo nacional. Fixada interpretação conforme à Constituição, com adoção da técnica do congelamento da base de cálculo dos pisos salariais, a fim de que sej</w:t>
      </w:r>
    </w:p>
    <w:p>
      <w:pPr>
        <w:ind w:left="288"/>
      </w:pPr>
      <w:r>
        <w:rPr>
          <w:b/>
          <w:color w:val="003CA0"/>
          <w:sz w:val="16"/>
        </w:rPr>
        <w:t>[ADPF 53 MC-REF, rel. min. Rosa Weber, j. 21-2-2022, P, DJE de 18-3-2022.]</w:t>
      </w:r>
    </w:p>
    <w:p>
      <w:pPr>
        <w:ind w:left="288"/>
      </w:pPr>
      <w:r>
        <w:rPr>
          <w:color w:val="8C8C8C"/>
          <w:sz w:val="12"/>
        </w:rPr>
        <w:t>cf-art-7-inc-III</w:t>
      </w:r>
      <w:r>
        <w:rPr>
          <w:color w:val="003CA0"/>
          <w:sz w:val="12"/>
        </w:rPr>
        <w:t xml:space="preserve"> | ADPF 336</w:t>
      </w:r>
      <w:r>
        <w:rPr>
          <w:color w:val="003CA0"/>
          <w:sz w:val="12"/>
        </w:rPr>
        <w:t xml:space="preserve"> | rel. Luiz Fux</w:t>
      </w:r>
    </w:p>
    <w:p>
      <w:pPr>
        <w:ind w:left="288"/>
      </w:pPr>
      <w:r>
        <w:rPr>
          <w:color w:val="1E1E1E"/>
          <w:sz w:val="18"/>
        </w:rPr>
        <w:t xml:space="preserve">O trabalho do preso, cuja remuneração é fixada em três quartos do salário mínimo o patamar base de remuneração do trabalho do preso (artigo 29, caput, da Lei de Execução Penal) deve ser analisada não apenas sob a ótica da regra do salário mínimo (artigo 7º, IV, da CRFB), mas também de outros vetores constitucionais, como a busca do pleno emprego (artigo 170, VIII, da CRFB) e a individualização da pena na fase de execução (artigo 5º, XLVI, da CRFB). (...) O trabalho do condenado constitui um dever, obrigatório na medida de suas aptidões e capacidade, e possui finalidades educativa e produtiva, </w:t>
      </w:r>
    </w:p>
    <w:p>
      <w:pPr>
        <w:ind w:left="288"/>
      </w:pPr>
      <w:r>
        <w:rPr>
          <w:b/>
          <w:color w:val="003CA0"/>
          <w:sz w:val="16"/>
        </w:rPr>
        <w:t>[ADPF 336, rel. min. Luiz Fux, j. 1º-3-2021, P, DJE de 10-5-2021]</w:t>
      </w:r>
    </w:p>
    <w:p>
      <w:pPr>
        <w:ind w:left="288"/>
      </w:pPr>
      <w:r>
        <w:rPr>
          <w:color w:val="8C8C8C"/>
          <w:sz w:val="12"/>
        </w:rPr>
        <w:t>cf-art-7-inc-III</w:t>
      </w:r>
      <w:r>
        <w:rPr>
          <w:color w:val="003CA0"/>
          <w:sz w:val="12"/>
        </w:rPr>
        <w:t xml:space="preserve"> | ADI 4.637</w:t>
      </w:r>
      <w:r>
        <w:rPr>
          <w:color w:val="003CA0"/>
          <w:sz w:val="12"/>
        </w:rPr>
        <w:t xml:space="preserve"> | rel. Gilmar Mendes</w:t>
      </w:r>
    </w:p>
    <w:p>
      <w:pPr>
        <w:ind w:left="288"/>
      </w:pPr>
      <w:r>
        <w:rPr>
          <w:color w:val="1E1E1E"/>
          <w:sz w:val="18"/>
        </w:rPr>
        <w:t>Empresa Individual de Responsabilidade Limitada (EIRELI). Art. 980–A do Código Civil, com redação dada pelo Art. 2º da Lei 12.441, de 11 de julho de 2011. Exigência de integralização de capital social não inferior a 100 (cem) vezes o maior salário-mínimo vigente no País. Constitucionalidade. Proibição de vinculação do salário mínimo para qualquer fim. Art. 7º, IV, da Constituição Federal. Ausência de violação. Uso meramente referencial.</w:t>
      </w:r>
    </w:p>
    <w:p>
      <w:pPr>
        <w:ind w:left="288"/>
      </w:pPr>
      <w:r>
        <w:rPr>
          <w:b/>
          <w:color w:val="003CA0"/>
          <w:sz w:val="16"/>
        </w:rPr>
        <w:t>[ADI 4.637, rel. min. Gilmar Mendes, j. 7-12-2020, P, DJE de 4-2-2021.]</w:t>
      </w:r>
    </w:p>
    <w:p>
      <w:pPr>
        <w:ind w:left="288"/>
      </w:pPr>
      <w:r>
        <w:rPr>
          <w:color w:val="8C8C8C"/>
          <w:sz w:val="12"/>
        </w:rPr>
        <w:t>cf-art-7-inc-III</w:t>
      </w:r>
      <w:r>
        <w:rPr>
          <w:color w:val="003CA0"/>
          <w:sz w:val="12"/>
        </w:rPr>
        <w:t xml:space="preserve"> | ADI 4.726</w:t>
      </w:r>
      <w:r>
        <w:rPr>
          <w:color w:val="003CA0"/>
          <w:sz w:val="12"/>
        </w:rPr>
        <w:t xml:space="preserve"> | rel. Marco Aurélio</w:t>
      </w:r>
    </w:p>
    <w:p>
      <w:pPr>
        <w:ind w:left="288"/>
      </w:pPr>
      <w:r>
        <w:rPr>
          <w:color w:val="1E1E1E"/>
          <w:sz w:val="18"/>
        </w:rPr>
        <w:t>É constitucional referência ao salário mínimo contida em norma de regência de benefício assistencial como a fixar valor unitário na data da edição da lei, vedada vinculação futura como mecanismo de indexação.</w:t>
      </w:r>
    </w:p>
    <w:p>
      <w:pPr>
        <w:ind w:left="288"/>
      </w:pPr>
      <w:r>
        <w:rPr>
          <w:b/>
          <w:color w:val="003CA0"/>
          <w:sz w:val="16"/>
        </w:rPr>
        <w:t>[ADI 4.726, rel. min. Marco Aurélio, j. 11-11-2020, P, DJE de 30-11-2020.]</w:t>
      </w:r>
    </w:p>
    <w:p>
      <w:pPr>
        <w:ind w:left="288"/>
      </w:pPr>
      <w:r>
        <w:rPr>
          <w:color w:val="8C8C8C"/>
          <w:sz w:val="12"/>
        </w:rPr>
        <w:t>cf-art-7-inc-III</w:t>
      </w:r>
      <w:r>
        <w:rPr>
          <w:color w:val="003CA0"/>
          <w:sz w:val="12"/>
        </w:rPr>
        <w:t xml:space="preserve"> | ADPF 151</w:t>
      </w:r>
      <w:r>
        <w:rPr>
          <w:color w:val="003CA0"/>
          <w:sz w:val="12"/>
        </w:rPr>
        <w:t xml:space="preserve"> | rel. Roberto Barroso</w:t>
      </w:r>
    </w:p>
    <w:p>
      <w:pPr>
        <w:ind w:left="288"/>
      </w:pPr>
      <w:r>
        <w:rPr>
          <w:color w:val="1E1E1E"/>
          <w:sz w:val="18"/>
        </w:rPr>
        <w:t>Piso salarial dos técnicos em radiologia. Adicional de insalubridade. Indexação ao salário mínimo. (...) Inconstitucionalidade da indexação de piso salarial ao valor do salário mínimo. Congelamento da base de cálculo, a fim de que seja calculada de acordo com o valor de dois salários mínimos vigentes na data de estabilização da decisão que deferiu a medida cautelar. Não-recepção do art. 16 da Lei 7.394/1985.</w:t>
      </w:r>
    </w:p>
    <w:p>
      <w:pPr>
        <w:ind w:left="288"/>
      </w:pPr>
      <w:r>
        <w:rPr>
          <w:b/>
          <w:color w:val="003CA0"/>
          <w:sz w:val="16"/>
        </w:rPr>
        <w:t>[ADPF 151, rel. min. Roberto Barroso, j. 7-2-2019, P, DJE de 11-4-2019.]</w:t>
      </w:r>
    </w:p>
    <w:p>
      <w:pPr>
        <w:ind w:left="288"/>
      </w:pPr>
      <w:r>
        <w:rPr>
          <w:color w:val="8C8C8C"/>
          <w:sz w:val="12"/>
        </w:rPr>
        <w:t>cf-art-7-inc-III</w:t>
      </w:r>
      <w:r>
        <w:rPr>
          <w:color w:val="003CA0"/>
          <w:sz w:val="12"/>
        </w:rPr>
        <w:t xml:space="preserve"> | ADI 4.568</w:t>
      </w:r>
      <w:r>
        <w:rPr>
          <w:color w:val="003CA0"/>
          <w:sz w:val="12"/>
        </w:rPr>
        <w:t xml:space="preserve"> | rel. Cármen Lúcia</w:t>
      </w:r>
    </w:p>
    <w:p>
      <w:pPr>
        <w:ind w:left="288"/>
      </w:pPr>
      <w:r>
        <w:rPr>
          <w:color w:val="1E1E1E"/>
          <w:sz w:val="18"/>
        </w:rPr>
        <w:t>A exigência constitucional de lei formal para fixação do valor do salário mínimo está atendida pela Lei 12.382/2011. A utilização de decreto presidencial, definida pela Lei 12.382/2011 como instrumento de anunciação e divulgação do valor nominal do salário mínimo de 2012 a 2015, não desobedece o comando constitucional posto no inciso IV do art. 7º da Constituição do Brasil. A Lei 12.382/2011 definiu o valor do salário mínimo e sua política de afirmação de novos valores nominais para o período indicado (arts. 1º e 2º). Cabe ao presidente da República, exclusivamente, aplicar os índices definido</w:t>
      </w:r>
    </w:p>
    <w:p>
      <w:pPr>
        <w:ind w:left="288"/>
      </w:pPr>
      <w:r>
        <w:rPr>
          <w:b/>
          <w:color w:val="003CA0"/>
          <w:sz w:val="16"/>
        </w:rPr>
        <w:t>[ADI 4.568, rel. min. Cármen Lúcia, j. 3-11-2011, P, DJE de 30-3-2012.]</w:t>
      </w:r>
    </w:p>
    <w:p>
      <w:pPr>
        <w:ind w:left="288"/>
      </w:pPr>
      <w:r>
        <w:rPr>
          <w:color w:val="8C8C8C"/>
          <w:sz w:val="12"/>
        </w:rPr>
        <w:t>cf-art-7-inc-III</w:t>
      </w:r>
      <w:r>
        <w:rPr>
          <w:color w:val="003CA0"/>
          <w:sz w:val="12"/>
        </w:rPr>
        <w:t xml:space="preserve"> | ADI 3.934</w:t>
      </w:r>
    </w:p>
    <w:p>
      <w:pPr>
        <w:ind w:left="288"/>
      </w:pPr>
      <w:r>
        <w:rPr>
          <w:color w:val="1E1E1E"/>
          <w:sz w:val="18"/>
        </w:rPr>
        <w:t>(...) não vejo qualquer ofensa à Constituição no tocante ao estabelecimento de um limite máximo de 150 salários mínimos, para além do qual os créditos decorrentes da relação de trabalho deixam de ser preferenciais. É que – diga-se desde logo – não há aqui qualquer perda de direitos por parte dos trabalhadores, porquanto, independentemente da categoria em que tais créditos estejam classificados, eles não deixam de existir nem se tornam inexigíveis. Quer dizer, os créditos trabalhistas não desaparecem pelo simples fato de serem convertidos em quirografários, mas apenas perdem o seu caráter prefe</w:t>
      </w:r>
    </w:p>
    <w:p>
      <w:pPr>
        <w:ind w:left="288"/>
      </w:pPr>
      <w:r>
        <w:rPr>
          <w:b/>
          <w:color w:val="003CA0"/>
          <w:sz w:val="16"/>
        </w:rPr>
        <w:t>[ADI 3.934, voto do min. Ricardo Lewandowski, j. 27-5-2009, P, DJE de 6-11-2009.]</w:t>
      </w:r>
    </w:p>
    <w:p>
      <w:pPr>
        <w:ind w:left="288"/>
      </w:pPr>
      <w:r>
        <w:rPr>
          <w:color w:val="8C8C8C"/>
          <w:sz w:val="12"/>
        </w:rPr>
        <w:t>cf-art-7-inc-III</w:t>
      </w:r>
      <w:r>
        <w:rPr>
          <w:color w:val="003CA0"/>
          <w:sz w:val="12"/>
        </w:rPr>
        <w:t xml:space="preserve"> | ADPF 95</w:t>
      </w:r>
      <w:r>
        <w:rPr>
          <w:color w:val="003CA0"/>
          <w:sz w:val="12"/>
        </w:rPr>
        <w:t xml:space="preserve"> | rel. Eros Grau</w:t>
      </w:r>
    </w:p>
    <w:p>
      <w:pPr>
        <w:ind w:left="288"/>
      </w:pPr>
      <w:r>
        <w:rPr>
          <w:color w:val="1E1E1E"/>
          <w:sz w:val="18"/>
        </w:rPr>
        <w:t>O art. 3º da Lei federal 6.194 vincula ao salário mínimo as indenizações pagas em decorrência de morte, invalidez permanente e despesas de assistência médica e suplementares resultantes de acidentes causados por veículos automotores de via terrestre. (...) votos majoritários que entenderam ausentes o fumus boni iuris e o periculum in mora, eis que o art. 7º, IV, da Constituição do Brasil não vedaria a utilização do salário mínimo como parâmetro quantificador de indenização e a Lei 6.194 teria sido inserida no ordenamento jurídico em 1974, respectivamente; (...). Medida cautelar indeferida, con</w:t>
      </w:r>
    </w:p>
    <w:p>
      <w:pPr>
        <w:ind w:left="288"/>
      </w:pPr>
      <w:r>
        <w:rPr>
          <w:b/>
          <w:color w:val="003CA0"/>
          <w:sz w:val="16"/>
        </w:rPr>
        <w:t>[ADPF 95 MC, rel. min. Eros Grau, j. 31-8-2006, P, DJ de 11-5-2007.]</w:t>
      </w:r>
    </w:p>
    <w:p>
      <w:pPr>
        <w:ind w:left="288"/>
      </w:pPr>
      <w:r>
        <w:rPr>
          <w:color w:val="8C8C8C"/>
          <w:sz w:val="12"/>
        </w:rPr>
        <w:t>cf-art-7-inc-III</w:t>
      </w:r>
      <w:r>
        <w:rPr>
          <w:color w:val="003CA0"/>
          <w:sz w:val="12"/>
        </w:rPr>
        <w:t xml:space="preserve"> | ADI 2.672</w:t>
      </w:r>
      <w:r>
        <w:rPr>
          <w:color w:val="003CA0"/>
          <w:sz w:val="12"/>
        </w:rPr>
        <w:t xml:space="preserve"> | rel. Ellen Gracie</w:t>
      </w:r>
    </w:p>
    <w:p>
      <w:pPr>
        <w:ind w:left="288"/>
      </w:pPr>
      <w:r>
        <w:rPr>
          <w:color w:val="1E1E1E"/>
          <w:sz w:val="18"/>
        </w:rPr>
        <w:t>(...) não ofende a Carta Magna a utilização do salário mínimo como critério de aferição do nível de pobreza dos aspirantes às carreiras públicas, para fins de concessão do benefício de que trata a Lei capixaba 6.663/2001.</w:t>
      </w:r>
    </w:p>
    <w:p>
      <w:pPr>
        <w:ind w:left="288"/>
      </w:pPr>
      <w:r>
        <w:rPr>
          <w:b/>
          <w:color w:val="003CA0"/>
          <w:sz w:val="16"/>
        </w:rPr>
        <w:t>[ADI 2.672, rel. min. Ellen Gracie, red. do ac. min. Ayres Britto, j. 22-6-2006, P, DJ de 10-11-2006.]</w:t>
      </w:r>
    </w:p>
    <w:p>
      <w:pPr>
        <w:ind w:left="288"/>
      </w:pPr>
      <w:r>
        <w:rPr>
          <w:color w:val="8C8C8C"/>
          <w:sz w:val="12"/>
        </w:rPr>
        <w:t>cf-art-7-inc-III</w:t>
      </w:r>
      <w:r>
        <w:rPr>
          <w:color w:val="003CA0"/>
          <w:sz w:val="12"/>
        </w:rPr>
        <w:t xml:space="preserve"> | ADPF 33</w:t>
      </w:r>
      <w:r>
        <w:rPr>
          <w:color w:val="003CA0"/>
          <w:sz w:val="12"/>
        </w:rPr>
        <w:t xml:space="preserve"> | rel. Gilmar Mendes</w:t>
      </w:r>
    </w:p>
    <w:p>
      <w:pPr>
        <w:ind w:left="288"/>
      </w:pPr>
      <w:r>
        <w:rPr>
          <w:color w:val="1E1E1E"/>
          <w:sz w:val="18"/>
        </w:rPr>
        <w:t>Norma impugnada que trata da remuneração do pessoal de autarquia estadual, vinculando o quadro de salários ao salário mínimo. (...) Arguição de descumprimento de preceito fundamental julgada procedente para declarar a ilegitimidade (não recepção) do Regulamento de Pessoal do extinto Idesp em face do princípio federativo e da proibição de vinculação de salários a múltiplos do salário mínimo (art. 60, § 4º, I, c/c art. 7º, IV, in fine, da CF).</w:t>
      </w:r>
    </w:p>
    <w:p>
      <w:pPr>
        <w:ind w:left="288"/>
      </w:pPr>
      <w:r>
        <w:rPr>
          <w:b/>
          <w:color w:val="003CA0"/>
          <w:sz w:val="16"/>
        </w:rPr>
        <w:t>[ADPF 33, rel. min. Gilmar Mendes, j. 7-12-2005, P, DJ de 27-10-2006.]</w:t>
      </w:r>
    </w:p>
    <w:p>
      <w:pPr>
        <w:ind w:left="288"/>
      </w:pPr>
      <w:r>
        <w:rPr>
          <w:color w:val="8C8C8C"/>
          <w:sz w:val="12"/>
        </w:rPr>
        <w:t>cf-art-7-inc-III</w:t>
      </w:r>
      <w:r>
        <w:rPr>
          <w:color w:val="003CA0"/>
          <w:sz w:val="12"/>
        </w:rPr>
        <w:t xml:space="preserve"> | AC 2.288</w:t>
      </w:r>
      <w:r>
        <w:rPr>
          <w:color w:val="003CA0"/>
          <w:sz w:val="12"/>
        </w:rPr>
        <w:t xml:space="preserve"> | rel. Celso de Mello</w:t>
      </w:r>
    </w:p>
    <w:p>
      <w:pPr>
        <w:ind w:left="288"/>
      </w:pPr>
      <w:r>
        <w:rPr>
          <w:color w:val="1E1E1E"/>
          <w:sz w:val="18"/>
        </w:rPr>
        <w:t xml:space="preserve">= AC 2.288 MC-REF, rel. min. Celso de Mello, j. 10-3-2009, 2ª T, DJE de 10-8-2012 A insuficiência do valor correspondente ao salário mínimo – definido em importância que se revele incapaz de atender as necessidades vitais básicas do trabalhador e dos membros de sua família – configura um claro descumprimento, ainda que parcial, da Constituição da República, pois o legislador, em tal hipótese, longe de atuar como sujeito concretizante do postulado constitucional que garante à classe trabalhadora um piso geral de remuneração digna (CF, art. 7º, IV), estará realizando, de modo imperfeito, porque </w:t>
      </w:r>
    </w:p>
    <w:p>
      <w:pPr>
        <w:ind w:left="288"/>
      </w:pPr>
      <w:r>
        <w:rPr>
          <w:b/>
          <w:color w:val="003CA0"/>
          <w:sz w:val="16"/>
        </w:rPr>
        <w:t>[ADI 1.442, rel. min. Celso de Mello, j. 3-11-2004, P, DJ de 29-4-2005.]</w:t>
      </w:r>
    </w:p>
    <w:p>
      <w:pPr>
        <w:ind w:left="288"/>
      </w:pPr>
      <w:r>
        <w:rPr>
          <w:color w:val="8C8C8C"/>
          <w:sz w:val="12"/>
        </w:rPr>
        <w:t>cf-art-7-inc-III</w:t>
      </w:r>
      <w:r>
        <w:rPr>
          <w:color w:val="003CA0"/>
          <w:sz w:val="12"/>
        </w:rPr>
        <w:t xml:space="preserve"> | ARE 1.409.059</w:t>
      </w:r>
      <w:r>
        <w:rPr>
          <w:color w:val="003CA0"/>
          <w:sz w:val="12"/>
        </w:rPr>
        <w:t xml:space="preserve"> | rel. Gilmar Mendes</w:t>
      </w:r>
    </w:p>
    <w:p>
      <w:pPr>
        <w:ind w:left="288"/>
      </w:pPr>
      <w:r>
        <w:rPr>
          <w:color w:val="1E1E1E"/>
          <w:sz w:val="18"/>
        </w:rPr>
        <w:t>“A fixação de multa administrativa em múltiplos do salário mínimo não viola o disposto no art. 7º, IV, da Constituição Federal”.</w:t>
      </w:r>
    </w:p>
    <w:p>
      <w:pPr>
        <w:ind w:left="288"/>
      </w:pPr>
      <w:r>
        <w:rPr>
          <w:b/>
          <w:color w:val="003CA0"/>
          <w:sz w:val="16"/>
        </w:rPr>
        <w:t>[ARE 1.409.059, rel. min. Gilmar Mendes, j. 05.11.2025, P, DJE de 27.11.2025, Tema 1.244, com mérito julgado.]</w:t>
      </w:r>
    </w:p>
    <w:p>
      <w:pPr>
        <w:ind w:left="144"/>
      </w:pPr>
      <w:r>
        <w:rPr>
          <w:b/>
          <w:color w:val="B45A00"/>
          <w:sz w:val="16"/>
        </w:rPr>
        <w:t>REPERCUSSAO GERAL</w:t>
      </w:r>
    </w:p>
    <w:p>
      <w:pPr>
        <w:ind w:left="288"/>
      </w:pPr>
      <w:r>
        <w:rPr>
          <w:color w:val="8C8C8C"/>
          <w:sz w:val="12"/>
        </w:rPr>
        <w:t>cf-art-7-inc-III</w:t>
      </w:r>
      <w:r>
        <w:rPr>
          <w:color w:val="003CA0"/>
          <w:sz w:val="12"/>
        </w:rPr>
        <w:t xml:space="preserve"> | RE 964.659</w:t>
      </w:r>
      <w:r>
        <w:rPr>
          <w:color w:val="003CA0"/>
          <w:sz w:val="12"/>
        </w:rPr>
        <w:t xml:space="preserve"> | rel. Dias Toffoli</w:t>
      </w:r>
    </w:p>
    <w:p>
      <w:pPr>
        <w:ind w:left="288"/>
      </w:pPr>
      <w:r>
        <w:rPr>
          <w:color w:val="1E1E1E"/>
          <w:sz w:val="18"/>
        </w:rPr>
        <w:t>(...) ”[é] defeso o pagamento de remuneração em valor inferior ao salário mínimo ao servidor público, ainda que labore em jornada reduzida de trabalho”.</w:t>
      </w:r>
    </w:p>
    <w:p>
      <w:pPr>
        <w:ind w:left="288"/>
      </w:pPr>
      <w:r>
        <w:rPr>
          <w:b/>
          <w:color w:val="003CA0"/>
          <w:sz w:val="16"/>
        </w:rPr>
        <w:t>[RE 964.659, rel. min. Dias Toffoli, j. 8-8-2022, P, DJE de 1º-9-2022, Tema 900, com mérito julgado.]</w:t>
      </w:r>
    </w:p>
    <w:p>
      <w:pPr>
        <w:ind w:left="288"/>
      </w:pPr>
      <w:r>
        <w:rPr>
          <w:color w:val="8C8C8C"/>
          <w:sz w:val="12"/>
        </w:rPr>
        <w:t>cf-art-7-inc-III</w:t>
      </w:r>
      <w:r>
        <w:rPr>
          <w:color w:val="003CA0"/>
          <w:sz w:val="12"/>
        </w:rPr>
        <w:t xml:space="preserve"> | RE 968.414</w:t>
      </w:r>
      <w:r>
        <w:rPr>
          <w:color w:val="003CA0"/>
          <w:sz w:val="12"/>
        </w:rPr>
        <w:t xml:space="preserve"> | rel. Marco Aurélio</w:t>
      </w:r>
    </w:p>
    <w:p>
      <w:pPr>
        <w:ind w:left="288"/>
      </w:pPr>
      <w:r>
        <w:rPr>
          <w:color w:val="1E1E1E"/>
          <w:sz w:val="18"/>
        </w:rPr>
        <w:t>Não encontra amparo no Texto Constitucional revisão de benefício previdenciário pelo valor nominal do salário mínimo.</w:t>
      </w:r>
    </w:p>
    <w:p>
      <w:pPr>
        <w:ind w:left="288"/>
      </w:pPr>
      <w:r>
        <w:rPr>
          <w:b/>
          <w:color w:val="003CA0"/>
          <w:sz w:val="16"/>
        </w:rPr>
        <w:t>[RE 968.414, rel. min. Marco Aurélio, j. 15-5-2020, P, DJE de 3-6-2020, Tema 996, com mérito julgado.]</w:t>
      </w:r>
    </w:p>
    <w:p>
      <w:pPr>
        <w:ind w:left="288"/>
      </w:pPr>
      <w:r>
        <w:rPr>
          <w:color w:val="8C8C8C"/>
          <w:sz w:val="12"/>
        </w:rPr>
        <w:t>cf-art-7-inc-III</w:t>
      </w:r>
      <w:r>
        <w:rPr>
          <w:color w:val="003CA0"/>
          <w:sz w:val="12"/>
        </w:rPr>
        <w:t xml:space="preserve"> | ARE 842.157</w:t>
      </w:r>
    </w:p>
    <w:p>
      <w:pPr>
        <w:ind w:left="288"/>
      </w:pPr>
      <w:r>
        <w:rPr>
          <w:color w:val="1E1E1E"/>
          <w:sz w:val="18"/>
        </w:rPr>
        <w:t xml:space="preserve">(...) a vedação da vinculação ao salário mínimo insculpida no art. 7º,  IV, da Constituição visa impossibilitar a utilização do mencionado parâmetro como fator de indexação para as obrigações não dotadas de caráter alimentar. Conforme precedentes desta Suprema Corte, a utilização do salário mínimo como base de cálculo do valor da pensão alimentícia não ofende o dispositivo constitucional invocado, dada a premissa de que a prestação tem por objetivo a preservação da subsistência humana e o resguardo do padrão de vida daquele que a percebe, o qual é hipossuficiente e, por isso mesmo, dependente </w:t>
      </w:r>
    </w:p>
    <w:p>
      <w:pPr>
        <w:ind w:left="288"/>
      </w:pPr>
      <w:r>
        <w:rPr>
          <w:b/>
          <w:color w:val="003CA0"/>
          <w:sz w:val="16"/>
        </w:rPr>
        <w:t>[ARE 842.157 RG, voto do min. Dias Toffoli, j. 4-6-2015, P, DJE de 20-8-2015, Tema 821, com mérito julgado.]</w:t>
      </w:r>
    </w:p>
    <w:p>
      <w:pPr>
        <w:ind w:left="288"/>
      </w:pPr>
      <w:r>
        <w:rPr>
          <w:color w:val="8C8C8C"/>
          <w:sz w:val="12"/>
        </w:rPr>
        <w:t>cf-art-7-inc-III</w:t>
      </w:r>
      <w:r>
        <w:rPr>
          <w:color w:val="003CA0"/>
          <w:sz w:val="12"/>
        </w:rPr>
        <w:t xml:space="preserve"> | RE 603.451</w:t>
      </w:r>
      <w:r>
        <w:rPr>
          <w:color w:val="003CA0"/>
          <w:sz w:val="12"/>
        </w:rPr>
        <w:t xml:space="preserve"> | rel. Ellen Gracie</w:t>
      </w:r>
    </w:p>
    <w:p>
      <w:pPr>
        <w:ind w:left="288"/>
      </w:pPr>
      <w:r>
        <w:rPr>
          <w:color w:val="1E1E1E"/>
          <w:sz w:val="18"/>
        </w:rPr>
        <w:t>Ex-empregado da FEPASA. Complementação de aposentadoria. Base de cálculo. Salário mínimo. Súmula Vinculante 4. Impossibilidade de o Poder Judiciário determinar nova base de cálculo. Ratificação da jurisprudência firmada por esta Suprema Corte. Existência de repercussão geral.</w:t>
        <w:br/>
        <w:t>[RE 603.451 RG, rel. min. Ellen Gracie, j. 11-3-2010, P, DJE de 23-4-2010, Tema 256, com mérito julgado.] O Plenário, no julgamento do RE 199.098/SC e RE 265.129/RS, rel. min. Ilmar Galvão, decidiu que o art. 7º, IV, da Constituição refere-se ao total da remuneração percebida pelo servidor e não apenas ao vencimento-base.</w:t>
      </w:r>
    </w:p>
    <w:p>
      <w:pPr>
        <w:ind w:left="288"/>
      </w:pPr>
      <w:r>
        <w:rPr>
          <w:b/>
          <w:color w:val="003CA0"/>
          <w:sz w:val="16"/>
        </w:rPr>
        <w:t>[RE 565.714, rel. min. Cármen Lúcia, j. 30-4-2008, P, DJE de 7-11-2008, Tema 25, com mérito julgado.]</w:t>
      </w:r>
    </w:p>
    <w:p>
      <w:pPr>
        <w:ind w:left="288"/>
      </w:pPr>
      <w:r>
        <w:rPr>
          <w:color w:val="8C8C8C"/>
          <w:sz w:val="12"/>
        </w:rPr>
        <w:t>cf-art-7-inc-III</w:t>
      </w:r>
      <w:r>
        <w:rPr>
          <w:color w:val="003CA0"/>
          <w:sz w:val="12"/>
        </w:rPr>
        <w:t xml:space="preserve"> | ARE 1.526.509</w:t>
      </w:r>
      <w:r>
        <w:rPr>
          <w:color w:val="003CA0"/>
          <w:sz w:val="12"/>
        </w:rPr>
        <w:t xml:space="preserve"> | rel. André Mendonça</w:t>
      </w:r>
    </w:p>
    <w:p>
      <w:pPr>
        <w:ind w:left="288"/>
      </w:pPr>
      <w:r>
        <w:rPr>
          <w:color w:val="1E1E1E"/>
          <w:sz w:val="18"/>
        </w:rPr>
        <w:t>“1. A vinculação automática de remuneração ao salário mínimo viola o enunciado nº 4 da Súmula Vinculante do STF, aplicável tanto a empregados públicos quanto a servidores estatutários. 2. A coisa julgada formada sob regime celetista não gera efeitos sobre a remuneração de servidores públicos submetidos ao regime jurídico único, cujos vencimentos são estipulados por normas estatutárias. 3. A irredutibilidade de vencimentos, no momento de transição para o regime estatutário, não confere direito a reajustes automáticos baseados em aumentos do salário mínimo.”</w:t>
      </w:r>
    </w:p>
    <w:p>
      <w:pPr>
        <w:ind w:left="288"/>
      </w:pPr>
      <w:r>
        <w:rPr>
          <w:b/>
          <w:color w:val="003CA0"/>
          <w:sz w:val="16"/>
        </w:rPr>
        <w:t>[ARE 1.526.509 AgR, rel. min. André Mendonça, j. 22.02.2025, 2ª T, DJE de 07.03.2025.]</w:t>
      </w:r>
    </w:p>
    <w:p>
      <w:pPr>
        <w:ind w:left="144"/>
      </w:pPr>
      <w:r>
        <w:rPr>
          <w:b/>
          <w:color w:val="B45A00"/>
          <w:sz w:val="16"/>
        </w:rPr>
        <w:t>JULGADOS CORRELATOS</w:t>
      </w:r>
    </w:p>
    <w:p>
      <w:pPr>
        <w:ind w:left="288"/>
      </w:pPr>
      <w:r>
        <w:rPr>
          <w:color w:val="8C8C8C"/>
          <w:sz w:val="12"/>
        </w:rPr>
        <w:t>cf-art-7-inc-III</w:t>
      </w:r>
      <w:r>
        <w:rPr>
          <w:color w:val="003CA0"/>
          <w:sz w:val="12"/>
        </w:rPr>
        <w:t xml:space="preserve"> | RE 674.967</w:t>
      </w:r>
      <w:r>
        <w:rPr>
          <w:color w:val="003CA0"/>
          <w:sz w:val="12"/>
        </w:rPr>
        <w:t xml:space="preserve"> | rel. Ricardo Lewandowski</w:t>
      </w:r>
    </w:p>
    <w:p>
      <w:pPr>
        <w:ind w:left="288"/>
      </w:pPr>
      <w:r>
        <w:rPr>
          <w:color w:val="1E1E1E"/>
          <w:sz w:val="18"/>
        </w:rPr>
        <w:t>Não contraria a Constituição a decisão de tribunal que, em razão da omissão legislativa e da impossibilidade de vinculação ao salário mínimo, supre lacuna existente na legislação e fixa o vencimento básico do servidor como base de cálculo do adicional de insalubridade.</w:t>
      </w:r>
    </w:p>
    <w:p>
      <w:pPr>
        <w:ind w:left="288"/>
      </w:pPr>
      <w:r>
        <w:rPr>
          <w:b/>
          <w:color w:val="003CA0"/>
          <w:sz w:val="16"/>
        </w:rPr>
        <w:t>[RE 674.967 AgR-segundo, rel. min. Ricardo Lewandowski, j. 24-9-2013, 2ª T, DJE de 11-10-2013.]</w:t>
      </w:r>
    </w:p>
    <w:p>
      <w:pPr>
        <w:ind w:left="288"/>
      </w:pPr>
      <w:r>
        <w:rPr>
          <w:color w:val="8C8C8C"/>
          <w:sz w:val="12"/>
        </w:rPr>
        <w:t>cf-art-7-inc-III</w:t>
      </w:r>
      <w:r>
        <w:rPr>
          <w:color w:val="003CA0"/>
          <w:sz w:val="12"/>
        </w:rPr>
        <w:t xml:space="preserve"> | RE 634.341</w:t>
      </w:r>
      <w:r>
        <w:rPr>
          <w:color w:val="003CA0"/>
          <w:sz w:val="12"/>
        </w:rPr>
        <w:t xml:space="preserve"> | rel. Dias Toffoli</w:t>
      </w:r>
    </w:p>
    <w:p>
      <w:pPr>
        <w:ind w:left="288"/>
      </w:pPr>
      <w:r>
        <w:rPr>
          <w:color w:val="1E1E1E"/>
          <w:sz w:val="18"/>
        </w:rPr>
        <w:t>= RE 634.341 AgR, rel. min. Dias Toffoli, j. 4-2-2014, 1ª T, DJE de 25-2-2014 O Supremo assentou o entendimento de que não é possível a vinculação do piso-base ao salário mínimo, nos termos do disposto na parte final do inciso IV do art. 7º da Constituição do Brasil.</w:t>
      </w:r>
    </w:p>
    <w:p>
      <w:pPr>
        <w:ind w:left="288"/>
      </w:pPr>
      <w:r>
        <w:rPr>
          <w:b/>
          <w:color w:val="003CA0"/>
          <w:sz w:val="16"/>
        </w:rPr>
        <w:t>[AI 763.641 AgR, rel. min. Eros Grau, j. 17-11-2009, 2ª T, DJE de 4-12-2009.]</w:t>
      </w:r>
    </w:p>
    <w:p>
      <w:pPr>
        <w:ind w:left="288"/>
      </w:pPr>
      <w:r>
        <w:rPr>
          <w:color w:val="8C8C8C"/>
          <w:sz w:val="12"/>
        </w:rPr>
        <w:t>cf-art-7-inc-III</w:t>
      </w:r>
      <w:r>
        <w:rPr>
          <w:color w:val="003CA0"/>
          <w:sz w:val="12"/>
        </w:rPr>
        <w:t xml:space="preserve"> | RE 258.386</w:t>
      </w:r>
      <w:r>
        <w:rPr>
          <w:color w:val="003CA0"/>
          <w:sz w:val="12"/>
        </w:rPr>
        <w:t xml:space="preserve"> | rel. Maurício Corrêa</w:t>
      </w:r>
    </w:p>
    <w:p>
      <w:pPr>
        <w:ind w:left="288"/>
      </w:pPr>
      <w:r>
        <w:rPr>
          <w:color w:val="1E1E1E"/>
          <w:sz w:val="18"/>
        </w:rPr>
        <w:t>= RE 258.386 AgR, rel. min. Maurício Corrêa, j. 14-8-2001, 2ª T, DJE de 5-10-2001 Longe fica de transgredir a Carta da República pronunciamento judicial que implique a satisfação dos proventos considerado o valor representado pelo salário mínimo.</w:t>
      </w:r>
    </w:p>
    <w:p>
      <w:pPr>
        <w:ind w:left="288"/>
      </w:pPr>
      <w:r>
        <w:rPr>
          <w:b/>
          <w:color w:val="003CA0"/>
          <w:sz w:val="16"/>
        </w:rPr>
        <w:t>[AI 482.810 AgR, rel. min. Marco Aurélio, j. 9-6-2009, 1ª T, DJE de 21-8-2009.]</w:t>
      </w:r>
    </w:p>
    <w:p>
      <w:pPr>
        <w:ind w:left="288"/>
      </w:pPr>
      <w:r>
        <w:rPr>
          <w:color w:val="8C8C8C"/>
          <w:sz w:val="12"/>
        </w:rPr>
        <w:t>cf-art-7-inc-III</w:t>
      </w:r>
      <w:r>
        <w:rPr>
          <w:color w:val="003CA0"/>
          <w:sz w:val="12"/>
        </w:rPr>
        <w:t xml:space="preserve"> | AI 577.908</w:t>
      </w:r>
      <w:r>
        <w:rPr>
          <w:color w:val="003CA0"/>
          <w:sz w:val="12"/>
        </w:rPr>
        <w:t xml:space="preserve"> | rel. Gilmar Mendes</w:t>
      </w:r>
    </w:p>
    <w:p>
      <w:pPr>
        <w:ind w:left="288"/>
      </w:pPr>
      <w:r>
        <w:rPr>
          <w:color w:val="1E1E1E"/>
          <w:sz w:val="18"/>
        </w:rPr>
        <w:t>Morte de preso no interior de estabelecimento prisional. Indenização por danos morais e materiais. Cabimento. Responsabilidade objetiva do Estado. (...) Pensão fixada. Hipótese excepcional em que se permite a vinculação ao salário mínimo.</w:t>
      </w:r>
    </w:p>
    <w:p>
      <w:pPr>
        <w:ind w:left="288"/>
      </w:pPr>
      <w:r>
        <w:rPr>
          <w:b/>
          <w:color w:val="003CA0"/>
          <w:sz w:val="16"/>
        </w:rPr>
        <w:t>[AI 577.908 AgR, rel. min. Gilmar Mendes, j. 30-9-2008, 2ª T, DJE de 21-11-2008.]</w:t>
      </w:r>
    </w:p>
    <w:p>
      <w:pPr>
        <w:ind w:left="288"/>
      </w:pPr>
      <w:r>
        <w:rPr>
          <w:color w:val="8C8C8C"/>
          <w:sz w:val="12"/>
        </w:rPr>
        <w:t>cf-art-7-inc-III</w:t>
      </w:r>
      <w:r>
        <w:rPr>
          <w:color w:val="003CA0"/>
          <w:sz w:val="12"/>
        </w:rPr>
        <w:t xml:space="preserve"> | RE 388.658</w:t>
      </w:r>
      <w:r>
        <w:rPr>
          <w:color w:val="003CA0"/>
          <w:sz w:val="12"/>
        </w:rPr>
        <w:t xml:space="preserve"> | rel. Marco Aurélio</w:t>
      </w:r>
    </w:p>
    <w:p>
      <w:pPr>
        <w:ind w:left="288"/>
      </w:pPr>
      <w:r>
        <w:rPr>
          <w:color w:val="1E1E1E"/>
          <w:sz w:val="18"/>
        </w:rPr>
        <w:t>Adicional de insalubridade. Base de cálculo. Salário mínimo. Mesmo em se tratando de adicional de insalubridade, descabe considerar o salário mínimo como base de cálculo. Verbete Vinculante 4 da Súmula do Supremo. Agravo. Reforma. Alcance. Afasta-se a observância do verbete vinculante quando conclusão diversa acarreta o prejuízo do recorrente.</w:t>
      </w:r>
    </w:p>
    <w:p>
      <w:pPr>
        <w:ind w:left="288"/>
      </w:pPr>
      <w:r>
        <w:rPr>
          <w:b/>
          <w:color w:val="003CA0"/>
          <w:sz w:val="16"/>
        </w:rPr>
        <w:t>[RE 388.658 AgR, rel. min. Marco Aurélio, j. 12-8-2008, 1ª T, DJE de 26-9-2008.]</w:t>
      </w:r>
    </w:p>
    <w:p>
      <w:pPr>
        <w:ind w:left="288"/>
      </w:pPr>
      <w:r>
        <w:rPr>
          <w:color w:val="8C8C8C"/>
          <w:sz w:val="12"/>
        </w:rPr>
        <w:t>cf-art-7-inc-III</w:t>
      </w:r>
      <w:r>
        <w:rPr>
          <w:color w:val="003CA0"/>
          <w:sz w:val="12"/>
        </w:rPr>
        <w:t xml:space="preserve"> | RE 349.850</w:t>
      </w:r>
      <w:r>
        <w:rPr>
          <w:color w:val="003CA0"/>
          <w:sz w:val="12"/>
        </w:rPr>
        <w:t xml:space="preserve"> | rel. Marco Aurélio</w:t>
      </w:r>
    </w:p>
    <w:p>
      <w:pPr>
        <w:ind w:left="288"/>
      </w:pPr>
      <w:r>
        <w:rPr>
          <w:color w:val="1E1E1E"/>
          <w:sz w:val="18"/>
        </w:rPr>
        <w:t>Vulnera o disposto no inciso IV do art. 7º da CF vincular vencimentos ao salário mínimo, não gerando a prática direito à manutenção do valor alcançado.</w:t>
      </w:r>
    </w:p>
    <w:p>
      <w:pPr>
        <w:ind w:left="288"/>
      </w:pPr>
      <w:r>
        <w:rPr>
          <w:b/>
          <w:color w:val="003CA0"/>
          <w:sz w:val="16"/>
        </w:rPr>
        <w:t>[RE 349.850, rel. min. Marco Aurélio, j. 25-3-2008, 1ª T, DJE de 23-5-2008.]</w:t>
      </w:r>
    </w:p>
    <w:p>
      <w:pPr>
        <w:ind w:left="288"/>
      </w:pPr>
      <w:r>
        <w:rPr>
          <w:color w:val="8C8C8C"/>
          <w:sz w:val="12"/>
        </w:rPr>
        <w:t>cf-art-7-inc-III</w:t>
      </w:r>
      <w:r>
        <w:rPr>
          <w:color w:val="003CA0"/>
          <w:sz w:val="12"/>
        </w:rPr>
        <w:t xml:space="preserve"> | AI 494.258</w:t>
      </w:r>
      <w:r>
        <w:rPr>
          <w:color w:val="003CA0"/>
          <w:sz w:val="12"/>
        </w:rPr>
        <w:t xml:space="preserve"> | rel. Dias Toffoli</w:t>
      </w:r>
    </w:p>
    <w:p>
      <w:pPr>
        <w:ind w:left="288"/>
      </w:pPr>
      <w:r>
        <w:rPr>
          <w:color w:val="1E1E1E"/>
          <w:sz w:val="18"/>
        </w:rPr>
        <w:t>= AI 494.258 ED, rel. min. Dias Toffoli, j. 26-4-2011, 1ª T, DJE de 1º-8-2011 Indenização vinculada ao salário mínimo: impossibilidade. CF, art. 7º, IV. O que a Constituição veda – art. 7º, IV – é a fixação do quantum da indenização em múltiplo de salários mínimos. STF, RE 225.488/PR, rel. min. Moreira Alves; ADI 1.425. A indenização pode ser fixada, entretanto, em salários mínimos, observado o valor deste na data do julgamento. A partir daí, esse quantum será corrigido por índice oficial.</w:t>
      </w:r>
    </w:p>
    <w:p>
      <w:pPr>
        <w:ind w:left="288"/>
      </w:pPr>
      <w:r>
        <w:rPr>
          <w:b/>
          <w:color w:val="003CA0"/>
          <w:sz w:val="16"/>
        </w:rPr>
        <w:t>[RE 409.427 AgR, rel. min. Carlos Velloso, j. 16-3-2004, 1ª T, DJ de 2-4-2004.]</w:t>
      </w:r>
    </w:p>
    <w:p>
      <w:pPr>
        <w:ind w:left="288"/>
      </w:pPr>
      <w:r>
        <w:rPr>
          <w:color w:val="8C8C8C"/>
          <w:sz w:val="12"/>
        </w:rPr>
        <w:t>cf-art-7-inc-III</w:t>
      </w:r>
      <w:r>
        <w:rPr>
          <w:color w:val="003CA0"/>
          <w:sz w:val="12"/>
        </w:rPr>
        <w:t xml:space="preserve"> | AI 537.333</w:t>
      </w:r>
      <w:r>
        <w:rPr>
          <w:color w:val="003CA0"/>
          <w:sz w:val="12"/>
        </w:rPr>
        <w:t xml:space="preserve"> | rel. Joaquim Barbosa</w:t>
      </w:r>
    </w:p>
    <w:p>
      <w:pPr>
        <w:ind w:left="288"/>
      </w:pPr>
      <w:r>
        <w:rPr>
          <w:color w:val="1E1E1E"/>
          <w:sz w:val="18"/>
        </w:rPr>
        <w:t>= AI 537.333 ED, rel. min. Joaquim Barbosa, j. 12-5-2009, 2ª T, DJE de 26-6-2009 Vide RE 467.011 AgR, rel. min. Cármen Lúcia, j. 15-9-2009, 1ª T, DJE de 16-10-2009 Multa administrativa vinculada a salário mínimo. (...) O Plenário desta Corte, ao julgar a ADI 1.425, firmou o entendimento de que, ao estabelecer o art. 7º, IV, da Constituição que é vedada a vinculação ao salário mínimo para qualquer fim, "quis evitar que interesses estranhos aos versados na norma constitucional venham a ter influência na fixação do valor mínimo a ser observado". Ora, no caso, a vinculação se dá para que o salário</w:t>
      </w:r>
    </w:p>
    <w:p>
      <w:pPr>
        <w:ind w:left="288"/>
      </w:pPr>
      <w:r>
        <w:rPr>
          <w:b/>
          <w:color w:val="003CA0"/>
          <w:sz w:val="16"/>
        </w:rPr>
        <w:t>[RE 237.965, rel. min. Moreira Alves, j. 10-2-2000, P, DJ de 31-3-2000.]</w:t>
      </w:r>
    </w:p>
    <w:p>
      <w:pPr>
        <w:ind w:left="288"/>
      </w:pPr>
      <w:r>
        <w:rPr>
          <w:color w:val="8C8C8C"/>
          <w:sz w:val="12"/>
        </w:rPr>
        <w:t>cf-art-7-inc-III</w:t>
      </w:r>
      <w:r>
        <w:rPr>
          <w:color w:val="003CA0"/>
          <w:sz w:val="12"/>
        </w:rPr>
        <w:t xml:space="preserve"> | RE 445.282</w:t>
      </w:r>
      <w:r>
        <w:rPr>
          <w:color w:val="003CA0"/>
          <w:sz w:val="12"/>
        </w:rPr>
        <w:t xml:space="preserve"> | rel. Marco Aurélio</w:t>
      </w:r>
    </w:p>
    <w:p>
      <w:pPr>
        <w:ind w:left="288"/>
      </w:pPr>
      <w:r>
        <w:rPr>
          <w:color w:val="1E1E1E"/>
          <w:sz w:val="18"/>
        </w:rPr>
        <w:t>= RE 445.282 AgR, rel. min. Marco Aurélio, j. 7-4-2009, 1ª T, DJE de 5-6-2009</w:t>
      </w:r>
    </w:p>
    <w:p>
      <w:pPr>
        <w:ind w:left="144"/>
      </w:pPr>
      <w:r>
        <w:rPr>
          <w:b/>
          <w:color w:val="B45A00"/>
          <w:sz w:val="16"/>
        </w:rPr>
        <w:t>CONTROLE CONCENTRADO</w:t>
      </w:r>
    </w:p>
    <w:p>
      <w:pPr>
        <w:ind w:left="288"/>
      </w:pPr>
      <w:r>
        <w:rPr>
          <w:color w:val="8C8C8C"/>
          <w:sz w:val="12"/>
        </w:rPr>
        <w:t>cf-art-7-inc-V</w:t>
      </w:r>
      <w:r>
        <w:rPr>
          <w:color w:val="003CA0"/>
          <w:sz w:val="12"/>
        </w:rPr>
        <w:t xml:space="preserve"> | ADPF 53</w:t>
      </w:r>
      <w:r>
        <w:rPr>
          <w:color w:val="003CA0"/>
          <w:sz w:val="12"/>
        </w:rPr>
        <w:t xml:space="preserve"> | rel. Rosa Weber</w:t>
      </w:r>
    </w:p>
    <w:p>
      <w:pPr>
        <w:ind w:left="288"/>
      </w:pPr>
      <w:r>
        <w:rPr>
          <w:color w:val="1E1E1E"/>
          <w:sz w:val="18"/>
        </w:rPr>
        <w:t>A jurisprudência desta Corte entende violar o princípio federativo a estipulação de piso remuneratório nacional apenas em relação aos servidores públicos efetivos, por interferir na autonomia administrativa dos demais entes federados. Em relação aos empregados públicos sujeitos ao vínculo jurídico celetista estendem-se, no ponto, as mesmas garantias dos trabalhadores em geral. A adoção da técnica de ‘congelamento’ da base de cálculo do piso salarial não importa em nenhuma distinção salarial entre empregados antigos e novos contratados. O piso salarial constitui referência mínima de contratação</w:t>
      </w:r>
    </w:p>
    <w:p>
      <w:pPr>
        <w:ind w:left="288"/>
      </w:pPr>
      <w:r>
        <w:rPr>
          <w:b/>
          <w:color w:val="003CA0"/>
          <w:sz w:val="16"/>
        </w:rPr>
        <w:t>[ADPF 53 ED, ADPF 149 ED e ADPF 171 ED, rel. min. Rosa Weber, j. 4-7-2022, P, DJE de 12-7-2022.]</w:t>
      </w:r>
    </w:p>
    <w:p>
      <w:pPr>
        <w:ind w:left="288"/>
      </w:pPr>
      <w:r>
        <w:rPr>
          <w:color w:val="8C8C8C"/>
          <w:sz w:val="12"/>
        </w:rPr>
        <w:t>cf-art-7-inc-V</w:t>
      </w:r>
      <w:r>
        <w:rPr>
          <w:color w:val="003CA0"/>
          <w:sz w:val="12"/>
        </w:rPr>
        <w:t xml:space="preserve"> | ADPF 53</w:t>
      </w:r>
      <w:r>
        <w:rPr>
          <w:color w:val="003CA0"/>
          <w:sz w:val="12"/>
        </w:rPr>
        <w:t xml:space="preserve"> | rel. Rosa Weber</w:t>
      </w:r>
    </w:p>
    <w:p>
      <w:pPr>
        <w:ind w:left="288"/>
      </w:pPr>
      <w:r>
        <w:rPr>
          <w:color w:val="1E1E1E"/>
          <w:sz w:val="18"/>
        </w:rPr>
        <w:t>O texto constitucional (CF, art. 7º, IV, fine) não proíbe a utilização de múltiplos do salário-mínimo como mera referência paradigmática para definição do valor justo e proporcional do piso salarial destinado à remuneração de categorias profissionais especializadas (CF, art. 7º, V), impedindo, no entanto, reajustamentos automáticos futuros, destinados à adequação do salário inicialmente contratado aos novos valores vigentes para o salário-mínimo nacional. Fixada interpretação conforme à Constituição, com adoção da técnica do congelamento da base de cálculo dos pisos salariais, a fim de que sej</w:t>
      </w:r>
    </w:p>
    <w:p>
      <w:pPr>
        <w:ind w:left="288"/>
      </w:pPr>
      <w:r>
        <w:rPr>
          <w:b/>
          <w:color w:val="003CA0"/>
          <w:sz w:val="16"/>
        </w:rPr>
        <w:t>[ADPF 53 MC-REF, rel. min. Rosa Weber, j. 21-2-2022, P, DJE de 18-3-2022.]</w:t>
      </w:r>
    </w:p>
    <w:p>
      <w:pPr>
        <w:ind w:left="288"/>
      </w:pPr>
      <w:r>
        <w:rPr>
          <w:color w:val="8C8C8C"/>
          <w:sz w:val="12"/>
        </w:rPr>
        <w:t>cf-art-7-inc-V</w:t>
      </w:r>
      <w:r>
        <w:rPr>
          <w:color w:val="003CA0"/>
          <w:sz w:val="12"/>
        </w:rPr>
        <w:t xml:space="preserve"> | ADI 4.364</w:t>
      </w:r>
      <w:r>
        <w:rPr>
          <w:color w:val="003CA0"/>
          <w:sz w:val="12"/>
        </w:rPr>
        <w:t xml:space="preserve"> | rel. Dias Toffoli</w:t>
      </w:r>
    </w:p>
    <w:p>
      <w:pPr>
        <w:ind w:left="288"/>
      </w:pPr>
      <w:r>
        <w:rPr>
          <w:color w:val="1E1E1E"/>
          <w:sz w:val="18"/>
        </w:rPr>
        <w:t>A menção ao dever de obediência a patamar mínimo fixado em lei foi feita – em relação aos trabalhadores alcançados pela lei estadual, não abrangidos por nenhuma forma de negociação coletiva anterior – como reforço argumentativo, com o intuito de realçar a liberdade de atuação dos órgãos sindicais na construção das políticas salariais dos seus representados. Como foi destacado, o piso salarial fixado pela legislação estadual, em razão da limitação contida na LC federal 103/2000 e conforme ressalva expressa no art. 3º da lei estadual questionada, não incidirá sobre as profissões que tenham conve</w:t>
      </w:r>
    </w:p>
    <w:p>
      <w:pPr>
        <w:ind w:left="288"/>
      </w:pPr>
      <w:r>
        <w:rPr>
          <w:b/>
          <w:color w:val="003CA0"/>
          <w:sz w:val="16"/>
        </w:rPr>
        <w:t>[ADI 4.364 ED, rel. min. Dias Toffoli, j. 29-5-2013, P, DJE de 20-9-2013.]</w:t>
      </w:r>
    </w:p>
    <w:p>
      <w:pPr>
        <w:ind w:left="288"/>
      </w:pPr>
      <w:r>
        <w:rPr>
          <w:color w:val="8C8C8C"/>
          <w:sz w:val="12"/>
        </w:rPr>
        <w:t>cf-art-7-inc-V</w:t>
      </w:r>
      <w:r>
        <w:rPr>
          <w:color w:val="003CA0"/>
          <w:sz w:val="12"/>
        </w:rPr>
        <w:t xml:space="preserve"> | ADI 4.364</w:t>
      </w:r>
      <w:r>
        <w:rPr>
          <w:color w:val="003CA0"/>
          <w:sz w:val="12"/>
        </w:rPr>
        <w:t xml:space="preserve"> | rel. Dias Toffoli</w:t>
      </w:r>
    </w:p>
    <w:p>
      <w:pPr>
        <w:ind w:left="288"/>
      </w:pPr>
      <w:r>
        <w:rPr>
          <w:color w:val="1E1E1E"/>
          <w:sz w:val="18"/>
        </w:rPr>
        <w:t>Vide ADI 4.364, rel. min. Dias Toffoli, j. 2-3-2011, P, DJE de 16-5-2011 A lei questionada não viola o princípio do pleno emprego. Ao contrário, a instituição do piso salarial regional visa, exatamente, reduzir as desigualdades sociais, conferindo proteção aos trabalhadores e assegurando a eles melhores condições salariais. Não viola o poder normativo da Justiça do Trabalho (art. 114, § 2º, da Lei Maior) o fato de a lei estadual não ter excluído dos seus efeitos a hipótese de piso salarial determinado em dissídio coletivo. A lei atuou nos exatos contornos da autorização conferida pela delegaçã</w:t>
      </w:r>
    </w:p>
    <w:p>
      <w:pPr>
        <w:ind w:left="288"/>
      </w:pPr>
      <w:r>
        <w:rPr>
          <w:b/>
          <w:color w:val="003CA0"/>
          <w:sz w:val="16"/>
        </w:rPr>
        <w:t>[ADI 4.364, rel. min. Dias Toffoli, j. 2-3-2011, P, DJE de 16-5-2011.]</w:t>
      </w:r>
    </w:p>
    <w:p>
      <w:pPr>
        <w:ind w:left="288"/>
      </w:pPr>
      <w:r>
        <w:rPr>
          <w:color w:val="8C8C8C"/>
          <w:sz w:val="12"/>
        </w:rPr>
        <w:t>cf-art-7-inc-V</w:t>
      </w:r>
      <w:r>
        <w:rPr>
          <w:color w:val="003CA0"/>
          <w:sz w:val="12"/>
        </w:rPr>
        <w:t xml:space="preserve"> | ADI 4.364</w:t>
      </w:r>
      <w:r>
        <w:rPr>
          <w:color w:val="003CA0"/>
          <w:sz w:val="12"/>
        </w:rPr>
        <w:t xml:space="preserve"> | rel. Dias Toffoli</w:t>
      </w:r>
    </w:p>
    <w:p>
      <w:pPr>
        <w:ind w:left="288"/>
      </w:pPr>
      <w:r>
        <w:rPr>
          <w:color w:val="1E1E1E"/>
          <w:sz w:val="18"/>
        </w:rPr>
        <w:t>Vide ADI 4.364 ED, rel. min. Dias Toffoli, j. 29-5-2013, P, DJE de 20-9-2013</w:t>
      </w:r>
    </w:p>
    <w:p>
      <w:pPr>
        <w:ind w:left="144"/>
      </w:pPr>
      <w:r>
        <w:rPr>
          <w:b/>
          <w:color w:val="B45A00"/>
          <w:sz w:val="16"/>
        </w:rPr>
        <w:t>REPERCUSSAO GERAL</w:t>
      </w:r>
    </w:p>
    <w:p>
      <w:pPr>
        <w:ind w:left="288"/>
      </w:pPr>
      <w:r>
        <w:rPr>
          <w:color w:val="8C8C8C"/>
          <w:sz w:val="12"/>
        </w:rPr>
        <w:t>cf-art-7-inc-V</w:t>
      </w:r>
      <w:r>
        <w:rPr>
          <w:color w:val="003CA0"/>
          <w:sz w:val="12"/>
        </w:rPr>
        <w:t xml:space="preserve"> | RE 1.343.477</w:t>
      </w:r>
      <w:r>
        <w:rPr>
          <w:color w:val="003CA0"/>
          <w:sz w:val="12"/>
        </w:rPr>
        <w:t xml:space="preserve"> | rel. Luiz Fux</w:t>
      </w:r>
    </w:p>
    <w:p>
      <w:pPr>
        <w:ind w:left="288"/>
      </w:pPr>
      <w:r>
        <w:rPr>
          <w:color w:val="1E1E1E"/>
          <w:sz w:val="18"/>
        </w:rPr>
        <w:t>É infraconstitucional, a ela se aplicando os efeitos da ausência de repercussão geral, a controvérsia relativa ao cálculo do piso salarial devido aos professores da rede de educação básica, considerada a fixação de jornada inferior a 40 (quarenta) horas semanais e a distribuição da carga horária dentro e fora de sala de aula.</w:t>
        <w:br/>
        <w:t>[RE 1.343.477 RG, rel. min. Luiz Fux, j. 28-10-2021, P, DJE de 12-11-2021, Tema 1.179, com repercussão geral negada.]</w:t>
      </w:r>
    </w:p>
    <w:p>
      <w:pPr>
        <w:ind w:left="144"/>
      </w:pPr>
      <w:r>
        <w:rPr>
          <w:b/>
          <w:color w:val="B45A00"/>
          <w:sz w:val="16"/>
        </w:rPr>
        <w:t>CONTROLE CONCENTRADO</w:t>
      </w:r>
    </w:p>
    <w:p>
      <w:pPr>
        <w:ind w:left="288"/>
      </w:pPr>
      <w:r>
        <w:rPr>
          <w:color w:val="8C8C8C"/>
          <w:sz w:val="12"/>
        </w:rPr>
        <w:t>cf-art-7-inc-VI</w:t>
      </w:r>
      <w:r>
        <w:rPr>
          <w:color w:val="003CA0"/>
          <w:sz w:val="12"/>
        </w:rPr>
        <w:t xml:space="preserve"> | ADI 6.363</w:t>
      </w:r>
    </w:p>
    <w:p>
      <w:pPr>
        <w:ind w:left="288"/>
      </w:pPr>
      <w:r>
        <w:rPr>
          <w:color w:val="1E1E1E"/>
          <w:sz w:val="18"/>
        </w:rPr>
        <w:t>A temporariedade e a excepcionalidade da medida, que é destinada (...) a manter empregos e a atividade econômica nacional, a proporcionalidade, porque há uma redução remuneratória com redução da carga horária, além da complementação parcial por parte do Poder Público, e a finalidade maior da medida provisória de preservar o vínculo trabalhista e a renda do trabalhador para a sua subsistência, para a subsistência da sua família, estão (...) em absoluta consonância com uma proteção social ao emprego, ao trabalho, a proteção à dignidade da pessoa humana, o respeito aos valores sociais do trabalho</w:t>
      </w:r>
    </w:p>
    <w:p>
      <w:pPr>
        <w:ind w:left="288"/>
      </w:pPr>
      <w:r>
        <w:rPr>
          <w:b/>
          <w:color w:val="003CA0"/>
          <w:sz w:val="16"/>
        </w:rPr>
        <w:t>[ADI 6.363 MC-Ref, voto do redator do acórdão Min. Alexandre de Moraes, j. 17-4-2020, P, DJE de 24-11-2020.]</w:t>
      </w:r>
    </w:p>
    <w:p>
      <w:pPr>
        <w:ind w:left="288"/>
      </w:pPr>
      <w:r>
        <w:rPr>
          <w:color w:val="8C8C8C"/>
          <w:sz w:val="12"/>
        </w:rPr>
        <w:t>cf-art-7-inc-VI</w:t>
      </w:r>
      <w:r>
        <w:rPr>
          <w:color w:val="003CA0"/>
          <w:sz w:val="12"/>
        </w:rPr>
        <w:t xml:space="preserve"> | ARE 1.514.806</w:t>
      </w:r>
      <w:r>
        <w:rPr>
          <w:color w:val="003CA0"/>
          <w:sz w:val="12"/>
        </w:rPr>
        <w:t xml:space="preserve"> | rel. Luís Roberto Barroso</w:t>
      </w:r>
    </w:p>
    <w:p>
      <w:pPr>
        <w:ind w:left="288"/>
      </w:pPr>
      <w:r>
        <w:rPr>
          <w:color w:val="1E1E1E"/>
          <w:sz w:val="18"/>
        </w:rPr>
        <w:t>“É infraconstitucional e pressupõe o exame de matéria fática a controvérsia sobre a redução de vencimentos de policiais militares do Estado de Pernambuco após a edição da Lei Complementar estadual nº 169/2011”.</w:t>
      </w:r>
    </w:p>
    <w:p>
      <w:pPr>
        <w:ind w:left="288"/>
      </w:pPr>
      <w:r>
        <w:rPr>
          <w:b/>
          <w:color w:val="003CA0"/>
          <w:sz w:val="16"/>
        </w:rPr>
        <w:t>[ARE 1.514.806 RG, rel. min. Luís Roberto Barroso, j. 04.10.2024, P, DJE de 09.10.2024, Tema 1.327, com repercussão geral negada.]</w:t>
      </w:r>
    </w:p>
    <w:p>
      <w:pPr>
        <w:ind w:left="144"/>
      </w:pPr>
      <w:r>
        <w:rPr>
          <w:b/>
          <w:color w:val="B45A00"/>
          <w:sz w:val="16"/>
        </w:rPr>
        <w:t>JULGADOS CORRELATOS</w:t>
      </w:r>
    </w:p>
    <w:p>
      <w:pPr>
        <w:ind w:left="288"/>
      </w:pPr>
      <w:r>
        <w:rPr>
          <w:color w:val="8C8C8C"/>
          <w:sz w:val="12"/>
        </w:rPr>
        <w:t>cf-art-7-inc-VI</w:t>
      </w:r>
      <w:r>
        <w:rPr>
          <w:color w:val="003CA0"/>
          <w:sz w:val="12"/>
        </w:rPr>
        <w:t xml:space="preserve"> | RE 599.618</w:t>
      </w:r>
      <w:r>
        <w:rPr>
          <w:color w:val="003CA0"/>
          <w:sz w:val="12"/>
        </w:rPr>
        <w:t xml:space="preserve"> | rel. Cármen Lúcia</w:t>
      </w:r>
    </w:p>
    <w:p>
      <w:pPr>
        <w:ind w:left="288"/>
      </w:pPr>
      <w:r>
        <w:rPr>
          <w:color w:val="1E1E1E"/>
          <w:sz w:val="18"/>
        </w:rPr>
        <w:t>Transposição do regime celetista para o estatutário. Inexistência de direito adquirido a regime jurídico. Possibilidade de diminuição ou supressão de vantagens sem redução do valor da remuneração.</w:t>
      </w:r>
    </w:p>
    <w:p>
      <w:pPr>
        <w:ind w:left="288"/>
      </w:pPr>
      <w:r>
        <w:rPr>
          <w:b/>
          <w:color w:val="003CA0"/>
          <w:sz w:val="16"/>
        </w:rPr>
        <w:t>[RE 599.618 ED, rel. min. Cármen Lúcia, j. 1º-2-2011, 1ª T, DJE de 14-3-2011.]</w:t>
      </w:r>
    </w:p>
    <w:p>
      <w:pPr>
        <w:ind w:left="288"/>
      </w:pPr>
      <w:r>
        <w:rPr>
          <w:color w:val="8C8C8C"/>
          <w:sz w:val="12"/>
        </w:rPr>
        <w:t>cf-art-7-inc-VI</w:t>
      </w:r>
      <w:r>
        <w:rPr>
          <w:color w:val="003CA0"/>
          <w:sz w:val="12"/>
        </w:rPr>
        <w:t xml:space="preserve"> | RE 212.131</w:t>
      </w:r>
      <w:r>
        <w:rPr>
          <w:color w:val="003CA0"/>
          <w:sz w:val="12"/>
        </w:rPr>
        <w:t xml:space="preserve"> | rel. Ilmar Galvão</w:t>
      </w:r>
    </w:p>
    <w:p>
      <w:pPr>
        <w:ind w:left="288"/>
      </w:pPr>
      <w:r>
        <w:rPr>
          <w:color w:val="1E1E1E"/>
          <w:sz w:val="18"/>
        </w:rPr>
        <w:t xml:space="preserve">Vide RE 212.131, rel. min. Ilmar Galvão, j. 3-8-1999, 1ª T, DJ de 29-10-1999 Funcionário público. Conversão compulsória do regime contratual em estatutário. Redução verificada na remuneração. Art. 7º, VI, c/c art. 39, § 2º, da Constituição. Situação incompatível com o princípio da irredutibilidade que protegia os salários e protege os vencimentos do servidor, exsurgindo, como solução razoável para o impasse, o enquadramento do servidor do nível mais alto da categoria funcional que veio a integrar, convertido, ainda, eventual excesso remuneratório verificado em vantagem pessoal a ser absorvida </w:t>
      </w:r>
    </w:p>
    <w:p>
      <w:pPr>
        <w:ind w:left="288"/>
      </w:pPr>
      <w:r>
        <w:rPr>
          <w:b/>
          <w:color w:val="003CA0"/>
          <w:sz w:val="16"/>
        </w:rPr>
        <w:t>[RE 212.131, rel. min. Ilmar Galvão, j. 3-8-1999, 1ª T, DJ de 29-10-1999.]</w:t>
      </w:r>
    </w:p>
    <w:p>
      <w:pPr>
        <w:ind w:left="288"/>
      </w:pPr>
      <w:r>
        <w:rPr>
          <w:color w:val="8C8C8C"/>
          <w:sz w:val="12"/>
        </w:rPr>
        <w:t>cf-art-7-inc-VI</w:t>
      </w:r>
      <w:r>
        <w:rPr>
          <w:color w:val="003CA0"/>
          <w:sz w:val="12"/>
        </w:rPr>
        <w:t xml:space="preserve"> | AI 794.665</w:t>
      </w:r>
      <w:r>
        <w:rPr>
          <w:color w:val="003CA0"/>
          <w:sz w:val="12"/>
        </w:rPr>
        <w:t xml:space="preserve"> | rel. Cármen Lúcia</w:t>
      </w:r>
    </w:p>
    <w:p>
      <w:pPr>
        <w:ind w:left="288"/>
      </w:pPr>
      <w:r>
        <w:rPr>
          <w:color w:val="1E1E1E"/>
          <w:sz w:val="18"/>
        </w:rPr>
        <w:t>= AI 794.665 AgR, rel. min. Cármen Lúcia, j. 9-11-2010, 1ª T, DJE de 30-11-2010 Vide RE 599.618 ED, rel. min. Cármen Lúcia, j. 1º-2-2011, 1ª T, DJE de 14-3-2011</w:t>
      </w:r>
    </w:p>
    <w:p>
      <w:pPr>
        <w:ind w:left="144"/>
      </w:pPr>
      <w:r>
        <w:rPr>
          <w:b/>
          <w:color w:val="B45A00"/>
          <w:sz w:val="16"/>
        </w:rPr>
        <w:t>SUMULA VINCULANTE</w:t>
      </w:r>
    </w:p>
    <w:p>
      <w:pPr>
        <w:ind w:left="288"/>
      </w:pPr>
      <w:r>
        <w:rPr>
          <w:color w:val="8C8C8C"/>
          <w:sz w:val="12"/>
        </w:rPr>
        <w:t>cf-art-7-inc-VII</w:t>
      </w:r>
    </w:p>
    <w:p>
      <w:pPr>
        <w:ind w:left="288"/>
      </w:pPr>
      <w:r>
        <w:rPr>
          <w:color w:val="1E1E1E"/>
          <w:sz w:val="18"/>
        </w:rPr>
        <w:t>Não viola a Constituição o estabelecimento de remuneração inferior ao salário mínimo para as praças prestadoras de serviço militar inicial.</w:t>
      </w:r>
    </w:p>
    <w:p>
      <w:pPr>
        <w:ind w:left="288"/>
      </w:pPr>
      <w:r>
        <w:rPr>
          <w:b/>
          <w:color w:val="003CA0"/>
          <w:sz w:val="16"/>
        </w:rPr>
        <w:t>[Súmula Vinculante 6.]</w:t>
      </w:r>
    </w:p>
    <w:p>
      <w:pPr>
        <w:ind w:left="144"/>
      </w:pPr>
      <w:r>
        <w:rPr>
          <w:b/>
          <w:color w:val="B45A00"/>
          <w:sz w:val="16"/>
        </w:rPr>
        <w:t>CONTROLE CONCENTRADO</w:t>
      </w:r>
    </w:p>
    <w:p>
      <w:pPr>
        <w:ind w:left="288"/>
      </w:pPr>
      <w:r>
        <w:rPr>
          <w:color w:val="8C8C8C"/>
          <w:sz w:val="12"/>
        </w:rPr>
        <w:t>cf-art-7-inc-VII</w:t>
      </w:r>
      <w:r>
        <w:rPr>
          <w:color w:val="003CA0"/>
          <w:sz w:val="12"/>
        </w:rPr>
        <w:t xml:space="preserve"> | ADI 5.322</w:t>
      </w:r>
      <w:r>
        <w:rPr>
          <w:color w:val="003CA0"/>
          <w:sz w:val="12"/>
        </w:rPr>
        <w:t xml:space="preserve"> | rel. Alexandre de Moraes</w:t>
      </w:r>
    </w:p>
    <w:p>
      <w:pPr>
        <w:ind w:left="288"/>
      </w:pPr>
      <w:r>
        <w:rPr>
          <w:color w:val="1E1E1E"/>
          <w:sz w:val="18"/>
        </w:rPr>
        <w:t>Não há inconstitucionalidade da norma que prevê o pagamento do motorista profissional por meio de remuneração variável, que, inclusive, possui assento constitucional, conforme disposto no inciso VII do art. 7º da Constituição Federal.</w:t>
        <w:br/>
        <w:t>[ADI 5.322, rel. min. Alexandre de Moraes, j. 3-7-2023, P, DJE de 30-8-2023.]</w:t>
      </w:r>
    </w:p>
    <w:p>
      <w:pPr>
        <w:ind w:left="144"/>
      </w:pPr>
      <w:r>
        <w:rPr>
          <w:b/>
          <w:color w:val="B45A00"/>
          <w:sz w:val="16"/>
        </w:rPr>
        <w:t>REPERCUSSAO GERAL</w:t>
      </w:r>
    </w:p>
    <w:p>
      <w:pPr>
        <w:ind w:left="288"/>
      </w:pPr>
      <w:r>
        <w:rPr>
          <w:color w:val="8C8C8C"/>
          <w:sz w:val="12"/>
        </w:rPr>
        <w:t>cf-art-7-inc-VII</w:t>
      </w:r>
      <w:r>
        <w:rPr>
          <w:color w:val="003CA0"/>
          <w:sz w:val="12"/>
        </w:rPr>
        <w:t xml:space="preserve"> | RE 570.177</w:t>
      </w:r>
      <w:r>
        <w:rPr>
          <w:color w:val="003CA0"/>
          <w:sz w:val="12"/>
        </w:rPr>
        <w:t xml:space="preserve"> | rel. Ricardo Lewandowski</w:t>
      </w:r>
    </w:p>
    <w:p>
      <w:pPr>
        <w:ind w:left="288"/>
      </w:pPr>
      <w:r>
        <w:rPr>
          <w:color w:val="1E1E1E"/>
          <w:sz w:val="18"/>
        </w:rPr>
        <w:t>Serviço militar obrigatório. Soldo. Valor inferior ao salário mínimo. Violação aos arts. 1º, III; 5º, caput; e 7º, IV, da CF. Inocorrência. (...) A CF não estendeu aos militares a garantia de remuneração não inferior ao salário mínimo, como o fez para outras categorias de trabalhadores. O regime a que submetem os militares não se confunde com aquele aplicável aos servidores civis, visto que têm direitos, garantias, prerrogativas e impedimentos próprios. Os cidadãos que prestam serviço militar obrigatório exercem um múnus público relacionado com a defesa da soberania da pátria. A obrigação do E</w:t>
      </w:r>
    </w:p>
    <w:p>
      <w:pPr>
        <w:ind w:left="144"/>
      </w:pPr>
      <w:r>
        <w:rPr>
          <w:b/>
          <w:color w:val="B45A00"/>
          <w:sz w:val="16"/>
        </w:rPr>
        <w:t>JULGADOS CORRELATOS</w:t>
      </w:r>
    </w:p>
    <w:p>
      <w:pPr>
        <w:ind w:left="288"/>
      </w:pPr>
      <w:r>
        <w:rPr>
          <w:color w:val="8C8C8C"/>
          <w:sz w:val="12"/>
        </w:rPr>
        <w:t>cf-art-7-inc-VIII</w:t>
      </w:r>
      <w:r>
        <w:rPr>
          <w:color w:val="003CA0"/>
          <w:sz w:val="12"/>
        </w:rPr>
        <w:t xml:space="preserve"> | RE 260.922</w:t>
      </w:r>
      <w:r>
        <w:rPr>
          <w:color w:val="003CA0"/>
          <w:sz w:val="12"/>
        </w:rPr>
        <w:t xml:space="preserve"> | rel. Marco Aurélio</w:t>
      </w:r>
    </w:p>
    <w:p>
      <w:pPr>
        <w:ind w:left="288"/>
      </w:pPr>
      <w:r>
        <w:rPr>
          <w:color w:val="1E1E1E"/>
          <w:sz w:val="18"/>
        </w:rPr>
        <w:t>A natureza da gratificação natalina é remuneratória e integra, para todos os efeitos, a remuneração do empregado, conforme estabelece a Súmula 207/STF.</w:t>
      </w:r>
    </w:p>
    <w:p>
      <w:pPr>
        <w:ind w:left="288"/>
      </w:pPr>
      <w:r>
        <w:rPr>
          <w:b/>
          <w:color w:val="003CA0"/>
          <w:sz w:val="16"/>
        </w:rPr>
        <w:t>[RE 260.922, rel. min. Marco Aurélio, red.do ac. min. Maurício Corrêa, j. 30-5-2000, 2ª T, DJ de 20-10-2000.]</w:t>
      </w:r>
    </w:p>
    <w:p>
      <w:pPr>
        <w:ind w:left="288"/>
      </w:pPr>
      <w:r>
        <w:rPr>
          <w:color w:val="8C8C8C"/>
          <w:sz w:val="12"/>
        </w:rPr>
        <w:t>cf-art-7-inc-VIII</w:t>
      </w:r>
    </w:p>
    <w:p>
      <w:pPr>
        <w:ind w:left="288"/>
      </w:pPr>
      <w:r>
        <w:rPr>
          <w:color w:val="1E1E1E"/>
          <w:sz w:val="18"/>
        </w:rPr>
        <w:t>IX - remuneração do trabalho noturno superior à do diurno;</w:t>
      </w:r>
    </w:p>
    <w:p>
      <w:pPr>
        <w:ind w:left="288"/>
      </w:pPr>
      <w:r>
        <w:rPr>
          <w:color w:val="8C8C8C"/>
          <w:sz w:val="12"/>
        </w:rPr>
        <w:t>cf-art-7-inc-VIII</w:t>
      </w:r>
      <w:r>
        <w:rPr>
          <w:color w:val="003CA0"/>
          <w:sz w:val="12"/>
        </w:rPr>
        <w:t xml:space="preserve"> | RE 185.312</w:t>
      </w:r>
      <w:r>
        <w:rPr>
          <w:color w:val="003CA0"/>
          <w:sz w:val="12"/>
        </w:rPr>
        <w:t xml:space="preserve"> | rel. Menezes Direito</w:t>
      </w:r>
    </w:p>
    <w:p>
      <w:pPr>
        <w:ind w:left="288"/>
      </w:pPr>
      <w:r>
        <w:rPr>
          <w:color w:val="1E1E1E"/>
          <w:sz w:val="18"/>
        </w:rPr>
        <w:t>Gratificação especial de trabalho policial. Adicional noturno. (...) Não malfere o disposto no art. 7º, IX, da CF a interpretação oferecida pelas instâncias ordinárias que consideraram que a gratificação chamada Regime Especial de Trabalho Policial (RETP), como expressamente previsto na legislação de regência, alcança o trabalho em horário irregular, incluído o regime de plantões noturno. Interpretação em outra direção conflita com o disposto no art. 37, XIV, da CF.</w:t>
      </w:r>
    </w:p>
    <w:p>
      <w:pPr>
        <w:ind w:left="288"/>
      </w:pPr>
      <w:r>
        <w:rPr>
          <w:b/>
          <w:color w:val="003CA0"/>
          <w:sz w:val="16"/>
        </w:rPr>
        <w:t>[RE 185.312, rel. min. Menezes Direito, j. 15-4-2008, 2ª T, DJE de 30-5-2008.]</w:t>
      </w:r>
    </w:p>
    <w:p>
      <w:pPr>
        <w:ind w:left="288"/>
      </w:pPr>
      <w:r>
        <w:rPr>
          <w:color w:val="8C8C8C"/>
          <w:sz w:val="12"/>
        </w:rPr>
        <w:t>cf-art-7-inc-X</w:t>
      </w:r>
      <w:r>
        <w:rPr>
          <w:color w:val="003CA0"/>
          <w:sz w:val="12"/>
        </w:rPr>
        <w:t xml:space="preserve"> | ADO 82</w:t>
      </w:r>
      <w:r>
        <w:rPr>
          <w:color w:val="003CA0"/>
          <w:sz w:val="12"/>
        </w:rPr>
        <w:t xml:space="preserve"> | rel. Maria Thereza de Assis Moura</w:t>
      </w:r>
    </w:p>
    <w:p>
      <w:pPr>
        <w:ind w:left="288"/>
      </w:pPr>
      <w:r>
        <w:rPr>
          <w:color w:val="1E1E1E"/>
          <w:sz w:val="18"/>
        </w:rPr>
        <w:t>O mandado de criminalização contido na parte final do inciso X do art. 7º da Constituição de 1988 é inédito. Surge com o texto constitucional vigente, não havendo norma equivalente – ou similar – nas constituições pretéritas, o que demonstra o compromisso da Constituição de 1988 – a Constituição Cidadã – com os trabalhadores urbanos e rurais, por serem eles socialmente mais vulneráveis. Não obstante, fato é que, transcorridas quase quatro décadas, o legislador ainda não procedeu à tipificação penal da retenção dolosa do salário do trabalhador, contra a determinação expressa do constituinte ori</w:t>
      </w:r>
    </w:p>
    <w:p>
      <w:pPr>
        <w:ind w:left="288"/>
      </w:pPr>
      <w:r>
        <w:rPr>
          <w:b/>
          <w:color w:val="003CA0"/>
          <w:sz w:val="16"/>
        </w:rPr>
        <w:t>[ADO 82, rel. min. Dias Toffoli, j. 26.05.2025, P, DJE de 04.06.2025.]</w:t>
      </w:r>
    </w:p>
    <w:p>
      <w:pPr>
        <w:ind w:left="288"/>
      </w:pPr>
      <w:r>
        <w:rPr>
          <w:color w:val="8C8C8C"/>
          <w:sz w:val="12"/>
        </w:rPr>
        <w:t>cf-art-7-inc-X</w:t>
      </w:r>
      <w:r>
        <w:rPr>
          <w:color w:val="003CA0"/>
          <w:sz w:val="12"/>
        </w:rPr>
        <w:t xml:space="preserve"> | ADI 7.728</w:t>
      </w:r>
      <w:r>
        <w:rPr>
          <w:color w:val="003CA0"/>
          <w:sz w:val="12"/>
        </w:rPr>
        <w:t xml:space="preserve"> | rel. Gilmar Mendes</w:t>
      </w:r>
    </w:p>
    <w:p>
      <w:pPr>
        <w:ind w:left="288"/>
      </w:pPr>
      <w:r>
        <w:rPr>
          <w:color w:val="1E1E1E"/>
          <w:sz w:val="18"/>
        </w:rPr>
        <w:t>XI - participação nos lucros, ou resultados, desvinculada da remuneração, e, excepcionalmente, participação na gestão da empresa, conforme definido em lei; Excepcional participação dos trabalhadores urbanos e rurais na gestão da empresa (CF, art. 7º, XI). Necessidade de regulamentação. Norma originária. Dever constitucional de legislar. Transcurso de prazo razoável para legislar. Omissão inconstitucional. Existência, no âmbito do Congresso Nacional, de diversos projetos de lei apresentados visando à regulamentação do adicional em questão. Inertia deliberandi das Casas Legislativas. Pedido julg</w:t>
      </w:r>
    </w:p>
    <w:p>
      <w:pPr>
        <w:ind w:left="288"/>
      </w:pPr>
      <w:r>
        <w:rPr>
          <w:b/>
          <w:color w:val="003CA0"/>
          <w:sz w:val="16"/>
        </w:rPr>
        <w:t>[ADI 7.728 , rel. min. Gilmar Mendes, j. 17.02.2025, P, DJE de 21.02.2025.]</w:t>
      </w:r>
    </w:p>
    <w:p>
      <w:pPr>
        <w:ind w:left="144"/>
      </w:pPr>
      <w:r>
        <w:rPr>
          <w:b/>
          <w:color w:val="B45A00"/>
          <w:sz w:val="16"/>
        </w:rPr>
        <w:t>CONTROLE CONCENTRADO</w:t>
      </w:r>
    </w:p>
    <w:p>
      <w:pPr>
        <w:ind w:left="288"/>
      </w:pPr>
      <w:r>
        <w:rPr>
          <w:color w:val="8C8C8C"/>
          <w:sz w:val="12"/>
        </w:rPr>
        <w:t>cf-art-7-inc-X</w:t>
      </w:r>
      <w:r>
        <w:rPr>
          <w:color w:val="003CA0"/>
          <w:sz w:val="12"/>
        </w:rPr>
        <w:t xml:space="preserve"> | ADI 5.417</w:t>
      </w:r>
      <w:r>
        <w:rPr>
          <w:color w:val="003CA0"/>
          <w:sz w:val="12"/>
        </w:rPr>
        <w:t xml:space="preserve"> | rel. Cármen Lúcia</w:t>
      </w:r>
    </w:p>
    <w:p>
      <w:pPr>
        <w:ind w:left="288"/>
      </w:pPr>
      <w:r>
        <w:rPr>
          <w:color w:val="1E1E1E"/>
          <w:sz w:val="18"/>
        </w:rPr>
        <w:t>Pela Constituição da República de 1988 se objetiva estimular a integração do trabalhador ao desenvolvimento da empresa pela participação negociada nos ganhos econômicos (inc. XI do art. 7º e § 4º do art. 218). Não de demonstra inconstitucionalidade de norma pela se prevê a participação nos lucros e resultados pelos trabalhadores das empresas estatais, de acordo com as diretrizes específicas elaboradas pelo Poder Executivo a que estejam submetidas respectivas entidades. As empresas estatais, embora sujeitas a controle público, são competentes para celebrar negociação coletiva sobre participação</w:t>
      </w:r>
    </w:p>
    <w:p>
      <w:pPr>
        <w:ind w:left="288"/>
      </w:pPr>
      <w:r>
        <w:rPr>
          <w:b/>
          <w:color w:val="003CA0"/>
          <w:sz w:val="16"/>
        </w:rPr>
        <w:t>[ADI 5.417, rel. min. Cármen Lúcia, j. 7-12-2020, P, DJE de 4-2-2021.]</w:t>
      </w:r>
    </w:p>
    <w:p>
      <w:pPr>
        <w:ind w:left="288"/>
      </w:pPr>
      <w:r>
        <w:rPr>
          <w:color w:val="8C8C8C"/>
          <w:sz w:val="12"/>
        </w:rPr>
        <w:t>cf-art-7-inc-X</w:t>
      </w:r>
      <w:r>
        <w:rPr>
          <w:color w:val="003CA0"/>
          <w:sz w:val="12"/>
        </w:rPr>
        <w:t xml:space="preserve"> | ADI 1.229</w:t>
      </w:r>
      <w:r>
        <w:rPr>
          <w:color w:val="003CA0"/>
          <w:sz w:val="12"/>
        </w:rPr>
        <w:t xml:space="preserve"> | rel. Edson Fachin</w:t>
      </w:r>
    </w:p>
    <w:p>
      <w:pPr>
        <w:ind w:left="288"/>
      </w:pPr>
      <w:r>
        <w:rPr>
          <w:color w:val="1E1E1E"/>
          <w:sz w:val="18"/>
        </w:rPr>
        <w:t>Constituição do Estado de Santa Catarina. Impugnação ao art. 14, II, da Constituição Estadual e ao inteiro teor da Lei Estadual disciplinadora 1.178/1994. (...) Normas que instituem a participação obrigatória de 1 (um) representante dos empregados, por eles indicado, mediante processo eletivo, no conselho de administração e na diretoria das empresas públicas, sociedades de economia mista e suas subsidiárias. Exercício do direito assegurado pelo art. 7º, XII, da CRFB/88. A gestão democrática, constitucionalmente contemplada no preceito alusivo aos direitos trabalhistas (CFRB/88, art. 7º, XI), é</w:t>
      </w:r>
    </w:p>
    <w:p>
      <w:pPr>
        <w:ind w:left="288"/>
      </w:pPr>
      <w:r>
        <w:rPr>
          <w:b/>
          <w:color w:val="003CA0"/>
          <w:sz w:val="16"/>
        </w:rPr>
        <w:t>[ADI 1.229, rel. min. Edson Fachin, j. 23-8-2019, P, DJE de 9-9-2019.]</w:t>
      </w:r>
    </w:p>
    <w:p>
      <w:pPr>
        <w:ind w:left="288"/>
      </w:pPr>
      <w:r>
        <w:rPr>
          <w:color w:val="8C8C8C"/>
          <w:sz w:val="12"/>
        </w:rPr>
        <w:t>cf-art-7-inc-X</w:t>
      </w:r>
      <w:r>
        <w:rPr>
          <w:color w:val="003CA0"/>
          <w:sz w:val="12"/>
        </w:rPr>
        <w:t xml:space="preserve"> | ADI 2.296</w:t>
      </w:r>
      <w:r>
        <w:rPr>
          <w:color w:val="003CA0"/>
          <w:sz w:val="12"/>
        </w:rPr>
        <w:t xml:space="preserve"> | rel. Sepúlveda Pertence</w:t>
      </w:r>
    </w:p>
    <w:p>
      <w:pPr>
        <w:ind w:left="288"/>
      </w:pPr>
      <w:r>
        <w:rPr>
          <w:color w:val="1E1E1E"/>
          <w:sz w:val="18"/>
        </w:rPr>
        <w:t>Participação dos empregados na gestão da empresa: admitida, com base no art. 7º, XI, CF, parece que, na eleição do representante, o sufrágio deve ser concedido apenas aos empregados em atividade, não aos inativos.</w:t>
      </w:r>
    </w:p>
    <w:p>
      <w:pPr>
        <w:ind w:left="288"/>
      </w:pPr>
      <w:r>
        <w:rPr>
          <w:b/>
          <w:color w:val="003CA0"/>
          <w:sz w:val="16"/>
        </w:rPr>
        <w:t>[ADI 2.296 MC, rel. min. Sepúlveda Pertence, j. 16-11-2000, P, DJ de 23-2-2001.]</w:t>
      </w:r>
    </w:p>
    <w:p>
      <w:pPr>
        <w:ind w:left="144"/>
      </w:pPr>
      <w:r>
        <w:rPr>
          <w:b/>
          <w:color w:val="B45A00"/>
          <w:sz w:val="16"/>
        </w:rPr>
        <w:t>REPERCUSSAO GERAL</w:t>
      </w:r>
    </w:p>
    <w:p>
      <w:pPr>
        <w:ind w:left="288"/>
      </w:pPr>
      <w:r>
        <w:rPr>
          <w:color w:val="8C8C8C"/>
          <w:sz w:val="12"/>
        </w:rPr>
        <w:t>cf-art-7-inc-X</w:t>
      </w:r>
      <w:r>
        <w:rPr>
          <w:color w:val="003CA0"/>
          <w:sz w:val="12"/>
        </w:rPr>
        <w:t xml:space="preserve"> | RE 569.441</w:t>
      </w:r>
    </w:p>
    <w:p>
      <w:pPr>
        <w:ind w:left="288"/>
      </w:pPr>
      <w:r>
        <w:rPr>
          <w:color w:val="1E1E1E"/>
          <w:sz w:val="18"/>
        </w:rPr>
        <w:t>Segundo afirmado por precedentes de ambas as Turmas deste STF, a eficácia do preceito veiculado pelo art. 7º, XI, da CF – inclusive no que se refere à natureza jurídica dos valores pagos a trabalhadores sob a forma de participação nos lucros para fins tributários – depende de regulamentação. Na medida em que a disciplina do direito à participação nos lucros somente se operou com a edição da MP 794/1994 e que o fato gerador em causa concretizou-se antes da vigência desse ato normativo, deve incidir, sobre os valores em questão, a respectiva contribuição previdenciária.</w:t>
      </w:r>
    </w:p>
    <w:p>
      <w:pPr>
        <w:ind w:left="288"/>
      </w:pPr>
      <w:r>
        <w:rPr>
          <w:b/>
          <w:color w:val="003CA0"/>
          <w:sz w:val="16"/>
        </w:rPr>
        <w:t>[RE 569.441, red. do ac. min. Teori Zavascki, j. 30-10-2014, P, DJE de 10-2-2015, Tema 344, com mérito julgado.]</w:t>
      </w:r>
    </w:p>
    <w:p>
      <w:pPr>
        <w:ind w:left="288"/>
      </w:pPr>
      <w:r>
        <w:rPr>
          <w:color w:val="8C8C8C"/>
          <w:sz w:val="12"/>
        </w:rPr>
        <w:t>cf-art-7-inc-XII</w:t>
      </w:r>
    </w:p>
    <w:p>
      <w:pPr>
        <w:ind w:left="288"/>
      </w:pPr>
      <w:r>
        <w:rPr>
          <w:color w:val="1E1E1E"/>
          <w:sz w:val="18"/>
        </w:rPr>
        <w:t>XIII - duração do trabalho normal não superior a oito horas diárias e quarenta e quatro semanais, facultada a compensação de horários e a redução da jornada, mediante acordo ou convenção coletiva de trabalho;</w:t>
      </w:r>
    </w:p>
    <w:p>
      <w:pPr>
        <w:ind w:left="144"/>
      </w:pPr>
      <w:r>
        <w:rPr>
          <w:b/>
          <w:color w:val="B45A00"/>
          <w:sz w:val="16"/>
        </w:rPr>
        <w:t>CONTROLE CONCENTRADO</w:t>
      </w:r>
    </w:p>
    <w:p>
      <w:pPr>
        <w:ind w:left="288"/>
      </w:pPr>
      <w:r>
        <w:rPr>
          <w:color w:val="8C8C8C"/>
          <w:sz w:val="12"/>
        </w:rPr>
        <w:t>cf-art-7-inc-XII</w:t>
      </w:r>
      <w:r>
        <w:rPr>
          <w:color w:val="003CA0"/>
          <w:sz w:val="12"/>
        </w:rPr>
        <w:t xml:space="preserve"> | ADI 5.322</w:t>
      </w:r>
      <w:r>
        <w:rPr>
          <w:color w:val="003CA0"/>
          <w:sz w:val="12"/>
        </w:rPr>
        <w:t xml:space="preserve"> | rel. Alexandre de Moraes</w:t>
      </w:r>
    </w:p>
    <w:p>
      <w:pPr>
        <w:ind w:left="288"/>
      </w:pPr>
      <w:r>
        <w:rPr>
          <w:color w:val="1E1E1E"/>
          <w:sz w:val="18"/>
        </w:rPr>
        <w:t>Inconstitucionalidade na exclusão do tempo de trabalho efetivo do motorista profissional, quando está à disposição do empregador durante o carregamento/descarregamento de mercadorias, ou ainda durante fiscalização em barreiras fiscais ou alfandegárias, conhecido como “tempo de espera”. Impossibilidade de decote da jornada normal de trabalho e nem da jornada extraordinária, sob pena de desvirtuar a própria relação jurídica trabalhista reconhecida. Inconstitucionalidade de normas da Lei 13.103/2015 ao prever hipótese de descanso de motorista com o veículo em movimento. Prejuízo ao efetivo descan</w:t>
      </w:r>
    </w:p>
    <w:p>
      <w:pPr>
        <w:ind w:left="144"/>
      </w:pPr>
      <w:r>
        <w:rPr>
          <w:b/>
          <w:color w:val="B45A00"/>
          <w:sz w:val="16"/>
        </w:rPr>
        <w:t>JULGADOS CORRELATOS</w:t>
      </w:r>
    </w:p>
    <w:p>
      <w:pPr>
        <w:ind w:left="288"/>
      </w:pPr>
      <w:r>
        <w:rPr>
          <w:color w:val="8C8C8C"/>
          <w:sz w:val="12"/>
        </w:rPr>
        <w:t>cf-art-7-inc-XII</w:t>
      </w:r>
      <w:r>
        <w:rPr>
          <w:color w:val="003CA0"/>
          <w:sz w:val="12"/>
        </w:rPr>
        <w:t xml:space="preserve"> | RE 563.851</w:t>
      </w:r>
      <w:r>
        <w:rPr>
          <w:color w:val="003CA0"/>
          <w:sz w:val="12"/>
        </w:rPr>
        <w:t xml:space="preserve"> | rel. Cezar Peluso</w:t>
      </w:r>
    </w:p>
    <w:p>
      <w:pPr>
        <w:ind w:left="288"/>
      </w:pPr>
      <w:r>
        <w:rPr>
          <w:color w:val="1E1E1E"/>
          <w:sz w:val="18"/>
        </w:rPr>
        <w:t>Não afronta o art. 7º, XIII, da Constituição da República a decisão que excepciona os ocupantes de cargos de gestão do controle de jornada de trabalho.</w:t>
      </w:r>
    </w:p>
    <w:p>
      <w:pPr>
        <w:ind w:left="288"/>
      </w:pPr>
      <w:r>
        <w:rPr>
          <w:b/>
          <w:color w:val="003CA0"/>
          <w:sz w:val="16"/>
        </w:rPr>
        <w:t>[RE 563.851 AgR, rel. min. Cezar Peluso, j. 26-2-2008, 2ª T, DJE de 28-3-2008.]</w:t>
      </w:r>
    </w:p>
    <w:p>
      <w:pPr>
        <w:ind w:left="288"/>
      </w:pPr>
      <w:r>
        <w:rPr>
          <w:color w:val="8C8C8C"/>
          <w:sz w:val="12"/>
        </w:rPr>
        <w:t>cf-art-7-inc-XII</w:t>
      </w:r>
      <w:r>
        <w:rPr>
          <w:color w:val="003CA0"/>
          <w:sz w:val="12"/>
        </w:rPr>
        <w:t xml:space="preserve"> | RE 325.550</w:t>
      </w:r>
      <w:r>
        <w:rPr>
          <w:color w:val="003CA0"/>
          <w:sz w:val="12"/>
        </w:rPr>
        <w:t xml:space="preserve"> | rel. Sepúlveda Pertence</w:t>
      </w:r>
    </w:p>
    <w:p>
      <w:pPr>
        <w:ind w:left="288"/>
      </w:pPr>
      <w:r>
        <w:rPr>
          <w:color w:val="1E1E1E"/>
          <w:sz w:val="18"/>
        </w:rPr>
        <w:t>(...) a apuração do salário-hora, para efeito de cálculo da hora extraordinária, há de ser feita, no caso do trabalhador mensalista, mediante a divisão do salário por 220, e não por 240 (...).</w:t>
      </w:r>
    </w:p>
    <w:p>
      <w:pPr>
        <w:ind w:left="288"/>
      </w:pPr>
      <w:r>
        <w:rPr>
          <w:b/>
          <w:color w:val="003CA0"/>
          <w:sz w:val="16"/>
        </w:rPr>
        <w:t>[RE 325.550, voto do rel. min. Sepúlveda Pertence, j. 26-2-2002, 1ª T, DJ de 5-4-2002.]</w:t>
      </w:r>
    </w:p>
    <w:p>
      <w:pPr>
        <w:ind w:left="288"/>
      </w:pPr>
      <w:r>
        <w:rPr>
          <w:color w:val="8C8C8C"/>
          <w:sz w:val="12"/>
        </w:rPr>
        <w:t>cf-art-7-inc-XII</w:t>
      </w:r>
    </w:p>
    <w:p>
      <w:pPr>
        <w:ind w:left="288"/>
      </w:pPr>
      <w:r>
        <w:rPr>
          <w:color w:val="1E1E1E"/>
          <w:sz w:val="18"/>
        </w:rPr>
        <w:t>XIV - jornada de seis horas para o trabalho realizado em turnos ininterruptos de revezamento, salvo negociação coletiva;</w:t>
      </w:r>
    </w:p>
    <w:p>
      <w:pPr>
        <w:ind w:left="144"/>
      </w:pPr>
      <w:r>
        <w:rPr>
          <w:b/>
          <w:color w:val="B45A00"/>
          <w:sz w:val="16"/>
        </w:rPr>
        <w:t>SUMULA</w:t>
      </w:r>
    </w:p>
    <w:p>
      <w:pPr>
        <w:ind w:left="288"/>
      </w:pPr>
      <w:r>
        <w:rPr>
          <w:color w:val="8C8C8C"/>
          <w:sz w:val="12"/>
        </w:rPr>
        <w:t>cf-art-7-inc-XII</w:t>
      </w:r>
    </w:p>
    <w:p>
      <w:pPr>
        <w:ind w:left="288"/>
      </w:pPr>
      <w:r>
        <w:rPr>
          <w:color w:val="1E1E1E"/>
          <w:sz w:val="18"/>
        </w:rPr>
        <w:t>Os intervalos fixados para descanso e alimentação durante a jornada de seis horas não descaracterizam o sistema de turnos ininterruptos de revezamento para o efeito do art. 7º, XIV, da Constituição.</w:t>
      </w:r>
    </w:p>
    <w:p>
      <w:pPr>
        <w:ind w:left="288"/>
      </w:pPr>
      <w:r>
        <w:rPr>
          <w:b/>
          <w:color w:val="003CA0"/>
          <w:sz w:val="16"/>
        </w:rPr>
        <w:t>[Súmula 675.]</w:t>
      </w:r>
    </w:p>
    <w:p>
      <w:pPr>
        <w:ind w:left="144"/>
      </w:pPr>
      <w:r>
        <w:rPr>
          <w:b/>
          <w:color w:val="B45A00"/>
          <w:sz w:val="16"/>
        </w:rPr>
        <w:t>JULGADOS CORRELATOS</w:t>
      </w:r>
    </w:p>
    <w:p>
      <w:pPr>
        <w:ind w:left="288"/>
      </w:pPr>
      <w:r>
        <w:rPr>
          <w:color w:val="8C8C8C"/>
          <w:sz w:val="12"/>
        </w:rPr>
        <w:t>cf-art-7-inc-XII</w:t>
      </w:r>
      <w:r>
        <w:rPr>
          <w:color w:val="003CA0"/>
          <w:sz w:val="12"/>
        </w:rPr>
        <w:t xml:space="preserve"> | AI 543.614</w:t>
      </w:r>
      <w:r>
        <w:rPr>
          <w:color w:val="003CA0"/>
          <w:sz w:val="12"/>
        </w:rPr>
        <w:t xml:space="preserve"> | rel. Marco Aurélio</w:t>
      </w:r>
    </w:p>
    <w:p>
      <w:pPr>
        <w:ind w:left="288"/>
      </w:pPr>
      <w:r>
        <w:rPr>
          <w:color w:val="1E1E1E"/>
          <w:sz w:val="18"/>
        </w:rPr>
        <w:t>Não vulnera o inciso XIV do art. 7º da Carta Política da República, voltado à proteção dos trabalhadores, pronunciamento judicial em que se conclui que, contratado o prestador dos serviços para trabalhar em turnos ininterruptos mediante o salário-hora, a sétima e oitava horas são devidas como extraordinárias.</w:t>
      </w:r>
    </w:p>
    <w:p>
      <w:pPr>
        <w:ind w:left="288"/>
      </w:pPr>
      <w:r>
        <w:rPr>
          <w:b/>
          <w:color w:val="003CA0"/>
          <w:sz w:val="16"/>
        </w:rPr>
        <w:t>[AI 543.614 AgR, rel. min. Marco Aurélio, j. 18-10-2005, 1ª T, DJ de 9-12-2005.]</w:t>
      </w:r>
    </w:p>
    <w:p>
      <w:pPr>
        <w:ind w:left="288"/>
      </w:pPr>
      <w:r>
        <w:rPr>
          <w:color w:val="8C8C8C"/>
          <w:sz w:val="12"/>
        </w:rPr>
        <w:t>cf-art-7-inc-XII</w:t>
      </w:r>
      <w:r>
        <w:rPr>
          <w:color w:val="003CA0"/>
          <w:sz w:val="12"/>
        </w:rPr>
        <w:t xml:space="preserve"> | RE 205.815</w:t>
      </w:r>
      <w:r>
        <w:rPr>
          <w:color w:val="003CA0"/>
          <w:sz w:val="12"/>
        </w:rPr>
        <w:t xml:space="preserve"> | rel. Carlos Velloso</w:t>
      </w:r>
    </w:p>
    <w:p>
      <w:pPr>
        <w:ind w:left="288"/>
      </w:pPr>
      <w:r>
        <w:rPr>
          <w:color w:val="1E1E1E"/>
          <w:sz w:val="18"/>
        </w:rPr>
        <w:t>A expressão "ininterrupto" aplica-se a turnos, pois são eles que podem ser ininterruptos. Intraturno não há interrupção, mas suspensão ou, como nominado pela CLT, intervalo. A ininterrupção do texto constitucional diz com turnos entre si. Nada com as suspensões ou intervalos intraturnos. São os turnos que devem ser ininterruptos e não o trabalho da empresa. Circunscreve-se a expressão "turno" aos segmentos das 24 horas, pelo que se tem como irrelevante a paralisação coletiva do trabalho aos domingos. O trabalhador, por texto constitucional, tem direito ao repouso semanal remunerado. Se a empre</w:t>
      </w:r>
    </w:p>
    <w:p>
      <w:pPr>
        <w:ind w:left="288"/>
      </w:pPr>
      <w:r>
        <w:rPr>
          <w:b/>
          <w:color w:val="003CA0"/>
          <w:sz w:val="16"/>
        </w:rPr>
        <w:t>[RE 205.815, rel. min Carlos Velloso, red. do ac. min. Nelson Jobim, j. 4-12-1997, 1ª T, DJ de 2-10-1998.]</w:t>
      </w:r>
    </w:p>
    <w:p>
      <w:pPr>
        <w:ind w:left="288"/>
      </w:pPr>
      <w:r>
        <w:rPr>
          <w:color w:val="8C8C8C"/>
          <w:sz w:val="12"/>
        </w:rPr>
        <w:t>cf-art-7-inc-XII</w:t>
      </w:r>
    </w:p>
    <w:p>
      <w:pPr>
        <w:ind w:left="288"/>
      </w:pPr>
      <w:r>
        <w:rPr>
          <w:color w:val="1E1E1E"/>
          <w:sz w:val="18"/>
        </w:rPr>
        <w:t>XV - repouso semanal remunerado, preferencialmente aos domingos; XVI - remuneração do serviço extraordinário superior, no mínimo, em cinqüenta por cento à do normal;</w:t>
      </w:r>
    </w:p>
    <w:p>
      <w:pPr>
        <w:ind w:left="144"/>
      </w:pPr>
      <w:r>
        <w:rPr>
          <w:b/>
          <w:color w:val="B45A00"/>
          <w:sz w:val="16"/>
        </w:rPr>
        <w:t>CONTROLE CONCENTRADO</w:t>
      </w:r>
    </w:p>
    <w:p>
      <w:pPr>
        <w:ind w:left="288"/>
      </w:pPr>
      <w:r>
        <w:rPr>
          <w:color w:val="8C8C8C"/>
          <w:sz w:val="12"/>
        </w:rPr>
        <w:t>cf-art-7-inc-XII</w:t>
      </w:r>
      <w:r>
        <w:rPr>
          <w:color w:val="003CA0"/>
          <w:sz w:val="12"/>
        </w:rPr>
        <w:t xml:space="preserve"> | ADI 5.322</w:t>
      </w:r>
      <w:r>
        <w:rPr>
          <w:color w:val="003CA0"/>
          <w:sz w:val="12"/>
        </w:rPr>
        <w:t xml:space="preserve"> | rel. Alexandre de Moraes</w:t>
      </w:r>
    </w:p>
    <w:p>
      <w:pPr>
        <w:ind w:left="288"/>
      </w:pPr>
      <w:r>
        <w:rPr>
          <w:color w:val="1E1E1E"/>
          <w:sz w:val="18"/>
        </w:rPr>
        <w:t>CLT – Lei 13.103/2015. Possibilidade de regulamentação do exercício da profissão de motorista. (...) A Constituição Federal não determinou um limite máximo de prestação em serviço extraordinário, de modo que compete à negociação coletiva de trabalho examinar a possibilidade de prorrogação da jornada da categoria por até quatro horas, em sintonia com a previsão constitucional disciplinada no art. 7º, XXVI, da CF. Constitucionalidade da norma que prevê a possibilidade, excepcional e justificada, de o motorista profissional prorrogar a jornada de trabalho pelo tempo necessário até o veículo chega</w:t>
      </w:r>
    </w:p>
    <w:p>
      <w:pPr>
        <w:ind w:left="144"/>
      </w:pPr>
      <w:r>
        <w:rPr>
          <w:b/>
          <w:color w:val="B45A00"/>
          <w:sz w:val="16"/>
        </w:rPr>
        <w:t>JULGADOS CORRELATOS</w:t>
      </w:r>
    </w:p>
    <w:p>
      <w:pPr>
        <w:ind w:left="288"/>
      </w:pPr>
      <w:r>
        <w:rPr>
          <w:color w:val="8C8C8C"/>
          <w:sz w:val="12"/>
        </w:rPr>
        <w:t>cf-art-7-inc-XII</w:t>
      </w:r>
      <w:r>
        <w:rPr>
          <w:color w:val="003CA0"/>
          <w:sz w:val="12"/>
        </w:rPr>
        <w:t xml:space="preserve"> | AI 642.528</w:t>
      </w:r>
      <w:r>
        <w:rPr>
          <w:color w:val="003CA0"/>
          <w:sz w:val="12"/>
        </w:rPr>
        <w:t xml:space="preserve"> | rel. Dias Toffoli</w:t>
      </w:r>
    </w:p>
    <w:p>
      <w:pPr>
        <w:ind w:left="288"/>
      </w:pPr>
      <w:r>
        <w:rPr>
          <w:color w:val="1E1E1E"/>
          <w:sz w:val="18"/>
        </w:rPr>
        <w:t>O art. 7º, XVI, da CF, que cuida do direito dos trabalhadores urbanos e rurais à remuneração pelo serviço extraordinário com acréscimo de, no mínimo, 50%, aplica-se imediatamente aos servidores públicos, por consistir em norma autoaplicável.</w:t>
      </w:r>
    </w:p>
    <w:p>
      <w:pPr>
        <w:ind w:left="288"/>
      </w:pPr>
      <w:r>
        <w:rPr>
          <w:b/>
          <w:color w:val="003CA0"/>
          <w:sz w:val="16"/>
        </w:rPr>
        <w:t>[AI 642.528 AgR, rel. min. Dias Toffoli, j. 25-9-2012, 1ª T, DJE de 15-10-2012.]</w:t>
      </w:r>
    </w:p>
    <w:p>
      <w:pPr>
        <w:ind w:left="288"/>
      </w:pPr>
      <w:r>
        <w:rPr>
          <w:color w:val="8C8C8C"/>
          <w:sz w:val="12"/>
        </w:rPr>
        <w:t>cf-art-7-inc-XII</w:t>
      </w:r>
      <w:r>
        <w:rPr>
          <w:color w:val="003CA0"/>
          <w:sz w:val="12"/>
        </w:rPr>
        <w:t xml:space="preserve"> | RE 553.159</w:t>
      </w:r>
      <w:r>
        <w:rPr>
          <w:color w:val="003CA0"/>
          <w:sz w:val="12"/>
        </w:rPr>
        <w:t xml:space="preserve"> | rel. Ellen Gracie</w:t>
      </w:r>
    </w:p>
    <w:p>
      <w:pPr>
        <w:ind w:left="288"/>
      </w:pPr>
      <w:r>
        <w:rPr>
          <w:color w:val="1E1E1E"/>
          <w:sz w:val="18"/>
        </w:rPr>
        <w:t>O reconhecimento da ilegalidade do ato que majorou o percentual das horas extras incorporadas aos proventos não determina, automaticamente, a restituição ao erário dos valores recebidos, pois foi comprovada boa-fé do autor.</w:t>
      </w:r>
    </w:p>
    <w:p>
      <w:pPr>
        <w:ind w:left="288"/>
      </w:pPr>
      <w:r>
        <w:rPr>
          <w:b/>
          <w:color w:val="003CA0"/>
          <w:sz w:val="16"/>
        </w:rPr>
        <w:t>[RE 553.159 ED, rel. min. Ellen Gracie, j. 1º-12-2009, 2ª T, DJE de 18-12-2009.]</w:t>
      </w:r>
    </w:p>
    <w:p>
      <w:pPr>
        <w:ind w:left="288"/>
      </w:pPr>
      <w:r>
        <w:rPr>
          <w:color w:val="8C8C8C"/>
          <w:sz w:val="12"/>
        </w:rPr>
        <w:t>cf-art-7-inc-XII</w:t>
      </w:r>
      <w:r>
        <w:rPr>
          <w:color w:val="003CA0"/>
          <w:sz w:val="12"/>
        </w:rPr>
        <w:t xml:space="preserve"> | MS 22.455</w:t>
      </w:r>
      <w:r>
        <w:rPr>
          <w:color w:val="003CA0"/>
          <w:sz w:val="12"/>
        </w:rPr>
        <w:t xml:space="preserve"> | rel. Néri da Silveira</w:t>
      </w:r>
    </w:p>
    <w:p>
      <w:pPr>
        <w:ind w:left="288"/>
      </w:pPr>
      <w:r>
        <w:rPr>
          <w:color w:val="1E1E1E"/>
          <w:sz w:val="18"/>
        </w:rPr>
        <w:t>Ato administrativo que determinou a suspensão de pagamento de horas extras incorporadas ao salário dos impetrantes, por decisão do TCU. Entendimento assente no Tribunal de Contas deflui da aplicação de preceitos atinentes à limitação que as normas administrativas impõem à incidência da legislação trabalhista sobre os servidores públicos regidos pela CLT, à época em que tal situação podia configurar-se. Entendimento no sentido de que não é possível a coexistência das vantagens dos dois regimes funcionais. Ao ensejo da transferência do impetrante para o sistema estatutário, ut Lei 8.112/1990, há</w:t>
      </w:r>
    </w:p>
    <w:p>
      <w:pPr>
        <w:ind w:left="288"/>
      </w:pPr>
      <w:r>
        <w:rPr>
          <w:b/>
          <w:color w:val="003CA0"/>
          <w:sz w:val="16"/>
        </w:rPr>
        <w:t>[MS 22.455, rel. min. Néri da Silveira, j. 22-4-2002, P, DJ de 7-6-2002.]</w:t>
      </w:r>
    </w:p>
    <w:p>
      <w:pPr>
        <w:ind w:left="288"/>
      </w:pPr>
      <w:r>
        <w:rPr>
          <w:color w:val="8C8C8C"/>
          <w:sz w:val="12"/>
        </w:rPr>
        <w:t>cf-art-7-inc-XII</w:t>
      </w:r>
      <w:r>
        <w:rPr>
          <w:color w:val="003CA0"/>
          <w:sz w:val="12"/>
        </w:rPr>
        <w:t xml:space="preserve"> | AI 697.499</w:t>
      </w:r>
      <w:r>
        <w:rPr>
          <w:color w:val="003CA0"/>
          <w:sz w:val="12"/>
        </w:rPr>
        <w:t xml:space="preserve"> | rel. Ricardo Lewandowski</w:t>
      </w:r>
    </w:p>
    <w:p>
      <w:pPr>
        <w:ind w:left="288"/>
      </w:pPr>
      <w:r>
        <w:rPr>
          <w:color w:val="1E1E1E"/>
          <w:sz w:val="18"/>
        </w:rPr>
        <w:t>= AI 697.499 AgR, rel. min. Ricardo Lewandowski, j. 30-6-2009, 1ª T, DJE de 21-8-2009 XVII - gozo de férias anuais remuneradas com, pelo menos, um terço a mais do que o salário normal;</w:t>
      </w:r>
    </w:p>
    <w:p>
      <w:pPr>
        <w:ind w:left="144"/>
      </w:pPr>
      <w:r>
        <w:rPr>
          <w:b/>
          <w:color w:val="B45A00"/>
          <w:sz w:val="16"/>
        </w:rPr>
        <w:t>CONTROLE CONCENTRADO</w:t>
      </w:r>
    </w:p>
    <w:p>
      <w:pPr>
        <w:ind w:left="288"/>
      </w:pPr>
      <w:r>
        <w:rPr>
          <w:color w:val="8C8C8C"/>
          <w:sz w:val="12"/>
        </w:rPr>
        <w:t>cf-art-7-inc-XII</w:t>
      </w:r>
      <w:r>
        <w:rPr>
          <w:color w:val="003CA0"/>
          <w:sz w:val="12"/>
        </w:rPr>
        <w:t xml:space="preserve"> | ADI 2.964</w:t>
      </w:r>
      <w:r>
        <w:rPr>
          <w:color w:val="003CA0"/>
          <w:sz w:val="12"/>
        </w:rPr>
        <w:t xml:space="preserve"> | rel. Gilmar Mendes</w:t>
      </w:r>
    </w:p>
    <w:p>
      <w:pPr>
        <w:ind w:left="288"/>
      </w:pPr>
      <w:r>
        <w:rPr>
          <w:color w:val="1E1E1E"/>
          <w:sz w:val="18"/>
        </w:rPr>
        <w:t>(...) o Supremo entende que a limitação do adicional de férias anuais dos membros da magistratura e do ministério público constitui flagrante ofensa ao art. 7º, XVII, da Constituição Federal, que assegura aos trabalhadores em geral férias anuais remuneradas com adicional mínimo de um terço calculado sobre o salário normal. Desse modo, se as férias forem de sessenta dias (dois períodos de trinta dias), o adicional de um terço incidirá sobre o valor correspondente a dois salários, pois, caso contrário, se o adicional incidisse apenas sobre um período de trinta dias (salário mensal), as férias de</w:t>
      </w:r>
    </w:p>
    <w:p>
      <w:pPr>
        <w:ind w:left="288"/>
      </w:pPr>
      <w:r>
        <w:rPr>
          <w:b/>
          <w:color w:val="003CA0"/>
          <w:sz w:val="16"/>
        </w:rPr>
        <w:t>[ADI 2.964, rel. min. Gilmar Mendes, j. 9-5-2019, P, DJE de 1º-8-2019.]</w:t>
      </w:r>
    </w:p>
    <w:p>
      <w:pPr>
        <w:ind w:left="288"/>
      </w:pPr>
      <w:r>
        <w:rPr>
          <w:color w:val="8C8C8C"/>
          <w:sz w:val="12"/>
        </w:rPr>
        <w:t>cf-art-7-inc-XII</w:t>
      </w:r>
      <w:r>
        <w:rPr>
          <w:color w:val="003CA0"/>
          <w:sz w:val="12"/>
        </w:rPr>
        <w:t xml:space="preserve"> | ADI 2.579</w:t>
      </w:r>
      <w:r>
        <w:rPr>
          <w:color w:val="003CA0"/>
          <w:sz w:val="12"/>
        </w:rPr>
        <w:t xml:space="preserve"> | rel. Carlos Velloso</w:t>
      </w:r>
    </w:p>
    <w:p>
      <w:pPr>
        <w:ind w:left="288"/>
      </w:pPr>
      <w:r>
        <w:rPr>
          <w:color w:val="1E1E1E"/>
          <w:sz w:val="18"/>
        </w:rPr>
        <w:t>O direito às férias remuneradas é assegurado ao servidor público em atividade. O acréscimo de 1/3 da remuneração segue o principal: somente faz jus a esse acréscimo o servidor com direito ao gozo de férias remuneradas. CF, art. 7º, XVII. Servidor público aposentado não tem direito, obviamente, ao gozo de férias.</w:t>
      </w:r>
    </w:p>
    <w:p>
      <w:pPr>
        <w:ind w:left="288"/>
      </w:pPr>
      <w:r>
        <w:rPr>
          <w:b/>
          <w:color w:val="003CA0"/>
          <w:sz w:val="16"/>
        </w:rPr>
        <w:t>[ADI 2.579, rel. min. Carlos Velloso, j. 21-8-2003, P, DJ de 26-9-2003.]</w:t>
      </w:r>
    </w:p>
    <w:p>
      <w:pPr>
        <w:ind w:left="288"/>
      </w:pPr>
      <w:r>
        <w:rPr>
          <w:color w:val="8C8C8C"/>
          <w:sz w:val="12"/>
        </w:rPr>
        <w:t>cf-art-7-inc-XII</w:t>
      </w:r>
      <w:r>
        <w:rPr>
          <w:color w:val="003CA0"/>
          <w:sz w:val="12"/>
        </w:rPr>
        <w:t xml:space="preserve"> | ADI 1.158</w:t>
      </w:r>
      <w:r>
        <w:rPr>
          <w:color w:val="003CA0"/>
          <w:sz w:val="12"/>
        </w:rPr>
        <w:t xml:space="preserve"> | rel. Dias Toffoli</w:t>
      </w:r>
    </w:p>
    <w:p>
      <w:pPr>
        <w:ind w:left="288"/>
      </w:pPr>
      <w:r>
        <w:rPr>
          <w:color w:val="1E1E1E"/>
          <w:sz w:val="18"/>
        </w:rPr>
        <w:t>= ADI 1.158, rel. min. Dias Toffoli, j. 20-8-2014, P, DJE de 8-10-2014 “É infraconstitucional a controvérsia sobre os períodos de afastamento que devem ser incluídos no cálculo do terço constitucional de férias de servidores públicos”.</w:t>
      </w:r>
    </w:p>
    <w:p>
      <w:pPr>
        <w:ind w:left="288"/>
      </w:pPr>
      <w:r>
        <w:rPr>
          <w:b/>
          <w:color w:val="003CA0"/>
          <w:sz w:val="16"/>
        </w:rPr>
        <w:t>[RE 1.535.083 RG, rel. min. Luís Roberto Barroso, j. 06.05.2025, P, DJE de 09.05.2025, Tema 1.395, com repercussão geral negada.]</w:t>
      </w:r>
    </w:p>
    <w:p>
      <w:pPr>
        <w:ind w:left="288"/>
      </w:pPr>
      <w:r>
        <w:rPr>
          <w:color w:val="8C8C8C"/>
          <w:sz w:val="12"/>
        </w:rPr>
        <w:t>cf-art-7-inc-XII</w:t>
      </w:r>
      <w:r>
        <w:rPr>
          <w:color w:val="003CA0"/>
          <w:sz w:val="12"/>
        </w:rPr>
        <w:t xml:space="preserve"> | RE 1.072.485</w:t>
      </w:r>
      <w:r>
        <w:rPr>
          <w:color w:val="003CA0"/>
          <w:sz w:val="12"/>
        </w:rPr>
        <w:t xml:space="preserve"> | rel. Marco Aurélio</w:t>
      </w:r>
    </w:p>
    <w:p>
      <w:pPr>
        <w:ind w:left="288"/>
      </w:pPr>
      <w:r>
        <w:rPr>
          <w:color w:val="1E1E1E"/>
          <w:sz w:val="18"/>
        </w:rPr>
        <w:t>A mudança da jurisprudência é motivo ensejador de modulação dos efeitos, em respeito à segurança jurídica e ao sistema integrado de precedentes. CPC/2015 e decisões desta Corte. Embargos de declaração parcialmente providos, para atribuir efeitos ex nunc ao acórdão de mérito, a contar da publicação de sua ata de julgamento, ressalvadas as contribuições já pagas e não impugnadas judicialmente até essa mesma data, que não serão devolvidas pela União.</w:t>
      </w:r>
    </w:p>
    <w:p>
      <w:pPr>
        <w:ind w:left="288"/>
      </w:pPr>
      <w:r>
        <w:rPr>
          <w:b/>
          <w:color w:val="003CA0"/>
          <w:sz w:val="16"/>
        </w:rPr>
        <w:t>[RE 1.072.485 ED, rel. min. Marco Aurélio, red. do ac. min. Luís Roberto Barroso, j. 12.06.2024, P, DJE de 19.09.2024, Tema 985, com mérito julgado.]</w:t>
      </w:r>
    </w:p>
    <w:p>
      <w:pPr>
        <w:ind w:left="288"/>
      </w:pPr>
      <w:r>
        <w:rPr>
          <w:color w:val="8C8C8C"/>
          <w:sz w:val="12"/>
        </w:rPr>
        <w:t>cf-art-7-inc-XII</w:t>
      </w:r>
      <w:r>
        <w:rPr>
          <w:color w:val="003CA0"/>
          <w:sz w:val="12"/>
        </w:rPr>
        <w:t xml:space="preserve"> | RE 593.448</w:t>
      </w:r>
      <w:r>
        <w:rPr>
          <w:color w:val="003CA0"/>
          <w:sz w:val="12"/>
        </w:rPr>
        <w:t xml:space="preserve"> | rel. Edson Fachin</w:t>
      </w:r>
    </w:p>
    <w:p>
      <w:pPr>
        <w:ind w:left="288"/>
      </w:pPr>
      <w:r>
        <w:rPr>
          <w:color w:val="1E1E1E"/>
          <w:sz w:val="18"/>
        </w:rPr>
        <w:t>“No exercício da autonomia legislativa municipal, não pode o Município, ao disciplinar o regime jurídico de seus servidores, restringir o direito de férias a servidor em licença saúde de maneira a inviabilizar o gozo de férias anuais previsto no art. 7º, XVII da Constituição Federal de 1988”.</w:t>
      </w:r>
    </w:p>
    <w:p>
      <w:pPr>
        <w:ind w:left="288"/>
      </w:pPr>
      <w:r>
        <w:rPr>
          <w:b/>
          <w:color w:val="003CA0"/>
          <w:sz w:val="16"/>
        </w:rPr>
        <w:t>[RE 593.448, rel. min. Edson Fachin, j. 05.12.2022, P, DJE de 19.12.2022, Tema 221, com mérito julgado.]</w:t>
      </w:r>
    </w:p>
    <w:p>
      <w:pPr>
        <w:ind w:left="288"/>
      </w:pPr>
      <w:r>
        <w:rPr>
          <w:color w:val="8C8C8C"/>
          <w:sz w:val="12"/>
        </w:rPr>
        <w:t>cf-art-7-inc-XII</w:t>
      </w:r>
      <w:r>
        <w:rPr>
          <w:color w:val="003CA0"/>
          <w:sz w:val="12"/>
        </w:rPr>
        <w:t xml:space="preserve"> | RE 1.072.485</w:t>
      </w:r>
      <w:r>
        <w:rPr>
          <w:color w:val="003CA0"/>
          <w:sz w:val="12"/>
        </w:rPr>
        <w:t xml:space="preserve"> | rel. Marco Aurélio</w:t>
      </w:r>
    </w:p>
    <w:p>
      <w:pPr>
        <w:ind w:left="288"/>
      </w:pPr>
      <w:r>
        <w:rPr>
          <w:color w:val="1E1E1E"/>
          <w:sz w:val="18"/>
        </w:rPr>
        <w:t>É legítima a incidência de contribuição social sobre o valor satisfeito a título de terço constitucional de férias.</w:t>
        <w:br/>
        <w:t>[RE 1.072.485, rel. min. Marco Aurélio, j. 31-8-2020, P, DJE de 2-10-2020, Tema 985, com mérito julgado.] O direito individual às férias é adquirido após o período de doze meses trabalhados, sendo devido o pagamento do terço constitucional independente do exercício desse direito. A ausência de previsão legal não pode restringir o direito ao pagamento do terço constitucional aos servidores exonerados de cargos comissionados que não usufruíram férias. O não pagamento do terço const</w:t>
      </w:r>
    </w:p>
    <w:p>
      <w:pPr>
        <w:ind w:left="288"/>
      </w:pPr>
      <w:r>
        <w:rPr>
          <w:b/>
          <w:color w:val="003CA0"/>
          <w:sz w:val="16"/>
        </w:rPr>
        <w:t>[RE 570.908, rel. min. Cármen Lúcia, j. 16-9-2009, P, DJE de 12-3-2010, Tema 30, com mérito julgado.]</w:t>
      </w:r>
    </w:p>
    <w:p>
      <w:pPr>
        <w:ind w:left="144"/>
      </w:pPr>
      <w:r>
        <w:rPr>
          <w:b/>
          <w:color w:val="B45A00"/>
          <w:sz w:val="16"/>
        </w:rPr>
        <w:t>JULGADOS CORRELATOS</w:t>
      </w:r>
    </w:p>
    <w:p>
      <w:pPr>
        <w:ind w:left="288"/>
      </w:pPr>
      <w:r>
        <w:rPr>
          <w:color w:val="8C8C8C"/>
          <w:sz w:val="12"/>
        </w:rPr>
        <w:t>cf-art-7-inc-XII</w:t>
      </w:r>
      <w:r>
        <w:rPr>
          <w:color w:val="003CA0"/>
          <w:sz w:val="12"/>
        </w:rPr>
        <w:t xml:space="preserve"> | MS 26.739</w:t>
      </w:r>
      <w:r>
        <w:rPr>
          <w:color w:val="003CA0"/>
          <w:sz w:val="12"/>
        </w:rPr>
        <w:t xml:space="preserve"> | rel. Dias Toffoli</w:t>
      </w:r>
    </w:p>
    <w:p>
      <w:pPr>
        <w:ind w:left="288"/>
      </w:pPr>
      <w:r>
        <w:rPr>
          <w:color w:val="1E1E1E"/>
          <w:sz w:val="18"/>
        </w:rPr>
        <w:t>Ato do CNJ. Anulação da fixação de férias em sessenta dias para servidores de segunda instância da Justiça estadual mineira. (...) A conclusão do Supremo Tribunal pela inconstitucionalidade, a partir da EC 45/2004, das férias coletivas nos tribunais se aplica aos servidores do TJMG, cujo direito às férias de sessenta dias se estabeleceu em normativos fundamentados nas férias forenses coletivas.</w:t>
        <w:br/>
        <w:t>[MS 26.739, rel. min. Dias Toffoli, j. 1º-3-2016, 2ª T, DJE de 14-6-2016.]</w:t>
        <w:br/>
        <w:t>Vide ADI 3.085, rel. min. Eros Grau, j. 17-2-2005, P, DJ de 28-4-2006 É pacífica a jurisprudência desta Corte no sentido de que</w:t>
      </w:r>
    </w:p>
    <w:p>
      <w:pPr>
        <w:ind w:left="288"/>
      </w:pPr>
      <w:r>
        <w:rPr>
          <w:b/>
          <w:color w:val="003CA0"/>
          <w:sz w:val="16"/>
        </w:rPr>
        <w:t>[RE 234.485 AgR, rel. min. Dias Toffoli, j. 2-8-2011, 1ª T, DJE de 19-9-2011.]</w:t>
      </w:r>
    </w:p>
    <w:p>
      <w:pPr>
        <w:ind w:left="288"/>
      </w:pPr>
      <w:r>
        <w:rPr>
          <w:color w:val="8C8C8C"/>
          <w:sz w:val="12"/>
        </w:rPr>
        <w:t>cf-art-7-inc-XII</w:t>
      </w:r>
      <w:r>
        <w:rPr>
          <w:color w:val="003CA0"/>
          <w:sz w:val="12"/>
        </w:rPr>
        <w:t xml:space="preserve"> | RE 587.941</w:t>
      </w:r>
      <w:r>
        <w:rPr>
          <w:color w:val="003CA0"/>
          <w:sz w:val="12"/>
        </w:rPr>
        <w:t xml:space="preserve"> | rel. Celso de Mello</w:t>
      </w:r>
    </w:p>
    <w:p>
      <w:pPr>
        <w:ind w:left="288"/>
      </w:pPr>
      <w:r>
        <w:rPr>
          <w:color w:val="1E1E1E"/>
          <w:sz w:val="18"/>
        </w:rPr>
        <w:t>O STF, em sucessivos julgamentos, firmou entendimento no sentido da não incidência de contribuição social sobre o adicional de um terço, a que se refere o art. 7º, XVII, da CF. Precedentes.</w:t>
      </w:r>
    </w:p>
    <w:p>
      <w:pPr>
        <w:ind w:left="288"/>
      </w:pPr>
      <w:r>
        <w:rPr>
          <w:b/>
          <w:color w:val="003CA0"/>
          <w:sz w:val="16"/>
        </w:rPr>
        <w:t>[RE 587.941 AgR, rel. min. Celso de Mello, j. 30-9-2008, 2ª T, DJE de 21-11-2008.]</w:t>
      </w:r>
    </w:p>
    <w:p>
      <w:pPr>
        <w:ind w:left="288"/>
      </w:pPr>
      <w:r>
        <w:rPr>
          <w:color w:val="8C8C8C"/>
          <w:sz w:val="12"/>
        </w:rPr>
        <w:t>cf-art-7-inc-XII</w:t>
      </w:r>
      <w:r>
        <w:rPr>
          <w:color w:val="003CA0"/>
          <w:sz w:val="12"/>
        </w:rPr>
        <w:t xml:space="preserve"> | AI 710.361</w:t>
      </w:r>
      <w:r>
        <w:rPr>
          <w:color w:val="003CA0"/>
          <w:sz w:val="12"/>
        </w:rPr>
        <w:t xml:space="preserve"> | rel. Cármen Lúcia</w:t>
      </w:r>
    </w:p>
    <w:p>
      <w:pPr>
        <w:ind w:left="288"/>
      </w:pPr>
      <w:r>
        <w:rPr>
          <w:color w:val="1E1E1E"/>
          <w:sz w:val="18"/>
        </w:rPr>
        <w:t>= AI 710.361 AgR, rel. min. Cármen Lúcia, j. 7-4-2009, 1ª T, DJE de 8-5-2009 O STF já se posicionou pela possibilidade de compensação da gratificação denominada pós-férias, instituída por norma coletiva, com o adicional de 1/3 sobre as férias, previsto no inciso XVII do art. 7º da Magna Carta. Precedentes: AI 360.306 AgR, rel. min. Moreira Alves; AI 401.304 AgR e AI 506.362 AgR, rel. min. Sepúlveda Pertence; e RE 380.960, de minha relatoria.</w:t>
      </w:r>
    </w:p>
    <w:p>
      <w:pPr>
        <w:ind w:left="288"/>
      </w:pPr>
      <w:r>
        <w:rPr>
          <w:b/>
          <w:color w:val="003CA0"/>
          <w:sz w:val="16"/>
        </w:rPr>
        <w:t>[AI 513.027 AgR, rel. min. Ayres Britto, j. 29-6-2006, 1ª T, DJ de 8-9-2006.]</w:t>
      </w:r>
    </w:p>
    <w:p>
      <w:pPr>
        <w:ind w:left="288"/>
      </w:pPr>
      <w:r>
        <w:rPr>
          <w:color w:val="8C8C8C"/>
          <w:sz w:val="12"/>
        </w:rPr>
        <w:t>cf-art-7-inc-XII</w:t>
      </w:r>
      <w:r>
        <w:rPr>
          <w:color w:val="003CA0"/>
          <w:sz w:val="12"/>
        </w:rPr>
        <w:t xml:space="preserve"> | ADI 7.524</w:t>
      </w:r>
      <w:r>
        <w:rPr>
          <w:color w:val="003CA0"/>
          <w:sz w:val="12"/>
        </w:rPr>
        <w:t xml:space="preserve"> | rel. Nunes Marques</w:t>
      </w:r>
    </w:p>
    <w:p>
      <w:pPr>
        <w:ind w:left="288"/>
      </w:pPr>
      <w:r>
        <w:rPr>
          <w:color w:val="1E1E1E"/>
          <w:sz w:val="18"/>
        </w:rPr>
        <w:t>XVIII - licença à gestante, sem prejuízo do emprego e do salário, com a duração de cento e vinte dias; A jurisprudência do STF estabelece que não pode haver discriminação entre mães biológicas e adotantes, uma vez que a licença-maternidade não visa apenas atender à necessidade biológica de recuperação da mulher após o processo de gestação e parto, mas também privilegiar outros valores importantes, tais como o convívio da criança com os pais, o desenvolvimento do vínculo afetivo e a adaptação da criança ao núcleo familiar. (...) É inconstitucional a imposição de limites temporais à licença-mate</w:t>
      </w:r>
    </w:p>
    <w:p>
      <w:pPr>
        <w:ind w:left="288"/>
      </w:pPr>
      <w:r>
        <w:rPr>
          <w:b/>
          <w:color w:val="003CA0"/>
          <w:sz w:val="16"/>
        </w:rPr>
        <w:t>[ADI 7.524, rel. min. Nunes Marques, j. 30-10-2025, P, DJE de 13-2-2026.]</w:t>
      </w:r>
    </w:p>
    <w:p>
      <w:pPr>
        <w:ind w:left="288"/>
      </w:pPr>
      <w:r>
        <w:rPr>
          <w:color w:val="8C8C8C"/>
          <w:sz w:val="12"/>
        </w:rPr>
        <w:t>cf-art-7-inc-XII</w:t>
      </w:r>
      <w:r>
        <w:rPr>
          <w:color w:val="003CA0"/>
          <w:sz w:val="12"/>
        </w:rPr>
        <w:t xml:space="preserve"> | ADI 7.532</w:t>
      </w:r>
      <w:r>
        <w:rPr>
          <w:color w:val="003CA0"/>
          <w:sz w:val="12"/>
        </w:rPr>
        <w:t xml:space="preserve"> | rel. André Mendonça</w:t>
      </w:r>
    </w:p>
    <w:p>
      <w:pPr>
        <w:ind w:left="288"/>
      </w:pPr>
      <w:r>
        <w:rPr>
          <w:color w:val="1E1E1E"/>
          <w:sz w:val="18"/>
        </w:rPr>
        <w:t>A servidora pública gestante tem direito ao gozo de licença-maternidade, independentemente do regime jurídico aplicável, se contratual ou administrativo, ainda que ocupe cargo em comissão ou seja contratada por tempo determinado. O prazo para fruição da licença-maternidade pelas servidoras públicas em cargo comissionado ou contratadas temporariamente deve ser concedido de acordo com a respectiva lei estadual que regule a contratação comissionada ou temporária, ou, eventualmente, a legislação trabalhista que incida sobre o caso, na hipótese de vínculo não-administrativo. (...) Não cabe ao Poder</w:t>
      </w:r>
    </w:p>
    <w:p>
      <w:pPr>
        <w:ind w:left="288"/>
      </w:pPr>
      <w:r>
        <w:rPr>
          <w:b/>
          <w:color w:val="003CA0"/>
          <w:sz w:val="16"/>
        </w:rPr>
        <w:t>[ADI 7.532, rel. min. André Mendonça, j. 24.02.2025, P, DJE de 29.04.2025.]</w:t>
      </w:r>
    </w:p>
    <w:p>
      <w:pPr>
        <w:ind w:left="288"/>
      </w:pPr>
      <w:r>
        <w:rPr>
          <w:color w:val="8C8C8C"/>
          <w:sz w:val="12"/>
        </w:rPr>
        <w:t>cf-art-7-inc-XII</w:t>
      </w:r>
      <w:r>
        <w:rPr>
          <w:color w:val="003CA0"/>
          <w:sz w:val="12"/>
        </w:rPr>
        <w:t xml:space="preserve"> | ADI 7.531</w:t>
      </w:r>
      <w:r>
        <w:rPr>
          <w:color w:val="003CA0"/>
          <w:sz w:val="12"/>
        </w:rPr>
        <w:t xml:space="preserve"> | rel. Nunes Marques</w:t>
      </w:r>
    </w:p>
    <w:p>
      <w:pPr>
        <w:ind w:left="288"/>
      </w:pPr>
      <w:r>
        <w:rPr>
          <w:color w:val="1E1E1E"/>
          <w:sz w:val="18"/>
        </w:rPr>
        <w:t>O direito à convivência familiar e o melhor interesse da criança justificam a extensão do direito à licença-maternidade aos genitores monoparentais, sejam eles estatutários, militares ou temporários.</w:t>
      </w:r>
    </w:p>
    <w:p>
      <w:pPr>
        <w:ind w:left="288"/>
      </w:pPr>
      <w:r>
        <w:rPr>
          <w:b/>
          <w:color w:val="003CA0"/>
          <w:sz w:val="16"/>
        </w:rPr>
        <w:t>[ADI 7.531, rel. min. Nunes Marques, j. 16.12.2024, P, DJE de 10.02.2025.]</w:t>
      </w:r>
    </w:p>
    <w:p>
      <w:pPr>
        <w:ind w:left="288"/>
      </w:pPr>
      <w:r>
        <w:rPr>
          <w:color w:val="8C8C8C"/>
          <w:sz w:val="12"/>
        </w:rPr>
        <w:t>cf-art-7-inc-XII</w:t>
      </w:r>
      <w:r>
        <w:rPr>
          <w:color w:val="003CA0"/>
          <w:sz w:val="12"/>
        </w:rPr>
        <w:t xml:space="preserve"> | RE 1.348.854</w:t>
      </w:r>
      <w:r>
        <w:rPr>
          <w:color w:val="003CA0"/>
          <w:sz w:val="12"/>
        </w:rPr>
        <w:t xml:space="preserve"> | rel. Alexandre de Moraes</w:t>
      </w:r>
    </w:p>
    <w:p>
      <w:pPr>
        <w:ind w:left="288"/>
      </w:pPr>
      <w:r>
        <w:rPr>
          <w:color w:val="1E1E1E"/>
          <w:sz w:val="18"/>
        </w:rPr>
        <w:t>Vide RE 1.348.854, rel. min. Alexandre de Moraes, j. 12.5.2022, P, DJE de 24.10.2022, Tema 1.182, com mérito julgado</w:t>
      </w:r>
    </w:p>
    <w:p>
      <w:pPr>
        <w:ind w:left="144"/>
      </w:pPr>
      <w:r>
        <w:rPr>
          <w:b/>
          <w:color w:val="B45A00"/>
          <w:sz w:val="16"/>
        </w:rPr>
        <w:t>CONTROLE CONCENTRADO</w:t>
      </w:r>
    </w:p>
    <w:p>
      <w:pPr>
        <w:ind w:left="288"/>
      </w:pPr>
      <w:r>
        <w:rPr>
          <w:color w:val="8C8C8C"/>
          <w:sz w:val="12"/>
        </w:rPr>
        <w:t>cf-art-7-inc-XII</w:t>
      </w:r>
      <w:r>
        <w:rPr>
          <w:color w:val="003CA0"/>
          <w:sz w:val="12"/>
        </w:rPr>
        <w:t xml:space="preserve"> | ADI 6.327</w:t>
      </w:r>
      <w:r>
        <w:rPr>
          <w:color w:val="003CA0"/>
          <w:sz w:val="12"/>
        </w:rPr>
        <w:t xml:space="preserve"> | rel. Edson Fachin</w:t>
      </w:r>
    </w:p>
    <w:p>
      <w:pPr>
        <w:ind w:left="288"/>
      </w:pPr>
      <w:r>
        <w:rPr>
          <w:color w:val="1E1E1E"/>
          <w:sz w:val="18"/>
        </w:rPr>
        <w:t>(...) interpretação conforme à Constituição ao artigo 392, §1º, da CLT, assim como ao artigo 71 da Lei n.º 8.213/91 e, por arrastamento, ao artigo 93 do seu Regulamento (Decreto n.º 3.048/99), de modo a se considerar como termo inicial da licença-maternidade e do respectivo salário-maternidade a alta hospitalar do recém-nascido e/ou de sua mãe, o que ocorrer por último, prorrogando-se em todo o período os benefícios, quando o período de internação exceder as duas semanas previstas no art. 392, §2º, da CLT, e no art. 93, §3º, do Decreto n.º 3.048/99.</w:t>
      </w:r>
    </w:p>
    <w:p>
      <w:pPr>
        <w:ind w:left="288"/>
      </w:pPr>
      <w:r>
        <w:rPr>
          <w:b/>
          <w:color w:val="003CA0"/>
          <w:sz w:val="16"/>
        </w:rPr>
        <w:t>[ADI 6.327, rel. min. Edson Fachin, j. 24-10-2022, P, DJE de 7-11-2022.]</w:t>
      </w:r>
    </w:p>
    <w:p>
      <w:pPr>
        <w:ind w:left="288"/>
      </w:pPr>
      <w:r>
        <w:rPr>
          <w:color w:val="8C8C8C"/>
          <w:sz w:val="12"/>
        </w:rPr>
        <w:t>cf-art-7-inc-XII</w:t>
      </w:r>
      <w:r>
        <w:rPr>
          <w:color w:val="003CA0"/>
          <w:sz w:val="12"/>
        </w:rPr>
        <w:t xml:space="preserve"> | ADI 1.946</w:t>
      </w:r>
      <w:r>
        <w:rPr>
          <w:color w:val="003CA0"/>
          <w:sz w:val="12"/>
        </w:rPr>
        <w:t xml:space="preserve"> | rel. Sydney Sanches</w:t>
      </w:r>
    </w:p>
    <w:p>
      <w:pPr>
        <w:ind w:left="288"/>
      </w:pPr>
      <w:r>
        <w:rPr>
          <w:color w:val="1E1E1E"/>
          <w:sz w:val="18"/>
        </w:rPr>
        <w:t>O legislador brasileiro, a partir de 1932 e mais claramente desde 1974, vem tratando o problema da proteção à gestante, cada vez menos como um encargo trabalhista (do empregador) e cada vez mais como de natureza previdenciária. (...) Diante desse quadro histórico, não é de se presumir que o legislador constituinte derivado, na Emenda 20/1998, mais precisamente em seu art. 14, haja pretendido a revogação, ainda que implícita, do art. 7º, XVIII, da CF originária. Se esse tivesse sido o objetivo da norma constitucional derivada, por certo a EC 20/1998 conteria referência expressa a respeito. E, à</w:t>
      </w:r>
    </w:p>
    <w:p>
      <w:pPr>
        <w:ind w:left="288"/>
      </w:pPr>
      <w:r>
        <w:rPr>
          <w:b/>
          <w:color w:val="003CA0"/>
          <w:sz w:val="16"/>
        </w:rPr>
        <w:t>[ADI 1.946, rel. min. Sydney Sanches, j. 3-4-2003, P, DJ de 16-5-2003.]</w:t>
      </w:r>
    </w:p>
    <w:p>
      <w:pPr>
        <w:ind w:left="144"/>
      </w:pPr>
      <w:r>
        <w:rPr>
          <w:b/>
          <w:color w:val="B45A00"/>
          <w:sz w:val="16"/>
        </w:rPr>
        <w:t>REPERCUSSAO GERAL</w:t>
      </w:r>
    </w:p>
    <w:p>
      <w:pPr>
        <w:ind w:left="288"/>
      </w:pPr>
      <w:r>
        <w:rPr>
          <w:color w:val="8C8C8C"/>
          <w:sz w:val="12"/>
        </w:rPr>
        <w:t>cf-art-7-inc-XII</w:t>
      </w:r>
      <w:r>
        <w:rPr>
          <w:color w:val="003CA0"/>
          <w:sz w:val="12"/>
        </w:rPr>
        <w:t xml:space="preserve"> | RE 1.211.446</w:t>
      </w:r>
      <w:r>
        <w:rPr>
          <w:color w:val="003CA0"/>
          <w:sz w:val="12"/>
        </w:rPr>
        <w:t xml:space="preserve"> | rel. Alexandre de Moraes</w:t>
      </w:r>
    </w:p>
    <w:p>
      <w:pPr>
        <w:ind w:left="288"/>
      </w:pPr>
      <w:r>
        <w:rPr>
          <w:color w:val="1E1E1E"/>
          <w:sz w:val="18"/>
        </w:rPr>
        <w:t>“A servidora pública ou a trabalhadora regida pela CLT não gestante em união homoafetiva têm direito ao gozo da licença-maternidade. Caso a companheira tenha usufruído do benefício, fará jus a período de afastamento correspondente ao da licença-paternidade”.</w:t>
      </w:r>
    </w:p>
    <w:p>
      <w:pPr>
        <w:ind w:left="288"/>
      </w:pPr>
      <w:r>
        <w:rPr>
          <w:b/>
          <w:color w:val="003CA0"/>
          <w:sz w:val="16"/>
        </w:rPr>
        <w:t>[RE 1.211.446, rel. min. Alexandre de Moraes, j. 13.03.2024, P, DJE de 21.05.2024, Tema 1.072, com mérito julgado.]</w:t>
      </w:r>
    </w:p>
    <w:p>
      <w:pPr>
        <w:ind w:left="288"/>
      </w:pPr>
      <w:r>
        <w:rPr>
          <w:color w:val="8C8C8C"/>
          <w:sz w:val="12"/>
        </w:rPr>
        <w:t>cf-art-7-inc-XII</w:t>
      </w:r>
      <w:r>
        <w:rPr>
          <w:color w:val="003CA0"/>
          <w:sz w:val="12"/>
        </w:rPr>
        <w:t xml:space="preserve"> | RE 842.844</w:t>
      </w:r>
      <w:r>
        <w:rPr>
          <w:color w:val="003CA0"/>
          <w:sz w:val="12"/>
        </w:rPr>
        <w:t xml:space="preserve"> | rel. Luiz Fux</w:t>
      </w:r>
    </w:p>
    <w:p>
      <w:pPr>
        <w:ind w:left="288"/>
      </w:pPr>
      <w:r>
        <w:rPr>
          <w:color w:val="1E1E1E"/>
          <w:sz w:val="18"/>
        </w:rPr>
        <w:t>A trabalhadora gestante tem direito ao gozo de licença-maternidade e à estabilidade provisória, independentemente do regime jurídico aplicável, se contratual ou administrativo, ainda que ocupe cargo em comissão ou seja contratada por tempo determinado, nos termos dos arts. 7º, XVIII; 37, II; e 39, § 3º; da Constituição Federal, e 10, II, b, do Ato das Disposições Constitucionais Transitórias.</w:t>
        <w:br/>
        <w:t>[RE 842.844, rel. min. Luiz Fux, j. 5-10-2023, P, DJE de 6-12-2023, Tema 542, com mérito julgado.] À luz do art. 227 da CF que confere proteção integral da criança com absoluta prioridade, bem como do pri</w:t>
      </w:r>
    </w:p>
    <w:p>
      <w:pPr>
        <w:ind w:left="288"/>
      </w:pPr>
      <w:r>
        <w:rPr>
          <w:b/>
          <w:color w:val="003CA0"/>
          <w:sz w:val="16"/>
        </w:rPr>
        <w:t>[RE 1.348.854, rel. min. Alexandre de Moraes, j. 12-5-2022, P, DJE de 24-10-2022, Tema 1.182, com mérito julgado.]</w:t>
      </w:r>
    </w:p>
    <w:p>
      <w:pPr>
        <w:ind w:left="288"/>
      </w:pPr>
      <w:r>
        <w:rPr>
          <w:color w:val="8C8C8C"/>
          <w:sz w:val="12"/>
        </w:rPr>
        <w:t>cf-art-7-inc-XII</w:t>
      </w:r>
      <w:r>
        <w:rPr>
          <w:color w:val="003CA0"/>
          <w:sz w:val="12"/>
        </w:rPr>
        <w:t xml:space="preserve"> | ADI 7.531</w:t>
      </w:r>
      <w:r>
        <w:rPr>
          <w:color w:val="003CA0"/>
          <w:sz w:val="12"/>
        </w:rPr>
        <w:t xml:space="preserve"> | rel. Nunes Marques</w:t>
      </w:r>
    </w:p>
    <w:p>
      <w:pPr>
        <w:ind w:left="288"/>
      </w:pPr>
      <w:r>
        <w:rPr>
          <w:color w:val="1E1E1E"/>
          <w:sz w:val="18"/>
        </w:rPr>
        <w:t xml:space="preserve">Vide ADI 7.531, rel. min. Nunes Marques, j. 16.12.2024, P, DJE de 10.02.2025 A licença-maternidade prevista no artigo 7º, XVIII, da Constituição abrange tanto a licença-gestante quanto a licença-adotante, ambas asseguradas pelo prazo mínimo de 120 dias. Interpretação sistemática da Constituição à luz da dignidade da pessoa humana, da igualdade entre filhos biológicos e adotados, da doutrina da proteção integral, do princípio da prioridade e do interesse superior do menor. (...) Tese de repercussão geral: "Os prazos da licença-adotante não podem ser inferiores aos prazos da licença-gestante, o </w:t>
      </w:r>
    </w:p>
    <w:p>
      <w:pPr>
        <w:ind w:left="288"/>
      </w:pPr>
      <w:r>
        <w:rPr>
          <w:b/>
          <w:color w:val="003CA0"/>
          <w:sz w:val="16"/>
        </w:rPr>
        <w:t>[RE 778.889, rel. min. Roberto Barroso, j. 10-3-2016, P, DJE de 1º-8-2016, Tema 782, com mérito julgado.]</w:t>
      </w:r>
    </w:p>
    <w:p>
      <w:pPr>
        <w:ind w:left="144"/>
      </w:pPr>
      <w:r>
        <w:rPr>
          <w:b/>
          <w:color w:val="B45A00"/>
          <w:sz w:val="16"/>
        </w:rPr>
        <w:t>JULGADOS CORRELATOS</w:t>
      </w:r>
    </w:p>
    <w:p>
      <w:pPr>
        <w:ind w:left="288"/>
      </w:pPr>
      <w:r>
        <w:rPr>
          <w:color w:val="8C8C8C"/>
          <w:sz w:val="12"/>
        </w:rPr>
        <w:t>cf-art-7-inc-XII</w:t>
      </w:r>
      <w:r>
        <w:rPr>
          <w:color w:val="003CA0"/>
          <w:sz w:val="12"/>
        </w:rPr>
        <w:t xml:space="preserve"> | RE 523.572</w:t>
      </w:r>
      <w:r>
        <w:rPr>
          <w:color w:val="003CA0"/>
          <w:sz w:val="12"/>
        </w:rPr>
        <w:t xml:space="preserve"> | rel. Ellen Gracie</w:t>
      </w:r>
    </w:p>
    <w:p>
      <w:pPr>
        <w:ind w:left="288"/>
      </w:pPr>
      <w:r>
        <w:rPr>
          <w:color w:val="1E1E1E"/>
          <w:sz w:val="18"/>
        </w:rPr>
        <w:t>A estabilidade provisória advinda de licença-maternidade decorre de proteção constitucional às trabalhadoras em geral. O direito amparado pelo art. 7º, XVIII, da CF, nos termos do art. 142, VIII, da CF/1988, alcança as militares.</w:t>
      </w:r>
    </w:p>
    <w:p>
      <w:pPr>
        <w:ind w:left="288"/>
      </w:pPr>
      <w:r>
        <w:rPr>
          <w:b/>
          <w:color w:val="003CA0"/>
          <w:sz w:val="16"/>
        </w:rPr>
        <w:t>[RE 523.572 AgR, rel. min. Ellen Gracie, j. 6-10-2009, 2ª T, DJE de 29-10-2009.]</w:t>
      </w:r>
    </w:p>
    <w:p>
      <w:pPr>
        <w:ind w:left="288"/>
      </w:pPr>
      <w:r>
        <w:rPr>
          <w:color w:val="8C8C8C"/>
          <w:sz w:val="12"/>
        </w:rPr>
        <w:t>cf-art-7-inc-XII</w:t>
      </w:r>
      <w:r>
        <w:rPr>
          <w:color w:val="003CA0"/>
          <w:sz w:val="12"/>
        </w:rPr>
        <w:t xml:space="preserve"> | AI 811.376</w:t>
      </w:r>
      <w:r>
        <w:rPr>
          <w:color w:val="003CA0"/>
          <w:sz w:val="12"/>
        </w:rPr>
        <w:t xml:space="preserve"> | rel. Gilmar Mendes</w:t>
      </w:r>
    </w:p>
    <w:p>
      <w:pPr>
        <w:ind w:left="288"/>
      </w:pPr>
      <w:r>
        <w:rPr>
          <w:color w:val="1E1E1E"/>
          <w:sz w:val="18"/>
        </w:rPr>
        <w:t>= AI 811.376 AgR, rel. min. Gilmar Mendes, j. 1º-3-2011, 2ª T, DJE de 23-3-2011 XIX - licença-paternidade, nos termos fixados em lei; A concessão de licença-paternidade por períodos distintos entre servidores estaduais, sem justificativa idônea, configura violação aos princípios da isonomia, da proteção integral e do melhor interesse da criança, e o seu direito à convivência familiar a salvo de toda forma de discriminação, além do dever estatal constitucionalmente imposto de proteção da família. Assim, deve ser reconhecido aos servidores públicos estaduais, independentemente do vínculo jurídic</w:t>
      </w:r>
    </w:p>
    <w:p>
      <w:pPr>
        <w:ind w:left="288"/>
      </w:pPr>
      <w:r>
        <w:rPr>
          <w:b/>
          <w:color w:val="003CA0"/>
          <w:sz w:val="16"/>
        </w:rPr>
        <w:t>[ADI 7.524, rel. min. Nunes Marques, j. 30-10-2025, P, DJE de 13-2-2026.]</w:t>
      </w:r>
    </w:p>
    <w:p>
      <w:pPr>
        <w:ind w:left="288"/>
      </w:pPr>
      <w:r>
        <w:rPr>
          <w:color w:val="8C8C8C"/>
          <w:sz w:val="12"/>
        </w:rPr>
        <w:t>cf-art-7-inc-XII</w:t>
      </w:r>
      <w:r>
        <w:rPr>
          <w:color w:val="003CA0"/>
          <w:sz w:val="12"/>
        </w:rPr>
        <w:t xml:space="preserve"> | ADI 7.532</w:t>
      </w:r>
      <w:r>
        <w:rPr>
          <w:color w:val="003CA0"/>
          <w:sz w:val="12"/>
        </w:rPr>
        <w:t xml:space="preserve"> | rel. André Mendonça</w:t>
      </w:r>
    </w:p>
    <w:p>
      <w:pPr>
        <w:ind w:left="288"/>
      </w:pPr>
      <w:r>
        <w:rPr>
          <w:color w:val="1E1E1E"/>
          <w:sz w:val="18"/>
        </w:rPr>
        <w:t>Não há como se adotar a legislação federal como paradigma para fixação do prazo da licença-paternidade no âmbito estadual, distrital ou municipal, pois, no que se refere ao regime jurídico dos servidores públicos, as leis federais não têm natureza de norma geral. É inconstitucional qualquer interpretação ou ato normativo que diferencie a concessão de licença-paternidade em caso de paternidade biológica ou em caso de adoção (ou, ainda, de guarda judicial para fins de adoção), bem como que fixe prazo diferenciado em função da idade do adotado. Não cabe ao Poder Judiciário fixar a possibilidade d</w:t>
      </w:r>
    </w:p>
    <w:p>
      <w:pPr>
        <w:ind w:left="288"/>
      </w:pPr>
      <w:r>
        <w:rPr>
          <w:b/>
          <w:color w:val="003CA0"/>
          <w:sz w:val="16"/>
        </w:rPr>
        <w:t>[ADI 7.532, rel. min. André Mendonça, j. 24.02.2025, P, DJE de 29.04.2025.]</w:t>
      </w:r>
    </w:p>
    <w:p>
      <w:pPr>
        <w:ind w:left="144"/>
      </w:pPr>
      <w:r>
        <w:rPr>
          <w:b/>
          <w:color w:val="B45A00"/>
          <w:sz w:val="16"/>
        </w:rPr>
        <w:t>CONTROLE CONCENTRADO</w:t>
      </w:r>
    </w:p>
    <w:p>
      <w:pPr>
        <w:ind w:left="288"/>
      </w:pPr>
      <w:r>
        <w:rPr>
          <w:color w:val="8C8C8C"/>
          <w:sz w:val="12"/>
        </w:rPr>
        <w:t>cf-art-7-inc-XII</w:t>
      </w:r>
      <w:r>
        <w:rPr>
          <w:color w:val="003CA0"/>
          <w:sz w:val="12"/>
        </w:rPr>
        <w:t xml:space="preserve"> | ADO 20</w:t>
      </w:r>
      <w:r>
        <w:rPr>
          <w:color w:val="003CA0"/>
          <w:sz w:val="12"/>
        </w:rPr>
        <w:t xml:space="preserve"> | rel. Marco Aurélio</w:t>
      </w:r>
    </w:p>
    <w:p>
      <w:pPr>
        <w:ind w:left="288"/>
      </w:pPr>
      <w:r>
        <w:rPr>
          <w:color w:val="1E1E1E"/>
          <w:sz w:val="18"/>
        </w:rPr>
        <w:t>“Há omissão inconstitucional quanto à edição de lei regulamentadora da licença-paternidade, prevista no artigo 7º, XIX, da Constituição da República de 1988, fixando-se o prazo de 18 (dezoito) meses para que seja sanada a omissão pelo Poder Legislativo, o que, se não ocorrer, autoriza ao Supremo Tribunal Federal a deliberar sobre as condições concretas necessárias ao gozo do direito fundamental à licença-paternidade.”</w:t>
      </w:r>
    </w:p>
    <w:p>
      <w:pPr>
        <w:ind w:left="288"/>
      </w:pPr>
      <w:r>
        <w:rPr>
          <w:b/>
          <w:color w:val="003CA0"/>
          <w:sz w:val="16"/>
        </w:rPr>
        <w:t>[ADO 20, rel. min. Marco Aurélio, red. do ac. min. Edson Fachin, j. 14.12.2023, P, DJE de 02.04.2024.]</w:t>
      </w:r>
    </w:p>
    <w:p>
      <w:pPr>
        <w:ind w:left="288"/>
      </w:pPr>
      <w:r>
        <w:rPr>
          <w:color w:val="8C8C8C"/>
          <w:sz w:val="12"/>
        </w:rPr>
        <w:t>cf-art-7-inc-XII</w:t>
      </w:r>
      <w:r>
        <w:rPr>
          <w:color w:val="003CA0"/>
          <w:sz w:val="12"/>
        </w:rPr>
        <w:t xml:space="preserve"> | RE 1.532.276</w:t>
      </w:r>
      <w:r>
        <w:rPr>
          <w:color w:val="003CA0"/>
          <w:sz w:val="12"/>
        </w:rPr>
        <w:t xml:space="preserve"> | rel. André Mendonça</w:t>
      </w:r>
    </w:p>
    <w:p>
      <w:pPr>
        <w:ind w:left="288"/>
      </w:pPr>
      <w:r>
        <w:rPr>
          <w:color w:val="1E1E1E"/>
          <w:sz w:val="18"/>
        </w:rPr>
        <w:t>O termo inicial da licença-paternidade, em caso de internação hospitalar do recém-nascido, deve ser considerado como a data de sua alta.</w:t>
      </w:r>
    </w:p>
    <w:p>
      <w:pPr>
        <w:ind w:left="288"/>
      </w:pPr>
      <w:r>
        <w:rPr>
          <w:b/>
          <w:color w:val="003CA0"/>
          <w:sz w:val="16"/>
        </w:rPr>
        <w:t>[RE 1.532.276, rel. min. André Mendonça, j. 22.02.2025, 2ª T, DJE de 07.03.2025.]</w:t>
      </w:r>
    </w:p>
    <w:p>
      <w:pPr>
        <w:ind w:left="288"/>
      </w:pPr>
      <w:r>
        <w:rPr>
          <w:color w:val="8C8C8C"/>
          <w:sz w:val="12"/>
        </w:rPr>
        <w:t>cf-art-7-inc-XX</w:t>
      </w:r>
      <w:r>
        <w:rPr>
          <w:color w:val="003CA0"/>
          <w:sz w:val="12"/>
        </w:rPr>
        <w:t xml:space="preserve"> | ADI 7.492</w:t>
      </w:r>
      <w:r>
        <w:rPr>
          <w:color w:val="003CA0"/>
          <w:sz w:val="12"/>
        </w:rPr>
        <w:t xml:space="preserve"> | rel. Cristiano Zanin</w:t>
      </w:r>
    </w:p>
    <w:p>
      <w:pPr>
        <w:ind w:left="288"/>
      </w:pPr>
      <w:r>
        <w:rPr>
          <w:color w:val="1E1E1E"/>
          <w:sz w:val="18"/>
        </w:rPr>
        <w:t>A exegese do art. 2º, § 2º, da Lei 3.498, de 19 de abril de 2010, do Estado do Amazonas, na redação que lhe foi conferida pela Lei estadual 5.671, de 8 de novembro de 2021, que permite restrição de vagas, ainda que parcial, para candidatas do sexo feminino e/ou vagas exclusivas para candidatos do sexo masculino viola os direitos à isonomia e à igualdade entre homens e mulheres (art. 5º, caput e I, da CF), à não discriminação em razão de sexo (art. 3º, IV, da CF), à proteção do mercado de trabalho da mulher (art. 7º, XX, da CF), à não adoção de critério discriminatório por motivo de sexo, quand</w:t>
      </w:r>
    </w:p>
    <w:p>
      <w:pPr>
        <w:ind w:left="288"/>
      </w:pPr>
      <w:r>
        <w:rPr>
          <w:b/>
          <w:color w:val="003CA0"/>
          <w:sz w:val="16"/>
        </w:rPr>
        <w:t>[ADI 7.492, rel. min. Cristiano Zanin, j. 14.02.2024, P, DJE de 08.04.2024.]</w:t>
      </w:r>
    </w:p>
    <w:p>
      <w:pPr>
        <w:ind w:left="144"/>
      </w:pPr>
      <w:r>
        <w:rPr>
          <w:b/>
          <w:color w:val="B45A00"/>
          <w:sz w:val="16"/>
        </w:rPr>
        <w:t>REPERCUSSAO GERAL</w:t>
      </w:r>
    </w:p>
    <w:p>
      <w:pPr>
        <w:ind w:left="288"/>
      </w:pPr>
      <w:r>
        <w:rPr>
          <w:color w:val="8C8C8C"/>
          <w:sz w:val="12"/>
        </w:rPr>
        <w:t>cf-art-7-inc-XX</w:t>
      </w:r>
      <w:r>
        <w:rPr>
          <w:color w:val="003CA0"/>
          <w:sz w:val="12"/>
        </w:rPr>
        <w:t xml:space="preserve"> | RE 658.312</w:t>
      </w:r>
      <w:r>
        <w:rPr>
          <w:color w:val="003CA0"/>
          <w:sz w:val="12"/>
        </w:rPr>
        <w:t xml:space="preserve"> | rel. Dias Toffoli</w:t>
      </w:r>
    </w:p>
    <w:p>
      <w:pPr>
        <w:ind w:left="288"/>
      </w:pPr>
      <w:r>
        <w:rPr>
          <w:color w:val="1E1E1E"/>
          <w:sz w:val="18"/>
        </w:rPr>
        <w:t>O art. 384 da CLT, em relação ao período anterior à edição da Lei n. 13.467/2017, foi recepcionado pela Constituição Federal de 1988, aplicando-se a todas as mulheres trabalhadoras.</w:t>
      </w:r>
    </w:p>
    <w:p>
      <w:pPr>
        <w:ind w:left="288"/>
      </w:pPr>
      <w:r>
        <w:rPr>
          <w:b/>
          <w:color w:val="003CA0"/>
          <w:sz w:val="16"/>
        </w:rPr>
        <w:t>[RE 658.312 2º Julg, rel. min. Dias Toffoli, j. 15-9-2021, P, DJE de 6-12-2021, Tema 528.]</w:t>
      </w:r>
    </w:p>
    <w:p>
      <w:pPr>
        <w:ind w:left="288"/>
      </w:pPr>
      <w:r>
        <w:rPr>
          <w:color w:val="8C8C8C"/>
          <w:sz w:val="12"/>
        </w:rPr>
        <w:t>cf-art-7-inc-XX</w:t>
      </w:r>
      <w:r>
        <w:rPr>
          <w:color w:val="003CA0"/>
          <w:sz w:val="12"/>
        </w:rPr>
        <w:t xml:space="preserve"> | ARE 1.562.586</w:t>
      </w:r>
      <w:r>
        <w:rPr>
          <w:color w:val="003CA0"/>
          <w:sz w:val="12"/>
        </w:rPr>
        <w:t xml:space="preserve"> | rel. Flávio Dino</w:t>
      </w:r>
    </w:p>
    <w:p>
      <w:pPr>
        <w:ind w:left="288"/>
      </w:pPr>
      <w:r>
        <w:rPr>
          <w:color w:val="1E1E1E"/>
          <w:sz w:val="18"/>
        </w:rPr>
        <w:t>A interpretação teleológica e sistemática do artigo 389, §§ 1º e 2º, da CLT, deve ser no sentido de densificar o direito humano e fundamental ao aleitamento materno, devendo ser interpretado de modo a garantir a máxima efetividade dos direitos fundamentais à saúde e à alimentação da criança, à proteção da maternidade e à infância (art. 227, da CF), bem como a proteção do mercado de trabalho da mulher (art. 7º, XX, da CF), em consonância com a eficácia horizontal e diagonal dos direitos fundamentais. A disponibilização de espaços para aleitamento materno concretiza simultaneamente a proteção do</w:t>
      </w:r>
    </w:p>
    <w:p>
      <w:pPr>
        <w:ind w:left="288"/>
      </w:pPr>
      <w:r>
        <w:rPr>
          <w:b/>
          <w:color w:val="003CA0"/>
          <w:sz w:val="16"/>
        </w:rPr>
        <w:t>[ARE 1.562.586 AgR, rel. min. Flávio Dino, j. 13.10.2025, 1ª Turma, DJE de 17.10.2025.]</w:t>
      </w:r>
    </w:p>
    <w:p>
      <w:pPr>
        <w:ind w:left="144"/>
      </w:pPr>
      <w:r>
        <w:rPr>
          <w:b/>
          <w:color w:val="B45A00"/>
          <w:sz w:val="16"/>
        </w:rPr>
        <w:t>JULGADOS CORRELATOS</w:t>
      </w:r>
    </w:p>
    <w:p>
      <w:pPr>
        <w:ind w:left="288"/>
      </w:pPr>
      <w:r>
        <w:rPr>
          <w:color w:val="8C8C8C"/>
          <w:sz w:val="12"/>
        </w:rPr>
        <w:t>cf-art-7-inc-XXI</w:t>
      </w:r>
      <w:r>
        <w:rPr>
          <w:color w:val="003CA0"/>
          <w:sz w:val="12"/>
        </w:rPr>
        <w:t xml:space="preserve"> | MI 1.011</w:t>
      </w:r>
      <w:r>
        <w:rPr>
          <w:color w:val="003CA0"/>
          <w:sz w:val="12"/>
        </w:rPr>
        <w:t xml:space="preserve"> | rel. Ricardo Lewandowski</w:t>
      </w:r>
    </w:p>
    <w:p>
      <w:pPr>
        <w:ind w:left="288"/>
      </w:pPr>
      <w:r>
        <w:rPr>
          <w:color w:val="1E1E1E"/>
          <w:sz w:val="18"/>
        </w:rPr>
        <w:t>No caso de mandado de injunção impetrado antes da edição da Lei 12.506/2011, o empregado possui interesse processual no writ para ter assegurado o seu direito ao aviso prévio proporcional ao tempo de serviço na hipótese de tê-lo recebido em valor inferior ao que seria devido uma vez regulamentado o dispositivo constitucional.</w:t>
      </w:r>
    </w:p>
    <w:p>
      <w:pPr>
        <w:ind w:left="288"/>
      </w:pPr>
      <w:r>
        <w:rPr>
          <w:b/>
          <w:color w:val="003CA0"/>
          <w:sz w:val="16"/>
        </w:rPr>
        <w:t>[MI 1.011 AgR-segundo, rel. min. Ricardo Lewandowski, j. 14-5-2014, P, DJE de 4-6-2014.]</w:t>
      </w:r>
    </w:p>
    <w:p>
      <w:pPr>
        <w:ind w:left="288"/>
      </w:pPr>
      <w:r>
        <w:rPr>
          <w:color w:val="8C8C8C"/>
          <w:sz w:val="12"/>
        </w:rPr>
        <w:t>cf-art-7-inc-XXI</w:t>
      </w:r>
      <w:r>
        <w:rPr>
          <w:color w:val="003CA0"/>
          <w:sz w:val="12"/>
        </w:rPr>
        <w:t xml:space="preserve"> | MI 1.009</w:t>
      </w:r>
      <w:r>
        <w:rPr>
          <w:color w:val="003CA0"/>
          <w:sz w:val="12"/>
        </w:rPr>
        <w:t xml:space="preserve"> | rel. Cármen Lúcia</w:t>
      </w:r>
    </w:p>
    <w:p>
      <w:pPr>
        <w:ind w:left="288"/>
      </w:pPr>
      <w:r>
        <w:rPr>
          <w:color w:val="1E1E1E"/>
          <w:sz w:val="18"/>
        </w:rPr>
        <w:t>Mandado de injunção. Aviso prévio proporcional. (...) Ilegitimidade da ex-empregadora para figurar no polo passivo da ação.</w:t>
      </w:r>
    </w:p>
    <w:p>
      <w:pPr>
        <w:ind w:left="288"/>
      </w:pPr>
      <w:r>
        <w:rPr>
          <w:b/>
          <w:color w:val="003CA0"/>
          <w:sz w:val="16"/>
        </w:rPr>
        <w:t>[MI 1.009 AgR-segundo, rel. min. Cármen Lúcia, j. 18-12-2013, P, DJE de 19-2-2014.]</w:t>
      </w:r>
    </w:p>
    <w:p>
      <w:pPr>
        <w:ind w:left="288"/>
      </w:pPr>
      <w:r>
        <w:rPr>
          <w:color w:val="8C8C8C"/>
          <w:sz w:val="12"/>
        </w:rPr>
        <w:t>cf-art-7-inc-XXI</w:t>
      </w:r>
      <w:r>
        <w:rPr>
          <w:color w:val="003CA0"/>
          <w:sz w:val="12"/>
        </w:rPr>
        <w:t xml:space="preserve"> | MI 1.008</w:t>
      </w:r>
      <w:r>
        <w:rPr>
          <w:color w:val="003CA0"/>
          <w:sz w:val="12"/>
        </w:rPr>
        <w:t xml:space="preserve"> | rel. Teori Zavascki</w:t>
      </w:r>
    </w:p>
    <w:p>
      <w:pPr>
        <w:ind w:left="288"/>
      </w:pPr>
      <w:r>
        <w:rPr>
          <w:color w:val="1E1E1E"/>
          <w:sz w:val="18"/>
        </w:rPr>
        <w:t>Mandado de injunção. (...) O pagamento do aviso prévio em valor inferior ao que seria devido com a regulamentação do art. 7º, XXI, da Constituição caracteriza a pretensão resistida.</w:t>
      </w:r>
    </w:p>
    <w:p>
      <w:pPr>
        <w:ind w:left="288"/>
      </w:pPr>
      <w:r>
        <w:rPr>
          <w:b/>
          <w:color w:val="003CA0"/>
          <w:sz w:val="16"/>
        </w:rPr>
        <w:t>[MI 1.008 AgR-segundo, rel. min. Teori Zavascki, j. 16-5-2013, P, DJE de 31-5-2013.]</w:t>
      </w:r>
    </w:p>
    <w:p>
      <w:pPr>
        <w:ind w:left="288"/>
      </w:pPr>
      <w:r>
        <w:rPr>
          <w:color w:val="8C8C8C"/>
          <w:sz w:val="12"/>
        </w:rPr>
        <w:t>cf-art-7-inc-XXI</w:t>
      </w:r>
      <w:r>
        <w:rPr>
          <w:color w:val="003CA0"/>
          <w:sz w:val="12"/>
        </w:rPr>
        <w:t xml:space="preserve"> | MI 1.090</w:t>
      </w:r>
      <w:r>
        <w:rPr>
          <w:color w:val="003CA0"/>
          <w:sz w:val="12"/>
        </w:rPr>
        <w:t xml:space="preserve"> | rel. Gilmar Mendes</w:t>
      </w:r>
    </w:p>
    <w:p>
      <w:pPr>
        <w:ind w:left="288"/>
      </w:pPr>
      <w:r>
        <w:rPr>
          <w:color w:val="1E1E1E"/>
          <w:sz w:val="18"/>
        </w:rPr>
        <w:t>Mandado de injunção. Aviso prévio proporcional ao tempo de serviço. Art. 7º, XXI, da CF. Ausência de regulamentação. Ação julgada procedente. Indicação de adiamento com vistas a consolidar proposta conciliatória de concretização do direito ao aviso prévio proporcional. Retomado o julgamento. Advento da Lei 12.506/2011, que regulamentou o direito ao aviso prévio proporcional. Aplicação judicial de parâmetros idênticos aos da referida legislação. Autorização para que os ministros apliquem monocraticamente esse entendimento aos mandados de injunção pendentes de julgamento, desde que impetrados an</w:t>
      </w:r>
    </w:p>
    <w:p>
      <w:pPr>
        <w:ind w:left="288"/>
      </w:pPr>
      <w:r>
        <w:rPr>
          <w:b/>
          <w:color w:val="003CA0"/>
          <w:sz w:val="16"/>
        </w:rPr>
        <w:t>[MI 1.090, rel. min. Gilmar Mendes, j. 6-2-2013, P, DJE de 23-4-2013.]</w:t>
      </w:r>
    </w:p>
    <w:p>
      <w:pPr>
        <w:ind w:left="288"/>
      </w:pPr>
      <w:r>
        <w:rPr>
          <w:color w:val="8C8C8C"/>
          <w:sz w:val="12"/>
        </w:rPr>
        <w:t>cf-art-7-inc-XXI</w:t>
      </w:r>
      <w:r>
        <w:rPr>
          <w:color w:val="003CA0"/>
          <w:sz w:val="12"/>
        </w:rPr>
        <w:t xml:space="preserve"> | MI 369</w:t>
      </w:r>
      <w:r>
        <w:rPr>
          <w:color w:val="003CA0"/>
          <w:sz w:val="12"/>
        </w:rPr>
        <w:t xml:space="preserve"> | rel. Sepúlveda Pertence</w:t>
      </w:r>
    </w:p>
    <w:p>
      <w:pPr>
        <w:ind w:left="288"/>
      </w:pPr>
      <w:r>
        <w:rPr>
          <w:color w:val="1E1E1E"/>
          <w:sz w:val="18"/>
        </w:rPr>
        <w:t>Vide MI 369, red. do ac. min. Francisco Rezek, j. 19-8-1992, P, DJ de 26-2-1993 Vide MI 695, rel. min. Sepúlveda Pertence, j. 1º-3-2007, P, DJ de 20-4-2007 Mandado de injunção: ausência de regulamentação do direito ao aviso prévio proporcional previsto no art. 7º, XXI, da Constituição da República. Mora legislativa: critério objetivo de sua verificação: procedência para declarar a mora e comunicar a decisão ao Congresso Nacional para que a supra.</w:t>
      </w:r>
    </w:p>
    <w:p>
      <w:pPr>
        <w:ind w:left="288"/>
      </w:pPr>
      <w:r>
        <w:rPr>
          <w:b/>
          <w:color w:val="003CA0"/>
          <w:sz w:val="16"/>
        </w:rPr>
        <w:t>[MI 695, rel. min. Sepúlveda Pertence, j. 1º-3-2007, P, DJ de 20-4-2007.]</w:t>
      </w:r>
    </w:p>
    <w:p>
      <w:pPr>
        <w:ind w:left="288"/>
      </w:pPr>
      <w:r>
        <w:rPr>
          <w:color w:val="8C8C8C"/>
          <w:sz w:val="12"/>
        </w:rPr>
        <w:t>cf-art-7-inc-XXI</w:t>
      </w:r>
      <w:r>
        <w:rPr>
          <w:color w:val="003CA0"/>
          <w:sz w:val="12"/>
        </w:rPr>
        <w:t xml:space="preserve"> | MI 1.090</w:t>
      </w:r>
      <w:r>
        <w:rPr>
          <w:color w:val="003CA0"/>
          <w:sz w:val="12"/>
        </w:rPr>
        <w:t xml:space="preserve"> | rel. Gilmar Mendes</w:t>
      </w:r>
    </w:p>
    <w:p>
      <w:pPr>
        <w:ind w:left="288"/>
      </w:pPr>
      <w:r>
        <w:rPr>
          <w:color w:val="1E1E1E"/>
          <w:sz w:val="18"/>
        </w:rPr>
        <w:t>Vide MI 1.090, rel. min. Gilmar Mendes, j. 6-2-2013, P, DJE de 23-4-2013</w:t>
      </w:r>
    </w:p>
    <w:p>
      <w:pPr>
        <w:ind w:left="144"/>
      </w:pPr>
      <w:r>
        <w:rPr>
          <w:b/>
          <w:color w:val="B45A00"/>
          <w:sz w:val="16"/>
        </w:rPr>
        <w:t>SUMULA</w:t>
      </w:r>
    </w:p>
    <w:p>
      <w:pPr>
        <w:ind w:left="288"/>
      </w:pPr>
      <w:r>
        <w:rPr>
          <w:color w:val="8C8C8C"/>
          <w:sz w:val="12"/>
        </w:rPr>
        <w:t>cf-art-7-inc-XXII</w:t>
      </w:r>
    </w:p>
    <w:p>
      <w:pPr>
        <w:ind w:left="288"/>
      </w:pPr>
      <w:r>
        <w:rPr>
          <w:color w:val="1E1E1E"/>
          <w:sz w:val="18"/>
        </w:rPr>
        <w:t>Compete à Justiça do Trabalho julgar as ações que tenham como causa de pedir o descumprimento de normas trabalhistas relativas à segurança, higiene e saúde dos trabalhadores.</w:t>
      </w:r>
    </w:p>
    <w:p>
      <w:pPr>
        <w:ind w:left="288"/>
      </w:pPr>
      <w:r>
        <w:rPr>
          <w:b/>
          <w:color w:val="003CA0"/>
          <w:sz w:val="16"/>
        </w:rPr>
        <w:t>[Súmula 736.]</w:t>
      </w:r>
    </w:p>
    <w:p>
      <w:pPr>
        <w:ind w:left="144"/>
      </w:pPr>
      <w:r>
        <w:rPr>
          <w:b/>
          <w:color w:val="B45A00"/>
          <w:sz w:val="16"/>
        </w:rPr>
        <w:t>CONTROLE CONCENTRADO</w:t>
      </w:r>
    </w:p>
    <w:p>
      <w:pPr>
        <w:ind w:left="288"/>
      </w:pPr>
      <w:r>
        <w:rPr>
          <w:color w:val="8C8C8C"/>
          <w:sz w:val="12"/>
        </w:rPr>
        <w:t>cf-art-7-inc-XXII</w:t>
      </w:r>
      <w:r>
        <w:rPr>
          <w:color w:val="003CA0"/>
          <w:sz w:val="12"/>
        </w:rPr>
        <w:t xml:space="preserve"> | ADI 5.322</w:t>
      </w:r>
      <w:r>
        <w:rPr>
          <w:color w:val="003CA0"/>
          <w:sz w:val="12"/>
        </w:rPr>
        <w:t xml:space="preserve"> | rel. Alexandre de Moraes</w:t>
      </w:r>
    </w:p>
    <w:p>
      <w:pPr>
        <w:ind w:left="288"/>
      </w:pPr>
      <w:r>
        <w:rPr>
          <w:color w:val="1E1E1E"/>
          <w:sz w:val="18"/>
        </w:rPr>
        <w:t>Compete ao Ministério do Trabalho e Emprego a regulamentação das condições de segurança, sanitárias e de conforto nos locais de espera, repouso e descanso dos motoristas profissionais de cargas e passageiros. É inconstitucional o dispositivo legal que permite a redução e/ou o fracionamento dos intervalos interjornadas e do descanso semanal remunerado. Normas constitucionais de proteção da saúde do trabalhador (art. 7º, XXII, da CF).</w:t>
        <w:br/>
        <w:t>[ADI 5.322, rel. min. Alexandre de Moraes, j. 3-7-2023, P, DJE de 30-8-2023.] O consenso dos órgãos oficiais de saúde geral e de saúde do trabalhador em torno da n</w:t>
      </w:r>
    </w:p>
    <w:p>
      <w:pPr>
        <w:ind w:left="288"/>
      </w:pPr>
      <w:r>
        <w:rPr>
          <w:b/>
          <w:color w:val="003CA0"/>
          <w:sz w:val="16"/>
        </w:rPr>
        <w:t>[ARE 1.499.613 ED-AgR, rel. min. Flávio Dino, j. 27.05.2025,1ª T, DJE de 29.05.2025.]</w:t>
      </w:r>
    </w:p>
    <w:p>
      <w:pPr>
        <w:ind w:left="144"/>
      </w:pPr>
      <w:r>
        <w:rPr>
          <w:b/>
          <w:color w:val="B45A00"/>
          <w:sz w:val="16"/>
        </w:rPr>
        <w:t>SUMULA VINCULANTE</w:t>
      </w:r>
    </w:p>
    <w:p>
      <w:pPr>
        <w:ind w:left="288"/>
      </w:pPr>
      <w:r>
        <w:rPr>
          <w:color w:val="8C8C8C"/>
          <w:sz w:val="12"/>
        </w:rPr>
        <w:t>cf-art-7-inc-XXIII</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144"/>
      </w:pPr>
      <w:r>
        <w:rPr>
          <w:b/>
          <w:color w:val="B45A00"/>
          <w:sz w:val="16"/>
        </w:rPr>
        <w:t>CONTROLE CONCENTRADO</w:t>
      </w:r>
    </w:p>
    <w:p>
      <w:pPr>
        <w:ind w:left="288"/>
      </w:pPr>
      <w:r>
        <w:rPr>
          <w:color w:val="8C8C8C"/>
          <w:sz w:val="12"/>
        </w:rPr>
        <w:t>cf-art-7-inc-XXIII</w:t>
      </w:r>
      <w:r>
        <w:rPr>
          <w:color w:val="003CA0"/>
          <w:sz w:val="12"/>
        </w:rPr>
        <w:t xml:space="preserve"> | ADO 74</w:t>
      </w:r>
      <w:r>
        <w:rPr>
          <w:color w:val="003CA0"/>
          <w:sz w:val="12"/>
        </w:rPr>
        <w:t xml:space="preserve"> | rel. Gilmar Mendes</w:t>
      </w:r>
    </w:p>
    <w:p>
      <w:pPr>
        <w:ind w:left="288"/>
      </w:pPr>
      <w:r>
        <w:rPr>
          <w:color w:val="1E1E1E"/>
          <w:sz w:val="18"/>
        </w:rPr>
        <w:t>Adicional de penosidade aos trabalhadores urbanos e rurais (CF, art. 7º, XXIII). Necessidade de regulamentação do adicional de penosidade para sua percepção. Norma originária. Dever constitucional de legislar. Transcurso de prazo razoável para legislar. Omissão inconstitucional. Existência, no âmbito do Congresso Nacional, de diversos projetos de lei apresentados visando à regulamentação do adicional em questão. Inertia deliberandi das Casas Legislativas. Pedido julgado procedente. Estipulado prazo de 18 (dezoito) meses.</w:t>
        <w:br/>
        <w:t>[ADO 74, rel. min. Gilmar Mendes, j. 05.06.2024, P, DJE de 25.06.2024.] “</w:t>
      </w:r>
    </w:p>
    <w:p>
      <w:pPr>
        <w:ind w:left="288"/>
      </w:pPr>
      <w:r>
        <w:rPr>
          <w:b/>
          <w:color w:val="003CA0"/>
          <w:sz w:val="16"/>
        </w:rPr>
        <w:t>[RE 1.509.788 RG, rel. min. Luís Roberto Barroso, j. 04.10.2024, P, DJE de 09.10.2024, Tema 1.328, com repercussão geral negada.]</w:t>
      </w:r>
    </w:p>
    <w:p>
      <w:pPr>
        <w:ind w:left="144"/>
      </w:pPr>
      <w:r>
        <w:rPr>
          <w:b/>
          <w:color w:val="B45A00"/>
          <w:sz w:val="16"/>
        </w:rPr>
        <w:t>REPERCUSSAO GERAL</w:t>
      </w:r>
    </w:p>
    <w:p>
      <w:pPr>
        <w:ind w:left="288"/>
      </w:pPr>
      <w:r>
        <w:rPr>
          <w:color w:val="8C8C8C"/>
          <w:sz w:val="12"/>
        </w:rPr>
        <w:t>cf-art-7-inc-XXIII</w:t>
      </w:r>
      <w:r>
        <w:rPr>
          <w:color w:val="003CA0"/>
          <w:sz w:val="12"/>
        </w:rPr>
        <w:t xml:space="preserve"> | RE 217.700</w:t>
      </w:r>
      <w:r>
        <w:rPr>
          <w:color w:val="003CA0"/>
          <w:sz w:val="12"/>
        </w:rPr>
        <w:t xml:space="preserve"> | rel. Cármen Lúcia</w:t>
      </w:r>
    </w:p>
    <w:p>
      <w:pPr>
        <w:ind w:left="288"/>
      </w:pPr>
      <w:r>
        <w:rPr>
          <w:color w:val="1E1E1E"/>
          <w:sz w:val="18"/>
        </w:rPr>
        <w:t>Art. 7º, IV, da Constituição da República. Não recepção do art. 3º, § 1º, da LC paulista 432/1985 pela Constituição de 1988. Inconstitucionalidade de vinculação do adicional de insalubridade ao salário mínimo: precedentes. Impossibilidade da modificação da base de cálculo do benefício por decisão judicial. Recurso extraordinário ao qual se nega provimento. O sentido da vedação constante da parte final do inciso IV do art. 7º da Constituição impede que o salário mínimo possa ser aproveitado como fator de indexação; essa utilização tolheria eventual aumento do salário mínimo pela cadeia de aumen</w:t>
      </w:r>
    </w:p>
    <w:p>
      <w:pPr>
        <w:ind w:left="144"/>
      </w:pPr>
      <w:r>
        <w:rPr>
          <w:b/>
          <w:color w:val="B45A00"/>
          <w:sz w:val="16"/>
        </w:rPr>
        <w:t>JULGADOS CORRELATOS</w:t>
      </w:r>
    </w:p>
    <w:p>
      <w:pPr>
        <w:ind w:left="288"/>
      </w:pPr>
      <w:r>
        <w:rPr>
          <w:color w:val="8C8C8C"/>
          <w:sz w:val="12"/>
        </w:rPr>
        <w:t>cf-art-7-inc-XXIII</w:t>
      </w:r>
      <w:r>
        <w:rPr>
          <w:color w:val="003CA0"/>
          <w:sz w:val="12"/>
        </w:rPr>
        <w:t xml:space="preserve"> | MI 5.062</w:t>
      </w:r>
      <w:r>
        <w:rPr>
          <w:color w:val="003CA0"/>
          <w:sz w:val="12"/>
        </w:rPr>
        <w:t xml:space="preserve"> | rel. Gilmar Mendes</w:t>
      </w:r>
    </w:p>
    <w:p>
      <w:pPr>
        <w:ind w:left="288"/>
      </w:pPr>
      <w:r>
        <w:rPr>
          <w:color w:val="1E1E1E"/>
          <w:sz w:val="18"/>
        </w:rPr>
        <w:t>Ausência de direito subjetivo constitucional de servidor público a adicional de penosidade para exercício de atividade em área de fronteira.</w:t>
        <w:br/>
        <w:t>[MI 5.062 AgR, rel. min. Gilmar Mendes, j. 1º-8-2014, P, DJE de 7-10-2014.] Servidor público. Adicional de remuneração para as atividades penosas, insalubres ou perigosas, na forma da lei. Art. 7º, XXIII, da CF. O art. 39, § 2º, da CF apenas estendeu aos servidores públicos civis da União, dos Estados, do Distrito Federal e dos Municípios alguns dos direitos sociais por meio de remissão, para não ser necessária a repetição de seus enunciados, mas com isso</w:t>
      </w:r>
    </w:p>
    <w:p>
      <w:pPr>
        <w:ind w:left="288"/>
      </w:pPr>
      <w:r>
        <w:rPr>
          <w:b/>
          <w:color w:val="003CA0"/>
          <w:sz w:val="16"/>
        </w:rPr>
        <w:t>[RE 169.173, rel. min. Moreira Alves, j. 10-5-1996, 1ª T, DJ de 16-5-1997.]</w:t>
      </w:r>
    </w:p>
    <w:p>
      <w:pPr>
        <w:ind w:left="288"/>
      </w:pPr>
      <w:r>
        <w:rPr>
          <w:color w:val="8C8C8C"/>
          <w:sz w:val="12"/>
        </w:rPr>
        <w:t>cf-art-7-inc-XXIII</w:t>
      </w:r>
      <w:r>
        <w:rPr>
          <w:color w:val="003CA0"/>
          <w:sz w:val="12"/>
        </w:rPr>
        <w:t xml:space="preserve"> | RE 637.282</w:t>
      </w:r>
      <w:r>
        <w:rPr>
          <w:color w:val="003CA0"/>
          <w:sz w:val="12"/>
        </w:rPr>
        <w:t xml:space="preserve"> | rel. Dias Toffoli</w:t>
      </w:r>
    </w:p>
    <w:p>
      <w:pPr>
        <w:ind w:left="288"/>
      </w:pPr>
      <w:r>
        <w:rPr>
          <w:color w:val="1E1E1E"/>
          <w:sz w:val="18"/>
        </w:rPr>
        <w:t>= RE 637.282, rel. min. Dias Toffoli, j. 23-8-2012, dec. monocrática, DJE de 31-8-2012 XXIV - aposentadoria;</w:t>
      </w:r>
    </w:p>
    <w:p>
      <w:pPr>
        <w:ind w:left="288"/>
      </w:pPr>
      <w:r>
        <w:rPr>
          <w:color w:val="8C8C8C"/>
          <w:sz w:val="12"/>
        </w:rPr>
        <w:t>cf-art-7-inc-XXIII</w:t>
      </w:r>
      <w:r>
        <w:rPr>
          <w:color w:val="003CA0"/>
          <w:sz w:val="12"/>
        </w:rPr>
        <w:t xml:space="preserve"> | RE 521.703</w:t>
      </w:r>
      <w:r>
        <w:rPr>
          <w:color w:val="003CA0"/>
          <w:sz w:val="12"/>
        </w:rPr>
        <w:t xml:space="preserve"> | rel. Joaquim Barbosa</w:t>
      </w:r>
    </w:p>
    <w:p>
      <w:pPr>
        <w:ind w:left="288"/>
      </w:pPr>
      <w:r>
        <w:rPr>
          <w:color w:val="1E1E1E"/>
          <w:sz w:val="18"/>
        </w:rPr>
        <w:t>Previdenciário. INSS. Aposentadoria por tempo de serviço. Lei 8.213/1991. Efeito retroativo. Impossibilidade. Esta Turma já se manifestou no sentido da impossibilidade de ser estendida a lei mais vantajosa (Lei 8.213/1991, art. 53, I e II) a benefício que lhe é anterior.</w:t>
      </w:r>
    </w:p>
    <w:p>
      <w:pPr>
        <w:ind w:left="288"/>
      </w:pPr>
      <w:r>
        <w:rPr>
          <w:b/>
          <w:color w:val="003CA0"/>
          <w:sz w:val="16"/>
        </w:rPr>
        <w:t>[RE 521.703 ED, rel. min. Joaquim Barbosa, j. 27-11-2007, P, DJE de 1º-2-2008.]</w:t>
      </w:r>
    </w:p>
    <w:p>
      <w:pPr>
        <w:ind w:left="288"/>
      </w:pPr>
      <w:r>
        <w:rPr>
          <w:color w:val="8C8C8C"/>
          <w:sz w:val="12"/>
        </w:rPr>
        <w:t>cf-art-7-inc-XXIII</w:t>
      </w:r>
      <w:r>
        <w:rPr>
          <w:color w:val="003CA0"/>
          <w:sz w:val="12"/>
        </w:rPr>
        <w:t xml:space="preserve"> | RE 514.060</w:t>
      </w:r>
      <w:r>
        <w:rPr>
          <w:color w:val="003CA0"/>
          <w:sz w:val="12"/>
        </w:rPr>
        <w:t xml:space="preserve"> | rel. Ayres Britto</w:t>
      </w:r>
    </w:p>
    <w:p>
      <w:pPr>
        <w:ind w:left="288"/>
      </w:pPr>
      <w:r>
        <w:rPr>
          <w:color w:val="1E1E1E"/>
          <w:sz w:val="18"/>
        </w:rPr>
        <w:t>= RE 514.060 AgR, rel. min. Ayres Britto, j. 9-8-2011, 2ª T, DJE de 25-10-2011 Previdência social: aposentadoria espontânea não implica, por si só, extinção do contrato de trabalho. Despedida arbitrária ou sem justa causa (CF, art. 7º, I): viola a garantia constitucional o acórdão que, partindo de premissa derivada de interpretação conferida ao art. 453, caput, da CLT (redação alterada pela Lei 6.204/1975), decide que a aposentadoria espontânea extingue o contrato de trabalho, mesmo quando o empregado continua a trabalhar na empresa após a concessão do benefício previdenciário. A aposentadoria</w:t>
      </w:r>
    </w:p>
    <w:p>
      <w:pPr>
        <w:ind w:left="288"/>
      </w:pPr>
      <w:r>
        <w:rPr>
          <w:b/>
          <w:color w:val="003CA0"/>
          <w:sz w:val="16"/>
        </w:rPr>
        <w:t>[RE 449.420, rel. min. Sepúlveda Pertence, j. 16-8-2005, 1ª T, DJ de 14-10-2005.]</w:t>
      </w:r>
    </w:p>
    <w:p>
      <w:pPr>
        <w:ind w:left="288"/>
      </w:pPr>
      <w:r>
        <w:rPr>
          <w:color w:val="8C8C8C"/>
          <w:sz w:val="12"/>
        </w:rPr>
        <w:t>cf-art-7-inc-XXIII</w:t>
      </w:r>
      <w:r>
        <w:rPr>
          <w:color w:val="003CA0"/>
          <w:sz w:val="12"/>
        </w:rPr>
        <w:t xml:space="preserve"> | RE 487.734</w:t>
      </w:r>
      <w:r>
        <w:rPr>
          <w:color w:val="003CA0"/>
          <w:sz w:val="12"/>
        </w:rPr>
        <w:t xml:space="preserve"> | rel. Cármen Lúcia</w:t>
      </w:r>
    </w:p>
    <w:p>
      <w:pPr>
        <w:ind w:left="288"/>
      </w:pPr>
      <w:r>
        <w:rPr>
          <w:color w:val="1E1E1E"/>
          <w:sz w:val="18"/>
        </w:rPr>
        <w:t>= RE 487.734 AgR, rel. min. Cármen Lúcia, j. 13-10-2009, 1ª T, DJE de 13-11-2009 XXV - assistência gratuita aos filhos e dependentes desde o nascimento até 5 (cinco) anos de idade em creches e pré-escolas; (Redação da EC n. 53/2006) XXVI - reconhecimento das convenções e acordos coletivos de trabalho; 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w:t>
      </w:r>
    </w:p>
    <w:p>
      <w:pPr>
        <w:ind w:left="288"/>
      </w:pPr>
      <w:r>
        <w:rPr>
          <w:b/>
          <w:color w:val="003CA0"/>
          <w:sz w:val="16"/>
        </w:rPr>
        <w:t>[ADPF 1.058 MC-Ref, rel. min. Gilmar Mendes, j. 13-11-2025, P, Informativo STF 1.199.]</w:t>
      </w:r>
    </w:p>
    <w:p>
      <w:pPr>
        <w:ind w:left="144"/>
      </w:pPr>
      <w:r>
        <w:rPr>
          <w:b/>
          <w:color w:val="B45A00"/>
          <w:sz w:val="16"/>
        </w:rPr>
        <w:t>CONTROLE CONCENTRADO</w:t>
      </w:r>
    </w:p>
    <w:p>
      <w:pPr>
        <w:ind w:left="288"/>
      </w:pPr>
      <w:r>
        <w:rPr>
          <w:color w:val="8C8C8C"/>
          <w:sz w:val="12"/>
        </w:rPr>
        <w:t>cf-art-7-inc-XXIII</w:t>
      </w:r>
      <w:r>
        <w:rPr>
          <w:color w:val="003CA0"/>
          <w:sz w:val="12"/>
        </w:rPr>
        <w:t xml:space="preserve"> | ADI 5.322</w:t>
      </w:r>
      <w:r>
        <w:rPr>
          <w:color w:val="003CA0"/>
          <w:sz w:val="12"/>
        </w:rPr>
        <w:t xml:space="preserve"> | rel. Alexandre de Moraes</w:t>
      </w:r>
    </w:p>
    <w:p>
      <w:pPr>
        <w:ind w:left="288"/>
      </w:pPr>
      <w:r>
        <w:rPr>
          <w:color w:val="1E1E1E"/>
          <w:sz w:val="18"/>
        </w:rPr>
        <w:t>Reconhecimento da autonomia das negociações coletivas (art. 7º, XXVI, da CF). Constitucionalidade da redução e/ou fracionamento do intervalo intrajornada dos motoristas profissionais, desde que ajustado em acordo ou convenção coletiva de trabalho. A Constituição Federal não determinou um limite máximo de prestação em serviço extraordinário, de modo que compete à negociação coletiva de trabalho examinar a possibilidade de prorrogação da jornada da categoria por até quatro horas, em sintonia com a previsão constitucional disciplinada no art. 7º, XXVI, da CF. Constitucionalidade da norma que prev</w:t>
      </w:r>
    </w:p>
    <w:p>
      <w:pPr>
        <w:ind w:left="288"/>
      </w:pPr>
      <w:r>
        <w:rPr>
          <w:b/>
          <w:color w:val="003CA0"/>
          <w:sz w:val="16"/>
        </w:rPr>
        <w:t>[ADPF 323, rel. min. Gilmar Mendes, j. 30.05.2022, P, DJE de 15.09.2022.]</w:t>
      </w:r>
    </w:p>
    <w:p>
      <w:pPr>
        <w:ind w:left="288"/>
      </w:pPr>
      <w:r>
        <w:rPr>
          <w:color w:val="8C8C8C"/>
          <w:sz w:val="12"/>
        </w:rPr>
        <w:t>cf-art-7-inc-XXIII</w:t>
      </w:r>
      <w:r>
        <w:rPr>
          <w:color w:val="003CA0"/>
          <w:sz w:val="12"/>
        </w:rPr>
        <w:t xml:space="preserve"> | ADI 4.468</w:t>
      </w:r>
      <w:r>
        <w:rPr>
          <w:color w:val="003CA0"/>
          <w:sz w:val="12"/>
        </w:rPr>
        <w:t xml:space="preserve"> | rel. Celso de Mello</w:t>
      </w:r>
    </w:p>
    <w:p>
      <w:pPr>
        <w:ind w:left="288"/>
      </w:pPr>
      <w:r>
        <w:rPr>
          <w:color w:val="1E1E1E"/>
          <w:sz w:val="18"/>
        </w:rPr>
        <w:t>A fixação da jornada de trabalho mediante lei (tal como sucedeu em relação aos Assistentes Sociais), além de não traduzir ofensa à autonomia sindical ou ao processo de negociação coletiva para deliberar sobre esse tema, revela-se plenamente legítima e inteiramente compatível com o texto da Constituição da República, seja porque a Lei nº 12.317/2010 emanou de pessoa estatal competente (CF, art. 22, I), seja, ainda, porque mencionado diploma legislativo veiculou, no caso, norma claramente favorável a essa categoria profissional, pois instituiu, “in melius”, regime jurídico mais benéfico pertinen</w:t>
      </w:r>
    </w:p>
    <w:p>
      <w:pPr>
        <w:ind w:left="288"/>
      </w:pPr>
      <w:r>
        <w:rPr>
          <w:b/>
          <w:color w:val="003CA0"/>
          <w:sz w:val="16"/>
        </w:rPr>
        <w:t>[ADI 2.288, rel. min. Cármen Lúcia, j. 4-6-2020, P, DJE de 9-9-2020.]</w:t>
      </w:r>
    </w:p>
    <w:p>
      <w:pPr>
        <w:ind w:left="288"/>
      </w:pPr>
      <w:r>
        <w:rPr>
          <w:color w:val="8C8C8C"/>
          <w:sz w:val="12"/>
        </w:rPr>
        <w:t>cf-art-7-inc-XXIII</w:t>
      </w:r>
      <w:r>
        <w:rPr>
          <w:color w:val="003CA0"/>
          <w:sz w:val="12"/>
        </w:rPr>
        <w:t xml:space="preserve"> | ADI 1.764</w:t>
      </w:r>
    </w:p>
    <w:p>
      <w:pPr>
        <w:ind w:left="288"/>
      </w:pPr>
      <w:r>
        <w:rPr>
          <w:color w:val="1E1E1E"/>
          <w:sz w:val="18"/>
        </w:rPr>
        <w:t>A Lei 9.610 submete a possibilidade do contrato de trabalho por prazo determinado à existência de acordo ou convenção coletiva de trabalho. A possibilidade de tais acordos e convenções é prevista na Constituição Federal, que, além de prever sua ocorrência no caso de redução do salário (art. 7º, VI) e compensação ou redução de jornada (art. 7º, XIII), expressamente reconhece sua validade no inciso XXVI do art. 7º (...). Ressalto que há uma tendência em respeitar a autonomia nas relações de trabalho, decorrentes dos acordos e convenções coletivas, cuja importância é reafirmada na chamada Reforma</w:t>
      </w:r>
    </w:p>
    <w:p>
      <w:pPr>
        <w:ind w:left="288"/>
      </w:pPr>
      <w:r>
        <w:rPr>
          <w:b/>
          <w:color w:val="003CA0"/>
          <w:sz w:val="16"/>
        </w:rPr>
        <w:t>[ADI 1.764, voto do min. Gilmar Mendes, j. 20-4-2020, P, DJE de 29-5-2020.]</w:t>
      </w:r>
    </w:p>
    <w:p>
      <w:pPr>
        <w:ind w:left="288"/>
      </w:pPr>
      <w:r>
        <w:rPr>
          <w:color w:val="8C8C8C"/>
          <w:sz w:val="12"/>
        </w:rPr>
        <w:t>cf-art-7-inc-XXIII</w:t>
      </w:r>
      <w:r>
        <w:rPr>
          <w:color w:val="003CA0"/>
          <w:sz w:val="12"/>
        </w:rPr>
        <w:t xml:space="preserve"> | ADI 4.364</w:t>
      </w:r>
      <w:r>
        <w:rPr>
          <w:color w:val="003CA0"/>
          <w:sz w:val="12"/>
        </w:rPr>
        <w:t xml:space="preserve"> | rel. Dias Toffoli</w:t>
      </w:r>
    </w:p>
    <w:p>
      <w:pPr>
        <w:ind w:left="288"/>
      </w:pPr>
      <w:r>
        <w:rPr>
          <w:color w:val="1E1E1E"/>
          <w:sz w:val="18"/>
        </w:rPr>
        <w:t>A menção ao dever de obediência a patamar mínimo fixado em lei foi feita – em relação aos trabalhadores alcançados pela lei estadual, não abrangidos por nenhuma forma de negociação coletiva anterior – como reforço argumentativo, com o intuito de realçar a liberdade de atuação dos órgãos sindicais na construção das políticas salariais dos seus representados. Como foi destacado, o piso salarial fixado pela legislação estadual, em razão da limitação contida na LC federal 103/2000 e conforme ressalva expressa no art. 3º da lei estadual questionada, não incidirá sobre as profissões que tenham conve</w:t>
      </w:r>
    </w:p>
    <w:p>
      <w:pPr>
        <w:ind w:left="288"/>
      </w:pPr>
      <w:r>
        <w:rPr>
          <w:b/>
          <w:color w:val="003CA0"/>
          <w:sz w:val="16"/>
        </w:rPr>
        <w:t>[ADI 4.364 ED, rel. min. Dias Toffoli, j. 29-5-2013, P, DJE de 20-9-2013.]</w:t>
      </w:r>
    </w:p>
    <w:p>
      <w:pPr>
        <w:ind w:left="288"/>
      </w:pPr>
      <w:r>
        <w:rPr>
          <w:color w:val="8C8C8C"/>
          <w:sz w:val="12"/>
        </w:rPr>
        <w:t>cf-art-7-inc-XXIII</w:t>
      </w:r>
      <w:r>
        <w:rPr>
          <w:color w:val="003CA0"/>
          <w:sz w:val="12"/>
        </w:rPr>
        <w:t xml:space="preserve"> | ADI 4.364</w:t>
      </w:r>
      <w:r>
        <w:rPr>
          <w:color w:val="003CA0"/>
          <w:sz w:val="12"/>
        </w:rPr>
        <w:t xml:space="preserve"> | rel. Dias Toffoli</w:t>
      </w:r>
    </w:p>
    <w:p>
      <w:pPr>
        <w:ind w:left="288"/>
      </w:pPr>
      <w:r>
        <w:rPr>
          <w:color w:val="1E1E1E"/>
          <w:sz w:val="18"/>
        </w:rPr>
        <w:t>Vide ADI 4.364, rel. min. Dias Toffoli, j. 2-3-2011, P, DJE de 16-5-2011 A fim de manter-se o incentivo à negociação coletiva (art. 7º, XXVI, CF/1988), os pisos salariais regionais somente serão estabelecidos por lei naqueles casos em que não haja convenção ou acordo coletivo de trabalho. As entidades sindicais continuarão podendo atuar nas negociações coletivas, desde que respeitado o patamar mínimo legalmente assegurado.</w:t>
      </w:r>
    </w:p>
    <w:p>
      <w:pPr>
        <w:ind w:left="288"/>
      </w:pPr>
      <w:r>
        <w:rPr>
          <w:b/>
          <w:color w:val="003CA0"/>
          <w:sz w:val="16"/>
        </w:rPr>
        <w:t>[ADI 4.364, rel. min. Dias Toffoli, j. 2-3-2011, P, DJE de 16-5-2011.]</w:t>
      </w:r>
    </w:p>
    <w:p>
      <w:pPr>
        <w:ind w:left="288"/>
      </w:pPr>
      <w:r>
        <w:rPr>
          <w:color w:val="8C8C8C"/>
          <w:sz w:val="12"/>
        </w:rPr>
        <w:t>cf-art-7-inc-XXIII</w:t>
      </w:r>
      <w:r>
        <w:rPr>
          <w:color w:val="003CA0"/>
          <w:sz w:val="12"/>
        </w:rPr>
        <w:t xml:space="preserve"> | ADI 4.364</w:t>
      </w:r>
      <w:r>
        <w:rPr>
          <w:color w:val="003CA0"/>
          <w:sz w:val="12"/>
        </w:rPr>
        <w:t xml:space="preserve"> | rel. Dias Toffoli</w:t>
      </w:r>
    </w:p>
    <w:p>
      <w:pPr>
        <w:ind w:left="288"/>
      </w:pPr>
      <w:r>
        <w:rPr>
          <w:color w:val="1E1E1E"/>
          <w:sz w:val="18"/>
        </w:rPr>
        <w:t>Vide ADI 4.364 ED, rel. min. Dias Toffoli, j. 29-5-2013, P, DJE de 20-9-2013 A celebração de convenções e acordos coletivos de trabalho constitui direito reservado exclusivamente aos trabalhadores da iniciativa privada. A negociação coletiva demanda a existência de partes detentoras de ampla autonomia negocial, o que não se realiza no plano da relação estatutária. A administração pública é vinculada pelo princípio da legalidade. A atribuição de vantagens aos servidores somente pode ser concedida a partir de projeto de lei de iniciativa do chefe do Poder Executivo, consoante dispõe o art. 61, §</w:t>
      </w:r>
    </w:p>
    <w:p>
      <w:pPr>
        <w:ind w:left="288"/>
      </w:pPr>
      <w:r>
        <w:rPr>
          <w:b/>
          <w:color w:val="003CA0"/>
          <w:sz w:val="16"/>
        </w:rPr>
        <w:t>[ADI 559, rel. min. Eros Grau, j. 15-2-2006, P, DJ de 5-5-2006.]</w:t>
      </w:r>
    </w:p>
    <w:p>
      <w:pPr>
        <w:ind w:left="144"/>
      </w:pPr>
      <w:r>
        <w:rPr>
          <w:b/>
          <w:color w:val="B45A00"/>
          <w:sz w:val="16"/>
        </w:rPr>
        <w:t>REPERCUSSAO GERAL</w:t>
      </w:r>
    </w:p>
    <w:p>
      <w:pPr>
        <w:ind w:left="288"/>
      </w:pPr>
      <w:r>
        <w:rPr>
          <w:color w:val="8C8C8C"/>
          <w:sz w:val="12"/>
        </w:rPr>
        <w:t>cf-art-7-inc-XXIII</w:t>
      </w:r>
      <w:r>
        <w:rPr>
          <w:color w:val="003CA0"/>
          <w:sz w:val="12"/>
        </w:rPr>
        <w:t xml:space="preserve"> | ARE 1.121.633</w:t>
      </w:r>
      <w:r>
        <w:rPr>
          <w:color w:val="003CA0"/>
          <w:sz w:val="12"/>
        </w:rPr>
        <w:t xml:space="preserve"> | rel. Gilmar Mendes</w:t>
      </w:r>
    </w:p>
    <w:p>
      <w:pPr>
        <w:ind w:left="288"/>
      </w:pPr>
      <w:r>
        <w:rPr>
          <w:color w:val="1E1E1E"/>
          <w:sz w:val="18"/>
        </w:rPr>
        <w:t>São constitucionais os acordos e as convenções coletivas que, ao considerarem a adequação setorial negociada, pactuem limitações ou afastamentos de direitos trabalhistas, independentemente da explicitação especificada de vantagens compensatórias, desde que respeitados os direitos absolutamente indisponíveis.</w:t>
        <w:br/>
        <w:t xml:space="preserve">[ARE 1.121.633, rel. min. Gilmar Mendes, j. 2-6-2022, P, DJE de 28-4-2023, Tema 1.046, com mérito julgado.] A Constituição de 1988, em seu art. 7º, XXVI, prestigiou a autonomia coletiva da vontade e a autocomposição dos conflitos trabalhistas, acompanhando a tendência mundial ao crescente </w:t>
      </w:r>
    </w:p>
    <w:p>
      <w:pPr>
        <w:ind w:left="288"/>
      </w:pPr>
      <w:r>
        <w:rPr>
          <w:b/>
          <w:color w:val="003CA0"/>
          <w:sz w:val="16"/>
        </w:rPr>
        <w:t>[RE 590.415, rel. min. Roberto Barroso, j. 30-4-2015, P, DJE de 29-5-2015, Tema 152.]</w:t>
        <w:br/>
        <w:t>Vide RE 895.759 AgR-segundo, rel. min. Teori Zavascki, j. 8-12-2016, 2ª T, DJE de 23-5-2017</w:t>
      </w:r>
    </w:p>
    <w:p>
      <w:pPr>
        <w:ind w:left="144"/>
      </w:pPr>
      <w:r>
        <w:rPr>
          <w:b/>
          <w:color w:val="B45A00"/>
          <w:sz w:val="16"/>
        </w:rPr>
        <w:t>JULGADOS CORRELATOS</w:t>
      </w:r>
    </w:p>
    <w:p>
      <w:pPr>
        <w:ind w:left="288"/>
      </w:pPr>
      <w:r>
        <w:rPr>
          <w:color w:val="8C8C8C"/>
          <w:sz w:val="12"/>
        </w:rPr>
        <w:t>cf-art-7-inc-XXIII</w:t>
      </w:r>
      <w:r>
        <w:rPr>
          <w:color w:val="003CA0"/>
          <w:sz w:val="12"/>
        </w:rPr>
        <w:t xml:space="preserve"> | RE 590.415</w:t>
      </w:r>
      <w:r>
        <w:rPr>
          <w:color w:val="003CA0"/>
          <w:sz w:val="12"/>
        </w:rPr>
        <w:t xml:space="preserve"> | rel. Roberto Barroso</w:t>
      </w:r>
    </w:p>
    <w:p>
      <w:pPr>
        <w:ind w:left="288"/>
      </w:pPr>
      <w:r>
        <w:rPr>
          <w:color w:val="1E1E1E"/>
          <w:sz w:val="18"/>
        </w:rPr>
        <w:t xml:space="preserve">Conforme assentado pelo Plenário do STF no julgamento do RE 590.415 (rel. min. Roberto Barroso, DJE de 29-5-2015, Tema 152), a CF "reconheceu as convenções e os acordos coletivos como instrumentos legítimos de prevenção e de autocomposição de conflitos trabalhistas", tornando explícita inclusive "a possibilidade desses instrumentos para a redução de direitos trabalhistas". Ainda segundo esse precedente, as normas coletivas de trabalho podem prevalecer sobre "o padrão geral heterônomo, mesmo que sejam restritivas dos direitos dos trabalhadores, desde que não transacionem setorialmente parcelas </w:t>
      </w:r>
    </w:p>
    <w:p>
      <w:pPr>
        <w:ind w:left="288"/>
      </w:pPr>
      <w:r>
        <w:rPr>
          <w:b/>
          <w:color w:val="003CA0"/>
          <w:sz w:val="16"/>
        </w:rPr>
        <w:t>[RE 593.126 AgR, rel. min. Eros Grau, j. 10-2-2009, 2ª T, DJE de 13-3-2009.]</w:t>
      </w:r>
    </w:p>
    <w:p>
      <w:pPr>
        <w:ind w:left="288"/>
      </w:pPr>
      <w:r>
        <w:rPr>
          <w:color w:val="8C8C8C"/>
          <w:sz w:val="12"/>
        </w:rPr>
        <w:t>cf-art-7-inc-XXIII</w:t>
      </w:r>
      <w:r>
        <w:rPr>
          <w:color w:val="003CA0"/>
          <w:sz w:val="12"/>
        </w:rPr>
        <w:t xml:space="preserve"> | RE 564.425</w:t>
      </w:r>
      <w:r>
        <w:rPr>
          <w:color w:val="003CA0"/>
          <w:sz w:val="12"/>
        </w:rPr>
        <w:t xml:space="preserve"> | rel. Joaquim Barbosa</w:t>
      </w:r>
    </w:p>
    <w:p>
      <w:pPr>
        <w:ind w:left="288"/>
      </w:pPr>
      <w:r>
        <w:rPr>
          <w:color w:val="1E1E1E"/>
          <w:sz w:val="18"/>
        </w:rPr>
        <w:t>= RE 564.425 AgR, rel. min. Joaquim Barbosa, j. 5-6-2012, 2ª T, DJE de 22-6-2012 Acordo coletivo de trabalho: o art. 7º, XXVI, da CF não elide a declaração de nulidade de cláusula de acordo coletivo de trabalho à luz da legislação ordinária.</w:t>
      </w:r>
    </w:p>
    <w:p>
      <w:pPr>
        <w:ind w:left="288"/>
      </w:pPr>
      <w:r>
        <w:rPr>
          <w:b/>
          <w:color w:val="003CA0"/>
          <w:sz w:val="16"/>
        </w:rPr>
        <w:t>[AI 617.006 AgR, rel. min. Sepúlveda Pertence, j. 2-3-2007, P, DJ de 23-3-2007.]</w:t>
      </w:r>
    </w:p>
    <w:p>
      <w:pPr>
        <w:ind w:left="288"/>
      </w:pPr>
      <w:r>
        <w:rPr>
          <w:color w:val="8C8C8C"/>
          <w:sz w:val="12"/>
        </w:rPr>
        <w:t>cf-art-7-inc-XXIII</w:t>
      </w:r>
      <w:r>
        <w:rPr>
          <w:color w:val="003CA0"/>
          <w:sz w:val="12"/>
        </w:rPr>
        <w:t xml:space="preserve"> | AI 507.348</w:t>
      </w:r>
    </w:p>
    <w:p>
      <w:pPr>
        <w:ind w:left="288"/>
      </w:pPr>
      <w:r>
        <w:rPr>
          <w:color w:val="1E1E1E"/>
          <w:sz w:val="18"/>
        </w:rPr>
        <w:t>(...) a CF apenas assegura o reconhecimento dos acordos e convenções coletivas, genericamente, sem aludir ao prazo de validade das condições de trabalho estabelecidas, matéria afeta à lei ordinária.</w:t>
      </w:r>
    </w:p>
    <w:p>
      <w:pPr>
        <w:ind w:left="288"/>
      </w:pPr>
      <w:r>
        <w:rPr>
          <w:b/>
          <w:color w:val="003CA0"/>
          <w:sz w:val="16"/>
        </w:rPr>
        <w:t>[AI 507.348 AgR, voto do min. Marco Aurélio, j. 31-5-2005, 1ª T, DJ de 5-8-2005.]</w:t>
      </w:r>
    </w:p>
    <w:p>
      <w:pPr>
        <w:ind w:left="288"/>
      </w:pPr>
      <w:r>
        <w:rPr>
          <w:color w:val="8C8C8C"/>
          <w:sz w:val="12"/>
        </w:rPr>
        <w:t>cf-art-7-inc-XXIII</w:t>
      </w:r>
      <w:r>
        <w:rPr>
          <w:color w:val="003CA0"/>
          <w:sz w:val="12"/>
        </w:rPr>
        <w:t xml:space="preserve"> | RE 572.061</w:t>
      </w:r>
      <w:r>
        <w:rPr>
          <w:color w:val="003CA0"/>
          <w:sz w:val="12"/>
        </w:rPr>
        <w:t xml:space="preserve"> | rel. Ayres Britto</w:t>
      </w:r>
    </w:p>
    <w:p>
      <w:pPr>
        <w:ind w:left="288"/>
      </w:pPr>
      <w:r>
        <w:rPr>
          <w:color w:val="1E1E1E"/>
          <w:sz w:val="18"/>
        </w:rPr>
        <w:t>= RE 572.061 AgR, rel. min. Ayres Britto, j. 22-2-2011, 2ª T, DJE de 28-4-2011 XXVII - proteção em face da automação, na forma da lei; Ação direta de inconstitucionalidade por omissão contra mora atribuída ao Congresso Nacional na regulamentação da proteção do trabalhador em face da automação, prevista no art. 7º, XXVII, da CF. (...) Desde a Primeira Revolução Industrial, a evolução da tecnologia empregada nos meios de produção tem repercussões sobre a oferta e a qualidade dos postos de trabalho. (...) A Revolução Tecnológica ou Digital insere novos elementos nessa equação, especialmente com o</w:t>
      </w:r>
    </w:p>
    <w:p>
      <w:pPr>
        <w:ind w:left="288"/>
      </w:pPr>
      <w:r>
        <w:rPr>
          <w:b/>
          <w:color w:val="003CA0"/>
          <w:sz w:val="16"/>
        </w:rPr>
        <w:t>[ADO 73, rel. min. Luís Roberto Barroso, j. 09.10.2025, P, DJE de 18.12.2025.]</w:t>
      </w:r>
    </w:p>
    <w:p>
      <w:pPr>
        <w:ind w:left="144"/>
      </w:pPr>
      <w:r>
        <w:rPr>
          <w:b/>
          <w:color w:val="B45A00"/>
          <w:sz w:val="16"/>
        </w:rPr>
        <w:t>CONTROLE CONCENTRADO</w:t>
      </w:r>
    </w:p>
    <w:p>
      <w:pPr>
        <w:ind w:left="288"/>
      </w:pPr>
      <w:r>
        <w:rPr>
          <w:color w:val="8C8C8C"/>
          <w:sz w:val="12"/>
        </w:rPr>
        <w:t>cf-art-7-inc-XXIII</w:t>
      </w:r>
      <w:r>
        <w:rPr>
          <w:color w:val="003CA0"/>
          <w:sz w:val="12"/>
        </w:rPr>
        <w:t xml:space="preserve"> | ADI 3.899</w:t>
      </w:r>
      <w:r>
        <w:rPr>
          <w:color w:val="003CA0"/>
          <w:sz w:val="12"/>
        </w:rPr>
        <w:t xml:space="preserve"> | rel. Nunes Marques</w:t>
      </w:r>
    </w:p>
    <w:p>
      <w:pPr>
        <w:ind w:left="288"/>
      </w:pPr>
      <w:r>
        <w:rPr>
          <w:color w:val="1E1E1E"/>
          <w:sz w:val="18"/>
        </w:rPr>
        <w:t>A Lei distrital n. 3.923/2006 conferiu a fruição de um direito subjetivo – estabilidade parcial no emprego – a cobradores de ônibus que mantinham vínculo trabalhista com as concessionárias do serviço de transporte de passageiros do Distrito Federal na época em que implantada a bilhetagem eletrônica. A garantia de permanência no emprego traduz-se em estabilidade no emprego, matéria típica de direito do trabalho, de competência da União (CF, art. 22, I). A admitir-se que leis locais tratem desse tema, serão múltiplos os regimes trabalhistas no país, o que vai de encontro ao modelo federativo imp</w:t>
      </w:r>
    </w:p>
    <w:p>
      <w:pPr>
        <w:ind w:left="144"/>
      </w:pPr>
      <w:r>
        <w:rPr>
          <w:b/>
          <w:color w:val="B45A00"/>
          <w:sz w:val="16"/>
        </w:rPr>
        <w:t>SUMULA VINCULANTE</w:t>
      </w:r>
    </w:p>
    <w:p>
      <w:pPr>
        <w:ind w:left="288"/>
      </w:pPr>
      <w:r>
        <w:rPr>
          <w:color w:val="8C8C8C"/>
          <w:sz w:val="12"/>
        </w:rPr>
        <w:t>cf-art-7-inc-XXIII</w:t>
      </w:r>
    </w:p>
    <w:p>
      <w:pPr>
        <w:ind w:left="288"/>
      </w:pPr>
      <w:r>
        <w:rPr>
          <w:color w:val="1E1E1E"/>
          <w:sz w:val="18"/>
        </w:rPr>
        <w:t>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EC 45/2004.</w:t>
      </w:r>
    </w:p>
    <w:p>
      <w:pPr>
        <w:ind w:left="288"/>
      </w:pPr>
      <w:r>
        <w:rPr>
          <w:b/>
          <w:color w:val="003CA0"/>
          <w:sz w:val="16"/>
        </w:rPr>
        <w:t>[Súmula Vinculante 22.]</w:t>
      </w:r>
    </w:p>
    <w:p>
      <w:pPr>
        <w:ind w:left="144"/>
      </w:pPr>
      <w:r>
        <w:rPr>
          <w:b/>
          <w:color w:val="B45A00"/>
          <w:sz w:val="16"/>
        </w:rPr>
        <w:t>REPERCUSSAO GERAL</w:t>
      </w:r>
    </w:p>
    <w:p>
      <w:pPr>
        <w:ind w:left="288"/>
      </w:pPr>
      <w:r>
        <w:rPr>
          <w:color w:val="8C8C8C"/>
          <w:sz w:val="12"/>
        </w:rPr>
        <w:t>cf-art-7-inc-XXIII</w:t>
      </w:r>
      <w:r>
        <w:rPr>
          <w:color w:val="003CA0"/>
          <w:sz w:val="12"/>
        </w:rPr>
        <w:t xml:space="preserve"> | RE 828.040</w:t>
      </w:r>
      <w:r>
        <w:rPr>
          <w:color w:val="003CA0"/>
          <w:sz w:val="12"/>
        </w:rPr>
        <w:t xml:space="preserve"> | rel. Alexandre de Moraes</w:t>
      </w:r>
    </w:p>
    <w:p>
      <w:pPr>
        <w:ind w:left="288"/>
      </w:pPr>
      <w:r>
        <w:rPr>
          <w:color w:val="1E1E1E"/>
          <w:sz w:val="18"/>
        </w:rPr>
        <w:t>O artigo 927, parágrafo único, do Código Civil é compatível com o artigo 7º, XXVIII, da Constituição Federal, sendo constitucional a responsabilização objetiva do empregador por danos decorrentes de acidentes de trabalho, nos casos especificados em lei, ou quando a atividade normalmente desenvolvida, por sua natureza, apresentar exposição habitual a risco especial, com potencialidade lesiva e implicar ao trabalhador ônus maior do que aos demais membros da coletividade.</w:t>
      </w:r>
    </w:p>
    <w:p>
      <w:pPr>
        <w:ind w:left="288"/>
      </w:pPr>
      <w:r>
        <w:rPr>
          <w:b/>
          <w:color w:val="003CA0"/>
          <w:sz w:val="16"/>
        </w:rPr>
        <w:t>[RE 828.040, rel. min. Alexandre de Moraes, j. 12-3-2020, P, DJE de 26-6-2020, Tema 932, com mérito julgado.]</w:t>
      </w:r>
    </w:p>
    <w:p>
      <w:pPr>
        <w:ind w:left="144"/>
      </w:pPr>
      <w:r>
        <w:rPr>
          <w:b/>
          <w:color w:val="B45A00"/>
          <w:sz w:val="16"/>
        </w:rPr>
        <w:t>JULGADOS CORRELATOS</w:t>
      </w:r>
    </w:p>
    <w:p>
      <w:pPr>
        <w:ind w:left="288"/>
      </w:pPr>
      <w:r>
        <w:rPr>
          <w:color w:val="8C8C8C"/>
          <w:sz w:val="12"/>
        </w:rPr>
        <w:t>cf-art-7-inc-XXIII</w:t>
      </w:r>
      <w:r>
        <w:rPr>
          <w:color w:val="003CA0"/>
          <w:sz w:val="12"/>
        </w:rPr>
        <w:t xml:space="preserve"> | AI 742.458</w:t>
      </w:r>
      <w:r>
        <w:rPr>
          <w:color w:val="003CA0"/>
          <w:sz w:val="12"/>
        </w:rPr>
        <w:t xml:space="preserve"> | rel. Eros Grau</w:t>
      </w:r>
    </w:p>
    <w:p>
      <w:pPr>
        <w:ind w:left="288"/>
      </w:pPr>
      <w:r>
        <w:rPr>
          <w:color w:val="1E1E1E"/>
          <w:sz w:val="18"/>
        </w:rPr>
        <w:t>A cobrança da contribuição ao Seguro de Acidente de Trabalho (SAT) incidente sobre o total das remunerações pagas tanto aos empregados quanto aos trabalhadores avulsos é legítima.</w:t>
      </w:r>
    </w:p>
    <w:p>
      <w:pPr>
        <w:ind w:left="288"/>
      </w:pPr>
      <w:r>
        <w:rPr>
          <w:b/>
          <w:color w:val="003CA0"/>
          <w:sz w:val="16"/>
        </w:rPr>
        <w:t>[AI 742.458 AgR, rel. min. Eros Grau, j. 14-4-2009, 2ª T, DJE de 15-5-2009.]</w:t>
      </w:r>
    </w:p>
    <w:p>
      <w:pPr>
        <w:ind w:left="288"/>
      </w:pPr>
      <w:r>
        <w:rPr>
          <w:color w:val="8C8C8C"/>
          <w:sz w:val="12"/>
        </w:rPr>
        <w:t>cf-art-7-inc-XXIII</w:t>
      </w:r>
      <w:r>
        <w:rPr>
          <w:color w:val="003CA0"/>
          <w:sz w:val="12"/>
        </w:rPr>
        <w:t xml:space="preserve"> | RE 459.099</w:t>
      </w:r>
      <w:r>
        <w:rPr>
          <w:color w:val="003CA0"/>
          <w:sz w:val="12"/>
        </w:rPr>
        <w:t xml:space="preserve"> | rel. Dias Toffoli</w:t>
      </w:r>
    </w:p>
    <w:p>
      <w:pPr>
        <w:ind w:left="288"/>
      </w:pPr>
      <w:r>
        <w:rPr>
          <w:color w:val="1E1E1E"/>
          <w:sz w:val="18"/>
        </w:rPr>
        <w:t>= RE 459.099 AgR, rel. min. Dias Toffoli, j. 13-8-2013, 1ª T, DJE de 18-10-2013 O STF decidiu ser constitucional o art. 22, II, da Lei 8.212/1991, com a redação que lhe foi conferida pela Lei 9.732/1998, o qual expressamente estabelece que a contribuição destinada ao seguro de acidente do trabalho também custeará o benefício de aposentadoria especial.</w:t>
      </w:r>
    </w:p>
    <w:p>
      <w:pPr>
        <w:ind w:left="288"/>
      </w:pPr>
      <w:r>
        <w:rPr>
          <w:b/>
          <w:color w:val="003CA0"/>
          <w:sz w:val="16"/>
        </w:rPr>
        <w:t>[RE 365.913 AgR-ED, rel. min. Eros Grau, j. 28-3-2006, 2ª T, DJ de 23-6-2006.]</w:t>
      </w:r>
    </w:p>
    <w:p>
      <w:pPr>
        <w:ind w:left="288"/>
      </w:pPr>
      <w:r>
        <w:rPr>
          <w:color w:val="8C8C8C"/>
          <w:sz w:val="12"/>
        </w:rPr>
        <w:t>cf-art-7-inc-XXIII</w:t>
      </w:r>
      <w:r>
        <w:rPr>
          <w:color w:val="003CA0"/>
          <w:sz w:val="12"/>
        </w:rPr>
        <w:t xml:space="preserve"> | AI 804.423</w:t>
      </w:r>
      <w:r>
        <w:rPr>
          <w:color w:val="003CA0"/>
          <w:sz w:val="12"/>
        </w:rPr>
        <w:t xml:space="preserve"> | rel. Cármen Lúcia</w:t>
      </w:r>
    </w:p>
    <w:p>
      <w:pPr>
        <w:ind w:left="288"/>
      </w:pPr>
      <w:r>
        <w:rPr>
          <w:color w:val="1E1E1E"/>
          <w:sz w:val="18"/>
        </w:rPr>
        <w:t>= AI 804.423 AgR, rel. min. Cármen Lúcia, j. 23-3-2011, 1ª T, DJE de 12-4-2011 Contribuição para o custeio do Seguro de Acidente do Trabalho (SAT): Lei 7.787/1989, art. 3º, II; Lei 8.212/1991, art. 22, II: alegação no sentido de que são ofensivos ao art. 195, § 4º, c/c o art. 154, I, da CF: improcedência. Desnecessidade de observância da técnica da competência residual da União, CF, art. 154, I. Desnecessidade de lei complementar para a instituição da contribuição para o SAT.</w:t>
      </w:r>
    </w:p>
    <w:p>
      <w:pPr>
        <w:ind w:left="288"/>
      </w:pPr>
      <w:r>
        <w:rPr>
          <w:b/>
          <w:color w:val="003CA0"/>
          <w:sz w:val="16"/>
        </w:rPr>
        <w:t>[RE 343.446, rel. min. Carlos Velloso, j. 20-3-2003, P, DJ de 4-4-2003.]</w:t>
      </w:r>
    </w:p>
    <w:p>
      <w:pPr>
        <w:ind w:left="288"/>
      </w:pPr>
      <w:r>
        <w:rPr>
          <w:color w:val="8C8C8C"/>
          <w:sz w:val="12"/>
        </w:rPr>
        <w:t>cf-art-7-inc-XXIII</w:t>
      </w:r>
      <w:r>
        <w:rPr>
          <w:color w:val="003CA0"/>
          <w:sz w:val="12"/>
        </w:rPr>
        <w:t xml:space="preserve"> | AI 736.299</w:t>
      </w:r>
      <w:r>
        <w:rPr>
          <w:color w:val="003CA0"/>
          <w:sz w:val="12"/>
        </w:rPr>
        <w:t xml:space="preserve"> | rel. Gilmar Mendes</w:t>
      </w:r>
    </w:p>
    <w:p>
      <w:pPr>
        <w:ind w:left="288"/>
      </w:pPr>
      <w:r>
        <w:rPr>
          <w:color w:val="1E1E1E"/>
          <w:sz w:val="18"/>
        </w:rPr>
        <w:t>= AI 736.299 AgR, rel. min. Gilmar Mendes, j. 22-2-2011, 2ª T, DJE de 11-3-2011 XXIX - ação, quanto aos créditos resultantes das relações de trabalho, com prazo prescricional de cinco anos para os trabalhadores urbanos e rurais, até o limite de dois anos após a extinção do contrato de trabalho; (Redação da EC n. 28/2000)</w:t>
      </w:r>
    </w:p>
    <w:p>
      <w:pPr>
        <w:ind w:left="144"/>
      </w:pPr>
      <w:r>
        <w:rPr>
          <w:b/>
          <w:color w:val="B45A00"/>
          <w:sz w:val="16"/>
        </w:rPr>
        <w:t>CONTROLE CONCENTRADO</w:t>
      </w:r>
    </w:p>
    <w:p>
      <w:pPr>
        <w:ind w:left="288"/>
      </w:pPr>
      <w:r>
        <w:rPr>
          <w:color w:val="8C8C8C"/>
          <w:sz w:val="12"/>
        </w:rPr>
        <w:t>cf-art-7-inc-XXIII</w:t>
      </w:r>
      <w:r>
        <w:rPr>
          <w:color w:val="003CA0"/>
          <w:sz w:val="12"/>
        </w:rPr>
        <w:t xml:space="preserve"> | ADI 5.132</w:t>
      </w:r>
    </w:p>
    <w:p>
      <w:pPr>
        <w:ind w:left="288"/>
      </w:pPr>
      <w:r>
        <w:rPr>
          <w:color w:val="1E1E1E"/>
          <w:sz w:val="18"/>
        </w:rPr>
        <w:t>A Constituição da República, ao consignar, em seu art. 7º, o direito ‘à ação, quanto aos créditos resultantes das relações de trabalho, com prazo prescricional de cinco anos para os trabalhadores urbanos e rurais, até o limite de dois anos após a extinção do contrato de trabalho (inciso XXIX) e ‘a igualdade de direitos entre o trabalhador com vínculo empregatício permanente e o trabalhador avulso’ (inciso XXXIV), não elidiu a possibilidade de que, dentro do preceituado pelas normas constitucionais, em atenção aos princípios da valorização social do trabalho (art. 1º, IV) e de justiça social (a</w:t>
      </w:r>
    </w:p>
    <w:p>
      <w:pPr>
        <w:ind w:left="288"/>
      </w:pPr>
      <w:r>
        <w:rPr>
          <w:b/>
          <w:color w:val="003CA0"/>
          <w:sz w:val="16"/>
        </w:rPr>
        <w:t>[ADI 5.132, red. do ac. min. Edson Fachin, j. 29-3-2021, P, DJE de 15-4-2021.]</w:t>
      </w:r>
    </w:p>
    <w:p>
      <w:pPr>
        <w:ind w:left="288"/>
      </w:pPr>
      <w:r>
        <w:rPr>
          <w:color w:val="8C8C8C"/>
          <w:sz w:val="12"/>
        </w:rPr>
        <w:t>cf-art-7-inc-XXIII</w:t>
      </w:r>
      <w:r>
        <w:rPr>
          <w:color w:val="003CA0"/>
          <w:sz w:val="12"/>
        </w:rPr>
        <w:t xml:space="preserve"> | ADC 48</w:t>
      </w:r>
      <w:r>
        <w:rPr>
          <w:color w:val="003CA0"/>
          <w:sz w:val="12"/>
        </w:rPr>
        <w:t xml:space="preserve"> | rel. Roberto Barroso</w:t>
      </w:r>
    </w:p>
    <w:p>
      <w:pPr>
        <w:ind w:left="288"/>
      </w:pPr>
      <w:r>
        <w:rPr>
          <w:color w:val="1E1E1E"/>
          <w:sz w:val="18"/>
        </w:rPr>
        <w:t>A Lei 11.442/2007 (i) regulamentou a contratação de transportadores autônomos de carga por proprietários de carga e por empresas transportadoras de carga; (ii) autorizou a terceirização da atividade-fim pelas empresas transportadoras; e (iii) afastou a configuração de vínculo de emprego nessa hipótese. (...) Não há inconstitucionalidade no prazo prescricional de 1 (um) ano, a contar da ciência do dano, para a propositura de ação de reparação de danos, prevista no art. 18 da Lei 11.442/2007, à luz do art. 7º, XXIX, CF, uma vez que não se trata de relação de trabalho, mas de relação comercial.</w:t>
      </w:r>
    </w:p>
    <w:p>
      <w:pPr>
        <w:ind w:left="288"/>
      </w:pPr>
      <w:r>
        <w:rPr>
          <w:b/>
          <w:color w:val="003CA0"/>
          <w:sz w:val="16"/>
        </w:rPr>
        <w:t>[ADC 48, rel. min. Roberto Barroso, j. 15-4-2020, P, DJE de 19-5-2020.]</w:t>
      </w:r>
    </w:p>
    <w:p>
      <w:pPr>
        <w:ind w:left="288"/>
      </w:pPr>
      <w:r>
        <w:rPr>
          <w:color w:val="8C8C8C"/>
          <w:sz w:val="12"/>
        </w:rPr>
        <w:t>cf-art-7-inc-XXIII</w:t>
      </w:r>
      <w:r>
        <w:rPr>
          <w:color w:val="003CA0"/>
          <w:sz w:val="12"/>
        </w:rPr>
        <w:t xml:space="preserve"> | RE 1.336.848</w:t>
      </w:r>
      <w:r>
        <w:rPr>
          <w:color w:val="003CA0"/>
          <w:sz w:val="12"/>
        </w:rPr>
        <w:t xml:space="preserve"> | rel. Gilmar Mendes</w:t>
      </w:r>
    </w:p>
    <w:p>
      <w:pPr>
        <w:ind w:left="288"/>
      </w:pPr>
      <w:r>
        <w:rPr>
          <w:color w:val="1E1E1E"/>
          <w:sz w:val="18"/>
        </w:rPr>
        <w:t>“O prazo bienal para ajuizamento de ação, previsto na parte final do art. 7º, XXIX, da Constituição Federal, não se aplica aos servidores temporários que tiveram seus contratos declarados nulos, por se tratarem de ocupantes de cargos públicos regidos por vínculo de natureza jurídico-administrativa. Nesses casos, incide o prazo prescricional quinquenal, nos termos do art. 1º do Decreto nº 20.910/1932."</w:t>
      </w:r>
    </w:p>
    <w:p>
      <w:pPr>
        <w:ind w:left="288"/>
      </w:pPr>
      <w:r>
        <w:rPr>
          <w:b/>
          <w:color w:val="003CA0"/>
          <w:sz w:val="16"/>
        </w:rPr>
        <w:t>[RE 1.336.848, rel. min. Gilmar Mendes, j. 01.09.2025, P, DJE de 09.09.2025, Tema 1.189, com mérito julgado.]</w:t>
      </w:r>
    </w:p>
    <w:p>
      <w:pPr>
        <w:ind w:left="144"/>
      </w:pPr>
      <w:r>
        <w:rPr>
          <w:b/>
          <w:color w:val="B45A00"/>
          <w:sz w:val="16"/>
        </w:rPr>
        <w:t>REPERCUSSAO GERAL</w:t>
      </w:r>
    </w:p>
    <w:p>
      <w:pPr>
        <w:ind w:left="288"/>
      </w:pPr>
      <w:r>
        <w:rPr>
          <w:color w:val="8C8C8C"/>
          <w:sz w:val="12"/>
        </w:rPr>
        <w:t>cf-art-7-inc-XXIII</w:t>
      </w:r>
      <w:r>
        <w:rPr>
          <w:color w:val="003CA0"/>
          <w:sz w:val="12"/>
        </w:rPr>
        <w:t xml:space="preserve"> | ARE 709.212</w:t>
      </w:r>
      <w:r>
        <w:rPr>
          <w:color w:val="003CA0"/>
          <w:sz w:val="12"/>
        </w:rPr>
        <w:t xml:space="preserve"> | rel. Gilmar Mendes</w:t>
      </w:r>
    </w:p>
    <w:p>
      <w:pPr>
        <w:ind w:left="288"/>
      </w:pPr>
      <w:r>
        <w:rPr>
          <w:color w:val="1E1E1E"/>
          <w:sz w:val="18"/>
        </w:rPr>
        <w:t>FGTS. Cobrança de valores não pagos. Prazo prescricional. Prescrição quinquenal. Art. 7º, XXIX, da Constituição. Superação de entendimento anterior sobre prescrição trintenária. Inconstitucionalidade dos arts. 23, § 5º, da Lei 8.036/1990 e 55 do Regulamento do FGTS aprovado pelo Decreto 99.684/1990.</w:t>
      </w:r>
    </w:p>
    <w:p>
      <w:pPr>
        <w:ind w:left="288"/>
      </w:pPr>
      <w:r>
        <w:rPr>
          <w:b/>
          <w:color w:val="003CA0"/>
          <w:sz w:val="16"/>
        </w:rPr>
        <w:t>[ARE 709.212, rel. min. Gilmar Mendes, j. 13-11-2014, P, DJE de 19-2-2015, Tema 608, com mérito julgado.]</w:t>
      </w:r>
    </w:p>
    <w:p>
      <w:pPr>
        <w:ind w:left="144"/>
      </w:pPr>
      <w:r>
        <w:rPr>
          <w:b/>
          <w:color w:val="B45A00"/>
          <w:sz w:val="16"/>
        </w:rPr>
        <w:t>JULGADOS CORRELATOS</w:t>
      </w:r>
    </w:p>
    <w:p>
      <w:pPr>
        <w:ind w:left="288"/>
      </w:pPr>
      <w:r>
        <w:rPr>
          <w:color w:val="8C8C8C"/>
          <w:sz w:val="12"/>
        </w:rPr>
        <w:t>cf-art-7-inc-XXIII</w:t>
      </w:r>
      <w:r>
        <w:rPr>
          <w:color w:val="003CA0"/>
          <w:sz w:val="12"/>
        </w:rPr>
        <w:t xml:space="preserve"> | RE 556.180</w:t>
      </w:r>
      <w:r>
        <w:rPr>
          <w:color w:val="003CA0"/>
          <w:sz w:val="12"/>
        </w:rPr>
        <w:t xml:space="preserve"> | rel. Ellen Gracie</w:t>
      </w:r>
    </w:p>
    <w:p>
      <w:pPr>
        <w:ind w:left="288"/>
      </w:pPr>
      <w:r>
        <w:rPr>
          <w:color w:val="1E1E1E"/>
          <w:sz w:val="18"/>
        </w:rPr>
        <w:t>O STF entende que o prazo prescricional previsto no art. 7º, XXIX, da CF não se aplica a contratos de trabalho encerrados antes de sua entrada em vigor.</w:t>
      </w:r>
    </w:p>
    <w:p>
      <w:pPr>
        <w:ind w:left="288"/>
      </w:pPr>
      <w:r>
        <w:rPr>
          <w:b/>
          <w:color w:val="003CA0"/>
          <w:sz w:val="16"/>
        </w:rPr>
        <w:t>[RE 556.180 ED, rel. min. Ellen Gracie, j. 15-3-2011, 2ª T, DJE de 4-4-2011.]</w:t>
      </w:r>
    </w:p>
    <w:p>
      <w:pPr>
        <w:ind w:left="288"/>
      </w:pPr>
      <w:r>
        <w:rPr>
          <w:color w:val="8C8C8C"/>
          <w:sz w:val="12"/>
        </w:rPr>
        <w:t>cf-art-7-inc-XXIII</w:t>
      </w:r>
      <w:r>
        <w:rPr>
          <w:color w:val="003CA0"/>
          <w:sz w:val="12"/>
        </w:rPr>
        <w:t xml:space="preserve"> | AI 475.350</w:t>
      </w:r>
      <w:r>
        <w:rPr>
          <w:color w:val="003CA0"/>
          <w:sz w:val="12"/>
        </w:rPr>
        <w:t xml:space="preserve"> | rel. Ellen Gracie</w:t>
      </w:r>
    </w:p>
    <w:p>
      <w:pPr>
        <w:ind w:left="288"/>
      </w:pPr>
      <w:r>
        <w:rPr>
          <w:color w:val="1E1E1E"/>
          <w:sz w:val="18"/>
        </w:rPr>
        <w:t>FGTS. (...) O prazo prescricional do direito de ação referente a créditos trabalhistas é de dois anos da extinção do contrato de trabalho, conforme art. 7º, XXIX, da CF.</w:t>
      </w:r>
    </w:p>
    <w:p>
      <w:pPr>
        <w:ind w:left="288"/>
      </w:pPr>
      <w:r>
        <w:rPr>
          <w:b/>
          <w:color w:val="003CA0"/>
          <w:sz w:val="16"/>
        </w:rPr>
        <w:t>[AI 475.350 ED, rel. min. Ellen Gracie, j. 23-3-2010, 2ª T, DJE de 16-4-2010.]</w:t>
      </w:r>
    </w:p>
    <w:p>
      <w:pPr>
        <w:ind w:left="288"/>
      </w:pPr>
      <w:r>
        <w:rPr>
          <w:color w:val="8C8C8C"/>
          <w:sz w:val="12"/>
        </w:rPr>
        <w:t>cf-art-7-inc-XXIII</w:t>
      </w:r>
      <w:r>
        <w:rPr>
          <w:color w:val="003CA0"/>
          <w:sz w:val="12"/>
        </w:rPr>
        <w:t xml:space="preserve"> | AI 788.059</w:t>
      </w:r>
      <w:r>
        <w:rPr>
          <w:color w:val="003CA0"/>
          <w:sz w:val="12"/>
        </w:rPr>
        <w:t xml:space="preserve"> | rel. Gilmar Mendes</w:t>
      </w:r>
    </w:p>
    <w:p>
      <w:pPr>
        <w:ind w:left="288"/>
      </w:pPr>
      <w:r>
        <w:rPr>
          <w:color w:val="1E1E1E"/>
          <w:sz w:val="18"/>
        </w:rPr>
        <w:t>= AI 788.059 AgR, rel. min. Gilmar Mendes, j. 28-9-2010, 2ª T, DJE de 15-10-2010 O art. 7º, XXIX, da Carta Magna estabelece apenas o prazo prescricional. A relação da dicotomia entre as espécies de prescrição: parcial ou total, reside, exclusivamente, no âmbito infraconstitucional.</w:t>
      </w:r>
    </w:p>
    <w:p>
      <w:pPr>
        <w:ind w:left="288"/>
      </w:pPr>
      <w:r>
        <w:rPr>
          <w:b/>
          <w:color w:val="003CA0"/>
          <w:sz w:val="16"/>
        </w:rPr>
        <w:t>[RE 575.019 AgR, rel. min. Ellen Gracie, j. 3-2-2009, 2ª T, DJE de 6-3-2009.]</w:t>
      </w:r>
    </w:p>
    <w:p>
      <w:pPr>
        <w:ind w:left="288"/>
      </w:pPr>
      <w:r>
        <w:rPr>
          <w:color w:val="8C8C8C"/>
          <w:sz w:val="12"/>
        </w:rPr>
        <w:t>cf-art-7-inc-XXIII</w:t>
      </w:r>
      <w:r>
        <w:rPr>
          <w:color w:val="003CA0"/>
          <w:sz w:val="12"/>
        </w:rPr>
        <w:t xml:space="preserve"> | RE 317.660</w:t>
      </w:r>
      <w:r>
        <w:rPr>
          <w:color w:val="003CA0"/>
          <w:sz w:val="12"/>
        </w:rPr>
        <w:t xml:space="preserve"> | rel. Ilmar Galvão</w:t>
      </w:r>
    </w:p>
    <w:p>
      <w:pPr>
        <w:ind w:left="288"/>
      </w:pPr>
      <w:r>
        <w:rPr>
          <w:color w:val="1E1E1E"/>
          <w:sz w:val="18"/>
        </w:rPr>
        <w:t>Com a conversão do regime de trabalho do servidor, de celetista em estatutário, não obstante tenha resultado sem solução de continuidade o vínculo existente entre as mesmas partes, é de ter-se por extinto o contrato de trabalho e, consequentemente, iniciado, a partir de então, o curso do biênio estabelecido pela Carta Magna no dispositivo sob referência.</w:t>
      </w:r>
    </w:p>
    <w:p>
      <w:pPr>
        <w:ind w:left="288"/>
      </w:pPr>
      <w:r>
        <w:rPr>
          <w:b/>
          <w:color w:val="003CA0"/>
          <w:sz w:val="16"/>
        </w:rPr>
        <w:t>[RE 317.660, rel. min. Ilmar Galvão, j. 6-2-2002, P, DJ de 26-9-2003.]</w:t>
      </w:r>
    </w:p>
    <w:p>
      <w:pPr>
        <w:ind w:left="288"/>
      </w:pPr>
      <w:r>
        <w:rPr>
          <w:color w:val="8C8C8C"/>
          <w:sz w:val="12"/>
        </w:rPr>
        <w:t>cf-art-7-inc-XXIII</w:t>
      </w:r>
      <w:r>
        <w:rPr>
          <w:color w:val="003CA0"/>
          <w:sz w:val="12"/>
        </w:rPr>
        <w:t xml:space="preserve"> | RE 686.633</w:t>
      </w:r>
      <w:r>
        <w:rPr>
          <w:color w:val="003CA0"/>
          <w:sz w:val="12"/>
        </w:rPr>
        <w:t xml:space="preserve"> | rel. Cármen Lúcia</w:t>
      </w:r>
    </w:p>
    <w:p>
      <w:pPr>
        <w:ind w:left="288"/>
      </w:pPr>
      <w:r>
        <w:rPr>
          <w:color w:val="1E1E1E"/>
          <w:sz w:val="18"/>
        </w:rPr>
        <w:t>= RE 686.633, rel. min. Cármen Lúcia, j. 19-6-2012, dec. monocrática, DJE de 27-6-2012</w:t>
      </w:r>
    </w:p>
    <w:p>
      <w:pPr>
        <w:ind w:left="144"/>
      </w:pPr>
      <w:r>
        <w:rPr>
          <w:b/>
          <w:color w:val="B45A00"/>
          <w:sz w:val="16"/>
        </w:rPr>
        <w:t>SUMULA</w:t>
      </w:r>
    </w:p>
    <w:p>
      <w:pPr>
        <w:ind w:left="288"/>
      </w:pPr>
      <w:r>
        <w:rPr>
          <w:color w:val="8C8C8C"/>
          <w:sz w:val="12"/>
        </w:rPr>
        <w:t>cf-art-7-inc-XXX</w:t>
      </w:r>
    </w:p>
    <w:p>
      <w:pPr>
        <w:ind w:left="288"/>
      </w:pPr>
      <w:r>
        <w:rPr>
          <w:color w:val="1E1E1E"/>
          <w:sz w:val="18"/>
        </w:rPr>
        <w:t>O limite de idade para a inscrição em concurso público só se legitima em face do art. 7º, XXX, da Constituição, quando possa ser justificado pela natureza das atribuições do cargo a ser preenchido.</w:t>
      </w:r>
    </w:p>
    <w:p>
      <w:pPr>
        <w:ind w:left="288"/>
      </w:pPr>
      <w:r>
        <w:rPr>
          <w:b/>
          <w:color w:val="003CA0"/>
          <w:sz w:val="16"/>
        </w:rPr>
        <w:t>[Súmula 683.]</w:t>
      </w:r>
    </w:p>
    <w:p>
      <w:pPr>
        <w:ind w:left="144"/>
      </w:pPr>
      <w:r>
        <w:rPr>
          <w:b/>
          <w:color w:val="B45A00"/>
          <w:sz w:val="16"/>
        </w:rPr>
        <w:t>CONTROLE CONCENTRADO</w:t>
      </w:r>
    </w:p>
    <w:p>
      <w:pPr>
        <w:ind w:left="288"/>
      </w:pPr>
      <w:r>
        <w:rPr>
          <w:color w:val="8C8C8C"/>
          <w:sz w:val="12"/>
        </w:rPr>
        <w:t>cf-art-7-inc-XXX</w:t>
      </w:r>
      <w:r>
        <w:rPr>
          <w:color w:val="003CA0"/>
          <w:sz w:val="12"/>
        </w:rPr>
        <w:t xml:space="preserve"> | ADI 7.483</w:t>
      </w:r>
      <w:r>
        <w:rPr>
          <w:color w:val="003CA0"/>
          <w:sz w:val="12"/>
        </w:rPr>
        <w:t xml:space="preserve"> | rel. Cristiano Zanin</w:t>
      </w:r>
    </w:p>
    <w:p>
      <w:pPr>
        <w:ind w:left="288"/>
      </w:pPr>
      <w:r>
        <w:rPr>
          <w:color w:val="1E1E1E"/>
          <w:sz w:val="18"/>
        </w:rPr>
        <w:t>A interpretação de que o art. 11 da Lei n. 2.108/1993, do Estado do Rio de Janeiro, pode restringir o acesso de mulheres a cargos da Polícia Militar viola diversos dispositivos e princípios constitucionais, tais como o direito à isonomia e à igualdade entre homens e mulheres (art. 5º, caput e I, da CF), o direito à não discriminação em razão de sexo (art. 3º, IV, da CF), o direito à proteção do mercado de trabalho da mulher (art. 7º, XX, da CF), a proibição à adoção de qualquer critério discriminatório por motivo de sexo, quando da admissão em ocupações públicas (art. 7º, XXX, da CF), o direit</w:t>
      </w:r>
    </w:p>
    <w:p>
      <w:pPr>
        <w:ind w:left="288"/>
      </w:pPr>
      <w:r>
        <w:rPr>
          <w:b/>
          <w:color w:val="003CA0"/>
          <w:sz w:val="16"/>
        </w:rPr>
        <w:t>[ADI 5.400, rel. min. Luiz Fux, j. 21-2-2020, P, DJE de 12-3-2020.]</w:t>
      </w:r>
    </w:p>
    <w:p>
      <w:pPr>
        <w:ind w:left="288"/>
      </w:pPr>
      <w:r>
        <w:rPr>
          <w:color w:val="8C8C8C"/>
          <w:sz w:val="12"/>
        </w:rPr>
        <w:t>cf-art-7-inc-XXX</w:t>
      </w:r>
      <w:r>
        <w:rPr>
          <w:color w:val="003CA0"/>
          <w:sz w:val="12"/>
        </w:rPr>
        <w:t xml:space="preserve"> | RE 1.530.083</w:t>
      </w:r>
      <w:r>
        <w:rPr>
          <w:color w:val="003CA0"/>
          <w:sz w:val="12"/>
        </w:rPr>
        <w:t xml:space="preserve"> | rel. Luiz Fux</w:t>
      </w:r>
    </w:p>
    <w:p>
      <w:pPr>
        <w:ind w:left="288"/>
      </w:pPr>
      <w:r>
        <w:rPr>
          <w:color w:val="1E1E1E"/>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w:t>
      </w:r>
    </w:p>
    <w:p>
      <w:pPr>
        <w:ind w:left="288"/>
      </w:pPr>
      <w:r>
        <w:rPr>
          <w:b/>
          <w:color w:val="003CA0"/>
          <w:sz w:val="16"/>
        </w:rPr>
        <w:t>[RE 1.530.083, rel. min. Luiz Fux, j. 27.08.2025, P, DJE de 29.10.2025, Tema 1.388, com mérito julgado.]</w:t>
      </w:r>
    </w:p>
    <w:p>
      <w:pPr>
        <w:ind w:left="288"/>
      </w:pPr>
      <w:r>
        <w:rPr>
          <w:color w:val="8C8C8C"/>
          <w:sz w:val="12"/>
        </w:rPr>
        <w:t>cf-art-7-inc-XXX</w:t>
      </w:r>
      <w:r>
        <w:rPr>
          <w:color w:val="003CA0"/>
          <w:sz w:val="12"/>
        </w:rPr>
        <w:t xml:space="preserve"> | RE 1.530.083</w:t>
      </w:r>
      <w:r>
        <w:rPr>
          <w:color w:val="003CA0"/>
          <w:sz w:val="12"/>
        </w:rPr>
        <w:t xml:space="preserve"> | rel. Luiz Fux</w:t>
      </w:r>
    </w:p>
    <w:p>
      <w:pPr>
        <w:ind w:left="288"/>
      </w:pPr>
      <w:r>
        <w:rPr>
          <w:color w:val="1E1E1E"/>
          <w:sz w:val="18"/>
        </w:rPr>
        <w:t>Compatibilidade do artigo 144-A, da Lei n. 6.880/1980 (Estatuto dos Militares) com a Constituição Federal, em razão de restringir acesso e permanência nos órgãos de formação ou graduação de oficiais e de praças que os mantenham em regime de internato, de dedicação exclusiva e de disponibilidade permanente peculiar à carreira militar, àqueles que não tenham filhos ou dependentes e não sejam casados ou não tenham constituído união estável.</w:t>
      </w:r>
    </w:p>
    <w:p>
      <w:pPr>
        <w:ind w:left="288"/>
      </w:pPr>
      <w:r>
        <w:rPr>
          <w:b/>
          <w:color w:val="003CA0"/>
          <w:sz w:val="16"/>
        </w:rPr>
        <w:t>[RE 1.530.083 RG, rel. min. Luiz Fux, j. 11.04.2025, P, DJE de 30.04.2025, Tema 1.388, com mérito pendente.]</w:t>
      </w:r>
    </w:p>
    <w:p>
      <w:pPr>
        <w:ind w:left="144"/>
      </w:pPr>
      <w:r>
        <w:rPr>
          <w:b/>
          <w:color w:val="B45A00"/>
          <w:sz w:val="16"/>
        </w:rPr>
        <w:t>REPERCUSSAO GERAL</w:t>
      </w:r>
    </w:p>
    <w:p>
      <w:pPr>
        <w:ind w:left="288"/>
      </w:pPr>
      <w:r>
        <w:rPr>
          <w:color w:val="8C8C8C"/>
          <w:sz w:val="12"/>
        </w:rPr>
        <w:t>cf-art-7-inc-XXX</w:t>
      </w:r>
      <w:r>
        <w:rPr>
          <w:color w:val="003CA0"/>
          <w:sz w:val="12"/>
        </w:rPr>
        <w:t xml:space="preserve"> | RE 658.312</w:t>
      </w:r>
      <w:r>
        <w:rPr>
          <w:color w:val="003CA0"/>
          <w:sz w:val="12"/>
        </w:rPr>
        <w:t xml:space="preserve"> | rel. Dias Toffoli</w:t>
      </w:r>
    </w:p>
    <w:p>
      <w:pPr>
        <w:ind w:left="288"/>
      </w:pPr>
      <w:r>
        <w:rPr>
          <w:color w:val="1E1E1E"/>
          <w:sz w:val="18"/>
        </w:rPr>
        <w:t>O art. 384 da CLT, em relação ao período anterior à edição da Lei n. 13.467/2017, foi recepcionado pela Constituição Federal de 1988, aplicando-se a todas as mulheres trabalhadoras.</w:t>
      </w:r>
    </w:p>
    <w:p>
      <w:pPr>
        <w:ind w:left="288"/>
      </w:pPr>
      <w:r>
        <w:rPr>
          <w:b/>
          <w:color w:val="003CA0"/>
          <w:sz w:val="16"/>
        </w:rPr>
        <w:t>[RE 658.312 2º Julg, rel. min. Dias Toffoli, j. 15-9-2021, P, DJE de 6-12-2021, Tema 528, com mérito julgado.]</w:t>
      </w:r>
    </w:p>
    <w:p>
      <w:pPr>
        <w:ind w:left="288"/>
      </w:pPr>
      <w:r>
        <w:rPr>
          <w:color w:val="8C8C8C"/>
          <w:sz w:val="12"/>
        </w:rPr>
        <w:t>cf-art-7-inc-XXX</w:t>
      </w:r>
      <w:r>
        <w:rPr>
          <w:color w:val="003CA0"/>
          <w:sz w:val="12"/>
        </w:rPr>
        <w:t xml:space="preserve"> | ARE 678.112</w:t>
      </w:r>
    </w:p>
    <w:p>
      <w:pPr>
        <w:ind w:left="288"/>
      </w:pPr>
      <w:r>
        <w:rPr>
          <w:color w:val="1E1E1E"/>
          <w:sz w:val="18"/>
        </w:rPr>
        <w:t xml:space="preserve">Insta saber se é razoável ou não limitar idade para ingressar em carreira policial, a par da aprovação em testes médicos e físicos. Com efeito, o Supremo tem entendido, em casos semelhantes, que o estabelecimento de limite de idade para inscrição em concurso público apenas é legítimo quando justificado pela natureza das atribuições do cargo a ser preenchido. (...) Nesse mesmo sentido, o teor do Enunciado 683 da Súmula da jurisprudência dominante neste Pretório Excelso: "O limite de idade para a inscrição em concurso público só se legitima em face do art. 7º, XXX, da Constituição, quando possa </w:t>
      </w:r>
    </w:p>
    <w:p>
      <w:pPr>
        <w:ind w:left="288"/>
      </w:pPr>
      <w:r>
        <w:rPr>
          <w:b/>
          <w:color w:val="003CA0"/>
          <w:sz w:val="16"/>
        </w:rPr>
        <w:t>[ARE 678.112 RG, voto do min. Luiz Fux, j. 25-4-2013, P, DJE de 17-5-2013, Tema 646, com mérito julgado.]</w:t>
      </w:r>
    </w:p>
    <w:p>
      <w:pPr>
        <w:ind w:left="288"/>
      </w:pPr>
      <w:r>
        <w:rPr>
          <w:color w:val="8C8C8C"/>
          <w:sz w:val="12"/>
        </w:rPr>
        <w:t>cf-art-7-inc-XXX</w:t>
      </w:r>
      <w:r>
        <w:rPr>
          <w:color w:val="003CA0"/>
          <w:sz w:val="12"/>
        </w:rPr>
        <w:t xml:space="preserve"> | RE 523.737</w:t>
      </w:r>
      <w:r>
        <w:rPr>
          <w:color w:val="003CA0"/>
          <w:sz w:val="12"/>
        </w:rPr>
        <w:t xml:space="preserve"> | rel. Ellen Gracie</w:t>
      </w:r>
    </w:p>
    <w:p>
      <w:pPr>
        <w:ind w:left="288"/>
      </w:pPr>
      <w:r>
        <w:rPr>
          <w:color w:val="1E1E1E"/>
          <w:sz w:val="18"/>
        </w:rPr>
        <w:t>Vide RE 523.737 AgR, rel. min. Ellen Gracie, j. 22-6-2010, 2ª T, DJE de 6-8-2010</w:t>
      </w:r>
    </w:p>
    <w:p>
      <w:pPr>
        <w:ind w:left="144"/>
      </w:pPr>
      <w:r>
        <w:rPr>
          <w:b/>
          <w:color w:val="B45A00"/>
          <w:sz w:val="16"/>
        </w:rPr>
        <w:t>JULGADOS CORRELATOS</w:t>
      </w:r>
    </w:p>
    <w:p>
      <w:pPr>
        <w:ind w:left="288"/>
      </w:pPr>
      <w:r>
        <w:rPr>
          <w:color w:val="8C8C8C"/>
          <w:sz w:val="12"/>
        </w:rPr>
        <w:t>cf-art-7-inc-XXX</w:t>
      </w:r>
      <w:r>
        <w:rPr>
          <w:color w:val="003CA0"/>
          <w:sz w:val="12"/>
        </w:rPr>
        <w:t xml:space="preserve"> | RE 161.243</w:t>
      </w:r>
      <w:r>
        <w:rPr>
          <w:color w:val="003CA0"/>
          <w:sz w:val="12"/>
        </w:rPr>
        <w:t xml:space="preserve"> | rel. Carlos Velloso</w:t>
      </w:r>
    </w:p>
    <w:p>
      <w:pPr>
        <w:ind w:left="288"/>
      </w:pPr>
      <w:r>
        <w:rPr>
          <w:color w:val="1E1E1E"/>
          <w:sz w:val="18"/>
        </w:rPr>
        <w:t>(...) no que concerne aos direitos sociais, nosso sistema veda, no inciso XXX do art. 7º da CF, qualquer discriminação decorrente – além, evidentemente, da nacionalidade – de sexo, idade, cor ou estado civil. Dessa maneira, nosso sistema constitucional é contrário a tratamento discriminatório entre pessoas que prestam serviços iguais a um empregador. No que concerne ao estrangeiro, quando a Constituição quis limitar-lhe o acesso a algum direito, expressamente estipulou. (...) Mas o princípio do nosso sistema é o da igualdade de tratamento. Em consequência, não pode uma empresa, no Brasil, seja</w:t>
      </w:r>
    </w:p>
    <w:p>
      <w:pPr>
        <w:ind w:left="288"/>
      </w:pPr>
      <w:r>
        <w:rPr>
          <w:b/>
          <w:color w:val="003CA0"/>
          <w:sz w:val="16"/>
        </w:rPr>
        <w:t>[RE 161.243, rel. min. Carlos Velloso, voto do min. Néri da Silveira, j. 29-10-1996, 2ª T, DJ de 19-12-1997.]</w:t>
      </w:r>
    </w:p>
    <w:p>
      <w:pPr>
        <w:ind w:left="144"/>
      </w:pPr>
      <w:r>
        <w:rPr>
          <w:b/>
          <w:color w:val="B45A00"/>
          <w:sz w:val="16"/>
        </w:rPr>
        <w:t>CONTROLE CONCENTRADO</w:t>
      </w:r>
    </w:p>
    <w:p>
      <w:pPr>
        <w:ind w:left="288"/>
      </w:pPr>
      <w:r>
        <w:rPr>
          <w:color w:val="8C8C8C"/>
          <w:sz w:val="12"/>
        </w:rPr>
        <w:t>cf-art-7-inc-XXXI</w:t>
      </w:r>
      <w:r>
        <w:rPr>
          <w:color w:val="003CA0"/>
          <w:sz w:val="12"/>
        </w:rPr>
        <w:t xml:space="preserve"> | ADI 5.760</w:t>
      </w:r>
      <w:r>
        <w:rPr>
          <w:color w:val="003CA0"/>
          <w:sz w:val="12"/>
        </w:rPr>
        <w:t xml:space="preserve"> | rel. Alexandre de Moraes</w:t>
      </w:r>
    </w:p>
    <w:p>
      <w:pPr>
        <w:ind w:left="288"/>
      </w:pPr>
      <w:r>
        <w:rPr>
          <w:color w:val="1E1E1E"/>
          <w:sz w:val="18"/>
        </w:rPr>
        <w:t>A deficiência física, por si só, não incapacita generalizadamente o trabalhador para o desempenho de atividades laborais em embarcações, não existindo exigência legal ou convencional de plena capacidade física para toda e qualquer atividade marítima. A eventual incompatibilidade entre determinadas atividades e certas limitações físicas não justifica a exclusão do trabalho marítimo do alcance da política pública de inclusão social das pessoas com deficiência. A exclusão de postos de trabalho marítimo embarcado do cálculo destinado a apurar o número de vagas destinadas aos deficientes (art. 93 d</w:t>
      </w:r>
    </w:p>
    <w:p>
      <w:pPr>
        <w:ind w:left="288"/>
      </w:pPr>
      <w:r>
        <w:rPr>
          <w:b/>
          <w:color w:val="003CA0"/>
          <w:sz w:val="16"/>
        </w:rPr>
        <w:t>[ADI 5.760, rel. min. Alexandre de Moraes, j. 13-9-2019, P, DJE de 26-9-2019.]</w:t>
      </w:r>
    </w:p>
    <w:p>
      <w:pPr>
        <w:ind w:left="288"/>
      </w:pPr>
      <w:r>
        <w:rPr>
          <w:color w:val="8C8C8C"/>
          <w:sz w:val="12"/>
        </w:rPr>
        <w:t>cf-art-7-inc-XXXII</w:t>
      </w:r>
    </w:p>
    <w:p>
      <w:pPr>
        <w:ind w:left="288"/>
      </w:pPr>
      <w:r>
        <w:rPr>
          <w:color w:val="1E1E1E"/>
          <w:sz w:val="18"/>
        </w:rPr>
        <w:t>XXXIII - proibição de trabalho noturno, perigoso ou insalubre a menores de dezoito e de qualquer trabalho a menores de dezesseis anos, salvo na condição de aprendiz, a partir de quatorze anos; (Redação da EC n. 20/1998)</w:t>
      </w:r>
    </w:p>
    <w:p>
      <w:pPr>
        <w:ind w:left="288"/>
      </w:pPr>
      <w:r>
        <w:rPr>
          <w:color w:val="8C8C8C"/>
          <w:sz w:val="12"/>
        </w:rPr>
        <w:t>cf-art-7-inc-XXXII</w:t>
      </w:r>
      <w:r>
        <w:rPr>
          <w:color w:val="003CA0"/>
          <w:sz w:val="12"/>
        </w:rPr>
        <w:t xml:space="preserve"> | ADI 2.096</w:t>
      </w:r>
      <w:r>
        <w:rPr>
          <w:color w:val="003CA0"/>
          <w:sz w:val="12"/>
        </w:rPr>
        <w:t xml:space="preserve"> | rel. Celso de Mello</w:t>
      </w:r>
    </w:p>
    <w:p>
      <w:pPr>
        <w:ind w:left="288"/>
      </w:pPr>
      <w:r>
        <w:rPr>
          <w:color w:val="1E1E1E"/>
          <w:sz w:val="18"/>
        </w:rPr>
        <w:t>Proibição de qualquer trabalho a menores de 16 (dezesseis) anos, salvo na condição de aprendiz, a partir dos 14 (quatorze) anos (...) A evolução jurídica das formas de tratamento legislativo dispensado à criança e ao adolescente: da fase da absoluta indiferença à doutrina da proteção integral – Abolição da exploração do trabalho infantil de caráter estritamente econômico e elevação progressiva da idade mínima de admissão para o trabalho e o emprego – Observância dos compromissos firmados pelo Brasil no plano internacional (Convenção sobre os Direitos da Criança, Convenção OIT nº 138 e Meta 8.7</w:t>
      </w:r>
    </w:p>
    <w:p>
      <w:pPr>
        <w:ind w:left="288"/>
      </w:pPr>
      <w:r>
        <w:rPr>
          <w:b/>
          <w:color w:val="003CA0"/>
          <w:sz w:val="16"/>
        </w:rPr>
        <w:t>[ADI 2.096, rel. min. Celso de Mello, j. 13-10-2020, P, DJE de 27-10-2020.]</w:t>
      </w:r>
    </w:p>
    <w:p>
      <w:pPr>
        <w:ind w:left="144"/>
      </w:pPr>
      <w:r>
        <w:rPr>
          <w:b/>
          <w:color w:val="B45A00"/>
          <w:sz w:val="16"/>
        </w:rPr>
        <w:t>JULGADOS CORRELATOS</w:t>
      </w:r>
    </w:p>
    <w:p>
      <w:pPr>
        <w:ind w:left="288"/>
      </w:pPr>
      <w:r>
        <w:rPr>
          <w:color w:val="8C8C8C"/>
          <w:sz w:val="12"/>
        </w:rPr>
        <w:t>cf-art-7-inc-XXXII</w:t>
      </w:r>
      <w:r>
        <w:rPr>
          <w:color w:val="003CA0"/>
          <w:sz w:val="12"/>
        </w:rPr>
        <w:t xml:space="preserve"> | RE 537.040</w:t>
      </w:r>
      <w:r>
        <w:rPr>
          <w:color w:val="003CA0"/>
          <w:sz w:val="12"/>
        </w:rPr>
        <w:t xml:space="preserve"> | rel. Dias Toffoli). [RE 600.616 AgR</w:t>
      </w:r>
    </w:p>
    <w:p>
      <w:pPr>
        <w:ind w:left="288"/>
      </w:pPr>
      <w:r>
        <w:rPr>
          <w:color w:val="1E1E1E"/>
          <w:sz w:val="18"/>
        </w:rPr>
        <w:t>Trabalhadora rural. Menor de dezesseis anos de idade. Concessão de salário-maternidade. (...) Nos termos da jurisprudência do STF, o art. 7º, XXXIII, da Constituição "não pode ser interpretado em prejuízo da criança ou adolescente que exerce atividade laboral, haja vista que a regra constitucional foi criada para a proteção e defesa dos trabalhadores, não podendo ser utilizada para privá-los dos seus direitos" (RE 537.040, rel. min. Dias Toffoli).</w:t>
      </w:r>
    </w:p>
    <w:p>
      <w:pPr>
        <w:ind w:left="288"/>
      </w:pPr>
      <w:r>
        <w:rPr>
          <w:b/>
          <w:color w:val="003CA0"/>
          <w:sz w:val="16"/>
        </w:rPr>
        <w:t>[RE 600.616 AgR, rel. min. Roberto Barroso, j. 26-8-2014, 1ª T, DJE de 10-9-2014.]</w:t>
      </w:r>
    </w:p>
    <w:p>
      <w:pPr>
        <w:ind w:left="288"/>
      </w:pPr>
      <w:r>
        <w:rPr>
          <w:color w:val="8C8C8C"/>
          <w:sz w:val="12"/>
        </w:rPr>
        <w:t>cf-art-7-inc-XXXII</w:t>
      </w:r>
      <w:r>
        <w:rPr>
          <w:color w:val="003CA0"/>
          <w:sz w:val="12"/>
        </w:rPr>
        <w:t xml:space="preserve"> | RE 1.225.475</w:t>
      </w:r>
      <w:r>
        <w:rPr>
          <w:color w:val="003CA0"/>
          <w:sz w:val="12"/>
        </w:rPr>
        <w:t xml:space="preserve"> | rel. Ricardo Lewandowski</w:t>
      </w:r>
    </w:p>
    <w:p>
      <w:pPr>
        <w:ind w:left="288"/>
      </w:pPr>
      <w:r>
        <w:rPr>
          <w:color w:val="1E1E1E"/>
          <w:sz w:val="18"/>
        </w:rPr>
        <w:t>= RE 1.225.475 AgR, rel. min. Ricardo Lewandowski, j. 21-12-2020, 2ª T, DJE de 5-2-2021 Trabalhador rural ou rurícola menor de quatorze anos. Contagem de tempo de serviço. Art. 11, VII, da Lei  8.213. Possibilidade. Precedentes. (...) Impossibilidade de declaração de efeitos retroativos para o caso de declaração de nulidade de contratos trabalhistas. Tratamento similar na doutrina do direito comparado: México, Alemanha, França e Itália. Norma de garantia do trabalhador que não se interpreta em seu detrimento. Acórdão do STJ em conformidade com a jurisprudência desta Corte.</w:t>
      </w:r>
    </w:p>
    <w:p>
      <w:pPr>
        <w:ind w:left="288"/>
      </w:pPr>
      <w:r>
        <w:rPr>
          <w:b/>
          <w:color w:val="003CA0"/>
          <w:sz w:val="16"/>
        </w:rPr>
        <w:t>[AI 529.694, rel. min. Gilmar Mendes, j. 15-2-2005, 2ª T, DJ de 11-3-2005.]</w:t>
      </w:r>
    </w:p>
    <w:p>
      <w:pPr>
        <w:ind w:left="288"/>
      </w:pPr>
      <w:r>
        <w:rPr>
          <w:color w:val="8C8C8C"/>
          <w:sz w:val="12"/>
        </w:rPr>
        <w:t>cf-art-7-inc-XXXII</w:t>
      </w:r>
    </w:p>
    <w:p>
      <w:pPr>
        <w:ind w:left="288"/>
      </w:pPr>
      <w:r>
        <w:rPr>
          <w:color w:val="1E1E1E"/>
          <w:sz w:val="18"/>
        </w:rPr>
        <w:t>XXXIV - igualdade de direitos entre o trabalhador com vínculo empregatício permanente e o trabalhador avulso.</w:t>
      </w:r>
    </w:p>
    <w:p>
      <w:pPr>
        <w:ind w:left="144"/>
      </w:pPr>
      <w:r>
        <w:rPr>
          <w:b/>
          <w:color w:val="B45A00"/>
          <w:sz w:val="16"/>
        </w:rPr>
        <w:t>CONTROLE CONCENTRADO</w:t>
      </w:r>
    </w:p>
    <w:p>
      <w:pPr>
        <w:ind w:left="288"/>
      </w:pPr>
      <w:r>
        <w:rPr>
          <w:color w:val="8C8C8C"/>
          <w:sz w:val="12"/>
        </w:rPr>
        <w:t>cf-art-7-inc-XXXII</w:t>
      </w:r>
      <w:r>
        <w:rPr>
          <w:color w:val="003CA0"/>
          <w:sz w:val="12"/>
        </w:rPr>
        <w:t xml:space="preserve"> | ADI 5.132</w:t>
      </w:r>
    </w:p>
    <w:p>
      <w:pPr>
        <w:ind w:left="288"/>
      </w:pPr>
      <w:r>
        <w:rPr>
          <w:color w:val="1E1E1E"/>
          <w:sz w:val="18"/>
        </w:rPr>
        <w:t>A Constituição da República, ao consignar, em seu art. 7º, o direito ‘à ação, quanto aos créditos resultantes das relações de trabalho, com prazo prescricional de cinco anos para os trabalhadores urbanos e rurais, até o limite de dois anos após a extinção do contrato de trabalho (inciso XXIX) e ‘a igualdade de direitos entre o trabalhador com vínculo empregatício permanente e o trabalhador avulso’ (inciso XXXIV), não elidiu a possibilidade de que, dentro do preceituado pelas normas constitucionais, em atenção aos princípios da valorização social do trabalho (art. 1º, IV) e de justiça social (a</w:t>
      </w:r>
    </w:p>
    <w:p>
      <w:pPr>
        <w:ind w:left="288"/>
      </w:pPr>
      <w:r>
        <w:rPr>
          <w:b/>
          <w:color w:val="003CA0"/>
          <w:sz w:val="16"/>
        </w:rPr>
        <w:t>[ADI 5.132, red. do ac. min. Edson Fachin, j. 29-3-2021, P, DJE de 15-4-2021.]</w:t>
      </w:r>
    </w:p>
    <w:p>
      <w:pPr>
        <w:ind w:left="144"/>
      </w:pPr>
      <w:r>
        <w:rPr>
          <w:b/>
          <w:color w:val="B45A00"/>
          <w:sz w:val="16"/>
        </w:rPr>
        <w:t>REPERCUSSAO GERAL</w:t>
      </w:r>
    </w:p>
    <w:p>
      <w:pPr>
        <w:ind w:left="288"/>
      </w:pPr>
      <w:r>
        <w:rPr>
          <w:color w:val="8C8C8C"/>
          <w:sz w:val="12"/>
        </w:rPr>
        <w:t>cf-art-7-inc-XXXII</w:t>
      </w:r>
      <w:r>
        <w:rPr>
          <w:color w:val="003CA0"/>
          <w:sz w:val="12"/>
        </w:rPr>
        <w:t xml:space="preserve"> | RE 597.124</w:t>
      </w:r>
      <w:r>
        <w:rPr>
          <w:color w:val="003CA0"/>
          <w:sz w:val="12"/>
        </w:rPr>
        <w:t xml:space="preserve"> | rel. Edson Fachin</w:t>
      </w:r>
    </w:p>
    <w:p>
      <w:pPr>
        <w:ind w:left="288"/>
      </w:pPr>
      <w:r>
        <w:rPr>
          <w:color w:val="1E1E1E"/>
          <w:sz w:val="18"/>
        </w:rPr>
        <w:t>Sempre que for pago ao trabalhador com vínculo permanente, o adicional de riscos é devido, nos mesmos termos, ao trabalhador portuário avulso.</w:t>
      </w:r>
    </w:p>
    <w:p>
      <w:pPr>
        <w:ind w:left="288"/>
      </w:pPr>
      <w:r>
        <w:rPr>
          <w:b/>
          <w:color w:val="003CA0"/>
          <w:sz w:val="16"/>
        </w:rPr>
        <w:t>[RE 597.124, rel. min. Edson Fachin, j. 3-6-2020, P, DJE de 23-10-2020, Tema 222, com mérito julgado.]</w:t>
      </w:r>
    </w:p>
    <w:p>
      <w:pPr>
        <w:ind w:left="288"/>
      </w:pPr>
      <w:r>
        <w:rPr>
          <w:color w:val="8C8C8C"/>
          <w:sz w:val="12"/>
        </w:rPr>
        <w:t>cf-art-7-inc-XXXII</w:t>
      </w:r>
    </w:p>
    <w:p>
      <w:pPr>
        <w:ind w:left="288"/>
      </w:pPr>
      <w:r>
        <w:rPr>
          <w:color w:val="1E1E1E"/>
          <w:sz w:val="18"/>
        </w:rPr>
        <w:t>Parágrafo único. São assegurados à categoria dos trabalhadores domésticos os direitos previstos nos incisos IV, VI, VII, VIII, X, XIII, XV, XVI, XVII, XVIII, XIX, XXI, XXII, XXIV, XXVI, XXX, XXXI e XXXIII e, atendidas as condições estabelecidas em lei e observada a simplificação do cumprimento das obrigações tributárias, principais e acessórias, decorrentes da relação de trabalho e suas peculiaridades, os previstos nos incisos I, II, III, IX, XII, XXV e XXVIII, bem como a sua integração à previdência social. (Redação da EC n. 72/2013)</w:t>
      </w:r>
    </w:p>
    <w:p>
      <w:pPr>
        <w:ind w:left="720"/>
      </w:pPr>
      <w:r>
        <w:rPr>
          <w:color w:val="003366"/>
          <w:sz w:val="18"/>
        </w:rPr>
        <w:t>I – relação de emprego protegida contra despedida arbitrária ou sem justa causa,</w:t>
      </w:r>
    </w:p>
    <w:p>
      <w:pPr>
        <w:ind w:left="720"/>
      </w:pPr>
      <w:r>
        <w:rPr>
          <w:color w:val="003366"/>
          <w:sz w:val="18"/>
        </w:rPr>
        <w:t>II – seguro-desemprego, em caso de desemprego involuntário;</w:t>
      </w:r>
    </w:p>
    <w:p>
      <w:pPr>
        <w:ind w:left="720"/>
      </w:pPr>
      <w:r>
        <w:rPr>
          <w:color w:val="003366"/>
          <w:sz w:val="18"/>
        </w:rPr>
        <w:t>III – fundo de garantia do tempo de serviço;</w:t>
      </w:r>
    </w:p>
    <w:p>
      <w:pPr>
        <w:ind w:left="720"/>
      </w:pPr>
      <w:r>
        <w:rPr>
          <w:color w:val="003366"/>
          <w:sz w:val="18"/>
        </w:rPr>
        <w:t>IV – salário mínimo , fixado em lei, nacionalmente unificado, capaz de atender a</w:t>
      </w:r>
    </w:p>
    <w:p>
      <w:pPr>
        <w:ind w:left="720"/>
      </w:pPr>
      <w:r>
        <w:rPr>
          <w:color w:val="003366"/>
          <w:sz w:val="18"/>
        </w:rPr>
        <w:t>V – piso salarial proporcional à extensão e à complexidade do trabalho;</w:t>
      </w:r>
    </w:p>
    <w:p>
      <w:pPr>
        <w:ind w:left="720"/>
      </w:pPr>
      <w:r>
        <w:rPr>
          <w:color w:val="003366"/>
          <w:sz w:val="18"/>
        </w:rPr>
        <w:t>VI – irredutibilidade do salário, salvo o disposto em convenção ou acordo coleti</w:t>
      </w:r>
    </w:p>
    <w:p>
      <w:pPr>
        <w:ind w:left="720"/>
      </w:pPr>
      <w:r>
        <w:rPr>
          <w:color w:val="003366"/>
          <w:sz w:val="18"/>
        </w:rPr>
        <w:t>VII – garantia de salário, nunca inferior ao mínimo, para os que percebem remune</w:t>
      </w:r>
    </w:p>
    <w:p>
      <w:pPr>
        <w:ind w:left="720"/>
      </w:pPr>
      <w:r>
        <w:rPr>
          <w:color w:val="003366"/>
          <w:sz w:val="18"/>
        </w:rPr>
        <w:t>VIII – décimo terceiro salário com base na remuneração integral ou no valor da a</w:t>
      </w:r>
    </w:p>
    <w:p>
      <w:pPr>
        <w:ind w:left="720"/>
      </w:pPr>
      <w:r>
        <w:rPr>
          <w:color w:val="003366"/>
          <w:sz w:val="18"/>
        </w:rPr>
        <w:t>X – proteção do salário na forma da lei, constituindo crime sua retenção dolosa;</w:t>
      </w:r>
    </w:p>
    <w:p>
      <w:pPr>
        <w:ind w:left="720"/>
      </w:pPr>
      <w:r>
        <w:rPr>
          <w:color w:val="003366"/>
          <w:sz w:val="18"/>
        </w:rPr>
        <w:t xml:space="preserve">XII – salário-família pago em razão do dependente do trabalhador de baixa renda </w:t>
      </w:r>
    </w:p>
    <w:p>
      <w:pPr>
        <w:ind w:left="720"/>
      </w:pPr>
      <w:r>
        <w:rPr>
          <w:color w:val="003366"/>
          <w:sz w:val="18"/>
        </w:rPr>
        <w:t>XIII – duração do trabalho normal não superior a oito horas diárias e quarenta e</w:t>
      </w:r>
    </w:p>
    <w:p>
      <w:pPr>
        <w:ind w:left="720"/>
      </w:pPr>
      <w:r>
        <w:rPr>
          <w:color w:val="003366"/>
          <w:sz w:val="18"/>
        </w:rPr>
        <w:t>XX – proteção do mercado de trabalho da mulher, mediante incentivos específicos,</w:t>
      </w:r>
    </w:p>
    <w:p>
      <w:pPr>
        <w:ind w:left="720"/>
      </w:pPr>
      <w:r>
        <w:rPr>
          <w:color w:val="003366"/>
          <w:sz w:val="18"/>
        </w:rPr>
        <w:t>XXI – aviso prévio proporcional ao tempo de serviço, sendo no mínimo de trinta d</w:t>
      </w:r>
    </w:p>
    <w:p>
      <w:pPr>
        <w:ind w:left="720"/>
      </w:pPr>
      <w:r>
        <w:rPr>
          <w:color w:val="003366"/>
          <w:sz w:val="18"/>
        </w:rPr>
        <w:t>XXII – redução dos riscos inerentes ao trabalho, por meio de normas de saúde, hi</w:t>
      </w:r>
    </w:p>
    <w:p>
      <w:pPr>
        <w:ind w:left="720"/>
      </w:pPr>
      <w:r>
        <w:rPr>
          <w:color w:val="003366"/>
          <w:sz w:val="18"/>
        </w:rPr>
        <w:t>XXIII – adicional de remuneração para as atividades penosas, insalubres ou perig</w:t>
      </w:r>
    </w:p>
    <w:p>
      <w:pPr>
        <w:ind w:left="1008"/>
      </w:pPr>
      <w:r>
        <w:rPr>
          <w:color w:val="003366"/>
          <w:sz w:val="18"/>
        </w:rPr>
        <w:t>a) (Revogada). (Redação dada pela Emenda Constitucional nº 28, de 2000)</w:t>
      </w:r>
    </w:p>
    <w:p>
      <w:pPr>
        <w:ind w:left="1008"/>
      </w:pPr>
      <w:r>
        <w:rPr>
          <w:color w:val="003366"/>
          <w:sz w:val="18"/>
        </w:rPr>
        <w:t>b) (Revogada). (Redação dada pela Emenda Constitucional nº 28, de 2000)</w:t>
      </w:r>
    </w:p>
    <w:p>
      <w:pPr>
        <w:ind w:left="720"/>
      </w:pPr>
      <w:r>
        <w:rPr>
          <w:color w:val="003366"/>
          <w:sz w:val="18"/>
        </w:rPr>
        <w:t xml:space="preserve">XXX – proibição de diferença de salários, de exercício de funções e de critério </w:t>
      </w:r>
    </w:p>
    <w:p>
      <w:pPr>
        <w:ind w:left="720"/>
      </w:pPr>
      <w:r>
        <w:rPr>
          <w:color w:val="003366"/>
          <w:sz w:val="18"/>
        </w:rPr>
        <w:t>XXXI – proibição de qualquer discriminação no tocante a salário e critérios de a</w:t>
      </w:r>
    </w:p>
    <w:p>
      <w:pPr>
        <w:ind w:left="720"/>
      </w:pPr>
      <w:r>
        <w:rPr>
          <w:color w:val="003366"/>
          <w:sz w:val="18"/>
        </w:rPr>
        <w:t>XXXII – proibição de distinção entre trabalho manual, técnico e intelectual ou e</w:t>
      </w:r>
    </w:p>
    <w:p>
      <w:pPr>
        <w:ind w:left="720"/>
      </w:pPr>
      <w:r>
        <w:rPr>
          <w:color w:val="003366"/>
          <w:sz w:val="18"/>
        </w:rPr>
        <w:t>XXXIII – proibição de trabalho noturno, perigoso ou insalubre a menores de dezoi</w:t>
      </w:r>
    </w:p>
    <w:p>
      <w:r>
        <w:rPr>
          <w:b/>
          <w:color w:val="003366"/>
          <w:sz w:val="20"/>
        </w:rPr>
        <w:t>Art. 8 É livre a associação profissional ou sindical, observado o seguinte:</w:t>
      </w:r>
      <w:r>
        <w:rPr>
          <w:color w:val="8C8C8C"/>
          <w:sz w:val="14"/>
        </w:rPr>
        <w:t xml:space="preserve">  [74 decisoes]</w:t>
      </w:r>
    </w:p>
    <w:p>
      <w:pPr>
        <w:ind w:left="144"/>
      </w:pPr>
      <w:r>
        <w:rPr>
          <w:b/>
          <w:color w:val="B45A00"/>
          <w:sz w:val="16"/>
        </w:rPr>
        <w:t>CONTROLE CONCENTRADO</w:t>
      </w:r>
    </w:p>
    <w:p>
      <w:pPr>
        <w:ind w:left="288"/>
      </w:pPr>
      <w:r>
        <w:rPr>
          <w:color w:val="8C8C8C"/>
          <w:sz w:val="12"/>
        </w:rPr>
        <w:t>cf-art-8</w:t>
      </w:r>
      <w:r>
        <w:rPr>
          <w:color w:val="003CA0"/>
          <w:sz w:val="12"/>
        </w:rPr>
        <w:t xml:space="preserve"> | ADI 5.251</w:t>
      </w:r>
      <w:r>
        <w:rPr>
          <w:color w:val="003CA0"/>
          <w:sz w:val="12"/>
        </w:rPr>
        <w:t xml:space="preserve"> | rel. Marco Aurélio</w:t>
      </w:r>
    </w:p>
    <w:p>
      <w:pPr>
        <w:ind w:left="288"/>
      </w:pPr>
      <w:r>
        <w:rPr>
          <w:color w:val="1E1E1E"/>
          <w:sz w:val="18"/>
        </w:rPr>
        <w:t>É incompatível, com a liberdade de associação profissional ou sindical – artigo 8º, cabeça e inciso V, da Carta da República –, a exigência, para o exercício de profissão, de inscrição em órgão de classe ou sindicato.</w:t>
      </w:r>
    </w:p>
    <w:p>
      <w:pPr>
        <w:ind w:left="288"/>
      </w:pPr>
      <w:r>
        <w:rPr>
          <w:b/>
          <w:color w:val="003CA0"/>
          <w:sz w:val="16"/>
        </w:rPr>
        <w:t>[ADI 5.251, rel. min. Marco Aurélio, j. 8-4-2021, P, DJE de 16-4-2021.]</w:t>
      </w:r>
    </w:p>
    <w:p>
      <w:pPr>
        <w:ind w:left="288"/>
      </w:pPr>
      <w:r>
        <w:rPr>
          <w:color w:val="8C8C8C"/>
          <w:sz w:val="12"/>
        </w:rPr>
        <w:t>cf-art-8</w:t>
      </w:r>
      <w:r>
        <w:rPr>
          <w:color w:val="003CA0"/>
          <w:sz w:val="12"/>
        </w:rPr>
        <w:t xml:space="preserve"> | ADPF 276</w:t>
      </w:r>
      <w:r>
        <w:rPr>
          <w:color w:val="003CA0"/>
          <w:sz w:val="12"/>
        </w:rPr>
        <w:t xml:space="preserve"> | rel. Cármen Lúcia</w:t>
      </w:r>
    </w:p>
    <w:p>
      <w:pPr>
        <w:ind w:left="288"/>
      </w:pPr>
      <w:r>
        <w:rPr>
          <w:color w:val="1E1E1E"/>
          <w:sz w:val="18"/>
        </w:rPr>
        <w:t>Recepção do art. 522 da Consolidação Das Leis do Trabalho. (...) A liberdade sindical tem previsão constitucional, mas não se dota de caráter absoluto. A previsão legal de número máximo de dirigentes sindicais dotados de estabilidade de emprego não esvazia aquela liberdade, que se preserva para cumprir a finalidade de autonomia da entidade sindical, não para criar situações de estabilidade genérica e ilimitada sem se conciliar com a razoabilidade e a finalidade da norma constitucional garantidora do direito.</w:t>
      </w:r>
    </w:p>
    <w:p>
      <w:pPr>
        <w:ind w:left="288"/>
      </w:pPr>
      <w:r>
        <w:rPr>
          <w:b/>
          <w:color w:val="003CA0"/>
          <w:sz w:val="16"/>
        </w:rPr>
        <w:t>[ADPF 276, rel. min. Cármen Lúcia, j. 15-5-2020, P, DJE de 3-6-2020.]</w:t>
      </w:r>
    </w:p>
    <w:p>
      <w:pPr>
        <w:ind w:left="288"/>
      </w:pPr>
      <w:r>
        <w:rPr>
          <w:color w:val="8C8C8C"/>
          <w:sz w:val="12"/>
        </w:rPr>
        <w:t>cf-art-8</w:t>
      </w:r>
      <w:r>
        <w:rPr>
          <w:color w:val="003CA0"/>
          <w:sz w:val="12"/>
        </w:rPr>
        <w:t xml:space="preserve"> | ADI 5.794</w:t>
      </w:r>
      <w:r>
        <w:rPr>
          <w:color w:val="003CA0"/>
          <w:sz w:val="12"/>
        </w:rPr>
        <w:t xml:space="preserve"> | rel. Dias Toffoli</w:t>
      </w:r>
    </w:p>
    <w:p>
      <w:pPr>
        <w:ind w:left="288"/>
      </w:pPr>
      <w:r>
        <w:rPr>
          <w:color w:val="1E1E1E"/>
          <w:sz w:val="18"/>
        </w:rPr>
        <w:t>A Carta Magna não contém qualquer comando impondo a compulsoriedade da contribuição sindical, na medida em que o art. 8º, IV, da Constituição remete à lei a tarefa de dispor sobre a referida contribuição e o art. 149 da Lei Maior, por sua vez, limita-se a conferir à União o poder de criar contribuições sociais, o que, evidentemente, inclui a prerrogativa de extinguir ou modificar a natureza de contribuições existentes. A supressão do caráter compulsório das contribuições sindicais não vulnera o princípio constitucional da autonomia da organização sindical, previsto no art. 8º, I, da Carta Magn</w:t>
      </w:r>
    </w:p>
    <w:p>
      <w:pPr>
        <w:ind w:left="288"/>
      </w:pPr>
      <w:r>
        <w:rPr>
          <w:b/>
          <w:color w:val="003CA0"/>
          <w:sz w:val="16"/>
        </w:rPr>
        <w:t>[ARE 1.541.256 AgR, rel. min. Dias Toffoli, j. 13.05.2025, P, DJE de 06.06.2025.]</w:t>
      </w:r>
    </w:p>
    <w:p>
      <w:pPr>
        <w:ind w:left="288"/>
      </w:pPr>
      <w:r>
        <w:rPr>
          <w:color w:val="8C8C8C"/>
          <w:sz w:val="12"/>
        </w:rPr>
        <w:t>cf-art-8</w:t>
      </w:r>
    </w:p>
    <w:p>
      <w:pPr>
        <w:ind w:left="288"/>
      </w:pPr>
      <w:r>
        <w:rPr>
          <w:color w:val="1E1E1E"/>
          <w:sz w:val="18"/>
        </w:rPr>
        <w:t>I - a lei não poderá exigir autorização do Estado para a fundação de sindicato, ressalvado o registro no órgão competente, vedadas ao Poder Público a interferência e a intervenção na organização sindical;</w:t>
      </w:r>
    </w:p>
    <w:p>
      <w:pPr>
        <w:ind w:left="144"/>
      </w:pPr>
      <w:r>
        <w:rPr>
          <w:b/>
          <w:color w:val="B45A00"/>
          <w:sz w:val="16"/>
        </w:rPr>
        <w:t>SUMULA</w:t>
      </w:r>
    </w:p>
    <w:p>
      <w:pPr>
        <w:ind w:left="288"/>
      </w:pPr>
      <w:r>
        <w:rPr>
          <w:color w:val="8C8C8C"/>
          <w:sz w:val="12"/>
        </w:rPr>
        <w:t>cf-art-8</w:t>
      </w:r>
    </w:p>
    <w:p>
      <w:pPr>
        <w:ind w:left="288"/>
      </w:pPr>
      <w:r>
        <w:rPr>
          <w:color w:val="1E1E1E"/>
          <w:sz w:val="18"/>
        </w:rPr>
        <w:t>Até que lei venha a dispor a respeito, incumbe ao Ministério do Trabalho proceder ao registro das entidades sindicais e zelar pela observância do princípio da unicidade.</w:t>
      </w:r>
    </w:p>
    <w:p>
      <w:pPr>
        <w:ind w:left="288"/>
      </w:pPr>
      <w:r>
        <w:rPr>
          <w:b/>
          <w:color w:val="003CA0"/>
          <w:sz w:val="16"/>
        </w:rPr>
        <w:t>[Súmula 677.]</w:t>
      </w:r>
    </w:p>
    <w:p>
      <w:pPr>
        <w:ind w:left="144"/>
      </w:pPr>
      <w:r>
        <w:rPr>
          <w:b/>
          <w:color w:val="B45A00"/>
          <w:sz w:val="16"/>
        </w:rPr>
        <w:t>CONTROLE CONCENTRADO</w:t>
      </w:r>
    </w:p>
    <w:p>
      <w:pPr>
        <w:ind w:left="288"/>
      </w:pPr>
      <w:r>
        <w:rPr>
          <w:color w:val="8C8C8C"/>
          <w:sz w:val="12"/>
        </w:rPr>
        <w:t>cf-art-8</w:t>
      </w:r>
      <w:r>
        <w:rPr>
          <w:color w:val="003CA0"/>
          <w:sz w:val="12"/>
        </w:rPr>
        <w:t xml:space="preserve"> | ADI 4.468</w:t>
      </w:r>
      <w:r>
        <w:rPr>
          <w:color w:val="003CA0"/>
          <w:sz w:val="12"/>
        </w:rPr>
        <w:t xml:space="preserve"> | rel. Celso de Mello</w:t>
      </w:r>
    </w:p>
    <w:p>
      <w:pPr>
        <w:ind w:left="288"/>
      </w:pPr>
      <w:r>
        <w:rPr>
          <w:color w:val="1E1E1E"/>
          <w:sz w:val="18"/>
        </w:rPr>
        <w:t>A fixação da jornada de trabalho mediante lei (tal como sucedeu em relação aos Assistentes Sociais), além de não traduzir ofensa à autonomia sindical ou ao processo de negociação coletiva para deliberar sobre esse tema, revela-se plenamente legítima e inteiramente compatível com o texto da Constituição da República, seja porque a Lei nº 12.317/2010 emanou de pessoa estatal competente (CF, art. 22, I), seja, ainda, porque mencionado diploma legislativo veiculou, no caso, norma claramente favorável a essa categoria profissional, pois instituiu, “in melius”, regime jurídico mais benéfico pertinen</w:t>
      </w:r>
    </w:p>
    <w:p>
      <w:pPr>
        <w:ind w:left="288"/>
      </w:pPr>
      <w:r>
        <w:rPr>
          <w:b/>
          <w:color w:val="003CA0"/>
          <w:sz w:val="16"/>
        </w:rPr>
        <w:t>[ADI 4.468, rel. min. Celso de Mello, j. 13-10-2020, P, DJE de 27-10-2020.]</w:t>
      </w:r>
    </w:p>
    <w:p>
      <w:pPr>
        <w:ind w:left="288"/>
      </w:pPr>
      <w:r>
        <w:rPr>
          <w:color w:val="8C8C8C"/>
          <w:sz w:val="12"/>
        </w:rPr>
        <w:t>cf-art-8</w:t>
      </w:r>
      <w:r>
        <w:rPr>
          <w:color w:val="003CA0"/>
          <w:sz w:val="12"/>
        </w:rPr>
        <w:t xml:space="preserve"> | ADI 4.364</w:t>
      </w:r>
      <w:r>
        <w:rPr>
          <w:color w:val="003CA0"/>
          <w:sz w:val="12"/>
        </w:rPr>
        <w:t xml:space="preserve"> | rel. Dias Toffoli</w:t>
      </w:r>
    </w:p>
    <w:p>
      <w:pPr>
        <w:ind w:left="288"/>
      </w:pPr>
      <w:r>
        <w:rPr>
          <w:color w:val="1E1E1E"/>
          <w:sz w:val="18"/>
        </w:rPr>
        <w:t>A parte final do parágrafo único do art. 2º da LC 459/2009, ao determinar a participação do "Governo do Estado de Santa Catarina" nas negociações entre as entidades sindicais de trabalhadores e empregadores para atualização dos pisos salariais fixados na referida lei complementar, ofende o princípio da autonomia sindical (art. 8º, I, CF/1988) e extrapola os contornos da competência legislativa delegada pela União. As negociações coletivas devem ocorrer com a participação dos representantes dos empregadores e dos trabalhadores, sem intromissão do governo (princípio da negociação livre). Ao cria</w:t>
      </w:r>
    </w:p>
    <w:p>
      <w:pPr>
        <w:ind w:left="288"/>
      </w:pPr>
      <w:r>
        <w:rPr>
          <w:b/>
          <w:color w:val="003CA0"/>
          <w:sz w:val="16"/>
        </w:rPr>
        <w:t>[ADI 4.364, rel. min. Dias Toffoli, j. 2-3-2011, P, DJE de 16-5-2011.]</w:t>
      </w:r>
    </w:p>
    <w:p>
      <w:pPr>
        <w:ind w:left="288"/>
      </w:pPr>
      <w:r>
        <w:rPr>
          <w:color w:val="8C8C8C"/>
          <w:sz w:val="12"/>
        </w:rPr>
        <w:t>cf-art-8</w:t>
      </w:r>
      <w:r>
        <w:rPr>
          <w:color w:val="003CA0"/>
          <w:sz w:val="12"/>
        </w:rPr>
        <w:t xml:space="preserve"> | ADI 4.033</w:t>
      </w:r>
      <w:r>
        <w:rPr>
          <w:color w:val="003CA0"/>
          <w:sz w:val="12"/>
        </w:rPr>
        <w:t xml:space="preserve"> | rel. Joaquim Barbosa</w:t>
      </w:r>
    </w:p>
    <w:p>
      <w:pPr>
        <w:ind w:left="288"/>
      </w:pPr>
      <w:r>
        <w:rPr>
          <w:color w:val="1E1E1E"/>
          <w:sz w:val="18"/>
        </w:rPr>
        <w:t>Contribuição sindical patronal. Isenção concedida às microempresas e empresas de pequeno porte. Simples Nacional ("Supersimples"). LC 123/2006, art. 13, § 3º. (...) Risco à autonomia sindical afastado, na medida em que o benefício em exame poderá tanto elevar o número de empresas a patamar superior ao da faixa de isenção quanto fomentar a atividade econômica e o consumo para as empresas de médio ou de grande porte, ao incentivar a regularização de empreendimentos.</w:t>
      </w:r>
    </w:p>
    <w:p>
      <w:pPr>
        <w:ind w:left="288"/>
      </w:pPr>
      <w:r>
        <w:rPr>
          <w:b/>
          <w:color w:val="003CA0"/>
          <w:sz w:val="16"/>
        </w:rPr>
        <w:t>[ADI 4.033, rel. min. Joaquim Barbosa, j. 15-9-2010, P, DJE de 7-2-2011.]</w:t>
      </w:r>
    </w:p>
    <w:p>
      <w:pPr>
        <w:ind w:left="288"/>
      </w:pPr>
      <w:r>
        <w:rPr>
          <w:color w:val="8C8C8C"/>
          <w:sz w:val="12"/>
        </w:rPr>
        <w:t>cf-art-8</w:t>
      </w:r>
      <w:r>
        <w:rPr>
          <w:color w:val="003CA0"/>
          <w:sz w:val="12"/>
        </w:rPr>
        <w:t xml:space="preserve"> | ADI 2.522</w:t>
      </w:r>
      <w:r>
        <w:rPr>
          <w:color w:val="003CA0"/>
          <w:sz w:val="12"/>
        </w:rPr>
        <w:t xml:space="preserve"> | rel. Eros Grau</w:t>
      </w:r>
    </w:p>
    <w:p>
      <w:pPr>
        <w:ind w:left="288"/>
      </w:pPr>
      <w:r>
        <w:rPr>
          <w:color w:val="1E1E1E"/>
          <w:sz w:val="18"/>
        </w:rPr>
        <w:t>Art. 47 da Lei federal 8.906/1994. Estatuto da Advocacia e da Ordem dos Advogados do Brasil. Contribuição anual à OAB. Isenção do pagamento obrigatório da contribuição sindical. (...) O texto hostilizado não consubstancia violação da independência sindical, visto não ser expressivo de interferência e/ou intervenção na organização dos sindicatos. (...) O texto atacado não obsta a liberdade dos advogados.</w:t>
      </w:r>
    </w:p>
    <w:p>
      <w:pPr>
        <w:ind w:left="288"/>
      </w:pPr>
      <w:r>
        <w:rPr>
          <w:b/>
          <w:color w:val="003CA0"/>
          <w:sz w:val="16"/>
        </w:rPr>
        <w:t>[ADI 2.522, rel. min. Eros Grau, j. 8-6-2006, P, DJ de 18-8-2006.]</w:t>
      </w:r>
    </w:p>
    <w:p>
      <w:pPr>
        <w:ind w:left="288"/>
      </w:pPr>
      <w:r>
        <w:rPr>
          <w:color w:val="8C8C8C"/>
          <w:sz w:val="12"/>
        </w:rPr>
        <w:t>cf-art-8</w:t>
      </w:r>
      <w:r>
        <w:rPr>
          <w:color w:val="003CA0"/>
          <w:sz w:val="12"/>
        </w:rPr>
        <w:t xml:space="preserve"> | ADI 1.121</w:t>
      </w:r>
      <w:r>
        <w:rPr>
          <w:color w:val="003CA0"/>
          <w:sz w:val="12"/>
        </w:rPr>
        <w:t xml:space="preserve"> | rel. Sepúlveda Pertence. O registro sindical qualifica-se como ato administrativo essencialmente vinculado</w:t>
      </w:r>
    </w:p>
    <w:p>
      <w:pPr>
        <w:ind w:left="288"/>
      </w:pPr>
      <w:r>
        <w:rPr>
          <w:color w:val="1E1E1E"/>
          <w:sz w:val="18"/>
        </w:rPr>
        <w:t>A jurisprudência do STF, ao interpretar a norma inscrita no art. 8º, I, da Carta Política – e tendo presentes as várias posições assumidas pelo magistério doutrinário (uma, que sustenta a suficiência do registro da entidade sindical no Registro Civil das Pessoas Jurídicas; outra, que se satisfaz com o registro personificador no Ministério do Trabalho; e a última, que exige o duplo registro: no Registro Civil das Pessoas Jurídicas, para efeito de aquisição da personalidade meramente civil, e no Ministério do Trabalho, para obtenção da personalidade sindical) –, firmou orientação no sentido de q</w:t>
      </w:r>
    </w:p>
    <w:p>
      <w:pPr>
        <w:ind w:left="288"/>
      </w:pPr>
      <w:r>
        <w:rPr>
          <w:b/>
          <w:color w:val="003CA0"/>
          <w:sz w:val="16"/>
        </w:rPr>
        <w:t>[ADI 1.121 MC, rel. min. Celso de Mello, j. 6-9-1995, P, DJ de 6-10-1995.]</w:t>
      </w:r>
    </w:p>
    <w:p>
      <w:pPr>
        <w:ind w:left="288"/>
      </w:pPr>
      <w:r>
        <w:rPr>
          <w:color w:val="8C8C8C"/>
          <w:sz w:val="12"/>
        </w:rPr>
        <w:t>cf-art-8</w:t>
      </w:r>
      <w:r>
        <w:rPr>
          <w:color w:val="003CA0"/>
          <w:sz w:val="12"/>
        </w:rPr>
        <w:t xml:space="preserve"> | ADPF 288</w:t>
      </w:r>
      <w:r>
        <w:rPr>
          <w:color w:val="003CA0"/>
          <w:sz w:val="12"/>
        </w:rPr>
        <w:t xml:space="preserve"> | rel. Celso de Mello</w:t>
      </w:r>
    </w:p>
    <w:p>
      <w:pPr>
        <w:ind w:left="288"/>
      </w:pPr>
      <w:r>
        <w:rPr>
          <w:color w:val="1E1E1E"/>
          <w:sz w:val="18"/>
        </w:rPr>
        <w:t>= ADPF 288 MC, rel. min. Celso de Mello, j. 21-10-2013, dec. monocrática, DJE de 25-10-2013 = ADI 3.805 AgR, rel. min. Eros Grau, j. 22-4-2009, P, DJE de 14-8-2009 “É infraconstitucional e pressupõe o exame de matéria fática e contratual a controvérsia sobre a possibilidade de o contrato celebrado com sindicato, para a defesa de interesses em ação coletiva, permitir a retenção de honorários advocatícios contratuais em execuções individuais.”</w:t>
      </w:r>
    </w:p>
    <w:p>
      <w:pPr>
        <w:ind w:left="288"/>
      </w:pPr>
      <w:r>
        <w:rPr>
          <w:b/>
          <w:color w:val="003CA0"/>
          <w:sz w:val="16"/>
        </w:rPr>
        <w:t>[RE 1.520.954 RG, rel. min. Luís Roberto Barroso, j. 13.12.2024, P, DJE de 18.12.2024, Tema 1.364, com repercussão geral negada.]</w:t>
      </w:r>
    </w:p>
    <w:p>
      <w:pPr>
        <w:ind w:left="144"/>
      </w:pPr>
      <w:r>
        <w:rPr>
          <w:b/>
          <w:color w:val="B45A00"/>
          <w:sz w:val="16"/>
        </w:rPr>
        <w:t>JULGADOS CORRELATOS</w:t>
      </w:r>
    </w:p>
    <w:p>
      <w:pPr>
        <w:ind w:left="288"/>
      </w:pPr>
      <w:r>
        <w:rPr>
          <w:color w:val="8C8C8C"/>
          <w:sz w:val="12"/>
        </w:rPr>
        <w:t>cf-art-8</w:t>
      </w:r>
      <w:r>
        <w:rPr>
          <w:color w:val="003CA0"/>
          <w:sz w:val="12"/>
        </w:rPr>
        <w:t xml:space="preserve"> | RE 157.940</w:t>
      </w:r>
      <w:r>
        <w:rPr>
          <w:color w:val="003CA0"/>
          <w:sz w:val="12"/>
        </w:rPr>
        <w:t xml:space="preserve"> | rel. Maurício Corrêa</w:t>
      </w:r>
    </w:p>
    <w:p>
      <w:pPr>
        <w:ind w:left="288"/>
      </w:pPr>
      <w:r>
        <w:rPr>
          <w:color w:val="1E1E1E"/>
          <w:sz w:val="18"/>
        </w:rPr>
        <w:t>O ato de fiscalização estatal se restringe à observância da norma constitucional no que diz respeito à vedação da sobreposição, na mesma base territorial, de organização sindical do mesmo grau. Interferência estatal na liberdade de organização sindical. Inexistência. O poder público, tendo em vista o preceito constitucional proibitivo, exerce mera fiscalização.</w:t>
      </w:r>
    </w:p>
    <w:p>
      <w:pPr>
        <w:ind w:left="288"/>
      </w:pPr>
      <w:r>
        <w:rPr>
          <w:b/>
          <w:color w:val="003CA0"/>
          <w:sz w:val="16"/>
        </w:rPr>
        <w:t>[RE 157.940, rel. min. Maurício Corrêa, j. 3-11-1997, 2ª T, DJ de 27-3-1998.]</w:t>
      </w:r>
    </w:p>
    <w:p>
      <w:pPr>
        <w:ind w:left="288"/>
      </w:pPr>
      <w:r>
        <w:rPr>
          <w:color w:val="8C8C8C"/>
          <w:sz w:val="12"/>
        </w:rPr>
        <w:t>cf-art-8</w:t>
      </w:r>
      <w:r>
        <w:rPr>
          <w:color w:val="003CA0"/>
          <w:sz w:val="12"/>
        </w:rPr>
        <w:t xml:space="preserve"> | MI 144</w:t>
      </w:r>
      <w:r>
        <w:rPr>
          <w:color w:val="003CA0"/>
          <w:sz w:val="12"/>
        </w:rPr>
        <w:t xml:space="preserve"> | rel. Sepúlveda Pertence</w:t>
      </w:r>
    </w:p>
    <w:p>
      <w:pPr>
        <w:ind w:left="288"/>
      </w:pPr>
      <w:r>
        <w:rPr>
          <w:color w:val="1E1E1E"/>
          <w:sz w:val="18"/>
        </w:rPr>
        <w:t>Liberdade e unicidade sindical e competência para o registro de entidades sindicais (CF, art. 8º, I e II): recepção em termos, da competência do Ministério do Trabalho, sem prejuízo da possibilidade de a lei vir a criar regime diverso. O que é inerente à nova concepção constitucional positiva de liberdade sindical é, não a inexistência de registro público – o qual é reclamado, no sistema brasileiro, para o aperfeiçoamento da constituição de toda e qualquer pessoa jurídica de direito privado –, mas, a teor do art. 8º, I, do Texto Fundamental, "que a lei não poderá exigir autorização do Estado p</w:t>
      </w:r>
    </w:p>
    <w:p>
      <w:pPr>
        <w:ind w:left="288"/>
      </w:pPr>
      <w:r>
        <w:rPr>
          <w:b/>
          <w:color w:val="003CA0"/>
          <w:sz w:val="16"/>
        </w:rPr>
        <w:t>[MI 144, rel. min. Sepúlveda Pertence, j. 3-8-1992, P, DJ de 28-5-1993.]</w:t>
      </w:r>
    </w:p>
    <w:p>
      <w:pPr>
        <w:ind w:left="288"/>
      </w:pPr>
      <w:r>
        <w:rPr>
          <w:color w:val="8C8C8C"/>
          <w:sz w:val="12"/>
        </w:rPr>
        <w:t>cf-art-8</w:t>
      </w:r>
      <w:r>
        <w:rPr>
          <w:color w:val="003CA0"/>
          <w:sz w:val="12"/>
        </w:rPr>
        <w:t xml:space="preserve"> | AI 789.108</w:t>
      </w:r>
      <w:r>
        <w:rPr>
          <w:color w:val="003CA0"/>
          <w:sz w:val="12"/>
        </w:rPr>
        <w:t xml:space="preserve"> | rel. Ellen Gracie</w:t>
      </w:r>
    </w:p>
    <w:p>
      <w:pPr>
        <w:ind w:left="288"/>
      </w:pPr>
      <w:r>
        <w:rPr>
          <w:color w:val="1E1E1E"/>
          <w:sz w:val="18"/>
        </w:rPr>
        <w:t>= AI 789.108 AgR, rel. min. Ellen Gracie, j. 5-10-2010, 2ª T, DJE de 28-10-2010 II - é vedada a criação de mais de uma organização sindical, em qualquer grau, representativa de categoria profissional ou econômica, na mesma base territorial, que será definida pelos trabalhadores ou empregadores interessados, não podendo ser inferior à área de um Município;</w:t>
      </w:r>
    </w:p>
    <w:p>
      <w:pPr>
        <w:ind w:left="144"/>
      </w:pPr>
      <w:r>
        <w:rPr>
          <w:b/>
          <w:color w:val="B45A00"/>
          <w:sz w:val="16"/>
        </w:rPr>
        <w:t>SUMULA</w:t>
      </w:r>
    </w:p>
    <w:p>
      <w:pPr>
        <w:ind w:left="288"/>
      </w:pPr>
      <w:r>
        <w:rPr>
          <w:color w:val="8C8C8C"/>
          <w:sz w:val="12"/>
        </w:rPr>
        <w:t>cf-art-8</w:t>
      </w:r>
    </w:p>
    <w:p>
      <w:pPr>
        <w:ind w:left="288"/>
      </w:pPr>
      <w:r>
        <w:rPr>
          <w:color w:val="1E1E1E"/>
          <w:sz w:val="18"/>
        </w:rPr>
        <w:t>Até que lei venha a dispor a respeito, cabe ao Ministério do Trabalho proceder ao registro das entidades sindicais e zelar pela observância do princípio da unicidade.</w:t>
      </w:r>
    </w:p>
    <w:p>
      <w:pPr>
        <w:ind w:left="288"/>
      </w:pPr>
      <w:r>
        <w:rPr>
          <w:b/>
          <w:color w:val="003CA0"/>
          <w:sz w:val="16"/>
        </w:rPr>
        <w:t>[Súmula 677.]</w:t>
      </w:r>
    </w:p>
    <w:p>
      <w:pPr>
        <w:ind w:left="144"/>
      </w:pPr>
      <w:r>
        <w:rPr>
          <w:b/>
          <w:color w:val="B45A00"/>
          <w:sz w:val="16"/>
        </w:rPr>
        <w:t>REPERCUSSAO GERAL</w:t>
      </w:r>
    </w:p>
    <w:p>
      <w:pPr>
        <w:ind w:left="288"/>
      </w:pPr>
      <w:r>
        <w:rPr>
          <w:color w:val="8C8C8C"/>
          <w:sz w:val="12"/>
        </w:rPr>
        <w:t>cf-art-8</w:t>
      </w:r>
      <w:r>
        <w:rPr>
          <w:color w:val="003CA0"/>
          <w:sz w:val="12"/>
        </w:rPr>
        <w:t xml:space="preserve"> | RE 646.104</w:t>
      </w:r>
      <w:r>
        <w:rPr>
          <w:color w:val="003CA0"/>
          <w:sz w:val="12"/>
        </w:rPr>
        <w:t xml:space="preserve"> | rel. Dias Toffoli</w:t>
      </w:r>
    </w:p>
    <w:p>
      <w:pPr>
        <w:ind w:left="288"/>
      </w:pPr>
      <w:r>
        <w:rPr>
          <w:color w:val="1E1E1E"/>
          <w:sz w:val="18"/>
        </w:rPr>
        <w:t>“Em observância ao princípio da unicidade sindical, previsto no art. 8º, inciso II, da Constituição Federal de 1988, a quantidade de empregados, ou qualquer outro critério relativo à dimensão da empresa, não constitui elemento apto a embasar a definição de categoria econômica ou profissional para fins de criação de sindicatos de micros e pequenas empresas”.</w:t>
        <w:br/>
        <w:t>[RE 646.104, rel. min. Dias Toffoli, j. 29.05.2024, P, DJE de 03.09.2024, Tema 488, com mérito julgado.]</w:t>
      </w:r>
    </w:p>
    <w:p>
      <w:pPr>
        <w:ind w:left="144"/>
      </w:pPr>
      <w:r>
        <w:rPr>
          <w:b/>
          <w:color w:val="B45A00"/>
          <w:sz w:val="16"/>
        </w:rPr>
        <w:t>JULGADOS CORRELATOS</w:t>
      </w:r>
    </w:p>
    <w:p>
      <w:pPr>
        <w:ind w:left="288"/>
      </w:pPr>
      <w:r>
        <w:rPr>
          <w:color w:val="8C8C8C"/>
          <w:sz w:val="12"/>
        </w:rPr>
        <w:t>cf-art-8</w:t>
      </w:r>
      <w:r>
        <w:rPr>
          <w:color w:val="003CA0"/>
          <w:sz w:val="12"/>
        </w:rPr>
        <w:t xml:space="preserve"> | RCL 4.990</w:t>
      </w:r>
      <w:r>
        <w:rPr>
          <w:color w:val="003CA0"/>
          <w:sz w:val="12"/>
        </w:rPr>
        <w:t xml:space="preserve"> | rel. Ellen Gracie</w:t>
      </w:r>
    </w:p>
    <w:p>
      <w:pPr>
        <w:ind w:left="288"/>
      </w:pPr>
      <w:r>
        <w:rPr>
          <w:color w:val="1E1E1E"/>
          <w:sz w:val="18"/>
        </w:rPr>
        <w:t>Incumbe ao sindicato comprovar que possui registro sindical junto ao Ministério do Trabalho e Emprego, instrumento indispensável para a fiscalização do postulado da unicidade sindical. O registro sindical é o ato que habilita as entidades sindicais para a representação de determinada categoria, tendo em vista a necessidade de observância do postulado da unicidade sindical.</w:t>
      </w:r>
    </w:p>
    <w:p>
      <w:pPr>
        <w:ind w:left="288"/>
      </w:pPr>
      <w:r>
        <w:rPr>
          <w:b/>
          <w:color w:val="003CA0"/>
          <w:sz w:val="16"/>
        </w:rPr>
        <w:t>[Rcl 4.990 AgR, rel. min. Ellen Gracie, j. 4-3-2009, P, DJE de 27-3-2009.]</w:t>
      </w:r>
    </w:p>
    <w:p>
      <w:pPr>
        <w:ind w:left="288"/>
      </w:pPr>
      <w:r>
        <w:rPr>
          <w:color w:val="8C8C8C"/>
          <w:sz w:val="12"/>
        </w:rPr>
        <w:t>cf-art-8</w:t>
      </w:r>
      <w:r>
        <w:rPr>
          <w:color w:val="003CA0"/>
          <w:sz w:val="12"/>
        </w:rPr>
        <w:t xml:space="preserve"> | ARE 697.852</w:t>
      </w:r>
      <w:r>
        <w:rPr>
          <w:color w:val="003CA0"/>
          <w:sz w:val="12"/>
        </w:rPr>
        <w:t xml:space="preserve"> | rel. Cármen Lúcia</w:t>
      </w:r>
    </w:p>
    <w:p>
      <w:pPr>
        <w:ind w:left="288"/>
      </w:pPr>
      <w:r>
        <w:rPr>
          <w:color w:val="1E1E1E"/>
          <w:sz w:val="18"/>
        </w:rPr>
        <w:t>= ARE 697.852 AgR, rel. min. Cármen Lúcia, j. 30-10-2012, 2ª T, DJE de 21-11-2012 É pacífica a jurisprudência deste nosso Tribunal no sentido de que não implica ofensa ao princípio da unidade sindical a criação de novo sindicato, por desdobramento de sindicato preexistente, para representação de categoria profissional específica, desde que respeitados os requisitos impostos pela legislação trabalhista e atendida a abrangência territorial mínima estabelecida pela CF.</w:t>
      </w:r>
    </w:p>
    <w:p>
      <w:pPr>
        <w:ind w:left="288"/>
      </w:pPr>
      <w:r>
        <w:rPr>
          <w:b/>
          <w:color w:val="003CA0"/>
          <w:sz w:val="16"/>
        </w:rPr>
        <w:t>[AI 609.989 AgR, rel. min. Ayres Britto, j. 30-8-2011, 2ª T, DJE de 17-10-2011.]</w:t>
      </w:r>
    </w:p>
    <w:p>
      <w:pPr>
        <w:ind w:left="288"/>
      </w:pPr>
      <w:r>
        <w:rPr>
          <w:color w:val="8C8C8C"/>
          <w:sz w:val="12"/>
        </w:rPr>
        <w:t>cf-art-8</w:t>
      </w:r>
      <w:r>
        <w:rPr>
          <w:color w:val="003CA0"/>
          <w:sz w:val="12"/>
        </w:rPr>
        <w:t xml:space="preserve"> | RE 202.097</w:t>
      </w:r>
      <w:r>
        <w:rPr>
          <w:color w:val="003CA0"/>
          <w:sz w:val="12"/>
        </w:rPr>
        <w:t xml:space="preserve"> | rel. Ilmar Galvão</w:t>
      </w:r>
    </w:p>
    <w:p>
      <w:pPr>
        <w:ind w:left="288"/>
      </w:pPr>
      <w:r>
        <w:rPr>
          <w:color w:val="1E1E1E"/>
          <w:sz w:val="18"/>
        </w:rPr>
        <w:t>Vide RE 202.097, rel. min. Ilmar Galvão, j. 16-5-2000, 1ª T, DJ de 4-8-2000 Vide RMS 21.305, rel. min. Marco Aurélio, j. 17-10-1991, P, DJ de 29-11-1991 Uma vez respeitada a unicidade quanto a certa base territorial, descabe impor exigências incompatíveis com a liberdade de associação.</w:t>
      </w:r>
    </w:p>
    <w:p>
      <w:pPr>
        <w:ind w:left="288"/>
      </w:pPr>
      <w:r>
        <w:rPr>
          <w:b/>
          <w:color w:val="003CA0"/>
          <w:sz w:val="16"/>
        </w:rPr>
        <w:t>[RMS 21.053, red. do ac. min. Marco Aurélio, j. 24-11-2010, P, DJE de 25-3-2011.]</w:t>
      </w:r>
    </w:p>
    <w:p>
      <w:pPr>
        <w:ind w:left="288"/>
      </w:pPr>
      <w:r>
        <w:rPr>
          <w:color w:val="8C8C8C"/>
          <w:sz w:val="12"/>
        </w:rPr>
        <w:t>cf-art-8</w:t>
      </w:r>
      <w:r>
        <w:rPr>
          <w:color w:val="003CA0"/>
          <w:sz w:val="12"/>
        </w:rPr>
        <w:t xml:space="preserve"> | RE 310.811</w:t>
      </w:r>
      <w:r>
        <w:rPr>
          <w:color w:val="003CA0"/>
          <w:sz w:val="12"/>
        </w:rPr>
        <w:t xml:space="preserve"> | rel. Ellen Gracie</w:t>
      </w:r>
    </w:p>
    <w:p>
      <w:pPr>
        <w:ind w:left="288"/>
      </w:pPr>
      <w:r>
        <w:rPr>
          <w:color w:val="1E1E1E"/>
          <w:sz w:val="18"/>
        </w:rPr>
        <w:t>O princípio da unicidade sindical, previsto no art. 8º, II, da CF, é a mais importante das limitações constitucionais à liberdade sindical.</w:t>
      </w:r>
    </w:p>
    <w:p>
      <w:pPr>
        <w:ind w:left="288"/>
      </w:pPr>
      <w:r>
        <w:rPr>
          <w:b/>
          <w:color w:val="003CA0"/>
          <w:sz w:val="16"/>
        </w:rPr>
        <w:t>[RE 310.811 AgR, rel. min. Ellen Gracie, j. 12-5-2009, 2ª T, DJE de 5-6-2009.]</w:t>
      </w:r>
    </w:p>
    <w:p>
      <w:pPr>
        <w:ind w:left="288"/>
      </w:pPr>
      <w:r>
        <w:rPr>
          <w:color w:val="8C8C8C"/>
          <w:sz w:val="12"/>
        </w:rPr>
        <w:t>cf-art-8</w:t>
      </w:r>
      <w:r>
        <w:rPr>
          <w:color w:val="003CA0"/>
          <w:sz w:val="12"/>
        </w:rPr>
        <w:t xml:space="preserve"> | RE 433.195</w:t>
      </w:r>
      <w:r>
        <w:rPr>
          <w:color w:val="003CA0"/>
          <w:sz w:val="12"/>
        </w:rPr>
        <w:t xml:space="preserve"> | rel. Ayres Britto</w:t>
      </w:r>
    </w:p>
    <w:p>
      <w:pPr>
        <w:ind w:left="288"/>
      </w:pPr>
      <w:r>
        <w:rPr>
          <w:color w:val="1E1E1E"/>
          <w:sz w:val="18"/>
        </w:rPr>
        <w:t>Sindicato. Desmembramento. Alegação de afronta ao princípio da unicidade sindical. Improcedência. Caso em que determinada categoria profissional – até então filiada a sindicato que representava diversas categorias, em bases territoriais diferentes – forma organização sindical específica, em base territorial de menor abrangência.</w:t>
      </w:r>
    </w:p>
    <w:p>
      <w:pPr>
        <w:ind w:left="288"/>
      </w:pPr>
      <w:r>
        <w:rPr>
          <w:b/>
          <w:color w:val="003CA0"/>
          <w:sz w:val="16"/>
        </w:rPr>
        <w:t>[RE 433.195 AgR, rel. min. Ayres Britto, j. 20-5-2008, 1ª T, DJE de 19-9-2008.]</w:t>
      </w:r>
    </w:p>
    <w:p>
      <w:pPr>
        <w:ind w:left="288"/>
      </w:pPr>
      <w:r>
        <w:rPr>
          <w:color w:val="8C8C8C"/>
          <w:sz w:val="12"/>
        </w:rPr>
        <w:t>cf-art-8</w:t>
      </w:r>
      <w:r>
        <w:rPr>
          <w:color w:val="003CA0"/>
          <w:sz w:val="12"/>
        </w:rPr>
        <w:t xml:space="preserve"> | RMS 24.288</w:t>
      </w:r>
      <w:r>
        <w:rPr>
          <w:color w:val="003CA0"/>
          <w:sz w:val="12"/>
        </w:rPr>
        <w:t xml:space="preserve"> | rel. Gilmar Mendes</w:t>
      </w:r>
    </w:p>
    <w:p>
      <w:pPr>
        <w:ind w:left="288"/>
      </w:pPr>
      <w:r>
        <w:rPr>
          <w:color w:val="1E1E1E"/>
          <w:sz w:val="18"/>
        </w:rPr>
        <w:t>= RMS 24.288 AgR, rel. min. Gilmar Mendes, j. 8-3-2016, 2ª T, DJE de 14-4-2016 = RE 608.304 AgR, rel. min. Dias Toffoli, j. 28-8-2012, 1ª T, DJE de 13-9-2012 Sindicato: unicidade e desmembramento. O princípio da unicidade sindical (CF, art. 8º, II) não garante por si só ao sindicato a intangibilidade de sua base territorial; ao contrário, a jurisprudência do STF está consolidada no sentido da legitimidade constitucional do desmembramento territorial de um sindicato para constituir outro, por deliberação dos partícipes da fundação deste, desde que o território de ambos não se reduza a área infe</w:t>
      </w:r>
    </w:p>
    <w:p>
      <w:pPr>
        <w:ind w:left="288"/>
      </w:pPr>
      <w:r>
        <w:rPr>
          <w:b/>
          <w:color w:val="003CA0"/>
          <w:sz w:val="16"/>
        </w:rPr>
        <w:t>[RE 154.250 AgR, rel. min. Sepúlveda Pertence, j. 15-5-2007, 1ª T, DJ de 8-6-2007.]</w:t>
      </w:r>
    </w:p>
    <w:p>
      <w:pPr>
        <w:ind w:left="288"/>
      </w:pPr>
      <w:r>
        <w:rPr>
          <w:color w:val="8C8C8C"/>
          <w:sz w:val="12"/>
        </w:rPr>
        <w:t>cf-art-8</w:t>
      </w:r>
      <w:r>
        <w:rPr>
          <w:color w:val="003CA0"/>
          <w:sz w:val="12"/>
        </w:rPr>
        <w:t xml:space="preserve"> | RE 573.533</w:t>
      </w:r>
      <w:r>
        <w:rPr>
          <w:color w:val="003CA0"/>
          <w:sz w:val="12"/>
        </w:rPr>
        <w:t xml:space="preserve"> | rel. Ayres Britto</w:t>
      </w:r>
    </w:p>
    <w:p>
      <w:pPr>
        <w:ind w:left="288"/>
      </w:pPr>
      <w:r>
        <w:rPr>
          <w:color w:val="1E1E1E"/>
          <w:sz w:val="18"/>
        </w:rPr>
        <w:t>= RE 573.533 AgR, rel. min. Ayres Britto, j. 14-2-2012, 2ª T, DJE de 19-3-2012 A liberdade de associação, observada, relativamente às entidades sindicais, a base territorial mínima – a área de um Município –, é predicado do Estado Democrático de Direito. Recepção da CLT pela Carta da República de 1988, no que viabilizados o agrupamento de atividades profissionais e a dissociação, visando a formar sindicato específico.</w:t>
      </w:r>
    </w:p>
    <w:p>
      <w:pPr>
        <w:ind w:left="288"/>
      </w:pPr>
      <w:r>
        <w:rPr>
          <w:b/>
          <w:color w:val="003CA0"/>
          <w:sz w:val="16"/>
        </w:rPr>
        <w:t>[RMS 24.069, rel. min. Marco Aurélio, j. 22-3-2005, 1ª T, DJ de 24-6-2005.]</w:t>
      </w:r>
    </w:p>
    <w:p>
      <w:pPr>
        <w:ind w:left="288"/>
      </w:pPr>
      <w:r>
        <w:rPr>
          <w:color w:val="8C8C8C"/>
          <w:sz w:val="12"/>
        </w:rPr>
        <w:t>cf-art-8</w:t>
      </w:r>
      <w:r>
        <w:rPr>
          <w:color w:val="003CA0"/>
          <w:sz w:val="12"/>
        </w:rPr>
        <w:t xml:space="preserve"> | RE 222.285</w:t>
      </w:r>
      <w:r>
        <w:rPr>
          <w:color w:val="003CA0"/>
          <w:sz w:val="12"/>
        </w:rPr>
        <w:t xml:space="preserve"> | rel. Carlos Velloso</w:t>
      </w:r>
    </w:p>
    <w:p>
      <w:pPr>
        <w:ind w:left="288"/>
      </w:pPr>
      <w:r>
        <w:rPr>
          <w:color w:val="1E1E1E"/>
          <w:sz w:val="18"/>
        </w:rPr>
        <w:t>Liberdade e unicidade sindical: competência para o registro de entidades sindicais (CF, art. 8º, I e II): recepção, pela CF/1988, da competência do Ministério do Trabalho para o registro. Esse registro é que propicia verificar se a unicidade sindical, limitação constitucional ao princípio da liberdade sindical, estaria sendo observada ou não, já que o Ministério do Trabalho é detentor das informações respectivas.</w:t>
      </w:r>
    </w:p>
    <w:p>
      <w:pPr>
        <w:ind w:left="288"/>
      </w:pPr>
      <w:r>
        <w:rPr>
          <w:b/>
          <w:color w:val="003CA0"/>
          <w:sz w:val="16"/>
        </w:rPr>
        <w:t>[RE 222.285 AgR, rel. min. Carlos Velloso, j. 26-2-2002, 2ª T, DJ de 22-3-2002.]</w:t>
      </w:r>
    </w:p>
    <w:p>
      <w:pPr>
        <w:ind w:left="288"/>
      </w:pPr>
      <w:r>
        <w:rPr>
          <w:color w:val="8C8C8C"/>
          <w:sz w:val="12"/>
        </w:rPr>
        <w:t>cf-art-8</w:t>
      </w:r>
      <w:r>
        <w:rPr>
          <w:color w:val="003CA0"/>
          <w:sz w:val="12"/>
        </w:rPr>
        <w:t xml:space="preserve"> | AI 789.108</w:t>
      </w:r>
      <w:r>
        <w:rPr>
          <w:color w:val="003CA0"/>
          <w:sz w:val="12"/>
        </w:rPr>
        <w:t xml:space="preserve"> | rel. Ellen Gracie</w:t>
      </w:r>
    </w:p>
    <w:p>
      <w:pPr>
        <w:ind w:left="288"/>
      </w:pPr>
      <w:r>
        <w:rPr>
          <w:color w:val="1E1E1E"/>
          <w:sz w:val="18"/>
        </w:rPr>
        <w:t>= AI 789.108 AgR, rel. min. Ellen Gracie, j. 5-10-2010, 2ª T, DJE de 28-10-2010 Havendo identidade entre categoria de trabalhadores representados pelo autor e pelo réu e sendo idênticas também as bases territoriais de atuação de um e de outro sindicato, deve prevalecer o primeiro deles, dada a sua constituição anterior.</w:t>
      </w:r>
    </w:p>
    <w:p>
      <w:pPr>
        <w:ind w:left="288"/>
      </w:pPr>
      <w:r>
        <w:rPr>
          <w:b/>
          <w:color w:val="003CA0"/>
          <w:sz w:val="16"/>
        </w:rPr>
        <w:t>[RE 199.142, rel. min. Nelson Jobim, j. 3-10-2000, 2ª T, DJ de 14-12-2001.]</w:t>
      </w:r>
    </w:p>
    <w:p>
      <w:pPr>
        <w:ind w:left="288"/>
      </w:pPr>
      <w:r>
        <w:rPr>
          <w:color w:val="8C8C8C"/>
          <w:sz w:val="12"/>
        </w:rPr>
        <w:t>cf-art-8</w:t>
      </w:r>
      <w:r>
        <w:rPr>
          <w:color w:val="003CA0"/>
          <w:sz w:val="12"/>
        </w:rPr>
        <w:t xml:space="preserve"> | RE 241.935</w:t>
      </w:r>
      <w:r>
        <w:rPr>
          <w:color w:val="003CA0"/>
          <w:sz w:val="12"/>
        </w:rPr>
        <w:t xml:space="preserve"> | rel. Ilmar Galvão</w:t>
      </w:r>
    </w:p>
    <w:p>
      <w:pPr>
        <w:ind w:left="288"/>
      </w:pPr>
      <w:r>
        <w:rPr>
          <w:color w:val="1E1E1E"/>
          <w:sz w:val="18"/>
        </w:rPr>
        <w:t>Confederação Nacional de Saúde. Hospitais, estabelecimentos e serviços. CNS. Desmembramento da Confederação Nacional do Comércio. Alegada ofensa ao princípio da unicidade. Improcedência da alegação, posto que a novel entidade representa categoria específica, até então congregada por entidade de natureza eclética, hipótese em que estava fadada ao desmembramento, concretizado como manifestação da liberdade sindical consagrada no art. 8º, II, da CF.</w:t>
      </w:r>
    </w:p>
    <w:p>
      <w:pPr>
        <w:ind w:left="288"/>
      </w:pPr>
      <w:r>
        <w:rPr>
          <w:b/>
          <w:color w:val="003CA0"/>
          <w:sz w:val="16"/>
        </w:rPr>
        <w:t>[RE 241.935 AgR, rel. min. Ilmar Galvão, j. 26-9-2000, 2ª T, DJ de 27-10-2000.]</w:t>
      </w:r>
    </w:p>
    <w:p>
      <w:pPr>
        <w:ind w:left="288"/>
      </w:pPr>
      <w:r>
        <w:rPr>
          <w:color w:val="8C8C8C"/>
          <w:sz w:val="12"/>
        </w:rPr>
        <w:t>cf-art-8</w:t>
      </w:r>
      <w:r>
        <w:rPr>
          <w:color w:val="003CA0"/>
          <w:sz w:val="12"/>
        </w:rPr>
        <w:t xml:space="preserve"> | RE 402.831</w:t>
      </w:r>
      <w:r>
        <w:rPr>
          <w:color w:val="003CA0"/>
          <w:sz w:val="12"/>
        </w:rPr>
        <w:t xml:space="preserve"> | rel. Roberto Barroso</w:t>
      </w:r>
    </w:p>
    <w:p>
      <w:pPr>
        <w:ind w:left="288"/>
      </w:pPr>
      <w:r>
        <w:rPr>
          <w:color w:val="1E1E1E"/>
          <w:sz w:val="18"/>
        </w:rPr>
        <w:t>= RE 402.831 AgR, rel. min. Roberto Barroso, j. 3-3-2015, 1ª T, DJE de 17-3-2015 Trabalhadores em postos de serviço de combustíveis e derivados de petróleo ("frentistas"). Organização em entidade própria, desmembrada da representativa da categoria dos trabalhadores no comércio de minérios e derivados de petróleo. Alegada ofensa ao princípio da unicidade sindical. Improcedência da alegação, posto que a novel entidade representa categoria específica que, até então, se achava englobada pela dos empregados congregados nos sindicatos filiados à Federação Nacional dos Trabalhadores no Comércio de Mi</w:t>
      </w:r>
    </w:p>
    <w:p>
      <w:pPr>
        <w:ind w:left="288"/>
      </w:pPr>
      <w:r>
        <w:rPr>
          <w:b/>
          <w:color w:val="003CA0"/>
          <w:sz w:val="16"/>
        </w:rPr>
        <w:t>[RE 202.097, rel. min. Ilmar Galvão, j. 16-5-2000, 1ª T, DJ de 4-8-2000.]</w:t>
      </w:r>
    </w:p>
    <w:p>
      <w:pPr>
        <w:ind w:left="288"/>
      </w:pPr>
      <w:r>
        <w:rPr>
          <w:color w:val="8C8C8C"/>
          <w:sz w:val="12"/>
        </w:rPr>
        <w:t>cf-art-8</w:t>
      </w:r>
      <w:r>
        <w:rPr>
          <w:color w:val="003CA0"/>
          <w:sz w:val="12"/>
        </w:rPr>
        <w:t xml:space="preserve"> | RCL 3.488</w:t>
      </w:r>
      <w:r>
        <w:rPr>
          <w:color w:val="003CA0"/>
          <w:sz w:val="12"/>
        </w:rPr>
        <w:t xml:space="preserve"> | rel. Ayres Britto</w:t>
      </w:r>
    </w:p>
    <w:p>
      <w:pPr>
        <w:ind w:left="288"/>
      </w:pPr>
      <w:r>
        <w:rPr>
          <w:color w:val="1E1E1E"/>
          <w:sz w:val="18"/>
        </w:rPr>
        <w:t>= Rcl 3.488, rel. min. Ayres Britto, j. 9-5-2006, 1ª T, DJ de 29-9-2006 Cisão de federações. Licitude, no caso de ficar evidenciada a diferenciação de interesses econômicos entre duas espécies de trabalhadores, mesmo sendo conexas (art. 511, § 1º, da CLT). (...) Inadmissibilidade da exigência de obediência às prescrições estatutárias da federação mais antiga, tendo em vista a garantia de liberdade de instituição da nova entidade (CF, art. 8º, II).</w:t>
      </w:r>
    </w:p>
    <w:p>
      <w:pPr>
        <w:ind w:left="288"/>
      </w:pPr>
      <w:r>
        <w:rPr>
          <w:b/>
          <w:color w:val="003CA0"/>
          <w:sz w:val="16"/>
        </w:rPr>
        <w:t>[RE 217.328, rel. min. Octavio Gallotti, j. 21-3-2000, 1ª T, DJ de 9-6-2000.]</w:t>
      </w:r>
    </w:p>
    <w:p>
      <w:pPr>
        <w:ind w:left="288"/>
      </w:pPr>
      <w:r>
        <w:rPr>
          <w:color w:val="8C8C8C"/>
          <w:sz w:val="12"/>
        </w:rPr>
        <w:t>cf-art-8</w:t>
      </w:r>
      <w:r>
        <w:rPr>
          <w:color w:val="003CA0"/>
          <w:sz w:val="12"/>
        </w:rPr>
        <w:t xml:space="preserve"> | RE 209.993</w:t>
      </w:r>
      <w:r>
        <w:rPr>
          <w:color w:val="003CA0"/>
          <w:sz w:val="12"/>
        </w:rPr>
        <w:t xml:space="preserve"> | rel. Ilmar Galvão</w:t>
      </w:r>
    </w:p>
    <w:p>
      <w:pPr>
        <w:ind w:left="288"/>
      </w:pPr>
      <w:r>
        <w:rPr>
          <w:color w:val="1E1E1E"/>
          <w:sz w:val="18"/>
        </w:rPr>
        <w:t>Entidades sindicais constituídas numa mesma base territorial. (...) Conflito acertadamente resolvido pelo acórdão com base no princípio da anterioridade.</w:t>
      </w:r>
    </w:p>
    <w:p>
      <w:pPr>
        <w:ind w:left="288"/>
      </w:pPr>
      <w:r>
        <w:rPr>
          <w:b/>
          <w:color w:val="003CA0"/>
          <w:sz w:val="16"/>
        </w:rPr>
        <w:t>[RE 209.993, rel. min. Ilmar Galvão, j. 15-6-1999, 1ª T, DJ de 22-10-1999.]</w:t>
      </w:r>
    </w:p>
    <w:p>
      <w:pPr>
        <w:ind w:left="288"/>
      </w:pPr>
      <w:r>
        <w:rPr>
          <w:color w:val="8C8C8C"/>
          <w:sz w:val="12"/>
        </w:rPr>
        <w:t>cf-art-8</w:t>
      </w:r>
      <w:r>
        <w:rPr>
          <w:color w:val="003CA0"/>
          <w:sz w:val="12"/>
        </w:rPr>
        <w:t xml:space="preserve"> | RE 227.642</w:t>
      </w:r>
      <w:r>
        <w:rPr>
          <w:color w:val="003CA0"/>
          <w:sz w:val="12"/>
        </w:rPr>
        <w:t xml:space="preserve"> | rel. Octavio Gallotti</w:t>
      </w:r>
    </w:p>
    <w:p>
      <w:pPr>
        <w:ind w:left="288"/>
      </w:pPr>
      <w:r>
        <w:rPr>
          <w:color w:val="1E1E1E"/>
          <w:sz w:val="18"/>
        </w:rPr>
        <w:t>Os princípios da unicidade e da autonomia sindical não obstam a definição, pela categoria respectiva, e o consequente desmembramento de área com a criação de novo sindicato, independentemente de aquiescência do anteriormente instituído, desde que não resulte, para algum deles, espaço inferior ao território de um Município (CF, art. 8º, II)</w:t>
      </w:r>
    </w:p>
    <w:p>
      <w:pPr>
        <w:ind w:left="288"/>
      </w:pPr>
      <w:r>
        <w:rPr>
          <w:b/>
          <w:color w:val="003CA0"/>
          <w:sz w:val="16"/>
        </w:rPr>
        <w:t>[RE 227.642, rel. min. Octavio Gallotti, j. 14-12-1998, 1ª T, DJ de 30-4-1999.]</w:t>
      </w:r>
    </w:p>
    <w:p>
      <w:pPr>
        <w:ind w:left="288"/>
      </w:pPr>
      <w:r>
        <w:rPr>
          <w:color w:val="8C8C8C"/>
          <w:sz w:val="12"/>
        </w:rPr>
        <w:t>cf-art-8</w:t>
      </w:r>
      <w:r>
        <w:rPr>
          <w:color w:val="003CA0"/>
          <w:sz w:val="12"/>
        </w:rPr>
        <w:t xml:space="preserve"> | RE 207.858</w:t>
      </w:r>
      <w:r>
        <w:rPr>
          <w:color w:val="003CA0"/>
          <w:sz w:val="12"/>
        </w:rPr>
        <w:t xml:space="preserve"> | rel. Marco Aurélio</w:t>
      </w:r>
    </w:p>
    <w:p>
      <w:pPr>
        <w:ind w:left="288"/>
      </w:pPr>
      <w:r>
        <w:rPr>
          <w:color w:val="1E1E1E"/>
          <w:sz w:val="18"/>
        </w:rPr>
        <w:t>Não se há de confundir a liberdade de associação, prevista de forma geral no inciso XVII do rol das garantias constitucionais, com a criação, em si, de sindicato. O critério da especificidade direciona à observação do disposto no inciso II do art. 8º da CF, no que agasalhada a unicidade sindical de forma mitigada, ou seja, considerada a área de atuação, nunca inferior à de um Município.</w:t>
      </w:r>
    </w:p>
    <w:p>
      <w:pPr>
        <w:ind w:left="288"/>
      </w:pPr>
      <w:r>
        <w:rPr>
          <w:b/>
          <w:color w:val="003CA0"/>
          <w:sz w:val="16"/>
        </w:rPr>
        <w:t>[RE 207.858, rel. min. Marco Aurélio, j. 27-10-1998, 1ª T, DJ de 14-5-1999.]</w:t>
      </w:r>
    </w:p>
    <w:p>
      <w:pPr>
        <w:ind w:left="288"/>
      </w:pPr>
      <w:r>
        <w:rPr>
          <w:color w:val="8C8C8C"/>
          <w:sz w:val="12"/>
        </w:rPr>
        <w:t>cf-art-8</w:t>
      </w:r>
      <w:r>
        <w:rPr>
          <w:color w:val="003CA0"/>
          <w:sz w:val="12"/>
        </w:rPr>
        <w:t xml:space="preserve"> | RE 178.045</w:t>
      </w:r>
      <w:r>
        <w:rPr>
          <w:color w:val="003CA0"/>
          <w:sz w:val="12"/>
        </w:rPr>
        <w:t xml:space="preserve"> | rel. Octavio Gallotti</w:t>
      </w:r>
    </w:p>
    <w:p>
      <w:pPr>
        <w:ind w:left="288"/>
      </w:pPr>
      <w:r>
        <w:rPr>
          <w:color w:val="1E1E1E"/>
          <w:sz w:val="18"/>
        </w:rPr>
        <w:t>Não contraria o disposto no art. 8º, II, o acórdão que, em face da diversidade das categorias contempladas, admitiu a dualidade de sua representação sindical.</w:t>
      </w:r>
    </w:p>
    <w:p>
      <w:pPr>
        <w:ind w:left="288"/>
      </w:pPr>
      <w:r>
        <w:rPr>
          <w:b/>
          <w:color w:val="003CA0"/>
          <w:sz w:val="16"/>
        </w:rPr>
        <w:t>[RE 178.045, rel. min. Octavio Gallotti, j. 3-3-1998, 1ª T, DJ de 3-4-1998.]</w:t>
      </w:r>
    </w:p>
    <w:p>
      <w:pPr>
        <w:ind w:left="288"/>
      </w:pPr>
      <w:r>
        <w:rPr>
          <w:color w:val="8C8C8C"/>
          <w:sz w:val="12"/>
        </w:rPr>
        <w:t>cf-art-8</w:t>
      </w:r>
      <w:r>
        <w:rPr>
          <w:color w:val="003CA0"/>
          <w:sz w:val="12"/>
        </w:rPr>
        <w:t xml:space="preserve"> | RE 159.228</w:t>
      </w:r>
      <w:r>
        <w:rPr>
          <w:color w:val="003CA0"/>
          <w:sz w:val="12"/>
        </w:rPr>
        <w:t xml:space="preserve"> | rel. Celso de Mello</w:t>
      </w:r>
    </w:p>
    <w:p>
      <w:pPr>
        <w:ind w:left="288"/>
      </w:pPr>
      <w:r>
        <w:rPr>
          <w:color w:val="1E1E1E"/>
          <w:sz w:val="18"/>
        </w:rPr>
        <w:t>A existência, na mesma base territorial, de entidades sindicais que representem estratos diversos da vasta categoria dos servidores públicos – funcionários públicos pertencentes à administração direta, de um lado, e empregados públicos vinculados a entidades paraestatais, de outro, cada qual com regime jurídico próprio – não ofende o princípio da unicidade sindical.</w:t>
      </w:r>
    </w:p>
    <w:p>
      <w:pPr>
        <w:ind w:left="288"/>
      </w:pPr>
      <w:r>
        <w:rPr>
          <w:b/>
          <w:color w:val="003CA0"/>
          <w:sz w:val="16"/>
        </w:rPr>
        <w:t>[RE 159.228, rel. min. Celso de Mello, j. 23-8-1994, 1ª T, DJ de 27-10-1994.]</w:t>
      </w:r>
    </w:p>
    <w:p>
      <w:pPr>
        <w:ind w:left="288"/>
      </w:pPr>
      <w:r>
        <w:rPr>
          <w:color w:val="8C8C8C"/>
          <w:sz w:val="12"/>
        </w:rPr>
        <w:t>cf-art-8</w:t>
      </w:r>
      <w:r>
        <w:rPr>
          <w:color w:val="003CA0"/>
          <w:sz w:val="12"/>
        </w:rPr>
        <w:t xml:space="preserve"> | MS 21.549</w:t>
      </w:r>
      <w:r>
        <w:rPr>
          <w:color w:val="003CA0"/>
          <w:sz w:val="12"/>
        </w:rPr>
        <w:t xml:space="preserve"> | rel. Sepúlveda Pertence</w:t>
      </w:r>
    </w:p>
    <w:p>
      <w:pPr>
        <w:ind w:left="288"/>
      </w:pPr>
      <w:r>
        <w:rPr>
          <w:color w:val="1E1E1E"/>
          <w:sz w:val="18"/>
        </w:rPr>
        <w:t>Nem o princípio da unicidade sindical, nem o sistema confederativo, mantidos pela Constituição, impõem que os sindicatos se filiem à federação que pretenda abranger-lhe a categoria-base; por isso, nenhuma federação pode arrogar-se âmbito de representatividade maior que o resultante da soma das categorias e respectivas bases territoriais dos sindicatos que a ela se filiem.</w:t>
      </w:r>
    </w:p>
    <w:p>
      <w:pPr>
        <w:ind w:left="288"/>
      </w:pPr>
      <w:r>
        <w:rPr>
          <w:b/>
          <w:color w:val="003CA0"/>
          <w:sz w:val="16"/>
        </w:rPr>
        <w:t>[MS 21.549, rel. min. Sepúlveda Pertence, j. 17-11-1993, P, DJ de 6-10-1995.]</w:t>
      </w:r>
    </w:p>
    <w:p>
      <w:pPr>
        <w:ind w:left="288"/>
      </w:pPr>
      <w:r>
        <w:rPr>
          <w:color w:val="8C8C8C"/>
          <w:sz w:val="12"/>
        </w:rPr>
        <w:t>cf-art-8</w:t>
      </w:r>
      <w:r>
        <w:rPr>
          <w:color w:val="003CA0"/>
          <w:sz w:val="12"/>
        </w:rPr>
        <w:t xml:space="preserve"> | RMS 21.305</w:t>
      </w:r>
      <w:r>
        <w:rPr>
          <w:color w:val="003CA0"/>
          <w:sz w:val="12"/>
        </w:rPr>
        <w:t xml:space="preserve"> | rel. Marco Aurélio</w:t>
      </w:r>
    </w:p>
    <w:p>
      <w:pPr>
        <w:ind w:left="288"/>
      </w:pPr>
      <w:r>
        <w:rPr>
          <w:color w:val="1E1E1E"/>
          <w:sz w:val="18"/>
        </w:rPr>
        <w:t>Mostra-se contrária ao princípio da unicidade sindical a criação de ente que implique desdobramento de categoria disciplinada em lei como única. Em vista da existência do Sindicato Nacional dos Aeronautas, a criação do Sindicato Nacional dos Pilotos da Aviação Civil não subsiste, em face da ilicitude do objeto.</w:t>
      </w:r>
    </w:p>
    <w:p>
      <w:pPr>
        <w:ind w:left="288"/>
      </w:pPr>
      <w:r>
        <w:rPr>
          <w:b/>
          <w:color w:val="003CA0"/>
          <w:sz w:val="16"/>
        </w:rPr>
        <w:t>[RMS 21.305, rel. min. Marco Aurélio, j. 17-10-1991, P, DJ de 29-11-1991.]</w:t>
      </w:r>
    </w:p>
    <w:p>
      <w:pPr>
        <w:ind w:left="288"/>
      </w:pPr>
      <w:r>
        <w:rPr>
          <w:color w:val="8C8C8C"/>
          <w:sz w:val="12"/>
        </w:rPr>
        <w:t>cf-art-8</w:t>
      </w:r>
      <w:r>
        <w:rPr>
          <w:color w:val="003CA0"/>
          <w:sz w:val="12"/>
        </w:rPr>
        <w:t xml:space="preserve"> | AI 609.989</w:t>
      </w:r>
      <w:r>
        <w:rPr>
          <w:color w:val="003CA0"/>
          <w:sz w:val="12"/>
        </w:rPr>
        <w:t xml:space="preserve"> | rel. Ayres Britto</w:t>
      </w:r>
    </w:p>
    <w:p>
      <w:pPr>
        <w:ind w:left="288"/>
      </w:pPr>
      <w:r>
        <w:rPr>
          <w:color w:val="1E1E1E"/>
          <w:sz w:val="18"/>
        </w:rPr>
        <w:t>Vide AI 609.989 AgR, rel. min. Ayres Britto, j. 30-8-2011, 2ª T, DJE de 17-10-2011</w:t>
      </w:r>
    </w:p>
    <w:p>
      <w:pPr>
        <w:ind w:left="144"/>
      </w:pPr>
      <w:r>
        <w:rPr>
          <w:b/>
          <w:color w:val="B45A00"/>
          <w:sz w:val="16"/>
        </w:rPr>
        <w:t>CONTROLE CONCENTRADO</w:t>
      </w:r>
    </w:p>
    <w:p>
      <w:pPr>
        <w:ind w:left="288"/>
      </w:pPr>
      <w:r>
        <w:rPr>
          <w:color w:val="8C8C8C"/>
          <w:sz w:val="12"/>
        </w:rPr>
        <w:t>cf-art-8-inc-III</w:t>
      </w:r>
      <w:r>
        <w:rPr>
          <w:color w:val="003CA0"/>
          <w:sz w:val="12"/>
        </w:rPr>
        <w:t xml:space="preserve"> | ADI 4.468</w:t>
      </w:r>
      <w:r>
        <w:rPr>
          <w:color w:val="003CA0"/>
          <w:sz w:val="12"/>
        </w:rPr>
        <w:t xml:space="preserve"> | rel. Celso de Mello</w:t>
      </w:r>
    </w:p>
    <w:p>
      <w:pPr>
        <w:ind w:left="288"/>
      </w:pPr>
      <w:r>
        <w:rPr>
          <w:color w:val="1E1E1E"/>
          <w:sz w:val="18"/>
        </w:rPr>
        <w:t>A fixação da jornada de trabalho mediante lei (tal como sucedeu em relação aos Assistentes Sociais), além de não traduzir ofensa à autonomia sindical ou ao processo de negociação coletiva para deliberar sobre esse tema, revela-se plenamente legítima e inteiramente compatível com o texto da Constituição da República, seja porque a Lei nº 12.317/2010 emanou de pessoa estatal competente (CF, art. 22, I), seja, ainda, porque mencionado diploma legislativo veiculou, no caso, norma claramente favorável a essa categoria profissional, pois instituiu, “in melius”, regime jurídico mais benéfico pertinen</w:t>
      </w:r>
    </w:p>
    <w:p>
      <w:pPr>
        <w:ind w:left="288"/>
      </w:pPr>
      <w:r>
        <w:rPr>
          <w:b/>
          <w:color w:val="003CA0"/>
          <w:sz w:val="16"/>
        </w:rPr>
        <w:t>[ADI 4.468, rel. min. Celso de Mello, j. 13-10-2020, P, DJE de 27-10-2020.]</w:t>
      </w:r>
    </w:p>
    <w:p>
      <w:pPr>
        <w:ind w:left="288"/>
      </w:pPr>
      <w:r>
        <w:rPr>
          <w:color w:val="8C8C8C"/>
          <w:sz w:val="12"/>
        </w:rPr>
        <w:t>cf-art-8-inc-III</w:t>
      </w:r>
      <w:r>
        <w:rPr>
          <w:color w:val="003CA0"/>
          <w:sz w:val="12"/>
        </w:rPr>
        <w:t xml:space="preserve"> | ADI 4.461</w:t>
      </w:r>
      <w:r>
        <w:rPr>
          <w:color w:val="003CA0"/>
          <w:sz w:val="12"/>
        </w:rPr>
        <w:t xml:space="preserve"> | rel. Roberto Barroso</w:t>
      </w:r>
    </w:p>
    <w:p>
      <w:pPr>
        <w:ind w:left="288"/>
      </w:pPr>
      <w:r>
        <w:rPr>
          <w:color w:val="1E1E1E"/>
          <w:sz w:val="18"/>
        </w:rPr>
        <w:t>O art. 8º, III, da Constituição não trata da necessidade de participação das entidades sindicais representativas de servidores públicos na reformulação de planos de cargos e remuneração que atinjam as categorias representadas.</w:t>
      </w:r>
    </w:p>
    <w:p>
      <w:pPr>
        <w:ind w:left="288"/>
      </w:pPr>
      <w:r>
        <w:rPr>
          <w:b/>
          <w:color w:val="003CA0"/>
          <w:sz w:val="16"/>
        </w:rPr>
        <w:t>[ADI 4.461, rel. min. Roberto Barroso, j. 11-11-2019, P, DJE de 4-12-2019.]</w:t>
      </w:r>
    </w:p>
    <w:p>
      <w:pPr>
        <w:ind w:left="288"/>
      </w:pPr>
      <w:r>
        <w:rPr>
          <w:color w:val="8C8C8C"/>
          <w:sz w:val="12"/>
        </w:rPr>
        <w:t>cf-art-8-inc-III</w:t>
      </w:r>
      <w:r>
        <w:rPr>
          <w:color w:val="003CA0"/>
          <w:sz w:val="12"/>
        </w:rPr>
        <w:t xml:space="preserve"> | ADI 2.522</w:t>
      </w:r>
      <w:r>
        <w:rPr>
          <w:color w:val="003CA0"/>
          <w:sz w:val="12"/>
        </w:rPr>
        <w:t xml:space="preserve"> | rel. Eros Grau</w:t>
      </w:r>
    </w:p>
    <w:p>
      <w:pPr>
        <w:ind w:left="288"/>
      </w:pPr>
      <w:r>
        <w:rPr>
          <w:color w:val="1E1E1E"/>
          <w:sz w:val="18"/>
        </w:rPr>
        <w:t>A Lei federal 8.906/94 atribui à OAB função tradicionalmente desempenhada pelos sindicatos, ou seja, a defesa dos direitos e interesses coletivos ou individuais da categoria. A OAB ampara todos os inscritos, não apenas os empregados, como o fazem os sindicatos. Não há como traçar relação de igualdade entre os sindicatos de advogados e os demais. As funções que deveriam, em tese, ser por eles desempenhadas foram atribuídas à Ordem dos Advogados.</w:t>
      </w:r>
    </w:p>
    <w:p>
      <w:pPr>
        <w:ind w:left="288"/>
      </w:pPr>
      <w:r>
        <w:rPr>
          <w:b/>
          <w:color w:val="003CA0"/>
          <w:sz w:val="16"/>
        </w:rPr>
        <w:t>[ADI 2.522, rel. min. Eros Grau, j. 8-6-2006, P, DJ de 18-8-2006.]</w:t>
      </w:r>
    </w:p>
    <w:p>
      <w:pPr>
        <w:ind w:left="288"/>
      </w:pPr>
      <w:r>
        <w:rPr>
          <w:color w:val="8C8C8C"/>
          <w:sz w:val="12"/>
        </w:rPr>
        <w:t>cf-art-8-inc-III</w:t>
      </w:r>
      <w:r>
        <w:rPr>
          <w:color w:val="003CA0"/>
          <w:sz w:val="12"/>
        </w:rPr>
        <w:t xml:space="preserve"> | RE 1.520.954</w:t>
      </w:r>
      <w:r>
        <w:rPr>
          <w:color w:val="003CA0"/>
          <w:sz w:val="12"/>
        </w:rPr>
        <w:t xml:space="preserve"> | rel. Luís Roberto Barroso</w:t>
      </w:r>
    </w:p>
    <w:p>
      <w:pPr>
        <w:ind w:left="288"/>
      </w:pPr>
      <w:r>
        <w:rPr>
          <w:color w:val="1E1E1E"/>
          <w:sz w:val="18"/>
        </w:rPr>
        <w:t>“É infraconstitucional e pressupõe o exame de matéria fática e contratual a controvérsia sobre a possibilidade de o contrato celebrado com sindicato, para a defesa de interesses em ação coletiva, permitir a retenção de honorários advocatícios contratuais em execuções individuais.”</w:t>
      </w:r>
    </w:p>
    <w:p>
      <w:pPr>
        <w:ind w:left="288"/>
      </w:pPr>
      <w:r>
        <w:rPr>
          <w:b/>
          <w:color w:val="003CA0"/>
          <w:sz w:val="16"/>
        </w:rPr>
        <w:t>[RE 1.520.954 RG, rel. min. Luís Roberto Barroso, j. 13.12.2024, P, DJE de 18.12.2024, Tema 1.364, com repercussão geral negada.]</w:t>
      </w:r>
    </w:p>
    <w:p>
      <w:pPr>
        <w:ind w:left="288"/>
      </w:pPr>
      <w:r>
        <w:rPr>
          <w:color w:val="8C8C8C"/>
          <w:sz w:val="12"/>
        </w:rPr>
        <w:t>cf-art-8-inc-III</w:t>
      </w:r>
      <w:r>
        <w:rPr>
          <w:color w:val="003CA0"/>
          <w:sz w:val="12"/>
        </w:rPr>
        <w:t xml:space="preserve"> | ARE 1.520.376</w:t>
      </w:r>
      <w:r>
        <w:rPr>
          <w:color w:val="003CA0"/>
          <w:sz w:val="12"/>
        </w:rPr>
        <w:t xml:space="preserve"> | rel. Luís Roberto Barroso</w:t>
      </w:r>
    </w:p>
    <w:p>
      <w:pPr>
        <w:ind w:left="288"/>
      </w:pPr>
      <w:r>
        <w:rPr>
          <w:color w:val="1E1E1E"/>
          <w:sz w:val="18"/>
        </w:rPr>
        <w:t>Saber se as federações sindicais têm legitimidade extraordinária para a defesa de interesses individuais e coletivos, nos casos em que não há entidade sindical na circunscrição territorial.</w:t>
      </w:r>
    </w:p>
    <w:p>
      <w:pPr>
        <w:ind w:left="288"/>
      </w:pPr>
      <w:r>
        <w:rPr>
          <w:b/>
          <w:color w:val="003CA0"/>
          <w:sz w:val="16"/>
        </w:rPr>
        <w:t>[ARE 1.520.376 RG, rel. min. Luís Roberto Barroso, j. 18.11.2024, P, DJE de 22.11.2024, Tema 1.355, com mérito pendente.]</w:t>
      </w:r>
    </w:p>
    <w:p>
      <w:pPr>
        <w:ind w:left="144"/>
      </w:pPr>
      <w:r>
        <w:rPr>
          <w:b/>
          <w:color w:val="B45A00"/>
          <w:sz w:val="16"/>
        </w:rPr>
        <w:t>JULGADOS CORRELATOS</w:t>
      </w:r>
    </w:p>
    <w:p>
      <w:pPr>
        <w:ind w:left="288"/>
      </w:pPr>
      <w:r>
        <w:rPr>
          <w:color w:val="8C8C8C"/>
          <w:sz w:val="12"/>
        </w:rPr>
        <w:t>cf-art-8-inc-III</w:t>
      </w:r>
      <w:r>
        <w:rPr>
          <w:color w:val="003CA0"/>
          <w:sz w:val="12"/>
        </w:rPr>
        <w:t xml:space="preserve"> | RCL 4.990</w:t>
      </w:r>
      <w:r>
        <w:rPr>
          <w:color w:val="003CA0"/>
          <w:sz w:val="12"/>
        </w:rPr>
        <w:t xml:space="preserve"> | rel. Ellen Gracie</w:t>
      </w:r>
    </w:p>
    <w:p>
      <w:pPr>
        <w:ind w:left="288"/>
      </w:pPr>
      <w:r>
        <w:rPr>
          <w:color w:val="1E1E1E"/>
          <w:sz w:val="18"/>
        </w:rPr>
        <w:t>Ausência de legitimidade do sindicato para atuar perante a Suprema Corte. Ausência de registro sindical no Ministério do Trabalho e Emprego. (...) O registro sindical é o ato que habilita as entidades sindicais para a representação de determinada categoria, tendo em vista a necessidade de observância do postulado da unicidade sindical.</w:t>
      </w:r>
    </w:p>
    <w:p>
      <w:pPr>
        <w:ind w:left="288"/>
      </w:pPr>
      <w:r>
        <w:rPr>
          <w:b/>
          <w:color w:val="003CA0"/>
          <w:sz w:val="16"/>
        </w:rPr>
        <w:t>[Rcl 4.990 AgR, rel. min. Ellen Gracie, j. 4-3-2009, P, DJE de 27-3-2009.]</w:t>
      </w:r>
    </w:p>
    <w:p>
      <w:pPr>
        <w:ind w:left="288"/>
      </w:pPr>
      <w:r>
        <w:rPr>
          <w:color w:val="8C8C8C"/>
          <w:sz w:val="12"/>
        </w:rPr>
        <w:t>cf-art-8-inc-III</w:t>
      </w:r>
      <w:r>
        <w:rPr>
          <w:color w:val="003CA0"/>
          <w:sz w:val="12"/>
        </w:rPr>
        <w:t xml:space="preserve"> | RE 555.720</w:t>
      </w:r>
    </w:p>
    <w:p>
      <w:pPr>
        <w:ind w:left="288"/>
      </w:pPr>
      <w:r>
        <w:rPr>
          <w:color w:val="1E1E1E"/>
          <w:sz w:val="18"/>
        </w:rPr>
        <w:t>Esta Corte firmou o entendimento segundo o qual o sindicato tem legitimidade para atuar como substituto processual na defesa de direitos e interesses coletivos ou individuais homogêneos da categoria que representa. (...) Quanto à violação ao art. 5º, LXX e XXI, da Carta Magna, esta Corte firmou entendimento de que é desnecessária a expressa autorização dos sindicalizados para a substituição processual.</w:t>
      </w:r>
    </w:p>
    <w:p>
      <w:pPr>
        <w:ind w:left="288"/>
      </w:pPr>
      <w:r>
        <w:rPr>
          <w:b/>
          <w:color w:val="003CA0"/>
          <w:sz w:val="16"/>
        </w:rPr>
        <w:t>[RE 555.720 AgR, voto do min. Gilmar Mendes, j. 30-9-2008, 2ª T, DJE de 21-11-2008.]</w:t>
      </w:r>
    </w:p>
    <w:p>
      <w:pPr>
        <w:ind w:left="288"/>
      </w:pPr>
      <w:r>
        <w:rPr>
          <w:color w:val="8C8C8C"/>
          <w:sz w:val="12"/>
        </w:rPr>
        <w:t>cf-art-8-inc-III</w:t>
      </w:r>
      <w:r>
        <w:rPr>
          <w:color w:val="003CA0"/>
          <w:sz w:val="12"/>
        </w:rPr>
        <w:t xml:space="preserve"> | RE 217.566</w:t>
      </w:r>
      <w:r>
        <w:rPr>
          <w:color w:val="003CA0"/>
          <w:sz w:val="12"/>
        </w:rPr>
        <w:t xml:space="preserve"> | rel. Marco Aurélio</w:t>
      </w:r>
    </w:p>
    <w:p>
      <w:pPr>
        <w:ind w:left="288"/>
      </w:pPr>
      <w:r>
        <w:rPr>
          <w:color w:val="1E1E1E"/>
          <w:sz w:val="18"/>
        </w:rPr>
        <w:t>= RE 217.566 AgR, rel. min. Marco Aurélio, j. 8-2-2011, 1ª T, DJE de 3-3-2011 É incabível o pedido de desistência formulado após o início do julgamento por esta Corte, quando a maioria dos ministros já havia se manifestado favoravelmente à concessão da medida. O mandado de injunção coletivo, bem como a ação direta de inconstitucionalidade, não pode ser utilizado como meio de pressão sobre o Poder Judiciário ou qualquer entidade. Sindicato que, na relação processual, é legitimado extraordinário para figurar na causa; sindicato que postula em nome próprio, na defesa de direito alheio. Os substit</w:t>
      </w:r>
    </w:p>
    <w:p>
      <w:pPr>
        <w:ind w:left="288"/>
      </w:pPr>
      <w:r>
        <w:rPr>
          <w:b/>
          <w:color w:val="003CA0"/>
          <w:sz w:val="16"/>
        </w:rPr>
        <w:t>[MI 712 QO, rel. min. Eros Grau, j. 15-10-2007, P, DJE de 23-11-2007.]</w:t>
      </w:r>
    </w:p>
    <w:p>
      <w:pPr>
        <w:ind w:left="288"/>
      </w:pPr>
      <w:r>
        <w:rPr>
          <w:color w:val="8C8C8C"/>
          <w:sz w:val="12"/>
        </w:rPr>
        <w:t>cf-art-8-inc-III</w:t>
      </w:r>
      <w:r>
        <w:rPr>
          <w:color w:val="003CA0"/>
          <w:sz w:val="12"/>
        </w:rPr>
        <w:t xml:space="preserve"> | RE 363.860</w:t>
      </w:r>
      <w:r>
        <w:rPr>
          <w:color w:val="003CA0"/>
          <w:sz w:val="12"/>
        </w:rPr>
        <w:t xml:space="preserve"> | rel. Cezar Peluso</w:t>
      </w:r>
    </w:p>
    <w:p>
      <w:pPr>
        <w:ind w:left="288"/>
      </w:pPr>
      <w:r>
        <w:rPr>
          <w:color w:val="1E1E1E"/>
          <w:sz w:val="18"/>
        </w:rPr>
        <w:t>É prescindível a comprovação da situação funcional de cada substituído, na fase de conhecimento, nas ações em que os sindicatos agem como substituto processual.</w:t>
      </w:r>
    </w:p>
    <w:p>
      <w:pPr>
        <w:ind w:left="288"/>
      </w:pPr>
      <w:r>
        <w:rPr>
          <w:b/>
          <w:color w:val="003CA0"/>
          <w:sz w:val="16"/>
        </w:rPr>
        <w:t>[RE 363.860 AgR, rel. min. Cezar Peluso, j. 25-9-2007, 2ª T, DJ de 19-10-2007.]</w:t>
      </w:r>
    </w:p>
    <w:p>
      <w:pPr>
        <w:ind w:left="288"/>
      </w:pPr>
      <w:r>
        <w:rPr>
          <w:color w:val="8C8C8C"/>
          <w:sz w:val="12"/>
        </w:rPr>
        <w:t>cf-art-8-inc-III</w:t>
      </w:r>
      <w:r>
        <w:rPr>
          <w:color w:val="003CA0"/>
          <w:sz w:val="12"/>
        </w:rPr>
        <w:t xml:space="preserve"> | AI 840.917</w:t>
      </w:r>
      <w:r>
        <w:rPr>
          <w:color w:val="003CA0"/>
          <w:sz w:val="12"/>
        </w:rPr>
        <w:t xml:space="preserve"> | rel. Dias Toffoli</w:t>
      </w:r>
    </w:p>
    <w:p>
      <w:pPr>
        <w:ind w:left="288"/>
      </w:pPr>
      <w:r>
        <w:rPr>
          <w:color w:val="1E1E1E"/>
          <w:sz w:val="18"/>
        </w:rPr>
        <w:t>= AI 840.917 AgR, rel. min. Dias Toffoli, j. 17-9-2013, 1ª T, DJE de 5-11-2013 IV - a assembleia geral fixará a contribuição que, em se tratando de categoria profissional, será descontada em folha, para custeio do sistema confederativo da representação sindical respectiva, independentemente da contribuição prevista em lei;</w:t>
      </w:r>
    </w:p>
    <w:p>
      <w:pPr>
        <w:ind w:left="144"/>
      </w:pPr>
      <w:r>
        <w:rPr>
          <w:b/>
          <w:color w:val="B45A00"/>
          <w:sz w:val="16"/>
        </w:rPr>
        <w:t>SUMULA VINCULANTE</w:t>
      </w:r>
    </w:p>
    <w:p>
      <w:pPr>
        <w:ind w:left="288"/>
      </w:pPr>
      <w:r>
        <w:rPr>
          <w:color w:val="8C8C8C"/>
          <w:sz w:val="12"/>
        </w:rPr>
        <w:t>cf-art-8-inc-III</w:t>
      </w:r>
    </w:p>
    <w:p>
      <w:pPr>
        <w:ind w:left="288"/>
      </w:pPr>
      <w:r>
        <w:rPr>
          <w:color w:val="1E1E1E"/>
          <w:sz w:val="18"/>
        </w:rPr>
        <w:t>A contribuição confederativa de que trata o art. 8º, IV, da CF só é exigível dos filiados ao sindicato respectivo.</w:t>
      </w:r>
    </w:p>
    <w:p>
      <w:pPr>
        <w:ind w:left="288"/>
      </w:pPr>
      <w:r>
        <w:rPr>
          <w:b/>
          <w:color w:val="003CA0"/>
          <w:sz w:val="16"/>
        </w:rPr>
        <w:t>[Súmula Vinculante 40.]</w:t>
      </w:r>
    </w:p>
    <w:p>
      <w:pPr>
        <w:ind w:left="144"/>
      </w:pPr>
      <w:r>
        <w:rPr>
          <w:b/>
          <w:color w:val="B45A00"/>
          <w:sz w:val="16"/>
        </w:rPr>
        <w:t>CONTROLE CONCENTRADO</w:t>
      </w:r>
    </w:p>
    <w:p>
      <w:pPr>
        <w:ind w:left="288"/>
      </w:pPr>
      <w:r>
        <w:rPr>
          <w:color w:val="8C8C8C"/>
          <w:sz w:val="12"/>
        </w:rPr>
        <w:t>cf-art-8-inc-III</w:t>
      </w:r>
      <w:r>
        <w:rPr>
          <w:color w:val="003CA0"/>
          <w:sz w:val="12"/>
        </w:rPr>
        <w:t xml:space="preserve"> | ADI 5.794</w:t>
      </w:r>
    </w:p>
    <w:p>
      <w:pPr>
        <w:ind w:left="288"/>
      </w:pPr>
      <w:r>
        <w:rPr>
          <w:color w:val="1E1E1E"/>
          <w:sz w:val="18"/>
        </w:rPr>
        <w:t>A Carta Magna não contém qualquer comando impondo a compulsoriedade da contribuição sindical, na medida em que o art. 8º, IV, da Constituição remete à lei a tarefa de dispor sobre a referida contribuição e o art. 149 da Lei Maior, por sua vez, limita-se a conferir à União o poder de criar contribuições sociais, o que, evidentemente, inclui a prerrogativa de extinguir ou modificar a natureza de contribuições existentes. A supressão do caráter compulsório das contribuições sindicais não vulnera o princípio constitucional da autonomia da organização sindical, previsto no art. 8º, I, da Carta Magn</w:t>
      </w:r>
    </w:p>
    <w:p>
      <w:pPr>
        <w:ind w:left="288"/>
      </w:pPr>
      <w:r>
        <w:rPr>
          <w:b/>
          <w:color w:val="003CA0"/>
          <w:sz w:val="16"/>
        </w:rPr>
        <w:t>[ADI 5.794, red. do ac. min. Luiz Fux, j. 29-6-2018, P, DJE de 23-4-2019.]</w:t>
      </w:r>
    </w:p>
    <w:p>
      <w:pPr>
        <w:ind w:left="288"/>
      </w:pPr>
      <w:r>
        <w:rPr>
          <w:color w:val="8C8C8C"/>
          <w:sz w:val="12"/>
        </w:rPr>
        <w:t>cf-art-8-inc-III</w:t>
      </w:r>
      <w:r>
        <w:rPr>
          <w:color w:val="003CA0"/>
          <w:sz w:val="12"/>
        </w:rPr>
        <w:t xml:space="preserve"> | ADI 4.033</w:t>
      </w:r>
      <w:r>
        <w:rPr>
          <w:color w:val="003CA0"/>
          <w:sz w:val="12"/>
        </w:rPr>
        <w:t xml:space="preserve"> | rel. Joaquim Barbosa</w:t>
      </w:r>
    </w:p>
    <w:p>
      <w:pPr>
        <w:ind w:left="288"/>
      </w:pPr>
      <w:r>
        <w:rPr>
          <w:color w:val="1E1E1E"/>
          <w:sz w:val="18"/>
        </w:rPr>
        <w:t>Contribuição sindical patronal. Isenção concedida às microempresas e empresas de pequeno porte. Simples Nacional ("Supersimples"). LC 123/2006, art. 13, § 3º. (...) O fomento da micro e da pequena empresa foi elevado à condição de princípio constitucional, de modo a orientar todos os entes federados a conferir tratamento favorecido aos empreendedores que contam com menos recursos para fazer frente à concorrência. Por tal motivo, a literalidade da complexa legislação tributária deve ceder à interpretação mais adequada e harmônica com a finalidade de assegurar equivalência de condições para as e</w:t>
      </w:r>
    </w:p>
    <w:p>
      <w:pPr>
        <w:ind w:left="288"/>
      </w:pPr>
      <w:r>
        <w:rPr>
          <w:b/>
          <w:color w:val="003CA0"/>
          <w:sz w:val="16"/>
        </w:rPr>
        <w:t>[ADI 4.033, rel. min. Joaquim Barbosa, j. 15-9-2010, P, DJE de 7-2-2011.]</w:t>
      </w:r>
    </w:p>
    <w:p>
      <w:pPr>
        <w:ind w:left="288"/>
      </w:pPr>
      <w:r>
        <w:rPr>
          <w:color w:val="8C8C8C"/>
          <w:sz w:val="12"/>
        </w:rPr>
        <w:t>cf-art-8-inc-III</w:t>
      </w:r>
      <w:r>
        <w:rPr>
          <w:color w:val="003CA0"/>
          <w:sz w:val="12"/>
        </w:rPr>
        <w:t xml:space="preserve"> | ADI 2.522</w:t>
      </w:r>
      <w:r>
        <w:rPr>
          <w:color w:val="003CA0"/>
          <w:sz w:val="12"/>
        </w:rPr>
        <w:t xml:space="preserve"> | rel. Eros Grau</w:t>
      </w:r>
    </w:p>
    <w:p>
      <w:pPr>
        <w:ind w:left="288"/>
      </w:pPr>
      <w:r>
        <w:rPr>
          <w:color w:val="1E1E1E"/>
          <w:sz w:val="18"/>
        </w:rPr>
        <w:t>Art. 47 da Lei federal 8.906/1994. Estatuto da Advocacia e da Ordem dos Advogados do Brasil. Contribuição anual à OAB. Isenção do pagamento obrigatório da contribuição sindical. (...) Não se sustenta o argumento de que o preceito impugnado retira do sindicato sua fonte essencial de custeio.</w:t>
      </w:r>
    </w:p>
    <w:p>
      <w:pPr>
        <w:ind w:left="288"/>
      </w:pPr>
      <w:r>
        <w:rPr>
          <w:b/>
          <w:color w:val="003CA0"/>
          <w:sz w:val="16"/>
        </w:rPr>
        <w:t>[ADI 2.522, rel. min. Eros Grau, j. 8-6-2006, P, DJ de 18-8-2006.]</w:t>
      </w:r>
    </w:p>
    <w:p>
      <w:pPr>
        <w:ind w:left="288"/>
      </w:pPr>
      <w:r>
        <w:rPr>
          <w:color w:val="8C8C8C"/>
          <w:sz w:val="12"/>
        </w:rPr>
        <w:t>cf-art-8-inc-III</w:t>
      </w:r>
      <w:r>
        <w:rPr>
          <w:color w:val="003CA0"/>
          <w:sz w:val="12"/>
        </w:rPr>
        <w:t xml:space="preserve"> | ADI 1.416</w:t>
      </w:r>
      <w:r>
        <w:rPr>
          <w:color w:val="003CA0"/>
          <w:sz w:val="12"/>
        </w:rPr>
        <w:t xml:space="preserve"> | rel. Gilmar Mendes</w:t>
      </w:r>
    </w:p>
    <w:p>
      <w:pPr>
        <w:ind w:left="288"/>
      </w:pPr>
      <w:r>
        <w:rPr>
          <w:color w:val="1E1E1E"/>
          <w:sz w:val="18"/>
        </w:rPr>
        <w:t>Vedação de desconto de contribuição sindical. Violação ao art. 8º, IV, c/c o art. 37, VI, da Constituição.</w:t>
      </w:r>
    </w:p>
    <w:p>
      <w:pPr>
        <w:ind w:left="288"/>
      </w:pPr>
      <w:r>
        <w:rPr>
          <w:b/>
          <w:color w:val="003CA0"/>
          <w:sz w:val="16"/>
        </w:rPr>
        <w:t>[ADI 1.416, rel. min. Gilmar Mendes, j. 10-10-2002, P, DJ de 14-11-2002.]</w:t>
      </w:r>
    </w:p>
    <w:p>
      <w:pPr>
        <w:ind w:left="288"/>
      </w:pPr>
      <w:r>
        <w:rPr>
          <w:color w:val="8C8C8C"/>
          <w:sz w:val="12"/>
        </w:rPr>
        <w:t>cf-art-8-inc-III</w:t>
      </w:r>
      <w:r>
        <w:rPr>
          <w:color w:val="003CA0"/>
          <w:sz w:val="12"/>
        </w:rPr>
        <w:t xml:space="preserve"> | ADI 1.088</w:t>
      </w:r>
      <w:r>
        <w:rPr>
          <w:color w:val="003CA0"/>
          <w:sz w:val="12"/>
        </w:rPr>
        <w:t xml:space="preserve"> | rel. Nelson Jobim</w:t>
      </w:r>
    </w:p>
    <w:p>
      <w:pPr>
        <w:ind w:left="288"/>
      </w:pPr>
      <w:r>
        <w:rPr>
          <w:color w:val="1E1E1E"/>
          <w:sz w:val="18"/>
        </w:rPr>
        <w:t>Portaria do Tribunal de Justiça do Piauí que determina que os pedidos de descontos em folha de contribuições sindicais devidas à associação ou sindicato de classe deverão ser formuladas pelo servidor e dirigidos ao presidente do Tribunal de Justiça. Ofensa ao art. 8º, IV, da CF.</w:t>
      </w:r>
    </w:p>
    <w:p>
      <w:pPr>
        <w:ind w:left="288"/>
      </w:pPr>
      <w:r>
        <w:rPr>
          <w:b/>
          <w:color w:val="003CA0"/>
          <w:sz w:val="16"/>
        </w:rPr>
        <w:t>[ADI 1.088, rel. min. Nelson Jobim, j. 20-2-2002, P, DJ de 22-11-2002.]</w:t>
      </w:r>
    </w:p>
    <w:p>
      <w:pPr>
        <w:ind w:left="288"/>
      </w:pPr>
      <w:r>
        <w:rPr>
          <w:color w:val="8C8C8C"/>
          <w:sz w:val="12"/>
        </w:rPr>
        <w:t>cf-art-8-inc-III</w:t>
      </w:r>
      <w:r>
        <w:rPr>
          <w:color w:val="003CA0"/>
          <w:sz w:val="12"/>
        </w:rPr>
        <w:t xml:space="preserve"> | ADI 962</w:t>
      </w:r>
      <w:r>
        <w:rPr>
          <w:color w:val="003CA0"/>
          <w:sz w:val="12"/>
        </w:rPr>
        <w:t xml:space="preserve"> | rel. Ilmar Galvão</w:t>
      </w:r>
    </w:p>
    <w:p>
      <w:pPr>
        <w:ind w:left="288"/>
      </w:pPr>
      <w:r>
        <w:rPr>
          <w:color w:val="1E1E1E"/>
          <w:sz w:val="18"/>
        </w:rPr>
        <w:t>O cancelamento do desconto, em folha, da contribuição sindical de servidor público do Poder Judiciário, salvo se expressamente autorizado, encerra orientação que, prima facie, se revela incompatível com o princípio da liberdade de associação sindical, que garante aos sindicatos o desconto automático daquela parcela, tão logo haja a filiação e sua comunicação ao órgão responsável pelo pagamento dos vencimentos.</w:t>
      </w:r>
    </w:p>
    <w:p>
      <w:pPr>
        <w:ind w:left="288"/>
      </w:pPr>
      <w:r>
        <w:rPr>
          <w:b/>
          <w:color w:val="003CA0"/>
          <w:sz w:val="16"/>
        </w:rPr>
        <w:t>[ADI 962 MC, rel. min. Ilmar Galvão, j. 11-11-1993, P, DJ de 11-2-1994.]</w:t>
      </w:r>
    </w:p>
    <w:p>
      <w:pPr>
        <w:ind w:left="144"/>
      </w:pPr>
      <w:r>
        <w:rPr>
          <w:b/>
          <w:color w:val="B45A00"/>
          <w:sz w:val="16"/>
        </w:rPr>
        <w:t>REPERCUSSAO GERAL</w:t>
      </w:r>
    </w:p>
    <w:p>
      <w:pPr>
        <w:ind w:left="288"/>
      </w:pPr>
      <w:r>
        <w:rPr>
          <w:color w:val="8C8C8C"/>
          <w:sz w:val="12"/>
        </w:rPr>
        <w:t>cf-art-8-inc-III</w:t>
      </w:r>
      <w:r>
        <w:rPr>
          <w:color w:val="003CA0"/>
          <w:sz w:val="12"/>
        </w:rPr>
        <w:t xml:space="preserve"> | ARE 1.018.459</w:t>
      </w:r>
      <w:r>
        <w:rPr>
          <w:color w:val="003CA0"/>
          <w:sz w:val="12"/>
        </w:rPr>
        <w:t xml:space="preserve"> | rel. Gilmar Mendes</w:t>
      </w:r>
    </w:p>
    <w:p>
      <w:pPr>
        <w:ind w:left="288"/>
      </w:pPr>
      <w:r>
        <w:rPr>
          <w:color w:val="1E1E1E"/>
          <w:sz w:val="18"/>
        </w:rPr>
        <w:t>“É constitucional a instituição, por acordo ou convenção coletivos, de contribuições assistenciais a serem impostas a todos os empregados da categoria, ainda que não sindicalizados, desde que assegurado o direito de oposição.”</w:t>
        <w:br/>
        <w:t xml:space="preserve">[ARE 1.018.459 ED, rel. min. Gilmar Mendes, j. 12-9-2023, P, DJE de 30-10-2023, Tema 935, com mérito julgado.] (...) a Contribuição Sindical Rural, instituída pelo DL 1.661/1971, não configura hipótese de bitributação e que tal tributo foi recepcionado pela ordem constitucional vigente. </w:t>
        <w:br/>
        <w:t>[RE 883.542, voto do min. Gilmar Mendes, j. 2-6-2017, P, DJE de 27-11-2017, Tema 948</w:t>
      </w:r>
    </w:p>
    <w:p>
      <w:pPr>
        <w:ind w:left="288"/>
      </w:pPr>
      <w:r>
        <w:rPr>
          <w:b/>
          <w:color w:val="003CA0"/>
          <w:sz w:val="16"/>
        </w:rPr>
        <w:t>[ARE 1.018.459 ED-ED, rel. min. Gilmar Mendes, j. 26.11.2025, P, DJE de 09.12.2025.]</w:t>
      </w:r>
    </w:p>
    <w:p>
      <w:pPr>
        <w:ind w:left="144"/>
      </w:pPr>
      <w:r>
        <w:rPr>
          <w:b/>
          <w:color w:val="B45A00"/>
          <w:sz w:val="16"/>
        </w:rPr>
        <w:t>JULGADOS CORRELATOS</w:t>
      </w:r>
    </w:p>
    <w:p>
      <w:pPr>
        <w:ind w:left="288"/>
      </w:pPr>
      <w:r>
        <w:rPr>
          <w:color w:val="8C8C8C"/>
          <w:sz w:val="12"/>
        </w:rPr>
        <w:t>cf-art-8-inc-III</w:t>
      </w:r>
      <w:r>
        <w:rPr>
          <w:color w:val="003CA0"/>
          <w:sz w:val="12"/>
        </w:rPr>
        <w:t xml:space="preserve"> | ARE 1.428.886</w:t>
      </w:r>
      <w:r>
        <w:rPr>
          <w:color w:val="003CA0"/>
          <w:sz w:val="12"/>
        </w:rPr>
        <w:t xml:space="preserve"> | rel. Edson Fachin</w:t>
      </w:r>
    </w:p>
    <w:p>
      <w:pPr>
        <w:ind w:left="288"/>
      </w:pPr>
      <w:r>
        <w:rPr>
          <w:color w:val="1E1E1E"/>
          <w:sz w:val="18"/>
        </w:rPr>
        <w:t>A compulsoriedade do recolhimento da contribuição sindical pelos servidores públicos civis para os respectivos sindicatos, com fundamento nos arts. 578 e seguintes da CLT, foi recepcionada pela Constituição de 1988. O fundamento constitucional para essa contribuição sindical (art. 8º, IV, in fine, da Constituição) é norma de eficácia plena, não dependendo de lei integrativa para ser exigível.</w:t>
        <w:br/>
        <w:t>[ARE 1.428.886 AgR, rel. min. Edson Fachin, j. 3-7-2023, 2ª T, DJE de 2-8-2023.] O STF tem se orientado no sentido de que a contribuição sindical é devida pelos servidores públicos, independentemente da e</w:t>
      </w:r>
    </w:p>
    <w:p>
      <w:pPr>
        <w:ind w:left="288"/>
      </w:pPr>
      <w:r>
        <w:rPr>
          <w:b/>
          <w:color w:val="003CA0"/>
          <w:sz w:val="16"/>
        </w:rPr>
        <w:t>[RE 189.960, voto do min. Marco Aurélio, j. 7-11-2000, 2ª T, DJ de 10-8-2001.]</w:t>
      </w:r>
    </w:p>
    <w:p>
      <w:pPr>
        <w:ind w:left="288"/>
      </w:pPr>
      <w:r>
        <w:rPr>
          <w:color w:val="8C8C8C"/>
          <w:sz w:val="12"/>
        </w:rPr>
        <w:t>cf-art-8-inc-III</w:t>
      </w:r>
      <w:r>
        <w:rPr>
          <w:color w:val="003CA0"/>
          <w:sz w:val="12"/>
        </w:rPr>
        <w:t xml:space="preserve"> | RE 161.547</w:t>
      </w:r>
      <w:r>
        <w:rPr>
          <w:color w:val="003CA0"/>
          <w:sz w:val="12"/>
        </w:rPr>
        <w:t xml:space="preserve"> | rel. Sepúlveda Pertence</w:t>
      </w:r>
    </w:p>
    <w:p>
      <w:pPr>
        <w:ind w:left="288"/>
      </w:pPr>
      <w:r>
        <w:rPr>
          <w:color w:val="1E1E1E"/>
          <w:sz w:val="18"/>
        </w:rPr>
        <w:t>Sindicato: contribuição confederativa instituída pela assembleia geral: eficácia plena e aplicabilidade imediata da regra constitucional que a previu (CF, art. 8º, IV). Coerente com a sua jurisprudência no sentido do caráter não tributário da contribuição confederativa, o STF tem afirmado a eficácia plena e imediata da norma constitucional que a previu (CF, art. 8º, IV) (...).</w:t>
      </w:r>
    </w:p>
    <w:p>
      <w:pPr>
        <w:ind w:left="288"/>
      </w:pPr>
      <w:r>
        <w:rPr>
          <w:b/>
          <w:color w:val="003CA0"/>
          <w:sz w:val="16"/>
        </w:rPr>
        <w:t>[RE 161.547, rel. min. Sepúlveda Pertence, j. 24-3-1998, 1ª T, DJ de 8-5-1998.]</w:t>
      </w:r>
    </w:p>
    <w:p>
      <w:pPr>
        <w:ind w:left="144"/>
      </w:pPr>
      <w:r>
        <w:rPr>
          <w:b/>
          <w:color w:val="B45A00"/>
          <w:sz w:val="16"/>
        </w:rPr>
        <w:t>CONTROLE CONCENTRADO</w:t>
      </w:r>
    </w:p>
    <w:p>
      <w:pPr>
        <w:ind w:left="288"/>
      </w:pPr>
      <w:r>
        <w:rPr>
          <w:color w:val="8C8C8C"/>
          <w:sz w:val="12"/>
        </w:rPr>
        <w:t>cf-art-8-inc-V</w:t>
      </w:r>
      <w:r>
        <w:rPr>
          <w:color w:val="003CA0"/>
          <w:sz w:val="12"/>
        </w:rPr>
        <w:t xml:space="preserve"> | ADI 5.251</w:t>
      </w:r>
      <w:r>
        <w:rPr>
          <w:color w:val="003CA0"/>
          <w:sz w:val="12"/>
        </w:rPr>
        <w:t xml:space="preserve"> | rel. Marco Aurélio</w:t>
      </w:r>
    </w:p>
    <w:p>
      <w:pPr>
        <w:ind w:left="288"/>
      </w:pPr>
      <w:r>
        <w:rPr>
          <w:color w:val="1E1E1E"/>
          <w:sz w:val="18"/>
        </w:rPr>
        <w:t>É incompatível, com a liberdade de associação profissional ou sindical – artigo 8º, cabeça e inciso V, da Carta da República –, a exigência, para o exercício de profissão, de inscrição em órgão de classe ou sindicato.</w:t>
      </w:r>
    </w:p>
    <w:p>
      <w:pPr>
        <w:ind w:left="288"/>
      </w:pPr>
      <w:r>
        <w:rPr>
          <w:b/>
          <w:color w:val="003CA0"/>
          <w:sz w:val="16"/>
        </w:rPr>
        <w:t>[ADI 5.251, rel. min. Marco Aurélio, j. 8-4-2021, P, DJE de 16-4-2021.]</w:t>
      </w:r>
    </w:p>
    <w:p>
      <w:pPr>
        <w:ind w:left="288"/>
      </w:pPr>
      <w:r>
        <w:rPr>
          <w:color w:val="8C8C8C"/>
          <w:sz w:val="12"/>
        </w:rPr>
        <w:t>cf-art-8-inc-V</w:t>
      </w:r>
      <w:r>
        <w:rPr>
          <w:color w:val="003CA0"/>
          <w:sz w:val="12"/>
        </w:rPr>
        <w:t xml:space="preserve"> | ADI 2.811</w:t>
      </w:r>
      <w:r>
        <w:rPr>
          <w:color w:val="003CA0"/>
          <w:sz w:val="12"/>
        </w:rPr>
        <w:t xml:space="preserve"> | rel. Rosa Weber</w:t>
      </w:r>
    </w:p>
    <w:p>
      <w:pPr>
        <w:ind w:left="288"/>
      </w:pPr>
      <w:r>
        <w:rPr>
          <w:color w:val="1E1E1E"/>
          <w:sz w:val="18"/>
        </w:rPr>
        <w:t>O condicionamento da participação das cooperativas em processos licitatórios à apresentação de certificado de registro no Sindicato e Organização das Cooperativas do Estado malfere a garantia da liberdade de associação sindical, consagrada no art. 8º, V, da Lei Maior.</w:t>
      </w:r>
    </w:p>
    <w:p>
      <w:pPr>
        <w:ind w:left="288"/>
      </w:pPr>
      <w:r>
        <w:rPr>
          <w:b/>
          <w:color w:val="003CA0"/>
          <w:sz w:val="16"/>
        </w:rPr>
        <w:t>[ADI 2.811, rel. min. Rosa Weber, j. 25-10-2019, P, DJE de 7-11-2019.]</w:t>
      </w:r>
    </w:p>
    <w:p>
      <w:pPr>
        <w:ind w:left="288"/>
      </w:pPr>
      <w:r>
        <w:rPr>
          <w:color w:val="8C8C8C"/>
          <w:sz w:val="12"/>
        </w:rPr>
        <w:t>cf-art-8-inc-V</w:t>
      </w:r>
      <w:r>
        <w:rPr>
          <w:color w:val="003CA0"/>
          <w:sz w:val="12"/>
        </w:rPr>
        <w:t xml:space="preserve"> | ADI 3.464</w:t>
      </w:r>
      <w:r>
        <w:rPr>
          <w:color w:val="003CA0"/>
          <w:sz w:val="12"/>
        </w:rPr>
        <w:t xml:space="preserve"> | rel. Menezes Direito</w:t>
      </w:r>
    </w:p>
    <w:p>
      <w:pPr>
        <w:ind w:left="288"/>
      </w:pPr>
      <w:r>
        <w:rPr>
          <w:color w:val="1E1E1E"/>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88"/>
      </w:pPr>
      <w:r>
        <w:rPr>
          <w:b/>
          <w:color w:val="003CA0"/>
          <w:sz w:val="16"/>
        </w:rPr>
        <w:t>[ADI 3.464, rel. min. Menezes Direito, j. 29-10-2008, P, DJE de 6-3-2009.]</w:t>
      </w:r>
    </w:p>
    <w:p>
      <w:pPr>
        <w:ind w:left="288"/>
      </w:pPr>
      <w:r>
        <w:rPr>
          <w:color w:val="8C8C8C"/>
          <w:sz w:val="12"/>
        </w:rPr>
        <w:t>cf-art-8-inc-VI</w:t>
      </w:r>
      <w:r>
        <w:rPr>
          <w:color w:val="003CA0"/>
          <w:sz w:val="12"/>
        </w:rPr>
        <w:t xml:space="preserve"> | ADI 3.587</w:t>
      </w:r>
      <w:r>
        <w:rPr>
          <w:color w:val="003CA0"/>
          <w:sz w:val="12"/>
        </w:rPr>
        <w:t xml:space="preserve"> | rel. Gilmar Mendes</w:t>
      </w:r>
    </w:p>
    <w:p>
      <w:pPr>
        <w:ind w:left="288"/>
      </w:pPr>
      <w:r>
        <w:rPr>
          <w:color w:val="1E1E1E"/>
          <w:sz w:val="18"/>
        </w:rPr>
        <w:t>Lei distrital 3.136/2003, que "disciplina a atividade de transporte de bagagens nos terminais rodoviários do Distrito Federal". (...) com relação ao art. 1º da lei distrital, verifica-se violação ao art. 8º, VI, da CF, por afrontar a "liberdade de associação sindical", uma vez que a norma objeto desta impugnação sujeita o exercício da profissão de carregador e transportador de bagagens à prévia filiação ao sindicato da categoria.</w:t>
      </w:r>
    </w:p>
    <w:p>
      <w:pPr>
        <w:ind w:left="288"/>
      </w:pPr>
      <w:r>
        <w:rPr>
          <w:b/>
          <w:color w:val="003CA0"/>
          <w:sz w:val="16"/>
        </w:rPr>
        <w:t>[ADI 3.587, rel. min. Gilmar Mendes, j. 12-12-2007, P, DJE de 22-2-2008.]</w:t>
      </w:r>
    </w:p>
    <w:p>
      <w:pPr>
        <w:ind w:left="144"/>
      </w:pPr>
      <w:r>
        <w:rPr>
          <w:b/>
          <w:color w:val="B45A00"/>
          <w:sz w:val="16"/>
        </w:rPr>
        <w:t>JULGADOS CORRELATOS</w:t>
      </w:r>
    </w:p>
    <w:p>
      <w:pPr>
        <w:ind w:left="288"/>
      </w:pPr>
      <w:r>
        <w:rPr>
          <w:color w:val="8C8C8C"/>
          <w:sz w:val="12"/>
        </w:rPr>
        <w:t>cf-art-8-inc-VI</w:t>
      </w:r>
      <w:r>
        <w:rPr>
          <w:color w:val="003CA0"/>
          <w:sz w:val="12"/>
        </w:rPr>
        <w:t xml:space="preserve"> | RMS 31.587</w:t>
      </w:r>
      <w:r>
        <w:rPr>
          <w:color w:val="003CA0"/>
          <w:sz w:val="12"/>
        </w:rPr>
        <w:t xml:space="preserve"> | rel. Cármen Lúcia</w:t>
      </w:r>
    </w:p>
    <w:p>
      <w:pPr>
        <w:ind w:left="288"/>
      </w:pPr>
      <w:r>
        <w:rPr>
          <w:color w:val="1E1E1E"/>
          <w:sz w:val="18"/>
        </w:rPr>
        <w:t>Participação de sindicato na Mesa Nacional de Negociação Permanente. Limitação a sindicatos de âmbito nacional.</w:t>
      </w:r>
    </w:p>
    <w:p>
      <w:pPr>
        <w:ind w:left="288"/>
      </w:pPr>
      <w:r>
        <w:rPr>
          <w:b/>
          <w:color w:val="003CA0"/>
          <w:sz w:val="16"/>
        </w:rPr>
        <w:t>[RMS 31.587, rel. min. Cármen Lúcia, j. 2-10-2012, 2ª T, DJE de 29-10-2012.]</w:t>
      </w:r>
    </w:p>
    <w:p>
      <w:pPr>
        <w:ind w:left="288"/>
      </w:pPr>
      <w:r>
        <w:rPr>
          <w:color w:val="8C8C8C"/>
          <w:sz w:val="12"/>
        </w:rPr>
        <w:t>cf-art-8-inc-VII</w:t>
      </w:r>
    </w:p>
    <w:p>
      <w:pPr>
        <w:ind w:left="288"/>
      </w:pPr>
      <w:r>
        <w:rPr>
          <w:color w:val="1E1E1E"/>
          <w:sz w:val="18"/>
        </w:rPr>
        <w:t>VIII - é vedada a dispensa do empregado sindicalizado a partir do registro da candidatura a cargo de direção ou representação sindical e, se eleito, ainda que suplente, até um ano após o final do mandato, salvo se cometer falta grave nos termos da lei.</w:t>
      </w:r>
    </w:p>
    <w:p>
      <w:pPr>
        <w:ind w:left="288"/>
      </w:pPr>
      <w:r>
        <w:rPr>
          <w:color w:val="8C8C8C"/>
          <w:sz w:val="12"/>
        </w:rPr>
        <w:t>cf-art-8-inc-VII</w:t>
      </w:r>
      <w:r>
        <w:rPr>
          <w:color w:val="003CA0"/>
          <w:sz w:val="12"/>
        </w:rPr>
        <w:t xml:space="preserve"> | RE 777.227</w:t>
      </w:r>
      <w:r>
        <w:rPr>
          <w:color w:val="003CA0"/>
          <w:sz w:val="12"/>
        </w:rPr>
        <w:t xml:space="preserve"> | rel. Roberto Barroso</w:t>
      </w:r>
    </w:p>
    <w:p>
      <w:pPr>
        <w:ind w:left="288"/>
      </w:pPr>
      <w:r>
        <w:rPr>
          <w:color w:val="1E1E1E"/>
          <w:sz w:val="18"/>
        </w:rPr>
        <w:t>O STF assentou entendimento de que o art. 8º, VIII, da CF, ao fazer a distinção, no caput, entre associação e sindicato, teria conferido a garantia de estabilidade provisória somente ao último, ou seja, aos dirigentes ou representantes sindicais.</w:t>
        <w:br/>
        <w:t>[RE 777.227 AgR, rel. min. Roberto Barroso, j. 25-8-2017, 1ª T, DJE de 9-8-2017.] Nos termos da orientação firmada por esta Corte, a estabilidade dos dirigentes sindicais está condicionada ao atendimento da limitação prevista no art. 522 da CLT, o qual foi recepcionado pela CF.</w:t>
        <w:br/>
        <w:t>[RE 394.579 AgR, rel. min. Joaquim Barbosa, j. 29-5-2012, 2ª T, DJE de 25-</w:t>
      </w:r>
    </w:p>
    <w:p>
      <w:pPr>
        <w:ind w:left="288"/>
      </w:pPr>
      <w:r>
        <w:rPr>
          <w:b/>
          <w:color w:val="003CA0"/>
          <w:sz w:val="16"/>
        </w:rPr>
        <w:t>[AI 454.064 AgR, rel. min. Celso de Mello, j. 14-3-2006, 2ª T, DJE de 5-2-2013.]</w:t>
      </w:r>
    </w:p>
    <w:p>
      <w:pPr>
        <w:ind w:left="288"/>
      </w:pPr>
      <w:r>
        <w:rPr>
          <w:color w:val="8C8C8C"/>
          <w:sz w:val="12"/>
        </w:rPr>
        <w:t>cf-art-8-inc-VII</w:t>
      </w:r>
      <w:r>
        <w:rPr>
          <w:color w:val="003CA0"/>
          <w:sz w:val="12"/>
        </w:rPr>
        <w:t xml:space="preserve"> | RE 222.334</w:t>
      </w:r>
      <w:r>
        <w:rPr>
          <w:color w:val="003CA0"/>
          <w:sz w:val="12"/>
        </w:rPr>
        <w:t xml:space="preserve"> | rel. Maurício Corrêa</w:t>
      </w:r>
    </w:p>
    <w:p>
      <w:pPr>
        <w:ind w:left="288"/>
      </w:pPr>
      <w:r>
        <w:rPr>
          <w:color w:val="1E1E1E"/>
          <w:sz w:val="18"/>
        </w:rPr>
        <w:t>A garantia constitucional assegurada ao empregado enquanto no cumprimento de mandato sindical (CF, art. 8º, VIII) não se destina a ele propriamente dito, ex intuitu personae, mas sim à representação sindical de que se investe, que deixa de existir, entretanto, se extinta a empresa empregadora.</w:t>
      </w:r>
    </w:p>
    <w:p>
      <w:pPr>
        <w:ind w:left="288"/>
      </w:pPr>
      <w:r>
        <w:rPr>
          <w:b/>
          <w:color w:val="003CA0"/>
          <w:sz w:val="16"/>
        </w:rPr>
        <w:t>[RE 222.334, rel. min. Maurício Corrêa, j. 30-10-2001, 2ª T, DJ de 8-3-2002.]</w:t>
      </w:r>
    </w:p>
    <w:p>
      <w:pPr>
        <w:ind w:left="288"/>
      </w:pPr>
      <w:r>
        <w:rPr>
          <w:color w:val="8C8C8C"/>
          <w:sz w:val="12"/>
        </w:rPr>
        <w:t>cf-art-8-inc-VII</w:t>
      </w:r>
      <w:r>
        <w:rPr>
          <w:color w:val="003CA0"/>
          <w:sz w:val="12"/>
        </w:rPr>
        <w:t xml:space="preserve"> | RE 248.282</w:t>
      </w:r>
      <w:r>
        <w:rPr>
          <w:color w:val="003CA0"/>
          <w:sz w:val="12"/>
        </w:rPr>
        <w:t xml:space="preserve"> | rel. Marco Aurélio</w:t>
      </w:r>
    </w:p>
    <w:p>
      <w:pPr>
        <w:ind w:left="288"/>
      </w:pPr>
      <w:r>
        <w:rPr>
          <w:color w:val="1E1E1E"/>
          <w:sz w:val="18"/>
        </w:rPr>
        <w:t>Insubsistente o ingresso no serviço público ante o desrespeito à norma do inciso II do art. 37 da CF – aprovação em concurso –, descabe assentar a existência da estabilidade prevista no inciso VIII do art. 8º da CF.</w:t>
      </w:r>
    </w:p>
    <w:p>
      <w:pPr>
        <w:ind w:left="288"/>
      </w:pPr>
      <w:r>
        <w:rPr>
          <w:b/>
          <w:color w:val="003CA0"/>
          <w:sz w:val="16"/>
        </w:rPr>
        <w:t>[RE 248.282, rel. min. Marco Aurélio, j. 13-2-2001, 2ª T, DJ de 27-4-2001.]</w:t>
      </w:r>
    </w:p>
    <w:p>
      <w:pPr>
        <w:ind w:left="288"/>
      </w:pPr>
      <w:r>
        <w:rPr>
          <w:color w:val="8C8C8C"/>
          <w:sz w:val="12"/>
        </w:rPr>
        <w:t>cf-art-8-inc-VII</w:t>
      </w:r>
      <w:r>
        <w:rPr>
          <w:color w:val="003CA0"/>
          <w:sz w:val="12"/>
        </w:rPr>
        <w:t xml:space="preserve"> | RE 217.355</w:t>
      </w:r>
      <w:r>
        <w:rPr>
          <w:color w:val="003CA0"/>
          <w:sz w:val="12"/>
        </w:rPr>
        <w:t xml:space="preserve"> | rel. Maurício Corrêa</w:t>
      </w:r>
    </w:p>
    <w:p>
      <w:pPr>
        <w:ind w:left="288"/>
      </w:pPr>
      <w:r>
        <w:rPr>
          <w:color w:val="1E1E1E"/>
          <w:sz w:val="18"/>
        </w:rPr>
        <w:t>Interpretação restritiva do inciso VIII do art. 8º da CF: impossibilidade. Inexistência de norma legal ou constitucional que estabeleça distinção entre o dirigente sindical patronal e o dos trabalhadores. Não perde a condição de empregado o trabalhador que, malgrado ocupe cargo de confiança na empresa empregadora, exerça mandato sindical como representante da categoria econômica. Representante sindical patronal. Dispensa no curso do mandato. Indenização e consectários legais devidos desde a data da despedida até um ano após o final do mandato.</w:t>
      </w:r>
    </w:p>
    <w:p>
      <w:pPr>
        <w:ind w:left="288"/>
      </w:pPr>
      <w:r>
        <w:rPr>
          <w:b/>
          <w:color w:val="003CA0"/>
          <w:sz w:val="16"/>
        </w:rPr>
        <w:t>[RE 217.355, rel. min. Maurício Corrêa, j. 29-8-2000, 2ª T, DJ de 2-2-2001.]</w:t>
      </w:r>
    </w:p>
    <w:p>
      <w:pPr>
        <w:ind w:left="288"/>
      </w:pPr>
      <w:r>
        <w:rPr>
          <w:color w:val="8C8C8C"/>
          <w:sz w:val="12"/>
        </w:rPr>
        <w:t>cf-art-8-inc-VII</w:t>
      </w:r>
      <w:r>
        <w:rPr>
          <w:color w:val="003CA0"/>
          <w:sz w:val="12"/>
        </w:rPr>
        <w:t xml:space="preserve"> | RE 183.884</w:t>
      </w:r>
      <w:r>
        <w:rPr>
          <w:color w:val="003CA0"/>
          <w:sz w:val="12"/>
        </w:rPr>
        <w:t xml:space="preserve"> | rel. Sepúlveda Pertence</w:t>
      </w:r>
    </w:p>
    <w:p>
      <w:pPr>
        <w:ind w:left="288"/>
      </w:pPr>
      <w:r>
        <w:rPr>
          <w:color w:val="1E1E1E"/>
          <w:sz w:val="18"/>
        </w:rPr>
        <w:t>Estabilidade sindical provisória (art. 8º, VIII, CF): não alcança o servidor público, regido por regime especial, ocupante de cargo em comissão e, concomitantemente, de cargo de direção no sindicato da categoria.</w:t>
      </w:r>
    </w:p>
    <w:p>
      <w:pPr>
        <w:ind w:left="288"/>
      </w:pPr>
      <w:r>
        <w:rPr>
          <w:b/>
          <w:color w:val="003CA0"/>
          <w:sz w:val="16"/>
        </w:rPr>
        <w:t>[RE 183.884, rel. min. Sepúlveda Pertence, j. 8-6-1999, 1ª T, DJ de 13-8-1999.]</w:t>
      </w:r>
    </w:p>
    <w:p>
      <w:pPr>
        <w:ind w:left="288"/>
      </w:pPr>
      <w:r>
        <w:rPr>
          <w:color w:val="8C8C8C"/>
          <w:sz w:val="12"/>
        </w:rPr>
        <w:t>cf-art-8-inc-VII</w:t>
      </w:r>
      <w:r>
        <w:rPr>
          <w:color w:val="003CA0"/>
          <w:sz w:val="12"/>
        </w:rPr>
        <w:t xml:space="preserve"> | RE 224.667</w:t>
      </w:r>
      <w:r>
        <w:rPr>
          <w:color w:val="003CA0"/>
          <w:sz w:val="12"/>
        </w:rPr>
        <w:t xml:space="preserve"> | rel. Marco Aurélio</w:t>
      </w:r>
    </w:p>
    <w:p>
      <w:pPr>
        <w:ind w:left="288"/>
      </w:pPr>
      <w:r>
        <w:rPr>
          <w:color w:val="1E1E1E"/>
          <w:sz w:val="18"/>
        </w:rPr>
        <w:t>A formalidade prevista no art. 543, § 5º, da CLT – ciência do empregador da candidatura do empregado – não se mostrou incompatível com a norma do inciso VIII do art. 8º da CF, isto diante do princípio da razoabilidade.</w:t>
      </w:r>
    </w:p>
    <w:p>
      <w:pPr>
        <w:ind w:left="288"/>
      </w:pPr>
      <w:r>
        <w:rPr>
          <w:b/>
          <w:color w:val="003CA0"/>
          <w:sz w:val="16"/>
        </w:rPr>
        <w:t>[RE 224.667, rel. min. Marco Aurélio, j. 13-4-1999, 2ª T, DJ de 4-6-1999.]</w:t>
      </w:r>
    </w:p>
    <w:p>
      <w:pPr>
        <w:ind w:left="288"/>
      </w:pPr>
      <w:r>
        <w:rPr>
          <w:color w:val="8C8C8C"/>
          <w:sz w:val="12"/>
        </w:rPr>
        <w:t>cf-art-8-inc-VII</w:t>
      </w:r>
      <w:r>
        <w:rPr>
          <w:color w:val="003CA0"/>
          <w:sz w:val="12"/>
        </w:rPr>
        <w:t xml:space="preserve"> | RE 208.436</w:t>
      </w:r>
      <w:r>
        <w:rPr>
          <w:color w:val="003CA0"/>
          <w:sz w:val="12"/>
        </w:rPr>
        <w:t xml:space="preserve"> | rel. Ilmar Galvão</w:t>
      </w:r>
    </w:p>
    <w:p>
      <w:pPr>
        <w:ind w:left="288"/>
      </w:pPr>
      <w:r>
        <w:rPr>
          <w:color w:val="1E1E1E"/>
          <w:sz w:val="18"/>
        </w:rPr>
        <w:t>A Constituição, conquanto haja estendido ao servidor público o exercício de prerrogativas próprias do empregado regido pelo direito comum do trabalho (...), cuidou de estabelecer limitações indispensáveis a que o exercício de tais direitos não entre em choque com as vigas mestras do regime administrativo que preside as relações funcionais, entre essas, a relativa à estabilidade sindical do art. 8º, VIII, que importaria a supressão do estágio probatório, a que estão sujeitos todos os servidores.</w:t>
      </w:r>
    </w:p>
    <w:p>
      <w:pPr>
        <w:ind w:left="288"/>
      </w:pPr>
      <w:r>
        <w:rPr>
          <w:b/>
          <w:color w:val="003CA0"/>
          <w:sz w:val="16"/>
        </w:rPr>
        <w:t>[RE 208.436, rel. min. Ilmar Galvão, j. 13-10-1998, 1ª T, DJ de 26-3-1999.]</w:t>
      </w:r>
    </w:p>
    <w:p>
      <w:pPr>
        <w:ind w:left="288"/>
      </w:pPr>
      <w:r>
        <w:rPr>
          <w:color w:val="8C8C8C"/>
          <w:sz w:val="12"/>
        </w:rPr>
        <w:t>cf-art-8-inc-VII</w:t>
      </w:r>
      <w:r>
        <w:rPr>
          <w:color w:val="003CA0"/>
          <w:sz w:val="12"/>
        </w:rPr>
        <w:t xml:space="preserve"> | RE 204.625</w:t>
      </w:r>
      <w:r>
        <w:rPr>
          <w:color w:val="003CA0"/>
          <w:sz w:val="12"/>
        </w:rPr>
        <w:t xml:space="preserve"> | rel. Octavio Gallotti</w:t>
      </w:r>
    </w:p>
    <w:p>
      <w:pPr>
        <w:ind w:left="288"/>
      </w:pPr>
      <w:r>
        <w:rPr>
          <w:color w:val="1E1E1E"/>
          <w:sz w:val="18"/>
        </w:rPr>
        <w:t>A condição de dirigente ou representante sindical não impede a exoneração do servidor público estatutário, regularmente reprovado em estágio probatório (...).</w:t>
      </w:r>
    </w:p>
    <w:p>
      <w:pPr>
        <w:ind w:left="288"/>
      </w:pPr>
      <w:r>
        <w:rPr>
          <w:b/>
          <w:color w:val="003CA0"/>
          <w:sz w:val="16"/>
        </w:rPr>
        <w:t>[RE 204.625, rel. min. Octavio Gallotti, j. 2-10-1998, 1ª T, DJ de 12-5-2000.]</w:t>
      </w:r>
    </w:p>
    <w:p>
      <w:pPr>
        <w:ind w:left="288"/>
      </w:pPr>
      <w:r>
        <w:rPr>
          <w:color w:val="8C8C8C"/>
          <w:sz w:val="12"/>
        </w:rPr>
        <w:t>cf-art-8-inc-VII</w:t>
      </w:r>
      <w:r>
        <w:rPr>
          <w:color w:val="003CA0"/>
          <w:sz w:val="12"/>
        </w:rPr>
        <w:t xml:space="preserve"> | MI 144</w:t>
      </w:r>
      <w:r>
        <w:rPr>
          <w:color w:val="003CA0"/>
          <w:sz w:val="12"/>
        </w:rPr>
        <w:t xml:space="preserve"> | rel. Sepúlveda Pertence</w:t>
      </w:r>
    </w:p>
    <w:p>
      <w:pPr>
        <w:ind w:left="288"/>
      </w:pPr>
      <w:r>
        <w:rPr>
          <w:color w:val="1E1E1E"/>
          <w:sz w:val="18"/>
        </w:rPr>
        <w:t>Estabilidade sindical provisória (...); reconhecimento da garantia aos diretores eleitos, na assembleia constitutiva da entidade sindical, desde, pelo menos, a data do pedido de registro no Ministério do Trabalho, o que não contraria a exigência deste, constante do art. 8º, I, da Constituição. A constituição de um sindicato – posto culmine no registro no Ministério do Trabalho (STF, MI 144, 3-8-1992, Pertence, RTJ 147/868) – a ele não se resume: não é um ato, mas um processo. Da exigência do registro para o aperfeiçoamento da constituição do sindicato, não cabe inferir que só a partir dele est</w:t>
      </w:r>
    </w:p>
    <w:p>
      <w:pPr>
        <w:ind w:left="288"/>
      </w:pPr>
      <w:r>
        <w:rPr>
          <w:b/>
          <w:color w:val="003CA0"/>
          <w:sz w:val="16"/>
        </w:rPr>
        <w:t>[RE 205.107, rel. min. Sepúlveda Pertence, j. 6-8-1998, P, DJ de 25-9-1998.]</w:t>
      </w:r>
    </w:p>
    <w:p>
      <w:pPr>
        <w:ind w:left="288"/>
      </w:pPr>
      <w:r>
        <w:rPr>
          <w:color w:val="8C8C8C"/>
          <w:sz w:val="12"/>
        </w:rPr>
        <w:t>cf-art-8-inc-VII</w:t>
      </w:r>
      <w:r>
        <w:rPr>
          <w:color w:val="003CA0"/>
          <w:sz w:val="12"/>
        </w:rPr>
        <w:t xml:space="preserve"> | RE 234.431</w:t>
      </w:r>
      <w:r>
        <w:rPr>
          <w:color w:val="003CA0"/>
          <w:sz w:val="12"/>
        </w:rPr>
        <w:t xml:space="preserve"> | rel. Sepúlveda Pertence</w:t>
      </w:r>
    </w:p>
    <w:p>
      <w:pPr>
        <w:ind w:left="288"/>
      </w:pPr>
      <w:r>
        <w:rPr>
          <w:color w:val="1E1E1E"/>
          <w:sz w:val="18"/>
        </w:rPr>
        <w:t>= RE 234.431, rel. min. Sepúlveda Pertence, j. 14-2-2006, 1ª T, DJ de 17-3-2006 Os preceitos insculpidos no inciso VIII do art. 8º da CF e no art. 543 da CLT não alcançam a disponibilidade. Descabe confundi-la com a cessação imotivada do contrato individual de trabalho. Sendo o direito uma ciência, os institutos, as expressões e os vocábulos têm sentido próprio e, quanto à pureza da linguagem, a organicidade pertinente.</w:t>
      </w:r>
    </w:p>
    <w:p>
      <w:pPr>
        <w:ind w:left="288"/>
      </w:pPr>
      <w:r>
        <w:rPr>
          <w:b/>
          <w:color w:val="003CA0"/>
          <w:sz w:val="16"/>
        </w:rPr>
        <w:t>[MS 21.143, rel. min. Marco Aurélio, j. 27-9-1995, P, DJ de 25-9-1998.]</w:t>
      </w:r>
    </w:p>
    <w:p>
      <w:pPr>
        <w:ind w:left="288"/>
      </w:pPr>
      <w:r>
        <w:rPr>
          <w:color w:val="8C8C8C"/>
          <w:sz w:val="12"/>
        </w:rPr>
        <w:t>cf-art-8-inc-VII</w:t>
      </w:r>
    </w:p>
    <w:p>
      <w:pPr>
        <w:ind w:left="288"/>
      </w:pPr>
      <w:r>
        <w:rPr>
          <w:color w:val="1E1E1E"/>
          <w:sz w:val="18"/>
        </w:rPr>
        <w:t>Parágrafo único. As disposições deste artigo aplicam-se à organização de sindicatos rurais e de colônias de pescadores, atendidas as condições que a lei estabelecer.</w:t>
      </w:r>
    </w:p>
    <w:p>
      <w:pPr>
        <w:ind w:left="144"/>
      </w:pPr>
      <w:r>
        <w:rPr>
          <w:b/>
          <w:color w:val="B45A00"/>
          <w:sz w:val="16"/>
        </w:rPr>
        <w:t>CONTROLE CONCENTRADO</w:t>
      </w:r>
    </w:p>
    <w:p>
      <w:pPr>
        <w:ind w:left="288"/>
      </w:pPr>
      <w:r>
        <w:rPr>
          <w:color w:val="8C8C8C"/>
          <w:sz w:val="12"/>
        </w:rPr>
        <w:t>cf-art-8-inc-VII</w:t>
      </w:r>
      <w:r>
        <w:rPr>
          <w:color w:val="003CA0"/>
          <w:sz w:val="12"/>
        </w:rPr>
        <w:t xml:space="preserve"> | ADI 3.464</w:t>
      </w:r>
      <w:r>
        <w:rPr>
          <w:color w:val="003CA0"/>
          <w:sz w:val="12"/>
        </w:rPr>
        <w:t xml:space="preserve"> | rel. Menezes Direito</w:t>
      </w:r>
    </w:p>
    <w:p>
      <w:pPr>
        <w:ind w:left="288"/>
      </w:pPr>
      <w:r>
        <w:rPr>
          <w:color w:val="1E1E1E"/>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88"/>
      </w:pPr>
      <w:r>
        <w:rPr>
          <w:b/>
          <w:color w:val="003CA0"/>
          <w:sz w:val="16"/>
        </w:rPr>
        <w:t>[ADI 3.464, rel. min. Menezes Direito, j. 29-10-2008, P, DJE de 6-3-2009.]</w:t>
      </w:r>
    </w:p>
    <w:p>
      <w:pPr>
        <w:ind w:left="720"/>
      </w:pPr>
      <w:r>
        <w:rPr>
          <w:color w:val="003366"/>
          <w:sz w:val="18"/>
        </w:rPr>
        <w:t xml:space="preserve">I – a lei não poderá exigir autorização do Estado para a fundação de sindicato, </w:t>
      </w:r>
    </w:p>
    <w:p>
      <w:pPr>
        <w:ind w:left="720"/>
      </w:pPr>
      <w:r>
        <w:rPr>
          <w:color w:val="003366"/>
          <w:sz w:val="18"/>
        </w:rPr>
        <w:t>II – é vedada a criação de mais de uma organização sindical, em qualquer grau, r</w:t>
      </w:r>
    </w:p>
    <w:p>
      <w:pPr>
        <w:ind w:left="720"/>
      </w:pPr>
      <w:r>
        <w:rPr>
          <w:color w:val="003366"/>
          <w:sz w:val="18"/>
        </w:rPr>
        <w:t>III – ao sindicato cabe a defesa dos direitos e interesses coletivos ou individu</w:t>
      </w:r>
    </w:p>
    <w:p>
      <w:pPr>
        <w:ind w:left="720"/>
      </w:pPr>
      <w:r>
        <w:rPr>
          <w:color w:val="003366"/>
          <w:sz w:val="18"/>
        </w:rPr>
        <w:t>IV – a assembléia geral fixará a contribuição que, em se tratando de categoria p</w:t>
      </w:r>
    </w:p>
    <w:p>
      <w:pPr>
        <w:ind w:left="720"/>
      </w:pPr>
      <w:r>
        <w:rPr>
          <w:color w:val="003366"/>
          <w:sz w:val="18"/>
        </w:rPr>
        <w:t>V – ninguém será obrigado a filiar-se ou a manter-se filiado a sindicato;</w:t>
      </w:r>
    </w:p>
    <w:p>
      <w:pPr>
        <w:ind w:left="720"/>
      </w:pPr>
      <w:r>
        <w:rPr>
          <w:color w:val="003366"/>
          <w:sz w:val="18"/>
        </w:rPr>
        <w:t>VI – é obrigatória a participação dos sindicatos nas negociações coletivas de tr</w:t>
      </w:r>
    </w:p>
    <w:p>
      <w:pPr>
        <w:ind w:left="720"/>
      </w:pPr>
      <w:r>
        <w:rPr>
          <w:color w:val="003366"/>
          <w:sz w:val="18"/>
        </w:rPr>
        <w:t>VII – o aposentado filiado tem direito a votar e ser votado nas organizações sin</w:t>
      </w:r>
    </w:p>
    <w:p>
      <w:pPr>
        <w:ind w:left="720"/>
      </w:pPr>
      <w:r>
        <w:rPr>
          <w:color w:val="003366"/>
          <w:sz w:val="18"/>
        </w:rPr>
        <w:t>VIII – é vedada a dispensa do empregado sindicalizado a partir do registro da ca</w:t>
      </w:r>
    </w:p>
    <w:p>
      <w:r>
        <w:rPr>
          <w:b/>
          <w:color w:val="003366"/>
          <w:sz w:val="20"/>
        </w:rPr>
        <w:t>Art. 9 É assegurado o direito de greve, competindo aos trabalhadores decidir sob</w:t>
      </w:r>
      <w:r>
        <w:rPr>
          <w:color w:val="8C8C8C"/>
          <w:sz w:val="14"/>
        </w:rPr>
        <w:t xml:space="preserve">  [5 decisoes]</w:t>
      </w:r>
    </w:p>
    <w:p>
      <w:pPr>
        <w:ind w:left="144"/>
      </w:pPr>
      <w:r>
        <w:rPr>
          <w:b/>
          <w:color w:val="B45A00"/>
          <w:sz w:val="16"/>
        </w:rPr>
        <w:t>SUMULA</w:t>
      </w:r>
    </w:p>
    <w:p>
      <w:pPr>
        <w:ind w:left="288"/>
      </w:pPr>
      <w:r>
        <w:rPr>
          <w:color w:val="8C8C8C"/>
          <w:sz w:val="12"/>
        </w:rPr>
        <w:t>cf-art-9</w:t>
      </w:r>
    </w:p>
    <w:p>
      <w:pPr>
        <w:ind w:left="288"/>
      </w:pPr>
      <w:r>
        <w:rPr>
          <w:color w:val="1E1E1E"/>
          <w:sz w:val="18"/>
        </w:rPr>
        <w:t>A simples adesão à greve não constitui falta grave.</w:t>
      </w:r>
    </w:p>
    <w:p>
      <w:pPr>
        <w:ind w:left="288"/>
      </w:pPr>
      <w:r>
        <w:rPr>
          <w:b/>
          <w:color w:val="003CA0"/>
          <w:sz w:val="16"/>
        </w:rPr>
        <w:t>[Súmula 316.]</w:t>
      </w:r>
    </w:p>
    <w:p>
      <w:pPr>
        <w:ind w:left="144"/>
      </w:pPr>
      <w:r>
        <w:rPr>
          <w:b/>
          <w:color w:val="B45A00"/>
          <w:sz w:val="16"/>
        </w:rPr>
        <w:t>JULGADOS CORRELATOS</w:t>
      </w:r>
    </w:p>
    <w:p>
      <w:pPr>
        <w:ind w:left="288"/>
      </w:pPr>
      <w:r>
        <w:rPr>
          <w:color w:val="8C8C8C"/>
          <w:sz w:val="12"/>
        </w:rPr>
        <w:t>cf-art-9</w:t>
      </w:r>
      <w:r>
        <w:rPr>
          <w:color w:val="003CA0"/>
          <w:sz w:val="12"/>
        </w:rPr>
        <w:t xml:space="preserve"> | RE 184.083</w:t>
      </w:r>
      <w:r>
        <w:rPr>
          <w:color w:val="003CA0"/>
          <w:sz w:val="12"/>
        </w:rPr>
        <w:t xml:space="preserve"> | rel. Marco Aurélio</w:t>
      </w:r>
    </w:p>
    <w:p>
      <w:pPr>
        <w:ind w:left="288"/>
      </w:pPr>
      <w:r>
        <w:rPr>
          <w:color w:val="1E1E1E"/>
          <w:sz w:val="18"/>
        </w:rPr>
        <w:t>O direito à greve não é absoluto, devendo a categoria observar os parâmetros legais de regência. (...) Descabe falar em transgressão à Carta da República quando o indeferimento da garantia de emprego decorre do fato de se haver enquadrado a greve como ilegal.</w:t>
      </w:r>
    </w:p>
    <w:p>
      <w:pPr>
        <w:ind w:left="288"/>
      </w:pPr>
      <w:r>
        <w:rPr>
          <w:b/>
          <w:color w:val="003CA0"/>
          <w:sz w:val="16"/>
        </w:rPr>
        <w:t>[RE 184.083, rel. min. Marco Aurélio, j. 7-11-2000, 2ª T, DJ de 18-5-2001.]</w:t>
      </w:r>
    </w:p>
    <w:p>
      <w:pPr>
        <w:ind w:left="144"/>
      </w:pPr>
      <w:r>
        <w:rPr>
          <w:b/>
          <w:color w:val="B45A00"/>
          <w:sz w:val="16"/>
        </w:rPr>
        <w:t>REPERCUSSAO GERAL</w:t>
      </w:r>
    </w:p>
    <w:p>
      <w:pPr>
        <w:ind w:left="288"/>
      </w:pPr>
      <w:r>
        <w:rPr>
          <w:color w:val="8C8C8C"/>
          <w:sz w:val="12"/>
        </w:rPr>
        <w:t>cf-art-9-par-1</w:t>
      </w:r>
      <w:r>
        <w:rPr>
          <w:color w:val="003CA0"/>
          <w:sz w:val="12"/>
        </w:rPr>
        <w:t xml:space="preserve"> | ARE 654.432</w:t>
      </w:r>
    </w:p>
    <w:p>
      <w:pPr>
        <w:ind w:left="288"/>
      </w:pPr>
      <w:r>
        <w:rPr>
          <w:color w:val="1E1E1E"/>
          <w:sz w:val="18"/>
        </w:rPr>
        <w:t>O exercício do direito de greve, sob qualquer forma ou modalidade, é vedado aos policiais civis e a todos os servidores públicos que atuem diretamente na área de segurança pública. 2 - É obrigatória a participação do Poder Público em mediação instaurada pelos órgãos classistas das carreiras de segurança pública, nos termos do art. 165 do Código de Processo Civil, para vocalização dos interesses da categoria.</w:t>
      </w:r>
    </w:p>
    <w:p>
      <w:pPr>
        <w:ind w:left="288"/>
      </w:pPr>
      <w:r>
        <w:rPr>
          <w:b/>
          <w:color w:val="003CA0"/>
          <w:sz w:val="16"/>
        </w:rPr>
        <w:t>[ARE 654.432, red. do ac. min. Alexandre de Moraes, j. 5-4-2017, P, DJE de 11-6-2018, Tema 541, com mérito julgado.]</w:t>
      </w:r>
    </w:p>
    <w:p>
      <w:pPr>
        <w:ind w:left="144"/>
      </w:pPr>
      <w:r>
        <w:rPr>
          <w:b/>
          <w:color w:val="B45A00"/>
          <w:sz w:val="16"/>
        </w:rPr>
        <w:t>JULGADOS CORRELATOS</w:t>
      </w:r>
    </w:p>
    <w:p>
      <w:pPr>
        <w:ind w:left="288"/>
      </w:pPr>
      <w:r>
        <w:rPr>
          <w:color w:val="8C8C8C"/>
          <w:sz w:val="12"/>
        </w:rPr>
        <w:t>cf-art-9-par-1</w:t>
      </w:r>
      <w:r>
        <w:rPr>
          <w:color w:val="003CA0"/>
          <w:sz w:val="12"/>
        </w:rPr>
        <w:t xml:space="preserve"> | MI 708</w:t>
      </w:r>
      <w:r>
        <w:rPr>
          <w:color w:val="003CA0"/>
          <w:sz w:val="12"/>
        </w:rPr>
        <w:t xml:space="preserve"> | rel. Gilmar Mendes</w:t>
      </w:r>
    </w:p>
    <w:p>
      <w:pPr>
        <w:ind w:left="288"/>
      </w:pPr>
      <w:r>
        <w:rPr>
          <w:color w:val="1E1E1E"/>
          <w:sz w:val="18"/>
        </w:rPr>
        <w:t>A disciplina do direito de greve para os trabalhadores em geral, quanto às "atividades essenciais", é especificamente delineada nos arts. 9º a 11 da Lei 7.783/1989. Na hipótese de aplicação dessa legislação geral ao caso específico do direito de greve dos servidores públicos, antes de tudo, afigura-se inegável o conflito existente entre as necessidades mínimas de legislação para o exercício do direito de greve dos servidores públicos civis (CF, art. 9º, caput, c/c art. 37, VII), de um lado, e o direito a serviços públicos adequados e prestados de forma contínua a todos os cidadãos (CF, art. 9º</w:t>
      </w:r>
    </w:p>
    <w:p>
      <w:pPr>
        <w:ind w:left="288"/>
      </w:pPr>
      <w:r>
        <w:rPr>
          <w:b/>
          <w:color w:val="003CA0"/>
          <w:sz w:val="16"/>
        </w:rPr>
        <w:t>[MI 708, rel. min. Gilmar Mendes, j. 25-10-2007, P, DJE de 31-10-2008.]</w:t>
      </w:r>
    </w:p>
    <w:p>
      <w:pPr>
        <w:ind w:left="288"/>
      </w:pPr>
      <w:r>
        <w:rPr>
          <w:color w:val="8C8C8C"/>
          <w:sz w:val="12"/>
        </w:rPr>
        <w:t>cf-art-9-par-2</w:t>
      </w:r>
      <w:r>
        <w:rPr>
          <w:color w:val="003CA0"/>
          <w:sz w:val="12"/>
        </w:rPr>
        <w:t xml:space="preserve"> | AI 282.682</w:t>
      </w:r>
      <w:r>
        <w:rPr>
          <w:color w:val="003CA0"/>
          <w:sz w:val="12"/>
        </w:rPr>
        <w:t xml:space="preserve"> | rel. Celso de Mello</w:t>
      </w:r>
    </w:p>
    <w:p>
      <w:pPr>
        <w:ind w:left="288"/>
      </w:pPr>
      <w:r>
        <w:rPr>
          <w:color w:val="1E1E1E"/>
          <w:sz w:val="18"/>
        </w:rPr>
        <w:t>O reconhecimento judicial da abusividade do direito de greve e a interpretação do alcance da Lei 7.783/1989 qualificam-se como matérias revestidas de caráter simplesmente ordinário, podendo traduzir, quando muito, situação configuradora de ofensa meramente reflexa ao texto da Constituição, o que basta, por si só, para inviabilizar o conhecimento do recurso extraordinário.</w:t>
      </w:r>
    </w:p>
    <w:p>
      <w:pPr>
        <w:ind w:left="288"/>
      </w:pPr>
      <w:r>
        <w:rPr>
          <w:b/>
          <w:color w:val="003CA0"/>
          <w:sz w:val="16"/>
        </w:rPr>
        <w:t>[AI 282.682 AgR, rel. min. Celso de Mello, j. 14-5-2002, 2ª T, DJ de 21-6-2002.]</w:t>
      </w:r>
    </w:p>
    <w:p>
      <w:pPr>
        <w:ind w:left="432"/>
      </w:pPr>
      <w:r>
        <w:rPr>
          <w:color w:val="003366"/>
          <w:sz w:val="18"/>
        </w:rPr>
        <w:t>§ 1 A lei definirá os serviços ou atividades essenciais e disporá sobre o atendi</w:t>
      </w:r>
    </w:p>
    <w:p>
      <w:pPr>
        <w:ind w:left="432"/>
      </w:pPr>
      <w:r>
        <w:rPr>
          <w:color w:val="003366"/>
          <w:sz w:val="18"/>
        </w:rPr>
        <w:t>§ 2 Os abusos cometidos sujeitam os responsáveis às penas da lei.</w:t>
      </w:r>
    </w:p>
    <w:p>
      <w:r>
        <w:rPr>
          <w:b/>
          <w:color w:val="003366"/>
          <w:sz w:val="20"/>
        </w:rPr>
        <w:t>Art. 10 É assegurada a participação dos trabalhadores e empregadores nos colegia</w:t>
      </w:r>
    </w:p>
    <w:p>
      <w:r>
        <w:rPr>
          <w:b/>
          <w:color w:val="003366"/>
          <w:sz w:val="20"/>
        </w:rPr>
        <w:t>Art. 11 Nas empresas de mais de duzentos empregados, é assegurada a eleição de u</w:t>
      </w:r>
      <w:r>
        <w:rPr>
          <w:color w:val="8C8C8C"/>
          <w:sz w:val="14"/>
        </w:rPr>
        <w:t xml:space="preserve">  [1 decisoes]</w:t>
      </w:r>
    </w:p>
    <w:p>
      <w:pPr>
        <w:ind w:left="288"/>
      </w:pPr>
      <w:r>
        <w:rPr>
          <w:color w:val="8C8C8C"/>
          <w:sz w:val="12"/>
        </w:rPr>
        <w:t>cf-art-11</w:t>
      </w:r>
    </w:p>
    <w:p>
      <w:pPr>
        <w:ind w:left="288"/>
      </w:pPr>
      <w:r>
        <w:rPr>
          <w:color w:val="1E1E1E"/>
          <w:sz w:val="18"/>
        </w:rPr>
        <w:t>CAPÍTULO III Da Nacionalidade SUMÁRIO</w:t>
      </w:r>
    </w:p>
    <w:p>
      <w:pPr>
        <w:pStyle w:val="Heading2"/>
      </w:pPr>
      <w:r>
        <w:rPr>
          <w:color w:val="003366"/>
        </w:rPr>
        <w:t>CAPÍTULO III - DA NACIONALIDADE</w:t>
      </w:r>
    </w:p>
    <w:p>
      <w:r>
        <w:rPr>
          <w:b/>
          <w:color w:val="003366"/>
          <w:sz w:val="20"/>
        </w:rPr>
        <w:t>Art. 12 São brasileiros:</w:t>
      </w:r>
      <w:r>
        <w:rPr>
          <w:color w:val="8C8C8C"/>
          <w:sz w:val="14"/>
        </w:rPr>
        <w:t xml:space="preserve">  [15 decisoes]</w:t>
      </w:r>
    </w:p>
    <w:p>
      <w:pPr>
        <w:ind w:left="144"/>
      </w:pPr>
      <w:r>
        <w:rPr>
          <w:b/>
          <w:color w:val="B45A00"/>
          <w:sz w:val="16"/>
        </w:rPr>
        <w:t>JULGADOS CORRELATOS</w:t>
      </w:r>
    </w:p>
    <w:p>
      <w:pPr>
        <w:ind w:left="288"/>
      </w:pPr>
      <w:r>
        <w:rPr>
          <w:color w:val="8C8C8C"/>
          <w:sz w:val="12"/>
        </w:rPr>
        <w:t>cf-art-12</w:t>
      </w:r>
      <w:r>
        <w:rPr>
          <w:color w:val="003CA0"/>
          <w:sz w:val="12"/>
        </w:rPr>
        <w:t xml:space="preserve"> | HC 83.113</w:t>
      </w:r>
      <w:r>
        <w:rPr>
          <w:color w:val="003CA0"/>
          <w:sz w:val="12"/>
        </w:rPr>
        <w:t xml:space="preserve"> | rel. Celso de Mello</w:t>
      </w:r>
    </w:p>
    <w:p>
      <w:pPr>
        <w:ind w:left="288"/>
      </w:pPr>
      <w:r>
        <w:rPr>
          <w:color w:val="1E1E1E"/>
          <w:sz w:val="18"/>
        </w:rPr>
        <w:t>As hipóteses de outorga da nacionalidade brasileira, quer se trate de nacionalidade primária ou originária (da qual emana a condição de brasileiro nato), quer se cuide de nacionalidade secundária ou derivada (da qual resulta o status de brasileiro naturalizado), decorrem, exclusivamente, em função de sua natureza mesma, do texto constitucional, pois a questão da nacionalidade traduz matéria que se sujeita, unicamente, quanto à sua definição, ao poder soberano do Estado brasileiro.</w:t>
      </w:r>
    </w:p>
    <w:p>
      <w:pPr>
        <w:ind w:left="288"/>
      </w:pPr>
      <w:r>
        <w:rPr>
          <w:b/>
          <w:color w:val="003CA0"/>
          <w:sz w:val="16"/>
        </w:rPr>
        <w:t>[HC 83.113 QO, rel. min. Celso de Mello, j. 26-6-2003, 2ª T, DJ de 29-8-2003.)</w:t>
      </w:r>
    </w:p>
    <w:p>
      <w:pPr>
        <w:ind w:left="288"/>
      </w:pPr>
      <w:r>
        <w:rPr>
          <w:color w:val="8C8C8C"/>
          <w:sz w:val="12"/>
        </w:rPr>
        <w:t>cf-art-12-inc-I</w:t>
      </w:r>
      <w:r>
        <w:rPr>
          <w:color w:val="003CA0"/>
          <w:sz w:val="12"/>
        </w:rPr>
        <w:t xml:space="preserve"> | HC 83.450</w:t>
      </w:r>
      <w:r>
        <w:rPr>
          <w:color w:val="003CA0"/>
          <w:sz w:val="12"/>
        </w:rPr>
        <w:t xml:space="preserve"> | rel. Marco Aurélio</w:t>
      </w:r>
    </w:p>
    <w:p>
      <w:pPr>
        <w:ind w:left="288"/>
      </w:pPr>
      <w:r>
        <w:rPr>
          <w:color w:val="1E1E1E"/>
          <w:sz w:val="18"/>
        </w:rPr>
        <w:t>O processo remete ao complexo problema da extradição no caso da dupla nacionalidade, questão examinada pela Corte Internacional de Justiça no célebre caso Nottebohm. Naquele caso a Corte sustentou que, na hipótese de dupla nacionalidade, haveria uma prevalecente – a nacionalidade real e efetiva – identificada a partir de laços fáticos fortes entre a pessoa e o Estado. A falta de elementos concretos no presente processo inviabiliza qualquer solução sob esse enfoque.</w:t>
      </w:r>
    </w:p>
    <w:p>
      <w:pPr>
        <w:ind w:left="288"/>
      </w:pPr>
      <w:r>
        <w:rPr>
          <w:b/>
          <w:color w:val="003CA0"/>
          <w:sz w:val="16"/>
        </w:rPr>
        <w:t>[HC 83.450, rel. min. Marco Aurélio, red. do ac. min. Nelson Jobim, j. 26-8-2004, P, DJ de 4-3-2005.]</w:t>
      </w:r>
    </w:p>
    <w:p>
      <w:pPr>
        <w:ind w:left="288"/>
      </w:pPr>
      <w:r>
        <w:rPr>
          <w:color w:val="8C8C8C"/>
          <w:sz w:val="12"/>
        </w:rPr>
        <w:t>cf-art-12-inc-I</w:t>
      </w:r>
      <w:r>
        <w:rPr>
          <w:color w:val="003CA0"/>
          <w:sz w:val="12"/>
        </w:rPr>
        <w:t xml:space="preserve"> | HC 83.113</w:t>
      </w:r>
      <w:r>
        <w:rPr>
          <w:color w:val="003CA0"/>
          <w:sz w:val="12"/>
        </w:rPr>
        <w:t xml:space="preserve"> | rel. Celso de Mello</w:t>
      </w:r>
    </w:p>
    <w:p>
      <w:pPr>
        <w:ind w:left="288"/>
      </w:pPr>
      <w:r>
        <w:rPr>
          <w:color w:val="1E1E1E"/>
          <w:sz w:val="18"/>
        </w:rPr>
        <w:t>O brasileiro nato, quaisquer que sejam as circunstâncias e a natureza do delito, não pode ser extraditado, pelo Brasil, a pedido de Governo estrangeiro, pois a Constituição da República, em cláusula que não comporta exceção, impede, em caráter absoluto, a efetivação da entrega extradicional daquele que é titular, seja pelo critério do jus soli, seja pelo critério do jus sanguinis, de nacionalidade brasileira primária ou originária.</w:t>
      </w:r>
    </w:p>
    <w:p>
      <w:pPr>
        <w:ind w:left="288"/>
      </w:pPr>
      <w:r>
        <w:rPr>
          <w:b/>
          <w:color w:val="003CA0"/>
          <w:sz w:val="16"/>
        </w:rPr>
        <w:t>[HC 83.113 QO, rel. min. Celso de Mello, j. 26-6-2003, P, DJ de 29-8-2003.]</w:t>
      </w:r>
    </w:p>
    <w:p>
      <w:pPr>
        <w:ind w:left="288"/>
      </w:pPr>
      <w:r>
        <w:rPr>
          <w:color w:val="8C8C8C"/>
          <w:sz w:val="12"/>
        </w:rPr>
        <w:t>cf-art-12-inc-I-ali-b</w:t>
      </w:r>
    </w:p>
    <w:p>
      <w:pPr>
        <w:ind w:left="288"/>
      </w:pPr>
      <w:r>
        <w:rPr>
          <w:color w:val="1E1E1E"/>
          <w:sz w:val="18"/>
        </w:rPr>
        <w:t>c) os nascidos no estrangeiro de pai brasileiro ou de mãe brasileira, desde que sejam registrados em repartição brasileira competente ou venham a residir na República Federativa do Brasil e optem, em qualquer tempo, depois de atingida a maioridade, pela nacionalidade brasileira; (Redação da EC n. 54/2007)</w:t>
      </w:r>
    </w:p>
    <w:p>
      <w:pPr>
        <w:ind w:left="288"/>
      </w:pPr>
      <w:r>
        <w:rPr>
          <w:color w:val="8C8C8C"/>
          <w:sz w:val="12"/>
        </w:rPr>
        <w:t>cf-art-12-inc-I-ali-b</w:t>
      </w:r>
      <w:r>
        <w:rPr>
          <w:color w:val="003CA0"/>
          <w:sz w:val="12"/>
        </w:rPr>
        <w:t xml:space="preserve"> | RE 418.096</w:t>
      </w:r>
      <w:r>
        <w:rPr>
          <w:color w:val="003CA0"/>
          <w:sz w:val="12"/>
        </w:rPr>
        <w:t xml:space="preserve"> | rel. Carlos Velloso</w:t>
      </w:r>
    </w:p>
    <w:p>
      <w:pPr>
        <w:ind w:left="288"/>
      </w:pPr>
      <w:r>
        <w:rPr>
          <w:color w:val="1E1E1E"/>
          <w:sz w:val="18"/>
        </w:rPr>
        <w:t xml:space="preserve">Essa opção somente pode ser manifestada depois de alcançada a maioridade. É que a opção, por decorrer da vontade, tem caráter personalíssimo. Exige-se, então, que o optante tenha capacidade plena para manifestar a sua vontade, capacidade que se adquire com a maioridade. Vindo o nascido no estrangeiro, de pai brasileiro ou de mãe brasileira, a residir no Brasil, ainda menor, passa a ser considerado brasileiro nato, sujeita essa nacionalidade a manifestação da vontade do interessado, mediante a opção, depois de atingida a maioridade. Atingida a maioridade, enquanto não manifestada a opção, esta </w:t>
      </w:r>
    </w:p>
    <w:p>
      <w:pPr>
        <w:ind w:left="288"/>
      </w:pPr>
      <w:r>
        <w:rPr>
          <w:b/>
          <w:color w:val="003CA0"/>
          <w:sz w:val="16"/>
        </w:rPr>
        <w:t>[RE 418.096, rel. min. Carlos Velloso, j. 22-3-2005, 2ª T, DJ de 22-4-2005.]</w:t>
      </w:r>
    </w:p>
    <w:p>
      <w:pPr>
        <w:ind w:left="288"/>
      </w:pPr>
      <w:r>
        <w:rPr>
          <w:color w:val="8C8C8C"/>
          <w:sz w:val="12"/>
        </w:rPr>
        <w:t>cf-art-12-inc-I-ali-b</w:t>
      </w:r>
      <w:r>
        <w:rPr>
          <w:color w:val="003CA0"/>
          <w:sz w:val="12"/>
        </w:rPr>
        <w:t xml:space="preserve"> | AC 70</w:t>
      </w:r>
      <w:r>
        <w:rPr>
          <w:color w:val="003CA0"/>
          <w:sz w:val="12"/>
        </w:rPr>
        <w:t xml:space="preserve"> | rel. Sepúlveda Pertence</w:t>
      </w:r>
    </w:p>
    <w:p>
      <w:pPr>
        <w:ind w:left="288"/>
      </w:pPr>
      <w:r>
        <w:rPr>
          <w:color w:val="1E1E1E"/>
          <w:sz w:val="18"/>
        </w:rPr>
        <w:t>Nacionalidade brasileira de quem, nascido no estrangeiro, é filho de pai ou mãe brasileiros, que não estivesse a serviço do Brasil: evolução constitucional e situação vigente. Na Constituição de 1946, até o termo final do prazo de opção – de quatro anos, contados da maioridade –, o indivíduo, na hipótese considerada, se considerava, para todos os efeitos, brasileiro nato sob a condição resolutiva de que não optasse a tempo pela nacionalidade pátria. Sob a Constituição de 1988, que passou a admitir a opção "em qualquer tempo" – antes e depois da EC de revisão 3/1994, que suprimiu também a exigê</w:t>
      </w:r>
    </w:p>
    <w:p>
      <w:pPr>
        <w:ind w:left="288"/>
      </w:pPr>
      <w:r>
        <w:rPr>
          <w:b/>
          <w:color w:val="003CA0"/>
          <w:sz w:val="16"/>
        </w:rPr>
        <w:t>[AC 70 QO, rel. min. Sepúlveda Pertence, j. 25-9-2003, P, DJ de 12-3-2004.]</w:t>
      </w:r>
    </w:p>
    <w:p>
      <w:pPr>
        <w:ind w:left="288"/>
      </w:pPr>
      <w:r>
        <w:rPr>
          <w:color w:val="8C8C8C"/>
          <w:sz w:val="12"/>
        </w:rPr>
        <w:t>cf-art-12-inc-I-ali-b</w:t>
      </w:r>
      <w:r>
        <w:rPr>
          <w:color w:val="003CA0"/>
          <w:sz w:val="12"/>
        </w:rPr>
        <w:t xml:space="preserve"> | EXT 778</w:t>
      </w:r>
    </w:p>
    <w:p>
      <w:pPr>
        <w:ind w:left="288"/>
      </w:pPr>
      <w:r>
        <w:rPr>
          <w:color w:val="1E1E1E"/>
          <w:sz w:val="18"/>
        </w:rPr>
        <w:t>Não tem procedência, na espécie, a invocação do art. 77, I, da Lei 6.815/1980, segundo o qual não se dará a extradição de brasileiro, "salvo se a aquisição dessa nacionalidade verificar-se após o fato que motivar o pedido". Essa regra dirige-se, imediatamente, à forma de aquisição dessa nacionalidade brasileira, por via de natualização voluntária, e não da nacionalidade originária. Não se contempla, aí, a condição do brasileito nato (...), que detém o extraditanto. Na espécie, o extraditanto teve acolhida a opção da nacionalidade brasileira. Esse status logra previsão constitucional bastante a</w:t>
      </w:r>
    </w:p>
    <w:p>
      <w:pPr>
        <w:ind w:left="288"/>
      </w:pPr>
      <w:r>
        <w:rPr>
          <w:b/>
          <w:color w:val="003CA0"/>
          <w:sz w:val="16"/>
        </w:rPr>
        <w:t>[Ext 778 QO, voto do min. Néri da Silveira, j. 31-8-2000, P, DJ de 20-4-2001.]</w:t>
      </w:r>
    </w:p>
    <w:p>
      <w:pPr>
        <w:ind w:left="288"/>
      </w:pPr>
      <w:r>
        <w:rPr>
          <w:color w:val="8C8C8C"/>
          <w:sz w:val="12"/>
        </w:rPr>
        <w:t>cf-art-12-inc-II</w:t>
      </w:r>
      <w:r>
        <w:rPr>
          <w:color w:val="003CA0"/>
          <w:sz w:val="12"/>
        </w:rPr>
        <w:t xml:space="preserve"> | EXT 1.121</w:t>
      </w:r>
      <w:r>
        <w:rPr>
          <w:color w:val="003CA0"/>
          <w:sz w:val="12"/>
        </w:rPr>
        <w:t xml:space="preserve"> | rel. Celso de Mello</w:t>
      </w:r>
    </w:p>
    <w:p>
      <w:pPr>
        <w:ind w:left="288"/>
      </w:pPr>
      <w:r>
        <w:rPr>
          <w:color w:val="1E1E1E"/>
          <w:sz w:val="18"/>
        </w:rPr>
        <w:t>Não se revela possível, em nosso sistema jurídico-constitucional, a aquisição da nacionalidade brasileira jure matrimonii, vale dizer, como efeito direto e imediato resultante do casamento civil.</w:t>
      </w:r>
    </w:p>
    <w:p>
      <w:pPr>
        <w:ind w:left="288"/>
      </w:pPr>
      <w:r>
        <w:rPr>
          <w:b/>
          <w:color w:val="003CA0"/>
          <w:sz w:val="16"/>
        </w:rPr>
        <w:t>[Ext 1.121, rel. min. Celso de Mello, j. 18-12-2009, P, DJE de 25-6-2010.]</w:t>
      </w:r>
    </w:p>
    <w:p>
      <w:pPr>
        <w:ind w:left="288"/>
      </w:pPr>
      <w:r>
        <w:rPr>
          <w:color w:val="8C8C8C"/>
          <w:sz w:val="12"/>
        </w:rPr>
        <w:t>cf-art-12-inc-II-ali-a</w:t>
      </w:r>
    </w:p>
    <w:p>
      <w:pPr>
        <w:ind w:left="288"/>
      </w:pPr>
      <w:r>
        <w:rPr>
          <w:color w:val="1E1E1E"/>
          <w:sz w:val="18"/>
        </w:rPr>
        <w:t>b) os estrangeiros de qualquer nacionalidade, residentes na República Federativa do Brasil há mais de quinze anos ininterruptos e sem condenação penal, desde que requeiram a nacionalidade brasileira. (Redação da ECR n. 3/1994)</w:t>
      </w:r>
    </w:p>
    <w:p>
      <w:pPr>
        <w:ind w:left="288"/>
      </w:pPr>
      <w:r>
        <w:rPr>
          <w:color w:val="8C8C8C"/>
          <w:sz w:val="12"/>
        </w:rPr>
        <w:t>cf-art-12-inc-II-ali-a</w:t>
      </w:r>
      <w:r>
        <w:rPr>
          <w:color w:val="003CA0"/>
          <w:sz w:val="12"/>
        </w:rPr>
        <w:t xml:space="preserve"> | RE 264.848</w:t>
      </w:r>
      <w:r>
        <w:rPr>
          <w:color w:val="003CA0"/>
          <w:sz w:val="12"/>
        </w:rPr>
        <w:t xml:space="preserve"> | rel. Ayres Britto</w:t>
      </w:r>
    </w:p>
    <w:p>
      <w:pPr>
        <w:ind w:left="288"/>
      </w:pPr>
      <w:r>
        <w:rPr>
          <w:color w:val="1E1E1E"/>
          <w:sz w:val="18"/>
        </w:rPr>
        <w:t>O requerimento de aquisição da nacionalidade brasileira, previsto na alínea b do inciso II do art. 12 da Carta de Outubro, é suficiente para viabilizar a posse no cargo triunfalmente disputado mediante concurso público. Isso quando a pessoa requerente contar com quinze anos ininterruptos de residência fixa no Brasil, sem condenação penal. A portaria de formal reconhecimento da naturalização, expedida pelo ministro de Estado da Justiça, é de caráter meramente declaratório. Pelo que seus efeitos hão de retroagir à data do requerimento do interessado.</w:t>
      </w:r>
    </w:p>
    <w:p>
      <w:pPr>
        <w:ind w:left="288"/>
      </w:pPr>
      <w:r>
        <w:rPr>
          <w:b/>
          <w:color w:val="003CA0"/>
          <w:sz w:val="16"/>
        </w:rPr>
        <w:t>[RE 264.848, rel. min. Ayres Britto, j. 29-6-2005, 1ª T, DJ de 14-10-2005.]</w:t>
      </w:r>
    </w:p>
    <w:p>
      <w:pPr>
        <w:ind w:left="288"/>
      </w:pPr>
      <w:r>
        <w:rPr>
          <w:color w:val="8C8C8C"/>
          <w:sz w:val="12"/>
        </w:rPr>
        <w:t>cf-art-12-inc-II-ali-a</w:t>
      </w:r>
      <w:r>
        <w:rPr>
          <w:color w:val="003CA0"/>
          <w:sz w:val="12"/>
        </w:rPr>
        <w:t xml:space="preserve"> | RE 655.658</w:t>
      </w:r>
      <w:r>
        <w:rPr>
          <w:color w:val="003CA0"/>
          <w:sz w:val="12"/>
        </w:rPr>
        <w:t xml:space="preserve"> | rel. Cármen Lúcia</w:t>
      </w:r>
    </w:p>
    <w:p>
      <w:pPr>
        <w:ind w:left="288"/>
      </w:pPr>
      <w:r>
        <w:rPr>
          <w:color w:val="1E1E1E"/>
          <w:sz w:val="18"/>
        </w:rPr>
        <w:t>= RE 655.658 AgR, rel. min. Cármen Lúcia, j. 25-9-2012, 2ª T, DJE de 11-10-2012 A aplicação da regra da alínea b do inciso II do art. 12 da CF pressupõe a prova inequívoca de que o extraditando requereu e obteve a nacionalidade brasileira.</w:t>
      </w:r>
    </w:p>
    <w:p>
      <w:pPr>
        <w:ind w:left="288"/>
      </w:pPr>
      <w:r>
        <w:rPr>
          <w:b/>
          <w:color w:val="003CA0"/>
          <w:sz w:val="16"/>
        </w:rPr>
        <w:t>[HC 85.381, rel. min. Ayres  Britto, j. 25-5-2005, P, DJ de 5-5-2006.]</w:t>
      </w:r>
    </w:p>
    <w:p>
      <w:pPr>
        <w:ind w:left="288"/>
      </w:pPr>
      <w:r>
        <w:rPr>
          <w:color w:val="8C8C8C"/>
          <w:sz w:val="12"/>
        </w:rPr>
        <w:t>cf-art-12-par-1</w:t>
      </w:r>
      <w:r>
        <w:rPr>
          <w:color w:val="003CA0"/>
          <w:sz w:val="12"/>
        </w:rPr>
        <w:t xml:space="preserve"> | EXT 890</w:t>
      </w:r>
      <w:r>
        <w:rPr>
          <w:color w:val="003CA0"/>
          <w:sz w:val="12"/>
        </w:rPr>
        <w:t xml:space="preserve"> | rel. Celso de Mello</w:t>
      </w:r>
    </w:p>
    <w:p>
      <w:pPr>
        <w:ind w:left="288"/>
      </w:pPr>
      <w:r>
        <w:rPr>
          <w:color w:val="1E1E1E"/>
          <w:sz w:val="18"/>
        </w:rPr>
        <w:t>A norma inscrita no art. 12, § 1º, da Constituição da República – que contempla, em seu texto, hipótese excepcional de quase-nacionalidade – não opera de modo imediato, seja quanto ao seu conteúdo eficacial, seja no que se refere a todas as consequências jurídicas que dela derivam, pois, para incidir, além de supor o pronunciamento aquiescente do Estado brasileiro, fundado em sua própria soberania, depende, ainda, de requerimento do súdito português interessado, a quem se impõe, para tal efeito, a obrigação de preencher os requisitos estipulados pela Convenção sobre Igualdade de Direitos e Dev</w:t>
      </w:r>
    </w:p>
    <w:p>
      <w:pPr>
        <w:ind w:left="288"/>
      </w:pPr>
      <w:r>
        <w:rPr>
          <w:b/>
          <w:color w:val="003CA0"/>
          <w:sz w:val="16"/>
        </w:rPr>
        <w:t>[Ext 890, rel. min. Celso de Mello, j. 5-8-2004,1ª T, DJ de 28-10-2004.]</w:t>
      </w:r>
    </w:p>
    <w:p>
      <w:pPr>
        <w:ind w:left="288"/>
      </w:pPr>
      <w:r>
        <w:rPr>
          <w:color w:val="8C8C8C"/>
          <w:sz w:val="12"/>
        </w:rPr>
        <w:t>cf-art-12-par-1</w:t>
      </w:r>
      <w:r>
        <w:rPr>
          <w:color w:val="003CA0"/>
          <w:sz w:val="12"/>
        </w:rPr>
        <w:t xml:space="preserve"> | HC 100.793</w:t>
      </w:r>
      <w:r>
        <w:rPr>
          <w:color w:val="003CA0"/>
          <w:sz w:val="12"/>
        </w:rPr>
        <w:t xml:space="preserve"> | rel. Marco Aurélio</w:t>
      </w:r>
    </w:p>
    <w:p>
      <w:pPr>
        <w:ind w:left="288"/>
      </w:pPr>
      <w:r>
        <w:rPr>
          <w:color w:val="1E1E1E"/>
          <w:sz w:val="18"/>
        </w:rPr>
        <w:t>= HC 100.793, rel. min. Marco Aurélio, j. 2-12-2010, P, DJE de 1º-2-2011</w:t>
      </w:r>
    </w:p>
    <w:p>
      <w:pPr>
        <w:ind w:left="288"/>
      </w:pPr>
      <w:r>
        <w:rPr>
          <w:color w:val="8C8C8C"/>
          <w:sz w:val="12"/>
        </w:rPr>
        <w:t>cf-art-12-par-4</w:t>
      </w:r>
      <w:r>
        <w:rPr>
          <w:color w:val="003CA0"/>
          <w:sz w:val="12"/>
        </w:rPr>
        <w:t xml:space="preserve"> | HC 83.113</w:t>
      </w:r>
      <w:r>
        <w:rPr>
          <w:color w:val="003CA0"/>
          <w:sz w:val="12"/>
        </w:rPr>
        <w:t xml:space="preserve"> | rel. Celso de Mello</w:t>
      </w:r>
    </w:p>
    <w:p>
      <w:pPr>
        <w:ind w:left="288"/>
      </w:pPr>
      <w:r>
        <w:rPr>
          <w:color w:val="1E1E1E"/>
          <w:sz w:val="18"/>
        </w:rPr>
        <w:t>A perda da nacionalidade brasileira, por sua vez, somente pode ocorrer nas hipóteses taxativamente definidas na Constituição da República, não se revelando lícito, ao Estado brasileiro, seja mediante simples regramento legislativo, seja mediante tratados ou convenções internacionais, inovar nesse tema, quer para ampliar, quer para restringir, quer, ainda, para modificar os casos autorizadores da privação – sempre excepcional – da condição político-jurídica de nacional do Brasil.</w:t>
      </w:r>
    </w:p>
    <w:p>
      <w:pPr>
        <w:ind w:left="288"/>
      </w:pPr>
      <w:r>
        <w:rPr>
          <w:b/>
          <w:color w:val="003CA0"/>
          <w:sz w:val="16"/>
        </w:rPr>
        <w:t>[HC 83.113 QO, rel. min. Celso de Mello, j. 26-3-2003, P, DJ de 29-8-2003.]</w:t>
      </w:r>
    </w:p>
    <w:p>
      <w:pPr>
        <w:ind w:left="288"/>
      </w:pPr>
      <w:r>
        <w:rPr>
          <w:color w:val="8C8C8C"/>
          <w:sz w:val="12"/>
        </w:rPr>
        <w:t>cf-art-12-par-4</w:t>
      </w:r>
    </w:p>
    <w:p>
      <w:pPr>
        <w:ind w:left="288"/>
      </w:pPr>
      <w:r>
        <w:rPr>
          <w:color w:val="1E1E1E"/>
          <w:sz w:val="18"/>
        </w:rPr>
        <w:t>I - tiver cancelada sua naturalização, por sentença judicial, em virtude de fraude relacionada ao processo de naturalização ou de atentado contra a ordem constitucional e o Estado Democrático; (Redação dada pela EC n. 131/2023)</w:t>
      </w:r>
    </w:p>
    <w:p>
      <w:pPr>
        <w:ind w:left="720"/>
      </w:pPr>
      <w:r>
        <w:rPr>
          <w:color w:val="003366"/>
          <w:sz w:val="18"/>
        </w:rPr>
        <w:t>I – natos:</w:t>
      </w:r>
    </w:p>
    <w:p>
      <w:pPr>
        <w:ind w:left="1008"/>
      </w:pPr>
      <w:r>
        <w:rPr>
          <w:color w:val="003366"/>
          <w:sz w:val="18"/>
        </w:rPr>
        <w:t>a) os nascidos na República Federativa do Brasil, ainda que de pais estrangeiros</w:t>
      </w:r>
    </w:p>
    <w:p>
      <w:pPr>
        <w:ind w:left="1008"/>
      </w:pPr>
      <w:r>
        <w:rPr>
          <w:color w:val="003366"/>
          <w:sz w:val="18"/>
        </w:rPr>
        <w:t>b) os nascidos no estrangeiro, de pai brasileiro ou mãe brasileira, desde que qu</w:t>
      </w:r>
    </w:p>
    <w:p>
      <w:pPr>
        <w:ind w:left="1008"/>
      </w:pPr>
      <w:r>
        <w:rPr>
          <w:color w:val="003366"/>
          <w:sz w:val="18"/>
        </w:rPr>
        <w:t xml:space="preserve">c) os nascidos no estrangeiro de pai brasileiro ou de mãe brasileira, desde que </w:t>
      </w:r>
    </w:p>
    <w:p>
      <w:pPr>
        <w:ind w:left="720"/>
      </w:pPr>
      <w:r>
        <w:rPr>
          <w:color w:val="003366"/>
          <w:sz w:val="18"/>
        </w:rPr>
        <w:t>II – naturalizados:</w:t>
      </w:r>
    </w:p>
    <w:p>
      <w:pPr>
        <w:ind w:left="1008"/>
      </w:pPr>
      <w:r>
        <w:rPr>
          <w:color w:val="003366"/>
          <w:sz w:val="18"/>
        </w:rPr>
        <w:t>a) os que, na forma da lei, adquiram a nacionalidade brasileira, exigidas aos or</w:t>
      </w:r>
    </w:p>
    <w:p>
      <w:pPr>
        <w:ind w:left="1008"/>
      </w:pPr>
      <w:r>
        <w:rPr>
          <w:color w:val="003366"/>
          <w:sz w:val="18"/>
        </w:rPr>
        <w:t>b) os estrangeiros de qualquer nacionalidade, residentes na República Federativa</w:t>
      </w:r>
    </w:p>
    <w:p>
      <w:pPr>
        <w:ind w:left="432"/>
      </w:pPr>
      <w:r>
        <w:rPr>
          <w:color w:val="003366"/>
          <w:sz w:val="18"/>
        </w:rPr>
        <w:t>§ 1 Aos portugueses com residência permanente no País, se houver reciprocidade e</w:t>
      </w:r>
    </w:p>
    <w:p>
      <w:pPr>
        <w:ind w:left="432"/>
      </w:pPr>
      <w:r>
        <w:rPr>
          <w:color w:val="003366"/>
          <w:sz w:val="18"/>
        </w:rPr>
        <w:t>§ 2 A lei não poderá estabelecer distinção entre brasileiros natos e naturalizad</w:t>
      </w:r>
    </w:p>
    <w:p>
      <w:pPr>
        <w:ind w:left="432"/>
      </w:pPr>
      <w:r>
        <w:rPr>
          <w:color w:val="003366"/>
          <w:sz w:val="18"/>
        </w:rPr>
        <w:t>§ 3 São privativos de brasileiro nato os cargos:</w:t>
      </w:r>
    </w:p>
    <w:p>
      <w:pPr>
        <w:ind w:left="720"/>
      </w:pPr>
      <w:r>
        <w:rPr>
          <w:color w:val="003366"/>
          <w:sz w:val="18"/>
        </w:rPr>
        <w:t>I – de Presidente e Vice-Presidente da República;</w:t>
      </w:r>
    </w:p>
    <w:p>
      <w:pPr>
        <w:ind w:left="720"/>
      </w:pPr>
      <w:r>
        <w:rPr>
          <w:color w:val="003366"/>
          <w:sz w:val="18"/>
        </w:rPr>
        <w:t>II – de Presidente da Câmara dos Deputados;</w:t>
      </w:r>
    </w:p>
    <w:p>
      <w:pPr>
        <w:ind w:left="720"/>
      </w:pPr>
      <w:r>
        <w:rPr>
          <w:color w:val="003366"/>
          <w:sz w:val="18"/>
        </w:rPr>
        <w:t>III – de Presidente do Senado Federal;</w:t>
      </w:r>
    </w:p>
    <w:p>
      <w:pPr>
        <w:ind w:left="720"/>
      </w:pPr>
      <w:r>
        <w:rPr>
          <w:color w:val="003366"/>
          <w:sz w:val="18"/>
        </w:rPr>
        <w:t>IV – de Ministro do Supremo Tribunal Federal;</w:t>
      </w:r>
    </w:p>
    <w:p>
      <w:pPr>
        <w:ind w:left="720"/>
      </w:pPr>
      <w:r>
        <w:rPr>
          <w:color w:val="003366"/>
          <w:sz w:val="18"/>
        </w:rPr>
        <w:t>V – da carreira diplomática;</w:t>
      </w:r>
    </w:p>
    <w:p>
      <w:pPr>
        <w:ind w:left="720"/>
      </w:pPr>
      <w:r>
        <w:rPr>
          <w:color w:val="003366"/>
          <w:sz w:val="18"/>
        </w:rPr>
        <w:t>VI – de oficial das Forças Armadas.</w:t>
      </w:r>
    </w:p>
    <w:p>
      <w:pPr>
        <w:ind w:left="720"/>
      </w:pPr>
      <w:r>
        <w:rPr>
          <w:color w:val="003366"/>
          <w:sz w:val="18"/>
        </w:rPr>
        <w:t>VII – de Ministro de Estado da Defesa (Incluído pela Emenda Constitucional nº 23</w:t>
      </w:r>
    </w:p>
    <w:p>
      <w:pPr>
        <w:ind w:left="432"/>
      </w:pPr>
      <w:r>
        <w:rPr>
          <w:color w:val="003366"/>
          <w:sz w:val="18"/>
        </w:rPr>
        <w:t>§ 4 Será declarada a perda da nacionalidade do brasileiro que:</w:t>
      </w:r>
    </w:p>
    <w:p>
      <w:pPr>
        <w:ind w:left="720"/>
      </w:pPr>
      <w:r>
        <w:rPr>
          <w:color w:val="003366"/>
          <w:sz w:val="18"/>
        </w:rPr>
        <w:t>I – tiver cancelada sua naturalização, por sentença judicial, em virtude de frau</w:t>
      </w:r>
    </w:p>
    <w:p>
      <w:pPr>
        <w:ind w:left="720"/>
      </w:pPr>
      <w:r>
        <w:rPr>
          <w:color w:val="003366"/>
          <w:sz w:val="18"/>
        </w:rPr>
        <w:t>II – fizer pedido expresso de perda da nacionalidade brasileira perante autorida</w:t>
      </w:r>
    </w:p>
    <w:p>
      <w:pPr>
        <w:ind w:left="1008"/>
      </w:pPr>
      <w:r>
        <w:rPr>
          <w:color w:val="003366"/>
          <w:sz w:val="18"/>
        </w:rPr>
        <w:t>a) revogada; (Redação dada pela Emenda Constitucional nº 131, de 2023)</w:t>
      </w:r>
    </w:p>
    <w:p>
      <w:pPr>
        <w:ind w:left="1008"/>
      </w:pPr>
      <w:r>
        <w:rPr>
          <w:color w:val="003366"/>
          <w:sz w:val="18"/>
        </w:rPr>
        <w:t>b) revogada. (Redação dada pela Emenda Constitucional nº 131, de 2023)</w:t>
      </w:r>
    </w:p>
    <w:p>
      <w:pPr>
        <w:ind w:left="432"/>
      </w:pPr>
      <w:r>
        <w:rPr>
          <w:color w:val="003366"/>
          <w:sz w:val="18"/>
        </w:rPr>
        <w:t>§ 5 A renúncia da nacionalidade, nos termos do inciso II do § 4º deste artigo, n</w:t>
      </w:r>
    </w:p>
    <w:p>
      <w:r>
        <w:rPr>
          <w:b/>
          <w:color w:val="003366"/>
          <w:sz w:val="20"/>
        </w:rPr>
        <w:t>Art. 13 A língua portuguesa é o idioma oficial da República Federativa do Brasil</w:t>
      </w:r>
      <w:r>
        <w:rPr>
          <w:color w:val="8C8C8C"/>
          <w:sz w:val="14"/>
        </w:rPr>
        <w:t xml:space="preserve">  [4 decisoes]</w:t>
      </w:r>
    </w:p>
    <w:p>
      <w:pPr>
        <w:ind w:left="288"/>
      </w:pPr>
      <w:r>
        <w:rPr>
          <w:color w:val="8C8C8C"/>
          <w:sz w:val="12"/>
        </w:rPr>
        <w:t>cf-art-13</w:t>
      </w:r>
      <w:r>
        <w:rPr>
          <w:color w:val="003CA0"/>
          <w:sz w:val="12"/>
        </w:rPr>
        <w:t xml:space="preserve"> | ADPF 1.151</w:t>
      </w:r>
      <w:r>
        <w:rPr>
          <w:color w:val="003CA0"/>
          <w:sz w:val="12"/>
        </w:rPr>
        <w:t xml:space="preserve"> | rel. Dias Toffoli</w:t>
      </w:r>
    </w:p>
    <w:p>
      <w:pPr>
        <w:ind w:left="288"/>
      </w:pPr>
      <w:r>
        <w:rPr>
          <w:color w:val="1E1E1E"/>
          <w:sz w:val="18"/>
        </w:rP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Ademais, a Constituição de 1988, ao enumerar os objetivos da República Federativa do Brasil, acaba por det</w:t>
      </w:r>
    </w:p>
    <w:p>
      <w:pPr>
        <w:ind w:left="288"/>
      </w:pPr>
      <w:r>
        <w:rPr>
          <w:b/>
          <w:color w:val="003CA0"/>
          <w:sz w:val="16"/>
        </w:rPr>
        <w:t>[ADPF 1.151, rel. min. Dias Toffoli, j. 09.12.2024, P, DJE de 13.12.2024.]</w:t>
      </w:r>
    </w:p>
    <w:p>
      <w:pPr>
        <w:ind w:left="144"/>
      </w:pPr>
      <w:r>
        <w:rPr>
          <w:b/>
          <w:color w:val="B45A00"/>
          <w:sz w:val="16"/>
        </w:rPr>
        <w:t>CONTROLE CONCENTRADO</w:t>
      </w:r>
    </w:p>
    <w:p>
      <w:pPr>
        <w:ind w:left="288"/>
      </w:pPr>
      <w:r>
        <w:rPr>
          <w:color w:val="8C8C8C"/>
          <w:sz w:val="12"/>
        </w:rPr>
        <w:t>cf-art-13</w:t>
      </w:r>
      <w:r>
        <w:rPr>
          <w:color w:val="003CA0"/>
          <w:sz w:val="12"/>
        </w:rPr>
        <w:t xml:space="preserve"> | ADI 7.644</w:t>
      </w:r>
      <w:r>
        <w:rPr>
          <w:color w:val="003CA0"/>
          <w:sz w:val="12"/>
        </w:rPr>
        <w:t xml:space="preserve"> | rel. Flávio Dino</w:t>
      </w:r>
    </w:p>
    <w:p>
      <w:pPr>
        <w:ind w:left="288"/>
      </w:pPr>
      <w:r>
        <w:rPr>
          <w:color w:val="1E1E1E"/>
          <w:sz w:val="18"/>
        </w:rPr>
        <w:t>Qualquer mudança jurídica no ensino do idioma oficial brasileiro, tal como atualmente disciplinado pela União, depende do exercício de sua competência privativa para legislar sobre diretrizes e bases da educação, bem como sobre normas de uso da língua portuguesa editadas em consonância com o art. 13 da Constituição Federal. Esta matéria somente pode ser regulada pelo Congresso Nacional, sendo vedada a edição de leis estaduais ou municipais, contra ou a favor da linguagem neutra em sistemas de ensino.</w:t>
        <w:br/>
        <w:t>[ADI 7.644 MC-REF, rel. min. Flávio Dino, j. 24.06.2024, P, DJE de 29.07.2024.]</w:t>
      </w:r>
    </w:p>
    <w:p>
      <w:pPr>
        <w:ind w:left="144"/>
      </w:pPr>
      <w:r>
        <w:rPr>
          <w:b/>
          <w:color w:val="B45A00"/>
          <w:sz w:val="16"/>
        </w:rPr>
        <w:t>JULGADOS CORRELATOS</w:t>
      </w:r>
    </w:p>
    <w:p>
      <w:pPr>
        <w:ind w:left="288"/>
      </w:pPr>
      <w:r>
        <w:rPr>
          <w:color w:val="8C8C8C"/>
          <w:sz w:val="12"/>
        </w:rPr>
        <w:t>cf-art-13</w:t>
      </w:r>
      <w:r>
        <w:rPr>
          <w:color w:val="003CA0"/>
          <w:sz w:val="12"/>
        </w:rPr>
        <w:t xml:space="preserve"> | HC 72.391</w:t>
      </w:r>
      <w:r>
        <w:rPr>
          <w:color w:val="003CA0"/>
          <w:sz w:val="12"/>
        </w:rPr>
        <w:t xml:space="preserve"> | rel. Celso de Mello</w:t>
      </w:r>
    </w:p>
    <w:p>
      <w:pPr>
        <w:ind w:left="288"/>
      </w:pPr>
      <w:r>
        <w:rPr>
          <w:color w:val="1E1E1E"/>
          <w:sz w:val="18"/>
        </w:rPr>
        <w:t>A petição com que impetrado o habeas corpus deve ser redigida em português, sob pena de não conhecimento do writ constitucional (CPC, art. 156, c/c CPP, art. 3º), eis que o conteúdo dessa peça processual deve ser acessível a todos, sendo irrelevante, para esse efeito, que o juiz da causa conheça, eventualmente, o idioma estrangeiro utilizado pelo impetrante. A imprescindibilidade do uso do idioma nacional nos atos processuais, além de corresponder a uma exigência que decorre de razões vinculadas à própria soberania nacional, constitui projeção concretizadora da norma inscrita no art. 13, caput</w:t>
      </w:r>
    </w:p>
    <w:p>
      <w:pPr>
        <w:ind w:left="288"/>
      </w:pPr>
      <w:r>
        <w:rPr>
          <w:b/>
          <w:color w:val="003CA0"/>
          <w:sz w:val="16"/>
        </w:rPr>
        <w:t>[HC 72.391 QO, rel. min. Celso de Mello, j. 8-3-1995, P, DJ de 17-3-1995.]</w:t>
      </w:r>
    </w:p>
    <w:p>
      <w:pPr>
        <w:ind w:left="288"/>
      </w:pPr>
      <w:r>
        <w:rPr>
          <w:color w:val="8C8C8C"/>
          <w:sz w:val="12"/>
        </w:rPr>
        <w:t>cf-art-13-par-2</w:t>
      </w:r>
    </w:p>
    <w:p>
      <w:pPr>
        <w:ind w:left="288"/>
      </w:pPr>
      <w:r>
        <w:rPr>
          <w:color w:val="1E1E1E"/>
          <w:sz w:val="18"/>
        </w:rPr>
        <w:t>CAPÍTULO IV Dos Direitos Políticos SUMÁRIO</w:t>
      </w:r>
    </w:p>
    <w:p>
      <w:pPr>
        <w:ind w:left="432"/>
      </w:pPr>
      <w:r>
        <w:rPr>
          <w:color w:val="003366"/>
          <w:sz w:val="18"/>
        </w:rPr>
        <w:t xml:space="preserve">§ 1 São símbolos da República Federativa do Brasil a bandeira, o hino, as armas </w:t>
      </w:r>
    </w:p>
    <w:p>
      <w:pPr>
        <w:ind w:left="432"/>
      </w:pPr>
      <w:r>
        <w:rPr>
          <w:color w:val="003366"/>
          <w:sz w:val="18"/>
        </w:rPr>
        <w:t>§ 2 Os Estados, o Distrito Federal e os Municípios poderão ter símbolos próprios</w:t>
      </w:r>
    </w:p>
    <w:p>
      <w:pPr>
        <w:pStyle w:val="Heading2"/>
      </w:pPr>
      <w:r>
        <w:rPr>
          <w:color w:val="003366"/>
        </w:rPr>
        <w:t>CAPÍTULO IV - DOS DIREITOS POLÍTICOS</w:t>
      </w:r>
    </w:p>
    <w:p>
      <w:r>
        <w:rPr>
          <w:b/>
          <w:color w:val="003366"/>
          <w:sz w:val="20"/>
        </w:rPr>
        <w:t>Art. 14 A soberania popular será exercida pelo sufrágio universal e pelo voto di</w:t>
      </w:r>
      <w:r>
        <w:rPr>
          <w:color w:val="8C8C8C"/>
          <w:sz w:val="14"/>
        </w:rPr>
        <w:t xml:space="preserve">  [61 decisoes]</w:t>
      </w:r>
    </w:p>
    <w:p>
      <w:pPr>
        <w:ind w:left="144"/>
      </w:pPr>
      <w:r>
        <w:rPr>
          <w:b/>
          <w:color w:val="B45A00"/>
          <w:sz w:val="16"/>
        </w:rPr>
        <w:t>CONTROLE CONCENTRADO</w:t>
      </w:r>
    </w:p>
    <w:p>
      <w:pPr>
        <w:ind w:left="288"/>
      </w:pPr>
      <w:r>
        <w:rPr>
          <w:color w:val="8C8C8C"/>
          <w:sz w:val="12"/>
        </w:rPr>
        <w:t>cf-art-14</w:t>
      </w:r>
      <w:r>
        <w:rPr>
          <w:color w:val="003CA0"/>
          <w:sz w:val="12"/>
        </w:rPr>
        <w:t xml:space="preserve"> | ADPF 1.013</w:t>
      </w:r>
      <w:r>
        <w:rPr>
          <w:color w:val="003CA0"/>
          <w:sz w:val="12"/>
        </w:rPr>
        <w:t xml:space="preserve"> | rel. Luís Roberto Barroso</w:t>
      </w:r>
    </w:p>
    <w:p>
      <w:pPr>
        <w:ind w:left="288"/>
      </w:pPr>
      <w:r>
        <w:rPr>
          <w:color w:val="1E1E1E"/>
          <w:sz w:val="18"/>
        </w:rPr>
        <w:t>Arguição de descumprimento de preceito fundamental contra a omissão do poder público em ofertar, nos dias das eleições, transporte público gratuito e em frequência compatível com aquela praticada em dias úteis. A pretensão se fundamenta no direito dos cidadãos ao transporte e, especialmente, no seu direito ao voto, ao argumento de que a locomoção às seções eleitorais tem custo substancialmente maior do que o valor da multa pela abstenção. Considerada a extrema desigualdade social existente no Brasil, a ausência de política pública de concessão de transporte gratuito no dia das eleições tem o p</w:t>
      </w:r>
    </w:p>
    <w:p>
      <w:pPr>
        <w:ind w:left="288"/>
      </w:pPr>
      <w:r>
        <w:rPr>
          <w:b/>
          <w:color w:val="003CA0"/>
          <w:sz w:val="16"/>
        </w:rPr>
        <w:t>[ADI 4.467, rel. min. Rosa Weber, j. 20-10-2020, P, DJE de 29-10-2020.]</w:t>
      </w:r>
    </w:p>
    <w:p>
      <w:pPr>
        <w:ind w:left="288"/>
      </w:pPr>
      <w:r>
        <w:rPr>
          <w:color w:val="8C8C8C"/>
          <w:sz w:val="12"/>
        </w:rPr>
        <w:t>cf-art-14</w:t>
      </w:r>
      <w:r>
        <w:rPr>
          <w:color w:val="003CA0"/>
          <w:sz w:val="12"/>
        </w:rPr>
        <w:t xml:space="preserve"> | ADI 5.889</w:t>
      </w:r>
      <w:r>
        <w:rPr>
          <w:color w:val="003CA0"/>
          <w:sz w:val="12"/>
        </w:rPr>
        <w:t xml:space="preserve"> | rel. Gilmar Mendes</w:t>
      </w:r>
    </w:p>
    <w:p>
      <w:pPr>
        <w:ind w:left="288"/>
      </w:pPr>
      <w:r>
        <w:rPr>
          <w:color w:val="1E1E1E"/>
          <w:sz w:val="18"/>
        </w:rPr>
        <w:t>Legitimidade do Congresso Nacional para adoção de sistemas e procedimentos de escrutínio eleitoral com observância das garantias de sigilosidade e liberdade do voto (CF, arts. 14 e 60, § 4º, II). Modelo híbrido de votação previsto pelo art. 59-A da Lei 9.504/1997. Potencialidade de risco na identificação do eleitor configuradora de ameaça à sua livre escolha. Inconstitucionalidade.</w:t>
      </w:r>
    </w:p>
    <w:p>
      <w:pPr>
        <w:ind w:left="288"/>
      </w:pPr>
      <w:r>
        <w:rPr>
          <w:b/>
          <w:color w:val="003CA0"/>
          <w:sz w:val="16"/>
        </w:rPr>
        <w:t>[ADI 5.889, rel. min. Gilmar Mendes, j. 16-9-2020, P, DJE de 5-10-2020.]</w:t>
      </w:r>
    </w:p>
    <w:p>
      <w:pPr>
        <w:ind w:left="288"/>
      </w:pPr>
      <w:r>
        <w:rPr>
          <w:color w:val="8C8C8C"/>
          <w:sz w:val="12"/>
        </w:rPr>
        <w:t>cf-art-14</w:t>
      </w:r>
      <w:r>
        <w:rPr>
          <w:color w:val="003CA0"/>
          <w:sz w:val="12"/>
        </w:rPr>
        <w:t xml:space="preserve"> | MS 26.602</w:t>
      </w:r>
      <w:r>
        <w:rPr>
          <w:color w:val="003CA0"/>
          <w:sz w:val="12"/>
        </w:rPr>
        <w:t xml:space="preserve"> | rel. Roberto Barroso</w:t>
      </w:r>
    </w:p>
    <w:p>
      <w:pPr>
        <w:ind w:left="288"/>
      </w:pPr>
      <w:r>
        <w:rPr>
          <w:color w:val="1E1E1E"/>
          <w:sz w:val="18"/>
        </w:rPr>
        <w:t>Inaplicabilidade da regra de perda do mandato por infidelidade partidária ao sistema eleitoral majoritário. (...) As decisões no MS 26.602, no MS 26.603 e no MS 26.604 tiveram como pano de fundo o sistema proporcional, que é adotado para a eleição de deputados federais, estaduais e vereadores. As características do sistema proporcional, com sua ênfase nos votos obtidos pelos partidos, tornam a fidelidade partidária importante para garantir que as opções políticas feitas pelo eleitor no momento da eleição sejam minimamente preservadas. Daí a legitimidade de se decretar a perda do mandato do can</w:t>
      </w:r>
    </w:p>
    <w:p>
      <w:pPr>
        <w:ind w:left="288"/>
      </w:pPr>
      <w:r>
        <w:rPr>
          <w:b/>
          <w:color w:val="003CA0"/>
          <w:sz w:val="16"/>
        </w:rPr>
        <w:t>[ADI 5.081, rel. min. Roberto Barroso, j. 27-5-2015, P, DJE de 19-8-2015.]</w:t>
      </w:r>
    </w:p>
    <w:p>
      <w:pPr>
        <w:ind w:left="288"/>
      </w:pPr>
      <w:r>
        <w:rPr>
          <w:color w:val="8C8C8C"/>
          <w:sz w:val="12"/>
        </w:rPr>
        <w:t>cf-art-14</w:t>
      </w:r>
      <w:r>
        <w:rPr>
          <w:color w:val="003CA0"/>
          <w:sz w:val="12"/>
        </w:rPr>
        <w:t xml:space="preserve"> | MS 26.604</w:t>
      </w:r>
      <w:r>
        <w:rPr>
          <w:color w:val="003CA0"/>
          <w:sz w:val="12"/>
        </w:rPr>
        <w:t xml:space="preserve"> | rel. Cármen Lúcia</w:t>
      </w:r>
    </w:p>
    <w:p>
      <w:pPr>
        <w:ind w:left="288"/>
      </w:pPr>
      <w:r>
        <w:rPr>
          <w:color w:val="1E1E1E"/>
          <w:sz w:val="18"/>
        </w:rPr>
        <w:t>Vide MS 26.604, rel. min. Cármen Lúcia, j. 4-10-2007, P, DJE de 3-10-2008 A cláusula tutelar inscrita no art. 14, caput, da Constituição tem por destinatário específico e exclusivo o eleitor comum, no exercício das prerrogativas inerentes ao status activae civitatis. Essa norma de garantia não se aplica, contudo, ao membro do Poder Legislativo nos procedimentos de votação parlamentar, em cujo âmbito prevalece, como regra, o postulado da deliberação ostensiva ou aberta. As deliberações parlamentares regem-se, ordinariamente, pelo princípio da publicidade, que traduz dogma do regime constitucion</w:t>
      </w:r>
    </w:p>
    <w:p>
      <w:pPr>
        <w:ind w:left="288"/>
      </w:pPr>
      <w:r>
        <w:rPr>
          <w:b/>
          <w:color w:val="003CA0"/>
          <w:sz w:val="16"/>
        </w:rPr>
        <w:t>[ADI 1.057 MC, rel. min. Celso de Mello, j. 20-4-1994, P, DJ de 6-4-2001.]</w:t>
      </w:r>
    </w:p>
    <w:p>
      <w:pPr>
        <w:ind w:left="288"/>
      </w:pPr>
      <w:r>
        <w:rPr>
          <w:color w:val="8C8C8C"/>
          <w:sz w:val="12"/>
        </w:rPr>
        <w:t>cf-art-14</w:t>
      </w:r>
      <w:r>
        <w:rPr>
          <w:color w:val="003CA0"/>
          <w:sz w:val="12"/>
        </w:rPr>
        <w:t xml:space="preserve"> | ADI 4.298</w:t>
      </w:r>
      <w:r>
        <w:rPr>
          <w:color w:val="003CA0"/>
          <w:sz w:val="12"/>
        </w:rPr>
        <w:t xml:space="preserve"> | rel. Cezar Peluso</w:t>
      </w:r>
    </w:p>
    <w:p>
      <w:pPr>
        <w:ind w:left="288"/>
      </w:pPr>
      <w:r>
        <w:rPr>
          <w:color w:val="1E1E1E"/>
          <w:sz w:val="18"/>
        </w:rPr>
        <w:t>Vide ADI 4.298 MC, rel. min. Cezar Peluso, j. 7-10-2009, P, DJE de 27-11-2009</w:t>
      </w:r>
    </w:p>
    <w:p>
      <w:pPr>
        <w:ind w:left="144"/>
      </w:pPr>
      <w:r>
        <w:rPr>
          <w:b/>
          <w:color w:val="B45A00"/>
          <w:sz w:val="16"/>
        </w:rPr>
        <w:t>REPERCUSSAO GERAL</w:t>
      </w:r>
    </w:p>
    <w:p>
      <w:pPr>
        <w:ind w:left="288"/>
      </w:pPr>
      <w:r>
        <w:rPr>
          <w:color w:val="8C8C8C"/>
          <w:sz w:val="12"/>
        </w:rPr>
        <w:t>cf-art-14</w:t>
      </w:r>
      <w:r>
        <w:rPr>
          <w:color w:val="003CA0"/>
          <w:sz w:val="12"/>
        </w:rPr>
        <w:t xml:space="preserve"> | RE 1.096.029</w:t>
      </w:r>
    </w:p>
    <w:p>
      <w:pPr>
        <w:ind w:left="288"/>
      </w:pPr>
      <w:r>
        <w:rPr>
          <w:color w:val="1E1E1E"/>
          <w:sz w:val="18"/>
        </w:rPr>
        <w:t>A realização de novas eleições nos casos em que o candidato mais votado tiver o registro da candidatura indeferido, independentemente do número de votos, reafirma a soberania popular (...). (...) constitucionalidade da expressão ‘indeferimento do registro’ constante do § 3º do art. 224 do Código Eleitoral, acrescido pela Lei 13.165/2015.</w:t>
      </w:r>
    </w:p>
    <w:p>
      <w:pPr>
        <w:ind w:left="288"/>
      </w:pPr>
      <w:r>
        <w:rPr>
          <w:b/>
          <w:color w:val="003CA0"/>
          <w:sz w:val="16"/>
        </w:rPr>
        <w:t>[RE 1.096.029, voto do min. Dias Toffoli, j. 4-3-2020, P, DJE de 18-5-2020, Tema 986.]</w:t>
      </w:r>
    </w:p>
    <w:p>
      <w:pPr>
        <w:ind w:left="144"/>
      </w:pPr>
      <w:r>
        <w:rPr>
          <w:b/>
          <w:color w:val="B45A00"/>
          <w:sz w:val="16"/>
        </w:rPr>
        <w:t>JULGADOS CORRELATOS</w:t>
      </w:r>
    </w:p>
    <w:p>
      <w:pPr>
        <w:ind w:left="288"/>
      </w:pPr>
      <w:r>
        <w:rPr>
          <w:color w:val="8C8C8C"/>
          <w:sz w:val="12"/>
        </w:rPr>
        <w:t>cf-art-14</w:t>
      </w:r>
      <w:r>
        <w:rPr>
          <w:color w:val="003CA0"/>
          <w:sz w:val="12"/>
        </w:rPr>
        <w:t xml:space="preserve"> | AI 133.468</w:t>
      </w:r>
      <w:r>
        <w:rPr>
          <w:color w:val="003CA0"/>
          <w:sz w:val="12"/>
        </w:rPr>
        <w:t xml:space="preserve"> | rel. Sepúlveda Pertence</w:t>
      </w:r>
    </w:p>
    <w:p>
      <w:pPr>
        <w:ind w:left="288"/>
      </w:pPr>
      <w:r>
        <w:rPr>
          <w:color w:val="1E1E1E"/>
          <w:sz w:val="18"/>
        </w:rPr>
        <w:t>O princípio do sufrágio universal vem conjugado, no art. 14 da Constituição, à exigência do sigilo do voto: não o ofende, portanto, a decisão que entende nula a cédula assinalada de modo a poder identificar o eleitor.</w:t>
      </w:r>
    </w:p>
    <w:p>
      <w:pPr>
        <w:ind w:left="288"/>
      </w:pPr>
      <w:r>
        <w:rPr>
          <w:b/>
          <w:color w:val="003CA0"/>
          <w:sz w:val="16"/>
        </w:rPr>
        <w:t>[AI 133.468 AgR, rel. min. Sepúlveda Pertence, j. 15-2-1990, P, DJ de 9-3-1990.]</w:t>
      </w:r>
    </w:p>
    <w:p>
      <w:pPr>
        <w:ind w:left="144"/>
      </w:pPr>
      <w:r>
        <w:rPr>
          <w:b/>
          <w:color w:val="B45A00"/>
          <w:sz w:val="16"/>
        </w:rPr>
        <w:t>CONTROLE CONCENTRADO</w:t>
      </w:r>
    </w:p>
    <w:p>
      <w:pPr>
        <w:ind w:left="288"/>
      </w:pPr>
      <w:r>
        <w:rPr>
          <w:color w:val="8C8C8C"/>
          <w:sz w:val="12"/>
        </w:rPr>
        <w:t>cf-art-14-par-1</w:t>
      </w:r>
      <w:r>
        <w:rPr>
          <w:color w:val="003CA0"/>
          <w:sz w:val="12"/>
        </w:rPr>
        <w:t xml:space="preserve"> | ADPF 541</w:t>
      </w:r>
      <w:r>
        <w:rPr>
          <w:color w:val="003CA0"/>
          <w:sz w:val="12"/>
        </w:rPr>
        <w:t xml:space="preserve"> | rel. Roberto Barroso</w:t>
      </w:r>
    </w:p>
    <w:p>
      <w:pPr>
        <w:ind w:left="288"/>
      </w:pPr>
      <w:r>
        <w:rPr>
          <w:color w:val="1E1E1E"/>
          <w:sz w:val="18"/>
        </w:rPr>
        <w:t>O exercício do direito de voto é componente essencial da democracia representativa. O alistamento eleitoral e sua revisão periódica são indispensáveis para que esse direito seja exercido de maneira ordenada e segura. A revisão eleitoral é estabelecida em lei e se destina a atualizar o alistamento eleitoral previsto na Constituição. Também o cancelamento de título não apresentado à revisão tem base legal. Inexiste qualquer elemento que sugira ter havido direcionamento, quer na revisão eleitoral, quer no cancelamento de títulos. Tendo lastro constitucional e legal, e não tendo havido vício na su</w:t>
      </w:r>
    </w:p>
    <w:p>
      <w:pPr>
        <w:ind w:left="288"/>
      </w:pPr>
      <w:r>
        <w:rPr>
          <w:b/>
          <w:color w:val="003CA0"/>
          <w:sz w:val="16"/>
        </w:rPr>
        <w:t>[ADPF 541, rel. min. Roberto Barroso, j. 26-9-2018, P, DJE de 16-5-2019.]</w:t>
      </w:r>
    </w:p>
    <w:p>
      <w:pPr>
        <w:ind w:left="288"/>
      </w:pPr>
      <w:r>
        <w:rPr>
          <w:color w:val="8C8C8C"/>
          <w:sz w:val="12"/>
        </w:rPr>
        <w:t>cf-art-14-par-3</w:t>
      </w:r>
      <w:r>
        <w:rPr>
          <w:color w:val="003CA0"/>
          <w:sz w:val="12"/>
        </w:rPr>
        <w:t xml:space="preserve"> | ADI 2.938</w:t>
      </w:r>
      <w:r>
        <w:rPr>
          <w:color w:val="003CA0"/>
          <w:sz w:val="12"/>
        </w:rPr>
        <w:t xml:space="preserve"> | rel. Eros Grau</w:t>
      </w:r>
    </w:p>
    <w:p>
      <w:pPr>
        <w:ind w:left="288"/>
      </w:pPr>
      <w:r>
        <w:rPr>
          <w:color w:val="1E1E1E"/>
          <w:sz w:val="18"/>
        </w:rPr>
        <w:t>A fixação por lei estadual de condições de elegibilidade em relação aos candidatos a juiz de paz, além das constitucionalmente previstas no art. 14, § 3º, invade a competência da União para legislar sobre direito eleitoral, definida no art. 22, I, da Constituição do Brasil.</w:t>
      </w:r>
    </w:p>
    <w:p>
      <w:pPr>
        <w:ind w:left="288"/>
      </w:pPr>
      <w:r>
        <w:rPr>
          <w:b/>
          <w:color w:val="003CA0"/>
          <w:sz w:val="16"/>
        </w:rPr>
        <w:t>[ADI 2.938, rel. min. Eros Grau, j. 9-6-2005, P, DJ de 9-12-2005.]</w:t>
      </w:r>
    </w:p>
    <w:p>
      <w:pPr>
        <w:ind w:left="288"/>
      </w:pPr>
      <w:r>
        <w:rPr>
          <w:color w:val="8C8C8C"/>
          <w:sz w:val="12"/>
        </w:rPr>
        <w:t>cf-art-14-par-3</w:t>
      </w:r>
      <w:r>
        <w:rPr>
          <w:color w:val="003CA0"/>
          <w:sz w:val="12"/>
        </w:rPr>
        <w:t xml:space="preserve"> | ADI 1.063</w:t>
      </w:r>
      <w:r>
        <w:rPr>
          <w:color w:val="003CA0"/>
          <w:sz w:val="12"/>
        </w:rPr>
        <w:t xml:space="preserve"> | rel. Celso de Mello</w:t>
      </w:r>
    </w:p>
    <w:p>
      <w:pPr>
        <w:ind w:left="288"/>
      </w:pPr>
      <w:r>
        <w:rPr>
          <w:color w:val="1E1E1E"/>
          <w:sz w:val="18"/>
        </w:rPr>
        <w:t>O domicílio eleitoral na circunscrição e a filiação partidária, constituindo condições de elegibilidade (CF, art. 14, § 3º), revelam-se passíveis de válida disciplinação mediante simples lei ordinária. Os requisitos de elegibilidade não se confundem, no plano jurídico-conceitual, com as hipóteses de inelegibilidade, cuja definição – além das situações já previstas diretamente pelo próprio texto constitucional (CF, art. 14, § 5º a § 8º) – só pode derivar de norma inscrita em lei complementar (CF, art. 14, § 9º).</w:t>
      </w:r>
    </w:p>
    <w:p>
      <w:pPr>
        <w:ind w:left="288"/>
      </w:pPr>
      <w:r>
        <w:rPr>
          <w:b/>
          <w:color w:val="003CA0"/>
          <w:sz w:val="16"/>
        </w:rPr>
        <w:t>[ADI 1.063 MC, rel. min. Celso de Mello, j. 18-5-1994, P, DJ de 27-4-2001.]</w:t>
      </w:r>
    </w:p>
    <w:p>
      <w:pPr>
        <w:ind w:left="288"/>
      </w:pPr>
      <w:r>
        <w:rPr>
          <w:color w:val="8C8C8C"/>
          <w:sz w:val="12"/>
        </w:rPr>
        <w:t>cf-art-14-par-3</w:t>
      </w:r>
      <w:r>
        <w:rPr>
          <w:color w:val="003CA0"/>
          <w:sz w:val="12"/>
        </w:rPr>
        <w:t xml:space="preserve"> | ADI 1.057</w:t>
      </w:r>
      <w:r>
        <w:rPr>
          <w:color w:val="003CA0"/>
          <w:sz w:val="12"/>
        </w:rPr>
        <w:t xml:space="preserve"> | rel. Celso de Mello</w:t>
      </w:r>
    </w:p>
    <w:p>
      <w:pPr>
        <w:ind w:left="288"/>
      </w:pPr>
      <w:r>
        <w:rPr>
          <w:color w:val="1E1E1E"/>
          <w:sz w:val="18"/>
        </w:rPr>
        <w:t>As condições de elegibilidade (CF, art. 14, § 3º) e as hipóteses de inelegibilidade (CF, art. 14, § 4º a § 8º), inclusive aquelas decorrentes de legislação complementar (CF, art. 14, § 9º),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pPr>
        <w:ind w:left="288"/>
      </w:pPr>
      <w:r>
        <w:rPr>
          <w:b/>
          <w:color w:val="003CA0"/>
          <w:sz w:val="16"/>
        </w:rPr>
        <w:t>[ADI 1.057 MC, rel. min. Celso de Mello, j. 20-4-1994, P, DJ de 6-4-2001.]</w:t>
      </w:r>
    </w:p>
    <w:p>
      <w:pPr>
        <w:ind w:left="288"/>
      </w:pPr>
      <w:r>
        <w:rPr>
          <w:color w:val="8C8C8C"/>
          <w:sz w:val="12"/>
        </w:rPr>
        <w:t>cf-art-14-par-3</w:t>
      </w:r>
      <w:r>
        <w:rPr>
          <w:color w:val="003CA0"/>
          <w:sz w:val="12"/>
        </w:rPr>
        <w:t xml:space="preserve"> | ADI 4.298</w:t>
      </w:r>
      <w:r>
        <w:rPr>
          <w:color w:val="003CA0"/>
          <w:sz w:val="12"/>
        </w:rPr>
        <w:t xml:space="preserve"> | rel. Cezar Peluso</w:t>
      </w:r>
    </w:p>
    <w:p>
      <w:pPr>
        <w:ind w:left="288"/>
      </w:pPr>
      <w:r>
        <w:rPr>
          <w:color w:val="1E1E1E"/>
          <w:sz w:val="18"/>
        </w:rPr>
        <w:t>= ADI 4.298 MC, rel. min. Cezar Peluso, j. 7-10-2009, P, DJE de 27-11-2009</w:t>
      </w:r>
    </w:p>
    <w:p>
      <w:pPr>
        <w:ind w:left="144"/>
      </w:pPr>
      <w:r>
        <w:rPr>
          <w:b/>
          <w:color w:val="B45A00"/>
          <w:sz w:val="16"/>
        </w:rPr>
        <w:t>JULGADOS CORRELATOS</w:t>
      </w:r>
    </w:p>
    <w:p>
      <w:pPr>
        <w:ind w:left="288"/>
      </w:pPr>
      <w:r>
        <w:rPr>
          <w:color w:val="8C8C8C"/>
          <w:sz w:val="12"/>
        </w:rPr>
        <w:t>cf-art-14-par-3-inc-II</w:t>
      </w:r>
      <w:r>
        <w:rPr>
          <w:color w:val="003CA0"/>
          <w:sz w:val="12"/>
        </w:rPr>
        <w:t xml:space="preserve"> | AI 231.917</w:t>
      </w:r>
      <w:r>
        <w:rPr>
          <w:color w:val="003CA0"/>
          <w:sz w:val="12"/>
        </w:rPr>
        <w:t xml:space="preserve"> | rel. Sepúlveda Pertence</w:t>
      </w:r>
    </w:p>
    <w:p>
      <w:pPr>
        <w:ind w:left="288"/>
      </w:pPr>
      <w:r>
        <w:rPr>
          <w:color w:val="1E1E1E"/>
          <w:sz w:val="18"/>
        </w:rPr>
        <w:t>O indeferimento de registro de candidato por deficiência de documentação exigida por lei não implica suspensão de direitos políticos: a titularidade plena dos direitos políticos não o dispensava do registro de sua candidatura por partido ou coligação e esse, da prova documentada dos pressupostos de elegibilidade, entre eles, o pleno exercício dos mesmos direitos políticos (CF, art. 14, § 3º, II): negar o registro por falta de prova oportuna desse pressuposto não equivale obviamente a negar-lhe a realidade, mas apenas a afirmá-la não comprovada.</w:t>
      </w:r>
    </w:p>
    <w:p>
      <w:pPr>
        <w:ind w:left="288"/>
      </w:pPr>
      <w:r>
        <w:rPr>
          <w:b/>
          <w:color w:val="003CA0"/>
          <w:sz w:val="16"/>
        </w:rPr>
        <w:t>[AI 231.917 AgR, rel. min. Sepúlveda Pertence, j. 3-12-1998, P, DJ de 5-2-1999.]</w:t>
      </w:r>
    </w:p>
    <w:p>
      <w:pPr>
        <w:ind w:left="288"/>
      </w:pPr>
      <w:r>
        <w:rPr>
          <w:color w:val="8C8C8C"/>
          <w:sz w:val="12"/>
        </w:rPr>
        <w:t>cf-art-14-par-3-inc-IV</w:t>
      </w:r>
      <w:r>
        <w:rPr>
          <w:color w:val="003CA0"/>
          <w:sz w:val="12"/>
        </w:rPr>
        <w:t xml:space="preserve"> | INQ 1.645</w:t>
      </w:r>
      <w:r>
        <w:rPr>
          <w:color w:val="003CA0"/>
          <w:sz w:val="12"/>
        </w:rPr>
        <w:t xml:space="preserve"> | rel. Eros Grau</w:t>
      </w:r>
    </w:p>
    <w:p>
      <w:pPr>
        <w:ind w:left="288"/>
      </w:pPr>
      <w:r>
        <w:rPr>
          <w:color w:val="1E1E1E"/>
          <w:sz w:val="18"/>
        </w:rPr>
        <w:t>Inquérito. Conduta que configura, em tese, crime de falsa declaração de domicílio eleitoral (CE, art. 350). Declaração falsa firmada pelo proprietário do imóvel visando a comprovar que o indiciado, candidato ao cargo de prefeito municipal, tinha domicílio eleitoral na cidade de Santo André/SP.</w:t>
      </w:r>
    </w:p>
    <w:p>
      <w:pPr>
        <w:ind w:left="288"/>
      </w:pPr>
      <w:r>
        <w:rPr>
          <w:b/>
          <w:color w:val="003CA0"/>
          <w:sz w:val="16"/>
        </w:rPr>
        <w:t>[Inq 1.645, rel. min. Eros Grau, j. 5-6-2008, P, DJE de 5-9-2008.]</w:t>
      </w:r>
    </w:p>
    <w:p>
      <w:pPr>
        <w:ind w:left="144"/>
      </w:pPr>
      <w:r>
        <w:rPr>
          <w:b/>
          <w:color w:val="B45A00"/>
          <w:sz w:val="16"/>
        </w:rPr>
        <w:t>CONTROLE CONCENTRADO</w:t>
      </w:r>
    </w:p>
    <w:p>
      <w:pPr>
        <w:ind w:left="288"/>
      </w:pPr>
      <w:r>
        <w:rPr>
          <w:color w:val="8C8C8C"/>
          <w:sz w:val="12"/>
        </w:rPr>
        <w:t>cf-art-14-par-3-inc-V</w:t>
      </w:r>
      <w:r>
        <w:rPr>
          <w:color w:val="003CA0"/>
          <w:sz w:val="12"/>
        </w:rPr>
        <w:t xml:space="preserve"> | ADI 4.513</w:t>
      </w:r>
      <w:r>
        <w:rPr>
          <w:color w:val="003CA0"/>
          <w:sz w:val="12"/>
        </w:rPr>
        <w:t xml:space="preserve"> | rel. Roberto Barroso</w:t>
      </w:r>
    </w:p>
    <w:p>
      <w:pPr>
        <w:ind w:left="288"/>
      </w:pPr>
      <w:r>
        <w:rPr>
          <w:color w:val="1E1E1E"/>
          <w:sz w:val="18"/>
        </w:rPr>
        <w:t>A leitura do parágrafo único do art. 16-A da Lei nº 9.504/1997 que pretenda impedir que os votos dados aos candidatos com registro deferido ou não apreciado no dia da eleição sejam, como regra geral, computados para a respectiva agremiação padece de inconstitucionalidade. Em primeiro lugar, essa interpretação retira todo efeito útil ao voto dado pelo eleitor em situação em que não tinha razões para questionar a validade da candidatura, em detrimento dos princípios democrático e da soberania popular (arts. 1º e 14, CF). Em segundo lugar, tal tese vai na contramão do dever constitucional de valo</w:t>
      </w:r>
    </w:p>
    <w:p>
      <w:pPr>
        <w:ind w:left="288"/>
      </w:pPr>
      <w:r>
        <w:rPr>
          <w:b/>
          <w:color w:val="003CA0"/>
          <w:sz w:val="16"/>
        </w:rPr>
        <w:t>[ADI 5.081, rel. min. Roberto Barroso, j. 27-5-2015, P, DJE de 19-8-2015.]</w:t>
      </w:r>
    </w:p>
    <w:p>
      <w:pPr>
        <w:ind w:left="288"/>
      </w:pPr>
      <w:r>
        <w:rPr>
          <w:color w:val="8C8C8C"/>
          <w:sz w:val="12"/>
        </w:rPr>
        <w:t>cf-art-14-par-3-inc-V</w:t>
      </w:r>
      <w:r>
        <w:rPr>
          <w:color w:val="003CA0"/>
          <w:sz w:val="12"/>
        </w:rPr>
        <w:t xml:space="preserve"> | MS 26.604</w:t>
      </w:r>
      <w:r>
        <w:rPr>
          <w:color w:val="003CA0"/>
          <w:sz w:val="12"/>
        </w:rPr>
        <w:t xml:space="preserve"> | rel. Cármen Lúcia</w:t>
      </w:r>
    </w:p>
    <w:p>
      <w:pPr>
        <w:ind w:left="288"/>
      </w:pPr>
      <w:r>
        <w:rPr>
          <w:color w:val="1E1E1E"/>
          <w:sz w:val="18"/>
        </w:rPr>
        <w:t>Vide MS 26.604, rel. min. Cármen Lúcia, j. 4-10-2007, P, DJE de 3-10-2008 A definição de limitações ao exercício das funções eleitorais pelos partidos políticos é decreto de ordem excepcional, ressalva feita àquelas condicionantes oriundas da CF, a exemplo do art. 17 do Texto Magno. No caso do art. 4º da Lei 9.504/1997, embora se estabeleça limitação consistente na exigência do prazo mínimo de um ano de existência para que partidos políticos possam concorrer em eleições, há excepcionalidade que justifica a limitação da ampla liberdade de atuação dos partidos políticos na seara eleitoral. A pre</w:t>
      </w:r>
    </w:p>
    <w:p>
      <w:pPr>
        <w:ind w:left="288"/>
      </w:pPr>
      <w:r>
        <w:rPr>
          <w:b/>
          <w:color w:val="003CA0"/>
          <w:sz w:val="16"/>
        </w:rPr>
        <w:t>[ADI 1.817, rel. min. Dias Toffoli, j. 28-5-2014, P, DJE de 1º-8-2014.]</w:t>
      </w:r>
    </w:p>
    <w:p>
      <w:pPr>
        <w:ind w:left="288"/>
      </w:pPr>
      <w:r>
        <w:rPr>
          <w:color w:val="8C8C8C"/>
          <w:sz w:val="12"/>
        </w:rPr>
        <w:t>cf-art-14-par-3-inc-V</w:t>
      </w:r>
      <w:r>
        <w:rPr>
          <w:color w:val="003CA0"/>
          <w:sz w:val="12"/>
        </w:rPr>
        <w:t xml:space="preserve"> | MS 26.602</w:t>
      </w:r>
      <w:r>
        <w:rPr>
          <w:color w:val="003CA0"/>
          <w:sz w:val="12"/>
        </w:rPr>
        <w:t xml:space="preserve"> | rel. Joaquim Barbosa</w:t>
      </w:r>
    </w:p>
    <w:p>
      <w:pPr>
        <w:ind w:left="288"/>
      </w:pPr>
      <w:r>
        <w:rPr>
          <w:color w:val="1E1E1E"/>
          <w:sz w:val="18"/>
        </w:rPr>
        <w:t>Fidelidade partidária. Ação direta de inconstitucionalidade ajuizada contra as Resoluções 22.610/2007 e 22.733/2008, que disciplinam a perda do cargo eletivo e o processo de justificação da desfiliação partidária. (...) O STF, por ocasião do julgamento dos MS 26.602, 26.603 e 26.604, reconheceu a existência do dever constitucional de observância do princípio da fidelidade partidária. (...) Não faria sentido a Corte reconhecer a existência de um direito constitucional sem prever um instrumento para assegurá-lo. As resoluções impugnadas surgem em contexto excepcional e transitório, tão somente c</w:t>
      </w:r>
    </w:p>
    <w:p>
      <w:pPr>
        <w:ind w:left="288"/>
      </w:pPr>
      <w:r>
        <w:rPr>
          <w:b/>
          <w:color w:val="003CA0"/>
          <w:sz w:val="16"/>
        </w:rPr>
        <w:t>[ADI 3.999 e ADI 4.086, rel. min. Joaquim Barbosa, j. 12-11-2008, P, DJE de 17-4-2009.]</w:t>
      </w:r>
    </w:p>
    <w:p>
      <w:pPr>
        <w:ind w:left="288"/>
      </w:pPr>
      <w:r>
        <w:rPr>
          <w:color w:val="8C8C8C"/>
          <w:sz w:val="12"/>
        </w:rPr>
        <w:t>cf-art-14-par-3-inc-V</w:t>
      </w:r>
      <w:r>
        <w:rPr>
          <w:color w:val="003CA0"/>
          <w:sz w:val="12"/>
        </w:rPr>
        <w:t xml:space="preserve"> | RE 1.238.853</w:t>
      </w:r>
      <w:r>
        <w:rPr>
          <w:color w:val="003CA0"/>
          <w:sz w:val="12"/>
        </w:rPr>
        <w:t xml:space="preserve"> | rel. Luís Roberto Barroso. Red. do ac. min. Alexandre de Moraes</w:t>
      </w:r>
    </w:p>
    <w:p>
      <w:pPr>
        <w:ind w:left="288"/>
      </w:pPr>
      <w:r>
        <w:rPr>
          <w:color w:val="1E1E1E"/>
          <w:sz w:val="18"/>
        </w:rPr>
        <w:t>“Não são admitidas candidaturas avulsas no sistema eleitoral brasileiro, prevalecendo a filiação partidária como condição de elegibilidade, nos termos do art. 14, § 3º, V, da Constituição”.</w:t>
      </w:r>
    </w:p>
    <w:p>
      <w:pPr>
        <w:ind w:left="288"/>
      </w:pPr>
      <w:r>
        <w:rPr>
          <w:b/>
          <w:color w:val="003CA0"/>
          <w:sz w:val="16"/>
        </w:rPr>
        <w:t>[RE 1.238.853, rel. min. Luís Roberto Barroso. Red. do ac. min. Alexandre de Moraes, j. 26-11-2025, P, DJE de 8-1-2026, Tema 974, com mérito julgado.]</w:t>
      </w:r>
    </w:p>
    <w:p>
      <w:pPr>
        <w:ind w:left="144"/>
      </w:pPr>
      <w:r>
        <w:rPr>
          <w:b/>
          <w:color w:val="B45A00"/>
          <w:sz w:val="16"/>
        </w:rPr>
        <w:t>JULGADOS CORRELATOS</w:t>
      </w:r>
    </w:p>
    <w:p>
      <w:pPr>
        <w:ind w:left="288"/>
      </w:pPr>
      <w:r>
        <w:rPr>
          <w:color w:val="8C8C8C"/>
          <w:sz w:val="12"/>
        </w:rPr>
        <w:t>cf-art-14-par-3-inc-V</w:t>
      </w:r>
      <w:r>
        <w:rPr>
          <w:color w:val="003CA0"/>
          <w:sz w:val="12"/>
        </w:rPr>
        <w:t xml:space="preserve"> | MS 27.938</w:t>
      </w:r>
      <w:r>
        <w:rPr>
          <w:color w:val="003CA0"/>
          <w:sz w:val="12"/>
        </w:rPr>
        <w:t xml:space="preserve"> | rel. Joaquim Barbosa</w:t>
      </w:r>
    </w:p>
    <w:p>
      <w:pPr>
        <w:ind w:left="288"/>
      </w:pPr>
      <w:r>
        <w:rPr>
          <w:color w:val="1E1E1E"/>
          <w:sz w:val="18"/>
        </w:rPr>
        <w:t>O reconhecimento da justa causa para transferência de partido político afasta a perda do mandato eletivo por infidelidade partidária. Contudo, ela não transfere ao novo partido o direito de sucessão à vaga.</w:t>
      </w:r>
    </w:p>
    <w:p>
      <w:pPr>
        <w:ind w:left="288"/>
      </w:pPr>
      <w:r>
        <w:rPr>
          <w:b/>
          <w:color w:val="003CA0"/>
          <w:sz w:val="16"/>
        </w:rPr>
        <w:t>[MS 27.938, rel. min. Joaquim Barbosa, j. 11-3-2010, P, DJE de 30-4-2010.]</w:t>
      </w:r>
    </w:p>
    <w:p>
      <w:pPr>
        <w:ind w:left="288"/>
      </w:pPr>
      <w:r>
        <w:rPr>
          <w:color w:val="8C8C8C"/>
          <w:sz w:val="12"/>
        </w:rPr>
        <w:t>cf-art-14-par-3-inc-V</w:t>
      </w:r>
      <w:r>
        <w:rPr>
          <w:color w:val="003CA0"/>
          <w:sz w:val="12"/>
        </w:rPr>
        <w:t xml:space="preserve"> | MS 26.604</w:t>
      </w:r>
      <w:r>
        <w:rPr>
          <w:color w:val="003CA0"/>
          <w:sz w:val="12"/>
        </w:rPr>
        <w:t xml:space="preserve"> | rel. Cármen Lúcia</w:t>
      </w:r>
    </w:p>
    <w:p>
      <w:pPr>
        <w:ind w:left="288"/>
      </w:pPr>
      <w:r>
        <w:rPr>
          <w:color w:val="1E1E1E"/>
          <w:sz w:val="18"/>
        </w:rPr>
        <w:t>Vide MS 26.604, rel. min. Cármen Lúcia, j. 4-10-2007, P, DJE de 3-10-2008 Mandado de segurança contra ato do presidente da Câmara dos Deputados. Vacância dos cargos de deputado federal dos litisconsortes passivos, deputados federais eleitos pelo partido impetrante e transferidos, por vontade própria, para outra agremiação no curso do mandato. (...) Resposta do TSE a consulta eleitoral não tem natureza jurisdicional nem efeito vinculante. Mandado de segurança impetrado contra ato concreto praticado pelo presidente da Câmara dos Deputados, sem relação de dependência necessária com a resposta à C</w:t>
      </w:r>
    </w:p>
    <w:p>
      <w:pPr>
        <w:ind w:left="288"/>
      </w:pPr>
      <w:r>
        <w:rPr>
          <w:b/>
          <w:color w:val="003CA0"/>
          <w:sz w:val="16"/>
        </w:rPr>
        <w:t>[MS 26.604, rel. min. Cármen Lúcia, j. 4-10-2007, P, DJE de 3-10-2008.]</w:t>
      </w:r>
    </w:p>
    <w:p>
      <w:pPr>
        <w:ind w:left="288"/>
      </w:pPr>
      <w:r>
        <w:rPr>
          <w:color w:val="8C8C8C"/>
          <w:sz w:val="12"/>
        </w:rPr>
        <w:t>cf-art-14-par-3-inc-V</w:t>
      </w:r>
      <w:r>
        <w:rPr>
          <w:color w:val="003CA0"/>
          <w:sz w:val="12"/>
        </w:rPr>
        <w:t xml:space="preserve"> | MS 26.602</w:t>
      </w:r>
      <w:r>
        <w:rPr>
          <w:color w:val="003CA0"/>
          <w:sz w:val="12"/>
        </w:rPr>
        <w:t xml:space="preserve"> | rel. Eros Grau</w:t>
      </w:r>
    </w:p>
    <w:p>
      <w:pPr>
        <w:ind w:left="288"/>
      </w:pPr>
      <w:r>
        <w:rPr>
          <w:color w:val="1E1E1E"/>
          <w:sz w:val="18"/>
        </w:rPr>
        <w:t>= MS 26.602, rel. min. Eros Grau, j. 4-10-2007, P, DJE de 17-10-2008 = MS 26.603, rel. min. Celso de Mello, j. 4-10-2007, P, DJE de 19-12-2008 Vide ADI 5.081, rel. min. Roberto Barroso, j. 27-5-2015, P, DJE de 19-8-2015 Vide MS 27.938, rel. min. Joaquim Barbosa, j. 11-3-2010, P, DJE de 30-4-2010 Vide ADI 3.999 e ADI 4.086, rel. min. Joaquim Barbosa, j. 12-11-2008, P, DJE de 17-4-2009</w:t>
      </w:r>
    </w:p>
    <w:p>
      <w:pPr>
        <w:ind w:left="144"/>
      </w:pPr>
      <w:r>
        <w:rPr>
          <w:b/>
          <w:color w:val="B45A00"/>
          <w:sz w:val="16"/>
        </w:rPr>
        <w:t>CONTROLE CONCENTRADO</w:t>
      </w:r>
    </w:p>
    <w:p>
      <w:pPr>
        <w:ind w:left="288"/>
      </w:pPr>
      <w:r>
        <w:rPr>
          <w:color w:val="8C8C8C"/>
          <w:sz w:val="12"/>
        </w:rPr>
        <w:t>cf-art-14-par-4</w:t>
      </w:r>
      <w:r>
        <w:rPr>
          <w:color w:val="003CA0"/>
          <w:sz w:val="12"/>
        </w:rPr>
        <w:t xml:space="preserve"> | ADI 1.057</w:t>
      </w:r>
      <w:r>
        <w:rPr>
          <w:color w:val="003CA0"/>
          <w:sz w:val="12"/>
        </w:rPr>
        <w:t xml:space="preserve"> | rel. Celso de Mello</w:t>
      </w:r>
    </w:p>
    <w:p>
      <w:pPr>
        <w:ind w:left="288"/>
      </w:pPr>
      <w:r>
        <w:rPr>
          <w:color w:val="1E1E1E"/>
          <w:sz w:val="18"/>
        </w:rPr>
        <w:t>As condições de elegibilidade (CF, art. 14, § 3º) e as hipóteses de inelegibilidade (CF, art. 14, § 4º a § 8º), inclusive aquelas decorrentes de legislação complementar (CF, art. 14, § 9º),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pPr>
        <w:ind w:left="288"/>
      </w:pPr>
      <w:r>
        <w:rPr>
          <w:b/>
          <w:color w:val="003CA0"/>
          <w:sz w:val="16"/>
        </w:rPr>
        <w:t>[ADI 1.057 MC, rel. min. Celso de Mello, j. 20-4-1994, P, DJ de 6-4-2001.]</w:t>
      </w:r>
    </w:p>
    <w:p>
      <w:pPr>
        <w:ind w:left="288"/>
      </w:pPr>
      <w:r>
        <w:rPr>
          <w:color w:val="8C8C8C"/>
          <w:sz w:val="12"/>
        </w:rPr>
        <w:t>cf-art-14-par-4</w:t>
      </w:r>
      <w:r>
        <w:rPr>
          <w:color w:val="003CA0"/>
          <w:sz w:val="12"/>
        </w:rPr>
        <w:t xml:space="preserve"> | ADI 4.298</w:t>
      </w:r>
      <w:r>
        <w:rPr>
          <w:color w:val="003CA0"/>
          <w:sz w:val="12"/>
        </w:rPr>
        <w:t xml:space="preserve"> | rel. Cezar Peluso</w:t>
      </w:r>
    </w:p>
    <w:p>
      <w:pPr>
        <w:ind w:left="288"/>
      </w:pPr>
      <w:r>
        <w:rPr>
          <w:color w:val="1E1E1E"/>
          <w:sz w:val="18"/>
        </w:rPr>
        <w:t>= ADI 4.298 MC, rel. min. Cezar Peluso, j. 7-10-2009, P, DJE de 27-11-2009</w:t>
      </w:r>
    </w:p>
    <w:p>
      <w:pPr>
        <w:ind w:left="288"/>
      </w:pPr>
      <w:r>
        <w:rPr>
          <w:color w:val="8C8C8C"/>
          <w:sz w:val="12"/>
        </w:rPr>
        <w:t>cf-art-14-par-5</w:t>
      </w:r>
      <w:r>
        <w:rPr>
          <w:color w:val="003CA0"/>
          <w:sz w:val="12"/>
        </w:rPr>
        <w:t xml:space="preserve"> | ADI 1.805</w:t>
      </w:r>
      <w:r>
        <w:rPr>
          <w:color w:val="003CA0"/>
          <w:sz w:val="12"/>
        </w:rPr>
        <w:t xml:space="preserve"> | rel. Néri da Silveira</w:t>
      </w:r>
    </w:p>
    <w:p>
      <w:pPr>
        <w:ind w:left="288"/>
      </w:pPr>
      <w:r>
        <w:rPr>
          <w:color w:val="1E1E1E"/>
          <w:sz w:val="18"/>
        </w:rPr>
        <w:t>Alegação de inconstitucionalidade a) da interpretação dada ao § 5º do art. 14 da Constituição, na redação da EC 16/1997, ao não exigir a renúncia aos respectivos mandatos até seis meses antes do pleito, para o titular concorrer à reeleição (...). Na redação original, o § 5º do art. 14 da Constituição era regra de inelegibilidade absoluta. Com a redação resultante da EC 16/1997, o § 5º do art. 14 da Constituição passou a ter a natureza de norma de elegibilidade. Distinção entre condições de elegibilidade e causas de inelegibilidade. Correlação entre inelegibilidade e desincompatibilização, aten</w:t>
      </w:r>
    </w:p>
    <w:p>
      <w:pPr>
        <w:ind w:left="288"/>
      </w:pPr>
      <w:r>
        <w:rPr>
          <w:b/>
          <w:color w:val="003CA0"/>
          <w:sz w:val="16"/>
        </w:rPr>
        <w:t>[ADI 1.805 MC, rel. min. Néri da Silveira, j. 26-3-1998, P, DJ de 14-11-2003.]</w:t>
      </w:r>
    </w:p>
    <w:p>
      <w:pPr>
        <w:ind w:left="288"/>
      </w:pPr>
      <w:r>
        <w:rPr>
          <w:color w:val="8C8C8C"/>
          <w:sz w:val="12"/>
        </w:rPr>
        <w:t>cf-art-14-par-5</w:t>
      </w:r>
      <w:r>
        <w:rPr>
          <w:color w:val="003CA0"/>
          <w:sz w:val="12"/>
        </w:rPr>
        <w:t xml:space="preserve"> | RE 1.355.228</w:t>
      </w:r>
      <w:r>
        <w:rPr>
          <w:color w:val="003CA0"/>
          <w:sz w:val="12"/>
        </w:rPr>
        <w:t xml:space="preserve"> | rel. Nunes Marques</w:t>
      </w:r>
    </w:p>
    <w:p>
      <w:pPr>
        <w:ind w:left="288"/>
      </w:pPr>
      <w:r>
        <w:rPr>
          <w:color w:val="1E1E1E"/>
          <w:sz w:val="18"/>
        </w:rPr>
        <w:t>“O exercício da chefia do Poder Executivo, nos seis meses anteriores ao pleito, em decorrência de decisão judicial não transitada em julgado, não conta como exercício de um mandato para efeito de reeleição.”</w:t>
      </w:r>
    </w:p>
    <w:p>
      <w:pPr>
        <w:ind w:left="288"/>
      </w:pPr>
      <w:r>
        <w:rPr>
          <w:b/>
          <w:color w:val="003CA0"/>
          <w:sz w:val="16"/>
        </w:rPr>
        <w:t>[RE 1.355.228, rel. min. Nunes Marques, j. 26-11-2025, P, Informativo STF 1.201, Tema 1.229, com mérito julgado.]</w:t>
      </w:r>
    </w:p>
    <w:p>
      <w:pPr>
        <w:ind w:left="144"/>
      </w:pPr>
      <w:r>
        <w:rPr>
          <w:b/>
          <w:color w:val="B45A00"/>
          <w:sz w:val="16"/>
        </w:rPr>
        <w:t>REPERCUSSAO GERAL</w:t>
      </w:r>
    </w:p>
    <w:p>
      <w:pPr>
        <w:ind w:left="288"/>
      </w:pPr>
      <w:r>
        <w:rPr>
          <w:color w:val="8C8C8C"/>
          <w:sz w:val="12"/>
        </w:rPr>
        <w:t>cf-art-14-par-5</w:t>
      </w:r>
      <w:r>
        <w:rPr>
          <w:color w:val="003CA0"/>
          <w:sz w:val="12"/>
        </w:rPr>
        <w:t xml:space="preserve"> | RE 637.485</w:t>
      </w:r>
      <w:r>
        <w:rPr>
          <w:color w:val="003CA0"/>
          <w:sz w:val="12"/>
        </w:rPr>
        <w:t xml:space="preserve"> | rel. Gilmar Mendes</w:t>
      </w:r>
    </w:p>
    <w:p>
      <w:pPr>
        <w:ind w:left="288"/>
      </w:pPr>
      <w:r>
        <w:rPr>
          <w:color w:val="1E1E1E"/>
          <w:sz w:val="18"/>
        </w:rPr>
        <w:t>O instituto da reeleição tem fundamento não somente no postulado da continuidade administrativa, mas também no princípio republicano, que impede a perpetuação de uma mesma pessoa ou grupo no poder. O princípio republicano condiciona a interpretação e a aplicação do próprio comando da norma constitucional, de modo que a reeleição é permitida por apenas uma única vez. Esse princípio impede a terceira eleição não apenas no mesmo Município, mas em relação a qualquer outro Município da Federação. Entendimento contrário tornaria possível a figura do denominado "prefeito itinerante" ou do "prefeito p</w:t>
      </w:r>
    </w:p>
    <w:p>
      <w:pPr>
        <w:ind w:left="288"/>
      </w:pPr>
      <w:r>
        <w:rPr>
          <w:b/>
          <w:color w:val="003CA0"/>
          <w:sz w:val="16"/>
        </w:rPr>
        <w:t>[RE 637.485, rel. min. Gilmar Mendes, j. 1º-8-2012, P, DJE de 21-5-2013, Tema 564, com mérito julgado.]</w:t>
      </w:r>
    </w:p>
    <w:p>
      <w:pPr>
        <w:ind w:left="288"/>
      </w:pPr>
      <w:r>
        <w:rPr>
          <w:color w:val="8C8C8C"/>
          <w:sz w:val="12"/>
        </w:rPr>
        <w:t>cf-art-14-par-5</w:t>
      </w:r>
      <w:r>
        <w:rPr>
          <w:color w:val="003CA0"/>
          <w:sz w:val="12"/>
        </w:rPr>
        <w:t xml:space="preserve"> | RE 597.994</w:t>
      </w:r>
    </w:p>
    <w:p>
      <w:pPr>
        <w:ind w:left="288"/>
      </w:pPr>
      <w:r>
        <w:rPr>
          <w:color w:val="1E1E1E"/>
          <w:sz w:val="18"/>
        </w:rPr>
        <w:t>Não há, efetivamente, direito adquirido do membro do Ministério Público a candidatar-se ao exercício de novo mandado político. O que socorre a recorrente é o direito atual – não adquirido no passado, mas atual – a concorrer a nova eleição e ser reeleita, afirmado pelo art. 14, § 5º, da Constituição do Brasil. Não há contradição entre os preceitos contidos no § 5º do art. 14 e no art. 128, § 5º, II, e, da Constituição do Brasil. A interpretação do direito, e da Constituição, não se reduz a singelo exercício de leitura dos seus textos, compreendendo processo de contínua adaptação à realidade e s</w:t>
      </w:r>
    </w:p>
    <w:p>
      <w:pPr>
        <w:ind w:left="144"/>
      </w:pPr>
      <w:r>
        <w:rPr>
          <w:b/>
          <w:color w:val="B45A00"/>
          <w:sz w:val="16"/>
        </w:rPr>
        <w:t>JULGADOS CORRELATOS</w:t>
      </w:r>
    </w:p>
    <w:p>
      <w:pPr>
        <w:ind w:left="288"/>
      </w:pPr>
      <w:r>
        <w:rPr>
          <w:color w:val="8C8C8C"/>
          <w:sz w:val="12"/>
        </w:rPr>
        <w:t>cf-art-14-par-5</w:t>
      </w:r>
      <w:r>
        <w:rPr>
          <w:color w:val="003CA0"/>
          <w:sz w:val="12"/>
        </w:rPr>
        <w:t xml:space="preserve"> | RE 464.277</w:t>
      </w:r>
      <w:r>
        <w:rPr>
          <w:color w:val="003CA0"/>
          <w:sz w:val="12"/>
        </w:rPr>
        <w:t xml:space="preserve"> | rel. Ayres  Britto</w:t>
      </w:r>
    </w:p>
    <w:p>
      <w:pPr>
        <w:ind w:left="288"/>
      </w:pPr>
      <w:r>
        <w:rPr>
          <w:color w:val="1E1E1E"/>
          <w:sz w:val="18"/>
        </w:rPr>
        <w:t>Vice-prefeito que ocupou o cargo de prefeito por força de decisão judicial que determinou o afastamento do titular. Registro de candidatura a uma terceira assunção na chefia do Poder Executivo municipal. Impossibilidade. Nos termos do § 5º do art. 14 da CF, "os prefeitos e quem os houver sucedido ou substituído no curso dos mandatos poderão ser reeleitos para um único período subsequente".</w:t>
      </w:r>
    </w:p>
    <w:p>
      <w:pPr>
        <w:ind w:left="288"/>
      </w:pPr>
      <w:r>
        <w:rPr>
          <w:b/>
          <w:color w:val="003CA0"/>
          <w:sz w:val="16"/>
        </w:rPr>
        <w:t>[RE 464.277 AgR, rel. min. Ayres  Britto, j. 9-10-2007, 1ª T, DJE de 4-4-2008.]</w:t>
      </w:r>
    </w:p>
    <w:p>
      <w:pPr>
        <w:ind w:left="288"/>
      </w:pPr>
      <w:r>
        <w:rPr>
          <w:color w:val="8C8C8C"/>
          <w:sz w:val="12"/>
        </w:rPr>
        <w:t>cf-art-14-par-5</w:t>
      </w:r>
      <w:r>
        <w:rPr>
          <w:color w:val="003CA0"/>
          <w:sz w:val="12"/>
        </w:rPr>
        <w:t xml:space="preserve"> | RE 756.073</w:t>
      </w:r>
      <w:r>
        <w:rPr>
          <w:color w:val="003CA0"/>
          <w:sz w:val="12"/>
        </w:rPr>
        <w:t xml:space="preserve"> | rel. Ricardo Lewandowski</w:t>
      </w:r>
    </w:p>
    <w:p>
      <w:pPr>
        <w:ind w:left="288"/>
      </w:pPr>
      <w:r>
        <w:rPr>
          <w:color w:val="1E1E1E"/>
          <w:sz w:val="18"/>
        </w:rPr>
        <w:t>= RE 756.073 AgR, rel. min. Ricardo Lewandowski, j. 17-12-2013, 2ª T, DJE de 13-2-2014 Vide RE 1.128.439 AgR, rel. min. Celso de Mello, j. 23-10-2018, 2ª T, DJE de 14-12-2018 Vice-governador eleito duas vezes para o cargo de vice-governador. No segundo mandato de vice, sucedeu o titular. Certo que, no seu primeiro mandato de vice, teria substituído o governador. Possibilidade de reeleger-se ao cargo de governador, porque o exercício da titularidade do cargo dá-se mediante eleição ou por sucessão. Somente quando sucedeu o titular é que passou a exercer o seu primeiro mandato como titular do car</w:t>
      </w:r>
    </w:p>
    <w:p>
      <w:pPr>
        <w:ind w:left="288"/>
      </w:pPr>
      <w:r>
        <w:rPr>
          <w:b/>
          <w:color w:val="003CA0"/>
          <w:sz w:val="16"/>
        </w:rPr>
        <w:t>[RE 366.488, rel. min. Carlos Velloso, j. 4-10-2005, 2ª T, DJ de 28-10-2005.]</w:t>
      </w:r>
    </w:p>
    <w:p>
      <w:pPr>
        <w:ind w:left="288"/>
      </w:pPr>
      <w:r>
        <w:rPr>
          <w:color w:val="8C8C8C"/>
          <w:sz w:val="12"/>
        </w:rPr>
        <w:t>cf-art-14-par-5</w:t>
      </w:r>
      <w:r>
        <w:rPr>
          <w:color w:val="003CA0"/>
          <w:sz w:val="12"/>
        </w:rPr>
        <w:t xml:space="preserve"> | AI 782.434</w:t>
      </w:r>
      <w:r>
        <w:rPr>
          <w:color w:val="003CA0"/>
          <w:sz w:val="12"/>
        </w:rPr>
        <w:t xml:space="preserve"> | rel. Cármen Lúcia</w:t>
      </w:r>
    </w:p>
    <w:p>
      <w:pPr>
        <w:ind w:left="288"/>
      </w:pPr>
      <w:r>
        <w:rPr>
          <w:color w:val="1E1E1E"/>
          <w:sz w:val="18"/>
        </w:rPr>
        <w:t>= AI 782.434 AgR, rel. min. Cármen Lúcia, j. 8-2-2011, 1ª T, DJE de 24-3-2011</w:t>
      </w:r>
    </w:p>
    <w:p>
      <w:pPr>
        <w:ind w:left="288"/>
      </w:pPr>
      <w:r>
        <w:rPr>
          <w:color w:val="8C8C8C"/>
          <w:sz w:val="12"/>
        </w:rPr>
        <w:t>cf-art-14-par-6</w:t>
      </w:r>
      <w:r>
        <w:rPr>
          <w:color w:val="003CA0"/>
          <w:sz w:val="12"/>
        </w:rPr>
        <w:t xml:space="preserve"> | RE 345.822</w:t>
      </w:r>
      <w:r>
        <w:rPr>
          <w:color w:val="003CA0"/>
          <w:sz w:val="12"/>
        </w:rPr>
        <w:t xml:space="preserve"> | rel. Carlos Velloso</w:t>
      </w:r>
    </w:p>
    <w:p>
      <w:pPr>
        <w:ind w:left="288"/>
      </w:pPr>
      <w:r>
        <w:rPr>
          <w:color w:val="1E1E1E"/>
          <w:sz w:val="18"/>
        </w:rPr>
        <w:t>Presidente da câmara municipal que substitui ou sucede o prefeito nos seis meses anteriores ao pleito é inelegível para o cargo de vereador. CF, art. 14, § 6º. Inaplicabilidade das regras dos § 5º e § 7º do art. 14, CF.</w:t>
      </w:r>
    </w:p>
    <w:p>
      <w:pPr>
        <w:ind w:left="288"/>
      </w:pPr>
      <w:r>
        <w:rPr>
          <w:b/>
          <w:color w:val="003CA0"/>
          <w:sz w:val="16"/>
        </w:rPr>
        <w:t>[RE 345.822, rel. min. Carlos Velloso, j. 18-11-2003, 2ª T, DJ de 12-12-2003.]</w:t>
      </w:r>
    </w:p>
    <w:p>
      <w:pPr>
        <w:ind w:left="288"/>
      </w:pPr>
      <w:r>
        <w:rPr>
          <w:color w:val="8C8C8C"/>
          <w:sz w:val="12"/>
        </w:rPr>
        <w:t>cf-art-14-par-6</w:t>
      </w:r>
    </w:p>
    <w:p>
      <w:pPr>
        <w:ind w:left="288"/>
      </w:pPr>
      <w:r>
        <w:rPr>
          <w:color w:val="1E1E1E"/>
          <w:sz w:val="18"/>
        </w:rPr>
        <w:t>§ 7º São inelegíveis, no território de jurisdição do titular, o cônjuge e os parentes consangüíneos ou afins, até o segundo grau ou por adoção, do Presidente da República, de Governador de Estado ou Território, do Distrito Federal, de Prefeito ou de quem os haja substituído dentro dos seis meses anteriores ao pleito, salvo se já titular de mandato eletivo e candidato à reeleição.</w:t>
      </w:r>
    </w:p>
    <w:p>
      <w:pPr>
        <w:ind w:left="144"/>
      </w:pPr>
      <w:r>
        <w:rPr>
          <w:b/>
          <w:color w:val="B45A00"/>
          <w:sz w:val="16"/>
        </w:rPr>
        <w:t>SUMULA VINCULANTE</w:t>
      </w:r>
    </w:p>
    <w:p>
      <w:pPr>
        <w:ind w:left="288"/>
      </w:pPr>
      <w:r>
        <w:rPr>
          <w:color w:val="8C8C8C"/>
          <w:sz w:val="12"/>
        </w:rPr>
        <w:t>cf-art-14-par-6</w:t>
      </w:r>
    </w:p>
    <w:p>
      <w:pPr>
        <w:ind w:left="288"/>
      </w:pPr>
      <w:r>
        <w:rPr>
          <w:color w:val="1E1E1E"/>
          <w:sz w:val="18"/>
        </w:rPr>
        <w:t>A dissolução da sociedade ou do vínculo conjugal, no curso do mandato, não afasta a inelegibilidade prevista no § 7º do art. 14 da CF.</w:t>
      </w:r>
    </w:p>
    <w:p>
      <w:pPr>
        <w:ind w:left="288"/>
      </w:pPr>
      <w:r>
        <w:rPr>
          <w:b/>
          <w:color w:val="003CA0"/>
          <w:sz w:val="16"/>
        </w:rPr>
        <w:t>[Súmula Vinculante 18.]</w:t>
      </w:r>
    </w:p>
    <w:p>
      <w:pPr>
        <w:ind w:left="144"/>
      </w:pPr>
      <w:r>
        <w:rPr>
          <w:b/>
          <w:color w:val="B45A00"/>
          <w:sz w:val="16"/>
        </w:rPr>
        <w:t>CONTROLE CONCENTRADO</w:t>
      </w:r>
    </w:p>
    <w:p>
      <w:pPr>
        <w:ind w:left="288"/>
      </w:pPr>
      <w:r>
        <w:rPr>
          <w:color w:val="8C8C8C"/>
          <w:sz w:val="12"/>
        </w:rPr>
        <w:t>cf-art-14-par-6</w:t>
      </w:r>
      <w:r>
        <w:rPr>
          <w:color w:val="003CA0"/>
          <w:sz w:val="12"/>
        </w:rPr>
        <w:t xml:space="preserve"> | ADPF 1.089</w:t>
      </w:r>
      <w:r>
        <w:rPr>
          <w:color w:val="003CA0"/>
          <w:sz w:val="12"/>
        </w:rPr>
        <w:t xml:space="preserve"> | rel. Cármen Lúcia</w:t>
      </w:r>
    </w:p>
    <w:p>
      <w:pPr>
        <w:ind w:left="288"/>
      </w:pPr>
      <w:r>
        <w:rPr>
          <w:color w:val="1E1E1E"/>
          <w:sz w:val="18"/>
        </w:rPr>
        <w:t>Não contraria o § 7º do art. 14 da Constituição da República a prática de ocupação do cargo de Presidente das Casas Legislativas (Federal, Estadual, Distrital e Municipal) por cônjuge, companheiro ou parente direto ou colateral, até o segundo grau, do Chefe do Poder Executivo do respectivo ente federado pela ausência de previsão constitucional nesse sentido. A interpretação do disposto no § 7º do art. 14 da Constituição da República deve ser restritiva, por ser norma limitadora de direito fundamental.</w:t>
        <w:br/>
        <w:t>[ADPF 1.089 MC, rel. min. Cármen Lúcia, j. 05.06.2024, P, DJE de 06.09.2024.]</w:t>
      </w:r>
    </w:p>
    <w:p>
      <w:pPr>
        <w:ind w:left="144"/>
      </w:pPr>
      <w:r>
        <w:rPr>
          <w:b/>
          <w:color w:val="B45A00"/>
          <w:sz w:val="16"/>
        </w:rPr>
        <w:t>REPERCUSSAO GERAL</w:t>
      </w:r>
    </w:p>
    <w:p>
      <w:pPr>
        <w:ind w:left="288"/>
      </w:pPr>
      <w:r>
        <w:rPr>
          <w:color w:val="8C8C8C"/>
          <w:sz w:val="12"/>
        </w:rPr>
        <w:t>cf-art-14-par-6</w:t>
      </w:r>
      <w:r>
        <w:rPr>
          <w:color w:val="003CA0"/>
          <w:sz w:val="12"/>
        </w:rPr>
        <w:t xml:space="preserve"> | RE 843.455</w:t>
      </w:r>
      <w:r>
        <w:rPr>
          <w:color w:val="003CA0"/>
          <w:sz w:val="12"/>
        </w:rPr>
        <w:t xml:space="preserve"> | rel. Teori Zavascki</w:t>
      </w:r>
    </w:p>
    <w:p>
      <w:pPr>
        <w:ind w:left="288"/>
      </w:pPr>
      <w:r>
        <w:rPr>
          <w:color w:val="1E1E1E"/>
          <w:sz w:val="18"/>
        </w:rPr>
        <w:t>As hipóteses de inelegibilidade previstas no art. 14, § 7º, da Constituição Federal, inclusive quanto ao prazo de seis meses, são aplicáveis às eleições suplementares.</w:t>
      </w:r>
    </w:p>
    <w:p>
      <w:pPr>
        <w:ind w:left="288"/>
      </w:pPr>
      <w:r>
        <w:rPr>
          <w:b/>
          <w:color w:val="003CA0"/>
          <w:sz w:val="16"/>
        </w:rPr>
        <w:t>[RE 843.455, rel. min. Teori Zavascki, j. 7-10-2015, P, DJE de 1º-2-2016, Tema 781, com mérito julgado.]</w:t>
      </w:r>
    </w:p>
    <w:p>
      <w:pPr>
        <w:ind w:left="288"/>
      </w:pPr>
      <w:r>
        <w:rPr>
          <w:color w:val="8C8C8C"/>
          <w:sz w:val="12"/>
        </w:rPr>
        <w:t>cf-art-14-par-6</w:t>
      </w:r>
      <w:r>
        <w:rPr>
          <w:color w:val="003CA0"/>
          <w:sz w:val="12"/>
        </w:rPr>
        <w:t xml:space="preserve"> | RE 758.461</w:t>
      </w:r>
      <w:r>
        <w:rPr>
          <w:color w:val="003CA0"/>
          <w:sz w:val="12"/>
        </w:rPr>
        <w:t xml:space="preserve"> | rel. Teori Zavascki</w:t>
      </w:r>
    </w:p>
    <w:p>
      <w:pPr>
        <w:ind w:left="288"/>
      </w:pPr>
      <w:r>
        <w:rPr>
          <w:color w:val="1E1E1E"/>
          <w:sz w:val="18"/>
        </w:rPr>
        <w:t>O que orientou a edição da Súmula Vinculante 18 e os recentes precedentes do STF foi a preocupação de inibir que a dissolução fraudulenta ou simulada de sociedade conjugal seja utilizada como mecanismo de burla à norma da inelegibilidade reflexa prevista no § 7º do art. 14 da Constituição. Portanto, não atrai a aplicação do entendimento constante da referida súmula a extinção do vínculo conjugal pela morte de um dos cônjuges.</w:t>
      </w:r>
    </w:p>
    <w:p>
      <w:pPr>
        <w:ind w:left="288"/>
      </w:pPr>
      <w:r>
        <w:rPr>
          <w:b/>
          <w:color w:val="003CA0"/>
          <w:sz w:val="16"/>
        </w:rPr>
        <w:t>[RE 758.461, rel. min. Teori Zavascki, j. 22-5-2014, P, DJE de 30-10-2014, Tema 678, com mérito julgado.]</w:t>
      </w:r>
    </w:p>
    <w:p>
      <w:pPr>
        <w:ind w:left="288"/>
      </w:pPr>
      <w:r>
        <w:rPr>
          <w:color w:val="8C8C8C"/>
          <w:sz w:val="12"/>
        </w:rPr>
        <w:t>cf-art-14-par-6</w:t>
      </w:r>
      <w:r>
        <w:rPr>
          <w:color w:val="003CA0"/>
          <w:sz w:val="12"/>
        </w:rPr>
        <w:t xml:space="preserve"> | RE 568.596</w:t>
      </w:r>
      <w:r>
        <w:rPr>
          <w:color w:val="003CA0"/>
          <w:sz w:val="12"/>
        </w:rPr>
        <w:t xml:space="preserve"> | rel. Ricardo Lewandowski</w:t>
      </w:r>
    </w:p>
    <w:p>
      <w:pPr>
        <w:ind w:left="288"/>
      </w:pPr>
      <w:r>
        <w:rPr>
          <w:color w:val="1E1E1E"/>
          <w:sz w:val="18"/>
        </w:rPr>
        <w:t>A dissolução da sociedade conjugal no curso do mandato não afasta a inelegibilidade prevista no art. 14, § 7º, da CF. Se a separação judicial ocorrer em meio à gestão do titular do cargo que gera a vedação, o vínculo de parentesco, para os fins de inelegibilidade, persiste até o término do mandato, inviabilizando a candidatura do ex-cônjuge ao pleito subsequente, na mesma circunscrição, a não ser que aquele se desincompatibilize seis meses antes das eleições.</w:t>
        <w:br/>
        <w:t>[RE 568.596, rel. min. Ricardo Lewandowski, j. 1º-10-2008, P, DJE de 21-11-2008, Tema 61, com mérito julgado.]</w:t>
      </w:r>
    </w:p>
    <w:p>
      <w:pPr>
        <w:ind w:left="144"/>
      </w:pPr>
      <w:r>
        <w:rPr>
          <w:b/>
          <w:color w:val="B45A00"/>
          <w:sz w:val="16"/>
        </w:rPr>
        <w:t>JULGADOS CORRELATOS</w:t>
      </w:r>
    </w:p>
    <w:p>
      <w:pPr>
        <w:ind w:left="288"/>
      </w:pPr>
      <w:r>
        <w:rPr>
          <w:color w:val="8C8C8C"/>
          <w:sz w:val="12"/>
        </w:rPr>
        <w:t>cf-art-14-par-6</w:t>
      </w:r>
      <w:r>
        <w:rPr>
          <w:color w:val="003CA0"/>
          <w:sz w:val="12"/>
        </w:rPr>
        <w:t xml:space="preserve"> | RE 1.128.439</w:t>
      </w:r>
      <w:r>
        <w:rPr>
          <w:color w:val="003CA0"/>
          <w:sz w:val="12"/>
        </w:rPr>
        <w:t xml:space="preserve"> | rel. Celso de Mello</w:t>
      </w:r>
    </w:p>
    <w:p>
      <w:pPr>
        <w:ind w:left="288"/>
      </w:pPr>
      <w:r>
        <w:rPr>
          <w:color w:val="1E1E1E"/>
          <w:sz w:val="18"/>
        </w:rPr>
        <w:t>(...) mesmo na hipótese de mandato-tampão, inexiste tratamento diferenciado em relação ao mandato regular, de tal modo que o recorrente, embora pudesse validamente eleger-se (como se elegeu) Prefeito Municipal em sucessão ao seu cunhado, não podia disputar a reeleição, em virtude da inelegibilidade por parentesco (CF, art. 14, §§ 5º e 7º), em face do descabimento do exercício da Chefia do Poder Executivo local, pela terceira vez consecutiva, por membros integrantes do mesmo grupo familiar.</w:t>
      </w:r>
    </w:p>
    <w:p>
      <w:pPr>
        <w:ind w:left="288"/>
      </w:pPr>
      <w:r>
        <w:rPr>
          <w:b/>
          <w:color w:val="003CA0"/>
          <w:sz w:val="16"/>
        </w:rPr>
        <w:t>[RE 1.128.439 AgR, rel. min. Celso de Mello, j. 23-10-2018, 2ª T, DJE de 14-12-2018.]</w:t>
      </w:r>
    </w:p>
    <w:p>
      <w:pPr>
        <w:ind w:left="288"/>
      </w:pPr>
      <w:r>
        <w:rPr>
          <w:color w:val="8C8C8C"/>
          <w:sz w:val="12"/>
        </w:rPr>
        <w:t>cf-art-14-par-6</w:t>
      </w:r>
      <w:r>
        <w:rPr>
          <w:color w:val="003CA0"/>
          <w:sz w:val="12"/>
        </w:rPr>
        <w:t xml:space="preserve"> | RE 756.073</w:t>
      </w:r>
      <w:r>
        <w:rPr>
          <w:color w:val="003CA0"/>
          <w:sz w:val="12"/>
        </w:rPr>
        <w:t xml:space="preserve"> | rel. Ricardo Lewandowski</w:t>
      </w:r>
    </w:p>
    <w:p>
      <w:pPr>
        <w:ind w:left="288"/>
      </w:pPr>
      <w:r>
        <w:rPr>
          <w:color w:val="1E1E1E"/>
          <w:sz w:val="18"/>
        </w:rPr>
        <w:t>Vide RE 756.073 AgR, rel. min. Ricardo Lewandowski, j. 17-12-2013, 2ª T, DJE de 13-2-2014 O art. 14, § 7º, da Constituição do Brasil deve ser interpretado de maneira a dar eficácia e efetividade aos postulados republicanos e democráticos da Constituição, evitando-se a perpetuidade ou alongada presença de familiares no poder.</w:t>
      </w:r>
    </w:p>
    <w:p>
      <w:pPr>
        <w:ind w:left="288"/>
      </w:pPr>
      <w:r>
        <w:rPr>
          <w:b/>
          <w:color w:val="003CA0"/>
          <w:sz w:val="16"/>
        </w:rPr>
        <w:t>[RE 543.117 AgR, rel. min. Eros Grau, j. 24-6-2008, 2ª T, DJE de 22-8-2008.]</w:t>
      </w:r>
    </w:p>
    <w:p>
      <w:pPr>
        <w:ind w:left="288"/>
      </w:pPr>
      <w:r>
        <w:rPr>
          <w:color w:val="8C8C8C"/>
          <w:sz w:val="12"/>
        </w:rPr>
        <w:t>cf-art-14-par-6</w:t>
      </w:r>
      <w:r>
        <w:rPr>
          <w:color w:val="003CA0"/>
          <w:sz w:val="12"/>
        </w:rPr>
        <w:t xml:space="preserve"> | RE 409.459</w:t>
      </w:r>
      <w:r>
        <w:rPr>
          <w:color w:val="003CA0"/>
          <w:sz w:val="12"/>
        </w:rPr>
        <w:t xml:space="preserve"> | rel. Gilmar Mendes</w:t>
      </w:r>
    </w:p>
    <w:p>
      <w:pPr>
        <w:ind w:left="288"/>
      </w:pPr>
      <w:r>
        <w:rPr>
          <w:color w:val="1E1E1E"/>
          <w:sz w:val="18"/>
        </w:rPr>
        <w:t>Art. 14, § 7º, parte final, da CF. Cláusula de inelegibilidade. Exceção. Interpretação restritiva que alcança, tão somente, os titulares de mandato eletivo e não beneficia os suplentes.</w:t>
      </w:r>
    </w:p>
    <w:p>
      <w:pPr>
        <w:ind w:left="288"/>
      </w:pPr>
      <w:r>
        <w:rPr>
          <w:b/>
          <w:color w:val="003CA0"/>
          <w:sz w:val="16"/>
        </w:rPr>
        <w:t>[RE 409.459, rel. min. Gilmar Mendes, j. 20-4-2004, 2ª T, DJ de 4-6-2004.]</w:t>
      </w:r>
    </w:p>
    <w:p>
      <w:pPr>
        <w:ind w:left="288"/>
      </w:pPr>
      <w:r>
        <w:rPr>
          <w:color w:val="8C8C8C"/>
          <w:sz w:val="12"/>
        </w:rPr>
        <w:t>cf-art-14-par-6</w:t>
      </w:r>
      <w:r>
        <w:rPr>
          <w:color w:val="003CA0"/>
          <w:sz w:val="12"/>
        </w:rPr>
        <w:t xml:space="preserve"> | RE 344.882</w:t>
      </w:r>
      <w:r>
        <w:rPr>
          <w:color w:val="003CA0"/>
          <w:sz w:val="12"/>
        </w:rPr>
        <w:t xml:space="preserve"> | rel. Sepúlveda Pertence</w:t>
      </w:r>
    </w:p>
    <w:p>
      <w:pPr>
        <w:ind w:left="288"/>
      </w:pPr>
      <w:r>
        <w:rPr>
          <w:color w:val="1E1E1E"/>
          <w:sz w:val="18"/>
        </w:rPr>
        <w:t>A evolução do direito eleitoral brasileiro, no campo das inelegibilidades, girou durante décadas em torno do princípio basilar da vedação de reeleição para o período imediato dos titulares do Poder Executivo: regra introduzida, como única previsão constitucional de inelegibilidade, na primeira Carta Política da República (Constituição de 1891, art. 47, § 4º), a proibição se manteve incólume ao advento dos textos posteriores, incluídos os que regeram as fases de mais acendrado autoritarismo (assim, na Carta de 1937, os arts. 75 a 84, embora equívocos, não chegaram à admissão explícita da reelei</w:t>
      </w:r>
    </w:p>
    <w:p>
      <w:pPr>
        <w:ind w:left="288"/>
      </w:pPr>
      <w:r>
        <w:rPr>
          <w:b/>
          <w:color w:val="003CA0"/>
          <w:sz w:val="16"/>
        </w:rPr>
        <w:t>[RE 344.882, rel. min. Sepúlveda Pertence, j. 7-4-2003, P, DJ de 6-8-2004.]</w:t>
      </w:r>
    </w:p>
    <w:p>
      <w:pPr>
        <w:ind w:left="288"/>
      </w:pPr>
      <w:r>
        <w:rPr>
          <w:color w:val="8C8C8C"/>
          <w:sz w:val="12"/>
        </w:rPr>
        <w:t>cf-art-14-par-6</w:t>
      </w:r>
      <w:r>
        <w:rPr>
          <w:color w:val="003CA0"/>
          <w:sz w:val="12"/>
        </w:rPr>
        <w:t xml:space="preserve"> | RE 247.416</w:t>
      </w:r>
      <w:r>
        <w:rPr>
          <w:color w:val="003CA0"/>
          <w:sz w:val="12"/>
        </w:rPr>
        <w:t xml:space="preserve"> | rel. Octavio Gallotti</w:t>
      </w:r>
    </w:p>
    <w:p>
      <w:pPr>
        <w:ind w:left="288"/>
      </w:pPr>
      <w:r>
        <w:rPr>
          <w:color w:val="1E1E1E"/>
          <w:sz w:val="18"/>
        </w:rPr>
        <w:t>É inelegível o filho do prefeito titular que haja exercido por qualquer tempo o mandato no período imediatamente anterior – Constituição, art. 14, § 7º – sem que se possa considerar modificado esse preceito ante a redação dada ao § 5º do mesmo art. 14, pela Emenda 16, de 1997.</w:t>
      </w:r>
    </w:p>
    <w:p>
      <w:pPr>
        <w:ind w:left="288"/>
      </w:pPr>
      <w:r>
        <w:rPr>
          <w:b/>
          <w:color w:val="003CA0"/>
          <w:sz w:val="16"/>
        </w:rPr>
        <w:t>[RE 247.416, rel. min. Octavio Gallotti, j. 29-2-2000, 1ª T, DJ de 31-3-2000.]</w:t>
      </w:r>
    </w:p>
    <w:p>
      <w:pPr>
        <w:ind w:left="288"/>
      </w:pPr>
      <w:r>
        <w:rPr>
          <w:color w:val="8C8C8C"/>
          <w:sz w:val="12"/>
        </w:rPr>
        <w:t>cf-art-14-par-6</w:t>
      </w:r>
      <w:r>
        <w:rPr>
          <w:color w:val="003CA0"/>
          <w:sz w:val="12"/>
        </w:rPr>
        <w:t xml:space="preserve"> | RE 236.948</w:t>
      </w:r>
      <w:r>
        <w:rPr>
          <w:color w:val="003CA0"/>
          <w:sz w:val="12"/>
        </w:rPr>
        <w:t xml:space="preserve"> | rel. Octavio Gallotti</w:t>
      </w:r>
    </w:p>
    <w:p>
      <w:pPr>
        <w:ind w:left="288"/>
      </w:pPr>
      <w:r>
        <w:rPr>
          <w:color w:val="1E1E1E"/>
          <w:sz w:val="18"/>
        </w:rPr>
        <w:t>Inelegibilidade de cunhado de governador (art. 14, § 7º, da Constituição). Condição a ser objetivamente verificada, sem caber a indagação subjetiva, acerca da filiação partidária das pessoas envolvidas, da animosidade ou rivalidade política entre elas prevalecente, bem como dos motivos que haveriam inspirado casamento gerador da afinidade causadora da inelegibilidade.</w:t>
      </w:r>
    </w:p>
    <w:p>
      <w:pPr>
        <w:ind w:left="288"/>
      </w:pPr>
      <w:r>
        <w:rPr>
          <w:b/>
          <w:color w:val="003CA0"/>
          <w:sz w:val="16"/>
        </w:rPr>
        <w:t>[RE 236.948, rel. min. Octavio Gallotti, j. 24-9-1998, P, DJ de 31-8-2001.]</w:t>
      </w:r>
    </w:p>
    <w:p>
      <w:pPr>
        <w:ind w:left="288"/>
      </w:pPr>
      <w:r>
        <w:rPr>
          <w:color w:val="8C8C8C"/>
          <w:sz w:val="12"/>
        </w:rPr>
        <w:t>cf-art-14-par-6</w:t>
      </w:r>
      <w:r>
        <w:rPr>
          <w:color w:val="003CA0"/>
          <w:sz w:val="12"/>
        </w:rPr>
        <w:t xml:space="preserve"> | RE 171.061</w:t>
      </w:r>
      <w:r>
        <w:rPr>
          <w:color w:val="003CA0"/>
          <w:sz w:val="12"/>
        </w:rPr>
        <w:t xml:space="preserve"> | rel. Francisco Rezek</w:t>
      </w:r>
    </w:p>
    <w:p>
      <w:pPr>
        <w:ind w:left="288"/>
      </w:pPr>
      <w:r>
        <w:rPr>
          <w:color w:val="1E1E1E"/>
          <w:sz w:val="18"/>
        </w:rPr>
        <w:t>A causa de inelegibilidade prevista no art. 14, § 7º, da Constituição alcança a cunhada de governador quando concorre a cargo eletivo de Município situado no mesmo Estado.</w:t>
      </w:r>
    </w:p>
    <w:p>
      <w:pPr>
        <w:ind w:left="288"/>
      </w:pPr>
      <w:r>
        <w:rPr>
          <w:b/>
          <w:color w:val="003CA0"/>
          <w:sz w:val="16"/>
        </w:rPr>
        <w:t>[RE 171.061, rel. min. Francisco Rezek, j. 2-3-1994, P, DJ de 25-8-1995.]</w:t>
      </w:r>
    </w:p>
    <w:p>
      <w:pPr>
        <w:ind w:left="288"/>
      </w:pPr>
      <w:r>
        <w:rPr>
          <w:color w:val="8C8C8C"/>
          <w:sz w:val="12"/>
        </w:rPr>
        <w:t>cf-art-14-par-6</w:t>
      </w:r>
      <w:r>
        <w:rPr>
          <w:color w:val="003CA0"/>
          <w:sz w:val="12"/>
        </w:rPr>
        <w:t xml:space="preserve"> | RE 158.314</w:t>
      </w:r>
      <w:r>
        <w:rPr>
          <w:color w:val="003CA0"/>
          <w:sz w:val="12"/>
        </w:rPr>
        <w:t xml:space="preserve"> | rel. Celso de Mello</w:t>
      </w:r>
    </w:p>
    <w:p>
      <w:pPr>
        <w:ind w:left="288"/>
      </w:pPr>
      <w:r>
        <w:rPr>
          <w:color w:val="1E1E1E"/>
          <w:sz w:val="18"/>
        </w:rPr>
        <w:t>É inelegível para o cargo de prefeito de Município resultante de desmembramento territorial o irmão do atual chefe do Poder Executivo do município-mãe. O regime jurídico das inelegibilidades comporta interpretação construtiva dos preceitos que lhe compõem a estrutura normativa. Disso resulta a plena validade da exegese que, norteada por parâmetros axiológicos consagrados pela própria Constituição, visa a impedir que se formem grupos hegemônicos nas instâncias políticas locais. O primado da ideia republicana – cujo fundamento ético-político repousa no exercício do regime democrático e no postul</w:t>
      </w:r>
    </w:p>
    <w:p>
      <w:pPr>
        <w:ind w:left="288"/>
      </w:pPr>
      <w:r>
        <w:rPr>
          <w:b/>
          <w:color w:val="003CA0"/>
          <w:sz w:val="16"/>
        </w:rPr>
        <w:t>[RE 158.314, rel. min. Celso de Mello, j. 15-12-1992, 1ª T, DJ de 12-2-1993.]</w:t>
      </w:r>
    </w:p>
    <w:p>
      <w:pPr>
        <w:ind w:left="144"/>
      </w:pPr>
      <w:r>
        <w:rPr>
          <w:b/>
          <w:color w:val="B45A00"/>
          <w:sz w:val="16"/>
        </w:rPr>
        <w:t>CONTROLE CONCENTRADO</w:t>
      </w:r>
    </w:p>
    <w:p>
      <w:pPr>
        <w:ind w:left="288"/>
      </w:pPr>
      <w:r>
        <w:rPr>
          <w:color w:val="8C8C8C"/>
          <w:sz w:val="12"/>
        </w:rPr>
        <w:t>cf-art-14-par-8</w:t>
      </w:r>
      <w:r>
        <w:rPr>
          <w:color w:val="003CA0"/>
          <w:sz w:val="12"/>
        </w:rPr>
        <w:t xml:space="preserve"> | ADI 1.381</w:t>
      </w:r>
      <w:r>
        <w:rPr>
          <w:color w:val="003CA0"/>
          <w:sz w:val="12"/>
        </w:rPr>
        <w:t xml:space="preserve"> | rel. Dias Toffoli</w:t>
      </w:r>
    </w:p>
    <w:p>
      <w:pPr>
        <w:ind w:left="288"/>
      </w:pPr>
      <w:r>
        <w:rPr>
          <w:color w:val="1E1E1E"/>
          <w:sz w:val="18"/>
        </w:rPr>
        <w:t>Lei estadual 5.729/1995. (...) Elegibilidade do policial militar. Matéria de direito eleitoral. Competência legislativa da União (CF, art. 22, I, e art. 14, § 8º). (...) A Lei estadual 5.729/1995 ofendeu (...) o conteúdo material do art. 14, § 8º, da Constituição, quando previu hipóteses i) de retorno ao serviço de policial militar que tenha assumido cargo público eletivo e ii) de opção pela fonte de remuneração.</w:t>
      </w:r>
    </w:p>
    <w:p>
      <w:pPr>
        <w:ind w:left="288"/>
      </w:pPr>
      <w:r>
        <w:rPr>
          <w:b/>
          <w:color w:val="003CA0"/>
          <w:sz w:val="16"/>
        </w:rPr>
        <w:t>[ADI 1.381, rel. min. Dias Toffoli, j. 21-8-2014, P, DJE de 9-10-2014.]</w:t>
      </w:r>
    </w:p>
    <w:p>
      <w:pPr>
        <w:ind w:left="144"/>
      </w:pPr>
      <w:r>
        <w:rPr>
          <w:b/>
          <w:color w:val="B45A00"/>
          <w:sz w:val="16"/>
        </w:rPr>
        <w:t>JULGADOS CORRELATOS</w:t>
      </w:r>
    </w:p>
    <w:p>
      <w:pPr>
        <w:ind w:left="288"/>
      </w:pPr>
      <w:r>
        <w:rPr>
          <w:color w:val="8C8C8C"/>
          <w:sz w:val="12"/>
        </w:rPr>
        <w:t>cf-art-14-par-8-inc-I</w:t>
      </w:r>
      <w:r>
        <w:rPr>
          <w:color w:val="003CA0"/>
          <w:sz w:val="12"/>
        </w:rPr>
        <w:t xml:space="preserve"> | RE 279.469</w:t>
      </w:r>
    </w:p>
    <w:p>
      <w:pPr>
        <w:ind w:left="288"/>
      </w:pPr>
      <w:r>
        <w:rPr>
          <w:color w:val="1E1E1E"/>
          <w:sz w:val="18"/>
        </w:rPr>
        <w:t>Diversamente do que sucede ao militar com mais de dez anos de serviço, deve afastar-se definitivamente da atividade o servidor militar que, contando menos de dez anos de serviço, pretenda candidatar-se a cargo eletivo.</w:t>
      </w:r>
    </w:p>
    <w:p>
      <w:pPr>
        <w:ind w:left="288"/>
      </w:pPr>
      <w:r>
        <w:rPr>
          <w:b/>
          <w:color w:val="003CA0"/>
          <w:sz w:val="16"/>
        </w:rPr>
        <w:t>[RE 279.469, red. do ac. min. Cezar Peluso, j. 16-3-2011, P, DJE de 20-6-2011.]</w:t>
      </w:r>
    </w:p>
    <w:p>
      <w:pPr>
        <w:ind w:left="288"/>
      </w:pPr>
      <w:r>
        <w:rPr>
          <w:color w:val="8C8C8C"/>
          <w:sz w:val="12"/>
        </w:rPr>
        <w:t>cf-art-14-par-8-inc-II</w:t>
      </w:r>
      <w:r>
        <w:rPr>
          <w:color w:val="003CA0"/>
          <w:sz w:val="12"/>
        </w:rPr>
        <w:t xml:space="preserve"> | RE 1.452.937</w:t>
      </w:r>
      <w:r>
        <w:rPr>
          <w:color w:val="003CA0"/>
          <w:sz w:val="12"/>
        </w:rPr>
        <w:t xml:space="preserve"> | rel. Gilmar Mendes</w:t>
      </w:r>
    </w:p>
    <w:p>
      <w:pPr>
        <w:ind w:left="288"/>
      </w:pPr>
      <w:r>
        <w:rPr>
          <w:color w:val="1E1E1E"/>
          <w:sz w:val="18"/>
        </w:rPr>
        <w:t>Dispositivos legais que permitem o retorno de militares ao serviço da ativa após o encerramento de mandato eletivo. (...) Desrespeito ao art. 14, § 8º, da CF/88. Militares com mais de dez anos de serviço: afastamento definitivo, automaticamente, no ato da diplomação. Inadmissibilidade de retorno às atividades militares após o encerramento do mandato eletivo. Impedimento de politização e partidarização das forças militares.</w:t>
        <w:br/>
        <w:t>[RE 1.452.937 AgR-segundo, rel. min. Gilmar Mendes, j. 15.04.2024, P, DJE de 26.04.2024.] Longe fica de contrariar o inciso II do § 8º do art. 14 da CF provimento que impliq</w:t>
      </w:r>
    </w:p>
    <w:p>
      <w:pPr>
        <w:ind w:left="288"/>
      </w:pPr>
      <w:r>
        <w:rPr>
          <w:b/>
          <w:color w:val="003CA0"/>
          <w:sz w:val="16"/>
        </w:rPr>
        <w:t>[AI 189.907 AgR, rel. min. Marco Aurélio, j. 29-9-1997, 2ª T, DJ de 21-11-1997.]</w:t>
      </w:r>
    </w:p>
    <w:p>
      <w:pPr>
        <w:ind w:left="288"/>
      </w:pPr>
      <w:r>
        <w:rPr>
          <w:color w:val="8C8C8C"/>
          <w:sz w:val="12"/>
        </w:rPr>
        <w:t>cf-art-14-par-8-inc-II</w:t>
      </w:r>
      <w:r>
        <w:rPr>
          <w:color w:val="003CA0"/>
          <w:sz w:val="12"/>
        </w:rPr>
        <w:t xml:space="preserve"> | AI 135.452</w:t>
      </w:r>
      <w:r>
        <w:rPr>
          <w:color w:val="003CA0"/>
          <w:sz w:val="12"/>
        </w:rPr>
        <w:t xml:space="preserve"> | rel. Carlos Velloso</w:t>
      </w:r>
    </w:p>
    <w:p>
      <w:pPr>
        <w:ind w:left="288"/>
      </w:pPr>
      <w:r>
        <w:rPr>
          <w:color w:val="1E1E1E"/>
          <w:sz w:val="18"/>
        </w:rPr>
        <w:t>Militar da ativa (sargento) com mais de dez anos de serviço. Elegibilidade. Filiação partidária. (...) Se o militar da ativa é alistável, é ele elegível (CF, art. 14, § 8º). Porque não pode ele filiar-se a partido político (...), a filiação partidária não lhe é exigível como condição de elegibilidade, certo que somente a partir do registro da candidatura é que será agregado (CF, art. 14, § 8º, II; Código Eleitoral, art. 5º, parágrafo único; Lei 6.880, de 1980, art. 82, XIV, § 4º).</w:t>
      </w:r>
    </w:p>
    <w:p>
      <w:pPr>
        <w:ind w:left="288"/>
      </w:pPr>
      <w:r>
        <w:rPr>
          <w:b/>
          <w:color w:val="003CA0"/>
          <w:sz w:val="16"/>
        </w:rPr>
        <w:t>[AI 135.452, rel. min. Carlos Velloso, j. 20-9-1990, P, DJ de 14-6-1991.]</w:t>
      </w:r>
    </w:p>
    <w:p>
      <w:pPr>
        <w:ind w:left="288"/>
      </w:pPr>
      <w:r>
        <w:rPr>
          <w:color w:val="8C8C8C"/>
          <w:sz w:val="12"/>
        </w:rPr>
        <w:t>cf-art-14-par-8-inc-II</w:t>
      </w:r>
    </w:p>
    <w:p>
      <w:pPr>
        <w:ind w:left="288"/>
      </w:pPr>
      <w:r>
        <w:rPr>
          <w:color w:val="1E1E1E"/>
          <w:sz w:val="18"/>
        </w:rPr>
        <w:t>§ 9º Lei complementar estabelecerá outros casos de inelegibilidade e os prazos de sua cessação, a fim de proteger a probidade administrativa, a moralidade para exercício de mandato considerada vida pregressa do candidato, e a normalidade e legitimidade das eleições contra a influência do poder econômico ou o abuso do exercício de função, cargo ou emprego na administração direta ou indireta. (Redação da ECR n. 4/1994)</w:t>
      </w:r>
    </w:p>
    <w:p>
      <w:pPr>
        <w:ind w:left="144"/>
      </w:pPr>
      <w:r>
        <w:rPr>
          <w:b/>
          <w:color w:val="B45A00"/>
          <w:sz w:val="16"/>
        </w:rPr>
        <w:t>CONTROLE CONCENTRADO</w:t>
      </w:r>
    </w:p>
    <w:p>
      <w:pPr>
        <w:ind w:left="288"/>
      </w:pPr>
      <w:r>
        <w:rPr>
          <w:color w:val="8C8C8C"/>
          <w:sz w:val="12"/>
        </w:rPr>
        <w:t>cf-art-14-par-8-inc-II</w:t>
      </w:r>
      <w:r>
        <w:rPr>
          <w:color w:val="003CA0"/>
          <w:sz w:val="12"/>
        </w:rPr>
        <w:t xml:space="preserve"> | ADI 4.532</w:t>
      </w:r>
      <w:r>
        <w:rPr>
          <w:color w:val="003CA0"/>
          <w:sz w:val="12"/>
        </w:rPr>
        <w:t xml:space="preserve"> | rel. Dias Toffoli</w:t>
      </w:r>
    </w:p>
    <w:p>
      <w:pPr>
        <w:ind w:left="288"/>
      </w:pPr>
      <w:r>
        <w:rPr>
          <w:color w:val="1E1E1E"/>
          <w:sz w:val="18"/>
        </w:rPr>
        <w:t>A consequência prevista no § 2º do art. 30-A da Lei nº 9.504/97 cinge-se à negativa do diploma ou à sua cassação, caso já expedido, o que não caracteriza sanção de natureza pessoal, porquanto o bem jurídico protegido pela norma abrange princípios da lisura do processo eleitoral e da isonomia entre os candidatos. 5. Diversa é a situação dos candidatos não eleitos, os quais são igualmente obrigados a prestar contas, sob pena de terem restringidos seus direitos políticos por meio da privação da certidão de quitação eleitoral (Lei nº 9.504-87, art. 11, § 7º) sofrendo, portanto, efeitos distintos d</w:t>
      </w:r>
    </w:p>
    <w:p>
      <w:pPr>
        <w:ind w:left="288"/>
      </w:pPr>
      <w:r>
        <w:rPr>
          <w:b/>
          <w:color w:val="003CA0"/>
          <w:sz w:val="16"/>
        </w:rPr>
        <w:t>[ADI 4.532, rel. min. Dias Toffoli, j. 26-11-2022, P, DJE de 10-1-2023.]</w:t>
      </w:r>
    </w:p>
    <w:p>
      <w:pPr>
        <w:ind w:left="288"/>
      </w:pPr>
      <w:r>
        <w:rPr>
          <w:color w:val="8C8C8C"/>
          <w:sz w:val="12"/>
        </w:rPr>
        <w:t>cf-art-14-par-8-inc-II</w:t>
      </w:r>
      <w:r>
        <w:rPr>
          <w:color w:val="003CA0"/>
          <w:sz w:val="12"/>
        </w:rPr>
        <w:t xml:space="preserve"> | ADI 6.359</w:t>
      </w:r>
      <w:r>
        <w:rPr>
          <w:color w:val="003CA0"/>
          <w:sz w:val="12"/>
        </w:rPr>
        <w:t xml:space="preserve"> | rel. Rosa Weber</w:t>
      </w:r>
    </w:p>
    <w:p>
      <w:pPr>
        <w:ind w:left="288"/>
      </w:pPr>
      <w:r>
        <w:rPr>
          <w:color w:val="1E1E1E"/>
          <w:sz w:val="18"/>
        </w:rPr>
        <w:t xml:space="preserve">Inadequação da espécie, sequer demonstrado de forma satisfatória que o parâmetro fático-social decorrente da implementação das medidas de enfrentamento à pandemia da COVID-19 ora traduza situação justificadora da suspensão de direito objetivo cuja validade não está em jogo sob outro prisma. Inocorrência de afronta ao princípio democrático e à soberania popular. A existência perene do regime democrático é assegurada pela reverência às regras conformadoras dos ritos e procedimentos que lhe são ínsitos e prazos como o de desincompatibilização não são meras formalidades, eis que visam a assegurar </w:t>
      </w:r>
    </w:p>
    <w:p>
      <w:pPr>
        <w:ind w:left="288"/>
      </w:pPr>
      <w:r>
        <w:rPr>
          <w:b/>
          <w:color w:val="003CA0"/>
          <w:sz w:val="16"/>
        </w:rPr>
        <w:t>[ADI 6.359 MC REF, rel. min. Rosa Weber, j. 14-5-2020, P, DJE de 10-11-2020.]</w:t>
      </w:r>
    </w:p>
    <w:p>
      <w:pPr>
        <w:ind w:left="288"/>
      </w:pPr>
      <w:r>
        <w:rPr>
          <w:color w:val="8C8C8C"/>
          <w:sz w:val="12"/>
        </w:rPr>
        <w:t>cf-art-14-par-8-inc-II</w:t>
      </w:r>
      <w:r>
        <w:rPr>
          <w:color w:val="003CA0"/>
          <w:sz w:val="12"/>
        </w:rPr>
        <w:t xml:space="preserve"> | ADC 29</w:t>
      </w:r>
      <w:r>
        <w:rPr>
          <w:color w:val="003CA0"/>
          <w:sz w:val="12"/>
        </w:rPr>
        <w:t xml:space="preserve"> | rel. Luiz Fux</w:t>
      </w:r>
    </w:p>
    <w:p>
      <w:pPr>
        <w:ind w:left="288"/>
      </w:pPr>
      <w:r>
        <w:rPr>
          <w:color w:val="1E1E1E"/>
          <w:sz w:val="18"/>
        </w:rPr>
        <w:t>A elegibilidade é a adequação do indivíduo ao regime jurídico – constitucional e legal complementar – do processo eleitoral, razão pela qual a aplicação da LC 135/2010 com a consideração de fatos anteriores não pode ser capitulada na retroatividade vedada pelo art. 5º, XXXV, da Constituição, mercê de incabível a invocação de direito adquirido ou de autoridade da coisa julgada (que opera sob o pálio da cláusula rebus sic stantibus) anteriormente ao pleito em oposição ao diploma legal retromencionado; subjaz a mera adequação ao sistema normativo pretérito (expectativa de direito). A razoabilidad</w:t>
      </w:r>
    </w:p>
    <w:p>
      <w:pPr>
        <w:ind w:left="288"/>
      </w:pPr>
      <w:r>
        <w:rPr>
          <w:b/>
          <w:color w:val="003CA0"/>
          <w:sz w:val="16"/>
        </w:rPr>
        <w:t>[ADC 29, ADC 30 e ADI 4.578, rel. min. Luiz Fux, j. 16-2-2012, P, DJE de 29-6-2012.]</w:t>
      </w:r>
    </w:p>
    <w:p>
      <w:pPr>
        <w:ind w:left="288"/>
      </w:pPr>
      <w:r>
        <w:rPr>
          <w:color w:val="8C8C8C"/>
          <w:sz w:val="12"/>
        </w:rPr>
        <w:t>cf-art-14-par-8-inc-II</w:t>
      </w:r>
      <w:r>
        <w:rPr>
          <w:color w:val="003CA0"/>
          <w:sz w:val="12"/>
        </w:rPr>
        <w:t xml:space="preserve"> | ADI 3.592</w:t>
      </w:r>
      <w:r>
        <w:rPr>
          <w:color w:val="003CA0"/>
          <w:sz w:val="12"/>
        </w:rPr>
        <w:t xml:space="preserve"> | rel. Gilmar Mendes</w:t>
      </w:r>
    </w:p>
    <w:p>
      <w:pPr>
        <w:ind w:left="288"/>
      </w:pPr>
      <w:r>
        <w:rPr>
          <w:color w:val="1E1E1E"/>
          <w:sz w:val="18"/>
        </w:rPr>
        <w:t>Art. 41-A da Lei 9.504/1997. Captação de sufrágio. As sanções de cassação do registro ou do diploma previstas pelo art. 41-A da Lei 9.504/1997 não constituem novas hipóteses de inelegibilidade.</w:t>
      </w:r>
    </w:p>
    <w:p>
      <w:pPr>
        <w:ind w:left="288"/>
      </w:pPr>
      <w:r>
        <w:rPr>
          <w:b/>
          <w:color w:val="003CA0"/>
          <w:sz w:val="16"/>
        </w:rPr>
        <w:t>[ADI 3.592, rel. min. Gilmar Mendes, j. 26-10-2006, P, DJ de 2-2-2007.]</w:t>
      </w:r>
    </w:p>
    <w:p>
      <w:pPr>
        <w:ind w:left="288"/>
      </w:pPr>
      <w:r>
        <w:rPr>
          <w:color w:val="8C8C8C"/>
          <w:sz w:val="12"/>
        </w:rPr>
        <w:t>cf-art-14-par-8-inc-II</w:t>
      </w:r>
      <w:r>
        <w:rPr>
          <w:color w:val="003CA0"/>
          <w:sz w:val="12"/>
        </w:rPr>
        <w:t xml:space="preserve"> | AI 660.024</w:t>
      </w:r>
      <w:r>
        <w:rPr>
          <w:color w:val="003CA0"/>
          <w:sz w:val="12"/>
        </w:rPr>
        <w:t xml:space="preserve"> | rel. Joaquim Barbosa</w:t>
      </w:r>
    </w:p>
    <w:p>
      <w:pPr>
        <w:ind w:left="288"/>
      </w:pPr>
      <w:r>
        <w:rPr>
          <w:color w:val="1E1E1E"/>
          <w:sz w:val="18"/>
        </w:rPr>
        <w:t>= AI 660.024 AgR, rel. min. Joaquim Barbosa, j. 25-9-2012, 2ª T, DJE de 7-12-2012 O domicílio eleitoral na circunscrição e a filiação partidária, constituindo condições de elegibilidade (CF, art. 14, § 3º), revelam-se passíveis de válida disciplinação mediante simples lei ordinária. Os requisitos de elegibilidade não se confundem, no plano jurídico-conceitual, com as hipóteses de inelegibilidade, cuja definição – além das situações já previstas diretamente pelo próprio texto constitucional (CF, art. 14, § 5º a § 8º) – só pode derivar de norma inscrita em lei complementar (CF, art. 14, § 9º).</w:t>
      </w:r>
    </w:p>
    <w:p>
      <w:pPr>
        <w:ind w:left="288"/>
      </w:pPr>
      <w:r>
        <w:rPr>
          <w:b/>
          <w:color w:val="003CA0"/>
          <w:sz w:val="16"/>
        </w:rPr>
        <w:t>[ADI 1.063 MC, rel. min. Celso de Mello, j. 18-5-1994, P, DJ de 27-4-2001.]</w:t>
      </w:r>
    </w:p>
    <w:p>
      <w:pPr>
        <w:ind w:left="288"/>
      </w:pPr>
      <w:r>
        <w:rPr>
          <w:color w:val="8C8C8C"/>
          <w:sz w:val="12"/>
        </w:rPr>
        <w:t>cf-art-14-par-8-inc-II</w:t>
      </w:r>
      <w:r>
        <w:rPr>
          <w:color w:val="003CA0"/>
          <w:sz w:val="12"/>
        </w:rPr>
        <w:t xml:space="preserve"> | ADI 1.057</w:t>
      </w:r>
      <w:r>
        <w:rPr>
          <w:color w:val="003CA0"/>
          <w:sz w:val="12"/>
        </w:rPr>
        <w:t xml:space="preserve"> | rel. Celso de Mello</w:t>
      </w:r>
    </w:p>
    <w:p>
      <w:pPr>
        <w:ind w:left="288"/>
      </w:pPr>
      <w:r>
        <w:rPr>
          <w:color w:val="1E1E1E"/>
          <w:sz w:val="18"/>
        </w:rPr>
        <w:t>As condições de elegibilidade (CF, art. 14, § 3º) e as hipóteses de inelegibilidade (CF, art. 14, § 4º a § 8º), inclusive aquelas decorrentes de legislação complementar (CF, art. 14, § 9º),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pPr>
        <w:ind w:left="288"/>
      </w:pPr>
      <w:r>
        <w:rPr>
          <w:b/>
          <w:color w:val="003CA0"/>
          <w:sz w:val="16"/>
        </w:rPr>
        <w:t>[ADI 1.057 MC, rel. min. Celso de Mello, j. 20-4-1994, P, DJ de 6-4-2001.]</w:t>
      </w:r>
    </w:p>
    <w:p>
      <w:pPr>
        <w:ind w:left="144"/>
      </w:pPr>
      <w:r>
        <w:rPr>
          <w:b/>
          <w:color w:val="B45A00"/>
          <w:sz w:val="16"/>
        </w:rPr>
        <w:t>REPERCUSSAO GERAL</w:t>
      </w:r>
    </w:p>
    <w:p>
      <w:pPr>
        <w:ind w:left="288"/>
      </w:pPr>
      <w:r>
        <w:rPr>
          <w:color w:val="8C8C8C"/>
          <w:sz w:val="12"/>
        </w:rPr>
        <w:t>cf-art-14-par-8-inc-II</w:t>
      </w:r>
      <w:r>
        <w:rPr>
          <w:color w:val="003CA0"/>
          <w:sz w:val="12"/>
        </w:rPr>
        <w:t xml:space="preserve"> | RE 929.670</w:t>
      </w:r>
    </w:p>
    <w:p>
      <w:pPr>
        <w:ind w:left="288"/>
      </w:pPr>
      <w:r>
        <w:rPr>
          <w:color w:val="1E1E1E"/>
          <w:sz w:val="18"/>
        </w:rPr>
        <w:t>A condenação por abuso do poder econômico ou político em ação de investigação judicial eleitoral transitada em julgado, ex vi do art. 22, XIV, da LC 64/90, em sua redação primitiva, é apta a atrair a incidência da inelegibilidade do art. 1º, inciso I, alínea d, na redação dada pela LC nº 135/2010, aplicando-se a todos os processos de registro de candidatura em trâmite”.</w:t>
      </w:r>
    </w:p>
    <w:p>
      <w:pPr>
        <w:ind w:left="288"/>
      </w:pPr>
      <w:r>
        <w:rPr>
          <w:b/>
          <w:color w:val="003CA0"/>
          <w:sz w:val="16"/>
        </w:rPr>
        <w:t>[RE 929.670, red. do ac. min. Luiz Fux, j. 1º-3-2018, P, DJE de 12-4-2019, Tema 860, com mérito julgado.]</w:t>
      </w:r>
    </w:p>
    <w:p>
      <w:pPr>
        <w:ind w:left="144"/>
      </w:pPr>
      <w:r>
        <w:rPr>
          <w:b/>
          <w:color w:val="B45A00"/>
          <w:sz w:val="16"/>
        </w:rPr>
        <w:t>JULGADOS CORRELATOS</w:t>
      </w:r>
    </w:p>
    <w:p>
      <w:pPr>
        <w:ind w:left="288"/>
      </w:pPr>
      <w:r>
        <w:rPr>
          <w:color w:val="8C8C8C"/>
          <w:sz w:val="12"/>
        </w:rPr>
        <w:t>cf-art-14-par-8-inc-II</w:t>
      </w:r>
      <w:r>
        <w:rPr>
          <w:color w:val="003CA0"/>
          <w:sz w:val="12"/>
        </w:rPr>
        <w:t xml:space="preserve"> | AC 2.763</w:t>
      </w:r>
      <w:r>
        <w:rPr>
          <w:color w:val="003CA0"/>
          <w:sz w:val="12"/>
        </w:rPr>
        <w:t xml:space="preserve"> | rel. Celso de Mello</w:t>
      </w:r>
    </w:p>
    <w:p>
      <w:pPr>
        <w:ind w:left="288"/>
      </w:pPr>
      <w:r>
        <w:rPr>
          <w:color w:val="1E1E1E"/>
          <w:sz w:val="18"/>
        </w:rPr>
        <w:t>A perda da elegibilidade constitui situação impregnada de caráter excepcional, pois inibe o exercício da cidadania passiva, comprometendo a prática da liberdade em sua dimensão política, eis que impede o cidadão de ter efetiva participação na regência e na condução do aparelho governamental.</w:t>
      </w:r>
    </w:p>
    <w:p>
      <w:pPr>
        <w:ind w:left="288"/>
      </w:pPr>
      <w:r>
        <w:rPr>
          <w:b/>
          <w:color w:val="003CA0"/>
          <w:sz w:val="16"/>
        </w:rPr>
        <w:t>[AC 2.763 MC, rel. min. Celso de Mello, j. 16-12-2010, dec. monocrática, DJE de 1º-2-2011.]</w:t>
      </w:r>
    </w:p>
    <w:p>
      <w:pPr>
        <w:ind w:left="288"/>
      </w:pPr>
      <w:r>
        <w:rPr>
          <w:color w:val="8C8C8C"/>
          <w:sz w:val="12"/>
        </w:rPr>
        <w:t>cf-art-14-par-8-inc-II</w:t>
      </w:r>
    </w:p>
    <w:p>
      <w:pPr>
        <w:ind w:left="288"/>
      </w:pPr>
      <w:r>
        <w:rPr>
          <w:color w:val="1E1E1E"/>
          <w:sz w:val="18"/>
        </w:rPr>
        <w:t>§ 10. O mandato eletivo poderá ser impugnado ante a Justiça Eleitoral no prazo de quinze dias contados da diplomação, instruída a ação com provas de abuso do poder econômico, corrupção ou fraude.</w:t>
      </w:r>
    </w:p>
    <w:p>
      <w:pPr>
        <w:ind w:left="144"/>
      </w:pPr>
      <w:r>
        <w:rPr>
          <w:b/>
          <w:color w:val="B45A00"/>
          <w:sz w:val="16"/>
        </w:rPr>
        <w:t>CONTROLE CONCENTRADO</w:t>
      </w:r>
    </w:p>
    <w:p>
      <w:pPr>
        <w:ind w:left="288"/>
      </w:pPr>
      <w:r>
        <w:rPr>
          <w:color w:val="8C8C8C"/>
          <w:sz w:val="12"/>
        </w:rPr>
        <w:t>cf-art-14-par-8-inc-II</w:t>
      </w:r>
      <w:r>
        <w:rPr>
          <w:color w:val="003CA0"/>
          <w:sz w:val="12"/>
        </w:rPr>
        <w:t xml:space="preserve"> | ADI 3.592</w:t>
      </w:r>
      <w:r>
        <w:rPr>
          <w:color w:val="003CA0"/>
          <w:sz w:val="12"/>
        </w:rPr>
        <w:t xml:space="preserve"> | rel. Gilmar Mendes</w:t>
      </w:r>
    </w:p>
    <w:p>
      <w:pPr>
        <w:ind w:left="288"/>
      </w:pPr>
      <w:r>
        <w:rPr>
          <w:color w:val="1E1E1E"/>
          <w:sz w:val="18"/>
        </w:rPr>
        <w:t>Ação direta de inconstitucionalidade. Art. 41-A da Lei 9.504/1997. Captação de sufrágio. As sanções de cassação do registro ou do diploma previstas pelo art. 41-A da Lei 9.504/1997 não constituem novas hipóteses de inelegibilidade. A captação ilícita de sufrágio é apurada por meio de representação processada de acordo com o art. 22,  I a XIII, da LC 64/1990, que não se confunde com a ação de investigação judicial eleitoral, nem com a ação de impugnação de mandato eletivo, pois não implica a declaração de inelegibilidade, mas apenas a cassação do registro ou do diploma. A representação para apu</w:t>
      </w:r>
    </w:p>
    <w:p>
      <w:pPr>
        <w:ind w:left="288"/>
      </w:pPr>
      <w:r>
        <w:rPr>
          <w:b/>
          <w:color w:val="003CA0"/>
          <w:sz w:val="16"/>
        </w:rPr>
        <w:t>[ADI 3.592, rel. min. Gilmar Mendes, j. 26-10-2006, P, DJ de 2-2-2007.]</w:t>
      </w:r>
    </w:p>
    <w:p>
      <w:pPr>
        <w:ind w:left="288"/>
      </w:pPr>
      <w:r>
        <w:rPr>
          <w:color w:val="8C8C8C"/>
          <w:sz w:val="12"/>
        </w:rPr>
        <w:t>cf-art-14-par-8-inc-II</w:t>
      </w:r>
      <w:r>
        <w:rPr>
          <w:color w:val="003CA0"/>
          <w:sz w:val="12"/>
        </w:rPr>
        <w:t xml:space="preserve"> | AI 660.024</w:t>
      </w:r>
      <w:r>
        <w:rPr>
          <w:color w:val="003CA0"/>
          <w:sz w:val="12"/>
        </w:rPr>
        <w:t xml:space="preserve"> | rel. Joaquim Barbosa</w:t>
      </w:r>
    </w:p>
    <w:p>
      <w:pPr>
        <w:ind w:left="288"/>
      </w:pPr>
      <w:r>
        <w:rPr>
          <w:color w:val="1E1E1E"/>
          <w:sz w:val="18"/>
        </w:rPr>
        <w:t>= AI 660.024 AgR, rel. min. Joaquim Barbosa, j. 25-9-2012, 2ª T, DJE de 7-12-2012 § 11.  A ação de impugnação de mandato tramitará em segredo de justiça, respondendo o autor, na forma da lei, se temerária ou de manifesta má-fé.</w:t>
      </w:r>
    </w:p>
    <w:p>
      <w:pPr>
        <w:ind w:left="720"/>
      </w:pPr>
      <w:r>
        <w:rPr>
          <w:color w:val="003366"/>
          <w:sz w:val="18"/>
        </w:rPr>
        <w:t>I – plebiscito;</w:t>
      </w:r>
    </w:p>
    <w:p>
      <w:pPr>
        <w:ind w:left="720"/>
      </w:pPr>
      <w:r>
        <w:rPr>
          <w:color w:val="003366"/>
          <w:sz w:val="18"/>
        </w:rPr>
        <w:t>II – referendo;</w:t>
      </w:r>
    </w:p>
    <w:p>
      <w:pPr>
        <w:ind w:left="720"/>
      </w:pPr>
      <w:r>
        <w:rPr>
          <w:color w:val="003366"/>
          <w:sz w:val="18"/>
        </w:rPr>
        <w:t>III – iniciativa popular.</w:t>
      </w:r>
    </w:p>
    <w:p>
      <w:pPr>
        <w:ind w:left="432"/>
      </w:pPr>
      <w:r>
        <w:rPr>
          <w:color w:val="003366"/>
          <w:sz w:val="18"/>
        </w:rPr>
        <w:t>§ 1 O alistamento eleitoral e o voto são:</w:t>
      </w:r>
    </w:p>
    <w:p>
      <w:pPr>
        <w:ind w:left="720"/>
      </w:pPr>
      <w:r>
        <w:rPr>
          <w:color w:val="003366"/>
          <w:sz w:val="18"/>
        </w:rPr>
        <w:t>I – obrigatórios para os maiores de dezoito anos;</w:t>
      </w:r>
    </w:p>
    <w:p>
      <w:pPr>
        <w:ind w:left="720"/>
      </w:pPr>
      <w:r>
        <w:rPr>
          <w:color w:val="003366"/>
          <w:sz w:val="18"/>
        </w:rPr>
        <w:t>II – facultativos para:</w:t>
      </w:r>
    </w:p>
    <w:p>
      <w:pPr>
        <w:ind w:left="1008"/>
      </w:pPr>
      <w:r>
        <w:rPr>
          <w:color w:val="003366"/>
          <w:sz w:val="18"/>
        </w:rPr>
        <w:t>a) os analfabetos;</w:t>
      </w:r>
    </w:p>
    <w:p>
      <w:pPr>
        <w:ind w:left="1008"/>
      </w:pPr>
      <w:r>
        <w:rPr>
          <w:color w:val="003366"/>
          <w:sz w:val="18"/>
        </w:rPr>
        <w:t>b) os maiores de setenta anos;</w:t>
      </w:r>
    </w:p>
    <w:p>
      <w:pPr>
        <w:ind w:left="1008"/>
      </w:pPr>
      <w:r>
        <w:rPr>
          <w:color w:val="003366"/>
          <w:sz w:val="18"/>
        </w:rPr>
        <w:t>c) os maiores de dezesseis e menores de dezoito anos.</w:t>
      </w:r>
    </w:p>
    <w:p>
      <w:pPr>
        <w:ind w:left="432"/>
      </w:pPr>
      <w:r>
        <w:rPr>
          <w:color w:val="003366"/>
          <w:sz w:val="18"/>
        </w:rPr>
        <w:t xml:space="preserve">§ 2 Não podem alistar-se como eleitores os estrangeiros e, durante o período do </w:t>
      </w:r>
    </w:p>
    <w:p>
      <w:pPr>
        <w:ind w:left="432"/>
      </w:pPr>
      <w:r>
        <w:rPr>
          <w:color w:val="003366"/>
          <w:sz w:val="18"/>
        </w:rPr>
        <w:t>§ 3 São condições de elegibilidade, na forma da lei:</w:t>
      </w:r>
    </w:p>
    <w:p>
      <w:pPr>
        <w:ind w:left="720"/>
      </w:pPr>
      <w:r>
        <w:rPr>
          <w:color w:val="003366"/>
          <w:sz w:val="18"/>
        </w:rPr>
        <w:t>I – a nacionalidade brasileira;</w:t>
      </w:r>
    </w:p>
    <w:p>
      <w:pPr>
        <w:ind w:left="720"/>
      </w:pPr>
      <w:r>
        <w:rPr>
          <w:color w:val="003366"/>
          <w:sz w:val="18"/>
        </w:rPr>
        <w:t>II – o pleno exercício dos direitos políticos;</w:t>
      </w:r>
    </w:p>
    <w:p>
      <w:pPr>
        <w:ind w:left="720"/>
      </w:pPr>
      <w:r>
        <w:rPr>
          <w:color w:val="003366"/>
          <w:sz w:val="18"/>
        </w:rPr>
        <w:t>III – o alistamento eleitoral;</w:t>
      </w:r>
    </w:p>
    <w:p>
      <w:pPr>
        <w:ind w:left="720"/>
      </w:pPr>
      <w:r>
        <w:rPr>
          <w:color w:val="003366"/>
          <w:sz w:val="18"/>
        </w:rPr>
        <w:t>IV – o domicílio eleitoral na circunscrição;</w:t>
      </w:r>
    </w:p>
    <w:p>
      <w:pPr>
        <w:ind w:left="720"/>
      </w:pPr>
      <w:r>
        <w:rPr>
          <w:color w:val="003366"/>
          <w:sz w:val="18"/>
        </w:rPr>
        <w:t>V – a filiação partidária; Regulamento</w:t>
      </w:r>
    </w:p>
    <w:p>
      <w:pPr>
        <w:ind w:left="720"/>
      </w:pPr>
      <w:r>
        <w:rPr>
          <w:color w:val="003366"/>
          <w:sz w:val="18"/>
        </w:rPr>
        <w:t>VI – a idade mínima de:</w:t>
      </w:r>
    </w:p>
    <w:p>
      <w:pPr>
        <w:ind w:left="1008"/>
      </w:pPr>
      <w:r>
        <w:rPr>
          <w:color w:val="003366"/>
          <w:sz w:val="18"/>
        </w:rPr>
        <w:t>a) trinta e cinco anos para Presidente e Vice-Presidente da República e Senador;</w:t>
      </w:r>
    </w:p>
    <w:p>
      <w:pPr>
        <w:ind w:left="1008"/>
      </w:pPr>
      <w:r>
        <w:rPr>
          <w:color w:val="003366"/>
          <w:sz w:val="18"/>
        </w:rPr>
        <w:t>b) trinta anos para Governador e Vice-Governador de Estado e do Distrito Federal</w:t>
      </w:r>
    </w:p>
    <w:p>
      <w:pPr>
        <w:ind w:left="1008"/>
      </w:pPr>
      <w:r>
        <w:rPr>
          <w:color w:val="003366"/>
          <w:sz w:val="18"/>
        </w:rPr>
        <w:t>c) vinte e um anos para Deputado Federal, Deputado Estadual ou Distrital, Prefei</w:t>
      </w:r>
    </w:p>
    <w:p>
      <w:pPr>
        <w:ind w:left="1008"/>
      </w:pPr>
      <w:r>
        <w:rPr>
          <w:color w:val="003366"/>
          <w:sz w:val="18"/>
        </w:rPr>
        <w:t>d) dezoito anos para Vereador.</w:t>
      </w:r>
    </w:p>
    <w:p>
      <w:pPr>
        <w:ind w:left="432"/>
      </w:pPr>
      <w:r>
        <w:rPr>
          <w:color w:val="003366"/>
          <w:sz w:val="18"/>
        </w:rPr>
        <w:t>§ 4 São inelegíveis os inalistáveis e os analfabetos.</w:t>
      </w:r>
    </w:p>
    <w:p>
      <w:pPr>
        <w:ind w:left="432"/>
      </w:pPr>
      <w:r>
        <w:rPr>
          <w:color w:val="003366"/>
          <w:sz w:val="18"/>
        </w:rPr>
        <w:t xml:space="preserve">§ 5 O Presidente da República, os Governadores de Estado e do Distrito Federal, </w:t>
      </w:r>
    </w:p>
    <w:p>
      <w:pPr>
        <w:ind w:left="432"/>
      </w:pPr>
      <w:r>
        <w:rPr>
          <w:color w:val="003366"/>
          <w:sz w:val="18"/>
        </w:rPr>
        <w:t>§ 6 Para concorrerem a outros cargos, o Presidente da República, os Governadores</w:t>
      </w:r>
    </w:p>
    <w:p>
      <w:pPr>
        <w:ind w:left="432"/>
      </w:pPr>
      <w:r>
        <w:rPr>
          <w:color w:val="003366"/>
          <w:sz w:val="18"/>
        </w:rPr>
        <w:t>§ 7 São inelegíveis, no território de jurisdição do titular, o cônjuge e os pare</w:t>
      </w:r>
    </w:p>
    <w:p>
      <w:pPr>
        <w:ind w:left="432"/>
      </w:pPr>
      <w:r>
        <w:rPr>
          <w:color w:val="003366"/>
          <w:sz w:val="18"/>
        </w:rPr>
        <w:t>§ 8 O militar alistável é elegível, atendidas as seguintes condições:</w:t>
      </w:r>
    </w:p>
    <w:p>
      <w:pPr>
        <w:ind w:left="720"/>
      </w:pPr>
      <w:r>
        <w:rPr>
          <w:color w:val="003366"/>
          <w:sz w:val="18"/>
        </w:rPr>
        <w:t>I – se contar menos de dez anos de serviço, deverá afastar-se da atividade;</w:t>
      </w:r>
    </w:p>
    <w:p>
      <w:pPr>
        <w:ind w:left="720"/>
      </w:pPr>
      <w:r>
        <w:rPr>
          <w:color w:val="003366"/>
          <w:sz w:val="18"/>
        </w:rPr>
        <w:t>II – se contar mais de dez anos de serviço, será agregado pela autoridade superi</w:t>
      </w:r>
    </w:p>
    <w:p>
      <w:pPr>
        <w:ind w:left="432"/>
      </w:pPr>
      <w:r>
        <w:rPr>
          <w:color w:val="003366"/>
          <w:sz w:val="18"/>
        </w:rPr>
        <w:t>§ 9 Lei complementar estabelecerá outros casos de inelegibilidade e os prazos de</w:t>
      </w:r>
    </w:p>
    <w:p>
      <w:pPr>
        <w:ind w:left="432"/>
      </w:pPr>
      <w:r>
        <w:rPr>
          <w:color w:val="003366"/>
          <w:sz w:val="18"/>
        </w:rPr>
        <w:t>§ 10 O mandato eletivo poderá ser impugnado ante a Justiça Eleitoral no prazo de</w:t>
      </w:r>
    </w:p>
    <w:p>
      <w:pPr>
        <w:ind w:left="432"/>
      </w:pPr>
      <w:r>
        <w:rPr>
          <w:color w:val="003366"/>
          <w:sz w:val="18"/>
        </w:rPr>
        <w:t>§ 11 A ação de impugnação de mandato tramitará em segredo de justiça, respondend</w:t>
      </w:r>
    </w:p>
    <w:p>
      <w:pPr>
        <w:ind w:left="432"/>
      </w:pPr>
      <w:r>
        <w:rPr>
          <w:color w:val="003366"/>
          <w:sz w:val="18"/>
        </w:rPr>
        <w:t>§ 12 Serão realizadas concomitantemente às eleições municipais as consultas popu</w:t>
      </w:r>
    </w:p>
    <w:p>
      <w:pPr>
        <w:ind w:left="432"/>
      </w:pPr>
      <w:r>
        <w:rPr>
          <w:color w:val="003366"/>
          <w:sz w:val="18"/>
        </w:rPr>
        <w:t>§ 13 As manifestações favoráveis e contrárias às questões submetidas às consulta</w:t>
      </w:r>
    </w:p>
    <w:p>
      <w:r>
        <w:rPr>
          <w:b/>
          <w:color w:val="003366"/>
          <w:sz w:val="20"/>
        </w:rPr>
        <w:t>Art. 15 É vedada a cassação de direitos políticos, cuja perda ou suspensão só se</w:t>
      </w:r>
      <w:r>
        <w:rPr>
          <w:color w:val="8C8C8C"/>
          <w:sz w:val="14"/>
        </w:rPr>
        <w:t xml:space="preserve">  [6 decisoes]</w:t>
      </w:r>
    </w:p>
    <w:p>
      <w:pPr>
        <w:ind w:left="144"/>
      </w:pPr>
      <w:r>
        <w:rPr>
          <w:b/>
          <w:color w:val="B45A00"/>
          <w:sz w:val="16"/>
        </w:rPr>
        <w:t>CONTROLE CONCENTRADO</w:t>
      </w:r>
    </w:p>
    <w:p>
      <w:pPr>
        <w:ind w:left="288"/>
      </w:pPr>
      <w:r>
        <w:rPr>
          <w:color w:val="8C8C8C"/>
          <w:sz w:val="12"/>
        </w:rPr>
        <w:t>cf-art-15-inc-III</w:t>
      </w:r>
      <w:r>
        <w:rPr>
          <w:color w:val="003CA0"/>
          <w:sz w:val="12"/>
        </w:rPr>
        <w:t xml:space="preserve"> | ADC 29</w:t>
      </w:r>
      <w:r>
        <w:rPr>
          <w:color w:val="003CA0"/>
          <w:sz w:val="12"/>
        </w:rPr>
        <w:t xml:space="preserve"> | rel. Luiz Fux</w:t>
      </w:r>
    </w:p>
    <w:p>
      <w:pPr>
        <w:ind w:left="288"/>
      </w:pPr>
      <w:r>
        <w:rPr>
          <w:color w:val="1E1E1E"/>
          <w:sz w:val="18"/>
        </w:rPr>
        <w:t>A inelegibilidade tem as suas causas previstas nos §§ 4º a 9º do art. 14 da Carta Magna de 1988, que se traduzem em condições objetivas cuja verificação impede o indivíduo de concorrer a cargos eletivos ou, acaso eleito, de os exercer, e não se confunde com a suspensão ou perda dos direitos políticos, cujas hipóteses são previstas no art. 15 da Constituição da República, e que importa restrição não apenas ao direito de concorrer a cargos eletivos (ius honorum), mas também ao direito de voto (ius sufragii). Por essa razão, não há inconstitucionalidade na cumulação entre a inelegibilidade e a su</w:t>
      </w:r>
    </w:p>
    <w:p>
      <w:pPr>
        <w:ind w:left="288"/>
      </w:pPr>
      <w:r>
        <w:rPr>
          <w:b/>
          <w:color w:val="003CA0"/>
          <w:sz w:val="16"/>
        </w:rPr>
        <w:t>[ADC 29, ADC 30 e ADI 4.578, rel. min. Luiz Fux, j. 16-2-2012, P, DJE de 29-6-2012.]</w:t>
      </w:r>
    </w:p>
    <w:p>
      <w:pPr>
        <w:ind w:left="144"/>
      </w:pPr>
      <w:r>
        <w:rPr>
          <w:b/>
          <w:color w:val="B45A00"/>
          <w:sz w:val="16"/>
        </w:rPr>
        <w:t>REPERCUSSAO GERAL</w:t>
      </w:r>
    </w:p>
    <w:p>
      <w:pPr>
        <w:ind w:left="288"/>
      </w:pPr>
      <w:r>
        <w:rPr>
          <w:color w:val="8C8C8C"/>
          <w:sz w:val="12"/>
        </w:rPr>
        <w:t>cf-art-15-inc-III</w:t>
      </w:r>
      <w:r>
        <w:rPr>
          <w:color w:val="003CA0"/>
          <w:sz w:val="12"/>
        </w:rPr>
        <w:t xml:space="preserve"> | RE 1.282.553</w:t>
      </w:r>
      <w:r>
        <w:rPr>
          <w:color w:val="003CA0"/>
          <w:sz w:val="12"/>
        </w:rPr>
        <w:t xml:space="preserve"> | rel. Alexandre de Moraes</w:t>
      </w:r>
    </w:p>
    <w:p>
      <w:pPr>
        <w:ind w:left="288"/>
      </w:pPr>
      <w:r>
        <w:rPr>
          <w:color w:val="1E1E1E"/>
          <w:sz w:val="18"/>
        </w:rPr>
        <w:t>É inconstitucional, por violação aos princípios da dignidade da pessoa humana e do valor social do trabalho (CF, artigo 1º, III e IV), a vedação a que candidato aprovado em concurso público venha a tomar posse no cargo, por não preencher os requisitos de gozo dos direitos políticos e quitação eleitoral, em razão de condenação criminal transitada em julgado (CF, artigo 15, III), quando este for o único fundamento para sua eliminação no certame, uma vez que é obrigatoriedade do Estado e da sociedade fornecer meios para que o egresso se reintegre à sociedade. O início do efetivo exercício do carg</w:t>
      </w:r>
    </w:p>
    <w:p>
      <w:pPr>
        <w:ind w:left="144"/>
      </w:pPr>
      <w:r>
        <w:rPr>
          <w:b/>
          <w:color w:val="B45A00"/>
          <w:sz w:val="16"/>
        </w:rPr>
        <w:t>JULGADOS CORRELATOS</w:t>
      </w:r>
    </w:p>
    <w:p>
      <w:pPr>
        <w:ind w:left="288"/>
      </w:pPr>
      <w:r>
        <w:rPr>
          <w:color w:val="8C8C8C"/>
          <w:sz w:val="12"/>
        </w:rPr>
        <w:t>cf-art-15-inc-III</w:t>
      </w:r>
      <w:r>
        <w:rPr>
          <w:color w:val="003CA0"/>
          <w:sz w:val="12"/>
        </w:rPr>
        <w:t xml:space="preserve"> | AP 565</w:t>
      </w:r>
      <w:r>
        <w:rPr>
          <w:color w:val="003CA0"/>
          <w:sz w:val="12"/>
        </w:rPr>
        <w:t xml:space="preserve"> | rel. Cármen Lúcia</w:t>
      </w:r>
    </w:p>
    <w:p>
      <w:pPr>
        <w:ind w:left="288"/>
      </w:pPr>
      <w:r>
        <w:rPr>
          <w:color w:val="1E1E1E"/>
          <w:sz w:val="18"/>
        </w:rPr>
        <w:t>No caso específico dos parlamentares, essa relação natural entre suspensão dos direitos políticos e perda do cargo público (...) não se estabelece como consequência natural. E a Constituição, no art. 55, § 2º, diz claramente que, nesses casos, a perda do mandato será decidida pela Câmara dos Deputados ou pelo Senado Federal por (...) maioria absoluta, mediante provocação da respectiva Mesa ou de partido político representado no Congresso Nacional, assegurada ampla defesa.</w:t>
      </w:r>
    </w:p>
    <w:p>
      <w:pPr>
        <w:ind w:left="288"/>
      </w:pPr>
      <w:r>
        <w:rPr>
          <w:b/>
          <w:color w:val="003CA0"/>
          <w:sz w:val="16"/>
        </w:rPr>
        <w:t>[AP 565, rel. min. Cármen Lúcia, voto do min. Teori Zavascki, j. 8-8-2013, P, DJE de 23-5-2014.]</w:t>
      </w:r>
    </w:p>
    <w:p>
      <w:pPr>
        <w:ind w:left="288"/>
      </w:pPr>
      <w:r>
        <w:rPr>
          <w:color w:val="8C8C8C"/>
          <w:sz w:val="12"/>
        </w:rPr>
        <w:t>cf-art-15-inc-III</w:t>
      </w:r>
      <w:r>
        <w:rPr>
          <w:color w:val="003CA0"/>
          <w:sz w:val="12"/>
        </w:rPr>
        <w:t xml:space="preserve"> | AP 996</w:t>
      </w:r>
      <w:r>
        <w:rPr>
          <w:color w:val="003CA0"/>
          <w:sz w:val="12"/>
        </w:rPr>
        <w:t xml:space="preserve"> | rel. Edson Fachin</w:t>
      </w:r>
    </w:p>
    <w:p>
      <w:pPr>
        <w:ind w:left="288"/>
      </w:pPr>
      <w:r>
        <w:rPr>
          <w:color w:val="1E1E1E"/>
          <w:sz w:val="18"/>
        </w:rPr>
        <w:t>= AP 996, rel. Min. Edson Fachin, j. 29-5-2018, 2ª T, DJE de 8-2-2019</w:t>
        <w:br/>
        <w:t>≠ AP 694, rel. min. Rosa Weber, j. 2-5-2017, 1ª T, DJE de 31-8-2017 ≠ AP 396 QO, rel. min. Cármen Lúcia, j. 26-6-2013, P, DJE de 4-10-2013 ≠ AP 470, rel. min. Joaquim Barbosa, j. 17-12-2012, P, DJE de 22-4-2013 À incidência da regra do art. 15, III, da Constituição, sobre os condenados na sua vigência, não cabe opor a circunstância de ser o fato criminoso anterior à promulgação dela a fim de invocar a garantia da irretroatividade da lei penal mais severa: cuidando-se de norma originária da Constituição, obviamente não lhe sã</w:t>
      </w:r>
    </w:p>
    <w:p>
      <w:pPr>
        <w:ind w:left="288"/>
      </w:pPr>
      <w:r>
        <w:rPr>
          <w:b/>
          <w:color w:val="003CA0"/>
          <w:sz w:val="16"/>
        </w:rPr>
        <w:t>[RE 418.876, rel. min. Sepúlveda Pertence, j. 30-3-2004, 1ª T, DJ de 4-6-2004.]</w:t>
      </w:r>
    </w:p>
    <w:p>
      <w:pPr>
        <w:ind w:left="288"/>
      </w:pPr>
      <w:r>
        <w:rPr>
          <w:color w:val="8C8C8C"/>
          <w:sz w:val="12"/>
        </w:rPr>
        <w:t>cf-art-15-inc-III</w:t>
      </w:r>
      <w:r>
        <w:rPr>
          <w:color w:val="003CA0"/>
          <w:sz w:val="12"/>
        </w:rPr>
        <w:t xml:space="preserve"> | RMS 22.470</w:t>
      </w:r>
      <w:r>
        <w:rPr>
          <w:color w:val="003CA0"/>
          <w:sz w:val="12"/>
        </w:rPr>
        <w:t xml:space="preserve"> | rel. Celso de Mello</w:t>
      </w:r>
    </w:p>
    <w:p>
      <w:pPr>
        <w:ind w:left="288"/>
      </w:pPr>
      <w:r>
        <w:rPr>
          <w:color w:val="1E1E1E"/>
          <w:sz w:val="18"/>
        </w:rPr>
        <w:t>A norma inscrita no art. 15, III, da Constituição reveste-se de autoaplicabilidade, independendo, para efeito de sua imediata incidência, de qualquer ato de intermediação legislativa. Essa circunstância legitima as decisões da Justiça Eleitoral que declaram aplicável, nos casos de condenação penal irrecorrível, e enquanto durarem os seus efeitos, como ocorre na vigência do período de prova do sursis, a sanção constitucional concernente à privação de direitos políticos do sentenciado.</w:t>
      </w:r>
    </w:p>
    <w:p>
      <w:pPr>
        <w:ind w:left="288"/>
      </w:pPr>
      <w:r>
        <w:rPr>
          <w:b/>
          <w:color w:val="003CA0"/>
          <w:sz w:val="16"/>
        </w:rPr>
        <w:t>[RMS 22.470 AgR, rel. min. Celso de Mello, j. 11-6-1996, 1ª T, DJ de 27-9-1996.]</w:t>
      </w:r>
    </w:p>
    <w:p>
      <w:pPr>
        <w:ind w:left="288"/>
      </w:pPr>
      <w:r>
        <w:rPr>
          <w:color w:val="8C8C8C"/>
          <w:sz w:val="12"/>
        </w:rPr>
        <w:t>cf-art-15-inc-III</w:t>
      </w:r>
      <w:r>
        <w:rPr>
          <w:color w:val="003CA0"/>
          <w:sz w:val="12"/>
        </w:rPr>
        <w:t xml:space="preserve"> | RE 601.182</w:t>
      </w:r>
    </w:p>
    <w:p>
      <w:pPr>
        <w:ind w:left="288"/>
      </w:pPr>
      <w:r>
        <w:rPr>
          <w:color w:val="1E1E1E"/>
          <w:sz w:val="18"/>
        </w:rPr>
        <w:t>Vide RE 601.182, voto do red. do ac. min. Alexandre de Moraes, j. 8-5-2019, P, DJE de 2-10-2019, Tema 370</w:t>
      </w:r>
    </w:p>
    <w:p>
      <w:pPr>
        <w:ind w:left="720"/>
      </w:pPr>
      <w:r>
        <w:rPr>
          <w:color w:val="003366"/>
          <w:sz w:val="18"/>
        </w:rPr>
        <w:t>I – cancelamento da naturalização por sentença transitada em julgado;</w:t>
      </w:r>
    </w:p>
    <w:p>
      <w:pPr>
        <w:ind w:left="720"/>
      </w:pPr>
      <w:r>
        <w:rPr>
          <w:color w:val="003366"/>
          <w:sz w:val="18"/>
        </w:rPr>
        <w:t>II – incapacidade civil absoluta;</w:t>
      </w:r>
    </w:p>
    <w:p>
      <w:pPr>
        <w:ind w:left="720"/>
      </w:pPr>
      <w:r>
        <w:rPr>
          <w:color w:val="003366"/>
          <w:sz w:val="18"/>
        </w:rPr>
        <w:t>III – condenação criminal transitada em julgado, enquanto durarem seus efeitos;</w:t>
      </w:r>
    </w:p>
    <w:p>
      <w:pPr>
        <w:ind w:left="720"/>
      </w:pPr>
      <w:r>
        <w:rPr>
          <w:color w:val="003366"/>
          <w:sz w:val="18"/>
        </w:rPr>
        <w:t>IV – recusa de cumprir obrigação a todos imposta ou prestação alternativa, nos t</w:t>
      </w:r>
    </w:p>
    <w:p>
      <w:pPr>
        <w:ind w:left="720"/>
      </w:pPr>
      <w:r>
        <w:rPr>
          <w:color w:val="003366"/>
          <w:sz w:val="18"/>
        </w:rPr>
        <w:t>V – improbidade administrativa, nos termos do art. 37, § 4º.</w:t>
      </w:r>
    </w:p>
    <w:p>
      <w:r>
        <w:rPr>
          <w:b/>
          <w:color w:val="003366"/>
          <w:sz w:val="20"/>
        </w:rPr>
        <w:t>Art. 16 A lei que alterar o processo eleitoral entrará em vigor na data de sua p</w:t>
      </w:r>
      <w:r>
        <w:rPr>
          <w:color w:val="8C8C8C"/>
          <w:sz w:val="14"/>
        </w:rPr>
        <w:t xml:space="preserve">  [11 decisoes]</w:t>
      </w:r>
    </w:p>
    <w:p>
      <w:pPr>
        <w:ind w:left="288"/>
      </w:pPr>
      <w:r>
        <w:rPr>
          <w:color w:val="8C8C8C"/>
          <w:sz w:val="12"/>
        </w:rPr>
        <w:t>cf-art-16</w:t>
      </w:r>
      <w:r>
        <w:rPr>
          <w:color w:val="003CA0"/>
          <w:sz w:val="12"/>
        </w:rPr>
        <w:t xml:space="preserve"> | ADI 7.212</w:t>
      </w:r>
      <w:r>
        <w:rPr>
          <w:color w:val="003CA0"/>
          <w:sz w:val="12"/>
        </w:rPr>
        <w:t xml:space="preserve"> | rel. André Mendonça</w:t>
      </w:r>
    </w:p>
    <w:p>
      <w:pPr>
        <w:ind w:left="288"/>
      </w:pPr>
      <w:r>
        <w:rPr>
          <w:color w:val="1E1E1E"/>
          <w:sz w:val="18"/>
        </w:rPr>
        <w:t>Emenda Constitucional 123/2022. Reconhecimento de estado de emergência. Criação e ampliação de programas sociais em ano eleitoral. Violação ao núcleo essencial da anterioridade eleitoral, da paridade de armas e da liberdade de voto. (...) O princípio da anterioridade eleitoral (CF, art. 16) tem como escopo impedir a deformação eleitoral mediante alterações nele inseridas de forma casuística que interfiram na paridade de armas e na liberdade de voto, sendo oponível, inclusive, às emendas à Constituição, exatamente por ser qualificado como cláusula pétrea.</w:t>
      </w:r>
    </w:p>
    <w:p>
      <w:pPr>
        <w:ind w:left="288"/>
      </w:pPr>
      <w:r>
        <w:rPr>
          <w:b/>
          <w:color w:val="003CA0"/>
          <w:sz w:val="16"/>
        </w:rPr>
        <w:t>[ADI 7.212, rel. min. André Mendonça, red. do ac. min. Gilmar Mendes, j. 01.08.2024, P, DJE de 27.05.2025.]</w:t>
      </w:r>
    </w:p>
    <w:p>
      <w:pPr>
        <w:ind w:left="288"/>
      </w:pPr>
      <w:r>
        <w:rPr>
          <w:color w:val="8C8C8C"/>
          <w:sz w:val="12"/>
        </w:rPr>
        <w:t>cf-art-16</w:t>
      </w:r>
      <w:r>
        <w:rPr>
          <w:color w:val="003CA0"/>
          <w:sz w:val="12"/>
        </w:rPr>
        <w:t xml:space="preserve"> | ADI 7.178</w:t>
      </w:r>
      <w:r>
        <w:rPr>
          <w:color w:val="003CA0"/>
          <w:sz w:val="12"/>
        </w:rPr>
        <w:t xml:space="preserve"> | rel. Dias Toffoli</w:t>
      </w:r>
    </w:p>
    <w:p>
      <w:pPr>
        <w:ind w:left="288"/>
      </w:pPr>
      <w:r>
        <w:rPr>
          <w:color w:val="1E1E1E"/>
          <w:sz w:val="18"/>
        </w:rPr>
        <w:t>Lei nº 14.356, de 31 de maio de 2022. Alteração do art. 73, inciso VII, da Lei nº 9.504/97. Critérios. Média de gastos com publicidade institucional. Violação dos princípios da anualidade eleitoral e da segurança jurídica (art. 16 da CF).</w:t>
        <w:br/>
        <w:t>[ADI 7.178, rel. min. Dias Toffoli, j. 17-12-2022, P, DJE de 24-2-2023.] O art. 12, XXVII, da Lei 14.194/2021 não inaugura forma de financiamento das campanhas eleitorais nem altera o processo eleitoral, de modo que se mostra impropria a observância do princípio da anterioridade eleitoral previsto no art. 16 da Carta Maior.</w:t>
      </w:r>
    </w:p>
    <w:p>
      <w:pPr>
        <w:ind w:left="288"/>
      </w:pPr>
      <w:r>
        <w:rPr>
          <w:b/>
          <w:color w:val="003CA0"/>
          <w:sz w:val="16"/>
        </w:rPr>
        <w:t>[ADI 7.058 MC, red. do ac. min. Nunes Marques, rel. min. André Mendonça, j. 3-3-2022, P, DJE de 26-5-2022.]</w:t>
      </w:r>
    </w:p>
    <w:p>
      <w:pPr>
        <w:ind w:left="288"/>
      </w:pPr>
      <w:r>
        <w:rPr>
          <w:color w:val="8C8C8C"/>
          <w:sz w:val="12"/>
        </w:rPr>
        <w:t>cf-art-16</w:t>
      </w:r>
      <w:r>
        <w:rPr>
          <w:color w:val="003CA0"/>
          <w:sz w:val="12"/>
        </w:rPr>
        <w:t xml:space="preserve"> | ADI 5.577</w:t>
      </w:r>
      <w:r>
        <w:rPr>
          <w:color w:val="003CA0"/>
          <w:sz w:val="12"/>
        </w:rPr>
        <w:t xml:space="preserve"> | rel. Rosa Weber</w:t>
      </w:r>
    </w:p>
    <w:p>
      <w:pPr>
        <w:ind w:left="288"/>
      </w:pPr>
      <w:r>
        <w:rPr>
          <w:color w:val="1E1E1E"/>
          <w:sz w:val="18"/>
        </w:rPr>
        <w:t>Eleições. Debates eleitorais. (...) Alteração do art. 46, caput, da Lei 9.405/1997. (...) Ausência de óbice formal à aplicação do novo regime jurídico da Lei 9.504/1997, com as alterações introduzidas pela Lei 13.165/2015, nos termos do art. 16 da CF.</w:t>
      </w:r>
    </w:p>
    <w:p>
      <w:pPr>
        <w:ind w:left="288"/>
      </w:pPr>
      <w:r>
        <w:rPr>
          <w:b/>
          <w:color w:val="003CA0"/>
          <w:sz w:val="16"/>
        </w:rPr>
        <w:t>[ADI 5.577, rel. min. Rosa Weber, j. 25-8-2016, P, DJE de 19-12-2017.]</w:t>
      </w:r>
    </w:p>
    <w:p>
      <w:pPr>
        <w:ind w:left="288"/>
      </w:pPr>
      <w:r>
        <w:rPr>
          <w:color w:val="8C8C8C"/>
          <w:sz w:val="12"/>
        </w:rPr>
        <w:t>cf-art-16</w:t>
      </w:r>
      <w:r>
        <w:rPr>
          <w:color w:val="003CA0"/>
          <w:sz w:val="12"/>
        </w:rPr>
        <w:t xml:space="preserve"> | ADI 4.307</w:t>
      </w:r>
      <w:r>
        <w:rPr>
          <w:color w:val="003CA0"/>
          <w:sz w:val="12"/>
        </w:rPr>
        <w:t xml:space="preserve"> | rel. Cármen Lúcia</w:t>
      </w:r>
    </w:p>
    <w:p>
      <w:pPr>
        <w:ind w:left="288"/>
      </w:pPr>
      <w:r>
        <w:rPr>
          <w:color w:val="1E1E1E"/>
          <w:sz w:val="18"/>
        </w:rPr>
        <w:t>EC 58/2009. (...) Norma que determina a retroação dos efeitos de regras constitucionais de composição das câmaras municipais em pleito ocorrido e encerrado: afronta à garantia do exercício da cidadania popular (arts. 1º, parágrafo único, e 14 da Constituição) e a segurança jurídica. Os eleitos foram diplomados pela Justiça Eleitoral até 18-12-2009 e tomaram posse em 2009. Posse de suplentes para legislatura em curso, em relação a eleição finda e acabada, descumpre o princípio democrático da soberania popular. Impossibilidade de compatibilizar a posse do suplente: não eleito pelo sufrágio secre</w:t>
      </w:r>
    </w:p>
    <w:p>
      <w:pPr>
        <w:ind w:left="288"/>
      </w:pPr>
      <w:r>
        <w:rPr>
          <w:b/>
          <w:color w:val="003CA0"/>
          <w:sz w:val="16"/>
        </w:rPr>
        <w:t>[ADI 4.298 MC, voto do min. Cezar Peluso, j. 7-10-2009, P, DJE de 27-11-2009.]</w:t>
      </w:r>
    </w:p>
    <w:p>
      <w:pPr>
        <w:ind w:left="288"/>
      </w:pPr>
      <w:r>
        <w:rPr>
          <w:color w:val="8C8C8C"/>
          <w:sz w:val="12"/>
        </w:rPr>
        <w:t>cf-art-16</w:t>
      </w:r>
      <w:r>
        <w:rPr>
          <w:color w:val="003CA0"/>
          <w:sz w:val="12"/>
        </w:rPr>
        <w:t xml:space="preserve"> | ADI 3.741</w:t>
      </w:r>
      <w:r>
        <w:rPr>
          <w:color w:val="003CA0"/>
          <w:sz w:val="12"/>
        </w:rPr>
        <w:t xml:space="preserve"> | rel. Ricardo Lewandowski</w:t>
      </w:r>
    </w:p>
    <w:p>
      <w:pPr>
        <w:ind w:left="288"/>
      </w:pPr>
      <w:r>
        <w:rPr>
          <w:color w:val="1E1E1E"/>
          <w:sz w:val="18"/>
        </w:rPr>
        <w:t>Lei 11.300/2006 (minirreforma eleitoral). Alegada ofensa ao princípio da anterioridade da lei eleitoral (CF, art. 16). Inocorrência. Mero aperfeiçoamento dos procedimentos eleitorais. Inexistência de alteração do processo eleitoral. Proibição de divulgação de pesquisas eleitorais quinze dias antes do pleito. Inconstitucionalidade. Garantia da liberdade de expressão e do direito à informação livre e plural no Estado Democrático de Direito.</w:t>
      </w:r>
    </w:p>
    <w:p>
      <w:pPr>
        <w:ind w:left="288"/>
      </w:pPr>
      <w:r>
        <w:rPr>
          <w:b/>
          <w:color w:val="003CA0"/>
          <w:sz w:val="16"/>
        </w:rPr>
        <w:t>[ADI 3.741, rel. min. Ricardo Lewandowski, j. 6-8-2006, P, DJ de 23-2-2007.]</w:t>
      </w:r>
    </w:p>
    <w:p>
      <w:pPr>
        <w:ind w:left="288"/>
      </w:pPr>
      <w:r>
        <w:rPr>
          <w:color w:val="8C8C8C"/>
          <w:sz w:val="12"/>
        </w:rPr>
        <w:t>cf-art-16</w:t>
      </w:r>
      <w:r>
        <w:rPr>
          <w:color w:val="003CA0"/>
          <w:sz w:val="12"/>
        </w:rPr>
        <w:t xml:space="preserve"> | ADI 354</w:t>
      </w:r>
      <w:r>
        <w:rPr>
          <w:color w:val="003CA0"/>
          <w:sz w:val="12"/>
        </w:rPr>
        <w:t xml:space="preserve"> | rel. Octavio Gallotti). Enquanto o art. 150</w:t>
      </w:r>
    </w:p>
    <w:p>
      <w:pPr>
        <w:ind w:left="288"/>
      </w:pPr>
      <w:r>
        <w:rPr>
          <w:color w:val="1E1E1E"/>
          <w:sz w:val="18"/>
        </w:rPr>
        <w:t>A inovação trazida pela EC 52/2006 conferiu status constitucional à matéria até então integralmente regulamentada por legislação ordinária federal, provocando, assim, a perda da validade de qualquer restrição à plena autonomia das coligações partidárias no plano federal, estadual, distrital e municipal. Todavia, a utilização da nova regra às eleições gerais que se realizarão a menos de sete meses colide com o princípio da anterioridade eleitoral, disposto no art. 16 da CF, que busca evitar a utilização abusiva ou casuística do processo legislativo como instrumento de manipulação e de deformaçã</w:t>
      </w:r>
    </w:p>
    <w:p>
      <w:pPr>
        <w:ind w:left="288"/>
      </w:pPr>
      <w:r>
        <w:rPr>
          <w:b/>
          <w:color w:val="003CA0"/>
          <w:sz w:val="16"/>
        </w:rPr>
        <w:t>[ADI 3.685, rel. min. Ellen Gracie, j. 22-3-2006, P, DJ de 10-8-2006.]</w:t>
      </w:r>
    </w:p>
    <w:p>
      <w:pPr>
        <w:ind w:left="288"/>
      </w:pPr>
      <w:r>
        <w:rPr>
          <w:color w:val="8C8C8C"/>
          <w:sz w:val="12"/>
        </w:rPr>
        <w:t>cf-art-16</w:t>
      </w:r>
      <w:r>
        <w:rPr>
          <w:color w:val="003CA0"/>
          <w:sz w:val="12"/>
        </w:rPr>
        <w:t xml:space="preserve"> | ADI 3.345</w:t>
      </w:r>
      <w:r>
        <w:rPr>
          <w:color w:val="003CA0"/>
          <w:sz w:val="12"/>
        </w:rPr>
        <w:t xml:space="preserve"> | rel. Celso de Mello</w:t>
      </w:r>
    </w:p>
    <w:p>
      <w:pPr>
        <w:ind w:left="288"/>
      </w:pPr>
      <w:r>
        <w:rPr>
          <w:color w:val="1E1E1E"/>
          <w:sz w:val="18"/>
        </w:rPr>
        <w:t xml:space="preserve">A norma consubstanciada no art. 16 da Constituição da República, que consagra o postulado da anterioridade eleitoral (cujo precípuo destinatário é o Poder Legislativo), vincula-se, em seu sentido teleológico, à finalidade ético-jurídica de obstar a deformação do processo eleitoral mediante modificações que, casuisticamente introduzidas pelo Parlamento, culminem por romper a necessária igualdade de participação dos que nele atuam como protagonistas relevantes (partidos políticos e candidatos), vulnerando-lhes, com inovações abruptamente estabelecidas, a garantia básica de igual competitividade </w:t>
      </w:r>
    </w:p>
    <w:p>
      <w:pPr>
        <w:ind w:left="288"/>
      </w:pPr>
      <w:r>
        <w:rPr>
          <w:b/>
          <w:color w:val="003CA0"/>
          <w:sz w:val="16"/>
        </w:rPr>
        <w:t>[ADI 3.345, rel. min. Celso de Mello, j. 25-8-2005, P, DJE de 20-8-2010.]</w:t>
      </w:r>
    </w:p>
    <w:p>
      <w:pPr>
        <w:ind w:left="288"/>
      </w:pPr>
      <w:r>
        <w:rPr>
          <w:color w:val="8C8C8C"/>
          <w:sz w:val="12"/>
        </w:rPr>
        <w:t>cf-art-16</w:t>
      </w:r>
      <w:r>
        <w:rPr>
          <w:color w:val="003CA0"/>
          <w:sz w:val="12"/>
        </w:rPr>
        <w:t xml:space="preserve"> | ADI 718</w:t>
      </w:r>
      <w:r>
        <w:rPr>
          <w:color w:val="003CA0"/>
          <w:sz w:val="12"/>
        </w:rPr>
        <w:t xml:space="preserve"> | rel. Sepúlveda Pertence</w:t>
      </w:r>
    </w:p>
    <w:p>
      <w:pPr>
        <w:ind w:left="288"/>
      </w:pPr>
      <w:r>
        <w:rPr>
          <w:color w:val="1E1E1E"/>
          <w:sz w:val="18"/>
        </w:rPr>
        <w:t>Município: criação em ano de eleições municipais: não incidência do art. 16 da CF. No contexto normativo do art. 16, CF – que impõe a vacatio de um ano às leis que o alterem –, processo eleitoral é parte de um sistema de normas mais extenso, o direito eleitoral, matéria reservada privativamente à competência legislativa da União; logo, no sistema da Constituição de 1988, onde as normas gerais de alçada complementar, e a lei específica de criação de municípios foi confiada aos Estados, o exercício dessa competência estadual explícita manifestamente não altera o processo eleitoral, que é coisa d</w:t>
      </w:r>
    </w:p>
    <w:p>
      <w:pPr>
        <w:ind w:left="288"/>
      </w:pPr>
      <w:r>
        <w:rPr>
          <w:b/>
          <w:color w:val="003CA0"/>
          <w:sz w:val="16"/>
        </w:rPr>
        <w:t>[ADI 718, rel. min. Sepúlveda Pertence, j. 5-11-1998, P, DJ de 18-12-1998.]</w:t>
      </w:r>
    </w:p>
    <w:p>
      <w:pPr>
        <w:ind w:left="144"/>
      </w:pPr>
      <w:r>
        <w:rPr>
          <w:b/>
          <w:color w:val="B45A00"/>
          <w:sz w:val="16"/>
        </w:rPr>
        <w:t>REPERCUSSAO GERAL</w:t>
      </w:r>
    </w:p>
    <w:p>
      <w:pPr>
        <w:ind w:left="288"/>
      </w:pPr>
      <w:r>
        <w:rPr>
          <w:color w:val="8C8C8C"/>
          <w:sz w:val="12"/>
        </w:rPr>
        <w:t>cf-art-16</w:t>
      </w:r>
      <w:r>
        <w:rPr>
          <w:color w:val="003CA0"/>
          <w:sz w:val="12"/>
        </w:rPr>
        <w:t xml:space="preserve"> | RE 637.485</w:t>
      </w:r>
      <w:r>
        <w:rPr>
          <w:color w:val="003CA0"/>
          <w:sz w:val="12"/>
        </w:rPr>
        <w:t xml:space="preserve"> | rel. Gilmar Mendes</w:t>
      </w:r>
    </w:p>
    <w:p>
      <w:pPr>
        <w:ind w:left="288"/>
      </w:pPr>
      <w:r>
        <w:rPr>
          <w:color w:val="1E1E1E"/>
          <w:sz w:val="18"/>
        </w:rPr>
        <w:t>(...) as decisões do TSE que, no curso do pleito eleitoral (ou logo após o seu encerramento), impliquem mudança de jurisprudência (e dessa forma repercutam sobre a segurança jurídica), não têm aplicabilidade imediata ao caso concreto e somente terão eficácia sobre outros casos no pleito eleitoral posterior.</w:t>
        <w:br/>
        <w:t>[RE 637.485, rel. min. Gilmar Mendes, j. 1º-8-2012, P, DJE de 21-5-2013, Tema 564, com mérito julgado.] A matéria em discussão nestes autos, acerca da aplicação da chamada Lei da Ficha Limpa (Lei Complementar nº 135/2010) às eleições gerais de 2010, já teve sua repercussão geral reconhecida</w:t>
      </w:r>
    </w:p>
    <w:p>
      <w:pPr>
        <w:ind w:left="288"/>
      </w:pPr>
      <w:r>
        <w:rPr>
          <w:b/>
          <w:color w:val="003CA0"/>
          <w:sz w:val="16"/>
        </w:rPr>
        <w:t>[RE 631.102 ED, red. do ac. min. Dias Toffoli, rel. min. Joaquim Barbosa, j. 14-12-2011, P, DJE de 2-5-2012, Tema 367, com mérito julgado.]</w:t>
      </w:r>
    </w:p>
    <w:p>
      <w:pPr>
        <w:ind w:left="288"/>
      </w:pPr>
      <w:r>
        <w:rPr>
          <w:color w:val="8C8C8C"/>
          <w:sz w:val="12"/>
        </w:rPr>
        <w:t>cf-art-16</w:t>
      </w:r>
      <w:r>
        <w:rPr>
          <w:color w:val="003CA0"/>
          <w:sz w:val="12"/>
        </w:rPr>
        <w:t xml:space="preserve"> | RE 633.703</w:t>
      </w:r>
      <w:r>
        <w:rPr>
          <w:color w:val="003CA0"/>
          <w:sz w:val="12"/>
        </w:rPr>
        <w:t xml:space="preserve"> | rel. Gilmar Mendes</w:t>
      </w:r>
    </w:p>
    <w:p>
      <w:pPr>
        <w:ind w:left="288"/>
      </w:pPr>
      <w:r>
        <w:rPr>
          <w:color w:val="1E1E1E"/>
          <w:sz w:val="18"/>
        </w:rPr>
        <w:t>A competição eleitoral se inicia exatamente um ano antes da data das eleições e, nesse interregno, o art. 16 da Constituição exige que qualquer modificação nas regras do jogo não terá eficácia imediata para o pleito em curso. (...) Toda limitação legal ao direito de sufrágio passivo, isto é, qualquer restrição legal à elegibilidade do cidadão constitui uma limitação da igualdade de oportunidades na competição eleitoral. (...) A jurisdição constitucional cumpre a sua função quando aplica rigorosamente, sem subterfúgios calcados em considerações subjetivas de moralidade, o princípio da anteriori</w:t>
      </w:r>
    </w:p>
    <w:p>
      <w:pPr>
        <w:ind w:left="288"/>
      </w:pPr>
      <w:r>
        <w:rPr>
          <w:b/>
          <w:color w:val="003CA0"/>
          <w:sz w:val="16"/>
        </w:rPr>
        <w:t>[RE 633.703, rel. min. Gilmar Mendes, j. 23-3-2011, P, DJE de 18-11-2011, Tema 387, com mérito julgado.]</w:t>
        <w:br/>
        <w:t>Vide RE 631.102 ED, red. do ac. min. Dias Toffoli, j. 14-12-2011, P, DJE de 2-5-2012, Tema 367, com mérito julgado</w:t>
      </w:r>
    </w:p>
    <w:p>
      <w:pPr>
        <w:ind w:left="288"/>
      </w:pPr>
      <w:r>
        <w:rPr>
          <w:color w:val="8C8C8C"/>
          <w:sz w:val="12"/>
        </w:rPr>
        <w:t>cf-art-16</w:t>
      </w:r>
    </w:p>
    <w:p>
      <w:pPr>
        <w:ind w:left="288"/>
      </w:pPr>
      <w:r>
        <w:rPr>
          <w:color w:val="1E1E1E"/>
          <w:sz w:val="18"/>
        </w:rPr>
        <w:t>CAPÍTULO V Dos Partidos Políticos SUMÁRIO</w:t>
      </w:r>
    </w:p>
    <w:p>
      <w:pPr>
        <w:pStyle w:val="Heading2"/>
      </w:pPr>
      <w:r>
        <w:rPr>
          <w:color w:val="003366"/>
        </w:rPr>
        <w:t>CAPÍTULO V - DOS PARTIDOS POLÍTICOS</w:t>
      </w:r>
    </w:p>
    <w:p>
      <w:r>
        <w:rPr>
          <w:b/>
          <w:color w:val="003366"/>
          <w:sz w:val="20"/>
        </w:rPr>
        <w:t>Art. 17 É livre a criação, fusão, incorporação e extinção de partidos políticos,</w:t>
      </w:r>
      <w:r>
        <w:rPr>
          <w:color w:val="8C8C8C"/>
          <w:sz w:val="14"/>
        </w:rPr>
        <w:t xml:space="preserve">  [39 decisoes]</w:t>
      </w:r>
    </w:p>
    <w:p>
      <w:pPr>
        <w:ind w:left="144"/>
      </w:pPr>
      <w:r>
        <w:rPr>
          <w:b/>
          <w:color w:val="B45A00"/>
          <w:sz w:val="16"/>
        </w:rPr>
        <w:t>CONTROLE CONCENTRADO</w:t>
      </w:r>
    </w:p>
    <w:p>
      <w:pPr>
        <w:ind w:left="288"/>
      </w:pPr>
      <w:r>
        <w:rPr>
          <w:color w:val="8C8C8C"/>
          <w:sz w:val="12"/>
        </w:rPr>
        <w:t>cf-art-17</w:t>
      </w:r>
      <w:r>
        <w:rPr>
          <w:color w:val="003CA0"/>
          <w:sz w:val="12"/>
        </w:rPr>
        <w:t xml:space="preserve"> | ADI 6.044</w:t>
      </w:r>
      <w:r>
        <w:rPr>
          <w:color w:val="003CA0"/>
          <w:sz w:val="12"/>
        </w:rPr>
        <w:t xml:space="preserve"> | rel. Cármen Lúcia</w:t>
      </w:r>
    </w:p>
    <w:p>
      <w:pPr>
        <w:ind w:left="288"/>
      </w:pPr>
      <w:r>
        <w:rPr>
          <w:color w:val="1E1E1E"/>
          <w:sz w:val="18"/>
        </w:rPr>
        <w:t>É constitucional a norma legal pela qual se impõe restrição temporal para a fusão ou incorporação de partidos políticos.</w:t>
      </w:r>
    </w:p>
    <w:p>
      <w:pPr>
        <w:ind w:left="288"/>
      </w:pPr>
      <w:r>
        <w:rPr>
          <w:b/>
          <w:color w:val="003CA0"/>
          <w:sz w:val="16"/>
        </w:rPr>
        <w:t>[ADI 6.044, rel. min. Cármen Lúcia, j. 8-3-2021, P, DJE de 17-3-2021.]</w:t>
      </w:r>
    </w:p>
    <w:p>
      <w:pPr>
        <w:ind w:left="288"/>
      </w:pPr>
      <w:r>
        <w:rPr>
          <w:color w:val="8C8C8C"/>
          <w:sz w:val="12"/>
        </w:rPr>
        <w:t>cf-art-17</w:t>
      </w:r>
      <w:r>
        <w:rPr>
          <w:color w:val="003CA0"/>
          <w:sz w:val="12"/>
        </w:rPr>
        <w:t xml:space="preserve"> | ADI 5.311</w:t>
      </w:r>
      <w:r>
        <w:rPr>
          <w:color w:val="003CA0"/>
          <w:sz w:val="12"/>
        </w:rPr>
        <w:t xml:space="preserve"> | rel. Cármen Lúcia</w:t>
      </w:r>
    </w:p>
    <w:p>
      <w:pPr>
        <w:ind w:left="288"/>
      </w:pPr>
      <w:r>
        <w:rPr>
          <w:color w:val="1E1E1E"/>
          <w:sz w:val="18"/>
        </w:rPr>
        <w:t>Pela Constituição da República se assegura a livre criação, fusão e incorporação de partidos políticos, condicionadas aos princípios do sistema democrático representativo e do pluripartidarismo. São constitucionais as normas pelas quais se fortaleça o controle quantitativo e qualitativo dos partidos, sem afronta ao princípio da igualdade ou ingerência no funcionamento interno.</w:t>
      </w:r>
    </w:p>
    <w:p>
      <w:pPr>
        <w:ind w:left="288"/>
      </w:pPr>
      <w:r>
        <w:rPr>
          <w:b/>
          <w:color w:val="003CA0"/>
          <w:sz w:val="16"/>
        </w:rPr>
        <w:t>[ADI 5.311, rel. min. Cármen Lúcia, j. 4-3-2020, P, DJE de 6-7-2020.]</w:t>
      </w:r>
    </w:p>
    <w:p>
      <w:pPr>
        <w:ind w:left="288"/>
      </w:pPr>
      <w:r>
        <w:rPr>
          <w:color w:val="8C8C8C"/>
          <w:sz w:val="12"/>
        </w:rPr>
        <w:t>cf-art-17</w:t>
      </w:r>
      <w:r>
        <w:rPr>
          <w:color w:val="003CA0"/>
          <w:sz w:val="12"/>
        </w:rPr>
        <w:t xml:space="preserve"> | ADI 4.647</w:t>
      </w:r>
      <w:r>
        <w:rPr>
          <w:color w:val="003CA0"/>
          <w:sz w:val="12"/>
        </w:rPr>
        <w:t xml:space="preserve"> | rel. Dias Toffoli</w:t>
      </w:r>
    </w:p>
    <w:p>
      <w:pPr>
        <w:ind w:left="288"/>
      </w:pPr>
      <w:r>
        <w:rPr>
          <w:color w:val="1E1E1E"/>
          <w:sz w:val="18"/>
        </w:rPr>
        <w:t>Resolução da Câmara dos Deputados. (...) Ato que disciplina a distribuição de servidores por gabinete de liderança a cada nova eleição com base na representatividade do partido. (...) Os critérios equitativos adotados na resolução decorrem do próprio regime democrático e da lógica da representatividade proporcional, sem descuidar da garantia do direito de existência das minorias.</w:t>
      </w:r>
    </w:p>
    <w:p>
      <w:pPr>
        <w:ind w:left="288"/>
      </w:pPr>
      <w:r>
        <w:rPr>
          <w:b/>
          <w:color w:val="003CA0"/>
          <w:sz w:val="16"/>
        </w:rPr>
        <w:t>[ADI 4.647, rel. min. Dias Toffoli, j. 6-6-2018, P, DJE de 21-6-2018.]</w:t>
      </w:r>
    </w:p>
    <w:p>
      <w:pPr>
        <w:ind w:left="288"/>
      </w:pPr>
      <w:r>
        <w:rPr>
          <w:color w:val="8C8C8C"/>
          <w:sz w:val="12"/>
        </w:rPr>
        <w:t>cf-art-17</w:t>
      </w:r>
      <w:r>
        <w:rPr>
          <w:color w:val="003CA0"/>
          <w:sz w:val="12"/>
        </w:rPr>
        <w:t xml:space="preserve"> | ADI 4.650</w:t>
      </w:r>
      <w:r>
        <w:rPr>
          <w:color w:val="003CA0"/>
          <w:sz w:val="12"/>
        </w:rPr>
        <w:t xml:space="preserve"> | rel. Luiz Fux</w:t>
      </w:r>
    </w:p>
    <w:p>
      <w:pPr>
        <w:ind w:left="288"/>
      </w:pPr>
      <w:r>
        <w:rPr>
          <w:color w:val="1E1E1E"/>
          <w:sz w:val="18"/>
        </w:rPr>
        <w:t>Ofensa aos princípios fundamentais democrático e da igualdade política. Premissas teóricas. Postura particularista e expansiva da Suprema Corte na salvaguarda dos pressupostos democráticos. Sensibilidade da matéria, afeta que é ao processo político-eleitoral. Autointeresse dos agentes políticos. Ausência de modelo constitucional cerrado de financiamento de campanhas. Constituição-moldura. Normas fundamentais limitadoras da discricionariedade legislativa. Pronunciamento do STF que não encerra o debate constitucional em sentido amplo. Diálogos institucionais. Última palavra provisória. Mérito. D</w:t>
      </w:r>
    </w:p>
    <w:p>
      <w:pPr>
        <w:ind w:left="288"/>
      </w:pPr>
      <w:r>
        <w:rPr>
          <w:b/>
          <w:color w:val="003CA0"/>
          <w:sz w:val="16"/>
        </w:rPr>
        <w:t>[ADI 4.650, rel. min. Luiz Fux, j. 17-9-2015, P, DJE de 24-2-2016.]</w:t>
      </w:r>
    </w:p>
    <w:p>
      <w:pPr>
        <w:ind w:left="288"/>
      </w:pPr>
      <w:r>
        <w:rPr>
          <w:color w:val="8C8C8C"/>
          <w:sz w:val="12"/>
        </w:rPr>
        <w:t>cf-art-17</w:t>
      </w:r>
      <w:r>
        <w:rPr>
          <w:color w:val="003CA0"/>
          <w:sz w:val="12"/>
        </w:rPr>
        <w:t xml:space="preserve"> | ADI 1.817</w:t>
      </w:r>
      <w:r>
        <w:rPr>
          <w:color w:val="003CA0"/>
          <w:sz w:val="12"/>
        </w:rPr>
        <w:t xml:space="preserve"> | rel. Dias Toffoli</w:t>
      </w:r>
    </w:p>
    <w:p>
      <w:pPr>
        <w:ind w:left="288"/>
      </w:pPr>
      <w:r>
        <w:rPr>
          <w:color w:val="1E1E1E"/>
          <w:sz w:val="18"/>
        </w:rPr>
        <w:t xml:space="preserve">A definição de limitações ao exercício das funções eleitorais pelos partidos políticos é decreto de ordem excepcional, ressalva feita àquelas condicionantes oriundas da CF, a exemplo do art. 17 do Texto Magno. No caso do art. 4º da Lei 9.504/1997, embora se estabeleça limitação consistente na exigência do prazo mínimo de um ano de existência para que partidos políticos possam concorrer em eleições, há excepcionalidade que justifica a limitação da ampla liberdade de atuação dos partidos políticos na seara eleitoral. A previsão atacada encontra ligação estreita com a exigência constitucional da </w:t>
      </w:r>
    </w:p>
    <w:p>
      <w:pPr>
        <w:ind w:left="288"/>
      </w:pPr>
      <w:r>
        <w:rPr>
          <w:b/>
          <w:color w:val="003CA0"/>
          <w:sz w:val="16"/>
        </w:rPr>
        <w:t>[ADI 1.817, rel. min. Dias Toffoli, j. 28-5-2014, P, DJE de 1º-8-2014.]</w:t>
      </w:r>
    </w:p>
    <w:p>
      <w:pPr>
        <w:ind w:left="288"/>
      </w:pPr>
      <w:r>
        <w:rPr>
          <w:color w:val="8C8C8C"/>
          <w:sz w:val="12"/>
        </w:rPr>
        <w:t>cf-art-17</w:t>
      </w:r>
      <w:r>
        <w:rPr>
          <w:color w:val="003CA0"/>
          <w:sz w:val="12"/>
        </w:rPr>
        <w:t xml:space="preserve"> | ADI 4.430</w:t>
      </w:r>
      <w:r>
        <w:rPr>
          <w:color w:val="003CA0"/>
          <w:sz w:val="12"/>
        </w:rPr>
        <w:t xml:space="preserve"> | rel. Dias Toffoli</w:t>
      </w:r>
    </w:p>
    <w:p>
      <w:pPr>
        <w:ind w:left="288"/>
      </w:pPr>
      <w:r>
        <w:rPr>
          <w:color w:val="1E1E1E"/>
          <w:sz w:val="18"/>
        </w:rPr>
        <w:t>Extrai-se do princípio da liberdade de criação e transformação de partidos políticos contido no caput do art. 17 da Constituição da República o fundamento constitucional para reputar como legítimo o entendimento de que, na hipótese de criação de um novo partido, a novel legenda, para fins de acesso proporcional ao rádio e à televisão, leva consigo a representatividade dos deputados federais que, quando de sua criação, para ela migrarem diretamente dos partidos pelos quais foram eleitos. Não há razão para se conferir às hipóteses de criação de nova legenda tratamento diverso daquele conferido a</w:t>
      </w:r>
    </w:p>
    <w:p>
      <w:pPr>
        <w:ind w:left="288"/>
      </w:pPr>
      <w:r>
        <w:rPr>
          <w:b/>
          <w:color w:val="003CA0"/>
          <w:sz w:val="16"/>
        </w:rPr>
        <w:t>[ADI 4.430, rel. min. Dias Toffoli, j. 29-6-2012, P, DJE de 19-9-2013.]</w:t>
      </w:r>
    </w:p>
    <w:p>
      <w:pPr>
        <w:ind w:left="288"/>
      </w:pPr>
      <w:r>
        <w:rPr>
          <w:color w:val="8C8C8C"/>
          <w:sz w:val="12"/>
        </w:rPr>
        <w:t>cf-art-17</w:t>
      </w:r>
      <w:r>
        <w:rPr>
          <w:color w:val="003CA0"/>
          <w:sz w:val="12"/>
        </w:rPr>
        <w:t xml:space="preserve"> | ADI 1.354</w:t>
      </w:r>
      <w:r>
        <w:rPr>
          <w:color w:val="003CA0"/>
          <w:sz w:val="12"/>
        </w:rPr>
        <w:t xml:space="preserve"> | rel. Marco Aurélio</w:t>
      </w:r>
    </w:p>
    <w:p>
      <w:pPr>
        <w:ind w:left="288"/>
      </w:pPr>
      <w:r>
        <w:rPr>
          <w:color w:val="1E1E1E"/>
          <w:sz w:val="18"/>
        </w:rPr>
        <w:t>Partido político. Funcionamento parlamentar. Propaganda partidária gratuita. Fundo partidário. Surge conflitante com a CF lei que, em face da gradação de votos obtidos por partido político, afasta o funcionamento parlamentar e reduz, substancialmente, o tempo de propaganda partidária gratuita e a participação no rateio do Fundo Partidário. Normatização. Inconstitucionalidade. Vácuo. Ante a declaração de inconstitucionalidade de leis, incumbe atentar para a inconveniência do vácuo normativo, projetando-se, no tempo, a vigência de preceito transitório, isso visando a aguardar nova atuação das Ca</w:t>
      </w:r>
    </w:p>
    <w:p>
      <w:pPr>
        <w:ind w:left="288"/>
      </w:pPr>
      <w:r>
        <w:rPr>
          <w:b/>
          <w:color w:val="003CA0"/>
          <w:sz w:val="16"/>
        </w:rPr>
        <w:t>[ADI 1.354 e ADI 1.351, rel. min. Marco Aurélio, j. 7-12-2006, P, DJ de 30-3-2007.]</w:t>
      </w:r>
    </w:p>
    <w:p>
      <w:pPr>
        <w:ind w:left="144"/>
      </w:pPr>
      <w:r>
        <w:rPr>
          <w:b/>
          <w:color w:val="B45A00"/>
          <w:sz w:val="16"/>
        </w:rPr>
        <w:t>JULGADOS CORRELATOS</w:t>
      </w:r>
    </w:p>
    <w:p>
      <w:pPr>
        <w:ind w:left="288"/>
      </w:pPr>
      <w:r>
        <w:rPr>
          <w:color w:val="8C8C8C"/>
          <w:sz w:val="12"/>
        </w:rPr>
        <w:t>cf-art-17</w:t>
      </w:r>
      <w:r>
        <w:rPr>
          <w:color w:val="003CA0"/>
          <w:sz w:val="12"/>
        </w:rPr>
        <w:t xml:space="preserve"> | MS 23.914</w:t>
      </w:r>
      <w:r>
        <w:rPr>
          <w:color w:val="003CA0"/>
          <w:sz w:val="12"/>
        </w:rPr>
        <w:t xml:space="preserve"> | rel. Maurício Corrêa</w:t>
      </w:r>
    </w:p>
    <w:p>
      <w:pPr>
        <w:ind w:left="288"/>
      </w:pPr>
      <w:r>
        <w:rPr>
          <w:color w:val="1E1E1E"/>
          <w:sz w:val="18"/>
        </w:rPr>
        <w:t>Não tem legitimidade ativa ad causam para impetrar mandado de segurança o parlamentar que pretende defender prerrogativa do Congresso Nacional, visto que "direito individual, para fins de mandado de segurança, é o que pertence a quem o invoca e não apenas à sua categoria, corporação ou associação de classe" (MEIRELLES, Hely Lopes. Mandado de segurança e ação popular. 18. ed. SP: Malheiros, 1997. p. 34). (...) O princípio do pluripartidarismo não confere legitimidade a parlamentares da oposição ao governo que componham a minoria, os quais, desde o registro de sua candidatura, já têm consciência</w:t>
      </w:r>
    </w:p>
    <w:p>
      <w:pPr>
        <w:ind w:left="288"/>
      </w:pPr>
      <w:r>
        <w:rPr>
          <w:b/>
          <w:color w:val="003CA0"/>
          <w:sz w:val="16"/>
        </w:rPr>
        <w:t>[MS 23.914 AgR, rel. min. Maurício Corrêa, j. 20-6-2001, P, DJ de 24-8-2001.]</w:t>
      </w:r>
    </w:p>
    <w:p>
      <w:pPr>
        <w:ind w:left="288"/>
      </w:pPr>
      <w:r>
        <w:rPr>
          <w:color w:val="8C8C8C"/>
          <w:sz w:val="12"/>
        </w:rPr>
        <w:t>cf-art-17-inc-I</w:t>
      </w:r>
      <w:r>
        <w:rPr>
          <w:color w:val="003CA0"/>
          <w:sz w:val="12"/>
        </w:rPr>
        <w:t xml:space="preserve"> | ADI 7.415</w:t>
      </w:r>
      <w:r>
        <w:rPr>
          <w:color w:val="003CA0"/>
          <w:sz w:val="12"/>
        </w:rPr>
        <w:t xml:space="preserve"> | rel. André Mendonça</w:t>
      </w:r>
    </w:p>
    <w:p>
      <w:pPr>
        <w:ind w:left="288"/>
      </w:pPr>
      <w:r>
        <w:rPr>
          <w:color w:val="1E1E1E"/>
          <w:sz w:val="18"/>
        </w:rPr>
        <w:t>O cerne da controvérsia envolve os temas da responsabilidade civil dos diretórios partidários e da eventual solidariedade passiva entre os órgãos partidários nacional, estadual e municipal. Ambas as questões foram definidas pelo Supremo Tribunal Federal na ADC nº 31/DF, quando se atestou a constitucionalidade do art. 15-A da Lei nº 9.096/1995, e se estabeleceu a tese de que não há solidariedade passiva entre os diretórios partidários nacional, estadual e municipal quanto a obrigações de natureza cível e trabalhista. O caráter nacional dos partidos políticos (art. 17, I, da CF) e o princípio da</w:t>
      </w:r>
    </w:p>
    <w:p>
      <w:pPr>
        <w:ind w:left="288"/>
      </w:pPr>
      <w:r>
        <w:rPr>
          <w:b/>
          <w:color w:val="003CA0"/>
          <w:sz w:val="16"/>
        </w:rPr>
        <w:t>[ADI 7.415, rel. min. André Mendonça, j. 01.09.2025, P, DJE de 11.09.2025.]</w:t>
      </w:r>
    </w:p>
    <w:p>
      <w:pPr>
        <w:ind w:left="288"/>
      </w:pPr>
      <w:r>
        <w:rPr>
          <w:color w:val="8C8C8C"/>
          <w:sz w:val="12"/>
        </w:rPr>
        <w:t>cf-art-17-inc-I</w:t>
      </w:r>
      <w:r>
        <w:rPr>
          <w:color w:val="003CA0"/>
          <w:sz w:val="12"/>
        </w:rPr>
        <w:t xml:space="preserve"> | ACO 31</w:t>
      </w:r>
      <w:r>
        <w:rPr>
          <w:color w:val="003CA0"/>
          <w:sz w:val="12"/>
        </w:rPr>
        <w:t xml:space="preserve"> | rel. Dias Toffoli</w:t>
      </w:r>
    </w:p>
    <w:p>
      <w:pPr>
        <w:ind w:left="288"/>
      </w:pPr>
      <w:r>
        <w:rPr>
          <w:color w:val="1E1E1E"/>
          <w:sz w:val="18"/>
        </w:rPr>
        <w:t>A regra de responsabilização exclusiva do diretório partidário que, direta e individualmente, contrair obrigação, violar direito, ou, por qualquer modo, causar dano a outrem não ofende o caráter nacional dos partidos políticos, decorrendo logicamente do princípio da autonomia político-partidária e do princípio federativo, com os quais aquela determinação convive harmoniosamente.</w:t>
      </w:r>
    </w:p>
    <w:p>
      <w:pPr>
        <w:ind w:left="288"/>
      </w:pPr>
      <w:r>
        <w:rPr>
          <w:b/>
          <w:color w:val="003CA0"/>
          <w:sz w:val="16"/>
        </w:rPr>
        <w:t>[ACO 31, rel. min. Dias Toffoli, j. 22-9-2021, P, DJE de 15-2-2022.]</w:t>
      </w:r>
    </w:p>
    <w:p>
      <w:pPr>
        <w:ind w:left="288"/>
      </w:pPr>
      <w:r>
        <w:rPr>
          <w:color w:val="8C8C8C"/>
          <w:sz w:val="12"/>
        </w:rPr>
        <w:t>cf-art-17-inc-I</w:t>
      </w:r>
      <w:r>
        <w:rPr>
          <w:color w:val="003CA0"/>
          <w:sz w:val="12"/>
        </w:rPr>
        <w:t xml:space="preserve"> | ADI 5.311</w:t>
      </w:r>
      <w:r>
        <w:rPr>
          <w:color w:val="003CA0"/>
          <w:sz w:val="12"/>
        </w:rPr>
        <w:t xml:space="preserve"> | rel. Cármen Lúcia</w:t>
      </w:r>
    </w:p>
    <w:p>
      <w:pPr>
        <w:ind w:left="288"/>
      </w:pPr>
      <w:r>
        <w:rPr>
          <w:color w:val="1E1E1E"/>
          <w:sz w:val="18"/>
        </w:rPr>
        <w:t>A determinação constitucional de caráter nacional dos partidos políticos objetiva impedir a proliferação de agremiações sem expressão política, que podem atuar como ‘legendas de aluguel’, fraudando a representação, base do regime democrático.</w:t>
      </w:r>
    </w:p>
    <w:p>
      <w:pPr>
        <w:ind w:left="288"/>
      </w:pPr>
      <w:r>
        <w:rPr>
          <w:b/>
          <w:color w:val="003CA0"/>
          <w:sz w:val="16"/>
        </w:rPr>
        <w:t>[ADI 5.311, rel. min. Cármen Lúcia, j. 4-3-2020, P, DJE de 6-7-2020.]</w:t>
      </w:r>
    </w:p>
    <w:p>
      <w:pPr>
        <w:ind w:left="288"/>
      </w:pPr>
      <w:r>
        <w:rPr>
          <w:color w:val="8C8C8C"/>
          <w:sz w:val="12"/>
        </w:rPr>
        <w:t>cf-art-17-inc-I</w:t>
      </w:r>
      <w:r>
        <w:rPr>
          <w:color w:val="003CA0"/>
          <w:sz w:val="12"/>
        </w:rPr>
        <w:t xml:space="preserve"> | ADI 4.430</w:t>
      </w:r>
      <w:r>
        <w:rPr>
          <w:color w:val="003CA0"/>
          <w:sz w:val="12"/>
        </w:rPr>
        <w:t xml:space="preserve"> | rel. Dias Toffoli</w:t>
      </w:r>
    </w:p>
    <w:p>
      <w:pPr>
        <w:ind w:left="288"/>
      </w:pPr>
      <w:r>
        <w:rPr>
          <w:color w:val="1E1E1E"/>
          <w:sz w:val="18"/>
        </w:rPr>
        <w:t>O conteúdo do art. 45, § 6º, da Lei 9.504/1997 não afronta a exigência de observância do caráter nacional pelos partidos políticos, reforçando, ao contrário, as diretrizes de tal exigência constitucional, ao possibilitar ao partido político que se utilize, na propaganda eleitoral em âmbito regional, da imagem e da voz de candidato ou militante de partido político que integre a sua coligação em âmbito nacional. Cabe à Justiça Eleitoral ponderar sobre eventuais abusos e excessos na participação de figuras nacionais nas propagandas locais. A história dos partidos políticos no Brasil e a adoção do</w:t>
      </w:r>
    </w:p>
    <w:p>
      <w:pPr>
        <w:ind w:left="288"/>
      </w:pPr>
      <w:r>
        <w:rPr>
          <w:b/>
          <w:color w:val="003CA0"/>
          <w:sz w:val="16"/>
        </w:rPr>
        <w:t>[ADI 4.430, rel. min. Dias Toffoli, j. 29-6-2012, P, DJE de 19-9-2013.]</w:t>
      </w:r>
    </w:p>
    <w:p>
      <w:pPr>
        <w:ind w:left="288"/>
      </w:pPr>
      <w:r>
        <w:rPr>
          <w:color w:val="8C8C8C"/>
          <w:sz w:val="12"/>
        </w:rPr>
        <w:t>cf-art-17-inc-III</w:t>
      </w:r>
      <w:r>
        <w:rPr>
          <w:color w:val="003CA0"/>
          <w:sz w:val="12"/>
        </w:rPr>
        <w:t xml:space="preserve"> | ADI 7.677</w:t>
      </w:r>
      <w:r>
        <w:rPr>
          <w:color w:val="003CA0"/>
          <w:sz w:val="12"/>
        </w:rPr>
        <w:t xml:space="preserve"> | rel. Alexandre de Moraes</w:t>
      </w:r>
    </w:p>
    <w:p>
      <w:pPr>
        <w:ind w:left="288"/>
      </w:pPr>
      <w:r>
        <w:rPr>
          <w:color w:val="1E1E1E"/>
          <w:sz w:val="18"/>
        </w:rPr>
        <w:t>É constitucional a norma do TSE que condiciona a obtenção da certidão de quitação eleitoral à apresentação tempestiva das contas de campanha. A apresentação extemporânea das contas não afasta os efeitos da decisão judicial que reconheceu a sua não prestação. O impedimento de obter a quitação eleitoral até o término da legislatura é medida legítima e proporcional ao descumprimento do dever de prestar contas.</w:t>
      </w:r>
    </w:p>
    <w:p>
      <w:pPr>
        <w:ind w:left="288"/>
      </w:pPr>
      <w:r>
        <w:rPr>
          <w:b/>
          <w:color w:val="003CA0"/>
          <w:sz w:val="16"/>
        </w:rPr>
        <w:t>[ADI 7.677, rel. min. Alexandre de Moraes, j. 21.05.2025, P, DJE de 22.08.2025.]</w:t>
      </w:r>
    </w:p>
    <w:p>
      <w:pPr>
        <w:ind w:left="144"/>
      </w:pPr>
      <w:r>
        <w:rPr>
          <w:b/>
          <w:color w:val="B45A00"/>
          <w:sz w:val="16"/>
        </w:rPr>
        <w:t>CONTROLE CONCENTRADO</w:t>
      </w:r>
    </w:p>
    <w:p>
      <w:pPr>
        <w:ind w:left="288"/>
      </w:pPr>
      <w:r>
        <w:rPr>
          <w:color w:val="8C8C8C"/>
          <w:sz w:val="12"/>
        </w:rPr>
        <w:t>cf-art-17-inc-III</w:t>
      </w:r>
      <w:r>
        <w:rPr>
          <w:color w:val="003CA0"/>
          <w:sz w:val="12"/>
        </w:rPr>
        <w:t xml:space="preserve"> | ADI 4.899</w:t>
      </w:r>
      <w:r>
        <w:rPr>
          <w:color w:val="003CA0"/>
          <w:sz w:val="12"/>
        </w:rPr>
        <w:t xml:space="preserve"> | rel. Dias Toffoli</w:t>
      </w:r>
    </w:p>
    <w:p>
      <w:pPr>
        <w:ind w:left="288"/>
      </w:pPr>
      <w:r>
        <w:rPr>
          <w:color w:val="1E1E1E"/>
          <w:sz w:val="18"/>
        </w:rPr>
        <w:t>O dever de prestar contas à Justiça Eleitoral imposto aos partidos políticos, previsto no art. 17, inciso III, da Constituição Federal, decorre da necessidade de se averiguarem a origem e a destinação dos recursos financeiros movimentados por candidatos e partidos políticos, entidades cujo financiamento provém preponderantemente do Fundo Partidário e, atualmente, do Fundo Especial de Financiamento de Campanha (instituído pela Lei nº 13.487, de 6/10/17). Após alguma oscilação jurisprudencial, o legislador ordinário veio a disciplinar o instituto por meio da Lei nº 12.034/09, e, ao incluir o § 7</w:t>
      </w:r>
    </w:p>
    <w:p>
      <w:pPr>
        <w:ind w:left="288"/>
      </w:pPr>
      <w:r>
        <w:rPr>
          <w:color w:val="8C8C8C"/>
          <w:sz w:val="12"/>
        </w:rPr>
        <w:t>cf-art-17-inc-IV</w:t>
      </w:r>
      <w:r>
        <w:rPr>
          <w:color w:val="003CA0"/>
          <w:sz w:val="12"/>
        </w:rPr>
        <w:t xml:space="preserve"> | ADI 7.649</w:t>
      </w:r>
      <w:r>
        <w:rPr>
          <w:color w:val="003CA0"/>
          <w:sz w:val="12"/>
        </w:rPr>
        <w:t xml:space="preserve"> | rel. Edson Fachin</w:t>
      </w:r>
    </w:p>
    <w:p>
      <w:pPr>
        <w:ind w:left="288"/>
      </w:pPr>
      <w:r>
        <w:rPr>
          <w:color w:val="1E1E1E"/>
          <w:sz w:val="18"/>
        </w:rPr>
        <w:t>O art. 17, IV, da Constituição Federal assegura o funcionamento parlamentar dos partidos políticos “de acordo com a lei”, atribuindo ao legislador federal a tarefa de regulamentar o tema, o que foi feito no art. 12 da Lei nº 9.096/1995, ao remeter a disciplina à combinação entre estatuto partidário, regimentos internos das Casas Legislativas e a própria lei. A definição de critérios de representatividade mínima para formação de blocos e lideranças constitui matéria interna corporis, cuja regulamentação é de competência das próprias Casas Legislativas, respeitado o ordenamento constitucional. A</w:t>
      </w:r>
    </w:p>
    <w:p>
      <w:pPr>
        <w:ind w:left="288"/>
      </w:pPr>
      <w:r>
        <w:rPr>
          <w:b/>
          <w:color w:val="003CA0"/>
          <w:sz w:val="16"/>
        </w:rPr>
        <w:t>[ADI 7.649, rel. min. Edson Fachin, j. 25.08.2025, P, DJE de 08.09.2025.]</w:t>
      </w:r>
    </w:p>
    <w:p>
      <w:pPr>
        <w:ind w:left="288"/>
      </w:pPr>
      <w:r>
        <w:rPr>
          <w:color w:val="8C8C8C"/>
          <w:sz w:val="12"/>
        </w:rPr>
        <w:t>cf-art-17-inc-IV</w:t>
      </w:r>
      <w:r>
        <w:rPr>
          <w:color w:val="003CA0"/>
          <w:sz w:val="12"/>
        </w:rPr>
        <w:t xml:space="preserve"> | ADI 7.415</w:t>
      </w:r>
      <w:r>
        <w:rPr>
          <w:color w:val="003CA0"/>
          <w:sz w:val="12"/>
        </w:rPr>
        <w:t xml:space="preserve"> | rel. André Mendonça</w:t>
      </w:r>
    </w:p>
    <w:p>
      <w:pPr>
        <w:ind w:left="288"/>
      </w:pPr>
      <w:r>
        <w:rPr>
          <w:color w:val="1E1E1E"/>
          <w:sz w:val="18"/>
        </w:rPr>
        <w:t>§ 1º É assegurada aos partidos políticos autonomia para definir sua estrutura interna e estabelecer regras sobre escolha, formação e duração de seus órgãos permanentes e provisórios e sobre sua organização e funcionamento e para adotar os critérios de escolha e o regime de suas coligações nas eleições majoritárias, vedada a sua celebração nas eleições proporcionais, sem obrigatoriedade de vinculação entre as candidaturas em âmbito nacional, estadual, distrital ou municipal, devendo seus estatutos estabelecer normas de disciplina e fidelidade partidária. (Redação da EC n. 97/2017) O cerne da co</w:t>
      </w:r>
    </w:p>
    <w:p>
      <w:pPr>
        <w:ind w:left="288"/>
      </w:pPr>
      <w:r>
        <w:rPr>
          <w:b/>
          <w:color w:val="003CA0"/>
          <w:sz w:val="16"/>
        </w:rPr>
        <w:t>[ADI 7.415, rel. min. André Mendonça, j. 01.09.2025, P, DJE de 11.09.2025.]</w:t>
      </w:r>
    </w:p>
    <w:p>
      <w:pPr>
        <w:ind w:left="288"/>
      </w:pPr>
      <w:r>
        <w:rPr>
          <w:color w:val="8C8C8C"/>
          <w:sz w:val="12"/>
        </w:rPr>
        <w:t>cf-art-17-inc-IV</w:t>
      </w:r>
      <w:r>
        <w:rPr>
          <w:color w:val="003CA0"/>
          <w:sz w:val="12"/>
        </w:rPr>
        <w:t xml:space="preserve"> | ADI 7.021</w:t>
      </w:r>
      <w:r>
        <w:rPr>
          <w:color w:val="003CA0"/>
          <w:sz w:val="12"/>
        </w:rPr>
        <w:t xml:space="preserve"> | rel. Luís Roberto Barroso</w:t>
      </w:r>
    </w:p>
    <w:p>
      <w:pPr>
        <w:ind w:left="288"/>
      </w:pPr>
      <w:r>
        <w:rPr>
          <w:color w:val="1E1E1E"/>
          <w:sz w:val="18"/>
        </w:rPr>
        <w:t>“1. É constitucional a Lei nº 14.208/2021, que institui as federações partidárias, salvo quanto ao prazo para seu registro, que deverá ser o mesmo aplicável aos partidos políticos. Excepcionalmente, nas eleições de 2022, o prazo para constituição de federações partidárias foi estendido até 31 de maio do mesmo ano. 2. No caso das federações constituídas em 2022, admite-se que, nas eleições de 2026, os partidos que as integraram possam alterar sua composição ou formar nova federação antes do decurso do prazo de quatro anos, sem a incidência das sanções previstas no art. 11-A, § 4º, da Lei nº 9.0</w:t>
      </w:r>
    </w:p>
    <w:p>
      <w:pPr>
        <w:ind w:left="288"/>
      </w:pPr>
      <w:r>
        <w:rPr>
          <w:b/>
          <w:color w:val="003CA0"/>
          <w:sz w:val="16"/>
        </w:rPr>
        <w:t>[ADI 7.021, rel. min. Luís Roberto Barroso, j. 06.08.2025, P, DJE de 11.11.2025.]</w:t>
      </w:r>
    </w:p>
    <w:p>
      <w:pPr>
        <w:ind w:left="288"/>
      </w:pPr>
      <w:r>
        <w:rPr>
          <w:color w:val="8C8C8C"/>
          <w:sz w:val="12"/>
        </w:rPr>
        <w:t>cf-art-17-inc-IV</w:t>
      </w:r>
      <w:r>
        <w:rPr>
          <w:color w:val="003CA0"/>
          <w:sz w:val="12"/>
        </w:rPr>
        <w:t xml:space="preserve"> | ADI 5.875</w:t>
      </w:r>
      <w:r>
        <w:rPr>
          <w:color w:val="003CA0"/>
          <w:sz w:val="12"/>
        </w:rPr>
        <w:t xml:space="preserve"> | rel. Luiz Fux</w:t>
      </w:r>
    </w:p>
    <w:p>
      <w:pPr>
        <w:ind w:left="288"/>
      </w:pPr>
      <w:r>
        <w:rPr>
          <w:color w:val="1E1E1E"/>
          <w:sz w:val="18"/>
        </w:rPr>
        <w:t xml:space="preserve">Impõe-se a exclusão do sistema de interpretação do §1º do art. 17 da CF (redação da EC nº 97/2017) que permita aos partidos políticos estabelecerem por tempo indeterminado e excessivo o prazo de duração de seus órgãos provisórios, sob pena de ofensa aos princípios democrático e republicano, que impõem a alternância de poder. (...) interpretação conforme à Constituição à expressão “duração de seus órgãos (...) provisórios”, constante do §1º do art. 17 da CF (com a redação dada pela EC nº 97/2017), para: (i) definir que os órgãos partidários provisórios possuem prazo máximo de vigência de até 4 </w:t>
      </w:r>
    </w:p>
    <w:p>
      <w:pPr>
        <w:ind w:left="288"/>
      </w:pPr>
      <w:r>
        <w:rPr>
          <w:b/>
          <w:color w:val="003CA0"/>
          <w:sz w:val="16"/>
        </w:rPr>
        <w:t>[ADI 5.875, rel. min. Luiz Fux, j. 28.05.2025, P, DJE de 28.08.2025.]</w:t>
      </w:r>
    </w:p>
    <w:p>
      <w:pPr>
        <w:ind w:left="288"/>
      </w:pPr>
      <w:r>
        <w:rPr>
          <w:color w:val="8C8C8C"/>
          <w:sz w:val="12"/>
        </w:rPr>
        <w:t>cf-art-17-inc-IV</w:t>
      </w:r>
      <w:r>
        <w:rPr>
          <w:color w:val="003CA0"/>
          <w:sz w:val="12"/>
        </w:rPr>
        <w:t xml:space="preserve"> | ADI 7.214</w:t>
      </w:r>
      <w:r>
        <w:rPr>
          <w:color w:val="003CA0"/>
          <w:sz w:val="12"/>
        </w:rPr>
        <w:t xml:space="preserve"> | rel. Ricardo Lewandowski</w:t>
      </w:r>
    </w:p>
    <w:p>
      <w:pPr>
        <w:ind w:left="288"/>
      </w:pPr>
      <w:r>
        <w:rPr>
          <w:color w:val="1E1E1E"/>
          <w:sz w:val="18"/>
        </w:rPr>
        <w:t>Os arts. 17, § 2°, I, II; e 19, § 7°, I, II, da Resolução TSE 23.607/2019 não vedaram o repasse de recursos do Fundo Especial de Financiamento de Campanha – FEFC e do Fundo Partidário aos partidos coligados, de modo a limitar a sua autonomia. O montante do FEFC e do Fundo Partidário a serem repartidos entre as agremiações políticas são definidos pelo critério de representatividade destas no Congresso Nacional, com base no § 3° do art. 17 da Constituição, não se afigurando razoável, por corolário lógico, permitir o repasse a candidatos de partidos distintos não pertencentes à mesma coligação. A</w:t>
      </w:r>
    </w:p>
    <w:p>
      <w:pPr>
        <w:ind w:left="288"/>
      </w:pPr>
      <w:r>
        <w:rPr>
          <w:b/>
          <w:color w:val="003CA0"/>
          <w:sz w:val="16"/>
        </w:rPr>
        <w:t>[ADI 7.214, rel. min. Ricardo Lewandowski, j. 3-10-2022, P, DJE de 5-10-2022.]</w:t>
      </w:r>
    </w:p>
    <w:p>
      <w:pPr>
        <w:ind w:left="288"/>
      </w:pPr>
      <w:r>
        <w:rPr>
          <w:color w:val="8C8C8C"/>
          <w:sz w:val="12"/>
        </w:rPr>
        <w:t>cf-art-17-inc-IV</w:t>
      </w:r>
      <w:r>
        <w:rPr>
          <w:color w:val="003CA0"/>
          <w:sz w:val="12"/>
        </w:rPr>
        <w:t xml:space="preserve"> | ADI 6.230</w:t>
      </w:r>
      <w:r>
        <w:rPr>
          <w:color w:val="003CA0"/>
          <w:sz w:val="12"/>
        </w:rPr>
        <w:t xml:space="preserve"> | rel. Ricardo Lewandowski</w:t>
      </w:r>
    </w:p>
    <w:p>
      <w:pPr>
        <w:ind w:left="288"/>
      </w:pPr>
      <w:r>
        <w:rPr>
          <w:color w:val="1E1E1E"/>
          <w:sz w:val="18"/>
        </w:rPr>
        <w:t>Concessão de interpretação conforme à Constituição ao § 2º do art. 3º da Lei 9.096/1995, na redação dada pela Lei 13.831/2019, para assentar que os partidos políticos podem, no exercício de sua autonomia constitucional, estabelecer a duração dos mandatos de seus dirigentes desde que compatível com o princípio republicano da alternância do poder concretizado por meio da realização de eleições periódicas em prazo razoável. Inconstitucionalidade do art. 3º, § 3º, da Lei 9.096/1995, na redação dada pela Lei 13.831/2019, ao fixar o prazo de duração de até 8 (oito) anos das comissões provisórias. Pe</w:t>
      </w:r>
    </w:p>
    <w:p>
      <w:pPr>
        <w:ind w:left="288"/>
      </w:pPr>
      <w:r>
        <w:rPr>
          <w:b/>
          <w:color w:val="003CA0"/>
          <w:sz w:val="16"/>
        </w:rPr>
        <w:t>[ADI 6.230, rel. min. Ricardo Lewandowski, j. 8-8-2022, P, DJE de 16-8-2022.]</w:t>
      </w:r>
    </w:p>
    <w:p>
      <w:pPr>
        <w:ind w:left="288"/>
      </w:pPr>
      <w:r>
        <w:rPr>
          <w:color w:val="8C8C8C"/>
          <w:sz w:val="12"/>
        </w:rPr>
        <w:t>cf-art-17-inc-IV</w:t>
      </w:r>
      <w:r>
        <w:rPr>
          <w:color w:val="003CA0"/>
          <w:sz w:val="12"/>
        </w:rPr>
        <w:t xml:space="preserve"> | ADI 7.021</w:t>
      </w:r>
      <w:r>
        <w:rPr>
          <w:color w:val="003CA0"/>
          <w:sz w:val="12"/>
        </w:rPr>
        <w:t xml:space="preserve"> | rel. Roberto Barroso</w:t>
      </w:r>
    </w:p>
    <w:p>
      <w:pPr>
        <w:ind w:left="288"/>
      </w:pPr>
      <w:r>
        <w:rPr>
          <w:color w:val="1E1E1E"/>
          <w:sz w:val="18"/>
        </w:rPr>
        <w:t>A lei questionada – Lei 14.208/2021 – alterou a redação da Lei 9.096/1995, criando o instituto da federação partidária. Essa nova figura permite a união entre partidos políticos, inclusive para concorrerem em eleições proporcionais (para deputado federal, estadual e vereador). (...) A federação partidária possui importantes pontos de distinção em relação às coligações, que em boa hora foram proibidas. As coligações consistiam na reunião puramente circunstancial de partidos, para fins eleitorais, sem qualquer compromisso de alinhamento programático. Tal fato permitia, por exemplo, que o voto do</w:t>
      </w:r>
    </w:p>
    <w:p>
      <w:pPr>
        <w:ind w:left="288"/>
      </w:pPr>
      <w:r>
        <w:rPr>
          <w:b/>
          <w:color w:val="003CA0"/>
          <w:sz w:val="16"/>
        </w:rPr>
        <w:t>[ADI 7.021 MC-Ref, rel. min. Roberto Barroso, j. 9-2-2022, P, DJE de 17-5-2022.]</w:t>
      </w:r>
    </w:p>
    <w:p>
      <w:pPr>
        <w:ind w:left="288"/>
      </w:pPr>
      <w:r>
        <w:rPr>
          <w:color w:val="8C8C8C"/>
          <w:sz w:val="12"/>
        </w:rPr>
        <w:t>cf-art-17-inc-IV</w:t>
      </w:r>
      <w:r>
        <w:rPr>
          <w:color w:val="003CA0"/>
          <w:sz w:val="12"/>
        </w:rPr>
        <w:t xml:space="preserve"> | ADI 2.530</w:t>
      </w:r>
      <w:r>
        <w:rPr>
          <w:color w:val="003CA0"/>
          <w:sz w:val="12"/>
        </w:rPr>
        <w:t xml:space="preserve"> | rel. Nunes Marques</w:t>
      </w:r>
    </w:p>
    <w:p>
      <w:pPr>
        <w:ind w:left="288"/>
      </w:pPr>
      <w:r>
        <w:rPr>
          <w:color w:val="1E1E1E"/>
          <w:sz w:val="18"/>
        </w:rPr>
        <w:t>Conquanto tenham sido feitas modificações no art. 17, § 1º, da Constituição Federal, por meio da Emenda Constitucional n. 97/2017, manteve-se a plena eficácia da essência do parâmetro constitucional invocado (autonomia partidária). A “candidatura nata”, prevista no art. 8º, § 1º, da Lei n. 9.504/1997, é incompatível com a Constituição Federal, tanto por violar a isonomia entre os postulantes a cargos eletivos quanto por atingir o âmago da autonomia partidária. A criação desse instituto ocorreu nos anos 1970 e teve o nítido propósito de proteger os titulares de mandatos parlamentares contra riv</w:t>
      </w:r>
    </w:p>
    <w:p>
      <w:pPr>
        <w:ind w:left="288"/>
      </w:pPr>
      <w:r>
        <w:rPr>
          <w:b/>
          <w:color w:val="003CA0"/>
          <w:sz w:val="16"/>
        </w:rPr>
        <w:t>[ADI 2.530, rel. min. Nunes Marques, j. 18-8-2021, P, DJE de 6-12-2021.]</w:t>
      </w:r>
    </w:p>
    <w:p>
      <w:pPr>
        <w:ind w:left="288"/>
      </w:pPr>
      <w:r>
        <w:rPr>
          <w:color w:val="8C8C8C"/>
          <w:sz w:val="12"/>
        </w:rPr>
        <w:t>cf-art-17-inc-IV</w:t>
      </w:r>
      <w:r>
        <w:rPr>
          <w:color w:val="003CA0"/>
          <w:sz w:val="12"/>
        </w:rPr>
        <w:t xml:space="preserve"> | ADI 5.617</w:t>
      </w:r>
      <w:r>
        <w:rPr>
          <w:color w:val="003CA0"/>
          <w:sz w:val="12"/>
        </w:rPr>
        <w:t xml:space="preserve"> | rel. Edson Fachin</w:t>
      </w:r>
    </w:p>
    <w:p>
      <w:pPr>
        <w:ind w:left="288"/>
      </w:pPr>
      <w:r>
        <w:rPr>
          <w:color w:val="1E1E1E"/>
          <w:sz w:val="18"/>
        </w:rPr>
        <w:t>Art. 9º da Lei 13.165/2015. Fixação de piso (5%) e de teto (15%) do montante do fundo partidário destinado ao financimento das campanhas eleitorais para a aplicação nas campanhas de candidatas. (...) A autonomia partidária não consagra regra que exima o partido do respeito incondicional aos direitos fundamentais, pois é precisamente na artificiosa segmentação entre o público e o privado que reside a principal forma de discriminação das mulheres. Ação direta julgada procedente para: (i) declarar a inconstitucionalidade da expressão ‘três’ contida no art. 9º da Lei 13.165/2015; (ii) dar interpre</w:t>
      </w:r>
    </w:p>
    <w:p>
      <w:pPr>
        <w:ind w:left="288"/>
      </w:pPr>
      <w:r>
        <w:rPr>
          <w:b/>
          <w:color w:val="003CA0"/>
          <w:sz w:val="16"/>
        </w:rPr>
        <w:t>[ADI 5.617, rel. min. Edson Fachin, j. 15-3-2018, P, DJE de 3-10-2018.]</w:t>
      </w:r>
    </w:p>
    <w:p>
      <w:pPr>
        <w:ind w:left="288"/>
      </w:pPr>
      <w:r>
        <w:rPr>
          <w:color w:val="8C8C8C"/>
          <w:sz w:val="12"/>
        </w:rPr>
        <w:t>cf-art-17-inc-IV</w:t>
      </w:r>
      <w:r>
        <w:rPr>
          <w:color w:val="003CA0"/>
          <w:sz w:val="12"/>
        </w:rPr>
        <w:t xml:space="preserve"> | MS 26.602</w:t>
      </w:r>
      <w:r>
        <w:rPr>
          <w:color w:val="003CA0"/>
          <w:sz w:val="12"/>
        </w:rPr>
        <w:t xml:space="preserve"> | rel. Roberto Barroso</w:t>
      </w:r>
    </w:p>
    <w:p>
      <w:pPr>
        <w:ind w:left="288"/>
      </w:pPr>
      <w:r>
        <w:rPr>
          <w:color w:val="1E1E1E"/>
          <w:sz w:val="18"/>
        </w:rPr>
        <w:t>Inaplicabilidade da regra de perda do mandato por infidelidade partidária ao sistema eleitoral majoritário. (...) As decisões no MS 26.602, no MS 26.603 e no MS 26.604 tiveram como pano de fundo o sistema proporcional, que é adotado para a eleição de deputados federais, estaduais e vereadores. As características do sistema proporcional, com sua ênfase nos votos obtidos pelos partidos, tornam a fidelidade partidária importante para garantir que as opções políticas feitas pelo eleitor no momento da eleição sejam minimamente preservadas. Daí a legitimidade de se decretar a perda do mandato do can</w:t>
      </w:r>
    </w:p>
    <w:p>
      <w:pPr>
        <w:ind w:left="288"/>
      </w:pPr>
      <w:r>
        <w:rPr>
          <w:b/>
          <w:color w:val="003CA0"/>
          <w:sz w:val="16"/>
        </w:rPr>
        <w:t>[ADI 5.081, rel. min. Roberto Barroso, j. 27-5-2015, P, DJE de 19-8-2015.]</w:t>
        <w:br/>
        <w:t>Vide MS 26.604, rel. min. Cármen Lúcia, j. 4-10-2007, P, DJE de 3-10-2008</w:t>
      </w:r>
    </w:p>
    <w:p>
      <w:pPr>
        <w:ind w:left="288"/>
      </w:pPr>
      <w:r>
        <w:rPr>
          <w:color w:val="8C8C8C"/>
          <w:sz w:val="12"/>
        </w:rPr>
        <w:t>cf-art-17-inc-IV</w:t>
      </w:r>
      <w:r>
        <w:rPr>
          <w:color w:val="003CA0"/>
          <w:sz w:val="12"/>
        </w:rPr>
        <w:t xml:space="preserve"> | MS 26.602</w:t>
      </w:r>
      <w:r>
        <w:rPr>
          <w:color w:val="003CA0"/>
          <w:sz w:val="12"/>
        </w:rPr>
        <w:t xml:space="preserve"> | rel. Joaquim Barbosa</w:t>
      </w:r>
    </w:p>
    <w:p>
      <w:pPr>
        <w:ind w:left="288"/>
      </w:pPr>
      <w:r>
        <w:rPr>
          <w:color w:val="1E1E1E"/>
          <w:sz w:val="18"/>
        </w:rPr>
        <w:t>Fidelidade partidária. Ação direta de inconstitucionalidade ajuizada contra as Resoluções 22.610/2007 e 22.733/2008, que disciplinam a perda do cargo eletivo e o processo de justificação da desfiliação partidária. (...) O STF, por ocasião do julgamento dos MS 26.602, MS 26.603 e MS 26.604, reconheceu a existência do dever constitucional de observância do princípio da fidelidade partidária. (...) Não faria sentido a Corte reconhecer a existência de um direito constitucional sem prever um instrumento para assegurá-lo. As resoluções impugnadas surgem em contexto excepcional e transitório, tão som</w:t>
      </w:r>
    </w:p>
    <w:p>
      <w:pPr>
        <w:ind w:left="144"/>
      </w:pPr>
      <w:r>
        <w:rPr>
          <w:b/>
          <w:color w:val="B45A00"/>
          <w:sz w:val="16"/>
        </w:rPr>
        <w:t>JULGADOS CORRELATOS</w:t>
      </w:r>
    </w:p>
    <w:p>
      <w:pPr>
        <w:ind w:left="288"/>
      </w:pPr>
      <w:r>
        <w:rPr>
          <w:color w:val="8C8C8C"/>
          <w:sz w:val="12"/>
        </w:rPr>
        <w:t>cf-art-17-inc-IV</w:t>
      </w:r>
      <w:r>
        <w:rPr>
          <w:color w:val="003CA0"/>
          <w:sz w:val="12"/>
        </w:rPr>
        <w:t xml:space="preserve"> | MS 27.938</w:t>
      </w:r>
      <w:r>
        <w:rPr>
          <w:color w:val="003CA0"/>
          <w:sz w:val="12"/>
        </w:rPr>
        <w:t xml:space="preserve"> | rel. Joaquim Barbosa</w:t>
      </w:r>
    </w:p>
    <w:p>
      <w:pPr>
        <w:ind w:left="288"/>
      </w:pPr>
      <w:r>
        <w:rPr>
          <w:color w:val="1E1E1E"/>
          <w:sz w:val="18"/>
        </w:rPr>
        <w:t>O reconhecimento da justa causa para transferência de partido político afasta a perda do mandato eletivo por infidelidade partidária. Contudo, ela não transfere ao novo partido o direito de sucessão à vaga.</w:t>
        <w:br/>
        <w:t>[MS 27.938, rel. min. Joaquim Barbosa, j. 11-3-2010, P, DJE de 30-4-2010.]</w:t>
        <w:br/>
        <w:t>Vide MS 26.604, rel. min. Cármen Lúcia, j. 4-10-2007, P, DJE de 3-10-2008 Mandado de segurança contra ato do presidente da Câmara dos Deputados. Vacância dos cargos de deputado federal dos litisconsortes passivos, deputados federais eleitos pelo partido impetrante e transferidos, por vontade própria, para outra agrem</w:t>
      </w:r>
    </w:p>
    <w:p>
      <w:pPr>
        <w:ind w:left="288"/>
      </w:pPr>
      <w:r>
        <w:rPr>
          <w:color w:val="8C8C8C"/>
          <w:sz w:val="12"/>
        </w:rPr>
        <w:t>cf-art-17-par-2</w:t>
      </w:r>
      <w:r>
        <w:rPr>
          <w:color w:val="003CA0"/>
          <w:sz w:val="12"/>
        </w:rPr>
        <w:t xml:space="preserve"> | RE 164.458</w:t>
      </w:r>
      <w:r>
        <w:rPr>
          <w:color w:val="003CA0"/>
          <w:sz w:val="12"/>
        </w:rPr>
        <w:t xml:space="preserve"> | rel. Celso de Mello</w:t>
      </w:r>
    </w:p>
    <w:p>
      <w:pPr>
        <w:ind w:left="288"/>
      </w:pPr>
      <w:r>
        <w:rPr>
          <w:color w:val="1E1E1E"/>
          <w:sz w:val="18"/>
        </w:rPr>
        <w:t>O procedimento de registro partidário, embora formalmente instaurado perante órgão do Poder Judiciário (TSE), reveste-se de natureza materialmente administrativa. Destina-se a permitir ao TSE a verificação dos requisitos constitucionais e legais que, atendidos pelo partido político, legitimarão a outorga de plena capacidade jurídico-eleitoral à agremiação partidária interessada. A natureza jurídico-administrativa do procedimento de registro partidário impede que este se qualifique como causa para efeito de impugnação, pela via recursal extraordinária, da decisão nele proferida.</w:t>
      </w:r>
    </w:p>
    <w:p>
      <w:pPr>
        <w:ind w:left="288"/>
      </w:pPr>
      <w:r>
        <w:rPr>
          <w:b/>
          <w:color w:val="003CA0"/>
          <w:sz w:val="16"/>
        </w:rPr>
        <w:t>[RE 164.458 AgR, rel. min. Celso de Mello, j. 27-4-1995, P, DJ de 2-6-1995.]</w:t>
      </w:r>
    </w:p>
    <w:p>
      <w:pPr>
        <w:ind w:left="288"/>
      </w:pPr>
      <w:r>
        <w:rPr>
          <w:color w:val="8C8C8C"/>
          <w:sz w:val="12"/>
        </w:rPr>
        <w:t>cf-art-17-par-3</w:t>
      </w:r>
      <w:r>
        <w:rPr>
          <w:color w:val="003CA0"/>
          <w:sz w:val="12"/>
        </w:rPr>
        <w:t xml:space="preserve"> | ADPF 1.017</w:t>
      </w:r>
      <w:r>
        <w:rPr>
          <w:color w:val="003CA0"/>
          <w:sz w:val="12"/>
        </w:rPr>
        <w:t xml:space="preserve"> | rel. Gilmar Mendes</w:t>
      </w:r>
    </w:p>
    <w:p>
      <w:pPr>
        <w:ind w:left="288"/>
      </w:pPr>
      <w:r>
        <w:rPr>
          <w:color w:val="1E1E1E"/>
          <w:sz w:val="18"/>
        </w:rPr>
        <w:t xml:space="preserve">O emprego de instrumento como a penhora pelo Estado-juiz, no curso das campanhas eleitorais, em face dos partidos políticos e das candidaturas, tem elevado potencial de transgredir o dever de neutralidade e, em consequência, violar a paridade de armas e a liberdade de voto. Consoante previsto no art. 833, XI, do Código de Processo Civil, como regra geral, os recursos provenientes do fundo partidário repassados aos partidos políticos são impenhoráveis. Essa hipótese de impenhorabilidade ganha ainda maior significado no curso de campanhas eleitorais em face da imprescindibilidade de verbas para </w:t>
      </w:r>
    </w:p>
    <w:p>
      <w:pPr>
        <w:ind w:left="288"/>
      </w:pPr>
      <w:r>
        <w:rPr>
          <w:b/>
          <w:color w:val="003CA0"/>
          <w:sz w:val="16"/>
        </w:rPr>
        <w:t>[ADPF 1.017 TPI-REF, rel. min. Gilmar Mendes, j. 01.09.2025, P, DJE de 08.09.2025.]</w:t>
      </w:r>
    </w:p>
    <w:p>
      <w:pPr>
        <w:ind w:left="144"/>
      </w:pPr>
      <w:r>
        <w:rPr>
          <w:b/>
          <w:color w:val="B45A00"/>
          <w:sz w:val="16"/>
        </w:rPr>
        <w:t>CONTROLE CONCENTRADO</w:t>
      </w:r>
    </w:p>
    <w:p>
      <w:pPr>
        <w:ind w:left="288"/>
      </w:pPr>
      <w:r>
        <w:rPr>
          <w:color w:val="8C8C8C"/>
          <w:sz w:val="12"/>
        </w:rPr>
        <w:t>cf-art-17-par-3</w:t>
      </w:r>
      <w:r>
        <w:rPr>
          <w:color w:val="003CA0"/>
          <w:sz w:val="12"/>
        </w:rPr>
        <w:t xml:space="preserve"> | ADI 7.214</w:t>
      </w:r>
      <w:r>
        <w:rPr>
          <w:color w:val="003CA0"/>
          <w:sz w:val="12"/>
        </w:rPr>
        <w:t xml:space="preserve"> | rel. Ricardo Lewandowski</w:t>
      </w:r>
    </w:p>
    <w:p>
      <w:pPr>
        <w:ind w:left="288"/>
      </w:pPr>
      <w:r>
        <w:rPr>
          <w:color w:val="1E1E1E"/>
          <w:sz w:val="18"/>
        </w:rPr>
        <w:t>Os arts. 17, § 2°, I, II; e 19, § 7°, I, II, da Resolução TSE 23.607/2019 não vedaram o repasse de recursos do Fundo Especial de Financiamento de Campanha – FEFC e do Fundo Partidário aos partidos coligados, de modo a limitar a sua autonomia. O montante do FEFC e do Fundo Partidário a serem repartidos entre as agremiações políticas são definidos pelo critério de representatividade destas no Congresso Nacional, com base no § 3° do art. 17 da Constituição, não se afigurando razoável, por corolário lógico, permitir o repasse a candidatos de partidos distintos não pertencentes à mesma coligação. A</w:t>
      </w:r>
    </w:p>
    <w:p>
      <w:pPr>
        <w:ind w:left="288"/>
      </w:pPr>
      <w:r>
        <w:rPr>
          <w:b/>
          <w:color w:val="003CA0"/>
          <w:sz w:val="16"/>
        </w:rPr>
        <w:t>[ADI 7.214, rel. min. Ricardo Lewandowski, j. 3-10-2022, P, DJE de 5-10-2022.]</w:t>
      </w:r>
    </w:p>
    <w:p>
      <w:pPr>
        <w:ind w:left="288"/>
      </w:pPr>
      <w:r>
        <w:rPr>
          <w:color w:val="8C8C8C"/>
          <w:sz w:val="12"/>
        </w:rPr>
        <w:t>cf-art-17-par-3</w:t>
      </w:r>
      <w:r>
        <w:rPr>
          <w:color w:val="003CA0"/>
          <w:sz w:val="12"/>
        </w:rPr>
        <w:t xml:space="preserve"> | ADI 5.795</w:t>
      </w:r>
      <w:r>
        <w:rPr>
          <w:color w:val="003CA0"/>
          <w:sz w:val="12"/>
        </w:rPr>
        <w:t xml:space="preserve"> | rel. Rosa Weber</w:t>
      </w:r>
    </w:p>
    <w:p>
      <w:pPr>
        <w:ind w:left="288"/>
      </w:pPr>
      <w:r>
        <w:rPr>
          <w:color w:val="1E1E1E"/>
          <w:sz w:val="18"/>
        </w:rPr>
        <w:t>O Fundo Eleitoral de Financiamento de Campanha (FEFC), a teor do art. 16-C, caput, da Lei 9.504/1997, incluído pela Lei 13.487/2017, consubstancia um fundo constituído apenas em anos eleitorais, para o qual é destinado parcela do orçamento da União Federal, com objetivo, exclusivo, de financiar, com recursos públicos, as campanhas eleitorais. Inexiste, na Constituição da República, qualquer norma que estabeleça a exclusividade do Fundo Partidário e impeça a criação de novos fundos destinados ao financiamento de partidos políticos e de campanhas eleitorais, tampouco há norma impondo que essa te</w:t>
      </w:r>
    </w:p>
    <w:p>
      <w:pPr>
        <w:ind w:left="288"/>
      </w:pPr>
      <w:r>
        <w:rPr>
          <w:b/>
          <w:color w:val="003CA0"/>
          <w:sz w:val="16"/>
        </w:rPr>
        <w:t>[ADI 5.795 MC, rel. min. Rosa Weber, j. 22-8-2022, P, DJE de 29-8-2022.]</w:t>
      </w:r>
    </w:p>
    <w:p>
      <w:pPr>
        <w:ind w:left="288"/>
      </w:pPr>
      <w:r>
        <w:rPr>
          <w:color w:val="8C8C8C"/>
          <w:sz w:val="12"/>
        </w:rPr>
        <w:t>cf-art-17-par-3</w:t>
      </w:r>
      <w:r>
        <w:rPr>
          <w:color w:val="003CA0"/>
          <w:sz w:val="12"/>
        </w:rPr>
        <w:t xml:space="preserve"> | ADI 5.487</w:t>
      </w:r>
    </w:p>
    <w:p>
      <w:pPr>
        <w:ind w:left="288"/>
      </w:pPr>
      <w:r>
        <w:rPr>
          <w:color w:val="1E1E1E"/>
          <w:sz w:val="18"/>
        </w:rPr>
        <w:t>As emissoras de tv e rádio têm a faculdade de realizar debates eleitorais. Optando, no entanto, por promovê-los, têm de obedecer a diretrizes mínimas fixadas em lei, com a finalidade de assegurar (i) o pluralismo político (democracia), (ii) a paridade de armas entre os candidatos na disputa eleitoral (isonomia), e (iii) o direito à informação dos eleitores (liberdade de expressão). (...) Em relação à definição dos participantes dos debates, é válida a fixação, por lei, de um critério objetivo que conceda a parcela dos candidatos (os "candidatos aptos") direito subjetivo à participação nos deba</w:t>
      </w:r>
    </w:p>
    <w:p>
      <w:pPr>
        <w:ind w:left="288"/>
      </w:pPr>
      <w:r>
        <w:rPr>
          <w:b/>
          <w:color w:val="003CA0"/>
          <w:sz w:val="16"/>
        </w:rPr>
        <w:t>[ADI 5.487, red. do ac. min. Roberto Barroso, j. 25-8-2016, P, DJE de 19-12-2017.]</w:t>
      </w:r>
    </w:p>
    <w:p>
      <w:pPr>
        <w:ind w:left="288"/>
      </w:pPr>
      <w:r>
        <w:rPr>
          <w:color w:val="8C8C8C"/>
          <w:sz w:val="12"/>
        </w:rPr>
        <w:t>cf-art-17-par-3</w:t>
      </w:r>
      <w:r>
        <w:rPr>
          <w:color w:val="003CA0"/>
          <w:sz w:val="12"/>
        </w:rPr>
        <w:t xml:space="preserve"> | ADI 5.488</w:t>
      </w:r>
      <w:r>
        <w:rPr>
          <w:color w:val="003CA0"/>
          <w:sz w:val="12"/>
        </w:rPr>
        <w:t xml:space="preserve"> | rel. Dias Toffoli</w:t>
      </w:r>
    </w:p>
    <w:p>
      <w:pPr>
        <w:ind w:left="288"/>
      </w:pPr>
      <w:r>
        <w:rPr>
          <w:color w:val="1E1E1E"/>
          <w:sz w:val="18"/>
        </w:rPr>
        <w:t>= ADI 5.488, rel. min. Dias Toffoli, j. 31-8-2016, P, DJE de 19-12-2017 O art. 46, caput, da Lei 9.504/1997 assegura a participação, nos debates eleitorais, dos candidatos dos partidos políticos com mais de nove representantes na Câmara dos Deputados. Critério razoável de aferição da representatividade do partido, pois não obsta a participação nos debates de legendas com menor representatividade, a qual ainda é facultada, a critério das emissoras de rádio e televisão. O direito de participação em debates eleitorais - diferentemente da propaganda eleitoral gratuita no rádio e na televisão - não</w:t>
      </w:r>
    </w:p>
    <w:p>
      <w:pPr>
        <w:ind w:left="288"/>
      </w:pPr>
      <w:r>
        <w:rPr>
          <w:b/>
          <w:color w:val="003CA0"/>
          <w:sz w:val="16"/>
        </w:rPr>
        <w:t>[ADI 5.423, rel. min. Dias Toffoli, j. 25-8-2016, P, DJE de 19-12-2017.</w:t>
      </w:r>
    </w:p>
    <w:p>
      <w:pPr>
        <w:ind w:left="288"/>
      </w:pPr>
      <w:r>
        <w:rPr>
          <w:color w:val="8C8C8C"/>
          <w:sz w:val="12"/>
        </w:rPr>
        <w:t>cf-art-17-par-3</w:t>
      </w:r>
      <w:r>
        <w:rPr>
          <w:color w:val="003CA0"/>
          <w:sz w:val="12"/>
        </w:rPr>
        <w:t xml:space="preserve"> | ADI 7.698</w:t>
      </w:r>
      <w:r>
        <w:rPr>
          <w:color w:val="003CA0"/>
          <w:sz w:val="12"/>
        </w:rPr>
        <w:t xml:space="preserve"> | rel. Gilmar Mendes</w:t>
      </w:r>
    </w:p>
    <w:p>
      <w:pPr>
        <w:ind w:left="288"/>
      </w:pPr>
      <w:r>
        <w:rPr>
          <w:color w:val="1E1E1E"/>
          <w:sz w:val="18"/>
        </w:rPr>
        <w:t>Vide ADI 7.698, rel. min. Gilmar Mendes, j. 24.02.2025, P, DJE de 06.03.2025 Art. 47, § 2º, da Lei 9.504/1997 (Lei das Eleições), com a redação da Lei 13.165/2015. (...) Os incisos I e II do § 2º do art. 47 da Lei 9.504/1997, em consonância com a cláusula democrática e com o sistema proporcional, estabelecem regra de equidade, resguardando o direito de acesso à propaganda eleitoral das minorias partidárias e pondo em situação de benefício não odioso aquelas agremiações mais lastreadas na legitimidade popular. O tempo outorgado proporcionalmente à representatividade, embora dividido de forma di</w:t>
      </w:r>
    </w:p>
    <w:p>
      <w:pPr>
        <w:ind w:left="288"/>
      </w:pPr>
      <w:r>
        <w:rPr>
          <w:b/>
          <w:color w:val="003CA0"/>
          <w:sz w:val="16"/>
        </w:rPr>
        <w:t>[ADI 2.677 MC, rel. min. Maurício Corrêa, j. 26-6-2002, P, DJ de 7-11-2003.]</w:t>
      </w:r>
    </w:p>
    <w:p>
      <w:pPr>
        <w:ind w:left="288"/>
      </w:pPr>
      <w:r>
        <w:rPr>
          <w:color w:val="8C8C8C"/>
          <w:sz w:val="12"/>
        </w:rPr>
        <w:t>cf-art-17-par-3</w:t>
      </w:r>
      <w:r>
        <w:rPr>
          <w:color w:val="003CA0"/>
          <w:sz w:val="12"/>
        </w:rPr>
        <w:t xml:space="preserve"> | ADI 2.306</w:t>
      </w:r>
      <w:r>
        <w:rPr>
          <w:color w:val="003CA0"/>
          <w:sz w:val="12"/>
        </w:rPr>
        <w:t xml:space="preserve"> | rel. Ellen Gracie</w:t>
      </w:r>
    </w:p>
    <w:p>
      <w:pPr>
        <w:ind w:left="288"/>
      </w:pPr>
      <w:r>
        <w:rPr>
          <w:color w:val="1E1E1E"/>
          <w:sz w:val="18"/>
        </w:rPr>
        <w:t>Inexistência de ofensa ao direito adquirido (CF, art. 5º, XXXVI) dos partidos políticos em relação aos valores correspondentes às multas objeto da anistia. Às agremiações partidárias corresponde mera expectativa de direito de receberem parcelas do Fundo Partidário.</w:t>
        <w:br/>
        <w:t>[ADI 2.306, rel. min. Ellen Gracie, j. 21-3-2002, P, DJ de 31-10-2002.] O horário eleitoral gratuito não tem sede constitucional. Ele é a cada ano eleitoral uma criação do legislador ordinário, que tem autoridade para estabelecer os critérios de utilização dessa gratuidade, cujo objetivo maior é igualizar, por métodos ponderados, as</w:t>
      </w:r>
    </w:p>
    <w:p>
      <w:pPr>
        <w:ind w:left="288"/>
      </w:pPr>
      <w:r>
        <w:rPr>
          <w:color w:val="8C8C8C"/>
          <w:sz w:val="12"/>
        </w:rPr>
        <w:t>cf-art-17-par-4</w:t>
      </w:r>
    </w:p>
    <w:p>
      <w:pPr>
        <w:ind w:left="288"/>
      </w:pPr>
      <w:r>
        <w:rPr>
          <w:color w:val="1E1E1E"/>
          <w:sz w:val="18"/>
        </w:rPr>
        <w:t>Parágrafo único. Todo brasileiro em situação de vulnerabilidade social terá direito a uma renda básica familiar, garantida pelo poder público em programa permanente de transferência de renda, cujas normas e requisitos de acesso serão determinados em lei, observada a legislação fiscal e orçamentária. (Incluído pela EC n. 114/2021)</w:t>
      </w:r>
    </w:p>
    <w:p>
      <w:pPr>
        <w:ind w:left="288"/>
      </w:pPr>
      <w:r>
        <w:rPr>
          <w:color w:val="8C8C8C"/>
          <w:sz w:val="12"/>
        </w:rPr>
        <w:t>cf-art-17-par-4</w:t>
      </w:r>
      <w:r>
        <w:rPr>
          <w:color w:val="003CA0"/>
          <w:sz w:val="12"/>
        </w:rPr>
        <w:t xml:space="preserve"> | ADI 7.223</w:t>
      </w:r>
      <w:r>
        <w:rPr>
          <w:color w:val="003CA0"/>
          <w:sz w:val="12"/>
        </w:rPr>
        <w:t xml:space="preserve"> | rel. Nunes Marques</w:t>
      </w:r>
    </w:p>
    <w:p>
      <w:pPr>
        <w:ind w:left="288"/>
      </w:pPr>
      <w:r>
        <w:rPr>
          <w:color w:val="1E1E1E"/>
          <w:sz w:val="18"/>
        </w:rPr>
        <w:t>Empréstimo consignado. Beneficiários de programas de transferência de renda. Autorização para contratação e ampliação da margem de crédito. (...) É compatível com a Constituição Federal, à luz dos arts. 1º, III; 3º, I; 6º, parágrafo único; e 203, política pública de acesso a crédito com taxas de juros menores direcionada às famílias brasileiras, presente o objetivo de conferir proteção social a quem dela necessitar para a garantia da subsistência.</w:t>
        <w:br/>
        <w:t>[ADI 7.223, rel. min. Nunes Marques, j. 12-9-2023, P, DJE de 9-10-2023.]</w:t>
      </w:r>
    </w:p>
    <w:p>
      <w:pPr>
        <w:ind w:left="288"/>
      </w:pPr>
      <w:r>
        <w:rPr>
          <w:color w:val="8C8C8C"/>
          <w:sz w:val="12"/>
        </w:rPr>
        <w:t>cf-art-17-par-5</w:t>
      </w:r>
    </w:p>
    <w:p>
      <w:pPr>
        <w:ind w:left="288"/>
      </w:pPr>
      <w:r>
        <w:rPr>
          <w:color w:val="1E1E1E"/>
          <w:sz w:val="18"/>
        </w:rPr>
        <w:t>§ 12. Serão realizadas concomitantemente às eleições municipais as consultas populares sobre questões locais aprovadas pelas Câmaras Municipais e encaminhadas à Justiça Eleitoral até 90 (noventa) dias antes da data das eleições, observados os limites operacionais relativos ao número de quesitos. (Incluído pela EC n. 111/2021) § 13. As manifestações favoráveis e contrárias às questões submetidas às consultas populares nos termos do § 12 ocorrerão durante as campanhas eleitorais, sem a utilização de propaganda gratuita no rádio e na televisão. (Incluído pela EC n. 111/2021) I - obtiverem, nas el</w:t>
      </w:r>
    </w:p>
    <w:p>
      <w:pPr>
        <w:ind w:left="288"/>
      </w:pPr>
      <w:r>
        <w:rPr>
          <w:color w:val="8C8C8C"/>
          <w:sz w:val="12"/>
        </w:rPr>
        <w:t>cf-art-17-par-5-inc-II</w:t>
      </w:r>
    </w:p>
    <w:p>
      <w:pPr>
        <w:ind w:left="288"/>
      </w:pPr>
      <w:r>
        <w:rPr>
          <w:color w:val="1E1E1E"/>
          <w:sz w:val="18"/>
        </w:rPr>
        <w:t>§ 5º Ao eleito por partido que não preencher os requisitos previstos no § 3º deste artigo é assegurado o mandato e facultada a filiação, sem perda do mandato, a outro partido que os tenha atingido, não sendo essa filiação considerada para fins de distribuição dos recursos do fundo partidário e de acesso gratuito ao tempo de rádio e de televisão. (Incluído pela EC n. 97/2017) § 6º Os Deputados Federais, os Deputados Estaduais, os Deputados Distritais e os Vereadores que se desligarem do partido pelo qual tenham sido eleitos perderão o mandato, salvo nos casos de anuência do partido ou de outras</w:t>
      </w:r>
    </w:p>
    <w:p>
      <w:pPr>
        <w:ind w:left="288"/>
      </w:pPr>
      <w:r>
        <w:rPr>
          <w:color w:val="8C8C8C"/>
          <w:sz w:val="12"/>
        </w:rPr>
        <w:t>cf-art-17-par-7</w:t>
      </w:r>
    </w:p>
    <w:p>
      <w:pPr>
        <w:ind w:left="288"/>
      </w:pPr>
      <w:r>
        <w:rPr>
          <w:color w:val="1E1E1E"/>
          <w:sz w:val="18"/>
        </w:rPr>
        <w:t xml:space="preserve">§ 8º O montante do Fundo Especial de Financiamento de Campanha e da parcela do fundo partidário destinada a campanhas eleitorais, bem como o tempo de propaganda gratuita no rádio e na televisão a ser distribuído pelos partidos às respectivas candidatas, deverão ser de no mínimo 30% (trinta por cento), proporcional ao número de candidatas, e a distribuição deverá ser realizada conforme critérios definidos pelos respectivos órgãos de direção e pelas normas estatutárias, considerados a autonomia e o interesse partidário. (Incluído pela EC n. 117/2022) § 9º Dos recursos oriundos do Fundo Especial </w:t>
      </w:r>
    </w:p>
    <w:p>
      <w:pPr>
        <w:ind w:left="720"/>
      </w:pPr>
      <w:r>
        <w:rPr>
          <w:color w:val="003366"/>
          <w:sz w:val="18"/>
        </w:rPr>
        <w:t>I – caráter nacional;</w:t>
      </w:r>
    </w:p>
    <w:p>
      <w:pPr>
        <w:ind w:left="720"/>
      </w:pPr>
      <w:r>
        <w:rPr>
          <w:color w:val="003366"/>
          <w:sz w:val="18"/>
        </w:rPr>
        <w:t>II – proibição de recebimento de recursos financeiros de entidade ou governo est</w:t>
      </w:r>
    </w:p>
    <w:p>
      <w:pPr>
        <w:ind w:left="720"/>
      </w:pPr>
      <w:r>
        <w:rPr>
          <w:color w:val="003366"/>
          <w:sz w:val="18"/>
        </w:rPr>
        <w:t>III – prestação de contas à Justiça Eleitoral;</w:t>
      </w:r>
    </w:p>
    <w:p>
      <w:pPr>
        <w:ind w:left="720"/>
      </w:pPr>
      <w:r>
        <w:rPr>
          <w:color w:val="003366"/>
          <w:sz w:val="18"/>
        </w:rPr>
        <w:t>IV – funcionamento parlamentar de acordo com a lei.</w:t>
      </w:r>
    </w:p>
    <w:p>
      <w:pPr>
        <w:ind w:left="432"/>
      </w:pPr>
      <w:r>
        <w:rPr>
          <w:color w:val="003366"/>
          <w:sz w:val="18"/>
        </w:rPr>
        <w:t>§ 1 É assegurada aos partidos políticos autonomia para definir sua estrutura int</w:t>
      </w:r>
    </w:p>
    <w:p>
      <w:pPr>
        <w:ind w:left="432"/>
      </w:pPr>
      <w:r>
        <w:rPr>
          <w:color w:val="003366"/>
          <w:sz w:val="18"/>
        </w:rPr>
        <w:t>§ 2 Os partidos políticos, após adquirirem personalidade jurídica, na forma da l</w:t>
      </w:r>
    </w:p>
    <w:p>
      <w:pPr>
        <w:ind w:left="432"/>
      </w:pPr>
      <w:r>
        <w:rPr>
          <w:color w:val="003366"/>
          <w:sz w:val="18"/>
        </w:rPr>
        <w:t>§ 3 Somente terão direito a recursos do fundo partidário e acesso gratuito ao rá</w:t>
      </w:r>
    </w:p>
    <w:p>
      <w:pPr>
        <w:ind w:left="720"/>
      </w:pPr>
      <w:r>
        <w:rPr>
          <w:color w:val="003366"/>
          <w:sz w:val="18"/>
        </w:rPr>
        <w:t>I – obtiverem, nas eleições para a Câmara dos Deputados, no mínimo, 3% (três por</w:t>
      </w:r>
    </w:p>
    <w:p>
      <w:pPr>
        <w:ind w:left="720"/>
      </w:pPr>
      <w:r>
        <w:rPr>
          <w:color w:val="003366"/>
          <w:sz w:val="18"/>
        </w:rPr>
        <w:t>II – tiverem elegido pelo menos quinze Deputados Federais distribuídos em pelo m</w:t>
      </w:r>
    </w:p>
    <w:p>
      <w:pPr>
        <w:ind w:left="432"/>
      </w:pPr>
      <w:r>
        <w:rPr>
          <w:color w:val="003366"/>
          <w:sz w:val="18"/>
        </w:rPr>
        <w:t>§ 4 É vedada a utilização pelos partidos políticos de organização paramilitar.</w:t>
      </w:r>
    </w:p>
    <w:p>
      <w:pPr>
        <w:ind w:left="432"/>
      </w:pPr>
      <w:r>
        <w:rPr>
          <w:color w:val="003366"/>
          <w:sz w:val="18"/>
        </w:rPr>
        <w:t>§ 5 Ao eleito por partido que não preencher os requisitos previstos no § 3º dest</w:t>
      </w:r>
    </w:p>
    <w:p>
      <w:pPr>
        <w:ind w:left="432"/>
      </w:pPr>
      <w:r>
        <w:rPr>
          <w:color w:val="003366"/>
          <w:sz w:val="18"/>
        </w:rPr>
        <w:t xml:space="preserve">§ 6 Os Deputados Federais, os Deputados Estaduais, os Deputados Distritais e os </w:t>
      </w:r>
    </w:p>
    <w:p>
      <w:pPr>
        <w:ind w:left="432"/>
      </w:pPr>
      <w:r>
        <w:rPr>
          <w:color w:val="003366"/>
          <w:sz w:val="18"/>
        </w:rPr>
        <w:t>§ 7 Os partidos políticos devem aplicar no mínimo 5% (cinco por cento) dos recur</w:t>
      </w:r>
    </w:p>
    <w:p>
      <w:pPr>
        <w:ind w:left="432"/>
      </w:pPr>
      <w:r>
        <w:rPr>
          <w:color w:val="003366"/>
          <w:sz w:val="18"/>
        </w:rPr>
        <w:t>§ 8 O montante do Fundo Especial de Financiamento de Campanha e da parcela do fu</w:t>
      </w:r>
    </w:p>
    <w:p>
      <w:pPr>
        <w:ind w:left="432"/>
      </w:pPr>
      <w:r>
        <w:rPr>
          <w:color w:val="003366"/>
          <w:sz w:val="18"/>
        </w:rPr>
        <w:t>§ 9 Dos recursos oriundos do Fundo Especial de Financiamento de Campanha e do fu</w:t>
      </w:r>
    </w:p>
    <w:p>
      <w:pPr>
        <w:pStyle w:val="Heading1"/>
      </w:pPr>
      <w:r>
        <w:rPr>
          <w:color w:val="003366"/>
        </w:rPr>
        <w:t>TÍTULO III</w:t>
      </w:r>
    </w:p>
    <w:p>
      <w:pPr>
        <w:pStyle w:val="Heading2"/>
      </w:pPr>
      <w:r>
        <w:rPr>
          <w:color w:val="003366"/>
        </w:rPr>
        <w:t>CAPÍTULO I - DA ORGANIZAÇÃO POLÍTICO-ADMINISTRATIVA</w:t>
      </w:r>
    </w:p>
    <w:p>
      <w:r>
        <w:rPr>
          <w:b/>
          <w:color w:val="003366"/>
          <w:sz w:val="20"/>
        </w:rPr>
        <w:t xml:space="preserve">Art. 18 A organização político-administrativa da República Federativa do Brasil </w:t>
      </w:r>
      <w:r>
        <w:rPr>
          <w:color w:val="8C8C8C"/>
          <w:sz w:val="14"/>
        </w:rPr>
        <w:t xml:space="preserve">  [35 decisoes]</w:t>
      </w:r>
    </w:p>
    <w:p>
      <w:pPr>
        <w:ind w:left="144"/>
      </w:pPr>
      <w:r>
        <w:rPr>
          <w:b/>
          <w:color w:val="B45A00"/>
          <w:sz w:val="16"/>
        </w:rPr>
        <w:t>CONTROLE CONCENTRADO</w:t>
      </w:r>
    </w:p>
    <w:p>
      <w:pPr>
        <w:ind w:left="288"/>
      </w:pPr>
      <w:r>
        <w:rPr>
          <w:color w:val="8C8C8C"/>
          <w:sz w:val="12"/>
        </w:rPr>
        <w:t>cf-art-18</w:t>
      </w:r>
      <w:r>
        <w:rPr>
          <w:color w:val="003CA0"/>
          <w:sz w:val="12"/>
        </w:rPr>
        <w:t xml:space="preserve"> | ADI 4.579</w:t>
      </w:r>
      <w:r>
        <w:rPr>
          <w:color w:val="003CA0"/>
          <w:sz w:val="12"/>
        </w:rPr>
        <w:t xml:space="preserve"> | rel. Luiz Fux</w:t>
      </w:r>
    </w:p>
    <w:p>
      <w:pPr>
        <w:ind w:left="288"/>
      </w:pPr>
      <w:r>
        <w:rPr>
          <w:color w:val="1E1E1E"/>
          <w:sz w:val="18"/>
        </w:rPr>
        <w:t>A lei estadual não pode impor o comparecimento de representante de uma entidade federal, no caso, a Ordem dos Advogados do Brasil, para integrar órgão da Administração Pública estadual, sob pena de ofensa à autonomia dos entes federativos (artigo 18 da Constituição Federal).</w:t>
      </w:r>
    </w:p>
    <w:p>
      <w:pPr>
        <w:ind w:left="288"/>
      </w:pPr>
      <w:r>
        <w:rPr>
          <w:b/>
          <w:color w:val="003CA0"/>
          <w:sz w:val="16"/>
        </w:rPr>
        <w:t>[ADI 4.579, rel. min. Luiz Fux, j. 13-2-2020, P, DJE de 28-4-2020.]</w:t>
      </w:r>
    </w:p>
    <w:p>
      <w:pPr>
        <w:ind w:left="288"/>
      </w:pPr>
      <w:r>
        <w:rPr>
          <w:color w:val="8C8C8C"/>
          <w:sz w:val="12"/>
        </w:rPr>
        <w:t>cf-art-18</w:t>
      </w:r>
      <w:r>
        <w:rPr>
          <w:color w:val="003CA0"/>
          <w:sz w:val="12"/>
        </w:rPr>
        <w:t xml:space="preserve"> | ADI 3.499</w:t>
      </w:r>
      <w:r>
        <w:rPr>
          <w:color w:val="003CA0"/>
          <w:sz w:val="12"/>
        </w:rPr>
        <w:t xml:space="preserve"> | rel. Luiz Fux</w:t>
      </w:r>
    </w:p>
    <w:p>
      <w:pPr>
        <w:ind w:left="288"/>
      </w:pPr>
      <w:r>
        <w:rPr>
          <w:color w:val="1E1E1E"/>
          <w:sz w:val="18"/>
        </w:rPr>
        <w:t>O artigo 23, parágrafo único, da Constituição Federal reservou à lei complementar a disciplina da cooperação interfederativa, mas não veda que União, Estados, Municípios e Distrito Federal recorram à utilização de instrumentos negociais para a salutar racionalização e coordenação das suas atividades, em conformidade com a perspectiva consensual e pragmática da Administração Pública contemporânea em sua vertente gerencial.</w:t>
      </w:r>
    </w:p>
    <w:p>
      <w:pPr>
        <w:ind w:left="288"/>
      </w:pPr>
      <w:r>
        <w:rPr>
          <w:b/>
          <w:color w:val="003CA0"/>
          <w:sz w:val="16"/>
        </w:rPr>
        <w:t>[ADI 3.499, rel. min. Luiz Fux, j. 30-8-2019, P, DJE de 5-12-2019.]</w:t>
      </w:r>
    </w:p>
    <w:p>
      <w:pPr>
        <w:ind w:left="288"/>
      </w:pPr>
      <w:r>
        <w:rPr>
          <w:color w:val="8C8C8C"/>
          <w:sz w:val="12"/>
        </w:rPr>
        <w:t>cf-art-18</w:t>
      </w:r>
      <w:r>
        <w:rPr>
          <w:color w:val="003CA0"/>
          <w:sz w:val="12"/>
        </w:rPr>
        <w:t xml:space="preserve"> | ADI 2.256</w:t>
      </w:r>
      <w:r>
        <w:rPr>
          <w:color w:val="003CA0"/>
          <w:sz w:val="12"/>
        </w:rPr>
        <w:t xml:space="preserve"> | rel. Alexandre de Moraes</w:t>
      </w:r>
    </w:p>
    <w:p>
      <w:pPr>
        <w:ind w:left="288"/>
      </w:pPr>
      <w:r>
        <w:rPr>
          <w:color w:val="1E1E1E"/>
          <w:sz w:val="18"/>
        </w:rPr>
        <w:t>Lei complementar 101/2000. Lei de responsabilidade fiscal (LRF). Artigo 20, II, “a”, “b”, “c” e “d”, §§ 1º, 4º e 5º. Princípios federativo e da separação dos poderes. Compatibilidade. Improcedência. A definição de um teto de gastos particularizado, segundo os respectivos poderes ou órgãos afetados (art. 20 da LRF), não representa intromissão na autonomia financeira dos Entes subnacionais. Reforça, antes, a autoridade jurídica da norma do art. 169 da CF, no propósito, federativamente legítimo, de afastar dinâmicas de relacionamento predatório entre os Entes componentes da Federação. Só a fixaçã</w:t>
      </w:r>
    </w:p>
    <w:p>
      <w:pPr>
        <w:ind w:left="288"/>
      </w:pPr>
      <w:r>
        <w:rPr>
          <w:b/>
          <w:color w:val="003CA0"/>
          <w:sz w:val="16"/>
        </w:rPr>
        <w:t>[ADI 2.256, rel. min. Alexandre de Moraes, j. 22-8-2019, P, DJE de 9-9-2020.]</w:t>
      </w:r>
    </w:p>
    <w:p>
      <w:pPr>
        <w:ind w:left="288"/>
      </w:pPr>
      <w:r>
        <w:rPr>
          <w:color w:val="8C8C8C"/>
          <w:sz w:val="12"/>
        </w:rPr>
        <w:t>cf-art-18</w:t>
      </w:r>
      <w:r>
        <w:rPr>
          <w:color w:val="003CA0"/>
          <w:sz w:val="12"/>
        </w:rPr>
        <w:t xml:space="preserve"> | ADI 1.842</w:t>
      </w:r>
      <w:r>
        <w:rPr>
          <w:color w:val="003CA0"/>
          <w:sz w:val="12"/>
        </w:rPr>
        <w:t xml:space="preserve"> | rel. Gilmar Mendes</w:t>
      </w:r>
    </w:p>
    <w:p>
      <w:pPr>
        <w:ind w:left="288"/>
      </w:pPr>
      <w:r>
        <w:rPr>
          <w:color w:val="1E1E1E"/>
          <w:sz w:val="18"/>
        </w:rPr>
        <w:t>A CF conferiu ênfase à autonomia municipal ao mencionar os Municípios como integrantes do sistema federativo (art. 1º da CF/1988) e ao fixá-la junto com os Estados e o Distrito Federal (art. 18 da CF/1988). A essência da autonomia municipal contém primordialmente (i) autoadministração, que implica capacidade decisória quanto aos interesses locais, sem delegação ou aprovação hierárquica; e (ii) autogoverno, que determina a eleição do chefe do Poder Executivo e dos representantes no Legislativo. O interesse comum e a compulsoriedade da integração metropolitana não são incompatíveis com a autonom</w:t>
      </w:r>
    </w:p>
    <w:p>
      <w:pPr>
        <w:ind w:left="288"/>
      </w:pPr>
      <w:r>
        <w:rPr>
          <w:b/>
          <w:color w:val="003CA0"/>
          <w:sz w:val="16"/>
        </w:rPr>
        <w:t>[ADI 1.842, rel. min. Gilmar Mendes, j. 6-3-2013, P, DJE de 16-9-2013.]</w:t>
      </w:r>
    </w:p>
    <w:p>
      <w:pPr>
        <w:ind w:left="288"/>
      </w:pPr>
      <w:r>
        <w:rPr>
          <w:color w:val="8C8C8C"/>
          <w:sz w:val="12"/>
        </w:rPr>
        <w:t>cf-art-18</w:t>
      </w:r>
      <w:r>
        <w:rPr>
          <w:color w:val="003CA0"/>
          <w:sz w:val="12"/>
        </w:rPr>
        <w:t xml:space="preserve"> | ADI 2.452</w:t>
      </w:r>
      <w:r>
        <w:rPr>
          <w:color w:val="003CA0"/>
          <w:sz w:val="12"/>
        </w:rPr>
        <w:t xml:space="preserve"> | rel. Eros Grau</w:t>
      </w:r>
    </w:p>
    <w:p>
      <w:pPr>
        <w:ind w:left="288"/>
      </w:pPr>
      <w:r>
        <w:rPr>
          <w:color w:val="1E1E1E"/>
          <w:sz w:val="18"/>
        </w:rPr>
        <w:t>Vedação à aquisição pelos demais Estados-membros de ações de propriedade do Estado de São Paulo no capital das concessionárias de eletricidade paulistas. Razões econômicas e políticas legitimam a restrição contida no preceito impugnado. A limitação mencionada afasta possível tensão nas relações entre as unidades federativas envolvidas.</w:t>
      </w:r>
    </w:p>
    <w:p>
      <w:pPr>
        <w:ind w:left="288"/>
      </w:pPr>
      <w:r>
        <w:rPr>
          <w:b/>
          <w:color w:val="003CA0"/>
          <w:sz w:val="16"/>
        </w:rPr>
        <w:t>[ADI 2.452, rel. min. Eros Grau, j. 17-6-2010, P, DJE de 17-9-2010.]</w:t>
      </w:r>
    </w:p>
    <w:p>
      <w:pPr>
        <w:ind w:left="288"/>
      </w:pPr>
      <w:r>
        <w:rPr>
          <w:color w:val="8C8C8C"/>
          <w:sz w:val="12"/>
        </w:rPr>
        <w:t>cf-art-18</w:t>
      </w:r>
      <w:r>
        <w:rPr>
          <w:color w:val="003CA0"/>
          <w:sz w:val="12"/>
        </w:rPr>
        <w:t xml:space="preserve"> | ADI 692</w:t>
      </w:r>
      <w:r>
        <w:rPr>
          <w:color w:val="003CA0"/>
          <w:sz w:val="12"/>
        </w:rPr>
        <w:t xml:space="preserve"> | rel. Joaquim Barbosa</w:t>
      </w:r>
    </w:p>
    <w:p>
      <w:pPr>
        <w:ind w:left="288"/>
      </w:pPr>
      <w:r>
        <w:rPr>
          <w:color w:val="1E1E1E"/>
          <w:sz w:val="18"/>
        </w:rPr>
        <w:t>Viola a autonomia dos Municípios (art. 29, IV, da CF/1988) lei estadual que fixa número de vereadores ou a forma como essa fixação deve ser feita.</w:t>
      </w:r>
    </w:p>
    <w:p>
      <w:pPr>
        <w:ind w:left="288"/>
      </w:pPr>
      <w:r>
        <w:rPr>
          <w:b/>
          <w:color w:val="003CA0"/>
          <w:sz w:val="16"/>
        </w:rPr>
        <w:t>[ADI 692, rel. min. Joaquim Barbosa, j. 2-8-2004, P, DJ de 1º-10-2004.]</w:t>
      </w:r>
    </w:p>
    <w:p>
      <w:pPr>
        <w:ind w:left="288"/>
      </w:pPr>
      <w:r>
        <w:rPr>
          <w:color w:val="8C8C8C"/>
          <w:sz w:val="12"/>
        </w:rPr>
        <w:t>cf-art-18</w:t>
      </w:r>
      <w:r>
        <w:rPr>
          <w:color w:val="003CA0"/>
          <w:sz w:val="12"/>
        </w:rPr>
        <w:t xml:space="preserve"> | ADI 1.689</w:t>
      </w:r>
      <w:r>
        <w:rPr>
          <w:color w:val="003CA0"/>
          <w:sz w:val="12"/>
        </w:rPr>
        <w:t xml:space="preserve"> | rel. Sydney Sanches</w:t>
      </w:r>
    </w:p>
    <w:p>
      <w:pPr>
        <w:ind w:left="288"/>
      </w:pPr>
      <w:r>
        <w:rPr>
          <w:color w:val="1E1E1E"/>
          <w:sz w:val="18"/>
        </w:rPr>
        <w:t>Sucede que (...) o parágrafo único do art. 227 da Constituição estadual estabelece (...) uma vinculação orçamentária, ao dizer: "para o atendimento e desenvolvimento dos programas e ações explicitados neste artigo, o Estado e os Municípios aplicarão, anualmente, no mínimo, o percentual de um por cento dos seus respectivos orçamentos gerais". (...) interferindo no orçamento dos Municípios, não deixa de lhes afetar a autonomia (art. 18 da CF), inclusive no que concerne à aplicação de suas rendas (art. 30, III), sendo certo, ademais, que o art. 25 da parte permanente e o art. 11 do ADCT exigem qu</w:t>
      </w:r>
    </w:p>
    <w:p>
      <w:pPr>
        <w:ind w:left="288"/>
      </w:pPr>
      <w:r>
        <w:rPr>
          <w:b/>
          <w:color w:val="003CA0"/>
          <w:sz w:val="16"/>
        </w:rPr>
        <w:t>[ADI 1.689, rel. min. Sydney Sanches, j. 12-3-2003, P, DJ de 2-5-2003.]</w:t>
      </w:r>
    </w:p>
    <w:p>
      <w:pPr>
        <w:ind w:left="288"/>
      </w:pPr>
      <w:r>
        <w:rPr>
          <w:color w:val="8C8C8C"/>
          <w:sz w:val="12"/>
        </w:rPr>
        <w:t>cf-art-18</w:t>
      </w:r>
      <w:r>
        <w:rPr>
          <w:color w:val="003CA0"/>
          <w:sz w:val="12"/>
        </w:rPr>
        <w:t xml:space="preserve"> | ADI 2.377</w:t>
      </w:r>
      <w:r>
        <w:rPr>
          <w:color w:val="003CA0"/>
          <w:sz w:val="12"/>
        </w:rPr>
        <w:t xml:space="preserve"> | rel. Sepúlveda Pertence</w:t>
      </w:r>
    </w:p>
    <w:p>
      <w:pPr>
        <w:ind w:left="288"/>
      </w:pPr>
      <w:r>
        <w:rPr>
          <w:color w:val="1E1E1E"/>
          <w:sz w:val="18"/>
        </w:rPr>
        <w:t>As normas constitucionais, que impõem disciplina nacional ao ICMS, são preceitos contra os quais não se pode opor a autonomia do Estado, na medida em que são explícitas limitações.</w:t>
      </w:r>
    </w:p>
    <w:p>
      <w:pPr>
        <w:ind w:left="288"/>
      </w:pPr>
      <w:r>
        <w:rPr>
          <w:b/>
          <w:color w:val="003CA0"/>
          <w:sz w:val="16"/>
        </w:rPr>
        <w:t>[ADI 2.377 MC, rel. min. Sepúlveda Pertence, j. 22-2-2001, P, DJ de 7-11-2003.]</w:t>
      </w:r>
    </w:p>
    <w:p>
      <w:pPr>
        <w:ind w:left="288"/>
      </w:pPr>
      <w:r>
        <w:rPr>
          <w:color w:val="8C8C8C"/>
          <w:sz w:val="12"/>
        </w:rPr>
        <w:t>cf-art-18</w:t>
      </w:r>
      <w:r>
        <w:rPr>
          <w:color w:val="003CA0"/>
          <w:sz w:val="12"/>
        </w:rPr>
        <w:t xml:space="preserve"> | ADI 1.546</w:t>
      </w:r>
      <w:r>
        <w:rPr>
          <w:color w:val="003CA0"/>
          <w:sz w:val="12"/>
        </w:rPr>
        <w:t xml:space="preserve"> | rel. Nelson Jobim</w:t>
      </w:r>
    </w:p>
    <w:p>
      <w:pPr>
        <w:ind w:left="288"/>
      </w:pPr>
      <w:r>
        <w:rPr>
          <w:color w:val="1E1E1E"/>
          <w:sz w:val="18"/>
        </w:rPr>
        <w:t>A observância das regras federais não fere autonomia estadual.</w:t>
      </w:r>
    </w:p>
    <w:p>
      <w:pPr>
        <w:ind w:left="288"/>
      </w:pPr>
      <w:r>
        <w:rPr>
          <w:b/>
          <w:color w:val="003CA0"/>
          <w:sz w:val="16"/>
        </w:rPr>
        <w:t>[ADI 1.546, rel. min. Nelson Jobim, j. 3-12-1998, P, DJ de 6-4-2001.]</w:t>
      </w:r>
    </w:p>
    <w:p>
      <w:pPr>
        <w:ind w:left="288"/>
      </w:pPr>
      <w:r>
        <w:rPr>
          <w:color w:val="8C8C8C"/>
          <w:sz w:val="12"/>
        </w:rPr>
        <w:t>cf-art-18</w:t>
      </w:r>
      <w:r>
        <w:rPr>
          <w:color w:val="003CA0"/>
          <w:sz w:val="12"/>
        </w:rPr>
        <w:t xml:space="preserve"> | ADI 287</w:t>
      </w:r>
      <w:r>
        <w:rPr>
          <w:color w:val="003CA0"/>
          <w:sz w:val="12"/>
        </w:rPr>
        <w:t xml:space="preserve"> | rel. Célio Borja</w:t>
      </w:r>
    </w:p>
    <w:p>
      <w:pPr>
        <w:ind w:left="288"/>
      </w:pPr>
      <w:r>
        <w:rPr>
          <w:color w:val="1E1E1E"/>
          <w:sz w:val="18"/>
        </w:rPr>
        <w:t>Reajustes automáticos. Despesa de pessoal vinculada a indexador decretado pelo governo da União. Ofensa à autonomia dos Estados-membros.</w:t>
      </w:r>
    </w:p>
    <w:p>
      <w:pPr>
        <w:ind w:left="288"/>
      </w:pPr>
      <w:r>
        <w:rPr>
          <w:b/>
          <w:color w:val="003CA0"/>
          <w:sz w:val="16"/>
        </w:rPr>
        <w:t>[ADI 287 MC, rel. min. Célio Borja, j. 21-6-1990, P, DJ de 7-5-1993.]</w:t>
      </w:r>
    </w:p>
    <w:p>
      <w:pPr>
        <w:ind w:left="288"/>
      </w:pPr>
      <w:r>
        <w:rPr>
          <w:color w:val="8C8C8C"/>
          <w:sz w:val="12"/>
        </w:rPr>
        <w:t>cf-art-18</w:t>
      </w:r>
      <w:r>
        <w:rPr>
          <w:color w:val="003CA0"/>
          <w:sz w:val="12"/>
        </w:rPr>
        <w:t xml:space="preserve"> | RE 160.920</w:t>
      </w:r>
      <w:r>
        <w:rPr>
          <w:color w:val="003CA0"/>
          <w:sz w:val="12"/>
        </w:rPr>
        <w:t xml:space="preserve"> | rel. Néri da Silveira</w:t>
      </w:r>
    </w:p>
    <w:p>
      <w:pPr>
        <w:ind w:left="288"/>
      </w:pPr>
      <w:r>
        <w:rPr>
          <w:color w:val="1E1E1E"/>
          <w:sz w:val="18"/>
        </w:rPr>
        <w:t>= RE 160.920 AgR, rel. min. Néri da Silveira, j. 9-4-2002, 2ª T, DJ de 17-5-2002</w:t>
      </w:r>
    </w:p>
    <w:p>
      <w:pPr>
        <w:ind w:left="144"/>
      </w:pPr>
      <w:r>
        <w:rPr>
          <w:b/>
          <w:color w:val="B45A00"/>
          <w:sz w:val="16"/>
        </w:rPr>
        <w:t>JULGADOS CORRELATOS</w:t>
      </w:r>
    </w:p>
    <w:p>
      <w:pPr>
        <w:ind w:left="288"/>
      </w:pPr>
      <w:r>
        <w:rPr>
          <w:color w:val="8C8C8C"/>
          <w:sz w:val="12"/>
        </w:rPr>
        <w:t>cf-art-18</w:t>
      </w:r>
      <w:r>
        <w:rPr>
          <w:color w:val="003CA0"/>
          <w:sz w:val="12"/>
        </w:rPr>
        <w:t xml:space="preserve"> | ACO 1.062</w:t>
      </w:r>
      <w:r>
        <w:rPr>
          <w:color w:val="003CA0"/>
          <w:sz w:val="12"/>
        </w:rPr>
        <w:t xml:space="preserve"> | rel. Ricardo Lewandowski</w:t>
      </w:r>
    </w:p>
    <w:p>
      <w:pPr>
        <w:ind w:left="288"/>
      </w:pPr>
      <w:r>
        <w:rPr>
          <w:color w:val="1E1E1E"/>
          <w:sz w:val="18"/>
        </w:rPr>
        <w:t>Conflito federativo. Negativa de expedição de certificado de regularidade previdenciária para Estado-membro. O exame da compatibilização das normas estaduais com a CF é matéria complexa. (...) Situação semelhante à inscrição do Estado em cadastros de inadimplência federais. Jurisprudência abundante da Suprema Corte concedendo-se as medidas de urgência requeridas para se preservar o funcionamento de serviços essenciais prestados à população dos Estados.</w:t>
      </w:r>
    </w:p>
    <w:p>
      <w:pPr>
        <w:ind w:left="288"/>
      </w:pPr>
      <w:r>
        <w:rPr>
          <w:b/>
          <w:color w:val="003CA0"/>
          <w:sz w:val="16"/>
        </w:rPr>
        <w:t>[ACO 1.062 AgR, rel. min. Ricardo Lewandowski, j. 13-8-2014, P, DJE de 25-8-2014.]</w:t>
      </w:r>
    </w:p>
    <w:p>
      <w:pPr>
        <w:ind w:left="288"/>
      </w:pPr>
      <w:r>
        <w:rPr>
          <w:color w:val="8C8C8C"/>
          <w:sz w:val="12"/>
        </w:rPr>
        <w:t>cf-art-18</w:t>
      </w:r>
      <w:r>
        <w:rPr>
          <w:color w:val="003CA0"/>
          <w:sz w:val="12"/>
        </w:rPr>
        <w:t xml:space="preserve"> | AC 2.200</w:t>
      </w:r>
      <w:r>
        <w:rPr>
          <w:color w:val="003CA0"/>
          <w:sz w:val="12"/>
        </w:rPr>
        <w:t xml:space="preserve"> | rel. Cármen Lúcia</w:t>
      </w:r>
    </w:p>
    <w:p>
      <w:pPr>
        <w:ind w:left="288"/>
      </w:pPr>
      <w:r>
        <w:rPr>
          <w:color w:val="1E1E1E"/>
          <w:sz w:val="18"/>
        </w:rPr>
        <w:t>Vide AC 2.200 MC-REF, rel. min. Cármen Lúcia, j. 2-2-2009, P, DJE de 27-2-2009 O STF, nos casos de inscrição de entidades estatais, de pessoas administrativas ou de empresas governamentais em cadastros de inadimplentes, organizados e mantidos pela União, tem ordenado a liberação e o repasse de verbas federais (ou, então, determinado o afastamento de restrições impostas à celebração de operações de crédito em geral ou à obtenção de garantias), sempre com o propósito de neutralizar a ocorrência de risco que possa comprometer, de modo grave e/ou irreversível, a continuidade da execução de polític</w:t>
      </w:r>
    </w:p>
    <w:p>
      <w:pPr>
        <w:ind w:left="288"/>
      </w:pPr>
      <w:r>
        <w:rPr>
          <w:b/>
          <w:color w:val="003CA0"/>
          <w:sz w:val="16"/>
        </w:rPr>
        <w:t>[ACO 1.534 TA-REF, rel. min. Celso de Mello, j. 17-3-2011, P, DJE de 11-4-2011.]</w:t>
      </w:r>
    </w:p>
    <w:p>
      <w:pPr>
        <w:ind w:left="288"/>
      </w:pPr>
      <w:r>
        <w:rPr>
          <w:color w:val="8C8C8C"/>
          <w:sz w:val="12"/>
        </w:rPr>
        <w:t>cf-art-18</w:t>
      </w:r>
      <w:r>
        <w:rPr>
          <w:color w:val="003CA0"/>
          <w:sz w:val="12"/>
        </w:rPr>
        <w:t xml:space="preserve"> | RE 459.128</w:t>
      </w:r>
      <w:r>
        <w:rPr>
          <w:color w:val="003CA0"/>
          <w:sz w:val="12"/>
        </w:rPr>
        <w:t xml:space="preserve"> | rel. Marco Aurélio</w:t>
      </w:r>
    </w:p>
    <w:p>
      <w:pPr>
        <w:ind w:left="288"/>
      </w:pPr>
      <w:r>
        <w:rPr>
          <w:color w:val="1E1E1E"/>
          <w:sz w:val="18"/>
        </w:rPr>
        <w:t>A regência dos vencimentos dos servidores estaduais decorre de normas do próprio Estado. Não cabe, sob o ângulo da isonomia, acionar legislação federal.</w:t>
      </w:r>
    </w:p>
    <w:p>
      <w:pPr>
        <w:ind w:left="288"/>
      </w:pPr>
      <w:r>
        <w:rPr>
          <w:b/>
          <w:color w:val="003CA0"/>
          <w:sz w:val="16"/>
        </w:rPr>
        <w:t>[RE 459.128, rel. min. Marco Aurélio, j. 7-4-2009, 1ª T, DJE de 21-8-2009.]</w:t>
      </w:r>
    </w:p>
    <w:p>
      <w:pPr>
        <w:ind w:left="288"/>
      </w:pPr>
      <w:r>
        <w:rPr>
          <w:color w:val="8C8C8C"/>
          <w:sz w:val="12"/>
        </w:rPr>
        <w:t>cf-art-18</w:t>
      </w:r>
      <w:r>
        <w:rPr>
          <w:color w:val="003CA0"/>
          <w:sz w:val="12"/>
        </w:rPr>
        <w:t xml:space="preserve"> | RE 177.599</w:t>
      </w:r>
      <w:r>
        <w:rPr>
          <w:color w:val="003CA0"/>
          <w:sz w:val="12"/>
        </w:rPr>
        <w:t xml:space="preserve"> | rel. Celso de Mello</w:t>
      </w:r>
    </w:p>
    <w:p>
      <w:pPr>
        <w:ind w:left="288"/>
      </w:pPr>
      <w:r>
        <w:rPr>
          <w:color w:val="1E1E1E"/>
          <w:sz w:val="18"/>
        </w:rPr>
        <w:t>Vide RE 177.599, rel. min. Celso de Mello, j. 30-8-1994, 1ª T, DJ de 20-4-1995 Todas as "terras indígenas" são um bem público federal (inciso XI do art. 20 da CF), o que não significa dizer que o ato em si da demarcação extinga ou amesquinhe qualquer unidade federada. Primeiro, porque as unidades federadas pós-Constituição de 1988 já nascem com seu território jungido ao regime constitucional de preexistência dos direitos originários dos índios sobre as terras por eles "tradicionalmente ocupadas". Segundo, porque a titularidade de bens não se confunde com o senhorio de um território político. N</w:t>
      </w:r>
    </w:p>
    <w:p>
      <w:pPr>
        <w:ind w:left="288"/>
      </w:pPr>
      <w:r>
        <w:rPr>
          <w:b/>
          <w:color w:val="003CA0"/>
          <w:sz w:val="16"/>
        </w:rPr>
        <w:t>[Pet 3.388, rel. min. Ayres Britto, j. 19-3-2009, P, DJE de 1º-7-2010.]</w:t>
      </w:r>
    </w:p>
    <w:p>
      <w:pPr>
        <w:ind w:left="288"/>
      </w:pPr>
      <w:r>
        <w:rPr>
          <w:color w:val="8C8C8C"/>
          <w:sz w:val="12"/>
        </w:rPr>
        <w:t>cf-art-18</w:t>
      </w:r>
      <w:r>
        <w:rPr>
          <w:color w:val="003CA0"/>
          <w:sz w:val="12"/>
        </w:rPr>
        <w:t xml:space="preserve"> | AC 2.200</w:t>
      </w:r>
      <w:r>
        <w:rPr>
          <w:color w:val="003CA0"/>
          <w:sz w:val="12"/>
        </w:rPr>
        <w:t xml:space="preserve"> | rel. Cármen Lúcia</w:t>
      </w:r>
    </w:p>
    <w:p>
      <w:pPr>
        <w:ind w:left="288"/>
      </w:pPr>
      <w:r>
        <w:rPr>
          <w:color w:val="1E1E1E"/>
          <w:sz w:val="18"/>
        </w:rPr>
        <w:t>O STF tem reconhecido a ocorrência de conflito federativo em situações nas quais a União, valendo-se de registros de supostas inadimplências dos Estados no Siafi e no Cadastro de Créditos não quitados do setor público federal (Cadin), impossibilita sejam firmados acordos de cooperação, convênios e operações de crédito entre Estados e entidades federais. O registro da entidade federada por suposta inadimplência nesses cadastros federais pode sujeitá-la a efeitos gravosos, com desdobramentos para a transferência de recursos.</w:t>
      </w:r>
    </w:p>
    <w:p>
      <w:pPr>
        <w:ind w:left="288"/>
      </w:pPr>
      <w:r>
        <w:rPr>
          <w:b/>
          <w:color w:val="003CA0"/>
          <w:sz w:val="16"/>
        </w:rPr>
        <w:t>[AC 2.200 MC-REF, rel. min. Cármen Lúcia, j. 2-2-2009, P, DJE de 27-2-2009.]</w:t>
      </w:r>
    </w:p>
    <w:p>
      <w:pPr>
        <w:ind w:left="288"/>
      </w:pPr>
      <w:r>
        <w:rPr>
          <w:color w:val="8C8C8C"/>
          <w:sz w:val="12"/>
        </w:rPr>
        <w:t>cf-art-18</w:t>
      </w:r>
      <w:r>
        <w:rPr>
          <w:color w:val="003CA0"/>
          <w:sz w:val="12"/>
        </w:rPr>
        <w:t xml:space="preserve"> | ACO 1.062</w:t>
      </w:r>
      <w:r>
        <w:rPr>
          <w:color w:val="003CA0"/>
          <w:sz w:val="12"/>
        </w:rPr>
        <w:t xml:space="preserve"> | rel. Ricardo Lewandowski</w:t>
      </w:r>
    </w:p>
    <w:p>
      <w:pPr>
        <w:ind w:left="288"/>
      </w:pPr>
      <w:r>
        <w:rPr>
          <w:color w:val="1E1E1E"/>
          <w:sz w:val="18"/>
        </w:rPr>
        <w:t>Vide ACO 1.062 AgR, rel. min. Ricardo Lewandowski, j. 13-8-2014, P, DJE de 25-8-2014 A aprovação de norma municipal que estabelece a composição da Câmara de Vereadores sem observância da relação cogente de proporção com a respectiva população configura excesso do poder de legislar, não encontrando eco no sistema constitucional vigente. Parâmetro aritmético que atende ao comando expresso na CF, sem que a proporcionalidade reclamada traduza qualquer afronta aos demais princípios constitucionais e nem resulte formas estranhas e distantes da realidade dos Municípios brasileiros. Atendimento aos po</w:t>
      </w:r>
    </w:p>
    <w:p>
      <w:pPr>
        <w:ind w:left="288"/>
      </w:pPr>
      <w:r>
        <w:rPr>
          <w:b/>
          <w:color w:val="003CA0"/>
          <w:sz w:val="16"/>
        </w:rPr>
        <w:t>[RE 197.917, rel. min. Maurício Corrêa, j. 6-6-2002, P, DJ de 7-5-2004.]</w:t>
      </w:r>
    </w:p>
    <w:p>
      <w:pPr>
        <w:ind w:left="288"/>
      </w:pPr>
      <w:r>
        <w:rPr>
          <w:color w:val="8C8C8C"/>
          <w:sz w:val="12"/>
        </w:rPr>
        <w:t>cf-art-18</w:t>
      </w:r>
      <w:r>
        <w:rPr>
          <w:color w:val="003CA0"/>
          <w:sz w:val="12"/>
        </w:rPr>
        <w:t xml:space="preserve"> | RE 177.599</w:t>
      </w:r>
      <w:r>
        <w:rPr>
          <w:color w:val="003CA0"/>
          <w:sz w:val="12"/>
        </w:rPr>
        <w:t xml:space="preserve"> | rel. Celso de Mello</w:t>
      </w:r>
    </w:p>
    <w:p>
      <w:pPr>
        <w:ind w:left="288"/>
      </w:pPr>
      <w:r>
        <w:rPr>
          <w:color w:val="1E1E1E"/>
          <w:sz w:val="18"/>
        </w:rPr>
        <w:t>A autonomia constitucional reconhecida ao Distrito Federal, que lhe confere a prerrogativa de dispor, em sede normativa própria, sobre o regime jurídico dos seus servidores civis, impede que se estendam, automaticamente, ao plano local os efeitos pertinentes a política de remuneração estabelecida pela União Federal em favor dos seus agentes públicos.</w:t>
      </w:r>
    </w:p>
    <w:p>
      <w:pPr>
        <w:ind w:left="288"/>
      </w:pPr>
      <w:r>
        <w:rPr>
          <w:b/>
          <w:color w:val="003CA0"/>
          <w:sz w:val="16"/>
        </w:rPr>
        <w:t>[RE 177.599, rel. min. Celso de Mello, j. 30-8-1994, 1ª T, DJ de 20-4-1995.]</w:t>
      </w:r>
    </w:p>
    <w:p>
      <w:pPr>
        <w:ind w:left="288"/>
      </w:pPr>
      <w:r>
        <w:rPr>
          <w:color w:val="8C8C8C"/>
          <w:sz w:val="12"/>
        </w:rPr>
        <w:t>cf-art-18</w:t>
      </w:r>
      <w:r>
        <w:rPr>
          <w:color w:val="003CA0"/>
          <w:sz w:val="12"/>
        </w:rPr>
        <w:t xml:space="preserve"> | AI 384.023</w:t>
      </w:r>
      <w:r>
        <w:rPr>
          <w:color w:val="003CA0"/>
          <w:sz w:val="12"/>
        </w:rPr>
        <w:t xml:space="preserve"> | rel. Nelson Jobim</w:t>
      </w:r>
    </w:p>
    <w:p>
      <w:pPr>
        <w:ind w:left="288"/>
      </w:pPr>
      <w:r>
        <w:rPr>
          <w:color w:val="1E1E1E"/>
          <w:sz w:val="18"/>
        </w:rPr>
        <w:t>= AI 384.023 AgR, rel. min. Nelson Jobim, j. 1º-10-2002, 2ª T, DJ de 31-10-2002 Lei municipal, que determina que o reajuste da remuneração dos servidores do Município fica vinculado automaticamente à variação do IPC, é inconstitucional, por atentar contra a autonomia do Município em matéria que diz respeito a seu peculiar interesse.</w:t>
      </w:r>
    </w:p>
    <w:p>
      <w:pPr>
        <w:ind w:left="288"/>
      </w:pPr>
      <w:r>
        <w:rPr>
          <w:b/>
          <w:color w:val="003CA0"/>
          <w:sz w:val="16"/>
        </w:rPr>
        <w:t>[RE 145.018, rel. min. Moreira Alves, j. 1º-4-1993, P, DJ de 10-9-1993.]</w:t>
      </w:r>
    </w:p>
    <w:p>
      <w:pPr>
        <w:ind w:left="288"/>
      </w:pPr>
      <w:r>
        <w:rPr>
          <w:color w:val="8C8C8C"/>
          <w:sz w:val="12"/>
        </w:rPr>
        <w:t>cf-art-18</w:t>
      </w:r>
      <w:r>
        <w:rPr>
          <w:color w:val="003CA0"/>
          <w:sz w:val="12"/>
        </w:rPr>
        <w:t xml:space="preserve"> | RE 199.553</w:t>
      </w:r>
      <w:r>
        <w:rPr>
          <w:color w:val="003CA0"/>
          <w:sz w:val="12"/>
        </w:rPr>
        <w:t xml:space="preserve"> | rel. Dias Toffoli</w:t>
      </w:r>
    </w:p>
    <w:p>
      <w:pPr>
        <w:ind w:left="288"/>
      </w:pPr>
      <w:r>
        <w:rPr>
          <w:color w:val="1E1E1E"/>
          <w:sz w:val="18"/>
        </w:rPr>
        <w:t>= RE 199.553 AgR, rel. min. Dias Toffoli, j. 22-5-2012, 1ª T, DJE de 13-6-2012</w:t>
      </w:r>
    </w:p>
    <w:p>
      <w:pPr>
        <w:ind w:left="288"/>
      </w:pPr>
      <w:r>
        <w:rPr>
          <w:color w:val="8C8C8C"/>
          <w:sz w:val="12"/>
        </w:rPr>
        <w:t>cf-art-18-par-2</w:t>
      </w:r>
      <w:r>
        <w:rPr>
          <w:color w:val="003CA0"/>
          <w:sz w:val="12"/>
        </w:rPr>
        <w:t xml:space="preserve"> | AO 97</w:t>
      </w:r>
      <w:r>
        <w:rPr>
          <w:color w:val="003CA0"/>
          <w:sz w:val="12"/>
        </w:rPr>
        <w:t xml:space="preserve"> | rel. Sepúlveda Pertence</w:t>
      </w:r>
    </w:p>
    <w:p>
      <w:pPr>
        <w:ind w:left="288"/>
      </w:pPr>
      <w:r>
        <w:rPr>
          <w:color w:val="1E1E1E"/>
          <w:sz w:val="18"/>
        </w:rPr>
        <w:t>O aperfeiçoamento da conversão de um Território Federal em Estado-membro, na plenitude do seu status constitucional, não é um fato instantâneo – unico actu perficiuntur: é o resultado de um processo mais ou menos complexo, que se inicia com o ato de criação, mas somente se exaure quando o novo Estado puder exercer por órgãos próprios a plenitude dos poderes que lhe confere a Constituição da República, no que se traduz a plena e efetiva assunção de sua autonomia.</w:t>
      </w:r>
    </w:p>
    <w:p>
      <w:pPr>
        <w:ind w:left="288"/>
      </w:pPr>
      <w:r>
        <w:rPr>
          <w:b/>
          <w:color w:val="003CA0"/>
          <w:sz w:val="16"/>
        </w:rPr>
        <w:t>[AO 97 MC, rel. min. Sepúlveda Pertence, j. 26-9-1991, P, DJ de 2-4-1993.]</w:t>
      </w:r>
    </w:p>
    <w:p>
      <w:pPr>
        <w:ind w:left="144"/>
      </w:pPr>
      <w:r>
        <w:rPr>
          <w:b/>
          <w:color w:val="B45A00"/>
          <w:sz w:val="16"/>
        </w:rPr>
        <w:t>CONTROLE CONCENTRADO</w:t>
      </w:r>
    </w:p>
    <w:p>
      <w:pPr>
        <w:ind w:left="288"/>
      </w:pPr>
      <w:r>
        <w:rPr>
          <w:color w:val="8C8C8C"/>
          <w:sz w:val="12"/>
        </w:rPr>
        <w:t>cf-art-18-par-3</w:t>
      </w:r>
      <w:r>
        <w:rPr>
          <w:color w:val="003CA0"/>
          <w:sz w:val="12"/>
        </w:rPr>
        <w:t xml:space="preserve"> | ADI 1.509</w:t>
      </w:r>
      <w:r>
        <w:rPr>
          <w:color w:val="003CA0"/>
          <w:sz w:val="12"/>
        </w:rPr>
        <w:t xml:space="preserve"> | rel. Gilmar Mendes</w:t>
      </w:r>
    </w:p>
    <w:p>
      <w:pPr>
        <w:ind w:left="288"/>
      </w:pPr>
      <w:r>
        <w:rPr>
          <w:color w:val="1E1E1E"/>
          <w:sz w:val="18"/>
        </w:rPr>
        <w:t>Lei do Distrito Federal 899/1995. (...) Previsão de alteração dos limites territoriais entre o Distrito Federal e o Estado de Goiás. Inconstitucionalidade material.</w:t>
      </w:r>
    </w:p>
    <w:p>
      <w:pPr>
        <w:ind w:left="288"/>
      </w:pPr>
      <w:r>
        <w:rPr>
          <w:b/>
          <w:color w:val="003CA0"/>
          <w:sz w:val="16"/>
        </w:rPr>
        <w:t>[ADI 1.509, rel. min. Gilmar Mendes, j. 11-9-2014, P, DJE de 18-11-2014.]</w:t>
      </w:r>
    </w:p>
    <w:p>
      <w:pPr>
        <w:ind w:left="288"/>
      </w:pPr>
      <w:r>
        <w:rPr>
          <w:color w:val="8C8C8C"/>
          <w:sz w:val="12"/>
        </w:rPr>
        <w:t>cf-art-18-par-3</w:t>
      </w:r>
      <w:r>
        <w:rPr>
          <w:color w:val="003CA0"/>
          <w:sz w:val="12"/>
        </w:rPr>
        <w:t xml:space="preserve"> | ADI 2.650</w:t>
      </w:r>
      <w:r>
        <w:rPr>
          <w:color w:val="003CA0"/>
          <w:sz w:val="12"/>
        </w:rPr>
        <w:t xml:space="preserve"> | rel. Dias Toffoli</w:t>
      </w:r>
    </w:p>
    <w:p>
      <w:pPr>
        <w:ind w:left="288"/>
      </w:pPr>
      <w:r>
        <w:rPr>
          <w:color w:val="1E1E1E"/>
          <w:sz w:val="18"/>
        </w:rPr>
        <w:t>Sendo o desmembramento uma divisão territorial, uma separação, com o desfalque de parte do território e de parte da sua população, não há como excluir da consulta plebiscitária os interesses da população da área remanescente, população essa que também será inevitavelmente afetada. O desmembramento dos entes federativos, além de reduzir seu espaço territorial e sua população, pode resultar, ainda, na cisão da unidade sociocultural, econômica e financeira do Estado, razão pela qual a vontade da população do território remanescente não deve ser desconsiderada, nem deve ser essa população rotulada</w:t>
      </w:r>
    </w:p>
    <w:p>
      <w:pPr>
        <w:ind w:left="288"/>
      </w:pPr>
      <w:r>
        <w:rPr>
          <w:b/>
          <w:color w:val="003CA0"/>
          <w:sz w:val="16"/>
        </w:rPr>
        <w:t>[ADI 2.650, rel. min. Dias Toffoli, j. 24-8-2011, P, DJE de 17-11-2011.]</w:t>
      </w:r>
    </w:p>
    <w:p>
      <w:pPr>
        <w:ind w:left="288"/>
      </w:pPr>
      <w:r>
        <w:rPr>
          <w:color w:val="8C8C8C"/>
          <w:sz w:val="12"/>
        </w:rPr>
        <w:t>cf-art-18-par-3</w:t>
      </w:r>
      <w:r>
        <w:rPr>
          <w:color w:val="003CA0"/>
          <w:sz w:val="12"/>
        </w:rPr>
        <w:t xml:space="preserve"> | ADO 70</w:t>
      </w:r>
      <w:r>
        <w:rPr>
          <w:color w:val="003CA0"/>
          <w:sz w:val="12"/>
        </w:rPr>
        <w:t xml:space="preserve"> | rel. Gilmar Mendes</w:t>
      </w:r>
    </w:p>
    <w:p>
      <w:pPr>
        <w:ind w:left="288"/>
      </w:pPr>
      <w:r>
        <w:rPr>
          <w:color w:val="1E1E1E"/>
          <w:sz w:val="18"/>
        </w:rPr>
        <w:t>§ 4º A criação, a incorporação, a fusão e o desmembramento de Municípios, far-se-ão por lei estadual, dentro do período determinado por Lei Complementar Federal, e dependerão de consulta prévia, mediante plebiscito, às populações dos Municípios envolvidos, após divulgação dos Estudos de Viabilidade Municipal, apresentados e publicados na forma da lei. (Redação da EC n. 15/1996) O Supremo Tribunal Federal, no âmbito da ADI nº 3.682/MT (Rel. Min. Gilmar Mendes, Tribunal Pleno, DJ de 6/9/07), declarou o estado de mora do Congresso Nacional quanto ao cumprimento do mandamento constitucional inscul</w:t>
      </w:r>
    </w:p>
    <w:p>
      <w:pPr>
        <w:ind w:left="288"/>
      </w:pPr>
      <w:r>
        <w:rPr>
          <w:b/>
          <w:color w:val="003CA0"/>
          <w:sz w:val="16"/>
        </w:rPr>
        <w:t>[ADO 70, rel. min. Dias Toffoli, j. 29.09.2025, P, DJE de 13.10.2025.]</w:t>
      </w:r>
    </w:p>
    <w:p>
      <w:pPr>
        <w:ind w:left="288"/>
      </w:pPr>
      <w:r>
        <w:rPr>
          <w:color w:val="8C8C8C"/>
          <w:sz w:val="12"/>
        </w:rPr>
        <w:t>cf-art-18-par-3</w:t>
      </w:r>
      <w:r>
        <w:rPr>
          <w:color w:val="003CA0"/>
          <w:sz w:val="12"/>
        </w:rPr>
        <w:t xml:space="preserve"> | ADPF 819</w:t>
      </w:r>
      <w:r>
        <w:rPr>
          <w:color w:val="003CA0"/>
          <w:sz w:val="12"/>
        </w:rPr>
        <w:t xml:space="preserve"> | rel. Roberto Barroso</w:t>
      </w:r>
    </w:p>
    <w:p>
      <w:pPr>
        <w:ind w:left="288"/>
      </w:pPr>
      <w:r>
        <w:rPr>
          <w:color w:val="1E1E1E"/>
          <w:sz w:val="18"/>
        </w:rPr>
        <w:t>Pendente a edição de legislação federal que assinale o prazo dentro do qual será permitida a criação e alteração de municípios, são inconstitucionais, por violação do § 4º do art. 18 da Constituição, na redação que lhe foi dada pela EC 15/1996, os regramentos estaduais que porventura disciplinem a matéria.</w:t>
        <w:br/>
        <w:t>[ADPF 819, rel. min. Roberto Barroso, red. do ac. min. Gilmar Mendes, j. 9-10-2023, P, DJE de 9-1-2024.] A redação original do art. 18, § 4º, da CF/1988 condicionava a criação de municípios à edição de lei estadual, obedecidos os requisitos previstos em Lei Complementar estadual, e a uma con</w:t>
      </w:r>
    </w:p>
    <w:p>
      <w:pPr>
        <w:ind w:left="288"/>
      </w:pPr>
      <w:r>
        <w:rPr>
          <w:b/>
          <w:color w:val="003CA0"/>
          <w:sz w:val="16"/>
        </w:rPr>
        <w:t>[ADI 1.825, rel. min. Luiz Fux, j. 15-4-2020, P, DJE de 20-5-2020.]</w:t>
      </w:r>
    </w:p>
    <w:p>
      <w:pPr>
        <w:ind w:left="288"/>
      </w:pPr>
      <w:r>
        <w:rPr>
          <w:color w:val="8C8C8C"/>
          <w:sz w:val="12"/>
        </w:rPr>
        <w:t>cf-art-18-par-3</w:t>
      </w:r>
      <w:r>
        <w:rPr>
          <w:color w:val="003CA0"/>
          <w:sz w:val="12"/>
        </w:rPr>
        <w:t xml:space="preserve"> | ADI 2.650</w:t>
      </w:r>
      <w:r>
        <w:rPr>
          <w:color w:val="003CA0"/>
          <w:sz w:val="12"/>
        </w:rPr>
        <w:t xml:space="preserve"> | rel. Dias Toffoli</w:t>
      </w:r>
    </w:p>
    <w:p>
      <w:pPr>
        <w:ind w:left="288"/>
      </w:pPr>
      <w:r>
        <w:rPr>
          <w:color w:val="1E1E1E"/>
          <w:sz w:val="18"/>
        </w:rPr>
        <w:t>Após a alteração promovida pela EC 15/1996, a Constituição explicitou o alcance do âmbito de consulta para o caso de reformulação territorial de Municípios e, portanto, o significado da expressão "populações diretamente interessadas", contida na redação originária do § 4º do art. 18 da Constituição, no sentido de ser necessária a consulta a toda a população afetada pela modificação territorial, o que, no caso de desmembramento, deve envolver tanto a população do território a ser desmembrado quanto a do território remanescente. Esse sempre foi o real sentido da exigência constitucional – a nova</w:t>
      </w:r>
    </w:p>
    <w:p>
      <w:pPr>
        <w:ind w:left="288"/>
      </w:pPr>
      <w:r>
        <w:rPr>
          <w:b/>
          <w:color w:val="003CA0"/>
          <w:sz w:val="16"/>
        </w:rPr>
        <w:t>[ADI 2.650, rel. min. Dias Toffoli, j. 24-8-2011, P, DJE de 17-11-2011.]</w:t>
      </w:r>
    </w:p>
    <w:p>
      <w:pPr>
        <w:ind w:left="288"/>
      </w:pPr>
      <w:r>
        <w:rPr>
          <w:color w:val="8C8C8C"/>
          <w:sz w:val="12"/>
        </w:rPr>
        <w:t>cf-art-18-par-3</w:t>
      </w:r>
      <w:r>
        <w:rPr>
          <w:color w:val="003CA0"/>
          <w:sz w:val="12"/>
        </w:rPr>
        <w:t xml:space="preserve"> | ADI 2.381</w:t>
      </w:r>
      <w:r>
        <w:rPr>
          <w:color w:val="003CA0"/>
          <w:sz w:val="12"/>
        </w:rPr>
        <w:t xml:space="preserve"> | rel. Cármen Lúcia</w:t>
      </w:r>
    </w:p>
    <w:p>
      <w:pPr>
        <w:ind w:left="288"/>
      </w:pPr>
      <w:r>
        <w:rPr>
          <w:color w:val="1E1E1E"/>
          <w:sz w:val="18"/>
        </w:rPr>
        <w:t>Com o advento da EC 57/2008, foram convalidados os atos de criação de Municípios cuja lei tenha sido publicada até 31-12-2006, atendidos os requisitos na legislação do respectivo Estado à época de sua criação.</w:t>
      </w:r>
    </w:p>
    <w:p>
      <w:pPr>
        <w:ind w:left="288"/>
      </w:pPr>
      <w:r>
        <w:rPr>
          <w:b/>
          <w:color w:val="003CA0"/>
          <w:sz w:val="16"/>
        </w:rPr>
        <w:t>[ADI 2.381 AgR, rel. min. Cármen Lúcia, j. 24-3-2011, P, DJE de 11-4-2011.]</w:t>
      </w:r>
    </w:p>
    <w:p>
      <w:pPr>
        <w:ind w:left="288"/>
      </w:pPr>
      <w:r>
        <w:rPr>
          <w:color w:val="8C8C8C"/>
          <w:sz w:val="12"/>
        </w:rPr>
        <w:t>cf-art-18-par-3</w:t>
      </w:r>
      <w:r>
        <w:rPr>
          <w:color w:val="003CA0"/>
          <w:sz w:val="12"/>
        </w:rPr>
        <w:t xml:space="preserve"> | ADI 1.881</w:t>
      </w:r>
      <w:r>
        <w:rPr>
          <w:color w:val="003CA0"/>
          <w:sz w:val="12"/>
        </w:rPr>
        <w:t xml:space="preserve"> | rel. Ricardo Lewandowski</w:t>
      </w:r>
    </w:p>
    <w:p>
      <w:pPr>
        <w:ind w:left="288"/>
      </w:pPr>
      <w:r>
        <w:rPr>
          <w:color w:val="1E1E1E"/>
          <w:sz w:val="18"/>
        </w:rPr>
        <w:t>Uma vez cumprido o processo de desmembramento de área de certo Município, criando-se nova unidade federativa, descabe, mediante lei estadual, mera revogação do ato normativo que o formalizou. A fusão há de observar novo processo e, portanto, prévia consulta plebiscitária às populações dos entes políticos diretamente envolvidos, por força do art. 18, § 4º, da CF.</w:t>
      </w:r>
    </w:p>
    <w:p>
      <w:pPr>
        <w:ind w:left="288"/>
      </w:pPr>
      <w:r>
        <w:rPr>
          <w:b/>
          <w:color w:val="003CA0"/>
          <w:sz w:val="16"/>
        </w:rPr>
        <w:t>[ADI 1.881, rel. min. Ricardo Lewandowski, j. 10-5-2007, P, DJ de 15-6-2007.]</w:t>
      </w:r>
    </w:p>
    <w:p>
      <w:pPr>
        <w:ind w:left="288"/>
      </w:pPr>
      <w:r>
        <w:rPr>
          <w:color w:val="8C8C8C"/>
          <w:sz w:val="12"/>
        </w:rPr>
        <w:t>cf-art-18-par-3</w:t>
      </w:r>
      <w:r>
        <w:rPr>
          <w:color w:val="003CA0"/>
          <w:sz w:val="12"/>
        </w:rPr>
        <w:t xml:space="preserve"> | ADI 1.262</w:t>
      </w:r>
      <w:r>
        <w:rPr>
          <w:color w:val="003CA0"/>
          <w:sz w:val="12"/>
        </w:rPr>
        <w:t xml:space="preserve"> | rel. Sydney Sanches</w:t>
      </w:r>
    </w:p>
    <w:p>
      <w:pPr>
        <w:ind w:left="288"/>
      </w:pPr>
      <w:r>
        <w:rPr>
          <w:color w:val="1E1E1E"/>
          <w:sz w:val="18"/>
        </w:rPr>
        <w:t>= ADI 1.262, rel. min. Sydney Sanches, j. 11-9-1997, P, DJ de 12-12-1997 EC 15/1996, que deu nova redação ao § 4º do art. 18 da CF. Modificação dos requisitos constitucionais para a criação, fusão, incorporação e desmembramento de Municípios. Controle da constitucionalidade da atuação do poder legislativo de reforma da Constituição de 1988. Inexistência de afronta à cláusula pétrea da forma federativa do Estado, decorrente da atribuição, à lei complementar federal, para fixação do período dentro do qual poderão ser efetivadas a criação, a incorporação, a fusão e o desmembramento de Municípios.</w:t>
      </w:r>
    </w:p>
    <w:p>
      <w:pPr>
        <w:ind w:left="288"/>
      </w:pPr>
      <w:r>
        <w:rPr>
          <w:b/>
          <w:color w:val="003CA0"/>
          <w:sz w:val="16"/>
        </w:rPr>
        <w:t>[ADI 2.395, rel. min. Gilmar Mendes, j. 9-5-2007, P, DJE de 23-5-2008.]</w:t>
      </w:r>
    </w:p>
    <w:p>
      <w:pPr>
        <w:ind w:left="288"/>
      </w:pPr>
      <w:r>
        <w:rPr>
          <w:color w:val="8C8C8C"/>
          <w:sz w:val="12"/>
        </w:rPr>
        <w:t>cf-art-18-par-3</w:t>
      </w:r>
      <w:r>
        <w:rPr>
          <w:color w:val="003CA0"/>
          <w:sz w:val="12"/>
        </w:rPr>
        <w:t xml:space="preserve"> | ADI 2.381</w:t>
      </w:r>
      <w:r>
        <w:rPr>
          <w:color w:val="003CA0"/>
          <w:sz w:val="12"/>
        </w:rPr>
        <w:t xml:space="preserve"> | rel. Sepúlveda Pertence</w:t>
      </w:r>
    </w:p>
    <w:p>
      <w:pPr>
        <w:ind w:left="288"/>
      </w:pPr>
      <w:r>
        <w:rPr>
          <w:color w:val="1E1E1E"/>
          <w:sz w:val="18"/>
        </w:rPr>
        <w:t>= ADI 2.381 MC, rel. min. Sepúlveda Pertence, j. 20-6-2001, P, DJ de 14-12-2001 Ação direta de inconstitucionalidade. Lei 7.619/2000, do Estado da Bahia, que criou o Município de Luís Eduardo Magalhães. Inconstitucionalidade de lei estadual posterior à EC 15/1996. Ausência de lei complementar federal prevista no texto constitucional. Afronta ao disposto no art. 18, § 4º, da Constituição do Brasil. Omissão do Poder Legislativo. Existência de fato. Situação consolidada. Princípio da segurança jurídica. Situação de exceção, estado de exceção. (...) A exceção resulta de omissão do Poder Legislativ</w:t>
      </w:r>
    </w:p>
    <w:p>
      <w:pPr>
        <w:ind w:left="288"/>
      </w:pPr>
      <w:r>
        <w:rPr>
          <w:b/>
          <w:color w:val="003CA0"/>
          <w:sz w:val="16"/>
        </w:rPr>
        <w:t>[ADI 2.240, rel. min. Eros Grau, j. 9-5-2007, P, DJ de 3-8-2007.]</w:t>
      </w:r>
    </w:p>
    <w:p>
      <w:pPr>
        <w:ind w:left="288"/>
      </w:pPr>
      <w:r>
        <w:rPr>
          <w:color w:val="8C8C8C"/>
          <w:sz w:val="12"/>
        </w:rPr>
        <w:t>cf-art-18-par-3</w:t>
      </w:r>
      <w:r>
        <w:rPr>
          <w:color w:val="003CA0"/>
          <w:sz w:val="12"/>
        </w:rPr>
        <w:t xml:space="preserve"> | ADI 458</w:t>
      </w:r>
      <w:r>
        <w:rPr>
          <w:color w:val="003CA0"/>
          <w:sz w:val="12"/>
        </w:rPr>
        <w:t xml:space="preserve"> | rel. Sydney Sanches</w:t>
      </w:r>
    </w:p>
    <w:p>
      <w:pPr>
        <w:ind w:left="288"/>
      </w:pPr>
      <w:r>
        <w:rPr>
          <w:color w:val="1E1E1E"/>
          <w:sz w:val="18"/>
        </w:rPr>
        <w:t xml:space="preserve">Ação direta de inconstitucionalidade. Art. 51 do ADCT do Estado da Paraíba. Redefinição dos limites territoriais do Município do Conde. Desmembramento de parte de Município e incorporação da área separada ao território da municipalidade limítrofe, tudo sem a prévia consulta, mediante plebiscito, das populações de ambas as localidades. Ofensa ao art. 18, § 4º, da CF. Para a averiguação da violação apontada pelo requerente, qual seja, o desrespeito, pelo legislador constituinte paraibano, das exigências de consulta prévia e de edição de lei estadual para o desmembramento de Município, não foi a </w:t>
      </w:r>
    </w:p>
    <w:p>
      <w:pPr>
        <w:ind w:left="288"/>
      </w:pPr>
      <w:r>
        <w:rPr>
          <w:b/>
          <w:color w:val="003CA0"/>
          <w:sz w:val="16"/>
        </w:rPr>
        <w:t>[ADI 3.615, rel. min. Ellen Gracie, j. 30-8-2006, P, DJ de 9-3-2007.]</w:t>
      </w:r>
    </w:p>
    <w:p>
      <w:pPr>
        <w:ind w:left="288"/>
      </w:pPr>
      <w:r>
        <w:rPr>
          <w:color w:val="8C8C8C"/>
          <w:sz w:val="12"/>
        </w:rPr>
        <w:t>cf-art-18-par-3</w:t>
      </w:r>
      <w:r>
        <w:rPr>
          <w:color w:val="003CA0"/>
          <w:sz w:val="12"/>
        </w:rPr>
        <w:t xml:space="preserve"> | RE 614.384</w:t>
      </w:r>
      <w:r>
        <w:rPr>
          <w:color w:val="003CA0"/>
          <w:sz w:val="12"/>
        </w:rPr>
        <w:t xml:space="preserve"> | rel. Dias Toffoli</w:t>
      </w:r>
    </w:p>
    <w:p>
      <w:pPr>
        <w:ind w:left="288"/>
      </w:pPr>
      <w:r>
        <w:rPr>
          <w:color w:val="1E1E1E"/>
          <w:sz w:val="18"/>
        </w:rPr>
        <w:t>Repercussão gereal A EC 57/08 não convalidou desmembramento municipal realizado sem consulta plebiscitária e, nesse contexto, não retirou o vício de ilegitimidade ativa existente nas execuções fiscais que haviam sido propostas por município ao qual fora acrescida, sem tal consulta, área de outro para a cobrança do IPTU quanto a imóveis nela localizados.</w:t>
      </w:r>
    </w:p>
    <w:p>
      <w:pPr>
        <w:ind w:left="288"/>
      </w:pPr>
      <w:r>
        <w:rPr>
          <w:b/>
          <w:color w:val="003CA0"/>
          <w:sz w:val="16"/>
        </w:rPr>
        <w:t>[RE 614.384, rel. min. Dias Toffoli, j. 2-5-2022, P, DJE de 12-5-2022, Tema 559, com mérito julgado.]</w:t>
      </w:r>
    </w:p>
    <w:p>
      <w:pPr>
        <w:ind w:left="288"/>
      </w:pPr>
      <w:r>
        <w:rPr>
          <w:color w:val="8C8C8C"/>
          <w:sz w:val="12"/>
        </w:rPr>
        <w:t>cf-art-18-par-3</w:t>
      </w:r>
      <w:r>
        <w:rPr>
          <w:color w:val="003CA0"/>
          <w:sz w:val="12"/>
        </w:rPr>
        <w:t xml:space="preserve"> | RE 1.171.699</w:t>
      </w:r>
      <w:r>
        <w:rPr>
          <w:color w:val="003CA0"/>
          <w:sz w:val="12"/>
        </w:rPr>
        <w:t xml:space="preserve"> | rel. Carmen Lúcia</w:t>
      </w:r>
    </w:p>
    <w:p>
      <w:pPr>
        <w:ind w:left="288"/>
      </w:pPr>
      <w:r>
        <w:rPr>
          <w:color w:val="1E1E1E"/>
          <w:sz w:val="18"/>
        </w:rPr>
        <w:t>Declaração de inconstitucionalidade da alteração dos limites intermunicipais por ausência de observância do § 4º do art. 18 da Constituição da República. A exigência da realização de plebiscito, como se determina no § 4º do art. 18 da Constituição da República, não foi afastada pelo art. 96 do ato das disposições constitucionais transitórias, introduzido pela emenda constitucional 57/2008, sendo ilegítimo o município ocupante para cobrar o imposto sobre a propriedade predial e territorial urbana – IPTU nos territórios indevidamente incorporados.</w:t>
      </w:r>
    </w:p>
    <w:p>
      <w:pPr>
        <w:ind w:left="288"/>
      </w:pPr>
      <w:r>
        <w:rPr>
          <w:b/>
          <w:color w:val="003CA0"/>
          <w:sz w:val="16"/>
        </w:rPr>
        <w:t>[RE 1.171.699, rel. min. Carmen Lúcia, j. 29-11-2019, P, DJE de 18-12-2019, Tema 400, com mérito julgado.]</w:t>
      </w:r>
    </w:p>
    <w:p>
      <w:pPr>
        <w:ind w:left="288"/>
      </w:pPr>
      <w:r>
        <w:rPr>
          <w:color w:val="8C8C8C"/>
          <w:sz w:val="12"/>
        </w:rPr>
        <w:t>cf-art-18-par-3</w:t>
      </w:r>
      <w:r>
        <w:rPr>
          <w:color w:val="003CA0"/>
          <w:sz w:val="12"/>
        </w:rPr>
        <w:t xml:space="preserve"> | ARE 1.529.917</w:t>
      </w:r>
      <w:r>
        <w:rPr>
          <w:color w:val="003CA0"/>
          <w:sz w:val="12"/>
        </w:rPr>
        <w:t xml:space="preserve"> | rel. Gilmar Mendes</w:t>
      </w:r>
    </w:p>
    <w:p>
      <w:pPr>
        <w:ind w:left="288"/>
      </w:pPr>
      <w:r>
        <w:rPr>
          <w:color w:val="1E1E1E"/>
          <w:sz w:val="18"/>
        </w:rPr>
        <w:t>A necessidade de prévia realização de plebiscito às comunidades envolvidas em desmembramento de municípios se estende para as hipóteses em que há apenas a consolidação das divisas mediante a alteração das fronteiras originais, qualquer que seja a extensão da modificação.</w:t>
      </w:r>
    </w:p>
    <w:p>
      <w:pPr>
        <w:ind w:left="288"/>
      </w:pPr>
      <w:r>
        <w:rPr>
          <w:b/>
          <w:color w:val="003CA0"/>
          <w:sz w:val="16"/>
        </w:rPr>
        <w:t>[ARE 1.529.917, rel. min. Gilmar Mendes, j. 24.03.2025, P, DJE de 07.04.2025.]</w:t>
      </w:r>
    </w:p>
    <w:p>
      <w:pPr>
        <w:ind w:left="144"/>
      </w:pPr>
      <w:r>
        <w:rPr>
          <w:b/>
          <w:color w:val="B45A00"/>
          <w:sz w:val="16"/>
        </w:rPr>
        <w:t>JULGADOS CORRELATOS</w:t>
      </w:r>
    </w:p>
    <w:p>
      <w:pPr>
        <w:ind w:left="288"/>
      </w:pPr>
      <w:r>
        <w:rPr>
          <w:color w:val="8C8C8C"/>
          <w:sz w:val="12"/>
        </w:rPr>
        <w:t>cf-art-18-par-3</w:t>
      </w:r>
      <w:r>
        <w:rPr>
          <w:color w:val="003CA0"/>
          <w:sz w:val="12"/>
        </w:rPr>
        <w:t xml:space="preserve"> | MI 725</w:t>
      </w:r>
      <w:r>
        <w:rPr>
          <w:color w:val="003CA0"/>
          <w:sz w:val="12"/>
        </w:rPr>
        <w:t xml:space="preserve"> | rel. Gilmar Mendes</w:t>
      </w:r>
    </w:p>
    <w:p>
      <w:pPr>
        <w:ind w:left="288"/>
      </w:pPr>
      <w:r>
        <w:rPr>
          <w:color w:val="1E1E1E"/>
          <w:sz w:val="18"/>
        </w:rPr>
        <w:t>Mandado de injunção. Alegada omissão legislativa quanto à elaboração da lei complementar a que se refere o § 4º do art. 18 da CF, na redação dada pela EC 15/1996. Ilegitimidade ativa do Município impetrante. Inexistência de direito ou prerrogativa constitucional do Município cujo exercício esteja sendo obstaculizado pela ausência da lei complementar federal exigida pelo art. 18, § 4º, da Constituição.</w:t>
      </w:r>
    </w:p>
    <w:p>
      <w:pPr>
        <w:ind w:left="288"/>
      </w:pPr>
      <w:r>
        <w:rPr>
          <w:b/>
          <w:color w:val="003CA0"/>
          <w:sz w:val="16"/>
        </w:rPr>
        <w:t>[MI 725, rel. min. Gilmar Mendes, j. 10-5-2007, P, DJ de 21-9-2007.]</w:t>
      </w:r>
    </w:p>
    <w:p>
      <w:pPr>
        <w:ind w:left="432"/>
      </w:pPr>
      <w:r>
        <w:rPr>
          <w:color w:val="003366"/>
          <w:sz w:val="18"/>
        </w:rPr>
        <w:t>§ 1 Brasília é a Capital Federal.</w:t>
      </w:r>
    </w:p>
    <w:p>
      <w:pPr>
        <w:ind w:left="432"/>
      </w:pPr>
      <w:r>
        <w:rPr>
          <w:color w:val="003366"/>
          <w:sz w:val="18"/>
        </w:rPr>
        <w:t>§ 2 Os Territórios Federais integram a União, e sua criação, transformação em Es</w:t>
      </w:r>
    </w:p>
    <w:p>
      <w:pPr>
        <w:ind w:left="432"/>
      </w:pPr>
      <w:r>
        <w:rPr>
          <w:color w:val="003366"/>
          <w:sz w:val="18"/>
        </w:rPr>
        <w:t>§ 3 Os Estados podem incorporar-se entre si, subdividir-se ou desmembrar-se para</w:t>
      </w:r>
    </w:p>
    <w:p>
      <w:pPr>
        <w:ind w:left="432"/>
      </w:pPr>
      <w:r>
        <w:rPr>
          <w:color w:val="003366"/>
          <w:sz w:val="18"/>
        </w:rPr>
        <w:t>§ 4 A criação, a incorporação, a fusão e o desmembramento de Municípios, far-se-</w:t>
      </w:r>
    </w:p>
    <w:p>
      <w:r>
        <w:rPr>
          <w:b/>
          <w:color w:val="003366"/>
          <w:sz w:val="20"/>
        </w:rPr>
        <w:t>Art. 19 É vedado à União, aos Estados, ao Distrito Federal e aos Municípios:</w:t>
      </w:r>
      <w:r>
        <w:rPr>
          <w:color w:val="8C8C8C"/>
          <w:sz w:val="14"/>
        </w:rPr>
        <w:t xml:space="preserve">  [13 decisoes]</w:t>
      </w:r>
    </w:p>
    <w:p>
      <w:pPr>
        <w:ind w:left="288"/>
      </w:pPr>
      <w:r>
        <w:rPr>
          <w:color w:val="8C8C8C"/>
          <w:sz w:val="12"/>
        </w:rPr>
        <w:t>cf-art-19</w:t>
      </w:r>
      <w:r>
        <w:rPr>
          <w:color w:val="003CA0"/>
          <w:sz w:val="12"/>
        </w:rPr>
        <w:t xml:space="preserve"> | ADI 5.255</w:t>
      </w:r>
      <w:r>
        <w:rPr>
          <w:color w:val="003CA0"/>
          <w:sz w:val="12"/>
        </w:rPr>
        <w:t xml:space="preserve"> | rel. Nunes Marques</w:t>
      </w:r>
    </w:p>
    <w:p>
      <w:pPr>
        <w:ind w:left="288"/>
      </w:pPr>
      <w:r>
        <w:rPr>
          <w:color w:val="1E1E1E"/>
          <w:sz w:val="18"/>
        </w:rPr>
        <w:t>É constitucional — e não ofende os princípios da isonomia (CF/1988, art. 5º, caput), da liberdade religiosa (CF/1988, art. 5º, VI a VIII) e da laicidade estatal (CF/1988, art. 19, I) — norma estadual que permite a aquisição e a manutenção de exemplares da Bíblia Sagrada no acervo das bibliotecas públicas. O que é vedado ao legislador é obrigar (determinar) que se adquiram e/ou se mantenham livros religiosos em espaços públicos.</w:t>
      </w:r>
    </w:p>
    <w:p>
      <w:pPr>
        <w:ind w:left="288"/>
      </w:pPr>
      <w:r>
        <w:rPr>
          <w:b/>
          <w:color w:val="003CA0"/>
          <w:sz w:val="16"/>
        </w:rPr>
        <w:t>[ADI 5.255, rel. min. Nunes Marques, red. do ac. min. Cristiano Zanin, j. 26.09.2025, P, Informativo STF 1.192.]</w:t>
      </w:r>
    </w:p>
    <w:p>
      <w:pPr>
        <w:ind w:left="288"/>
      </w:pPr>
      <w:r>
        <w:rPr>
          <w:color w:val="8C8C8C"/>
          <w:sz w:val="12"/>
        </w:rPr>
        <w:t>cf-art-19</w:t>
      </w:r>
    </w:p>
    <w:p>
      <w:pPr>
        <w:ind w:left="288"/>
      </w:pPr>
      <w:r>
        <w:rPr>
          <w:color w:val="1E1E1E"/>
          <w:sz w:val="18"/>
        </w:rPr>
        <w:t>I - estabelecer cultos religiosos ou igrejas, subvencioná-los, embaraçar-lhes o funcionamento ou manter com eles ou seus representantes relações de dependência ou aliança, ressalvada, na forma da lei, a colaboração de interesse público;</w:t>
      </w:r>
    </w:p>
    <w:p>
      <w:pPr>
        <w:ind w:left="144"/>
      </w:pPr>
      <w:r>
        <w:rPr>
          <w:b/>
          <w:color w:val="B45A00"/>
          <w:sz w:val="16"/>
        </w:rPr>
        <w:t>CONTROLE CONCENTRADO</w:t>
      </w:r>
    </w:p>
    <w:p>
      <w:pPr>
        <w:ind w:left="288"/>
      </w:pPr>
      <w:r>
        <w:rPr>
          <w:color w:val="8C8C8C"/>
          <w:sz w:val="12"/>
        </w:rPr>
        <w:t>cf-art-19</w:t>
      </w:r>
      <w:r>
        <w:rPr>
          <w:color w:val="003CA0"/>
          <w:sz w:val="12"/>
        </w:rPr>
        <w:t xml:space="preserve"> | ADI 5.258</w:t>
      </w:r>
      <w:r>
        <w:rPr>
          <w:color w:val="003CA0"/>
          <w:sz w:val="12"/>
        </w:rPr>
        <w:t xml:space="preserve"> | rel. Cármen Lúcia</w:t>
      </w:r>
    </w:p>
    <w:p>
      <w:pPr>
        <w:ind w:left="288"/>
      </w:pPr>
      <w:r>
        <w:rPr>
          <w:color w:val="1E1E1E"/>
          <w:sz w:val="18"/>
        </w:rPr>
        <w:t>É inconstitucional, por ofensa aos princípios da isonomia, da liberdade religiosa e da laicidade do Estado, norma que obrigue a manutenção de exemplar de determinado livro de cunho religioso em unidades escolares e bibliotecas públicas estaduais.</w:t>
      </w:r>
    </w:p>
    <w:p>
      <w:pPr>
        <w:ind w:left="288"/>
      </w:pPr>
      <w:r>
        <w:rPr>
          <w:b/>
          <w:color w:val="003CA0"/>
          <w:sz w:val="16"/>
        </w:rPr>
        <w:t>[ADI 5.258, rel. min. Cármen Lúcia, j. 13-4-2021, P, DJE de 27-4-2021.]</w:t>
      </w:r>
    </w:p>
    <w:p>
      <w:pPr>
        <w:ind w:left="288"/>
      </w:pPr>
      <w:r>
        <w:rPr>
          <w:color w:val="8C8C8C"/>
          <w:sz w:val="12"/>
        </w:rPr>
        <w:t>cf-art-19</w:t>
      </w:r>
      <w:r>
        <w:rPr>
          <w:color w:val="003CA0"/>
          <w:sz w:val="12"/>
        </w:rPr>
        <w:t xml:space="preserve"> | ADPF 811</w:t>
      </w:r>
      <w:r>
        <w:rPr>
          <w:color w:val="003CA0"/>
          <w:sz w:val="12"/>
        </w:rPr>
        <w:t xml:space="preserve"> | rel. Gilmar Mendes</w:t>
      </w:r>
    </w:p>
    <w:p>
      <w:pPr>
        <w:ind w:left="288"/>
      </w:pPr>
      <w:r>
        <w:rPr>
          <w:color w:val="1E1E1E"/>
          <w:sz w:val="18"/>
        </w:rPr>
        <w:t>A dimensão do direito à liberdade religiosa (art. 5º, VI, da CF/1988) que reclama proteção jurídica na ADPF afasta-se do núcleo de liberdade de consciência (forum internum) e aproxima-se da proteção constitucionalmente conferida à liberdade do exercício de cultos em coletividade (forum externum). Sob a dimensão interna, a liberdade de consciência não se esgota no aspecto religioso, mas nele encontra expressão concreta de marcado relevo. Por outro lado, na dimensão externa, o texto constitucional brasileiro alberga a liberdade de crença, de aderir a alguma religião e a liberdade do exercício do</w:t>
      </w:r>
    </w:p>
    <w:p>
      <w:pPr>
        <w:ind w:left="288"/>
      </w:pPr>
      <w:r>
        <w:rPr>
          <w:b/>
          <w:color w:val="003CA0"/>
          <w:sz w:val="16"/>
        </w:rPr>
        <w:t>[ADI 3.478, rel. min. Edson Fachin, j. 20-12-2019, P, DJE de 19-2-2020.]</w:t>
      </w:r>
    </w:p>
    <w:p>
      <w:pPr>
        <w:ind w:left="288"/>
      </w:pPr>
      <w:r>
        <w:rPr>
          <w:color w:val="8C8C8C"/>
          <w:sz w:val="12"/>
        </w:rPr>
        <w:t>cf-art-19</w:t>
      </w:r>
      <w:r>
        <w:rPr>
          <w:color w:val="003CA0"/>
          <w:sz w:val="12"/>
        </w:rPr>
        <w:t xml:space="preserve"> | ADI 5.257</w:t>
      </w:r>
      <w:r>
        <w:rPr>
          <w:color w:val="003CA0"/>
          <w:sz w:val="12"/>
        </w:rPr>
        <w:t xml:space="preserve"> | rel. Dias Toffoli</w:t>
      </w:r>
    </w:p>
    <w:p>
      <w:pPr>
        <w:ind w:left="288"/>
      </w:pPr>
      <w:r>
        <w:rPr>
          <w:color w:val="1E1E1E"/>
          <w:sz w:val="18"/>
        </w:rPr>
        <w:t>A oficialização da Bíblia como livro-base de fonte doutrinária para fundamentar princípios, usos e costumes de comunidades, igrejas e grupos no Estado de Rondônia implica inconstitucional discrímen entre crenças, além de caracterizar violação da neutralidade exigida do Estado pela Constituição Federal.</w:t>
      </w:r>
    </w:p>
    <w:p>
      <w:pPr>
        <w:ind w:left="288"/>
      </w:pPr>
      <w:r>
        <w:rPr>
          <w:b/>
          <w:color w:val="003CA0"/>
          <w:sz w:val="16"/>
        </w:rPr>
        <w:t>[ADI 5.257, rel. min. Dias Toffoli, j. 20-9-2018, P, DJE de 3-12-2018.]</w:t>
      </w:r>
    </w:p>
    <w:p>
      <w:pPr>
        <w:ind w:left="288"/>
      </w:pPr>
      <w:r>
        <w:rPr>
          <w:color w:val="8C8C8C"/>
          <w:sz w:val="12"/>
        </w:rPr>
        <w:t>cf-art-19</w:t>
      </w:r>
      <w:r>
        <w:rPr>
          <w:color w:val="003CA0"/>
          <w:sz w:val="12"/>
        </w:rPr>
        <w:t xml:space="preserve"> | ADPF 54</w:t>
      </w:r>
      <w:r>
        <w:rPr>
          <w:color w:val="003CA0"/>
          <w:sz w:val="12"/>
        </w:rPr>
        <w:t xml:space="preserve"> | rel. Marco Aurélio</w:t>
      </w:r>
    </w:p>
    <w:p>
      <w:pPr>
        <w:ind w:left="288"/>
      </w:pPr>
      <w:r>
        <w:rPr>
          <w:color w:val="1E1E1E"/>
          <w:sz w:val="18"/>
        </w:rPr>
        <w:t>O Brasil é uma república laica, surgindo absolutamente neutro quanto às religiões.</w:t>
      </w:r>
    </w:p>
    <w:p>
      <w:pPr>
        <w:ind w:left="288"/>
      </w:pPr>
      <w:r>
        <w:rPr>
          <w:b/>
          <w:color w:val="003CA0"/>
          <w:sz w:val="16"/>
        </w:rPr>
        <w:t>[ADPF 54, rel. min. Marco Aurélio, j. 12-4-2012, P, DJE de 30-4-2013.]</w:t>
      </w:r>
    </w:p>
    <w:p>
      <w:pPr>
        <w:ind w:left="288"/>
      </w:pPr>
      <w:r>
        <w:rPr>
          <w:color w:val="8C8C8C"/>
          <w:sz w:val="12"/>
        </w:rPr>
        <w:t>cf-art-19</w:t>
      </w:r>
      <w:r>
        <w:rPr>
          <w:color w:val="003CA0"/>
          <w:sz w:val="12"/>
        </w:rPr>
        <w:t xml:space="preserve"> | ADI 4.439</w:t>
      </w:r>
      <w:r>
        <w:rPr>
          <w:color w:val="003CA0"/>
          <w:sz w:val="12"/>
        </w:rPr>
        <w:t xml:space="preserve"> | rel. Cristiano Zanin</w:t>
      </w:r>
    </w:p>
    <w:p>
      <w:pPr>
        <w:ind w:left="288"/>
      </w:pPr>
      <w:r>
        <w:rPr>
          <w:color w:val="1E1E1E"/>
          <w:sz w:val="18"/>
        </w:rPr>
        <w:t>Vide ADI 4.439, red.do ac. min. Alexandre de Moraes, j. 27-9-2017, P, DJE de 21-6-2018 “A presença de símbolos religiosos em prédios públicos, pertencentes a qualquer dos Poderes da União, dos Estados, do Distrito Federal e dos Municípios, desde que tenha o objetivo de manifestar a tradição cultural da sociedade brasileira, não viola os princípios da não discriminação, da laicidade estatal e da impessoalidade”.</w:t>
      </w:r>
    </w:p>
    <w:p>
      <w:pPr>
        <w:ind w:left="288"/>
      </w:pPr>
      <w:r>
        <w:rPr>
          <w:b/>
          <w:color w:val="003CA0"/>
          <w:sz w:val="16"/>
        </w:rPr>
        <w:t>[RE 1.249.095, rel. min. Cristiano Zanin, j. 27.11.2024, P, DJE de 27.02.2025, Tema 1.086, com mérito julgado.]</w:t>
      </w:r>
    </w:p>
    <w:p>
      <w:pPr>
        <w:ind w:left="288"/>
      </w:pPr>
      <w:r>
        <w:rPr>
          <w:color w:val="8C8C8C"/>
          <w:sz w:val="12"/>
        </w:rPr>
        <w:t>cf-art-19-inc-II</w:t>
      </w:r>
      <w:r>
        <w:rPr>
          <w:color w:val="003CA0"/>
          <w:sz w:val="12"/>
        </w:rPr>
        <w:t xml:space="preserve"> | ADI 5.511</w:t>
      </w:r>
      <w:r>
        <w:rPr>
          <w:color w:val="003CA0"/>
          <w:sz w:val="12"/>
        </w:rPr>
        <w:t xml:space="preserve"> | rel. Nunes Marques</w:t>
      </w:r>
    </w:p>
    <w:p>
      <w:pPr>
        <w:ind w:left="288"/>
      </w:pPr>
      <w:r>
        <w:rPr>
          <w:color w:val="1E1E1E"/>
          <w:sz w:val="18"/>
        </w:rPr>
        <w:t>Provimento-Geral da Corregedoria de Justiça do Distrito Federal e dos Territórios aplicado aos Serviços Notariais e de Registro. Portaria n . 206/GC, de 9 de dezembro de 2013. Exigência de reconhecimento de firma por Promotor de Justiça para averbação de termo de reconhecimento de paternidade firmado perante o Ministério Público. (...) A exigência normativa equipara os atos praticados por membros do Ministério Público aos de particulares e, assim, recusa-lhes fé pública, em desrespeito ao art. 19, II, da Constituição Federal. O sistema registral já prevê mecanismos adequados para a verificação</w:t>
      </w:r>
    </w:p>
    <w:p>
      <w:pPr>
        <w:ind w:left="288"/>
      </w:pPr>
      <w:r>
        <w:rPr>
          <w:b/>
          <w:color w:val="003CA0"/>
          <w:sz w:val="16"/>
        </w:rPr>
        <w:t>[ADI 5.511, rel. min. Nunes Marques, j. 17.03.2025, P, DJE de 26.03.2025.]</w:t>
      </w:r>
    </w:p>
    <w:p>
      <w:pPr>
        <w:ind w:left="144"/>
      </w:pPr>
      <w:r>
        <w:rPr>
          <w:b/>
          <w:color w:val="B45A00"/>
          <w:sz w:val="16"/>
        </w:rPr>
        <w:t>JULGADOS CORRELATOS</w:t>
      </w:r>
    </w:p>
    <w:p>
      <w:pPr>
        <w:ind w:left="288"/>
      </w:pPr>
      <w:r>
        <w:rPr>
          <w:color w:val="8C8C8C"/>
          <w:sz w:val="12"/>
        </w:rPr>
        <w:t>cf-art-19-inc-II</w:t>
      </w:r>
      <w:r>
        <w:rPr>
          <w:color w:val="003CA0"/>
          <w:sz w:val="12"/>
        </w:rPr>
        <w:t xml:space="preserve"> | RE 964.139</w:t>
      </w:r>
    </w:p>
    <w:p>
      <w:pPr>
        <w:ind w:left="288"/>
      </w:pPr>
      <w:r>
        <w:rPr>
          <w:color w:val="1E1E1E"/>
          <w:sz w:val="18"/>
        </w:rPr>
        <w:t xml:space="preserve">Certidão emitida por meio do sítio eletrônico do STJ contendo equívoco quanto à data do trânsito em julgado de acórdão. Discussão acerca do efeito jurídico a ser conferido a certidão reveladora de falsos dados quando a parte beneficiária das informações inverídicas não tenha contribuído para o erro. O art. 19, II, da Carta da República determina que se resguarde a boa-fé das informações constantes de documentos oficiais e daqueles que as recebem e delas se utilizam nas relações jurídicas. Havendo quebra do binômio lealdade/confiança na prestação do serviço estatal, o princípio da boa-fé há de </w:t>
      </w:r>
    </w:p>
    <w:p>
      <w:pPr>
        <w:ind w:left="288"/>
      </w:pPr>
      <w:r>
        <w:rPr>
          <w:b/>
          <w:color w:val="003CA0"/>
          <w:sz w:val="16"/>
        </w:rPr>
        <w:t>[RE 964.139 ED-AgR, red. do ac. min. Dias Toffoli, j. 7-11-2017, 2ª T, DJE de 23-3-2018.]</w:t>
      </w:r>
    </w:p>
    <w:p>
      <w:pPr>
        <w:ind w:left="144"/>
      </w:pPr>
      <w:r>
        <w:rPr>
          <w:b/>
          <w:color w:val="B45A00"/>
          <w:sz w:val="16"/>
        </w:rPr>
        <w:t>CONTROLE CONCENTRADO</w:t>
      </w:r>
    </w:p>
    <w:p>
      <w:pPr>
        <w:ind w:left="288"/>
      </w:pPr>
      <w:r>
        <w:rPr>
          <w:color w:val="8C8C8C"/>
          <w:sz w:val="12"/>
        </w:rPr>
        <w:t>cf-art-19-inc-III</w:t>
      </w:r>
      <w:r>
        <w:rPr>
          <w:color w:val="003CA0"/>
          <w:sz w:val="12"/>
        </w:rPr>
        <w:t xml:space="preserve"> | ADPF 357</w:t>
      </w:r>
      <w:r>
        <w:rPr>
          <w:color w:val="003CA0"/>
          <w:sz w:val="12"/>
        </w:rPr>
        <w:t xml:space="preserve"> | rel. Cármen Lúcia</w:t>
      </w:r>
    </w:p>
    <w:p>
      <w:pPr>
        <w:ind w:left="288"/>
      </w:pPr>
      <w:r>
        <w:rPr>
          <w:color w:val="1E1E1E"/>
          <w:sz w:val="18"/>
        </w:rPr>
        <w:t>A definição de hierarquia na cobrança judicial dos créditos da dívida pública da União aos Estados e Distrito Federal e esses aos Municípios descumpre o princípio federativo e contraria o inc. III do art. 19 da Constituição da República de 1988. (...) Arguição de descumprimento de preceito fundamental julgada procedente para declarar não recepcionadas pela Constituição da República de 1988 as normas previstas no parágrafo único do art. 187 da Lei n. 5.172/1966 (Código Tributário Nacional) e no parágrafo único do art. 29 da Lei n. 6.830/1980 (Lei de Execuções Fiscais).</w:t>
        <w:br/>
        <w:t>[ADPF 357, rel. min. Cárm</w:t>
      </w:r>
    </w:p>
    <w:p>
      <w:pPr>
        <w:ind w:left="288"/>
      </w:pPr>
      <w:r>
        <w:rPr>
          <w:b/>
          <w:color w:val="003CA0"/>
          <w:sz w:val="16"/>
        </w:rPr>
        <w:t>[ADI 5.776, rel. min. Alexandre de Moraes, j. 19-12-2018, P, DJE de 3-4-2019.]</w:t>
      </w:r>
    </w:p>
    <w:p>
      <w:pPr>
        <w:ind w:left="288"/>
      </w:pPr>
      <w:r>
        <w:rPr>
          <w:color w:val="8C8C8C"/>
          <w:sz w:val="12"/>
        </w:rPr>
        <w:t>cf-art-19-inc-III</w:t>
      </w:r>
      <w:r>
        <w:rPr>
          <w:color w:val="003CA0"/>
          <w:sz w:val="12"/>
        </w:rPr>
        <w:t xml:space="preserve"> | ADI 3.583</w:t>
      </w:r>
      <w:r>
        <w:rPr>
          <w:color w:val="003CA0"/>
          <w:sz w:val="12"/>
        </w:rPr>
        <w:t xml:space="preserve"> | rel. Cezar Peluso</w:t>
      </w:r>
    </w:p>
    <w:p>
      <w:pPr>
        <w:ind w:left="288"/>
      </w:pPr>
      <w:r>
        <w:rPr>
          <w:color w:val="1E1E1E"/>
          <w:sz w:val="18"/>
        </w:rPr>
        <w:t>É inconstitucional a lei estadual que estabeleça como condição de acesso a licitação pública, para aquisição de bens ou serviços, que a empresa licitante tenha a fábrica ou sede no Estado-membro.</w:t>
      </w:r>
    </w:p>
    <w:p>
      <w:pPr>
        <w:ind w:left="288"/>
      </w:pPr>
      <w:r>
        <w:rPr>
          <w:b/>
          <w:color w:val="003CA0"/>
          <w:sz w:val="16"/>
        </w:rPr>
        <w:t>[ADI 3.583, rel. min. Cezar Peluso, j. 21-2-2008, P, DJE de 14-3-2008.]</w:t>
      </w:r>
    </w:p>
    <w:p>
      <w:pPr>
        <w:ind w:left="288"/>
      </w:pPr>
      <w:r>
        <w:rPr>
          <w:color w:val="8C8C8C"/>
          <w:sz w:val="12"/>
        </w:rPr>
        <w:t>cf-art-19-inc-III</w:t>
      </w:r>
      <w:r>
        <w:rPr>
          <w:color w:val="003CA0"/>
          <w:sz w:val="12"/>
        </w:rPr>
        <w:t xml:space="preserve"> | ADI 3.070</w:t>
      </w:r>
      <w:r>
        <w:rPr>
          <w:color w:val="003CA0"/>
          <w:sz w:val="12"/>
        </w:rPr>
        <w:t xml:space="preserve"> | rel. Eros Grau</w:t>
      </w:r>
    </w:p>
    <w:p>
      <w:pPr>
        <w:ind w:left="288"/>
      </w:pPr>
      <w:r>
        <w:rPr>
          <w:color w:val="1E1E1E"/>
          <w:sz w:val="18"/>
        </w:rPr>
        <w:t>É inconstitucional o preceito segundo o qual, na análise de licitações, serão considerados, para averiguação da proposta mais vantajosa, entre outros itens, os valores relativos aos impostos pagos à Fazenda Pública daquele Estado-membro.</w:t>
      </w:r>
    </w:p>
    <w:p>
      <w:pPr>
        <w:ind w:left="288"/>
      </w:pPr>
      <w:r>
        <w:rPr>
          <w:b/>
          <w:color w:val="003CA0"/>
          <w:sz w:val="16"/>
        </w:rPr>
        <w:t>[ADI 3.070, rel. min. Eros Grau, j. 29-11-2007, P, DJ de 19-12-2007.]</w:t>
      </w:r>
    </w:p>
    <w:p>
      <w:pPr>
        <w:ind w:left="144"/>
      </w:pPr>
      <w:r>
        <w:rPr>
          <w:b/>
          <w:color w:val="B45A00"/>
          <w:sz w:val="16"/>
        </w:rPr>
        <w:t>JULGADOS CORRELATOS</w:t>
      </w:r>
    </w:p>
    <w:p>
      <w:pPr>
        <w:ind w:left="288"/>
      </w:pPr>
      <w:r>
        <w:rPr>
          <w:color w:val="8C8C8C"/>
          <w:sz w:val="12"/>
        </w:rPr>
        <w:t>cf-art-19-inc-III</w:t>
      </w:r>
      <w:r>
        <w:rPr>
          <w:color w:val="003CA0"/>
          <w:sz w:val="12"/>
        </w:rPr>
        <w:t xml:space="preserve"> | RE 614.873</w:t>
      </w:r>
      <w:r>
        <w:rPr>
          <w:color w:val="003CA0"/>
          <w:sz w:val="12"/>
        </w:rPr>
        <w:t xml:space="preserve"> | rel. Marco Aurélio</w:t>
      </w:r>
    </w:p>
    <w:p>
      <w:pPr>
        <w:ind w:left="288"/>
      </w:pPr>
      <w:r>
        <w:rPr>
          <w:color w:val="1E1E1E"/>
          <w:sz w:val="18"/>
        </w:rPr>
        <w:t>Lei do Estado do Amazonas 2.894/2004, que cria sistema de cotas para preenchimento de vagas em universidade estadual para candidatos egressos de escolas localizadas no respectivo ente federativo. (...) a despeito da nobre hipótese de se corrigirem distorções socioeconômicas, como se pode observar, por exemplo, da reserva de vagas para alunos egressos de escolas públicas, não pode o ente federativo criar discriminações regionais infundadas, de forma a favorecer apenas os residentes em determinada região, sob pena de violação aos artigos 3º, IV; 5º, caput; e 19, III, todos da Constituição Federa</w:t>
      </w:r>
    </w:p>
    <w:p>
      <w:pPr>
        <w:ind w:left="720"/>
      </w:pPr>
      <w:r>
        <w:rPr>
          <w:color w:val="003366"/>
          <w:sz w:val="18"/>
        </w:rPr>
        <w:t xml:space="preserve">I – estabelecer cultos religiosos ou igrejas, subvencioná-los, embaraçar-lhes o </w:t>
      </w:r>
    </w:p>
    <w:p>
      <w:pPr>
        <w:ind w:left="720"/>
      </w:pPr>
      <w:r>
        <w:rPr>
          <w:color w:val="003366"/>
          <w:sz w:val="18"/>
        </w:rPr>
        <w:t>II – recusar fé aos documentos públicos;</w:t>
      </w:r>
    </w:p>
    <w:p>
      <w:pPr>
        <w:ind w:left="720"/>
      </w:pPr>
      <w:r>
        <w:rPr>
          <w:color w:val="003366"/>
          <w:sz w:val="18"/>
        </w:rPr>
        <w:t>III – criar distinções entre brasileiros ou preferências entre si.</w:t>
      </w:r>
    </w:p>
    <w:p>
      <w:pPr>
        <w:pStyle w:val="Heading2"/>
      </w:pPr>
      <w:r>
        <w:rPr>
          <w:color w:val="003366"/>
        </w:rPr>
        <w:t>CAPÍTULO II - DA UNIÃO</w:t>
      </w:r>
    </w:p>
    <w:p>
      <w:r>
        <w:rPr>
          <w:b/>
          <w:color w:val="003366"/>
          <w:sz w:val="20"/>
        </w:rPr>
        <w:t>Art. 20 São bens da União:</w:t>
      </w:r>
      <w:r>
        <w:rPr>
          <w:color w:val="8C8C8C"/>
          <w:sz w:val="14"/>
        </w:rPr>
        <w:t xml:space="preserve">  [29 decisoes]</w:t>
      </w:r>
    </w:p>
    <w:p>
      <w:pPr>
        <w:ind w:left="144"/>
      </w:pPr>
      <w:r>
        <w:rPr>
          <w:b/>
          <w:color w:val="B45A00"/>
          <w:sz w:val="16"/>
        </w:rPr>
        <w:t>CONTROLE CONCENTRADO</w:t>
      </w:r>
    </w:p>
    <w:p>
      <w:pPr>
        <w:ind w:left="288"/>
      </w:pPr>
      <w:r>
        <w:rPr>
          <w:color w:val="8C8C8C"/>
          <w:sz w:val="12"/>
        </w:rPr>
        <w:t>cf-art-20</w:t>
      </w:r>
      <w:r>
        <w:rPr>
          <w:color w:val="003CA0"/>
          <w:sz w:val="12"/>
        </w:rPr>
        <w:t xml:space="preserve"> | ADI 4.970</w:t>
      </w:r>
      <w:r>
        <w:rPr>
          <w:color w:val="003CA0"/>
          <w:sz w:val="12"/>
        </w:rPr>
        <w:t xml:space="preserve"> | rel. Cármen Lúcia</w:t>
      </w:r>
    </w:p>
    <w:p>
      <w:pPr>
        <w:ind w:left="288"/>
      </w:pPr>
      <w:r>
        <w:rPr>
          <w:color w:val="1E1E1E"/>
          <w:sz w:val="18"/>
        </w:rPr>
        <w:t xml:space="preserve">Interpretação conforme à Constituição da República do § 7º do art. 18 da Lei 9.636/1998, acrescentado pela Lei 12.058/2009, para admitir a cessão do espaço aéreo sobre bens públicos, do espaço físico em águas públicas, das áreas de álveo de lagos, dos rios e quaisquer correntes d’água, das vazantes e de outros bens do domínio da União, contíguos a imóveis da União afetados ao regime de aforamento ou ocupação, desde que realizada a Estados, ao Distrito Federal, aos Municípios ou a entidades sem fins lucrativos nas áreas de educação, cultura, assistência social ou saúde, ou a pessoas físicas ou </w:t>
      </w:r>
    </w:p>
    <w:p>
      <w:pPr>
        <w:ind w:left="288"/>
      </w:pPr>
      <w:r>
        <w:rPr>
          <w:b/>
          <w:color w:val="003CA0"/>
          <w:sz w:val="16"/>
        </w:rPr>
        <w:t>[ADI 4.970, rel. min. Cármen Lúcia, j. 15-9-2021, Plenário, DJE de 22-9-2021.]</w:t>
      </w:r>
    </w:p>
    <w:p>
      <w:pPr>
        <w:ind w:left="144"/>
      </w:pPr>
      <w:r>
        <w:rPr>
          <w:b/>
          <w:color w:val="B45A00"/>
          <w:sz w:val="16"/>
        </w:rPr>
        <w:t>SUMULA</w:t>
      </w:r>
    </w:p>
    <w:p>
      <w:pPr>
        <w:ind w:left="288"/>
      </w:pPr>
      <w:r>
        <w:rPr>
          <w:color w:val="8C8C8C"/>
          <w:sz w:val="12"/>
        </w:rPr>
        <w:t>cf-art-20-inc-I</w:t>
      </w:r>
    </w:p>
    <w:p>
      <w:pPr>
        <w:ind w:left="288"/>
      </w:pPr>
      <w:r>
        <w:rPr>
          <w:color w:val="1E1E1E"/>
          <w:sz w:val="18"/>
        </w:rPr>
        <w:t>Os incisos I e XI do art. 20 da CF não alcançam terras de aldeamentos extintos, ainda que ocupadas por indígenas em passado remoto.</w:t>
      </w:r>
    </w:p>
    <w:p>
      <w:pPr>
        <w:ind w:left="288"/>
      </w:pPr>
      <w:r>
        <w:rPr>
          <w:b/>
          <w:color w:val="003CA0"/>
          <w:sz w:val="16"/>
        </w:rPr>
        <w:t>[Súmula 650.]</w:t>
      </w:r>
    </w:p>
    <w:p>
      <w:pPr>
        <w:ind w:left="288"/>
      </w:pPr>
      <w:r>
        <w:rPr>
          <w:color w:val="8C8C8C"/>
          <w:sz w:val="12"/>
        </w:rPr>
        <w:t>cf-art-20-inc-II</w:t>
      </w:r>
    </w:p>
    <w:p>
      <w:pPr>
        <w:ind w:left="288"/>
      </w:pPr>
      <w:r>
        <w:rPr>
          <w:color w:val="1E1E1E"/>
          <w:sz w:val="18"/>
        </w:rPr>
        <w:t>III - os lagos, rios e quaisquer correntes de água em terrenos de seu domínio, ou que banhem mais de um Estado, sirvam de limites com outros países, ou se estendam a território estrangeiro ou dele provenham, bem como os terrenos marginais e as praias fluviais;</w:t>
      </w:r>
    </w:p>
    <w:p>
      <w:pPr>
        <w:ind w:left="288"/>
      </w:pPr>
      <w:r>
        <w:rPr>
          <w:color w:val="8C8C8C"/>
          <w:sz w:val="12"/>
        </w:rPr>
        <w:t>cf-art-20-inc-II</w:t>
      </w:r>
    </w:p>
    <w:p>
      <w:pPr>
        <w:ind w:left="288"/>
      </w:pPr>
      <w:r>
        <w:rPr>
          <w:color w:val="1E1E1E"/>
          <w:sz w:val="18"/>
        </w:rPr>
        <w:t>As margens dos rios navegáveis são de domínio público, insuscetíveis de expropriação e, por isso mesmo, excluídas de indenização.</w:t>
      </w:r>
    </w:p>
    <w:p>
      <w:pPr>
        <w:ind w:left="288"/>
      </w:pPr>
      <w:r>
        <w:rPr>
          <w:b/>
          <w:color w:val="003CA0"/>
          <w:sz w:val="16"/>
        </w:rPr>
        <w:t>[Súmula 479.]</w:t>
      </w:r>
    </w:p>
    <w:p>
      <w:pPr>
        <w:ind w:left="144"/>
      </w:pPr>
      <w:r>
        <w:rPr>
          <w:b/>
          <w:color w:val="B45A00"/>
          <w:sz w:val="16"/>
        </w:rPr>
        <w:t>JULGADOS CORRELATOS</w:t>
      </w:r>
    </w:p>
    <w:p>
      <w:pPr>
        <w:ind w:left="288"/>
      </w:pPr>
      <w:r>
        <w:rPr>
          <w:color w:val="8C8C8C"/>
          <w:sz w:val="12"/>
        </w:rPr>
        <w:t>cf-art-20-inc-II</w:t>
      </w:r>
      <w:r>
        <w:rPr>
          <w:color w:val="003CA0"/>
          <w:sz w:val="12"/>
        </w:rPr>
        <w:t xml:space="preserve"> | RE 454.740</w:t>
      </w:r>
      <w:r>
        <w:rPr>
          <w:color w:val="003CA0"/>
          <w:sz w:val="12"/>
        </w:rPr>
        <w:t xml:space="preserve"> | rel. Marco Aurélio</w:t>
      </w:r>
    </w:p>
    <w:p>
      <w:pPr>
        <w:ind w:left="288"/>
      </w:pPr>
      <w:r>
        <w:rPr>
          <w:color w:val="1E1E1E"/>
          <w:sz w:val="18"/>
        </w:rPr>
        <w:t>Vê-se que veio a ser potencializado o interesse da população local em detrimento do fato de a poluição alcançar bem público federal. Pouco importa que se tenha chegado também ao comprometimento de açude, córregos e riacho. Prevalece a circunstância de o dano apontado haver ocorrido em rio que, pelo teor do inciso III do art. 20 da CF, consubstancia bem da União (...). Esse preceito e a premissa fática constante do acórdão impugnado mediante o extraordinário atraem a incidência do inciso IV do art. 109 da Carta da República (...).</w:t>
      </w:r>
    </w:p>
    <w:p>
      <w:pPr>
        <w:ind w:left="288"/>
      </w:pPr>
      <w:r>
        <w:rPr>
          <w:b/>
          <w:color w:val="003CA0"/>
          <w:sz w:val="16"/>
        </w:rPr>
        <w:t>[RE 454.740, voto do rel. min. Marco Aurélio, j. 28-4-2009, 1ª T, DJE de 7-8-2009.]</w:t>
      </w:r>
    </w:p>
    <w:p>
      <w:pPr>
        <w:ind w:left="288"/>
      </w:pPr>
      <w:r>
        <w:rPr>
          <w:color w:val="8C8C8C"/>
          <w:sz w:val="12"/>
        </w:rPr>
        <w:t>cf-art-20-inc-II</w:t>
      </w:r>
    </w:p>
    <w:p>
      <w:pPr>
        <w:ind w:left="288"/>
      </w:pPr>
      <w:r>
        <w:rPr>
          <w:color w:val="1E1E1E"/>
          <w:sz w:val="18"/>
        </w:rPr>
        <w:t>IV - as ilhas fluviais e lacustres nas zonas limítrofes com outros países; as praias marítimas; as ilhas oceânicas e as costeiras, excluídas, destas, as que contenham a sede de Municípios, exceto aquelas áreas afetadas ao serviço público e a unidade ambiental federal, e as referidas no art. 26, II; (Redação da EC n. 46/2005)</w:t>
      </w:r>
    </w:p>
    <w:p>
      <w:pPr>
        <w:ind w:left="144"/>
      </w:pPr>
      <w:r>
        <w:rPr>
          <w:b/>
          <w:color w:val="B45A00"/>
          <w:sz w:val="16"/>
        </w:rPr>
        <w:t>REPERCUSSAO GERAL</w:t>
      </w:r>
    </w:p>
    <w:p>
      <w:pPr>
        <w:ind w:left="288"/>
      </w:pPr>
      <w:r>
        <w:rPr>
          <w:color w:val="8C8C8C"/>
          <w:sz w:val="12"/>
        </w:rPr>
        <w:t>cf-art-20-inc-II</w:t>
      </w:r>
      <w:r>
        <w:rPr>
          <w:color w:val="003CA0"/>
          <w:sz w:val="12"/>
        </w:rPr>
        <w:t xml:space="preserve"> | RE 636.199</w:t>
      </w:r>
      <w:r>
        <w:rPr>
          <w:color w:val="003CA0"/>
          <w:sz w:val="12"/>
        </w:rPr>
        <w:t xml:space="preserve"> | rel. Rosa Werber</w:t>
      </w:r>
    </w:p>
    <w:p>
      <w:pPr>
        <w:ind w:left="288"/>
      </w:pPr>
      <w:r>
        <w:rPr>
          <w:color w:val="1E1E1E"/>
          <w:sz w:val="18"/>
        </w:rPr>
        <w:t>Ao equiparar o regime jurídico-patrimonial das ilhas costeiras em que sediados Municípios àquele incidente sobre a porção continental do território brasileiro, a EC 46/2005 não interferiu na propriedade da União, nos moldes do art. 20, VII, da Constituição da República, sobre os terrenos de marinha e seus acrescidos situados em ilhas costeiras sede de Municípios, incólumes as relações jurídicas daí decorrentes.</w:t>
        <w:br/>
        <w:t>[RE 636.199, rel. min. Rosa Werber, j. 27-4-2017, P, DJE de 3-8-2017, Tema 676, com mérito julgado.]</w:t>
      </w:r>
    </w:p>
    <w:p>
      <w:pPr>
        <w:ind w:left="144"/>
      </w:pPr>
      <w:r>
        <w:rPr>
          <w:b/>
          <w:color w:val="B45A00"/>
          <w:sz w:val="16"/>
        </w:rPr>
        <w:t>JULGADOS CORRELATOS</w:t>
      </w:r>
    </w:p>
    <w:p>
      <w:pPr>
        <w:ind w:left="288"/>
      </w:pPr>
      <w:r>
        <w:rPr>
          <w:color w:val="8C8C8C"/>
          <w:sz w:val="12"/>
        </w:rPr>
        <w:t>cf-art-20-inc-II</w:t>
      </w:r>
      <w:r>
        <w:rPr>
          <w:color w:val="003CA0"/>
          <w:sz w:val="12"/>
        </w:rPr>
        <w:t xml:space="preserve"> | ACO 317</w:t>
      </w:r>
      <w:r>
        <w:rPr>
          <w:color w:val="003CA0"/>
          <w:sz w:val="12"/>
        </w:rPr>
        <w:t xml:space="preserve"> | rel. Ilmar Galvão</w:t>
      </w:r>
    </w:p>
    <w:p>
      <w:pPr>
        <w:ind w:left="288"/>
      </w:pPr>
      <w:r>
        <w:rPr>
          <w:color w:val="1E1E1E"/>
          <w:sz w:val="18"/>
        </w:rPr>
        <w:t>(...) ação discriminatória das terras públicas situadas na ilha do Cardoso, no litoral paulista, proposta pelo Estado de São Paulo. Oposição manifestada pela União, ao fundamento de que se trata de terras de domínio da União. Remédio judicial destinado ao deslinde do que resta de terra devoluta em área previamente delimitada, a fim de extremá-la das terras objeto de dominialidade alheia. Legitimado para exercitá-lo, todavia, é o ente federado com domínio sobre a área descriminada. Incertezas acerca da dominialidade das terras devolutas, nas ilhas costeiras, até o advento da CF de 1988, que, no</w:t>
      </w:r>
    </w:p>
    <w:p>
      <w:pPr>
        <w:ind w:left="288"/>
      </w:pPr>
      <w:r>
        <w:rPr>
          <w:b/>
          <w:color w:val="003CA0"/>
          <w:sz w:val="16"/>
        </w:rPr>
        <w:t>[ACO 317, rel. min. Ilmar Galvão, j. 17-9-1992, P, DJ de 20-11-1992.]</w:t>
      </w:r>
    </w:p>
    <w:p>
      <w:pPr>
        <w:ind w:left="144"/>
      </w:pPr>
      <w:r>
        <w:rPr>
          <w:b/>
          <w:color w:val="B45A00"/>
          <w:sz w:val="16"/>
        </w:rPr>
        <w:t>CONTROLE CONCENTRADO</w:t>
      </w:r>
    </w:p>
    <w:p>
      <w:pPr>
        <w:ind w:left="288"/>
      </w:pPr>
      <w:r>
        <w:rPr>
          <w:color w:val="8C8C8C"/>
          <w:sz w:val="12"/>
        </w:rPr>
        <w:t>cf-art-20-inc-V</w:t>
      </w:r>
      <w:r>
        <w:rPr>
          <w:color w:val="003CA0"/>
          <w:sz w:val="12"/>
        </w:rPr>
        <w:t xml:space="preserve"> | ADI 2.080</w:t>
      </w:r>
      <w:r>
        <w:rPr>
          <w:color w:val="003CA0"/>
          <w:sz w:val="12"/>
        </w:rPr>
        <w:t xml:space="preserve"> | rel. Gilmar Mendes</w:t>
      </w:r>
    </w:p>
    <w:p>
      <w:pPr>
        <w:ind w:left="288"/>
      </w:pPr>
      <w:r>
        <w:rPr>
          <w:color w:val="1E1E1E"/>
          <w:sz w:val="18"/>
        </w:rPr>
        <w:t>(...) conforme já decidido pelo Plenário desta Suprema Corte quando do indeferimento da medida cautelar (...), entendo não violar a Constituição Federal a previsão, em Constituição e Legislação Estaduais, para fins tributários, de que as porções do mar territorial, da plataforma continental e da zona econômica exclusiva integram o território do Estado do Rio de Janeiro e Municípios do litoral.</w:t>
      </w:r>
    </w:p>
    <w:p>
      <w:pPr>
        <w:ind w:left="288"/>
      </w:pPr>
      <w:r>
        <w:rPr>
          <w:b/>
          <w:color w:val="003CA0"/>
          <w:sz w:val="16"/>
        </w:rPr>
        <w:t>[ADI 2.080, voto do rel. min. Gilmar Mendes, j. 18-10-2019, P, DJE de 6-11-2019.]</w:t>
      </w:r>
    </w:p>
    <w:p>
      <w:pPr>
        <w:ind w:left="144"/>
      </w:pPr>
      <w:r>
        <w:rPr>
          <w:b/>
          <w:color w:val="B45A00"/>
          <w:sz w:val="16"/>
        </w:rPr>
        <w:t>JULGADOS CORRELATOS</w:t>
      </w:r>
    </w:p>
    <w:p>
      <w:pPr>
        <w:ind w:left="288"/>
      </w:pPr>
      <w:r>
        <w:rPr>
          <w:color w:val="8C8C8C"/>
          <w:sz w:val="12"/>
        </w:rPr>
        <w:t>cf-art-20-inc-V</w:t>
      </w:r>
      <w:r>
        <w:rPr>
          <w:color w:val="003CA0"/>
          <w:sz w:val="12"/>
        </w:rPr>
        <w:t xml:space="preserve"> | MS 24.312</w:t>
      </w:r>
      <w:r>
        <w:rPr>
          <w:color w:val="003CA0"/>
          <w:sz w:val="12"/>
        </w:rPr>
        <w:t xml:space="preserve"> | rel. Ellen Gracie</w:t>
      </w:r>
    </w:p>
    <w:p>
      <w:pPr>
        <w:ind w:left="288"/>
      </w:pPr>
      <w:r>
        <w:rPr>
          <w:color w:val="1E1E1E"/>
          <w:sz w:val="18"/>
        </w:rPr>
        <w:t>Embora os recursos naturais da plataforma continental e os recursos minerais sejam bens da União (CF, art. 20, V e IX), a participação ou compensação aos Estados, Distrito Federal e Municípios no resultado da exploração de petróleo, xisto betuminoso e gás natural são receitas originárias destes últimos entes federativos (CF, art. 20, § 1º). É inaplicável, ao caso, o disposto no art. 71, VI, da Carta Magna, que se refere, especificamente, ao repasse efetuado pela União – mediante convênio, acordo ou ajuste – de recursos originariamente federais.</w:t>
      </w:r>
    </w:p>
    <w:p>
      <w:pPr>
        <w:ind w:left="288"/>
      </w:pPr>
      <w:r>
        <w:rPr>
          <w:b/>
          <w:color w:val="003CA0"/>
          <w:sz w:val="16"/>
        </w:rPr>
        <w:t>[MS 24.312, rel. min. Ellen Gracie, j. 19-2-2003, P, DJ de 19-12-2003.]</w:t>
      </w:r>
    </w:p>
    <w:p>
      <w:pPr>
        <w:ind w:left="144"/>
      </w:pPr>
      <w:r>
        <w:rPr>
          <w:b/>
          <w:color w:val="B45A00"/>
          <w:sz w:val="16"/>
        </w:rPr>
        <w:t>CONTROLE CONCENTRADO</w:t>
      </w:r>
    </w:p>
    <w:p>
      <w:pPr>
        <w:ind w:left="288"/>
      </w:pPr>
      <w:r>
        <w:rPr>
          <w:color w:val="8C8C8C"/>
          <w:sz w:val="12"/>
        </w:rPr>
        <w:t>cf-art-20-inc-VI</w:t>
      </w:r>
      <w:r>
        <w:rPr>
          <w:color w:val="003CA0"/>
          <w:sz w:val="12"/>
        </w:rPr>
        <w:t xml:space="preserve"> | ADI 6.218</w:t>
      </w:r>
      <w:r>
        <w:rPr>
          <w:color w:val="003CA0"/>
          <w:sz w:val="12"/>
        </w:rPr>
        <w:t xml:space="preserve"> | rel. Nunes Marques</w:t>
      </w:r>
    </w:p>
    <w:p>
      <w:pPr>
        <w:ind w:left="288"/>
      </w:pPr>
      <w:r>
        <w:rPr>
          <w:color w:val="1E1E1E"/>
          <w:sz w:val="18"/>
        </w:rPr>
        <w:t>Ao atribuir o domínio do mar territorial brasileiro à União (CF, art. 20, VI) a Constituição outorgou-lhe a titularidade sobre esse bem público essencial e, ao mesmo tempo, submeteu o território marítimo ao regime de direito público exorbitante do direito comum, de modo a atender, com adequação e eficiência, às finalidades públicas a que está destinado. A relação de dominialidade sobre os bens públicos não se confunde com o poder de dispor sobre o regime jurídico de tais bens. As competências legislativas não decorrem, por implícita derivação, da titularidade sobre determinado bem público, mas</w:t>
      </w:r>
    </w:p>
    <w:p>
      <w:pPr>
        <w:ind w:left="288"/>
      </w:pPr>
      <w:r>
        <w:rPr>
          <w:color w:val="8C8C8C"/>
          <w:sz w:val="12"/>
        </w:rPr>
        <w:t>cf-art-20-inc-VII</w:t>
      </w:r>
      <w:r>
        <w:rPr>
          <w:color w:val="003CA0"/>
          <w:sz w:val="12"/>
        </w:rPr>
        <w:t xml:space="preserve"> | ADPF 1.008</w:t>
      </w:r>
      <w:r>
        <w:rPr>
          <w:color w:val="003CA0"/>
          <w:sz w:val="12"/>
        </w:rPr>
        <w:t xml:space="preserve"> | rel. Cármen Lúcia</w:t>
      </w:r>
    </w:p>
    <w:p>
      <w:pPr>
        <w:ind w:left="288"/>
      </w:pPr>
      <w:r>
        <w:rPr>
          <w:color w:val="1E1E1E"/>
          <w:sz w:val="18"/>
        </w:rPr>
        <w:t>A al. c do art. 1º do Decreto-Lei n. 9.760/1946 foi recepcionada pela Constituição de 1988 em razão de serem as zonas de influência das marés terrenos de marinha e integrarem o patrimônio da União, nos termos do inc. VII do art. 20 da Constituição da República.</w:t>
        <w:br/>
        <w:t>[ADPF 1.008, rel. min. Cármen Lúcia, j. 22-5-2023, P, DJE de 16-6-2023.]</w:t>
      </w:r>
    </w:p>
    <w:p>
      <w:pPr>
        <w:ind w:left="144"/>
      </w:pPr>
      <w:r>
        <w:rPr>
          <w:b/>
          <w:color w:val="B45A00"/>
          <w:sz w:val="16"/>
        </w:rPr>
        <w:t>REPERCUSSAO GERAL</w:t>
      </w:r>
    </w:p>
    <w:p>
      <w:pPr>
        <w:ind w:left="288"/>
      </w:pPr>
      <w:r>
        <w:rPr>
          <w:color w:val="8C8C8C"/>
          <w:sz w:val="12"/>
        </w:rPr>
        <w:t>cf-art-20-inc-VII</w:t>
      </w:r>
      <w:r>
        <w:rPr>
          <w:color w:val="003CA0"/>
          <w:sz w:val="12"/>
        </w:rPr>
        <w:t xml:space="preserve"> | RE 1.334.628</w:t>
      </w:r>
      <w:r>
        <w:rPr>
          <w:color w:val="003CA0"/>
          <w:sz w:val="12"/>
        </w:rPr>
        <w:t xml:space="preserve"> | rel. Luiz Fux</w:t>
      </w:r>
    </w:p>
    <w:p>
      <w:pPr>
        <w:ind w:left="288"/>
      </w:pPr>
      <w:r>
        <w:rPr>
          <w:color w:val="1E1E1E"/>
          <w:sz w:val="18"/>
        </w:rPr>
        <w:t>É infraconstitucional, a ela se aplicando os efeitos da ausência de repercussão geral, a controvérsia relativa ao juízo de validade dos atos de demarcação de terrenos de marinha ante a ausência de intimação pessoal dos interessados.</w:t>
      </w:r>
    </w:p>
    <w:p>
      <w:pPr>
        <w:ind w:left="288"/>
      </w:pPr>
      <w:r>
        <w:rPr>
          <w:b/>
          <w:color w:val="003CA0"/>
          <w:sz w:val="16"/>
        </w:rPr>
        <w:t>[RE 1.334.628 RG, rel. min. Luiz Fux, j. 3-3-2022, P, DJE de 23-3-2022, Tema 1.201, com repercussão geral negada.]</w:t>
      </w:r>
    </w:p>
    <w:p>
      <w:pPr>
        <w:ind w:left="288"/>
      </w:pPr>
      <w:r>
        <w:rPr>
          <w:color w:val="8C8C8C"/>
          <w:sz w:val="12"/>
        </w:rPr>
        <w:t>cf-art-20-inc-VII</w:t>
      </w:r>
      <w:r>
        <w:rPr>
          <w:color w:val="003CA0"/>
          <w:sz w:val="12"/>
        </w:rPr>
        <w:t xml:space="preserve"> | RE 636.199</w:t>
      </w:r>
      <w:r>
        <w:rPr>
          <w:color w:val="003CA0"/>
          <w:sz w:val="12"/>
        </w:rPr>
        <w:t xml:space="preserve"> | rel. Rosa Werber</w:t>
      </w:r>
    </w:p>
    <w:p>
      <w:pPr>
        <w:ind w:left="288"/>
      </w:pPr>
      <w:r>
        <w:rPr>
          <w:color w:val="1E1E1E"/>
          <w:sz w:val="18"/>
        </w:rPr>
        <w:t>Ao equiparar o regime jurídico-patrimonial das ilhas costeiras em que sediados Municípios àquele incidente sobre a porção continental do território brasileiro, a EC 46/2005 não interferiu na propriedade da União, nos moldes do art. 20, VII, da Constituição da República, sobre os terrenos de marinha e seus acrescidos situados em ilhas costeiras sedes de Municípios, incólumes as relações jurídicas daí decorrentes.</w:t>
      </w:r>
    </w:p>
    <w:p>
      <w:pPr>
        <w:ind w:left="288"/>
      </w:pPr>
      <w:r>
        <w:rPr>
          <w:b/>
          <w:color w:val="003CA0"/>
          <w:sz w:val="16"/>
        </w:rPr>
        <w:t>[RE 636.199, rel. min. Rosa Werber, j. 27-4-2017, P, DJE de 3-8-2017, Tema 676, com mérito julgado.]</w:t>
      </w:r>
    </w:p>
    <w:p>
      <w:pPr>
        <w:ind w:left="288"/>
      </w:pPr>
      <w:r>
        <w:rPr>
          <w:color w:val="8C8C8C"/>
          <w:sz w:val="12"/>
        </w:rPr>
        <w:t>cf-art-20-inc-IX</w:t>
      </w:r>
      <w:r>
        <w:rPr>
          <w:color w:val="003CA0"/>
          <w:sz w:val="12"/>
        </w:rPr>
        <w:t xml:space="preserve"> | ARE 1.561.356</w:t>
      </w:r>
      <w:r>
        <w:rPr>
          <w:color w:val="003CA0"/>
          <w:sz w:val="12"/>
        </w:rPr>
        <w:t xml:space="preserve"> | rel. Gilmar Mendes</w:t>
      </w:r>
    </w:p>
    <w:p>
      <w:pPr>
        <w:ind w:left="288"/>
      </w:pPr>
      <w:r>
        <w:rPr>
          <w:color w:val="1E1E1E"/>
          <w:sz w:val="18"/>
        </w:rPr>
        <w:t>Comercialização de ouro oriundo de lavra garimpeira. Alegação de inconstitucionalidade formal e material dos arts. 37 a 42 da lei 12.844/2013. (...) Não há inconstitucionalidade nos dispositivos impugnados, pois a União, na condição de titular dos recursos minerais (art. 20, IX, da CF), possui competência para disciplinar a exploração e a comercialização do ouro, cabendo-lhe estabelecer regras que assegurem a proteção do meio ambiente, a preservação das jazidas e o controle da legalidade da produção mineral. A restrição imposta pela Lei 12.844/2013 não configura monopólio artificial, mas instr</w:t>
      </w:r>
    </w:p>
    <w:p>
      <w:pPr>
        <w:ind w:left="288"/>
      </w:pPr>
      <w:r>
        <w:rPr>
          <w:b/>
          <w:color w:val="003CA0"/>
          <w:sz w:val="16"/>
        </w:rPr>
        <w:t>[ARE 1.561.356 AgR, rel. min. Gilmar Mendes, j. 05.11.2025, 2ª T, DJE de 11.11.2025.]</w:t>
      </w:r>
    </w:p>
    <w:p>
      <w:pPr>
        <w:ind w:left="144"/>
      </w:pPr>
      <w:r>
        <w:rPr>
          <w:b/>
          <w:color w:val="B45A00"/>
          <w:sz w:val="16"/>
        </w:rPr>
        <w:t>SUMULA</w:t>
      </w:r>
    </w:p>
    <w:p>
      <w:pPr>
        <w:ind w:left="288"/>
      </w:pPr>
      <w:r>
        <w:rPr>
          <w:color w:val="8C8C8C"/>
          <w:sz w:val="12"/>
        </w:rPr>
        <w:t>cf-art-20-inc-XI</w:t>
      </w:r>
    </w:p>
    <w:p>
      <w:pPr>
        <w:ind w:left="288"/>
      </w:pPr>
      <w:r>
        <w:rPr>
          <w:color w:val="1E1E1E"/>
          <w:sz w:val="18"/>
        </w:rPr>
        <w:t>Os incisos I e XI do art. 20 da CF não alcançam terras de aldeamentos extintos, ainda que ocupadas por indígenas em passado remoto.</w:t>
      </w:r>
    </w:p>
    <w:p>
      <w:pPr>
        <w:ind w:left="288"/>
      </w:pPr>
      <w:r>
        <w:rPr>
          <w:b/>
          <w:color w:val="003CA0"/>
          <w:sz w:val="16"/>
        </w:rPr>
        <w:t>[Súmula 650.]</w:t>
      </w:r>
    </w:p>
    <w:p>
      <w:pPr>
        <w:ind w:left="144"/>
      </w:pPr>
      <w:r>
        <w:rPr>
          <w:b/>
          <w:color w:val="B45A00"/>
          <w:sz w:val="16"/>
        </w:rPr>
        <w:t>JULGADOS CORRELATOS</w:t>
      </w:r>
    </w:p>
    <w:p>
      <w:pPr>
        <w:ind w:left="288"/>
      </w:pPr>
      <w:r>
        <w:rPr>
          <w:color w:val="8C8C8C"/>
          <w:sz w:val="12"/>
        </w:rPr>
        <w:t>cf-art-20-inc-XI</w:t>
      </w:r>
      <w:r>
        <w:rPr>
          <w:color w:val="003CA0"/>
          <w:sz w:val="12"/>
        </w:rPr>
        <w:t xml:space="preserve"> | PET 3.388</w:t>
      </w:r>
      <w:r>
        <w:rPr>
          <w:color w:val="003CA0"/>
          <w:sz w:val="12"/>
        </w:rPr>
        <w:t xml:space="preserve"> | rel. Roberto Barroso</w:t>
      </w:r>
    </w:p>
    <w:p>
      <w:pPr>
        <w:ind w:left="288"/>
      </w:pPr>
      <w:r>
        <w:rPr>
          <w:color w:val="1E1E1E"/>
          <w:sz w:val="18"/>
        </w:rPr>
        <w:t>Com o trânsito em julgado do acórdão embargado, todos os processos relacionados à terra indígena Raposa Serra do Sol deverão adotar as seguintes premissas como necessárias: (i) são válidos a Portaria/MJ 534/2005 e o decreto presidencial de 15-4-2005, observadas as condições previstas no acórdão; e (ii) a caracterização da área como terra indígena, para os fins dos arts. 20, XI, e 231 da Constituição torna insubsistentes eventuais pretensões possessórias ou dominiais de particulares, salvo no tocante à indenização por benfeitorias derivadas da ocupação de boa-fé (CF/1988, art. 231, § 6º).</w:t>
      </w:r>
    </w:p>
    <w:p>
      <w:pPr>
        <w:ind w:left="288"/>
      </w:pPr>
      <w:r>
        <w:rPr>
          <w:b/>
          <w:color w:val="003CA0"/>
          <w:sz w:val="16"/>
        </w:rPr>
        <w:t>[Pet 3.388 ED, rel. min. Roberto Barroso, j. 23-10-2013, P, DJE de 4-2-2014.]</w:t>
      </w:r>
    </w:p>
    <w:p>
      <w:pPr>
        <w:ind w:left="288"/>
      </w:pPr>
      <w:r>
        <w:rPr>
          <w:color w:val="8C8C8C"/>
          <w:sz w:val="12"/>
        </w:rPr>
        <w:t>cf-art-20-inc-XI</w:t>
      </w:r>
      <w:r>
        <w:rPr>
          <w:color w:val="003CA0"/>
          <w:sz w:val="12"/>
        </w:rPr>
        <w:t xml:space="preserve"> | PET 3.388</w:t>
      </w:r>
      <w:r>
        <w:rPr>
          <w:color w:val="003CA0"/>
          <w:sz w:val="12"/>
        </w:rPr>
        <w:t xml:space="preserve"> | rel. Ayres Britto</w:t>
      </w:r>
    </w:p>
    <w:p>
      <w:pPr>
        <w:ind w:left="288"/>
      </w:pPr>
      <w:r>
        <w:rPr>
          <w:color w:val="1E1E1E"/>
          <w:sz w:val="18"/>
        </w:rPr>
        <w:t>Todas as "terras indígenas" são um bem público federal (inciso XI do art. 20 da CF), o que não significa dizer que o ato em si da demarcação extinga ou amesquinhe qualquer unidade federada. Primeiro, porque as unidades federadas pós-Constituição de 1988 já nascem com seu território jungido ao regime constitucional de preexistência dos direitos originários dos índios sobre as terras por eles "tradicionalmente ocupadas". Segundo, porque a titularidade de bens não se confunde com o senhorio de um território político. Nenhuma terra indígena se eleva ao patamar de território político, assim como ne</w:t>
      </w:r>
    </w:p>
    <w:p>
      <w:pPr>
        <w:ind w:left="288"/>
      </w:pPr>
      <w:r>
        <w:rPr>
          <w:b/>
          <w:color w:val="003CA0"/>
          <w:sz w:val="16"/>
        </w:rPr>
        <w:t>[Pet 3.388, rel. min. Ayres Britto, j. 19-3-2009, P, DJE de 1º-7-2010.]</w:t>
      </w:r>
    </w:p>
    <w:p>
      <w:pPr>
        <w:ind w:left="288"/>
      </w:pPr>
      <w:r>
        <w:rPr>
          <w:color w:val="8C8C8C"/>
          <w:sz w:val="12"/>
        </w:rPr>
        <w:t>cf-art-20-inc-XI</w:t>
      </w:r>
      <w:r>
        <w:rPr>
          <w:color w:val="003CA0"/>
          <w:sz w:val="12"/>
        </w:rPr>
        <w:t xml:space="preserve"> | RE 183.188</w:t>
      </w:r>
      <w:r>
        <w:rPr>
          <w:color w:val="003CA0"/>
          <w:sz w:val="12"/>
        </w:rPr>
        <w:t xml:space="preserve"> | rel. Celso de Mello</w:t>
      </w:r>
    </w:p>
    <w:p>
      <w:pPr>
        <w:ind w:left="288"/>
      </w:pPr>
      <w:r>
        <w:rPr>
          <w:color w:val="1E1E1E"/>
          <w:sz w:val="18"/>
        </w:rPr>
        <w:t>A importância jurídica da demarcação administrativa homologada pelo presidente da República – ato estatal que se reveste de presunção juris tantum de legitimidade e de veracidade – reside na circunstância de que as terras tradicionalmente ocupadas pelos índios, embora pertencentes ao patrimônio da União (CF, art. 20, XI), acham-se afetadas, por efeito de destinação constitucional, a fins específicos voltados, unicamente, à proteção jurídica, social, antropológica, econômica e cultural dos índios, dos grupos indígenas e das comunidades tribais.</w:t>
      </w:r>
    </w:p>
    <w:p>
      <w:pPr>
        <w:ind w:left="288"/>
      </w:pPr>
      <w:r>
        <w:rPr>
          <w:b/>
          <w:color w:val="003CA0"/>
          <w:sz w:val="16"/>
        </w:rPr>
        <w:t>[RE 183.188, rel. min. Celso de Mello, j. 10-12-1996, 1ª T, DJ de 14-2-1997.]</w:t>
      </w:r>
    </w:p>
    <w:p>
      <w:pPr>
        <w:ind w:left="288"/>
      </w:pPr>
      <w:r>
        <w:rPr>
          <w:color w:val="8C8C8C"/>
          <w:sz w:val="12"/>
        </w:rPr>
        <w:t>cf-art-20-inc-XI</w:t>
      </w:r>
      <w:r>
        <w:rPr>
          <w:color w:val="003CA0"/>
          <w:sz w:val="12"/>
        </w:rPr>
        <w:t xml:space="preserve"> | PET 3.388</w:t>
      </w:r>
      <w:r>
        <w:rPr>
          <w:color w:val="003CA0"/>
          <w:sz w:val="12"/>
        </w:rPr>
        <w:t xml:space="preserve"> | rel. Ayres Britto</w:t>
      </w:r>
    </w:p>
    <w:p>
      <w:pPr>
        <w:ind w:left="288"/>
      </w:pPr>
      <w:r>
        <w:rPr>
          <w:color w:val="1E1E1E"/>
          <w:sz w:val="18"/>
        </w:rPr>
        <w:t>= Pet 3.388, rel. min. Ayres Britto, j. 19-3-2009, P, DJE de 1º-7-2010 § 1º É assegurada, nos termos da lei, à União, aos Estados, ao Distrito Federal e aos Municípios a participação no resultado da exploração de petróleo ou gás natural, de recursos hídricos para fins de geração de energia elétrica e de outros recursos minerais no respectivo território, plataforma continental, mar territorial ou zona econômica exclusiva, ou compensação financeira por essa exploração. (Redação da EC n. 102/2019)</w:t>
      </w:r>
    </w:p>
    <w:p>
      <w:pPr>
        <w:ind w:left="144"/>
      </w:pPr>
      <w:r>
        <w:rPr>
          <w:b/>
          <w:color w:val="B45A00"/>
          <w:sz w:val="16"/>
        </w:rPr>
        <w:t>CONTROLE CONCENTRADO</w:t>
      </w:r>
    </w:p>
    <w:p>
      <w:pPr>
        <w:ind w:left="288"/>
      </w:pPr>
      <w:r>
        <w:rPr>
          <w:color w:val="8C8C8C"/>
          <w:sz w:val="12"/>
        </w:rPr>
        <w:t>cf-art-20-inc-XI</w:t>
      </w:r>
      <w:r>
        <w:rPr>
          <w:color w:val="003CA0"/>
          <w:sz w:val="12"/>
        </w:rPr>
        <w:t xml:space="preserve"> | ADI 4.846</w:t>
      </w:r>
      <w:r>
        <w:rPr>
          <w:color w:val="003CA0"/>
          <w:sz w:val="12"/>
        </w:rPr>
        <w:t xml:space="preserve"> | rel. Edson Fachin</w:t>
      </w:r>
    </w:p>
    <w:p>
      <w:pPr>
        <w:ind w:left="288"/>
      </w:pPr>
      <w:r>
        <w:rPr>
          <w:color w:val="1E1E1E"/>
          <w:sz w:val="18"/>
        </w:rPr>
        <w:t>Os royalties são receitas originárias da União, tendo em vista a propriedade federal dos recursos minerais, e obrigatoriamente transferidas aos Estados e Municípios. (...) É constitucional a imposição legal de repasse de parcela das receitas transferidas aos Estados para os municípios integrantes da territorialidade do ente maior.</w:t>
      </w:r>
    </w:p>
    <w:p>
      <w:pPr>
        <w:ind w:left="288"/>
      </w:pPr>
      <w:r>
        <w:rPr>
          <w:b/>
          <w:color w:val="003CA0"/>
          <w:sz w:val="16"/>
        </w:rPr>
        <w:t>[ADI 4.846, rel. min. Edson Fachin, j. 9-10-2019, P, DJE de 18-2-2020.]</w:t>
      </w:r>
    </w:p>
    <w:p>
      <w:pPr>
        <w:ind w:left="288"/>
      </w:pPr>
      <w:r>
        <w:rPr>
          <w:color w:val="8C8C8C"/>
          <w:sz w:val="12"/>
        </w:rPr>
        <w:t>cf-art-20-inc-XI</w:t>
      </w:r>
      <w:r>
        <w:rPr>
          <w:color w:val="003CA0"/>
          <w:sz w:val="12"/>
        </w:rPr>
        <w:t xml:space="preserve"> | ADI 4.606</w:t>
      </w:r>
      <w:r>
        <w:rPr>
          <w:color w:val="003CA0"/>
          <w:sz w:val="12"/>
        </w:rPr>
        <w:t xml:space="preserve"> | rel. Alexandre de Moraes</w:t>
      </w:r>
    </w:p>
    <w:p>
      <w:pPr>
        <w:ind w:left="288"/>
      </w:pPr>
      <w:r>
        <w:rPr>
          <w:color w:val="1E1E1E"/>
          <w:sz w:val="18"/>
        </w:rPr>
        <w:t>Segundo jurisprudência assentada nesta CORTE, as rendas obtidas nos termos do art. 20, § 1º, da CF constituem receita patrimonial originária, cuja titularidade – que não se confunde com a dos recursos naturais objetos de exploração – pertence a cada um dos entes federados afetados pela atividade econômica. Embora sejam receitas originárias de Estados e Municípios, as suas condições de recolhimento e repartição são definidas por regramento da União, que tem dupla autoridade normativa na matéria, já que cabe a ela definir as condições (legislativas) gerais de exploração de potenciais de recursos</w:t>
      </w:r>
    </w:p>
    <w:p>
      <w:pPr>
        <w:ind w:left="288"/>
      </w:pPr>
      <w:r>
        <w:rPr>
          <w:b/>
          <w:color w:val="003CA0"/>
          <w:sz w:val="16"/>
        </w:rPr>
        <w:t>[ADI 4.606, rel. min. Alexandre de Moraes, j. 28-2-2019, P, DJE de 6-5-2019.]</w:t>
      </w:r>
    </w:p>
    <w:p>
      <w:pPr>
        <w:ind w:left="288"/>
      </w:pPr>
      <w:r>
        <w:rPr>
          <w:color w:val="8C8C8C"/>
          <w:sz w:val="12"/>
        </w:rPr>
        <w:t>cf-art-20-inc-XI</w:t>
      </w:r>
      <w:r>
        <w:rPr>
          <w:color w:val="003CA0"/>
          <w:sz w:val="12"/>
        </w:rPr>
        <w:t xml:space="preserve"> | RE 1.493.456</w:t>
      </w:r>
      <w:r>
        <w:rPr>
          <w:color w:val="003CA0"/>
          <w:sz w:val="12"/>
        </w:rPr>
        <w:t xml:space="preserve"> | rel. Flávio Dino</w:t>
      </w:r>
    </w:p>
    <w:p>
      <w:pPr>
        <w:ind w:left="288"/>
      </w:pPr>
      <w:r>
        <w:rPr>
          <w:color w:val="1E1E1E"/>
          <w:sz w:val="18"/>
        </w:rPr>
        <w:t>(...) a medida cautelar deferida na ADI nº 4.917/DF nada dispôs sobre os dispositivos que incluíram os pontos de entrega (city gates) e as Unidades de Processamento de Gás Natural (UPGN) como fatos geradores de royalties, por equipará-los a instalações de embarque e desembarque. Portanto, a suspensão de eficácia dos dispositivos da Lei nº 9.478/1997, com as alterações promovidas pela Lei nº 12.734/2012, não abrangeu aqueles que não foram impugnados e que tratam da inclusão de pontos de entrega e UPGNs como bases para o pagamento de royalties. A leitura do art. 20, § 1º, da Constituição Federal</w:t>
      </w:r>
    </w:p>
    <w:p>
      <w:pPr>
        <w:ind w:left="288"/>
      </w:pPr>
      <w:r>
        <w:rPr>
          <w:b/>
          <w:color w:val="003CA0"/>
          <w:sz w:val="16"/>
        </w:rPr>
        <w:t>[RE 1.493.456 AgR, rel. min. Flávio Dino, j. 13.10.2025, 1ª T, DJE de 21.10.2025.]</w:t>
      </w:r>
    </w:p>
    <w:p>
      <w:pPr>
        <w:ind w:left="288"/>
      </w:pPr>
      <w:r>
        <w:rPr>
          <w:color w:val="8C8C8C"/>
          <w:sz w:val="12"/>
        </w:rPr>
        <w:t>cf-art-20-inc-XI</w:t>
      </w:r>
      <w:r>
        <w:rPr>
          <w:color w:val="003CA0"/>
          <w:sz w:val="12"/>
        </w:rPr>
        <w:t xml:space="preserve"> | RE 1.277.129</w:t>
      </w:r>
      <w:r>
        <w:rPr>
          <w:color w:val="003CA0"/>
          <w:sz w:val="12"/>
        </w:rPr>
        <w:t xml:space="preserve"> | rel. Luiz Fux</w:t>
      </w:r>
    </w:p>
    <w:p>
      <w:pPr>
        <w:ind w:left="288"/>
      </w:pPr>
      <w:r>
        <w:rPr>
          <w:color w:val="1E1E1E"/>
          <w:sz w:val="18"/>
        </w:rPr>
        <w:t xml:space="preserve">A leitura do art. 20, § 1º, da Constituição Federal deve ser teleológica e sistemática, não se limitando apenas aos entes federativos onde há lavra ou impacto direto e visível. A Constituição assegura a participação nos resultados da exploração ou “compensação financeira por essa exploração”. A exploração de petróleo e gás natural é uma atividade complexa, com múltiplas etapas e impactos que se estendem para além dos locais de extração e das instalações imediatamente adjacentes. A distribuição dessas receitas se submete a um regime constitucional especial, em que a União, por ter um interesse </w:t>
      </w:r>
    </w:p>
    <w:p>
      <w:pPr>
        <w:ind w:left="288"/>
      </w:pPr>
      <w:r>
        <w:rPr>
          <w:b/>
          <w:color w:val="003CA0"/>
          <w:sz w:val="16"/>
        </w:rPr>
        <w:t>[RE 1.277.129 AgR, rel. min. Luiz Fux, red. do ac. min. Flávio Dino, j. 12.08.2025, 1ª T, DJE de 26.08.2025.]</w:t>
      </w:r>
    </w:p>
    <w:p>
      <w:pPr>
        <w:ind w:left="144"/>
      </w:pPr>
      <w:r>
        <w:rPr>
          <w:b/>
          <w:color w:val="B45A00"/>
          <w:sz w:val="16"/>
        </w:rPr>
        <w:t>JULGADOS CORRELATOS</w:t>
      </w:r>
    </w:p>
    <w:p>
      <w:pPr>
        <w:ind w:left="288"/>
      </w:pPr>
      <w:r>
        <w:rPr>
          <w:color w:val="8C8C8C"/>
          <w:sz w:val="12"/>
        </w:rPr>
        <w:t>cf-art-20-inc-XI</w:t>
      </w:r>
      <w:r>
        <w:rPr>
          <w:color w:val="003CA0"/>
          <w:sz w:val="12"/>
        </w:rPr>
        <w:t xml:space="preserve"> | ACO 2.178</w:t>
      </w:r>
      <w:r>
        <w:rPr>
          <w:color w:val="003CA0"/>
          <w:sz w:val="12"/>
        </w:rPr>
        <w:t xml:space="preserve"> | rel. Roberto Barroso</w:t>
      </w:r>
    </w:p>
    <w:p>
      <w:pPr>
        <w:ind w:left="288"/>
      </w:pPr>
      <w:r>
        <w:rPr>
          <w:color w:val="1E1E1E"/>
          <w:sz w:val="18"/>
        </w:rPr>
        <w:t>Ação cível originária proposta pelo Estado do Espírito Santo contra a União, alegando desequilíbrio econômico-financeiro em contrato de cessão de royalties de petróleo e gás natural, em razão de erro na fórmula de cálculo estabelecida em aditivo contratual e aumento exponencial do preço do óleo. É incontroverso que o preço do petróleo disparou, gerando ganho extraordinário para a União, que recebeu valor expressivamente superior ao que entregou ao Espírito Santo. Em fase de conciliação, recusou-se a União a compartilhar com o Estado a vantagem desproporcional obtida. As relações entre entes da</w:t>
      </w:r>
    </w:p>
    <w:p>
      <w:pPr>
        <w:ind w:left="288"/>
      </w:pPr>
      <w:r>
        <w:rPr>
          <w:b/>
          <w:color w:val="003CA0"/>
          <w:sz w:val="16"/>
        </w:rPr>
        <w:t>[RE 253.906, rel. min. Ellen Gracie, j. 23-9-2004, P, DJ de 18-2-2005.]</w:t>
      </w:r>
    </w:p>
    <w:p>
      <w:pPr>
        <w:ind w:left="288"/>
      </w:pPr>
      <w:r>
        <w:rPr>
          <w:color w:val="8C8C8C"/>
          <w:sz w:val="12"/>
        </w:rPr>
        <w:t>cf-art-20-inc-XI</w:t>
      </w:r>
      <w:r>
        <w:rPr>
          <w:color w:val="003CA0"/>
          <w:sz w:val="12"/>
        </w:rPr>
        <w:t xml:space="preserve"> | MS 24.312</w:t>
      </w:r>
      <w:r>
        <w:rPr>
          <w:color w:val="003CA0"/>
          <w:sz w:val="12"/>
        </w:rPr>
        <w:t xml:space="preserve"> | rel. Ellen Gracie</w:t>
      </w:r>
    </w:p>
    <w:p>
      <w:pPr>
        <w:ind w:left="288"/>
      </w:pPr>
      <w:r>
        <w:rPr>
          <w:color w:val="1E1E1E"/>
          <w:sz w:val="18"/>
        </w:rPr>
        <w:t>Embora os recursos naturais da plataforma continental e os recursos minerais sejam bens da União (CF, art. 20, V e IX), a participação ou compensação aos Estados, Distrito Federal e Municípios no resultado da exploração de petróleo, xisto betuminoso e gás natural são receitas originárias desses últimos entes federativos (CF, art. 20, § 1º). É inaplicável, ao caso, o disposto no art. 71, VI, da Carta Magna, que se refere, especificamente, ao repasse efetuado pela União – mediante convênio, acordo ou ajuste – de recursos originariamente federais.</w:t>
      </w:r>
    </w:p>
    <w:p>
      <w:pPr>
        <w:ind w:left="288"/>
      </w:pPr>
      <w:r>
        <w:rPr>
          <w:b/>
          <w:color w:val="003CA0"/>
          <w:sz w:val="16"/>
        </w:rPr>
        <w:t>[MS 24.312, rel. min. Ellen Gracie, j. 19-2-2003, P, DJ de 19-12-2003.]</w:t>
      </w:r>
    </w:p>
    <w:p>
      <w:pPr>
        <w:ind w:left="288"/>
      </w:pPr>
      <w:r>
        <w:rPr>
          <w:color w:val="8C8C8C"/>
          <w:sz w:val="12"/>
        </w:rPr>
        <w:t>cf-art-20-inc-XI</w:t>
      </w:r>
      <w:r>
        <w:rPr>
          <w:color w:val="003CA0"/>
          <w:sz w:val="12"/>
        </w:rPr>
        <w:t xml:space="preserve"> | RE 228.800</w:t>
      </w:r>
      <w:r>
        <w:rPr>
          <w:color w:val="003CA0"/>
          <w:sz w:val="12"/>
        </w:rPr>
        <w:t xml:space="preserve"> | rel. Sepúlveda Pertence</w:t>
      </w:r>
    </w:p>
    <w:p>
      <w:pPr>
        <w:ind w:left="288"/>
      </w:pPr>
      <w:r>
        <w:rPr>
          <w:color w:val="1E1E1E"/>
          <w:sz w:val="18"/>
        </w:rPr>
        <w:t>Bem da União: (recursos minerais e potenciais hídricos de energia elétrica): participação dos entes federados no produto ou compensação financeira por sua exploração (CF, art. 20, e § 1º): natureza jurídica: constitucionalidade da legislação de regência (Lei 7.990/1989, arts. 1º e 6º, e Lei 8.001/1990). O tratar-se de prestação pecuniária compulsória instituída por lei não faz necessariamente um tributo da participação nos resultados ou da compensação financeira previstas no art. 20, § 1º, CF, que configuram receita patrimonial. A obrigação instituída na Lei 7.990/1989, sob o título de "Compen</w:t>
      </w:r>
    </w:p>
    <w:p>
      <w:pPr>
        <w:ind w:left="288"/>
      </w:pPr>
      <w:r>
        <w:rPr>
          <w:b/>
          <w:color w:val="003CA0"/>
          <w:sz w:val="16"/>
        </w:rPr>
        <w:t>[RE 228.800, rel. min. Sepúlveda Pertence, j. 25-9-2001, 1ª T, DJ de 16-11-2001.]</w:t>
      </w:r>
    </w:p>
    <w:p>
      <w:pPr>
        <w:ind w:left="288"/>
      </w:pPr>
      <w:r>
        <w:rPr>
          <w:color w:val="8C8C8C"/>
          <w:sz w:val="12"/>
        </w:rPr>
        <w:t>cf-art-20-inc-XI</w:t>
      </w:r>
      <w:r>
        <w:rPr>
          <w:color w:val="003CA0"/>
          <w:sz w:val="12"/>
        </w:rPr>
        <w:t xml:space="preserve"> | AI 708.398</w:t>
      </w:r>
      <w:r>
        <w:rPr>
          <w:color w:val="003CA0"/>
          <w:sz w:val="12"/>
        </w:rPr>
        <w:t xml:space="preserve"> | rel. Cármen Lúcia</w:t>
      </w:r>
    </w:p>
    <w:p>
      <w:pPr>
        <w:ind w:left="288"/>
      </w:pPr>
      <w:r>
        <w:rPr>
          <w:color w:val="1E1E1E"/>
          <w:sz w:val="18"/>
        </w:rPr>
        <w:t>= AI 708.398 AgR, rel. min. Cármen Lúcia, j. 8-2-2011, 1ª T, DJE de 1º-3-2011</w:t>
      </w:r>
    </w:p>
    <w:p>
      <w:pPr>
        <w:ind w:left="288"/>
      </w:pPr>
      <w:r>
        <w:rPr>
          <w:color w:val="8C8C8C"/>
          <w:sz w:val="12"/>
        </w:rPr>
        <w:t>cf-art-20-par-2</w:t>
      </w:r>
      <w:r>
        <w:rPr>
          <w:color w:val="003CA0"/>
          <w:sz w:val="12"/>
        </w:rPr>
        <w:t xml:space="preserve"> | AI 400.975</w:t>
      </w:r>
      <w:r>
        <w:rPr>
          <w:color w:val="003CA0"/>
          <w:sz w:val="12"/>
        </w:rPr>
        <w:t xml:space="preserve"> | rel. Moreira Alves</w:t>
      </w:r>
    </w:p>
    <w:p>
      <w:pPr>
        <w:ind w:left="288"/>
      </w:pPr>
      <w:r>
        <w:rPr>
          <w:color w:val="1E1E1E"/>
          <w:sz w:val="18"/>
        </w:rPr>
        <w:t>(...) ainda quando se pretendesse que "zona de fronteira" tem que ter necessariamente o mesmo sentido de "faixa de fronteira" que o art. 20, § 2º, da Constituição considera fundamental para a defesa do território nacional, devendo sua ocupação e utilização ser reguladas em lei, é evidente que a lei poderá dar tratamento diferenciado a áreas situadas nesta "faixa de fronteira" em razão até da avaliação da necessidade de povoamento, para fins de defesa nacional, em umas e não em outras a justificar, ou não, a concessão de benefícios para a sua ocupação e utilização, ocupação e utilização essas q</w:t>
      </w:r>
    </w:p>
    <w:p>
      <w:pPr>
        <w:ind w:left="288"/>
      </w:pPr>
      <w:r>
        <w:rPr>
          <w:b/>
          <w:color w:val="003CA0"/>
          <w:sz w:val="16"/>
        </w:rPr>
        <w:t>[AI 400.975 AgR, rel. min. Moreira Alves, j. 25-3-2003, 1ª T, DJ de 25-4-2003.]</w:t>
      </w:r>
    </w:p>
    <w:p>
      <w:pPr>
        <w:ind w:left="720"/>
      </w:pPr>
      <w:r>
        <w:rPr>
          <w:color w:val="003366"/>
          <w:sz w:val="18"/>
        </w:rPr>
        <w:t>I – os que atualmente lhe pertencem e os que lhe vierem a ser atribuídos;</w:t>
      </w:r>
    </w:p>
    <w:p>
      <w:pPr>
        <w:ind w:left="720"/>
      </w:pPr>
      <w:r>
        <w:rPr>
          <w:color w:val="003366"/>
          <w:sz w:val="18"/>
        </w:rPr>
        <w:t>II – as terras devolutas indispensáveis à defesa das fronteiras, das fortificaçõ</w:t>
      </w:r>
    </w:p>
    <w:p>
      <w:pPr>
        <w:ind w:left="720"/>
      </w:pPr>
      <w:r>
        <w:rPr>
          <w:color w:val="003366"/>
          <w:sz w:val="18"/>
        </w:rPr>
        <w:t>III – os lagos, rios e quaisquer correntes de água em terrenos de seu domínio, o</w:t>
      </w:r>
    </w:p>
    <w:p>
      <w:pPr>
        <w:ind w:left="720"/>
      </w:pPr>
      <w:r>
        <w:rPr>
          <w:color w:val="003366"/>
          <w:sz w:val="18"/>
        </w:rPr>
        <w:t>V – os recursos naturais da plataforma continental e da zona econômica exclusiva</w:t>
      </w:r>
    </w:p>
    <w:p>
      <w:pPr>
        <w:ind w:left="720"/>
      </w:pPr>
      <w:r>
        <w:rPr>
          <w:color w:val="003366"/>
          <w:sz w:val="18"/>
        </w:rPr>
        <w:t>VI – o mar territorial;</w:t>
      </w:r>
    </w:p>
    <w:p>
      <w:pPr>
        <w:ind w:left="720"/>
      </w:pPr>
      <w:r>
        <w:rPr>
          <w:color w:val="003366"/>
          <w:sz w:val="18"/>
        </w:rPr>
        <w:t>VII – os terrenos de marinha e seus acrescidos;</w:t>
      </w:r>
    </w:p>
    <w:p>
      <w:pPr>
        <w:ind w:left="720"/>
      </w:pPr>
      <w:r>
        <w:rPr>
          <w:color w:val="003366"/>
          <w:sz w:val="18"/>
        </w:rPr>
        <w:t>VIII – os potenciais de energia hidráulica;</w:t>
      </w:r>
    </w:p>
    <w:p>
      <w:pPr>
        <w:ind w:left="720"/>
      </w:pPr>
      <w:r>
        <w:rPr>
          <w:color w:val="003366"/>
          <w:sz w:val="18"/>
        </w:rPr>
        <w:t>IX – os recursos minerais, inclusive os do subsolo;</w:t>
      </w:r>
    </w:p>
    <w:p>
      <w:pPr>
        <w:ind w:left="720"/>
      </w:pPr>
      <w:r>
        <w:rPr>
          <w:color w:val="003366"/>
          <w:sz w:val="18"/>
        </w:rPr>
        <w:t>X – as cavidades naturais subterrâneas e os sítios arqueológicos e pré-histórico</w:t>
      </w:r>
    </w:p>
    <w:p>
      <w:pPr>
        <w:ind w:left="720"/>
      </w:pPr>
      <w:r>
        <w:rPr>
          <w:color w:val="003366"/>
          <w:sz w:val="18"/>
        </w:rPr>
        <w:t>XI – as terras tradicionalmente ocupadas pelos índios.</w:t>
      </w:r>
    </w:p>
    <w:p>
      <w:pPr>
        <w:ind w:left="432"/>
      </w:pPr>
      <w:r>
        <w:rPr>
          <w:color w:val="003366"/>
          <w:sz w:val="18"/>
        </w:rPr>
        <w:t>§ 1 É assegurada, nos termos da lei, à União, aos Estados, ao Distrito Federal e</w:t>
      </w:r>
    </w:p>
    <w:p>
      <w:pPr>
        <w:ind w:left="432"/>
      </w:pPr>
      <w:r>
        <w:rPr>
          <w:color w:val="003366"/>
          <w:sz w:val="18"/>
        </w:rPr>
        <w:t>§ 2 A faixa de até cento e cinqüenta quilômetros de largura, ao longo das fronte</w:t>
      </w:r>
    </w:p>
    <w:p>
      <w:r>
        <w:rPr>
          <w:b/>
          <w:color w:val="003366"/>
          <w:sz w:val="20"/>
        </w:rPr>
        <w:t>Art. 21 Compete à União:</w:t>
      </w:r>
      <w:r>
        <w:rPr>
          <w:color w:val="8C8C8C"/>
          <w:sz w:val="14"/>
        </w:rPr>
        <w:t xml:space="preserve">  [67 decisoes]</w:t>
      </w:r>
    </w:p>
    <w:p>
      <w:pPr>
        <w:ind w:left="144"/>
      </w:pPr>
      <w:r>
        <w:rPr>
          <w:b/>
          <w:color w:val="B45A00"/>
          <w:sz w:val="16"/>
        </w:rPr>
        <w:t>CONTROLE CONCENTRADO</w:t>
      </w:r>
    </w:p>
    <w:p>
      <w:pPr>
        <w:ind w:left="288"/>
      </w:pPr>
      <w:r>
        <w:rPr>
          <w:color w:val="8C8C8C"/>
          <w:sz w:val="12"/>
        </w:rPr>
        <w:t>cf-art-21-inc-VI</w:t>
      </w:r>
      <w:r>
        <w:rPr>
          <w:color w:val="003CA0"/>
          <w:sz w:val="12"/>
        </w:rPr>
        <w:t xml:space="preserve"> | ADPF 1.136</w:t>
      </w:r>
      <w:r>
        <w:rPr>
          <w:color w:val="003CA0"/>
          <w:sz w:val="12"/>
        </w:rPr>
        <w:t xml:space="preserve"> | rel. Alexandre de Moraes</w:t>
      </w:r>
    </w:p>
    <w:p>
      <w:pPr>
        <w:ind w:left="288"/>
      </w:pPr>
      <w:r>
        <w:rPr>
          <w:color w:val="1E1E1E"/>
          <w:sz w:val="18"/>
        </w:rPr>
        <w:t>Legislação local que estabelece horário de funcionamento e instalação de clube de tiro extrapola a competência da União para disciplinar sobre autorização e fiscalização de produção e comércio de material bélico (art. 21, VI).</w:t>
        <w:br/>
        <w:t>[ADPF 1.136, rel. min. Alexandre de Moraes, j. 19.08.2024, P, DJE de 27.08.2024.] Lei estadual que conceda o porte de arma de fogo institucional a que tem direito o servidor agente penitenciário estadual a outras categorias da estrutura organizacional da Polícia Penal é formalmente inconstitucional, violando a competência atribuída à União.</w:t>
        <w:br/>
        <w:t>[ADI 7.450, rel. min. Cristian</w:t>
      </w:r>
    </w:p>
    <w:p>
      <w:pPr>
        <w:ind w:left="288"/>
      </w:pPr>
      <w:r>
        <w:rPr>
          <w:b/>
          <w:color w:val="003CA0"/>
          <w:sz w:val="16"/>
        </w:rPr>
        <w:t>[ADI 3.258, rel. min. Joaquim Barbosa, j. 6-4-2005, P, DJ de 9-9-2005.]</w:t>
      </w:r>
    </w:p>
    <w:p>
      <w:pPr>
        <w:ind w:left="288"/>
      </w:pPr>
      <w:r>
        <w:rPr>
          <w:color w:val="8C8C8C"/>
          <w:sz w:val="12"/>
        </w:rPr>
        <w:t>cf-art-21-inc-VI</w:t>
      </w:r>
      <w:r>
        <w:rPr>
          <w:color w:val="003CA0"/>
          <w:sz w:val="12"/>
        </w:rPr>
        <w:t xml:space="preserve"> | ADI 3.193</w:t>
      </w:r>
      <w:r>
        <w:rPr>
          <w:color w:val="003CA0"/>
          <w:sz w:val="12"/>
        </w:rPr>
        <w:t xml:space="preserve"> | rel. Marco Aurélio</w:t>
      </w:r>
    </w:p>
    <w:p>
      <w:pPr>
        <w:ind w:left="288"/>
      </w:pPr>
      <w:r>
        <w:rPr>
          <w:color w:val="1E1E1E"/>
          <w:sz w:val="18"/>
        </w:rPr>
        <w:t>= ADI 3.193, rel. min. Marco Aurélio, j. 9-5-2013, P, DJE de 6-8-2013</w:t>
      </w:r>
    </w:p>
    <w:p>
      <w:pPr>
        <w:ind w:left="288"/>
      </w:pPr>
      <w:r>
        <w:rPr>
          <w:color w:val="8C8C8C"/>
          <w:sz w:val="12"/>
        </w:rPr>
        <w:t>cf-art-21-inc-VII</w:t>
      </w:r>
      <w:r>
        <w:rPr>
          <w:color w:val="003CA0"/>
          <w:sz w:val="12"/>
        </w:rPr>
        <w:t xml:space="preserve"> | ADI 6.936</w:t>
      </w:r>
      <w:r>
        <w:rPr>
          <w:color w:val="003CA0"/>
          <w:sz w:val="12"/>
        </w:rPr>
        <w:t xml:space="preserve"> | rel. Dias Toffoli</w:t>
      </w:r>
    </w:p>
    <w:p>
      <w:pPr>
        <w:ind w:left="288"/>
      </w:pPr>
      <w:r>
        <w:rPr>
          <w:color w:val="1E1E1E"/>
          <w:sz w:val="18"/>
        </w:rPr>
        <w:t>A Constituição Federal atribuiu à União a competência material para emissão de moedas, ficando a cargo do Banco Central do Brasil a competência exclusiva para essa atividade, na forma dos arts. 21, VII e 164 do Texto Constitucional. A competência constitucional para emissão de moeda, todavia, não se confunde com a atividade material de confecção ou fabricação de papel-moeda e moeda metálica. A Constituição não atribuiu à Casa da Moeda do Brasil a exclusividade dessa última função, que decorre, na verdade, de dispositivo contido na Lei Federal n. 5.895/1973. Tratando-se de exclusividade que der</w:t>
      </w:r>
    </w:p>
    <w:p>
      <w:pPr>
        <w:ind w:left="144"/>
      </w:pPr>
      <w:r>
        <w:rPr>
          <w:b/>
          <w:color w:val="B45A00"/>
          <w:sz w:val="16"/>
        </w:rPr>
        <w:t>JULGADOS CORRELATOS</w:t>
      </w:r>
    </w:p>
    <w:p>
      <w:pPr>
        <w:ind w:left="288"/>
      </w:pPr>
      <w:r>
        <w:rPr>
          <w:color w:val="8C8C8C"/>
          <w:sz w:val="12"/>
        </w:rPr>
        <w:t>cf-art-21-inc-VII</w:t>
      </w:r>
      <w:r>
        <w:rPr>
          <w:color w:val="003CA0"/>
          <w:sz w:val="12"/>
        </w:rPr>
        <w:t xml:space="preserve"> | RE 610.517</w:t>
      </w:r>
      <w:r>
        <w:rPr>
          <w:color w:val="003CA0"/>
          <w:sz w:val="12"/>
        </w:rPr>
        <w:t xml:space="preserve"> | rel. Celso de Mello</w:t>
      </w:r>
    </w:p>
    <w:p>
      <w:pPr>
        <w:ind w:left="288"/>
      </w:pPr>
      <w:r>
        <w:rPr>
          <w:color w:val="1E1E1E"/>
          <w:sz w:val="18"/>
        </w:rPr>
        <w:t>Casa da Moeda do Brasil (CMB). Empresa governamental delegatária de serviços públicos. Emissão de papel moeda, cunhagem de moeda metálica, fabricação de fichas telefônicas e impressão de selos postais. Regime constitucional de monopólio (CF, art. 21, VII). Outorga de delegação à CMB, mediante lei, que não descaracteriza a estatalidade do serviço público, notadamente quando constitucionalmente monopolizado pela pessoa política (a União Federal, no caso) que é dele titular. A delegação da execução de serviço público, mediante outorga legal, não implica alteração do regime jurídico de direito púb</w:t>
      </w:r>
    </w:p>
    <w:p>
      <w:pPr>
        <w:ind w:left="288"/>
      </w:pPr>
      <w:r>
        <w:rPr>
          <w:b/>
          <w:color w:val="003CA0"/>
          <w:sz w:val="16"/>
        </w:rPr>
        <w:t>[RE 610.517 AgR, rel. min. Celso de Mello, j. 3-6-2014, 2ª T, DJE de 23-6-2014.]</w:t>
      </w:r>
    </w:p>
    <w:p>
      <w:pPr>
        <w:ind w:left="144"/>
      </w:pPr>
      <w:r>
        <w:rPr>
          <w:b/>
          <w:color w:val="B45A00"/>
          <w:sz w:val="16"/>
        </w:rPr>
        <w:t>CONTROLE CONCENTRADO</w:t>
      </w:r>
    </w:p>
    <w:p>
      <w:pPr>
        <w:ind w:left="288"/>
      </w:pPr>
      <w:r>
        <w:rPr>
          <w:color w:val="8C8C8C"/>
          <w:sz w:val="12"/>
        </w:rPr>
        <w:t>cf-art-21-inc-VIII</w:t>
      </w:r>
      <w:r>
        <w:rPr>
          <w:color w:val="003CA0"/>
          <w:sz w:val="12"/>
        </w:rPr>
        <w:t xml:space="preserve"> | ADI 5.392</w:t>
      </w:r>
      <w:r>
        <w:rPr>
          <w:color w:val="003CA0"/>
          <w:sz w:val="12"/>
        </w:rPr>
        <w:t xml:space="preserve"> | rel. Rosa Weber</w:t>
      </w:r>
    </w:p>
    <w:p>
      <w:pPr>
        <w:ind w:left="288"/>
      </w:pPr>
      <w:r>
        <w:rPr>
          <w:color w:val="1E1E1E"/>
          <w:sz w:val="18"/>
        </w:rPr>
        <w:t xml:space="preserve">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Veiculação de normas que caracterizam a usurpação da competência da União para legislar sobre: (i) o Sistema </w:t>
      </w:r>
    </w:p>
    <w:p>
      <w:pPr>
        <w:ind w:left="288"/>
      </w:pPr>
      <w:r>
        <w:rPr>
          <w:b/>
          <w:color w:val="003CA0"/>
          <w:sz w:val="16"/>
        </w:rPr>
        <w:t>[ADI 5.392, rel. min. Rosa Weber, j. 16-9-2020, P, DJE de 5-10-2020.]</w:t>
      </w:r>
    </w:p>
    <w:p>
      <w:pPr>
        <w:ind w:left="288"/>
      </w:pPr>
      <w:r>
        <w:rPr>
          <w:color w:val="8C8C8C"/>
          <w:sz w:val="12"/>
        </w:rPr>
        <w:t>cf-art-21-inc-VIII</w:t>
      </w:r>
      <w:r>
        <w:rPr>
          <w:color w:val="003CA0"/>
          <w:sz w:val="12"/>
        </w:rPr>
        <w:t xml:space="preserve"> | ADI 1.357</w:t>
      </w:r>
      <w:r>
        <w:rPr>
          <w:color w:val="003CA0"/>
          <w:sz w:val="12"/>
        </w:rPr>
        <w:t xml:space="preserve"> | rel. Roberto Barroso</w:t>
      </w:r>
    </w:p>
    <w:p>
      <w:pPr>
        <w:ind w:left="288"/>
      </w:pPr>
      <w:r>
        <w:rPr>
          <w:color w:val="1E1E1E"/>
          <w:sz w:val="18"/>
        </w:rPr>
        <w:t>A Lei distrital 919/1995 tratou de operação de crédito de instituição financeira pública, matéria de competência privativa da União, nos termos dos arts. 21, VIII, e 22, VII, da Constituição. A relevância das atividades desempenhadas pelas instituições financeiras, sejam públicas ou privadas, demanda a existência de uma coordenação centralizada das políticas de crédito e de regulação das operações de financiamento, impedindo os Estados de legislarem livremente acerca das modalidades de crédito praticadas pelos seus bancos públicos.</w:t>
      </w:r>
    </w:p>
    <w:p>
      <w:pPr>
        <w:ind w:left="288"/>
      </w:pPr>
      <w:r>
        <w:rPr>
          <w:b/>
          <w:color w:val="003CA0"/>
          <w:sz w:val="16"/>
        </w:rPr>
        <w:t>[ADI 1.357, rel. min. Roberto Barroso, j. 25-11-2015, P, DJE de 1º-2-2016.]</w:t>
      </w:r>
    </w:p>
    <w:p>
      <w:pPr>
        <w:ind w:left="288"/>
      </w:pPr>
      <w:r>
        <w:rPr>
          <w:color w:val="8C8C8C"/>
          <w:sz w:val="12"/>
        </w:rPr>
        <w:t>cf-art-21-inc-VIII</w:t>
      </w:r>
      <w:r>
        <w:rPr>
          <w:color w:val="003CA0"/>
          <w:sz w:val="12"/>
        </w:rPr>
        <w:t xml:space="preserve"> | ADI 4.701</w:t>
      </w:r>
      <w:r>
        <w:rPr>
          <w:color w:val="003CA0"/>
          <w:sz w:val="12"/>
        </w:rPr>
        <w:t xml:space="preserve"> | rel. Roberto Barroso</w:t>
      </w:r>
    </w:p>
    <w:p>
      <w:pPr>
        <w:ind w:left="288"/>
      </w:pPr>
      <w:r>
        <w:rPr>
          <w:color w:val="1E1E1E"/>
          <w:sz w:val="18"/>
        </w:rPr>
        <w:t>Ação direta de inconstitucionalidade. Lei estadual que fixa prazos máximos, segundo a faixa etária dos usuários, para a autorização de exames pelas operadoras de plano de saúde. (...) Os arts. 22, VII; e 21, VIII, da CF atribuem à União competência para legislar sobre seguros e fiscalizar as operações relacionadas a essa matéria. Tais previsões alcançam os planos de saúde, tendo em vista a sua íntima afinidade com a lógica dos contratos de seguro, notadamente por conta do componente atuarial.</w:t>
      </w:r>
    </w:p>
    <w:p>
      <w:pPr>
        <w:ind w:left="288"/>
      </w:pPr>
      <w:r>
        <w:rPr>
          <w:b/>
          <w:color w:val="003CA0"/>
          <w:sz w:val="16"/>
        </w:rPr>
        <w:t>[ADI 4.701, rel. min. Roberto Barroso, j. 13-8-2014, P, DJE de 25-8-2014.]</w:t>
      </w:r>
    </w:p>
    <w:p>
      <w:pPr>
        <w:ind w:left="288"/>
      </w:pPr>
      <w:r>
        <w:rPr>
          <w:color w:val="8C8C8C"/>
          <w:sz w:val="12"/>
        </w:rPr>
        <w:t>cf-art-21-inc-VIII</w:t>
      </w:r>
      <w:r>
        <w:rPr>
          <w:color w:val="003CA0"/>
          <w:sz w:val="12"/>
        </w:rPr>
        <w:t xml:space="preserve"> | ADI 3.515</w:t>
      </w:r>
      <w:r>
        <w:rPr>
          <w:color w:val="003CA0"/>
          <w:sz w:val="12"/>
        </w:rPr>
        <w:t xml:space="preserve"> | rel. Cezar Peluso</w:t>
      </w:r>
    </w:p>
    <w:p>
      <w:pPr>
        <w:ind w:left="288"/>
      </w:pPr>
      <w:r>
        <w:rPr>
          <w:color w:val="1E1E1E"/>
          <w:sz w:val="18"/>
        </w:rPr>
        <w:t>Lei 12.775/2003 do Estado de Santa Catarina. Competência legislativa. Sistema financeiro nacional. Banco. Agência bancária. Adoção de equipamento que, embora indicado pelo Banco Central, ateste autenticidade das cédulas de dinheiro nas transações bancárias. Previsão de obrigatoriedade. Inadmissibilidade. Regras de fiscalização de operações financeiras e de autenticidade do ativo circulante. Competências exclusivas da União. Ofensa aos arts. 21, VIII, e 192 da CF.</w:t>
      </w:r>
    </w:p>
    <w:p>
      <w:pPr>
        <w:ind w:left="288"/>
      </w:pPr>
      <w:r>
        <w:rPr>
          <w:b/>
          <w:color w:val="003CA0"/>
          <w:sz w:val="16"/>
        </w:rPr>
        <w:t>[ADI 3.515, rel. min. Cezar Peluso, j. 1º-8-2011, P, DJE de 29-9-2011.]</w:t>
      </w:r>
    </w:p>
    <w:p>
      <w:pPr>
        <w:ind w:left="144"/>
      </w:pPr>
      <w:r>
        <w:rPr>
          <w:b/>
          <w:color w:val="B45A00"/>
          <w:sz w:val="16"/>
        </w:rPr>
        <w:t>JULGADOS CORRELATOS</w:t>
      </w:r>
    </w:p>
    <w:p>
      <w:pPr>
        <w:ind w:left="288"/>
      </w:pPr>
      <w:r>
        <w:rPr>
          <w:color w:val="8C8C8C"/>
          <w:sz w:val="12"/>
        </w:rPr>
        <w:t>cf-art-21-inc-IX</w:t>
      </w:r>
      <w:r>
        <w:rPr>
          <w:color w:val="003CA0"/>
          <w:sz w:val="12"/>
        </w:rPr>
        <w:t xml:space="preserve"> | ACO 787</w:t>
      </w:r>
      <w:r>
        <w:rPr>
          <w:color w:val="003CA0"/>
          <w:sz w:val="12"/>
        </w:rPr>
        <w:t xml:space="preserve"> | rel. Edson Fachin</w:t>
      </w:r>
    </w:p>
    <w:p>
      <w:pPr>
        <w:ind w:left="288"/>
      </w:pPr>
      <w:r>
        <w:rPr>
          <w:color w:val="1E1E1E"/>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w:t>
      </w:r>
    </w:p>
    <w:p>
      <w:pPr>
        <w:ind w:left="288"/>
      </w:pPr>
      <w:r>
        <w:rPr>
          <w:b/>
          <w:color w:val="003CA0"/>
          <w:sz w:val="16"/>
        </w:rPr>
        <w:t>[ACO 787-AgR, rel. min. Edson Fachin, j. 17-12-2022, P, DJE de 31-1-2023.]</w:t>
      </w:r>
    </w:p>
    <w:p>
      <w:pPr>
        <w:ind w:left="144"/>
      </w:pPr>
      <w:r>
        <w:rPr>
          <w:b/>
          <w:color w:val="B45A00"/>
          <w:sz w:val="16"/>
        </w:rPr>
        <w:t>CONTROLE CONCENTRADO</w:t>
      </w:r>
    </w:p>
    <w:p>
      <w:pPr>
        <w:ind w:left="288"/>
      </w:pPr>
      <w:r>
        <w:rPr>
          <w:color w:val="8C8C8C"/>
          <w:sz w:val="12"/>
        </w:rPr>
        <w:t>cf-art-21-inc-X</w:t>
      </w:r>
      <w:r>
        <w:rPr>
          <w:color w:val="003CA0"/>
          <w:sz w:val="12"/>
        </w:rPr>
        <w:t xml:space="preserve"> | ADI 3.081</w:t>
      </w:r>
      <w:r>
        <w:rPr>
          <w:color w:val="003CA0"/>
          <w:sz w:val="12"/>
        </w:rPr>
        <w:t xml:space="preserve"> | rel. Nunes Marques</w:t>
      </w:r>
    </w:p>
    <w:p>
      <w:pPr>
        <w:ind w:left="288"/>
      </w:pPr>
      <w:r>
        <w:rPr>
          <w:color w:val="1E1E1E"/>
          <w:sz w:val="18"/>
        </w:rPr>
        <w:t>Lei Estadual. Entrega de correspondência em caixas postais comunitárias. Proibição. Competência exclusiva da União para manter o serviço postal e legislar sobre a matéria. Restrição à entrega de correspondências classificadas como carta, cartão-postal e correspondência agrupada.</w:t>
        <w:br/>
        <w:t>[ADI 3.081, rel. min. Nunes Marques, j. 28-8-2023, P, DJE de 20-9-2023.] Lei 5.309/2010, do município de Cuiabá/MT. Entrega e distribuição de correspondências. Proibição de entrega em determinado horário, sob pena de multa e cancelamento do alvará de funcionamento. Competência privativa da união para legislar e adminis</w:t>
      </w:r>
    </w:p>
    <w:p>
      <w:pPr>
        <w:ind w:left="288"/>
      </w:pPr>
      <w:r>
        <w:rPr>
          <w:b/>
          <w:color w:val="003CA0"/>
          <w:sz w:val="16"/>
        </w:rPr>
        <w:t>[ADPF 46, rel. min. Marco Aurélio, red. do ac. min. Eros Grau, j. 5-8-2009, P, DJE de 26-2-2010.]</w:t>
      </w:r>
    </w:p>
    <w:p>
      <w:pPr>
        <w:ind w:left="288"/>
      </w:pPr>
      <w:r>
        <w:rPr>
          <w:color w:val="8C8C8C"/>
          <w:sz w:val="12"/>
        </w:rPr>
        <w:t>cf-art-21-inc-X</w:t>
      </w:r>
    </w:p>
    <w:p>
      <w:pPr>
        <w:ind w:left="288"/>
      </w:pPr>
      <w:r>
        <w:rPr>
          <w:color w:val="1E1E1E"/>
          <w:sz w:val="18"/>
        </w:rPr>
        <w:t>XI - explorar, diretamente ou mediante autorização, concessão ou permissão, os serviços de telecomunicações, nos termos da lei, que disporá sobre a organização dos serviços, a criação de um órgão regulador e outros aspectos institucionais; (Redação da EC n. 8/1995) (Vide EC n. 8/1995)</w:t>
      </w:r>
    </w:p>
    <w:p>
      <w:pPr>
        <w:ind w:left="288"/>
      </w:pPr>
      <w:r>
        <w:rPr>
          <w:color w:val="8C8C8C"/>
          <w:sz w:val="12"/>
        </w:rPr>
        <w:t>cf-art-21-inc-X</w:t>
      </w:r>
      <w:r>
        <w:rPr>
          <w:color w:val="003CA0"/>
          <w:sz w:val="12"/>
        </w:rPr>
        <w:t xml:space="preserve"> | ADI 3.877</w:t>
      </w:r>
      <w:r>
        <w:rPr>
          <w:color w:val="003CA0"/>
          <w:sz w:val="12"/>
        </w:rPr>
        <w:t xml:space="preserve"> | rel. Nunes Marques</w:t>
      </w:r>
    </w:p>
    <w:p>
      <w:pPr>
        <w:ind w:left="288"/>
      </w:pPr>
      <w:r>
        <w:rPr>
          <w:color w:val="1E1E1E"/>
          <w:sz w:val="18"/>
        </w:rPr>
        <w:t>A Lei n. 3.963/2007 do Distrito Federal, ao proibir a cobrança pela instalação e utilização de pontos adicionais de televisão por assinatura em residências e fixar multa em virtude do descumprimento, interfere no núcleo regulatório das telecomunicações, o que revela usurpação da competência normativa privativa da União sobre a matéria.</w:t>
        <w:br/>
        <w:t>[ADI 3.877, rel. min. Nunes Marques, j. 09.09.2024, P, DJE de 13.11.2024.] São inconstitucionais, por ofensa às competências material e legislativa privativas da União (CF, arts. 21, XI, e 22, IV), normas municipais que, a pretexto de proteger o meio ambiente, d</w:t>
      </w:r>
    </w:p>
    <w:p>
      <w:pPr>
        <w:ind w:left="288"/>
      </w:pPr>
      <w:r>
        <w:rPr>
          <w:b/>
          <w:color w:val="003CA0"/>
          <w:sz w:val="16"/>
        </w:rPr>
        <w:t>[ADI 1.668, rel. min. Edson Fachin, j. 1-3-2021, P, DJE de 23-3-2021.]</w:t>
      </w:r>
    </w:p>
    <w:p>
      <w:pPr>
        <w:ind w:left="288"/>
      </w:pPr>
      <w:r>
        <w:rPr>
          <w:color w:val="8C8C8C"/>
          <w:sz w:val="12"/>
        </w:rPr>
        <w:t>cf-art-21-inc-X</w:t>
      </w:r>
      <w:r>
        <w:rPr>
          <w:color w:val="003CA0"/>
          <w:sz w:val="12"/>
        </w:rPr>
        <w:t xml:space="preserve"> | ADI 6.482</w:t>
      </w:r>
      <w:r>
        <w:rPr>
          <w:color w:val="003CA0"/>
          <w:sz w:val="12"/>
        </w:rPr>
        <w:t xml:space="preserve"> | rel. Gilmar Mendes</w:t>
      </w:r>
    </w:p>
    <w:p>
      <w:pPr>
        <w:ind w:left="288"/>
      </w:pPr>
      <w:r>
        <w:rPr>
          <w:color w:val="1E1E1E"/>
          <w:sz w:val="18"/>
        </w:rPr>
        <w:t xml:space="preserve">No caso do setor de telecomunicações, a atribuição da titularidade pela prestação dos serviços públicos à União (art. 21, inciso XI, da CF) tem como contrapartida o reconhecimento de uma federalização ampla das relações jurídicas que permeiam a prestação desses serviços. (...) A disciplina jurídica de toda e qualquer forma de transmissão de sinais voltada à prestação de um serviço de telecomunicações revolve matéria afeta à competência legislativa da União, tal qual o direito de passagem e uso para a instalação de infraestrutura de rede. (...) A disciplina da gratuidade do direito de passagem </w:t>
      </w:r>
    </w:p>
    <w:p>
      <w:pPr>
        <w:ind w:left="288"/>
      </w:pPr>
      <w:r>
        <w:rPr>
          <w:b/>
          <w:color w:val="003CA0"/>
          <w:sz w:val="16"/>
        </w:rPr>
        <w:t>[ADI 6.482, rel. min. Gilmar Mendes, j. 18-2-2021, P, DJE de 21-5-2021.]</w:t>
      </w:r>
    </w:p>
    <w:p>
      <w:pPr>
        <w:ind w:left="288"/>
      </w:pPr>
      <w:r>
        <w:rPr>
          <w:color w:val="8C8C8C"/>
          <w:sz w:val="12"/>
        </w:rPr>
        <w:t>cf-art-21-inc-X</w:t>
      </w:r>
      <w:r>
        <w:rPr>
          <w:color w:val="003CA0"/>
          <w:sz w:val="12"/>
        </w:rPr>
        <w:t xml:space="preserve"> | ADI 6.326</w:t>
      </w:r>
      <w:r>
        <w:rPr>
          <w:color w:val="003CA0"/>
          <w:sz w:val="12"/>
        </w:rPr>
        <w:t xml:space="preserve"> | rel. Cármen Lúcia</w:t>
      </w:r>
    </w:p>
    <w:p>
      <w:pPr>
        <w:ind w:left="288"/>
      </w:pPr>
      <w:r>
        <w:rPr>
          <w:color w:val="1E1E1E"/>
          <w:sz w:val="18"/>
        </w:rPr>
        <w:t>Medida cautelar em ação direta de inconstitucionalidade. Conversão em julgamento definitivo. Lei n. 14.228/2020 da Bahia. Proibição a concessionárias de telecomunicações de limitação de tempo para utilização de créditos de telefones celulares pré-pagos. Usurpação Da Competência Da União. Inc. XI do art. 21 e inc. IV do art. 22 da constituição da república. Precedentes do supremo tribunal federal. Ação Direta de Inconstitucionalidade julgada procedente.</w:t>
      </w:r>
    </w:p>
    <w:p>
      <w:pPr>
        <w:ind w:left="288"/>
      </w:pPr>
      <w:r>
        <w:rPr>
          <w:b/>
          <w:color w:val="003CA0"/>
          <w:sz w:val="16"/>
        </w:rPr>
        <w:t>[ADI 6.326, rel. min. Cármen Lúcia, j. 23-11-2020, P, DJE de 3-12-2020.]</w:t>
      </w:r>
    </w:p>
    <w:p>
      <w:pPr>
        <w:ind w:left="288"/>
      </w:pPr>
      <w:r>
        <w:rPr>
          <w:color w:val="8C8C8C"/>
          <w:sz w:val="12"/>
        </w:rPr>
        <w:t>cf-art-21-inc-X</w:t>
      </w:r>
      <w:r>
        <w:rPr>
          <w:color w:val="003CA0"/>
          <w:sz w:val="12"/>
        </w:rPr>
        <w:t xml:space="preserve"> | ADI 5.574</w:t>
      </w:r>
      <w:r>
        <w:rPr>
          <w:color w:val="003CA0"/>
          <w:sz w:val="12"/>
        </w:rPr>
        <w:t xml:space="preserve"> | rel. Edson Fachin</w:t>
      </w:r>
    </w:p>
    <w:p>
      <w:pPr>
        <w:ind w:left="288"/>
      </w:pPr>
      <w:r>
        <w:rPr>
          <w:color w:val="1E1E1E"/>
          <w:sz w:val="18"/>
        </w:rPr>
        <w:t>Lei Estadual 10.519/2015 do Estado da Paraíba. Bloqueio de aparelhos celulares pelas operadoras nas hipóteses de furto e roubo. Competência privativa da União para legislar sobre telecomunicações. (...) No caso dos autos, apesar de estar se discutindo a constitucionalidade do bloqueio de aparelhos celulares nas hipóteses de furto e roubo, resta claro que a finalidade da norma é justamente possibilitar o bloqueio de sinal de telecomunicações e/ou radiocomunicações (...).</w:t>
      </w:r>
    </w:p>
    <w:p>
      <w:pPr>
        <w:ind w:left="288"/>
      </w:pPr>
      <w:r>
        <w:rPr>
          <w:b/>
          <w:color w:val="003CA0"/>
          <w:sz w:val="16"/>
        </w:rPr>
        <w:t>[ADI 5.574, rel. min. Edson Fachin, j. 27-9-2019, P, DJE de 15-10-2019.]</w:t>
      </w:r>
    </w:p>
    <w:p>
      <w:pPr>
        <w:ind w:left="288"/>
      </w:pPr>
      <w:r>
        <w:rPr>
          <w:color w:val="8C8C8C"/>
          <w:sz w:val="12"/>
        </w:rPr>
        <w:t>cf-art-21-inc-X</w:t>
      </w:r>
      <w:r>
        <w:rPr>
          <w:color w:val="003CA0"/>
          <w:sz w:val="12"/>
        </w:rPr>
        <w:t xml:space="preserve"> | ADI 5.830</w:t>
      </w:r>
      <w:r>
        <w:rPr>
          <w:color w:val="003CA0"/>
          <w:sz w:val="12"/>
        </w:rPr>
        <w:t xml:space="preserve"> | rel. Luiz Fux</w:t>
      </w:r>
    </w:p>
    <w:p>
      <w:pPr>
        <w:ind w:left="288"/>
      </w:pPr>
      <w:r>
        <w:rPr>
          <w:color w:val="1E1E1E"/>
          <w:sz w:val="18"/>
        </w:rPr>
        <w:t>A Lei 16.291/2017 do Estado do Ceará, ao instituir a obrigação de as operadoras de telefonia fixa e móvel disponibilizarem, em seus sítios eletrônicos, extrato detalhado de conta das chamadas telefônicas e serviços utilizados na modalidade de recarga de créditos por pagamento antecipado (plano pré-pago), tal qual é feito nos planos pós-pagos, sob pena de multa, invadiu a competência legislativa e administrativa da União para a disciplina e a prestação dos serviços públicos de telecomunicações (artigos 21, XI, e 22, IV, da Constituição Federal).</w:t>
      </w:r>
    </w:p>
    <w:p>
      <w:pPr>
        <w:ind w:left="288"/>
      </w:pPr>
      <w:r>
        <w:rPr>
          <w:b/>
          <w:color w:val="003CA0"/>
          <w:sz w:val="16"/>
        </w:rPr>
        <w:t>[ADI 5.830, rel. min. Luiz Fux, j. 30-8-2019, P, DJE de 28-11-2019.]</w:t>
      </w:r>
    </w:p>
    <w:p>
      <w:pPr>
        <w:ind w:left="288"/>
      </w:pPr>
      <w:r>
        <w:rPr>
          <w:color w:val="8C8C8C"/>
          <w:sz w:val="12"/>
        </w:rPr>
        <w:t>cf-art-21-inc-X</w:t>
      </w:r>
      <w:r>
        <w:rPr>
          <w:color w:val="003CA0"/>
          <w:sz w:val="12"/>
        </w:rPr>
        <w:t xml:space="preserve"> | ADI 4.908</w:t>
      </w:r>
      <w:r>
        <w:rPr>
          <w:color w:val="003CA0"/>
          <w:sz w:val="12"/>
        </w:rPr>
        <w:t xml:space="preserve"> | rel. Rosa Weber</w:t>
      </w:r>
    </w:p>
    <w:p>
      <w:pPr>
        <w:ind w:left="288"/>
      </w:pPr>
      <w:r>
        <w:rPr>
          <w:color w:val="1E1E1E"/>
          <w:sz w:val="18"/>
        </w:rPr>
        <w:t>O instrumento pelo qual a prestadora de serviços de telefonia oferece benefícios a seus usuários, exigindo, em contrapartida, que permaneçam a ela vinculados por um prazo mínimo, não se confunde com o termo de adesão do usuário a plano de serviço de telecomunicações, tampouco o integra, consubstanciando típica relação de consumo. Ao impor o cancelamento da multa contratual de fidelidade quando o usuário de serviços de telefonia celular ou fixa comprovar que perdeu o vínculo empregatício após a adesão ao contrato, a Lei 6.295/2012 do Estado do Rio de Janeiro disciplina relação jurídica tipicame</w:t>
      </w:r>
    </w:p>
    <w:p>
      <w:pPr>
        <w:ind w:left="288"/>
      </w:pPr>
      <w:r>
        <w:rPr>
          <w:b/>
          <w:color w:val="003CA0"/>
          <w:sz w:val="16"/>
        </w:rPr>
        <w:t>[ADI 4.908, rel. min. Rosa Weber, j. 11-4-2019, P, DJE de 6-5-2019.]</w:t>
      </w:r>
    </w:p>
    <w:p>
      <w:pPr>
        <w:ind w:left="288"/>
      </w:pPr>
      <w:r>
        <w:rPr>
          <w:color w:val="8C8C8C"/>
          <w:sz w:val="12"/>
        </w:rPr>
        <w:t>cf-art-21-inc-X</w:t>
      </w:r>
      <w:r>
        <w:rPr>
          <w:color w:val="003CA0"/>
          <w:sz w:val="12"/>
        </w:rPr>
        <w:t xml:space="preserve"> | ADI 5.253</w:t>
      </w:r>
      <w:r>
        <w:rPr>
          <w:color w:val="003CA0"/>
          <w:sz w:val="12"/>
        </w:rPr>
        <w:t xml:space="preserve"> | rel. Dias Toffoli</w:t>
      </w:r>
    </w:p>
    <w:p>
      <w:pPr>
        <w:ind w:left="288"/>
      </w:pPr>
      <w:r>
        <w:rPr>
          <w:color w:val="1E1E1E"/>
          <w:sz w:val="18"/>
        </w:rPr>
        <w:t>A Lei 13.189, de 4 de julho de 2014, do Estado da Bahia, ao criar obrigação para as operadoras do serviço móvel pessoal, consistente na instalação e na manutenção de bloqueadores de sinais de radiocomunicações (BSR) nos estabelecimentos penais de todo o Estado, com o objetivo de impedir a comunicação por telefones móveis no interior dos referidos estabelecimentos, dispôs a respeito de serviços de telecomunicações, matéria da competência legislativa privativa da União, na forma do art. 22, IV, da CF.</w:t>
      </w:r>
    </w:p>
    <w:p>
      <w:pPr>
        <w:ind w:left="288"/>
      </w:pPr>
      <w:r>
        <w:rPr>
          <w:b/>
          <w:color w:val="003CA0"/>
          <w:sz w:val="16"/>
        </w:rPr>
        <w:t>[ADI 5.253, rel. min. Dias Toffoli, j. 3-8-2016, P, DJE de 1º-8-2017.]</w:t>
      </w:r>
    </w:p>
    <w:p>
      <w:pPr>
        <w:ind w:left="288"/>
      </w:pPr>
      <w:r>
        <w:rPr>
          <w:color w:val="8C8C8C"/>
          <w:sz w:val="12"/>
        </w:rPr>
        <w:t>cf-art-21-inc-X</w:t>
      </w:r>
      <w:r>
        <w:rPr>
          <w:color w:val="003CA0"/>
          <w:sz w:val="12"/>
        </w:rPr>
        <w:t xml:space="preserve"> | ADI 4.715</w:t>
      </w:r>
      <w:r>
        <w:rPr>
          <w:color w:val="003CA0"/>
          <w:sz w:val="12"/>
        </w:rPr>
        <w:t xml:space="preserve"> | rel. Marco Aurélio</w:t>
      </w:r>
    </w:p>
    <w:p>
      <w:pPr>
        <w:ind w:left="288"/>
      </w:pPr>
      <w:r>
        <w:rPr>
          <w:color w:val="1E1E1E"/>
          <w:sz w:val="18"/>
        </w:rPr>
        <w:t>Ante lei estadual que veio a dispor sobre validade de crédito de celular pré-pago, projetando-o no tempo, surge relevante argumentação no sentido de competir à União legislar sobre telecomunicação.</w:t>
      </w:r>
    </w:p>
    <w:p>
      <w:pPr>
        <w:ind w:left="288"/>
      </w:pPr>
      <w:r>
        <w:rPr>
          <w:b/>
          <w:color w:val="003CA0"/>
          <w:sz w:val="16"/>
        </w:rPr>
        <w:t>[ADI 4.715 MC, rel. min. Marco Aurélio, j. 7-2-2013, P, DJE de 19-8-2013.]</w:t>
        <w:br/>
        <w:t>= ADI 4.649, rel. min. Dias Toffoli, j. 1º-7-2016, P, DJE de 12-8-2016</w:t>
      </w:r>
    </w:p>
    <w:p>
      <w:pPr>
        <w:ind w:left="288"/>
      </w:pPr>
      <w:r>
        <w:rPr>
          <w:color w:val="8C8C8C"/>
          <w:sz w:val="12"/>
        </w:rPr>
        <w:t>cf-art-21-inc-X</w:t>
      </w:r>
      <w:r>
        <w:rPr>
          <w:color w:val="003CA0"/>
          <w:sz w:val="12"/>
        </w:rPr>
        <w:t xml:space="preserve"> | ADI 3.343</w:t>
      </w:r>
    </w:p>
    <w:p>
      <w:pPr>
        <w:ind w:left="288"/>
      </w:pPr>
      <w:r>
        <w:rPr>
          <w:color w:val="1E1E1E"/>
          <w:sz w:val="18"/>
        </w:rPr>
        <w:t>A Lei 3.449/2004 do Distrito Federal, ao proibir a cobrança da tarifa de assinatura básica "pelas concessionárias prestadoras de serviços de água, luz, gás, TV a cabo e telefonia no Distrito Federal" (art. 1º, caput), incorreu em inconstitucionalidade formal, porquanto necessariamente inserida a fixação da "política tarifária" no âmbito de poderes inerentes à titularidade de determinado serviço público, como prevê o art. 175, parágrafo único, III, da Constituição, elemento indispensável para a preservação do equilíbrio econômico-financeiro do contrato de concessão e, por consequência, da manut</w:t>
      </w:r>
    </w:p>
    <w:p>
      <w:pPr>
        <w:ind w:left="288"/>
      </w:pPr>
      <w:r>
        <w:rPr>
          <w:b/>
          <w:color w:val="003CA0"/>
          <w:sz w:val="16"/>
        </w:rPr>
        <w:t>[ADI 3.343, red. do ac. min. Luiz Fux, j. 1º-9-2011, P, DJE de 22-11-2011.]</w:t>
      </w:r>
    </w:p>
    <w:p>
      <w:pPr>
        <w:ind w:left="288"/>
      </w:pPr>
      <w:r>
        <w:rPr>
          <w:color w:val="8C8C8C"/>
          <w:sz w:val="12"/>
        </w:rPr>
        <w:t>cf-art-21-inc-X</w:t>
      </w:r>
      <w:r>
        <w:rPr>
          <w:color w:val="003CA0"/>
          <w:sz w:val="12"/>
        </w:rPr>
        <w:t xml:space="preserve"> | ADI 3.558</w:t>
      </w:r>
      <w:r>
        <w:rPr>
          <w:color w:val="003CA0"/>
          <w:sz w:val="12"/>
        </w:rPr>
        <w:t xml:space="preserve"> | rel. Cármen Lúcia</w:t>
      </w:r>
    </w:p>
    <w:p>
      <w:pPr>
        <w:ind w:left="288"/>
      </w:pPr>
      <w:r>
        <w:rPr>
          <w:color w:val="1E1E1E"/>
          <w:sz w:val="18"/>
        </w:rPr>
        <w:t>(...) as Leis fluminenses 3.915/2002 e 4.561/2005, ao obrigarem as concessionárias dos serviços de telefonia fixa, energia elétrica, água e gás a instalar medidores de consumo, intervêm na relação firmada entre a União e suas concessionárias, pelo que contrariam os arts. 21, XI e XII, b; e 22, IV, da Constituição da República.</w:t>
      </w:r>
    </w:p>
    <w:p>
      <w:pPr>
        <w:ind w:left="288"/>
      </w:pPr>
      <w:r>
        <w:rPr>
          <w:b/>
          <w:color w:val="003CA0"/>
          <w:sz w:val="16"/>
        </w:rPr>
        <w:t>[ADI 3.558, voto da rel. min. Cármen Lúcia, j. 17-3-2011, P, DJE de 6-5-2011.]</w:t>
      </w:r>
    </w:p>
    <w:p>
      <w:pPr>
        <w:ind w:left="288"/>
      </w:pPr>
      <w:r>
        <w:rPr>
          <w:color w:val="8C8C8C"/>
          <w:sz w:val="12"/>
        </w:rPr>
        <w:t>cf-art-21-inc-X</w:t>
      </w:r>
      <w:r>
        <w:rPr>
          <w:color w:val="003CA0"/>
          <w:sz w:val="12"/>
        </w:rPr>
        <w:t xml:space="preserve"> | ADI 3.846</w:t>
      </w:r>
      <w:r>
        <w:rPr>
          <w:color w:val="003CA0"/>
          <w:sz w:val="12"/>
        </w:rPr>
        <w:t xml:space="preserve"> | rel. Gilmar Mendes</w:t>
      </w:r>
    </w:p>
    <w:p>
      <w:pPr>
        <w:ind w:left="288"/>
      </w:pPr>
      <w:r>
        <w:rPr>
          <w:color w:val="1E1E1E"/>
          <w:sz w:val="18"/>
        </w:rPr>
        <w:t>Lei estadual 12.983/2005 de Pernambuco versus CF, [arts.] 5º, X; 21, XI; e, 22, I e IV. Afronta por instituir controle de comercialização e de habilitação de aparelhos usados de telefonia móvel.</w:t>
      </w:r>
    </w:p>
    <w:p>
      <w:pPr>
        <w:ind w:left="288"/>
      </w:pPr>
      <w:r>
        <w:rPr>
          <w:b/>
          <w:color w:val="003CA0"/>
          <w:sz w:val="16"/>
        </w:rPr>
        <w:t>[ADI 3.846, rel. min. Gilmar Mendes, j. 25-11-2010, P, DJE de 15-3-2011.]</w:t>
      </w:r>
    </w:p>
    <w:p>
      <w:pPr>
        <w:ind w:left="288"/>
      </w:pPr>
      <w:r>
        <w:rPr>
          <w:color w:val="8C8C8C"/>
          <w:sz w:val="12"/>
        </w:rPr>
        <w:t>cf-art-21-inc-X</w:t>
      </w:r>
      <w:r>
        <w:rPr>
          <w:color w:val="003CA0"/>
          <w:sz w:val="12"/>
        </w:rPr>
        <w:t xml:space="preserve"> | ADI 4.083</w:t>
      </w:r>
      <w:r>
        <w:rPr>
          <w:color w:val="003CA0"/>
          <w:sz w:val="12"/>
        </w:rPr>
        <w:t xml:space="preserve"> | rel. Cármen Lúcia</w:t>
      </w:r>
    </w:p>
    <w:p>
      <w:pPr>
        <w:ind w:left="288"/>
      </w:pPr>
      <w:r>
        <w:rPr>
          <w:color w:val="1E1E1E"/>
          <w:sz w:val="18"/>
        </w:rPr>
        <w:t>A Lei distrital 4.116/2008 proíbe as empresas de telecomunicações de cobrarem taxas para a instalação do segundo ponto de acesso à internet. (...) Ainda que ao argumento de defesa do consumidor, não pode lei distrital impor a uma concessionária federal novas obrigações não antes previstas no contrato por ela firmado com a União.</w:t>
      </w:r>
    </w:p>
    <w:p>
      <w:pPr>
        <w:ind w:left="288"/>
      </w:pPr>
      <w:r>
        <w:rPr>
          <w:b/>
          <w:color w:val="003CA0"/>
          <w:sz w:val="16"/>
        </w:rPr>
        <w:t>[ADI 4.083, rel. min. Cármen Lúcia, j. 25-11-2010, P, DJE de 14-12-2010.]</w:t>
      </w:r>
    </w:p>
    <w:p>
      <w:pPr>
        <w:ind w:left="288"/>
      </w:pPr>
      <w:r>
        <w:rPr>
          <w:color w:val="8C8C8C"/>
          <w:sz w:val="12"/>
        </w:rPr>
        <w:t>cf-art-21-inc-X</w:t>
      </w:r>
      <w:r>
        <w:rPr>
          <w:color w:val="003CA0"/>
          <w:sz w:val="12"/>
        </w:rPr>
        <w:t xml:space="preserve"> | ADI 3.533</w:t>
      </w:r>
      <w:r>
        <w:rPr>
          <w:color w:val="003CA0"/>
          <w:sz w:val="12"/>
        </w:rPr>
        <w:t xml:space="preserve"> | rel. Eros Grau</w:t>
      </w:r>
    </w:p>
    <w:p>
      <w:pPr>
        <w:ind w:left="288"/>
      </w:pPr>
      <w:r>
        <w:rPr>
          <w:color w:val="1E1E1E"/>
          <w:sz w:val="18"/>
        </w:rPr>
        <w:t>Imposição às empresas de telefonia fixa que operam no Distrito Federal de instalação de contadores de pulso em cada ponto de consumo. (...) A Lei distrital 3.596 é inconstitucional, visto que dispõe sobre matéria de competência da União, criando obrigação não prevista nos respectivos contratos de concessão do serviço público, a serem cumpridas pelas concessionárias de telefonia fixa – art. 22, IV, da Constituição do Brasil.</w:t>
      </w:r>
    </w:p>
    <w:p>
      <w:pPr>
        <w:ind w:left="288"/>
      </w:pPr>
      <w:r>
        <w:rPr>
          <w:b/>
          <w:color w:val="003CA0"/>
          <w:sz w:val="16"/>
        </w:rPr>
        <w:t>[ADI 3.533, rel. min. Eros Grau, j. 2-8-2006, P, DJ de 6-10-2006.]</w:t>
      </w:r>
    </w:p>
    <w:p>
      <w:pPr>
        <w:ind w:left="288"/>
      </w:pPr>
      <w:r>
        <w:rPr>
          <w:color w:val="8C8C8C"/>
          <w:sz w:val="12"/>
        </w:rPr>
        <w:t>cf-art-21-inc-X</w:t>
      </w:r>
      <w:r>
        <w:rPr>
          <w:color w:val="003CA0"/>
          <w:sz w:val="12"/>
        </w:rPr>
        <w:t xml:space="preserve"> | ADI 4.533</w:t>
      </w:r>
      <w:r>
        <w:rPr>
          <w:color w:val="003CA0"/>
          <w:sz w:val="12"/>
        </w:rPr>
        <w:t xml:space="preserve"> | rel. Ricardo Lewandowski</w:t>
      </w:r>
    </w:p>
    <w:p>
      <w:pPr>
        <w:ind w:left="288"/>
      </w:pPr>
      <w:r>
        <w:rPr>
          <w:color w:val="1E1E1E"/>
          <w:sz w:val="18"/>
        </w:rPr>
        <w:t>= ADI 4.533 MC, rel. min. Ricardo Lewandowski, j. 10-11-2011, P, DJE de 1º-2-2012 Art. 132, I, b, da Lei Orgânica do Distrito Federal. (...) O art. 132, I, b, da Lei Orgânica do Distrito Federal, ao admitir a incidência do ICMS apenas sobre os serviços de comunicação, referidos no inciso XI do art. 21 da CF, vedou sua incidência sobre os mencionados no inciso XII, a, do mesmo artigo, ou seja, sobre os serviços de radiodifusão sonora e de sons e imagens (art. 21, XII, a, da CF, com a redação dada pela EC 8, de 15-8-1995). Com isso, estabeleceu, no Distrito Federal, tratamento diferenciado dessa</w:t>
      </w:r>
    </w:p>
    <w:p>
      <w:pPr>
        <w:ind w:left="288"/>
      </w:pPr>
      <w:r>
        <w:rPr>
          <w:b/>
          <w:color w:val="003CA0"/>
          <w:sz w:val="16"/>
        </w:rPr>
        <w:t>[ADI 1.467, rel. min. Sydney Sanches, j. 12-2-2003, P, DJ de 11-4-2003.]</w:t>
      </w:r>
    </w:p>
    <w:p>
      <w:pPr>
        <w:ind w:left="288"/>
      </w:pPr>
      <w:r>
        <w:rPr>
          <w:color w:val="8C8C8C"/>
          <w:sz w:val="12"/>
        </w:rPr>
        <w:t>cf-art-21-inc-XII</w:t>
      </w:r>
      <w:r>
        <w:rPr>
          <w:color w:val="003CA0"/>
          <w:sz w:val="12"/>
        </w:rPr>
        <w:t xml:space="preserve"> | ADI 7.332</w:t>
      </w:r>
      <w:r>
        <w:rPr>
          <w:color w:val="003CA0"/>
          <w:sz w:val="12"/>
        </w:rPr>
        <w:t xml:space="preserve"> | rel. Dias Toffoli</w:t>
      </w:r>
    </w:p>
    <w:p>
      <w:pPr>
        <w:ind w:left="288"/>
      </w:pPr>
      <w:r>
        <w:rPr>
          <w:color w:val="1E1E1E"/>
          <w:sz w:val="18"/>
        </w:rPr>
        <w:t>É inconstitucional — por violar as competências administrativa e legislativa da União para dispor sobre energia elétrica, bem como por interferir nas relações contratuais entre as concessionárias e o poder concedente federal (CF/1988, art. 21, XII, b; 22, IV; e 175) — norma estadual que obriga as empresas geradoras, transmissoras e distribuidoras de energia a destinarem percentual mínimo de seus recursos a projetos específicos.</w:t>
      </w:r>
    </w:p>
    <w:p>
      <w:pPr>
        <w:ind w:left="288"/>
      </w:pPr>
      <w:r>
        <w:rPr>
          <w:b/>
          <w:color w:val="003CA0"/>
          <w:sz w:val="16"/>
        </w:rPr>
        <w:t>[ADI 7.332, rel. min. Dias Toffoli, j. 04.11.2025, P, Informativo STF 1.197.]</w:t>
      </w:r>
    </w:p>
    <w:p>
      <w:pPr>
        <w:ind w:left="288"/>
      </w:pPr>
      <w:r>
        <w:rPr>
          <w:color w:val="8C8C8C"/>
          <w:sz w:val="12"/>
        </w:rPr>
        <w:t>cf-art-21-inc-XII</w:t>
      </w:r>
      <w:r>
        <w:rPr>
          <w:color w:val="003CA0"/>
          <w:sz w:val="12"/>
        </w:rPr>
        <w:t xml:space="preserve"> | ARE 1.524.862</w:t>
      </w:r>
      <w:r>
        <w:rPr>
          <w:color w:val="003CA0"/>
          <w:sz w:val="12"/>
        </w:rPr>
        <w:t xml:space="preserve"> | rel. Edson Fachin</w:t>
      </w:r>
    </w:p>
    <w:p>
      <w:pPr>
        <w:ind w:left="288"/>
      </w:pPr>
      <w:r>
        <w:rPr>
          <w:color w:val="1E1E1E"/>
          <w:sz w:val="18"/>
        </w:rPr>
        <w:t>A incidência do ISS sobre serviços acessórios ao setor elétrico não configura invasão da competência tributária federal, pois tais serviços não caracterizam exploração direta de energia elétrica nem legislação sobre o setor, inexistindo ofensa aos arts. 21, XII, b, e 22, IV, da Constituição Federal.</w:t>
      </w:r>
    </w:p>
    <w:p>
      <w:pPr>
        <w:ind w:left="288"/>
      </w:pPr>
      <w:r>
        <w:rPr>
          <w:b/>
          <w:color w:val="003CA0"/>
          <w:sz w:val="16"/>
        </w:rPr>
        <w:t>[ARE 1.524.862 AgR, rel. min. Edson Fachin, j. 12.03.2025, 2ª T, DJE de 21.03.2025.]</w:t>
      </w:r>
    </w:p>
    <w:p>
      <w:pPr>
        <w:ind w:left="288"/>
      </w:pPr>
      <w:r>
        <w:rPr>
          <w:color w:val="8C8C8C"/>
          <w:sz w:val="12"/>
        </w:rPr>
        <w:t>cf-art-21-inc-XII-ali-a</w:t>
      </w:r>
      <w:r>
        <w:rPr>
          <w:color w:val="003CA0"/>
          <w:sz w:val="12"/>
        </w:rPr>
        <w:t xml:space="preserve"> | ADPF 235</w:t>
      </w:r>
      <w:r>
        <w:rPr>
          <w:color w:val="003CA0"/>
          <w:sz w:val="12"/>
        </w:rPr>
        <w:t xml:space="preserve"> | rel. Luiz Fux</w:t>
      </w:r>
    </w:p>
    <w:p>
      <w:pPr>
        <w:ind w:left="288"/>
      </w:pPr>
      <w:r>
        <w:rPr>
          <w:color w:val="1E1E1E"/>
          <w:sz w:val="18"/>
        </w:rPr>
        <w:t>(...) é formalmente inconstitucional a Lei 416/08, do Município de Augustinópolis/TO, que autoriza o Poder Executivo Municipal a conceder a exploração do Serviço de Radiodifusão Comunitária no âmbito do território do Município, mercê da inexistência, na sistemática jurídico-constitucional atual, de espaço para que o legislador local busque tratar geral e abstratamente sobre o tema da exploração do Serviço de Radiodifusão Comunitária.</w:t>
      </w:r>
    </w:p>
    <w:p>
      <w:pPr>
        <w:ind w:left="288"/>
      </w:pPr>
      <w:r>
        <w:rPr>
          <w:b/>
          <w:color w:val="003CA0"/>
          <w:sz w:val="16"/>
        </w:rPr>
        <w:t>[ADPF 235, rel. min. Luiz Fux, j. 14-8-2019, P, DJE de 30-8-2019.]</w:t>
      </w:r>
    </w:p>
    <w:p>
      <w:pPr>
        <w:ind w:left="288"/>
      </w:pPr>
      <w:r>
        <w:rPr>
          <w:color w:val="8C8C8C"/>
          <w:sz w:val="12"/>
        </w:rPr>
        <w:t>cf-art-21-inc-XII-ali-a</w:t>
      </w:r>
      <w:r>
        <w:rPr>
          <w:color w:val="003CA0"/>
          <w:sz w:val="12"/>
        </w:rPr>
        <w:t xml:space="preserve"> | ADI 1.467</w:t>
      </w:r>
      <w:r>
        <w:rPr>
          <w:color w:val="003CA0"/>
          <w:sz w:val="12"/>
        </w:rPr>
        <w:t xml:space="preserve"> | rel. Sydney Sanches</w:t>
      </w:r>
    </w:p>
    <w:p>
      <w:pPr>
        <w:ind w:left="288"/>
      </w:pPr>
      <w:r>
        <w:rPr>
          <w:color w:val="1E1E1E"/>
          <w:sz w:val="18"/>
        </w:rPr>
        <w:t xml:space="preserve">Art. 132, I, b, da Lei Orgânica do Distrito Federal. (...) O art. 132, I, b, da Lei Orgânica do Distrito Federal, ao admitir a incidência do ICMS apenas sobre os serviços de comunicação, referidos no inciso XI do art. 21 da CF, vedou sua incidência sobre os mencionados no inciso XII, a, do mesmo artigo, ou seja, sobre os serviços de radiodifusão sonora e de sons e imagens (art. 21, XII, a, da CF, com a redação dada pela EC 8, de 15-8-1995). Com isso, estabeleceu, no Distrito Federal, tratamento diferenciado dessa questão, em face do que ocorre nas demais unidades da Federação e do disposto no </w:t>
      </w:r>
    </w:p>
    <w:p>
      <w:pPr>
        <w:ind w:left="288"/>
      </w:pPr>
      <w:r>
        <w:rPr>
          <w:b/>
          <w:color w:val="003CA0"/>
          <w:sz w:val="16"/>
        </w:rPr>
        <w:t>[ADI 1.467, rel. min. Sydney Sanches, j. 12-2-2003, P, DJ de 11-4-2003.]</w:t>
      </w:r>
    </w:p>
    <w:p>
      <w:pPr>
        <w:ind w:left="288"/>
      </w:pPr>
      <w:r>
        <w:rPr>
          <w:color w:val="8C8C8C"/>
          <w:sz w:val="12"/>
        </w:rPr>
        <w:t>cf-art-21-inc-XII-ali-b</w:t>
      </w:r>
      <w:r>
        <w:rPr>
          <w:color w:val="003CA0"/>
          <w:sz w:val="12"/>
        </w:rPr>
        <w:t xml:space="preserve"> | ADPF 218</w:t>
      </w:r>
      <w:r>
        <w:rPr>
          <w:color w:val="003CA0"/>
          <w:sz w:val="12"/>
        </w:rPr>
        <w:t xml:space="preserve"> | rel. Gilmar Mendes</w:t>
      </w:r>
    </w:p>
    <w:p>
      <w:pPr>
        <w:ind w:left="288"/>
      </w:pPr>
      <w:r>
        <w:rPr>
          <w:color w:val="1E1E1E"/>
          <w:sz w:val="18"/>
        </w:rPr>
        <w:t>Competência privativa da União para legislar sobre água e energia. A situação normatizada na espécie guarda nexo muito mais estreito com a regulação do aproveitamento energético dos cursos de água que eventual competência comum do Município de Ponte Nova/MG para tratar sobre assunto de interesse local ou suplementação a normas federais ou estaduais. Ao proibir a construção de UHEs e PCHs e estipular a necessidade de emprego do método menos impactante a ser utilizado para geração de energia, o legislador municipal dispôs sobre matéria de competência privativa da União e avocou indevidamente a c</w:t>
      </w:r>
    </w:p>
    <w:p>
      <w:pPr>
        <w:ind w:left="288"/>
      </w:pPr>
      <w:r>
        <w:rPr>
          <w:b/>
          <w:color w:val="003CA0"/>
          <w:sz w:val="16"/>
        </w:rPr>
        <w:t>[ADPF 218, rel. min. Gilmar Mendes, j. 07.05.2025, P, DJE de 12.05.2025.]</w:t>
      </w:r>
    </w:p>
    <w:p>
      <w:pPr>
        <w:ind w:left="288"/>
      </w:pPr>
      <w:r>
        <w:rPr>
          <w:color w:val="8C8C8C"/>
          <w:sz w:val="12"/>
        </w:rPr>
        <w:t>cf-art-21-inc-XII-ali-b</w:t>
      </w:r>
      <w:r>
        <w:rPr>
          <w:color w:val="003CA0"/>
          <w:sz w:val="12"/>
        </w:rPr>
        <w:t xml:space="preserve"> | ADPF 979</w:t>
      </w:r>
      <w:r>
        <w:rPr>
          <w:color w:val="003CA0"/>
          <w:sz w:val="12"/>
        </w:rPr>
        <w:t xml:space="preserve"> | rel. Edson Fachin</w:t>
      </w:r>
    </w:p>
    <w:p>
      <w:pPr>
        <w:ind w:left="288"/>
      </w:pPr>
      <w:r>
        <w:rPr>
          <w:color w:val="1E1E1E"/>
          <w:sz w:val="18"/>
        </w:rPr>
        <w:t xml:space="preserve">Lei n. 6.766/2022, do município de Cuiabá. Proibição de construção de usinas hidrelétricas – UHE e pequenas centrais hidrelétricas – PCH em toda a extensão do Rio Cuiabá. (...) A situação normatizada na espécie guarda nexo muito mais estreito com a regulação do aproveitamento energético dos cursos de água e à formulação de normas gerais de proteção do meio ambiente que eventual competência comum do Município de Cuiabá para tratar sobre assunto de interesse local ou suplementação a normas federais ou estaduais. Ao proibir a construção de UHEs e PCHs, o legislador municipal dispôs sobre matéria </w:t>
      </w:r>
    </w:p>
    <w:p>
      <w:pPr>
        <w:ind w:left="288"/>
      </w:pPr>
      <w:r>
        <w:rPr>
          <w:b/>
          <w:color w:val="003CA0"/>
          <w:sz w:val="16"/>
        </w:rPr>
        <w:t>[ADI 2.299, rel. min. Roberto Barroso, j. 23-8-2019, P, DJE de 13-12-2019.]</w:t>
      </w:r>
    </w:p>
    <w:p>
      <w:pPr>
        <w:ind w:left="288"/>
      </w:pPr>
      <w:r>
        <w:rPr>
          <w:color w:val="8C8C8C"/>
          <w:sz w:val="12"/>
        </w:rPr>
        <w:t>cf-art-21-inc-XII-ali-b</w:t>
      </w:r>
      <w:r>
        <w:rPr>
          <w:color w:val="003CA0"/>
          <w:sz w:val="12"/>
        </w:rPr>
        <w:t xml:space="preserve"> | ADI 5.610</w:t>
      </w:r>
      <w:r>
        <w:rPr>
          <w:color w:val="003CA0"/>
          <w:sz w:val="12"/>
        </w:rPr>
        <w:t xml:space="preserve"> | rel. Luiz Fux</w:t>
      </w:r>
    </w:p>
    <w:p>
      <w:pPr>
        <w:ind w:left="288"/>
      </w:pPr>
      <w:r>
        <w:rPr>
          <w:color w:val="1E1E1E"/>
          <w:sz w:val="18"/>
        </w:rPr>
        <w:t>Os prazos e valores referentes à religação do fornecimento de energia elétrica não apenas já estão normatizados na legislação setorial pertinente, como o quantum pelo serviços cobráveis e visitas técnicas submetem-se à homologação da ANEEL, razão pela qual não remanesce, sob esse prisma, qualquer espaço para a atuação legislativa estadual, mercê de, a pretexto de ofertar maior proteção ao consumidor, o ente federativo tornar sem efeito norma técnica exarada pela agência reguladora competente.</w:t>
      </w:r>
    </w:p>
    <w:p>
      <w:pPr>
        <w:ind w:left="288"/>
      </w:pPr>
      <w:r>
        <w:rPr>
          <w:b/>
          <w:color w:val="003CA0"/>
          <w:sz w:val="16"/>
        </w:rPr>
        <w:t>[ADI 5.610, rel. min. Luiz Fux, j. 8-8-2019, P, DJE de 20-11-2019.]</w:t>
      </w:r>
    </w:p>
    <w:p>
      <w:pPr>
        <w:ind w:left="288"/>
      </w:pPr>
      <w:r>
        <w:rPr>
          <w:color w:val="8C8C8C"/>
          <w:sz w:val="12"/>
        </w:rPr>
        <w:t>cf-art-21-inc-XII-ali-b</w:t>
      </w:r>
      <w:r>
        <w:rPr>
          <w:color w:val="003CA0"/>
          <w:sz w:val="12"/>
        </w:rPr>
        <w:t xml:space="preserve"> | ADI 3.343</w:t>
      </w:r>
    </w:p>
    <w:p>
      <w:pPr>
        <w:ind w:left="288"/>
      </w:pPr>
      <w:r>
        <w:rPr>
          <w:color w:val="1E1E1E"/>
          <w:sz w:val="18"/>
        </w:rPr>
        <w:t>A Lei 3.449/2004 do Distrito Federal, ao proibir a cobrança da tarifa de assinatura básica "pelas concessionárias prestadoras de serviços de água, luz, gás, TV a cabo e telefonia no Distrito Federal" (art. 1º, caput), incorreu em inconstitucionalidade formal, porquanto necessariamente inserida a fixação da "política tarifária" no âmbito de poderes inerentes à titularidade de determinado serviço público, como prevê o art. 175, parágrafo único, III, da Constituição, elemento indispensável para a preservação do equilíbrio econômico-financeiro do contrato de concessão e, por consequência, da manut</w:t>
      </w:r>
    </w:p>
    <w:p>
      <w:pPr>
        <w:ind w:left="288"/>
      </w:pPr>
      <w:r>
        <w:rPr>
          <w:b/>
          <w:color w:val="003CA0"/>
          <w:sz w:val="16"/>
        </w:rPr>
        <w:t>[ADI 3.343, red. do ac. min. Luiz Fux, j. 1º-9-2011, P, DJE de 22-11-2011.]</w:t>
      </w:r>
    </w:p>
    <w:p>
      <w:pPr>
        <w:ind w:left="288"/>
      </w:pPr>
      <w:r>
        <w:rPr>
          <w:color w:val="8C8C8C"/>
          <w:sz w:val="12"/>
        </w:rPr>
        <w:t>cf-art-21-inc-XII-ali-b</w:t>
      </w:r>
      <w:r>
        <w:rPr>
          <w:color w:val="003CA0"/>
          <w:sz w:val="12"/>
        </w:rPr>
        <w:t xml:space="preserve"> | ADI 3.558</w:t>
      </w:r>
      <w:r>
        <w:rPr>
          <w:color w:val="003CA0"/>
          <w:sz w:val="12"/>
        </w:rPr>
        <w:t xml:space="preserve"> | rel. Cármen Lúcia</w:t>
      </w:r>
    </w:p>
    <w:p>
      <w:pPr>
        <w:ind w:left="288"/>
      </w:pPr>
      <w:r>
        <w:rPr>
          <w:color w:val="1E1E1E"/>
          <w:sz w:val="18"/>
        </w:rPr>
        <w:t>(...) as Leis fluminenses 3.915/2002 e 4.561/2005, ao obrigarem as concessionárias dos serviços de telefonia fixa, energia elétrica, água e gás a instalar medidores de consumo, intervêm na relação firmada entre a União e suas concessionárias, pelo que contrariam os arts. 21, XI e XII, b; e 22, IV, da Constituição da República.</w:t>
      </w:r>
    </w:p>
    <w:p>
      <w:pPr>
        <w:ind w:left="288"/>
      </w:pPr>
      <w:r>
        <w:rPr>
          <w:b/>
          <w:color w:val="003CA0"/>
          <w:sz w:val="16"/>
        </w:rPr>
        <w:t>[ADI 3.558, voto da rel. min. Cármen Lúcia, j. 17-3-2011, P, DJE de 6-5-2011.]</w:t>
      </w:r>
    </w:p>
    <w:p>
      <w:pPr>
        <w:ind w:left="288"/>
      </w:pPr>
      <w:r>
        <w:rPr>
          <w:color w:val="8C8C8C"/>
          <w:sz w:val="12"/>
        </w:rPr>
        <w:t>cf-art-21-inc-XII-ali-b</w:t>
      </w:r>
      <w:r>
        <w:rPr>
          <w:color w:val="003CA0"/>
          <w:sz w:val="12"/>
        </w:rPr>
        <w:t xml:space="preserve"> | ADI 3.729</w:t>
      </w:r>
      <w:r>
        <w:rPr>
          <w:color w:val="003CA0"/>
          <w:sz w:val="12"/>
        </w:rPr>
        <w:t xml:space="preserve"> | rel. Gilmar Mendes</w:t>
      </w:r>
    </w:p>
    <w:p>
      <w:pPr>
        <w:ind w:left="288"/>
      </w:pPr>
      <w:r>
        <w:rPr>
          <w:color w:val="1E1E1E"/>
          <w:sz w:val="18"/>
        </w:rPr>
        <w:t>Ação direta de inconstitucionalidade contra a expressão "energia elétrica", contida no caput do art. 1º da Lei 11.260/2002 do Estado de São Paulo, que proíbe o corte de energia elétrica, água e gás canalizado por falta de pagamento, sem prévia comunicação ao usuário. (...) Violação aos arts. 21, XII, b; 22, IV; e 175, caput e parágrafo único, I, II e III; da CF.</w:t>
      </w:r>
    </w:p>
    <w:p>
      <w:pPr>
        <w:ind w:left="288"/>
      </w:pPr>
      <w:r>
        <w:rPr>
          <w:b/>
          <w:color w:val="003CA0"/>
          <w:sz w:val="16"/>
        </w:rPr>
        <w:t>[ADI 3.729, rel. min. Gilmar Mendes, j. 17-9-2007, P, DJ de 9-11-2007.]</w:t>
      </w:r>
    </w:p>
    <w:p>
      <w:pPr>
        <w:ind w:left="288"/>
      </w:pPr>
      <w:r>
        <w:rPr>
          <w:color w:val="8C8C8C"/>
          <w:sz w:val="12"/>
        </w:rPr>
        <w:t>cf-art-21-inc-XII-ali-b</w:t>
      </w:r>
      <w:r>
        <w:rPr>
          <w:color w:val="003CA0"/>
          <w:sz w:val="12"/>
        </w:rPr>
        <w:t xml:space="preserve"> | ADI 2.337</w:t>
      </w:r>
      <w:r>
        <w:rPr>
          <w:color w:val="003CA0"/>
          <w:sz w:val="12"/>
        </w:rPr>
        <w:t xml:space="preserve"> | rel. Celso de Mello</w:t>
      </w:r>
    </w:p>
    <w:p>
      <w:pPr>
        <w:ind w:left="288"/>
      </w:pPr>
      <w:r>
        <w:rPr>
          <w:color w:val="1E1E1E"/>
          <w:sz w:val="18"/>
        </w:rPr>
        <w:t>Os Estados-membros – que não podem interferir na esfera das relações jurídico-contratuais estabelecidas entre o poder concedente (quando este for a União Federal ou o Município) e as empresas concessionárias – também não dispõem de competência para modificar ou alterar as condições, que, previstas na licitação, acham-se formalmente estipuladas no contrato de concessão celebrado pela União (energia elétrica – CF, art. 21, XII, b) e pelo Município (fornecimento de água – CF, art. 30, I e V), de um lado, com as concessionárias, de outro, notadamente se essa ingerência normativa, ao determinar a s</w:t>
      </w:r>
    </w:p>
    <w:p>
      <w:pPr>
        <w:ind w:left="288"/>
      </w:pPr>
      <w:r>
        <w:rPr>
          <w:b/>
          <w:color w:val="003CA0"/>
          <w:sz w:val="16"/>
        </w:rPr>
        <w:t>[ADI 2.337 MC, rel. min. Celso de Mello, j. 20-2-2002, P, DJ de 21-6-2002.]</w:t>
      </w:r>
    </w:p>
    <w:p>
      <w:pPr>
        <w:ind w:left="144"/>
      </w:pPr>
      <w:r>
        <w:rPr>
          <w:b/>
          <w:color w:val="B45A00"/>
          <w:sz w:val="16"/>
        </w:rPr>
        <w:t>REPERCUSSAO GERAL</w:t>
      </w:r>
    </w:p>
    <w:p>
      <w:pPr>
        <w:ind w:left="288"/>
      </w:pPr>
      <w:r>
        <w:rPr>
          <w:color w:val="8C8C8C"/>
          <w:sz w:val="12"/>
        </w:rPr>
        <w:t>cf-art-21-inc-XII-ali-b</w:t>
      </w:r>
      <w:r>
        <w:rPr>
          <w:color w:val="003CA0"/>
          <w:sz w:val="12"/>
        </w:rPr>
        <w:t xml:space="preserve"> | RE 1.350.965</w:t>
      </w:r>
      <w:r>
        <w:rPr>
          <w:color w:val="003CA0"/>
          <w:sz w:val="12"/>
        </w:rPr>
        <w:t xml:space="preserve"> | rel. Luiz Fux</w:t>
      </w:r>
    </w:p>
    <w:p>
      <w:pPr>
        <w:ind w:left="288"/>
      </w:pPr>
      <w:r>
        <w:rPr>
          <w:color w:val="1E1E1E"/>
          <w:sz w:val="18"/>
        </w:rPr>
        <w:t>É infraconstitucional, a ela se aplicando os efeitos da ausência de repercussão geral, a controvérsia relativa à extrapolação dos limites do poder regulamentar pela Agência Nacional de Energia Elétrica (ANEEL), na edição das Resoluções 414/2010, 479/2012 e 587/2013, as quais determinam a transferência aos municípios do sistema de iluminação pública registrado como Ativo Imobilizado em Serviço AIS da distribuidora de energia elétrica.</w:t>
        <w:br/>
        <w:t>[RE 1.350.965 RG, rel. min. Luiz Fux, j. 11-11-2021, P, DJE de 6-12-2021, Tema 1.181, com repercussão geral negada.] Taxa de uso e ocupação de solo e espaço aéreo</w:t>
      </w:r>
    </w:p>
    <w:p>
      <w:pPr>
        <w:ind w:left="144"/>
      </w:pPr>
      <w:r>
        <w:rPr>
          <w:b/>
          <w:color w:val="B45A00"/>
          <w:sz w:val="16"/>
        </w:rPr>
        <w:t>JULGADOS CORRELATOS</w:t>
      </w:r>
    </w:p>
    <w:p>
      <w:pPr>
        <w:ind w:left="288"/>
      </w:pPr>
      <w:r>
        <w:rPr>
          <w:color w:val="8C8C8C"/>
          <w:sz w:val="12"/>
        </w:rPr>
        <w:t>cf-art-21-inc-XII-ali-c</w:t>
      </w:r>
      <w:r>
        <w:rPr>
          <w:color w:val="003CA0"/>
          <w:sz w:val="12"/>
        </w:rPr>
        <w:t xml:space="preserve"> | RE 363.412</w:t>
      </w:r>
      <w:r>
        <w:rPr>
          <w:color w:val="003CA0"/>
          <w:sz w:val="12"/>
        </w:rPr>
        <w:t xml:space="preserve"> | rel. Celso de Mello</w:t>
      </w:r>
    </w:p>
    <w:p>
      <w:pPr>
        <w:ind w:left="288"/>
      </w:pPr>
      <w:r>
        <w:rPr>
          <w:color w:val="1E1E1E"/>
          <w:sz w:val="18"/>
        </w:rPr>
        <w:t>A Infraero, que é empresa pública, executa como atividade-fim, em regime de monopólio, serviços de infraestrutura aeroportuária constitucionalmente outorgados à União Federal, qualificando-se, em razão de sua específica destinação institucional, como entidade delegatária dos serviços públicos a que se refere o art. 21, XII, c, da Lei Fundamental, o que exclui essa empresa governamental, em matéria de impostos, por efeito da imunidade tributária recíproca (CF, art. 150, VI, a), do poder de tributar dos entes políticos em geral.</w:t>
      </w:r>
    </w:p>
    <w:p>
      <w:pPr>
        <w:ind w:left="288"/>
      </w:pPr>
      <w:r>
        <w:rPr>
          <w:b/>
          <w:color w:val="003CA0"/>
          <w:sz w:val="16"/>
        </w:rPr>
        <w:t>[RE 363.412 AgR, rel. min. Celso de Mello, j. 7-8-2007, 2ª T, DJE de 19-9-2008.]</w:t>
      </w:r>
    </w:p>
    <w:p>
      <w:pPr>
        <w:ind w:left="144"/>
      </w:pPr>
      <w:r>
        <w:rPr>
          <w:b/>
          <w:color w:val="B45A00"/>
          <w:sz w:val="16"/>
        </w:rPr>
        <w:t>CONTROLE CONCENTRADO</w:t>
      </w:r>
    </w:p>
    <w:p>
      <w:pPr>
        <w:ind w:left="288"/>
      </w:pPr>
      <w:r>
        <w:rPr>
          <w:color w:val="8C8C8C"/>
          <w:sz w:val="12"/>
        </w:rPr>
        <w:t>cf-art-21-inc-XII-ali-e</w:t>
      </w:r>
      <w:r>
        <w:rPr>
          <w:color w:val="003CA0"/>
          <w:sz w:val="12"/>
        </w:rPr>
        <w:t xml:space="preserve"> | ADI 5.549</w:t>
      </w:r>
      <w:r>
        <w:rPr>
          <w:color w:val="003CA0"/>
          <w:sz w:val="12"/>
        </w:rPr>
        <w:t xml:space="preserve"> | rel. Luiz Fux</w:t>
      </w:r>
    </w:p>
    <w:p>
      <w:pPr>
        <w:ind w:left="288"/>
      </w:pPr>
      <w:r>
        <w:rPr>
          <w:color w:val="1E1E1E"/>
          <w:sz w:val="18"/>
        </w:rPr>
        <w:t>A assimetria regulatória estabelecida no artigo 21, XII, e, da Constituição Federal assegurou a possibilidade de se outorgar a prestação de transporte rodoviário interestadual e internacional de passageiros (TRIIP) por autorização de serviço público, máxime em razão da inexistência de restrições à oferta que justifiquem a oposição de barreiras à entrada de concorrentes no setor; da descentralização à agência reguladora de poderes para assegurar a observância de aspectos qualitativos inerentes à adequada prestação do serviço; e de a abertura do mercado para novos entrantes contribuir para a uni</w:t>
      </w:r>
    </w:p>
    <w:p>
      <w:pPr>
        <w:ind w:left="144"/>
      </w:pPr>
      <w:r>
        <w:rPr>
          <w:b/>
          <w:color w:val="B45A00"/>
          <w:sz w:val="16"/>
        </w:rPr>
        <w:t>JULGADOS CORRELATOS</w:t>
      </w:r>
    </w:p>
    <w:p>
      <w:pPr>
        <w:ind w:left="288"/>
      </w:pPr>
      <w:r>
        <w:rPr>
          <w:color w:val="8C8C8C"/>
          <w:sz w:val="12"/>
        </w:rPr>
        <w:t>cf-art-21-inc-XII-ali-e</w:t>
      </w:r>
      <w:r>
        <w:rPr>
          <w:color w:val="003CA0"/>
          <w:sz w:val="12"/>
        </w:rPr>
        <w:t xml:space="preserve"> | MS 27.516</w:t>
      </w:r>
      <w:r>
        <w:rPr>
          <w:color w:val="003CA0"/>
          <w:sz w:val="12"/>
        </w:rPr>
        <w:t xml:space="preserve"> | rel. Ellen Gracie</w:t>
      </w:r>
    </w:p>
    <w:p>
      <w:pPr>
        <w:ind w:left="288"/>
      </w:pPr>
      <w:r>
        <w:rPr>
          <w:color w:val="1E1E1E"/>
          <w:sz w:val="18"/>
        </w:rPr>
        <w:t>A titularidade dos serviços de transporte rodoviário interestadual e internacional de passageiros, nos termos do art. 21, XII, e, da CF, é da União. É possível a desestatização de serviços públicos já explorados por particulares, de responsabilidade da União, conforme disposto no art. 2º, § 1º, b, parte final, da Lei 9.491/1997.</w:t>
      </w:r>
    </w:p>
    <w:p>
      <w:pPr>
        <w:ind w:left="288"/>
      </w:pPr>
      <w:r>
        <w:rPr>
          <w:b/>
          <w:color w:val="003CA0"/>
          <w:sz w:val="16"/>
        </w:rPr>
        <w:t>[MS 27.516, rel. min. Ellen Gracie, j. 22-10-2008, P, DJE de 5-12-2008.]</w:t>
      </w:r>
    </w:p>
    <w:p>
      <w:pPr>
        <w:ind w:left="288"/>
      </w:pPr>
      <w:r>
        <w:rPr>
          <w:color w:val="8C8C8C"/>
          <w:sz w:val="12"/>
        </w:rPr>
        <w:t>cf-art-21-inc-XII-ali-e</w:t>
      </w:r>
      <w:r>
        <w:rPr>
          <w:color w:val="003CA0"/>
          <w:sz w:val="12"/>
        </w:rPr>
        <w:t xml:space="preserve"> | RE 214.382</w:t>
      </w:r>
      <w:r>
        <w:rPr>
          <w:color w:val="003CA0"/>
          <w:sz w:val="12"/>
        </w:rPr>
        <w:t xml:space="preserve"> | rel. Octavio Gallotti</w:t>
      </w:r>
    </w:p>
    <w:p>
      <w:pPr>
        <w:ind w:left="288"/>
      </w:pPr>
      <w:r>
        <w:rPr>
          <w:color w:val="1E1E1E"/>
          <w:sz w:val="18"/>
        </w:rPr>
        <w:t>Transporte rodoviário interestadual de passageiros. Não pode ser dispensada, a título de proteção da livre iniciativa, a regular autorização, concessão ou permissão da União, para a sua exploração por empresa particular. Recurso extraordinário provido por contrariedade ao disposto no art. 21, XII, e, da CF.</w:t>
      </w:r>
    </w:p>
    <w:p>
      <w:pPr>
        <w:ind w:left="288"/>
      </w:pPr>
      <w:r>
        <w:rPr>
          <w:b/>
          <w:color w:val="003CA0"/>
          <w:sz w:val="16"/>
        </w:rPr>
        <w:t>[RE 214.382, rel. min. Octavio Gallotti, j. 21-9-1999, 1ª T, DJ de 19-11-1999.]</w:t>
      </w:r>
    </w:p>
    <w:p>
      <w:pPr>
        <w:ind w:left="288"/>
      </w:pPr>
      <w:r>
        <w:rPr>
          <w:color w:val="8C8C8C"/>
          <w:sz w:val="12"/>
        </w:rPr>
        <w:t>cf-art-21-inc-XII-ali-f</w:t>
      </w:r>
      <w:r>
        <w:rPr>
          <w:color w:val="003CA0"/>
          <w:sz w:val="12"/>
        </w:rPr>
        <w:t xml:space="preserve"> | RE 253.472</w:t>
      </w:r>
    </w:p>
    <w:p>
      <w:pPr>
        <w:ind w:left="288"/>
      </w:pPr>
      <w:r>
        <w:rPr>
          <w:color w:val="1E1E1E"/>
          <w:sz w:val="18"/>
        </w:rPr>
        <w:t>(...) a exploração dos portos marítimos, fluviais e lacustres caracteriza-se como serviço público. O controle acionário da Codesp pertence em sua quase totalidade à União (99,97%). Falta da indicação de que a atividade da pessoa jurídica satisfaça primordialmente interesse de acúmulo patrimonial público ou privado. Não há indicação de risco de quebra do equilíbrio concorrencial ou de livre iniciativa, eis que ausente comprovação de que a Codesp concorra com outras entidades no campo de sua atuação.</w:t>
      </w:r>
    </w:p>
    <w:p>
      <w:pPr>
        <w:ind w:left="288"/>
      </w:pPr>
      <w:r>
        <w:rPr>
          <w:b/>
          <w:color w:val="003CA0"/>
          <w:sz w:val="16"/>
        </w:rPr>
        <w:t>[RE 253.472, red. do ac. min. Joaquim Barbosa, j. 25-8-2010, P, DJE de 1º-2-2011.]</w:t>
      </w:r>
    </w:p>
    <w:p>
      <w:pPr>
        <w:ind w:left="288"/>
      </w:pPr>
      <w:r>
        <w:rPr>
          <w:color w:val="8C8C8C"/>
          <w:sz w:val="12"/>
        </w:rPr>
        <w:t>cf-art-21-inc-XII-ali-f</w:t>
      </w:r>
      <w:r>
        <w:rPr>
          <w:color w:val="003CA0"/>
          <w:sz w:val="12"/>
        </w:rPr>
        <w:t xml:space="preserve"> | RE 458.164</w:t>
      </w:r>
      <w:r>
        <w:rPr>
          <w:color w:val="003CA0"/>
          <w:sz w:val="12"/>
        </w:rPr>
        <w:t xml:space="preserve"> | rel. Celso de Mello</w:t>
      </w:r>
    </w:p>
    <w:p>
      <w:pPr>
        <w:ind w:left="288"/>
      </w:pPr>
      <w:r>
        <w:rPr>
          <w:color w:val="1E1E1E"/>
          <w:sz w:val="18"/>
        </w:rPr>
        <w:t>= RE 458.164 AgR, rel. min. Celso de Mello, j. 21-6-2011, 2ª T, DJE de 23-8-2011 Imóveis situados no porto, área de domínio público da União, e que se encontram sob custódia da companhia, em razão de delegação prevista na Lei de Concessões Portuárias. Não incidência do IPTU, por tratar-se de bem e serviço de competência atribuída ao poder público (arts. 21, XII, f, e 150, VI, da CF).</w:t>
      </w:r>
    </w:p>
    <w:p>
      <w:pPr>
        <w:ind w:left="288"/>
      </w:pPr>
      <w:r>
        <w:rPr>
          <w:b/>
          <w:color w:val="003CA0"/>
          <w:sz w:val="16"/>
        </w:rPr>
        <w:t>[AI 458.856 AgR, rel. min. Eros Grau, j. 5-10-2004, 1ª T, DJ de 20-4-2007.]</w:t>
      </w:r>
    </w:p>
    <w:p>
      <w:pPr>
        <w:ind w:left="288"/>
      </w:pPr>
      <w:r>
        <w:rPr>
          <w:color w:val="8C8C8C"/>
          <w:sz w:val="12"/>
        </w:rPr>
        <w:t>cf-art-21-inc-XII-ali-f</w:t>
      </w:r>
      <w:r>
        <w:rPr>
          <w:color w:val="003CA0"/>
          <w:sz w:val="12"/>
        </w:rPr>
        <w:t xml:space="preserve"> | RE 172.816</w:t>
      </w:r>
      <w:r>
        <w:rPr>
          <w:color w:val="003CA0"/>
          <w:sz w:val="12"/>
        </w:rPr>
        <w:t xml:space="preserve"> | rel. Paulo Brossard</w:t>
      </w:r>
    </w:p>
    <w:p>
      <w:pPr>
        <w:ind w:left="288"/>
      </w:pPr>
      <w:r>
        <w:rPr>
          <w:color w:val="1E1E1E"/>
          <w:sz w:val="18"/>
        </w:rPr>
        <w:t>Competindo à União, e só a ela, explorar diretamente ou mediante autorização, concessão ou permissão, os portos marítimos, fluviais e lacustres, art. 21, XII, f, da CF, está caracterizada a natureza pública do serviço de docas. A Companhia Docas do Rio de Janeiro, sociedade de economia mista federal, incumbida de explorar o serviço portuário em regime de exclusividade, não pode ter bem desapropriado pelo Estado. Inexistência, no caso, de autorização legislativa.</w:t>
      </w:r>
    </w:p>
    <w:p>
      <w:pPr>
        <w:ind w:left="288"/>
      </w:pPr>
      <w:r>
        <w:rPr>
          <w:b/>
          <w:color w:val="003CA0"/>
          <w:sz w:val="16"/>
        </w:rPr>
        <w:t>[RE 172.816, rel. min. Paulo Brossard, j. 9-2-1994, DJ de 13-5-1994.]</w:t>
      </w:r>
    </w:p>
    <w:p>
      <w:pPr>
        <w:ind w:left="288"/>
      </w:pPr>
      <w:r>
        <w:rPr>
          <w:color w:val="8C8C8C"/>
          <w:sz w:val="12"/>
        </w:rPr>
        <w:t>cf-art-21-inc-XII-ali-f</w:t>
      </w:r>
      <w:r>
        <w:rPr>
          <w:color w:val="003CA0"/>
          <w:sz w:val="12"/>
        </w:rPr>
        <w:t xml:space="preserve"> | RE 253.472</w:t>
      </w:r>
      <w:r>
        <w:rPr>
          <w:color w:val="003CA0"/>
          <w:sz w:val="12"/>
        </w:rPr>
        <w:t xml:space="preserve"> | rel. Marco Aurélio</w:t>
      </w:r>
    </w:p>
    <w:p>
      <w:pPr>
        <w:ind w:left="288"/>
      </w:pPr>
      <w:r>
        <w:rPr>
          <w:color w:val="1E1E1E"/>
          <w:sz w:val="18"/>
        </w:rPr>
        <w:t>Vide RE 253.472, red. do ac. min. Joaquim Barbosa, rel. min. Marco Aurélio, j. 25-8-2010, P, DJE de 1º-2-2011</w:t>
      </w:r>
    </w:p>
    <w:p>
      <w:pPr>
        <w:ind w:left="144"/>
      </w:pPr>
      <w:r>
        <w:rPr>
          <w:b/>
          <w:color w:val="B45A00"/>
          <w:sz w:val="16"/>
        </w:rPr>
        <w:t>CONTROLE CONCENTRADO</w:t>
      </w:r>
    </w:p>
    <w:p>
      <w:pPr>
        <w:ind w:left="288"/>
      </w:pPr>
      <w:r>
        <w:rPr>
          <w:color w:val="8C8C8C"/>
          <w:sz w:val="12"/>
        </w:rPr>
        <w:t>cf-art-21-inc-XIII</w:t>
      </w:r>
      <w:r>
        <w:rPr>
          <w:color w:val="003CA0"/>
          <w:sz w:val="12"/>
        </w:rPr>
        <w:t xml:space="preserve"> | ADI 7.171</w:t>
      </w:r>
      <w:r>
        <w:rPr>
          <w:color w:val="003CA0"/>
          <w:sz w:val="12"/>
        </w:rPr>
        <w:t xml:space="preserve"> | rel. Alexandre de Moraes</w:t>
      </w:r>
    </w:p>
    <w:p>
      <w:pPr>
        <w:ind w:left="288"/>
      </w:pPr>
      <w:r>
        <w:rPr>
          <w:color w:val="1E1E1E"/>
          <w:sz w:val="18"/>
        </w:rPr>
        <w:t>A Lei 9.613/1998, ao tratar de bens, direitos ou valores objeto de constrição judicial, em virtude de decretação de medida assecuratória ou pela perda em razão de condenação criminal, previu a sua destinação à União ou aos Estados, a depender da respectiva competência do órgão julgador, sem a previsão do Distrito Federal no rol de destinatários, mesmo nas hipóteses de competência da Justiça do Distrito Federal. Compete à União, nos termos do art. 21, incisos XIII e XIV da Constituição Federal, organizar e manter o Poder Judiciário, o Ministério Público e os órgãos de segurança pública do Distr</w:t>
      </w:r>
    </w:p>
    <w:p>
      <w:pPr>
        <w:ind w:left="288"/>
      </w:pPr>
      <w:r>
        <w:rPr>
          <w:b/>
          <w:color w:val="003CA0"/>
          <w:sz w:val="16"/>
        </w:rPr>
        <w:t>[ADI 7.171, rel. min. Alexandre de Moraes, j. 24-10-2022, P, DJE de 7-11-2022.]</w:t>
      </w:r>
    </w:p>
    <w:p>
      <w:pPr>
        <w:ind w:left="144"/>
      </w:pPr>
      <w:r>
        <w:rPr>
          <w:b/>
          <w:color w:val="B45A00"/>
          <w:sz w:val="16"/>
        </w:rPr>
        <w:t>JULGADOS CORRELATOS</w:t>
      </w:r>
    </w:p>
    <w:p>
      <w:pPr>
        <w:ind w:left="288"/>
      </w:pPr>
      <w:r>
        <w:rPr>
          <w:color w:val="8C8C8C"/>
          <w:sz w:val="12"/>
        </w:rPr>
        <w:t>cf-art-21-inc-XIII</w:t>
      </w:r>
      <w:r>
        <w:rPr>
          <w:color w:val="003CA0"/>
          <w:sz w:val="12"/>
        </w:rPr>
        <w:t xml:space="preserve"> | MS 25.997</w:t>
      </w:r>
      <w:r>
        <w:rPr>
          <w:color w:val="003CA0"/>
          <w:sz w:val="12"/>
        </w:rPr>
        <w:t xml:space="preserve"> | rel. Marco Aurélio</w:t>
      </w:r>
    </w:p>
    <w:p>
      <w:pPr>
        <w:ind w:left="288"/>
      </w:pPr>
      <w:r>
        <w:rPr>
          <w:color w:val="1E1E1E"/>
          <w:sz w:val="18"/>
        </w:rPr>
        <w:t>O fato de incumbir à União organizar e manter o MPDFT sinaliza a inadequação de considerar-se percentual do que previsto, para gasto pessoal, pelo MPF – inteligência dos arts. 21, XIII, e 169 da CF e 20, I, c e d, da LC 101/2000.</w:t>
      </w:r>
    </w:p>
    <w:p>
      <w:pPr>
        <w:ind w:left="288"/>
      </w:pPr>
      <w:r>
        <w:rPr>
          <w:b/>
          <w:color w:val="003CA0"/>
          <w:sz w:val="16"/>
        </w:rPr>
        <w:t>[MS 25.997, rel. min. Marco Aurélio, j. 5-4-2016, 1ª T, DJE de 30-5-2016.]</w:t>
      </w:r>
    </w:p>
    <w:p>
      <w:pPr>
        <w:ind w:left="288"/>
      </w:pPr>
      <w:r>
        <w:rPr>
          <w:color w:val="8C8C8C"/>
          <w:sz w:val="12"/>
        </w:rPr>
        <w:t>cf-art-21-inc-XIII</w:t>
      </w:r>
    </w:p>
    <w:p>
      <w:pPr>
        <w:ind w:left="288"/>
      </w:pPr>
      <w:r>
        <w:rPr>
          <w:color w:val="1E1E1E"/>
          <w:sz w:val="18"/>
        </w:rPr>
        <w:t>XIV - organizar e manter a polícia civil, a polícia penal, a polícia militar e o corpo de bombeiros militar do Distrito Federal, bem como prestar assistência financeira ao Distrito Federal para a execução de serviços públicos, por meio de fundo próprio; (Redação da EC n. 104/2019)</w:t>
      </w:r>
    </w:p>
    <w:p>
      <w:pPr>
        <w:ind w:left="144"/>
      </w:pPr>
      <w:r>
        <w:rPr>
          <w:b/>
          <w:color w:val="B45A00"/>
          <w:sz w:val="16"/>
        </w:rPr>
        <w:t>SUMULA VINCULANTE</w:t>
      </w:r>
    </w:p>
    <w:p>
      <w:pPr>
        <w:ind w:left="288"/>
      </w:pPr>
      <w:r>
        <w:rPr>
          <w:color w:val="8C8C8C"/>
          <w:sz w:val="12"/>
        </w:rPr>
        <w:t>cf-art-21-inc-XIII</w:t>
      </w:r>
    </w:p>
    <w:p>
      <w:pPr>
        <w:ind w:left="288"/>
      </w:pPr>
      <w:r>
        <w:rPr>
          <w:color w:val="1E1E1E"/>
          <w:sz w:val="18"/>
        </w:rPr>
        <w:t>Compete privativamente à União legislar sobre vencimentos dos membros das Polícias Civil e Militar e do Corpo de Bombeiros Militar do Distrito Federal.</w:t>
      </w:r>
    </w:p>
    <w:p>
      <w:pPr>
        <w:ind w:left="288"/>
      </w:pPr>
      <w:r>
        <w:rPr>
          <w:b/>
          <w:color w:val="003CA0"/>
          <w:sz w:val="16"/>
        </w:rPr>
        <w:t>[Súmula Vinculante 39.]</w:t>
      </w:r>
    </w:p>
    <w:p>
      <w:pPr>
        <w:ind w:left="144"/>
      </w:pPr>
      <w:r>
        <w:rPr>
          <w:b/>
          <w:color w:val="B45A00"/>
          <w:sz w:val="16"/>
        </w:rPr>
        <w:t>CONTROLE CONCENTRADO</w:t>
      </w:r>
    </w:p>
    <w:p>
      <w:pPr>
        <w:ind w:left="288"/>
      </w:pPr>
      <w:r>
        <w:rPr>
          <w:color w:val="8C8C8C"/>
          <w:sz w:val="12"/>
        </w:rPr>
        <w:t>cf-art-21-inc-XIII</w:t>
      </w:r>
      <w:r>
        <w:rPr>
          <w:color w:val="003CA0"/>
          <w:sz w:val="12"/>
        </w:rPr>
        <w:t xml:space="preserve"> | ADI 5.801</w:t>
      </w:r>
      <w:r>
        <w:rPr>
          <w:color w:val="003CA0"/>
          <w:sz w:val="12"/>
        </w:rPr>
        <w:t xml:space="preserve"> | rel. Luiz Fux</w:t>
      </w:r>
    </w:p>
    <w:p>
      <w:pPr>
        <w:ind w:left="288"/>
      </w:pPr>
      <w:r>
        <w:rPr>
          <w:color w:val="1E1E1E"/>
          <w:sz w:val="18"/>
        </w:rPr>
        <w:t>A competência legislativa da União para dispor sobre regime jurídico, vencimentos e carreira das polícias civil e militar e do corpo de bombeiros militar do Distrito Federal (art. 21, XIV, da CRFB/88) é diversa da competência legislativa relativa à regime de previdência social dessas instituições.</w:t>
        <w:br/>
        <w:t>[ADI 5.801, rel. min. Luiz Fux, j. 02.09.2024, P, DJE de 20.09.2024.] Ao instituir a chamada "gratificação por risco de vida"  dos policiais e bombeiros militares do Distrito Federal, o Poder Legislativo distrital usurpou a competência material da União para "organizar e manter a polícia civil, a pol</w:t>
      </w:r>
    </w:p>
    <w:p>
      <w:pPr>
        <w:ind w:left="288"/>
      </w:pPr>
      <w:r>
        <w:rPr>
          <w:b/>
          <w:color w:val="003CA0"/>
          <w:sz w:val="16"/>
        </w:rPr>
        <w:t>[ADI 1.045, rel. min. Marco Aurélio, j. 15-4-2009, P, DJE de 12-6-2009.]</w:t>
      </w:r>
    </w:p>
    <w:p>
      <w:pPr>
        <w:ind w:left="288"/>
      </w:pPr>
      <w:r>
        <w:rPr>
          <w:color w:val="8C8C8C"/>
          <w:sz w:val="12"/>
        </w:rPr>
        <w:t>cf-art-21-inc-XIII</w:t>
      </w:r>
      <w:r>
        <w:rPr>
          <w:color w:val="003CA0"/>
          <w:sz w:val="12"/>
        </w:rPr>
        <w:t xml:space="preserve"> | RE 648.946</w:t>
      </w:r>
      <w:r>
        <w:rPr>
          <w:color w:val="003CA0"/>
          <w:sz w:val="12"/>
        </w:rPr>
        <w:t xml:space="preserve"> | rel. Cármen Lúcia</w:t>
      </w:r>
    </w:p>
    <w:p>
      <w:pPr>
        <w:ind w:left="288"/>
      </w:pPr>
      <w:r>
        <w:rPr>
          <w:color w:val="1E1E1E"/>
          <w:sz w:val="18"/>
        </w:rPr>
        <w:t>= RE 648.946 AgR, rel. min. Cármen Lúcia, j. 25-9-2012, 2ª T, DJE de 19-10-2012 Art. 3º da Lei distrital 3.556/2005. Servidores das carreiras policiais civis cedidos à administração pública direta e indireta da União e do Distrito Federal: tempo de serviço considerado pela norma questionada como de efetivo exercício de atividade policial. Ampliação do benefício de aposentadoria especial dos policiais civis estabelecidos no art. 1º da LC federal 51, de 20-12-1985. (...) Inconstitucionalidade formal por desobediência ao art. 21, XIV, da Constituição da República, que outorga competência privativ</w:t>
      </w:r>
    </w:p>
    <w:p>
      <w:pPr>
        <w:ind w:left="288"/>
      </w:pPr>
      <w:r>
        <w:rPr>
          <w:b/>
          <w:color w:val="003CA0"/>
          <w:sz w:val="16"/>
        </w:rPr>
        <w:t>[ADI 2.705, rel. min. Ellen Gracie, j. 9-10-2003, P, DJ de 31-10-2003.]</w:t>
      </w:r>
    </w:p>
    <w:p>
      <w:pPr>
        <w:ind w:left="288"/>
      </w:pPr>
      <w:r>
        <w:rPr>
          <w:color w:val="8C8C8C"/>
          <w:sz w:val="12"/>
        </w:rPr>
        <w:t>cf-art-21-inc-XIII</w:t>
      </w:r>
    </w:p>
    <w:p>
      <w:pPr>
        <w:ind w:left="288"/>
      </w:pPr>
      <w:r>
        <w:rPr>
          <w:color w:val="1E1E1E"/>
          <w:sz w:val="18"/>
        </w:rPr>
        <w:t>XV - organizar e manter os serviços oficiais de estatística, geografia, geologia e cartografia de âmbito nacional;</w:t>
      </w:r>
    </w:p>
    <w:p>
      <w:pPr>
        <w:ind w:left="288"/>
      </w:pPr>
      <w:r>
        <w:rPr>
          <w:color w:val="8C8C8C"/>
          <w:sz w:val="12"/>
        </w:rPr>
        <w:t>cf-art-21-inc-XIII</w:t>
      </w:r>
      <w:r>
        <w:rPr>
          <w:color w:val="003CA0"/>
          <w:sz w:val="12"/>
        </w:rPr>
        <w:t xml:space="preserve"> | ADI 158</w:t>
      </w:r>
      <w:r>
        <w:rPr>
          <w:color w:val="003CA0"/>
          <w:sz w:val="12"/>
        </w:rPr>
        <w:t xml:space="preserve"> | rel. Celso de Mello</w:t>
      </w:r>
    </w:p>
    <w:p>
      <w:pPr>
        <w:ind w:left="288"/>
      </w:pPr>
      <w:r>
        <w:rPr>
          <w:color w:val="1E1E1E"/>
          <w:sz w:val="18"/>
        </w:rPr>
        <w:t>Os Estados-membros e o Distrito Federal não dispõem de competência para legislar sobre horário de verão, eis que falece a qualquer ente federado competência legislativa para dispor sobre o seu próprio horário, considerada a dimensão nacional que qualifica essa particular atribuição que a Constituição da República outorgou, em regime de exclusividade, à União Federal, sob pena de entendimento em sentido contrário gerar a possibilidade anárquica de o Brasil vir a submeter-se a tantas horas oficiais quantas forem as unidades da Federação.</w:t>
      </w:r>
    </w:p>
    <w:p>
      <w:pPr>
        <w:ind w:left="288"/>
      </w:pPr>
      <w:r>
        <w:rPr>
          <w:b/>
          <w:color w:val="003CA0"/>
          <w:sz w:val="16"/>
        </w:rPr>
        <w:t>[ADI 158, rel. min. Celso de Mello, j. 1º-8-2018, P, DJE de 28-8-2018.]</w:t>
      </w:r>
    </w:p>
    <w:p>
      <w:pPr>
        <w:ind w:left="288"/>
      </w:pPr>
      <w:r>
        <w:rPr>
          <w:color w:val="8C8C8C"/>
          <w:sz w:val="12"/>
        </w:rPr>
        <w:t>cf-art-21-inc-XIII</w:t>
      </w:r>
    </w:p>
    <w:p>
      <w:pPr>
        <w:ind w:left="288"/>
      </w:pPr>
      <w:r>
        <w:rPr>
          <w:color w:val="1E1E1E"/>
          <w:sz w:val="18"/>
        </w:rPr>
        <w:t>XVI - exercer a classificação, para efeito indicativo, de diversões públicas e de programas de rádio e televisão;</w:t>
      </w:r>
    </w:p>
    <w:p>
      <w:pPr>
        <w:ind w:left="288"/>
      </w:pPr>
      <w:r>
        <w:rPr>
          <w:color w:val="8C8C8C"/>
          <w:sz w:val="12"/>
        </w:rPr>
        <w:t>cf-art-21-inc-XIII</w:t>
      </w:r>
      <w:r>
        <w:rPr>
          <w:color w:val="003CA0"/>
          <w:sz w:val="12"/>
        </w:rPr>
        <w:t xml:space="preserve"> | ADI 2.404</w:t>
      </w:r>
      <w:r>
        <w:rPr>
          <w:color w:val="003CA0"/>
          <w:sz w:val="12"/>
        </w:rPr>
        <w:t xml:space="preserve"> | rel. Dias Toffoli</w:t>
      </w:r>
    </w:p>
    <w:p>
      <w:pPr>
        <w:ind w:left="288"/>
      </w:pPr>
      <w:r>
        <w:rPr>
          <w:color w:val="1E1E1E"/>
          <w:sz w:val="18"/>
        </w:rPr>
        <w:t>A própria Constituição da República delineou as regras de sopesamento entre os valores da liberdade de expressão dos meios de comunicação e da proteção da criança e do adolescente. Apesar da garantia constitucional da liberdade de expressão, livre de censura ou licença, a própria Carta de 1988 conferiu à União, com exclusividade, no art. 21,  XVI, o desempenho da atividade material de "exercer a classificação, para efeito indicativo, de diversões públicas e de programas de rádio e televisão". A CF estabeleceu mecanismo apto a oferecer aos telespectadores das diversões públicas e de programas d</w:t>
      </w:r>
    </w:p>
    <w:p>
      <w:pPr>
        <w:ind w:left="288"/>
      </w:pPr>
      <w:r>
        <w:rPr>
          <w:color w:val="8C8C8C"/>
          <w:sz w:val="12"/>
        </w:rPr>
        <w:t>cf-art-21-inc-XIII</w:t>
      </w:r>
      <w:r>
        <w:rPr>
          <w:color w:val="003CA0"/>
          <w:sz w:val="12"/>
        </w:rPr>
        <w:t xml:space="preserve"> | ADPF 153</w:t>
      </w:r>
      <w:r>
        <w:rPr>
          <w:color w:val="003CA0"/>
          <w:sz w:val="12"/>
        </w:rPr>
        <w:t xml:space="preserve"> | rel. Eros Grau</w:t>
      </w:r>
    </w:p>
    <w:p>
      <w:pPr>
        <w:ind w:left="288"/>
      </w:pPr>
      <w:r>
        <w:rPr>
          <w:color w:val="1E1E1E"/>
          <w:sz w:val="18"/>
        </w:rPr>
        <w:t>Lei 6.683/1979, a chamada "Lei de Anistia". (...) A lei estendeu a conexão aos crimes praticados pelos agentes do Estado contra os que lutavam contra o Estado de exceção; daí o caráter bilateral da anistia, ampla e geral, que somente não foi irrestrita porque não abrangia os já condenados – e com sentença transitada em julgado, qual o Supremo assentou – pela prática de crimes de terrorismo, assalto, sequestro e atentado pessoal. (...) É a realidade histórico-social da migração da ditadura para a democracia política, da transição conciliada de 1979, que há de ser ponderada para que possamos dis</w:t>
      </w:r>
    </w:p>
    <w:p>
      <w:pPr>
        <w:ind w:left="288"/>
      </w:pPr>
      <w:r>
        <w:rPr>
          <w:b/>
          <w:color w:val="003CA0"/>
          <w:sz w:val="16"/>
        </w:rPr>
        <w:t>[ADPF 153, rel. min. Eros Grau, j. 29-4-2010, P, DJE de 6-8-2010.]</w:t>
      </w:r>
    </w:p>
    <w:p>
      <w:pPr>
        <w:ind w:left="288"/>
      </w:pPr>
      <w:r>
        <w:rPr>
          <w:color w:val="8C8C8C"/>
          <w:sz w:val="12"/>
        </w:rPr>
        <w:t>cf-art-21-inc-XIII</w:t>
      </w:r>
      <w:r>
        <w:rPr>
          <w:color w:val="003CA0"/>
          <w:sz w:val="12"/>
        </w:rPr>
        <w:t xml:space="preserve"> | RP 696</w:t>
      </w:r>
      <w:r>
        <w:rPr>
          <w:color w:val="003CA0"/>
          <w:sz w:val="12"/>
        </w:rPr>
        <w:t xml:space="preserve"> | rel. Sepúlveda Pertence</w:t>
      </w:r>
    </w:p>
    <w:p>
      <w:pPr>
        <w:ind w:left="288"/>
      </w:pPr>
      <w:r>
        <w:rPr>
          <w:color w:val="1E1E1E"/>
          <w:sz w:val="18"/>
        </w:rPr>
        <w:t xml:space="preserve">Anistia de infrações disciplinares de servidores estaduais: competência do Estado-membro respectivo. Só quando se cuidar de anistia de crimes – que se caracteriza como abolitio criminis de efeito temporário e só retroativo – a competência exclusiva da União se harmoniza com a competência federal privativa para legislar sobre direito penal; ao contrário, conferir à União – e somente a ela – o poder de anistiar infrações administrativas de servidores locais constituiria exceção radical e inexplicável ao dogma fundamental do princípio federativo – qual seja, a autonomia administrativa de Estados </w:t>
      </w:r>
    </w:p>
    <w:p>
      <w:pPr>
        <w:ind w:left="288"/>
      </w:pPr>
      <w:r>
        <w:rPr>
          <w:b/>
          <w:color w:val="003CA0"/>
          <w:sz w:val="16"/>
        </w:rPr>
        <w:t>[ADI 104, rel. min. Sepúlveda Pertence, j. 4-6-2007, P, DJ de 24-8-2007.]</w:t>
      </w:r>
    </w:p>
    <w:p>
      <w:pPr>
        <w:ind w:left="288"/>
      </w:pPr>
      <w:r>
        <w:rPr>
          <w:color w:val="8C8C8C"/>
          <w:sz w:val="12"/>
        </w:rPr>
        <w:t>cf-art-21-inc-XIII</w:t>
      </w:r>
    </w:p>
    <w:p>
      <w:pPr>
        <w:ind w:left="288"/>
      </w:pPr>
      <w:r>
        <w:rPr>
          <w:color w:val="1E1E1E"/>
          <w:sz w:val="18"/>
        </w:rPr>
        <w:t>XVIII - planejar e promover a defesa permanente contra as calamidades públicas, especialmente as secas e as inundações; XIX - instituir sistema nacional de gerenciamento de recursos hídricos e definir critérios de outorga de direitos de seu uso;</w:t>
      </w:r>
    </w:p>
    <w:p>
      <w:pPr>
        <w:ind w:left="144"/>
      </w:pPr>
      <w:r>
        <w:rPr>
          <w:b/>
          <w:color w:val="B45A00"/>
          <w:sz w:val="16"/>
        </w:rPr>
        <w:t>JULGADOS CORRELATOS</w:t>
      </w:r>
    </w:p>
    <w:p>
      <w:pPr>
        <w:ind w:left="288"/>
      </w:pPr>
      <w:r>
        <w:rPr>
          <w:color w:val="8C8C8C"/>
          <w:sz w:val="12"/>
        </w:rPr>
        <w:t>cf-art-21-inc-XIII</w:t>
      </w:r>
      <w:r>
        <w:rPr>
          <w:color w:val="003CA0"/>
          <w:sz w:val="12"/>
        </w:rPr>
        <w:t xml:space="preserve"> | ACO 787</w:t>
      </w:r>
      <w:r>
        <w:rPr>
          <w:color w:val="003CA0"/>
          <w:sz w:val="12"/>
        </w:rPr>
        <w:t xml:space="preserve"> | rel. Edson Fachin</w:t>
      </w:r>
    </w:p>
    <w:p>
      <w:pPr>
        <w:ind w:left="288"/>
      </w:pPr>
      <w:r>
        <w:rPr>
          <w:color w:val="1E1E1E"/>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w:t>
      </w:r>
    </w:p>
    <w:p>
      <w:pPr>
        <w:ind w:left="288"/>
      </w:pPr>
      <w:r>
        <w:rPr>
          <w:b/>
          <w:color w:val="003CA0"/>
          <w:sz w:val="16"/>
        </w:rPr>
        <w:t>[ACO 787-AgR, rel. min. Edson Fachin, j. 17-12-2022, P, DJE de 31-1-2023.]</w:t>
      </w:r>
    </w:p>
    <w:p>
      <w:pPr>
        <w:ind w:left="288"/>
      </w:pPr>
      <w:r>
        <w:rPr>
          <w:color w:val="8C8C8C"/>
          <w:sz w:val="12"/>
        </w:rPr>
        <w:t>cf-art-21-inc-XX</w:t>
      </w:r>
      <w:r>
        <w:rPr>
          <w:color w:val="003CA0"/>
          <w:sz w:val="12"/>
        </w:rPr>
        <w:t xml:space="preserve"> | ADI 7.546</w:t>
      </w:r>
      <w:r>
        <w:rPr>
          <w:color w:val="003CA0"/>
          <w:sz w:val="12"/>
        </w:rPr>
        <w:t xml:space="preserve"> | rel. Nunes Marques</w:t>
      </w:r>
    </w:p>
    <w:p>
      <w:pPr>
        <w:ind w:left="288"/>
      </w:pPr>
      <w:r>
        <w:rPr>
          <w:color w:val="1E1E1E"/>
          <w:sz w:val="18"/>
        </w:rPr>
        <w:t xml:space="preserve">Compete privativamente à União legislar sobre defesa civil e editar normas gerais sobre a organização dos corpos de bombeiros militares (CF/1988, art. 22, XXI e XXVIII), bem como estabelecer diretrizes para o desenvolvimento urbano e normas gerais de direito urbanístico (CF/1988, arts. 21, XX, e 24, I e § 1º). A Lei n. 13.425/2017, editada pela União, estabelece diretrizes gerais sobre medidas de prevenção e combate a incêndios e a desastres em estabelecimentos, edificações e áreas de reunião de público, prevendo, no art. 3º, § 1º, as sanções administrativas de advertência, multa, interdição, </w:t>
      </w:r>
    </w:p>
    <w:p>
      <w:pPr>
        <w:ind w:left="288"/>
      </w:pPr>
      <w:r>
        <w:rPr>
          <w:b/>
          <w:color w:val="003CA0"/>
          <w:sz w:val="16"/>
        </w:rPr>
        <w:t>[ADI 7.546, rel. min. Nunes Marques, j.18-2-2026, P, DJE de 2-3-2026.]</w:t>
      </w:r>
    </w:p>
    <w:p>
      <w:pPr>
        <w:ind w:left="288"/>
      </w:pPr>
      <w:r>
        <w:rPr>
          <w:color w:val="8C8C8C"/>
          <w:sz w:val="12"/>
        </w:rPr>
        <w:t>cf-art-21-inc-XXII</w:t>
      </w:r>
    </w:p>
    <w:p>
      <w:pPr>
        <w:ind w:left="288"/>
      </w:pPr>
      <w:r>
        <w:rPr>
          <w:color w:val="1E1E1E"/>
          <w:sz w:val="18"/>
        </w:rPr>
        <w:t>XXIII - explorar os serviços e instalações nucleares de qualquer natureza e exercer monopólio estatal sobre a pesquisa, a lavra, o enriquecimento e reprocessamento, a industrialização e o comércio de minérios nucleares e seus derivados, atendidos os seguintes princípios e condições:</w:t>
      </w:r>
    </w:p>
    <w:p>
      <w:pPr>
        <w:ind w:left="288"/>
      </w:pPr>
      <w:r>
        <w:rPr>
          <w:color w:val="8C8C8C"/>
          <w:sz w:val="12"/>
        </w:rPr>
        <w:t>cf-art-21-inc-XXII-ali-c</w:t>
      </w:r>
    </w:p>
    <w:p>
      <w:pPr>
        <w:ind w:left="288"/>
      </w:pPr>
      <w:r>
        <w:rPr>
          <w:color w:val="1E1E1E"/>
          <w:sz w:val="18"/>
        </w:rPr>
        <w:t>XXIV - organizar, manter e executar a inspeção do trabalho;</w:t>
      </w:r>
    </w:p>
    <w:p>
      <w:pPr>
        <w:ind w:left="144"/>
      </w:pPr>
      <w:r>
        <w:rPr>
          <w:b/>
          <w:color w:val="B45A00"/>
          <w:sz w:val="16"/>
        </w:rPr>
        <w:t>CONTROLE CONCENTRADO</w:t>
      </w:r>
    </w:p>
    <w:p>
      <w:pPr>
        <w:ind w:left="288"/>
      </w:pPr>
      <w:r>
        <w:rPr>
          <w:color w:val="8C8C8C"/>
          <w:sz w:val="12"/>
        </w:rPr>
        <w:t>cf-art-21-inc-XXII-ali-c</w:t>
      </w:r>
      <w:r>
        <w:rPr>
          <w:color w:val="003CA0"/>
          <w:sz w:val="12"/>
        </w:rPr>
        <w:t xml:space="preserve"> | ADI 6.149</w:t>
      </w:r>
      <w:r>
        <w:rPr>
          <w:color w:val="003CA0"/>
          <w:sz w:val="12"/>
        </w:rPr>
        <w:t xml:space="preserve"> | rel. Alexandre de Moraes</w:t>
      </w:r>
    </w:p>
    <w:p>
      <w:pPr>
        <w:ind w:left="288"/>
      </w:pPr>
      <w:r>
        <w:rPr>
          <w:color w:val="1E1E1E"/>
          <w:sz w:val="18"/>
        </w:rPr>
        <w:t xml:space="preserve">Cumpre à União legislar sobre a jornada de trabalho, sendo incompatível com a Constituição a legislação estadual que, extrapolando o conteúdo da delegação legislativa estabelecida em Lei Complementar Federal (no caso, a Lei Complementar Federal 103/2000), estipule, para determinadas categorias profissionais, jornada de trabalho diferente daquela disposta na legislação federal. A atribuição de poder fiscalizatório e sancionatório pelo Poder Público Estadual em matéria de Direito do Trabalho contraria a competência exclusiva da União para organizar, manter e executar a inspeção do trabalho (CF, </w:t>
      </w:r>
    </w:p>
    <w:p>
      <w:pPr>
        <w:ind w:left="288"/>
      </w:pPr>
      <w:r>
        <w:rPr>
          <w:b/>
          <w:color w:val="003CA0"/>
          <w:sz w:val="16"/>
        </w:rPr>
        <w:t>[ADI 6.149, rel. min. Alexandre de Moraes, j. 29-11-2019, P, DJE de 18-12-2019.]</w:t>
      </w:r>
    </w:p>
    <w:p>
      <w:pPr>
        <w:ind w:left="288"/>
      </w:pPr>
      <w:r>
        <w:rPr>
          <w:color w:val="8C8C8C"/>
          <w:sz w:val="12"/>
        </w:rPr>
        <w:t>cf-art-21-inc-XXII-ali-c</w:t>
      </w:r>
      <w:r>
        <w:rPr>
          <w:color w:val="003CA0"/>
          <w:sz w:val="12"/>
        </w:rPr>
        <w:t xml:space="preserve"> | ADI 5.739</w:t>
      </w:r>
      <w:r>
        <w:rPr>
          <w:color w:val="003CA0"/>
          <w:sz w:val="12"/>
        </w:rPr>
        <w:t xml:space="preserve"> | rel. Edson Fachin</w:t>
      </w:r>
    </w:p>
    <w:p>
      <w:pPr>
        <w:ind w:left="288"/>
      </w:pPr>
      <w:r>
        <w:rPr>
          <w:color w:val="1E1E1E"/>
          <w:sz w:val="18"/>
        </w:rPr>
        <w:t>Lei 7.524, de 14 de fevereiro de 2017, do Estado do Rio de Janeiro. Registro obrigatório de acidentes de trabalho com lesão, ferimento ou morte. CNI – Confederação Nacional da Indústria. (...) A norma estadual, ao criar uma obrigação ao empregador para além daquela do art. 21 da Lei 8.213/91 e da faculdade constante no art. 5º, § 3º, do CPP, ofende a regra de competência privativa da União para legislar sobre ‘direito processual’ e ‘direito do trabalho’ (CR, art. 22), assim como a competência material da União para “organizar, manter e executar a inspeção do trabalho” (CR, art. 21, XXIV).</w:t>
      </w:r>
    </w:p>
    <w:p>
      <w:pPr>
        <w:ind w:left="288"/>
      </w:pPr>
      <w:r>
        <w:rPr>
          <w:b/>
          <w:color w:val="003CA0"/>
          <w:sz w:val="16"/>
        </w:rPr>
        <w:t>[ADI 5.739, rel. min. Edson Fachin, j. 23-8-2019, P, DJE de 9-9-2019.]</w:t>
      </w:r>
    </w:p>
    <w:p>
      <w:pPr>
        <w:ind w:left="288"/>
      </w:pPr>
      <w:r>
        <w:rPr>
          <w:color w:val="8C8C8C"/>
          <w:sz w:val="12"/>
        </w:rPr>
        <w:t>cf-art-21-inc-XXII-ali-c</w:t>
      </w:r>
      <w:r>
        <w:rPr>
          <w:color w:val="003CA0"/>
          <w:sz w:val="12"/>
        </w:rPr>
        <w:t xml:space="preserve"> | ADI 2.947</w:t>
      </w:r>
      <w:r>
        <w:rPr>
          <w:color w:val="003CA0"/>
          <w:sz w:val="12"/>
        </w:rPr>
        <w:t xml:space="preserve"> | rel. Cezar Peluso</w:t>
      </w:r>
    </w:p>
    <w:p>
      <w:pPr>
        <w:ind w:left="288"/>
      </w:pPr>
      <w:r>
        <w:rPr>
          <w:color w:val="1E1E1E"/>
          <w:sz w:val="18"/>
        </w:rPr>
        <w:t>Matéria concernente a relações de trabalho. (...) É inconstitucional norma do Estado ou do Distrito Federal que disponha sobre proibição de revista íntima em empregados de estabelecimentos situados no respectivo território.</w:t>
        <w:br/>
        <w:t>[ADI 2.947, rel. min. Cezar Peluso, j. 5-5-2010, P, DJE de 10-9-2010.] Ação direta de inconstitucionalidade: Lei distrital 3.705, de 21-11-2005, que cria restrições a empresas que discriminarem na contratação de mão de obra: inconstitucionalidade declarada. Ofensa à competência privativa da União para legislar sobre normas gerais de licitação e contratação administrativa, e</w:t>
      </w:r>
    </w:p>
    <w:p>
      <w:pPr>
        <w:ind w:left="288"/>
      </w:pPr>
      <w:r>
        <w:rPr>
          <w:b/>
          <w:color w:val="003CA0"/>
          <w:sz w:val="16"/>
        </w:rPr>
        <w:t>[ADI 3.670, rel. min. Sepúlveda Pertence, j. 2-4-2007, P, DJ de 18-5-2007.]</w:t>
      </w:r>
    </w:p>
    <w:p>
      <w:pPr>
        <w:ind w:left="144"/>
      </w:pPr>
      <w:r>
        <w:rPr>
          <w:b/>
          <w:color w:val="B45A00"/>
          <w:sz w:val="16"/>
        </w:rPr>
        <w:t>REPERCUSSAO GERAL</w:t>
      </w:r>
    </w:p>
    <w:p>
      <w:pPr>
        <w:ind w:left="288"/>
      </w:pPr>
      <w:r>
        <w:rPr>
          <w:color w:val="8C8C8C"/>
          <w:sz w:val="12"/>
        </w:rPr>
        <w:t>cf-art-21-inc-XXII-ali-c</w:t>
      </w:r>
      <w:r>
        <w:rPr>
          <w:color w:val="003CA0"/>
          <w:sz w:val="12"/>
        </w:rPr>
        <w:t xml:space="preserve"> | ARE 1.348.549</w:t>
      </w:r>
      <w:r>
        <w:rPr>
          <w:color w:val="003CA0"/>
          <w:sz w:val="12"/>
        </w:rPr>
        <w:t xml:space="preserve"> | rel. Luiz Fux</w:t>
      </w:r>
    </w:p>
    <w:p>
      <w:pPr>
        <w:ind w:left="288"/>
      </w:pPr>
      <w:r>
        <w:rPr>
          <w:color w:val="1E1E1E"/>
          <w:sz w:val="18"/>
        </w:rPr>
        <w:t>É infraconstitucional, a ela se aplicando os efeitos da ausência de repercussão geral, a controvérsia relativa à exigibilidade da inscrição de técnicos, instrutores ou treinadores de esporte e desporto profissionais ou recreativos nos Conselhos de Educação Física, para o regular exercício da atividade.</w:t>
      </w:r>
    </w:p>
    <w:p>
      <w:pPr>
        <w:ind w:left="288"/>
      </w:pPr>
      <w:r>
        <w:rPr>
          <w:b/>
          <w:color w:val="003CA0"/>
          <w:sz w:val="16"/>
        </w:rPr>
        <w:t>[ARE 1.348.549 RG, rel. min. Luiz Fux, j. 10-3-2022, P, DJE de 24-3-2022, Tema 1.203, com repercussão geral negada.]</w:t>
      </w:r>
    </w:p>
    <w:p>
      <w:pPr>
        <w:ind w:left="288"/>
      </w:pPr>
      <w:r>
        <w:rPr>
          <w:color w:val="8C8C8C"/>
          <w:sz w:val="12"/>
        </w:rPr>
        <w:t>cf-art-21-inc-XXII-ali-c</w:t>
      </w:r>
    </w:p>
    <w:p>
      <w:pPr>
        <w:ind w:left="288"/>
      </w:pPr>
      <w:r>
        <w:rPr>
          <w:color w:val="1E1E1E"/>
          <w:sz w:val="18"/>
        </w:rPr>
        <w:t>XXV - estabelecer as áreas e as condições para o exercício da atividade de garimpagem, em forma associativa.</w:t>
      </w:r>
    </w:p>
    <w:p>
      <w:pPr>
        <w:ind w:left="720"/>
      </w:pPr>
      <w:r>
        <w:rPr>
          <w:color w:val="003366"/>
          <w:sz w:val="18"/>
        </w:rPr>
        <w:t>I – manter relações com Estados estrangeiros e participar de organizações intern</w:t>
      </w:r>
    </w:p>
    <w:p>
      <w:pPr>
        <w:ind w:left="720"/>
      </w:pPr>
      <w:r>
        <w:rPr>
          <w:color w:val="003366"/>
          <w:sz w:val="18"/>
        </w:rPr>
        <w:t>II – declarar a guerra e celebrar a paz;</w:t>
      </w:r>
    </w:p>
    <w:p>
      <w:pPr>
        <w:ind w:left="720"/>
      </w:pPr>
      <w:r>
        <w:rPr>
          <w:color w:val="003366"/>
          <w:sz w:val="18"/>
        </w:rPr>
        <w:t>III – assegurar a defesa nacional;</w:t>
      </w:r>
    </w:p>
    <w:p>
      <w:pPr>
        <w:ind w:left="720"/>
      </w:pPr>
      <w:r>
        <w:rPr>
          <w:color w:val="003366"/>
          <w:sz w:val="18"/>
        </w:rPr>
        <w:t xml:space="preserve">IV – permitir, nos casos previstos em lei complementar, que forças estrangeiras </w:t>
      </w:r>
    </w:p>
    <w:p>
      <w:pPr>
        <w:ind w:left="720"/>
      </w:pPr>
      <w:r>
        <w:rPr>
          <w:color w:val="003366"/>
          <w:sz w:val="18"/>
        </w:rPr>
        <w:t>V – decretar o estado de sítio, o estado de defesa e a intervenção federal;</w:t>
      </w:r>
    </w:p>
    <w:p>
      <w:pPr>
        <w:ind w:left="720"/>
      </w:pPr>
      <w:r>
        <w:rPr>
          <w:color w:val="003366"/>
          <w:sz w:val="18"/>
        </w:rPr>
        <w:t>VI – autorizar e fiscalizar a produção e o comércio de material bélico;</w:t>
      </w:r>
    </w:p>
    <w:p>
      <w:pPr>
        <w:ind w:left="720"/>
      </w:pPr>
      <w:r>
        <w:rPr>
          <w:color w:val="003366"/>
          <w:sz w:val="18"/>
        </w:rPr>
        <w:t>VII – emitir moeda;</w:t>
      </w:r>
    </w:p>
    <w:p>
      <w:pPr>
        <w:ind w:left="720"/>
      </w:pPr>
      <w:r>
        <w:rPr>
          <w:color w:val="003366"/>
          <w:sz w:val="18"/>
        </w:rPr>
        <w:t>VIII – administrar as reservas cambiais do País e fiscalizar as operações de nat</w:t>
      </w:r>
    </w:p>
    <w:p>
      <w:pPr>
        <w:ind w:left="720"/>
      </w:pPr>
      <w:r>
        <w:rPr>
          <w:color w:val="003366"/>
          <w:sz w:val="18"/>
        </w:rPr>
        <w:t>IX – elaborar e executar planos nacionais e regionais de ordenação do território</w:t>
      </w:r>
    </w:p>
    <w:p>
      <w:pPr>
        <w:ind w:left="720"/>
      </w:pPr>
      <w:r>
        <w:rPr>
          <w:color w:val="003366"/>
          <w:sz w:val="18"/>
        </w:rPr>
        <w:t>X – manter o serviço postal e o correio aéreo nacional;</w:t>
      </w:r>
    </w:p>
    <w:p>
      <w:pPr>
        <w:ind w:left="720"/>
      </w:pPr>
      <w:r>
        <w:rPr>
          <w:color w:val="003366"/>
          <w:sz w:val="18"/>
        </w:rPr>
        <w:t>XI – explorar, diretamente ou mediante autorização, concessão ou permissão, os s</w:t>
      </w:r>
    </w:p>
    <w:p>
      <w:pPr>
        <w:ind w:left="720"/>
      </w:pPr>
      <w:r>
        <w:rPr>
          <w:color w:val="003366"/>
          <w:sz w:val="18"/>
        </w:rPr>
        <w:t>XII – explorar, diretamente ou mediante autorização, concessão ou permissão:</w:t>
      </w:r>
    </w:p>
    <w:p>
      <w:pPr>
        <w:ind w:left="1008"/>
      </w:pPr>
      <w:r>
        <w:rPr>
          <w:color w:val="003366"/>
          <w:sz w:val="18"/>
        </w:rPr>
        <w:t>a) os serviços de radiodifusão sonora, e de sons e imagens; (Redação dada pela E</w:t>
      </w:r>
    </w:p>
    <w:p>
      <w:pPr>
        <w:ind w:left="1008"/>
      </w:pPr>
      <w:r>
        <w:rPr>
          <w:color w:val="003366"/>
          <w:sz w:val="18"/>
        </w:rPr>
        <w:t>b) os serviços e instalações de energia elétrica e o aproveitamento energético d</w:t>
      </w:r>
    </w:p>
    <w:p>
      <w:pPr>
        <w:ind w:left="1008"/>
      </w:pPr>
      <w:r>
        <w:rPr>
          <w:color w:val="003366"/>
          <w:sz w:val="18"/>
        </w:rPr>
        <w:t>c) a navegação aérea, aeroespacial e a infra-estrutura aeroportuária;</w:t>
      </w:r>
    </w:p>
    <w:p>
      <w:pPr>
        <w:ind w:left="1008"/>
      </w:pPr>
      <w:r>
        <w:rPr>
          <w:color w:val="003366"/>
          <w:sz w:val="18"/>
        </w:rPr>
        <w:t>d) os serviços de transporte ferroviário e aquaviário entre portos brasileiros e</w:t>
      </w:r>
    </w:p>
    <w:p>
      <w:pPr>
        <w:ind w:left="1008"/>
      </w:pPr>
      <w:r>
        <w:rPr>
          <w:color w:val="003366"/>
          <w:sz w:val="18"/>
        </w:rPr>
        <w:t>e) os serviços de transporte rodoviário interestadual e internacional de passage</w:t>
      </w:r>
    </w:p>
    <w:p>
      <w:pPr>
        <w:ind w:left="1008"/>
      </w:pPr>
      <w:r>
        <w:rPr>
          <w:color w:val="003366"/>
          <w:sz w:val="18"/>
        </w:rPr>
        <w:t>f) os portos marítimos, fluviais e lacustres;</w:t>
      </w:r>
    </w:p>
    <w:p>
      <w:pPr>
        <w:ind w:left="720"/>
      </w:pPr>
      <w:r>
        <w:rPr>
          <w:color w:val="003366"/>
          <w:sz w:val="18"/>
        </w:rPr>
        <w:t>XIII – organizar e manter o Poder Judiciário, o Ministério Público do Distrito F</w:t>
      </w:r>
    </w:p>
    <w:p>
      <w:pPr>
        <w:ind w:left="720"/>
      </w:pPr>
      <w:r>
        <w:rPr>
          <w:color w:val="003366"/>
          <w:sz w:val="18"/>
        </w:rPr>
        <w:t>XX – instituir diretrizes para o desenvolvimento urbano, inclusive habitação, sa</w:t>
      </w:r>
    </w:p>
    <w:p>
      <w:pPr>
        <w:ind w:left="720"/>
      </w:pPr>
      <w:r>
        <w:rPr>
          <w:color w:val="003366"/>
          <w:sz w:val="18"/>
        </w:rPr>
        <w:t>XXI – estabelecer princípios e diretrizes para o sistema nacional de viação;</w:t>
      </w:r>
    </w:p>
    <w:p>
      <w:pPr>
        <w:ind w:left="720"/>
      </w:pPr>
      <w:r>
        <w:rPr>
          <w:color w:val="003366"/>
          <w:sz w:val="18"/>
        </w:rPr>
        <w:t xml:space="preserve">XXII – executar os serviços de polícia marítima, aeroportuária e de fronteiras; </w:t>
      </w:r>
    </w:p>
    <w:p>
      <w:pPr>
        <w:ind w:left="720"/>
      </w:pPr>
      <w:r>
        <w:rPr>
          <w:color w:val="003366"/>
          <w:sz w:val="18"/>
        </w:rPr>
        <w:t>XXIII – explorar os serviços e instalações nucleares de qualquer natureza e exer</w:t>
      </w:r>
    </w:p>
    <w:p>
      <w:pPr>
        <w:ind w:left="1008"/>
      </w:pPr>
      <w:r>
        <w:rPr>
          <w:color w:val="003366"/>
          <w:sz w:val="18"/>
        </w:rPr>
        <w:t>a) toda atividade nuclear em território nacional somente será admitida para fins</w:t>
      </w:r>
    </w:p>
    <w:p>
      <w:pPr>
        <w:ind w:left="1008"/>
      </w:pPr>
      <w:r>
        <w:rPr>
          <w:color w:val="003366"/>
          <w:sz w:val="18"/>
        </w:rPr>
        <w:t xml:space="preserve">b) sob regime de permissão, são autorizadas a comercialização e a utilização de </w:t>
      </w:r>
    </w:p>
    <w:p>
      <w:pPr>
        <w:ind w:left="1008"/>
      </w:pPr>
      <w:r>
        <w:rPr>
          <w:color w:val="003366"/>
          <w:sz w:val="18"/>
        </w:rPr>
        <w:t>c) sob regime de permissão, são autorizadas a produção, a comercialização e a ut</w:t>
      </w:r>
    </w:p>
    <w:p>
      <w:pPr>
        <w:ind w:left="1008"/>
      </w:pPr>
      <w:r>
        <w:rPr>
          <w:color w:val="003366"/>
          <w:sz w:val="18"/>
        </w:rPr>
        <w:t>d) a responsabilidade civil por danos nucleares independe da existência de culpa</w:t>
      </w:r>
    </w:p>
    <w:p>
      <w:r>
        <w:rPr>
          <w:b/>
          <w:color w:val="003366"/>
          <w:sz w:val="20"/>
        </w:rPr>
        <w:t>Art. 22 Compete privativamente à União legislar sobre:</w:t>
      </w:r>
      <w:r>
        <w:rPr>
          <w:color w:val="8C8C8C"/>
          <w:sz w:val="14"/>
        </w:rPr>
        <w:t xml:space="preserve">  [228 decisoes]</w:t>
      </w:r>
    </w:p>
    <w:p>
      <w:pPr>
        <w:ind w:left="288"/>
      </w:pPr>
      <w:r>
        <w:rPr>
          <w:color w:val="8C8C8C"/>
          <w:sz w:val="12"/>
        </w:rPr>
        <w:t>cf-art-22</w:t>
      </w:r>
      <w:r>
        <w:rPr>
          <w:color w:val="003CA0"/>
          <w:sz w:val="12"/>
        </w:rPr>
        <w:t xml:space="preserve"> | ADI 3.112</w:t>
      </w:r>
      <w:r>
        <w:rPr>
          <w:color w:val="003CA0"/>
          <w:sz w:val="12"/>
        </w:rPr>
        <w:t xml:space="preserve"> | rel. Ricardo Lewandowski</w:t>
      </w:r>
    </w:p>
    <w:p>
      <w:pPr>
        <w:ind w:left="288"/>
      </w:pPr>
      <w:r>
        <w:rPr>
          <w:color w:val="1E1E1E"/>
          <w:sz w:val="18"/>
        </w:rPr>
        <w:t>Ação direta de inconstitucionalidade. Lei 10.826/2003. Estatuto do Desarmamento. (...) Invasão de competência residual dos Estados para legislar sobre segurança pública inocorrente, pois cabe à União legislar sobre matérias de predominante interesse geral.</w:t>
      </w:r>
    </w:p>
    <w:p>
      <w:pPr>
        <w:ind w:left="288"/>
      </w:pPr>
      <w:r>
        <w:rPr>
          <w:b/>
          <w:color w:val="003CA0"/>
          <w:sz w:val="16"/>
        </w:rPr>
        <w:t>[ADI 3.112, rel. min. Ricardo Lewandowski, j. 2-5-2007, P, DJ de 26-10-2007.]</w:t>
      </w:r>
    </w:p>
    <w:p>
      <w:pPr>
        <w:ind w:left="144"/>
      </w:pPr>
      <w:r>
        <w:rPr>
          <w:b/>
          <w:color w:val="B45A00"/>
          <w:sz w:val="16"/>
        </w:rPr>
        <w:t>SUMULA VINCULANTE</w:t>
      </w:r>
    </w:p>
    <w:p>
      <w:pPr>
        <w:ind w:left="288"/>
      </w:pPr>
      <w:r>
        <w:rPr>
          <w:color w:val="8C8C8C"/>
          <w:sz w:val="12"/>
        </w:rPr>
        <w:t>cf-art-22-inc-I</w:t>
      </w:r>
    </w:p>
    <w:p>
      <w:pPr>
        <w:ind w:left="288"/>
      </w:pPr>
      <w:r>
        <w:rPr>
          <w:color w:val="1E1E1E"/>
          <w:sz w:val="18"/>
        </w:rPr>
        <w:t>A definição dos crimes de responsabilidade e o estabelecimento das respectivas normas de processo e julgamento são da competência legislativa privativa da União.</w:t>
      </w:r>
    </w:p>
    <w:p>
      <w:pPr>
        <w:ind w:left="288"/>
      </w:pPr>
      <w:r>
        <w:rPr>
          <w:b/>
          <w:color w:val="003CA0"/>
          <w:sz w:val="16"/>
        </w:rPr>
        <w:t>[Súmula Vinculante 46.]</w:t>
      </w:r>
    </w:p>
    <w:p>
      <w:pPr>
        <w:ind w:left="288"/>
      </w:pPr>
      <w:r>
        <w:rPr>
          <w:color w:val="8C8C8C"/>
          <w:sz w:val="12"/>
        </w:rPr>
        <w:t>cf-art-22-inc-I</w:t>
      </w:r>
      <w:r>
        <w:rPr>
          <w:color w:val="003CA0"/>
          <w:sz w:val="12"/>
        </w:rPr>
        <w:t xml:space="preserve"> | ADI 5.022</w:t>
      </w:r>
      <w:r>
        <w:rPr>
          <w:color w:val="003CA0"/>
          <w:sz w:val="12"/>
        </w:rPr>
        <w:t xml:space="preserve"> | rel. Nunes Marques</w:t>
      </w:r>
    </w:p>
    <w:p>
      <w:pPr>
        <w:ind w:left="288"/>
      </w:pPr>
      <w:r>
        <w:rPr>
          <w:color w:val="1E1E1E"/>
          <w:sz w:val="18"/>
        </w:rPr>
        <w:t>A norma estadual impugnada, ao autorizar a liberação unilateral do tomador do empréstimo consignado no caso de a entidade credora estar em liquidação extrajudicial, interfere diretamente na relação contratual entre servidor público e instituição financeira – tema típico do direito civil – bem como no tratamento nacional uniforme alusivo às modalidades de operações creditícias e à recuperação de créditos – matéria inserida na política de crédito. (...) O STF sedimentou compreensão segundo a qual a relevância das atividades desempenhadas pelas instituições financeiras públicas e privadas demanda</w:t>
      </w:r>
    </w:p>
    <w:p>
      <w:pPr>
        <w:ind w:left="288"/>
      </w:pPr>
      <w:r>
        <w:rPr>
          <w:b/>
          <w:color w:val="003CA0"/>
          <w:sz w:val="16"/>
        </w:rPr>
        <w:t>[ADI 5.022, rel. min. Nunes Marques, j. 05.11.2025, P, DJE de 11.11.2025.]</w:t>
      </w:r>
    </w:p>
    <w:p>
      <w:pPr>
        <w:ind w:left="288"/>
      </w:pPr>
      <w:r>
        <w:rPr>
          <w:color w:val="8C8C8C"/>
          <w:sz w:val="12"/>
        </w:rPr>
        <w:t>cf-art-22-inc-I</w:t>
      </w:r>
      <w:r>
        <w:rPr>
          <w:color w:val="003CA0"/>
          <w:sz w:val="12"/>
        </w:rPr>
        <w:t xml:space="preserve"> | ADI 2.957</w:t>
      </w:r>
      <w:r>
        <w:rPr>
          <w:color w:val="003CA0"/>
          <w:sz w:val="12"/>
        </w:rPr>
        <w:t xml:space="preserve"> | rel. Nunes Marques</w:t>
      </w:r>
    </w:p>
    <w:p>
      <w:pPr>
        <w:ind w:left="288"/>
      </w:pPr>
      <w:r>
        <w:rPr>
          <w:color w:val="1E1E1E"/>
          <w:sz w:val="18"/>
        </w:rPr>
        <w:t>Os dispositivos impugnados versam medidas tipicamente despenalizadoras atinentes aos delitos previstos nos arts. 1º e 2º da Lei n. 8.137/1990 e no art. 95 da Lei n. 8.212/1991 – revogado pela Lei n. 9.983/2000, que introduziu, entre outros, os arts. 168-A e 337-A no Código Penal –, consistentes na suspensão da pretensão punitiva estatal em consequência do parcelamento de débitos tributários, bem assim na extinção da punibilidade do agente caso realizado o pagamento integral de tais débitos, inclusive após o recebimento da denúncia. A despeito da competência do Estado de Santa Catarina para leg</w:t>
      </w:r>
    </w:p>
    <w:p>
      <w:pPr>
        <w:ind w:left="288"/>
      </w:pPr>
      <w:r>
        <w:rPr>
          <w:b/>
          <w:color w:val="003CA0"/>
          <w:sz w:val="16"/>
        </w:rPr>
        <w:t>[ADI 2.957, rel. min. Nunes Marques, j. 29.09.2025, P, DJE de 03.10.2025.</w:t>
      </w:r>
    </w:p>
    <w:p>
      <w:pPr>
        <w:ind w:left="288"/>
      </w:pPr>
      <w:r>
        <w:rPr>
          <w:color w:val="8C8C8C"/>
          <w:sz w:val="12"/>
        </w:rPr>
        <w:t>cf-art-22-inc-I</w:t>
      </w:r>
      <w:r>
        <w:rPr>
          <w:color w:val="003CA0"/>
          <w:sz w:val="12"/>
        </w:rPr>
        <w:t xml:space="preserve"> | ADI 7.428</w:t>
      </w:r>
      <w:r>
        <w:rPr>
          <w:color w:val="003CA0"/>
          <w:sz w:val="12"/>
        </w:rPr>
        <w:t xml:space="preserve"> | rel. André Mendonça</w:t>
      </w:r>
    </w:p>
    <w:p>
      <w:pPr>
        <w:ind w:left="288"/>
      </w:pPr>
      <w:r>
        <w:rPr>
          <w:color w:val="1E1E1E"/>
          <w:sz w:val="18"/>
        </w:rPr>
        <w:t>A Lei estadual nº 5.980, de 2022, do Estado de Mato Grosso do Sul criou duas obrigações a serem observadas pelas operadoras de planos de saúde, que possuem naturezas jurídicas distintas. A primeira obrigação - que consta do art. 1º da lei sul-mato-grossense - amplia automaticamente a cobertura de todos os planos de saúde contratados e operados dentro do Estado de Mato Grosso do Sul, exigindo das operadoras a inclusão do neonato submetido a tratamento terapêutico, após trinta dias, como dependente do titular do plano de seguro saúde.  Exigências legais como essa têm o condão de interferir diret</w:t>
      </w:r>
    </w:p>
    <w:p>
      <w:pPr>
        <w:ind w:left="288"/>
      </w:pPr>
      <w:r>
        <w:rPr>
          <w:b/>
          <w:color w:val="003CA0"/>
          <w:sz w:val="16"/>
        </w:rPr>
        <w:t>[ADI 7.428, rel. min. André Mendonça, j. 01.09.2025, P, DJE de 11.09.2025.]</w:t>
      </w:r>
    </w:p>
    <w:p>
      <w:pPr>
        <w:ind w:left="288"/>
      </w:pPr>
      <w:r>
        <w:rPr>
          <w:color w:val="8C8C8C"/>
          <w:sz w:val="12"/>
        </w:rPr>
        <w:t>cf-art-22-inc-I</w:t>
      </w:r>
      <w:r>
        <w:rPr>
          <w:color w:val="003CA0"/>
          <w:sz w:val="12"/>
        </w:rPr>
        <w:t xml:space="preserve"> | ADPF 1.066</w:t>
      </w:r>
      <w:r>
        <w:rPr>
          <w:color w:val="003CA0"/>
          <w:sz w:val="12"/>
        </w:rPr>
        <w:t xml:space="preserve"> | rel. Nunes Marques</w:t>
      </w:r>
    </w:p>
    <w:p>
      <w:pPr>
        <w:ind w:left="288"/>
      </w:pPr>
      <w:r>
        <w:rPr>
          <w:color w:val="1E1E1E"/>
          <w:sz w:val="18"/>
        </w:rPr>
        <w:t>(...) § 2º do art. 6º da Lei n. 4.542/2023 do Município de Ipatinga/MG, que isenta contribuintes do pagamento de honorários advocatícios de sucumbência aos procuradores municipais em caso de adesão ao Programa Especial de Regularização Tributária (PERT). (...) A norma impugnada, ao isentar o pagamento de honorários advocatícios de sucumbência devidos aos procuradores municipais, termina por imiscuir-se na seara do direito processual, invadindo esfera de competência legislativa reservada privativamente à União (CF/1988, art. 22, I).</w:t>
      </w:r>
    </w:p>
    <w:p>
      <w:pPr>
        <w:ind w:left="288"/>
      </w:pPr>
      <w:r>
        <w:rPr>
          <w:b/>
          <w:color w:val="003CA0"/>
          <w:sz w:val="16"/>
        </w:rPr>
        <w:t>[ADPF 1.066, rel. min. Nunes Marques, j. 30.04.2025, P, DJE de 16.05.2025.]</w:t>
      </w:r>
    </w:p>
    <w:p>
      <w:pPr>
        <w:ind w:left="288"/>
      </w:pPr>
      <w:r>
        <w:rPr>
          <w:color w:val="8C8C8C"/>
          <w:sz w:val="12"/>
        </w:rPr>
        <w:t>cf-art-22-inc-I</w:t>
      </w:r>
      <w:r>
        <w:rPr>
          <w:color w:val="003CA0"/>
          <w:sz w:val="12"/>
        </w:rPr>
        <w:t xml:space="preserve"> | ADI 6.150</w:t>
      </w:r>
      <w:r>
        <w:rPr>
          <w:color w:val="003CA0"/>
          <w:sz w:val="12"/>
        </w:rPr>
        <w:t xml:space="preserve"> | rel. André Mendonça</w:t>
      </w:r>
    </w:p>
    <w:p>
      <w:pPr>
        <w:ind w:left="288"/>
      </w:pPr>
      <w:r>
        <w:rPr>
          <w:color w:val="1E1E1E"/>
          <w:sz w:val="18"/>
        </w:rPr>
        <w:t>É inconstitucional norma instituidora de programa de renegociação, regularização fiscal ou de parcelamento de débitos referentes ao ICMS que limite a fixação de honorários sucumbenciais a percentual estabelecido em lei estadual e abaixo dos parâmetros enunciados no art. 85, § 3º, do Código de Processo Civil, por invadir a competência legislativa privativa da União para dispor sobre direito processual, prevista no art. 22, inc. I, da Constituição da República.</w:t>
      </w:r>
    </w:p>
    <w:p>
      <w:pPr>
        <w:ind w:left="288"/>
      </w:pPr>
      <w:r>
        <w:rPr>
          <w:b/>
          <w:color w:val="003CA0"/>
          <w:sz w:val="16"/>
        </w:rPr>
        <w:t>[ADI 6.150, rel. min. André Mendonça, j. 25.04.2025, P, DJE de 23.06.2025.]</w:t>
      </w:r>
    </w:p>
    <w:p>
      <w:pPr>
        <w:ind w:left="288"/>
      </w:pPr>
      <w:r>
        <w:rPr>
          <w:color w:val="8C8C8C"/>
          <w:sz w:val="12"/>
        </w:rPr>
        <w:t>cf-art-22-inc-I</w:t>
      </w:r>
      <w:r>
        <w:rPr>
          <w:color w:val="003CA0"/>
          <w:sz w:val="12"/>
        </w:rPr>
        <w:t xml:space="preserve"> | ADI 4.293</w:t>
      </w:r>
      <w:r>
        <w:rPr>
          <w:color w:val="003CA0"/>
          <w:sz w:val="12"/>
        </w:rPr>
        <w:t xml:space="preserve"> | rel. Nunes Marques</w:t>
      </w:r>
    </w:p>
    <w:p>
      <w:pPr>
        <w:ind w:left="288"/>
      </w:pPr>
      <w:r>
        <w:rPr>
          <w:color w:val="1E1E1E"/>
          <w:sz w:val="18"/>
        </w:rPr>
        <w:t>Atos normativos estaduais que disciplinem relações contratuais securitárias, ainda que em sede de produção e consumo, bem como preconizem obrigações contratuais relativas a seguros de veículos, inclusive no tocante a regras sobre registro, desmonte e comercialização de veículos sinistrados, invadem a competência da União para legislar sobre direito civil e seguros (CF, art. 22, I e VII).</w:t>
      </w:r>
    </w:p>
    <w:p>
      <w:pPr>
        <w:ind w:left="288"/>
      </w:pPr>
      <w:r>
        <w:rPr>
          <w:b/>
          <w:color w:val="003CA0"/>
          <w:sz w:val="16"/>
        </w:rPr>
        <w:t>[ADI 4.293, rel. min. Nunes Marques, j. 05.03.2025, P, DJE de 14.03.2025.]</w:t>
      </w:r>
    </w:p>
    <w:p>
      <w:pPr>
        <w:ind w:left="288"/>
      </w:pPr>
      <w:r>
        <w:rPr>
          <w:color w:val="8C8C8C"/>
          <w:sz w:val="12"/>
        </w:rPr>
        <w:t>cf-art-22-inc-I</w:t>
      </w:r>
      <w:r>
        <w:rPr>
          <w:color w:val="003CA0"/>
          <w:sz w:val="12"/>
        </w:rPr>
        <w:t xml:space="preserve"> | ADI 5.451</w:t>
      </w:r>
      <w:r>
        <w:rPr>
          <w:color w:val="003CA0"/>
          <w:sz w:val="12"/>
        </w:rPr>
        <w:t xml:space="preserve"> | rel. Nunes Marques</w:t>
      </w:r>
    </w:p>
    <w:p>
      <w:pPr>
        <w:ind w:left="288"/>
      </w:pPr>
      <w:r>
        <w:rPr>
          <w:color w:val="1E1E1E"/>
          <w:sz w:val="18"/>
        </w:rPr>
        <w:t>A Lei n. 15.911/2015 do Estado do Ceará, ao regulamentar a prestação de serviço voluntário no Ministério Público, não usurpa a competência privativa da União para legislar sobre direito do trabalho (CF, art. 22, I). A Lei federal n. 9.608/1999 constitui norma geral a ser conformada pelos entes políticos em função das particularidades locais. O diploma afasta a caracterização de vínculo empregatício e obrigação trabalhista, previdenciária ou afim do serviço voluntário prestado a entidade pública ou privada sem fins lucrativos.</w:t>
      </w:r>
    </w:p>
    <w:p>
      <w:pPr>
        <w:ind w:left="288"/>
      </w:pPr>
      <w:r>
        <w:rPr>
          <w:b/>
          <w:color w:val="003CA0"/>
          <w:sz w:val="16"/>
        </w:rPr>
        <w:t>[ADI 5.451, rel. min. Nunes Marques, j. 17.02.2025, P, DJE de 11.03.2025.]</w:t>
      </w:r>
    </w:p>
    <w:p>
      <w:pPr>
        <w:ind w:left="288"/>
      </w:pPr>
      <w:r>
        <w:rPr>
          <w:color w:val="8C8C8C"/>
          <w:sz w:val="12"/>
        </w:rPr>
        <w:t>cf-art-22-inc-I</w:t>
      </w:r>
      <w:r>
        <w:rPr>
          <w:color w:val="003CA0"/>
          <w:sz w:val="12"/>
        </w:rPr>
        <w:t xml:space="preserve"> | ADI 7.341</w:t>
      </w:r>
      <w:r>
        <w:rPr>
          <w:color w:val="003CA0"/>
          <w:sz w:val="12"/>
        </w:rPr>
        <w:t xml:space="preserve"> | rel. Nunes Marques</w:t>
      </w:r>
    </w:p>
    <w:p>
      <w:pPr>
        <w:ind w:left="288"/>
      </w:pPr>
      <w:r>
        <w:rPr>
          <w:color w:val="1E1E1E"/>
          <w:sz w:val="18"/>
        </w:rPr>
        <w:t>É inconstitucional — por violar a competência privativa da União para legislar sobre direito processual (CF/1988, art. 22, I) — norma estadual que fixa o percentual dos honorários de sucumbência devidos aos procuradores estaduais em razão do parcelamento realizado pelos contribuintes nas ações tributárias e execuções fiscais ajuizadas.</w:t>
      </w:r>
    </w:p>
    <w:p>
      <w:pPr>
        <w:ind w:left="288"/>
      </w:pPr>
      <w:r>
        <w:rPr>
          <w:b/>
          <w:color w:val="003CA0"/>
          <w:sz w:val="16"/>
        </w:rPr>
        <w:t>[ADI 7.341, rel. min. Nunes Marques, j. 19.11.2024, P, Dje de 8-1-2025.]</w:t>
      </w:r>
    </w:p>
    <w:p>
      <w:pPr>
        <w:ind w:left="288"/>
      </w:pPr>
      <w:r>
        <w:rPr>
          <w:color w:val="8C8C8C"/>
          <w:sz w:val="12"/>
        </w:rPr>
        <w:t>cf-art-22-inc-I</w:t>
      </w:r>
      <w:r>
        <w:rPr>
          <w:color w:val="003CA0"/>
          <w:sz w:val="12"/>
        </w:rPr>
        <w:t xml:space="preserve"> | ADI 7.712</w:t>
      </w:r>
      <w:r>
        <w:rPr>
          <w:color w:val="003CA0"/>
          <w:sz w:val="12"/>
        </w:rPr>
        <w:t xml:space="preserve"> | rel. Gilmar Mendes</w:t>
      </w:r>
    </w:p>
    <w:p>
      <w:pPr>
        <w:ind w:left="288"/>
      </w:pPr>
      <w:r>
        <w:rPr>
          <w:color w:val="1E1E1E"/>
          <w:sz w:val="18"/>
        </w:rPr>
        <w:t>Compete privativamente à União legislar sobre direito penal e direito processual penal, nos termos do art. 22, I, da Constituição Federal, inexistindo espaço de atuação dos entes subnacionais nesses campos específicos. A criação de um tipo penal e o estabelecimento de hipótese de inafiançabilidade por meio de lei estadual consubstancia inconstitucionalidade formal manifesta e incontornável.</w:t>
      </w:r>
    </w:p>
    <w:p>
      <w:pPr>
        <w:ind w:left="288"/>
      </w:pPr>
      <w:r>
        <w:rPr>
          <w:b/>
          <w:color w:val="003CA0"/>
          <w:sz w:val="16"/>
        </w:rPr>
        <w:t>[ADI 7.712 MC-REF, rel. min. Gilmar Mendes, j. 14-10-2024, P, DJE de 29-10-2024.]</w:t>
      </w:r>
    </w:p>
    <w:p>
      <w:pPr>
        <w:ind w:left="288"/>
      </w:pPr>
      <w:r>
        <w:rPr>
          <w:color w:val="8C8C8C"/>
          <w:sz w:val="12"/>
        </w:rPr>
        <w:t>cf-art-22-inc-I</w:t>
      </w:r>
      <w:r>
        <w:rPr>
          <w:color w:val="003CA0"/>
          <w:sz w:val="12"/>
        </w:rPr>
        <w:t xml:space="preserve"> | ADI 4.157</w:t>
      </w:r>
      <w:r>
        <w:rPr>
          <w:color w:val="003CA0"/>
          <w:sz w:val="12"/>
        </w:rPr>
        <w:t xml:space="preserve"> | rel. Nunes Marques</w:t>
      </w:r>
    </w:p>
    <w:p>
      <w:pPr>
        <w:ind w:left="288"/>
      </w:pPr>
      <w:r>
        <w:rPr>
          <w:color w:val="1E1E1E"/>
          <w:sz w:val="18"/>
        </w:rPr>
        <w:t>O Plenário já consignou a inconstitucionalidade de norma instituidora de benefício de descanso remunerado para os empregados da iniciativa privada, por ofensa à competência privativa da União para legislar sobre direito do trabalho (CF, art. 22, I). Especificamente quanto à saúde dos trabalhadores, o Supremo reconheceu a inconstitucionalidade de diplomas normativos semelhantes, como o que previa normas de prevenção de doenças e critérios de defesa da saúde dos trabalhadores.</w:t>
        <w:br/>
        <w:t xml:space="preserve">[ADI 4.157, rel. min. Nunes Marques, j. 30-9-2024, P, DJE de 13-11-2024.] Compete privativamente à União legislar sobre </w:t>
      </w:r>
    </w:p>
    <w:p>
      <w:pPr>
        <w:ind w:left="288"/>
      </w:pPr>
      <w:r>
        <w:rPr>
          <w:b/>
          <w:color w:val="003CA0"/>
          <w:sz w:val="16"/>
        </w:rPr>
        <w:t>[ADI 5.361 e ADI 5.463, rel. min. Nunes Marques, j. 21.11.2023, P, DJE de 24.01.2024.]</w:t>
      </w:r>
    </w:p>
    <w:p>
      <w:pPr>
        <w:ind w:left="288"/>
      </w:pPr>
      <w:r>
        <w:rPr>
          <w:color w:val="8C8C8C"/>
          <w:sz w:val="12"/>
        </w:rPr>
        <w:t>cf-art-22-inc-I</w:t>
      </w:r>
      <w:r>
        <w:rPr>
          <w:color w:val="003CA0"/>
          <w:sz w:val="12"/>
        </w:rPr>
        <w:t xml:space="preserve"> | ADI 2.935</w:t>
      </w:r>
      <w:r>
        <w:rPr>
          <w:color w:val="003CA0"/>
          <w:sz w:val="12"/>
        </w:rPr>
        <w:t xml:space="preserve"> | rel. Nunes Marques</w:t>
      </w:r>
    </w:p>
    <w:p>
      <w:pPr>
        <w:ind w:left="288"/>
      </w:pPr>
      <w:r>
        <w:rPr>
          <w:color w:val="1E1E1E"/>
          <w:sz w:val="18"/>
        </w:rPr>
        <w:t>O Estado do Espírito Santo, no art. 2º, I, da Lei Complementar n. 68/1995, ao dispor sobre os recursos oriundos das penas de multa, endereçando-os ao fundo penitenciário estadual, invadiu a competência privativa da União, a configurar vício de inconstitucionalidade formal.</w:t>
      </w:r>
    </w:p>
    <w:p>
      <w:pPr>
        <w:ind w:left="288"/>
      </w:pPr>
      <w:r>
        <w:rPr>
          <w:b/>
          <w:color w:val="003CA0"/>
          <w:sz w:val="16"/>
        </w:rPr>
        <w:t>[ADI 2.935, rel. min. Nunes Marques, j. 21-11-2023, P, DJE de 18-12-2023.]</w:t>
      </w:r>
    </w:p>
    <w:p>
      <w:pPr>
        <w:ind w:left="288"/>
      </w:pPr>
      <w:r>
        <w:rPr>
          <w:color w:val="8C8C8C"/>
          <w:sz w:val="12"/>
        </w:rPr>
        <w:t>cf-art-22-inc-I</w:t>
      </w:r>
      <w:r>
        <w:rPr>
          <w:color w:val="003CA0"/>
          <w:sz w:val="12"/>
        </w:rPr>
        <w:t xml:space="preserve"> | ADI 3.899</w:t>
      </w:r>
      <w:r>
        <w:rPr>
          <w:color w:val="003CA0"/>
          <w:sz w:val="12"/>
        </w:rPr>
        <w:t xml:space="preserve"> | rel. Nunes Marques</w:t>
      </w:r>
    </w:p>
    <w:p>
      <w:pPr>
        <w:ind w:left="288"/>
      </w:pPr>
      <w:r>
        <w:rPr>
          <w:color w:val="1E1E1E"/>
          <w:sz w:val="18"/>
        </w:rPr>
        <w:t>A Lei distrital n. 3.923/2006 conferiu a fruição de um direito subjetivo – estabilidade parcial no emprego – a cobradores de ônibus que mantinham vínculo trabalhista com as concessionárias do serviço de transporte de passageiros do Distrito Federal na época em que implantada a bilhetagem eletrônica. A garantia de permanência no emprego traduz-se em estabilidade no emprego, matéria típica de direito do trabalho, de competência da União (CF, art. 22, I). A admitir-se que leis locais tratem desse tema, serão múltiplos os regimes trabalhistas no país, o que vai de encontro ao modelo federativo imp</w:t>
      </w:r>
    </w:p>
    <w:p>
      <w:pPr>
        <w:ind w:left="288"/>
      </w:pPr>
      <w:r>
        <w:rPr>
          <w:b/>
          <w:color w:val="003CA0"/>
          <w:sz w:val="16"/>
        </w:rPr>
        <w:t>[ADI 6.298, ADI 6.299, ADI 6.300 e ADI 6.305, rel. min. Luiz Fux, j. 24-8-2023, P, DJE de 19-12-2023.]</w:t>
      </w:r>
    </w:p>
    <w:p>
      <w:pPr>
        <w:ind w:left="288"/>
      </w:pPr>
      <w:r>
        <w:rPr>
          <w:color w:val="8C8C8C"/>
          <w:sz w:val="12"/>
        </w:rPr>
        <w:t>cf-art-22-inc-I</w:t>
      </w:r>
      <w:r>
        <w:rPr>
          <w:color w:val="003CA0"/>
          <w:sz w:val="12"/>
        </w:rPr>
        <w:t xml:space="preserve"> | ADI 2.915</w:t>
      </w:r>
      <w:r>
        <w:rPr>
          <w:color w:val="003CA0"/>
          <w:sz w:val="12"/>
        </w:rPr>
        <w:t xml:space="preserve"> | rel. Nunes Marques</w:t>
      </w:r>
    </w:p>
    <w:p>
      <w:pPr>
        <w:ind w:left="288"/>
      </w:pPr>
      <w:r>
        <w:rPr>
          <w:color w:val="1E1E1E"/>
          <w:sz w:val="18"/>
        </w:rPr>
        <w:t>A criação de piso salarial para certa categoria de empregados públicos é matéria que se insere na competência privativa da União para legislar sobre direito do trabalho, por ser medida de âmbito coletivo a abarcar indistintamente determinada classe de trabalhadores, não se confundindo com a entabulação da remuneração entre as próprias partes.</w:t>
        <w:br/>
        <w:t>[ADI 2.915, rel. min. Nunes Marques, j. 22-8-2023, P, DJE de 13-9-2023.] “É inconstitucional lei estadual que regulamenta o programa jovem aprendiz, por invasão da competência privativa da União para legislar sobre direito do trabalho”.</w:t>
        <w:br/>
        <w:t>[ADI 7.148, rel. m</w:t>
      </w:r>
    </w:p>
    <w:p>
      <w:pPr>
        <w:ind w:left="288"/>
      </w:pPr>
      <w:r>
        <w:rPr>
          <w:b/>
          <w:color w:val="003CA0"/>
          <w:sz w:val="16"/>
        </w:rPr>
        <w:t>[ADI 7.014, rel. min. Edson Fachin, j. 28-11-2022, P, DJE de 19-12-2022.]</w:t>
      </w:r>
    </w:p>
    <w:p>
      <w:pPr>
        <w:ind w:left="288"/>
      </w:pPr>
      <w:r>
        <w:rPr>
          <w:color w:val="8C8C8C"/>
          <w:sz w:val="12"/>
        </w:rPr>
        <w:t>cf-art-22-inc-I</w:t>
      </w:r>
      <w:r>
        <w:rPr>
          <w:color w:val="003CA0"/>
          <w:sz w:val="12"/>
        </w:rPr>
        <w:t xml:space="preserve"> | ADI 1.846</w:t>
      </w:r>
      <w:r>
        <w:rPr>
          <w:color w:val="003CA0"/>
          <w:sz w:val="12"/>
        </w:rPr>
        <w:t xml:space="preserve"> | rel. Nunes Marques</w:t>
      </w:r>
    </w:p>
    <w:p>
      <w:pPr>
        <w:ind w:left="288"/>
      </w:pPr>
      <w:r>
        <w:rPr>
          <w:color w:val="1E1E1E"/>
          <w:sz w:val="18"/>
        </w:rPr>
        <w:t>A atuação de sociedades anônimas deve ser regida por lei federal, haja vista tratar-se de tema de direito comercial (CF, art. 22, I).</w:t>
      </w:r>
    </w:p>
    <w:p>
      <w:pPr>
        <w:ind w:left="288"/>
      </w:pPr>
      <w:r>
        <w:rPr>
          <w:b/>
          <w:color w:val="003CA0"/>
          <w:sz w:val="16"/>
        </w:rPr>
        <w:t>[ADI 1.846, rel. min. Nunes Marques, j. 24-10-2022, P, DJE de 11-11-2022.]</w:t>
      </w:r>
    </w:p>
    <w:p>
      <w:pPr>
        <w:ind w:left="288"/>
      </w:pPr>
      <w:r>
        <w:rPr>
          <w:color w:val="8C8C8C"/>
          <w:sz w:val="12"/>
        </w:rPr>
        <w:t>cf-art-22-inc-I</w:t>
      </w:r>
      <w:r>
        <w:rPr>
          <w:color w:val="003CA0"/>
          <w:sz w:val="12"/>
        </w:rPr>
        <w:t xml:space="preserve"> | ADI 5.969</w:t>
      </w:r>
      <w:r>
        <w:rPr>
          <w:color w:val="003CA0"/>
          <w:sz w:val="12"/>
        </w:rPr>
        <w:t xml:space="preserve"> | rel. Dias Toffoli</w:t>
      </w:r>
    </w:p>
    <w:p>
      <w:pPr>
        <w:ind w:left="288"/>
      </w:pPr>
      <w:r>
        <w:rPr>
          <w:color w:val="1E1E1E"/>
          <w:sz w:val="18"/>
        </w:rPr>
        <w:t>Incidiu em inconstitucionalidade formal, por violação do art. 22, inciso I, da Constituição Federal, o § 2º do art. 12 da Lei nº 8.328/15 do Estado do Pará, que dispôs dever a Fazenda Pública, nas execuções fiscais, antecipar o pagamento das despesas com a diligência dos oficiais de justiça.</w:t>
      </w:r>
    </w:p>
    <w:p>
      <w:pPr>
        <w:ind w:left="288"/>
      </w:pPr>
      <w:r>
        <w:rPr>
          <w:b/>
          <w:color w:val="003CA0"/>
          <w:sz w:val="16"/>
        </w:rPr>
        <w:t>[ADI 5.969, rel. min. Dias Toffoli, j. 3-10-2022, P, DJE de 16-11-2022.]</w:t>
      </w:r>
    </w:p>
    <w:p>
      <w:pPr>
        <w:ind w:left="288"/>
      </w:pPr>
      <w:r>
        <w:rPr>
          <w:color w:val="8C8C8C"/>
          <w:sz w:val="12"/>
        </w:rPr>
        <w:t>cf-art-22-inc-I</w:t>
      </w:r>
      <w:r>
        <w:rPr>
          <w:color w:val="003CA0"/>
          <w:sz w:val="12"/>
        </w:rPr>
        <w:t xml:space="preserve"> | ADI 5.349</w:t>
      </w:r>
      <w:r>
        <w:rPr>
          <w:color w:val="003CA0"/>
          <w:sz w:val="12"/>
        </w:rPr>
        <w:t xml:space="preserve"> | rel. Rosa Weber</w:t>
      </w:r>
    </w:p>
    <w:p>
      <w:pPr>
        <w:ind w:left="288"/>
      </w:pPr>
      <w:r>
        <w:rPr>
          <w:color w:val="1E1E1E"/>
          <w:sz w:val="18"/>
        </w:rPr>
        <w:t>Lei nº 5.470/2015 do Distrito Federal. Publicação de prestação de contas na internet imposta a sindicatos. (...) A lei distrital impugnada ao impor, de maneira ampla, obrigação aos sindicatos, invade a competência legislativa privativa da União prevista no art. 22, I, CF, considerado tanto o Direito Coletivo do Trabalho quanto, sob o prisma mais amplo de entidade associativa, o Direito Civil.</w:t>
      </w:r>
    </w:p>
    <w:p>
      <w:pPr>
        <w:ind w:left="288"/>
      </w:pPr>
      <w:r>
        <w:rPr>
          <w:b/>
          <w:color w:val="003CA0"/>
          <w:sz w:val="16"/>
        </w:rPr>
        <w:t>[ADI 5.349, rel. min. Rosa Weber, j. 22-8-2022, P, DJE de 29-8-2022.]</w:t>
      </w:r>
    </w:p>
    <w:p>
      <w:pPr>
        <w:ind w:left="288"/>
      </w:pPr>
      <w:r>
        <w:rPr>
          <w:color w:val="8C8C8C"/>
          <w:sz w:val="12"/>
        </w:rPr>
        <w:t>cf-art-22-inc-I</w:t>
      </w:r>
      <w:r>
        <w:rPr>
          <w:color w:val="003CA0"/>
          <w:sz w:val="12"/>
        </w:rPr>
        <w:t xml:space="preserve"> | ADI 6.640</w:t>
      </w:r>
      <w:r>
        <w:rPr>
          <w:color w:val="003CA0"/>
          <w:sz w:val="12"/>
        </w:rPr>
        <w:t xml:space="preserve"> | rel. Edson Fachin</w:t>
      </w:r>
    </w:p>
    <w:p>
      <w:pPr>
        <w:ind w:left="288"/>
      </w:pPr>
      <w:r>
        <w:rPr>
          <w:color w:val="1E1E1E"/>
          <w:sz w:val="18"/>
        </w:rPr>
        <w:t>Por força do art. 22, I da CRFB/88, a jurisprudência deste Supremo Tribunal Federal se consolidou no sentido de que o Estado-membro não está autorizado a ampliar o rol de autoridades sujeitas à fiscalização direta pelo Poder Legislativo e à sanção por crime de responsabilidade.</w:t>
      </w:r>
    </w:p>
    <w:p>
      <w:pPr>
        <w:ind w:left="288"/>
      </w:pPr>
      <w:r>
        <w:rPr>
          <w:b/>
          <w:color w:val="003CA0"/>
          <w:sz w:val="16"/>
        </w:rPr>
        <w:t>[ADI 6.640, rel. min. Edson Fachin, j. 22-8-2022, P, DJE de 2-9-2022.]</w:t>
      </w:r>
    </w:p>
    <w:p>
      <w:pPr>
        <w:ind w:left="288"/>
      </w:pPr>
      <w:r>
        <w:rPr>
          <w:color w:val="8C8C8C"/>
          <w:sz w:val="12"/>
        </w:rPr>
        <w:t>cf-art-22-inc-I</w:t>
      </w:r>
      <w:r>
        <w:rPr>
          <w:color w:val="003CA0"/>
          <w:sz w:val="12"/>
        </w:rPr>
        <w:t xml:space="preserve"> | ADI 4.662</w:t>
      </w:r>
      <w:r>
        <w:rPr>
          <w:color w:val="003CA0"/>
          <w:sz w:val="12"/>
        </w:rPr>
        <w:t xml:space="preserve"> | rel. Dias Toffoli</w:t>
      </w:r>
    </w:p>
    <w:p>
      <w:pPr>
        <w:ind w:left="288"/>
      </w:pPr>
      <w:r>
        <w:rPr>
          <w:color w:val="1E1E1E"/>
          <w:sz w:val="18"/>
        </w:rPr>
        <w:t xml:space="preserve">Artigo 2º do Provimento nº 1.898/11 do Conselho Superior da Magistratura do Tribunal de Justiça de São Paulo, o qual veda ao juiz plantonista converter o auto de prisão em flagrante em diligência. (...) A norma em questão padece de flagrante inconstitucionalidade formal, por desbordar dos limites do poder regulamentar e afrontar competência privativa da União para legislar sobre direito processual penal, nos termos do art. 22, inciso I, da Constituição Federal. Isso porque não há que se falar em possível delegação por parte da União ao Conselho Superior de Magistratura do TJSP a autorizá-lo a </w:t>
      </w:r>
    </w:p>
    <w:p>
      <w:pPr>
        <w:ind w:left="288"/>
      </w:pPr>
      <w:r>
        <w:rPr>
          <w:b/>
          <w:color w:val="003CA0"/>
          <w:sz w:val="16"/>
        </w:rPr>
        <w:t>[ADI 4.662, rel. min. Dias Toffoli, j. 16-8-2022, P, DJE de 13-9-2022.]</w:t>
      </w:r>
    </w:p>
    <w:p>
      <w:pPr>
        <w:ind w:left="288"/>
      </w:pPr>
      <w:r>
        <w:rPr>
          <w:color w:val="8C8C8C"/>
          <w:sz w:val="12"/>
        </w:rPr>
        <w:t>cf-art-22-inc-I</w:t>
      </w:r>
      <w:r>
        <w:rPr>
          <w:color w:val="003CA0"/>
          <w:sz w:val="12"/>
        </w:rPr>
        <w:t xml:space="preserve"> | ADI 7.104</w:t>
      </w:r>
      <w:r>
        <w:rPr>
          <w:color w:val="003CA0"/>
          <w:sz w:val="12"/>
        </w:rPr>
        <w:t xml:space="preserve"> | rel. Edson Fachin</w:t>
      </w:r>
    </w:p>
    <w:p>
      <w:pPr>
        <w:ind w:left="288"/>
      </w:pPr>
      <w:r>
        <w:rPr>
          <w:color w:val="1E1E1E"/>
          <w:sz w:val="18"/>
        </w:rPr>
        <w:t>Normas estaduais que impeçam as instituições de ensino de recusarem a matrícula de estudantes inadimplentes, e também de cobrar juros, multas, correção monetária ou quaisquer outros encargos, violam a competência privativa da União para legislar sobre direito civil (Art. 22, I, da CRFB) (...).</w:t>
      </w:r>
    </w:p>
    <w:p>
      <w:pPr>
        <w:ind w:left="288"/>
      </w:pPr>
      <w:r>
        <w:rPr>
          <w:b/>
          <w:color w:val="003CA0"/>
          <w:sz w:val="16"/>
        </w:rPr>
        <w:t>[ADI 7.104 e ADI 7.179, rel. min. Edson Fachin, j. 8-8-2022, P, DJE de 18-8-2022.]</w:t>
      </w:r>
    </w:p>
    <w:p>
      <w:pPr>
        <w:ind w:left="288"/>
      </w:pPr>
      <w:r>
        <w:rPr>
          <w:color w:val="8C8C8C"/>
          <w:sz w:val="12"/>
        </w:rPr>
        <w:t>cf-art-22-inc-I</w:t>
      </w:r>
      <w:r>
        <w:rPr>
          <w:color w:val="003CA0"/>
          <w:sz w:val="12"/>
        </w:rPr>
        <w:t xml:space="preserve"> | ADI 7.063</w:t>
      </w:r>
      <w:r>
        <w:rPr>
          <w:color w:val="003CA0"/>
          <w:sz w:val="12"/>
        </w:rPr>
        <w:t xml:space="preserve"> | rel. Edson Fachin</w:t>
      </w:r>
    </w:p>
    <w:p>
      <w:pPr>
        <w:ind w:left="288"/>
      </w:pPr>
      <w:r>
        <w:rPr>
          <w:color w:val="1E1E1E"/>
          <w:sz w:val="18"/>
        </w:rPr>
        <w:t>Lei 9.507/2021 do Estado do Rio de Janeiro. Lei Estadual 3.350/1999 e Decreto Lei 05/1975. (...) Os arts. 15-A e 15-B, caput, constituem invasão da competência privativa da União para legislar sobre direito processual (Art. 22, I, CF), pois instituíram sanções processuais diversas da legislação federal para litigantes que abusem do seu direito à prestação jurisdicional e um procedimento novo para requisição do benefício de gratuidade de justiça.</w:t>
      </w:r>
    </w:p>
    <w:p>
      <w:pPr>
        <w:ind w:left="288"/>
      </w:pPr>
      <w:r>
        <w:rPr>
          <w:b/>
          <w:color w:val="003CA0"/>
          <w:sz w:val="16"/>
        </w:rPr>
        <w:t>[ADI 7.063, rel. min. Edson Fachin, j. 6-6-2022, P, DJE de 22-6-2022.]</w:t>
      </w:r>
    </w:p>
    <w:p>
      <w:pPr>
        <w:ind w:left="288"/>
      </w:pPr>
      <w:r>
        <w:rPr>
          <w:color w:val="8C8C8C"/>
          <w:sz w:val="12"/>
        </w:rPr>
        <w:t>cf-art-22-inc-I</w:t>
      </w:r>
      <w:r>
        <w:rPr>
          <w:color w:val="003CA0"/>
          <w:sz w:val="12"/>
        </w:rPr>
        <w:t xml:space="preserve"> | ADI 5.882</w:t>
      </w:r>
      <w:r>
        <w:rPr>
          <w:color w:val="003CA0"/>
          <w:sz w:val="12"/>
        </w:rPr>
        <w:t xml:space="preserve"> | rel. Gilmar Mendes</w:t>
      </w:r>
    </w:p>
    <w:p>
      <w:pPr>
        <w:ind w:left="288"/>
      </w:pPr>
      <w:r>
        <w:rPr>
          <w:color w:val="1E1E1E"/>
          <w:sz w:val="18"/>
        </w:rPr>
        <w:t>A circularidade e a transferibilidade de valores mobiliários são características dos valores mobiliários, encontrando na União a sua competência legislativa (Art. 22, I da CF/88).</w:t>
      </w:r>
    </w:p>
    <w:p>
      <w:pPr>
        <w:ind w:left="288"/>
      </w:pPr>
      <w:r>
        <w:rPr>
          <w:b/>
          <w:color w:val="003CA0"/>
          <w:sz w:val="16"/>
        </w:rPr>
        <w:t>[ADI 5.882, rel. min. Gilmar Mendes, j. 16-5-2022, P, DJE de 2-6-2022.]</w:t>
      </w:r>
    </w:p>
    <w:p>
      <w:pPr>
        <w:ind w:left="288"/>
      </w:pPr>
      <w:r>
        <w:rPr>
          <w:color w:val="8C8C8C"/>
          <w:sz w:val="12"/>
        </w:rPr>
        <w:t>cf-art-22-inc-I</w:t>
      </w:r>
      <w:r>
        <w:rPr>
          <w:color w:val="003CA0"/>
          <w:sz w:val="12"/>
        </w:rPr>
        <w:t xml:space="preserve"> | ADI 5.224</w:t>
      </w:r>
      <w:r>
        <w:rPr>
          <w:color w:val="003CA0"/>
          <w:sz w:val="12"/>
        </w:rPr>
        <w:t xml:space="preserve"> | rel. Rosa Weber</w:t>
      </w:r>
    </w:p>
    <w:p>
      <w:pPr>
        <w:ind w:left="288"/>
      </w:pPr>
      <w:r>
        <w:rPr>
          <w:color w:val="1E1E1E"/>
          <w:sz w:val="18"/>
        </w:rPr>
        <w:t>Leis Estaduais 15.659/2015 e 16.624/2017, do Estado de São Paulo. Sistema de inclusão e exclusão dos nomes dos consumidores nos cadastros de proteção ao crédito. (...) A concessão legislativa de prazo mínimo de 20 (vinte) dias, após a comunicação escrita, para o devedor pagar a dívida, caracteriza norma de direito civil e comercial, sujeita à competência legislativa privativa da União (...). Além disso, a medida reduz a eficiência dos sistemas de proteção ao crédito, prejudicando a atualidade, a correção e a confiabilidade do banco de informações.</w:t>
      </w:r>
    </w:p>
    <w:p>
      <w:pPr>
        <w:ind w:left="288"/>
      </w:pPr>
      <w:r>
        <w:rPr>
          <w:b/>
          <w:color w:val="003CA0"/>
          <w:sz w:val="16"/>
        </w:rPr>
        <w:t>[ADI 5.224, ADI 5.252, ADI 5.273 e ADI 5.978, rel. min. Rosa Weber, j. 9-3-2022, P, DJE de 17-3-2022.]</w:t>
      </w:r>
    </w:p>
    <w:p>
      <w:pPr>
        <w:ind w:left="288"/>
      </w:pPr>
      <w:r>
        <w:rPr>
          <w:color w:val="8C8C8C"/>
          <w:sz w:val="12"/>
        </w:rPr>
        <w:t>cf-art-22-inc-I</w:t>
      </w:r>
      <w:r>
        <w:rPr>
          <w:color w:val="003CA0"/>
          <w:sz w:val="12"/>
        </w:rPr>
        <w:t xml:space="preserve"> | ADI 6.614</w:t>
      </w:r>
      <w:r>
        <w:rPr>
          <w:color w:val="003CA0"/>
          <w:sz w:val="12"/>
        </w:rPr>
        <w:t xml:space="preserve"> | rel. Rosa Weber</w:t>
      </w:r>
    </w:p>
    <w:p>
      <w:pPr>
        <w:ind w:left="288"/>
      </w:pPr>
      <w:r>
        <w:rPr>
          <w:color w:val="1E1E1E"/>
          <w:sz w:val="18"/>
        </w:rPr>
        <w:t>A norma estadual, ao impor aos prestadores de serviços de ensino a obrigação de estender o benefício de novas promoções aos clientes preexistentes, promove ingerência indevida em relações contratuais estabelecidas, sem que exista conduta abusiva por parte do prestador. Afronta ao art. 22, I, da CF/1988.</w:t>
      </w:r>
    </w:p>
    <w:p>
      <w:pPr>
        <w:ind w:left="288"/>
      </w:pPr>
      <w:r>
        <w:rPr>
          <w:b/>
          <w:color w:val="003CA0"/>
          <w:sz w:val="16"/>
        </w:rPr>
        <w:t>[ADI 6.614, red. do ac. min. Roberto Barroso, rel. min. Rosa Weber, j. 16-11-2021, P, DJE de 7-2-2022.]</w:t>
      </w:r>
    </w:p>
    <w:p>
      <w:pPr>
        <w:ind w:left="288"/>
      </w:pPr>
      <w:r>
        <w:rPr>
          <w:color w:val="8C8C8C"/>
          <w:sz w:val="12"/>
        </w:rPr>
        <w:t>cf-art-22-inc-I</w:t>
      </w:r>
      <w:r>
        <w:rPr>
          <w:color w:val="003CA0"/>
          <w:sz w:val="12"/>
        </w:rPr>
        <w:t xml:space="preserve"> | ADI 5.351</w:t>
      </w:r>
      <w:r>
        <w:rPr>
          <w:color w:val="003CA0"/>
          <w:sz w:val="12"/>
        </w:rPr>
        <w:t xml:space="preserve"> | rel. Cármen Lúcia</w:t>
      </w:r>
    </w:p>
    <w:p>
      <w:pPr>
        <w:ind w:left="288"/>
      </w:pPr>
      <w:r>
        <w:rPr>
          <w:color w:val="1E1E1E"/>
          <w:sz w:val="18"/>
        </w:rPr>
        <w:t>“O estabelecimento de hipóteses de prioridade de tramitação processual insere-se entre as atribuições legislativas da União (inc. I do art. 22 da Constituição da República). Não viola a proporcionalidade ou razoabilidade a opção do legislador de priorizar a tramitação de procedimentos administrativos ou judiciais que derivem de apurações das Comissões Parlamentares de Inquérito, considerando o interesse público atingido e a deferência constitucional ao poder fiscalizatório do Congresso Nacional (inc. X do art. 49 da Constituição da República).”</w:t>
      </w:r>
    </w:p>
    <w:p>
      <w:pPr>
        <w:ind w:left="288"/>
      </w:pPr>
      <w:r>
        <w:rPr>
          <w:b/>
          <w:color w:val="003CA0"/>
          <w:sz w:val="16"/>
        </w:rPr>
        <w:t>[ADI 5.351, rel. min. Cármen Lúcia, j. 21-6-2021, P, DJE de 20-8-2021.]</w:t>
      </w:r>
    </w:p>
    <w:p>
      <w:pPr>
        <w:ind w:left="288"/>
      </w:pPr>
      <w:r>
        <w:rPr>
          <w:color w:val="8C8C8C"/>
          <w:sz w:val="12"/>
        </w:rPr>
        <w:t>cf-art-22-inc-I</w:t>
      </w:r>
      <w:r>
        <w:rPr>
          <w:color w:val="003CA0"/>
          <w:sz w:val="12"/>
        </w:rPr>
        <w:t xml:space="preserve"> | ADI 6.423</w:t>
      </w:r>
    </w:p>
    <w:p>
      <w:pPr>
        <w:ind w:left="288"/>
      </w:pPr>
      <w:r>
        <w:rPr>
          <w:color w:val="1E1E1E"/>
          <w:sz w:val="18"/>
        </w:rPr>
        <w:t>A Lei 17.208/2020 do Estado do Ceará, ao determinar a redução obrigatória e proporcional das mensalidades na rede privada de ensino durante o Plano de Contingência da COVID-19, viola a competência da União para legislar sobre Direito Civil (art. 22, I, CF), por se tratar de norma abstrata sobre direito civil, afastando-se da competência concorrente dos estados para editar normas sobre responsabilidade por danos aos consumidores (art. 24, V, CF). Efeitos jurídicos da Pandemia COVID-19 sobre os negócios jurídicos privados, inclusive decorrentes de relações de consumo, foram tratados pela Lei 14.</w:t>
      </w:r>
    </w:p>
    <w:p>
      <w:pPr>
        <w:ind w:left="288"/>
      </w:pPr>
      <w:r>
        <w:rPr>
          <w:b/>
          <w:color w:val="003CA0"/>
          <w:sz w:val="16"/>
        </w:rPr>
        <w:t>[ADI 6.423, red. do ac. min. Alexandre de Moraes, j. 21-12-2020, P, DJE de 12-2-2021.]</w:t>
      </w:r>
    </w:p>
    <w:p>
      <w:pPr>
        <w:ind w:left="288"/>
      </w:pPr>
      <w:r>
        <w:rPr>
          <w:color w:val="8C8C8C"/>
          <w:sz w:val="12"/>
        </w:rPr>
        <w:t>cf-art-22-inc-I</w:t>
      </w:r>
      <w:r>
        <w:rPr>
          <w:color w:val="003CA0"/>
          <w:sz w:val="12"/>
        </w:rPr>
        <w:t xml:space="preserve"> | ADI 6.435</w:t>
      </w:r>
      <w:r>
        <w:rPr>
          <w:color w:val="003CA0"/>
          <w:sz w:val="12"/>
        </w:rPr>
        <w:t xml:space="preserve"> | rel. Alexandre de Moares</w:t>
      </w:r>
    </w:p>
    <w:p>
      <w:pPr>
        <w:ind w:left="288"/>
      </w:pPr>
      <w:r>
        <w:rPr>
          <w:color w:val="1E1E1E"/>
          <w:sz w:val="18"/>
        </w:rPr>
        <w:t>A Lei 11.259/2020, na redação dada pela Lei 11.299/2020 do Estado do Maranhão, ao determinar a redução obrigatória e proporcional das mensalidades na rede privada de ensino durante o Plano de Contingência da COVID-19, viola a competência da União para legislar sobre Direito Civil (art. 22, I, CF), por se tratar de norma abstrata sobre direito civil, afastando-se da competência concorrente dos Estados para editar normas sobre responsabilidade por danos aos consumidores (art. 24, V, CF). Efeitos jurídicos da Pandemia da COVID-19 sobre os negócios jurídicos privados, inclusive decorrentes de rela</w:t>
      </w:r>
    </w:p>
    <w:p>
      <w:pPr>
        <w:ind w:left="288"/>
      </w:pPr>
      <w:r>
        <w:rPr>
          <w:b/>
          <w:color w:val="003CA0"/>
          <w:sz w:val="16"/>
        </w:rPr>
        <w:t>[ADI 6.435, rel. min. Alexandre de Moares, j. 21-12-2020, P, DJE de 30-3-2021.]</w:t>
      </w:r>
    </w:p>
    <w:p>
      <w:pPr>
        <w:ind w:left="288"/>
      </w:pPr>
      <w:r>
        <w:rPr>
          <w:color w:val="8C8C8C"/>
          <w:sz w:val="12"/>
        </w:rPr>
        <w:t>cf-art-22-inc-I</w:t>
      </w:r>
      <w:r>
        <w:rPr>
          <w:color w:val="003CA0"/>
          <w:sz w:val="12"/>
        </w:rPr>
        <w:t xml:space="preserve"> | ADI 6.495</w:t>
      </w:r>
      <w:r>
        <w:rPr>
          <w:color w:val="003CA0"/>
          <w:sz w:val="12"/>
        </w:rPr>
        <w:t xml:space="preserve"> | rel. Ricardo Lewandowski</w:t>
      </w:r>
    </w:p>
    <w:p>
      <w:pPr>
        <w:ind w:left="288"/>
      </w:pPr>
      <w:r>
        <w:rPr>
          <w:color w:val="1E1E1E"/>
          <w:sz w:val="18"/>
        </w:rPr>
        <w:t>Lei 8.842/2020 e Decreto 47.173/2020, do Estado do Rio de Janeiro. (...) Os atos normativos questionados, ao interferirem na relação obrigacional estabelecida entre as instituições de crédito e os tomadores de empréstimos, adentraram na competência privativa da União, prevista no art. 22, I e VII, da Constituição Federal, para legislar sobre direito civil e política de crédito. Precedentes. Ação direta de inconstitucionalidade julgada procedente para declarar a inconstitucionalidade da Lei 8.842/2020 e, por arrastamento, do Decreto 47.173/2020, ambos do Estado do Rio de Janeiro.</w:t>
      </w:r>
    </w:p>
    <w:p>
      <w:pPr>
        <w:ind w:left="288"/>
      </w:pPr>
      <w:r>
        <w:rPr>
          <w:b/>
          <w:color w:val="003CA0"/>
          <w:sz w:val="16"/>
        </w:rPr>
        <w:t>[ADI 6.495, rel. min. Ricardo Lewandowski, j. 23-11-2020, P, DJE de 3-12-2020.]</w:t>
      </w:r>
    </w:p>
    <w:p>
      <w:pPr>
        <w:ind w:left="288"/>
      </w:pPr>
      <w:r>
        <w:rPr>
          <w:color w:val="8C8C8C"/>
          <w:sz w:val="12"/>
        </w:rPr>
        <w:t>cf-art-22-inc-I</w:t>
      </w:r>
      <w:r>
        <w:rPr>
          <w:color w:val="003CA0"/>
          <w:sz w:val="12"/>
        </w:rPr>
        <w:t xml:space="preserve"> | ADI 6.475</w:t>
      </w:r>
      <w:r>
        <w:rPr>
          <w:color w:val="003CA0"/>
          <w:sz w:val="12"/>
        </w:rPr>
        <w:t xml:space="preserve"> | rel. Ricardo Lewandowski</w:t>
      </w:r>
    </w:p>
    <w:p>
      <w:pPr>
        <w:ind w:left="288"/>
      </w:pPr>
      <w:r>
        <w:rPr>
          <w:color w:val="1E1E1E"/>
          <w:sz w:val="18"/>
        </w:rPr>
        <w:t>= ADI 6.475, rel. min. Ricardo Lewandowski, j. 17-5-2021, P, DJE de 27-5-2021. 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Veiculação de normas que carac</w:t>
      </w:r>
    </w:p>
    <w:p>
      <w:pPr>
        <w:ind w:left="288"/>
      </w:pPr>
      <w:r>
        <w:rPr>
          <w:b/>
          <w:color w:val="003CA0"/>
          <w:sz w:val="16"/>
        </w:rPr>
        <w:t>[ADI 5.392, rel. min. Rosa Weber, j. 16-9-2020, P, DJE de 5-10-2020.]</w:t>
      </w:r>
    </w:p>
    <w:p>
      <w:pPr>
        <w:ind w:left="288"/>
      </w:pPr>
      <w:r>
        <w:rPr>
          <w:color w:val="8C8C8C"/>
          <w:sz w:val="12"/>
        </w:rPr>
        <w:t>cf-art-22-inc-I</w:t>
      </w:r>
      <w:r>
        <w:rPr>
          <w:color w:val="003CA0"/>
          <w:sz w:val="12"/>
        </w:rPr>
        <w:t xml:space="preserve"> | ADI 3.671</w:t>
      </w:r>
      <w:r>
        <w:rPr>
          <w:color w:val="003CA0"/>
          <w:sz w:val="12"/>
        </w:rPr>
        <w:t xml:space="preserve"> | rel. Gilmar Mendes</w:t>
      </w:r>
    </w:p>
    <w:p>
      <w:pPr>
        <w:ind w:left="288"/>
      </w:pPr>
      <w:r>
        <w:rPr>
          <w:color w:val="1E1E1E"/>
          <w:sz w:val="18"/>
        </w:rPr>
        <w:t>Obrigatoriedade de equipar os ônibus utilizados no serviço público de transporte coletivo com dispositivos redutores de estresse para motoristas e cobradores. Inconstitucionalidade. Competência privativa da União para legislar sobre trânsito e transporte bem como sobre direito do trabalho.</w:t>
      </w:r>
    </w:p>
    <w:p>
      <w:pPr>
        <w:ind w:left="288"/>
      </w:pPr>
      <w:r>
        <w:rPr>
          <w:b/>
          <w:color w:val="003CA0"/>
          <w:sz w:val="16"/>
        </w:rPr>
        <w:t>[ADI 3.671, rel. min. Gilmar Mendes, j. 21-2-2020, P, DJE de 20-3-2020.]</w:t>
      </w:r>
    </w:p>
    <w:p>
      <w:pPr>
        <w:ind w:left="288"/>
      </w:pPr>
      <w:r>
        <w:rPr>
          <w:color w:val="8C8C8C"/>
          <w:sz w:val="12"/>
        </w:rPr>
        <w:t>cf-art-22-inc-I</w:t>
      </w:r>
      <w:r>
        <w:rPr>
          <w:color w:val="003CA0"/>
          <w:sz w:val="12"/>
        </w:rPr>
        <w:t xml:space="preserve"> | ADI 5.838</w:t>
      </w:r>
      <w:r>
        <w:rPr>
          <w:color w:val="003CA0"/>
          <w:sz w:val="12"/>
        </w:rPr>
        <w:t xml:space="preserve"> | rel. Gilmar Mendes</w:t>
      </w:r>
    </w:p>
    <w:p>
      <w:pPr>
        <w:ind w:left="288"/>
      </w:pPr>
      <w:r>
        <w:rPr>
          <w:color w:val="1E1E1E"/>
          <w:sz w:val="18"/>
        </w:rPr>
        <w:t>Lei 5.694/2016 do Distrito Federal. Obrigatoriedade de doação de alimentos com prazo de validade próximo ao fim. (...) Norma que determina a destinação de bens particulares dispõe sobre direito de propriedade e tem natureza de direito civil, não podendo ser validamente emitida por ente federado.</w:t>
      </w:r>
    </w:p>
    <w:p>
      <w:pPr>
        <w:ind w:left="288"/>
      </w:pPr>
      <w:r>
        <w:rPr>
          <w:b/>
          <w:color w:val="003CA0"/>
          <w:sz w:val="16"/>
        </w:rPr>
        <w:t>[ADI 5.838, rel. min. Gilmar Mendes, j. 20-11-2019, P, DJE de 9-12-2019.]</w:t>
      </w:r>
    </w:p>
    <w:p>
      <w:pPr>
        <w:ind w:left="288"/>
      </w:pPr>
      <w:r>
        <w:rPr>
          <w:color w:val="8C8C8C"/>
          <w:sz w:val="12"/>
        </w:rPr>
        <w:t>cf-art-22-inc-I</w:t>
      </w:r>
      <w:r>
        <w:rPr>
          <w:color w:val="003CA0"/>
          <w:sz w:val="12"/>
        </w:rPr>
        <w:t xml:space="preserve"> | ADI 5.799</w:t>
      </w:r>
      <w:r>
        <w:rPr>
          <w:color w:val="003CA0"/>
          <w:sz w:val="12"/>
        </w:rPr>
        <w:t xml:space="preserve"> | rel. Alexandre de Moraes</w:t>
      </w:r>
    </w:p>
    <w:p>
      <w:pPr>
        <w:ind w:left="288"/>
      </w:pPr>
      <w:r>
        <w:rPr>
          <w:color w:val="1E1E1E"/>
          <w:sz w:val="18"/>
        </w:rPr>
        <w:t>A Lei 10.335/2016 do Estado do Mato Grosso, ao estabelecer isenção ampla para determinados usuários da produção intelectual, permitindo a utilização gratuita de obras alheias (privadas) por parte das instituições filantrópicas, as associações, as fundações e entidades oficialmente declaradas de utilidade pública, sem fins lucrativo, invadiu, indevidamente, a competência legislativa privativa da União (CF, art. 22, I). O benefício produz reflexos (restritivos) no domínio da produção intelectual, pertencente ao criador de obra, traduzindo, assim, indisfarçada limitação ao direito de propriedade,</w:t>
      </w:r>
    </w:p>
    <w:p>
      <w:pPr>
        <w:ind w:left="288"/>
      </w:pPr>
      <w:r>
        <w:rPr>
          <w:b/>
          <w:color w:val="003CA0"/>
          <w:sz w:val="16"/>
        </w:rPr>
        <w:t>[ADI 5.799, rel. min. Alexandre de Moraes, j. 27-9-2019, P, DJE de 15-10-2019.]</w:t>
      </w:r>
    </w:p>
    <w:p>
      <w:pPr>
        <w:ind w:left="288"/>
      </w:pPr>
      <w:r>
        <w:rPr>
          <w:color w:val="8C8C8C"/>
          <w:sz w:val="12"/>
        </w:rPr>
        <w:t>cf-art-22-inc-I</w:t>
      </w:r>
      <w:r>
        <w:rPr>
          <w:color w:val="003CA0"/>
          <w:sz w:val="12"/>
        </w:rPr>
        <w:t xml:space="preserve"> | ADI 5.739</w:t>
      </w:r>
      <w:r>
        <w:rPr>
          <w:color w:val="003CA0"/>
          <w:sz w:val="12"/>
        </w:rPr>
        <w:t xml:space="preserve"> | rel. Edson Fachin</w:t>
      </w:r>
    </w:p>
    <w:p>
      <w:pPr>
        <w:ind w:left="288"/>
      </w:pPr>
      <w:r>
        <w:rPr>
          <w:color w:val="1E1E1E"/>
          <w:sz w:val="18"/>
        </w:rPr>
        <w:t>Lei 7.524, de 14 de fevereiro de 2017, do Estado do Rio de Janeiro. Registro obrigatório de acidentes de trabalho com lesão, ferimento ou morte. CNI – Confederação Nacional da Indústria. (...) A norma estadual, ao criar uma obrigação ao empregador para além daquela do art. 21 da Lei 8.213/91 e da faculdade constante no art. 5º, § 3º, do CPP, ofende a regra de competência privativa da União para legislar sobre ‘direito processual’ e ‘direito do trabalho’ (CR, art. 22), assim como a competência material da União para “organizar, manter e executar a inspeção do trabalho” (CR, art. 21, XXIV).</w:t>
      </w:r>
    </w:p>
    <w:p>
      <w:pPr>
        <w:ind w:left="288"/>
      </w:pPr>
      <w:r>
        <w:rPr>
          <w:b/>
          <w:color w:val="003CA0"/>
          <w:sz w:val="16"/>
        </w:rPr>
        <w:t>[ADI 5.739, rel. min. Edson Fachin, j. 23-8-2019, P, DJE de 9-9-2019.]</w:t>
      </w:r>
    </w:p>
    <w:p>
      <w:pPr>
        <w:ind w:left="288"/>
      </w:pPr>
      <w:r>
        <w:rPr>
          <w:color w:val="8C8C8C"/>
          <w:sz w:val="12"/>
        </w:rPr>
        <w:t>cf-art-22-inc-I</w:t>
      </w:r>
      <w:r>
        <w:rPr>
          <w:color w:val="003CA0"/>
          <w:sz w:val="12"/>
        </w:rPr>
        <w:t xml:space="preserve"> | ADI 5.876</w:t>
      </w:r>
      <w:r>
        <w:rPr>
          <w:color w:val="003CA0"/>
          <w:sz w:val="12"/>
        </w:rPr>
        <w:t xml:space="preserve"> | rel. Alexandre de Moraes</w:t>
      </w:r>
    </w:p>
    <w:p>
      <w:pPr>
        <w:ind w:left="288"/>
      </w:pPr>
      <w:r>
        <w:rPr>
          <w:color w:val="1E1E1E"/>
          <w:sz w:val="18"/>
        </w:rPr>
        <w:t>A Lei 17.115/2017 do Estado de Santa Catarina, ao reconhecer a profissão de condutor de ambulância, bem como estabelecer condicionantes ao exercício da atividade de remoção de acidentados e/ou deslocamento de pacientes em ambulâncias, disciplina matéria de competência legislativa privativa da União (CF, art. 22, I e XVI).</w:t>
      </w:r>
    </w:p>
    <w:p>
      <w:pPr>
        <w:ind w:left="288"/>
      </w:pPr>
      <w:r>
        <w:rPr>
          <w:b/>
          <w:color w:val="003CA0"/>
          <w:sz w:val="16"/>
        </w:rPr>
        <w:t>[ADI 5.876, rel. min. Alexandre de Moraes, j. 23-8-2019, P, DJE de 9-9-2019.]</w:t>
      </w:r>
    </w:p>
    <w:p>
      <w:pPr>
        <w:ind w:left="288"/>
      </w:pPr>
      <w:r>
        <w:rPr>
          <w:color w:val="8C8C8C"/>
          <w:sz w:val="12"/>
        </w:rPr>
        <w:t>cf-art-22-inc-I</w:t>
      </w:r>
      <w:r>
        <w:rPr>
          <w:color w:val="003CA0"/>
          <w:sz w:val="12"/>
        </w:rPr>
        <w:t xml:space="preserve"> | ADI 5.800</w:t>
      </w:r>
      <w:r>
        <w:rPr>
          <w:color w:val="003CA0"/>
          <w:sz w:val="12"/>
        </w:rPr>
        <w:t xml:space="preserve"> | rel. Luiz Fux</w:t>
      </w:r>
    </w:p>
    <w:p>
      <w:pPr>
        <w:ind w:left="288"/>
      </w:pPr>
      <w:r>
        <w:rPr>
          <w:color w:val="1E1E1E"/>
          <w:sz w:val="18"/>
        </w:rPr>
        <w:t>(...) a Lei 92/2010 do Estado do Amazonas estabeleceu a gratuidade para a execução pública de obras musicais e literomusicais e de fonogramas por associações, fundações ou instituições filantrópicas e aquelas oficialmente declaradas de utilidade pública estadual, sem fins lucrativos. Ao estipular hipóteses em que não se aplica o recolhimento dos valores pertinentes aos direitos autorais, fora do rol da Lei federal 9.610/1998, a lei estadual usurpou competência privativa da União e alijou os autores das obras musicais de seu direito exclusivo de utilização, publicação ou reprodução das obras ou</w:t>
      </w:r>
    </w:p>
    <w:p>
      <w:pPr>
        <w:ind w:left="288"/>
      </w:pPr>
      <w:r>
        <w:rPr>
          <w:b/>
          <w:color w:val="003CA0"/>
          <w:sz w:val="16"/>
        </w:rPr>
        <w:t>[ADI 4.820, rel. min. Dias Toffoli, j. 20-9-2018, P, DJE de 3-12-2018.]</w:t>
      </w:r>
    </w:p>
    <w:p>
      <w:pPr>
        <w:ind w:left="288"/>
      </w:pPr>
      <w:r>
        <w:rPr>
          <w:color w:val="8C8C8C"/>
          <w:sz w:val="12"/>
        </w:rPr>
        <w:t>cf-art-22-inc-I</w:t>
      </w:r>
      <w:r>
        <w:rPr>
          <w:color w:val="003CA0"/>
          <w:sz w:val="12"/>
        </w:rPr>
        <w:t xml:space="preserve"> | ADI 3.207</w:t>
      </w:r>
      <w:r>
        <w:rPr>
          <w:color w:val="003CA0"/>
          <w:sz w:val="12"/>
        </w:rPr>
        <w:t xml:space="preserve"> | rel. Alexandre de Moraes</w:t>
      </w:r>
    </w:p>
    <w:p>
      <w:pPr>
        <w:ind w:left="288"/>
      </w:pPr>
      <w:r>
        <w:rPr>
          <w:color w:val="1E1E1E"/>
          <w:sz w:val="18"/>
        </w:rPr>
        <w:t>A Lei 12.562/2004 do Estado de Pernambuco trata da operacionalização dos contratos de seguros atinentes à área da saúde, interferindo nas relações contratuais estabelecidas entre médicos e empresas. Consequentemente, tem por objeto normas de direito civil e de seguros, temas inseridos no rol de competências legislativas privativas da União (art. 22, I e VII, da CF). Os planos de saúde são equiparados à lógica dos contratos de seguro.</w:t>
      </w:r>
    </w:p>
    <w:p>
      <w:pPr>
        <w:ind w:left="288"/>
      </w:pPr>
      <w:r>
        <w:rPr>
          <w:b/>
          <w:color w:val="003CA0"/>
          <w:sz w:val="16"/>
        </w:rPr>
        <w:t>[ADI 3.207, rel. min. Alexandre de Moraes, j. 12-4-2018, P, DJE de 25-4-2018.]</w:t>
      </w:r>
    </w:p>
    <w:p>
      <w:pPr>
        <w:ind w:left="288"/>
      </w:pPr>
      <w:r>
        <w:rPr>
          <w:color w:val="8C8C8C"/>
          <w:sz w:val="12"/>
        </w:rPr>
        <w:t>cf-art-22-inc-I</w:t>
      </w:r>
      <w:r>
        <w:rPr>
          <w:color w:val="003CA0"/>
          <w:sz w:val="12"/>
        </w:rPr>
        <w:t xml:space="preserve"> | ADI 451</w:t>
      </w:r>
      <w:r>
        <w:rPr>
          <w:color w:val="003CA0"/>
          <w:sz w:val="12"/>
        </w:rPr>
        <w:t xml:space="preserve"> | rel. Roberto Barroso</w:t>
      </w:r>
    </w:p>
    <w:p>
      <w:pPr>
        <w:ind w:left="288"/>
      </w:pPr>
      <w:r>
        <w:rPr>
          <w:color w:val="1E1E1E"/>
          <w:sz w:val="18"/>
        </w:rPr>
        <w:t>Lei estadual que impõe a prestação de serviço segurança em estacionamento a toda pessoa física ou jurídica que disponibilize local para estacionamento é inconstitucional, quer por violação à competência privativa da União para legislar sobre direito civil, quer por violar a livre iniciativa.</w:t>
        <w:br/>
        <w:t>[ADI 451, rel. min. Roberto Barroso, j. 1º-8-2017, P, DJE de 9-3-2018.] A providência imposta pela lei estadual é inadequada porque a simples presença de um empacotador em supermercados não é uma medida que aumente a proteção dos direitos do consumidor, mas sim uma mera conveniência em benefício dos eventu</w:t>
      </w:r>
    </w:p>
    <w:p>
      <w:pPr>
        <w:ind w:left="288"/>
      </w:pPr>
      <w:r>
        <w:rPr>
          <w:b/>
          <w:color w:val="003CA0"/>
          <w:sz w:val="16"/>
        </w:rPr>
        <w:t>[ADI 907, rel. min. Alexandre de Moraes, j. 1º-8-2017, P, DJE de 24-11-2017.]</w:t>
      </w:r>
    </w:p>
    <w:p>
      <w:pPr>
        <w:ind w:left="288"/>
      </w:pPr>
      <w:r>
        <w:rPr>
          <w:color w:val="8C8C8C"/>
          <w:sz w:val="12"/>
        </w:rPr>
        <w:t>cf-art-22-inc-I</w:t>
      </w:r>
      <w:r>
        <w:rPr>
          <w:color w:val="003CA0"/>
          <w:sz w:val="12"/>
        </w:rPr>
        <w:t xml:space="preserve"> | ADI 3.605</w:t>
      </w:r>
      <w:r>
        <w:rPr>
          <w:color w:val="003CA0"/>
          <w:sz w:val="12"/>
        </w:rPr>
        <w:t xml:space="preserve"> | rel. Alexandre de Moraes</w:t>
      </w:r>
    </w:p>
    <w:p>
      <w:pPr>
        <w:ind w:left="288"/>
      </w:pPr>
      <w:r>
        <w:rPr>
          <w:color w:val="1E1E1E"/>
          <w:sz w:val="18"/>
        </w:rPr>
        <w:t>Lei estadual 3.594/2005, do Distrito Federal. Dispensa do pagamento de juros e multas de tributos e títulos obrigacionais vencidos no período de paralisação por greve. Inconstitucionalidade formal, por usurpação da competência da união em matéria de direito civil. (...) A lei distrital sob análise atinge todos os devedores e tem por objeto obrigações originadas por meio dos títulos que especifica; sendo, consequentemente, norma de direito civil, previsto como de competência privativa da União, nos termos do art. 22, I, da CF.</w:t>
        <w:br/>
        <w:t>[ADI 3.605, rel. min. Alexandre de Moraes, j. 30-6-2017, P, DJE 13-9</w:t>
      </w:r>
    </w:p>
    <w:p>
      <w:pPr>
        <w:ind w:left="288"/>
      </w:pPr>
      <w:r>
        <w:rPr>
          <w:b/>
          <w:color w:val="003CA0"/>
          <w:sz w:val="16"/>
        </w:rPr>
        <w:t>[ADI 1.807, rel. min. Dias Toffoli, j. 30-10-2014, P, DJE de 9-2-2015.]</w:t>
      </w:r>
    </w:p>
    <w:p>
      <w:pPr>
        <w:ind w:left="288"/>
      </w:pPr>
      <w:r>
        <w:rPr>
          <w:color w:val="8C8C8C"/>
          <w:sz w:val="12"/>
        </w:rPr>
        <w:t>cf-art-22-inc-I</w:t>
      </w:r>
      <w:r>
        <w:rPr>
          <w:color w:val="003CA0"/>
          <w:sz w:val="12"/>
        </w:rPr>
        <w:t xml:space="preserve"> | ADI 1.381</w:t>
      </w:r>
      <w:r>
        <w:rPr>
          <w:color w:val="003CA0"/>
          <w:sz w:val="12"/>
        </w:rPr>
        <w:t xml:space="preserve"> | rel. Dias Toffoli</w:t>
      </w:r>
    </w:p>
    <w:p>
      <w:pPr>
        <w:ind w:left="288"/>
      </w:pPr>
      <w:r>
        <w:rPr>
          <w:color w:val="1E1E1E"/>
          <w:sz w:val="18"/>
        </w:rPr>
        <w:t>Lei estadual 5.729/1995. (...) Elegibilidade do policial militar. Matéria de direito eleitoral. Competência legislativa da União (CF, art. 22, I, e art. 14, § 8º). (...) Ao dispor sobre o regime jurídico a que o policial militar estaria sujeito em caso de eleição para cargo público, a Lei estadual 5.729/1995 invadiu competência legislativa da União, prevista no art. 22, I, da Constituição.</w:t>
      </w:r>
    </w:p>
    <w:p>
      <w:pPr>
        <w:ind w:left="288"/>
      </w:pPr>
      <w:r>
        <w:rPr>
          <w:b/>
          <w:color w:val="003CA0"/>
          <w:sz w:val="16"/>
        </w:rPr>
        <w:t>[ADI 1.381, rel. min. Dias Toffoli, j. 21-8-2014, P, DJE de 9-10-2014.]</w:t>
      </w:r>
    </w:p>
    <w:p>
      <w:pPr>
        <w:ind w:left="288"/>
      </w:pPr>
      <w:r>
        <w:rPr>
          <w:color w:val="8C8C8C"/>
          <w:sz w:val="12"/>
        </w:rPr>
        <w:t>cf-art-22-inc-I</w:t>
      </w:r>
      <w:r>
        <w:rPr>
          <w:color w:val="003CA0"/>
          <w:sz w:val="12"/>
        </w:rPr>
        <w:t xml:space="preserve"> | ADI 4.701</w:t>
      </w:r>
      <w:r>
        <w:rPr>
          <w:color w:val="003CA0"/>
          <w:sz w:val="12"/>
        </w:rPr>
        <w:t xml:space="preserve"> | rel. Roberto Barroso</w:t>
      </w:r>
    </w:p>
    <w:p>
      <w:pPr>
        <w:ind w:left="288"/>
      </w:pPr>
      <w:r>
        <w:rPr>
          <w:color w:val="1E1E1E"/>
          <w:sz w:val="18"/>
        </w:rPr>
        <w:t>Lei estadual que fixa prazos máximos, segundo a faixa etária dos usuários, para a autorização de exames pelas operadoras de plano de saúde. (...) Por mais ampla que seja, a competência legislativa concorrente em matéria de defesa do consumidor (CF/1988, art. 24, V e VIII) não autoriza os Estados-membros a editarem normas acerca de relações contratuais, uma vez que essa atribuição está inserida na competência da União Federal para legislar sobre direito civil (CF/1988, art. 22, I).</w:t>
      </w:r>
    </w:p>
    <w:p>
      <w:pPr>
        <w:ind w:left="288"/>
      </w:pPr>
      <w:r>
        <w:rPr>
          <w:b/>
          <w:color w:val="003CA0"/>
          <w:sz w:val="16"/>
        </w:rPr>
        <w:t>[ADI 4.701, rel. min. Roberto Barroso, j. 13-8-2014, P, DJE de 25-8-2014.]</w:t>
      </w:r>
    </w:p>
    <w:p>
      <w:pPr>
        <w:ind w:left="288"/>
      </w:pPr>
      <w:r>
        <w:rPr>
          <w:color w:val="8C8C8C"/>
          <w:sz w:val="12"/>
        </w:rPr>
        <w:t>cf-art-22-inc-I</w:t>
      </w:r>
      <w:r>
        <w:rPr>
          <w:color w:val="003CA0"/>
          <w:sz w:val="12"/>
        </w:rPr>
        <w:t xml:space="preserve"> | ADI 5.104</w:t>
      </w:r>
      <w:r>
        <w:rPr>
          <w:color w:val="003CA0"/>
          <w:sz w:val="12"/>
        </w:rPr>
        <w:t xml:space="preserve"> | rel. Roberto Barroso</w:t>
      </w:r>
    </w:p>
    <w:p>
      <w:pPr>
        <w:ind w:left="288"/>
      </w:pPr>
      <w:r>
        <w:rPr>
          <w:color w:val="1E1E1E"/>
          <w:sz w:val="18"/>
        </w:rPr>
        <w:t>Resolução 23.396/2013 do TSE. Instituição de controle jurisdicional genérico e prévio à instauração de inquéritos policiais. (...) Inexistência de inconstitucionalidade formal em resolução do TSE que sistematiza as normas aplicáveis ao processo eleitoral. Competência normativa fundada no art. 23, IX, do Código Eleitoral e no art. 105 da Lei 9.504/1997.</w:t>
      </w:r>
    </w:p>
    <w:p>
      <w:pPr>
        <w:ind w:left="288"/>
      </w:pPr>
      <w:r>
        <w:rPr>
          <w:b/>
          <w:color w:val="003CA0"/>
          <w:sz w:val="16"/>
        </w:rPr>
        <w:t>[ADI 5.104 MC, rel. min. Roberto Barroso, j. 21-5-2014, P, DJE de 30-10-2014.]</w:t>
      </w:r>
    </w:p>
    <w:p>
      <w:pPr>
        <w:ind w:left="288"/>
      </w:pPr>
      <w:r>
        <w:rPr>
          <w:color w:val="8C8C8C"/>
          <w:sz w:val="12"/>
        </w:rPr>
        <w:t>cf-art-22-inc-I</w:t>
      </w:r>
      <w:r>
        <w:rPr>
          <w:color w:val="003CA0"/>
          <w:sz w:val="12"/>
        </w:rPr>
        <w:t xml:space="preserve"> | ADI 3.483</w:t>
      </w:r>
      <w:r>
        <w:rPr>
          <w:color w:val="003CA0"/>
          <w:sz w:val="12"/>
        </w:rPr>
        <w:t xml:space="preserve"> | rel. Dias Toffoli</w:t>
      </w:r>
    </w:p>
    <w:p>
      <w:pPr>
        <w:ind w:left="288"/>
      </w:pPr>
      <w:r>
        <w:rPr>
          <w:color w:val="1E1E1E"/>
          <w:sz w:val="18"/>
        </w:rPr>
        <w:t>Lei 7.716/2001 do Estado do Maranhão. Fixação de nova hipótese de prioridade, em qualquer instância, de tramitação processual para as causas em que for parte mulher vítima de violência doméstica. Vício formal. (...) A definição de regras sobre a tramitação das demandas judiciais e sua priorização, na medida em que reflete parte importante da prestação da atividade jurisdicional pelo Estado, é aspecto abrangido pelo ramo processual do direito, cuja positivação foi atribuída pela CF privativamente à União (art. 22, I, da CF/1988). A lei em comento, conquanto tenha alta carga de relevância social</w:t>
      </w:r>
    </w:p>
    <w:p>
      <w:pPr>
        <w:ind w:left="288"/>
      </w:pPr>
      <w:r>
        <w:rPr>
          <w:b/>
          <w:color w:val="003CA0"/>
          <w:sz w:val="16"/>
        </w:rPr>
        <w:t>[ADI 3.483, rel. min. Dias Toffoli, j. 3-4-2014, P, DJE de 14-5-2014.]</w:t>
      </w:r>
    </w:p>
    <w:p>
      <w:pPr>
        <w:ind w:left="288"/>
      </w:pPr>
      <w:r>
        <w:rPr>
          <w:color w:val="8C8C8C"/>
          <w:sz w:val="12"/>
        </w:rPr>
        <w:t>cf-art-22-inc-I</w:t>
      </w:r>
      <w:r>
        <w:rPr>
          <w:color w:val="003CA0"/>
          <w:sz w:val="12"/>
        </w:rPr>
        <w:t xml:space="preserve"> | ADI 144</w:t>
      </w:r>
      <w:r>
        <w:rPr>
          <w:color w:val="003CA0"/>
          <w:sz w:val="12"/>
        </w:rPr>
        <w:t xml:space="preserve"> | rel. Gilmar Mendes</w:t>
      </w:r>
    </w:p>
    <w:p>
      <w:pPr>
        <w:ind w:left="288"/>
      </w:pPr>
      <w:r>
        <w:rPr>
          <w:color w:val="1E1E1E"/>
          <w:sz w:val="18"/>
        </w:rPr>
        <w:t>(...) a fixação, pelas Constituições dos Estados, de data para o pagamento dos vencimentos dos servidores estaduais e a previsão de correção monetária em caso de atraso não afrontam a CF. (...) No entanto, como bem apontado no acórdão que julgou a medida liminar, a Constituição do Rio Grande do Norte estende a obrigação aos servidores municipais e aos empregados celetistas de empresas públicas e sociedades de economia mista. Nesse ponto, a discussão transfere-se para a preservação de dois importantes valores constitucionais: a autonomia municipal e a competência da União para legislar em matér</w:t>
      </w:r>
    </w:p>
    <w:p>
      <w:pPr>
        <w:ind w:left="288"/>
      </w:pPr>
      <w:r>
        <w:rPr>
          <w:b/>
          <w:color w:val="003CA0"/>
          <w:sz w:val="16"/>
        </w:rPr>
        <w:t>[ADI 144, voto do rel. min. Gilmar Mendes, j. 19-2-2014, P, DJE de 3-4-2014.]</w:t>
      </w:r>
    </w:p>
    <w:p>
      <w:pPr>
        <w:ind w:left="288"/>
      </w:pPr>
      <w:r>
        <w:rPr>
          <w:color w:val="8C8C8C"/>
          <w:sz w:val="12"/>
        </w:rPr>
        <w:t>cf-art-22-inc-I</w:t>
      </w:r>
      <w:r>
        <w:rPr>
          <w:color w:val="003CA0"/>
          <w:sz w:val="12"/>
        </w:rPr>
        <w:t xml:space="preserve"> | ADI 2.729</w:t>
      </w:r>
    </w:p>
    <w:p>
      <w:pPr>
        <w:ind w:left="288"/>
      </w:pPr>
      <w:r>
        <w:rPr>
          <w:color w:val="1E1E1E"/>
          <w:sz w:val="18"/>
        </w:rPr>
        <w:t>(...) a competência privativa da União para "autorizar e fiscalizar a produção e o comércio de material bélico" também engloba outros aspectos inerentes ao material bélico, como sua circulação em território nacional. (...) regulamentações atinentes ao registro e ao porte de arma também são de competência privativa da União, por ter direta relação com a competência de "autorizar e fiscalizar a produção e o comércio de material bélico" – e não apenas por tratar de matéria penal, cuja competência também é privativa da União (art. 22, I, da CF). Nesse sentido, compete privativamente à União, e não</w:t>
      </w:r>
    </w:p>
    <w:p>
      <w:pPr>
        <w:ind w:left="288"/>
      </w:pPr>
      <w:r>
        <w:rPr>
          <w:b/>
          <w:color w:val="003CA0"/>
          <w:sz w:val="16"/>
        </w:rPr>
        <w:t>[ADI 2.729, voto do red. do ac. min. Gilmar Mendes, j. 19-6-2013, P, DJE de 12-2-2014.]</w:t>
      </w:r>
    </w:p>
    <w:p>
      <w:pPr>
        <w:ind w:left="288"/>
      </w:pPr>
      <w:r>
        <w:rPr>
          <w:color w:val="8C8C8C"/>
          <w:sz w:val="12"/>
        </w:rPr>
        <w:t>cf-art-22-inc-I</w:t>
      </w:r>
      <w:r>
        <w:rPr>
          <w:color w:val="003CA0"/>
          <w:sz w:val="12"/>
        </w:rPr>
        <w:t xml:space="preserve"> | ADI 3.639</w:t>
      </w:r>
      <w:r>
        <w:rPr>
          <w:color w:val="003CA0"/>
          <w:sz w:val="12"/>
        </w:rPr>
        <w:t xml:space="preserve"> | rel. Joaquim Barbosa</w:t>
      </w:r>
    </w:p>
    <w:p>
      <w:pPr>
        <w:ind w:left="288"/>
      </w:pPr>
      <w:r>
        <w:rPr>
          <w:color w:val="1E1E1E"/>
          <w:sz w:val="18"/>
        </w:rPr>
        <w:t>O texto impugnado permite à administração utilizar em serviços de inteligência veículos particulares apreendidos. Como a regra não especifica os motivos pelos quais os veículos passíveis de utilização foram retirados da esfera de uso e gozo de seus proprietários, a permissão se estende aos veículos apreendidos não apenas em razão de infração de trânsito, mas de outras violações, como a da ordem tributária. Ao assim prescrever, a Lei 8.493/2004 viola o direito constitucional ao devido processo legal que leva à perda compulsória da propriedade ou do direito de uso e gozo (posse), cuja positivaçã</w:t>
      </w:r>
    </w:p>
    <w:p>
      <w:pPr>
        <w:ind w:left="288"/>
      </w:pPr>
      <w:r>
        <w:rPr>
          <w:b/>
          <w:color w:val="003CA0"/>
          <w:sz w:val="16"/>
        </w:rPr>
        <w:t>[ADI 3.639, voto do rel. min. Joaquim Barbosa, j. 23-5-2013, P, DJE de 7-10-2013.]</w:t>
      </w:r>
    </w:p>
    <w:p>
      <w:pPr>
        <w:ind w:left="288"/>
      </w:pPr>
      <w:r>
        <w:rPr>
          <w:color w:val="8C8C8C"/>
          <w:sz w:val="12"/>
        </w:rPr>
        <w:t>cf-art-22-inc-I</w:t>
      </w:r>
      <w:r>
        <w:rPr>
          <w:color w:val="003CA0"/>
          <w:sz w:val="12"/>
        </w:rPr>
        <w:t xml:space="preserve"> | ADI 4.414</w:t>
      </w:r>
      <w:r>
        <w:rPr>
          <w:color w:val="003CA0"/>
          <w:sz w:val="12"/>
        </w:rPr>
        <w:t xml:space="preserve"> | rel. Luiz Fux</w:t>
      </w:r>
    </w:p>
    <w:p>
      <w:pPr>
        <w:ind w:left="288"/>
      </w:pPr>
      <w:r>
        <w:rPr>
          <w:color w:val="1E1E1E"/>
          <w:sz w:val="18"/>
        </w:rPr>
        <w:t>Criação, por lei estadual, de varas especializadas em delitos praticados por organizações criminosas. (...) O conceito de "crime organizado" é matéria reservada à competência legislativa da União, tema interditado à lei estadual, à luz da repartição constitucional (art. 22, I, da CRFB). À lei estadual não é lícito, a pretexto de definir a competência da vara especializada, imiscuir-se na esfera privativa da União para legislar sobre regras de prevalência entre juízos (arts. 78 e 79 do CPP), matéria de caráter processual (art. 22, I, da CRFB).</w:t>
      </w:r>
    </w:p>
    <w:p>
      <w:pPr>
        <w:ind w:left="288"/>
      </w:pPr>
      <w:r>
        <w:rPr>
          <w:b/>
          <w:color w:val="003CA0"/>
          <w:sz w:val="16"/>
        </w:rPr>
        <w:t>[ADI 4.414, rel. min. Luiz Fux, j. 31-5-2012, P, DJE de 17-6-2013.]</w:t>
      </w:r>
    </w:p>
    <w:p>
      <w:pPr>
        <w:ind w:left="288"/>
      </w:pPr>
      <w:r>
        <w:rPr>
          <w:color w:val="8C8C8C"/>
          <w:sz w:val="12"/>
        </w:rPr>
        <w:t>cf-art-22-inc-I</w:t>
      </w:r>
      <w:r>
        <w:rPr>
          <w:color w:val="003CA0"/>
          <w:sz w:val="12"/>
        </w:rPr>
        <w:t xml:space="preserve"> | ADI 2.220</w:t>
      </w:r>
      <w:r>
        <w:rPr>
          <w:color w:val="003CA0"/>
          <w:sz w:val="12"/>
        </w:rPr>
        <w:t xml:space="preserve"> | rel. Cármen Lúcia</w:t>
      </w:r>
    </w:p>
    <w:p>
      <w:pPr>
        <w:ind w:left="288"/>
      </w:pPr>
      <w:r>
        <w:rPr>
          <w:color w:val="1E1E1E"/>
          <w:sz w:val="18"/>
        </w:rPr>
        <w:t>A definição das condutas típicas configuradoras do crime de responsabilidade e o estabelecimento de regras que disciplinem o processo e julgamento dos agentes políticos federais, estaduais ou municipais envolvidos são da competência legislativa privativa da União e devem ser tratados em lei nacional especial (art. 85 da Constituição da República).</w:t>
      </w:r>
    </w:p>
    <w:p>
      <w:pPr>
        <w:ind w:left="288"/>
      </w:pPr>
      <w:r>
        <w:rPr>
          <w:b/>
          <w:color w:val="003CA0"/>
          <w:sz w:val="16"/>
        </w:rPr>
        <w:t>[ADI 2.220, rel. min. Cármen Lúcia, j. 16-11-2011, P, DJE de 7-12-2011.]</w:t>
      </w:r>
    </w:p>
    <w:p>
      <w:pPr>
        <w:ind w:left="288"/>
      </w:pPr>
      <w:r>
        <w:rPr>
          <w:color w:val="8C8C8C"/>
          <w:sz w:val="12"/>
        </w:rPr>
        <w:t>cf-art-22-inc-I</w:t>
      </w:r>
      <w:r>
        <w:rPr>
          <w:color w:val="003CA0"/>
          <w:sz w:val="12"/>
        </w:rPr>
        <w:t xml:space="preserve"> | ADI 3.041</w:t>
      </w:r>
      <w:r>
        <w:rPr>
          <w:color w:val="003CA0"/>
          <w:sz w:val="12"/>
        </w:rPr>
        <w:t xml:space="preserve"> | rel. Ricardo Lewandowski</w:t>
      </w:r>
    </w:p>
    <w:p>
      <w:pPr>
        <w:ind w:left="288"/>
      </w:pPr>
      <w:r>
        <w:rPr>
          <w:color w:val="1E1E1E"/>
          <w:sz w:val="18"/>
        </w:rPr>
        <w:t>Ação direta de inconstitucionalidade. Arts. 2º, 3º e 4º da Lei 11.727/2002 do Estado do Rio Grande do Sul, que dispõe sobre "a prioridade, nos procedimentos a serem adotados pelo Ministério Público, Tribunal de Contas e por outros órgãos a respeito das conclusões das comissões parlamentares de inquérito". Existência de inconstitucionalidade formal porque, da análise dos artigos impugnados, verifica-se que estes atribuem deveres ao Ministério Público, especialmente os de informação e prioridade na tramitação processual, além de preverem sanções no caso de seu descumprimento, matérias que possue</w:t>
      </w:r>
    </w:p>
    <w:p>
      <w:pPr>
        <w:ind w:left="288"/>
      </w:pPr>
      <w:r>
        <w:rPr>
          <w:b/>
          <w:color w:val="003CA0"/>
          <w:sz w:val="16"/>
        </w:rPr>
        <w:t>[ADI 3.041, rel. min. Ricardo Lewandowski, j. 10-11-2011, P, DJE de 1º-2-2012.]</w:t>
      </w:r>
    </w:p>
    <w:p>
      <w:pPr>
        <w:ind w:left="288"/>
      </w:pPr>
      <w:r>
        <w:rPr>
          <w:color w:val="8C8C8C"/>
          <w:sz w:val="12"/>
        </w:rPr>
        <w:t>cf-art-22-inc-I</w:t>
      </w:r>
      <w:r>
        <w:rPr>
          <w:color w:val="003CA0"/>
          <w:sz w:val="12"/>
        </w:rPr>
        <w:t xml:space="preserve"> | ADI 4.391</w:t>
      </w:r>
      <w:r>
        <w:rPr>
          <w:color w:val="003CA0"/>
          <w:sz w:val="12"/>
        </w:rPr>
        <w:t xml:space="preserve"> | rel. Dias Toffoli</w:t>
      </w:r>
    </w:p>
    <w:p>
      <w:pPr>
        <w:ind w:left="288"/>
      </w:pPr>
      <w:r>
        <w:rPr>
          <w:color w:val="1E1E1E"/>
          <w:sz w:val="18"/>
        </w:rPr>
        <w:t>A competência legislativa do Estado do Rio de Janeiro para fixar piso salarial decorre da LC federal 103, de 2000, mediante a qual a União, valendo-se do disposto no art. 22, I e parágrafo único, da Carta Maior, delegou aos Estados e ao Distrito Federal a competência para instituir piso salarial para os empregados que não tenham esse mínimo definido em lei federal, convenção ou acordo coletivo de trabalho. Trata-se de lei estadual que consubstancia um exemplo típico de exercício, pelo legislador federado, da figura da competência privativa delegada. A expressão "que o fixe a maior", contida no</w:t>
      </w:r>
    </w:p>
    <w:p>
      <w:pPr>
        <w:ind w:left="288"/>
      </w:pPr>
      <w:r>
        <w:rPr>
          <w:b/>
          <w:color w:val="003CA0"/>
          <w:sz w:val="16"/>
        </w:rPr>
        <w:t>[ADI 4.391, rel. min. Dias Toffoli, j. 2-3-2011, P, DJE de 20-6-2011.]</w:t>
      </w:r>
    </w:p>
    <w:p>
      <w:pPr>
        <w:ind w:left="288"/>
      </w:pPr>
      <w:r>
        <w:rPr>
          <w:color w:val="8C8C8C"/>
          <w:sz w:val="12"/>
        </w:rPr>
        <w:t>cf-art-22-inc-I</w:t>
      </w:r>
      <w:r>
        <w:rPr>
          <w:color w:val="003CA0"/>
          <w:sz w:val="12"/>
        </w:rPr>
        <w:t xml:space="preserve"> | ADI 932</w:t>
      </w:r>
      <w:r>
        <w:rPr>
          <w:color w:val="003CA0"/>
          <w:sz w:val="12"/>
        </w:rPr>
        <w:t xml:space="preserve"> | rel. Ricardo Lewandowski</w:t>
      </w:r>
    </w:p>
    <w:p>
      <w:pPr>
        <w:ind w:left="288"/>
      </w:pPr>
      <w:r>
        <w:rPr>
          <w:color w:val="1E1E1E"/>
          <w:sz w:val="18"/>
        </w:rPr>
        <w:t>Dispositivo de lei estadual que apenas altera denominação de cargo ou estabelece prazo para reorganização interna da carreira do Ministério Público não afronta o art. 22 da CF. Não há qualquer inconstitucionalidade em dispositivo que revoga uma atribuição inconstitucional conferida ao Parquet, como a curadoria no processo civil de réu revel ou preso. Embora o art. 18 da LC 667/1991 tenha sido derrogado pelo art. 114 da LC 734/1993, o Tribunal recebeu a manifestação do Conselho Federal da OAB como aditamento à inicial, superando a preliminar de prejudicialidade, para conhecer da ação direta qua</w:t>
      </w:r>
    </w:p>
    <w:p>
      <w:pPr>
        <w:ind w:left="288"/>
      </w:pPr>
      <w:r>
        <w:rPr>
          <w:b/>
          <w:color w:val="003CA0"/>
          <w:sz w:val="16"/>
        </w:rPr>
        <w:t>[ADI 932, rel. min. Ricardo Lewandowski, j. 17-12-2010, P, DJE de 9-5-2011.]</w:t>
      </w:r>
    </w:p>
    <w:p>
      <w:pPr>
        <w:ind w:left="288"/>
      </w:pPr>
      <w:r>
        <w:rPr>
          <w:color w:val="8C8C8C"/>
          <w:sz w:val="12"/>
        </w:rPr>
        <w:t>cf-art-22-inc-I</w:t>
      </w:r>
      <w:r>
        <w:rPr>
          <w:color w:val="003CA0"/>
          <w:sz w:val="12"/>
        </w:rPr>
        <w:t xml:space="preserve"> | ADI 2.736</w:t>
      </w:r>
      <w:r>
        <w:rPr>
          <w:color w:val="003CA0"/>
          <w:sz w:val="12"/>
        </w:rPr>
        <w:t xml:space="preserve"> | rel. Cezar Peluso</w:t>
      </w:r>
    </w:p>
    <w:p>
      <w:pPr>
        <w:ind w:left="288"/>
      </w:pPr>
      <w:r>
        <w:rPr>
          <w:color w:val="1E1E1E"/>
          <w:sz w:val="18"/>
        </w:rPr>
        <w:t>É inconstitucional a medida provisória que, alterando lei, suprime condenação em honorários advocatícios, por sucumbência, nas ações entre o FGTS e titulares de contas vinculadas, bem como naquelas em que figurem os respectivos representantes ou substitutos processuais.</w:t>
        <w:br/>
        <w:t>[ADI 2.736, rel. min. Cezar Peluso, j. 8-9-2010, P, DJE de 29-3-2011.]</w:t>
        <w:br/>
        <w:t>= RE 581.160, rel. min. Ricardo Lewandowski, j. 20-6-2012, P, DJE de 23-8-2012, Tema 116 Instituição de Sistema de Gerenciamento dos Depósitos Judiciais. (...) Matéria que não se encontra entre aquelas reservadas à iniciativa legislativa do Poder Judiciário.</w:t>
      </w:r>
    </w:p>
    <w:p>
      <w:pPr>
        <w:ind w:left="288"/>
      </w:pPr>
      <w:r>
        <w:rPr>
          <w:b/>
          <w:color w:val="003CA0"/>
          <w:sz w:val="16"/>
        </w:rPr>
        <w:t>[ADI 2.909, rel. min. Ayres Britto, j. 12-5-2010, P, DJE de 11-6-2010.]</w:t>
      </w:r>
    </w:p>
    <w:p>
      <w:pPr>
        <w:ind w:left="288"/>
      </w:pPr>
      <w:r>
        <w:rPr>
          <w:color w:val="8C8C8C"/>
          <w:sz w:val="12"/>
        </w:rPr>
        <w:t>cf-art-22-inc-I</w:t>
      </w:r>
      <w:r>
        <w:rPr>
          <w:color w:val="003CA0"/>
          <w:sz w:val="12"/>
        </w:rPr>
        <w:t xml:space="preserve"> | ADI 2.855</w:t>
      </w:r>
      <w:r>
        <w:rPr>
          <w:color w:val="003CA0"/>
          <w:sz w:val="12"/>
        </w:rPr>
        <w:t xml:space="preserve"> | rel. Marco Aurélio</w:t>
      </w:r>
    </w:p>
    <w:p>
      <w:pPr>
        <w:ind w:left="288"/>
      </w:pPr>
      <w:r>
        <w:rPr>
          <w:color w:val="1E1E1E"/>
          <w:sz w:val="18"/>
        </w:rPr>
        <w:t>Vide ADI 2.855, rel. min. Marco Aurélio, j. 12-5-2010, P, DJE de 17-9-2010 Matéria concernente a relações de trabalho. Usurpação de competência privativa da União. Ofensa aos arts. 21, XXIV, e 22, I, da CF. Vício formal caracterizado. (...) É inconstitucional norma do Estado ou do Distrito Federal que disponha sobre proibição de revista íntima em empregados de estabelecimentos situados no respectivo território.</w:t>
      </w:r>
    </w:p>
    <w:p>
      <w:pPr>
        <w:ind w:left="288"/>
      </w:pPr>
      <w:r>
        <w:rPr>
          <w:b/>
          <w:color w:val="003CA0"/>
          <w:sz w:val="16"/>
        </w:rPr>
        <w:t>[ADI 2.947, rel. min. Cezar Peluso, j. 5-5-2010, P, DJE de 10-9-2010.]</w:t>
      </w:r>
    </w:p>
    <w:p>
      <w:pPr>
        <w:ind w:left="288"/>
      </w:pPr>
      <w:r>
        <w:rPr>
          <w:color w:val="8C8C8C"/>
          <w:sz w:val="12"/>
        </w:rPr>
        <w:t>cf-art-22-inc-I</w:t>
      </w:r>
      <w:r>
        <w:rPr>
          <w:color w:val="003CA0"/>
          <w:sz w:val="12"/>
        </w:rPr>
        <w:t xml:space="preserve"> | ADI 238</w:t>
      </w:r>
      <w:r>
        <w:rPr>
          <w:color w:val="003CA0"/>
          <w:sz w:val="12"/>
        </w:rPr>
        <w:t xml:space="preserve"> | rel. Joaquim Barbosa</w:t>
      </w:r>
    </w:p>
    <w:p>
      <w:pPr>
        <w:ind w:left="288"/>
      </w:pPr>
      <w:r>
        <w:rPr>
          <w:color w:val="1E1E1E"/>
          <w:sz w:val="18"/>
        </w:rPr>
        <w:t>Viola a reserva de lei para dispor sobre norma de direito comercial voltada à organização e estruturação das empresas públicas e das sociedades de economia mista norma constitucional estadual que estabelece número de vagas, nos órgãos de administração das pessoas jurídicas, para ser preenchidas por representantes dos empregados.</w:t>
      </w:r>
    </w:p>
    <w:p>
      <w:pPr>
        <w:ind w:left="288"/>
      </w:pPr>
      <w:r>
        <w:rPr>
          <w:b/>
          <w:color w:val="003CA0"/>
          <w:sz w:val="16"/>
        </w:rPr>
        <w:t>[ADI 238, rel. min. Joaquim Barbosa, j. 24-2-2010, P, DJE de 9-4-2010.]</w:t>
      </w:r>
    </w:p>
    <w:p>
      <w:pPr>
        <w:ind w:left="288"/>
      </w:pPr>
      <w:r>
        <w:rPr>
          <w:color w:val="8C8C8C"/>
          <w:sz w:val="12"/>
        </w:rPr>
        <w:t>cf-art-22-inc-I</w:t>
      </w:r>
      <w:r>
        <w:rPr>
          <w:color w:val="003CA0"/>
          <w:sz w:val="12"/>
        </w:rPr>
        <w:t xml:space="preserve"> | ADI 3.934</w:t>
      </w:r>
      <w:r>
        <w:rPr>
          <w:color w:val="003CA0"/>
          <w:sz w:val="12"/>
        </w:rPr>
        <w:t xml:space="preserve"> | rel. Ricardo Lewandowski</w:t>
      </w:r>
    </w:p>
    <w:p>
      <w:pPr>
        <w:ind w:left="288"/>
      </w:pPr>
      <w:r>
        <w:rPr>
          <w:color w:val="1E1E1E"/>
          <w:sz w:val="18"/>
        </w:rPr>
        <w:t>Com efeito, nos termos do art. 22, I, da CF, compete privativamente à União legislar sobre direito do trabalho, não estando ela obrigada a utilizar-se de lei complementar para disciplinar a matéria, que somente é exigida, nos termos do art. 7º, I, da mesma Carta, para regrar a dispensa imotivada.</w:t>
      </w:r>
    </w:p>
    <w:p>
      <w:pPr>
        <w:ind w:left="288"/>
      </w:pPr>
      <w:r>
        <w:rPr>
          <w:b/>
          <w:color w:val="003CA0"/>
          <w:sz w:val="16"/>
        </w:rPr>
        <w:t>[ADI 3.934, voto do rel. min. Ricardo Lewandowski, j. 27-5-2009, P, DJE de 6-11-2009.]</w:t>
      </w:r>
    </w:p>
    <w:p>
      <w:pPr>
        <w:ind w:left="288"/>
      </w:pPr>
      <w:r>
        <w:rPr>
          <w:color w:val="8C8C8C"/>
          <w:sz w:val="12"/>
        </w:rPr>
        <w:t>cf-art-22-inc-I</w:t>
      </w:r>
      <w:r>
        <w:rPr>
          <w:color w:val="003CA0"/>
          <w:sz w:val="12"/>
        </w:rPr>
        <w:t xml:space="preserve"> | ADI 3.999</w:t>
      </w:r>
      <w:r>
        <w:rPr>
          <w:color w:val="003CA0"/>
          <w:sz w:val="12"/>
        </w:rPr>
        <w:t xml:space="preserve"> | rel. Joaquim Barbosa</w:t>
      </w:r>
    </w:p>
    <w:p>
      <w:pPr>
        <w:ind w:left="288"/>
      </w:pPr>
      <w:r>
        <w:rPr>
          <w:color w:val="1E1E1E"/>
          <w:sz w:val="18"/>
        </w:rPr>
        <w:t>Fidelidade partidária. Ação direta de inconstitucionalidade ajuizada contra as Resoluções 22.610/2007 e 22.733/2008, que disciplinam a perda do cargo eletivo e o processo de justificação da desfiliação partidária. (...) Suposta usurpação de competência do Legislativo e do Executivo para dispor sobre matéria eleitoral (art. 22, I; arts. 48 e 84, IV, da Constituição), em virtude de o art. 1º da Resolução disciplinar de maneira inovadora a perda do cargo eletivo. Por estabelecer normas de caráter processual, como a forma da petição inicial e das provas (art. 3º), o prazo para a resposta e as cons</w:t>
      </w:r>
    </w:p>
    <w:p>
      <w:pPr>
        <w:ind w:left="288"/>
      </w:pPr>
      <w:r>
        <w:rPr>
          <w:b/>
          <w:color w:val="003CA0"/>
          <w:sz w:val="16"/>
        </w:rPr>
        <w:t>[ADI 3.999 e ADI 4.086, rel. min. Joaquim Barbosa, j. 12-11-2008, P, DJE de 17-4-2009.]</w:t>
      </w:r>
    </w:p>
    <w:p>
      <w:pPr>
        <w:ind w:left="288"/>
      </w:pPr>
      <w:r>
        <w:rPr>
          <w:color w:val="8C8C8C"/>
          <w:sz w:val="12"/>
        </w:rPr>
        <w:t>cf-art-22-inc-I</w:t>
      </w:r>
      <w:r>
        <w:rPr>
          <w:color w:val="003CA0"/>
          <w:sz w:val="12"/>
        </w:rPr>
        <w:t xml:space="preserve"> | ADI 3.896</w:t>
      </w:r>
      <w:r>
        <w:rPr>
          <w:color w:val="003CA0"/>
          <w:sz w:val="12"/>
        </w:rPr>
        <w:t xml:space="preserve"> | rel. Cármen Lúcia</w:t>
      </w:r>
    </w:p>
    <w:p>
      <w:pPr>
        <w:ind w:left="288"/>
      </w:pPr>
      <w:r>
        <w:rPr>
          <w:color w:val="1E1E1E"/>
          <w:sz w:val="18"/>
        </w:rPr>
        <w:t xml:space="preserve">Art. 32, IV, da Lei sergipana 4.122/1999, que confere a delegado de polícia a prerrogativa de ajustar com o juiz ou a autoridade competente a data, a hora e o local em que será ouvido como testemunha ou ofendido em processos e inquéritos. (...) É competência privativa da União legislar sobre direito processual (...). A persecução criminal, da qual fazem parte o inquérito policial e a ação penal, rege-se pelo direito processual penal. Apesar de caracterizar o inquérito policial uma fase preparatória e até dispensável da ação penal, por estar diretamente ligado à instrução processual que haverá </w:t>
      </w:r>
    </w:p>
    <w:p>
      <w:pPr>
        <w:ind w:left="288"/>
      </w:pPr>
      <w:r>
        <w:rPr>
          <w:b/>
          <w:color w:val="003CA0"/>
          <w:sz w:val="16"/>
        </w:rPr>
        <w:t>[ADI 3.896, rel. min. Cármen Lúcia, j. 4-6-2008, P, DJE de 8-8-2008.]</w:t>
      </w:r>
    </w:p>
    <w:p>
      <w:pPr>
        <w:ind w:left="288"/>
      </w:pPr>
      <w:r>
        <w:rPr>
          <w:color w:val="8C8C8C"/>
          <w:sz w:val="12"/>
        </w:rPr>
        <w:t>cf-art-22-inc-I</w:t>
      </w:r>
      <w:r>
        <w:rPr>
          <w:color w:val="003CA0"/>
          <w:sz w:val="12"/>
        </w:rPr>
        <w:t xml:space="preserve"> | ADI 2.875</w:t>
      </w:r>
      <w:r>
        <w:rPr>
          <w:color w:val="003CA0"/>
          <w:sz w:val="12"/>
        </w:rPr>
        <w:t xml:space="preserve"> | rel. Ricardo Lewandowski</w:t>
      </w:r>
    </w:p>
    <w:p>
      <w:pPr>
        <w:ind w:left="288"/>
      </w:pPr>
      <w:r>
        <w:rPr>
          <w:color w:val="1E1E1E"/>
          <w:sz w:val="18"/>
        </w:rPr>
        <w:t>Lei distrital. Notificação mensal à Secretaria de Saúde. Casos de câncer de pele. Obrigação imposta a médicos públicos e particulares. (...) Dispositivo da lei distrital que imputa responsabilidade civil ao médico por falta de notificação caracteriza ofensa ao art. 22, I, da CF, que consigna ser competência exclusiva da União legislar acerca dessa matéria.</w:t>
      </w:r>
    </w:p>
    <w:p>
      <w:pPr>
        <w:ind w:left="288"/>
      </w:pPr>
      <w:r>
        <w:rPr>
          <w:b/>
          <w:color w:val="003CA0"/>
          <w:sz w:val="16"/>
        </w:rPr>
        <w:t>[ADI 2.875, rel. min. Ricardo Lewandowski, j. 4-6-2008, P, DJE de 20-6-2008.]</w:t>
      </w:r>
    </w:p>
    <w:p>
      <w:pPr>
        <w:ind w:left="288"/>
      </w:pPr>
      <w:r>
        <w:rPr>
          <w:color w:val="8C8C8C"/>
          <w:sz w:val="12"/>
        </w:rPr>
        <w:t>cf-art-22-inc-I</w:t>
      </w:r>
      <w:r>
        <w:rPr>
          <w:color w:val="003CA0"/>
          <w:sz w:val="12"/>
        </w:rPr>
        <w:t xml:space="preserve"> | ADI 1.980</w:t>
      </w:r>
      <w:r>
        <w:rPr>
          <w:color w:val="003CA0"/>
          <w:sz w:val="12"/>
        </w:rPr>
        <w:t xml:space="preserve"> | rel. Sydney Sanches) no sentido de que não invade esfera de competência da União</w:t>
      </w:r>
    </w:p>
    <w:p>
      <w:pPr>
        <w:ind w:left="288"/>
      </w:pPr>
      <w:r>
        <w:rPr>
          <w:color w:val="1E1E1E"/>
          <w:sz w:val="18"/>
        </w:rPr>
        <w:t xml:space="preserve">Ação direta de inconstitucionalidade contra a Lei paranaense 13.519, de 8-4-2002, que estabelece obrigatoriedade de informação, conforme especifica, nos rótulos de embalagens de café comercializado no Paraná. (...) Não há usurpação de competência da União para legislar sobre direito comercial e comércio interestadual porque o ato normativo impugnado buscou, tão somente, assegurar a proteção ao consumidor. Precedente deste Tribunal (ADI 1.980 MC, rel. min. Sydney Sanches) no sentido de que não invade esfera de competência da União, para legislar sobre normas gerais, lei paranaense que assegura </w:t>
      </w:r>
    </w:p>
    <w:p>
      <w:pPr>
        <w:ind w:left="288"/>
      </w:pPr>
      <w:r>
        <w:rPr>
          <w:b/>
          <w:color w:val="003CA0"/>
          <w:sz w:val="16"/>
        </w:rPr>
        <w:t>[ADI 2.832, rel. min. Ricardo Lewandowski, j. 7-5-2008, P, DJE de 20-6-2008.]</w:t>
      </w:r>
    </w:p>
    <w:p>
      <w:pPr>
        <w:ind w:left="288"/>
      </w:pPr>
      <w:r>
        <w:rPr>
          <w:color w:val="8C8C8C"/>
          <w:sz w:val="12"/>
        </w:rPr>
        <w:t>cf-art-22-inc-I</w:t>
      </w:r>
      <w:r>
        <w:rPr>
          <w:color w:val="003CA0"/>
          <w:sz w:val="12"/>
        </w:rPr>
        <w:t xml:space="preserve"> | ADI 1.980</w:t>
      </w:r>
      <w:r>
        <w:rPr>
          <w:color w:val="003CA0"/>
          <w:sz w:val="12"/>
        </w:rPr>
        <w:t xml:space="preserve"> | rel. Cezar Peluso</w:t>
      </w:r>
    </w:p>
    <w:p>
      <w:pPr>
        <w:ind w:left="288"/>
      </w:pPr>
      <w:r>
        <w:rPr>
          <w:color w:val="1E1E1E"/>
          <w:sz w:val="18"/>
        </w:rPr>
        <w:t>= ADI 1.980, rel. min. Cezar Peluso, j. 16-4-2009, P, DJE de 7-8-2009 Lei distrital 3.136/2003, que "disciplina a atividade de transporte de bagagens nos terminais rodoviários do Distrito Federal". (...) Com relação à alegação de violação ao art. 22, I, da CF, na linha da jurisprudência do STF, é o caso de declarar a inconstitucionalidade formal da Lei distrital 3.136/2003, em razão da incompetência legislativa das unidades da Federação para legislar sobre direito do trabalho.</w:t>
      </w:r>
    </w:p>
    <w:p>
      <w:pPr>
        <w:ind w:left="288"/>
      </w:pPr>
      <w:r>
        <w:rPr>
          <w:b/>
          <w:color w:val="003CA0"/>
          <w:sz w:val="16"/>
        </w:rPr>
        <w:t>[ADI 3.587, rel. min. Gilmar Mendes, j. 12-12-2007, P, DJE de 22-2-2008.]</w:t>
      </w:r>
    </w:p>
    <w:p>
      <w:pPr>
        <w:ind w:left="288"/>
      </w:pPr>
      <w:r>
        <w:rPr>
          <w:color w:val="8C8C8C"/>
          <w:sz w:val="12"/>
        </w:rPr>
        <w:t>cf-art-22-inc-I</w:t>
      </w:r>
      <w:r>
        <w:rPr>
          <w:color w:val="003CA0"/>
          <w:sz w:val="12"/>
        </w:rPr>
        <w:t xml:space="preserve"> | ADI 2.487</w:t>
      </w:r>
      <w:r>
        <w:rPr>
          <w:color w:val="003CA0"/>
          <w:sz w:val="12"/>
        </w:rPr>
        <w:t xml:space="preserve"> | rel. Joaquim Barbosa</w:t>
      </w:r>
    </w:p>
    <w:p>
      <w:pPr>
        <w:ind w:left="288"/>
      </w:pPr>
      <w:r>
        <w:rPr>
          <w:color w:val="1E1E1E"/>
          <w:sz w:val="18"/>
        </w:rPr>
        <w:t>A Lei  11.562/2000, não obstante o louvável conteúdo material de combate à discriminação contra a mulher no mercado de trabalho, incide em inconstitucionalidade formal, por invadir a competência da União para legislar sobre direito do trabalho.</w:t>
      </w:r>
    </w:p>
    <w:p>
      <w:pPr>
        <w:ind w:left="288"/>
      </w:pPr>
      <w:r>
        <w:rPr>
          <w:b/>
          <w:color w:val="003CA0"/>
          <w:sz w:val="16"/>
        </w:rPr>
        <w:t>[ADI 2.487, rel. min. Joaquim Barbosa, j. 30-8-2007, P, DJE de 28-3-2008.]</w:t>
      </w:r>
    </w:p>
    <w:p>
      <w:pPr>
        <w:ind w:left="288"/>
      </w:pPr>
      <w:r>
        <w:rPr>
          <w:color w:val="8C8C8C"/>
          <w:sz w:val="12"/>
        </w:rPr>
        <w:t>cf-art-22-inc-I</w:t>
      </w:r>
      <w:r>
        <w:rPr>
          <w:color w:val="003CA0"/>
          <w:sz w:val="12"/>
        </w:rPr>
        <w:t xml:space="preserve"> | ADI 3.165</w:t>
      </w:r>
      <w:r>
        <w:rPr>
          <w:color w:val="003CA0"/>
          <w:sz w:val="12"/>
        </w:rPr>
        <w:t xml:space="preserve"> | rel. Dias Toffoli</w:t>
      </w:r>
    </w:p>
    <w:p>
      <w:pPr>
        <w:ind w:left="288"/>
      </w:pPr>
      <w:r>
        <w:rPr>
          <w:color w:val="1E1E1E"/>
          <w:sz w:val="18"/>
        </w:rPr>
        <w:t>= ADI 3.165, rel. min. Dias Toffoli, j. 11-11-2015, P, DJE de 10-5-2016 Lei 1.314, de 1º-4-2004, do Estado de Rondônia, que impõe às empresas de construção civil, com obras no Estado, a obrigação de fornecer leite, café e pão com manteiga aos trabalhadores que comparecerem com antecedência mínima de quinze minutos ao seu primeiro turno de labor. Usurpação da competência da União para legislar sobre direito do trabalho (inciso I do art. 22).</w:t>
      </w:r>
    </w:p>
    <w:p>
      <w:pPr>
        <w:ind w:left="288"/>
      </w:pPr>
      <w:r>
        <w:rPr>
          <w:b/>
          <w:color w:val="003CA0"/>
          <w:sz w:val="16"/>
        </w:rPr>
        <w:t>[ADI 3.251, rel. min. Ayres Britto, j. 18-6-2007, P, DJ de 19-10-2007.]</w:t>
      </w:r>
    </w:p>
    <w:p>
      <w:pPr>
        <w:ind w:left="288"/>
      </w:pPr>
      <w:r>
        <w:rPr>
          <w:color w:val="8C8C8C"/>
          <w:sz w:val="12"/>
        </w:rPr>
        <w:t>cf-art-22-inc-I</w:t>
      </w:r>
      <w:r>
        <w:rPr>
          <w:color w:val="003CA0"/>
          <w:sz w:val="12"/>
        </w:rPr>
        <w:t xml:space="preserve"> | ADI 104</w:t>
      </w:r>
      <w:r>
        <w:rPr>
          <w:color w:val="003CA0"/>
          <w:sz w:val="12"/>
        </w:rPr>
        <w:t xml:space="preserve"> | rel. Sepúlveda Pertence</w:t>
      </w:r>
    </w:p>
    <w:p>
      <w:pPr>
        <w:ind w:left="288"/>
      </w:pPr>
      <w:r>
        <w:rPr>
          <w:color w:val="1E1E1E"/>
          <w:sz w:val="18"/>
        </w:rPr>
        <w:t>Anistia de infrações disciplinares de servidores estaduais: competência do Estado-membro respectivo. Só quando se cuidar de anistia de crimes – que se caracteriza como abolitio criminis de efeito temporário e só retroativo – a competência exclusiva da União se harmoniza com a competência federal privativa para legislar sobre direito penal (...).</w:t>
      </w:r>
    </w:p>
    <w:p>
      <w:pPr>
        <w:ind w:left="288"/>
      </w:pPr>
      <w:r>
        <w:rPr>
          <w:b/>
          <w:color w:val="003CA0"/>
          <w:sz w:val="16"/>
        </w:rPr>
        <w:t>[ADI 104, rel. min. Sepúlveda Pertence, j. 4-6-2007, P, DJ de 24-8-2007.]</w:t>
      </w:r>
    </w:p>
    <w:p>
      <w:pPr>
        <w:ind w:left="288"/>
      </w:pPr>
      <w:r>
        <w:rPr>
          <w:color w:val="8C8C8C"/>
          <w:sz w:val="12"/>
        </w:rPr>
        <w:t>cf-art-22-inc-I</w:t>
      </w:r>
      <w:r>
        <w:rPr>
          <w:color w:val="003CA0"/>
          <w:sz w:val="12"/>
        </w:rPr>
        <w:t xml:space="preserve"> | ADI 3.394</w:t>
      </w:r>
      <w:r>
        <w:rPr>
          <w:color w:val="003CA0"/>
          <w:sz w:val="12"/>
        </w:rPr>
        <w:t xml:space="preserve"> | rel. Eros Grau</w:t>
      </w:r>
    </w:p>
    <w:p>
      <w:pPr>
        <w:ind w:left="288"/>
      </w:pPr>
      <w:r>
        <w:rPr>
          <w:color w:val="1E1E1E"/>
          <w:sz w:val="18"/>
        </w:rPr>
        <w:t>Teste de maternidade e paternidade. Realização gratuita. (...) O disposto no inciso I consubstancia matéria de índole processual – concessão definitiva do benefício à assistência judiciária gratuita – tema a ser disciplinado pela União.</w:t>
      </w:r>
    </w:p>
    <w:p>
      <w:pPr>
        <w:ind w:left="288"/>
      </w:pPr>
      <w:r>
        <w:rPr>
          <w:b/>
          <w:color w:val="003CA0"/>
          <w:sz w:val="16"/>
        </w:rPr>
        <w:t>[ADI 3.394, rel. min. Eros Grau, j. 2-4-2007, P, DJE de 15-8-2008.]</w:t>
      </w:r>
    </w:p>
    <w:p>
      <w:pPr>
        <w:ind w:left="288"/>
      </w:pPr>
      <w:r>
        <w:rPr>
          <w:color w:val="8C8C8C"/>
          <w:sz w:val="12"/>
        </w:rPr>
        <w:t>cf-art-22-inc-I</w:t>
      </w:r>
      <w:r>
        <w:rPr>
          <w:color w:val="003CA0"/>
          <w:sz w:val="12"/>
        </w:rPr>
        <w:t xml:space="preserve"> | ADI 3.710</w:t>
      </w:r>
      <w:r>
        <w:rPr>
          <w:color w:val="003CA0"/>
          <w:sz w:val="12"/>
        </w:rPr>
        <w:t xml:space="preserve"> | rel. Joaquim Barbosa</w:t>
      </w:r>
    </w:p>
    <w:p>
      <w:pPr>
        <w:ind w:left="288"/>
      </w:pPr>
      <w:r>
        <w:rPr>
          <w:color w:val="1E1E1E"/>
          <w:sz w:val="18"/>
        </w:rPr>
        <w:t>O ato normativo atacado prevê a isenção de pagamento por serviço de estacionamento não apenas em estabelecimentos de ensino, mas também em outros estabelecimentos não representados pela entidade autora. Tratando-se de alegação de inconstitucionalidade formal da norma atacada, torna-se inviável a cisão da ação para dela conhecer apenas em relação aos dispositivos que guardem pertinência temática com os estabelecimentos de ensino. Inconstitucionalidade formal. Competência privativa da União.</w:t>
      </w:r>
    </w:p>
    <w:p>
      <w:pPr>
        <w:ind w:left="288"/>
      </w:pPr>
      <w:r>
        <w:rPr>
          <w:b/>
          <w:color w:val="003CA0"/>
          <w:sz w:val="16"/>
        </w:rPr>
        <w:t>[ADI 3.710, rel. min. Joaquim Barbosa, j. 9-2-2007, P, DJ de 27-4-2007.]</w:t>
      </w:r>
    </w:p>
    <w:p>
      <w:pPr>
        <w:ind w:left="288"/>
      </w:pPr>
      <w:r>
        <w:rPr>
          <w:color w:val="8C8C8C"/>
          <w:sz w:val="12"/>
        </w:rPr>
        <w:t>cf-art-22-inc-I</w:t>
      </w:r>
      <w:r>
        <w:rPr>
          <w:color w:val="003CA0"/>
          <w:sz w:val="12"/>
        </w:rPr>
        <w:t xml:space="preserve"> | AI 742.679</w:t>
      </w:r>
      <w:r>
        <w:rPr>
          <w:color w:val="003CA0"/>
          <w:sz w:val="12"/>
        </w:rPr>
        <w:t xml:space="preserve"> | rel. Ricardo Lewandowski</w:t>
      </w:r>
    </w:p>
    <w:p>
      <w:pPr>
        <w:ind w:left="288"/>
      </w:pPr>
      <w:r>
        <w:rPr>
          <w:color w:val="1E1E1E"/>
          <w:sz w:val="18"/>
        </w:rPr>
        <w:t>= AI 742.679 AgR, rel. min. Ricardo Lewandowski, j. 27-9-2011, 2ª T, DJE de 11-10-2011 Lei estadual que regula obrigações relativas a serviços de assistência médico-hospitalar regidos por contratos de natureza privada, universalizando a cobertura de doenças (Lei 11.446/1997 do Estado de Pernambuco). Vício formal. Competência privativa da União para legislar sobre direito civil, comercial e sobre política de seguros (CF, art. 22, I e VII).</w:t>
      </w:r>
    </w:p>
    <w:p>
      <w:pPr>
        <w:ind w:left="288"/>
      </w:pPr>
      <w:r>
        <w:rPr>
          <w:b/>
          <w:color w:val="003CA0"/>
          <w:sz w:val="16"/>
        </w:rPr>
        <w:t>[ADI 1.646, rel. min. Gilmar Mendes, j. 2-8-2006, P, DJ de 7-12-2006.]</w:t>
      </w:r>
    </w:p>
    <w:p>
      <w:pPr>
        <w:ind w:left="288"/>
      </w:pPr>
      <w:r>
        <w:rPr>
          <w:color w:val="8C8C8C"/>
          <w:sz w:val="12"/>
        </w:rPr>
        <w:t>cf-art-22-inc-I</w:t>
      </w:r>
      <w:r>
        <w:rPr>
          <w:color w:val="003CA0"/>
          <w:sz w:val="12"/>
        </w:rPr>
        <w:t xml:space="preserve"> | ADI 1.595</w:t>
      </w:r>
      <w:r>
        <w:rPr>
          <w:color w:val="003CA0"/>
          <w:sz w:val="12"/>
        </w:rPr>
        <w:t xml:space="preserve"> | rel. Eros Grau</w:t>
      </w:r>
    </w:p>
    <w:p>
      <w:pPr>
        <w:ind w:left="288"/>
      </w:pPr>
      <w:r>
        <w:rPr>
          <w:color w:val="1E1E1E"/>
          <w:sz w:val="18"/>
        </w:rPr>
        <w:t>= ADI 1.595, rel. min. Eros Grau, j. 3-3-2005, P, DJ de 7-12-2006 Com o advento da CF de 1988, delimitou-se, de forma mais criteriosa, o campo de regulamentação das leis e o dos regimentos internos dos tribunais, cabendo a estes últimos o respeito à reserva de lei federal para a edição de regras de natureza processual (CF, art. 22, I), bem como às garantias processuais das partes, "dispondo sobre a competência e o funcionamento dos respectivos órgãos jurisdicionais e administrativos" (CF, art. 96, I, a). São normas de direito processual as relativas às garantias do contraditório, do devido pro</w:t>
      </w:r>
    </w:p>
    <w:p>
      <w:pPr>
        <w:ind w:left="288"/>
      </w:pPr>
      <w:r>
        <w:rPr>
          <w:b/>
          <w:color w:val="003CA0"/>
          <w:sz w:val="16"/>
        </w:rPr>
        <w:t>[ADI 2.970, rel. min. Ellen Gracie, j. 20-4-2006, P, DJ de 12-5-2006.]</w:t>
      </w:r>
    </w:p>
    <w:p>
      <w:pPr>
        <w:ind w:left="288"/>
      </w:pPr>
      <w:r>
        <w:rPr>
          <w:color w:val="8C8C8C"/>
          <w:sz w:val="12"/>
        </w:rPr>
        <w:t>cf-art-22-inc-I</w:t>
      </w:r>
      <w:r>
        <w:rPr>
          <w:color w:val="003CA0"/>
          <w:sz w:val="12"/>
        </w:rPr>
        <w:t xml:space="preserve"> | ADI 2.278</w:t>
      </w:r>
      <w:r>
        <w:rPr>
          <w:color w:val="003CA0"/>
          <w:sz w:val="12"/>
        </w:rPr>
        <w:t xml:space="preserve"> | rel. Eros Grau</w:t>
      </w:r>
    </w:p>
    <w:p>
      <w:pPr>
        <w:ind w:left="288"/>
      </w:pPr>
      <w:r>
        <w:rPr>
          <w:color w:val="1E1E1E"/>
          <w:sz w:val="18"/>
        </w:rPr>
        <w:t>Não ofende à CF ato normativo do TRE que veda a utilização de simuladores de urna eletrônica como veículo de propaganda eleitoral. Contudo, a determinação para a aplicação da penalidade estabelecida no art. 347 do Código Eleitoral aos infratores do comando normativo em análise ofende a competência da União para legislar sobre direito penal (art. 22, I, da CF/1988).</w:t>
      </w:r>
    </w:p>
    <w:p>
      <w:pPr>
        <w:ind w:left="288"/>
      </w:pPr>
      <w:r>
        <w:rPr>
          <w:b/>
          <w:color w:val="003CA0"/>
          <w:sz w:val="16"/>
        </w:rPr>
        <w:t>[ADI 2.278, red. do ac. min. Joaquim Barbosa, rel. min. Eros Grau, j. 15-2-2006, P, DJ de 10-11-2006.]</w:t>
      </w:r>
    </w:p>
    <w:p>
      <w:pPr>
        <w:ind w:left="288"/>
      </w:pPr>
      <w:r>
        <w:rPr>
          <w:color w:val="8C8C8C"/>
          <w:sz w:val="12"/>
        </w:rPr>
        <w:t>cf-art-22-inc-I</w:t>
      </w:r>
      <w:r>
        <w:rPr>
          <w:color w:val="003CA0"/>
          <w:sz w:val="12"/>
        </w:rPr>
        <w:t xml:space="preserve"> | ADI 3.438</w:t>
      </w:r>
      <w:r>
        <w:rPr>
          <w:color w:val="003CA0"/>
          <w:sz w:val="12"/>
        </w:rPr>
        <w:t xml:space="preserve"> | rel. Carlos Velloso</w:t>
      </w:r>
    </w:p>
    <w:p>
      <w:pPr>
        <w:ind w:left="288"/>
      </w:pPr>
      <w:r>
        <w:rPr>
          <w:color w:val="1E1E1E"/>
          <w:sz w:val="18"/>
        </w:rPr>
        <w:t>Normas que cuidam dos institutos da posse, da aquisição de propriedade por decurso do tempo (prescrição aquisitiva) e de títulos legitimadores de propriedade são de direito civil, da competência legislativa da União. CF, art. 22, I.</w:t>
      </w:r>
    </w:p>
    <w:p>
      <w:pPr>
        <w:ind w:left="288"/>
      </w:pPr>
      <w:r>
        <w:rPr>
          <w:b/>
          <w:color w:val="003CA0"/>
          <w:sz w:val="16"/>
        </w:rPr>
        <w:t>[ADI 3.438, rel. min. Carlos Velloso, j. 19-12-2005, P, DJ de 17-2-2006.]</w:t>
      </w:r>
    </w:p>
    <w:p>
      <w:pPr>
        <w:ind w:left="288"/>
      </w:pPr>
      <w:r>
        <w:rPr>
          <w:color w:val="8C8C8C"/>
          <w:sz w:val="12"/>
        </w:rPr>
        <w:t>cf-art-22-inc-I</w:t>
      </w:r>
      <w:r>
        <w:rPr>
          <w:color w:val="003CA0"/>
          <w:sz w:val="12"/>
        </w:rPr>
        <w:t xml:space="preserve"> | ADI 1.007</w:t>
      </w:r>
      <w:r>
        <w:rPr>
          <w:color w:val="003CA0"/>
          <w:sz w:val="12"/>
        </w:rPr>
        <w:t xml:space="preserve"> | rel. Eros Grau</w:t>
      </w:r>
    </w:p>
    <w:p>
      <w:pPr>
        <w:ind w:left="288"/>
      </w:pPr>
      <w:r>
        <w:rPr>
          <w:color w:val="1E1E1E"/>
          <w:sz w:val="18"/>
        </w:rPr>
        <w:t>Mensalidades escolares. Fixação da data de vencimento. Matéria de direito contratual. (...) Nos termos do art. 22, I, da Constituição do Brasil, compete à União legislar sobre direito civil.</w:t>
      </w:r>
    </w:p>
    <w:p>
      <w:pPr>
        <w:ind w:left="288"/>
      </w:pPr>
      <w:r>
        <w:rPr>
          <w:b/>
          <w:color w:val="003CA0"/>
          <w:sz w:val="16"/>
        </w:rPr>
        <w:t>[ADI 1.007, rel. min. Eros Grau, j. 31-8-2005, P, DJ de 24-2-2006.]</w:t>
      </w:r>
    </w:p>
    <w:p>
      <w:pPr>
        <w:ind w:left="288"/>
      </w:pPr>
      <w:r>
        <w:rPr>
          <w:color w:val="8C8C8C"/>
          <w:sz w:val="12"/>
        </w:rPr>
        <w:t>cf-art-22-inc-I</w:t>
      </w:r>
      <w:r>
        <w:rPr>
          <w:color w:val="003CA0"/>
          <w:sz w:val="12"/>
        </w:rPr>
        <w:t xml:space="preserve"> | ADI 1.042</w:t>
      </w:r>
      <w:r>
        <w:rPr>
          <w:color w:val="003CA0"/>
          <w:sz w:val="12"/>
        </w:rPr>
        <w:t xml:space="preserve"> | rel. Cezar Peluso</w:t>
      </w:r>
    </w:p>
    <w:p>
      <w:pPr>
        <w:ind w:left="288"/>
      </w:pPr>
      <w:r>
        <w:rPr>
          <w:color w:val="1E1E1E"/>
          <w:sz w:val="18"/>
        </w:rPr>
        <w:t>= ADI 1.042, rel. min. Cezar Peluso, j. 12-8-2009, P, DJE de 6-11-2009 À União, nos termos do disposto no art. 22, I, da Constituição do Brasil, compete privativamente legislar sobre direito processual. Lei estadual que dispõe sobre atos de juiz, direcionando sua atuação em face de situações específicas, tem natureza processual e não meramente procedimental.</w:t>
      </w:r>
    </w:p>
    <w:p>
      <w:pPr>
        <w:ind w:left="288"/>
      </w:pPr>
      <w:r>
        <w:rPr>
          <w:b/>
          <w:color w:val="003CA0"/>
          <w:sz w:val="16"/>
        </w:rPr>
        <w:t>[ADI 2.257, rel. min. Eros Grau, j. 6-4-2005, P, DJ de 26-8-2005.]</w:t>
      </w:r>
    </w:p>
    <w:p>
      <w:pPr>
        <w:ind w:left="288"/>
      </w:pPr>
      <w:r>
        <w:rPr>
          <w:color w:val="8C8C8C"/>
          <w:sz w:val="12"/>
        </w:rPr>
        <w:t>cf-art-22-inc-I</w:t>
      </w:r>
      <w:r>
        <w:rPr>
          <w:color w:val="003CA0"/>
          <w:sz w:val="12"/>
        </w:rPr>
        <w:t xml:space="preserve"> | ADI 2.655</w:t>
      </w:r>
      <w:r>
        <w:rPr>
          <w:color w:val="003CA0"/>
          <w:sz w:val="12"/>
        </w:rPr>
        <w:t xml:space="preserve"> | rel. Ellen Gracie</w:t>
      </w:r>
    </w:p>
    <w:p>
      <w:pPr>
        <w:ind w:left="288"/>
      </w:pPr>
      <w:r>
        <w:rPr>
          <w:color w:val="1E1E1E"/>
          <w:sz w:val="18"/>
        </w:rPr>
        <w:t>Invade a competência da União norma estadual que disciplina matéria referente ao valor que deva ser dado a uma causa, tema especificamente inserido no campo do direito processual.</w:t>
      </w:r>
    </w:p>
    <w:p>
      <w:pPr>
        <w:ind w:left="288"/>
      </w:pPr>
      <w:r>
        <w:rPr>
          <w:b/>
          <w:color w:val="003CA0"/>
          <w:sz w:val="16"/>
        </w:rPr>
        <w:t>[ADI 2.655, rel. min. Ellen Gracie, j. 9-3-2004, P, DJ de 26-3-2004.]</w:t>
      </w:r>
    </w:p>
    <w:p>
      <w:pPr>
        <w:ind w:left="288"/>
      </w:pPr>
      <w:r>
        <w:rPr>
          <w:color w:val="8C8C8C"/>
          <w:sz w:val="12"/>
        </w:rPr>
        <w:t>cf-art-22-inc-I</w:t>
      </w:r>
      <w:r>
        <w:rPr>
          <w:color w:val="003CA0"/>
          <w:sz w:val="12"/>
        </w:rPr>
        <w:t xml:space="preserve"> | ADI 2.212</w:t>
      </w:r>
      <w:r>
        <w:rPr>
          <w:color w:val="003CA0"/>
          <w:sz w:val="12"/>
        </w:rPr>
        <w:t xml:space="preserve"> | rel. Ellen Gracie</w:t>
      </w:r>
    </w:p>
    <w:p>
      <w:pPr>
        <w:ind w:left="288"/>
      </w:pPr>
      <w:r>
        <w:rPr>
          <w:color w:val="1E1E1E"/>
          <w:sz w:val="18"/>
        </w:rPr>
        <w:t>Natureza jurídica da reclamação não é a de um recurso, de uma ação e nem de um incidente processual. Situa-se ela no âmbito do direito constitucional de petição previsto no art. 5º, XXXIV, da CF. Em consequência, a sua adoção pelo Estado-membro, pela via legislativa local, não implica em invasão da competência privativa da União para legislar sobre direito processual (art. 22, I, da CF).</w:t>
      </w:r>
    </w:p>
    <w:p>
      <w:pPr>
        <w:ind w:left="288"/>
      </w:pPr>
      <w:r>
        <w:rPr>
          <w:b/>
          <w:color w:val="003CA0"/>
          <w:sz w:val="16"/>
        </w:rPr>
        <w:t>[ADI 2.212, rel. min. Ellen Gracie, j. 2-10-2003, P, DJ de 14-11-2003.]</w:t>
      </w:r>
    </w:p>
    <w:p>
      <w:pPr>
        <w:ind w:left="288"/>
      </w:pPr>
      <w:r>
        <w:rPr>
          <w:color w:val="8C8C8C"/>
          <w:sz w:val="12"/>
        </w:rPr>
        <w:t>cf-art-22-inc-I</w:t>
      </w:r>
      <w:r>
        <w:rPr>
          <w:color w:val="003CA0"/>
          <w:sz w:val="12"/>
        </w:rPr>
        <w:t xml:space="preserve"> | ADI 601</w:t>
      </w:r>
      <w:r>
        <w:rPr>
          <w:color w:val="003CA0"/>
          <w:sz w:val="12"/>
        </w:rPr>
        <w:t xml:space="preserve"> | rel. Ilmar Galvão</w:t>
      </w:r>
    </w:p>
    <w:p>
      <w:pPr>
        <w:ind w:left="288"/>
      </w:pPr>
      <w:r>
        <w:rPr>
          <w:color w:val="1E1E1E"/>
          <w:sz w:val="18"/>
        </w:rPr>
        <w:t>Edição, comercialização e distribuição do vale-transporte. Contrariedade ao art. 22, I, da Carta da República. A norma fluminense sob enfoque, ao dispor sobre direito de índole trabalhista, regulado por legislação federal própria (Lei 7.418/1985), invadiu competência legislativa da União, expressa no mencionado dispositivo da Carta da República.</w:t>
      </w:r>
    </w:p>
    <w:p>
      <w:pPr>
        <w:ind w:left="288"/>
      </w:pPr>
      <w:r>
        <w:rPr>
          <w:b/>
          <w:color w:val="003CA0"/>
          <w:sz w:val="16"/>
        </w:rPr>
        <w:t>[ADI 601, rel. min. Ilmar Galvão, j. 1º-8-2002, P, DJ de 20-9-2002.]</w:t>
      </w:r>
    </w:p>
    <w:p>
      <w:pPr>
        <w:ind w:left="288"/>
      </w:pPr>
      <w:r>
        <w:rPr>
          <w:color w:val="8C8C8C"/>
          <w:sz w:val="12"/>
        </w:rPr>
        <w:t>cf-art-22-inc-I</w:t>
      </w:r>
      <w:r>
        <w:rPr>
          <w:color w:val="003CA0"/>
          <w:sz w:val="12"/>
        </w:rPr>
        <w:t xml:space="preserve"> | ADI 1.918</w:t>
      </w:r>
      <w:r>
        <w:rPr>
          <w:color w:val="003CA0"/>
          <w:sz w:val="12"/>
        </w:rPr>
        <w:t xml:space="preserve"> | rel. Maurício Corrêa</w:t>
      </w:r>
    </w:p>
    <w:p>
      <w:pPr>
        <w:ind w:left="288"/>
      </w:pPr>
      <w:r>
        <w:rPr>
          <w:color w:val="1E1E1E"/>
          <w:sz w:val="18"/>
        </w:rPr>
        <w:t>Estacionamento de veículos em áreas particulares. Lei estadual que limita o valor das quantias cobradas pelo seu uso. Direito civil. Invasão de competência privativa da União. Hipótese de inconstitucionalidade formal por invasão de competência privativa da União para legislar sobre direito civil (CF, art. 22, I). Enquanto a União regula o direito de propriedade e estabelece as regras substantivas de intervenção no domínio econômico, os outros níveis de governo apenas exercem o policiamento administrativo do uso da propriedade e da atividade econômica dos particulares, tendo em vista, sempre, a</w:t>
      </w:r>
    </w:p>
    <w:p>
      <w:pPr>
        <w:ind w:left="288"/>
      </w:pPr>
      <w:r>
        <w:rPr>
          <w:b/>
          <w:color w:val="003CA0"/>
          <w:sz w:val="16"/>
        </w:rPr>
        <w:t>[ADI 1.918, rel. min. Maurício Corrêa, j. 23-8-2001, P, DJ de 1º-8-2003.]</w:t>
      </w:r>
    </w:p>
    <w:p>
      <w:pPr>
        <w:ind w:left="288"/>
      </w:pPr>
      <w:r>
        <w:rPr>
          <w:color w:val="8C8C8C"/>
          <w:sz w:val="12"/>
        </w:rPr>
        <w:t>cf-art-22-inc-I</w:t>
      </w:r>
      <w:r>
        <w:rPr>
          <w:color w:val="003CA0"/>
          <w:sz w:val="12"/>
        </w:rPr>
        <w:t xml:space="preserve"> | ADI 4.862</w:t>
      </w:r>
      <w:r>
        <w:rPr>
          <w:color w:val="003CA0"/>
          <w:sz w:val="12"/>
        </w:rPr>
        <w:t xml:space="preserve"> | rel. Gilmar Mendes</w:t>
      </w:r>
    </w:p>
    <w:p>
      <w:pPr>
        <w:ind w:left="288"/>
      </w:pPr>
      <w:r>
        <w:rPr>
          <w:color w:val="1E1E1E"/>
          <w:sz w:val="18"/>
        </w:rPr>
        <w:t>= ADI 4.862, rel. min. Gilmar Mendes, j. 18-8-2016, P, DJE de 7-2-2017 É irrecusável, de um lado, que a disciplina normativa pertinente a questões de direito eleitoral insere-se na competência legislativa da União Federal. Essa competência normativa, definida ratione materiae, decorre da regra inscrita no art. 22, I, da Constituição da República, que atribui ao poder central competência para legislar privativamente sobre direito eleitoral. Ocorre que, salvo melhor juízo, a escolha do governador e do vice-governador de Estado, para efeito de exercício residual do mandato político, na hipótese d</w:t>
      </w:r>
    </w:p>
    <w:p>
      <w:pPr>
        <w:ind w:left="288"/>
      </w:pPr>
      <w:r>
        <w:rPr>
          <w:b/>
          <w:color w:val="003CA0"/>
          <w:sz w:val="16"/>
        </w:rPr>
        <w:t>[ADI 1.057 MC, voto do rel. min. Celso de Mello, j. 20-4-1994, P, DJ de 6-4-2001.]</w:t>
      </w:r>
    </w:p>
    <w:p>
      <w:pPr>
        <w:ind w:left="288"/>
      </w:pPr>
      <w:r>
        <w:rPr>
          <w:color w:val="8C8C8C"/>
          <w:sz w:val="12"/>
        </w:rPr>
        <w:t>cf-art-22-inc-I</w:t>
      </w:r>
      <w:r>
        <w:rPr>
          <w:color w:val="003CA0"/>
          <w:sz w:val="12"/>
        </w:rPr>
        <w:t xml:space="preserve"> | ADI 4.298</w:t>
      </w:r>
      <w:r>
        <w:rPr>
          <w:color w:val="003CA0"/>
          <w:sz w:val="12"/>
        </w:rPr>
        <w:t xml:space="preserve"> | rel. Cezar Peluso</w:t>
      </w:r>
    </w:p>
    <w:p>
      <w:pPr>
        <w:ind w:left="288"/>
      </w:pPr>
      <w:r>
        <w:rPr>
          <w:color w:val="1E1E1E"/>
          <w:sz w:val="18"/>
        </w:rPr>
        <w:t>= ADI 4.298 MC, rel. min. Cezar Peluso, j. 7-10-2009, P, DJE de 27-11-2009</w:t>
      </w:r>
    </w:p>
    <w:p>
      <w:pPr>
        <w:ind w:left="144"/>
      </w:pPr>
      <w:r>
        <w:rPr>
          <w:b/>
          <w:color w:val="B45A00"/>
          <w:sz w:val="16"/>
        </w:rPr>
        <w:t>REPERCUSSAO GERAL</w:t>
      </w:r>
    </w:p>
    <w:p>
      <w:pPr>
        <w:ind w:left="288"/>
      </w:pPr>
      <w:r>
        <w:rPr>
          <w:color w:val="8C8C8C"/>
          <w:sz w:val="12"/>
        </w:rPr>
        <w:t>cf-art-22-inc-I</w:t>
      </w:r>
      <w:r>
        <w:rPr>
          <w:color w:val="003CA0"/>
          <w:sz w:val="12"/>
        </w:rPr>
        <w:t xml:space="preserve"> | RE 581.160</w:t>
      </w:r>
      <w:r>
        <w:rPr>
          <w:color w:val="003CA0"/>
          <w:sz w:val="12"/>
        </w:rPr>
        <w:t xml:space="preserve"> | rel. Ricardo Lewandowski</w:t>
      </w:r>
    </w:p>
    <w:p>
      <w:pPr>
        <w:ind w:left="288"/>
      </w:pPr>
      <w:r>
        <w:rPr>
          <w:color w:val="1E1E1E"/>
          <w:sz w:val="18"/>
        </w:rPr>
        <w:t xml:space="preserve">(...) a matéria relativa à condenação em honorários advocatícios possui natureza processual civil, e a jurisprudência desta Corte, antes mesmo da vedação imposta pela EC 32/2001, não admitia a utilização de medida provisória para disciplinar questões processuais; d) a competência para legislar sobre matéria de índole processual civil é privativa da União Federal, no âmbito do Poder Legislativo (art. 22, I, da CF). </w:t>
        <w:br/>
        <w:t>[RE 581.160, voto do rel. min. Ricardo Lewandowski, j. 20-6-2012, P, DJE de 23-8-2012, Tema 116.]</w:t>
        <w:br/>
        <w:t>= ADI 2.736, rel. min. Cezar Peluso, j. 8-9-2010, P, DJE de 29-3-2011</w:t>
      </w:r>
    </w:p>
    <w:p>
      <w:pPr>
        <w:ind w:left="144"/>
      </w:pPr>
      <w:r>
        <w:rPr>
          <w:b/>
          <w:color w:val="B45A00"/>
          <w:sz w:val="16"/>
        </w:rPr>
        <w:t>JULGADOS CORRELATOS</w:t>
      </w:r>
    </w:p>
    <w:p>
      <w:pPr>
        <w:ind w:left="288"/>
      </w:pPr>
      <w:r>
        <w:rPr>
          <w:color w:val="8C8C8C"/>
          <w:sz w:val="12"/>
        </w:rPr>
        <w:t>cf-art-22-inc-I</w:t>
      </w:r>
      <w:r>
        <w:rPr>
          <w:color w:val="003CA0"/>
          <w:sz w:val="12"/>
        </w:rPr>
        <w:t xml:space="preserve"> | ARE 1.472.813</w:t>
      </w:r>
      <w:r>
        <w:rPr>
          <w:color w:val="003CA0"/>
          <w:sz w:val="12"/>
        </w:rPr>
        <w:t xml:space="preserve"> | rel. Alexandre de Moraes</w:t>
      </w:r>
    </w:p>
    <w:p>
      <w:pPr>
        <w:ind w:left="288"/>
      </w:pPr>
      <w:r>
        <w:rPr>
          <w:color w:val="1E1E1E"/>
          <w:sz w:val="18"/>
        </w:rPr>
        <w:t>Ao estabelecer que os matadouros e matadouros-frigoríficos em atividade no Estado de Rondônia instalem balanças eletrônicas pelos frigoríficos, a fim de promover a transparência dos resultados das pesagens de carcaças de animais abatidos, o conteúdo versado na norma questionada não interfere no núcleo essencial do Direito Civil, de modo que não usurpa a competência privativa da União estabelecida no art. 22, I, da Constituição Federal de 1988.</w:t>
        <w:br/>
        <w:t>[ARE 1.472.813 AgR, rel. min. Alexandre de Moraes, j. 05.06.2024, 1ª T, DJE de 11.06.2024.] Na espécie, o Tribunal de origem reconheceu a inconstitucion</w:t>
      </w:r>
    </w:p>
    <w:p>
      <w:pPr>
        <w:ind w:left="288"/>
      </w:pPr>
      <w:r>
        <w:rPr>
          <w:b/>
          <w:color w:val="003CA0"/>
          <w:sz w:val="16"/>
        </w:rPr>
        <w:t>[ARE 1.481.151, rel. min. Gilmar Mendes, j. 24.02.2024, P, DJE de 25.03.2025.]</w:t>
      </w:r>
    </w:p>
    <w:p>
      <w:pPr>
        <w:ind w:left="288"/>
      </w:pPr>
      <w:r>
        <w:rPr>
          <w:color w:val="8C8C8C"/>
          <w:sz w:val="12"/>
        </w:rPr>
        <w:t>cf-art-22-inc-I</w:t>
      </w:r>
      <w:r>
        <w:rPr>
          <w:color w:val="003CA0"/>
          <w:sz w:val="12"/>
        </w:rPr>
        <w:t xml:space="preserve"> | RE 1.453.495</w:t>
      </w:r>
      <w:r>
        <w:rPr>
          <w:color w:val="003CA0"/>
          <w:sz w:val="12"/>
        </w:rPr>
        <w:t xml:space="preserve"> | rel. Cristiano Zanin</w:t>
      </w:r>
    </w:p>
    <w:p>
      <w:pPr>
        <w:ind w:left="288"/>
      </w:pPr>
      <w:r>
        <w:rPr>
          <w:color w:val="1E1E1E"/>
          <w:sz w:val="18"/>
        </w:rPr>
        <w:t>A Lei Municipal 17.830/2022, ao prever a cobrança de multa ou aplicação de qualquer penalidade pela perda ou extravio do comprovante fornecido pelos estacionamentos de veículos de propriedade privada, violou o art. 22, I, da Constituição Federal. Verifica-se, no caso, a inconstitucionalidade formal da mencionada lei, pois a competência para legislar sobre direito civil é privativa da União.</w:t>
        <w:br/>
        <w:t>[RE 1.453.495 ED-AgR, rel. min. Cristiano Zanin, j. 27-11-2023, 1ª T, DJE de 1º-12-2023.] A competência legislativa atribuída aos Municípios se restringe a seus servidores estatutários. Não abrange ela os e</w:t>
      </w:r>
    </w:p>
    <w:p>
      <w:pPr>
        <w:ind w:left="288"/>
      </w:pPr>
      <w:r>
        <w:rPr>
          <w:b/>
          <w:color w:val="003CA0"/>
          <w:sz w:val="16"/>
        </w:rPr>
        <w:t>[HC 90.900, red. do ac. min. Menezes Direito, rel. min. Ellen Gracie, j. 30-10-2008, P, DJE de 23-10-2009.]</w:t>
      </w:r>
    </w:p>
    <w:p>
      <w:pPr>
        <w:ind w:left="288"/>
      </w:pPr>
      <w:r>
        <w:rPr>
          <w:color w:val="8C8C8C"/>
          <w:sz w:val="12"/>
        </w:rPr>
        <w:t>cf-art-22-inc-I</w:t>
      </w:r>
      <w:r>
        <w:rPr>
          <w:color w:val="003CA0"/>
          <w:sz w:val="12"/>
        </w:rPr>
        <w:t xml:space="preserve"> | RE 405.031</w:t>
      </w:r>
      <w:r>
        <w:rPr>
          <w:color w:val="003CA0"/>
          <w:sz w:val="12"/>
        </w:rPr>
        <w:t xml:space="preserve"> | rel. Marco Aurélio</w:t>
      </w:r>
    </w:p>
    <w:p>
      <w:pPr>
        <w:ind w:left="288"/>
      </w:pPr>
      <w:r>
        <w:rPr>
          <w:color w:val="1E1E1E"/>
          <w:sz w:val="18"/>
        </w:rPr>
        <w:t>No tocante ao cabimento da reclamação no processo trabalhista, observem que, de há muito, o Supremo assentou a necessidade de esse instrumento estar previsto em lei no sentido formal e material, não cabendo criá-lo por meio de regimento interno. (...) Cumpre, no âmbito federal, ao Congresso Nacional dispor a respeito, ainda que o faça, ante a origem da regência do processo do trabalho, mediante lei ordinária. Relativamente ao Supremo e ao STJ, porque o campo de atuação dessas Cortes está delimitado na própria Carta Federal, a reclamação foi prevista, respectivamente, no art. 102, I,  l, e no a</w:t>
      </w:r>
    </w:p>
    <w:p>
      <w:pPr>
        <w:ind w:left="288"/>
      </w:pPr>
      <w:r>
        <w:rPr>
          <w:b/>
          <w:color w:val="003CA0"/>
          <w:sz w:val="16"/>
        </w:rPr>
        <w:t>[RE 405.031, voto do rel. min. Marco Aurélio, j. 15-10-2008, P, DJE de 17-4-2009.]</w:t>
      </w:r>
    </w:p>
    <w:p>
      <w:pPr>
        <w:ind w:left="288"/>
      </w:pPr>
      <w:r>
        <w:rPr>
          <w:color w:val="8C8C8C"/>
          <w:sz w:val="12"/>
        </w:rPr>
        <w:t>cf-art-22-inc-I</w:t>
      </w:r>
      <w:r>
        <w:rPr>
          <w:color w:val="003CA0"/>
          <w:sz w:val="12"/>
        </w:rPr>
        <w:t xml:space="preserve"> | RE 464.935</w:t>
      </w:r>
      <w:r>
        <w:rPr>
          <w:color w:val="003CA0"/>
          <w:sz w:val="12"/>
        </w:rPr>
        <w:t xml:space="preserve"> | rel. Cezar Peluso</w:t>
      </w:r>
    </w:p>
    <w:p>
      <w:pPr>
        <w:ind w:left="288"/>
      </w:pPr>
      <w:r>
        <w:rPr>
          <w:color w:val="1E1E1E"/>
          <w:sz w:val="18"/>
        </w:rPr>
        <w:t>Inteligência dos arts. 22, I, e 125, § 1º, da CF. Não afronta a Constituição da República a norma de Constituição estadual que, disciplinando competência originária do Tribunal de Justiça, lha atribui para processar e julgar vereador.</w:t>
      </w:r>
    </w:p>
    <w:p>
      <w:pPr>
        <w:ind w:left="288"/>
      </w:pPr>
      <w:r>
        <w:rPr>
          <w:b/>
          <w:color w:val="003CA0"/>
          <w:sz w:val="16"/>
        </w:rPr>
        <w:t>[RE 464.935, rel. min. Cezar Peluso, j. 3-6-2008, 2ª T, DJE de 27-6-2008.]</w:t>
      </w:r>
    </w:p>
    <w:p>
      <w:pPr>
        <w:ind w:left="288"/>
      </w:pPr>
      <w:r>
        <w:rPr>
          <w:color w:val="8C8C8C"/>
          <w:sz w:val="12"/>
        </w:rPr>
        <w:t>cf-art-22-inc-I</w:t>
      </w:r>
      <w:r>
        <w:rPr>
          <w:color w:val="003CA0"/>
          <w:sz w:val="12"/>
        </w:rPr>
        <w:t xml:space="preserve"> | RE 164.715</w:t>
      </w:r>
      <w:r>
        <w:rPr>
          <w:color w:val="003CA0"/>
          <w:sz w:val="12"/>
        </w:rPr>
        <w:t xml:space="preserve"> | rel. Sepúlveda Pertence</w:t>
      </w:r>
    </w:p>
    <w:p>
      <w:pPr>
        <w:ind w:left="288"/>
      </w:pPr>
      <w:r>
        <w:rPr>
          <w:color w:val="1E1E1E"/>
          <w:sz w:val="18"/>
        </w:rPr>
        <w:t>Direito do trabalho: Legislação federal sobre reajuste de salário ("gatilho salarial"): incidência direta sobre as relações contratuais trabalhistas do Estado-membro e suas autarquias. No âmbito da competência privativa da União para legislar sobre direito do trabalho – que abrange as normas de reajuste salarial compulsório –, a lei federal incide diretamente sobre as relações contratuais dos servidores dos Estados, dos Municípios e das respectivas autarquias: uma coisa é repelir – por força da autonomia do Estado ou da vedação de vinculações remuneratórias – que a legislação local possa atrel</w:t>
      </w:r>
    </w:p>
    <w:p>
      <w:pPr>
        <w:ind w:left="288"/>
      </w:pPr>
      <w:r>
        <w:rPr>
          <w:b/>
          <w:color w:val="003CA0"/>
          <w:sz w:val="16"/>
        </w:rPr>
        <w:t>[RE 164.715, rel. min. Sepúlveda Pertence, j. 13-6-1996, P, DJ de 21-2-1997.]</w:t>
      </w:r>
    </w:p>
    <w:p>
      <w:pPr>
        <w:ind w:left="288"/>
      </w:pPr>
      <w:r>
        <w:rPr>
          <w:color w:val="8C8C8C"/>
          <w:sz w:val="12"/>
        </w:rPr>
        <w:t>cf-art-22-inc-I</w:t>
      </w:r>
      <w:r>
        <w:rPr>
          <w:color w:val="003CA0"/>
          <w:sz w:val="12"/>
        </w:rPr>
        <w:t xml:space="preserve"> | RE 632.713</w:t>
      </w:r>
      <w:r>
        <w:rPr>
          <w:color w:val="003CA0"/>
          <w:sz w:val="12"/>
        </w:rPr>
        <w:t xml:space="preserve"> | rel. Ayres Britto</w:t>
      </w:r>
    </w:p>
    <w:p>
      <w:pPr>
        <w:ind w:left="288"/>
      </w:pPr>
      <w:r>
        <w:rPr>
          <w:color w:val="1E1E1E"/>
          <w:sz w:val="18"/>
        </w:rPr>
        <w:t>Vide RE 632.713 AgR, rel. min. Ayres Britto, j. 17-5-2011, 2ª T, DJE de 26-8-2011 Da Constituição do Estado de São Paulo (art. 74, IV), em combinação com o art. 96, III, da CF, resulta a competência originária do tribunal de justiça para julgar habeas corpus quando a coação ou ameaça seja atribuída a membro do Ministério Público local; nesse ponto, o preceito da Constituição estadual não ofende a competência privativa da União para legislar sobre direito processual.</w:t>
      </w:r>
    </w:p>
    <w:p>
      <w:pPr>
        <w:ind w:left="288"/>
      </w:pPr>
      <w:r>
        <w:rPr>
          <w:b/>
          <w:color w:val="003CA0"/>
          <w:sz w:val="16"/>
        </w:rPr>
        <w:t>[RE 141.209, rel. min. Sepúlveda Pertence, j. 4-2-1992, 1ª T, DJ de 20-3-1992.]</w:t>
      </w:r>
    </w:p>
    <w:p>
      <w:pPr>
        <w:ind w:left="144"/>
      </w:pPr>
      <w:r>
        <w:rPr>
          <w:b/>
          <w:color w:val="B45A00"/>
          <w:sz w:val="16"/>
        </w:rPr>
        <w:t>CONTROLE CONCENTRADO</w:t>
      </w:r>
    </w:p>
    <w:p>
      <w:pPr>
        <w:ind w:left="288"/>
      </w:pPr>
      <w:r>
        <w:rPr>
          <w:color w:val="8C8C8C"/>
          <w:sz w:val="12"/>
        </w:rPr>
        <w:t>cf-art-22-inc-II</w:t>
      </w:r>
      <w:r>
        <w:rPr>
          <w:color w:val="003CA0"/>
          <w:sz w:val="12"/>
        </w:rPr>
        <w:t xml:space="preserve"> | ADI 969</w:t>
      </w:r>
      <w:r>
        <w:rPr>
          <w:color w:val="003CA0"/>
          <w:sz w:val="12"/>
        </w:rPr>
        <w:t xml:space="preserve"> | rel. Joaquim Barbosa</w:t>
      </w:r>
    </w:p>
    <w:p>
      <w:pPr>
        <w:ind w:left="288"/>
      </w:pPr>
      <w:r>
        <w:rPr>
          <w:color w:val="1E1E1E"/>
          <w:sz w:val="18"/>
        </w:rPr>
        <w:t>É inconstitucional, por invadir a competência legislativa da União e violar o princípio da separação dos poderes, norma distrital que submeta as desapropriações, no âmbito do Distrito Federal, à aprovação prévia da Câmara Legislativa do Distrito Federal.</w:t>
      </w:r>
    </w:p>
    <w:p>
      <w:pPr>
        <w:ind w:left="288"/>
      </w:pPr>
      <w:r>
        <w:rPr>
          <w:b/>
          <w:color w:val="003CA0"/>
          <w:sz w:val="16"/>
        </w:rPr>
        <w:t>[ADI 969, rel. min. Joaquim Barbosa, j. 27-9-2006, P, DJ de 20-10-2006.]</w:t>
      </w:r>
    </w:p>
    <w:p>
      <w:pPr>
        <w:ind w:left="288"/>
      </w:pPr>
      <w:r>
        <w:rPr>
          <w:color w:val="8C8C8C"/>
          <w:sz w:val="12"/>
        </w:rPr>
        <w:t>cf-art-22-inc-III</w:t>
      </w:r>
      <w:r>
        <w:rPr>
          <w:color w:val="003CA0"/>
          <w:sz w:val="12"/>
        </w:rPr>
        <w:t xml:space="preserve"> | ADI 3.639</w:t>
      </w:r>
      <w:r>
        <w:rPr>
          <w:color w:val="003CA0"/>
          <w:sz w:val="12"/>
        </w:rPr>
        <w:t xml:space="preserve"> | rel. Joaquim Barbosa</w:t>
      </w:r>
    </w:p>
    <w:p>
      <w:pPr>
        <w:ind w:left="288"/>
      </w:pPr>
      <w:r>
        <w:rPr>
          <w:color w:val="1E1E1E"/>
          <w:sz w:val="18"/>
        </w:rPr>
        <w:t>O texto impugnado permite à administração utilizar em serviços de inteligência veículos particulares apreendidos. Como a regra não especifica os motivos pelos quais os veículos passíveis de utilização foram retirados da esfera de uso e gozo de seus proprietários, a permissão se estende aos veículos apreendidos não apenas em razão de infração de trânsito, mas de outras violações, como a da ordem tributária. Ao assim prescrever, a Lei 8.493/2004 viola o direito constitucional ao devido processo legal que leva à perda compulsória da propriedade ou do direito de uso e gozo (posse), cuja positivaçã</w:t>
      </w:r>
    </w:p>
    <w:p>
      <w:pPr>
        <w:ind w:left="288"/>
      </w:pPr>
      <w:r>
        <w:rPr>
          <w:b/>
          <w:color w:val="003CA0"/>
          <w:sz w:val="16"/>
        </w:rPr>
        <w:t>[ADI 3.639, voto do rel. min. Joaquim Barbosa, j. 23-5-2013, P, DJE de 7-10-2013.]</w:t>
      </w:r>
    </w:p>
    <w:p>
      <w:pPr>
        <w:ind w:left="288"/>
      </w:pPr>
      <w:r>
        <w:rPr>
          <w:color w:val="8C8C8C"/>
          <w:sz w:val="12"/>
        </w:rPr>
        <w:t>cf-art-22-inc-IV</w:t>
      </w:r>
      <w:r>
        <w:rPr>
          <w:color w:val="003CA0"/>
          <w:sz w:val="12"/>
        </w:rPr>
        <w:t xml:space="preserve"> | ADI 7.332</w:t>
      </w:r>
      <w:r>
        <w:rPr>
          <w:color w:val="003CA0"/>
          <w:sz w:val="12"/>
        </w:rPr>
        <w:t xml:space="preserve"> | rel. Dias Toffoli</w:t>
      </w:r>
    </w:p>
    <w:p>
      <w:pPr>
        <w:ind w:left="288"/>
      </w:pPr>
      <w:r>
        <w:rPr>
          <w:color w:val="1E1E1E"/>
          <w:sz w:val="18"/>
        </w:rPr>
        <w:t>É inconstitucional — por violar as competências administrativa e legislativa da União para dispor sobre energia elétrica, bem como por interferir nas relações contratuais entre as concessionárias e o poder concedente federal (CF/1988, art. 21, XII, b; 22, IV; e 175) — norma estadual que obriga as empresas geradoras, transmissoras e distribuidoras de energia a destinarem percentual mínimo de seus recursos a projetos específicos.</w:t>
      </w:r>
    </w:p>
    <w:p>
      <w:pPr>
        <w:ind w:left="288"/>
      </w:pPr>
      <w:r>
        <w:rPr>
          <w:b/>
          <w:color w:val="003CA0"/>
          <w:sz w:val="16"/>
        </w:rPr>
        <w:t>[ADI 7.332, rel. min. Dias Toffoli, j. 04.11.2025, P, Informativo STF 1.197.]</w:t>
      </w:r>
    </w:p>
    <w:p>
      <w:pPr>
        <w:ind w:left="288"/>
      </w:pPr>
      <w:r>
        <w:rPr>
          <w:color w:val="8C8C8C"/>
          <w:sz w:val="12"/>
        </w:rPr>
        <w:t>cf-art-22-inc-IV</w:t>
      </w:r>
      <w:r>
        <w:rPr>
          <w:color w:val="003CA0"/>
          <w:sz w:val="12"/>
        </w:rPr>
        <w:t xml:space="preserve"> | ADI 7.725</w:t>
      </w:r>
      <w:r>
        <w:rPr>
          <w:color w:val="003CA0"/>
          <w:sz w:val="12"/>
        </w:rPr>
        <w:t xml:space="preserve"> | rel. André Mendonça</w:t>
      </w:r>
    </w:p>
    <w:p>
      <w:pPr>
        <w:ind w:left="288"/>
      </w:pPr>
      <w:r>
        <w:rPr>
          <w:color w:val="1E1E1E"/>
          <w:sz w:val="18"/>
        </w:rPr>
        <w:t>Lei Estadual nº 3.533/2019, do Estado do Tocantins. Suspensão dos serviços públicos de energia elétrica e água por inadimplemento dos usuários. (...) Considerando que a energia elétrica é matéria de competência administrativa e legislativa da União, é inconstitucional a lei estadual que estabeleça regras sobre a suspensão do fornecimento dos serviços por inadimplemento do usuário, por violação aos artigos 21, inciso XII, alínea “b”, e 22, inciso IV, da Constituição. (...) Quanto aos serviços públicos de fornecimento de água, o Supremo Tribunal Federal entende que o interesse predominante, ness</w:t>
      </w:r>
    </w:p>
    <w:p>
      <w:pPr>
        <w:ind w:left="288"/>
      </w:pPr>
      <w:r>
        <w:rPr>
          <w:b/>
          <w:color w:val="003CA0"/>
          <w:sz w:val="16"/>
        </w:rPr>
        <w:t>[ADI 7.725, rel. min. André Mendonça, j. 26.05.2025, P, DJE de 02.07.2025.]</w:t>
      </w:r>
    </w:p>
    <w:p>
      <w:pPr>
        <w:ind w:left="288"/>
      </w:pPr>
      <w:r>
        <w:rPr>
          <w:color w:val="8C8C8C"/>
          <w:sz w:val="12"/>
        </w:rPr>
        <w:t>cf-art-22-inc-IV</w:t>
      </w:r>
      <w:r>
        <w:rPr>
          <w:color w:val="003CA0"/>
          <w:sz w:val="12"/>
        </w:rPr>
        <w:t xml:space="preserve"> | ADPF 218</w:t>
      </w:r>
      <w:r>
        <w:rPr>
          <w:color w:val="003CA0"/>
          <w:sz w:val="12"/>
        </w:rPr>
        <w:t xml:space="preserve"> | rel. Gilmar Mendes</w:t>
      </w:r>
    </w:p>
    <w:p>
      <w:pPr>
        <w:ind w:left="288"/>
      </w:pPr>
      <w:r>
        <w:rPr>
          <w:color w:val="1E1E1E"/>
          <w:sz w:val="18"/>
        </w:rPr>
        <w:t>Competência privativa da União para legislar sobre água e energia. A situação normatizada na espécie guarda nexo muito mais estreito com a regulação do aproveitamento energético dos cursos de água que eventual competência comum do Município de Ponte Nova/MG para tratar sobre assunto de interesse local ou suplementação a normas federais ou estaduais. Ao proibir a construção de UHEs e PCHs e estipular a necessidade de emprego do método menos impactante a ser utilizado para geração de energia, o legislador municipal dispôs sobre matéria de competência privativa da União e avocou indevidamente a c</w:t>
      </w:r>
    </w:p>
    <w:p>
      <w:pPr>
        <w:ind w:left="288"/>
      </w:pPr>
      <w:r>
        <w:rPr>
          <w:b/>
          <w:color w:val="003CA0"/>
          <w:sz w:val="16"/>
        </w:rPr>
        <w:t>[ADPF 218, rel. min. Gilmar Mendes, j. 07.05.2025, P, DJE de 12.05.2025.]</w:t>
      </w:r>
    </w:p>
    <w:p>
      <w:pPr>
        <w:ind w:left="288"/>
      </w:pPr>
      <w:r>
        <w:rPr>
          <w:color w:val="8C8C8C"/>
          <w:sz w:val="12"/>
        </w:rPr>
        <w:t>cf-art-22-inc-IV</w:t>
      </w:r>
      <w:r>
        <w:rPr>
          <w:color w:val="003CA0"/>
          <w:sz w:val="12"/>
        </w:rPr>
        <w:t xml:space="preserve"> | ADI 3.877</w:t>
      </w:r>
      <w:r>
        <w:rPr>
          <w:color w:val="003CA0"/>
          <w:sz w:val="12"/>
        </w:rPr>
        <w:t xml:space="preserve"> | rel. Nunes Marques</w:t>
      </w:r>
    </w:p>
    <w:p>
      <w:pPr>
        <w:ind w:left="288"/>
      </w:pPr>
      <w:r>
        <w:rPr>
          <w:color w:val="1E1E1E"/>
          <w:sz w:val="18"/>
        </w:rPr>
        <w:t>• A Lei n. 3.963/2007 do Distrito Federal, ao proibir a cobrança pela instalação e utilização de pontos adicionais de televisão por assinatura em residências e fixar multa em virtude do descumprimento, interfere no núcleo regulatório das telecomunicações, o que revela usurpação da competência normativa privativa da União sobre a matéria.</w:t>
        <w:br/>
        <w:t>[ADI 3.877, rel. min. Nunes Marques, j. 09.09.2024, P, DJE de 13.11.2024.] São inconstitucionais, por ofensa às competências material e legislativa privativas da União (CF, arts. 21, XI, e 22, IV), normas municipais que, a pretexto de proteger o meio ambiente,</w:t>
      </w:r>
    </w:p>
    <w:p>
      <w:pPr>
        <w:ind w:left="288"/>
      </w:pPr>
      <w:r>
        <w:rPr>
          <w:b/>
          <w:color w:val="003CA0"/>
          <w:sz w:val="16"/>
        </w:rPr>
        <w:t>[ADI 7.211, rel. min. Alexandre de Moraes, j. 3-10-2022, P, DJE de 10-10-2022.]</w:t>
      </w:r>
    </w:p>
    <w:p>
      <w:pPr>
        <w:ind w:left="288"/>
      </w:pPr>
      <w:r>
        <w:rPr>
          <w:color w:val="8C8C8C"/>
          <w:sz w:val="12"/>
        </w:rPr>
        <w:t>cf-art-22-inc-IV</w:t>
      </w:r>
      <w:r>
        <w:rPr>
          <w:color w:val="003CA0"/>
          <w:sz w:val="12"/>
        </w:rPr>
        <w:t xml:space="preserve"> | ADI 6.199</w:t>
      </w:r>
      <w:r>
        <w:rPr>
          <w:color w:val="003CA0"/>
          <w:sz w:val="12"/>
        </w:rPr>
        <w:t xml:space="preserve"> | rel. Nunes Marques</w:t>
      </w:r>
    </w:p>
    <w:p>
      <w:pPr>
        <w:ind w:left="288"/>
      </w:pPr>
      <w:r>
        <w:rPr>
          <w:color w:val="1E1E1E"/>
          <w:sz w:val="18"/>
        </w:rPr>
        <w:t>Em que pese o Serviço de Valor Adicionado (SVA) não estar entre os serviços de telecomunicações, quando comercializado por operadora do setor passa a ser fonte de receita alternativa ou acessória da concessionária, integrando-se, portanto, à estrutura econômico-financeira do contrato de concessão do serviço público. Lei estadual não pode, sob pena de ingerência reflexa no contrato de concessão celebrado entre a União e a concessionária, proibir ou limitar as receitas alternativas complementares ou acessórias da empresa. Eventual proibição dessa natureza pode potencializar o surgimento de difer</w:t>
      </w:r>
    </w:p>
    <w:p>
      <w:pPr>
        <w:ind w:left="288"/>
      </w:pPr>
      <w:r>
        <w:rPr>
          <w:b/>
          <w:color w:val="003CA0"/>
          <w:sz w:val="16"/>
        </w:rPr>
        <w:t>[ADI 6.199, rel. min. Nunes Marques, j. 16-8-2022, P, DJE de 26-8-2022.]</w:t>
      </w:r>
    </w:p>
    <w:p>
      <w:pPr>
        <w:ind w:left="288"/>
      </w:pPr>
      <w:r>
        <w:rPr>
          <w:color w:val="8C8C8C"/>
          <w:sz w:val="12"/>
        </w:rPr>
        <w:t>cf-art-22-inc-IV</w:t>
      </w:r>
      <w:r>
        <w:rPr>
          <w:color w:val="003CA0"/>
          <w:sz w:val="12"/>
        </w:rPr>
        <w:t xml:space="preserve"> | ADI 5.399</w:t>
      </w:r>
      <w:r>
        <w:rPr>
          <w:color w:val="003CA0"/>
          <w:sz w:val="12"/>
        </w:rPr>
        <w:t xml:space="preserve"> | rel. Roberto Barroso</w:t>
      </w:r>
    </w:p>
    <w:p>
      <w:pPr>
        <w:ind w:left="288"/>
      </w:pPr>
      <w:r>
        <w:rPr>
          <w:color w:val="1E1E1E"/>
          <w:sz w:val="18"/>
        </w:rPr>
        <w:t>(...) Lei Estadual nº 15.854/2015, que cria a obrigação das concessionárias de serviços telefônicos móveis de estender benefícios aos clientes antigos, das promoções oferecidas a novos clientes. Lei que cria obrigações e sanções para empresas de telefonia. Violação da competência privativa da União para legislar sobre serviços de telecomunicações.</w:t>
      </w:r>
    </w:p>
    <w:p>
      <w:pPr>
        <w:ind w:left="288"/>
      </w:pPr>
      <w:r>
        <w:rPr>
          <w:b/>
          <w:color w:val="003CA0"/>
          <w:sz w:val="16"/>
        </w:rPr>
        <w:t>[ADI 5.399, rel. min. Roberto Barroso, j. 9-6-2022, P, DJE de 7-12-2022.]</w:t>
      </w:r>
    </w:p>
    <w:p>
      <w:pPr>
        <w:ind w:left="288"/>
      </w:pPr>
      <w:r>
        <w:rPr>
          <w:color w:val="8C8C8C"/>
          <w:sz w:val="12"/>
        </w:rPr>
        <w:t>cf-art-22-inc-IV</w:t>
      </w:r>
      <w:r>
        <w:rPr>
          <w:color w:val="003CA0"/>
          <w:sz w:val="12"/>
        </w:rPr>
        <w:t xml:space="preserve"> | ADI 5.292</w:t>
      </w:r>
      <w:r>
        <w:rPr>
          <w:color w:val="003CA0"/>
          <w:sz w:val="12"/>
        </w:rPr>
        <w:t xml:space="preserve"> | rel. Cármen Lúcia</w:t>
      </w:r>
    </w:p>
    <w:p>
      <w:pPr>
        <w:ind w:left="288"/>
      </w:pPr>
      <w:r>
        <w:rPr>
          <w:color w:val="1E1E1E"/>
          <w:sz w:val="18"/>
        </w:rPr>
        <w:t>(...) ao definir unilateralmente e tornar obrigatória a divulgação diária de fotos de crianças desaparecidas em noticiários de TV, a lei catarinense impugnada invadiu a competência legislativa da União para dispor privativamente sobre radiodifusão de sons e imagens, afrontado o previsto no inc. IV do art. 22 da Constituição brasileira e cuidou de tema entregue, constitucionalmente, ao legislador nacional, à Administração Pública federal e aos cuidados e com os instrumentos de convênio fixados em normas nacionais.</w:t>
      </w:r>
    </w:p>
    <w:p>
      <w:pPr>
        <w:ind w:left="288"/>
      </w:pPr>
      <w:r>
        <w:rPr>
          <w:b/>
          <w:color w:val="003CA0"/>
          <w:sz w:val="16"/>
        </w:rPr>
        <w:t>[ADI 5.292, voto da rel. min. Cármen Lúcia, j. 28-3-2022, P, DJE de 19-5-2022.]</w:t>
      </w:r>
    </w:p>
    <w:p>
      <w:pPr>
        <w:ind w:left="288"/>
      </w:pPr>
      <w:r>
        <w:rPr>
          <w:color w:val="8C8C8C"/>
          <w:sz w:val="12"/>
        </w:rPr>
        <w:t>cf-art-22-inc-IV</w:t>
      </w:r>
      <w:r>
        <w:rPr>
          <w:color w:val="003CA0"/>
          <w:sz w:val="12"/>
        </w:rPr>
        <w:t xml:space="preserve"> | ADI 4.924</w:t>
      </w:r>
      <w:r>
        <w:rPr>
          <w:color w:val="003CA0"/>
          <w:sz w:val="12"/>
        </w:rPr>
        <w:t xml:space="preserve"> | rel. Gilmar Mendes</w:t>
      </w:r>
    </w:p>
    <w:p>
      <w:pPr>
        <w:ind w:left="288"/>
      </w:pPr>
      <w:r>
        <w:rPr>
          <w:color w:val="1E1E1E"/>
          <w:sz w:val="18"/>
        </w:rPr>
        <w:t xml:space="preserve">Dispositivos que determinam que as prestadoras de serviço telefônico são obrigadas a fornecer, sob pena de multa, os dados pessoais dos usuários de terminais utilizados para passar trotes aos serviços de emergência. Alegação de inconstitucionalidade formal, por invasão da competência da União para legislar sobre serviços de telecomunicações – art. 22, IV, da CF. A norma trata do relacionamento entre as prestadoras e a administração pública, em uma relação diversa daquela decorrente da outorga da prestação do serviço – prestação de informações para processo administrativo. Norma compatível com </w:t>
      </w:r>
    </w:p>
    <w:p>
      <w:pPr>
        <w:ind w:left="288"/>
      </w:pPr>
      <w:r>
        <w:rPr>
          <w:b/>
          <w:color w:val="003CA0"/>
          <w:sz w:val="16"/>
        </w:rPr>
        <w:t>[ADI 4.924, rel. min. Gilmar Mendes, j. 4-11-2021, P, DJE de 29-3-2022.]</w:t>
      </w:r>
    </w:p>
    <w:p>
      <w:pPr>
        <w:ind w:left="288"/>
      </w:pPr>
      <w:r>
        <w:rPr>
          <w:color w:val="8C8C8C"/>
          <w:sz w:val="12"/>
        </w:rPr>
        <w:t>cf-art-22-inc-IV</w:t>
      </w:r>
      <w:r>
        <w:rPr>
          <w:color w:val="003CA0"/>
          <w:sz w:val="12"/>
        </w:rPr>
        <w:t xml:space="preserve"> | ADI 6.580</w:t>
      </w:r>
      <w:r>
        <w:rPr>
          <w:color w:val="003CA0"/>
          <w:sz w:val="12"/>
        </w:rPr>
        <w:t xml:space="preserve"> | rel. Cármen Lúcia</w:t>
      </w:r>
    </w:p>
    <w:p>
      <w:pPr>
        <w:ind w:left="288"/>
      </w:pPr>
      <w:r>
        <w:rPr>
          <w:color w:val="1E1E1E"/>
          <w:sz w:val="18"/>
        </w:rPr>
        <w:t>A legislação estadual impugnada com o escopo de coibir a atividade de ‘delivery de gasolina e etanol’ exorbitou sua competência e usurpou competência privativa da União para legislar sobre energia.</w:t>
      </w:r>
    </w:p>
    <w:p>
      <w:pPr>
        <w:ind w:left="288"/>
      </w:pPr>
      <w:r>
        <w:rPr>
          <w:b/>
          <w:color w:val="003CA0"/>
          <w:sz w:val="16"/>
        </w:rPr>
        <w:t>[ADI 6.580, rel. min. Cármen Lúcia, j. 12-5-2021, P, DJE de 24-5-2021.]</w:t>
      </w:r>
    </w:p>
    <w:p>
      <w:pPr>
        <w:ind w:left="288"/>
      </w:pPr>
      <w:r>
        <w:rPr>
          <w:color w:val="8C8C8C"/>
          <w:sz w:val="12"/>
        </w:rPr>
        <w:t>cf-art-22-inc-IV</w:t>
      </w:r>
      <w:r>
        <w:rPr>
          <w:color w:val="003CA0"/>
          <w:sz w:val="12"/>
        </w:rPr>
        <w:t xml:space="preserve"> | ADI 6.089</w:t>
      </w:r>
      <w:r>
        <w:rPr>
          <w:color w:val="003CA0"/>
          <w:sz w:val="12"/>
        </w:rPr>
        <w:t xml:space="preserve"> | rel. Marco Aurélio</w:t>
      </w:r>
    </w:p>
    <w:p>
      <w:pPr>
        <w:ind w:left="288"/>
      </w:pPr>
      <w:r>
        <w:rPr>
          <w:color w:val="1E1E1E"/>
          <w:sz w:val="18"/>
        </w:rPr>
        <w:t>A Lei 16.734/2018 do Estado do Ceará, ao vedar às operadoras de telefonia móvel que procedam, entre outras providências, ao bloqueio de acesso à internet quando esgotada a franquia de dados contratada, violou o art. 22, inciso IV, da Lei Maior, que confere à União a competência privativa para dispor sobre telecomunicações.</w:t>
        <w:br/>
        <w:t>[ADI 6.089, red. do ac. min. Dias Toffoli, j. 8-2-2021, P, DJE de 4-3-2021.] O art. 22, inciso IV, da Constituição de 1988, que fixa a competência privativa da União para dispor sobre águas, deve ser interpretado à luz do art. 21, inciso XIX, que reserva ao campo de atribuiç</w:t>
      </w:r>
    </w:p>
    <w:p>
      <w:pPr>
        <w:ind w:left="288"/>
      </w:pPr>
      <w:r>
        <w:rPr>
          <w:b/>
          <w:color w:val="003CA0"/>
          <w:sz w:val="16"/>
        </w:rPr>
        <w:t>[ADI 5.025, rel. min. Marco Aurélio, j. 8-2-2021, P, DJE de 30-3-2021.]</w:t>
      </w:r>
    </w:p>
    <w:p>
      <w:pPr>
        <w:ind w:left="288"/>
      </w:pPr>
      <w:r>
        <w:rPr>
          <w:color w:val="8C8C8C"/>
          <w:sz w:val="12"/>
        </w:rPr>
        <w:t>cf-art-22-inc-IV</w:t>
      </w:r>
      <w:r>
        <w:rPr>
          <w:color w:val="003CA0"/>
          <w:sz w:val="12"/>
        </w:rPr>
        <w:t xml:space="preserve"> | ADI 6.326</w:t>
      </w:r>
      <w:r>
        <w:rPr>
          <w:color w:val="003CA0"/>
          <w:sz w:val="12"/>
        </w:rPr>
        <w:t xml:space="preserve"> | rel. Cármen Lúcia</w:t>
      </w:r>
    </w:p>
    <w:p>
      <w:pPr>
        <w:ind w:left="288"/>
      </w:pPr>
      <w:r>
        <w:rPr>
          <w:color w:val="1E1E1E"/>
          <w:sz w:val="18"/>
        </w:rPr>
        <w:t>Medida cautelar em ação direta de inconstitucionalidade. Conversão em julgamento definitivo. Lei n. 14.228/2020 da Bahia. Proibição a concessionárias de telecomunicações de limitação de tempo para utilização de créditos de telefones celulares pré-pagos. Usurpação Da Competência Da União. Inc. XI do art. 21 e inc. IV do art. 22 da constituição da república. Precedentes do supremo tribunal federal. Ação Direta de Inconstitucionalidade julgada procedente.</w:t>
      </w:r>
    </w:p>
    <w:p>
      <w:pPr>
        <w:ind w:left="288"/>
      </w:pPr>
      <w:r>
        <w:rPr>
          <w:b/>
          <w:color w:val="003CA0"/>
          <w:sz w:val="16"/>
        </w:rPr>
        <w:t>[ADI 6.326, rel. min. Cármen Lúcia, j. 23-11-2020, P, DJE de 3-12-2020.]</w:t>
      </w:r>
    </w:p>
    <w:p>
      <w:pPr>
        <w:ind w:left="288"/>
      </w:pPr>
      <w:r>
        <w:rPr>
          <w:color w:val="8C8C8C"/>
          <w:sz w:val="12"/>
        </w:rPr>
        <w:t>cf-art-22-inc-IV</w:t>
      </w:r>
      <w:r>
        <w:rPr>
          <w:color w:val="003CA0"/>
          <w:sz w:val="12"/>
        </w:rPr>
        <w:t xml:space="preserve"> | ADI 5.574</w:t>
      </w:r>
      <w:r>
        <w:rPr>
          <w:color w:val="003CA0"/>
          <w:sz w:val="12"/>
        </w:rPr>
        <w:t xml:space="preserve"> | rel. Edson Fachin</w:t>
      </w:r>
    </w:p>
    <w:p>
      <w:pPr>
        <w:ind w:left="288"/>
      </w:pPr>
      <w:r>
        <w:rPr>
          <w:color w:val="1E1E1E"/>
          <w:sz w:val="18"/>
        </w:rPr>
        <w:t>Lei Estadual 10.519/2015 do Estado da Paraíba. Bloqueio de aparelhos celulares pelas operadoras nas hipóteses de furto e roubo. Competência privativa da União para legislar sobre telecomunicações. (...) No caso dos autos, apesar de estar se discutindo a constitucionalidade do bloqueio de aparelhos celulares nas hipóteses de furto e roubo, resta claro que a finalidade da norma é justamente possibilitar o bloqueio de sinal de telecomunicações e/ou radiocomunicações (...).</w:t>
      </w:r>
    </w:p>
    <w:p>
      <w:pPr>
        <w:ind w:left="288"/>
      </w:pPr>
      <w:r>
        <w:rPr>
          <w:b/>
          <w:color w:val="003CA0"/>
          <w:sz w:val="16"/>
        </w:rPr>
        <w:t>[ADI 5.574, rel. min. Edson Fachin, j. 27-9-2019, P, DJE de 15-10-2019.]</w:t>
      </w:r>
    </w:p>
    <w:p>
      <w:pPr>
        <w:ind w:left="288"/>
      </w:pPr>
      <w:r>
        <w:rPr>
          <w:color w:val="8C8C8C"/>
          <w:sz w:val="12"/>
        </w:rPr>
        <w:t>cf-art-22-inc-IV</w:t>
      </w:r>
      <w:r>
        <w:rPr>
          <w:color w:val="003CA0"/>
          <w:sz w:val="12"/>
        </w:rPr>
        <w:t xml:space="preserve"> | ADI 4.401</w:t>
      </w:r>
      <w:r>
        <w:rPr>
          <w:color w:val="003CA0"/>
          <w:sz w:val="12"/>
        </w:rPr>
        <w:t xml:space="preserve"> | rel. Gilmar Mendes</w:t>
      </w:r>
    </w:p>
    <w:p>
      <w:pPr>
        <w:ind w:left="288"/>
      </w:pPr>
      <w:r>
        <w:rPr>
          <w:color w:val="1E1E1E"/>
          <w:sz w:val="18"/>
        </w:rPr>
        <w:t xml:space="preserve">Lei 18.721/2010 do Estado de Minas Gerais, que dispõe sobre o fornecimento de informações por concessionária de telefonia fixa e móvel para fins de segurança pública. Competência privativa da União para legislar sobre telecomunicações. </w:t>
        <w:br/>
        <w:t>[ADI 4.401, rel. min. Gilmar Mendes, j. 30-8-2019, P, DJE de 28-11-2019.] A Lei 16.291/2017 do Estado do Ceará, ao instituir a obrigação de as operadoras de telefonia fixa e móvel disponibilizarem, em seus sítios eletrônicos, extrato detalhado de conta das chamadas telefônicas e serviços utilizados na modalidade de recarga de créditos por pagamento antecipado (</w:t>
      </w:r>
    </w:p>
    <w:p>
      <w:pPr>
        <w:ind w:left="288"/>
      </w:pPr>
      <w:r>
        <w:rPr>
          <w:b/>
          <w:color w:val="003CA0"/>
          <w:sz w:val="16"/>
        </w:rPr>
        <w:t>[ADI 2.299, rel. min. Roberto Barroso, j. 23-8-2019, P, DJE de 13-12-2019.]</w:t>
      </w:r>
    </w:p>
    <w:p>
      <w:pPr>
        <w:ind w:left="288"/>
      </w:pPr>
      <w:r>
        <w:rPr>
          <w:color w:val="8C8C8C"/>
          <w:sz w:val="12"/>
        </w:rPr>
        <w:t>cf-art-22-inc-IV</w:t>
      </w:r>
      <w:r>
        <w:rPr>
          <w:color w:val="003CA0"/>
          <w:sz w:val="12"/>
        </w:rPr>
        <w:t xml:space="preserve"> | ADPF 235</w:t>
      </w:r>
      <w:r>
        <w:rPr>
          <w:color w:val="003CA0"/>
          <w:sz w:val="12"/>
        </w:rPr>
        <w:t xml:space="preserve"> | rel. Luiz Fux</w:t>
      </w:r>
    </w:p>
    <w:p>
      <w:pPr>
        <w:ind w:left="288"/>
      </w:pPr>
      <w:r>
        <w:rPr>
          <w:color w:val="1E1E1E"/>
          <w:sz w:val="18"/>
        </w:rPr>
        <w:t>(...) é formalmente inconstitucional a Lei 416/08, do Município de Augustinópolis/TO, que autoriza o Poder Executivo Municipal a conceder a exploração do Serviço de Radiodifusão Comunitária no âmbito do território do Município, mercê da inexistência, na sistemática jurídico-constitucional atual, de espaço para que o legislador local busque tratar geral e abstratamente sobre o tema da exploração do Serviço de Radiodifusão Comunitária.</w:t>
        <w:br/>
        <w:t>[ADPF 235, rel. min. Luiz Fux, j. 14-8-2019, P, DJE de 30-8-2019.] Os prazos e valores referentes à religação do fornecimento de energia elétrica não apenas já es</w:t>
      </w:r>
    </w:p>
    <w:p>
      <w:pPr>
        <w:ind w:left="288"/>
      </w:pPr>
      <w:r>
        <w:rPr>
          <w:b/>
          <w:color w:val="003CA0"/>
          <w:sz w:val="16"/>
        </w:rPr>
        <w:t>[ADI 5.575, rel. min. Luiz Fux, j. 25-10-2018, P, DJE de 7-11-2018.]</w:t>
      </w:r>
    </w:p>
    <w:p>
      <w:pPr>
        <w:ind w:left="288"/>
      </w:pPr>
      <w:r>
        <w:rPr>
          <w:color w:val="8C8C8C"/>
          <w:sz w:val="12"/>
        </w:rPr>
        <w:t>cf-art-22-inc-IV</w:t>
      </w:r>
      <w:r>
        <w:rPr>
          <w:color w:val="003CA0"/>
          <w:sz w:val="12"/>
        </w:rPr>
        <w:t xml:space="preserve"> | ADI 5.253</w:t>
      </w:r>
      <w:r>
        <w:rPr>
          <w:color w:val="003CA0"/>
          <w:sz w:val="12"/>
        </w:rPr>
        <w:t xml:space="preserve"> | rel. Dias Toffoli</w:t>
      </w:r>
    </w:p>
    <w:p>
      <w:pPr>
        <w:ind w:left="288"/>
      </w:pPr>
      <w:r>
        <w:rPr>
          <w:color w:val="1E1E1E"/>
          <w:sz w:val="18"/>
        </w:rPr>
        <w:t>A Lei 13.189, de 4 de julho de 2014, do Estado da Bahia, ao criar obrigação para as operadoras do serviço móvel pessoal, consistente na instalação e na manutenção de bloqueadores de sinais de radiocomunicações (BSR) nos estabelecimentos penais de todo o Estado, com o objetivo de impedir a comunicação por telefones móveis no interior dos referidos estabelecimentos, dispôs a respeito de serviços de telecomunicações, matéria da competência legislativa privativa da União, na forma do art. 22, IV, da CF.</w:t>
        <w:br/>
        <w:t>[ADI 5.253, rel. min. Dias Toffoli, j. 3-8-2016, P, DJE de 1º-8-2017.] A Lei 5.934/2011 do Esta</w:t>
      </w:r>
    </w:p>
    <w:p>
      <w:pPr>
        <w:ind w:left="288"/>
      </w:pPr>
      <w:r>
        <w:rPr>
          <w:b/>
          <w:color w:val="003CA0"/>
          <w:sz w:val="16"/>
        </w:rPr>
        <w:t>[ADI 4.649, rel. min. Dias Toffoli, j. 1º-7-2016, P, DJE de 12-8-2016.]</w:t>
      </w:r>
    </w:p>
    <w:p>
      <w:pPr>
        <w:ind w:left="288"/>
      </w:pPr>
      <w:r>
        <w:rPr>
          <w:color w:val="8C8C8C"/>
          <w:sz w:val="12"/>
        </w:rPr>
        <w:t>cf-art-22-inc-IV</w:t>
      </w:r>
      <w:r>
        <w:rPr>
          <w:color w:val="003CA0"/>
          <w:sz w:val="12"/>
        </w:rPr>
        <w:t xml:space="preserve"> | ADI 4.369</w:t>
      </w:r>
      <w:r>
        <w:rPr>
          <w:color w:val="003CA0"/>
          <w:sz w:val="12"/>
        </w:rPr>
        <w:t xml:space="preserve"> | rel. Marco Aurélio</w:t>
      </w:r>
    </w:p>
    <w:p>
      <w:pPr>
        <w:ind w:left="288"/>
      </w:pPr>
      <w:r>
        <w:rPr>
          <w:color w:val="1E1E1E"/>
          <w:sz w:val="18"/>
        </w:rPr>
        <w:t>Competência normativa. Telefonia. Assinatura básica mensal. Surge conflitante com a Carta da República lei local a dispor sobre a impossibilidade de cobrança de assinatura básica mensal pelas concessionárias de serviços de telecomunicações.</w:t>
      </w:r>
    </w:p>
    <w:p>
      <w:pPr>
        <w:ind w:left="288"/>
      </w:pPr>
      <w:r>
        <w:rPr>
          <w:b/>
          <w:color w:val="003CA0"/>
          <w:sz w:val="16"/>
        </w:rPr>
        <w:t>[ADI 4.369, rel. min. Marco Aurélio, j. 15-10-2014, P, DJE de 3-11-2014.]</w:t>
      </w:r>
    </w:p>
    <w:p>
      <w:pPr>
        <w:ind w:left="288"/>
      </w:pPr>
      <w:r>
        <w:rPr>
          <w:color w:val="8C8C8C"/>
          <w:sz w:val="12"/>
        </w:rPr>
        <w:t>cf-art-22-inc-IV</w:t>
      </w:r>
      <w:r>
        <w:rPr>
          <w:color w:val="003CA0"/>
          <w:sz w:val="12"/>
        </w:rPr>
        <w:t xml:space="preserve"> | ADI 4.603</w:t>
      </w:r>
      <w:r>
        <w:rPr>
          <w:color w:val="003CA0"/>
          <w:sz w:val="12"/>
        </w:rPr>
        <w:t xml:space="preserve"> | rel. Dias Toffoli</w:t>
      </w:r>
    </w:p>
    <w:p>
      <w:pPr>
        <w:ind w:left="288"/>
      </w:pPr>
      <w:r>
        <w:rPr>
          <w:color w:val="1E1E1E"/>
          <w:sz w:val="18"/>
        </w:rPr>
        <w:t>= ADI 4.603, rel. min. Dias Toffoli, j. 1º-7-2016, P, DJE de 12-8-2016 O sistema federativo instituído pela CF de 1988 torna inequívoco que cabe à União a competência legislativa e administrativa para a disciplina e a prestação dos serviços públicos de telecomunicações e energia elétrica (CF, arts. 21, XI e XII, b, e 22, IV). A Lei 3.449/2004 do Distrito Federal, ao proibir a cobrança da tarifa de assinatura básica "pelas concessionárias prestadoras de serviços de água, luz, gás, TV a cabo e telefonia no Distrito Federal" (art. 1º, caput), incorreu em inconstitucionalidade formal (...).</w:t>
      </w:r>
    </w:p>
    <w:p>
      <w:pPr>
        <w:ind w:left="288"/>
      </w:pPr>
      <w:r>
        <w:rPr>
          <w:b/>
          <w:color w:val="003CA0"/>
          <w:sz w:val="16"/>
        </w:rPr>
        <w:t>[ADI 3.343, red. do ac. min. Luiz Fux, j. 1º-9-2011, P, DJE de 22-11-2011.]</w:t>
      </w:r>
    </w:p>
    <w:p>
      <w:pPr>
        <w:ind w:left="288"/>
      </w:pPr>
      <w:r>
        <w:rPr>
          <w:color w:val="8C8C8C"/>
          <w:sz w:val="12"/>
        </w:rPr>
        <w:t>cf-art-22-inc-IV</w:t>
      </w:r>
      <w:r>
        <w:rPr>
          <w:color w:val="003CA0"/>
          <w:sz w:val="12"/>
        </w:rPr>
        <w:t xml:space="preserve"> | ADI 3.558</w:t>
      </w:r>
      <w:r>
        <w:rPr>
          <w:color w:val="003CA0"/>
          <w:sz w:val="12"/>
        </w:rPr>
        <w:t xml:space="preserve"> | rel. Cármen Lúcia</w:t>
      </w:r>
    </w:p>
    <w:p>
      <w:pPr>
        <w:ind w:left="288"/>
      </w:pPr>
      <w:r>
        <w:rPr>
          <w:color w:val="1E1E1E"/>
          <w:sz w:val="18"/>
        </w:rPr>
        <w:t>(...) as Leis fluminenses 3.915/2002 e 4.561/2005, ao obrigarem as concessionárias dos serviços de telefonia fixa, energia elétrica, água e gás a instalar medidores de consumo, intervêm na relação firmada entre a União e suas concessionárias, pelo que contrariam os arts. 21, XI e XII, b; e 22, IV, da Constituição da República.</w:t>
      </w:r>
    </w:p>
    <w:p>
      <w:pPr>
        <w:ind w:left="288"/>
      </w:pPr>
      <w:r>
        <w:rPr>
          <w:b/>
          <w:color w:val="003CA0"/>
          <w:sz w:val="16"/>
        </w:rPr>
        <w:t>[ADI 3.558, voto da rel. min. Cármen Lúcia, j. 17-3-2011, P, DJE de 6-5-2011.]</w:t>
      </w:r>
    </w:p>
    <w:p>
      <w:pPr>
        <w:ind w:left="288"/>
      </w:pPr>
      <w:r>
        <w:rPr>
          <w:color w:val="8C8C8C"/>
          <w:sz w:val="12"/>
        </w:rPr>
        <w:t>cf-art-22-inc-IV</w:t>
      </w:r>
      <w:r>
        <w:rPr>
          <w:color w:val="003CA0"/>
          <w:sz w:val="12"/>
        </w:rPr>
        <w:t xml:space="preserve"> | ADI 3.846</w:t>
      </w:r>
      <w:r>
        <w:rPr>
          <w:color w:val="003CA0"/>
          <w:sz w:val="12"/>
        </w:rPr>
        <w:t xml:space="preserve"> | rel. Gilmar Mendes</w:t>
      </w:r>
    </w:p>
    <w:p>
      <w:pPr>
        <w:ind w:left="288"/>
      </w:pPr>
      <w:r>
        <w:rPr>
          <w:color w:val="1E1E1E"/>
          <w:sz w:val="18"/>
        </w:rPr>
        <w:t>Lei estadual 12.983/2005 de Pernambuco versus CF, [arts.] 5º, X; 21, XI; e, 22, I e IV. Afronta por instituir controle de comercialização e de habilitação de aparelhos usados de telefonia móvel.</w:t>
      </w:r>
    </w:p>
    <w:p>
      <w:pPr>
        <w:ind w:left="288"/>
      </w:pPr>
      <w:r>
        <w:rPr>
          <w:b/>
          <w:color w:val="003CA0"/>
          <w:sz w:val="16"/>
        </w:rPr>
        <w:t>[ADI 3.846, rel. min. Gilmar Mendes, j. 25-11-2010, P, DJE de 15-3-2011.]</w:t>
      </w:r>
    </w:p>
    <w:p>
      <w:pPr>
        <w:ind w:left="288"/>
      </w:pPr>
      <w:r>
        <w:rPr>
          <w:color w:val="8C8C8C"/>
          <w:sz w:val="12"/>
        </w:rPr>
        <w:t>cf-art-22-inc-IV</w:t>
      </w:r>
      <w:r>
        <w:rPr>
          <w:color w:val="003CA0"/>
          <w:sz w:val="12"/>
        </w:rPr>
        <w:t xml:space="preserve"> | ADI 4.083</w:t>
      </w:r>
      <w:r>
        <w:rPr>
          <w:color w:val="003CA0"/>
          <w:sz w:val="12"/>
        </w:rPr>
        <w:t xml:space="preserve"> | rel. Cármen Lúcia</w:t>
      </w:r>
    </w:p>
    <w:p>
      <w:pPr>
        <w:ind w:left="288"/>
      </w:pPr>
      <w:r>
        <w:rPr>
          <w:color w:val="1E1E1E"/>
          <w:sz w:val="18"/>
        </w:rPr>
        <w:t>A Lei distrital 4.116/2008 proíbe as empresas de telecomunicações de cobrarem taxas para a instalação do segundo ponto de acesso à internet. (...) Ainda que ao argumento de defesa do consumidor, não pode lei distrital impor a uma concessionária federal novas obrigações não antes previstas no contrato por ela firmado com a União.</w:t>
      </w:r>
    </w:p>
    <w:p>
      <w:pPr>
        <w:ind w:left="288"/>
      </w:pPr>
      <w:r>
        <w:rPr>
          <w:b/>
          <w:color w:val="003CA0"/>
          <w:sz w:val="16"/>
        </w:rPr>
        <w:t>[ADI 4.083, rel. min. Cármen Lúcia, j. 25-11-2010, P, DJE de 14-12-2010.]</w:t>
      </w:r>
    </w:p>
    <w:p>
      <w:pPr>
        <w:ind w:left="288"/>
      </w:pPr>
      <w:r>
        <w:rPr>
          <w:color w:val="8C8C8C"/>
          <w:sz w:val="12"/>
        </w:rPr>
        <w:t>cf-art-22-inc-IV</w:t>
      </w:r>
      <w:r>
        <w:rPr>
          <w:color w:val="003CA0"/>
          <w:sz w:val="12"/>
        </w:rPr>
        <w:t xml:space="preserve"> | ADI 855</w:t>
      </w:r>
      <w:r>
        <w:rPr>
          <w:color w:val="003CA0"/>
          <w:sz w:val="12"/>
        </w:rPr>
        <w:t xml:space="preserve"> | rel. Octavio Gallotti</w:t>
      </w:r>
    </w:p>
    <w:p>
      <w:pPr>
        <w:ind w:left="288"/>
      </w:pPr>
      <w:r>
        <w:rPr>
          <w:color w:val="1E1E1E"/>
          <w:sz w:val="18"/>
        </w:rPr>
        <w:t>Lei 10.248/1993 do Estado do Paraná, que obriga os estabelecimentos que comercializem Gás Liquefeito de Petróleo (GLP) a pesarem, à vista do consumidor, os botijões ou cilindros entregues ou recebidos para substituição, com abatimento proporcional do preço do produto ante a eventual verificação de diferença a menor entre o conteúdo e a quantidade líquida especificada no recipiente. Inconstitucionalidade formal, por ofensa à competência privativa da União para legislar sobre o tema (CF/1988, art. 22, IV, e art. 238). Violação ao princípio da proporcionalidade e razoabilidade das leis restritiva</w:t>
      </w:r>
    </w:p>
    <w:p>
      <w:pPr>
        <w:ind w:left="288"/>
      </w:pPr>
      <w:r>
        <w:rPr>
          <w:b/>
          <w:color w:val="003CA0"/>
          <w:sz w:val="16"/>
        </w:rPr>
        <w:t>[ADI 855, red. do ac. min. Gilmar Mendes, rel. min. Octavio Gallotti, j. 6-3-2008, P, DJE de 27-3-2009.]</w:t>
      </w:r>
    </w:p>
    <w:p>
      <w:pPr>
        <w:ind w:left="288"/>
      </w:pPr>
      <w:r>
        <w:rPr>
          <w:color w:val="8C8C8C"/>
          <w:sz w:val="12"/>
        </w:rPr>
        <w:t>cf-art-22-inc-IV</w:t>
      </w:r>
      <w:r>
        <w:rPr>
          <w:color w:val="003CA0"/>
          <w:sz w:val="12"/>
        </w:rPr>
        <w:t xml:space="preserve"> | ADI 3.533</w:t>
      </w:r>
      <w:r>
        <w:rPr>
          <w:color w:val="003CA0"/>
          <w:sz w:val="12"/>
        </w:rPr>
        <w:t xml:space="preserve"> | rel. Eros Grau</w:t>
      </w:r>
    </w:p>
    <w:p>
      <w:pPr>
        <w:ind w:left="288"/>
      </w:pPr>
      <w:r>
        <w:rPr>
          <w:color w:val="1E1E1E"/>
          <w:sz w:val="18"/>
        </w:rPr>
        <w:t>Imposição às empresas de telefonia fixa que operam no Distrito Federal de instalação de contadores de pulso em cada ponto de consumo. (...) A Lei distrital 3.596 é inconstitucional, visto que dispõe sobre matéria de competência da União, criando obrigação não prevista nos respectivos contratos de concessão do serviço público, a serem cumpridas pelas concessionárias de telefonia fixa – art. 22, IV, da Constituição do Brasil.</w:t>
      </w:r>
    </w:p>
    <w:p>
      <w:pPr>
        <w:ind w:left="288"/>
      </w:pPr>
      <w:r>
        <w:rPr>
          <w:b/>
          <w:color w:val="003CA0"/>
          <w:sz w:val="16"/>
        </w:rPr>
        <w:t>[ADI 3.533, rel. min. Eros Grau, j. 2-8-2006, P, DJ de 6-10-2006.]</w:t>
      </w:r>
    </w:p>
    <w:p>
      <w:pPr>
        <w:ind w:left="288"/>
      </w:pPr>
      <w:r>
        <w:rPr>
          <w:color w:val="8C8C8C"/>
          <w:sz w:val="12"/>
        </w:rPr>
        <w:t>cf-art-22-inc-IV</w:t>
      </w:r>
      <w:r>
        <w:rPr>
          <w:color w:val="003CA0"/>
          <w:sz w:val="12"/>
        </w:rPr>
        <w:t xml:space="preserve"> | ADI 4.533</w:t>
      </w:r>
      <w:r>
        <w:rPr>
          <w:color w:val="003CA0"/>
          <w:sz w:val="12"/>
        </w:rPr>
        <w:t xml:space="preserve"> | rel. Ricardo Lewandowski</w:t>
      </w:r>
    </w:p>
    <w:p>
      <w:pPr>
        <w:ind w:left="288"/>
      </w:pPr>
      <w:r>
        <w:rPr>
          <w:color w:val="1E1E1E"/>
          <w:sz w:val="18"/>
        </w:rPr>
        <w:t>= ADI 4.533 MC, rel. min. Ricardo Lewandowski, j. 10-11-2011, P, DJE de 1º-2-2012</w:t>
      </w:r>
    </w:p>
    <w:p>
      <w:pPr>
        <w:ind w:left="144"/>
      </w:pPr>
      <w:r>
        <w:rPr>
          <w:b/>
          <w:color w:val="B45A00"/>
          <w:sz w:val="16"/>
        </w:rPr>
        <w:t>REPERCUSSAO GERAL</w:t>
      </w:r>
    </w:p>
    <w:p>
      <w:pPr>
        <w:ind w:left="288"/>
      </w:pPr>
      <w:r>
        <w:rPr>
          <w:color w:val="8C8C8C"/>
          <w:sz w:val="12"/>
        </w:rPr>
        <w:t>cf-art-22-inc-IV</w:t>
      </w:r>
      <w:r>
        <w:rPr>
          <w:color w:val="003CA0"/>
          <w:sz w:val="12"/>
        </w:rPr>
        <w:t xml:space="preserve"> | RE 776.594</w:t>
      </w:r>
      <w:r>
        <w:rPr>
          <w:color w:val="003CA0"/>
          <w:sz w:val="12"/>
        </w:rPr>
        <w:t xml:space="preserve"> | rel. Dias Toffoli</w:t>
      </w:r>
    </w:p>
    <w:p>
      <w:pPr>
        <w:ind w:left="288"/>
      </w:pPr>
      <w:r>
        <w:rPr>
          <w:color w:val="1E1E1E"/>
          <w:sz w:val="18"/>
        </w:rPr>
        <w:t>A instituição de taxa de fiscalização do funcionamento de torres e antenas de transmissão e recepção de dados e voz é de competência privativa da União, nos termos do art. 22, IV, da Constituição Federal, não competindo aos municípios instituir referida taxa.</w:t>
      </w:r>
    </w:p>
    <w:p>
      <w:pPr>
        <w:ind w:left="288"/>
      </w:pPr>
      <w:r>
        <w:rPr>
          <w:b/>
          <w:color w:val="003CA0"/>
          <w:sz w:val="16"/>
        </w:rPr>
        <w:t>[RE 776.594, rel. min. Dias Toffoli, j. 5-12-2022, P, DJE de 9-2-2023, Tema 919, com mérito julgado.]</w:t>
      </w:r>
    </w:p>
    <w:p>
      <w:pPr>
        <w:ind w:left="288"/>
      </w:pPr>
      <w:r>
        <w:rPr>
          <w:color w:val="8C8C8C"/>
          <w:sz w:val="12"/>
        </w:rPr>
        <w:t>cf-art-22-inc-IV</w:t>
      </w:r>
      <w:r>
        <w:rPr>
          <w:color w:val="003CA0"/>
          <w:sz w:val="12"/>
        </w:rPr>
        <w:t xml:space="preserve"> | ARE 1.370.232</w:t>
      </w:r>
      <w:r>
        <w:rPr>
          <w:color w:val="003CA0"/>
          <w:sz w:val="12"/>
        </w:rPr>
        <w:t xml:space="preserve"> | rel. Luiz Fux</w:t>
      </w:r>
    </w:p>
    <w:p>
      <w:pPr>
        <w:ind w:left="288"/>
      </w:pPr>
      <w:r>
        <w:rPr>
          <w:color w:val="1E1E1E"/>
          <w:sz w:val="18"/>
        </w:rPr>
        <w:t>É inconstitucional a Lei 13.756/2004 do Município de São Paulo, por configurar invasão à competência privativa da União para legislar sobre telecomunicações e radiodifusão (artigo 22, IV, da Constituição Federal).</w:t>
      </w:r>
    </w:p>
    <w:p>
      <w:pPr>
        <w:ind w:left="288"/>
      </w:pPr>
      <w:r>
        <w:rPr>
          <w:b/>
          <w:color w:val="003CA0"/>
          <w:sz w:val="16"/>
        </w:rPr>
        <w:t>[ARE 1.370.232, rel. min. Luiz Fux, j. 9-9-2022, P, DJE de 13-9-2022, Tema 1.235, com mérito julgado e reafirmação de jurisprudência.]</w:t>
      </w:r>
    </w:p>
    <w:p>
      <w:pPr>
        <w:ind w:left="288"/>
      </w:pPr>
      <w:r>
        <w:rPr>
          <w:color w:val="8C8C8C"/>
          <w:sz w:val="12"/>
        </w:rPr>
        <w:t>cf-art-22-inc-IV</w:t>
      </w:r>
      <w:r>
        <w:rPr>
          <w:color w:val="003CA0"/>
          <w:sz w:val="12"/>
        </w:rPr>
        <w:t xml:space="preserve"> | ARE 1.524.862</w:t>
      </w:r>
      <w:r>
        <w:rPr>
          <w:color w:val="003CA0"/>
          <w:sz w:val="12"/>
        </w:rPr>
        <w:t xml:space="preserve"> | rel. Edson Fachin</w:t>
      </w:r>
    </w:p>
    <w:p>
      <w:pPr>
        <w:ind w:left="288"/>
      </w:pPr>
      <w:r>
        <w:rPr>
          <w:color w:val="1E1E1E"/>
          <w:sz w:val="18"/>
        </w:rPr>
        <w:t>A incidência do ISS sobre serviços acessórios ao setor elétrico não configura invasão da competência tributária federal, pois tais serviços não caracterizam exploração direta de energia elétrica nem legislação sobre o setor, inexistindo ofensa aos arts. 21, XII, b, e 22, IV, da Constituição Federal.</w:t>
      </w:r>
    </w:p>
    <w:p>
      <w:pPr>
        <w:ind w:left="288"/>
      </w:pPr>
      <w:r>
        <w:rPr>
          <w:b/>
          <w:color w:val="003CA0"/>
          <w:sz w:val="16"/>
        </w:rPr>
        <w:t>[ARE 1.524.862 AgR, rel. min. Edson Fachin, j. 12.03.2025, 2ª T, DJE de 21.03.2025.]</w:t>
      </w:r>
    </w:p>
    <w:p>
      <w:pPr>
        <w:ind w:left="144"/>
      </w:pPr>
      <w:r>
        <w:rPr>
          <w:b/>
          <w:color w:val="B45A00"/>
          <w:sz w:val="16"/>
        </w:rPr>
        <w:t>JULGADOS CORRELATOS</w:t>
      </w:r>
    </w:p>
    <w:p>
      <w:pPr>
        <w:ind w:left="288"/>
      </w:pPr>
      <w:r>
        <w:rPr>
          <w:color w:val="8C8C8C"/>
          <w:sz w:val="12"/>
        </w:rPr>
        <w:t>cf-art-22-inc-IV</w:t>
      </w:r>
      <w:r>
        <w:rPr>
          <w:color w:val="003CA0"/>
          <w:sz w:val="12"/>
        </w:rPr>
        <w:t xml:space="preserve"> | ACO 787</w:t>
      </w:r>
      <w:r>
        <w:rPr>
          <w:color w:val="003CA0"/>
          <w:sz w:val="12"/>
        </w:rPr>
        <w:t xml:space="preserve"> | rel. Edson Fachin</w:t>
      </w:r>
    </w:p>
    <w:p>
      <w:pPr>
        <w:ind w:left="288"/>
      </w:pPr>
      <w:r>
        <w:rPr>
          <w:color w:val="1E1E1E"/>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w:t>
      </w:r>
    </w:p>
    <w:p>
      <w:pPr>
        <w:ind w:left="288"/>
      </w:pPr>
      <w:r>
        <w:rPr>
          <w:b/>
          <w:color w:val="003CA0"/>
          <w:sz w:val="16"/>
        </w:rPr>
        <w:t>[ACO 787-AgR, rel. min. Edson Fachin, j. 17-12-2022, P, DJE de 31-1-2023.]</w:t>
      </w:r>
    </w:p>
    <w:p>
      <w:pPr>
        <w:ind w:left="144"/>
      </w:pPr>
      <w:r>
        <w:rPr>
          <w:b/>
          <w:color w:val="B45A00"/>
          <w:sz w:val="16"/>
        </w:rPr>
        <w:t>CONTROLE CONCENTRADO</w:t>
      </w:r>
    </w:p>
    <w:p>
      <w:pPr>
        <w:ind w:left="288"/>
      </w:pPr>
      <w:r>
        <w:rPr>
          <w:color w:val="8C8C8C"/>
          <w:sz w:val="12"/>
        </w:rPr>
        <w:t>cf-art-22-inc-V</w:t>
      </w:r>
      <w:r>
        <w:rPr>
          <w:color w:val="003CA0"/>
          <w:sz w:val="12"/>
        </w:rPr>
        <w:t xml:space="preserve"> | ADI 3.081</w:t>
      </w:r>
      <w:r>
        <w:rPr>
          <w:color w:val="003CA0"/>
          <w:sz w:val="12"/>
        </w:rPr>
        <w:t xml:space="preserve"> | rel. Nunes Marques</w:t>
      </w:r>
    </w:p>
    <w:p>
      <w:pPr>
        <w:ind w:left="288"/>
      </w:pPr>
      <w:r>
        <w:rPr>
          <w:color w:val="1E1E1E"/>
          <w:sz w:val="18"/>
        </w:rPr>
        <w:t>Lei Estadual. Entrega de correspondência em caixas postais comunitárias. Proibição. Competência exclusiva da União para manter o serviço postal e legislar sobre a matéria. Restrição à entrega de correspondências classificadas como carta, cartão-postal e correspondência agrupada.</w:t>
        <w:br/>
        <w:t>[ADI 3.081, rel. min. Nunes Marques, j. 28-8-2023, P, DJE de 20-9-2023.] A Lei 6.886/2016 do Estado do Piauí, ao obrigar que as operadoras de telefonia móvel e fixa disponibilizem, na internet, o extrato detalhado de conta das chamadas telefônicas e serviços utilizados pelos usuários de planos pré-pagos, não tratou dir</w:t>
      </w:r>
    </w:p>
    <w:p>
      <w:pPr>
        <w:ind w:left="288"/>
      </w:pPr>
      <w:r>
        <w:rPr>
          <w:b/>
          <w:color w:val="003CA0"/>
          <w:sz w:val="16"/>
        </w:rPr>
        <w:t>[ADPF 222, rel. min. Cármen Lúcia, j. 13-9-2019, P, DJE de 2-10-2019.]</w:t>
      </w:r>
    </w:p>
    <w:p>
      <w:pPr>
        <w:ind w:left="288"/>
      </w:pPr>
      <w:r>
        <w:rPr>
          <w:color w:val="8C8C8C"/>
          <w:sz w:val="12"/>
        </w:rPr>
        <w:t>cf-art-22-inc-V</w:t>
      </w:r>
      <w:r>
        <w:rPr>
          <w:color w:val="003CA0"/>
          <w:sz w:val="12"/>
        </w:rPr>
        <w:t xml:space="preserve"> | ADI 3.080</w:t>
      </w:r>
      <w:r>
        <w:rPr>
          <w:color w:val="003CA0"/>
          <w:sz w:val="12"/>
        </w:rPr>
        <w:t xml:space="preserve"> | rel. Ellen Gracie</w:t>
      </w:r>
    </w:p>
    <w:p>
      <w:pPr>
        <w:ind w:left="288"/>
      </w:pPr>
      <w:r>
        <w:rPr>
          <w:color w:val="1E1E1E"/>
          <w:sz w:val="18"/>
        </w:rPr>
        <w:t>O serviço postal está no rol das matérias cuja normatização é de competência privativa da União (CF, art. 22, V). É a União, ainda, por força do art. 21, X, da Constituição, o ente da Federação responsável pela manutenção desta modalidade de serviço público.</w:t>
      </w:r>
    </w:p>
    <w:p>
      <w:pPr>
        <w:ind w:left="288"/>
      </w:pPr>
      <w:r>
        <w:rPr>
          <w:b/>
          <w:color w:val="003CA0"/>
          <w:sz w:val="16"/>
        </w:rPr>
        <w:t>[ADI 3.080, rel. min. Ellen Gracie, j. 2-8-2004, P, DJ de 27-8-2004.]</w:t>
      </w:r>
    </w:p>
    <w:p>
      <w:pPr>
        <w:ind w:left="144"/>
      </w:pPr>
      <w:r>
        <w:rPr>
          <w:b/>
          <w:color w:val="B45A00"/>
          <w:sz w:val="16"/>
        </w:rPr>
        <w:t>REPERCUSSAO GERAL</w:t>
      </w:r>
    </w:p>
    <w:p>
      <w:pPr>
        <w:ind w:left="288"/>
      </w:pPr>
      <w:r>
        <w:rPr>
          <w:color w:val="8C8C8C"/>
          <w:sz w:val="12"/>
        </w:rPr>
        <w:t>cf-art-22-inc-VI</w:t>
      </w:r>
      <w:r>
        <w:rPr>
          <w:color w:val="003CA0"/>
          <w:sz w:val="12"/>
        </w:rPr>
        <w:t xml:space="preserve"> | RE 561.836</w:t>
      </w:r>
      <w:r>
        <w:rPr>
          <w:color w:val="003CA0"/>
          <w:sz w:val="12"/>
        </w:rPr>
        <w:t xml:space="preserve"> | rel. Luiz Fux</w:t>
      </w:r>
    </w:p>
    <w:p>
      <w:pPr>
        <w:ind w:left="288"/>
      </w:pPr>
      <w:r>
        <w:rPr>
          <w:color w:val="1E1E1E"/>
          <w:sz w:val="18"/>
        </w:rPr>
        <w:t>Direito monetário. Conversão do padrão monetário: Cruzeiro Real em URV. Direito aos 11,98%, ou do índice decorrente do processo de liquidação, e a sua incorporação. Competência privativa da União para legislar sobre a matéria. Art. 22,  VI, da Constituição da República. Inconstitucionalidade formal da Lei estadual 6.612/1994, que regula o tema da conversão do Cruzeiro Real em URV.</w:t>
        <w:br/>
        <w:t>[RE 561.836, rel. min. Luiz Fux, j. 26-9-2013, P, DJE de 10-2-2014, Tema 5, com mérito julgado.]</w:t>
      </w:r>
    </w:p>
    <w:p>
      <w:pPr>
        <w:ind w:left="144"/>
      </w:pPr>
      <w:r>
        <w:rPr>
          <w:b/>
          <w:color w:val="B45A00"/>
          <w:sz w:val="16"/>
        </w:rPr>
        <w:t>JULGADOS CORRELATOS</w:t>
      </w:r>
    </w:p>
    <w:p>
      <w:pPr>
        <w:ind w:left="288"/>
      </w:pPr>
      <w:r>
        <w:rPr>
          <w:color w:val="8C8C8C"/>
          <w:sz w:val="12"/>
        </w:rPr>
        <w:t>cf-art-22-inc-VI</w:t>
      </w:r>
      <w:r>
        <w:rPr>
          <w:color w:val="003CA0"/>
          <w:sz w:val="12"/>
        </w:rPr>
        <w:t xml:space="preserve"> | RE 183.907</w:t>
      </w:r>
      <w:r>
        <w:rPr>
          <w:color w:val="003CA0"/>
          <w:sz w:val="12"/>
        </w:rPr>
        <w:t xml:space="preserve"> | rel. Ilmar Galvão</w:t>
      </w:r>
    </w:p>
    <w:p>
      <w:pPr>
        <w:ind w:left="288"/>
      </w:pPr>
      <w:r>
        <w:rPr>
          <w:color w:val="1E1E1E"/>
          <w:sz w:val="18"/>
        </w:rPr>
        <w:t>Entendimento assentado pelo STF no sentido da incompetência das unidades federadas para a fixação de índices de correção monetária de créditos fiscais em percentuais superiores aos fixados pela União para o mesmo fim.</w:t>
      </w:r>
    </w:p>
    <w:p>
      <w:pPr>
        <w:ind w:left="288"/>
      </w:pPr>
      <w:r>
        <w:rPr>
          <w:b/>
          <w:color w:val="003CA0"/>
          <w:sz w:val="16"/>
        </w:rPr>
        <w:t>[RE 183.907, rel. min. Ilmar Galvão, j. 29-3-2000, P, DJ de 16-4-2004.]</w:t>
      </w:r>
    </w:p>
    <w:p>
      <w:pPr>
        <w:ind w:left="288"/>
      </w:pPr>
      <w:r>
        <w:rPr>
          <w:color w:val="8C8C8C"/>
          <w:sz w:val="12"/>
        </w:rPr>
        <w:t>cf-art-22-inc-VI</w:t>
      </w:r>
      <w:r>
        <w:rPr>
          <w:color w:val="003CA0"/>
          <w:sz w:val="12"/>
        </w:rPr>
        <w:t xml:space="preserve"> | RE 402.503</w:t>
      </w:r>
      <w:r>
        <w:rPr>
          <w:color w:val="003CA0"/>
          <w:sz w:val="12"/>
        </w:rPr>
        <w:t xml:space="preserve"> | rel. Joaquim Barbosa</w:t>
      </w:r>
    </w:p>
    <w:p>
      <w:pPr>
        <w:ind w:left="288"/>
      </w:pPr>
      <w:r>
        <w:rPr>
          <w:color w:val="1E1E1E"/>
          <w:sz w:val="18"/>
        </w:rPr>
        <w:t>= RE 402.503 AgR, rel. min. Joaquim Barbosa, j. 6-4-2010, 2ª T, DJE de 30-4-2010 Vide ADI 442, rel. min. Eros Grau, j. 14-4-2010, P, DJE de 28-5-2010</w:t>
      </w:r>
    </w:p>
    <w:p>
      <w:pPr>
        <w:ind w:left="288"/>
      </w:pPr>
      <w:r>
        <w:rPr>
          <w:color w:val="8C8C8C"/>
          <w:sz w:val="12"/>
        </w:rPr>
        <w:t>cf-art-22-inc-VII</w:t>
      </w:r>
      <w:r>
        <w:rPr>
          <w:color w:val="003CA0"/>
          <w:sz w:val="12"/>
        </w:rPr>
        <w:t xml:space="preserve"> | ADI 5.022</w:t>
      </w:r>
      <w:r>
        <w:rPr>
          <w:color w:val="003CA0"/>
          <w:sz w:val="12"/>
        </w:rPr>
        <w:t xml:space="preserve"> | rel. Nunes Marques</w:t>
      </w:r>
    </w:p>
    <w:p>
      <w:pPr>
        <w:ind w:left="288"/>
      </w:pPr>
      <w:r>
        <w:rPr>
          <w:color w:val="1E1E1E"/>
          <w:sz w:val="18"/>
        </w:rPr>
        <w:t>A norma estadual impugnada, ao autorizar a liberação unilateral do tomador do empréstimo consignado no caso de a entidade credora estar em liquidação extrajudicial, interfere diretamente na relação contratual entre servidor público e instituição financeira – tema típico do direito civil – bem como no tratamento nacional uniforme alusivo às modalidades de operações creditícias e à recuperação de créditos – matéria inserida na política de crédito. (...) O STF sedimentou compreensão segundo a qual a relevância das atividades desempenhadas pelas instituições financeiras públicas e privadas demanda</w:t>
      </w:r>
    </w:p>
    <w:p>
      <w:pPr>
        <w:ind w:left="288"/>
      </w:pPr>
      <w:r>
        <w:rPr>
          <w:b/>
          <w:color w:val="003CA0"/>
          <w:sz w:val="16"/>
        </w:rPr>
        <w:t>[ADI 5.022, rel. min. Nunes Marques, j. 05.11.2025, P, DJE de 11.11.2025.]</w:t>
      </w:r>
    </w:p>
    <w:p>
      <w:pPr>
        <w:ind w:left="288"/>
      </w:pPr>
      <w:r>
        <w:rPr>
          <w:color w:val="8C8C8C"/>
          <w:sz w:val="12"/>
        </w:rPr>
        <w:t>cf-art-22-inc-VII</w:t>
      </w:r>
      <w:r>
        <w:rPr>
          <w:color w:val="003CA0"/>
          <w:sz w:val="12"/>
        </w:rPr>
        <w:t xml:space="preserve"> | ADI 7.428</w:t>
      </w:r>
      <w:r>
        <w:rPr>
          <w:color w:val="003CA0"/>
          <w:sz w:val="12"/>
        </w:rPr>
        <w:t xml:space="preserve"> | rel. André Mendonça</w:t>
      </w:r>
    </w:p>
    <w:p>
      <w:pPr>
        <w:ind w:left="288"/>
      </w:pPr>
      <w:r>
        <w:rPr>
          <w:color w:val="1E1E1E"/>
          <w:sz w:val="18"/>
        </w:rPr>
        <w:t>A Lei estadual nº 5.980, de 2022, do Estado de Mato Grosso do Sul criou duas obrigações a serem observadas pelas operadoras de planos de saúde, que possuem naturezas jurídicas distintas. A primeira obrigação - que consta do art. 1º da lei sul-mato-grossense - amplia automaticamente a cobertura de todos os planos de saúde contratados e operados dentro do Estado de Mato Grosso do Sul, exigindo das operadoras a inclusão do neonato submetido a tratamento terapêutico, após trinta dias, como dependente do titular do plano de seguro saúde.  Exigências legais como essa têm o condão de interferir diret</w:t>
      </w:r>
    </w:p>
    <w:p>
      <w:pPr>
        <w:ind w:left="288"/>
      </w:pPr>
      <w:r>
        <w:rPr>
          <w:b/>
          <w:color w:val="003CA0"/>
          <w:sz w:val="16"/>
        </w:rPr>
        <w:t>[ADI 7.428, rel. min. André Mendonça, j. 01.09.2025, P, DJE de 11.09.2025.]</w:t>
      </w:r>
    </w:p>
    <w:p>
      <w:pPr>
        <w:ind w:left="288"/>
      </w:pPr>
      <w:r>
        <w:rPr>
          <w:color w:val="8C8C8C"/>
          <w:sz w:val="12"/>
        </w:rPr>
        <w:t>cf-art-22-inc-VII</w:t>
      </w:r>
      <w:r>
        <w:rPr>
          <w:color w:val="003CA0"/>
          <w:sz w:val="12"/>
        </w:rPr>
        <w:t xml:space="preserve"> | ADI 4.293</w:t>
      </w:r>
      <w:r>
        <w:rPr>
          <w:color w:val="003CA0"/>
          <w:sz w:val="12"/>
        </w:rPr>
        <w:t xml:space="preserve"> | rel. Nunes Marques</w:t>
      </w:r>
    </w:p>
    <w:p>
      <w:pPr>
        <w:ind w:left="288"/>
      </w:pPr>
      <w:r>
        <w:rPr>
          <w:color w:val="1E1E1E"/>
          <w:sz w:val="18"/>
        </w:rPr>
        <w:t>Atos normativos estaduais que disciplinem relações contratuais securitárias, ainda que em sede de produção e consumo, bem como preconizem obrigações contratuais relativas a seguros de veículos, inclusive no tocante a regras sobre registro, desmonte e comercialização de veículos sinistrados, invadem a competência da União para legislar sobre direito civil e seguros (CF, art. 22, I e VII).</w:t>
      </w:r>
    </w:p>
    <w:p>
      <w:pPr>
        <w:ind w:left="288"/>
      </w:pPr>
      <w:r>
        <w:rPr>
          <w:b/>
          <w:color w:val="003CA0"/>
          <w:sz w:val="16"/>
        </w:rPr>
        <w:t>[ADI 4.293, rel. min. Nunes Marques, j. 05.03.2025, P, DJE de 14.03.2025.]</w:t>
      </w:r>
    </w:p>
    <w:p>
      <w:pPr>
        <w:ind w:left="144"/>
      </w:pPr>
      <w:r>
        <w:rPr>
          <w:b/>
          <w:color w:val="B45A00"/>
          <w:sz w:val="16"/>
        </w:rPr>
        <w:t>CONTROLE CONCENTRADO</w:t>
      </w:r>
    </w:p>
    <w:p>
      <w:pPr>
        <w:ind w:left="288"/>
      </w:pPr>
      <w:r>
        <w:rPr>
          <w:color w:val="8C8C8C"/>
          <w:sz w:val="12"/>
        </w:rPr>
        <w:t>cf-art-22-inc-VII</w:t>
      </w:r>
      <w:r>
        <w:rPr>
          <w:color w:val="003CA0"/>
          <w:sz w:val="12"/>
        </w:rPr>
        <w:t xml:space="preserve"> | ADI 7.376</w:t>
      </w:r>
      <w:r>
        <w:rPr>
          <w:color w:val="003CA0"/>
          <w:sz w:val="12"/>
        </w:rPr>
        <w:t xml:space="preserve"> | rel. Gilmar Mendes</w:t>
      </w:r>
    </w:p>
    <w:p>
      <w:pPr>
        <w:ind w:left="288"/>
      </w:pPr>
      <w:r>
        <w:rPr>
          <w:color w:val="1E1E1E"/>
          <w:sz w:val="18"/>
        </w:rPr>
        <w:t>É formalmente inconstitucional a Lei 11.081, de 12.4.2022, do Estado do Rio Grande do Norte, pela qual se estabelecem obrigações referentes a cobertura de exames laboratoriais prescritos por nutricionistas: matéria de direito civil e concernente à política de seguros, de competência legislativa privativa da União (incisos I e VII do art. 22 da Constituição da República).</w:t>
        <w:br/>
        <w:t>[ADI 7.376, rel. min. Gilmar Mendes, j. 28-8-2023, P, DJE de 2-10-2023.] É inconstitucional lei estadual que amplia as formas de pagamento dos planos privados de assistência à saúde, individuais ou coletivos, por violação à co</w:t>
      </w:r>
    </w:p>
    <w:p>
      <w:pPr>
        <w:ind w:left="288"/>
      </w:pPr>
      <w:r>
        <w:rPr>
          <w:b/>
          <w:color w:val="003CA0"/>
          <w:sz w:val="16"/>
        </w:rPr>
        <w:t>[ADI 6.495, rel. min. Ricardo Lewandowski, j. 23-11-2020, P, DJE de 3-12-2020.]</w:t>
      </w:r>
    </w:p>
    <w:p>
      <w:pPr>
        <w:ind w:left="288"/>
      </w:pPr>
      <w:r>
        <w:rPr>
          <w:color w:val="8C8C8C"/>
          <w:sz w:val="12"/>
        </w:rPr>
        <w:t>cf-art-22-inc-VII</w:t>
      </w:r>
      <w:r>
        <w:rPr>
          <w:color w:val="003CA0"/>
          <w:sz w:val="12"/>
        </w:rPr>
        <w:t xml:space="preserve"> | ADI 6.475</w:t>
      </w:r>
      <w:r>
        <w:rPr>
          <w:color w:val="003CA0"/>
          <w:sz w:val="12"/>
        </w:rPr>
        <w:t xml:space="preserve"> | rel. Ricardo Lewandowski</w:t>
      </w:r>
    </w:p>
    <w:p>
      <w:pPr>
        <w:ind w:left="288"/>
      </w:pPr>
      <w:r>
        <w:rPr>
          <w:color w:val="1E1E1E"/>
          <w:sz w:val="18"/>
        </w:rPr>
        <w:t>= ADI 6.475, rel. min. Ricardo Lewandowski, j. 17-5-2021, P, DJE de 27-5-2021. 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Veiculação de normas que carac</w:t>
      </w:r>
    </w:p>
    <w:p>
      <w:pPr>
        <w:ind w:left="288"/>
      </w:pPr>
      <w:r>
        <w:rPr>
          <w:b/>
          <w:color w:val="003CA0"/>
          <w:sz w:val="16"/>
        </w:rPr>
        <w:t>[ADI 5.392, rel. min. Rosa Weber, j. 16-9-2020, P, DJE de 5-10-2020.]</w:t>
      </w:r>
    </w:p>
    <w:p>
      <w:pPr>
        <w:ind w:left="288"/>
      </w:pPr>
      <w:r>
        <w:rPr>
          <w:color w:val="8C8C8C"/>
          <w:sz w:val="12"/>
        </w:rPr>
        <w:t>cf-art-22-inc-VII</w:t>
      </w:r>
      <w:r>
        <w:rPr>
          <w:color w:val="003CA0"/>
          <w:sz w:val="12"/>
        </w:rPr>
        <w:t xml:space="preserve"> | ADI 5.173</w:t>
      </w:r>
      <w:r>
        <w:rPr>
          <w:color w:val="003CA0"/>
          <w:sz w:val="12"/>
        </w:rPr>
        <w:t xml:space="preserve"> | rel. Gilmar Mendes</w:t>
      </w:r>
    </w:p>
    <w:p>
      <w:pPr>
        <w:ind w:left="288"/>
      </w:pPr>
      <w:r>
        <w:rPr>
          <w:color w:val="1E1E1E"/>
          <w:sz w:val="18"/>
        </w:rPr>
        <w:t>A competência para legislar sobre planos de saúde é privativa da União. Ainda que a Lei federal 9.656/1998 preceitue a prévia comunicação aos usuários sobre alteração da rede credenciada, não pode Lei estadual impor meio e forma para o cumprimento de tal dever, por não dispor de competência concorrente quanto à matéria.</w:t>
      </w:r>
    </w:p>
    <w:p>
      <w:pPr>
        <w:ind w:left="288"/>
      </w:pPr>
      <w:r>
        <w:rPr>
          <w:b/>
          <w:color w:val="003CA0"/>
          <w:sz w:val="16"/>
        </w:rPr>
        <w:t>[ADI 5.173, rel. min. Gilmar Mendes, j. 6-12-2019, P, DJE de 17-12-2019.]</w:t>
      </w:r>
    </w:p>
    <w:p>
      <w:pPr>
        <w:ind w:left="288"/>
      </w:pPr>
      <w:r>
        <w:rPr>
          <w:color w:val="8C8C8C"/>
          <w:sz w:val="12"/>
        </w:rPr>
        <w:t>cf-art-22-inc-VII</w:t>
      </w:r>
      <w:r>
        <w:rPr>
          <w:color w:val="003CA0"/>
          <w:sz w:val="12"/>
        </w:rPr>
        <w:t xml:space="preserve"> | ADI 3.532</w:t>
      </w:r>
      <w:r>
        <w:rPr>
          <w:color w:val="003CA0"/>
          <w:sz w:val="12"/>
        </w:rPr>
        <w:t xml:space="preserve"> | rel. Edson Fachin</w:t>
      </w:r>
    </w:p>
    <w:p>
      <w:pPr>
        <w:ind w:left="288"/>
      </w:pPr>
      <w:r>
        <w:rPr>
          <w:color w:val="1E1E1E"/>
          <w:sz w:val="18"/>
        </w:rPr>
        <w:t>A política creditícia no âmbito do Sistema Financeiro de Habitação é regulada por legislação federal, destacando-se, sobre o tema disciplinado na norma impugnada, as leis 8.100, de 5 de dezembro de 1990, que dispõe sobre o reajuste das prestações pactuadas nos contratos de financiamento firmados no âmbito do SFH vinculados ao Plano de Equivalência Salarial, e 8.692, de 28 de julho de 1993, a qual define planos de reajustamento dos encargos mensais e dos saldos devedores nos contratos de financiamentos habitacionais no âmbito do SFH. É competência privativa da União legislar sobre política de c</w:t>
      </w:r>
    </w:p>
    <w:p>
      <w:pPr>
        <w:ind w:left="288"/>
      </w:pPr>
      <w:r>
        <w:rPr>
          <w:b/>
          <w:color w:val="003CA0"/>
          <w:sz w:val="16"/>
        </w:rPr>
        <w:t>[ADI 3.532, rel. min. Edson Fachin, j. 29-11-2019, P, DJE de 18-12-2019.]</w:t>
      </w:r>
    </w:p>
    <w:p>
      <w:pPr>
        <w:ind w:left="288"/>
      </w:pPr>
      <w:r>
        <w:rPr>
          <w:color w:val="8C8C8C"/>
          <w:sz w:val="12"/>
        </w:rPr>
        <w:t>cf-art-22-inc-VII</w:t>
      </w:r>
      <w:r>
        <w:rPr>
          <w:color w:val="003CA0"/>
          <w:sz w:val="12"/>
        </w:rPr>
        <w:t xml:space="preserve"> | ADI 4.704</w:t>
      </w:r>
      <w:r>
        <w:rPr>
          <w:color w:val="003CA0"/>
          <w:sz w:val="12"/>
        </w:rPr>
        <w:t xml:space="preserve"> | rel. Luiz Fux</w:t>
      </w:r>
    </w:p>
    <w:p>
      <w:pPr>
        <w:ind w:left="288"/>
      </w:pPr>
      <w:r>
        <w:rPr>
          <w:color w:val="1E1E1E"/>
          <w:sz w:val="18"/>
        </w:rPr>
        <w:t>O artigo 22, VII, da Constituição Federal dispõe que compete privativamente à União legislar sobre seguros, a fim de garantir uma coordenação centralizada das políticas de seguros privados e de regulação das operações, que assegurem a estabilidade do mercado, impedindo os Estados de legislarem livremente acerca das condições e coberturas praticadas pelas seguradoras.</w:t>
      </w:r>
    </w:p>
    <w:p>
      <w:pPr>
        <w:ind w:left="288"/>
      </w:pPr>
      <w:r>
        <w:rPr>
          <w:b/>
          <w:color w:val="003CA0"/>
          <w:sz w:val="16"/>
        </w:rPr>
        <w:t>[ADI 4.704, rel. min. Luiz Fux, j. 21-3-2019, P, DJE de 4-4-2019.]</w:t>
      </w:r>
    </w:p>
    <w:p>
      <w:pPr>
        <w:ind w:left="288"/>
      </w:pPr>
      <w:r>
        <w:rPr>
          <w:color w:val="8C8C8C"/>
          <w:sz w:val="12"/>
        </w:rPr>
        <w:t>cf-art-22-inc-VII</w:t>
      </w:r>
      <w:r>
        <w:rPr>
          <w:color w:val="003CA0"/>
          <w:sz w:val="12"/>
        </w:rPr>
        <w:t xml:space="preserve"> | ADI 3.207</w:t>
      </w:r>
      <w:r>
        <w:rPr>
          <w:color w:val="003CA0"/>
          <w:sz w:val="12"/>
        </w:rPr>
        <w:t xml:space="preserve"> | rel. Alexandre de Moraes</w:t>
      </w:r>
    </w:p>
    <w:p>
      <w:pPr>
        <w:ind w:left="288"/>
      </w:pPr>
      <w:r>
        <w:rPr>
          <w:color w:val="1E1E1E"/>
          <w:sz w:val="18"/>
        </w:rPr>
        <w:t>A Lei 12.562/2004 do Estado de Pernambuco trata da operacionalização dos contratos de seguros atinentes à área da saúde, interferindo nas relações contratuais estabelecidas entre médicos e empresas. Consequentemente, tem por objeto normas de direito civil e de seguros, temas inseridos no rol de competências legislativas privativas da União (art. 22, I e VII, da CF). Os planos de saúde são equiparados à lógica dos contratos de seguro.</w:t>
      </w:r>
    </w:p>
    <w:p>
      <w:pPr>
        <w:ind w:left="288"/>
      </w:pPr>
      <w:r>
        <w:rPr>
          <w:b/>
          <w:color w:val="003CA0"/>
          <w:sz w:val="16"/>
        </w:rPr>
        <w:t>[ADI 3.207, rel. min. Alexandre de Moraes, j. 12-4-2018, P, DJE de 25-4-2018.]</w:t>
      </w:r>
    </w:p>
    <w:p>
      <w:pPr>
        <w:ind w:left="288"/>
      </w:pPr>
      <w:r>
        <w:rPr>
          <w:color w:val="8C8C8C"/>
          <w:sz w:val="12"/>
        </w:rPr>
        <w:t>cf-art-22-inc-VII</w:t>
      </w:r>
      <w:r>
        <w:rPr>
          <w:color w:val="003CA0"/>
          <w:sz w:val="12"/>
        </w:rPr>
        <w:t xml:space="preserve"> | ADI 1.357</w:t>
      </w:r>
      <w:r>
        <w:rPr>
          <w:color w:val="003CA0"/>
          <w:sz w:val="12"/>
        </w:rPr>
        <w:t xml:space="preserve"> | rel. Roberto Barroso</w:t>
      </w:r>
    </w:p>
    <w:p>
      <w:pPr>
        <w:ind w:left="288"/>
      </w:pPr>
      <w:r>
        <w:rPr>
          <w:color w:val="1E1E1E"/>
          <w:sz w:val="18"/>
        </w:rPr>
        <w:t>A Lei distrital 919/1995 tratou de operação de crédito de instituição financeira pública, matéria de competência privativa da União, nos termos dos arts. 21, VIII, e 22, VII, da Constituição. A relevância das atividades desempenhadas pelas instituições financeiras, sejam públicas ou privadas, demanda a existência de uma coordenação centralizada das políticas de crédito e de regulação das operações de financiamento, impedindo os Estados de legislarem livremente acerca das modalidades de crédito praticadas pelos seus bancos públicos.</w:t>
      </w:r>
    </w:p>
    <w:p>
      <w:pPr>
        <w:ind w:left="288"/>
      </w:pPr>
      <w:r>
        <w:rPr>
          <w:b/>
          <w:color w:val="003CA0"/>
          <w:sz w:val="16"/>
        </w:rPr>
        <w:t>[ADI 1.357, rel. min. Roberto Barroso, j. 25-11-2015, P, DJE de 1º-2-2016.]</w:t>
      </w:r>
    </w:p>
    <w:p>
      <w:pPr>
        <w:ind w:left="288"/>
      </w:pPr>
      <w:r>
        <w:rPr>
          <w:color w:val="8C8C8C"/>
          <w:sz w:val="12"/>
        </w:rPr>
        <w:t>cf-art-22-inc-VII</w:t>
      </w:r>
      <w:r>
        <w:rPr>
          <w:color w:val="003CA0"/>
          <w:sz w:val="12"/>
        </w:rPr>
        <w:t xml:space="preserve"> | ADI 4.701</w:t>
      </w:r>
      <w:r>
        <w:rPr>
          <w:color w:val="003CA0"/>
          <w:sz w:val="12"/>
        </w:rPr>
        <w:t xml:space="preserve"> | rel. Roberto Barroso</w:t>
      </w:r>
    </w:p>
    <w:p>
      <w:pPr>
        <w:ind w:left="288"/>
      </w:pPr>
      <w:r>
        <w:rPr>
          <w:color w:val="1E1E1E"/>
          <w:sz w:val="18"/>
        </w:rPr>
        <w:t>Ação direta de inconstitucionalidade. Lei estadual que fixa prazos máximos, segundo a faixa etária dos usuários, para a autorização de exames pelas operadoras de plano de saúde. (...) Os arts. 22, VII; e 21, VIII, da CF atribuem à União competência para legislar sobre seguros e fiscalizar as operações relacionadas a essa matéria. Tais previsões alcançam os planos de saúde, tendo em vista a sua íntima afinidade com a lógica dos contratos de seguro, notadamente por conta do componente atuarial.</w:t>
      </w:r>
    </w:p>
    <w:p>
      <w:pPr>
        <w:ind w:left="288"/>
      </w:pPr>
      <w:r>
        <w:rPr>
          <w:b/>
          <w:color w:val="003CA0"/>
          <w:sz w:val="16"/>
        </w:rPr>
        <w:t>[ADI 4.701, rel. min. Roberto Barroso, j. 13-8-2014, P, DJE de 25-8-2014.]</w:t>
      </w:r>
    </w:p>
    <w:p>
      <w:pPr>
        <w:ind w:left="288"/>
      </w:pPr>
      <w:r>
        <w:rPr>
          <w:color w:val="8C8C8C"/>
          <w:sz w:val="12"/>
        </w:rPr>
        <w:t>cf-art-22-inc-VII</w:t>
      </w:r>
      <w:r>
        <w:rPr>
          <w:color w:val="003CA0"/>
          <w:sz w:val="12"/>
        </w:rPr>
        <w:t xml:space="preserve"> | ADI 1.646</w:t>
      </w:r>
      <w:r>
        <w:rPr>
          <w:color w:val="003CA0"/>
          <w:sz w:val="12"/>
        </w:rPr>
        <w:t xml:space="preserve"> | rel. Gilmar Mendes</w:t>
      </w:r>
    </w:p>
    <w:p>
      <w:pPr>
        <w:ind w:left="288"/>
      </w:pPr>
      <w:r>
        <w:rPr>
          <w:color w:val="1E1E1E"/>
          <w:sz w:val="18"/>
        </w:rPr>
        <w:t>Lei estadual que regula obrigações relativas a serviços de assistência médico-hospitalar regidos por contratos de natureza privada, universalizando a cobertura de doenças (Lei 11.446/1997 do Estado de Pernambuco). Vício formal. Competência privativa da União para legislar sobre direito civil, comercial e sobre política de seguros (CF, art. 22, I e VII).</w:t>
      </w:r>
    </w:p>
    <w:p>
      <w:pPr>
        <w:ind w:left="288"/>
      </w:pPr>
      <w:r>
        <w:rPr>
          <w:b/>
          <w:color w:val="003CA0"/>
          <w:sz w:val="16"/>
        </w:rPr>
        <w:t>[ADI 1.646, rel. min. Gilmar Mendes, j. 2-8-2006, P, DJ de 7-12-2006.]</w:t>
      </w:r>
    </w:p>
    <w:p>
      <w:pPr>
        <w:ind w:left="144"/>
      </w:pPr>
      <w:r>
        <w:rPr>
          <w:b/>
          <w:color w:val="B45A00"/>
          <w:sz w:val="16"/>
        </w:rPr>
        <w:t>REPERCUSSAO GERAL</w:t>
      </w:r>
    </w:p>
    <w:p>
      <w:pPr>
        <w:ind w:left="288"/>
      </w:pPr>
      <w:r>
        <w:rPr>
          <w:color w:val="8C8C8C"/>
          <w:sz w:val="12"/>
        </w:rPr>
        <w:t>cf-art-22-inc-VII</w:t>
      </w:r>
      <w:r>
        <w:rPr>
          <w:color w:val="003CA0"/>
          <w:sz w:val="12"/>
        </w:rPr>
        <w:t xml:space="preserve"> | RE 588.149</w:t>
      </w:r>
      <w:r>
        <w:rPr>
          <w:color w:val="003CA0"/>
          <w:sz w:val="12"/>
        </w:rPr>
        <w:t xml:space="preserve"> | rel. Gilmar Mendes</w:t>
      </w:r>
    </w:p>
    <w:p>
      <w:pPr>
        <w:ind w:left="288"/>
      </w:pPr>
      <w:r>
        <w:rPr>
          <w:color w:val="1E1E1E"/>
          <w:sz w:val="18"/>
        </w:rPr>
        <w:t>ICMS. Incidência. Seguradoras. Venda de veículos salvados. Inconstitucionalidade. Ofensa aos arts. 22, VII, e 153, V, da CF. (...) O art. 7º, § 1º, item 4, da Lei paulista 6.374, de 1º-3-1989, previu a incidência de ICMS sobre as operações de vendas, por seguradoras, de veículos envolvidos em sinistros. Vendas que se integram à própria operação de seguro, constituindo recuperação de receitas e não atividade mercantil.</w:t>
      </w:r>
    </w:p>
    <w:p>
      <w:pPr>
        <w:ind w:left="288"/>
      </w:pPr>
      <w:r>
        <w:rPr>
          <w:b/>
          <w:color w:val="003CA0"/>
          <w:sz w:val="16"/>
        </w:rPr>
        <w:t>[RE 588.149, rel. min. Gilmar Mendes, j. 16-2-2011, P, DJE de 6-6-2011, Tema 216, com mérito julgado.]</w:t>
      </w:r>
    </w:p>
    <w:p>
      <w:pPr>
        <w:ind w:left="144"/>
      </w:pPr>
      <w:r>
        <w:rPr>
          <w:b/>
          <w:color w:val="B45A00"/>
          <w:sz w:val="16"/>
        </w:rPr>
        <w:t>CONTROLE CONCENTRADO</w:t>
      </w:r>
    </w:p>
    <w:p>
      <w:pPr>
        <w:ind w:left="288"/>
      </w:pPr>
      <w:r>
        <w:rPr>
          <w:color w:val="8C8C8C"/>
          <w:sz w:val="12"/>
        </w:rPr>
        <w:t>cf-art-22-inc-VIII</w:t>
      </w:r>
      <w:r>
        <w:rPr>
          <w:color w:val="003CA0"/>
          <w:sz w:val="12"/>
        </w:rPr>
        <w:t xml:space="preserve"> | ADI 5.995</w:t>
      </w:r>
      <w:r>
        <w:rPr>
          <w:color w:val="003CA0"/>
          <w:sz w:val="12"/>
        </w:rPr>
        <w:t xml:space="preserve"> | rel. Gilmar Mendes</w:t>
      </w:r>
    </w:p>
    <w:p>
      <w:pPr>
        <w:ind w:left="288"/>
      </w:pPr>
      <w:r>
        <w:rPr>
          <w:color w:val="1E1E1E"/>
          <w:sz w:val="18"/>
        </w:rPr>
        <w:t>Lei nº 7.814, de 15 de dezembro de 2017, do Estado do Rio de Janeiro, que dispõe sobre a proibição, no Estado, da utilização de animais para desenvolvimento, experimento e teste de produtos cosméticos, higiene pessoal, perfumes, limpeza e seus componentes. (...) Usurpação de competência da União. Limitações a comercialização dos produtos derivados dessas atividades no Estado do Rio de Janeiro. Restrição ao mercado interestadual. Alegação de ofensa aos artigo 22, VIII e 24, VI da Constituição Federal. Ocorrência.</w:t>
        <w:br/>
        <w:t>[ADI 5.995, rel. min. Gilmar Mendes, j. 27-5-2021, P, DJE de 20-10-2021.] Lei 1.93</w:t>
      </w:r>
    </w:p>
    <w:p>
      <w:pPr>
        <w:ind w:left="288"/>
      </w:pPr>
      <w:r>
        <w:rPr>
          <w:b/>
          <w:color w:val="003CA0"/>
          <w:sz w:val="16"/>
        </w:rPr>
        <w:t>[ADI 750, rel. min. Gilmar Mendes, j. 3-8-2017, P, DJE de 9-3-2018.]</w:t>
      </w:r>
    </w:p>
    <w:p>
      <w:pPr>
        <w:ind w:left="288"/>
      </w:pPr>
      <w:r>
        <w:rPr>
          <w:color w:val="8C8C8C"/>
          <w:sz w:val="12"/>
        </w:rPr>
        <w:t>cf-art-22-inc-VIII</w:t>
      </w:r>
      <w:r>
        <w:rPr>
          <w:color w:val="003CA0"/>
          <w:sz w:val="12"/>
        </w:rPr>
        <w:t xml:space="preserve"> | ADI 3.813</w:t>
      </w:r>
      <w:r>
        <w:rPr>
          <w:color w:val="003CA0"/>
          <w:sz w:val="12"/>
        </w:rPr>
        <w:t xml:space="preserve"> | rel. Dias Toffoli</w:t>
      </w:r>
    </w:p>
    <w:p>
      <w:pPr>
        <w:ind w:left="288"/>
      </w:pPr>
      <w:r>
        <w:rPr>
          <w:color w:val="1E1E1E"/>
          <w:sz w:val="18"/>
        </w:rPr>
        <w:t>É formalmente inconstitucional a lei estadual que cria restrições à comercialização, à estocagem e ao trânsito de produtos agrícolas importados no Estado, ainda que tenha por objetivo a proteção da saúde dos consumidores diante do possível uso indevido de agrotóxicos por outros países. A matéria é predominantemente de comércio exterior e interestadual, sendo, portanto, de competência privativa da União (CF, art. 22, VIII).</w:t>
        <w:br/>
        <w:t xml:space="preserve">[ADI 3.813, rel. min. Dias Toffoli, j. 12-2-2015, P, DJE de 20-4-2015.] Ação direta de inconstitucionalidade contra a integralidade da Lei estadual 8.299, de 29-1-2003, que </w:t>
      </w:r>
    </w:p>
    <w:p>
      <w:pPr>
        <w:ind w:left="288"/>
      </w:pPr>
      <w:r>
        <w:rPr>
          <w:b/>
          <w:color w:val="003CA0"/>
          <w:sz w:val="16"/>
        </w:rPr>
        <w:t>[ADI 2.866 e ADI 3.001, rel. min. Gilmar Mendes, j. 12-5-2010, P, DJE de 6-8-2010.]</w:t>
      </w:r>
    </w:p>
    <w:p>
      <w:pPr>
        <w:ind w:left="288"/>
      </w:pPr>
      <w:r>
        <w:rPr>
          <w:color w:val="8C8C8C"/>
          <w:sz w:val="12"/>
        </w:rPr>
        <w:t>cf-art-22-inc-VIII</w:t>
      </w:r>
      <w:r>
        <w:rPr>
          <w:color w:val="003CA0"/>
          <w:sz w:val="12"/>
        </w:rPr>
        <w:t xml:space="preserve"> | ADI 1.980</w:t>
      </w:r>
      <w:r>
        <w:rPr>
          <w:color w:val="003CA0"/>
          <w:sz w:val="12"/>
        </w:rPr>
        <w:t xml:space="preserve"> | rel. Sydney Sanches) no sentido de que não invade esfera de competência da União</w:t>
      </w:r>
    </w:p>
    <w:p>
      <w:pPr>
        <w:ind w:left="288"/>
      </w:pPr>
      <w:r>
        <w:rPr>
          <w:color w:val="1E1E1E"/>
          <w:sz w:val="18"/>
        </w:rPr>
        <w:t>Ação direta de inconstitucionalidade contra Lei paranaense 13.519, de 8-4-2002, que estabelece obrigatoriedade de informação, conforme especifica, nos rótulos de embalagens de café comercializado no Paraná. (...) Não há usurpação de competência da União para legislar sobre direito comercial e comércio interestadual porque o ato normativo impugnado buscou, tão somente, assegurar a proteção ao consumidor. Precedente deste Tribunal (ADI 1.980 MC, rel. min. Sydney Sanches) no sentido de que não invade esfera de competência da União, para legislar sobre normas gerais, lei paranaense que assegura ao</w:t>
      </w:r>
    </w:p>
    <w:p>
      <w:pPr>
        <w:ind w:left="288"/>
      </w:pPr>
      <w:r>
        <w:rPr>
          <w:b/>
          <w:color w:val="003CA0"/>
          <w:sz w:val="16"/>
        </w:rPr>
        <w:t>[ADI 2.832, rel. min. Ricardo Lewandowski, j. 7-5-2008, P, DJE de 20-6-2008.]</w:t>
      </w:r>
    </w:p>
    <w:p>
      <w:pPr>
        <w:ind w:left="288"/>
      </w:pPr>
      <w:r>
        <w:rPr>
          <w:color w:val="8C8C8C"/>
          <w:sz w:val="12"/>
        </w:rPr>
        <w:t>cf-art-22-inc-IX</w:t>
      </w:r>
      <w:r>
        <w:rPr>
          <w:color w:val="003CA0"/>
          <w:sz w:val="12"/>
        </w:rPr>
        <w:t xml:space="preserve"> | ADI 7.852</w:t>
      </w:r>
      <w:r>
        <w:rPr>
          <w:color w:val="003CA0"/>
          <w:sz w:val="12"/>
        </w:rPr>
        <w:t xml:space="preserve"> | rel. Alexandre de Moraes</w:t>
      </w:r>
    </w:p>
    <w:p>
      <w:pPr>
        <w:ind w:left="288"/>
      </w:pPr>
      <w:r>
        <w:rPr>
          <w:color w:val="1E1E1E"/>
          <w:sz w:val="18"/>
        </w:rPr>
        <w:t>A Lei 12.587/2012 (Política Nacional de Mobilidade Urbana), com a redação dada pela Lei 13.640/2018, atribui exclusivamente aos Municípios e ao Distrito Federal a regulamentação e fiscalização do transporte remunerado privado individual de passageiros. A jurisprudência da CORTE reconhece a inconstitucionalidade de leis estaduais que disciplinam transporte individual de passageiros, por invadirem competência privativa da União (...).</w:t>
      </w:r>
    </w:p>
    <w:p>
      <w:pPr>
        <w:ind w:left="288"/>
      </w:pPr>
      <w:r>
        <w:rPr>
          <w:b/>
          <w:color w:val="003CA0"/>
          <w:sz w:val="16"/>
        </w:rPr>
        <w:t>[ADI 7.852 MC-REF, rel. min. Alexandre de Moraes, j. 11.11.2025, P, DJE de 07.01.2026.]</w:t>
      </w:r>
    </w:p>
    <w:p>
      <w:pPr>
        <w:ind w:left="288"/>
      </w:pPr>
      <w:r>
        <w:rPr>
          <w:color w:val="8C8C8C"/>
          <w:sz w:val="12"/>
        </w:rPr>
        <w:t>cf-art-22-inc-IX</w:t>
      </w:r>
      <w:r>
        <w:rPr>
          <w:color w:val="003CA0"/>
          <w:sz w:val="12"/>
        </w:rPr>
        <w:t xml:space="preserve"> | ADI 3.625</w:t>
      </w:r>
      <w:r>
        <w:rPr>
          <w:color w:val="003CA0"/>
          <w:sz w:val="12"/>
        </w:rPr>
        <w:t xml:space="preserve"> | rel. Cezar Peluso</w:t>
      </w:r>
    </w:p>
    <w:p>
      <w:pPr>
        <w:ind w:left="288"/>
      </w:pPr>
      <w:r>
        <w:rPr>
          <w:color w:val="1E1E1E"/>
          <w:sz w:val="18"/>
        </w:rPr>
        <w:t>É inconstitucional a lei distrital que torna obrigatória, sob pena pecuniária a ser definida pelo Poder Executivo, a iluminação interna dos veículos fechados, no período das dezoito às seis horas, quando se aproximem de blitz ou barreira policial.</w:t>
      </w:r>
    </w:p>
    <w:p>
      <w:pPr>
        <w:ind w:left="288"/>
      </w:pPr>
      <w:r>
        <w:rPr>
          <w:b/>
          <w:color w:val="003CA0"/>
          <w:sz w:val="16"/>
        </w:rPr>
        <w:t>[ADI 3.625, rel. min. Cezar Peluso, j. 4-3-2009, P, DJE de 15-5-2009.]</w:t>
      </w:r>
    </w:p>
    <w:p>
      <w:pPr>
        <w:ind w:left="288"/>
      </w:pPr>
      <w:r>
        <w:rPr>
          <w:color w:val="8C8C8C"/>
          <w:sz w:val="12"/>
        </w:rPr>
        <w:t>cf-art-22-inc-IX</w:t>
      </w:r>
      <w:r>
        <w:rPr>
          <w:color w:val="003CA0"/>
          <w:sz w:val="12"/>
        </w:rPr>
        <w:t xml:space="preserve"> | ARE 1.481.151</w:t>
      </w:r>
      <w:r>
        <w:rPr>
          <w:color w:val="003CA0"/>
          <w:sz w:val="12"/>
        </w:rPr>
        <w:t xml:space="preserve"> | rel. Gilmar Mendes</w:t>
      </w:r>
    </w:p>
    <w:p>
      <w:pPr>
        <w:ind w:left="288"/>
      </w:pPr>
      <w:r>
        <w:rPr>
          <w:color w:val="1E1E1E"/>
          <w:sz w:val="18"/>
        </w:rPr>
        <w:t>Na espécie, o Tribunal de origem reconheceu a inconstitucionalidade da Lei 8.014, de 27 de maio de 2022, do Município de Guarulhos, a qual institui Taxa de Proteção Ambiental incidente sobre o trânsito de aeronaves no aeroporto localizado na referida municipalidade. Verifica-se que a pretexto de subsidiar o poder de polícia municipal em defesa do meio ambiente, a norma impugnada criou, de fato, uma taxa sobre a atividade aeroportuária realizada naquela municipalidade, violando, dessa forma o disposto no artigo 22, incisos I, IX e X, do texto constitucional.</w:t>
      </w:r>
    </w:p>
    <w:p>
      <w:pPr>
        <w:ind w:left="288"/>
      </w:pPr>
      <w:r>
        <w:rPr>
          <w:b/>
          <w:color w:val="003CA0"/>
          <w:sz w:val="16"/>
        </w:rPr>
        <w:t>[ARE 1.481.151, rel. min. Gilmar Mendes, j. 24.02.2024, P, DJE de 25.03.2025.]</w:t>
      </w:r>
    </w:p>
    <w:p>
      <w:pPr>
        <w:ind w:left="288"/>
      </w:pPr>
      <w:r>
        <w:rPr>
          <w:color w:val="8C8C8C"/>
          <w:sz w:val="12"/>
        </w:rPr>
        <w:t>cf-art-22-inc-X</w:t>
      </w:r>
      <w:r>
        <w:rPr>
          <w:color w:val="003CA0"/>
          <w:sz w:val="12"/>
        </w:rPr>
        <w:t xml:space="preserve"> | ARE 1.481.151</w:t>
      </w:r>
      <w:r>
        <w:rPr>
          <w:color w:val="003CA0"/>
          <w:sz w:val="12"/>
        </w:rPr>
        <w:t xml:space="preserve"> | rel. Gilmar Mendes</w:t>
      </w:r>
    </w:p>
    <w:p>
      <w:pPr>
        <w:ind w:left="288"/>
      </w:pPr>
      <w:r>
        <w:rPr>
          <w:color w:val="1E1E1E"/>
          <w:sz w:val="18"/>
        </w:rPr>
        <w:t>Na espécie, o Tribunal de origem reconheceu a inconstitucionalidade da Lei 8.014, de 27 de maio de 2022, do Município de Guarulhos, a qual institui Taxa de Proteção Ambiental incidente sobre o trânsito de aeronaves no aeroporto localizado na referida municipalidade. Verifica-se que a pretexto de subsidiar o poder de polícia municipal em defesa do meio ambiente, a norma impugnada criou, de fato, uma taxa sobre a atividade aeroportuária realizada naquela municipalidade, violando, dessa forma o disposto no artigo 22, incisos I, IX e X, do texto constitucional.</w:t>
      </w:r>
    </w:p>
    <w:p>
      <w:pPr>
        <w:ind w:left="288"/>
      </w:pPr>
      <w:r>
        <w:rPr>
          <w:b/>
          <w:color w:val="003CA0"/>
          <w:sz w:val="16"/>
        </w:rPr>
        <w:t>[ARE 1.481.151, rel. min. Gilmar Mendes, j. 24.02.2024, P, DJE de 25.03.2025.]</w:t>
      </w:r>
    </w:p>
    <w:p>
      <w:pPr>
        <w:ind w:left="288"/>
      </w:pPr>
      <w:r>
        <w:rPr>
          <w:color w:val="8C8C8C"/>
          <w:sz w:val="12"/>
        </w:rPr>
        <w:t>cf-art-22-inc-XI</w:t>
      </w:r>
      <w:r>
        <w:rPr>
          <w:color w:val="003CA0"/>
          <w:sz w:val="12"/>
        </w:rPr>
        <w:t xml:space="preserve"> | ADI 7.852</w:t>
      </w:r>
      <w:r>
        <w:rPr>
          <w:color w:val="003CA0"/>
          <w:sz w:val="12"/>
        </w:rPr>
        <w:t xml:space="preserve"> | rel. Alexandre de Moraes</w:t>
      </w:r>
    </w:p>
    <w:p>
      <w:pPr>
        <w:ind w:left="288"/>
      </w:pPr>
      <w:r>
        <w:rPr>
          <w:color w:val="1E1E1E"/>
          <w:sz w:val="18"/>
        </w:rPr>
        <w:t>A Lei 12.587/2012 (Política Nacional de Mobilidade Urbana), com a redação dada pela Lei 13.640/2018, atribui exclusivamente aos Municípios e ao Distrito Federal a regulamentação e fiscalização do transporte remunerado privado individual de passageiros. A jurisprudência da CORTE reconhece a inconstitucionalidade de leis estaduais que disciplinam transporte individual de passageiros, por invadirem competência privativa da União (...).</w:t>
      </w:r>
    </w:p>
    <w:p>
      <w:pPr>
        <w:ind w:left="288"/>
      </w:pPr>
      <w:r>
        <w:rPr>
          <w:b/>
          <w:color w:val="003CA0"/>
          <w:sz w:val="16"/>
        </w:rPr>
        <w:t>[ADI 7.852 MC-REF, rel. min. Alexandre de Moraes, j. 11.11.2025, P, DJE de 07.01.2026.]</w:t>
      </w:r>
    </w:p>
    <w:p>
      <w:pPr>
        <w:ind w:left="288"/>
      </w:pPr>
      <w:r>
        <w:rPr>
          <w:color w:val="8C8C8C"/>
          <w:sz w:val="12"/>
        </w:rPr>
        <w:t>cf-art-22-inc-XI</w:t>
      </w:r>
      <w:r>
        <w:rPr>
          <w:color w:val="003CA0"/>
          <w:sz w:val="12"/>
        </w:rPr>
        <w:t xml:space="preserve"> | ADPF 1.028</w:t>
      </w:r>
      <w:r>
        <w:rPr>
          <w:color w:val="003CA0"/>
          <w:sz w:val="12"/>
        </w:rPr>
        <w:t xml:space="preserve"> | rel. Edson Fachin</w:t>
      </w:r>
    </w:p>
    <w:p>
      <w:pPr>
        <w:ind w:left="288"/>
      </w:pPr>
      <w:r>
        <w:rPr>
          <w:color w:val="1E1E1E"/>
          <w:sz w:val="18"/>
        </w:rPr>
        <w:t>Taxa de Vistorias de Segurança em Meios de Transporte Relativamente a Equipamentos de Proteção Contra Incêndio, Atendimento Pré Hospitalar em Acidentes de Trânsito e Combate a Incêndios (TVPHCI). (...) A TVPHCI, por envolver vistoria veicular para verificação de equipamentos de proteção contra incêndio, invade a competência privativa da União em matéria de trânsito e transporte (art. 22, XI, CF), conforme jurisprudência do STF.</w:t>
      </w:r>
    </w:p>
    <w:p>
      <w:pPr>
        <w:ind w:left="288"/>
      </w:pPr>
      <w:r>
        <w:rPr>
          <w:b/>
          <w:color w:val="003CA0"/>
          <w:sz w:val="16"/>
        </w:rPr>
        <w:t>[ADPF 1.028 e ADPF 1.029, rel. min. Edson Fachin, j. 26.03.2025, P, DJE de 30.05.2025.]</w:t>
      </w:r>
    </w:p>
    <w:p>
      <w:pPr>
        <w:ind w:left="288"/>
      </w:pPr>
      <w:r>
        <w:rPr>
          <w:color w:val="8C8C8C"/>
          <w:sz w:val="12"/>
        </w:rPr>
        <w:t>cf-art-22-inc-XI</w:t>
      </w:r>
      <w:r>
        <w:rPr>
          <w:color w:val="003CA0"/>
          <w:sz w:val="12"/>
        </w:rPr>
        <w:t xml:space="preserve"> | ADI 5.796</w:t>
      </w:r>
      <w:r>
        <w:rPr>
          <w:color w:val="003CA0"/>
          <w:sz w:val="12"/>
        </w:rPr>
        <w:t xml:space="preserve"> | rel. Ricardo Lewandowski</w:t>
      </w:r>
    </w:p>
    <w:p>
      <w:pPr>
        <w:ind w:left="288"/>
      </w:pPr>
      <w:r>
        <w:rPr>
          <w:color w:val="1E1E1E"/>
          <w:sz w:val="18"/>
        </w:rPr>
        <w:t>Os atos normativos questionados, ao autorizarem a circulação dos veículos automotores nas vias públicas sem que tenha sido providenciado o regular pagamento do IPVA, disciplinando, diferentemente do Código de Trânsito Brasileiro, sobre os requisitos de licenciamento, vistoria anual e emissão do certificado de registro de veículo automotor, antes de tratarem de matéria tributária, disciplinam típica matéria de trânsito e transporte, cuja competência é privativa da União Federal, conforme estabelecido no art. 22, XI, da Constituição da República.</w:t>
      </w:r>
    </w:p>
    <w:p>
      <w:pPr>
        <w:ind w:left="288"/>
      </w:pPr>
      <w:r>
        <w:rPr>
          <w:b/>
          <w:color w:val="003CA0"/>
          <w:sz w:val="16"/>
        </w:rPr>
        <w:t>[ADI 5.796, rel. min. Ricardo Lewandowski, j. 8-4-2021, P, DJE de 16-4-2021.]</w:t>
      </w:r>
    </w:p>
    <w:p>
      <w:pPr>
        <w:ind w:left="288"/>
      </w:pPr>
      <w:r>
        <w:rPr>
          <w:color w:val="8C8C8C"/>
          <w:sz w:val="12"/>
        </w:rPr>
        <w:t>cf-art-22-inc-XI</w:t>
      </w:r>
      <w:r>
        <w:rPr>
          <w:color w:val="003CA0"/>
          <w:sz w:val="12"/>
        </w:rPr>
        <w:t xml:space="preserve"> | ADI 4.551</w:t>
      </w:r>
      <w:r>
        <w:rPr>
          <w:color w:val="003CA0"/>
          <w:sz w:val="12"/>
        </w:rPr>
        <w:t xml:space="preserve"> | rel. Cármen Lúcia</w:t>
      </w:r>
    </w:p>
    <w:p>
      <w:pPr>
        <w:ind w:left="288"/>
      </w:pPr>
      <w:r>
        <w:rPr>
          <w:color w:val="1E1E1E"/>
          <w:sz w:val="18"/>
        </w:rPr>
        <w:t>Lei 9.270/2009, do Rio Grande do Norte: programa de inspeção e manutenção veicular da frota do estado quanto à emissão de poluentes e ruídos. Alegada inconstitucionalidade dos dispositivos da lei potiguar determinante de pagamento de tarifa sobre inspeção veicular. (...) Concessão de serviço público: norma indissociável da previsão legal de cobrança de tarifa. Inconstitucionalidade formal por usurpação da competência privativa da união para legislar sobre trânsito e transporte. inc. II do art. 22 da Constituição da República.</w:t>
      </w:r>
    </w:p>
    <w:p>
      <w:pPr>
        <w:ind w:left="288"/>
      </w:pPr>
      <w:r>
        <w:rPr>
          <w:b/>
          <w:color w:val="003CA0"/>
          <w:sz w:val="16"/>
        </w:rPr>
        <w:t>[ADI 4.551, rel. min. Cármen Lúcia, j. 5-8-2020, P, DJE de 25-8-2020.]</w:t>
      </w:r>
    </w:p>
    <w:p>
      <w:pPr>
        <w:ind w:left="288"/>
      </w:pPr>
      <w:r>
        <w:rPr>
          <w:color w:val="8C8C8C"/>
          <w:sz w:val="12"/>
        </w:rPr>
        <w:t>cf-art-22-inc-XI</w:t>
      </w:r>
      <w:r>
        <w:rPr>
          <w:color w:val="003CA0"/>
          <w:sz w:val="12"/>
        </w:rPr>
        <w:t xml:space="preserve"> | ADI 3.671</w:t>
      </w:r>
      <w:r>
        <w:rPr>
          <w:color w:val="003CA0"/>
          <w:sz w:val="12"/>
        </w:rPr>
        <w:t xml:space="preserve"> | rel. Gilmar Mendes</w:t>
      </w:r>
    </w:p>
    <w:p>
      <w:pPr>
        <w:ind w:left="288"/>
      </w:pPr>
      <w:r>
        <w:rPr>
          <w:color w:val="1E1E1E"/>
          <w:sz w:val="18"/>
        </w:rPr>
        <w:t>Obrigatoriedade de equipar os ônibus utilizados no serviço público de transporte coletivo com dispositivos redutores de estresse para motoristas e cobradores. Inconstitucionalidade. Competência privativa da União para legislar sobre trânsito e transporte bem como sobre direito do trabalho.</w:t>
      </w:r>
    </w:p>
    <w:p>
      <w:pPr>
        <w:ind w:left="288"/>
      </w:pPr>
      <w:r>
        <w:rPr>
          <w:b/>
          <w:color w:val="003CA0"/>
          <w:sz w:val="16"/>
        </w:rPr>
        <w:t>[ADI 3.671, rel. min. Gilmar Mendes, j. 21-2-2020, P, DJE de 20-3-2020.]</w:t>
      </w:r>
    </w:p>
    <w:p>
      <w:pPr>
        <w:ind w:left="288"/>
      </w:pPr>
      <w:r>
        <w:rPr>
          <w:color w:val="8C8C8C"/>
          <w:sz w:val="12"/>
        </w:rPr>
        <w:t>cf-art-22-inc-XI</w:t>
      </w:r>
      <w:r>
        <w:rPr>
          <w:color w:val="003CA0"/>
          <w:sz w:val="12"/>
        </w:rPr>
        <w:t xml:space="preserve"> | ADI 5.774</w:t>
      </w:r>
      <w:r>
        <w:rPr>
          <w:color w:val="003CA0"/>
          <w:sz w:val="12"/>
        </w:rPr>
        <w:t xml:space="preserve"> | rel. Alexandre de Moraes</w:t>
      </w:r>
    </w:p>
    <w:p>
      <w:pPr>
        <w:ind w:left="288"/>
      </w:pPr>
      <w:r>
        <w:rPr>
          <w:color w:val="1E1E1E"/>
          <w:sz w:val="18"/>
        </w:rPr>
        <w:t>Lei 20.805/2013 do Estado de Minas Gerais. Limitação do credenciamento de clínicas para realização de exames de aptidão física, mental e de avaliação psicológica. (...) A norma impugnada, ao limitar o credenciamento de clínicas médicas e psicológicas (...) a um critério demográfico (proporção de um estabelecimento para cada quarenta mil eleitores), invadiu a competência da União para legislar sobre trânsito e transporte (art. 22, XI, da CF).</w:t>
      </w:r>
    </w:p>
    <w:p>
      <w:pPr>
        <w:ind w:left="288"/>
      </w:pPr>
      <w:r>
        <w:rPr>
          <w:b/>
          <w:color w:val="003CA0"/>
          <w:sz w:val="16"/>
        </w:rPr>
        <w:t>[ADI 5.774, rel. min. Alexandre de Moraes, j. 20-9-2019, P, DJE de 3-10-2019.]</w:t>
      </w:r>
    </w:p>
    <w:p>
      <w:pPr>
        <w:ind w:left="288"/>
      </w:pPr>
      <w:r>
        <w:rPr>
          <w:color w:val="8C8C8C"/>
          <w:sz w:val="12"/>
        </w:rPr>
        <w:t>cf-art-22-inc-XI</w:t>
      </w:r>
      <w:r>
        <w:rPr>
          <w:color w:val="003CA0"/>
          <w:sz w:val="12"/>
        </w:rPr>
        <w:t xml:space="preserve"> | ADI 4.338</w:t>
      </w:r>
      <w:r>
        <w:rPr>
          <w:color w:val="003CA0"/>
          <w:sz w:val="12"/>
        </w:rPr>
        <w:t xml:space="preserve"> | rel. Rosa Weber</w:t>
      </w:r>
    </w:p>
    <w:p>
      <w:pPr>
        <w:ind w:left="288"/>
      </w:pPr>
      <w:r>
        <w:rPr>
          <w:color w:val="1E1E1E"/>
          <w:sz w:val="18"/>
        </w:rPr>
        <w:t>Ao estender a aplicação do direito distrital ao transporte de passageiros realizado entre o Distrito Federal e a região do Entorno, transcendendo os limites territoriais do ente federado, o art. 2º da Lei 4.112/2008 do Distrito Federal invade a competência da União para explorar e regular o transporte interestadual de passageiros, ainda que de feição urbana.</w:t>
        <w:br/>
        <w:t>[ADI 4.338, rel. min. Rosa Weber, j. 23-8-2019, P, DJE de 9-9-2019.] Na forma da jurisprudência do Supremo, compete à União legislar sobre ‘trânsito e transporte’ – artigo 22, inciso XI, da Constituição Federal –, incluída matéria relativa</w:t>
      </w:r>
    </w:p>
    <w:p>
      <w:pPr>
        <w:ind w:left="288"/>
      </w:pPr>
      <w:r>
        <w:rPr>
          <w:b/>
          <w:color w:val="003CA0"/>
          <w:sz w:val="16"/>
        </w:rPr>
        <w:t>[ADI 5.332, rel. min. Cármen Lúcia, j. 30-6-2017, P, DJE de 24-8-2017.]</w:t>
      </w:r>
    </w:p>
    <w:p>
      <w:pPr>
        <w:ind w:left="288"/>
      </w:pPr>
      <w:r>
        <w:rPr>
          <w:color w:val="8C8C8C"/>
          <w:sz w:val="12"/>
        </w:rPr>
        <w:t>cf-art-22-inc-XI</w:t>
      </w:r>
      <w:r>
        <w:rPr>
          <w:color w:val="003CA0"/>
          <w:sz w:val="12"/>
        </w:rPr>
        <w:t xml:space="preserve"> | ADI 3.327</w:t>
      </w:r>
      <w:r>
        <w:rPr>
          <w:color w:val="003CA0"/>
          <w:sz w:val="12"/>
        </w:rPr>
        <w:t xml:space="preserve"> | rel. Joaquim Barbosa</w:t>
      </w:r>
    </w:p>
    <w:p>
      <w:pPr>
        <w:ind w:left="288"/>
      </w:pPr>
      <w:r>
        <w:rPr>
          <w:color w:val="1E1E1E"/>
          <w:sz w:val="18"/>
        </w:rPr>
        <w:t>Leis capixabas 5.717/1998 e 6.931/2001. Autorização de utilização, pela polícia militar ou pela polícia civil do estado, de veículos apreendidos e não identificados quanto à procedência e à propriedade, exclusivamente no trabalho de repressão penal. Questão afeta à administração pública estadual: competência não atribuída privativamente à União.</w:t>
        <w:br/>
        <w:t xml:space="preserve">[ADI 3.327, red. do ac. min. Cármen Lúcia, j. 8-8-2013, P, DJE de 30-10-2014.] </w:t>
        <w:br/>
        <w:t>Vide ADI 3.639, rel. min. Joaquim Barbosa, j. 23-5-2013, P, DJE de 7-10-2013 Violação da competência privativa da União para legislar sobre trânsito e transporte. (...) Inc</w:t>
      </w:r>
    </w:p>
    <w:p>
      <w:pPr>
        <w:ind w:left="288"/>
      </w:pPr>
      <w:r>
        <w:rPr>
          <w:b/>
          <w:color w:val="003CA0"/>
          <w:sz w:val="16"/>
        </w:rPr>
        <w:t>[ADI 2.960, rel. min. Dias Toffoli, j. 11-4-2013, P, DJE de 9-5-2013.]</w:t>
      </w:r>
    </w:p>
    <w:p>
      <w:pPr>
        <w:ind w:left="288"/>
      </w:pPr>
      <w:r>
        <w:rPr>
          <w:color w:val="8C8C8C"/>
          <w:sz w:val="12"/>
        </w:rPr>
        <w:t>cf-art-22-inc-XI</w:t>
      </w:r>
      <w:r>
        <w:rPr>
          <w:color w:val="003CA0"/>
          <w:sz w:val="12"/>
        </w:rPr>
        <w:t xml:space="preserve"> | ADI 2.137</w:t>
      </w:r>
      <w:r>
        <w:rPr>
          <w:color w:val="003CA0"/>
          <w:sz w:val="12"/>
        </w:rPr>
        <w:t xml:space="preserve"> | rel. Dias Toffoli</w:t>
      </w:r>
    </w:p>
    <w:p>
      <w:pPr>
        <w:ind w:left="288"/>
      </w:pPr>
      <w:r>
        <w:rPr>
          <w:color w:val="1E1E1E"/>
          <w:sz w:val="18"/>
        </w:rPr>
        <w:t>Lei 3.279/1999 do Estado do Rio de Janeiro, que dispõe sobre o cancelamento de multas de trânsito anotadas em rodovias estaduais em certo período relativas a determinada espécie de veículo. Inconstitucionalidade formal. (...) Somente a própria União pode anistiar ou perdoar as multas aplicadas pelos órgãos responsáveis, restando patente a invasão da competência privativa da União no caso em questão.</w:t>
      </w:r>
    </w:p>
    <w:p>
      <w:pPr>
        <w:ind w:left="288"/>
      </w:pPr>
      <w:r>
        <w:rPr>
          <w:b/>
          <w:color w:val="003CA0"/>
          <w:sz w:val="16"/>
        </w:rPr>
        <w:t>[ADI 2.137, rel. min. Dias Toffoli, j. 11-4-2013, P, DJE de 9-5-2013.]</w:t>
      </w:r>
    </w:p>
    <w:p>
      <w:pPr>
        <w:ind w:left="288"/>
      </w:pPr>
      <w:r>
        <w:rPr>
          <w:color w:val="8C8C8C"/>
          <w:sz w:val="12"/>
        </w:rPr>
        <w:t>cf-art-22-inc-XI</w:t>
      </w:r>
      <w:r>
        <w:rPr>
          <w:color w:val="003CA0"/>
          <w:sz w:val="12"/>
        </w:rPr>
        <w:t xml:space="preserve"> | ADPF 234</w:t>
      </w:r>
      <w:r>
        <w:rPr>
          <w:color w:val="003CA0"/>
          <w:sz w:val="12"/>
        </w:rPr>
        <w:t xml:space="preserve"> | rel. Marco Aurélio</w:t>
      </w:r>
    </w:p>
    <w:p>
      <w:pPr>
        <w:ind w:left="288"/>
      </w:pPr>
      <w:r>
        <w:rPr>
          <w:color w:val="1E1E1E"/>
          <w:sz w:val="18"/>
        </w:rPr>
        <w:t>Causa perplexidade a convivência, no ordenamento jurídico, da proibição local para a comercialização de amianto da variedade crisotila – art. 1º da Lei estadual 12.684/2007 – com a permissão, abrangente, para o exercício de tal atividade – art. 2º da Lei 9.055, de 1º-1-1995, regulamentada pelo Decreto 2.350, de 15-10-1997. Em outras palavras, em âmbito nacional, a comercialização daquele tipo de amianto é admitida, mas proibida no Estado de São Paulo. O problema relatado pela arguente é que parte da produção do amianto tem de trafegar pelo Estado de São Paulo para chegar ao destino, ato que ve</w:t>
      </w:r>
    </w:p>
    <w:p>
      <w:pPr>
        <w:ind w:left="288"/>
      </w:pPr>
      <w:r>
        <w:rPr>
          <w:b/>
          <w:color w:val="003CA0"/>
          <w:sz w:val="16"/>
        </w:rPr>
        <w:t>[ADPF 234 MC, voto do rel. min. Marco Aurélio, j. 28-9-2011, P, DJE de 6-2-2012.]</w:t>
      </w:r>
    </w:p>
    <w:p>
      <w:pPr>
        <w:ind w:left="288"/>
      </w:pPr>
      <w:r>
        <w:rPr>
          <w:color w:val="8C8C8C"/>
          <w:sz w:val="12"/>
        </w:rPr>
        <w:t>cf-art-22-inc-XI</w:t>
      </w:r>
      <w:r>
        <w:rPr>
          <w:color w:val="003CA0"/>
          <w:sz w:val="12"/>
        </w:rPr>
        <w:t xml:space="preserve"> | ADI 280</w:t>
      </w:r>
      <w:r>
        <w:rPr>
          <w:color w:val="003CA0"/>
          <w:sz w:val="12"/>
        </w:rPr>
        <w:t xml:space="preserve"> | rel. Francisco Rezek</w:t>
      </w:r>
    </w:p>
    <w:p>
      <w:pPr>
        <w:ind w:left="288"/>
      </w:pPr>
      <w:r>
        <w:rPr>
          <w:color w:val="1E1E1E"/>
          <w:sz w:val="18"/>
        </w:rPr>
        <w:t>Vide ADI 280, rel. min. Francisco Rezek, j. 13-4-1994, P, DJ de 17-6-1994 É inconstitucional a lei distrital ou estadual que comine penalidades a quem seja flagrado em estado de embriaguez na condução de veículo automotor.</w:t>
      </w:r>
    </w:p>
    <w:p>
      <w:pPr>
        <w:ind w:left="288"/>
      </w:pPr>
      <w:r>
        <w:rPr>
          <w:b/>
          <w:color w:val="003CA0"/>
          <w:sz w:val="16"/>
        </w:rPr>
        <w:t>[ADI 3.269, rel. min. Cezar Peluso, j. 1º-8-2011, P, DJE de 22-9-2011.]</w:t>
      </w:r>
    </w:p>
    <w:p>
      <w:pPr>
        <w:ind w:left="288"/>
      </w:pPr>
      <w:r>
        <w:rPr>
          <w:color w:val="8C8C8C"/>
          <w:sz w:val="12"/>
        </w:rPr>
        <w:t>cf-art-22-inc-XI</w:t>
      </w:r>
      <w:r>
        <w:rPr>
          <w:color w:val="003CA0"/>
          <w:sz w:val="12"/>
        </w:rPr>
        <w:t xml:space="preserve"> | ADI 3.679</w:t>
      </w:r>
      <w:r>
        <w:rPr>
          <w:color w:val="003CA0"/>
          <w:sz w:val="12"/>
        </w:rPr>
        <w:t xml:space="preserve"> | rel. Sepúlveda Pertence</w:t>
      </w:r>
    </w:p>
    <w:p>
      <w:pPr>
        <w:ind w:left="288"/>
      </w:pPr>
      <w:r>
        <w:rPr>
          <w:color w:val="1E1E1E"/>
          <w:sz w:val="18"/>
        </w:rPr>
        <w:t>Lei distrital 3.787, de 2-2-2006, que cria, no âmbito do Distrito Federal, o sistema de moto-service – transporte remunerado de passageiros com uso de motocicletas: inconstitucionalidade declarada por usurpação da competência privativa da União para legislar sobre trânsito e transporte (CF, art. 22, XI).</w:t>
      </w:r>
    </w:p>
    <w:p>
      <w:pPr>
        <w:ind w:left="288"/>
      </w:pPr>
      <w:r>
        <w:rPr>
          <w:b/>
          <w:color w:val="003CA0"/>
          <w:sz w:val="16"/>
        </w:rPr>
        <w:t>[ADI 3.679, rel. min. Sepúlveda Pertence, j. 18-6-2007, P, DJ de 3-8-2007.]</w:t>
      </w:r>
    </w:p>
    <w:p>
      <w:pPr>
        <w:ind w:left="288"/>
      </w:pPr>
      <w:r>
        <w:rPr>
          <w:color w:val="8C8C8C"/>
          <w:sz w:val="12"/>
        </w:rPr>
        <w:t>cf-art-22-inc-XI</w:t>
      </w:r>
      <w:r>
        <w:rPr>
          <w:color w:val="003CA0"/>
          <w:sz w:val="12"/>
        </w:rPr>
        <w:t xml:space="preserve"> | ADI 3.610</w:t>
      </w:r>
      <w:r>
        <w:rPr>
          <w:color w:val="003CA0"/>
          <w:sz w:val="12"/>
        </w:rPr>
        <w:t xml:space="preserve"> | rel. Cezar Peluso</w:t>
      </w:r>
    </w:p>
    <w:p>
      <w:pPr>
        <w:ind w:left="288"/>
      </w:pPr>
      <w:r>
        <w:rPr>
          <w:color w:val="1E1E1E"/>
          <w:sz w:val="18"/>
        </w:rPr>
        <w:t>Vide ADI 3.610, rel. min. Cezar Peluso, j. 1º-8-2011, P, DJE de 22-9-2011 É inconstitucional a lei estadual que, sob pretexto de autorizar concessão de serviços, dispõe sobre inspeção técnica de veículos para avaliação de condições de segurança e controle de emissões de poluentes e ruídos.</w:t>
      </w:r>
    </w:p>
    <w:p>
      <w:pPr>
        <w:ind w:left="288"/>
      </w:pPr>
      <w:r>
        <w:rPr>
          <w:b/>
          <w:color w:val="003CA0"/>
          <w:sz w:val="16"/>
        </w:rPr>
        <w:t>[ADI 3.049, rel. min. Cezar Peluso, j. 4-6-2007, P, DJ de 24-8-2007.]</w:t>
      </w:r>
    </w:p>
    <w:p>
      <w:pPr>
        <w:ind w:left="288"/>
      </w:pPr>
      <w:r>
        <w:rPr>
          <w:color w:val="8C8C8C"/>
          <w:sz w:val="12"/>
        </w:rPr>
        <w:t>cf-art-22-inc-XI</w:t>
      </w:r>
      <w:r>
        <w:rPr>
          <w:color w:val="003CA0"/>
          <w:sz w:val="12"/>
        </w:rPr>
        <w:t xml:space="preserve"> | ADI 3.055</w:t>
      </w:r>
      <w:r>
        <w:rPr>
          <w:color w:val="003CA0"/>
          <w:sz w:val="12"/>
        </w:rPr>
        <w:t xml:space="preserve"> | rel. Carlos Velloso</w:t>
      </w:r>
    </w:p>
    <w:p>
      <w:pPr>
        <w:ind w:left="288"/>
      </w:pPr>
      <w:r>
        <w:rPr>
          <w:color w:val="1E1E1E"/>
          <w:sz w:val="18"/>
        </w:rPr>
        <w:t>Lei 11.766, de 1997, do Estado do Paraná, que torna obrigatório a qualquer veículo automotor transitar permanentemente com os faróis acesos nas rodovias do Estado do Paraná, impondo a pena de multa aos que descumprirem o preceito legal: inconstitucionalidade, porque a questão diz respeito ao trânsito.</w:t>
      </w:r>
    </w:p>
    <w:p>
      <w:pPr>
        <w:ind w:left="288"/>
      </w:pPr>
      <w:r>
        <w:rPr>
          <w:b/>
          <w:color w:val="003CA0"/>
          <w:sz w:val="16"/>
        </w:rPr>
        <w:t>[ADI 3.055, rel. min. Carlos Velloso, j. 24-11-2005, P, DJ de 3-2-2006.]</w:t>
      </w:r>
    </w:p>
    <w:p>
      <w:pPr>
        <w:ind w:left="288"/>
      </w:pPr>
      <w:r>
        <w:rPr>
          <w:color w:val="8C8C8C"/>
          <w:sz w:val="12"/>
        </w:rPr>
        <w:t>cf-art-22-inc-XI</w:t>
      </w:r>
      <w:r>
        <w:rPr>
          <w:color w:val="003CA0"/>
          <w:sz w:val="12"/>
        </w:rPr>
        <w:t xml:space="preserve"> | ADI 3.186</w:t>
      </w:r>
      <w:r>
        <w:rPr>
          <w:color w:val="003CA0"/>
          <w:sz w:val="12"/>
        </w:rPr>
        <w:t xml:space="preserve"> | rel. Gilmar Mendes</w:t>
      </w:r>
    </w:p>
    <w:p>
      <w:pPr>
        <w:ind w:left="288"/>
      </w:pPr>
      <w:r>
        <w:rPr>
          <w:color w:val="1E1E1E"/>
          <w:sz w:val="18"/>
        </w:rPr>
        <w:t>Lei distrital 2.929/2002, que dispõe sobre o prazo para vigência da aplicação de multas a veículos no Distrito Federal em virtude da reclassificação de vias. Usurpação de competência legislativa privativa da União.</w:t>
      </w:r>
    </w:p>
    <w:p>
      <w:pPr>
        <w:ind w:left="288"/>
      </w:pPr>
      <w:r>
        <w:rPr>
          <w:b/>
          <w:color w:val="003CA0"/>
          <w:sz w:val="16"/>
        </w:rPr>
        <w:t>[ADI 3.186, rel. min. Gilmar Mendes, j. 16-11-2005, P, DJ de 12-5-2006.]</w:t>
      </w:r>
    </w:p>
    <w:p>
      <w:pPr>
        <w:ind w:left="288"/>
      </w:pPr>
      <w:r>
        <w:rPr>
          <w:color w:val="8C8C8C"/>
          <w:sz w:val="12"/>
        </w:rPr>
        <w:t>cf-art-22-inc-XI</w:t>
      </w:r>
      <w:r>
        <w:rPr>
          <w:color w:val="003CA0"/>
          <w:sz w:val="12"/>
        </w:rPr>
        <w:t xml:space="preserve"> | ADI 3.444</w:t>
      </w:r>
      <w:r>
        <w:rPr>
          <w:color w:val="003CA0"/>
          <w:sz w:val="12"/>
        </w:rPr>
        <w:t xml:space="preserve"> | rel. Ellen Gracie</w:t>
      </w:r>
    </w:p>
    <w:p>
      <w:pPr>
        <w:ind w:left="288"/>
      </w:pPr>
      <w:r>
        <w:rPr>
          <w:color w:val="1E1E1E"/>
          <w:sz w:val="18"/>
        </w:rPr>
        <w:t>A instituição da forma parcelada de pagamento da multa aplicada pela prática de infração de trânsito integra o conjunto de temas enfeixados pelo art. 22, XI, da CF.</w:t>
      </w:r>
    </w:p>
    <w:p>
      <w:pPr>
        <w:ind w:left="288"/>
      </w:pPr>
      <w:r>
        <w:rPr>
          <w:b/>
          <w:color w:val="003CA0"/>
          <w:sz w:val="16"/>
        </w:rPr>
        <w:t>[ADI 3.444, rel. min. Ellen Gracie, j. 16-11-2005, P, DJ de 3-2-2006.]</w:t>
      </w:r>
    </w:p>
    <w:p>
      <w:pPr>
        <w:ind w:left="288"/>
      </w:pPr>
      <w:r>
        <w:rPr>
          <w:color w:val="8C8C8C"/>
          <w:sz w:val="12"/>
        </w:rPr>
        <w:t>cf-art-22-inc-XI</w:t>
      </w:r>
      <w:r>
        <w:rPr>
          <w:color w:val="003CA0"/>
          <w:sz w:val="12"/>
        </w:rPr>
        <w:t xml:space="preserve"> | ADI 2.137</w:t>
      </w:r>
      <w:r>
        <w:rPr>
          <w:color w:val="003CA0"/>
          <w:sz w:val="12"/>
        </w:rPr>
        <w:t xml:space="preserve"> | rel. Dias Toffoli</w:t>
      </w:r>
    </w:p>
    <w:p>
      <w:pPr>
        <w:ind w:left="288"/>
      </w:pPr>
      <w:r>
        <w:rPr>
          <w:color w:val="1E1E1E"/>
          <w:sz w:val="18"/>
        </w:rPr>
        <w:t>= ADI 2.137, rel. min. Dias Toffoli, j. 11-4-2013, P, DJE de 9-5-2013 O controle da baixa de registro e do desmonte e comercialização de veículos irrecuperáveis é tema indissociavelmente ligado ao trânsito e a sua segurança, pois tem por finalidade evitar que unidades automotivas vendidas como sucata – como as sinistradas com laudo de perda total – sejam reformadas e temerariamente reintroduzidas no mercado de veículos em circulação.</w:t>
      </w:r>
    </w:p>
    <w:p>
      <w:pPr>
        <w:ind w:left="288"/>
      </w:pPr>
      <w:r>
        <w:rPr>
          <w:b/>
          <w:color w:val="003CA0"/>
          <w:sz w:val="16"/>
        </w:rPr>
        <w:t>[ADI 3.254, rel. min. Ellen Gracie, j. 16-11-2005, P, DJ de 2-12-2005.]</w:t>
      </w:r>
    </w:p>
    <w:p>
      <w:pPr>
        <w:ind w:left="288"/>
      </w:pPr>
      <w:r>
        <w:rPr>
          <w:color w:val="8C8C8C"/>
          <w:sz w:val="12"/>
        </w:rPr>
        <w:t>cf-art-22-inc-XI</w:t>
      </w:r>
      <w:r>
        <w:rPr>
          <w:color w:val="003CA0"/>
          <w:sz w:val="12"/>
        </w:rPr>
        <w:t xml:space="preserve"> | ADI 2.751</w:t>
      </w:r>
      <w:r>
        <w:rPr>
          <w:color w:val="003CA0"/>
          <w:sz w:val="12"/>
        </w:rPr>
        <w:t xml:space="preserve"> | rel. Carlos Velloso</w:t>
      </w:r>
    </w:p>
    <w:p>
      <w:pPr>
        <w:ind w:left="288"/>
      </w:pPr>
      <w:r>
        <w:rPr>
          <w:color w:val="1E1E1E"/>
          <w:sz w:val="18"/>
        </w:rPr>
        <w:t>Lei 3.756/2002 do Estado do Rio de Janeiro, que autoriza o Poder Executivo a apreender e desemplacar veículos de transporte coletivo de passageiros encontrados em situação irregular: constitucionalidade, porque a norma legal insere-se no poder de polícia do Estado.</w:t>
      </w:r>
    </w:p>
    <w:p>
      <w:pPr>
        <w:ind w:left="288"/>
      </w:pPr>
      <w:r>
        <w:rPr>
          <w:b/>
          <w:color w:val="003CA0"/>
          <w:sz w:val="16"/>
        </w:rPr>
        <w:t>[ADI 2.751, rel. min. Carlos Velloso, j. 31-8-2005, P, DJ de 24-2-2006.]</w:t>
      </w:r>
    </w:p>
    <w:p>
      <w:pPr>
        <w:ind w:left="288"/>
      </w:pPr>
      <w:r>
        <w:rPr>
          <w:color w:val="8C8C8C"/>
          <w:sz w:val="12"/>
        </w:rPr>
        <w:t>cf-art-22-inc-XI</w:t>
      </w:r>
      <w:r>
        <w:rPr>
          <w:color w:val="003CA0"/>
          <w:sz w:val="12"/>
        </w:rPr>
        <w:t xml:space="preserve"> | ADI 2.718</w:t>
      </w:r>
      <w:r>
        <w:rPr>
          <w:color w:val="003CA0"/>
          <w:sz w:val="12"/>
        </w:rPr>
        <w:t xml:space="preserve"> | rel. Joaquim Barbosa</w:t>
      </w:r>
    </w:p>
    <w:p>
      <w:pPr>
        <w:ind w:left="288"/>
      </w:pPr>
      <w:r>
        <w:rPr>
          <w:color w:val="1E1E1E"/>
          <w:sz w:val="18"/>
        </w:rPr>
        <w:t>O disciplinamento da colocação de barreiras eletrônicas para aferir a velocidade de veículos, por inserir-se na matéria trânsito, é de competência exclusiva da União (art. 22, XI, da CF/1988).</w:t>
      </w:r>
    </w:p>
    <w:p>
      <w:pPr>
        <w:ind w:left="288"/>
      </w:pPr>
      <w:r>
        <w:rPr>
          <w:b/>
          <w:color w:val="003CA0"/>
          <w:sz w:val="16"/>
        </w:rPr>
        <w:t>[ADI 2.718, rel. min. Joaquim Barbosa, j. 6-4-2005, P, DJ de 24-6-2005.]</w:t>
      </w:r>
    </w:p>
    <w:p>
      <w:pPr>
        <w:ind w:left="288"/>
      </w:pPr>
      <w:r>
        <w:rPr>
          <w:color w:val="8C8C8C"/>
          <w:sz w:val="12"/>
        </w:rPr>
        <w:t>cf-art-22-inc-XI</w:t>
      </w:r>
      <w:r>
        <w:rPr>
          <w:color w:val="003CA0"/>
          <w:sz w:val="12"/>
        </w:rPr>
        <w:t xml:space="preserve"> | ADI 3.897</w:t>
      </w:r>
      <w:r>
        <w:rPr>
          <w:color w:val="003CA0"/>
          <w:sz w:val="12"/>
        </w:rPr>
        <w:t xml:space="preserve"> | rel. Gilmar Mendes</w:t>
      </w:r>
    </w:p>
    <w:p>
      <w:pPr>
        <w:ind w:left="288"/>
      </w:pPr>
      <w:r>
        <w:rPr>
          <w:color w:val="1E1E1E"/>
          <w:sz w:val="18"/>
        </w:rPr>
        <w:t>= ADI 3.897, rel. min. Gilmar Mendes, j. 4-3-2009, P, DJE de 24-4-2009 Apenas a União tem competência para estabelecer multas de trânsito. A fixação de um teto para o respectivo valor não está previsto no Código de Trânsito Brasileiro, sendo descabido que os Estados venham a estabelecê-lo. Ausência de lei complementar federal que autorize os Estados a legislar, em pontos específicos, sobre trânsito e transporte, conforme prevê o art. 22, parágrafo único, da CF.</w:t>
      </w:r>
    </w:p>
    <w:p>
      <w:pPr>
        <w:ind w:left="288"/>
      </w:pPr>
      <w:r>
        <w:rPr>
          <w:b/>
          <w:color w:val="003CA0"/>
          <w:sz w:val="16"/>
        </w:rPr>
        <w:t>[ADI 2.644, rel. min. Ellen Gracie, j. 7-8-2003, P, DJ de 29-8-2003.]</w:t>
      </w:r>
    </w:p>
    <w:p>
      <w:pPr>
        <w:ind w:left="288"/>
      </w:pPr>
      <w:r>
        <w:rPr>
          <w:color w:val="8C8C8C"/>
          <w:sz w:val="12"/>
        </w:rPr>
        <w:t>cf-art-22-inc-XI</w:t>
      </w:r>
      <w:r>
        <w:rPr>
          <w:color w:val="003CA0"/>
          <w:sz w:val="12"/>
        </w:rPr>
        <w:t xml:space="preserve"> | ADI 2.582</w:t>
      </w:r>
      <w:r>
        <w:rPr>
          <w:color w:val="003CA0"/>
          <w:sz w:val="12"/>
        </w:rPr>
        <w:t xml:space="preserve"> | rel. Sepúlveda Pertence</w:t>
      </w:r>
    </w:p>
    <w:p>
      <w:pPr>
        <w:ind w:left="288"/>
      </w:pPr>
      <w:r>
        <w:rPr>
          <w:color w:val="1E1E1E"/>
          <w:sz w:val="18"/>
        </w:rPr>
        <w:t>Trânsito: competência legislativa privativa da União: inconstitucionalidade da lei estadual que fixa limites de velocidade nas rodovias do Estado-membro ou sob sua administração.</w:t>
      </w:r>
    </w:p>
    <w:p>
      <w:pPr>
        <w:ind w:left="288"/>
      </w:pPr>
      <w:r>
        <w:rPr>
          <w:b/>
          <w:color w:val="003CA0"/>
          <w:sz w:val="16"/>
        </w:rPr>
        <w:t>[ADI 2.582, rel. min. Sepúlveda Pertence, j. 19-3-2003, P, DJ de 6-6-2003.]</w:t>
      </w:r>
    </w:p>
    <w:p>
      <w:pPr>
        <w:ind w:left="288"/>
      </w:pPr>
      <w:r>
        <w:rPr>
          <w:color w:val="8C8C8C"/>
          <w:sz w:val="12"/>
        </w:rPr>
        <w:t>cf-art-22-inc-XI</w:t>
      </w:r>
      <w:r>
        <w:rPr>
          <w:color w:val="003CA0"/>
          <w:sz w:val="12"/>
        </w:rPr>
        <w:t xml:space="preserve"> | ADI 1.704</w:t>
      </w:r>
      <w:r>
        <w:rPr>
          <w:color w:val="003CA0"/>
          <w:sz w:val="12"/>
        </w:rPr>
        <w:t xml:space="preserve"> | rel. Carlos Velloso</w:t>
      </w:r>
    </w:p>
    <w:p>
      <w:pPr>
        <w:ind w:left="288"/>
      </w:pPr>
      <w:r>
        <w:rPr>
          <w:color w:val="1E1E1E"/>
          <w:sz w:val="18"/>
        </w:rPr>
        <w:t>Lei 6.908, de 1997, do Estado de Mato Grosso, que autoriza o uso de película de filme solar nos vidros dos veículos: sua inconstitucionalidade, porque a questão diz respeito ao trânsito.</w:t>
      </w:r>
    </w:p>
    <w:p>
      <w:pPr>
        <w:ind w:left="288"/>
      </w:pPr>
      <w:r>
        <w:rPr>
          <w:b/>
          <w:color w:val="003CA0"/>
          <w:sz w:val="16"/>
        </w:rPr>
        <w:t>[ADI 1.704, rel. min. Carlos Velloso, j. 1º-8-2002, P, DJ de 20-9-2002.]</w:t>
      </w:r>
    </w:p>
    <w:p>
      <w:pPr>
        <w:ind w:left="288"/>
      </w:pPr>
      <w:r>
        <w:rPr>
          <w:color w:val="8C8C8C"/>
          <w:sz w:val="12"/>
        </w:rPr>
        <w:t>cf-art-22-inc-XI</w:t>
      </w:r>
      <w:r>
        <w:rPr>
          <w:color w:val="003CA0"/>
          <w:sz w:val="12"/>
        </w:rPr>
        <w:t xml:space="preserve"> | ADI 476</w:t>
      </w:r>
      <w:r>
        <w:rPr>
          <w:color w:val="003CA0"/>
          <w:sz w:val="12"/>
        </w:rPr>
        <w:t xml:space="preserve"> | rel. Sepúlveda Pertence</w:t>
      </w:r>
    </w:p>
    <w:p>
      <w:pPr>
        <w:ind w:left="288"/>
      </w:pPr>
      <w:r>
        <w:rPr>
          <w:color w:val="1E1E1E"/>
          <w:sz w:val="18"/>
        </w:rPr>
        <w:t>Trânsito: idade mínima para habilitação a conduzir veículo automotor: matéria de competência privativa da União (...): inconstitucionalidade de legislação estadual a respeito.</w:t>
      </w:r>
    </w:p>
    <w:p>
      <w:pPr>
        <w:ind w:left="288"/>
      </w:pPr>
      <w:r>
        <w:rPr>
          <w:b/>
          <w:color w:val="003CA0"/>
          <w:sz w:val="16"/>
        </w:rPr>
        <w:t>[ADI 476, rel. min. Sepúlveda Pertence, j. 18-2-1999, P, DJ de 9-4-1999.]</w:t>
      </w:r>
    </w:p>
    <w:p>
      <w:pPr>
        <w:ind w:left="288"/>
      </w:pPr>
      <w:r>
        <w:rPr>
          <w:color w:val="8C8C8C"/>
          <w:sz w:val="12"/>
        </w:rPr>
        <w:t>cf-art-22-inc-XI</w:t>
      </w:r>
      <w:r>
        <w:rPr>
          <w:color w:val="003CA0"/>
          <w:sz w:val="12"/>
        </w:rPr>
        <w:t xml:space="preserve"> | ADI 280</w:t>
      </w:r>
      <w:r>
        <w:rPr>
          <w:color w:val="003CA0"/>
          <w:sz w:val="12"/>
        </w:rPr>
        <w:t xml:space="preserve"> | rel. Francisco Rezek</w:t>
      </w:r>
    </w:p>
    <w:p>
      <w:pPr>
        <w:ind w:left="288"/>
      </w:pPr>
      <w:r>
        <w:rPr>
          <w:color w:val="1E1E1E"/>
          <w:sz w:val="18"/>
        </w:rPr>
        <w:t>Inconstitucionalidade da frase sendo "vedada a saída do Estado de madeiras em toras". Competência da União para legislar sobre comércio interestadual e transporte (art. 22, VIII e XI, da CF).</w:t>
      </w:r>
    </w:p>
    <w:p>
      <w:pPr>
        <w:ind w:left="288"/>
      </w:pPr>
      <w:r>
        <w:rPr>
          <w:b/>
          <w:color w:val="003CA0"/>
          <w:sz w:val="16"/>
        </w:rPr>
        <w:t>[ADI 280, rel. min. Francisco Rezek, j. 13-4-1994, P, DJ de 17-6-1994.]</w:t>
      </w:r>
    </w:p>
    <w:p>
      <w:pPr>
        <w:ind w:left="288"/>
      </w:pPr>
      <w:r>
        <w:rPr>
          <w:color w:val="8C8C8C"/>
          <w:sz w:val="12"/>
        </w:rPr>
        <w:t>cf-art-22-inc-XI</w:t>
      </w:r>
      <w:r>
        <w:rPr>
          <w:color w:val="003CA0"/>
          <w:sz w:val="12"/>
        </w:rPr>
        <w:t xml:space="preserve"> | ADPF 234</w:t>
      </w:r>
      <w:r>
        <w:rPr>
          <w:color w:val="003CA0"/>
          <w:sz w:val="12"/>
        </w:rPr>
        <w:t xml:space="preserve"> | rel. Marco Aurélio</w:t>
      </w:r>
    </w:p>
    <w:p>
      <w:pPr>
        <w:ind w:left="288"/>
      </w:pPr>
      <w:r>
        <w:rPr>
          <w:color w:val="1E1E1E"/>
          <w:sz w:val="18"/>
        </w:rPr>
        <w:t>Vide ADPF 234 MC, rel. min. Marco Aurélio, j. 28-9-2011, P, DJE de 6-2-2012</w:t>
      </w:r>
    </w:p>
    <w:p>
      <w:pPr>
        <w:ind w:left="144"/>
      </w:pPr>
      <w:r>
        <w:rPr>
          <w:b/>
          <w:color w:val="B45A00"/>
          <w:sz w:val="16"/>
        </w:rPr>
        <w:t>REPERCUSSAO GERAL</w:t>
      </w:r>
    </w:p>
    <w:p>
      <w:pPr>
        <w:ind w:left="288"/>
      </w:pPr>
      <w:r>
        <w:rPr>
          <w:color w:val="8C8C8C"/>
          <w:sz w:val="12"/>
        </w:rPr>
        <w:t>cf-art-22-inc-XI</w:t>
      </w:r>
      <w:r>
        <w:rPr>
          <w:color w:val="003CA0"/>
          <w:sz w:val="12"/>
        </w:rPr>
        <w:t xml:space="preserve"> | RE 661.702</w:t>
      </w:r>
      <w:r>
        <w:rPr>
          <w:color w:val="003CA0"/>
          <w:sz w:val="12"/>
        </w:rPr>
        <w:t xml:space="preserve"> | rel. Marco Aurélio</w:t>
      </w:r>
    </w:p>
    <w:p>
      <w:pPr>
        <w:ind w:left="288"/>
      </w:pPr>
      <w:r>
        <w:rPr>
          <w:color w:val="1E1E1E"/>
          <w:sz w:val="18"/>
        </w:rPr>
        <w:t>Surge constitucional previsão normativa local voltada a coibir fraude considerado o serviço público de transporte coletivo, e inconstitucional o condicionamento de liberação de veículo aprendido ao pagamento de multas, preços públicos e demais encargos decorrentes de infração.</w:t>
      </w:r>
    </w:p>
    <w:p>
      <w:pPr>
        <w:ind w:left="288"/>
      </w:pPr>
      <w:r>
        <w:rPr>
          <w:b/>
          <w:color w:val="003CA0"/>
          <w:sz w:val="16"/>
        </w:rPr>
        <w:t>[RE 661.702, rel. min. Marco Aurélio, j. 4-5-2020, P, DJE de 19-5-2020, Tema 546, com mérito julgado.]</w:t>
      </w:r>
    </w:p>
    <w:p>
      <w:pPr>
        <w:ind w:left="288"/>
      </w:pPr>
      <w:r>
        <w:rPr>
          <w:color w:val="8C8C8C"/>
          <w:sz w:val="12"/>
        </w:rPr>
        <w:t>cf-art-22-inc-XI</w:t>
      </w:r>
      <w:r>
        <w:rPr>
          <w:color w:val="003CA0"/>
          <w:sz w:val="12"/>
        </w:rPr>
        <w:t xml:space="preserve"> | RE 1.054.110</w:t>
      </w:r>
      <w:r>
        <w:rPr>
          <w:color w:val="003CA0"/>
          <w:sz w:val="12"/>
        </w:rPr>
        <w:t xml:space="preserve"> | rel. Roberto Barroso</w:t>
      </w:r>
    </w:p>
    <w:p>
      <w:pPr>
        <w:ind w:left="288"/>
      </w:pPr>
      <w:r>
        <w:rPr>
          <w:color w:val="1E1E1E"/>
          <w:sz w:val="18"/>
        </w:rPr>
        <w:t>A proibição ou restrição da atividade de transporte privado individual por motorista cadastrado em aplicativo é inconstitucional, por violação aos princípios da livre iniciativa e da livre concorrência; e no exercício de sua competência para regulamentação e fiscalização do transporte privado individual de passageiros, os Municípios e o Distrito Federal não podem contrariar os parâmetros fixados pelo legislador federal (CF/1988, art. 22, XI).</w:t>
      </w:r>
    </w:p>
    <w:p>
      <w:pPr>
        <w:ind w:left="288"/>
      </w:pPr>
      <w:r>
        <w:rPr>
          <w:b/>
          <w:color w:val="003CA0"/>
          <w:sz w:val="16"/>
        </w:rPr>
        <w:t>[RE 1.054.110, rel. min. Roberto Barroso, j. 9-5-2019, P, DJE de 6-9-2019, Tema 967, com mérito julgado.]</w:t>
      </w:r>
    </w:p>
    <w:p>
      <w:pPr>
        <w:ind w:left="144"/>
      </w:pPr>
      <w:r>
        <w:rPr>
          <w:b/>
          <w:color w:val="B45A00"/>
          <w:sz w:val="16"/>
        </w:rPr>
        <w:t>JULGADOS CORRELATOS</w:t>
      </w:r>
    </w:p>
    <w:p>
      <w:pPr>
        <w:ind w:left="288"/>
      </w:pPr>
      <w:r>
        <w:rPr>
          <w:color w:val="8C8C8C"/>
          <w:sz w:val="12"/>
        </w:rPr>
        <w:t>cf-art-22-inc-XI</w:t>
      </w:r>
      <w:r>
        <w:rPr>
          <w:color w:val="003CA0"/>
          <w:sz w:val="12"/>
        </w:rPr>
        <w:t xml:space="preserve"> | RE 201.865</w:t>
      </w:r>
      <w:r>
        <w:rPr>
          <w:color w:val="003CA0"/>
          <w:sz w:val="12"/>
        </w:rPr>
        <w:t xml:space="preserve"> | rel. Carlos Velloso</w:t>
      </w:r>
    </w:p>
    <w:p>
      <w:pPr>
        <w:ind w:left="288"/>
      </w:pPr>
      <w:r>
        <w:rPr>
          <w:color w:val="1E1E1E"/>
          <w:sz w:val="18"/>
        </w:rPr>
        <w:t>Fretamento de ônibus para o transporte com finalidade turística, ou para o atendimento do turismo no Estado. Transporte ocasional de turistas, que reclamam regramento por parte do Estado-membro, com base no seu poder de polícia administrativa, com vistas à proteção dos turistas e do próprio turismo. CF, art. 25, § 1º. Inocorrência de ofensa à competência privativa da União para legislar sobre trânsito e transporte (CF, art. 22, XI).</w:t>
      </w:r>
    </w:p>
    <w:p>
      <w:pPr>
        <w:ind w:left="288"/>
      </w:pPr>
      <w:r>
        <w:rPr>
          <w:b/>
          <w:color w:val="003CA0"/>
          <w:sz w:val="16"/>
        </w:rPr>
        <w:t>[RE 201.865, rel. min. Carlos Velloso, j. 28-10-2004, P, DJ de 4-2-2005.]</w:t>
      </w:r>
    </w:p>
    <w:p>
      <w:pPr>
        <w:ind w:left="288"/>
      </w:pPr>
      <w:r>
        <w:rPr>
          <w:color w:val="8C8C8C"/>
          <w:sz w:val="12"/>
        </w:rPr>
        <w:t>cf-art-22-inc-XI</w:t>
      </w:r>
      <w:r>
        <w:rPr>
          <w:color w:val="003CA0"/>
          <w:sz w:val="12"/>
        </w:rPr>
        <w:t xml:space="preserve"> | ARE 709.639</w:t>
      </w:r>
      <w:r>
        <w:rPr>
          <w:color w:val="003CA0"/>
          <w:sz w:val="12"/>
        </w:rPr>
        <w:t xml:space="preserve"> | rel. Ricardo Lewandowski</w:t>
      </w:r>
    </w:p>
    <w:p>
      <w:pPr>
        <w:ind w:left="288"/>
      </w:pPr>
      <w:r>
        <w:rPr>
          <w:color w:val="1E1E1E"/>
          <w:sz w:val="18"/>
        </w:rPr>
        <w:t>Vide ARE 709.639 AgR, rel. min. Ricardo Lewandowski, j. 20-5-2014, 2ª T, DJE de 5-6-2014</w:t>
      </w:r>
    </w:p>
    <w:p>
      <w:pPr>
        <w:ind w:left="144"/>
      </w:pPr>
      <w:r>
        <w:rPr>
          <w:b/>
          <w:color w:val="B45A00"/>
          <w:sz w:val="16"/>
        </w:rPr>
        <w:t>CONTROLE CONCENTRADO</w:t>
      </w:r>
    </w:p>
    <w:p>
      <w:pPr>
        <w:ind w:left="288"/>
      </w:pPr>
      <w:r>
        <w:rPr>
          <w:color w:val="8C8C8C"/>
          <w:sz w:val="12"/>
        </w:rPr>
        <w:t>cf-art-22-inc-XII</w:t>
      </w:r>
      <w:r>
        <w:rPr>
          <w:color w:val="003CA0"/>
          <w:sz w:val="12"/>
        </w:rPr>
        <w:t xml:space="preserve"> | ADI 6.672</w:t>
      </w:r>
      <w:r>
        <w:rPr>
          <w:color w:val="003CA0"/>
          <w:sz w:val="12"/>
        </w:rPr>
        <w:t xml:space="preserve"> | rel. Alexandre de Moraes</w:t>
      </w:r>
    </w:p>
    <w:p>
      <w:pPr>
        <w:ind w:left="288"/>
      </w:pPr>
      <w:r>
        <w:rPr>
          <w:color w:val="1E1E1E"/>
          <w:sz w:val="18"/>
        </w:rPr>
        <w:t>Compete privativamente à União legislar sobre jazidas, minas, outros recursos minerais e metalurgia (art. 22, XII, da CF), em razão do que incorre em inconstitucionalidade norma estadual que, a pretexto de regulamentar licenciamento ambiental, regulamenta aspectos da própria atividade de lavra garimpeira.</w:t>
      </w:r>
    </w:p>
    <w:p>
      <w:pPr>
        <w:ind w:left="288"/>
      </w:pPr>
      <w:r>
        <w:rPr>
          <w:b/>
          <w:color w:val="003CA0"/>
          <w:sz w:val="16"/>
        </w:rPr>
        <w:t>[ADI 6.672, rel. min. Alexandre de Moraes, j. 15-9-2021, Plenário, DJE de 22-9-2021.]</w:t>
      </w:r>
    </w:p>
    <w:p>
      <w:pPr>
        <w:ind w:left="288"/>
      </w:pPr>
      <w:r>
        <w:rPr>
          <w:color w:val="8C8C8C"/>
          <w:sz w:val="12"/>
        </w:rPr>
        <w:t>cf-art-22-inc-XIII</w:t>
      </w:r>
      <w:r>
        <w:rPr>
          <w:color w:val="003CA0"/>
          <w:sz w:val="12"/>
        </w:rPr>
        <w:t xml:space="preserve"> | ADI 4.268</w:t>
      </w:r>
      <w:r>
        <w:rPr>
          <w:color w:val="003CA0"/>
          <w:sz w:val="12"/>
        </w:rPr>
        <w:t xml:space="preserve"> | rel. Nunes Marques</w:t>
      </w:r>
    </w:p>
    <w:p>
      <w:pPr>
        <w:ind w:left="288"/>
      </w:pPr>
      <w:r>
        <w:rPr>
          <w:color w:val="1E1E1E"/>
          <w:sz w:val="18"/>
        </w:rPr>
        <w:t>XIV - populações indígenas; XV - emigração e imigração, entrada, extradição e expulsão de estrangeiros; XVI - organização do sistema nacional de emprego e condições para o exercício de profissões; Compete privativamente à União legislar sobre condições para o exercício das profissões (CF/1988, art. 22, XVI), a impor regulamentação uniforme no território nacional. Uma vez reproduzidas, na norma estadual, disposições constantes dos Decretos federais n. 20.931/1932 e 24.492/1934, consideradas proibições aos optometristas e aos estabelecimentos que comercializam óculos de grau e lentes de contato,</w:t>
      </w:r>
    </w:p>
    <w:p>
      <w:pPr>
        <w:ind w:left="288"/>
      </w:pPr>
      <w:r>
        <w:rPr>
          <w:b/>
          <w:color w:val="003CA0"/>
          <w:sz w:val="16"/>
        </w:rPr>
        <w:t>[ADI 4.268, rel. min. Nunes Marques, j. 25.06.2025, P, DJE de 14.07.2025.]</w:t>
      </w:r>
    </w:p>
    <w:p>
      <w:pPr>
        <w:ind w:left="288"/>
      </w:pPr>
      <w:r>
        <w:rPr>
          <w:color w:val="8C8C8C"/>
          <w:sz w:val="12"/>
        </w:rPr>
        <w:t>cf-art-22-inc-XIII</w:t>
      </w:r>
      <w:r>
        <w:rPr>
          <w:color w:val="003CA0"/>
          <w:sz w:val="12"/>
        </w:rPr>
        <w:t xml:space="preserve"> | ADI 4.399</w:t>
      </w:r>
      <w:r>
        <w:rPr>
          <w:color w:val="003CA0"/>
          <w:sz w:val="12"/>
        </w:rPr>
        <w:t xml:space="preserve"> | rel. Nunes Marques</w:t>
      </w:r>
    </w:p>
    <w:p>
      <w:pPr>
        <w:ind w:left="288"/>
      </w:pPr>
      <w:r>
        <w:rPr>
          <w:color w:val="1E1E1E"/>
          <w:sz w:val="18"/>
        </w:rPr>
        <w:t>As exigências específicas quanto ao registro dos estabelecimentos destinados à prática da educação física perante o respectivo órgão de fiscalização profissional (o CREF, no caso) e à manutenção de responsável técnico (Profissional da Educação Física) em tempo integral não inovam na ordem positiva, mas apenas conferem efetividade à legislação federal sobre o tema (Lei nº 6.839/1980 e 9.696/1998). A supervisão profissional imposta pela legislação federal, contudo, destina-se apenas às academias, clubes desportivos e estabelecimentos congêneres, cujas atividades envolvam, por sua própria naturez</w:t>
      </w:r>
    </w:p>
    <w:p>
      <w:pPr>
        <w:ind w:left="288"/>
      </w:pPr>
      <w:r>
        <w:rPr>
          <w:b/>
          <w:color w:val="003CA0"/>
          <w:sz w:val="16"/>
        </w:rPr>
        <w:t>[ADI 4.399, rel. min. Nunes Marques, red. do ac. min. Flávio Dino, j. 07.04.2025, P, DJE de 13.05.2025.]</w:t>
      </w:r>
    </w:p>
    <w:p>
      <w:pPr>
        <w:ind w:left="288"/>
      </w:pPr>
      <w:r>
        <w:rPr>
          <w:color w:val="8C8C8C"/>
          <w:sz w:val="12"/>
        </w:rPr>
        <w:t>cf-art-22-inc-XIII</w:t>
      </w:r>
      <w:r>
        <w:rPr>
          <w:color w:val="003CA0"/>
          <w:sz w:val="12"/>
        </w:rPr>
        <w:t xml:space="preserve"> | ADI 3.870</w:t>
      </w:r>
      <w:r>
        <w:rPr>
          <w:color w:val="003CA0"/>
          <w:sz w:val="12"/>
        </w:rPr>
        <w:t xml:space="preserve"> | rel. Roberto Barroso</w:t>
      </w:r>
    </w:p>
    <w:p>
      <w:pPr>
        <w:ind w:left="288"/>
      </w:pPr>
      <w:r>
        <w:rPr>
          <w:color w:val="1E1E1E"/>
          <w:sz w:val="18"/>
        </w:rPr>
        <w:t>A Lei Estadual 12.547, de 31 de janeiro de 2007, do Estado de São Paulo, dispensa músicos que participem de shows e espetáculos que se realizem naquele estado da apresentação da Carteira da Ordem dos Músicos do Brasil, além de prever punições para quem exigir o documento. (...) A competência para legislar sobre condições para o exercício de profissões é privativa da União. (...) Não cabe à lei estadual regular as condições para o exercício da profissão de músico, mesmo que a pretexto de garantir a livre atuação dos artistas.</w:t>
      </w:r>
    </w:p>
    <w:p>
      <w:pPr>
        <w:ind w:left="288"/>
      </w:pPr>
      <w:r>
        <w:rPr>
          <w:b/>
          <w:color w:val="003CA0"/>
          <w:sz w:val="16"/>
        </w:rPr>
        <w:t>[ADI 3.870, rel. min. Roberto Barroso, j. 27-9-2019, P, DJE de 24-10-2019.]</w:t>
      </w:r>
    </w:p>
    <w:p>
      <w:pPr>
        <w:ind w:left="288"/>
      </w:pPr>
      <w:r>
        <w:rPr>
          <w:color w:val="8C8C8C"/>
          <w:sz w:val="12"/>
        </w:rPr>
        <w:t>cf-art-22-inc-XIII</w:t>
      </w:r>
      <w:r>
        <w:rPr>
          <w:color w:val="003CA0"/>
          <w:sz w:val="12"/>
        </w:rPr>
        <w:t xml:space="preserve"> | ADI 5.876</w:t>
      </w:r>
      <w:r>
        <w:rPr>
          <w:color w:val="003CA0"/>
          <w:sz w:val="12"/>
        </w:rPr>
        <w:t xml:space="preserve"> | rel. Alexandre de Moraes</w:t>
      </w:r>
    </w:p>
    <w:p>
      <w:pPr>
        <w:ind w:left="288"/>
      </w:pPr>
      <w:r>
        <w:rPr>
          <w:color w:val="1E1E1E"/>
          <w:sz w:val="18"/>
        </w:rPr>
        <w:t>A Lei 17.115/2017 do Estado de Santa Catarina, ao reconhecer a profissão de condutor de ambulância, bem como estabelecer condicionantes ao exercício da atividade de remoção de acidentados e/ou deslocamento de pacientes em ambulâncias, disciplina matéria de competência legislativa privativa da União (CF, art. 22, I e XVI).</w:t>
      </w:r>
    </w:p>
    <w:p>
      <w:pPr>
        <w:ind w:left="288"/>
      </w:pPr>
      <w:r>
        <w:rPr>
          <w:b/>
          <w:color w:val="003CA0"/>
          <w:sz w:val="16"/>
        </w:rPr>
        <w:t>[ADI 5.876, rel. min. Alexandre de Moraes, j. 23-8-2019, P, DJE de 9-9-2019.]</w:t>
      </w:r>
    </w:p>
    <w:p>
      <w:pPr>
        <w:ind w:left="288"/>
      </w:pPr>
      <w:r>
        <w:rPr>
          <w:color w:val="8C8C8C"/>
          <w:sz w:val="12"/>
        </w:rPr>
        <w:t>cf-art-22-inc-XIII</w:t>
      </w:r>
      <w:r>
        <w:rPr>
          <w:color w:val="003CA0"/>
          <w:sz w:val="12"/>
        </w:rPr>
        <w:t xml:space="preserve"> | ADI 4.387</w:t>
      </w:r>
      <w:r>
        <w:rPr>
          <w:color w:val="003CA0"/>
          <w:sz w:val="12"/>
        </w:rPr>
        <w:t xml:space="preserve"> | rel. Dias Toffoli</w:t>
      </w:r>
    </w:p>
    <w:p>
      <w:pPr>
        <w:ind w:left="288"/>
      </w:pPr>
      <w:r>
        <w:rPr>
          <w:color w:val="1E1E1E"/>
          <w:sz w:val="18"/>
        </w:rPr>
        <w:t xml:space="preserve">Lei 8.107, de 27-10-1992, e Decretos 37.420 e 37.421, todos do Estado de São Paulo. Regulamentação da atividade de despachante perante os órgãos da administração pública estadual. (...) A norma de que trata o art. 5º, XIII, da Carta Magna, que assegura ser "livre o exercício de qualquer trabalho, ofício ou profissão, atendidas as qualificações profissionais que a lei estabelecer", deve ter caráter nacional, não se admitindo que haja diferenças entre os entes federados quanto aos requisitos ou condições para o exercício de atividade profissional. O Estado de São Paulo, conforme se verifica nos </w:t>
      </w:r>
    </w:p>
    <w:p>
      <w:pPr>
        <w:ind w:left="288"/>
      </w:pPr>
      <w:r>
        <w:rPr>
          <w:b/>
          <w:color w:val="003CA0"/>
          <w:sz w:val="16"/>
        </w:rPr>
        <w:t>[ADI 4.387, rel. min. Dias Toffoli, j. 4-9-2014, P, DJE de 10-10-2014.]</w:t>
      </w:r>
    </w:p>
    <w:p>
      <w:pPr>
        <w:ind w:left="288"/>
      </w:pPr>
      <w:r>
        <w:rPr>
          <w:color w:val="8C8C8C"/>
          <w:sz w:val="12"/>
        </w:rPr>
        <w:t>cf-art-22-inc-XIII</w:t>
      </w:r>
      <w:r>
        <w:rPr>
          <w:color w:val="003CA0"/>
          <w:sz w:val="12"/>
        </w:rPr>
        <w:t xml:space="preserve"> | ADI 3.610</w:t>
      </w:r>
      <w:r>
        <w:rPr>
          <w:color w:val="003CA0"/>
          <w:sz w:val="12"/>
        </w:rPr>
        <w:t xml:space="preserve"> | rel. Cezar Peluso</w:t>
      </w:r>
    </w:p>
    <w:p>
      <w:pPr>
        <w:ind w:left="288"/>
      </w:pPr>
      <w:r>
        <w:rPr>
          <w:color w:val="1E1E1E"/>
          <w:sz w:val="18"/>
        </w:rPr>
        <w:t>Profissão de motoboy. Regulamentação. Inadmissibilidade. (...) Competências exclusivas da União. (...) É inconstitucional a lei distrital ou estadual que disponha sobre condições do exercício ou criação de profissão, sobretudo quando essa diga à segurança de trânsito.</w:t>
      </w:r>
    </w:p>
    <w:p>
      <w:pPr>
        <w:ind w:left="288"/>
      </w:pPr>
      <w:r>
        <w:rPr>
          <w:b/>
          <w:color w:val="003CA0"/>
          <w:sz w:val="16"/>
        </w:rPr>
        <w:t>[ADI 3.610, rel. min. Cezar Peluso, j. 1º-8-2011, P, DJE de 22-9-2011.]</w:t>
      </w:r>
    </w:p>
    <w:p>
      <w:pPr>
        <w:ind w:left="288"/>
      </w:pPr>
      <w:r>
        <w:rPr>
          <w:color w:val="8C8C8C"/>
          <w:sz w:val="12"/>
        </w:rPr>
        <w:t>cf-art-22-inc-XIII</w:t>
      </w:r>
      <w:r>
        <w:rPr>
          <w:color w:val="003CA0"/>
          <w:sz w:val="12"/>
        </w:rPr>
        <w:t xml:space="preserve"> | ADI 3.679</w:t>
      </w:r>
      <w:r>
        <w:rPr>
          <w:color w:val="003CA0"/>
          <w:sz w:val="12"/>
        </w:rPr>
        <w:t xml:space="preserve"> | rel. Sepúlveda Pertence</w:t>
      </w:r>
    </w:p>
    <w:p>
      <w:pPr>
        <w:ind w:left="288"/>
      </w:pPr>
      <w:r>
        <w:rPr>
          <w:color w:val="1E1E1E"/>
          <w:sz w:val="18"/>
        </w:rPr>
        <w:t>Vide ADI 3.679, rel. min. Sepúlveda Pertence, j. 18-6-2007, P, DJ de 3-8-2007 Lei distrital 3.136/2003, que "disciplina a atividade de transporte de bagagens nos terminais rodoviários do Distrito Federal". (...) Quanto à violação ao art. 22, XVI, da CF, na linha dos precedentes do STF, verifica-se a inconstitucionalidade formal dos arts. 2º e 8º do diploma impugnado por versarem sobre condições para o exercício da profissão.</w:t>
      </w:r>
    </w:p>
    <w:p>
      <w:pPr>
        <w:ind w:left="288"/>
      </w:pPr>
      <w:r>
        <w:rPr>
          <w:b/>
          <w:color w:val="003CA0"/>
          <w:sz w:val="16"/>
        </w:rPr>
        <w:t>[ADI 3.587, rel. min. Gilmar Mendes, j. 12-12-2007, P, DJE de 22-2-2008.]</w:t>
      </w:r>
    </w:p>
    <w:p>
      <w:pPr>
        <w:ind w:left="288"/>
      </w:pPr>
      <w:r>
        <w:rPr>
          <w:color w:val="8C8C8C"/>
          <w:sz w:val="12"/>
        </w:rPr>
        <w:t>cf-art-22-inc-XIII</w:t>
      </w:r>
      <w:r>
        <w:rPr>
          <w:color w:val="003CA0"/>
          <w:sz w:val="12"/>
        </w:rPr>
        <w:t xml:space="preserve"> | ARE 1.482.123</w:t>
      </w:r>
      <w:r>
        <w:rPr>
          <w:color w:val="003CA0"/>
          <w:sz w:val="12"/>
        </w:rPr>
        <w:t xml:space="preserve"> | rel. Luiz Fux</w:t>
      </w:r>
    </w:p>
    <w:p>
      <w:pPr>
        <w:ind w:left="288"/>
      </w:pPr>
      <w:r>
        <w:rPr>
          <w:color w:val="1E1E1E"/>
          <w:sz w:val="18"/>
        </w:rPr>
        <w:t>Usurpação da competência privativa da União, prevista no artigo 22, inciso XVI, da Constituição da República, por norma local (estadual, distrital ou municipal) que impõe condições ou restringe o exercício de determinada profissão.</w:t>
      </w:r>
    </w:p>
    <w:p>
      <w:pPr>
        <w:ind w:left="288"/>
      </w:pPr>
      <w:r>
        <w:rPr>
          <w:b/>
          <w:color w:val="003CA0"/>
          <w:sz w:val="16"/>
        </w:rPr>
        <w:t>[ARE 1.482.123 RG, rel. min. Luiz Fux, j. 13.06.2025, P, DJE de 23.06.2025, Tema 1.406, com mérito pendente.]</w:t>
      </w:r>
    </w:p>
    <w:p>
      <w:pPr>
        <w:ind w:left="144"/>
      </w:pPr>
      <w:r>
        <w:rPr>
          <w:b/>
          <w:color w:val="B45A00"/>
          <w:sz w:val="16"/>
        </w:rPr>
        <w:t>JULGADOS CORRELATOS</w:t>
      </w:r>
    </w:p>
    <w:p>
      <w:pPr>
        <w:ind w:left="288"/>
      </w:pPr>
      <w:r>
        <w:rPr>
          <w:color w:val="8C8C8C"/>
          <w:sz w:val="12"/>
        </w:rPr>
        <w:t>cf-art-22-inc-XIII</w:t>
      </w:r>
      <w:r>
        <w:rPr>
          <w:color w:val="003CA0"/>
          <w:sz w:val="12"/>
        </w:rPr>
        <w:t xml:space="preserve"> | ARE 758.227</w:t>
      </w:r>
      <w:r>
        <w:rPr>
          <w:color w:val="003CA0"/>
          <w:sz w:val="12"/>
        </w:rPr>
        <w:t xml:space="preserve"> | rel. Cármen Lúcia</w:t>
      </w:r>
    </w:p>
    <w:p>
      <w:pPr>
        <w:ind w:left="288"/>
      </w:pPr>
      <w:r>
        <w:rPr>
          <w:color w:val="1E1E1E"/>
          <w:sz w:val="18"/>
        </w:rPr>
        <w:t>Profissionais fisioterapeutas e terapeutas ocupacionais. Carga horária. Lei 8.856/1994. Competência privativa da União para legislar sobre condições de trabalho.</w:t>
      </w:r>
    </w:p>
    <w:p>
      <w:pPr>
        <w:ind w:left="288"/>
      </w:pPr>
      <w:r>
        <w:rPr>
          <w:b/>
          <w:color w:val="003CA0"/>
          <w:sz w:val="16"/>
        </w:rPr>
        <w:t>[ARE 758.227 AgR, rel. min. Cármen Lúcia, j. 29-10-2013, 2ª T, DJE de 4-11-2013.]</w:t>
      </w:r>
    </w:p>
    <w:p>
      <w:pPr>
        <w:ind w:left="288"/>
      </w:pPr>
      <w:r>
        <w:rPr>
          <w:color w:val="8C8C8C"/>
          <w:sz w:val="12"/>
        </w:rPr>
        <w:t>cf-art-22-inc-XIII</w:t>
      </w:r>
      <w:r>
        <w:rPr>
          <w:color w:val="003CA0"/>
          <w:sz w:val="12"/>
        </w:rPr>
        <w:t xml:space="preserve"> | RCL 5.096</w:t>
      </w:r>
      <w:r>
        <w:rPr>
          <w:color w:val="003CA0"/>
          <w:sz w:val="12"/>
        </w:rPr>
        <w:t xml:space="preserve"> | rel. Marco Aurélio</w:t>
      </w:r>
    </w:p>
    <w:p>
      <w:pPr>
        <w:ind w:left="288"/>
      </w:pPr>
      <w:r>
        <w:rPr>
          <w:color w:val="1E1E1E"/>
          <w:sz w:val="18"/>
        </w:rPr>
        <w:t>O conflito de lei estadual disciplinadora da atribuição normativa para legislar sobre exercício profissional resolve-se considerada a CF, pouco importando articulação, na inicial, de ofensa à Carta do Estado no que revela princípios gerais – de competir à unidade da Federação normatizar o que não lhe seja vedado e respeitar a atuação municipal.</w:t>
      </w:r>
    </w:p>
    <w:p>
      <w:pPr>
        <w:ind w:left="288"/>
      </w:pPr>
      <w:r>
        <w:rPr>
          <w:b/>
          <w:color w:val="003CA0"/>
          <w:sz w:val="16"/>
        </w:rPr>
        <w:t>[Rcl 5.096, rel. min. Marco Aurélio, j. 20-5-2009, P, DJE de 19-6-2009.]</w:t>
      </w:r>
    </w:p>
    <w:p>
      <w:pPr>
        <w:ind w:left="288"/>
      </w:pPr>
      <w:r>
        <w:rPr>
          <w:color w:val="8C8C8C"/>
          <w:sz w:val="12"/>
        </w:rPr>
        <w:t>cf-art-22-inc-XIII</w:t>
      </w:r>
    </w:p>
    <w:p>
      <w:pPr>
        <w:ind w:left="288"/>
      </w:pPr>
      <w:r>
        <w:rPr>
          <w:color w:val="1E1E1E"/>
          <w:sz w:val="18"/>
        </w:rPr>
        <w:t>XVII - organização judiciária, do Ministério Público do Distrito Federal e dos Territórios e da Defensoria Pública dos Territórios, bem como organização administrativa destes; (Redação da EC 69/2012) (Vide EC 69/2012) XVIII - sistema estatístico, sistema cartográfico e de geologia nacionais;</w:t>
      </w:r>
    </w:p>
    <w:p>
      <w:pPr>
        <w:ind w:left="144"/>
      </w:pPr>
      <w:r>
        <w:rPr>
          <w:b/>
          <w:color w:val="B45A00"/>
          <w:sz w:val="16"/>
        </w:rPr>
        <w:t>CONTROLE CONCENTRADO</w:t>
      </w:r>
    </w:p>
    <w:p>
      <w:pPr>
        <w:ind w:left="288"/>
      </w:pPr>
      <w:r>
        <w:rPr>
          <w:color w:val="8C8C8C"/>
          <w:sz w:val="12"/>
        </w:rPr>
        <w:t>cf-art-22-inc-XIII</w:t>
      </w:r>
      <w:r>
        <w:rPr>
          <w:color w:val="003CA0"/>
          <w:sz w:val="12"/>
        </w:rPr>
        <w:t xml:space="preserve"> | ADI 158</w:t>
      </w:r>
      <w:r>
        <w:rPr>
          <w:color w:val="003CA0"/>
          <w:sz w:val="12"/>
        </w:rPr>
        <w:t xml:space="preserve"> | rel. Celso de Mello</w:t>
      </w:r>
    </w:p>
    <w:p>
      <w:pPr>
        <w:ind w:left="288"/>
      </w:pPr>
      <w:r>
        <w:rPr>
          <w:color w:val="1E1E1E"/>
          <w:sz w:val="18"/>
        </w:rPr>
        <w:t>Os Estados-membros e o Distrito Federal não dispõem de competência para legislar sobre horário de verão, eis que falece a qualquer ente federado competência legislativa para dispor sobre o seu próprio horário, considerada a dimensão nacional que qualifica essa particular atribuição que a Constituição da República outorgou, em regime de exclusividade, à União Federal, sob pena de entendimento em sentido contrário gerar a possibilidade anárquica de o Brasil vir a submeter-se a tantas horas oficiais quantas forem as unidades da Federação.</w:t>
        <w:br/>
        <w:t>[ADI 158, rel. min. Celso de Mello, j. 1º-8-2018, P, DJE d</w:t>
      </w:r>
    </w:p>
    <w:p>
      <w:pPr>
        <w:ind w:left="144"/>
      </w:pPr>
      <w:r>
        <w:rPr>
          <w:b/>
          <w:color w:val="B45A00"/>
          <w:sz w:val="16"/>
        </w:rPr>
        <w:t>SUMULA VINCULANTE</w:t>
      </w:r>
    </w:p>
    <w:p>
      <w:pPr>
        <w:ind w:left="288"/>
      </w:pPr>
      <w:r>
        <w:rPr>
          <w:color w:val="8C8C8C"/>
          <w:sz w:val="12"/>
        </w:rPr>
        <w:t>cf-art-22-inc-XX</w:t>
      </w:r>
    </w:p>
    <w:p>
      <w:pPr>
        <w:ind w:left="288"/>
      </w:pPr>
      <w:r>
        <w:rPr>
          <w:color w:val="1E1E1E"/>
          <w:sz w:val="18"/>
        </w:rPr>
        <w:t>É inconstitucional a lei ou ato normativo estadual ou distrital que disponha sobre sistemas de consórcios e sorteios, inclusive bingos e loterias.</w:t>
      </w:r>
    </w:p>
    <w:p>
      <w:pPr>
        <w:ind w:left="288"/>
      </w:pPr>
      <w:r>
        <w:rPr>
          <w:b/>
          <w:color w:val="003CA0"/>
          <w:sz w:val="16"/>
        </w:rPr>
        <w:t>[Súmula Vinculante 2.]</w:t>
      </w:r>
    </w:p>
    <w:p>
      <w:pPr>
        <w:ind w:left="288"/>
      </w:pPr>
      <w:r>
        <w:rPr>
          <w:color w:val="8C8C8C"/>
          <w:sz w:val="12"/>
        </w:rPr>
        <w:t>cf-art-22-inc-XX</w:t>
      </w:r>
      <w:r>
        <w:rPr>
          <w:color w:val="003CA0"/>
          <w:sz w:val="12"/>
        </w:rPr>
        <w:t xml:space="preserve"> | ADI 7.640</w:t>
      </w:r>
      <w:r>
        <w:rPr>
          <w:color w:val="003CA0"/>
          <w:sz w:val="12"/>
        </w:rPr>
        <w:t xml:space="preserve"> | rel. Luiz Fux</w:t>
      </w:r>
    </w:p>
    <w:p>
      <w:pPr>
        <w:ind w:left="288"/>
      </w:pPr>
      <w:r>
        <w:rPr>
          <w:color w:val="1E1E1E"/>
          <w:sz w:val="18"/>
        </w:rPr>
        <w:t>A União, no exercício de sua competência legislativa privativa sobre o serviço de loterias, não pode instituir tratamento diferenciado entre os entes federativos, privilegiando determinados Estados em detrimento de outros ou privilegiando a si própria em detrimento dos Estados-membros, mediante a obstaculização do exercício de competências materiais franqueadas aos Estados pela Constituição. (...) À luz dos princípios da livre iniciativa e da livre concorrência, fundamentos da ordem econômica constitucional, o exercício de atividades econômicas por particulares deve ser protegido da coerção ar</w:t>
      </w:r>
    </w:p>
    <w:p>
      <w:pPr>
        <w:ind w:left="288"/>
      </w:pPr>
      <w:r>
        <w:rPr>
          <w:b/>
          <w:color w:val="003CA0"/>
          <w:sz w:val="16"/>
        </w:rPr>
        <w:t>[ADI 7.640, rel. min. Luiz Fux, j. 15.09.2025, P, DJE de 12.11.2025.]</w:t>
      </w:r>
    </w:p>
    <w:p>
      <w:pPr>
        <w:ind w:left="144"/>
      </w:pPr>
      <w:r>
        <w:rPr>
          <w:b/>
          <w:color w:val="B45A00"/>
          <w:sz w:val="16"/>
        </w:rPr>
        <w:t>CONTROLE CONCENTRADO</w:t>
      </w:r>
    </w:p>
    <w:p>
      <w:pPr>
        <w:ind w:left="288"/>
      </w:pPr>
      <w:r>
        <w:rPr>
          <w:color w:val="8C8C8C"/>
          <w:sz w:val="12"/>
        </w:rPr>
        <w:t>cf-art-22-inc-XX</w:t>
      </w:r>
      <w:r>
        <w:rPr>
          <w:color w:val="003CA0"/>
          <w:sz w:val="12"/>
        </w:rPr>
        <w:t xml:space="preserve"> | ADPF 492</w:t>
      </w:r>
    </w:p>
    <w:p>
      <w:pPr>
        <w:ind w:left="288"/>
      </w:pPr>
      <w:r>
        <w:rPr>
          <w:color w:val="1E1E1E"/>
          <w:sz w:val="18"/>
        </w:rPr>
        <w:t>Arguições de Descumprimento de Preceito Fundamental. Ação Direta de Inconstitucionalidade. Artigos 1º, caput, e 32, caput, e § 1º do Decreto-Lei 204/1967. Exploração de loterias por Estados-membros. Legislação estadual. Competência legislativa da União e competência material dos Estados. Distinção. Exploração por outros entes federados. Possibilidade. Arguições de Descumprimento de Preceito Fundamental conhecidas e julgadas procedentes. Ação Direta de Inconstitucionalidade conhecida e julgada improcedente.</w:t>
      </w:r>
    </w:p>
    <w:p>
      <w:pPr>
        <w:ind w:left="288"/>
      </w:pPr>
      <w:r>
        <w:rPr>
          <w:b/>
          <w:color w:val="003CA0"/>
          <w:sz w:val="16"/>
        </w:rPr>
        <w:t>[ADPF 492, ADPF 493 e ADI 4.986, rel. Gilmar Mendes, j. 30-9-2020, P, DJE de 15-12-2020]</w:t>
      </w:r>
    </w:p>
    <w:p>
      <w:pPr>
        <w:ind w:left="288"/>
      </w:pPr>
      <w:r>
        <w:rPr>
          <w:color w:val="8C8C8C"/>
          <w:sz w:val="12"/>
        </w:rPr>
        <w:t>cf-art-22-inc-XX</w:t>
      </w:r>
      <w:r>
        <w:rPr>
          <w:color w:val="003CA0"/>
          <w:sz w:val="12"/>
        </w:rPr>
        <w:t xml:space="preserve"> | ADI 2.995</w:t>
      </w:r>
      <w:r>
        <w:rPr>
          <w:color w:val="003CA0"/>
          <w:sz w:val="12"/>
        </w:rPr>
        <w:t xml:space="preserve"> | rel. Celso de Mello</w:t>
      </w:r>
    </w:p>
    <w:p>
      <w:pPr>
        <w:ind w:left="288"/>
      </w:pPr>
      <w:r>
        <w:rPr>
          <w:color w:val="1E1E1E"/>
          <w:sz w:val="18"/>
        </w:rPr>
        <w:t>A usurpação, pelo Estado-membro, da competência para legislar sobre sistemas de sorteios – que representa matéria constitucionalmente reservada, em caráter de absoluta privatividade, à União Federal – traduz vício jurídico que faz instaurar situação de inconstitucionalidade formal, apta a infirmar, de modo radical, a própria integridade do ato legislativo daí resultante.</w:t>
      </w:r>
    </w:p>
    <w:p>
      <w:pPr>
        <w:ind w:left="288"/>
      </w:pPr>
      <w:r>
        <w:rPr>
          <w:b/>
          <w:color w:val="003CA0"/>
          <w:sz w:val="16"/>
        </w:rPr>
        <w:t>[ADI 2.995, rel. min. Celso de Mello, j. 13-12-2006, P, DJ de 28-9-2007.]</w:t>
      </w:r>
    </w:p>
    <w:p>
      <w:pPr>
        <w:ind w:left="288"/>
      </w:pPr>
      <w:r>
        <w:rPr>
          <w:color w:val="8C8C8C"/>
          <w:sz w:val="12"/>
        </w:rPr>
        <w:t>cf-art-22-inc-XX</w:t>
      </w:r>
      <w:r>
        <w:rPr>
          <w:color w:val="003CA0"/>
          <w:sz w:val="12"/>
        </w:rPr>
        <w:t xml:space="preserve"> | ADI 179</w:t>
      </w:r>
      <w:r>
        <w:rPr>
          <w:color w:val="003CA0"/>
          <w:sz w:val="12"/>
        </w:rPr>
        <w:t xml:space="preserve"> | rel. Dias Toffoli</w:t>
      </w:r>
    </w:p>
    <w:p>
      <w:pPr>
        <w:ind w:left="288"/>
      </w:pPr>
      <w:r>
        <w:rPr>
          <w:color w:val="1E1E1E"/>
          <w:sz w:val="18"/>
        </w:rPr>
        <w:t>= ADI 179, rel. min. Dias Toffoli, j. 19-2-2014, P, DJE de 28-3-2014 Exploração de serviços lotéricos pelos estados. Flexibilização de limites territoriais em edital. Impossibilidade. (...) A flexibilização dos critérios de territorialidade fragiliza a fiscalização e o controle da atividade lotérica, com potenciais prejuízos, entre outros, ao pacto federativo.</w:t>
      </w:r>
    </w:p>
    <w:p>
      <w:pPr>
        <w:ind w:left="288"/>
      </w:pPr>
      <w:r>
        <w:rPr>
          <w:b/>
          <w:color w:val="003CA0"/>
          <w:sz w:val="16"/>
        </w:rPr>
        <w:t>[ACO 3.696 MC-REF, rel. min. André Mendonça, j. 24.02.2025, P, DJE de 13.03.2025.]</w:t>
      </w:r>
    </w:p>
    <w:p>
      <w:pPr>
        <w:ind w:left="288"/>
      </w:pPr>
      <w:r>
        <w:rPr>
          <w:color w:val="8C8C8C"/>
          <w:sz w:val="12"/>
        </w:rPr>
        <w:t>cf-art-22-inc-XX</w:t>
      </w:r>
      <w:r>
        <w:rPr>
          <w:color w:val="003CA0"/>
          <w:sz w:val="12"/>
        </w:rPr>
        <w:t xml:space="preserve"> | ADI 7.546</w:t>
      </w:r>
      <w:r>
        <w:rPr>
          <w:color w:val="003CA0"/>
          <w:sz w:val="12"/>
        </w:rPr>
        <w:t xml:space="preserve"> | rel. Nunes Marques</w:t>
      </w:r>
    </w:p>
    <w:p>
      <w:pPr>
        <w:ind w:left="288"/>
      </w:pPr>
      <w:r>
        <w:rPr>
          <w:color w:val="1E1E1E"/>
          <w:sz w:val="18"/>
        </w:rPr>
        <w:t>XXI - normas gerais de organização, efetivos, material bélico, garantias, convocação, mobilização, inatividades e pensões das polícias militares e dos corpos de bombeiros militares; (Redação da EC 103/2019) Compete privativamente à União legislar sobre defesa civil e editar normas gerais sobre a organização dos corpos de bombeiros militares (CF/1988, art. 22, XXI e XXVIII), bem como estabelecer diretrizes para o desenvolvimento urbano e normas gerais de direito urbanístico (CF/1988, arts. 21, XX, e 24, I e § 1º). A Lei n. 13.425/2017, editada pela União, estabelece diretrizes gerais sobre medi</w:t>
      </w:r>
    </w:p>
    <w:p>
      <w:pPr>
        <w:ind w:left="288"/>
      </w:pPr>
      <w:r>
        <w:rPr>
          <w:b/>
          <w:color w:val="003CA0"/>
          <w:sz w:val="16"/>
        </w:rPr>
        <w:t>[ADI 7.546, rel. min. Nunes Marques, j.18-2-2026, P, DJE de 2-3-2026.]</w:t>
      </w:r>
    </w:p>
    <w:p>
      <w:pPr>
        <w:ind w:left="288"/>
      </w:pPr>
      <w:r>
        <w:rPr>
          <w:color w:val="8C8C8C"/>
          <w:sz w:val="12"/>
        </w:rPr>
        <w:t>cf-art-22-inc-XX</w:t>
      </w:r>
      <w:r>
        <w:rPr>
          <w:color w:val="003CA0"/>
          <w:sz w:val="12"/>
        </w:rPr>
        <w:t xml:space="preserve"> | RE 1.338.750</w:t>
      </w:r>
      <w:r>
        <w:rPr>
          <w:color w:val="003CA0"/>
          <w:sz w:val="12"/>
        </w:rPr>
        <w:t xml:space="preserve"> | rel. Alexandre de Moraes</w:t>
      </w:r>
    </w:p>
    <w:p>
      <w:pPr>
        <w:ind w:left="288"/>
      </w:pPr>
      <w:r>
        <w:rPr>
          <w:color w:val="1E1E1E"/>
          <w:sz w:val="18"/>
        </w:rPr>
        <w:t>A repristinação de alíquotas previstas em legislação subnacional atinente ao regime previdenciário de militares estaduais, por força do julgamento do RE 1.338.750-RG, não viola a Constituição.</w:t>
      </w:r>
    </w:p>
    <w:p>
      <w:pPr>
        <w:ind w:left="288"/>
      </w:pPr>
      <w:r>
        <w:rPr>
          <w:b/>
          <w:color w:val="003CA0"/>
          <w:sz w:val="16"/>
        </w:rPr>
        <w:t>[ADPF 1.184, rel. min. Alexandre de Moraes, j. 17.03.2025, P, DJE de 21.03.2025.]</w:t>
      </w:r>
    </w:p>
    <w:p>
      <w:pPr>
        <w:ind w:left="288"/>
      </w:pPr>
      <w:r>
        <w:rPr>
          <w:color w:val="8C8C8C"/>
          <w:sz w:val="12"/>
        </w:rPr>
        <w:t>cf-art-22-inc-XX</w:t>
      </w:r>
      <w:r>
        <w:rPr>
          <w:color w:val="003CA0"/>
          <w:sz w:val="12"/>
        </w:rPr>
        <w:t xml:space="preserve"> | ADI 4.059</w:t>
      </w:r>
      <w:r>
        <w:rPr>
          <w:color w:val="003CA0"/>
          <w:sz w:val="12"/>
        </w:rPr>
        <w:t xml:space="preserve"> | rel. Nunes Marques</w:t>
      </w:r>
    </w:p>
    <w:p>
      <w:pPr>
        <w:ind w:left="288"/>
      </w:pPr>
      <w:r>
        <w:rPr>
          <w:color w:val="1E1E1E"/>
          <w:sz w:val="18"/>
        </w:rPr>
        <w:t>Há compatibilidade entre as disposições da norma estadual impugnada e da Lei Federal nº 10.029/2000, revelando a ausência de violação às competências constitucionais atribuídas à União pelo art. 22, XXI, da Constituição Federal e concretizando a regulamentação de um serviço auxiliar de guarda de imóveis estaduais e de quartéis da corporação, conforme autorizado pela legislação federal, restando, contudo, vedada a atribuição de competências típicas das polícias militares ou das polícias penais.</w:t>
      </w:r>
    </w:p>
    <w:p>
      <w:pPr>
        <w:ind w:left="288"/>
      </w:pPr>
      <w:r>
        <w:rPr>
          <w:b/>
          <w:color w:val="003CA0"/>
          <w:sz w:val="16"/>
        </w:rPr>
        <w:t>[ADI 4.059, rel. min. Nunes Marques, red. do ac. Flávio Dino, j. 04.02.2025, P, DJE de 28.03.2025.]</w:t>
      </w:r>
    </w:p>
    <w:p>
      <w:pPr>
        <w:ind w:left="288"/>
      </w:pPr>
      <w:r>
        <w:rPr>
          <w:color w:val="8C8C8C"/>
          <w:sz w:val="12"/>
        </w:rPr>
        <w:t>cf-art-22-inc-XX</w:t>
      </w:r>
      <w:r>
        <w:rPr>
          <w:color w:val="003CA0"/>
          <w:sz w:val="12"/>
        </w:rPr>
        <w:t xml:space="preserve"> | ADI 3.608</w:t>
      </w:r>
      <w:r>
        <w:rPr>
          <w:color w:val="003CA0"/>
          <w:sz w:val="12"/>
        </w:rPr>
        <w:t xml:space="preserve"> | rel. Nunes Marques</w:t>
      </w:r>
    </w:p>
    <w:p>
      <w:pPr>
        <w:ind w:left="288"/>
      </w:pPr>
      <w:r>
        <w:rPr>
          <w:color w:val="1E1E1E"/>
          <w:sz w:val="18"/>
        </w:rPr>
        <w:t>Compete privativamente à União legislar sobre normas gerais de organização, efetivos e convocação das polícias militares e dos corpos de bombeiros militares (CF, art. 22, XXI). Essa previsão não exclui aquela do art. 144, § 6º, segundo a qual as polícias militares e os corpos de bombeiros militares são forças auxiliares e reserva do Exército, subordinando-se aos Governadores dos Estados, do Distrito Federal e dos Territórios. (...) O prazo de duração consiste em elemento essencial do serviço voluntário, a ser disciplinado pelos Estados-membros nos termos estabelecidos pela norma geral da União</w:t>
      </w:r>
    </w:p>
    <w:p>
      <w:pPr>
        <w:ind w:left="288"/>
      </w:pPr>
      <w:r>
        <w:rPr>
          <w:b/>
          <w:color w:val="003CA0"/>
          <w:sz w:val="16"/>
        </w:rPr>
        <w:t>[ADI 6.917, rel. min. Alexandre de Moraes, j. 21-3-2022, P, DJE de 29-3-2022.]</w:t>
      </w:r>
    </w:p>
    <w:p>
      <w:pPr>
        <w:ind w:left="288"/>
      </w:pPr>
      <w:r>
        <w:rPr>
          <w:color w:val="8C8C8C"/>
          <w:sz w:val="12"/>
        </w:rPr>
        <w:t>cf-art-22-inc-XX</w:t>
      </w:r>
      <w:r>
        <w:rPr>
          <w:color w:val="003CA0"/>
          <w:sz w:val="12"/>
        </w:rPr>
        <w:t xml:space="preserve"> | ADI 5.359</w:t>
      </w:r>
      <w:r>
        <w:rPr>
          <w:color w:val="003CA0"/>
          <w:sz w:val="12"/>
        </w:rPr>
        <w:t xml:space="preserve"> | rel. Edson Fachin</w:t>
      </w:r>
    </w:p>
    <w:p>
      <w:pPr>
        <w:ind w:left="288"/>
      </w:pPr>
      <w:r>
        <w:rPr>
          <w:color w:val="1E1E1E"/>
          <w:sz w:val="18"/>
        </w:rPr>
        <w:t>O Estatuto do Desarmamento é norma federal e, de forma nítida, afastou a possibilidade do exercício das competências complementares e suplementares dos Estados e Municípios para autorizar porte de arma de fogo, ainda que a pretexto de regular carreiras ou de dispor sobre segurança pública, seja para garanti-lo aos inativos da carreira dos agentes penitenciários, seja para estendê-lo à dos agentes do sistema socioeducativo.</w:t>
      </w:r>
    </w:p>
    <w:p>
      <w:pPr>
        <w:ind w:left="288"/>
      </w:pPr>
      <w:r>
        <w:rPr>
          <w:b/>
          <w:color w:val="003CA0"/>
          <w:sz w:val="16"/>
        </w:rPr>
        <w:t>[ADI 5.359, rel. min. Edson Fachin, j. 1º-3-2021, P, DJE de 6-5-2021.]</w:t>
      </w:r>
    </w:p>
    <w:p>
      <w:pPr>
        <w:ind w:left="288"/>
      </w:pPr>
      <w:r>
        <w:rPr>
          <w:color w:val="8C8C8C"/>
          <w:sz w:val="12"/>
        </w:rPr>
        <w:t>cf-art-22-inc-XX</w:t>
      </w:r>
      <w:r>
        <w:rPr>
          <w:color w:val="003CA0"/>
          <w:sz w:val="12"/>
        </w:rPr>
        <w:t xml:space="preserve"> | ADI 4.173</w:t>
      </w:r>
      <w:r>
        <w:rPr>
          <w:color w:val="003CA0"/>
          <w:sz w:val="12"/>
        </w:rPr>
        <w:t xml:space="preserve"> | rel. Alexandre de Moraes</w:t>
      </w:r>
    </w:p>
    <w:p>
      <w:pPr>
        <w:ind w:left="288"/>
      </w:pPr>
      <w:r>
        <w:rPr>
          <w:color w:val="1E1E1E"/>
          <w:sz w:val="18"/>
        </w:rPr>
        <w:t>A Lei Federal 10.029/2000, que estabeleceu os parâmetros de organização de serviços voluntários nas Polícias Militares e nos Corpos de Bombeiros Militares, possui caráter nacional e foi editada dentro dos limites da competência da União (arts. 22, XXI, e 144, § 7º, da CF).</w:t>
      </w:r>
    </w:p>
    <w:p>
      <w:pPr>
        <w:ind w:left="288"/>
      </w:pPr>
      <w:r>
        <w:rPr>
          <w:b/>
          <w:color w:val="003CA0"/>
          <w:sz w:val="16"/>
        </w:rPr>
        <w:t>[ADI 4.173, rel. min. Alexandre de Moraes, j. 19-12-2018, P, DJE de 25-2-2019.]</w:t>
      </w:r>
    </w:p>
    <w:p>
      <w:pPr>
        <w:ind w:left="288"/>
      </w:pPr>
      <w:r>
        <w:rPr>
          <w:color w:val="8C8C8C"/>
          <w:sz w:val="12"/>
        </w:rPr>
        <w:t>cf-art-22-inc-XX</w:t>
      </w:r>
      <w:r>
        <w:rPr>
          <w:color w:val="003CA0"/>
          <w:sz w:val="12"/>
        </w:rPr>
        <w:t xml:space="preserve"> | ADI 1.045</w:t>
      </w:r>
      <w:r>
        <w:rPr>
          <w:color w:val="003CA0"/>
          <w:sz w:val="12"/>
        </w:rPr>
        <w:t xml:space="preserve"> | rel. Marco Aurélio</w:t>
      </w:r>
    </w:p>
    <w:p>
      <w:pPr>
        <w:ind w:left="288"/>
      </w:pPr>
      <w:r>
        <w:rPr>
          <w:color w:val="1E1E1E"/>
          <w:sz w:val="18"/>
        </w:rPr>
        <w:t>Cumpre à União organizar e manter a Polícia Militar e o Corpo de Bombeiros Militar do Distrito Federal, surgindo a inconstitucionalidade de diploma local versando a matéria.</w:t>
      </w:r>
    </w:p>
    <w:p>
      <w:pPr>
        <w:ind w:left="288"/>
      </w:pPr>
      <w:r>
        <w:rPr>
          <w:b/>
          <w:color w:val="003CA0"/>
          <w:sz w:val="16"/>
        </w:rPr>
        <w:t>[ADI 1.045, rel. min. Marco Aurélio, j. 15-4-2009, P, DJE de 12-6-2009.]</w:t>
      </w:r>
    </w:p>
    <w:p>
      <w:pPr>
        <w:ind w:left="288"/>
      </w:pPr>
      <w:r>
        <w:rPr>
          <w:color w:val="8C8C8C"/>
          <w:sz w:val="12"/>
        </w:rPr>
        <w:t>cf-art-22-inc-XX</w:t>
      </w:r>
      <w:r>
        <w:rPr>
          <w:color w:val="003CA0"/>
          <w:sz w:val="12"/>
        </w:rPr>
        <w:t xml:space="preserve"> | RE 648.946</w:t>
      </w:r>
      <w:r>
        <w:rPr>
          <w:color w:val="003CA0"/>
          <w:sz w:val="12"/>
        </w:rPr>
        <w:t xml:space="preserve"> | rel. Cármen Lúcia</w:t>
      </w:r>
    </w:p>
    <w:p>
      <w:pPr>
        <w:ind w:left="288"/>
      </w:pPr>
      <w:r>
        <w:rPr>
          <w:color w:val="1E1E1E"/>
          <w:sz w:val="18"/>
        </w:rPr>
        <w:t>= RE 648.946 AgR, rel. min. Cármen Lúcia, j. 25-9-2012, 2ª T, DJE de 19-10-2012 A regulamentação das promoções dos policiais militares é tratada em leis que dispõem sobre normas gerais de organização das polícias militares, as quais, por sua vez, estão sob reserva de lei federal (CF, art. 22, XXI).</w:t>
      </w:r>
    </w:p>
    <w:p>
      <w:pPr>
        <w:ind w:left="288"/>
      </w:pPr>
      <w:r>
        <w:rPr>
          <w:b/>
          <w:color w:val="003CA0"/>
          <w:sz w:val="16"/>
        </w:rPr>
        <w:t>[ADI 1.540, rel. min. Maurício Corrêa, j. 25-6-1997, P, DJ de 16-11-2001.]</w:t>
      </w:r>
    </w:p>
    <w:p>
      <w:pPr>
        <w:ind w:left="288"/>
      </w:pPr>
      <w:r>
        <w:rPr>
          <w:color w:val="8C8C8C"/>
          <w:sz w:val="12"/>
        </w:rPr>
        <w:t>cf-art-22-inc-XX</w:t>
      </w:r>
      <w:r>
        <w:rPr>
          <w:color w:val="003CA0"/>
          <w:sz w:val="12"/>
        </w:rPr>
        <w:t xml:space="preserve"> | AI 803.434</w:t>
      </w:r>
      <w:r>
        <w:rPr>
          <w:color w:val="003CA0"/>
          <w:sz w:val="12"/>
        </w:rPr>
        <w:t xml:space="preserve"> | rel. Gilmar Mendes</w:t>
      </w:r>
    </w:p>
    <w:p>
      <w:pPr>
        <w:ind w:left="288"/>
      </w:pPr>
      <w:r>
        <w:rPr>
          <w:color w:val="1E1E1E"/>
          <w:sz w:val="18"/>
        </w:rPr>
        <w:t>= AI 803.434 AgR, rel. min. Gilmar Mendes, j. 1º-3-2011, 2ª T, DJE de 23-3-2011 “A competência privativa da União para a edição de normas gerais sobre inatividades e pensões das polícias militares e dos corpos de bombeiros militares (artigo 22, XXI, da Constituição, na redação da Emenda Constitucional 103/2019) não exclui a competência legislativa dos Estados para a fixação das alíquotas da contribuição previdenciária incidente sobre os proventos de seus próprios militares inativos e pensionistas, tendo a Lei Federal 13.954/2019, no ponto, incorrido em inconstitucionalidade. ”</w:t>
      </w:r>
    </w:p>
    <w:p>
      <w:pPr>
        <w:ind w:left="288"/>
      </w:pPr>
      <w:r>
        <w:rPr>
          <w:b/>
          <w:color w:val="003CA0"/>
          <w:sz w:val="16"/>
        </w:rPr>
        <w:t>[RE 1.338.750 RG, rel. min. Luiz Fux, j. 21.10.2021, P, DJE de 27.10.2021, Tema 1.177, com mérito julgado.]</w:t>
      </w:r>
    </w:p>
    <w:p>
      <w:pPr>
        <w:ind w:left="288"/>
      </w:pPr>
      <w:r>
        <w:rPr>
          <w:color w:val="8C8C8C"/>
          <w:sz w:val="12"/>
        </w:rPr>
        <w:t>cf-art-22-inc-XX</w:t>
      </w:r>
      <w:r>
        <w:rPr>
          <w:color w:val="003CA0"/>
          <w:sz w:val="12"/>
        </w:rPr>
        <w:t xml:space="preserve"> | RE 1.554.820</w:t>
      </w:r>
      <w:r>
        <w:rPr>
          <w:color w:val="003CA0"/>
          <w:sz w:val="12"/>
        </w:rPr>
        <w:t xml:space="preserve"> | rel. Dias Toffoli</w:t>
      </w:r>
    </w:p>
    <w:p>
      <w:pPr>
        <w:ind w:left="288"/>
      </w:pPr>
      <w:r>
        <w:rPr>
          <w:b/>
          <w:color w:val="003CA0"/>
          <w:sz w:val="16"/>
        </w:rPr>
        <w:t>[RE 1.554.820 AgR-segundo, rel. min. Dias Toffoli, j. 26.11.2025, 2ª T, DJE de 28.11.2025.]</w:t>
      </w:r>
    </w:p>
    <w:p>
      <w:pPr>
        <w:ind w:left="288"/>
      </w:pPr>
      <w:r>
        <w:rPr>
          <w:color w:val="8C8C8C"/>
          <w:sz w:val="12"/>
        </w:rPr>
        <w:t>cf-art-22-inc-XX</w:t>
      </w:r>
      <w:r>
        <w:rPr>
          <w:color w:val="003CA0"/>
          <w:sz w:val="12"/>
        </w:rPr>
        <w:t xml:space="preserve"> | RE 1.554.820</w:t>
      </w:r>
      <w:r>
        <w:rPr>
          <w:color w:val="003CA0"/>
          <w:sz w:val="12"/>
        </w:rPr>
        <w:t xml:space="preserve"> | rel. Dias Toffoli</w:t>
      </w:r>
    </w:p>
    <w:p>
      <w:pPr>
        <w:ind w:left="288"/>
      </w:pPr>
      <w:r>
        <w:rPr>
          <w:color w:val="1E1E1E"/>
          <w:sz w:val="18"/>
        </w:rPr>
        <w:t>Lei Federal nº 13.954/19. Competência privativa da União para editar normas gerais de inatividade e pensões das polícias militares e dos corpos de bombeiros militares. Contribuição previdenciária incidente sobre proventos de inatividade e pensões de militar estadual. Alíquota e base de cálculo. Competência legislativa dos estados. Tema nº 1.177. Ratificação da jurisprudência. (...) Conquanto a tese fixada no referido paradigma tenha feito referência tão somente à alíquota da contribuição previdenciária, evidencia-se que a orientação nele firmada se aplica também à base de cálculo, haja vista q</w:t>
      </w:r>
    </w:p>
    <w:p>
      <w:pPr>
        <w:ind w:left="288"/>
      </w:pPr>
      <w:r>
        <w:rPr>
          <w:b/>
          <w:color w:val="003CA0"/>
          <w:sz w:val="16"/>
        </w:rPr>
        <w:t>[RE 1.554.820 AgR-segundo, rel. min. Dias Toffoli, j. 26.11.2025, 2ª T, DJE de 28.11.2025.]</w:t>
      </w:r>
    </w:p>
    <w:p>
      <w:pPr>
        <w:ind w:left="288"/>
      </w:pPr>
      <w:r>
        <w:rPr>
          <w:color w:val="8C8C8C"/>
          <w:sz w:val="12"/>
        </w:rPr>
        <w:t>cf-art-22-inc-XX</w:t>
      </w:r>
      <w:r>
        <w:rPr>
          <w:color w:val="003CA0"/>
          <w:sz w:val="12"/>
        </w:rPr>
        <w:t xml:space="preserve"> | RE 1.338.750</w:t>
      </w:r>
      <w:r>
        <w:rPr>
          <w:color w:val="003CA0"/>
          <w:sz w:val="12"/>
        </w:rPr>
        <w:t xml:space="preserve"> | rel. Luiz Fux</w:t>
      </w:r>
    </w:p>
    <w:p>
      <w:pPr>
        <w:ind w:left="288"/>
      </w:pPr>
      <w:r>
        <w:rPr>
          <w:color w:val="1E1E1E"/>
          <w:sz w:val="18"/>
        </w:rPr>
        <w:t>Vide RE 1.338.750 RG, rel. min. Luiz Fux, j. 21.10.2021, P, DJE de 27.10.2021, Tema 1.177, com mérito julgado</w:t>
      </w:r>
    </w:p>
    <w:p>
      <w:pPr>
        <w:ind w:left="144"/>
      </w:pPr>
      <w:r>
        <w:rPr>
          <w:b/>
          <w:color w:val="B45A00"/>
          <w:sz w:val="16"/>
        </w:rPr>
        <w:t>JULGADOS CORRELATOS</w:t>
      </w:r>
    </w:p>
    <w:p>
      <w:pPr>
        <w:ind w:left="288"/>
      </w:pPr>
      <w:r>
        <w:rPr>
          <w:color w:val="8C8C8C"/>
          <w:sz w:val="12"/>
        </w:rPr>
        <w:t>cf-art-22-inc-XX</w:t>
      </w:r>
      <w:r>
        <w:rPr>
          <w:color w:val="003CA0"/>
          <w:sz w:val="12"/>
        </w:rPr>
        <w:t xml:space="preserve"> | RE 668.565</w:t>
      </w:r>
      <w:r>
        <w:rPr>
          <w:color w:val="003CA0"/>
          <w:sz w:val="12"/>
        </w:rPr>
        <w:t xml:space="preserve"> | rel. Luiz Fux</w:t>
      </w:r>
    </w:p>
    <w:p>
      <w:pPr>
        <w:ind w:left="288"/>
      </w:pPr>
      <w:r>
        <w:rPr>
          <w:color w:val="1E1E1E"/>
          <w:sz w:val="18"/>
        </w:rPr>
        <w:t>Empresas prestadoras de serviços de segurança privada. Autorização de funcionamento. Controle e fiscalização de armamentos, munições e demais atividades. Lei 2.662/1996 e decreto 23.394/1997 do Estado do Rio de Janeiro. Competência legislativa da União. Art. 22, XXI, da Constituição da República.</w:t>
      </w:r>
    </w:p>
    <w:p>
      <w:pPr>
        <w:ind w:left="288"/>
      </w:pPr>
      <w:r>
        <w:rPr>
          <w:b/>
          <w:color w:val="003CA0"/>
          <w:sz w:val="16"/>
        </w:rPr>
        <w:t>[RE 668.565 AgR, rel. min. Luiz Fux, j. 16-3-2018, 1ª T, DJE de 3-4-2018.]</w:t>
      </w:r>
    </w:p>
    <w:p>
      <w:pPr>
        <w:ind w:left="144"/>
      </w:pPr>
      <w:r>
        <w:rPr>
          <w:b/>
          <w:color w:val="B45A00"/>
          <w:sz w:val="16"/>
        </w:rPr>
        <w:t>CONTROLE CONCENTRADO</w:t>
      </w:r>
    </w:p>
    <w:p>
      <w:pPr>
        <w:ind w:left="288"/>
      </w:pPr>
      <w:r>
        <w:rPr>
          <w:color w:val="8C8C8C"/>
          <w:sz w:val="12"/>
        </w:rPr>
        <w:t>cf-art-22-inc-XXIII</w:t>
      </w:r>
      <w:r>
        <w:rPr>
          <w:color w:val="003CA0"/>
          <w:sz w:val="12"/>
        </w:rPr>
        <w:t xml:space="preserve"> | ADI 856</w:t>
      </w:r>
      <w:r>
        <w:rPr>
          <w:color w:val="003CA0"/>
          <w:sz w:val="12"/>
        </w:rPr>
        <w:t xml:space="preserve"> | rel. Luiz Fux</w:t>
      </w:r>
    </w:p>
    <w:p>
      <w:pPr>
        <w:ind w:left="288"/>
      </w:pPr>
      <w:r>
        <w:rPr>
          <w:color w:val="1E1E1E"/>
          <w:sz w:val="18"/>
        </w:rPr>
        <w:t>O art. 40, III, b, da Constituição, na sua redação original, da mesma forma que o texto atual do parágrafo quinto do mesmo artigo, consagra redução no tempo de serviço necessário à aposentadoria do professor que comprove exclusivamente tempo de efetivo exercício das funções de magistério, sendo certo que a fixação de requisitos para a concessão de aposentadoria especial é matéria de competência legislativa da União, consoante os artigos 22, XXIII e XXIV, e 24, XII e § 1º, da Constituição.</w:t>
        <w:br/>
        <w:t>[ADI 856, rel. min. Luiz Fux, j. 4-9-2023, P, DJE de 2-10-2023.] XXIV - diretrizes e bases da educação nac</w:t>
      </w:r>
    </w:p>
    <w:p>
      <w:pPr>
        <w:ind w:left="288"/>
      </w:pPr>
      <w:r>
        <w:rPr>
          <w:b/>
          <w:color w:val="003CA0"/>
          <w:sz w:val="16"/>
        </w:rPr>
        <w:t>[ADPF 522, rel. min. Marco Aurélio, red. do ac. min. Cristiano Zanin, j. 15-10-2025, P, DJE de 23-2-2026.]</w:t>
      </w:r>
    </w:p>
    <w:p>
      <w:pPr>
        <w:ind w:left="288"/>
      </w:pPr>
      <w:r>
        <w:rPr>
          <w:color w:val="8C8C8C"/>
          <w:sz w:val="12"/>
        </w:rPr>
        <w:t>cf-art-22-inc-XXIII</w:t>
      </w:r>
      <w:r>
        <w:rPr>
          <w:color w:val="003CA0"/>
          <w:sz w:val="12"/>
        </w:rPr>
        <w:t xml:space="preserve"> | ADI 7.864</w:t>
      </w:r>
      <w:r>
        <w:rPr>
          <w:color w:val="003CA0"/>
          <w:sz w:val="12"/>
        </w:rPr>
        <w:t xml:space="preserve"> | rel. Flávio Dino</w:t>
      </w:r>
    </w:p>
    <w:p>
      <w:pPr>
        <w:ind w:left="288"/>
      </w:pPr>
      <w:r>
        <w:rPr>
          <w:color w:val="1E1E1E"/>
          <w:sz w:val="18"/>
        </w:rPr>
        <w:t>Resolução n º 2.434/2025, do Conselho Federal de Medicina. Responsabilidades e prerrogativas de autoridades educacionais. Coordenadores de cursos de graduação em medicina. (...) As normas impugnadas pretendem vincular diretamente as instituições de ensino superior, impondo-lhes a observância de condições de infraestrutura, recursos materiais, humanos e financeiros; a obrigatoriedade de consulta prévia e anuência em matéria de convênios; e, inclusive, o poder de interdição das atividades de ensino na área da saúde, entre outras disposições. Embora visando à regulamentação da responsabilidade té</w:t>
      </w:r>
    </w:p>
    <w:p>
      <w:pPr>
        <w:ind w:left="288"/>
      </w:pPr>
      <w:r>
        <w:rPr>
          <w:b/>
          <w:color w:val="003CA0"/>
          <w:sz w:val="16"/>
        </w:rPr>
        <w:t>[ADI 7.864 MC-REF, rel. min. Flávio Dino, j. 13.10.2025, P, DJE de 22.10.2025.]</w:t>
      </w:r>
    </w:p>
    <w:p>
      <w:pPr>
        <w:ind w:left="288"/>
      </w:pPr>
      <w:r>
        <w:rPr>
          <w:color w:val="8C8C8C"/>
          <w:sz w:val="12"/>
        </w:rPr>
        <w:t>cf-art-22-inc-XXIII</w:t>
      </w:r>
      <w:r>
        <w:rPr>
          <w:color w:val="003CA0"/>
          <w:sz w:val="12"/>
        </w:rPr>
        <w:t xml:space="preserve"> | ADPF 1.036</w:t>
      </w:r>
      <w:r>
        <w:rPr>
          <w:color w:val="003CA0"/>
          <w:sz w:val="12"/>
        </w:rPr>
        <w:t xml:space="preserve"> | rel. Nunes Marques</w:t>
      </w:r>
    </w:p>
    <w:p>
      <w:pPr>
        <w:ind w:left="288"/>
      </w:pPr>
      <w:r>
        <w:rPr>
          <w:color w:val="1E1E1E"/>
          <w:sz w:val="18"/>
        </w:rPr>
        <w:t>A Lei de Diretrizes e Bases da Educação Nacional (LDB) incentiva o desenvolvimento de programas de ensino à distância em todos os níveis e modalidades, de modo que compete à União regulamentar a oferta desses cursos, inclusive no âmbito da saúde. O ensino superior, inclusive na modalidade à distância, por envolver questões de interesse nacional, como qualidade educacional e acesso à tecnologia, exige tratamento uniforme em todo o território nacional.</w:t>
      </w:r>
    </w:p>
    <w:p>
      <w:pPr>
        <w:ind w:left="288"/>
      </w:pPr>
      <w:r>
        <w:rPr>
          <w:b/>
          <w:color w:val="003CA0"/>
          <w:sz w:val="16"/>
        </w:rPr>
        <w:t>[ADPF 1.036, rel. min. Nunes Marques, j. 17.02.2025, P, DJE de 11.03.2025.]</w:t>
      </w:r>
    </w:p>
    <w:p>
      <w:pPr>
        <w:ind w:left="288"/>
      </w:pPr>
      <w:r>
        <w:rPr>
          <w:color w:val="8C8C8C"/>
          <w:sz w:val="12"/>
        </w:rPr>
        <w:t>cf-art-22-inc-XXIII</w:t>
      </w:r>
      <w:r>
        <w:rPr>
          <w:color w:val="003CA0"/>
          <w:sz w:val="12"/>
        </w:rPr>
        <w:t xml:space="preserve"> | ADI 7.644</w:t>
      </w:r>
      <w:r>
        <w:rPr>
          <w:color w:val="003CA0"/>
          <w:sz w:val="12"/>
        </w:rPr>
        <w:t xml:space="preserve"> | rel. Flávio Dino</w:t>
      </w:r>
    </w:p>
    <w:p>
      <w:pPr>
        <w:ind w:left="288"/>
      </w:pPr>
      <w:r>
        <w:rPr>
          <w:color w:val="1E1E1E"/>
          <w:sz w:val="18"/>
        </w:rPr>
        <w:t>Qualquer mudança jurídica no ensino do idioma oficial brasileiro, tal como atualmente disciplinado pela União, depende do exercício de sua competência privativa para legislar sobre diretrizes e bases da educação, bem como sobre normas de uso da língua portuguesa editadas em consonância com o art. 13 da Constituição Federal. Esta matéria somente pode ser regulada pelo Congresso Nacional, sendo vedada a edição de leis estaduais ou municipais, contra ou a favor da linguagem neutra em sistemas de ensino.</w:t>
        <w:br/>
        <w:t>[ADI 7.644 MC-REF, rel. min. Flávio Dino, j. 24.06.2024, P, DJE de 29.07.2024.] A jurisprudênc</w:t>
      </w:r>
    </w:p>
    <w:p>
      <w:pPr>
        <w:ind w:left="288"/>
      </w:pPr>
      <w:r>
        <w:rPr>
          <w:b/>
          <w:color w:val="003CA0"/>
          <w:sz w:val="16"/>
        </w:rPr>
        <w:t>[ADI 7.019, rel. min. Edson Fachin, j. 10-2-2023, P, DJE de 10-4-2023.]</w:t>
      </w:r>
    </w:p>
    <w:p>
      <w:pPr>
        <w:ind w:left="288"/>
      </w:pPr>
      <w:r>
        <w:rPr>
          <w:color w:val="8C8C8C"/>
          <w:sz w:val="12"/>
        </w:rPr>
        <w:t>cf-art-22-inc-XXIII</w:t>
      </w:r>
      <w:r>
        <w:rPr>
          <w:color w:val="003CA0"/>
          <w:sz w:val="12"/>
        </w:rPr>
        <w:t xml:space="preserve"> | ADI 5.341</w:t>
      </w:r>
      <w:r>
        <w:rPr>
          <w:color w:val="003CA0"/>
          <w:sz w:val="12"/>
        </w:rPr>
        <w:t xml:space="preserve"> | rel. Edson Fachin</w:t>
      </w:r>
    </w:p>
    <w:p>
      <w:pPr>
        <w:ind w:left="288"/>
      </w:pPr>
      <w:r>
        <w:rPr>
          <w:color w:val="1E1E1E"/>
          <w:sz w:val="18"/>
        </w:rPr>
        <w:t>O afastamento, por lei estadual, das exigências de revalidação de diploma obtido em instituições de ensino superior dos países membros do Mercosul para a concessão de benefícios e progressões a servidores públicos invade a competência privativa da União para legislar sobre diretrizes e bases da educação nacional (art. 22, XXIV, CRFB). Do mesmo modo, a extensão da possibilidade de utilização de títulos oriundos de instituições de ensino de países pertencentes ao Mercosul não validados no Brasil para além das atividades de docência e pesquisa vai de encontro ao estabelecido no Decreto 5.518/2005</w:t>
      </w:r>
    </w:p>
    <w:p>
      <w:pPr>
        <w:ind w:left="288"/>
      </w:pPr>
      <w:r>
        <w:rPr>
          <w:b/>
          <w:color w:val="003CA0"/>
          <w:sz w:val="16"/>
        </w:rPr>
        <w:t>[ADI 3.713, rel. min. Marco Aurélio, j. 15-5-2019, P, DJE de 7-6-2019.]</w:t>
      </w:r>
    </w:p>
    <w:p>
      <w:pPr>
        <w:ind w:left="288"/>
      </w:pPr>
      <w:r>
        <w:rPr>
          <w:color w:val="8C8C8C"/>
          <w:sz w:val="12"/>
        </w:rPr>
        <w:t>cf-art-22-inc-XXIII</w:t>
      </w:r>
      <w:r>
        <w:rPr>
          <w:color w:val="003CA0"/>
          <w:sz w:val="12"/>
        </w:rPr>
        <w:t xml:space="preserve"> | ADI 4.720</w:t>
      </w:r>
      <w:r>
        <w:rPr>
          <w:color w:val="003CA0"/>
          <w:sz w:val="12"/>
        </w:rPr>
        <w:t xml:space="preserve"> | rel. Cármen Lúcia</w:t>
      </w:r>
    </w:p>
    <w:p>
      <w:pPr>
        <w:ind w:left="288"/>
      </w:pPr>
      <w:r>
        <w:rPr>
          <w:color w:val="1E1E1E"/>
          <w:sz w:val="18"/>
        </w:rPr>
        <w:t>A internalização de títulos acadêmicos de mestrado e doutorado expedidos por instituições de ensino superior estrangeiras há de ter tratamento uniforme em todo o Estado brasileiro, devendo ser regulamentada por normas de caráter nacional. A Lei roraimense 748/2009 macula-se por inconstitucionalidade formal, pela usurpação de competência privativa da União para legislar sobre diretrizes e bases da educação nacional (art. 22, XXIV, da Constituição da República).</w:t>
        <w:br/>
        <w:t>[ADI 4.720, rel. min. Cármen Lúcia, j. 30-6-2017, P, DJE de 23-8-2017.] Lei 2.873/2014 do Estado do Acre, que veda ao poder público est</w:t>
      </w:r>
    </w:p>
    <w:p>
      <w:pPr>
        <w:ind w:left="288"/>
      </w:pPr>
      <w:r>
        <w:rPr>
          <w:b/>
          <w:color w:val="003CA0"/>
          <w:sz w:val="16"/>
        </w:rPr>
        <w:t>[ADI 2.501, rel. min. Joaquim Barbosa, j. 4-9-2008, P, DJE de 19-12-2008.]</w:t>
      </w:r>
    </w:p>
    <w:p>
      <w:pPr>
        <w:ind w:left="288"/>
      </w:pPr>
      <w:r>
        <w:rPr>
          <w:color w:val="8C8C8C"/>
          <w:sz w:val="12"/>
        </w:rPr>
        <w:t>cf-art-22-inc-XXIII</w:t>
      </w:r>
      <w:r>
        <w:rPr>
          <w:color w:val="003CA0"/>
          <w:sz w:val="12"/>
        </w:rPr>
        <w:t xml:space="preserve"> | ADI 3.669</w:t>
      </w:r>
      <w:r>
        <w:rPr>
          <w:color w:val="003CA0"/>
          <w:sz w:val="12"/>
        </w:rPr>
        <w:t xml:space="preserve"> | rel. Cármen Lúcia</w:t>
      </w:r>
    </w:p>
    <w:p>
      <w:pPr>
        <w:ind w:left="288"/>
      </w:pPr>
      <w:r>
        <w:rPr>
          <w:color w:val="1E1E1E"/>
          <w:sz w:val="18"/>
        </w:rPr>
        <w:t>Competência concorrente entre a União, que define as normas gerais e os entes estaduais e Distrito Federal, que fixam as especificidades, os modos e meios de cumprir o quanto estabelecido no art. 24, IX, da Constituição da República, ou seja, para legislar sobre educação. O art. 22, XXIV, da Constituição da República enfatiza a competência privativa do legislador nacional para definir as diretrizes e bases da educação nacional, deixando as singularidades no âmbito de competência dos Estados e do Distrito Federal.</w:t>
      </w:r>
    </w:p>
    <w:p>
      <w:pPr>
        <w:ind w:left="288"/>
      </w:pPr>
      <w:r>
        <w:rPr>
          <w:b/>
          <w:color w:val="003CA0"/>
          <w:sz w:val="16"/>
        </w:rPr>
        <w:t>[ADI 3.669, rel. min. Cármen Lúcia, j. 18-6-2007, P, DJ de 29-6-2007.]</w:t>
      </w:r>
    </w:p>
    <w:p>
      <w:pPr>
        <w:ind w:left="288"/>
      </w:pPr>
      <w:r>
        <w:rPr>
          <w:color w:val="8C8C8C"/>
          <w:sz w:val="12"/>
        </w:rPr>
        <w:t>cf-art-22-inc-XXIII</w:t>
      </w:r>
      <w:r>
        <w:rPr>
          <w:color w:val="003CA0"/>
          <w:sz w:val="12"/>
        </w:rPr>
        <w:t xml:space="preserve"> | ADI 1.399</w:t>
      </w:r>
      <w:r>
        <w:rPr>
          <w:color w:val="003CA0"/>
          <w:sz w:val="12"/>
        </w:rPr>
        <w:t xml:space="preserve"> | rel. Maurício Corrêa</w:t>
      </w:r>
    </w:p>
    <w:p>
      <w:pPr>
        <w:ind w:left="288"/>
      </w:pPr>
      <w:r>
        <w:rPr>
          <w:color w:val="1E1E1E"/>
          <w:sz w:val="18"/>
        </w:rPr>
        <w:t>Lei de Diretrizes e Bases da Educação Nacional. Iniciativa. (...) Competência privativa da União para legislar sobre diretrizes e bases da educação nacional.</w:t>
      </w:r>
    </w:p>
    <w:p>
      <w:pPr>
        <w:ind w:left="288"/>
      </w:pPr>
      <w:r>
        <w:rPr>
          <w:b/>
          <w:color w:val="003CA0"/>
          <w:sz w:val="16"/>
        </w:rPr>
        <w:t>[ADI 1.399, rel. min. Maurício Corrêa, j. 3-3-2004, P, DJ de 11-6-2004.]</w:t>
      </w:r>
    </w:p>
    <w:p>
      <w:pPr>
        <w:ind w:left="288"/>
      </w:pPr>
      <w:r>
        <w:rPr>
          <w:color w:val="8C8C8C"/>
          <w:sz w:val="12"/>
        </w:rPr>
        <w:t>cf-art-22-inc-XXIII</w:t>
      </w:r>
      <w:r>
        <w:rPr>
          <w:color w:val="003CA0"/>
          <w:sz w:val="12"/>
        </w:rPr>
        <w:t xml:space="preserve"> | ADI 2.667</w:t>
      </w:r>
      <w:r>
        <w:rPr>
          <w:color w:val="003CA0"/>
          <w:sz w:val="12"/>
        </w:rPr>
        <w:t xml:space="preserve"> | rel. Celso de Mello</w:t>
      </w:r>
    </w:p>
    <w:p>
      <w:pPr>
        <w:ind w:left="288"/>
      </w:pPr>
      <w:r>
        <w:rPr>
          <w:color w:val="1E1E1E"/>
          <w:sz w:val="18"/>
        </w:rPr>
        <w:t>Lei distrital que dispõe sobre a emissão de certificado de conclusão do curso e que autoriza o fornecimento de histórico escolar para alunos da terceira série do ensino médio que comprovarem aprovação em vestibular para ingresso em curso de nível superior. Lei distrital que usurpa competência legislativa outorgada à União Federal pela Constituição da República.</w:t>
      </w:r>
    </w:p>
    <w:p>
      <w:pPr>
        <w:ind w:left="288"/>
      </w:pPr>
      <w:r>
        <w:rPr>
          <w:b/>
          <w:color w:val="003CA0"/>
          <w:sz w:val="16"/>
        </w:rPr>
        <w:t>[ADI 2.667 MC, rel. min. Celso de Mello, j. 19-6-2002, P, DJ de 12-3-2004.]</w:t>
      </w:r>
    </w:p>
    <w:p>
      <w:pPr>
        <w:ind w:left="288"/>
      </w:pPr>
      <w:r>
        <w:rPr>
          <w:color w:val="8C8C8C"/>
          <w:sz w:val="12"/>
        </w:rPr>
        <w:t>cf-art-22-inc-XXIII</w:t>
      </w:r>
    </w:p>
    <w:p>
      <w:pPr>
        <w:ind w:left="288"/>
      </w:pPr>
      <w:r>
        <w:rPr>
          <w:color w:val="1E1E1E"/>
          <w:sz w:val="18"/>
        </w:rPr>
        <w:t>XXV - registros públicos;</w:t>
      </w:r>
    </w:p>
    <w:p>
      <w:pPr>
        <w:ind w:left="288"/>
      </w:pPr>
      <w:r>
        <w:rPr>
          <w:color w:val="8C8C8C"/>
          <w:sz w:val="12"/>
        </w:rPr>
        <w:t>cf-art-22-inc-XXIII</w:t>
      </w:r>
      <w:r>
        <w:rPr>
          <w:color w:val="003CA0"/>
          <w:sz w:val="12"/>
        </w:rPr>
        <w:t xml:space="preserve"> | ADI 1.450</w:t>
      </w:r>
      <w:r>
        <w:rPr>
          <w:color w:val="003CA0"/>
          <w:sz w:val="12"/>
        </w:rPr>
        <w:t xml:space="preserve"> | rel. Roberto Barroso</w:t>
      </w:r>
    </w:p>
    <w:p>
      <w:pPr>
        <w:ind w:left="288"/>
      </w:pPr>
      <w:r>
        <w:rPr>
          <w:color w:val="1E1E1E"/>
          <w:sz w:val="18"/>
        </w:rPr>
        <w:t>Possibilidade de celebração de convênio entre o Tribunal de Justiça do Estado de São Paulo e as Prefeituras para assegurar a manutenção dos serviços de Cartórios de Registro Civil das Pessoas Naturais. Manutenção de serviço de interesse público inviabilizada por insuficiência de renda própria e por não preenchimento da delegação. Não violação do artigo 22, XXV, e 236 da Constituição Federal.</w:t>
      </w:r>
    </w:p>
    <w:p>
      <w:pPr>
        <w:ind w:left="288"/>
      </w:pPr>
      <w:r>
        <w:rPr>
          <w:b/>
          <w:color w:val="003CA0"/>
          <w:sz w:val="16"/>
        </w:rPr>
        <w:t>[ADI 1.450, rel. min. Roberto Barroso, j. 19-12-2018, P, DJE de 25-2-2019.]</w:t>
      </w:r>
    </w:p>
    <w:p>
      <w:pPr>
        <w:ind w:left="288"/>
      </w:pPr>
      <w:r>
        <w:rPr>
          <w:color w:val="8C8C8C"/>
          <w:sz w:val="12"/>
        </w:rPr>
        <w:t>cf-art-22-inc-XXIII</w:t>
      </w:r>
      <w:r>
        <w:rPr>
          <w:color w:val="003CA0"/>
          <w:sz w:val="12"/>
        </w:rPr>
        <w:t xml:space="preserve"> | ADI 2.254</w:t>
      </w:r>
      <w:r>
        <w:rPr>
          <w:color w:val="003CA0"/>
          <w:sz w:val="12"/>
        </w:rPr>
        <w:t xml:space="preserve"> | rel. Dias Toffoli</w:t>
      </w:r>
    </w:p>
    <w:p>
      <w:pPr>
        <w:ind w:left="288"/>
      </w:pPr>
      <w:r>
        <w:rPr>
          <w:color w:val="1E1E1E"/>
          <w:sz w:val="18"/>
        </w:rPr>
        <w:t>Lei estadual que impõe aos cartórios de registro civil a obrigação de encaminhar ao TRE e ao órgão responsável pelo cadastro civil do Estado os dados de falecimento colhidos quando do registro do óbito das pessoas naturais. Não há quebra ou ingerência em esfera de competência legiferante da União para legislar sobre registros públicos (art. 22, XXV, CF/1988). A norma não alberga disciplina enquadrável no conceito de registros públicos, ou seja, não pretende criar ou alterar atos registrais. A criação da obrigação de repasse das informações se estabelece para órgãos que atuam no âmbito do própr</w:t>
      </w:r>
    </w:p>
    <w:p>
      <w:pPr>
        <w:ind w:left="288"/>
      </w:pPr>
      <w:r>
        <w:rPr>
          <w:b/>
          <w:color w:val="003CA0"/>
          <w:sz w:val="16"/>
        </w:rPr>
        <w:t>[ADI 4.007, voto da rel. min. Rosa Weber, j. 13-8-2014, P, DJE de 30-10-2014.]</w:t>
      </w:r>
    </w:p>
    <w:p>
      <w:pPr>
        <w:ind w:left="288"/>
      </w:pPr>
      <w:r>
        <w:rPr>
          <w:color w:val="8C8C8C"/>
          <w:sz w:val="12"/>
        </w:rPr>
        <w:t>cf-art-22-inc-XXIII</w:t>
      </w:r>
      <w:r>
        <w:rPr>
          <w:color w:val="003CA0"/>
          <w:sz w:val="12"/>
        </w:rPr>
        <w:t xml:space="preserve"> | ADI 3.151</w:t>
      </w:r>
      <w:r>
        <w:rPr>
          <w:color w:val="003CA0"/>
          <w:sz w:val="12"/>
        </w:rPr>
        <w:t xml:space="preserve"> | rel. Ayres Britto</w:t>
      </w:r>
    </w:p>
    <w:p>
      <w:pPr>
        <w:ind w:left="288"/>
      </w:pPr>
      <w:r>
        <w:rPr>
          <w:color w:val="1E1E1E"/>
          <w:sz w:val="18"/>
        </w:rPr>
        <w:t>Competência legislativa e registros públicos: o § 1º do art. 2º do diploma legislativo em estudo cria um requisito de validade dos atos de criação, preservação, modificação e extinção de direito e obrigações. Imiscuindo-se, ipso facto, na competência legislativa que a Carta Federal outorgou à União.</w:t>
      </w:r>
    </w:p>
    <w:p>
      <w:pPr>
        <w:ind w:left="288"/>
      </w:pPr>
      <w:r>
        <w:rPr>
          <w:b/>
          <w:color w:val="003CA0"/>
          <w:sz w:val="16"/>
        </w:rPr>
        <w:t>[ADI 3.151, rel. min. Ayres Britto, j. 8-6-2005, P, DJ de 28-4-2006.]</w:t>
      </w:r>
    </w:p>
    <w:p>
      <w:pPr>
        <w:ind w:left="288"/>
      </w:pPr>
      <w:r>
        <w:rPr>
          <w:color w:val="8C8C8C"/>
          <w:sz w:val="12"/>
        </w:rPr>
        <w:t>cf-art-22-inc-XXIII</w:t>
      </w:r>
      <w:r>
        <w:rPr>
          <w:color w:val="003CA0"/>
          <w:sz w:val="12"/>
        </w:rPr>
        <w:t xml:space="preserve"> | ADI 1.709</w:t>
      </w:r>
      <w:r>
        <w:rPr>
          <w:color w:val="003CA0"/>
          <w:sz w:val="12"/>
        </w:rPr>
        <w:t xml:space="preserve"> | rel. Maurício Corrêa</w:t>
      </w:r>
    </w:p>
    <w:p>
      <w:pPr>
        <w:ind w:left="288"/>
      </w:pPr>
      <w:r>
        <w:rPr>
          <w:color w:val="1E1E1E"/>
          <w:sz w:val="18"/>
        </w:rPr>
        <w:t>A instituição dos emolumentos cartorários pelo tribunal de justiça afronta o princípio da reserva legal. Somente a lei pode criar, majorar ou reduzir os valores das taxas judiciárias.</w:t>
        <w:br/>
        <w:t>[ADI 1.709, rel. min. Maurício Corrêa, j. 10-2-2000, P, DJ de 31-3-2000.] XXVI - atividades nucleares de qualquer natureza;</w:t>
      </w:r>
    </w:p>
    <w:p>
      <w:pPr>
        <w:ind w:left="288"/>
      </w:pPr>
      <w:r>
        <w:rPr>
          <w:color w:val="8C8C8C"/>
          <w:sz w:val="12"/>
        </w:rPr>
        <w:t>cf-art-22-inc-XXIII</w:t>
      </w:r>
      <w:r>
        <w:rPr>
          <w:color w:val="003CA0"/>
          <w:sz w:val="12"/>
        </w:rPr>
        <w:t xml:space="preserve"> | ADI 329</w:t>
      </w:r>
      <w:r>
        <w:rPr>
          <w:color w:val="003CA0"/>
          <w:sz w:val="12"/>
        </w:rPr>
        <w:t xml:space="preserve"> | rel. Ellen Gracie</w:t>
      </w:r>
    </w:p>
    <w:p>
      <w:pPr>
        <w:ind w:left="288"/>
      </w:pPr>
      <w:r>
        <w:rPr>
          <w:color w:val="1E1E1E"/>
          <w:sz w:val="18"/>
        </w:rPr>
        <w:t>Alegação de ofensa à competência privativa da União (CF, art. 21, XXIII). Mantida a competência exclusiva da União para legislar sobre atividades nucleares de qualquer natureza (CF, art. 22, XXVI), aplicáveis ao caso os precedentes da Corte produzidos sob a égide da CF de 1967. Ao estabelecer a prévia aprovação da Assembleia Legislativa estadual, ratificada por plebiscito, como requisito para a implantação de instalações industriais para produção de energia nuclear no Estado, invade a Constituição catarinense a competência legislativa privativa da União.</w:t>
      </w:r>
    </w:p>
    <w:p>
      <w:pPr>
        <w:ind w:left="288"/>
      </w:pPr>
      <w:r>
        <w:rPr>
          <w:b/>
          <w:color w:val="003CA0"/>
          <w:sz w:val="16"/>
        </w:rPr>
        <w:t>[ADI 329, rel. min. Ellen Gracie, j. 1º-4-2004, P, DJ de 28-5-2004.]</w:t>
      </w:r>
    </w:p>
    <w:p>
      <w:pPr>
        <w:ind w:left="288"/>
      </w:pPr>
      <w:r>
        <w:rPr>
          <w:color w:val="8C8C8C"/>
          <w:sz w:val="12"/>
        </w:rPr>
        <w:t>cf-art-22-inc-XXIII</w:t>
      </w:r>
      <w:r>
        <w:rPr>
          <w:color w:val="003CA0"/>
          <w:sz w:val="12"/>
        </w:rPr>
        <w:t xml:space="preserve"> | ADI 1.575</w:t>
      </w:r>
      <w:r>
        <w:rPr>
          <w:color w:val="003CA0"/>
          <w:sz w:val="12"/>
        </w:rPr>
        <w:t xml:space="preserve"> | rel. Joaquim Barbosa</w:t>
      </w:r>
    </w:p>
    <w:p>
      <w:pPr>
        <w:ind w:left="288"/>
      </w:pPr>
      <w:r>
        <w:rPr>
          <w:color w:val="1E1E1E"/>
          <w:sz w:val="18"/>
        </w:rPr>
        <w:t>= ADI 1.575, rel. min. Joaquim Barbosa, j. 7-4-2010, P, DJE de 11-6-2010 XXVII - normas gerais de licitação e contratação, em todas as modalidades, para as administrações públicas diretas, autárquicas e fundacionais da União, Estados, Distrito Federal e Municípios, obedecido o disposto no art. 37, XXI, e para as empresas públicas e sociedades de economia mista, nos termos do art. 173, § 1°, III; (Redação da EC 19/1998)</w:t>
      </w:r>
    </w:p>
    <w:p>
      <w:pPr>
        <w:ind w:left="288"/>
      </w:pPr>
      <w:r>
        <w:rPr>
          <w:color w:val="8C8C8C"/>
          <w:sz w:val="12"/>
        </w:rPr>
        <w:t>cf-art-22-inc-XXIII</w:t>
      </w:r>
      <w:r>
        <w:rPr>
          <w:color w:val="003CA0"/>
          <w:sz w:val="12"/>
        </w:rPr>
        <w:t xml:space="preserve"> | ADI 4.082</w:t>
      </w:r>
      <w:r>
        <w:rPr>
          <w:color w:val="003CA0"/>
          <w:sz w:val="12"/>
        </w:rPr>
        <w:t xml:space="preserve"> | rel. Edson Fachin</w:t>
      </w:r>
    </w:p>
    <w:p>
      <w:pPr>
        <w:ind w:left="288"/>
      </w:pPr>
      <w:r>
        <w:rPr>
          <w:color w:val="1E1E1E"/>
          <w:sz w:val="18"/>
        </w:rPr>
        <w:t>A Lei Distrital nº 4.118, de 07.04.2008 trata da obrigatoriedade da contratação de no mínimo 5% de empregados com mais quarenta anos de idade na administração direta e indireta do Distrito Federal, bem como, do estabelecimento de cláusula que assegure o mínimo de 10% das vagas a pessoas com mais de quarenta anos nas licitações para contratação de serviços que incluam o fornecimento de mão- de- obra. A norma ora questionada não invade a seara do regramento geral sobre licitações e contratos estabelecido pela União, mas trata precipuamente de política pública de pleno emprego, através da reserva</w:t>
      </w:r>
    </w:p>
    <w:p>
      <w:pPr>
        <w:ind w:left="288"/>
      </w:pPr>
      <w:r>
        <w:rPr>
          <w:b/>
          <w:color w:val="003CA0"/>
          <w:sz w:val="16"/>
        </w:rPr>
        <w:t>[ADI 5.333, rel. min. Cármen Lúcia, j. 14-2-2020, P, DJE de 6-3-2020.]</w:t>
      </w:r>
    </w:p>
    <w:p>
      <w:pPr>
        <w:ind w:left="288"/>
      </w:pPr>
      <w:r>
        <w:rPr>
          <w:color w:val="8C8C8C"/>
          <w:sz w:val="12"/>
        </w:rPr>
        <w:t>cf-art-22-inc-XXIII</w:t>
      </w:r>
      <w:r>
        <w:rPr>
          <w:color w:val="003CA0"/>
          <w:sz w:val="12"/>
        </w:rPr>
        <w:t xml:space="preserve"> | ADI 4.658</w:t>
      </w:r>
      <w:r>
        <w:rPr>
          <w:color w:val="003CA0"/>
          <w:sz w:val="12"/>
        </w:rPr>
        <w:t xml:space="preserve"> | rel. Edson Fachin</w:t>
      </w:r>
    </w:p>
    <w:p>
      <w:pPr>
        <w:ind w:left="288"/>
      </w:pPr>
      <w:r>
        <w:rPr>
          <w:color w:val="1E1E1E"/>
          <w:sz w:val="18"/>
        </w:rPr>
        <w:t>Usurpa a competência da União para legislar sobre normais gerais de licitação norma estadual que prevê ser dispensável o procedimento licitatório para aquisição por pessoa jurídica de direito interno, de bens produzidos ou serviços prestados por órgão ou entidade que integre a Administração Pública, e que tenha sido criado especificamente para este fim específico, sem a limitação temporal estabelecida pela Lei 8.666/1993 para essa hipótese de dispensa de licitação.</w:t>
      </w:r>
    </w:p>
    <w:p>
      <w:pPr>
        <w:ind w:left="288"/>
      </w:pPr>
      <w:r>
        <w:rPr>
          <w:b/>
          <w:color w:val="003CA0"/>
          <w:sz w:val="16"/>
        </w:rPr>
        <w:t>[ADI 4.658, rel. min. Edson Fachin, j. 25-10-2019, P, DJE de 11-11-2019.]</w:t>
      </w:r>
    </w:p>
    <w:p>
      <w:pPr>
        <w:ind w:left="288"/>
      </w:pPr>
      <w:r>
        <w:rPr>
          <w:color w:val="8C8C8C"/>
          <w:sz w:val="12"/>
        </w:rPr>
        <w:t>cf-art-22-inc-XXIII</w:t>
      </w:r>
      <w:r>
        <w:rPr>
          <w:color w:val="003CA0"/>
          <w:sz w:val="12"/>
        </w:rPr>
        <w:t xml:space="preserve"> | ADI 4.748</w:t>
      </w:r>
      <w:r>
        <w:rPr>
          <w:color w:val="003CA0"/>
          <w:sz w:val="12"/>
        </w:rPr>
        <w:t xml:space="preserve"> | rel. Cármen Lúcia</w:t>
      </w:r>
    </w:p>
    <w:p>
      <w:pPr>
        <w:ind w:left="288"/>
      </w:pPr>
      <w:r>
        <w:rPr>
          <w:color w:val="1E1E1E"/>
          <w:sz w:val="18"/>
        </w:rPr>
        <w:t>Ao se determinar que o poder público adquira o mínimo de 65% (sessenta e cinco por cento) dos bens e serviços definidos em sistema de registro de preços, na Lei estadual se invadiu a competência privativa da União para estabelecer normas gerais sobre licitação e contratação, em todas as modalidades, para as administrações públicas diretas, autárquicas e fundacionais da União, dos Estados, do Distrito Federal e dos Municípios, prevista no inc. XXVII do art. 22 da Constituição da República. No § 4º do art. 15 da Lei 8.666/1993 se dispõe que ‘a existência de preços registrados não obriga a Admini</w:t>
      </w:r>
    </w:p>
    <w:p>
      <w:pPr>
        <w:ind w:left="288"/>
      </w:pPr>
      <w:r>
        <w:rPr>
          <w:b/>
          <w:color w:val="003CA0"/>
          <w:sz w:val="16"/>
        </w:rPr>
        <w:t>[ADI 4.748, rel. min. Cármen Lúcia, j. 11-9-2019, P, DJE de 27-9-2019.]</w:t>
      </w:r>
    </w:p>
    <w:p>
      <w:pPr>
        <w:ind w:left="288"/>
      </w:pPr>
      <w:r>
        <w:rPr>
          <w:color w:val="8C8C8C"/>
          <w:sz w:val="12"/>
        </w:rPr>
        <w:t>cf-art-22-inc-XXIII</w:t>
      </w:r>
      <w:r>
        <w:rPr>
          <w:color w:val="003CA0"/>
          <w:sz w:val="12"/>
        </w:rPr>
        <w:t xml:space="preserve"> | ADI 3.735</w:t>
      </w:r>
      <w:r>
        <w:rPr>
          <w:color w:val="003CA0"/>
          <w:sz w:val="12"/>
        </w:rPr>
        <w:t xml:space="preserve"> | rel. Cármen Lúcia</w:t>
      </w:r>
    </w:p>
    <w:p>
      <w:pPr>
        <w:ind w:left="288"/>
      </w:pPr>
      <w:r>
        <w:rPr>
          <w:color w:val="1E1E1E"/>
          <w:sz w:val="18"/>
        </w:rPr>
        <w:t>A igualdade de condições dos concorrentes em licitações, embora seja enaltecida pela Constituição (art. 37, XXI), pode ser relativizada por duas vias: (a) pela lei, mediante o estabelecimento de condições de diferenciação exigíveis em abstrato; e (b) pela autoridade responsável pela condução do processo licitatório, que poderá estabelecer elementos de distinção circunstanciais, de qualificação técnica e econômica, sempre vinculados à garantia de cumprimento de obrigações específicas. Somente a lei federal poderá, em âmbito geral, estabelecer desequiparações entre os concorrentes e assim restri</w:t>
      </w:r>
    </w:p>
    <w:p>
      <w:pPr>
        <w:ind w:left="288"/>
      </w:pPr>
      <w:r>
        <w:rPr>
          <w:b/>
          <w:color w:val="003CA0"/>
          <w:sz w:val="16"/>
        </w:rPr>
        <w:t>[ADI 3.735, rel. min. Cármen Lúcia, j. 8-9-2016, P, DJE de 1º-8-2017.]</w:t>
      </w:r>
    </w:p>
    <w:p>
      <w:pPr>
        <w:ind w:left="288"/>
      </w:pPr>
      <w:r>
        <w:rPr>
          <w:color w:val="8C8C8C"/>
          <w:sz w:val="12"/>
        </w:rPr>
        <w:t>cf-art-22-inc-XXIII</w:t>
      </w:r>
      <w:r>
        <w:rPr>
          <w:color w:val="003CA0"/>
          <w:sz w:val="12"/>
        </w:rPr>
        <w:t xml:space="preserve"> | ADI 1.746</w:t>
      </w:r>
      <w:r>
        <w:rPr>
          <w:color w:val="003CA0"/>
          <w:sz w:val="12"/>
        </w:rPr>
        <w:t xml:space="preserve"> | rel. Marco Aurélio</w:t>
      </w:r>
    </w:p>
    <w:p>
      <w:pPr>
        <w:ind w:left="288"/>
      </w:pPr>
      <w:r>
        <w:rPr>
          <w:color w:val="1E1E1E"/>
          <w:sz w:val="18"/>
        </w:rPr>
        <w:t>A teor do disposto no art. 22, XXVII, da CF, compete à União a regulação de normas gerais sobre licitação e contratação públicas, abrangidas a rescisão de contrato administrativo e a indenização cabível.</w:t>
      </w:r>
    </w:p>
    <w:p>
      <w:pPr>
        <w:ind w:left="288"/>
      </w:pPr>
      <w:r>
        <w:rPr>
          <w:b/>
          <w:color w:val="003CA0"/>
          <w:sz w:val="16"/>
        </w:rPr>
        <w:t>[ADI 1.746, rel. min. Marco Aurélio, j. 18-9-2014, P, DJE de 13-11-2014.]</w:t>
      </w:r>
    </w:p>
    <w:p>
      <w:pPr>
        <w:ind w:left="288"/>
      </w:pPr>
      <w:r>
        <w:rPr>
          <w:color w:val="8C8C8C"/>
          <w:sz w:val="12"/>
        </w:rPr>
        <w:t>cf-art-22-inc-XXIII</w:t>
      </w:r>
      <w:r>
        <w:rPr>
          <w:color w:val="003CA0"/>
          <w:sz w:val="12"/>
        </w:rPr>
        <w:t xml:space="preserve"> | ADI 3.670</w:t>
      </w:r>
      <w:r>
        <w:rPr>
          <w:color w:val="003CA0"/>
          <w:sz w:val="12"/>
        </w:rPr>
        <w:t xml:space="preserve"> | rel. Sepúlveda Pertence</w:t>
      </w:r>
    </w:p>
    <w:p>
      <w:pPr>
        <w:ind w:left="288"/>
      </w:pPr>
      <w:r>
        <w:rPr>
          <w:color w:val="1E1E1E"/>
          <w:sz w:val="18"/>
        </w:rPr>
        <w:t>Ação direta de inconstitucionalidade: Lei distrital 3.705, de 21-11-2005, que cria restrições a empresas que discriminarem na contratação de mão de obra: inconstitucionalidade declarada. Ofensa à competência privativa da União para legislar sobre normas gerais de licitação e contratação administrativa, em todas as modalidades, para as administrações públicas diretas, autárquicas e fundacionais de todos os entes da Federação (CF, art. 22, XXVII) e para dispor sobre direito do trabalho e inspeção do trabalho (CF, art. 21, XXIV, e art. 22, I).</w:t>
      </w:r>
    </w:p>
    <w:p>
      <w:pPr>
        <w:ind w:left="288"/>
      </w:pPr>
      <w:r>
        <w:rPr>
          <w:b/>
          <w:color w:val="003CA0"/>
          <w:sz w:val="16"/>
        </w:rPr>
        <w:t>[ADI 3.670, rel. min. Sepúlveda Pertence, j. 2-4-2007, P, DJ de 18-5-2007.]</w:t>
      </w:r>
    </w:p>
    <w:p>
      <w:pPr>
        <w:ind w:left="288"/>
      </w:pPr>
      <w:r>
        <w:rPr>
          <w:color w:val="8C8C8C"/>
          <w:sz w:val="12"/>
        </w:rPr>
        <w:t>cf-art-22-inc-XXIII</w:t>
      </w:r>
      <w:r>
        <w:rPr>
          <w:color w:val="003CA0"/>
          <w:sz w:val="12"/>
        </w:rPr>
        <w:t xml:space="preserve"> | RE 1.188.352</w:t>
      </w:r>
      <w:r>
        <w:rPr>
          <w:color w:val="003CA0"/>
          <w:sz w:val="12"/>
        </w:rPr>
        <w:t xml:space="preserve"> | rel. Luiz Fux</w:t>
      </w:r>
    </w:p>
    <w:p>
      <w:pPr>
        <w:ind w:left="288"/>
      </w:pPr>
      <w:r>
        <w:rPr>
          <w:color w:val="1E1E1E"/>
          <w:sz w:val="18"/>
        </w:rPr>
        <w:t>(...) “São constitucionais as leis dos Estados, Distrito Federal e Municípios que, no procedimento licitatório, antecipam a fase da apresentação das propostas à da habilitação dos licitantes, desde que devidamente motivado o ato administrativo, em virtude da competência dos demais entes federativos de legislar sobre procedimento administrativo”.</w:t>
      </w:r>
    </w:p>
    <w:p>
      <w:pPr>
        <w:ind w:left="288"/>
      </w:pPr>
      <w:r>
        <w:rPr>
          <w:b/>
          <w:color w:val="003CA0"/>
          <w:sz w:val="16"/>
        </w:rPr>
        <w:t>[RE 1.188.352, rel. min. Luiz Fux, j. 27.05.2024, P, DJE de 21.06.2024. Tema 1.036, com mérito julgado.]</w:t>
      </w:r>
    </w:p>
    <w:p>
      <w:pPr>
        <w:ind w:left="288"/>
      </w:pPr>
      <w:r>
        <w:rPr>
          <w:color w:val="8C8C8C"/>
          <w:sz w:val="12"/>
        </w:rPr>
        <w:t>cf-art-22-inc-XXIII</w:t>
      </w:r>
      <w:r>
        <w:rPr>
          <w:color w:val="003CA0"/>
          <w:sz w:val="12"/>
        </w:rPr>
        <w:t xml:space="preserve"> | RE 1.536.640</w:t>
      </w:r>
      <w:r>
        <w:rPr>
          <w:color w:val="003CA0"/>
          <w:sz w:val="12"/>
        </w:rPr>
        <w:t xml:space="preserve"> | rel. André Mendonça</w:t>
      </w:r>
    </w:p>
    <w:p>
      <w:pPr>
        <w:ind w:left="288"/>
      </w:pPr>
      <w:r>
        <w:rPr>
          <w:color w:val="1E1E1E"/>
          <w:sz w:val="18"/>
        </w:rPr>
        <w:t>É formalmente constitucional — na medida em que não configura matéria sujeita à reserva de iniciativa do chefe do Poder Executivo — a Lei Distrital nº 7.465/2024, que instituiu o Programa de Financiamento da Infraestrutura Pública do Distrito Federal, destinado a viabilizar a captação de recursos privados para realização de obras e manutenção de equipamentos públicos mediante parcerias entre o poder público e a iniciativa privada. Sob o aspecto material, aos dispositivos da lei distrital impugnada referentes à concessão de uso de bem público, é possível conferir interpretação conforme à Consti</w:t>
      </w:r>
    </w:p>
    <w:p>
      <w:pPr>
        <w:ind w:left="288"/>
      </w:pPr>
      <w:r>
        <w:rPr>
          <w:b/>
          <w:color w:val="003CA0"/>
          <w:sz w:val="16"/>
        </w:rPr>
        <w:t>[RE 1.536.640, rel. min. André Mendonça, j. 13.11.2025, P, Informativo STF 1.199.]</w:t>
      </w:r>
    </w:p>
    <w:p>
      <w:pPr>
        <w:ind w:left="144"/>
      </w:pPr>
      <w:r>
        <w:rPr>
          <w:b/>
          <w:color w:val="B45A00"/>
          <w:sz w:val="16"/>
        </w:rPr>
        <w:t>JULGADOS CORRELATOS</w:t>
      </w:r>
    </w:p>
    <w:p>
      <w:pPr>
        <w:ind w:left="288"/>
      </w:pPr>
      <w:r>
        <w:rPr>
          <w:color w:val="8C8C8C"/>
          <w:sz w:val="12"/>
        </w:rPr>
        <w:t>cf-art-22-inc-XXIII</w:t>
      </w:r>
      <w:r>
        <w:rPr>
          <w:color w:val="003CA0"/>
          <w:sz w:val="12"/>
        </w:rPr>
        <w:t xml:space="preserve"> | RE 1.327.523</w:t>
      </w:r>
      <w:r>
        <w:rPr>
          <w:color w:val="003CA0"/>
          <w:sz w:val="12"/>
        </w:rPr>
        <w:t xml:space="preserve"> | rel. Dias Toffoli</w:t>
      </w:r>
    </w:p>
    <w:p>
      <w:pPr>
        <w:ind w:left="288"/>
      </w:pPr>
      <w:r>
        <w:rPr>
          <w:color w:val="1E1E1E"/>
          <w:sz w:val="18"/>
        </w:rPr>
        <w:t>A Corte já reconheceu a natureza de normas gerais sobre licitação e contratação às leis federais que exigem autorização legislativa prévia para alienação de bens públicos imóveis, não podendo os estados e municípios, em atenção à distribuição constitucional de competências, desbordar desse parâmetro ao conformar a matéria a seu âmbito de atuação.</w:t>
        <w:br/>
        <w:t>[RE 1.327.523 AgR, rel. min. Dias Toffoli, j. 29-5-2023, P, DJE de 4-7-2023.] O art. 22, XXVII, da CF dispõe ser da União, privativamente, a legislação sobre normas gerais de licitação e contratação. A Lei federal 8.666/1993 autoriza o controle prévio</w:t>
      </w:r>
    </w:p>
    <w:p>
      <w:pPr>
        <w:ind w:left="288"/>
      </w:pPr>
      <w:r>
        <w:rPr>
          <w:b/>
          <w:color w:val="003CA0"/>
          <w:sz w:val="16"/>
        </w:rPr>
        <w:t>[ADI 7.546, rel. min. Nunes Marques, j.18-2-2026, P, DJE de 2-3-2026.]</w:t>
      </w:r>
    </w:p>
    <w:p>
      <w:pPr>
        <w:ind w:left="144"/>
      </w:pPr>
      <w:r>
        <w:rPr>
          <w:b/>
          <w:color w:val="B45A00"/>
          <w:sz w:val="16"/>
        </w:rPr>
        <w:t>CONTROLE CONCENTRADO</w:t>
      </w:r>
    </w:p>
    <w:p>
      <w:pPr>
        <w:ind w:left="288"/>
      </w:pPr>
      <w:r>
        <w:rPr>
          <w:color w:val="8C8C8C"/>
          <w:sz w:val="12"/>
        </w:rPr>
        <w:t>cf-art-22-inc-XXIII</w:t>
      </w:r>
      <w:r>
        <w:rPr>
          <w:color w:val="003CA0"/>
          <w:sz w:val="12"/>
        </w:rPr>
        <w:t xml:space="preserve"> | ADI 5.354</w:t>
      </w:r>
      <w:r>
        <w:rPr>
          <w:color w:val="003CA0"/>
          <w:sz w:val="12"/>
        </w:rPr>
        <w:t xml:space="preserve"> | rel. Dias Toffoli</w:t>
      </w:r>
    </w:p>
    <w:p>
      <w:pPr>
        <w:ind w:left="288"/>
      </w:pPr>
      <w:r>
        <w:rPr>
          <w:color w:val="1E1E1E"/>
          <w:sz w:val="18"/>
        </w:rPr>
        <w:t>Competência legislativa privativa da União para legislar sobre normas gerais de organização, efetivos, material bélico, garantias, convocação e mobilização das polícias militares e corpos de bombeiros militares. Normas estaduais suplementares à lei federal sobre normas gerais para a prestação voluntária de serviços administrativos e de serviços auxiliares de saúde e de defesa civil nas polícias militares e nos corpos de bombeiros militares (Lei nº 10.029/00). Inovação e divergência com relação às disposições constantes da legislação federal. Contrariedade à lei federal sobre normas gerais sobr</w:t>
      </w:r>
    </w:p>
    <w:p>
      <w:pPr>
        <w:ind w:left="288"/>
      </w:pPr>
      <w:r>
        <w:rPr>
          <w:color w:val="8C8C8C"/>
          <w:sz w:val="12"/>
        </w:rPr>
        <w:t>cf-art-22-inc-XXIII</w:t>
      </w:r>
      <w:r>
        <w:rPr>
          <w:color w:val="003CA0"/>
          <w:sz w:val="12"/>
        </w:rPr>
        <w:t xml:space="preserve"> | ADI 5.424</w:t>
      </w:r>
      <w:r>
        <w:rPr>
          <w:color w:val="003CA0"/>
          <w:sz w:val="12"/>
        </w:rPr>
        <w:t xml:space="preserve"> | rel. Dias Toffoli</w:t>
      </w:r>
    </w:p>
    <w:p>
      <w:pPr>
        <w:ind w:left="288"/>
      </w:pPr>
      <w:r>
        <w:rPr>
          <w:color w:val="1E1E1E"/>
          <w:sz w:val="18"/>
        </w:rPr>
        <w:t xml:space="preserve">A Lei 16.751/2015 do Estado de Santa Catarina, ao vedar a propaganda de medicamentos e similares nos meios de comunicação sonoros, audiovisuais e escritos daquele Estado, usurpou a competência privativa da União para legislar sobre propaganda comercial (art. 22, inciso XXIX, da Constituição), especificamente em tema de medicamentos (art. 220, § 4º, da CF/88), além de ter contrariado o regramento federal sobre a matéria, que permite que medicamentos anódinos e de venda livre sejam anunciados nos órgãos de comunicação social, com a condição de conterem advertências quanto ao seu abuso, conforme </w:t>
      </w:r>
    </w:p>
    <w:p>
      <w:pPr>
        <w:ind w:left="288"/>
      </w:pPr>
      <w:r>
        <w:rPr>
          <w:color w:val="8C8C8C"/>
          <w:sz w:val="12"/>
        </w:rPr>
        <w:t>cf-art-22-par-unico</w:t>
      </w:r>
      <w:r>
        <w:rPr>
          <w:color w:val="003CA0"/>
          <w:sz w:val="12"/>
        </w:rPr>
        <w:t xml:space="preserve"> | ADI 4.212</w:t>
      </w:r>
      <w:r>
        <w:rPr>
          <w:color w:val="003CA0"/>
          <w:sz w:val="12"/>
        </w:rPr>
        <w:t xml:space="preserve"> | rel. Rosa Weber</w:t>
      </w:r>
    </w:p>
    <w:p>
      <w:pPr>
        <w:ind w:left="288"/>
      </w:pPr>
      <w:r>
        <w:rPr>
          <w:color w:val="1E1E1E"/>
          <w:sz w:val="18"/>
        </w:rPr>
        <w:t>O art. 107 da Lei Federal 9.503/1997 – Código de Trânsito Brasileiro – confere a possibilidade de o poder competente regular as condições técnicas e de segurança de acordo com as peculiaridades relativas a cada ente. Não se trata de autorização para legislar, nos termos do art. 22, parágrafo único, da Constituição Federal, que permanece incólume, mas de possibilidade de regulamentação por meio do estabelecimento de normas técnicas, de higiene, de conforto e de segurança a serem atendidas para a exploração da atividade de transporte individual ou coletivo de passageiros por veículos de aluguel.</w:t>
      </w:r>
    </w:p>
    <w:p>
      <w:pPr>
        <w:ind w:left="288"/>
      </w:pPr>
      <w:r>
        <w:rPr>
          <w:b/>
          <w:color w:val="003CA0"/>
          <w:sz w:val="16"/>
        </w:rPr>
        <w:t>[ADI 4.212, rel. min. Rosa Weber, j. 29-6-2020, P, DJE de 13-8-2020.]</w:t>
      </w:r>
    </w:p>
    <w:p>
      <w:pPr>
        <w:ind w:left="288"/>
      </w:pPr>
      <w:r>
        <w:rPr>
          <w:color w:val="8C8C8C"/>
          <w:sz w:val="12"/>
        </w:rPr>
        <w:t>cf-art-22-par-unico</w:t>
      </w:r>
      <w:r>
        <w:rPr>
          <w:color w:val="003CA0"/>
          <w:sz w:val="12"/>
        </w:rPr>
        <w:t xml:space="preserve"> | ADI 4.391</w:t>
      </w:r>
      <w:r>
        <w:rPr>
          <w:color w:val="003CA0"/>
          <w:sz w:val="12"/>
        </w:rPr>
        <w:t xml:space="preserve"> | rel. Dias Toffoli</w:t>
      </w:r>
    </w:p>
    <w:p>
      <w:pPr>
        <w:ind w:left="288"/>
      </w:pPr>
      <w:r>
        <w:rPr>
          <w:color w:val="1E1E1E"/>
          <w:sz w:val="18"/>
        </w:rPr>
        <w:t>A competência legislativa do Estado do Rio de Janeiro para fixar piso salarial decorre da LC federal 103, de 2000, mediante a qual a União, valendo-se do disposto no art. 22, I e parágrafo único, da Carta Maior, delegou aos Estados e ao Distrito Federal a competência para instituir piso salarial para os empregados que não tenham esse mínimo definido em lei federal, convenção ou acordo coletivo de trabalho. Trata-se de lei estadual que consubstancia um exemplo típico de exercício, pelo legislador federado, da figura da competência privativa delegada. A expressão "que o fixe a maior", contida no</w:t>
      </w:r>
    </w:p>
    <w:p>
      <w:pPr>
        <w:ind w:left="288"/>
      </w:pPr>
      <w:r>
        <w:rPr>
          <w:b/>
          <w:color w:val="003CA0"/>
          <w:sz w:val="16"/>
        </w:rPr>
        <w:t>[ADI 4.391, rel. min. Dias Toffoli, j. 2-3-2011, P, DJE de 20-6-2011.]</w:t>
      </w:r>
    </w:p>
    <w:p>
      <w:pPr>
        <w:ind w:left="288"/>
      </w:pPr>
      <w:r>
        <w:rPr>
          <w:color w:val="8C8C8C"/>
          <w:sz w:val="12"/>
        </w:rPr>
        <w:t>cf-art-22-par-unico</w:t>
      </w:r>
      <w:r>
        <w:rPr>
          <w:color w:val="003CA0"/>
          <w:sz w:val="12"/>
        </w:rPr>
        <w:t xml:space="preserve"> | ADI 4.364</w:t>
      </w:r>
      <w:r>
        <w:rPr>
          <w:color w:val="003CA0"/>
          <w:sz w:val="12"/>
        </w:rPr>
        <w:t xml:space="preserve"> | rel. Dias Toffoli</w:t>
      </w:r>
    </w:p>
    <w:p>
      <w:pPr>
        <w:ind w:left="288"/>
      </w:pPr>
      <w:r>
        <w:rPr>
          <w:color w:val="1E1E1E"/>
          <w:sz w:val="18"/>
        </w:rPr>
        <w:t>A competência legislativa do Estado de Santa Catarina para fixar piso salarial decorre da LC federal 103, de 2000, mediante a qual a União, valendo-se do disposto no art. 22, I e parágrafo único, da Carta Maior, delegou aos Estados e ao Distrito Federal a competência para instituir piso salarial para os empregados que não tenham esse mínimo definido em lei federal, convenção ou acordo coletivo de trabalho. Trata-se de lei estadual que consubstancia um exemplo típico de exercício, pelo legislador federado, da figura da competência privativa delegada.</w:t>
      </w:r>
    </w:p>
    <w:p>
      <w:pPr>
        <w:ind w:left="288"/>
      </w:pPr>
      <w:r>
        <w:rPr>
          <w:b/>
          <w:color w:val="003CA0"/>
          <w:sz w:val="16"/>
        </w:rPr>
        <w:t>[ADI 4.364, rel. min. Dias Toffoli, j. 2-3-2011, P, DJE de 16-5-2011.]</w:t>
      </w:r>
    </w:p>
    <w:p>
      <w:pPr>
        <w:ind w:left="720"/>
      </w:pPr>
      <w:r>
        <w:rPr>
          <w:color w:val="003366"/>
          <w:sz w:val="18"/>
        </w:rPr>
        <w:t>I – direito civil, comercial, penal, processual, eleitoral, agrário, marítimo, a</w:t>
      </w:r>
    </w:p>
    <w:p>
      <w:pPr>
        <w:ind w:left="720"/>
      </w:pPr>
      <w:r>
        <w:rPr>
          <w:color w:val="003366"/>
          <w:sz w:val="18"/>
        </w:rPr>
        <w:t>II – desapropriação;</w:t>
      </w:r>
    </w:p>
    <w:p>
      <w:pPr>
        <w:ind w:left="720"/>
      </w:pPr>
      <w:r>
        <w:rPr>
          <w:color w:val="003366"/>
          <w:sz w:val="18"/>
        </w:rPr>
        <w:t>III – requisições civis e militares, em caso de iminente perigo e em tempo de gu</w:t>
      </w:r>
    </w:p>
    <w:p>
      <w:pPr>
        <w:ind w:left="720"/>
      </w:pPr>
      <w:r>
        <w:rPr>
          <w:color w:val="003366"/>
          <w:sz w:val="18"/>
        </w:rPr>
        <w:t>IV – águas, energia, informática, telecomunicações e radiodifusão;</w:t>
      </w:r>
    </w:p>
    <w:p>
      <w:pPr>
        <w:ind w:left="720"/>
      </w:pPr>
      <w:r>
        <w:rPr>
          <w:color w:val="003366"/>
          <w:sz w:val="18"/>
        </w:rPr>
        <w:t>V – serviço postal;</w:t>
      </w:r>
    </w:p>
    <w:p>
      <w:pPr>
        <w:ind w:left="720"/>
      </w:pPr>
      <w:r>
        <w:rPr>
          <w:color w:val="003366"/>
          <w:sz w:val="18"/>
        </w:rPr>
        <w:t>VI – sistema monetário e de medidas, títulos e garantias dos metais;</w:t>
      </w:r>
    </w:p>
    <w:p>
      <w:pPr>
        <w:ind w:left="720"/>
      </w:pPr>
      <w:r>
        <w:rPr>
          <w:color w:val="003366"/>
          <w:sz w:val="18"/>
        </w:rPr>
        <w:t>VII – política de crédito, câmbio, seguros e transferência de valores;</w:t>
      </w:r>
    </w:p>
    <w:p>
      <w:pPr>
        <w:ind w:left="720"/>
      </w:pPr>
      <w:r>
        <w:rPr>
          <w:color w:val="003366"/>
          <w:sz w:val="18"/>
        </w:rPr>
        <w:t>VIII – comércio exterior e interestadual;</w:t>
      </w:r>
    </w:p>
    <w:p>
      <w:pPr>
        <w:ind w:left="720"/>
      </w:pPr>
      <w:r>
        <w:rPr>
          <w:color w:val="003366"/>
          <w:sz w:val="18"/>
        </w:rPr>
        <w:t>IX – diretrizes da política nacional de transportes;</w:t>
      </w:r>
    </w:p>
    <w:p>
      <w:pPr>
        <w:ind w:left="720"/>
      </w:pPr>
      <w:r>
        <w:rPr>
          <w:color w:val="003366"/>
          <w:sz w:val="18"/>
        </w:rPr>
        <w:t>X – regime dos portos, navegação lacustre, fluvial, marítima, aérea e aeroespaci</w:t>
      </w:r>
    </w:p>
    <w:p>
      <w:pPr>
        <w:ind w:left="720"/>
      </w:pPr>
      <w:r>
        <w:rPr>
          <w:color w:val="003366"/>
          <w:sz w:val="18"/>
        </w:rPr>
        <w:t>XI – trânsito e transporte;</w:t>
      </w:r>
    </w:p>
    <w:p>
      <w:pPr>
        <w:ind w:left="720"/>
      </w:pPr>
      <w:r>
        <w:rPr>
          <w:color w:val="003366"/>
          <w:sz w:val="18"/>
        </w:rPr>
        <w:t>XII – jazidas, minas, outros recursos minerais e metalurgia;</w:t>
      </w:r>
    </w:p>
    <w:p>
      <w:pPr>
        <w:ind w:left="720"/>
      </w:pPr>
      <w:r>
        <w:rPr>
          <w:color w:val="003366"/>
          <w:sz w:val="18"/>
        </w:rPr>
        <w:t>XIII – nacionalidade, cidadania e naturalização;</w:t>
      </w:r>
    </w:p>
    <w:p>
      <w:pPr>
        <w:ind w:left="720"/>
      </w:pPr>
      <w:r>
        <w:rPr>
          <w:color w:val="003366"/>
          <w:sz w:val="18"/>
        </w:rPr>
        <w:t>XX – sistemas de consórcios e sorteios;</w:t>
      </w:r>
    </w:p>
    <w:p>
      <w:pPr>
        <w:ind w:left="720"/>
      </w:pPr>
      <w:r>
        <w:rPr>
          <w:color w:val="003366"/>
          <w:sz w:val="18"/>
        </w:rPr>
        <w:t>XXI – normas gerais de organização, efetivos, material bélico, garantias, convoc</w:t>
      </w:r>
    </w:p>
    <w:p>
      <w:pPr>
        <w:ind w:left="720"/>
      </w:pPr>
      <w:r>
        <w:rPr>
          <w:color w:val="003366"/>
          <w:sz w:val="18"/>
        </w:rPr>
        <w:t>XXII – competência da polícia federal e das polícias rodoviária e ferroviária fe</w:t>
      </w:r>
    </w:p>
    <w:p>
      <w:pPr>
        <w:ind w:left="720"/>
      </w:pPr>
      <w:r>
        <w:rPr>
          <w:color w:val="003366"/>
          <w:sz w:val="18"/>
        </w:rPr>
        <w:t>XXIII – seguridade social;</w:t>
      </w:r>
    </w:p>
    <w:p>
      <w:pPr>
        <w:ind w:left="720"/>
      </w:pPr>
      <w:r>
        <w:rPr>
          <w:color w:val="003366"/>
          <w:sz w:val="18"/>
        </w:rPr>
        <w:t>XXX – proteção e tratamento de dados pessoais. (Incluído pela Emenda Constitucio</w:t>
      </w:r>
    </w:p>
    <w:p>
      <w:r>
        <w:rPr>
          <w:b/>
          <w:color w:val="003366"/>
          <w:sz w:val="20"/>
        </w:rPr>
        <w:t>Art. 23 É competência comum da União, dos Estados, do Distrito Federal e dos Mun</w:t>
      </w:r>
      <w:r>
        <w:rPr>
          <w:color w:val="8C8C8C"/>
          <w:sz w:val="14"/>
        </w:rPr>
        <w:t xml:space="preserve">  [24 decisoes]</w:t>
      </w:r>
    </w:p>
    <w:p>
      <w:pPr>
        <w:ind w:left="144"/>
      </w:pPr>
      <w:r>
        <w:rPr>
          <w:b/>
          <w:color w:val="B45A00"/>
          <w:sz w:val="16"/>
        </w:rPr>
        <w:t>CONTROLE CONCENTRADO</w:t>
      </w:r>
    </w:p>
    <w:p>
      <w:pPr>
        <w:ind w:left="288"/>
      </w:pPr>
      <w:r>
        <w:rPr>
          <w:color w:val="8C8C8C"/>
          <w:sz w:val="12"/>
        </w:rPr>
        <w:t>cf-art-23</w:t>
      </w:r>
      <w:r>
        <w:rPr>
          <w:color w:val="003CA0"/>
          <w:sz w:val="12"/>
        </w:rPr>
        <w:t xml:space="preserve"> | ADI 3.193</w:t>
      </w:r>
      <w:r>
        <w:rPr>
          <w:color w:val="003CA0"/>
          <w:sz w:val="12"/>
        </w:rPr>
        <w:t xml:space="preserve"> | rel. Marco Aurélio</w:t>
      </w:r>
    </w:p>
    <w:p>
      <w:pPr>
        <w:ind w:left="288"/>
      </w:pPr>
      <w:r>
        <w:rPr>
          <w:color w:val="1E1E1E"/>
          <w:sz w:val="18"/>
        </w:rPr>
        <w:t>A técnica da remissão a lei federal, tomando-se de empréstimo preceitos nela contidos, pressupõe a possibilidade de o Estado legislar, de modo originário, sobre a matéria.</w:t>
      </w:r>
    </w:p>
    <w:p>
      <w:pPr>
        <w:ind w:left="288"/>
      </w:pPr>
      <w:r>
        <w:rPr>
          <w:b/>
          <w:color w:val="003CA0"/>
          <w:sz w:val="16"/>
        </w:rPr>
        <w:t>[ADI 3.193, rel. min. Marco Aurélio, j. 9-5-2013, P, DJE de 6-8-2013.]</w:t>
      </w:r>
    </w:p>
    <w:p>
      <w:pPr>
        <w:ind w:left="288"/>
      </w:pPr>
      <w:r>
        <w:rPr>
          <w:color w:val="8C8C8C"/>
          <w:sz w:val="12"/>
        </w:rPr>
        <w:t>cf-art-23</w:t>
      </w:r>
      <w:r>
        <w:rPr>
          <w:color w:val="003CA0"/>
          <w:sz w:val="12"/>
        </w:rPr>
        <w:t xml:space="preserve"> | ACO 3.121</w:t>
      </w:r>
      <w:r>
        <w:rPr>
          <w:color w:val="003CA0"/>
          <w:sz w:val="12"/>
        </w:rPr>
        <w:t xml:space="preserve"> | rel. Rosa Weber</w:t>
      </w:r>
    </w:p>
    <w:p>
      <w:pPr>
        <w:ind w:left="288"/>
      </w:pPr>
      <w:r>
        <w:rPr>
          <w:color w:val="1E1E1E"/>
          <w:sz w:val="18"/>
        </w:rPr>
        <w:t xml:space="preserve">O fluxo da imigração massiva é evento extraordinário, imprevisível, excepcional, e seu impacto no Estado-autor decorre do fato da posição geográfica de Roraima se mostrar atraente a facilitar a entrada dos imigrantes ao Brasil. O gasto extraordinário não resultou de qualquer fato imputável ao Estado de Roraima, mas sim da necessária – decorrência do cumprimento de tratados internacionais – abertura da fronteira, pelo Estado brasileiro, para recepcionar refugiados venezuelanos. O federalismo brasileiro é de base cooperativa, o que encontra fundamento constitucional. Nas matérias de que trata o </w:t>
      </w:r>
    </w:p>
    <w:p>
      <w:pPr>
        <w:ind w:left="288"/>
      </w:pPr>
      <w:r>
        <w:rPr>
          <w:b/>
          <w:color w:val="003CA0"/>
          <w:sz w:val="16"/>
        </w:rPr>
        <w:t>[ACO 3.121, rel. min. Rosa Weber, j. 13-10-2020, P, DJE de 27-10-2020.]</w:t>
      </w:r>
    </w:p>
    <w:p>
      <w:pPr>
        <w:ind w:left="144"/>
      </w:pPr>
      <w:r>
        <w:rPr>
          <w:b/>
          <w:color w:val="B45A00"/>
          <w:sz w:val="16"/>
        </w:rPr>
        <w:t>JULGADOS CORRELATOS</w:t>
      </w:r>
    </w:p>
    <w:p>
      <w:pPr>
        <w:ind w:left="288"/>
      </w:pPr>
      <w:r>
        <w:rPr>
          <w:color w:val="8C8C8C"/>
          <w:sz w:val="12"/>
        </w:rPr>
        <w:t>cf-art-23</w:t>
      </w:r>
      <w:r>
        <w:rPr>
          <w:color w:val="003CA0"/>
          <w:sz w:val="12"/>
        </w:rPr>
        <w:t xml:space="preserve"> | ACO 3.113</w:t>
      </w:r>
    </w:p>
    <w:p>
      <w:pPr>
        <w:ind w:left="288"/>
      </w:pPr>
      <w:r>
        <w:rPr>
          <w:color w:val="1E1E1E"/>
          <w:sz w:val="18"/>
        </w:rPr>
        <w:t>No exercício de sua competência privativa, a União editou a Lei 13.45/2017 – Lei de Migração – a qual afirma entre os princípios e diretrizes da política migratória brasileira, a universalidade, indivisibilidade e interdependência dos direitos humanos, a acolhida humanitária, o fortalecimento da integração econômica, política, social e cultural dos povos da América Latina, mediante constituição de espaços de cidadania e de livre circulação de pessoas e a cooperação internacional com Estados de origem, de trânsito e de destino de movimentos migratórios, a fim de garantir efetiva proteção aos di</w:t>
      </w:r>
    </w:p>
    <w:p>
      <w:pPr>
        <w:ind w:left="288"/>
      </w:pPr>
      <w:r>
        <w:rPr>
          <w:b/>
          <w:color w:val="003CA0"/>
          <w:sz w:val="16"/>
        </w:rPr>
        <w:t>[ACO 3.113, red. do ac. min. Alexandre de Moraes, j. 13-10-2020, P, DJE de 16-12-2020]</w:t>
      </w:r>
    </w:p>
    <w:p>
      <w:pPr>
        <w:ind w:left="288"/>
      </w:pPr>
      <w:r>
        <w:rPr>
          <w:color w:val="8C8C8C"/>
          <w:sz w:val="12"/>
        </w:rPr>
        <w:t>cf-art-23</w:t>
      </w:r>
      <w:r>
        <w:rPr>
          <w:color w:val="003CA0"/>
          <w:sz w:val="12"/>
        </w:rPr>
        <w:t xml:space="preserve"> | RE 194.704</w:t>
      </w:r>
      <w:r>
        <w:rPr>
          <w:color w:val="003CA0"/>
          <w:sz w:val="12"/>
        </w:rPr>
        <w:t xml:space="preserve"> | rel. Edson Fachin</w:t>
      </w:r>
    </w:p>
    <w:p>
      <w:pPr>
        <w:ind w:left="288"/>
      </w:pPr>
      <w:r>
        <w:rPr>
          <w:color w:val="1E1E1E"/>
          <w:sz w:val="18"/>
        </w:rPr>
        <w:t>Nos casos em que a dúvida sobre a competência legislativa recai sobre norma que abrange mais de um tema, deve o intérprete acolher interpretação que não tolha a competência que detêm os entes menores para dispor sobre determinada matéria (presumption against preemption). Porque o federalismo é um instrumento de descentralização política que visa realizar direitos fundamentais, se a lei federal ou estadual claramente indicar, de forma adequada, necessária e razoável, que os efeitos de sua aplicação excluem o poder de complementação que detêm os entes menores (clear statement rule), é possível a</w:t>
      </w:r>
    </w:p>
    <w:p>
      <w:pPr>
        <w:ind w:left="288"/>
      </w:pPr>
      <w:r>
        <w:rPr>
          <w:b/>
          <w:color w:val="003CA0"/>
          <w:sz w:val="16"/>
        </w:rPr>
        <w:t>[RE 194.704, rel. p/ o ac. min. Edson Fachin, j. 29-6-2017, P, DJE de 17-11-2017.]</w:t>
      </w:r>
    </w:p>
    <w:p>
      <w:pPr>
        <w:ind w:left="288"/>
      </w:pPr>
      <w:r>
        <w:rPr>
          <w:color w:val="8C8C8C"/>
          <w:sz w:val="12"/>
        </w:rPr>
        <w:t>cf-art-23</w:t>
      </w:r>
      <w:r>
        <w:rPr>
          <w:color w:val="003CA0"/>
          <w:sz w:val="12"/>
        </w:rPr>
        <w:t xml:space="preserve"> | RE 169.247</w:t>
      </w:r>
      <w:r>
        <w:rPr>
          <w:color w:val="003CA0"/>
          <w:sz w:val="12"/>
        </w:rPr>
        <w:t xml:space="preserve"> | rel. Néri da Silveira</w:t>
      </w:r>
    </w:p>
    <w:p>
      <w:pPr>
        <w:ind w:left="288"/>
      </w:pPr>
      <w:r>
        <w:rPr>
          <w:color w:val="1E1E1E"/>
          <w:sz w:val="18"/>
        </w:rPr>
        <w:t>Não se compreende, no rol de competências comuns da União, dos Estados, do Distrito Federal e dos Municípios, ut art. 23 da CF, a matéria concernente à disciplina de "diversões e espetáculos públicos", que, a teor do art. 220, § 3º, I, do Diploma Maior, compete à lei federal regular, estipulando-se, na mesma norma, que "caberá ao Poder Público informar sobre a natureza deles, as faixas etárias a que não se recomendem, locais e horários em que sua apresentação se mostre inadequada".</w:t>
        <w:br/>
        <w:t>[RE 169.247, rel. min. Néri da Silveira, j. 8-4-2002, 2ª T, DJ de 1º-8-2003.]</w:t>
      </w:r>
    </w:p>
    <w:p>
      <w:pPr>
        <w:ind w:left="144"/>
      </w:pPr>
      <w:r>
        <w:rPr>
          <w:b/>
          <w:color w:val="B45A00"/>
          <w:sz w:val="16"/>
        </w:rPr>
        <w:t>CONTROLE CONCENTRADO</w:t>
      </w:r>
    </w:p>
    <w:p>
      <w:pPr>
        <w:ind w:left="288"/>
      </w:pPr>
      <w:r>
        <w:rPr>
          <w:color w:val="8C8C8C"/>
          <w:sz w:val="12"/>
        </w:rPr>
        <w:t>cf-art-23-inc-II</w:t>
      </w:r>
      <w:r>
        <w:rPr>
          <w:color w:val="003CA0"/>
          <w:sz w:val="12"/>
        </w:rPr>
        <w:t xml:space="preserve"> | ADI 6.137</w:t>
      </w:r>
      <w:r>
        <w:rPr>
          <w:color w:val="003CA0"/>
          <w:sz w:val="12"/>
        </w:rPr>
        <w:t xml:space="preserve"> | rel. Cármen Lúcia</w:t>
      </w:r>
    </w:p>
    <w:p>
      <w:pPr>
        <w:ind w:left="288"/>
      </w:pPr>
      <w:r>
        <w:rPr>
          <w:color w:val="1E1E1E"/>
          <w:sz w:val="18"/>
        </w:rPr>
        <w:t>A vedação à pulverização aérea de agrotóxicos é matéria afeta à saúde e ao meio ambiente, listada entre as competências administrativas comuns e entre as competências legislativas concorrentes da União, dos Estados e dos Municípios (incs. II e VI do art. 23; incs. VI e XII do art. 24, todos da Constituição da República).</w:t>
        <w:br/>
        <w:t>[ADI 6.137, rel. min. Cármen Lúcia, j. 29-5-2023, P, DJE de 14-6-2023.] (...) (A) a vacinação compulsória não significa vacinação forçada, por exigir sempre o consentimento do usuário, podendo, contudo, ser implementada por meio de medidas indiretas, as quais compreendem, dent</w:t>
      </w:r>
    </w:p>
    <w:p>
      <w:pPr>
        <w:ind w:left="288"/>
      </w:pPr>
      <w:r>
        <w:rPr>
          <w:b/>
          <w:color w:val="003CA0"/>
          <w:sz w:val="16"/>
        </w:rPr>
        <w:t>[ADI 6.343 MC-REF, red. do ac. min. Alexandre de Moraes, j. 6-5-2020, P, DJE de 17-11-2020.]</w:t>
      </w:r>
    </w:p>
    <w:p>
      <w:pPr>
        <w:ind w:left="288"/>
      </w:pPr>
      <w:r>
        <w:rPr>
          <w:color w:val="8C8C8C"/>
          <w:sz w:val="12"/>
        </w:rPr>
        <w:t>cf-art-23-inc-II</w:t>
      </w:r>
      <w:r>
        <w:rPr>
          <w:color w:val="003CA0"/>
          <w:sz w:val="12"/>
        </w:rPr>
        <w:t xml:space="preserve"> | ADI 6.341</w:t>
      </w:r>
    </w:p>
    <w:p>
      <w:pPr>
        <w:ind w:left="288"/>
      </w:pPr>
      <w:r>
        <w:rPr>
          <w:color w:val="1E1E1E"/>
          <w:sz w:val="18"/>
        </w:rPr>
        <w:t xml:space="preserve">A emergência internacional, reconhecida pela Organização Mundial da Saúde, não implica nem muito menos autoriza a outorga de discricionariedade sem controle ou sem contrapesos típicos do Estado Democrático de Direito. As regras constitucionais não servem apenas para proteger a liberdade individual, mas também o exercício da racionalidade coletiva, isto é, da capacidade de coordenar as ações de forma eficiente. O Estado Democrático de Direito implica o direito de examinar as razões governamentais e o direito de criticá-las. Os agentes públicos agem melhor, mesmo durante emergências, quando são </w:t>
      </w:r>
    </w:p>
    <w:p>
      <w:pPr>
        <w:ind w:left="288"/>
      </w:pPr>
      <w:r>
        <w:rPr>
          <w:b/>
          <w:color w:val="003CA0"/>
          <w:sz w:val="16"/>
        </w:rPr>
        <w:t>[ADI 6.341 MC-REF, red. do ac. min. Edson Fachin, j. 15-4-2020, P, DJE de 13-11-2020.]</w:t>
      </w:r>
    </w:p>
    <w:p>
      <w:pPr>
        <w:ind w:left="288"/>
      </w:pPr>
      <w:r>
        <w:rPr>
          <w:color w:val="8C8C8C"/>
          <w:sz w:val="12"/>
        </w:rPr>
        <w:t>cf-art-23-inc-II</w:t>
      </w:r>
      <w:r>
        <w:rPr>
          <w:color w:val="003CA0"/>
          <w:sz w:val="12"/>
        </w:rPr>
        <w:t xml:space="preserve"> | ADI 2.875</w:t>
      </w:r>
      <w:r>
        <w:rPr>
          <w:color w:val="003CA0"/>
          <w:sz w:val="12"/>
        </w:rPr>
        <w:t xml:space="preserve"> | rel. Ricardo Lewandowski</w:t>
      </w:r>
    </w:p>
    <w:p>
      <w:pPr>
        <w:ind w:left="288"/>
      </w:pPr>
      <w:r>
        <w:rPr>
          <w:color w:val="1E1E1E"/>
          <w:sz w:val="18"/>
        </w:rPr>
        <w:t>Dispositivo de lei distrital que obriga os médicos públicos e particulares do Distrito Federal a notificarem a Secretaria de Saúde sobre os casos de câncer de pele não é inconstitucional. Matéria inserida no âmbito da competência da União, Estados e Distrito Federal, nos termos do art. 23, II, da CF.</w:t>
      </w:r>
    </w:p>
    <w:p>
      <w:pPr>
        <w:ind w:left="288"/>
      </w:pPr>
      <w:r>
        <w:rPr>
          <w:b/>
          <w:color w:val="003CA0"/>
          <w:sz w:val="16"/>
        </w:rPr>
        <w:t>[ADI 2.875, rel. min. Ricardo Lewandowski, j. 4-6-2008, P, DJE de 20-6-2008.]</w:t>
      </w:r>
    </w:p>
    <w:p>
      <w:pPr>
        <w:ind w:left="288"/>
      </w:pPr>
      <w:r>
        <w:rPr>
          <w:color w:val="8C8C8C"/>
          <w:sz w:val="12"/>
        </w:rPr>
        <w:t>cf-art-23-inc-II</w:t>
      </w:r>
      <w:r>
        <w:rPr>
          <w:color w:val="003CA0"/>
          <w:sz w:val="12"/>
        </w:rPr>
        <w:t xml:space="preserve"> | RE 1.198.269</w:t>
      </w:r>
      <w:r>
        <w:rPr>
          <w:color w:val="003CA0"/>
          <w:sz w:val="12"/>
        </w:rPr>
        <w:t xml:space="preserve"> | rel. Gilmar Mendes</w:t>
      </w:r>
    </w:p>
    <w:p>
      <w:pPr>
        <w:ind w:left="288"/>
      </w:pPr>
      <w:r>
        <w:rPr>
          <w:color w:val="1E1E1E"/>
          <w:sz w:val="18"/>
        </w:rPr>
        <w:t>É constitucional lei estadual que impõe a obrigatoriedade de adaptação de percentual de carrinhos de compras para transporte de crianças com deficiência ou mobilidade reduzida.</w:t>
      </w:r>
    </w:p>
    <w:p>
      <w:pPr>
        <w:ind w:left="288"/>
      </w:pPr>
      <w:r>
        <w:rPr>
          <w:b/>
          <w:color w:val="003CA0"/>
          <w:sz w:val="16"/>
        </w:rPr>
        <w:t>[RE 1.198.269, rel. min. Gilmar Mendes, j. 10.06.2025, P, DJE de 23.06.2025, Tema 1.286, com mérito julgado.]</w:t>
      </w:r>
    </w:p>
    <w:p>
      <w:pPr>
        <w:ind w:left="144"/>
      </w:pPr>
      <w:r>
        <w:rPr>
          <w:b/>
          <w:color w:val="B45A00"/>
          <w:sz w:val="16"/>
        </w:rPr>
        <w:t>REPERCUSSAO GERAL</w:t>
      </w:r>
    </w:p>
    <w:p>
      <w:pPr>
        <w:ind w:left="288"/>
      </w:pPr>
      <w:r>
        <w:rPr>
          <w:color w:val="8C8C8C"/>
          <w:sz w:val="12"/>
        </w:rPr>
        <w:t>cf-art-23-inc-II</w:t>
      </w:r>
      <w:r>
        <w:rPr>
          <w:color w:val="003CA0"/>
          <w:sz w:val="12"/>
        </w:rPr>
        <w:t xml:space="preserve"> | RE 855.178</w:t>
      </w:r>
      <w:r>
        <w:rPr>
          <w:color w:val="003CA0"/>
          <w:sz w:val="12"/>
        </w:rPr>
        <w:t xml:space="preserve"> | rel. Luiz Fux</w:t>
      </w:r>
    </w:p>
    <w:p>
      <w:pPr>
        <w:ind w:left="288"/>
      </w:pPr>
      <w:r>
        <w:rPr>
          <w:color w:val="1E1E1E"/>
          <w:sz w:val="18"/>
        </w:rPr>
        <w:t>O tratamento médico adequado aos necessitados se insere no rol dos deveres do Estado, porquanto responsabilidade solidária dos entes federados. O polo passivo pode ser composto por qualquer um deles, isoladamente, ou conjuntamente.</w:t>
        <w:br/>
        <w:t>[RE 855.178 RG, rel. min. Luiz Fux, j. 5-3-2015, P, DJE de 16-3-2015, Tema 793, com mérito julgado.] Esta Suprema Corte, no julgamento do RE-RG 855.178, Rel. Min. Luiz Fux, DJe 16.3.2015 (tema 793), firmou entendimento segundo o qual constitui obrigação solidária entre os entes da federação prover o fornecimento de meios adequados à garantia do direito à saúde. A so</w:t>
      </w:r>
    </w:p>
    <w:p>
      <w:pPr>
        <w:ind w:left="288"/>
      </w:pPr>
      <w:r>
        <w:rPr>
          <w:b/>
          <w:color w:val="003CA0"/>
          <w:sz w:val="16"/>
        </w:rPr>
        <w:t>[Rcl 85.855 AgR, rel. min. Gilmar Mendes, j. 25-2-2026, 2ª T, DJE de 5-3-2026.]</w:t>
      </w:r>
    </w:p>
    <w:p>
      <w:pPr>
        <w:ind w:left="144"/>
      </w:pPr>
      <w:r>
        <w:rPr>
          <w:b/>
          <w:color w:val="B45A00"/>
          <w:sz w:val="16"/>
        </w:rPr>
        <w:t>JULGADOS CORRELATOS</w:t>
      </w:r>
    </w:p>
    <w:p>
      <w:pPr>
        <w:ind w:left="288"/>
      </w:pPr>
      <w:r>
        <w:rPr>
          <w:color w:val="8C8C8C"/>
          <w:sz w:val="12"/>
        </w:rPr>
        <w:t>cf-art-23-inc-II</w:t>
      </w:r>
      <w:r>
        <w:rPr>
          <w:color w:val="003CA0"/>
          <w:sz w:val="12"/>
        </w:rPr>
        <w:t xml:space="preserve"> | ADPF 770</w:t>
      </w:r>
      <w:r>
        <w:rPr>
          <w:color w:val="003CA0"/>
          <w:sz w:val="12"/>
        </w:rPr>
        <w:t xml:space="preserve"> | rel. Ricardo Lewandowski</w:t>
      </w:r>
    </w:p>
    <w:p>
      <w:pPr>
        <w:ind w:left="288"/>
      </w:pPr>
      <w:r>
        <w:rPr>
          <w:color w:val="1E1E1E"/>
          <w:sz w:val="18"/>
        </w:rPr>
        <w:t>Nos termos da histórica jurisprudência desta Suprema Corte, a requisição administrativa não pode se voltar contra bem ou serviço de outro ente federativo, de maneira a que haja indevida interferência na autonomia de um sobre outro. (...) Na espécie, os produtos requisitados já foram objeto de contratação e empenho pelo Estado de São Paulo, visando, justamente, o uso nas ações de imunização contra a COVID-19 a serem empreendidas por aquele ente federativo, haja vista que a competência da União, por meio do Ministério da Saúde, de ‘coordenar o PNI e definir as vacinas integrantes do calendário n</w:t>
      </w:r>
    </w:p>
    <w:p>
      <w:pPr>
        <w:ind w:left="288"/>
      </w:pPr>
      <w:r>
        <w:rPr>
          <w:b/>
          <w:color w:val="003CA0"/>
          <w:sz w:val="16"/>
        </w:rPr>
        <w:t>[ACO 3.463 MC REF, rel. min. Ricardo Lewandowski, j. 8-3-2021, P, DJE de 17-3-2021.]</w:t>
      </w:r>
    </w:p>
    <w:p>
      <w:pPr>
        <w:ind w:left="288"/>
      </w:pPr>
      <w:r>
        <w:rPr>
          <w:color w:val="8C8C8C"/>
          <w:sz w:val="12"/>
        </w:rPr>
        <w:t>cf-art-23-inc-II</w:t>
      </w:r>
      <w:r>
        <w:rPr>
          <w:color w:val="003CA0"/>
          <w:sz w:val="12"/>
        </w:rPr>
        <w:t xml:space="preserve"> | ACO 3.451</w:t>
      </w:r>
      <w:r>
        <w:rPr>
          <w:color w:val="003CA0"/>
          <w:sz w:val="12"/>
        </w:rPr>
        <w:t xml:space="preserve"> | rel. Ricardo Lewandowski</w:t>
      </w:r>
    </w:p>
    <w:p>
      <w:pPr>
        <w:ind w:left="288"/>
      </w:pPr>
      <w:r>
        <w:rPr>
          <w:color w:val="1E1E1E"/>
          <w:sz w:val="18"/>
        </w:rPr>
        <w:t>A Constituição Federal prevê, ao lado do direito subjetivo público à saúde, a obrigação de o Estado dar-lhe efetiva concreção, por meio de ‘políticas sociais e econômicas que visem à redução do risco de doença e de outros agravos e ao acesso universal e igualitário às ações e serviços para a sua promoção, proteção e recuperação’ (art. 196). Esse dever abrange todos os entes federados, inclusive as comunas, os quais, na seara da saúde, exercem uma competência administrativa comum, nos termos do art. 23, II, do Texto Constitucional. O federalismo cooperativo, adotado entre nós, exige que a União</w:t>
      </w:r>
    </w:p>
    <w:p>
      <w:pPr>
        <w:ind w:left="288"/>
      </w:pPr>
      <w:r>
        <w:rPr>
          <w:b/>
          <w:color w:val="003CA0"/>
          <w:sz w:val="16"/>
        </w:rPr>
        <w:t>[ACO 3.451 MC REF, rel. min. Ricardo Lewandowski, j. 24-2-2021, P, DJE de 10-3-2021.]</w:t>
      </w:r>
    </w:p>
    <w:p>
      <w:pPr>
        <w:ind w:left="144"/>
      </w:pPr>
      <w:r>
        <w:rPr>
          <w:b/>
          <w:color w:val="B45A00"/>
          <w:sz w:val="16"/>
        </w:rPr>
        <w:t>CONTROLE CONCENTRADO</w:t>
      </w:r>
    </w:p>
    <w:p>
      <w:pPr>
        <w:ind w:left="288"/>
      </w:pPr>
      <w:r>
        <w:rPr>
          <w:color w:val="8C8C8C"/>
          <w:sz w:val="12"/>
        </w:rPr>
        <w:t>cf-art-23-inc-III</w:t>
      </w:r>
      <w:r>
        <w:rPr>
          <w:color w:val="003CA0"/>
          <w:sz w:val="12"/>
        </w:rPr>
        <w:t xml:space="preserve"> | ADI 4.092</w:t>
      </w:r>
      <w:r>
        <w:rPr>
          <w:color w:val="003CA0"/>
          <w:sz w:val="12"/>
        </w:rPr>
        <w:t xml:space="preserve"> | rel. Nunes Marques</w:t>
      </w:r>
    </w:p>
    <w:p>
      <w:pPr>
        <w:ind w:left="288"/>
      </w:pPr>
      <w:r>
        <w:rPr>
          <w:color w:val="1E1E1E"/>
          <w:sz w:val="18"/>
        </w:rPr>
        <w:t>É possível que Estados e Municípios, com o objetivo de preservar a memória de bens imateriais, instituam feriados de alta significação étnica.</w:t>
        <w:br/>
        <w:t xml:space="preserve">[ADI 4.092, rel. min. Nunes Marques, red. do ac. min. Edson Fachin, j. 28-8-2023, P, DJE de 20-10-2023.] Ação direta de inconstitucionalidade. Art. 251 da Constituição do Estado de Mato Grosso e Lei estadual 7.782/2002, "que declara integrantes do patrimônio científico-cultural do Estado os sítios paleontológicos e arqueológicos localizados em Municípios do Estado de Mato Grosso". Violação aos arts. 23, III, e 216, V, da Constituição. </w:t>
        <w:br/>
        <w:t xml:space="preserve">[ADI 3.525, rel. </w:t>
      </w:r>
    </w:p>
    <w:p>
      <w:pPr>
        <w:ind w:left="288"/>
      </w:pPr>
      <w:r>
        <w:rPr>
          <w:b/>
          <w:color w:val="003CA0"/>
          <w:sz w:val="16"/>
        </w:rPr>
        <w:t>[ADI 2.544, rel. min. Sepúlveda Pertence, j. 28-6-2006, P, DJ de 17-11-2006.]</w:t>
      </w:r>
    </w:p>
    <w:p>
      <w:pPr>
        <w:ind w:left="288"/>
      </w:pPr>
      <w:r>
        <w:rPr>
          <w:color w:val="8C8C8C"/>
          <w:sz w:val="12"/>
        </w:rPr>
        <w:t>cf-art-23-inc-III</w:t>
      </w:r>
      <w:r>
        <w:rPr>
          <w:color w:val="003CA0"/>
          <w:sz w:val="12"/>
        </w:rPr>
        <w:t xml:space="preserve"> | ARE 1.416.029</w:t>
      </w:r>
      <w:r>
        <w:rPr>
          <w:color w:val="003CA0"/>
          <w:sz w:val="12"/>
        </w:rPr>
        <w:t xml:space="preserve"> | rel. Luiz Fux</w:t>
      </w:r>
    </w:p>
    <w:p>
      <w:pPr>
        <w:ind w:left="288"/>
      </w:pPr>
      <w:r>
        <w:rPr>
          <w:color w:val="1E1E1E"/>
          <w:sz w:val="18"/>
        </w:rPr>
        <w:t>O art. 216, §1º, da Constituição Federal, impõe ao Poder Público, com a colaboração da comunidade, a responsabilidade pela promoção e proteção do patrimônio cultural brasileiro por meio do tombamento. A competência para o tombamento é comum entre todos os entes federativos, nos termos dos arts. 23, III, 30, IX e 216, §1º, da Constituição Federal. O tombamento atribui ao bem um regime jurídico especial de proteção, criando obrigações para o proprietário, para todos os entes públicos envolvidos e para a sociedade, operando efeitos erga omnes, no sentido de impedir a prática de atos que acarretem</w:t>
      </w:r>
    </w:p>
    <w:p>
      <w:pPr>
        <w:ind w:left="288"/>
      </w:pPr>
      <w:r>
        <w:rPr>
          <w:b/>
          <w:color w:val="003CA0"/>
          <w:sz w:val="16"/>
        </w:rPr>
        <w:t>[ARE 1.416.029 AgR, rel. min. Luiz Fux, j. 25.06.2025, 1ª T, DJE de 18.07.2025.]</w:t>
      </w:r>
    </w:p>
    <w:p>
      <w:pPr>
        <w:ind w:left="288"/>
      </w:pPr>
      <w:r>
        <w:rPr>
          <w:color w:val="8C8C8C"/>
          <w:sz w:val="12"/>
        </w:rPr>
        <w:t>cf-art-23-inc-V</w:t>
      </w:r>
      <w:r>
        <w:rPr>
          <w:color w:val="003CA0"/>
          <w:sz w:val="12"/>
        </w:rPr>
        <w:t xml:space="preserve"> | ADI 2.572</w:t>
      </w:r>
      <w:r>
        <w:rPr>
          <w:color w:val="003CA0"/>
          <w:sz w:val="12"/>
        </w:rPr>
        <w:t xml:space="preserve"> | rel. Roberto Barroso</w:t>
      </w:r>
    </w:p>
    <w:p>
      <w:pPr>
        <w:ind w:left="288"/>
      </w:pPr>
      <w:r>
        <w:rPr>
          <w:color w:val="1E1E1E"/>
          <w:sz w:val="18"/>
        </w:rPr>
        <w:t>Ação direta de inconstitucionalidade que impugna lei que estabeleceu a reserva de 3% dos lugares disponíveis em salas de projeções, teatros, espaços culturais e nos veículos de transporte público municipal e intermunicipal do Estado do Paraná. Não há inconstitucionalidade formal, tendo em vista que a política de inclusão adotada se enquadra na competência concorrente dos Estados, da União e dos Municípios para promover acesso a cultura, esporte e lazer (arts. 6º; 23, V; 24, IX; 215 e 217, § 3º, CF).</w:t>
      </w:r>
    </w:p>
    <w:p>
      <w:pPr>
        <w:ind w:left="288"/>
      </w:pPr>
      <w:r>
        <w:rPr>
          <w:b/>
          <w:color w:val="003CA0"/>
          <w:sz w:val="16"/>
        </w:rPr>
        <w:t>[ADI 2.572, rel. min. Roberto Barroso, j. 24-10-2022, P, DJE de 10-11-2022.]</w:t>
      </w:r>
    </w:p>
    <w:p>
      <w:pPr>
        <w:ind w:left="288"/>
      </w:pPr>
      <w:r>
        <w:rPr>
          <w:color w:val="8C8C8C"/>
          <w:sz w:val="12"/>
        </w:rPr>
        <w:t>cf-art-23-inc-V</w:t>
      </w:r>
      <w:r>
        <w:rPr>
          <w:color w:val="003CA0"/>
          <w:sz w:val="12"/>
        </w:rPr>
        <w:t xml:space="preserve"> | ADI 1.950</w:t>
      </w:r>
      <w:r>
        <w:rPr>
          <w:color w:val="003CA0"/>
          <w:sz w:val="12"/>
        </w:rPr>
        <w:t xml:space="preserve"> | rel. Eros Grau</w:t>
      </w:r>
    </w:p>
    <w:p>
      <w:pPr>
        <w:ind w:left="288"/>
      </w:pPr>
      <w:r>
        <w:rPr>
          <w:color w:val="1E1E1E"/>
          <w:sz w:val="18"/>
        </w:rPr>
        <w:t>Lei 7.844/1992 do Estado de São Paulo. Meia entrada assegurada aos estudantes regularmente matriculados em estabelecimentos de ensino. Ingresso em casas de diversão, esporte, cultura e lazer. (...) Se de um lado a Constituição assegura a livre iniciativa, de outro determina ao Estado a adoção de todas as providências tendentes a garantir o efetivo exercício do direito à educação, à cultura e ao desporto (arts. 23, V; 205; 208; 215; e 217, § 3º, da Constituição). Na composição entre esses princípios e regras, há de ser preservado o interesse da coletividade, interesse público primário. O direit</w:t>
      </w:r>
    </w:p>
    <w:p>
      <w:pPr>
        <w:ind w:left="288"/>
      </w:pPr>
      <w:r>
        <w:rPr>
          <w:b/>
          <w:color w:val="003CA0"/>
          <w:sz w:val="16"/>
        </w:rPr>
        <w:t>[ADI 1.950, rel. min. Eros Grau, j. 3-11-2005, P, DJ de 2-6-2006.]</w:t>
      </w:r>
    </w:p>
    <w:p>
      <w:pPr>
        <w:ind w:left="288"/>
      </w:pPr>
      <w:r>
        <w:rPr>
          <w:color w:val="8C8C8C"/>
          <w:sz w:val="12"/>
        </w:rPr>
        <w:t>cf-art-23-inc-VI</w:t>
      </w:r>
      <w:r>
        <w:rPr>
          <w:color w:val="003CA0"/>
          <w:sz w:val="12"/>
        </w:rPr>
        <w:t xml:space="preserve"> | ADI 6.137</w:t>
      </w:r>
      <w:r>
        <w:rPr>
          <w:color w:val="003CA0"/>
          <w:sz w:val="12"/>
        </w:rPr>
        <w:t xml:space="preserve"> | rel. Cármen Lúcia</w:t>
      </w:r>
    </w:p>
    <w:p>
      <w:pPr>
        <w:ind w:left="288"/>
      </w:pPr>
      <w:r>
        <w:rPr>
          <w:color w:val="1E1E1E"/>
          <w:sz w:val="18"/>
        </w:rPr>
        <w:t>A vedação à pulverização aérea de agrotóxicos é matéria afeta à saúde e ao meio ambiente, listada entre as competências administrativas comuns e entre as competências legislativas concorrentes da União, dos Estados e dos Municípios (incs. II e VI do art. 23; incs. VI e XII do art. 24, todos da Constituição da República).</w:t>
        <w:br/>
        <w:t>[ADI 6.137, rel. min. Cármen Lúcia, j. 29-5-2023, P, DJE de 14-6-2023.] A competência político-administrativa comum para a proteção do meio ambiente legitima a criação de tributo na modalidade taxa para remunerar a atividade de fiscalização dos Estados.</w:t>
        <w:br/>
        <w:t>[ADI 5.374, rel. min. R</w:t>
      </w:r>
    </w:p>
    <w:p>
      <w:pPr>
        <w:ind w:left="288"/>
      </w:pPr>
      <w:r>
        <w:rPr>
          <w:b/>
          <w:color w:val="003CA0"/>
          <w:sz w:val="16"/>
        </w:rPr>
        <w:t>[ADI 4.615, rel. min. Roberto Barroso, j. 20-9-2019, P, DJE de 28-10-2019.]</w:t>
      </w:r>
    </w:p>
    <w:p>
      <w:pPr>
        <w:ind w:left="288"/>
      </w:pPr>
      <w:r>
        <w:rPr>
          <w:color w:val="8C8C8C"/>
          <w:sz w:val="12"/>
        </w:rPr>
        <w:t>cf-art-23-inc-VI</w:t>
      </w:r>
      <w:r>
        <w:rPr>
          <w:color w:val="003CA0"/>
          <w:sz w:val="12"/>
        </w:rPr>
        <w:t xml:space="preserve"> | ADI 3.338</w:t>
      </w:r>
      <w:r>
        <w:rPr>
          <w:color w:val="003CA0"/>
          <w:sz w:val="12"/>
        </w:rPr>
        <w:t xml:space="preserve"> | rel. Joaquim Barbosa</w:t>
      </w:r>
    </w:p>
    <w:p>
      <w:pPr>
        <w:ind w:left="288"/>
      </w:pPr>
      <w:r>
        <w:rPr>
          <w:color w:val="1E1E1E"/>
          <w:sz w:val="18"/>
        </w:rPr>
        <w:t>Instituição do Programa de Inspeção e Manutenção de Veículos em uso no âmbito do Distrito Federal. (...) O ato normativo impugnado não dispõe sobre trânsito ao criar serviços públicos necessários à proteção do meio ambiente por meio do controle de gases poluentes emitidos pela frota de veículos do Distrito Federal. A alegação do requerente de afronta ao disposto no art. 22, XI, da Constituição do Brasil não procede. A lei distrital apenas regula como o Distrito Federal cumprirá o dever-poder que lhe incumbe – proteção ao meio ambiente. O Distrito Federal possui competência para implementar med</w:t>
      </w:r>
    </w:p>
    <w:p>
      <w:pPr>
        <w:ind w:left="288"/>
      </w:pPr>
      <w:r>
        <w:rPr>
          <w:b/>
          <w:color w:val="003CA0"/>
          <w:sz w:val="16"/>
        </w:rPr>
        <w:t>[ADI 3.338, red. do ac. min. Eros Grau, rel. min. Joaquim Barbosa, j. 31-8-2005, P, DJ de 6-9-2007.]</w:t>
      </w:r>
    </w:p>
    <w:p>
      <w:pPr>
        <w:ind w:left="288"/>
      </w:pPr>
      <w:r>
        <w:rPr>
          <w:color w:val="8C8C8C"/>
          <w:sz w:val="12"/>
        </w:rPr>
        <w:t>cf-art-23-inc-IX</w:t>
      </w:r>
      <w:r>
        <w:rPr>
          <w:color w:val="003CA0"/>
          <w:sz w:val="12"/>
        </w:rPr>
        <w:t xml:space="preserve"> | ADI 1.842</w:t>
      </w:r>
    </w:p>
    <w:p>
      <w:pPr>
        <w:ind w:left="288"/>
      </w:pPr>
      <w:r>
        <w:rPr>
          <w:color w:val="1E1E1E"/>
          <w:sz w:val="18"/>
        </w:rPr>
        <w:t>O interesse comum inclui funções públicas e serviços que atendam a mais de um Município, assim como os que, restritos ao território de um deles, sejam de algum modo dependentes, concorrentes, confluentes ou integrados de funções públicas, bem como serviços supramunicipais. (...) O art. 23, IX, da CF conferiu competência comum à União, aos Estados e aos Municípios para promover a melhoria das condições de saneamento básico. Nada obstante a competência municipal do poder concedente do serviço público de saneamento básico, o alto custo e o monopólio natural do serviço, além da existência de vária</w:t>
      </w:r>
    </w:p>
    <w:p>
      <w:pPr>
        <w:ind w:left="288"/>
      </w:pPr>
      <w:r>
        <w:rPr>
          <w:b/>
          <w:color w:val="003CA0"/>
          <w:sz w:val="16"/>
        </w:rPr>
        <w:t>[ADI 1.842, red. do ac. min. Gilmar Mendes, j. 6-3-2013, P, DJE de 16-9-2013.]</w:t>
      </w:r>
    </w:p>
    <w:p>
      <w:pPr>
        <w:ind w:left="288"/>
      </w:pPr>
      <w:r>
        <w:rPr>
          <w:color w:val="8C8C8C"/>
          <w:sz w:val="12"/>
        </w:rPr>
        <w:t>cf-art-23-inc-X</w:t>
      </w:r>
      <w:r>
        <w:rPr>
          <w:color w:val="003CA0"/>
          <w:sz w:val="12"/>
        </w:rPr>
        <w:t xml:space="preserve"> | ADPF 279</w:t>
      </w:r>
      <w:r>
        <w:rPr>
          <w:color w:val="003CA0"/>
          <w:sz w:val="12"/>
        </w:rPr>
        <w:t xml:space="preserve"> | rel. Cármen Lúcia</w:t>
      </w:r>
    </w:p>
    <w:p>
      <w:pPr>
        <w:ind w:left="288"/>
      </w:pPr>
      <w:r>
        <w:rPr>
          <w:color w:val="1E1E1E"/>
          <w:sz w:val="18"/>
        </w:rPr>
        <w:t>Lei 735/1983 e Lei Complementar 106/1999 do município de Diadema/SP. Assistência judiciária gratuita à população carente. Competência comum dos entes federados para combater as causas da pobreza e os fatores de marginalização e para promover a integração social dos setores desfavorecidos. Inc. X do art. 23 da Constituição da República. Competência do município para serviços públicos de interesse local.</w:t>
      </w:r>
    </w:p>
    <w:p>
      <w:pPr>
        <w:ind w:left="288"/>
      </w:pPr>
      <w:r>
        <w:rPr>
          <w:b/>
          <w:color w:val="003CA0"/>
          <w:sz w:val="16"/>
        </w:rPr>
        <w:t>[ADPF 279, rel. min. Cármen Lúcia, j. 3-11-2021, P, DJE de 14-2-2022.]</w:t>
      </w:r>
    </w:p>
    <w:p>
      <w:pPr>
        <w:ind w:left="288"/>
      </w:pPr>
      <w:r>
        <w:rPr>
          <w:color w:val="8C8C8C"/>
          <w:sz w:val="12"/>
        </w:rPr>
        <w:t>cf-art-23-inc-XI</w:t>
      </w:r>
      <w:r>
        <w:rPr>
          <w:color w:val="003CA0"/>
          <w:sz w:val="12"/>
        </w:rPr>
        <w:t xml:space="preserve"> | ADI 4.606</w:t>
      </w:r>
      <w:r>
        <w:rPr>
          <w:color w:val="003CA0"/>
          <w:sz w:val="12"/>
        </w:rPr>
        <w:t xml:space="preserve"> | rel. Alexandre de Moraes</w:t>
      </w:r>
    </w:p>
    <w:p>
      <w:pPr>
        <w:ind w:left="288"/>
      </w:pPr>
      <w:r>
        <w:rPr>
          <w:color w:val="1E1E1E"/>
          <w:sz w:val="18"/>
        </w:rPr>
        <w:t>As providências enumeradas no art. 23, XI, da CF – registro, fiscalização e acompanhamento – possibilitam o controle pelos demais entes federativos das quotas-partes repassadas a título de compensação financeira pelos órgãos federais, com a possibilidade de criação de obrigações administrativas instrumentais, a serem observadas pelas concessionárias instaladas nos respectivos territórios. Os Estados, Distrito Federal e Municípios não possuem competência para definir as condições de recolhimento das compensações financeiras de sua titularidade, ou mesmo para arrecadá-las diretamente, por interm</w:t>
      </w:r>
    </w:p>
    <w:p>
      <w:pPr>
        <w:ind w:left="288"/>
      </w:pPr>
      <w:r>
        <w:rPr>
          <w:b/>
          <w:color w:val="003CA0"/>
          <w:sz w:val="16"/>
        </w:rPr>
        <w:t>[ADI 4.606, rel. min. Alexandre de Moraes, j. 28-2-2019, P, DJE de 6-5-2019.]</w:t>
      </w:r>
    </w:p>
    <w:p>
      <w:pPr>
        <w:ind w:left="288"/>
      </w:pPr>
      <w:r>
        <w:rPr>
          <w:color w:val="8C8C8C"/>
          <w:sz w:val="12"/>
        </w:rPr>
        <w:t>cf-art-23-inc-XII</w:t>
      </w:r>
      <w:r>
        <w:rPr>
          <w:color w:val="003CA0"/>
          <w:sz w:val="12"/>
        </w:rPr>
        <w:t xml:space="preserve"> | ADI 3.610</w:t>
      </w:r>
      <w:r>
        <w:rPr>
          <w:color w:val="003CA0"/>
          <w:sz w:val="12"/>
        </w:rPr>
        <w:t xml:space="preserve"> | rel. Cezar Peluso</w:t>
      </w:r>
    </w:p>
    <w:p>
      <w:pPr>
        <w:ind w:left="288"/>
      </w:pPr>
      <w:r>
        <w:rPr>
          <w:color w:val="1E1E1E"/>
          <w:sz w:val="18"/>
        </w:rPr>
        <w:t>Profissão de motoboy. Regulamentação. Inadmissibilidade. (...) Competências exclusivas da União. (...) É inconstitucional a lei distrital ou estadual que disponha sobre condições do exercício ou criação de profissão, sobretudo quando esta diga à segurança de trânsito.</w:t>
      </w:r>
    </w:p>
    <w:p>
      <w:pPr>
        <w:ind w:left="288"/>
      </w:pPr>
      <w:r>
        <w:rPr>
          <w:b/>
          <w:color w:val="003CA0"/>
          <w:sz w:val="16"/>
        </w:rPr>
        <w:t>[ADI 3.610, rel. min. Cezar Peluso, j. 1º-8-2011, P, DJE de 22-9-2011.]</w:t>
      </w:r>
    </w:p>
    <w:p>
      <w:pPr>
        <w:ind w:left="288"/>
      </w:pPr>
      <w:r>
        <w:rPr>
          <w:color w:val="8C8C8C"/>
          <w:sz w:val="12"/>
        </w:rPr>
        <w:t>cf-art-23-inc-XII</w:t>
      </w:r>
      <w:r>
        <w:rPr>
          <w:color w:val="003CA0"/>
          <w:sz w:val="12"/>
        </w:rPr>
        <w:t xml:space="preserve"> | ADI 3.679</w:t>
      </w:r>
      <w:r>
        <w:rPr>
          <w:color w:val="003CA0"/>
          <w:sz w:val="12"/>
        </w:rPr>
        <w:t xml:space="preserve"> | rel. Sepúlveda Pertence</w:t>
      </w:r>
    </w:p>
    <w:p>
      <w:pPr>
        <w:ind w:left="288"/>
      </w:pPr>
      <w:r>
        <w:rPr>
          <w:color w:val="1E1E1E"/>
          <w:sz w:val="18"/>
        </w:rPr>
        <w:t>Vide ADI 3.679, rel. min. Sepúlveda Pertence, j. 18-6-2007, P, DJ de 3-8-2007 Os arts. 1º e 2º da Lei catarinense 11.223, de 17-11-1998, que cuidam da obrigatoriedade de identificação telefônica da sede da empresa ou do proprietário nos veículos licenciados no Estado de Santa Catarina e destinados ao transporte de carga e de passageiros, a ser disponibilizada na parte traseira do veículo, por meio de adesivo ou pintura, em lugar visível, constando o código de discagem direta a distância, seguido do número do telefone, não contrariam o inciso XII do art. 5º da Constituição da República. (...) O</w:t>
      </w:r>
    </w:p>
    <w:p>
      <w:pPr>
        <w:ind w:left="288"/>
      </w:pPr>
      <w:r>
        <w:rPr>
          <w:b/>
          <w:color w:val="003CA0"/>
          <w:sz w:val="16"/>
        </w:rPr>
        <w:t>[ADI 2.407, rel. min. Cármen Lúcia, j. 31-5-2007, P, DJ de 29-6-2007.]</w:t>
      </w:r>
    </w:p>
    <w:p>
      <w:pPr>
        <w:ind w:left="288"/>
      </w:pPr>
      <w:r>
        <w:rPr>
          <w:color w:val="8C8C8C"/>
          <w:sz w:val="12"/>
        </w:rPr>
        <w:t>cf-art-23-par-unico</w:t>
      </w:r>
      <w:r>
        <w:rPr>
          <w:color w:val="003CA0"/>
          <w:sz w:val="12"/>
        </w:rPr>
        <w:t xml:space="preserve"> | ADI 4.757</w:t>
      </w:r>
      <w:r>
        <w:rPr>
          <w:color w:val="003CA0"/>
          <w:sz w:val="12"/>
        </w:rPr>
        <w:t xml:space="preserve"> | rel. Rosa Weber</w:t>
      </w:r>
    </w:p>
    <w:p>
      <w:pPr>
        <w:ind w:left="288"/>
      </w:pPr>
      <w:r>
        <w:rPr>
          <w:color w:val="1E1E1E"/>
          <w:sz w:val="18"/>
        </w:rPr>
        <w:t>A Lei Complementar nº 140/2011, em face da intricada teia normativa ambiental, aí incluídos os correlatos deveres fundamentais de tutela, logrou equacionar o sistema descentralizado de competências administrativas em matéria ambiental com os vetores da uniformidade decisória e da racionalidade, valendo-se para tanto da cooperação como superestrutura do diálogo interfederativo. Cumpre assinalar que referida legislação não trata sobre os deveres de tutela ambiental de forma genérica e ampla, como disciplina o art. 225, §1º, IV, tampouco regulamenta o agir legislativo, marcado pela repartição con</w:t>
      </w:r>
    </w:p>
    <w:p>
      <w:pPr>
        <w:ind w:left="288"/>
      </w:pPr>
      <w:r>
        <w:rPr>
          <w:b/>
          <w:color w:val="003CA0"/>
          <w:sz w:val="16"/>
        </w:rPr>
        <w:t>[ADI 2.544, rel. min. Sepúlveda Pertence, j. 28-6-2006, P, DJ de 17-11-2006.]</w:t>
      </w:r>
    </w:p>
    <w:p>
      <w:pPr>
        <w:ind w:left="720"/>
      </w:pPr>
      <w:r>
        <w:rPr>
          <w:color w:val="003366"/>
          <w:sz w:val="18"/>
        </w:rPr>
        <w:t xml:space="preserve">I – zelar pela guarda da Constituição, das leis e das instituições democráticas </w:t>
      </w:r>
    </w:p>
    <w:p>
      <w:pPr>
        <w:ind w:left="720"/>
      </w:pPr>
      <w:r>
        <w:rPr>
          <w:color w:val="003366"/>
          <w:sz w:val="18"/>
        </w:rPr>
        <w:t>II – cuidar da saúde e assistência pública, da proteção e garantia das pessoas p</w:t>
      </w:r>
    </w:p>
    <w:p>
      <w:pPr>
        <w:ind w:left="720"/>
      </w:pPr>
      <w:r>
        <w:rPr>
          <w:color w:val="003366"/>
          <w:sz w:val="18"/>
        </w:rPr>
        <w:t>III – proteger os documentos, as obras e outros bens de valor histórico, artísti</w:t>
      </w:r>
    </w:p>
    <w:p>
      <w:pPr>
        <w:ind w:left="720"/>
      </w:pPr>
      <w:r>
        <w:rPr>
          <w:color w:val="003366"/>
          <w:sz w:val="18"/>
        </w:rPr>
        <w:t xml:space="preserve">IV – impedir a evasão, a destruição e a descaracterização de obras de arte e de </w:t>
      </w:r>
    </w:p>
    <w:p>
      <w:pPr>
        <w:ind w:left="720"/>
      </w:pPr>
      <w:r>
        <w:rPr>
          <w:color w:val="003366"/>
          <w:sz w:val="18"/>
        </w:rPr>
        <w:t>V – proporcionar os meios de acesso à cultura, à educação, à ciência, à tecnolog</w:t>
      </w:r>
    </w:p>
    <w:p>
      <w:pPr>
        <w:ind w:left="720"/>
      </w:pPr>
      <w:r>
        <w:rPr>
          <w:color w:val="003366"/>
          <w:sz w:val="18"/>
        </w:rPr>
        <w:t>VI – proteger o meio ambiente e combater a poluição em qualquer de suas formas;</w:t>
      </w:r>
    </w:p>
    <w:p>
      <w:pPr>
        <w:ind w:left="720"/>
      </w:pPr>
      <w:r>
        <w:rPr>
          <w:color w:val="003366"/>
          <w:sz w:val="18"/>
        </w:rPr>
        <w:t>VII – preservar as florestas, a fauna e a flora;</w:t>
      </w:r>
    </w:p>
    <w:p>
      <w:pPr>
        <w:ind w:left="720"/>
      </w:pPr>
      <w:r>
        <w:rPr>
          <w:color w:val="003366"/>
          <w:sz w:val="18"/>
        </w:rPr>
        <w:t>VIII – fomentar a produção agropecuária e organizar o abastecimento alimentar;</w:t>
      </w:r>
    </w:p>
    <w:p>
      <w:pPr>
        <w:ind w:left="720"/>
      </w:pPr>
      <w:r>
        <w:rPr>
          <w:color w:val="003366"/>
          <w:sz w:val="18"/>
        </w:rPr>
        <w:t>IX – promover programas de construção de moradias e a melhoria das condições hab</w:t>
      </w:r>
    </w:p>
    <w:p>
      <w:pPr>
        <w:ind w:left="720"/>
      </w:pPr>
      <w:r>
        <w:rPr>
          <w:color w:val="003366"/>
          <w:sz w:val="18"/>
        </w:rPr>
        <w:t>X – combater as causas da pobreza e os fatores de marginalização, promovendo a i</w:t>
      </w:r>
    </w:p>
    <w:p>
      <w:pPr>
        <w:ind w:left="720"/>
      </w:pPr>
      <w:r>
        <w:rPr>
          <w:color w:val="003366"/>
          <w:sz w:val="18"/>
        </w:rPr>
        <w:t xml:space="preserve">XI – registrar, acompanhar e fiscalizar as concessões de direitos de pesquisa e </w:t>
      </w:r>
    </w:p>
    <w:p>
      <w:pPr>
        <w:ind w:left="720"/>
      </w:pPr>
      <w:r>
        <w:rPr>
          <w:color w:val="003366"/>
          <w:sz w:val="18"/>
        </w:rPr>
        <w:t>XII – estabelecer e implantar política de educação para a segurança do trânsito.</w:t>
      </w:r>
    </w:p>
    <w:p>
      <w:r>
        <w:rPr>
          <w:b/>
          <w:color w:val="003366"/>
          <w:sz w:val="20"/>
        </w:rPr>
        <w:t>Art. 24 Compete à União, aos Estados e ao Distrito Federal legislar concorrentem</w:t>
      </w:r>
      <w:r>
        <w:rPr>
          <w:color w:val="8C8C8C"/>
          <w:sz w:val="14"/>
        </w:rPr>
        <w:t xml:space="preserve">  [128 decisoes]</w:t>
      </w:r>
    </w:p>
    <w:p>
      <w:pPr>
        <w:ind w:left="144"/>
      </w:pPr>
      <w:r>
        <w:rPr>
          <w:b/>
          <w:color w:val="B45A00"/>
          <w:sz w:val="16"/>
        </w:rPr>
        <w:t>CONTROLE CONCENTRADO</w:t>
      </w:r>
    </w:p>
    <w:p>
      <w:pPr>
        <w:ind w:left="288"/>
      </w:pPr>
      <w:r>
        <w:rPr>
          <w:color w:val="8C8C8C"/>
          <w:sz w:val="12"/>
        </w:rPr>
        <w:t>cf-art-24</w:t>
      </w:r>
      <w:r>
        <w:rPr>
          <w:color w:val="003CA0"/>
          <w:sz w:val="12"/>
        </w:rPr>
        <w:t xml:space="preserve"> | ADI 2.435</w:t>
      </w:r>
      <w:r>
        <w:rPr>
          <w:color w:val="003CA0"/>
          <w:sz w:val="12"/>
        </w:rPr>
        <w:t xml:space="preserve"> | rel. Cármen Lúcia</w:t>
      </w:r>
    </w:p>
    <w:p>
      <w:pPr>
        <w:ind w:left="288"/>
      </w:pPr>
      <w:r>
        <w:rPr>
          <w:color w:val="1E1E1E"/>
          <w:sz w:val="18"/>
        </w:rPr>
        <w:t>A delimitação do campo de atuação legislativa dos entes federativos, em matéria de competência concorrente (art. 24, CF), requer postura interpretativa que considere: (i) a intensidade da situação fática normatizada com a estrutura básica descrita no tipo da regra de competência; (ii) valorização do fim primário a que se destina a norma, relacionado, no federalismo cooperativo, com o princípio da predominância de interesses. Na seara da competência legislativa concorrente, a norma geral assenta-se no pressuposto que a colaboração federativa depende de uma uniformização do ambiente normativo.</w:t>
      </w:r>
    </w:p>
    <w:p>
      <w:pPr>
        <w:ind w:left="288"/>
      </w:pPr>
      <w:r>
        <w:rPr>
          <w:b/>
          <w:color w:val="003CA0"/>
          <w:sz w:val="16"/>
        </w:rPr>
        <w:t>[ADI 2.435, rel. min. Cármen Lúcia, j. 21-12-2020, P, DJE de 26-3-2021.]</w:t>
      </w:r>
    </w:p>
    <w:p>
      <w:pPr>
        <w:ind w:left="144"/>
      </w:pPr>
      <w:r>
        <w:rPr>
          <w:b/>
          <w:color w:val="B45A00"/>
          <w:sz w:val="16"/>
        </w:rPr>
        <w:t>JULGADOS CORRELATOS</w:t>
      </w:r>
    </w:p>
    <w:p>
      <w:pPr>
        <w:ind w:left="288"/>
      </w:pPr>
      <w:r>
        <w:rPr>
          <w:color w:val="8C8C8C"/>
          <w:sz w:val="12"/>
        </w:rPr>
        <w:t>cf-art-24</w:t>
      </w:r>
      <w:r>
        <w:rPr>
          <w:color w:val="003CA0"/>
          <w:sz w:val="12"/>
        </w:rPr>
        <w:t xml:space="preserve"> | RE 194.704</w:t>
      </w:r>
    </w:p>
    <w:p>
      <w:pPr>
        <w:ind w:left="288"/>
      </w:pPr>
      <w:r>
        <w:rPr>
          <w:color w:val="1E1E1E"/>
          <w:sz w:val="18"/>
        </w:rPr>
        <w:t>Nos casos em que a dúvida sobre a competência legislativa recai sobre norma que abrange mais de um tema, deve o intérprete acolher interpretação que não tolha a competência que detêm os entes menores para dispor sobre determinada matéria (presumption against preemption). Porque o federalismo é um instrumento de descentralização política que visa realizar direitos fundamentais, se a lei federal ou estadual claramente indicar, de forma adequada, necessária e razoável, que os efeitos de sua aplicação excluem o poder de complementação que detêm os entes menores (clear statement rule), é possível a</w:t>
      </w:r>
    </w:p>
    <w:p>
      <w:pPr>
        <w:ind w:left="288"/>
      </w:pPr>
      <w:r>
        <w:rPr>
          <w:color w:val="8C8C8C"/>
          <w:sz w:val="12"/>
        </w:rPr>
        <w:t>cf-art-24-inc-I</w:t>
      </w:r>
      <w:r>
        <w:rPr>
          <w:color w:val="003CA0"/>
          <w:sz w:val="12"/>
        </w:rPr>
        <w:t xml:space="preserve"> | ADI 7.379</w:t>
      </w:r>
      <w:r>
        <w:rPr>
          <w:color w:val="003CA0"/>
          <w:sz w:val="12"/>
        </w:rPr>
        <w:t xml:space="preserve"> | rel. Gilmar Mendes</w:t>
      </w:r>
    </w:p>
    <w:p>
      <w:pPr>
        <w:ind w:left="288"/>
      </w:pPr>
      <w:r>
        <w:rPr>
          <w:color w:val="1E1E1E"/>
          <w:sz w:val="18"/>
        </w:rPr>
        <w:t>Trata-se de ação direta de inconstitucionalidade ajuizada pela Associação Brasileira de Provedores de Internet e Telecomunicações – ABRINT contra o artigo 1º, § 7º, da Lei Estadual nº 17.649/2018, de Santa Catarina, que condiciona a fruição de regime especial de ICMS à equivalência de preços entre serviços de comunicação multimídia (SCM) ofertados isoladamente e em conjunto com serviços de valor adicionado (SVAs). (...) A disciplina imposta pelo dispositivo impugnado insere-se na competência concorrente dos Estados para legislar sobre direito tributário (CF, art. 24, I), em consonância com o C</w:t>
      </w:r>
    </w:p>
    <w:p>
      <w:pPr>
        <w:ind w:left="288"/>
      </w:pPr>
      <w:r>
        <w:rPr>
          <w:b/>
          <w:color w:val="003CA0"/>
          <w:sz w:val="16"/>
        </w:rPr>
        <w:t>[ADI 7.379, rel. min. Gilmar Mendes, j. 22.09.2025, P, DJE de 01.10.2025.]</w:t>
      </w:r>
    </w:p>
    <w:p>
      <w:pPr>
        <w:ind w:left="288"/>
      </w:pPr>
      <w:r>
        <w:rPr>
          <w:color w:val="8C8C8C"/>
          <w:sz w:val="12"/>
        </w:rPr>
        <w:t>cf-art-24-inc-I</w:t>
      </w:r>
      <w:r>
        <w:rPr>
          <w:color w:val="003CA0"/>
          <w:sz w:val="12"/>
        </w:rPr>
        <w:t xml:space="preserve"> | ADI 4.065</w:t>
      </w:r>
      <w:r>
        <w:rPr>
          <w:color w:val="003CA0"/>
          <w:sz w:val="12"/>
        </w:rPr>
        <w:t xml:space="preserve"> | rel. Nunes Marques</w:t>
      </w:r>
    </w:p>
    <w:p>
      <w:pPr>
        <w:ind w:left="288"/>
      </w:pPr>
      <w:r>
        <w:rPr>
          <w:color w:val="1E1E1E"/>
          <w:sz w:val="18"/>
        </w:rPr>
        <w:t>O art. 131, II, da LODF limita, de forma absoluta, a concessão de incentivos fiscais nos últimos anos das legislaturas, o que implica restrição indevida à autonomia legislativa e à competência tributária do Distrito Federal. As normas de responsabilidade fiscal, inclusive as relativas à renúncia de receitas, estão previstas em legislação complementar nacional (LC n. 101/2000, LC n. 24/1975), de observância obrigatória por todos os entes federativos. A imposição de restrições para além das previstas na legislação nacional, sem fundamento em peculiaridades locais, afronta o pacto federativo e in</w:t>
      </w:r>
    </w:p>
    <w:p>
      <w:pPr>
        <w:ind w:left="288"/>
      </w:pPr>
      <w:r>
        <w:rPr>
          <w:b/>
          <w:color w:val="003CA0"/>
          <w:sz w:val="16"/>
        </w:rPr>
        <w:t>[ADI 4.065, rel. min. Nunes Marques, j. 03.06.2025, P, DJE de 10.06.2025.]</w:t>
      </w:r>
    </w:p>
    <w:p>
      <w:pPr>
        <w:ind w:left="288"/>
      </w:pPr>
      <w:r>
        <w:rPr>
          <w:color w:val="8C8C8C"/>
          <w:sz w:val="12"/>
        </w:rPr>
        <w:t>cf-art-24-inc-I</w:t>
      </w:r>
      <w:r>
        <w:rPr>
          <w:color w:val="003CA0"/>
          <w:sz w:val="12"/>
        </w:rPr>
        <w:t xml:space="preserve"> | ADI 5.361</w:t>
      </w:r>
      <w:r>
        <w:rPr>
          <w:color w:val="003CA0"/>
          <w:sz w:val="12"/>
        </w:rPr>
        <w:t xml:space="preserve"> | rel. Nunes Marques</w:t>
      </w:r>
    </w:p>
    <w:p>
      <w:pPr>
        <w:ind w:left="288"/>
      </w:pPr>
      <w:r>
        <w:rPr>
          <w:color w:val="1E1E1E"/>
          <w:sz w:val="18"/>
        </w:rPr>
        <w:t>Não há, na Lei Complementar federal n. 151/2015, a inconstitucionalidade formal atribuída aos diplomas estaduais a ela anteriores ou posteriores, por tratar-se de diploma editado pela União, que tem competência para legislar sobre direito civil e direito processual (CF, art. 22, I), bem assim para versar normas gerais em matéria de direito financeiro e de orçamento (CF, art. 24, I e II, §§ 1º a 4º). A indisponibilidade temporária do valor depositado durante a tramitação de processos, judiciais ou administrativos, decorre da natureza de depósito e não revela ofensa ao devido processo legal (CF,</w:t>
      </w:r>
    </w:p>
    <w:p>
      <w:pPr>
        <w:ind w:left="288"/>
      </w:pPr>
      <w:r>
        <w:rPr>
          <w:b/>
          <w:color w:val="003CA0"/>
          <w:sz w:val="16"/>
        </w:rPr>
        <w:t>[ADI 5.361 e ADI 5.463, rel. min. Nunes Marques, j. 21.11.2023, P, DJE de 24.01.2024.]</w:t>
      </w:r>
    </w:p>
    <w:p>
      <w:pPr>
        <w:ind w:left="288"/>
      </w:pPr>
      <w:r>
        <w:rPr>
          <w:color w:val="8C8C8C"/>
          <w:sz w:val="12"/>
        </w:rPr>
        <w:t>cf-art-24-inc-I</w:t>
      </w:r>
      <w:r>
        <w:rPr>
          <w:color w:val="003CA0"/>
          <w:sz w:val="12"/>
        </w:rPr>
        <w:t xml:space="preserve"> | ADI 7.060</w:t>
      </w:r>
      <w:r>
        <w:rPr>
          <w:color w:val="003CA0"/>
          <w:sz w:val="12"/>
        </w:rPr>
        <w:t xml:space="preserve"> | rel. Dias Toffoli</w:t>
      </w:r>
    </w:p>
    <w:p>
      <w:pPr>
        <w:ind w:left="288"/>
      </w:pPr>
      <w:r>
        <w:rPr>
          <w:color w:val="1E1E1E"/>
          <w:sz w:val="18"/>
        </w:rPr>
        <w:t>A Constituição Federal determina que é da União a competência para a edição de normas gerais de direito financeiro e orçamento (art. 24, incisos I e II), reservando aos estados e ao Distrito Federal o exercício de competência legislativa suplementar, de forma a adicionar situações específicas que somente podem ser observadas no âmbito local. Ademais, as normas gerais sobre elaboração da lei orçamentária anual, sobre gestão financeira e sobre critérios para a execução de programações de caráter obrigatório (como as emendas parlamentares impositivas) estão reservadas a lei complementar federal (</w:t>
      </w:r>
    </w:p>
    <w:p>
      <w:pPr>
        <w:ind w:left="288"/>
      </w:pPr>
      <w:r>
        <w:rPr>
          <w:b/>
          <w:color w:val="003CA0"/>
          <w:sz w:val="16"/>
        </w:rPr>
        <w:t>[ADI 5.392, rel. min. Rosa Weber, j. 16-9-2020, P, DJE de 5-10-2020.]</w:t>
      </w:r>
    </w:p>
    <w:p>
      <w:pPr>
        <w:ind w:left="288"/>
      </w:pPr>
      <w:r>
        <w:rPr>
          <w:color w:val="8C8C8C"/>
          <w:sz w:val="12"/>
        </w:rPr>
        <w:t>cf-art-24-inc-I</w:t>
      </w:r>
      <w:r>
        <w:rPr>
          <w:color w:val="003CA0"/>
          <w:sz w:val="12"/>
        </w:rPr>
        <w:t xml:space="preserve"> | ADI 2.198</w:t>
      </w:r>
      <w:r>
        <w:rPr>
          <w:color w:val="003CA0"/>
          <w:sz w:val="12"/>
        </w:rPr>
        <w:t xml:space="preserve"> | rel. Dias Toffoli</w:t>
      </w:r>
    </w:p>
    <w:p>
      <w:pPr>
        <w:ind w:left="288"/>
      </w:pPr>
      <w:r>
        <w:rPr>
          <w:color w:val="1E1E1E"/>
          <w:sz w:val="18"/>
        </w:rPr>
        <w:t>Lei federal 9.755/1998. Autorização para que o TCU crie sítio eletrônico denominado Contas Públicas para a divulgação de dados tributários e financeiros dos entes federados. (...) O sítio eletrônico gerenciado pelo TCU tem o escopo de reunir as informações tributárias e financeiras dos diversos entes da Federação em um único portal, a fim de facilitar o acesso dessas informações pelo público. Os documentos elencados no art. 1º da legislação já são de publicação obrigatória nos veículos oficiais de imprensa dos diversos entes federados. A norma não cria nenhum ônus novo aos entes federativos na</w:t>
      </w:r>
    </w:p>
    <w:p>
      <w:pPr>
        <w:ind w:left="288"/>
      </w:pPr>
      <w:r>
        <w:rPr>
          <w:b/>
          <w:color w:val="003CA0"/>
          <w:sz w:val="16"/>
        </w:rPr>
        <w:t>[ADI 2.198, rel. min. Dias Toffoli, j. 11-4-2013, P, DJE de 19-8-2013.]</w:t>
      </w:r>
    </w:p>
    <w:p>
      <w:pPr>
        <w:ind w:left="288"/>
      </w:pPr>
      <w:r>
        <w:rPr>
          <w:color w:val="8C8C8C"/>
          <w:sz w:val="12"/>
        </w:rPr>
        <w:t>cf-art-24-inc-I</w:t>
      </w:r>
      <w:r>
        <w:rPr>
          <w:color w:val="003CA0"/>
          <w:sz w:val="12"/>
        </w:rPr>
        <w:t xml:space="preserve"> | ADI 442</w:t>
      </w:r>
      <w:r>
        <w:rPr>
          <w:color w:val="003CA0"/>
          <w:sz w:val="12"/>
        </w:rPr>
        <w:t xml:space="preserve"> | rel. Eros Grau</w:t>
      </w:r>
    </w:p>
    <w:p>
      <w:pPr>
        <w:ind w:left="288"/>
      </w:pPr>
      <w:r>
        <w:rPr>
          <w:color w:val="1E1E1E"/>
          <w:sz w:val="18"/>
        </w:rPr>
        <w:t>Esta Corte, em oportunidades anteriores, firmou o entendimento de que, embora os Estados-membros sejam incompetentes para fixar índices de correção monetária superiores aos fixados pela União para o mesmo fim, podem defini-los em patamares inferiores – incentivo fiscal.</w:t>
      </w:r>
    </w:p>
    <w:p>
      <w:pPr>
        <w:ind w:left="288"/>
      </w:pPr>
      <w:r>
        <w:rPr>
          <w:b/>
          <w:color w:val="003CA0"/>
          <w:sz w:val="16"/>
        </w:rPr>
        <w:t>[ADI 442, rel. min. Eros Grau, j. 14-4-2010, P, DJE de 28-5-2010.]</w:t>
      </w:r>
    </w:p>
    <w:p>
      <w:pPr>
        <w:ind w:left="288"/>
      </w:pPr>
      <w:r>
        <w:rPr>
          <w:color w:val="8C8C8C"/>
          <w:sz w:val="12"/>
        </w:rPr>
        <w:t>cf-art-24-inc-I</w:t>
      </w:r>
      <w:r>
        <w:rPr>
          <w:color w:val="003CA0"/>
          <w:sz w:val="12"/>
        </w:rPr>
        <w:t xml:space="preserve"> | ADI 3.916</w:t>
      </w:r>
      <w:r>
        <w:rPr>
          <w:color w:val="003CA0"/>
          <w:sz w:val="12"/>
        </w:rPr>
        <w:t xml:space="preserve"> | rel. Eros Grau</w:t>
      </w:r>
    </w:p>
    <w:p>
      <w:pPr>
        <w:ind w:left="288"/>
      </w:pPr>
      <w:r>
        <w:rPr>
          <w:color w:val="1E1E1E"/>
          <w:sz w:val="18"/>
        </w:rPr>
        <w:t>A Lei distrital 3.669 cria a Carreira de Atividades Penitenciárias, nos Quadros da Administração do Distrito Federal, no âmbito da Secretaria de Justiça, Direitos Humanos e Cidadania do Distrito Federal. Não há inconstitucionalidade na criação, por lei distrital, de carreira vinculada ao Governo do Distrito Federal. O Poder Legislativo distrital foi exercido no âmbito da parcela da competência concorrente para dispor sobre direito penitenciário.</w:t>
      </w:r>
    </w:p>
    <w:p>
      <w:pPr>
        <w:ind w:left="288"/>
      </w:pPr>
      <w:r>
        <w:rPr>
          <w:b/>
          <w:color w:val="003CA0"/>
          <w:sz w:val="16"/>
        </w:rPr>
        <w:t>[ADI 3.916, rel. min. Eros Grau, j. 3-2-2010, P, DJE de 14-5-2010.]</w:t>
      </w:r>
    </w:p>
    <w:p>
      <w:pPr>
        <w:ind w:left="288"/>
      </w:pPr>
      <w:r>
        <w:rPr>
          <w:color w:val="8C8C8C"/>
          <w:sz w:val="12"/>
        </w:rPr>
        <w:t>cf-art-24-inc-I</w:t>
      </w:r>
      <w:r>
        <w:rPr>
          <w:color w:val="003CA0"/>
          <w:sz w:val="12"/>
        </w:rPr>
        <w:t xml:space="preserve"> | ADI 3.809</w:t>
      </w:r>
      <w:r>
        <w:rPr>
          <w:color w:val="003CA0"/>
          <w:sz w:val="12"/>
        </w:rPr>
        <w:t xml:space="preserve"> | rel. Eros Grau</w:t>
      </w:r>
    </w:p>
    <w:p>
      <w:pPr>
        <w:ind w:left="288"/>
      </w:pPr>
      <w:r>
        <w:rPr>
          <w:color w:val="1E1E1E"/>
          <w:sz w:val="18"/>
        </w:rPr>
        <w:t>Lei que institui incentivo fiscal para as empresas que contratarem apenados e egressos. Matéria de índole tributária e não orçamentária.</w:t>
      </w:r>
    </w:p>
    <w:p>
      <w:pPr>
        <w:ind w:left="288"/>
      </w:pPr>
      <w:r>
        <w:rPr>
          <w:b/>
          <w:color w:val="003CA0"/>
          <w:sz w:val="16"/>
        </w:rPr>
        <w:t>[ADI 3.809, rel. min. Eros Grau, j. 14-6-2007, P, DJ de 14-9-2007.]</w:t>
      </w:r>
    </w:p>
    <w:p>
      <w:pPr>
        <w:ind w:left="288"/>
      </w:pPr>
      <w:r>
        <w:rPr>
          <w:color w:val="8C8C8C"/>
          <w:sz w:val="12"/>
        </w:rPr>
        <w:t>cf-art-24-inc-I</w:t>
      </w:r>
      <w:r>
        <w:rPr>
          <w:color w:val="003CA0"/>
          <w:sz w:val="12"/>
        </w:rPr>
        <w:t xml:space="preserve"> | ADI 3.512</w:t>
      </w:r>
      <w:r>
        <w:rPr>
          <w:color w:val="003CA0"/>
          <w:sz w:val="12"/>
        </w:rPr>
        <w:t xml:space="preserve"> | rel. Eros Grau</w:t>
      </w:r>
    </w:p>
    <w:p>
      <w:pPr>
        <w:ind w:left="288"/>
      </w:pPr>
      <w:r>
        <w:rPr>
          <w:color w:val="1E1E1E"/>
          <w:sz w:val="18"/>
        </w:rPr>
        <w:t>Lei 7.737/2004 do Estado do Espírito Santo. Garantia de meia entrada aos doadores regulares de sangue. Acesso a locais públicos de cultura, esporte e lazer. Competência concorrente entre a União, Estados-membros e o Distrito Federal para legislar sobre direito econômico.</w:t>
      </w:r>
    </w:p>
    <w:p>
      <w:pPr>
        <w:ind w:left="288"/>
      </w:pPr>
      <w:r>
        <w:rPr>
          <w:b/>
          <w:color w:val="003CA0"/>
          <w:sz w:val="16"/>
        </w:rPr>
        <w:t>[ADI 3.512, rel. min. Eros Grau, j. 15-2-2006, P, DJ de 23-6-2006.]</w:t>
      </w:r>
    </w:p>
    <w:p>
      <w:pPr>
        <w:ind w:left="288"/>
      </w:pPr>
      <w:r>
        <w:rPr>
          <w:color w:val="8C8C8C"/>
          <w:sz w:val="12"/>
        </w:rPr>
        <w:t>cf-art-24-inc-I</w:t>
      </w:r>
      <w:r>
        <w:rPr>
          <w:color w:val="003CA0"/>
          <w:sz w:val="12"/>
        </w:rPr>
        <w:t xml:space="preserve"> | RE 1.346.152</w:t>
      </w:r>
      <w:r>
        <w:rPr>
          <w:color w:val="003CA0"/>
          <w:sz w:val="12"/>
        </w:rPr>
        <w:t xml:space="preserve"> | rel. Cármen Lúcia</w:t>
      </w:r>
    </w:p>
    <w:p>
      <w:pPr>
        <w:ind w:left="288"/>
      </w:pPr>
      <w:r>
        <w:rPr>
          <w:color w:val="1E1E1E"/>
          <w:sz w:val="18"/>
        </w:rPr>
        <w:t>“O Município não pode adotar índices de correção monetária e taxas de juros de mora incidentes sobre seus créditos fiscais em percentuais que superem a taxa Selic, praticada pela União para os mesmos fins”.</w:t>
      </w:r>
    </w:p>
    <w:p>
      <w:pPr>
        <w:ind w:left="288"/>
      </w:pPr>
      <w:r>
        <w:rPr>
          <w:b/>
          <w:color w:val="003CA0"/>
          <w:sz w:val="16"/>
        </w:rPr>
        <w:t>[RE 1.346.152, rel. min. Cármen Lúcia, j. 25-2-2026, P, DJE de 5-3-2026, Tema 1.217, com mérito julgado.]</w:t>
      </w:r>
    </w:p>
    <w:p>
      <w:pPr>
        <w:ind w:left="288"/>
      </w:pPr>
      <w:r>
        <w:rPr>
          <w:color w:val="8C8C8C"/>
          <w:sz w:val="12"/>
        </w:rPr>
        <w:t>cf-art-24-inc-I</w:t>
      </w:r>
      <w:r>
        <w:rPr>
          <w:color w:val="003CA0"/>
          <w:sz w:val="12"/>
        </w:rPr>
        <w:t xml:space="preserve"> | RE 590.697</w:t>
      </w:r>
      <w:r>
        <w:rPr>
          <w:color w:val="003CA0"/>
          <w:sz w:val="12"/>
        </w:rPr>
        <w:t xml:space="preserve"> | rel. Ricardo Lewandowski</w:t>
      </w:r>
    </w:p>
    <w:p>
      <w:pPr>
        <w:ind w:left="288"/>
      </w:pPr>
      <w:r>
        <w:rPr>
          <w:color w:val="1E1E1E"/>
          <w:sz w:val="18"/>
        </w:rPr>
        <w:t>A iniciativa de leis que versem sobre matéria tributária é concorrente entre o chefe do Poder Executivo e os membros do Legislativo. A circunstância de as leis que versem sobre matéria tributária poderem repercutir no orçamento do ente federado não conduz à conclusão de que sua iniciativa é privativa do chefe do Executivo.</w:t>
      </w:r>
    </w:p>
    <w:p>
      <w:pPr>
        <w:ind w:left="288"/>
      </w:pPr>
      <w:r>
        <w:rPr>
          <w:b/>
          <w:color w:val="003CA0"/>
          <w:sz w:val="16"/>
        </w:rPr>
        <w:t>[RE 590.697 ED, rel. min. Ricardo Lewandowski, j. 23-8-2011, 2ª T, DJE de 6-9-2011.]</w:t>
      </w:r>
    </w:p>
    <w:p>
      <w:pPr>
        <w:ind w:left="288"/>
      </w:pPr>
      <w:r>
        <w:rPr>
          <w:color w:val="8C8C8C"/>
          <w:sz w:val="12"/>
        </w:rPr>
        <w:t>cf-art-24-inc-I</w:t>
      </w:r>
      <w:r>
        <w:rPr>
          <w:color w:val="003CA0"/>
          <w:sz w:val="12"/>
        </w:rPr>
        <w:t xml:space="preserve"> | RE 291.188</w:t>
      </w:r>
      <w:r>
        <w:rPr>
          <w:color w:val="003CA0"/>
          <w:sz w:val="12"/>
        </w:rPr>
        <w:t xml:space="preserve"> | rel. Sepúlveda Pertence</w:t>
      </w:r>
    </w:p>
    <w:p>
      <w:pPr>
        <w:ind w:left="288"/>
      </w:pPr>
      <w:r>
        <w:rPr>
          <w:color w:val="1E1E1E"/>
          <w:sz w:val="18"/>
        </w:rPr>
        <w:t>A regra que confia privativamente à União legislar sobre "sistema monetário" (art. 22, VI) é norma especial e subtrai, portanto, o direito monetário, para esse efeito, da esfera material do direito econômico, que o art. 24, I, da Constituição da República inclui no campo da competência legislativa concorrente da União, dos Estados e do Distrito Federal.</w:t>
      </w:r>
    </w:p>
    <w:p>
      <w:pPr>
        <w:ind w:left="288"/>
      </w:pPr>
      <w:r>
        <w:rPr>
          <w:b/>
          <w:color w:val="003CA0"/>
          <w:sz w:val="16"/>
        </w:rPr>
        <w:t>[RE 291.188, rel. min. Sepúlveda Pertence, j. 8-10-2002, 1ª T, DJ de 14-11-2002.]</w:t>
      </w:r>
    </w:p>
    <w:p>
      <w:pPr>
        <w:ind w:left="288"/>
      </w:pPr>
      <w:r>
        <w:rPr>
          <w:color w:val="8C8C8C"/>
          <w:sz w:val="12"/>
        </w:rPr>
        <w:t>cf-art-24-inc-II</w:t>
      </w:r>
      <w:r>
        <w:rPr>
          <w:color w:val="003CA0"/>
          <w:sz w:val="12"/>
        </w:rPr>
        <w:t xml:space="preserve"> | ADI 5.361</w:t>
      </w:r>
      <w:r>
        <w:rPr>
          <w:color w:val="003CA0"/>
          <w:sz w:val="12"/>
        </w:rPr>
        <w:t xml:space="preserve"> | rel. Nunes Marques</w:t>
      </w:r>
    </w:p>
    <w:p>
      <w:pPr>
        <w:ind w:left="288"/>
      </w:pPr>
      <w:r>
        <w:rPr>
          <w:color w:val="1E1E1E"/>
          <w:sz w:val="18"/>
        </w:rPr>
        <w:t>Não há, na Lei Complementar federal n. 151/2015, a inconstitucionalidade formal atribuída aos diplomas estaduais a ela anteriores ou posteriores, por tratar-se de diploma editado pela União, que tem competência para legislar sobre direito civil e direito processual (CF, art. 22, I), bem assim para versar normas gerais em matéria de direito financeiro e de orçamento (CF, art. 24, I e II, §§ 1º a 4º). A indisponibilidade temporária do valor depositado durante a tramitação de processos, judiciais ou administrativos, decorre da natureza de depósito e não revela ofensa ao devido processo legal (CF,</w:t>
      </w:r>
    </w:p>
    <w:p>
      <w:pPr>
        <w:ind w:left="288"/>
      </w:pPr>
      <w:r>
        <w:rPr>
          <w:b/>
          <w:color w:val="003CA0"/>
          <w:sz w:val="16"/>
        </w:rPr>
        <w:t>[ADI 5.361 e ADI 5.463, rel. min. Nunes Marques, j. 21.11.2023, P, DJE de 24.01.2024.]</w:t>
      </w:r>
    </w:p>
    <w:p>
      <w:pPr>
        <w:ind w:left="288"/>
      </w:pPr>
      <w:r>
        <w:rPr>
          <w:color w:val="8C8C8C"/>
          <w:sz w:val="12"/>
        </w:rPr>
        <w:t>cf-art-24-inc-II</w:t>
      </w:r>
      <w:r>
        <w:rPr>
          <w:color w:val="003CA0"/>
          <w:sz w:val="12"/>
        </w:rPr>
        <w:t xml:space="preserve"> | ADI 7.060</w:t>
      </w:r>
      <w:r>
        <w:rPr>
          <w:color w:val="003CA0"/>
          <w:sz w:val="12"/>
        </w:rPr>
        <w:t xml:space="preserve"> | rel. Dias Toffoli</w:t>
      </w:r>
    </w:p>
    <w:p>
      <w:pPr>
        <w:ind w:left="288"/>
      </w:pPr>
      <w:r>
        <w:rPr>
          <w:color w:val="1E1E1E"/>
          <w:sz w:val="18"/>
        </w:rPr>
        <w:t>A Constituição Federal determina que é da União a competência para a edição de normas gerais de direito financeiro e orçamento (art. 24, incisos I e II), reservando aos estados e ao Distrito Federal o exercício de competência legislativa suplementar, de forma a adicionar situações específicas que somente podem ser observadas no âmbito local. Ademais, as normas gerais sobre elaboração da lei orçamentária anual, sobre gestão financeira e sobre critérios para a execução de programações de caráter obrigatório (como as emendas parlamentares impositivas) estão reservadas a lei complementar federal (</w:t>
      </w:r>
    </w:p>
    <w:p>
      <w:pPr>
        <w:ind w:left="288"/>
      </w:pPr>
      <w:r>
        <w:rPr>
          <w:color w:val="8C8C8C"/>
          <w:sz w:val="12"/>
        </w:rPr>
        <w:t>cf-art-24-inc-II</w:t>
      </w:r>
      <w:r>
        <w:rPr>
          <w:color w:val="003CA0"/>
          <w:sz w:val="12"/>
        </w:rPr>
        <w:t xml:space="preserve"> | RE 883.514</w:t>
      </w:r>
      <w:r>
        <w:rPr>
          <w:color w:val="003CA0"/>
          <w:sz w:val="12"/>
        </w:rPr>
        <w:t xml:space="preserve"> | rel. Roberto Barroso</w:t>
      </w:r>
    </w:p>
    <w:p>
      <w:pPr>
        <w:ind w:left="288"/>
      </w:pPr>
      <w:r>
        <w:rPr>
          <w:color w:val="1E1E1E"/>
          <w:sz w:val="18"/>
        </w:rPr>
        <w:t>A LC distrital 872/2013 é norma genérica que dispõe sobre a instituição e funcionamento de fundos no Distrito Federal e, ao estabelecer um direcionamento diverso ao saldo positivo de fundo apurado em balanço, não previsto na Lei 4.320/1964, usurpa a competência legislativa da União para tratar sobre a matéria (art. 24, II e § 1º, da Constituição).</w:t>
        <w:br/>
        <w:t>[RE 883.514 AgR, rel. min. Roberto Barroso, j. 27-10-2017, 1ª T, DJE de 14-11-2017.]</w:t>
      </w:r>
    </w:p>
    <w:p>
      <w:pPr>
        <w:ind w:left="144"/>
      </w:pPr>
      <w:r>
        <w:rPr>
          <w:b/>
          <w:color w:val="B45A00"/>
          <w:sz w:val="16"/>
        </w:rPr>
        <w:t>CONTROLE CONCENTRADO</w:t>
      </w:r>
    </w:p>
    <w:p>
      <w:pPr>
        <w:ind w:left="288"/>
      </w:pPr>
      <w:r>
        <w:rPr>
          <w:color w:val="8C8C8C"/>
          <w:sz w:val="12"/>
        </w:rPr>
        <w:t>cf-art-24-inc-III</w:t>
      </w:r>
      <w:r>
        <w:rPr>
          <w:color w:val="003CA0"/>
          <w:sz w:val="12"/>
        </w:rPr>
        <w:t xml:space="preserve"> | ADI 804</w:t>
      </w:r>
      <w:r>
        <w:rPr>
          <w:color w:val="003CA0"/>
          <w:sz w:val="12"/>
        </w:rPr>
        <w:t xml:space="preserve"> | rel. Sepúlveda Pertence</w:t>
      </w:r>
    </w:p>
    <w:p>
      <w:pPr>
        <w:ind w:left="288"/>
      </w:pPr>
      <w:r>
        <w:rPr>
          <w:color w:val="1E1E1E"/>
          <w:sz w:val="18"/>
        </w:rPr>
        <w:t>Juntas comerciais: natureza própria ou delegada da competência dos Estados e do Distrito Federal para criar, organizar e manter juntas comerciais: jurisprudência anterior e inovação da CF/1988 na disciplina da competência concorrente. Distrito Federal: competência constitucional: alteração.</w:t>
      </w:r>
    </w:p>
    <w:p>
      <w:pPr>
        <w:ind w:left="288"/>
      </w:pPr>
      <w:r>
        <w:rPr>
          <w:b/>
          <w:color w:val="003CA0"/>
          <w:sz w:val="16"/>
        </w:rPr>
        <w:t>[ADI 804 MC, rel. min. Sepúlveda Pertence, j. 27-11-1992, P, DJ de 5-2-1993.]</w:t>
      </w:r>
    </w:p>
    <w:p>
      <w:pPr>
        <w:ind w:left="288"/>
      </w:pPr>
      <w:r>
        <w:rPr>
          <w:color w:val="8C8C8C"/>
          <w:sz w:val="12"/>
        </w:rPr>
        <w:t>cf-art-24-inc-IV</w:t>
      </w:r>
      <w:r>
        <w:rPr>
          <w:color w:val="003CA0"/>
          <w:sz w:val="12"/>
        </w:rPr>
        <w:t xml:space="preserve"> | ADI 1.624</w:t>
      </w:r>
      <w:r>
        <w:rPr>
          <w:color w:val="003CA0"/>
          <w:sz w:val="12"/>
        </w:rPr>
        <w:t xml:space="preserve"> | rel. Carlos Velloso</w:t>
      </w:r>
    </w:p>
    <w:p>
      <w:pPr>
        <w:ind w:left="288"/>
      </w:pPr>
      <w:r>
        <w:rPr>
          <w:color w:val="1E1E1E"/>
          <w:sz w:val="18"/>
        </w:rPr>
        <w:t>Custas e emolumentos são espécies tributárias, classificando-se como taxas. (...) À União, ao Estado-membro e ao Distrito Federal é conferida competência para legislar concorrentemente sobre custas dos serviços forenses, restringindo-se a competência da União, no âmbito dessa legislação concorrente, ao estabelecimento de normas gerais, certo que, inexistindo tais normas gerais, os Estados exercerão a competência legislativa plena, para atender a suas peculiaridades (CF, art. 24, IV, §§ 1º e 3º).</w:t>
      </w:r>
    </w:p>
    <w:p>
      <w:pPr>
        <w:ind w:left="288"/>
      </w:pPr>
      <w:r>
        <w:rPr>
          <w:b/>
          <w:color w:val="003CA0"/>
          <w:sz w:val="16"/>
        </w:rPr>
        <w:t>[ADI 1.624, rel. min. Carlos Velloso, j. 8-5-2003, P, DJ de 13-6-2003.]</w:t>
      </w:r>
    </w:p>
    <w:p>
      <w:pPr>
        <w:ind w:left="288"/>
      </w:pPr>
      <w:r>
        <w:rPr>
          <w:color w:val="8C8C8C"/>
          <w:sz w:val="12"/>
        </w:rPr>
        <w:t>cf-art-24-inc-IV</w:t>
      </w:r>
      <w:r>
        <w:rPr>
          <w:color w:val="003CA0"/>
          <w:sz w:val="12"/>
        </w:rPr>
        <w:t xml:space="preserve"> | ADI 3.260</w:t>
      </w:r>
      <w:r>
        <w:rPr>
          <w:color w:val="003CA0"/>
          <w:sz w:val="12"/>
        </w:rPr>
        <w:t xml:space="preserve"> | rel. Eros Grau</w:t>
      </w:r>
    </w:p>
    <w:p>
      <w:pPr>
        <w:ind w:left="288"/>
      </w:pPr>
      <w:r>
        <w:rPr>
          <w:color w:val="1E1E1E"/>
          <w:sz w:val="18"/>
        </w:rPr>
        <w:t>= ADI 3.260, rel. min. Eros Grau, j. 29-3-2007, P, DJ de 29-6-2007</w:t>
      </w:r>
    </w:p>
    <w:p>
      <w:pPr>
        <w:ind w:left="144"/>
      </w:pPr>
      <w:r>
        <w:rPr>
          <w:b/>
          <w:color w:val="B45A00"/>
          <w:sz w:val="16"/>
        </w:rPr>
        <w:t>REPERCUSSAO GERAL</w:t>
      </w:r>
    </w:p>
    <w:p>
      <w:pPr>
        <w:ind w:left="288"/>
      </w:pPr>
      <w:r>
        <w:rPr>
          <w:color w:val="8C8C8C"/>
          <w:sz w:val="12"/>
        </w:rPr>
        <w:t>cf-art-24-inc-V</w:t>
      </w:r>
      <w:r>
        <w:rPr>
          <w:color w:val="003CA0"/>
          <w:sz w:val="12"/>
        </w:rPr>
        <w:t xml:space="preserve"> | RE 833.291</w:t>
      </w:r>
      <w:r>
        <w:rPr>
          <w:color w:val="003CA0"/>
          <w:sz w:val="12"/>
        </w:rPr>
        <w:t xml:space="preserve"> | rel. Dias Toffoli</w:t>
      </w:r>
    </w:p>
    <w:p>
      <w:pPr>
        <w:ind w:left="288"/>
      </w:pPr>
      <w:r>
        <w:rPr>
          <w:color w:val="1E1E1E"/>
          <w:sz w:val="18"/>
        </w:rPr>
        <w:t>É inconstitucional lei municipal que estabeleça a obrigação da implantação, nos shopping centers, de ambulatório médico ou serviço de pronto-socorro equipado para o atendimento de emergência.</w:t>
        <w:br/>
        <w:t>[RE 833.291, rel. min. Dias Toffoli, j. 4-12-2023, P, DJE de 8-1-2024, Tema 1.051, com mérito julgado.] A Lei federal 8.987/1995, ao estabelecer normas gerais sobre o regime de concessão e permissão da prestação de serviços públicos previsto no art. 175 da Constituição Federal, dispondo em seu art. 16 acerca da possibilidade de outorga de concessão ou permissão no caso de inviabilidade técnica ou econômic</w:t>
      </w:r>
    </w:p>
    <w:p>
      <w:pPr>
        <w:ind w:left="288"/>
      </w:pPr>
      <w:r>
        <w:rPr>
          <w:b/>
          <w:color w:val="003CA0"/>
          <w:sz w:val="16"/>
        </w:rPr>
        <w:t>[ADI 4.763, rel. min. Edson Fachin, j. 06.10.2025, P, DJE de 24.11.2025.]</w:t>
      </w:r>
    </w:p>
    <w:p>
      <w:pPr>
        <w:ind w:left="288"/>
      </w:pPr>
      <w:r>
        <w:rPr>
          <w:color w:val="8C8C8C"/>
          <w:sz w:val="12"/>
        </w:rPr>
        <w:t>cf-art-24-inc-V</w:t>
      </w:r>
      <w:r>
        <w:rPr>
          <w:color w:val="003CA0"/>
          <w:sz w:val="12"/>
        </w:rPr>
        <w:t xml:space="preserve"> | ADI 7.428</w:t>
      </w:r>
      <w:r>
        <w:rPr>
          <w:color w:val="003CA0"/>
          <w:sz w:val="12"/>
        </w:rPr>
        <w:t xml:space="preserve"> | rel. André Mendonça</w:t>
      </w:r>
    </w:p>
    <w:p>
      <w:pPr>
        <w:ind w:left="288"/>
      </w:pPr>
      <w:r>
        <w:rPr>
          <w:color w:val="1E1E1E"/>
          <w:sz w:val="18"/>
        </w:rPr>
        <w:t>A Lei estadual nº 5.980, de 2022, do Estado de Mato Grosso do Sul criou duas obrigações a serem observadas pelas operadoras de planos de saúde, que possuem naturezas jurídicas distintas. (...) A segunda obrigação elencada no ato normativo impugnado - que consta do art. 2º da lei sul-mato-grossense - impõe às operadoras um dever de informação aos seus consumidores, para o gozo de determinado direito. No caso, exige-se que a operadora de plano de saúde comunique por escrito o titular do plano de saúde a necessidade de observância do prazo contido no art. 12, inciso III, alínea "b", da Lei nº 9.6</w:t>
      </w:r>
    </w:p>
    <w:p>
      <w:pPr>
        <w:ind w:left="288"/>
      </w:pPr>
      <w:r>
        <w:rPr>
          <w:b/>
          <w:color w:val="003CA0"/>
          <w:sz w:val="16"/>
        </w:rPr>
        <w:t>[ADI 7.428, rel. min. André Mendonça, j. 01.09.2025, P, DJE de 11.09.2025.]</w:t>
      </w:r>
    </w:p>
    <w:p>
      <w:pPr>
        <w:ind w:left="144"/>
      </w:pPr>
      <w:r>
        <w:rPr>
          <w:b/>
          <w:color w:val="B45A00"/>
          <w:sz w:val="16"/>
        </w:rPr>
        <w:t>CONTROLE CONCENTRADO</w:t>
      </w:r>
    </w:p>
    <w:p>
      <w:pPr>
        <w:ind w:left="288"/>
      </w:pPr>
      <w:r>
        <w:rPr>
          <w:color w:val="8C8C8C"/>
          <w:sz w:val="12"/>
        </w:rPr>
        <w:t>cf-art-24-inc-V</w:t>
      </w:r>
      <w:r>
        <w:rPr>
          <w:color w:val="003CA0"/>
          <w:sz w:val="12"/>
        </w:rPr>
        <w:t xml:space="preserve"> | ADI 3.526</w:t>
      </w:r>
      <w:r>
        <w:rPr>
          <w:color w:val="003CA0"/>
          <w:sz w:val="12"/>
        </w:rPr>
        <w:t xml:space="preserve"> | rel. Nunes Marques</w:t>
      </w:r>
    </w:p>
    <w:p>
      <w:pPr>
        <w:ind w:left="288"/>
      </w:pPr>
      <w:r>
        <w:rPr>
          <w:color w:val="1E1E1E"/>
          <w:sz w:val="18"/>
        </w:rPr>
        <w:t xml:space="preserve">(...) a questão que se coloca, na perspectiva formal, consiste em definir se a lei impugnada, ao centralizar em órgão federal – Comissão Técnica Nacional de Biossegurança – a fiscalização e normatização do desenvolvimento e uso de organismos geneticamente modificados, contrariou o esquema constitucional de competências legislativas concorrentes (art. 24 da Constituição Federal). As normas de segurança e mecanismos de fiscalização de atividades relativas a organismos geneticamente modificados impõem tratamento linear no território nacional. Ou seja, há inequívoca preponderância do interesse da </w:t>
      </w:r>
    </w:p>
    <w:p>
      <w:pPr>
        <w:ind w:left="288"/>
      </w:pPr>
      <w:r>
        <w:rPr>
          <w:b/>
          <w:color w:val="003CA0"/>
          <w:sz w:val="16"/>
        </w:rPr>
        <w:t>[ADI 5.112, rel. min. Edson Fachin, j. 17-8-2021, P, DJE de 10-9-2021.]</w:t>
      </w:r>
    </w:p>
    <w:p>
      <w:pPr>
        <w:ind w:left="288"/>
      </w:pPr>
      <w:r>
        <w:rPr>
          <w:color w:val="8C8C8C"/>
          <w:sz w:val="12"/>
        </w:rPr>
        <w:t>cf-art-24-inc-V</w:t>
      </w:r>
      <w:r>
        <w:rPr>
          <w:color w:val="003CA0"/>
          <w:sz w:val="12"/>
        </w:rPr>
        <w:t xml:space="preserve"> | ADI 6.727</w:t>
      </w:r>
      <w:r>
        <w:rPr>
          <w:color w:val="003CA0"/>
          <w:sz w:val="12"/>
        </w:rPr>
        <w:t xml:space="preserve"> | rel. Cármen Lúcia</w:t>
      </w:r>
    </w:p>
    <w:p>
      <w:pPr>
        <w:ind w:left="288"/>
      </w:pPr>
      <w:r>
        <w:rPr>
          <w:color w:val="1E1E1E"/>
          <w:sz w:val="18"/>
        </w:rPr>
        <w:t>Proibição da Lei paranaense 20.276/2020 a instituições financeiras, correspondentes bancários e sociedades de arrendamento mercantil realizarem telemarketing, oferta comercial, proposta, publicidade ou qualquer tipo de atividade tendente a convencer aposentados e pensionistas a celebrarem contratos de empréstimos resulta do legítimo exercício da competência concorrente do ente federado em matéria de defesa do consumidor, suplementando-se os princípios e as normas do Código de Defesa do Consumidor e reforçando-se a proteção de grupo em situação de especial vulnerabilidade econômica e social.</w:t>
      </w:r>
    </w:p>
    <w:p>
      <w:pPr>
        <w:ind w:left="288"/>
      </w:pPr>
      <w:r>
        <w:rPr>
          <w:b/>
          <w:color w:val="003CA0"/>
          <w:sz w:val="16"/>
        </w:rPr>
        <w:t>[ADI 6.727, rel. min. Cármen Lúcia, j. 12-5-2021, P, DJE de 20-5-2021.]</w:t>
      </w:r>
    </w:p>
    <w:p>
      <w:pPr>
        <w:ind w:left="288"/>
      </w:pPr>
      <w:r>
        <w:rPr>
          <w:color w:val="8C8C8C"/>
          <w:sz w:val="12"/>
        </w:rPr>
        <w:t>cf-art-24-inc-V</w:t>
      </w:r>
      <w:r>
        <w:rPr>
          <w:color w:val="003CA0"/>
          <w:sz w:val="12"/>
        </w:rPr>
        <w:t xml:space="preserve"> | ADI 6.432</w:t>
      </w:r>
      <w:r>
        <w:rPr>
          <w:color w:val="003CA0"/>
          <w:sz w:val="12"/>
        </w:rPr>
        <w:t xml:space="preserve"> | rel. Cármen Lúcia</w:t>
      </w:r>
    </w:p>
    <w:p>
      <w:pPr>
        <w:ind w:left="288"/>
      </w:pPr>
      <w:r>
        <w:rPr>
          <w:color w:val="1E1E1E"/>
          <w:sz w:val="18"/>
        </w:rPr>
        <w:t>São constitucionais as normas estaduais que veiculam proibição de suspensão do fornecimento do serviço de energia elétrica, o modo de cobrança e pagamentos dos débitos e exigibilidade de multa e juros moratórios, limitadas ao tempo da vigência do plano de contingência, em decorrência da pandemia de Covid-19, por versarem, essencialmente, sobre defesa e proteção dos direitos do consumidor e da saúde pública. (...) É concorrente a competência da União, dos Estados e do Distrito Federal para legislar sobre consumo e proteção à saúde pública, nos termos dos incs. V e XII do art. 24 da Constituição</w:t>
      </w:r>
    </w:p>
    <w:p>
      <w:pPr>
        <w:ind w:left="288"/>
      </w:pPr>
      <w:r>
        <w:rPr>
          <w:b/>
          <w:color w:val="003CA0"/>
          <w:sz w:val="16"/>
        </w:rPr>
        <w:t>[ADI 6.432, rel. min. Cármen Lúcia, j. 8-4-2021, P, DJE de 14-5-2021.]</w:t>
      </w:r>
    </w:p>
    <w:p>
      <w:pPr>
        <w:ind w:left="288"/>
      </w:pPr>
      <w:r>
        <w:rPr>
          <w:color w:val="8C8C8C"/>
          <w:sz w:val="12"/>
        </w:rPr>
        <w:t>cf-art-24-inc-V</w:t>
      </w:r>
      <w:r>
        <w:rPr>
          <w:color w:val="003CA0"/>
          <w:sz w:val="12"/>
        </w:rPr>
        <w:t xml:space="preserve"> | ADI 5.724</w:t>
      </w:r>
      <w:r>
        <w:rPr>
          <w:color w:val="003CA0"/>
          <w:sz w:val="12"/>
        </w:rPr>
        <w:t xml:space="preserve"> | rel. Luís Roberto Barroso</w:t>
      </w:r>
    </w:p>
    <w:p>
      <w:pPr>
        <w:ind w:left="288"/>
      </w:pPr>
      <w:r>
        <w:rPr>
          <w:color w:val="1E1E1E"/>
          <w:sz w:val="18"/>
        </w:rPr>
        <w:t xml:space="preserve">A Lei 6.886/2016 do Estado do Piauí, ao obrigar que as operadoras de telefonia móvel e fixa disponibilizem, na internet, o extrato detalhado de conta das chamadas telefônicas e serviços utilizados pelos usuários de planos pré-pagos, não tratou diretamente de legislar sobre telecomunicações, mas sim de direito do consumidor. Isso porque o fato de disponibilizar o extrato da conta de plano pré-pago detalhado na internet não diz respeito à matéria específica de contrato de telecomunicação, tendo em vista que tal serviço não se enquadra em nenhuma atividade de telecomunicações definida pelas Leis </w:t>
      </w:r>
    </w:p>
    <w:p>
      <w:pPr>
        <w:ind w:left="288"/>
      </w:pPr>
      <w:r>
        <w:rPr>
          <w:b/>
          <w:color w:val="003CA0"/>
          <w:sz w:val="16"/>
        </w:rPr>
        <w:t>[ADI 5.724 , rel. min. Luís Roberto Barroso, red. do ac. min. Alexandre de Moraes, j. 27-11-2020, P, DJE de 29-3-2021.]</w:t>
      </w:r>
    </w:p>
    <w:p>
      <w:pPr>
        <w:ind w:left="288"/>
      </w:pPr>
      <w:r>
        <w:rPr>
          <w:color w:val="8C8C8C"/>
          <w:sz w:val="12"/>
        </w:rPr>
        <w:t>cf-art-24-inc-V</w:t>
      </w:r>
      <w:r>
        <w:rPr>
          <w:color w:val="003CA0"/>
          <w:sz w:val="12"/>
        </w:rPr>
        <w:t xml:space="preserve"> | ADI 3.155</w:t>
      </w:r>
      <w:r>
        <w:rPr>
          <w:color w:val="003CA0"/>
          <w:sz w:val="12"/>
        </w:rPr>
        <w:t xml:space="preserve"> | rel. Marco Aurélio</w:t>
      </w:r>
    </w:p>
    <w:p>
      <w:pPr>
        <w:ind w:left="288"/>
      </w:pPr>
      <w:r>
        <w:rPr>
          <w:color w:val="1E1E1E"/>
          <w:sz w:val="18"/>
        </w:rPr>
        <w:t>Consumidor. Proteção (...). Ausente intervenção direta no núcleo de atuação das instituições voltadas ao exercício de atividades de natureza mercantil ou financeira, surge constitucional norma estadual a impor, em caráter obrigatório, a instalação de itens de segurança em caixas eletrônicos, reduzindo riscos à integridade dos usuários dos serviços bancários (...).</w:t>
      </w:r>
    </w:p>
    <w:p>
      <w:pPr>
        <w:ind w:left="288"/>
      </w:pPr>
      <w:r>
        <w:rPr>
          <w:b/>
          <w:color w:val="003CA0"/>
          <w:sz w:val="16"/>
        </w:rPr>
        <w:t>[ADI 3.155, rel. min. Marco Aurélio, j. 16-9-2020, P, DJE de 5-10-2020.]</w:t>
      </w:r>
    </w:p>
    <w:p>
      <w:pPr>
        <w:ind w:left="288"/>
      </w:pPr>
      <w:r>
        <w:rPr>
          <w:color w:val="8C8C8C"/>
          <w:sz w:val="12"/>
        </w:rPr>
        <w:t>cf-art-24-inc-V</w:t>
      </w:r>
      <w:r>
        <w:rPr>
          <w:color w:val="003CA0"/>
          <w:sz w:val="12"/>
        </w:rPr>
        <w:t xml:space="preserve"> | ADI 6.193</w:t>
      </w:r>
      <w:r>
        <w:rPr>
          <w:color w:val="003CA0"/>
          <w:sz w:val="12"/>
        </w:rPr>
        <w:t xml:space="preserve"> | rel. Alexandre de Moraes</w:t>
      </w:r>
    </w:p>
    <w:p>
      <w:pPr>
        <w:ind w:left="288"/>
      </w:pPr>
      <w:r>
        <w:rPr>
          <w:color w:val="1E1E1E"/>
          <w:sz w:val="18"/>
        </w:rPr>
        <w:t>Competência concorrente para a matéria (CF, art. 24). O inciso II do art. 13-A da Lei Federal 10.671/2003 estabelece condições gerais de acesso e permanência do torcedor em recintos esportivos, entre as quais a de não portar bebidas proibidas ou suscetíveis de gerar ou possibilitar a prática de atos de violência, não particularizando, entretanto, quais seriam essas bebidas. Inexistência de vedação geral e absoluta. Possibilidade de o legislador estadual, no exercício de sua competência concorrente complementar, e observadas as especificidades locais, regulamentar a matéria. Respeito à razoabil</w:t>
      </w:r>
    </w:p>
    <w:p>
      <w:pPr>
        <w:ind w:left="288"/>
      </w:pPr>
      <w:r>
        <w:rPr>
          <w:b/>
          <w:color w:val="003CA0"/>
          <w:sz w:val="16"/>
        </w:rPr>
        <w:t>[ADI 6.193, rel. min. Alexandre de Moraes, j. 6-3-2020, P, DJE de 2-4-2020.]</w:t>
      </w:r>
    </w:p>
    <w:p>
      <w:pPr>
        <w:ind w:left="288"/>
      </w:pPr>
      <w:r>
        <w:rPr>
          <w:color w:val="8C8C8C"/>
          <w:sz w:val="12"/>
        </w:rPr>
        <w:t>cf-art-24-inc-V</w:t>
      </w:r>
      <w:r>
        <w:rPr>
          <w:color w:val="003CA0"/>
          <w:sz w:val="12"/>
        </w:rPr>
        <w:t xml:space="preserve"> | ADI 5.568</w:t>
      </w:r>
      <w:r>
        <w:rPr>
          <w:color w:val="003CA0"/>
          <w:sz w:val="12"/>
        </w:rPr>
        <w:t xml:space="preserve"> | rel. Roberto Barroso</w:t>
      </w:r>
    </w:p>
    <w:p>
      <w:pPr>
        <w:ind w:left="288"/>
      </w:pPr>
      <w:r>
        <w:rPr>
          <w:color w:val="1E1E1E"/>
          <w:sz w:val="18"/>
        </w:rPr>
        <w:t>Tratando-se de norma de natureza de direito do consumidor do serviço de telecomunicações e havendo conflito entre a disciplina federal e a estadual, deve aquela prevalecer. A norma federal, nestes casos, serve à homogeneidade regulatória, afastando a competência dos Estados. A ANATEL, entidade reguladora do setor, no exercício de sua competência normativa prevista nos arts. 19 e 22 da Lei 9.472/97, editou a Resolução 632/2014, que trata do Regulamento Geral de Direitos do Consumidor de Serviços de Telecomunicações. Segundo o art. 51 do RDC, o fornecimento do contrato pode ser por meio eletrôni</w:t>
      </w:r>
    </w:p>
    <w:p>
      <w:pPr>
        <w:ind w:left="288"/>
      </w:pPr>
      <w:r>
        <w:rPr>
          <w:b/>
          <w:color w:val="003CA0"/>
          <w:sz w:val="16"/>
        </w:rPr>
        <w:t>[ADI 3.874, rel. min. Roberto Barroso, j. 23-8-2019, P, DJE de 9-9-2019.]</w:t>
      </w:r>
    </w:p>
    <w:p>
      <w:pPr>
        <w:ind w:left="288"/>
      </w:pPr>
      <w:r>
        <w:rPr>
          <w:color w:val="8C8C8C"/>
          <w:sz w:val="12"/>
        </w:rPr>
        <w:t>cf-art-24-inc-V</w:t>
      </w:r>
      <w:r>
        <w:rPr>
          <w:color w:val="003CA0"/>
          <w:sz w:val="12"/>
        </w:rPr>
        <w:t xml:space="preserve"> | ADI 5.572</w:t>
      </w:r>
      <w:r>
        <w:rPr>
          <w:color w:val="003CA0"/>
          <w:sz w:val="12"/>
        </w:rPr>
        <w:t xml:space="preserve"> | rel. Alexandre de Moraes</w:t>
      </w:r>
    </w:p>
    <w:p>
      <w:pPr>
        <w:ind w:left="288"/>
      </w:pPr>
      <w:r>
        <w:rPr>
          <w:color w:val="1E1E1E"/>
          <w:sz w:val="18"/>
        </w:rPr>
        <w:t>Lei Estadual 18.752/2016 do Estado do Paraná. (...) ao obrigar que fornecedores de serviço de internet demonstrem para os consumidores a verdadeira correspondência entre os serviços contratados e os efetivamente prestados, não tratou diretamente de legislar sobre telecomunicações, mas sim de direito do consumidor. Isso porque o fato de trazer a representação da velocidade de internet, por meio de gráficos, não diz respeito à matéria específica de contratos de telecomunicações, tendo em vista que tal serviço não se enquadra em nenhuma atividade de telecomunicações definida pelas Leis 4.117/1962</w:t>
      </w:r>
    </w:p>
    <w:p>
      <w:pPr>
        <w:ind w:left="288"/>
      </w:pPr>
      <w:r>
        <w:rPr>
          <w:b/>
          <w:color w:val="003CA0"/>
          <w:sz w:val="16"/>
        </w:rPr>
        <w:t>[ADI 5.833, rel. min. Alexandre de Moraes, j. 23-8-2019, P, DJE de 9-9-2019.]</w:t>
      </w:r>
    </w:p>
    <w:p>
      <w:pPr>
        <w:ind w:left="288"/>
      </w:pPr>
      <w:r>
        <w:rPr>
          <w:color w:val="8C8C8C"/>
          <w:sz w:val="12"/>
        </w:rPr>
        <w:t>cf-art-24-inc-V</w:t>
      </w:r>
      <w:r>
        <w:rPr>
          <w:color w:val="003CA0"/>
          <w:sz w:val="12"/>
        </w:rPr>
        <w:t xml:space="preserve"> | ADI 4.908</w:t>
      </w:r>
      <w:r>
        <w:rPr>
          <w:color w:val="003CA0"/>
          <w:sz w:val="12"/>
        </w:rPr>
        <w:t xml:space="preserve"> | rel. Rosa Weber</w:t>
      </w:r>
    </w:p>
    <w:p>
      <w:pPr>
        <w:ind w:left="288"/>
      </w:pPr>
      <w:r>
        <w:rPr>
          <w:color w:val="1E1E1E"/>
          <w:sz w:val="18"/>
        </w:rPr>
        <w:t>O instrumento pelo qual a prestadora de serviços de telefonia oferece benefícios a seus usuários, exigindo, em contrapartida, que permaneçam a ela vinculados por um prazo mínimo, não se confunde com o termo de adesão do usuário a plano de serviço de telecomunicações, tampouco o integra, consubstanciando típica relação de consumo. Ao impor o cancelamento da multa contratual de fidelidade quando o usuário de serviços de telefonia celular ou fixa comprovar que perdeu o vínculo empregatício após a adesão ao contrato, a Lei 6.295/2012 do Estado do Rio de Janeiro disciplina relação jurídica tipicame</w:t>
      </w:r>
    </w:p>
    <w:p>
      <w:pPr>
        <w:ind w:left="288"/>
      </w:pPr>
      <w:r>
        <w:rPr>
          <w:b/>
          <w:color w:val="003CA0"/>
          <w:sz w:val="16"/>
        </w:rPr>
        <w:t>[ADI 4.908, rel. min. Rosa Weber, j. 11-4-2019, P, DJE de 6-5-2019.]</w:t>
      </w:r>
    </w:p>
    <w:p>
      <w:pPr>
        <w:ind w:left="288"/>
      </w:pPr>
      <w:r>
        <w:rPr>
          <w:color w:val="8C8C8C"/>
          <w:sz w:val="12"/>
        </w:rPr>
        <w:t>cf-art-24-inc-V</w:t>
      </w:r>
      <w:r>
        <w:rPr>
          <w:color w:val="003CA0"/>
          <w:sz w:val="12"/>
        </w:rPr>
        <w:t xml:space="preserve"> | ADI 5.745</w:t>
      </w:r>
    </w:p>
    <w:p>
      <w:pPr>
        <w:ind w:left="288"/>
      </w:pPr>
      <w:r>
        <w:rPr>
          <w:color w:val="1E1E1E"/>
          <w:sz w:val="18"/>
        </w:rPr>
        <w:t>Legislação que impõe obrigação de informar o consumidor acerca da identidade de funcionários que prestarão serviços de telecomunicações e internet, em sua residência ou sede, constitui norma reguladora de obrigações e responsabilidades referentes a relação de consumo, inserindo-se na competência concorrente do artigo 24, V e VIII, da Constituição da República.</w:t>
        <w:br/>
        <w:t>[ADI 5.745, red. do ac. min. Edson Fachin, j. 7-2-2019, P, DJE de 19-2-2019.] Atendidos os parâmetros alusivos à razoabilidade, surge constitucional norma estadual a versar proibição de as empresas concessionárias de serviços públicos su</w:t>
      </w:r>
    </w:p>
    <w:p>
      <w:pPr>
        <w:ind w:left="288"/>
      </w:pPr>
      <w:r>
        <w:rPr>
          <w:b/>
          <w:color w:val="003CA0"/>
          <w:sz w:val="16"/>
        </w:rPr>
        <w:t>[ADI 5.961, red. do ac. min. Marco Aurélio, j. 19-12-2018, P, DJE de 26-6-2019.]</w:t>
      </w:r>
    </w:p>
    <w:p>
      <w:pPr>
        <w:ind w:left="288"/>
      </w:pPr>
      <w:r>
        <w:rPr>
          <w:color w:val="8C8C8C"/>
          <w:sz w:val="12"/>
        </w:rPr>
        <w:t>cf-art-24-inc-V</w:t>
      </w:r>
      <w:r>
        <w:rPr>
          <w:color w:val="003CA0"/>
          <w:sz w:val="12"/>
        </w:rPr>
        <w:t xml:space="preserve"> | ADI 5.158</w:t>
      </w:r>
      <w:r>
        <w:rPr>
          <w:color w:val="003CA0"/>
          <w:sz w:val="12"/>
        </w:rPr>
        <w:t xml:space="preserve"> | rel. Roberto Barroso</w:t>
      </w:r>
    </w:p>
    <w:p>
      <w:pPr>
        <w:ind w:left="288"/>
      </w:pPr>
      <w:r>
        <w:rPr>
          <w:color w:val="1E1E1E"/>
          <w:sz w:val="18"/>
        </w:rPr>
        <w:t>É inconstitucional, por extrapolação de competência concorrente para legislar sobre matérias de consumo, lei estadual que impõe às montadoras, concessionárias e importadoras de veículos a obrigação de fornecer veículo reserva a clientes cujo automóvel fique inabilitado por mais de 15 dias por falta de peças originais ou por impossibilidade de realização do serviço, durante o período de garantia contratual. Da interpretação sistemática dos arts. 1º, IV, 5º, 24, V e VIII, 170, IV e 174, todos da Constituição Federal, extraem-se balizas impostas ao legislador estadual, quando da elaboração de nor</w:t>
      </w:r>
    </w:p>
    <w:p>
      <w:pPr>
        <w:ind w:left="288"/>
      </w:pPr>
      <w:r>
        <w:rPr>
          <w:b/>
          <w:color w:val="003CA0"/>
          <w:sz w:val="16"/>
        </w:rPr>
        <w:t>[ADI 5.158, rel. min. Roberto Barroso, j. 6-12-2018, P, DJE de 20-2-2019.]</w:t>
      </w:r>
    </w:p>
    <w:p>
      <w:pPr>
        <w:ind w:left="288"/>
      </w:pPr>
      <w:r>
        <w:rPr>
          <w:color w:val="8C8C8C"/>
          <w:sz w:val="12"/>
        </w:rPr>
        <w:t>cf-art-24-inc-V</w:t>
      </w:r>
      <w:r>
        <w:rPr>
          <w:color w:val="003CA0"/>
          <w:sz w:val="12"/>
        </w:rPr>
        <w:t xml:space="preserve"> | ADI 4.633</w:t>
      </w:r>
      <w:r>
        <w:rPr>
          <w:color w:val="003CA0"/>
          <w:sz w:val="12"/>
        </w:rPr>
        <w:t xml:space="preserve"> | rel. Luiz Fux</w:t>
      </w:r>
    </w:p>
    <w:p>
      <w:pPr>
        <w:ind w:left="288"/>
      </w:pPr>
      <w:r>
        <w:rPr>
          <w:color w:val="1E1E1E"/>
          <w:sz w:val="18"/>
        </w:rPr>
        <w:t>A obrigação para as agências e os postos de serviços bancários de instalar divisórias individuais entre os caixas e o espaço reservado para clientes que aguardam atendimento é norma suplementar de proteção aos consumidores dos serviços bancários no Estado de São Paulo, que se encontra em harmonia com as normas gerais previstas na Lei federal 7.102/1983, que dispõe sobre segurança para estabelecimentos financeiros, e no Código de Defesa do Consumidor (Lei federal 8.078/1990). A Lei 14.364/2011 do Estado de São Paulo instituiu obrigação para as agências e os postos de serviços bancários de insta</w:t>
      </w:r>
    </w:p>
    <w:p>
      <w:pPr>
        <w:ind w:left="288"/>
      </w:pPr>
      <w:r>
        <w:rPr>
          <w:b/>
          <w:color w:val="003CA0"/>
          <w:sz w:val="16"/>
        </w:rPr>
        <w:t>[ADI 4.633, rel. min. Luiz Fux, j. 6-12-2018, P, DJE de 8-4-2019.]</w:t>
      </w:r>
    </w:p>
    <w:p>
      <w:pPr>
        <w:ind w:left="288"/>
      </w:pPr>
      <w:r>
        <w:rPr>
          <w:color w:val="8C8C8C"/>
          <w:sz w:val="12"/>
        </w:rPr>
        <w:t>cf-art-24-inc-V</w:t>
      </w:r>
      <w:r>
        <w:rPr>
          <w:color w:val="003CA0"/>
          <w:sz w:val="12"/>
        </w:rPr>
        <w:t xml:space="preserve"> | ADI 5.575</w:t>
      </w:r>
      <w:r>
        <w:rPr>
          <w:color w:val="003CA0"/>
          <w:sz w:val="12"/>
        </w:rPr>
        <w:t xml:space="preserve"> | rel. Luiz Fux</w:t>
      </w:r>
    </w:p>
    <w:p>
      <w:pPr>
        <w:ind w:left="288"/>
      </w:pPr>
      <w:r>
        <w:rPr>
          <w:color w:val="1E1E1E"/>
          <w:sz w:val="18"/>
        </w:rPr>
        <w:t>(...) os estados-membros não têm competência para legislar sobre normas aplicáveis aos prestadores de serviços de telecomunicações, ainda que a pretexto de proteger o consumidor ou a saúde dos usuários. Tal atribuição é privativa da União. Entender de modo contrário, em interpretação alargada da competência concorrente dos Estados-membros para a edição de normas específicas em matéria de consumidor (artigo 24, V e VIII, da Constituição Federal), acabaria por abrir margem à União para se desincumbir de sua competência constitucional expressa, frustrando a teleologia dos artigos 21, XI, e 22, IV</w:t>
      </w:r>
    </w:p>
    <w:p>
      <w:pPr>
        <w:ind w:left="288"/>
      </w:pPr>
      <w:r>
        <w:rPr>
          <w:b/>
          <w:color w:val="003CA0"/>
          <w:sz w:val="16"/>
        </w:rPr>
        <w:t>[ADI 1.980, voto do rel. min. Cezar Peluso, j. 16-4-2009, P, DJE de 7-8-2009.]</w:t>
      </w:r>
    </w:p>
    <w:p>
      <w:pPr>
        <w:ind w:left="288"/>
      </w:pPr>
      <w:r>
        <w:rPr>
          <w:color w:val="8C8C8C"/>
          <w:sz w:val="12"/>
        </w:rPr>
        <w:t>cf-art-24-inc-V</w:t>
      </w:r>
      <w:r>
        <w:rPr>
          <w:color w:val="003CA0"/>
          <w:sz w:val="12"/>
        </w:rPr>
        <w:t xml:space="preserve"> | ADI 2.832</w:t>
      </w:r>
      <w:r>
        <w:rPr>
          <w:color w:val="003CA0"/>
          <w:sz w:val="12"/>
        </w:rPr>
        <w:t xml:space="preserve"> | rel. Ricardo Lewandowski</w:t>
      </w:r>
    </w:p>
    <w:p>
      <w:pPr>
        <w:ind w:left="288"/>
      </w:pPr>
      <w:r>
        <w:rPr>
          <w:color w:val="1E1E1E"/>
          <w:sz w:val="18"/>
        </w:rPr>
        <w:t>= ADI 2.832, rel. min. Ricardo Lewandowski, j. 7-5-2008, P, DJE de 20-6-2008 Lei 3.706/2006 do Distrito Federal, que dispõe sobre "a afixação de tabela relativa a taxas de juros e de rendimentos de aplicações financeiras pelas instituições bancárias e de crédito". Usurpação da competência privativa da União para fixar normas gerais relativas às relações de consumo (CF, art. 24, V, § 1º).</w:t>
      </w:r>
    </w:p>
    <w:p>
      <w:pPr>
        <w:ind w:left="288"/>
      </w:pPr>
      <w:r>
        <w:rPr>
          <w:b/>
          <w:color w:val="003CA0"/>
          <w:sz w:val="16"/>
        </w:rPr>
        <w:t>[ADI 3.668, rel. min. Gilmar Mendes, j. 17-9-2007, P, DJ de 19-12-2007.]</w:t>
      </w:r>
    </w:p>
    <w:p>
      <w:pPr>
        <w:ind w:left="288"/>
      </w:pPr>
      <w:r>
        <w:rPr>
          <w:color w:val="8C8C8C"/>
          <w:sz w:val="12"/>
        </w:rPr>
        <w:t>cf-art-24-inc-V</w:t>
      </w:r>
      <w:r>
        <w:rPr>
          <w:color w:val="003CA0"/>
          <w:sz w:val="12"/>
        </w:rPr>
        <w:t xml:space="preserve"> | ADI 2.359</w:t>
      </w:r>
      <w:r>
        <w:rPr>
          <w:color w:val="003CA0"/>
          <w:sz w:val="12"/>
        </w:rPr>
        <w:t xml:space="preserve"> | rel. Eros Grau</w:t>
      </w:r>
    </w:p>
    <w:p>
      <w:pPr>
        <w:ind w:left="288"/>
      </w:pPr>
      <w:r>
        <w:rPr>
          <w:color w:val="1E1E1E"/>
          <w:sz w:val="18"/>
        </w:rPr>
        <w:t>Comercialização de produtos por meio de vasilhames, recipientes ou embalagens reutilizáveis. Gás liquefeito de petróleo engarrafado (GLP). Diretrizes relativas à requalificação dos botijões. (...) O texto normativo questionado contém diretrizes relativamente ao consumo de produtos acondicionados em recipientes reutilizáveis – matéria em relação à qual o Estado-membro detém competência legislativa (art. 24, V, da Constituição do Brasil). (...) A lei hostilizada limita-se a promover a defesa do consumidor, dando concreção ao disposto no art. 170, V, da Constituição do Brasil. O texto normativo e</w:t>
      </w:r>
    </w:p>
    <w:p>
      <w:pPr>
        <w:ind w:left="288"/>
      </w:pPr>
      <w:r>
        <w:rPr>
          <w:b/>
          <w:color w:val="003CA0"/>
          <w:sz w:val="16"/>
        </w:rPr>
        <w:t>[ADI 2.359, rel. min. Eros Grau, j. 27-9-2006, P, DJ de 7-12-2006.]</w:t>
      </w:r>
    </w:p>
    <w:p>
      <w:pPr>
        <w:ind w:left="288"/>
      </w:pPr>
      <w:r>
        <w:rPr>
          <w:color w:val="8C8C8C"/>
          <w:sz w:val="12"/>
        </w:rPr>
        <w:t>cf-art-24-inc-V</w:t>
      </w:r>
      <w:r>
        <w:rPr>
          <w:color w:val="003CA0"/>
          <w:sz w:val="12"/>
        </w:rPr>
        <w:t xml:space="preserve"> | ADI 2.818</w:t>
      </w:r>
      <w:r>
        <w:rPr>
          <w:color w:val="003CA0"/>
          <w:sz w:val="12"/>
        </w:rPr>
        <w:t xml:space="preserve"> | rel. Dias Toffoli</w:t>
      </w:r>
    </w:p>
    <w:p>
      <w:pPr>
        <w:ind w:left="288"/>
      </w:pPr>
      <w:r>
        <w:rPr>
          <w:color w:val="1E1E1E"/>
          <w:sz w:val="18"/>
        </w:rPr>
        <w:t>= ADI 2.818, rel. min. Dias Toffoli, j. 9-5-2013, P, DJE de 1º-8-2013 Lei 14.861/2005 do Estado do Paraná. Informação quanto à presença de organismos geneticamente modificados em alimentos e ingredientes alimentares destinados ao consumo humano e animal. Lei federal 11.105/2005 e Decretos 4.680/2003 e 5.591/2005. Competência legislativa concorrente para dispor sobre produção, consumo e proteção e defesa da saúde. Art. 24, V e XII, da CF. (...) Ocorrência de substituição – e não suplementação – das regras que cuidam das exigências, procedimentos e penalidades relativos à rotulagem informativa d</w:t>
      </w:r>
    </w:p>
    <w:p>
      <w:pPr>
        <w:ind w:left="288"/>
      </w:pPr>
      <w:r>
        <w:rPr>
          <w:b/>
          <w:color w:val="003CA0"/>
          <w:sz w:val="16"/>
        </w:rPr>
        <w:t>[ARE 1.550.916 AgR, rel. min. Flávio Dino, j. 12.08.2025, P, DJE de 21.08.2025.]</w:t>
      </w:r>
    </w:p>
    <w:p>
      <w:pPr>
        <w:ind w:left="144"/>
      </w:pPr>
      <w:r>
        <w:rPr>
          <w:b/>
          <w:color w:val="B45A00"/>
          <w:sz w:val="16"/>
        </w:rPr>
        <w:t>JULGADOS CORRELATOS</w:t>
      </w:r>
    </w:p>
    <w:p>
      <w:pPr>
        <w:ind w:left="288"/>
      </w:pPr>
      <w:r>
        <w:rPr>
          <w:color w:val="8C8C8C"/>
          <w:sz w:val="12"/>
        </w:rPr>
        <w:t>cf-art-24-inc-V</w:t>
      </w:r>
      <w:r>
        <w:rPr>
          <w:color w:val="003CA0"/>
          <w:sz w:val="12"/>
        </w:rPr>
        <w:t xml:space="preserve"> | ARE 1.472.813</w:t>
      </w:r>
      <w:r>
        <w:rPr>
          <w:color w:val="003CA0"/>
          <w:sz w:val="12"/>
        </w:rPr>
        <w:t xml:space="preserve"> | rel. Alexandre de Moraes</w:t>
      </w:r>
    </w:p>
    <w:p>
      <w:pPr>
        <w:ind w:left="288"/>
      </w:pPr>
      <w:r>
        <w:rPr>
          <w:color w:val="1E1E1E"/>
          <w:sz w:val="18"/>
        </w:rPr>
        <w:t>A Lei do Estado de Rondônia 4.318/2018, ao exigir a instalação e o funcionamento de balanças eletrônicas pelos matadouros e matadouros-frigoríficos em atividade naquele ente federativo, bem como o repasse das informações em tempo real para um computador da entidade representativa dos pecuaristas e do órgão de controle e fiscalização, propicia o aperfeiçoamento das atividades fiscalizatórias e o controle sanitário, de forma a conferir mais segurança aos consumidores locais. Assim, insere-se na previsão do art. 24, V, da Constituição.</w:t>
        <w:br/>
        <w:t>[ARE 1.472.813 AgR, rel. min. Alexandre de Moraes, j. 05.06.2</w:t>
      </w:r>
    </w:p>
    <w:p>
      <w:pPr>
        <w:ind w:left="288"/>
      </w:pPr>
      <w:r>
        <w:rPr>
          <w:color w:val="8C8C8C"/>
          <w:sz w:val="12"/>
        </w:rPr>
        <w:t>cf-art-24-inc-VI</w:t>
      </w:r>
      <w:r>
        <w:rPr>
          <w:color w:val="003CA0"/>
          <w:sz w:val="12"/>
        </w:rPr>
        <w:t xml:space="preserve"> | ADI 7.184</w:t>
      </w:r>
      <w:r>
        <w:rPr>
          <w:color w:val="003CA0"/>
          <w:sz w:val="12"/>
        </w:rPr>
        <w:t xml:space="preserve"> | rel. Dias Toffoli</w:t>
      </w:r>
    </w:p>
    <w:p>
      <w:pPr>
        <w:ind w:left="288"/>
      </w:pPr>
      <w:r>
        <w:rPr>
          <w:color w:val="1E1E1E"/>
          <w:sz w:val="18"/>
        </w:rPr>
        <w:t>Artigo 5º, inciso XII, e art. 14, caput, incisos I, II e § 3º, da Lei nº 11.269/20 do Estado do Maranhão. Zoneamento Ecológico-Econômico do Bioma Amazônico no Estado do Maranhão. Significativa distinção entre “área com floresta” e “área de floresta” para fins de delimitação das áreas de reserva legal. (...) No caso em apreço, o Procurador-Geral da República logrou demonstrar, inclusive mediante laudo técnico anexado aos autos, que a sistemática legal adotada pelo Estado do Maranhão leva à redução do padrão de proteção ambiental estabelecido pela norma geral da União para as áreas de floresta n</w:t>
      </w:r>
    </w:p>
    <w:p>
      <w:pPr>
        <w:ind w:left="288"/>
      </w:pPr>
      <w:r>
        <w:rPr>
          <w:b/>
          <w:color w:val="003CA0"/>
          <w:sz w:val="16"/>
        </w:rPr>
        <w:t>[ADI 7.184, rel. min. Dias Toffoli, j. 02.12.2025, P, DJE de 10.12.2025.]</w:t>
      </w:r>
    </w:p>
    <w:p>
      <w:pPr>
        <w:ind w:left="144"/>
      </w:pPr>
      <w:r>
        <w:rPr>
          <w:b/>
          <w:color w:val="B45A00"/>
          <w:sz w:val="16"/>
        </w:rPr>
        <w:t>CONTROLE CONCENTRADO</w:t>
      </w:r>
    </w:p>
    <w:p>
      <w:pPr>
        <w:ind w:left="288"/>
      </w:pPr>
      <w:r>
        <w:rPr>
          <w:color w:val="8C8C8C"/>
          <w:sz w:val="12"/>
        </w:rPr>
        <w:t>cf-art-24-inc-VI</w:t>
      </w:r>
      <w:r>
        <w:rPr>
          <w:color w:val="003CA0"/>
          <w:sz w:val="12"/>
        </w:rPr>
        <w:t xml:space="preserve"> | ADI 5.014</w:t>
      </w:r>
      <w:r>
        <w:rPr>
          <w:color w:val="003CA0"/>
          <w:sz w:val="12"/>
        </w:rPr>
        <w:t xml:space="preserve"> | rel. Dias Toffoli</w:t>
      </w:r>
    </w:p>
    <w:p>
      <w:pPr>
        <w:ind w:left="288"/>
      </w:pPr>
      <w:r>
        <w:rPr>
          <w:color w:val="1E1E1E"/>
          <w:sz w:val="18"/>
        </w:rPr>
        <w:t>Em matéria de licenciamento ambiental, os estados ostentam competência suplementar, a fim de atender às peculiaridades locais, visando, igualmente, ao preenchimento de lacunas normativas que atendam às características e às necessidades regionais.</w:t>
      </w:r>
    </w:p>
    <w:p>
      <w:pPr>
        <w:ind w:left="288"/>
      </w:pPr>
      <w:r>
        <w:rPr>
          <w:b/>
          <w:color w:val="003CA0"/>
          <w:sz w:val="16"/>
        </w:rPr>
        <w:t>[ADI 5.014, rel. min. Dias Toffoli, j. 13.11.2023, P, DJE de 20.02.2024.]</w:t>
      </w:r>
    </w:p>
    <w:p>
      <w:pPr>
        <w:ind w:left="288"/>
      </w:pPr>
      <w:r>
        <w:rPr>
          <w:color w:val="8C8C8C"/>
          <w:sz w:val="12"/>
        </w:rPr>
        <w:t>cf-art-24-inc-VI</w:t>
      </w:r>
      <w:r>
        <w:rPr>
          <w:color w:val="003CA0"/>
          <w:sz w:val="12"/>
        </w:rPr>
        <w:t xml:space="preserve"> | ADI 3.526</w:t>
      </w:r>
      <w:r>
        <w:rPr>
          <w:color w:val="003CA0"/>
          <w:sz w:val="12"/>
        </w:rPr>
        <w:t xml:space="preserve"> | rel. Nunes Marques</w:t>
      </w:r>
    </w:p>
    <w:p>
      <w:pPr>
        <w:ind w:left="288"/>
      </w:pPr>
      <w:r>
        <w:rPr>
          <w:color w:val="1E1E1E"/>
          <w:sz w:val="18"/>
        </w:rPr>
        <w:t xml:space="preserve">(...) a questão que se coloca, na perspectiva formal, consiste em definir se a lei impugnada, ao centralizar em órgão federal – Comissão Técnica Nacional de Biossegurança – a fiscalização e normatização do desenvolvimento e uso de organismos geneticamente modificados, contrariou o esquema constitucional de competências legislativas concorrentes (art. 24 da Constituição Federal). As normas de segurança e mecanismos de fiscalização de atividades relativas a organismos geneticamente modificados impõem tratamento linear no território nacional. Ou seja, há inequívoca preponderância do interesse da </w:t>
      </w:r>
    </w:p>
    <w:p>
      <w:pPr>
        <w:ind w:left="288"/>
      </w:pPr>
      <w:r>
        <w:rPr>
          <w:b/>
          <w:color w:val="003CA0"/>
          <w:sz w:val="16"/>
        </w:rPr>
        <w:t>[ADI 4.069, rel. min. Edson Fachin, j. 8-9-2020, P, DJE de 24-9-2020.]</w:t>
      </w:r>
    </w:p>
    <w:p>
      <w:pPr>
        <w:ind w:left="288"/>
      </w:pPr>
      <w:r>
        <w:rPr>
          <w:color w:val="8C8C8C"/>
          <w:sz w:val="12"/>
        </w:rPr>
        <w:t>cf-art-24-inc-VI</w:t>
      </w:r>
      <w:r>
        <w:rPr>
          <w:color w:val="003CA0"/>
          <w:sz w:val="12"/>
        </w:rPr>
        <w:t xml:space="preserve"> | ADI 5.996</w:t>
      </w:r>
      <w:r>
        <w:rPr>
          <w:color w:val="003CA0"/>
          <w:sz w:val="12"/>
        </w:rPr>
        <w:t xml:space="preserve"> | rel. Alexandre de Moraes</w:t>
      </w:r>
    </w:p>
    <w:p>
      <w:pPr>
        <w:ind w:left="288"/>
      </w:pPr>
      <w:r>
        <w:rPr>
          <w:color w:val="1E1E1E"/>
          <w:sz w:val="18"/>
        </w:rPr>
        <w:t>A Lei 289/2015 do Estado do Amazonas, ao proibir a utilização de animais para desenvolvimento, experimentos e testes de produtos cosméticos, de higiene pessoal, perfumes e seus componentes, não invade a competência da União para legislar sobre normas gerais em relação à proteção da fauna. Competência legislativa concorrente dos Estados (art. 24, VI, da CF). A sobreposição de opções políticas por graus variáveis de proteção ambiental constitui circunstância própria do estabelecimento de competência concorrente sobre a matéria. Em linha de princípio, admite-se que os Estados editem normas mais p</w:t>
      </w:r>
    </w:p>
    <w:p>
      <w:pPr>
        <w:ind w:left="288"/>
      </w:pPr>
      <w:r>
        <w:rPr>
          <w:b/>
          <w:color w:val="003CA0"/>
          <w:sz w:val="16"/>
        </w:rPr>
        <w:t>[ADI 5.996, rel. min. Alexandre de Moraes, j. 15-4-2020, P, DJE de 30-4-2020.]</w:t>
      </w:r>
    </w:p>
    <w:p>
      <w:pPr>
        <w:ind w:left="288"/>
      </w:pPr>
      <w:r>
        <w:rPr>
          <w:color w:val="8C8C8C"/>
          <w:sz w:val="12"/>
        </w:rPr>
        <w:t>cf-art-24-inc-VI</w:t>
      </w:r>
      <w:r>
        <w:rPr>
          <w:color w:val="003CA0"/>
          <w:sz w:val="12"/>
        </w:rPr>
        <w:t xml:space="preserve"> | ADI 861</w:t>
      </w:r>
      <w:r>
        <w:rPr>
          <w:color w:val="003CA0"/>
          <w:sz w:val="12"/>
        </w:rPr>
        <w:t xml:space="preserve"> | rel. Rosa Weber</w:t>
      </w:r>
    </w:p>
    <w:p>
      <w:pPr>
        <w:ind w:left="288"/>
      </w:pPr>
      <w:r>
        <w:rPr>
          <w:color w:val="1E1E1E"/>
          <w:sz w:val="18"/>
        </w:rPr>
        <w:t>Ao orientarem o controle do esforço de pesca em consideração ao poder de pesca, o desempenho das embarcações e o volume da fauna acompanhante desperdiçada, estipularem limites de aproveitamento da fauna acompanhante à pesca industrial de arrasto de camarões e veicularem normas destinadas à mitigação do impacto ambiental da atividade, os arts. 1º, § 2º, e 2º, §§ 1º e 2º, da Lei 64/1993 mantêm-se dentro dos limites da competência legislativa concorrente do Estado (art. 24, VI, da CF), além de consonantes com o postulado da proporcionalidade e os imperativos de preservação e defesa do meio ambien</w:t>
      </w:r>
    </w:p>
    <w:p>
      <w:pPr>
        <w:ind w:left="288"/>
      </w:pPr>
      <w:r>
        <w:rPr>
          <w:b/>
          <w:color w:val="003CA0"/>
          <w:sz w:val="16"/>
        </w:rPr>
        <w:t>[ADI 861, rel. min. Rosa Weber, j. 6-3-2020, P, DJE de 5-6-2020.]</w:t>
      </w:r>
    </w:p>
    <w:p>
      <w:pPr>
        <w:ind w:left="288"/>
      </w:pPr>
      <w:r>
        <w:rPr>
          <w:color w:val="8C8C8C"/>
          <w:sz w:val="12"/>
        </w:rPr>
        <w:t>cf-art-24-inc-VI</w:t>
      </w:r>
      <w:r>
        <w:rPr>
          <w:color w:val="003CA0"/>
          <w:sz w:val="12"/>
        </w:rPr>
        <w:t xml:space="preserve"> | ADI 3.336</w:t>
      </w:r>
      <w:r>
        <w:rPr>
          <w:color w:val="003CA0"/>
          <w:sz w:val="12"/>
        </w:rPr>
        <w:t xml:space="preserve"> | rel. Dias Toffoli</w:t>
      </w:r>
    </w:p>
    <w:p>
      <w:pPr>
        <w:ind w:left="288"/>
      </w:pPr>
      <w:r>
        <w:rPr>
          <w:color w:val="1E1E1E"/>
          <w:sz w:val="18"/>
        </w:rPr>
        <w:t>Embora a União detenha a competência exclusiva para ‘instituir sistema nacional de gerenciamento de recursos hídricos e definir critérios de outorga de direitos de seu uso’ (art. 21, XIX, da CF/88), além de competência privativa para legislar sobre águas (art. 22, IV, da CF/88), não se há de olvidar que aos estados-membros compete, de forma concorrente, legislar sobre proteção ao meio ambiente (art. 24, VI e VIII, CF), o que inclui, evidentemente, a proteção dos recursos hídricos. Esse entendimento mostra-se consentâneo, inclusive, com a previsão constitucional que defere aos estados-membros o</w:t>
      </w:r>
    </w:p>
    <w:p>
      <w:pPr>
        <w:ind w:left="288"/>
      </w:pPr>
      <w:r>
        <w:rPr>
          <w:b/>
          <w:color w:val="003CA0"/>
          <w:sz w:val="16"/>
        </w:rPr>
        <w:t>[ADI 3.336, rel. min. Dias Toffoli, j. 14-2-2020, P, DJE de 6-3-2020.]</w:t>
      </w:r>
    </w:p>
    <w:p>
      <w:pPr>
        <w:ind w:left="288"/>
      </w:pPr>
      <w:r>
        <w:rPr>
          <w:color w:val="8C8C8C"/>
          <w:sz w:val="12"/>
        </w:rPr>
        <w:t>cf-art-24-inc-VI</w:t>
      </w:r>
      <w:r>
        <w:rPr>
          <w:color w:val="003CA0"/>
          <w:sz w:val="12"/>
        </w:rPr>
        <w:t xml:space="preserve"> | ADI 4.615</w:t>
      </w:r>
      <w:r>
        <w:rPr>
          <w:color w:val="003CA0"/>
          <w:sz w:val="12"/>
        </w:rPr>
        <w:t xml:space="preserve"> | rel. Roberto Barroso</w:t>
      </w:r>
    </w:p>
    <w:p>
      <w:pPr>
        <w:ind w:left="288"/>
      </w:pPr>
      <w:r>
        <w:rPr>
          <w:color w:val="1E1E1E"/>
          <w:sz w:val="18"/>
        </w:rPr>
        <w:t>A Lei 6.938/1981, de âmbito nacional, ao instituir a Política Nacional do Meio Ambiente, elegeu o Conselho Nacional do Meio Ambiente – CONAMA como o órgão competente para estabelecer normas e critérios para o licenciamento de atividades efetiva ou potencialmente poluidoras a ser concedido pelos Estados e supervisionado pelo IBAMA. O CONAMA, diante de seu poder regulamentar, editou a Resolução 237/1997, que, em seu art. 12, § 1º, fixou que poderão ser estabelecidos procedimentos simplificados para as atividades e empreendimentos de pequeno potencial de impacto ambiental, que deverão ser aprovad</w:t>
      </w:r>
    </w:p>
    <w:p>
      <w:pPr>
        <w:ind w:left="288"/>
      </w:pPr>
      <w:r>
        <w:rPr>
          <w:b/>
          <w:color w:val="003CA0"/>
          <w:sz w:val="16"/>
        </w:rPr>
        <w:t>[ADI 4.615, rel. min. Roberto Barroso, j. 20-9-2019, P, DJE de 28-10-2019.]</w:t>
      </w:r>
    </w:p>
    <w:p>
      <w:pPr>
        <w:ind w:left="288"/>
      </w:pPr>
      <w:r>
        <w:rPr>
          <w:color w:val="8C8C8C"/>
          <w:sz w:val="12"/>
        </w:rPr>
        <w:t>cf-art-24-inc-VI</w:t>
      </w:r>
      <w:r>
        <w:rPr>
          <w:color w:val="003CA0"/>
          <w:sz w:val="12"/>
        </w:rPr>
        <w:t xml:space="preserve"> | ADI 5.312</w:t>
      </w:r>
      <w:r>
        <w:rPr>
          <w:color w:val="003CA0"/>
          <w:sz w:val="12"/>
        </w:rPr>
        <w:t xml:space="preserve"> | rel. Alexandre de Moraes</w:t>
      </w:r>
    </w:p>
    <w:p>
      <w:pPr>
        <w:ind w:left="288"/>
      </w:pPr>
      <w:r>
        <w:rPr>
          <w:color w:val="1E1E1E"/>
          <w:sz w:val="18"/>
        </w:rPr>
        <w:t>A possibilidade de complementação da legislação federal para o atendimento de interesse regional (art. 24, § 2º, da CF) não permite que Estado-Membro dispense a exigência de licenciamento para atividades potencialmente poluidoras, como pretendido pelo art. 10 da Lei 2.713/2013 do Estado do Tocantins. O desenvolvimento de atividades agrossilvipastoris pode acarretar uma relevante intervenção sobre o meio ambiente, pelo que não se justifica a flexibilização dos instrumentos de proteção ambiental, sem que haja um controle e fiscalização prévios da atividade.</w:t>
      </w:r>
    </w:p>
    <w:p>
      <w:pPr>
        <w:ind w:left="288"/>
      </w:pPr>
      <w:r>
        <w:rPr>
          <w:b/>
          <w:color w:val="003CA0"/>
          <w:sz w:val="16"/>
        </w:rPr>
        <w:t>[ADI 5.312, rel. min. Alexandre de Moraes, j. 25-10-2018, P, DJE de 11-2-2019.]</w:t>
      </w:r>
    </w:p>
    <w:p>
      <w:pPr>
        <w:ind w:left="288"/>
      </w:pPr>
      <w:r>
        <w:rPr>
          <w:color w:val="8C8C8C"/>
          <w:sz w:val="12"/>
        </w:rPr>
        <w:t>cf-art-24-inc-VI</w:t>
      </w:r>
      <w:r>
        <w:rPr>
          <w:color w:val="003CA0"/>
          <w:sz w:val="12"/>
        </w:rPr>
        <w:t xml:space="preserve"> | ADI 1.086</w:t>
      </w:r>
      <w:r>
        <w:rPr>
          <w:color w:val="003CA0"/>
          <w:sz w:val="12"/>
        </w:rPr>
        <w:t xml:space="preserve"> | rel. Ilmar Galvão</w:t>
      </w:r>
    </w:p>
    <w:p>
      <w:pPr>
        <w:ind w:left="288"/>
      </w:pPr>
      <w:r>
        <w:rPr>
          <w:color w:val="1E1E1E"/>
          <w:sz w:val="18"/>
        </w:rPr>
        <w:t>(...) ao excepcionar a exigência de prévio estudo de impacto ambiental nos casos de áreas florestadas ou objeto de reflorestamento, o § 3º do art. 182 da Constituição catarinense viola o previsto na CF, que determina a realização de tal estudo para a instalação de qualquer atividade potencialmente causadora de degradação ao meio ambiente. Por outro lado, é certo que, pela lógica sistemática da distribuição de competência legislativa, apenas a lei federal seria apta a excluir hipóteses à incidência do aludido preceito geral, já que se trata de matéria nitidamente inserida no campo de abrangênci</w:t>
      </w:r>
    </w:p>
    <w:p>
      <w:pPr>
        <w:ind w:left="144"/>
      </w:pPr>
      <w:r>
        <w:rPr>
          <w:b/>
          <w:color w:val="B45A00"/>
          <w:sz w:val="16"/>
        </w:rPr>
        <w:t>REPERCUSSAO GERAL</w:t>
      </w:r>
    </w:p>
    <w:p>
      <w:pPr>
        <w:ind w:left="288"/>
      </w:pPr>
      <w:r>
        <w:rPr>
          <w:color w:val="8C8C8C"/>
          <w:sz w:val="12"/>
        </w:rPr>
        <w:t>cf-art-24-inc-VI</w:t>
      </w:r>
      <w:r>
        <w:rPr>
          <w:color w:val="003CA0"/>
          <w:sz w:val="12"/>
        </w:rPr>
        <w:t xml:space="preserve"> | RE 1.210.727</w:t>
      </w:r>
      <w:r>
        <w:rPr>
          <w:color w:val="003CA0"/>
          <w:sz w:val="12"/>
        </w:rPr>
        <w:t xml:space="preserve"> | rel. Luiz Fux</w:t>
      </w:r>
    </w:p>
    <w:p>
      <w:pPr>
        <w:ind w:left="288"/>
      </w:pPr>
      <w:r>
        <w:rPr>
          <w:color w:val="1E1E1E"/>
          <w:sz w:val="18"/>
        </w:rPr>
        <w:t>É constitucional formal e materialmente lei municipal que proíbe a soltura de fogos de artifício e artefatos pirotécnicos produtores de estampidos.</w:t>
        <w:br/>
        <w:t>[RE 1.210.727, rel. min. Luiz Fux, j. 9-5-2023, P, DJE de 17-5-2023, Tema 1.056, com mérito julgado.] O Município é competente para legislar concorrentemente sobre meio ambiente, no limite de seu interesse local e desde que tal regramento seja e harmônico com a disciplina estabelecida pelos demais entes federados. (...) “É constitucional – formal e materialmente – lei municipal que obriga à substituição de sacos e sacolas plásticos por sacos e saco</w:t>
      </w:r>
    </w:p>
    <w:p>
      <w:pPr>
        <w:ind w:left="144"/>
      </w:pPr>
      <w:r>
        <w:rPr>
          <w:b/>
          <w:color w:val="B45A00"/>
          <w:sz w:val="16"/>
        </w:rPr>
        <w:t>CONTROLE CONCENTRADO</w:t>
      </w:r>
    </w:p>
    <w:p>
      <w:pPr>
        <w:ind w:left="288"/>
      </w:pPr>
      <w:r>
        <w:rPr>
          <w:color w:val="8C8C8C"/>
          <w:sz w:val="12"/>
        </w:rPr>
        <w:t>cf-art-24-inc-VII</w:t>
      </w:r>
      <w:r>
        <w:rPr>
          <w:color w:val="003CA0"/>
          <w:sz w:val="12"/>
        </w:rPr>
        <w:t xml:space="preserve"> | ADI 4.092</w:t>
      </w:r>
      <w:r>
        <w:rPr>
          <w:color w:val="003CA0"/>
          <w:sz w:val="12"/>
        </w:rPr>
        <w:t xml:space="preserve"> | rel. Nunes Marques</w:t>
      </w:r>
    </w:p>
    <w:p>
      <w:pPr>
        <w:ind w:left="288"/>
      </w:pPr>
      <w:r>
        <w:rPr>
          <w:color w:val="1E1E1E"/>
          <w:sz w:val="18"/>
        </w:rPr>
        <w:t>É possível que Estados e Municípios, com o objetivo de preservar a memória de bens imateriais, instituam feriados de alta significação étnica.</w:t>
        <w:br/>
        <w:t>[ADI 4.092, rel. min. Nunes Marques, red. do ac. min. Edson Fachin, j. 28-8-2023, P, DJE de 20-10-2023.] Embora a União detenha a competência exclusiva para ‘instituir sistema nacional de gerenciamento de recursos hídricos e definir critérios de outorga de direitos de seu uso’ (art. 21, XIX, da CF/88), além de competência privativa para legislar sobre águas (art. 22, IV, da CF/88), não se há de olvidar que aos estados-membros compete, de forma concorren</w:t>
      </w:r>
    </w:p>
    <w:p>
      <w:pPr>
        <w:ind w:left="288"/>
      </w:pPr>
      <w:r>
        <w:rPr>
          <w:color w:val="8C8C8C"/>
          <w:sz w:val="12"/>
        </w:rPr>
        <w:t>cf-art-24-inc-VIII</w:t>
      </w:r>
      <w:r>
        <w:rPr>
          <w:color w:val="003CA0"/>
          <w:sz w:val="12"/>
        </w:rPr>
        <w:t xml:space="preserve"> | ADI 3.155</w:t>
      </w:r>
      <w:r>
        <w:rPr>
          <w:color w:val="003CA0"/>
          <w:sz w:val="12"/>
        </w:rPr>
        <w:t xml:space="preserve"> | rel. Marco Aurélio</w:t>
      </w:r>
    </w:p>
    <w:p>
      <w:pPr>
        <w:ind w:left="288"/>
      </w:pPr>
      <w:r>
        <w:rPr>
          <w:color w:val="1E1E1E"/>
          <w:sz w:val="18"/>
        </w:rPr>
        <w:t>Consumidor. Proteção (...). Ausente intervenção direta no núcleo de atuação das instituições voltadas ao exercício de atividades de natureza mercantil ou financeira, surge constitucional norma estadual a impor, em caráter obrigatório, a instalação de itens de segurança em caixas eletrônicos, reduzindo riscos à integridade dos usuários dos serviços bancários (...).</w:t>
        <w:br/>
        <w:t>[ADI 3.155, rel. min. Marco Aurélio, j. 16-9-2020, P, DJE de 5-10-2020.] É inconstitucional lei estadual, distrital ou municipal, que verse sobre normas gerais de defesa do consumidor, por ofender o art. 24, VIII e § 1°, do texto con</w:t>
      </w:r>
    </w:p>
    <w:p>
      <w:pPr>
        <w:ind w:left="288"/>
      </w:pPr>
      <w:r>
        <w:rPr>
          <w:b/>
          <w:color w:val="003CA0"/>
          <w:sz w:val="16"/>
        </w:rPr>
        <w:t>[ADI 3.623, rel. min. Ricardo Lewandowski, j. 11-10-2019, P, DJE de 4-11-2019.]</w:t>
      </w:r>
    </w:p>
    <w:p>
      <w:pPr>
        <w:ind w:left="288"/>
      </w:pPr>
      <w:r>
        <w:rPr>
          <w:color w:val="8C8C8C"/>
          <w:sz w:val="12"/>
        </w:rPr>
        <w:t>cf-art-24-inc-VIII</w:t>
      </w:r>
      <w:r>
        <w:rPr>
          <w:color w:val="003CA0"/>
          <w:sz w:val="12"/>
        </w:rPr>
        <w:t xml:space="preserve"> | ADI 4.633</w:t>
      </w:r>
      <w:r>
        <w:rPr>
          <w:color w:val="003CA0"/>
          <w:sz w:val="12"/>
        </w:rPr>
        <w:t xml:space="preserve"> | rel. Luiz Fux</w:t>
      </w:r>
    </w:p>
    <w:p>
      <w:pPr>
        <w:ind w:left="288"/>
      </w:pPr>
      <w:r>
        <w:rPr>
          <w:color w:val="1E1E1E"/>
          <w:sz w:val="18"/>
        </w:rPr>
        <w:t>A obrigação para as agências e os postos de serviços bancários de instalar divisórias individuais entre os caixas e o espaço reservado para clientes que aguardam atendimento é norma suplementar de proteção aos consumidores dos serviços bancários no Estado de São Paulo, que se encontra em harmonia com as normas gerais previstas na Lei federal 7.102/1983, que dispõe sobre segurança para estabelecimentos financeiros, e no Código de Defesa do Consumidor (Lei federal 8.078/1990). A Lei 14.364/2011 do Estado de São Paulo instituiu obrigação para as agências e os postos de serviços bancários de insta</w:t>
      </w:r>
    </w:p>
    <w:p>
      <w:pPr>
        <w:ind w:left="288"/>
      </w:pPr>
      <w:r>
        <w:rPr>
          <w:b/>
          <w:color w:val="003CA0"/>
          <w:sz w:val="16"/>
        </w:rPr>
        <w:t>[ADI 4.633, rel. min. Luiz Fux, j. 6-12-2018, P, DJE de 8-4-2019.]</w:t>
      </w:r>
    </w:p>
    <w:p>
      <w:pPr>
        <w:ind w:left="288"/>
      </w:pPr>
      <w:r>
        <w:rPr>
          <w:color w:val="8C8C8C"/>
          <w:sz w:val="12"/>
        </w:rPr>
        <w:t>cf-art-24-inc-VIII</w:t>
      </w:r>
      <w:r>
        <w:rPr>
          <w:color w:val="003CA0"/>
          <w:sz w:val="12"/>
        </w:rPr>
        <w:t xml:space="preserve"> | ADI 2.303</w:t>
      </w:r>
      <w:r>
        <w:rPr>
          <w:color w:val="003CA0"/>
          <w:sz w:val="12"/>
        </w:rPr>
        <w:t xml:space="preserve"> | rel. Marco Aurélio</w:t>
      </w:r>
    </w:p>
    <w:p>
      <w:pPr>
        <w:ind w:left="288"/>
      </w:pPr>
      <w:r>
        <w:rPr>
          <w:color w:val="1E1E1E"/>
          <w:sz w:val="18"/>
        </w:rPr>
        <w:t>(...) se a Assembleia Constituinte estabeleceu haver interesse dos Estados no tocante à saúde, produção e consumo, proteção e responsabilidade por danos ao meio ambiente – artigo 24, incisos VI, VIII e XII, da Carta Federal –, descabe ao ente federado recusar-se ao implemento das providências pertinentes pelos meios próprios.</w:t>
        <w:br/>
        <w:t>[ADI 2.303, rel. min. Marco Aurélio, j. 5-9-2018, P, DJE de 11-11-2020.] Lei Estadual 11.078/1999, de Santa Catarina, que estabelece normas sobre controle de resíduos de embarcações, oleodutos e instalações costeiras. Alegação de ofensa ao art. 22, I, da CF. Não ocorrênci</w:t>
      </w:r>
    </w:p>
    <w:p>
      <w:pPr>
        <w:ind w:left="288"/>
      </w:pPr>
      <w:r>
        <w:rPr>
          <w:b/>
          <w:color w:val="003CA0"/>
          <w:sz w:val="16"/>
        </w:rPr>
        <w:t>[ADI 2.030, rel. min. Gilmar Mendes, j. 9-8-2017, P, DJE de 17-10-2018.]</w:t>
      </w:r>
    </w:p>
    <w:p>
      <w:pPr>
        <w:ind w:left="288"/>
      </w:pPr>
      <w:r>
        <w:rPr>
          <w:color w:val="8C8C8C"/>
          <w:sz w:val="12"/>
        </w:rPr>
        <w:t>cf-art-24-inc-VIII</w:t>
      </w:r>
      <w:r>
        <w:rPr>
          <w:color w:val="003CA0"/>
          <w:sz w:val="12"/>
        </w:rPr>
        <w:t xml:space="preserve"> | ADI 1.980</w:t>
      </w:r>
      <w:r>
        <w:rPr>
          <w:color w:val="003CA0"/>
          <w:sz w:val="12"/>
        </w:rPr>
        <w:t xml:space="preserve"> | rel. Cezar Peluso</w:t>
      </w:r>
    </w:p>
    <w:p>
      <w:pPr>
        <w:ind w:left="288"/>
      </w:pPr>
      <w:r>
        <w:rPr>
          <w:color w:val="1E1E1E"/>
          <w:sz w:val="18"/>
        </w:rPr>
        <w:t>A competência do Estado para instituir regras de efetiva proteção aos consumidores nasce-lhe do art. 24, V e VIII, c/c o § 2º (...). Cumpre ao Estado legislar concorrentemente, de forma específica, adaptando as normas gerais de "produção e consumo" e de "responsabilidade por dano ao (...) consumidor" expedidas pela União às peculiaridades e circunstâncias locais. E foi o que fez a legislação impugnada, pretendendo dar concreção e efetividade aos ditames da legislação federal correlativa, em tema de comercialização de combustíveis.</w:t>
        <w:br/>
        <w:t>[ADI 1.980, voto do rel. min. Cezar Peluso, j. 16-4-2009, P, DJ</w:t>
      </w:r>
    </w:p>
    <w:p>
      <w:pPr>
        <w:ind w:left="144"/>
      </w:pPr>
      <w:r>
        <w:rPr>
          <w:b/>
          <w:color w:val="B45A00"/>
          <w:sz w:val="16"/>
        </w:rPr>
        <w:t>JULGADOS CORRELATOS</w:t>
      </w:r>
    </w:p>
    <w:p>
      <w:pPr>
        <w:ind w:left="288"/>
      </w:pPr>
      <w:r>
        <w:rPr>
          <w:color w:val="8C8C8C"/>
          <w:sz w:val="12"/>
        </w:rPr>
        <w:t>cf-art-24-inc-VIII</w:t>
      </w:r>
      <w:r>
        <w:rPr>
          <w:color w:val="003CA0"/>
          <w:sz w:val="12"/>
        </w:rPr>
        <w:t xml:space="preserve"> | ARE 1.013.975</w:t>
      </w:r>
      <w:r>
        <w:rPr>
          <w:color w:val="003CA0"/>
          <w:sz w:val="12"/>
        </w:rPr>
        <w:t xml:space="preserve"> | rel. Rosa Weber</w:t>
      </w:r>
    </w:p>
    <w:p>
      <w:pPr>
        <w:ind w:left="288"/>
      </w:pPr>
      <w:r>
        <w:rPr>
          <w:color w:val="1E1E1E"/>
          <w:sz w:val="18"/>
        </w:rPr>
        <w:t>(...) é constitucional a lei estadual que prevê a instalação de dispositivos de segurança nas agências bancárias, considerada a competência concorrente entre União e Estados federados para legislar em matéria de segurança nas relações de consumo (art. 24, V e VIII e § 2º, da Carta Magna).</w:t>
        <w:br/>
        <w:t>[ARE 1.013.975 AgR-segundo, rel. min. Rosa Weber, j. 17-10-2017, 1ª T, DJE de 22-11-2017.]</w:t>
      </w:r>
    </w:p>
    <w:p>
      <w:pPr>
        <w:ind w:left="288"/>
      </w:pPr>
      <w:r>
        <w:rPr>
          <w:color w:val="8C8C8C"/>
          <w:sz w:val="12"/>
        </w:rPr>
        <w:t>cf-art-24-inc-IX</w:t>
      </w:r>
      <w:r>
        <w:rPr>
          <w:color w:val="003CA0"/>
          <w:sz w:val="12"/>
        </w:rPr>
        <w:t xml:space="preserve"> | ADI 2.965</w:t>
      </w:r>
      <w:r>
        <w:rPr>
          <w:color w:val="003CA0"/>
          <w:sz w:val="12"/>
        </w:rPr>
        <w:t xml:space="preserve"> | rel. Luiz Fux</w:t>
      </w:r>
    </w:p>
    <w:p>
      <w:pPr>
        <w:ind w:left="288"/>
      </w:pPr>
      <w:r>
        <w:rPr>
          <w:color w:val="1E1E1E"/>
          <w:sz w:val="18"/>
        </w:rPr>
        <w:t>A competência legislativa suplementar dos Estados-membros em matéria de educação e ensino está adstrita à edição de normas específicas, de forma a atender às peculiaridades de cada ente da federação, não servindo de pretexto à elaboração de normas gerais sobre educação ou à disciplina de matérias de competência legislativa privativa da União.</w:t>
      </w:r>
    </w:p>
    <w:p>
      <w:pPr>
        <w:ind w:left="288"/>
      </w:pPr>
      <w:r>
        <w:rPr>
          <w:b/>
          <w:color w:val="003CA0"/>
          <w:sz w:val="16"/>
        </w:rPr>
        <w:t>[ADI 2.965, rel. min. Luiz Fux, j. 02.04.2025, P, DJE de 23.10.2025.]</w:t>
      </w:r>
    </w:p>
    <w:p>
      <w:pPr>
        <w:ind w:left="144"/>
      </w:pPr>
      <w:r>
        <w:rPr>
          <w:b/>
          <w:color w:val="B45A00"/>
          <w:sz w:val="16"/>
        </w:rPr>
        <w:t>CONTROLE CONCENTRADO</w:t>
      </w:r>
    </w:p>
    <w:p>
      <w:pPr>
        <w:ind w:left="288"/>
      </w:pPr>
      <w:r>
        <w:rPr>
          <w:color w:val="8C8C8C"/>
          <w:sz w:val="12"/>
        </w:rPr>
        <w:t>cf-art-24-inc-IX</w:t>
      </w:r>
      <w:r>
        <w:rPr>
          <w:color w:val="003CA0"/>
          <w:sz w:val="12"/>
        </w:rPr>
        <w:t xml:space="preserve"> | ADI 6.412</w:t>
      </w:r>
      <w:r>
        <w:rPr>
          <w:color w:val="003CA0"/>
          <w:sz w:val="12"/>
        </w:rPr>
        <w:t xml:space="preserve"> | rel. Luís Roberto Barroso</w:t>
      </w:r>
    </w:p>
    <w:p>
      <w:pPr>
        <w:ind w:left="288"/>
      </w:pPr>
      <w:r>
        <w:rPr>
          <w:color w:val="1E1E1E"/>
          <w:sz w:val="18"/>
        </w:rPr>
        <w:t>A jurisprudência pacífica do Supremo Tribunal Federal reconhece que a definição do que sejam despesas com manutenção e desenvolvimento do ensino constitui matéria de diretrizes e bases da educação nacional (art. 22, XXIV, CF/1988), ou mesmo de normas gerais sobre educação (art. 24, IX e § 1º, CF/1988), de competência privativa da União. (...) É inconstitucional lei estadual que autoriza o cômputo de gastos previdenciários como despesas com manutenção e desenvolvimento do ensino.</w:t>
        <w:br/>
        <w:t xml:space="preserve">[ADI 6.412, rel. min. Luís Roberto Barroso, j. 4-9-2023, P, DJE de 25-9-2023.] Ação direta de inconstitucionalidade </w:t>
      </w:r>
    </w:p>
    <w:p>
      <w:pPr>
        <w:ind w:left="288"/>
      </w:pPr>
      <w:r>
        <w:rPr>
          <w:b/>
          <w:color w:val="003CA0"/>
          <w:sz w:val="16"/>
        </w:rPr>
        <w:t>[ADI 5.112, rel. min. Edson Fachin, j. 17-8-2021, P, DJE de 10-9-2021.]</w:t>
      </w:r>
    </w:p>
    <w:p>
      <w:pPr>
        <w:ind w:left="288"/>
      </w:pPr>
      <w:r>
        <w:rPr>
          <w:color w:val="8C8C8C"/>
          <w:sz w:val="12"/>
        </w:rPr>
        <w:t>cf-art-24-inc-IX</w:t>
      </w:r>
      <w:r>
        <w:rPr>
          <w:color w:val="003CA0"/>
          <w:sz w:val="12"/>
        </w:rPr>
        <w:t xml:space="preserve"> | ADI 5.752</w:t>
      </w:r>
      <w:r>
        <w:rPr>
          <w:color w:val="003CA0"/>
          <w:sz w:val="12"/>
        </w:rPr>
        <w:t xml:space="preserve"> | rel. Luiz Fux</w:t>
      </w:r>
    </w:p>
    <w:p>
      <w:pPr>
        <w:ind w:left="288"/>
      </w:pPr>
      <w:r>
        <w:rPr>
          <w:color w:val="1E1E1E"/>
          <w:sz w:val="18"/>
        </w:rPr>
        <w:t>A Lei federal 11.788/2008 determina que o estágio não cria vínculo empregatício de qualquer natureza, observados os seguintes requisitos: (i) matrícula e frequência regular do educando em curso de educação superior, de educação profissional, de ensino médio, da educação especial e nos anos finais do ensino fundamental, na modalidade profissional da educação de jovens e adultos e atestados pela instituição de ensino; (ii) celebração de termo de compromisso entre o educando, a parte concedente do estágio e a instituição de ensino; e (iii) compatibilidade entre as atividades desenvolvidas no está</w:t>
      </w:r>
    </w:p>
    <w:p>
      <w:pPr>
        <w:ind w:left="288"/>
      </w:pPr>
      <w:r>
        <w:rPr>
          <w:b/>
          <w:color w:val="003CA0"/>
          <w:sz w:val="16"/>
        </w:rPr>
        <w:t>[ADI 5.752, rel. min. Luiz Fux, j. 18-10-2019, P, DJE de 4-11-2019.]</w:t>
      </w:r>
    </w:p>
    <w:p>
      <w:pPr>
        <w:ind w:left="288"/>
      </w:pPr>
      <w:r>
        <w:rPr>
          <w:color w:val="8C8C8C"/>
          <w:sz w:val="12"/>
        </w:rPr>
        <w:t>cf-art-24-inc-IX</w:t>
      </w:r>
      <w:r>
        <w:rPr>
          <w:color w:val="003CA0"/>
          <w:sz w:val="12"/>
        </w:rPr>
        <w:t xml:space="preserve"> | ADI 3.874</w:t>
      </w:r>
      <w:r>
        <w:rPr>
          <w:color w:val="003CA0"/>
          <w:sz w:val="12"/>
        </w:rPr>
        <w:t xml:space="preserve"> | rel. Roberto Barroso</w:t>
      </w:r>
    </w:p>
    <w:p>
      <w:pPr>
        <w:ind w:left="288"/>
      </w:pPr>
      <w:r>
        <w:rPr>
          <w:color w:val="1E1E1E"/>
          <w:sz w:val="18"/>
        </w:rPr>
        <w:t>Lei fluminense que proíbe a cobrança pelos estabelecimentos de ensino sediados no Estado do Rio de Janeiro, por provas de segunda-chamada, provas finais ou equivalentes, não podendo os estudantes ser impedidos de fazer provas, testes, exames ou outras formas de avaliação, por falta de pagamento prévio. Ao estabelecer regras protetivas dos estudantes mais amplas do que as federais, quanto à cobrança por provas de segunda chamada ou finais, o Estado do Rio de Janeiro atuou dentro da área de sua competência concorrente para legislar sobre direito do consumidor e educação (art. 24, inciso V e IX).</w:t>
      </w:r>
    </w:p>
    <w:p>
      <w:pPr>
        <w:ind w:left="288"/>
      </w:pPr>
      <w:r>
        <w:rPr>
          <w:b/>
          <w:color w:val="003CA0"/>
          <w:sz w:val="16"/>
        </w:rPr>
        <w:t>[ADI 3.874, rel. min. Roberto Barroso, j. 23-8-2019, P, DJE de 9-9-2019.]</w:t>
      </w:r>
    </w:p>
    <w:p>
      <w:pPr>
        <w:ind w:left="288"/>
      </w:pPr>
      <w:r>
        <w:rPr>
          <w:color w:val="8C8C8C"/>
          <w:sz w:val="12"/>
        </w:rPr>
        <w:t>cf-art-24-inc-IX</w:t>
      </w:r>
      <w:r>
        <w:rPr>
          <w:color w:val="003CA0"/>
          <w:sz w:val="12"/>
        </w:rPr>
        <w:t xml:space="preserve"> | ADI 3.477</w:t>
      </w:r>
    </w:p>
    <w:p>
      <w:pPr>
        <w:ind w:left="288"/>
      </w:pPr>
      <w:r>
        <w:rPr>
          <w:color w:val="1E1E1E"/>
          <w:sz w:val="18"/>
        </w:rPr>
        <w:t>Lei 8.633/2005 do Estado do Rio Grande do Norte. Contribuição social incidente sobre proventos de aposentadoria e pensões. Dispensa na reforma da Carta estadual para instituição da exação em tela, a qual pode perfeitamente ser criada pela lei estadual. A CRFB/1988, em seu art. 40, com redação conferida pela EC 41/2003, estabelece regra geral a ser observada pelos Estados, Municípios e Distrito Federal. Parágrafo 1º do art. 149 da CRFB/1988. Imposição aos Estados de obrigatoriedade de instituição da contribuição social para custeio do regime previdenciário de seus servidores. Parágrafo único do</w:t>
      </w:r>
    </w:p>
    <w:p>
      <w:pPr>
        <w:ind w:left="288"/>
      </w:pPr>
      <w:r>
        <w:rPr>
          <w:b/>
          <w:color w:val="003CA0"/>
          <w:sz w:val="16"/>
        </w:rPr>
        <w:t>[ADI 3.477, red. do ac. min. Luiz Fux, j. 4-3-2015, P, DJE de 4-5-2015.]</w:t>
      </w:r>
    </w:p>
    <w:p>
      <w:pPr>
        <w:ind w:left="288"/>
      </w:pPr>
      <w:r>
        <w:rPr>
          <w:color w:val="8C8C8C"/>
          <w:sz w:val="12"/>
        </w:rPr>
        <w:t>cf-art-24-inc-IX</w:t>
      </w:r>
      <w:r>
        <w:rPr>
          <w:color w:val="003CA0"/>
          <w:sz w:val="12"/>
        </w:rPr>
        <w:t xml:space="preserve"> | ADI 4.060</w:t>
      </w:r>
      <w:r>
        <w:rPr>
          <w:color w:val="003CA0"/>
          <w:sz w:val="12"/>
        </w:rPr>
        <w:t xml:space="preserve"> | rel. Luiz Fux</w:t>
      </w:r>
    </w:p>
    <w:p>
      <w:pPr>
        <w:ind w:left="288"/>
      </w:pPr>
      <w:r>
        <w:rPr>
          <w:color w:val="1E1E1E"/>
          <w:sz w:val="18"/>
        </w:rPr>
        <w:t>A competência legislativa do Estado-membro para dispor sobre educação e ensino (CRFB, art. 24, IX) autoriza a fixação, por lei local, do número máximo de alunos em sala de aula, no afã de viabilizar o adequado aproveitamento dos estudantes. O limite máximo de alunos em sala de aula não ostenta natureza de norma geral, uma vez que dependente das circunstâncias peculiares a cada ente da federação, tais como o número de escolas colocadas à disposição da comunidade, a oferta de vagas para o ensino, o quantitativo de crianças em idade escolar para o nível fundamental e médio, o número de professore</w:t>
      </w:r>
    </w:p>
    <w:p>
      <w:pPr>
        <w:ind w:left="288"/>
      </w:pPr>
      <w:r>
        <w:rPr>
          <w:b/>
          <w:color w:val="003CA0"/>
          <w:sz w:val="16"/>
        </w:rPr>
        <w:t>[ADI 4.060, rel. min. Luiz Fux, j. 25-2-2015, P, DJE de 4-5-2015.]</w:t>
      </w:r>
    </w:p>
    <w:p>
      <w:pPr>
        <w:ind w:left="288"/>
      </w:pPr>
      <w:r>
        <w:rPr>
          <w:color w:val="8C8C8C"/>
          <w:sz w:val="12"/>
        </w:rPr>
        <w:t>cf-art-24-inc-IX</w:t>
      </w:r>
      <w:r>
        <w:rPr>
          <w:color w:val="003CA0"/>
          <w:sz w:val="12"/>
        </w:rPr>
        <w:t xml:space="preserve"> | ADI 3.098</w:t>
      </w:r>
      <w:r>
        <w:rPr>
          <w:color w:val="003CA0"/>
          <w:sz w:val="12"/>
        </w:rPr>
        <w:t xml:space="preserve"> | rel. Cezar Peluso</w:t>
      </w:r>
    </w:p>
    <w:p>
      <w:pPr>
        <w:ind w:left="288"/>
      </w:pPr>
      <w:r>
        <w:rPr>
          <w:color w:val="1E1E1E"/>
          <w:sz w:val="18"/>
        </w:rPr>
        <w:t xml:space="preserve">Ação direta proposta contra a validez constitucional do Estatuto do Torcedor (...). O diploma questionado não deixa de ser um conjunto ordenado de normas de caráter geral. (...) A lei não cuida de particularidades nem de minudências que pudessem estar reservadas à dita "competência estadual concorrente não cumulativa ou suplementar" (ADI 3.098) do art. 24, § 2º, da Constituição da República. (...) o Estatuto do Torcedor guarda, em certas passagens, índole metanormativa, porque, visando à proteção do espectador, dita regras sobre a produção de outras regras (os regulamentos). E daí vem a óbvia </w:t>
      </w:r>
    </w:p>
    <w:p>
      <w:pPr>
        <w:ind w:left="288"/>
      </w:pPr>
      <w:r>
        <w:rPr>
          <w:b/>
          <w:color w:val="003CA0"/>
          <w:sz w:val="16"/>
        </w:rPr>
        <w:t>[ADI 2.937, voto do rel. min. Cezar Peluso, j. 23-2-2012, P, DJE de 29-5-2012.]</w:t>
      </w:r>
    </w:p>
    <w:p>
      <w:pPr>
        <w:ind w:left="288"/>
      </w:pPr>
      <w:r>
        <w:rPr>
          <w:color w:val="8C8C8C"/>
          <w:sz w:val="12"/>
        </w:rPr>
        <w:t>cf-art-24-inc-IX</w:t>
      </w:r>
      <w:r>
        <w:rPr>
          <w:color w:val="003CA0"/>
          <w:sz w:val="12"/>
        </w:rPr>
        <w:t xml:space="preserve"> | ADI 4.167</w:t>
      </w:r>
      <w:r>
        <w:rPr>
          <w:color w:val="003CA0"/>
          <w:sz w:val="12"/>
        </w:rPr>
        <w:t xml:space="preserve"> | rel. Joaquim Barbosa</w:t>
      </w:r>
    </w:p>
    <w:p>
      <w:pPr>
        <w:ind w:left="288"/>
      </w:pPr>
      <w:r>
        <w:rPr>
          <w:color w:val="1E1E1E"/>
          <w:sz w:val="18"/>
        </w:rPr>
        <w:t>É constitucional a norma geral federal que fixou o piso salarial dos professores do ensino médio com base no vencimento, e não na remuneração global. Competência da União para dispor sobre normas gerais relativas ao piso de vencimento dos professores da educação básica, de modo a utilizá-lo como mecanismo de fomento ao sistema educacional e de valorização profissional, e não apenas como instrumento de proteção mínima ao trabalhador. É constitucional a norma geral federal que reserva o percentual mínimo de 1/3 da carga horária dos docentes da educação básica para dedicação às atividades extracl</w:t>
      </w:r>
    </w:p>
    <w:p>
      <w:pPr>
        <w:ind w:left="288"/>
      </w:pPr>
      <w:r>
        <w:rPr>
          <w:b/>
          <w:color w:val="003CA0"/>
          <w:sz w:val="16"/>
        </w:rPr>
        <w:t>[ADI 4.167, rel. min. Joaquim Barbosa, j. 27-4-2011, P, DJE de 24-8-2011.]</w:t>
      </w:r>
    </w:p>
    <w:p>
      <w:pPr>
        <w:ind w:left="288"/>
      </w:pPr>
      <w:r>
        <w:rPr>
          <w:color w:val="8C8C8C"/>
          <w:sz w:val="12"/>
        </w:rPr>
        <w:t>cf-art-24-inc-IX</w:t>
      </w:r>
      <w:r>
        <w:rPr>
          <w:color w:val="003CA0"/>
          <w:sz w:val="12"/>
        </w:rPr>
        <w:t xml:space="preserve"> | ADI 4.167</w:t>
      </w:r>
      <w:r>
        <w:rPr>
          <w:color w:val="003CA0"/>
          <w:sz w:val="12"/>
        </w:rPr>
        <w:t xml:space="preserve"> | rel. Joaquim Barbosa</w:t>
      </w:r>
    </w:p>
    <w:p>
      <w:pPr>
        <w:ind w:left="288"/>
      </w:pPr>
      <w:r>
        <w:rPr>
          <w:color w:val="1E1E1E"/>
          <w:sz w:val="18"/>
        </w:rPr>
        <w:t>Vide ADI 4.167 ED-AgR, rel. min. Joaquim Barbosa, j. 27-2-2013, P, DJE de 9-10-2013 Competência concorrente entre a União, que define as normas gerais, e os entes estaduais e Distrito Federal, que fixam as especificidades, os modos e meios de cumprir o quanto estabelecido no art. 24, IX, da Constituição da República, ou seja, para legislar sobre educação. O art. 22, XXIV, da Constituição da República enfatiza a competência privativa do legislador nacional para definir as diretrizes e bases da educação nacional, deixando as singularidades no âmbito de competência dos Estados e do Distrito Feder</w:t>
      </w:r>
    </w:p>
    <w:p>
      <w:pPr>
        <w:ind w:left="288"/>
      </w:pPr>
      <w:r>
        <w:rPr>
          <w:b/>
          <w:color w:val="003CA0"/>
          <w:sz w:val="16"/>
        </w:rPr>
        <w:t>[ADI 3.669, rel. min. Cármen Lúcia, j. 18-6-2007, P, DJ de 29-6-2007.]</w:t>
      </w:r>
    </w:p>
    <w:p>
      <w:pPr>
        <w:ind w:left="288"/>
      </w:pPr>
      <w:r>
        <w:rPr>
          <w:color w:val="8C8C8C"/>
          <w:sz w:val="12"/>
        </w:rPr>
        <w:t>cf-art-24-inc-IX</w:t>
      </w:r>
      <w:r>
        <w:rPr>
          <w:color w:val="003CA0"/>
          <w:sz w:val="12"/>
        </w:rPr>
        <w:t xml:space="preserve"> | ADI 1.266</w:t>
      </w:r>
      <w:r>
        <w:rPr>
          <w:color w:val="003CA0"/>
          <w:sz w:val="12"/>
        </w:rPr>
        <w:t xml:space="preserve"> | rel. Eros Grau</w:t>
      </w:r>
    </w:p>
    <w:p>
      <w:pPr>
        <w:ind w:left="288"/>
      </w:pPr>
      <w:r>
        <w:rPr>
          <w:color w:val="1E1E1E"/>
          <w:sz w:val="18"/>
        </w:rPr>
        <w:t>Os serviços de educação, seja os prestados pelo Estado, seja os prestados por particulares, configuram serviço público não privativo, podendo ser prestados pelo setor privado independentemente de concessão, permissão ou autorização. Tratando-se de serviço público, incumbe às entidades educacionais particulares, na sua prestação, rigorosamente acatar as normas gerais de educação nacional e as dispostas pelo Estado-membro, no exercício de competência legislativa suplementar (§ 2º do art. 24 da Constituição do Brasil).</w:t>
      </w:r>
    </w:p>
    <w:p>
      <w:pPr>
        <w:ind w:left="288"/>
      </w:pPr>
      <w:r>
        <w:rPr>
          <w:b/>
          <w:color w:val="003CA0"/>
          <w:sz w:val="16"/>
        </w:rPr>
        <w:t>[ADI 1.266, rel. min. Eros Grau, j. 6-4-2005, P, DJ de 23-9-2005.]</w:t>
      </w:r>
    </w:p>
    <w:p>
      <w:pPr>
        <w:ind w:left="288"/>
      </w:pPr>
      <w:r>
        <w:rPr>
          <w:color w:val="8C8C8C"/>
          <w:sz w:val="12"/>
        </w:rPr>
        <w:t>cf-art-24-inc-XI</w:t>
      </w:r>
      <w:r>
        <w:rPr>
          <w:color w:val="003CA0"/>
          <w:sz w:val="12"/>
        </w:rPr>
        <w:t xml:space="preserve"> | ADI 2.776</w:t>
      </w:r>
      <w:r>
        <w:rPr>
          <w:color w:val="003CA0"/>
          <w:sz w:val="12"/>
        </w:rPr>
        <w:t xml:space="preserve"> | rel. Nunes Marques</w:t>
      </w:r>
    </w:p>
    <w:p>
      <w:pPr>
        <w:ind w:left="288"/>
      </w:pPr>
      <w:r>
        <w:rPr>
          <w:color w:val="1E1E1E"/>
          <w:sz w:val="18"/>
        </w:rPr>
        <w:t>A norma estadual que atribui a coordenação e execução de perícia no âmbito de investigação criminal foi editada no exercício não da competência de legislar sobre direito processual, mas de dispor sobre procedimentos em matéria processual, inserida entre as competências normativas concorrentes da União, dos Estados e do Distrito Federal nos termos do inciso XI do art. 24 da Constituição de 1988. A investigação criminal não é atribuição exclusiva dos órgãos de polícia judiciária, assim como a perícia em local de incêndio ou explosão não configura mera apuração de infração penal. (...) É inconsti</w:t>
      </w:r>
    </w:p>
    <w:p>
      <w:pPr>
        <w:ind w:left="288"/>
      </w:pPr>
      <w:r>
        <w:rPr>
          <w:b/>
          <w:color w:val="003CA0"/>
          <w:sz w:val="16"/>
        </w:rPr>
        <w:t>[ADI 2.922, rel. min. Gilmar Mendes, j. 3-4-2014, P, DJE de 30-10-2014.]</w:t>
      </w:r>
    </w:p>
    <w:p>
      <w:pPr>
        <w:ind w:left="288"/>
      </w:pPr>
      <w:r>
        <w:rPr>
          <w:color w:val="8C8C8C"/>
          <w:sz w:val="12"/>
        </w:rPr>
        <w:t>cf-art-24-inc-XI</w:t>
      </w:r>
      <w:r>
        <w:rPr>
          <w:color w:val="003CA0"/>
          <w:sz w:val="12"/>
        </w:rPr>
        <w:t xml:space="preserve"> | ADI 2.886</w:t>
      </w:r>
    </w:p>
    <w:p>
      <w:pPr>
        <w:ind w:left="288"/>
      </w:pPr>
      <w:r>
        <w:rPr>
          <w:color w:val="1E1E1E"/>
          <w:sz w:val="18"/>
        </w:rPr>
        <w:t>A legislação que disciplina o inquérito policial não se inclui no âmbito estrito do processo penal, cuja competência é privativa da União (art. 22, I, CF), pois o inquérito é procedimento subsumido nos limites da competência legislativa concorrente, a teor do art. 24, XI, da CF de 1988, tal como já decidido reiteradamente pelo STF. O procedimento do inquérito policial, conforme previsto pelo CPP, torna desnecessária a intermediação judicial quando ausente a necessidade de adoção de medidas constritivas de direitos dos investigados, razão por que projetos de reforma do CPP propõem a remessa dir</w:t>
      </w:r>
    </w:p>
    <w:p>
      <w:pPr>
        <w:ind w:left="288"/>
      </w:pPr>
      <w:r>
        <w:rPr>
          <w:b/>
          <w:color w:val="003CA0"/>
          <w:sz w:val="16"/>
        </w:rPr>
        <w:t>[ADI 2.886, red. do ac. min. Joaquim Barbosa, j. 3-4-2014, P, DJE de 5-8-2014.]</w:t>
      </w:r>
    </w:p>
    <w:p>
      <w:pPr>
        <w:ind w:left="288"/>
      </w:pPr>
      <w:r>
        <w:rPr>
          <w:color w:val="8C8C8C"/>
          <w:sz w:val="12"/>
        </w:rPr>
        <w:t>cf-art-24-inc-XI</w:t>
      </w:r>
      <w:r>
        <w:rPr>
          <w:color w:val="003CA0"/>
          <w:sz w:val="12"/>
        </w:rPr>
        <w:t xml:space="preserve"> | ADI 4.414</w:t>
      </w:r>
      <w:r>
        <w:rPr>
          <w:color w:val="003CA0"/>
          <w:sz w:val="12"/>
        </w:rPr>
        <w:t xml:space="preserve"> | rel. Luiz Fux</w:t>
      </w:r>
    </w:p>
    <w:p>
      <w:pPr>
        <w:ind w:left="288"/>
      </w:pPr>
      <w:r>
        <w:rPr>
          <w:color w:val="1E1E1E"/>
          <w:sz w:val="18"/>
        </w:rPr>
        <w:t>Criação, por lei estadual, de varas especializadas em delitos praticados por organizações criminosas. (...) A composição do órgão jurisdicional se insere na competência legislativa concorrente para versar sobre procedimentos em matéria processual, mercê da caracterização do procedimento como a exteriorização da relação jurídica em desenvolvimento, a englobar o modo de produção dos atos decisórios do Estado-juiz, se com a chancela de um ou de vários magistrados. (...) Os Estados-membros podem dispor, mediante lei, sobre protocolo e distribuição de processos, no âmbito de sua competência para ed</w:t>
      </w:r>
    </w:p>
    <w:p>
      <w:pPr>
        <w:ind w:left="288"/>
      </w:pPr>
      <w:r>
        <w:rPr>
          <w:b/>
          <w:color w:val="003CA0"/>
          <w:sz w:val="16"/>
        </w:rPr>
        <w:t>[ADI 4.414, rel. min. Luiz Fux, j. 31-5-2012, P, DJE de 17-6-2013.]</w:t>
      </w:r>
    </w:p>
    <w:p>
      <w:pPr>
        <w:ind w:left="144"/>
      </w:pPr>
      <w:r>
        <w:rPr>
          <w:b/>
          <w:color w:val="B45A00"/>
          <w:sz w:val="16"/>
        </w:rPr>
        <w:t>JULGADOS CORRELATOS</w:t>
      </w:r>
    </w:p>
    <w:p>
      <w:pPr>
        <w:ind w:left="288"/>
      </w:pPr>
      <w:r>
        <w:rPr>
          <w:color w:val="8C8C8C"/>
          <w:sz w:val="12"/>
        </w:rPr>
        <w:t>cf-art-24-inc-XI</w:t>
      </w:r>
      <w:r>
        <w:rPr>
          <w:color w:val="003CA0"/>
          <w:sz w:val="12"/>
        </w:rPr>
        <w:t xml:space="preserve"> | AI 253.518</w:t>
      </w:r>
      <w:r>
        <w:rPr>
          <w:color w:val="003CA0"/>
          <w:sz w:val="12"/>
        </w:rPr>
        <w:t xml:space="preserve"> | rel. Marco Aurélio</w:t>
      </w:r>
    </w:p>
    <w:p>
      <w:pPr>
        <w:ind w:left="288"/>
      </w:pPr>
      <w:r>
        <w:rPr>
          <w:color w:val="1E1E1E"/>
          <w:sz w:val="18"/>
        </w:rPr>
        <w:t>Descabe confundir a competência concorrente da União, Estados e Distrito Federal para legislar sobre procedimentos em matéria processual; art. 24, XI, com a privativa para legislar sobre direito processual, prevista no art. 22, I, ambos da CF. Os Estados não têm competência para a criação de recurso, como é o de embargos de divergência contra decisão de turma recursal.</w:t>
      </w:r>
    </w:p>
    <w:p>
      <w:pPr>
        <w:ind w:left="288"/>
      </w:pPr>
      <w:r>
        <w:rPr>
          <w:b/>
          <w:color w:val="003CA0"/>
          <w:sz w:val="16"/>
        </w:rPr>
        <w:t>[AI 253.518 AgR, rel. min. Marco Aurélio, j. 9-5-2000, 2ª T, DJ de 18-8-2000.]</w:t>
      </w:r>
    </w:p>
    <w:p>
      <w:pPr>
        <w:ind w:left="288"/>
      </w:pPr>
      <w:r>
        <w:rPr>
          <w:color w:val="8C8C8C"/>
          <w:sz w:val="12"/>
        </w:rPr>
        <w:t>cf-art-24-inc-XII</w:t>
      </w:r>
      <w:r>
        <w:rPr>
          <w:color w:val="003CA0"/>
          <w:sz w:val="12"/>
        </w:rPr>
        <w:t xml:space="preserve"> | ADI 7.683</w:t>
      </w:r>
      <w:r>
        <w:rPr>
          <w:color w:val="003CA0"/>
          <w:sz w:val="12"/>
        </w:rPr>
        <w:t xml:space="preserve"> | rel. Cristiano Zanin</w:t>
      </w:r>
    </w:p>
    <w:p>
      <w:pPr>
        <w:ind w:left="288"/>
      </w:pPr>
      <w:r>
        <w:rPr>
          <w:color w:val="1E1E1E"/>
          <w:sz w:val="18"/>
        </w:rPr>
        <w:t>A jurisprudência do Supremo Tribunal Federal é consolidada no sentido de que a competência legislativa suplementar dos estados em relação ao respectivo regime próprio deve mantê-lo restrito aos servidores titulares de cargo efetivo, não havendo permissão constitucional para ampliar o rol previsto no art. 40 da Constituição Federal.</w:t>
      </w:r>
    </w:p>
    <w:p>
      <w:pPr>
        <w:ind w:left="288"/>
      </w:pPr>
      <w:r>
        <w:rPr>
          <w:b/>
          <w:color w:val="003CA0"/>
          <w:sz w:val="16"/>
        </w:rPr>
        <w:t>[ADI 7.683, rel. min. Cristiano Zanin, j. 22-12-2025, P, DJE de 30-1-2026.]</w:t>
      </w:r>
    </w:p>
    <w:p>
      <w:pPr>
        <w:ind w:left="288"/>
      </w:pPr>
      <w:r>
        <w:rPr>
          <w:color w:val="8C8C8C"/>
          <w:sz w:val="12"/>
        </w:rPr>
        <w:t>cf-art-24-inc-XII</w:t>
      </w:r>
      <w:r>
        <w:rPr>
          <w:color w:val="003CA0"/>
          <w:sz w:val="12"/>
        </w:rPr>
        <w:t xml:space="preserve"> | ADI 5.758</w:t>
      </w:r>
      <w:r>
        <w:rPr>
          <w:color w:val="003CA0"/>
          <w:sz w:val="12"/>
        </w:rPr>
        <w:t xml:space="preserve"> | rel. Nunes Marques</w:t>
      </w:r>
    </w:p>
    <w:p>
      <w:pPr>
        <w:ind w:left="288"/>
      </w:pPr>
      <w:r>
        <w:rPr>
          <w:color w:val="1E1E1E"/>
          <w:sz w:val="18"/>
        </w:rPr>
        <w:t xml:space="preserve">A Lei n. 17.110/2017 do Estado de Santa Catarina, ao dispor sobre o fornecimento de tratamento alternativo para os portadores de diabetes em uso de insulina, veicula normas sobre proteção e defesa da saúde, nos termos de sua competência legislativa concorrente quanto ao assunto (CF/1988, art. 24, XII). Tendo em vista a inexistência de controvérsia sobre registro dos análogos de insulina na Agência Nacional de Vigilância Sanitária (Anvisa), bem assim a incorporação, ao SUS, de insulina análoga para o tratamento de diabetes e a ampliação do uso dos citados medicamentos como opção terapêutica, a </w:t>
      </w:r>
    </w:p>
    <w:p>
      <w:pPr>
        <w:ind w:left="288"/>
      </w:pPr>
      <w:r>
        <w:rPr>
          <w:b/>
          <w:color w:val="003CA0"/>
          <w:sz w:val="16"/>
        </w:rPr>
        <w:t>[ADI 5.758, rel. min. Nunes Marques, j. 14.04.2025, P, DJE de 08.05.2025.]</w:t>
      </w:r>
    </w:p>
    <w:p>
      <w:pPr>
        <w:ind w:left="288"/>
      </w:pPr>
      <w:r>
        <w:rPr>
          <w:color w:val="8C8C8C"/>
          <w:sz w:val="12"/>
        </w:rPr>
        <w:t>cf-art-24-inc-XII</w:t>
      </w:r>
      <w:r>
        <w:rPr>
          <w:color w:val="003CA0"/>
          <w:sz w:val="12"/>
        </w:rPr>
        <w:t xml:space="preserve"> | ADI 6.849</w:t>
      </w:r>
      <w:r>
        <w:rPr>
          <w:color w:val="003CA0"/>
          <w:sz w:val="12"/>
        </w:rPr>
        <w:t xml:space="preserve"> | rel. Dias Toffoli</w:t>
      </w:r>
    </w:p>
    <w:p>
      <w:pPr>
        <w:ind w:left="288"/>
      </w:pPr>
      <w:r>
        <w:rPr>
          <w:color w:val="1E1E1E"/>
          <w:sz w:val="18"/>
        </w:rPr>
        <w:t>É constitucional lei estadual que fixe o mês subsequente ao da publicação do ato concessivo de aposentadoria como o termo inicial para o pagamento do respectivo benefício do regime próprio de previdência.</w:t>
      </w:r>
    </w:p>
    <w:p>
      <w:pPr>
        <w:ind w:left="288"/>
      </w:pPr>
      <w:r>
        <w:rPr>
          <w:b/>
          <w:color w:val="003CA0"/>
          <w:sz w:val="16"/>
        </w:rPr>
        <w:t>[ADI 6.849, rel. min. Dias Toffoli, j. 19.11.2024, P, DJE de 02.12.2024.]</w:t>
      </w:r>
    </w:p>
    <w:p>
      <w:pPr>
        <w:ind w:left="288"/>
      </w:pPr>
      <w:r>
        <w:rPr>
          <w:color w:val="8C8C8C"/>
          <w:sz w:val="12"/>
        </w:rPr>
        <w:t>cf-art-24-inc-XII</w:t>
      </w:r>
      <w:r>
        <w:rPr>
          <w:color w:val="003CA0"/>
          <w:sz w:val="12"/>
        </w:rPr>
        <w:t xml:space="preserve"> | ADI 856</w:t>
      </w:r>
      <w:r>
        <w:rPr>
          <w:color w:val="003CA0"/>
          <w:sz w:val="12"/>
        </w:rPr>
        <w:t xml:space="preserve"> | rel. Luiz Fux</w:t>
      </w:r>
    </w:p>
    <w:p>
      <w:pPr>
        <w:ind w:left="288"/>
      </w:pPr>
      <w:r>
        <w:rPr>
          <w:color w:val="1E1E1E"/>
          <w:sz w:val="18"/>
        </w:rPr>
        <w:t>O art. 40, III, b, da Constituição, na sua redação original, da mesma forma que o texto atual do parágrafo quinto do mesmo artigo, consagra redução no tempo de serviço necessário à aposentadoria do professor que comprove exclusivamente tempo de efetivo exercício das funções de magistério, sendo certo que a fixação de requisitos para a concessão de aposentadoria especial é matéria de competência legislativa da União, consoante os artigos 22, XXIII e XXIV, e 24, XII e § 1º, da Constituição.</w:t>
        <w:br/>
        <w:t>[ADI 856, rel. min. Luiz Fux, j. 4-9-2023, P, DJE de 2-10-2023.] (...) a questão que se coloca, na perspec</w:t>
      </w:r>
    </w:p>
    <w:p>
      <w:pPr>
        <w:ind w:left="288"/>
      </w:pPr>
      <w:r>
        <w:rPr>
          <w:b/>
          <w:color w:val="003CA0"/>
          <w:sz w:val="16"/>
        </w:rPr>
        <w:t>[ADI 6.432, rel. min. Cármen Lúcia, j. 8-4-2021, P, DJE de 14-5-2021.]</w:t>
      </w:r>
    </w:p>
    <w:p>
      <w:pPr>
        <w:ind w:left="288"/>
      </w:pPr>
      <w:r>
        <w:rPr>
          <w:color w:val="8C8C8C"/>
          <w:sz w:val="12"/>
        </w:rPr>
        <w:t>cf-art-24-inc-XII</w:t>
      </w:r>
      <w:r>
        <w:rPr>
          <w:color w:val="003CA0"/>
          <w:sz w:val="12"/>
        </w:rPr>
        <w:t xml:space="preserve"> | ADI 2.435</w:t>
      </w:r>
      <w:r>
        <w:rPr>
          <w:color w:val="003CA0"/>
          <w:sz w:val="12"/>
        </w:rPr>
        <w:t xml:space="preserve"> | rel. Cármen Lúcia</w:t>
      </w:r>
    </w:p>
    <w:p>
      <w:pPr>
        <w:ind w:left="288"/>
      </w:pPr>
      <w:r>
        <w:rPr>
          <w:color w:val="1E1E1E"/>
          <w:sz w:val="18"/>
        </w:rPr>
        <w:t>Extrapola a competência estadual para legislar sobre direito do consumidor – e invade o âmbito de competência da União para legislar sobre normas gerais de proteção e defesa da saúde, direito econômico e proteção do consumidor – a lei estadual que, estabelecendo política pública voltada a saúde, conflita com plexo normativo federal que regula a definição do preço de medicamentos em todo o território nacional e o equilíbrio econômico-financeiro no mercado farmacêutico.</w:t>
      </w:r>
    </w:p>
    <w:p>
      <w:pPr>
        <w:ind w:left="288"/>
      </w:pPr>
      <w:r>
        <w:rPr>
          <w:b/>
          <w:color w:val="003CA0"/>
          <w:sz w:val="16"/>
        </w:rPr>
        <w:t>[ADI 2.435, rel. min. Cármen Lúcia, j. 21-12-2020, P, DJE de 26-3-2021.]</w:t>
      </w:r>
    </w:p>
    <w:p>
      <w:pPr>
        <w:ind w:left="288"/>
      </w:pPr>
      <w:r>
        <w:rPr>
          <w:color w:val="8C8C8C"/>
          <w:sz w:val="12"/>
        </w:rPr>
        <w:t>cf-art-24-inc-XII</w:t>
      </w:r>
      <w:r>
        <w:rPr>
          <w:color w:val="003CA0"/>
          <w:sz w:val="12"/>
        </w:rPr>
        <w:t xml:space="preserve"> | ADI 6.113</w:t>
      </w:r>
      <w:r>
        <w:rPr>
          <w:color w:val="003CA0"/>
          <w:sz w:val="12"/>
        </w:rPr>
        <w:t xml:space="preserve"> | rel. Cármen Lúcia</w:t>
      </w:r>
    </w:p>
    <w:p>
      <w:pPr>
        <w:ind w:left="288"/>
      </w:pPr>
      <w:r>
        <w:rPr>
          <w:color w:val="1E1E1E"/>
          <w:sz w:val="18"/>
        </w:rPr>
        <w:t>Invade a competência legislativa da União dispositivo de lei distrital pelo qual se dispensa prescrição médica para aplicação de vacinas em hipótese não prevista nas normas gerais de caráter nacional que tratam sobre o assunto.</w:t>
      </w:r>
    </w:p>
    <w:p>
      <w:pPr>
        <w:ind w:left="288"/>
      </w:pPr>
      <w:r>
        <w:rPr>
          <w:b/>
          <w:color w:val="003CA0"/>
          <w:sz w:val="16"/>
        </w:rPr>
        <w:t>[ADI 6.113, rel. min. Cármen Lúcia, j. 22-6-2020, P, DJE de 18-9-2020.]</w:t>
      </w:r>
    </w:p>
    <w:p>
      <w:pPr>
        <w:ind w:left="288"/>
      </w:pPr>
      <w:r>
        <w:rPr>
          <w:color w:val="8C8C8C"/>
          <w:sz w:val="12"/>
        </w:rPr>
        <w:t>cf-art-24-inc-XII</w:t>
      </w:r>
      <w:r>
        <w:rPr>
          <w:color w:val="003CA0"/>
          <w:sz w:val="12"/>
        </w:rPr>
        <w:t xml:space="preserve"> | ADI 6.343</w:t>
      </w:r>
    </w:p>
    <w:p>
      <w:pPr>
        <w:ind w:left="288"/>
      </w:pPr>
      <w:r>
        <w:rPr>
          <w:color w:val="1E1E1E"/>
          <w:sz w:val="18"/>
        </w:rPr>
        <w:t>A União tem papel central, primordial e imprescindível de coordenação em uma pandemia internacional nos moldes que a própria Constituição estabeleceu no SUS. Em relação à saúde e assistência pública, a Constituição Federal consagra a existência de competência administrativa comum entre União, Estados, Distrito Federal e Municípios (art. 23, II e IX, da CF), bem como prevê competência concorrente entre União e Estados/Distrito Federal para legislar sobre proteção e defesa da saúde (art. 24, XII, da CF); permitindo aos Municípios suplementar a legislação federal e a estadual no que couber, desde</w:t>
      </w:r>
    </w:p>
    <w:p>
      <w:pPr>
        <w:ind w:left="288"/>
      </w:pPr>
      <w:r>
        <w:rPr>
          <w:b/>
          <w:color w:val="003CA0"/>
          <w:sz w:val="16"/>
        </w:rPr>
        <w:t>[ADI 6.343 MC-REF, red. do ac. min. Alexandre de Moraes, j. 6-5-2020, P, DJE de 17-11-2020.]</w:t>
      </w:r>
    </w:p>
    <w:p>
      <w:pPr>
        <w:ind w:left="288"/>
      </w:pPr>
      <w:r>
        <w:rPr>
          <w:color w:val="8C8C8C"/>
          <w:sz w:val="12"/>
        </w:rPr>
        <w:t>cf-art-24-inc-XII</w:t>
      </w:r>
      <w:r>
        <w:rPr>
          <w:color w:val="003CA0"/>
          <w:sz w:val="12"/>
        </w:rPr>
        <w:t xml:space="preserve"> | ADI 4.306</w:t>
      </w:r>
      <w:r>
        <w:rPr>
          <w:color w:val="003CA0"/>
          <w:sz w:val="12"/>
        </w:rPr>
        <w:t xml:space="preserve"> | rel. Edson Fachin</w:t>
      </w:r>
    </w:p>
    <w:p>
      <w:pPr>
        <w:ind w:left="288"/>
      </w:pPr>
      <w:r>
        <w:rPr>
          <w:color w:val="1E1E1E"/>
          <w:sz w:val="18"/>
        </w:rPr>
        <w:t xml:space="preserve">Nos casos em que a dúvida sobre a competência legislativa recai sobre norma que abrange mais de um tema, deve o intérprete acolher interpretação que não tolha a competência que detêm os entes menores para dispor sobre determinada matéria. (...) A Lei fluminense 5.517, de 2019, ao vedar o consumo de cigarros, cigarrilhas, charutos, cachimbos ou de qualquer outro produto fumígeno, derivado ou não do tabaco, não extrapolou o âmbito de atuação legislativa, usurpando a competência da União para legislar sobre normas gerais, nem exacerbou a competência concorrente para legislar sobre saúde pública, </w:t>
      </w:r>
    </w:p>
    <w:p>
      <w:pPr>
        <w:ind w:left="288"/>
      </w:pPr>
      <w:r>
        <w:rPr>
          <w:b/>
          <w:color w:val="003CA0"/>
          <w:sz w:val="16"/>
        </w:rPr>
        <w:t>[ADI 4.306, rel. min. Edson Fachin, j. 20-12-2019, P, DJE de 19-2-2020.]</w:t>
      </w:r>
    </w:p>
    <w:p>
      <w:pPr>
        <w:ind w:left="288"/>
      </w:pPr>
      <w:r>
        <w:rPr>
          <w:color w:val="8C8C8C"/>
          <w:sz w:val="12"/>
        </w:rPr>
        <w:t>cf-art-24-inc-XII</w:t>
      </w:r>
      <w:r>
        <w:rPr>
          <w:color w:val="003CA0"/>
          <w:sz w:val="12"/>
        </w:rPr>
        <w:t xml:space="preserve"> | ADI 2.303</w:t>
      </w:r>
      <w:r>
        <w:rPr>
          <w:color w:val="003CA0"/>
          <w:sz w:val="12"/>
        </w:rPr>
        <w:t xml:space="preserve"> | rel. Marco Aurélio</w:t>
      </w:r>
    </w:p>
    <w:p>
      <w:pPr>
        <w:ind w:left="288"/>
      </w:pPr>
      <w:r>
        <w:rPr>
          <w:color w:val="1E1E1E"/>
          <w:sz w:val="18"/>
        </w:rPr>
        <w:t>(...) se a Assembleia Constituinte estabeleceu haver interesse dos Estados no tocante à saúde, produção e consumo, proteção e responsabilidade por danos ao meio ambiente – artigo 24, incisos VI, VIII e XII, da Carta Federal –, descabe ao ente federado recusar-se ao implemento das providências pertinentes pelos meios próprios.</w:t>
      </w:r>
    </w:p>
    <w:p>
      <w:pPr>
        <w:ind w:left="288"/>
      </w:pPr>
      <w:r>
        <w:rPr>
          <w:b/>
          <w:color w:val="003CA0"/>
          <w:sz w:val="16"/>
        </w:rPr>
        <w:t>[ADI 2.303, rel. min. Marco Aurélio, j. 5-9-2018, P, DJE de 11-11-2020.]</w:t>
      </w:r>
    </w:p>
    <w:p>
      <w:pPr>
        <w:ind w:left="288"/>
      </w:pPr>
      <w:r>
        <w:rPr>
          <w:color w:val="8C8C8C"/>
          <w:sz w:val="12"/>
        </w:rPr>
        <w:t>cf-art-24-inc-XII</w:t>
      </w:r>
      <w:r>
        <w:rPr>
          <w:color w:val="003CA0"/>
          <w:sz w:val="12"/>
        </w:rPr>
        <w:t xml:space="preserve"> | ADI 3.937</w:t>
      </w:r>
    </w:p>
    <w:p>
      <w:pPr>
        <w:ind w:left="288"/>
      </w:pPr>
      <w:r>
        <w:rPr>
          <w:color w:val="1E1E1E"/>
          <w:sz w:val="18"/>
        </w:rPr>
        <w:t>Ação direta de inconstitucionalidade. Lei 12.684/2007 do Estado de São Paulo. Proibição do uso de produtos, materiais ou artefatos que contenham quaisquer tipos de amianto ou asbesto. Produção e consumo, proteção do meio ambiente e proteção e defesa da saúde. Competência legislativa concorrente. Impossibilidade de a legislação estadual disciplinar matéria de forma contrária à lei geral federal. Lei federal nº 9.055/1995. Autorização de extração, industrialização, utilização e comercialização do amianto da variedade crisotila. Processo de inconstitucionalização. Alteração nas relações fáticas s</w:t>
      </w:r>
    </w:p>
    <w:p>
      <w:pPr>
        <w:ind w:left="288"/>
      </w:pPr>
      <w:r>
        <w:rPr>
          <w:b/>
          <w:color w:val="003CA0"/>
          <w:sz w:val="16"/>
        </w:rPr>
        <w:t>[ADI 3.937, red. do ac. min. Dias Toffoli, j. 24-8-2017, P, DJE de 1º-2-2019.]</w:t>
      </w:r>
    </w:p>
    <w:p>
      <w:pPr>
        <w:ind w:left="288"/>
      </w:pPr>
      <w:r>
        <w:rPr>
          <w:color w:val="8C8C8C"/>
          <w:sz w:val="12"/>
        </w:rPr>
        <w:t>cf-art-24-inc-XII</w:t>
      </w:r>
      <w:r>
        <w:rPr>
          <w:color w:val="003CA0"/>
          <w:sz w:val="12"/>
        </w:rPr>
        <w:t xml:space="preserve"> | ADI 4.696</w:t>
      </w:r>
      <w:r>
        <w:rPr>
          <w:color w:val="003CA0"/>
          <w:sz w:val="12"/>
        </w:rPr>
        <w:t xml:space="preserve"> | rel. Edson Fachin</w:t>
      </w:r>
    </w:p>
    <w:p>
      <w:pPr>
        <w:ind w:left="288"/>
      </w:pPr>
      <w:r>
        <w:rPr>
          <w:color w:val="1E1E1E"/>
          <w:sz w:val="18"/>
        </w:rPr>
        <w:t>Art. 57, § 1º, II, da Constituição do Estado do Piauí, na redação dada pela EC 32, de 27-10-2011. (...) A modificação da idade para o implemento da aposentadoria compulsória, efetuada pela EC 88/2015, não tem o condão de operar a convalidação superveniente da norma impugnada, persistindo sua inconstitucionalidade. As regras da CF que dispõem sobre aposentadoria dos servidores titulares de cargos efetivos da União, dos Estados, do Distrito Federal e dos Municípios são normas gerais de reprodução obrigatória pelas Constituições dos Estados-membros. A norma impugnada invadiu campo reservado à Uni</w:t>
      </w:r>
    </w:p>
    <w:p>
      <w:pPr>
        <w:ind w:left="288"/>
      </w:pPr>
      <w:r>
        <w:rPr>
          <w:b/>
          <w:color w:val="003CA0"/>
          <w:sz w:val="16"/>
        </w:rPr>
        <w:t>[ADI 4.696, rel. min. Edson Fachin, j. 30-6-2017, P, DJE de 14-9-2017.]</w:t>
      </w:r>
    </w:p>
    <w:p>
      <w:pPr>
        <w:ind w:left="288"/>
      </w:pPr>
      <w:r>
        <w:rPr>
          <w:color w:val="8C8C8C"/>
          <w:sz w:val="12"/>
        </w:rPr>
        <w:t>cf-art-24-inc-XII</w:t>
      </w:r>
      <w:r>
        <w:rPr>
          <w:color w:val="003CA0"/>
          <w:sz w:val="12"/>
        </w:rPr>
        <w:t xml:space="preserve"> | ADI 4.949</w:t>
      </w:r>
      <w:r>
        <w:rPr>
          <w:color w:val="003CA0"/>
          <w:sz w:val="12"/>
        </w:rPr>
        <w:t xml:space="preserve"> | rel. Ricardo Lewandowski</w:t>
      </w:r>
    </w:p>
    <w:p>
      <w:pPr>
        <w:ind w:left="288"/>
      </w:pPr>
      <w:r>
        <w:rPr>
          <w:color w:val="1E1E1E"/>
          <w:sz w:val="18"/>
        </w:rPr>
        <w:t>O Plenário, ao apreciar legislação acriana em tudo semelhante ao diploma objeto desta ação direta, assentou à unanimidade que a disciplina nela disposta – autorização para a comercialização de determinados produtos lícitos de consumo comum e rotineiro em farmácias e drogarias – não guarda relação com a temática da proteção e defesa da saúde (art. 24, XII, da CF), visto que somente aborda, supletivamente, o comércio local. A Lei federal 5.991/1973 não veda expressamente a comercialização de artigos de conveniência em drogarias e farmácias, e a exclusividade, por ela fixada, para a venda de medi</w:t>
      </w:r>
    </w:p>
    <w:p>
      <w:pPr>
        <w:ind w:left="288"/>
      </w:pPr>
      <w:r>
        <w:rPr>
          <w:b/>
          <w:color w:val="003CA0"/>
          <w:sz w:val="16"/>
        </w:rPr>
        <w:t>[ADI 4.582, rel. min. André Mendonça, j. 3-11-2022, P, DJE de 22-11-2022.]</w:t>
      </w:r>
    </w:p>
    <w:p>
      <w:pPr>
        <w:ind w:left="288"/>
      </w:pPr>
      <w:r>
        <w:rPr>
          <w:color w:val="8C8C8C"/>
          <w:sz w:val="12"/>
        </w:rPr>
        <w:t>cf-art-24-inc-XII</w:t>
      </w:r>
      <w:r>
        <w:rPr>
          <w:color w:val="003CA0"/>
          <w:sz w:val="12"/>
        </w:rPr>
        <w:t xml:space="preserve"> | ADI 2.730</w:t>
      </w:r>
      <w:r>
        <w:rPr>
          <w:color w:val="003CA0"/>
          <w:sz w:val="12"/>
        </w:rPr>
        <w:t xml:space="preserve"> | rel. Cármen Lúcia</w:t>
      </w:r>
    </w:p>
    <w:p>
      <w:pPr>
        <w:ind w:left="288"/>
      </w:pPr>
      <w:r>
        <w:rPr>
          <w:color w:val="1E1E1E"/>
          <w:sz w:val="18"/>
        </w:rPr>
        <w:t>Lei 12.385/2002 do Estado de Santa Catarina, que cria o programa de assistência às pessoas portadoras da doença celíaca e altera as atribuições de secretarias estaduais. (...) A natureza das disposições concernentes a incentivos fiscais e determinação para que os supermercados e hipermercados concentrem em um mesmo local ou gôndola todos os produtos alimentícios elaborados sem a utilização de glúten não interferem na função administrativa do Poder Executivo local. A forma de apresentação dos produtos elaborados sem a utilização de glúten está relacionada com a competência concorrente do Estado</w:t>
      </w:r>
    </w:p>
    <w:p>
      <w:pPr>
        <w:ind w:left="288"/>
      </w:pPr>
      <w:r>
        <w:rPr>
          <w:b/>
          <w:color w:val="003CA0"/>
          <w:sz w:val="16"/>
        </w:rPr>
        <w:t>[ADI 2.730, rel. min. Cármen Lúcia, j. 5-5-2010, P, DJE de 28-5-2010.]</w:t>
      </w:r>
    </w:p>
    <w:p>
      <w:pPr>
        <w:ind w:left="288"/>
      </w:pPr>
      <w:r>
        <w:rPr>
          <w:color w:val="8C8C8C"/>
          <w:sz w:val="12"/>
        </w:rPr>
        <w:t>cf-art-24-inc-XII</w:t>
      </w:r>
      <w:r>
        <w:rPr>
          <w:color w:val="003CA0"/>
          <w:sz w:val="12"/>
        </w:rPr>
        <w:t xml:space="preserve"> | ADI 2.875</w:t>
      </w:r>
      <w:r>
        <w:rPr>
          <w:color w:val="003CA0"/>
          <w:sz w:val="12"/>
        </w:rPr>
        <w:t xml:space="preserve"> | rel. Ricardo Lewandowski</w:t>
      </w:r>
    </w:p>
    <w:p>
      <w:pPr>
        <w:ind w:left="288"/>
      </w:pPr>
      <w:r>
        <w:rPr>
          <w:color w:val="1E1E1E"/>
          <w:sz w:val="18"/>
        </w:rPr>
        <w:t>Dispositivo de lei distrital que obriga os médicos públicos e particulares do Distrito Federal a notificarem a Secretaria de Saúde sobre os casos de câncer de pele não é inconstitucional. Matéria inserida no âmbito da competência da União, Estados e Distrito Federal, nos termos do art. 23, II, da CF. Exigência que encontra abrigo também no art. 24, XII, da Carta Magna, que atribui competência concorrente aos referidos entes federativos para legislar sobre a defesa da saúde.</w:t>
      </w:r>
    </w:p>
    <w:p>
      <w:pPr>
        <w:ind w:left="288"/>
      </w:pPr>
      <w:r>
        <w:rPr>
          <w:b/>
          <w:color w:val="003CA0"/>
          <w:sz w:val="16"/>
        </w:rPr>
        <w:t>[ADI 2.875, rel. min. Ricardo Lewandowski, j. 4-6-2008, P, DJE de 20-6-2008.]</w:t>
      </w:r>
    </w:p>
    <w:p>
      <w:pPr>
        <w:ind w:left="288"/>
      </w:pPr>
      <w:r>
        <w:rPr>
          <w:color w:val="8C8C8C"/>
          <w:sz w:val="12"/>
        </w:rPr>
        <w:t>cf-art-24-inc-XII</w:t>
      </w:r>
      <w:r>
        <w:rPr>
          <w:color w:val="003CA0"/>
          <w:sz w:val="12"/>
        </w:rPr>
        <w:t xml:space="preserve"> | ADI 1.278</w:t>
      </w:r>
      <w:r>
        <w:rPr>
          <w:color w:val="003CA0"/>
          <w:sz w:val="12"/>
        </w:rPr>
        <w:t xml:space="preserve"> | rel. Ricardo Lewandowski</w:t>
      </w:r>
    </w:p>
    <w:p>
      <w:pPr>
        <w:ind w:left="288"/>
      </w:pPr>
      <w:r>
        <w:rPr>
          <w:color w:val="1E1E1E"/>
          <w:sz w:val="18"/>
        </w:rPr>
        <w:t>Não usurpa competência da União lei estadual que dispõe sobre o beneficiamento de leite de cabra em condições artesanais.</w:t>
      </w:r>
    </w:p>
    <w:p>
      <w:pPr>
        <w:ind w:left="288"/>
      </w:pPr>
      <w:r>
        <w:rPr>
          <w:b/>
          <w:color w:val="003CA0"/>
          <w:sz w:val="16"/>
        </w:rPr>
        <w:t>[ADI 1.278, rel. min. Ricardo Lewandowski, j. 16-5-2007, P, DJ de 1º-6-2007.]</w:t>
      </w:r>
    </w:p>
    <w:p>
      <w:pPr>
        <w:ind w:left="288"/>
      </w:pPr>
      <w:r>
        <w:rPr>
          <w:color w:val="8C8C8C"/>
          <w:sz w:val="12"/>
        </w:rPr>
        <w:t>cf-art-24-inc-XII</w:t>
      </w:r>
      <w:r>
        <w:rPr>
          <w:color w:val="003CA0"/>
          <w:sz w:val="12"/>
        </w:rPr>
        <w:t xml:space="preserve"> | ADI 2.024</w:t>
      </w:r>
      <w:r>
        <w:rPr>
          <w:color w:val="003CA0"/>
          <w:sz w:val="12"/>
        </w:rPr>
        <w:t xml:space="preserve"> | rel. Sepúlveda Pertence</w:t>
      </w:r>
    </w:p>
    <w:p>
      <w:pPr>
        <w:ind w:left="288"/>
      </w:pPr>
      <w:r>
        <w:rPr>
          <w:color w:val="1E1E1E"/>
          <w:sz w:val="18"/>
        </w:rPr>
        <w:t>A matéria da disposição discutida é previdenciária e, por sua natureza, comporta norma geral de âmbito nacional de validade, que à União se facultava editar, sem prejuízo da legislação estadual suplementar ou plena, na falta de lei federal (CF/1988, arts. 24, XII, e 40, § 2º): se já o podia ter feito a lei federal, com base nos preceitos recordados do texto constitucional originário, obviamente não afeta ou, menos ainda, tende a abolir a autonomia dos Estados-membros que assim agora tenha prescrito diretamente a norma constitucional sobrevinda.</w:t>
      </w:r>
    </w:p>
    <w:p>
      <w:pPr>
        <w:ind w:left="288"/>
      </w:pPr>
      <w:r>
        <w:rPr>
          <w:b/>
          <w:color w:val="003CA0"/>
          <w:sz w:val="16"/>
        </w:rPr>
        <w:t>[ADI 2.024, rel. min. Sepúlveda Pertence, j. 3-5-2007, P, DJ de 22-6-2007.]</w:t>
      </w:r>
    </w:p>
    <w:p>
      <w:pPr>
        <w:ind w:left="288"/>
      </w:pPr>
      <w:r>
        <w:rPr>
          <w:color w:val="8C8C8C"/>
          <w:sz w:val="12"/>
        </w:rPr>
        <w:t>cf-art-24-inc-XII</w:t>
      </w:r>
      <w:r>
        <w:rPr>
          <w:color w:val="003CA0"/>
          <w:sz w:val="12"/>
        </w:rPr>
        <w:t xml:space="preserve"> | RE 356.328</w:t>
      </w:r>
      <w:r>
        <w:rPr>
          <w:color w:val="003CA0"/>
          <w:sz w:val="12"/>
        </w:rPr>
        <w:t xml:space="preserve"> | rel. Cármen Lúcia</w:t>
      </w:r>
    </w:p>
    <w:p>
      <w:pPr>
        <w:ind w:left="288"/>
      </w:pPr>
      <w:r>
        <w:rPr>
          <w:color w:val="1E1E1E"/>
          <w:sz w:val="18"/>
        </w:rPr>
        <w:t>= RE 356.328 AgR, rel. min. Cármen Lúcia, j. 1º-2-2011, 1ª T, DJE de 25-2-2011 Lei 14.861/2005 do Estado do Paraná. Informação quanto à presença de organismos geneticamente modificados em alimentos e ingredientes alimentares destinados ao consumo humano e animal. Lei federal 11.105/2005 e Decretos 4.680/2003 e 5.591/2005. Competência legislativa concorrente para dispor sobre produção, consumo e proteção e defesa da saúde. Art. 24, V e XII, da CF. (...) Ocorrência de substituição – e não suplementação – das regras que cuidam das exigências, procedimentos e penalidades relativos à rotulagem info</w:t>
      </w:r>
    </w:p>
    <w:p>
      <w:pPr>
        <w:ind w:left="288"/>
      </w:pPr>
      <w:r>
        <w:rPr>
          <w:b/>
          <w:color w:val="003CA0"/>
          <w:sz w:val="16"/>
        </w:rPr>
        <w:t>[ADI 3.645, rel. min. Ellen Gracie, j. 31-5-2006, P, DJ de 1º-9-2006.]</w:t>
        <w:br/>
        <w:t>Vide ADPF 109, rel. min. Edson Fachin, j. 30-11-2017, P, DJE de 1º-2-2019</w:t>
        <w:br/>
        <w:t xml:space="preserve">Vide ADI 3.356 e ADI 3.357, red. do ac. min. Dias Toffoli, rel. min. Eros Grau, j. 30-11-2017, P, DJE de </w:t>
      </w:r>
    </w:p>
    <w:p>
      <w:pPr>
        <w:ind w:left="288"/>
      </w:pPr>
      <w:r>
        <w:rPr>
          <w:color w:val="8C8C8C"/>
          <w:sz w:val="12"/>
        </w:rPr>
        <w:t>cf-art-24-inc-XII</w:t>
      </w:r>
      <w:r>
        <w:rPr>
          <w:color w:val="003CA0"/>
          <w:sz w:val="12"/>
        </w:rPr>
        <w:t xml:space="preserve"> | RE 1.007.271</w:t>
      </w:r>
      <w:r>
        <w:rPr>
          <w:color w:val="003CA0"/>
          <w:sz w:val="12"/>
        </w:rPr>
        <w:t xml:space="preserve"> | rel. Edson Fachin</w:t>
      </w:r>
    </w:p>
    <w:p>
      <w:pPr>
        <w:ind w:left="288"/>
      </w:pPr>
      <w:r>
        <w:rPr>
          <w:color w:val="1E1E1E"/>
          <w:sz w:val="18"/>
        </w:rPr>
        <w:t>É constitucional a previsão, em lei federal, de medidas sancionatórias ao ente federativo que descumprir os critérios e exigências aplicáveis aos regimes próprios de previdência social. Admite-se o controle judicial das exigências feitas pela União no exercício da fiscalização desses regimes. Nesse caso, o ente fiscalizado deverá demonstrar, de forma técnica: (i) a inexistência do déficit atuarial apontado; ou, (ii) caso reconheça o desequilíbrio, a impertinência das medidas impostas pela União e a existência de plano alternativo capaz de assegurar, de maneira equivalente, a sustentabilidade d</w:t>
      </w:r>
    </w:p>
    <w:p>
      <w:pPr>
        <w:ind w:left="288"/>
      </w:pPr>
      <w:r>
        <w:rPr>
          <w:b/>
          <w:color w:val="003CA0"/>
          <w:sz w:val="16"/>
        </w:rPr>
        <w:t>[RE 1.007.271, rel. min. Edson Fachin, red. do ac. min. Flávio Dino, j. 13.12.2024, P, DJE de 13.02.2025, Tema 968, com mérito julgado.]</w:t>
      </w:r>
    </w:p>
    <w:p>
      <w:pPr>
        <w:ind w:left="144"/>
      </w:pPr>
      <w:r>
        <w:rPr>
          <w:b/>
          <w:color w:val="B45A00"/>
          <w:sz w:val="16"/>
        </w:rPr>
        <w:t>REPERCUSSAO GERAL</w:t>
      </w:r>
    </w:p>
    <w:p>
      <w:pPr>
        <w:ind w:left="288"/>
      </w:pPr>
      <w:r>
        <w:rPr>
          <w:color w:val="8C8C8C"/>
          <w:sz w:val="12"/>
        </w:rPr>
        <w:t>cf-art-24-inc-XII</w:t>
      </w:r>
      <w:r>
        <w:rPr>
          <w:color w:val="003CA0"/>
          <w:sz w:val="12"/>
        </w:rPr>
        <w:t xml:space="preserve"> | RE 1.210.727</w:t>
      </w:r>
      <w:r>
        <w:rPr>
          <w:color w:val="003CA0"/>
          <w:sz w:val="12"/>
        </w:rPr>
        <w:t xml:space="preserve"> | rel. Luiz Fux</w:t>
      </w:r>
    </w:p>
    <w:p>
      <w:pPr>
        <w:ind w:left="288"/>
      </w:pPr>
      <w:r>
        <w:rPr>
          <w:color w:val="1E1E1E"/>
          <w:sz w:val="18"/>
        </w:rPr>
        <w:t>É constitucional formal e materialmente lei municipal que proíbe a soltura de fogos de artifício e artefatos pirotécnicos produtores de estampidos.</w:t>
        <w:br/>
        <w:t xml:space="preserve">[RE 1.210.727, rel. min. Luiz Fux, j. 9-5-2023, P, DJE de 17-5-2023, Tema 1.056, com mérito julgado.] A União possui competência legislativa concorrente para estabelecer normas gerais sobre previdência social, nos termos do art. 24, XII, da Constituição Federal, o que abrange a disciplina sobre equilíbrio financeiro e atuarial dos regimes próprios de previdência social (RPPS). Os arts. 7º e 9º da Lei nº 9.717/1998 constituem normas gerais válidas, </w:t>
      </w:r>
    </w:p>
    <w:p>
      <w:pPr>
        <w:ind w:left="288"/>
      </w:pPr>
      <w:r>
        <w:rPr>
          <w:b/>
          <w:color w:val="003CA0"/>
          <w:sz w:val="16"/>
        </w:rPr>
        <w:t>[ACO 2.884, rel. min. Edson Fachin, red. do ac. min, Flávio Dino, j. 16.12.2024, P, DJE de 13.02.2025.]</w:t>
      </w:r>
    </w:p>
    <w:p>
      <w:pPr>
        <w:ind w:left="144"/>
      </w:pPr>
      <w:r>
        <w:rPr>
          <w:b/>
          <w:color w:val="B45A00"/>
          <w:sz w:val="16"/>
        </w:rPr>
        <w:t>JULGADOS CORRELATOS</w:t>
      </w:r>
    </w:p>
    <w:p>
      <w:pPr>
        <w:ind w:left="288"/>
      </w:pPr>
      <w:r>
        <w:rPr>
          <w:color w:val="8C8C8C"/>
          <w:sz w:val="12"/>
        </w:rPr>
        <w:t>cf-art-24-inc-XII</w:t>
      </w:r>
      <w:r>
        <w:rPr>
          <w:color w:val="003CA0"/>
          <w:sz w:val="12"/>
        </w:rPr>
        <w:t xml:space="preserve"> | ARE 1.331.661</w:t>
      </w:r>
      <w:r>
        <w:rPr>
          <w:color w:val="003CA0"/>
          <w:sz w:val="12"/>
        </w:rPr>
        <w:t xml:space="preserve"> | rel. Nunes Marques</w:t>
      </w:r>
    </w:p>
    <w:p>
      <w:pPr>
        <w:ind w:left="288"/>
      </w:pPr>
      <w:r>
        <w:rPr>
          <w:color w:val="1E1E1E"/>
          <w:sz w:val="18"/>
        </w:rPr>
        <w:t>(...) a Lei n. 1.283/1950 e o Decreto n. 9.013/2017, por meio dos quais a matéria foi disciplinada no âmbito federal, preveem que a fiscalização de estabelecimentos de produtos de origem animal somente poderá ser realizada por agente estatal ocupante de cargo efetivo com formação em medicina veterinária. Assim, o Estado do Espírito Santo, ao elaborar lei local a prever que a inspeção permanente seja realizada exclusivamente pela iniciativa privada, acabou por extrapolar a competência suplementar de que trata o art. 24, XII, da Constituição Federal, em flagrante inobservância das normas gerais.</w:t>
      </w:r>
    </w:p>
    <w:p>
      <w:pPr>
        <w:ind w:left="288"/>
      </w:pPr>
      <w:r>
        <w:rPr>
          <w:b/>
          <w:color w:val="003CA0"/>
          <w:sz w:val="16"/>
        </w:rPr>
        <w:t>[ARE 1.331.661 AgR, rel. min. Nunes Marques, j. 29-8-2022, 2ª T, DJE de 13-9-2022.]</w:t>
      </w:r>
    </w:p>
    <w:p>
      <w:pPr>
        <w:ind w:left="288"/>
      </w:pPr>
      <w:r>
        <w:rPr>
          <w:color w:val="8C8C8C"/>
          <w:sz w:val="12"/>
        </w:rPr>
        <w:t>cf-art-24-inc-XII</w:t>
      </w:r>
      <w:r>
        <w:rPr>
          <w:color w:val="003CA0"/>
          <w:sz w:val="12"/>
        </w:rPr>
        <w:t xml:space="preserve"> | RE 815.499</w:t>
      </w:r>
      <w:r>
        <w:rPr>
          <w:color w:val="003CA0"/>
          <w:sz w:val="12"/>
        </w:rPr>
        <w:t xml:space="preserve"> | rel. Ricardo Lewandowski</w:t>
      </w:r>
    </w:p>
    <w:p>
      <w:pPr>
        <w:ind w:left="288"/>
      </w:pPr>
      <w:r>
        <w:rPr>
          <w:color w:val="1E1E1E"/>
          <w:sz w:val="18"/>
        </w:rPr>
        <w:t>Esta Corte já fixou entendimento no sentido de que a União, ao editar a Lei 9.717/1998, extrapolou os limites de sua competência para estabelecer normas gerais sobre matéria previdenciária, ao atribuir ao Ministério da Previdência e Assistência Social atividades administrativas em órgãos da previdência social dos Estados, do Distrito Federal e dos Municípios e estabelecer sanções para a hipótese de descumprimento das normas constantes dessa lei.</w:t>
      </w:r>
    </w:p>
    <w:p>
      <w:pPr>
        <w:ind w:left="288"/>
      </w:pPr>
      <w:r>
        <w:rPr>
          <w:b/>
          <w:color w:val="003CA0"/>
          <w:sz w:val="16"/>
        </w:rPr>
        <w:t>[RE 815.499 AgR, rel. min. Ricardo Lewandowski, j. 9-9-2014, 2ª T, DJE de 18-9-2014.]</w:t>
      </w:r>
    </w:p>
    <w:p>
      <w:pPr>
        <w:ind w:left="288"/>
      </w:pPr>
      <w:r>
        <w:rPr>
          <w:color w:val="8C8C8C"/>
          <w:sz w:val="12"/>
        </w:rPr>
        <w:t>cf-art-24-inc-XII</w:t>
      </w:r>
      <w:r>
        <w:rPr>
          <w:color w:val="003CA0"/>
          <w:sz w:val="12"/>
        </w:rPr>
        <w:t xml:space="preserve"> | ACO 3.134</w:t>
      </w:r>
      <w:r>
        <w:rPr>
          <w:color w:val="003CA0"/>
          <w:sz w:val="12"/>
        </w:rPr>
        <w:t xml:space="preserve"> | rel. Cármen Lúcia</w:t>
      </w:r>
    </w:p>
    <w:p>
      <w:pPr>
        <w:ind w:left="288"/>
      </w:pPr>
      <w:r>
        <w:rPr>
          <w:color w:val="1E1E1E"/>
          <w:sz w:val="18"/>
        </w:rPr>
        <w:t>= ACO 3.134-TP-AgR-segundo, red. do ac. min. Marco Aurélio, j. 18-12-2018, 1ª T, DJE de 16-8-2019. Aposentadoria especial de servidor público distrital. Art. 40, § 4º, III, da Constituição da República. (...) A competência concorrente para legislar sobre previdência social não afasta a necessidade de tratamento uniforme das exceções às regras de aposentadoria dos servidores públicos. Necessidade de atuação normativa da União para a edição de norma regulamentadora de caráter nacional.</w:t>
      </w:r>
    </w:p>
    <w:p>
      <w:pPr>
        <w:ind w:left="288"/>
      </w:pPr>
      <w:r>
        <w:rPr>
          <w:b/>
          <w:color w:val="003CA0"/>
          <w:sz w:val="16"/>
        </w:rPr>
        <w:t>[MI 1.832 AgR, rel. min. Cármen Lúcia, j. 24-3-2011, P, DJE de 18-5-2011.]</w:t>
      </w:r>
    </w:p>
    <w:p>
      <w:pPr>
        <w:ind w:left="288"/>
      </w:pPr>
      <w:r>
        <w:rPr>
          <w:color w:val="8C8C8C"/>
          <w:sz w:val="12"/>
        </w:rPr>
        <w:t>cf-art-24-inc-XII</w:t>
      </w:r>
      <w:r>
        <w:rPr>
          <w:color w:val="003CA0"/>
          <w:sz w:val="12"/>
        </w:rPr>
        <w:t xml:space="preserve"> | MI 1.898</w:t>
      </w:r>
      <w:r>
        <w:rPr>
          <w:color w:val="003CA0"/>
          <w:sz w:val="12"/>
        </w:rPr>
        <w:t xml:space="preserve"> | rel. Eros Grau</w:t>
      </w:r>
    </w:p>
    <w:p>
      <w:pPr>
        <w:ind w:left="288"/>
      </w:pPr>
      <w:r>
        <w:rPr>
          <w:color w:val="1E1E1E"/>
          <w:sz w:val="18"/>
        </w:rPr>
        <w:t>= MI 1.898 AgR, min. Joaquim Barbosa, j. 16-5-2012, P, DJE de 1º-6-2012 A Lei municipal 8.640/2000, ao proibir a circulação de água mineral com teor de flúor acima de 0,9 mg/l, pretendeu disciplinar sobre a proteção e defesa da saúde pública, competência legislativa concorrente, nos termos do disposto no art. 24, XII, da Constituição do Brasil. É inconstitucional lei municipal que, na competência legislativa concorrente, utilize-se do argumento do interesse local para restringir ou ampliar as determinações contidas em texto normativo de âmbito nacional.</w:t>
      </w:r>
    </w:p>
    <w:p>
      <w:pPr>
        <w:ind w:left="288"/>
      </w:pPr>
      <w:r>
        <w:rPr>
          <w:b/>
          <w:color w:val="003CA0"/>
          <w:sz w:val="16"/>
        </w:rPr>
        <w:t>[RE 596.489 AgR, rel. min. Eros Grau, j. 27-10-2009, 2ª T, DJE de 20-11-2009.]</w:t>
      </w:r>
    </w:p>
    <w:p>
      <w:pPr>
        <w:ind w:left="144"/>
      </w:pPr>
      <w:r>
        <w:rPr>
          <w:b/>
          <w:color w:val="B45A00"/>
          <w:sz w:val="16"/>
        </w:rPr>
        <w:t>CONTROLE CONCENTRADO</w:t>
      </w:r>
    </w:p>
    <w:p>
      <w:pPr>
        <w:ind w:left="288"/>
      </w:pPr>
      <w:r>
        <w:rPr>
          <w:color w:val="8C8C8C"/>
          <w:sz w:val="12"/>
        </w:rPr>
        <w:t>cf-art-24-inc-XIII</w:t>
      </w:r>
      <w:r>
        <w:rPr>
          <w:color w:val="003CA0"/>
          <w:sz w:val="12"/>
        </w:rPr>
        <w:t xml:space="preserve"> | ADI 2.903</w:t>
      </w:r>
      <w:r>
        <w:rPr>
          <w:color w:val="003CA0"/>
          <w:sz w:val="12"/>
        </w:rPr>
        <w:t xml:space="preserve"> | rel. Celso de Mello</w:t>
      </w:r>
    </w:p>
    <w:p>
      <w:pPr>
        <w:ind w:left="288"/>
      </w:pPr>
      <w:r>
        <w:rPr>
          <w:color w:val="1E1E1E"/>
          <w:sz w:val="18"/>
        </w:rPr>
        <w:t>Organização da Defensoria Pública nos Estados-membros. Estabelecimento, pela União Federal, mediante lei complementar nacional, de requisitos mínimos para investidura nos cargos de defensor público-geral, de seu substituto e do corregedor-geral da Defensoria Pública dos Estados-membros. Normas gerais, que, editadas pela União Federal, no exercício de competência concorrente, não podem ser desrespeitadas pelo Estado-membro.</w:t>
      </w:r>
    </w:p>
    <w:p>
      <w:pPr>
        <w:ind w:left="288"/>
      </w:pPr>
      <w:r>
        <w:rPr>
          <w:b/>
          <w:color w:val="003CA0"/>
          <w:sz w:val="16"/>
        </w:rPr>
        <w:t>[ADI 2.903, rel. min. Celso de Mello, j. 1º-12-2005, P, DJE de 19-9-2008.]</w:t>
      </w:r>
    </w:p>
    <w:p>
      <w:pPr>
        <w:ind w:left="288"/>
      </w:pPr>
      <w:r>
        <w:rPr>
          <w:color w:val="8C8C8C"/>
          <w:sz w:val="12"/>
        </w:rPr>
        <w:t>cf-art-24-inc-XIII</w:t>
      </w:r>
      <w:r>
        <w:rPr>
          <w:color w:val="003CA0"/>
          <w:sz w:val="12"/>
        </w:rPr>
        <w:t xml:space="preserve"> | RE 775.353</w:t>
      </w:r>
      <w:r>
        <w:rPr>
          <w:color w:val="003CA0"/>
          <w:sz w:val="12"/>
        </w:rPr>
        <w:t xml:space="preserve"> | rel. Cármen Lúcia</w:t>
      </w:r>
    </w:p>
    <w:p>
      <w:pPr>
        <w:ind w:left="288"/>
      </w:pPr>
      <w:r>
        <w:rPr>
          <w:color w:val="1E1E1E"/>
          <w:sz w:val="18"/>
        </w:rPr>
        <w:t>= RE 775.353 AgR, rel. min. Cármen Lúcia, j. 4-2-2014, 2ª T, DJE de 14-2-2014 XIV - proteção e integração social das pessoas portadoras de deficiência; É inconstitucional — por ofender o princípio da vedação ao retrocesso — lei estadual que dispõe sobre o transporte de animais de assistência emocional e de serviço nas cabines das aeronaves em voos operados em seu âmbito, restringindo direitos assegurados, em normas gerais, a pessoas com deficiência.</w:t>
      </w:r>
    </w:p>
    <w:p>
      <w:pPr>
        <w:ind w:left="288"/>
      </w:pPr>
      <w:r>
        <w:rPr>
          <w:b/>
          <w:color w:val="003CA0"/>
          <w:sz w:val="16"/>
        </w:rPr>
        <w:t>[ADI 7.754 MC-Ref, rel. min. André Mendonça, j. 19-11-2025, P, Informativo STF 1.200.]</w:t>
      </w:r>
    </w:p>
    <w:p>
      <w:pPr>
        <w:ind w:left="288"/>
      </w:pPr>
      <w:r>
        <w:rPr>
          <w:color w:val="8C8C8C"/>
          <w:sz w:val="12"/>
        </w:rPr>
        <w:t>cf-art-24-inc-XIII</w:t>
      </w:r>
      <w:r>
        <w:rPr>
          <w:color w:val="003CA0"/>
          <w:sz w:val="12"/>
        </w:rPr>
        <w:t xml:space="preserve"> | ADI 7.555</w:t>
      </w:r>
      <w:r>
        <w:rPr>
          <w:color w:val="003CA0"/>
          <w:sz w:val="12"/>
        </w:rPr>
        <w:t xml:space="preserve"> | rel. Cármen Lúcia</w:t>
      </w:r>
    </w:p>
    <w:p>
      <w:pPr>
        <w:ind w:left="288"/>
      </w:pPr>
      <w:r>
        <w:rPr>
          <w:color w:val="1E1E1E"/>
          <w:sz w:val="18"/>
        </w:rPr>
        <w:t xml:space="preserve">É materialmente inconstitucional o § 3º do art. 232 do Código Penal Militar, pela ausência de previsão legal de qualificadoras para os casos em que o crime de estupro de vulnerável resultar em lesão corporal grave, gravíssima ou morte, acarretando apenamento mais brando que o previsto na legislação comum. Vedação ao princípio da proteção deficiente. É de se reconhecer a não recepção dos incs. I a III do art. 236 do Código Penal Militar, por manterem em vigência presunção relativa de violência para casos de estupro praticado por militar contra menores de catorze anos e pessoas com deficiência. </w:t>
      </w:r>
    </w:p>
    <w:p>
      <w:pPr>
        <w:ind w:left="288"/>
      </w:pPr>
      <w:r>
        <w:rPr>
          <w:b/>
          <w:color w:val="003CA0"/>
          <w:sz w:val="16"/>
        </w:rPr>
        <w:t>[ADI 7.555, rel. min. Cármen Lúcia, j. 15.09.2025, P, DJE de 12.11.2025.]</w:t>
      </w:r>
    </w:p>
    <w:p>
      <w:pPr>
        <w:ind w:left="288"/>
      </w:pPr>
      <w:r>
        <w:rPr>
          <w:color w:val="8C8C8C"/>
          <w:sz w:val="12"/>
        </w:rPr>
        <w:t>cf-art-24-inc-XIII</w:t>
      </w:r>
      <w:r>
        <w:rPr>
          <w:color w:val="003CA0"/>
          <w:sz w:val="12"/>
        </w:rPr>
        <w:t xml:space="preserve"> | ADI 7.028</w:t>
      </w:r>
      <w:r>
        <w:rPr>
          <w:color w:val="003CA0"/>
          <w:sz w:val="12"/>
        </w:rPr>
        <w:t xml:space="preserve"> | rel. Roberto Barroso</w:t>
      </w:r>
    </w:p>
    <w:p>
      <w:pPr>
        <w:ind w:left="288"/>
      </w:pPr>
      <w:r>
        <w:rPr>
          <w:color w:val="1E1E1E"/>
          <w:sz w:val="18"/>
        </w:rPr>
        <w:t>“É inconstitucional lei estadual que (a) reduza o conceito de pessoas com deficiência previsto na Constituição, na Convenção Internacional sobre os Direitos das Pessoas com Deficiência, de estatura constitucional, e na lei federal de normas gerais; (b) desconsidere, para a aferição da deficiência, a avaliação biopsicossocial por equipe multiprofissional e interdisciplinar prevista pela lei federal; ou (c) exclua o dever de adaptação de unidade escolar para o ensino inclusivo”.</w:t>
        <w:br/>
        <w:t>[ADI 7.028, rel. min. Roberto Barroso, j. 19-6-2023, P, DJE de 23-6-2023.] A Lei 7.465/2021 do Estado do Piauí, ao dis</w:t>
      </w:r>
    </w:p>
    <w:p>
      <w:pPr>
        <w:ind w:left="288"/>
      </w:pPr>
      <w:r>
        <w:rPr>
          <w:b/>
          <w:color w:val="003CA0"/>
          <w:sz w:val="16"/>
        </w:rPr>
        <w:t>[ADI 5.293, rel. min. Alexandre de Moraes, j. 8-11-2017, P, DJE de 21-11-2017.]</w:t>
      </w:r>
    </w:p>
    <w:p>
      <w:pPr>
        <w:ind w:left="288"/>
      </w:pPr>
      <w:r>
        <w:rPr>
          <w:color w:val="8C8C8C"/>
          <w:sz w:val="12"/>
        </w:rPr>
        <w:t>cf-art-24-inc-XIII</w:t>
      </w:r>
      <w:r>
        <w:rPr>
          <w:color w:val="003CA0"/>
          <w:sz w:val="12"/>
        </w:rPr>
        <w:t xml:space="preserve"> | ADI 903</w:t>
      </w:r>
      <w:r>
        <w:rPr>
          <w:color w:val="003CA0"/>
          <w:sz w:val="12"/>
        </w:rPr>
        <w:t xml:space="preserve"> | rel. Dias Toffoli</w:t>
      </w:r>
    </w:p>
    <w:p>
      <w:pPr>
        <w:ind w:left="288"/>
      </w:pPr>
      <w:r>
        <w:rPr>
          <w:color w:val="1E1E1E"/>
          <w:sz w:val="18"/>
        </w:rPr>
        <w:t>Lei 10.820/1992 do Estado de Minas Gerais, que dispõe sobre adaptação dos veículos de transporte coletivo com a finalidade de assegurar seu acesso por pessoas com deficiência ou dificuldade de locomoção. (...)  Muito embora a jurisprudência da Corte seja rígida em afirmar a amplitude do conceito de trânsito e transporte para fazer valer a competência privativa da União (art. 22, XI, CF), prevalece, no caso, a densidade do direito à acessibilidade física das pessoas com deficiência (art. 24, XIV, CF), em atendimento, inclusive, à determinação prevista nos arts. 227, § 2º, e 244 da Lei Fundament</w:t>
      </w:r>
    </w:p>
    <w:p>
      <w:pPr>
        <w:ind w:left="288"/>
      </w:pPr>
      <w:r>
        <w:rPr>
          <w:b/>
          <w:color w:val="003CA0"/>
          <w:sz w:val="16"/>
        </w:rPr>
        <w:t>[RE 1.198.269, rel. min. Gilmar Mendes, j. 10.06.2025, P, DJE de 23.06.2025, Tema 1.286, com mérito julgado.]</w:t>
      </w:r>
    </w:p>
    <w:p>
      <w:pPr>
        <w:ind w:left="288"/>
      </w:pPr>
      <w:r>
        <w:rPr>
          <w:color w:val="8C8C8C"/>
          <w:sz w:val="12"/>
        </w:rPr>
        <w:t>cf-art-24-inc-XIII</w:t>
      </w:r>
    </w:p>
    <w:p>
      <w:pPr>
        <w:ind w:left="288"/>
      </w:pPr>
      <w:r>
        <w:rPr>
          <w:color w:val="1E1E1E"/>
          <w:sz w:val="18"/>
        </w:rPr>
        <w:t>XV - proteção à infância e à juventude;</w:t>
      </w:r>
    </w:p>
    <w:p>
      <w:pPr>
        <w:ind w:left="288"/>
      </w:pPr>
      <w:r>
        <w:rPr>
          <w:color w:val="8C8C8C"/>
          <w:sz w:val="12"/>
        </w:rPr>
        <w:t>cf-art-24-inc-XIII</w:t>
      </w:r>
      <w:r>
        <w:rPr>
          <w:color w:val="003CA0"/>
          <w:sz w:val="12"/>
        </w:rPr>
        <w:t xml:space="preserve"> | ADI 6.039</w:t>
      </w:r>
      <w:r>
        <w:rPr>
          <w:color w:val="003CA0"/>
          <w:sz w:val="12"/>
        </w:rPr>
        <w:t xml:space="preserve"> | rel. Edson Fachin</w:t>
      </w:r>
    </w:p>
    <w:p>
      <w:pPr>
        <w:ind w:left="288"/>
      </w:pPr>
      <w:r>
        <w:rPr>
          <w:color w:val="1E1E1E"/>
          <w:sz w:val="18"/>
        </w:rPr>
        <w:t>A Lei Estadual 8.008/2018 do Rio de Janeiro, que impõe a obrigatoriedade de que as crianças e adolescentes do sexo feminino vítimas de estupro sejam examinadas por perito legista mulher, não padece do vício de inconstitucionalidade formal, porque a regra concerne à competência concorrente prevista no art. 24, inciso XV, da CFRB, ‘proteção à infância e à juventude’.</w:t>
        <w:br/>
        <w:t>[ADI 6.039-MC, rel. min. Edson Fachin, j. 13-3-2019, P, DJE de 1º-8-2019.]</w:t>
      </w:r>
    </w:p>
    <w:p>
      <w:pPr>
        <w:ind w:left="144"/>
      </w:pPr>
      <w:r>
        <w:rPr>
          <w:b/>
          <w:color w:val="B45A00"/>
          <w:sz w:val="16"/>
        </w:rPr>
        <w:t>JULGADOS CORRELATOS</w:t>
      </w:r>
    </w:p>
    <w:p>
      <w:pPr>
        <w:ind w:left="288"/>
      </w:pPr>
      <w:r>
        <w:rPr>
          <w:color w:val="8C8C8C"/>
          <w:sz w:val="12"/>
        </w:rPr>
        <w:t>cf-art-24-inc-XIII</w:t>
      </w:r>
      <w:r>
        <w:rPr>
          <w:color w:val="003CA0"/>
          <w:sz w:val="12"/>
        </w:rPr>
        <w:t xml:space="preserve"> | ARE 1.496.053</w:t>
      </w:r>
      <w:r>
        <w:rPr>
          <w:color w:val="003CA0"/>
          <w:sz w:val="12"/>
        </w:rPr>
        <w:t xml:space="preserve"> | rel. André Mendonça</w:t>
      </w:r>
    </w:p>
    <w:p>
      <w:pPr>
        <w:ind w:left="288"/>
      </w:pPr>
      <w:r>
        <w:rPr>
          <w:color w:val="1E1E1E"/>
          <w:sz w:val="18"/>
        </w:rPr>
        <w:t>Artigo 3º da Lei nº 2.038, de 2017, do município de Peçanha/MG. Definição de atuação do conselho tutelar na época do carnaval. Competência suplementar do município. (...) Os municípios têm autonomia para dispor, mediante lei, sobre proteção à infância e à juventude em âmbito local, desde que não afrontem legislação federal ou estadual.</w:t>
        <w:br/>
        <w:t>[ARE 1.496.053, rel. min. André Mendonça, j. 07.08.2024, P, DJE de 04.09.2024.] XVI - organização, garantias, direitos e deveres das polícias civis.</w:t>
      </w:r>
    </w:p>
    <w:p>
      <w:pPr>
        <w:ind w:left="144"/>
      </w:pPr>
      <w:r>
        <w:rPr>
          <w:b/>
          <w:color w:val="B45A00"/>
          <w:sz w:val="16"/>
        </w:rPr>
        <w:t>CONTROLE CONCENTRADO</w:t>
      </w:r>
    </w:p>
    <w:p>
      <w:pPr>
        <w:ind w:left="288"/>
      </w:pPr>
      <w:r>
        <w:rPr>
          <w:color w:val="8C8C8C"/>
          <w:sz w:val="12"/>
        </w:rPr>
        <w:t>cf-art-24-inc-XIII</w:t>
      </w:r>
      <w:r>
        <w:rPr>
          <w:color w:val="003CA0"/>
          <w:sz w:val="12"/>
        </w:rPr>
        <w:t xml:space="preserve"> | ADI 6.847</w:t>
      </w:r>
      <w:r>
        <w:rPr>
          <w:color w:val="003CA0"/>
          <w:sz w:val="12"/>
        </w:rPr>
        <w:t xml:space="preserve"> | rel. Edson Fachin</w:t>
      </w:r>
    </w:p>
    <w:p>
      <w:pPr>
        <w:ind w:left="288"/>
      </w:pPr>
      <w:r>
        <w:rPr>
          <w:color w:val="1E1E1E"/>
          <w:sz w:val="18"/>
        </w:rPr>
        <w:t>A criação da função gratificada de Gestor de Delegacias Interativas de Polícia do Interior no Estado do Amazonas decorreu do exercício legítimo da competência concorrentes dos Estados- membros de legislar sobre organização das polícias civis, nos termos do art. 24, XVI e § 1º, da CF. As atribuições a serem desempenhadas pelo Gestor de Delegacias Interativas de Polícia do Interior são de competência constitucional do cargo de Delegado de Polícia, caracterizando desvio de função. Inconstitucionalidade material por violação aos arts. 24, § 1º c/c 144, § 4º, da CF.</w:t>
        <w:br/>
        <w:t>[ADI 6.847, rel. min. Edson Fach</w:t>
      </w:r>
    </w:p>
    <w:p>
      <w:pPr>
        <w:ind w:left="288"/>
      </w:pPr>
      <w:r>
        <w:rPr>
          <w:b/>
          <w:color w:val="003CA0"/>
          <w:sz w:val="16"/>
        </w:rPr>
        <w:t>[ADI 3.062, rel. min. Gilmar Mendes, j. 9-9-2010, P, DJE de 12-4-2011.]</w:t>
      </w:r>
    </w:p>
    <w:p>
      <w:pPr>
        <w:ind w:left="288"/>
      </w:pPr>
      <w:r>
        <w:rPr>
          <w:color w:val="8C8C8C"/>
          <w:sz w:val="12"/>
        </w:rPr>
        <w:t>cf-art-24-par-1</w:t>
      </w:r>
      <w:r>
        <w:rPr>
          <w:color w:val="003CA0"/>
          <w:sz w:val="12"/>
        </w:rPr>
        <w:t xml:space="preserve"> | ADI 6.412</w:t>
      </w:r>
      <w:r>
        <w:rPr>
          <w:color w:val="003CA0"/>
          <w:sz w:val="12"/>
        </w:rPr>
        <w:t xml:space="preserve"> | rel. Luís Roberto Barroso</w:t>
      </w:r>
    </w:p>
    <w:p>
      <w:pPr>
        <w:ind w:left="288"/>
      </w:pPr>
      <w:r>
        <w:rPr>
          <w:color w:val="1E1E1E"/>
          <w:sz w:val="18"/>
        </w:rPr>
        <w:t>A jurisprudência pacífica do Supremo Tribunal Federal reconhece que a definição do que sejam despesas com manutenção e desenvolvimento do ensino constitui matéria de diretrizes e bases da educação nacional (art. 22, XXIV, CF/1988), ou mesmo de normas gerais sobre educação (art. 24, IX e § 1º, CF/1988), de competência privativa da União. (...) É inconstitucional lei estadual que autoriza o cômputo de gastos previdenciários como despesas com manutenção e desenvolvimento do ensino.</w:t>
        <w:br/>
        <w:t xml:space="preserve">[ADI 6.412, rel. min. Luís Roberto Barroso, j. 4-9-2023, P, DJE de 25-9-2023.] Observando os procedimentos impostos </w:t>
      </w:r>
    </w:p>
    <w:p>
      <w:pPr>
        <w:ind w:left="288"/>
      </w:pPr>
      <w:r>
        <w:rPr>
          <w:b/>
          <w:color w:val="003CA0"/>
          <w:sz w:val="16"/>
        </w:rPr>
        <w:t>[ADI 3.623, rel. min. Ricardo Lewandowski, j. 11-10-2019, P, DJE de 4-11-2019.]</w:t>
      </w:r>
    </w:p>
    <w:p>
      <w:pPr>
        <w:ind w:left="288"/>
      </w:pPr>
      <w:r>
        <w:rPr>
          <w:color w:val="8C8C8C"/>
          <w:sz w:val="12"/>
        </w:rPr>
        <w:t>cf-art-24-par-1</w:t>
      </w:r>
      <w:r>
        <w:rPr>
          <w:color w:val="003CA0"/>
          <w:sz w:val="12"/>
        </w:rPr>
        <w:t xml:space="preserve"> | ADI 2.886</w:t>
      </w:r>
    </w:p>
    <w:p>
      <w:pPr>
        <w:ind w:left="288"/>
      </w:pPr>
      <w:r>
        <w:rPr>
          <w:color w:val="1E1E1E"/>
          <w:sz w:val="18"/>
        </w:rPr>
        <w:t>A legislação que disciplina o inquérito policial não se inclui no âmbito estrito do processo penal, cuja competência é privativa da União (art. 22, I, CF), pois o inquérito é procedimento subsumido nos limites da competência legislativa concorrente, a teor do art. 24, XI, da CF de 1988, tal como já decidido reiteradamente pelo STF. O procedimento do inquérito policial, conforme previsto pelo CPP, torna desnecessária a intermediação judicial quando ausente a necessidade de adoção de medidas constritivas de direitos dos investigados, razão por que projetos de reforma do CPP propõem a remessa dir</w:t>
      </w:r>
    </w:p>
    <w:p>
      <w:pPr>
        <w:ind w:left="288"/>
      </w:pPr>
      <w:r>
        <w:rPr>
          <w:b/>
          <w:color w:val="003CA0"/>
          <w:sz w:val="16"/>
        </w:rPr>
        <w:t>[ADI 2.886, red. do ac. min. Joaquim Barbosa, j. 3-4-2014, P, DJE de 5-8-2014.]</w:t>
      </w:r>
    </w:p>
    <w:p>
      <w:pPr>
        <w:ind w:left="288"/>
      </w:pPr>
      <w:r>
        <w:rPr>
          <w:color w:val="8C8C8C"/>
          <w:sz w:val="12"/>
        </w:rPr>
        <w:t>cf-art-24-par-1</w:t>
      </w:r>
      <w:r>
        <w:rPr>
          <w:color w:val="003CA0"/>
          <w:sz w:val="12"/>
        </w:rPr>
        <w:t xml:space="preserve"> | ADI 3.668</w:t>
      </w:r>
      <w:r>
        <w:rPr>
          <w:color w:val="003CA0"/>
          <w:sz w:val="12"/>
        </w:rPr>
        <w:t xml:space="preserve"> | rel. Gilmar Mendes</w:t>
      </w:r>
    </w:p>
    <w:p>
      <w:pPr>
        <w:ind w:left="288"/>
      </w:pPr>
      <w:r>
        <w:rPr>
          <w:color w:val="1E1E1E"/>
          <w:sz w:val="18"/>
        </w:rPr>
        <w:t>Lei 3.706/2006, do Distrito Federal, que dispõe sobre "a afixação de tabela relativa a taxas de juros e de rendimentos de aplicações financeiras pelas instituições bancárias e de crédito". Usurpação da competência privativa da União para fixar normas gerais relativas às relações de consumo (CF, art. 24, V, § 1º).</w:t>
      </w:r>
    </w:p>
    <w:p>
      <w:pPr>
        <w:ind w:left="288"/>
      </w:pPr>
      <w:r>
        <w:rPr>
          <w:b/>
          <w:color w:val="003CA0"/>
          <w:sz w:val="16"/>
        </w:rPr>
        <w:t>[ADI 3.668, rel. min. Gilmar Mendes, j. 17-9-2007, P, DJ de 19-12-2007.]</w:t>
      </w:r>
    </w:p>
    <w:p>
      <w:pPr>
        <w:ind w:left="288"/>
      </w:pPr>
      <w:r>
        <w:rPr>
          <w:color w:val="8C8C8C"/>
          <w:sz w:val="12"/>
        </w:rPr>
        <w:t>cf-art-24-par-1</w:t>
      </w:r>
      <w:r>
        <w:rPr>
          <w:color w:val="003CA0"/>
          <w:sz w:val="12"/>
        </w:rPr>
        <w:t xml:space="preserve"> | ADI 2.903</w:t>
      </w:r>
      <w:r>
        <w:rPr>
          <w:color w:val="003CA0"/>
          <w:sz w:val="12"/>
        </w:rPr>
        <w:t xml:space="preserve"> | rel. Celso de Mello</w:t>
      </w:r>
    </w:p>
    <w:p>
      <w:pPr>
        <w:ind w:left="288"/>
      </w:pPr>
      <w:r>
        <w:rPr>
          <w:color w:val="1E1E1E"/>
          <w:sz w:val="18"/>
        </w:rPr>
        <w:t>Se é certo, de um lado, que, nas hipóteses referidas no art. 24 da Constituição, a União Federal não dispõe de poderes ilimitados que lhe permitam transpor o âmbito das normas gerais, para, assim, invadir, de modo inconstitucional, a esfera de competência normativa dos Estados-membros, não é menos exato, de outro, que o Estado-membro, em existindo normas gerais veiculadas em leis nacionais (como a Lei Orgânica Nacional da Defensoria Pública, consubstanciada na LC 80/1994), não pode ultrapassar os limites da competência meramente suplementar, pois, se tal ocorrer, o diploma legislativo estadual</w:t>
      </w:r>
    </w:p>
    <w:p>
      <w:pPr>
        <w:ind w:left="288"/>
      </w:pPr>
      <w:r>
        <w:rPr>
          <w:b/>
          <w:color w:val="003CA0"/>
          <w:sz w:val="16"/>
        </w:rPr>
        <w:t>[ADI 2.903, rel. min. Celso de Mello, j. 1º-12-2005, P, DJE de 19-9-2008.]</w:t>
      </w:r>
    </w:p>
    <w:p>
      <w:pPr>
        <w:ind w:left="288"/>
      </w:pPr>
      <w:r>
        <w:rPr>
          <w:color w:val="8C8C8C"/>
          <w:sz w:val="12"/>
        </w:rPr>
        <w:t>cf-art-24-par-1</w:t>
      </w:r>
      <w:r>
        <w:rPr>
          <w:color w:val="003CA0"/>
          <w:sz w:val="12"/>
        </w:rPr>
        <w:t xml:space="preserve"> | ADI 2.344</w:t>
      </w:r>
      <w:r>
        <w:rPr>
          <w:color w:val="003CA0"/>
          <w:sz w:val="12"/>
        </w:rPr>
        <w:t xml:space="preserve"> | rel. Celso de Mello</w:t>
      </w:r>
    </w:p>
    <w:p>
      <w:pPr>
        <w:ind w:left="288"/>
      </w:pPr>
      <w:r>
        <w:rPr>
          <w:color w:val="1E1E1E"/>
          <w:sz w:val="18"/>
        </w:rPr>
        <w:t>Nas hipóteses de competência concorrente (CF, art. 24), nas quais se estabelece verdadeira situação de condomínio legislativo entre a União Federal e os Estados-membros (HORTA, Raul Machado. Estudos de direito constitucional. Del Rey, 1995. p. 366, item 2), daí resultando clara repartição vertical de competências normativas, a jurisprudência do STF firmou-se no sentido de entender incabível a ação direta de inconstitucionalidade, se, para o específico efeito de examinar-se a ocorrência, ou não, de invasão de competência da União Federal, por parte de qualquer Estado-membro, tornar-se necessári</w:t>
      </w:r>
    </w:p>
    <w:p>
      <w:pPr>
        <w:ind w:left="288"/>
      </w:pPr>
      <w:r>
        <w:rPr>
          <w:b/>
          <w:color w:val="003CA0"/>
          <w:sz w:val="16"/>
        </w:rPr>
        <w:t>[ADI 2.344 QO, rel. min. Celso de Mello, j. 23-11-2000, P, DJ de 2-8-2002.]</w:t>
      </w:r>
    </w:p>
    <w:p>
      <w:pPr>
        <w:ind w:left="288"/>
      </w:pPr>
      <w:r>
        <w:rPr>
          <w:color w:val="8C8C8C"/>
          <w:sz w:val="12"/>
        </w:rPr>
        <w:t>cf-art-24-par-1</w:t>
      </w:r>
      <w:r>
        <w:rPr>
          <w:color w:val="003CA0"/>
          <w:sz w:val="12"/>
        </w:rPr>
        <w:t xml:space="preserve"> | ADI 2.876</w:t>
      </w:r>
      <w:r>
        <w:rPr>
          <w:color w:val="003CA0"/>
          <w:sz w:val="12"/>
        </w:rPr>
        <w:t xml:space="preserve"> | rel. Cármen Lúcia</w:t>
      </w:r>
    </w:p>
    <w:p>
      <w:pPr>
        <w:ind w:left="288"/>
      </w:pPr>
      <w:r>
        <w:rPr>
          <w:color w:val="1E1E1E"/>
          <w:sz w:val="18"/>
        </w:rPr>
        <w:t>= ADI 2.876, rel. min. Cármen Lúcia, j. 21-10-2009, P, DJE de 20-11-2009 A União possui competência legislativa concorrente para estabelecer normas gerais sobre previdência social, nos termos do art. 24, XII, da Constituição Federal, o que abrange a disciplina sobre equilíbrio financeiro e atuarial dos regimes próprios de previdência social (RPPS). Os arts. 7º e 9º da Lei nº 9.717/1998 constituem normas gerais válidas, pois impõem exigências indistintas a todos os entes federados, visando à uniformização dos regimes de previdência social e à responsabilidade fiscal e se compatibilizam com o pr</w:t>
      </w:r>
    </w:p>
    <w:p>
      <w:pPr>
        <w:ind w:left="288"/>
      </w:pPr>
      <w:r>
        <w:rPr>
          <w:b/>
          <w:color w:val="003CA0"/>
          <w:sz w:val="16"/>
        </w:rPr>
        <w:t>[ACO 2.884, rel. min. Edson Fachin, red. do ac. min, Flávio Dino, j. 16.12.2024, P, DJE de 13.02.2025.]</w:t>
      </w:r>
    </w:p>
    <w:p>
      <w:pPr>
        <w:ind w:left="144"/>
      </w:pPr>
      <w:r>
        <w:rPr>
          <w:b/>
          <w:color w:val="B45A00"/>
          <w:sz w:val="16"/>
        </w:rPr>
        <w:t>JULGADOS CORRELATOS</w:t>
      </w:r>
    </w:p>
    <w:p>
      <w:pPr>
        <w:ind w:left="288"/>
      </w:pPr>
      <w:r>
        <w:rPr>
          <w:color w:val="8C8C8C"/>
          <w:sz w:val="12"/>
        </w:rPr>
        <w:t>cf-art-24-par-1</w:t>
      </w:r>
      <w:r>
        <w:rPr>
          <w:color w:val="003CA0"/>
          <w:sz w:val="12"/>
        </w:rPr>
        <w:t xml:space="preserve"> | RE 883.514</w:t>
      </w:r>
      <w:r>
        <w:rPr>
          <w:color w:val="003CA0"/>
          <w:sz w:val="12"/>
        </w:rPr>
        <w:t xml:space="preserve"> | rel. Roberto Barroso</w:t>
      </w:r>
    </w:p>
    <w:p>
      <w:pPr>
        <w:ind w:left="288"/>
      </w:pPr>
      <w:r>
        <w:rPr>
          <w:color w:val="1E1E1E"/>
          <w:sz w:val="18"/>
        </w:rPr>
        <w:t>A LC distrital 872/2013 é norma genérica que dispõe sobre a instituição e o funcionamento de fundos no Distrito Federal e, ao estabelecer um direcionamento diverso ao saldo positivo de fundo apurado em balanço, não previsto na Lei 4.320/1964, usurpa a competência legislativa da União para tratar sobre a matéria (art. 24, II e § 1º, da Constituição).</w:t>
      </w:r>
    </w:p>
    <w:p>
      <w:pPr>
        <w:ind w:left="288"/>
      </w:pPr>
      <w:r>
        <w:rPr>
          <w:b/>
          <w:color w:val="003CA0"/>
          <w:sz w:val="16"/>
        </w:rPr>
        <w:t>[RE 883.514 AgR, rel. min. Roberto Barroso, j. 27-10-2017, 1ª T, DJE de 14-11-2017.]</w:t>
      </w:r>
    </w:p>
    <w:p>
      <w:pPr>
        <w:ind w:left="288"/>
      </w:pPr>
      <w:r>
        <w:rPr>
          <w:color w:val="8C8C8C"/>
          <w:sz w:val="12"/>
        </w:rPr>
        <w:t>cf-art-24-par-1</w:t>
      </w:r>
      <w:r>
        <w:rPr>
          <w:color w:val="003CA0"/>
          <w:sz w:val="12"/>
        </w:rPr>
        <w:t xml:space="preserve"> | RE 815.499</w:t>
      </w:r>
      <w:r>
        <w:rPr>
          <w:color w:val="003CA0"/>
          <w:sz w:val="12"/>
        </w:rPr>
        <w:t xml:space="preserve"> | rel. Ricardo Lewandowski</w:t>
      </w:r>
    </w:p>
    <w:p>
      <w:pPr>
        <w:ind w:left="288"/>
      </w:pPr>
      <w:r>
        <w:rPr>
          <w:color w:val="1E1E1E"/>
          <w:sz w:val="18"/>
        </w:rPr>
        <w:t>Esta Corte já fixou entendimento no sentido de que a União, ao editar a Lei 9.717/1998, extrapolou os limites de sua competência para estabelecer normas gerais sobre matéria previdenciária, ao atribuir ao Ministério da Previdência e Assistência Social atividades administrativas em órgãos da previdência social dos Estados, do Distrito Federal e dos Municípios e estabelecer sanções para a hipótese de descumprimento das normas constantes dessa lei.</w:t>
        <w:br/>
        <w:t>[RE 815.499 AgR, rel. min. Ricardo Lewandowski, j. 9-9-2014, 2ª T, DJE de 18-9-2014.]</w:t>
        <w:br/>
        <w:t>= ACO 3.134-TP-AgR-segundo, red. do ac. min. Marco Aurélio, j. 1</w:t>
      </w:r>
    </w:p>
    <w:p>
      <w:pPr>
        <w:ind w:left="288"/>
      </w:pPr>
      <w:r>
        <w:rPr>
          <w:color w:val="8C8C8C"/>
          <w:sz w:val="12"/>
        </w:rPr>
        <w:t>cf-art-24-par-2</w:t>
      </w:r>
      <w:r>
        <w:rPr>
          <w:color w:val="003CA0"/>
          <w:sz w:val="12"/>
        </w:rPr>
        <w:t xml:space="preserve"> | ADI 7.683</w:t>
      </w:r>
      <w:r>
        <w:rPr>
          <w:color w:val="003CA0"/>
          <w:sz w:val="12"/>
        </w:rPr>
        <w:t xml:space="preserve"> | rel. Cristiano Zanin</w:t>
      </w:r>
    </w:p>
    <w:p>
      <w:pPr>
        <w:ind w:left="288"/>
      </w:pPr>
      <w:r>
        <w:rPr>
          <w:color w:val="1E1E1E"/>
          <w:sz w:val="18"/>
        </w:rPr>
        <w:t>A jurisprudência do Supremo Tribunal Federal é consolidada no sentido de que a competência legislativa suplementar dos estados em relação ao respectivo regime próprio deve mantê-lo restrito aos servidores titulares de cargo efetivo, não havendo permissão constitucional para ampliar o rol previsto no art. 40 da Constituição Federal.</w:t>
      </w:r>
    </w:p>
    <w:p>
      <w:pPr>
        <w:ind w:left="288"/>
      </w:pPr>
      <w:r>
        <w:rPr>
          <w:b/>
          <w:color w:val="003CA0"/>
          <w:sz w:val="16"/>
        </w:rPr>
        <w:t>[ADI 7.683, rel. min. Cristiano Zanin, j. 22-12-2025, P, DJE de 30-1-2026.]</w:t>
      </w:r>
    </w:p>
    <w:p>
      <w:pPr>
        <w:ind w:left="288"/>
      </w:pPr>
      <w:r>
        <w:rPr>
          <w:color w:val="8C8C8C"/>
          <w:sz w:val="12"/>
        </w:rPr>
        <w:t>cf-art-24-par-2</w:t>
      </w:r>
      <w:r>
        <w:rPr>
          <w:color w:val="003CA0"/>
          <w:sz w:val="12"/>
        </w:rPr>
        <w:t xml:space="preserve"> | ADI 7.184</w:t>
      </w:r>
      <w:r>
        <w:rPr>
          <w:color w:val="003CA0"/>
          <w:sz w:val="12"/>
        </w:rPr>
        <w:t xml:space="preserve"> | rel. Dias Toffoli</w:t>
      </w:r>
    </w:p>
    <w:p>
      <w:pPr>
        <w:ind w:left="288"/>
      </w:pPr>
      <w:r>
        <w:rPr>
          <w:color w:val="1E1E1E"/>
          <w:sz w:val="18"/>
        </w:rPr>
        <w:t>Artigo 5º, inciso XII, e art. 14, caput, incisos I, II e § 3º, da Lei nº 11.269/20 do Estado do Maranhão. Zoneamento Ecológico-Econômico do Bioma Amazônico no Estado do Maranhão. Significativa distinção entre “área com floresta” e “área de floresta” para fins de delimitação das áreas de reserva legal. (...) No caso em apreço, o Procurador-Geral da República logrou demonstrar, inclusive mediante laudo técnico anexado aos autos, que a sistemática legal adotada pelo Estado do Maranhão leva à redução do padrão de proteção ambiental estabelecido pela norma geral da União para as áreas de floresta n</w:t>
      </w:r>
    </w:p>
    <w:p>
      <w:pPr>
        <w:ind w:left="288"/>
      </w:pPr>
      <w:r>
        <w:rPr>
          <w:b/>
          <w:color w:val="003CA0"/>
          <w:sz w:val="16"/>
        </w:rPr>
        <w:t>[ADI 7.184, rel. min. Dias Toffoli, j. 02.12.2025, P, DJE de 10.12.2025.]</w:t>
      </w:r>
    </w:p>
    <w:p>
      <w:pPr>
        <w:ind w:left="288"/>
      </w:pPr>
      <w:r>
        <w:rPr>
          <w:color w:val="8C8C8C"/>
          <w:sz w:val="12"/>
        </w:rPr>
        <w:t>cf-art-24-par-2</w:t>
      </w:r>
      <w:r>
        <w:rPr>
          <w:color w:val="003CA0"/>
          <w:sz w:val="12"/>
        </w:rPr>
        <w:t xml:space="preserve"> | ADI 2.965</w:t>
      </w:r>
      <w:r>
        <w:rPr>
          <w:color w:val="003CA0"/>
          <w:sz w:val="12"/>
        </w:rPr>
        <w:t xml:space="preserve"> | rel. Luiz Fux</w:t>
      </w:r>
    </w:p>
    <w:p>
      <w:pPr>
        <w:ind w:left="288"/>
      </w:pPr>
      <w:r>
        <w:rPr>
          <w:color w:val="1E1E1E"/>
          <w:sz w:val="18"/>
        </w:rPr>
        <w:t>A competência legislativa suplementar dos Estados-membros em matéria de educação e ensino está adstrita à edição de normas específicas, de forma a atender às peculiaridades de cada ente da federação, não servindo de pretexto à elaboração de normas gerais sobre educação ou à disciplina de matérias de competência legislativa privativa da União.</w:t>
      </w:r>
    </w:p>
    <w:p>
      <w:pPr>
        <w:ind w:left="288"/>
      </w:pPr>
      <w:r>
        <w:rPr>
          <w:b/>
          <w:color w:val="003CA0"/>
          <w:sz w:val="16"/>
        </w:rPr>
        <w:t>[ADI 2.965, rel. min. Luiz Fux, j. 02.04.2025, P, DJE de 23.10.2025.]</w:t>
      </w:r>
    </w:p>
    <w:p>
      <w:pPr>
        <w:ind w:left="144"/>
      </w:pPr>
      <w:r>
        <w:rPr>
          <w:b/>
          <w:color w:val="B45A00"/>
          <w:sz w:val="16"/>
        </w:rPr>
        <w:t>CONTROLE CONCENTRADO</w:t>
      </w:r>
    </w:p>
    <w:p>
      <w:pPr>
        <w:ind w:left="288"/>
      </w:pPr>
      <w:r>
        <w:rPr>
          <w:color w:val="8C8C8C"/>
          <w:sz w:val="12"/>
        </w:rPr>
        <w:t>cf-art-24-par-2</w:t>
      </w:r>
      <w:r>
        <w:rPr>
          <w:color w:val="003CA0"/>
          <w:sz w:val="12"/>
        </w:rPr>
        <w:t xml:space="preserve"> | ADI 5.457</w:t>
      </w:r>
      <w:r>
        <w:rPr>
          <w:color w:val="003CA0"/>
          <w:sz w:val="12"/>
        </w:rPr>
        <w:t xml:space="preserve"> | rel. Nunes Marques</w:t>
      </w:r>
    </w:p>
    <w:p>
      <w:pPr>
        <w:ind w:left="288"/>
      </w:pPr>
      <w:r>
        <w:rPr>
          <w:color w:val="1E1E1E"/>
          <w:sz w:val="18"/>
        </w:rPr>
        <w:t>Lei n. 4.218, de 8 de outubro de 2015, do Estado do Amazonas. Transferência de valores existentes em depósito judicial ou administrativo, até o limite de 70%, para a conta única do Estado. Fundo de reserva, destinado a garantir a devolução dos depósitos, com saldo mínimo correspondente a 30% do montante do qual feitas as transferências para a conta única. (...) A legislação impugnada viola o art. 24, §§ 2º e 3º, da Constituição Federal, desbordando das normas gerais editadas pela União, pois incluiu no raio de alcance também os processos protagonizados por outras pessoas jurídicas, inclusive d</w:t>
      </w:r>
    </w:p>
    <w:p>
      <w:pPr>
        <w:ind w:left="288"/>
      </w:pPr>
      <w:r>
        <w:rPr>
          <w:b/>
          <w:color w:val="003CA0"/>
          <w:sz w:val="16"/>
        </w:rPr>
        <w:t>[ADI 7.024, rel. min. Roberto Barroso, j. 17-12-2022, P, DJE de 9-2-2023.]</w:t>
      </w:r>
    </w:p>
    <w:p>
      <w:pPr>
        <w:ind w:left="288"/>
      </w:pPr>
      <w:r>
        <w:rPr>
          <w:color w:val="8C8C8C"/>
          <w:sz w:val="12"/>
        </w:rPr>
        <w:t>cf-art-24-par-2</w:t>
      </w:r>
      <w:r>
        <w:rPr>
          <w:color w:val="003CA0"/>
          <w:sz w:val="12"/>
        </w:rPr>
        <w:t xml:space="preserve"> | ADI 5.224</w:t>
      </w:r>
      <w:r>
        <w:rPr>
          <w:color w:val="003CA0"/>
          <w:sz w:val="12"/>
        </w:rPr>
        <w:t xml:space="preserve"> | rel. Rosa Weber</w:t>
      </w:r>
    </w:p>
    <w:p>
      <w:pPr>
        <w:ind w:left="288"/>
      </w:pPr>
      <w:r>
        <w:rPr>
          <w:color w:val="1E1E1E"/>
          <w:sz w:val="18"/>
        </w:rPr>
        <w:t>No modelo federativo brasileiro, estabelecida pela União a arquitetura normativa do sistema de proteção do crédito, aos Estados compete, além da supressão de eventuais lacunas, a previsão de normas destinadas a complementar a norma geral e a atender suas peculiaridades locais, respeitados os critérios (i) da preponderância do interesse local, (ii) do exaurimento dos efeitos dentro dos respectivos limites territoriais – até mesmo para se prevenir conflitos entre legislações estaduais potencialmente díspares – e (iii) da vedação da proteção insuficiente.</w:t>
      </w:r>
    </w:p>
    <w:p>
      <w:pPr>
        <w:ind w:left="288"/>
      </w:pPr>
      <w:r>
        <w:rPr>
          <w:b/>
          <w:color w:val="003CA0"/>
          <w:sz w:val="16"/>
        </w:rPr>
        <w:t>[ADI 5.224, ADI 5.252, ADI 5.273 e ADI 5.978, rel. min. Rosa Weber, j. 9-3-2022, P, DJE de 17-3-2022.]</w:t>
      </w:r>
    </w:p>
    <w:p>
      <w:pPr>
        <w:ind w:left="288"/>
      </w:pPr>
      <w:r>
        <w:rPr>
          <w:color w:val="8C8C8C"/>
          <w:sz w:val="12"/>
        </w:rPr>
        <w:t>cf-art-24-par-2</w:t>
      </w:r>
      <w:r>
        <w:rPr>
          <w:color w:val="003CA0"/>
          <w:sz w:val="12"/>
        </w:rPr>
        <w:t xml:space="preserve"> | ADI 6.672</w:t>
      </w:r>
      <w:r>
        <w:rPr>
          <w:color w:val="003CA0"/>
          <w:sz w:val="12"/>
        </w:rPr>
        <w:t xml:space="preserve"> | rel. Alexandre de Moraes</w:t>
      </w:r>
    </w:p>
    <w:p>
      <w:pPr>
        <w:ind w:left="288"/>
      </w:pPr>
      <w:r>
        <w:rPr>
          <w:color w:val="1E1E1E"/>
          <w:sz w:val="18"/>
        </w:rPr>
        <w:t>A possibilidade de complementação da legislação federal para o atendimento de interesse regional (art. 24, § 2º, da CF) não permite que Estado-Membro simplifique o licenciamento ambiental para atividades de lavra garimpeira, esvaziando o procedimento previsto em legislação nacional.</w:t>
      </w:r>
    </w:p>
    <w:p>
      <w:pPr>
        <w:ind w:left="288"/>
      </w:pPr>
      <w:r>
        <w:rPr>
          <w:b/>
          <w:color w:val="003CA0"/>
          <w:sz w:val="16"/>
        </w:rPr>
        <w:t>[ADI 6.672, rel. min. Alexandre de Moraes, j. 15-9-2021, Plenário, DJE de 22-9-2021.]</w:t>
      </w:r>
    </w:p>
    <w:p>
      <w:pPr>
        <w:ind w:left="288"/>
      </w:pPr>
      <w:r>
        <w:rPr>
          <w:color w:val="8C8C8C"/>
          <w:sz w:val="12"/>
        </w:rPr>
        <w:t>cf-art-24-par-2</w:t>
      </w:r>
      <w:r>
        <w:rPr>
          <w:color w:val="003CA0"/>
          <w:sz w:val="12"/>
        </w:rPr>
        <w:t xml:space="preserve"> | ADI 2.030</w:t>
      </w:r>
      <w:r>
        <w:rPr>
          <w:color w:val="003CA0"/>
          <w:sz w:val="12"/>
        </w:rPr>
        <w:t xml:space="preserve"> | rel. Gilmar Mendes</w:t>
      </w:r>
    </w:p>
    <w:p>
      <w:pPr>
        <w:ind w:left="288"/>
      </w:pPr>
      <w:r>
        <w:rPr>
          <w:color w:val="1E1E1E"/>
          <w:sz w:val="18"/>
        </w:rPr>
        <w:t xml:space="preserve">Repartição de competências. Lei Estadual 11.078/1999, de Santa Catarina, que estabelece normas sobre controle de resíduos de embarcações, oleodutos e instalações costeiras. Alegação de ofensa aos artigos 22, I, da Constituição Federal. Não ocorrência. Legislação estadual que trata de direito ambiental marítimo, e não de direito marítimo ambiental. Competência legislativa concorrente para legislar sobre proteção do meio ambiente e controle da poluição (art. 22, I, CF), e sobre responsabilidade por dano ao meio ambiente (art. 24, VIII, CF). Superveniência de lei geral sobre o tema. Suspensão da </w:t>
      </w:r>
    </w:p>
    <w:p>
      <w:pPr>
        <w:ind w:left="288"/>
      </w:pPr>
      <w:r>
        <w:rPr>
          <w:b/>
          <w:color w:val="003CA0"/>
          <w:sz w:val="16"/>
        </w:rPr>
        <w:t>[ADI 2.030, rel. min. Gilmar Mendes, j. 9-8-2017, P, DJE de 17-10-2018.]</w:t>
      </w:r>
    </w:p>
    <w:p>
      <w:pPr>
        <w:ind w:left="288"/>
      </w:pPr>
      <w:r>
        <w:rPr>
          <w:color w:val="8C8C8C"/>
          <w:sz w:val="12"/>
        </w:rPr>
        <w:t>cf-art-24-par-2</w:t>
      </w:r>
      <w:r>
        <w:rPr>
          <w:color w:val="003CA0"/>
          <w:sz w:val="12"/>
        </w:rPr>
        <w:t xml:space="preserve"> | ADI 2.903</w:t>
      </w:r>
      <w:r>
        <w:rPr>
          <w:color w:val="003CA0"/>
          <w:sz w:val="12"/>
        </w:rPr>
        <w:t xml:space="preserve"> | rel. Celso de Mello</w:t>
      </w:r>
    </w:p>
    <w:p>
      <w:pPr>
        <w:ind w:left="288"/>
      </w:pPr>
      <w:r>
        <w:rPr>
          <w:color w:val="1E1E1E"/>
          <w:sz w:val="18"/>
        </w:rPr>
        <w:t>Se é certo, de um lado, que, nas hipóteses referidas no art. 24 da Constituição, a União Federal não dispõe de poderes ilimitados que lhe permitam transpor o âmbito das normas gerais, para, assim, invadir, de modo inconstitucional, a esfera de competência normativa dos Estados-membros, não é menos exato, de outro, que o Estado-membro, em existindo normas gerais veiculadas em leis nacionais (como a Lei Orgânica Nacional da Defensoria Pública, consubstanciada na LC 80/1994), não pode ultrapassar os limites da competência meramente suplementar, pois, se tal ocorrer, o diploma legislativo estadual</w:t>
      </w:r>
    </w:p>
    <w:p>
      <w:pPr>
        <w:ind w:left="288"/>
      </w:pPr>
      <w:r>
        <w:rPr>
          <w:b/>
          <w:color w:val="003CA0"/>
          <w:sz w:val="16"/>
        </w:rPr>
        <w:t>[ADI 3.098, rel. min. Carlos Velloso, j. 24-11-2005, P, DJ de 10-3-2006.]</w:t>
      </w:r>
    </w:p>
    <w:p>
      <w:pPr>
        <w:ind w:left="288"/>
      </w:pPr>
      <w:r>
        <w:rPr>
          <w:color w:val="8C8C8C"/>
          <w:sz w:val="12"/>
        </w:rPr>
        <w:t>cf-art-24-par-2</w:t>
      </w:r>
      <w:r>
        <w:rPr>
          <w:color w:val="003CA0"/>
          <w:sz w:val="12"/>
        </w:rPr>
        <w:t xml:space="preserve"> | ADI 2.818</w:t>
      </w:r>
      <w:r>
        <w:rPr>
          <w:color w:val="003CA0"/>
          <w:sz w:val="12"/>
        </w:rPr>
        <w:t xml:space="preserve"> | rel. Dias Toffoli</w:t>
      </w:r>
    </w:p>
    <w:p>
      <w:pPr>
        <w:ind w:left="288"/>
      </w:pPr>
      <w:r>
        <w:rPr>
          <w:color w:val="1E1E1E"/>
          <w:sz w:val="18"/>
        </w:rPr>
        <w:t>= ADI 2.818, rel. min. Dias Toffoli, j. 9-5-2013, P, DJE de 1º-8-2013 A Constituição do Brasil contemplou a técnica da competência legislativa concorrente entre a União, os Estados-membros e o Distrito Federal, cabendo à União estabelecer normas gerais e aos Estados-membros especificá-las. É inconstitucional lei estadual que amplia definição estabelecida por texto federal, em matéria de competência concorrente.</w:t>
      </w:r>
    </w:p>
    <w:p>
      <w:pPr>
        <w:ind w:left="288"/>
      </w:pPr>
      <w:r>
        <w:rPr>
          <w:b/>
          <w:color w:val="003CA0"/>
          <w:sz w:val="16"/>
        </w:rPr>
        <w:t>[ADI 1.245, rel. min. Eros Grau, j. 6-4-2005, P, DJ de 26-8-2005.]</w:t>
      </w:r>
    </w:p>
    <w:p>
      <w:pPr>
        <w:ind w:left="288"/>
      </w:pPr>
      <w:r>
        <w:rPr>
          <w:color w:val="8C8C8C"/>
          <w:sz w:val="12"/>
        </w:rPr>
        <w:t>cf-art-24-par-2</w:t>
      </w:r>
      <w:r>
        <w:rPr>
          <w:color w:val="003CA0"/>
          <w:sz w:val="12"/>
        </w:rPr>
        <w:t xml:space="preserve"> | ADI 2.344</w:t>
      </w:r>
      <w:r>
        <w:rPr>
          <w:color w:val="003CA0"/>
          <w:sz w:val="12"/>
        </w:rPr>
        <w:t xml:space="preserve"> | rel. Celso de Mello</w:t>
      </w:r>
    </w:p>
    <w:p>
      <w:pPr>
        <w:ind w:left="288"/>
      </w:pPr>
      <w:r>
        <w:rPr>
          <w:color w:val="1E1E1E"/>
          <w:sz w:val="18"/>
        </w:rPr>
        <w:t>Nas hipóteses de competência concorrente (CF, art. 24), nas quais se estabelece verdadeira situação de condomínio legislativo entre a União Federal e os Estados-membros (HORTA, Raul Machado. Estudos de direito constitucional. Del Rey, 1995. p. 366, item 2), daí resultando clara repartição vertical de competências normativas, a jurisprudência do STF firmou-se no sentido de entender incabível a ação direta de inconstitucionalidade, se, para o específico efeito de examinar-se a ocorrência, ou não, de invasão de competência da União Federal, por parte de qualquer Estado-membro, tornar-se necessári</w:t>
      </w:r>
    </w:p>
    <w:p>
      <w:pPr>
        <w:ind w:left="288"/>
      </w:pPr>
      <w:r>
        <w:rPr>
          <w:b/>
          <w:color w:val="003CA0"/>
          <w:sz w:val="16"/>
        </w:rPr>
        <w:t>[ADI 2.344 QO, rel. min. Celso de Mello, j. 23-11-2000, P, DJ de 2-8-2002.]</w:t>
      </w:r>
    </w:p>
    <w:p>
      <w:pPr>
        <w:ind w:left="288"/>
      </w:pPr>
      <w:r>
        <w:rPr>
          <w:color w:val="8C8C8C"/>
          <w:sz w:val="12"/>
        </w:rPr>
        <w:t>cf-art-24-par-2</w:t>
      </w:r>
      <w:r>
        <w:rPr>
          <w:color w:val="003CA0"/>
          <w:sz w:val="12"/>
        </w:rPr>
        <w:t xml:space="preserve"> | ADI 2.876</w:t>
      </w:r>
      <w:r>
        <w:rPr>
          <w:color w:val="003CA0"/>
          <w:sz w:val="12"/>
        </w:rPr>
        <w:t xml:space="preserve"> | rel. Cármen Lúcia</w:t>
      </w:r>
    </w:p>
    <w:p>
      <w:pPr>
        <w:ind w:left="288"/>
      </w:pPr>
      <w:r>
        <w:rPr>
          <w:color w:val="1E1E1E"/>
          <w:sz w:val="18"/>
        </w:rPr>
        <w:t>= ADI 2.876, rel. min. Cármen Lúcia, j. 21-10-2009, P, DJE de 20-11-2009</w:t>
      </w:r>
    </w:p>
    <w:p>
      <w:pPr>
        <w:ind w:left="144"/>
      </w:pPr>
      <w:r>
        <w:rPr>
          <w:b/>
          <w:color w:val="B45A00"/>
          <w:sz w:val="16"/>
        </w:rPr>
        <w:t>REPERCUSSAO GERAL</w:t>
      </w:r>
    </w:p>
    <w:p>
      <w:pPr>
        <w:ind w:left="288"/>
      </w:pPr>
      <w:r>
        <w:rPr>
          <w:color w:val="8C8C8C"/>
          <w:sz w:val="12"/>
        </w:rPr>
        <w:t>cf-art-24-par-2</w:t>
      </w:r>
      <w:r>
        <w:rPr>
          <w:color w:val="003CA0"/>
          <w:sz w:val="12"/>
        </w:rPr>
        <w:t xml:space="preserve"> | ARE 649.379</w:t>
      </w:r>
    </w:p>
    <w:p>
      <w:pPr>
        <w:ind w:left="288"/>
      </w:pPr>
      <w:r>
        <w:rPr>
          <w:color w:val="1E1E1E"/>
          <w:sz w:val="18"/>
        </w:rPr>
        <w:t>Os Estados-Membros e o Distrito Federal têm competência legislativa para estabelecer regras de postagem de boletos referentes a pagamento de serviços prestados por empresas públicas e privadas.</w:t>
      </w:r>
    </w:p>
    <w:p>
      <w:pPr>
        <w:ind w:left="288"/>
      </w:pPr>
      <w:r>
        <w:rPr>
          <w:b/>
          <w:color w:val="003CA0"/>
          <w:sz w:val="16"/>
        </w:rPr>
        <w:t>[ARE 649.379, red. do ac. min. Alexandre de Moraes, j. 16-11-2020, P, DJE de 18-1-2021, Tema 491, com mérito julgado.]</w:t>
      </w:r>
    </w:p>
    <w:p>
      <w:pPr>
        <w:ind w:left="144"/>
      </w:pPr>
      <w:r>
        <w:rPr>
          <w:b/>
          <w:color w:val="B45A00"/>
          <w:sz w:val="16"/>
        </w:rPr>
        <w:t>CONTROLE CONCENTRADO</w:t>
      </w:r>
    </w:p>
    <w:p>
      <w:pPr>
        <w:ind w:left="288"/>
      </w:pPr>
      <w:r>
        <w:rPr>
          <w:color w:val="8C8C8C"/>
          <w:sz w:val="12"/>
        </w:rPr>
        <w:t>cf-art-24-par-3</w:t>
      </w:r>
      <w:r>
        <w:rPr>
          <w:color w:val="003CA0"/>
          <w:sz w:val="12"/>
        </w:rPr>
        <w:t xml:space="preserve"> | ADI 5.995</w:t>
      </w:r>
      <w:r>
        <w:rPr>
          <w:color w:val="003CA0"/>
          <w:sz w:val="12"/>
        </w:rPr>
        <w:t xml:space="preserve"> | rel. Gilmar Mendes</w:t>
      </w:r>
    </w:p>
    <w:p>
      <w:pPr>
        <w:ind w:left="288"/>
      </w:pPr>
      <w:r>
        <w:rPr>
          <w:color w:val="1E1E1E"/>
          <w:sz w:val="18"/>
        </w:rPr>
        <w:t>Lei nº 7.814, de 15 de dezembro de 2017, do Estado do Rio de Janeiro, que dispõe sobre a proibição, no Estado, da utilização de animais para desenvolvimento, experimento e teste de produtos cosméticos, higiene pessoal, perfumes, limpeza e seus componentes. Competência da União para legislar sobre normais gerais. Alegação de ofensa ao art. 24, VI, CF. Inocorrência.</w:t>
        <w:br/>
        <w:t>[ADI 5.995, rel. min. Gilmar Mendes, j. 27-5-2021, P, DJE de 20-10-2021.] O consenso dos órgãos oficiais de saúde geral e de saúde do trabalhador em torno da natureza altamente cancerígena do amianto crisotila, a existência de materi</w:t>
      </w:r>
    </w:p>
    <w:p>
      <w:pPr>
        <w:ind w:left="288"/>
      </w:pPr>
      <w:r>
        <w:rPr>
          <w:b/>
          <w:color w:val="003CA0"/>
          <w:sz w:val="16"/>
        </w:rPr>
        <w:t>[ADI 3.937, red. do ac. min. Dias Toffoli, j. 24-8-2017, P, DJE de 1º-2-2019.]</w:t>
        <w:br/>
        <w:t>= ADI 3.406 e ADI 3.470, rel. min. Rosa Weber, j. 29-11-2017, P, DJE de 1º-2-2019</w:t>
      </w:r>
    </w:p>
    <w:p>
      <w:pPr>
        <w:ind w:left="288"/>
      </w:pPr>
      <w:r>
        <w:rPr>
          <w:color w:val="8C8C8C"/>
          <w:sz w:val="12"/>
        </w:rPr>
        <w:t>cf-art-24-par-3</w:t>
      </w:r>
      <w:r>
        <w:rPr>
          <w:color w:val="003CA0"/>
          <w:sz w:val="12"/>
        </w:rPr>
        <w:t xml:space="preserve"> | ADI 3.098</w:t>
      </w:r>
      <w:r>
        <w:rPr>
          <w:color w:val="003CA0"/>
          <w:sz w:val="12"/>
        </w:rPr>
        <w:t xml:space="preserve"> | rel. Carlos Velloso</w:t>
      </w:r>
    </w:p>
    <w:p>
      <w:pPr>
        <w:ind w:left="288"/>
      </w:pPr>
      <w:r>
        <w:rPr>
          <w:color w:val="1E1E1E"/>
          <w:sz w:val="18"/>
        </w:rPr>
        <w:t xml:space="preserve">O art. 24 da CF compreende competência estadual concorrente não cumulativa ou suplementar (art. 24, § 2º) e competência estadual concorrente cumulativa (art. 24, § 3º). Na primeira hipótese, existente a lei federal de normas gerais (art. 24, § 1º), poderão os Estados e o Distrito Federal, no uso da competência suplementar, preencher os vazios da lei federal de normas gerais, a fim de afeiçoá-la às peculiaridades locais (art. 24, § 2º); na segunda hipótese, poderão os Estados e o Distrito Fededal, inexistente a lei federal de normas gerais, exercer a competência legislativa plena "para atender </w:t>
      </w:r>
    </w:p>
    <w:p>
      <w:pPr>
        <w:ind w:left="288"/>
      </w:pPr>
      <w:r>
        <w:rPr>
          <w:b/>
          <w:color w:val="003CA0"/>
          <w:sz w:val="16"/>
        </w:rPr>
        <w:t>[RE 592.152 RG, rel. min. Cristiano Zanin, j. 10.06.2024, P, DJE de 03.07.2024, Tema 1.305, com mérito julgado.]</w:t>
      </w:r>
    </w:p>
    <w:p>
      <w:pPr>
        <w:ind w:left="144"/>
      </w:pPr>
      <w:r>
        <w:rPr>
          <w:b/>
          <w:color w:val="B45A00"/>
          <w:sz w:val="16"/>
        </w:rPr>
        <w:t>JULGADOS CORRELATOS</w:t>
      </w:r>
    </w:p>
    <w:p>
      <w:pPr>
        <w:ind w:left="288"/>
      </w:pPr>
      <w:r>
        <w:rPr>
          <w:color w:val="8C8C8C"/>
          <w:sz w:val="12"/>
        </w:rPr>
        <w:t>cf-art-24-par-3</w:t>
      </w:r>
      <w:r>
        <w:rPr>
          <w:color w:val="003CA0"/>
          <w:sz w:val="12"/>
        </w:rPr>
        <w:t xml:space="preserve"> | RE 917.950</w:t>
      </w:r>
      <w:r>
        <w:rPr>
          <w:color w:val="003CA0"/>
          <w:sz w:val="12"/>
        </w:rPr>
        <w:t xml:space="preserve"> | rel. Gilmar Mendes</w:t>
      </w:r>
    </w:p>
    <w:p>
      <w:pPr>
        <w:ind w:left="288"/>
      </w:pPr>
      <w:r>
        <w:rPr>
          <w:color w:val="1E1E1E"/>
          <w:sz w:val="18"/>
        </w:rPr>
        <w:t>Após a EC 33/2002, houve alteração da competência tributária relativa ao ICMS, a fim de ampliar o sujeito passivo tributário do ICMS-Importação. A ausência de lei complementar federal não enseja a inconstitucionalidade de lei estadual editada por ente federativo após a EC 33/2002. Inibe apenas seus efeitos. Ineficácia da legislação estadual até 17.12.2002 (data da vigência da Lei Complementar 114/2002).</w:t>
        <w:br/>
        <w:t xml:space="preserve">[RE 917.950 AgR, red. do ac. min. Gilmar Mendes, j. 5-12-2017, 2ª T, DJE de 11-6-2018.] Enquanto não editada a lei a que se refere o § 21 do art. 40 da CF/1988, vigem os diplomas estaduais que </w:t>
      </w:r>
    </w:p>
    <w:p>
      <w:pPr>
        <w:ind w:left="288"/>
      </w:pPr>
      <w:r>
        <w:rPr>
          <w:b/>
          <w:color w:val="003CA0"/>
          <w:sz w:val="16"/>
        </w:rPr>
        <w:t>[RE 414.259 AgR, rel. min. Eros Grau, j. 24-6-2008, 2ª T, DJE de 15-8-2008.]</w:t>
      </w:r>
    </w:p>
    <w:p>
      <w:pPr>
        <w:ind w:left="288"/>
      </w:pPr>
      <w:r>
        <w:rPr>
          <w:color w:val="8C8C8C"/>
          <w:sz w:val="12"/>
        </w:rPr>
        <w:t>cf-art-24-par-3</w:t>
      </w:r>
      <w:r>
        <w:rPr>
          <w:color w:val="003CA0"/>
          <w:sz w:val="12"/>
        </w:rPr>
        <w:t xml:space="preserve"> | RE 601.247</w:t>
      </w:r>
      <w:r>
        <w:rPr>
          <w:color w:val="003CA0"/>
          <w:sz w:val="12"/>
        </w:rPr>
        <w:t xml:space="preserve"> | rel. Ricardo Lewandowski</w:t>
      </w:r>
    </w:p>
    <w:p>
      <w:pPr>
        <w:ind w:left="288"/>
      </w:pPr>
      <w:r>
        <w:rPr>
          <w:color w:val="1E1E1E"/>
          <w:sz w:val="18"/>
        </w:rPr>
        <w:t>= RE 601.247 AgR, rel. min. Ricardo Lewandowski, j. 29-5-2012, 2ª T, DJE de 13-6-2012 Deixando a União de editar normas gerais, exerce a unidade da Federação a competência legislativa plena – § 3º do art. 24 do corpo permanente da Carta de 1988 –, sendo que, com a entrada em vigor do sistema tributário nacional, abriu-se à União, aos Estados, ao Distrito Federal e aos Municípios a via da edição de leis necessárias à respectiva aplicação – § 3º do art. 34 do ADCT da Carta de 1988.</w:t>
      </w:r>
    </w:p>
    <w:p>
      <w:pPr>
        <w:ind w:left="288"/>
      </w:pPr>
      <w:r>
        <w:rPr>
          <w:b/>
          <w:color w:val="003CA0"/>
          <w:sz w:val="16"/>
        </w:rPr>
        <w:t>[AI 167.777 AgR, rel. min. Marco Aurélio, j. 4-3-1997, 2ª T, DJ de 9-5-1997.]</w:t>
      </w:r>
    </w:p>
    <w:p>
      <w:pPr>
        <w:ind w:left="288"/>
      </w:pPr>
      <w:r>
        <w:rPr>
          <w:color w:val="8C8C8C"/>
          <w:sz w:val="12"/>
        </w:rPr>
        <w:t>cf-art-24-par-3</w:t>
      </w:r>
      <w:r>
        <w:rPr>
          <w:color w:val="003CA0"/>
          <w:sz w:val="12"/>
        </w:rPr>
        <w:t xml:space="preserve"> | RE 601.247</w:t>
      </w:r>
      <w:r>
        <w:rPr>
          <w:color w:val="003CA0"/>
          <w:sz w:val="12"/>
        </w:rPr>
        <w:t xml:space="preserve"> | rel. Ricardo Lewandowski</w:t>
      </w:r>
    </w:p>
    <w:p>
      <w:pPr>
        <w:ind w:left="288"/>
      </w:pPr>
      <w:r>
        <w:rPr>
          <w:color w:val="1E1E1E"/>
          <w:sz w:val="18"/>
        </w:rPr>
        <w:t xml:space="preserve">= RE 601.247 AgR, rel. min. Ricardo Lewandowski, j. 29-5-2012, 2ª T, DJE de 13-6-2012 Os Estados-membros não podem instituir, mediante ato legislativo próprio, o tributo a que se refere o art. 155, II, da Constituição (Adicional ao Imposto de Renda) enquanto não for editada, pela União Federal, a lei complementar nacional prevista no art. 146 da Lei Fundamental da República. A existência desse vacum legis não confere aos Estados-membros a possibilidade de exercerem, com base nas regras inscritas no art. 24, § 3º, da Constituição e no art. 34, § 3º, do ADCT/1988, competência legislativa plena, </w:t>
      </w:r>
    </w:p>
    <w:p>
      <w:pPr>
        <w:ind w:left="288"/>
      </w:pPr>
      <w:r>
        <w:rPr>
          <w:b/>
          <w:color w:val="003CA0"/>
          <w:sz w:val="16"/>
        </w:rPr>
        <w:t>[RE 149.955, rel. min. Celso de Mello, j. 19-8-1993, P, DJ de 3-9-1993.]</w:t>
      </w:r>
    </w:p>
    <w:p>
      <w:pPr>
        <w:ind w:left="144"/>
      </w:pPr>
      <w:r>
        <w:rPr>
          <w:b/>
          <w:color w:val="B45A00"/>
          <w:sz w:val="16"/>
        </w:rPr>
        <w:t>CONTROLE CONCENTRADO</w:t>
      </w:r>
    </w:p>
    <w:p>
      <w:pPr>
        <w:ind w:left="288"/>
      </w:pPr>
      <w:r>
        <w:rPr>
          <w:color w:val="8C8C8C"/>
          <w:sz w:val="12"/>
        </w:rPr>
        <w:t>cf-art-24-par-4</w:t>
      </w:r>
      <w:r>
        <w:rPr>
          <w:color w:val="003CA0"/>
          <w:sz w:val="12"/>
        </w:rPr>
        <w:t xml:space="preserve"> | ADI 5.568</w:t>
      </w:r>
    </w:p>
    <w:p>
      <w:pPr>
        <w:ind w:left="288"/>
      </w:pPr>
      <w:r>
        <w:rPr>
          <w:color w:val="1E1E1E"/>
          <w:sz w:val="18"/>
        </w:rPr>
        <w:t>Tratando-se de norma de natureza de direito do consumidor do serviço de telecomunicações e havendo conflito entre a disciplina federal e a estadual, deve aquela prevalecer. A norma federal, nestes casos, serve à homogeneidade regulatória, afastando a competência dos Estados. A ANATEL, entidade reguladora do setor, no exercício de sua competência normativa prevista nos arts. 19 e 22 da Lei 9.472/97, editou a Resolução 632/2014, que trata do Regulamento Geral de Direitos do Consumidor de Serviços de Telecomunicações. Segundo o art. 51 do RDC, o fornecimento do contrato pode ser por meio eletrôni</w:t>
      </w:r>
    </w:p>
    <w:p>
      <w:pPr>
        <w:ind w:left="288"/>
      </w:pPr>
      <w:r>
        <w:rPr>
          <w:b/>
          <w:color w:val="003CA0"/>
          <w:sz w:val="16"/>
        </w:rPr>
        <w:t>[ADI 5.568, red. do ac. min. Edson Fachin, j. 27-9-2019, P, DJE de 15-10-2019.]</w:t>
      </w:r>
    </w:p>
    <w:p>
      <w:pPr>
        <w:ind w:left="288"/>
      </w:pPr>
      <w:r>
        <w:rPr>
          <w:color w:val="8C8C8C"/>
          <w:sz w:val="12"/>
        </w:rPr>
        <w:t>cf-art-24-par-4</w:t>
      </w:r>
      <w:r>
        <w:rPr>
          <w:color w:val="003CA0"/>
          <w:sz w:val="12"/>
        </w:rPr>
        <w:t xml:space="preserve"> | ADI 903</w:t>
      </w:r>
      <w:r>
        <w:rPr>
          <w:color w:val="003CA0"/>
          <w:sz w:val="12"/>
        </w:rPr>
        <w:t xml:space="preserve"> | rel. Dias Toffoli</w:t>
      </w:r>
    </w:p>
    <w:p>
      <w:pPr>
        <w:ind w:left="288"/>
      </w:pPr>
      <w:r>
        <w:rPr>
          <w:color w:val="1E1E1E"/>
          <w:sz w:val="18"/>
        </w:rPr>
        <w:t>Lei 10.820/1992 do Estado de Minas Gerais, que dispõe sobre adaptação dos veículos de transporte coletivo com a finalidade de assegurar seu acesso por pessoas com deficiência ou dificuldade de locomoção. (...) Como, à época da edição da legislação ora questionada, não havia lei geral nacional sobre o tema, a teor do § 3º do art. 24 da CF, era deferido aos Estados-membros o exercício da competência legislativa plena, podendo suprir o espaço normativo com suas legislações locais. A preocupação manifesta no julgamento cautelar sobre a ausência de legislação federal protetiva hoje se encontra supe</w:t>
      </w:r>
    </w:p>
    <w:p>
      <w:pPr>
        <w:ind w:left="720"/>
      </w:pPr>
      <w:r>
        <w:rPr>
          <w:color w:val="003366"/>
          <w:sz w:val="18"/>
        </w:rPr>
        <w:t>I – direito tributário, financeiro, penitenciário, econômico e urbanístico; (Vid</w:t>
      </w:r>
    </w:p>
    <w:p>
      <w:pPr>
        <w:ind w:left="720"/>
      </w:pPr>
      <w:r>
        <w:rPr>
          <w:color w:val="003366"/>
          <w:sz w:val="18"/>
        </w:rPr>
        <w:t>II – orçamento;</w:t>
      </w:r>
    </w:p>
    <w:p>
      <w:pPr>
        <w:ind w:left="720"/>
      </w:pPr>
      <w:r>
        <w:rPr>
          <w:color w:val="003366"/>
          <w:sz w:val="18"/>
        </w:rPr>
        <w:t>III – juntas comerciais;</w:t>
      </w:r>
    </w:p>
    <w:p>
      <w:pPr>
        <w:ind w:left="720"/>
      </w:pPr>
      <w:r>
        <w:rPr>
          <w:color w:val="003366"/>
          <w:sz w:val="18"/>
        </w:rPr>
        <w:t>IV – custas dos serviços forenses;</w:t>
      </w:r>
    </w:p>
    <w:p>
      <w:pPr>
        <w:ind w:left="720"/>
      </w:pPr>
      <w:r>
        <w:rPr>
          <w:color w:val="003366"/>
          <w:sz w:val="18"/>
        </w:rPr>
        <w:t>V – produção e consumo;</w:t>
      </w:r>
    </w:p>
    <w:p>
      <w:pPr>
        <w:ind w:left="720"/>
      </w:pPr>
      <w:r>
        <w:rPr>
          <w:color w:val="003366"/>
          <w:sz w:val="18"/>
        </w:rPr>
        <w:t>VI – florestas, caça, pesca, fauna, conservação da natureza, defesa do solo e do</w:t>
      </w:r>
    </w:p>
    <w:p>
      <w:pPr>
        <w:ind w:left="720"/>
      </w:pPr>
      <w:r>
        <w:rPr>
          <w:color w:val="003366"/>
          <w:sz w:val="18"/>
        </w:rPr>
        <w:t>VII – proteção ao patrimônio histórico, cultural, artístico, turístico e paisagí</w:t>
      </w:r>
    </w:p>
    <w:p>
      <w:pPr>
        <w:ind w:left="720"/>
      </w:pPr>
      <w:r>
        <w:rPr>
          <w:color w:val="003366"/>
          <w:sz w:val="18"/>
        </w:rPr>
        <w:t>VIII – responsabilidade por dano ao meio ambiente, ao consumidor, a bens e direi</w:t>
      </w:r>
    </w:p>
    <w:p>
      <w:pPr>
        <w:ind w:left="720"/>
      </w:pPr>
      <w:r>
        <w:rPr>
          <w:color w:val="003366"/>
          <w:sz w:val="18"/>
        </w:rPr>
        <w:t>IX – educação, cultura, ensino, desporto, ciência, tecnologia, pesquisa, desenvo</w:t>
      </w:r>
    </w:p>
    <w:p>
      <w:pPr>
        <w:ind w:left="720"/>
      </w:pPr>
      <w:r>
        <w:rPr>
          <w:color w:val="003366"/>
          <w:sz w:val="18"/>
        </w:rPr>
        <w:t>X – criação, funcionamento e processo do juizado de pequenas causas;</w:t>
      </w:r>
    </w:p>
    <w:p>
      <w:pPr>
        <w:ind w:left="720"/>
      </w:pPr>
      <w:r>
        <w:rPr>
          <w:color w:val="003366"/>
          <w:sz w:val="18"/>
        </w:rPr>
        <w:t>XI – procedimentos em matéria processual;</w:t>
      </w:r>
    </w:p>
    <w:p>
      <w:pPr>
        <w:ind w:left="720"/>
      </w:pPr>
      <w:r>
        <w:rPr>
          <w:color w:val="003366"/>
          <w:sz w:val="18"/>
        </w:rPr>
        <w:t>XII – previdência social, proteção e defesa da saúde; (Vide ADPF 672)</w:t>
      </w:r>
    </w:p>
    <w:p>
      <w:pPr>
        <w:ind w:left="720"/>
      </w:pPr>
      <w:r>
        <w:rPr>
          <w:color w:val="003366"/>
          <w:sz w:val="18"/>
        </w:rPr>
        <w:t>XIII – assistência jurídica e Defensoria pública;</w:t>
      </w:r>
    </w:p>
    <w:p>
      <w:pPr>
        <w:ind w:left="432"/>
      </w:pPr>
      <w:r>
        <w:rPr>
          <w:color w:val="003366"/>
          <w:sz w:val="18"/>
        </w:rPr>
        <w:t>§ 1 No âmbito da legislação concorrente, a competência da União limitar-se-á a e</w:t>
      </w:r>
    </w:p>
    <w:p>
      <w:pPr>
        <w:ind w:left="432"/>
      </w:pPr>
      <w:r>
        <w:rPr>
          <w:color w:val="003366"/>
          <w:sz w:val="18"/>
        </w:rPr>
        <w:t>§ 2 A competência da União para legislar sobre normas gerais não exclui a compet</w:t>
      </w:r>
    </w:p>
    <w:p>
      <w:pPr>
        <w:ind w:left="432"/>
      </w:pPr>
      <w:r>
        <w:rPr>
          <w:color w:val="003366"/>
          <w:sz w:val="18"/>
        </w:rPr>
        <w:t>§ 3 Inexistindo lei federal sobre normas gerais, os Estados exercerão a competên</w:t>
      </w:r>
    </w:p>
    <w:p>
      <w:pPr>
        <w:ind w:left="432"/>
      </w:pPr>
      <w:r>
        <w:rPr>
          <w:color w:val="003366"/>
          <w:sz w:val="18"/>
        </w:rPr>
        <w:t>§ 4 A superveniência de lei federal sobre normas gerais suspende a eficácia da l</w:t>
      </w:r>
    </w:p>
    <w:p>
      <w:pPr>
        <w:pStyle w:val="Heading2"/>
      </w:pPr>
      <w:r>
        <w:rPr>
          <w:color w:val="003366"/>
        </w:rPr>
        <w:t>CAPÍTULO III - DOS ESTADOS FEDERADOS</w:t>
      </w:r>
    </w:p>
    <w:p>
      <w:r>
        <w:rPr>
          <w:b/>
          <w:color w:val="003366"/>
          <w:sz w:val="20"/>
        </w:rPr>
        <w:t>Art. 25 Os Estados organizam-se e regem-se pelas Constituições e leis que adotar</w:t>
      </w:r>
      <w:r>
        <w:rPr>
          <w:color w:val="8C8C8C"/>
          <w:sz w:val="14"/>
        </w:rPr>
        <w:t xml:space="preserve">  [26 decisoes]</w:t>
      </w:r>
    </w:p>
    <w:p>
      <w:pPr>
        <w:ind w:left="288"/>
      </w:pPr>
      <w:r>
        <w:rPr>
          <w:color w:val="8C8C8C"/>
          <w:sz w:val="12"/>
        </w:rPr>
        <w:t>cf-art-25</w:t>
      </w:r>
      <w:r>
        <w:rPr>
          <w:color w:val="003CA0"/>
          <w:sz w:val="12"/>
        </w:rPr>
        <w:t xml:space="preserve"> | ADI 7.436</w:t>
      </w:r>
      <w:r>
        <w:rPr>
          <w:color w:val="003CA0"/>
          <w:sz w:val="12"/>
        </w:rPr>
        <w:t xml:space="preserve"> | rel. André Mendonça</w:t>
      </w:r>
    </w:p>
    <w:p>
      <w:pPr>
        <w:ind w:left="288"/>
      </w:pPr>
      <w:r>
        <w:rPr>
          <w:color w:val="1E1E1E"/>
          <w:sz w:val="18"/>
        </w:rPr>
        <w:t>A exigência de lei complementar para matérias que a Constituição Federal reserva à lei ordinária viola o princípio da simetria, ao impor obstáculos procedimentais não previstos pelo constituinte federal, limitando indevidamente o arranjo democrático-representativo.</w:t>
      </w:r>
    </w:p>
    <w:p>
      <w:pPr>
        <w:ind w:left="288"/>
      </w:pPr>
      <w:r>
        <w:rPr>
          <w:b/>
          <w:color w:val="003CA0"/>
          <w:sz w:val="16"/>
        </w:rPr>
        <w:t>[ADI 7.436, rel. min. André Mendonça, j. 07.04.2025, P, DJE de 17.12.2025.]</w:t>
      </w:r>
    </w:p>
    <w:p>
      <w:pPr>
        <w:ind w:left="144"/>
      </w:pPr>
      <w:r>
        <w:rPr>
          <w:b/>
          <w:color w:val="B45A00"/>
          <w:sz w:val="16"/>
        </w:rPr>
        <w:t>CONTROLE CONCENTRADO</w:t>
      </w:r>
    </w:p>
    <w:p>
      <w:pPr>
        <w:ind w:left="288"/>
      </w:pPr>
      <w:r>
        <w:rPr>
          <w:color w:val="8C8C8C"/>
          <w:sz w:val="12"/>
        </w:rPr>
        <w:t>cf-art-25</w:t>
      </w:r>
      <w:r>
        <w:rPr>
          <w:color w:val="003CA0"/>
          <w:sz w:val="12"/>
        </w:rPr>
        <w:t xml:space="preserve"> | ADI 6.780</w:t>
      </w:r>
      <w:r>
        <w:rPr>
          <w:color w:val="003CA0"/>
          <w:sz w:val="12"/>
        </w:rPr>
        <w:t xml:space="preserve"> | rel. Nunes Marques</w:t>
      </w:r>
    </w:p>
    <w:p>
      <w:pPr>
        <w:ind w:left="288"/>
      </w:pPr>
      <w:r>
        <w:rPr>
          <w:color w:val="1E1E1E"/>
          <w:sz w:val="18"/>
        </w:rPr>
        <w:t>Lei complementar estadual. Permuta nacional entre membros dos Ministérios Públicos Estaduais e do Distrito Federal e Territórios. Federalismo. Autonomia dos estados-membros. Inexistência de carreira única. (...) O caráter nacional do Ministério Público, considerado o regramento de observância obrigatória por todos os seus órgãos – Ministérios Públicos da União, dos Estados e do Distrito Federal – e respectivos membros, não se confunde com a existência de um único Ministério Público dos Estados, pois isso configuraria violação da forma federativa adotada pelo constituinte originário e da autono</w:t>
      </w:r>
    </w:p>
    <w:p>
      <w:pPr>
        <w:ind w:left="288"/>
      </w:pPr>
      <w:r>
        <w:rPr>
          <w:b/>
          <w:color w:val="003CA0"/>
          <w:sz w:val="16"/>
        </w:rPr>
        <w:t>[ADI 5.520, rel. min. Alexandre de Moraes, j. 6-9-2019, P, DJE de 20-9-2019.]</w:t>
      </w:r>
    </w:p>
    <w:p>
      <w:pPr>
        <w:ind w:left="288"/>
      </w:pPr>
      <w:r>
        <w:rPr>
          <w:color w:val="8C8C8C"/>
          <w:sz w:val="12"/>
        </w:rPr>
        <w:t>cf-art-25</w:t>
      </w:r>
      <w:r>
        <w:rPr>
          <w:color w:val="003CA0"/>
          <w:sz w:val="12"/>
        </w:rPr>
        <w:t xml:space="preserve"> | ADI 4.298</w:t>
      </w:r>
      <w:r>
        <w:rPr>
          <w:color w:val="003CA0"/>
          <w:sz w:val="12"/>
        </w:rPr>
        <w:t xml:space="preserve"> | rel. Cezar Peluso</w:t>
      </w:r>
    </w:p>
    <w:p>
      <w:pPr>
        <w:ind w:left="288"/>
      </w:pPr>
      <w:r>
        <w:rPr>
          <w:color w:val="1E1E1E"/>
          <w:sz w:val="18"/>
        </w:rPr>
        <w:t xml:space="preserve">No desate de causas afins, recorre a Corte, com frequência, ao chamado princípio ou regra da simetria, que é construção pretoriana tendente a garantir, quanto aos aspectos reputados substanciais, homogeneidade na disciplina normativa da separação, independência e harmonia dos poderes, nos três planos federativos. Seu fundamento mais direto está no art. 25 da CF e no art. 11 de seu ADCT, que determinam aos Estados-membros a observância dos princípios da Constituição da República. Se a garantia de simetria no traçado normativo das linhas essenciais dos entes da Federação, mediante revelação dos </w:t>
      </w:r>
    </w:p>
    <w:p>
      <w:pPr>
        <w:ind w:left="288"/>
      </w:pPr>
      <w:r>
        <w:rPr>
          <w:b/>
          <w:color w:val="003CA0"/>
          <w:sz w:val="16"/>
        </w:rPr>
        <w:t>[ADI 4.298 MC, voto do rel. min. Cezar Peluso, j. 7-10-2009, P, DJE de 27-11-2009.]</w:t>
      </w:r>
    </w:p>
    <w:p>
      <w:pPr>
        <w:ind w:left="288"/>
      </w:pPr>
      <w:r>
        <w:rPr>
          <w:color w:val="8C8C8C"/>
          <w:sz w:val="12"/>
        </w:rPr>
        <w:t>cf-art-25</w:t>
      </w:r>
      <w:r>
        <w:rPr>
          <w:color w:val="003CA0"/>
          <w:sz w:val="12"/>
        </w:rPr>
        <w:t xml:space="preserve"> | ADI 1.521</w:t>
      </w:r>
      <w:r>
        <w:rPr>
          <w:color w:val="003CA0"/>
          <w:sz w:val="12"/>
        </w:rPr>
        <w:t xml:space="preserve"> | rel. Ricardo Lewandowski</w:t>
      </w:r>
    </w:p>
    <w:p>
      <w:pPr>
        <w:ind w:left="288"/>
      </w:pPr>
      <w:r>
        <w:rPr>
          <w:color w:val="1E1E1E"/>
          <w:sz w:val="18"/>
        </w:rPr>
        <w:t>= ADI 1.521, rel. min. Ricardo Lewandowski, j. 19-6-2013, P, DJE de 13-8-2013</w:t>
        <w:br/>
        <w:t>= ADI 6.337, rel. min. Rosa Weber, j. 24-8-2020, P, DJE de 22-10-2020 A Constituição do Brasil, ao conferir aos Estados-membros a capacidade de auto-organização e de autogoverno – art. 25, caput –, impõe a obrigatória observância de vários princípios, entre os quais o pertinente ao processo legislativo. O legislador estadual não pode usurpar a iniciativa legislativa do chefe do Executivo, dispondo sobre as matérias reservadas a essa iniciativa privativa.</w:t>
      </w:r>
    </w:p>
    <w:p>
      <w:pPr>
        <w:ind w:left="288"/>
      </w:pPr>
      <w:r>
        <w:rPr>
          <w:b/>
          <w:color w:val="003CA0"/>
          <w:sz w:val="16"/>
        </w:rPr>
        <w:t>[ADI 1.594, rel. min. Eros Grau, j. 4-6-2008, P, DJE de 22-8-2008.]</w:t>
      </w:r>
    </w:p>
    <w:p>
      <w:pPr>
        <w:ind w:left="288"/>
      </w:pPr>
      <w:r>
        <w:rPr>
          <w:color w:val="8C8C8C"/>
          <w:sz w:val="12"/>
        </w:rPr>
        <w:t>cf-art-25</w:t>
      </w:r>
      <w:r>
        <w:rPr>
          <w:color w:val="003CA0"/>
          <w:sz w:val="12"/>
        </w:rPr>
        <w:t xml:space="preserve"> | ADI 291</w:t>
      </w:r>
      <w:r>
        <w:rPr>
          <w:color w:val="003CA0"/>
          <w:sz w:val="12"/>
        </w:rPr>
        <w:t xml:space="preserve"> | rel. Joaquim Barbosa</w:t>
      </w:r>
    </w:p>
    <w:p>
      <w:pPr>
        <w:ind w:left="288"/>
      </w:pPr>
      <w:r>
        <w:rPr>
          <w:color w:val="1E1E1E"/>
          <w:sz w:val="18"/>
        </w:rPr>
        <w:t xml:space="preserve">= ADI 291, rel. min. Joaquim Barbosa, j. 7-4-2010, P, DJE de 10-9-2010 É improcedente a ação. Em primeiro lugar, não encontro ofensa ao princípio federativo, a qual, no entender da autora, estaria na feição assimétrica que a norma estadual impugnada deu a um dos aspectos do correspondente processo legislativo em relação ao modelo federal. Ora, a exigência constante do art. 112, § 2º, da Constituição fluminense consagra mera restrição material à atividade do legislador estadual, que com ela se vê impedido de conceder gratuidade sem proceder à necessária indicação da fonte de custeio. É assente </w:t>
      </w:r>
    </w:p>
    <w:p>
      <w:pPr>
        <w:ind w:left="288"/>
      </w:pPr>
      <w:r>
        <w:rPr>
          <w:b/>
          <w:color w:val="003CA0"/>
          <w:sz w:val="16"/>
        </w:rPr>
        <w:t>[ADI 3.225, voto do rel. min. Cezar Peluso, j. 17-9-2007, P, DJ de 26-10-2007.]</w:t>
      </w:r>
    </w:p>
    <w:p>
      <w:pPr>
        <w:ind w:left="288"/>
      </w:pPr>
      <w:r>
        <w:rPr>
          <w:color w:val="8C8C8C"/>
          <w:sz w:val="12"/>
        </w:rPr>
        <w:t>cf-art-25</w:t>
      </w:r>
      <w:r>
        <w:rPr>
          <w:color w:val="003CA0"/>
          <w:sz w:val="12"/>
        </w:rPr>
        <w:t xml:space="preserve"> | ADI 1.448</w:t>
      </w:r>
      <w:r>
        <w:rPr>
          <w:color w:val="003CA0"/>
          <w:sz w:val="12"/>
        </w:rPr>
        <w:t xml:space="preserve"> | rel. Maurício Corrêa</w:t>
      </w:r>
    </w:p>
    <w:p>
      <w:pPr>
        <w:ind w:left="288"/>
      </w:pPr>
      <w:r>
        <w:rPr>
          <w:color w:val="1E1E1E"/>
          <w:sz w:val="18"/>
        </w:rPr>
        <w:t>Disposição constitucional estadual que impõe o pagamento de 13º salário aos servidores estaduais em data e forma definidas. Abuso do poder constituinte estadual, por interferência indevida na programação financeira e na execução de despesa pública, a cargo do Poder Executivo, nos termos da CF.</w:t>
      </w:r>
    </w:p>
    <w:p>
      <w:pPr>
        <w:ind w:left="288"/>
      </w:pPr>
      <w:r>
        <w:rPr>
          <w:b/>
          <w:color w:val="003CA0"/>
          <w:sz w:val="16"/>
        </w:rPr>
        <w:t>[ADI 1.448, red. do ac. min. Joaquim Barbosa, rel. min. Maurício Corrêa, j. 16-8-2007, P, DJ de 11-10-2007.]</w:t>
      </w:r>
    </w:p>
    <w:p>
      <w:pPr>
        <w:ind w:left="288"/>
      </w:pPr>
      <w:r>
        <w:rPr>
          <w:color w:val="8C8C8C"/>
          <w:sz w:val="12"/>
        </w:rPr>
        <w:t>cf-art-25</w:t>
      </w:r>
      <w:r>
        <w:rPr>
          <w:color w:val="003CA0"/>
          <w:sz w:val="12"/>
        </w:rPr>
        <w:t xml:space="preserve"> | ADI 2.076</w:t>
      </w:r>
      <w:r>
        <w:rPr>
          <w:color w:val="003CA0"/>
          <w:sz w:val="12"/>
        </w:rPr>
        <w:t xml:space="preserve"> | rel. Carlos Velloso</w:t>
      </w:r>
    </w:p>
    <w:p>
      <w:pPr>
        <w:ind w:left="288"/>
      </w:pPr>
      <w:r>
        <w:rPr>
          <w:color w:val="1E1E1E"/>
          <w:sz w:val="18"/>
        </w:rPr>
        <w:t xml:space="preserve">O preâmbulo (...) não se situa no âmbito do Direito, mas no domínio da política, refletindo posição ideológica do constituinte. É claro que uma Constituição que consagra princípios democráticos, liberais, não poderia conter preâmbulo que proclamasse princípios diversos. Não contém o preâmbulo, portanto, relevância jurídica. O preâmbulo não constitui norma central da Constituição, de reprodução obrigatória na Constituição do Estado-membro. O que acontece é que o preâmbulo contém, de regra, proclamação ou exortação no sentido dos princípios inscritos na Carta: princípio do Estado Democrático de </w:t>
      </w:r>
    </w:p>
    <w:p>
      <w:pPr>
        <w:ind w:left="288"/>
      </w:pPr>
      <w:r>
        <w:rPr>
          <w:b/>
          <w:color w:val="003CA0"/>
          <w:sz w:val="16"/>
        </w:rPr>
        <w:t>[ADI 2.076, voto do rel. min. Carlos Velloso, j. 15-8-2002, P, DJ de 8-8-2003.]</w:t>
      </w:r>
    </w:p>
    <w:p>
      <w:pPr>
        <w:ind w:left="288"/>
      </w:pPr>
      <w:r>
        <w:rPr>
          <w:color w:val="8C8C8C"/>
          <w:sz w:val="12"/>
        </w:rPr>
        <w:t>cf-art-25</w:t>
      </w:r>
      <w:r>
        <w:rPr>
          <w:color w:val="003CA0"/>
          <w:sz w:val="12"/>
        </w:rPr>
        <w:t xml:space="preserve"> | ADI 486</w:t>
      </w:r>
      <w:r>
        <w:rPr>
          <w:color w:val="003CA0"/>
          <w:sz w:val="12"/>
        </w:rPr>
        <w:t xml:space="preserve"> | rel. Celso de Mello</w:t>
      </w:r>
    </w:p>
    <w:p>
      <w:pPr>
        <w:ind w:left="288"/>
      </w:pPr>
      <w:r>
        <w:rPr>
          <w:color w:val="1E1E1E"/>
          <w:sz w:val="18"/>
        </w:rPr>
        <w:t>Processo de reforma da Constituição estadual. Necessária observância dos requisitos estabelecidos na CF (art. 60, §§ 1º a 5º). Impossibilidade constitucional de o Estado-membro, em divergência com o modelo inscrito na Lei Fundamental da República, condicionar a reforma da Constituição estadual à aprovação da respectiva proposta por 4/5 da totalidade dos membros integrantes da assembleia legislativa. Exigência que virtualmente esteriliza o exercício da função reformadora pelo Poder Legislativo local. A questão da autonomia dos Estados-membros (CF, art. 25). Subordinação jurídica do poder consti</w:t>
      </w:r>
    </w:p>
    <w:p>
      <w:pPr>
        <w:ind w:left="288"/>
      </w:pPr>
      <w:r>
        <w:rPr>
          <w:b/>
          <w:color w:val="003CA0"/>
          <w:sz w:val="16"/>
        </w:rPr>
        <w:t>[ADI 486, rel. min. Celso de Mello, j. 3-4-1997, P, DJ de 10-11-2006.]</w:t>
      </w:r>
    </w:p>
    <w:p>
      <w:pPr>
        <w:ind w:left="288"/>
      </w:pPr>
      <w:r>
        <w:rPr>
          <w:color w:val="8C8C8C"/>
          <w:sz w:val="12"/>
        </w:rPr>
        <w:t>cf-art-25</w:t>
      </w:r>
      <w:r>
        <w:rPr>
          <w:color w:val="003CA0"/>
          <w:sz w:val="12"/>
        </w:rPr>
        <w:t xml:space="preserve"> | ADI 507</w:t>
      </w:r>
      <w:r>
        <w:rPr>
          <w:color w:val="003CA0"/>
          <w:sz w:val="12"/>
        </w:rPr>
        <w:t xml:space="preserve"> | rel. Celso de Mello</w:t>
      </w:r>
    </w:p>
    <w:p>
      <w:pPr>
        <w:ind w:left="288"/>
      </w:pPr>
      <w:r>
        <w:rPr>
          <w:color w:val="1E1E1E"/>
          <w:sz w:val="18"/>
        </w:rPr>
        <w:t>O poder constituinte outorgado aos Estados-membros sofre as limitações jurídicas impostas pela Constituição da República. Os Estados-membros organizam-se e regem-se pelas Constituições e leis que adotarem (CF, art. 25), submetendo-se, no entanto, quanto ao exercício dessa prerrogativa institucional (essencialmente limitada em sua extensão), aos condicionamentos normativos impostos pela CF, pois é nessa que reside o núcleo de emanação (e de restrição) que informa e dá substância ao poder constituinte decorrente que a Lei Fundamental da República confere a essas unidades regionais da Federação.</w:t>
      </w:r>
    </w:p>
    <w:p>
      <w:pPr>
        <w:ind w:left="288"/>
      </w:pPr>
      <w:r>
        <w:rPr>
          <w:b/>
          <w:color w:val="003CA0"/>
          <w:sz w:val="16"/>
        </w:rPr>
        <w:t>[ADI 507, rel. min. Celso de Mello, j. 14-2-1996, P, DJ de 8-8-2003.]</w:t>
      </w:r>
    </w:p>
    <w:p>
      <w:pPr>
        <w:ind w:left="288"/>
      </w:pPr>
      <w:r>
        <w:rPr>
          <w:color w:val="8C8C8C"/>
          <w:sz w:val="12"/>
        </w:rPr>
        <w:t>cf-art-25</w:t>
      </w:r>
      <w:r>
        <w:rPr>
          <w:color w:val="003CA0"/>
          <w:sz w:val="12"/>
        </w:rPr>
        <w:t xml:space="preserve"> | ADI 2.113</w:t>
      </w:r>
      <w:r>
        <w:rPr>
          <w:color w:val="003CA0"/>
          <w:sz w:val="12"/>
        </w:rPr>
        <w:t xml:space="preserve"> | rel. Cármen Lúcia</w:t>
      </w:r>
    </w:p>
    <w:p>
      <w:pPr>
        <w:ind w:left="288"/>
      </w:pPr>
      <w:r>
        <w:rPr>
          <w:color w:val="1E1E1E"/>
          <w:sz w:val="18"/>
        </w:rPr>
        <w:t>= ADI 2.113, rel. min. Cármen Lúcia, j. 4-3-2009, P, DJE de 21-8-2009 A Constituição estadual não pode impor, ao prefeito municipal, o dever de comparecimento perante a câmara de vereadores, pois semelhante prescrição normativa, além de provocar estado de submissão institucional do chefe do Executivo ao Poder Legislativo municipal (sem qualquer correspondência com o modelo positivado na Constituição da República), transgredindo, desse modo, o postulado da separação de poderes, também ofende a autonomia municipal, que se qualifica como pedra angular da organização político-jurídica da Federação</w:t>
      </w:r>
    </w:p>
    <w:p>
      <w:pPr>
        <w:ind w:left="288"/>
      </w:pPr>
      <w:r>
        <w:rPr>
          <w:b/>
          <w:color w:val="003CA0"/>
          <w:sz w:val="16"/>
        </w:rPr>
        <w:t>[ADI 687, rel. min. Celso de Mello, j. 2-2-1995, P, DJ de 10-2-2006.]</w:t>
      </w:r>
    </w:p>
    <w:p>
      <w:pPr>
        <w:ind w:left="144"/>
      </w:pPr>
      <w:r>
        <w:rPr>
          <w:b/>
          <w:color w:val="B45A00"/>
          <w:sz w:val="16"/>
        </w:rPr>
        <w:t>JULGADOS CORRELATOS</w:t>
      </w:r>
    </w:p>
    <w:p>
      <w:pPr>
        <w:ind w:left="288"/>
      </w:pPr>
      <w:r>
        <w:rPr>
          <w:color w:val="8C8C8C"/>
          <w:sz w:val="12"/>
        </w:rPr>
        <w:t>cf-art-25</w:t>
      </w:r>
      <w:r>
        <w:rPr>
          <w:color w:val="003CA0"/>
          <w:sz w:val="12"/>
        </w:rPr>
        <w:t xml:space="preserve"> | AO 366</w:t>
      </w:r>
      <w:r>
        <w:rPr>
          <w:color w:val="003CA0"/>
          <w:sz w:val="12"/>
        </w:rPr>
        <w:t xml:space="preserve"> | rel. Celso de Mello</w:t>
      </w:r>
    </w:p>
    <w:p>
      <w:pPr>
        <w:ind w:left="288"/>
      </w:pPr>
      <w:r>
        <w:rPr>
          <w:color w:val="1E1E1E"/>
          <w:sz w:val="18"/>
        </w:rPr>
        <w:t>Revela-se inconstitucional, porque ofensivo aos postulados da Federação e da separação de poderes, o diploma legislativo estadual, que, ao estabelecer vinculação subordinante do Estado-membro, para efeito de reajuste da remuneração do seu funcionalismo, torna impositiva, no plano local, a aplicação automática de índices de atualização monetária editados, mediante regras de caráter heterônomo, pela União Federal.</w:t>
      </w:r>
    </w:p>
    <w:p>
      <w:pPr>
        <w:ind w:left="288"/>
      </w:pPr>
      <w:r>
        <w:rPr>
          <w:b/>
          <w:color w:val="003CA0"/>
          <w:sz w:val="16"/>
        </w:rPr>
        <w:t>[AO 366, rel. min. Celso de Mello, j. 22-4-1997, 1ª T, DJ de 8-9-2006.]</w:t>
      </w:r>
    </w:p>
    <w:p>
      <w:pPr>
        <w:ind w:left="288"/>
      </w:pPr>
      <w:r>
        <w:rPr>
          <w:color w:val="8C8C8C"/>
          <w:sz w:val="12"/>
        </w:rPr>
        <w:t>cf-art-25</w:t>
      </w:r>
      <w:r>
        <w:rPr>
          <w:color w:val="003CA0"/>
          <w:sz w:val="12"/>
        </w:rPr>
        <w:t xml:space="preserve"> | ADI 668</w:t>
      </w:r>
      <w:r>
        <w:rPr>
          <w:color w:val="003CA0"/>
          <w:sz w:val="12"/>
        </w:rPr>
        <w:t xml:space="preserve"> | rel. Dias Toffoli</w:t>
      </w:r>
    </w:p>
    <w:p>
      <w:pPr>
        <w:ind w:left="288"/>
      </w:pPr>
      <w:r>
        <w:rPr>
          <w:color w:val="1E1E1E"/>
          <w:sz w:val="18"/>
        </w:rPr>
        <w:t>= ADI 668, rel. min. Dias Toffoli, j. 19-2-2014, P, DJE de 28-3-2014</w:t>
      </w:r>
    </w:p>
    <w:p>
      <w:pPr>
        <w:ind w:left="288"/>
      </w:pPr>
      <w:r>
        <w:rPr>
          <w:color w:val="8C8C8C"/>
          <w:sz w:val="12"/>
        </w:rPr>
        <w:t>cf-art-25-par-1</w:t>
      </w:r>
      <w:r>
        <w:rPr>
          <w:color w:val="003CA0"/>
          <w:sz w:val="12"/>
        </w:rPr>
        <w:t xml:space="preserve"> | ADI 7.640</w:t>
      </w:r>
      <w:r>
        <w:rPr>
          <w:color w:val="003CA0"/>
          <w:sz w:val="12"/>
        </w:rPr>
        <w:t xml:space="preserve"> | rel. Luiz Fux</w:t>
      </w:r>
    </w:p>
    <w:p>
      <w:pPr>
        <w:ind w:left="288"/>
      </w:pPr>
      <w:r>
        <w:rPr>
          <w:color w:val="1E1E1E"/>
          <w:sz w:val="18"/>
        </w:rPr>
        <w:t>A União, no exercício de sua competência legislativa privativa sobre o serviço de loterias, não pode instituir tratamento diferenciado entre os entes federativos, privilegiando determinados Estados em detrimento de outros ou privilegiando a si própria em detrimento dos Estados-membros, mediante a obstaculização do exercício de competências materiais franqueadas aos Estados pela Constituição. (...) À luz dos princípios da livre iniciativa e da livre concorrência, fundamentos da ordem econômica constitucional, o exercício de atividades econômicas por particulares deve ser protegido da coerção ar</w:t>
      </w:r>
    </w:p>
    <w:p>
      <w:pPr>
        <w:ind w:left="288"/>
      </w:pPr>
      <w:r>
        <w:rPr>
          <w:b/>
          <w:color w:val="003CA0"/>
          <w:sz w:val="16"/>
        </w:rPr>
        <w:t>[ADI 7.640, rel. min. Luiz Fux, j. 15.09.2025, P, DJE de 12.11.2025.]</w:t>
      </w:r>
    </w:p>
    <w:p>
      <w:pPr>
        <w:ind w:left="144"/>
      </w:pPr>
      <w:r>
        <w:rPr>
          <w:b/>
          <w:color w:val="B45A00"/>
          <w:sz w:val="16"/>
        </w:rPr>
        <w:t>CONTROLE CONCENTRADO</w:t>
      </w:r>
    </w:p>
    <w:p>
      <w:pPr>
        <w:ind w:left="288"/>
      </w:pPr>
      <w:r>
        <w:rPr>
          <w:color w:val="8C8C8C"/>
          <w:sz w:val="12"/>
        </w:rPr>
        <w:t>cf-art-25-par-1</w:t>
      </w:r>
      <w:r>
        <w:rPr>
          <w:color w:val="003CA0"/>
          <w:sz w:val="12"/>
        </w:rPr>
        <w:t xml:space="preserve"> | ADPF 492</w:t>
      </w:r>
      <w:r>
        <w:rPr>
          <w:color w:val="003CA0"/>
          <w:sz w:val="12"/>
        </w:rPr>
        <w:t xml:space="preserve"> | rel. Gilmar Mendes</w:t>
      </w:r>
    </w:p>
    <w:p>
      <w:pPr>
        <w:ind w:left="288"/>
      </w:pPr>
      <w:r>
        <w:rPr>
          <w:color w:val="1E1E1E"/>
          <w:sz w:val="18"/>
        </w:rPr>
        <w:t>Arguições de Descumprimento de Preceito Fundamental. Ação Direta de Inconstitucionalidade. Artigos 1º, caput, e 32, caput, e § 1º do Decreto-Lei 204/1967. Exploração de loterias por Estados-membros. Legislação estadual. Competência legislativa da União e competência material dos Estados. Distinção. Exploração por outros entes federados. Possibilidade. Arguições de Descumprimento de Preceito Fundamental conhecidas e julgadas procedentes. Ação Direta de Inconstitucionalidade conhecida e julgada improcedente.</w:t>
      </w:r>
    </w:p>
    <w:p>
      <w:pPr>
        <w:ind w:left="288"/>
      </w:pPr>
      <w:r>
        <w:rPr>
          <w:b/>
          <w:color w:val="003CA0"/>
          <w:sz w:val="16"/>
        </w:rPr>
        <w:t>[ADPF 492, ADPF 493 e ADI 4.986, rel. min. Gilmar Mendes, j. 30-9-2020, P, DJE  de 15-12-2020.]</w:t>
      </w:r>
    </w:p>
    <w:p>
      <w:pPr>
        <w:ind w:left="288"/>
      </w:pPr>
      <w:r>
        <w:rPr>
          <w:color w:val="8C8C8C"/>
          <w:sz w:val="12"/>
        </w:rPr>
        <w:t>cf-art-25-par-1</w:t>
      </w:r>
      <w:r>
        <w:rPr>
          <w:color w:val="003CA0"/>
          <w:sz w:val="12"/>
        </w:rPr>
        <w:t xml:space="preserve"> | ADI 2.349</w:t>
      </w:r>
      <w:r>
        <w:rPr>
          <w:color w:val="003CA0"/>
          <w:sz w:val="12"/>
        </w:rPr>
        <w:t xml:space="preserve"> | rel. Eros Grau</w:t>
      </w:r>
    </w:p>
    <w:p>
      <w:pPr>
        <w:ind w:left="288"/>
      </w:pPr>
      <w:r>
        <w:rPr>
          <w:color w:val="1E1E1E"/>
          <w:sz w:val="18"/>
        </w:rPr>
        <w:t>Os Estados-membros são competentes para explorar e regulamentar a prestação de serviços de transporte intermunicipal. (...) A prestação de transporte urbano, consubstanciando serviço público de interesse local, é matéria albergada pela competência legislativa dos Municípios, não cabendo aos Estados-membros dispor a seu respeito.</w:t>
      </w:r>
    </w:p>
    <w:p>
      <w:pPr>
        <w:ind w:left="288"/>
      </w:pPr>
      <w:r>
        <w:rPr>
          <w:b/>
          <w:color w:val="003CA0"/>
          <w:sz w:val="16"/>
        </w:rPr>
        <w:t>[ADI 2.349, rel. min. Eros Grau, j. 31-8-2005, P, DJ de 14-10-2005.]</w:t>
      </w:r>
    </w:p>
    <w:p>
      <w:pPr>
        <w:ind w:left="288"/>
      </w:pPr>
      <w:r>
        <w:rPr>
          <w:color w:val="8C8C8C"/>
          <w:sz w:val="12"/>
        </w:rPr>
        <w:t>cf-art-25-par-1</w:t>
      </w:r>
      <w:r>
        <w:rPr>
          <w:color w:val="003CA0"/>
          <w:sz w:val="12"/>
        </w:rPr>
        <w:t xml:space="preserve"> | RE 549.549</w:t>
      </w:r>
      <w:r>
        <w:rPr>
          <w:color w:val="003CA0"/>
          <w:sz w:val="12"/>
        </w:rPr>
        <w:t xml:space="preserve"> | rel. Ellen Gracie</w:t>
      </w:r>
    </w:p>
    <w:p>
      <w:pPr>
        <w:ind w:left="288"/>
      </w:pPr>
      <w:r>
        <w:rPr>
          <w:color w:val="1E1E1E"/>
          <w:sz w:val="18"/>
        </w:rPr>
        <w:t>= RE 549.549 AgR, rel. min. Ellen Gracie, j. 25-11-2008, 2ª T, DJE de 19-12-2008 A competência concorrente dos Estados em matéria previdenciária não autoriza se desatendam os fundamentos básicos do sistema previdenciário, de origem constitucional.</w:t>
      </w:r>
    </w:p>
    <w:p>
      <w:pPr>
        <w:ind w:left="288"/>
      </w:pPr>
      <w:r>
        <w:rPr>
          <w:b/>
          <w:color w:val="003CA0"/>
          <w:sz w:val="16"/>
        </w:rPr>
        <w:t>[ADI 2.311 MC, rel. min. Néri da Silveira, j. 7-3-2002, P, DJ de 7-6-2002.]</w:t>
      </w:r>
    </w:p>
    <w:p>
      <w:pPr>
        <w:ind w:left="288"/>
      </w:pPr>
      <w:r>
        <w:rPr>
          <w:color w:val="8C8C8C"/>
          <w:sz w:val="12"/>
        </w:rPr>
        <w:t>cf-art-25-par-1</w:t>
      </w:r>
      <w:r>
        <w:rPr>
          <w:color w:val="003CA0"/>
          <w:sz w:val="12"/>
        </w:rPr>
        <w:t xml:space="preserve"> | ADI 2.069</w:t>
      </w:r>
      <w:r>
        <w:rPr>
          <w:color w:val="003CA0"/>
          <w:sz w:val="12"/>
        </w:rPr>
        <w:t xml:space="preserve"> | rel. Néri da Silveira</w:t>
      </w:r>
    </w:p>
    <w:p>
      <w:pPr>
        <w:ind w:left="288"/>
      </w:pPr>
      <w:r>
        <w:rPr>
          <w:color w:val="1E1E1E"/>
          <w:sz w:val="18"/>
        </w:rPr>
        <w:t>Não está, na Constituição, que aos Estados se reserva, em lei, regular a matéria do ingresso e da remoção; antes decorre do art. 236 e parágrafos da Lei Magna que a lei federal, para todo o País, definirá os princípios básicos a serem seguidos na execução dos serviços notariais e de registro.</w:t>
      </w:r>
    </w:p>
    <w:p>
      <w:pPr>
        <w:ind w:left="288"/>
      </w:pPr>
      <w:r>
        <w:rPr>
          <w:b/>
          <w:color w:val="003CA0"/>
          <w:sz w:val="16"/>
        </w:rPr>
        <w:t>[ADI 2.069 MC, rel. min. Néri da Silveira, j. 2-2-2000, P, DJ de 9-5-2003.]</w:t>
      </w:r>
    </w:p>
    <w:p>
      <w:pPr>
        <w:ind w:left="288"/>
      </w:pPr>
      <w:r>
        <w:rPr>
          <w:color w:val="8C8C8C"/>
          <w:sz w:val="12"/>
        </w:rPr>
        <w:t>cf-art-25-par-1</w:t>
      </w:r>
      <w:r>
        <w:rPr>
          <w:color w:val="003CA0"/>
          <w:sz w:val="12"/>
        </w:rPr>
        <w:t xml:space="preserve"> | ADI 1.279</w:t>
      </w:r>
      <w:r>
        <w:rPr>
          <w:color w:val="003CA0"/>
          <w:sz w:val="12"/>
        </w:rPr>
        <w:t xml:space="preserve"> | rel. Maurício Corrêa</w:t>
      </w:r>
    </w:p>
    <w:p>
      <w:pPr>
        <w:ind w:left="288"/>
      </w:pPr>
      <w:r>
        <w:rPr>
          <w:color w:val="1E1E1E"/>
          <w:sz w:val="18"/>
        </w:rPr>
        <w:t>Descaracteriza-se hipótese de quebra da independência entre os Poderes (art. 2º c/c art. 25, § 1º, da CF), lei de iniciativa de ex-governador disciplinadora de formas remuneratórias de servidores públicos inseridas, ex radice, no elenco das competências do chefe do Executivo estadual, com base no modelo federal.</w:t>
      </w:r>
    </w:p>
    <w:p>
      <w:pPr>
        <w:ind w:left="288"/>
      </w:pPr>
      <w:r>
        <w:rPr>
          <w:b/>
          <w:color w:val="003CA0"/>
          <w:sz w:val="16"/>
        </w:rPr>
        <w:t>[ADI 1.279 MC, rel. min. Maurício Corrêa, j. 27-9-1995, P, DJ de 15-12-1995.]</w:t>
      </w:r>
    </w:p>
    <w:p>
      <w:pPr>
        <w:ind w:left="144"/>
      </w:pPr>
      <w:r>
        <w:rPr>
          <w:b/>
          <w:color w:val="B45A00"/>
          <w:sz w:val="16"/>
        </w:rPr>
        <w:t>JULGADOS CORRELATOS</w:t>
      </w:r>
    </w:p>
    <w:p>
      <w:pPr>
        <w:ind w:left="288"/>
      </w:pPr>
      <w:r>
        <w:rPr>
          <w:color w:val="8C8C8C"/>
          <w:sz w:val="12"/>
        </w:rPr>
        <w:t>cf-art-25-par-1</w:t>
      </w:r>
      <w:r>
        <w:rPr>
          <w:color w:val="003CA0"/>
          <w:sz w:val="12"/>
        </w:rPr>
        <w:t xml:space="preserve"> | RE 201.865</w:t>
      </w:r>
      <w:r>
        <w:rPr>
          <w:color w:val="003CA0"/>
          <w:sz w:val="12"/>
        </w:rPr>
        <w:t xml:space="preserve"> | rel. Carlos Velloso</w:t>
      </w:r>
    </w:p>
    <w:p>
      <w:pPr>
        <w:ind w:left="288"/>
      </w:pPr>
      <w:r>
        <w:rPr>
          <w:color w:val="1E1E1E"/>
          <w:sz w:val="18"/>
        </w:rPr>
        <w:t>Fretamento de ônibus para o transporte com finalidade turística, ou para o atendimento do turismo no Estado. Transporte ocasional de turistas, que reclamam regramento por parte do Estado-membro, com base no seu poder de polícia administrativa, com vistas à proteção dos turistas e do próprio turismo. CF, art. 25, § 1º. Inocorrência de ofensa à competência privativa da União para legislar sobre trânsito e transporte (CF, art. 22, XI).</w:t>
      </w:r>
    </w:p>
    <w:p>
      <w:pPr>
        <w:ind w:left="288"/>
      </w:pPr>
      <w:r>
        <w:rPr>
          <w:b/>
          <w:color w:val="003CA0"/>
          <w:sz w:val="16"/>
        </w:rPr>
        <w:t>[RE 201.865, rel. min. Carlos Velloso, j. 31-8-2005, P, DJ de 4-2-2005.]</w:t>
      </w:r>
    </w:p>
    <w:p>
      <w:pPr>
        <w:ind w:left="288"/>
      </w:pPr>
      <w:r>
        <w:rPr>
          <w:color w:val="8C8C8C"/>
          <w:sz w:val="12"/>
        </w:rPr>
        <w:t>cf-art-25-par-1</w:t>
      </w:r>
      <w:r>
        <w:rPr>
          <w:color w:val="003CA0"/>
          <w:sz w:val="12"/>
        </w:rPr>
        <w:t xml:space="preserve"> | ARE 709.639</w:t>
      </w:r>
      <w:r>
        <w:rPr>
          <w:color w:val="003CA0"/>
          <w:sz w:val="12"/>
        </w:rPr>
        <w:t xml:space="preserve"> | rel. Ricardo Lewandowski</w:t>
      </w:r>
    </w:p>
    <w:p>
      <w:pPr>
        <w:ind w:left="288"/>
      </w:pPr>
      <w:r>
        <w:rPr>
          <w:color w:val="1E1E1E"/>
          <w:sz w:val="18"/>
        </w:rPr>
        <w:t>Vide ARE 709.639 AgR, rel. min. Ricardo Lewandowski, j. 20-5-2014, 2ª T, DJE de 5-6-2014</w:t>
      </w:r>
    </w:p>
    <w:p>
      <w:pPr>
        <w:ind w:left="144"/>
      </w:pPr>
      <w:r>
        <w:rPr>
          <w:b/>
          <w:color w:val="B45A00"/>
          <w:sz w:val="16"/>
        </w:rPr>
        <w:t>CONTROLE CONCENTRADO</w:t>
      </w:r>
    </w:p>
    <w:p>
      <w:pPr>
        <w:ind w:left="288"/>
      </w:pPr>
      <w:r>
        <w:rPr>
          <w:color w:val="8C8C8C"/>
          <w:sz w:val="12"/>
        </w:rPr>
        <w:t>cf-art-25-par-2</w:t>
      </w:r>
      <w:r>
        <w:rPr>
          <w:color w:val="003CA0"/>
          <w:sz w:val="12"/>
        </w:rPr>
        <w:t xml:space="preserve"> | ADI 425</w:t>
      </w:r>
      <w:r>
        <w:rPr>
          <w:color w:val="003CA0"/>
          <w:sz w:val="12"/>
        </w:rPr>
        <w:t xml:space="preserve"> | rel. Maurício Corrêa</w:t>
      </w:r>
    </w:p>
    <w:p>
      <w:pPr>
        <w:ind w:left="288"/>
      </w:pPr>
      <w:r>
        <w:rPr>
          <w:color w:val="1E1E1E"/>
          <w:sz w:val="18"/>
        </w:rPr>
        <w:t>No julgamento da ADI 425, rel. min. Maurício Corrêa, DJ de 19-12-2003, o Plenário desta Corte já havia reconhecido, por ampla maioria, a constitucionalidade da instituição de medida provisória estadual, desde que, primeiro, esse instrumento esteja expressamente previsto na Constituição do Estado e, segundo, sejam observados os princípios e as limitações impostas pelo modelo adotado pela CF, tendo em vista a necessidade da observância simétrica do processo legislativo federal. Outros precedentes: ADI 691, rel. min. Sepúlveda Pertence, DJ de 19-6-1992, e ADI 812 MC, rel. min. Moreira Alves, DJ d</w:t>
      </w:r>
    </w:p>
    <w:p>
      <w:pPr>
        <w:ind w:left="288"/>
      </w:pPr>
      <w:r>
        <w:rPr>
          <w:b/>
          <w:color w:val="003CA0"/>
          <w:sz w:val="16"/>
        </w:rPr>
        <w:t>[ADI 2.391, rel. min. Ellen Gracie, j. 16-8-2006, P, DJ de 16-3-2007.]</w:t>
      </w:r>
    </w:p>
    <w:p>
      <w:pPr>
        <w:ind w:left="288"/>
      </w:pPr>
      <w:r>
        <w:rPr>
          <w:color w:val="8C8C8C"/>
          <w:sz w:val="12"/>
        </w:rPr>
        <w:t>cf-art-25-par-2</w:t>
      </w:r>
      <w:r>
        <w:rPr>
          <w:color w:val="003CA0"/>
          <w:sz w:val="12"/>
        </w:rPr>
        <w:t xml:space="preserve"> | ADI 425</w:t>
      </w:r>
      <w:r>
        <w:rPr>
          <w:color w:val="003CA0"/>
          <w:sz w:val="12"/>
        </w:rPr>
        <w:t xml:space="preserve"> | rel. Maurício Corrêa</w:t>
      </w:r>
    </w:p>
    <w:p>
      <w:pPr>
        <w:ind w:left="288"/>
      </w:pPr>
      <w:r>
        <w:rPr>
          <w:color w:val="1E1E1E"/>
          <w:sz w:val="18"/>
        </w:rPr>
        <w:t>= ADI 425, rel. min. Maurício Corrêa, j. 4-9-2002, P, DJ de 19-12-2003</w:t>
      </w:r>
    </w:p>
    <w:p>
      <w:pPr>
        <w:ind w:left="288"/>
      </w:pPr>
      <w:r>
        <w:rPr>
          <w:color w:val="8C8C8C"/>
          <w:sz w:val="12"/>
        </w:rPr>
        <w:t>cf-art-25-par-3</w:t>
      </w:r>
      <w:r>
        <w:rPr>
          <w:color w:val="003CA0"/>
          <w:sz w:val="12"/>
        </w:rPr>
        <w:t xml:space="preserve"> | ADI 1.842</w:t>
      </w:r>
      <w:r>
        <w:rPr>
          <w:color w:val="003CA0"/>
          <w:sz w:val="12"/>
        </w:rPr>
        <w:t xml:space="preserve"> | rel. Edson Fachin</w:t>
      </w:r>
    </w:p>
    <w:p>
      <w:pPr>
        <w:ind w:left="288"/>
      </w:pPr>
      <w:r>
        <w:rPr>
          <w:color w:val="1E1E1E"/>
          <w:sz w:val="18"/>
        </w:rPr>
        <w:t>No julgamento da ADI 1.842, a Corte se posicionou sobre a titularidade do interesse público metropolitano, afastando as posições extremadas que alocavam esta titularidade quer seja no Município, quer seja no conjunto de Municípios, quer seja no Estado-federado. Prevaleceu a tese da competência e da titularidade conjuntas, a qual implica que deva existir, no seio da região metropolitana, estrutura colegiada assecuratória da participação dos Municípios. Ainda que o Supremo Tribunal Federal não tenha definido, de maneira positiva, o desenho institucional a ser adotado pelas regiões metropolitanas</w:t>
      </w:r>
    </w:p>
    <w:p>
      <w:pPr>
        <w:ind w:left="288"/>
      </w:pPr>
      <w:r>
        <w:rPr>
          <w:b/>
          <w:color w:val="003CA0"/>
          <w:sz w:val="16"/>
        </w:rPr>
        <w:t>[ADPF 863, rel. min. Edson Fachin, j. 16-5-2022, P, DJE de 24-6-2022.]</w:t>
      </w:r>
    </w:p>
    <w:p>
      <w:pPr>
        <w:ind w:left="288"/>
      </w:pPr>
      <w:r>
        <w:rPr>
          <w:color w:val="8C8C8C"/>
          <w:sz w:val="12"/>
        </w:rPr>
        <w:t>cf-art-25-par-3</w:t>
      </w:r>
      <w:r>
        <w:rPr>
          <w:color w:val="003CA0"/>
          <w:sz w:val="12"/>
        </w:rPr>
        <w:t xml:space="preserve"> | ADI 1.842</w:t>
      </w:r>
    </w:p>
    <w:p>
      <w:pPr>
        <w:ind w:left="288"/>
      </w:pPr>
      <w:r>
        <w:rPr>
          <w:color w:val="1E1E1E"/>
          <w:sz w:val="18"/>
        </w:rPr>
        <w:t>O interesse comum inclui funções públicas e serviços que atendam a mais de um Município, assim como os que, restritos ao território de um deles, sejam de algum modo dependentes, concorrentes, confluentes ou integrados de funções públicas, bem como serviços supramunicipais. (...) A função pública do saneamento básico frequentemente extrapola o interesse local e passa a ter natureza de interesse comum no caso de instituição de regiões metropolitanas, aglomerações urbanas e microrregiões, nos termos do art. 25, § 3º, da CF. Para o adequado atendimento do interesse comum, a integração municipal do</w:t>
      </w:r>
    </w:p>
    <w:p>
      <w:pPr>
        <w:ind w:left="288"/>
      </w:pPr>
      <w:r>
        <w:rPr>
          <w:b/>
          <w:color w:val="003CA0"/>
          <w:sz w:val="16"/>
        </w:rPr>
        <w:t>[ADI 1.842, red. do ac. min. Gilmar Mendes, j. 6-3-2013, P, DJE de 16-9-2013.]</w:t>
      </w:r>
    </w:p>
    <w:p>
      <w:pPr>
        <w:ind w:left="288"/>
      </w:pPr>
      <w:r>
        <w:rPr>
          <w:color w:val="8C8C8C"/>
          <w:sz w:val="12"/>
        </w:rPr>
        <w:t>cf-art-25-par-3</w:t>
      </w:r>
      <w:r>
        <w:rPr>
          <w:color w:val="003CA0"/>
          <w:sz w:val="12"/>
        </w:rPr>
        <w:t xml:space="preserve"> | ADI 1.841</w:t>
      </w:r>
      <w:r>
        <w:rPr>
          <w:color w:val="003CA0"/>
          <w:sz w:val="12"/>
        </w:rPr>
        <w:t xml:space="preserve"> | rel. Carlos Velloso</w:t>
      </w:r>
    </w:p>
    <w:p>
      <w:pPr>
        <w:ind w:left="288"/>
      </w:pPr>
      <w:r>
        <w:rPr>
          <w:color w:val="1E1E1E"/>
          <w:sz w:val="18"/>
        </w:rPr>
        <w:t>A instituição de regiões metropolitanas, aglomerações urbanas e microrregiões, constituídas por agrupamentos de Municípios limítrofes, depende, apenas, de lei complementar estadual.</w:t>
      </w:r>
    </w:p>
    <w:p>
      <w:pPr>
        <w:ind w:left="288"/>
      </w:pPr>
      <w:r>
        <w:rPr>
          <w:b/>
          <w:color w:val="003CA0"/>
          <w:sz w:val="16"/>
        </w:rPr>
        <w:t>[ADI 1.841, rel. min. Carlos Velloso, j. 1º-8-2002, P, DJ de 20-9-2002.]</w:t>
      </w:r>
    </w:p>
    <w:p>
      <w:pPr>
        <w:ind w:left="288"/>
      </w:pPr>
      <w:r>
        <w:rPr>
          <w:color w:val="8C8C8C"/>
          <w:sz w:val="12"/>
        </w:rPr>
        <w:t>cf-art-25-par-3</w:t>
      </w:r>
      <w:r>
        <w:rPr>
          <w:color w:val="003CA0"/>
          <w:sz w:val="12"/>
        </w:rPr>
        <w:t xml:space="preserve"> | ADI 1.842</w:t>
      </w:r>
      <w:r>
        <w:rPr>
          <w:color w:val="003CA0"/>
          <w:sz w:val="12"/>
        </w:rPr>
        <w:t xml:space="preserve"> | rel. Luiz Fux</w:t>
      </w:r>
    </w:p>
    <w:p>
      <w:pPr>
        <w:ind w:left="288"/>
      </w:pPr>
      <w:r>
        <w:rPr>
          <w:color w:val="1E1E1E"/>
          <w:sz w:val="18"/>
        </w:rPr>
        <w:t>= ADI 1.842, red. do ac. min. Gilmar Mendes, rel. min. Luiz Fux, j. 6-3-2013, P, DJE de 16-9-2013</w:t>
      </w:r>
    </w:p>
    <w:p>
      <w:pPr>
        <w:ind w:left="432"/>
      </w:pPr>
      <w:r>
        <w:rPr>
          <w:color w:val="003366"/>
          <w:sz w:val="18"/>
        </w:rPr>
        <w:t>§ 1 São reservadas aos Estados as competências que não lhes sejam vedadas por es</w:t>
      </w:r>
    </w:p>
    <w:p>
      <w:pPr>
        <w:ind w:left="432"/>
      </w:pPr>
      <w:r>
        <w:rPr>
          <w:color w:val="003366"/>
          <w:sz w:val="18"/>
        </w:rPr>
        <w:t>§ 2 Cabe aos Estados explorar diretamente, ou mediante concessão, os serviços lo</w:t>
      </w:r>
    </w:p>
    <w:p>
      <w:pPr>
        <w:ind w:left="432"/>
      </w:pPr>
      <w:r>
        <w:rPr>
          <w:color w:val="003366"/>
          <w:sz w:val="18"/>
        </w:rPr>
        <w:t>§ 3 Os Estados poderão, mediante lei complementar, instituir regiões metropolita</w:t>
      </w:r>
    </w:p>
    <w:p>
      <w:r>
        <w:rPr>
          <w:b/>
          <w:color w:val="003366"/>
          <w:sz w:val="20"/>
        </w:rPr>
        <w:t>Art. 26 Incluem-se entre os bens dos Estados:</w:t>
      </w:r>
      <w:r>
        <w:rPr>
          <w:color w:val="8C8C8C"/>
          <w:sz w:val="14"/>
        </w:rPr>
        <w:t xml:space="preserve">  [2 decisoes]</w:t>
      </w:r>
    </w:p>
    <w:p>
      <w:pPr>
        <w:ind w:left="144"/>
      </w:pPr>
      <w:r>
        <w:rPr>
          <w:b/>
          <w:color w:val="B45A00"/>
          <w:sz w:val="16"/>
        </w:rPr>
        <w:t>CONTROLE CONCENTRADO</w:t>
      </w:r>
    </w:p>
    <w:p>
      <w:pPr>
        <w:ind w:left="288"/>
      </w:pPr>
      <w:r>
        <w:rPr>
          <w:color w:val="8C8C8C"/>
          <w:sz w:val="12"/>
        </w:rPr>
        <w:t>cf-art-26-inc-IV</w:t>
      </w:r>
      <w:r>
        <w:rPr>
          <w:color w:val="003CA0"/>
          <w:sz w:val="12"/>
        </w:rPr>
        <w:t xml:space="preserve"> | ADI 255</w:t>
      </w:r>
    </w:p>
    <w:p>
      <w:pPr>
        <w:ind w:left="288"/>
      </w:pPr>
      <w:r>
        <w:rPr>
          <w:color w:val="1E1E1E"/>
          <w:sz w:val="18"/>
        </w:rPr>
        <w:t>A jurisprudência do STF, por diversas vezes, reconheceu que as terras dos aldeamentos indígenas que se extinguiram antes da Constituição de 1891, por haverem perdido o caráter de bens destinados a uso especial, passaram à categoria de terras devolutas. Uma vez reconhecidos como terras devolutas, por força do art. 64 da Constituição de 1891, os aldeamentos extintos transferiram-se ao domínio dos Estados. Ação direta de inconstitucionalidade julgada procedente em parte, para conferir interpretação conforme à Constituição ao dispositivo impugnado, a fim de que a sua aplicação fique adstrita aos a</w:t>
      </w:r>
    </w:p>
    <w:p>
      <w:pPr>
        <w:ind w:left="288"/>
      </w:pPr>
      <w:r>
        <w:rPr>
          <w:b/>
          <w:color w:val="003CA0"/>
          <w:sz w:val="16"/>
        </w:rPr>
        <w:t>[ADI 255, red. do ac. min. Ricardo Lewandowski, j. 16-3-2011, P, DJE de 24-5-2011.]</w:t>
      </w:r>
    </w:p>
    <w:p>
      <w:pPr>
        <w:ind w:left="288"/>
      </w:pPr>
      <w:r>
        <w:rPr>
          <w:color w:val="8C8C8C"/>
          <w:sz w:val="12"/>
        </w:rPr>
        <w:t>cf-art-26-inc-IV</w:t>
      </w:r>
      <w:r>
        <w:rPr>
          <w:color w:val="003CA0"/>
          <w:sz w:val="12"/>
        </w:rPr>
        <w:t xml:space="preserve"> | RE 212.251</w:t>
      </w:r>
      <w:r>
        <w:rPr>
          <w:color w:val="003CA0"/>
          <w:sz w:val="12"/>
        </w:rPr>
        <w:t xml:space="preserve"> | rel. Ilmar Galvão</w:t>
      </w:r>
    </w:p>
    <w:p>
      <w:pPr>
        <w:ind w:left="288"/>
      </w:pPr>
      <w:r>
        <w:rPr>
          <w:color w:val="1E1E1E"/>
          <w:sz w:val="18"/>
        </w:rPr>
        <w:t>= RE 212.251, rel. min. Ilmar Galvão, j. 23-6-1998, 1ª T, DJ de 16-10-1998</w:t>
      </w:r>
    </w:p>
    <w:p>
      <w:pPr>
        <w:ind w:left="720"/>
      </w:pPr>
      <w:r>
        <w:rPr>
          <w:color w:val="003366"/>
          <w:sz w:val="18"/>
        </w:rPr>
        <w:t>I – as águas superficiais ou subterrâneas, fluentes, emergentes e em depósito, r</w:t>
      </w:r>
    </w:p>
    <w:p>
      <w:pPr>
        <w:ind w:left="720"/>
      </w:pPr>
      <w:r>
        <w:rPr>
          <w:color w:val="003366"/>
          <w:sz w:val="18"/>
        </w:rPr>
        <w:t>II – as áreas, nas ilhas oceânicas e costeiras, que estiverem no seu domínio, ex</w:t>
      </w:r>
    </w:p>
    <w:p>
      <w:pPr>
        <w:ind w:left="720"/>
      </w:pPr>
      <w:r>
        <w:rPr>
          <w:color w:val="003366"/>
          <w:sz w:val="18"/>
        </w:rPr>
        <w:t>III – as ilhas fluviais e lacustres não pertencentes à União;</w:t>
      </w:r>
    </w:p>
    <w:p>
      <w:pPr>
        <w:ind w:left="720"/>
      </w:pPr>
      <w:r>
        <w:rPr>
          <w:color w:val="003366"/>
          <w:sz w:val="18"/>
        </w:rPr>
        <w:t>IV – as terras devolutas não compreendidas entre as da União.</w:t>
      </w:r>
    </w:p>
    <w:p>
      <w:r>
        <w:rPr>
          <w:b/>
          <w:color w:val="003366"/>
          <w:sz w:val="20"/>
        </w:rPr>
        <w:t>Art. 27 O número de Deputados à Assembléia Legislativa corresponderá ao triplo d</w:t>
      </w:r>
      <w:r>
        <w:rPr>
          <w:color w:val="8C8C8C"/>
          <w:sz w:val="14"/>
        </w:rPr>
        <w:t xml:space="preserve">  [11 decisoes]</w:t>
      </w:r>
    </w:p>
    <w:p>
      <w:pPr>
        <w:ind w:left="144"/>
      </w:pPr>
      <w:r>
        <w:rPr>
          <w:b/>
          <w:color w:val="B45A00"/>
          <w:sz w:val="16"/>
        </w:rPr>
        <w:t>CONTROLE CONCENTRADO</w:t>
      </w:r>
    </w:p>
    <w:p>
      <w:pPr>
        <w:ind w:left="288"/>
      </w:pPr>
      <w:r>
        <w:rPr>
          <w:color w:val="8C8C8C"/>
          <w:sz w:val="12"/>
        </w:rPr>
        <w:t>cf-art-27-par-1</w:t>
      </w:r>
      <w:r>
        <w:rPr>
          <w:color w:val="003CA0"/>
          <w:sz w:val="12"/>
        </w:rPr>
        <w:t xml:space="preserve"> | ADI 7.254</w:t>
      </w:r>
      <w:r>
        <w:rPr>
          <w:color w:val="003CA0"/>
          <w:sz w:val="12"/>
        </w:rPr>
        <w:t xml:space="preserve"> | rel. Flávio Dino</w:t>
      </w:r>
    </w:p>
    <w:p>
      <w:pPr>
        <w:ind w:left="288"/>
      </w:pPr>
      <w:r>
        <w:rPr>
          <w:color w:val="1E1E1E"/>
          <w:sz w:val="18"/>
        </w:rPr>
        <w:t>Ação direta ajuizada contra norma da Constituição estadual de Pernambuco que autoriza o afastamento parlamentar motivado por razões de interesse particular sem restringir o limite de tempo da licença, tornando possível, nessa hipótese, a convocação do suplente para o exercício do mandato eletivo. Chama-se de Estatuto dos Congressistas o conjunto de normas constitucionais – aplicáveis, por extensão, aos Deputados estaduais (CF, art. 27, § 1º) – destinadas à garantia da liberdade dos Deputados Federais e Senadores da República e da independência do Poder Legislativo da União. (...) As disposiçõe</w:t>
      </w:r>
    </w:p>
    <w:p>
      <w:pPr>
        <w:ind w:left="288"/>
      </w:pPr>
      <w:r>
        <w:rPr>
          <w:b/>
          <w:color w:val="003CA0"/>
          <w:sz w:val="16"/>
        </w:rPr>
        <w:t>[ADI 7.253, rel. min. Cármen Lúcia, j. 22-5-2023, P, DJE de 6-6-2023.]</w:t>
      </w:r>
    </w:p>
    <w:p>
      <w:pPr>
        <w:ind w:left="288"/>
      </w:pPr>
      <w:r>
        <w:rPr>
          <w:color w:val="8C8C8C"/>
          <w:sz w:val="12"/>
        </w:rPr>
        <w:t>cf-art-27-par-1</w:t>
      </w:r>
      <w:r>
        <w:rPr>
          <w:color w:val="003CA0"/>
          <w:sz w:val="12"/>
        </w:rPr>
        <w:t xml:space="preserve"> | ADI 5.824</w:t>
      </w:r>
      <w:r>
        <w:rPr>
          <w:color w:val="003CA0"/>
          <w:sz w:val="12"/>
        </w:rPr>
        <w:t xml:space="preserve"> | rel. Edson Fachin</w:t>
      </w:r>
    </w:p>
    <w:p>
      <w:pPr>
        <w:ind w:left="288"/>
      </w:pPr>
      <w:r>
        <w:rPr>
          <w:color w:val="1E1E1E"/>
          <w:sz w:val="18"/>
        </w:rPr>
        <w:t>Segundo a posição majoritária do Tribunal, o legislador constituinte originário estendeu expressamente aos deputados estaduais, no § 1º do art. 27, as imunidades dos membros do Congresso Nacional. É constitucional norma elaborada pelo constituinte derivado que mantenha a estrita disciplina das regras de repetição obrigatória referentes às imunidades parlamentares.</w:t>
        <w:br/>
        <w:t>[ADI 5.824, rel. min. Edson Fachin, j. 17-12-2022, P, DJE de 22-3-2023.] A teor do disposto no artigo 27 da Constituição Federal, os deputados estaduais estão protegidos pelas regras de inviolabilidade previstas em relação aos parlam</w:t>
      </w:r>
    </w:p>
    <w:p>
      <w:pPr>
        <w:ind w:left="288"/>
      </w:pPr>
      <w:r>
        <w:rPr>
          <w:b/>
          <w:color w:val="003CA0"/>
          <w:sz w:val="16"/>
        </w:rPr>
        <w:t>[ADI 5.007, rel. min. Cármen Lúcia, j. 11-4-2019, P, DJE de 26-6-2019.]</w:t>
      </w:r>
    </w:p>
    <w:p>
      <w:pPr>
        <w:ind w:left="288"/>
      </w:pPr>
      <w:r>
        <w:rPr>
          <w:color w:val="8C8C8C"/>
          <w:sz w:val="12"/>
        </w:rPr>
        <w:t>cf-art-27-par-1</w:t>
      </w:r>
      <w:r>
        <w:rPr>
          <w:color w:val="003CA0"/>
          <w:sz w:val="12"/>
        </w:rPr>
        <w:t xml:space="preserve"> | ADI 3.200</w:t>
      </w:r>
      <w:r>
        <w:rPr>
          <w:color w:val="003CA0"/>
          <w:sz w:val="12"/>
        </w:rPr>
        <w:t xml:space="preserve"> | rel. Marco Aurélio</w:t>
      </w:r>
    </w:p>
    <w:p>
      <w:pPr>
        <w:ind w:left="288"/>
      </w:pPr>
      <w:r>
        <w:rPr>
          <w:color w:val="1E1E1E"/>
          <w:sz w:val="18"/>
        </w:rPr>
        <w:t>Contraria a CF jungir a atuação da Assembleia Legislativa, quanto à perda de mandato de deputado estadual, no caso de condenação criminal, aos crimes apenados com reclusão e atentatórios ao decoro parlamentar. (...) Conflita com o disposto no art. 27, § 1º, do Diploma Maior norma local, ainda que de envergadura maior – contida na Carta estadual –, que implique limitação à perda do mandato a certas situações criminais.</w:t>
      </w:r>
    </w:p>
    <w:p>
      <w:pPr>
        <w:ind w:left="288"/>
      </w:pPr>
      <w:r>
        <w:rPr>
          <w:b/>
          <w:color w:val="003CA0"/>
          <w:sz w:val="16"/>
        </w:rPr>
        <w:t>[ADI 3.200, rel. min. Marco Aurélio, j. 22-5-2014, P, DJE de 21-10-2014.]</w:t>
      </w:r>
    </w:p>
    <w:p>
      <w:pPr>
        <w:ind w:left="288"/>
      </w:pPr>
      <w:r>
        <w:rPr>
          <w:color w:val="8C8C8C"/>
          <w:sz w:val="12"/>
        </w:rPr>
        <w:t>cf-art-27-par-1</w:t>
      </w:r>
      <w:r>
        <w:rPr>
          <w:color w:val="003CA0"/>
          <w:sz w:val="12"/>
        </w:rPr>
        <w:t xml:space="preserve"> | ADI 3.825</w:t>
      </w:r>
      <w:r>
        <w:rPr>
          <w:color w:val="003CA0"/>
          <w:sz w:val="12"/>
        </w:rPr>
        <w:t xml:space="preserve"> | rel. Cármen Lúcia</w:t>
      </w:r>
    </w:p>
    <w:p>
      <w:pPr>
        <w:ind w:left="288"/>
      </w:pPr>
      <w:r>
        <w:rPr>
          <w:color w:val="1E1E1E"/>
          <w:sz w:val="18"/>
        </w:rPr>
        <w:t>O § 1º do art. 27 da Constituição do Brasil define em quatro anos o mandato dos deputados estaduais. A norma que, alterando a regra da Constituição estadual de Roraima (Emenda 16, de 19-10-2005), permite a extensão do mandato pela alteração da data de posse dos eleitos em 2006, colide, frontalmente, com aquela regra. A autonomia estadual tem os seus limites definidos pela Constituição da República.</w:t>
      </w:r>
    </w:p>
    <w:p>
      <w:pPr>
        <w:ind w:left="288"/>
      </w:pPr>
      <w:r>
        <w:rPr>
          <w:b/>
          <w:color w:val="003CA0"/>
          <w:sz w:val="16"/>
        </w:rPr>
        <w:t>[ADI 3.825, rel. min. Cármen Lúcia, j. 8-10-2008, P, DJE de 28-11-2008.]</w:t>
      </w:r>
    </w:p>
    <w:p>
      <w:pPr>
        <w:ind w:left="144"/>
      </w:pPr>
      <w:r>
        <w:rPr>
          <w:b/>
          <w:color w:val="B45A00"/>
          <w:sz w:val="16"/>
        </w:rPr>
        <w:t>JULGADOS CORRELATOS</w:t>
      </w:r>
    </w:p>
    <w:p>
      <w:pPr>
        <w:ind w:left="288"/>
      </w:pPr>
      <w:r>
        <w:rPr>
          <w:color w:val="8C8C8C"/>
          <w:sz w:val="12"/>
        </w:rPr>
        <w:t>cf-art-27-par-1</w:t>
      </w:r>
      <w:r>
        <w:rPr>
          <w:color w:val="003CA0"/>
          <w:sz w:val="12"/>
        </w:rPr>
        <w:t xml:space="preserve"> | HC 115.397</w:t>
      </w:r>
      <w:r>
        <w:rPr>
          <w:color w:val="003CA0"/>
          <w:sz w:val="12"/>
        </w:rPr>
        <w:t xml:space="preserve"> | rel. Marco Aurélio</w:t>
      </w:r>
    </w:p>
    <w:p>
      <w:pPr>
        <w:ind w:left="288"/>
      </w:pPr>
      <w:r>
        <w:rPr>
          <w:color w:val="1E1E1E"/>
          <w:sz w:val="18"/>
        </w:rPr>
        <w:t>(...) o mandato parlamentar não implica, por si só, imunidade. Há de apreciar-se o nexo entre as ideias expressadas e as atribuições próprias à representação do povo brasileiro. O paciente encontrava-se ocupando o cargo de presidente da Assembleia Legislativa do Espírito Santo e foi revelado na denúncia como principal responsável, no Legislativo estadual, pela condução do processo de privatização do Banco do Estado do Espírito Santo (BANESTES). Nas dependências da Casa, concedeu entrevista coletiva à imprensa, momento em que teria emitido informações falsas e incompletas, as quais alegadamente</w:t>
      </w:r>
    </w:p>
    <w:p>
      <w:pPr>
        <w:ind w:left="288"/>
      </w:pPr>
      <w:r>
        <w:rPr>
          <w:b/>
          <w:color w:val="003CA0"/>
          <w:sz w:val="16"/>
        </w:rPr>
        <w:t>[Inq 3.357, rel. min. Celso de Mello, j. 25-3-2014, dec. monocrática, DJE de 22-4-2014.]</w:t>
      </w:r>
    </w:p>
    <w:p>
      <w:pPr>
        <w:ind w:left="288"/>
      </w:pPr>
      <w:r>
        <w:rPr>
          <w:color w:val="8C8C8C"/>
          <w:sz w:val="12"/>
        </w:rPr>
        <w:t>cf-art-27-par-1</w:t>
      </w:r>
      <w:r>
        <w:rPr>
          <w:color w:val="003CA0"/>
          <w:sz w:val="12"/>
        </w:rPr>
        <w:t xml:space="preserve"> | HC 89.417</w:t>
      </w:r>
      <w:r>
        <w:rPr>
          <w:color w:val="003CA0"/>
          <w:sz w:val="12"/>
        </w:rPr>
        <w:t xml:space="preserve"> | rel. Cármen Lúcia</w:t>
      </w:r>
    </w:p>
    <w:p>
      <w:pPr>
        <w:ind w:left="288"/>
      </w:pPr>
      <w:r>
        <w:rPr>
          <w:color w:val="1E1E1E"/>
          <w:sz w:val="18"/>
        </w:rPr>
        <w:t>A norma constitucional que cuida da imunidade parlamentar e da proibição de prisão do membro de órgão legislativo não pode ser tomada em sua literalidade, menos ainda como regra isolada do sistema constitucional. Os princípios determinam a interpretação e aplicação corretas da norma, sempre se considerando os fins a que ela se destina. A Assembleia Legislativa do Estado de Rondônia, composta de 24 deputados, dos quais 23 estão indiciados em diversos inquéritos, afirma situação excepcional e, por isso, não se há de aplicar a regra constitucional do art. 53, § 2º, da Constituição da República, d</w:t>
      </w:r>
    </w:p>
    <w:p>
      <w:pPr>
        <w:ind w:left="288"/>
      </w:pPr>
      <w:r>
        <w:rPr>
          <w:b/>
          <w:color w:val="003CA0"/>
          <w:sz w:val="16"/>
        </w:rPr>
        <w:t>[HC 89.417, rel. min. Cármen Lúcia, j. 22-8-2006, 1ª T, DJ de 15-12-2006.]</w:t>
      </w:r>
    </w:p>
    <w:p>
      <w:pPr>
        <w:ind w:left="288"/>
      </w:pPr>
      <w:r>
        <w:rPr>
          <w:color w:val="8C8C8C"/>
          <w:sz w:val="12"/>
        </w:rPr>
        <w:t>cf-art-27-par-1</w:t>
      </w:r>
      <w:r>
        <w:rPr>
          <w:color w:val="003CA0"/>
          <w:sz w:val="12"/>
        </w:rPr>
        <w:t xml:space="preserve"> | RE 456.679</w:t>
      </w:r>
      <w:r>
        <w:rPr>
          <w:color w:val="003CA0"/>
          <w:sz w:val="12"/>
        </w:rPr>
        <w:t xml:space="preserve"> | rel. Sepúlveda Pertence</w:t>
      </w:r>
    </w:p>
    <w:p>
      <w:pPr>
        <w:ind w:left="288"/>
      </w:pPr>
      <w:r>
        <w:rPr>
          <w:color w:val="1E1E1E"/>
          <w:sz w:val="18"/>
        </w:rPr>
        <w:t>Com o advento da Constituição de 1988 (art. 27, § 1º), que tornou aplicáveis, sem restrições, aos membros das assembleias legislativas dos Estados e do Distrito Federal, as normas sobre imunidades parlamentares dos integrantes do Congresso Nacional, ficou superada a tese da Súmula 3/STF ("A imunidade concedida a deputados estaduais é restrita à Justiça do Estado"), que tem por suporte necessário que o reconhecimento aos deputados estaduais das imunidades dos congressistas não derivava necessariamente da CF, mas decorreria de decisão autônoma do constituinte local.</w:t>
      </w:r>
    </w:p>
    <w:p>
      <w:pPr>
        <w:ind w:left="288"/>
      </w:pPr>
      <w:r>
        <w:rPr>
          <w:b/>
          <w:color w:val="003CA0"/>
          <w:sz w:val="16"/>
        </w:rPr>
        <w:t>[RE 456.679, rel. min. Sepúlveda Pertence, j. 15-12-2005, P, DJ de 7-4-2006.]</w:t>
      </w:r>
    </w:p>
    <w:p>
      <w:pPr>
        <w:ind w:left="288"/>
      </w:pPr>
      <w:r>
        <w:rPr>
          <w:color w:val="8C8C8C"/>
          <w:sz w:val="12"/>
        </w:rPr>
        <w:t>cf-art-27-par-1</w:t>
      </w:r>
    </w:p>
    <w:p>
      <w:pPr>
        <w:ind w:left="288"/>
      </w:pPr>
      <w:r>
        <w:rPr>
          <w:color w:val="1E1E1E"/>
          <w:sz w:val="18"/>
        </w:rPr>
        <w:t>§ 2º O subsídio dos Deputados Estaduais será fixado por lei de iniciativa da Assembleia Legislativa, na razão de, no máximo, setenta e cinco por cento daquele estabelecido, em espécie, para os Deputados Federais, observado o que dispõem os arts. 39, § 4º; 57, § 7º; 150, II; 153, III; e 153, § 2º, I. (Redação da EC 19/1998)</w:t>
      </w:r>
    </w:p>
    <w:p>
      <w:pPr>
        <w:ind w:left="144"/>
      </w:pPr>
      <w:r>
        <w:rPr>
          <w:b/>
          <w:color w:val="B45A00"/>
          <w:sz w:val="16"/>
        </w:rPr>
        <w:t>CONTROLE CONCENTRADO</w:t>
      </w:r>
    </w:p>
    <w:p>
      <w:pPr>
        <w:ind w:left="288"/>
      </w:pPr>
      <w:r>
        <w:rPr>
          <w:color w:val="8C8C8C"/>
          <w:sz w:val="12"/>
        </w:rPr>
        <w:t>cf-art-27-par-1</w:t>
      </w:r>
      <w:r>
        <w:rPr>
          <w:color w:val="003CA0"/>
          <w:sz w:val="12"/>
        </w:rPr>
        <w:t xml:space="preserve"> | ADI 4.509</w:t>
      </w:r>
      <w:r>
        <w:rPr>
          <w:color w:val="003CA0"/>
          <w:sz w:val="12"/>
        </w:rPr>
        <w:t xml:space="preserve"> | rel. Cármen Lúcia</w:t>
      </w:r>
    </w:p>
    <w:p>
      <w:pPr>
        <w:ind w:left="288"/>
      </w:pPr>
      <w:r>
        <w:rPr>
          <w:color w:val="1E1E1E"/>
          <w:sz w:val="18"/>
        </w:rPr>
        <w:t xml:space="preserve">remissão expressa do art. 27, § 2º, da Constituição da República ao seu art. 57, § 7º, estende aos deputados estaduais a proibição de percepção de qualquer parcela indenizatória a título de convocação extraordinária. </w:t>
        <w:br/>
        <w:t xml:space="preserve">[ADI 4.509, rel. min. Cármen Lúcia, j. 18-8-2016, P, DJE de 27-9-2016.] Norma estadual que estabelece ao subsídio mensal pago a deputados estaduais valor correspondente a 75% do subsídio mensal de deputados federais, de modo que qualquer aumento no valor dos subsídios destes resulte, automaticamente, aumento daqueles. Impossibilidade. Violação ao princípio da autonomia dos entes </w:t>
      </w:r>
    </w:p>
    <w:p>
      <w:pPr>
        <w:ind w:left="288"/>
      </w:pPr>
      <w:r>
        <w:rPr>
          <w:b/>
          <w:color w:val="003CA0"/>
          <w:sz w:val="16"/>
        </w:rPr>
        <w:t>[ADI 3.461, rel. min. Gilmar Mendes, j. 22-5-2014, P, DJE de 25-8-2014.]</w:t>
      </w:r>
    </w:p>
    <w:p>
      <w:pPr>
        <w:ind w:left="288"/>
      </w:pPr>
      <w:r>
        <w:rPr>
          <w:color w:val="8C8C8C"/>
          <w:sz w:val="12"/>
        </w:rPr>
        <w:t>cf-art-27-par-1</w:t>
      </w:r>
      <w:r>
        <w:rPr>
          <w:color w:val="003CA0"/>
          <w:sz w:val="12"/>
        </w:rPr>
        <w:t xml:space="preserve"> | ADI 2.075</w:t>
      </w:r>
      <w:r>
        <w:rPr>
          <w:color w:val="003CA0"/>
          <w:sz w:val="12"/>
        </w:rPr>
        <w:t xml:space="preserve"> | rel. Celso de Mello</w:t>
      </w:r>
    </w:p>
    <w:p>
      <w:pPr>
        <w:ind w:left="288"/>
      </w:pPr>
      <w:r>
        <w:rPr>
          <w:color w:val="1E1E1E"/>
          <w:sz w:val="18"/>
        </w:rPr>
        <w:t>A questão do subteto no âmbito do Poder Executivo dos Estados-membros e dos Municípios – hipótese em que se revela constitucionalmente possível a fixação desse limite em valor inferior ao previsto no art. 37, XI, da Constituição – ressalva quanto às hipóteses em que a própria Constituição estipula tetos específicos (CF, arts. 27, § 2º, e 93, V).</w:t>
      </w:r>
    </w:p>
    <w:p>
      <w:pPr>
        <w:ind w:left="288"/>
      </w:pPr>
      <w:r>
        <w:rPr>
          <w:b/>
          <w:color w:val="003CA0"/>
          <w:sz w:val="16"/>
        </w:rPr>
        <w:t>[ADI 2.075 MC, rel. min. Celso de Mello, j. 7-6-2001, P, DJ de 27-6-2003.]</w:t>
      </w:r>
    </w:p>
    <w:p>
      <w:pPr>
        <w:ind w:left="288"/>
      </w:pPr>
      <w:r>
        <w:rPr>
          <w:color w:val="8C8C8C"/>
          <w:sz w:val="12"/>
        </w:rPr>
        <w:t>cf-art-27-par-3</w:t>
      </w:r>
      <w:r>
        <w:rPr>
          <w:color w:val="003CA0"/>
          <w:sz w:val="12"/>
        </w:rPr>
        <w:t xml:space="preserve"> | ADI 7.756</w:t>
      </w:r>
      <w:r>
        <w:rPr>
          <w:color w:val="003CA0"/>
          <w:sz w:val="12"/>
        </w:rPr>
        <w:t xml:space="preserve"> | rel. Cármen Lúcia</w:t>
      </w:r>
    </w:p>
    <w:p>
      <w:pPr>
        <w:ind w:left="288"/>
      </w:pPr>
      <w:r>
        <w:rPr>
          <w:color w:val="1E1E1E"/>
          <w:sz w:val="18"/>
        </w:rPr>
        <w:t>Não há exigência constitucional a impor às Assembleias a observância e reprodução automática do Regimento Interno da Câmara dos Deputados. Cuida-se de matéria de ordem interna, sobre a qual a Assembleia Legislativa detém autonomia para dispor, desde que observados os limites constitucionais.</w:t>
      </w:r>
    </w:p>
    <w:p>
      <w:pPr>
        <w:ind w:left="288"/>
      </w:pPr>
      <w:r>
        <w:rPr>
          <w:b/>
          <w:color w:val="003CA0"/>
          <w:sz w:val="16"/>
        </w:rPr>
        <w:t>[ADI 7.756, voto da rel. min. Cármen Lúcia, j. 26-11-2025, P, DJE de 12-2-2026.]</w:t>
      </w:r>
    </w:p>
    <w:p>
      <w:pPr>
        <w:ind w:left="432"/>
      </w:pPr>
      <w:r>
        <w:rPr>
          <w:color w:val="003366"/>
          <w:sz w:val="18"/>
        </w:rPr>
        <w:t>§ 1 Será de quatro anos o mandato dos Deputados Estaduais, aplicando- sê-lhes as</w:t>
      </w:r>
    </w:p>
    <w:p>
      <w:pPr>
        <w:ind w:left="432"/>
      </w:pPr>
      <w:r>
        <w:rPr>
          <w:color w:val="003366"/>
          <w:sz w:val="18"/>
        </w:rPr>
        <w:t>§ 2 O subsídio dos Deputados Estaduais será fixado por lei de iniciativa da Asse</w:t>
      </w:r>
    </w:p>
    <w:p>
      <w:pPr>
        <w:ind w:left="432"/>
      </w:pPr>
      <w:r>
        <w:rPr>
          <w:color w:val="003366"/>
          <w:sz w:val="18"/>
        </w:rPr>
        <w:t>§ 3 Compete às Assembléias Legislativas dispor sobre seu regimento interno, polí</w:t>
      </w:r>
    </w:p>
    <w:p>
      <w:pPr>
        <w:ind w:left="432"/>
      </w:pPr>
      <w:r>
        <w:rPr>
          <w:color w:val="003366"/>
          <w:sz w:val="18"/>
        </w:rPr>
        <w:t>§ 4 A lei disporá sobre a iniciativa popular no processo legislativo estadual.</w:t>
      </w:r>
    </w:p>
    <w:p>
      <w:r>
        <w:rPr>
          <w:b/>
          <w:color w:val="003366"/>
          <w:sz w:val="20"/>
        </w:rPr>
        <w:t xml:space="preserve">Art. 28 A eleição do Governador e do Vice-Governador de Estado, para mandato de </w:t>
      </w:r>
      <w:r>
        <w:rPr>
          <w:color w:val="8C8C8C"/>
          <w:sz w:val="14"/>
        </w:rPr>
        <w:t xml:space="preserve">  [5 decisoes]</w:t>
      </w:r>
    </w:p>
    <w:p>
      <w:pPr>
        <w:ind w:left="144"/>
      </w:pPr>
      <w:r>
        <w:rPr>
          <w:b/>
          <w:color w:val="B45A00"/>
          <w:sz w:val="16"/>
        </w:rPr>
        <w:t>CONTROLE CONCENTRADO</w:t>
      </w:r>
    </w:p>
    <w:p>
      <w:pPr>
        <w:ind w:left="288"/>
      </w:pPr>
      <w:r>
        <w:rPr>
          <w:color w:val="8C8C8C"/>
          <w:sz w:val="12"/>
        </w:rPr>
        <w:t>cf-art-28</w:t>
      </w:r>
      <w:r>
        <w:rPr>
          <w:color w:val="003CA0"/>
          <w:sz w:val="12"/>
        </w:rPr>
        <w:t xml:space="preserve"> | ADI 999</w:t>
      </w:r>
      <w:r>
        <w:rPr>
          <w:color w:val="003CA0"/>
          <w:sz w:val="12"/>
        </w:rPr>
        <w:t xml:space="preserve"> | rel. Dias Toffoli</w:t>
      </w:r>
    </w:p>
    <w:p>
      <w:pPr>
        <w:ind w:left="288"/>
      </w:pPr>
      <w:r>
        <w:rPr>
          <w:color w:val="1E1E1E"/>
          <w:sz w:val="18"/>
        </w:rPr>
        <w:t>Eleição avulsa para o cargo de vice-governador em caso de vacância. Inconstitucionalidade. (...) Elege-se a chapa da qual fazem parte candidatos para o cargo de governador e vice-governador, sendo a eleição do substituto decorrência dos votos recebidos pelo titular. A previsão de eleição isolada de um ou de outro, em caso de vacância, subverte o modelo constitucional que posicionou a investidura no cargo de vice-presidente ou de vice-governador como consequência da eleição do chefe do poder executivo, na qualidade de seu substituto, sucessor e auxiliar</w:t>
        <w:br/>
        <w:t>[ADI 999, rel. min. Dias Toffoli, j. 26-6</w:t>
      </w:r>
    </w:p>
    <w:p>
      <w:pPr>
        <w:ind w:left="288"/>
      </w:pPr>
      <w:r>
        <w:rPr>
          <w:color w:val="8C8C8C"/>
          <w:sz w:val="12"/>
        </w:rPr>
        <w:t>cf-art-28-par-1</w:t>
      </w:r>
      <w:r>
        <w:rPr>
          <w:color w:val="003CA0"/>
          <w:sz w:val="12"/>
        </w:rPr>
        <w:t xml:space="preserve"> | ADI 336</w:t>
      </w:r>
      <w:r>
        <w:rPr>
          <w:color w:val="003CA0"/>
          <w:sz w:val="12"/>
        </w:rPr>
        <w:t xml:space="preserve"> | rel. Eros Grau</w:t>
      </w:r>
    </w:p>
    <w:p>
      <w:pPr>
        <w:ind w:left="288"/>
      </w:pPr>
      <w:r>
        <w:rPr>
          <w:color w:val="1E1E1E"/>
          <w:sz w:val="18"/>
        </w:rPr>
        <w:t>O inciso XIV do art. 29 da Constituição do Brasil/1988 estabelece que as prescrições do art. 28 relativas à perda do mandato de governador aplicam-se ao prefeito, qualificando-se, assim, como preceito de reprodução obrigatória por parte dos Estados-membros e Municípios. Não é permitido a esses entes da federação modificar ou ampliar esses critérios. Se a Constituição do Brasil não sanciona com a perda do cargo o governador ou o prefeito que assuma cargo público em virtude de concurso realizado após sua eleição, não podem fazê-los as Constituições estaduais.</w:t>
      </w:r>
    </w:p>
    <w:p>
      <w:pPr>
        <w:ind w:left="288"/>
      </w:pPr>
      <w:r>
        <w:rPr>
          <w:b/>
          <w:color w:val="003CA0"/>
          <w:sz w:val="16"/>
        </w:rPr>
        <w:t>[ADI 336, voto do rel. min. Eros Grau, j. 10-2-2010, P, DJE de 17-9-2010.]</w:t>
      </w:r>
    </w:p>
    <w:p>
      <w:pPr>
        <w:ind w:left="288"/>
      </w:pPr>
      <w:r>
        <w:rPr>
          <w:color w:val="8C8C8C"/>
          <w:sz w:val="12"/>
        </w:rPr>
        <w:t>cf-art-28-par-2</w:t>
      </w:r>
      <w:r>
        <w:rPr>
          <w:color w:val="003CA0"/>
          <w:sz w:val="12"/>
        </w:rPr>
        <w:t xml:space="preserve"> | ADPF 127</w:t>
      </w:r>
      <w:r>
        <w:rPr>
          <w:color w:val="003CA0"/>
          <w:sz w:val="12"/>
        </w:rPr>
        <w:t xml:space="preserve"> | rel. Dias Toffoli</w:t>
      </w:r>
    </w:p>
    <w:p>
      <w:pPr>
        <w:ind w:left="288"/>
      </w:pPr>
      <w:r>
        <w:rPr>
          <w:color w:val="1E1E1E"/>
          <w:sz w:val="18"/>
        </w:rPr>
        <w:t xml:space="preserve">A remuneração dos servidores públicos em geral e, do mesmo modo hoje, os subsídios dos procuradores-gerais de justiça e do estado (art. 135 e art. 128, § 5º, inciso I, c, da CF/88) devem ser fixados por intermédio de lei específica, na forma do art. 37, inciso X, da Constituição Federal, na redação dada pela Emenda Constitucional 19/98. A partir da referida emenda, nos termos do art. 28, § 2º, da Constituição, a fixação da política remuneratória dos agentes políticos do Poder Executivo estadual passou a depender de lei de iniciativa da Assembleia Legislativa, permitindo a realização de sanção </w:t>
      </w:r>
    </w:p>
    <w:p>
      <w:pPr>
        <w:ind w:left="288"/>
      </w:pPr>
      <w:r>
        <w:rPr>
          <w:b/>
          <w:color w:val="003CA0"/>
          <w:sz w:val="16"/>
        </w:rPr>
        <w:t>[ADPF 127, rel. min. Dias Toffoli, j. 29-11-2021, P, DJE de 15-2-2022.]</w:t>
      </w:r>
    </w:p>
    <w:p>
      <w:pPr>
        <w:ind w:left="288"/>
      </w:pPr>
      <w:r>
        <w:rPr>
          <w:color w:val="8C8C8C"/>
          <w:sz w:val="12"/>
        </w:rPr>
        <w:t>cf-art-28-par-2</w:t>
      </w:r>
      <w:r>
        <w:rPr>
          <w:color w:val="003CA0"/>
          <w:sz w:val="12"/>
        </w:rPr>
        <w:t xml:space="preserve"> | ADI 2.585</w:t>
      </w:r>
      <w:r>
        <w:rPr>
          <w:color w:val="003CA0"/>
          <w:sz w:val="12"/>
        </w:rPr>
        <w:t xml:space="preserve"> | rel. Ellen Gracie</w:t>
      </w:r>
    </w:p>
    <w:p>
      <w:pPr>
        <w:ind w:left="288"/>
      </w:pPr>
      <w:r>
        <w:rPr>
          <w:color w:val="1E1E1E"/>
          <w:sz w:val="18"/>
        </w:rPr>
        <w:t>Fixação de subsídios do governador, do vice-governador, dos secretários de Estado e do procurador-geral do Estado. Procede a alegação de inconstitucionalidade formal por afronta ao disposto no § 2º do art. 28 da CF, acrescentado pela EC 19/1998, uma vez que este dispositivo exige lei em sentido formal para tal fixação. A determinação de lei implica, nos termos do figurino estabelecido nos arts. 61 a 69 da CF, a participação do Poder Executivo no processo legislativo, por meio das figuras da sanção e do veto (art. 66 e parágrafos).</w:t>
      </w:r>
    </w:p>
    <w:p>
      <w:pPr>
        <w:ind w:left="288"/>
      </w:pPr>
      <w:r>
        <w:rPr>
          <w:b/>
          <w:color w:val="003CA0"/>
          <w:sz w:val="16"/>
        </w:rPr>
        <w:t>[ADI 2.585, rel. min. Ellen Gracie, j. 24-4-2003, P, DJ de 6-6-2003.]</w:t>
      </w:r>
    </w:p>
    <w:p>
      <w:pPr>
        <w:ind w:left="288"/>
      </w:pPr>
      <w:r>
        <w:rPr>
          <w:color w:val="8C8C8C"/>
          <w:sz w:val="12"/>
        </w:rPr>
        <w:t>cf-art-28-par-2</w:t>
      </w:r>
    </w:p>
    <w:p>
      <w:pPr>
        <w:ind w:left="288"/>
      </w:pPr>
      <w:r>
        <w:rPr>
          <w:color w:val="1E1E1E"/>
          <w:sz w:val="18"/>
        </w:rPr>
        <w:t>CAPÍTULO IV Dos Municípios SUMÁRIO</w:t>
      </w:r>
    </w:p>
    <w:p>
      <w:pPr>
        <w:ind w:left="432"/>
      </w:pPr>
      <w:r>
        <w:rPr>
          <w:color w:val="003366"/>
          <w:sz w:val="18"/>
        </w:rPr>
        <w:t>§ 1 Perderá o mandato o Governador que assumir outro cargo ou função na administ</w:t>
      </w:r>
    </w:p>
    <w:p>
      <w:pPr>
        <w:ind w:left="432"/>
      </w:pPr>
      <w:r>
        <w:rPr>
          <w:color w:val="003366"/>
          <w:sz w:val="18"/>
        </w:rPr>
        <w:t>§ 2 Os subsídios do Governador, do Vice-Governador e dos Secretários de Estado s</w:t>
      </w:r>
    </w:p>
    <w:p>
      <w:pPr>
        <w:pStyle w:val="Heading2"/>
      </w:pPr>
      <w:r>
        <w:rPr>
          <w:color w:val="003366"/>
        </w:rPr>
        <w:t>CAPÍTULO IV - Dos Municípios</w:t>
      </w:r>
    </w:p>
    <w:p>
      <w:r>
        <w:rPr>
          <w:b/>
          <w:color w:val="003366"/>
          <w:sz w:val="20"/>
        </w:rPr>
        <w:t>Art. 29 O Município reger-se-á por lei orgânica, votada em dois turnos, com o in</w:t>
      </w:r>
      <w:r>
        <w:rPr>
          <w:color w:val="8C8C8C"/>
          <w:sz w:val="14"/>
        </w:rPr>
        <w:t xml:space="preserve">  [36 decisoes]</w:t>
      </w:r>
    </w:p>
    <w:p>
      <w:pPr>
        <w:ind w:left="144"/>
      </w:pPr>
      <w:r>
        <w:rPr>
          <w:b/>
          <w:color w:val="B45A00"/>
          <w:sz w:val="16"/>
        </w:rPr>
        <w:t>CONTROLE CONCENTRADO</w:t>
      </w:r>
    </w:p>
    <w:p>
      <w:pPr>
        <w:ind w:left="288"/>
      </w:pPr>
      <w:r>
        <w:rPr>
          <w:color w:val="8C8C8C"/>
          <w:sz w:val="12"/>
        </w:rPr>
        <w:t>cf-art-29</w:t>
      </w:r>
      <w:r>
        <w:rPr>
          <w:color w:val="003CA0"/>
          <w:sz w:val="12"/>
        </w:rPr>
        <w:t xml:space="preserve"> | ADI 3.549</w:t>
      </w:r>
      <w:r>
        <w:rPr>
          <w:color w:val="003CA0"/>
          <w:sz w:val="12"/>
        </w:rPr>
        <w:t xml:space="preserve"> | rel. Cármen Lúcia</w:t>
      </w:r>
    </w:p>
    <w:p>
      <w:pPr>
        <w:ind w:left="288"/>
      </w:pPr>
      <w:r>
        <w:rPr>
          <w:color w:val="1E1E1E"/>
          <w:sz w:val="18"/>
        </w:rPr>
        <w:t>Dupla vacância dos cargos de prefeito e vice-prefeito. Competência legislativa municipal. Domínio normativo da lei orgânica. (...) A vocação sucessória dos cargos de prefeito e vice-prefeito põe-se no âmbito da autonomia política local, em caso de dupla vacância. Ao disciplinar matéria, cuja competência é exclusiva dos Municípios, o art. 75, § 2º, da Constituição de Goiás fere a autonomia desses entes, mitigando-lhes a capacidade de auto-organização e de autogoverno e limitando a sua autonomia política assegurada pela Constituição brasileira.</w:t>
      </w:r>
    </w:p>
    <w:p>
      <w:pPr>
        <w:ind w:left="288"/>
      </w:pPr>
      <w:r>
        <w:rPr>
          <w:b/>
          <w:color w:val="003CA0"/>
          <w:sz w:val="16"/>
        </w:rPr>
        <w:t>[ADI 3.549, rel. min. Cármen Lúcia, j. 17-9-2007, P, DJ de 31-10-2007.]</w:t>
      </w:r>
    </w:p>
    <w:p>
      <w:pPr>
        <w:ind w:left="288"/>
      </w:pPr>
      <w:r>
        <w:rPr>
          <w:color w:val="8C8C8C"/>
          <w:sz w:val="12"/>
        </w:rPr>
        <w:t>cf-art-29</w:t>
      </w:r>
      <w:r>
        <w:rPr>
          <w:color w:val="003CA0"/>
          <w:sz w:val="12"/>
        </w:rPr>
        <w:t xml:space="preserve"> | ADI 2.112</w:t>
      </w:r>
      <w:r>
        <w:rPr>
          <w:color w:val="003CA0"/>
          <w:sz w:val="12"/>
        </w:rPr>
        <w:t xml:space="preserve"> | rel. Sepúlveda Pertence</w:t>
      </w:r>
    </w:p>
    <w:p>
      <w:pPr>
        <w:ind w:left="288"/>
      </w:pPr>
      <w:r>
        <w:rPr>
          <w:color w:val="1E1E1E"/>
          <w:sz w:val="18"/>
        </w:rPr>
        <w:t>Dar alcance irrestrito à alusão, no art. 29, caput, CF, à observância devida pelas leis orgânicas municipais aos princípios estabelecidos na Constituição do Estado, traduz condenável misoneísmo constitucional, que faz abstração de dois dados novos e incontornáveis do trato do Município da Lei Fundamental de 1988: explicitar o seu caráter de "entidade infraestatal rígida" e, em consequência, outorgar-lhe o poder de auto-organização, substantivado, no art. 29, pelo de votar a própria lei orgânica. É mais que bastante ao juízo liminar sobre o pedido cautelar a aparente evidência de que em tudo qu</w:t>
      </w:r>
    </w:p>
    <w:p>
      <w:pPr>
        <w:ind w:left="288"/>
      </w:pPr>
      <w:r>
        <w:rPr>
          <w:b/>
          <w:color w:val="003CA0"/>
          <w:sz w:val="16"/>
        </w:rPr>
        <w:t>[ADI 2.112 MC, rel. min. Sepúlveda Pertence, j. 11-5-2000, P, DJ de 18-5-2001.]</w:t>
      </w:r>
    </w:p>
    <w:p>
      <w:pPr>
        <w:ind w:left="288"/>
      </w:pPr>
      <w:r>
        <w:rPr>
          <w:color w:val="8C8C8C"/>
          <w:sz w:val="12"/>
        </w:rPr>
        <w:t>cf-art-29-inc-I</w:t>
      </w:r>
    </w:p>
    <w:p>
      <w:pPr>
        <w:ind w:left="288"/>
      </w:pPr>
      <w:r>
        <w:rPr>
          <w:color w:val="1E1E1E"/>
          <w:sz w:val="18"/>
        </w:rPr>
        <w:t>II - eleição do Prefeito e do Vice-Prefeito realizada no primeiro domingo de outubro do ano anterior ao término do mandato dos que devam suceder, aplicadas as regras do art. 77, no caso de Municípios com mais de duzentos mil eleitores; (Redação da EC 16/1997)</w:t>
      </w:r>
    </w:p>
    <w:p>
      <w:pPr>
        <w:ind w:left="288"/>
      </w:pPr>
      <w:r>
        <w:rPr>
          <w:color w:val="8C8C8C"/>
          <w:sz w:val="12"/>
        </w:rPr>
        <w:t>cf-art-29-inc-I</w:t>
      </w:r>
      <w:r>
        <w:rPr>
          <w:color w:val="003CA0"/>
          <w:sz w:val="12"/>
        </w:rPr>
        <w:t xml:space="preserve"> | ADI 5.619</w:t>
      </w:r>
      <w:r>
        <w:rPr>
          <w:color w:val="003CA0"/>
          <w:sz w:val="12"/>
        </w:rPr>
        <w:t xml:space="preserve"> | rel. Roberto Barroso</w:t>
      </w:r>
    </w:p>
    <w:p>
      <w:pPr>
        <w:ind w:left="288"/>
      </w:pPr>
      <w:r>
        <w:rPr>
          <w:color w:val="1E1E1E"/>
          <w:sz w:val="18"/>
        </w:rPr>
        <w:t>É constitucional legislação federal que estabeleça novas eleições para os cargos majoritários simples – isto é, Prefeitos de Municípios com menos de duzentos mil eleitores e Senadores da República – em casos de vacância por causas eleitorais.</w:t>
        <w:br/>
        <w:t>[ADI 5.619, rel. min. Roberto Barroso, j. 8-3-2018, P, DJE de 7-8-2018.]</w:t>
      </w:r>
    </w:p>
    <w:p>
      <w:pPr>
        <w:ind w:left="288"/>
      </w:pPr>
      <w:r>
        <w:rPr>
          <w:color w:val="8C8C8C"/>
          <w:sz w:val="12"/>
        </w:rPr>
        <w:t>cf-art-29-inc-IV</w:t>
      </w:r>
      <w:r>
        <w:rPr>
          <w:color w:val="003CA0"/>
          <w:sz w:val="12"/>
        </w:rPr>
        <w:t xml:space="preserve"> | ADI 3.042</w:t>
      </w:r>
      <w:r>
        <w:rPr>
          <w:color w:val="003CA0"/>
          <w:sz w:val="12"/>
        </w:rPr>
        <w:t xml:space="preserve"> | rel. Gilmar Mendes</w:t>
      </w:r>
    </w:p>
    <w:p>
      <w:pPr>
        <w:ind w:left="288"/>
      </w:pPr>
      <w:r>
        <w:rPr>
          <w:color w:val="1E1E1E"/>
          <w:sz w:val="18"/>
        </w:rPr>
        <w:t>Fixação, pela Constituição estadual, do número máximo de vereadores proporcionalmente à população dos Municípios do Estado do Paraná. Previsão de limite diverso do determinado na Constituição Federal. Violação ao art. 29, IV, da Constituição Federal.</w:t>
      </w:r>
    </w:p>
    <w:p>
      <w:pPr>
        <w:ind w:left="288"/>
      </w:pPr>
      <w:r>
        <w:rPr>
          <w:b/>
          <w:color w:val="003CA0"/>
          <w:sz w:val="16"/>
        </w:rPr>
        <w:t>[ADI 3.042, rel. min. Gilmar Mendes, j. 16-9-2020, P, DJE de 5-10-2020.]</w:t>
      </w:r>
    </w:p>
    <w:p>
      <w:pPr>
        <w:ind w:left="288"/>
      </w:pPr>
      <w:r>
        <w:rPr>
          <w:color w:val="8C8C8C"/>
          <w:sz w:val="12"/>
        </w:rPr>
        <w:t>cf-art-29-inc-IV</w:t>
      </w:r>
      <w:r>
        <w:rPr>
          <w:color w:val="003CA0"/>
          <w:sz w:val="12"/>
        </w:rPr>
        <w:t xml:space="preserve"> | ADI 4.307</w:t>
      </w:r>
      <w:r>
        <w:rPr>
          <w:color w:val="003CA0"/>
          <w:sz w:val="12"/>
        </w:rPr>
        <w:t xml:space="preserve"> | rel. Cármen Lúcia</w:t>
      </w:r>
    </w:p>
    <w:p>
      <w:pPr>
        <w:ind w:left="288"/>
      </w:pPr>
      <w:r>
        <w:rPr>
          <w:color w:val="1E1E1E"/>
          <w:sz w:val="18"/>
        </w:rPr>
        <w:t>EC 58/2009. (...) Norma que determina a retroação dos efeitos de regras constitucionais de composição das câmaras municipais em pleito ocorrido e encerrado: afronta à garantia do exercício da cidadania popular (arts. 1º, parágrafo único, e 14 da Constituição) e a segurança jurídica. Os eleitos foram diplomados pela Justiça Eleitoral até 18-12-2009 e tomaram posse em 2009. Posse de suplentes para legislatura em curso, em relação a eleição finda e acabada, descumpre o princípio democrático da soberania popular. Impossibilidade de compatibilizar a posse do suplente: não eleito pelo sufrágio secre</w:t>
      </w:r>
    </w:p>
    <w:p>
      <w:pPr>
        <w:ind w:left="288"/>
      </w:pPr>
      <w:r>
        <w:rPr>
          <w:b/>
          <w:color w:val="003CA0"/>
          <w:sz w:val="16"/>
        </w:rPr>
        <w:t>[ADI 4.307, rel. min. Cármen Lúcia, j. 11-4-2013, P, DJE de 1º-10-2013.]</w:t>
      </w:r>
    </w:p>
    <w:p>
      <w:pPr>
        <w:ind w:left="144"/>
      </w:pPr>
      <w:r>
        <w:rPr>
          <w:b/>
          <w:color w:val="B45A00"/>
          <w:sz w:val="16"/>
        </w:rPr>
        <w:t>JULGADOS CORRELATOS</w:t>
      </w:r>
    </w:p>
    <w:p>
      <w:pPr>
        <w:ind w:left="288"/>
      </w:pPr>
      <w:r>
        <w:rPr>
          <w:color w:val="8C8C8C"/>
          <w:sz w:val="12"/>
        </w:rPr>
        <w:t>cf-art-29-inc-IV</w:t>
      </w:r>
      <w:r>
        <w:rPr>
          <w:color w:val="003CA0"/>
          <w:sz w:val="12"/>
        </w:rPr>
        <w:t xml:space="preserve"> | RE 881.422</w:t>
      </w:r>
      <w:r>
        <w:rPr>
          <w:color w:val="003CA0"/>
          <w:sz w:val="12"/>
        </w:rPr>
        <w:t xml:space="preserve"> | rel. Dias Toffoli</w:t>
      </w:r>
    </w:p>
    <w:p>
      <w:pPr>
        <w:ind w:left="288"/>
      </w:pPr>
      <w:r>
        <w:rPr>
          <w:color w:val="1E1E1E"/>
          <w:sz w:val="18"/>
        </w:rPr>
        <w:t>O art. 29, IV, da CF de 1988, em sua redação original, estabelecia três faixas populacionais para nortear as quantidades máximas e mínimas de vereadores em cada Município, devendo esse, atendendo ao princípio da proporcionalidade, estabelecer o quantitativo suficiente ao atendimento das demandas locais. A amplitude elastecida do espaço de decisão legislativa quanto ao número de vereadores permitiu distorções no sistema, levando o Congresso Nacional a editar a EC 58, de 23 de setembro de 2009, que conferiu nova redação para o art. 29, IV, da CF/1988, ampliando de 3 para 25 as faixas populaciona</w:t>
      </w:r>
    </w:p>
    <w:p>
      <w:pPr>
        <w:ind w:left="288"/>
      </w:pPr>
      <w:r>
        <w:rPr>
          <w:color w:val="8C8C8C"/>
          <w:sz w:val="12"/>
        </w:rPr>
        <w:t>cf-art-29-inc-IV-ali-a</w:t>
      </w:r>
      <w:r>
        <w:rPr>
          <w:color w:val="003CA0"/>
          <w:sz w:val="12"/>
        </w:rPr>
        <w:t xml:space="preserve"> | RE 197.917</w:t>
      </w:r>
      <w:r>
        <w:rPr>
          <w:color w:val="003CA0"/>
          <w:sz w:val="12"/>
        </w:rPr>
        <w:t xml:space="preserve"> | rel. Gilmar Mendes</w:t>
      </w:r>
    </w:p>
    <w:p>
      <w:pPr>
        <w:ind w:left="288"/>
      </w:pPr>
      <w:r>
        <w:rPr>
          <w:color w:val="1E1E1E"/>
          <w:sz w:val="18"/>
        </w:rPr>
        <w:t>Ação cautelar inominada. Efeito suspensivo a recurso extraordinário. Decisão monocrática concessiva. Referendum do Plenário. Número de vereadores. Art. 29, IV, da CF. Precedente: RE 197.917/SP, Maurício Corrêa, sessão plenária de 24-3-2004.</w:t>
      </w:r>
    </w:p>
    <w:p>
      <w:pPr>
        <w:ind w:left="288"/>
      </w:pPr>
      <w:r>
        <w:rPr>
          <w:b/>
          <w:color w:val="003CA0"/>
          <w:sz w:val="16"/>
        </w:rPr>
        <w:t>[AC 189 MC-QO, rel. min. Gilmar Mendes, j. 9-6-2004, DJ de 27-8-2004.]</w:t>
      </w:r>
    </w:p>
    <w:p>
      <w:pPr>
        <w:ind w:left="288"/>
      </w:pPr>
      <w:r>
        <w:rPr>
          <w:color w:val="8C8C8C"/>
          <w:sz w:val="12"/>
        </w:rPr>
        <w:t>cf-art-29-inc-IV-ali-c</w:t>
      </w:r>
      <w:r>
        <w:rPr>
          <w:color w:val="003CA0"/>
          <w:sz w:val="12"/>
        </w:rPr>
        <w:t xml:space="preserve"> | ARE 1.462.344</w:t>
      </w:r>
      <w:r>
        <w:rPr>
          <w:color w:val="003CA0"/>
          <w:sz w:val="12"/>
        </w:rPr>
        <w:t xml:space="preserve"> | rel. Gilmar Mendes</w:t>
      </w:r>
    </w:p>
    <w:p>
      <w:pPr>
        <w:ind w:left="288"/>
      </w:pPr>
      <w:r>
        <w:rPr>
          <w:color w:val="1E1E1E"/>
          <w:sz w:val="18"/>
        </w:rPr>
        <w:t>V - subsídios do Prefeito, do Vice-Prefeito e dos Secretários Municipais fixados por lei de iniciativa da Câmara Municipal, observado o que dispõem os arts. 37, XI, 39, § 4º, 150, II, 153, III, e 153, § 2º, I; (Redação da EC 19/1998) O acórdão recorrido está em consonância com a jurisprudência do Supremo Tribunal Federal, que exige a fixação dos subsídios de agentes políticos municipais antes da eleição da legislatura subsequente, em respeito ao princípio da anterioridade e da moralidade administrativa. Nos termos do art. 29, V, e da jurisprudência desta Corte, o subsídio de Prefeitos, Vice-Pr</w:t>
      </w:r>
    </w:p>
    <w:p>
      <w:pPr>
        <w:ind w:left="288"/>
      </w:pPr>
      <w:r>
        <w:rPr>
          <w:b/>
          <w:color w:val="003CA0"/>
          <w:sz w:val="16"/>
        </w:rPr>
        <w:t>[ARE 1.462.344, rel. min. Gilmar Mendes, j. 27.10.2025, P, DJE de 03.11.2025.]</w:t>
      </w:r>
    </w:p>
    <w:p>
      <w:pPr>
        <w:ind w:left="288"/>
      </w:pPr>
      <w:r>
        <w:rPr>
          <w:color w:val="8C8C8C"/>
          <w:sz w:val="12"/>
        </w:rPr>
        <w:t>cf-art-29-inc-IV-ali-c</w:t>
      </w:r>
      <w:r>
        <w:rPr>
          <w:color w:val="003CA0"/>
          <w:sz w:val="12"/>
        </w:rPr>
        <w:t xml:space="preserve"> | RE 434.278</w:t>
      </w:r>
      <w:r>
        <w:rPr>
          <w:color w:val="003CA0"/>
          <w:sz w:val="12"/>
        </w:rPr>
        <w:t xml:space="preserve"> | rel. Marco Aurélio</w:t>
      </w:r>
    </w:p>
    <w:p>
      <w:pPr>
        <w:ind w:left="288"/>
      </w:pPr>
      <w:r>
        <w:rPr>
          <w:color w:val="1E1E1E"/>
          <w:sz w:val="18"/>
        </w:rPr>
        <w:t>Os subsídios do prefeito e do vice-prefeito devem ser fixados, de forma clara e invariável, mediante lei de iniciativa da câmara municipal. Não cabe a tomada de empréstimo do que percebido, em termos de remuneração – gênero –, por integrante da assembleia legislativa. Inteligência do disposto no art. 29, V, da CF.</w:t>
      </w:r>
    </w:p>
    <w:p>
      <w:pPr>
        <w:ind w:left="288"/>
      </w:pPr>
      <w:r>
        <w:rPr>
          <w:b/>
          <w:color w:val="003CA0"/>
          <w:sz w:val="16"/>
        </w:rPr>
        <w:t>[RE 434.278, rel. min. Marco Aurélio, j. 12-6-2012, 1ª T, DJE de 28-6-2012.]</w:t>
      </w:r>
    </w:p>
    <w:p>
      <w:pPr>
        <w:ind w:left="288"/>
      </w:pPr>
      <w:r>
        <w:rPr>
          <w:color w:val="8C8C8C"/>
          <w:sz w:val="12"/>
        </w:rPr>
        <w:t>cf-art-29-inc-IV-ali-c</w:t>
      </w:r>
      <w:r>
        <w:rPr>
          <w:color w:val="003CA0"/>
          <w:sz w:val="12"/>
        </w:rPr>
        <w:t xml:space="preserve"> | RE 204.889</w:t>
      </w:r>
      <w:r>
        <w:rPr>
          <w:color w:val="003CA0"/>
          <w:sz w:val="12"/>
        </w:rPr>
        <w:t xml:space="preserve"> | rel. Menezes Direito</w:t>
      </w:r>
    </w:p>
    <w:p>
      <w:pPr>
        <w:ind w:left="288"/>
      </w:pPr>
      <w:r>
        <w:rPr>
          <w:color w:val="1E1E1E"/>
          <w:sz w:val="18"/>
        </w:rPr>
        <w:t>Já assentou a Suprema Corte que a norma do art. 29, V, da CF é autoaplicável. O subsídio do prefeito é fixado pela Câmara Municipal até o final da legislatura para vigorar na subsequente.</w:t>
      </w:r>
    </w:p>
    <w:p>
      <w:pPr>
        <w:ind w:left="288"/>
      </w:pPr>
      <w:r>
        <w:rPr>
          <w:b/>
          <w:color w:val="003CA0"/>
          <w:sz w:val="16"/>
        </w:rPr>
        <w:t>[RE 204.889, rel. min. Menezes Direito, j. 26-2-2008, 1ª T, DJE de 16-5-2008.]</w:t>
      </w:r>
    </w:p>
    <w:p>
      <w:pPr>
        <w:ind w:left="288"/>
      </w:pPr>
      <w:r>
        <w:rPr>
          <w:color w:val="8C8C8C"/>
          <w:sz w:val="12"/>
        </w:rPr>
        <w:t>cf-art-29-inc-IV-ali-c</w:t>
      </w:r>
      <w:r>
        <w:rPr>
          <w:color w:val="003CA0"/>
          <w:sz w:val="12"/>
        </w:rPr>
        <w:t xml:space="preserve"> | AI 843.758</w:t>
      </w:r>
      <w:r>
        <w:rPr>
          <w:color w:val="003CA0"/>
          <w:sz w:val="12"/>
        </w:rPr>
        <w:t xml:space="preserve"> | rel. Gilmar Mendes</w:t>
      </w:r>
    </w:p>
    <w:p>
      <w:pPr>
        <w:ind w:left="288"/>
      </w:pPr>
      <w:r>
        <w:rPr>
          <w:color w:val="1E1E1E"/>
          <w:sz w:val="18"/>
        </w:rPr>
        <w:t>= AI 843.758 AgR, rel. min. Gilmar Mendes, j. 28-2-2012, 2ª T, DJE de 13-3-2012 Não pode o vice-prefeito acumular a remuneração decorrente de emprego em empresa pública estadual com a representação estabelecida para o exercício do mandato eletivo (CF, art. 29, V). (...) O que a Constituição excepcionou, no art. 38, III, no âmbito municipal, foi apenas a situação do vereador, ao possibilitar-lhe, se servidor público, no exercício do mandato, perceber as vantagens de seu cargo, emprego ou função, sem prejuízo da remuneração do cargo eletivo, quando houver compatibilidade de horários; se não se c</w:t>
      </w:r>
    </w:p>
    <w:p>
      <w:pPr>
        <w:ind w:left="288"/>
      </w:pPr>
      <w:r>
        <w:rPr>
          <w:b/>
          <w:color w:val="003CA0"/>
          <w:sz w:val="16"/>
        </w:rPr>
        <w:t>[RE 140.269, rel. min. Néri da Silveira, j. 1º-10-1996, 2ª T, DJ de 9-5-1997.]</w:t>
      </w:r>
    </w:p>
    <w:p>
      <w:pPr>
        <w:ind w:left="288"/>
      </w:pPr>
      <w:r>
        <w:rPr>
          <w:color w:val="8C8C8C"/>
          <w:sz w:val="12"/>
        </w:rPr>
        <w:t>cf-art-29-inc-IV-ali-c</w:t>
      </w:r>
      <w:r>
        <w:rPr>
          <w:color w:val="003CA0"/>
          <w:sz w:val="12"/>
        </w:rPr>
        <w:t xml:space="preserve"> | ARE 659.543</w:t>
      </w:r>
      <w:r>
        <w:rPr>
          <w:color w:val="003CA0"/>
          <w:sz w:val="12"/>
        </w:rPr>
        <w:t xml:space="preserve"> | rel. Cármen Lúcia</w:t>
      </w:r>
    </w:p>
    <w:p>
      <w:pPr>
        <w:ind w:left="288"/>
      </w:pPr>
      <w:r>
        <w:rPr>
          <w:color w:val="1E1E1E"/>
          <w:sz w:val="18"/>
        </w:rPr>
        <w:t>= ARE 659.543 AgR, rel. min. Cármen Lúcia, j. 30-10-2012, 2ª T, DJE de 20-11-2012 VI - o subsídio dos Vereadores será fixado pelas respectivas Câmaras Municipais em cada legislatura para a subsequente, observado o que dispõe esta Constituição, observados os critérios estabelecidos na respectiva Lei Orgânica e os seguintes limites máximos: (Redação da EC 25/2000)</w:t>
      </w:r>
    </w:p>
    <w:p>
      <w:pPr>
        <w:ind w:left="288"/>
      </w:pPr>
      <w:r>
        <w:rPr>
          <w:color w:val="8C8C8C"/>
          <w:sz w:val="12"/>
        </w:rPr>
        <w:t>cf-art-29-inc-IV-ali-c</w:t>
      </w:r>
      <w:r>
        <w:rPr>
          <w:color w:val="003CA0"/>
          <w:sz w:val="12"/>
        </w:rPr>
        <w:t xml:space="preserve"> | RE 494.253</w:t>
      </w:r>
      <w:r>
        <w:rPr>
          <w:color w:val="003CA0"/>
          <w:sz w:val="12"/>
        </w:rPr>
        <w:t xml:space="preserve"> | rel. Ellen Gracie</w:t>
      </w:r>
    </w:p>
    <w:p>
      <w:pPr>
        <w:ind w:left="288"/>
      </w:pPr>
      <w:r>
        <w:rPr>
          <w:color w:val="1E1E1E"/>
          <w:sz w:val="18"/>
        </w:rPr>
        <w:t>A fixação dos subsídios de vereadores é de competência exclusiva da Câmara Municipal, a qual deve respeitar as prescrições estabelecidas na Lei Orgânica Municipal, na Constituição do respectivo Estado, bem como na CF.</w:t>
      </w:r>
    </w:p>
    <w:p>
      <w:pPr>
        <w:ind w:left="288"/>
      </w:pPr>
      <w:r>
        <w:rPr>
          <w:b/>
          <w:color w:val="003CA0"/>
          <w:sz w:val="16"/>
        </w:rPr>
        <w:t>[RE 494.253 AgR, rel. min. Ellen Gracie, j. 22-2-2011, 2ª T, DJE de 15-3-2011.]</w:t>
      </w:r>
    </w:p>
    <w:p>
      <w:pPr>
        <w:ind w:left="144"/>
      </w:pPr>
      <w:r>
        <w:rPr>
          <w:b/>
          <w:color w:val="B45A00"/>
          <w:sz w:val="16"/>
        </w:rPr>
        <w:t>CONTROLE CONCENTRADO</w:t>
      </w:r>
    </w:p>
    <w:p>
      <w:pPr>
        <w:ind w:left="288"/>
      </w:pPr>
      <w:r>
        <w:rPr>
          <w:color w:val="8C8C8C"/>
          <w:sz w:val="12"/>
        </w:rPr>
        <w:t>cf-art-29-inc-VIII</w:t>
      </w:r>
      <w:r>
        <w:rPr>
          <w:color w:val="003CA0"/>
          <w:sz w:val="12"/>
        </w:rPr>
        <w:t xml:space="preserve"> | ADI 558</w:t>
      </w:r>
      <w:r>
        <w:rPr>
          <w:color w:val="003CA0"/>
          <w:sz w:val="12"/>
        </w:rPr>
        <w:t xml:space="preserve"> | rel. Cármen Lúcia</w:t>
      </w:r>
    </w:p>
    <w:p>
      <w:pPr>
        <w:ind w:left="288"/>
      </w:pPr>
      <w:r>
        <w:rPr>
          <w:color w:val="1E1E1E"/>
          <w:sz w:val="18"/>
        </w:rPr>
        <w:t>Os entes federados não dispõem de competência para ampliar as imunidades constitucionalmente previstas aos vereadores no inc. VIII do art. 29 da Constituição da República. É inconstitucional norma da Constituição do Rio de Janeiro que concede imunidades formais a autoridades municipais.</w:t>
      </w:r>
    </w:p>
    <w:p>
      <w:pPr>
        <w:ind w:left="288"/>
      </w:pPr>
      <w:r>
        <w:rPr>
          <w:b/>
          <w:color w:val="003CA0"/>
          <w:sz w:val="16"/>
        </w:rPr>
        <w:t>[ADI 558, rel. min. Cármen Lúcia, j. 19-4-2021, Plenário, DJE de 22-9-2021.]</w:t>
      </w:r>
    </w:p>
    <w:p>
      <w:pPr>
        <w:ind w:left="144"/>
      </w:pPr>
      <w:r>
        <w:rPr>
          <w:b/>
          <w:color w:val="B45A00"/>
          <w:sz w:val="16"/>
        </w:rPr>
        <w:t>REPERCUSSAO GERAL</w:t>
      </w:r>
    </w:p>
    <w:p>
      <w:pPr>
        <w:ind w:left="288"/>
      </w:pPr>
      <w:r>
        <w:rPr>
          <w:color w:val="8C8C8C"/>
          <w:sz w:val="12"/>
        </w:rPr>
        <w:t>cf-art-29-inc-VIII</w:t>
      </w:r>
      <w:r>
        <w:rPr>
          <w:color w:val="003CA0"/>
          <w:sz w:val="12"/>
        </w:rPr>
        <w:t xml:space="preserve"> | RE 600.063</w:t>
      </w:r>
    </w:p>
    <w:p>
      <w:pPr>
        <w:ind w:left="288"/>
      </w:pPr>
      <w:r>
        <w:rPr>
          <w:color w:val="1E1E1E"/>
          <w:sz w:val="18"/>
        </w:rPr>
        <w:t>(...) nos limites da circunscrição do Município e havendo pertinência com o exercício do mandato, os vereadores são imunes judicialmente por suas palavras, opiniões e votos.</w:t>
      </w:r>
    </w:p>
    <w:p>
      <w:pPr>
        <w:ind w:left="288"/>
      </w:pPr>
      <w:r>
        <w:rPr>
          <w:b/>
          <w:color w:val="003CA0"/>
          <w:sz w:val="16"/>
        </w:rPr>
        <w:t>[RE 600.063, red. do ac. min. Roberto Barroso, j. 25-2-2015, P, DJE de 15-5-2015, Tema 469, com mérito julgado.]</w:t>
      </w:r>
    </w:p>
    <w:p>
      <w:pPr>
        <w:ind w:left="144"/>
      </w:pPr>
      <w:r>
        <w:rPr>
          <w:b/>
          <w:color w:val="B45A00"/>
          <w:sz w:val="16"/>
        </w:rPr>
        <w:t>JULGADOS CORRELATOS</w:t>
      </w:r>
    </w:p>
    <w:p>
      <w:pPr>
        <w:ind w:left="288"/>
      </w:pPr>
      <w:r>
        <w:rPr>
          <w:color w:val="8C8C8C"/>
          <w:sz w:val="12"/>
        </w:rPr>
        <w:t>cf-art-29-inc-VIII</w:t>
      </w:r>
      <w:r>
        <w:rPr>
          <w:color w:val="003CA0"/>
          <w:sz w:val="12"/>
        </w:rPr>
        <w:t xml:space="preserve"> | ARE 1.421.633</w:t>
      </w:r>
      <w:r>
        <w:rPr>
          <w:color w:val="003CA0"/>
          <w:sz w:val="12"/>
        </w:rPr>
        <w:t xml:space="preserve"> | rel. Edson Fachin</w:t>
      </w:r>
    </w:p>
    <w:p>
      <w:pPr>
        <w:ind w:left="288"/>
      </w:pPr>
      <w:r>
        <w:rPr>
          <w:color w:val="1E1E1E"/>
          <w:sz w:val="18"/>
        </w:rPr>
        <w:t>Vereador. Imunidade parlamentar. Palavras proferidas na internet. (...) Nos dias atuais, caracterizados por avanços tecnológicos em que a internet se tornou um dos principais meios de comunicação entre os mandatários e o eleitor, não é mais possível restringir o exercício parlamentar do mandato aos estritos limites do recinto da Câmara Municipal.</w:t>
        <w:br/>
        <w:t>[ARE 1.421.633 AgR, rel. min. Edson Fachin, j. 3-5-2023, 1ª T, DJE de 9-5-2023.] Pensão especial a viúva de prefeito. Lei municipal de efeitos concretos. Validade. (...) Imunidade material de vereadores (CF, art. 29, VIII). Extensão quanto à responsab</w:t>
      </w:r>
    </w:p>
    <w:p>
      <w:pPr>
        <w:ind w:left="288"/>
      </w:pPr>
      <w:r>
        <w:rPr>
          <w:b/>
          <w:color w:val="003CA0"/>
          <w:sz w:val="16"/>
        </w:rPr>
        <w:t>[AI 631.276, rel. min. Celso de Mello, j. 1º-2-2011, dec. monocrática, DJE de 15-2-2011.]</w:t>
      </w:r>
    </w:p>
    <w:p>
      <w:pPr>
        <w:ind w:left="288"/>
      </w:pPr>
      <w:r>
        <w:rPr>
          <w:color w:val="8C8C8C"/>
          <w:sz w:val="12"/>
        </w:rPr>
        <w:t>cf-art-29-inc-VIII</w:t>
      </w:r>
      <w:r>
        <w:rPr>
          <w:color w:val="003CA0"/>
          <w:sz w:val="12"/>
        </w:rPr>
        <w:t xml:space="preserve"> | INQ 3.215</w:t>
      </w:r>
      <w:r>
        <w:rPr>
          <w:color w:val="003CA0"/>
          <w:sz w:val="12"/>
        </w:rPr>
        <w:t xml:space="preserve"> | rel. Dias Toffoli</w:t>
      </w:r>
    </w:p>
    <w:p>
      <w:pPr>
        <w:ind w:left="288"/>
      </w:pPr>
      <w:r>
        <w:rPr>
          <w:color w:val="1E1E1E"/>
          <w:sz w:val="18"/>
        </w:rPr>
        <w:t>= Inq 3.215, rel. min. Dias Toffoli, j. 4-4-2013, P, DJE de 25-9-2013 Condição de vereador que não garante ao paciente tratamento diferenciado relativamente aos demais corréus. Os edis, ao contrário do que ocorre com os membros do Congresso Nacional e os deputados estaduais, não gozam da denominada incoercibilidade pessoal relativa (freedom from arrest), ainda que algumas Constituições estaduais lhes assegurem prerrogativa de foro.</w:t>
      </w:r>
    </w:p>
    <w:p>
      <w:pPr>
        <w:ind w:left="288"/>
      </w:pPr>
      <w:r>
        <w:rPr>
          <w:b/>
          <w:color w:val="003CA0"/>
          <w:sz w:val="16"/>
        </w:rPr>
        <w:t>[HC 94.059, rel. min. Ricardo Lewandowski, j. 6-5-2008, 1ª T, DJE de 13-6-2008.]</w:t>
      </w:r>
    </w:p>
    <w:p>
      <w:pPr>
        <w:ind w:left="288"/>
      </w:pPr>
      <w:r>
        <w:rPr>
          <w:color w:val="8C8C8C"/>
          <w:sz w:val="12"/>
        </w:rPr>
        <w:t>cf-art-29-inc-VIII</w:t>
      </w:r>
      <w:r>
        <w:rPr>
          <w:color w:val="003CA0"/>
          <w:sz w:val="12"/>
        </w:rPr>
        <w:t xml:space="preserve"> | HC 81.730</w:t>
      </w:r>
      <w:r>
        <w:rPr>
          <w:color w:val="003CA0"/>
          <w:sz w:val="12"/>
        </w:rPr>
        <w:t xml:space="preserve"> | rel. Nelson Jobim</w:t>
      </w:r>
    </w:p>
    <w:p>
      <w:pPr>
        <w:ind w:left="288"/>
      </w:pPr>
      <w:r>
        <w:rPr>
          <w:color w:val="1E1E1E"/>
          <w:sz w:val="18"/>
        </w:rPr>
        <w:t>O texto da atual Constituição, relativamente aos vereadores, refere à inviolabilidade no exercício do mandato e na circunscrição do Município. Há necessidade, portanto, de se verificar a existência do nexo entre o mandato e as manifestações que ele faça na câmara municipal, ou fora dela, observados os limites do Município. No caso, esses requisitos foram atendidos. As manifestações do paciente visavam proteger o mandato parlamentar e a sua própria honra. Utilizou-se, para tanto, de instrumentos condizentes com o tipo de acusação e denunciação que lhe foram feitas pelo delegado de Polícia. Fico</w:t>
      </w:r>
    </w:p>
    <w:p>
      <w:pPr>
        <w:ind w:left="288"/>
      </w:pPr>
      <w:r>
        <w:rPr>
          <w:b/>
          <w:color w:val="003CA0"/>
          <w:sz w:val="16"/>
        </w:rPr>
        <w:t>[HC 81.730, rel. min. Nelson Jobim, j. 18-6-2002, 2ª T, DJ de 1º-8-2003.]</w:t>
      </w:r>
    </w:p>
    <w:p>
      <w:pPr>
        <w:ind w:left="288"/>
      </w:pPr>
      <w:r>
        <w:rPr>
          <w:color w:val="8C8C8C"/>
          <w:sz w:val="12"/>
        </w:rPr>
        <w:t>cf-art-29-inc-VIII</w:t>
      </w:r>
    </w:p>
    <w:p>
      <w:pPr>
        <w:ind w:left="288"/>
      </w:pPr>
      <w:r>
        <w:rPr>
          <w:color w:val="1E1E1E"/>
          <w:sz w:val="18"/>
        </w:rPr>
        <w:t>IX - proibições e incompatibilidades, no exercício da vereança, similares, no que couber, ao disposto nesta Constituição para os membros do Congresso Nacional e na Constituição do respectivo Estado para os membros da Assembleia Legislativa; (Renumerado do inciso VII, pela EC 1/1992)</w:t>
      </w:r>
    </w:p>
    <w:p>
      <w:pPr>
        <w:ind w:left="144"/>
      </w:pPr>
      <w:r>
        <w:rPr>
          <w:b/>
          <w:color w:val="B45A00"/>
          <w:sz w:val="16"/>
        </w:rPr>
        <w:t>CONTROLE CONCENTRADO</w:t>
      </w:r>
    </w:p>
    <w:p>
      <w:pPr>
        <w:ind w:left="288"/>
      </w:pPr>
      <w:r>
        <w:rPr>
          <w:color w:val="8C8C8C"/>
          <w:sz w:val="12"/>
        </w:rPr>
        <w:t>cf-art-29-inc-VIII</w:t>
      </w:r>
      <w:r>
        <w:rPr>
          <w:color w:val="003CA0"/>
          <w:sz w:val="12"/>
        </w:rPr>
        <w:t xml:space="preserve"> | ADI 1.531</w:t>
      </w:r>
      <w:r>
        <w:rPr>
          <w:color w:val="003CA0"/>
          <w:sz w:val="12"/>
        </w:rPr>
        <w:t xml:space="preserve"> | rel. Gilmar Mendes</w:t>
      </w:r>
    </w:p>
    <w:p>
      <w:pPr>
        <w:ind w:left="288"/>
      </w:pPr>
      <w:r>
        <w:rPr>
          <w:color w:val="1E1E1E"/>
          <w:sz w:val="18"/>
        </w:rPr>
        <w:t>Afastamento das atividades notariais e de registro em virtude de diplomação em mandato eletivo. Pretensão de que seja conferida interpretação conforme à Constituição ao dispositivo para que se admita o exercício do mandato de vereador municipal. Impossibilidade. (...) Previsão, por meio de lei federal, da incompatibilidade do exercício simultâneo da atividade estatal de notários e registradores, exercida por meio de delegação, com a atividade legiferante. Possibilidade.</w:t>
      </w:r>
    </w:p>
    <w:p>
      <w:pPr>
        <w:ind w:left="288"/>
      </w:pPr>
      <w:r>
        <w:rPr>
          <w:b/>
          <w:color w:val="003CA0"/>
          <w:sz w:val="16"/>
        </w:rPr>
        <w:t>[ADI 1.531, rel. min. Gilmar Mendes, j. 3-10-2019, P, DJE de 20-3-2020.]</w:t>
      </w:r>
    </w:p>
    <w:p>
      <w:pPr>
        <w:ind w:left="144"/>
      </w:pPr>
      <w:r>
        <w:rPr>
          <w:b/>
          <w:color w:val="B45A00"/>
          <w:sz w:val="16"/>
        </w:rPr>
        <w:t>JULGADOS CORRELATOS</w:t>
      </w:r>
    </w:p>
    <w:p>
      <w:pPr>
        <w:ind w:left="288"/>
      </w:pPr>
      <w:r>
        <w:rPr>
          <w:color w:val="8C8C8C"/>
          <w:sz w:val="12"/>
        </w:rPr>
        <w:t>cf-art-29-inc-VIII</w:t>
      </w:r>
      <w:r>
        <w:rPr>
          <w:color w:val="003CA0"/>
          <w:sz w:val="12"/>
        </w:rPr>
        <w:t xml:space="preserve"> | RE 497.554</w:t>
      </w:r>
      <w:r>
        <w:rPr>
          <w:color w:val="003CA0"/>
          <w:sz w:val="12"/>
        </w:rPr>
        <w:t xml:space="preserve"> | rel. Ricardo Lewandowski</w:t>
      </w:r>
    </w:p>
    <w:p>
      <w:pPr>
        <w:ind w:left="288"/>
      </w:pPr>
      <w:r>
        <w:rPr>
          <w:color w:val="1E1E1E"/>
          <w:sz w:val="18"/>
        </w:rPr>
        <w:t>Em virtude do disposto no art. 29, IX, da Constituição, a lei orgânica municipal deve guardar, no que couber, correspondência com o modelo federal acerca das proibições e incompatibilidades dos vereadores. Impossibilidade de acumulação dos cargos e da remuneração de vereador e de secretário municipal. Interpretação sistemática dos arts. 36, 54 e 56 da CF.</w:t>
      </w:r>
    </w:p>
    <w:p>
      <w:pPr>
        <w:ind w:left="288"/>
      </w:pPr>
      <w:r>
        <w:rPr>
          <w:b/>
          <w:color w:val="003CA0"/>
          <w:sz w:val="16"/>
        </w:rPr>
        <w:t>[RE 497.554, rel. min. Ricardo Lewandowski, j. 27-4-2010, 1ª T, DJE de 14-5-2010.]</w:t>
      </w:r>
    </w:p>
    <w:p>
      <w:pPr>
        <w:ind w:left="144"/>
      </w:pPr>
      <w:r>
        <w:rPr>
          <w:b/>
          <w:color w:val="B45A00"/>
          <w:sz w:val="16"/>
        </w:rPr>
        <w:t>SUMULA</w:t>
      </w:r>
    </w:p>
    <w:p>
      <w:pPr>
        <w:ind w:left="288"/>
      </w:pPr>
      <w:r>
        <w:rPr>
          <w:color w:val="8C8C8C"/>
          <w:sz w:val="12"/>
        </w:rPr>
        <w:t>cf-art-29-inc-X</w:t>
      </w:r>
    </w:p>
    <w:p>
      <w:pPr>
        <w:ind w:left="288"/>
      </w:pPr>
      <w:r>
        <w:rPr>
          <w:color w:val="1E1E1E"/>
          <w:sz w:val="18"/>
        </w:rPr>
        <w:t>A extinção do mandato do prefeito não impede a instauração de processo pela prática dos crimes previstos no art. 1º do DL 201/1967.</w:t>
      </w:r>
    </w:p>
    <w:p>
      <w:pPr>
        <w:ind w:left="288"/>
      </w:pPr>
      <w:r>
        <w:rPr>
          <w:b/>
          <w:color w:val="003CA0"/>
          <w:sz w:val="16"/>
        </w:rPr>
        <w:t>[Súmula 703.]</w:t>
      </w:r>
    </w:p>
    <w:p>
      <w:pPr>
        <w:ind w:left="288"/>
      </w:pPr>
      <w:r>
        <w:rPr>
          <w:color w:val="8C8C8C"/>
          <w:sz w:val="12"/>
        </w:rPr>
        <w:t>cf-art-29-inc-X</w:t>
      </w:r>
    </w:p>
    <w:p>
      <w:pPr>
        <w:ind w:left="288"/>
      </w:pPr>
      <w:r>
        <w:rPr>
          <w:color w:val="1E1E1E"/>
          <w:sz w:val="18"/>
        </w:rPr>
        <w:t>A competência do tribunal de justiça para julgar prefeitos restringe-se aos crimes de competência da Justiça comum estadual; nos demais casos, a competência originária caberá ao respectivo tribunal de segundo grau.</w:t>
      </w:r>
    </w:p>
    <w:p>
      <w:pPr>
        <w:ind w:left="288"/>
      </w:pPr>
      <w:r>
        <w:rPr>
          <w:b/>
          <w:color w:val="003CA0"/>
          <w:sz w:val="16"/>
        </w:rPr>
        <w:t>[Súmula 702.]</w:t>
      </w:r>
    </w:p>
    <w:p>
      <w:pPr>
        <w:ind w:left="144"/>
      </w:pPr>
      <w:r>
        <w:rPr>
          <w:b/>
          <w:color w:val="B45A00"/>
          <w:sz w:val="16"/>
        </w:rPr>
        <w:t>CONTROLE CONCENTRADO</w:t>
      </w:r>
    </w:p>
    <w:p>
      <w:pPr>
        <w:ind w:left="288"/>
      </w:pPr>
      <w:r>
        <w:rPr>
          <w:color w:val="8C8C8C"/>
          <w:sz w:val="12"/>
        </w:rPr>
        <w:t>cf-art-29-inc-X</w:t>
      </w:r>
      <w:r>
        <w:rPr>
          <w:color w:val="003CA0"/>
          <w:sz w:val="12"/>
        </w:rPr>
        <w:t xml:space="preserve"> | ADI 3.915</w:t>
      </w:r>
      <w:r>
        <w:rPr>
          <w:color w:val="003CA0"/>
          <w:sz w:val="12"/>
        </w:rPr>
        <w:t xml:space="preserve"> | rel. Alexandre de Moraes</w:t>
      </w:r>
    </w:p>
    <w:p>
      <w:pPr>
        <w:ind w:left="288"/>
      </w:pPr>
      <w:r>
        <w:rPr>
          <w:color w:val="1E1E1E"/>
          <w:sz w:val="18"/>
        </w:rPr>
        <w:t>Uma vez atribuída aos tribunais de justiça a competência para o julgamento dos prefeitos pela prática de crimes comuns, aí incluídos os crimes de responsabilidade impróprios (art. 1º do DL 201/1967), incumbe a essas Cortes definir, em seus respectivos regimentos, o órgão interno responsável pela instrução e julgamento dessas ações.</w:t>
      </w:r>
    </w:p>
    <w:p>
      <w:pPr>
        <w:ind w:left="288"/>
      </w:pPr>
      <w:r>
        <w:rPr>
          <w:b/>
          <w:color w:val="003CA0"/>
          <w:sz w:val="16"/>
        </w:rPr>
        <w:t>[ADI 3.915, rel. min. Alexandre de Moraes, j. 20-6-2018, P, DJE de 28-6-2018.]</w:t>
      </w:r>
    </w:p>
    <w:p>
      <w:pPr>
        <w:ind w:left="288"/>
      </w:pPr>
      <w:r>
        <w:rPr>
          <w:color w:val="8C8C8C"/>
          <w:sz w:val="12"/>
        </w:rPr>
        <w:t>cf-art-29-inc-X</w:t>
      </w:r>
      <w:r>
        <w:rPr>
          <w:color w:val="003CA0"/>
          <w:sz w:val="12"/>
        </w:rPr>
        <w:t xml:space="preserve"> | ADI 2.797</w:t>
      </w:r>
      <w:r>
        <w:rPr>
          <w:color w:val="003CA0"/>
          <w:sz w:val="12"/>
        </w:rPr>
        <w:t xml:space="preserve"> | rel. Sepúlveda Pertence</w:t>
      </w:r>
    </w:p>
    <w:p>
      <w:pPr>
        <w:ind w:left="288"/>
      </w:pPr>
      <w:r>
        <w:rPr>
          <w:color w:val="1E1E1E"/>
          <w:sz w:val="18"/>
        </w:rPr>
        <w:t>Foro especial por prerrogativa de função: extensão, no tempo, ao momento posterior à cessação da investidura na função dele determinante. Súmula 394/STF (cancelamento pelo STF). (...) Quanto aos tribunais locais, a CF – salvo as hipóteses dos seus arts. 29, X, e 96, III – reservou explicitamente às Constituições dos Estados-membros a definição da competência dos seus tribunais, o que afasta a possibilidade de ser ela alterada por lei federal ordinária.</w:t>
      </w:r>
    </w:p>
    <w:p>
      <w:pPr>
        <w:ind w:left="288"/>
      </w:pPr>
      <w:r>
        <w:rPr>
          <w:b/>
          <w:color w:val="003CA0"/>
          <w:sz w:val="16"/>
        </w:rPr>
        <w:t>[ADI 2.797 e ADI 2.860, rel. min. Sepúlveda Pertence, j. 15-9-2005, P, DJ de 19-12-2006.]</w:t>
      </w:r>
    </w:p>
    <w:p>
      <w:pPr>
        <w:ind w:left="288"/>
      </w:pPr>
      <w:r>
        <w:rPr>
          <w:color w:val="8C8C8C"/>
          <w:sz w:val="12"/>
        </w:rPr>
        <w:t>cf-art-29-inc-X</w:t>
      </w:r>
      <w:r>
        <w:rPr>
          <w:color w:val="003CA0"/>
          <w:sz w:val="12"/>
        </w:rPr>
        <w:t xml:space="preserve"> | ADI 687</w:t>
      </w:r>
      <w:r>
        <w:rPr>
          <w:color w:val="003CA0"/>
          <w:sz w:val="12"/>
        </w:rPr>
        <w:t xml:space="preserve"> | rel. Celso de Mello</w:t>
      </w:r>
    </w:p>
    <w:p>
      <w:pPr>
        <w:ind w:left="288"/>
      </w:pPr>
      <w:r>
        <w:rPr>
          <w:color w:val="1E1E1E"/>
          <w:sz w:val="18"/>
        </w:rPr>
        <w:t xml:space="preserve">Compete, exclusivamente, à câmara de vereadores, processar e julgar o prefeito municipal nas infrações político-administrativas, assim definidas em legislação emanada da União Federal, podendo impor, ao chefe do Executivo local, observada a garantia constitucional do due process of law, a sanção de cassação de seu mandato eletivo. (...) O tribunal de justiça do Estado, ressalvadas as hipóteses que se incluem na esfera de atribuições jurisdicionais da Justiça Federal comum, da Justiça Militar da União e da Justiça Eleitoral, dispõe de competência originária para processar e julgar os prefeitos </w:t>
      </w:r>
    </w:p>
    <w:p>
      <w:pPr>
        <w:ind w:left="288"/>
      </w:pPr>
      <w:r>
        <w:rPr>
          <w:b/>
          <w:color w:val="003CA0"/>
          <w:sz w:val="16"/>
        </w:rPr>
        <w:t>[ADI 687, rel. min. Celso de Mello, j. 2-2-1995, P, DJ de 10-2-2006.]</w:t>
      </w:r>
    </w:p>
    <w:p>
      <w:pPr>
        <w:ind w:left="144"/>
      </w:pPr>
      <w:r>
        <w:rPr>
          <w:b/>
          <w:color w:val="B45A00"/>
          <w:sz w:val="16"/>
        </w:rPr>
        <w:t>JULGADOS CORRELATOS</w:t>
      </w:r>
    </w:p>
    <w:p>
      <w:pPr>
        <w:ind w:left="288"/>
      </w:pPr>
      <w:r>
        <w:rPr>
          <w:color w:val="8C8C8C"/>
          <w:sz w:val="12"/>
        </w:rPr>
        <w:t>cf-art-29-inc-X</w:t>
      </w:r>
      <w:r>
        <w:rPr>
          <w:color w:val="003CA0"/>
          <w:sz w:val="12"/>
        </w:rPr>
        <w:t xml:space="preserve"> | RCL 3.021</w:t>
      </w:r>
      <w:r>
        <w:rPr>
          <w:color w:val="003CA0"/>
          <w:sz w:val="12"/>
        </w:rPr>
        <w:t xml:space="preserve"> | rel. Cezar Peluso</w:t>
      </w:r>
    </w:p>
    <w:p>
      <w:pPr>
        <w:ind w:left="288"/>
      </w:pPr>
      <w:r>
        <w:rPr>
          <w:color w:val="1E1E1E"/>
          <w:sz w:val="18"/>
        </w:rPr>
        <w:t>A cessação do mandato eletivo, no curso do processo de ação de improbidade administrativa, implica perda automática da chamada prerrogativa de foro e deslocamento da causa ao juízo de primeiro grau, ainda que o fato que deu causa à demanda haja ocorrido durante o exercício da função pública.</w:t>
      </w:r>
    </w:p>
    <w:p>
      <w:pPr>
        <w:ind w:left="288"/>
      </w:pPr>
      <w:r>
        <w:rPr>
          <w:b/>
          <w:color w:val="003CA0"/>
          <w:sz w:val="16"/>
        </w:rPr>
        <w:t>[Rcl 3.021 AgR, rel. min. Cezar Peluso, j. 3-12-2008, P, DJE de 6-2-2009.]</w:t>
      </w:r>
    </w:p>
    <w:p>
      <w:pPr>
        <w:ind w:left="288"/>
      </w:pPr>
      <w:r>
        <w:rPr>
          <w:color w:val="8C8C8C"/>
          <w:sz w:val="12"/>
        </w:rPr>
        <w:t>cf-art-29-inc-X</w:t>
      </w:r>
      <w:r>
        <w:rPr>
          <w:color w:val="003CA0"/>
          <w:sz w:val="12"/>
        </w:rPr>
        <w:t xml:space="preserve"> | HC 88.536</w:t>
      </w:r>
      <w:r>
        <w:rPr>
          <w:color w:val="003CA0"/>
          <w:sz w:val="12"/>
        </w:rPr>
        <w:t xml:space="preserve"> | rel. Marco Aurélio</w:t>
      </w:r>
    </w:p>
    <w:p>
      <w:pPr>
        <w:ind w:left="288"/>
      </w:pPr>
      <w:r>
        <w:rPr>
          <w:color w:val="1E1E1E"/>
          <w:sz w:val="18"/>
        </w:rPr>
        <w:t>Competência. Ação penal. Ex-prefeito. Prerrogativa de foro. A prerrogativa de foro, prevista em norma a encerrar direito estrito, visa a beneficiar não a pessoa, mas o cargo ocupado. Cessado o exercício, tem-se o envolvimento, no caso, de cidadão que se submete às normas gerais.</w:t>
      </w:r>
    </w:p>
    <w:p>
      <w:pPr>
        <w:ind w:left="288"/>
      </w:pPr>
      <w:r>
        <w:rPr>
          <w:b/>
          <w:color w:val="003CA0"/>
          <w:sz w:val="16"/>
        </w:rPr>
        <w:t>[HC 88.536, rel. min. Marco Aurélio, j. 25-9-2007, 1ª T, DJE de 15-2-2008.]</w:t>
      </w:r>
    </w:p>
    <w:p>
      <w:pPr>
        <w:ind w:left="288"/>
      </w:pPr>
      <w:r>
        <w:rPr>
          <w:color w:val="8C8C8C"/>
          <w:sz w:val="12"/>
        </w:rPr>
        <w:t>cf-art-29-inc-X</w:t>
      </w:r>
      <w:r>
        <w:rPr>
          <w:color w:val="003CA0"/>
          <w:sz w:val="12"/>
        </w:rPr>
        <w:t xml:space="preserve"> | RHC 80.919</w:t>
      </w:r>
      <w:r>
        <w:rPr>
          <w:color w:val="003CA0"/>
          <w:sz w:val="12"/>
        </w:rPr>
        <w:t xml:space="preserve"> | rel. Nelson Jobim</w:t>
      </w:r>
    </w:p>
    <w:p>
      <w:pPr>
        <w:ind w:left="288"/>
      </w:pPr>
      <w:r>
        <w:rPr>
          <w:color w:val="1E1E1E"/>
          <w:sz w:val="18"/>
        </w:rPr>
        <w:t>No ordenamento jurídico brasileiro não existe a garantia do duplo grau de jurisdição. A Constituição concede aos prefeitos foro especial por prerrogativa de função. Determina que sejam julgados originariamente pelo tribunal de justiça.</w:t>
      </w:r>
    </w:p>
    <w:p>
      <w:pPr>
        <w:ind w:left="288"/>
      </w:pPr>
      <w:r>
        <w:rPr>
          <w:b/>
          <w:color w:val="003CA0"/>
          <w:sz w:val="16"/>
        </w:rPr>
        <w:t>[RHC 80.919, rel. min. Nelson Jobim, j. 12-6-2001, 2ª T, DJ de 14-9-2001.]</w:t>
      </w:r>
    </w:p>
    <w:p>
      <w:pPr>
        <w:ind w:left="288"/>
      </w:pPr>
      <w:r>
        <w:rPr>
          <w:color w:val="8C8C8C"/>
          <w:sz w:val="12"/>
        </w:rPr>
        <w:t>cf-art-29-inc-X</w:t>
      </w:r>
      <w:r>
        <w:rPr>
          <w:color w:val="003CA0"/>
          <w:sz w:val="12"/>
        </w:rPr>
        <w:t xml:space="preserve"> | HC 73.232</w:t>
      </w:r>
      <w:r>
        <w:rPr>
          <w:color w:val="003CA0"/>
          <w:sz w:val="12"/>
        </w:rPr>
        <w:t xml:space="preserve"> | rel. Maurício Corrêa</w:t>
      </w:r>
    </w:p>
    <w:p>
      <w:pPr>
        <w:ind w:left="288"/>
      </w:pPr>
      <w:r>
        <w:rPr>
          <w:color w:val="1E1E1E"/>
          <w:sz w:val="18"/>
        </w:rPr>
        <w:t>Cabe, exclusivamente, ao regimento interno do tribunal de justiça atribuir competência ao pleno, ou ao órgão especial, ou a órgão fracionário, para processar e julgar prefeitos municipais (CF, art. 29, X, e art. 96, I, a).</w:t>
      </w:r>
    </w:p>
    <w:p>
      <w:pPr>
        <w:ind w:left="288"/>
      </w:pPr>
      <w:r>
        <w:rPr>
          <w:b/>
          <w:color w:val="003CA0"/>
          <w:sz w:val="16"/>
        </w:rPr>
        <w:t>[HC 73.232, rel. min. Maurício Corrêa, j. 12-3-1996, 2ª T, DJ de 3-5-1996.]</w:t>
      </w:r>
    </w:p>
    <w:p>
      <w:pPr>
        <w:ind w:left="288"/>
      </w:pPr>
      <w:r>
        <w:rPr>
          <w:color w:val="8C8C8C"/>
          <w:sz w:val="12"/>
        </w:rPr>
        <w:t>cf-art-29-inc-X</w:t>
      </w:r>
      <w:r>
        <w:rPr>
          <w:color w:val="003CA0"/>
          <w:sz w:val="12"/>
        </w:rPr>
        <w:t xml:space="preserve"> | HC 71.429</w:t>
      </w:r>
      <w:r>
        <w:rPr>
          <w:color w:val="003CA0"/>
          <w:sz w:val="12"/>
        </w:rPr>
        <w:t xml:space="preserve"> | rel. Celso de Mello; HC 72.476/SP</w:t>
      </w:r>
    </w:p>
    <w:p>
      <w:pPr>
        <w:ind w:left="288"/>
      </w:pPr>
      <w:r>
        <w:rPr>
          <w:color w:val="1E1E1E"/>
          <w:sz w:val="18"/>
        </w:rPr>
        <w:t>A norma de competência inscrita no art. 29, X, da Carta Política (com a renumeração dada pela EC 1/1992) tem aplicabilidade imediata, alcançando, desde logo, todos os processos penais condenatórios que, instaurados perante magistrados estaduais de primeira instância contra prefeitos ou ex-prefeitos municipais, achavam-se em curso no momento da vigência da nova Constituição, justificando-se, em consequência, o deslocamento dessas causas penais para o tribunal de justiça do Estado-membro. (...) Não são inconstitucionais as normas de organização judiciária vigentes no Estado de São Paulo, notadam</w:t>
      </w:r>
    </w:p>
    <w:p>
      <w:pPr>
        <w:ind w:left="288"/>
      </w:pPr>
      <w:r>
        <w:rPr>
          <w:b/>
          <w:color w:val="003CA0"/>
          <w:sz w:val="16"/>
        </w:rPr>
        <w:t>[HC 72.465, rel. min. Celso de Mello, j. 5-9-1995, 1ª T, DJ de 24-11-1995.]</w:t>
      </w:r>
    </w:p>
    <w:p>
      <w:pPr>
        <w:ind w:left="288"/>
      </w:pPr>
      <w:r>
        <w:rPr>
          <w:color w:val="8C8C8C"/>
          <w:sz w:val="12"/>
        </w:rPr>
        <w:t>cf-art-29-inc-XII</w:t>
      </w:r>
    </w:p>
    <w:p>
      <w:pPr>
        <w:ind w:left="288"/>
      </w:pPr>
      <w:r>
        <w:rPr>
          <w:color w:val="1E1E1E"/>
          <w:sz w:val="18"/>
        </w:rPr>
        <w:t>XIII - iniciativa popular de projetos de lei de interesse específico do Município, da cidade ou de bairros, através de manifestação de, pelo menos, cinco por cento do eleitorado; (Renumerado do inciso XI, pela EC 1/1992) XIV - perda do mandato do Prefeito, nos termos do art. 28, parágrafo único. (Renumerado do inciso XII, pela EC 1/1992)</w:t>
      </w:r>
    </w:p>
    <w:p>
      <w:pPr>
        <w:ind w:left="144"/>
      </w:pPr>
      <w:r>
        <w:rPr>
          <w:b/>
          <w:color w:val="B45A00"/>
          <w:sz w:val="16"/>
        </w:rPr>
        <w:t>CONTROLE CONCENTRADO</w:t>
      </w:r>
    </w:p>
    <w:p>
      <w:pPr>
        <w:ind w:left="288"/>
      </w:pPr>
      <w:r>
        <w:rPr>
          <w:color w:val="8C8C8C"/>
          <w:sz w:val="12"/>
        </w:rPr>
        <w:t>cf-art-29-inc-XII</w:t>
      </w:r>
      <w:r>
        <w:rPr>
          <w:color w:val="003CA0"/>
          <w:sz w:val="12"/>
        </w:rPr>
        <w:t xml:space="preserve"> | ADI 336</w:t>
      </w:r>
      <w:r>
        <w:rPr>
          <w:color w:val="003CA0"/>
          <w:sz w:val="12"/>
        </w:rPr>
        <w:t xml:space="preserve"> | rel. Eros Grau</w:t>
      </w:r>
    </w:p>
    <w:p>
      <w:pPr>
        <w:ind w:left="288"/>
      </w:pPr>
      <w:r>
        <w:rPr>
          <w:color w:val="1E1E1E"/>
          <w:sz w:val="18"/>
        </w:rPr>
        <w:t>O inciso XIV do art. 29 da Constituição do Brasil/1988 estabelece que as prescrições do art. 28 relativas à perda do mandato de governador aplicam-se ao prefeito, qualificando-se, assim, como preceito de reprodução obrigatória por parte dos Estados-membros e Municípios. Não é permitido a esses entes da Federação modificar ou ampliar esses critérios. Se a Constituição do Brasil não sanciona com a perda do cargo de governador ou o prefeito que assuma cargo público em virtude de concurso realizado após sua eleição, não podem fazê-los as Constituições estaduais.</w:t>
      </w:r>
    </w:p>
    <w:p>
      <w:pPr>
        <w:ind w:left="288"/>
      </w:pPr>
      <w:r>
        <w:rPr>
          <w:b/>
          <w:color w:val="003CA0"/>
          <w:sz w:val="16"/>
        </w:rPr>
        <w:t>[ADI 336, voto do rel. min. Eros Grau, j. 10-2-2010, P, DJE de 17-9-2010.]</w:t>
      </w:r>
    </w:p>
    <w:p>
      <w:pPr>
        <w:ind w:left="288"/>
      </w:pPr>
      <w:r>
        <w:rPr>
          <w:color w:val="8C8C8C"/>
          <w:sz w:val="12"/>
        </w:rPr>
        <w:t>cf-art-29-inc-XII</w:t>
      </w:r>
    </w:p>
    <w:p>
      <w:pPr>
        <w:ind w:left="288"/>
      </w:pPr>
      <w:r>
        <w:rPr>
          <w:color w:val="1E1E1E"/>
          <w:sz w:val="18"/>
        </w:rPr>
        <w:t>Art. 29-A. O total da despesa do Poder Legislativo Municipal, incluídos os subsídios dos Vereadores e os demais gastos com pessoal inativo e pensionistas, não poderá ultrapassar os seguintes percentuais, relativos ao somatório da receita tributária e das transferências previstas no § 5º do art. 153 e nos arts. 158 e 159 desta Constituição, efetivamente realizado no exercício anterior. (Redaçaõ dada pela EC n. 109/2021)</w:t>
      </w:r>
    </w:p>
    <w:p>
      <w:pPr>
        <w:ind w:left="144"/>
      </w:pPr>
      <w:r>
        <w:rPr>
          <w:b/>
          <w:color w:val="B45A00"/>
          <w:sz w:val="16"/>
        </w:rPr>
        <w:t>JULGADOS CORRELATOS</w:t>
      </w:r>
    </w:p>
    <w:p>
      <w:pPr>
        <w:ind w:left="288"/>
      </w:pPr>
      <w:r>
        <w:rPr>
          <w:color w:val="8C8C8C"/>
          <w:sz w:val="12"/>
        </w:rPr>
        <w:t>cf-art-29-par-2</w:t>
      </w:r>
      <w:r>
        <w:rPr>
          <w:color w:val="003CA0"/>
          <w:sz w:val="12"/>
        </w:rPr>
        <w:t xml:space="preserve"> | INQ 3.155</w:t>
      </w:r>
      <w:r>
        <w:rPr>
          <w:color w:val="003CA0"/>
          <w:sz w:val="12"/>
        </w:rPr>
        <w:t xml:space="preserve"> | rel. Cármen Lúcia</w:t>
      </w:r>
    </w:p>
    <w:p>
      <w:pPr>
        <w:ind w:left="288"/>
      </w:pPr>
      <w:r>
        <w:rPr>
          <w:color w:val="1E1E1E"/>
          <w:sz w:val="18"/>
        </w:rPr>
        <w:t>O art. 1º, XIV, segunda parte, do DL 201/1967 aperfeiçoa-se apenas quando a conduta assumir a forma dolosa, traduzida na vontade de não cumprir a ordem judicial e, embora não existam referências quanto ao elemento subjetivo explícito, é imprescindível que se identifique no comportamento omissivo o propósito de desobedecer e de frustrar a administração da Justiça. Tratando-se de crime cujo sujeito ativo é o prefeito, indispensável sua inequívoca ciência da determinação judicial, pois a mera comunicação da ordem a terceiros não é suficiente para atender às exigências legais. Não pode ser validad</w:t>
      </w:r>
    </w:p>
    <w:p>
      <w:pPr>
        <w:ind w:left="288"/>
      </w:pPr>
      <w:r>
        <w:rPr>
          <w:b/>
          <w:color w:val="003CA0"/>
          <w:sz w:val="16"/>
        </w:rPr>
        <w:t>[Inq 3.155, rel. min. Cármen Lúcia, j. 22-9-2011, P, DJE de 11-10-2011.]</w:t>
      </w:r>
    </w:p>
    <w:p>
      <w:pPr>
        <w:ind w:left="720"/>
      </w:pPr>
      <w:r>
        <w:rPr>
          <w:color w:val="003366"/>
          <w:sz w:val="18"/>
        </w:rPr>
        <w:t>I – eleição do Prefeito, do Vice-Prefeito e dos Vereadores, para mandato de quat</w:t>
      </w:r>
    </w:p>
    <w:p>
      <w:pPr>
        <w:ind w:left="720"/>
      </w:pPr>
      <w:r>
        <w:rPr>
          <w:color w:val="003366"/>
          <w:sz w:val="18"/>
        </w:rPr>
        <w:t>II – eleição do Prefeito e do Vice-Prefeito realizada no primeiro domingo de out</w:t>
      </w:r>
    </w:p>
    <w:p>
      <w:pPr>
        <w:ind w:left="720"/>
      </w:pPr>
      <w:r>
        <w:rPr>
          <w:color w:val="003366"/>
          <w:sz w:val="18"/>
        </w:rPr>
        <w:t>III – posse do Prefeito e do Vice-Prefeito no dia 1º de janeiro do ano subseqüen</w:t>
      </w:r>
    </w:p>
    <w:p>
      <w:pPr>
        <w:ind w:left="720"/>
      </w:pPr>
      <w:r>
        <w:rPr>
          <w:color w:val="003366"/>
          <w:sz w:val="18"/>
        </w:rPr>
        <w:t>IV – para a composição das Câmaras Municipais, será observado o limite máximo de</w:t>
      </w:r>
    </w:p>
    <w:p>
      <w:pPr>
        <w:ind w:left="1008"/>
      </w:pPr>
      <w:r>
        <w:rPr>
          <w:color w:val="003366"/>
          <w:sz w:val="18"/>
        </w:rPr>
        <w:t>a) 9 (nove) Vereadores, nos Municípios de até 15.000 (quinze mil) habitantes; (R</w:t>
      </w:r>
    </w:p>
    <w:p>
      <w:pPr>
        <w:ind w:left="1008"/>
      </w:pPr>
      <w:r>
        <w:rPr>
          <w:color w:val="003366"/>
          <w:sz w:val="18"/>
        </w:rPr>
        <w:t>b) 11 (onze) Vereadores, nos Municípios de mais de 15.000 (quinze mil) habitante</w:t>
      </w:r>
    </w:p>
    <w:p>
      <w:pPr>
        <w:ind w:left="1008"/>
      </w:pPr>
      <w:r>
        <w:rPr>
          <w:color w:val="003366"/>
          <w:sz w:val="18"/>
        </w:rPr>
        <w:t>c) 13 (treze) Vereadores, nos Municípios com mais de 30.000 (trinta mil) habitan</w:t>
      </w:r>
    </w:p>
    <w:p>
      <w:pPr>
        <w:ind w:left="1008"/>
      </w:pPr>
      <w:r>
        <w:rPr>
          <w:color w:val="003366"/>
          <w:sz w:val="18"/>
        </w:rPr>
        <w:t>d) 15 (quinze) Vereadores, nos Municípios de mais de 50.000 (cinquenta mil) habi</w:t>
      </w:r>
    </w:p>
    <w:p>
      <w:pPr>
        <w:ind w:left="1008"/>
      </w:pPr>
      <w:r>
        <w:rPr>
          <w:color w:val="003366"/>
          <w:sz w:val="18"/>
        </w:rPr>
        <w:t>e) 17 (dezessete) Vereadores, nos Municípios de mais de 80.000 (oitenta mil) hab</w:t>
      </w:r>
    </w:p>
    <w:p>
      <w:pPr>
        <w:ind w:left="1008"/>
      </w:pPr>
      <w:r>
        <w:rPr>
          <w:color w:val="003366"/>
          <w:sz w:val="18"/>
        </w:rPr>
        <w:t>f) 19 (dezenove) Vereadores, nos Municípios de mais de 120.000 (cento e vinte mi</w:t>
      </w:r>
    </w:p>
    <w:p>
      <w:pPr>
        <w:ind w:left="1008"/>
      </w:pPr>
      <w:r>
        <w:rPr>
          <w:color w:val="003366"/>
          <w:sz w:val="18"/>
        </w:rPr>
        <w:t>g) 21 (vinte e um) Vereadores, nos Municípios de mais de 160.000 (cento e sessen</w:t>
      </w:r>
    </w:p>
    <w:p>
      <w:pPr>
        <w:ind w:left="1008"/>
      </w:pPr>
      <w:r>
        <w:rPr>
          <w:color w:val="003366"/>
          <w:sz w:val="18"/>
        </w:rPr>
        <w:t>h) 23 (vinte e três) Vereadores, nos Municípios de mais de 300.000 (trezentos mi</w:t>
      </w:r>
    </w:p>
    <w:p>
      <w:pPr>
        <w:ind w:left="1008"/>
      </w:pPr>
      <w:r>
        <w:rPr>
          <w:color w:val="003366"/>
          <w:sz w:val="18"/>
        </w:rPr>
        <w:t>i) 25 (vinte e cinco) Vereadores, nos Municípios de mais de 450.000 (quatrocento</w:t>
      </w:r>
    </w:p>
    <w:p>
      <w:pPr>
        <w:ind w:left="1008"/>
      </w:pPr>
      <w:r>
        <w:rPr>
          <w:color w:val="003366"/>
          <w:sz w:val="18"/>
        </w:rPr>
        <w:t>j) 27 (vinte e sete) Vereadores, nos Municípios de mais de 600.000 (seiscentos m</w:t>
      </w:r>
    </w:p>
    <w:p>
      <w:pPr>
        <w:ind w:left="1008"/>
      </w:pPr>
      <w:r>
        <w:rPr>
          <w:color w:val="003366"/>
          <w:sz w:val="18"/>
        </w:rPr>
        <w:t>k) 29 (vinte e nove) Vereadores, nos Municípios de mais de 750.000 (setecentos e</w:t>
      </w:r>
    </w:p>
    <w:p>
      <w:pPr>
        <w:ind w:left="1008"/>
      </w:pPr>
      <w:r>
        <w:rPr>
          <w:color w:val="003366"/>
          <w:sz w:val="18"/>
        </w:rPr>
        <w:t>l) 31 (trinta e um) Vereadores, nos Municípios de mais de 900.000 (novecentos mi</w:t>
      </w:r>
    </w:p>
    <w:p>
      <w:pPr>
        <w:ind w:left="1008"/>
      </w:pPr>
      <w:r>
        <w:rPr>
          <w:color w:val="003366"/>
          <w:sz w:val="18"/>
        </w:rPr>
        <w:t>m) 33 (trinta e três) Vereadores, nos Municípios de mais de 1.050.000 (um milhão</w:t>
      </w:r>
    </w:p>
    <w:p>
      <w:pPr>
        <w:ind w:left="1008"/>
      </w:pPr>
      <w:r>
        <w:rPr>
          <w:color w:val="003366"/>
          <w:sz w:val="18"/>
        </w:rPr>
        <w:t>n) 35 (trinta e cinco) Vereadores, nos Municípios de mais de 1.200.000 (um milhã</w:t>
      </w:r>
    </w:p>
    <w:p>
      <w:pPr>
        <w:ind w:left="1008"/>
      </w:pPr>
      <w:r>
        <w:rPr>
          <w:color w:val="003366"/>
          <w:sz w:val="18"/>
        </w:rPr>
        <w:t>o) 37 (trinta e sete) Vereadores, nos Municípios de 1.350.000 (um milhão e treze</w:t>
      </w:r>
    </w:p>
    <w:p>
      <w:pPr>
        <w:ind w:left="1008"/>
      </w:pPr>
      <w:r>
        <w:rPr>
          <w:color w:val="003366"/>
          <w:sz w:val="18"/>
        </w:rPr>
        <w:t>p) 39 (trinta e nove) Vereadores, nos Municípios de mais de 1.500.000 (um milhão</w:t>
      </w:r>
    </w:p>
    <w:p>
      <w:pPr>
        <w:ind w:left="1008"/>
      </w:pPr>
      <w:r>
        <w:rPr>
          <w:color w:val="003366"/>
          <w:sz w:val="18"/>
        </w:rPr>
        <w:t>q) 41 (quarenta e um) Vereadores, nos Municípios de mais de 1.800.000 (um milhão</w:t>
      </w:r>
    </w:p>
    <w:p>
      <w:pPr>
        <w:ind w:left="1008"/>
      </w:pPr>
      <w:r>
        <w:rPr>
          <w:color w:val="003366"/>
          <w:sz w:val="18"/>
        </w:rPr>
        <w:t>r) 43 (quarenta e três) Vereadores, nos Municípios de mais de 2.400.000 (dois mi</w:t>
      </w:r>
    </w:p>
    <w:p>
      <w:pPr>
        <w:ind w:left="1008"/>
      </w:pPr>
      <w:r>
        <w:rPr>
          <w:color w:val="003366"/>
          <w:sz w:val="18"/>
        </w:rPr>
        <w:t>s) 45 (quarenta e cinco) Vereadores, nos Municípios de mais de 3.000.000 (três m</w:t>
      </w:r>
    </w:p>
    <w:p>
      <w:pPr>
        <w:ind w:left="1008"/>
      </w:pPr>
      <w:r>
        <w:rPr>
          <w:color w:val="003366"/>
          <w:sz w:val="18"/>
        </w:rPr>
        <w:t xml:space="preserve">t) 47 (quarenta e sete) Vereadores, nos Municípios de mais de 4.000.000 (quatro </w:t>
      </w:r>
    </w:p>
    <w:p>
      <w:pPr>
        <w:ind w:left="1008"/>
      </w:pPr>
      <w:r>
        <w:rPr>
          <w:color w:val="003366"/>
          <w:sz w:val="18"/>
        </w:rPr>
        <w:t>u) 49 (quarenta e nove) Vereadores, nos Municípios de mais de 5.000.000 (cinco m</w:t>
      </w:r>
    </w:p>
    <w:p>
      <w:pPr>
        <w:ind w:left="1008"/>
      </w:pPr>
      <w:r>
        <w:rPr>
          <w:color w:val="003366"/>
          <w:sz w:val="18"/>
        </w:rPr>
        <w:t>v) 51 (cinquenta e um) Vereadores, nos Municípios de mais de 6.000.000 (seis mil</w:t>
      </w:r>
    </w:p>
    <w:p>
      <w:pPr>
        <w:ind w:left="1008"/>
      </w:pPr>
      <w:r>
        <w:rPr>
          <w:color w:val="003366"/>
          <w:sz w:val="18"/>
        </w:rPr>
        <w:t>w) 53 (cinquenta e três) Vereadores, nos Municípios de mais de 7.000.000 (sete m</w:t>
      </w:r>
    </w:p>
    <w:p>
      <w:pPr>
        <w:ind w:left="1008"/>
      </w:pPr>
      <w:r>
        <w:rPr>
          <w:color w:val="003366"/>
          <w:sz w:val="18"/>
        </w:rPr>
        <w:t xml:space="preserve">x) 55 (cinquenta e cinco) Vereadores, nos Municípios de mais de 8.000.000 (oito </w:t>
      </w:r>
    </w:p>
    <w:p>
      <w:pPr>
        <w:ind w:left="720"/>
      </w:pPr>
      <w:r>
        <w:rPr>
          <w:color w:val="003366"/>
          <w:sz w:val="18"/>
        </w:rPr>
        <w:t>V – subsídios do Prefeito, do Vice-Prefeito e dos Secretários Municipais fixados</w:t>
      </w:r>
    </w:p>
    <w:p>
      <w:pPr>
        <w:ind w:left="720"/>
      </w:pPr>
      <w:r>
        <w:rPr>
          <w:color w:val="003366"/>
          <w:sz w:val="18"/>
        </w:rPr>
        <w:t xml:space="preserve">VI – o subsídio dos Vereadores será fixado pelas respectivas Câmaras Municipais </w:t>
      </w:r>
    </w:p>
    <w:p>
      <w:pPr>
        <w:ind w:left="1008"/>
      </w:pPr>
      <w:r>
        <w:rPr>
          <w:color w:val="003366"/>
          <w:sz w:val="18"/>
        </w:rPr>
        <w:t>a) em Municípios de até dez mil habitantes, o subsídio máximo dos Vereadores cor</w:t>
      </w:r>
    </w:p>
    <w:p>
      <w:pPr>
        <w:ind w:left="1008"/>
      </w:pPr>
      <w:r>
        <w:rPr>
          <w:color w:val="003366"/>
          <w:sz w:val="18"/>
        </w:rPr>
        <w:t>b) em Municípios de dez mil e um a cinqüenta mil habitantes, o subsídio máximo d</w:t>
      </w:r>
    </w:p>
    <w:p>
      <w:pPr>
        <w:ind w:left="1008"/>
      </w:pPr>
      <w:r>
        <w:rPr>
          <w:color w:val="003366"/>
          <w:sz w:val="18"/>
        </w:rPr>
        <w:t>c) em Municípios de cinqüenta mil e um a cem mil habitantes, o subsídio máximo d</w:t>
      </w:r>
    </w:p>
    <w:p>
      <w:pPr>
        <w:ind w:left="1008"/>
      </w:pPr>
      <w:r>
        <w:rPr>
          <w:color w:val="003366"/>
          <w:sz w:val="18"/>
        </w:rPr>
        <w:t>d) em Municípios de cem mil e um a trezentos mil habitantes, o subsídio máximo d</w:t>
      </w:r>
    </w:p>
    <w:p>
      <w:pPr>
        <w:ind w:left="1008"/>
      </w:pPr>
      <w:r>
        <w:rPr>
          <w:color w:val="003366"/>
          <w:sz w:val="18"/>
        </w:rPr>
        <w:t>e) em Municípios de trezentos mil e um a quinhentos mil habitantes, o subsídio m</w:t>
      </w:r>
    </w:p>
    <w:p>
      <w:pPr>
        <w:ind w:left="1008"/>
      </w:pPr>
      <w:r>
        <w:rPr>
          <w:color w:val="003366"/>
          <w:sz w:val="18"/>
        </w:rPr>
        <w:t>f) em Municípios de mais de quinhentos mil habitantes, o subsídio máximo dos Ver</w:t>
      </w:r>
    </w:p>
    <w:p>
      <w:pPr>
        <w:ind w:left="720"/>
      </w:pPr>
      <w:r>
        <w:rPr>
          <w:color w:val="003366"/>
          <w:sz w:val="18"/>
        </w:rPr>
        <w:t>VII – o total da despesa com a remuneração dos Vereadores não poderá ultrapassar</w:t>
      </w:r>
    </w:p>
    <w:p>
      <w:pPr>
        <w:ind w:left="720"/>
      </w:pPr>
      <w:r>
        <w:rPr>
          <w:color w:val="003366"/>
          <w:sz w:val="18"/>
        </w:rPr>
        <w:t>VIII – inviolabilidade dos Vereadores por suas opiniões, palavras e votos no exe</w:t>
      </w:r>
    </w:p>
    <w:p>
      <w:pPr>
        <w:ind w:left="720"/>
      </w:pPr>
      <w:r>
        <w:rPr>
          <w:color w:val="003366"/>
          <w:sz w:val="18"/>
        </w:rPr>
        <w:t>IX – proibições e incompatibilidades, no exercício da vereança, similares, no qu</w:t>
      </w:r>
    </w:p>
    <w:p>
      <w:pPr>
        <w:ind w:left="720"/>
      </w:pPr>
      <w:r>
        <w:rPr>
          <w:color w:val="003366"/>
          <w:sz w:val="18"/>
        </w:rPr>
        <w:t xml:space="preserve">X – julgamento do Prefeito perante o Tribunal de Justiça; (Renumerado do inciso </w:t>
      </w:r>
    </w:p>
    <w:p>
      <w:pPr>
        <w:ind w:left="720"/>
      </w:pPr>
      <w:r>
        <w:rPr>
          <w:color w:val="003366"/>
          <w:sz w:val="18"/>
        </w:rPr>
        <w:t xml:space="preserve">XI – organização das funções legislativas e fiscalizadoras da Câmara Municipal; </w:t>
      </w:r>
    </w:p>
    <w:p>
      <w:pPr>
        <w:ind w:left="720"/>
      </w:pPr>
      <w:r>
        <w:rPr>
          <w:color w:val="003366"/>
          <w:sz w:val="18"/>
        </w:rPr>
        <w:t>XII – cooperação das associações representativas no planejamento municipal; (Ren</w:t>
      </w:r>
    </w:p>
    <w:p>
      <w:pPr>
        <w:ind w:left="720"/>
      </w:pPr>
      <w:r>
        <w:rPr>
          <w:color w:val="003366"/>
          <w:sz w:val="18"/>
        </w:rPr>
        <w:t>XIII – iniciativa popular de projetos de lei de interesse específico do Municípi</w:t>
      </w:r>
    </w:p>
    <w:p>
      <w:r>
        <w:rPr>
          <w:b/>
          <w:color w:val="003366"/>
          <w:sz w:val="20"/>
        </w:rPr>
        <w:t>Art. 29 A. O total da despesa do Poder Legislativo Municipal, incluídos os subsí</w:t>
      </w:r>
      <w:r>
        <w:rPr>
          <w:color w:val="8C8C8C"/>
          <w:sz w:val="14"/>
        </w:rPr>
        <w:t xml:space="preserve">  [36 decisoes]</w:t>
      </w:r>
    </w:p>
    <w:p>
      <w:pPr>
        <w:ind w:left="144"/>
      </w:pPr>
      <w:r>
        <w:rPr>
          <w:b/>
          <w:color w:val="B45A00"/>
          <w:sz w:val="16"/>
        </w:rPr>
        <w:t>CONTROLE CONCENTRADO</w:t>
      </w:r>
    </w:p>
    <w:p>
      <w:pPr>
        <w:ind w:left="288"/>
      </w:pPr>
      <w:r>
        <w:rPr>
          <w:color w:val="8C8C8C"/>
          <w:sz w:val="12"/>
        </w:rPr>
        <w:t>cf-art-29</w:t>
      </w:r>
      <w:r>
        <w:rPr>
          <w:color w:val="003CA0"/>
          <w:sz w:val="12"/>
        </w:rPr>
        <w:t xml:space="preserve"> | ADI 3.549</w:t>
      </w:r>
      <w:r>
        <w:rPr>
          <w:color w:val="003CA0"/>
          <w:sz w:val="12"/>
        </w:rPr>
        <w:t xml:space="preserve"> | rel. Cármen Lúcia</w:t>
      </w:r>
    </w:p>
    <w:p>
      <w:pPr>
        <w:ind w:left="288"/>
      </w:pPr>
      <w:r>
        <w:rPr>
          <w:color w:val="1E1E1E"/>
          <w:sz w:val="18"/>
        </w:rPr>
        <w:t>Dupla vacância dos cargos de prefeito e vice-prefeito. Competência legislativa municipal. Domínio normativo da lei orgânica. (...) A vocação sucessória dos cargos de prefeito e vice-prefeito põe-se no âmbito da autonomia política local, em caso de dupla vacância. Ao disciplinar matéria, cuja competência é exclusiva dos Municípios, o art. 75, § 2º, da Constituição de Goiás fere a autonomia desses entes, mitigando-lhes a capacidade de auto-organização e de autogoverno e limitando a sua autonomia política assegurada pela Constituição brasileira.</w:t>
      </w:r>
    </w:p>
    <w:p>
      <w:pPr>
        <w:ind w:left="288"/>
      </w:pPr>
      <w:r>
        <w:rPr>
          <w:b/>
          <w:color w:val="003CA0"/>
          <w:sz w:val="16"/>
        </w:rPr>
        <w:t>[ADI 3.549, rel. min. Cármen Lúcia, j. 17-9-2007, P, DJ de 31-10-2007.]</w:t>
      </w:r>
    </w:p>
    <w:p>
      <w:pPr>
        <w:ind w:left="288"/>
      </w:pPr>
      <w:r>
        <w:rPr>
          <w:color w:val="8C8C8C"/>
          <w:sz w:val="12"/>
        </w:rPr>
        <w:t>cf-art-29</w:t>
      </w:r>
      <w:r>
        <w:rPr>
          <w:color w:val="003CA0"/>
          <w:sz w:val="12"/>
        </w:rPr>
        <w:t xml:space="preserve"> | ADI 2.112</w:t>
      </w:r>
      <w:r>
        <w:rPr>
          <w:color w:val="003CA0"/>
          <w:sz w:val="12"/>
        </w:rPr>
        <w:t xml:space="preserve"> | rel. Sepúlveda Pertence</w:t>
      </w:r>
    </w:p>
    <w:p>
      <w:pPr>
        <w:ind w:left="288"/>
      </w:pPr>
      <w:r>
        <w:rPr>
          <w:color w:val="1E1E1E"/>
          <w:sz w:val="18"/>
        </w:rPr>
        <w:t>Dar alcance irrestrito à alusão, no art. 29, caput, CF, à observância devida pelas leis orgânicas municipais aos princípios estabelecidos na Constituição do Estado, traduz condenável misoneísmo constitucional, que faz abstração de dois dados novos e incontornáveis do trato do Município da Lei Fundamental de 1988: explicitar o seu caráter de "entidade infraestatal rígida" e, em consequência, outorgar-lhe o poder de auto-organização, substantivado, no art. 29, pelo de votar a própria lei orgânica. É mais que bastante ao juízo liminar sobre o pedido cautelar a aparente evidência de que em tudo qu</w:t>
      </w:r>
    </w:p>
    <w:p>
      <w:pPr>
        <w:ind w:left="288"/>
      </w:pPr>
      <w:r>
        <w:rPr>
          <w:b/>
          <w:color w:val="003CA0"/>
          <w:sz w:val="16"/>
        </w:rPr>
        <w:t>[ADI 2.112 MC, rel. min. Sepúlveda Pertence, j. 11-5-2000, P, DJ de 18-5-2001.]</w:t>
      </w:r>
    </w:p>
    <w:p>
      <w:pPr>
        <w:ind w:left="288"/>
      </w:pPr>
      <w:r>
        <w:rPr>
          <w:color w:val="8C8C8C"/>
          <w:sz w:val="12"/>
        </w:rPr>
        <w:t>cf-art-29-inc-I</w:t>
      </w:r>
    </w:p>
    <w:p>
      <w:pPr>
        <w:ind w:left="288"/>
      </w:pPr>
      <w:r>
        <w:rPr>
          <w:color w:val="1E1E1E"/>
          <w:sz w:val="18"/>
        </w:rPr>
        <w:t>II - eleição do Prefeito e do Vice-Prefeito realizada no primeiro domingo de outubro do ano anterior ao término do mandato dos que devam suceder, aplicadas as regras do art. 77, no caso de Municípios com mais de duzentos mil eleitores; (Redação da EC 16/1997)</w:t>
      </w:r>
    </w:p>
    <w:p>
      <w:pPr>
        <w:ind w:left="288"/>
      </w:pPr>
      <w:r>
        <w:rPr>
          <w:color w:val="8C8C8C"/>
          <w:sz w:val="12"/>
        </w:rPr>
        <w:t>cf-art-29-inc-I</w:t>
      </w:r>
      <w:r>
        <w:rPr>
          <w:color w:val="003CA0"/>
          <w:sz w:val="12"/>
        </w:rPr>
        <w:t xml:space="preserve"> | ADI 5.619</w:t>
      </w:r>
      <w:r>
        <w:rPr>
          <w:color w:val="003CA0"/>
          <w:sz w:val="12"/>
        </w:rPr>
        <w:t xml:space="preserve"> | rel. Roberto Barroso</w:t>
      </w:r>
    </w:p>
    <w:p>
      <w:pPr>
        <w:ind w:left="288"/>
      </w:pPr>
      <w:r>
        <w:rPr>
          <w:color w:val="1E1E1E"/>
          <w:sz w:val="18"/>
        </w:rPr>
        <w:t>É constitucional legislação federal que estabeleça novas eleições para os cargos majoritários simples – isto é, Prefeitos de Municípios com menos de duzentos mil eleitores e Senadores da República – em casos de vacância por causas eleitorais.</w:t>
        <w:br/>
        <w:t>[ADI 5.619, rel. min. Roberto Barroso, j. 8-3-2018, P, DJE de 7-8-2018.]</w:t>
      </w:r>
    </w:p>
    <w:p>
      <w:pPr>
        <w:ind w:left="288"/>
      </w:pPr>
      <w:r>
        <w:rPr>
          <w:color w:val="8C8C8C"/>
          <w:sz w:val="12"/>
        </w:rPr>
        <w:t>cf-art-29-inc-IV</w:t>
      </w:r>
      <w:r>
        <w:rPr>
          <w:color w:val="003CA0"/>
          <w:sz w:val="12"/>
        </w:rPr>
        <w:t xml:space="preserve"> | ADI 3.042</w:t>
      </w:r>
      <w:r>
        <w:rPr>
          <w:color w:val="003CA0"/>
          <w:sz w:val="12"/>
        </w:rPr>
        <w:t xml:space="preserve"> | rel. Gilmar Mendes</w:t>
      </w:r>
    </w:p>
    <w:p>
      <w:pPr>
        <w:ind w:left="288"/>
      </w:pPr>
      <w:r>
        <w:rPr>
          <w:color w:val="1E1E1E"/>
          <w:sz w:val="18"/>
        </w:rPr>
        <w:t>Fixação, pela Constituição estadual, do número máximo de vereadores proporcionalmente à população dos Municípios do Estado do Paraná. Previsão de limite diverso do determinado na Constituição Federal. Violação ao art. 29, IV, da Constituição Federal.</w:t>
      </w:r>
    </w:p>
    <w:p>
      <w:pPr>
        <w:ind w:left="288"/>
      </w:pPr>
      <w:r>
        <w:rPr>
          <w:b/>
          <w:color w:val="003CA0"/>
          <w:sz w:val="16"/>
        </w:rPr>
        <w:t>[ADI 3.042, rel. min. Gilmar Mendes, j. 16-9-2020, P, DJE de 5-10-2020.]</w:t>
      </w:r>
    </w:p>
    <w:p>
      <w:pPr>
        <w:ind w:left="288"/>
      </w:pPr>
      <w:r>
        <w:rPr>
          <w:color w:val="8C8C8C"/>
          <w:sz w:val="12"/>
        </w:rPr>
        <w:t>cf-art-29-inc-IV</w:t>
      </w:r>
      <w:r>
        <w:rPr>
          <w:color w:val="003CA0"/>
          <w:sz w:val="12"/>
        </w:rPr>
        <w:t xml:space="preserve"> | ADI 4.307</w:t>
      </w:r>
      <w:r>
        <w:rPr>
          <w:color w:val="003CA0"/>
          <w:sz w:val="12"/>
        </w:rPr>
        <w:t xml:space="preserve"> | rel. Cármen Lúcia</w:t>
      </w:r>
    </w:p>
    <w:p>
      <w:pPr>
        <w:ind w:left="288"/>
      </w:pPr>
      <w:r>
        <w:rPr>
          <w:color w:val="1E1E1E"/>
          <w:sz w:val="18"/>
        </w:rPr>
        <w:t>EC 58/2009. (...) Norma que determina a retroação dos efeitos de regras constitucionais de composição das câmaras municipais em pleito ocorrido e encerrado: afronta à garantia do exercício da cidadania popular (arts. 1º, parágrafo único, e 14 da Constituição) e a segurança jurídica. Os eleitos foram diplomados pela Justiça Eleitoral até 18-12-2009 e tomaram posse em 2009. Posse de suplentes para legislatura em curso, em relação a eleição finda e acabada, descumpre o princípio democrático da soberania popular. Impossibilidade de compatibilizar a posse do suplente: não eleito pelo sufrágio secre</w:t>
      </w:r>
    </w:p>
    <w:p>
      <w:pPr>
        <w:ind w:left="288"/>
      </w:pPr>
      <w:r>
        <w:rPr>
          <w:b/>
          <w:color w:val="003CA0"/>
          <w:sz w:val="16"/>
        </w:rPr>
        <w:t>[ADI 4.307, rel. min. Cármen Lúcia, j. 11-4-2013, P, DJE de 1º-10-2013.]</w:t>
      </w:r>
    </w:p>
    <w:p>
      <w:pPr>
        <w:ind w:left="144"/>
      </w:pPr>
      <w:r>
        <w:rPr>
          <w:b/>
          <w:color w:val="B45A00"/>
          <w:sz w:val="16"/>
        </w:rPr>
        <w:t>JULGADOS CORRELATOS</w:t>
      </w:r>
    </w:p>
    <w:p>
      <w:pPr>
        <w:ind w:left="288"/>
      </w:pPr>
      <w:r>
        <w:rPr>
          <w:color w:val="8C8C8C"/>
          <w:sz w:val="12"/>
        </w:rPr>
        <w:t>cf-art-29-inc-IV</w:t>
      </w:r>
      <w:r>
        <w:rPr>
          <w:color w:val="003CA0"/>
          <w:sz w:val="12"/>
        </w:rPr>
        <w:t xml:space="preserve"> | RE 881.422</w:t>
      </w:r>
      <w:r>
        <w:rPr>
          <w:color w:val="003CA0"/>
          <w:sz w:val="12"/>
        </w:rPr>
        <w:t xml:space="preserve"> | rel. Dias Toffoli</w:t>
      </w:r>
    </w:p>
    <w:p>
      <w:pPr>
        <w:ind w:left="288"/>
      </w:pPr>
      <w:r>
        <w:rPr>
          <w:color w:val="1E1E1E"/>
          <w:sz w:val="18"/>
        </w:rPr>
        <w:t>O art. 29, IV, da CF de 1988, em sua redação original, estabelecia três faixas populacionais para nortear as quantidades máximas e mínimas de vereadores em cada Município, devendo esse, atendendo ao princípio da proporcionalidade, estabelecer o quantitativo suficiente ao atendimento das demandas locais. A amplitude elastecida do espaço de decisão legislativa quanto ao número de vereadores permitiu distorções no sistema, levando o Congresso Nacional a editar a EC 58, de 23 de setembro de 2009, que conferiu nova redação para o art. 29, IV, da CF/1988, ampliando de 3 para 25 as faixas populaciona</w:t>
      </w:r>
    </w:p>
    <w:p>
      <w:pPr>
        <w:ind w:left="288"/>
      </w:pPr>
      <w:r>
        <w:rPr>
          <w:color w:val="8C8C8C"/>
          <w:sz w:val="12"/>
        </w:rPr>
        <w:t>cf-art-29-inc-IV-ali-a</w:t>
      </w:r>
      <w:r>
        <w:rPr>
          <w:color w:val="003CA0"/>
          <w:sz w:val="12"/>
        </w:rPr>
        <w:t xml:space="preserve"> | RE 197.917</w:t>
      </w:r>
      <w:r>
        <w:rPr>
          <w:color w:val="003CA0"/>
          <w:sz w:val="12"/>
        </w:rPr>
        <w:t xml:space="preserve"> | rel. Gilmar Mendes</w:t>
      </w:r>
    </w:p>
    <w:p>
      <w:pPr>
        <w:ind w:left="288"/>
      </w:pPr>
      <w:r>
        <w:rPr>
          <w:color w:val="1E1E1E"/>
          <w:sz w:val="18"/>
        </w:rPr>
        <w:t>Ação cautelar inominada. Efeito suspensivo a recurso extraordinário. Decisão monocrática concessiva. Referendum do Plenário. Número de vereadores. Art. 29, IV, da CF. Precedente: RE 197.917/SP, Maurício Corrêa, sessão plenária de 24-3-2004.</w:t>
      </w:r>
    </w:p>
    <w:p>
      <w:pPr>
        <w:ind w:left="288"/>
      </w:pPr>
      <w:r>
        <w:rPr>
          <w:b/>
          <w:color w:val="003CA0"/>
          <w:sz w:val="16"/>
        </w:rPr>
        <w:t>[AC 189 MC-QO, rel. min. Gilmar Mendes, j. 9-6-2004, DJ de 27-8-2004.]</w:t>
      </w:r>
    </w:p>
    <w:p>
      <w:pPr>
        <w:ind w:left="288"/>
      </w:pPr>
      <w:r>
        <w:rPr>
          <w:color w:val="8C8C8C"/>
          <w:sz w:val="12"/>
        </w:rPr>
        <w:t>cf-art-29-inc-IV-ali-c</w:t>
      </w:r>
      <w:r>
        <w:rPr>
          <w:color w:val="003CA0"/>
          <w:sz w:val="12"/>
        </w:rPr>
        <w:t xml:space="preserve"> | ARE 1.462.344</w:t>
      </w:r>
      <w:r>
        <w:rPr>
          <w:color w:val="003CA0"/>
          <w:sz w:val="12"/>
        </w:rPr>
        <w:t xml:space="preserve"> | rel. Gilmar Mendes</w:t>
      </w:r>
    </w:p>
    <w:p>
      <w:pPr>
        <w:ind w:left="288"/>
      </w:pPr>
      <w:r>
        <w:rPr>
          <w:color w:val="1E1E1E"/>
          <w:sz w:val="18"/>
        </w:rPr>
        <w:t>V - subsídios do Prefeito, do Vice-Prefeito e dos Secretários Municipais fixados por lei de iniciativa da Câmara Municipal, observado o que dispõem os arts. 37, XI, 39, § 4º, 150, II, 153, III, e 153, § 2º, I; (Redação da EC 19/1998) O acórdão recorrido está em consonância com a jurisprudência do Supremo Tribunal Federal, que exige a fixação dos subsídios de agentes políticos municipais antes da eleição da legislatura subsequente, em respeito ao princípio da anterioridade e da moralidade administrativa. Nos termos do art. 29, V, e da jurisprudência desta Corte, o subsídio de Prefeitos, Vice-Pr</w:t>
      </w:r>
    </w:p>
    <w:p>
      <w:pPr>
        <w:ind w:left="288"/>
      </w:pPr>
      <w:r>
        <w:rPr>
          <w:b/>
          <w:color w:val="003CA0"/>
          <w:sz w:val="16"/>
        </w:rPr>
        <w:t>[ARE 1.462.344, rel. min. Gilmar Mendes, j. 27.10.2025, P, DJE de 03.11.2025.]</w:t>
      </w:r>
    </w:p>
    <w:p>
      <w:pPr>
        <w:ind w:left="288"/>
      </w:pPr>
      <w:r>
        <w:rPr>
          <w:color w:val="8C8C8C"/>
          <w:sz w:val="12"/>
        </w:rPr>
        <w:t>cf-art-29-inc-IV-ali-c</w:t>
      </w:r>
      <w:r>
        <w:rPr>
          <w:color w:val="003CA0"/>
          <w:sz w:val="12"/>
        </w:rPr>
        <w:t xml:space="preserve"> | RE 434.278</w:t>
      </w:r>
      <w:r>
        <w:rPr>
          <w:color w:val="003CA0"/>
          <w:sz w:val="12"/>
        </w:rPr>
        <w:t xml:space="preserve"> | rel. Marco Aurélio</w:t>
      </w:r>
    </w:p>
    <w:p>
      <w:pPr>
        <w:ind w:left="288"/>
      </w:pPr>
      <w:r>
        <w:rPr>
          <w:color w:val="1E1E1E"/>
          <w:sz w:val="18"/>
        </w:rPr>
        <w:t>Os subsídios do prefeito e do vice-prefeito devem ser fixados, de forma clara e invariável, mediante lei de iniciativa da câmara municipal. Não cabe a tomada de empréstimo do que percebido, em termos de remuneração – gênero –, por integrante da assembleia legislativa. Inteligência do disposto no art. 29, V, da CF.</w:t>
      </w:r>
    </w:p>
    <w:p>
      <w:pPr>
        <w:ind w:left="288"/>
      </w:pPr>
      <w:r>
        <w:rPr>
          <w:b/>
          <w:color w:val="003CA0"/>
          <w:sz w:val="16"/>
        </w:rPr>
        <w:t>[RE 434.278, rel. min. Marco Aurélio, j. 12-6-2012, 1ª T, DJE de 28-6-2012.]</w:t>
      </w:r>
    </w:p>
    <w:p>
      <w:pPr>
        <w:ind w:left="288"/>
      </w:pPr>
      <w:r>
        <w:rPr>
          <w:color w:val="8C8C8C"/>
          <w:sz w:val="12"/>
        </w:rPr>
        <w:t>cf-art-29-inc-IV-ali-c</w:t>
      </w:r>
      <w:r>
        <w:rPr>
          <w:color w:val="003CA0"/>
          <w:sz w:val="12"/>
        </w:rPr>
        <w:t xml:space="preserve"> | RE 204.889</w:t>
      </w:r>
      <w:r>
        <w:rPr>
          <w:color w:val="003CA0"/>
          <w:sz w:val="12"/>
        </w:rPr>
        <w:t xml:space="preserve"> | rel. Menezes Direito</w:t>
      </w:r>
    </w:p>
    <w:p>
      <w:pPr>
        <w:ind w:left="288"/>
      </w:pPr>
      <w:r>
        <w:rPr>
          <w:color w:val="1E1E1E"/>
          <w:sz w:val="18"/>
        </w:rPr>
        <w:t>Já assentou a Suprema Corte que a norma do art. 29, V, da CF é autoaplicável. O subsídio do prefeito é fixado pela Câmara Municipal até o final da legislatura para vigorar na subsequente.</w:t>
      </w:r>
    </w:p>
    <w:p>
      <w:pPr>
        <w:ind w:left="288"/>
      </w:pPr>
      <w:r>
        <w:rPr>
          <w:b/>
          <w:color w:val="003CA0"/>
          <w:sz w:val="16"/>
        </w:rPr>
        <w:t>[RE 204.889, rel. min. Menezes Direito, j. 26-2-2008, 1ª T, DJE de 16-5-2008.]</w:t>
      </w:r>
    </w:p>
    <w:p>
      <w:pPr>
        <w:ind w:left="288"/>
      </w:pPr>
      <w:r>
        <w:rPr>
          <w:color w:val="8C8C8C"/>
          <w:sz w:val="12"/>
        </w:rPr>
        <w:t>cf-art-29-inc-IV-ali-c</w:t>
      </w:r>
      <w:r>
        <w:rPr>
          <w:color w:val="003CA0"/>
          <w:sz w:val="12"/>
        </w:rPr>
        <w:t xml:space="preserve"> | AI 843.758</w:t>
      </w:r>
      <w:r>
        <w:rPr>
          <w:color w:val="003CA0"/>
          <w:sz w:val="12"/>
        </w:rPr>
        <w:t xml:space="preserve"> | rel. Gilmar Mendes</w:t>
      </w:r>
    </w:p>
    <w:p>
      <w:pPr>
        <w:ind w:left="288"/>
      </w:pPr>
      <w:r>
        <w:rPr>
          <w:color w:val="1E1E1E"/>
          <w:sz w:val="18"/>
        </w:rPr>
        <w:t>= AI 843.758 AgR, rel. min. Gilmar Mendes, j. 28-2-2012, 2ª T, DJE de 13-3-2012 Não pode o vice-prefeito acumular a remuneração decorrente de emprego em empresa pública estadual com a representação estabelecida para o exercício do mandato eletivo (CF, art. 29, V). (...) O que a Constituição excepcionou, no art. 38, III, no âmbito municipal, foi apenas a situação do vereador, ao possibilitar-lhe, se servidor público, no exercício do mandato, perceber as vantagens de seu cargo, emprego ou função, sem prejuízo da remuneração do cargo eletivo, quando houver compatibilidade de horários; se não se c</w:t>
      </w:r>
    </w:p>
    <w:p>
      <w:pPr>
        <w:ind w:left="288"/>
      </w:pPr>
      <w:r>
        <w:rPr>
          <w:b/>
          <w:color w:val="003CA0"/>
          <w:sz w:val="16"/>
        </w:rPr>
        <w:t>[RE 140.269, rel. min. Néri da Silveira, j. 1º-10-1996, 2ª T, DJ de 9-5-1997.]</w:t>
      </w:r>
    </w:p>
    <w:p>
      <w:pPr>
        <w:ind w:left="288"/>
      </w:pPr>
      <w:r>
        <w:rPr>
          <w:color w:val="8C8C8C"/>
          <w:sz w:val="12"/>
        </w:rPr>
        <w:t>cf-art-29-inc-IV-ali-c</w:t>
      </w:r>
      <w:r>
        <w:rPr>
          <w:color w:val="003CA0"/>
          <w:sz w:val="12"/>
        </w:rPr>
        <w:t xml:space="preserve"> | ARE 659.543</w:t>
      </w:r>
      <w:r>
        <w:rPr>
          <w:color w:val="003CA0"/>
          <w:sz w:val="12"/>
        </w:rPr>
        <w:t xml:space="preserve"> | rel. Cármen Lúcia</w:t>
      </w:r>
    </w:p>
    <w:p>
      <w:pPr>
        <w:ind w:left="288"/>
      </w:pPr>
      <w:r>
        <w:rPr>
          <w:color w:val="1E1E1E"/>
          <w:sz w:val="18"/>
        </w:rPr>
        <w:t>= ARE 659.543 AgR, rel. min. Cármen Lúcia, j. 30-10-2012, 2ª T, DJE de 20-11-2012 VI - o subsídio dos Vereadores será fixado pelas respectivas Câmaras Municipais em cada legislatura para a subsequente, observado o que dispõe esta Constituição, observados os critérios estabelecidos na respectiva Lei Orgânica e os seguintes limites máximos: (Redação da EC 25/2000)</w:t>
      </w:r>
    </w:p>
    <w:p>
      <w:pPr>
        <w:ind w:left="288"/>
      </w:pPr>
      <w:r>
        <w:rPr>
          <w:color w:val="8C8C8C"/>
          <w:sz w:val="12"/>
        </w:rPr>
        <w:t>cf-art-29-inc-IV-ali-c</w:t>
      </w:r>
      <w:r>
        <w:rPr>
          <w:color w:val="003CA0"/>
          <w:sz w:val="12"/>
        </w:rPr>
        <w:t xml:space="preserve"> | RE 494.253</w:t>
      </w:r>
      <w:r>
        <w:rPr>
          <w:color w:val="003CA0"/>
          <w:sz w:val="12"/>
        </w:rPr>
        <w:t xml:space="preserve"> | rel. Ellen Gracie</w:t>
      </w:r>
    </w:p>
    <w:p>
      <w:pPr>
        <w:ind w:left="288"/>
      </w:pPr>
      <w:r>
        <w:rPr>
          <w:color w:val="1E1E1E"/>
          <w:sz w:val="18"/>
        </w:rPr>
        <w:t>A fixação dos subsídios de vereadores é de competência exclusiva da Câmara Municipal, a qual deve respeitar as prescrições estabelecidas na Lei Orgânica Municipal, na Constituição do respectivo Estado, bem como na CF.</w:t>
      </w:r>
    </w:p>
    <w:p>
      <w:pPr>
        <w:ind w:left="288"/>
      </w:pPr>
      <w:r>
        <w:rPr>
          <w:b/>
          <w:color w:val="003CA0"/>
          <w:sz w:val="16"/>
        </w:rPr>
        <w:t>[RE 494.253 AgR, rel. min. Ellen Gracie, j. 22-2-2011, 2ª T, DJE de 15-3-2011.]</w:t>
      </w:r>
    </w:p>
    <w:p>
      <w:pPr>
        <w:ind w:left="144"/>
      </w:pPr>
      <w:r>
        <w:rPr>
          <w:b/>
          <w:color w:val="B45A00"/>
          <w:sz w:val="16"/>
        </w:rPr>
        <w:t>CONTROLE CONCENTRADO</w:t>
      </w:r>
    </w:p>
    <w:p>
      <w:pPr>
        <w:ind w:left="288"/>
      </w:pPr>
      <w:r>
        <w:rPr>
          <w:color w:val="8C8C8C"/>
          <w:sz w:val="12"/>
        </w:rPr>
        <w:t>cf-art-29-inc-VIII</w:t>
      </w:r>
      <w:r>
        <w:rPr>
          <w:color w:val="003CA0"/>
          <w:sz w:val="12"/>
        </w:rPr>
        <w:t xml:space="preserve"> | ADI 558</w:t>
      </w:r>
      <w:r>
        <w:rPr>
          <w:color w:val="003CA0"/>
          <w:sz w:val="12"/>
        </w:rPr>
        <w:t xml:space="preserve"> | rel. Cármen Lúcia</w:t>
      </w:r>
    </w:p>
    <w:p>
      <w:pPr>
        <w:ind w:left="288"/>
      </w:pPr>
      <w:r>
        <w:rPr>
          <w:color w:val="1E1E1E"/>
          <w:sz w:val="18"/>
        </w:rPr>
        <w:t>Os entes federados não dispõem de competência para ampliar as imunidades constitucionalmente previstas aos vereadores no inc. VIII do art. 29 da Constituição da República. É inconstitucional norma da Constituição do Rio de Janeiro que concede imunidades formais a autoridades municipais.</w:t>
      </w:r>
    </w:p>
    <w:p>
      <w:pPr>
        <w:ind w:left="288"/>
      </w:pPr>
      <w:r>
        <w:rPr>
          <w:b/>
          <w:color w:val="003CA0"/>
          <w:sz w:val="16"/>
        </w:rPr>
        <w:t>[ADI 558, rel. min. Cármen Lúcia, j. 19-4-2021, Plenário, DJE de 22-9-2021.]</w:t>
      </w:r>
    </w:p>
    <w:p>
      <w:pPr>
        <w:ind w:left="144"/>
      </w:pPr>
      <w:r>
        <w:rPr>
          <w:b/>
          <w:color w:val="B45A00"/>
          <w:sz w:val="16"/>
        </w:rPr>
        <w:t>REPERCUSSAO GERAL</w:t>
      </w:r>
    </w:p>
    <w:p>
      <w:pPr>
        <w:ind w:left="288"/>
      </w:pPr>
      <w:r>
        <w:rPr>
          <w:color w:val="8C8C8C"/>
          <w:sz w:val="12"/>
        </w:rPr>
        <w:t>cf-art-29-inc-VIII</w:t>
      </w:r>
      <w:r>
        <w:rPr>
          <w:color w:val="003CA0"/>
          <w:sz w:val="12"/>
        </w:rPr>
        <w:t xml:space="preserve"> | RE 600.063</w:t>
      </w:r>
    </w:p>
    <w:p>
      <w:pPr>
        <w:ind w:left="288"/>
      </w:pPr>
      <w:r>
        <w:rPr>
          <w:color w:val="1E1E1E"/>
          <w:sz w:val="18"/>
        </w:rPr>
        <w:t>(...) nos limites da circunscrição do Município e havendo pertinência com o exercício do mandato, os vereadores são imunes judicialmente por suas palavras, opiniões e votos.</w:t>
      </w:r>
    </w:p>
    <w:p>
      <w:pPr>
        <w:ind w:left="288"/>
      </w:pPr>
      <w:r>
        <w:rPr>
          <w:b/>
          <w:color w:val="003CA0"/>
          <w:sz w:val="16"/>
        </w:rPr>
        <w:t>[RE 600.063, red. do ac. min. Roberto Barroso, j. 25-2-2015, P, DJE de 15-5-2015, Tema 469, com mérito julgado.]</w:t>
      </w:r>
    </w:p>
    <w:p>
      <w:pPr>
        <w:ind w:left="144"/>
      </w:pPr>
      <w:r>
        <w:rPr>
          <w:b/>
          <w:color w:val="B45A00"/>
          <w:sz w:val="16"/>
        </w:rPr>
        <w:t>JULGADOS CORRELATOS</w:t>
      </w:r>
    </w:p>
    <w:p>
      <w:pPr>
        <w:ind w:left="288"/>
      </w:pPr>
      <w:r>
        <w:rPr>
          <w:color w:val="8C8C8C"/>
          <w:sz w:val="12"/>
        </w:rPr>
        <w:t>cf-art-29-inc-VIII</w:t>
      </w:r>
      <w:r>
        <w:rPr>
          <w:color w:val="003CA0"/>
          <w:sz w:val="12"/>
        </w:rPr>
        <w:t xml:space="preserve"> | ARE 1.421.633</w:t>
      </w:r>
      <w:r>
        <w:rPr>
          <w:color w:val="003CA0"/>
          <w:sz w:val="12"/>
        </w:rPr>
        <w:t xml:space="preserve"> | rel. Edson Fachin</w:t>
      </w:r>
    </w:p>
    <w:p>
      <w:pPr>
        <w:ind w:left="288"/>
      </w:pPr>
      <w:r>
        <w:rPr>
          <w:color w:val="1E1E1E"/>
          <w:sz w:val="18"/>
        </w:rPr>
        <w:t>Vereador. Imunidade parlamentar. Palavras proferidas na internet. (...) Nos dias atuais, caracterizados por avanços tecnológicos em que a internet se tornou um dos principais meios de comunicação entre os mandatários e o eleitor, não é mais possível restringir o exercício parlamentar do mandato aos estritos limites do recinto da Câmara Municipal.</w:t>
        <w:br/>
        <w:t>[ARE 1.421.633 AgR, rel. min. Edson Fachin, j. 3-5-2023, 1ª T, DJE de 9-5-2023.] Pensão especial a viúva de prefeito. Lei municipal de efeitos concretos. Validade. (...) Imunidade material de vereadores (CF, art. 29, VIII). Extensão quanto à responsab</w:t>
      </w:r>
    </w:p>
    <w:p>
      <w:pPr>
        <w:ind w:left="288"/>
      </w:pPr>
      <w:r>
        <w:rPr>
          <w:b/>
          <w:color w:val="003CA0"/>
          <w:sz w:val="16"/>
        </w:rPr>
        <w:t>[AI 631.276, rel. min. Celso de Mello, j. 1º-2-2011, dec. monocrática, DJE de 15-2-2011.]</w:t>
      </w:r>
    </w:p>
    <w:p>
      <w:pPr>
        <w:ind w:left="288"/>
      </w:pPr>
      <w:r>
        <w:rPr>
          <w:color w:val="8C8C8C"/>
          <w:sz w:val="12"/>
        </w:rPr>
        <w:t>cf-art-29-inc-VIII</w:t>
      </w:r>
      <w:r>
        <w:rPr>
          <w:color w:val="003CA0"/>
          <w:sz w:val="12"/>
        </w:rPr>
        <w:t xml:space="preserve"> | INQ 3.215</w:t>
      </w:r>
      <w:r>
        <w:rPr>
          <w:color w:val="003CA0"/>
          <w:sz w:val="12"/>
        </w:rPr>
        <w:t xml:space="preserve"> | rel. Dias Toffoli</w:t>
      </w:r>
    </w:p>
    <w:p>
      <w:pPr>
        <w:ind w:left="288"/>
      </w:pPr>
      <w:r>
        <w:rPr>
          <w:color w:val="1E1E1E"/>
          <w:sz w:val="18"/>
        </w:rPr>
        <w:t>= Inq 3.215, rel. min. Dias Toffoli, j. 4-4-2013, P, DJE de 25-9-2013 Condição de vereador que não garante ao paciente tratamento diferenciado relativamente aos demais corréus. Os edis, ao contrário do que ocorre com os membros do Congresso Nacional e os deputados estaduais, não gozam da denominada incoercibilidade pessoal relativa (freedom from arrest), ainda que algumas Constituições estaduais lhes assegurem prerrogativa de foro.</w:t>
      </w:r>
    </w:p>
    <w:p>
      <w:pPr>
        <w:ind w:left="288"/>
      </w:pPr>
      <w:r>
        <w:rPr>
          <w:b/>
          <w:color w:val="003CA0"/>
          <w:sz w:val="16"/>
        </w:rPr>
        <w:t>[HC 94.059, rel. min. Ricardo Lewandowski, j. 6-5-2008, 1ª T, DJE de 13-6-2008.]</w:t>
      </w:r>
    </w:p>
    <w:p>
      <w:pPr>
        <w:ind w:left="288"/>
      </w:pPr>
      <w:r>
        <w:rPr>
          <w:color w:val="8C8C8C"/>
          <w:sz w:val="12"/>
        </w:rPr>
        <w:t>cf-art-29-inc-VIII</w:t>
      </w:r>
      <w:r>
        <w:rPr>
          <w:color w:val="003CA0"/>
          <w:sz w:val="12"/>
        </w:rPr>
        <w:t xml:space="preserve"> | HC 81.730</w:t>
      </w:r>
      <w:r>
        <w:rPr>
          <w:color w:val="003CA0"/>
          <w:sz w:val="12"/>
        </w:rPr>
        <w:t xml:space="preserve"> | rel. Nelson Jobim</w:t>
      </w:r>
    </w:p>
    <w:p>
      <w:pPr>
        <w:ind w:left="288"/>
      </w:pPr>
      <w:r>
        <w:rPr>
          <w:color w:val="1E1E1E"/>
          <w:sz w:val="18"/>
        </w:rPr>
        <w:t>O texto da atual Constituição, relativamente aos vereadores, refere à inviolabilidade no exercício do mandato e na circunscrição do Município. Há necessidade, portanto, de se verificar a existência do nexo entre o mandato e as manifestações que ele faça na câmara municipal, ou fora dela, observados os limites do Município. No caso, esses requisitos foram atendidos. As manifestações do paciente visavam proteger o mandato parlamentar e a sua própria honra. Utilizou-se, para tanto, de instrumentos condizentes com o tipo de acusação e denunciação que lhe foram feitas pelo delegado de Polícia. Fico</w:t>
      </w:r>
    </w:p>
    <w:p>
      <w:pPr>
        <w:ind w:left="288"/>
      </w:pPr>
      <w:r>
        <w:rPr>
          <w:b/>
          <w:color w:val="003CA0"/>
          <w:sz w:val="16"/>
        </w:rPr>
        <w:t>[HC 81.730, rel. min. Nelson Jobim, j. 18-6-2002, 2ª T, DJ de 1º-8-2003.]</w:t>
      </w:r>
    </w:p>
    <w:p>
      <w:pPr>
        <w:ind w:left="288"/>
      </w:pPr>
      <w:r>
        <w:rPr>
          <w:color w:val="8C8C8C"/>
          <w:sz w:val="12"/>
        </w:rPr>
        <w:t>cf-art-29-inc-VIII</w:t>
      </w:r>
    </w:p>
    <w:p>
      <w:pPr>
        <w:ind w:left="288"/>
      </w:pPr>
      <w:r>
        <w:rPr>
          <w:color w:val="1E1E1E"/>
          <w:sz w:val="18"/>
        </w:rPr>
        <w:t>IX - proibições e incompatibilidades, no exercício da vereança, similares, no que couber, ao disposto nesta Constituição para os membros do Congresso Nacional e na Constituição do respectivo Estado para os membros da Assembleia Legislativa; (Renumerado do inciso VII, pela EC 1/1992)</w:t>
      </w:r>
    </w:p>
    <w:p>
      <w:pPr>
        <w:ind w:left="144"/>
      </w:pPr>
      <w:r>
        <w:rPr>
          <w:b/>
          <w:color w:val="B45A00"/>
          <w:sz w:val="16"/>
        </w:rPr>
        <w:t>CONTROLE CONCENTRADO</w:t>
      </w:r>
    </w:p>
    <w:p>
      <w:pPr>
        <w:ind w:left="288"/>
      </w:pPr>
      <w:r>
        <w:rPr>
          <w:color w:val="8C8C8C"/>
          <w:sz w:val="12"/>
        </w:rPr>
        <w:t>cf-art-29-inc-VIII</w:t>
      </w:r>
      <w:r>
        <w:rPr>
          <w:color w:val="003CA0"/>
          <w:sz w:val="12"/>
        </w:rPr>
        <w:t xml:space="preserve"> | ADI 1.531</w:t>
      </w:r>
      <w:r>
        <w:rPr>
          <w:color w:val="003CA0"/>
          <w:sz w:val="12"/>
        </w:rPr>
        <w:t xml:space="preserve"> | rel. Gilmar Mendes</w:t>
      </w:r>
    </w:p>
    <w:p>
      <w:pPr>
        <w:ind w:left="288"/>
      </w:pPr>
      <w:r>
        <w:rPr>
          <w:color w:val="1E1E1E"/>
          <w:sz w:val="18"/>
        </w:rPr>
        <w:t>Afastamento das atividades notariais e de registro em virtude de diplomação em mandato eletivo. Pretensão de que seja conferida interpretação conforme à Constituição ao dispositivo para que se admita o exercício do mandato de vereador municipal. Impossibilidade. (...) Previsão, por meio de lei federal, da incompatibilidade do exercício simultâneo da atividade estatal de notários e registradores, exercida por meio de delegação, com a atividade legiferante. Possibilidade.</w:t>
      </w:r>
    </w:p>
    <w:p>
      <w:pPr>
        <w:ind w:left="288"/>
      </w:pPr>
      <w:r>
        <w:rPr>
          <w:b/>
          <w:color w:val="003CA0"/>
          <w:sz w:val="16"/>
        </w:rPr>
        <w:t>[ADI 1.531, rel. min. Gilmar Mendes, j. 3-10-2019, P, DJE de 20-3-2020.]</w:t>
      </w:r>
    </w:p>
    <w:p>
      <w:pPr>
        <w:ind w:left="144"/>
      </w:pPr>
      <w:r>
        <w:rPr>
          <w:b/>
          <w:color w:val="B45A00"/>
          <w:sz w:val="16"/>
        </w:rPr>
        <w:t>JULGADOS CORRELATOS</w:t>
      </w:r>
    </w:p>
    <w:p>
      <w:pPr>
        <w:ind w:left="288"/>
      </w:pPr>
      <w:r>
        <w:rPr>
          <w:color w:val="8C8C8C"/>
          <w:sz w:val="12"/>
        </w:rPr>
        <w:t>cf-art-29-inc-VIII</w:t>
      </w:r>
      <w:r>
        <w:rPr>
          <w:color w:val="003CA0"/>
          <w:sz w:val="12"/>
        </w:rPr>
        <w:t xml:space="preserve"> | RE 497.554</w:t>
      </w:r>
      <w:r>
        <w:rPr>
          <w:color w:val="003CA0"/>
          <w:sz w:val="12"/>
        </w:rPr>
        <w:t xml:space="preserve"> | rel. Ricardo Lewandowski</w:t>
      </w:r>
    </w:p>
    <w:p>
      <w:pPr>
        <w:ind w:left="288"/>
      </w:pPr>
      <w:r>
        <w:rPr>
          <w:color w:val="1E1E1E"/>
          <w:sz w:val="18"/>
        </w:rPr>
        <w:t>Em virtude do disposto no art. 29, IX, da Constituição, a lei orgânica municipal deve guardar, no que couber, correspondência com o modelo federal acerca das proibições e incompatibilidades dos vereadores. Impossibilidade de acumulação dos cargos e da remuneração de vereador e de secretário municipal. Interpretação sistemática dos arts. 36, 54 e 56 da CF.</w:t>
      </w:r>
    </w:p>
    <w:p>
      <w:pPr>
        <w:ind w:left="288"/>
      </w:pPr>
      <w:r>
        <w:rPr>
          <w:b/>
          <w:color w:val="003CA0"/>
          <w:sz w:val="16"/>
        </w:rPr>
        <w:t>[RE 497.554, rel. min. Ricardo Lewandowski, j. 27-4-2010, 1ª T, DJE de 14-5-2010.]</w:t>
      </w:r>
    </w:p>
    <w:p>
      <w:pPr>
        <w:ind w:left="144"/>
      </w:pPr>
      <w:r>
        <w:rPr>
          <w:b/>
          <w:color w:val="B45A00"/>
          <w:sz w:val="16"/>
        </w:rPr>
        <w:t>SUMULA</w:t>
      </w:r>
    </w:p>
    <w:p>
      <w:pPr>
        <w:ind w:left="288"/>
      </w:pPr>
      <w:r>
        <w:rPr>
          <w:color w:val="8C8C8C"/>
          <w:sz w:val="12"/>
        </w:rPr>
        <w:t>cf-art-29-inc-X</w:t>
      </w:r>
    </w:p>
    <w:p>
      <w:pPr>
        <w:ind w:left="288"/>
      </w:pPr>
      <w:r>
        <w:rPr>
          <w:color w:val="1E1E1E"/>
          <w:sz w:val="18"/>
        </w:rPr>
        <w:t>A extinção do mandato do prefeito não impede a instauração de processo pela prática dos crimes previstos no art. 1º do DL 201/1967.</w:t>
      </w:r>
    </w:p>
    <w:p>
      <w:pPr>
        <w:ind w:left="288"/>
      </w:pPr>
      <w:r>
        <w:rPr>
          <w:b/>
          <w:color w:val="003CA0"/>
          <w:sz w:val="16"/>
        </w:rPr>
        <w:t>[Súmula 703.]</w:t>
      </w:r>
    </w:p>
    <w:p>
      <w:pPr>
        <w:ind w:left="288"/>
      </w:pPr>
      <w:r>
        <w:rPr>
          <w:color w:val="8C8C8C"/>
          <w:sz w:val="12"/>
        </w:rPr>
        <w:t>cf-art-29-inc-X</w:t>
      </w:r>
    </w:p>
    <w:p>
      <w:pPr>
        <w:ind w:left="288"/>
      </w:pPr>
      <w:r>
        <w:rPr>
          <w:color w:val="1E1E1E"/>
          <w:sz w:val="18"/>
        </w:rPr>
        <w:t>A competência do tribunal de justiça para julgar prefeitos restringe-se aos crimes de competência da Justiça comum estadual; nos demais casos, a competência originária caberá ao respectivo tribunal de segundo grau.</w:t>
      </w:r>
    </w:p>
    <w:p>
      <w:pPr>
        <w:ind w:left="288"/>
      </w:pPr>
      <w:r>
        <w:rPr>
          <w:b/>
          <w:color w:val="003CA0"/>
          <w:sz w:val="16"/>
        </w:rPr>
        <w:t>[Súmula 702.]</w:t>
      </w:r>
    </w:p>
    <w:p>
      <w:pPr>
        <w:ind w:left="144"/>
      </w:pPr>
      <w:r>
        <w:rPr>
          <w:b/>
          <w:color w:val="B45A00"/>
          <w:sz w:val="16"/>
        </w:rPr>
        <w:t>CONTROLE CONCENTRADO</w:t>
      </w:r>
    </w:p>
    <w:p>
      <w:pPr>
        <w:ind w:left="288"/>
      </w:pPr>
      <w:r>
        <w:rPr>
          <w:color w:val="8C8C8C"/>
          <w:sz w:val="12"/>
        </w:rPr>
        <w:t>cf-art-29-inc-X</w:t>
      </w:r>
      <w:r>
        <w:rPr>
          <w:color w:val="003CA0"/>
          <w:sz w:val="12"/>
        </w:rPr>
        <w:t xml:space="preserve"> | ADI 3.915</w:t>
      </w:r>
      <w:r>
        <w:rPr>
          <w:color w:val="003CA0"/>
          <w:sz w:val="12"/>
        </w:rPr>
        <w:t xml:space="preserve"> | rel. Alexandre de Moraes</w:t>
      </w:r>
    </w:p>
    <w:p>
      <w:pPr>
        <w:ind w:left="288"/>
      </w:pPr>
      <w:r>
        <w:rPr>
          <w:color w:val="1E1E1E"/>
          <w:sz w:val="18"/>
        </w:rPr>
        <w:t>Uma vez atribuída aos tribunais de justiça a competência para o julgamento dos prefeitos pela prática de crimes comuns, aí incluídos os crimes de responsabilidade impróprios (art. 1º do DL 201/1967), incumbe a essas Cortes definir, em seus respectivos regimentos, o órgão interno responsável pela instrução e julgamento dessas ações.</w:t>
      </w:r>
    </w:p>
    <w:p>
      <w:pPr>
        <w:ind w:left="288"/>
      </w:pPr>
      <w:r>
        <w:rPr>
          <w:b/>
          <w:color w:val="003CA0"/>
          <w:sz w:val="16"/>
        </w:rPr>
        <w:t>[ADI 3.915, rel. min. Alexandre de Moraes, j. 20-6-2018, P, DJE de 28-6-2018.]</w:t>
      </w:r>
    </w:p>
    <w:p>
      <w:pPr>
        <w:ind w:left="288"/>
      </w:pPr>
      <w:r>
        <w:rPr>
          <w:color w:val="8C8C8C"/>
          <w:sz w:val="12"/>
        </w:rPr>
        <w:t>cf-art-29-inc-X</w:t>
      </w:r>
      <w:r>
        <w:rPr>
          <w:color w:val="003CA0"/>
          <w:sz w:val="12"/>
        </w:rPr>
        <w:t xml:space="preserve"> | ADI 2.797</w:t>
      </w:r>
      <w:r>
        <w:rPr>
          <w:color w:val="003CA0"/>
          <w:sz w:val="12"/>
        </w:rPr>
        <w:t xml:space="preserve"> | rel. Sepúlveda Pertence</w:t>
      </w:r>
    </w:p>
    <w:p>
      <w:pPr>
        <w:ind w:left="288"/>
      </w:pPr>
      <w:r>
        <w:rPr>
          <w:color w:val="1E1E1E"/>
          <w:sz w:val="18"/>
        </w:rPr>
        <w:t>Foro especial por prerrogativa de função: extensão, no tempo, ao momento posterior à cessação da investidura na função dele determinante. Súmula 394/STF (cancelamento pelo STF). (...) Quanto aos tribunais locais, a CF – salvo as hipóteses dos seus arts. 29, X, e 96, III – reservou explicitamente às Constituições dos Estados-membros a definição da competência dos seus tribunais, o que afasta a possibilidade de ser ela alterada por lei federal ordinária.</w:t>
      </w:r>
    </w:p>
    <w:p>
      <w:pPr>
        <w:ind w:left="288"/>
      </w:pPr>
      <w:r>
        <w:rPr>
          <w:b/>
          <w:color w:val="003CA0"/>
          <w:sz w:val="16"/>
        </w:rPr>
        <w:t>[ADI 2.797 e ADI 2.860, rel. min. Sepúlveda Pertence, j. 15-9-2005, P, DJ de 19-12-2006.]</w:t>
      </w:r>
    </w:p>
    <w:p>
      <w:pPr>
        <w:ind w:left="288"/>
      </w:pPr>
      <w:r>
        <w:rPr>
          <w:color w:val="8C8C8C"/>
          <w:sz w:val="12"/>
        </w:rPr>
        <w:t>cf-art-29-inc-X</w:t>
      </w:r>
      <w:r>
        <w:rPr>
          <w:color w:val="003CA0"/>
          <w:sz w:val="12"/>
        </w:rPr>
        <w:t xml:space="preserve"> | ADI 687</w:t>
      </w:r>
      <w:r>
        <w:rPr>
          <w:color w:val="003CA0"/>
          <w:sz w:val="12"/>
        </w:rPr>
        <w:t xml:space="preserve"> | rel. Celso de Mello</w:t>
      </w:r>
    </w:p>
    <w:p>
      <w:pPr>
        <w:ind w:left="288"/>
      </w:pPr>
      <w:r>
        <w:rPr>
          <w:color w:val="1E1E1E"/>
          <w:sz w:val="18"/>
        </w:rPr>
        <w:t xml:space="preserve">Compete, exclusivamente, à câmara de vereadores, processar e julgar o prefeito municipal nas infrações político-administrativas, assim definidas em legislação emanada da União Federal, podendo impor, ao chefe do Executivo local, observada a garantia constitucional do due process of law, a sanção de cassação de seu mandato eletivo. (...) O tribunal de justiça do Estado, ressalvadas as hipóteses que se incluem na esfera de atribuições jurisdicionais da Justiça Federal comum, da Justiça Militar da União e da Justiça Eleitoral, dispõe de competência originária para processar e julgar os prefeitos </w:t>
      </w:r>
    </w:p>
    <w:p>
      <w:pPr>
        <w:ind w:left="288"/>
      </w:pPr>
      <w:r>
        <w:rPr>
          <w:b/>
          <w:color w:val="003CA0"/>
          <w:sz w:val="16"/>
        </w:rPr>
        <w:t>[ADI 687, rel. min. Celso de Mello, j. 2-2-1995, P, DJ de 10-2-2006.]</w:t>
      </w:r>
    </w:p>
    <w:p>
      <w:pPr>
        <w:ind w:left="144"/>
      </w:pPr>
      <w:r>
        <w:rPr>
          <w:b/>
          <w:color w:val="B45A00"/>
          <w:sz w:val="16"/>
        </w:rPr>
        <w:t>JULGADOS CORRELATOS</w:t>
      </w:r>
    </w:p>
    <w:p>
      <w:pPr>
        <w:ind w:left="288"/>
      </w:pPr>
      <w:r>
        <w:rPr>
          <w:color w:val="8C8C8C"/>
          <w:sz w:val="12"/>
        </w:rPr>
        <w:t>cf-art-29-inc-X</w:t>
      </w:r>
      <w:r>
        <w:rPr>
          <w:color w:val="003CA0"/>
          <w:sz w:val="12"/>
        </w:rPr>
        <w:t xml:space="preserve"> | RCL 3.021</w:t>
      </w:r>
      <w:r>
        <w:rPr>
          <w:color w:val="003CA0"/>
          <w:sz w:val="12"/>
        </w:rPr>
        <w:t xml:space="preserve"> | rel. Cezar Peluso</w:t>
      </w:r>
    </w:p>
    <w:p>
      <w:pPr>
        <w:ind w:left="288"/>
      </w:pPr>
      <w:r>
        <w:rPr>
          <w:color w:val="1E1E1E"/>
          <w:sz w:val="18"/>
        </w:rPr>
        <w:t>A cessação do mandato eletivo, no curso do processo de ação de improbidade administrativa, implica perda automática da chamada prerrogativa de foro e deslocamento da causa ao juízo de primeiro grau, ainda que o fato que deu causa à demanda haja ocorrido durante o exercício da função pública.</w:t>
      </w:r>
    </w:p>
    <w:p>
      <w:pPr>
        <w:ind w:left="288"/>
      </w:pPr>
      <w:r>
        <w:rPr>
          <w:b/>
          <w:color w:val="003CA0"/>
          <w:sz w:val="16"/>
        </w:rPr>
        <w:t>[Rcl 3.021 AgR, rel. min. Cezar Peluso, j. 3-12-2008, P, DJE de 6-2-2009.]</w:t>
      </w:r>
    </w:p>
    <w:p>
      <w:pPr>
        <w:ind w:left="288"/>
      </w:pPr>
      <w:r>
        <w:rPr>
          <w:color w:val="8C8C8C"/>
          <w:sz w:val="12"/>
        </w:rPr>
        <w:t>cf-art-29-inc-X</w:t>
      </w:r>
      <w:r>
        <w:rPr>
          <w:color w:val="003CA0"/>
          <w:sz w:val="12"/>
        </w:rPr>
        <w:t xml:space="preserve"> | HC 88.536</w:t>
      </w:r>
      <w:r>
        <w:rPr>
          <w:color w:val="003CA0"/>
          <w:sz w:val="12"/>
        </w:rPr>
        <w:t xml:space="preserve"> | rel. Marco Aurélio</w:t>
      </w:r>
    </w:p>
    <w:p>
      <w:pPr>
        <w:ind w:left="288"/>
      </w:pPr>
      <w:r>
        <w:rPr>
          <w:color w:val="1E1E1E"/>
          <w:sz w:val="18"/>
        </w:rPr>
        <w:t>Competência. Ação penal. Ex-prefeito. Prerrogativa de foro. A prerrogativa de foro, prevista em norma a encerrar direito estrito, visa a beneficiar não a pessoa, mas o cargo ocupado. Cessado o exercício, tem-se o envolvimento, no caso, de cidadão que se submete às normas gerais.</w:t>
      </w:r>
    </w:p>
    <w:p>
      <w:pPr>
        <w:ind w:left="288"/>
      </w:pPr>
      <w:r>
        <w:rPr>
          <w:b/>
          <w:color w:val="003CA0"/>
          <w:sz w:val="16"/>
        </w:rPr>
        <w:t>[HC 88.536, rel. min. Marco Aurélio, j. 25-9-2007, 1ª T, DJE de 15-2-2008.]</w:t>
      </w:r>
    </w:p>
    <w:p>
      <w:pPr>
        <w:ind w:left="288"/>
      </w:pPr>
      <w:r>
        <w:rPr>
          <w:color w:val="8C8C8C"/>
          <w:sz w:val="12"/>
        </w:rPr>
        <w:t>cf-art-29-inc-X</w:t>
      </w:r>
      <w:r>
        <w:rPr>
          <w:color w:val="003CA0"/>
          <w:sz w:val="12"/>
        </w:rPr>
        <w:t xml:space="preserve"> | RHC 80.919</w:t>
      </w:r>
      <w:r>
        <w:rPr>
          <w:color w:val="003CA0"/>
          <w:sz w:val="12"/>
        </w:rPr>
        <w:t xml:space="preserve"> | rel. Nelson Jobim</w:t>
      </w:r>
    </w:p>
    <w:p>
      <w:pPr>
        <w:ind w:left="288"/>
      </w:pPr>
      <w:r>
        <w:rPr>
          <w:color w:val="1E1E1E"/>
          <w:sz w:val="18"/>
        </w:rPr>
        <w:t>No ordenamento jurídico brasileiro não existe a garantia do duplo grau de jurisdição. A Constituição concede aos prefeitos foro especial por prerrogativa de função. Determina que sejam julgados originariamente pelo tribunal de justiça.</w:t>
      </w:r>
    </w:p>
    <w:p>
      <w:pPr>
        <w:ind w:left="288"/>
      </w:pPr>
      <w:r>
        <w:rPr>
          <w:b/>
          <w:color w:val="003CA0"/>
          <w:sz w:val="16"/>
        </w:rPr>
        <w:t>[RHC 80.919, rel. min. Nelson Jobim, j. 12-6-2001, 2ª T, DJ de 14-9-2001.]</w:t>
      </w:r>
    </w:p>
    <w:p>
      <w:pPr>
        <w:ind w:left="288"/>
      </w:pPr>
      <w:r>
        <w:rPr>
          <w:color w:val="8C8C8C"/>
          <w:sz w:val="12"/>
        </w:rPr>
        <w:t>cf-art-29-inc-X</w:t>
      </w:r>
      <w:r>
        <w:rPr>
          <w:color w:val="003CA0"/>
          <w:sz w:val="12"/>
        </w:rPr>
        <w:t xml:space="preserve"> | HC 73.232</w:t>
      </w:r>
      <w:r>
        <w:rPr>
          <w:color w:val="003CA0"/>
          <w:sz w:val="12"/>
        </w:rPr>
        <w:t xml:space="preserve"> | rel. Maurício Corrêa</w:t>
      </w:r>
    </w:p>
    <w:p>
      <w:pPr>
        <w:ind w:left="288"/>
      </w:pPr>
      <w:r>
        <w:rPr>
          <w:color w:val="1E1E1E"/>
          <w:sz w:val="18"/>
        </w:rPr>
        <w:t>Cabe, exclusivamente, ao regimento interno do tribunal de justiça atribuir competência ao pleno, ou ao órgão especial, ou a órgão fracionário, para processar e julgar prefeitos municipais (CF, art. 29, X, e art. 96, I, a).</w:t>
      </w:r>
    </w:p>
    <w:p>
      <w:pPr>
        <w:ind w:left="288"/>
      </w:pPr>
      <w:r>
        <w:rPr>
          <w:b/>
          <w:color w:val="003CA0"/>
          <w:sz w:val="16"/>
        </w:rPr>
        <w:t>[HC 73.232, rel. min. Maurício Corrêa, j. 12-3-1996, 2ª T, DJ de 3-5-1996.]</w:t>
      </w:r>
    </w:p>
    <w:p>
      <w:pPr>
        <w:ind w:left="288"/>
      </w:pPr>
      <w:r>
        <w:rPr>
          <w:color w:val="8C8C8C"/>
          <w:sz w:val="12"/>
        </w:rPr>
        <w:t>cf-art-29-inc-X</w:t>
      </w:r>
      <w:r>
        <w:rPr>
          <w:color w:val="003CA0"/>
          <w:sz w:val="12"/>
        </w:rPr>
        <w:t xml:space="preserve"> | HC 71.429</w:t>
      </w:r>
      <w:r>
        <w:rPr>
          <w:color w:val="003CA0"/>
          <w:sz w:val="12"/>
        </w:rPr>
        <w:t xml:space="preserve"> | rel. Celso de Mello; HC 72.476/SP</w:t>
      </w:r>
    </w:p>
    <w:p>
      <w:pPr>
        <w:ind w:left="288"/>
      </w:pPr>
      <w:r>
        <w:rPr>
          <w:color w:val="1E1E1E"/>
          <w:sz w:val="18"/>
        </w:rPr>
        <w:t>A norma de competência inscrita no art. 29, X, da Carta Política (com a renumeração dada pela EC 1/1992) tem aplicabilidade imediata, alcançando, desde logo, todos os processos penais condenatórios que, instaurados perante magistrados estaduais de primeira instância contra prefeitos ou ex-prefeitos municipais, achavam-se em curso no momento da vigência da nova Constituição, justificando-se, em consequência, o deslocamento dessas causas penais para o tribunal de justiça do Estado-membro. (...) Não são inconstitucionais as normas de organização judiciária vigentes no Estado de São Paulo, notadam</w:t>
      </w:r>
    </w:p>
    <w:p>
      <w:pPr>
        <w:ind w:left="288"/>
      </w:pPr>
      <w:r>
        <w:rPr>
          <w:b/>
          <w:color w:val="003CA0"/>
          <w:sz w:val="16"/>
        </w:rPr>
        <w:t>[HC 72.465, rel. min. Celso de Mello, j. 5-9-1995, 1ª T, DJ de 24-11-1995.]</w:t>
      </w:r>
    </w:p>
    <w:p>
      <w:pPr>
        <w:ind w:left="288"/>
      </w:pPr>
      <w:r>
        <w:rPr>
          <w:color w:val="8C8C8C"/>
          <w:sz w:val="12"/>
        </w:rPr>
        <w:t>cf-art-29-inc-XII</w:t>
      </w:r>
    </w:p>
    <w:p>
      <w:pPr>
        <w:ind w:left="288"/>
      </w:pPr>
      <w:r>
        <w:rPr>
          <w:color w:val="1E1E1E"/>
          <w:sz w:val="18"/>
        </w:rPr>
        <w:t>XIII - iniciativa popular de projetos de lei de interesse específico do Município, da cidade ou de bairros, através de manifestação de, pelo menos, cinco por cento do eleitorado; (Renumerado do inciso XI, pela EC 1/1992) XIV - perda do mandato do Prefeito, nos termos do art. 28, parágrafo único. (Renumerado do inciso XII, pela EC 1/1992)</w:t>
      </w:r>
    </w:p>
    <w:p>
      <w:pPr>
        <w:ind w:left="144"/>
      </w:pPr>
      <w:r>
        <w:rPr>
          <w:b/>
          <w:color w:val="B45A00"/>
          <w:sz w:val="16"/>
        </w:rPr>
        <w:t>CONTROLE CONCENTRADO</w:t>
      </w:r>
    </w:p>
    <w:p>
      <w:pPr>
        <w:ind w:left="288"/>
      </w:pPr>
      <w:r>
        <w:rPr>
          <w:color w:val="8C8C8C"/>
          <w:sz w:val="12"/>
        </w:rPr>
        <w:t>cf-art-29-inc-XII</w:t>
      </w:r>
      <w:r>
        <w:rPr>
          <w:color w:val="003CA0"/>
          <w:sz w:val="12"/>
        </w:rPr>
        <w:t xml:space="preserve"> | ADI 336</w:t>
      </w:r>
      <w:r>
        <w:rPr>
          <w:color w:val="003CA0"/>
          <w:sz w:val="12"/>
        </w:rPr>
        <w:t xml:space="preserve"> | rel. Eros Grau</w:t>
      </w:r>
    </w:p>
    <w:p>
      <w:pPr>
        <w:ind w:left="288"/>
      </w:pPr>
      <w:r>
        <w:rPr>
          <w:color w:val="1E1E1E"/>
          <w:sz w:val="18"/>
        </w:rPr>
        <w:t>O inciso XIV do art. 29 da Constituição do Brasil/1988 estabelece que as prescrições do art. 28 relativas à perda do mandato de governador aplicam-se ao prefeito, qualificando-se, assim, como preceito de reprodução obrigatória por parte dos Estados-membros e Municípios. Não é permitido a esses entes da Federação modificar ou ampliar esses critérios. Se a Constituição do Brasil não sanciona com a perda do cargo de governador ou o prefeito que assuma cargo público em virtude de concurso realizado após sua eleição, não podem fazê-los as Constituições estaduais.</w:t>
      </w:r>
    </w:p>
    <w:p>
      <w:pPr>
        <w:ind w:left="288"/>
      </w:pPr>
      <w:r>
        <w:rPr>
          <w:b/>
          <w:color w:val="003CA0"/>
          <w:sz w:val="16"/>
        </w:rPr>
        <w:t>[ADI 336, voto do rel. min. Eros Grau, j. 10-2-2010, P, DJE de 17-9-2010.]</w:t>
      </w:r>
    </w:p>
    <w:p>
      <w:pPr>
        <w:ind w:left="288"/>
      </w:pPr>
      <w:r>
        <w:rPr>
          <w:color w:val="8C8C8C"/>
          <w:sz w:val="12"/>
        </w:rPr>
        <w:t>cf-art-29-inc-XII</w:t>
      </w:r>
    </w:p>
    <w:p>
      <w:pPr>
        <w:ind w:left="288"/>
      </w:pPr>
      <w:r>
        <w:rPr>
          <w:color w:val="1E1E1E"/>
          <w:sz w:val="18"/>
        </w:rPr>
        <w:t>Art. 29-A. O total da despesa do Poder Legislativo Municipal, incluídos os subsídios dos Vereadores e os demais gastos com pessoal inativo e pensionistas, não poderá ultrapassar os seguintes percentuais, relativos ao somatório da receita tributária e das transferências previstas no § 5º do art. 153 e nos arts. 158 e 159 desta Constituição, efetivamente realizado no exercício anterior. (Redaçaõ dada pela EC n. 109/2021)</w:t>
      </w:r>
    </w:p>
    <w:p>
      <w:pPr>
        <w:ind w:left="144"/>
      </w:pPr>
      <w:r>
        <w:rPr>
          <w:b/>
          <w:color w:val="B45A00"/>
          <w:sz w:val="16"/>
        </w:rPr>
        <w:t>JULGADOS CORRELATOS</w:t>
      </w:r>
    </w:p>
    <w:p>
      <w:pPr>
        <w:ind w:left="288"/>
      </w:pPr>
      <w:r>
        <w:rPr>
          <w:color w:val="8C8C8C"/>
          <w:sz w:val="12"/>
        </w:rPr>
        <w:t>cf-art-29-par-2</w:t>
      </w:r>
      <w:r>
        <w:rPr>
          <w:color w:val="003CA0"/>
          <w:sz w:val="12"/>
        </w:rPr>
        <w:t xml:space="preserve"> | INQ 3.155</w:t>
      </w:r>
      <w:r>
        <w:rPr>
          <w:color w:val="003CA0"/>
          <w:sz w:val="12"/>
        </w:rPr>
        <w:t xml:space="preserve"> | rel. Cármen Lúcia</w:t>
      </w:r>
    </w:p>
    <w:p>
      <w:pPr>
        <w:ind w:left="288"/>
      </w:pPr>
      <w:r>
        <w:rPr>
          <w:color w:val="1E1E1E"/>
          <w:sz w:val="18"/>
        </w:rPr>
        <w:t>O art. 1º, XIV, segunda parte, do DL 201/1967 aperfeiçoa-se apenas quando a conduta assumir a forma dolosa, traduzida na vontade de não cumprir a ordem judicial e, embora não existam referências quanto ao elemento subjetivo explícito, é imprescindível que se identifique no comportamento omissivo o propósito de desobedecer e de frustrar a administração da Justiça. Tratando-se de crime cujo sujeito ativo é o prefeito, indispensável sua inequívoca ciência da determinação judicial, pois a mera comunicação da ordem a terceiros não é suficiente para atender às exigências legais. Não pode ser validad</w:t>
      </w:r>
    </w:p>
    <w:p>
      <w:pPr>
        <w:ind w:left="288"/>
      </w:pPr>
      <w:r>
        <w:rPr>
          <w:b/>
          <w:color w:val="003CA0"/>
          <w:sz w:val="16"/>
        </w:rPr>
        <w:t>[Inq 3.155, rel. min. Cármen Lúcia, j. 22-9-2011, P, DJE de 11-10-2011.]</w:t>
      </w:r>
    </w:p>
    <w:p>
      <w:pPr>
        <w:ind w:left="720"/>
      </w:pPr>
      <w:r>
        <w:rPr>
          <w:color w:val="003366"/>
          <w:sz w:val="18"/>
        </w:rPr>
        <w:t>I – 7% (sete por cento) para Municípios com população de até 100.000 (cem mil) h</w:t>
      </w:r>
    </w:p>
    <w:p>
      <w:pPr>
        <w:ind w:left="720"/>
      </w:pPr>
      <w:r>
        <w:rPr>
          <w:color w:val="003366"/>
          <w:sz w:val="18"/>
        </w:rPr>
        <w:t>II – 6% (seis por cento) para Municípios com população entre 100.000 (cem mil) e</w:t>
      </w:r>
    </w:p>
    <w:p>
      <w:pPr>
        <w:ind w:left="720"/>
      </w:pPr>
      <w:r>
        <w:rPr>
          <w:color w:val="003366"/>
          <w:sz w:val="18"/>
        </w:rPr>
        <w:t>III – 5% (cinco por cento) para Municípios com população entre 300.001 (trezento</w:t>
      </w:r>
    </w:p>
    <w:p>
      <w:pPr>
        <w:ind w:left="720"/>
      </w:pPr>
      <w:r>
        <w:rPr>
          <w:color w:val="003366"/>
          <w:sz w:val="18"/>
        </w:rPr>
        <w:t>IV – 4,5% (quatro inteiros e cinco décimos por cento) para Municípios com popula</w:t>
      </w:r>
    </w:p>
    <w:p>
      <w:pPr>
        <w:ind w:left="720"/>
      </w:pPr>
      <w:r>
        <w:rPr>
          <w:color w:val="003366"/>
          <w:sz w:val="18"/>
        </w:rPr>
        <w:t>V – 4% (quatro por cento) para Municípios com população entre 3.000.001 (três mi</w:t>
      </w:r>
    </w:p>
    <w:p>
      <w:pPr>
        <w:ind w:left="720"/>
      </w:pPr>
      <w:r>
        <w:rPr>
          <w:color w:val="003366"/>
          <w:sz w:val="18"/>
        </w:rPr>
        <w:t>VI – 3,5% (três inteiros e cinco décimos por cento) para Municípios com populaçã</w:t>
      </w:r>
    </w:p>
    <w:p>
      <w:pPr>
        <w:ind w:left="432"/>
      </w:pPr>
      <w:r>
        <w:rPr>
          <w:color w:val="003366"/>
          <w:sz w:val="18"/>
        </w:rPr>
        <w:t xml:space="preserve">§ 1 A Câmara Municipal não gastará mais de setenta por cento de sua receita com </w:t>
      </w:r>
    </w:p>
    <w:p>
      <w:pPr>
        <w:ind w:left="432"/>
      </w:pPr>
      <w:r>
        <w:rPr>
          <w:color w:val="003366"/>
          <w:sz w:val="18"/>
        </w:rPr>
        <w:t>§ 2 Constitui crime de responsabilidade do Prefeito Municipal: (Incluído pela Em</w:t>
      </w:r>
    </w:p>
    <w:p>
      <w:pPr>
        <w:ind w:left="720"/>
      </w:pPr>
      <w:r>
        <w:rPr>
          <w:color w:val="003366"/>
          <w:sz w:val="18"/>
        </w:rPr>
        <w:t>I – efetuar repasse que supere os limites definidos neste artigo; (Incluído pela</w:t>
      </w:r>
    </w:p>
    <w:p>
      <w:pPr>
        <w:ind w:left="720"/>
      </w:pPr>
      <w:r>
        <w:rPr>
          <w:color w:val="003366"/>
          <w:sz w:val="18"/>
        </w:rPr>
        <w:t xml:space="preserve">II – não enviar o repasse até o dia vinte de cada mês; ou (Incluído pela Emenda </w:t>
      </w:r>
    </w:p>
    <w:p>
      <w:pPr>
        <w:ind w:left="720"/>
      </w:pPr>
      <w:r>
        <w:rPr>
          <w:color w:val="003366"/>
          <w:sz w:val="18"/>
        </w:rPr>
        <w:t>III – enviá-lo a menor em relação à proporção fixada na Lei Orçamentária. (Inclu</w:t>
      </w:r>
    </w:p>
    <w:p>
      <w:pPr>
        <w:ind w:left="432"/>
      </w:pPr>
      <w:r>
        <w:rPr>
          <w:color w:val="003366"/>
          <w:sz w:val="18"/>
        </w:rPr>
        <w:t>§ 3 Constitui crime de responsabilidade do Presidente da Câmara Municipal o desr</w:t>
      </w:r>
    </w:p>
    <w:p>
      <w:r>
        <w:rPr>
          <w:b/>
          <w:color w:val="003366"/>
          <w:sz w:val="20"/>
        </w:rPr>
        <w:t>Art. 30 Compete aos Municípios:</w:t>
      </w:r>
      <w:r>
        <w:rPr>
          <w:color w:val="8C8C8C"/>
          <w:sz w:val="14"/>
        </w:rPr>
        <w:t xml:space="preserve">  [46 decisoes]</w:t>
      </w:r>
    </w:p>
    <w:p>
      <w:pPr>
        <w:ind w:left="144"/>
      </w:pPr>
      <w:r>
        <w:rPr>
          <w:b/>
          <w:color w:val="B45A00"/>
          <w:sz w:val="16"/>
        </w:rPr>
        <w:t>SUMULA VINCULANTE</w:t>
      </w:r>
    </w:p>
    <w:p>
      <w:pPr>
        <w:ind w:left="288"/>
      </w:pPr>
      <w:r>
        <w:rPr>
          <w:color w:val="8C8C8C"/>
          <w:sz w:val="12"/>
        </w:rPr>
        <w:t>cf-art-30-inc-I</w:t>
      </w:r>
    </w:p>
    <w:p>
      <w:pPr>
        <w:ind w:left="288"/>
      </w:pPr>
      <w:r>
        <w:rPr>
          <w:color w:val="1E1E1E"/>
          <w:sz w:val="18"/>
        </w:rPr>
        <w:t>É competente o Município para fixar o horário de funcionamento de estabelecimento comercial.</w:t>
      </w:r>
    </w:p>
    <w:p>
      <w:pPr>
        <w:ind w:left="288"/>
      </w:pPr>
      <w:r>
        <w:rPr>
          <w:b/>
          <w:color w:val="003CA0"/>
          <w:sz w:val="16"/>
        </w:rPr>
        <w:t>[Súmula Vinculante 38.]</w:t>
      </w:r>
    </w:p>
    <w:p>
      <w:pPr>
        <w:ind w:left="288"/>
      </w:pPr>
      <w:r>
        <w:rPr>
          <w:color w:val="8C8C8C"/>
          <w:sz w:val="12"/>
        </w:rPr>
        <w:t>cf-art-30-inc-I</w:t>
      </w:r>
      <w:r>
        <w:rPr>
          <w:color w:val="003CA0"/>
          <w:sz w:val="12"/>
        </w:rPr>
        <w:t xml:space="preserve"> | RE 1.576.466</w:t>
      </w:r>
      <w:r>
        <w:rPr>
          <w:color w:val="003CA0"/>
          <w:sz w:val="12"/>
        </w:rPr>
        <w:t xml:space="preserve"> | rel. Flávio Dino</w:t>
      </w:r>
    </w:p>
    <w:p>
      <w:pPr>
        <w:ind w:left="288"/>
      </w:pPr>
      <w:r>
        <w:rPr>
          <w:color w:val="1E1E1E"/>
          <w:sz w:val="18"/>
        </w:rPr>
        <w:t>Competência legislativa municipal. Exigência municipal de instalação de detectores de monóxido de carbono em imóveis residenciais. (...) A inexistência de norma geral federal aplicável afasta qualquer incompatibilidade entre a legislação municipal e o ordenamento federal, inserindo-se a Lei nº 6.002/2024 no âmbito da competência legislativa suplementar do Município para editar normas protetivas à saúde e à segurança habitacional. A alegação de vício de competência não prospera, pois não há contrariedade a normas gerais federais nem usurpação de competência privativa da União. Inexistindo parâm</w:t>
      </w:r>
    </w:p>
    <w:p>
      <w:pPr>
        <w:ind w:left="288"/>
      </w:pPr>
      <w:r>
        <w:rPr>
          <w:b/>
          <w:color w:val="003CA0"/>
          <w:sz w:val="16"/>
        </w:rPr>
        <w:t>[RE 1.576.466 AgR, rel. min. Flávio Dino, j. 9-2-2026, P, DJE de 23-2-2026.]</w:t>
      </w:r>
    </w:p>
    <w:p>
      <w:pPr>
        <w:ind w:left="144"/>
      </w:pPr>
      <w:r>
        <w:rPr>
          <w:b/>
          <w:color w:val="B45A00"/>
          <w:sz w:val="16"/>
        </w:rPr>
        <w:t>CONTROLE CONCENTRADO</w:t>
      </w:r>
    </w:p>
    <w:p>
      <w:pPr>
        <w:ind w:left="288"/>
      </w:pPr>
      <w:r>
        <w:rPr>
          <w:color w:val="8C8C8C"/>
          <w:sz w:val="12"/>
        </w:rPr>
        <w:t>cf-art-30-inc-I</w:t>
      </w:r>
      <w:r>
        <w:rPr>
          <w:color w:val="003CA0"/>
          <w:sz w:val="12"/>
        </w:rPr>
        <w:t xml:space="preserve"> | ADPF 971</w:t>
      </w:r>
      <w:r>
        <w:rPr>
          <w:color w:val="003CA0"/>
          <w:sz w:val="12"/>
        </w:rPr>
        <w:t xml:space="preserve"> | rel. Gilmar Mendes</w:t>
      </w:r>
    </w:p>
    <w:p>
      <w:pPr>
        <w:ind w:left="288"/>
      </w:pPr>
      <w:r>
        <w:rPr>
          <w:color w:val="1E1E1E"/>
          <w:sz w:val="18"/>
        </w:rPr>
        <w:t>Diretrizes gerais para a prorrogação e relicitação dos contratos de parceria entre o Município e iniciativa privada. Discricionariedade da Administração Municipal. Possibilidade.</w:t>
        <w:br/>
        <w:t>[ADPF 971, rel. min. Gilmar Mendes, j. 29-5-2023, P, DJE de 2-8-2023.] Instituição do feriado municipal comemorativo do Dia da Consciência Negra. Competência municipal para instituição de feriado de alta significação étnica. Interesse local.</w:t>
        <w:br/>
        <w:t>[ADPF 634, rel. min. Cármen Lúcia, j. 30-11-2022, P, DJE de 13-4-2023.] Cabe aos municípios promover o licenciamento ambiental das atividades ou empreendimentos possam causar impa</w:t>
      </w:r>
    </w:p>
    <w:p>
      <w:pPr>
        <w:ind w:left="288"/>
      </w:pPr>
      <w:r>
        <w:rPr>
          <w:b/>
          <w:color w:val="003CA0"/>
          <w:sz w:val="16"/>
        </w:rPr>
        <w:t>[ADI 2.142, rel. min. Roberto Barroso, j. 27-6-2022, P, DJE de 4-7-2022.]</w:t>
      </w:r>
    </w:p>
    <w:p>
      <w:pPr>
        <w:ind w:left="288"/>
      </w:pPr>
      <w:r>
        <w:rPr>
          <w:color w:val="8C8C8C"/>
          <w:sz w:val="12"/>
        </w:rPr>
        <w:t>cf-art-30-inc-I</w:t>
      </w:r>
      <w:r>
        <w:rPr>
          <w:color w:val="003CA0"/>
          <w:sz w:val="12"/>
        </w:rPr>
        <w:t xml:space="preserve"> | ADI 144</w:t>
      </w:r>
      <w:r>
        <w:rPr>
          <w:color w:val="003CA0"/>
          <w:sz w:val="12"/>
        </w:rPr>
        <w:t xml:space="preserve"> | rel. Gilmar Mendes</w:t>
      </w:r>
    </w:p>
    <w:p>
      <w:pPr>
        <w:ind w:left="288"/>
      </w:pPr>
      <w:r>
        <w:rPr>
          <w:color w:val="1E1E1E"/>
          <w:sz w:val="18"/>
        </w:rPr>
        <w:t>(...)  a jurisprudência desta Corte firmou entendimento no sentido de que a fixação, pelas Constituições dos Estados, de data para o pagamento dos vencimentos dos servidores estaduais e a previsão de correção monetária em caso de atraso não afrontam a CF. (...) No entanto, como bem apontado no acórdão que julgou a medida liminar, a Constituição do Rio Grande do Norte estende a obrigação aos servidores municipais e aos empregados celetistas de empresas públicas e sociedades de economia mista. Nesse ponto, a discussão transfere-se para a preservação de dois importantes valores constitucionais: a</w:t>
      </w:r>
    </w:p>
    <w:p>
      <w:pPr>
        <w:ind w:left="288"/>
      </w:pPr>
      <w:r>
        <w:rPr>
          <w:b/>
          <w:color w:val="003CA0"/>
          <w:sz w:val="16"/>
        </w:rPr>
        <w:t>[ADI 144, voto do rel. min. Gilmar Mendes, j. 19-2-2014, P, DJE de 3-4-2014.]</w:t>
      </w:r>
    </w:p>
    <w:p>
      <w:pPr>
        <w:ind w:left="288"/>
      </w:pPr>
      <w:r>
        <w:rPr>
          <w:color w:val="8C8C8C"/>
          <w:sz w:val="12"/>
        </w:rPr>
        <w:t>cf-art-30-inc-I</w:t>
      </w:r>
      <w:r>
        <w:rPr>
          <w:color w:val="003CA0"/>
          <w:sz w:val="12"/>
        </w:rPr>
        <w:t xml:space="preserve"> | ADI 2.077</w:t>
      </w:r>
    </w:p>
    <w:p>
      <w:pPr>
        <w:ind w:left="288"/>
      </w:pPr>
      <w:r>
        <w:rPr>
          <w:color w:val="1E1E1E"/>
          <w:sz w:val="18"/>
        </w:rPr>
        <w:t>É bastante plausível a alegada violação da regra constitucional que assegura autonomia aos Municípios para dispor sobre assuntos de interesse local, causada por limitação territorial constante em dispositivo de constituição estadual.</w:t>
      </w:r>
    </w:p>
    <w:p>
      <w:pPr>
        <w:ind w:left="288"/>
      </w:pPr>
      <w:r>
        <w:rPr>
          <w:b/>
          <w:color w:val="003CA0"/>
          <w:sz w:val="16"/>
        </w:rPr>
        <w:t>[ADI 2.077 MC, red. do ac. min. Joaquim Barbosa, j. 6-3-2013, P, DJE de 9-10-2014.]</w:t>
      </w:r>
    </w:p>
    <w:p>
      <w:pPr>
        <w:ind w:left="288"/>
      </w:pPr>
      <w:r>
        <w:rPr>
          <w:color w:val="8C8C8C"/>
          <w:sz w:val="12"/>
        </w:rPr>
        <w:t>cf-art-30-inc-I</w:t>
      </w:r>
      <w:r>
        <w:rPr>
          <w:color w:val="003CA0"/>
          <w:sz w:val="12"/>
        </w:rPr>
        <w:t xml:space="preserve"> | ADI 3.549</w:t>
      </w:r>
      <w:r>
        <w:rPr>
          <w:color w:val="003CA0"/>
          <w:sz w:val="12"/>
        </w:rPr>
        <w:t xml:space="preserve"> | rel. Cármen Lúcia</w:t>
      </w:r>
    </w:p>
    <w:p>
      <w:pPr>
        <w:ind w:left="288"/>
      </w:pPr>
      <w:r>
        <w:rPr>
          <w:color w:val="1E1E1E"/>
          <w:sz w:val="18"/>
        </w:rPr>
        <w:t>A vocação sucessória dos cargos de prefeito e vice-prefeito põe-se no âmbito da autonomia política local, em caso de dupla vacância. Ao disciplinar matéria, cuja competência é exclusiva dos Municípios, o art. 75, § 2º, da Constituição de Goiás fere a autonomia desses entes, mitigando-lhes a capacidade de auto-organização e de autogoverno e limitando a sua autonomia política assegurada pela Constituição brasileira.</w:t>
      </w:r>
    </w:p>
    <w:p>
      <w:pPr>
        <w:ind w:left="288"/>
      </w:pPr>
      <w:r>
        <w:rPr>
          <w:b/>
          <w:color w:val="003CA0"/>
          <w:sz w:val="16"/>
        </w:rPr>
        <w:t>[ADI 3.549, rel. min. Cármen Lúcia, j. 17-9-2007, P, DJ de 31-10-2007.]</w:t>
      </w:r>
    </w:p>
    <w:p>
      <w:pPr>
        <w:ind w:left="288"/>
      </w:pPr>
      <w:r>
        <w:rPr>
          <w:color w:val="8C8C8C"/>
          <w:sz w:val="12"/>
        </w:rPr>
        <w:t>cf-art-30-inc-I</w:t>
      </w:r>
      <w:r>
        <w:rPr>
          <w:color w:val="003CA0"/>
          <w:sz w:val="12"/>
        </w:rPr>
        <w:t xml:space="preserve"> | ADI 3.731</w:t>
      </w:r>
      <w:r>
        <w:rPr>
          <w:color w:val="003CA0"/>
          <w:sz w:val="12"/>
        </w:rPr>
        <w:t xml:space="preserve"> | rel. Cezar Peluso</w:t>
      </w:r>
    </w:p>
    <w:p>
      <w:pPr>
        <w:ind w:left="288"/>
      </w:pPr>
      <w:r>
        <w:rPr>
          <w:color w:val="1E1E1E"/>
          <w:sz w:val="18"/>
        </w:rPr>
        <w:t>Aparenta inconstitucionalidade a resolução de autoridade estadual que, sob pretexto do exercício do poder de polícia, discipline horário de funcionamento de estabelecimentos comerciais, matéria de consumo e assuntos análogos.</w:t>
      </w:r>
    </w:p>
    <w:p>
      <w:pPr>
        <w:ind w:left="288"/>
      </w:pPr>
      <w:r>
        <w:rPr>
          <w:b/>
          <w:color w:val="003CA0"/>
          <w:sz w:val="16"/>
        </w:rPr>
        <w:t>[ADI 3.731 MC, rel. min. Cezar Peluso, j. 29-8-2007, P, DJ de 11-10-2007.]</w:t>
      </w:r>
    </w:p>
    <w:p>
      <w:pPr>
        <w:ind w:left="288"/>
      </w:pPr>
      <w:r>
        <w:rPr>
          <w:color w:val="8C8C8C"/>
          <w:sz w:val="12"/>
        </w:rPr>
        <w:t>cf-art-30-inc-I</w:t>
      </w:r>
      <w:r>
        <w:rPr>
          <w:color w:val="003CA0"/>
          <w:sz w:val="12"/>
        </w:rPr>
        <w:t xml:space="preserve"> | ADI 3.691</w:t>
      </w:r>
      <w:r>
        <w:rPr>
          <w:color w:val="003CA0"/>
          <w:sz w:val="12"/>
        </w:rPr>
        <w:t xml:space="preserve"> | rel. Gilmar Mendes</w:t>
      </w:r>
    </w:p>
    <w:p>
      <w:pPr>
        <w:ind w:left="288"/>
      </w:pPr>
      <w:r>
        <w:rPr>
          <w:color w:val="1E1E1E"/>
          <w:sz w:val="18"/>
        </w:rPr>
        <w:t>= ADI 3.691, rel. min. Gilmar Mendes, j. 29-8-2007, P, DJE de 9-5-2008 (In)constitucionalidade de marco regulatório municipal dos serviços cemiteriais, funerários e de cremação, à luz das normas constitucionais da ordem econômica.</w:t>
      </w:r>
    </w:p>
    <w:p>
      <w:pPr>
        <w:ind w:left="288"/>
      </w:pPr>
      <w:r>
        <w:rPr>
          <w:b/>
          <w:color w:val="003CA0"/>
          <w:sz w:val="16"/>
        </w:rPr>
        <w:t>[RE 1.343.346 RG, rel. min. Luiz Fux, j. 11.10.2024, P, DJE de 16.10.2024, Tema 1.332, com mérito pendente.]</w:t>
      </w:r>
    </w:p>
    <w:p>
      <w:pPr>
        <w:ind w:left="144"/>
      </w:pPr>
      <w:r>
        <w:rPr>
          <w:b/>
          <w:color w:val="B45A00"/>
          <w:sz w:val="16"/>
        </w:rPr>
        <w:t>REPERCUSSAO GERAL</w:t>
      </w:r>
    </w:p>
    <w:p>
      <w:pPr>
        <w:ind w:left="288"/>
      </w:pPr>
      <w:r>
        <w:rPr>
          <w:color w:val="8C8C8C"/>
          <w:sz w:val="12"/>
        </w:rPr>
        <w:t>cf-art-30-inc-I</w:t>
      </w:r>
      <w:r>
        <w:rPr>
          <w:color w:val="003CA0"/>
          <w:sz w:val="12"/>
        </w:rPr>
        <w:t xml:space="preserve"> | RE 738.481</w:t>
      </w:r>
      <w:r>
        <w:rPr>
          <w:color w:val="003CA0"/>
          <w:sz w:val="12"/>
        </w:rPr>
        <w:t xml:space="preserve"> | rel. Edson Fachin</w:t>
      </w:r>
    </w:p>
    <w:p>
      <w:pPr>
        <w:ind w:left="288"/>
      </w:pPr>
      <w:r>
        <w:rPr>
          <w:color w:val="1E1E1E"/>
          <w:sz w:val="18"/>
        </w:rPr>
        <w:t>“Compete aos municípios legislar sobre a obrigatoriedade de instalação de hidrômetros individuais nos edifícios e condomínios, em razão do preponderante interesse local envolvido.”</w:t>
      </w:r>
    </w:p>
    <w:p>
      <w:pPr>
        <w:ind w:left="288"/>
      </w:pPr>
      <w:r>
        <w:rPr>
          <w:b/>
          <w:color w:val="003CA0"/>
          <w:sz w:val="16"/>
        </w:rPr>
        <w:t>[RE 738.481, rel. min. Edson Fachin, j. 17-8-2021, P, DJE de 25-8-2021, Tema 849, com mérito julgado.]</w:t>
      </w:r>
    </w:p>
    <w:p>
      <w:pPr>
        <w:ind w:left="288"/>
      </w:pPr>
      <w:r>
        <w:rPr>
          <w:color w:val="8C8C8C"/>
          <w:sz w:val="12"/>
        </w:rPr>
        <w:t>cf-art-30-inc-I</w:t>
      </w:r>
      <w:r>
        <w:rPr>
          <w:color w:val="003CA0"/>
          <w:sz w:val="12"/>
        </w:rPr>
        <w:t xml:space="preserve"> | RE 1.151.237</w:t>
      </w:r>
      <w:r>
        <w:rPr>
          <w:color w:val="003CA0"/>
          <w:sz w:val="12"/>
        </w:rPr>
        <w:t xml:space="preserve"> | rel. Alexandre de Moraes</w:t>
      </w:r>
    </w:p>
    <w:p>
      <w:pPr>
        <w:ind w:left="288"/>
      </w:pPr>
      <w:r>
        <w:rPr>
          <w:color w:val="1E1E1E"/>
          <w:sz w:val="18"/>
        </w:rPr>
        <w:t>(...) a existência de uma coabitação normativa entre os Poderes Executivo (decreto) e o Legislativo (lei formal), para o exercício da competência destinada a ‘denominação de próprios, vias e logradouros públicos e suas alterações’, cada qual no âmbito de suas atribuições.</w:t>
      </w:r>
    </w:p>
    <w:p>
      <w:pPr>
        <w:ind w:left="288"/>
      </w:pPr>
      <w:r>
        <w:rPr>
          <w:b/>
          <w:color w:val="003CA0"/>
          <w:sz w:val="16"/>
        </w:rPr>
        <w:t>[RE 1.151.237, rel. min. Alexandre de Moraes, j. 3-10-2019, P, DJE de 12-11-2019, Tema 1070.]</w:t>
      </w:r>
    </w:p>
    <w:p>
      <w:pPr>
        <w:ind w:left="288"/>
      </w:pPr>
      <w:r>
        <w:rPr>
          <w:color w:val="8C8C8C"/>
          <w:sz w:val="12"/>
        </w:rPr>
        <w:t>cf-art-30-inc-I</w:t>
      </w:r>
      <w:r>
        <w:rPr>
          <w:color w:val="003CA0"/>
          <w:sz w:val="12"/>
        </w:rPr>
        <w:t xml:space="preserve"> | RE 586.224</w:t>
      </w:r>
      <w:r>
        <w:rPr>
          <w:color w:val="003CA0"/>
          <w:sz w:val="12"/>
        </w:rPr>
        <w:t xml:space="preserve"> | rel. Luiz Fux</w:t>
      </w:r>
    </w:p>
    <w:p>
      <w:pPr>
        <w:ind w:left="288"/>
      </w:pPr>
      <w:r>
        <w:rPr>
          <w:color w:val="1E1E1E"/>
          <w:sz w:val="18"/>
        </w:rPr>
        <w:t>O Município é competente para legislar sobre meio ambiente com União e Estado, no limite de seu interesse local e desde que tal regramento seja e harmônico com a disciplina estabelecida pelos demais entes federados (art. 24, VI, c/c 30, I e II, da CRFB).</w:t>
      </w:r>
    </w:p>
    <w:p>
      <w:pPr>
        <w:ind w:left="288"/>
      </w:pPr>
      <w:r>
        <w:rPr>
          <w:b/>
          <w:color w:val="003CA0"/>
          <w:sz w:val="16"/>
        </w:rPr>
        <w:t>[RE 586.224, rel. min. Luiz Fux, j. 5-3-2015, P, DJE de 8-5-2015, Tema 145.]</w:t>
      </w:r>
    </w:p>
    <w:p>
      <w:pPr>
        <w:ind w:left="288"/>
      </w:pPr>
      <w:r>
        <w:rPr>
          <w:color w:val="8C8C8C"/>
          <w:sz w:val="12"/>
        </w:rPr>
        <w:t>cf-art-30-inc-I</w:t>
      </w:r>
      <w:r>
        <w:rPr>
          <w:color w:val="003CA0"/>
          <w:sz w:val="12"/>
        </w:rPr>
        <w:t xml:space="preserve"> | ARE 639.496</w:t>
      </w:r>
      <w:r>
        <w:rPr>
          <w:color w:val="003CA0"/>
          <w:sz w:val="12"/>
        </w:rPr>
        <w:t xml:space="preserve"> | rel. Cezar Peluso</w:t>
      </w:r>
    </w:p>
    <w:p>
      <w:pPr>
        <w:ind w:left="288"/>
      </w:pPr>
      <w:r>
        <w:rPr>
          <w:color w:val="1E1E1E"/>
          <w:sz w:val="18"/>
        </w:rPr>
        <w:t>(...)  inconstitucionalidade de norma municipal que impõe sanção mais gravosa que a prevista no CTB, por extrapolar a competência legislativa suplementar do Município expressa no art. 30, II, da CF. (...) Esta Corte possui ainda jurisprudência firmada no sentido de que compete privativamente à União legislar sobre trânsito e transporte, impossibilitados os Estados-membros e Municípios a legislar sobre a matéria enquanto não autorizados por lei complementar.</w:t>
      </w:r>
    </w:p>
    <w:p>
      <w:pPr>
        <w:ind w:left="288"/>
      </w:pPr>
      <w:r>
        <w:rPr>
          <w:b/>
          <w:color w:val="003CA0"/>
          <w:sz w:val="16"/>
        </w:rPr>
        <w:t>[ARE 639.496 RG, voto do rel. min. Cezar Peluso, j. 16-6-2011, P, DJE de 31-8-2011, Tema 430.]</w:t>
      </w:r>
    </w:p>
    <w:p>
      <w:pPr>
        <w:ind w:left="288"/>
      </w:pPr>
      <w:r>
        <w:rPr>
          <w:color w:val="8C8C8C"/>
          <w:sz w:val="12"/>
        </w:rPr>
        <w:t>cf-art-30-inc-I</w:t>
      </w:r>
      <w:r>
        <w:rPr>
          <w:color w:val="003CA0"/>
          <w:sz w:val="12"/>
        </w:rPr>
        <w:t xml:space="preserve"> | RE 610.221</w:t>
      </w:r>
      <w:r>
        <w:rPr>
          <w:color w:val="003CA0"/>
          <w:sz w:val="12"/>
        </w:rPr>
        <w:t xml:space="preserve"> | rel. Ellen Gracie</w:t>
      </w:r>
    </w:p>
    <w:p>
      <w:pPr>
        <w:ind w:left="288"/>
      </w:pPr>
      <w:r>
        <w:rPr>
          <w:color w:val="1E1E1E"/>
          <w:sz w:val="18"/>
        </w:rPr>
        <w:t>Definição do tempo máximo de espera de clientes em filas de instituições bancárias. Competência do Município para legislar. Assunto de interesse local. Ratificação da jurisprudência firmada por esta Suprema Corte.</w:t>
        <w:br/>
        <w:t>[RE 610.221 RG, rel. min. Ellen Gracie, j. 29-4-2010, P, DJE de 20-8-2010, Tema 272.] O Município do Rio de Janeiro, ao conceder a meia-entrada aos professores de cursos preparatórios comunitários e/ou sociais em estabelecimentos que promovam lazer e entretenimento e estimulem a difusão cultural, atuou nos exatos limites permitidos pelos incisos I e II do art. 30 da Constituição da R</w:t>
      </w:r>
    </w:p>
    <w:p>
      <w:pPr>
        <w:ind w:left="288"/>
      </w:pPr>
      <w:r>
        <w:rPr>
          <w:b/>
          <w:color w:val="003CA0"/>
          <w:sz w:val="16"/>
        </w:rPr>
        <w:t>[ARE 1.554.743 AgR, rel. min. Dias Toffoli, j. 15.09.2025, P, DJE de 08.10.2025.]</w:t>
      </w:r>
    </w:p>
    <w:p>
      <w:pPr>
        <w:ind w:left="144"/>
      </w:pPr>
      <w:r>
        <w:rPr>
          <w:b/>
          <w:color w:val="B45A00"/>
          <w:sz w:val="16"/>
        </w:rPr>
        <w:t>JULGADOS CORRELATOS</w:t>
      </w:r>
    </w:p>
    <w:p>
      <w:pPr>
        <w:ind w:left="288"/>
      </w:pPr>
      <w:r>
        <w:rPr>
          <w:color w:val="8C8C8C"/>
          <w:sz w:val="12"/>
        </w:rPr>
        <w:t>cf-art-30-inc-I</w:t>
      </w:r>
      <w:r>
        <w:rPr>
          <w:color w:val="003CA0"/>
          <w:sz w:val="12"/>
        </w:rPr>
        <w:t xml:space="preserve"> | RE 1.052.719</w:t>
      </w:r>
      <w:r>
        <w:rPr>
          <w:color w:val="003CA0"/>
          <w:sz w:val="12"/>
        </w:rPr>
        <w:t xml:space="preserve"> | rel. Ricardo Lewandowski</w:t>
      </w:r>
    </w:p>
    <w:p>
      <w:pPr>
        <w:ind w:left="288"/>
      </w:pPr>
      <w:r>
        <w:rPr>
          <w:color w:val="1E1E1E"/>
          <w:sz w:val="18"/>
        </w:rPr>
        <w:t>(...) reafirmação da importância do município em nosso contexto constitucional, bem lembrado pelo Ministro Fachin, agora alçado a integrante pleno de nossa Federação, é um membro de pleno direito da Federação Brasileira. E, aqui, nesse caso, temos exatamente isso, uma grande empresa atacadista, que atua em todo o território nacional e, de certa maneira, se utiliza de práticas que colocam em xeque o conforto, a privacidade do consumidor, que é indefeso perante uma imensa empresa como esta. O município age em prol do bem-estar daqueles sobre os quais tem a responsabilidade de zelar.</w:t>
      </w:r>
    </w:p>
    <w:p>
      <w:pPr>
        <w:ind w:left="288"/>
      </w:pPr>
      <w:r>
        <w:rPr>
          <w:b/>
          <w:color w:val="003CA0"/>
          <w:sz w:val="16"/>
        </w:rPr>
        <w:t>[RE 1.052.719 AgR, rel. min. Ricardo Lewandowski, j. 25-9-2018, 2ª T, DJE de 17-9-2019.]</w:t>
      </w:r>
    </w:p>
    <w:p>
      <w:pPr>
        <w:ind w:left="288"/>
      </w:pPr>
      <w:r>
        <w:rPr>
          <w:color w:val="8C8C8C"/>
          <w:sz w:val="12"/>
        </w:rPr>
        <w:t>cf-art-30-inc-I</w:t>
      </w:r>
      <w:r>
        <w:rPr>
          <w:color w:val="003CA0"/>
          <w:sz w:val="12"/>
        </w:rPr>
        <w:t xml:space="preserve"> | ARE 784.981</w:t>
      </w:r>
      <w:r>
        <w:rPr>
          <w:color w:val="003CA0"/>
          <w:sz w:val="12"/>
        </w:rPr>
        <w:t xml:space="preserve"> | rel. Rosa Weber</w:t>
      </w:r>
    </w:p>
    <w:p>
      <w:pPr>
        <w:ind w:left="288"/>
      </w:pPr>
      <w:r>
        <w:rPr>
          <w:color w:val="1E1E1E"/>
          <w:sz w:val="18"/>
        </w:rPr>
        <w:t>Competência do Município para legislar em matéria de segurança em estabelecimentos financeiros. Terminais de autoatendimento.</w:t>
      </w:r>
    </w:p>
    <w:p>
      <w:pPr>
        <w:ind w:left="288"/>
      </w:pPr>
      <w:r>
        <w:rPr>
          <w:b/>
          <w:color w:val="003CA0"/>
          <w:sz w:val="16"/>
        </w:rPr>
        <w:t>[ARE 784.981 AgR, rel. min. Rosa Weber, j. 17-3-2015, 1ª T, DJE de 7-4-2015.]</w:t>
      </w:r>
    </w:p>
    <w:p>
      <w:pPr>
        <w:ind w:left="288"/>
      </w:pPr>
      <w:r>
        <w:rPr>
          <w:color w:val="8C8C8C"/>
          <w:sz w:val="12"/>
        </w:rPr>
        <w:t>cf-art-30-inc-I</w:t>
      </w:r>
      <w:r>
        <w:rPr>
          <w:color w:val="003CA0"/>
          <w:sz w:val="12"/>
        </w:rPr>
        <w:t xml:space="preserve"> | AI 799.690</w:t>
      </w:r>
      <w:r>
        <w:rPr>
          <w:color w:val="003CA0"/>
          <w:sz w:val="12"/>
        </w:rPr>
        <w:t xml:space="preserve"> | rel. Rosa Weber</w:t>
      </w:r>
    </w:p>
    <w:p>
      <w:pPr>
        <w:ind w:left="288"/>
      </w:pPr>
      <w:r>
        <w:rPr>
          <w:color w:val="1E1E1E"/>
          <w:sz w:val="18"/>
        </w:rPr>
        <w:t>Interpretação da Lei municipal paulista 14.223/2006. Competência municipal para legislar sobre assuntos de interesse local. (...) O acórdão recorrido assentou que a Lei municipal 14.223/2006 – denominada "Lei Cidade Limpa" – trata de assuntos de interesse local, entre os quais, a ordenação dos elementos que compõem a paisagem urbana, com vistas a evitar a poluição visual e bem cuidar do meio ambiente e do patrimônio da cidade.</w:t>
      </w:r>
    </w:p>
    <w:p>
      <w:pPr>
        <w:ind w:left="288"/>
      </w:pPr>
      <w:r>
        <w:rPr>
          <w:b/>
          <w:color w:val="003CA0"/>
          <w:sz w:val="16"/>
        </w:rPr>
        <w:t>[AI 799.690 AgR, rel. min. Rosa Weber, j. 10-12-2013, 1ª T, DJE de 3-2-2014.]</w:t>
      </w:r>
    </w:p>
    <w:p>
      <w:pPr>
        <w:ind w:left="288"/>
      </w:pPr>
      <w:r>
        <w:rPr>
          <w:color w:val="8C8C8C"/>
          <w:sz w:val="12"/>
        </w:rPr>
        <w:t>cf-art-30-inc-I</w:t>
      </w:r>
      <w:r>
        <w:rPr>
          <w:color w:val="003CA0"/>
          <w:sz w:val="12"/>
        </w:rPr>
        <w:t xml:space="preserve"> | RE 702.848</w:t>
      </w:r>
      <w:r>
        <w:rPr>
          <w:color w:val="003CA0"/>
          <w:sz w:val="12"/>
        </w:rPr>
        <w:t xml:space="preserve"> | rel. Celso de Mello</w:t>
      </w:r>
    </w:p>
    <w:p>
      <w:pPr>
        <w:ind w:left="288"/>
      </w:pPr>
      <w:r>
        <w:rPr>
          <w:color w:val="1E1E1E"/>
          <w:sz w:val="18"/>
        </w:rPr>
        <w:t>Não vislumbro, no texto da Carta Política, a existência de obstáculo constitucional que possa inibir o exercício, pelo Município, da típica atribuição institucional que lhe pertence, fundada em título jurídico específico (CF, art. 30, I), para legislar, por autoridade própria, sobre a extensão da gratuidade do transporte público coletivo urbano às pessoas compreendidas na faixa etária entre 60 e 65 anos. Na realidade, o Município, ao assim legislar, apoia-se em competência material – que lhe reservou a própria Constituição da República – cuja prática autoriza essa mesma pessoa política a dispo</w:t>
      </w:r>
    </w:p>
    <w:p>
      <w:pPr>
        <w:ind w:left="288"/>
      </w:pPr>
      <w:r>
        <w:rPr>
          <w:b/>
          <w:color w:val="003CA0"/>
          <w:sz w:val="16"/>
        </w:rPr>
        <w:t>[RE 702.848, rel. min. Celso de Mello, j. 29-4-2013, dec. monocrática, DJE de 14-5-2013.]</w:t>
      </w:r>
    </w:p>
    <w:p>
      <w:pPr>
        <w:ind w:left="288"/>
      </w:pPr>
      <w:r>
        <w:rPr>
          <w:color w:val="8C8C8C"/>
          <w:sz w:val="12"/>
        </w:rPr>
        <w:t>cf-art-30-inc-I</w:t>
      </w:r>
      <w:r>
        <w:rPr>
          <w:color w:val="003CA0"/>
          <w:sz w:val="12"/>
        </w:rPr>
        <w:t xml:space="preserve"> | RE 566.836</w:t>
      </w:r>
      <w:r>
        <w:rPr>
          <w:color w:val="003CA0"/>
          <w:sz w:val="12"/>
        </w:rPr>
        <w:t xml:space="preserve"> | rel. Cármen Lúcia</w:t>
      </w:r>
    </w:p>
    <w:p>
      <w:pPr>
        <w:ind w:left="288"/>
      </w:pPr>
      <w:r>
        <w:rPr>
          <w:color w:val="1E1E1E"/>
          <w:sz w:val="18"/>
        </w:rPr>
        <w:t>(...) o acórdão recorrido está em harmonia com a pacífica jurisprudência do STF firmada no sentido de que o Município tem competência para legislar sobre a distância mínima entre postos de revenda de combustíveis.</w:t>
      </w:r>
    </w:p>
    <w:p>
      <w:pPr>
        <w:ind w:left="288"/>
      </w:pPr>
      <w:r>
        <w:rPr>
          <w:b/>
          <w:color w:val="003CA0"/>
          <w:sz w:val="16"/>
        </w:rPr>
        <w:t>[RE 566.836 ED, voto da rel. min. Cármen Lúcia, j. 30-6-2009, 1ª T, DJE de 14-8-2009.]</w:t>
      </w:r>
    </w:p>
    <w:p>
      <w:pPr>
        <w:ind w:left="288"/>
      </w:pPr>
      <w:r>
        <w:rPr>
          <w:color w:val="8C8C8C"/>
          <w:sz w:val="12"/>
        </w:rPr>
        <w:t>cf-art-30-inc-I</w:t>
      </w:r>
      <w:r>
        <w:rPr>
          <w:color w:val="003CA0"/>
          <w:sz w:val="12"/>
        </w:rPr>
        <w:t xml:space="preserve"> | RE 235.736</w:t>
      </w:r>
      <w:r>
        <w:rPr>
          <w:color w:val="003CA0"/>
          <w:sz w:val="12"/>
        </w:rPr>
        <w:t xml:space="preserve"> | rel. Ilmar Galvão</w:t>
      </w:r>
    </w:p>
    <w:p>
      <w:pPr>
        <w:ind w:left="288"/>
      </w:pPr>
      <w:r>
        <w:rPr>
          <w:color w:val="1E1E1E"/>
          <w:sz w:val="18"/>
        </w:rPr>
        <w:t>Vide RE 235.736, rel. min. Ilmar Galvão, j. 21-3-2000, 1ª T, DJ de 26-5-2000 Os Municípios têm autonomia para regular o horário do comércio local, desde que não infrinjam leis estaduais ou federais válidas, pois a Constituição lhes confere competência para legislar sobre assuntos de interesse local.</w:t>
      </w:r>
    </w:p>
    <w:p>
      <w:pPr>
        <w:ind w:left="288"/>
      </w:pPr>
      <w:r>
        <w:rPr>
          <w:b/>
          <w:color w:val="003CA0"/>
          <w:sz w:val="16"/>
        </w:rPr>
        <w:t>[AI 622.405 AgR, rel. min. Eros Grau, j. 22-5-2007, 2ª T, DJ de 15-6-2007.]</w:t>
      </w:r>
    </w:p>
    <w:p>
      <w:pPr>
        <w:ind w:left="288"/>
      </w:pPr>
      <w:r>
        <w:rPr>
          <w:color w:val="8C8C8C"/>
          <w:sz w:val="12"/>
        </w:rPr>
        <w:t>cf-art-30-inc-I</w:t>
      </w:r>
      <w:r>
        <w:rPr>
          <w:color w:val="003CA0"/>
          <w:sz w:val="12"/>
        </w:rPr>
        <w:t xml:space="preserve"> | AI 729.307</w:t>
      </w:r>
      <w:r>
        <w:rPr>
          <w:color w:val="003CA0"/>
          <w:sz w:val="12"/>
        </w:rPr>
        <w:t xml:space="preserve"> | rel. Cármen Lúcia</w:t>
      </w:r>
    </w:p>
    <w:p>
      <w:pPr>
        <w:ind w:left="288"/>
      </w:pPr>
      <w:r>
        <w:rPr>
          <w:color w:val="1E1E1E"/>
          <w:sz w:val="18"/>
        </w:rPr>
        <w:t>= AI 729.307 ED, rel. min. Cármen Lúcia, j. 27-10-2009, 1ª T, DJE de 4-12-2009 Vide ADI 3.731 MC, rel. min. Cezar Peluso, j. 29-8-2007, P, DJ de 11-10-2007 Distrito Federal: competência legislativa para fixação de tempo razoável de espera dos usuários dos serviços de cartórios. A imposição legal de um limite ao tempo de espera em fila dos usuários dos serviços prestados pelos cartórios não constitui matéria relativa à disciplina dos registros públicos, mas assunto de interesse local, cuja competência legislativa a Constituição atribui aos Municípios (...).</w:t>
      </w:r>
    </w:p>
    <w:p>
      <w:pPr>
        <w:ind w:left="288"/>
      </w:pPr>
      <w:r>
        <w:rPr>
          <w:b/>
          <w:color w:val="003CA0"/>
          <w:sz w:val="16"/>
        </w:rPr>
        <w:t>[RE 397.094, rel. min. Sepúlveda Pertence, j. 29-8-2006, 1ª T, DJ de 27-10-2006.]</w:t>
      </w:r>
    </w:p>
    <w:p>
      <w:pPr>
        <w:ind w:left="288"/>
      </w:pPr>
      <w:r>
        <w:rPr>
          <w:color w:val="8C8C8C"/>
          <w:sz w:val="12"/>
        </w:rPr>
        <w:t>cf-art-30-inc-I</w:t>
      </w:r>
      <w:r>
        <w:rPr>
          <w:color w:val="003CA0"/>
          <w:sz w:val="12"/>
        </w:rPr>
        <w:t xml:space="preserve"> | AI 491.420</w:t>
      </w:r>
      <w:r>
        <w:rPr>
          <w:color w:val="003CA0"/>
          <w:sz w:val="12"/>
        </w:rPr>
        <w:t xml:space="preserve"> | rel. Cezar Peluso</w:t>
      </w:r>
    </w:p>
    <w:p>
      <w:pPr>
        <w:ind w:left="288"/>
      </w:pPr>
      <w:r>
        <w:rPr>
          <w:color w:val="1E1E1E"/>
          <w:sz w:val="18"/>
        </w:rPr>
        <w:t>Os Municípios são competentes para legislar sobre questões que respeitem a edificações ou construções realizadas no seu território, assim como sobre assuntos relacionados à exigência de equipamentos de segurança, em imóveis destinados a atendimento ao público.</w:t>
      </w:r>
    </w:p>
    <w:p>
      <w:pPr>
        <w:ind w:left="288"/>
      </w:pPr>
      <w:r>
        <w:rPr>
          <w:b/>
          <w:color w:val="003CA0"/>
          <w:sz w:val="16"/>
        </w:rPr>
        <w:t>[AI 491.420 AgR, rel. min. Cezar Peluso, j. 21-2-2006, 1ª T, DJ de 24-3-2006.]</w:t>
      </w:r>
    </w:p>
    <w:p>
      <w:pPr>
        <w:ind w:left="288"/>
      </w:pPr>
      <w:r>
        <w:rPr>
          <w:color w:val="8C8C8C"/>
          <w:sz w:val="12"/>
        </w:rPr>
        <w:t>cf-art-30-inc-I</w:t>
      </w:r>
      <w:r>
        <w:rPr>
          <w:color w:val="003CA0"/>
          <w:sz w:val="12"/>
        </w:rPr>
        <w:t xml:space="preserve"> | RE 795.804</w:t>
      </w:r>
      <w:r>
        <w:rPr>
          <w:color w:val="003CA0"/>
          <w:sz w:val="12"/>
        </w:rPr>
        <w:t xml:space="preserve"> | rel. Gilmar Mendes</w:t>
      </w:r>
    </w:p>
    <w:p>
      <w:pPr>
        <w:ind w:left="288"/>
      </w:pPr>
      <w:r>
        <w:rPr>
          <w:color w:val="1E1E1E"/>
          <w:sz w:val="18"/>
        </w:rPr>
        <w:t>= RE 795.804 AgR, rel. min. Gilmar Mendes, j. 29-4-2014, 2ª T, DJE de 16-5-2014 A competência constitucional dos Municípios de legislar sobre interesse local não tem o alcance de estabelecer normas que a própria Constituição, na repartição das competências, atribui à União ou aos Estados. O legislador constituinte, em matéria de legislação sobre seguros, sequer conferiu competência comum ou concorrente aos Estados ou aos Municípios.</w:t>
      </w:r>
    </w:p>
    <w:p>
      <w:pPr>
        <w:ind w:left="288"/>
      </w:pPr>
      <w:r>
        <w:rPr>
          <w:b/>
          <w:color w:val="003CA0"/>
          <w:sz w:val="16"/>
        </w:rPr>
        <w:t>[RE 313.060, rel. min. Ellen Gracie, j. 29-11-2005, 2ª T, DJ de 24-2-2006.]</w:t>
      </w:r>
    </w:p>
    <w:p>
      <w:pPr>
        <w:ind w:left="288"/>
      </w:pPr>
      <w:r>
        <w:rPr>
          <w:color w:val="8C8C8C"/>
          <w:sz w:val="12"/>
        </w:rPr>
        <w:t>cf-art-30-inc-I</w:t>
      </w:r>
      <w:r>
        <w:rPr>
          <w:color w:val="003CA0"/>
          <w:sz w:val="12"/>
        </w:rPr>
        <w:t xml:space="preserve"> | AI 347.717</w:t>
      </w:r>
      <w:r>
        <w:rPr>
          <w:color w:val="003CA0"/>
          <w:sz w:val="12"/>
        </w:rPr>
        <w:t xml:space="preserve"> | rel. Celso de Mello</w:t>
      </w:r>
    </w:p>
    <w:p>
      <w:pPr>
        <w:ind w:left="288"/>
      </w:pPr>
      <w:r>
        <w:rPr>
          <w:color w:val="1E1E1E"/>
          <w:sz w:val="18"/>
        </w:rPr>
        <w:t>O Município pode editar legislação própria, com fundamento na autonomia constitucional que lhe é inerente (CF, art. 30, I), com o objetivo de determinar, às instituições financeiras, que instalem, em suas agências, em favor dos usuários dos serviços bancários (clientes ou não), equipamentos destinados a proporcionar-lhes segurança (tais como portas eletrônicas e câmaras filmadoras) ou a propiciar-lhes conforto, mediante oferecimento de instalações sanitárias, ou fornecimento de cadeiras de espera, ou, ainda, colocação de bebedouros.</w:t>
      </w:r>
    </w:p>
    <w:p>
      <w:pPr>
        <w:ind w:left="288"/>
      </w:pPr>
      <w:r>
        <w:rPr>
          <w:b/>
          <w:color w:val="003CA0"/>
          <w:sz w:val="16"/>
        </w:rPr>
        <w:t>[AI 347.717 AgR, rel. min. Celso de Mello, j. 31-5-2005, 2ª T, DJ de 5-8-2005.]</w:t>
      </w:r>
    </w:p>
    <w:p>
      <w:pPr>
        <w:ind w:left="288"/>
      </w:pPr>
      <w:r>
        <w:rPr>
          <w:color w:val="8C8C8C"/>
          <w:sz w:val="12"/>
        </w:rPr>
        <w:t>cf-art-30-inc-I</w:t>
      </w:r>
      <w:r>
        <w:rPr>
          <w:color w:val="003CA0"/>
          <w:sz w:val="12"/>
        </w:rPr>
        <w:t xml:space="preserve"> | RE 266.536</w:t>
      </w:r>
      <w:r>
        <w:rPr>
          <w:color w:val="003CA0"/>
          <w:sz w:val="12"/>
        </w:rPr>
        <w:t xml:space="preserve"> | rel. Dias Toffoli</w:t>
      </w:r>
    </w:p>
    <w:p>
      <w:pPr>
        <w:ind w:left="288"/>
      </w:pPr>
      <w:r>
        <w:rPr>
          <w:color w:val="1E1E1E"/>
          <w:sz w:val="18"/>
        </w:rPr>
        <w:t>= RE 266.536 AgR, rel. min. Dias Toffoli, j. 17-4-2012, 1ª T, DJE de 11-5-2012 Lei municipal de Joinville, que proíbe a instalação de nova farmácia a menos de 500 metros de estabelecimento da mesma natureza. Extremo a que não pode levar a competência municipal para o zoneamento da cidade, por redundar em reserva de mercado, ainda que relativa, e, consequentemente, em afronta aos princípios da livre concorrência, da defesa do consumidor e da liberdade do exercício das atividades econômicas, que informam o modelo de ordem econômica consagrado pela Carta da República (art. 170 e parágrafo da CF).</w:t>
      </w:r>
    </w:p>
    <w:p>
      <w:pPr>
        <w:ind w:left="288"/>
      </w:pPr>
      <w:r>
        <w:rPr>
          <w:b/>
          <w:color w:val="003CA0"/>
          <w:sz w:val="16"/>
        </w:rPr>
        <w:t>[RE 203.909, rel. min. Ilmar Galvão, j. 14-10-1997, 1ª T, DJ de 6-2-1998.]</w:t>
      </w:r>
    </w:p>
    <w:p>
      <w:pPr>
        <w:ind w:left="288"/>
      </w:pPr>
      <w:r>
        <w:rPr>
          <w:color w:val="8C8C8C"/>
          <w:sz w:val="12"/>
        </w:rPr>
        <w:t>cf-art-30-inc-II</w:t>
      </w:r>
      <w:r>
        <w:rPr>
          <w:color w:val="003CA0"/>
          <w:sz w:val="12"/>
        </w:rPr>
        <w:t xml:space="preserve"> | RE 1.576.466</w:t>
      </w:r>
      <w:r>
        <w:rPr>
          <w:color w:val="003CA0"/>
          <w:sz w:val="12"/>
        </w:rPr>
        <w:t xml:space="preserve"> | rel. Flávio Dino</w:t>
      </w:r>
    </w:p>
    <w:p>
      <w:pPr>
        <w:ind w:left="288"/>
      </w:pPr>
      <w:r>
        <w:rPr>
          <w:color w:val="1E1E1E"/>
          <w:sz w:val="18"/>
        </w:rPr>
        <w:t>Competência legislativa municipal. Exigência municipal de instalação de detectores de monóxido de carbono em imóveis residenciais. (...) A inexistência de norma geral federal aplicável afasta qualquer incompatibilidade entre a legislação municipal e o ordenamento federal, inserindo-se a Lei nº 6.002/2024 no âmbito da competência legislativa suplementar do Município para editar normas protetivas à saúde e à segurança habitacional. A alegação de vício de competência não prospera, pois não há contrariedade a normas gerais federais nem usurpação de competência privativa da União. Inexistindo parâm</w:t>
      </w:r>
    </w:p>
    <w:p>
      <w:pPr>
        <w:ind w:left="288"/>
      </w:pPr>
      <w:r>
        <w:rPr>
          <w:b/>
          <w:color w:val="003CA0"/>
          <w:sz w:val="16"/>
        </w:rPr>
        <w:t>[RE 1.576.466 AgR, rel. min. Flávio Dino, j. 9-2-2026, P, DJE de 23-2-2026.]</w:t>
      </w:r>
    </w:p>
    <w:p>
      <w:pPr>
        <w:ind w:left="288"/>
      </w:pPr>
      <w:r>
        <w:rPr>
          <w:color w:val="8C8C8C"/>
          <w:sz w:val="12"/>
        </w:rPr>
        <w:t>cf-art-30-inc-II</w:t>
      </w:r>
      <w:r>
        <w:rPr>
          <w:color w:val="003CA0"/>
          <w:sz w:val="12"/>
        </w:rPr>
        <w:t xml:space="preserve"> | ARE 1.554.743</w:t>
      </w:r>
      <w:r>
        <w:rPr>
          <w:color w:val="003CA0"/>
          <w:sz w:val="12"/>
        </w:rPr>
        <w:t xml:space="preserve"> | rel. Dias Toffoli</w:t>
      </w:r>
    </w:p>
    <w:p>
      <w:pPr>
        <w:ind w:left="288"/>
      </w:pPr>
      <w:r>
        <w:rPr>
          <w:color w:val="1E1E1E"/>
          <w:sz w:val="18"/>
        </w:rPr>
        <w:t>O Município do Rio de Janeiro, ao conceder a meia-entrada aos professores de cursos preparatórios comunitários e/ou sociais em estabelecimentos que promovam lazer e entretenimento e estimulem a difusão cultural, atuou nos exatos limites permitidos pelos incisos I e II do art. 30 da Constituição da República, uma vez que, ao legislar sobre assunto de interesse local – valorização dos profissionais de educação do referido ente federativo, compreendidos lato sensu –, suplementou as legislações federal e estadual.</w:t>
      </w:r>
    </w:p>
    <w:p>
      <w:pPr>
        <w:ind w:left="288"/>
      </w:pPr>
      <w:r>
        <w:rPr>
          <w:b/>
          <w:color w:val="003CA0"/>
          <w:sz w:val="16"/>
        </w:rPr>
        <w:t>[ARE 1.554.743 AgR, rel. min. Dias Toffoli, j. 15.09.2025, P, DJE de 08.10.2025.]</w:t>
      </w:r>
    </w:p>
    <w:p>
      <w:pPr>
        <w:ind w:left="288"/>
      </w:pPr>
      <w:r>
        <w:rPr>
          <w:color w:val="8C8C8C"/>
          <w:sz w:val="12"/>
        </w:rPr>
        <w:t>cf-art-30-inc-II</w:t>
      </w:r>
      <w:r>
        <w:rPr>
          <w:color w:val="003CA0"/>
          <w:sz w:val="12"/>
        </w:rPr>
        <w:t xml:space="preserve"> | ARE 1.549.272</w:t>
      </w:r>
      <w:r>
        <w:rPr>
          <w:color w:val="003CA0"/>
          <w:sz w:val="12"/>
        </w:rPr>
        <w:t xml:space="preserve"> | rel. Gilmar Mendes</w:t>
      </w:r>
    </w:p>
    <w:p>
      <w:pPr>
        <w:ind w:left="288"/>
      </w:pPr>
      <w:r>
        <w:rPr>
          <w:color w:val="1E1E1E"/>
          <w:sz w:val="18"/>
        </w:rPr>
        <w:t>Competência legislativa suplementar. Procedimentos em matéria processual. Lei Municipal. Prioridade na tramitação de processos administrativos. Constitucionalidade. (...) O acórdão recorrido corretamente analisou a compatibilidade da lei municipal com a legislação federal, concluindo que a norma municipal não contraria as normas gerais e exerce competência suplementar em relação a matéria de interesse local. A lei municipal não adentra o escopo de competências da União para dispor sobre as normas gerais de processo administrativo. A prioridade estabelecida na lei municipal encontra amparo em l</w:t>
      </w:r>
    </w:p>
    <w:p>
      <w:pPr>
        <w:ind w:left="288"/>
      </w:pPr>
      <w:r>
        <w:rPr>
          <w:b/>
          <w:color w:val="003CA0"/>
          <w:sz w:val="16"/>
        </w:rPr>
        <w:t>[ARE 1.549.272, rel. min. Gilmar Mendes, j. 16.06.2025, P, DJE de 31.07.2025.]</w:t>
      </w:r>
    </w:p>
    <w:p>
      <w:pPr>
        <w:ind w:left="288"/>
      </w:pPr>
      <w:r>
        <w:rPr>
          <w:color w:val="8C8C8C"/>
          <w:sz w:val="12"/>
        </w:rPr>
        <w:t>cf-art-30-inc-II</w:t>
      </w:r>
      <w:r>
        <w:rPr>
          <w:color w:val="003CA0"/>
          <w:sz w:val="12"/>
        </w:rPr>
        <w:t xml:space="preserve"> | ARE 1.496.053</w:t>
      </w:r>
      <w:r>
        <w:rPr>
          <w:color w:val="003CA0"/>
          <w:sz w:val="12"/>
        </w:rPr>
        <w:t xml:space="preserve"> | rel. André Mendonça</w:t>
      </w:r>
    </w:p>
    <w:p>
      <w:pPr>
        <w:ind w:left="288"/>
      </w:pPr>
      <w:r>
        <w:rPr>
          <w:color w:val="1E1E1E"/>
          <w:sz w:val="18"/>
        </w:rPr>
        <w:t>Artigo 3º da Lei nº 2.038, de 2017, do município de Peçanha/MG. Definição de atuação do conselho tutelar na época do carnaval. Competência suplementar do município. (...) Os municípios têm autonomia para dispor, mediante lei, sobre proteção à infância e à juventude em âmbito local, desde que não afrontem legislação federal ou estadual.</w:t>
        <w:br/>
        <w:t>[ARE 1.496.053, rel. min. André Mendonça, j. 07.08.2024, P, DJE de 04.09.2024.]</w:t>
      </w:r>
    </w:p>
    <w:p>
      <w:pPr>
        <w:ind w:left="144"/>
      </w:pPr>
      <w:r>
        <w:rPr>
          <w:b/>
          <w:color w:val="B45A00"/>
          <w:sz w:val="16"/>
        </w:rPr>
        <w:t>CONTROLE CONCENTRADO</w:t>
      </w:r>
    </w:p>
    <w:p>
      <w:pPr>
        <w:ind w:left="288"/>
      </w:pPr>
      <w:r>
        <w:rPr>
          <w:color w:val="8C8C8C"/>
          <w:sz w:val="12"/>
        </w:rPr>
        <w:t>cf-art-30-inc-III</w:t>
      </w:r>
      <w:r>
        <w:rPr>
          <w:color w:val="003CA0"/>
          <w:sz w:val="12"/>
        </w:rPr>
        <w:t xml:space="preserve"> | ADI 2.355</w:t>
      </w:r>
      <w:r>
        <w:rPr>
          <w:color w:val="003CA0"/>
          <w:sz w:val="12"/>
        </w:rPr>
        <w:t xml:space="preserve"> | rel. Nunes Marques</w:t>
      </w:r>
    </w:p>
    <w:p>
      <w:pPr>
        <w:ind w:left="288"/>
      </w:pPr>
      <w:r>
        <w:rPr>
          <w:color w:val="1E1E1E"/>
          <w:sz w:val="18"/>
        </w:rPr>
        <w:t>A parcela devida aos Municípios em razão da repartição constitucional de receitas lhes pertence de pleno direito. 2. Viola a autonomia municipal norma estadual que dispõe sobre a destinação dos recursos recebidos pelos Municípios a título de repartição constitucional de ICMS.</w:t>
        <w:br/>
        <w:t>[ADI 2.355, rel. min. Nunes Marques, j. 19-9-2022, P, DJE de 29-9-2022.]</w:t>
      </w:r>
    </w:p>
    <w:p>
      <w:pPr>
        <w:ind w:left="288"/>
      </w:pPr>
      <w:r>
        <w:rPr>
          <w:color w:val="8C8C8C"/>
          <w:sz w:val="12"/>
        </w:rPr>
        <w:t>cf-art-30-inc-IV</w:t>
      </w:r>
      <w:r>
        <w:rPr>
          <w:color w:val="003CA0"/>
          <w:sz w:val="12"/>
        </w:rPr>
        <w:t xml:space="preserve"> | ADI 478</w:t>
      </w:r>
      <w:r>
        <w:rPr>
          <w:color w:val="003CA0"/>
          <w:sz w:val="12"/>
        </w:rPr>
        <w:t xml:space="preserve"> | rel. Carlos Velloso</w:t>
      </w:r>
    </w:p>
    <w:p>
      <w:pPr>
        <w:ind w:left="288"/>
      </w:pPr>
      <w:r>
        <w:rPr>
          <w:color w:val="1E1E1E"/>
          <w:sz w:val="18"/>
        </w:rPr>
        <w:t>A criação, a organização e a supressão de distritos, da competência dos Municípios, faz-se com observância da legislação estadual (CF, art. 30, IV). Também a competência municipal, para promover, no que couber, adequado ordenamento territorial, mediante planejamento e controle do uso, do parcelamento e da ocupação do solo urbano – CF, art. 30, VIII – por relacionar-se com o direito urbanístico, está sujeita a normas federais e estaduais (CF, art. 24, I). As normas das entidades políticas diversas – União e Estado-membro – deverão, entretanto, ser gerais, em forma de diretrizes, sob pena de tor</w:t>
      </w:r>
    </w:p>
    <w:p>
      <w:pPr>
        <w:ind w:left="288"/>
      </w:pPr>
      <w:r>
        <w:rPr>
          <w:b/>
          <w:color w:val="003CA0"/>
          <w:sz w:val="16"/>
        </w:rPr>
        <w:t>ADI 478, rel. min. Carlos Velloso, j. 9-12-1996, P, DJ de 28-2-1997.]</w:t>
      </w:r>
    </w:p>
    <w:p>
      <w:pPr>
        <w:ind w:left="288"/>
      </w:pPr>
      <w:r>
        <w:rPr>
          <w:color w:val="8C8C8C"/>
          <w:sz w:val="12"/>
        </w:rPr>
        <w:t>cf-art-30-inc-IV</w:t>
      </w:r>
      <w:r>
        <w:rPr>
          <w:color w:val="003CA0"/>
          <w:sz w:val="12"/>
        </w:rPr>
        <w:t xml:space="preserve"> | ADI 512</w:t>
      </w:r>
      <w:r>
        <w:rPr>
          <w:color w:val="003CA0"/>
          <w:sz w:val="12"/>
        </w:rPr>
        <w:t xml:space="preserve"> | rel. Marco Aurélio</w:t>
      </w:r>
    </w:p>
    <w:p>
      <w:pPr>
        <w:ind w:left="288"/>
      </w:pPr>
      <w:r>
        <w:rPr>
          <w:color w:val="1E1E1E"/>
          <w:sz w:val="18"/>
        </w:rPr>
        <w:t>= ADI 512, rel. min. Marco Aurélio, j. 3-3-1999, P, DJ de 18-6-2001</w:t>
      </w:r>
    </w:p>
    <w:p>
      <w:pPr>
        <w:ind w:left="144"/>
      </w:pPr>
      <w:r>
        <w:rPr>
          <w:b/>
          <w:color w:val="B45A00"/>
          <w:sz w:val="16"/>
        </w:rPr>
        <w:t>REPERCUSSAO GERAL</w:t>
      </w:r>
    </w:p>
    <w:p>
      <w:pPr>
        <w:ind w:left="288"/>
      </w:pPr>
      <w:r>
        <w:rPr>
          <w:color w:val="8C8C8C"/>
          <w:sz w:val="12"/>
        </w:rPr>
        <w:t>cf-art-30-inc-IV</w:t>
      </w:r>
      <w:r>
        <w:rPr>
          <w:color w:val="003CA0"/>
          <w:sz w:val="12"/>
        </w:rPr>
        <w:t xml:space="preserve"> | RE 738.481</w:t>
      </w:r>
      <w:r>
        <w:rPr>
          <w:color w:val="003CA0"/>
          <w:sz w:val="12"/>
        </w:rPr>
        <w:t xml:space="preserve"> | rel. Edson Fachin</w:t>
      </w:r>
    </w:p>
    <w:p>
      <w:pPr>
        <w:ind w:left="288"/>
      </w:pPr>
      <w:r>
        <w:rPr>
          <w:color w:val="1E1E1E"/>
          <w:sz w:val="18"/>
        </w:rPr>
        <w:t>“Compete aos municípios legislar sobre a obrigatoriedade de instalação de hidrômetros individuais nos edifícios e condomínios, em razão do preponderante interesse local envolvido.”</w:t>
      </w:r>
    </w:p>
    <w:p>
      <w:pPr>
        <w:ind w:left="288"/>
      </w:pPr>
      <w:r>
        <w:rPr>
          <w:b/>
          <w:color w:val="003CA0"/>
          <w:sz w:val="16"/>
        </w:rPr>
        <w:t>[RE 738.481, rel. min. Edson Fachin, j. 16-8-2021, P, DJE de 25-8-2021, Tema 849.]</w:t>
      </w:r>
    </w:p>
    <w:p>
      <w:pPr>
        <w:ind w:left="288"/>
      </w:pPr>
      <w:r>
        <w:rPr>
          <w:color w:val="8C8C8C"/>
          <w:sz w:val="12"/>
        </w:rPr>
        <w:t>cf-art-30-inc-V</w:t>
      </w:r>
      <w:r>
        <w:rPr>
          <w:color w:val="003CA0"/>
          <w:sz w:val="12"/>
        </w:rPr>
        <w:t xml:space="preserve"> | ADI 7.725</w:t>
      </w:r>
      <w:r>
        <w:rPr>
          <w:color w:val="003CA0"/>
          <w:sz w:val="12"/>
        </w:rPr>
        <w:t xml:space="preserve"> | rel. André Mendonça</w:t>
      </w:r>
    </w:p>
    <w:p>
      <w:pPr>
        <w:ind w:left="288"/>
      </w:pPr>
      <w:r>
        <w:rPr>
          <w:color w:val="1E1E1E"/>
          <w:sz w:val="18"/>
        </w:rPr>
        <w:t>Lei Estadual nº 3.533/2019, do Estado do Tocantins. Suspensão dos serviços públicos de energia elétrica e água por inadimplemento dos usuários. (...) Considerando que a energia elétrica é matéria de competência administrativa e legislativa da União, é inconstitucional a lei estadual que estabeleça regras sobre a suspensão do fornecimento dos serviços por inadimplemento do usuário, por violação aos artigos 21, inciso XII, alínea “b”, e 22, inciso IV, da Constituição. (...) Quanto aos serviços públicos de fornecimento de água, o Supremo Tribunal Federal entende que o interesse predominante, ness</w:t>
      </w:r>
    </w:p>
    <w:p>
      <w:pPr>
        <w:ind w:left="288"/>
      </w:pPr>
      <w:r>
        <w:rPr>
          <w:b/>
          <w:color w:val="003CA0"/>
          <w:sz w:val="16"/>
        </w:rPr>
        <w:t>[ADI 7.725, rel. min. André Mendonça, j. 26.05.2025, P, DJE de 02.07.2025.]</w:t>
      </w:r>
    </w:p>
    <w:p>
      <w:pPr>
        <w:ind w:left="144"/>
      </w:pPr>
      <w:r>
        <w:rPr>
          <w:b/>
          <w:color w:val="B45A00"/>
          <w:sz w:val="16"/>
        </w:rPr>
        <w:t>CONTROLE CONCENTRADO</w:t>
      </w:r>
    </w:p>
    <w:p>
      <w:pPr>
        <w:ind w:left="288"/>
      </w:pPr>
      <w:r>
        <w:rPr>
          <w:color w:val="8C8C8C"/>
          <w:sz w:val="12"/>
        </w:rPr>
        <w:t>cf-art-30-inc-V</w:t>
      </w:r>
      <w:r>
        <w:rPr>
          <w:color w:val="003CA0"/>
          <w:sz w:val="12"/>
        </w:rPr>
        <w:t xml:space="preserve"> | ADI 845</w:t>
      </w:r>
      <w:r>
        <w:rPr>
          <w:color w:val="003CA0"/>
          <w:sz w:val="12"/>
        </w:rPr>
        <w:t xml:space="preserve"> | rel. Eros Grau</w:t>
      </w:r>
    </w:p>
    <w:p>
      <w:pPr>
        <w:ind w:left="288"/>
      </w:pPr>
      <w:r>
        <w:rPr>
          <w:color w:val="1E1E1E"/>
          <w:sz w:val="18"/>
        </w:rPr>
        <w:t>A competência para organizar serviços públicos de interesse local é municipal, entre os quais o de transporte coletivo (...). O preceito da Constituição amapaense que garante o direito a "meia passagem" aos estudantes, nos transportes coletivos municipais, avança sobre a competência legislativa local. A competência para legislar a propósito da prestação de serviços públicos de transporte intermunicipal é dos Estados-membros. Não há inconstitucionalidade no que toca ao benefício, concedido pela Constituição estadual, de "meia passagem" aos estudantes nos transportes coletivos intermunicipais.</w:t>
      </w:r>
    </w:p>
    <w:p>
      <w:pPr>
        <w:ind w:left="288"/>
      </w:pPr>
      <w:r>
        <w:rPr>
          <w:b/>
          <w:color w:val="003CA0"/>
          <w:sz w:val="16"/>
        </w:rPr>
        <w:t>[ADI 845, rel. min. Eros Grau, j. 22-11-2007, P, DJE de 7-3-2008.]</w:t>
      </w:r>
    </w:p>
    <w:p>
      <w:pPr>
        <w:ind w:left="288"/>
      </w:pPr>
      <w:r>
        <w:rPr>
          <w:color w:val="8C8C8C"/>
          <w:sz w:val="12"/>
        </w:rPr>
        <w:t>cf-art-30-inc-V</w:t>
      </w:r>
      <w:r>
        <w:rPr>
          <w:color w:val="003CA0"/>
          <w:sz w:val="12"/>
        </w:rPr>
        <w:t xml:space="preserve"> | ADI 2.751</w:t>
      </w:r>
      <w:r>
        <w:rPr>
          <w:color w:val="003CA0"/>
          <w:sz w:val="12"/>
        </w:rPr>
        <w:t xml:space="preserve"> | rel. Carlos Velloso</w:t>
      </w:r>
    </w:p>
    <w:p>
      <w:pPr>
        <w:ind w:left="288"/>
      </w:pPr>
      <w:r>
        <w:rPr>
          <w:color w:val="1E1E1E"/>
          <w:sz w:val="18"/>
        </w:rPr>
        <w:t>Lei 3.756/2002 do Estado do Rio de Janeiro, que autoriza o Poder Executivo a apreender e desemplacar veículos de transporte coletivo de passageiros encontrados em situação irregular: constitucionalidade, porque a norma legal insere-se no poder de polícia do Estado.</w:t>
      </w:r>
    </w:p>
    <w:p>
      <w:pPr>
        <w:ind w:left="288"/>
      </w:pPr>
      <w:r>
        <w:rPr>
          <w:b/>
          <w:color w:val="003CA0"/>
          <w:sz w:val="16"/>
        </w:rPr>
        <w:t>[ADI 2.751, rel. min. Carlos Velloso, j. 31-8-2005, P, DJ de 24-2-2006.]</w:t>
      </w:r>
    </w:p>
    <w:p>
      <w:pPr>
        <w:ind w:left="288"/>
      </w:pPr>
      <w:r>
        <w:rPr>
          <w:color w:val="8C8C8C"/>
          <w:sz w:val="12"/>
        </w:rPr>
        <w:t>cf-art-30-inc-V</w:t>
      </w:r>
      <w:r>
        <w:rPr>
          <w:color w:val="003CA0"/>
          <w:sz w:val="12"/>
        </w:rPr>
        <w:t xml:space="preserve"> | ADI 2.349</w:t>
      </w:r>
      <w:r>
        <w:rPr>
          <w:color w:val="003CA0"/>
          <w:sz w:val="12"/>
        </w:rPr>
        <w:t xml:space="preserve"> | rel. Eros Grau</w:t>
      </w:r>
    </w:p>
    <w:p>
      <w:pPr>
        <w:ind w:left="288"/>
      </w:pPr>
      <w:r>
        <w:rPr>
          <w:color w:val="1E1E1E"/>
          <w:sz w:val="18"/>
        </w:rPr>
        <w:t>Os Estados-membros são competentes para explorar e regulamentar a prestação de serviços de transporte intermunicipal. (...) A prestação de transporte urbano, consubstanciando serviço público de interesse local, é matéria albergada pela competência legislativa dos Municípios, não cabendo aos Estados-membros dispor a seu respeito.</w:t>
      </w:r>
    </w:p>
    <w:p>
      <w:pPr>
        <w:ind w:left="288"/>
      </w:pPr>
      <w:r>
        <w:rPr>
          <w:b/>
          <w:color w:val="003CA0"/>
          <w:sz w:val="16"/>
        </w:rPr>
        <w:t>[ADI 2.349, rel. min. Eros Grau, j. 31-8-2005, P, DJ de 14-10-2005.]</w:t>
      </w:r>
    </w:p>
    <w:p>
      <w:pPr>
        <w:ind w:left="288"/>
      </w:pPr>
      <w:r>
        <w:rPr>
          <w:color w:val="8C8C8C"/>
          <w:sz w:val="12"/>
        </w:rPr>
        <w:t>cf-art-30-inc-V</w:t>
      </w:r>
      <w:r>
        <w:rPr>
          <w:color w:val="003CA0"/>
          <w:sz w:val="12"/>
        </w:rPr>
        <w:t xml:space="preserve"> | RE 549.549</w:t>
      </w:r>
      <w:r>
        <w:rPr>
          <w:color w:val="003CA0"/>
          <w:sz w:val="12"/>
        </w:rPr>
        <w:t xml:space="preserve"> | rel. Ellen Gracie</w:t>
      </w:r>
    </w:p>
    <w:p>
      <w:pPr>
        <w:ind w:left="288"/>
      </w:pPr>
      <w:r>
        <w:rPr>
          <w:color w:val="1E1E1E"/>
          <w:sz w:val="18"/>
        </w:rPr>
        <w:t>= RE 549.549 AgR, rel. min. Ellen Gracie, j. 25-11-2008, 2ª T, DJE de 19-12-2008 Os serviços funerários constituem serviços municipais, dado que dizem respeito com necessidades imediatas do Município. CF, art. 30, V.</w:t>
      </w:r>
    </w:p>
    <w:p>
      <w:pPr>
        <w:ind w:left="288"/>
      </w:pPr>
      <w:r>
        <w:rPr>
          <w:b/>
          <w:color w:val="003CA0"/>
          <w:sz w:val="16"/>
        </w:rPr>
        <w:t>[ADI 1.221, rel. min. Carlos Velloso, j. 9-10-2003, P, DJ de 31-10-2003.]</w:t>
      </w:r>
    </w:p>
    <w:p>
      <w:pPr>
        <w:ind w:left="288"/>
      </w:pPr>
      <w:r>
        <w:rPr>
          <w:color w:val="8C8C8C"/>
          <w:sz w:val="12"/>
        </w:rPr>
        <w:t>cf-art-30-inc-V</w:t>
      </w:r>
      <w:r>
        <w:rPr>
          <w:color w:val="003CA0"/>
          <w:sz w:val="12"/>
        </w:rPr>
        <w:t xml:space="preserve"> | ADI 2.337</w:t>
      </w:r>
      <w:r>
        <w:rPr>
          <w:color w:val="003CA0"/>
          <w:sz w:val="12"/>
        </w:rPr>
        <w:t xml:space="preserve"> | rel. Celso de Mello</w:t>
      </w:r>
    </w:p>
    <w:p>
      <w:pPr>
        <w:ind w:left="288"/>
      </w:pPr>
      <w:r>
        <w:rPr>
          <w:color w:val="1E1E1E"/>
          <w:sz w:val="18"/>
        </w:rPr>
        <w:t>Os Estados-membros – que não podem interferir na esfera das relações jurídico-contratuais estabelecidas entre o poder concedente (quando este for a União Federal ou o Município) e as empresas concessionárias – também não dispõem de competência para modificar ou alterar as condições, que, previstas na licitação, acham-se formalmente estipuladas no contrato de concessão celebrado pela União (energia elétrica – CF, art. 21, XII, b) e pelo Município (fornecimento de água – CF, art. 30, I e V), de um lado, com as concessionárias, de outro, notadamente se essa ingerência normativa, ao determinar a s</w:t>
      </w:r>
    </w:p>
    <w:p>
      <w:pPr>
        <w:ind w:left="288"/>
      </w:pPr>
      <w:r>
        <w:rPr>
          <w:b/>
          <w:color w:val="003CA0"/>
          <w:sz w:val="16"/>
        </w:rPr>
        <w:t>[ADI 2.337 MC, rel. min. Celso de Mello, j. 20-2-2002, P, DJ de 21-6-2002.]</w:t>
      </w:r>
    </w:p>
    <w:p>
      <w:pPr>
        <w:ind w:left="288"/>
      </w:pPr>
      <w:r>
        <w:rPr>
          <w:color w:val="8C8C8C"/>
          <w:sz w:val="12"/>
        </w:rPr>
        <w:t>cf-art-30-inc-V</w:t>
      </w:r>
      <w:r>
        <w:rPr>
          <w:color w:val="003CA0"/>
          <w:sz w:val="12"/>
        </w:rPr>
        <w:t xml:space="preserve"> | ADI 2.340</w:t>
      </w:r>
      <w:r>
        <w:rPr>
          <w:color w:val="003CA0"/>
          <w:sz w:val="12"/>
        </w:rPr>
        <w:t xml:space="preserve"> | rel. Ricardo Lewandowski</w:t>
      </w:r>
    </w:p>
    <w:p>
      <w:pPr>
        <w:ind w:left="288"/>
      </w:pPr>
      <w:r>
        <w:rPr>
          <w:color w:val="1E1E1E"/>
          <w:sz w:val="18"/>
        </w:rPr>
        <w:t>= ADI 2.340, rel. min. Ricardo Lewandowski, j. 6-3-2013, P, DJE de 10-5-2013</w:t>
      </w:r>
    </w:p>
    <w:p>
      <w:pPr>
        <w:ind w:left="144"/>
      </w:pPr>
      <w:r>
        <w:rPr>
          <w:b/>
          <w:color w:val="B45A00"/>
          <w:sz w:val="16"/>
        </w:rPr>
        <w:t>REPERCUSSAO GERAL</w:t>
      </w:r>
    </w:p>
    <w:p>
      <w:pPr>
        <w:ind w:left="288"/>
      </w:pPr>
      <w:r>
        <w:rPr>
          <w:color w:val="8C8C8C"/>
          <w:sz w:val="12"/>
        </w:rPr>
        <w:t>cf-art-30-inc-V</w:t>
      </w:r>
      <w:r>
        <w:rPr>
          <w:color w:val="003CA0"/>
          <w:sz w:val="12"/>
        </w:rPr>
        <w:t xml:space="preserve"> | RE 1.350.965</w:t>
      </w:r>
      <w:r>
        <w:rPr>
          <w:color w:val="003CA0"/>
          <w:sz w:val="12"/>
        </w:rPr>
        <w:t xml:space="preserve"> | rel. Luiz Fux</w:t>
      </w:r>
    </w:p>
    <w:p>
      <w:pPr>
        <w:ind w:left="288"/>
      </w:pPr>
      <w:r>
        <w:rPr>
          <w:color w:val="1E1E1E"/>
          <w:sz w:val="18"/>
        </w:rPr>
        <w:t>É infraconstitucional, a ela se aplicando os efeitos da ausência de repercussão geral, a controvérsia relativa à extrapolação dos limites do poder regulamentar pela Agência Nacional de Energia Elétrica (ANEEL), na edição das Resoluções 414/2010, 479/2012 e 587/2013, as quais determinam a transferência aos municípios do sistema de iluminação pública registrado como Ativo Imobilizado em Serviço AIS da distribuidora de energia elétrica.</w:t>
        <w:br/>
        <w:t>[RE 1.350.965 RG, rel. min. Luiz Fux, j. 11-11-2021, P, DJE de 6-12-2021, Tema 1.181, com repercussão geral negada.] Surge constitucional previsão normativa local</w:t>
      </w:r>
    </w:p>
    <w:p>
      <w:pPr>
        <w:ind w:left="144"/>
      </w:pPr>
      <w:r>
        <w:rPr>
          <w:b/>
          <w:color w:val="B45A00"/>
          <w:sz w:val="16"/>
        </w:rPr>
        <w:t>JULGADOS CORRELATOS</w:t>
      </w:r>
    </w:p>
    <w:p>
      <w:pPr>
        <w:ind w:left="288"/>
      </w:pPr>
      <w:r>
        <w:rPr>
          <w:color w:val="8C8C8C"/>
          <w:sz w:val="12"/>
        </w:rPr>
        <w:t>cf-art-30-inc-V</w:t>
      </w:r>
      <w:r>
        <w:rPr>
          <w:color w:val="003CA0"/>
          <w:sz w:val="12"/>
        </w:rPr>
        <w:t xml:space="preserve"> | ARE 929.591</w:t>
      </w:r>
      <w:r>
        <w:rPr>
          <w:color w:val="003CA0"/>
          <w:sz w:val="12"/>
        </w:rPr>
        <w:t xml:space="preserve"> | rel. Dias Toffoli</w:t>
      </w:r>
    </w:p>
    <w:p>
      <w:pPr>
        <w:ind w:left="288"/>
      </w:pPr>
      <w:r>
        <w:rPr>
          <w:color w:val="1E1E1E"/>
          <w:sz w:val="18"/>
        </w:rPr>
        <w:t>Lei 4.166/2005 do Município de Cascavel/PR. (...) Não obstante o nobre escopo da referida norma de estender aos idosos entre 60 e 65 anos, independentemente do horário, a gratuidade nos transportes coletivos urbanos esteja prevista no art. 230, § 2º, da CF, o diploma em referência, originado de projeto de iniciativa do Poder Legislativo, acaba por incidir em matéria sujeita à reserva de administração, por ser atinente aos contratos administrativos celebrados com as concessionárias de serviço de transporte coletivo urbano municipal (art. 30,  V, da CF).</w:t>
        <w:br/>
        <w:t>[ARE 929.591 AgR, rel. min. Dias Toffoli,</w:t>
      </w:r>
    </w:p>
    <w:p>
      <w:pPr>
        <w:ind w:left="288"/>
      </w:pPr>
      <w:r>
        <w:rPr>
          <w:color w:val="8C8C8C"/>
          <w:sz w:val="12"/>
        </w:rPr>
        <w:t>cf-art-30-inc-VII</w:t>
      </w:r>
      <w:r>
        <w:rPr>
          <w:color w:val="003CA0"/>
          <w:sz w:val="12"/>
        </w:rPr>
        <w:t xml:space="preserve"> | AI 759.543</w:t>
      </w:r>
      <w:r>
        <w:rPr>
          <w:color w:val="003CA0"/>
          <w:sz w:val="12"/>
        </w:rPr>
        <w:t xml:space="preserve"> | rel. Celso de Mello</w:t>
      </w:r>
    </w:p>
    <w:p>
      <w:pPr>
        <w:ind w:left="288"/>
      </w:pPr>
      <w:r>
        <w:rPr>
          <w:color w:val="1E1E1E"/>
          <w:sz w:val="18"/>
        </w:rPr>
        <w:t>Ampliação e melhoria no atendimento à população no Hospital Municipal Souza Aguiar. Dever estatal de assistência à saúde resultante de norma constitucional. Obrigação jurídico-constitucional que se impõe aos Municípios (CF, art. 30, VII). Configuração, no caso, de típica hipótese de omissão inconstitucional imputável ao Município do Rio de Janeiro/RJ. Desrespeito à Constituição provocado por inércia estatal (RTJ 183/818-819). Comportamento que transgride a autoridade da Lei Fundamental da República (RTJ 185/794-796).</w:t>
      </w:r>
    </w:p>
    <w:p>
      <w:pPr>
        <w:ind w:left="288"/>
      </w:pPr>
      <w:r>
        <w:rPr>
          <w:b/>
          <w:color w:val="003CA0"/>
          <w:sz w:val="16"/>
        </w:rPr>
        <w:t>[AI 759.543 AgR, rel. min. Celso de Mello, j. 17-12-2013, 2ª T, DJE de 12-2-2014.]</w:t>
      </w:r>
    </w:p>
    <w:p>
      <w:pPr>
        <w:ind w:left="144"/>
      </w:pPr>
      <w:r>
        <w:rPr>
          <w:b/>
          <w:color w:val="B45A00"/>
          <w:sz w:val="16"/>
        </w:rPr>
        <w:t>CONTROLE CONCENTRADO</w:t>
      </w:r>
    </w:p>
    <w:p>
      <w:pPr>
        <w:ind w:left="288"/>
      </w:pPr>
      <w:r>
        <w:rPr>
          <w:color w:val="8C8C8C"/>
          <w:sz w:val="12"/>
        </w:rPr>
        <w:t>cf-art-30-inc-VIII</w:t>
      </w:r>
      <w:r>
        <w:rPr>
          <w:color w:val="003CA0"/>
          <w:sz w:val="12"/>
        </w:rPr>
        <w:t xml:space="preserve"> | ADI 478</w:t>
      </w:r>
      <w:r>
        <w:rPr>
          <w:color w:val="003CA0"/>
          <w:sz w:val="12"/>
        </w:rPr>
        <w:t xml:space="preserve"> | rel. Carlos Velloso</w:t>
      </w:r>
    </w:p>
    <w:p>
      <w:pPr>
        <w:ind w:left="288"/>
      </w:pPr>
      <w:r>
        <w:rPr>
          <w:color w:val="1E1E1E"/>
          <w:sz w:val="18"/>
        </w:rPr>
        <w:t>A criação, a organização e a supressão de distritos, da competência dos Municípios, faz-se com observância da legislação estadual (CF, art. 30, IV). Também a competência municipal, para promover, no que couber, adequado ordenamento territorial, mediante planejamento e controle do uso, do parcelamento e da ocupação do solo urbano – CF, art. 30, VIII – por relacionar-se com o direito urbanístico, está sujeita a normas federais e estaduais (CF, art. 24, I). As normas das entidades políticas diversas – União e Estado-membro – deverão, entretanto, ser gerais, em forma de diretrizes, sob pena de tor</w:t>
      </w:r>
    </w:p>
    <w:p>
      <w:pPr>
        <w:ind w:left="288"/>
      </w:pPr>
      <w:r>
        <w:rPr>
          <w:b/>
          <w:color w:val="003CA0"/>
          <w:sz w:val="16"/>
        </w:rPr>
        <w:t>[ADI 478, rel. min. Carlos Velloso, j. 9-12-1996, P, DJ de 28-2-1997.]</w:t>
      </w:r>
    </w:p>
    <w:p>
      <w:pPr>
        <w:ind w:left="288"/>
      </w:pPr>
      <w:r>
        <w:rPr>
          <w:color w:val="8C8C8C"/>
          <w:sz w:val="12"/>
        </w:rPr>
        <w:t>cf-art-30-inc-VIII</w:t>
      </w:r>
      <w:r>
        <w:rPr>
          <w:color w:val="003CA0"/>
          <w:sz w:val="12"/>
        </w:rPr>
        <w:t xml:space="preserve"> | ARE 1.536.905</w:t>
      </w:r>
      <w:r>
        <w:rPr>
          <w:color w:val="003CA0"/>
          <w:sz w:val="12"/>
        </w:rPr>
        <w:t xml:space="preserve"> | rel. Alexandre de Moraes</w:t>
      </w:r>
    </w:p>
    <w:p>
      <w:pPr>
        <w:ind w:left="288"/>
      </w:pPr>
      <w:r>
        <w:rPr>
          <w:color w:val="1E1E1E"/>
          <w:sz w:val="18"/>
        </w:rPr>
        <w:t xml:space="preserve">A necessidade de controle administrativo prévio para a intervenção no espaço urbano constitui preceito derivado da norma do art. 30, VIII, da Constituição Federal, que pressupõe a existência de uma proibição genérica do exercício dos direitos preexistentes dos particulares, calcado na função social da propriedade. Os municípios têm o poder-dever de realizar o controle prévio do uso, do parcelamento e da ocupação do solo urbano, no exercício de sua competência constitucional de execução da política de desenvolvimento urbano, com o objetivo de ordenar o pleno desenvolvimento das funções sociais </w:t>
      </w:r>
    </w:p>
    <w:p>
      <w:pPr>
        <w:ind w:left="288"/>
      </w:pPr>
      <w:r>
        <w:rPr>
          <w:b/>
          <w:color w:val="003CA0"/>
          <w:sz w:val="16"/>
        </w:rPr>
        <w:t>[ARE 1.536.905 AgR, rel. min. Alexandre de Moraes, j. 30.04.2025, P, DJE de 07.05.2025.]</w:t>
      </w:r>
    </w:p>
    <w:p>
      <w:pPr>
        <w:ind w:left="144"/>
      </w:pPr>
      <w:r>
        <w:rPr>
          <w:b/>
          <w:color w:val="B45A00"/>
          <w:sz w:val="16"/>
        </w:rPr>
        <w:t>JULGADOS CORRELATOS</w:t>
      </w:r>
    </w:p>
    <w:p>
      <w:pPr>
        <w:ind w:left="288"/>
      </w:pPr>
      <w:r>
        <w:rPr>
          <w:color w:val="8C8C8C"/>
          <w:sz w:val="12"/>
        </w:rPr>
        <w:t>cf-art-30-inc-VIII</w:t>
      </w:r>
      <w:r>
        <w:rPr>
          <w:color w:val="003CA0"/>
          <w:sz w:val="12"/>
        </w:rPr>
        <w:t xml:space="preserve"> | RE 632.006</w:t>
      </w:r>
      <w:r>
        <w:rPr>
          <w:color w:val="003CA0"/>
          <w:sz w:val="12"/>
        </w:rPr>
        <w:t xml:space="preserve"> | rel. Cármen Lúcia</w:t>
      </w:r>
    </w:p>
    <w:p>
      <w:pPr>
        <w:ind w:left="288"/>
      </w:pPr>
      <w:r>
        <w:rPr>
          <w:color w:val="1E1E1E"/>
          <w:sz w:val="18"/>
        </w:rPr>
        <w:t>Instalação de torres de telefonia celular. Competência legislativa municipal para disciplinar o uso e a ocupação do solo urbano.</w:t>
      </w:r>
    </w:p>
    <w:p>
      <w:pPr>
        <w:ind w:left="288"/>
      </w:pPr>
      <w:r>
        <w:rPr>
          <w:b/>
          <w:color w:val="003CA0"/>
          <w:sz w:val="16"/>
        </w:rPr>
        <w:t>[RE 632.006 AgR, rel. min. Cármen Lúcia, j. 18-11-2014, 2ª T, DJE de 1º-12-2014.]</w:t>
      </w:r>
    </w:p>
    <w:p>
      <w:pPr>
        <w:ind w:left="288"/>
      </w:pPr>
      <w:r>
        <w:rPr>
          <w:color w:val="8C8C8C"/>
          <w:sz w:val="12"/>
        </w:rPr>
        <w:t>cf-art-30-inc-IX</w:t>
      </w:r>
      <w:r>
        <w:rPr>
          <w:color w:val="003CA0"/>
          <w:sz w:val="12"/>
        </w:rPr>
        <w:t xml:space="preserve"> | ARE 1.416.029</w:t>
      </w:r>
      <w:r>
        <w:rPr>
          <w:color w:val="003CA0"/>
          <w:sz w:val="12"/>
        </w:rPr>
        <w:t xml:space="preserve"> | rel. Luiz Fux</w:t>
      </w:r>
    </w:p>
    <w:p>
      <w:pPr>
        <w:ind w:left="288"/>
      </w:pPr>
      <w:r>
        <w:rPr>
          <w:color w:val="1E1E1E"/>
          <w:sz w:val="18"/>
        </w:rPr>
        <w:t>O art. 216, §1º, da Constituição Federal, impõe ao Poder Público, com a colaboração da comunidade, a responsabilidade pela promoção e proteção do patrimônio cultural brasileiro por meio do tombamento. A competência para o tombamento é comum entre todos os entes federativos, nos termos dos arts. 23, III, 30, IX e 216, §1º, da Constituição Federal. O tombamento atribui ao bem um regime jurídico especial de proteção, criando obrigações para o proprietário, para todos os entes públicos envolvidos e para a sociedade, operando efeitos erga omnes, no sentido de impedir a prática de atos que acarretem</w:t>
      </w:r>
    </w:p>
    <w:p>
      <w:pPr>
        <w:ind w:left="288"/>
      </w:pPr>
      <w:r>
        <w:rPr>
          <w:b/>
          <w:color w:val="003CA0"/>
          <w:sz w:val="16"/>
        </w:rPr>
        <w:t>[ARE 1.416.029 AgR, rel. min. Luiz Fux, j. 25.06.2025, 1ª T, DJE de 18.07.2025.]</w:t>
      </w:r>
    </w:p>
    <w:p>
      <w:pPr>
        <w:ind w:left="720"/>
      </w:pPr>
      <w:r>
        <w:rPr>
          <w:color w:val="003366"/>
          <w:sz w:val="18"/>
        </w:rPr>
        <w:t>I – legislar sobre assuntos de interesse local;</w:t>
      </w:r>
    </w:p>
    <w:p>
      <w:pPr>
        <w:ind w:left="720"/>
      </w:pPr>
      <w:r>
        <w:rPr>
          <w:color w:val="003366"/>
          <w:sz w:val="18"/>
        </w:rPr>
        <w:t>II – suplementar a legislação federal e a estadual no que couber; (Vide ADPF 672</w:t>
      </w:r>
    </w:p>
    <w:p>
      <w:pPr>
        <w:ind w:left="720"/>
      </w:pPr>
      <w:r>
        <w:rPr>
          <w:color w:val="003366"/>
          <w:sz w:val="18"/>
        </w:rPr>
        <w:t>III – instituir e arrecadar os tributos de sua competência, bem como aplicar sua</w:t>
      </w:r>
    </w:p>
    <w:p>
      <w:pPr>
        <w:ind w:left="720"/>
      </w:pPr>
      <w:r>
        <w:rPr>
          <w:color w:val="003366"/>
          <w:sz w:val="18"/>
        </w:rPr>
        <w:t>IV – criar, organizar e suprimir distritos, observada a legislação estadual;</w:t>
      </w:r>
    </w:p>
    <w:p>
      <w:pPr>
        <w:ind w:left="720"/>
      </w:pPr>
      <w:r>
        <w:rPr>
          <w:color w:val="003366"/>
          <w:sz w:val="18"/>
        </w:rPr>
        <w:t>V – organizar e prestar, diretamente ou sob regime de concessão ou permissão, os</w:t>
      </w:r>
    </w:p>
    <w:p>
      <w:pPr>
        <w:ind w:left="720"/>
      </w:pPr>
      <w:r>
        <w:rPr>
          <w:color w:val="003366"/>
          <w:sz w:val="18"/>
        </w:rPr>
        <w:t>VI – manter, com a cooperação técnica e financeira da União e do Estado, program</w:t>
      </w:r>
    </w:p>
    <w:p>
      <w:pPr>
        <w:ind w:left="720"/>
      </w:pPr>
      <w:r>
        <w:rPr>
          <w:color w:val="003366"/>
          <w:sz w:val="18"/>
        </w:rPr>
        <w:t>VII – prestar, com a cooperação técnica e financeira da União e do Estado, servi</w:t>
      </w:r>
    </w:p>
    <w:p>
      <w:pPr>
        <w:ind w:left="720"/>
      </w:pPr>
      <w:r>
        <w:rPr>
          <w:color w:val="003366"/>
          <w:sz w:val="18"/>
        </w:rPr>
        <w:t>VIII – promover, no que couber, adequado ordenamento territorial, mediante plane</w:t>
      </w:r>
    </w:p>
    <w:p>
      <w:pPr>
        <w:ind w:left="720"/>
      </w:pPr>
      <w:r>
        <w:rPr>
          <w:color w:val="003366"/>
          <w:sz w:val="18"/>
        </w:rPr>
        <w:t>IX – promover a proteção do patrimônio histórico-cultural local, observada a leg</w:t>
      </w:r>
    </w:p>
    <w:p>
      <w:r>
        <w:rPr>
          <w:b/>
          <w:color w:val="003366"/>
          <w:sz w:val="20"/>
        </w:rPr>
        <w:t>Art. 31 A fiscalização do Município será exercida pelo Poder Legislativo Municip</w:t>
      </w:r>
      <w:r>
        <w:rPr>
          <w:color w:val="8C8C8C"/>
          <w:sz w:val="14"/>
        </w:rPr>
        <w:t xml:space="preserve">  [12 decisoes]</w:t>
      </w:r>
    </w:p>
    <w:p>
      <w:pPr>
        <w:ind w:left="144"/>
      </w:pPr>
      <w:r>
        <w:rPr>
          <w:b/>
          <w:color w:val="B45A00"/>
          <w:sz w:val="16"/>
        </w:rPr>
        <w:t>CONTROLE CONCENTRADO</w:t>
      </w:r>
    </w:p>
    <w:p>
      <w:pPr>
        <w:ind w:left="288"/>
      </w:pPr>
      <w:r>
        <w:rPr>
          <w:color w:val="8C8C8C"/>
          <w:sz w:val="12"/>
        </w:rPr>
        <w:t>cf-art-31-par-1</w:t>
      </w:r>
      <w:r>
        <w:rPr>
          <w:color w:val="003CA0"/>
          <w:sz w:val="12"/>
        </w:rPr>
        <w:t xml:space="preserve"> | RE 1.003.433</w:t>
      </w:r>
      <w:r>
        <w:rPr>
          <w:color w:val="003CA0"/>
          <w:sz w:val="12"/>
        </w:rPr>
        <w:t xml:space="preserve"> | rel. Gilmar Mendes</w:t>
      </w:r>
    </w:p>
    <w:p>
      <w:pPr>
        <w:ind w:left="288"/>
      </w:pPr>
      <w:r>
        <w:rPr>
          <w:color w:val="1E1E1E"/>
          <w:sz w:val="18"/>
        </w:rPr>
        <w:t>No julgamento do RE 1.003.433/RJ, tema 642 da repercussão geral, a Corte restringiu-se a examinar a questão da multa aplicada pelo Tribunal de Contas em razão de prática lesiva à Fazenda Pública municipal. Distinção entre aquela hipótese e a presente. Exame, no caso, da legitimidade para execução de multa simples imposta por Corte de Contas. Diferenciação entre duas modalidades de responsabilidade financeira: a reintegratória e a sancionatória. A primeira está relacionada à reposição de recursos públicos, objeto de desvio, pagamento indevido ou falta de cobrança ou liquidação nos termos da lei</w:t>
      </w:r>
    </w:p>
    <w:p>
      <w:pPr>
        <w:ind w:left="288"/>
      </w:pPr>
      <w:r>
        <w:rPr>
          <w:b/>
          <w:color w:val="003CA0"/>
          <w:sz w:val="16"/>
        </w:rPr>
        <w:t>[ADI 687, rel. min. Celso de Mello, j. 2-2-1995, P, DJ de 10-2-2006.]</w:t>
      </w:r>
    </w:p>
    <w:p>
      <w:pPr>
        <w:ind w:left="144"/>
      </w:pPr>
      <w:r>
        <w:rPr>
          <w:b/>
          <w:color w:val="B45A00"/>
          <w:sz w:val="16"/>
        </w:rPr>
        <w:t>REPERCUSSAO GERAL</w:t>
      </w:r>
    </w:p>
    <w:p>
      <w:pPr>
        <w:ind w:left="288"/>
      </w:pPr>
      <w:r>
        <w:rPr>
          <w:color w:val="8C8C8C"/>
          <w:sz w:val="12"/>
        </w:rPr>
        <w:t>cf-art-31-par-1</w:t>
      </w:r>
      <w:r>
        <w:rPr>
          <w:color w:val="003CA0"/>
          <w:sz w:val="12"/>
        </w:rPr>
        <w:t xml:space="preserve"> | RE 1.003.433</w:t>
      </w:r>
      <w:r>
        <w:rPr>
          <w:color w:val="003CA0"/>
          <w:sz w:val="12"/>
        </w:rPr>
        <w:t xml:space="preserve"> | rel. Marco Aurélio</w:t>
      </w:r>
    </w:p>
    <w:p>
      <w:pPr>
        <w:ind w:left="288"/>
      </w:pPr>
      <w:r>
        <w:rPr>
          <w:color w:val="1E1E1E"/>
          <w:sz w:val="18"/>
        </w:rPr>
        <w:t>O Município prejudicado é o legitimado para a execução de crédito decorrente de multa aplicada por Tribunal de Contas estadual a agente público municipal, em razão de danos causados ao erário municipal.</w:t>
      </w:r>
    </w:p>
    <w:p>
      <w:pPr>
        <w:ind w:left="288"/>
      </w:pPr>
      <w:r>
        <w:rPr>
          <w:b/>
          <w:color w:val="003CA0"/>
          <w:sz w:val="16"/>
        </w:rPr>
        <w:t>[RE 1.003.433, rel. min. Marco Aurélio, red. do ac. min. Alexandre de Moraes j. 15-9-2021, P, DJE de 13-10-2021, Tema 642, com mérito julgado.]</w:t>
      </w:r>
    </w:p>
    <w:p>
      <w:pPr>
        <w:ind w:left="144"/>
      </w:pPr>
      <w:r>
        <w:rPr>
          <w:b/>
          <w:color w:val="B45A00"/>
          <w:sz w:val="16"/>
        </w:rPr>
        <w:t>JULGADOS CORRELATOS</w:t>
      </w:r>
    </w:p>
    <w:p>
      <w:pPr>
        <w:ind w:left="288"/>
      </w:pPr>
      <w:r>
        <w:rPr>
          <w:color w:val="8C8C8C"/>
          <w:sz w:val="12"/>
        </w:rPr>
        <w:t>cf-art-31-par-1</w:t>
      </w:r>
      <w:r>
        <w:rPr>
          <w:color w:val="003CA0"/>
          <w:sz w:val="12"/>
        </w:rPr>
        <w:t xml:space="preserve"> | RE 261.885</w:t>
      </w:r>
      <w:r>
        <w:rPr>
          <w:color w:val="003CA0"/>
          <w:sz w:val="12"/>
        </w:rPr>
        <w:t xml:space="preserve"> | rel. Ilmar Galvão</w:t>
      </w:r>
    </w:p>
    <w:p>
      <w:pPr>
        <w:ind w:left="288"/>
      </w:pPr>
      <w:r>
        <w:rPr>
          <w:color w:val="1E1E1E"/>
          <w:sz w:val="18"/>
        </w:rPr>
        <w:t>Sendo o julgamento das contas do recorrente, como ex-chefe do Executivo Municipal, realizado pela Câmara de Vereadores mediante parecer prévio do Tribunal de Contas, que poderá deixar de prevalecer por decisão de 2/3 dos membros da Casa Legislativa (arts. 31, § 1º, e 71 c/c 75 da CF), é fora de dúvida que, no presente caso, em que o parecer foi pela rejeição das contas, não poderia ele, em face da norma constitucional sob referência, ter sido aprovado, sem que se houvesse propiciado ao interessado a oportunidade de opor-se ao referido pronunciamento técnico, de maneira ampla, perante o órgão l</w:t>
      </w:r>
    </w:p>
    <w:p>
      <w:pPr>
        <w:ind w:left="288"/>
      </w:pPr>
      <w:r>
        <w:rPr>
          <w:b/>
          <w:color w:val="003CA0"/>
          <w:sz w:val="16"/>
        </w:rPr>
        <w:t>[RE 261.885, rel. min. Ilmar Galvão, j. 5-12-2000, 1ª T, DJ de 16-3-2001.]</w:t>
      </w:r>
    </w:p>
    <w:p>
      <w:pPr>
        <w:ind w:left="288"/>
      </w:pPr>
      <w:r>
        <w:rPr>
          <w:color w:val="8C8C8C"/>
          <w:sz w:val="12"/>
        </w:rPr>
        <w:t>cf-art-31-par-1</w:t>
      </w:r>
      <w:r>
        <w:rPr>
          <w:color w:val="003CA0"/>
          <w:sz w:val="12"/>
        </w:rPr>
        <w:t xml:space="preserve"> | RE 414.908</w:t>
      </w:r>
      <w:r>
        <w:rPr>
          <w:color w:val="003CA0"/>
          <w:sz w:val="12"/>
        </w:rPr>
        <w:t xml:space="preserve"> | rel. Ayres Britto</w:t>
      </w:r>
    </w:p>
    <w:p>
      <w:pPr>
        <w:ind w:left="288"/>
      </w:pPr>
      <w:r>
        <w:rPr>
          <w:color w:val="1E1E1E"/>
          <w:sz w:val="18"/>
        </w:rPr>
        <w:t>= RE 414.908 AgR, rel. min. Ayres Britto, j. 16-8-2011, 2ª T, DJE de 18-10-2011</w:t>
      </w:r>
    </w:p>
    <w:p>
      <w:pPr>
        <w:ind w:left="144"/>
      </w:pPr>
      <w:r>
        <w:rPr>
          <w:b/>
          <w:color w:val="B45A00"/>
          <w:sz w:val="16"/>
        </w:rPr>
        <w:t>CONTROLE CONCENTRADO</w:t>
      </w:r>
    </w:p>
    <w:p>
      <w:pPr>
        <w:ind w:left="288"/>
      </w:pPr>
      <w:r>
        <w:rPr>
          <w:color w:val="8C8C8C"/>
          <w:sz w:val="12"/>
        </w:rPr>
        <w:t>cf-art-31-par-2</w:t>
      </w:r>
      <w:r>
        <w:rPr>
          <w:color w:val="003CA0"/>
          <w:sz w:val="12"/>
        </w:rPr>
        <w:t xml:space="preserve"> | ADI 3.077</w:t>
      </w:r>
      <w:r>
        <w:rPr>
          <w:color w:val="003CA0"/>
          <w:sz w:val="12"/>
        </w:rPr>
        <w:t xml:space="preserve"> | rel. Cármen Lúcia</w:t>
      </w:r>
    </w:p>
    <w:p>
      <w:pPr>
        <w:ind w:left="288"/>
      </w:pPr>
      <w:r>
        <w:rPr>
          <w:color w:val="1E1E1E"/>
          <w:sz w:val="18"/>
        </w:rPr>
        <w:t>Inconstitucionalidade de norma de Constituição estadual que dispensa apresentação de parecer prévio sobre as contas de chefe do Poder Executivo municipal a ser emitido pelo respectivo tribunal de contas estadual.</w:t>
        <w:br/>
        <w:t>[ADI 3.077, rel. min. Cármen Lúcia, j. 16-11-2016, P, DJE de 1º-8-2017.]</w:t>
      </w:r>
    </w:p>
    <w:p>
      <w:pPr>
        <w:ind w:left="144"/>
      </w:pPr>
      <w:r>
        <w:rPr>
          <w:b/>
          <w:color w:val="B45A00"/>
          <w:sz w:val="16"/>
        </w:rPr>
        <w:t>REPERCUSSAO GERAL</w:t>
      </w:r>
    </w:p>
    <w:p>
      <w:pPr>
        <w:ind w:left="288"/>
      </w:pPr>
      <w:r>
        <w:rPr>
          <w:color w:val="8C8C8C"/>
          <w:sz w:val="12"/>
        </w:rPr>
        <w:t>cf-art-31-par-2</w:t>
      </w:r>
      <w:r>
        <w:rPr>
          <w:color w:val="003CA0"/>
          <w:sz w:val="12"/>
        </w:rPr>
        <w:t xml:space="preserve"> | RE 1.459.224</w:t>
      </w:r>
      <w:r>
        <w:rPr>
          <w:color w:val="003CA0"/>
          <w:sz w:val="12"/>
        </w:rPr>
        <w:t xml:space="preserve"> | rel. Gilmar Mendes</w:t>
      </w:r>
    </w:p>
    <w:p>
      <w:pPr>
        <w:ind w:left="288"/>
      </w:pPr>
      <w:r>
        <w:rPr>
          <w:color w:val="1E1E1E"/>
          <w:sz w:val="18"/>
        </w:rPr>
        <w:t>A competência para julgamento das contas anuais dos prefeitos, eleitos pelo povo, é do Poder Legislativo (art. 71, I, da CF), órgão constituído por representantes democraticamente eleitos para averiguar, além da sua adequação orçamentária, sua destinação em prol dos interesses da população ali representada. O parecer dos Tribunais de Contas é meramente opinativo, não sendo apto a produzir inelegibilidade. No julgamento das contas anuais do prefeito, não há julgamento do próprio prefeito, mas deliberação sobre a exatidão da execução orçamentária do município. (...) “É correta a interpretação co</w:t>
      </w:r>
    </w:p>
    <w:p>
      <w:pPr>
        <w:ind w:left="144"/>
      </w:pPr>
      <w:r>
        <w:rPr>
          <w:b/>
          <w:color w:val="B45A00"/>
          <w:sz w:val="16"/>
        </w:rPr>
        <w:t>JULGADOS CORRELATOS</w:t>
      </w:r>
    </w:p>
    <w:p>
      <w:pPr>
        <w:ind w:left="288"/>
      </w:pPr>
      <w:r>
        <w:rPr>
          <w:color w:val="8C8C8C"/>
          <w:sz w:val="12"/>
        </w:rPr>
        <w:t>cf-art-31-par-2</w:t>
      </w:r>
      <w:r>
        <w:rPr>
          <w:color w:val="003CA0"/>
          <w:sz w:val="12"/>
        </w:rPr>
        <w:t xml:space="preserve"> | RCL 14.155</w:t>
      </w:r>
      <w:r>
        <w:rPr>
          <w:color w:val="003CA0"/>
          <w:sz w:val="12"/>
        </w:rPr>
        <w:t xml:space="preserve"> | rel. Celso de Mello</w:t>
      </w:r>
    </w:p>
    <w:p>
      <w:pPr>
        <w:ind w:left="288"/>
      </w:pPr>
      <w:r>
        <w:rPr>
          <w:color w:val="1E1E1E"/>
          <w:sz w:val="18"/>
        </w:rPr>
        <w:t>As contas públicas dos chefes do Executivo devem sofrer o julgamento – final e definitivo – da instituição parlamentar, cuja atuação, no plano do controle externo da legalidade e regularidade da atividade financeira do presidente da República, dos governadores e dos prefeitos municipais, é desempenhada com a intervenção ad coadjuvandum do tribunal de contas. A apreciação das contas prestadas pelo chefe do Poder Executivo – que é a expressão visível da unidade institucional desse órgão da soberania do Estado – constitui prerrogativa intransferível do Legislativo, que não pode ser substituído pe</w:t>
      </w:r>
    </w:p>
    <w:p>
      <w:pPr>
        <w:ind w:left="288"/>
      </w:pPr>
      <w:r>
        <w:rPr>
          <w:b/>
          <w:color w:val="003CA0"/>
          <w:sz w:val="16"/>
        </w:rPr>
        <w:t>[Rcl 14.155 MC-AgR, rel. min. Celso de Mello, j. 20-8-2012, dec. monocrática, DJE de 22-8-2012.]</w:t>
      </w:r>
    </w:p>
    <w:p>
      <w:pPr>
        <w:ind w:left="288"/>
      </w:pPr>
      <w:r>
        <w:rPr>
          <w:color w:val="8C8C8C"/>
          <w:sz w:val="12"/>
        </w:rPr>
        <w:t>cf-art-31-par-2</w:t>
      </w:r>
      <w:r>
        <w:rPr>
          <w:color w:val="003CA0"/>
          <w:sz w:val="12"/>
        </w:rPr>
        <w:t xml:space="preserve"> | RE 682.011</w:t>
      </w:r>
      <w:r>
        <w:rPr>
          <w:color w:val="003CA0"/>
          <w:sz w:val="12"/>
        </w:rPr>
        <w:t xml:space="preserve"> | rel. Celso de Mello</w:t>
      </w:r>
    </w:p>
    <w:p>
      <w:pPr>
        <w:ind w:left="288"/>
      </w:pPr>
      <w:r>
        <w:rPr>
          <w:color w:val="1E1E1E"/>
          <w:sz w:val="18"/>
        </w:rPr>
        <w:t>O controle externo das contas municipais, especialmente daquelas pertinentes ao chefe do Poder Executivo local, representa uma das mais expressivas prerrogativas institucionais da câmara de vereadores, que o exercerá com o auxílio do tribunal de contas (CF, art. 31). Essa fiscalização institucional não pode ser exercida, de modo abusivo e arbitrário, pela câmara de vereadores, eis que – devendo efetivar-se no contexto de procedimento revestido de caráter político-administrativo – está subordinada à necessária observância, pelo Poder Legislativo local, dos postulados constitucionais que assegur</w:t>
      </w:r>
    </w:p>
    <w:p>
      <w:pPr>
        <w:ind w:left="288"/>
      </w:pPr>
      <w:r>
        <w:rPr>
          <w:b/>
          <w:color w:val="003CA0"/>
          <w:sz w:val="16"/>
        </w:rPr>
        <w:t>[RE 682.011, rel. min. Celso de Mello, j. 8-6-2012, dec. monocrática, DJE de 13-6-2012.]</w:t>
      </w:r>
    </w:p>
    <w:p>
      <w:pPr>
        <w:ind w:left="144"/>
      </w:pPr>
      <w:r>
        <w:rPr>
          <w:b/>
          <w:color w:val="B45A00"/>
          <w:sz w:val="16"/>
        </w:rPr>
        <w:t>CONTROLE CONCENTRADO</w:t>
      </w:r>
    </w:p>
    <w:p>
      <w:pPr>
        <w:ind w:left="288"/>
      </w:pPr>
      <w:r>
        <w:rPr>
          <w:color w:val="8C8C8C"/>
          <w:sz w:val="12"/>
        </w:rPr>
        <w:t>cf-art-31-par-4</w:t>
      </w:r>
      <w:r>
        <w:rPr>
          <w:color w:val="003CA0"/>
          <w:sz w:val="12"/>
        </w:rPr>
        <w:t xml:space="preserve"> | ADI 346</w:t>
      </w:r>
      <w:r>
        <w:rPr>
          <w:color w:val="003CA0"/>
          <w:sz w:val="12"/>
        </w:rPr>
        <w:t xml:space="preserve"> | rel. Gilmar Mendes</w:t>
      </w:r>
    </w:p>
    <w:p>
      <w:pPr>
        <w:ind w:left="288"/>
      </w:pPr>
      <w:r>
        <w:rPr>
          <w:color w:val="1E1E1E"/>
          <w:sz w:val="18"/>
        </w:rPr>
        <w:t>(...) Tribunal de Contas do Município (de São Paulo e do Rio de Janeiro) é órgão independente e autônomo, pertencente à estrutura da esfera municipal, com a função de auxiliar a Câmara Municipal no controle externo da fiscalização financeira e orçamentária do respectivo município. Importante destacar que o art. 31, § 4º, da CF/88 veda que os municípios criem seus próprios Tribunais, Conselhos ou órgãos de contas municipais, mas isso não implicou a extinção do TCM/SP e do TCM/RJ, criados sob a égide de regime constitucional anterior (Lei Municipal 7.213/1968 e Lei Municipal 183/1980, respectiva</w:t>
      </w:r>
    </w:p>
    <w:p>
      <w:pPr>
        <w:ind w:left="288"/>
      </w:pPr>
      <w:r>
        <w:rPr>
          <w:b/>
          <w:color w:val="003CA0"/>
          <w:sz w:val="16"/>
        </w:rPr>
        <w:t>[ADI 346 e ADI 4.776, voto do rel. min. Gilmar Mendes, j. 3-6-2020, P, DJE de 2-10-2020.]</w:t>
      </w:r>
    </w:p>
    <w:p>
      <w:pPr>
        <w:ind w:left="288"/>
      </w:pPr>
      <w:r>
        <w:rPr>
          <w:color w:val="8C8C8C"/>
          <w:sz w:val="12"/>
        </w:rPr>
        <w:t>cf-art-31-par-4</w:t>
      </w:r>
      <w:r>
        <w:rPr>
          <w:color w:val="003CA0"/>
          <w:sz w:val="12"/>
        </w:rPr>
        <w:t xml:space="preserve"> | ADI 5.763</w:t>
      </w:r>
      <w:r>
        <w:rPr>
          <w:color w:val="003CA0"/>
          <w:sz w:val="12"/>
        </w:rPr>
        <w:t xml:space="preserve"> | rel. Marco Aurélio</w:t>
      </w:r>
    </w:p>
    <w:p>
      <w:pPr>
        <w:ind w:left="288"/>
      </w:pPr>
      <w:r>
        <w:rPr>
          <w:color w:val="1E1E1E"/>
          <w:sz w:val="18"/>
        </w:rPr>
        <w:t>A interpretação sistemática dos parágrafos 1º e 4º do artigo 31 da Constituição Federal revela ser possível a extinção de Tribunal de Contas responsável pela fiscalização dos Municípios mediante a promulgação de Emenda à Constituição estadual, surgindo impróprio afirmar que o Constituinte proibiu a supressão desses órgãos. (...) É inviável, a partir de leitura sistemática dos preceitos constitucionais, assentar a impossibilidade de Emenda à Constituição, de iniciativa parlamentar, versar a extinção de Tribunal de Contas estadual.</w:t>
      </w:r>
    </w:p>
    <w:p>
      <w:pPr>
        <w:ind w:left="288"/>
      </w:pPr>
      <w:r>
        <w:rPr>
          <w:b/>
          <w:color w:val="003CA0"/>
          <w:sz w:val="16"/>
        </w:rPr>
        <w:t>[ADI 5.763, rel. min. Marco Aurélio, j. 26-10-2017, P, DJE de 23-10-2019.]</w:t>
      </w:r>
    </w:p>
    <w:p>
      <w:pPr>
        <w:ind w:left="288"/>
      </w:pPr>
      <w:r>
        <w:rPr>
          <w:color w:val="8C8C8C"/>
          <w:sz w:val="12"/>
        </w:rPr>
        <w:t>cf-art-31-par-4</w:t>
      </w:r>
      <w:r>
        <w:rPr>
          <w:color w:val="003CA0"/>
          <w:sz w:val="12"/>
        </w:rPr>
        <w:t xml:space="preserve"> | ADI 445</w:t>
      </w:r>
      <w:r>
        <w:rPr>
          <w:color w:val="003CA0"/>
          <w:sz w:val="12"/>
        </w:rPr>
        <w:t xml:space="preserve"> | rel. Octavio Gallotti – ADI 445/DF</w:t>
      </w:r>
    </w:p>
    <w:p>
      <w:pPr>
        <w:ind w:left="288"/>
      </w:pPr>
      <w:r>
        <w:rPr>
          <w:color w:val="1E1E1E"/>
          <w:sz w:val="18"/>
        </w:rPr>
        <w:t>A Constituição da República impede que os Municípios criem os seus próprios tribunais, conselhos ou órgãos de contas municipais (CF, art. 31, § 4º), mas permite que os Estados-membros, mediante autônoma deliberação, instituam órgão estadual denominado Conselho ou Tribunal de Contas dos Municípios (RTJ 135/457, rel. min. Octavio Gallotti – ADI 445/DF, rel. min. Néri da Silveira), incumbido de auxiliar as câmaras municipais no exercício de seu poder de controle externo (CF, art. 31, § 1º).</w:t>
      </w:r>
    </w:p>
    <w:p>
      <w:pPr>
        <w:ind w:left="288"/>
      </w:pPr>
      <w:r>
        <w:rPr>
          <w:b/>
          <w:color w:val="003CA0"/>
          <w:sz w:val="16"/>
        </w:rPr>
        <w:t>[ADI 687, rel. min. Celso de Mello, j. 2-2-1995, P, DJ de 10-2-2006.]</w:t>
      </w:r>
    </w:p>
    <w:p>
      <w:pPr>
        <w:ind w:left="288"/>
      </w:pPr>
      <w:r>
        <w:rPr>
          <w:color w:val="8C8C8C"/>
          <w:sz w:val="12"/>
        </w:rPr>
        <w:t>cf-art-31-par-4</w:t>
      </w:r>
    </w:p>
    <w:p>
      <w:pPr>
        <w:ind w:left="288"/>
      </w:pPr>
      <w:r>
        <w:rPr>
          <w:color w:val="1E1E1E"/>
          <w:sz w:val="18"/>
        </w:rPr>
        <w:t>CAPÍTULO V Do Distrito Federal e dos Territórios SUMÁRIO Seção I Do Distrito Federal SUMÁRIO</w:t>
      </w:r>
    </w:p>
    <w:p>
      <w:pPr>
        <w:ind w:left="432"/>
      </w:pPr>
      <w:r>
        <w:rPr>
          <w:color w:val="003366"/>
          <w:sz w:val="18"/>
        </w:rPr>
        <w:t>§ 1 O controle externo da Câmara Municipal será exercido com o auxílio dos Tribu</w:t>
      </w:r>
    </w:p>
    <w:p>
      <w:pPr>
        <w:ind w:left="432"/>
      </w:pPr>
      <w:r>
        <w:rPr>
          <w:color w:val="003366"/>
          <w:sz w:val="18"/>
        </w:rPr>
        <w:t>§ 2 O parecer prévio, emitido pelo órgão competente sobre as contas que o Prefei</w:t>
      </w:r>
    </w:p>
    <w:p>
      <w:pPr>
        <w:ind w:left="432"/>
      </w:pPr>
      <w:r>
        <w:rPr>
          <w:color w:val="003366"/>
          <w:sz w:val="18"/>
        </w:rPr>
        <w:t>§ 3 As contas dos Municípios ficarão, durante sessenta dias, anualmente, à dispo</w:t>
      </w:r>
    </w:p>
    <w:p>
      <w:pPr>
        <w:ind w:left="432"/>
      </w:pPr>
      <w:r>
        <w:rPr>
          <w:color w:val="003366"/>
          <w:sz w:val="18"/>
        </w:rPr>
        <w:t>§ 4 É vedada a criação de Tribunais, Conselhos ou órgãos de Contas Municipais.</w:t>
      </w:r>
    </w:p>
    <w:p>
      <w:pPr>
        <w:pStyle w:val="Heading2"/>
      </w:pPr>
      <w:r>
        <w:rPr>
          <w:color w:val="003366"/>
        </w:rPr>
        <w:t>CAPÍTULO V - DO DISTRITO FEDERAL E DOS TERRITÓRIOS</w:t>
      </w:r>
    </w:p>
    <w:p>
      <w:pPr>
        <w:pStyle w:val="Heading3"/>
      </w:pPr>
      <w:r>
        <w:rPr>
          <w:color w:val="003366"/>
        </w:rPr>
        <w:t>Seção I - DO DISTRITO FEDERAL</w:t>
      </w:r>
    </w:p>
    <w:p>
      <w:r>
        <w:rPr>
          <w:b/>
          <w:color w:val="003366"/>
          <w:sz w:val="20"/>
        </w:rPr>
        <w:t>Art. 32 O Distrito Federal, vedada sua divisão em Municípios, reger- se-á por le</w:t>
      </w:r>
      <w:r>
        <w:rPr>
          <w:color w:val="8C8C8C"/>
          <w:sz w:val="14"/>
        </w:rPr>
        <w:t xml:space="preserve">  [9 decisoes]</w:t>
      </w:r>
    </w:p>
    <w:p>
      <w:pPr>
        <w:ind w:left="144"/>
      </w:pPr>
      <w:r>
        <w:rPr>
          <w:b/>
          <w:color w:val="B45A00"/>
          <w:sz w:val="16"/>
        </w:rPr>
        <w:t>CONTROLE CONCENTRADO</w:t>
      </w:r>
    </w:p>
    <w:p>
      <w:pPr>
        <w:ind w:left="288"/>
      </w:pPr>
      <w:r>
        <w:rPr>
          <w:color w:val="8C8C8C"/>
          <w:sz w:val="12"/>
        </w:rPr>
        <w:t>cf-art-32</w:t>
      </w:r>
      <w:r>
        <w:rPr>
          <w:color w:val="003CA0"/>
          <w:sz w:val="12"/>
        </w:rPr>
        <w:t xml:space="preserve"> | ADI 5.737</w:t>
      </w:r>
      <w:r>
        <w:rPr>
          <w:color w:val="003CA0"/>
          <w:sz w:val="12"/>
        </w:rPr>
        <w:t xml:space="preserve"> | rel. Dias Toffoli</w:t>
      </w:r>
    </w:p>
    <w:p>
      <w:pPr>
        <w:ind w:left="288"/>
      </w:pPr>
      <w:r>
        <w:rPr>
          <w:color w:val="1E1E1E"/>
          <w:sz w:val="18"/>
        </w:rPr>
        <w:t>A regra de competência prevista nos arts. 46, § 5º, e 52, caput e parágrafo único, do CPC, no ponto em que permite que estados e o Distrito Federal sejam demandados fora de seus respectivos limites territoriais, desconsidera sua prerrogativa constitucional de autoorganização. Não se pode alijar o Poder Judiciário Estadual de atuar nas questões de direito afetas aos entes públicos subnacionais. Além disso, os tribunais também possuem funções administrativas – como aquelas ligadas ao pagamento de precatórios judiciais – que não podem, sem base constitucional expressa, ser exercidas por autoridad</w:t>
      </w:r>
    </w:p>
    <w:p>
      <w:pPr>
        <w:ind w:left="288"/>
      </w:pPr>
      <w:r>
        <w:rPr>
          <w:b/>
          <w:color w:val="003CA0"/>
          <w:sz w:val="16"/>
        </w:rPr>
        <w:t>[ADI 1.706, rel. min. Eros Grau, j. 9-4-2008, P, DJE de 12-9-2008.]</w:t>
      </w:r>
    </w:p>
    <w:p>
      <w:pPr>
        <w:ind w:left="288"/>
      </w:pPr>
      <w:r>
        <w:rPr>
          <w:color w:val="8C8C8C"/>
          <w:sz w:val="12"/>
        </w:rPr>
        <w:t>cf-art-32</w:t>
      </w:r>
      <w:r>
        <w:rPr>
          <w:color w:val="003CA0"/>
          <w:sz w:val="12"/>
        </w:rPr>
        <w:t xml:space="preserve"> | ADI 980</w:t>
      </w:r>
      <w:r>
        <w:rPr>
          <w:color w:val="003CA0"/>
          <w:sz w:val="12"/>
        </w:rPr>
        <w:t xml:space="preserve"> | rel. Menezes Direito</w:t>
      </w:r>
    </w:p>
    <w:p>
      <w:pPr>
        <w:ind w:left="288"/>
      </w:pPr>
      <w:r>
        <w:rPr>
          <w:color w:val="1E1E1E"/>
          <w:sz w:val="18"/>
        </w:rPr>
        <w:t>(...) Lei Orgânica do Distrito Federal. (...) A Lei Orgânica tem força e autoridade equivalentes a um verdadeiro estatuto constitucional, podendo ser equiparada às Constituições promulgadas pelos Estados-membros, como assentado no julgamento que deferiu a medida cautelar nesta ação direta.</w:t>
      </w:r>
    </w:p>
    <w:p>
      <w:pPr>
        <w:ind w:left="288"/>
      </w:pPr>
      <w:r>
        <w:rPr>
          <w:b/>
          <w:color w:val="003CA0"/>
          <w:sz w:val="16"/>
        </w:rPr>
        <w:t>[ADI 980, rel. min. Menezes Direito, j. 6-3-2008, P, DJE de 1-8-2008.]</w:t>
      </w:r>
    </w:p>
    <w:p>
      <w:pPr>
        <w:ind w:left="288"/>
      </w:pPr>
      <w:r>
        <w:rPr>
          <w:color w:val="8C8C8C"/>
          <w:sz w:val="12"/>
        </w:rPr>
        <w:t>cf-art-32</w:t>
      </w:r>
      <w:r>
        <w:rPr>
          <w:color w:val="003CA0"/>
          <w:sz w:val="12"/>
        </w:rPr>
        <w:t xml:space="preserve"> | ADI 3.756</w:t>
      </w:r>
      <w:r>
        <w:rPr>
          <w:color w:val="003CA0"/>
          <w:sz w:val="12"/>
        </w:rPr>
        <w:t xml:space="preserve"> | rel. Ayres Britto</w:t>
      </w:r>
    </w:p>
    <w:p>
      <w:pPr>
        <w:ind w:left="288"/>
      </w:pPr>
      <w:r>
        <w:rPr>
          <w:color w:val="1E1E1E"/>
          <w:sz w:val="18"/>
        </w:rPr>
        <w:t>O Distrito Federal é uma unidade federativa de compostura singular, dado que: a) desfruta de competências que são próprias dos Estados e dos Municípios, cumulativamente (art. 32, § 1°, CF); b) algumas de suas instituições elementares são organizadas e mantidas pela União (art. 21, XIII e XIV, CF); c) os serviços públicos a cuja prestação está jungido são financiados, em parte, pela mesma pessoa federada central, que é a União (art. 21, XIV, parte final, CF). Conquanto submetido a regime constitucional diferenciado, o Distrito Federal está bem mais próximo da estruturação dos Estados-membros do</w:t>
      </w:r>
    </w:p>
    <w:p>
      <w:pPr>
        <w:ind w:left="288"/>
      </w:pPr>
      <w:r>
        <w:rPr>
          <w:b/>
          <w:color w:val="003CA0"/>
          <w:sz w:val="16"/>
        </w:rPr>
        <w:t>[ADI 3.756, rel. min. Ayres Britto, j. 21-6-2007, P, DJ de 19-10-2007.]</w:t>
      </w:r>
    </w:p>
    <w:p>
      <w:pPr>
        <w:ind w:left="288"/>
      </w:pPr>
      <w:r>
        <w:rPr>
          <w:color w:val="8C8C8C"/>
          <w:sz w:val="12"/>
        </w:rPr>
        <w:t>cf-art-32-par-1</w:t>
      </w:r>
      <w:r>
        <w:rPr>
          <w:color w:val="003CA0"/>
          <w:sz w:val="12"/>
        </w:rPr>
        <w:t xml:space="preserve"> | ADI 665</w:t>
      </w:r>
      <w:r>
        <w:rPr>
          <w:color w:val="003CA0"/>
          <w:sz w:val="12"/>
        </w:rPr>
        <w:t xml:space="preserve"> | rel. Sydney Sanches</w:t>
      </w:r>
    </w:p>
    <w:p>
      <w:pPr>
        <w:ind w:left="288"/>
      </w:pPr>
      <w:r>
        <w:rPr>
          <w:color w:val="1E1E1E"/>
          <w:sz w:val="18"/>
        </w:rPr>
        <w:t>A lei impugnada trata de servidores públicos do Distrito Federal, de seu regime jurídico, inclusive contagem de tempo de serviço para todos os efeitos e de provimento de cargos, definindo critérios para a progressão funcional, matérias todas compreendidas na alínea c do § 1º do art. 61, que atribuem privativamente ao chefe do Poder Executivo a iniciativa do processo legislativo, princípio a ser observado, não só nos Estados (art. 25), mas também no Distrito Federal (art. 32).</w:t>
      </w:r>
    </w:p>
    <w:p>
      <w:pPr>
        <w:ind w:left="288"/>
      </w:pPr>
      <w:r>
        <w:rPr>
          <w:b/>
          <w:color w:val="003CA0"/>
          <w:sz w:val="16"/>
        </w:rPr>
        <w:t>[ADI 665, rel. min. Sydney Sanches, j. 6-9-1995, P, DJ de 27-10-1995.]</w:t>
      </w:r>
    </w:p>
    <w:p>
      <w:pPr>
        <w:ind w:left="288"/>
      </w:pPr>
      <w:r>
        <w:rPr>
          <w:color w:val="8C8C8C"/>
          <w:sz w:val="12"/>
        </w:rPr>
        <w:t>cf-art-32-par-1</w:t>
      </w:r>
      <w:r>
        <w:rPr>
          <w:color w:val="003CA0"/>
          <w:sz w:val="12"/>
        </w:rPr>
        <w:t xml:space="preserve"> | ADI 880</w:t>
      </w:r>
      <w:r>
        <w:rPr>
          <w:color w:val="003CA0"/>
          <w:sz w:val="12"/>
        </w:rPr>
        <w:t xml:space="preserve"> | rel. Sepúlveda Pertence</w:t>
      </w:r>
    </w:p>
    <w:p>
      <w:pPr>
        <w:ind w:left="288"/>
      </w:pPr>
      <w:r>
        <w:rPr>
          <w:color w:val="1E1E1E"/>
          <w:sz w:val="18"/>
        </w:rPr>
        <w:t>O Distrito Federal, ao qual se vedou dividir-se em Municípios (CF, art. 32), é entidade federativa que acumula as competências reservadas pela Constituição aos Estados e aos Municípios: dada a inexistência de controle abstrato de normas municipais em face da Constituição da República, segue-se o descabimento de ação direta de inconstitucionalidade cujo objeto seja ato normativo editado pelo Distrito Federal, no exercício de competência que a Lei Fundamental reserva aos Municípios, qual a de disciplina e polícia do parcelamento do solo urbano.</w:t>
      </w:r>
    </w:p>
    <w:p>
      <w:pPr>
        <w:ind w:left="288"/>
      </w:pPr>
      <w:r>
        <w:rPr>
          <w:b/>
          <w:color w:val="003CA0"/>
          <w:sz w:val="16"/>
        </w:rPr>
        <w:t>[ADI 880 MC, rel. min. Sepúlveda Pertence, j. 6-10-1993, P, DJ de 4-2-1994.]</w:t>
      </w:r>
    </w:p>
    <w:p>
      <w:pPr>
        <w:ind w:left="288"/>
      </w:pPr>
      <w:r>
        <w:rPr>
          <w:color w:val="8C8C8C"/>
          <w:sz w:val="12"/>
        </w:rPr>
        <w:t>cf-art-32-par-1</w:t>
      </w:r>
      <w:r>
        <w:rPr>
          <w:color w:val="003CA0"/>
          <w:sz w:val="12"/>
        </w:rPr>
        <w:t xml:space="preserve"> | ADI 677</w:t>
      </w:r>
      <w:r>
        <w:rPr>
          <w:color w:val="003CA0"/>
          <w:sz w:val="12"/>
        </w:rPr>
        <w:t xml:space="preserve"> | rel. Néri da Silveira</w:t>
      </w:r>
    </w:p>
    <w:p>
      <w:pPr>
        <w:ind w:left="288"/>
      </w:pPr>
      <w:r>
        <w:rPr>
          <w:color w:val="1E1E1E"/>
          <w:sz w:val="18"/>
        </w:rPr>
        <w:t>Se é certo que, pelo art. 21, XIV, da Constituição, à União compete organizar e manter a Polícia Militar e o Corpo de Bombeiros Militar do Distrito Federal, sendo federal a lei que fixa vencimentos desses servidores militares, não é menos exato que, com base no art. 32 e § 1º da Lei Magna, incumbe ao Distrito Federal organizar seus serviços, aí compreendidos, à evidência e notadamente, os referentes ao gabinete do governador, competindo-lhe estabelecer gratificações, em lei distrital, pelo exercício de funções de confiança ou de cargos em comissão. Lei que assim disponha não invade a esfera de</w:t>
      </w:r>
    </w:p>
    <w:p>
      <w:pPr>
        <w:ind w:left="288"/>
      </w:pPr>
      <w:r>
        <w:rPr>
          <w:b/>
          <w:color w:val="003CA0"/>
          <w:sz w:val="16"/>
        </w:rPr>
        <w:t>[ADI 677, rel. min. Néri da Silveira, j. 11-3-1993, P, DJ de 21-5-1993.]</w:t>
      </w:r>
    </w:p>
    <w:p>
      <w:pPr>
        <w:ind w:left="144"/>
      </w:pPr>
      <w:r>
        <w:rPr>
          <w:b/>
          <w:color w:val="B45A00"/>
          <w:sz w:val="16"/>
        </w:rPr>
        <w:t>JULGADOS CORRELATOS</w:t>
      </w:r>
    </w:p>
    <w:p>
      <w:pPr>
        <w:ind w:left="288"/>
      </w:pPr>
      <w:r>
        <w:rPr>
          <w:color w:val="8C8C8C"/>
          <w:sz w:val="12"/>
        </w:rPr>
        <w:t>cf-art-32-par-1</w:t>
      </w:r>
      <w:r>
        <w:rPr>
          <w:color w:val="003CA0"/>
          <w:sz w:val="12"/>
        </w:rPr>
        <w:t xml:space="preserve"> | AC 767</w:t>
      </w:r>
      <w:r>
        <w:rPr>
          <w:color w:val="003CA0"/>
          <w:sz w:val="12"/>
        </w:rPr>
        <w:t xml:space="preserve"> | rel. Celso de Mello</w:t>
      </w:r>
    </w:p>
    <w:p>
      <w:pPr>
        <w:ind w:left="288"/>
      </w:pPr>
      <w:r>
        <w:rPr>
          <w:color w:val="1E1E1E"/>
          <w:sz w:val="18"/>
        </w:rPr>
        <w:t xml:space="preserve">Os Municípios e o Distrito Federal podem editar legislação própria, com fundamento na autonomia constitucional que lhes é inerente (CF, art. 30, I, e 32, § 1º), com objetivo de determinar às instituições financeiras que instalem, em suas agências, em favor dos usuários dos serviços bancários (clientes ou não), equipamentos destinados a proporcionar-lhes segurança (tais como portas eletrônicas e câmaras filmadoras) ou a propiciar-lhes conforto, mediante oferecimento de instalações sanitárias, ou fornecimento de cadeiras de espera, ou colocação de bebedouros, ou, ainda, prestação de atendimento </w:t>
      </w:r>
    </w:p>
    <w:p>
      <w:pPr>
        <w:ind w:left="288"/>
      </w:pPr>
      <w:r>
        <w:rPr>
          <w:b/>
          <w:color w:val="003CA0"/>
          <w:sz w:val="16"/>
        </w:rPr>
        <w:t>[AC 767 AgR, rel. min. Celso de Mello, j. 16-8-2005, 2ª T, DJE de 6-2-2014.]</w:t>
      </w:r>
    </w:p>
    <w:p>
      <w:pPr>
        <w:ind w:left="288"/>
      </w:pPr>
      <w:r>
        <w:rPr>
          <w:color w:val="8C8C8C"/>
          <w:sz w:val="12"/>
        </w:rPr>
        <w:t>cf-art-32-par-3</w:t>
      </w:r>
      <w:r>
        <w:rPr>
          <w:color w:val="003CA0"/>
          <w:sz w:val="12"/>
        </w:rPr>
        <w:t xml:space="preserve"> | AI 401.600</w:t>
      </w:r>
      <w:r>
        <w:rPr>
          <w:color w:val="003CA0"/>
          <w:sz w:val="12"/>
        </w:rPr>
        <w:t xml:space="preserve"> | rel. Celso de Mello</w:t>
      </w:r>
    </w:p>
    <w:p>
      <w:pPr>
        <w:ind w:left="288"/>
      </w:pPr>
      <w:r>
        <w:rPr>
          <w:color w:val="1E1E1E"/>
          <w:sz w:val="18"/>
        </w:rPr>
        <w:t>(...) o comportamento do ora agravado – que era, então, à época dos fatos, deputado distrital – subsume-se, inteiramente, ao âmbito de incidência da proteção constitucional fundada na garantia da imunidade parlamentar material, em ordem a excluir, na espécie, a responsabilidade civil do parlamentar em questão.</w:t>
      </w:r>
    </w:p>
    <w:p>
      <w:pPr>
        <w:ind w:left="288"/>
      </w:pPr>
      <w:r>
        <w:rPr>
          <w:b/>
          <w:color w:val="003CA0"/>
          <w:sz w:val="16"/>
        </w:rPr>
        <w:t>[AI 401.600 AgR, voto do rel. min. Celso de Mello, j. 1º-2-2011, 2ª T, DJE de 21-2-2011.]</w:t>
      </w:r>
    </w:p>
    <w:p>
      <w:pPr>
        <w:ind w:left="288"/>
      </w:pPr>
      <w:r>
        <w:rPr>
          <w:color w:val="8C8C8C"/>
          <w:sz w:val="12"/>
        </w:rPr>
        <w:t>cf-art-32-par-4</w:t>
      </w:r>
    </w:p>
    <w:p>
      <w:pPr>
        <w:ind w:left="288"/>
      </w:pPr>
      <w:r>
        <w:rPr>
          <w:color w:val="1E1E1E"/>
          <w:sz w:val="18"/>
        </w:rPr>
        <w:t>Seção II Dos Territórios SUMÁRIO</w:t>
      </w:r>
    </w:p>
    <w:p>
      <w:pPr>
        <w:ind w:left="432"/>
      </w:pPr>
      <w:r>
        <w:rPr>
          <w:color w:val="003366"/>
          <w:sz w:val="18"/>
        </w:rPr>
        <w:t>§ 1 Ao Distrito Federal são atribuídas as competências legislativas reservadas a</w:t>
      </w:r>
    </w:p>
    <w:p>
      <w:pPr>
        <w:ind w:left="432"/>
      </w:pPr>
      <w:r>
        <w:rPr>
          <w:color w:val="003366"/>
          <w:sz w:val="18"/>
        </w:rPr>
        <w:t>§ 2 A eleição do Governador e do Vice-Governador, observadas as regras do art. 7</w:t>
      </w:r>
    </w:p>
    <w:p>
      <w:pPr>
        <w:ind w:left="432"/>
      </w:pPr>
      <w:r>
        <w:rPr>
          <w:color w:val="003366"/>
          <w:sz w:val="18"/>
        </w:rPr>
        <w:t>§ 3 Aos Deputados Distritais e à Câmara Legislativa aplica-se o disposto no art.</w:t>
      </w:r>
    </w:p>
    <w:p>
      <w:pPr>
        <w:ind w:left="432"/>
      </w:pPr>
      <w:r>
        <w:rPr>
          <w:color w:val="003366"/>
          <w:sz w:val="18"/>
        </w:rPr>
        <w:t>§ 4 Lei federal disporá sobre a utilização, pelo Governo do Distrito Federal, da</w:t>
      </w:r>
    </w:p>
    <w:p>
      <w:pPr>
        <w:pStyle w:val="Heading3"/>
      </w:pPr>
      <w:r>
        <w:rPr>
          <w:color w:val="003366"/>
        </w:rPr>
        <w:t>Seção II - DOS TERRITÓRIOS</w:t>
      </w:r>
    </w:p>
    <w:p>
      <w:r>
        <w:rPr>
          <w:b/>
          <w:color w:val="003366"/>
          <w:sz w:val="20"/>
        </w:rPr>
        <w:t>Art. 33 A lei disporá sobre a organização administrativa e judiciária dos Territ</w:t>
      </w:r>
      <w:r>
        <w:rPr>
          <w:color w:val="8C8C8C"/>
          <w:sz w:val="14"/>
        </w:rPr>
        <w:t xml:space="preserve">  [1 decisoes]</w:t>
      </w:r>
    </w:p>
    <w:p>
      <w:pPr>
        <w:ind w:left="288"/>
      </w:pPr>
      <w:r>
        <w:rPr>
          <w:color w:val="8C8C8C"/>
          <w:sz w:val="12"/>
        </w:rPr>
        <w:t>cf-art-33-par-2</w:t>
      </w:r>
    </w:p>
    <w:p>
      <w:pPr>
        <w:ind w:left="288"/>
      </w:pPr>
      <w:r>
        <w:rPr>
          <w:color w:val="1E1E1E"/>
          <w:sz w:val="18"/>
        </w:rPr>
        <w:t>§ 3º Nos Territórios Federais com mais de cem mil habitantes, além do Governador nomeado na forma desta Constituição, haverá órgãos judiciários de primeira e segunda instância, membros do Ministério Público e defensores públicos federais; a lei disporá sobre as eleições para a Câmara Territorial e sua competência deliberativa. CAPÍTULO VI Da Intervenção SUMÁRIO</w:t>
      </w:r>
    </w:p>
    <w:p>
      <w:pPr>
        <w:ind w:left="432"/>
      </w:pPr>
      <w:r>
        <w:rPr>
          <w:color w:val="003366"/>
          <w:sz w:val="18"/>
        </w:rPr>
        <w:t>§ 1 Os Territórios poderão ser divididos em Municípios, aos quais se aplicará, n</w:t>
      </w:r>
    </w:p>
    <w:p>
      <w:pPr>
        <w:ind w:left="432"/>
      </w:pPr>
      <w:r>
        <w:rPr>
          <w:color w:val="003366"/>
          <w:sz w:val="18"/>
        </w:rPr>
        <w:t>§ 2 As contas do Governo do Território serão submetidas ao Congresso Nacional, c</w:t>
      </w:r>
    </w:p>
    <w:p>
      <w:pPr>
        <w:ind w:left="432"/>
      </w:pPr>
      <w:r>
        <w:rPr>
          <w:color w:val="003366"/>
          <w:sz w:val="18"/>
        </w:rPr>
        <w:t xml:space="preserve">§ 3 Nos Territórios Federais com mais de cem mil habitantes, além do Governador </w:t>
      </w:r>
    </w:p>
    <w:p>
      <w:pPr>
        <w:pStyle w:val="Heading2"/>
      </w:pPr>
      <w:r>
        <w:rPr>
          <w:color w:val="003366"/>
        </w:rPr>
        <w:t>CAPÍTULO VI - DA INTERVENÇÃO</w:t>
      </w:r>
    </w:p>
    <w:p>
      <w:r>
        <w:rPr>
          <w:b/>
          <w:color w:val="003366"/>
          <w:sz w:val="20"/>
        </w:rPr>
        <w:t>Art. 34 A União não intervirá nos Estados nem no Distrito Federal, exceto para:</w:t>
      </w:r>
      <w:r>
        <w:rPr>
          <w:color w:val="8C8C8C"/>
          <w:sz w:val="14"/>
        </w:rPr>
        <w:t xml:space="preserve">  [15 decisoes]</w:t>
      </w:r>
    </w:p>
    <w:p>
      <w:pPr>
        <w:ind w:left="144"/>
      </w:pPr>
      <w:r>
        <w:rPr>
          <w:b/>
          <w:color w:val="B45A00"/>
          <w:sz w:val="16"/>
        </w:rPr>
        <w:t>JULGADOS CORRELATOS</w:t>
      </w:r>
    </w:p>
    <w:p>
      <w:pPr>
        <w:ind w:left="288"/>
      </w:pPr>
      <w:r>
        <w:rPr>
          <w:color w:val="8C8C8C"/>
          <w:sz w:val="12"/>
        </w:rPr>
        <w:t>cf-art-34</w:t>
      </w:r>
      <w:r>
        <w:rPr>
          <w:color w:val="003CA0"/>
          <w:sz w:val="12"/>
        </w:rPr>
        <w:t xml:space="preserve"> | ACO 3427</w:t>
      </w:r>
    </w:p>
    <w:p>
      <w:pPr>
        <w:ind w:left="288"/>
      </w:pPr>
      <w:r>
        <w:rPr>
          <w:color w:val="1E1E1E"/>
          <w:sz w:val="18"/>
        </w:rPr>
        <w:t>A Força Nacional de Segurança Pública representa programa de cooperação federativa, ao qual podem aderir, por atos formais específicos, os entes Federados. Em juízo de delibação, a norma inscrita no art. 4º do Decreto nº 5.289/2004, ao autorizar o emprego da Força Nacional de Segurança, em território de Estado-membro, sem a anuência de seu Governador, por mero ato de Ministro de Estado, viola a natureza cooperativa do programa e seu suporte constitucional, conflitando com os art. 34 e 241 da Constituição Federal. Encontra-se preenchido o requisito do fumus boni iuris. Em razão da intensa gravi</w:t>
      </w:r>
    </w:p>
    <w:p>
      <w:pPr>
        <w:ind w:left="288"/>
      </w:pPr>
      <w:r>
        <w:rPr>
          <w:b/>
          <w:color w:val="003CA0"/>
          <w:sz w:val="16"/>
        </w:rPr>
        <w:t>[ACO 3427 MC-Ref, rel. Edson Fachin, j. 24-09-2020, P, DJE de 14-12-2020.]</w:t>
      </w:r>
    </w:p>
    <w:p>
      <w:pPr>
        <w:ind w:left="288"/>
      </w:pPr>
      <w:r>
        <w:rPr>
          <w:color w:val="8C8C8C"/>
          <w:sz w:val="12"/>
        </w:rPr>
        <w:t>cf-art-34-inc-II</w:t>
      </w:r>
      <w:r>
        <w:rPr>
          <w:color w:val="003CA0"/>
          <w:sz w:val="12"/>
        </w:rPr>
        <w:t xml:space="preserve"> | PET 584</w:t>
      </w:r>
      <w:r>
        <w:rPr>
          <w:color w:val="003CA0"/>
          <w:sz w:val="12"/>
        </w:rPr>
        <w:t xml:space="preserve"> | rel. Celso de Mello</w:t>
      </w:r>
    </w:p>
    <w:p>
      <w:pPr>
        <w:ind w:left="288"/>
      </w:pPr>
      <w:r>
        <w:rPr>
          <w:color w:val="1E1E1E"/>
          <w:sz w:val="18"/>
        </w:rPr>
        <w:t>Ação cautelar incidental. Criação de Municípios em área litigiosa, que é disputada por Estados-membros. Consulta plebiscitária. Suspensão cautelar. Referendo do plenário do STF. A ofensa à esfera de autonomia jurídica de qualquer Estado-membro, por outra unidade regional da Federação, vulnera a harmonia que necessariamente deve imperar nas relações político-institucionais entre as pessoas estatais integrantes do pacto federal. A gravidade desse quadro assume tamanha magnitude que se revela apta a justificar, até mesmo, a própria decretação de intervenção federal, para o efeito de preservar a i</w:t>
      </w:r>
    </w:p>
    <w:p>
      <w:pPr>
        <w:ind w:left="288"/>
      </w:pPr>
      <w:r>
        <w:rPr>
          <w:b/>
          <w:color w:val="003CA0"/>
          <w:sz w:val="16"/>
        </w:rPr>
        <w:t>[Pet 584 MC, rel. min. Celso de Mello, j. 13-4-1992, P, DJ de 5-6-1992.]</w:t>
      </w:r>
    </w:p>
    <w:p>
      <w:pPr>
        <w:ind w:left="288"/>
      </w:pPr>
      <w:r>
        <w:rPr>
          <w:color w:val="8C8C8C"/>
          <w:sz w:val="12"/>
        </w:rPr>
        <w:t>cf-art-34-inc-II</w:t>
      </w:r>
      <w:r>
        <w:rPr>
          <w:color w:val="003CA0"/>
          <w:sz w:val="12"/>
        </w:rPr>
        <w:t xml:space="preserve"> | MS 21.041</w:t>
      </w:r>
      <w:r>
        <w:rPr>
          <w:color w:val="003CA0"/>
          <w:sz w:val="12"/>
        </w:rPr>
        <w:t xml:space="preserve"> | rel. Celso de Mello</w:t>
      </w:r>
    </w:p>
    <w:p>
      <w:pPr>
        <w:ind w:left="288"/>
      </w:pPr>
      <w:r>
        <w:rPr>
          <w:color w:val="1E1E1E"/>
          <w:sz w:val="18"/>
        </w:rPr>
        <w:t>O instituto da intervenção federal, consagrado por todas as Constituições republicanas, representa um elemento fundamental na própria formulação da doutrina do federalismo, que dele não pode prescindir – inobstante a expecionalidade de sua aplicação –, para efeito de preservação da intangibilidade do vínculo federativo, da unidade do Estado Federal e da integridade territorial das unidades federadas. A invasão territorial de um Estado por outro constitui um dos pressupostos de admissibilidade da intervenção federal. O presidente da República, nesse particular contexto, ao lançar mão da extraor</w:t>
      </w:r>
    </w:p>
    <w:p>
      <w:pPr>
        <w:ind w:left="288"/>
      </w:pPr>
      <w:r>
        <w:rPr>
          <w:b/>
          <w:color w:val="003CA0"/>
          <w:sz w:val="16"/>
        </w:rPr>
        <w:t>[MS 21.041, rel. min. Celso de Mello, j. 12-6-1991, P, DJ de 13-3-1992.]</w:t>
      </w:r>
    </w:p>
    <w:p>
      <w:pPr>
        <w:ind w:left="288"/>
      </w:pPr>
      <w:r>
        <w:rPr>
          <w:color w:val="8C8C8C"/>
          <w:sz w:val="12"/>
        </w:rPr>
        <w:t>cf-art-34-inc-IV</w:t>
      </w:r>
      <w:r>
        <w:rPr>
          <w:color w:val="003CA0"/>
          <w:sz w:val="12"/>
        </w:rPr>
        <w:t xml:space="preserve"> | IF 5.050</w:t>
      </w:r>
      <w:r>
        <w:rPr>
          <w:color w:val="003CA0"/>
          <w:sz w:val="12"/>
        </w:rPr>
        <w:t xml:space="preserve"> | rel. Ellen Gracie</w:t>
      </w:r>
    </w:p>
    <w:p>
      <w:pPr>
        <w:ind w:left="288"/>
      </w:pPr>
      <w:r>
        <w:rPr>
          <w:color w:val="1E1E1E"/>
          <w:sz w:val="18"/>
        </w:rPr>
        <w:t>Intervenção federal. Inexistência de atuação dolosa por parte do Estado. Indeferimento. (...) Decisão agravada que se encontra em consonância com a orientação desta Corte, no sentido de que o descumprimento voluntário e intencional de decisão judicial transitada em julgado é pressuposto indispensável ao acolhimento do pedido de intervenção federal.</w:t>
      </w:r>
    </w:p>
    <w:p>
      <w:pPr>
        <w:ind w:left="288"/>
      </w:pPr>
      <w:r>
        <w:rPr>
          <w:b/>
          <w:color w:val="003CA0"/>
          <w:sz w:val="16"/>
        </w:rPr>
        <w:t>[IF 5.050 AgR, rel. min. Ellen Gracie, j. 6-3-2008, P, DJE de 25-4-2008.]</w:t>
      </w:r>
    </w:p>
    <w:p>
      <w:pPr>
        <w:ind w:left="144"/>
      </w:pPr>
      <w:r>
        <w:rPr>
          <w:b/>
          <w:color w:val="B45A00"/>
          <w:sz w:val="16"/>
        </w:rPr>
        <w:t>REPERCUSSAO GERAL</w:t>
      </w:r>
    </w:p>
    <w:p>
      <w:pPr>
        <w:ind w:left="288"/>
      </w:pPr>
      <w:r>
        <w:rPr>
          <w:color w:val="8C8C8C"/>
          <w:sz w:val="12"/>
        </w:rPr>
        <w:t>cf-art-34-inc-V-ali-b</w:t>
      </w:r>
      <w:r>
        <w:rPr>
          <w:color w:val="003CA0"/>
          <w:sz w:val="12"/>
        </w:rPr>
        <w:t xml:space="preserve"> | RE 572.762</w:t>
      </w:r>
      <w:r>
        <w:rPr>
          <w:color w:val="003CA0"/>
          <w:sz w:val="12"/>
        </w:rPr>
        <w:t xml:space="preserve"> | rel. Ricardo Lewandowski</w:t>
      </w:r>
    </w:p>
    <w:p>
      <w:pPr>
        <w:ind w:left="288"/>
      </w:pPr>
      <w:r>
        <w:rPr>
          <w:color w:val="1E1E1E"/>
          <w:sz w:val="18"/>
        </w:rPr>
        <w:t>A parcela do imposto estadual sobre operações relativas à circulação de mercadorias e sobre prestações de serviços de transporte interestadual e intermunicipal e de comunicação, a que se refere o art. 158, IV, da Carta Magna, pertence de pleno direito aos Municípios. O repasse da quota constitucionalmente devida aos Municípios não pode sujeitar-se à condição prevista em programa de benefício fiscal de âmbito estadual. Limitação que configura indevida interferência do Estado no sistema constitucional de repartição de receitas tributárias.</w:t>
        <w:br/>
        <w:t>[RE 572.762, rel. min. Ricardo Lewandowski, j. 18-6-2008</w:t>
      </w:r>
    </w:p>
    <w:p>
      <w:pPr>
        <w:ind w:left="144"/>
      </w:pPr>
      <w:r>
        <w:rPr>
          <w:b/>
          <w:color w:val="B45A00"/>
          <w:sz w:val="16"/>
        </w:rPr>
        <w:t>JULGADOS CORRELATOS</w:t>
      </w:r>
    </w:p>
    <w:p>
      <w:pPr>
        <w:ind w:left="288"/>
      </w:pPr>
      <w:r>
        <w:rPr>
          <w:color w:val="8C8C8C"/>
          <w:sz w:val="12"/>
        </w:rPr>
        <w:t>cf-art-34-inc-VI</w:t>
      </w:r>
      <w:r>
        <w:rPr>
          <w:color w:val="003CA0"/>
          <w:sz w:val="12"/>
        </w:rPr>
        <w:t xml:space="preserve"> | IF 1.917</w:t>
      </w:r>
      <w:r>
        <w:rPr>
          <w:color w:val="003CA0"/>
          <w:sz w:val="12"/>
        </w:rPr>
        <w:t xml:space="preserve"> | rel. Maurício Corrêa</w:t>
      </w:r>
    </w:p>
    <w:p>
      <w:pPr>
        <w:ind w:left="288"/>
      </w:pPr>
      <w:r>
        <w:rPr>
          <w:color w:val="1E1E1E"/>
          <w:sz w:val="18"/>
        </w:rPr>
        <w:t>O descumprimento voluntário e intencional de decisão transitada em julgado configura pressuposto indispensável ao acolhimento do pedido de intervenção federal. A ausência de voluntariedade em não pagar precatórios, consubstanciada na insuficiência de recursos para satisfazer os créditos contra a Fazenda estadual no prazo previsto no § 1º do art. 100 da Constituição da República, não legitima a subtração temporária da autonomia estatal, mormente quando o ente público, apesar da exaustão do erário, vem sendo zeloso, na medida do possível, com suas obrigações derivadas de provimentos judiciais.</w:t>
      </w:r>
    </w:p>
    <w:p>
      <w:pPr>
        <w:ind w:left="288"/>
      </w:pPr>
      <w:r>
        <w:rPr>
          <w:b/>
          <w:color w:val="003CA0"/>
          <w:sz w:val="16"/>
        </w:rPr>
        <w:t>[IF 1.917 AgR, rel. min. Maurício Corrêa, j. 17-3-2004, P, DJ de 3-8-2007.]</w:t>
      </w:r>
    </w:p>
    <w:p>
      <w:pPr>
        <w:ind w:left="288"/>
      </w:pPr>
      <w:r>
        <w:rPr>
          <w:color w:val="8C8C8C"/>
          <w:sz w:val="12"/>
        </w:rPr>
        <w:t>cf-art-34-inc-VI</w:t>
      </w:r>
      <w:r>
        <w:rPr>
          <w:color w:val="003CA0"/>
          <w:sz w:val="12"/>
        </w:rPr>
        <w:t xml:space="preserve"> | IF 4.640</w:t>
      </w:r>
      <w:r>
        <w:rPr>
          <w:color w:val="003CA0"/>
          <w:sz w:val="12"/>
        </w:rPr>
        <w:t xml:space="preserve"> | rel. Cezar Peluso</w:t>
      </w:r>
    </w:p>
    <w:p>
      <w:pPr>
        <w:ind w:left="288"/>
      </w:pPr>
      <w:r>
        <w:rPr>
          <w:color w:val="1E1E1E"/>
          <w:sz w:val="18"/>
        </w:rPr>
        <w:t>= IF 4.640 AgR, rel. min. Cezar Peluso, j. 29-3-2012, P, DJE de 25-4-2012 Precatórios judiciais. Não configuração de atuação dolosa e deliberada do Estado de São Paulo com finalidade de não pagamento. Estado sujeito a quadro de múltiplas obrigações de idêntica hierarquia. Necessidade de garantir eficácia a outras normas constitucionais, como, por exemplo, a continuidade de prestação de serviços públicos. A intervenção, como medida extrema, deve atender à máxima da proporcionalidade. Adoção da chamada relação de precedência condicionada entre princípios constitucionais concorrentes.</w:t>
      </w:r>
    </w:p>
    <w:p>
      <w:pPr>
        <w:ind w:left="288"/>
      </w:pPr>
      <w:r>
        <w:rPr>
          <w:b/>
          <w:color w:val="003CA0"/>
          <w:sz w:val="16"/>
        </w:rPr>
        <w:t>[IF 298, red. do ac. min. Gilmar Mendes, j. 3-2-2003, P, DJ de 27-2-2004.]</w:t>
      </w:r>
    </w:p>
    <w:p>
      <w:pPr>
        <w:ind w:left="288"/>
      </w:pPr>
      <w:r>
        <w:rPr>
          <w:color w:val="8C8C8C"/>
          <w:sz w:val="12"/>
        </w:rPr>
        <w:t>cf-art-34-inc-VI</w:t>
      </w:r>
      <w:r>
        <w:rPr>
          <w:color w:val="003CA0"/>
          <w:sz w:val="12"/>
        </w:rPr>
        <w:t xml:space="preserve"> | IF 5.101</w:t>
      </w:r>
      <w:r>
        <w:rPr>
          <w:color w:val="003CA0"/>
          <w:sz w:val="12"/>
        </w:rPr>
        <w:t xml:space="preserve"> | rel. Cezar Peluso</w:t>
      </w:r>
    </w:p>
    <w:p>
      <w:pPr>
        <w:ind w:left="288"/>
      </w:pPr>
      <w:r>
        <w:rPr>
          <w:color w:val="1E1E1E"/>
          <w:sz w:val="18"/>
        </w:rPr>
        <w:t>= IF 5.101, IF 5.105, IF 5.106 e IF 5.114, rel. min. Cezar Peluso, j. 28-3-2012, P, DJE de 6-9-2012 O procedimento destinado a viabilizar, nas hipóteses de descumprimento de ordem ou de sentença judiciais (CF, art. 34, VI, e art. 35, IV), a efetivação do ato de intervenção – trate-se de intervenção federal nos Estados-membros, cuide-se de intervenção estadual nos Municípios – reveste-se de caráter político-administrativo, muito embora instaurado perante órgão competente do Poder Judiciário (CF, art. 36, II, e art. 35, IV), circunstância que inviabiliza, ante a ausência de causa, a utilização d</w:t>
      </w:r>
    </w:p>
    <w:p>
      <w:pPr>
        <w:ind w:left="288"/>
      </w:pPr>
      <w:r>
        <w:rPr>
          <w:b/>
          <w:color w:val="003CA0"/>
          <w:sz w:val="16"/>
        </w:rPr>
        <w:t>[AI 343.461 AgR, rel. min. Celso de Mello, j. 18-6-2002, 2ª T, DJ de 29-11-2002.]</w:t>
      </w:r>
    </w:p>
    <w:p>
      <w:pPr>
        <w:ind w:left="288"/>
      </w:pPr>
      <w:r>
        <w:rPr>
          <w:color w:val="8C8C8C"/>
          <w:sz w:val="12"/>
        </w:rPr>
        <w:t>cf-art-34-inc-VI</w:t>
      </w:r>
      <w:r>
        <w:rPr>
          <w:color w:val="003CA0"/>
          <w:sz w:val="12"/>
        </w:rPr>
        <w:t xml:space="preserve"> | IF 590</w:t>
      </w:r>
      <w:r>
        <w:rPr>
          <w:color w:val="003CA0"/>
          <w:sz w:val="12"/>
        </w:rPr>
        <w:t xml:space="preserve"> | rel. Celso de Mello</w:t>
      </w:r>
    </w:p>
    <w:p>
      <w:pPr>
        <w:ind w:left="288"/>
      </w:pPr>
      <w:r>
        <w:rPr>
          <w:color w:val="1E1E1E"/>
          <w:sz w:val="18"/>
        </w:rPr>
        <w:t>A exigência de respeito incondicional às decisões judiciais transitadas em julgado traduz imposição constitucional, justificada pelo princípio da separação de poderes e fundada nos postulados que informam, em nosso sistema jurídico, a própria concepção de Estado Democrático de Direito. O dever de cumprir as decisões emanadas do Poder Judiciário, notadamente nos casos em que a condenação judicial tem por destinatário o próprio poder público, muito mais do que simples incumbência de ordem processual, representa uma incontornável obrigação institucional a que não se pode subtrair o aparelho de Es</w:t>
      </w:r>
    </w:p>
    <w:p>
      <w:pPr>
        <w:ind w:left="288"/>
      </w:pPr>
      <w:r>
        <w:rPr>
          <w:b/>
          <w:color w:val="003CA0"/>
          <w:sz w:val="16"/>
        </w:rPr>
        <w:t>[IF 590 QO, rel. min. Celso de Mello, j. 17-9-1998, P, DJ de 9-10-1998.]</w:t>
      </w:r>
    </w:p>
    <w:p>
      <w:pPr>
        <w:ind w:left="288"/>
      </w:pPr>
      <w:r>
        <w:rPr>
          <w:color w:val="8C8C8C"/>
          <w:sz w:val="12"/>
        </w:rPr>
        <w:t>cf-art-34-inc-VI</w:t>
      </w:r>
      <w:r>
        <w:rPr>
          <w:color w:val="003CA0"/>
          <w:sz w:val="12"/>
        </w:rPr>
        <w:t xml:space="preserve"> | RE 149.986</w:t>
      </w:r>
      <w:r>
        <w:rPr>
          <w:color w:val="003CA0"/>
          <w:sz w:val="12"/>
        </w:rPr>
        <w:t xml:space="preserve"> | rel. Octavio Gallotti</w:t>
      </w:r>
    </w:p>
    <w:p>
      <w:pPr>
        <w:ind w:left="288"/>
      </w:pPr>
      <w:r>
        <w:rPr>
          <w:color w:val="1E1E1E"/>
          <w:sz w:val="18"/>
        </w:rPr>
        <w:t>Por não se tratar de causa, em sentido próprio, mas de providência administrativa, da privativa iniciativa do Tribunal de Justiça, não cabe recurso extraordinário contra a decisão daquela corte, que indeferiu o encaminhamento do pedido de intervenção federal, por suposto descumprimento de decisão judicial (art. 34, IV, da Constituição).</w:t>
      </w:r>
    </w:p>
    <w:p>
      <w:pPr>
        <w:ind w:left="288"/>
      </w:pPr>
      <w:r>
        <w:rPr>
          <w:b/>
          <w:color w:val="003CA0"/>
          <w:sz w:val="16"/>
        </w:rPr>
        <w:t>[RE 149.986, rel. min. Octavio Gallotti, j. 9-3-1993, 1ª T, DJ de 7-5-1993.]</w:t>
      </w:r>
    </w:p>
    <w:p>
      <w:pPr>
        <w:ind w:left="288"/>
      </w:pPr>
      <w:r>
        <w:rPr>
          <w:color w:val="8C8C8C"/>
          <w:sz w:val="12"/>
        </w:rPr>
        <w:t>cf-art-34-inc-VI</w:t>
      </w:r>
      <w:r>
        <w:rPr>
          <w:color w:val="003CA0"/>
          <w:sz w:val="12"/>
        </w:rPr>
        <w:t xml:space="preserve"> | IF 120</w:t>
      </w:r>
      <w:r>
        <w:rPr>
          <w:color w:val="003CA0"/>
          <w:sz w:val="12"/>
        </w:rPr>
        <w:t xml:space="preserve"> | rel. Sydney Sanches</w:t>
      </w:r>
    </w:p>
    <w:p>
      <w:pPr>
        <w:ind w:left="288"/>
      </w:pPr>
      <w:r>
        <w:rPr>
          <w:color w:val="1E1E1E"/>
          <w:sz w:val="18"/>
        </w:rPr>
        <w:t xml:space="preserve">Não se caracteriza hipótese de intervenção federal, por descumprimento de decisão judicial (art. 34, VI, da CF), se, com base no art. 33 do ADCT da CF e em decreto baixado pelo Poder Executivo estadual, o precatório judicial, em ação de indenização, por desapropriação indireta, vem sendo pago em moeda corrente, com atualização legal, em prestações anuais, iguais e sucessivas, no prazo de oito anos a partir de 1º-7-1989. Sendo o credor eventualmente preterido, em seu direito de precedência, o que pode pleitear é o sequestro da quantia necessária à satisfação do débito (...). E não, desde logo, </w:t>
      </w:r>
    </w:p>
    <w:p>
      <w:pPr>
        <w:ind w:left="288"/>
      </w:pPr>
      <w:r>
        <w:rPr>
          <w:b/>
          <w:color w:val="003CA0"/>
          <w:sz w:val="16"/>
        </w:rPr>
        <w:t>[IF 120, rel. min. Sydney Sanches, j. 10-2-1993, P, DJ de 5-3-1993.]</w:t>
      </w:r>
    </w:p>
    <w:p>
      <w:pPr>
        <w:ind w:left="144"/>
      </w:pPr>
      <w:r>
        <w:rPr>
          <w:b/>
          <w:color w:val="B45A00"/>
          <w:sz w:val="16"/>
        </w:rPr>
        <w:t>CONTROLE CONCENTRADO</w:t>
      </w:r>
    </w:p>
    <w:p>
      <w:pPr>
        <w:ind w:left="288"/>
      </w:pPr>
      <w:r>
        <w:rPr>
          <w:color w:val="8C8C8C"/>
          <w:sz w:val="12"/>
        </w:rPr>
        <w:t>cf-art-34-inc-VII</w:t>
      </w:r>
      <w:r>
        <w:rPr>
          <w:color w:val="003CA0"/>
          <w:sz w:val="12"/>
        </w:rPr>
        <w:t xml:space="preserve"> | ADI 7.369</w:t>
      </w:r>
      <w:r>
        <w:rPr>
          <w:color w:val="003CA0"/>
          <w:sz w:val="12"/>
        </w:rPr>
        <w:t xml:space="preserve"> | rel. Cármen Lúcia</w:t>
      </w:r>
    </w:p>
    <w:p>
      <w:pPr>
        <w:ind w:left="288"/>
      </w:pPr>
      <w:r>
        <w:rPr>
          <w:color w:val="1E1E1E"/>
          <w:sz w:val="18"/>
        </w:rPr>
        <w:t>É de observância obrigatória pelos Estados o rol taxativo de princípios constitucionais sensíveis previstos no inc. VII do art. 34 da Constituição da República, sendo desnecessária a reprodução literal na Constituição estadual como condição autorizativa para a intervenção do Estado em seus Municípios, por inexistir autonomia para modificá-lo.</w:t>
        <w:br/>
        <w:t>[ADI 7.369, rel. min. Cármen Lúcia, j. 13.05.2024, P, DJE de 08.08.2024.]</w:t>
      </w:r>
    </w:p>
    <w:p>
      <w:pPr>
        <w:ind w:left="144"/>
      </w:pPr>
      <w:r>
        <w:rPr>
          <w:b/>
          <w:color w:val="B45A00"/>
          <w:sz w:val="16"/>
        </w:rPr>
        <w:t>JULGADOS CORRELATOS</w:t>
      </w:r>
    </w:p>
    <w:p>
      <w:pPr>
        <w:ind w:left="288"/>
      </w:pPr>
      <w:r>
        <w:rPr>
          <w:color w:val="8C8C8C"/>
          <w:sz w:val="12"/>
        </w:rPr>
        <w:t>cf-art-34-inc-VII-ali-a</w:t>
      </w:r>
      <w:r>
        <w:rPr>
          <w:color w:val="003CA0"/>
          <w:sz w:val="12"/>
        </w:rPr>
        <w:t xml:space="preserve"> | IF 5.179</w:t>
      </w:r>
      <w:r>
        <w:rPr>
          <w:color w:val="003CA0"/>
          <w:sz w:val="12"/>
        </w:rPr>
        <w:t xml:space="preserve"> | rel. Cezar Peluso</w:t>
      </w:r>
    </w:p>
    <w:p>
      <w:pPr>
        <w:ind w:left="288"/>
      </w:pPr>
      <w:r>
        <w:rPr>
          <w:color w:val="1E1E1E"/>
          <w:sz w:val="18"/>
        </w:rPr>
        <w:t xml:space="preserve">Representação do PGR. Distrito Federal. Alegação da existência de largo esquema de corrupção. Envolvimento do ex-governador, deputados distritais e suplentes. Comprometimento das funções governamentais no âmbito dos Poderes Executivo e Legislativo. Fatos graves objeto de inquérito em curso no STJ. Ofensa aos princípios inscritos no art. 34, VII, a, da CF. (...) Enquanto medida extrema e excepcional, tendente a repor estado de coisas desestruturado por atos atentatórios à ordem definida por princípios constitucionais de extrema relevância, não se decreta intervenção federal quando tal ordem já </w:t>
      </w:r>
    </w:p>
    <w:p>
      <w:pPr>
        <w:ind w:left="288"/>
      </w:pPr>
      <w:r>
        <w:rPr>
          <w:b/>
          <w:color w:val="003CA0"/>
          <w:sz w:val="16"/>
        </w:rPr>
        <w:t>[IF 5.179, rel. min. Cezar Peluso, j. 30-6-2010, P, DJE de 8-10-2010.]</w:t>
      </w:r>
    </w:p>
    <w:p>
      <w:pPr>
        <w:ind w:left="288"/>
      </w:pPr>
      <w:r>
        <w:rPr>
          <w:color w:val="8C8C8C"/>
          <w:sz w:val="12"/>
        </w:rPr>
        <w:t>cf-art-34-inc-VII-ali-b</w:t>
      </w:r>
      <w:r>
        <w:rPr>
          <w:color w:val="003CA0"/>
          <w:sz w:val="12"/>
        </w:rPr>
        <w:t xml:space="preserve"> | IF 114</w:t>
      </w:r>
      <w:r>
        <w:rPr>
          <w:color w:val="003CA0"/>
          <w:sz w:val="12"/>
        </w:rPr>
        <w:t xml:space="preserve"> | rel. Néri da Silveira</w:t>
      </w:r>
    </w:p>
    <w:p>
      <w:pPr>
        <w:ind w:left="288"/>
      </w:pPr>
      <w:r>
        <w:rPr>
          <w:color w:val="1E1E1E"/>
          <w:sz w:val="18"/>
        </w:rPr>
        <w:t>Representação do PGR pleiteando intervenção federal no Estado de Mato Grosso, para assegurar a observância dos "direitos da pessoa humana", em face de fato criminoso praticado com extrema crueldade a indicar a inexistência de "condição mínima", no Estado, "para assegurar o respeito ao primordial direito da pessoa humana, que é o direito à vida". (...) Representação que merece conhecida, por seu fundamento: alegação de inobservância pelo Estado-membro do princípio constitucional sensível previsto no art. 34, VII, b, da Constituição de 1988, quanto aos "direitos da pessoa humana". (...) Hipótese</w:t>
      </w:r>
    </w:p>
    <w:p>
      <w:pPr>
        <w:ind w:left="288"/>
      </w:pPr>
      <w:r>
        <w:rPr>
          <w:b/>
          <w:color w:val="003CA0"/>
          <w:sz w:val="16"/>
        </w:rPr>
        <w:t>[IF 114, rel. min. Néri da Silveira, j. 13-3-1991, P, DJ de 27-9-1996.]</w:t>
      </w:r>
    </w:p>
    <w:p>
      <w:pPr>
        <w:ind w:left="288"/>
      </w:pPr>
      <w:r>
        <w:rPr>
          <w:color w:val="8C8C8C"/>
          <w:sz w:val="12"/>
        </w:rPr>
        <w:t>cf-art-34-inc-VII-ali-d</w:t>
      </w:r>
    </w:p>
    <w:p>
      <w:pPr>
        <w:ind w:left="288"/>
      </w:pPr>
      <w:r>
        <w:rPr>
          <w:color w:val="1E1E1E"/>
          <w:sz w:val="18"/>
        </w:rPr>
        <w:t>e) aplicação do mínimo exigido da receita resultante de impostos estaduais, compreendida a proveniente de transferências, na manutenção e desenvolvimento do ensino e nas ações e serviços públicos de saúde. (Redação da EC 29/2000)</w:t>
      </w:r>
    </w:p>
    <w:p>
      <w:pPr>
        <w:ind w:left="720"/>
      </w:pPr>
      <w:r>
        <w:rPr>
          <w:color w:val="003366"/>
          <w:sz w:val="18"/>
        </w:rPr>
        <w:t>I – manter a integridade nacional;</w:t>
      </w:r>
    </w:p>
    <w:p>
      <w:pPr>
        <w:ind w:left="720"/>
      </w:pPr>
      <w:r>
        <w:rPr>
          <w:color w:val="003366"/>
          <w:sz w:val="18"/>
        </w:rPr>
        <w:t>II – repelir invasão estrangeira ou de uma unidade da Federação em outra;</w:t>
      </w:r>
    </w:p>
    <w:p>
      <w:pPr>
        <w:ind w:left="720"/>
      </w:pPr>
      <w:r>
        <w:rPr>
          <w:color w:val="003366"/>
          <w:sz w:val="18"/>
        </w:rPr>
        <w:t>III – pôr termo a grave comprometimento da ordem pública;</w:t>
      </w:r>
    </w:p>
    <w:p>
      <w:pPr>
        <w:ind w:left="720"/>
      </w:pPr>
      <w:r>
        <w:rPr>
          <w:color w:val="003366"/>
          <w:sz w:val="18"/>
        </w:rPr>
        <w:t>IV – garantir o livre exercício de qualquer dos Poderes nas unidades da Federaçã</w:t>
      </w:r>
    </w:p>
    <w:p>
      <w:pPr>
        <w:ind w:left="720"/>
      </w:pPr>
      <w:r>
        <w:rPr>
          <w:color w:val="003366"/>
          <w:sz w:val="18"/>
        </w:rPr>
        <w:t>V – reorganizar as finanças da unidade da Federação que:</w:t>
      </w:r>
    </w:p>
    <w:p>
      <w:pPr>
        <w:ind w:left="1008"/>
      </w:pPr>
      <w:r>
        <w:rPr>
          <w:color w:val="003366"/>
          <w:sz w:val="18"/>
        </w:rPr>
        <w:t>a) suspender o pagamento da dívida fundada por mais de dois anos consecutivos, s</w:t>
      </w:r>
    </w:p>
    <w:p>
      <w:pPr>
        <w:ind w:left="1008"/>
      </w:pPr>
      <w:r>
        <w:rPr>
          <w:color w:val="003366"/>
          <w:sz w:val="18"/>
        </w:rPr>
        <w:t>b) deixar de entregar aos Municípios receitas tributárias fixadas nesta Constitu</w:t>
      </w:r>
    </w:p>
    <w:p>
      <w:pPr>
        <w:ind w:left="720"/>
      </w:pPr>
      <w:r>
        <w:rPr>
          <w:color w:val="003366"/>
          <w:sz w:val="18"/>
        </w:rPr>
        <w:t>VI – prover a execução de lei federal, ordem ou decisão judicial;</w:t>
      </w:r>
    </w:p>
    <w:p>
      <w:pPr>
        <w:ind w:left="720"/>
      </w:pPr>
      <w:r>
        <w:rPr>
          <w:color w:val="003366"/>
          <w:sz w:val="18"/>
        </w:rPr>
        <w:t>VII – assegurar a observância dos seguintes princípios constitucionais:</w:t>
      </w:r>
    </w:p>
    <w:p>
      <w:pPr>
        <w:ind w:left="1008"/>
      </w:pPr>
      <w:r>
        <w:rPr>
          <w:color w:val="003366"/>
          <w:sz w:val="18"/>
        </w:rPr>
        <w:t>a) forma republicana, sistema representativo e regime democrático;</w:t>
      </w:r>
    </w:p>
    <w:p>
      <w:pPr>
        <w:ind w:left="1008"/>
      </w:pPr>
      <w:r>
        <w:rPr>
          <w:color w:val="003366"/>
          <w:sz w:val="18"/>
        </w:rPr>
        <w:t>b) direitos da pessoa humana;</w:t>
      </w:r>
    </w:p>
    <w:p>
      <w:pPr>
        <w:ind w:left="1008"/>
      </w:pPr>
      <w:r>
        <w:rPr>
          <w:color w:val="003366"/>
          <w:sz w:val="18"/>
        </w:rPr>
        <w:t>c) autonomia municipal;</w:t>
      </w:r>
    </w:p>
    <w:p>
      <w:pPr>
        <w:ind w:left="1008"/>
      </w:pPr>
      <w:r>
        <w:rPr>
          <w:color w:val="003366"/>
          <w:sz w:val="18"/>
        </w:rPr>
        <w:t>d) prestação de contas da administração pública, direta e indireta.</w:t>
      </w:r>
    </w:p>
    <w:p>
      <w:pPr>
        <w:ind w:left="1008"/>
      </w:pPr>
      <w:r>
        <w:rPr>
          <w:color w:val="003366"/>
          <w:sz w:val="18"/>
        </w:rPr>
        <w:t>e) aplicação do mínimo exigido da receita resultante de impostos estaduais, comp</w:t>
      </w:r>
    </w:p>
    <w:p>
      <w:r>
        <w:rPr>
          <w:b/>
          <w:color w:val="003366"/>
          <w:sz w:val="20"/>
        </w:rPr>
        <w:t>Art. 35 O Estado não intervirá em seus Municípios, nem a União nos Municípios lo</w:t>
      </w:r>
      <w:r>
        <w:rPr>
          <w:color w:val="8C8C8C"/>
          <w:sz w:val="14"/>
        </w:rPr>
        <w:t xml:space="preserve">  [12 decisoes]</w:t>
      </w:r>
    </w:p>
    <w:p>
      <w:pPr>
        <w:ind w:left="144"/>
      </w:pPr>
      <w:r>
        <w:rPr>
          <w:b/>
          <w:color w:val="B45A00"/>
          <w:sz w:val="16"/>
        </w:rPr>
        <w:t>SUMULA</w:t>
      </w:r>
    </w:p>
    <w:p>
      <w:pPr>
        <w:ind w:left="288"/>
      </w:pPr>
      <w:r>
        <w:rPr>
          <w:color w:val="8C8C8C"/>
          <w:sz w:val="12"/>
        </w:rPr>
        <w:t>cf-art-35</w:t>
      </w:r>
    </w:p>
    <w:p>
      <w:pPr>
        <w:ind w:left="288"/>
      </w:pPr>
      <w:r>
        <w:rPr>
          <w:color w:val="1E1E1E"/>
          <w:sz w:val="18"/>
        </w:rPr>
        <w:t>Não cabe recurso extraordinário contra acórdão de tribunal de justiça que defere pedido de intervenção estadual em Município.</w:t>
      </w:r>
    </w:p>
    <w:p>
      <w:pPr>
        <w:ind w:left="288"/>
      </w:pPr>
      <w:r>
        <w:rPr>
          <w:b/>
          <w:color w:val="003CA0"/>
          <w:sz w:val="16"/>
        </w:rPr>
        <w:t>[Súmula 637.]</w:t>
      </w:r>
    </w:p>
    <w:p>
      <w:pPr>
        <w:ind w:left="144"/>
      </w:pPr>
      <w:r>
        <w:rPr>
          <w:b/>
          <w:color w:val="B45A00"/>
          <w:sz w:val="16"/>
        </w:rPr>
        <w:t>CONTROLE CONCENTRADO</w:t>
      </w:r>
    </w:p>
    <w:p>
      <w:pPr>
        <w:ind w:left="288"/>
      </w:pPr>
      <w:r>
        <w:rPr>
          <w:color w:val="8C8C8C"/>
          <w:sz w:val="12"/>
        </w:rPr>
        <w:t>cf-art-35</w:t>
      </w:r>
      <w:r>
        <w:rPr>
          <w:color w:val="003CA0"/>
          <w:sz w:val="12"/>
        </w:rPr>
        <w:t xml:space="preserve"> | ADI 7.369</w:t>
      </w:r>
      <w:r>
        <w:rPr>
          <w:color w:val="003CA0"/>
          <w:sz w:val="12"/>
        </w:rPr>
        <w:t xml:space="preserve"> | rel. Cármen Lúcia</w:t>
      </w:r>
    </w:p>
    <w:p>
      <w:pPr>
        <w:ind w:left="288"/>
      </w:pPr>
      <w:r>
        <w:rPr>
          <w:color w:val="1E1E1E"/>
          <w:sz w:val="18"/>
        </w:rPr>
        <w:t>É de observância obrigatória pelos Estados o rol taxativo de princípios constitucionais sensíveis previstos no inc. VII do art. 34 da Constituição da República, sendo desnecessária a reprodução literal na Constituição estadual como condição autorizativa para a intervenção do Estado em seus Municípios, por inexistir autonomia para modificá-lo.</w:t>
        <w:br/>
        <w:t>[ADI 7.369, rel. min. Cármen Lúcia, j. 13.05.2024, P, DJE de 08.08.2024.]</w:t>
      </w:r>
    </w:p>
    <w:p>
      <w:pPr>
        <w:ind w:left="288"/>
      </w:pPr>
      <w:r>
        <w:rPr>
          <w:color w:val="8C8C8C"/>
          <w:sz w:val="12"/>
        </w:rPr>
        <w:t>cf-art-35</w:t>
      </w:r>
      <w:r>
        <w:rPr>
          <w:color w:val="003CA0"/>
          <w:sz w:val="12"/>
        </w:rPr>
        <w:t xml:space="preserve"> | ADI 336</w:t>
      </w:r>
      <w:r>
        <w:rPr>
          <w:color w:val="003CA0"/>
          <w:sz w:val="12"/>
        </w:rPr>
        <w:t xml:space="preserve"> | rel. Eros Grau</w:t>
      </w:r>
    </w:p>
    <w:p>
      <w:pPr>
        <w:ind w:left="288"/>
      </w:pPr>
      <w:r>
        <w:rPr>
          <w:color w:val="1E1E1E"/>
          <w:sz w:val="18"/>
        </w:rPr>
        <w:t>As disposições do art. 35 da Constituição do Brasil/1988 também consubstanciam preceitos de observância compulsória por parte dos Estados-membros, sendo inconstitucionais quaisquer ampliações ou restrições às hipóteses de intervenção.</w:t>
      </w:r>
    </w:p>
    <w:p>
      <w:pPr>
        <w:ind w:left="288"/>
      </w:pPr>
      <w:r>
        <w:rPr>
          <w:b/>
          <w:color w:val="003CA0"/>
          <w:sz w:val="16"/>
        </w:rPr>
        <w:t>[ADI 336, voto do rel. min. Eros Grau, j. 10-2-2010, P, DJE de 17-9-2010.]</w:t>
      </w:r>
    </w:p>
    <w:p>
      <w:pPr>
        <w:ind w:left="288"/>
      </w:pPr>
      <w:r>
        <w:rPr>
          <w:color w:val="8C8C8C"/>
          <w:sz w:val="12"/>
        </w:rPr>
        <w:t>cf-art-35</w:t>
      </w:r>
      <w:r>
        <w:rPr>
          <w:color w:val="003CA0"/>
          <w:sz w:val="12"/>
        </w:rPr>
        <w:t xml:space="preserve"> | ADI 2.631</w:t>
      </w:r>
      <w:r>
        <w:rPr>
          <w:color w:val="003CA0"/>
          <w:sz w:val="12"/>
        </w:rPr>
        <w:t xml:space="preserve"> | rel. Carlos Velloso</w:t>
      </w:r>
    </w:p>
    <w:p>
      <w:pPr>
        <w:ind w:left="288"/>
      </w:pPr>
      <w:r>
        <w:rPr>
          <w:color w:val="1E1E1E"/>
          <w:sz w:val="18"/>
        </w:rPr>
        <w:t>É inconstitucional a atribuição conferida, pela Constituição do Pará, art. 85, I, ao Tribunal de Contas dos Municípios, para requerer ao governador do Estado a intervenção em Município. Caso em que o Tribunal de Contas age como auxiliar do Legislativo Municipal, a este cabendo formular a representação, se não rejeitar, por decisão de dois terços dos seus membros, o parecer prévio emitido pelo Tribunal (CF, art. 31, § 2º).</w:t>
      </w:r>
    </w:p>
    <w:p>
      <w:pPr>
        <w:ind w:left="288"/>
      </w:pPr>
      <w:r>
        <w:rPr>
          <w:b/>
          <w:color w:val="003CA0"/>
          <w:sz w:val="16"/>
        </w:rPr>
        <w:t>[ADI 2.631, rel. min. Carlos Velloso, j. 29-8-2002, P, DJ de 8-8-2003.]</w:t>
      </w:r>
    </w:p>
    <w:p>
      <w:pPr>
        <w:ind w:left="288"/>
      </w:pPr>
      <w:r>
        <w:rPr>
          <w:color w:val="8C8C8C"/>
          <w:sz w:val="12"/>
        </w:rPr>
        <w:t>cf-art-35</w:t>
      </w:r>
      <w:r>
        <w:rPr>
          <w:color w:val="003CA0"/>
          <w:sz w:val="12"/>
        </w:rPr>
        <w:t xml:space="preserve"> | ADI 614</w:t>
      </w:r>
      <w:r>
        <w:rPr>
          <w:color w:val="003CA0"/>
          <w:sz w:val="12"/>
        </w:rPr>
        <w:t xml:space="preserve"> | rel. Ilmar Galvão</w:t>
      </w:r>
    </w:p>
    <w:p>
      <w:pPr>
        <w:ind w:left="288"/>
      </w:pPr>
      <w:r>
        <w:rPr>
          <w:color w:val="1E1E1E"/>
          <w:sz w:val="18"/>
        </w:rPr>
        <w:t>Constituição do Estado do Maranhão. (...). Decretação da intervenção do Estado em Município, proposta pelo tribunal de contas (...). A tomada de contas do prefeito municipal, objeto principal do controle externo, é exercido pela câmara municipal com o auxílio do tribunal de contas, órgão a que cumpre emitir parecer prévio, no qual serão apontadas eventuais irregularidades encontradas e indicadas as providências de ordem corretiva consideradas aplicáveis ao caso pela referida casa legislativa, entre as quais a intervenção. Tratando-se, nessa última hipótese, de medida que implica séria interfer</w:t>
      </w:r>
    </w:p>
    <w:p>
      <w:pPr>
        <w:ind w:left="288"/>
      </w:pPr>
      <w:r>
        <w:rPr>
          <w:b/>
          <w:color w:val="003CA0"/>
          <w:sz w:val="16"/>
        </w:rPr>
        <w:t>[ADI 614 MC, rel. min. Ilmar Galvão, j. 14-10-1992, P, DJ de 18-5-2001.]</w:t>
      </w:r>
    </w:p>
    <w:p>
      <w:pPr>
        <w:ind w:left="144"/>
      </w:pPr>
      <w:r>
        <w:rPr>
          <w:b/>
          <w:color w:val="B45A00"/>
          <w:sz w:val="16"/>
        </w:rPr>
        <w:t>JULGADOS CORRELATOS</w:t>
      </w:r>
    </w:p>
    <w:p>
      <w:pPr>
        <w:ind w:left="288"/>
      </w:pPr>
      <w:r>
        <w:rPr>
          <w:color w:val="8C8C8C"/>
          <w:sz w:val="12"/>
        </w:rPr>
        <w:t>cf-art-35</w:t>
      </w:r>
      <w:r>
        <w:rPr>
          <w:color w:val="003CA0"/>
          <w:sz w:val="12"/>
        </w:rPr>
        <w:t xml:space="preserve"> | AI 597.466</w:t>
      </w:r>
      <w:r>
        <w:rPr>
          <w:color w:val="003CA0"/>
          <w:sz w:val="12"/>
        </w:rPr>
        <w:t xml:space="preserve"> | rel. Joaquim Barbosa</w:t>
      </w:r>
    </w:p>
    <w:p>
      <w:pPr>
        <w:ind w:left="288"/>
      </w:pPr>
      <w:r>
        <w:rPr>
          <w:color w:val="1E1E1E"/>
          <w:sz w:val="18"/>
        </w:rPr>
        <w:t>Intervenção estadual em Município. Súmula 637 do STF. De acordo com a jurisprudência deste Tribunal, a decisão de tribunal de justiça que determina a intervenção estadual em Município tem natureza político-administrativa, não ensejando, assim, o cabimento do recurso extraordinário.</w:t>
      </w:r>
    </w:p>
    <w:p>
      <w:pPr>
        <w:ind w:left="288"/>
      </w:pPr>
      <w:r>
        <w:rPr>
          <w:b/>
          <w:color w:val="003CA0"/>
          <w:sz w:val="16"/>
        </w:rPr>
        <w:t>[AI 597.466 AgR, rel. min. Joaquim Barbosa, j. 27-11-2007, 2ª T, DJE de 1º-2-2008.]</w:t>
      </w:r>
    </w:p>
    <w:p>
      <w:pPr>
        <w:ind w:left="288"/>
      </w:pPr>
      <w:r>
        <w:rPr>
          <w:color w:val="8C8C8C"/>
          <w:sz w:val="12"/>
        </w:rPr>
        <w:t>cf-art-35</w:t>
      </w:r>
      <w:r>
        <w:rPr>
          <w:color w:val="003CA0"/>
          <w:sz w:val="12"/>
        </w:rPr>
        <w:t xml:space="preserve"> | IF 590</w:t>
      </w:r>
      <w:r>
        <w:rPr>
          <w:color w:val="003CA0"/>
          <w:sz w:val="12"/>
        </w:rPr>
        <w:t xml:space="preserve"> | rel. Celso de Mello</w:t>
      </w:r>
    </w:p>
    <w:p>
      <w:pPr>
        <w:ind w:left="288"/>
      </w:pPr>
      <w:r>
        <w:rPr>
          <w:color w:val="1E1E1E"/>
          <w:sz w:val="18"/>
        </w:rPr>
        <w:t>Os Municípios situados no âmbito dos Estados-membros não se expõem à possibilidade constitucional de sofrerem intervenção decretada pela União Federal, eis que, relativamente a esses entes municipais, a única pessoa política ativamente legitimada a neles intervir é o Estado-membro. (...) Por isso mesmo, no sistema constitucional brasileiro, falece legitimidade ativa à União Federal para intervir em quaisquer Municípios, ressalvados, unicamente, os Municípios "localizados em Território Federal..." (CF, art. 35, caput).</w:t>
      </w:r>
    </w:p>
    <w:p>
      <w:pPr>
        <w:ind w:left="288"/>
      </w:pPr>
      <w:r>
        <w:rPr>
          <w:b/>
          <w:color w:val="003CA0"/>
          <w:sz w:val="16"/>
        </w:rPr>
        <w:t>[IF 590 QO, rel. min. Celso de Mello, j. 17-9-1998, P, DJ de 9-10-1998.]</w:t>
      </w:r>
    </w:p>
    <w:p>
      <w:pPr>
        <w:ind w:left="144"/>
      </w:pPr>
      <w:r>
        <w:rPr>
          <w:b/>
          <w:color w:val="B45A00"/>
          <w:sz w:val="16"/>
        </w:rPr>
        <w:t>CONTROLE CONCENTRADO</w:t>
      </w:r>
    </w:p>
    <w:p>
      <w:pPr>
        <w:ind w:left="288"/>
      </w:pPr>
      <w:r>
        <w:rPr>
          <w:color w:val="8C8C8C"/>
          <w:sz w:val="12"/>
        </w:rPr>
        <w:t>cf-art-35-inc-I</w:t>
      </w:r>
      <w:r>
        <w:rPr>
          <w:color w:val="003CA0"/>
          <w:sz w:val="12"/>
        </w:rPr>
        <w:t xml:space="preserve"> | ADI 558</w:t>
      </w:r>
      <w:r>
        <w:rPr>
          <w:color w:val="003CA0"/>
          <w:sz w:val="12"/>
        </w:rPr>
        <w:t xml:space="preserve"> | rel. Cármen Lúcia</w:t>
      </w:r>
    </w:p>
    <w:p>
      <w:pPr>
        <w:ind w:left="288"/>
      </w:pPr>
      <w:r>
        <w:rPr>
          <w:color w:val="1E1E1E"/>
          <w:sz w:val="18"/>
        </w:rPr>
        <w:t>A intervenção estadual nos Municípios pelo não pagamento da dívida fundada é garantida pelo inc. I do art. 35 da Constituição da República. Ao constituinte estadual não se autoriza restrição dessa hipótese apenas a casos nos quais o inadimplemento não esteja vinculado à gestão anterior.</w:t>
      </w:r>
    </w:p>
    <w:p>
      <w:pPr>
        <w:ind w:left="288"/>
      </w:pPr>
      <w:r>
        <w:rPr>
          <w:b/>
          <w:color w:val="003CA0"/>
          <w:sz w:val="16"/>
        </w:rPr>
        <w:t>[ADI 558, rel. min. Cármen Lúcia, j. 19-4-2021, Plenário, DJE de 22-9-2021.]</w:t>
      </w:r>
    </w:p>
    <w:p>
      <w:pPr>
        <w:ind w:left="288"/>
      </w:pPr>
      <w:r>
        <w:rPr>
          <w:color w:val="8C8C8C"/>
          <w:sz w:val="12"/>
        </w:rPr>
        <w:t>cf-art-35-inc-III</w:t>
      </w:r>
    </w:p>
    <w:p>
      <w:pPr>
        <w:ind w:left="288"/>
      </w:pPr>
      <w:r>
        <w:rPr>
          <w:color w:val="1E1E1E"/>
          <w:sz w:val="18"/>
        </w:rPr>
        <w:t>IV - o Tribunal de Justiça der provimento a representação para assegurar a observância de princípios indicados na Constituição Estadual, ou para prover a execução de lei, de ordem ou de decisão judicial.</w:t>
      </w:r>
    </w:p>
    <w:p>
      <w:pPr>
        <w:ind w:left="144"/>
      </w:pPr>
      <w:r>
        <w:rPr>
          <w:b/>
          <w:color w:val="B45A00"/>
          <w:sz w:val="16"/>
        </w:rPr>
        <w:t>JULGADOS CORRELATOS</w:t>
      </w:r>
    </w:p>
    <w:p>
      <w:pPr>
        <w:ind w:left="288"/>
      </w:pPr>
      <w:r>
        <w:rPr>
          <w:color w:val="8C8C8C"/>
          <w:sz w:val="12"/>
        </w:rPr>
        <w:t>cf-art-35-inc-III</w:t>
      </w:r>
      <w:r>
        <w:rPr>
          <w:color w:val="003CA0"/>
          <w:sz w:val="12"/>
        </w:rPr>
        <w:t xml:space="preserve"> | RCL 2.143</w:t>
      </w:r>
      <w:r>
        <w:rPr>
          <w:color w:val="003CA0"/>
          <w:sz w:val="12"/>
        </w:rPr>
        <w:t xml:space="preserve"> | rel. Celso de Mello</w:t>
      </w:r>
    </w:p>
    <w:p>
      <w:pPr>
        <w:ind w:left="288"/>
      </w:pPr>
      <w:r>
        <w:rPr>
          <w:color w:val="1E1E1E"/>
          <w:sz w:val="18"/>
        </w:rPr>
        <w:t>A Constituição da República não quer apenas que a entidade estatal pague os seus débitos judiciais. Mais do que isso, a Lei Fundamental exige que o poder público, ao solver a sua obrigação, respeite a ordem de precedência cronológica em que se situam os credores do Estado. A preterição da ordem de precedência cronológica – considerada a extrema gravidade desse gesto de insubmissão estatal às prescrições da Constituição – configura comportamento institucional que produz, no que concerne aos prefeitos municipais, (a) consequências de caráter processual (sequestro da quantia necessária à satisfaç</w:t>
      </w:r>
    </w:p>
    <w:p>
      <w:pPr>
        <w:ind w:left="288"/>
      </w:pPr>
      <w:r>
        <w:rPr>
          <w:b/>
          <w:color w:val="003CA0"/>
          <w:sz w:val="16"/>
        </w:rPr>
        <w:t>[Rcl 2.143 AgR, rel. min. Celso de Mello, j. 12-3-2003, P, DJ de 6-6-2003.]</w:t>
      </w:r>
    </w:p>
    <w:p>
      <w:pPr>
        <w:ind w:left="288"/>
      </w:pPr>
      <w:r>
        <w:rPr>
          <w:color w:val="8C8C8C"/>
          <w:sz w:val="12"/>
        </w:rPr>
        <w:t>cf-art-35-inc-III</w:t>
      </w:r>
      <w:r>
        <w:rPr>
          <w:color w:val="003CA0"/>
          <w:sz w:val="12"/>
        </w:rPr>
        <w:t xml:space="preserve"> | AI 343.461</w:t>
      </w:r>
      <w:r>
        <w:rPr>
          <w:color w:val="003CA0"/>
          <w:sz w:val="12"/>
        </w:rPr>
        <w:t xml:space="preserve"> | rel. Celso de Mello</w:t>
      </w:r>
    </w:p>
    <w:p>
      <w:pPr>
        <w:ind w:left="288"/>
      </w:pPr>
      <w:r>
        <w:rPr>
          <w:color w:val="1E1E1E"/>
          <w:sz w:val="18"/>
        </w:rPr>
        <w:t>O procedimento destinado a viabilizar, nas hipóteses de descumprimento de ordem ou de sentença judiciais (CF, art. 34, VI, e art. 35, IV), a efetivação do ato de intervenção – trate-se de intervenção federal nos Estados-membros, cuide-se de intervenção estadual nos Municípios – reveste-se de caráter político-administrativo, muito embora instaurado perante órgão competente do Poder Judiciário (CF, art. 36, II, e art. 35, IV) (...).</w:t>
      </w:r>
    </w:p>
    <w:p>
      <w:pPr>
        <w:ind w:left="288"/>
      </w:pPr>
      <w:r>
        <w:rPr>
          <w:b/>
          <w:color w:val="003CA0"/>
          <w:sz w:val="16"/>
        </w:rPr>
        <w:t>[AI 343.461 AgR, rel. min. Celso de Mello, j. 18-6-2002, 2ª T, DJ de 29-11-2002.]</w:t>
      </w:r>
    </w:p>
    <w:p>
      <w:pPr>
        <w:ind w:left="288"/>
      </w:pPr>
      <w:r>
        <w:rPr>
          <w:color w:val="8C8C8C"/>
          <w:sz w:val="12"/>
        </w:rPr>
        <w:t>cf-art-35-inc-III</w:t>
      </w:r>
      <w:r>
        <w:rPr>
          <w:color w:val="003CA0"/>
          <w:sz w:val="12"/>
        </w:rPr>
        <w:t xml:space="preserve"> | PET 1.256</w:t>
      </w:r>
      <w:r>
        <w:rPr>
          <w:color w:val="003CA0"/>
          <w:sz w:val="12"/>
        </w:rPr>
        <w:t xml:space="preserve"> | rel. Sepúlveda Pertence</w:t>
      </w:r>
    </w:p>
    <w:p>
      <w:pPr>
        <w:ind w:left="288"/>
      </w:pPr>
      <w:r>
        <w:rPr>
          <w:color w:val="1E1E1E"/>
          <w:sz w:val="18"/>
        </w:rPr>
        <w:t>Recurso extraordinário: descabimento: inexistência de causa no procedimento político-administrativo de requisição de intervenção estadual nos Municípios para prover a execução de ordem ou decisão judicial (CF, art. 35, IV), ainda quando requerida a providência pela parte interessada.</w:t>
      </w:r>
    </w:p>
    <w:p>
      <w:pPr>
        <w:ind w:left="288"/>
      </w:pPr>
      <w:r>
        <w:rPr>
          <w:b/>
          <w:color w:val="003CA0"/>
          <w:sz w:val="16"/>
        </w:rPr>
        <w:t>[Pet 1.256, rel. min. Sepúlveda Pertence, j. 4-11-1998, P, DJ de 4-5-2001.]</w:t>
      </w:r>
    </w:p>
    <w:p>
      <w:pPr>
        <w:ind w:left="720"/>
      </w:pPr>
      <w:r>
        <w:rPr>
          <w:color w:val="003366"/>
          <w:sz w:val="18"/>
        </w:rPr>
        <w:t>I – deixar de ser paga, sem motivo de força maior, por dois anos consecutivos, a</w:t>
      </w:r>
    </w:p>
    <w:p>
      <w:pPr>
        <w:ind w:left="720"/>
      </w:pPr>
      <w:r>
        <w:rPr>
          <w:color w:val="003366"/>
          <w:sz w:val="18"/>
        </w:rPr>
        <w:t>II – não forem prestadas contas devidas, na forma da lei;</w:t>
        <w:br/>
        <w:t>III &amp;#150; não tiver s</w:t>
      </w:r>
    </w:p>
    <w:p>
      <w:pPr>
        <w:ind w:left="720"/>
      </w:pPr>
      <w:r>
        <w:rPr>
          <w:color w:val="003366"/>
          <w:sz w:val="18"/>
        </w:rPr>
        <w:t>IV – o Tribunal de Justiça der provimento a representação para assegurar a obser</w:t>
      </w:r>
    </w:p>
    <w:p>
      <w:r>
        <w:rPr>
          <w:b/>
          <w:color w:val="003366"/>
          <w:sz w:val="20"/>
        </w:rPr>
        <w:t>Art. 36 A decretação da intervenção dependerá:</w:t>
      </w:r>
      <w:r>
        <w:rPr>
          <w:color w:val="8C8C8C"/>
          <w:sz w:val="14"/>
        </w:rPr>
        <w:t xml:space="preserve">  [9 decisoes]</w:t>
      </w:r>
    </w:p>
    <w:p>
      <w:pPr>
        <w:ind w:left="288"/>
      </w:pPr>
      <w:r>
        <w:rPr>
          <w:color w:val="8C8C8C"/>
          <w:sz w:val="12"/>
        </w:rPr>
        <w:t>cf-art-36</w:t>
      </w:r>
    </w:p>
    <w:p>
      <w:pPr>
        <w:ind w:left="288"/>
      </w:pPr>
      <w:r>
        <w:rPr>
          <w:color w:val="1E1E1E"/>
          <w:sz w:val="18"/>
        </w:rPr>
        <w:t>I - no caso do art. 34, IV, de solicitação do Poder Legislativo ou do Poder Executivo coacto ou impedido, ou de requisição do Supremo Tribunal Federal, se a coação for exercida contra o Poder Judiciário;</w:t>
      </w:r>
    </w:p>
    <w:p>
      <w:pPr>
        <w:ind w:left="144"/>
      </w:pPr>
      <w:r>
        <w:rPr>
          <w:b/>
          <w:color w:val="B45A00"/>
          <w:sz w:val="16"/>
        </w:rPr>
        <w:t>JULGADOS CORRELATOS</w:t>
      </w:r>
    </w:p>
    <w:p>
      <w:pPr>
        <w:ind w:left="288"/>
      </w:pPr>
      <w:r>
        <w:rPr>
          <w:color w:val="8C8C8C"/>
          <w:sz w:val="12"/>
        </w:rPr>
        <w:t>cf-art-36</w:t>
      </w:r>
      <w:r>
        <w:rPr>
          <w:color w:val="003CA0"/>
          <w:sz w:val="12"/>
        </w:rPr>
        <w:t xml:space="preserve"> | RCL 464</w:t>
      </w:r>
      <w:r>
        <w:rPr>
          <w:color w:val="003CA0"/>
          <w:sz w:val="12"/>
        </w:rPr>
        <w:t xml:space="preserve"> | rel. Octavio Gallotti</w:t>
      </w:r>
    </w:p>
    <w:p>
      <w:pPr>
        <w:ind w:left="288"/>
      </w:pPr>
      <w:r>
        <w:rPr>
          <w:color w:val="1E1E1E"/>
          <w:sz w:val="18"/>
        </w:rPr>
        <w:t>Intervenção federal, por suposto descumprimento de decisão de tribunal de justiça. Não se pode ter, como invasiva da competência do Supremo Tribunal, a decisão de corte estadual, que, no exercício de sua exclusiva atribuição, indefere o encaminhamento do pedido de intervenção.</w:t>
      </w:r>
    </w:p>
    <w:p>
      <w:pPr>
        <w:ind w:left="288"/>
      </w:pPr>
      <w:r>
        <w:rPr>
          <w:b/>
          <w:color w:val="003CA0"/>
          <w:sz w:val="16"/>
        </w:rPr>
        <w:t>[Rcl 464, rel. min. Octavio Gallotti, j. 14-12-1994, P, DJ de 24-2-1995.]</w:t>
      </w:r>
    </w:p>
    <w:p>
      <w:pPr>
        <w:ind w:left="288"/>
      </w:pPr>
      <w:r>
        <w:rPr>
          <w:color w:val="8C8C8C"/>
          <w:sz w:val="12"/>
        </w:rPr>
        <w:t>cf-art-36-inc-II</w:t>
      </w:r>
      <w:r>
        <w:rPr>
          <w:color w:val="003CA0"/>
          <w:sz w:val="12"/>
        </w:rPr>
        <w:t xml:space="preserve"> | IF 2.792</w:t>
      </w:r>
      <w:r>
        <w:rPr>
          <w:color w:val="003CA0"/>
          <w:sz w:val="12"/>
        </w:rPr>
        <w:t xml:space="preserve"> | rel. Marco Aurélio</w:t>
      </w:r>
    </w:p>
    <w:p>
      <w:pPr>
        <w:ind w:left="288"/>
      </w:pPr>
      <w:r>
        <w:rPr>
          <w:color w:val="1E1E1E"/>
          <w:sz w:val="18"/>
        </w:rPr>
        <w:t>Art. 36, II, da CF. Define-se a competência pela matéria, cumprindo ao STF o julgamento quando o ato inobservado lastreia-se na CF; ao STJ quando envolvida matéria legal e ao TSE em se tratando de matéria de índole eleitoral.</w:t>
      </w:r>
    </w:p>
    <w:p>
      <w:pPr>
        <w:ind w:left="288"/>
      </w:pPr>
      <w:r>
        <w:rPr>
          <w:b/>
          <w:color w:val="003CA0"/>
          <w:sz w:val="16"/>
        </w:rPr>
        <w:t>[IF 2.792, rel. min. Marco Aurélio, j. 4-6-2003, P, DJ de 1º-8-2003.]</w:t>
      </w:r>
    </w:p>
    <w:p>
      <w:pPr>
        <w:ind w:left="288"/>
      </w:pPr>
      <w:r>
        <w:rPr>
          <w:color w:val="8C8C8C"/>
          <w:sz w:val="12"/>
        </w:rPr>
        <w:t>cf-art-36-inc-II</w:t>
      </w:r>
      <w:r>
        <w:rPr>
          <w:color w:val="003CA0"/>
          <w:sz w:val="12"/>
        </w:rPr>
        <w:t xml:space="preserve"> | IF 230</w:t>
      </w:r>
      <w:r>
        <w:rPr>
          <w:color w:val="003CA0"/>
          <w:sz w:val="12"/>
        </w:rPr>
        <w:t xml:space="preserve"> | rel. Sepúlveda Pertence</w:t>
      </w:r>
    </w:p>
    <w:p>
      <w:pPr>
        <w:ind w:left="288"/>
      </w:pPr>
      <w:r>
        <w:rPr>
          <w:color w:val="1E1E1E"/>
          <w:sz w:val="18"/>
        </w:rPr>
        <w:t>Cabe exclusivamente ao STF requisição de intervenção para assegurar a execução de decisões da Justiça do Trabalho ou da Justiça Militar, ainda quando fundadas em direito infraconstitucional: fundamentação. O pedido de requisição de intervenção dirigida pelo presidente do Tribunal de execução ao STF há de ter motivação quanto à procedência e também com a necessidade de intervenção.</w:t>
      </w:r>
    </w:p>
    <w:p>
      <w:pPr>
        <w:ind w:left="288"/>
      </w:pPr>
      <w:r>
        <w:rPr>
          <w:b/>
          <w:color w:val="003CA0"/>
          <w:sz w:val="16"/>
        </w:rPr>
        <w:t>[IF 230 QO, rel. min. Sepúlveda Pertence, j. 24-4-1996, P, DJ de 1º-7-1996.]</w:t>
      </w:r>
    </w:p>
    <w:p>
      <w:pPr>
        <w:ind w:left="288"/>
      </w:pPr>
      <w:r>
        <w:rPr>
          <w:color w:val="8C8C8C"/>
          <w:sz w:val="12"/>
        </w:rPr>
        <w:t>cf-art-36-inc-II</w:t>
      </w:r>
      <w:r>
        <w:rPr>
          <w:color w:val="003CA0"/>
          <w:sz w:val="12"/>
        </w:rPr>
        <w:t xml:space="preserve"> | IF 105</w:t>
      </w:r>
      <w:r>
        <w:rPr>
          <w:color w:val="003CA0"/>
          <w:sz w:val="12"/>
        </w:rPr>
        <w:t xml:space="preserve"> | rel. Sydney Sanches</w:t>
      </w:r>
    </w:p>
    <w:p>
      <w:pPr>
        <w:ind w:left="288"/>
      </w:pPr>
      <w:r>
        <w:rPr>
          <w:color w:val="1E1E1E"/>
          <w:sz w:val="18"/>
        </w:rPr>
        <w:t>Intervenção federal. Legitimidade ativa para o pedido. Interpretação do inciso II do art. 36 da CF de 1988, e do art. 19, II e III, da Lei 8.038, de 28-5-1990, e art. 350, II e III, do RISTF. A parte interessada na causa somente pode se dirigir ao STF, com pedido de intervenção federal, para prover a execução de decisão da própria corte. Quando se trate de decisão de tribunal de justiça, o requerimento de intervenção deve ser dirigido ao respectivo presidente, a quem incumbe, se for o caso, encaminhá-lo ao STF. Pedido não conhecido, por ilegitimidade ativa dos requerentes.</w:t>
      </w:r>
    </w:p>
    <w:p>
      <w:pPr>
        <w:ind w:left="288"/>
      </w:pPr>
      <w:r>
        <w:rPr>
          <w:b/>
          <w:color w:val="003CA0"/>
          <w:sz w:val="16"/>
        </w:rPr>
        <w:t>[IF 105 QO, rel. min. Sydney Sanches, j. 3-8-1992, P, DJ de 4-9-1992.]</w:t>
      </w:r>
    </w:p>
    <w:p>
      <w:pPr>
        <w:ind w:left="288"/>
      </w:pPr>
      <w:r>
        <w:rPr>
          <w:color w:val="8C8C8C"/>
          <w:sz w:val="12"/>
        </w:rPr>
        <w:t>cf-art-36-inc-II</w:t>
      </w:r>
      <w:r>
        <w:rPr>
          <w:color w:val="003CA0"/>
          <w:sz w:val="12"/>
        </w:rPr>
        <w:t xml:space="preserve"> | IF 4.677</w:t>
      </w:r>
      <w:r>
        <w:rPr>
          <w:color w:val="003CA0"/>
          <w:sz w:val="12"/>
        </w:rPr>
        <w:t xml:space="preserve"> | rel. Cezar Peluso</w:t>
      </w:r>
    </w:p>
    <w:p>
      <w:pPr>
        <w:ind w:left="288"/>
      </w:pPr>
      <w:r>
        <w:rPr>
          <w:color w:val="1E1E1E"/>
          <w:sz w:val="18"/>
        </w:rPr>
        <w:t>= IF 4.677 AgR, rel. min. Cezar Peluso, j. 29-3-2012, P, DJE de 20-6-2012 III - de provimento, pelo Supremo Tribunal Federal, de representação do Procurador-Geral da República, na hipótese do art. 34, VII, e no caso de recusa à execução de lei federal. (Redação da EC 45/2004)</w:t>
      </w:r>
    </w:p>
    <w:p>
      <w:pPr>
        <w:ind w:left="144"/>
      </w:pPr>
      <w:r>
        <w:rPr>
          <w:b/>
          <w:color w:val="B45A00"/>
          <w:sz w:val="16"/>
        </w:rPr>
        <w:t>SUMULA</w:t>
      </w:r>
    </w:p>
    <w:p>
      <w:pPr>
        <w:ind w:left="288"/>
      </w:pPr>
      <w:r>
        <w:rPr>
          <w:color w:val="8C8C8C"/>
          <w:sz w:val="12"/>
        </w:rPr>
        <w:t>cf-art-36-inc-II</w:t>
      </w:r>
    </w:p>
    <w:p>
      <w:pPr>
        <w:ind w:left="288"/>
      </w:pPr>
      <w:r>
        <w:rPr>
          <w:color w:val="1E1E1E"/>
          <w:sz w:val="18"/>
        </w:rPr>
        <w:t>Não há prazo de decadência para a representação de inconstitucionalidade prevista no art. 8º, parágrafo único, da CF.</w:t>
      </w:r>
    </w:p>
    <w:p>
      <w:pPr>
        <w:ind w:left="288"/>
      </w:pPr>
      <w:r>
        <w:rPr>
          <w:b/>
          <w:color w:val="003CA0"/>
          <w:sz w:val="16"/>
        </w:rPr>
        <w:t>[Súmula 360.]</w:t>
      </w:r>
    </w:p>
    <w:p>
      <w:pPr>
        <w:ind w:left="144"/>
      </w:pPr>
      <w:r>
        <w:rPr>
          <w:b/>
          <w:color w:val="B45A00"/>
          <w:sz w:val="16"/>
        </w:rPr>
        <w:t>CONTROLE CONCENTRADO</w:t>
      </w:r>
    </w:p>
    <w:p>
      <w:pPr>
        <w:ind w:left="288"/>
      </w:pPr>
      <w:r>
        <w:rPr>
          <w:color w:val="8C8C8C"/>
          <w:sz w:val="12"/>
        </w:rPr>
        <w:t>cf-art-36-par-1</w:t>
      </w:r>
      <w:r>
        <w:rPr>
          <w:color w:val="003CA0"/>
          <w:sz w:val="12"/>
        </w:rPr>
        <w:t xml:space="preserve"> | ADI 2.167</w:t>
      </w:r>
    </w:p>
    <w:p>
      <w:pPr>
        <w:ind w:left="288"/>
      </w:pPr>
      <w:r>
        <w:rPr>
          <w:color w:val="1E1E1E"/>
          <w:sz w:val="18"/>
        </w:rPr>
        <w:t>Tanto a intervenção federal quanto a estadual, (...) seja como ato vinculado, em algumas hipóteses, seja como ato discricionário, são atos do Chefe do Poder Executivo; ele é quem decreta a intervenção. O que a Constituição estabelece é que, em vinte e quatro horas, o decreto deve ser analisado, no caso aqui pela Assembleia Legislativa, para verificar as condições, para verificar as hipóteses, para verificar a extensão, para verificar a legalidade. O interventor - e essa é a divisão entre o Executivo e o Legislativo na intervenção - é de escolha e confiança do Chefe do Executivo. Ao colocar, na</w:t>
      </w:r>
    </w:p>
    <w:p>
      <w:pPr>
        <w:ind w:left="288"/>
      </w:pPr>
      <w:r>
        <w:rPr>
          <w:b/>
          <w:color w:val="003CA0"/>
          <w:sz w:val="16"/>
        </w:rPr>
        <w:t>[ADI 2.167, voto do red. do ac. min. Alexandre de Moraes, j. 3-6-2020, P, DJE de 11-11-2020.]</w:t>
      </w:r>
    </w:p>
    <w:p>
      <w:pPr>
        <w:ind w:left="288"/>
      </w:pPr>
      <w:r>
        <w:rPr>
          <w:color w:val="8C8C8C"/>
          <w:sz w:val="12"/>
        </w:rPr>
        <w:t>cf-art-36-par-4</w:t>
      </w:r>
    </w:p>
    <w:p>
      <w:pPr>
        <w:ind w:left="288"/>
      </w:pPr>
      <w:r>
        <w:rPr>
          <w:color w:val="1E1E1E"/>
          <w:sz w:val="18"/>
        </w:rPr>
        <w:t>CAPÍTULO VII Da Administração Pública SUMÁRIO Seção I Disposições Gerais SUMÁRIO</w:t>
      </w:r>
    </w:p>
    <w:p>
      <w:pPr>
        <w:ind w:left="720"/>
      </w:pPr>
      <w:r>
        <w:rPr>
          <w:color w:val="003366"/>
          <w:sz w:val="18"/>
        </w:rPr>
        <w:t>I – no caso do art. 34, IV, de solicitação do Poder Legislativo ou do Poder Exec</w:t>
      </w:r>
    </w:p>
    <w:p>
      <w:pPr>
        <w:ind w:left="720"/>
      </w:pPr>
      <w:r>
        <w:rPr>
          <w:color w:val="003366"/>
          <w:sz w:val="18"/>
        </w:rPr>
        <w:t>II – no caso de desobediência a ordem ou decisão judiciária, de requisição do Su</w:t>
      </w:r>
    </w:p>
    <w:p>
      <w:pPr>
        <w:ind w:left="720"/>
      </w:pPr>
      <w:r>
        <w:rPr>
          <w:color w:val="003366"/>
          <w:sz w:val="18"/>
        </w:rPr>
        <w:t>III – de provimento, pelo Supremo Tribunal Federal, de representação do Procurad</w:t>
      </w:r>
    </w:p>
    <w:p>
      <w:pPr>
        <w:ind w:left="720"/>
      </w:pPr>
      <w:r>
        <w:rPr>
          <w:color w:val="003366"/>
          <w:sz w:val="18"/>
        </w:rPr>
        <w:t>IV – (Revogado pela Emenda Constitucional nº 45, de 2004)</w:t>
      </w:r>
    </w:p>
    <w:p>
      <w:pPr>
        <w:ind w:left="432"/>
      </w:pPr>
      <w:r>
        <w:rPr>
          <w:color w:val="003366"/>
          <w:sz w:val="18"/>
        </w:rPr>
        <w:t>§ 1 O decreto de intervenção, que especificará a amplitude, o prazo e as condiçõ</w:t>
      </w:r>
    </w:p>
    <w:p>
      <w:pPr>
        <w:ind w:left="432"/>
      </w:pPr>
      <w:r>
        <w:rPr>
          <w:color w:val="003366"/>
          <w:sz w:val="18"/>
        </w:rPr>
        <w:t>§ 2 Se não estiver funcionando o Congresso Nacional ou a Assembléia Legislativa,</w:t>
      </w:r>
    </w:p>
    <w:p>
      <w:pPr>
        <w:ind w:left="432"/>
      </w:pPr>
      <w:r>
        <w:rPr>
          <w:color w:val="003366"/>
          <w:sz w:val="18"/>
        </w:rPr>
        <w:t>§ 3 Nos casos do art. 34, VI e VII, ou do art. 35, IV, dispensada a apreciação p</w:t>
      </w:r>
    </w:p>
    <w:p>
      <w:pPr>
        <w:ind w:left="432"/>
      </w:pPr>
      <w:r>
        <w:rPr>
          <w:color w:val="003366"/>
          <w:sz w:val="18"/>
        </w:rPr>
        <w:t xml:space="preserve">§ 4 Cessados os motivos da intervenção, as autoridades afastadas de seus cargos </w:t>
      </w:r>
    </w:p>
    <w:p>
      <w:pPr>
        <w:pStyle w:val="Heading2"/>
      </w:pPr>
      <w:r>
        <w:rPr>
          <w:color w:val="003366"/>
        </w:rPr>
        <w:t>CAPÍTULO VII - DA ADMINISTRAÇÃO PÚBLICA</w:t>
      </w:r>
    </w:p>
    <w:p>
      <w:pPr>
        <w:pStyle w:val="Heading3"/>
      </w:pPr>
      <w:r>
        <w:rPr>
          <w:color w:val="003366"/>
        </w:rPr>
        <w:t>Seção I - DISPOSIÇÕES GERAIS</w:t>
      </w:r>
    </w:p>
    <w:p>
      <w:r>
        <w:rPr>
          <w:b/>
          <w:color w:val="003366"/>
          <w:sz w:val="20"/>
        </w:rPr>
        <w:t>Art. 37 A administração pública direta e indireta de qualquer dos Poderes da Uni</w:t>
      </w:r>
      <w:r>
        <w:rPr>
          <w:color w:val="8C8C8C"/>
          <w:sz w:val="14"/>
        </w:rPr>
        <w:t xml:space="preserve">  [625 decisoes]</w:t>
      </w:r>
    </w:p>
    <w:p>
      <w:pPr>
        <w:ind w:left="144"/>
      </w:pPr>
      <w:r>
        <w:rPr>
          <w:b/>
          <w:color w:val="B45A00"/>
          <w:sz w:val="16"/>
        </w:rPr>
        <w:t>SUMULA VINCULANTE</w:t>
      </w:r>
    </w:p>
    <w:p>
      <w:pPr>
        <w:ind w:left="288"/>
      </w:pPr>
      <w:r>
        <w:rPr>
          <w:color w:val="8C8C8C"/>
          <w:sz w:val="12"/>
        </w:rPr>
        <w:t>cf-art-37</w:t>
      </w:r>
    </w:p>
    <w:p>
      <w:pPr>
        <w:ind w:left="288"/>
      </w:pPr>
      <w:r>
        <w:rPr>
          <w:color w:val="1E1E1E"/>
          <w:sz w:val="18"/>
        </w:rPr>
        <w:t>A nomeação de cônjuge, companheiro, ou parente, em linha reta, colateral ou por afinidade, até o terceiro grau, inclusive, da autoridade nomeante ou de servidor da mesma pessoa jurídica, investido em cargo de direção, chefia ou assessoramento, para o exercício de cargo em comissão ou de confiança, ou, ainda, de função gratificada na administração pública direta e indireta, em qualquer dos Poderes da União, dos Estados, do Distrito Federal e dos Municípios, compreendido o ajuste mediante designações recíprocas, viola a CF.</w:t>
      </w:r>
    </w:p>
    <w:p>
      <w:pPr>
        <w:ind w:left="288"/>
      </w:pPr>
      <w:r>
        <w:rPr>
          <w:b/>
          <w:color w:val="003CA0"/>
          <w:sz w:val="16"/>
        </w:rPr>
        <w:t>[Súmula Vinculante 13.]</w:t>
      </w:r>
    </w:p>
    <w:p>
      <w:pPr>
        <w:ind w:left="144"/>
      </w:pPr>
      <w:r>
        <w:rPr>
          <w:b/>
          <w:color w:val="B45A00"/>
          <w:sz w:val="16"/>
        </w:rPr>
        <w:t>SUMULA</w:t>
      </w:r>
    </w:p>
    <w:p>
      <w:pPr>
        <w:ind w:left="288"/>
      </w:pPr>
      <w:r>
        <w:rPr>
          <w:color w:val="8C8C8C"/>
          <w:sz w:val="12"/>
        </w:rPr>
        <w:t>cf-art-37</w:t>
      </w:r>
    </w:p>
    <w:p>
      <w:pPr>
        <w:ind w:left="288"/>
      </w:pPr>
      <w:r>
        <w:rPr>
          <w:color w:val="1E1E1E"/>
          <w:sz w:val="18"/>
        </w:rPr>
        <w:t>Não cabe recurso extraordinário por contrariedade ao princípio constitucional da legalidade, quando a sua verificação pressuponha rever a interpretação dada a normas infraconstitucionais pela decisão recorrida.</w:t>
      </w:r>
    </w:p>
    <w:p>
      <w:pPr>
        <w:ind w:left="288"/>
      </w:pPr>
      <w:r>
        <w:rPr>
          <w:b/>
          <w:color w:val="003CA0"/>
          <w:sz w:val="16"/>
        </w:rPr>
        <w:t>[Súmula 636.]</w:t>
      </w:r>
    </w:p>
    <w:p>
      <w:pPr>
        <w:ind w:left="288"/>
      </w:pPr>
      <w:r>
        <w:rPr>
          <w:color w:val="8C8C8C"/>
          <w:sz w:val="12"/>
        </w:rPr>
        <w:t>cf-art-37</w:t>
      </w:r>
    </w:p>
    <w:p>
      <w:pPr>
        <w:ind w:left="288"/>
      </w:pPr>
      <w:r>
        <w:rPr>
          <w:color w:val="1E1E1E"/>
          <w:sz w:val="18"/>
        </w:rPr>
        <w:t>A administração pode anular seus próprios atos, quando eivados de vícios que os tornem ilegais, porque deles não se originam direitos, ou revogá-los, por motivo de conveniência ou oportunidade, respeitados os direitos adquiridos e ressalvada, em todos os casos, a apreciação judicial.</w:t>
      </w:r>
    </w:p>
    <w:p>
      <w:pPr>
        <w:ind w:left="288"/>
      </w:pPr>
      <w:r>
        <w:rPr>
          <w:b/>
          <w:color w:val="003CA0"/>
          <w:sz w:val="16"/>
        </w:rPr>
        <w:t>[Súmula 473.]</w:t>
      </w:r>
    </w:p>
    <w:p>
      <w:pPr>
        <w:ind w:left="288"/>
      </w:pPr>
      <w:r>
        <w:rPr>
          <w:color w:val="8C8C8C"/>
          <w:sz w:val="12"/>
        </w:rPr>
        <w:t>cf-art-37</w:t>
      </w:r>
    </w:p>
    <w:p>
      <w:pPr>
        <w:ind w:left="288"/>
      </w:pPr>
      <w:r>
        <w:rPr>
          <w:color w:val="1E1E1E"/>
          <w:sz w:val="18"/>
        </w:rPr>
        <w:t>A administração pública pode declarar a nulidade dos seus próprios atos.</w:t>
      </w:r>
    </w:p>
    <w:p>
      <w:pPr>
        <w:ind w:left="288"/>
      </w:pPr>
      <w:r>
        <w:rPr>
          <w:b/>
          <w:color w:val="003CA0"/>
          <w:sz w:val="16"/>
        </w:rPr>
        <w:t>[Súmula 346.]</w:t>
      </w:r>
    </w:p>
    <w:p>
      <w:pPr>
        <w:ind w:left="288"/>
      </w:pPr>
      <w:r>
        <w:rPr>
          <w:color w:val="8C8C8C"/>
          <w:sz w:val="12"/>
        </w:rPr>
        <w:t>cf-art-37</w:t>
      </w:r>
      <w:r>
        <w:rPr>
          <w:color w:val="003CA0"/>
          <w:sz w:val="12"/>
        </w:rPr>
        <w:t xml:space="preserve"> | ADI 5.319</w:t>
      </w:r>
      <w:r>
        <w:rPr>
          <w:color w:val="003CA0"/>
          <w:sz w:val="12"/>
        </w:rPr>
        <w:t xml:space="preserve"> | rel. Nunes Marques</w:t>
      </w:r>
    </w:p>
    <w:p>
      <w:pPr>
        <w:ind w:left="288"/>
      </w:pPr>
      <w:r>
        <w:rPr>
          <w:color w:val="1E1E1E"/>
          <w:sz w:val="18"/>
        </w:rPr>
        <w:t>A imunidade tributária outorgada pelo art. 195, § 7º, da Constituição Federal às entidades beneficentes de assistência social é condicionada ao atendimento das exigências estabelecidas em lei. A relação jurídica entre Administração Pública e entidade beneficente é de trato sucessivo, considerada a evolução constante da sociedade, impondo, assim, fiscalização durante toda a vigência do Cebas. A jurisprudência do STF consolidou-se pela inexistência de direito adquirido a regime jurídico relativo a imunidade tributária, de modo que a concessão do Cebas não dispensa a instituição do atendimento de</w:t>
      </w:r>
    </w:p>
    <w:p>
      <w:pPr>
        <w:ind w:left="288"/>
      </w:pPr>
      <w:r>
        <w:rPr>
          <w:b/>
          <w:color w:val="003CA0"/>
          <w:sz w:val="16"/>
        </w:rPr>
        <w:t>[ADI 5.319, rel. min. Nunes Marques, j. 27-10-2025, P, DJE de 11-2-2026.]</w:t>
      </w:r>
    </w:p>
    <w:p>
      <w:pPr>
        <w:ind w:left="288"/>
      </w:pPr>
      <w:r>
        <w:rPr>
          <w:color w:val="8C8C8C"/>
          <w:sz w:val="12"/>
        </w:rPr>
        <w:t>cf-art-37</w:t>
      </w:r>
      <w:r>
        <w:rPr>
          <w:color w:val="003CA0"/>
          <w:sz w:val="12"/>
        </w:rPr>
        <w:t xml:space="preserve"> | ADI 4.285</w:t>
      </w:r>
      <w:r>
        <w:rPr>
          <w:color w:val="003CA0"/>
          <w:sz w:val="12"/>
        </w:rPr>
        <w:t xml:space="preserve"> | rel. Nunes Marques</w:t>
      </w:r>
    </w:p>
    <w:p>
      <w:pPr>
        <w:ind w:left="288"/>
      </w:pPr>
      <w:r>
        <w:rPr>
          <w:color w:val="1E1E1E"/>
          <w:sz w:val="18"/>
        </w:rPr>
        <w:t xml:space="preserve">A incorporação de gratificação concedida a servidores públicos que desempenham funções de segurança, com fundamento na exposição a risco de vida, consiste em compensação específica pelas condições laborativas perigosas e é devida pelo serviço realizado. Fator de diferenciação legítimo. Trata-se incorporação razoável, compatível com a isonomia e o princípio da impessoalidade, na medida em que condicionada ao exercício das funções de segurança por prazo não inferior a 5 anos, dentro do período de 6 anos de vigência da norma que instituiu a gratificação, a qual foi automaticamente extinta depois </w:t>
      </w:r>
    </w:p>
    <w:p>
      <w:pPr>
        <w:ind w:left="288"/>
      </w:pPr>
      <w:r>
        <w:rPr>
          <w:b/>
          <w:color w:val="003CA0"/>
          <w:sz w:val="16"/>
        </w:rPr>
        <w:t>[ADI 4.285, rel. min. Nunes Marques, j. 20.10.2025, P, DJE de 27.10.2025.]</w:t>
      </w:r>
    </w:p>
    <w:p>
      <w:pPr>
        <w:ind w:left="288"/>
      </w:pPr>
      <w:r>
        <w:rPr>
          <w:color w:val="8C8C8C"/>
          <w:sz w:val="12"/>
        </w:rPr>
        <w:t>cf-art-37</w:t>
      </w:r>
      <w:r>
        <w:rPr>
          <w:color w:val="003CA0"/>
          <w:sz w:val="12"/>
        </w:rPr>
        <w:t xml:space="preserve"> | ADC 12</w:t>
      </w:r>
      <w:r>
        <w:rPr>
          <w:color w:val="003CA0"/>
          <w:sz w:val="12"/>
        </w:rPr>
        <w:t xml:space="preserve"> | rel. Ayres Britto)</w:t>
      </w:r>
    </w:p>
    <w:p>
      <w:pPr>
        <w:ind w:left="288"/>
      </w:pPr>
      <w:r>
        <w:rPr>
          <w:color w:val="1E1E1E"/>
          <w:sz w:val="18"/>
        </w:rPr>
        <w:t>A Resolução n. 7/2005 do Conselho Nacional de Justiça, que institui regras sobre a proibição do nepotismo, declarada constitucional pelo Supremo (ADC 12, Rel. Min. Ayres Britto), proíbe, nos termos do art. 2º, I, o exercício de cargo de provimento em comissão ou de função gratificada por cônjuge, companheiro ou parente em linha reta, colateral ou por afinidade, até o terceiro grau, inclusive. O § 1º do dispositivo exclui da regra os servidores ocupantes de cargo de provimento efetivo das carreiras judiciárias, admitidos por concurso público, observadas a compatibilidade do grau de escolaridade</w:t>
      </w:r>
    </w:p>
    <w:p>
      <w:pPr>
        <w:ind w:left="288"/>
      </w:pPr>
      <w:r>
        <w:rPr>
          <w:b/>
          <w:color w:val="003CA0"/>
          <w:sz w:val="16"/>
        </w:rPr>
        <w:t>[ADI 3.496, rel. min. Nunes Marques, j. 13.10.2025, P, DJE de 12.11.2025.]</w:t>
      </w:r>
    </w:p>
    <w:p>
      <w:pPr>
        <w:ind w:left="288"/>
      </w:pPr>
      <w:r>
        <w:rPr>
          <w:color w:val="8C8C8C"/>
          <w:sz w:val="12"/>
        </w:rPr>
        <w:t>cf-art-37</w:t>
      </w:r>
      <w:r>
        <w:rPr>
          <w:color w:val="003CA0"/>
          <w:sz w:val="12"/>
        </w:rPr>
        <w:t xml:space="preserve"> | ADC 12</w:t>
      </w:r>
      <w:r>
        <w:rPr>
          <w:color w:val="003CA0"/>
          <w:sz w:val="12"/>
        </w:rPr>
        <w:t xml:space="preserve"> | rel. Ayres Britto</w:t>
      </w:r>
    </w:p>
    <w:p>
      <w:pPr>
        <w:ind w:left="288"/>
      </w:pPr>
      <w:r>
        <w:rPr>
          <w:color w:val="1E1E1E"/>
          <w:sz w:val="18"/>
        </w:rPr>
        <w:t>Vide ADC 12, rel. min. Ayres Britto, j. 20.08.2008, P, DJE de 18.12.2009 Serviços notariais e de registro. Reestruturação. Lei Estadual. Constitucionalidade. (...) Os serviços notariais e de registro são exercidos em caráter privado, mediante delegação do Poder Público, conforme previsão do art. 236 da Constituição Federal. A Lei Federal n. 8.935/1994, em seu art. 26, veda a acumulação dos serviços, admitindo exceção apenas para municípios que não comportem, em razão do volume ou da receita, a instalação de mais de um serviço. (...) A reestruturação foi precedida de amplo estudo do Tribunal de</w:t>
      </w:r>
    </w:p>
    <w:p>
      <w:pPr>
        <w:ind w:left="288"/>
      </w:pPr>
      <w:r>
        <w:rPr>
          <w:b/>
          <w:color w:val="003CA0"/>
          <w:sz w:val="16"/>
        </w:rPr>
        <w:t>[ADI 7.352, rel. min. Cristiano Zanin, j. 29.09.2025, P, DJE de 02.10.2025.]</w:t>
      </w:r>
    </w:p>
    <w:p>
      <w:pPr>
        <w:ind w:left="288"/>
      </w:pPr>
      <w:r>
        <w:rPr>
          <w:color w:val="8C8C8C"/>
          <w:sz w:val="12"/>
        </w:rPr>
        <w:t>cf-art-37</w:t>
      </w:r>
      <w:r>
        <w:rPr>
          <w:color w:val="003CA0"/>
          <w:sz w:val="12"/>
        </w:rPr>
        <w:t xml:space="preserve"> | ADI 5.451</w:t>
      </w:r>
      <w:r>
        <w:rPr>
          <w:color w:val="003CA0"/>
          <w:sz w:val="12"/>
        </w:rPr>
        <w:t xml:space="preserve"> | rel. Nunes Marques</w:t>
      </w:r>
    </w:p>
    <w:p>
      <w:pPr>
        <w:ind w:left="288"/>
      </w:pPr>
      <w:r>
        <w:rPr>
          <w:color w:val="1E1E1E"/>
          <w:sz w:val="18"/>
        </w:rPr>
        <w:t xml:space="preserve">Lei Estadual. Ministério Público do Estado do Ceará. Serviço voluntário. (...) Não há falar em substituição de membros e servidores do Parquet, tampouco em ofensa à moralidade e eficiência da Administração Pública, pois o § 2º do art. 2º questionado é firme ao vedar aos voluntários o exercício de atividade típica ou similar às dos membros e servidores do Ministério Público, bem como o uso de distintivos e insígnias privativos destes. Além disso, o § 3º estabelece que a prestação de serviços pelos trabalhadores voluntários contempla principalmente conhecimentos estranhos à área de formação dos </w:t>
      </w:r>
    </w:p>
    <w:p>
      <w:pPr>
        <w:ind w:left="288"/>
      </w:pPr>
      <w:r>
        <w:rPr>
          <w:b/>
          <w:color w:val="003CA0"/>
          <w:sz w:val="16"/>
        </w:rPr>
        <w:t>[ADI 5.451, rel. min. Nunes Marques, j. 17.02.2025, P, DJE de 11.03.2025.]</w:t>
      </w:r>
    </w:p>
    <w:p>
      <w:pPr>
        <w:ind w:left="288"/>
      </w:pPr>
      <w:r>
        <w:rPr>
          <w:color w:val="8C8C8C"/>
          <w:sz w:val="12"/>
        </w:rPr>
        <w:t>cf-art-37</w:t>
      </w:r>
      <w:r>
        <w:rPr>
          <w:color w:val="003CA0"/>
          <w:sz w:val="12"/>
        </w:rPr>
        <w:t xml:space="preserve"> | ADI 7.629</w:t>
      </w:r>
      <w:r>
        <w:rPr>
          <w:color w:val="003CA0"/>
          <w:sz w:val="12"/>
        </w:rPr>
        <w:t xml:space="preserve"> | rel. Dias Toffoli</w:t>
      </w:r>
    </w:p>
    <w:p>
      <w:pPr>
        <w:ind w:left="288"/>
      </w:pPr>
      <w:r>
        <w:rPr>
          <w:color w:val="1E1E1E"/>
          <w:sz w:val="18"/>
        </w:rPr>
        <w:t>(...) o procedimento de descentralização da execução de serviços públicos não exclusivos para as entidades do terceiro setor, regulado pela Lei nº 23.081 do Estado de Minas Gerais, de 10 de agosto de 2018, deve ser conduzido de forma pública, objetiva e impessoal, em observância aos princípios do art. 37, caput, da Constituição da República, sem prejuízo da fiscalização do Ministério Público e do Tribunal de Contas quanto à utilização de verbas públicas.</w:t>
      </w:r>
    </w:p>
    <w:p>
      <w:pPr>
        <w:ind w:left="288"/>
      </w:pPr>
      <w:r>
        <w:rPr>
          <w:b/>
          <w:color w:val="003CA0"/>
          <w:sz w:val="16"/>
        </w:rPr>
        <w:t>[ADI 7.629, rel. min. Dias Toffoli, j. 17.02.2025, P, DJE de 21.02.2025.]</w:t>
      </w:r>
    </w:p>
    <w:p>
      <w:pPr>
        <w:ind w:left="144"/>
      </w:pPr>
      <w:r>
        <w:rPr>
          <w:b/>
          <w:color w:val="B45A00"/>
          <w:sz w:val="16"/>
        </w:rPr>
        <w:t>CONTROLE CONCENTRADO</w:t>
      </w:r>
    </w:p>
    <w:p>
      <w:pPr>
        <w:ind w:left="288"/>
      </w:pPr>
      <w:r>
        <w:rPr>
          <w:color w:val="8C8C8C"/>
          <w:sz w:val="12"/>
        </w:rPr>
        <w:t>cf-art-37</w:t>
      </w:r>
      <w:r>
        <w:rPr>
          <w:color w:val="003CA0"/>
          <w:sz w:val="12"/>
        </w:rPr>
        <w:t xml:space="preserve"> | ADI 5.157</w:t>
      </w:r>
      <w:r>
        <w:rPr>
          <w:color w:val="003CA0"/>
          <w:sz w:val="12"/>
        </w:rPr>
        <w:t xml:space="preserve"> | rel. Gilmar Mendes</w:t>
      </w:r>
    </w:p>
    <w:p>
      <w:pPr>
        <w:ind w:left="288"/>
      </w:pPr>
      <w:r>
        <w:rPr>
          <w:color w:val="1E1E1E"/>
          <w:sz w:val="18"/>
        </w:rPr>
        <w:t>“(...) o princípio da eficiência impõe que a Administração Pública utilize os meios necessários e adequados para atingimento dos objetivos pretendidos e impele que se estabeleçam mecanismos de controle para avaliação dos resultados obtidos. É, pois, um princípio associado tanto às finalidades objetivadas quanto ao fornecimento dos meios indispensáveis para o seu atingimento. (...) Assim, com a devida vênia, compreendo que melhores resultados podem ser obtidos a partir do fornecimento completo e adequado de equipamentos típicos para o desempenho das atividades de segurança do Poder Judiciário e</w:t>
      </w:r>
    </w:p>
    <w:p>
      <w:pPr>
        <w:ind w:left="288"/>
      </w:pPr>
      <w:r>
        <w:rPr>
          <w:b/>
          <w:color w:val="003CA0"/>
          <w:sz w:val="16"/>
        </w:rPr>
        <w:t>[ADI 3.581, rel. min. Nunes Marques, j. 26.11.2024, P, DJE de 18.12.2024.]</w:t>
      </w:r>
    </w:p>
    <w:p>
      <w:pPr>
        <w:ind w:left="288"/>
      </w:pPr>
      <w:r>
        <w:rPr>
          <w:color w:val="8C8C8C"/>
          <w:sz w:val="12"/>
        </w:rPr>
        <w:t>cf-art-37</w:t>
      </w:r>
      <w:r>
        <w:rPr>
          <w:color w:val="003CA0"/>
          <w:sz w:val="12"/>
        </w:rPr>
        <w:t xml:space="preserve"> | ADPF 362</w:t>
      </w:r>
      <w:r>
        <w:rPr>
          <w:color w:val="003CA0"/>
          <w:sz w:val="12"/>
        </w:rPr>
        <w:t xml:space="preserve"> | rel. Alexandre de Moraes</w:t>
      </w:r>
    </w:p>
    <w:p>
      <w:pPr>
        <w:ind w:left="288"/>
      </w:pPr>
      <w:r>
        <w:rPr>
          <w:color w:val="1E1E1E"/>
          <w:sz w:val="18"/>
        </w:rPr>
        <w:t>Ofício 265/1991 do Presidente da Assembleia Legislativa do Estado da Bahia. Exigência de lei específica para concessão de reajuste remuneratório para servidores do poder legislativo. Período anterior ao advento da emenda constitucional 19/98. Desnecessidade. Não atendimento às regras do processo legislativo. Ausência de ato formal da mesa diretora deliberando sobre o aumento concedido. Usurpação de competência. Configuração. (...) A subtração, pelo Presidente da Assembleia Legislativa, das atribuições conferidas à Mesa Diretora sugere haver indevida usurpação de competência, em conflito com os</w:t>
      </w:r>
    </w:p>
    <w:p>
      <w:pPr>
        <w:ind w:left="288"/>
      </w:pPr>
      <w:r>
        <w:rPr>
          <w:b/>
          <w:color w:val="003CA0"/>
          <w:sz w:val="16"/>
        </w:rPr>
        <w:t>[ADPF 559, rel. min. Roberto Barroso, j. 13-6-2022, P, DJE de 23-6-2022.]</w:t>
      </w:r>
    </w:p>
    <w:p>
      <w:pPr>
        <w:ind w:left="288"/>
      </w:pPr>
      <w:r>
        <w:rPr>
          <w:color w:val="8C8C8C"/>
          <w:sz w:val="12"/>
        </w:rPr>
        <w:t>cf-art-37</w:t>
      </w:r>
      <w:r>
        <w:rPr>
          <w:color w:val="003CA0"/>
          <w:sz w:val="12"/>
        </w:rPr>
        <w:t xml:space="preserve"> | ADI 2.946</w:t>
      </w:r>
      <w:r>
        <w:rPr>
          <w:color w:val="003CA0"/>
          <w:sz w:val="12"/>
        </w:rPr>
        <w:t xml:space="preserve"> | rel. Dias Toffoli</w:t>
      </w:r>
    </w:p>
    <w:p>
      <w:pPr>
        <w:ind w:left="288"/>
      </w:pPr>
      <w:r>
        <w:rPr>
          <w:color w:val="1E1E1E"/>
          <w:sz w:val="18"/>
        </w:rPr>
        <w:t>Artigo 27, caput e § 1º, da Lei 8.987, de 13 de fevereiro de 1995, renumerado pela Lei 11.196/05. Transferência da concessão ou do controle societário da concessionária. (...) Em nosso sistema jurídico, o que interessa à Administração é, sobretudo, a seleção da proposta mais vantajosa, independentemente da identidade do particular contratado ou dos atributos psicológicos ou subjetivos de que disponha. Como regra geral, as características pessoais, subjetivas ou psicológicas são indiferentes para o Estado. No tocante ao particular contratado, basta que tenha comprovada capacidade para cumprir a</w:t>
      </w:r>
    </w:p>
    <w:p>
      <w:pPr>
        <w:ind w:left="288"/>
      </w:pPr>
      <w:r>
        <w:rPr>
          <w:b/>
          <w:color w:val="003CA0"/>
          <w:sz w:val="16"/>
        </w:rPr>
        <w:t>[ADI 2.946, rel. min. Dias Toffoli, j. 9-3-2022, P, DJE de 18-5-2022.]</w:t>
      </w:r>
    </w:p>
    <w:p>
      <w:pPr>
        <w:ind w:left="288"/>
      </w:pPr>
      <w:r>
        <w:rPr>
          <w:color w:val="8C8C8C"/>
          <w:sz w:val="12"/>
        </w:rPr>
        <w:t>cf-art-37</w:t>
      </w:r>
      <w:r>
        <w:rPr>
          <w:color w:val="003CA0"/>
          <w:sz w:val="12"/>
        </w:rPr>
        <w:t xml:space="preserve"> | ADI 5.371</w:t>
      </w:r>
      <w:r>
        <w:rPr>
          <w:color w:val="003CA0"/>
          <w:sz w:val="12"/>
        </w:rPr>
        <w:t xml:space="preserve"> | rel. Roberto Barroso</w:t>
      </w:r>
    </w:p>
    <w:p>
      <w:pPr>
        <w:ind w:left="288"/>
      </w:pPr>
      <w:r>
        <w:rPr>
          <w:color w:val="1E1E1E"/>
          <w:sz w:val="18"/>
        </w:rPr>
        <w:t>Os processos administrativos sancionadores instaurados por agências reguladoras contra concessionárias de serviço público devem obedecer ao princípio da publicidade durante toda a sua tramitação, ressalvados eventuais atos que se enquadrem nas hipóteses de sigilo previstas em lei e na Constituição.</w:t>
      </w:r>
    </w:p>
    <w:p>
      <w:pPr>
        <w:ind w:left="288"/>
      </w:pPr>
      <w:r>
        <w:rPr>
          <w:b/>
          <w:color w:val="003CA0"/>
          <w:sz w:val="16"/>
        </w:rPr>
        <w:t>[ADI 5.371, rel. min. Roberto Barroso, j. 2-3-2022, P, DJE de 31-3-2022.]</w:t>
      </w:r>
    </w:p>
    <w:p>
      <w:pPr>
        <w:ind w:left="288"/>
      </w:pPr>
      <w:r>
        <w:rPr>
          <w:color w:val="8C8C8C"/>
          <w:sz w:val="12"/>
        </w:rPr>
        <w:t>cf-art-37</w:t>
      </w:r>
      <w:r>
        <w:rPr>
          <w:color w:val="003CA0"/>
          <w:sz w:val="12"/>
        </w:rPr>
        <w:t xml:space="preserve"> | ADPF 368</w:t>
      </w:r>
      <w:r>
        <w:rPr>
          <w:color w:val="003CA0"/>
          <w:sz w:val="12"/>
        </w:rPr>
        <w:t xml:space="preserve"> | rel. Gilmar Mendes</w:t>
      </w:r>
    </w:p>
    <w:p>
      <w:pPr>
        <w:ind w:left="288"/>
      </w:pPr>
      <w:r>
        <w:rPr>
          <w:color w:val="1E1E1E"/>
          <w:sz w:val="18"/>
        </w:rPr>
        <w:t>Pensão por morte e por invalidez para os mandatos políticos municipais, beneficiando os ex-ocupantes dos cargos, seus cônjuges ou companheiros sobreviventes, bem como seus descendentes consanguíneos de 1° grau. (...) Os cargos políticos do Poder Legislativo e do Poder Executivo municipal têm caráter temporário e transitório, motivo pelo qual não se justifica a concessão de qualquer benefício a ex-ocupante do cargo de forma permanente, sob pena de afronta aos princípios da igualdade, da impessoalidade, da moralidade pública e da responsabilidade com gastos públicos. Não se revela compatível com</w:t>
      </w:r>
    </w:p>
    <w:p>
      <w:pPr>
        <w:ind w:left="288"/>
      </w:pPr>
      <w:r>
        <w:rPr>
          <w:b/>
          <w:color w:val="003CA0"/>
          <w:sz w:val="16"/>
        </w:rPr>
        <w:t>[ADPF 368, rel. min. Gilmar Mendes, j. 8-9-2021, P, DJE de 15-9-2021.]</w:t>
      </w:r>
    </w:p>
    <w:p>
      <w:pPr>
        <w:ind w:left="288"/>
      </w:pPr>
      <w:r>
        <w:rPr>
          <w:color w:val="8C8C8C"/>
          <w:sz w:val="12"/>
        </w:rPr>
        <w:t>cf-art-37</w:t>
      </w:r>
      <w:r>
        <w:rPr>
          <w:color w:val="003CA0"/>
          <w:sz w:val="12"/>
        </w:rPr>
        <w:t xml:space="preserve"> | ADPF 690</w:t>
      </w:r>
      <w:r>
        <w:rPr>
          <w:color w:val="003CA0"/>
          <w:sz w:val="12"/>
        </w:rPr>
        <w:t xml:space="preserve"> | rel. Alexandre de Moraes</w:t>
      </w:r>
    </w:p>
    <w:p>
      <w:pPr>
        <w:ind w:left="288"/>
      </w:pPr>
      <w:r>
        <w:rPr>
          <w:color w:val="1E1E1E"/>
          <w:sz w:val="18"/>
        </w:rPr>
        <w:t>A gravidade da emergência causada pela COVID-19 exige das autoridades brasileiras, em todos os níveis de governo, a efetivação concreta da proteção à saúde pública, com a adoção de todas as medidas possíveis para o apoio e manutenção das atividades do Sistema Único de Saúde, entre elas o fornecimento de todas as informações necessárias para o planejamento e o combate à pandemia. A interrupção abrupta da coleta e divulgação de informações epidemiológicas, imprescindíveis para a análise da série histórica de evolução da pandemia (COVID-19), caracteriza ofensa a preceitos fundamentais da Constitu</w:t>
      </w:r>
    </w:p>
    <w:p>
      <w:pPr>
        <w:ind w:left="288"/>
      </w:pPr>
      <w:r>
        <w:rPr>
          <w:b/>
          <w:color w:val="003CA0"/>
          <w:sz w:val="16"/>
        </w:rPr>
        <w:t>[ADPF 690, rel. min. Alexandre de Moraes, j. 15-3-2021, P, DJE de 15-4-2021.]</w:t>
      </w:r>
    </w:p>
    <w:p>
      <w:pPr>
        <w:ind w:left="288"/>
      </w:pPr>
      <w:r>
        <w:rPr>
          <w:color w:val="8C8C8C"/>
          <w:sz w:val="12"/>
        </w:rPr>
        <w:t>cf-art-37</w:t>
      </w:r>
      <w:r>
        <w:rPr>
          <w:color w:val="003CA0"/>
          <w:sz w:val="12"/>
        </w:rPr>
        <w:t xml:space="preserve"> | ADPF 754</w:t>
      </w:r>
      <w:r>
        <w:rPr>
          <w:color w:val="003CA0"/>
          <w:sz w:val="12"/>
        </w:rPr>
        <w:t xml:space="preserve"> | rel. Ricardo Lewandowski</w:t>
      </w:r>
    </w:p>
    <w:p>
      <w:pPr>
        <w:ind w:left="288"/>
      </w:pPr>
      <w:r>
        <w:rPr>
          <w:color w:val="1E1E1E"/>
          <w:sz w:val="18"/>
        </w:rPr>
        <w:t>Na 2ª edição Plano Nacional de Operacionalização da Vacinação contra a Covid-19 estabeleceu-se a população que será imunizada prioritariamente, sem, no entanto, detalhar adequadamente, dentro daquele universo de cerca de setenta e sete milhões de pessoas, qual a ordem de cada grupo de pessoas. O perigo decorrente da alegada omissão sobre a discriminação categorizada dos primeiros brasileiros a serem vacinados – uma vez que a quantidade de vacinas disponíveis até o momento em solo nacional é muito inferior ao número das pessoas incluídas como prioritárias –, é evidente, e compromete o dever con</w:t>
      </w:r>
    </w:p>
    <w:p>
      <w:pPr>
        <w:ind w:left="288"/>
      </w:pPr>
      <w:r>
        <w:rPr>
          <w:b/>
          <w:color w:val="003CA0"/>
          <w:sz w:val="16"/>
        </w:rPr>
        <w:t>[ADPF 754 TPI segunda REF, rel. min. Ricardo Lewandowski, j. 1º-3-2021, P, DJE de 11-3-2021.]</w:t>
      </w:r>
    </w:p>
    <w:p>
      <w:pPr>
        <w:ind w:left="288"/>
      </w:pPr>
      <w:r>
        <w:rPr>
          <w:color w:val="8C8C8C"/>
          <w:sz w:val="12"/>
        </w:rPr>
        <w:t>cf-art-37</w:t>
      </w:r>
      <w:r>
        <w:rPr>
          <w:color w:val="003CA0"/>
          <w:sz w:val="12"/>
        </w:rPr>
        <w:t xml:space="preserve"> | ADI 5.337</w:t>
      </w:r>
      <w:r>
        <w:rPr>
          <w:color w:val="003CA0"/>
          <w:sz w:val="12"/>
        </w:rPr>
        <w:t xml:space="preserve"> | rel. Luiz Fux</w:t>
      </w:r>
    </w:p>
    <w:p>
      <w:pPr>
        <w:ind w:left="288"/>
      </w:pPr>
      <w:r>
        <w:rPr>
          <w:color w:val="1E1E1E"/>
          <w:sz w:val="18"/>
        </w:rPr>
        <w:t>(...) são inconstitucionais os dispositivos impugnados, que permitem a transferência inter vivos ou causa mortis da outorga do serviço de táxi, na medida em que não passam pelo crivo da proporcionalidade, da isonomia, da impessoalidade e da eficiência administrativa, gerando, adicionalmente, potenciais efeitos econômicos e sociais perversos que não resistem a uma análise custo-benefício. (...) §§ 1º, 2º e 3º do artigo 12-A da Lei 12.587/2012, que institui as diretrizes da Política Nacional de Mobilidade Urbana, com a redação dada pela Lei 12.865/2013.</w:t>
      </w:r>
    </w:p>
    <w:p>
      <w:pPr>
        <w:ind w:left="288"/>
      </w:pPr>
      <w:r>
        <w:rPr>
          <w:b/>
          <w:color w:val="003CA0"/>
          <w:sz w:val="16"/>
        </w:rPr>
        <w:t>[ADI 5.337, rel. min. Luiz Fux, j. 1-3-2021, P, DJE de 25-3-2021]</w:t>
      </w:r>
    </w:p>
    <w:p>
      <w:pPr>
        <w:ind w:left="288"/>
      </w:pPr>
      <w:r>
        <w:rPr>
          <w:color w:val="8C8C8C"/>
          <w:sz w:val="12"/>
        </w:rPr>
        <w:t>cf-art-37</w:t>
      </w:r>
      <w:r>
        <w:rPr>
          <w:color w:val="003CA0"/>
          <w:sz w:val="12"/>
        </w:rPr>
        <w:t xml:space="preserve"> | ADI 5.358</w:t>
      </w:r>
    </w:p>
    <w:p>
      <w:pPr>
        <w:ind w:left="288"/>
      </w:pPr>
      <w:r>
        <w:rPr>
          <w:color w:val="1E1E1E"/>
          <w:sz w:val="18"/>
        </w:rPr>
        <w:t>É inconstitucional a fixação de critério de desempate em concursos públicos que favoreça candidatos que pertencem ao serviço público de um determinado ente federativo.</w:t>
      </w:r>
    </w:p>
    <w:p>
      <w:pPr>
        <w:ind w:left="288"/>
      </w:pPr>
      <w:r>
        <w:rPr>
          <w:b/>
          <w:color w:val="003CA0"/>
          <w:sz w:val="16"/>
        </w:rPr>
        <w:t>[ADI 5.358, rel. Roberto Barroso, j. 30-11-2020, P, DJE de 15-12-2020]</w:t>
      </w:r>
    </w:p>
    <w:p>
      <w:pPr>
        <w:ind w:left="288"/>
      </w:pPr>
      <w:r>
        <w:rPr>
          <w:color w:val="8C8C8C"/>
          <w:sz w:val="12"/>
        </w:rPr>
        <w:t>cf-art-37</w:t>
      </w:r>
      <w:r>
        <w:rPr>
          <w:color w:val="003CA0"/>
          <w:sz w:val="12"/>
        </w:rPr>
        <w:t xml:space="preserve"> | ADPF 509</w:t>
      </w:r>
      <w:r>
        <w:rPr>
          <w:color w:val="003CA0"/>
          <w:sz w:val="12"/>
        </w:rPr>
        <w:t xml:space="preserve"> | rel. Marco Aurélio</w:t>
      </w:r>
    </w:p>
    <w:p>
      <w:pPr>
        <w:ind w:left="288"/>
      </w:pPr>
      <w:r>
        <w:rPr>
          <w:color w:val="1E1E1E"/>
          <w:sz w:val="18"/>
        </w:rPr>
        <w:t>Princípio da publicidade. Descabe enquadrar, como sancionador, cadastro de empregadores, cuja finalidade é o acesso à informação, mediante publicização de política de combate ao trabalho escravo, considerado resultado de procedimento administrativo de interesse público.</w:t>
        <w:br/>
        <w:t xml:space="preserve">[ADPF 509, rel. min. Marco Aurélio, j. 16-9-2020, P, DJE de 5-10-2020.] Conflita com a Carta da República a permanência de ocupante de cargo comissionado nomeado em momento anterior à publicação da norma que implicou vedação ao nepotismo, ausente direito adquirido (...). Surge constitucional a nomeação ou designação de parente </w:t>
      </w:r>
    </w:p>
    <w:p>
      <w:pPr>
        <w:ind w:left="288"/>
      </w:pPr>
      <w:r>
        <w:rPr>
          <w:b/>
          <w:color w:val="003CA0"/>
          <w:sz w:val="16"/>
        </w:rPr>
        <w:t>[ADI 3.680, rel. min. Marco Aurélio, j. 18-8-2020, P, DJE de 6-10-2020.]</w:t>
      </w:r>
    </w:p>
    <w:p>
      <w:pPr>
        <w:ind w:left="288"/>
      </w:pPr>
      <w:r>
        <w:rPr>
          <w:color w:val="8C8C8C"/>
          <w:sz w:val="12"/>
        </w:rPr>
        <w:t>cf-art-37</w:t>
      </w:r>
      <w:r>
        <w:rPr>
          <w:color w:val="003CA0"/>
          <w:sz w:val="12"/>
        </w:rPr>
        <w:t xml:space="preserve"> | ADI 2.821</w:t>
      </w:r>
      <w:r>
        <w:rPr>
          <w:color w:val="003CA0"/>
          <w:sz w:val="12"/>
        </w:rPr>
        <w:t xml:space="preserve"> | rel. Alexandre de Moraes</w:t>
      </w:r>
    </w:p>
    <w:p>
      <w:pPr>
        <w:ind w:left="288"/>
      </w:pPr>
      <w:r>
        <w:rPr>
          <w:color w:val="1E1E1E"/>
          <w:sz w:val="18"/>
        </w:rPr>
        <w:t>A ausência de critérios mínimos e razoáveis para concessão do benefício, especialmente a incorporação da vantagem, decorrente da continuidade do pagamento após o exercício da função, caracteriza concessão graciosa de vantagem remuneratória e, consequentemente, privilégio injustificado, que, além de não atender ao interesse público, é inconciliável com o ideal republicano e a moralidade (arts. 1º e 37 caput, ambos da CF).</w:t>
      </w:r>
    </w:p>
    <w:p>
      <w:pPr>
        <w:ind w:left="288"/>
      </w:pPr>
      <w:r>
        <w:rPr>
          <w:b/>
          <w:color w:val="003CA0"/>
          <w:sz w:val="16"/>
        </w:rPr>
        <w:t>[ADI 2.821, rel. min. Alexandre de Moraes, j. 20-12-2019, P, DJE de 26-2-2020.]</w:t>
      </w:r>
    </w:p>
    <w:p>
      <w:pPr>
        <w:ind w:left="288"/>
      </w:pPr>
      <w:r>
        <w:rPr>
          <w:color w:val="8C8C8C"/>
          <w:sz w:val="12"/>
        </w:rPr>
        <w:t>cf-art-37</w:t>
      </w:r>
      <w:r>
        <w:rPr>
          <w:color w:val="003CA0"/>
          <w:sz w:val="12"/>
        </w:rPr>
        <w:t xml:space="preserve"> | ADPF 129</w:t>
      </w:r>
      <w:r>
        <w:rPr>
          <w:color w:val="003CA0"/>
          <w:sz w:val="12"/>
        </w:rPr>
        <w:t xml:space="preserve"> | rel. Edson Fachin</w:t>
      </w:r>
    </w:p>
    <w:p>
      <w:pPr>
        <w:ind w:left="288"/>
      </w:pPr>
      <w:r>
        <w:rPr>
          <w:color w:val="1E1E1E"/>
          <w:sz w:val="18"/>
        </w:rPr>
        <w:t>Art. 86 do Decreto-lei 200/1967, que prevê o sigilo da movimentação dos créditos destinados à realização de despesas reservadas ou confidenciais. Não Recepção pela Constituição de 1988. (...) O Princípio de Publicidade dos Atos da Administração Pública caracteriza-se como preceito fundamental para fins de cabimento de Arguição de Descumprimento de Preceito Fundamental. O Estado Democrático de Direito instaurado pela Constituição de 1988 estabeleceu, como regra, a publicidade das informações referentes às despesas públicas, prescrevendo o sigilo como exceção, apenas quando imprescindível à segu</w:t>
      </w:r>
    </w:p>
    <w:p>
      <w:pPr>
        <w:ind w:left="288"/>
      </w:pPr>
      <w:r>
        <w:rPr>
          <w:b/>
          <w:color w:val="003CA0"/>
          <w:sz w:val="16"/>
        </w:rPr>
        <w:t>[ADPF 129, rel. min. Edson Fachin, j. 5-11-2019, P, DJE de 9-12-2019.]</w:t>
      </w:r>
    </w:p>
    <w:p>
      <w:pPr>
        <w:ind w:left="288"/>
      </w:pPr>
      <w:r>
        <w:rPr>
          <w:color w:val="8C8C8C"/>
          <w:sz w:val="12"/>
        </w:rPr>
        <w:t>cf-art-37</w:t>
      </w:r>
      <w:r>
        <w:rPr>
          <w:color w:val="003CA0"/>
          <w:sz w:val="12"/>
        </w:rPr>
        <w:t xml:space="preserve"> | ADI 5.346</w:t>
      </w:r>
      <w:r>
        <w:rPr>
          <w:color w:val="003CA0"/>
          <w:sz w:val="12"/>
        </w:rPr>
        <w:t xml:space="preserve"> | rel. Alexandre de Moraes</w:t>
      </w:r>
    </w:p>
    <w:p>
      <w:pPr>
        <w:ind w:left="288"/>
      </w:pPr>
      <w:r>
        <w:rPr>
          <w:color w:val="1E1E1E"/>
          <w:sz w:val="18"/>
        </w:rPr>
        <w:t>Lei 13.219/2014 do Estado da Bahia, que concede a ex-governadores, em caráter vitalício, o direito a serviços de segurança e motorista, prestados pela administração pública estadual. (...) A Jurisprudência do STF é firme quanto à inconstitucionalidade de leis estaduais e locais que concedem benefícios em caráter gracioso e vitalício a ex-agentes públicos, com fundamento nos princípios republicano, isonômico e da moralidade administrativa. (...) No caso, a norma impugnada não prevê o pagamento de benefício pecuniário, mas a disponibilização de serviços relacionados à preservação da incolumidade</w:t>
      </w:r>
    </w:p>
    <w:p>
      <w:pPr>
        <w:ind w:left="288"/>
      </w:pPr>
      <w:r>
        <w:rPr>
          <w:b/>
          <w:color w:val="003CA0"/>
          <w:sz w:val="16"/>
        </w:rPr>
        <w:t>[ADI 5.346, rel. min. Alexandre de Moraes, j. 18-10-2019, P, DJE de 6-11-2019.]</w:t>
      </w:r>
    </w:p>
    <w:p>
      <w:pPr>
        <w:ind w:left="288"/>
      </w:pPr>
      <w:r>
        <w:rPr>
          <w:color w:val="8C8C8C"/>
          <w:sz w:val="12"/>
        </w:rPr>
        <w:t>cf-art-37</w:t>
      </w:r>
      <w:r>
        <w:rPr>
          <w:color w:val="003CA0"/>
          <w:sz w:val="12"/>
        </w:rPr>
        <w:t xml:space="preserve"> | ADPF 310</w:t>
      </w:r>
      <w:r>
        <w:rPr>
          <w:color w:val="003CA0"/>
          <w:sz w:val="12"/>
        </w:rPr>
        <w:t xml:space="preserve"> | rel. Alexandre de Moraes</w:t>
      </w:r>
    </w:p>
    <w:p>
      <w:pPr>
        <w:ind w:left="288"/>
      </w:pPr>
      <w:r>
        <w:rPr>
          <w:color w:val="1E1E1E"/>
          <w:sz w:val="18"/>
        </w:rPr>
        <w:t>O art. 95, parágrafo único, V, da Constituição Federal estabelece um importante padrão de moralidade pública, visando a coibir situações de conflito de interesses que possam ameaçar a credibilidade do Poder Judiciário. Embora a aplicação dessas vedações pressuponha uma margem de valoração sobre os comandos contidos no art. 95 da CF, não é possível acrescentar a eles elementos normativos estranhos, principalmente no que se refere ao seu alcance subjetivo, pois o estatuto pessoal dos ocupantes da magistratura não pode ser aplicado a terceiros sem vínculo com a atividade judicante, sob pena de vi</w:t>
      </w:r>
    </w:p>
    <w:p>
      <w:pPr>
        <w:ind w:left="288"/>
      </w:pPr>
      <w:r>
        <w:rPr>
          <w:b/>
          <w:color w:val="003CA0"/>
          <w:sz w:val="16"/>
        </w:rPr>
        <w:t>[ADPF 310, rel. min. Alexandre de Moraes, j. 18-10-2019, P, DJE de 27-2-2020.]</w:t>
      </w:r>
    </w:p>
    <w:p>
      <w:pPr>
        <w:ind w:left="288"/>
      </w:pPr>
      <w:r>
        <w:rPr>
          <w:color w:val="8C8C8C"/>
          <w:sz w:val="12"/>
        </w:rPr>
        <w:t>cf-art-37</w:t>
      </w:r>
      <w:r>
        <w:rPr>
          <w:color w:val="003CA0"/>
          <w:sz w:val="12"/>
        </w:rPr>
        <w:t xml:space="preserve"> | ADI 3.094</w:t>
      </w:r>
      <w:r>
        <w:rPr>
          <w:color w:val="003CA0"/>
          <w:sz w:val="12"/>
        </w:rPr>
        <w:t xml:space="preserve"> | rel. Edson Fachin</w:t>
      </w:r>
    </w:p>
    <w:p>
      <w:pPr>
        <w:ind w:left="288"/>
      </w:pPr>
      <w:r>
        <w:rPr>
          <w:color w:val="1E1E1E"/>
          <w:sz w:val="18"/>
        </w:rPr>
        <w:t>A vedação ao nepotismo na Administração Pública decorre diretamente da Constituição Federal e sua aplicação deve ser imediata e verticalizada. Viola os princípios da moralidade, impessoalidade e isonomia diploma legal que excepciona da vedação ao nepotismo os servidores que estivessem no exercício do cargo no momento de sua edição.</w:t>
      </w:r>
    </w:p>
    <w:p>
      <w:pPr>
        <w:ind w:left="288"/>
      </w:pPr>
      <w:r>
        <w:rPr>
          <w:b/>
          <w:color w:val="003CA0"/>
          <w:sz w:val="16"/>
        </w:rPr>
        <w:t>[ADI 3.094, rel. min. Edson Fachin, j. 27-9-2019, P, DJE de 15-10-2019.]</w:t>
      </w:r>
    </w:p>
    <w:p>
      <w:pPr>
        <w:ind w:left="288"/>
      </w:pPr>
      <w:r>
        <w:rPr>
          <w:color w:val="8C8C8C"/>
          <w:sz w:val="12"/>
        </w:rPr>
        <w:t>cf-art-37</w:t>
      </w:r>
      <w:r>
        <w:rPr>
          <w:color w:val="003CA0"/>
          <w:sz w:val="12"/>
        </w:rPr>
        <w:t xml:space="preserve"> | ADI 3.367</w:t>
      </w:r>
      <w:r>
        <w:rPr>
          <w:color w:val="003CA0"/>
          <w:sz w:val="12"/>
        </w:rPr>
        <w:t xml:space="preserve"> | rel. Cármen Lúcia</w:t>
      </w:r>
    </w:p>
    <w:p>
      <w:pPr>
        <w:ind w:left="288"/>
      </w:pPr>
      <w:r>
        <w:rPr>
          <w:color w:val="1E1E1E"/>
          <w:sz w:val="18"/>
        </w:rPr>
        <w:t>O inciso I do art. 6º da Resolução 146/2012 do CNJ estabelece que "o cargo ocupado somente poderá ser redistribuído se o servidor preencher cumulativamente os seguintes requisitos: I – tempo mínimo de 36 meses de exercício no cargo a ser redistribuído". A jurisprudência do STF assentou a competência do CNJ para regulamentar questões afetas ao aprimoramento da gestão do Poder Judiciário (ADI 3.367 e ADC 12). A redistribuição de cargos deve atender aos interesses da administração pública e observar os princípios da impessoalidade, da moralidade, da eficiência e do concurso público. A exigência d</w:t>
      </w:r>
    </w:p>
    <w:p>
      <w:pPr>
        <w:ind w:left="288"/>
      </w:pPr>
      <w:r>
        <w:rPr>
          <w:b/>
          <w:color w:val="003CA0"/>
          <w:sz w:val="16"/>
        </w:rPr>
        <w:t>[ADI 4.938, rel. min. Cármen Lúcia, j. 26-4-2018, P, DJE de 6-8-2018.]</w:t>
      </w:r>
    </w:p>
    <w:p>
      <w:pPr>
        <w:ind w:left="288"/>
      </w:pPr>
      <w:r>
        <w:rPr>
          <w:color w:val="8C8C8C"/>
          <w:sz w:val="12"/>
        </w:rPr>
        <w:t>cf-art-37</w:t>
      </w:r>
      <w:r>
        <w:rPr>
          <w:color w:val="003CA0"/>
          <w:sz w:val="12"/>
        </w:rPr>
        <w:t xml:space="preserve"> | ADI 4.259</w:t>
      </w:r>
      <w:r>
        <w:rPr>
          <w:color w:val="003CA0"/>
          <w:sz w:val="12"/>
        </w:rPr>
        <w:t xml:space="preserve"> | rel. Edson Fachin</w:t>
      </w:r>
    </w:p>
    <w:p>
      <w:pPr>
        <w:ind w:left="288"/>
      </w:pPr>
      <w:r>
        <w:rPr>
          <w:color w:val="1E1E1E"/>
          <w:sz w:val="18"/>
        </w:rPr>
        <w:t xml:space="preserve">Incentivo fiscal. Esportes. Automobilismo. Igualdade tributária. Privilégio injustificado. Impessoalidade. Lei 8.736/2009 do Estado da Paraíba. Programa Acelera Paraíba. (...) A Lei estadual 8.736/2009 singulariza de tal modo os beneficiários que apenas uma única pessoa se beneficiaria com mais de 75% dos valores destinados ao programa de incentivo fiscal, o que representa evidente violação aos princípios da igualdade e da impessoalidade. A simples fixação de condições formais para a concessão de benefício fiscal não exime o instrumento normativo de resguardar o tratamento isonômico no que se </w:t>
      </w:r>
    </w:p>
    <w:p>
      <w:pPr>
        <w:ind w:left="288"/>
      </w:pPr>
      <w:r>
        <w:rPr>
          <w:b/>
          <w:color w:val="003CA0"/>
          <w:sz w:val="16"/>
        </w:rPr>
        <w:t>[ADI 4.259, rel. min. Edson Fachin, j. 3-3-2016, P, DJE de 16-3-2016.]</w:t>
      </w:r>
    </w:p>
    <w:p>
      <w:pPr>
        <w:ind w:left="288"/>
      </w:pPr>
      <w:r>
        <w:rPr>
          <w:color w:val="8C8C8C"/>
          <w:sz w:val="12"/>
        </w:rPr>
        <w:t>cf-art-37</w:t>
      </w:r>
      <w:r>
        <w:rPr>
          <w:color w:val="003CA0"/>
          <w:sz w:val="12"/>
        </w:rPr>
        <w:t xml:space="preserve"> | ADPF 378</w:t>
      </w:r>
    </w:p>
    <w:p>
      <w:pPr>
        <w:ind w:left="288"/>
      </w:pPr>
      <w:r>
        <w:rPr>
          <w:color w:val="1E1E1E"/>
          <w:sz w:val="18"/>
        </w:rPr>
        <w:t>No impeachment, todas as votações devem ser abertas, de modo a permitir maior transparência, controle dos representantes e legitimação do processo. No silêncio da Constituição, da Lei 1.079/1950 e do Regimento Interno sobre a forma de votação, não é admissível que o presidente da Câmara dos Deputados possa, por decisão unipessoal e discricionária, estender hipótese inespecífica de votação secreta prevista no RICD [Regimento Interno da Câmara dos Deputados], por analogia, à eleição para a Comissão Especial de impeachment. Em uma democracia, a regra é a publicidade das votações. O escrutínio sec</w:t>
      </w:r>
    </w:p>
    <w:p>
      <w:pPr>
        <w:ind w:left="288"/>
      </w:pPr>
      <w:r>
        <w:rPr>
          <w:b/>
          <w:color w:val="003CA0"/>
          <w:sz w:val="16"/>
        </w:rPr>
        <w:t>[ADPF 378 MC, red. do ac. min. Roberto Barroso, j. 16-12-2015, P, DJE de 8-3-2016.]</w:t>
      </w:r>
    </w:p>
    <w:p>
      <w:pPr>
        <w:ind w:left="288"/>
      </w:pPr>
      <w:r>
        <w:rPr>
          <w:color w:val="8C8C8C"/>
          <w:sz w:val="12"/>
        </w:rPr>
        <w:t>cf-art-37</w:t>
      </w:r>
      <w:r>
        <w:rPr>
          <w:color w:val="003CA0"/>
          <w:sz w:val="12"/>
        </w:rPr>
        <w:t xml:space="preserve"> | ADI 524</w:t>
      </w:r>
    </w:p>
    <w:p>
      <w:pPr>
        <w:ind w:left="288"/>
      </w:pPr>
      <w:r>
        <w:rPr>
          <w:color w:val="1E1E1E"/>
          <w:sz w:val="18"/>
        </w:rPr>
        <w:t>Servidor público. Nepotismo. Vedação ao exercício de funções sob a direção imediata de cônjuge ou parente até o segundo grau civil. Violação ao inciso II do art. 37 da CF e ao princípio da isonomia. Inexistência. Proibição que decorre do caput do art. 37 da CF. Procedência parcial para emprestar interpretação conforme a Constituição. Incidência exclusiva sobre cargos de provimento em comissão, função gratificada e cargos e direção e assessoramento.</w:t>
      </w:r>
    </w:p>
    <w:p>
      <w:pPr>
        <w:ind w:left="288"/>
      </w:pPr>
      <w:r>
        <w:rPr>
          <w:b/>
          <w:color w:val="003CA0"/>
          <w:sz w:val="16"/>
        </w:rPr>
        <w:t>[ADI 524, red. do ac. min. Ricardo Lewandowski, j. 20-5-2015, P, DJE de 3-8-2015.]</w:t>
      </w:r>
    </w:p>
    <w:p>
      <w:pPr>
        <w:ind w:left="288"/>
      </w:pPr>
      <w:r>
        <w:rPr>
          <w:color w:val="8C8C8C"/>
          <w:sz w:val="12"/>
        </w:rPr>
        <w:t>cf-art-37</w:t>
      </w:r>
      <w:r>
        <w:rPr>
          <w:color w:val="003CA0"/>
          <w:sz w:val="12"/>
        </w:rPr>
        <w:t xml:space="preserve"> | ADI 4.180</w:t>
      </w:r>
      <w:r>
        <w:rPr>
          <w:color w:val="003CA0"/>
          <w:sz w:val="12"/>
        </w:rPr>
        <w:t xml:space="preserve"> | rel. Gilmar Mendes</w:t>
      </w:r>
    </w:p>
    <w:p>
      <w:pPr>
        <w:ind w:left="288"/>
      </w:pPr>
      <w:r>
        <w:rPr>
          <w:color w:val="1E1E1E"/>
          <w:sz w:val="18"/>
        </w:rPr>
        <w:t xml:space="preserve">(...) o art. 2º da Lei distrital 3.189/2003, ao exigir a destinação de verba pública ao custeio de evento particular, com fins lucrativos, sem a necessária contrapartida (...), desatende ao princípio republicano e à impessoalidade administrativa. Como bem afirmou o advogado-geral da União, "a destinação de verbas públicas para o custeio de evento cultural tipicamente privado, sem amparo no regime jurídico-administrativo, traduz-se em favorecimento a segmento social determinado, incompatível, portanto, com o interesse público e com os preceitos constitucionais da impessoalidade e da moralidade </w:t>
      </w:r>
    </w:p>
    <w:p>
      <w:pPr>
        <w:ind w:left="288"/>
      </w:pPr>
      <w:r>
        <w:rPr>
          <w:b/>
          <w:color w:val="003CA0"/>
          <w:sz w:val="16"/>
        </w:rPr>
        <w:t>[ADI 4.180, voto do rel. min. Gilmar Mendes, j. 11-9-2014, P, DJE de 7-10-2014.]</w:t>
      </w:r>
    </w:p>
    <w:p>
      <w:pPr>
        <w:ind w:left="288"/>
      </w:pPr>
      <w:r>
        <w:rPr>
          <w:color w:val="8C8C8C"/>
          <w:sz w:val="12"/>
        </w:rPr>
        <w:t>cf-art-37</w:t>
      </w:r>
      <w:r>
        <w:rPr>
          <w:color w:val="003CA0"/>
          <w:sz w:val="12"/>
        </w:rPr>
        <w:t xml:space="preserve"> | ADI 3.745</w:t>
      </w:r>
      <w:r>
        <w:rPr>
          <w:color w:val="003CA0"/>
          <w:sz w:val="12"/>
        </w:rPr>
        <w:t xml:space="preserve"> | rel. Dias Toffoli</w:t>
      </w:r>
    </w:p>
    <w:p>
      <w:pPr>
        <w:ind w:left="288"/>
      </w:pPr>
      <w:r>
        <w:rPr>
          <w:color w:val="1E1E1E"/>
          <w:sz w:val="18"/>
        </w:rPr>
        <w:t>Parágrafo único do art. 1º da Lei 13.145/1997 do Estado de Goiás. Criação de exceções ao óbice da prática de atos de nepotismo. Vício material. Ofensa aos princípios da impessoalidade, da eficiência, da igualdade e da moralidade. (...) A previsão impugnada, ao permitir (excepcionar), relativamente a cargos em comissão ou funções gratificadas, a nomeação, a admissão ou a permanência de até dois parentes das autoridades mencionadas no caput do art. 1º da Lei estadual 13.145/1997 e do cônjuge do chefe do Poder Executivo, além de subverter o intuito moralizador inicial da norma, ofende irremediave</w:t>
      </w:r>
    </w:p>
    <w:p>
      <w:pPr>
        <w:ind w:left="288"/>
      </w:pPr>
      <w:r>
        <w:rPr>
          <w:b/>
          <w:color w:val="003CA0"/>
          <w:sz w:val="16"/>
        </w:rPr>
        <w:t>[ADI 2.198, rel. min. Dias Toffoli, j. 11-4-2013, P, DJE de 19-8-2013.]</w:t>
      </w:r>
    </w:p>
    <w:p>
      <w:pPr>
        <w:ind w:left="288"/>
      </w:pPr>
      <w:r>
        <w:rPr>
          <w:color w:val="8C8C8C"/>
          <w:sz w:val="12"/>
        </w:rPr>
        <w:t>cf-art-37</w:t>
      </w:r>
      <w:r>
        <w:rPr>
          <w:color w:val="003CA0"/>
          <w:sz w:val="12"/>
        </w:rPr>
        <w:t xml:space="preserve"> | ADI 3.795</w:t>
      </w:r>
      <w:r>
        <w:rPr>
          <w:color w:val="003CA0"/>
          <w:sz w:val="12"/>
        </w:rPr>
        <w:t xml:space="preserve"> | rel. Ayres Britto</w:t>
      </w:r>
    </w:p>
    <w:p>
      <w:pPr>
        <w:ind w:left="288"/>
      </w:pPr>
      <w:r>
        <w:rPr>
          <w:color w:val="1E1E1E"/>
          <w:sz w:val="18"/>
        </w:rPr>
        <w:t>Art. 4º da Lei 3.769, de 26 de janeiro de 2006, que veda a realização de processo seletivo para o recrutamento de estagiários pelos órgãos e entidades do poder público do Distrito Federal. Violação aos princípios da igualdade (art. 5º, caput) e da impessoalidade (caput do art. 37).</w:t>
      </w:r>
    </w:p>
    <w:p>
      <w:pPr>
        <w:ind w:left="288"/>
      </w:pPr>
      <w:r>
        <w:rPr>
          <w:b/>
          <w:color w:val="003CA0"/>
          <w:sz w:val="16"/>
        </w:rPr>
        <w:t>[ADI 3.795, rel. min. Ayres Britto, j. 24-2-2011, P, DJE de 16-6-2011.]</w:t>
      </w:r>
    </w:p>
    <w:p>
      <w:pPr>
        <w:ind w:left="288"/>
      </w:pPr>
      <w:r>
        <w:rPr>
          <w:color w:val="8C8C8C"/>
          <w:sz w:val="12"/>
        </w:rPr>
        <w:t>cf-art-37</w:t>
      </w:r>
      <w:r>
        <w:rPr>
          <w:color w:val="003CA0"/>
          <w:sz w:val="12"/>
        </w:rPr>
        <w:t xml:space="preserve"> | ADC 12</w:t>
      </w:r>
      <w:r>
        <w:rPr>
          <w:color w:val="003CA0"/>
          <w:sz w:val="12"/>
        </w:rPr>
        <w:t xml:space="preserve"> | rel. Ayres Britto</w:t>
      </w:r>
    </w:p>
    <w:p>
      <w:pPr>
        <w:ind w:left="288"/>
      </w:pPr>
      <w:r>
        <w:rPr>
          <w:color w:val="1E1E1E"/>
          <w:sz w:val="18"/>
        </w:rPr>
        <w:t>Ato normativo que "disciplina o exercício de cargos, empregos e funções por parentes, cônjuges e companheiros de magistrados e de servidores investidos em cargos de direção e assessoramento, no âmbito dos órgãos do Poder Judiciário e dá outras providências". (...) 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w:t>
      </w:r>
    </w:p>
    <w:p>
      <w:pPr>
        <w:ind w:left="288"/>
      </w:pPr>
      <w:r>
        <w:rPr>
          <w:b/>
          <w:color w:val="003CA0"/>
          <w:sz w:val="16"/>
        </w:rPr>
        <w:t>[ADC 12, rel. min. Ayres Britto, j. 20-8-2008, P, DJE de 18-12-2009.]</w:t>
      </w:r>
    </w:p>
    <w:p>
      <w:pPr>
        <w:ind w:left="288"/>
      </w:pPr>
      <w:r>
        <w:rPr>
          <w:color w:val="8C8C8C"/>
          <w:sz w:val="12"/>
        </w:rPr>
        <w:t>cf-art-37</w:t>
      </w:r>
      <w:r>
        <w:rPr>
          <w:color w:val="003CA0"/>
          <w:sz w:val="12"/>
        </w:rPr>
        <w:t xml:space="preserve"> | ADC 12</w:t>
      </w:r>
      <w:r>
        <w:rPr>
          <w:color w:val="003CA0"/>
          <w:sz w:val="12"/>
        </w:rPr>
        <w:t xml:space="preserve"> | rel. Ayres Britto</w:t>
      </w:r>
    </w:p>
    <w:p>
      <w:pPr>
        <w:ind w:left="288"/>
      </w:pPr>
      <w:r>
        <w:rPr>
          <w:color w:val="1E1E1E"/>
          <w:sz w:val="18"/>
        </w:rPr>
        <w:t>Ato normativo que "disciplina o exercício de cargos, empregos e funções por parentes, cônjuges e companheiros de magistrados e de servidores investidos em cargos de direção e assessoramento, no âmbito dos órgãos do Poder Judiciário e dá outras providências". (...) 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w:t>
      </w:r>
    </w:p>
    <w:p>
      <w:pPr>
        <w:ind w:left="288"/>
      </w:pPr>
      <w:r>
        <w:rPr>
          <w:b/>
          <w:color w:val="003CA0"/>
          <w:sz w:val="16"/>
        </w:rPr>
        <w:t>[ADC 12, rel. min. Ayres Britto, j. 20-8-2008, P, DJE de 18-12-2009.]</w:t>
      </w:r>
    </w:p>
    <w:p>
      <w:pPr>
        <w:ind w:left="288"/>
      </w:pPr>
      <w:r>
        <w:rPr>
          <w:color w:val="8C8C8C"/>
          <w:sz w:val="12"/>
        </w:rPr>
        <w:t>cf-art-37</w:t>
      </w:r>
      <w:r>
        <w:rPr>
          <w:color w:val="003CA0"/>
          <w:sz w:val="12"/>
        </w:rPr>
        <w:t xml:space="preserve"> | ADI 3.496</w:t>
      </w:r>
      <w:r>
        <w:rPr>
          <w:color w:val="003CA0"/>
          <w:sz w:val="12"/>
        </w:rPr>
        <w:t xml:space="preserve"> | rel. Nunes Marques</w:t>
      </w:r>
    </w:p>
    <w:p>
      <w:pPr>
        <w:ind w:left="288"/>
      </w:pPr>
      <w:r>
        <w:rPr>
          <w:color w:val="1E1E1E"/>
          <w:sz w:val="18"/>
        </w:rPr>
        <w:t>Vide ADI 3.496, rel. min. Nunes Marques, j. 13.10.2025, P, DJE de 12.11.2025 Segundo a nova redação acrescentada ao ADCT da Constituição de Mato Grosso do Sul, introduzida pela EC 35/2006, os ex-governadores sul-mato-grossenses que exerceram mandato integral, em "caráter permanente", receberiam subsídio mensal e vitalício, igual ao percebido pelo governador do Estado. Previsão de que esse benefício seria transferido ao cônjuge supérstite, reduzido à metade do valor devido ao titular. No vigente ordenamento republicano e democrático brasileiro, os cargos políticos de chefia do Poder Executivo n</w:t>
      </w:r>
    </w:p>
    <w:p>
      <w:pPr>
        <w:ind w:left="288"/>
      </w:pPr>
      <w:r>
        <w:rPr>
          <w:b/>
          <w:color w:val="003CA0"/>
          <w:sz w:val="16"/>
        </w:rPr>
        <w:t>[ADI 3.853, rel. min. Cármen Lúcia, j. 12-9-2007, P, DJ de 26-10-2007.]</w:t>
      </w:r>
    </w:p>
    <w:p>
      <w:pPr>
        <w:ind w:left="288"/>
      </w:pPr>
      <w:r>
        <w:rPr>
          <w:color w:val="8C8C8C"/>
          <w:sz w:val="12"/>
        </w:rPr>
        <w:t>cf-art-37</w:t>
      </w:r>
      <w:r>
        <w:rPr>
          <w:color w:val="003CA0"/>
          <w:sz w:val="12"/>
        </w:rPr>
        <w:t xml:space="preserve"> | ADPF 745</w:t>
      </w:r>
      <w:r>
        <w:rPr>
          <w:color w:val="003CA0"/>
          <w:sz w:val="12"/>
        </w:rPr>
        <w:t xml:space="preserve"> | rel. Cármen Lúcia</w:t>
      </w:r>
    </w:p>
    <w:p>
      <w:pPr>
        <w:ind w:left="288"/>
      </w:pPr>
      <w:r>
        <w:rPr>
          <w:color w:val="1E1E1E"/>
          <w:sz w:val="18"/>
        </w:rPr>
        <w:t>= [ADPF 745, rel. min. Cármen Lúcia, j. 18-10-2023, P, DJE de 7-12-2023.] Princípio da moralidade. Ética da legalidade e moralidade. Confinamento do princípio da moralidade ao âmbito da ética da legalidade, que não pode ser ultrapassada, sob pena de dissolução do próprio sistema.</w:t>
      </w:r>
    </w:p>
    <w:p>
      <w:pPr>
        <w:ind w:left="288"/>
      </w:pPr>
      <w:r>
        <w:rPr>
          <w:b/>
          <w:color w:val="003CA0"/>
          <w:sz w:val="16"/>
        </w:rPr>
        <w:t>[ADI 3.026, rel. min. Eros Grau, j. 8-6-2006, P, DJ de 29-9-2006.]</w:t>
      </w:r>
    </w:p>
    <w:p>
      <w:pPr>
        <w:ind w:left="288"/>
      </w:pPr>
      <w:r>
        <w:rPr>
          <w:color w:val="8C8C8C"/>
          <w:sz w:val="12"/>
        </w:rPr>
        <w:t>cf-art-37</w:t>
      </w:r>
      <w:r>
        <w:rPr>
          <w:color w:val="003CA0"/>
          <w:sz w:val="12"/>
        </w:rPr>
        <w:t xml:space="preserve"> | ADI 2.472</w:t>
      </w:r>
      <w:r>
        <w:rPr>
          <w:color w:val="003CA0"/>
          <w:sz w:val="12"/>
        </w:rPr>
        <w:t xml:space="preserve"> | rel. Maurício Corrêa</w:t>
      </w:r>
    </w:p>
    <w:p>
      <w:pPr>
        <w:ind w:left="288"/>
      </w:pPr>
      <w:r>
        <w:rPr>
          <w:color w:val="1E1E1E"/>
          <w:sz w:val="18"/>
        </w:rPr>
        <w:t>Administração pública. Princípios. Extensão. Surgindo, no ato normativo abstrato, a óptica, assentada em princípio básico da administração pública, de observância apenas em relação ao Executivo, tem-se a lei como a conflitar com a razoabilidade.</w:t>
      </w:r>
    </w:p>
    <w:p>
      <w:pPr>
        <w:ind w:left="288"/>
      </w:pPr>
      <w:r>
        <w:rPr>
          <w:b/>
          <w:color w:val="003CA0"/>
          <w:sz w:val="16"/>
        </w:rPr>
        <w:t>[ADI 2.472, red. do ac. min. Marco Aurélio, rel. min. Maurício Corrêa, j. 1º-4-2004, P, DJ de 9-3-2007.]</w:t>
      </w:r>
    </w:p>
    <w:p>
      <w:pPr>
        <w:ind w:left="288"/>
      </w:pPr>
      <w:r>
        <w:rPr>
          <w:color w:val="8C8C8C"/>
          <w:sz w:val="12"/>
        </w:rPr>
        <w:t>cf-art-37</w:t>
      </w:r>
      <w:r>
        <w:rPr>
          <w:color w:val="003CA0"/>
          <w:sz w:val="12"/>
        </w:rPr>
        <w:t xml:space="preserve"> | ADI 2.661</w:t>
      </w:r>
      <w:r>
        <w:rPr>
          <w:color w:val="003CA0"/>
          <w:sz w:val="12"/>
        </w:rPr>
        <w:t xml:space="preserve"> | rel. Celso de Mello</w:t>
      </w:r>
    </w:p>
    <w:p>
      <w:pPr>
        <w:ind w:left="288"/>
      </w:pPr>
      <w:r>
        <w:rPr>
          <w:color w:val="1E1E1E"/>
          <w:sz w:val="18"/>
        </w:rPr>
        <w:t>O princípio da moralidade administrativa – enquanto valor constitucional revestido de caráter ético-jurídico – condiciona a legitimidade e a validade dos atos estatais. A atividade estatal, qualquer que seja o domínio institucional de sua incidência, está necessariamente subordinada à observância de parâmetros ético-jurídicos que se refletem na consagração constitucional do princípio da moralidade administrativa. Esse postulado fundamental, que rege a atuação do poder público, confere substância e dá expressão a uma pauta de valores éticos sobre os quais se funda a ordem positiva do Estado.</w:t>
      </w:r>
    </w:p>
    <w:p>
      <w:pPr>
        <w:ind w:left="288"/>
      </w:pPr>
      <w:r>
        <w:rPr>
          <w:b/>
          <w:color w:val="003CA0"/>
          <w:sz w:val="16"/>
        </w:rPr>
        <w:t>[ADI 2.661 MC, rel. min. Celso de Mello, j. 5-6-2002, P, DJ de 23-8-2002.]</w:t>
      </w:r>
    </w:p>
    <w:p>
      <w:pPr>
        <w:ind w:left="288"/>
      </w:pPr>
      <w:r>
        <w:rPr>
          <w:color w:val="8C8C8C"/>
          <w:sz w:val="12"/>
        </w:rPr>
        <w:t>cf-art-37</w:t>
      </w:r>
      <w:r>
        <w:rPr>
          <w:color w:val="003CA0"/>
          <w:sz w:val="12"/>
        </w:rPr>
        <w:t xml:space="preserve"> | ADI 2.206</w:t>
      </w:r>
      <w:r>
        <w:rPr>
          <w:color w:val="003CA0"/>
          <w:sz w:val="12"/>
        </w:rPr>
        <w:t xml:space="preserve"> | rel. Nelson Jobim</w:t>
      </w:r>
    </w:p>
    <w:p>
      <w:pPr>
        <w:ind w:left="288"/>
      </w:pPr>
      <w:r>
        <w:rPr>
          <w:color w:val="1E1E1E"/>
          <w:sz w:val="18"/>
        </w:rPr>
        <w:t>Edital de concurso público da Corregedoria-Geral de Justiça do Estado de Alagoas. Previsão de pontuação aos servidores não estáveis, bem como a aprovação em qualquer concurso público, sem diferenciação de nível de graduação, desiguala os concorrentes, em ofensa ao princípio da isonomia. Ofensa ao princípio da publicidade, ao não trazer o nome dos candidatos e os respectivos números de inscrição.</w:t>
      </w:r>
    </w:p>
    <w:p>
      <w:pPr>
        <w:ind w:left="288"/>
      </w:pPr>
      <w:r>
        <w:rPr>
          <w:b/>
          <w:color w:val="003CA0"/>
          <w:sz w:val="16"/>
        </w:rPr>
        <w:t>[ADI 2.206 MC, rel. min. Nelson Jobim, j. 8-11-2000, P, DJ de 1º-8-2003.]</w:t>
      </w:r>
    </w:p>
    <w:p>
      <w:pPr>
        <w:ind w:left="288"/>
      </w:pPr>
      <w:r>
        <w:rPr>
          <w:color w:val="8C8C8C"/>
          <w:sz w:val="12"/>
        </w:rPr>
        <w:t>cf-art-37</w:t>
      </w:r>
      <w:r>
        <w:rPr>
          <w:color w:val="003CA0"/>
          <w:sz w:val="12"/>
        </w:rPr>
        <w:t xml:space="preserve"> | ADI 3.443</w:t>
      </w:r>
      <w:r>
        <w:rPr>
          <w:color w:val="003CA0"/>
          <w:sz w:val="12"/>
        </w:rPr>
        <w:t xml:space="preserve"> | rel. Carlos Velloso</w:t>
      </w:r>
    </w:p>
    <w:p>
      <w:pPr>
        <w:ind w:left="288"/>
      </w:pPr>
      <w:r>
        <w:rPr>
          <w:color w:val="1E1E1E"/>
          <w:sz w:val="18"/>
        </w:rPr>
        <w:t>Vide ADI 3.443, rel. min. Carlos Velloso, j. 8-9-2005, P, DJ de 23-9-2005 Os princípios gerais regentes da administração pública, previstos no art. 37, caput, da Constituição, são invocáveis de referência à administração de pessoal militar federal ou estadual, salvo no que tenha explícita disciplina em atenção às peculiaridades do serviço militar.</w:t>
      </w:r>
    </w:p>
    <w:p>
      <w:pPr>
        <w:ind w:left="288"/>
      </w:pPr>
      <w:r>
        <w:rPr>
          <w:b/>
          <w:color w:val="003CA0"/>
          <w:sz w:val="16"/>
        </w:rPr>
        <w:t>[ADI 1.694 MC, rel. min. Néri da Silveira, j. 30-10-1997, P, DJ de 15-12-2000.]</w:t>
      </w:r>
    </w:p>
    <w:p>
      <w:pPr>
        <w:ind w:left="288"/>
      </w:pPr>
      <w:r>
        <w:rPr>
          <w:color w:val="8C8C8C"/>
          <w:sz w:val="12"/>
        </w:rPr>
        <w:t>cf-art-37</w:t>
      </w:r>
      <w:r>
        <w:rPr>
          <w:color w:val="003CA0"/>
          <w:sz w:val="12"/>
        </w:rPr>
        <w:t xml:space="preserve"> | ARE 1.553.607</w:t>
      </w:r>
      <w:r>
        <w:rPr>
          <w:color w:val="003CA0"/>
          <w:sz w:val="12"/>
        </w:rPr>
        <w:t xml:space="preserve"> | rel. Luís Roberto Barroso</w:t>
      </w:r>
    </w:p>
    <w:p>
      <w:pPr>
        <w:ind w:left="288"/>
      </w:pPr>
      <w:r>
        <w:rPr>
          <w:color w:val="1E1E1E"/>
          <w:sz w:val="18"/>
        </w:rPr>
        <w:t>“1. As providências da Resolução CNJ nº 547/2024 não usurpam nem interferem na competência tributária dos entes federativos e devem ser observadas para o processamento e a extinção de execuções fiscais com base no princípio constitucional da eficiência; 2. É infraconstitucional e fática a controvérsia sobre o atendimento das exigências da Resolução CNJ nº 547/2024 para extinção da execução fiscal por falta de interesse de agir”.</w:t>
      </w:r>
    </w:p>
    <w:p>
      <w:pPr>
        <w:ind w:left="288"/>
      </w:pPr>
      <w:r>
        <w:rPr>
          <w:b/>
          <w:color w:val="003CA0"/>
          <w:sz w:val="16"/>
        </w:rPr>
        <w:t>[ARE 1.553.607 RG, rel. min. Luís Roberto Barroso, j. 19.09.2025, P, DJE de 30.09.2025, Tema 1.428, com mérito julgado.]</w:t>
      </w:r>
    </w:p>
    <w:p>
      <w:pPr>
        <w:ind w:left="288"/>
      </w:pPr>
      <w:r>
        <w:rPr>
          <w:color w:val="8C8C8C"/>
          <w:sz w:val="12"/>
        </w:rPr>
        <w:t>cf-art-37</w:t>
      </w:r>
      <w:r>
        <w:rPr>
          <w:color w:val="003CA0"/>
          <w:sz w:val="12"/>
        </w:rPr>
        <w:t xml:space="preserve"> | ARE 1.553.607</w:t>
      </w:r>
      <w:r>
        <w:rPr>
          <w:color w:val="003CA0"/>
          <w:sz w:val="12"/>
        </w:rPr>
        <w:t xml:space="preserve"> | rel. Luís Roberto Barroso</w:t>
      </w:r>
    </w:p>
    <w:p>
      <w:pPr>
        <w:ind w:left="288"/>
      </w:pPr>
      <w:r>
        <w:rPr>
          <w:color w:val="1E1E1E"/>
          <w:sz w:val="18"/>
        </w:rPr>
        <w:t>“1. As providências da Resolução CNJ nº 547/2024 não usurpam nem interferem na competência tributária dos entes federativos e devem ser observadas para o processamento e a extinção de execuções fiscais com base no princípio constitucional da eficiência; 2. É infraconstitucional e fática a controvérsia sobre o atendimento das exigências da Resolução CNJ nº 547/2024 para extinção da execução fiscal por falta de interesse de agir”.</w:t>
      </w:r>
    </w:p>
    <w:p>
      <w:pPr>
        <w:ind w:left="288"/>
      </w:pPr>
      <w:r>
        <w:rPr>
          <w:b/>
          <w:color w:val="003CA0"/>
          <w:sz w:val="16"/>
        </w:rPr>
        <w:t>[ARE 1.553.607 RG, rel. min. Luís Roberto Barroso, j. 19.09.2025, P, DJE de 30.09.2025, Tema 1.428, com mérito julgado.]</w:t>
      </w:r>
    </w:p>
    <w:p>
      <w:pPr>
        <w:ind w:left="288"/>
      </w:pPr>
      <w:r>
        <w:rPr>
          <w:color w:val="8C8C8C"/>
          <w:sz w:val="12"/>
        </w:rPr>
        <w:t>cf-art-37</w:t>
      </w:r>
      <w:r>
        <w:rPr>
          <w:color w:val="003CA0"/>
          <w:sz w:val="12"/>
        </w:rPr>
        <w:t xml:space="preserve"> | ARE 1.534.108</w:t>
      </w:r>
      <w:r>
        <w:rPr>
          <w:color w:val="003CA0"/>
          <w:sz w:val="12"/>
        </w:rPr>
        <w:t xml:space="preserve"> | rel. Luís Roberto Barroso</w:t>
      </w:r>
    </w:p>
    <w:p>
      <w:pPr>
        <w:ind w:left="288"/>
      </w:pPr>
      <w:r>
        <w:rPr>
          <w:color w:val="1E1E1E"/>
          <w:sz w:val="18"/>
        </w:rPr>
        <w:t>“É infraconstitucional e fática a controvérsia sobre a progressão na carreira de servidor público que não foi submetido à avaliação de desempenho”.</w:t>
      </w:r>
    </w:p>
    <w:p>
      <w:pPr>
        <w:ind w:left="288"/>
      </w:pPr>
      <w:r>
        <w:rPr>
          <w:b/>
          <w:color w:val="003CA0"/>
          <w:sz w:val="16"/>
        </w:rPr>
        <w:t>[ARE 1.534.108 RG, rel. min. Luís Roberto Barroso, j. 04.04.2025, P, DJE de 23.05.2025, Tema 1.385, com repercussão geral negada.]</w:t>
      </w:r>
    </w:p>
    <w:p>
      <w:pPr>
        <w:ind w:left="288"/>
      </w:pPr>
      <w:r>
        <w:rPr>
          <w:color w:val="8C8C8C"/>
          <w:sz w:val="12"/>
        </w:rPr>
        <w:t>cf-art-37</w:t>
      </w:r>
      <w:r>
        <w:rPr>
          <w:color w:val="003CA0"/>
          <w:sz w:val="12"/>
        </w:rPr>
        <w:t xml:space="preserve"> | ARE 1.531.908</w:t>
      </w:r>
      <w:r>
        <w:rPr>
          <w:color w:val="003CA0"/>
          <w:sz w:val="12"/>
        </w:rPr>
        <w:t xml:space="preserve"> | rel. Luís Roberto Barroso</w:t>
      </w:r>
    </w:p>
    <w:p>
      <w:pPr>
        <w:ind w:left="288"/>
      </w:pPr>
      <w:r>
        <w:rPr>
          <w:color w:val="1E1E1E"/>
          <w:sz w:val="18"/>
        </w:rPr>
        <w:t>“É infraconstitucional e pressupõe o exame de matéria fática a controvérsia sobre o atendimento de requisitos exigidos em lei ou em edital para posse em cargo público”.</w:t>
      </w:r>
    </w:p>
    <w:p>
      <w:pPr>
        <w:ind w:left="288"/>
      </w:pPr>
      <w:r>
        <w:rPr>
          <w:b/>
          <w:color w:val="003CA0"/>
          <w:sz w:val="16"/>
        </w:rPr>
        <w:t>[ARE 1.531.908 RG, rel. min. Luís Roberto Barroso, j. 14.2.2025, P, DJE de 20.2.2025, Tema 1.372, com repercussão geral negada.]</w:t>
      </w:r>
    </w:p>
    <w:p>
      <w:pPr>
        <w:ind w:left="288"/>
      </w:pPr>
      <w:r>
        <w:rPr>
          <w:color w:val="8C8C8C"/>
          <w:sz w:val="12"/>
        </w:rPr>
        <w:t>cf-art-37</w:t>
      </w:r>
      <w:r>
        <w:rPr>
          <w:color w:val="003CA0"/>
          <w:sz w:val="12"/>
        </w:rPr>
        <w:t xml:space="preserve"> | RE 1.249.095</w:t>
      </w:r>
      <w:r>
        <w:rPr>
          <w:color w:val="003CA0"/>
          <w:sz w:val="12"/>
        </w:rPr>
        <w:t xml:space="preserve"> | rel. Cristiano Zanin</w:t>
      </w:r>
    </w:p>
    <w:p>
      <w:pPr>
        <w:ind w:left="288"/>
      </w:pPr>
      <w:r>
        <w:rPr>
          <w:color w:val="1E1E1E"/>
          <w:sz w:val="18"/>
        </w:rPr>
        <w:t>“A presença de símbolos religiosos em prédios públicos, pertencentes a qualquer dos Poderes da União, dos Estados, do Distrito Federal e dos Municípios, desde que tenha o objetivo de manifestar a tradição cultural da sociedade brasileira, não viola os princípios da não discriminação, da laicidade estatal e da impessoalidade”.</w:t>
      </w:r>
    </w:p>
    <w:p>
      <w:pPr>
        <w:ind w:left="288"/>
      </w:pPr>
      <w:r>
        <w:rPr>
          <w:b/>
          <w:color w:val="003CA0"/>
          <w:sz w:val="16"/>
        </w:rPr>
        <w:t>[RE 1.249.095, rel. min. Cristiano Zanin, j. 27.11.2024, P, DJE de 27.02.2025, Tema 1.086, com mérito julgado.]</w:t>
      </w:r>
    </w:p>
    <w:p>
      <w:pPr>
        <w:ind w:left="288"/>
      </w:pPr>
      <w:r>
        <w:rPr>
          <w:color w:val="8C8C8C"/>
          <w:sz w:val="12"/>
        </w:rPr>
        <w:t>cf-art-37</w:t>
      </w:r>
      <w:r>
        <w:rPr>
          <w:color w:val="003CA0"/>
          <w:sz w:val="12"/>
        </w:rPr>
        <w:t xml:space="preserve"> | ARE 1.499.413</w:t>
      </w:r>
      <w:r>
        <w:rPr>
          <w:color w:val="003CA0"/>
          <w:sz w:val="12"/>
        </w:rPr>
        <w:t xml:space="preserve"> | rel. Luís Roberto Barroso</w:t>
      </w:r>
    </w:p>
    <w:p>
      <w:pPr>
        <w:ind w:left="288"/>
      </w:pPr>
      <w:r>
        <w:rPr>
          <w:color w:val="1E1E1E"/>
          <w:sz w:val="18"/>
        </w:rPr>
        <w:t>“É infraconstitucional e fática a controvérsia sobre a forma de cálculo de abono pecuniário de férias dos empregados da Empresa de Correios e Telégrafos - ECT”</w:t>
      </w:r>
    </w:p>
    <w:p>
      <w:pPr>
        <w:ind w:left="288"/>
      </w:pPr>
      <w:r>
        <w:rPr>
          <w:b/>
          <w:color w:val="003CA0"/>
          <w:sz w:val="16"/>
        </w:rPr>
        <w:t>[ARE 1.499.413 RG, rel. min. Luís Roberto Barroso, j. 04.10.2024, P, DJE de 09.10.2024, Tema 1.330, com repercussão geral negada.]</w:t>
      </w:r>
    </w:p>
    <w:p>
      <w:pPr>
        <w:ind w:left="144"/>
      </w:pPr>
      <w:r>
        <w:rPr>
          <w:b/>
          <w:color w:val="B45A00"/>
          <w:sz w:val="16"/>
        </w:rPr>
        <w:t>REPERCUSSAO GERAL</w:t>
      </w:r>
    </w:p>
    <w:p>
      <w:pPr>
        <w:ind w:left="288"/>
      </w:pPr>
      <w:r>
        <w:rPr>
          <w:color w:val="8C8C8C"/>
          <w:sz w:val="12"/>
        </w:rPr>
        <w:t>cf-art-37</w:t>
      </w:r>
      <w:r>
        <w:rPr>
          <w:color w:val="003CA0"/>
          <w:sz w:val="12"/>
        </w:rPr>
        <w:t xml:space="preserve"> | RE 1.355.208</w:t>
      </w:r>
      <w:r>
        <w:rPr>
          <w:color w:val="003CA0"/>
          <w:sz w:val="12"/>
        </w:rPr>
        <w:t xml:space="preserve"> | rel. Cármen Lúcia</w:t>
      </w:r>
    </w:p>
    <w:p>
      <w:pPr>
        <w:ind w:left="288"/>
      </w:pPr>
      <w:r>
        <w:rPr>
          <w:color w:val="1E1E1E"/>
          <w:sz w:val="18"/>
        </w:rPr>
        <w:t xml:space="preserve">É legítima a extinção de execução fiscal de baixo valor pela ausência de interesse de agir, tendo em vista o princípio constitucional da eficiência administrativa. 2. O ajuizamento da execução fiscal dependerá da prévia adoção das seguintes providências: a) tentativa de conciliação ou adoção de solução administrativa; e b) protesto do título, salvo por motivo de eficiência administrativa, comprovando-se a inadequação da medida. 3. O trâmite de ações de execução fiscal não impede os entes federados de pedirem a suspensão do processo para a adoção das medidas previstas no item 2, devendo, nesse </w:t>
      </w:r>
    </w:p>
    <w:p>
      <w:pPr>
        <w:ind w:left="288"/>
      </w:pPr>
      <w:r>
        <w:rPr>
          <w:b/>
          <w:color w:val="003CA0"/>
          <w:sz w:val="16"/>
        </w:rPr>
        <w:t>[RE 633.782, rel. min. Luiz Fux, j. 26-10-2020, P, DJE de 25-11-2020, Tema 532, com mérito julgado.]</w:t>
      </w:r>
    </w:p>
    <w:p>
      <w:pPr>
        <w:ind w:left="288"/>
      </w:pPr>
      <w:r>
        <w:rPr>
          <w:color w:val="8C8C8C"/>
          <w:sz w:val="12"/>
        </w:rPr>
        <w:t>cf-art-37</w:t>
      </w:r>
      <w:r>
        <w:rPr>
          <w:color w:val="003CA0"/>
          <w:sz w:val="12"/>
        </w:rPr>
        <w:t xml:space="preserve"> | ARE 652.777</w:t>
      </w:r>
      <w:r>
        <w:rPr>
          <w:color w:val="003CA0"/>
          <w:sz w:val="12"/>
        </w:rPr>
        <w:t xml:space="preserve"> | rel. Teori Zavascki</w:t>
      </w:r>
    </w:p>
    <w:p>
      <w:pPr>
        <w:ind w:left="288"/>
      </w:pPr>
      <w:r>
        <w:rPr>
          <w:color w:val="1E1E1E"/>
          <w:sz w:val="18"/>
        </w:rPr>
        <w:t>É legítima a publicação, inclusive em sítio eletrônico mantido pela administração pública, dos nomes dos seus servidores e do valor dos correspondentes vencimentos e vantagens pecuniárias.</w:t>
      </w:r>
    </w:p>
    <w:p>
      <w:pPr>
        <w:ind w:left="288"/>
      </w:pPr>
      <w:r>
        <w:rPr>
          <w:b/>
          <w:color w:val="003CA0"/>
          <w:sz w:val="16"/>
        </w:rPr>
        <w:t>[ARE 652.777, rel. min. Teori Zavascki, j. 23-4-2015, P, DJE de 1º-7-2015, Tema 483, com mérito julgado.]</w:t>
      </w:r>
    </w:p>
    <w:p>
      <w:pPr>
        <w:ind w:left="288"/>
      </w:pPr>
      <w:r>
        <w:rPr>
          <w:color w:val="8C8C8C"/>
          <w:sz w:val="12"/>
        </w:rPr>
        <w:t>cf-art-37</w:t>
      </w:r>
      <w:r>
        <w:rPr>
          <w:color w:val="003CA0"/>
          <w:sz w:val="12"/>
        </w:rPr>
        <w:t xml:space="preserve"> | RE 570.392</w:t>
      </w:r>
      <w:r>
        <w:rPr>
          <w:color w:val="003CA0"/>
          <w:sz w:val="12"/>
        </w:rPr>
        <w:t xml:space="preserve"> | rel. Cármen Lúcia</w:t>
      </w:r>
    </w:p>
    <w:p>
      <w:pPr>
        <w:ind w:left="288"/>
      </w:pPr>
      <w:r>
        <w:rPr>
          <w:color w:val="1E1E1E"/>
          <w:sz w:val="18"/>
        </w:rPr>
        <w:t>Não é privativa do chefe do Poder Executivo a competência para a iniciativa legislativa de lei sobre nepotismo na administração pública: leis com esse conteúdo normativo dão concretude aos princípios da moralidade e da impessoalidade do art. 37, caput, da Constituição da República, que, ademais, têm aplicabilidade imediata, ou seja, independente de lei. Precedentes. Súmula Vinculante 13.</w:t>
        <w:br/>
        <w:t>[RE 570.392, rel. min. Cármen Lúcia, j. 11-12-2014, P, DJE de 19-2-2015, Tema 29, com mérito julgado.] Empresa Brasileira de Correios e Telégrafos (ECT). Demissão imotivada de seus empregados. Impossibilidade.</w:t>
      </w:r>
    </w:p>
    <w:p>
      <w:pPr>
        <w:ind w:left="288"/>
      </w:pPr>
      <w:r>
        <w:rPr>
          <w:b/>
          <w:color w:val="003CA0"/>
          <w:sz w:val="16"/>
        </w:rPr>
        <w:t>[ARE 721.001 RG, rel. min. Gilmar Mendes, j. 28-2-2013, P, DJE de 1º-6-2015, Tema 635, com mérito julgado.]</w:t>
      </w:r>
    </w:p>
    <w:p>
      <w:pPr>
        <w:ind w:left="288"/>
      </w:pPr>
      <w:r>
        <w:rPr>
          <w:color w:val="8C8C8C"/>
          <w:sz w:val="12"/>
        </w:rPr>
        <w:t>cf-art-37</w:t>
      </w:r>
      <w:r>
        <w:rPr>
          <w:color w:val="003CA0"/>
          <w:sz w:val="12"/>
        </w:rPr>
        <w:t xml:space="preserve"> | RE 579.951</w:t>
      </w:r>
      <w:r>
        <w:rPr>
          <w:color w:val="003CA0"/>
          <w:sz w:val="12"/>
        </w:rPr>
        <w:t xml:space="preserve"> | rel. Ricardo Lewandowski</w:t>
      </w:r>
    </w:p>
    <w:p>
      <w:pPr>
        <w:ind w:left="288"/>
      </w:pPr>
      <w:r>
        <w:rPr>
          <w:color w:val="1E1E1E"/>
          <w:sz w:val="18"/>
        </w:rPr>
        <w:t>Embora restrita ao âmbito do Judiciário, a Resolução 7/2005 do CNJ, a prática do nepotismo nos demais Poderes é ilícita. A vedação do nepotismo não exige a edição de lei formal para coibir a prática. Proibição que decorre diretamente dos princípios contidos no art. 37, caput, da CF. (...) Recurso extraordinário conhecido e parcialmente provido para anular a nomeação do servidor, aparentado com agente político, ocupante de cargo em comissão.</w:t>
        <w:br/>
        <w:t>[RE 579.951, rel. min. Ricardo Lewandowski, j. 20-8-2008, P, DJE de 24-10-2008, Tema 66, com mérito julgado.]</w:t>
        <w:br/>
        <w:t>= ADI 3.745, rel. min. Dias Toffoli, j. 15-5-</w:t>
      </w:r>
    </w:p>
    <w:p>
      <w:pPr>
        <w:ind w:left="288"/>
      </w:pPr>
      <w:r>
        <w:rPr>
          <w:b/>
          <w:color w:val="003CA0"/>
          <w:sz w:val="16"/>
        </w:rPr>
        <w:t>[RE 1.536.640, rel. min. André Mendonça, j. 13.11.2025, P, Informativo STF 1.199.]</w:t>
      </w:r>
    </w:p>
    <w:p>
      <w:pPr>
        <w:ind w:left="144"/>
      </w:pPr>
      <w:r>
        <w:rPr>
          <w:b/>
          <w:color w:val="B45A00"/>
          <w:sz w:val="16"/>
        </w:rPr>
        <w:t>JULGADOS CORRELATOS</w:t>
      </w:r>
    </w:p>
    <w:p>
      <w:pPr>
        <w:ind w:left="288"/>
      </w:pPr>
      <w:r>
        <w:rPr>
          <w:color w:val="8C8C8C"/>
          <w:sz w:val="12"/>
        </w:rPr>
        <w:t>cf-art-37</w:t>
      </w:r>
      <w:r>
        <w:rPr>
          <w:color w:val="003CA0"/>
          <w:sz w:val="12"/>
        </w:rPr>
        <w:t xml:space="preserve"> | AO 31</w:t>
      </w:r>
      <w:r>
        <w:rPr>
          <w:color w:val="003CA0"/>
          <w:sz w:val="12"/>
        </w:rPr>
        <w:t xml:space="preserve"> | rel. Nunes Marques</w:t>
      </w:r>
    </w:p>
    <w:p>
      <w:pPr>
        <w:ind w:left="288"/>
      </w:pPr>
      <w:r>
        <w:rPr>
          <w:color w:val="1E1E1E"/>
          <w:sz w:val="18"/>
        </w:rPr>
        <w:t>A ordem democrática instituída em 1988 não admite o enaltecimento de golpes militares e iniciativas de subversão ilegítima da ordem, razão pela qual a “Ordem do Dia Alusiva ao 31 de Março de 1964” combatida nestes autos inequivocamente atentou contra a Constituição, violando o disposto em seus arts. 1º e 37, caput e § 1º. Quando se comunica em nome do Estado e valendo-se da estrutura estatal, o agente público encontra-se compelido a pautar qualquer mensagem porventura emitida nos ditames do art. 37 da Constituição. A utilização, por qualquer ente estatal, de recursos públicos para promover com</w:t>
      </w:r>
    </w:p>
    <w:p>
      <w:pPr>
        <w:ind w:left="288"/>
      </w:pPr>
      <w:r>
        <w:rPr>
          <w:b/>
          <w:color w:val="003CA0"/>
          <w:sz w:val="16"/>
        </w:rPr>
        <w:t>[ARE 1.165.456 AgR , red. do ac. min. Roberto Barroso, rel. min. Marco Aurélio, j. 1º-9-2020, 1ª T, DJE de 5-11-2020.]</w:t>
      </w:r>
    </w:p>
    <w:p>
      <w:pPr>
        <w:ind w:left="288"/>
      </w:pPr>
      <w:r>
        <w:rPr>
          <w:color w:val="8C8C8C"/>
          <w:sz w:val="12"/>
        </w:rPr>
        <w:t>cf-art-37</w:t>
      </w:r>
      <w:r>
        <w:rPr>
          <w:color w:val="003CA0"/>
          <w:sz w:val="12"/>
        </w:rPr>
        <w:t xml:space="preserve"> | ARE 1.141.147</w:t>
      </w:r>
      <w:r>
        <w:rPr>
          <w:color w:val="003CA0"/>
          <w:sz w:val="12"/>
        </w:rPr>
        <w:t xml:space="preserve"> | rel. Marco Aurélio</w:t>
      </w:r>
    </w:p>
    <w:p>
      <w:pPr>
        <w:ind w:left="288"/>
      </w:pPr>
      <w:r>
        <w:rPr>
          <w:color w:val="1E1E1E"/>
          <w:sz w:val="18"/>
        </w:rPr>
        <w:t>Servidor. Pagamento parcelado. Estado do Rio Grande do Sul. Impossibilidade. Descabe cogitar de discricionariedade administrativa quando se tratar de pagamento parcelado da remuneração dos servidores públicos estaduais, considerada a previsão do artigo 35 da Constituição do Estado do Rio Grande do Sul. Precedente: Ação Direta de Inconstitucionalidade 657/RS, Pleno, ministro Neri da Silveira, acórdão publicado no Diário da Justiça de 28 de setembro de 2001.</w:t>
      </w:r>
    </w:p>
    <w:p>
      <w:pPr>
        <w:ind w:left="288"/>
      </w:pPr>
      <w:r>
        <w:rPr>
          <w:b/>
          <w:color w:val="003CA0"/>
          <w:sz w:val="16"/>
        </w:rPr>
        <w:t>[ARE 1.141.147-AgR, rel. min. Marco Aurélio, j. em 13-8-2019, 1ª T, DJE de 24-9-2019.]</w:t>
      </w:r>
    </w:p>
    <w:p>
      <w:pPr>
        <w:ind w:left="288"/>
      </w:pPr>
      <w:r>
        <w:rPr>
          <w:color w:val="8C8C8C"/>
          <w:sz w:val="12"/>
        </w:rPr>
        <w:t>cf-art-37</w:t>
      </w:r>
      <w:r>
        <w:rPr>
          <w:color w:val="003CA0"/>
          <w:sz w:val="12"/>
        </w:rPr>
        <w:t xml:space="preserve"> | ARE 896.762</w:t>
      </w:r>
      <w:r>
        <w:rPr>
          <w:color w:val="003CA0"/>
          <w:sz w:val="12"/>
        </w:rPr>
        <w:t xml:space="preserve"> | rel. Dias Toffoli</w:t>
      </w:r>
    </w:p>
    <w:p>
      <w:pPr>
        <w:ind w:left="288"/>
      </w:pPr>
      <w:r>
        <w:rPr>
          <w:color w:val="1E1E1E"/>
          <w:sz w:val="18"/>
        </w:rPr>
        <w:t>Ao editar a Súmula Vinculante 13, embora não se tenha pretendido esgotar todas as possibilidades de configuração de nepotismo na administração pública, foram erigidos critérios objetivos de conformação, a saber: i) ajuste mediante designações recíprocas quando inexistente a relação de parentesco entre a autoridade nomeante e o ocupante do cargo de provimento em comissão ou da função comissionada; ii) relação de parentesco entre a pessoa nomeada e a autoridade nomeante; iii) relação de parentesco entre a pessoa nomeada e o ocupante de cargo de direção, chefia ou assessoramento a quem estiver su</w:t>
      </w:r>
    </w:p>
    <w:p>
      <w:pPr>
        <w:ind w:left="288"/>
      </w:pPr>
      <w:r>
        <w:rPr>
          <w:b/>
          <w:color w:val="003CA0"/>
          <w:sz w:val="16"/>
        </w:rPr>
        <w:t>[ARE 896.762 AgR, rel. min. Dias Toffoli, j. 4-6-2018, 2ª T, DJE de 26-6-2018.]</w:t>
      </w:r>
    </w:p>
    <w:p>
      <w:pPr>
        <w:ind w:left="288"/>
      </w:pPr>
      <w:r>
        <w:rPr>
          <w:color w:val="8C8C8C"/>
          <w:sz w:val="12"/>
        </w:rPr>
        <w:t>cf-art-37</w:t>
      </w:r>
      <w:r>
        <w:rPr>
          <w:color w:val="003CA0"/>
          <w:sz w:val="12"/>
        </w:rPr>
        <w:t xml:space="preserve"> | MS 34.179</w:t>
      </w:r>
      <w:r>
        <w:rPr>
          <w:color w:val="003CA0"/>
          <w:sz w:val="12"/>
        </w:rPr>
        <w:t xml:space="preserve"> | rel. Gilmar Mendes</w:t>
      </w:r>
    </w:p>
    <w:p>
      <w:pPr>
        <w:ind w:left="288"/>
      </w:pPr>
      <w:r>
        <w:rPr>
          <w:color w:val="1E1E1E"/>
          <w:sz w:val="18"/>
        </w:rPr>
        <w:t>Nepotismo. Ausência de subordinação hierárquica ou projeção funcional entre os servidores públicos nomeados para exercer cargo comissionado no mesmo órgão, ou entre as autoridades nomeantes. Discricionariedade do membro da magistratura para compor sua assessoria, observados os limites da lei e da Constituição. Impossibilidade de presunção de influência do exercente do cargo de direção, chefia e assessoramento vinculado a um desembargador na escolha e contratação de outro.</w:t>
      </w:r>
    </w:p>
    <w:p>
      <w:pPr>
        <w:ind w:left="288"/>
      </w:pPr>
      <w:r>
        <w:rPr>
          <w:b/>
          <w:color w:val="003CA0"/>
          <w:sz w:val="16"/>
        </w:rPr>
        <w:t>[MS 34.179 ED-AgR, rel. min. Gilmar Mendes, j. 4-4-2018, 2ª T, DJE de 23-4-2018.]</w:t>
      </w:r>
    </w:p>
    <w:p>
      <w:pPr>
        <w:ind w:left="288"/>
      </w:pPr>
      <w:r>
        <w:rPr>
          <w:color w:val="8C8C8C"/>
          <w:sz w:val="12"/>
        </w:rPr>
        <w:t>cf-art-37</w:t>
      </w:r>
      <w:r>
        <w:rPr>
          <w:color w:val="003CA0"/>
          <w:sz w:val="12"/>
        </w:rPr>
        <w:t xml:space="preserve"> | ACO 2.674</w:t>
      </w:r>
      <w:r>
        <w:rPr>
          <w:color w:val="003CA0"/>
          <w:sz w:val="12"/>
        </w:rPr>
        <w:t xml:space="preserve"> | rel. Luiz Fux</w:t>
      </w:r>
    </w:p>
    <w:p>
      <w:pPr>
        <w:ind w:left="288"/>
      </w:pPr>
      <w:r>
        <w:rPr>
          <w:color w:val="1E1E1E"/>
          <w:sz w:val="18"/>
        </w:rPr>
        <w:t>Em razão de expressa determinação constitucional, na medida em que a atuação da administração pública é pautada pelo princípio da legalidade (CF, art. 37, caput), inexiste, em princípio, qualquer ilegalidade na atuação da União em proceder à inscrição do órgão ou ente nos cadastros de restrição. A anotação de ente federado em tais cadastros exige a prévia e efetiva observância do devido processo legal, em suas dimensões material e processual.</w:t>
      </w:r>
    </w:p>
    <w:p>
      <w:pPr>
        <w:ind w:left="288"/>
      </w:pPr>
      <w:r>
        <w:rPr>
          <w:b/>
          <w:color w:val="003CA0"/>
          <w:sz w:val="16"/>
        </w:rPr>
        <w:t>[ACO 2.674 AgR, rel. min. Luiz Fux, j. 6-10-2017, 1ª T, DJE de 25-10-2017.]</w:t>
      </w:r>
    </w:p>
    <w:p>
      <w:pPr>
        <w:ind w:left="288"/>
      </w:pPr>
      <w:r>
        <w:rPr>
          <w:color w:val="8C8C8C"/>
          <w:sz w:val="12"/>
        </w:rPr>
        <w:t>cf-art-37</w:t>
      </w:r>
      <w:r>
        <w:rPr>
          <w:color w:val="003CA0"/>
          <w:sz w:val="12"/>
        </w:rPr>
        <w:t xml:space="preserve"> | RHC 133.118</w:t>
      </w:r>
      <w:r>
        <w:rPr>
          <w:color w:val="003CA0"/>
          <w:sz w:val="12"/>
        </w:rPr>
        <w:t xml:space="preserve"> | rel. Dias Toffoli</w:t>
      </w:r>
    </w:p>
    <w:p>
      <w:pPr>
        <w:ind w:left="288"/>
      </w:pPr>
      <w:r>
        <w:rPr>
          <w:color w:val="1E1E1E"/>
          <w:sz w:val="18"/>
        </w:rPr>
        <w:t>Ação penal. Associação criminosa, fraude a licitação, lavagem de dinheiro e peculato (arts. 288 e 313-A, CP; art. 90 da Lei 8.666/1993; art. 1º da Lei 9.613/1998 e art. 1º, I e II, do DL 201/1967). (...) diante da existência de indícios da prática de ilícitos penais com verbas públicas, o Ministério Público solicitou diretamente à instituição financeira cópias de extratos bancários e microfilmagens da conta corrente da municipalidade, além de fitas de caixa, para a apuração do real destino das verbas. O poder do Ministério Público de requisitar informações bancárias de conta corrente de titula</w:t>
      </w:r>
    </w:p>
    <w:p>
      <w:pPr>
        <w:ind w:left="288"/>
      </w:pPr>
      <w:r>
        <w:rPr>
          <w:b/>
          <w:color w:val="003CA0"/>
          <w:sz w:val="16"/>
        </w:rPr>
        <w:t>[Rcl 9.284, rel. min. Dias Toffoli, j. 30-9-2014, 1ª T, DJE de 19-11-2014.]</w:t>
      </w:r>
    </w:p>
    <w:p>
      <w:pPr>
        <w:ind w:left="288"/>
      </w:pPr>
      <w:r>
        <w:rPr>
          <w:color w:val="8C8C8C"/>
          <w:sz w:val="12"/>
        </w:rPr>
        <w:t>cf-art-37</w:t>
      </w:r>
      <w:r>
        <w:rPr>
          <w:color w:val="003CA0"/>
          <w:sz w:val="12"/>
        </w:rPr>
        <w:t xml:space="preserve"> | RCL 7.590</w:t>
      </w:r>
      <w:r>
        <w:rPr>
          <w:color w:val="003CA0"/>
          <w:sz w:val="12"/>
        </w:rPr>
        <w:t xml:space="preserve"> | rel. Dias Toffoli</w:t>
      </w:r>
    </w:p>
    <w:p>
      <w:pPr>
        <w:ind w:left="288"/>
      </w:pPr>
      <w:r>
        <w:rPr>
          <w:color w:val="1E1E1E"/>
          <w:sz w:val="18"/>
        </w:rPr>
        <w:t>Os cargos políticos são caracterizados não apenas por serem de livre nomeação ou exoneração, fundadas na fidúcia, mas também por seus titulares serem detentores de um múnus governamental decorrente da CF, não estando os seus ocupantes enquadrados na classificação de agentes administrativos. Em hipóteses que atinjam ocupantes de cargos políticos, a configuração do nepotismo deve ser analisado caso a caso, a fim de se verificar eventual "troca de favores" ou fraude a lei. Decisão judicial que anula ato de nomeação para cargo político apenas com fundamento na relação de parentesco estabelecida en</w:t>
      </w:r>
    </w:p>
    <w:p>
      <w:pPr>
        <w:ind w:left="288"/>
      </w:pPr>
      <w:r>
        <w:rPr>
          <w:b/>
          <w:color w:val="003CA0"/>
          <w:sz w:val="16"/>
        </w:rPr>
        <w:t>[Rcl 7.590, rel. min. Dias Toffoli, j. 30-9-2014, 1ª T, DJE de 14-11-2014.]</w:t>
      </w:r>
    </w:p>
    <w:p>
      <w:pPr>
        <w:ind w:left="288"/>
      </w:pPr>
      <w:r>
        <w:rPr>
          <w:color w:val="8C8C8C"/>
          <w:sz w:val="12"/>
        </w:rPr>
        <w:t>cf-art-37</w:t>
      </w:r>
      <w:r>
        <w:rPr>
          <w:color w:val="003CA0"/>
          <w:sz w:val="12"/>
        </w:rPr>
        <w:t xml:space="preserve"> | MS 27.945</w:t>
      </w:r>
      <w:r>
        <w:rPr>
          <w:color w:val="003CA0"/>
          <w:sz w:val="12"/>
        </w:rPr>
        <w:t xml:space="preserve"> | rel. Cármen Lúcia</w:t>
      </w:r>
    </w:p>
    <w:p>
      <w:pPr>
        <w:ind w:left="288"/>
      </w:pPr>
      <w:r>
        <w:rPr>
          <w:color w:val="1E1E1E"/>
          <w:sz w:val="18"/>
        </w:rPr>
        <w:t>Servidor efetivo do Poder Executivo, que exerce função comissionada em Tribunal, ao qual seu irmão é vinculado como juiz. (...) Não se faz necessária comprovação de "vínculo de amizade ou troca de favores" entre o irmão do impetrante e o desembargador federal de quem é assistente processual, pois é a análise objetiva da situação de parentesco entre o servidor e a pessoa nomeada para exercício de cargo em comissão ou de confiança na mesma pessoa jurídica da administração pública que configura a situação de nepotismo vedada, originariamente, pela Constituição da República.</w:t>
      </w:r>
    </w:p>
    <w:p>
      <w:pPr>
        <w:ind w:left="288"/>
      </w:pPr>
      <w:r>
        <w:rPr>
          <w:b/>
          <w:color w:val="003CA0"/>
          <w:sz w:val="16"/>
        </w:rPr>
        <w:t>[MS 27.945, rel. min. Cármen Lúcia, j. 26-8-2014, 2ª T, DJE de 4-9-2014.]</w:t>
      </w:r>
    </w:p>
    <w:p>
      <w:pPr>
        <w:ind w:left="288"/>
      </w:pPr>
      <w:r>
        <w:rPr>
          <w:color w:val="8C8C8C"/>
          <w:sz w:val="12"/>
        </w:rPr>
        <w:t>cf-art-37</w:t>
      </w:r>
      <w:r>
        <w:rPr>
          <w:color w:val="003CA0"/>
          <w:sz w:val="12"/>
        </w:rPr>
        <w:t xml:space="preserve"> | RCL 19.911</w:t>
      </w:r>
      <w:r>
        <w:rPr>
          <w:color w:val="003CA0"/>
          <w:sz w:val="12"/>
        </w:rPr>
        <w:t xml:space="preserve"> | rel. Roberto Barroso</w:t>
      </w:r>
    </w:p>
    <w:p>
      <w:pPr>
        <w:ind w:left="288"/>
      </w:pPr>
      <w:r>
        <w:rPr>
          <w:color w:val="1E1E1E"/>
          <w:sz w:val="18"/>
        </w:rPr>
        <w:t>= Rcl 19.911 AgR, rel. min. Roberto Barroso, j. 19-5-2015, 1ª T, DJE de 2-6-2015 A administração pública submete-se ao princípio da legalidade, sobrepondo-se ao regulamento a lei em sentido formal e material. (...) Consoante dispõe o inciso II do art. 141 da Lei 8.112/1990, viabilizando o salutar duplo grau administrativo, cumpre à autoridade de hierarquia imediatamente inferior às mencionadas na cabeça do artigo, entre as quais os presidentes dos tribunais federais, impor a suspensão do servidor quando ultrapassado o período de trinta dias. Inconstitucionalidade do Regulamento da Secretaria d</w:t>
      </w:r>
    </w:p>
    <w:p>
      <w:pPr>
        <w:ind w:left="288"/>
      </w:pPr>
      <w:r>
        <w:rPr>
          <w:b/>
          <w:color w:val="003CA0"/>
          <w:sz w:val="16"/>
        </w:rPr>
        <w:t>[MS 28.033, rel. min. Marco Aurélio, j. 23-4-2014, P, DJE de 30-10-2014.]</w:t>
      </w:r>
    </w:p>
    <w:p>
      <w:pPr>
        <w:ind w:left="288"/>
      </w:pPr>
      <w:r>
        <w:rPr>
          <w:color w:val="8C8C8C"/>
          <w:sz w:val="12"/>
        </w:rPr>
        <w:t>cf-art-37</w:t>
      </w:r>
      <w:r>
        <w:rPr>
          <w:color w:val="003CA0"/>
          <w:sz w:val="12"/>
        </w:rPr>
        <w:t xml:space="preserve"> | MS 31.697</w:t>
      </w:r>
      <w:r>
        <w:rPr>
          <w:color w:val="003CA0"/>
          <w:sz w:val="12"/>
        </w:rPr>
        <w:t xml:space="preserve"> | rel. Dias Toffoli</w:t>
      </w:r>
    </w:p>
    <w:p>
      <w:pPr>
        <w:ind w:left="288"/>
      </w:pPr>
      <w:r>
        <w:rPr>
          <w:color w:val="1E1E1E"/>
          <w:sz w:val="18"/>
        </w:rPr>
        <w:t>Competência do CNMP para promover a fiscalização dos princípios constitucionais da administração pública, consagrados no art. 37, caput, da CF, entre eles o princípio da moralidade, que rege a vedação ao nepotismo. É inexequível a precisão dos interesses públicos e privados envolvidos, ressalvando-se, ademais, a obrigatoriedade de o poder público pautar seus atos pelo respeito aos princípios da administração pública, em especial, no caso dos autos, aos da legalidade e da impessoalidade (art. 37, caput, da CF/1988). A edição de atos regulamentares ou vinculantes por autoridade competente para a</w:t>
      </w:r>
    </w:p>
    <w:p>
      <w:pPr>
        <w:ind w:left="288"/>
      </w:pPr>
      <w:r>
        <w:rPr>
          <w:b/>
          <w:color w:val="003CA0"/>
          <w:sz w:val="16"/>
        </w:rPr>
        <w:t>[MS 31.697, rel. min. Dias Toffoli, j. 11-3-2014, 1ª T, DJE de 2-4-2014.]</w:t>
      </w:r>
    </w:p>
    <w:p>
      <w:pPr>
        <w:ind w:left="288"/>
      </w:pPr>
      <w:r>
        <w:rPr>
          <w:color w:val="8C8C8C"/>
          <w:sz w:val="12"/>
        </w:rPr>
        <w:t>cf-art-37</w:t>
      </w:r>
      <w:r>
        <w:rPr>
          <w:color w:val="003CA0"/>
          <w:sz w:val="12"/>
        </w:rPr>
        <w:t xml:space="preserve"> | ARE 696.316</w:t>
      </w:r>
      <w:r>
        <w:rPr>
          <w:color w:val="003CA0"/>
          <w:sz w:val="12"/>
        </w:rPr>
        <w:t xml:space="preserve"> | rel. Joaquim Barbosa</w:t>
      </w:r>
    </w:p>
    <w:p>
      <w:pPr>
        <w:ind w:left="288"/>
      </w:pPr>
      <w:r>
        <w:rPr>
          <w:color w:val="1E1E1E"/>
          <w:sz w:val="18"/>
        </w:rPr>
        <w:t>(...) esta Corte firmou o entendimento de que é imprescindível a comprovação da má-fé do administrado para a configuração do dever de ressarcimento de valores indevidamente recebidos por erro da administração.</w:t>
      </w:r>
    </w:p>
    <w:p>
      <w:pPr>
        <w:ind w:left="288"/>
      </w:pPr>
      <w:r>
        <w:rPr>
          <w:b/>
          <w:color w:val="003CA0"/>
          <w:sz w:val="16"/>
        </w:rPr>
        <w:t>[ARE 696.316, rel. min. Joaquim Barbosa, j. 10-8-2012, dec. monocrática, DJE de 16-8-2012.]</w:t>
      </w:r>
    </w:p>
    <w:p>
      <w:pPr>
        <w:ind w:left="288"/>
      </w:pPr>
      <w:r>
        <w:rPr>
          <w:color w:val="8C8C8C"/>
          <w:sz w:val="12"/>
        </w:rPr>
        <w:t>cf-art-37</w:t>
      </w:r>
      <w:r>
        <w:rPr>
          <w:color w:val="003CA0"/>
          <w:sz w:val="12"/>
        </w:rPr>
        <w:t xml:space="preserve"> | MS 24.020</w:t>
      </w:r>
      <w:r>
        <w:rPr>
          <w:color w:val="003CA0"/>
          <w:sz w:val="12"/>
        </w:rPr>
        <w:t xml:space="preserve"> | rel. Joaquim Barbosa</w:t>
      </w:r>
    </w:p>
    <w:p>
      <w:pPr>
        <w:ind w:left="288"/>
      </w:pPr>
      <w:r>
        <w:rPr>
          <w:color w:val="1E1E1E"/>
          <w:sz w:val="18"/>
        </w:rPr>
        <w:t>(...) configurada a prática de nepotismo cruzado, tendo em vista que a assessora nomeada pelo impetrante para exercer cargo em comissão no TRT 17ª Região, sediado em Vitória/ES, é nora do magistrado que nomeou a esposa do impetrante para cargo em comissão no TRT 1ª Região, sediado no Rio de Janeiro/RJ. A nomeação para o cargo de assessor do impetrante é ato formalmente lícito. Contudo, no momento em que é apurada a finalidade contrária ao interesse público, qual seja, uma troca de favores entre membros do Judiciário, o ato deve ser invalidado, por violação ao princípio da moralidade administra</w:t>
      </w:r>
    </w:p>
    <w:p>
      <w:pPr>
        <w:ind w:left="288"/>
      </w:pPr>
      <w:r>
        <w:rPr>
          <w:b/>
          <w:color w:val="003CA0"/>
          <w:sz w:val="16"/>
        </w:rPr>
        <w:t>[MS 24.020, rel. min. Joaquim Barbosa, j. 6-3-2012, 2ª T, DJE de 13-6-2012.]</w:t>
      </w:r>
    </w:p>
    <w:p>
      <w:pPr>
        <w:ind w:left="288"/>
      </w:pPr>
      <w:r>
        <w:rPr>
          <w:color w:val="8C8C8C"/>
          <w:sz w:val="12"/>
        </w:rPr>
        <w:t>cf-art-37</w:t>
      </w:r>
      <w:r>
        <w:rPr>
          <w:color w:val="003CA0"/>
          <w:sz w:val="12"/>
        </w:rPr>
        <w:t xml:space="preserve"> | HC 102.819</w:t>
      </w:r>
      <w:r>
        <w:rPr>
          <w:color w:val="003CA0"/>
          <w:sz w:val="12"/>
        </w:rPr>
        <w:t xml:space="preserve"> | rel. Marco Aurélio</w:t>
      </w:r>
    </w:p>
    <w:p>
      <w:pPr>
        <w:ind w:left="288"/>
      </w:pPr>
      <w:r>
        <w:rPr>
          <w:color w:val="1E1E1E"/>
          <w:sz w:val="18"/>
        </w:rPr>
        <w:t>Inquérito. Publicidade. Norteia a administração pública – gênero – o princípio da publicidade no que deságua na busca da eficiência, ante o acompanhamento pela sociedade. Estando em jogo valores, há de ser observado o coletivo em detrimento, até mesmo, do individual.</w:t>
      </w:r>
    </w:p>
    <w:p>
      <w:pPr>
        <w:ind w:left="288"/>
      </w:pPr>
      <w:r>
        <w:rPr>
          <w:b/>
          <w:color w:val="003CA0"/>
          <w:sz w:val="16"/>
        </w:rPr>
        <w:t>[HC 102.819, rel. min. Marco Aurélio, j. 5-4-2011, 1ª T, DJE de 30-5-2011.]</w:t>
      </w:r>
    </w:p>
    <w:p>
      <w:pPr>
        <w:ind w:left="288"/>
      </w:pPr>
      <w:r>
        <w:rPr>
          <w:color w:val="8C8C8C"/>
          <w:sz w:val="12"/>
        </w:rPr>
        <w:t>cf-art-37</w:t>
      </w:r>
      <w:r>
        <w:rPr>
          <w:color w:val="003CA0"/>
          <w:sz w:val="12"/>
        </w:rPr>
        <w:t xml:space="preserve"> | AI 796.832</w:t>
      </w:r>
      <w:r>
        <w:rPr>
          <w:color w:val="003CA0"/>
          <w:sz w:val="12"/>
        </w:rPr>
        <w:t xml:space="preserve"> | rel. Cármen Lúcia</w:t>
      </w:r>
    </w:p>
    <w:p>
      <w:pPr>
        <w:ind w:left="288"/>
      </w:pPr>
      <w:r>
        <w:rPr>
          <w:color w:val="1E1E1E"/>
          <w:sz w:val="18"/>
        </w:rPr>
        <w:t>(...) a jurisprudência do STF assentou ser possível o controle de legalidade dos atos administrativos pelo Poder Judiciário.</w:t>
      </w:r>
    </w:p>
    <w:p>
      <w:pPr>
        <w:ind w:left="288"/>
      </w:pPr>
      <w:r>
        <w:rPr>
          <w:b/>
          <w:color w:val="003CA0"/>
          <w:sz w:val="16"/>
        </w:rPr>
        <w:t>[AI 796.832 AgR, voto da rel. min. Cármen Lúcia, j. 1º-2-2011, 1ª T, DJE de 23-2-2011.]</w:t>
      </w:r>
    </w:p>
    <w:p>
      <w:pPr>
        <w:ind w:left="288"/>
      </w:pPr>
      <w:r>
        <w:rPr>
          <w:color w:val="8C8C8C"/>
          <w:sz w:val="12"/>
        </w:rPr>
        <w:t>cf-art-37</w:t>
      </w:r>
      <w:r>
        <w:rPr>
          <w:color w:val="003CA0"/>
          <w:sz w:val="12"/>
        </w:rPr>
        <w:t xml:space="preserve"> | ARE 757.716</w:t>
      </w:r>
      <w:r>
        <w:rPr>
          <w:color w:val="003CA0"/>
          <w:sz w:val="12"/>
        </w:rPr>
        <w:t xml:space="preserve"> | rel. Celso de Mello</w:t>
      </w:r>
    </w:p>
    <w:p>
      <w:pPr>
        <w:ind w:left="288"/>
      </w:pPr>
      <w:r>
        <w:rPr>
          <w:color w:val="1E1E1E"/>
          <w:sz w:val="18"/>
        </w:rPr>
        <w:t>= ARE 757.716 AgR, rel. min. Celso de Mello, j. 27-8-2013, 2ª T, DJE de 7-10-2013 Vide RMS 24.699, rel. min. Eros Grau, j. 30-11-2004, 1ª T, DJ de 1º-7-2005 (...) pode a CGU [Corregedoria-Geral da União] fiscalizar a aplicação de dinheiro da União onde quer que ele esteja sendo aplicado, isto é, se houver um repasse de verbas federais a um Município, ele pode ser objeto de fiscalização no tocante à sua aplicação. (...) ressalto que a fiscalização operada pela CGU é realizada de forma aleatória – dada a impossibilidade fática de controlar as verbas repassadas a todos os Municípios brasileiros –</w:t>
      </w:r>
    </w:p>
    <w:p>
      <w:pPr>
        <w:ind w:left="288"/>
      </w:pPr>
      <w:r>
        <w:rPr>
          <w:b/>
          <w:color w:val="003CA0"/>
          <w:sz w:val="16"/>
        </w:rPr>
        <w:t>[RMS 25.943, voto do rel. min. Ricardo Lewandowski, j. 24-11-2010, P, DJE de 2-3-2011.]</w:t>
      </w:r>
    </w:p>
    <w:p>
      <w:pPr>
        <w:ind w:left="288"/>
      </w:pPr>
      <w:r>
        <w:rPr>
          <w:color w:val="8C8C8C"/>
          <w:sz w:val="12"/>
        </w:rPr>
        <w:t>cf-art-37</w:t>
      </w:r>
      <w:r>
        <w:rPr>
          <w:color w:val="003CA0"/>
          <w:sz w:val="12"/>
        </w:rPr>
        <w:t xml:space="preserve"> | AI 607.616</w:t>
      </w:r>
      <w:r>
        <w:rPr>
          <w:color w:val="003CA0"/>
          <w:sz w:val="12"/>
        </w:rPr>
        <w:t xml:space="preserve"> | rel. Joaquim Barbosa</w:t>
      </w:r>
    </w:p>
    <w:p>
      <w:pPr>
        <w:ind w:left="288"/>
      </w:pPr>
      <w:r>
        <w:rPr>
          <w:color w:val="1E1E1E"/>
          <w:sz w:val="18"/>
        </w:rPr>
        <w:t>(...) os valores arrecadados com tributos servem para custear atividades de interesse público. Porém, a circunstância não imuniza o Estado de assumir responsabilidades e a responder por sua conduta. Os princípios da moralidade, da legalidade e da propriedade impedem que o argumento seja levado às últimas consequências, de modo a impedir pura e simplesmente qualquer restituição de indébito tributário. Dessa forma, compete ao ente federado demonstrar com exatidão numérica o risco à continuidade do serviço público, causada pela reparação devida. Meras conjecturas ou ilações caem na vala das falác</w:t>
      </w:r>
    </w:p>
    <w:p>
      <w:pPr>
        <w:ind w:left="288"/>
      </w:pPr>
      <w:r>
        <w:rPr>
          <w:b/>
          <w:color w:val="003CA0"/>
          <w:sz w:val="16"/>
        </w:rPr>
        <w:t>[AI 607.616 AgR, voto do rel. min. Joaquim Barbosa, j. 31-8-2010, 2ª T, DJE de 1º-10-2010.]</w:t>
      </w:r>
    </w:p>
    <w:p>
      <w:pPr>
        <w:ind w:left="288"/>
      </w:pPr>
      <w:r>
        <w:rPr>
          <w:color w:val="8C8C8C"/>
          <w:sz w:val="12"/>
        </w:rPr>
        <w:t>cf-art-37</w:t>
      </w:r>
      <w:r>
        <w:rPr>
          <w:color w:val="003CA0"/>
          <w:sz w:val="12"/>
        </w:rPr>
        <w:t xml:space="preserve"> | RE 462.136</w:t>
      </w:r>
      <w:r>
        <w:rPr>
          <w:color w:val="003CA0"/>
          <w:sz w:val="12"/>
        </w:rPr>
        <w:t xml:space="preserve"> | rel. Joaquim Barbosa</w:t>
      </w:r>
    </w:p>
    <w:p>
      <w:pPr>
        <w:ind w:left="288"/>
      </w:pPr>
      <w:r>
        <w:rPr>
          <w:color w:val="1E1E1E"/>
          <w:sz w:val="18"/>
        </w:rPr>
        <w:t>Processo administrativo tributário. (...) A circunstância de inexistir previsão específica para a interposição de recurso hierárquico em favor do sujeito passivo não afasta o poder-dever da administração de examinar a validade do ato administrativo que implica a constituição do crédito tributário, ainda que não provocada, respeitadas a forma e as balizas impostas pelo sistema jurídico (Súmula 473/STF).</w:t>
      </w:r>
    </w:p>
    <w:p>
      <w:pPr>
        <w:ind w:left="288"/>
      </w:pPr>
      <w:r>
        <w:rPr>
          <w:b/>
          <w:color w:val="003CA0"/>
          <w:sz w:val="16"/>
        </w:rPr>
        <w:t>[RE 462.136 AgR, rel. min. Joaquim Barbosa, j. 31-8-2010, 2ª T, DJE de 1º-10-2010.]</w:t>
      </w:r>
    </w:p>
    <w:p>
      <w:pPr>
        <w:ind w:left="288"/>
      </w:pPr>
      <w:r>
        <w:rPr>
          <w:color w:val="8C8C8C"/>
          <w:sz w:val="12"/>
        </w:rPr>
        <w:t>cf-art-37</w:t>
      </w:r>
      <w:r>
        <w:rPr>
          <w:color w:val="003CA0"/>
          <w:sz w:val="12"/>
        </w:rPr>
        <w:t xml:space="preserve"> | STA 407</w:t>
      </w:r>
      <w:r>
        <w:rPr>
          <w:color w:val="003CA0"/>
          <w:sz w:val="12"/>
        </w:rPr>
        <w:t xml:space="preserve"> | rel. Cezar Peluso</w:t>
      </w:r>
    </w:p>
    <w:p>
      <w:pPr>
        <w:ind w:left="288"/>
      </w:pPr>
      <w:r>
        <w:rPr>
          <w:color w:val="1E1E1E"/>
          <w:sz w:val="18"/>
        </w:rPr>
        <w:t>Há risco de grave lesão à ordem pública, bem como de efeito multiplicador, na decisão judicial que determina remoção de servidor para acompanhar cônjuge transferido a pedido, quando não há interesse público em removê-lo.</w:t>
      </w:r>
    </w:p>
    <w:p>
      <w:pPr>
        <w:ind w:left="288"/>
      </w:pPr>
      <w:r>
        <w:rPr>
          <w:b/>
          <w:color w:val="003CA0"/>
          <w:sz w:val="16"/>
        </w:rPr>
        <w:t>[STA 407 AgR, rel. min. Cezar Peluso, j. 18-8-2010, P, DJE de 3-9-2010.]</w:t>
      </w:r>
    </w:p>
    <w:p>
      <w:pPr>
        <w:ind w:left="288"/>
      </w:pPr>
      <w:r>
        <w:rPr>
          <w:color w:val="8C8C8C"/>
          <w:sz w:val="12"/>
        </w:rPr>
        <w:t>cf-art-37</w:t>
      </w:r>
      <w:r>
        <w:rPr>
          <w:color w:val="003CA0"/>
          <w:sz w:val="12"/>
        </w:rPr>
        <w:t xml:space="preserve"> | MS 23.058</w:t>
      </w:r>
      <w:r>
        <w:rPr>
          <w:color w:val="003CA0"/>
          <w:sz w:val="12"/>
        </w:rPr>
        <w:t xml:space="preserve"> | rel. Ayres Britto</w:t>
      </w:r>
    </w:p>
    <w:p>
      <w:pPr>
        <w:ind w:left="288"/>
      </w:pPr>
      <w:r>
        <w:rPr>
          <w:color w:val="1E1E1E"/>
          <w:sz w:val="18"/>
        </w:rPr>
        <w:t>Vide MS 23.058, rel. min. Ayres Britto, j. 18-9-2008, P, DJE de 14-11-2008 A administração pública tem o direito de anular seus próprios atos, quando ilegais, ou revogá-los por motivos de conveniência e oportunidade (Súmulas 346 e 473, STF). O prazo decadencial estabelecido no art. 54 da Lei 9.784/1999 conta-se a partir da sua vigência (1º-2-1999), vedada a aplicação retroativa do preceito para limitar a liberdade da administração pública.</w:t>
      </w:r>
    </w:p>
    <w:p>
      <w:pPr>
        <w:ind w:left="288"/>
      </w:pPr>
      <w:r>
        <w:rPr>
          <w:b/>
          <w:color w:val="003CA0"/>
          <w:sz w:val="16"/>
        </w:rPr>
        <w:t>[RMS 25.856, rel. min. Eros Grau, j. 9-3-2010, 2ª T, DJE de 14-5-2010.]</w:t>
      </w:r>
    </w:p>
    <w:p>
      <w:pPr>
        <w:ind w:left="288"/>
      </w:pPr>
      <w:r>
        <w:rPr>
          <w:color w:val="8C8C8C"/>
          <w:sz w:val="12"/>
        </w:rPr>
        <w:t>cf-art-37</w:t>
      </w:r>
      <w:r>
        <w:rPr>
          <w:color w:val="003CA0"/>
          <w:sz w:val="12"/>
        </w:rPr>
        <w:t xml:space="preserve"> | RCL 6.702</w:t>
      </w:r>
      <w:r>
        <w:rPr>
          <w:color w:val="003CA0"/>
          <w:sz w:val="12"/>
        </w:rPr>
        <w:t xml:space="preserve"> | rel. Ricardo Lewandowski</w:t>
      </w:r>
    </w:p>
    <w:p>
      <w:pPr>
        <w:ind w:left="288"/>
      </w:pPr>
      <w:r>
        <w:rPr>
          <w:color w:val="1E1E1E"/>
          <w:sz w:val="18"/>
        </w:rPr>
        <w:t>Ato decisório contrário à Súmula Vinculante 13 do STF. Nepotismo. Nomeação para o exercício do cargo de conselheiro do Tribunal de Contas do Estado do Paraná. Natureza administrativa do cargo. (...) A vedação do nepotismo não exige a edição de lei formal para coibir a prática, uma vez que decorre diretamente dos princípios contidos no art. 37, caput, da CF. O cargo de conselheiro do Tribunal de Contas do Estado do Paraná reveste-se, à primeira vista, de natureza administrativa, uma vez que exerce a função de auxiliar do Legislativo no controle da administração pública.</w:t>
      </w:r>
    </w:p>
    <w:p>
      <w:pPr>
        <w:ind w:left="288"/>
      </w:pPr>
      <w:r>
        <w:rPr>
          <w:b/>
          <w:color w:val="003CA0"/>
          <w:sz w:val="16"/>
        </w:rPr>
        <w:t>[Rcl 6.702 AgR-MC, rel. min. Ricardo Lewandowski, j. 4-3-2009, P, DJE de 30-4-2009.]</w:t>
      </w:r>
    </w:p>
    <w:p>
      <w:pPr>
        <w:ind w:left="288"/>
      </w:pPr>
      <w:r>
        <w:rPr>
          <w:color w:val="8C8C8C"/>
          <w:sz w:val="12"/>
        </w:rPr>
        <w:t>cf-art-37</w:t>
      </w:r>
      <w:r>
        <w:rPr>
          <w:color w:val="003CA0"/>
          <w:sz w:val="12"/>
        </w:rPr>
        <w:t xml:space="preserve"> | MS 26.163</w:t>
      </w:r>
      <w:r>
        <w:rPr>
          <w:color w:val="003CA0"/>
          <w:sz w:val="12"/>
        </w:rPr>
        <w:t xml:space="preserve"> | rel. Cármen Lúcia</w:t>
      </w:r>
    </w:p>
    <w:p>
      <w:pPr>
        <w:ind w:left="288"/>
      </w:pPr>
      <w:r>
        <w:rPr>
          <w:color w:val="1E1E1E"/>
          <w:sz w:val="18"/>
        </w:rPr>
        <w:t>Concurso para a magistratura do Estado do Piauí. Critérios de convocação para as provas orais. Alteração do edital no curso do processo de seleção. Impossibilidade. (...) O CNJ tem legitimidade para fiscalizar, inclusive de ofício, os atos administrativos praticados por órgãos do Poder Judiciário (MS 26.163, rel. min. Cármen Lúcia, DJE de 4-9-2008). Após a publicação do edital e no curso do certame, só se admite a alteração das regras do concurso se houver modificação na legislação que disciplina a respectiva carreira. Precedentes (RE 318.106, rel. min. Ellen Gracie, DJ de 18-11-2005). No caso</w:t>
      </w:r>
    </w:p>
    <w:p>
      <w:pPr>
        <w:ind w:left="288"/>
      </w:pPr>
      <w:r>
        <w:rPr>
          <w:b/>
          <w:color w:val="003CA0"/>
          <w:sz w:val="16"/>
        </w:rPr>
        <w:t>[MS 27.165, rel. min. Joaquim Barbosa, j. 18-12-2008, P, DJE de 6-3-2009.]</w:t>
      </w:r>
    </w:p>
    <w:p>
      <w:pPr>
        <w:ind w:left="288"/>
      </w:pPr>
      <w:r>
        <w:rPr>
          <w:color w:val="8C8C8C"/>
          <w:sz w:val="12"/>
        </w:rPr>
        <w:t>cf-art-37</w:t>
      </w:r>
      <w:r>
        <w:rPr>
          <w:color w:val="003CA0"/>
          <w:sz w:val="12"/>
        </w:rPr>
        <w:t xml:space="preserve"> | RE 579.951</w:t>
      </w:r>
      <w:r>
        <w:rPr>
          <w:color w:val="003CA0"/>
          <w:sz w:val="12"/>
        </w:rPr>
        <w:t xml:space="preserve"> | rel. Ricardo Lewandowski</w:t>
      </w:r>
    </w:p>
    <w:p>
      <w:pPr>
        <w:ind w:left="288"/>
      </w:pPr>
      <w:r>
        <w:rPr>
          <w:color w:val="1E1E1E"/>
          <w:sz w:val="18"/>
        </w:rPr>
        <w:t>Nomeação de irmão de governador de Estado. Cargo de secretário de Estado. Nepotismo. Súmula Vinculante 13. Inaplicabilidade ao caso. Cargo de natureza política. Agente político. (...) Impossibilidade de submissão do reclamante, secretário estadual de transporte, agente político, às hipóteses expressamente elencadas na Súmula Vinculante 13, por se tratar de cargo de natureza política. Existência de precedente do Plenário do Tribunal: RE 579.951/RN, rel. min. Ricardo Lewandowski, DJE de 12-9-2008. Ocorrência da fumaça do bom direito.</w:t>
      </w:r>
    </w:p>
    <w:p>
      <w:pPr>
        <w:ind w:left="288"/>
      </w:pPr>
      <w:r>
        <w:rPr>
          <w:b/>
          <w:color w:val="003CA0"/>
          <w:sz w:val="16"/>
        </w:rPr>
        <w:t>[Rcl 6.650 MC-AgR, rel. min. Ellen Gracie, j. 16-10-2008, P, DJE de 21-11-2008.]</w:t>
      </w:r>
    </w:p>
    <w:p>
      <w:pPr>
        <w:ind w:left="288"/>
      </w:pPr>
      <w:r>
        <w:rPr>
          <w:color w:val="8C8C8C"/>
          <w:sz w:val="12"/>
        </w:rPr>
        <w:t>cf-art-37</w:t>
      </w:r>
      <w:r>
        <w:rPr>
          <w:color w:val="003CA0"/>
          <w:sz w:val="12"/>
        </w:rPr>
        <w:t xml:space="preserve"> | RE 825.682</w:t>
      </w:r>
      <w:r>
        <w:rPr>
          <w:color w:val="003CA0"/>
          <w:sz w:val="12"/>
        </w:rPr>
        <w:t xml:space="preserve"> | rel. Teori Zavascki</w:t>
      </w:r>
    </w:p>
    <w:p>
      <w:pPr>
        <w:ind w:left="288"/>
      </w:pPr>
      <w:r>
        <w:rPr>
          <w:color w:val="1E1E1E"/>
          <w:sz w:val="18"/>
        </w:rPr>
        <w:t xml:space="preserve">= RE 825.682 AgR, rel. min. Teori Zavascki, j. 10-2-2015, 2ª T, DJE de 2-3-2015 Remoção de ofício para acompanhar o cônjuge, independentemente da existência de vagas. (...) Especial proteção do Estado à família (art. 226 da CF). (...) Havendo a transferência, de ofício, do cônjuge da impetrante, empregado da Caixa Econômica Federal, para a cidade de Fortaleza/CE, tem ela, servidora ocupante de cargo no TCU, direito líquido e certo de também ser removida, independentemente da existência de vagas. Precedente: MS 21.893/DF. A alínea a do inciso III do parágrafo único do art. 36 da Lei 8.112/1990 </w:t>
      </w:r>
    </w:p>
    <w:p>
      <w:pPr>
        <w:ind w:left="288"/>
      </w:pPr>
      <w:r>
        <w:rPr>
          <w:b/>
          <w:color w:val="003CA0"/>
          <w:sz w:val="16"/>
        </w:rPr>
        <w:t>[MS 23.058, rel. min. Ayres Britto, j. 18-9-2008, P, DJE de 14-11-2008.]</w:t>
      </w:r>
    </w:p>
    <w:p>
      <w:pPr>
        <w:ind w:left="288"/>
      </w:pPr>
      <w:r>
        <w:rPr>
          <w:color w:val="8C8C8C"/>
          <w:sz w:val="12"/>
        </w:rPr>
        <w:t>cf-art-37</w:t>
      </w:r>
      <w:r>
        <w:rPr>
          <w:color w:val="003CA0"/>
          <w:sz w:val="12"/>
        </w:rPr>
        <w:t xml:space="preserve"> | RE 549.095</w:t>
      </w:r>
      <w:r>
        <w:rPr>
          <w:color w:val="003CA0"/>
          <w:sz w:val="12"/>
        </w:rPr>
        <w:t xml:space="preserve"> | rel. Eros Grau</w:t>
      </w:r>
    </w:p>
    <w:p>
      <w:pPr>
        <w:ind w:left="288"/>
      </w:pPr>
      <w:r>
        <w:rPr>
          <w:color w:val="1E1E1E"/>
          <w:sz w:val="18"/>
        </w:rPr>
        <w:t>= RE 549.095 AgR, rel. min. Eros Grau, j. 29-9-2009, 2ª T, DJE de 23-10-2009 Vide STA 407 AgR, rel. min. Cezar Peluso, j. 18-8-2010, P, DJE de 3-9-2010 Vide RE 587.260 AgR, rel. min. Eros Grau, j. 29-9-2009, 2ª T, DJE de 23-10-2009 Separação dos Poderes. Possibilidade de análise de ato do Poder Executivo pelo Poder Judiciário. (...) Reexame de matéria fática e interpretação de cláusulas editalícias. (...) Cabe ao Poder Judiciário a análise da legalidade e constitucionalidade dos atos dos três Poderes constitucionais, e, em vislumbrando mácula no ato impugnado, afastar a sua aplicação.</w:t>
      </w:r>
    </w:p>
    <w:p>
      <w:pPr>
        <w:ind w:left="288"/>
      </w:pPr>
      <w:r>
        <w:rPr>
          <w:b/>
          <w:color w:val="003CA0"/>
          <w:sz w:val="16"/>
        </w:rPr>
        <w:t>[AI 640.272 AgR, rel. min. Ricardo Lewandowski, j. 2-10-2007, 1ª T, DJ de 31-10-2007.]</w:t>
      </w:r>
    </w:p>
    <w:p>
      <w:pPr>
        <w:ind w:left="288"/>
      </w:pPr>
      <w:r>
        <w:rPr>
          <w:color w:val="8C8C8C"/>
          <w:sz w:val="12"/>
        </w:rPr>
        <w:t>cf-art-37</w:t>
      </w:r>
      <w:r>
        <w:rPr>
          <w:color w:val="003CA0"/>
          <w:sz w:val="12"/>
        </w:rPr>
        <w:t xml:space="preserve"> | RE 582.409</w:t>
      </w:r>
      <w:r>
        <w:rPr>
          <w:color w:val="003CA0"/>
          <w:sz w:val="12"/>
        </w:rPr>
        <w:t xml:space="preserve"> | rel. Gilmar Mendes</w:t>
      </w:r>
    </w:p>
    <w:p>
      <w:pPr>
        <w:ind w:left="288"/>
      </w:pPr>
      <w:r>
        <w:rPr>
          <w:color w:val="1E1E1E"/>
          <w:sz w:val="18"/>
        </w:rPr>
        <w:t>= RE 582.409 AgR, rel. min. Gilmar Mendes, j. 28-2-2012, 2ª T, DJE de 14-3-2012 A teoria do fato consumado não se caracteriza como matéria infraconstitucional, pois em diversas oportunidades esta Corte manifestou-se pela aplicação do princípio da segurança jurídica em atos administrativos inválidos, como subprincípio do Estado de Direito, tal como nos julgamentos do MS 24.268, DJ de 17-9-2004, e do MS 22.357, DJ de 5-11-2004, ambos por mim relatados. No entanto, no presente caso, não se pode invocar a teoria do fato consumado sob o manto da segurança jurídica. A aplicação dessa teoria enfrenta</w:t>
      </w:r>
    </w:p>
    <w:p>
      <w:pPr>
        <w:ind w:left="288"/>
      </w:pPr>
      <w:r>
        <w:rPr>
          <w:b/>
          <w:color w:val="003CA0"/>
          <w:sz w:val="16"/>
        </w:rPr>
        <w:t>[RE 462.909 AgR, voto do rel. min. Gilmar Mendes, j. 4-4-2006, 2ª T, DJ de 12-5-2006.]</w:t>
      </w:r>
    </w:p>
    <w:p>
      <w:pPr>
        <w:ind w:left="288"/>
      </w:pPr>
      <w:r>
        <w:rPr>
          <w:color w:val="8C8C8C"/>
          <w:sz w:val="12"/>
        </w:rPr>
        <w:t>cf-art-37</w:t>
      </w:r>
      <w:r>
        <w:rPr>
          <w:color w:val="003CA0"/>
          <w:sz w:val="12"/>
        </w:rPr>
        <w:t xml:space="preserve"> | RE 390.939</w:t>
      </w:r>
      <w:r>
        <w:rPr>
          <w:color w:val="003CA0"/>
          <w:sz w:val="12"/>
        </w:rPr>
        <w:t xml:space="preserve"> | rel. Ellen Gracie</w:t>
      </w:r>
    </w:p>
    <w:p>
      <w:pPr>
        <w:ind w:left="288"/>
      </w:pPr>
      <w:r>
        <w:rPr>
          <w:color w:val="1E1E1E"/>
          <w:sz w:val="18"/>
        </w:rPr>
        <w:t>A divulgação no Diário Oficial é suficiente per se para dar publicidade a um ato administrativo.</w:t>
      </w:r>
    </w:p>
    <w:p>
      <w:pPr>
        <w:ind w:left="288"/>
      </w:pPr>
      <w:r>
        <w:rPr>
          <w:b/>
          <w:color w:val="003CA0"/>
          <w:sz w:val="16"/>
        </w:rPr>
        <w:t>[RE 390.939, rel. min. Ellen Gracie, j. 16-8-2005, 2ª T, DJ de 9-9-2005.]</w:t>
      </w:r>
    </w:p>
    <w:p>
      <w:pPr>
        <w:ind w:left="288"/>
      </w:pPr>
      <w:r>
        <w:rPr>
          <w:color w:val="8C8C8C"/>
          <w:sz w:val="12"/>
        </w:rPr>
        <w:t>cf-art-37</w:t>
      </w:r>
      <w:r>
        <w:rPr>
          <w:color w:val="003CA0"/>
          <w:sz w:val="12"/>
        </w:rPr>
        <w:t xml:space="preserve"> | MS 24.872</w:t>
      </w:r>
      <w:r>
        <w:rPr>
          <w:color w:val="003CA0"/>
          <w:sz w:val="12"/>
        </w:rPr>
        <w:t xml:space="preserve"> | rel. Marco Aurélio</w:t>
      </w:r>
    </w:p>
    <w:p>
      <w:pPr>
        <w:ind w:left="288"/>
      </w:pPr>
      <w:r>
        <w:rPr>
          <w:color w:val="1E1E1E"/>
          <w:sz w:val="18"/>
        </w:rPr>
        <w:t>A administração pública é norteada por princípios conducentes à segurança jurídica – da legalidade, da impessoalidade, da moralidade, da publicidade e da eficiência. A variação de enfoques, seja qual for a justificativa, não se coaduna com os citados princípios, sob pena de grassar a insegurança.</w:t>
      </w:r>
    </w:p>
    <w:p>
      <w:pPr>
        <w:ind w:left="288"/>
      </w:pPr>
      <w:r>
        <w:rPr>
          <w:b/>
          <w:color w:val="003CA0"/>
          <w:sz w:val="16"/>
        </w:rPr>
        <w:t>[MS 24.872, voto do rel. min. Marco Aurélio, j. 30-6-2005, P, DJ de 30-9-2005.]</w:t>
      </w:r>
    </w:p>
    <w:p>
      <w:pPr>
        <w:ind w:left="288"/>
      </w:pPr>
      <w:r>
        <w:rPr>
          <w:color w:val="8C8C8C"/>
          <w:sz w:val="12"/>
        </w:rPr>
        <w:t>cf-art-37</w:t>
      </w:r>
      <w:r>
        <w:rPr>
          <w:color w:val="003CA0"/>
          <w:sz w:val="12"/>
        </w:rPr>
        <w:t xml:space="preserve"> | AI 442.918</w:t>
      </w:r>
      <w:r>
        <w:rPr>
          <w:color w:val="003CA0"/>
          <w:sz w:val="12"/>
        </w:rPr>
        <w:t xml:space="preserve"> | rel. Sepúlveda Pertence</w:t>
      </w:r>
    </w:p>
    <w:p>
      <w:pPr>
        <w:ind w:left="288"/>
      </w:pPr>
      <w:r>
        <w:rPr>
          <w:color w:val="1E1E1E"/>
          <w:sz w:val="18"/>
        </w:rPr>
        <w:t>A administração pode anular seus próprios atos, quando eivados de ilegalidade (Súmula 473), não podendo ser invocado o princípio da isonomia como pretexto de se obter benefício ilegalmente concedido a outros servidores.</w:t>
      </w:r>
    </w:p>
    <w:p>
      <w:pPr>
        <w:ind w:left="288"/>
      </w:pPr>
      <w:r>
        <w:rPr>
          <w:b/>
          <w:color w:val="003CA0"/>
          <w:sz w:val="16"/>
        </w:rPr>
        <w:t>[AI 442.918 AgR, rel. min. Sepúlveda Pertence, j. 4-5-2004, 1ª T, DJ de 4-6-2004.]</w:t>
      </w:r>
    </w:p>
    <w:p>
      <w:pPr>
        <w:ind w:left="288"/>
      </w:pPr>
      <w:r>
        <w:rPr>
          <w:color w:val="8C8C8C"/>
          <w:sz w:val="12"/>
        </w:rPr>
        <w:t>cf-art-37</w:t>
      </w:r>
      <w:r>
        <w:rPr>
          <w:color w:val="003CA0"/>
          <w:sz w:val="12"/>
        </w:rPr>
        <w:t xml:space="preserve"> | RE 363.328</w:t>
      </w:r>
      <w:r>
        <w:rPr>
          <w:color w:val="003CA0"/>
          <w:sz w:val="12"/>
        </w:rPr>
        <w:t xml:space="preserve"> | rel. Ellen Gracie</w:t>
      </w:r>
    </w:p>
    <w:p>
      <w:pPr>
        <w:ind w:left="288"/>
      </w:pPr>
      <w:r>
        <w:rPr>
          <w:color w:val="1E1E1E"/>
          <w:sz w:val="18"/>
        </w:rPr>
        <w:t>Inviável a invocação dos princípios de direito administrativo consagrados no caput do art. 37 da CF para garantir à embargante estabilidade no emprego não prevista na legislação pertinente, ante o disposto no art. 173 da Lei Maior.</w:t>
      </w:r>
    </w:p>
    <w:p>
      <w:pPr>
        <w:ind w:left="288"/>
      </w:pPr>
      <w:r>
        <w:rPr>
          <w:b/>
          <w:color w:val="003CA0"/>
          <w:sz w:val="16"/>
        </w:rPr>
        <w:t>[RE 363.328 ED, rel. min. Ellen Gracie, j. 2-12-2003, 2ª T, DJ de 19-12-2003.]</w:t>
      </w:r>
    </w:p>
    <w:p>
      <w:pPr>
        <w:ind w:left="288"/>
      </w:pPr>
      <w:r>
        <w:rPr>
          <w:color w:val="8C8C8C"/>
          <w:sz w:val="12"/>
        </w:rPr>
        <w:t>cf-art-37</w:t>
      </w:r>
      <w:r>
        <w:rPr>
          <w:color w:val="003CA0"/>
          <w:sz w:val="12"/>
        </w:rPr>
        <w:t xml:space="preserve"> | AI 651.512</w:t>
      </w:r>
      <w:r>
        <w:rPr>
          <w:color w:val="003CA0"/>
          <w:sz w:val="12"/>
        </w:rPr>
        <w:t xml:space="preserve"> | rel. Ricardo Lewandowski</w:t>
      </w:r>
    </w:p>
    <w:p>
      <w:pPr>
        <w:ind w:left="288"/>
      </w:pPr>
      <w:r>
        <w:rPr>
          <w:color w:val="1E1E1E"/>
          <w:sz w:val="18"/>
        </w:rPr>
        <w:t>= AI 651.512 AgR, rel. min. Ricardo Lewandowski, j. 5-5-2009, 1ª T, DJE de 5-6-2009 Transação. Validade. Em regra, os bens e o interesse público são indisponíveis, porque pertencem à coletividade. E, por isso, o administrador, mero gestor da coisa pública, não tem disponibilidade sobre os interesses confiados à sua guarda e realização. Todavia, há casos em que o princípio da indisponibilidade do interesse público deve ser atenuado, mormente quando se tem em vista que a solução adotada pela administração é a que melhor atenderá à ultimação deste interesse.</w:t>
      </w:r>
    </w:p>
    <w:p>
      <w:pPr>
        <w:ind w:left="288"/>
      </w:pPr>
      <w:r>
        <w:rPr>
          <w:b/>
          <w:color w:val="003CA0"/>
          <w:sz w:val="16"/>
        </w:rPr>
        <w:t>[RE 253.885, rel. min. Ellen Gracie, j. 4-6-2002, 1ª T, DJ de 21-6-2002.]</w:t>
      </w:r>
    </w:p>
    <w:p>
      <w:pPr>
        <w:ind w:left="288"/>
      </w:pPr>
      <w:r>
        <w:rPr>
          <w:color w:val="8C8C8C"/>
          <w:sz w:val="12"/>
        </w:rPr>
        <w:t>cf-art-37</w:t>
      </w:r>
      <w:r>
        <w:rPr>
          <w:color w:val="003CA0"/>
          <w:sz w:val="12"/>
        </w:rPr>
        <w:t xml:space="preserve"> | RE 205.535</w:t>
      </w:r>
      <w:r>
        <w:rPr>
          <w:color w:val="003CA0"/>
          <w:sz w:val="12"/>
        </w:rPr>
        <w:t xml:space="preserve"> | rel. Marco Aurélio</w:t>
      </w:r>
    </w:p>
    <w:p>
      <w:pPr>
        <w:ind w:left="288"/>
      </w:pPr>
      <w:r>
        <w:rPr>
          <w:color w:val="1E1E1E"/>
          <w:sz w:val="18"/>
        </w:rPr>
        <w:t>Discrepa da razoabilidade norteadora dos atos da administração pública o fato de o edital de concurso emprestar ao tempo de serviço público pontuação superior a títulos referentes a pós-graduação.</w:t>
      </w:r>
    </w:p>
    <w:p>
      <w:pPr>
        <w:ind w:left="288"/>
      </w:pPr>
      <w:r>
        <w:rPr>
          <w:b/>
          <w:color w:val="003CA0"/>
          <w:sz w:val="16"/>
        </w:rPr>
        <w:t>[RE 205.535 AgR, rel. min. Marco Aurélio, j. 22-5-1998, 2ª T, DJ de 14-8-1998.]</w:t>
      </w:r>
    </w:p>
    <w:p>
      <w:pPr>
        <w:ind w:left="288"/>
      </w:pPr>
      <w:r>
        <w:rPr>
          <w:color w:val="8C8C8C"/>
          <w:sz w:val="12"/>
        </w:rPr>
        <w:t>cf-art-37</w:t>
      </w:r>
      <w:r>
        <w:rPr>
          <w:color w:val="003CA0"/>
          <w:sz w:val="12"/>
        </w:rPr>
        <w:t xml:space="preserve"> | RE 163.301</w:t>
      </w:r>
      <w:r>
        <w:rPr>
          <w:color w:val="003CA0"/>
          <w:sz w:val="12"/>
        </w:rPr>
        <w:t xml:space="preserve"> | rel. Sepúlveda Pertence</w:t>
      </w:r>
    </w:p>
    <w:p>
      <w:pPr>
        <w:ind w:left="288"/>
      </w:pPr>
      <w:r>
        <w:rPr>
          <w:color w:val="1E1E1E"/>
          <w:sz w:val="18"/>
        </w:rPr>
        <w:t>Tribunal de Contas: aposentadoria de servidores de sua secretaria: anulação admissível – antes da submissão do ato ao julgamento de legalidade do próprio Tribunal (CF, art. 71, III) –, conforme a Súmula 473, que é corolário do princípio constitucional da legalidade da administração (CF, art. 37), violado, no caso, a pretexto de salvaguarda de direitos adquiridos, obviamente inoponíveis à desconstituição, pela administração mesma, de seus atos ilegais.</w:t>
      </w:r>
    </w:p>
    <w:p>
      <w:pPr>
        <w:ind w:left="288"/>
      </w:pPr>
      <w:r>
        <w:rPr>
          <w:b/>
          <w:color w:val="003CA0"/>
          <w:sz w:val="16"/>
        </w:rPr>
        <w:t>[RE 163.301, rel. min. Sepúlveda Pertence, j. 21-10-1997, 1ª T, DJ de 28-11-1997.]</w:t>
      </w:r>
    </w:p>
    <w:p>
      <w:pPr>
        <w:ind w:left="288"/>
      </w:pPr>
      <w:r>
        <w:rPr>
          <w:color w:val="8C8C8C"/>
          <w:sz w:val="12"/>
        </w:rPr>
        <w:t>cf-art-37</w:t>
      </w:r>
      <w:r>
        <w:rPr>
          <w:color w:val="003CA0"/>
          <w:sz w:val="12"/>
        </w:rPr>
        <w:t xml:space="preserve"> | RE 199.088</w:t>
      </w:r>
      <w:r>
        <w:rPr>
          <w:color w:val="003CA0"/>
          <w:sz w:val="12"/>
        </w:rPr>
        <w:t xml:space="preserve"> | rel. Carlos Velloso</w:t>
      </w:r>
    </w:p>
    <w:p>
      <w:pPr>
        <w:ind w:left="288"/>
      </w:pPr>
      <w:r>
        <w:rPr>
          <w:color w:val="1E1E1E"/>
          <w:sz w:val="18"/>
        </w:rPr>
        <w:t>Bacharel em Direito que exerce o cargo de assessor de desembargador: incompatibilidade para o exercício da advocacia. Lei 4.215, de 1963, arts. 83 e 84. Lei 8.906/1994, art. 28, IV. Inocorrência de ofensa ao art. 5º, XIII, que deve ser interpretado em consonância com o art. 22, XVI, da CF, e com o princípio da moralidade administrativa imposto à administração pública (CF, art. 37, caput).</w:t>
      </w:r>
    </w:p>
    <w:p>
      <w:pPr>
        <w:ind w:left="288"/>
      </w:pPr>
      <w:r>
        <w:rPr>
          <w:b/>
          <w:color w:val="003CA0"/>
          <w:sz w:val="16"/>
        </w:rPr>
        <w:t>[RE 199.088, rel. min. Carlos Velloso, j. 1º-10-1996, 2ª T, DJ de 16-4-1999.]</w:t>
      </w:r>
    </w:p>
    <w:p>
      <w:pPr>
        <w:ind w:left="288"/>
      </w:pPr>
      <w:r>
        <w:rPr>
          <w:color w:val="8C8C8C"/>
          <w:sz w:val="12"/>
        </w:rPr>
        <w:t>cf-art-37</w:t>
      </w:r>
      <w:r>
        <w:rPr>
          <w:color w:val="003CA0"/>
          <w:sz w:val="12"/>
        </w:rPr>
        <w:t xml:space="preserve"> | RE 550.005</w:t>
      </w:r>
      <w:r>
        <w:rPr>
          <w:color w:val="003CA0"/>
          <w:sz w:val="12"/>
        </w:rPr>
        <w:t xml:space="preserve"> | rel. Joaquim Barbosa</w:t>
      </w:r>
    </w:p>
    <w:p>
      <w:pPr>
        <w:ind w:left="288"/>
      </w:pPr>
      <w:r>
        <w:rPr>
          <w:color w:val="1E1E1E"/>
          <w:sz w:val="18"/>
        </w:rPr>
        <w:t>= RE 550.005 AgR, rel. min. Joaquim Barbosa, j. 8-5-2012, 2ª T, DJE de 25-5-2012 Vide ADI 3.541, rel. min. Dias Toffoli, j. 12-2-2014, P, DJE de 24-3-2014 Não cabe ao Banco do Brasil negar ao Ministério Público informações sobre nomes de beneficiários de empréstimos concedidos pela instituição, com recursos subsidiados pelo erário federal, sob invocação do sigilo bancário, em se tratando de requisição de informações e documentos para instruir procedimento administrativo instaurado em defesa do patrimônio público. Princípio da publicidade, ut art. 37 da Constituição.</w:t>
      </w:r>
    </w:p>
    <w:p>
      <w:pPr>
        <w:ind w:left="288"/>
      </w:pPr>
      <w:r>
        <w:rPr>
          <w:b/>
          <w:color w:val="003CA0"/>
          <w:sz w:val="16"/>
        </w:rPr>
        <w:t>[MS 21.729, red. do ac. min. Néri da Silveira, rel. min. Marco Aurélio, j. 5-10-1995, P, DJ de 19-10-2001.]</w:t>
      </w:r>
    </w:p>
    <w:p>
      <w:pPr>
        <w:ind w:left="288"/>
      </w:pPr>
      <w:r>
        <w:rPr>
          <w:color w:val="8C8C8C"/>
          <w:sz w:val="12"/>
        </w:rPr>
        <w:t>cf-art-37</w:t>
      </w:r>
      <w:r>
        <w:rPr>
          <w:color w:val="003CA0"/>
          <w:sz w:val="12"/>
        </w:rPr>
        <w:t xml:space="preserve"> | MS 21.814</w:t>
      </w:r>
      <w:r>
        <w:rPr>
          <w:color w:val="003CA0"/>
          <w:sz w:val="12"/>
        </w:rPr>
        <w:t xml:space="preserve"> | rel. Néri da Silveira</w:t>
      </w:r>
    </w:p>
    <w:p>
      <w:pPr>
        <w:ind w:left="288"/>
      </w:pPr>
      <w:r>
        <w:rPr>
          <w:color w:val="1E1E1E"/>
          <w:sz w:val="18"/>
        </w:rPr>
        <w:t>Impedimentos e suspeição. Presunção juris et de jure de parcialidade. Sendo a própria imparcialidade que se presume atingida, não é possível ao juiz, enquanto tal, praticar ato de seu ofício, jurisdicional ou administrativo, sem essa nota que marca, essencialmente, o caráter do magistrado. Se se desprezarem esses impedimentos, o ato administrativo infringirá os princípios da impessoalidade e moralidade previstos no art. 37 da Constituição.</w:t>
      </w:r>
    </w:p>
    <w:p>
      <w:pPr>
        <w:ind w:left="288"/>
      </w:pPr>
      <w:r>
        <w:rPr>
          <w:b/>
          <w:color w:val="003CA0"/>
          <w:sz w:val="16"/>
        </w:rPr>
        <w:t>[MS 21.814, rel. min. Néri da Silveira, j. 14-4-1994, P, DJ de 10-6-1994.]</w:t>
      </w:r>
    </w:p>
    <w:p>
      <w:pPr>
        <w:ind w:left="144"/>
      </w:pPr>
      <w:r>
        <w:rPr>
          <w:b/>
          <w:color w:val="B45A00"/>
          <w:sz w:val="16"/>
        </w:rPr>
        <w:t>SUMULA VINCULANTE</w:t>
      </w:r>
    </w:p>
    <w:p>
      <w:pPr>
        <w:ind w:left="288"/>
      </w:pPr>
      <w:r>
        <w:rPr>
          <w:color w:val="8C8C8C"/>
          <w:sz w:val="12"/>
        </w:rPr>
        <w:t>cf-art-37-inc-I</w:t>
      </w:r>
    </w:p>
    <w:p>
      <w:pPr>
        <w:ind w:left="288"/>
      </w:pPr>
      <w:r>
        <w:rPr>
          <w:color w:val="1E1E1E"/>
          <w:sz w:val="18"/>
        </w:rPr>
        <w:t>Só por lei se pode sujeitar a exame psicotécnico a habilitação de candidato a cargo público.</w:t>
      </w:r>
    </w:p>
    <w:p>
      <w:pPr>
        <w:ind w:left="288"/>
      </w:pPr>
      <w:r>
        <w:rPr>
          <w:b/>
          <w:color w:val="003CA0"/>
          <w:sz w:val="16"/>
        </w:rPr>
        <w:t>[Súmula Vinculante 44.]</w:t>
      </w:r>
    </w:p>
    <w:p>
      <w:pPr>
        <w:ind w:left="144"/>
      </w:pPr>
      <w:r>
        <w:rPr>
          <w:b/>
          <w:color w:val="B45A00"/>
          <w:sz w:val="16"/>
        </w:rPr>
        <w:t>SUMULA</w:t>
      </w:r>
    </w:p>
    <w:p>
      <w:pPr>
        <w:ind w:left="288"/>
      </w:pPr>
      <w:r>
        <w:rPr>
          <w:color w:val="8C8C8C"/>
          <w:sz w:val="12"/>
        </w:rPr>
        <w:t>cf-art-37-inc-I</w:t>
      </w:r>
    </w:p>
    <w:p>
      <w:pPr>
        <w:ind w:left="288"/>
      </w:pPr>
      <w:r>
        <w:rPr>
          <w:color w:val="1E1E1E"/>
          <w:sz w:val="18"/>
        </w:rPr>
        <w:t>O limite de idade para a inscrição em concurso público só se legitima em face do art. 7º, XXX, da Constituição, quando possa ser justificado pela natureza das atribuições do cargo a ser preenchido.</w:t>
      </w:r>
    </w:p>
    <w:p>
      <w:pPr>
        <w:ind w:left="288"/>
      </w:pPr>
      <w:r>
        <w:rPr>
          <w:b/>
          <w:color w:val="003CA0"/>
          <w:sz w:val="16"/>
        </w:rPr>
        <w:t>[Súmula 683.]</w:t>
      </w:r>
    </w:p>
    <w:p>
      <w:pPr>
        <w:ind w:left="288"/>
      </w:pPr>
      <w:r>
        <w:rPr>
          <w:color w:val="8C8C8C"/>
          <w:sz w:val="12"/>
        </w:rPr>
        <w:t>cf-art-37-inc-I</w:t>
      </w:r>
    </w:p>
    <w:p>
      <w:pPr>
        <w:ind w:left="288"/>
      </w:pPr>
      <w:r>
        <w:rPr>
          <w:color w:val="1E1E1E"/>
          <w:sz w:val="18"/>
        </w:rPr>
        <w:t>Não é admissível, por ato administrativo, restringir, em razão da idade, inscrição em concurso para cargo público.</w:t>
      </w:r>
    </w:p>
    <w:p>
      <w:pPr>
        <w:ind w:left="288"/>
      </w:pPr>
      <w:r>
        <w:rPr>
          <w:b/>
          <w:color w:val="003CA0"/>
          <w:sz w:val="16"/>
        </w:rPr>
        <w:t>[Súmula 14.]</w:t>
      </w:r>
    </w:p>
    <w:p>
      <w:pPr>
        <w:ind w:left="144"/>
      </w:pPr>
      <w:r>
        <w:rPr>
          <w:b/>
          <w:color w:val="B45A00"/>
          <w:sz w:val="16"/>
        </w:rPr>
        <w:t>CONTROLE CONCENTRADO</w:t>
      </w:r>
    </w:p>
    <w:p>
      <w:pPr>
        <w:ind w:left="288"/>
      </w:pPr>
      <w:r>
        <w:rPr>
          <w:color w:val="8C8C8C"/>
          <w:sz w:val="12"/>
        </w:rPr>
        <w:t>cf-art-37-inc-I</w:t>
      </w:r>
      <w:r>
        <w:rPr>
          <w:color w:val="003CA0"/>
          <w:sz w:val="12"/>
        </w:rPr>
        <w:t xml:space="preserve"> | ADI 7.483</w:t>
      </w:r>
      <w:r>
        <w:rPr>
          <w:color w:val="003CA0"/>
          <w:sz w:val="12"/>
        </w:rPr>
        <w:t xml:space="preserve"> | rel. Cristiano Zanin</w:t>
      </w:r>
    </w:p>
    <w:p>
      <w:pPr>
        <w:ind w:left="288"/>
      </w:pPr>
      <w:r>
        <w:rPr>
          <w:color w:val="1E1E1E"/>
          <w:sz w:val="18"/>
        </w:rPr>
        <w:t>A interpretação de que o art. 11 da Lei n. 2.108/1993, do Estado do Rio de Janeiro, pode restringir o acesso de mulheres a cargos da Polícia Militar viola diversos dispositivos e princípios constitucionais, tais como o direito à isonomia e à igualdade entre homens e mulheres (art. 5º, caput e I, da CF), o direito à não discriminação em razão de sexo (art. 3º, IV, da CF), o direito à proteção do mercado de trabalho da mulher (art. 7º, XX, da CF), a proibição à adoção de qualquer critério discriminatório por motivo de sexo, quando da admissão em ocupações públicas (art. 7º, XXX, da CF), o direit</w:t>
      </w:r>
    </w:p>
    <w:p>
      <w:pPr>
        <w:ind w:left="144"/>
      </w:pPr>
      <w:r>
        <w:rPr>
          <w:b/>
          <w:color w:val="B45A00"/>
          <w:sz w:val="16"/>
        </w:rPr>
        <w:t>REPERCUSSAO GERAL</w:t>
      </w:r>
    </w:p>
    <w:p>
      <w:pPr>
        <w:ind w:left="288"/>
      </w:pPr>
      <w:r>
        <w:rPr>
          <w:color w:val="8C8C8C"/>
          <w:sz w:val="12"/>
        </w:rPr>
        <w:t>cf-art-37-inc-I</w:t>
      </w:r>
      <w:r>
        <w:rPr>
          <w:color w:val="003CA0"/>
          <w:sz w:val="12"/>
        </w:rPr>
        <w:t xml:space="preserve"> | RE 1.133.146</w:t>
      </w:r>
      <w:r>
        <w:rPr>
          <w:color w:val="003CA0"/>
          <w:sz w:val="12"/>
        </w:rPr>
        <w:t xml:space="preserve"> | rel. Luiz Fux</w:t>
      </w:r>
    </w:p>
    <w:p>
      <w:pPr>
        <w:ind w:left="288"/>
      </w:pPr>
      <w:r>
        <w:rPr>
          <w:color w:val="1E1E1E"/>
          <w:sz w:val="18"/>
        </w:rPr>
        <w:t>No caso de declaração de nulidade de exame psicotécnico previsto em lei e em edital, é indispensável a realização de nova avaliação, com critérios objetivos, para prosseguimento no certame.</w:t>
      </w:r>
    </w:p>
    <w:p>
      <w:pPr>
        <w:ind w:left="288"/>
      </w:pPr>
      <w:r>
        <w:rPr>
          <w:b/>
          <w:color w:val="003CA0"/>
          <w:sz w:val="16"/>
        </w:rPr>
        <w:t>[RE 1.133.146 RG, rel. min. Luiz Fux, j. 20-9-2018, P, DJE de 26-9-2018, Tema 1.009, com mérito julgado.]</w:t>
      </w:r>
    </w:p>
    <w:p>
      <w:pPr>
        <w:ind w:left="288"/>
      </w:pPr>
      <w:r>
        <w:rPr>
          <w:color w:val="8C8C8C"/>
          <w:sz w:val="12"/>
        </w:rPr>
        <w:t>cf-art-37-inc-I</w:t>
      </w:r>
      <w:r>
        <w:rPr>
          <w:color w:val="003CA0"/>
          <w:sz w:val="12"/>
        </w:rPr>
        <w:t xml:space="preserve"> | RE 898.450</w:t>
      </w:r>
      <w:r>
        <w:rPr>
          <w:color w:val="003CA0"/>
          <w:sz w:val="12"/>
        </w:rPr>
        <w:t xml:space="preserve"> | rel. Luiz Fux</w:t>
      </w:r>
    </w:p>
    <w:p>
      <w:pPr>
        <w:ind w:left="288"/>
      </w:pPr>
      <w:r>
        <w:rPr>
          <w:color w:val="1E1E1E"/>
          <w:sz w:val="18"/>
        </w:rPr>
        <w:t>Os requisitos do edital para o ingresso em cargo, emprego ou função pública devem ter por fundamento lei em sentido formal e material. Editais de concurso público não podem estabelecer restrição a pessoas com tatuagem, salvo situações excepcionais em razão de conteúdo que viole valores constitucionais.</w:t>
      </w:r>
    </w:p>
    <w:p>
      <w:pPr>
        <w:ind w:left="288"/>
      </w:pPr>
      <w:r>
        <w:rPr>
          <w:b/>
          <w:color w:val="003CA0"/>
          <w:sz w:val="16"/>
        </w:rPr>
        <w:t>[RE 898.450, rel. min. Luiz Fux, j. 17-8-2016, P, DJE de 31-5-2017, Tema 838, com mérito julgado.]</w:t>
      </w:r>
    </w:p>
    <w:p>
      <w:pPr>
        <w:ind w:left="288"/>
      </w:pPr>
      <w:r>
        <w:rPr>
          <w:color w:val="8C8C8C"/>
          <w:sz w:val="12"/>
        </w:rPr>
        <w:t>cf-art-37-inc-I</w:t>
      </w:r>
      <w:r>
        <w:rPr>
          <w:color w:val="003CA0"/>
          <w:sz w:val="12"/>
        </w:rPr>
        <w:t xml:space="preserve"> | AI 758.533</w:t>
      </w:r>
      <w:r>
        <w:rPr>
          <w:color w:val="003CA0"/>
          <w:sz w:val="12"/>
        </w:rPr>
        <w:t xml:space="preserve"> | rel. Gilmar Mendes</w:t>
      </w:r>
    </w:p>
    <w:p>
      <w:pPr>
        <w:ind w:left="288"/>
      </w:pPr>
      <w:r>
        <w:rPr>
          <w:color w:val="1E1E1E"/>
          <w:sz w:val="18"/>
        </w:rPr>
        <w:t>Antiga é a jurisprudência desta Corte no sentido de que a exigência de avaliação psicológica ou teste psicotécnico, como requisito ou condição necessária ao acesso a determinados cargos públicos de carreira, somente é possível, nos termos da CF, se houver lei em sentido material (ato emanado do Poder Legislativo) que expressamente a autorize, além de previsão no edital do certame. Ademais, o exame psicotécnico necessita de um grau mínimo de objetividade e de publicidade dos atos em que se procede. A inexistência desses requisitos torna o ato ilegítimo, por não possibilitar o acesso à tutela ju</w:t>
      </w:r>
    </w:p>
    <w:p>
      <w:pPr>
        <w:ind w:left="144"/>
      </w:pPr>
      <w:r>
        <w:rPr>
          <w:b/>
          <w:color w:val="B45A00"/>
          <w:sz w:val="16"/>
        </w:rPr>
        <w:t>JULGADOS CORRELATOS</w:t>
      </w:r>
    </w:p>
    <w:p>
      <w:pPr>
        <w:ind w:left="288"/>
      </w:pPr>
      <w:r>
        <w:rPr>
          <w:color w:val="8C8C8C"/>
          <w:sz w:val="12"/>
        </w:rPr>
        <w:t>cf-art-37-inc-I</w:t>
      </w:r>
      <w:r>
        <w:rPr>
          <w:color w:val="003CA0"/>
          <w:sz w:val="12"/>
        </w:rPr>
        <w:t xml:space="preserve"> | ARE 685.870</w:t>
      </w:r>
      <w:r>
        <w:rPr>
          <w:color w:val="003CA0"/>
          <w:sz w:val="12"/>
        </w:rPr>
        <w:t xml:space="preserve"> | rel. Cármen Lúcia</w:t>
      </w:r>
    </w:p>
    <w:p>
      <w:pPr>
        <w:ind w:left="288"/>
      </w:pPr>
      <w:r>
        <w:rPr>
          <w:color w:val="1E1E1E"/>
          <w:sz w:val="18"/>
        </w:rPr>
        <w:t>Concurso público. Policial civil. Limite de idade. (...) A comprovação do requisito etário estabelecido na lei deve ocorrer no momento da inscrição no certame, e não no momento da inscrição do curso de formação.</w:t>
      </w:r>
    </w:p>
    <w:p>
      <w:pPr>
        <w:ind w:left="288"/>
      </w:pPr>
      <w:r>
        <w:rPr>
          <w:b/>
          <w:color w:val="003CA0"/>
          <w:sz w:val="16"/>
        </w:rPr>
        <w:t>[ARE 685.870 AgR, rel. min. Cármen Lúcia, j. 17-12-2013, 2ª T, DJE de 12-2-2014.]</w:t>
      </w:r>
    </w:p>
    <w:p>
      <w:pPr>
        <w:ind w:left="288"/>
      </w:pPr>
      <w:r>
        <w:rPr>
          <w:color w:val="8C8C8C"/>
          <w:sz w:val="12"/>
        </w:rPr>
        <w:t>cf-art-37-inc-I</w:t>
      </w:r>
      <w:r>
        <w:rPr>
          <w:color w:val="003CA0"/>
          <w:sz w:val="12"/>
        </w:rPr>
        <w:t xml:space="preserve"> | ARE 758.596</w:t>
      </w:r>
      <w:r>
        <w:rPr>
          <w:color w:val="003CA0"/>
          <w:sz w:val="12"/>
        </w:rPr>
        <w:t xml:space="preserve"> | rel. Roberto Barroso</w:t>
      </w:r>
    </w:p>
    <w:p>
      <w:pPr>
        <w:ind w:left="288"/>
      </w:pPr>
      <w:r>
        <w:rPr>
          <w:color w:val="1E1E1E"/>
          <w:sz w:val="18"/>
        </w:rPr>
        <w:t>= ARE 758.596 AgR, rel. min. Roberto Barroso, j. 19-8-2014, 1ª T, DJE de 4-9-2014 Edital que prevê apresentação de documentos que comprove o preenchimento dos requisitos em momento posterior à nomeação e antes da posse. Candidato que não preenche determinado requisito. Não configurado o direito à posse.</w:t>
      </w:r>
    </w:p>
    <w:p>
      <w:pPr>
        <w:ind w:left="288"/>
      </w:pPr>
      <w:r>
        <w:rPr>
          <w:b/>
          <w:color w:val="003CA0"/>
          <w:sz w:val="16"/>
        </w:rPr>
        <w:t>[RE 613.376 ED, rel. min. Gilmar Mendes, j. 13-12-2011, 2ª T, DJE de 17-2-2012.]</w:t>
      </w:r>
    </w:p>
    <w:p>
      <w:pPr>
        <w:ind w:left="288"/>
      </w:pPr>
      <w:r>
        <w:rPr>
          <w:color w:val="8C8C8C"/>
          <w:sz w:val="12"/>
        </w:rPr>
        <w:t>cf-art-37-inc-I</w:t>
      </w:r>
      <w:r>
        <w:rPr>
          <w:color w:val="003CA0"/>
          <w:sz w:val="12"/>
        </w:rPr>
        <w:t xml:space="preserve"> | AI 850.638</w:t>
      </w:r>
      <w:r>
        <w:rPr>
          <w:color w:val="003CA0"/>
          <w:sz w:val="12"/>
        </w:rPr>
        <w:t xml:space="preserve"> | rel. Ricardo Lewandowski</w:t>
      </w:r>
    </w:p>
    <w:p>
      <w:pPr>
        <w:ind w:left="288"/>
      </w:pPr>
      <w:r>
        <w:rPr>
          <w:color w:val="1E1E1E"/>
          <w:sz w:val="18"/>
        </w:rPr>
        <w:t>Concurso público. Reprovação em exame médico. Necessidade de avaliação mediante critérios objetivos. (...) A jurisprudência desta Corte firmou-se no sentido de que devem estar previstos no edital os critérios objetivos do exame médico.</w:t>
      </w:r>
    </w:p>
    <w:p>
      <w:pPr>
        <w:ind w:left="288"/>
      </w:pPr>
      <w:r>
        <w:rPr>
          <w:b/>
          <w:color w:val="003CA0"/>
          <w:sz w:val="16"/>
        </w:rPr>
        <w:t>[AI 850.638 AgR, rel. min. Ricardo Lewandowski, j. 11-10-2011, 2ª T, DJE de 25-10-2011.]</w:t>
      </w:r>
    </w:p>
    <w:p>
      <w:pPr>
        <w:ind w:left="288"/>
      </w:pPr>
      <w:r>
        <w:rPr>
          <w:color w:val="8C8C8C"/>
          <w:sz w:val="12"/>
        </w:rPr>
        <w:t>cf-art-37-inc-I</w:t>
      </w:r>
      <w:r>
        <w:rPr>
          <w:color w:val="003CA0"/>
          <w:sz w:val="12"/>
        </w:rPr>
        <w:t xml:space="preserve"> | RE 346.180</w:t>
      </w:r>
      <w:r>
        <w:rPr>
          <w:color w:val="003CA0"/>
          <w:sz w:val="12"/>
        </w:rPr>
        <w:t xml:space="preserve"> | rel. Joaquim Barbosa</w:t>
      </w:r>
    </w:p>
    <w:p>
      <w:pPr>
        <w:ind w:left="288"/>
      </w:pPr>
      <w:r>
        <w:rPr>
          <w:color w:val="1E1E1E"/>
          <w:sz w:val="18"/>
        </w:rPr>
        <w:t>Cargo público efetivo. Provimento por estrangeiro. (...) Até o advento das Emendas 11/1996 e 19/1998, o núcleo essencial dos direitos atribuídos aos estrangeiros, embora certamente compreendesse as prerrogativas necessárias ao resguardo da dignidade humana, não abrangia um direito à ocupação de cargos públicos efetivos na estrutura administrativa brasileira, consoante a redação primitiva do art. 37, I, da Lei Maior. Portanto, o art. 243, § 6º, da Lei 8.112/1990 estava em consonância com a Lei Maior e permanece em vigor até que surja o diploma exigido pelo novo art. 37, I, da Constituição.</w:t>
      </w:r>
    </w:p>
    <w:p>
      <w:pPr>
        <w:ind w:left="288"/>
      </w:pPr>
      <w:r>
        <w:rPr>
          <w:b/>
          <w:color w:val="003CA0"/>
          <w:sz w:val="16"/>
        </w:rPr>
        <w:t>[RE 346.180 AgR, rel. min. Joaquim Barbosa, j. 14-6-2011, 2ª T, DJE de 1º-8-2011.]</w:t>
      </w:r>
    </w:p>
    <w:p>
      <w:pPr>
        <w:ind w:left="288"/>
      </w:pPr>
      <w:r>
        <w:rPr>
          <w:color w:val="8C8C8C"/>
          <w:sz w:val="12"/>
        </w:rPr>
        <w:t>cf-art-37-inc-I</w:t>
      </w:r>
      <w:r>
        <w:rPr>
          <w:color w:val="003CA0"/>
          <w:sz w:val="12"/>
        </w:rPr>
        <w:t xml:space="preserve"> | RE 350.626</w:t>
      </w:r>
      <w:r>
        <w:rPr>
          <w:color w:val="003CA0"/>
          <w:sz w:val="12"/>
        </w:rPr>
        <w:t xml:space="preserve"> | rel. Dias Toffoli</w:t>
      </w:r>
    </w:p>
    <w:p>
      <w:pPr>
        <w:ind w:left="288"/>
      </w:pPr>
      <w:r>
        <w:rPr>
          <w:color w:val="1E1E1E"/>
          <w:sz w:val="18"/>
        </w:rPr>
        <w:t>= RE 350.626 AgR, rel. min. Dias Toffoli, j. 16-10-2012, 1ª T, DJE de 9-11-2012 Vide RE 544.655 AgR, rel. min. Eros Grau, j. 9-9-2008, 2ª T, DJE de 10-10-2008 Estrangeiro. Acesso ao cargo de professor da rede de ensino do Estado de Roraima. Ausência de norma regulamentadora. (...) Por não ser a norma regulamentadora de que trata o art. 37, I, da Constituição do Brasil matéria reservada à competência privativa da União, deve ser de iniciativa dos Estados-membros.</w:t>
      </w:r>
    </w:p>
    <w:p>
      <w:pPr>
        <w:ind w:left="288"/>
      </w:pPr>
      <w:r>
        <w:rPr>
          <w:b/>
          <w:color w:val="003CA0"/>
          <w:sz w:val="16"/>
        </w:rPr>
        <w:t>[RE 590.663 AgR, rel. min. Eros Grau, j. 15-12-2009, 2ª T, DJE de 12-2-2010.]</w:t>
      </w:r>
    </w:p>
    <w:p>
      <w:pPr>
        <w:ind w:left="288"/>
      </w:pPr>
      <w:r>
        <w:rPr>
          <w:color w:val="8C8C8C"/>
          <w:sz w:val="12"/>
        </w:rPr>
        <w:t>cf-art-37-inc-I</w:t>
      </w:r>
      <w:r>
        <w:rPr>
          <w:color w:val="003CA0"/>
          <w:sz w:val="12"/>
        </w:rPr>
        <w:t xml:space="preserve"> | RE 544.655</w:t>
      </w:r>
      <w:r>
        <w:rPr>
          <w:color w:val="003CA0"/>
          <w:sz w:val="12"/>
        </w:rPr>
        <w:t xml:space="preserve"> | rel. Eros Grau</w:t>
      </w:r>
    </w:p>
    <w:p>
      <w:pPr>
        <w:ind w:left="288"/>
      </w:pPr>
      <w:r>
        <w:rPr>
          <w:color w:val="1E1E1E"/>
          <w:sz w:val="18"/>
        </w:rPr>
        <w:t>Vide RE 544.655 AgR, rel. min. Eros Grau, j. 9-9-2008, 2ª T, DJE de 10-10-2008 A exigência de experiência profissional prevista apenas em edital importa em ofensa constitucional.</w:t>
      </w:r>
    </w:p>
    <w:p>
      <w:pPr>
        <w:ind w:left="288"/>
      </w:pPr>
      <w:r>
        <w:rPr>
          <w:b/>
          <w:color w:val="003CA0"/>
          <w:sz w:val="16"/>
        </w:rPr>
        <w:t>[RE 558.833 AgR, rel. min. Ellen Gracie, j. 8-9-2009, 2ª T, DJE de 25-9-2009.]</w:t>
      </w:r>
    </w:p>
    <w:p>
      <w:pPr>
        <w:ind w:left="288"/>
      </w:pPr>
      <w:r>
        <w:rPr>
          <w:color w:val="8C8C8C"/>
          <w:sz w:val="12"/>
        </w:rPr>
        <w:t>cf-art-37-inc-I</w:t>
      </w:r>
      <w:r>
        <w:rPr>
          <w:color w:val="003CA0"/>
          <w:sz w:val="12"/>
        </w:rPr>
        <w:t xml:space="preserve"> | MS 26.668</w:t>
      </w:r>
      <w:r>
        <w:rPr>
          <w:color w:val="003CA0"/>
          <w:sz w:val="12"/>
        </w:rPr>
        <w:t xml:space="preserve"> | rel. Ricardo Lewandowski</w:t>
      </w:r>
    </w:p>
    <w:p>
      <w:pPr>
        <w:ind w:left="288"/>
      </w:pPr>
      <w:r>
        <w:rPr>
          <w:color w:val="1E1E1E"/>
          <w:sz w:val="18"/>
        </w:rPr>
        <w:t>Concurso público para cargo de técnico de provimento de apoio. Exigência de três anos de habilitação. Inexistência de previsão constitucional. Segurança concedida. O que importa para o cumprimento da finalidade da lei é a existência da habilitação plena no ato da posse. A exigência de habilitação para o exercício do cargo objeto do certame dar-se-á no ato da posse e não da inscrição do concurso.</w:t>
      </w:r>
    </w:p>
    <w:p>
      <w:pPr>
        <w:ind w:left="288"/>
      </w:pPr>
      <w:r>
        <w:rPr>
          <w:b/>
          <w:color w:val="003CA0"/>
          <w:sz w:val="16"/>
        </w:rPr>
        <w:t>[MS 26.668, MS 26.673 e MS 26.810, rel. min. Ricardo Lewandowski, j. 15-4-2009, P, DJE de 29-5-2009.]</w:t>
      </w:r>
    </w:p>
    <w:p>
      <w:pPr>
        <w:ind w:left="288"/>
      </w:pPr>
      <w:r>
        <w:rPr>
          <w:color w:val="8C8C8C"/>
          <w:sz w:val="12"/>
        </w:rPr>
        <w:t>cf-art-37-inc-I</w:t>
      </w:r>
      <w:r>
        <w:rPr>
          <w:color w:val="003CA0"/>
          <w:sz w:val="12"/>
        </w:rPr>
        <w:t xml:space="preserve"> | RE 544.655</w:t>
      </w:r>
      <w:r>
        <w:rPr>
          <w:color w:val="003CA0"/>
          <w:sz w:val="12"/>
        </w:rPr>
        <w:t xml:space="preserve"> | rel. Eros Grau</w:t>
      </w:r>
    </w:p>
    <w:p>
      <w:pPr>
        <w:ind w:left="288"/>
      </w:pPr>
      <w:r>
        <w:rPr>
          <w:color w:val="1E1E1E"/>
          <w:sz w:val="18"/>
        </w:rPr>
        <w:t>O STF fixou entendimento no sentido de que o art. 37, I, da Constituição do Brasil (redação após a EC 19/1998) consubstancia, relativamente ao acesso aos cargos públicos por estrangeiros, preceito constitucional dotado de eficácia limitada, dependendo de regulamentação para produzir efeitos, sendo assim, não autoaplicável.</w:t>
      </w:r>
    </w:p>
    <w:p>
      <w:pPr>
        <w:ind w:left="288"/>
      </w:pPr>
      <w:r>
        <w:rPr>
          <w:b/>
          <w:color w:val="003CA0"/>
          <w:sz w:val="16"/>
        </w:rPr>
        <w:t>[RE 544.655 AgR, rel. min. Eros Grau, j. 9-9-2008, 2ª T, DJE de 10-10-2008.]</w:t>
      </w:r>
    </w:p>
    <w:p>
      <w:pPr>
        <w:ind w:left="288"/>
      </w:pPr>
      <w:r>
        <w:rPr>
          <w:color w:val="8C8C8C"/>
          <w:sz w:val="12"/>
        </w:rPr>
        <w:t>cf-art-37-inc-I</w:t>
      </w:r>
      <w:r>
        <w:rPr>
          <w:color w:val="003CA0"/>
          <w:sz w:val="12"/>
        </w:rPr>
        <w:t xml:space="preserve"> | RE 602.912</w:t>
      </w:r>
      <w:r>
        <w:rPr>
          <w:color w:val="003CA0"/>
          <w:sz w:val="12"/>
        </w:rPr>
        <w:t xml:space="preserve"> | rel. Cármen Lúcia</w:t>
      </w:r>
    </w:p>
    <w:p>
      <w:pPr>
        <w:ind w:left="288"/>
      </w:pPr>
      <w:r>
        <w:rPr>
          <w:color w:val="1E1E1E"/>
          <w:sz w:val="18"/>
        </w:rPr>
        <w:t>= RE 602.912 AgR, rel. min. Cármen Lúcia, j. 9-11-2010, 1ª T, DJE de 2-12-2010 Vide RE 346.180 AgR, rel. min. Joaquim Barbosa, j. 14-6-2011, 2ª T, DJE de 1º-8-2011 Vide RE 590.663 AgR, rel. min. Eros Grau, j. 15-12-2009, 2ª T, DJE de 12-2-2010 CNJ. Anulação do XVIII Concurso para Ingresso na Magistratura do Estado de Rondônia. Ofensa aos princípios da moralidade e impessoalidade. Inocorrência. (...) Não é possível presumir a existência de má-fé ou a ocorrência de irregularidades pelo simples fato de duas das candidatas aprovadas terem sido assessoras de desembargadores integrantes da banca exa</w:t>
      </w:r>
    </w:p>
    <w:p>
      <w:pPr>
        <w:ind w:left="288"/>
      </w:pPr>
      <w:r>
        <w:rPr>
          <w:b/>
          <w:color w:val="003CA0"/>
          <w:sz w:val="16"/>
        </w:rPr>
        <w:t>[MS 26.700, rel. min. Ricardo Lewandowski, j. 21-5-2008, P, DJE de 27-6-2008.]</w:t>
      </w:r>
    </w:p>
    <w:p>
      <w:pPr>
        <w:ind w:left="288"/>
      </w:pPr>
      <w:r>
        <w:rPr>
          <w:color w:val="8C8C8C"/>
          <w:sz w:val="12"/>
        </w:rPr>
        <w:t>cf-art-37-inc-I</w:t>
      </w:r>
      <w:r>
        <w:rPr>
          <w:color w:val="003CA0"/>
          <w:sz w:val="12"/>
        </w:rPr>
        <w:t xml:space="preserve"> | RE 559.823</w:t>
      </w:r>
      <w:r>
        <w:rPr>
          <w:color w:val="003CA0"/>
          <w:sz w:val="12"/>
        </w:rPr>
        <w:t xml:space="preserve"> | rel. Joaquim Barbosa</w:t>
      </w:r>
    </w:p>
    <w:p>
      <w:pPr>
        <w:ind w:left="288"/>
      </w:pPr>
      <w:r>
        <w:rPr>
          <w:color w:val="1E1E1E"/>
          <w:sz w:val="18"/>
        </w:rPr>
        <w:t>A fixação do limite de idade via edital não tem o condão de suprir a exigência constitucional de que tal requisito seja estabelecido por lei.</w:t>
      </w:r>
    </w:p>
    <w:p>
      <w:pPr>
        <w:ind w:left="288"/>
      </w:pPr>
      <w:r>
        <w:rPr>
          <w:b/>
          <w:color w:val="003CA0"/>
          <w:sz w:val="16"/>
        </w:rPr>
        <w:t>[RE 559.823 AgR, rel. min. Joaquim Barbosa, j. 27-11-2007, 2ª T, DJE de 1º-2-2008.]</w:t>
      </w:r>
    </w:p>
    <w:p>
      <w:pPr>
        <w:ind w:left="288"/>
      </w:pPr>
      <w:r>
        <w:rPr>
          <w:color w:val="8C8C8C"/>
          <w:sz w:val="12"/>
        </w:rPr>
        <w:t>cf-art-37-inc-I</w:t>
      </w:r>
      <w:r>
        <w:rPr>
          <w:color w:val="003CA0"/>
          <w:sz w:val="12"/>
        </w:rPr>
        <w:t xml:space="preserve"> | ARE 667.309</w:t>
      </w:r>
      <w:r>
        <w:rPr>
          <w:color w:val="003CA0"/>
          <w:sz w:val="12"/>
        </w:rPr>
        <w:t xml:space="preserve"> | rel. Cármen Lúcia</w:t>
      </w:r>
    </w:p>
    <w:p>
      <w:pPr>
        <w:ind w:left="288"/>
      </w:pPr>
      <w:r>
        <w:rPr>
          <w:color w:val="1E1E1E"/>
          <w:sz w:val="18"/>
        </w:rPr>
        <w:t>= ARE 667.309 AgR, rel. min. Cármen Lúcia, j. 20-3-2012, 1ª T, DJE de 9-4-2012 Vide RE 523.737 AgR, rel. min. Ellen Gracie, j. 22-6-2010, 2ª T, DJE de 6-8-2010 Vide RE 558.833 AgR, rel. min. Ellen Gracie, j. 8-9-2009, 2ª T, DJE de 25-9-2009 O exame psicotécnico, especialmente quando possuir natureza eliminatória, deve revestir-se de rigor científico, submetendo-se, em sua realização, à observância de critérios técnicos que propiciem base objetiva destinada a viabilizar o controle jurisdicional da legalidade, da correção e da razoabilidade dos parâmetros norteadores da formulação e das conclusõ</w:t>
      </w:r>
    </w:p>
    <w:p>
      <w:pPr>
        <w:ind w:left="288"/>
      </w:pPr>
      <w:r>
        <w:rPr>
          <w:b/>
          <w:color w:val="003CA0"/>
          <w:sz w:val="16"/>
        </w:rPr>
        <w:t>[AI 625.617 AgR, rel. min. Celso de Mello, j. 19-6-2007, 2ª T, DJ de 3-8-2007.]</w:t>
      </w:r>
    </w:p>
    <w:p>
      <w:pPr>
        <w:ind w:left="288"/>
      </w:pPr>
      <w:r>
        <w:rPr>
          <w:color w:val="8C8C8C"/>
          <w:sz w:val="12"/>
        </w:rPr>
        <w:t>cf-art-37-inc-I</w:t>
      </w:r>
    </w:p>
    <w:p>
      <w:pPr>
        <w:ind w:left="288"/>
      </w:pPr>
      <w:r>
        <w:rPr>
          <w:color w:val="1E1E1E"/>
          <w:sz w:val="18"/>
        </w:rPr>
        <w:t>II - a investidura em cargo ou emprego público depende de aprovação prévia em concurso público de provas ou de provas e títulos, de acordo com a natureza e a complexidade do cargo ou emprego, na forma prevista em lei, ressalvadas as nomeações para cargo em comissão declarado em lei de livre nomeação e exoneração; (Redação da EC 19/1998)</w:t>
      </w:r>
    </w:p>
    <w:p>
      <w:pPr>
        <w:ind w:left="144"/>
      </w:pPr>
      <w:r>
        <w:rPr>
          <w:b/>
          <w:color w:val="B45A00"/>
          <w:sz w:val="16"/>
        </w:rPr>
        <w:t>SUMULA VINCULANTE</w:t>
      </w:r>
    </w:p>
    <w:p>
      <w:pPr>
        <w:ind w:left="288"/>
      </w:pPr>
      <w:r>
        <w:rPr>
          <w:color w:val="8C8C8C"/>
          <w:sz w:val="12"/>
        </w:rPr>
        <w:t>cf-art-37-inc-I</w:t>
      </w:r>
    </w:p>
    <w:p>
      <w:pPr>
        <w:ind w:left="288"/>
      </w:pPr>
      <w:r>
        <w:rPr>
          <w:color w:val="1E1E1E"/>
          <w:sz w:val="18"/>
        </w:rPr>
        <w:t>É inconstitucional toda modalidade de provimento que propicie ao servidor investir-se, sem prévia aprovação em concurso público destinado ao seu provimento, em cargo que não integra a carreira na qual anteriormente investido.</w:t>
      </w:r>
    </w:p>
    <w:p>
      <w:pPr>
        <w:ind w:left="288"/>
      </w:pPr>
      <w:r>
        <w:rPr>
          <w:b/>
          <w:color w:val="003CA0"/>
          <w:sz w:val="16"/>
        </w:rPr>
        <w:t>[Súmula Vinculante 43.]</w:t>
      </w:r>
    </w:p>
    <w:p>
      <w:pPr>
        <w:ind w:left="144"/>
      </w:pPr>
      <w:r>
        <w:rPr>
          <w:b/>
          <w:color w:val="B45A00"/>
          <w:sz w:val="16"/>
        </w:rPr>
        <w:t>SUMULA</w:t>
      </w:r>
    </w:p>
    <w:p>
      <w:pPr>
        <w:ind w:left="288"/>
      </w:pPr>
      <w:r>
        <w:rPr>
          <w:color w:val="8C8C8C"/>
          <w:sz w:val="12"/>
        </w:rPr>
        <w:t>cf-art-37-inc-I</w:t>
      </w:r>
    </w:p>
    <w:p>
      <w:pPr>
        <w:ind w:left="288"/>
      </w:pPr>
      <w:r>
        <w:rPr>
          <w:color w:val="1E1E1E"/>
          <w:sz w:val="18"/>
        </w:rPr>
        <w:t>É inconstitucional o veto não motivado à participação de candidato a concurso público.</w:t>
      </w:r>
    </w:p>
    <w:p>
      <w:pPr>
        <w:ind w:left="288"/>
      </w:pPr>
      <w:r>
        <w:rPr>
          <w:b/>
          <w:color w:val="003CA0"/>
          <w:sz w:val="16"/>
        </w:rPr>
        <w:t>[Súmula 684.]</w:t>
      </w:r>
    </w:p>
    <w:p>
      <w:pPr>
        <w:ind w:left="288"/>
      </w:pPr>
      <w:r>
        <w:rPr>
          <w:color w:val="8C8C8C"/>
          <w:sz w:val="12"/>
        </w:rPr>
        <w:t>cf-art-37-inc-I</w:t>
      </w:r>
    </w:p>
    <w:p>
      <w:pPr>
        <w:ind w:left="288"/>
      </w:pPr>
      <w:r>
        <w:rPr>
          <w:color w:val="1E1E1E"/>
          <w:sz w:val="18"/>
        </w:rPr>
        <w:t>A nomeação de funcionário sem concurso pode ser desfeita antes da posse.</w:t>
      </w:r>
    </w:p>
    <w:p>
      <w:pPr>
        <w:ind w:left="288"/>
      </w:pPr>
      <w:r>
        <w:rPr>
          <w:b/>
          <w:color w:val="003CA0"/>
          <w:sz w:val="16"/>
        </w:rPr>
        <w:t>[Súmula 17.]</w:t>
      </w:r>
    </w:p>
    <w:p>
      <w:pPr>
        <w:ind w:left="288"/>
      </w:pPr>
      <w:r>
        <w:rPr>
          <w:color w:val="8C8C8C"/>
          <w:sz w:val="12"/>
        </w:rPr>
        <w:t>cf-art-37-inc-I</w:t>
      </w:r>
    </w:p>
    <w:p>
      <w:pPr>
        <w:ind w:left="288"/>
      </w:pPr>
      <w:r>
        <w:rPr>
          <w:color w:val="1E1E1E"/>
          <w:sz w:val="18"/>
        </w:rPr>
        <w:t>Funcionário nomeado por concurso tem direito à posse.</w:t>
      </w:r>
    </w:p>
    <w:p>
      <w:pPr>
        <w:ind w:left="288"/>
      </w:pPr>
      <w:r>
        <w:rPr>
          <w:b/>
          <w:color w:val="003CA0"/>
          <w:sz w:val="16"/>
        </w:rPr>
        <w:t>[Súmula 16.]</w:t>
      </w:r>
    </w:p>
    <w:p>
      <w:pPr>
        <w:ind w:left="288"/>
      </w:pPr>
      <w:r>
        <w:rPr>
          <w:color w:val="8C8C8C"/>
          <w:sz w:val="12"/>
        </w:rPr>
        <w:t>cf-art-37-inc-I</w:t>
      </w:r>
    </w:p>
    <w:p>
      <w:pPr>
        <w:ind w:left="288"/>
      </w:pPr>
      <w:r>
        <w:rPr>
          <w:color w:val="1E1E1E"/>
          <w:sz w:val="18"/>
        </w:rPr>
        <w:t>Dentro do prazo de validade do concurso, o candidato aprovado tem direito à nomeação, quando o cargo for preenchido sem observância da classificação.</w:t>
      </w:r>
    </w:p>
    <w:p>
      <w:pPr>
        <w:ind w:left="288"/>
      </w:pPr>
      <w:r>
        <w:rPr>
          <w:b/>
          <w:color w:val="003CA0"/>
          <w:sz w:val="16"/>
        </w:rPr>
        <w:t>[Súmula 15.]</w:t>
      </w:r>
    </w:p>
    <w:p>
      <w:pPr>
        <w:ind w:left="288"/>
      </w:pPr>
      <w:r>
        <w:rPr>
          <w:color w:val="8C8C8C"/>
          <w:sz w:val="12"/>
        </w:rPr>
        <w:t>cf-art-37-inc-I</w:t>
      </w:r>
      <w:r>
        <w:rPr>
          <w:color w:val="003CA0"/>
          <w:sz w:val="12"/>
        </w:rPr>
        <w:t xml:space="preserve"> | ARE 1.551.254</w:t>
      </w:r>
      <w:r>
        <w:rPr>
          <w:color w:val="003CA0"/>
          <w:sz w:val="12"/>
        </w:rPr>
        <w:t xml:space="preserve"> | rel. Cristiano Zanin</w:t>
      </w:r>
    </w:p>
    <w:p>
      <w:pPr>
        <w:ind w:left="288"/>
      </w:pPr>
      <w:r>
        <w:rPr>
          <w:color w:val="1E1E1E"/>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w:t>
      </w:r>
    </w:p>
    <w:p>
      <w:pPr>
        <w:ind w:left="288"/>
      </w:pPr>
      <w:r>
        <w:rPr>
          <w:b/>
          <w:color w:val="003CA0"/>
          <w:sz w:val="16"/>
        </w:rPr>
        <w:t>[ARE 1.551.254 AgR, rel. min. Cristiano Zanin, j. 22-12-2025, P, DJE de 2-2-2026.]</w:t>
      </w:r>
    </w:p>
    <w:p>
      <w:pPr>
        <w:ind w:left="288"/>
      </w:pPr>
      <w:r>
        <w:rPr>
          <w:color w:val="8C8C8C"/>
          <w:sz w:val="12"/>
        </w:rPr>
        <w:t>cf-art-37-inc-I</w:t>
      </w:r>
      <w:r>
        <w:rPr>
          <w:color w:val="003CA0"/>
          <w:sz w:val="12"/>
        </w:rPr>
        <w:t xml:space="preserve"> | ADI 4.746</w:t>
      </w:r>
      <w:r>
        <w:rPr>
          <w:color w:val="003CA0"/>
          <w:sz w:val="12"/>
        </w:rPr>
        <w:t xml:space="preserve"> | rel. Nunes Marques</w:t>
      </w:r>
    </w:p>
    <w:p>
      <w:pPr>
        <w:ind w:left="288"/>
      </w:pPr>
      <w:r>
        <w:rPr>
          <w:color w:val="1E1E1E"/>
          <w:sz w:val="18"/>
        </w:rPr>
        <w:t>Servidor público. Gratificação de Atividade Judiciária (GAJ). Requisito: “atividades diferenciadas”. (...) Inexistência de afronta à investidura e ao concurso público: a lei estadual questionada não versa sobre o ingresso no serviço público ou investidura em cargo sem prévia aprovação em certame, razão pela qual inocorre afronta aos arts. 37, I e II, e 39, § 1º, II, da Lei Maior. Desvio de função não configurado: o desvio de função se configura pelo desempenho de atividades afetas a rol de atribuições de cargo público diverso daquele ocupado pelo servidor. A hipótese diz com o desempenho de at</w:t>
      </w:r>
    </w:p>
    <w:p>
      <w:pPr>
        <w:ind w:left="288"/>
      </w:pPr>
      <w:r>
        <w:rPr>
          <w:b/>
          <w:color w:val="003CA0"/>
          <w:sz w:val="16"/>
        </w:rPr>
        <w:t>[ADI 4.746, rel. min. Nunes Marques, red. do ac. min. Flávio Dino, j. 06.10.2025, P, DJE de 21.10.2025.]</w:t>
      </w:r>
    </w:p>
    <w:p>
      <w:pPr>
        <w:ind w:left="288"/>
      </w:pPr>
      <w:r>
        <w:rPr>
          <w:color w:val="8C8C8C"/>
          <w:sz w:val="12"/>
        </w:rPr>
        <w:t>cf-art-37-inc-I</w:t>
      </w:r>
      <w:r>
        <w:rPr>
          <w:color w:val="003CA0"/>
          <w:sz w:val="12"/>
        </w:rPr>
        <w:t xml:space="preserve"> | ADI 7.832</w:t>
      </w:r>
      <w:r>
        <w:rPr>
          <w:color w:val="003CA0"/>
          <w:sz w:val="12"/>
        </w:rPr>
        <w:t xml:space="preserve"> | rel. Flávio Dino</w:t>
      </w:r>
    </w:p>
    <w:p>
      <w:pPr>
        <w:ind w:left="288"/>
      </w:pPr>
      <w:r>
        <w:rPr>
          <w:color w:val="1E1E1E"/>
          <w:sz w:val="18"/>
        </w:rPr>
        <w:t>A orientação firmada na Súmula Vinculante nº 43/STF acomoda exceção em caso de reestruturação da Administração Pública, especialmente quando necessária a extinção de entidades ou órgãos. Revela-se possível, nesse contexto, o aproveitamento de servidores mediante novo enquadramento funcional, desde que preenchidos os requisitos de: ( i ) similitude de atribuições; (ii ) equivalência salarial; e (iii ) identidade dos requisitos exigidos em concurso público .</w:t>
      </w:r>
    </w:p>
    <w:p>
      <w:pPr>
        <w:ind w:left="288"/>
      </w:pPr>
      <w:r>
        <w:rPr>
          <w:b/>
          <w:color w:val="003CA0"/>
          <w:sz w:val="16"/>
        </w:rPr>
        <w:t>[ADI 7.832 REF-MC, rel. min. Flávio Dino, j. 25.08.2025, P, DJE de 04.09.2025.]</w:t>
      </w:r>
    </w:p>
    <w:p>
      <w:pPr>
        <w:ind w:left="144"/>
      </w:pPr>
      <w:r>
        <w:rPr>
          <w:b/>
          <w:color w:val="B45A00"/>
          <w:sz w:val="16"/>
        </w:rPr>
        <w:t>CONTROLE CONCENTRADO</w:t>
      </w:r>
    </w:p>
    <w:p>
      <w:pPr>
        <w:ind w:left="288"/>
      </w:pPr>
      <w:r>
        <w:rPr>
          <w:color w:val="8C8C8C"/>
          <w:sz w:val="12"/>
        </w:rPr>
        <w:t>cf-art-37-inc-I</w:t>
      </w:r>
      <w:r>
        <w:rPr>
          <w:color w:val="003CA0"/>
          <w:sz w:val="12"/>
        </w:rPr>
        <w:t xml:space="preserve"> | ADI 7.602</w:t>
      </w:r>
      <w:r>
        <w:rPr>
          <w:color w:val="003CA0"/>
          <w:sz w:val="12"/>
        </w:rPr>
        <w:t xml:space="preserve"> | rel. Alexandre de Moraes</w:t>
      </w:r>
    </w:p>
    <w:p>
      <w:pPr>
        <w:ind w:left="288"/>
      </w:pPr>
      <w:r>
        <w:rPr>
          <w:color w:val="1E1E1E"/>
          <w:sz w:val="18"/>
        </w:rPr>
        <w:t>“Os escreventes juramentados, detentores de vínculos trabalhistas com cartórios não oficializados e admitidos por meio de concurso público antes do advento da Lei federal 8.935/1994, não estão abrangidos pelo art. 48 dessa lei, que trata exclusivamente de escreventes estatutários, pelo que devem permanecer vinculados à legislação trabalhista, sob pena de violação ao art. 37, II, da Constituição”.</w:t>
        <w:br/>
        <w:t>[ADI 7.602, rel. min. Alexandre de Moraes, j. 12.11.2024, P, DJE de 21.11.2024.] “1. É constitucional a criação de órgão para assessoramento e consultoria jurídica de Tribunal de Contas, podendo, toda</w:t>
      </w:r>
    </w:p>
    <w:p>
      <w:pPr>
        <w:ind w:left="288"/>
      </w:pPr>
      <w:r>
        <w:rPr>
          <w:b/>
          <w:color w:val="003CA0"/>
          <w:sz w:val="16"/>
        </w:rPr>
        <w:t>[ADI 3.748, rel. min. Marco Aurélio, red. do ac. min. Dias Toffoli, j. 16.6.2023, P, DJE de 17.8.2023.]</w:t>
      </w:r>
    </w:p>
    <w:p>
      <w:pPr>
        <w:ind w:left="288"/>
      </w:pPr>
      <w:r>
        <w:rPr>
          <w:color w:val="8C8C8C"/>
          <w:sz w:val="12"/>
        </w:rPr>
        <w:t>cf-art-37-inc-I</w:t>
      </w:r>
      <w:r>
        <w:rPr>
          <w:color w:val="003CA0"/>
          <w:sz w:val="12"/>
        </w:rPr>
        <w:t xml:space="preserve"> | ADPF 573</w:t>
      </w:r>
      <w:r>
        <w:rPr>
          <w:color w:val="003CA0"/>
          <w:sz w:val="12"/>
        </w:rPr>
        <w:t xml:space="preserve"> | rel. Roberto Barroso</w:t>
      </w:r>
    </w:p>
    <w:p>
      <w:pPr>
        <w:ind w:left="288"/>
      </w:pPr>
      <w:r>
        <w:rPr>
          <w:color w:val="1E1E1E"/>
          <w:sz w:val="18"/>
        </w:rPr>
        <w:t>(...) É incompatível com a regra do concurso público (art. 37, II, CF) a transformação de servidores celetistas não concursados em estatutários, com exceção daqueles detentores da estabilidade excepcional (art. 19 do ADCT) (...).</w:t>
        <w:br/>
        <w:t>[ADPF 573, rel. min. Roberto Barroso, j. 6-3-2023, P, DJE de 9-3-2023.] A equiparação de carreira de nível médio a outra de nível superior constitui forma de provimento derivado vedada pelo art. 37, II, da CF/88.</w:t>
      </w:r>
    </w:p>
    <w:p>
      <w:pPr>
        <w:ind w:left="288"/>
      </w:pPr>
      <w:r>
        <w:rPr>
          <w:b/>
          <w:color w:val="003CA0"/>
          <w:sz w:val="16"/>
        </w:rPr>
        <w:t>[ADI 5.299, rel. min. Roberto Barroso, j. 22-2-2023, P, DJE de 8-3-2023.]</w:t>
      </w:r>
    </w:p>
    <w:p>
      <w:pPr>
        <w:ind w:left="288"/>
      </w:pPr>
      <w:r>
        <w:rPr>
          <w:color w:val="8C8C8C"/>
          <w:sz w:val="12"/>
        </w:rPr>
        <w:t>cf-art-37-inc-I</w:t>
      </w:r>
      <w:r>
        <w:rPr>
          <w:color w:val="003CA0"/>
          <w:sz w:val="12"/>
        </w:rPr>
        <w:t xml:space="preserve"> | ADI 3.918</w:t>
      </w:r>
      <w:r>
        <w:rPr>
          <w:color w:val="003CA0"/>
          <w:sz w:val="12"/>
        </w:rPr>
        <w:t xml:space="preserve"> | rel. Dias Toffoli</w:t>
      </w:r>
    </w:p>
    <w:p>
      <w:pPr>
        <w:ind w:left="288"/>
      </w:pPr>
      <w:r>
        <w:rPr>
          <w:color w:val="1E1E1E"/>
          <w:sz w:val="18"/>
        </w:rPr>
        <w:t xml:space="preserve">A noção de igualdade não se encerra em sua dimensão meramente formal, de igualdade perante a lei. Ela contempla ainda um caráter material, pelo qual se busca concretizar a justiça social e os outros objetivos fundamentais da República (art. 3º da CRFB/88). É com base nesse viés material que a lei eventualmente estabelece distinções a fim de compensar os indivíduos que se encontram em situação desprivilegiada para elevá-los ao patamar dos demais. No caso em apreço, o critério utilizado pela norma para a isenção da taxa de inscrição nos concursos públicos estaduais foi a existência da qualidade </w:t>
      </w:r>
    </w:p>
    <w:p>
      <w:pPr>
        <w:ind w:left="288"/>
      </w:pPr>
      <w:r>
        <w:rPr>
          <w:b/>
          <w:color w:val="003CA0"/>
          <w:sz w:val="16"/>
        </w:rPr>
        <w:t>[ADI 3.918, rel. min. Dias Toffoli, j. 16-5-2022, P, DJE de 9-6-2022.]</w:t>
      </w:r>
    </w:p>
    <w:p>
      <w:pPr>
        <w:ind w:left="288"/>
      </w:pPr>
      <w:r>
        <w:rPr>
          <w:color w:val="8C8C8C"/>
          <w:sz w:val="12"/>
        </w:rPr>
        <w:t>cf-art-37-inc-I</w:t>
      </w:r>
      <w:r>
        <w:rPr>
          <w:color w:val="003CA0"/>
          <w:sz w:val="12"/>
        </w:rPr>
        <w:t xml:space="preserve"> | ADI 6.669</w:t>
      </w:r>
      <w:r>
        <w:rPr>
          <w:color w:val="003CA0"/>
          <w:sz w:val="12"/>
        </w:rPr>
        <w:t xml:space="preserve"> | rel. Nunes Marques</w:t>
      </w:r>
    </w:p>
    <w:p>
      <w:pPr>
        <w:ind w:left="288"/>
      </w:pPr>
      <w:r>
        <w:rPr>
          <w:color w:val="1E1E1E"/>
          <w:sz w:val="18"/>
        </w:rPr>
        <w:t xml:space="preserve">Conforme interpretação harmônica da Constituição Federal, o meio de provimento dos cargos de Oficial Capelão é o concurso público. Não se deve vincular a indicação de cargos que, no fundo, procuram manter a liberdade religiosa, ao arbítrio do Chefe do Executivo. (...) O concurso público é a forma de ingresso no serviço público mais segura e prudente a fim de que os ocupantes do cargo de Oficial Capelão sejam livres para professar a fé na qual estão imbuídos, sem indevidas interferências que poderiam ocorrer se o provimento se desse por nomeação para cargo de confiança pelo Chefe do Executivo. </w:t>
      </w:r>
    </w:p>
    <w:p>
      <w:pPr>
        <w:ind w:left="288"/>
      </w:pPr>
      <w:r>
        <w:rPr>
          <w:b/>
          <w:color w:val="003CA0"/>
          <w:sz w:val="16"/>
        </w:rPr>
        <w:t>[ADI 6.669, rel. min. Nunes Marques, j. 11-10-2021, Plenário, DJE de 25-11-2021.]</w:t>
      </w:r>
    </w:p>
    <w:p>
      <w:pPr>
        <w:ind w:left="288"/>
      </w:pPr>
      <w:r>
        <w:rPr>
          <w:color w:val="8C8C8C"/>
          <w:sz w:val="12"/>
        </w:rPr>
        <w:t>cf-art-37-inc-I</w:t>
      </w:r>
      <w:r>
        <w:rPr>
          <w:color w:val="003CA0"/>
          <w:sz w:val="12"/>
        </w:rPr>
        <w:t xml:space="preserve"> | ADI 3.917</w:t>
      </w:r>
      <w:r>
        <w:rPr>
          <w:color w:val="003CA0"/>
          <w:sz w:val="12"/>
        </w:rPr>
        <w:t xml:space="preserve"> | rel. Gilmar Mendes</w:t>
      </w:r>
    </w:p>
    <w:p>
      <w:pPr>
        <w:ind w:left="288"/>
      </w:pPr>
      <w:r>
        <w:rPr>
          <w:color w:val="1E1E1E"/>
          <w:sz w:val="18"/>
        </w:rPr>
        <w:t>Cessão, com ou sem ônus para o órgão cessionário, de empregados de entidades integrantes dos serviços sociais autônomos e de organizações sociais que mantenham contrato de gestão com o Estado do Ceará. Constitucional (...) Inexistência de ofensa ao artigo 37, II, da Constituição Federal, uma vez que o empregado cedido exercerá cargo em confiança, de livre nomeação e exoneração, nos termos do convênio pactuado.</w:t>
      </w:r>
    </w:p>
    <w:p>
      <w:pPr>
        <w:ind w:left="288"/>
      </w:pPr>
      <w:r>
        <w:rPr>
          <w:b/>
          <w:color w:val="003CA0"/>
          <w:sz w:val="16"/>
        </w:rPr>
        <w:t>[ADI 3.917, rel. min. Gilmar Mendes, j. 3-5-2021, P, DJE de 13-5-2021.]</w:t>
      </w:r>
    </w:p>
    <w:p>
      <w:pPr>
        <w:ind w:left="288"/>
      </w:pPr>
      <w:r>
        <w:rPr>
          <w:color w:val="8C8C8C"/>
          <w:sz w:val="12"/>
        </w:rPr>
        <w:t>cf-art-37-inc-I</w:t>
      </w:r>
      <w:r>
        <w:rPr>
          <w:color w:val="003CA0"/>
          <w:sz w:val="12"/>
        </w:rPr>
        <w:t xml:space="preserve"> | ADI 5.387</w:t>
      </w:r>
      <w:r>
        <w:rPr>
          <w:color w:val="003CA0"/>
          <w:sz w:val="12"/>
        </w:rPr>
        <w:t xml:space="preserve"> | rel. Marco Aurélio</w:t>
      </w:r>
    </w:p>
    <w:p>
      <w:pPr>
        <w:ind w:left="288"/>
      </w:pPr>
      <w:r>
        <w:rPr>
          <w:color w:val="1E1E1E"/>
          <w:sz w:val="18"/>
        </w:rPr>
        <w:t>A Lei 3.869, de 19 de março de 2013, do Estado do Amazonas, por meio da qual criado o ‘Programa de Residência Jurídica – PRJ’ no âmbito da Procuradoria-Geral do Estado, dispõe sobre simples estágio visando o aperfeiçoamento de bacharéis em Direito. Previu-se a existência de aulas teóricas e atividades práticas, afastada a possibilidade de exercício de atividade privativa de procurador do Estado e outros titulares de cargos públicos da área jurídica, sendo vedado, ao estagiário, praticar atos que possam vincular a Administração Pública – artigo 7º. No artigo 8º, estabeleceu-se, pedagogicamente,</w:t>
      </w:r>
    </w:p>
    <w:p>
      <w:pPr>
        <w:ind w:left="288"/>
      </w:pPr>
      <w:r>
        <w:rPr>
          <w:b/>
          <w:color w:val="003CA0"/>
          <w:sz w:val="16"/>
        </w:rPr>
        <w:t>[ADI 5.387, voto do rel. min. Marco Aurélio, j. 17-2-2021, P, DJE de 1º-3-2021.]</w:t>
      </w:r>
    </w:p>
    <w:p>
      <w:pPr>
        <w:ind w:left="288"/>
      </w:pPr>
      <w:r>
        <w:rPr>
          <w:color w:val="8C8C8C"/>
          <w:sz w:val="12"/>
        </w:rPr>
        <w:t>cf-art-37-inc-I</w:t>
      </w:r>
      <w:r>
        <w:rPr>
          <w:color w:val="003CA0"/>
          <w:sz w:val="12"/>
        </w:rPr>
        <w:t xml:space="preserve"> | ADI 5.406</w:t>
      </w:r>
      <w:r>
        <w:rPr>
          <w:color w:val="003CA0"/>
          <w:sz w:val="12"/>
        </w:rPr>
        <w:t xml:space="preserve"> | rel. Edson Fachin</w:t>
      </w:r>
    </w:p>
    <w:p>
      <w:pPr>
        <w:ind w:left="288"/>
      </w:pPr>
      <w:r>
        <w:rPr>
          <w:color w:val="1E1E1E"/>
          <w:sz w:val="18"/>
        </w:rPr>
        <w:t>A reestruturação de cargos, fundada em evolução legislativa de aproximação e na progressiva identificação de atribuições, não viola o princípio do concurso público quando: (i) uniformidade de atribuições entre os cargos extintos e aquele no qual serão os servidores reenquadrados; (ii) identidade dos requisitos de escolaridade para ingresso no cargo público; (iii) identidade remuneratória entre o cargo criado e aqueles extintos.</w:t>
      </w:r>
    </w:p>
    <w:p>
      <w:pPr>
        <w:ind w:left="288"/>
      </w:pPr>
      <w:r>
        <w:rPr>
          <w:b/>
          <w:color w:val="003CA0"/>
          <w:sz w:val="16"/>
        </w:rPr>
        <w:t>[ADI 5.406, rel. min. Edson Fachin, j. 27-4-2020, P, DJE de 26-6-2020.]</w:t>
      </w:r>
    </w:p>
    <w:p>
      <w:pPr>
        <w:ind w:left="288"/>
      </w:pPr>
      <w:r>
        <w:rPr>
          <w:color w:val="8C8C8C"/>
          <w:sz w:val="12"/>
        </w:rPr>
        <w:t>cf-art-37-inc-I</w:t>
      </w:r>
      <w:r>
        <w:rPr>
          <w:color w:val="003CA0"/>
          <w:sz w:val="12"/>
        </w:rPr>
        <w:t xml:space="preserve"> | ADPF 482</w:t>
      </w:r>
      <w:r>
        <w:rPr>
          <w:color w:val="003CA0"/>
          <w:sz w:val="12"/>
        </w:rPr>
        <w:t xml:space="preserve"> | rel. Alexandre de Moraes</w:t>
      </w:r>
    </w:p>
    <w:p>
      <w:pPr>
        <w:ind w:left="288"/>
      </w:pPr>
      <w:r>
        <w:rPr>
          <w:color w:val="1E1E1E"/>
          <w:sz w:val="18"/>
        </w:rPr>
        <w:t>A remoção, por permuta nacional, entre membros do Ministério Público dos Estados e entre esses e membros do Ministério Público do Distrito Federal e Territórios, admitida na decisão impugnada, equivale à transferência, ou seja, forma de ingresso em carreira diversa daquela para a qual o servidor público ingressou por concurso, vedada pelo art. 37, II, da Constituição Federal e pela Súmula Vinculante 43 (...).</w:t>
      </w:r>
    </w:p>
    <w:p>
      <w:pPr>
        <w:ind w:left="288"/>
      </w:pPr>
      <w:r>
        <w:rPr>
          <w:b/>
          <w:color w:val="003CA0"/>
          <w:sz w:val="16"/>
        </w:rPr>
        <w:t>[ADPF 482, rel. min. Alexandre de Moraes, j. 3-3-2020, P, DJE de 12-3-2020.]</w:t>
      </w:r>
    </w:p>
    <w:p>
      <w:pPr>
        <w:ind w:left="288"/>
      </w:pPr>
      <w:r>
        <w:rPr>
          <w:color w:val="8C8C8C"/>
          <w:sz w:val="12"/>
        </w:rPr>
        <w:t>cf-art-37-inc-I</w:t>
      </w:r>
      <w:r>
        <w:rPr>
          <w:color w:val="003CA0"/>
          <w:sz w:val="12"/>
        </w:rPr>
        <w:t xml:space="preserve"> | ADI 2.333</w:t>
      </w:r>
      <w:r>
        <w:rPr>
          <w:color w:val="003CA0"/>
          <w:sz w:val="12"/>
        </w:rPr>
        <w:t xml:space="preserve"> | rel. Marco Aurélio</w:t>
      </w:r>
    </w:p>
    <w:p>
      <w:pPr>
        <w:ind w:left="288"/>
      </w:pPr>
      <w:r>
        <w:rPr>
          <w:color w:val="1E1E1E"/>
          <w:sz w:val="18"/>
        </w:rPr>
        <w:t>Surge constitucional ato normativo que, sem versar ascensão funcional, estabelece exigência de escolaridade para transposição de classes, prevendo transformação, ante similitude entre a função extinta e aquela que a substituiu.</w:t>
      </w:r>
    </w:p>
    <w:p>
      <w:pPr>
        <w:ind w:left="288"/>
      </w:pPr>
      <w:r>
        <w:rPr>
          <w:b/>
          <w:color w:val="003CA0"/>
          <w:sz w:val="16"/>
        </w:rPr>
        <w:t>[ADI 2.333, rel. min. Marco Aurélio, j. 10-10-2019, P, DJE de 25-10-2019.]</w:t>
      </w:r>
    </w:p>
    <w:p>
      <w:pPr>
        <w:ind w:left="288"/>
      </w:pPr>
      <w:r>
        <w:rPr>
          <w:color w:val="8C8C8C"/>
          <w:sz w:val="12"/>
        </w:rPr>
        <w:t>cf-art-37-inc-I</w:t>
      </w:r>
      <w:r>
        <w:rPr>
          <w:color w:val="003CA0"/>
          <w:sz w:val="12"/>
        </w:rPr>
        <w:t xml:space="preserve"> | ADI 2.177</w:t>
      </w:r>
      <w:r>
        <w:rPr>
          <w:color w:val="003CA0"/>
          <w:sz w:val="12"/>
        </w:rPr>
        <w:t xml:space="preserve"> | rel. Gilmar Mendes</w:t>
      </w:r>
    </w:p>
    <w:p>
      <w:pPr>
        <w:ind w:left="288"/>
      </w:pPr>
      <w:r>
        <w:rPr>
          <w:color w:val="1E1E1E"/>
          <w:sz w:val="18"/>
        </w:rPr>
        <w:t>Lei 11.289/1999, do Estado de Santa Catarina. Isenção da taxa de inscrição em concursos públicos para candidatos de baixa renda. (...) Não viola o princípio da isonomia a diferenciação entre os candidatos, para fins de pagamento da contraprestação financeira para participação no certame, com fundamento em sua renda declarada.</w:t>
      </w:r>
    </w:p>
    <w:p>
      <w:pPr>
        <w:ind w:left="288"/>
      </w:pPr>
      <w:r>
        <w:rPr>
          <w:b/>
          <w:color w:val="003CA0"/>
          <w:sz w:val="16"/>
        </w:rPr>
        <w:t>[ADI 2.177, rel. min. Gilmar Mendes, j. 4-10-2019, P, DJE de 17-10-2019.]</w:t>
      </w:r>
    </w:p>
    <w:p>
      <w:pPr>
        <w:ind w:left="288"/>
      </w:pPr>
      <w:r>
        <w:rPr>
          <w:color w:val="8C8C8C"/>
          <w:sz w:val="12"/>
        </w:rPr>
        <w:t>cf-art-37-inc-I</w:t>
      </w:r>
      <w:r>
        <w:rPr>
          <w:color w:val="003CA0"/>
          <w:sz w:val="12"/>
        </w:rPr>
        <w:t xml:space="preserve"> | ADI 2.986</w:t>
      </w:r>
      <w:r>
        <w:rPr>
          <w:color w:val="003CA0"/>
          <w:sz w:val="12"/>
        </w:rPr>
        <w:t xml:space="preserve"> | rel. Alexandre de Moraes</w:t>
      </w:r>
    </w:p>
    <w:p>
      <w:pPr>
        <w:ind w:left="288"/>
      </w:pPr>
      <w:r>
        <w:rPr>
          <w:color w:val="1E1E1E"/>
          <w:sz w:val="18"/>
        </w:rPr>
        <w:t>A primeira das hipóteses de readmissão do art. 40, caput, da Lei 10.961/1992 do Estado de Minas Gerais enuncia espécie de anistia, permitindo o retorno de servidor afastado por motivos exclusivamente políticos. Readmissão que não conflita com a Constituição Federal, sobretudo porque a lei mineira exige que o desligamento tenha sido efetuado à míngua de qualquer processo administrativo, o que não é admitido pela jurisprudência do Supremo Tribunal Federal, mesmo no que se refere a servidores não estáveis. (...) Por outro lado, a parte final do mesmo artigo 40, caput, que autoriza reintegração de</w:t>
      </w:r>
    </w:p>
    <w:p>
      <w:pPr>
        <w:ind w:left="288"/>
      </w:pPr>
      <w:r>
        <w:rPr>
          <w:b/>
          <w:color w:val="003CA0"/>
          <w:sz w:val="16"/>
        </w:rPr>
        <w:t>[ADI 2.986, rel. min. Alexandre de Moraes, j. 23-8-2019, P, DJE de 9-9-2019.]</w:t>
      </w:r>
    </w:p>
    <w:p>
      <w:pPr>
        <w:ind w:left="288"/>
      </w:pPr>
      <w:r>
        <w:rPr>
          <w:color w:val="8C8C8C"/>
          <w:sz w:val="12"/>
        </w:rPr>
        <w:t>cf-art-37-inc-I</w:t>
      </w:r>
      <w:r>
        <w:rPr>
          <w:color w:val="003CA0"/>
          <w:sz w:val="12"/>
        </w:rPr>
        <w:t xml:space="preserve"> | ADI 3.434</w:t>
      </w:r>
      <w:r>
        <w:rPr>
          <w:color w:val="003CA0"/>
          <w:sz w:val="12"/>
        </w:rPr>
        <w:t xml:space="preserve"> | rel. Roberto Barroso</w:t>
      </w:r>
    </w:p>
    <w:p>
      <w:pPr>
        <w:ind w:left="288"/>
      </w:pPr>
      <w:r>
        <w:rPr>
          <w:color w:val="1E1E1E"/>
          <w:sz w:val="18"/>
        </w:rPr>
        <w:t>Ação direta em que se discute a constitucionalidade do art. 48, caput e parágrafo único, da Lei Complementar 38/2004 do Estado do Piauí, que autoriza o aproveitamento de prestadores de serviços, com 10 (dez) ou mais anos de serviço ininterruptos comprovados ao Estado, em cargos da Administração Pública sem a devida realização de concurso público. O dispositivo impugnado cria situação vedada pelo art. 37, II, da Constituição, ao permitir o ingresso no serviço público de prestadores de serviços sem a realização de concurso público.</w:t>
      </w:r>
    </w:p>
    <w:p>
      <w:pPr>
        <w:ind w:left="288"/>
      </w:pPr>
      <w:r>
        <w:rPr>
          <w:b/>
          <w:color w:val="003CA0"/>
          <w:sz w:val="16"/>
        </w:rPr>
        <w:t>[ADI 3.434, rel. min. Roberto Barroso, j. 23-8-2019, P, DJE de 6-9-2019.]</w:t>
      </w:r>
    </w:p>
    <w:p>
      <w:pPr>
        <w:ind w:left="288"/>
      </w:pPr>
      <w:r>
        <w:rPr>
          <w:color w:val="8C8C8C"/>
          <w:sz w:val="12"/>
        </w:rPr>
        <w:t>cf-art-37-inc-I</w:t>
      </w:r>
      <w:r>
        <w:rPr>
          <w:color w:val="003CA0"/>
          <w:sz w:val="12"/>
        </w:rPr>
        <w:t xml:space="preserve"> | ADI 1.240</w:t>
      </w:r>
      <w:r>
        <w:rPr>
          <w:color w:val="003CA0"/>
          <w:sz w:val="12"/>
        </w:rPr>
        <w:t xml:space="preserve"> | rel. Cármen Lúcia</w:t>
      </w:r>
    </w:p>
    <w:p>
      <w:pPr>
        <w:ind w:left="288"/>
      </w:pPr>
      <w:r>
        <w:rPr>
          <w:color w:val="1E1E1E"/>
          <w:sz w:val="18"/>
        </w:rPr>
        <w:t>Questionamento de validade constitucional do § 1º do art. 18 (...) da Lei 8.691/1993, pela qual se dispõe sobre o plano de carreiras para a área de ciência e tecnologia da administração direta, das autarquias e das fundações públicas federais. (..) a possibilidade de ingresso imediato no último padrão da classe mais elevada do nível superior contraria os princípios da igualdade e da impessoalidade pelos quais se rege o concurso público. Declaração de inconstitucionalidade com efeitos ex nunc.</w:t>
      </w:r>
    </w:p>
    <w:p>
      <w:pPr>
        <w:ind w:left="288"/>
      </w:pPr>
      <w:r>
        <w:rPr>
          <w:b/>
          <w:color w:val="003CA0"/>
          <w:sz w:val="16"/>
        </w:rPr>
        <w:t>[ADI 1.240, rel. min. Cármen Lúcia, j. 28-2-2019, P, DJE de 28-6-2019.]</w:t>
      </w:r>
    </w:p>
    <w:p>
      <w:pPr>
        <w:ind w:left="288"/>
      </w:pPr>
      <w:r>
        <w:rPr>
          <w:color w:val="8C8C8C"/>
          <w:sz w:val="12"/>
        </w:rPr>
        <w:t>cf-art-37-inc-I</w:t>
      </w:r>
      <w:r>
        <w:rPr>
          <w:color w:val="003CA0"/>
          <w:sz w:val="12"/>
        </w:rPr>
        <w:t xml:space="preserve"> | ADI 5.776</w:t>
      </w:r>
      <w:r>
        <w:rPr>
          <w:color w:val="003CA0"/>
          <w:sz w:val="12"/>
        </w:rPr>
        <w:t xml:space="preserve"> | rel. Alexandre de Moraes</w:t>
      </w:r>
    </w:p>
    <w:p>
      <w:pPr>
        <w:ind w:left="288"/>
      </w:pPr>
      <w:r>
        <w:rPr>
          <w:color w:val="1E1E1E"/>
          <w:sz w:val="18"/>
        </w:rPr>
        <w:t>Lei Estadual 6.677/1994 do Estado da Bahia. Concurso público. Empate entre candidatos. Preferência em ordem de classificação a candidato que contar mais tempo de serviço prestado ao ente. (...) Como corolário do princípio da isonomia posto em seu art. 5º, caput, a Constituição Federal enuncia expressamente, no inciso III do art. 19, que é vedado à União, aos Estados, ao Distrito Federal e aos Municípios criar distinções entre brasileiros ou preferências entre si. O dispositivo legal impugnado tem o claro propósito de conferir tratamento mais favorável a servidores do Estado da Bahia, em detrim</w:t>
      </w:r>
    </w:p>
    <w:p>
      <w:pPr>
        <w:ind w:left="288"/>
      </w:pPr>
      <w:r>
        <w:rPr>
          <w:b/>
          <w:color w:val="003CA0"/>
          <w:sz w:val="16"/>
        </w:rPr>
        <w:t>[ADI 5.776, rel. min. Alexandre de Moraes, j. 19-12-2018, P, DJE de 3-4-2019.]</w:t>
      </w:r>
    </w:p>
    <w:p>
      <w:pPr>
        <w:ind w:left="288"/>
      </w:pPr>
      <w:r>
        <w:rPr>
          <w:color w:val="8C8C8C"/>
          <w:sz w:val="12"/>
        </w:rPr>
        <w:t>cf-art-37-inc-I</w:t>
      </w:r>
      <w:r>
        <w:rPr>
          <w:color w:val="003CA0"/>
          <w:sz w:val="12"/>
        </w:rPr>
        <w:t xml:space="preserve"> | ADI 5.044</w:t>
      </w:r>
      <w:r>
        <w:rPr>
          <w:color w:val="003CA0"/>
          <w:sz w:val="12"/>
        </w:rPr>
        <w:t xml:space="preserve"> | rel. Alexandre de Moraes</w:t>
      </w:r>
    </w:p>
    <w:p>
      <w:pPr>
        <w:ind w:left="288"/>
      </w:pPr>
      <w:r>
        <w:rPr>
          <w:color w:val="1E1E1E"/>
          <w:sz w:val="18"/>
        </w:rPr>
        <w:t xml:space="preserve">Conforme a Jurisprudência desta Suprema Corte, a adoção de requisitos de capacidade física para o acesso a cargos públicos deve observar critérios idôneos e proporcionais de seleção, que guardem correlação com as atividades a serem desempenhadas pelo servidor. A norma contida no § 2º do art. 11 da Lei Federal 7.479/1986, no que se refere aos médicos e aos capelães, é incompatível com a Constituição Federal. Com relação ao restante da carreira de bombeiro-militar, não há ofensa aos princípios constitucionais da impessoalidade, da moralidade, da eficiência ou da proporcionalidade. Os limites de </w:t>
      </w:r>
    </w:p>
    <w:p>
      <w:pPr>
        <w:ind w:left="288"/>
      </w:pPr>
      <w:r>
        <w:rPr>
          <w:b/>
          <w:color w:val="003CA0"/>
          <w:sz w:val="16"/>
        </w:rPr>
        <w:t>[ADI 5.044, rel. min. Alexandre de Moraes, j. 11-10-2018, P, DJE de 27-6-2019.]</w:t>
      </w:r>
    </w:p>
    <w:p>
      <w:pPr>
        <w:ind w:left="288"/>
      </w:pPr>
      <w:r>
        <w:rPr>
          <w:color w:val="8C8C8C"/>
          <w:sz w:val="12"/>
        </w:rPr>
        <w:t>cf-art-37-inc-I</w:t>
      </w:r>
      <w:r>
        <w:rPr>
          <w:color w:val="003CA0"/>
          <w:sz w:val="12"/>
        </w:rPr>
        <w:t xml:space="preserve"> | ADC 41</w:t>
      </w:r>
      <w:r>
        <w:rPr>
          <w:color w:val="003CA0"/>
          <w:sz w:val="12"/>
        </w:rPr>
        <w:t xml:space="preserve"> | rel. Roberto Barroso</w:t>
      </w:r>
    </w:p>
    <w:p>
      <w:pPr>
        <w:ind w:left="288"/>
      </w:pPr>
      <w:r>
        <w:rPr>
          <w:color w:val="1E1E1E"/>
          <w:sz w:val="18"/>
        </w:rPr>
        <w:t>As Forças Armadas integram a administração pública federal, de modo que a vagas oferecidas nos concursos por elas promovidos sujeitam-se à política de cotas prevista na Lei 12.990/2014.</w:t>
      </w:r>
    </w:p>
    <w:p>
      <w:pPr>
        <w:ind w:left="288"/>
      </w:pPr>
      <w:r>
        <w:rPr>
          <w:b/>
          <w:color w:val="003CA0"/>
          <w:sz w:val="16"/>
        </w:rPr>
        <w:t>[ADC 41 ED, rel. min. Roberto Barroso, j. 12-4-2018, P, DJE de 7-5-2018.]</w:t>
      </w:r>
    </w:p>
    <w:p>
      <w:pPr>
        <w:ind w:left="288"/>
      </w:pPr>
      <w:r>
        <w:rPr>
          <w:color w:val="8C8C8C"/>
          <w:sz w:val="12"/>
        </w:rPr>
        <w:t>cf-art-37-inc-I</w:t>
      </w:r>
      <w:r>
        <w:rPr>
          <w:color w:val="003CA0"/>
          <w:sz w:val="12"/>
        </w:rPr>
        <w:t xml:space="preserve"> | ADI 5.035</w:t>
      </w:r>
    </w:p>
    <w:p>
      <w:pPr>
        <w:ind w:left="288"/>
      </w:pPr>
      <w:r>
        <w:rPr>
          <w:color w:val="1E1E1E"/>
          <w:sz w:val="18"/>
        </w:rPr>
        <w:t>Programa Mais Médicos. Conversão da Medida Provisória 621/2013 na Lei 12.871/13. Relevância e urgência configuradas pela carência de profissonais médicos em diversas regiões do país. (...) A Constituição obriga o Estado brasileiro a perseguir um modelo de atenção à saúde capaz de oferecer acesso universal ao melhor e mais diversificado elenco de ações e serviços de saúde que possa ser custeado para todos, igualmente, e para cada um, isoladamente, quando circunstâncias extraordinárias assim o exigirem. (...) Inocorrência de tratamento desigual em face das diferentes formas de recrutamento. Inex</w:t>
      </w:r>
    </w:p>
    <w:p>
      <w:pPr>
        <w:ind w:left="288"/>
      </w:pPr>
      <w:r>
        <w:rPr>
          <w:b/>
          <w:color w:val="003CA0"/>
          <w:sz w:val="16"/>
        </w:rPr>
        <w:t>[ADI 5.035, red. do ac. min. Alexandre de Moraes, j. 30-11-2017, P, DJE de 29-7-2020.]</w:t>
      </w:r>
    </w:p>
    <w:p>
      <w:pPr>
        <w:ind w:left="288"/>
      </w:pPr>
      <w:r>
        <w:rPr>
          <w:color w:val="8C8C8C"/>
          <w:sz w:val="12"/>
        </w:rPr>
        <w:t>cf-art-37-inc-I</w:t>
      </w:r>
      <w:r>
        <w:rPr>
          <w:color w:val="003CA0"/>
          <w:sz w:val="12"/>
        </w:rPr>
        <w:t xml:space="preserve"> | ADI 1.949</w:t>
      </w:r>
      <w:r>
        <w:rPr>
          <w:color w:val="003CA0"/>
          <w:sz w:val="12"/>
        </w:rPr>
        <w:t xml:space="preserve"> | rel. Dias Toffoli</w:t>
      </w:r>
    </w:p>
    <w:p>
      <w:pPr>
        <w:ind w:left="288"/>
      </w:pPr>
      <w:r>
        <w:rPr>
          <w:color w:val="1E1E1E"/>
          <w:sz w:val="18"/>
        </w:rPr>
        <w:t xml:space="preserve">A natureza da investidura a termo no cargo de dirigente de agência reguladora, bem como a incompatibilidade da demissão ad nutum com esse regime, haja vista que o art. 7º da legislação gaúcha prevê o mandato de quatro anos para o conselheiro da agência, exigem a fixação de balizas precisas quanto às hipóteses de demissibilidade dos dirigentes dessas entidades. Em razão do vácuo normativo resultante da inconstitucionalidade do art. 8º da Lei estadual 10.931/1997 e tendo em vista que o diploma legal não prevê qualquer outro procedimento ou garantia contra a exoneração imotivada dos conselheiros </w:t>
      </w:r>
    </w:p>
    <w:p>
      <w:pPr>
        <w:ind w:left="288"/>
      </w:pPr>
      <w:r>
        <w:rPr>
          <w:b/>
          <w:color w:val="003CA0"/>
          <w:sz w:val="16"/>
        </w:rPr>
        <w:t>[ADI 1.949, rel. min. Dias Toffoli, j. 17-9-2014, P, DJE de 14-11-2014.]</w:t>
      </w:r>
    </w:p>
    <w:p>
      <w:pPr>
        <w:ind w:left="288"/>
      </w:pPr>
      <w:r>
        <w:rPr>
          <w:color w:val="8C8C8C"/>
          <w:sz w:val="12"/>
        </w:rPr>
        <w:t>cf-art-37-inc-I</w:t>
      </w:r>
      <w:r>
        <w:rPr>
          <w:color w:val="003CA0"/>
          <w:sz w:val="12"/>
        </w:rPr>
        <w:t xml:space="preserve"> | ADI 4.303</w:t>
      </w:r>
      <w:r>
        <w:rPr>
          <w:color w:val="003CA0"/>
          <w:sz w:val="12"/>
        </w:rPr>
        <w:t xml:space="preserve"> | rel. Cármen Lúcia</w:t>
      </w:r>
    </w:p>
    <w:p>
      <w:pPr>
        <w:ind w:left="288"/>
      </w:pPr>
      <w:r>
        <w:rPr>
          <w:color w:val="1E1E1E"/>
          <w:sz w:val="18"/>
        </w:rPr>
        <w:t xml:space="preserve">A reestruturação convergente de carreiras análogas não contraria o art. 37, II, da Constituição da República. Logo, a LC potiguar 372/2008, ao manter exatamente a mesma estrutura de cargos e atribuições, é constitucional. A norma questionada autoriza a possibilidade de serem equiparadas as remunerações dos servidores auxiliares técnicos e assistentes em administração judiciária, aprovados em concurso público para o qual se exigiu diploma de nível médio, ao sistema remuneratório dos servidores aprovados em concurso para cargo de nível superior. (...) Servidores que ocupam os mesmos cargos, com </w:t>
      </w:r>
    </w:p>
    <w:p>
      <w:pPr>
        <w:ind w:left="288"/>
      </w:pPr>
      <w:r>
        <w:rPr>
          <w:b/>
          <w:color w:val="003CA0"/>
          <w:sz w:val="16"/>
        </w:rPr>
        <w:t>[ADI 4.303, rel. min. Cármen Lúcia, j. 5-2-2014, P, DJE de 28-8-2014.]</w:t>
      </w:r>
    </w:p>
    <w:p>
      <w:pPr>
        <w:ind w:left="288"/>
      </w:pPr>
      <w:r>
        <w:rPr>
          <w:color w:val="8C8C8C"/>
          <w:sz w:val="12"/>
        </w:rPr>
        <w:t>cf-art-37-inc-I</w:t>
      </w:r>
      <w:r>
        <w:rPr>
          <w:color w:val="003CA0"/>
          <w:sz w:val="12"/>
        </w:rPr>
        <w:t xml:space="preserve"> | ADI 917</w:t>
      </w:r>
    </w:p>
    <w:p>
      <w:pPr>
        <w:ind w:left="288"/>
      </w:pPr>
      <w:r>
        <w:rPr>
          <w:color w:val="1E1E1E"/>
          <w:sz w:val="18"/>
        </w:rPr>
        <w:t>A Lei 10.961/1992 do Estado de Minas Gerais autoriza que cargos sujeitos a preenchimento por concurso público sejam providos por "acesso", ficando preferencialmente destinados a categoria de pretendentes que já possui vínculo com a administração estadual. Com tal destinação, o instituto do acesso é, portanto, incompatível com o princípio da ampla acessibilidade, preconizado pelo art. 37, II, da Constituição.</w:t>
      </w:r>
    </w:p>
    <w:p>
      <w:pPr>
        <w:ind w:left="288"/>
      </w:pPr>
      <w:r>
        <w:rPr>
          <w:b/>
          <w:color w:val="003CA0"/>
          <w:sz w:val="16"/>
        </w:rPr>
        <w:t>[ADI 917, red. do ac. min. Teori Zavascki, j. 6-11-2013, P, DJE de 30-10-2014.]</w:t>
      </w:r>
    </w:p>
    <w:p>
      <w:pPr>
        <w:ind w:left="288"/>
      </w:pPr>
      <w:r>
        <w:rPr>
          <w:color w:val="8C8C8C"/>
          <w:sz w:val="12"/>
        </w:rPr>
        <w:t>cf-art-37-inc-I</w:t>
      </w:r>
      <w:r>
        <w:rPr>
          <w:color w:val="003CA0"/>
          <w:sz w:val="12"/>
        </w:rPr>
        <w:t xml:space="preserve"> | ADI 2.113</w:t>
      </w:r>
      <w:r>
        <w:rPr>
          <w:color w:val="003CA0"/>
          <w:sz w:val="12"/>
        </w:rPr>
        <w:t xml:space="preserve"> | rel. Cármen Lúcia</w:t>
      </w:r>
    </w:p>
    <w:p>
      <w:pPr>
        <w:ind w:left="288"/>
      </w:pPr>
      <w:r>
        <w:rPr>
          <w:color w:val="1E1E1E"/>
          <w:sz w:val="18"/>
        </w:rPr>
        <w:t>Criação de quadro de assistente jurídico de estabelecimento penitenciário e sua inserção na estrutura organizacional de secretaria de estado. (...) A investidura permanente na função pública de assistente penitenciário, por parte de servidores que já exercem cargos ou funções no Poder Executivo mineiro, afronta os arts. 5º, caput, e 37,  I e II, da Constituição da República.</w:t>
      </w:r>
    </w:p>
    <w:p>
      <w:pPr>
        <w:ind w:left="288"/>
      </w:pPr>
      <w:r>
        <w:rPr>
          <w:b/>
          <w:color w:val="003CA0"/>
          <w:sz w:val="16"/>
        </w:rPr>
        <w:t>[ADI 2.113, rel. min. Cármen Lúcia, j. 4-3-2009, P, DJE de 21-8-2009.]</w:t>
      </w:r>
    </w:p>
    <w:p>
      <w:pPr>
        <w:ind w:left="288"/>
      </w:pPr>
      <w:r>
        <w:rPr>
          <w:color w:val="8C8C8C"/>
          <w:sz w:val="12"/>
        </w:rPr>
        <w:t>cf-art-37-inc-I</w:t>
      </w:r>
      <w:r>
        <w:rPr>
          <w:color w:val="003CA0"/>
          <w:sz w:val="12"/>
        </w:rPr>
        <w:t xml:space="preserve"> | ADI 3.857</w:t>
      </w:r>
      <w:r>
        <w:rPr>
          <w:color w:val="003CA0"/>
          <w:sz w:val="12"/>
        </w:rPr>
        <w:t xml:space="preserve"> | rel. Ricardo Lewandowski</w:t>
      </w:r>
    </w:p>
    <w:p>
      <w:pPr>
        <w:ind w:left="288"/>
      </w:pPr>
      <w:r>
        <w:rPr>
          <w:color w:val="1E1E1E"/>
          <w:sz w:val="18"/>
        </w:rPr>
        <w:t>Provimento derivado de cargos. (...) Dispositivos legais impugnados que afrontam o comando do art. 37, II, da CF, o qual exige a realização de concurso público para provimento de cargos na administração estatal. Embora sob o rótulo de reestruturação da carreira na Secretaria da Fazenda, procedeu-se, na realidade, à instituição de cargos públicos, cujo provimento deve obedecer aos ditames constitucionais.</w:t>
      </w:r>
    </w:p>
    <w:p>
      <w:pPr>
        <w:ind w:left="288"/>
      </w:pPr>
      <w:r>
        <w:rPr>
          <w:b/>
          <w:color w:val="003CA0"/>
          <w:sz w:val="16"/>
        </w:rPr>
        <w:t>[ADI 3.857, rel. min. Ricardo Lewandowski, j. 18-12-2008, P, DJE de 27-2-2009.]</w:t>
      </w:r>
    </w:p>
    <w:p>
      <w:pPr>
        <w:ind w:left="288"/>
      </w:pPr>
      <w:r>
        <w:rPr>
          <w:color w:val="8C8C8C"/>
          <w:sz w:val="12"/>
        </w:rPr>
        <w:t>cf-art-37-inc-I</w:t>
      </w:r>
      <w:r>
        <w:rPr>
          <w:color w:val="003CA0"/>
          <w:sz w:val="12"/>
        </w:rPr>
        <w:t xml:space="preserve"> | ADI 980</w:t>
      </w:r>
      <w:r>
        <w:rPr>
          <w:color w:val="003CA0"/>
          <w:sz w:val="12"/>
        </w:rPr>
        <w:t xml:space="preserve"> | rel. Menezes Direito</w:t>
      </w:r>
    </w:p>
    <w:p>
      <w:pPr>
        <w:ind w:left="288"/>
      </w:pPr>
      <w:r>
        <w:rPr>
          <w:color w:val="1E1E1E"/>
          <w:sz w:val="18"/>
        </w:rPr>
        <w:t>É inconstitucional a lei que autoriza o sistema de opção ou de aproveitamento de servidores federais, estaduais e municipais sem que seja cumprida a exigência de concurso público.</w:t>
      </w:r>
    </w:p>
    <w:p>
      <w:pPr>
        <w:ind w:left="288"/>
      </w:pPr>
      <w:r>
        <w:rPr>
          <w:b/>
          <w:color w:val="003CA0"/>
          <w:sz w:val="16"/>
        </w:rPr>
        <w:t>[ADI 980, rel. min. Menezes Direito, j. 6-3-2008, P, DJE de 1º-8-2008.]</w:t>
      </w:r>
    </w:p>
    <w:p>
      <w:pPr>
        <w:ind w:left="288"/>
      </w:pPr>
      <w:r>
        <w:rPr>
          <w:color w:val="8C8C8C"/>
          <w:sz w:val="12"/>
        </w:rPr>
        <w:t>cf-art-37-inc-I</w:t>
      </w:r>
      <w:r>
        <w:rPr>
          <w:color w:val="003CA0"/>
          <w:sz w:val="12"/>
        </w:rPr>
        <w:t xml:space="preserve"> | ADI 3.552</w:t>
      </w:r>
      <w:r>
        <w:rPr>
          <w:color w:val="003CA0"/>
          <w:sz w:val="12"/>
        </w:rPr>
        <w:t xml:space="preserve"> | rel. Roberto Barroso</w:t>
      </w:r>
    </w:p>
    <w:p>
      <w:pPr>
        <w:ind w:left="288"/>
      </w:pPr>
      <w:r>
        <w:rPr>
          <w:color w:val="1E1E1E"/>
          <w:sz w:val="18"/>
        </w:rPr>
        <w:t>= ADI 3.552, rel. min. Roberto Barroso, j. 17-3-2016, P, DJE de 14-4-2016 Segundo precedente do STF (ADI 789/DF), os procuradores das cortes de contas são ligados administrativamente a elas, sem qualquer vínculo com o Ministério Público comum. Além de violar os arts. 73, § 2º,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pPr>
        <w:ind w:left="288"/>
      </w:pPr>
      <w:r>
        <w:rPr>
          <w:b/>
          <w:color w:val="003CA0"/>
          <w:sz w:val="16"/>
        </w:rPr>
        <w:t>[ADI 3.315, rel. min. Ricardo Lewandowski, j. 6-3-2008, P, DJE de 11-4-2008.]</w:t>
      </w:r>
    </w:p>
    <w:p>
      <w:pPr>
        <w:ind w:left="288"/>
      </w:pPr>
      <w:r>
        <w:rPr>
          <w:color w:val="8C8C8C"/>
          <w:sz w:val="12"/>
        </w:rPr>
        <w:t>cf-art-37-inc-I</w:t>
      </w:r>
      <w:r>
        <w:rPr>
          <w:color w:val="003CA0"/>
          <w:sz w:val="12"/>
        </w:rPr>
        <w:t xml:space="preserve"> | ADI 2.620</w:t>
      </w:r>
      <w:r>
        <w:rPr>
          <w:color w:val="003CA0"/>
          <w:sz w:val="12"/>
        </w:rPr>
        <w:t xml:space="preserve"> | rel. Eros Grau</w:t>
      </w:r>
    </w:p>
    <w:p>
      <w:pPr>
        <w:ind w:left="288"/>
      </w:pPr>
      <w:r>
        <w:rPr>
          <w:color w:val="1E1E1E"/>
          <w:sz w:val="18"/>
        </w:rPr>
        <w:t>Não guarda consonância com o texto da Constituição do Brasil o preceito que dispõe sobre a possibilidade de "reinclusão" do servidor que se desligou voluntariamente do serviço público. O fato de o militar licenciado ser considerado "adido especial" não autoriza seu retorno à corporação. O licenciamento consubstancia autêntico desligamento do serviço público. O licenciado não manterá mais qualquer vínculo com a administração. O licenciamento voluntário não se confunde o retorno do militar reformado ao serviço em decorrência da cessação da incapacidade que determinou sua reforma. O regresso do e</w:t>
      </w:r>
    </w:p>
    <w:p>
      <w:pPr>
        <w:ind w:left="288"/>
      </w:pPr>
      <w:r>
        <w:rPr>
          <w:b/>
          <w:color w:val="003CA0"/>
          <w:sz w:val="16"/>
        </w:rPr>
        <w:t>[ADI 2.620, rel. min. Eros Grau, j. 29-11-2007, P, DJE de 16-5-2008.]</w:t>
      </w:r>
    </w:p>
    <w:p>
      <w:pPr>
        <w:ind w:left="288"/>
      </w:pPr>
      <w:r>
        <w:rPr>
          <w:color w:val="8C8C8C"/>
          <w:sz w:val="12"/>
        </w:rPr>
        <w:t>cf-art-37-inc-I</w:t>
      </w:r>
      <w:r>
        <w:rPr>
          <w:color w:val="003CA0"/>
          <w:sz w:val="12"/>
        </w:rPr>
        <w:t xml:space="preserve"> | ADI 3.819</w:t>
      </w:r>
      <w:r>
        <w:rPr>
          <w:color w:val="003CA0"/>
          <w:sz w:val="12"/>
        </w:rPr>
        <w:t xml:space="preserve"> | rel. Eros Grau</w:t>
      </w:r>
    </w:p>
    <w:p>
      <w:pPr>
        <w:ind w:left="288"/>
      </w:pPr>
      <w:r>
        <w:rPr>
          <w:color w:val="1E1E1E"/>
          <w:sz w:val="18"/>
        </w:rPr>
        <w:t xml:space="preserve">Afronta ao disposto no art. 37, II, e art. 134, § 1º, da Constituição do Brasil. (...) Servidores estaduais integrados na carreira de defensor público estadual, recebendo a remuneração própria do cargo de defensor público de primeira classe, sem o prévio concurso público. Servidores investidos na função de defensor público, sem especificação do modo como se deu a sua investidura, e ocupantes dos cargos de assistente jurídico de penitenciária e de analista de justiça. A exigência de concurso público como regra para o acesso aos cargos, empregos e funções públicas confere concreção ao princípio </w:t>
      </w:r>
    </w:p>
    <w:p>
      <w:pPr>
        <w:ind w:left="288"/>
      </w:pPr>
      <w:r>
        <w:rPr>
          <w:b/>
          <w:color w:val="003CA0"/>
          <w:sz w:val="16"/>
        </w:rPr>
        <w:t>[ADI 3.819, rel. min. Eros Grau, j. 24-10-2007, P, DJE de 28-3-2008.]</w:t>
      </w:r>
    </w:p>
    <w:p>
      <w:pPr>
        <w:ind w:left="288"/>
      </w:pPr>
      <w:r>
        <w:rPr>
          <w:color w:val="8C8C8C"/>
          <w:sz w:val="12"/>
        </w:rPr>
        <w:t>cf-art-37-inc-I</w:t>
      </w:r>
      <w:r>
        <w:rPr>
          <w:color w:val="003CA0"/>
          <w:sz w:val="12"/>
        </w:rPr>
        <w:t xml:space="preserve"> | RCL 16.950</w:t>
      </w:r>
      <w:r>
        <w:rPr>
          <w:color w:val="003CA0"/>
          <w:sz w:val="12"/>
        </w:rPr>
        <w:t xml:space="preserve"> | rel. Cármen Lúcia</w:t>
      </w:r>
    </w:p>
    <w:p>
      <w:pPr>
        <w:ind w:left="288"/>
      </w:pPr>
      <w:r>
        <w:rPr>
          <w:color w:val="1E1E1E"/>
          <w:sz w:val="18"/>
        </w:rPr>
        <w:t>= Rcl 16.950, rel. min. Cármen Lúcia, j. 1º-12-2015, 2ª T, DJE de 18-12-2015 Violação ao art. 37, II e V, da Constituição. Os cargos em comissão criados pela Lei 1.939/1998 do Estado de Mato Grosso do Sul possuem atribuições meramente técnicas e que, portanto, não possuem o caráter de assessoramento, chefia ou direção exigido para tais cargos, nos termos do art. 37, V, da CF. Ação julgada procedente.</w:t>
      </w:r>
    </w:p>
    <w:p>
      <w:pPr>
        <w:ind w:left="288"/>
      </w:pPr>
      <w:r>
        <w:rPr>
          <w:b/>
          <w:color w:val="003CA0"/>
          <w:sz w:val="16"/>
        </w:rPr>
        <w:t>[ADI 3.706, rel. min. Gilmar Mendes, j. 15-08-2007, P, DJ de 5-10-2007.]</w:t>
      </w:r>
    </w:p>
    <w:p>
      <w:pPr>
        <w:ind w:left="288"/>
      </w:pPr>
      <w:r>
        <w:rPr>
          <w:color w:val="8C8C8C"/>
          <w:sz w:val="12"/>
        </w:rPr>
        <w:t>cf-art-37-inc-I</w:t>
      </w:r>
      <w:r>
        <w:rPr>
          <w:color w:val="003CA0"/>
          <w:sz w:val="12"/>
        </w:rPr>
        <w:t xml:space="preserve"> | AI 309.399</w:t>
      </w:r>
      <w:r>
        <w:rPr>
          <w:color w:val="003CA0"/>
          <w:sz w:val="12"/>
        </w:rPr>
        <w:t xml:space="preserve"> | rel. Dias Toffoli</w:t>
      </w:r>
    </w:p>
    <w:p>
      <w:pPr>
        <w:ind w:left="288"/>
      </w:pPr>
      <w:r>
        <w:rPr>
          <w:color w:val="1E1E1E"/>
          <w:sz w:val="18"/>
        </w:rPr>
        <w:t>= AI 309.399 AgR, rel. min. Dias Toffoli, j. 20-3-2012, 1ª T, DJE de 23-4-2012 O concurso público pressupõe o tratamento igualitário dos candidatos, discrepando da ordem jurídico-constitucional a previsão de vantagens quanto a certos cidadãos que venham prestando serviços à administração pública.</w:t>
      </w:r>
    </w:p>
    <w:p>
      <w:pPr>
        <w:ind w:left="288"/>
      </w:pPr>
      <w:r>
        <w:rPr>
          <w:b/>
          <w:color w:val="003CA0"/>
          <w:sz w:val="16"/>
        </w:rPr>
        <w:t>[ADI 2.949, red. do ac. min. Marco Aurélio, j. 26-9-2007, P, DJE de 28-5-2015.]</w:t>
      </w:r>
    </w:p>
    <w:p>
      <w:pPr>
        <w:ind w:left="288"/>
      </w:pPr>
      <w:r>
        <w:rPr>
          <w:color w:val="8C8C8C"/>
          <w:sz w:val="12"/>
        </w:rPr>
        <w:t>cf-art-37-inc-I</w:t>
      </w:r>
      <w:r>
        <w:rPr>
          <w:color w:val="003CA0"/>
          <w:sz w:val="12"/>
        </w:rPr>
        <w:t xml:space="preserve"> | ADI 3.233</w:t>
      </w:r>
      <w:r>
        <w:rPr>
          <w:color w:val="003CA0"/>
          <w:sz w:val="12"/>
        </w:rPr>
        <w:t xml:space="preserve"> | rel. Joaquim Barbosa</w:t>
      </w:r>
    </w:p>
    <w:p>
      <w:pPr>
        <w:ind w:left="288"/>
      </w:pPr>
      <w:r>
        <w:rPr>
          <w:color w:val="1E1E1E"/>
          <w:sz w:val="18"/>
        </w:rPr>
        <w:t>Ofende o disposto no art. 37, II, da CF norma que cria cargos em comissão cujas atribuições não se harmonizam com o princípio da livre nomeação e exoneração, que informa a investidura em comissão. Necessidade de demonstração efetiva, pelo legislador estadual, da adequação da norma aos fins pretendidos, de modo a justificar a exceção à regra do concurso público para a investidura em cargo público.</w:t>
      </w:r>
    </w:p>
    <w:p>
      <w:pPr>
        <w:ind w:left="288"/>
      </w:pPr>
      <w:r>
        <w:rPr>
          <w:b/>
          <w:color w:val="003CA0"/>
          <w:sz w:val="16"/>
        </w:rPr>
        <w:t>[ADI 3.233, rel. min. Joaquim Barbosa, j. 10-5-2007, P, DJ de 14-9-2007.]</w:t>
      </w:r>
    </w:p>
    <w:p>
      <w:pPr>
        <w:ind w:left="288"/>
      </w:pPr>
      <w:r>
        <w:rPr>
          <w:color w:val="8C8C8C"/>
          <w:sz w:val="12"/>
        </w:rPr>
        <w:t>cf-art-37-inc-I</w:t>
      </w:r>
      <w:r>
        <w:rPr>
          <w:color w:val="003CA0"/>
          <w:sz w:val="12"/>
        </w:rPr>
        <w:t xml:space="preserve"> | ADI 2.689</w:t>
      </w:r>
      <w:r>
        <w:rPr>
          <w:color w:val="003CA0"/>
          <w:sz w:val="12"/>
        </w:rPr>
        <w:t xml:space="preserve"> | rel. Ellen Gracie</w:t>
      </w:r>
    </w:p>
    <w:p>
      <w:pPr>
        <w:ind w:left="288"/>
      </w:pPr>
      <w:r>
        <w:rPr>
          <w:color w:val="1E1E1E"/>
          <w:sz w:val="18"/>
        </w:rPr>
        <w:t>O STF firmou sólida jurisprudência no sentido de que o art. 37, II, da CF rejeita qualquer burla à exigência de concurso público. Há diversos precedentes em que a tônica é a absoluta impossibilidade de se afastar esse critério de seleção dos quadros do serviço público (cf. ADI 2.689, rel. min. Ellen Gracie, Pleno, j. 9-10-2003; ADI 1.350 MC, rel. min. Celso de Mello, Pleno, j. 27-9-1995; ADI 980 MC, rel. min. Celso de Mello, Pleno, j. 3-2-1994); ADI 951, rel. min. Joaquim Barbosa, Pleno, j. 18-11-2004), até mesmo restringindo possíveis ampliações indevidas de exceções contidas na própria Const</w:t>
      </w:r>
    </w:p>
    <w:p>
      <w:pPr>
        <w:ind w:left="288"/>
      </w:pPr>
      <w:r>
        <w:rPr>
          <w:b/>
          <w:color w:val="003CA0"/>
          <w:sz w:val="16"/>
        </w:rPr>
        <w:t>[ADI 3.434 MC, voto do rel. min. Joaquim Barbosa, j. 23-8-2006, P, DJ de 28-9-2007.]</w:t>
        <w:br/>
        <w:t>= RE 635.206 AgR-AgR-AgR, rel. min. Roberto Barroso, j. 17-2-2017, 1ª T, DJE de 17-3-2017.</w:t>
        <w:br/>
        <w:t>Vide ADI 336, rel. min. Eros Grau, j. 10-2-2010, P, DJE de 17-9-2010</w:t>
      </w:r>
    </w:p>
    <w:p>
      <w:pPr>
        <w:ind w:left="288"/>
      </w:pPr>
      <w:r>
        <w:rPr>
          <w:color w:val="8C8C8C"/>
          <w:sz w:val="12"/>
        </w:rPr>
        <w:t>cf-art-37-inc-I</w:t>
      </w:r>
      <w:r>
        <w:rPr>
          <w:color w:val="003CA0"/>
          <w:sz w:val="12"/>
        </w:rPr>
        <w:t xml:space="preserve"> | ADI 3.026</w:t>
      </w:r>
      <w:r>
        <w:rPr>
          <w:color w:val="003CA0"/>
          <w:sz w:val="12"/>
        </w:rPr>
        <w:t xml:space="preserve"> | rel. Eros Grau</w:t>
      </w:r>
    </w:p>
    <w:p>
      <w:pPr>
        <w:ind w:left="288"/>
      </w:pPr>
      <w:r>
        <w:rPr>
          <w:color w:val="1E1E1E"/>
          <w:sz w:val="18"/>
        </w:rPr>
        <w:t>Não procede a alegação de que a OAB sujeita-se aos ditames impostos à administração pública direta e indireta. A OAB não é uma entidade da administração indireta da União. A Ordem é um serviço público independente, categoria ímpar no elenco das personalidades jurídicas existentes no direito brasileiro. A OAB não está incluída na categoria na qual se inserem essas que se tem referido como "autarquias especiais" para pretender-se afirmar equivocada independência das hoje chamadas "agências". Por não consubstanciar uma entidade da administração indireta, a OAB não está sujeita a controle da admin</w:t>
      </w:r>
    </w:p>
    <w:p>
      <w:pPr>
        <w:ind w:left="288"/>
      </w:pPr>
      <w:r>
        <w:rPr>
          <w:b/>
          <w:color w:val="003CA0"/>
          <w:sz w:val="16"/>
        </w:rPr>
        <w:t>[ADI 3.026, rel. min. Eros Grau, j. 8-6-2006, P, DJ de 29-9-2006.]</w:t>
      </w:r>
    </w:p>
    <w:p>
      <w:pPr>
        <w:ind w:left="288"/>
      </w:pPr>
      <w:r>
        <w:rPr>
          <w:color w:val="8C8C8C"/>
          <w:sz w:val="12"/>
        </w:rPr>
        <w:t>cf-art-37-inc-I</w:t>
      </w:r>
      <w:r>
        <w:rPr>
          <w:color w:val="003CA0"/>
          <w:sz w:val="12"/>
        </w:rPr>
        <w:t xml:space="preserve"> | ADI 3.522</w:t>
      </w:r>
      <w:r>
        <w:rPr>
          <w:color w:val="003CA0"/>
          <w:sz w:val="12"/>
        </w:rPr>
        <w:t xml:space="preserve"> | rel. Marco Aurélio</w:t>
      </w:r>
    </w:p>
    <w:p>
      <w:pPr>
        <w:ind w:left="288"/>
      </w:pPr>
      <w:r>
        <w:rPr>
          <w:color w:val="1E1E1E"/>
          <w:sz w:val="18"/>
        </w:rPr>
        <w:t>Mostra-se conflitante com o princípio da razoabilidade eleger como critério de desempate tempo anterior na titularidade do serviço para o qual se realiza o concurso público.</w:t>
      </w:r>
    </w:p>
    <w:p>
      <w:pPr>
        <w:ind w:left="288"/>
      </w:pPr>
      <w:r>
        <w:rPr>
          <w:b/>
          <w:color w:val="003CA0"/>
          <w:sz w:val="16"/>
        </w:rPr>
        <w:t>[ADI 3.522, rel. min. Marco Aurélio, j. 24-11-2005, P, DJ de 12-5-2006.]</w:t>
      </w:r>
    </w:p>
    <w:p>
      <w:pPr>
        <w:ind w:left="288"/>
      </w:pPr>
      <w:r>
        <w:rPr>
          <w:color w:val="8C8C8C"/>
          <w:sz w:val="12"/>
        </w:rPr>
        <w:t>cf-art-37-inc-I</w:t>
      </w:r>
      <w:r>
        <w:rPr>
          <w:color w:val="003CA0"/>
          <w:sz w:val="12"/>
        </w:rPr>
        <w:t xml:space="preserve"> | ADI 4.178</w:t>
      </w:r>
      <w:r>
        <w:rPr>
          <w:color w:val="003CA0"/>
          <w:sz w:val="12"/>
        </w:rPr>
        <w:t xml:space="preserve"> | rel. Cezar Peluso</w:t>
      </w:r>
    </w:p>
    <w:p>
      <w:pPr>
        <w:ind w:left="288"/>
      </w:pPr>
      <w:r>
        <w:rPr>
          <w:color w:val="1E1E1E"/>
          <w:sz w:val="18"/>
        </w:rPr>
        <w:t>= ADI 4.178 MC-REF, rel. min. Cezar Peluso, j. 4-2-2010, P, DJE de 7-5-2010 Vide AI 830.011 AgR, rel. min. Luiz Fux, j. 26-6-2012, 1ª T, DJE de 14-8-2012 Viola o princípio constitucional da isonomia norma que estabelece como título o mero exercício de função pública.</w:t>
      </w:r>
    </w:p>
    <w:p>
      <w:pPr>
        <w:ind w:left="288"/>
      </w:pPr>
      <w:r>
        <w:rPr>
          <w:b/>
          <w:color w:val="003CA0"/>
          <w:sz w:val="16"/>
        </w:rPr>
        <w:t>[ADI 3.443, rel. min. Carlos Velloso, j. 8-9-2005, P, DJ de 23-9-2005.]</w:t>
      </w:r>
    </w:p>
    <w:p>
      <w:pPr>
        <w:ind w:left="288"/>
      </w:pPr>
      <w:r>
        <w:rPr>
          <w:color w:val="8C8C8C"/>
          <w:sz w:val="12"/>
        </w:rPr>
        <w:t>cf-art-37-inc-I</w:t>
      </w:r>
      <w:r>
        <w:rPr>
          <w:color w:val="003CA0"/>
          <w:sz w:val="12"/>
        </w:rPr>
        <w:t xml:space="preserve"> | ADI 3.332</w:t>
      </w:r>
      <w:r>
        <w:rPr>
          <w:color w:val="003CA0"/>
          <w:sz w:val="12"/>
        </w:rPr>
        <w:t xml:space="preserve"> | rel. Eros Grau</w:t>
      </w:r>
    </w:p>
    <w:p>
      <w:pPr>
        <w:ind w:left="288"/>
      </w:pPr>
      <w:r>
        <w:rPr>
          <w:color w:val="1E1E1E"/>
          <w:sz w:val="18"/>
        </w:rPr>
        <w:t>É inconstitucional a chamada investidura por transposição.</w:t>
      </w:r>
    </w:p>
    <w:p>
      <w:pPr>
        <w:ind w:left="288"/>
      </w:pPr>
      <w:r>
        <w:rPr>
          <w:b/>
          <w:color w:val="003CA0"/>
          <w:sz w:val="16"/>
        </w:rPr>
        <w:t>[ADI 3.332, rel. min. Eros Grau, j. 30-6-2005, P, DJ de 14-10-2005.]</w:t>
      </w:r>
    </w:p>
    <w:p>
      <w:pPr>
        <w:ind w:left="288"/>
      </w:pPr>
      <w:r>
        <w:rPr>
          <w:color w:val="8C8C8C"/>
          <w:sz w:val="12"/>
        </w:rPr>
        <w:t>cf-art-37-inc-I</w:t>
      </w:r>
      <w:r>
        <w:rPr>
          <w:color w:val="003CA0"/>
          <w:sz w:val="12"/>
        </w:rPr>
        <w:t xml:space="preserve"> | RE 565.603</w:t>
      </w:r>
      <w:r>
        <w:rPr>
          <w:color w:val="003CA0"/>
          <w:sz w:val="12"/>
        </w:rPr>
        <w:t xml:space="preserve"> | rel. Cármen Lúcia</w:t>
      </w:r>
    </w:p>
    <w:p>
      <w:pPr>
        <w:ind w:left="288"/>
      </w:pPr>
      <w:r>
        <w:rPr>
          <w:color w:val="1E1E1E"/>
          <w:sz w:val="18"/>
        </w:rPr>
        <w:t>= RE 565.603 AgR, rel. min. Cármen Lúcia, j. 27-10-2009, 1ª T, DJE de 27-11-2009 A exigência de concurso público para a investidura em cargo garante o respeito a vários princípios constitucionais de direito administrativo, entre eles, o da impessoalidade e o da isonomia. O constituinte, todavia, inseriu no art. 19 do ADCT norma transitória criando uma estabilidade excepcional para servidores não concursados da União, dos Estados, do Distrito Federal e dos Municípios que, quando da promulgação da Carta Federal, contassem com, no mínimo, cinco anos ininterruptos de serviço público. A jurisprudên</w:t>
      </w:r>
    </w:p>
    <w:p>
      <w:pPr>
        <w:ind w:left="288"/>
      </w:pPr>
      <w:r>
        <w:rPr>
          <w:b/>
          <w:color w:val="003CA0"/>
          <w:sz w:val="16"/>
        </w:rPr>
        <w:t>[ADI 100, rel. min. Ellen Gracie, j. 9-9-2004, Plenário, DJ de 1º-10-2004.]</w:t>
      </w:r>
    </w:p>
    <w:p>
      <w:pPr>
        <w:ind w:left="288"/>
      </w:pPr>
      <w:r>
        <w:rPr>
          <w:color w:val="8C8C8C"/>
          <w:sz w:val="12"/>
        </w:rPr>
        <w:t>cf-art-37-inc-I</w:t>
      </w:r>
      <w:r>
        <w:rPr>
          <w:color w:val="003CA0"/>
          <w:sz w:val="12"/>
        </w:rPr>
        <w:t xml:space="preserve"> | RE 356.612</w:t>
      </w:r>
      <w:r>
        <w:rPr>
          <w:color w:val="003CA0"/>
          <w:sz w:val="12"/>
        </w:rPr>
        <w:t xml:space="preserve"> | rel. Joaquim Barbosa</w:t>
      </w:r>
    </w:p>
    <w:p>
      <w:pPr>
        <w:ind w:left="288"/>
      </w:pPr>
      <w:r>
        <w:rPr>
          <w:color w:val="1E1E1E"/>
          <w:sz w:val="18"/>
        </w:rPr>
        <w:t>= RE 356.612 AgR, rel. min. Joaquim Barbosa, j. 31-8-2010, 2ª T, DJE de 16-11-2010 Vide ADI 3.609, rel. min. Dias Toffoli, j. 5-2-2014, P, DJE de 30-10-2014 Conforme sedimentada jurisprudência deste Supremo Tribunal, a vigente ordem constitucional não mais tolera a transferência ou o aproveitamento como formas de investidura que importem no ingresso de cargo ou emprego público sem a devida realização de concurso público de provas ou de provas e títulos.</w:t>
      </w:r>
    </w:p>
    <w:p>
      <w:pPr>
        <w:ind w:left="288"/>
      </w:pPr>
      <w:r>
        <w:rPr>
          <w:b/>
          <w:color w:val="003CA0"/>
          <w:sz w:val="16"/>
        </w:rPr>
        <w:t>[ADI 2.689, rel. min. Ellen Gracie, j. 9-10-2003, P, DJ de 21-11-2003.]</w:t>
      </w:r>
    </w:p>
    <w:p>
      <w:pPr>
        <w:ind w:left="288"/>
      </w:pPr>
      <w:r>
        <w:rPr>
          <w:color w:val="8C8C8C"/>
          <w:sz w:val="12"/>
        </w:rPr>
        <w:t>cf-art-37-inc-I</w:t>
      </w:r>
      <w:r>
        <w:rPr>
          <w:color w:val="003CA0"/>
          <w:sz w:val="12"/>
        </w:rPr>
        <w:t xml:space="preserve"> | ADI 97</w:t>
      </w:r>
      <w:r>
        <w:rPr>
          <w:color w:val="003CA0"/>
          <w:sz w:val="12"/>
        </w:rPr>
        <w:t xml:space="preserve"> | rel. Moreira Alves</w:t>
      </w:r>
    </w:p>
    <w:p>
      <w:pPr>
        <w:ind w:left="288"/>
      </w:pPr>
      <w:r>
        <w:rPr>
          <w:color w:val="1E1E1E"/>
          <w:sz w:val="18"/>
        </w:rPr>
        <w:t>= ADI 97, rel. min. Moreira Alves, j. 25-6-1993, P, DJ de 22-10-1993 Equiparação de vantagens dos servidores públicos estatutários aos então celetistas que adquiriram estabilidade por força da CF. Ofensa ao art. 37, II, da CF.</w:t>
      </w:r>
    </w:p>
    <w:p>
      <w:pPr>
        <w:ind w:left="288"/>
      </w:pPr>
      <w:r>
        <w:rPr>
          <w:b/>
          <w:color w:val="003CA0"/>
          <w:sz w:val="16"/>
        </w:rPr>
        <w:t>[ADI 180, rel. min. Nelson Jobim, j. 3-4-2003, P, DJ de 27-6-2003.]</w:t>
      </w:r>
    </w:p>
    <w:p>
      <w:pPr>
        <w:ind w:left="288"/>
      </w:pPr>
      <w:r>
        <w:rPr>
          <w:color w:val="8C8C8C"/>
          <w:sz w:val="12"/>
        </w:rPr>
        <w:t>cf-art-37-inc-I</w:t>
      </w:r>
      <w:r>
        <w:rPr>
          <w:color w:val="003CA0"/>
          <w:sz w:val="12"/>
        </w:rPr>
        <w:t xml:space="preserve"> | ADI 2.364</w:t>
      </w:r>
      <w:r>
        <w:rPr>
          <w:color w:val="003CA0"/>
          <w:sz w:val="12"/>
        </w:rPr>
        <w:t xml:space="preserve"> | rel. Celso de Mello</w:t>
      </w:r>
    </w:p>
    <w:p>
      <w:pPr>
        <w:ind w:left="288"/>
      </w:pPr>
      <w:r>
        <w:rPr>
          <w:color w:val="1E1E1E"/>
          <w:sz w:val="18"/>
        </w:rPr>
        <w:t>O respeito efetivo à exigência de prévia aprovação em concurso público qualifica-se, constitucionalmente, como paradigma de legitimação ético-jurídica da investidura de qualquer cidadão em cargos, funções ou empregos públicos, ressalvadas as hipóteses de nomeação para cargos em comissão (CF, art. 37, II). A razão subjacente ao postulado do concurso público traduz-se na necessidade essencial de o Estado conferir efetividade ao princípio constitucional de que todos são iguais perante a lei, sem distinção de qualquer natureza, vedando-se, desse modo, a prática inaceitável de o poder público conce</w:t>
      </w:r>
    </w:p>
    <w:p>
      <w:pPr>
        <w:ind w:left="288"/>
      </w:pPr>
      <w:r>
        <w:rPr>
          <w:b/>
          <w:color w:val="003CA0"/>
          <w:sz w:val="16"/>
        </w:rPr>
        <w:t>[ADI 2.364, rel. min. Celso de Mello, j. 17-10-2018, P, DJE de 7-3-2019.]</w:t>
      </w:r>
    </w:p>
    <w:p>
      <w:pPr>
        <w:ind w:left="288"/>
      </w:pPr>
      <w:r>
        <w:rPr>
          <w:color w:val="8C8C8C"/>
          <w:sz w:val="12"/>
        </w:rPr>
        <w:t>cf-art-37-inc-I</w:t>
      </w:r>
      <w:r>
        <w:rPr>
          <w:color w:val="003CA0"/>
          <w:sz w:val="12"/>
        </w:rPr>
        <w:t xml:space="preserve"> | ADI 2.113</w:t>
      </w:r>
      <w:r>
        <w:rPr>
          <w:color w:val="003CA0"/>
          <w:sz w:val="12"/>
        </w:rPr>
        <w:t xml:space="preserve"> | rel. Cármen Lúcia</w:t>
      </w:r>
    </w:p>
    <w:p>
      <w:pPr>
        <w:ind w:left="288"/>
      </w:pPr>
      <w:r>
        <w:rPr>
          <w:color w:val="1E1E1E"/>
          <w:sz w:val="18"/>
        </w:rPr>
        <w:t>= ADI 2.113, rel. min. Cármen Lúcia, j. 4-3-2009, P, DJE de 21-8-2009 É inconstitucional o dispositivo da Constituição de Santa Catarina que estabelece o sistema eletivo, mediante voto direto e secreto, para escolha dos dirigentes dos estabelecimentos de ensino. É que os cargos públicos ou são providos mediante concurso público, ou, tratando-se de cargo em comissão, mediante livre nomeação e exoneração do chefe do Poder Executivo, se os cargos estão na órbita deste (CF, art. 37, II, art. 84, XXV).</w:t>
      </w:r>
    </w:p>
    <w:p>
      <w:pPr>
        <w:ind w:left="288"/>
      </w:pPr>
      <w:r>
        <w:rPr>
          <w:b/>
          <w:color w:val="003CA0"/>
          <w:sz w:val="16"/>
        </w:rPr>
        <w:t>[ADI 123, rel. min. Carlos Velloso, j. 3-2-1997, P, DJ de 12-9-1997.]</w:t>
      </w:r>
    </w:p>
    <w:p>
      <w:pPr>
        <w:ind w:left="288"/>
      </w:pPr>
      <w:r>
        <w:rPr>
          <w:color w:val="8C8C8C"/>
          <w:sz w:val="12"/>
        </w:rPr>
        <w:t>cf-art-37-inc-I</w:t>
      </w:r>
      <w:r>
        <w:rPr>
          <w:color w:val="003CA0"/>
          <w:sz w:val="12"/>
        </w:rPr>
        <w:t xml:space="preserve"> | ADI 2.997</w:t>
      </w:r>
      <w:r>
        <w:rPr>
          <w:color w:val="003CA0"/>
          <w:sz w:val="12"/>
        </w:rPr>
        <w:t xml:space="preserve"> | rel. Cezar Peluso</w:t>
      </w:r>
    </w:p>
    <w:p>
      <w:pPr>
        <w:ind w:left="288"/>
      </w:pPr>
      <w:r>
        <w:rPr>
          <w:color w:val="1E1E1E"/>
          <w:sz w:val="18"/>
        </w:rPr>
        <w:t xml:space="preserve">= ADI 2.997, rel. min. Cezar Peluso, j. 12-8-2009, P, DJE de 12-3-2010 Serventias judiciais e extrajudiciais. Concurso público: arts. 37, II, e 236, § 3º, da CF. Ação direta de inconstitucionalidade do art. 14 do ADCT da Constituição do Estado de Santa Catarina, de 5-10-1989, que diz: "Fica assegurada aos substitutos das serventias, na vacância, a efetivação no cargo de titular, desde que, investidos na forma da lei, estejam em efetivo exercício, pelo prazo de três anos, na mesma serventia, na data da promulgação da Constituição". É inconstitucional esse dispositivo por violar o princípio que </w:t>
      </w:r>
    </w:p>
    <w:p>
      <w:pPr>
        <w:ind w:left="288"/>
      </w:pPr>
      <w:r>
        <w:rPr>
          <w:b/>
          <w:color w:val="003CA0"/>
          <w:sz w:val="16"/>
        </w:rPr>
        <w:t>[ADI 363, rel. min. Sydney Sanches, j. 15-2-1996, P, DJ de 3-5-1996.]</w:t>
      </w:r>
    </w:p>
    <w:p>
      <w:pPr>
        <w:ind w:left="288"/>
      </w:pPr>
      <w:r>
        <w:rPr>
          <w:color w:val="8C8C8C"/>
          <w:sz w:val="12"/>
        </w:rPr>
        <w:t>cf-art-37-inc-I</w:t>
      </w:r>
      <w:r>
        <w:rPr>
          <w:color w:val="003CA0"/>
          <w:sz w:val="12"/>
        </w:rPr>
        <w:t xml:space="preserve"> | AI 719.760</w:t>
      </w:r>
      <w:r>
        <w:rPr>
          <w:color w:val="003CA0"/>
          <w:sz w:val="12"/>
        </w:rPr>
        <w:t xml:space="preserve"> | rel. Gilmar Mendes</w:t>
      </w:r>
    </w:p>
    <w:p>
      <w:pPr>
        <w:ind w:left="288"/>
      </w:pPr>
      <w:r>
        <w:rPr>
          <w:color w:val="1E1E1E"/>
          <w:sz w:val="18"/>
        </w:rPr>
        <w:t xml:space="preserve">= AI 719.760 AgR, rel. min. Gilmar Mendes, j. 16-11-2010, 2ª T, DJE de 1º-12-2010 Vide AI 541.408 AgR, rel. min. Ricardo Lewandowski, j. 23-6-2009, 1ª T, DJE de 14-8-2009 Vide RE 182.641, rel. min. Octavio Gallotti, j. 22-8-1995, 1ª T, DJ de 15-3-1996 Viola o princípio do inciso II do art. 37 da CF o disposto no art. 22 do ADCT da Constituição do Estado de Goiás, no ponto em que, sem concurso prévio de provas e títulos, assegura aos substitutos das serventias judiciais, na vacância, o direito de acesso a titular, desde que legalmente investidos na função até 5-10-1988, obrigados, apenas, a se </w:t>
      </w:r>
    </w:p>
    <w:p>
      <w:pPr>
        <w:ind w:left="288"/>
      </w:pPr>
      <w:r>
        <w:rPr>
          <w:b/>
          <w:color w:val="003CA0"/>
          <w:sz w:val="16"/>
        </w:rPr>
        <w:t>[ADI 690, rel. min. Sydney Sanches, j. 7-6-1995, P, DJ de 25-8-1995.]</w:t>
      </w:r>
    </w:p>
    <w:p>
      <w:pPr>
        <w:ind w:left="288"/>
      </w:pPr>
      <w:r>
        <w:rPr>
          <w:color w:val="8C8C8C"/>
          <w:sz w:val="12"/>
        </w:rPr>
        <w:t>cf-art-37-inc-I</w:t>
      </w:r>
      <w:r>
        <w:rPr>
          <w:color w:val="003CA0"/>
          <w:sz w:val="12"/>
        </w:rPr>
        <w:t xml:space="preserve"> | ADI 1.203</w:t>
      </w:r>
      <w:r>
        <w:rPr>
          <w:color w:val="003CA0"/>
          <w:sz w:val="12"/>
        </w:rPr>
        <w:t xml:space="preserve"> | rel. Celso de Mello</w:t>
      </w:r>
    </w:p>
    <w:p>
      <w:pPr>
        <w:ind w:left="288"/>
      </w:pPr>
      <w:r>
        <w:rPr>
          <w:color w:val="1E1E1E"/>
          <w:sz w:val="18"/>
        </w:rPr>
        <w:t>O sistema de direito constitucional positivo vigente no Brasil revela-se incompatível com quaisquer prescrições normativas que, estabelecendo a inversão da fórmula proclamada pelo art. 37, II, da Carta Federal, consagrem a esdrúxula figura do concurso público a posteriori.</w:t>
      </w:r>
    </w:p>
    <w:p>
      <w:pPr>
        <w:ind w:left="288"/>
      </w:pPr>
      <w:r>
        <w:rPr>
          <w:b/>
          <w:color w:val="003CA0"/>
          <w:sz w:val="16"/>
        </w:rPr>
        <w:t>[ADI 1.203 MC, rel. min. Celso de Mello, j. 16-2-1995, P, DJ de 24-2-1995.]</w:t>
      </w:r>
    </w:p>
    <w:p>
      <w:pPr>
        <w:ind w:left="288"/>
      </w:pPr>
      <w:r>
        <w:rPr>
          <w:color w:val="8C8C8C"/>
          <w:sz w:val="12"/>
        </w:rPr>
        <w:t>cf-art-37-inc-I</w:t>
      </w:r>
      <w:r>
        <w:rPr>
          <w:color w:val="003CA0"/>
          <w:sz w:val="12"/>
        </w:rPr>
        <w:t xml:space="preserve"> | ADI 112</w:t>
      </w:r>
      <w:r>
        <w:rPr>
          <w:color w:val="003CA0"/>
          <w:sz w:val="12"/>
        </w:rPr>
        <w:t xml:space="preserve"> | rel. Néri da Silveira</w:t>
      </w:r>
    </w:p>
    <w:p>
      <w:pPr>
        <w:ind w:left="288"/>
      </w:pPr>
      <w:r>
        <w:rPr>
          <w:color w:val="1E1E1E"/>
          <w:sz w:val="18"/>
        </w:rPr>
        <w:t>Distinção entre estabilidade e efetividade. O só fato de o funcionário público, detentor de um cargo, ser estável não é suficiente para o provimento em outro cargo, sem concurso público.</w:t>
      </w:r>
    </w:p>
    <w:p>
      <w:pPr>
        <w:ind w:left="288"/>
      </w:pPr>
      <w:r>
        <w:rPr>
          <w:b/>
          <w:color w:val="003CA0"/>
          <w:sz w:val="16"/>
        </w:rPr>
        <w:t>[ADI 112, rel. min. Néri da Silveira, j. 24-8-1994, P, DJ de 9-2-1996.]</w:t>
      </w:r>
    </w:p>
    <w:p>
      <w:pPr>
        <w:ind w:left="288"/>
      </w:pPr>
      <w:r>
        <w:rPr>
          <w:color w:val="8C8C8C"/>
          <w:sz w:val="12"/>
        </w:rPr>
        <w:t>cf-art-37-inc-I</w:t>
      </w:r>
      <w:r>
        <w:rPr>
          <w:color w:val="003CA0"/>
          <w:sz w:val="12"/>
        </w:rPr>
        <w:t xml:space="preserve"> | ADI 114</w:t>
      </w:r>
      <w:r>
        <w:rPr>
          <w:color w:val="003CA0"/>
          <w:sz w:val="12"/>
        </w:rPr>
        <w:t xml:space="preserve"> | rel. Cármen Lúcia</w:t>
      </w:r>
    </w:p>
    <w:p>
      <w:pPr>
        <w:ind w:left="288"/>
      </w:pPr>
      <w:r>
        <w:rPr>
          <w:color w:val="1E1E1E"/>
          <w:sz w:val="18"/>
        </w:rPr>
        <w:t>= ADI 114, rel. min. Cármen Lúcia, j. 26-11-2009, P, DJE de 3-10-2011 O título "Pioneiro do Tocantins", previsto no caput do art. 25 da Lei 157/1990, atribuído a servidores do Estado, nada tem de inconstitucional. Entretanto, quando utilizado para concurso de provas e títulos, ofende clara e diretamente o preceito constitucional que a todos assegura o acesso aos cargos públicos, pois o critério consagrado nas normas impugnadas, de maneira oblíqua, mas eficaz, deforma o concurso a ponto de fraudar o preceito constitucional, art. 37, II, da Constituição.</w:t>
      </w:r>
    </w:p>
    <w:p>
      <w:pPr>
        <w:ind w:left="288"/>
      </w:pPr>
      <w:r>
        <w:rPr>
          <w:b/>
          <w:color w:val="003CA0"/>
          <w:sz w:val="16"/>
        </w:rPr>
        <w:t>[ADI 598, rel. min. Paulo Brossard, j. 23-9-1993, P, DJ de 12-11-1993.]</w:t>
      </w:r>
    </w:p>
    <w:p>
      <w:pPr>
        <w:ind w:left="288"/>
      </w:pPr>
      <w:r>
        <w:rPr>
          <w:color w:val="8C8C8C"/>
          <w:sz w:val="12"/>
        </w:rPr>
        <w:t>cf-art-37-inc-I</w:t>
      </w:r>
      <w:r>
        <w:rPr>
          <w:color w:val="003CA0"/>
          <w:sz w:val="12"/>
        </w:rPr>
        <w:t xml:space="preserve"> | ADI 231</w:t>
      </w:r>
      <w:r>
        <w:rPr>
          <w:color w:val="003CA0"/>
          <w:sz w:val="12"/>
        </w:rPr>
        <w:t xml:space="preserve"> | rel. Moreira Alves</w:t>
      </w:r>
    </w:p>
    <w:p>
      <w:pPr>
        <w:ind w:left="288"/>
      </w:pPr>
      <w:r>
        <w:rPr>
          <w:color w:val="1E1E1E"/>
          <w:sz w:val="18"/>
        </w:rPr>
        <w:t>Ascensão ou acesso, transferência e aproveitamento no tocante a cargos ou empregos públicos. O critério do mérito aferível por concurso público de provas ou de provas e títulos é, no atual sistema constitucional, ressalvados os cargos em comissão declarados em lei de livre nomeação e exoneração, indispensável para cargo ou emprego público isolado ou em carreira. Para o isolado, em qualquer hipótese; para o em carreira, para o ingresso nela, que só se fará na classe inicial e pelo concurso público de provas ou de provas e títulos, não o sendo, porém, para os cargos subsequentes que nela se esca</w:t>
      </w:r>
    </w:p>
    <w:p>
      <w:pPr>
        <w:ind w:left="288"/>
      </w:pPr>
      <w:r>
        <w:rPr>
          <w:b/>
          <w:color w:val="003CA0"/>
          <w:sz w:val="16"/>
        </w:rPr>
        <w:t>[ADI 231, rel. min. Moreira Alves, j. 5-8-1992, P, DJ de 13-11-1992.]</w:t>
      </w:r>
    </w:p>
    <w:p>
      <w:pPr>
        <w:ind w:left="288"/>
      </w:pPr>
      <w:r>
        <w:rPr>
          <w:color w:val="8C8C8C"/>
          <w:sz w:val="12"/>
        </w:rPr>
        <w:t>cf-art-37-inc-I</w:t>
      </w:r>
      <w:r>
        <w:rPr>
          <w:color w:val="003CA0"/>
          <w:sz w:val="12"/>
        </w:rPr>
        <w:t xml:space="preserve"> | ADI 94</w:t>
      </w:r>
      <w:r>
        <w:rPr>
          <w:color w:val="003CA0"/>
          <w:sz w:val="12"/>
        </w:rPr>
        <w:t xml:space="preserve"> | rel. Gilmar Mendes</w:t>
      </w:r>
    </w:p>
    <w:p>
      <w:pPr>
        <w:ind w:left="288"/>
      </w:pPr>
      <w:r>
        <w:rPr>
          <w:color w:val="1E1E1E"/>
          <w:sz w:val="18"/>
        </w:rPr>
        <w:t>= ADI 94, rel. min. Gilmar Mendes, j. 7-12-2011, P, DJE de 16-12-2011 Vide RE 222.236 AgR, rel. min. Néri da Silveira, j. 17-10-2000, 2ª T, DJ de 24-11-2000 Vide RE 306.938 AgR, rel. min. Cezar Peluso, j. 18-9-2007, 2ª T, DJ de 11-10-2007 Vide ADI 430, rel. min. Sepúlveda Pertence, j. 25-5-1994, P, DJ de 1º-7-1994 A superveniente extinção dos cargos oferecidos em edital de concurso público em razão da superação do limite prudencial de gastos com pessoal, previsto em lei complementar regulamentadora do art. 169 da Constituição Federal, desde que anterior ao término do prazo de validade do concu</w:t>
      </w:r>
    </w:p>
    <w:p>
      <w:pPr>
        <w:ind w:left="288"/>
      </w:pPr>
      <w:r>
        <w:rPr>
          <w:b/>
          <w:color w:val="003CA0"/>
          <w:sz w:val="16"/>
        </w:rPr>
        <w:t>[RE 1.316.010, rel. min. Flávio Dino, j. 13.10.2025, P, DJE de 28.11.2025, Tema 1.164, com mérito julgado.]</w:t>
      </w:r>
    </w:p>
    <w:p>
      <w:pPr>
        <w:ind w:left="288"/>
      </w:pPr>
      <w:r>
        <w:rPr>
          <w:color w:val="8C8C8C"/>
          <w:sz w:val="12"/>
        </w:rPr>
        <w:t>cf-art-37-inc-I</w:t>
      </w:r>
      <w:r>
        <w:rPr>
          <w:color w:val="003CA0"/>
          <w:sz w:val="12"/>
        </w:rPr>
        <w:t xml:space="preserve"> | RE 1.513.277</w:t>
      </w:r>
      <w:r>
        <w:rPr>
          <w:color w:val="003CA0"/>
          <w:sz w:val="12"/>
        </w:rPr>
        <w:t xml:space="preserve"> | rel. Luís Roberto Barroso</w:t>
      </w:r>
    </w:p>
    <w:p>
      <w:pPr>
        <w:ind w:left="288"/>
      </w:pPr>
      <w:r>
        <w:rPr>
          <w:color w:val="1E1E1E"/>
          <w:sz w:val="18"/>
        </w:rPr>
        <w:t>“É infraconstitucional e fática a controvérsia sobre o direito de assistentes de educação infantil ao piso nacional do magistério”.</w:t>
      </w:r>
    </w:p>
    <w:p>
      <w:pPr>
        <w:ind w:left="288"/>
      </w:pPr>
      <w:r>
        <w:rPr>
          <w:b/>
          <w:color w:val="003CA0"/>
          <w:sz w:val="16"/>
        </w:rPr>
        <w:t>[RE 1.513.277 RG, rel. min. Luís Roberto Barroso, j. 28.2.2025, P, DJE de 7.3.2025, Tema 1.378, com repercussão geral negada.]</w:t>
      </w:r>
    </w:p>
    <w:p>
      <w:pPr>
        <w:ind w:left="288"/>
      </w:pPr>
      <w:r>
        <w:rPr>
          <w:color w:val="8C8C8C"/>
          <w:sz w:val="12"/>
        </w:rPr>
        <w:t>cf-art-37-inc-I</w:t>
      </w:r>
      <w:r>
        <w:rPr>
          <w:color w:val="003CA0"/>
          <w:sz w:val="12"/>
        </w:rPr>
        <w:t xml:space="preserve"> | RE 1.513.971</w:t>
      </w:r>
      <w:r>
        <w:rPr>
          <w:color w:val="003CA0"/>
          <w:sz w:val="12"/>
        </w:rPr>
        <w:t xml:space="preserve"> | rel. Luís Roberto Barroso</w:t>
      </w:r>
    </w:p>
    <w:p>
      <w:pPr>
        <w:ind w:left="288"/>
      </w:pPr>
      <w:r>
        <w:rPr>
          <w:color w:val="1E1E1E"/>
          <w:sz w:val="18"/>
        </w:rPr>
        <w:t>“É infraconstitucional e pressupõe o exame de matéria fática a controvérsia sobre a validade de contratos de trabalho celebrados por associações de apoio à escola, denominadas como Caixas Escolares ou Unidades Descentralizadas de Execução da Educação”.</w:t>
      </w:r>
    </w:p>
    <w:p>
      <w:pPr>
        <w:ind w:left="288"/>
      </w:pPr>
      <w:r>
        <w:rPr>
          <w:b/>
          <w:color w:val="003CA0"/>
          <w:sz w:val="16"/>
        </w:rPr>
        <w:t>[RE 1.513.971 RG, rel. min. Luís Roberto Barroso, j. 25.10.2024, P, DJE de 30.10.2024, Tema 1.346, com repercussão geral negada.]</w:t>
      </w:r>
    </w:p>
    <w:p>
      <w:pPr>
        <w:ind w:left="144"/>
      </w:pPr>
      <w:r>
        <w:rPr>
          <w:b/>
          <w:color w:val="B45A00"/>
          <w:sz w:val="16"/>
        </w:rPr>
        <w:t>REPERCUSSAO GERAL</w:t>
      </w:r>
    </w:p>
    <w:p>
      <w:pPr>
        <w:ind w:left="288"/>
      </w:pPr>
      <w:r>
        <w:rPr>
          <w:color w:val="8C8C8C"/>
          <w:sz w:val="12"/>
        </w:rPr>
        <w:t>cf-art-37-inc-I</w:t>
      </w:r>
      <w:r>
        <w:rPr>
          <w:color w:val="003CA0"/>
          <w:sz w:val="12"/>
        </w:rPr>
        <w:t xml:space="preserve"> | RE 766.304</w:t>
      </w:r>
      <w:r>
        <w:rPr>
          <w:color w:val="003CA0"/>
          <w:sz w:val="12"/>
        </w:rPr>
        <w:t xml:space="preserve"> | rel. Marco Aurélio</w:t>
      </w:r>
    </w:p>
    <w:p>
      <w:pPr>
        <w:ind w:left="288"/>
      </w:pPr>
      <w:r>
        <w:rPr>
          <w:color w:val="1E1E1E"/>
          <w:sz w:val="18"/>
        </w:rPr>
        <w:t>A ação judicial visando ao reconhecimento do direito à nomeação de candidato aprovado fora das vagas previstas no edital (cadastro de reserva) deve ter por causa de pedir preterição ocorrida na vigência do certame.</w:t>
        <w:br/>
        <w:t>[RE 766.304, rel. min. Marco Aurélio, red. do ac. min. Edson Fachin, j. 02.05.2024, P, DJE de 05.08.2024.] É inconstitucional a vedação à posse em cargo público de candidato(a) aprovado(a) que, embora tenha sido acometido(a) por doença grave, não apresenta sintoma incapacitante nem possui restrição relevante que impeça o exercício da função pretendida (CF, arts. 1º, III, 3º, IV, 5º,</w:t>
      </w:r>
    </w:p>
    <w:p>
      <w:pPr>
        <w:ind w:left="288"/>
      </w:pPr>
      <w:r>
        <w:rPr>
          <w:b/>
          <w:color w:val="003CA0"/>
          <w:sz w:val="16"/>
        </w:rPr>
        <w:t>[RE 1.306.505, rel. min. Alexandre de Moraes, j. 28-3-2022, P, DJE de 4-4-2022, Tema 1.157, com mérito julgado.]</w:t>
      </w:r>
    </w:p>
    <w:p>
      <w:pPr>
        <w:ind w:left="288"/>
      </w:pPr>
      <w:r>
        <w:rPr>
          <w:color w:val="8C8C8C"/>
          <w:sz w:val="12"/>
        </w:rPr>
        <w:t>cf-art-37-inc-I</w:t>
      </w:r>
      <w:r>
        <w:rPr>
          <w:color w:val="003CA0"/>
          <w:sz w:val="12"/>
        </w:rPr>
        <w:t xml:space="preserve"> | RE 740.008</w:t>
      </w:r>
      <w:r>
        <w:rPr>
          <w:color w:val="003CA0"/>
          <w:sz w:val="12"/>
        </w:rPr>
        <w:t xml:space="preserve"> | rel. Marco Aurélio</w:t>
      </w:r>
    </w:p>
    <w:p>
      <w:pPr>
        <w:ind w:left="288"/>
      </w:pPr>
      <w:r>
        <w:rPr>
          <w:color w:val="1E1E1E"/>
          <w:sz w:val="18"/>
        </w:rPr>
        <w:t>É inconstitucional o aproveitamento de servidor, aprovado em concurso público a exigir formação de nível médio, em cargo que pressuponha escolaridade superior.</w:t>
        <w:br/>
        <w:t>[RE 740.008, rel. min. Marco Aurélio, j. 21-12-2020, P, DJE de 14-4-2021, Tema 697, com mérito julgado.] É inconstitucional, por dispensar o concurso público, a reestruturação de quadro funcional por meio de aglutinação, em uma única carreira, de cargos diversos, quando a nova carreira tiver atribuições e responsabilidades diferentes dos cargos originais.</w:t>
      </w:r>
    </w:p>
    <w:p>
      <w:pPr>
        <w:ind w:left="288"/>
      </w:pPr>
      <w:r>
        <w:rPr>
          <w:b/>
          <w:color w:val="003CA0"/>
          <w:sz w:val="16"/>
        </w:rPr>
        <w:t>[RE 642.895, rel. min. Marco Aurélio, j. 15-5-2020, P, DJE de 3-6-2020, Tema 667, com mérito julgado.]</w:t>
      </w:r>
    </w:p>
    <w:p>
      <w:pPr>
        <w:ind w:left="288"/>
      </w:pPr>
      <w:r>
        <w:rPr>
          <w:color w:val="8C8C8C"/>
          <w:sz w:val="12"/>
        </w:rPr>
        <w:t>cf-art-37-inc-I</w:t>
      </w:r>
      <w:r>
        <w:rPr>
          <w:color w:val="003CA0"/>
          <w:sz w:val="12"/>
        </w:rPr>
        <w:t xml:space="preserve"> | RE 960.429</w:t>
      </w:r>
      <w:r>
        <w:rPr>
          <w:color w:val="003CA0"/>
          <w:sz w:val="12"/>
        </w:rPr>
        <w:t xml:space="preserve"> | rel. Gilmar Mendes</w:t>
      </w:r>
    </w:p>
    <w:p>
      <w:pPr>
        <w:ind w:left="288"/>
      </w:pPr>
      <w:r>
        <w:rPr>
          <w:color w:val="1E1E1E"/>
          <w:sz w:val="18"/>
        </w:rPr>
        <w:t>Compete à Justiça comum processar e julgar controvérsias relacionadas à fase pré-contratual de seleção e de admissão de pessoal e eventual nulidade do certame em face da Administração Pública, direta e indireta, nas hipóteses em que adotado o regime celetista de contratação de pessoal.</w:t>
      </w:r>
    </w:p>
    <w:p>
      <w:pPr>
        <w:ind w:left="288"/>
      </w:pPr>
      <w:r>
        <w:rPr>
          <w:b/>
          <w:color w:val="003CA0"/>
          <w:sz w:val="16"/>
        </w:rPr>
        <w:t>[RE 960.429, rel. min. Gilmar Mendes, j. 5-3-2020, P, DJE de 24-6-2020, RG, Tema 992, com mérito julgado.]</w:t>
      </w:r>
    </w:p>
    <w:p>
      <w:pPr>
        <w:ind w:left="288"/>
      </w:pPr>
      <w:r>
        <w:rPr>
          <w:color w:val="8C8C8C"/>
          <w:sz w:val="12"/>
        </w:rPr>
        <w:t>cf-art-37-inc-I</w:t>
      </w:r>
      <w:r>
        <w:rPr>
          <w:color w:val="003CA0"/>
          <w:sz w:val="12"/>
        </w:rPr>
        <w:t xml:space="preserve"> | RE 560.900</w:t>
      </w:r>
      <w:r>
        <w:rPr>
          <w:color w:val="003CA0"/>
          <w:sz w:val="12"/>
        </w:rPr>
        <w:t xml:space="preserve"> | rel. Roberto Barroso</w:t>
      </w:r>
    </w:p>
    <w:p>
      <w:pPr>
        <w:ind w:left="288"/>
      </w:pPr>
      <w:r>
        <w:rPr>
          <w:color w:val="1E1E1E"/>
          <w:sz w:val="18"/>
        </w:rPr>
        <w:t>Sem previsão constitucional adequada e instituída por lei, não é legítima a cláusula de edital de concurso público que restrinja a participação de candidato pelo simples fato de responder a inquérito ou ação penal.</w:t>
      </w:r>
    </w:p>
    <w:p>
      <w:pPr>
        <w:ind w:left="288"/>
      </w:pPr>
      <w:r>
        <w:rPr>
          <w:b/>
          <w:color w:val="003CA0"/>
          <w:sz w:val="16"/>
        </w:rPr>
        <w:t>[RE 560.900, rel. min. Roberto Barroso, j. 6-2-2020, P, DJE de 17-8-2020, Tema 22, com mérito julgado.]</w:t>
      </w:r>
    </w:p>
    <w:p>
      <w:pPr>
        <w:ind w:left="288"/>
      </w:pPr>
      <w:r>
        <w:rPr>
          <w:color w:val="8C8C8C"/>
          <w:sz w:val="12"/>
        </w:rPr>
        <w:t>cf-art-37-inc-I</w:t>
      </w:r>
      <w:r>
        <w:rPr>
          <w:color w:val="003CA0"/>
          <w:sz w:val="12"/>
        </w:rPr>
        <w:t xml:space="preserve"> | RCL 48.525</w:t>
      </w:r>
      <w:r>
        <w:rPr>
          <w:color w:val="003CA0"/>
          <w:sz w:val="12"/>
        </w:rPr>
        <w:t xml:space="preserve"> | rel. Dias Toffoli</w:t>
      </w:r>
    </w:p>
    <w:p>
      <w:pPr>
        <w:ind w:left="288"/>
      </w:pPr>
      <w:r>
        <w:rPr>
          <w:color w:val="1E1E1E"/>
          <w:sz w:val="18"/>
        </w:rPr>
        <w:t>Vide Rcl 48.525 AgR, rel. min. Dias Toffoli, j. 11-4-2022, 1ª T, DJE de 13-5-2022 É constitucional a remarcação do teste de aptidão física de candidata aprovada nas provas escritas que esteja grávida à época de sua realização, independentemente da previsão expressa em edital do concurso público.</w:t>
      </w:r>
    </w:p>
    <w:p>
      <w:pPr>
        <w:ind w:left="288"/>
      </w:pPr>
      <w:r>
        <w:rPr>
          <w:b/>
          <w:color w:val="003CA0"/>
          <w:sz w:val="16"/>
        </w:rPr>
        <w:t>[RE 1.058.333, rel. min. Luiz Fux, j. 21-11-2018, P, DJE de 27-7-2020, Tema 973, com mérito julgado.]</w:t>
      </w:r>
    </w:p>
    <w:p>
      <w:pPr>
        <w:ind w:left="288"/>
      </w:pPr>
      <w:r>
        <w:rPr>
          <w:color w:val="8C8C8C"/>
          <w:sz w:val="12"/>
        </w:rPr>
        <w:t>cf-art-37-inc-I</w:t>
      </w:r>
      <w:r>
        <w:rPr>
          <w:color w:val="003CA0"/>
          <w:sz w:val="12"/>
        </w:rPr>
        <w:t xml:space="preserve"> | RE 1.357.064</w:t>
      </w:r>
      <w:r>
        <w:rPr>
          <w:color w:val="003CA0"/>
          <w:sz w:val="12"/>
        </w:rPr>
        <w:t xml:space="preserve"> | rel. Alexandre de Moraes</w:t>
      </w:r>
    </w:p>
    <w:p>
      <w:pPr>
        <w:ind w:left="288"/>
      </w:pPr>
      <w:r>
        <w:rPr>
          <w:color w:val="1E1E1E"/>
          <w:sz w:val="18"/>
        </w:rPr>
        <w:t>Vide RE 1.357.064 AgR, rel. min. Alexandre de Moraes, j. 2-3-2022, 1ª T, DJE de 8-3-2022 A nomeação tardia de candidatos aprovados em concurso público, por meio de ato judicial, à qual atribuída eficácia retroativa, não gera direito às promoções ou progressões funcionais que alcançariam houvesse ocorrido, a tempo e modo, a nomeação.</w:t>
      </w:r>
    </w:p>
    <w:p>
      <w:pPr>
        <w:ind w:left="288"/>
      </w:pPr>
      <w:r>
        <w:rPr>
          <w:b/>
          <w:color w:val="003CA0"/>
          <w:sz w:val="16"/>
        </w:rPr>
        <w:t>[RE 629.392, rel. min. Marco Aurélio, j. 8-6-2017, P, DJE de 1º-2-2018, Tema 454, com mérito julgado.]</w:t>
      </w:r>
    </w:p>
    <w:p>
      <w:pPr>
        <w:ind w:left="288"/>
      </w:pPr>
      <w:r>
        <w:rPr>
          <w:color w:val="8C8C8C"/>
          <w:sz w:val="12"/>
        </w:rPr>
        <w:t>cf-art-37-inc-I</w:t>
      </w:r>
      <w:r>
        <w:rPr>
          <w:color w:val="003CA0"/>
          <w:sz w:val="12"/>
        </w:rPr>
        <w:t xml:space="preserve"> | RE 598.099</w:t>
      </w:r>
      <w:r>
        <w:rPr>
          <w:color w:val="003CA0"/>
          <w:sz w:val="12"/>
        </w:rPr>
        <w:t xml:space="preserve"> | rel. Luiz Fux</w:t>
      </w:r>
    </w:p>
    <w:p>
      <w:pPr>
        <w:ind w:left="288"/>
      </w:pPr>
      <w:r>
        <w:rPr>
          <w:color w:val="1E1E1E"/>
          <w:sz w:val="18"/>
        </w:rPr>
        <w:t>A tese objetiva assentada em sede desta repercussão geral é a de que o surgimento de novas vagas ou a abertura de novo concurso para o mesmo cargo, durante o prazo de validade do certame anterior, não gera automaticamente o direito à nomeação dos candidatos aprovados fora das vagas previstas no edital, ressalvadas as hipóteses de preterição arbitrária e imotivada por parte da administração, caracterizadas por comportamento tácito ou expresso do poder público capaz de revelar a inequívoca necessidade de nomeação do aprovado durante o período de validade do certame, a ser demonstrada de forma ca</w:t>
      </w:r>
    </w:p>
    <w:p>
      <w:pPr>
        <w:ind w:left="288"/>
      </w:pPr>
      <w:r>
        <w:rPr>
          <w:b/>
          <w:color w:val="003CA0"/>
          <w:sz w:val="16"/>
        </w:rPr>
        <w:t>[RE 789.874, rel. min. Teori Zavascki, j. 17-9-2014, P, DJE de 19-11-2014, Tema 569, com mérito julgado.]</w:t>
      </w:r>
    </w:p>
    <w:p>
      <w:pPr>
        <w:ind w:left="288"/>
      </w:pPr>
      <w:r>
        <w:rPr>
          <w:color w:val="8C8C8C"/>
          <w:sz w:val="12"/>
        </w:rPr>
        <w:t>cf-art-37-inc-I</w:t>
      </w:r>
      <w:r>
        <w:rPr>
          <w:color w:val="003CA0"/>
          <w:sz w:val="12"/>
        </w:rPr>
        <w:t xml:space="preserve"> | RE 608.482</w:t>
      </w:r>
      <w:r>
        <w:rPr>
          <w:color w:val="003CA0"/>
          <w:sz w:val="12"/>
        </w:rPr>
        <w:t xml:space="preserve"> | rel. Teori Zavascki</w:t>
      </w:r>
    </w:p>
    <w:p>
      <w:pPr>
        <w:ind w:left="288"/>
      </w:pPr>
      <w:r>
        <w:rPr>
          <w:color w:val="1E1E1E"/>
          <w:sz w:val="18"/>
        </w:rPr>
        <w:t>Não é compatível com o regime constitucional de acesso aos cargos públicos a manutenção no cargo, sob fundamento de fato consumado, de candidato não aprovado que nele tomou posse em decorrência de execução provisória de medida liminar ou outro provimento judicial de natureza precária, supervenientemente revogado ou modificado.</w:t>
      </w:r>
    </w:p>
    <w:p>
      <w:pPr>
        <w:ind w:left="288"/>
      </w:pPr>
      <w:r>
        <w:rPr>
          <w:b/>
          <w:color w:val="003CA0"/>
          <w:sz w:val="16"/>
        </w:rPr>
        <w:t>[RE 608.482, rel. min. Teori Zavascki, j. 7-8-2014, P, DJE de 30-10-2014, Tema 476, com mérito julgado.]</w:t>
        <w:br/>
        <w:t>Vide: MS 39.800, rel. min Nunes Marques, j. 2.10.2024, 2ª T, DJE de 18.12.2024.</w:t>
      </w:r>
    </w:p>
    <w:p>
      <w:pPr>
        <w:ind w:left="288"/>
      </w:pPr>
      <w:r>
        <w:rPr>
          <w:color w:val="8C8C8C"/>
          <w:sz w:val="12"/>
        </w:rPr>
        <w:t>cf-art-37-inc-I</w:t>
      </w:r>
      <w:r>
        <w:rPr>
          <w:color w:val="003CA0"/>
          <w:sz w:val="12"/>
        </w:rPr>
        <w:t xml:space="preserve"> | RE 658.026</w:t>
      </w:r>
      <w:r>
        <w:rPr>
          <w:color w:val="003CA0"/>
          <w:sz w:val="12"/>
        </w:rPr>
        <w:t xml:space="preserve"> | rel. Dias Toffoli</w:t>
      </w:r>
    </w:p>
    <w:p>
      <w:pPr>
        <w:ind w:left="288"/>
      </w:pPr>
      <w:r>
        <w:rPr>
          <w:color w:val="1E1E1E"/>
          <w:sz w:val="18"/>
        </w:rPr>
        <w:t>Ação direta de inconstitucionalidade de lei municipal em face de trecho da Constituição do Estado de Minas Gerais que repete texto da CF. (...) Contratação temporária por tempo determinado para atendimento a necessidade temporária de excepcional interesse público. Previsão em lei municipal de atividades ordinárias e regulares. Definição dos conteúdos jurídicos do art. 37, II e IX, da CF. Descumprimento dos requisitos constitucionais. (...) Prevalência da regra da obrigatoriedade do concurso público (art. 37, II, CF). As regras que restringem o cumprimento desse dispositivo estão previstas na C</w:t>
      </w:r>
    </w:p>
    <w:p>
      <w:pPr>
        <w:ind w:left="288"/>
      </w:pPr>
      <w:r>
        <w:rPr>
          <w:b/>
          <w:color w:val="003CA0"/>
          <w:sz w:val="16"/>
        </w:rPr>
        <w:t>[RE 658.026, rel. min. Dias Toffoli, j. 9-4-2014, P, DJE de 31-10-2014, Tema 612, com mérito julgado.]</w:t>
      </w:r>
    </w:p>
    <w:p>
      <w:pPr>
        <w:ind w:left="288"/>
      </w:pPr>
      <w:r>
        <w:rPr>
          <w:color w:val="8C8C8C"/>
          <w:sz w:val="12"/>
        </w:rPr>
        <w:t>cf-art-37-inc-I</w:t>
      </w:r>
      <w:r>
        <w:rPr>
          <w:color w:val="003CA0"/>
          <w:sz w:val="12"/>
        </w:rPr>
        <w:t xml:space="preserve"> | ADI 2.229</w:t>
      </w:r>
      <w:r>
        <w:rPr>
          <w:color w:val="003CA0"/>
          <w:sz w:val="12"/>
        </w:rPr>
        <w:t xml:space="preserve"> | rel. Carlos Velloso</w:t>
      </w:r>
    </w:p>
    <w:p>
      <w:pPr>
        <w:ind w:left="288"/>
      </w:pPr>
      <w:r>
        <w:rPr>
          <w:color w:val="1E1E1E"/>
          <w:sz w:val="18"/>
        </w:rPr>
        <w:t>Vide ADI 2.229, rel. min. Carlos Velloso, j. 9-6-2004, P, DJ de 25-6-2004 Concurso Público. Edital. Cláusulas de Barreira. Alegação de violação aos arts. 5º, caput, e 37, inciso I, da Constituição Federal. Regras restritivas em editais de concurso público, quando fundadas em critérios objetivos relacionados ao desempenho meritório do candidato, não ferem o princípio da isonomia. As cláusulas de barreira em concurso público, para seleção dos candidatos mais bem classificados, têm amparo constitucional.</w:t>
      </w:r>
    </w:p>
    <w:p>
      <w:pPr>
        <w:ind w:left="288"/>
      </w:pPr>
      <w:r>
        <w:rPr>
          <w:b/>
          <w:color w:val="003CA0"/>
          <w:sz w:val="16"/>
        </w:rPr>
        <w:t>[RE 635.739, voto do rel. min. Gilmar Mendes, j. 19-2-2014, P, DJE de 3-10-2014, Tema 376, com mérito julgado.]</w:t>
      </w:r>
    </w:p>
    <w:p>
      <w:pPr>
        <w:ind w:left="288"/>
      </w:pPr>
      <w:r>
        <w:rPr>
          <w:color w:val="8C8C8C"/>
          <w:sz w:val="12"/>
        </w:rPr>
        <w:t>cf-art-37-inc-I</w:t>
      </w:r>
      <w:r>
        <w:rPr>
          <w:color w:val="003CA0"/>
          <w:sz w:val="12"/>
        </w:rPr>
        <w:t xml:space="preserve"> | RE 630.733</w:t>
      </w:r>
      <w:r>
        <w:rPr>
          <w:color w:val="003CA0"/>
          <w:sz w:val="12"/>
        </w:rPr>
        <w:t xml:space="preserve"> | rel. Gilmar Mendes</w:t>
      </w:r>
    </w:p>
    <w:p>
      <w:pPr>
        <w:ind w:left="288"/>
      </w:pPr>
      <w:r>
        <w:rPr>
          <w:color w:val="1E1E1E"/>
          <w:sz w:val="18"/>
        </w:rPr>
        <w:t>Remarcação de teste de aptidão física em concurso público em razão de problema temporário de saúde. Vedação expressa em edital. Constitucionalidade. Violação ao princípio da isonomia. Não ocorrência. Postulado do qual não decorre, de plano, a possibilidade de realização de segunda chamada em etapa de concurso público em virtude de situações pessoais do candidato. Cláusula editalícia que confere eficácia ao princípio da isonomia à luz dos postulados da impessoalidade e da supremacia do interesse público. Inexistência de direito constitucional à remarcação de provas em razão de circunstâncias pe</w:t>
      </w:r>
    </w:p>
    <w:p>
      <w:pPr>
        <w:ind w:left="288"/>
      </w:pPr>
      <w:r>
        <w:rPr>
          <w:b/>
          <w:color w:val="003CA0"/>
          <w:sz w:val="16"/>
        </w:rPr>
        <w:t>[RE 598.099, rel. min. Gilmar Mendes, j. 10-8-2011, P, DJE de 3-10-2011, Tema 161, com mérito julgado.]</w:t>
      </w:r>
    </w:p>
    <w:p>
      <w:pPr>
        <w:ind w:left="288"/>
      </w:pPr>
      <w:r>
        <w:rPr>
          <w:color w:val="8C8C8C"/>
          <w:sz w:val="12"/>
        </w:rPr>
        <w:t>cf-art-37-inc-I</w:t>
      </w:r>
      <w:r>
        <w:rPr>
          <w:color w:val="003CA0"/>
          <w:sz w:val="12"/>
        </w:rPr>
        <w:t xml:space="preserve"> | RE 837.311</w:t>
      </w:r>
      <w:r>
        <w:rPr>
          <w:color w:val="003CA0"/>
          <w:sz w:val="12"/>
        </w:rPr>
        <w:t xml:space="preserve"> | rel. Luiz Fux</w:t>
      </w:r>
    </w:p>
    <w:p>
      <w:pPr>
        <w:ind w:left="288"/>
      </w:pPr>
      <w:r>
        <w:rPr>
          <w:color w:val="1E1E1E"/>
          <w:sz w:val="18"/>
        </w:rPr>
        <w:t>Vide RE 837.311, rel. min. Luiz Fux, j. 9-12-2015, P, DJE de 18-4-2016, Tema 784, com mérito julgado. Concurso público. Segurança pública. Investigação social. Previsão legal e editalícia. Ação penal em curso por crime de homicídio. Ato administrativo de exclusão do candidato. Compatibilidade com a tese do tema 22 da RG. (...) O agravo não demonstra o desacerto da decisão agravada, que se baseou na jurisprudência do STF, permitindo exceção ao tema 22 em casos de segurança pública, considerando a gravidade e as peculiaridades do cargo. A absolvição posterior não invalida a análise administrativ</w:t>
      </w:r>
    </w:p>
    <w:p>
      <w:pPr>
        <w:ind w:left="288"/>
      </w:pPr>
      <w:r>
        <w:rPr>
          <w:b/>
          <w:color w:val="003CA0"/>
          <w:sz w:val="16"/>
        </w:rPr>
        <w:t>[RE 1.487.107 AgR, rel. min. Gilmar Mendes, j. 22.09.2025, 2ª T, DJE de 23.09.2025.]</w:t>
      </w:r>
    </w:p>
    <w:p>
      <w:pPr>
        <w:ind w:left="288"/>
      </w:pPr>
      <w:r>
        <w:rPr>
          <w:color w:val="8C8C8C"/>
          <w:sz w:val="12"/>
        </w:rPr>
        <w:t>cf-art-37-inc-I</w:t>
      </w:r>
      <w:r>
        <w:rPr>
          <w:color w:val="003CA0"/>
          <w:sz w:val="12"/>
        </w:rPr>
        <w:t xml:space="preserve"> | RCL 74.699</w:t>
      </w:r>
      <w:r>
        <w:rPr>
          <w:color w:val="003CA0"/>
          <w:sz w:val="12"/>
        </w:rPr>
        <w:t xml:space="preserve"> | rel. Flávio Dino</w:t>
      </w:r>
    </w:p>
    <w:p>
      <w:pPr>
        <w:ind w:left="288"/>
      </w:pPr>
      <w:r>
        <w:rPr>
          <w:color w:val="1E1E1E"/>
          <w:sz w:val="18"/>
        </w:rPr>
        <w:t>O Supremo Tribunal Federal, ao fixar a tese no Tema 376 da Repercussão Geral, reconheceu a constitucionalidade da cláusula de barreira em concursos públicos, sem condicioná-la à suficiência do número de candidatos aprovados para o cadastro reserva. A eventual escassez de candidatos classificados não afasta a validade da cláusula. O acórdão reclamado aplicou corretamente o entendimento vinculante ao decidir que a subestimativa do número de aprovados para cadastro reserva não torna inconstitucional a cláusula de barreira, tampouco gera direito à reintegração de candidatos eliminados.</w:t>
      </w:r>
    </w:p>
    <w:p>
      <w:pPr>
        <w:ind w:left="288"/>
      </w:pPr>
      <w:r>
        <w:rPr>
          <w:b/>
          <w:color w:val="003CA0"/>
          <w:sz w:val="16"/>
        </w:rPr>
        <w:t>[Rcl 74.699 AgR, rel. min. Flávio Dino, j. 05.03.2025, 1ª T, DJE de 13.03.2025.]</w:t>
      </w:r>
    </w:p>
    <w:p>
      <w:pPr>
        <w:ind w:left="288"/>
      </w:pPr>
      <w:r>
        <w:rPr>
          <w:color w:val="8C8C8C"/>
          <w:sz w:val="12"/>
        </w:rPr>
        <w:t>cf-art-37-inc-I</w:t>
      </w:r>
      <w:r>
        <w:rPr>
          <w:color w:val="003CA0"/>
          <w:sz w:val="12"/>
        </w:rPr>
        <w:t xml:space="preserve"> | RCL 55.801</w:t>
      </w:r>
      <w:r>
        <w:rPr>
          <w:color w:val="003CA0"/>
          <w:sz w:val="12"/>
        </w:rPr>
        <w:t xml:space="preserve"> | rel. Edson Fachin</w:t>
      </w:r>
    </w:p>
    <w:p>
      <w:pPr>
        <w:ind w:left="288"/>
      </w:pPr>
      <w:r>
        <w:rPr>
          <w:color w:val="1E1E1E"/>
          <w:sz w:val="18"/>
        </w:rPr>
        <w:t>O candidato aprovado fora do número de vagas previstas no edital possui direito subjetivo à nomeação quando, em decorrência da desistência de candidatos nomeados classificados em colocação superior, passe ele a figurar entre as vagas constantes do edital.</w:t>
        <w:br/>
        <w:t>[Rcl 55.801 AgR, rel. min. Edson Fachin, j. 24-10-2023, 2ª T, DJE de 8-11-2023.]</w:t>
      </w:r>
    </w:p>
    <w:p>
      <w:pPr>
        <w:ind w:left="144"/>
      </w:pPr>
      <w:r>
        <w:rPr>
          <w:b/>
          <w:color w:val="B45A00"/>
          <w:sz w:val="16"/>
        </w:rPr>
        <w:t>JULGADOS CORRELATOS</w:t>
      </w:r>
    </w:p>
    <w:p>
      <w:pPr>
        <w:ind w:left="288"/>
      </w:pPr>
      <w:r>
        <w:rPr>
          <w:color w:val="8C8C8C"/>
          <w:sz w:val="12"/>
        </w:rPr>
        <w:t>cf-art-37-inc-I</w:t>
      </w:r>
      <w:r>
        <w:rPr>
          <w:color w:val="003CA0"/>
          <w:sz w:val="12"/>
        </w:rPr>
        <w:t xml:space="preserve"> | MS 36.790</w:t>
      </w:r>
      <w:r>
        <w:rPr>
          <w:color w:val="003CA0"/>
          <w:sz w:val="12"/>
        </w:rPr>
        <w:t xml:space="preserve"> | rel. Edson Fachin</w:t>
      </w:r>
    </w:p>
    <w:p>
      <w:pPr>
        <w:ind w:left="288"/>
      </w:pPr>
      <w:r>
        <w:rPr>
          <w:color w:val="1E1E1E"/>
          <w:sz w:val="18"/>
        </w:rPr>
        <w:t>A reintegração de empregado público anistiado deve ser feita mediante observância ao regime jurídico ao qual estava submetido à época de sua admissão. No caso, o impetrante estava submetido ao regime celetista, estando correto o ato que o reintegrou à Administração mantendo-o sob o regime celetista. As portarias que sucederam o ato de reintegração e alteraram o regime do impetrante anistiado de celetista para estatutário o fizeram em flagrante violação do disposto no art. 37, inciso II, da Carta Magna de 1988. A flagrante inconstitucionalidade da transposição de regime jurídico sem a aprovação</w:t>
      </w:r>
    </w:p>
    <w:p>
      <w:pPr>
        <w:ind w:left="288"/>
      </w:pPr>
      <w:r>
        <w:rPr>
          <w:b/>
          <w:color w:val="003CA0"/>
          <w:sz w:val="16"/>
        </w:rPr>
        <w:t>[RE 1.384.699 AgR, rel. min. Alexandre de Moraes, j. 16-8-2022, 1ª T, DJE de 19-8-2022.]</w:t>
      </w:r>
    </w:p>
    <w:p>
      <w:pPr>
        <w:ind w:left="288"/>
      </w:pPr>
      <w:r>
        <w:rPr>
          <w:color w:val="8C8C8C"/>
          <w:sz w:val="12"/>
        </w:rPr>
        <w:t>cf-art-37-inc-I</w:t>
      </w:r>
      <w:r>
        <w:rPr>
          <w:color w:val="003CA0"/>
          <w:sz w:val="12"/>
        </w:rPr>
        <w:t xml:space="preserve"> | RCL 47.586</w:t>
      </w:r>
      <w:r>
        <w:rPr>
          <w:color w:val="003CA0"/>
          <w:sz w:val="12"/>
        </w:rPr>
        <w:t xml:space="preserve"> | rel. Dias Toffoli</w:t>
      </w:r>
    </w:p>
    <w:p>
      <w:pPr>
        <w:ind w:left="288"/>
      </w:pPr>
      <w:r>
        <w:rPr>
          <w:color w:val="1E1E1E"/>
          <w:sz w:val="18"/>
        </w:rPr>
        <w:t>A Primeira Turma (Rcl 47.586-AgR, red. do ac. Min. Alexandre de Moraes, sessão de 8/2/22) firmou o entendimento de que a mitigação da tese do Tema 22 da Repercussão Geral é legítima quando o debate envolver certame para as carreiras policiais, mantendo a exclusão do candidato feita por banca de concurso público quando justificada no desabono da conduta social fundado em fatos narrados em inquérito policial ou ação penal, em conformidade com a fase de investigação social prevista no edital do respectivo concurso.</w:t>
      </w:r>
    </w:p>
    <w:p>
      <w:pPr>
        <w:ind w:left="288"/>
      </w:pPr>
      <w:r>
        <w:rPr>
          <w:b/>
          <w:color w:val="003CA0"/>
          <w:sz w:val="16"/>
        </w:rPr>
        <w:t>[Rcl 48.525 AgR, rel. min. Dias Toffoli, j. 11-4-2022, 1ª T, DJE de 13-5-2022.]</w:t>
      </w:r>
    </w:p>
    <w:p>
      <w:pPr>
        <w:ind w:left="288"/>
      </w:pPr>
      <w:r>
        <w:rPr>
          <w:color w:val="8C8C8C"/>
          <w:sz w:val="12"/>
        </w:rPr>
        <w:t>cf-art-37-inc-I</w:t>
      </w:r>
      <w:r>
        <w:rPr>
          <w:color w:val="003CA0"/>
          <w:sz w:val="12"/>
        </w:rPr>
        <w:t xml:space="preserve"> | RE 560.900</w:t>
      </w:r>
      <w:r>
        <w:rPr>
          <w:color w:val="003CA0"/>
          <w:sz w:val="12"/>
        </w:rPr>
        <w:t xml:space="preserve"> | rel. Roberto Barroso</w:t>
      </w:r>
    </w:p>
    <w:p>
      <w:pPr>
        <w:ind w:left="288"/>
      </w:pPr>
      <w:r>
        <w:rPr>
          <w:color w:val="1E1E1E"/>
          <w:sz w:val="18"/>
        </w:rPr>
        <w:t>Vide RE 560.900, rel. min. Roberto Barroso, j. 6-2-2020, P, DJE de 17-8-2020, Tema 22, com mérito julgado. O Plenário do Supremo Tribunal Federal, no julgamento do (...) precedente paradigma, fixou tese no sentido de que: ‘É constitucional a remarcação do teste de aptidão física de candidata que esteja grávida à época de sua realização, independentemente da previsão expressa em edital do concurso público.’ Não obstante o Tema 973 refira-se à eliminação de candidata gestante quando da realização do teste de atividade física, com mais razão ainda a tese deve ser aplicada à candidata que logrou ê</w:t>
      </w:r>
    </w:p>
    <w:p>
      <w:pPr>
        <w:ind w:left="288"/>
      </w:pPr>
      <w:r>
        <w:rPr>
          <w:b/>
          <w:color w:val="003CA0"/>
          <w:sz w:val="16"/>
        </w:rPr>
        <w:t>[RE 1.357.064 AgR, rel. min. Alexandre de Moraes, j. 2-3-2022, 1ª T, DJE de 8-3-2022.]</w:t>
      </w:r>
    </w:p>
    <w:p>
      <w:pPr>
        <w:ind w:left="288"/>
      </w:pPr>
      <w:r>
        <w:rPr>
          <w:color w:val="8C8C8C"/>
          <w:sz w:val="12"/>
        </w:rPr>
        <w:t>cf-art-37-inc-I</w:t>
      </w:r>
      <w:r>
        <w:rPr>
          <w:color w:val="003CA0"/>
          <w:sz w:val="12"/>
        </w:rPr>
        <w:t xml:space="preserve"> | RE 1.058.333</w:t>
      </w:r>
      <w:r>
        <w:rPr>
          <w:color w:val="003CA0"/>
          <w:sz w:val="12"/>
        </w:rPr>
        <w:t xml:space="preserve"> | rel. Luiz Fux</w:t>
      </w:r>
    </w:p>
    <w:p>
      <w:pPr>
        <w:ind w:left="288"/>
      </w:pPr>
      <w:r>
        <w:rPr>
          <w:color w:val="1E1E1E"/>
          <w:sz w:val="18"/>
        </w:rPr>
        <w:t>Vide RE 1.058.333, rel. min. Luiz Fux, j. 21-11-2018, P, DJE de 27-7-2020, Tema 973 Embora a jurisprudência do STF seja no sentido de que a desistência dos candidatos mais bem classificados dentro do prazo de validade do certame público garante aos aprovados fora do número de vagas o direito subjetivo à nomeação, esse entendimento não se estende aos casos de exoneração de servidor público. Diferentemente da desistência - ato praticado em curto espaço de tempo após a convocação do candidato -, a exoneração pode acontecer em qualquer momento, inclusive anos depois da nomeação e posse. Aceitar qu</w:t>
      </w:r>
    </w:p>
    <w:p>
      <w:pPr>
        <w:ind w:left="288"/>
      </w:pPr>
      <w:r>
        <w:rPr>
          <w:b/>
          <w:color w:val="003CA0"/>
          <w:sz w:val="16"/>
        </w:rPr>
        <w:t>[ARE 1.344.138 AgR, rel. min. Alexandre de Moraes, j. 16-11-2021, 1ª T, DJE de 23-11-2021.]</w:t>
      </w:r>
    </w:p>
    <w:p>
      <w:pPr>
        <w:ind w:left="288"/>
      </w:pPr>
      <w:r>
        <w:rPr>
          <w:color w:val="8C8C8C"/>
          <w:sz w:val="12"/>
        </w:rPr>
        <w:t>cf-art-37-inc-I</w:t>
      </w:r>
      <w:r>
        <w:rPr>
          <w:color w:val="003CA0"/>
          <w:sz w:val="12"/>
        </w:rPr>
        <w:t xml:space="preserve"> | ACO 1.957</w:t>
      </w:r>
      <w:r>
        <w:rPr>
          <w:color w:val="003CA0"/>
          <w:sz w:val="12"/>
        </w:rPr>
        <w:t xml:space="preserve"> | rel. Marco Aurélio</w:t>
      </w:r>
    </w:p>
    <w:p>
      <w:pPr>
        <w:ind w:left="288"/>
      </w:pPr>
      <w:r>
        <w:rPr>
          <w:color w:val="1E1E1E"/>
          <w:sz w:val="18"/>
        </w:rPr>
        <w:t>Itaipu Binacional. (...) Não se aplica o artigo 37, inciso II, da Constituição Federal às contratações de empregados realizadas por Itaipu.</w:t>
      </w:r>
    </w:p>
    <w:p>
      <w:pPr>
        <w:ind w:left="288"/>
      </w:pPr>
      <w:r>
        <w:rPr>
          <w:b/>
          <w:color w:val="003CA0"/>
          <w:sz w:val="16"/>
        </w:rPr>
        <w:t>[ACO 1.957, rel. min. Marco Aurélio, j. 8-9-2020, P, DJE de 24-9-2020.]</w:t>
      </w:r>
    </w:p>
    <w:p>
      <w:pPr>
        <w:ind w:left="288"/>
      </w:pPr>
      <w:r>
        <w:rPr>
          <w:color w:val="8C8C8C"/>
          <w:sz w:val="12"/>
        </w:rPr>
        <w:t>cf-art-37-inc-I</w:t>
      </w:r>
      <w:r>
        <w:rPr>
          <w:color w:val="003CA0"/>
          <w:sz w:val="12"/>
        </w:rPr>
        <w:t xml:space="preserve"> | RE 655.265</w:t>
      </w:r>
      <w:r>
        <w:rPr>
          <w:color w:val="003CA0"/>
          <w:sz w:val="12"/>
        </w:rPr>
        <w:t xml:space="preserve"> | rel. Luiz Fux</w:t>
      </w:r>
    </w:p>
    <w:p>
      <w:pPr>
        <w:ind w:left="288"/>
      </w:pPr>
      <w:r>
        <w:rPr>
          <w:color w:val="1E1E1E"/>
          <w:sz w:val="18"/>
        </w:rPr>
        <w:t>O candidato nomeado tardiamente por força de decisão judicial não tem direito à contagem retroativa do tempo de serviço e aos demais efeitos funcionais ou previdenciários a partir da data em que deveria ter sido nomeado. A investidura no cargo, através da nomeação, seguida da posse e do efetivo exercício, é que gera o direito às prerrogativas funcionais inerentes ao cargo público, sob pena de enriquecimento ilícito.</w:t>
      </w:r>
    </w:p>
    <w:p>
      <w:pPr>
        <w:ind w:left="288"/>
      </w:pPr>
      <w:r>
        <w:rPr>
          <w:b/>
          <w:color w:val="003CA0"/>
          <w:sz w:val="16"/>
        </w:rPr>
        <w:t>[RE 655.265-AgR, rel. min. Luiz Fux, j. 5-4-2019, P, DJE de 2-5-2019.]</w:t>
      </w:r>
    </w:p>
    <w:p>
      <w:pPr>
        <w:ind w:left="288"/>
      </w:pPr>
      <w:r>
        <w:rPr>
          <w:color w:val="8C8C8C"/>
          <w:sz w:val="12"/>
        </w:rPr>
        <w:t>cf-art-37-inc-I</w:t>
      </w:r>
      <w:r>
        <w:rPr>
          <w:color w:val="003CA0"/>
          <w:sz w:val="12"/>
        </w:rPr>
        <w:t xml:space="preserve"> | RE 837.311</w:t>
      </w:r>
      <w:r>
        <w:rPr>
          <w:color w:val="003CA0"/>
          <w:sz w:val="12"/>
        </w:rPr>
        <w:t xml:space="preserve"> | rel. Marco Aurélio</w:t>
      </w:r>
    </w:p>
    <w:p>
      <w:pPr>
        <w:ind w:left="288"/>
      </w:pPr>
      <w:r>
        <w:rPr>
          <w:color w:val="1E1E1E"/>
          <w:sz w:val="18"/>
        </w:rPr>
        <w:t>Concurso público de admissão à carreira de diplomata. (...) O candidato foi aprovado fora das vagas previstas em edital, e, tendo sido demonstrada nos autos a ausência do surgimento de novas vagas ou abertura de novo certame durante o prazo de validade do certame, resta inadequada a pretensão de aplicação do precedente julgado pelo Plenário no RE 837.311 RG. A simples consulta feita pelo Ministério das Relações Exteriores ao Ministério do Planejamento, Orçamento e Gestão, acerca da viabilidade orçamentária para o provimento de eventual vaga adicional ao Concurso de Admissão à Carreira de Diplo</w:t>
      </w:r>
    </w:p>
    <w:p>
      <w:pPr>
        <w:ind w:left="288"/>
      </w:pPr>
      <w:r>
        <w:rPr>
          <w:b/>
          <w:color w:val="003CA0"/>
          <w:sz w:val="16"/>
        </w:rPr>
        <w:t>[MS 31.708, rel. min. Marco Aurélio, j. 19-5-2015, 1ª T, DJE de 8-6-2015.]</w:t>
      </w:r>
    </w:p>
    <w:p>
      <w:pPr>
        <w:ind w:left="288"/>
      </w:pPr>
      <w:r>
        <w:rPr>
          <w:color w:val="8C8C8C"/>
          <w:sz w:val="12"/>
        </w:rPr>
        <w:t>cf-art-37-inc-I</w:t>
      </w:r>
      <w:r>
        <w:rPr>
          <w:color w:val="003CA0"/>
          <w:sz w:val="12"/>
        </w:rPr>
        <w:t xml:space="preserve"> | AI 706.869</w:t>
      </w:r>
      <w:r>
        <w:rPr>
          <w:color w:val="003CA0"/>
          <w:sz w:val="12"/>
        </w:rPr>
        <w:t xml:space="preserve"> | rel. Roberto Barroso</w:t>
      </w:r>
    </w:p>
    <w:p>
      <w:pPr>
        <w:ind w:left="288"/>
      </w:pPr>
      <w:r>
        <w:rPr>
          <w:color w:val="1E1E1E"/>
          <w:sz w:val="18"/>
        </w:rPr>
        <w:t>Hipótese em que a edição de resolução pelo TSE, que determinava que as vagas criadas posteriormente fossem preenchidas com o concurso então vigente, retirou do TRE a discricionariedade de optar por fazer um novo concurso ou aproveitar os que já estavam concursados. Diante de tal peculiaridade, reconhece-se o direito subjetivo à nomeação, devendo ser respeitada a ordem de classificação do concurso público.</w:t>
      </w:r>
    </w:p>
    <w:p>
      <w:pPr>
        <w:ind w:left="288"/>
      </w:pPr>
      <w:r>
        <w:rPr>
          <w:b/>
          <w:color w:val="003CA0"/>
          <w:sz w:val="16"/>
        </w:rPr>
        <w:t>[AI 706.869 AgR, rel. min. Roberto Barroso, j. 16-12-2014, 1ª T, DJE de 19-2-2015.]</w:t>
        <w:br/>
        <w:t>= RE 591.393 AgR-terceiro, rel. min. Edson Fachin, j. 1º-12-2017, 2ª T, DJE de 14-12-2017</w:t>
      </w:r>
    </w:p>
    <w:p>
      <w:pPr>
        <w:ind w:left="288"/>
      </w:pPr>
      <w:r>
        <w:rPr>
          <w:color w:val="8C8C8C"/>
          <w:sz w:val="12"/>
        </w:rPr>
        <w:t>cf-art-37-inc-I</w:t>
      </w:r>
      <w:r>
        <w:rPr>
          <w:color w:val="003CA0"/>
          <w:sz w:val="12"/>
        </w:rPr>
        <w:t xml:space="preserve"> | RE 534.738</w:t>
      </w:r>
    </w:p>
    <w:p>
      <w:pPr>
        <w:ind w:left="288"/>
      </w:pPr>
      <w:r>
        <w:rPr>
          <w:color w:val="1E1E1E"/>
          <w:sz w:val="18"/>
        </w:rPr>
        <w:t>Inaplicável a teoria do fato consumado em favor de candidato que permaneceu no cargo público por pouco mais de dois anos, ainda assim por força de medida cautelar cassada por órgão colegiado.</w:t>
      </w:r>
    </w:p>
    <w:p>
      <w:pPr>
        <w:ind w:left="288"/>
      </w:pPr>
      <w:r>
        <w:rPr>
          <w:b/>
          <w:color w:val="003CA0"/>
          <w:sz w:val="16"/>
        </w:rPr>
        <w:t>[RE 534.738 2ºJULG, red. do ac. min. Roberto Barroso, j. 11-11-2014, 1ª T, DJE de 19-2-2015.]</w:t>
      </w:r>
    </w:p>
    <w:p>
      <w:pPr>
        <w:ind w:left="288"/>
      </w:pPr>
      <w:r>
        <w:rPr>
          <w:color w:val="8C8C8C"/>
          <w:sz w:val="12"/>
        </w:rPr>
        <w:t>cf-art-37-inc-I</w:t>
      </w:r>
      <w:r>
        <w:rPr>
          <w:color w:val="003CA0"/>
          <w:sz w:val="12"/>
        </w:rPr>
        <w:t xml:space="preserve"> | MS 32.074</w:t>
      </w:r>
      <w:r>
        <w:rPr>
          <w:color w:val="003CA0"/>
          <w:sz w:val="12"/>
        </w:rPr>
        <w:t xml:space="preserve"> | rel. Luiz Fux</w:t>
      </w:r>
    </w:p>
    <w:p>
      <w:pPr>
        <w:ind w:left="288"/>
      </w:pPr>
      <w:r>
        <w:rPr>
          <w:color w:val="1E1E1E"/>
          <w:sz w:val="18"/>
        </w:rPr>
        <w:t>As provas de títulos em concursos públicos para provimento de cargos efetivos no seio da administração pública brasileira, qualquer que seja o Poder de que se trate ou o nível federativo de que se cuide, não podem ostentar natureza eliminatória, prestando-se apenas para classificar os candidatos, sem jamais justificar sua eliminação do certame, consoante se extrai, contrario sensu, do art. 37, II, da Constituição da República.</w:t>
      </w:r>
    </w:p>
    <w:p>
      <w:pPr>
        <w:ind w:left="288"/>
      </w:pPr>
      <w:r>
        <w:rPr>
          <w:b/>
          <w:color w:val="003CA0"/>
          <w:sz w:val="16"/>
        </w:rPr>
        <w:t>[MS 32.074, rel. min. Luiz Fux, j. 2-9-2014, 1ª T, DJE de 5-11-2014.]</w:t>
      </w:r>
    </w:p>
    <w:p>
      <w:pPr>
        <w:ind w:left="288"/>
      </w:pPr>
      <w:r>
        <w:rPr>
          <w:color w:val="8C8C8C"/>
          <w:sz w:val="12"/>
        </w:rPr>
        <w:t>cf-art-37-inc-I</w:t>
      </w:r>
      <w:r>
        <w:rPr>
          <w:color w:val="003CA0"/>
          <w:sz w:val="12"/>
        </w:rPr>
        <w:t xml:space="preserve"> | RMS 31.721</w:t>
      </w:r>
      <w:r>
        <w:rPr>
          <w:color w:val="003CA0"/>
          <w:sz w:val="12"/>
        </w:rPr>
        <w:t xml:space="preserve"> | rel. Luiz Fux</w:t>
      </w:r>
    </w:p>
    <w:p>
      <w:pPr>
        <w:ind w:left="288"/>
      </w:pPr>
      <w:r>
        <w:rPr>
          <w:color w:val="1E1E1E"/>
          <w:sz w:val="18"/>
        </w:rPr>
        <w:t>Os anistiados, quando readmitidos, sujeitam-se ao vínculo celetista, segundo a legislação vigente à época dos fatos. In casu, os recorrentes foram despedidos em abril de 1990, data anterior à promulgação da Lei 8.112, de 11 de dezembro de 1990 (Regime Jurídico Único obrigatório), razão pela qual não estavam sujeitos às suas disposições, inclusive em relação ao que previsto no art. 243.</w:t>
      </w:r>
    </w:p>
    <w:p>
      <w:pPr>
        <w:ind w:left="288"/>
      </w:pPr>
      <w:r>
        <w:rPr>
          <w:b/>
          <w:color w:val="003CA0"/>
          <w:sz w:val="16"/>
        </w:rPr>
        <w:t>[RMS 31.721 AgR, rel. min. Luiz Fux, j. 11-3-2014, 1ª T, DJE de 28-3-2014.]</w:t>
      </w:r>
    </w:p>
    <w:p>
      <w:pPr>
        <w:ind w:left="288"/>
      </w:pPr>
      <w:r>
        <w:rPr>
          <w:color w:val="8C8C8C"/>
          <w:sz w:val="12"/>
        </w:rPr>
        <w:t>cf-art-37-inc-I</w:t>
      </w:r>
      <w:r>
        <w:rPr>
          <w:color w:val="003CA0"/>
          <w:sz w:val="12"/>
        </w:rPr>
        <w:t xml:space="preserve"> | AI 759.882</w:t>
      </w:r>
      <w:r>
        <w:rPr>
          <w:color w:val="003CA0"/>
          <w:sz w:val="12"/>
        </w:rPr>
        <w:t xml:space="preserve"> | rel. Marco Aurélio</w:t>
      </w:r>
    </w:p>
    <w:p>
      <w:pPr>
        <w:ind w:left="288"/>
      </w:pPr>
      <w:r>
        <w:rPr>
          <w:color w:val="1E1E1E"/>
          <w:sz w:val="18"/>
        </w:rPr>
        <w:t>É importante destacar o que decidido na origem. O Tribunal de Justiça do Estado de Minas Gerais não disse do impedimento de proceder-se à exoneração de servidora ocupante meramente de cargo em comissão. Ressaltou, isso sim, a inviabilidade de fazê-lo no curso de licença médica para tratamento de câncer, presente a estabilidade provisória. Daí a pertinência dos precedentes mencionados na decisão impugnada. Em momento algum, o deslinde da controvérsia implicou violação à Carta da República, no que prevista, no art. 37, cabeça e inciso II, a necessidade de prévia aprovação em concurso público par</w:t>
      </w:r>
    </w:p>
    <w:p>
      <w:pPr>
        <w:ind w:left="288"/>
      </w:pPr>
      <w:r>
        <w:rPr>
          <w:b/>
          <w:color w:val="003CA0"/>
          <w:sz w:val="16"/>
        </w:rPr>
        <w:t>[AI 759.882 AgR, voto do rel. min. Marco Aurélio, j. 10-12-2013, 1ª T, DJE de 3-2-2014.]</w:t>
      </w:r>
    </w:p>
    <w:p>
      <w:pPr>
        <w:ind w:left="288"/>
      </w:pPr>
      <w:r>
        <w:rPr>
          <w:color w:val="8C8C8C"/>
          <w:sz w:val="12"/>
        </w:rPr>
        <w:t>cf-art-37-inc-I</w:t>
      </w:r>
      <w:r>
        <w:rPr>
          <w:color w:val="003CA0"/>
          <w:sz w:val="12"/>
        </w:rPr>
        <w:t xml:space="preserve"> | AR 2.137</w:t>
      </w:r>
      <w:r>
        <w:rPr>
          <w:color w:val="003CA0"/>
          <w:sz w:val="12"/>
        </w:rPr>
        <w:t xml:space="preserve"> | rel. Dias Toffoli</w:t>
      </w:r>
    </w:p>
    <w:p>
      <w:pPr>
        <w:ind w:left="288"/>
      </w:pPr>
      <w:r>
        <w:rPr>
          <w:color w:val="1E1E1E"/>
          <w:sz w:val="18"/>
        </w:rPr>
        <w:t>Viola a CF o enquadramento de servidor, sem concurso público, em cargo diverso daquele de que é titular. Mesmo antes da CF de 1988, o STF tinha entendimento firmado no sentido da impossibilidade de convalidação da situação do servidor em desvio de função, seja para efetivá-lo no cargo ou para lhe deferir o pagamento da diferença remuneratória correspondente. (...) O fato de ocorrer o desvio de função não autoriza o enquadramento do servidor público em cargo diverso daquele em que foi inicialmente investido, mormente quando esses cargos não estão compreendidos em uma mesma carreira.</w:t>
      </w:r>
    </w:p>
    <w:p>
      <w:pPr>
        <w:ind w:left="288"/>
      </w:pPr>
      <w:r>
        <w:rPr>
          <w:b/>
          <w:color w:val="003CA0"/>
          <w:sz w:val="16"/>
        </w:rPr>
        <w:t>[AR 2.137 AgR, rel. min. Dias Toffoli, j. 19-9-2013, P, DJE de 26-11-2013.]</w:t>
      </w:r>
    </w:p>
    <w:p>
      <w:pPr>
        <w:ind w:left="288"/>
      </w:pPr>
      <w:r>
        <w:rPr>
          <w:color w:val="8C8C8C"/>
          <w:sz w:val="12"/>
        </w:rPr>
        <w:t>cf-art-37-inc-I</w:t>
      </w:r>
      <w:r>
        <w:rPr>
          <w:color w:val="003CA0"/>
          <w:sz w:val="12"/>
        </w:rPr>
        <w:t xml:space="preserve"> | RE 594.233</w:t>
      </w:r>
      <w:r>
        <w:rPr>
          <w:color w:val="003CA0"/>
          <w:sz w:val="12"/>
        </w:rPr>
        <w:t xml:space="preserve"> | rel. Dias Toffoli</w:t>
      </w:r>
    </w:p>
    <w:p>
      <w:pPr>
        <w:ind w:left="288"/>
      </w:pPr>
      <w:r>
        <w:rPr>
          <w:color w:val="1E1E1E"/>
          <w:sz w:val="18"/>
        </w:rPr>
        <w:t>Extinção de empresa pública. Estrutura absorvida pela administração direta. Direito ao aproveitamento que não representa violação da exigência de concurso público. Possibilidade de o empregado anistiado vir a ocupar cargo público oriundo de transformação. A benesse concedida pela Lei 8.878/1994 ficou condicionada à transferência ou absorção da atividade desenvolvida pelo ente extinto por outro órgão da administração pública federal. É possível inferir do acórdão regional que o feixe de competências antes atribuído à Empresa Brasileira de Transportes Urbanos foi conferido ao Ministério dos Tran</w:t>
      </w:r>
    </w:p>
    <w:p>
      <w:pPr>
        <w:ind w:left="288"/>
      </w:pPr>
      <w:r>
        <w:rPr>
          <w:b/>
          <w:color w:val="003CA0"/>
          <w:sz w:val="16"/>
        </w:rPr>
        <w:t>[RE 594.233 AgR, rel. min. Dias Toffoli, j. 20-8-2013, 1ª T, DJE de 22-10-2013.]</w:t>
      </w:r>
    </w:p>
    <w:p>
      <w:pPr>
        <w:ind w:left="288"/>
      </w:pPr>
      <w:r>
        <w:rPr>
          <w:color w:val="8C8C8C"/>
          <w:sz w:val="12"/>
        </w:rPr>
        <w:t>cf-art-37-inc-I</w:t>
      </w:r>
      <w:r>
        <w:rPr>
          <w:color w:val="003CA0"/>
          <w:sz w:val="12"/>
        </w:rPr>
        <w:t xml:space="preserve"> | ADI 2.335</w:t>
      </w:r>
      <w:r>
        <w:rPr>
          <w:color w:val="003CA0"/>
          <w:sz w:val="12"/>
        </w:rPr>
        <w:t xml:space="preserve"> | rel. Dias Toffoli</w:t>
      </w:r>
    </w:p>
    <w:p>
      <w:pPr>
        <w:ind w:left="288"/>
      </w:pPr>
      <w:r>
        <w:rPr>
          <w:color w:val="1E1E1E"/>
          <w:sz w:val="18"/>
        </w:rPr>
        <w:t>Vide ADI 2.335, red. do ac. min. Gilmar Mendes, j. 11-6-2003, P, DJ de 19-12-2003 Concurso público. (...) Investigação social. Exclusão do certame. (...) A jurisprudência da Corte firmou o entendimento de que viola o princípio da presunção de inocência a exclusão de certame público de candidato que responda a inquérito policial ou ação penal sem trânsito em julgado da sentença condenatória.</w:t>
      </w:r>
    </w:p>
    <w:p>
      <w:pPr>
        <w:ind w:left="288"/>
      </w:pPr>
      <w:r>
        <w:rPr>
          <w:b/>
          <w:color w:val="003CA0"/>
          <w:sz w:val="16"/>
        </w:rPr>
        <w:t>[AI 829.186 AgR, rel. min. Dias Toffoli, j. 23-4-2013, 1ª T, DJE de 27-6-2013.]</w:t>
      </w:r>
    </w:p>
    <w:p>
      <w:pPr>
        <w:ind w:left="288"/>
      </w:pPr>
      <w:r>
        <w:rPr>
          <w:color w:val="8C8C8C"/>
          <w:sz w:val="12"/>
        </w:rPr>
        <w:t>cf-art-37-inc-I</w:t>
      </w:r>
      <w:r>
        <w:rPr>
          <w:color w:val="003CA0"/>
          <w:sz w:val="12"/>
        </w:rPr>
        <w:t xml:space="preserve"> | ARE 847.535</w:t>
      </w:r>
      <w:r>
        <w:rPr>
          <w:color w:val="003CA0"/>
          <w:sz w:val="12"/>
        </w:rPr>
        <w:t xml:space="preserve"> | rel. Celso de Mello</w:t>
      </w:r>
    </w:p>
    <w:p>
      <w:pPr>
        <w:ind w:left="288"/>
      </w:pPr>
      <w:r>
        <w:rPr>
          <w:color w:val="1E1E1E"/>
          <w:sz w:val="18"/>
        </w:rPr>
        <w:t>= ARE 847.535 AgR, rel. min. Celso de Mello, j. 30-6-2015, 2ª T, DJE de 6-8-2015 Vide ARE 915.004 AgR, rel. min. Dias Toffoli, j. 15-3-2016, 2ª T, DJE de 18-4-2016 Vide RE 827.546 AgR, rel. min. Dias Toffoli, j. 14-4-2015, 2ª T, DJE de 26-5-2015 A anulação, por via judicial, de questões de prova objetiva de concurso público, com vistas à habilitação para participação em fase posterior do certame, pressupõe a demonstração de que o impetrante estaria habilitado à etapa seguinte caso essa anulação fosse estendida à totalidade dos candidatos, mercê dos princípios constitucionais da isonomia, da im</w:t>
      </w:r>
    </w:p>
    <w:p>
      <w:pPr>
        <w:ind w:left="288"/>
      </w:pPr>
      <w:r>
        <w:rPr>
          <w:b/>
          <w:color w:val="003CA0"/>
          <w:sz w:val="16"/>
        </w:rPr>
        <w:t>[MS 30.859, rel. min. Luiz Fux, j. 28-8-2012, 1ª T, DJE de 24-10-2012.]</w:t>
      </w:r>
    </w:p>
    <w:p>
      <w:pPr>
        <w:ind w:left="288"/>
      </w:pPr>
      <w:r>
        <w:rPr>
          <w:color w:val="8C8C8C"/>
          <w:sz w:val="12"/>
        </w:rPr>
        <w:t>cf-art-37-inc-I</w:t>
      </w:r>
      <w:r>
        <w:rPr>
          <w:color w:val="003CA0"/>
          <w:sz w:val="12"/>
        </w:rPr>
        <w:t xml:space="preserve"> | MS 29.350</w:t>
      </w:r>
      <w:r>
        <w:rPr>
          <w:color w:val="003CA0"/>
          <w:sz w:val="12"/>
        </w:rPr>
        <w:t xml:space="preserve"> | rel. Luiz Fux</w:t>
      </w:r>
    </w:p>
    <w:p>
      <w:pPr>
        <w:ind w:left="288"/>
      </w:pPr>
      <w:r>
        <w:rPr>
          <w:color w:val="1E1E1E"/>
          <w:sz w:val="18"/>
        </w:rPr>
        <w:t>Mandado de segurança. CNJ. Decisão que determina ao Tribunal de Justiça do Estado da Paraíba que proceda à remoção de servidores previamente à nomeação de candidatos aprovados em concurso público e integrantes de cadastro de reserva. (...) A precedência da remoção sobre a investidura de candidatos inseridos em cadastro de reserva – e, portanto, excedentes ao número de vagas disponibilizadas no edital do concurso em que lograram aprovação – é obrigatória, máxime à luz do regime jurídico atualmente vigente e em decorrência do princípio da proteção da confiança. O juízo discricionário da administ</w:t>
      </w:r>
    </w:p>
    <w:p>
      <w:pPr>
        <w:ind w:left="288"/>
      </w:pPr>
      <w:r>
        <w:rPr>
          <w:b/>
          <w:color w:val="003CA0"/>
          <w:sz w:val="16"/>
        </w:rPr>
        <w:t>[MS 29.350, rel. min. Luiz Fux, j. 20-6-2012, P, DJE de 1º-8-2012.]</w:t>
      </w:r>
    </w:p>
    <w:p>
      <w:pPr>
        <w:ind w:left="288"/>
      </w:pPr>
      <w:r>
        <w:rPr>
          <w:color w:val="8C8C8C"/>
          <w:sz w:val="12"/>
        </w:rPr>
        <w:t>cf-art-37-inc-I</w:t>
      </w:r>
      <w:r>
        <w:rPr>
          <w:color w:val="003CA0"/>
          <w:sz w:val="12"/>
        </w:rPr>
        <w:t xml:space="preserve"> | AI 851.587</w:t>
      </w:r>
      <w:r>
        <w:rPr>
          <w:color w:val="003CA0"/>
          <w:sz w:val="12"/>
        </w:rPr>
        <w:t xml:space="preserve"> | rel. Marco Aurélio</w:t>
      </w:r>
    </w:p>
    <w:p>
      <w:pPr>
        <w:ind w:left="288"/>
      </w:pPr>
      <w:r>
        <w:rPr>
          <w:color w:val="1E1E1E"/>
          <w:sz w:val="18"/>
        </w:rPr>
        <w:t>Concurso público. Prova de esforço físico. Caso a caso, há de perquirir-se a sintonia da exigência, no que implica fator de tratamento diferenciado com a função a ser exercida. Não se tem como constitucional a exigência de prova física desproporcional à habilitação ao cargo de auxiliar médico-legista, porquanto a atuação deste, embora física, não se faz no campo da força bruta, mas a partir de técnica específica.</w:t>
      </w:r>
    </w:p>
    <w:p>
      <w:pPr>
        <w:ind w:left="288"/>
      </w:pPr>
      <w:r>
        <w:rPr>
          <w:b/>
          <w:color w:val="003CA0"/>
          <w:sz w:val="16"/>
        </w:rPr>
        <w:t>[AI 851.587 AgR, rel. min. Marco Aurélio, j. 19-6-2012, 1ª T, DJE de 1º-8-2012.]</w:t>
      </w:r>
    </w:p>
    <w:p>
      <w:pPr>
        <w:ind w:left="288"/>
      </w:pPr>
      <w:r>
        <w:rPr>
          <w:color w:val="8C8C8C"/>
          <w:sz w:val="12"/>
        </w:rPr>
        <w:t>cf-art-37-inc-I</w:t>
      </w:r>
      <w:r>
        <w:rPr>
          <w:color w:val="003CA0"/>
          <w:sz w:val="12"/>
        </w:rPr>
        <w:t xml:space="preserve"> | RE 150.455</w:t>
      </w:r>
      <w:r>
        <w:rPr>
          <w:color w:val="003CA0"/>
          <w:sz w:val="12"/>
        </w:rPr>
        <w:t xml:space="preserve"> | rel. Marco Aurélio</w:t>
      </w:r>
    </w:p>
    <w:p>
      <w:pPr>
        <w:ind w:left="288"/>
      </w:pPr>
      <w:r>
        <w:rPr>
          <w:color w:val="1E1E1E"/>
          <w:sz w:val="18"/>
        </w:rPr>
        <w:t>Vide RE 150.455, rel. min. Marco Aurélio, j. 15-12-1998, 2ª T, DJ de 7-5-1999 Os conselhos de fiscalização profissional, posto autarquias criadas por lei e ostentando personalidade jurídica de direito público, exercendo atividade tipicamente pública, qual seja, a fiscalização do exercício profissional, submetem-se às regras encartadas no art. 37, II, da Constituição do Brasil/1988, quando da contratação de servidores.</w:t>
      </w:r>
    </w:p>
    <w:p>
      <w:pPr>
        <w:ind w:left="288"/>
      </w:pPr>
      <w:r>
        <w:rPr>
          <w:b/>
          <w:color w:val="003CA0"/>
          <w:sz w:val="16"/>
        </w:rPr>
        <w:t>[RE 539.224, rel. min. Luiz Fux, j. 22-5-2012, 1ª T, DJE de 18-6-2012.]</w:t>
      </w:r>
    </w:p>
    <w:p>
      <w:pPr>
        <w:ind w:left="288"/>
      </w:pPr>
      <w:r>
        <w:rPr>
          <w:color w:val="8C8C8C"/>
          <w:sz w:val="12"/>
        </w:rPr>
        <w:t>cf-art-37-inc-I</w:t>
      </w:r>
      <w:r>
        <w:rPr>
          <w:color w:val="003CA0"/>
          <w:sz w:val="12"/>
        </w:rPr>
        <w:t xml:space="preserve"> | MS 26.149</w:t>
      </w:r>
      <w:r>
        <w:rPr>
          <w:color w:val="003CA0"/>
          <w:sz w:val="12"/>
        </w:rPr>
        <w:t xml:space="preserve"> | rel. Celso de Mello</w:t>
      </w:r>
    </w:p>
    <w:p>
      <w:pPr>
        <w:ind w:left="288"/>
      </w:pPr>
      <w:r>
        <w:rPr>
          <w:color w:val="1E1E1E"/>
          <w:sz w:val="18"/>
        </w:rPr>
        <w:t>= MS 26.149 AgR, rel. min. Celso de Mello, j. 16-9-2014, 2ª T, DJE de 11-11-2014 = MS 26.424, rel. min. Dias Toffoli, j. 19-2-2013, 1ª T, DJE de 21-3-2013 Ambas as Turmas desta Corte já se manifestaram pela admissibilidade do controle jurisdicional da legalidade do concurso público quando verificado o descompasso entre as questões de prova e o programa descrito no edital, que é a lei do certame. (...) Inexistência de direito líquido e certo a ser protegido quando constatado que os temas abordados nas questões impugnadas da prova escrita objetiva aplicada aos candidatos estão rigorosamente circ</w:t>
      </w:r>
    </w:p>
    <w:p>
      <w:pPr>
        <w:ind w:left="288"/>
      </w:pPr>
      <w:r>
        <w:rPr>
          <w:b/>
          <w:color w:val="003CA0"/>
          <w:sz w:val="16"/>
        </w:rPr>
        <w:t>[MS 30.894, rel. min. Ricardo Lewandowski, j. 8-5-2012, 2ª T, DJE de 24-9-2012.]</w:t>
      </w:r>
    </w:p>
    <w:p>
      <w:pPr>
        <w:ind w:left="288"/>
      </w:pPr>
      <w:r>
        <w:rPr>
          <w:color w:val="8C8C8C"/>
          <w:sz w:val="12"/>
        </w:rPr>
        <w:t>cf-art-37-inc-I</w:t>
      </w:r>
      <w:r>
        <w:rPr>
          <w:color w:val="003CA0"/>
          <w:sz w:val="12"/>
        </w:rPr>
        <w:t xml:space="preserve"> | MS 30.860</w:t>
      </w:r>
      <w:r>
        <w:rPr>
          <w:color w:val="003CA0"/>
          <w:sz w:val="12"/>
        </w:rPr>
        <w:t xml:space="preserve"> | rel. Luiz Fux</w:t>
      </w:r>
    </w:p>
    <w:p>
      <w:pPr>
        <w:ind w:left="288"/>
      </w:pPr>
      <w:r>
        <w:rPr>
          <w:color w:val="1E1E1E"/>
          <w:sz w:val="18"/>
        </w:rPr>
        <w:t>= MS 30.860, rel. min. Luiz Fux, j. 28-8-2012, 1ª T, DJE de 6-11-2012 Concurso público. Princípio da legalidade. Edital. Etapas. As etapas do concurso prescindem de disposição expressa em lei no sentido formal e material, sendo suficientes a previsão no edital e o nexo de causalidade consideradas as atribuições do cargo.</w:t>
      </w:r>
    </w:p>
    <w:p>
      <w:pPr>
        <w:ind w:left="288"/>
      </w:pPr>
      <w:r>
        <w:rPr>
          <w:b/>
          <w:color w:val="003CA0"/>
          <w:sz w:val="16"/>
        </w:rPr>
        <w:t>[MS 30.177, rel. min. Marco Aurélio, j. 24-4-2012, 1ª T, DJE de 17-5-2012.]</w:t>
      </w:r>
    </w:p>
    <w:p>
      <w:pPr>
        <w:ind w:left="288"/>
      </w:pPr>
      <w:r>
        <w:rPr>
          <w:color w:val="8C8C8C"/>
          <w:sz w:val="12"/>
        </w:rPr>
        <w:t>cf-art-37-inc-I</w:t>
      </w:r>
      <w:r>
        <w:rPr>
          <w:color w:val="003CA0"/>
          <w:sz w:val="12"/>
        </w:rPr>
        <w:t xml:space="preserve"> | MS 30.265</w:t>
      </w:r>
      <w:r>
        <w:rPr>
          <w:color w:val="003CA0"/>
          <w:sz w:val="12"/>
        </w:rPr>
        <w:t xml:space="preserve"> | rel. Gilmar Mendes</w:t>
      </w:r>
    </w:p>
    <w:p>
      <w:pPr>
        <w:ind w:left="288"/>
      </w:pPr>
      <w:r>
        <w:rPr>
          <w:color w:val="1E1E1E"/>
          <w:sz w:val="18"/>
        </w:rPr>
        <w:t>Concurso público. MPU. Técnico de Apoio Especializado/Segurança. Exigência de teste de aptidão física não viola a CF. Legalidade. (...) Atestado médico específico para realização do TAF [Teste de Aptidão Física]. Previsão editalícia. Ausência de ilegalidade ou abuso de poder. Forma de a administração garantir a integridade dos candidatos na realização das extenuantes provas e resguardar-se das eventuais responsabilidades, não configurando afronta ao texto constitucional ou requisito irrazoável.</w:t>
      </w:r>
    </w:p>
    <w:p>
      <w:pPr>
        <w:ind w:left="288"/>
      </w:pPr>
      <w:r>
        <w:rPr>
          <w:b/>
          <w:color w:val="003CA0"/>
          <w:sz w:val="16"/>
        </w:rPr>
        <w:t>[MS 30.265, rel. min. Gilmar Mendes, j. 6-3-2012, 2ª T, DJE de 18-5-2012.]</w:t>
      </w:r>
    </w:p>
    <w:p>
      <w:pPr>
        <w:ind w:left="288"/>
      </w:pPr>
      <w:r>
        <w:rPr>
          <w:color w:val="8C8C8C"/>
          <w:sz w:val="12"/>
        </w:rPr>
        <w:t>cf-art-37-inc-I</w:t>
      </w:r>
      <w:r>
        <w:rPr>
          <w:color w:val="003CA0"/>
          <w:sz w:val="12"/>
        </w:rPr>
        <w:t xml:space="preserve"> | RE 394.618</w:t>
      </w:r>
      <w:r>
        <w:rPr>
          <w:color w:val="003CA0"/>
          <w:sz w:val="12"/>
        </w:rPr>
        <w:t xml:space="preserve"> | rel. Marco Aurélio</w:t>
      </w:r>
    </w:p>
    <w:p>
      <w:pPr>
        <w:ind w:left="288"/>
      </w:pPr>
      <w:r>
        <w:rPr>
          <w:color w:val="1E1E1E"/>
          <w:sz w:val="18"/>
        </w:rPr>
        <w:t>Concurso público versus concurso interno. Ascensão funcional. Longe fica de vulnerar a CF pronunciamento no sentido da inviabilidade de placitar-se concurso interno para ingresso em cargo de carreira diversa daquela para a qual o servidor prestou concurso.</w:t>
      </w:r>
    </w:p>
    <w:p>
      <w:pPr>
        <w:ind w:left="288"/>
      </w:pPr>
      <w:r>
        <w:rPr>
          <w:b/>
          <w:color w:val="003CA0"/>
          <w:sz w:val="16"/>
        </w:rPr>
        <w:t>[RE 394.618 AgR, rel. min. Marco Aurélio, j. 13-12-2011, 1ª T, DJE de 16-2-2012.]</w:t>
      </w:r>
    </w:p>
    <w:p>
      <w:pPr>
        <w:ind w:left="288"/>
      </w:pPr>
      <w:r>
        <w:rPr>
          <w:color w:val="8C8C8C"/>
          <w:sz w:val="12"/>
        </w:rPr>
        <w:t>cf-art-37-inc-I</w:t>
      </w:r>
      <w:r>
        <w:rPr>
          <w:color w:val="003CA0"/>
          <w:sz w:val="12"/>
        </w:rPr>
        <w:t xml:space="preserve"> | MS 26.294</w:t>
      </w:r>
      <w:r>
        <w:rPr>
          <w:color w:val="003CA0"/>
          <w:sz w:val="12"/>
        </w:rPr>
        <w:t xml:space="preserve"> | rel. Ricardo Lewandowski</w:t>
      </w:r>
    </w:p>
    <w:p>
      <w:pPr>
        <w:ind w:left="288"/>
      </w:pPr>
      <w:r>
        <w:rPr>
          <w:color w:val="1E1E1E"/>
          <w:sz w:val="18"/>
        </w:rPr>
        <w:t>Não é possível a nomeação de candidato em quadro diverso do qual foi aprovado, ainda que os cargos tenham a mesma nomenclatura, atribuições iguais, e idêntica remuneração, quando inexiste essa previsão no edital do concurso. A falta de previsão no edital sobre a possibilidade de aproveitamento de candidato aprovado em certame destinado a prover vagas para quadro diverso do que prestou o concurso viola o princípio da publicidade, norteador de todo concurso público, bem como o da impessoalidade e o da isonomia.</w:t>
      </w:r>
    </w:p>
    <w:p>
      <w:pPr>
        <w:ind w:left="288"/>
      </w:pPr>
      <w:r>
        <w:rPr>
          <w:b/>
          <w:color w:val="003CA0"/>
          <w:sz w:val="16"/>
        </w:rPr>
        <w:t>[MS 26.294, rel. min. Ricardo Lewandowski, j. 23-11-2011, P, DJE de 15-2-2012.]</w:t>
      </w:r>
    </w:p>
    <w:p>
      <w:pPr>
        <w:ind w:left="288"/>
      </w:pPr>
      <w:r>
        <w:rPr>
          <w:color w:val="8C8C8C"/>
          <w:sz w:val="12"/>
        </w:rPr>
        <w:t>cf-art-37-inc-I</w:t>
      </w:r>
      <w:r>
        <w:rPr>
          <w:color w:val="003CA0"/>
          <w:sz w:val="12"/>
        </w:rPr>
        <w:t xml:space="preserve"> | RE 634.689</w:t>
      </w:r>
      <w:r>
        <w:rPr>
          <w:color w:val="003CA0"/>
          <w:sz w:val="12"/>
        </w:rPr>
        <w:t xml:space="preserve"> | rel. Cármen Lúcia</w:t>
      </w:r>
    </w:p>
    <w:p>
      <w:pPr>
        <w:ind w:left="288"/>
      </w:pPr>
      <w:r>
        <w:rPr>
          <w:color w:val="1E1E1E"/>
          <w:sz w:val="18"/>
        </w:rPr>
        <w:t>Concurso público. Preterição na nomeação de candidato melhor classificado. Ato ilícito da administração. Direito ao recebimento de vencimentos a partir da impetração de mandado de segurança.</w:t>
      </w:r>
    </w:p>
    <w:p>
      <w:pPr>
        <w:ind w:left="288"/>
      </w:pPr>
      <w:r>
        <w:rPr>
          <w:b/>
          <w:color w:val="003CA0"/>
          <w:sz w:val="16"/>
        </w:rPr>
        <w:t>[RE 634.689 AgR, rel. min. Cármen Lúcia, j. 25-10-2011, 1ª T, DJE de 23-11-2011.]</w:t>
      </w:r>
    </w:p>
    <w:p>
      <w:pPr>
        <w:ind w:left="288"/>
      </w:pPr>
      <w:r>
        <w:rPr>
          <w:color w:val="8C8C8C"/>
          <w:sz w:val="12"/>
        </w:rPr>
        <w:t>cf-art-37-inc-I</w:t>
      </w:r>
      <w:r>
        <w:rPr>
          <w:color w:val="003CA0"/>
          <w:sz w:val="12"/>
        </w:rPr>
        <w:t xml:space="preserve"> | MS 30.620</w:t>
      </w:r>
      <w:r>
        <w:rPr>
          <w:color w:val="003CA0"/>
          <w:sz w:val="12"/>
        </w:rPr>
        <w:t xml:space="preserve"> | rel. Gilmar Mendes</w:t>
      </w:r>
    </w:p>
    <w:p>
      <w:pPr>
        <w:ind w:left="288"/>
      </w:pPr>
      <w:r>
        <w:rPr>
          <w:color w:val="1E1E1E"/>
          <w:sz w:val="18"/>
        </w:rPr>
        <w:t>Concurso público. MPU. Fases subsequentes do certame, de caráter eliminatório. Prazo decadencial do art. 23 da Lei 12.016/2009. Termo inicial. Data de publicação do ato do poder público que efetivamente venha a causar prejuízo ao impetrante.</w:t>
      </w:r>
    </w:p>
    <w:p>
      <w:pPr>
        <w:ind w:left="288"/>
      </w:pPr>
      <w:r>
        <w:rPr>
          <w:b/>
          <w:color w:val="003CA0"/>
          <w:sz w:val="16"/>
        </w:rPr>
        <w:t>[MS 30.620 AgR, rel. min. Gilmar Mendes, j. 27-9-2011, 2ª T, DJE de 11-10-2011.]</w:t>
      </w:r>
    </w:p>
    <w:p>
      <w:pPr>
        <w:ind w:left="288"/>
      </w:pPr>
      <w:r>
        <w:rPr>
          <w:color w:val="8C8C8C"/>
          <w:sz w:val="12"/>
        </w:rPr>
        <w:t>cf-art-37-inc-I</w:t>
      </w:r>
      <w:r>
        <w:rPr>
          <w:color w:val="003CA0"/>
          <w:sz w:val="12"/>
        </w:rPr>
        <w:t xml:space="preserve"> | MS 30.188</w:t>
      </w:r>
      <w:r>
        <w:rPr>
          <w:color w:val="003CA0"/>
          <w:sz w:val="12"/>
        </w:rPr>
        <w:t xml:space="preserve"> | rel. Gilmar Mendes</w:t>
      </w:r>
    </w:p>
    <w:p>
      <w:pPr>
        <w:ind w:left="288"/>
      </w:pPr>
      <w:r>
        <w:rPr>
          <w:color w:val="1E1E1E"/>
          <w:sz w:val="18"/>
        </w:rPr>
        <w:t>Concurso público. (...) Exigência de teste de aptidão física. Legalidade. A Lei 11.415/2006, ao estabelecer a necessidade de realização de "provas" para ingresso no MPU, sem as especificar e determinar que as atribuições dos cargos seriam fixadas por regulamento, permitiu que elas fossem elaboradas de acordo com a natureza e complexidade de cada cargo, o que atende de forma direta aos ditames constitucionais (art. 37, II, da CF).</w:t>
      </w:r>
    </w:p>
    <w:p>
      <w:pPr>
        <w:ind w:left="288"/>
      </w:pPr>
      <w:r>
        <w:rPr>
          <w:b/>
          <w:color w:val="003CA0"/>
          <w:sz w:val="16"/>
        </w:rPr>
        <w:t>[MS 30.188, rel. min. Gilmar Mendes, j. 6-9-2011, 2ª T, DJE de 26-9-2011.]</w:t>
      </w:r>
    </w:p>
    <w:p>
      <w:pPr>
        <w:ind w:left="288"/>
      </w:pPr>
      <w:r>
        <w:rPr>
          <w:color w:val="8C8C8C"/>
          <w:sz w:val="12"/>
        </w:rPr>
        <w:t>cf-art-37-inc-I</w:t>
      </w:r>
      <w:r>
        <w:rPr>
          <w:color w:val="003CA0"/>
          <w:sz w:val="12"/>
        </w:rPr>
        <w:t xml:space="preserve"> | MS 29.507</w:t>
      </w:r>
      <w:r>
        <w:rPr>
          <w:color w:val="003CA0"/>
          <w:sz w:val="12"/>
        </w:rPr>
        <w:t xml:space="preserve"> | rel. Cármen Lúcia</w:t>
      </w:r>
    </w:p>
    <w:p>
      <w:pPr>
        <w:ind w:left="288"/>
      </w:pPr>
      <w:r>
        <w:rPr>
          <w:color w:val="1E1E1E"/>
          <w:sz w:val="18"/>
        </w:rPr>
        <w:t>= MS 29.507, rel. min. Cármen Lúcia, j. 18-10-2011, 1ª T, DJE de 16-11-2011 Inscrição em curso de formação profissional assegurada por liminar judicial. Pretendida nomeação, em caráter definitivo, para o referido cargo público. Inadmissibilidade. (...) A mera concessão de liminar mandamental – consideradas as notas de transitoriedade, cautelaridade, provisoriedade e instabilidade que tipificam esse provimento judicial – não basta, só por si, em face de sua evidente precariedade, para assegurar, em caráter permanente, a nomeação e a posse em determinado cargo público, pois tais atos administrat</w:t>
      </w:r>
    </w:p>
    <w:p>
      <w:pPr>
        <w:ind w:left="288"/>
      </w:pPr>
      <w:r>
        <w:rPr>
          <w:b/>
          <w:color w:val="003CA0"/>
          <w:sz w:val="16"/>
        </w:rPr>
        <w:t>[RMS 27.953 MC-AgR-AgR, rel. min. Celso de Mello, j. 23-8-2011, 2ª T, DJE de 5-9-2011.]</w:t>
      </w:r>
    </w:p>
    <w:p>
      <w:pPr>
        <w:ind w:left="288"/>
      </w:pPr>
      <w:r>
        <w:rPr>
          <w:color w:val="8C8C8C"/>
          <w:sz w:val="12"/>
        </w:rPr>
        <w:t>cf-art-37-inc-I</w:t>
      </w:r>
      <w:r>
        <w:rPr>
          <w:color w:val="003CA0"/>
          <w:sz w:val="12"/>
        </w:rPr>
        <w:t xml:space="preserve"> | RMS 23.586</w:t>
      </w:r>
      <w:r>
        <w:rPr>
          <w:color w:val="003CA0"/>
          <w:sz w:val="12"/>
        </w:rPr>
        <w:t xml:space="preserve"> | rel. Gilmar Mendes</w:t>
      </w:r>
    </w:p>
    <w:p>
      <w:pPr>
        <w:ind w:left="288"/>
      </w:pPr>
      <w:r>
        <w:rPr>
          <w:color w:val="1E1E1E"/>
          <w:sz w:val="18"/>
        </w:rPr>
        <w:t>= RMS 23.586, rel. min. Gilmar Mendes, j. 25-10-2011, 2ª T, DJE de 16-11-2011 Vide MS 22.357, rel. min. Gilmar Mendes, j. 27-5-2004, P, DJE de 5-11-2004 Concurso público. Quesito não previsto no edital, mas mencionado na prova discursiva. Desconsideração por ocasião da correção. Ausência de prejuízo. Inexistência de direito líquido e certo.</w:t>
      </w:r>
    </w:p>
    <w:p>
      <w:pPr>
        <w:ind w:left="288"/>
      </w:pPr>
      <w:r>
        <w:rPr>
          <w:b/>
          <w:color w:val="003CA0"/>
          <w:sz w:val="16"/>
        </w:rPr>
        <w:t>[MS 30.344 AgR, rel. min. Gilmar Mendes, j. 21-6-2011, 2ª T, DJE de 1º-8-2011.]</w:t>
      </w:r>
    </w:p>
    <w:p>
      <w:pPr>
        <w:ind w:left="288"/>
      </w:pPr>
      <w:r>
        <w:rPr>
          <w:color w:val="8C8C8C"/>
          <w:sz w:val="12"/>
        </w:rPr>
        <w:t>cf-art-37-inc-I</w:t>
      </w:r>
      <w:r>
        <w:rPr>
          <w:color w:val="003CA0"/>
          <w:sz w:val="12"/>
        </w:rPr>
        <w:t xml:space="preserve"> | MS 27.260</w:t>
      </w:r>
      <w:r>
        <w:rPr>
          <w:color w:val="003CA0"/>
          <w:sz w:val="12"/>
        </w:rPr>
        <w:t xml:space="preserve"> | rel. Sepúlveda Pertence</w:t>
      </w:r>
    </w:p>
    <w:p>
      <w:pPr>
        <w:ind w:left="288"/>
      </w:pPr>
      <w:r>
        <w:rPr>
          <w:color w:val="1E1E1E"/>
          <w:sz w:val="18"/>
        </w:rPr>
        <w:t>Vide MS 27.260, red. do ac. min. Cármen Lúcia, j. 29-10-2009, P, DJE de 26-3-2010 Vide RE 434.708, rel. min. Sepúlveda Pertence, j. 21-6-2005, 1ª T, DJ de 9-9-2005 Concurso público. (...) Surge extravagante implementar-se, para candidatos remanescentes em razão de haverem buscado o Judiciário, exigências extras, não constantes do edital.</w:t>
      </w:r>
    </w:p>
    <w:p>
      <w:pPr>
        <w:ind w:left="288"/>
      </w:pPr>
      <w:r>
        <w:rPr>
          <w:b/>
          <w:color w:val="003CA0"/>
          <w:sz w:val="16"/>
        </w:rPr>
        <w:t>[RE 596.482, rel. min. Marco Aurélio, j. 7-6-2011, 1ª T, DJE de 26-8-2011.]</w:t>
      </w:r>
    </w:p>
    <w:p>
      <w:pPr>
        <w:ind w:left="288"/>
      </w:pPr>
      <w:r>
        <w:rPr>
          <w:color w:val="8C8C8C"/>
          <w:sz w:val="12"/>
        </w:rPr>
        <w:t>cf-art-37-inc-I</w:t>
      </w:r>
      <w:r>
        <w:rPr>
          <w:color w:val="003CA0"/>
          <w:sz w:val="12"/>
        </w:rPr>
        <w:t xml:space="preserve"> | RE 339.852</w:t>
      </w:r>
      <w:r>
        <w:rPr>
          <w:color w:val="003CA0"/>
          <w:sz w:val="12"/>
        </w:rPr>
        <w:t xml:space="preserve"> | rel. Ayres Britto</w:t>
      </w:r>
    </w:p>
    <w:p>
      <w:pPr>
        <w:ind w:left="288"/>
      </w:pPr>
      <w:r>
        <w:rPr>
          <w:color w:val="1E1E1E"/>
          <w:sz w:val="18"/>
        </w:rPr>
        <w:t>Nos termos da jurisprudência do STF, é cabível a indenização por danos materiais nos casos de demora na nomeação de candidatos aprovados em concursos públicos, quando o óbice imposto pela administração pública é declarado inconstitucional pelo Poder Judiciário.</w:t>
      </w:r>
    </w:p>
    <w:p>
      <w:pPr>
        <w:ind w:left="288"/>
      </w:pPr>
      <w:r>
        <w:rPr>
          <w:b/>
          <w:color w:val="003CA0"/>
          <w:sz w:val="16"/>
        </w:rPr>
        <w:t>[RE 339.852 AgR, rel. min. Ayres Britto, j. 26-4-2011, 2ª T, DJE de 18-8-2011.]</w:t>
      </w:r>
    </w:p>
    <w:p>
      <w:pPr>
        <w:ind w:left="288"/>
      </w:pPr>
      <w:r>
        <w:rPr>
          <w:color w:val="8C8C8C"/>
          <w:sz w:val="12"/>
        </w:rPr>
        <w:t>cf-art-37-inc-I</w:t>
      </w:r>
      <w:r>
        <w:rPr>
          <w:color w:val="003CA0"/>
          <w:sz w:val="12"/>
        </w:rPr>
        <w:t xml:space="preserve"> | RE 724.347</w:t>
      </w:r>
      <w:r>
        <w:rPr>
          <w:color w:val="003CA0"/>
          <w:sz w:val="12"/>
        </w:rPr>
        <w:t xml:space="preserve"> | rel. Marco Aurélio</w:t>
      </w:r>
    </w:p>
    <w:p>
      <w:pPr>
        <w:ind w:left="288"/>
      </w:pPr>
      <w:r>
        <w:rPr>
          <w:color w:val="1E1E1E"/>
          <w:sz w:val="18"/>
        </w:rPr>
        <w:t>Vide RE 724.347, red. do ac. min. Roberto Barroso, j. 26-2-2015, P, DJE de 13-5-2015, Tema 671 Mostrando-se abrangente o ato mediante o qual o CNJ determinou a realização de concurso público para provimento de serventias vagas, descabe concluir pela existência de direito líquido e certo no que se sustenta a ausência de vacância de certa serventia.</w:t>
      </w:r>
    </w:p>
    <w:p>
      <w:pPr>
        <w:ind w:left="288"/>
      </w:pPr>
      <w:r>
        <w:rPr>
          <w:b/>
          <w:color w:val="003CA0"/>
          <w:sz w:val="16"/>
        </w:rPr>
        <w:t>[MS 28.103, rel. min. Marco Aurélio, j. 14-4-2011, P, DJE de 4-5-2011.]</w:t>
      </w:r>
    </w:p>
    <w:p>
      <w:pPr>
        <w:ind w:left="288"/>
      </w:pPr>
      <w:r>
        <w:rPr>
          <w:color w:val="8C8C8C"/>
          <w:sz w:val="12"/>
        </w:rPr>
        <w:t>cf-art-37-inc-I</w:t>
      </w:r>
      <w:r>
        <w:rPr>
          <w:color w:val="003CA0"/>
          <w:sz w:val="12"/>
        </w:rPr>
        <w:t xml:space="preserve"> | AI 332.312</w:t>
      </w:r>
      <w:r>
        <w:rPr>
          <w:color w:val="003CA0"/>
          <w:sz w:val="12"/>
        </w:rPr>
        <w:t xml:space="preserve"> | rel. Joaquim Barbosa</w:t>
      </w:r>
    </w:p>
    <w:p>
      <w:pPr>
        <w:ind w:left="288"/>
      </w:pPr>
      <w:r>
        <w:rPr>
          <w:color w:val="1E1E1E"/>
          <w:sz w:val="18"/>
        </w:rPr>
        <w:t>A jurisprudência do STF firmou-se no sentido de que os editais de concursos públicos são inalteráveis no decorrer dos certames, salvo quando alguma alteração se fizer necessária por imposição de lei ou para sanar erro material contido no texto. Permite-se ainda a correção de ambiguidade textual, nos termos da jurisprudência firmada acerca dos erros meramente materiais, desde que o sentido adotado tenha por base deliberação tomada prévia e publicamente pela comissão organizadora, em momento anterior ao início do próprio certame.</w:t>
      </w:r>
    </w:p>
    <w:p>
      <w:pPr>
        <w:ind w:left="288"/>
      </w:pPr>
      <w:r>
        <w:rPr>
          <w:b/>
          <w:color w:val="003CA0"/>
          <w:sz w:val="16"/>
        </w:rPr>
        <w:t>[AI 332.312 AgR, rel. min. Joaquim Barbosa, j. 1º-3-2011, 2ª T, DJE de 6-4-2011.]</w:t>
      </w:r>
    </w:p>
    <w:p>
      <w:pPr>
        <w:ind w:left="288"/>
      </w:pPr>
      <w:r>
        <w:rPr>
          <w:color w:val="8C8C8C"/>
          <w:sz w:val="12"/>
        </w:rPr>
        <w:t>cf-art-37-inc-I</w:t>
      </w:r>
      <w:r>
        <w:rPr>
          <w:color w:val="003CA0"/>
          <w:sz w:val="12"/>
        </w:rPr>
        <w:t xml:space="preserve"> | RE 604.498</w:t>
      </w:r>
      <w:r>
        <w:rPr>
          <w:color w:val="003CA0"/>
          <w:sz w:val="12"/>
        </w:rPr>
        <w:t xml:space="preserve"> | rel. Dias Toffoli</w:t>
      </w:r>
    </w:p>
    <w:p>
      <w:pPr>
        <w:ind w:left="288"/>
      </w:pPr>
      <w:r>
        <w:rPr>
          <w:color w:val="1E1E1E"/>
          <w:sz w:val="18"/>
        </w:rPr>
        <w:t>= RE 604.498, rel. min. Dias Toffoli, j. 12-4-2012, dec. monocrática, DJE de 17-4-2012 Não fere a ADC 4 decisão que determina a lotação e a posse de candidato aprovado em concurso público dentro do número de vagas, por ser o pagamento de verbas remuneratórias mero consectário lógico do ato de investidura.</w:t>
      </w:r>
    </w:p>
    <w:p>
      <w:pPr>
        <w:ind w:left="288"/>
      </w:pPr>
      <w:r>
        <w:rPr>
          <w:b/>
          <w:color w:val="003CA0"/>
          <w:sz w:val="16"/>
        </w:rPr>
        <w:t>[Rcl 7.583 AgR, rel. min. Gilmar Mendes, j. 24-2-2011, P, DJE de 18-3-2011.]</w:t>
      </w:r>
    </w:p>
    <w:p>
      <w:pPr>
        <w:ind w:left="288"/>
      </w:pPr>
      <w:r>
        <w:rPr>
          <w:color w:val="8C8C8C"/>
          <w:sz w:val="12"/>
        </w:rPr>
        <w:t>cf-art-37-inc-I</w:t>
      </w:r>
      <w:r>
        <w:rPr>
          <w:color w:val="003CA0"/>
          <w:sz w:val="12"/>
        </w:rPr>
        <w:t xml:space="preserve"> | RCL 4.751</w:t>
      </w:r>
      <w:r>
        <w:rPr>
          <w:color w:val="003CA0"/>
          <w:sz w:val="12"/>
        </w:rPr>
        <w:t xml:space="preserve"> | rel. Ayres Britto</w:t>
      </w:r>
    </w:p>
    <w:p>
      <w:pPr>
        <w:ind w:left="288"/>
      </w:pPr>
      <w:r>
        <w:rPr>
          <w:color w:val="1E1E1E"/>
          <w:sz w:val="18"/>
        </w:rPr>
        <w:t>Vide Rcl 4.751, rel. min. Ayres Britto, j. 20-5-2009, P, DJE de 19-6-2009 Vide Rcl 4.879, rel. min. Cármen Lúcia, j. 20-5-2009, P, DJE de 2-10-2009 Vide Rcl 5.008 AgR, Rcl 5.042 AgR, Rcl 5.065 AgR, Rcl 5.194 AgR e Rcl 5.416 AgR, rel. min. Cezar Peluso, j. 27-11-2008, P, DJE de 6-2-2009 O art. 236, § 3º, da CF é norma autoaplicável. Nos termos da CF, sempre se fez necessária a submissão a concurso público para o devido provimento de serventias extrajudiciais eventualmente vagas ou para fins de remoção. Rejeição da tese de que somente com a edição da Lei 8.935/1994 teria essa norma constituciona</w:t>
      </w:r>
    </w:p>
    <w:p>
      <w:pPr>
        <w:ind w:left="288"/>
      </w:pPr>
      <w:r>
        <w:rPr>
          <w:b/>
          <w:color w:val="003CA0"/>
          <w:sz w:val="16"/>
        </w:rPr>
        <w:t>[MS 28.279, rel. min. Ellen Gracie, j. 16-12-2010, P, DJE de 29-4-2011.]</w:t>
      </w:r>
    </w:p>
    <w:p>
      <w:pPr>
        <w:ind w:left="288"/>
      </w:pPr>
      <w:r>
        <w:rPr>
          <w:color w:val="8C8C8C"/>
          <w:sz w:val="12"/>
        </w:rPr>
        <w:t>cf-art-37-inc-I</w:t>
      </w:r>
      <w:r>
        <w:rPr>
          <w:color w:val="003CA0"/>
          <w:sz w:val="12"/>
        </w:rPr>
        <w:t xml:space="preserve"> | MS 29.282</w:t>
      </w:r>
      <w:r>
        <w:rPr>
          <w:color w:val="003CA0"/>
          <w:sz w:val="12"/>
        </w:rPr>
        <w:t xml:space="preserve"> | rel. Teori Zavascki</w:t>
      </w:r>
    </w:p>
    <w:p>
      <w:pPr>
        <w:ind w:left="288"/>
      </w:pPr>
      <w:r>
        <w:rPr>
          <w:color w:val="1E1E1E"/>
          <w:sz w:val="18"/>
        </w:rPr>
        <w:t>= MS 29.282 AgR, rel. min. Teori Zavascki, j. 24-2-2015, 2ª T, DJE de 11-3-2015 = MS 30.014 AgR, rel. min. Dias Toffoli, j. 18-12-2013, P, DJE de 18-2-2014 Contraria direito líquido e certo do servidor público a alteração, por meio de portaria, das atribuições do cargo que ocupa. A inexistência de direito adquirido a regime jurídico não autoriza a reestruturação de cargos públicos por outra via que não lei formal.</w:t>
      </w:r>
    </w:p>
    <w:p>
      <w:pPr>
        <w:ind w:left="288"/>
      </w:pPr>
      <w:r>
        <w:rPr>
          <w:b/>
          <w:color w:val="003CA0"/>
          <w:sz w:val="16"/>
        </w:rPr>
        <w:t>[MS 26.955, rel. min. Cármen Lúcia, j. 1º-12-2010, P, DJE de 13-4-2011.]</w:t>
      </w:r>
    </w:p>
    <w:p>
      <w:pPr>
        <w:ind w:left="288"/>
      </w:pPr>
      <w:r>
        <w:rPr>
          <w:color w:val="8C8C8C"/>
          <w:sz w:val="12"/>
        </w:rPr>
        <w:t>cf-art-37-inc-I</w:t>
      </w:r>
      <w:r>
        <w:rPr>
          <w:color w:val="003CA0"/>
          <w:sz w:val="12"/>
        </w:rPr>
        <w:t xml:space="preserve"> | RE 594.917</w:t>
      </w:r>
      <w:r>
        <w:rPr>
          <w:color w:val="003CA0"/>
          <w:sz w:val="12"/>
        </w:rPr>
        <w:t xml:space="preserve"> | rel. Ricardo Lewandowski</w:t>
      </w:r>
    </w:p>
    <w:p>
      <w:pPr>
        <w:ind w:left="288"/>
      </w:pPr>
      <w:r>
        <w:rPr>
          <w:color w:val="1E1E1E"/>
          <w:sz w:val="18"/>
        </w:rPr>
        <w:t>A jurisprudência desta Corte se firmou no sentido de que não há preterição quando a administração realiza nomeações em observação a decisão judicial.</w:t>
      </w:r>
    </w:p>
    <w:p>
      <w:pPr>
        <w:ind w:left="288"/>
      </w:pPr>
      <w:r>
        <w:rPr>
          <w:b/>
          <w:color w:val="003CA0"/>
          <w:sz w:val="16"/>
        </w:rPr>
        <w:t>[RE 594.917 AgR, rel. min. Ricardo Lewandowski, j. 9-11-2010, 1ª T, DJE de 25-11-2010.]</w:t>
      </w:r>
    </w:p>
    <w:p>
      <w:pPr>
        <w:ind w:left="288"/>
      </w:pPr>
      <w:r>
        <w:rPr>
          <w:color w:val="8C8C8C"/>
          <w:sz w:val="12"/>
        </w:rPr>
        <w:t>cf-art-37-inc-I</w:t>
      </w:r>
      <w:r>
        <w:rPr>
          <w:color w:val="003CA0"/>
          <w:sz w:val="12"/>
        </w:rPr>
        <w:t xml:space="preserve"> | ARE 869.153</w:t>
      </w:r>
      <w:r>
        <w:rPr>
          <w:color w:val="003CA0"/>
          <w:sz w:val="12"/>
        </w:rPr>
        <w:t xml:space="preserve"> | rel. Dias Toffoli</w:t>
      </w:r>
    </w:p>
    <w:p>
      <w:pPr>
        <w:ind w:left="288"/>
      </w:pPr>
      <w:r>
        <w:rPr>
          <w:color w:val="1E1E1E"/>
          <w:sz w:val="18"/>
        </w:rPr>
        <w:t>= ARE 869.153 AgR, rel. min. Dias Toffoli, j. 26-5-2015, 2ª T, DJE de 19-6-2015 = AI 620.992 AgR, rel. min. Cármen Lúcia, j. 22-5-2007, 1ª T, DJ de 29-6-2007 Não há violação aos princípios da isonomia e da publicidade quando a divulgação das notas dos candidatos em concurso público ocorre em sessão pública, mesmo que em momento anterior ao previsto no edital, ainda mais quando, como no caso, todos forem informados de sua ocorrência. A inobservância de regra procedimental de divulgação de notas não acarreta a nulidade de concurso público quando não demonstrado prejuízo aos concorrentes.</w:t>
      </w:r>
    </w:p>
    <w:p>
      <w:pPr>
        <w:ind w:left="288"/>
      </w:pPr>
      <w:r>
        <w:rPr>
          <w:b/>
          <w:color w:val="003CA0"/>
          <w:sz w:val="16"/>
        </w:rPr>
        <w:t>[AO 1.395 ED, rel. min. Dias Toffoli, j. 24-6-2010, P, DJE de 22-10-2010.]</w:t>
      </w:r>
    </w:p>
    <w:p>
      <w:pPr>
        <w:ind w:left="288"/>
      </w:pPr>
      <w:r>
        <w:rPr>
          <w:color w:val="8C8C8C"/>
          <w:sz w:val="12"/>
        </w:rPr>
        <w:t>cf-art-37-inc-I</w:t>
      </w:r>
      <w:r>
        <w:rPr>
          <w:color w:val="003CA0"/>
          <w:sz w:val="12"/>
        </w:rPr>
        <w:t xml:space="preserve"> | SS 4.189</w:t>
      </w:r>
      <w:r>
        <w:rPr>
          <w:color w:val="003CA0"/>
          <w:sz w:val="12"/>
        </w:rPr>
        <w:t xml:space="preserve"> | rel. Cezar Peluso</w:t>
      </w:r>
    </w:p>
    <w:p>
      <w:pPr>
        <w:ind w:left="288"/>
      </w:pPr>
      <w:r>
        <w:rPr>
          <w:color w:val="1E1E1E"/>
          <w:sz w:val="18"/>
        </w:rPr>
        <w:t>Não há risco de grave lesão à ordem pública na decisão judicial que determina seja observada a ordem classificatória em concurso público, a fim de evitar a preterição de concursados pela contratação de temporários, quando comprovada a necessidade do serviço.</w:t>
      </w:r>
    </w:p>
    <w:p>
      <w:pPr>
        <w:ind w:left="288"/>
      </w:pPr>
      <w:r>
        <w:rPr>
          <w:b/>
          <w:color w:val="003CA0"/>
          <w:sz w:val="16"/>
        </w:rPr>
        <w:t>[SS 4.189 AgR, rel. min. Cezar Peluso, j. 24-6-2010, P, DJE de 13-8-2010.]</w:t>
      </w:r>
    </w:p>
    <w:p>
      <w:pPr>
        <w:ind w:left="288"/>
      </w:pPr>
      <w:r>
        <w:rPr>
          <w:color w:val="8C8C8C"/>
          <w:sz w:val="12"/>
        </w:rPr>
        <w:t>cf-art-37-inc-I</w:t>
      </w:r>
      <w:r>
        <w:rPr>
          <w:color w:val="003CA0"/>
          <w:sz w:val="12"/>
        </w:rPr>
        <w:t xml:space="preserve"> | SS 3.583</w:t>
      </w:r>
      <w:r>
        <w:rPr>
          <w:color w:val="003CA0"/>
          <w:sz w:val="12"/>
        </w:rPr>
        <w:t xml:space="preserve"> | rel. Gilmar Mendes</w:t>
      </w:r>
    </w:p>
    <w:p>
      <w:pPr>
        <w:ind w:left="288"/>
      </w:pPr>
      <w:r>
        <w:rPr>
          <w:color w:val="1E1E1E"/>
          <w:sz w:val="18"/>
        </w:rPr>
        <w:t>Vide SS 3.583 AgR, rel. min. Gilmar Mendes, j. 1º-7-2009, P, DJE de 28-8-2009 O STF entende que a restrição da admissão a cargos públicos a partir da idade somente se justifica se previsto em lei e quando situações concretas exigem um limite razoável, tendo em conta o grau de esforço a ser desenvolvido pelo ocupante do cargo ou função. No caso, mostra-se desarrazoada a exigência de teste de esforço físico com critérios diferenciados em razão da faixa etária.</w:t>
      </w:r>
    </w:p>
    <w:p>
      <w:pPr>
        <w:ind w:left="288"/>
      </w:pPr>
      <w:r>
        <w:rPr>
          <w:b/>
          <w:color w:val="003CA0"/>
          <w:sz w:val="16"/>
        </w:rPr>
        <w:t>[RE 523.737 AgR, rel. min. Ellen Gracie, j. 22-6-2010, 2ª T, DJE de 6-8-2010.]</w:t>
      </w:r>
    </w:p>
    <w:p>
      <w:pPr>
        <w:ind w:left="288"/>
      </w:pPr>
      <w:r>
        <w:rPr>
          <w:color w:val="8C8C8C"/>
          <w:sz w:val="12"/>
        </w:rPr>
        <w:t>cf-art-37-inc-I</w:t>
      </w:r>
      <w:r>
        <w:rPr>
          <w:color w:val="003CA0"/>
          <w:sz w:val="12"/>
        </w:rPr>
        <w:t xml:space="preserve"> | RE 598.969</w:t>
      </w:r>
      <w:r>
        <w:rPr>
          <w:color w:val="003CA0"/>
          <w:sz w:val="12"/>
        </w:rPr>
        <w:t xml:space="preserve"> | rel. Ayres Britto</w:t>
      </w:r>
    </w:p>
    <w:p>
      <w:pPr>
        <w:ind w:left="288"/>
      </w:pPr>
      <w:r>
        <w:rPr>
          <w:color w:val="1E1E1E"/>
          <w:sz w:val="18"/>
        </w:rPr>
        <w:t>= RE 598.969 AgR, rel. min. Ayres Britto, j. 20-3-2012, 2ª T, DJE de 13-4-2012 A exigência de experiência profissional prevista apenas em edital importa em ofensa constitucional.</w:t>
      </w:r>
    </w:p>
    <w:p>
      <w:pPr>
        <w:ind w:left="288"/>
      </w:pPr>
      <w:r>
        <w:rPr>
          <w:b/>
          <w:color w:val="003CA0"/>
          <w:sz w:val="16"/>
        </w:rPr>
        <w:t>[RE 558.833 AgR, rel. min. Ellen Gracie, j. 8-9-2009, 2ª T, DJE de 25-9-2009.]</w:t>
      </w:r>
    </w:p>
    <w:p>
      <w:pPr>
        <w:ind w:left="288"/>
      </w:pPr>
      <w:r>
        <w:rPr>
          <w:color w:val="8C8C8C"/>
          <w:sz w:val="12"/>
        </w:rPr>
        <w:t>cf-art-37-inc-I</w:t>
      </w:r>
      <w:r>
        <w:rPr>
          <w:color w:val="003CA0"/>
          <w:sz w:val="12"/>
        </w:rPr>
        <w:t xml:space="preserve"> | RE 559.823</w:t>
      </w:r>
      <w:r>
        <w:rPr>
          <w:color w:val="003CA0"/>
          <w:sz w:val="12"/>
        </w:rPr>
        <w:t xml:space="preserve"> | rel. Joaquim Barbosa</w:t>
      </w:r>
    </w:p>
    <w:p>
      <w:pPr>
        <w:ind w:left="288"/>
      </w:pPr>
      <w:r>
        <w:rPr>
          <w:color w:val="1E1E1E"/>
          <w:sz w:val="18"/>
        </w:rPr>
        <w:t>Vide RE 559.823 AgR, rel. min. Joaquim Barbosa, j. 27-11-2007, 2ª T, DJE de 1º-2-2008 Direito à nomeação e à posse de candidatos aprovados em concurso público em caráter precário (sub judice). Ausentes os pressupostos autorizadores da suspensão de segurança. Decisão liminar que garante o respeito à ordem classificatória.</w:t>
      </w:r>
    </w:p>
    <w:p>
      <w:pPr>
        <w:ind w:left="288"/>
      </w:pPr>
      <w:r>
        <w:rPr>
          <w:b/>
          <w:color w:val="003CA0"/>
          <w:sz w:val="16"/>
        </w:rPr>
        <w:t>[SS 3.583 AgR, rel. min. Gilmar Mendes, j. 1º-7-2009, P, DJE de 28-8-2009.]</w:t>
      </w:r>
    </w:p>
    <w:p>
      <w:pPr>
        <w:ind w:left="288"/>
      </w:pPr>
      <w:r>
        <w:rPr>
          <w:color w:val="8C8C8C"/>
          <w:sz w:val="12"/>
        </w:rPr>
        <w:t>cf-art-37-inc-I</w:t>
      </w:r>
      <w:r>
        <w:rPr>
          <w:color w:val="003CA0"/>
          <w:sz w:val="12"/>
        </w:rPr>
        <w:t xml:space="preserve"> | SS 4.189</w:t>
      </w:r>
      <w:r>
        <w:rPr>
          <w:color w:val="003CA0"/>
          <w:sz w:val="12"/>
        </w:rPr>
        <w:t xml:space="preserve"> | rel. Cezar Peluso</w:t>
      </w:r>
    </w:p>
    <w:p>
      <w:pPr>
        <w:ind w:left="288"/>
      </w:pPr>
      <w:r>
        <w:rPr>
          <w:color w:val="1E1E1E"/>
          <w:sz w:val="18"/>
        </w:rPr>
        <w:t>Vide SS 4.189 AgR, rel. min. Cezar Peluso, j. 24-6-2010, P, DJE de 13-8-2010 O edital de concurso, desde que consentâneo com a lei de regência em sentido formal e material, obriga candidatos e administração pública.</w:t>
      </w:r>
    </w:p>
    <w:p>
      <w:pPr>
        <w:ind w:left="288"/>
      </w:pPr>
      <w:r>
        <w:rPr>
          <w:b/>
          <w:color w:val="003CA0"/>
          <w:sz w:val="16"/>
        </w:rPr>
        <w:t>[RE 480.129, rel. min. Marco Aurélio, j. 30-6-2009, 1ª T, DJE de 23-10-2009.]</w:t>
      </w:r>
    </w:p>
    <w:p>
      <w:pPr>
        <w:ind w:left="288"/>
      </w:pPr>
      <w:r>
        <w:rPr>
          <w:color w:val="8C8C8C"/>
          <w:sz w:val="12"/>
        </w:rPr>
        <w:t>cf-art-37-inc-I</w:t>
      </w:r>
      <w:r>
        <w:rPr>
          <w:color w:val="003CA0"/>
          <w:sz w:val="12"/>
        </w:rPr>
        <w:t xml:space="preserve"> | MS 29.957</w:t>
      </w:r>
      <w:r>
        <w:rPr>
          <w:color w:val="003CA0"/>
          <w:sz w:val="12"/>
        </w:rPr>
        <w:t xml:space="preserve"> | rel. Gilmar Mendes</w:t>
      </w:r>
    </w:p>
    <w:p>
      <w:pPr>
        <w:ind w:left="288"/>
      </w:pPr>
      <w:r>
        <w:rPr>
          <w:color w:val="1E1E1E"/>
          <w:sz w:val="18"/>
        </w:rPr>
        <w:t>Vide MS 29.957 e MS 30.265, rel. min. Gilmar Mendes, j. 6-3-2012, 2ª T, DJE de 18-5-2012 Vide RE 290.346, rel. min. Ilmar Galvão, j. 29-5-2001, 1ª T, DJ de 29-6-2001 O pedido de nomeação e posse em cargo público, decorrente de preterição na ordem de classificação dos aprovados em concurso público, não se confunde com o pagamento de vencimentos, que é mera consequência lógica da investidura no cargo para o qual concorreu. (...) As consequências decorrentes do ato de nomeação da interessada não evidenciam desrespeito à decisão proferida nos autos da ADC 4/DF. Precedentes.</w:t>
      </w:r>
    </w:p>
    <w:p>
      <w:pPr>
        <w:ind w:left="288"/>
      </w:pPr>
      <w:r>
        <w:rPr>
          <w:b/>
          <w:color w:val="003CA0"/>
          <w:sz w:val="16"/>
        </w:rPr>
        <w:t>[Rcl 4.879, rel. min. Cármen Lúcia, j. 20-5-2009, P, DJE de 2-10-2009.]</w:t>
      </w:r>
    </w:p>
    <w:p>
      <w:pPr>
        <w:ind w:left="288"/>
      </w:pPr>
      <w:r>
        <w:rPr>
          <w:color w:val="8C8C8C"/>
          <w:sz w:val="12"/>
        </w:rPr>
        <w:t>cf-art-37-inc-I</w:t>
      </w:r>
      <w:r>
        <w:rPr>
          <w:color w:val="003CA0"/>
          <w:sz w:val="12"/>
        </w:rPr>
        <w:t xml:space="preserve"> | RCL 7.583</w:t>
      </w:r>
      <w:r>
        <w:rPr>
          <w:color w:val="003CA0"/>
          <w:sz w:val="12"/>
        </w:rPr>
        <w:t xml:space="preserve"> | rel. Gilmar Mendes</w:t>
      </w:r>
    </w:p>
    <w:p>
      <w:pPr>
        <w:ind w:left="288"/>
      </w:pPr>
      <w:r>
        <w:rPr>
          <w:color w:val="1E1E1E"/>
          <w:sz w:val="18"/>
        </w:rPr>
        <w:t>Vide Rcl 7.583 AgR, rel. min. Gilmar Mendes, j. 24-2-2011, P, DJE de 18-3-2011 Vide Rcl 4.751, rel. min. Ayres Britto, j. 20-5-2009, P, DJE de 19-6-2009 Vide Rcl 5.008 AgR, Rcl 5.042 AgR, Rcl 5.065 AgR, Rcl 5.194 AgR e Rcl 5.416 AgR, rel. min. Cezar Peluso, j. 27-11-2008, P, DJE de 6-2-2009 Vide Rcl 5.013 AgR, rel. min. Menezes Direito, j. 10-3-2008, P, DJE de 18-4-2008 Concessão de pontos aos detentores do título de "Pioneiros do Tocantins". Anulação do concurso público por decisão judicial. Desnecessidade de instauração de processo administrativo prévio para exoneração dos aprovados. A decis</w:t>
      </w:r>
    </w:p>
    <w:p>
      <w:pPr>
        <w:ind w:left="288"/>
      </w:pPr>
      <w:r>
        <w:rPr>
          <w:b/>
          <w:color w:val="003CA0"/>
          <w:sz w:val="16"/>
        </w:rPr>
        <w:t>[Rcl 5.819, rel. min. Cármen Lúcia, j. 20-5-2009, P, DJE de 19-6-2009.]</w:t>
      </w:r>
    </w:p>
    <w:p>
      <w:pPr>
        <w:ind w:left="288"/>
      </w:pPr>
      <w:r>
        <w:rPr>
          <w:color w:val="8C8C8C"/>
          <w:sz w:val="12"/>
        </w:rPr>
        <w:t>cf-art-37-inc-I</w:t>
      </w:r>
      <w:r>
        <w:rPr>
          <w:color w:val="003CA0"/>
          <w:sz w:val="12"/>
        </w:rPr>
        <w:t xml:space="preserve"> | ADC 4</w:t>
      </w:r>
      <w:r>
        <w:rPr>
          <w:color w:val="003CA0"/>
          <w:sz w:val="12"/>
        </w:rPr>
        <w:t xml:space="preserve"> | rel. Ayres Britto</w:t>
      </w:r>
    </w:p>
    <w:p>
      <w:pPr>
        <w:ind w:left="288"/>
      </w:pPr>
      <w:r>
        <w:rPr>
          <w:color w:val="1E1E1E"/>
          <w:sz w:val="18"/>
        </w:rPr>
        <w:t>Ao conceder a medida cautelar na ADC 4, o STF vedou apenas a concessão de tutela antecipada que contrarie o disposto no art. 1º da Lei 9.494/1997. A reclassificação ou equiparação de servidores públicos e a concessão de aumento ou extensão de vantagens (art. 5º da Lei 4.348/1964) cuidam da específica situação em que um servidor público postula tais direitos em juízo. O mesmo vale para o pagamento de vencimentos e vantagens pecuniárias de que trata o § 4º do art. 1º da Lei 5.021/1966. A simples determinação para que candidatos participem das demais etapas de concurso público (curso de formação)</w:t>
      </w:r>
    </w:p>
    <w:p>
      <w:pPr>
        <w:ind w:left="288"/>
      </w:pPr>
      <w:r>
        <w:rPr>
          <w:b/>
          <w:color w:val="003CA0"/>
          <w:sz w:val="16"/>
        </w:rPr>
        <w:t>[Rcl 4.751, rel. min. Ayres Britto, j. 20-5-2009, P, DJE de 19-6-2009.]</w:t>
      </w:r>
    </w:p>
    <w:p>
      <w:pPr>
        <w:ind w:left="288"/>
      </w:pPr>
      <w:r>
        <w:rPr>
          <w:color w:val="8C8C8C"/>
          <w:sz w:val="12"/>
        </w:rPr>
        <w:t>cf-art-37-inc-I</w:t>
      </w:r>
      <w:r>
        <w:rPr>
          <w:color w:val="003CA0"/>
          <w:sz w:val="12"/>
        </w:rPr>
        <w:t xml:space="preserve"> | RCL 7.583</w:t>
      </w:r>
      <w:r>
        <w:rPr>
          <w:color w:val="003CA0"/>
          <w:sz w:val="12"/>
        </w:rPr>
        <w:t xml:space="preserve"> | rel. Gilmar Mendes</w:t>
      </w:r>
    </w:p>
    <w:p>
      <w:pPr>
        <w:ind w:left="288"/>
      </w:pPr>
      <w:r>
        <w:rPr>
          <w:color w:val="1E1E1E"/>
          <w:sz w:val="18"/>
        </w:rPr>
        <w:t>Vide Rcl 7.583 AgR, rel. min.  Gilmar Mendes, j. 24-2-2011, P, DJE de 18-3-2011 Vide Rcl 4.879, rel. min. Cármen Lúcia, j. 20-5-2009, P, DJE de 2-10-2009 Vide Rcl 5.008 AgR, Rcl 5.042 AgR, Rcl 5.065 AgR, Rcl 5.194 AgR e Rcl 5.416 AgR, rel. min. Cezar Peluso, j. 27-11-2008, P, DJE de 6-2-2009 Vide Rcl 5.013 AgR, rel. min. Menezes Direito, j. 10-3-2008, P, DJE de 18-4-2008 Não ofende a decisão liminar proferida na ADC 4 a antecipação de tutela que garante a inscrição de candidato em concurso público, ainda que da aprovação lhe resultem vantagens financeiras.</w:t>
      </w:r>
    </w:p>
    <w:p>
      <w:pPr>
        <w:ind w:left="288"/>
      </w:pPr>
      <w:r>
        <w:rPr>
          <w:b/>
          <w:color w:val="003CA0"/>
          <w:sz w:val="16"/>
        </w:rPr>
        <w:t>[Rcl 5.008 AgR, Rcl 5.042 AgR, Rcl 5.065 AgR, Rcl 5.194 AgR e Rcl 5.416 AgR, rel. min. Cezar Peluso, j. 27-11-2008, P, DJE de 6-2-2009.]</w:t>
      </w:r>
    </w:p>
    <w:p>
      <w:pPr>
        <w:ind w:left="288"/>
      </w:pPr>
      <w:r>
        <w:rPr>
          <w:color w:val="8C8C8C"/>
          <w:sz w:val="12"/>
        </w:rPr>
        <w:t>cf-art-37-inc-I</w:t>
      </w:r>
      <w:r>
        <w:rPr>
          <w:color w:val="003CA0"/>
          <w:sz w:val="12"/>
        </w:rPr>
        <w:t xml:space="preserve"> | RCL 7.583</w:t>
      </w:r>
      <w:r>
        <w:rPr>
          <w:color w:val="003CA0"/>
          <w:sz w:val="12"/>
        </w:rPr>
        <w:t xml:space="preserve"> | rel. Gilmar Mendes</w:t>
      </w:r>
    </w:p>
    <w:p>
      <w:pPr>
        <w:ind w:left="288"/>
      </w:pPr>
      <w:r>
        <w:rPr>
          <w:color w:val="1E1E1E"/>
          <w:sz w:val="18"/>
        </w:rPr>
        <w:t>Vide Rcl 7.583 AgR, rel. min. Gilmar Mendes, j. 24-2-2011, P, DJE de 18-3-2011 Vide Rcl 4.751, rel. min. Ayres Britto, j. 20-5-2009, P, DJE de 19-6-2009 Vide Rcl 4.879, rel. min. Cármen Lúcia, j. 20-5-2009, P, DJE de 2-10-2009 A participação em curso da Academia de Polícia Militar assegurada por força de antecipação de tutela não é apta a caracterizar o direito líquido e certo à nomeação. Esta Corte já rejeitou a chamada "teoria do fato consumado". Precedentes: RE 120.893 AgR/SP e AI 586.800 ED/DF, entre outros.</w:t>
      </w:r>
    </w:p>
    <w:p>
      <w:pPr>
        <w:ind w:left="288"/>
      </w:pPr>
      <w:r>
        <w:rPr>
          <w:b/>
          <w:color w:val="003CA0"/>
          <w:sz w:val="16"/>
        </w:rPr>
        <w:t>[RE 476.783 AgR, rel. min. Ellen Gracie, j. 28-10-2008, 2ª T, DJE de 21-11-2008.]</w:t>
      </w:r>
    </w:p>
    <w:p>
      <w:pPr>
        <w:ind w:left="288"/>
      </w:pPr>
      <w:r>
        <w:rPr>
          <w:color w:val="8C8C8C"/>
          <w:sz w:val="12"/>
        </w:rPr>
        <w:t>cf-art-37-inc-I</w:t>
      </w:r>
      <w:r>
        <w:rPr>
          <w:color w:val="003CA0"/>
          <w:sz w:val="12"/>
        </w:rPr>
        <w:t xml:space="preserve"> | AI 645.392</w:t>
      </w:r>
      <w:r>
        <w:rPr>
          <w:color w:val="003CA0"/>
          <w:sz w:val="12"/>
        </w:rPr>
        <w:t xml:space="preserve"> | rel. Dias Toffoli</w:t>
      </w:r>
    </w:p>
    <w:p>
      <w:pPr>
        <w:ind w:left="288"/>
      </w:pPr>
      <w:r>
        <w:rPr>
          <w:color w:val="1E1E1E"/>
          <w:sz w:val="18"/>
        </w:rPr>
        <w:t>= AI 645.392 AgR, rel. min. Dias Toffoli, j. 18-10-2011, 1ª T, DJE de 29-11-2011 Concurso público. Policial militar. Altura mínima. Previsão legal. Inexistência. Somente lei formal pode impor condições para o preenchimento de cargos, empregos ou funções públicas. Precedentes.</w:t>
      </w:r>
    </w:p>
    <w:p>
      <w:pPr>
        <w:ind w:left="288"/>
      </w:pPr>
      <w:r>
        <w:rPr>
          <w:b/>
          <w:color w:val="003CA0"/>
          <w:sz w:val="16"/>
        </w:rPr>
        <w:t>[AI 723.748 AgR, rel. min. Eros Grau, j. 30-9-2008, 2ª T, DJE de 7-11-2008.]</w:t>
      </w:r>
    </w:p>
    <w:p>
      <w:pPr>
        <w:ind w:left="288"/>
      </w:pPr>
      <w:r>
        <w:rPr>
          <w:color w:val="8C8C8C"/>
          <w:sz w:val="12"/>
        </w:rPr>
        <w:t>cf-art-37-inc-I</w:t>
      </w:r>
      <w:r>
        <w:rPr>
          <w:color w:val="003CA0"/>
          <w:sz w:val="12"/>
        </w:rPr>
        <w:t xml:space="preserve"> | AI 623.035</w:t>
      </w:r>
      <w:r>
        <w:rPr>
          <w:color w:val="003CA0"/>
          <w:sz w:val="12"/>
        </w:rPr>
        <w:t xml:space="preserve"> | rel. Cármen Lúcia</w:t>
      </w:r>
    </w:p>
    <w:p>
      <w:pPr>
        <w:ind w:left="288"/>
      </w:pPr>
      <w:r>
        <w:rPr>
          <w:color w:val="1E1E1E"/>
          <w:sz w:val="18"/>
        </w:rPr>
        <w:t>= AI 623.035 AgR, rel. min. Cármen Lúcia, j. 2-12-2010, 1ª T, DJE de 1º-2-2011 Concurso público. Nomeações. Anulação. Devido processo legal. O STF fixou jurisprudência no sentido de que é necessária a observância do devido processo legal para a anulação de ato administrativo que tenha repercutido no campo de interesses individuais.</w:t>
      </w:r>
    </w:p>
    <w:p>
      <w:pPr>
        <w:ind w:left="288"/>
      </w:pPr>
      <w:r>
        <w:rPr>
          <w:b/>
          <w:color w:val="003CA0"/>
          <w:sz w:val="16"/>
        </w:rPr>
        <w:t>[RE 501.869 AgR, rel. min. Eros Grau, j. 23-9-2008, 2ª T, DJE de 31-10-2008.]</w:t>
      </w:r>
    </w:p>
    <w:p>
      <w:pPr>
        <w:ind w:left="288"/>
      </w:pPr>
      <w:r>
        <w:rPr>
          <w:color w:val="8C8C8C"/>
          <w:sz w:val="12"/>
        </w:rPr>
        <w:t>cf-art-37-inc-I</w:t>
      </w:r>
      <w:r>
        <w:rPr>
          <w:color w:val="003CA0"/>
          <w:sz w:val="12"/>
        </w:rPr>
        <w:t xml:space="preserve"> | RMS 25.294</w:t>
      </w:r>
      <w:r>
        <w:rPr>
          <w:color w:val="003CA0"/>
          <w:sz w:val="12"/>
        </w:rPr>
        <w:t xml:space="preserve"> | rel. Marco Aurélio</w:t>
      </w:r>
    </w:p>
    <w:p>
      <w:pPr>
        <w:ind w:left="288"/>
      </w:pPr>
      <w:r>
        <w:rPr>
          <w:color w:val="1E1E1E"/>
          <w:sz w:val="18"/>
        </w:rPr>
        <w:t>Concurso público. Carreira judiciária. Analista. Escolaridade. Lei 9.421/1996. Alcance. Provimento 81/1999 do STM. A Lei 9.421/1996 deixa à definição dos tribunais a distribuição dos cargos de analista, sem impor a admissibilidade de todo e qualquer diploma de curso superior. A exigência de certa especialidade é estabelecida ante as necessidades da Corte, observado o que previsto na lei que haja criado tais cargos.</w:t>
      </w:r>
    </w:p>
    <w:p>
      <w:pPr>
        <w:ind w:left="288"/>
      </w:pPr>
      <w:r>
        <w:rPr>
          <w:b/>
          <w:color w:val="003CA0"/>
          <w:sz w:val="16"/>
        </w:rPr>
        <w:t>[RMS 25.294, rel. min. Marco Aurélio, j. 9-9-2008, 1ª T, DJE de 19-12-2008.]</w:t>
      </w:r>
    </w:p>
    <w:p>
      <w:pPr>
        <w:ind w:left="288"/>
      </w:pPr>
      <w:r>
        <w:rPr>
          <w:color w:val="8C8C8C"/>
          <w:sz w:val="12"/>
        </w:rPr>
        <w:t>cf-art-37-inc-I</w:t>
      </w:r>
      <w:r>
        <w:rPr>
          <w:color w:val="003CA0"/>
          <w:sz w:val="12"/>
        </w:rPr>
        <w:t xml:space="preserve"> | RE 461.792</w:t>
      </w:r>
      <w:r>
        <w:rPr>
          <w:color w:val="003CA0"/>
          <w:sz w:val="12"/>
        </w:rPr>
        <w:t xml:space="preserve"> | rel. Eros Grau</w:t>
      </w:r>
    </w:p>
    <w:p>
      <w:pPr>
        <w:ind w:left="288"/>
      </w:pPr>
      <w:r>
        <w:rPr>
          <w:color w:val="1E1E1E"/>
          <w:sz w:val="18"/>
        </w:rPr>
        <w:t>A investidura de servidor público efetivo em outro cargo depende de concurso público, nos termos do disposto no art. 37, II, da CF/1988, ressalvada a hipótese de promoção na mesma carreira.</w:t>
      </w:r>
    </w:p>
    <w:p>
      <w:pPr>
        <w:ind w:left="288"/>
      </w:pPr>
      <w:r>
        <w:rPr>
          <w:b/>
          <w:color w:val="003CA0"/>
          <w:sz w:val="16"/>
        </w:rPr>
        <w:t>[RE 461.792 AgR, rel. min. Eros Grau, j. 24-6-2008, 2ª T, DJE de 15-8-2008.]</w:t>
      </w:r>
    </w:p>
    <w:p>
      <w:pPr>
        <w:ind w:left="288"/>
      </w:pPr>
      <w:r>
        <w:rPr>
          <w:color w:val="8C8C8C"/>
          <w:sz w:val="12"/>
        </w:rPr>
        <w:t>cf-art-37-inc-I</w:t>
      </w:r>
      <w:r>
        <w:rPr>
          <w:color w:val="003CA0"/>
          <w:sz w:val="12"/>
        </w:rPr>
        <w:t xml:space="preserve"> | AI 801.098</w:t>
      </w:r>
      <w:r>
        <w:rPr>
          <w:color w:val="003CA0"/>
          <w:sz w:val="12"/>
        </w:rPr>
        <w:t xml:space="preserve"> | rel. Ricardo Lewandowski</w:t>
      </w:r>
    </w:p>
    <w:p>
      <w:pPr>
        <w:ind w:left="288"/>
      </w:pPr>
      <w:r>
        <w:rPr>
          <w:color w:val="1E1E1E"/>
          <w:sz w:val="18"/>
        </w:rPr>
        <w:t>= AI 801.098 AgR, rel. min. Ricardo Lewandowski, j. 9-11-2010, 1ª T, DJE de 26-11-2010 Após a Constituição do Brasil de 1988, é nula a contratação para a investidura em cargo ou emprego público sem prévia aprovação em concurso público. Tal contratação não gera efeitos trabalhistas, salvo o pagamento do saldo de salários dos dias efetivamente trabalhados, sob pena de enriquecimento sem causa do poder público. Precedentes. A regra constitucional que submete as empresas públicas e sociedades de economia mista ao regime jurídico próprio das empresas privadas (...) não elide a aplicação, a esses en</w:t>
      </w:r>
    </w:p>
    <w:p>
      <w:pPr>
        <w:ind w:left="288"/>
      </w:pPr>
      <w:r>
        <w:rPr>
          <w:b/>
          <w:color w:val="003CA0"/>
          <w:sz w:val="16"/>
        </w:rPr>
        <w:t>[AI 680.939 AgR, rel. min. Eros Grau, j. 27-11-2007, 2ª T, DJE de 1º-2-2008.]</w:t>
      </w:r>
    </w:p>
    <w:p>
      <w:pPr>
        <w:ind w:left="288"/>
      </w:pPr>
      <w:r>
        <w:rPr>
          <w:color w:val="8C8C8C"/>
          <w:sz w:val="12"/>
        </w:rPr>
        <w:t>cf-art-37-inc-I</w:t>
      </w:r>
      <w:r>
        <w:rPr>
          <w:color w:val="003CA0"/>
          <w:sz w:val="12"/>
        </w:rPr>
        <w:t xml:space="preserve"> | AI 612.687</w:t>
      </w:r>
      <w:r>
        <w:rPr>
          <w:color w:val="003CA0"/>
          <w:sz w:val="12"/>
        </w:rPr>
        <w:t xml:space="preserve"> | rel. Dias Toffoli</w:t>
      </w:r>
    </w:p>
    <w:p>
      <w:pPr>
        <w:ind w:left="288"/>
      </w:pPr>
      <w:r>
        <w:rPr>
          <w:color w:val="1E1E1E"/>
          <w:sz w:val="18"/>
        </w:rPr>
        <w:t>= AI 612.687 AgR, rel. min. Dias Toffoli, j. 9-11-2010, 1ª T, DJE de 9-3-2011 A jurisprudência fixada a partir da ADI 231, DJ de 13-11-1992, de que o ingresso nas carreiras públicas se dá mediante prévio concurso público, não alcança situações fáticas ocorridas anteriormente ao seu julgamento, mormente em período cujo entendimento sobre o tema não era pacífico nesta Corte.</w:t>
      </w:r>
    </w:p>
    <w:p>
      <w:pPr>
        <w:ind w:left="288"/>
      </w:pPr>
      <w:r>
        <w:rPr>
          <w:b/>
          <w:color w:val="003CA0"/>
          <w:sz w:val="16"/>
        </w:rPr>
        <w:t>[RE 306.938 AgR, rel. min. Cezar Peluso, j. 18-9-2007, 2ª T, DJ de 11-10-2007.]</w:t>
      </w:r>
    </w:p>
    <w:p>
      <w:pPr>
        <w:ind w:left="288"/>
      </w:pPr>
      <w:r>
        <w:rPr>
          <w:color w:val="8C8C8C"/>
          <w:sz w:val="12"/>
        </w:rPr>
        <w:t>cf-art-37-inc-I</w:t>
      </w:r>
      <w:r>
        <w:rPr>
          <w:color w:val="003CA0"/>
          <w:sz w:val="12"/>
        </w:rPr>
        <w:t xml:space="preserve"> | AI 290.014</w:t>
      </w:r>
      <w:r>
        <w:rPr>
          <w:color w:val="003CA0"/>
          <w:sz w:val="12"/>
        </w:rPr>
        <w:t xml:space="preserve"> | rel. Cezar Peluso</w:t>
      </w:r>
    </w:p>
    <w:p>
      <w:pPr>
        <w:ind w:left="288"/>
      </w:pPr>
      <w:r>
        <w:rPr>
          <w:color w:val="1E1E1E"/>
          <w:sz w:val="18"/>
        </w:rPr>
        <w:t>Não ofende o art. 37, II, da Constituição atual o reconhecimento de vínculo empregatício com empresa pública, iniciado sem concurso público, em período anterior a sua entrada em vigor. Precedentes: AI 290.014 AgR (rel. min. Cezar Peluso, Primeira Turma, DJ de 7-10-2005); RE 313.130 (rel. min. Maurício Corrêa, DJ de 5-8-2002); RE 454.410 (rel. min. Gilmar Mendes, DJ de 12-8-2005); e AI 254.417 AgR (rel. min. Octavio Gallotti, Primeira Turma, DJ de 16-6-2000).</w:t>
      </w:r>
    </w:p>
    <w:p>
      <w:pPr>
        <w:ind w:left="288"/>
      </w:pPr>
      <w:r>
        <w:rPr>
          <w:b/>
          <w:color w:val="003CA0"/>
          <w:sz w:val="16"/>
        </w:rPr>
        <w:t>[AI 367.237 AgR, rel. min. Joaquim Barbosa, j. 27-3-2007, 2ª T, DJ de 3-8-2007.]</w:t>
      </w:r>
    </w:p>
    <w:p>
      <w:pPr>
        <w:ind w:left="288"/>
      </w:pPr>
      <w:r>
        <w:rPr>
          <w:color w:val="8C8C8C"/>
          <w:sz w:val="12"/>
        </w:rPr>
        <w:t>cf-art-37-inc-I</w:t>
      </w:r>
      <w:r>
        <w:rPr>
          <w:color w:val="003CA0"/>
          <w:sz w:val="12"/>
        </w:rPr>
        <w:t xml:space="preserve"> | AI 594.942</w:t>
      </w:r>
      <w:r>
        <w:rPr>
          <w:color w:val="003CA0"/>
          <w:sz w:val="12"/>
        </w:rPr>
        <w:t xml:space="preserve"> | rel. Sepúlveda Pertence</w:t>
      </w:r>
    </w:p>
    <w:p>
      <w:pPr>
        <w:ind w:left="288"/>
      </w:pPr>
      <w:r>
        <w:rPr>
          <w:color w:val="1E1E1E"/>
          <w:sz w:val="18"/>
        </w:rPr>
        <w:t>Servidor público: o desvio de função ocorrido em data posterior à Constituição de 1988 não pode dar ensejo ao reenquadramento; no entanto, tem o servidor direito a receber a diferença das remunerações, como indenização, sob pena de enriquecimento sem causa do Estado: precedentes.</w:t>
      </w:r>
    </w:p>
    <w:p>
      <w:pPr>
        <w:ind w:left="288"/>
      </w:pPr>
      <w:r>
        <w:rPr>
          <w:b/>
          <w:color w:val="003CA0"/>
          <w:sz w:val="16"/>
        </w:rPr>
        <w:t>[AI 594.942 AgR, rel. min. Sepúlveda Pertence, j. 14-11-2006, 1ª T, DJ de 7-12-2006.]</w:t>
      </w:r>
    </w:p>
    <w:p>
      <w:pPr>
        <w:ind w:left="288"/>
      </w:pPr>
      <w:r>
        <w:rPr>
          <w:color w:val="8C8C8C"/>
          <w:sz w:val="12"/>
        </w:rPr>
        <w:t>cf-art-37-inc-I</w:t>
      </w:r>
      <w:r>
        <w:rPr>
          <w:color w:val="003CA0"/>
          <w:sz w:val="12"/>
        </w:rPr>
        <w:t xml:space="preserve"> | RE 576.625</w:t>
      </w:r>
      <w:r>
        <w:rPr>
          <w:color w:val="003CA0"/>
          <w:sz w:val="12"/>
        </w:rPr>
        <w:t xml:space="preserve"> | rel. Ricardo Lewandowski</w:t>
      </w:r>
    </w:p>
    <w:p>
      <w:pPr>
        <w:ind w:left="288"/>
      </w:pPr>
      <w:r>
        <w:rPr>
          <w:color w:val="1E1E1E"/>
          <w:sz w:val="18"/>
        </w:rPr>
        <w:t>= RE 576.625 AgR, rel. min. Ricardo Lewandowski, j. 1º-6-2010, 1ª T, DJE de 6-8-2010 Concurso público. Irregularidades. Anulação do concurso anterior à posse dos candidatos nomeados. Necessidade de prévio processo administrativo. Observância do contraditório e da ampla defesa.</w:t>
      </w:r>
    </w:p>
    <w:p>
      <w:pPr>
        <w:ind w:left="288"/>
      </w:pPr>
      <w:r>
        <w:rPr>
          <w:b/>
          <w:color w:val="003CA0"/>
          <w:sz w:val="16"/>
        </w:rPr>
        <w:t>[RE 351.489, rel. min. Gilmar Mendes, j. 7-2-2006, 2ª T, DJ de 17-3-2006.]</w:t>
      </w:r>
    </w:p>
    <w:p>
      <w:pPr>
        <w:ind w:left="288"/>
      </w:pPr>
      <w:r>
        <w:rPr>
          <w:color w:val="8C8C8C"/>
          <w:sz w:val="12"/>
        </w:rPr>
        <w:t>cf-art-37-inc-I</w:t>
      </w:r>
      <w:r>
        <w:rPr>
          <w:color w:val="003CA0"/>
          <w:sz w:val="12"/>
        </w:rPr>
        <w:t xml:space="preserve"> | RE 442.683</w:t>
      </w:r>
      <w:r>
        <w:rPr>
          <w:color w:val="003CA0"/>
          <w:sz w:val="12"/>
        </w:rPr>
        <w:t xml:space="preserve"> | rel. Carlos Velloso</w:t>
      </w:r>
    </w:p>
    <w:p>
      <w:pPr>
        <w:ind w:left="288"/>
      </w:pPr>
      <w:r>
        <w:rPr>
          <w:color w:val="1E1E1E"/>
          <w:sz w:val="18"/>
        </w:rPr>
        <w:t>Constitucional. Servidor público: provimento derivado: inconstitucionalidade: efeito ex nunc. Princípios da boa-fé e da segurança jurídica. (...) A Constituição de 1988 instituiu o concurso público como forma de acesso aos cargos públicos. CF, art. 37, II. Pedido de desconstituição de ato administrativo que deferiu, mediante concurso interno, a progressão de servidores públicos.</w:t>
        <w:br/>
        <w:t>[RE 442.683, rel. min. Carlos Velloso, j. 13-12-2005, 2ª T, DJ de 24-3-2006.]</w:t>
        <w:br/>
        <w:t>Vide ADI 3.857, rel. min. Ricardo Lewandowski, j. 18-12-2008, P, DJE de 27-2-2009</w:t>
        <w:br/>
        <w:t>Vide ADI 3.434 MC, voto do rel. min. Joaquim Barbosa, j. 2</w:t>
      </w:r>
    </w:p>
    <w:p>
      <w:pPr>
        <w:ind w:left="288"/>
      </w:pPr>
      <w:r>
        <w:rPr>
          <w:b/>
          <w:color w:val="003CA0"/>
          <w:sz w:val="16"/>
        </w:rPr>
        <w:t>[RE 223.903 AgR, rel. min. Ilmar Galvão, j. 5-3-2002, 1ª T, DJ de 26-4-2002.]</w:t>
      </w:r>
    </w:p>
    <w:p>
      <w:pPr>
        <w:ind w:left="288"/>
      </w:pPr>
      <w:r>
        <w:rPr>
          <w:color w:val="8C8C8C"/>
          <w:sz w:val="12"/>
        </w:rPr>
        <w:t>cf-art-37-inc-I</w:t>
      </w:r>
      <w:r>
        <w:rPr>
          <w:color w:val="003CA0"/>
          <w:sz w:val="12"/>
        </w:rPr>
        <w:t xml:space="preserve"> | RE 290.346</w:t>
      </w:r>
      <w:r>
        <w:rPr>
          <w:color w:val="003CA0"/>
          <w:sz w:val="12"/>
        </w:rPr>
        <w:t xml:space="preserve"> | rel. Ilmar Galvão</w:t>
      </w:r>
    </w:p>
    <w:p>
      <w:pPr>
        <w:ind w:left="288"/>
      </w:pPr>
      <w:r>
        <w:rPr>
          <w:color w:val="1E1E1E"/>
          <w:sz w:val="18"/>
        </w:rPr>
        <w:t>Em face do princípio da legalidade, pode a administração pública, enquanto não concluído e homologado o concurso público, alterar as condições do certame constantes do respectivo edital, para adaptá-las à nova legislação aplicável à espécie, visto que, antes do provimento do cargo, o candidato tem mera expectativa de direito à nomeação ou, se for o caso, à participação na segunda etapa do processo seletivo.</w:t>
      </w:r>
    </w:p>
    <w:p>
      <w:pPr>
        <w:ind w:left="288"/>
      </w:pPr>
      <w:r>
        <w:rPr>
          <w:b/>
          <w:color w:val="003CA0"/>
          <w:sz w:val="16"/>
        </w:rPr>
        <w:t>[RE 290.346, rel. min. Ilmar Galvão, j. 29-5-2001, 1ª T, DJ de 29-6-2001.]</w:t>
      </w:r>
    </w:p>
    <w:p>
      <w:pPr>
        <w:ind w:left="288"/>
      </w:pPr>
      <w:r>
        <w:rPr>
          <w:color w:val="8C8C8C"/>
          <w:sz w:val="12"/>
        </w:rPr>
        <w:t>cf-art-37-inc-I</w:t>
      </w:r>
      <w:r>
        <w:rPr>
          <w:color w:val="003CA0"/>
          <w:sz w:val="12"/>
        </w:rPr>
        <w:t xml:space="preserve"> | RE 646.491</w:t>
      </w:r>
      <w:r>
        <w:rPr>
          <w:color w:val="003CA0"/>
          <w:sz w:val="12"/>
        </w:rPr>
        <w:t xml:space="preserve"> | rel. Cármen Lúcia</w:t>
      </w:r>
    </w:p>
    <w:p>
      <w:pPr>
        <w:ind w:left="288"/>
      </w:pPr>
      <w:r>
        <w:rPr>
          <w:color w:val="1E1E1E"/>
          <w:sz w:val="18"/>
        </w:rPr>
        <w:t>= RE 646.491 AgR, rel. min. Cármen Lúcia, j. 25-10-2011, 1ª T, DJE de 23-11-2011</w:t>
        <w:br/>
        <w:t>= Pet 11.197 AgR, rel. min. Luiz Fux, j. 30-10-2023, 1ª T, DJE de 9-11-2023 Longe fica de vulnerar a Carta Política acórdão que, diante de desvio de função, implica o reconhecimento do direito à percepção, como verdadeira indenização, do valor maior, sem estampar enquadramento no cargo, para o que seria indispensável o concurso público.</w:t>
      </w:r>
    </w:p>
    <w:p>
      <w:pPr>
        <w:ind w:left="288"/>
      </w:pPr>
      <w:r>
        <w:rPr>
          <w:b/>
          <w:color w:val="003CA0"/>
          <w:sz w:val="16"/>
        </w:rPr>
        <w:t>[RE 275.840, red. do ac. min. Marco Aurélio, rel. min. Maurício Corrêa, j. 6-3-2001, 2ª T, DJ de 1º-6-2001.]</w:t>
      </w:r>
    </w:p>
    <w:p>
      <w:pPr>
        <w:ind w:left="288"/>
      </w:pPr>
      <w:r>
        <w:rPr>
          <w:color w:val="8C8C8C"/>
          <w:sz w:val="12"/>
        </w:rPr>
        <w:t>cf-art-37-inc-I</w:t>
      </w:r>
      <w:r>
        <w:rPr>
          <w:color w:val="003CA0"/>
          <w:sz w:val="12"/>
        </w:rPr>
        <w:t xml:space="preserve"> | RE 223.380</w:t>
      </w:r>
      <w:r>
        <w:rPr>
          <w:color w:val="003CA0"/>
          <w:sz w:val="12"/>
        </w:rPr>
        <w:t xml:space="preserve"> | rel. Marco Aurélio</w:t>
      </w:r>
    </w:p>
    <w:p>
      <w:pPr>
        <w:ind w:left="288"/>
      </w:pPr>
      <w:r>
        <w:rPr>
          <w:color w:val="1E1E1E"/>
          <w:sz w:val="18"/>
        </w:rPr>
        <w:t>Servidor público. Ausência de estabilidade. Cessação do vínculo. Tratando-se de servidor público arregimentado sem a aprovação em concurso público e que, à época da entrada em vigor da Carta de 1988, não contava com cinco anos de prestação de serviços, descabe cogitar de ilegalidade na ruptura do vínculo.</w:t>
      </w:r>
    </w:p>
    <w:p>
      <w:pPr>
        <w:ind w:left="288"/>
      </w:pPr>
      <w:r>
        <w:rPr>
          <w:b/>
          <w:color w:val="003CA0"/>
          <w:sz w:val="16"/>
        </w:rPr>
        <w:t>[RE 223.380, rel. min. Marco Aurélio, j. 28-11-2000, 2ª T, DJ de 30-3-2001.]</w:t>
      </w:r>
    </w:p>
    <w:p>
      <w:pPr>
        <w:ind w:left="288"/>
      </w:pPr>
      <w:r>
        <w:rPr>
          <w:color w:val="8C8C8C"/>
          <w:sz w:val="12"/>
        </w:rPr>
        <w:t>cf-art-37-inc-I</w:t>
      </w:r>
      <w:r>
        <w:rPr>
          <w:color w:val="003CA0"/>
          <w:sz w:val="12"/>
        </w:rPr>
        <w:t xml:space="preserve"> | RE 222.236</w:t>
      </w:r>
      <w:r>
        <w:rPr>
          <w:color w:val="003CA0"/>
          <w:sz w:val="12"/>
        </w:rPr>
        <w:t xml:space="preserve"> | rel. Néri da Silveira</w:t>
      </w:r>
    </w:p>
    <w:p>
      <w:pPr>
        <w:ind w:left="288"/>
      </w:pPr>
      <w:r>
        <w:rPr>
          <w:color w:val="1E1E1E"/>
          <w:sz w:val="18"/>
        </w:rPr>
        <w:t>Provimento de cargo público. Ascensão. Direito adquirido antes do advento da CF de 1988. Inaplicabilidade do art. 37, II, da CF.</w:t>
      </w:r>
    </w:p>
    <w:p>
      <w:pPr>
        <w:ind w:left="288"/>
      </w:pPr>
      <w:r>
        <w:rPr>
          <w:b/>
          <w:color w:val="003CA0"/>
          <w:sz w:val="16"/>
        </w:rPr>
        <w:t>[RE 222.236 AgR, rel. min. Néri da Silveira, j. 17-10-2000, 2ª T, DJ de 24-11-2000.]</w:t>
      </w:r>
    </w:p>
    <w:p>
      <w:pPr>
        <w:ind w:left="288"/>
      </w:pPr>
      <w:r>
        <w:rPr>
          <w:color w:val="8C8C8C"/>
          <w:sz w:val="12"/>
        </w:rPr>
        <w:t>cf-art-37-inc-I</w:t>
      </w:r>
      <w:r>
        <w:rPr>
          <w:color w:val="003CA0"/>
          <w:sz w:val="12"/>
        </w:rPr>
        <w:t xml:space="preserve"> | RE 219.934</w:t>
      </w:r>
      <w:r>
        <w:rPr>
          <w:color w:val="003CA0"/>
          <w:sz w:val="12"/>
        </w:rPr>
        <w:t xml:space="preserve"> | rel. Octavio Gallotti</w:t>
      </w:r>
    </w:p>
    <w:p>
      <w:pPr>
        <w:ind w:left="288"/>
      </w:pPr>
      <w:r>
        <w:rPr>
          <w:color w:val="1E1E1E"/>
          <w:sz w:val="18"/>
        </w:rPr>
        <w:t>Fere o princípio inscrito no art. 37, II, da CF, a atribuição, independentemente de concurso público, dos vencimentos de cargo superior que haja desempenhado, por desvio de função, o servidor.</w:t>
      </w:r>
    </w:p>
    <w:p>
      <w:pPr>
        <w:ind w:left="288"/>
      </w:pPr>
      <w:r>
        <w:rPr>
          <w:b/>
          <w:color w:val="003CA0"/>
          <w:sz w:val="16"/>
        </w:rPr>
        <w:t>[RE 219.934, rel. min. Octavio Gallotti, j. 14-6-2000, P, DJ de 16-2-2001.]</w:t>
      </w:r>
    </w:p>
    <w:p>
      <w:pPr>
        <w:ind w:left="288"/>
      </w:pPr>
      <w:r>
        <w:rPr>
          <w:color w:val="8C8C8C"/>
          <w:sz w:val="12"/>
        </w:rPr>
        <w:t>cf-art-37-inc-I</w:t>
      </w:r>
      <w:r>
        <w:rPr>
          <w:color w:val="003CA0"/>
          <w:sz w:val="12"/>
        </w:rPr>
        <w:t xml:space="preserve"> | AR 2.240</w:t>
      </w:r>
      <w:r>
        <w:rPr>
          <w:color w:val="003CA0"/>
          <w:sz w:val="12"/>
        </w:rPr>
        <w:t xml:space="preserve"> | rel. Dias Toffoli</w:t>
      </w:r>
    </w:p>
    <w:p>
      <w:pPr>
        <w:ind w:left="288"/>
      </w:pPr>
      <w:r>
        <w:rPr>
          <w:color w:val="1E1E1E"/>
          <w:sz w:val="18"/>
        </w:rPr>
        <w:t>= AR 2.240, rel. min. Dias Toffoli, j. 2-5-2012, dec. monocrática, DJE de 7-5-2012 Não se mostra razoável a pretensão de subordinar, ao preceito do art. 37, II, da Constituição, o vínculo empregatício estabelecido antes de sua promulgação.</w:t>
      </w:r>
    </w:p>
    <w:p>
      <w:pPr>
        <w:ind w:left="288"/>
      </w:pPr>
      <w:r>
        <w:rPr>
          <w:b/>
          <w:color w:val="003CA0"/>
          <w:sz w:val="16"/>
        </w:rPr>
        <w:t>[AI 254.417 AgR, rel. min. Octavio Gallotti, j. 28-3-2000, 1ª T, DJ de 16-6-2000.]</w:t>
      </w:r>
    </w:p>
    <w:p>
      <w:pPr>
        <w:ind w:left="288"/>
      </w:pPr>
      <w:r>
        <w:rPr>
          <w:color w:val="8C8C8C"/>
          <w:sz w:val="12"/>
        </w:rPr>
        <w:t>cf-art-37-inc-I</w:t>
      </w:r>
      <w:r>
        <w:rPr>
          <w:color w:val="003CA0"/>
          <w:sz w:val="12"/>
        </w:rPr>
        <w:t xml:space="preserve"> | AI 262.063</w:t>
      </w:r>
      <w:r>
        <w:rPr>
          <w:color w:val="003CA0"/>
          <w:sz w:val="12"/>
        </w:rPr>
        <w:t xml:space="preserve"> | rel. Sepúlveda Pertence</w:t>
      </w:r>
    </w:p>
    <w:p>
      <w:pPr>
        <w:ind w:left="288"/>
      </w:pPr>
      <w:r>
        <w:rPr>
          <w:color w:val="1E1E1E"/>
          <w:sz w:val="18"/>
        </w:rPr>
        <w:t>= AI 262.063 AgR, rel. min. Sepúlveda Pertence, j. 15-2-2005, 1ª T, DJ de 11-3-2005 Absorção pela administração direta estadual dos empregados de sociedade de economia mista em liquidação: plausibilidade da alegação de afronta ao princípio constitucional do concurso público (CF, art. 37, II).</w:t>
      </w:r>
    </w:p>
    <w:p>
      <w:pPr>
        <w:ind w:left="288"/>
      </w:pPr>
      <w:r>
        <w:rPr>
          <w:b/>
          <w:color w:val="003CA0"/>
          <w:sz w:val="16"/>
        </w:rPr>
        <w:t>[SS 837 AgR, rel. min. Sepúlveda Pertence, j. 9-5-1997, P, DJ de 13-6-1997.]</w:t>
      </w:r>
    </w:p>
    <w:p>
      <w:pPr>
        <w:ind w:left="288"/>
      </w:pPr>
      <w:r>
        <w:rPr>
          <w:color w:val="8C8C8C"/>
          <w:sz w:val="12"/>
        </w:rPr>
        <w:t>cf-art-37-inc-I</w:t>
      </w:r>
      <w:r>
        <w:rPr>
          <w:color w:val="003CA0"/>
          <w:sz w:val="12"/>
        </w:rPr>
        <w:t xml:space="preserve"> | RE 163.712</w:t>
      </w:r>
      <w:r>
        <w:rPr>
          <w:color w:val="003CA0"/>
          <w:sz w:val="12"/>
        </w:rPr>
        <w:t xml:space="preserve"> | rel. Ilmar Galvão</w:t>
      </w:r>
    </w:p>
    <w:p>
      <w:pPr>
        <w:ind w:left="288"/>
      </w:pPr>
      <w:r>
        <w:rPr>
          <w:color w:val="1E1E1E"/>
          <w:sz w:val="18"/>
        </w:rPr>
        <w:t>Ao exigir, no art. 37, II, que o ingresso em carreira só se fará mediante concurso público de provas ou de provas e títulos, o legislador constituinte baniu, das formas de investidura admitidas, a redistribuição e a transferência. Legítima a atuação da administração pública, nos termos da Súmula 473, que, uma vez verificada a violação à norma da CF no ato de redistribuição efetuado, cuidou logo de anulá-lo, sem que esse procedimento tenha importado em afronta a direito adquirido.</w:t>
      </w:r>
    </w:p>
    <w:p>
      <w:pPr>
        <w:ind w:left="288"/>
      </w:pPr>
      <w:r>
        <w:rPr>
          <w:b/>
          <w:color w:val="003CA0"/>
          <w:sz w:val="16"/>
        </w:rPr>
        <w:t>[RE 163.712, rel. min. Ilmar Galvão, j. 10-5-1996, 1ª T, DJ de 6-9-1996.]</w:t>
      </w:r>
    </w:p>
    <w:p>
      <w:pPr>
        <w:ind w:left="288"/>
      </w:pPr>
      <w:r>
        <w:rPr>
          <w:color w:val="8C8C8C"/>
          <w:sz w:val="12"/>
        </w:rPr>
        <w:t>cf-art-37-inc-I</w:t>
      </w:r>
      <w:r>
        <w:rPr>
          <w:color w:val="003CA0"/>
          <w:sz w:val="12"/>
        </w:rPr>
        <w:t xml:space="preserve"> | RE 156.400</w:t>
      </w:r>
      <w:r>
        <w:rPr>
          <w:color w:val="003CA0"/>
          <w:sz w:val="12"/>
        </w:rPr>
        <w:t xml:space="preserve"> | rel. Marco Aurélio</w:t>
      </w:r>
    </w:p>
    <w:p>
      <w:pPr>
        <w:ind w:left="288"/>
      </w:pPr>
      <w:r>
        <w:rPr>
          <w:color w:val="1E1E1E"/>
          <w:sz w:val="18"/>
        </w:rPr>
        <w:t>Concurso público. Inscrição. Vida pregressa. Contraditório e ampla defesa. O que se contém no inciso LV do art. 5º da CF, a pressupor litígio ou acusação, não tem pertinência à hipótese em que analisado o atendimento de requisitos referentes à inscrição de candidato a concurso público. O levantamento ético-social dispensa o contraditório, não se podendo cogitar quer da existência de litígio, quer de acusação que vise à determinada sanção.</w:t>
      </w:r>
    </w:p>
    <w:p>
      <w:pPr>
        <w:ind w:left="288"/>
      </w:pPr>
      <w:r>
        <w:rPr>
          <w:b/>
          <w:color w:val="003CA0"/>
          <w:sz w:val="16"/>
        </w:rPr>
        <w:t>[RE 156.400, rel. min. Marco Aurélio, j. 5-6-1995, 2ª T, DJ de 15-9-1995.]</w:t>
      </w:r>
    </w:p>
    <w:p>
      <w:pPr>
        <w:ind w:left="288"/>
      </w:pPr>
      <w:r>
        <w:rPr>
          <w:color w:val="8C8C8C"/>
          <w:sz w:val="12"/>
        </w:rPr>
        <w:t>cf-art-37-inc-I</w:t>
      </w:r>
      <w:r>
        <w:rPr>
          <w:color w:val="003CA0"/>
          <w:sz w:val="12"/>
        </w:rPr>
        <w:t xml:space="preserve"> | RE 233.303</w:t>
      </w:r>
      <w:r>
        <w:rPr>
          <w:color w:val="003CA0"/>
          <w:sz w:val="12"/>
        </w:rPr>
        <w:t xml:space="preserve"> | rel. Menezes Direito</w:t>
      </w:r>
    </w:p>
    <w:p>
      <w:pPr>
        <w:ind w:left="288"/>
      </w:pPr>
      <w:r>
        <w:rPr>
          <w:color w:val="1E1E1E"/>
          <w:sz w:val="18"/>
        </w:rPr>
        <w:t>= RE 233.303, rel. min. Menezes Direito, j. 27-5-2008, 2ª T, DJE de 1º-8-2008 Não ofende o princípio da igualdade o regulamento de concurso público que, destinado a preencher cargos de vários órgãos da Justiça Federal, sediados em locais diversos, determina que a classificação se faça por unidade da Federação, ainda que daí resulte que um candidato se possa classificar, em uma delas, com nota inferior ao que, em outra, não alcance a classificação respectiva.</w:t>
      </w:r>
    </w:p>
    <w:p>
      <w:pPr>
        <w:ind w:left="288"/>
      </w:pPr>
      <w:r>
        <w:rPr>
          <w:b/>
          <w:color w:val="003CA0"/>
          <w:sz w:val="16"/>
        </w:rPr>
        <w:t>[RE 146.585, rel. min. Sepúlveda Pertence, j. 18-4-1995, 1ª T, DJ de 15-9-1995.]</w:t>
      </w:r>
    </w:p>
    <w:p>
      <w:pPr>
        <w:ind w:left="288"/>
      </w:pPr>
      <w:r>
        <w:rPr>
          <w:color w:val="8C8C8C"/>
          <w:sz w:val="12"/>
        </w:rPr>
        <w:t>cf-art-37-inc-I</w:t>
      </w:r>
      <w:r>
        <w:rPr>
          <w:color w:val="003CA0"/>
          <w:sz w:val="12"/>
        </w:rPr>
        <w:t xml:space="preserve"> | RMS 23.259</w:t>
      </w:r>
      <w:r>
        <w:rPr>
          <w:color w:val="003CA0"/>
          <w:sz w:val="12"/>
        </w:rPr>
        <w:t xml:space="preserve"> | rel. Gilmar Mendes</w:t>
      </w:r>
    </w:p>
    <w:p>
      <w:pPr>
        <w:ind w:left="288"/>
      </w:pPr>
      <w:r>
        <w:rPr>
          <w:color w:val="1E1E1E"/>
          <w:sz w:val="18"/>
        </w:rPr>
        <w:t>= RMS 23.259, rel. min. Gilmar Mendes, j. 25-3-2003, 2ª T, DJ de 11-4-2003 Recorrente que era titular de cargo em comissão, sem vínculo efetivo com a administração pública direta (ou centralizada) da União Federal. Ato da Presidência do STM consistente na exoneração desse servidor, licenciado para tratamento de saúde, do cargo de assessor de ministro daquela alta corte judiciária. Possibilidade. Natureza jurídica do cargo em comissão. Notas que tipificam a investidura em referido cargo público. Poder discricionário da autoridade competente para exonerar, ad nutum, ocupante de cargo em comissão</w:t>
      </w:r>
    </w:p>
    <w:p>
      <w:pPr>
        <w:ind w:left="288"/>
      </w:pPr>
      <w:r>
        <w:rPr>
          <w:b/>
          <w:color w:val="003CA0"/>
          <w:sz w:val="16"/>
        </w:rPr>
        <w:t>[RMS 21.821, rel. min. Celso de Mello, j. 12-4-1994, 1ª T, DJE de 23-10-2009.]</w:t>
      </w:r>
    </w:p>
    <w:p>
      <w:pPr>
        <w:ind w:left="288"/>
      </w:pPr>
      <w:r>
        <w:rPr>
          <w:color w:val="8C8C8C"/>
          <w:sz w:val="12"/>
        </w:rPr>
        <w:t>cf-art-37-inc-I</w:t>
      </w:r>
      <w:r>
        <w:rPr>
          <w:color w:val="003CA0"/>
          <w:sz w:val="12"/>
        </w:rPr>
        <w:t xml:space="preserve"> | ARE 663.384</w:t>
      </w:r>
      <w:r>
        <w:rPr>
          <w:color w:val="003CA0"/>
          <w:sz w:val="12"/>
        </w:rPr>
        <w:t xml:space="preserve"> | rel. Cármen Lúcia</w:t>
      </w:r>
    </w:p>
    <w:p>
      <w:pPr>
        <w:ind w:left="288"/>
      </w:pPr>
      <w:r>
        <w:rPr>
          <w:color w:val="1E1E1E"/>
          <w:sz w:val="18"/>
        </w:rPr>
        <w:t xml:space="preserve">= ARE 663.384 AgR, rel. min. Cármen Lúcia, j. 25-9-2012, 2ª T, DJE de 11-10-2012 A acessibilidade aos cargos públicos a todos os brasileiros, nos termos da lei e mediante concurso público, é princípio constitucional explícito, desde 1934, art. 168. (...) Pela vigente ordem constitucional, em regra, o acesso aos empregos públicos opera-se mediante concurso público, que pode não ser de igual conteúdo, mas há de ser público. As autarquias, empresas públicas ou sociedades de economia mista estão sujeitas à regra, que envolve a administração direta, indireta ou fundacional, de qualquer dos poderes </w:t>
      </w:r>
    </w:p>
    <w:p>
      <w:pPr>
        <w:ind w:left="288"/>
      </w:pPr>
      <w:r>
        <w:rPr>
          <w:b/>
          <w:color w:val="003CA0"/>
          <w:sz w:val="16"/>
        </w:rPr>
        <w:t>[MS 21.322, rel. min. Paulo Brossard, j. 3-12-1992, P, DJ de 23-4-1993.]</w:t>
      </w:r>
    </w:p>
    <w:p>
      <w:pPr>
        <w:ind w:left="288"/>
      </w:pPr>
      <w:r>
        <w:rPr>
          <w:color w:val="8C8C8C"/>
          <w:sz w:val="12"/>
        </w:rPr>
        <w:t>cf-art-37-inc-I</w:t>
      </w:r>
      <w:r>
        <w:rPr>
          <w:color w:val="003CA0"/>
          <w:sz w:val="12"/>
        </w:rPr>
        <w:t xml:space="preserve"> | RE 558.833</w:t>
      </w:r>
      <w:r>
        <w:rPr>
          <w:color w:val="003CA0"/>
          <w:sz w:val="12"/>
        </w:rPr>
        <w:t xml:space="preserve"> | rel. Ellen Gracie</w:t>
      </w:r>
    </w:p>
    <w:p>
      <w:pPr>
        <w:ind w:left="288"/>
      </w:pPr>
      <w:r>
        <w:rPr>
          <w:color w:val="1E1E1E"/>
          <w:sz w:val="18"/>
        </w:rPr>
        <w:t>= RE 558.833 AgR, rel. min. Ellen Gracie, j. 8-9-2009, 2ª T, DJE de 25-9-2009 A exigência de caráter geral, de aprovação em concurso, não pode ser afastada nem mesmo pela reserva de "percentual dos cargos e empregos públicos para as pessoas portadoras de deficiência" (CF, art. 37, II e VIII).</w:t>
      </w:r>
    </w:p>
    <w:p>
      <w:pPr>
        <w:ind w:left="288"/>
      </w:pPr>
      <w:r>
        <w:rPr>
          <w:b/>
          <w:color w:val="003CA0"/>
          <w:sz w:val="16"/>
        </w:rPr>
        <w:t>[MI 153 AgR, rel. min. Paulo Brossard, j. 14-3-1990, P, DJ de 30-3-1990.]</w:t>
      </w:r>
    </w:p>
    <w:p>
      <w:pPr>
        <w:ind w:left="288"/>
      </w:pPr>
      <w:r>
        <w:rPr>
          <w:color w:val="8C8C8C"/>
          <w:sz w:val="12"/>
        </w:rPr>
        <w:t>cf-art-37-inc-III</w:t>
      </w:r>
      <w:r>
        <w:rPr>
          <w:color w:val="003CA0"/>
          <w:sz w:val="12"/>
        </w:rPr>
        <w:t xml:space="preserve"> | MS 30.891</w:t>
      </w:r>
      <w:r>
        <w:rPr>
          <w:color w:val="003CA0"/>
          <w:sz w:val="12"/>
        </w:rPr>
        <w:t xml:space="preserve"> | rel. Gilmar Mendes</w:t>
      </w:r>
    </w:p>
    <w:p>
      <w:pPr>
        <w:ind w:left="288"/>
      </w:pPr>
      <w:r>
        <w:rPr>
          <w:color w:val="1E1E1E"/>
          <w:sz w:val="18"/>
        </w:rPr>
        <w:t xml:space="preserve">Concurso público. Prazo de validade. Suspensão do curso do prazo de validade do certame por ato administrativo do TJMT [Tribunal de Justiça de Mato Grosso]. Retomada do curso do prazo após mais de dois anos, com a consequente nomeação dos candidatos. Decisão do CNJ que declarou a nulidade do ato do TJMT e determinou a exoneração dos servidores, por terem sido nomeados em período posterior àquele previsto no art. 37, III, da CF. Situação excepcional. Exercício das funções públicas por mais de dez anos. Presunção de legitimidade dos atos da administração pública. Demora na tramitação dos feitos </w:t>
      </w:r>
    </w:p>
    <w:p>
      <w:pPr>
        <w:ind w:left="288"/>
      </w:pPr>
      <w:r>
        <w:rPr>
          <w:b/>
          <w:color w:val="003CA0"/>
          <w:sz w:val="16"/>
        </w:rPr>
        <w:t>[Rcl 1.728 CS, rel. min. Luiz Fux, j. 24-11-2015, 1ª T, DJE de 18-4-2016.]</w:t>
      </w:r>
    </w:p>
    <w:p>
      <w:pPr>
        <w:ind w:left="288"/>
      </w:pPr>
      <w:r>
        <w:rPr>
          <w:color w:val="8C8C8C"/>
          <w:sz w:val="12"/>
        </w:rPr>
        <w:t>cf-art-37-inc-III</w:t>
      </w:r>
      <w:r>
        <w:rPr>
          <w:color w:val="003CA0"/>
          <w:sz w:val="12"/>
        </w:rPr>
        <w:t xml:space="preserve"> | RMS 25.310</w:t>
      </w:r>
      <w:r>
        <w:rPr>
          <w:color w:val="003CA0"/>
          <w:sz w:val="12"/>
        </w:rPr>
        <w:t xml:space="preserve"> | rel. Cezar Peluso</w:t>
      </w:r>
    </w:p>
    <w:p>
      <w:pPr>
        <w:ind w:left="288"/>
      </w:pPr>
      <w:r>
        <w:rPr>
          <w:color w:val="1E1E1E"/>
          <w:sz w:val="18"/>
        </w:rPr>
        <w:t>Vide RMS 25.310 AgR, rel. min. Cezar Peluso, j. 3-12-2008, P, DJE de 6-2-2009 Expirado o prazo de validade do concurso para ingresso na atividade notarial e de registro, não é mais possível a outorga de delegação a candidato aprovado no certame.</w:t>
      </w:r>
    </w:p>
    <w:p>
      <w:pPr>
        <w:ind w:left="288"/>
      </w:pPr>
      <w:r>
        <w:rPr>
          <w:b/>
          <w:color w:val="003CA0"/>
          <w:sz w:val="16"/>
        </w:rPr>
        <w:t>[MS 28.044 ED, rel. min. Ricardo Lewandowski, j. 27-10-2011, P, DJE de 12-12-2011.]</w:t>
      </w:r>
    </w:p>
    <w:p>
      <w:pPr>
        <w:ind w:left="288"/>
      </w:pPr>
      <w:r>
        <w:rPr>
          <w:color w:val="8C8C8C"/>
          <w:sz w:val="12"/>
        </w:rPr>
        <w:t>cf-art-37-inc-III</w:t>
      </w:r>
      <w:r>
        <w:rPr>
          <w:color w:val="003CA0"/>
          <w:sz w:val="12"/>
        </w:rPr>
        <w:t xml:space="preserve"> | RE 581.113</w:t>
      </w:r>
      <w:r>
        <w:rPr>
          <w:color w:val="003CA0"/>
          <w:sz w:val="12"/>
        </w:rPr>
        <w:t xml:space="preserve"> | rel. Dias Toffoli</w:t>
      </w:r>
    </w:p>
    <w:p>
      <w:pPr>
        <w:ind w:left="288"/>
      </w:pPr>
      <w:r>
        <w:rPr>
          <w:color w:val="1E1E1E"/>
          <w:sz w:val="18"/>
        </w:rPr>
        <w:t>Concurso público. Criação, por lei federal, de novos cargos durante o prazo de validade do certame. Posterior regulamentação editada pelo TSE a determinar o aproveitamento, para o preenchimento daqueles cargos, de aprovados em concurso que estivesse em vigor à data da publicação da lei. A administração, é certo, não está obrigada a prorrogar o prazo de validade dos concursos públicos; porém, se novos cargos vêm a ser criados, durante tal prazo de validade, mostra-se de todo recomendável que se proceda a essa prorrogação. Na hipótese de haver novas vagas, prestes a serem preenchidas, e razoável</w:t>
      </w:r>
    </w:p>
    <w:p>
      <w:pPr>
        <w:ind w:left="288"/>
      </w:pPr>
      <w:r>
        <w:rPr>
          <w:b/>
          <w:color w:val="003CA0"/>
          <w:sz w:val="16"/>
        </w:rPr>
        <w:t>[RE 581.113, rel. min. Dias Toffoli, j. 5-4-2011, 2ª T, DJE de 31-5-2011.]</w:t>
      </w:r>
    </w:p>
    <w:p>
      <w:pPr>
        <w:ind w:left="288"/>
      </w:pPr>
      <w:r>
        <w:rPr>
          <w:color w:val="8C8C8C"/>
          <w:sz w:val="12"/>
        </w:rPr>
        <w:t>cf-art-37-inc-III</w:t>
      </w:r>
      <w:r>
        <w:rPr>
          <w:color w:val="003CA0"/>
          <w:sz w:val="12"/>
        </w:rPr>
        <w:t xml:space="preserve"> | RE 779.117</w:t>
      </w:r>
      <w:r>
        <w:rPr>
          <w:color w:val="003CA0"/>
          <w:sz w:val="12"/>
        </w:rPr>
        <w:t xml:space="preserve"> | rel. Cármen Lúcia</w:t>
      </w:r>
    </w:p>
    <w:p>
      <w:pPr>
        <w:ind w:left="288"/>
      </w:pPr>
      <w:r>
        <w:rPr>
          <w:color w:val="1E1E1E"/>
          <w:sz w:val="18"/>
        </w:rPr>
        <w:t>= RE 779.117 AgR, rel. min. Cármen Lúcia, j. 4-2-2014, 2ª T, DJE de 14-2-2014 Serviço público. Cargo público. Concurso. Prazo de validade. Expiração. Pretensão de convocação para sua segunda etapa. Improcedência. Existência de cadastro de reserva. Irrelevância. Aplicação do acórdão do RMS 23.696. Precedente do Plenário que superou jurisprudência anterior, em especial o julgamento do RMS 23.040 e do RMS 23.567. Agravo improvido. Expirado o prazo de validade de concurso público, não procede pretensão de convocação para sua segunda etapa, sendo irrelevante a existência de cadastro de reserva, que</w:t>
      </w:r>
    </w:p>
    <w:p>
      <w:pPr>
        <w:ind w:left="288"/>
      </w:pPr>
      <w:r>
        <w:rPr>
          <w:b/>
          <w:color w:val="003CA0"/>
          <w:sz w:val="16"/>
        </w:rPr>
        <w:t>[RMS 25.310 AgR, rel. min. Cezar Peluso, j. 3-12-2008, P, DJE de 6-2-2009.]</w:t>
      </w:r>
    </w:p>
    <w:p>
      <w:pPr>
        <w:ind w:left="288"/>
      </w:pPr>
      <w:r>
        <w:rPr>
          <w:color w:val="8C8C8C"/>
          <w:sz w:val="12"/>
        </w:rPr>
        <w:t>cf-art-37-inc-III</w:t>
      </w:r>
      <w:r>
        <w:rPr>
          <w:color w:val="003CA0"/>
          <w:sz w:val="12"/>
        </w:rPr>
        <w:t xml:space="preserve"> | RCL 1.728</w:t>
      </w:r>
      <w:r>
        <w:rPr>
          <w:color w:val="003CA0"/>
          <w:sz w:val="12"/>
        </w:rPr>
        <w:t xml:space="preserve"> | rel. Luiz Fux</w:t>
      </w:r>
    </w:p>
    <w:p>
      <w:pPr>
        <w:ind w:left="288"/>
      </w:pPr>
      <w:r>
        <w:rPr>
          <w:color w:val="1E1E1E"/>
          <w:sz w:val="18"/>
        </w:rPr>
        <w:t>Vide Rcl 1.728 CS, rel. min. Luiz Fux, j. 24-11-2015, 1ª T, DJE de 18-4-2016 Ato do poder público que, após ultrapassado o primeiro biênio de validade de concurso público, institui novo período de dois anos de eficácia do certame ofende o art. 37, III, da CF/1988. Nulidade das nomeações realizadas com fundamento em tal ato, que pode ser declarada pela administração sem a necessidade de prévio processo administrativo, em homenagem à Súmula 473/STF.</w:t>
      </w:r>
    </w:p>
    <w:p>
      <w:pPr>
        <w:ind w:left="288"/>
      </w:pPr>
      <w:r>
        <w:rPr>
          <w:b/>
          <w:color w:val="003CA0"/>
          <w:sz w:val="16"/>
        </w:rPr>
        <w:t>[RE 352.258, rel. min. Ellen Gracie, j. 27-4-2004, 2ª T, DJ de 14-5-2004.]</w:t>
      </w:r>
    </w:p>
    <w:p>
      <w:pPr>
        <w:ind w:left="288"/>
      </w:pPr>
      <w:r>
        <w:rPr>
          <w:color w:val="8C8C8C"/>
          <w:sz w:val="12"/>
        </w:rPr>
        <w:t>cf-art-37-inc-III</w:t>
      </w:r>
      <w:r>
        <w:rPr>
          <w:color w:val="003CA0"/>
          <w:sz w:val="12"/>
        </w:rPr>
        <w:t xml:space="preserve"> | RMS 23.793</w:t>
      </w:r>
      <w:r>
        <w:rPr>
          <w:color w:val="003CA0"/>
          <w:sz w:val="12"/>
        </w:rPr>
        <w:t xml:space="preserve"> | rel. Moreira Alves</w:t>
      </w:r>
    </w:p>
    <w:p>
      <w:pPr>
        <w:ind w:left="288"/>
      </w:pPr>
      <w:r>
        <w:rPr>
          <w:color w:val="1E1E1E"/>
          <w:sz w:val="18"/>
        </w:rPr>
        <w:t>Exaurido o prazo de validade do concurso, e não tendo ele sido prorrogado, os incisos III e IV do art. 37 da Constituição e o princípio consagrado na Súmula 15 desta Corte não impedem que a administração abra posteriormente outros concursos para o preenchimento de vagas dessa natureza, sem ter que convocar os candidatos daquele concurso que não obtiveram classificação nele. Improcedência da aplicação ao caso da denominada "teoria do fato consumado".</w:t>
      </w:r>
    </w:p>
    <w:p>
      <w:pPr>
        <w:ind w:left="288"/>
      </w:pPr>
      <w:r>
        <w:rPr>
          <w:b/>
          <w:color w:val="003CA0"/>
          <w:sz w:val="16"/>
        </w:rPr>
        <w:t>[RMS 23.793, rel. min. Moreira Alves, j. 6-11-2001, 1ª T, DJ de 14-12-2001.]</w:t>
      </w:r>
    </w:p>
    <w:p>
      <w:pPr>
        <w:ind w:left="288"/>
      </w:pPr>
      <w:r>
        <w:rPr>
          <w:color w:val="8C8C8C"/>
          <w:sz w:val="12"/>
        </w:rPr>
        <w:t>cf-art-37-inc-III</w:t>
      </w:r>
      <w:r>
        <w:rPr>
          <w:color w:val="003CA0"/>
          <w:sz w:val="12"/>
        </w:rPr>
        <w:t xml:space="preserve"> | RE 192.568</w:t>
      </w:r>
      <w:r>
        <w:rPr>
          <w:color w:val="003CA0"/>
          <w:sz w:val="12"/>
        </w:rPr>
        <w:t xml:space="preserve"> | rel. Marco Aurélio</w:t>
      </w:r>
    </w:p>
    <w:p>
      <w:pPr>
        <w:ind w:left="288"/>
      </w:pPr>
      <w:r>
        <w:rPr>
          <w:color w:val="1E1E1E"/>
          <w:sz w:val="18"/>
        </w:rPr>
        <w:t>O princípio da razoabilidade é conducente a presumir-se, como objeto do concurso, o preenchimento das vagas existentes. Exsurge configurador de desvio de poder ato da administração pública que implique nomeação parcial de candidatos, indeferimento da prorrogação do prazo do concurso sem justificativa socialmente aceitável e publicação de novo edital com idêntica finalidade.</w:t>
      </w:r>
    </w:p>
    <w:p>
      <w:pPr>
        <w:ind w:left="288"/>
      </w:pPr>
      <w:r>
        <w:rPr>
          <w:b/>
          <w:color w:val="003CA0"/>
          <w:sz w:val="16"/>
        </w:rPr>
        <w:t>[RE 192.568, rel. min. Marco Aurélio, j. 23-4-1996, 2ª T, DJ de 13-9-1996.]</w:t>
      </w:r>
    </w:p>
    <w:p>
      <w:pPr>
        <w:ind w:left="288"/>
      </w:pPr>
      <w:r>
        <w:rPr>
          <w:color w:val="8C8C8C"/>
          <w:sz w:val="12"/>
        </w:rPr>
        <w:t>cf-art-37-inc-III</w:t>
      </w:r>
      <w:r>
        <w:rPr>
          <w:color w:val="003CA0"/>
          <w:sz w:val="12"/>
        </w:rPr>
        <w:t xml:space="preserve"> | RE 419.013</w:t>
      </w:r>
      <w:r>
        <w:rPr>
          <w:color w:val="003CA0"/>
          <w:sz w:val="12"/>
        </w:rPr>
        <w:t xml:space="preserve"> | rel. Carlos Velloso</w:t>
      </w:r>
    </w:p>
    <w:p>
      <w:pPr>
        <w:ind w:left="288"/>
      </w:pPr>
      <w:r>
        <w:rPr>
          <w:color w:val="1E1E1E"/>
          <w:sz w:val="18"/>
        </w:rPr>
        <w:t>= RE 419.013 AgR, rel. min. Carlos Velloso, j. 1º-6-2004, 2ª T, DJ de 25-6-2004 IV - durante o prazo improrrogável previsto no edital de convocação, aquele aprovado em concurso público de provas ou de provas e títulos será convocado com prioridade sobre novos concursados para assumir cargo ou emprego, na carreira; Texto normativo que assegura o direito de nomeação, dentro do prazo de 180 dias, para todo candidato que lograr aprovação em concurso público de provas, ou de provas de títulos, dentro do número de vagas ofertadas pela administração pública estadual e municipal. O direito do candidat</w:t>
      </w:r>
    </w:p>
    <w:p>
      <w:pPr>
        <w:ind w:left="144"/>
      </w:pPr>
      <w:r>
        <w:rPr>
          <w:b/>
          <w:color w:val="B45A00"/>
          <w:sz w:val="16"/>
        </w:rPr>
        <w:t>REPERCUSSAO GERAL</w:t>
      </w:r>
    </w:p>
    <w:p>
      <w:pPr>
        <w:ind w:left="288"/>
      </w:pPr>
      <w:r>
        <w:rPr>
          <w:color w:val="8C8C8C"/>
          <w:sz w:val="12"/>
        </w:rPr>
        <w:t>cf-art-37-inc-III</w:t>
      </w:r>
      <w:r>
        <w:rPr>
          <w:color w:val="003CA0"/>
          <w:sz w:val="12"/>
        </w:rPr>
        <w:t xml:space="preserve"> | RE 766.304</w:t>
      </w:r>
      <w:r>
        <w:rPr>
          <w:color w:val="003CA0"/>
          <w:sz w:val="12"/>
        </w:rPr>
        <w:t xml:space="preserve"> | rel. Marco Aurélio</w:t>
      </w:r>
    </w:p>
    <w:p>
      <w:pPr>
        <w:ind w:left="288"/>
      </w:pPr>
      <w:r>
        <w:rPr>
          <w:color w:val="1E1E1E"/>
          <w:sz w:val="18"/>
        </w:rPr>
        <w:t>A ação judicial visando ao reconhecimento do direito à nomeação de candidato aprovado fora das vagas previstas no edital (cadastro de reserva) deve ter por causa de pedir preterição ocorrida na vigência do certame.</w:t>
        <w:br/>
        <w:t>[RE 766.304, rel. min. Marco Aurélio, red. do ac. min. Edson Fachin, j. 02.05.2024, P, DJE de 05.08.2024.] Dentro do prazo de validade do concurso, a administração poderá escolher o momento no qual se realizará a nomeação, mas não poderá dispor sobre a própria nomeação, a qual, de acordo com o edital, passa a constituir um direito do concursando aprovado e, dessa forma, um dever imp</w:t>
      </w:r>
    </w:p>
    <w:p>
      <w:pPr>
        <w:ind w:left="288"/>
      </w:pPr>
      <w:r>
        <w:rPr>
          <w:b/>
          <w:color w:val="003CA0"/>
          <w:sz w:val="16"/>
        </w:rPr>
        <w:t>[Rcl 57.848, rel. min. Luiz Fux, j. 23.09.2025, P, Informativo STF 1.192.]</w:t>
      </w:r>
    </w:p>
    <w:p>
      <w:pPr>
        <w:ind w:left="144"/>
      </w:pPr>
      <w:r>
        <w:rPr>
          <w:b/>
          <w:color w:val="B45A00"/>
          <w:sz w:val="16"/>
        </w:rPr>
        <w:t>JULGADOS CORRELATOS</w:t>
      </w:r>
    </w:p>
    <w:p>
      <w:pPr>
        <w:ind w:left="288"/>
      </w:pPr>
      <w:r>
        <w:rPr>
          <w:color w:val="8C8C8C"/>
          <w:sz w:val="12"/>
        </w:rPr>
        <w:t>cf-art-37-inc-III</w:t>
      </w:r>
      <w:r>
        <w:rPr>
          <w:color w:val="003CA0"/>
          <w:sz w:val="12"/>
        </w:rPr>
        <w:t xml:space="preserve"> | RE 733.596</w:t>
      </w:r>
      <w:r>
        <w:rPr>
          <w:color w:val="003CA0"/>
          <w:sz w:val="12"/>
        </w:rPr>
        <w:t xml:space="preserve"> | rel. Luiz Fux</w:t>
      </w:r>
    </w:p>
    <w:p>
      <w:pPr>
        <w:ind w:left="288"/>
      </w:pPr>
      <w:r>
        <w:rPr>
          <w:color w:val="1E1E1E"/>
          <w:sz w:val="18"/>
        </w:rPr>
        <w:t>A contratação precária para o exercício de atribuições de cargo efetivo durante o prazo de validade do concurso público respectivo traduz preterição dos candidatos aprovados e confere a esses últimos direito subjetivo à nomeação.</w:t>
      </w:r>
    </w:p>
    <w:p>
      <w:pPr>
        <w:ind w:left="288"/>
      </w:pPr>
      <w:r>
        <w:rPr>
          <w:b/>
          <w:color w:val="003CA0"/>
          <w:sz w:val="16"/>
        </w:rPr>
        <w:t>[RE 733.596 AgR, rel. min. Luiz Fux, j. 11-2-2014, 1ª T, DJE de 26-2-2014.]</w:t>
      </w:r>
    </w:p>
    <w:p>
      <w:pPr>
        <w:ind w:left="288"/>
      </w:pPr>
      <w:r>
        <w:rPr>
          <w:color w:val="8C8C8C"/>
          <w:sz w:val="12"/>
        </w:rPr>
        <w:t>cf-art-37-inc-III</w:t>
      </w:r>
      <w:r>
        <w:rPr>
          <w:color w:val="003CA0"/>
          <w:sz w:val="12"/>
        </w:rPr>
        <w:t xml:space="preserve"> | AI 788.628</w:t>
      </w:r>
      <w:r>
        <w:rPr>
          <w:color w:val="003CA0"/>
          <w:sz w:val="12"/>
        </w:rPr>
        <w:t xml:space="preserve"> | rel. Ricardo Lewandowski</w:t>
      </w:r>
    </w:p>
    <w:p>
      <w:pPr>
        <w:ind w:left="288"/>
      </w:pPr>
      <w:r>
        <w:rPr>
          <w:color w:val="1E1E1E"/>
          <w:sz w:val="18"/>
        </w:rPr>
        <w:t>= AI 788.628 AgR, rel. min. Ricardo Lewandowski, j. 16-10-2012, 2ª T, DJE de 8-11-2012 Concurso público. Candidata aprovada, inicialmente, fora das vagas do edital. Desistência dos candidatos mais bem classificados. Direito a ser nomeada para ocupar a única vaga prevista no edital de convocação. Precedentes. O Tribunal de origem assentou que, com a desistência dos dois candidatos mais bem classificados para o preenchimento da única vaga prevista no instrumento convocatório, a ora agravada, classificada inicialmente em 3º lugar, tornava-se a primeira, na ordem classificatória, tendo, assim, ass</w:t>
      </w:r>
    </w:p>
    <w:p>
      <w:pPr>
        <w:ind w:left="288"/>
      </w:pPr>
      <w:r>
        <w:rPr>
          <w:b/>
          <w:color w:val="003CA0"/>
          <w:sz w:val="16"/>
        </w:rPr>
        <w:t>[ADI 6.887, rel. min. Edson Fachin, red. do ac. min. Alexandre de Moraes, j. 22.05.2025, P, DJE de 22.08.2025.]</w:t>
      </w:r>
    </w:p>
    <w:p>
      <w:pPr>
        <w:ind w:left="288"/>
      </w:pPr>
      <w:r>
        <w:rPr>
          <w:color w:val="8C8C8C"/>
          <w:sz w:val="12"/>
        </w:rPr>
        <w:t>cf-art-37-inc-III</w:t>
      </w:r>
      <w:r>
        <w:rPr>
          <w:color w:val="003CA0"/>
          <w:sz w:val="12"/>
        </w:rPr>
        <w:t xml:space="preserve"> | ADI 4.055</w:t>
      </w:r>
      <w:r>
        <w:rPr>
          <w:color w:val="003CA0"/>
          <w:sz w:val="12"/>
        </w:rPr>
        <w:t xml:space="preserve"> | rel. Nunes Marques</w:t>
      </w:r>
    </w:p>
    <w:p>
      <w:pPr>
        <w:ind w:left="288"/>
      </w:pPr>
      <w:r>
        <w:rPr>
          <w:color w:val="1E1E1E"/>
          <w:sz w:val="18"/>
        </w:rPr>
        <w:t>O parâmetro a ser observado na criação de cargos comissionados diz com a proporcionalidade entre o seu quantitativo e o total de cargos efetivos no ente da federação, não em cada órgão isoladamente. (Tema de Repercussão Geral nº 1010) O legislador constituinte entendeu por não estabelecer, no texto constitucional, qualquer percentual de observância obrigatória para o preenchimento dos cargos em comissão por servidores de carreira, tendo se limitado, na exata redação do inciso V do art. 37, a dispor sobre a necessidade de que os “percentuais mínimos” sejam “previstos em lei”. A liberdade de con</w:t>
      </w:r>
    </w:p>
    <w:p>
      <w:pPr>
        <w:ind w:left="288"/>
      </w:pPr>
      <w:r>
        <w:rPr>
          <w:b/>
          <w:color w:val="003CA0"/>
          <w:sz w:val="16"/>
        </w:rPr>
        <w:t>[ADI 4.055, rel. min. Nunes Marques, red. do ac. Flávio Dino, j. 17.03.2025, P, DJE de 02.04.2025.]</w:t>
      </w:r>
    </w:p>
    <w:p>
      <w:pPr>
        <w:ind w:left="288"/>
      </w:pPr>
      <w:r>
        <w:rPr>
          <w:color w:val="8C8C8C"/>
          <w:sz w:val="12"/>
        </w:rPr>
        <w:t>cf-art-37-inc-III</w:t>
      </w:r>
      <w:r>
        <w:rPr>
          <w:color w:val="003CA0"/>
          <w:sz w:val="12"/>
        </w:rPr>
        <w:t xml:space="preserve"> | ADI 3.228</w:t>
      </w:r>
      <w:r>
        <w:rPr>
          <w:color w:val="003CA0"/>
          <w:sz w:val="12"/>
        </w:rPr>
        <w:t xml:space="preserve"> | rel. Edson Fachin</w:t>
      </w:r>
    </w:p>
    <w:p>
      <w:pPr>
        <w:ind w:left="288"/>
      </w:pPr>
      <w:r>
        <w:rPr>
          <w:color w:val="1E1E1E"/>
          <w:sz w:val="18"/>
        </w:rPr>
        <w:t>O regime de subsídio não afasta a percepção de gratificações pelo exercício de cargos em comissão ou funções de confiança por membro do Ministério Público, desde que observado o teto remuneratório constitucional, sendo a vedada a acumulação e autorizado o exercício da opção.</w:t>
      </w:r>
    </w:p>
    <w:p>
      <w:pPr>
        <w:ind w:left="288"/>
      </w:pPr>
      <w:r>
        <w:rPr>
          <w:b/>
          <w:color w:val="003CA0"/>
          <w:sz w:val="16"/>
        </w:rPr>
        <w:t>[ADI 3.228, rel. min. Edson Fachin, red. do ac. min. Luís Roberto Barroso, j. 19.02.2025, P, DJE de 10.04.2025.]</w:t>
      </w:r>
    </w:p>
    <w:p>
      <w:pPr>
        <w:ind w:left="288"/>
      </w:pPr>
      <w:r>
        <w:rPr>
          <w:color w:val="8C8C8C"/>
          <w:sz w:val="12"/>
        </w:rPr>
        <w:t>cf-art-37-inc-III</w:t>
      </w:r>
      <w:r>
        <w:rPr>
          <w:color w:val="003CA0"/>
          <w:sz w:val="12"/>
        </w:rPr>
        <w:t xml:space="preserve"> | ADI 6.664</w:t>
      </w:r>
      <w:r>
        <w:rPr>
          <w:color w:val="003CA0"/>
          <w:sz w:val="12"/>
        </w:rPr>
        <w:t xml:space="preserve"> | rel. Nunes Marques</w:t>
      </w:r>
    </w:p>
    <w:p>
      <w:pPr>
        <w:ind w:left="288"/>
      </w:pPr>
      <w:r>
        <w:rPr>
          <w:color w:val="1E1E1E"/>
          <w:sz w:val="18"/>
        </w:rPr>
        <w:t>A reserva de funções gratificadas e cargos de direção superior a servidores de carreira estáveis configura restrição desproporcional, visto que o art. 37, V, da Carta da República é categórico em prever a ocupação por todos os servidores de carreira, em casos, condições e percentuais mínimos previstos em lei.</w:t>
      </w:r>
    </w:p>
    <w:p>
      <w:pPr>
        <w:ind w:left="288"/>
      </w:pPr>
      <w:r>
        <w:rPr>
          <w:b/>
          <w:color w:val="003CA0"/>
          <w:sz w:val="16"/>
        </w:rPr>
        <w:t>[ADI 6.664, rel. min. Nunes Marques, j. 26.11.2024, P, DJE de 18.12.2024.]</w:t>
      </w:r>
    </w:p>
    <w:p>
      <w:pPr>
        <w:ind w:left="144"/>
      </w:pPr>
      <w:r>
        <w:rPr>
          <w:b/>
          <w:color w:val="B45A00"/>
          <w:sz w:val="16"/>
        </w:rPr>
        <w:t>CONTROLE CONCENTRADO</w:t>
      </w:r>
    </w:p>
    <w:p>
      <w:pPr>
        <w:ind w:left="288"/>
      </w:pPr>
      <w:r>
        <w:rPr>
          <w:color w:val="8C8C8C"/>
          <w:sz w:val="12"/>
        </w:rPr>
        <w:t>cf-art-37-inc-III</w:t>
      </w:r>
      <w:r>
        <w:rPr>
          <w:color w:val="003CA0"/>
          <w:sz w:val="12"/>
        </w:rPr>
        <w:t xml:space="preserve"> | ADI 6.180</w:t>
      </w:r>
      <w:r>
        <w:rPr>
          <w:color w:val="003CA0"/>
          <w:sz w:val="12"/>
        </w:rPr>
        <w:t xml:space="preserve"> | rel. Dias Toffoli</w:t>
      </w:r>
    </w:p>
    <w:p>
      <w:pPr>
        <w:ind w:left="288"/>
      </w:pPr>
      <w:r>
        <w:rPr>
          <w:color w:val="1E1E1E"/>
          <w:sz w:val="18"/>
        </w:rPr>
        <w:t>Há autorização constitucional para que o chefe do Executivo disponha, em certas situações, mediante decreto, sobre organização e funcionamento da Administração Pública, desde que observadas as condições previstas no art. 84, inciso VI, alíneas a e b, da Constituição. Todavia, para fins de mera reorganização interna da Administração Pública, não é cabível a transformação, mediante decreto ou outro ato normativo infralegal, de funções de confiança em cargos em comissão e vice-versa, uma vez que tais postos funcionais possuem naturezas e formas de provimento distintas, por expressa disposição con</w:t>
      </w:r>
    </w:p>
    <w:p>
      <w:pPr>
        <w:ind w:left="288"/>
      </w:pPr>
      <w:r>
        <w:rPr>
          <w:b/>
          <w:color w:val="003CA0"/>
          <w:sz w:val="16"/>
        </w:rPr>
        <w:t>[ADI 4.877, rel. min. Marco Aurélio, j. 23-11-2020, P, DJE de 11-2-2021.]</w:t>
      </w:r>
    </w:p>
    <w:p>
      <w:pPr>
        <w:ind w:left="288"/>
      </w:pPr>
      <w:r>
        <w:rPr>
          <w:color w:val="8C8C8C"/>
          <w:sz w:val="12"/>
        </w:rPr>
        <w:t>cf-art-37-inc-III</w:t>
      </w:r>
      <w:r>
        <w:rPr>
          <w:color w:val="003CA0"/>
          <w:sz w:val="12"/>
        </w:rPr>
        <w:t xml:space="preserve"> | ADI 4.579</w:t>
      </w:r>
      <w:r>
        <w:rPr>
          <w:color w:val="003CA0"/>
          <w:sz w:val="12"/>
        </w:rPr>
        <w:t xml:space="preserve"> | rel. Luiz Fux</w:t>
      </w:r>
    </w:p>
    <w:p>
      <w:pPr>
        <w:ind w:left="288"/>
      </w:pPr>
      <w:r>
        <w:rPr>
          <w:color w:val="1E1E1E"/>
          <w:sz w:val="18"/>
        </w:rPr>
        <w:t>O artigo 110 da Lei Complementar 69/1990 do Estado do Rio de Janeiro, com a redação dada pelo artigo 4º da Lei Complementar estadual 135/2009, não viola os incisos II e V do artigo 37 da Constituição Federal ao dispor que a Corregedoria Tributária de Controle Externo será composta por três membros – um Fiscal de Rendas, ativo ou aposentado, um Procurador do Estado, ativo ou aposentado, e um representante da Ordem dos Advogados do Brasil – Seção RJ – a serem escolhidos pelo Governador do Estado. Isso porque o cargo de Corregedor Tributário possui atribuições de assessoria superior, admitindo pr</w:t>
      </w:r>
    </w:p>
    <w:p>
      <w:pPr>
        <w:ind w:left="288"/>
      </w:pPr>
      <w:r>
        <w:rPr>
          <w:b/>
          <w:color w:val="003CA0"/>
          <w:sz w:val="16"/>
        </w:rPr>
        <w:t>[ADI 4.579, rel. min. Luiz Fux, j. 13-2-2020, P, DJE de 28-4-2020.]</w:t>
      </w:r>
    </w:p>
    <w:p>
      <w:pPr>
        <w:ind w:left="288"/>
      </w:pPr>
      <w:r>
        <w:rPr>
          <w:color w:val="8C8C8C"/>
          <w:sz w:val="12"/>
        </w:rPr>
        <w:t>cf-art-37-inc-III</w:t>
      </w:r>
      <w:r>
        <w:rPr>
          <w:color w:val="003CA0"/>
          <w:sz w:val="12"/>
        </w:rPr>
        <w:t xml:space="preserve"> | ADI 3.174</w:t>
      </w:r>
      <w:r>
        <w:rPr>
          <w:color w:val="003CA0"/>
          <w:sz w:val="12"/>
        </w:rPr>
        <w:t xml:space="preserve"> | rel. Roberto Barroso</w:t>
      </w:r>
    </w:p>
    <w:p>
      <w:pPr>
        <w:ind w:left="288"/>
      </w:pPr>
      <w:r>
        <w:rPr>
          <w:color w:val="1E1E1E"/>
          <w:sz w:val="18"/>
        </w:rPr>
        <w:t>A jurisprudência desta Corte é firme no sentido de que só podem ser criados cargos em comissão quando suas atribuições exijam um vínculo de confiança entre seus ocupantes e aqueles que os nomeiam. (...) O cargo em comissão de Auxiliar de Juiz (...) é típica função de assessoramento, com a finalidade de auxiliar o exercício da atividade jurisdicional, por meio da elaboração de minutas de decisões e pesquisa de doutrina e de jurisprudência. Exige, portanto, relação de confiança entre o ocupante do cargo e o juiz que o nomeia, em consonância com o art. 37, V, da Constituição.</w:t>
      </w:r>
    </w:p>
    <w:p>
      <w:pPr>
        <w:ind w:left="288"/>
      </w:pPr>
      <w:r>
        <w:rPr>
          <w:b/>
          <w:color w:val="003CA0"/>
          <w:sz w:val="16"/>
        </w:rPr>
        <w:t>[ADI 3.174, rel. min. Roberto Barroso, j. 23-8-2019, P, DJE de 6-9-2019.]</w:t>
      </w:r>
    </w:p>
    <w:p>
      <w:pPr>
        <w:ind w:left="288"/>
      </w:pPr>
      <w:r>
        <w:rPr>
          <w:color w:val="8C8C8C"/>
          <w:sz w:val="12"/>
        </w:rPr>
        <w:t>cf-art-37-inc-III</w:t>
      </w:r>
      <w:r>
        <w:rPr>
          <w:color w:val="003CA0"/>
          <w:sz w:val="12"/>
        </w:rPr>
        <w:t xml:space="preserve"> | ADI 3.745</w:t>
      </w:r>
      <w:r>
        <w:rPr>
          <w:color w:val="003CA0"/>
          <w:sz w:val="12"/>
        </w:rPr>
        <w:t xml:space="preserve"> | rel. Dias Toffoli</w:t>
      </w:r>
    </w:p>
    <w:p>
      <w:pPr>
        <w:ind w:left="288"/>
      </w:pPr>
      <w:r>
        <w:rPr>
          <w:color w:val="1E1E1E"/>
          <w:sz w:val="18"/>
        </w:rPr>
        <w:t>Parágrafo único do art. 1º da Lei 13.145/1997 do Estado de Goiás. Criação de exceções ao óbice da prática de atos de nepotismo. Vício material. Ofensa aos princípios da impessoalidade, da eficiência, da igualdade e da moralidade. (...) A previsão impugnada, ao permitir (excepcionar), relativamente a cargos em comissão ou funções gratificadas, a nomeação, a admissão ou a permanência de até dois parentes das autoridades mencionadas no caput do art. 1º da Lei estadual 13.145/1997 e do cônjuge do chefe do Poder Executivo, além de subverter o intuito moralizador inicial da norma, ofende irremediave</w:t>
      </w:r>
    </w:p>
    <w:p>
      <w:pPr>
        <w:ind w:left="288"/>
      </w:pPr>
      <w:r>
        <w:rPr>
          <w:b/>
          <w:color w:val="003CA0"/>
          <w:sz w:val="16"/>
        </w:rPr>
        <w:t>[ADI 3.745, rel. min. Dias Toffoli, j. 15-5-2013, P, DJE de 1º-8-2013.]</w:t>
      </w:r>
    </w:p>
    <w:p>
      <w:pPr>
        <w:ind w:left="288"/>
      </w:pPr>
      <w:r>
        <w:rPr>
          <w:color w:val="8C8C8C"/>
          <w:sz w:val="12"/>
        </w:rPr>
        <w:t>cf-art-37-inc-III</w:t>
      </w:r>
      <w:r>
        <w:rPr>
          <w:color w:val="003CA0"/>
          <w:sz w:val="12"/>
        </w:rPr>
        <w:t xml:space="preserve"> | RE 579.951</w:t>
      </w:r>
      <w:r>
        <w:rPr>
          <w:color w:val="003CA0"/>
          <w:sz w:val="12"/>
        </w:rPr>
        <w:t xml:space="preserve"> | rel. Ricardo Lewandowski</w:t>
      </w:r>
    </w:p>
    <w:p>
      <w:pPr>
        <w:ind w:left="288"/>
      </w:pPr>
      <w:r>
        <w:rPr>
          <w:color w:val="1E1E1E"/>
          <w:sz w:val="18"/>
        </w:rPr>
        <w:t>= RE 579.951, rel. min. Ricardo Lewandowski, j. 20-8-2008, P, DJE de 24-10-2008, Tema 66 Violação ao art. 37, II e V, da Constituição. Os cargos em comissão criados pela Lei 1.939/1998 do Estado de Mato Grosso do Sul possuem atribuições meramente técnicas e que, portanto, não possuem o caráter de assessoramento, chefia ou direção exigido para tais cargos, nos termos do art. 37, V, da CF. Ação julgada procedente.</w:t>
      </w:r>
    </w:p>
    <w:p>
      <w:pPr>
        <w:ind w:left="288"/>
      </w:pPr>
      <w:r>
        <w:rPr>
          <w:b/>
          <w:color w:val="003CA0"/>
          <w:sz w:val="16"/>
        </w:rPr>
        <w:t>[ADI 3.706, rel. min. Gilmar Mendes, j. 15-8-2007, P, DJ de 5-10-2007.]</w:t>
      </w:r>
    </w:p>
    <w:p>
      <w:pPr>
        <w:ind w:left="144"/>
      </w:pPr>
      <w:r>
        <w:rPr>
          <w:b/>
          <w:color w:val="B45A00"/>
          <w:sz w:val="16"/>
        </w:rPr>
        <w:t>REPERCUSSAO GERAL</w:t>
      </w:r>
    </w:p>
    <w:p>
      <w:pPr>
        <w:ind w:left="288"/>
      </w:pPr>
      <w:r>
        <w:rPr>
          <w:color w:val="8C8C8C"/>
          <w:sz w:val="12"/>
        </w:rPr>
        <w:t>cf-art-37-inc-III</w:t>
      </w:r>
      <w:r>
        <w:rPr>
          <w:color w:val="003CA0"/>
          <w:sz w:val="12"/>
        </w:rPr>
        <w:t xml:space="preserve"> | RE 1.041.210</w:t>
      </w:r>
      <w:r>
        <w:rPr>
          <w:color w:val="003CA0"/>
          <w:sz w:val="12"/>
        </w:rPr>
        <w:t xml:space="preserve"> | rel. Dias Toffoli</w:t>
      </w:r>
    </w:p>
    <w:p>
      <w:pPr>
        <w:ind w:left="288"/>
      </w:pPr>
      <w:r>
        <w:rPr>
          <w:color w:val="1E1E1E"/>
          <w:sz w:val="18"/>
        </w:rPr>
        <w:t>Criação de cargos em comissão. Requisitos estabelecidos pela Constituição Federal. Estrita observância para que se legitime o regime excepcional de livre nomeação e exoneração. Repercussão geral reconhecida. Reafirmação da jurisprudência da Corte sobre o tema. (...) Fixada a seguinte tese: a) A criação de cargos em comissão somente se justifica para o exercício de funções de direção, chefia e assessoramento, não se prestando ao desempenho de atividades burocráticas, técnicas ou operacionais; b) tal criação deve pressupor a necessária relação de confiança entre a autoridade nomeante e o servido</w:t>
      </w:r>
    </w:p>
    <w:p>
      <w:pPr>
        <w:ind w:left="288"/>
      </w:pPr>
      <w:r>
        <w:rPr>
          <w:b/>
          <w:color w:val="003CA0"/>
          <w:sz w:val="16"/>
        </w:rPr>
        <w:t>[RE 1.041.210 RG, rel. min. Dias Toffoli, j. 27-9-2018, P, DJE de 22-5-2019, Tema 1.010, com mérito julgado.]</w:t>
      </w:r>
    </w:p>
    <w:p>
      <w:pPr>
        <w:ind w:left="144"/>
      </w:pPr>
      <w:r>
        <w:rPr>
          <w:b/>
          <w:color w:val="B45A00"/>
          <w:sz w:val="16"/>
        </w:rPr>
        <w:t>JULGADOS CORRELATOS</w:t>
      </w:r>
    </w:p>
    <w:p>
      <w:pPr>
        <w:ind w:left="288"/>
      </w:pPr>
      <w:r>
        <w:rPr>
          <w:color w:val="8C8C8C"/>
          <w:sz w:val="12"/>
        </w:rPr>
        <w:t>cf-art-37-inc-III</w:t>
      </w:r>
      <w:r>
        <w:rPr>
          <w:color w:val="003CA0"/>
          <w:sz w:val="12"/>
        </w:rPr>
        <w:t xml:space="preserve"> | ARE 1.480.667</w:t>
      </w:r>
      <w:r>
        <w:rPr>
          <w:color w:val="003CA0"/>
          <w:sz w:val="12"/>
        </w:rPr>
        <w:t xml:space="preserve"> | rel. Alexandre de Moraes</w:t>
      </w:r>
    </w:p>
    <w:p>
      <w:pPr>
        <w:ind w:left="288"/>
      </w:pPr>
      <w:r>
        <w:rPr>
          <w:color w:val="1E1E1E"/>
          <w:sz w:val="18"/>
        </w:rPr>
        <w:t>Lei complementar 167/2022 do Município de Maracajú/MS, que previu a criação de cargo em comissão para o exercício da função de Controlador-Geral. (...) Não há, no caso concreto, qualquer violação ao art. 37, II, da CF/1988 (concurso público) ou ao art. 37, V, da CF/1988 (cargos em comissão), pois a própria Constituição Federal confere ao Chefe do Poder Executivo a prerrogativa para nomear seu auxiliares, entre os quais se insere o Controlador-Geral. Tal cargo abrange típicas funções de assessoria e direção, sendo, portanto, possível o seu provimento por meio de cargo em comissão.</w:t>
        <w:br/>
        <w:t>[ARE 1.480.66</w:t>
      </w:r>
    </w:p>
    <w:p>
      <w:pPr>
        <w:ind w:left="288"/>
      </w:pPr>
      <w:r>
        <w:rPr>
          <w:b/>
          <w:color w:val="003CA0"/>
          <w:sz w:val="16"/>
        </w:rPr>
        <w:t>[RMS 24.287, rel. min. Maurício Corrêa, j. 26-11-2002, 2ª T, DJ de 1º-8-2003.]</w:t>
      </w:r>
    </w:p>
    <w:p>
      <w:pPr>
        <w:ind w:left="144"/>
      </w:pPr>
      <w:r>
        <w:rPr>
          <w:b/>
          <w:color w:val="B45A00"/>
          <w:sz w:val="16"/>
        </w:rPr>
        <w:t>CONTROLE CONCENTRADO</w:t>
      </w:r>
    </w:p>
    <w:p>
      <w:pPr>
        <w:ind w:left="288"/>
      </w:pPr>
      <w:r>
        <w:rPr>
          <w:color w:val="8C8C8C"/>
          <w:sz w:val="12"/>
        </w:rPr>
        <w:t>cf-art-37-inc-VI</w:t>
      </w:r>
      <w:r>
        <w:rPr>
          <w:color w:val="003CA0"/>
          <w:sz w:val="12"/>
        </w:rPr>
        <w:t xml:space="preserve"> | ADI 7.242</w:t>
      </w:r>
      <w:r>
        <w:rPr>
          <w:color w:val="003CA0"/>
          <w:sz w:val="12"/>
        </w:rPr>
        <w:t xml:space="preserve"> | rel. Gilmar Mendes</w:t>
      </w:r>
    </w:p>
    <w:p>
      <w:pPr>
        <w:ind w:left="288"/>
      </w:pPr>
      <w:r>
        <w:rPr>
          <w:color w:val="1E1E1E"/>
          <w:sz w:val="18"/>
        </w:rPr>
        <w:t>Direito do servidor estável à licença sem remuneração para desempenho de mandato sindical. Violação ao disposto nos arts. 8º, inciso I, e 37, inciso VI, da Constituição. Inocorrência.</w:t>
        <w:br/>
        <w:t>[ADI 7.242, rel. min. Gilmar Mendes, j. 18-4-2023, P, DJE de 25-4-2023.] O exercício de função executiva em instituição sindical não se confunde com o exercício de mandato eletivo, previsto no art. 38 da Constituição da República. Possibilidade de norma constitucional estadual assegurar aos servidores públicos estaduais dirigentes sindicais o afastamento do exercício do cargo, sem prejuízo da remuneração e das va</w:t>
      </w:r>
    </w:p>
    <w:p>
      <w:pPr>
        <w:ind w:left="288"/>
      </w:pPr>
      <w:r>
        <w:rPr>
          <w:b/>
          <w:color w:val="003CA0"/>
          <w:sz w:val="16"/>
        </w:rPr>
        <w:t>[ADI 990, rel. min. Sydney Sanches, j. 6-2-2003, P, DJ de 11-4-2003.]</w:t>
      </w:r>
    </w:p>
    <w:p>
      <w:pPr>
        <w:ind w:left="288"/>
      </w:pPr>
      <w:r>
        <w:rPr>
          <w:color w:val="8C8C8C"/>
          <w:sz w:val="12"/>
        </w:rPr>
        <w:t>cf-art-37-inc-VI</w:t>
      </w:r>
      <w:r>
        <w:rPr>
          <w:color w:val="003CA0"/>
          <w:sz w:val="12"/>
        </w:rPr>
        <w:t xml:space="preserve"> | ADI 1.416</w:t>
      </w:r>
      <w:r>
        <w:rPr>
          <w:color w:val="003CA0"/>
          <w:sz w:val="12"/>
        </w:rPr>
        <w:t xml:space="preserve"> | rel. Gilmar Mendes</w:t>
      </w:r>
    </w:p>
    <w:p>
      <w:pPr>
        <w:ind w:left="288"/>
      </w:pPr>
      <w:r>
        <w:rPr>
          <w:color w:val="1E1E1E"/>
          <w:sz w:val="18"/>
        </w:rPr>
        <w:t>Vedação de desconto de contribuição sindical. Violação ao art. 8º, IV, c/c o art. 37, VI, da Constituição.</w:t>
      </w:r>
    </w:p>
    <w:p>
      <w:pPr>
        <w:ind w:left="288"/>
      </w:pPr>
      <w:r>
        <w:rPr>
          <w:b/>
          <w:color w:val="003CA0"/>
          <w:sz w:val="16"/>
        </w:rPr>
        <w:t>[ADI 1.416, rel. min. Gilmar Mendes, j. 10-10-2002, P, DJ de 14-11-2002.]</w:t>
      </w:r>
    </w:p>
    <w:p>
      <w:pPr>
        <w:ind w:left="288"/>
      </w:pPr>
      <w:r>
        <w:rPr>
          <w:color w:val="8C8C8C"/>
          <w:sz w:val="12"/>
        </w:rPr>
        <w:t>cf-art-37-inc-VI</w:t>
      </w:r>
      <w:r>
        <w:rPr>
          <w:color w:val="003CA0"/>
          <w:sz w:val="12"/>
        </w:rPr>
        <w:t xml:space="preserve"> | ARE 1.541.256</w:t>
      </w:r>
      <w:r>
        <w:rPr>
          <w:color w:val="003CA0"/>
          <w:sz w:val="12"/>
        </w:rPr>
        <w:t xml:space="preserve"> | rel. Dias Toffoli</w:t>
      </w:r>
    </w:p>
    <w:p>
      <w:pPr>
        <w:ind w:left="288"/>
      </w:pPr>
      <w:r>
        <w:rPr>
          <w:color w:val="1E1E1E"/>
          <w:sz w:val="18"/>
        </w:rPr>
        <w:t>O Supremo Tribunal Federal tem entendimento pacífico no sentido de que não viola os arts. 5º, XVII; 8º; e 37, VI, da Constituição Federal a norma local que estabelece condições específicas para a concessão de licença a servidor público para o exercício de mandato classista. Legitimidade e validade da atuação legislativa municipal que, no exercício da autonomia garantida a todos os entes federativos, estabelece que a licença do servidor para o exercício do mandato sindical será concedida sem remuneração. Norma da Constituição Estadual que garante licença remunerada dirige-se aos servidores esta</w:t>
      </w:r>
    </w:p>
    <w:p>
      <w:pPr>
        <w:ind w:left="288"/>
      </w:pPr>
      <w:r>
        <w:rPr>
          <w:b/>
          <w:color w:val="003CA0"/>
          <w:sz w:val="16"/>
        </w:rPr>
        <w:t>[ARE 1.541.256 AgR, rel. min. Dias Toffoli, j. 13.05.2025, P, DJE de 06.06.2025.]</w:t>
      </w:r>
    </w:p>
    <w:p>
      <w:pPr>
        <w:ind w:left="144"/>
      </w:pPr>
      <w:r>
        <w:rPr>
          <w:b/>
          <w:color w:val="B45A00"/>
          <w:sz w:val="16"/>
        </w:rPr>
        <w:t>JULGADOS CORRELATOS</w:t>
      </w:r>
    </w:p>
    <w:p>
      <w:pPr>
        <w:ind w:left="288"/>
      </w:pPr>
      <w:r>
        <w:rPr>
          <w:color w:val="8C8C8C"/>
          <w:sz w:val="12"/>
        </w:rPr>
        <w:t>cf-art-37-inc-VI</w:t>
      </w:r>
      <w:r>
        <w:rPr>
          <w:color w:val="003CA0"/>
          <w:sz w:val="12"/>
        </w:rPr>
        <w:t xml:space="preserve"> | ADI 962</w:t>
      </w:r>
      <w:r>
        <w:rPr>
          <w:color w:val="003CA0"/>
          <w:sz w:val="12"/>
        </w:rPr>
        <w:t xml:space="preserve"> | rel. Sepúlveda Pertence</w:t>
      </w:r>
    </w:p>
    <w:p>
      <w:pPr>
        <w:ind w:left="288"/>
      </w:pPr>
      <w:r>
        <w:rPr>
          <w:color w:val="1E1E1E"/>
          <w:sz w:val="18"/>
        </w:rPr>
        <w:t>Facultada a formação de sindicatos de servidores públicos (CF, art. 37, VI), não cabe excluí-los do regime da contribuição legal compulsória exigível dos membros da categoria (ADI 962, 11-11-1993, Galvão).</w:t>
      </w:r>
    </w:p>
    <w:p>
      <w:pPr>
        <w:ind w:left="288"/>
      </w:pPr>
      <w:r>
        <w:rPr>
          <w:b/>
          <w:color w:val="003CA0"/>
          <w:sz w:val="16"/>
        </w:rPr>
        <w:t>[RMS 21.758, rel. min. Sepúlveda Pertence, j. 20-9-1994, 1ª T, DJ de 4-11-1994.]</w:t>
      </w:r>
    </w:p>
    <w:p>
      <w:pPr>
        <w:ind w:left="288"/>
      </w:pPr>
      <w:r>
        <w:rPr>
          <w:color w:val="8C8C8C"/>
          <w:sz w:val="12"/>
        </w:rPr>
        <w:t>cf-art-37-inc-VI</w:t>
      </w:r>
      <w:r>
        <w:rPr>
          <w:color w:val="003CA0"/>
          <w:sz w:val="12"/>
        </w:rPr>
        <w:t xml:space="preserve"> | RE 1.055.524</w:t>
      </w:r>
      <w:r>
        <w:rPr>
          <w:color w:val="003CA0"/>
          <w:sz w:val="12"/>
        </w:rPr>
        <w:t xml:space="preserve"> | rel. Gilmar Mendes</w:t>
      </w:r>
    </w:p>
    <w:p>
      <w:pPr>
        <w:ind w:left="288"/>
      </w:pPr>
      <w:r>
        <w:rPr>
          <w:color w:val="1E1E1E"/>
          <w:sz w:val="18"/>
        </w:rPr>
        <w:t>= RE 1.055.524 AgR, rel. min. Gilmar Mendes, j. 20-2-2018, 2ª T, DJE de 27-3-2018</w:t>
      </w:r>
    </w:p>
    <w:p>
      <w:pPr>
        <w:ind w:left="144"/>
      </w:pPr>
      <w:r>
        <w:rPr>
          <w:b/>
          <w:color w:val="B45A00"/>
          <w:sz w:val="16"/>
        </w:rPr>
        <w:t>CONTROLE CONCENTRADO</w:t>
      </w:r>
    </w:p>
    <w:p>
      <w:pPr>
        <w:ind w:left="288"/>
      </w:pPr>
      <w:r>
        <w:rPr>
          <w:color w:val="8C8C8C"/>
          <w:sz w:val="12"/>
        </w:rPr>
        <w:t>cf-art-37-inc-VII</w:t>
      </w:r>
      <w:r>
        <w:rPr>
          <w:color w:val="003CA0"/>
          <w:sz w:val="12"/>
        </w:rPr>
        <w:t xml:space="preserve"> | ADI 6.476</w:t>
      </w:r>
      <w:r>
        <w:rPr>
          <w:color w:val="003CA0"/>
          <w:sz w:val="12"/>
        </w:rPr>
        <w:t xml:space="preserve"> | rel. Roberto Barroso</w:t>
      </w:r>
    </w:p>
    <w:p>
      <w:pPr>
        <w:ind w:left="288"/>
      </w:pPr>
      <w:r>
        <w:rPr>
          <w:color w:val="1E1E1E"/>
          <w:sz w:val="18"/>
        </w:rPr>
        <w:t>Ação direta contra decreto que tem por objeto ‘excluir a previsão de adaptação das provas físicas para candidatos com deficiência e estabelecer que os critérios de aprovação dessas provas poderão seguir os mesmos critérios aplicados aos demais candidatos’. De acordo com o art. 2º da Convenção de Direitos das Pessoas com Deficiência – CDPD, a recusa de adaptação razoável é considerada discriminação por motivo de deficiência. O art. 3º, VI, do Decreto 9.508/2018, estabelece uma faculdade em benefício do candidato com deficiência, que pode utilizar suas próprias tecnologias assistivas e adaptaçõe</w:t>
      </w:r>
    </w:p>
    <w:p>
      <w:pPr>
        <w:ind w:left="288"/>
      </w:pPr>
      <w:r>
        <w:rPr>
          <w:b/>
          <w:color w:val="003CA0"/>
          <w:sz w:val="16"/>
        </w:rPr>
        <w:t>[ADI 6.476, rel. min. Roberto Barroso, j. 8-9-2021, P, DJE de 16-9-2021.]</w:t>
      </w:r>
    </w:p>
    <w:p>
      <w:pPr>
        <w:ind w:left="288"/>
      </w:pPr>
      <w:r>
        <w:rPr>
          <w:color w:val="8C8C8C"/>
          <w:sz w:val="12"/>
        </w:rPr>
        <w:t>cf-art-37-inc-VII</w:t>
      </w:r>
      <w:r>
        <w:rPr>
          <w:color w:val="003CA0"/>
          <w:sz w:val="12"/>
        </w:rPr>
        <w:t xml:space="preserve"> | ADI 3.235</w:t>
      </w:r>
      <w:r>
        <w:rPr>
          <w:color w:val="003CA0"/>
          <w:sz w:val="12"/>
        </w:rPr>
        <w:t xml:space="preserve"> | rel. Carlos Velloso</w:t>
      </w:r>
    </w:p>
    <w:p>
      <w:pPr>
        <w:ind w:left="288"/>
      </w:pPr>
      <w:r>
        <w:rPr>
          <w:color w:val="1E1E1E"/>
          <w:sz w:val="18"/>
        </w:rPr>
        <w:t xml:space="preserve">O exercício de um direito constitucional é garantia fundamental a ser protegida por esta Corte, desde que não exercido de forma abusiva. (...) ao considerar o exercício do direito de greve como falta grave ou fato desabonador da conduta, em termos de avaliação de estágio probatório, que enseja imediata exoneração do servidor público não estável, o dispositivo impugnado viola o direito de greve conferido aos servidores públicos no art. 37, VII, CF/1988, na medida em que inclui, entre os fatores de avaliação do estágio probatório, de forma inconstitucional, o exercício não abusivo do direito de </w:t>
      </w:r>
    </w:p>
    <w:p>
      <w:pPr>
        <w:ind w:left="288"/>
      </w:pPr>
      <w:r>
        <w:rPr>
          <w:b/>
          <w:color w:val="003CA0"/>
          <w:sz w:val="16"/>
        </w:rPr>
        <w:t>[ADI 3.235, voto do red. do ac. min. Gilmar Mendes, rel. min. Carlos Velloso, j. 4-2-2010, P, DJE de 12-3-2010].</w:t>
      </w:r>
    </w:p>
    <w:p>
      <w:pPr>
        <w:ind w:left="288"/>
      </w:pPr>
      <w:r>
        <w:rPr>
          <w:color w:val="8C8C8C"/>
          <w:sz w:val="12"/>
        </w:rPr>
        <w:t>cf-art-37-inc-VII</w:t>
      </w:r>
      <w:r>
        <w:rPr>
          <w:color w:val="003CA0"/>
          <w:sz w:val="12"/>
        </w:rPr>
        <w:t xml:space="preserve"> | RE 226.966</w:t>
      </w:r>
      <w:r>
        <w:rPr>
          <w:color w:val="003CA0"/>
          <w:sz w:val="12"/>
        </w:rPr>
        <w:t xml:space="preserve"> | rel. Menezes Direito</w:t>
      </w:r>
    </w:p>
    <w:p>
      <w:pPr>
        <w:ind w:left="288"/>
      </w:pPr>
      <w:r>
        <w:rPr>
          <w:color w:val="1E1E1E"/>
          <w:sz w:val="18"/>
        </w:rPr>
        <w:t>Vide RE 226.966, red. do ac. min. Cármen Lúcia, rel. min. Menezes Direito, j. 11-11-2008, 1ª T, DJE de 21-8-2009</w:t>
      </w:r>
    </w:p>
    <w:p>
      <w:pPr>
        <w:ind w:left="144"/>
      </w:pPr>
      <w:r>
        <w:rPr>
          <w:b/>
          <w:color w:val="B45A00"/>
          <w:sz w:val="16"/>
        </w:rPr>
        <w:t>REPERCUSSAO GERAL</w:t>
      </w:r>
    </w:p>
    <w:p>
      <w:pPr>
        <w:ind w:left="288"/>
      </w:pPr>
      <w:r>
        <w:rPr>
          <w:color w:val="8C8C8C"/>
          <w:sz w:val="12"/>
        </w:rPr>
        <w:t>cf-art-37-inc-VII</w:t>
      </w:r>
      <w:r>
        <w:rPr>
          <w:color w:val="003CA0"/>
          <w:sz w:val="12"/>
        </w:rPr>
        <w:t xml:space="preserve"> | RE 846.854</w:t>
      </w:r>
    </w:p>
    <w:p>
      <w:pPr>
        <w:ind w:left="288"/>
      </w:pPr>
      <w:r>
        <w:rPr>
          <w:color w:val="1E1E1E"/>
          <w:sz w:val="18"/>
        </w:rPr>
        <w:t>A Justiça Comum Federal ou Estadual é competente para julgar a abusividade de greve de servidores públicos celetistas da administração direta, autarquias e fundações de direito público.</w:t>
      </w:r>
    </w:p>
    <w:p>
      <w:pPr>
        <w:ind w:left="288"/>
      </w:pPr>
      <w:r>
        <w:rPr>
          <w:b/>
          <w:color w:val="003CA0"/>
          <w:sz w:val="16"/>
        </w:rPr>
        <w:t>[RE 846.854, red. do ac. min. Alexandre de Moraes, j. 1º-8-2017, P, DJE de 7-2-2018, Tema 544, com mérito julgado.]</w:t>
      </w:r>
    </w:p>
    <w:p>
      <w:pPr>
        <w:ind w:left="288"/>
      </w:pPr>
      <w:r>
        <w:rPr>
          <w:color w:val="8C8C8C"/>
          <w:sz w:val="12"/>
        </w:rPr>
        <w:t>cf-art-37-inc-VII</w:t>
      </w:r>
      <w:r>
        <w:rPr>
          <w:color w:val="003CA0"/>
          <w:sz w:val="12"/>
        </w:rPr>
        <w:t xml:space="preserve"> | ARE 654.432</w:t>
      </w:r>
    </w:p>
    <w:p>
      <w:pPr>
        <w:ind w:left="288"/>
      </w:pPr>
      <w:r>
        <w:rPr>
          <w:color w:val="1E1E1E"/>
          <w:sz w:val="18"/>
        </w:rPr>
        <w:t>O exercício do direito de greve, sob qualquer forma ou modalidade, é vedado aos policiais civis e a todos os servidores públicos que atuem diretamente na área de segurança pública. É obrigatória a participação do poder público em mediação instaurada pelos órgãos classistas das carreiras de segurança pública, nos termos do art. 165 do CPC, para vocalização dos interesses da categoria.</w:t>
      </w:r>
    </w:p>
    <w:p>
      <w:pPr>
        <w:ind w:left="288"/>
      </w:pPr>
      <w:r>
        <w:rPr>
          <w:b/>
          <w:color w:val="003CA0"/>
          <w:sz w:val="16"/>
        </w:rPr>
        <w:t>[ARE 654.432, red. do ac. min. Alexandre de Moraes, j. 5-4-2017, P, DJE de 11-6-2018, Tema 541, com mérito julgado.]</w:t>
      </w:r>
    </w:p>
    <w:p>
      <w:pPr>
        <w:ind w:left="288"/>
      </w:pPr>
      <w:r>
        <w:rPr>
          <w:color w:val="8C8C8C"/>
          <w:sz w:val="12"/>
        </w:rPr>
        <w:t>cf-art-37-inc-VII</w:t>
      </w:r>
      <w:r>
        <w:rPr>
          <w:color w:val="003CA0"/>
          <w:sz w:val="12"/>
        </w:rPr>
        <w:t xml:space="preserve"> | RE 693.456</w:t>
      </w:r>
      <w:r>
        <w:rPr>
          <w:color w:val="003CA0"/>
          <w:sz w:val="12"/>
        </w:rPr>
        <w:t xml:space="preserve"> | rel. Dias Toffoli</w:t>
      </w:r>
    </w:p>
    <w:p>
      <w:pPr>
        <w:ind w:left="288"/>
      </w:pPr>
      <w:r>
        <w:rPr>
          <w:color w:val="1E1E1E"/>
          <w:sz w:val="18"/>
        </w:rPr>
        <w:t>A administração pública deve proceder ao desconto dos dias de paralisação decorrentes do exercício do direito de greve pelos servidores públicos, em virtude da suspensão do vínculo funcional que dela decorre, permitida a compensação em caso de acordo. O desconto será, contudo, incabível se ficar demonstrado que a greve foi provocada por conduta ilícita do poder público.</w:t>
        <w:br/>
        <w:t>[RE 693.456, rel. min. Dias Toffoli, j. 27-10-2016, P, DJE de 19-10-2017, Tema 531, com mérito julgado.]</w:t>
      </w:r>
    </w:p>
    <w:p>
      <w:pPr>
        <w:ind w:left="144"/>
      </w:pPr>
      <w:r>
        <w:rPr>
          <w:b/>
          <w:color w:val="B45A00"/>
          <w:sz w:val="16"/>
        </w:rPr>
        <w:t>JULGADOS CORRELATOS</w:t>
      </w:r>
    </w:p>
    <w:p>
      <w:pPr>
        <w:ind w:left="288"/>
      </w:pPr>
      <w:r>
        <w:rPr>
          <w:color w:val="8C8C8C"/>
          <w:sz w:val="12"/>
        </w:rPr>
        <w:t>cf-art-37-inc-VII</w:t>
      </w:r>
      <w:r>
        <w:rPr>
          <w:color w:val="003CA0"/>
          <w:sz w:val="12"/>
        </w:rPr>
        <w:t xml:space="preserve"> | RE 480.989</w:t>
      </w:r>
      <w:r>
        <w:rPr>
          <w:color w:val="003CA0"/>
          <w:sz w:val="12"/>
        </w:rPr>
        <w:t xml:space="preserve"> | rel. Ellen Gracie</w:t>
      </w:r>
    </w:p>
    <w:p>
      <w:pPr>
        <w:ind w:left="288"/>
      </w:pPr>
      <w:r>
        <w:rPr>
          <w:color w:val="1E1E1E"/>
          <w:sz w:val="18"/>
        </w:rPr>
        <w:t>A questão relativa a greve de servidor público, com fundamento no art. 37, VII, da CF, é da competência deste STF, pois o acórdão recorrido decidiu a questão com fundamento em dispositivos constitucionais.</w:t>
      </w:r>
    </w:p>
    <w:p>
      <w:pPr>
        <w:ind w:left="288"/>
      </w:pPr>
      <w:r>
        <w:rPr>
          <w:b/>
          <w:color w:val="003CA0"/>
          <w:sz w:val="16"/>
        </w:rPr>
        <w:t>[RE 480.989 AgR, rel. min. Ellen Gracie, j. 28-9-2010, 2ª T, DJE de 25-10-2010.]</w:t>
      </w:r>
    </w:p>
    <w:p>
      <w:pPr>
        <w:ind w:left="288"/>
      </w:pPr>
      <w:r>
        <w:rPr>
          <w:color w:val="8C8C8C"/>
          <w:sz w:val="12"/>
        </w:rPr>
        <w:t>cf-art-37-inc-VII</w:t>
      </w:r>
      <w:r>
        <w:rPr>
          <w:color w:val="003CA0"/>
          <w:sz w:val="12"/>
        </w:rPr>
        <w:t xml:space="preserve"> | RE 226.966</w:t>
      </w:r>
      <w:r>
        <w:rPr>
          <w:color w:val="003CA0"/>
          <w:sz w:val="12"/>
        </w:rPr>
        <w:t xml:space="preserve"> | rel. Menezes Direito</w:t>
      </w:r>
    </w:p>
    <w:p>
      <w:pPr>
        <w:ind w:left="288"/>
      </w:pPr>
      <w:r>
        <w:rPr>
          <w:color w:val="1E1E1E"/>
          <w:sz w:val="18"/>
        </w:rPr>
        <w:t>A simples circunstância de o servidor público estar em estágio probatório não é justificativa para demissão com fundamento na sua participação em movimento grevista por período superior a trinta dias. A ausência de regulamentação do direito de greve não transforma os dias de paralisação em movimento grevista em faltas injustificadas.</w:t>
      </w:r>
    </w:p>
    <w:p>
      <w:pPr>
        <w:ind w:left="288"/>
      </w:pPr>
      <w:r>
        <w:rPr>
          <w:b/>
          <w:color w:val="003CA0"/>
          <w:sz w:val="16"/>
        </w:rPr>
        <w:t>[RE 226.966, red. do ac. min. Cármen Lúcia, rel. min. Menezes Direito, j. 11-11-2008, 1ª T, DJE de 21-8-2009.]</w:t>
      </w:r>
    </w:p>
    <w:p>
      <w:pPr>
        <w:ind w:left="288"/>
      </w:pPr>
      <w:r>
        <w:rPr>
          <w:color w:val="8C8C8C"/>
          <w:sz w:val="12"/>
        </w:rPr>
        <w:t>cf-art-37-inc-VII</w:t>
      </w:r>
      <w:r>
        <w:rPr>
          <w:color w:val="003CA0"/>
          <w:sz w:val="12"/>
        </w:rPr>
        <w:t xml:space="preserve"> | ADI 3.235</w:t>
      </w:r>
      <w:r>
        <w:rPr>
          <w:color w:val="003CA0"/>
          <w:sz w:val="12"/>
        </w:rPr>
        <w:t xml:space="preserve"> | rel. Carlos Velloso</w:t>
      </w:r>
    </w:p>
    <w:p>
      <w:pPr>
        <w:ind w:left="288"/>
      </w:pPr>
      <w:r>
        <w:rPr>
          <w:color w:val="1E1E1E"/>
          <w:sz w:val="18"/>
        </w:rPr>
        <w:t>Vide ADI 3.235, red. do ac. min. Gilmar Mendes, rel. min. Carlos Velloso, j. 4-2-2010, P, DJE de 12-3-2010 Direito de greve dos servidores públicos civis (CF, art. 37, VII). Evolução do tema na jurisprudência do STF. (...) Apesar das modificações implementadas pela EC 19/1998 quanto à modificação da reserva legal de lei complementar para a de lei ordinária específica (CF, art. 37, VII), observa-se que o direito de greve dos servidores públicos civis continua sem receber tratamento legislativo minimamente satisfatório para garantir o exercício dessa prerrogativa em consonância com imperativos c</w:t>
      </w:r>
    </w:p>
    <w:p>
      <w:pPr>
        <w:ind w:left="288"/>
      </w:pPr>
      <w:r>
        <w:rPr>
          <w:b/>
          <w:color w:val="003CA0"/>
          <w:sz w:val="16"/>
        </w:rPr>
        <w:t>[MI 708, rel. min. Gilmar Mendes, j. 25-10-2007, P, DJE de 31-10-2008.]</w:t>
      </w:r>
    </w:p>
    <w:p>
      <w:pPr>
        <w:ind w:left="288"/>
      </w:pPr>
      <w:r>
        <w:rPr>
          <w:color w:val="8C8C8C"/>
          <w:sz w:val="12"/>
        </w:rPr>
        <w:t>cf-art-37-inc-VII</w:t>
      </w:r>
      <w:r>
        <w:rPr>
          <w:color w:val="003CA0"/>
          <w:sz w:val="12"/>
        </w:rPr>
        <w:t xml:space="preserve"> | ARE 657.385</w:t>
      </w:r>
      <w:r>
        <w:rPr>
          <w:color w:val="003CA0"/>
          <w:sz w:val="12"/>
        </w:rPr>
        <w:t xml:space="preserve"> | rel. Luiz Fux</w:t>
      </w:r>
    </w:p>
    <w:p>
      <w:pPr>
        <w:ind w:left="288"/>
      </w:pPr>
      <w:r>
        <w:rPr>
          <w:color w:val="1E1E1E"/>
          <w:sz w:val="18"/>
        </w:rPr>
        <w:t>= ARE 657.385, rel. min. Luiz Fux, j. 29-2-2012, dec. monocrática, DJE de 13-3-2012 Vide RE 456.530 ED, rel. min. Joaquim Barbosa, j. 23-11-2010, 2ª T, DJE de 1º-2-2011 Vide ADI 3.235, red. do ac. min. Gilmar Mendes, rel. min. Carlos Velloso, j. 4-2-2010, P, DJE de 12-3-2010 Vide Rcl 6.568, rel. min. Eros Grau, j. 21-5-2009, P, DJE de 25-9-2009</w:t>
      </w:r>
    </w:p>
    <w:p>
      <w:pPr>
        <w:ind w:left="288"/>
      </w:pPr>
      <w:r>
        <w:rPr>
          <w:color w:val="8C8C8C"/>
          <w:sz w:val="12"/>
        </w:rPr>
        <w:t>cf-art-37-inc-VIII</w:t>
      </w:r>
      <w:r>
        <w:rPr>
          <w:color w:val="003CA0"/>
          <w:sz w:val="12"/>
        </w:rPr>
        <w:t xml:space="preserve"> | RMS 34.330</w:t>
      </w:r>
      <w:r>
        <w:rPr>
          <w:color w:val="003CA0"/>
          <w:sz w:val="12"/>
        </w:rPr>
        <w:t xml:space="preserve"> | rel. Nunes Marques</w:t>
      </w:r>
    </w:p>
    <w:p>
      <w:pPr>
        <w:ind w:left="288"/>
      </w:pPr>
      <w:r>
        <w:rPr>
          <w:color w:val="1E1E1E"/>
          <w:sz w:val="18"/>
        </w:rPr>
        <w:t>A Resolução n. 75/2009/CNJ regulamentou concursos públicos para ingresso na carreira da magistratura, em todos os ramos do Poder Judiciário nacional, e, no que se refere à reserva de vagas para pessoas com deficiência, tratou do tema a partir do 73, segundo o qual “as pessoas com deficiência que declararem tal condição, no momento da inscrição preliminar, terão reservados, no mínimo, 5% (cinco por cento) do total das vagas, vedado o arredondamento superior”, tendo sido replicada a previsão no Edital n. 1 do STM, de 16 de novembro de 2012. O edital do concurso, em conformidade com o referido at</w:t>
      </w:r>
    </w:p>
    <w:p>
      <w:pPr>
        <w:ind w:left="288"/>
      </w:pPr>
      <w:r>
        <w:rPr>
          <w:b/>
          <w:color w:val="003CA0"/>
          <w:sz w:val="16"/>
        </w:rPr>
        <w:t>[RMS 34.330 AgR-sexto, rel. min. Nunes Marques, j. 27.10.2025, 2ª T, DJE de 05.12.2025.]</w:t>
      </w:r>
    </w:p>
    <w:p>
      <w:pPr>
        <w:ind w:left="288"/>
      </w:pPr>
      <w:r>
        <w:rPr>
          <w:color w:val="8C8C8C"/>
          <w:sz w:val="12"/>
        </w:rPr>
        <w:t>cf-art-37-inc-VIII</w:t>
      </w:r>
      <w:r>
        <w:rPr>
          <w:color w:val="003CA0"/>
          <w:sz w:val="12"/>
        </w:rPr>
        <w:t xml:space="preserve"> | MI 6.984</w:t>
      </w:r>
      <w:r>
        <w:rPr>
          <w:color w:val="003CA0"/>
          <w:sz w:val="12"/>
        </w:rPr>
        <w:t xml:space="preserve"> | rel. Roberto Barroso</w:t>
      </w:r>
    </w:p>
    <w:p>
      <w:pPr>
        <w:ind w:left="288"/>
      </w:pPr>
      <w:r>
        <w:rPr>
          <w:color w:val="1E1E1E"/>
          <w:sz w:val="18"/>
        </w:rPr>
        <w:t xml:space="preserve">O dispositivo constitucional em que se ampara a inicial (princípio da igualdade) não assegura diretamente o direito que se alega pendente de regulamentação – direito de pessoa com doença grave, que não se enquadra no rol de deficiências do Decreto 3.298/1999, de concorrer para as vagas reservadas em concurso para pessoas com deficiência. É certo que a Constituição assegura a reserva de percentual dos cargos e empregos públicos para pessoas com deficiência (art. 37, VIII). No entanto, o dispositivo constitucional já foi regulamentado pelo art. 5º, § 2º, da Lei 8.112/1990, pela Lei 7.853/1999 e </w:t>
      </w:r>
    </w:p>
    <w:p>
      <w:pPr>
        <w:ind w:left="288"/>
      </w:pPr>
      <w:r>
        <w:rPr>
          <w:b/>
          <w:color w:val="003CA0"/>
          <w:sz w:val="16"/>
        </w:rPr>
        <w:t>[MI 6.984-AgR, rel. min. Roberto Barroso, j. 28-9-2018, P, DJE de 5-11-2018.]</w:t>
      </w:r>
    </w:p>
    <w:p>
      <w:pPr>
        <w:ind w:left="288"/>
      </w:pPr>
      <w:r>
        <w:rPr>
          <w:color w:val="8C8C8C"/>
          <w:sz w:val="12"/>
        </w:rPr>
        <w:t>cf-art-37-inc-VIII</w:t>
      </w:r>
      <w:r>
        <w:rPr>
          <w:color w:val="003CA0"/>
          <w:sz w:val="12"/>
        </w:rPr>
        <w:t xml:space="preserve"> | RMS 27.710</w:t>
      </w:r>
      <w:r>
        <w:rPr>
          <w:color w:val="003CA0"/>
          <w:sz w:val="12"/>
        </w:rPr>
        <w:t xml:space="preserve"> | rel. Dias Toffoli</w:t>
      </w:r>
    </w:p>
    <w:p>
      <w:pPr>
        <w:ind w:left="288"/>
      </w:pPr>
      <w:r>
        <w:rPr>
          <w:color w:val="1E1E1E"/>
          <w:sz w:val="18"/>
        </w:rPr>
        <w:t xml:space="preserve">Não se mostra justo, ou, no mínimo, razoável, que o candidato portador de deficiência física, na maioria das vezes limitado pela sua deficiência, esteja em aparente desvantagem em relação aos demais candidatos, devendo a ele ser garantida a observância do princípio da isonomia/igualdade. O STF, buscando garantir razoabilidade à aplicação do disposto no Decreto 3.298/1999, entendeu que o referido diploma legal deve ser interpretado em conjunto com a Lei 8.112/1990. Assim, as frações mencionadas no art. 37, § 2º, do Decreto 3.298/1999 deverão ser arredondadas para o primeiro número subsequente, </w:t>
      </w:r>
    </w:p>
    <w:p>
      <w:pPr>
        <w:ind w:left="288"/>
      </w:pPr>
      <w:r>
        <w:rPr>
          <w:b/>
          <w:color w:val="003CA0"/>
          <w:sz w:val="16"/>
        </w:rPr>
        <w:t>[RMS 27.710 AgR, rel. min. Dias Toffoli, j. 28-5-2015, P, DJE de 1º-7-2015.]</w:t>
      </w:r>
    </w:p>
    <w:p>
      <w:pPr>
        <w:ind w:left="288"/>
      </w:pPr>
      <w:r>
        <w:rPr>
          <w:color w:val="8C8C8C"/>
          <w:sz w:val="12"/>
        </w:rPr>
        <w:t>cf-art-37-inc-VIII</w:t>
      </w:r>
      <w:r>
        <w:rPr>
          <w:color w:val="003CA0"/>
          <w:sz w:val="12"/>
        </w:rPr>
        <w:t xml:space="preserve"> | RMS 32.732</w:t>
      </w:r>
      <w:r>
        <w:rPr>
          <w:color w:val="003CA0"/>
          <w:sz w:val="12"/>
        </w:rPr>
        <w:t xml:space="preserve"> | rel. Celso de Mello</w:t>
      </w:r>
    </w:p>
    <w:p>
      <w:pPr>
        <w:ind w:left="288"/>
      </w:pPr>
      <w:r>
        <w:rPr>
          <w:color w:val="1E1E1E"/>
          <w:sz w:val="18"/>
        </w:rPr>
        <w:t>Concurso público. Pessoa portadora de deficiência. Reserva percentual de cargos e empregos públicos (CF, art. 37, VIII). Ocorrência, na espécie, dos requisitos necessários ao reconhecimento do direito vindicado pela recorrente. Atendimento, no caso, da exigência de compatibilidade entre o estado de deficiência e o conteúdo ocupacional ou funcional do cargo público disputado, independentemente de a deficiência produzir dificuldade para o exercício da atividade funcional. Inadmissibilidade da exigência adicional de a situação de deficiência também produzir "dificuldades para o desempenho das fun</w:t>
      </w:r>
    </w:p>
    <w:p>
      <w:pPr>
        <w:ind w:left="288"/>
      </w:pPr>
      <w:r>
        <w:rPr>
          <w:b/>
          <w:color w:val="003CA0"/>
          <w:sz w:val="16"/>
        </w:rPr>
        <w:t>[RMS 32.732 AgR, rel. min. Celso de Mello, j. 3-6-2014, 2ª T, DJE de 1º-8-2014.]</w:t>
      </w:r>
    </w:p>
    <w:p>
      <w:pPr>
        <w:ind w:left="288"/>
      </w:pPr>
      <w:r>
        <w:rPr>
          <w:color w:val="8C8C8C"/>
          <w:sz w:val="12"/>
        </w:rPr>
        <w:t>cf-art-37-inc-VIII</w:t>
      </w:r>
      <w:r>
        <w:rPr>
          <w:color w:val="003CA0"/>
          <w:sz w:val="12"/>
        </w:rPr>
        <w:t xml:space="preserve"> | RMS 26.071</w:t>
      </w:r>
      <w:r>
        <w:rPr>
          <w:color w:val="003CA0"/>
          <w:sz w:val="12"/>
        </w:rPr>
        <w:t xml:space="preserve"> | rel. Ayres Britto</w:t>
      </w:r>
    </w:p>
    <w:p>
      <w:pPr>
        <w:ind w:left="288"/>
      </w:pPr>
      <w:r>
        <w:rPr>
          <w:color w:val="1E1E1E"/>
          <w:sz w:val="18"/>
        </w:rPr>
        <w:t xml:space="preserve">Concurso público. Candidato portador de deficiência visual. Ambliopia. Reserva de vaga. Inciso VIII do art. 37 da CF. Parágrafo 2º do art. 5º da Lei 8.112/1990. Lei 7.853/1989. Decretos 3.298/1999 e 5.296/2004. O candidato com visão monocular padece de deficiência que impede a comparação entre os dois olhos para saber-se qual deles é o "melhor". A visão univalente – comprometedora das noções de profundidade e distância – implica limitação superior à deficiência parcial que afete os dois olhos. A reparação ou compensação dos fatores de desigualdade factual com medidas de superioridade jurídica </w:t>
      </w:r>
    </w:p>
    <w:p>
      <w:pPr>
        <w:ind w:left="288"/>
      </w:pPr>
      <w:r>
        <w:rPr>
          <w:b/>
          <w:color w:val="003CA0"/>
          <w:sz w:val="16"/>
        </w:rPr>
        <w:t>[RMS 26.071, rel. min. Ayres Britto, j. 13-11-2007, 1ª T, DJ de 1º-2-2008.]</w:t>
      </w:r>
    </w:p>
    <w:p>
      <w:pPr>
        <w:ind w:left="288"/>
      </w:pPr>
      <w:r>
        <w:rPr>
          <w:color w:val="8C8C8C"/>
          <w:sz w:val="12"/>
        </w:rPr>
        <w:t>cf-art-37-inc-VIII</w:t>
      </w:r>
      <w:r>
        <w:rPr>
          <w:color w:val="003CA0"/>
          <w:sz w:val="12"/>
        </w:rPr>
        <w:t xml:space="preserve"> | RE 227.299</w:t>
      </w:r>
      <w:r>
        <w:rPr>
          <w:color w:val="003CA0"/>
          <w:sz w:val="12"/>
        </w:rPr>
        <w:t xml:space="preserve"> | rel. Ilmar Galvão</w:t>
      </w:r>
    </w:p>
    <w:p>
      <w:pPr>
        <w:ind w:left="288"/>
      </w:pPr>
      <w:r>
        <w:rPr>
          <w:color w:val="1E1E1E"/>
          <w:sz w:val="18"/>
        </w:rPr>
        <w:t>A exigência constitucional de reserva de vagas para portadores de deficiência em concurso público se impõe ainda que o percentual legalmente previsto seja inferior a um, hipótese em que a fração deve ser arredondada. Entendimento que garante a eficácia do art. 37, VIII, da CF, que, caso contrário, restaria violado.</w:t>
      </w:r>
    </w:p>
    <w:p>
      <w:pPr>
        <w:ind w:left="288"/>
      </w:pPr>
      <w:r>
        <w:rPr>
          <w:b/>
          <w:color w:val="003CA0"/>
          <w:sz w:val="16"/>
        </w:rPr>
        <w:t>[RE 227.299, rel. min. Ilmar Galvão, j. 14-6-2000, P, DJ de 6-10-2000.]</w:t>
      </w:r>
    </w:p>
    <w:p>
      <w:pPr>
        <w:ind w:left="288"/>
      </w:pPr>
      <w:r>
        <w:rPr>
          <w:color w:val="8C8C8C"/>
          <w:sz w:val="12"/>
        </w:rPr>
        <w:t>cf-art-37-inc-VIII</w:t>
      </w:r>
      <w:r>
        <w:rPr>
          <w:color w:val="003CA0"/>
          <w:sz w:val="12"/>
        </w:rPr>
        <w:t xml:space="preserve"> | RE 606.728</w:t>
      </w:r>
      <w:r>
        <w:rPr>
          <w:color w:val="003CA0"/>
          <w:sz w:val="12"/>
        </w:rPr>
        <w:t xml:space="preserve"> | rel. Cármen Lúcia</w:t>
      </w:r>
    </w:p>
    <w:p>
      <w:pPr>
        <w:ind w:left="288"/>
      </w:pPr>
      <w:r>
        <w:rPr>
          <w:color w:val="1E1E1E"/>
          <w:sz w:val="18"/>
        </w:rPr>
        <w:t>= RE 606.728 AgR, rel. min. Cármen Lúcia, j. 2-12-2010, 1ª T, DJE de 1º-2-2011 Vide RMS 27.710 AgR, rel. min. Dias Toffoli, j. 28-5-2015, P, DJE de 1º-7-2015 A exigência de caráter geral, de aprovação em concurso, não pode ser afastada nem mesmo pela reserva de "percentual dos cargos e empregos públicos para as pessoas portadoras de deficiência" (CF, art. 37, II e VIII).</w:t>
      </w:r>
    </w:p>
    <w:p>
      <w:pPr>
        <w:ind w:left="288"/>
      </w:pPr>
      <w:r>
        <w:rPr>
          <w:b/>
          <w:color w:val="003CA0"/>
          <w:sz w:val="16"/>
        </w:rPr>
        <w:t>[MI 153 AgR, rel. min. Paulo Brossard, j. 14-3-1990, P, DJ de 30-3-1990.]</w:t>
      </w:r>
    </w:p>
    <w:p>
      <w:pPr>
        <w:ind w:left="144"/>
      </w:pPr>
      <w:r>
        <w:rPr>
          <w:b/>
          <w:color w:val="B45A00"/>
          <w:sz w:val="16"/>
        </w:rPr>
        <w:t>CONTROLE CONCENTRADO</w:t>
      </w:r>
    </w:p>
    <w:p>
      <w:pPr>
        <w:ind w:left="288"/>
      </w:pPr>
      <w:r>
        <w:rPr>
          <w:color w:val="8C8C8C"/>
          <w:sz w:val="12"/>
        </w:rPr>
        <w:t>cf-art-37-inc-IX</w:t>
      </w:r>
      <w:r>
        <w:rPr>
          <w:color w:val="003CA0"/>
          <w:sz w:val="12"/>
        </w:rPr>
        <w:t xml:space="preserve"> | ADI 7.098</w:t>
      </w:r>
      <w:r>
        <w:rPr>
          <w:color w:val="003CA0"/>
          <w:sz w:val="12"/>
        </w:rPr>
        <w:t xml:space="preserve"> | rel. Gilmar Mendes</w:t>
      </w:r>
    </w:p>
    <w:p>
      <w:pPr>
        <w:ind w:left="288"/>
      </w:pPr>
      <w:r>
        <w:rPr>
          <w:color w:val="1E1E1E"/>
          <w:sz w:val="18"/>
        </w:rPr>
        <w:t>(...) a contratação temporária para o exercício de funções na administração penitenciária em cargos de servidores da polícia penal não pode ser admitida, de modo que o Estado do Maranhão deverá realizar o necessário concurso público ou o aproveitamento dos cargos públicos equivalentes, conforme disposto no art. 4º da EC nº 104/2019.</w:t>
        <w:br/>
        <w:t>[ADI 7.098, voto do rel. min. Gilmar Mendes, j. 27-3-2023, P, DJE de 5-5-2023.] (...) Aplicável a todos os entes federativos, o art. 3º da EC 106/2020 possibilita a flexibilização de limitações legais relacionadas à expansão de ações governamentais de enfrentamento</w:t>
      </w:r>
    </w:p>
    <w:p>
      <w:pPr>
        <w:ind w:left="288"/>
      </w:pPr>
      <w:r>
        <w:rPr>
          <w:b/>
          <w:color w:val="003CA0"/>
          <w:sz w:val="16"/>
        </w:rPr>
        <w:t>[ADI 3.237, rel. min. Joaquim Barbosa, j. 26-3-2014, P, DJE de 19-8-2014.]</w:t>
      </w:r>
    </w:p>
    <w:p>
      <w:pPr>
        <w:ind w:left="288"/>
      </w:pPr>
      <w:r>
        <w:rPr>
          <w:color w:val="8C8C8C"/>
          <w:sz w:val="12"/>
        </w:rPr>
        <w:t>cf-art-37-inc-IX</w:t>
      </w:r>
      <w:r>
        <w:rPr>
          <w:color w:val="003CA0"/>
          <w:sz w:val="12"/>
        </w:rPr>
        <w:t xml:space="preserve"> | RE 635.648</w:t>
      </w:r>
      <w:r>
        <w:rPr>
          <w:color w:val="003CA0"/>
          <w:sz w:val="12"/>
        </w:rPr>
        <w:t xml:space="preserve"> | rel. Edson Fachin</w:t>
      </w:r>
    </w:p>
    <w:p>
      <w:pPr>
        <w:ind w:left="288"/>
      </w:pPr>
      <w:r>
        <w:rPr>
          <w:color w:val="1E1E1E"/>
          <w:sz w:val="18"/>
        </w:rPr>
        <w:t>Vide RE 635.648, rel. min. Edson Fachin, j. 14-6-2017, P, DJE de 12-9-2017, Tema 403 É de natureza permanente a atividade de estatística e pesquisa desenvolvida pelo IBGE; sua intensidade e o volume dessas pesquisas não são os mesmos todo o tempo. Possibilidade de contratação temporária, nos termos do art. 37, IX, da Constituição da República, para atender à necessidade temporária de pessoal necessário à realização de trabalhos em determinados períodos. Observância dos princípios da eficiência e da moralidade.</w:t>
      </w:r>
    </w:p>
    <w:p>
      <w:pPr>
        <w:ind w:left="288"/>
      </w:pPr>
      <w:r>
        <w:rPr>
          <w:b/>
          <w:color w:val="003CA0"/>
          <w:sz w:val="16"/>
        </w:rPr>
        <w:t>[ADI 3.386, rel. min. Cármen Lúcia, j. 14-4-2011, P, DJE de 24-8-2011.]</w:t>
      </w:r>
    </w:p>
    <w:p>
      <w:pPr>
        <w:ind w:left="288"/>
      </w:pPr>
      <w:r>
        <w:rPr>
          <w:color w:val="8C8C8C"/>
          <w:sz w:val="12"/>
        </w:rPr>
        <w:t>cf-art-37-inc-IX</w:t>
      </w:r>
      <w:r>
        <w:rPr>
          <w:color w:val="003CA0"/>
          <w:sz w:val="12"/>
        </w:rPr>
        <w:t xml:space="preserve"> | ADI 3.068</w:t>
      </w:r>
      <w:r>
        <w:rPr>
          <w:color w:val="003CA0"/>
          <w:sz w:val="12"/>
        </w:rPr>
        <w:t xml:space="preserve"> | rel. Marco Aurélio</w:t>
      </w:r>
    </w:p>
    <w:p>
      <w:pPr>
        <w:ind w:left="288"/>
      </w:pPr>
      <w:r>
        <w:rPr>
          <w:color w:val="1E1E1E"/>
          <w:sz w:val="18"/>
        </w:rPr>
        <w:t>O art. 37, IX, da Constituição do Brasil autoriza contratações, sem concurso público, desde que indispensáveis ao atendimento de necessidade temporária de excepcional interesse público, quer para o desempenho das atividades de caráter eventual, temporário ou excepcional, quer para o desempenho das atividades de caráter regular e permanente. A alegada inércia da administração não pode ser punida em detrimento do interesse público, que ocorre quando colocado em risco o princípio da continuidade da atividade estatal.</w:t>
      </w:r>
    </w:p>
    <w:p>
      <w:pPr>
        <w:ind w:left="288"/>
      </w:pPr>
      <w:r>
        <w:rPr>
          <w:b/>
          <w:color w:val="003CA0"/>
          <w:sz w:val="16"/>
        </w:rPr>
        <w:t>[ADI 3.068, red. do ac. min. Eros Grau, rel. min. Marco Aurélio, j. 25-8-2004, P, DJ de 23-9-2005.]</w:t>
      </w:r>
    </w:p>
    <w:p>
      <w:pPr>
        <w:ind w:left="288"/>
      </w:pPr>
      <w:r>
        <w:rPr>
          <w:color w:val="8C8C8C"/>
          <w:sz w:val="12"/>
        </w:rPr>
        <w:t>cf-art-37-inc-IX</w:t>
      </w:r>
      <w:r>
        <w:rPr>
          <w:color w:val="003CA0"/>
          <w:sz w:val="12"/>
        </w:rPr>
        <w:t xml:space="preserve"> | ADI 3.247</w:t>
      </w:r>
      <w:r>
        <w:rPr>
          <w:color w:val="003CA0"/>
          <w:sz w:val="12"/>
        </w:rPr>
        <w:t xml:space="preserve"> | rel. Cármen Lúcia</w:t>
      </w:r>
    </w:p>
    <w:p>
      <w:pPr>
        <w:ind w:left="288"/>
      </w:pPr>
      <w:r>
        <w:rPr>
          <w:color w:val="1E1E1E"/>
          <w:sz w:val="18"/>
        </w:rPr>
        <w:t>= ADI 3.247, rel. min. Cármen Lúcia, j. 26-3-2014, P, DJE de 18-8-2014 A regra é a admissão de servidor público mediante concurso público: CF, art. 37, II. As duas exceções à regra são para os cargos em comissão referidos no inciso II do art. 37, e a contratação de pessoal por tempo determinado para atender a necessidade temporária de excepcional interesse público. CF, art. 37, IX. Nessa hipótese, deverão ser atendidas as seguintes condições: a) previsão em lei dos cargos; b) tempo determinado; c) necessidade temporária de interesse público; d) interesse público excepcional.</w:t>
      </w:r>
    </w:p>
    <w:p>
      <w:pPr>
        <w:ind w:left="288"/>
      </w:pPr>
      <w:r>
        <w:rPr>
          <w:b/>
          <w:color w:val="003CA0"/>
          <w:sz w:val="16"/>
        </w:rPr>
        <w:t>[ADI 2.229, rel. min. Carlos Velloso, j. 9-6-2004, P, DJ de 25-6-2004.]</w:t>
      </w:r>
    </w:p>
    <w:p>
      <w:pPr>
        <w:ind w:left="288"/>
      </w:pPr>
      <w:r>
        <w:rPr>
          <w:color w:val="8C8C8C"/>
          <w:sz w:val="12"/>
        </w:rPr>
        <w:t>cf-art-37-inc-IX</w:t>
      </w:r>
      <w:r>
        <w:rPr>
          <w:color w:val="003CA0"/>
          <w:sz w:val="12"/>
        </w:rPr>
        <w:t xml:space="preserve"> | ADI 3.430</w:t>
      </w:r>
      <w:r>
        <w:rPr>
          <w:color w:val="003CA0"/>
          <w:sz w:val="12"/>
        </w:rPr>
        <w:t xml:space="preserve"> | rel. Ricardo Lewandowski</w:t>
      </w:r>
    </w:p>
    <w:p>
      <w:pPr>
        <w:ind w:left="288"/>
      </w:pPr>
      <w:r>
        <w:rPr>
          <w:color w:val="1E1E1E"/>
          <w:sz w:val="18"/>
        </w:rPr>
        <w:t>= ADI 3.430, rel. min. Ricardo Lewandowski, j. 12-8-2009, P, DJE de 23-10-2009 Vide RE 658.026, rel. min. Dias Toffoli, j. 9-4-2014, P, DJE de 31-10-2014, Tema 612 Servidor público: contratação temporária excepcional (CF, art. 37, IX): inconstitucionalidade de sua aplicação para a admissão de servidores para funções burocráticas ordinárias e permanentes.</w:t>
      </w:r>
    </w:p>
    <w:p>
      <w:pPr>
        <w:ind w:left="288"/>
      </w:pPr>
      <w:r>
        <w:rPr>
          <w:b/>
          <w:color w:val="003CA0"/>
          <w:sz w:val="16"/>
        </w:rPr>
        <w:t>[ADI 2.987, rel. min. Sepúlveda Pertence, j. 19-2-2004, P, DJ de 2-4-2004.]</w:t>
      </w:r>
    </w:p>
    <w:p>
      <w:pPr>
        <w:ind w:left="288"/>
      </w:pPr>
      <w:r>
        <w:rPr>
          <w:color w:val="8C8C8C"/>
          <w:sz w:val="12"/>
        </w:rPr>
        <w:t>cf-art-37-inc-IX</w:t>
      </w:r>
      <w:r>
        <w:rPr>
          <w:color w:val="003CA0"/>
          <w:sz w:val="12"/>
        </w:rPr>
        <w:t xml:space="preserve"> | ADI 3.430</w:t>
      </w:r>
      <w:r>
        <w:rPr>
          <w:color w:val="003CA0"/>
          <w:sz w:val="12"/>
        </w:rPr>
        <w:t xml:space="preserve"> | rel. Ricardo Lewandowski</w:t>
      </w:r>
    </w:p>
    <w:p>
      <w:pPr>
        <w:ind w:left="288"/>
      </w:pPr>
      <w:r>
        <w:rPr>
          <w:color w:val="1E1E1E"/>
          <w:sz w:val="18"/>
        </w:rPr>
        <w:t>= ADI 3.430, rel. min. Ricardo Lewandowski, j. 12-8-2009, P, DJE de 23-10-2009 “O prazo bienal para ajuizamento de ação, previsto na parte final do art. 7º, XXIX, da Constituição Federal, não se aplica aos servidores temporários que tiveram seus contratos declarados nulos, por se tratarem de ocupantes de cargos públicos regidos por vínculo de natureza jurídico-administrativa. Nesses casos, incide o prazo prescricional quinquenal, nos termos do art. 1º do Decreto nº 20.910/1932."</w:t>
      </w:r>
    </w:p>
    <w:p>
      <w:pPr>
        <w:ind w:left="288"/>
      </w:pPr>
      <w:r>
        <w:rPr>
          <w:b/>
          <w:color w:val="003CA0"/>
          <w:sz w:val="16"/>
        </w:rPr>
        <w:t>[RE 1.336.848, rel. min. Gilmar Mendes, j. 01.09.2025, P, DJE de 09.09.2025, Tema 1.189, com mérito julgado.]</w:t>
      </w:r>
    </w:p>
    <w:p>
      <w:pPr>
        <w:ind w:left="288"/>
      </w:pPr>
      <w:r>
        <w:rPr>
          <w:color w:val="8C8C8C"/>
          <w:sz w:val="12"/>
        </w:rPr>
        <w:t>cf-art-37-inc-IX</w:t>
      </w:r>
      <w:r>
        <w:rPr>
          <w:color w:val="003CA0"/>
          <w:sz w:val="12"/>
        </w:rPr>
        <w:t xml:space="preserve"> | RE 1.500.990</w:t>
      </w:r>
      <w:r>
        <w:rPr>
          <w:color w:val="003CA0"/>
          <w:sz w:val="12"/>
        </w:rPr>
        <w:t xml:space="preserve"> | rel. Luís Roberto Barroso</w:t>
      </w:r>
    </w:p>
    <w:p>
      <w:pPr>
        <w:ind w:left="288"/>
      </w:pPr>
      <w:r>
        <w:rPr>
          <w:color w:val="1E1E1E"/>
          <w:sz w:val="18"/>
        </w:rPr>
        <w:t>“O regime administrativo-remuneratório da contratação temporária é diverso do regime jurídico dos servidores efetivos, sendo vedada a extensão por decisão judicial de parcelas de qualquer natureza, observado o Tema 551/RG”.</w:t>
      </w:r>
    </w:p>
    <w:p>
      <w:pPr>
        <w:ind w:left="288"/>
      </w:pPr>
      <w:r>
        <w:rPr>
          <w:b/>
          <w:color w:val="003CA0"/>
          <w:sz w:val="16"/>
        </w:rPr>
        <w:t>[RE 1.500.990 RG, rel. min. Luís Roberto Barroso, j. 25.10.2024, P, DJE de 06.11.2024, Tema 1.344, com mérito julgado.]</w:t>
      </w:r>
    </w:p>
    <w:p>
      <w:pPr>
        <w:ind w:left="288"/>
      </w:pPr>
      <w:r>
        <w:rPr>
          <w:color w:val="8C8C8C"/>
          <w:sz w:val="12"/>
        </w:rPr>
        <w:t>cf-art-37-inc-IX</w:t>
      </w:r>
      <w:r>
        <w:rPr>
          <w:color w:val="003CA0"/>
          <w:sz w:val="12"/>
        </w:rPr>
        <w:t xml:space="preserve"> | RE 1.500.990</w:t>
      </w:r>
      <w:r>
        <w:rPr>
          <w:color w:val="003CA0"/>
          <w:sz w:val="12"/>
        </w:rPr>
        <w:t xml:space="preserve"> | rel. Luís Roberto Barroso</w:t>
      </w:r>
    </w:p>
    <w:p>
      <w:pPr>
        <w:ind w:left="288"/>
      </w:pPr>
      <w:r>
        <w:rPr>
          <w:color w:val="1E1E1E"/>
          <w:sz w:val="18"/>
        </w:rPr>
        <w:t>“O regime administrativo-remuneratório da contratação temporária é diverso do regime jurídico dos servidores efetivos, sendo vedada a extensão por decisão judicial de parcelas de qualquer natureza, observado o Tema 551/RG”.</w:t>
      </w:r>
    </w:p>
    <w:p>
      <w:pPr>
        <w:ind w:left="288"/>
      </w:pPr>
      <w:r>
        <w:rPr>
          <w:b/>
          <w:color w:val="003CA0"/>
          <w:sz w:val="16"/>
        </w:rPr>
        <w:t>[RE 1.500.990 RG, rel. min. Luís Roberto Barroso, j. 25.10.2024, P, DJE de 06.11.2024, Tema 1.344, com mérito julgado.]</w:t>
      </w:r>
    </w:p>
    <w:p>
      <w:pPr>
        <w:ind w:left="144"/>
      </w:pPr>
      <w:r>
        <w:rPr>
          <w:b/>
          <w:color w:val="B45A00"/>
          <w:sz w:val="16"/>
        </w:rPr>
        <w:t>REPERCUSSAO GERAL</w:t>
      </w:r>
    </w:p>
    <w:p>
      <w:pPr>
        <w:ind w:left="288"/>
      </w:pPr>
      <w:r>
        <w:rPr>
          <w:color w:val="8C8C8C"/>
          <w:sz w:val="12"/>
        </w:rPr>
        <w:t>cf-art-37-inc-IX</w:t>
      </w:r>
      <w:r>
        <w:rPr>
          <w:color w:val="003CA0"/>
          <w:sz w:val="12"/>
        </w:rPr>
        <w:t xml:space="preserve"> | RE 1.066.677</w:t>
      </w:r>
      <w:r>
        <w:rPr>
          <w:color w:val="003CA0"/>
          <w:sz w:val="12"/>
        </w:rPr>
        <w:t xml:space="preserve"> | rel. Marco Aurélio</w:t>
      </w:r>
    </w:p>
    <w:p>
      <w:pPr>
        <w:ind w:left="288"/>
      </w:pPr>
      <w:r>
        <w:rPr>
          <w:color w:val="1E1E1E"/>
          <w:sz w:val="18"/>
        </w:rPr>
        <w:t>Servidores temporários não fazem jus a décimo terceiro salário e férias remuneradas acrescidas do terço constitucional, salvo (I) expressa previsão legal e/ou contratual em sentido contrário, ou (II) comprovado desvirtuamento da contratação temporária pela Administração Pública, em razão de sucessivas e reiteradas renovações e/ou prorrogações.</w:t>
      </w:r>
    </w:p>
    <w:p>
      <w:pPr>
        <w:ind w:left="288"/>
      </w:pPr>
      <w:r>
        <w:rPr>
          <w:b/>
          <w:color w:val="003CA0"/>
          <w:sz w:val="16"/>
        </w:rPr>
        <w:t>[RE 1.066.677, rel. min. Marco Aurélio, j. 22-5-2020, P, DJE de 1º-7-2020, Tema 551, com mérito julgado.]</w:t>
      </w:r>
    </w:p>
    <w:p>
      <w:pPr>
        <w:ind w:left="288"/>
      </w:pPr>
      <w:r>
        <w:rPr>
          <w:color w:val="8C8C8C"/>
          <w:sz w:val="12"/>
        </w:rPr>
        <w:t>cf-art-37-inc-IX</w:t>
      </w:r>
      <w:r>
        <w:rPr>
          <w:color w:val="003CA0"/>
          <w:sz w:val="12"/>
        </w:rPr>
        <w:t xml:space="preserve"> | RE 635.648</w:t>
      </w:r>
      <w:r>
        <w:rPr>
          <w:color w:val="003CA0"/>
          <w:sz w:val="12"/>
        </w:rPr>
        <w:t xml:space="preserve"> | rel. Edson Fachin</w:t>
      </w:r>
    </w:p>
    <w:p>
      <w:pPr>
        <w:ind w:left="288"/>
      </w:pPr>
      <w:r>
        <w:rPr>
          <w:color w:val="1E1E1E"/>
          <w:sz w:val="18"/>
        </w:rPr>
        <w:t>É compatível com a CF a previsão legal que exija o transcurso de 24 meses, contados do término do contrato, antes de nova admissão de professor temporário anteriormente contratado.</w:t>
        <w:br/>
        <w:t>[RE 635.648, voto do rel. min. Edson Fachin, j. 14-6-2017, P, DJE de 12-9-2017, Tema 403, com mérito julgado.] Reafirma-se, para fins de repercussão geral, a jurisprudência do STF no sentido de que a contratação por tempo determinado para atendimento de necessidade temporária de excepcional interesse público realizada em desconformidade com os preceitos do art. 37, IX, da CF não gera quaisquer efeitos jurídicos váli</w:t>
      </w:r>
    </w:p>
    <w:p>
      <w:pPr>
        <w:ind w:left="288"/>
      </w:pPr>
      <w:r>
        <w:rPr>
          <w:b/>
          <w:color w:val="003CA0"/>
          <w:sz w:val="16"/>
        </w:rPr>
        <w:t>[RE 658.026, rel. min. Dias Toffoli, j. 9-4-2014, P, DJE de 31-10-2014, Tema 612, com mérito julgado.]</w:t>
      </w:r>
    </w:p>
    <w:p>
      <w:pPr>
        <w:ind w:left="288"/>
      </w:pPr>
      <w:r>
        <w:rPr>
          <w:color w:val="8C8C8C"/>
          <w:sz w:val="12"/>
        </w:rPr>
        <w:t>cf-art-37-inc-IX</w:t>
      </w:r>
      <w:r>
        <w:rPr>
          <w:color w:val="003CA0"/>
          <w:sz w:val="12"/>
        </w:rPr>
        <w:t xml:space="preserve"> | ADI 2.229</w:t>
      </w:r>
      <w:r>
        <w:rPr>
          <w:color w:val="003CA0"/>
          <w:sz w:val="12"/>
        </w:rPr>
        <w:t xml:space="preserve"> | rel. Carlos Velloso</w:t>
      </w:r>
    </w:p>
    <w:p>
      <w:pPr>
        <w:ind w:left="288"/>
      </w:pPr>
      <w:r>
        <w:rPr>
          <w:color w:val="1E1E1E"/>
          <w:sz w:val="18"/>
        </w:rPr>
        <w:t>Vide ADI 2.229, rel. min. Carlos Velloso, j. 9-6-2004, P, DJ de 25-6-2004</w:t>
        <w:br/>
        <w:t>Vide RE 765.320 RG, rel. min. Teori Zavascki, j. 15-9-2016, P, DJE de 23-9-2016, Tema 916, com mérito julgado. Compete à Justiça comum processar e julgar causas instauradas entre o poder público e seus servidores submetidos a regime especial disciplinado por lei local editada antes da Constituição Republicana de 1988, com fundamento no art. 106 da Constituição de 1967, na redação que lhe deu a EC 1/1969, ou no art. 37, IX, da Constituição de 1988.</w:t>
        <w:br/>
        <w:t>[RE 573.202, rel. min. Ricardo Lewandowski, j. 21-8-2008, P, DJE de 5-12-2</w:t>
      </w:r>
    </w:p>
    <w:p>
      <w:pPr>
        <w:ind w:left="288"/>
      </w:pPr>
      <w:r>
        <w:rPr>
          <w:b/>
          <w:color w:val="003CA0"/>
          <w:sz w:val="16"/>
        </w:rPr>
        <w:t>[Rcl 57.848, rel. min. Luiz Fux, j. 23.09.2025, P, Informativo STF 1.192.]</w:t>
      </w:r>
    </w:p>
    <w:p>
      <w:pPr>
        <w:ind w:left="288"/>
      </w:pPr>
      <w:r>
        <w:rPr>
          <w:color w:val="8C8C8C"/>
          <w:sz w:val="12"/>
        </w:rPr>
        <w:t>cf-art-37-inc-IX</w:t>
      </w:r>
      <w:r>
        <w:rPr>
          <w:color w:val="003CA0"/>
          <w:sz w:val="12"/>
        </w:rPr>
        <w:t xml:space="preserve"> | RE 684.612</w:t>
      </w:r>
      <w:r>
        <w:rPr>
          <w:color w:val="003CA0"/>
          <w:sz w:val="12"/>
        </w:rPr>
        <w:t xml:space="preserve"> | rel. Flávio Dino</w:t>
      </w:r>
    </w:p>
    <w:p>
      <w:pPr>
        <w:ind w:left="288"/>
      </w:pPr>
      <w:r>
        <w:rPr>
          <w:color w:val="1E1E1E"/>
          <w:sz w:val="18"/>
        </w:rPr>
        <w:t>Os convênios, especialmente no contexto da Administração Pública municipal, possuem características intrínsecas que os qualificam como circunstâncias de necessidade excepcional e transitória. É fundamental distinguir a permanência da atividade-fim (saúde, assistência social) da transitoriedade e excepcionalidade da necessidade de contratação de pessoal pelo Município para a execução desses programas por meio de convênios, cuja continuidade depende de repasses de recursos e da manutenção das políticas pelos entes conveniados. A exigência de criação de cargos de provimento efetivo para atender a</w:t>
      </w:r>
    </w:p>
    <w:p>
      <w:pPr>
        <w:ind w:left="288"/>
      </w:pPr>
      <w:r>
        <w:rPr>
          <w:b/>
          <w:color w:val="003CA0"/>
          <w:sz w:val="16"/>
        </w:rPr>
        <w:t>[RE 1.543.843 AgR, rel. min. Flávio Dino, j. 12.08.2025, 1ª T, DJE de 18.08.2025.]</w:t>
      </w:r>
    </w:p>
    <w:p>
      <w:pPr>
        <w:ind w:left="288"/>
      </w:pPr>
      <w:r>
        <w:rPr>
          <w:color w:val="8C8C8C"/>
          <w:sz w:val="12"/>
        </w:rPr>
        <w:t>cf-art-37-inc-IX</w:t>
      </w:r>
      <w:r>
        <w:rPr>
          <w:color w:val="003CA0"/>
          <w:sz w:val="12"/>
        </w:rPr>
        <w:t xml:space="preserve"> | RCL 76.962</w:t>
      </w:r>
      <w:r>
        <w:rPr>
          <w:color w:val="003CA0"/>
          <w:sz w:val="12"/>
        </w:rPr>
        <w:t xml:space="preserve"> | rel. Flávio Dino</w:t>
      </w:r>
    </w:p>
    <w:p>
      <w:pPr>
        <w:ind w:left="288"/>
      </w:pPr>
      <w:r>
        <w:rPr>
          <w:color w:val="1E1E1E"/>
          <w:sz w:val="18"/>
        </w:rPr>
        <w:t>A contratação temporária, prevista no art. 37, IX, da Constituição Federal, é constitucional, desde que observados os requisitos legais. O fato de ser utilizada para atividades permanentes não configura, por si só, preterição ilegal de candidatos aprovados em concurso público.</w:t>
      </w:r>
    </w:p>
    <w:p>
      <w:pPr>
        <w:ind w:left="288"/>
      </w:pPr>
      <w:r>
        <w:rPr>
          <w:b/>
          <w:color w:val="003CA0"/>
          <w:sz w:val="16"/>
        </w:rPr>
        <w:t>[Rcl 76.962 AgR, rel. min. Flávio Dino, j. 07.04.2025, 1ª T, DJE de 15.04.2025.]</w:t>
      </w:r>
    </w:p>
    <w:p>
      <w:pPr>
        <w:ind w:left="288"/>
      </w:pPr>
      <w:r>
        <w:rPr>
          <w:color w:val="8C8C8C"/>
          <w:sz w:val="12"/>
        </w:rPr>
        <w:t>cf-art-37-inc-IX</w:t>
      </w:r>
      <w:r>
        <w:rPr>
          <w:color w:val="003CA0"/>
          <w:sz w:val="12"/>
        </w:rPr>
        <w:t xml:space="preserve"> | ARE 1.493.344</w:t>
      </w:r>
      <w:r>
        <w:rPr>
          <w:color w:val="003CA0"/>
          <w:sz w:val="12"/>
        </w:rPr>
        <w:t xml:space="preserve"> | rel. Edson Fachin</w:t>
      </w:r>
    </w:p>
    <w:p>
      <w:pPr>
        <w:ind w:left="288"/>
      </w:pPr>
      <w:r>
        <w:rPr>
          <w:color w:val="1E1E1E"/>
          <w:sz w:val="18"/>
        </w:rPr>
        <w:t>A verba referente ao adicional de insalubridade não está abarcada nas verbas trabalhistas mencionadas na ressalva do Tema 551 da sistemática de repercussão geral, de modo que indevida ao servidor temporário cujo vínculo foi declarado irregular em razão do comprovado desvirtuamento advindo de sucessivas e reiteradas renovações e/ou prorrogações, a partir de hermenêutica conjunta ao Tema 916 da repercussão geral.</w:t>
      </w:r>
    </w:p>
    <w:p>
      <w:pPr>
        <w:ind w:left="288"/>
      </w:pPr>
      <w:r>
        <w:rPr>
          <w:b/>
          <w:color w:val="003CA0"/>
          <w:sz w:val="16"/>
        </w:rPr>
        <w:t>[ARE 1.493.344 AgR-ED-AgR, rel. min. Edson Fachin, j. 31.03.2025, 2ª T, DJE de 08.04.2025.]</w:t>
      </w:r>
    </w:p>
    <w:p>
      <w:pPr>
        <w:ind w:left="144"/>
      </w:pPr>
      <w:r>
        <w:rPr>
          <w:b/>
          <w:color w:val="B45A00"/>
          <w:sz w:val="16"/>
        </w:rPr>
        <w:t>JULGADOS CORRELATOS</w:t>
      </w:r>
    </w:p>
    <w:p>
      <w:pPr>
        <w:ind w:left="288"/>
      </w:pPr>
      <w:r>
        <w:rPr>
          <w:color w:val="8C8C8C"/>
          <w:sz w:val="12"/>
        </w:rPr>
        <w:t>cf-art-37-inc-IX</w:t>
      </w:r>
      <w:r>
        <w:rPr>
          <w:color w:val="003CA0"/>
          <w:sz w:val="12"/>
        </w:rPr>
        <w:t xml:space="preserve"> | RE 781-826</w:t>
      </w:r>
      <w:r>
        <w:rPr>
          <w:color w:val="003CA0"/>
          <w:sz w:val="12"/>
        </w:rPr>
        <w:t xml:space="preserve"> | rel. Dias Toffoli</w:t>
      </w:r>
    </w:p>
    <w:p>
      <w:pPr>
        <w:ind w:left="288"/>
      </w:pPr>
      <w:r>
        <w:rPr>
          <w:color w:val="1E1E1E"/>
          <w:sz w:val="18"/>
        </w:rPr>
        <w:t>Lei do Município de Ilhabela 717/2009. (...) A lei impugnada, na realidade, não regulamenta contratação temporária, mas sim aspecto de bolsa concedida em âmbito de programa que tem cunho pedagógico. O fato de o bolsista, em caráter eventual, ter de realizar colaboração surge como contrapartida da sua participação no programa, o que não apresenta qualquer irrazoabilidade.</w:t>
      </w:r>
    </w:p>
    <w:p>
      <w:pPr>
        <w:ind w:left="288"/>
      </w:pPr>
      <w:r>
        <w:rPr>
          <w:b/>
          <w:color w:val="003CA0"/>
          <w:sz w:val="16"/>
        </w:rPr>
        <w:t>[RE 781-826 AgR, rel. min. Dias Toffoli, j. 20-4-2018, 2ª T, DJE de 15-5-2018.]</w:t>
      </w:r>
    </w:p>
    <w:p>
      <w:pPr>
        <w:ind w:left="288"/>
      </w:pPr>
      <w:r>
        <w:rPr>
          <w:color w:val="8C8C8C"/>
          <w:sz w:val="12"/>
        </w:rPr>
        <w:t>cf-art-37-inc-IX</w:t>
      </w:r>
      <w:r>
        <w:rPr>
          <w:color w:val="003CA0"/>
          <w:sz w:val="12"/>
        </w:rPr>
        <w:t xml:space="preserve"> | ARE 649.393</w:t>
      </w:r>
      <w:r>
        <w:rPr>
          <w:color w:val="003CA0"/>
          <w:sz w:val="12"/>
        </w:rPr>
        <w:t xml:space="preserve"> | rel. Cármen Lúcia</w:t>
      </w:r>
    </w:p>
    <w:p>
      <w:pPr>
        <w:ind w:left="288"/>
      </w:pPr>
      <w:r>
        <w:rPr>
          <w:color w:val="1E1E1E"/>
          <w:sz w:val="18"/>
        </w:rPr>
        <w:t>(...) em caso análogo ao que ora se debate, este STF assentou que é devida a extensão de direito previsto no art. 7º da Constituição da República a servidor contratado temporariamente com base em lei local regulamentadora do art. 37, IX, da Constituição, principalmente nos casos de contratos sucessivamente prorrogados.</w:t>
        <w:br/>
        <w:t>[ARE 649.393 AgR, voto da rel. min. Cármen Lúcia, j. 22-11-2011, 1ª T, DJE de 14-12-2011.]</w:t>
        <w:br/>
        <w:t>= ARE 664.484 AgR, rel. min. Gilmar Mendes, j. 5-2-2013, 2ª T, DJE de 25-2-2013 (...) ressalto que, em casos análogos, esta Suprema Corte tem reconhecido que a existência de leis municipai</w:t>
      </w:r>
    </w:p>
    <w:p>
      <w:pPr>
        <w:ind w:left="288"/>
      </w:pPr>
      <w:r>
        <w:rPr>
          <w:b/>
          <w:color w:val="003CA0"/>
          <w:sz w:val="16"/>
        </w:rPr>
        <w:t>[HC 104.078, voto do rel. min. Gilmar Mendes, j. 7-6-2011, 2ª T, DJE de 5-8-2011.]</w:t>
      </w:r>
    </w:p>
    <w:p>
      <w:pPr>
        <w:ind w:left="288"/>
      </w:pPr>
      <w:r>
        <w:rPr>
          <w:color w:val="8C8C8C"/>
          <w:sz w:val="12"/>
        </w:rPr>
        <w:t>cf-art-37-inc-IX</w:t>
      </w:r>
      <w:r>
        <w:rPr>
          <w:color w:val="003CA0"/>
          <w:sz w:val="12"/>
        </w:rPr>
        <w:t xml:space="preserve"> | AI 684.518</w:t>
      </w:r>
      <w:r>
        <w:rPr>
          <w:color w:val="003CA0"/>
          <w:sz w:val="12"/>
        </w:rPr>
        <w:t xml:space="preserve"> | rel. Eros Grau</w:t>
      </w:r>
    </w:p>
    <w:p>
      <w:pPr>
        <w:ind w:left="288"/>
      </w:pPr>
      <w:r>
        <w:rPr>
          <w:color w:val="1E1E1E"/>
          <w:sz w:val="18"/>
        </w:rPr>
        <w:t>O STF fixou entendimento no sentido de que, comprovada a necessidade de contratação de pessoal, deve-se nomear os candidatos aprovados no certame em vigor em detrimento da renovação de contrato temporário.</w:t>
      </w:r>
    </w:p>
    <w:p>
      <w:pPr>
        <w:ind w:left="288"/>
      </w:pPr>
      <w:r>
        <w:rPr>
          <w:b/>
          <w:color w:val="003CA0"/>
          <w:sz w:val="16"/>
        </w:rPr>
        <w:t>[AI 684.518 AgR, rel. min. Eros Grau, j. 28-4-2009, 2ª T, DJE de 29-5-2009.]</w:t>
      </w:r>
    </w:p>
    <w:p>
      <w:pPr>
        <w:ind w:left="288"/>
      </w:pPr>
      <w:r>
        <w:rPr>
          <w:color w:val="8C8C8C"/>
          <w:sz w:val="12"/>
        </w:rPr>
        <w:t>cf-art-37-inc-IX</w:t>
      </w:r>
      <w:r>
        <w:rPr>
          <w:color w:val="003CA0"/>
          <w:sz w:val="12"/>
        </w:rPr>
        <w:t xml:space="preserve"> | RE 555.141</w:t>
      </w:r>
      <w:r>
        <w:rPr>
          <w:color w:val="003CA0"/>
          <w:sz w:val="12"/>
        </w:rPr>
        <w:t xml:space="preserve"> | rel. Ellen Gracie</w:t>
      </w:r>
    </w:p>
    <w:p>
      <w:pPr>
        <w:ind w:left="288"/>
      </w:pPr>
      <w:r>
        <w:rPr>
          <w:color w:val="1E1E1E"/>
          <w:sz w:val="18"/>
        </w:rPr>
        <w:t xml:space="preserve">= RE 555.141 AgR, rel. min. Ellen Gracie, j. 8-2-2011, 2ª T, DJE de 24-2-2011 Servidores públicos. Regime temporário. Justiça do Trabalho. Incompetência. No julgamento da ADI 3.395 MC/DF, este Supremo Tribunal suspendeu toda e qualquer interpretação do inciso I do art. 114 da CF (na redação da EC 45/2004) que inserisse, na competência da Justiça do Trabalho, a apreciação de causas instauradas entre o poder público e seus servidores, a ele vinculados por típica relação de ordem estatutária ou de caráter jurídico-administrativo. As contratações temporárias para suprir os serviços públicos estão </w:t>
      </w:r>
    </w:p>
    <w:p>
      <w:pPr>
        <w:ind w:left="288"/>
      </w:pPr>
      <w:r>
        <w:rPr>
          <w:b/>
          <w:color w:val="003CA0"/>
          <w:sz w:val="16"/>
        </w:rPr>
        <w:t>[Rcl 4.872, red. do ac. min. Menezes Direito, rel. min. Marco Aurélio, j. 21-8-2008, P, DJE de 7-11-2008.]</w:t>
      </w:r>
    </w:p>
    <w:p>
      <w:pPr>
        <w:ind w:left="288"/>
      </w:pPr>
      <w:r>
        <w:rPr>
          <w:color w:val="8C8C8C"/>
          <w:sz w:val="12"/>
        </w:rPr>
        <w:t>cf-art-37-inc-IX</w:t>
      </w:r>
      <w:r>
        <w:rPr>
          <w:color w:val="003CA0"/>
          <w:sz w:val="12"/>
        </w:rPr>
        <w:t xml:space="preserve"> | RCL 7.126</w:t>
      </w:r>
      <w:r>
        <w:rPr>
          <w:color w:val="003CA0"/>
          <w:sz w:val="12"/>
        </w:rPr>
        <w:t xml:space="preserve"> | rel. Joaquim Barbosa</w:t>
      </w:r>
    </w:p>
    <w:p>
      <w:pPr>
        <w:ind w:left="288"/>
      </w:pPr>
      <w:r>
        <w:rPr>
          <w:color w:val="1E1E1E"/>
          <w:sz w:val="18"/>
        </w:rPr>
        <w:t>= Rcl 7.126 AgR, rel. min. Joaquim Barbosa, j. 20-6-2012, P, DJE de 1º-8-2012 X - a remuneração dos servidores públicos e o subsídio de que trata o § 4º do art. 39 somente poderão ser fixados ou alterados por lei específica, observada a iniciativa privativa em cada caso, assegurada revisão geral anual, sempre na mesma data e sem distinção de índices; (Redação da EC 19/1998)</w:t>
      </w:r>
    </w:p>
    <w:p>
      <w:pPr>
        <w:ind w:left="144"/>
      </w:pPr>
      <w:r>
        <w:rPr>
          <w:b/>
          <w:color w:val="B45A00"/>
          <w:sz w:val="16"/>
        </w:rPr>
        <w:t>SUMULA VINCULANTE</w:t>
      </w:r>
    </w:p>
    <w:p>
      <w:pPr>
        <w:ind w:left="288"/>
      </w:pPr>
      <w:r>
        <w:rPr>
          <w:color w:val="8C8C8C"/>
          <w:sz w:val="12"/>
        </w:rPr>
        <w:t>cf-art-37-inc-IX</w:t>
      </w:r>
    </w:p>
    <w:p>
      <w:pPr>
        <w:ind w:left="288"/>
      </w:pPr>
      <w:r>
        <w:rPr>
          <w:color w:val="1E1E1E"/>
          <w:sz w:val="18"/>
        </w:rPr>
        <w:t>O reajuste de 28,86%, concedido aos servidores militares pelas Leis 8.622/1993 e 8.627/1993, estende-se aos servidores civis do Poder Executivo, observadas as eventuais compensações decorrentes dos reajustes diferenciados concedidos pelos mesmos diplomas legais.</w:t>
      </w:r>
    </w:p>
    <w:p>
      <w:pPr>
        <w:ind w:left="288"/>
      </w:pPr>
      <w:r>
        <w:rPr>
          <w:b/>
          <w:color w:val="003CA0"/>
          <w:sz w:val="16"/>
        </w:rPr>
        <w:t>[Súmula Vinculante 51.]</w:t>
      </w:r>
    </w:p>
    <w:p>
      <w:pPr>
        <w:ind w:left="288"/>
      </w:pPr>
      <w:r>
        <w:rPr>
          <w:color w:val="8C8C8C"/>
          <w:sz w:val="12"/>
        </w:rPr>
        <w:t>cf-art-37-inc-IX</w:t>
      </w:r>
    </w:p>
    <w:p>
      <w:pPr>
        <w:ind w:left="288"/>
      </w:pPr>
      <w:r>
        <w:rPr>
          <w:color w:val="1E1E1E"/>
          <w:sz w:val="18"/>
        </w:rPr>
        <w:t>Não cabe ao poder Judiciário, que não tem função legislativa, aumentar vencimentos de servidores públicos sob o fundamento de isonomia.</w:t>
      </w:r>
    </w:p>
    <w:p>
      <w:pPr>
        <w:ind w:left="288"/>
      </w:pPr>
      <w:r>
        <w:rPr>
          <w:b/>
          <w:color w:val="003CA0"/>
          <w:sz w:val="16"/>
        </w:rPr>
        <w:t>[Súmula Vinculante 37.]</w:t>
      </w:r>
    </w:p>
    <w:p>
      <w:pPr>
        <w:ind w:left="144"/>
      </w:pPr>
      <w:r>
        <w:rPr>
          <w:b/>
          <w:color w:val="B45A00"/>
          <w:sz w:val="16"/>
        </w:rPr>
        <w:t>SUMULA</w:t>
      </w:r>
    </w:p>
    <w:p>
      <w:pPr>
        <w:ind w:left="288"/>
      </w:pPr>
      <w:r>
        <w:rPr>
          <w:color w:val="8C8C8C"/>
          <w:sz w:val="12"/>
        </w:rPr>
        <w:t>cf-art-37-inc-IX</w:t>
      </w:r>
    </w:p>
    <w:p>
      <w:pPr>
        <w:ind w:left="288"/>
      </w:pPr>
      <w:r>
        <w:rPr>
          <w:color w:val="1E1E1E"/>
          <w:sz w:val="18"/>
        </w:rPr>
        <w:t>Não ofende a Constituição a correção monetária no pagamento com atraso dos vencimentos de servidores públicos.</w:t>
      </w:r>
    </w:p>
    <w:p>
      <w:pPr>
        <w:ind w:left="288"/>
      </w:pPr>
      <w:r>
        <w:rPr>
          <w:b/>
          <w:color w:val="003CA0"/>
          <w:sz w:val="16"/>
        </w:rPr>
        <w:t>[Súmula 682.]</w:t>
      </w:r>
    </w:p>
    <w:p>
      <w:pPr>
        <w:ind w:left="288"/>
      </w:pPr>
      <w:r>
        <w:rPr>
          <w:color w:val="8C8C8C"/>
          <w:sz w:val="12"/>
        </w:rPr>
        <w:t>cf-art-37-inc-IX</w:t>
      </w:r>
    </w:p>
    <w:p>
      <w:pPr>
        <w:ind w:left="288"/>
      </w:pPr>
      <w:r>
        <w:rPr>
          <w:color w:val="1E1E1E"/>
          <w:sz w:val="18"/>
        </w:rPr>
        <w:t>A fixação de vencimentos dos servidores públicos não pode ser objeto de convenção coletiva.</w:t>
      </w:r>
    </w:p>
    <w:p>
      <w:pPr>
        <w:ind w:left="288"/>
      </w:pPr>
      <w:r>
        <w:rPr>
          <w:b/>
          <w:color w:val="003CA0"/>
          <w:sz w:val="16"/>
        </w:rPr>
        <w:t>[Súmula 679.]</w:t>
      </w:r>
    </w:p>
    <w:p>
      <w:pPr>
        <w:ind w:left="288"/>
      </w:pPr>
      <w:r>
        <w:rPr>
          <w:color w:val="8C8C8C"/>
          <w:sz w:val="12"/>
        </w:rPr>
        <w:t>cf-art-37-inc-IX</w:t>
      </w:r>
      <w:r>
        <w:rPr>
          <w:color w:val="003CA0"/>
          <w:sz w:val="12"/>
        </w:rPr>
        <w:t xml:space="preserve"> | ADPF 1.230</w:t>
      </w:r>
      <w:r>
        <w:rPr>
          <w:color w:val="003CA0"/>
          <w:sz w:val="12"/>
        </w:rPr>
        <w:t xml:space="preserve"> | rel. Cristiano Zanin</w:t>
      </w:r>
    </w:p>
    <w:p>
      <w:pPr>
        <w:ind w:left="288"/>
      </w:pPr>
      <w:r>
        <w:rPr>
          <w:color w:val="1E1E1E"/>
          <w:sz w:val="18"/>
        </w:rPr>
        <w:t>As Leis estaduais nº 17.597/2012, nº 18.172/2013 e nº 18.417/2014 buscaram conciliar o direito dos servidores com o equilíbrio econômico-financeiro das contas públicas estaduais. O Tribunal de Justiça do Estado de Goiás, ao julgar procedentes diversas ações coletivas e determinar o pagamento de valores retroativos pela revisão geral anual, gerou um impacto orçamentário-financeiro significativo, que pode comprometer a sustentabilidade do orçamento estadual. O equilíbrio fiscal é essencial para a implementação e manutenção de importantes políticas públicas e a garantia dos direitos sociais, conf</w:t>
      </w:r>
    </w:p>
    <w:p>
      <w:pPr>
        <w:ind w:left="288"/>
      </w:pPr>
      <w:r>
        <w:rPr>
          <w:b/>
          <w:color w:val="003CA0"/>
          <w:sz w:val="16"/>
        </w:rPr>
        <w:t>[ADPF 1.230 REF, rel. min. Cristiano Zanin, j. 06.08.2025, P, DJE de 13.08.2025.]</w:t>
      </w:r>
    </w:p>
    <w:p>
      <w:pPr>
        <w:ind w:left="288"/>
      </w:pPr>
      <w:r>
        <w:rPr>
          <w:color w:val="8C8C8C"/>
          <w:sz w:val="12"/>
        </w:rPr>
        <w:t>cf-art-37-inc-IX</w:t>
      </w:r>
      <w:r>
        <w:rPr>
          <w:color w:val="003CA0"/>
          <w:sz w:val="12"/>
        </w:rPr>
        <w:t xml:space="preserve"> | ADI 4.570</w:t>
      </w:r>
      <w:r>
        <w:rPr>
          <w:color w:val="003CA0"/>
          <w:sz w:val="12"/>
        </w:rPr>
        <w:t xml:space="preserve"> | rel. Nunes Marques</w:t>
      </w:r>
    </w:p>
    <w:p>
      <w:pPr>
        <w:ind w:left="288"/>
      </w:pPr>
      <w:r>
        <w:rPr>
          <w:color w:val="1E1E1E"/>
          <w:sz w:val="18"/>
        </w:rPr>
        <w:t>A fixação da remuneração dos servidores da Assembleia Legislativa se dá por lei específica de iniciativa privativa do próprio Poder Legislativo (CF/1988, art. 37, X), sendo inconstitucional a inserção do tema por emenda parlamentar em projeto de lei de iniciativa reservada.</w:t>
      </w:r>
    </w:p>
    <w:p>
      <w:pPr>
        <w:ind w:left="288"/>
      </w:pPr>
      <w:r>
        <w:rPr>
          <w:b/>
          <w:color w:val="003CA0"/>
          <w:sz w:val="16"/>
        </w:rPr>
        <w:t>[ADI 4.570, rel. min. Nunes Marques, j. 31.03.2025, P, DJE de 11.04.2025.]</w:t>
      </w:r>
    </w:p>
    <w:p>
      <w:pPr>
        <w:ind w:left="288"/>
      </w:pPr>
      <w:r>
        <w:rPr>
          <w:color w:val="8C8C8C"/>
          <w:sz w:val="12"/>
        </w:rPr>
        <w:t>cf-art-37-inc-IX</w:t>
      </w:r>
      <w:r>
        <w:rPr>
          <w:color w:val="003CA0"/>
          <w:sz w:val="12"/>
        </w:rPr>
        <w:t xml:space="preserve"> | ADI 6.849</w:t>
      </w:r>
      <w:r>
        <w:rPr>
          <w:color w:val="003CA0"/>
          <w:sz w:val="12"/>
        </w:rPr>
        <w:t xml:space="preserve"> | rel. Dias Toffoli</w:t>
      </w:r>
    </w:p>
    <w:p>
      <w:pPr>
        <w:ind w:left="288"/>
      </w:pPr>
      <w:r>
        <w:rPr>
          <w:color w:val="1E1E1E"/>
          <w:sz w:val="18"/>
        </w:rPr>
        <w:t>Regime próprio de previdência social do Estado do Paraná. Fixação de termo inicial para o pagamento dos benefícios de aposentadoria. Início do pagamento no mês subsequente ao da publicação do ato concessivo. (...) Até que o provento de aposentadoria seja efetivamente pago, o servidor público permanece recebendo seus vencimentos da ativa. Assim, eventual acolhimento da tese suscitada pelo requerente, segundo a qual os proventos deveriam ser pagos desde a data da entrega do requerimento (DET), acarretaria nítida violação do art. 37, § 10, da Constituição, segundo o qual, em regra, é vedada a per</w:t>
      </w:r>
    </w:p>
    <w:p>
      <w:pPr>
        <w:ind w:left="288"/>
      </w:pPr>
      <w:r>
        <w:rPr>
          <w:b/>
          <w:color w:val="003CA0"/>
          <w:sz w:val="16"/>
        </w:rPr>
        <w:t>[ADI 6.849, rel. min. Dias Toffoli, j. 19.11.2024, P, DJE de 02.12.2024.]</w:t>
      </w:r>
    </w:p>
    <w:p>
      <w:pPr>
        <w:ind w:left="288"/>
      </w:pPr>
      <w:r>
        <w:rPr>
          <w:color w:val="8C8C8C"/>
          <w:sz w:val="12"/>
        </w:rPr>
        <w:t>cf-art-37-inc-IX</w:t>
      </w:r>
      <w:r>
        <w:rPr>
          <w:color w:val="003CA0"/>
          <w:sz w:val="12"/>
        </w:rPr>
        <w:t xml:space="preserve"> | ADPF 362</w:t>
      </w:r>
      <w:r>
        <w:rPr>
          <w:color w:val="003CA0"/>
          <w:sz w:val="12"/>
        </w:rPr>
        <w:t xml:space="preserve"> | rel. Alexandre de Moraes</w:t>
      </w:r>
    </w:p>
    <w:p>
      <w:pPr>
        <w:ind w:left="288"/>
      </w:pPr>
      <w:r>
        <w:rPr>
          <w:color w:val="1E1E1E"/>
          <w:sz w:val="18"/>
        </w:rPr>
        <w:t>Ofício 265/1991 do Presidente da Assembleia Legislativa do Estado da Bahia. Exigência de lei específica para concessão de reajuste remuneratório para servidores do poder legislativo. Período anterior ao advento da emenda constitucional 19/98. Desnecessidade. Não atendimento às regras do processo legislativo. Ausência de ato formal da mesa diretora deliberando sobre o aumento concedido. Usurpação de competência. Configuração. (...) A subtração, pelo Presidente da Assembleia Legislativa, das atribuições conferidas à Mesa Diretora sugere haver indevida usurpação de competência, em conflito com os</w:t>
      </w:r>
    </w:p>
    <w:p>
      <w:pPr>
        <w:ind w:left="288"/>
      </w:pPr>
      <w:r>
        <w:rPr>
          <w:b/>
          <w:color w:val="003CA0"/>
          <w:sz w:val="16"/>
        </w:rPr>
        <w:t>[ADI 2.915, rel. min. Nunes Marques, j. 22-8-2023, P, DJE de 13-9-2023.]</w:t>
      </w:r>
    </w:p>
    <w:p>
      <w:pPr>
        <w:ind w:left="288"/>
      </w:pPr>
      <w:r>
        <w:rPr>
          <w:color w:val="8C8C8C"/>
          <w:sz w:val="12"/>
        </w:rPr>
        <w:t>cf-art-37-inc-IX</w:t>
      </w:r>
      <w:r>
        <w:rPr>
          <w:color w:val="003CA0"/>
          <w:sz w:val="12"/>
        </w:rPr>
        <w:t xml:space="preserve"> | ADI 1.156</w:t>
      </w:r>
      <w:r>
        <w:rPr>
          <w:color w:val="003CA0"/>
          <w:sz w:val="12"/>
        </w:rPr>
        <w:t xml:space="preserve"> | rel. Roberto Barroso</w:t>
      </w:r>
    </w:p>
    <w:p>
      <w:pPr>
        <w:ind w:left="288"/>
      </w:pPr>
      <w:r>
        <w:rPr>
          <w:color w:val="1E1E1E"/>
          <w:sz w:val="18"/>
        </w:rPr>
        <w:t>A previsão de índices distintos para a revisão geral anual, a depender do cargo e da sua remuneração, constante do art. 2º, §2º, e do art. 17, §1º, II, da LC nº 15/1993, do Estado da Paraíba, ofende o art. 37, X, da CF/1988. O atingimento do objetivo do art. 37, XII, da CF/1988, de se buscar algum grau de isonomia entre vencimentos em todos os Poderes, ainda que seja relevante, não pode ser buscado pela via da revisão geral anual.</w:t>
        <w:br/>
        <w:t>[ADI 1.156, rel. min. Roberto Barroso, j. 1º-3-2023, P, DJE de 9-3-2023.] Bônus de eficiência e produtividade na atividade tributária e aduaneira e da auditoria-fisc</w:t>
      </w:r>
    </w:p>
    <w:p>
      <w:pPr>
        <w:ind w:left="288"/>
      </w:pPr>
      <w:r>
        <w:rPr>
          <w:b/>
          <w:color w:val="003CA0"/>
          <w:sz w:val="16"/>
        </w:rPr>
        <w:t>[ADI 6.562, rel. min. Gilmar Mendes, j. 9-3-2022, P, DJE de 29-3-2022.]</w:t>
      </w:r>
    </w:p>
    <w:p>
      <w:pPr>
        <w:ind w:left="288"/>
      </w:pPr>
      <w:r>
        <w:rPr>
          <w:color w:val="8C8C8C"/>
          <w:sz w:val="12"/>
        </w:rPr>
        <w:t>cf-art-37-inc-IX</w:t>
      </w:r>
      <w:r>
        <w:rPr>
          <w:color w:val="003CA0"/>
          <w:sz w:val="12"/>
        </w:rPr>
        <w:t xml:space="preserve"> | ADI 345</w:t>
      </w:r>
      <w:r>
        <w:rPr>
          <w:color w:val="003CA0"/>
          <w:sz w:val="12"/>
        </w:rPr>
        <w:t xml:space="preserve"> | rel. Roberto Barroso</w:t>
      </w:r>
    </w:p>
    <w:p>
      <w:pPr>
        <w:ind w:left="288"/>
      </w:pPr>
      <w:r>
        <w:rPr>
          <w:color w:val="1E1E1E"/>
          <w:sz w:val="18"/>
        </w:rPr>
        <w:t>A simples revogação de norma que congelava verbas de servidores públicos não implica em aumento automático de remuneração, salvo se a norma assim dispuser expressamente.</w:t>
      </w:r>
    </w:p>
    <w:p>
      <w:pPr>
        <w:ind w:left="288"/>
      </w:pPr>
      <w:r>
        <w:rPr>
          <w:b/>
          <w:color w:val="003CA0"/>
          <w:sz w:val="16"/>
        </w:rPr>
        <w:t>[ADI 345, rel. min. Roberto Barroso, j. 8-9-2020, P, DJE de 5-11-2020.]</w:t>
      </w:r>
    </w:p>
    <w:p>
      <w:pPr>
        <w:ind w:left="288"/>
      </w:pPr>
      <w:r>
        <w:rPr>
          <w:color w:val="8C8C8C"/>
          <w:sz w:val="12"/>
        </w:rPr>
        <w:t>cf-art-37-inc-IX</w:t>
      </w:r>
      <w:r>
        <w:rPr>
          <w:color w:val="003CA0"/>
          <w:sz w:val="12"/>
        </w:rPr>
        <w:t xml:space="preserve"> | ADI 6.196</w:t>
      </w:r>
      <w:r>
        <w:rPr>
          <w:color w:val="003CA0"/>
          <w:sz w:val="12"/>
        </w:rPr>
        <w:t xml:space="preserve"> | rel. Alexandre de Moraes</w:t>
      </w:r>
    </w:p>
    <w:p>
      <w:pPr>
        <w:ind w:left="288"/>
      </w:pPr>
      <w:r>
        <w:rPr>
          <w:color w:val="1E1E1E"/>
          <w:sz w:val="18"/>
        </w:rPr>
        <w:t>Constitucionalidade do dispositivo legal que prevê a fixação da remuneração de servidores públicos temporários por meio de ato infralegal. A justificativa para a diferença dos critérios de remuneração existente entre o cargo de professor efetivo e a função exercida pelo professor temporário encontra respaldo na própria Constituição Federal (art. 37, II, IX, X), considerando que regimes jurídicos distintos comportam tratamentos diversos.</w:t>
      </w:r>
    </w:p>
    <w:p>
      <w:pPr>
        <w:ind w:left="288"/>
      </w:pPr>
      <w:r>
        <w:rPr>
          <w:b/>
          <w:color w:val="003CA0"/>
          <w:sz w:val="16"/>
        </w:rPr>
        <w:t>[ADI 6.196, rel. min. Alexandre de Moraes, j. 20-3-2020, P, DJE de 2-4-2020.]</w:t>
      </w:r>
    </w:p>
    <w:p>
      <w:pPr>
        <w:ind w:left="288"/>
      </w:pPr>
      <w:r>
        <w:rPr>
          <w:color w:val="8C8C8C"/>
          <w:sz w:val="12"/>
        </w:rPr>
        <w:t>cf-art-37-inc-IX</w:t>
      </w:r>
      <w:r>
        <w:rPr>
          <w:color w:val="003CA0"/>
          <w:sz w:val="12"/>
        </w:rPr>
        <w:t xml:space="preserve"> | ADI 3.968</w:t>
      </w:r>
      <w:r>
        <w:rPr>
          <w:color w:val="003CA0"/>
          <w:sz w:val="12"/>
        </w:rPr>
        <w:t xml:space="preserve"> | rel. Luiz Fux</w:t>
      </w:r>
    </w:p>
    <w:p>
      <w:pPr>
        <w:ind w:left="288"/>
      </w:pPr>
      <w:r>
        <w:rPr>
          <w:color w:val="1E1E1E"/>
          <w:sz w:val="18"/>
        </w:rPr>
        <w:t>O reajuste de remunerações e subsídios por lei específica tem por objeto a readequação da retribuição pecuniária devida pelo exercício de determinado cargo, ajustando-a à realidade das suas responsabilidades, atribuições e mercado de trabalho, enquanto que a revisão geral anual tem por escopo a mera recomposição do poder aquisitivo das remunerações e subsídios de todos os servidores públicos e agentes políticos de determinado ente federativo.</w:t>
      </w:r>
    </w:p>
    <w:p>
      <w:pPr>
        <w:ind w:left="288"/>
      </w:pPr>
      <w:r>
        <w:rPr>
          <w:b/>
          <w:color w:val="003CA0"/>
          <w:sz w:val="16"/>
        </w:rPr>
        <w:t>[ADI 3.968, rel. min. Luiz Fux, j. 29-11-2019, P, DJE de 18-12-2019.]</w:t>
      </w:r>
    </w:p>
    <w:p>
      <w:pPr>
        <w:ind w:left="288"/>
      </w:pPr>
      <w:r>
        <w:rPr>
          <w:color w:val="8C8C8C"/>
          <w:sz w:val="12"/>
        </w:rPr>
        <w:t>cf-art-37-inc-IX</w:t>
      </w:r>
      <w:r>
        <w:rPr>
          <w:color w:val="003CA0"/>
          <w:sz w:val="12"/>
        </w:rPr>
        <w:t xml:space="preserve"> | ADI 5.560</w:t>
      </w:r>
      <w:r>
        <w:rPr>
          <w:color w:val="003CA0"/>
          <w:sz w:val="12"/>
        </w:rPr>
        <w:t xml:space="preserve"> | rel. Rosa Weber</w:t>
      </w:r>
    </w:p>
    <w:p>
      <w:pPr>
        <w:ind w:left="288"/>
      </w:pPr>
      <w:r>
        <w:rPr>
          <w:color w:val="1E1E1E"/>
          <w:sz w:val="18"/>
        </w:rPr>
        <w:t>Lei 10.410/2016 do Estado do Mato Grosso (...). (...) Não há afronta à garantia de irredutibilidade dos vencimentos, ao comando expresso que assegura a Revisão Geral Anual dos servidores públicos sempre na mesma data e sem distinção de índices, nem à vedação do parcelamento de salário. O art. 169, § 1º da Carta Magna veda a concessão de qualquer vantagem ou aumento de remuneração, sem que haja prévia dotação orçamentária suficiente para atender às projeções de despesa de pessoal e aos acréscimos dela decorrentes. A norma impugnada, a um só tempo: (i) garante a revisão; e (ii) efetiva o seu pag</w:t>
      </w:r>
    </w:p>
    <w:p>
      <w:pPr>
        <w:ind w:left="288"/>
      </w:pPr>
      <w:r>
        <w:rPr>
          <w:b/>
          <w:color w:val="003CA0"/>
          <w:sz w:val="16"/>
        </w:rPr>
        <w:t>[ADI 5.560, rel. min. Rosa Weber, j. 18-10-2019, P, DJE de 4-11-2019.]</w:t>
      </w:r>
    </w:p>
    <w:p>
      <w:pPr>
        <w:ind w:left="288"/>
      </w:pPr>
      <w:r>
        <w:rPr>
          <w:color w:val="8C8C8C"/>
          <w:sz w:val="12"/>
        </w:rPr>
        <w:t>cf-art-37-inc-IX</w:t>
      </w:r>
      <w:r>
        <w:rPr>
          <w:color w:val="003CA0"/>
          <w:sz w:val="12"/>
        </w:rPr>
        <w:t xml:space="preserve"> | ADI 1.352</w:t>
      </w:r>
      <w:r>
        <w:rPr>
          <w:color w:val="003CA0"/>
          <w:sz w:val="12"/>
        </w:rPr>
        <w:t xml:space="preserve"> | rel. Edson Fachin</w:t>
      </w:r>
    </w:p>
    <w:p>
      <w:pPr>
        <w:ind w:left="288"/>
      </w:pPr>
      <w:r>
        <w:rPr>
          <w:color w:val="1E1E1E"/>
          <w:sz w:val="18"/>
        </w:rPr>
        <w:t>Processo Administrativo 16.117/1991 do TJDFT. URPS de julho de 1987 a novembro de 1989. Concessão por decisão administrativa. Impossibilidade. Direito adquirido. Inexistência. Procedência da ação direta. A concessão de qualquer benefício remuneratório a servidores públicos exige lei específica, nos termos do art. 37, X, da CF. Precedentes. De acordo com a jurisprudência do STF, não há direito adquirido ao reajuste de 26,06% (Plano Bresser).</w:t>
      </w:r>
    </w:p>
    <w:p>
      <w:pPr>
        <w:ind w:left="288"/>
      </w:pPr>
      <w:r>
        <w:rPr>
          <w:b/>
          <w:color w:val="003CA0"/>
          <w:sz w:val="16"/>
        </w:rPr>
        <w:t>[ADI 1.352, rel. min. Edson Fachin, j. 3-3-2016, P, DJE de 12-5-2016.]</w:t>
      </w:r>
    </w:p>
    <w:p>
      <w:pPr>
        <w:ind w:left="288"/>
      </w:pPr>
      <w:r>
        <w:rPr>
          <w:color w:val="8C8C8C"/>
          <w:sz w:val="12"/>
        </w:rPr>
        <w:t>cf-art-37-inc-IX</w:t>
      </w:r>
      <w:r>
        <w:rPr>
          <w:color w:val="003CA0"/>
          <w:sz w:val="12"/>
        </w:rPr>
        <w:t xml:space="preserve"> | ADI 3.202</w:t>
      </w:r>
      <w:r>
        <w:rPr>
          <w:color w:val="003CA0"/>
          <w:sz w:val="12"/>
        </w:rPr>
        <w:t xml:space="preserve"> | rel. Cármen Lúcia</w:t>
      </w:r>
    </w:p>
    <w:p>
      <w:pPr>
        <w:ind w:left="288"/>
      </w:pPr>
      <w:r>
        <w:rPr>
          <w:color w:val="1E1E1E"/>
          <w:sz w:val="18"/>
        </w:rPr>
        <w:t>Decisão administrativa do TJRN [Tribunal de Justiça do Rio Grande do Norte] (...). Extensão de concessão de gratificação de 100% aos agravantes aos servidores do Tribunal de Justiça. (...) A extensão da gratificação contrariou o inciso X do art. 37 da Constituição da República, pela inobservância de lei formal, promovendo equiparação remuneratória entre servidores, contrariando o art. 37, XIII, da Constituição da República.</w:t>
      </w:r>
    </w:p>
    <w:p>
      <w:pPr>
        <w:ind w:left="288"/>
      </w:pPr>
      <w:r>
        <w:rPr>
          <w:b/>
          <w:color w:val="003CA0"/>
          <w:sz w:val="16"/>
        </w:rPr>
        <w:t>[ADI 3.202, rel. min. Cármen Lúcia, j. 5-2-2014, P, DJE de 21-5-2014.]</w:t>
      </w:r>
    </w:p>
    <w:p>
      <w:pPr>
        <w:ind w:left="288"/>
      </w:pPr>
      <w:r>
        <w:rPr>
          <w:color w:val="8C8C8C"/>
          <w:sz w:val="12"/>
        </w:rPr>
        <w:t>cf-art-37-inc-IX</w:t>
      </w:r>
      <w:r>
        <w:rPr>
          <w:color w:val="003CA0"/>
          <w:sz w:val="12"/>
        </w:rPr>
        <w:t xml:space="preserve"> | ADI 336</w:t>
      </w:r>
      <w:r>
        <w:rPr>
          <w:color w:val="003CA0"/>
          <w:sz w:val="12"/>
        </w:rPr>
        <w:t xml:space="preserve"> | rel. Eros Grau</w:t>
      </w:r>
    </w:p>
    <w:p>
      <w:pPr>
        <w:ind w:left="288"/>
      </w:pPr>
      <w:r>
        <w:rPr>
          <w:color w:val="1E1E1E"/>
          <w:sz w:val="18"/>
        </w:rPr>
        <w:t>Trata-se de ação direta na qual é objetivada a declaração de inconstitucionalidade de diversos preceitos da Constituição sergipana e de seu ADCT. (...) Art. 100 da Constituição estadual (...). Ao vincular o reajuste dos servidores do Poder Judiciário ao dos magistrados, o preceito confere privilégio aos servidores daquele Poder, em detrimento dos demais, em desrespeito ao comando constitucional que assegura revisão geral de remuneração dos servidores públicos.</w:t>
      </w:r>
    </w:p>
    <w:p>
      <w:pPr>
        <w:ind w:left="288"/>
      </w:pPr>
      <w:r>
        <w:rPr>
          <w:b/>
          <w:color w:val="003CA0"/>
          <w:sz w:val="16"/>
        </w:rPr>
        <w:t>[ADI 336, voto do rel. min. Eros Grau, j. 10-2-2010, P, DJE de 17-9-2010.]</w:t>
      </w:r>
    </w:p>
    <w:p>
      <w:pPr>
        <w:ind w:left="288"/>
      </w:pPr>
      <w:r>
        <w:rPr>
          <w:color w:val="8C8C8C"/>
          <w:sz w:val="12"/>
        </w:rPr>
        <w:t>cf-art-37-inc-IX</w:t>
      </w:r>
      <w:r>
        <w:rPr>
          <w:color w:val="003CA0"/>
          <w:sz w:val="12"/>
        </w:rPr>
        <w:t xml:space="preserve"> | ADI 3.369</w:t>
      </w:r>
      <w:r>
        <w:rPr>
          <w:color w:val="003CA0"/>
          <w:sz w:val="12"/>
        </w:rPr>
        <w:t xml:space="preserve"> | rel. Carlos Velloso</w:t>
      </w:r>
    </w:p>
    <w:p>
      <w:pPr>
        <w:ind w:left="288"/>
      </w:pPr>
      <w:r>
        <w:rPr>
          <w:color w:val="1E1E1E"/>
          <w:sz w:val="18"/>
        </w:rPr>
        <w:t>Em tema de remuneração dos servidores públicos, estabelece a Constituição o princípio da reserva de lei. É dizer, em tema de remuneração dos servidores públicos, nada será feito senão mediante lei, lei específica. CF, art. 37, X; art. 51, IV; art. 52, XIII. Inconstitucionalidade formal do Ato Conjunto 1, de 5-11-2004, das Mesas do Senado Federal e da Câmara dos Deputados.</w:t>
      </w:r>
    </w:p>
    <w:p>
      <w:pPr>
        <w:ind w:left="288"/>
      </w:pPr>
      <w:r>
        <w:rPr>
          <w:b/>
          <w:color w:val="003CA0"/>
          <w:sz w:val="16"/>
        </w:rPr>
        <w:t>[ADI 3.369 MC, rel. min. Carlos Velloso, j. 16-12-2004, P, DJ de 1º-2-2005.]</w:t>
      </w:r>
    </w:p>
    <w:p>
      <w:pPr>
        <w:ind w:left="288"/>
      </w:pPr>
      <w:r>
        <w:rPr>
          <w:color w:val="8C8C8C"/>
          <w:sz w:val="12"/>
        </w:rPr>
        <w:t>cf-art-37-inc-IX</w:t>
      </w:r>
      <w:r>
        <w:rPr>
          <w:color w:val="003CA0"/>
          <w:sz w:val="12"/>
        </w:rPr>
        <w:t xml:space="preserve"> | AO 1.420</w:t>
      </w:r>
      <w:r>
        <w:rPr>
          <w:color w:val="003CA0"/>
          <w:sz w:val="12"/>
        </w:rPr>
        <w:t xml:space="preserve"> | rel. Cármen Lúcia</w:t>
      </w:r>
    </w:p>
    <w:p>
      <w:pPr>
        <w:ind w:left="288"/>
      </w:pPr>
      <w:r>
        <w:rPr>
          <w:color w:val="1E1E1E"/>
          <w:sz w:val="18"/>
        </w:rPr>
        <w:t>= AO 1.420, rel. min. Cármen Lúcia, j. 2-8-2011, 1ª T, DJE de 22-8-2011 O inciso X do art. 37 da CF autoriza a concessão de aumentos reais aos servidores públicos, lato sensu, e determina a revisão geral anual das respectivas remunerações. Sem embargo da divergência conceitual entre as duas espécies de acréscimo salarial, inexiste óbice de ordem constitucional para que a lei ordinária disponha, com antecedência, que os reajustes individualizados no exercício anterior sejam deduzidos da próxima correção ordinária. A ausência de compensação importaria desvirtuamento da reestruturação aprovada pe</w:t>
      </w:r>
    </w:p>
    <w:p>
      <w:pPr>
        <w:ind w:left="288"/>
      </w:pPr>
      <w:r>
        <w:rPr>
          <w:b/>
          <w:color w:val="003CA0"/>
          <w:sz w:val="16"/>
        </w:rPr>
        <w:t>[ADI 2.726, rel. min. Maurício Corrêa, j. 5-12-2002, P, DJ de 29-8-2003.]</w:t>
      </w:r>
    </w:p>
    <w:p>
      <w:pPr>
        <w:ind w:left="288"/>
      </w:pPr>
      <w:r>
        <w:rPr>
          <w:color w:val="8C8C8C"/>
          <w:sz w:val="12"/>
        </w:rPr>
        <w:t>cf-art-37-inc-IX</w:t>
      </w:r>
      <w:r>
        <w:rPr>
          <w:color w:val="003CA0"/>
          <w:sz w:val="12"/>
        </w:rPr>
        <w:t xml:space="preserve"> | ADI 2.061</w:t>
      </w:r>
      <w:r>
        <w:rPr>
          <w:color w:val="003CA0"/>
          <w:sz w:val="12"/>
        </w:rPr>
        <w:t xml:space="preserve"> | rel. Ilmar Galvão</w:t>
      </w:r>
    </w:p>
    <w:p>
      <w:pPr>
        <w:ind w:left="288"/>
      </w:pPr>
      <w:r>
        <w:rPr>
          <w:color w:val="1E1E1E"/>
          <w:sz w:val="18"/>
        </w:rPr>
        <w:t>Art. 37, X, da CF (redação da EC 19, de 4-6-1998). Norma constitucional que impõe ao presidente da República o dever de desencadear o processo de elaboração da lei anual de revisão geral da remuneração dos servidores da União, prevista no dispositivo constitucional em destaque, na qualidade de titular exclusivo da competência para iniciativa da espécie, na forma prevista no art. 61, § 1º, II, a, da CF. Mora que, no caso, se tem por verificada, quanto à observância do preceito constitucional, desde junho/1999, quando transcorridos os primeiros doze meses da data da edição da referida EC 19/1998</w:t>
      </w:r>
    </w:p>
    <w:p>
      <w:pPr>
        <w:ind w:left="288"/>
      </w:pPr>
      <w:r>
        <w:rPr>
          <w:b/>
          <w:color w:val="003CA0"/>
          <w:sz w:val="16"/>
        </w:rPr>
        <w:t>[ADI 2.061, rel. min. Ilmar Galvão, j. 25-4-2001, P, DJ de 29-6-2001.]</w:t>
      </w:r>
    </w:p>
    <w:p>
      <w:pPr>
        <w:ind w:left="288"/>
      </w:pPr>
      <w:r>
        <w:rPr>
          <w:color w:val="8C8C8C"/>
          <w:sz w:val="12"/>
        </w:rPr>
        <w:t>cf-art-37-inc-IX</w:t>
      </w:r>
      <w:r>
        <w:rPr>
          <w:color w:val="003CA0"/>
          <w:sz w:val="12"/>
        </w:rPr>
        <w:t xml:space="preserve"> | RE 519.292</w:t>
      </w:r>
      <w:r>
        <w:rPr>
          <w:color w:val="003CA0"/>
          <w:sz w:val="12"/>
        </w:rPr>
        <w:t xml:space="preserve"> | rel. Ayres Britto</w:t>
      </w:r>
    </w:p>
    <w:p>
      <w:pPr>
        <w:ind w:left="288"/>
      </w:pPr>
      <w:r>
        <w:rPr>
          <w:color w:val="1E1E1E"/>
          <w:sz w:val="18"/>
        </w:rPr>
        <w:t>= RE 519.292 AgR, rel. min. Ayres Britto, j. 15-5-2007, 1ª T, DJ de 3-8-2007 Vide RE 529.489 AgR, rel. min. Joaquim Barbosa, j. 27-11-2007, 2ª T, DJE de 1º-2-2008 Vide RE 505.194 AgR, rel. min. Cármen Lúcia, j. 13-12-2006, 1ª T, DJ de 16-2-2007 Vide RE 501.669 AgR, rel. min. Ricardo Lewandowski, j. 13-12-2006, 2ª T, DJ de 16-2-2007 Vide ADI 3.303, rel. min. Ayres Britto, j. 27-9-2006, P, DJ de 16-3-2007 O art. 37, X, da Constituição, corolário do princípio fundamental da isonomia, não é, porém, um imperativo de estratificação da escala relativa de remuneração dos servidores públicos existentes</w:t>
      </w:r>
    </w:p>
    <w:p>
      <w:pPr>
        <w:ind w:left="288"/>
      </w:pPr>
      <w:r>
        <w:rPr>
          <w:b/>
          <w:color w:val="003CA0"/>
          <w:sz w:val="16"/>
        </w:rPr>
        <w:t>[ADI 525 MC, rel. min. Sepúlveda Pertence, j. 12-6-1991, P, DJ de 2-4-2004.]</w:t>
      </w:r>
    </w:p>
    <w:p>
      <w:pPr>
        <w:ind w:left="288"/>
      </w:pPr>
      <w:r>
        <w:rPr>
          <w:color w:val="8C8C8C"/>
          <w:sz w:val="12"/>
        </w:rPr>
        <w:t>cf-art-37-inc-IX</w:t>
      </w:r>
      <w:r>
        <w:rPr>
          <w:color w:val="003CA0"/>
          <w:sz w:val="12"/>
        </w:rPr>
        <w:t xml:space="preserve"> | ARE 672.424</w:t>
      </w:r>
      <w:r>
        <w:rPr>
          <w:color w:val="003CA0"/>
          <w:sz w:val="12"/>
        </w:rPr>
        <w:t xml:space="preserve"> | rel. Ricardo Lewandowski</w:t>
      </w:r>
    </w:p>
    <w:p>
      <w:pPr>
        <w:ind w:left="288"/>
      </w:pPr>
      <w:r>
        <w:rPr>
          <w:color w:val="1E1E1E"/>
          <w:sz w:val="18"/>
        </w:rPr>
        <w:t>= ARE 672.424 AgR, rel. min. Ricardo Lewandowski, j. 27-3-2012, 2ª T, DJE de 12-4-2012 Vide ARE 672.428 AgR, rel. min. Rosa Weber, j. 15-10-2013, 1ª T, DJE de 29-10-2013 “1. É inconstitucional a delegação ao Poder Executivo de atribuição para fixar e alterar o valor de parcela remuneratória, prevista no § 2º do art. 20 da Lei estadual nº 6.762/1975, com a redação dada pela Lei nº 12.984/1998, e no art. 3º do Decreto nº 46.284/2013; 2. O reconhecimento da inconstitucionalidade não autoriza decréscimo remuneratório nem a repetição de valores.”</w:t>
      </w:r>
    </w:p>
    <w:p>
      <w:pPr>
        <w:ind w:left="288"/>
      </w:pPr>
      <w:r>
        <w:rPr>
          <w:b/>
          <w:color w:val="003CA0"/>
          <w:sz w:val="16"/>
        </w:rPr>
        <w:t>[RE 1.524.795, rel. min. Luís Roberto Barroso, j. 19.09.2025, P, Informativo STF 1.191, Tema 968, com mérito julgado.]</w:t>
      </w:r>
    </w:p>
    <w:p>
      <w:pPr>
        <w:ind w:left="288"/>
      </w:pPr>
      <w:r>
        <w:rPr>
          <w:color w:val="8C8C8C"/>
          <w:sz w:val="12"/>
        </w:rPr>
        <w:t>cf-art-37-inc-IX</w:t>
      </w:r>
      <w:r>
        <w:rPr>
          <w:color w:val="003CA0"/>
          <w:sz w:val="12"/>
        </w:rPr>
        <w:t xml:space="preserve"> | ARE 1.524.795</w:t>
      </w:r>
      <w:r>
        <w:rPr>
          <w:color w:val="003CA0"/>
          <w:sz w:val="12"/>
        </w:rPr>
        <w:t xml:space="preserve"> | rel. Luís Roberto Barroso</w:t>
      </w:r>
    </w:p>
    <w:p>
      <w:pPr>
        <w:ind w:left="288"/>
      </w:pPr>
      <w:r>
        <w:rPr>
          <w:color w:val="1E1E1E"/>
          <w:sz w:val="18"/>
        </w:rPr>
        <w:t>“1. É inconstitucional a delegação ao Poder Executivo de atribuição para fixar e alterar o valor de parcela remuneratória, prevista no § 2º do art. 20 da Lei estadual nº 6.762/1975, com a redação dada pela Lei nº 12.984/1998, e no art. 3º do Decreto nº 46.284/2013; 2. O reconhecimento da inconstitucionalidade não autoriza decréscimo remuneratório nem a repetição de valores”.</w:t>
      </w:r>
    </w:p>
    <w:p>
      <w:pPr>
        <w:ind w:left="288"/>
      </w:pPr>
      <w:r>
        <w:rPr>
          <w:b/>
          <w:color w:val="003CA0"/>
          <w:sz w:val="16"/>
        </w:rPr>
        <w:t>[ARE 1.524.795 RG, rel. min. Luís Roberto Barroso, j. 19-9-2025, P, DJE de 2-3-2026, Tema 1.427, com mérito julgado.]</w:t>
      </w:r>
    </w:p>
    <w:p>
      <w:pPr>
        <w:ind w:left="288"/>
      </w:pPr>
      <w:r>
        <w:rPr>
          <w:color w:val="8C8C8C"/>
          <w:sz w:val="12"/>
        </w:rPr>
        <w:t>cf-art-37-inc-IX</w:t>
      </w:r>
      <w:r>
        <w:rPr>
          <w:color w:val="003CA0"/>
          <w:sz w:val="12"/>
        </w:rPr>
        <w:t xml:space="preserve"> | ARE 1.521.277</w:t>
      </w:r>
      <w:r>
        <w:rPr>
          <w:color w:val="003CA0"/>
          <w:sz w:val="12"/>
        </w:rPr>
        <w:t xml:space="preserve"> | rel. Luís Roberto Barroso</w:t>
      </w:r>
    </w:p>
    <w:p>
      <w:pPr>
        <w:ind w:left="288"/>
      </w:pPr>
      <w:r>
        <w:rPr>
          <w:color w:val="1E1E1E"/>
          <w:sz w:val="18"/>
        </w:rPr>
        <w:t>“São infraconstitucionais as controvérsias sobre a natureza jurídica de parcelas devidas a servidores públicos, assim como sobre o direito ao recebimento de vantagens funcionais durante períodos legais de afastamento.”</w:t>
      </w:r>
    </w:p>
    <w:p>
      <w:pPr>
        <w:ind w:left="288"/>
      </w:pPr>
      <w:r>
        <w:rPr>
          <w:b/>
          <w:color w:val="003CA0"/>
          <w:sz w:val="16"/>
        </w:rPr>
        <w:t>[ARE 1.521.277 RG, rel. min. Luís Roberto Barroso, j. 18.11.2024, P, DJE de 22.11.2024, Tema 1.357, com repercussão geral negada.]</w:t>
      </w:r>
    </w:p>
    <w:p>
      <w:pPr>
        <w:ind w:left="288"/>
      </w:pPr>
      <w:r>
        <w:rPr>
          <w:color w:val="8C8C8C"/>
          <w:sz w:val="12"/>
        </w:rPr>
        <w:t>cf-art-37-inc-IX</w:t>
      </w:r>
      <w:r>
        <w:rPr>
          <w:color w:val="003CA0"/>
          <w:sz w:val="12"/>
        </w:rPr>
        <w:t xml:space="preserve"> | ARE 1.523.252</w:t>
      </w:r>
      <w:r>
        <w:rPr>
          <w:color w:val="003CA0"/>
          <w:sz w:val="12"/>
        </w:rPr>
        <w:t xml:space="preserve"> | rel. Luís Roberto Barroso</w:t>
      </w:r>
    </w:p>
    <w:p>
      <w:pPr>
        <w:ind w:left="288"/>
      </w:pPr>
      <w:r>
        <w:rPr>
          <w:color w:val="1E1E1E"/>
          <w:sz w:val="18"/>
        </w:rPr>
        <w:t>“É infraconstitucional a controvérsia sobre a natureza jurídica de parcelas devidas a servidores públicos para fins de incidência de contribuição previdenciária”.</w:t>
      </w:r>
    </w:p>
    <w:p>
      <w:pPr>
        <w:ind w:left="288"/>
      </w:pPr>
      <w:r>
        <w:rPr>
          <w:b/>
          <w:color w:val="003CA0"/>
          <w:sz w:val="16"/>
        </w:rPr>
        <w:t>[ARE 1.523.252 RG, rel. min. Luís Roberto Barroso, j. 18.11.2024, P, DJE de 22.11.2024, Tema 1.358, com repercussão geral negada.]</w:t>
      </w:r>
    </w:p>
    <w:p>
      <w:pPr>
        <w:ind w:left="288"/>
      </w:pPr>
      <w:r>
        <w:rPr>
          <w:color w:val="8C8C8C"/>
          <w:sz w:val="12"/>
        </w:rPr>
        <w:t>cf-art-37-inc-IX</w:t>
      </w:r>
      <w:r>
        <w:rPr>
          <w:color w:val="003CA0"/>
          <w:sz w:val="12"/>
        </w:rPr>
        <w:t xml:space="preserve"> | ARE 1.493.366</w:t>
      </w:r>
      <w:r>
        <w:rPr>
          <w:color w:val="003CA0"/>
          <w:sz w:val="12"/>
        </w:rPr>
        <w:t xml:space="preserve"> | rel. Luís Roberto Barroso</w:t>
      </w:r>
    </w:p>
    <w:p>
      <w:pPr>
        <w:ind w:left="288"/>
      </w:pPr>
      <w:r>
        <w:rPr>
          <w:color w:val="1E1E1E"/>
          <w:sz w:val="18"/>
        </w:rPr>
        <w:t>“São infraconstitucionais e fáticas as controvérsias sobre a existência de fundamento legal e sobre os requisitos para o recebimento de auxílios e vantagens remuneratórias por servidores públicos”.</w:t>
      </w:r>
    </w:p>
    <w:p>
      <w:pPr>
        <w:ind w:left="288"/>
      </w:pPr>
      <w:r>
        <w:rPr>
          <w:b/>
          <w:color w:val="003CA0"/>
          <w:sz w:val="16"/>
        </w:rPr>
        <w:t>[ARE 1.493.366 RG, rel. min. Luís Roberto Barroso, j. 18.11.2024, P, DJE de 22.11.2024, Tema 1.359, com repercussão geral negada.]</w:t>
      </w:r>
    </w:p>
    <w:p>
      <w:pPr>
        <w:ind w:left="288"/>
      </w:pPr>
      <w:r>
        <w:rPr>
          <w:color w:val="8C8C8C"/>
          <w:sz w:val="12"/>
        </w:rPr>
        <w:t>cf-art-37-inc-IX</w:t>
      </w:r>
      <w:r>
        <w:rPr>
          <w:color w:val="003CA0"/>
          <w:sz w:val="12"/>
        </w:rPr>
        <w:t xml:space="preserve"> | ARE 1.519.020</w:t>
      </w:r>
      <w:r>
        <w:rPr>
          <w:color w:val="003CA0"/>
          <w:sz w:val="12"/>
        </w:rPr>
        <w:t xml:space="preserve"> | rel. Luís Roberto Barroso</w:t>
      </w:r>
    </w:p>
    <w:p>
      <w:pPr>
        <w:ind w:left="288"/>
      </w:pPr>
      <w:r>
        <w:rPr>
          <w:color w:val="1E1E1E"/>
          <w:sz w:val="18"/>
        </w:rPr>
        <w:t>“É infraconstitucional e pressupõe o exame de matéria fática a controvérsia sobre a prescrição de pretensão de cobrança de diferenças remuneratórias a contar da edição de lei municipal declarada inconstitucional”.</w:t>
      </w:r>
    </w:p>
    <w:p>
      <w:pPr>
        <w:ind w:left="288"/>
      </w:pPr>
      <w:r>
        <w:rPr>
          <w:b/>
          <w:color w:val="003CA0"/>
          <w:sz w:val="16"/>
        </w:rPr>
        <w:t>[ARE 1.519.020 RG, rel. min. Luís Roberto Barroso, j. 18.10.2024, P, DJE de 22.10.2024, Tema 1.340, com repercussão geral negada.]</w:t>
      </w:r>
    </w:p>
    <w:p>
      <w:pPr>
        <w:ind w:left="144"/>
      </w:pPr>
      <w:r>
        <w:rPr>
          <w:b/>
          <w:color w:val="B45A00"/>
          <w:sz w:val="16"/>
        </w:rPr>
        <w:t>REPERCUSSAO GERAL</w:t>
      </w:r>
    </w:p>
    <w:p>
      <w:pPr>
        <w:ind w:left="288"/>
      </w:pPr>
      <w:r>
        <w:rPr>
          <w:color w:val="8C8C8C"/>
          <w:sz w:val="12"/>
        </w:rPr>
        <w:t>cf-art-37-inc-IX</w:t>
      </w:r>
      <w:r>
        <w:rPr>
          <w:color w:val="003CA0"/>
          <w:sz w:val="12"/>
        </w:rPr>
        <w:t xml:space="preserve"> | RE 843.112</w:t>
      </w:r>
      <w:r>
        <w:rPr>
          <w:color w:val="003CA0"/>
          <w:sz w:val="12"/>
        </w:rPr>
        <w:t xml:space="preserve"> | rel. Luiz Fux</w:t>
      </w:r>
    </w:p>
    <w:p>
      <w:pPr>
        <w:ind w:left="288"/>
      </w:pPr>
      <w:r>
        <w:rPr>
          <w:color w:val="1E1E1E"/>
          <w:sz w:val="18"/>
        </w:rPr>
        <w:t>O Poder Judiciário não possui competência para determinar ao Poder Executivo a apresentação de projeto de lei que vise a promover a revisão geral anual da remuneração dos servidores públicos, tampouco para fixar o respectivo índice de correção.</w:t>
      </w:r>
    </w:p>
    <w:p>
      <w:pPr>
        <w:ind w:left="288"/>
      </w:pPr>
      <w:r>
        <w:rPr>
          <w:b/>
          <w:color w:val="003CA0"/>
          <w:sz w:val="16"/>
        </w:rPr>
        <w:t>[RE 843.112, rel. min. Luiz Fux, j. 22-9-2020, P, DJE de 4-11-2020, Tema 624, com mérito julgado.]</w:t>
      </w:r>
    </w:p>
    <w:p>
      <w:pPr>
        <w:ind w:left="288"/>
      </w:pPr>
      <w:r>
        <w:rPr>
          <w:color w:val="8C8C8C"/>
          <w:sz w:val="12"/>
        </w:rPr>
        <w:t>cf-art-37-inc-IX</w:t>
      </w:r>
      <w:r>
        <w:rPr>
          <w:color w:val="003CA0"/>
          <w:sz w:val="12"/>
        </w:rPr>
        <w:t xml:space="preserve"> | RE 710.293</w:t>
      </w:r>
      <w:r>
        <w:rPr>
          <w:color w:val="003CA0"/>
          <w:sz w:val="12"/>
        </w:rPr>
        <w:t xml:space="preserve"> | rel. Luiz Fux</w:t>
      </w:r>
    </w:p>
    <w:p>
      <w:pPr>
        <w:ind w:left="288"/>
      </w:pPr>
      <w:r>
        <w:rPr>
          <w:color w:val="1E1E1E"/>
          <w:sz w:val="18"/>
        </w:rPr>
        <w:t>O auxílio-alimentação é verba de caráter indenizatório, que não se incorpora à remuneração, nada obstante também deve se submeter ao princípio da reserva legal, assim como as demais verbas indenizatórias. (...) A vedação da Súmula Vinculante 37 se estende às verbas de caráter indenizatório e, consequentemente, interdita o Poder Judiciário de equiparar o auxílio-alimentação, ou qualquer outra verba desta espécie, com fundamento na isonomia. Conclui-se que: ‘Não cabe ao Poder Judiciário, que não tem função legislativa, aumentar qualquer verba de servidores públicos de carreiras distintas sob o f</w:t>
      </w:r>
    </w:p>
    <w:p>
      <w:pPr>
        <w:ind w:left="288"/>
      </w:pPr>
      <w:r>
        <w:rPr>
          <w:b/>
          <w:color w:val="003CA0"/>
          <w:sz w:val="16"/>
        </w:rPr>
        <w:t>[RE 710.293, rel. min. Luiz Fux, j. 16-9-2020, P, DJE de 4-11-2020, Tema 600, com mérito julgado.]</w:t>
      </w:r>
    </w:p>
    <w:p>
      <w:pPr>
        <w:ind w:left="288"/>
      </w:pPr>
      <w:r>
        <w:rPr>
          <w:color w:val="8C8C8C"/>
          <w:sz w:val="12"/>
        </w:rPr>
        <w:t>cf-art-37-inc-IX</w:t>
      </w:r>
      <w:r>
        <w:rPr>
          <w:color w:val="003CA0"/>
          <w:sz w:val="12"/>
        </w:rPr>
        <w:t xml:space="preserve"> | RE 565.089</w:t>
      </w:r>
    </w:p>
    <w:p>
      <w:pPr>
        <w:ind w:left="288"/>
      </w:pPr>
      <w:r>
        <w:rPr>
          <w:color w:val="1E1E1E"/>
          <w:sz w:val="18"/>
        </w:rPr>
        <w:t>O não encaminhamento de projeto de lei de revisão anual dos vencimentos dos servidores públicos, previsto no inciso X do art. 37 da CF/1988, não gera direito subjetivo a indenização. Deve o Poder Executivo, no entanto, pronunciar-se de forma fundamentada acerca das razões pelas quais não propôs a revisão.</w:t>
      </w:r>
    </w:p>
    <w:p>
      <w:pPr>
        <w:ind w:left="288"/>
      </w:pPr>
      <w:r>
        <w:rPr>
          <w:b/>
          <w:color w:val="003CA0"/>
          <w:sz w:val="16"/>
        </w:rPr>
        <w:t>[RE 565.089, red. do ac. min. Roberto Barroso, j. 25-9-2019, P, DJE de 28-4-2020, Tema 19, com mérito julgado.]</w:t>
      </w:r>
    </w:p>
    <w:p>
      <w:pPr>
        <w:ind w:left="288"/>
      </w:pPr>
      <w:r>
        <w:rPr>
          <w:color w:val="8C8C8C"/>
          <w:sz w:val="12"/>
        </w:rPr>
        <w:t>cf-art-37-inc-IX</w:t>
      </w:r>
      <w:r>
        <w:rPr>
          <w:color w:val="003CA0"/>
          <w:sz w:val="12"/>
        </w:rPr>
        <w:t xml:space="preserve"> | ARE 1.219.067</w:t>
      </w:r>
      <w:r>
        <w:rPr>
          <w:color w:val="003CA0"/>
          <w:sz w:val="12"/>
        </w:rPr>
        <w:t xml:space="preserve"> | rel. Dias Toffoli</w:t>
      </w:r>
    </w:p>
    <w:p>
      <w:pPr>
        <w:ind w:left="288"/>
      </w:pPr>
      <w:r>
        <w:rPr>
          <w:color w:val="1E1E1E"/>
          <w:sz w:val="18"/>
        </w:rPr>
        <w:t>Viola o teor da Súmula Vinculante nº 37 a concessão, por decisão judicial, de diferenças salariais em razão da incorporação de valores aos vencimentos dos servidores públicos municipais de que trata as Leis Complementares nºs 1.000/2009 e 1.121/2011 do Município de Mogi-Guaçu.</w:t>
      </w:r>
    </w:p>
    <w:p>
      <w:pPr>
        <w:ind w:left="288"/>
      </w:pPr>
      <w:r>
        <w:rPr>
          <w:b/>
          <w:color w:val="003CA0"/>
          <w:sz w:val="16"/>
        </w:rPr>
        <w:t>[ARE 1.219.067 RG, voto do rel. min. Dias Toffoli, j. 29-8-2019, P, DJE de 26-9-2019, Tema 1.059, com mérito julgado.]</w:t>
      </w:r>
    </w:p>
    <w:p>
      <w:pPr>
        <w:ind w:left="288"/>
      </w:pPr>
      <w:r>
        <w:rPr>
          <w:color w:val="8C8C8C"/>
          <w:sz w:val="12"/>
        </w:rPr>
        <w:t>cf-art-37-inc-IX</w:t>
      </w:r>
      <w:r>
        <w:rPr>
          <w:color w:val="003CA0"/>
          <w:sz w:val="12"/>
        </w:rPr>
        <w:t xml:space="preserve"> | ARE 1.208.032</w:t>
      </w:r>
      <w:r>
        <w:rPr>
          <w:color w:val="003CA0"/>
          <w:sz w:val="12"/>
        </w:rPr>
        <w:t xml:space="preserve"> | rel. Dias Toffoli</w:t>
      </w:r>
    </w:p>
    <w:p>
      <w:pPr>
        <w:ind w:left="288"/>
      </w:pPr>
      <w:r>
        <w:rPr>
          <w:color w:val="1E1E1E"/>
          <w:sz w:val="18"/>
        </w:rPr>
        <w:t>A concessão, por decisão judicial, de diferenças salariais relativas a 13,23% a servidores públicos federais, sem o devido amparo legal, viola o teor da Súmula Vinculante nº 37.</w:t>
      </w:r>
    </w:p>
    <w:p>
      <w:pPr>
        <w:ind w:left="288"/>
      </w:pPr>
      <w:r>
        <w:rPr>
          <w:b/>
          <w:color w:val="003CA0"/>
          <w:sz w:val="16"/>
        </w:rPr>
        <w:t>[ARE 1.208.032 RG, voto do rel. min. Dias Toffoli, j. 29-8-2019, P, DJE de 26-9-2019, Tema 1.061, com mérito julgado.]</w:t>
      </w:r>
    </w:p>
    <w:p>
      <w:pPr>
        <w:ind w:left="288"/>
      </w:pPr>
      <w:r>
        <w:rPr>
          <w:color w:val="8C8C8C"/>
          <w:sz w:val="12"/>
        </w:rPr>
        <w:t>cf-art-37-inc-IX</w:t>
      </w:r>
      <w:r>
        <w:rPr>
          <w:color w:val="003CA0"/>
          <w:sz w:val="12"/>
        </w:rPr>
        <w:t xml:space="preserve"> | ARE 1.057.577</w:t>
      </w:r>
      <w:r>
        <w:rPr>
          <w:color w:val="003CA0"/>
          <w:sz w:val="12"/>
        </w:rPr>
        <w:t xml:space="preserve"> | rel. Gilmar Mendes</w:t>
      </w:r>
    </w:p>
    <w:p>
      <w:pPr>
        <w:ind w:left="288"/>
      </w:pPr>
      <w:r>
        <w:rPr>
          <w:color w:val="1E1E1E"/>
          <w:sz w:val="18"/>
        </w:rPr>
        <w:t>A extensão, pelo Poder Judiciário, das verbas e vantagens concedidas pelo Conselho de Reitores das Universidades do Estado de São Paulo (Cruesp) aos empregados das instituições de ensino autônomas vinculadas às universidades estaduais paulistas contraria o disposto na Súmula Vinculante 37.</w:t>
      </w:r>
    </w:p>
    <w:p>
      <w:pPr>
        <w:ind w:left="288"/>
      </w:pPr>
      <w:r>
        <w:rPr>
          <w:b/>
          <w:color w:val="003CA0"/>
          <w:sz w:val="16"/>
        </w:rPr>
        <w:t>[ARE 1.057.577 RG, rel. min. Gilmar Mendes, j. 1º-2-2019, P, DJE de 8-4-2019, Tema 1.027, com mérito julgado.]</w:t>
      </w:r>
    </w:p>
    <w:p>
      <w:pPr>
        <w:ind w:left="288"/>
      </w:pPr>
      <w:r>
        <w:rPr>
          <w:color w:val="8C8C8C"/>
          <w:sz w:val="12"/>
        </w:rPr>
        <w:t>cf-art-37-inc-IX</w:t>
      </w:r>
      <w:r>
        <w:rPr>
          <w:color w:val="003CA0"/>
          <w:sz w:val="12"/>
        </w:rPr>
        <w:t xml:space="preserve"> | RE 976.610</w:t>
      </w:r>
      <w:r>
        <w:rPr>
          <w:color w:val="003CA0"/>
          <w:sz w:val="12"/>
        </w:rPr>
        <w:t xml:space="preserve"> | rel. Dias Toffoli</w:t>
      </w:r>
    </w:p>
    <w:p>
      <w:pPr>
        <w:ind w:left="288"/>
      </w:pPr>
      <w:r>
        <w:rPr>
          <w:color w:val="1E1E1E"/>
          <w:sz w:val="18"/>
        </w:rPr>
        <w:t>O STF veda o aumento de vencimentos pelo Poder Judiciário com base no princípio da isonomia, na equiparação salarial ou a pretexto da revisão geral anual, não sendo devida, portanto, a extensão do maior reajuste concedido pela Lei estadual 7.622/2000 aos soldos de toda a categoria dos policiais militares do Estado da Bahia, dispensada a devolução de valores eventualmente recebidos de boa-fé até a data de conclusão do presente julgamento no Plenário Virtual desta Corte.</w:t>
      </w:r>
    </w:p>
    <w:p>
      <w:pPr>
        <w:ind w:left="288"/>
      </w:pPr>
      <w:r>
        <w:rPr>
          <w:b/>
          <w:color w:val="003CA0"/>
          <w:sz w:val="16"/>
        </w:rPr>
        <w:t>[RE 976.610 RG, voto do rel. min. Dias Toffoli, j. 15-2-2018, P, DJE de 26-2-2018, Tema 984, com mérito julgado.]</w:t>
      </w:r>
    </w:p>
    <w:p>
      <w:pPr>
        <w:ind w:left="288"/>
      </w:pPr>
      <w:r>
        <w:rPr>
          <w:color w:val="8C8C8C"/>
          <w:sz w:val="12"/>
        </w:rPr>
        <w:t>cf-art-37-inc-IX</w:t>
      </w:r>
      <w:r>
        <w:rPr>
          <w:color w:val="003CA0"/>
          <w:sz w:val="12"/>
        </w:rPr>
        <w:t xml:space="preserve"> | ARE 909.437</w:t>
      </w:r>
      <w:r>
        <w:rPr>
          <w:color w:val="003CA0"/>
          <w:sz w:val="12"/>
        </w:rPr>
        <w:t xml:space="preserve"> | rel. Roberto Barroso</w:t>
      </w:r>
    </w:p>
    <w:p>
      <w:pPr>
        <w:ind w:left="288"/>
      </w:pPr>
      <w:r>
        <w:rPr>
          <w:color w:val="1E1E1E"/>
          <w:sz w:val="18"/>
        </w:rPr>
        <w:t>Não cabe ao Poder Judiciário, que não tem função legislativa, aumentar vencimentos de servidores públicos sob fundamento de isonomia. Súmula 339/STF e Súmula Vinculante 37. Reconhecimento da repercussão geral da questão constitucional, com reafirmação da jurisprudência da Corte, para assentar a seguinte tese: “Não é devida a extensão, por via judicial, do reajuste concedido pela Lei 1.206/1987 aos servidores do Poder Judiciário do Estado do Rio de Janeiro, dispensando-se a devolução das verbas recebidas até 1º-9-2016 (data da conclusão deste julgamento)”.</w:t>
      </w:r>
    </w:p>
    <w:p>
      <w:pPr>
        <w:ind w:left="288"/>
      </w:pPr>
      <w:r>
        <w:rPr>
          <w:b/>
          <w:color w:val="003CA0"/>
          <w:sz w:val="16"/>
        </w:rPr>
        <w:t>[ARE 909.437 RG, rel. min. Roberto Barroso, j. 1º-9-2016, P, DJE de 11-10-2016, Tema 915, com mérito julgado.]</w:t>
        <w:br/>
        <w:t>Vide RE 592.317, rel. min. Gilmar Mendes, j. 28-8-2014, P, DJE de 10-11-2014, Tema 315, com mérito julgado.</w:t>
      </w:r>
    </w:p>
    <w:p>
      <w:pPr>
        <w:ind w:left="288"/>
      </w:pPr>
      <w:r>
        <w:rPr>
          <w:color w:val="8C8C8C"/>
          <w:sz w:val="12"/>
        </w:rPr>
        <w:t>cf-art-37-inc-IX</w:t>
      </w:r>
      <w:r>
        <w:rPr>
          <w:color w:val="003CA0"/>
          <w:sz w:val="12"/>
        </w:rPr>
        <w:t xml:space="preserve"> | RE 592.317</w:t>
      </w:r>
      <w:r>
        <w:rPr>
          <w:color w:val="003CA0"/>
          <w:sz w:val="12"/>
        </w:rPr>
        <w:t xml:space="preserve"> | rel. Gilmar Mendes</w:t>
      </w:r>
    </w:p>
    <w:p>
      <w:pPr>
        <w:ind w:left="288"/>
      </w:pPr>
      <w:r>
        <w:rPr>
          <w:color w:val="1E1E1E"/>
          <w:sz w:val="18"/>
        </w:rPr>
        <w:t>Servidor público. Extensão de gratificação com fundamento no princípio da isonomia. Vedação. Enunciado 339 da Súmula desta Corte.</w:t>
        <w:br/>
        <w:t>[RE 592.317, rel. min. Gilmar Mendes, j. 28-8-2014, P, DJE de 10-11-2014, Tema 315, com mérito julgado.]</w:t>
        <w:br/>
        <w:t>Vide ARE 909.437 RG, rel. min. Roberto Barroso, j. 1º-9-2016, P, DJE de 11-10-2016, Tema 915, com mérito julgado. O direito ao percentual de 11,98%, ou do índice decorrente do processo de liquidação, na remuneração do servidor, resultante da equivocada conversão do Cruzeiro Real em URV, não representa um aumento na remuneração do servidor público, mas um reconhec</w:t>
      </w:r>
    </w:p>
    <w:p>
      <w:pPr>
        <w:ind w:left="144"/>
      </w:pPr>
      <w:r>
        <w:rPr>
          <w:b/>
          <w:color w:val="B45A00"/>
          <w:sz w:val="16"/>
        </w:rPr>
        <w:t>JULGADOS CORRELATOS</w:t>
      </w:r>
    </w:p>
    <w:p>
      <w:pPr>
        <w:ind w:left="288"/>
      </w:pPr>
      <w:r>
        <w:rPr>
          <w:color w:val="8C8C8C"/>
          <w:sz w:val="12"/>
        </w:rPr>
        <w:t>cf-art-37-inc-IX</w:t>
      </w:r>
      <w:r>
        <w:rPr>
          <w:color w:val="003CA0"/>
          <w:sz w:val="12"/>
        </w:rPr>
        <w:t xml:space="preserve"> | RE 216.172</w:t>
      </w:r>
    </w:p>
    <w:p>
      <w:pPr>
        <w:ind w:left="288"/>
      </w:pPr>
      <w:r>
        <w:rPr>
          <w:color w:val="1E1E1E"/>
          <w:sz w:val="18"/>
        </w:rPr>
        <w:t>Lei 8.237/91. Concessão de aumento a servidores militares. Princípio da Isonomia. Extensão aos servidores públicos civis. Impossibilidade. Lei federal que reestruturou a carreira militar federal. Inexistência de revisão geral.</w:t>
      </w:r>
    </w:p>
    <w:p>
      <w:pPr>
        <w:ind w:left="288"/>
      </w:pPr>
      <w:r>
        <w:rPr>
          <w:b/>
          <w:color w:val="003CA0"/>
          <w:sz w:val="16"/>
        </w:rPr>
        <w:t>[RE 216.172, red do ac. min. Gilmar Mendes, j. em 6-11-2018, 2ª T, DJE de 23-8-2019.]</w:t>
      </w:r>
    </w:p>
    <w:p>
      <w:pPr>
        <w:ind w:left="288"/>
      </w:pPr>
      <w:r>
        <w:rPr>
          <w:color w:val="8C8C8C"/>
          <w:sz w:val="12"/>
        </w:rPr>
        <w:t>cf-art-37-inc-IX</w:t>
      </w:r>
      <w:r>
        <w:rPr>
          <w:color w:val="003CA0"/>
          <w:sz w:val="12"/>
        </w:rPr>
        <w:t xml:space="preserve"> | RCL 25.927</w:t>
      </w:r>
    </w:p>
    <w:p>
      <w:pPr>
        <w:ind w:left="288"/>
      </w:pPr>
      <w:r>
        <w:rPr>
          <w:color w:val="1E1E1E"/>
          <w:sz w:val="18"/>
        </w:rPr>
        <w:t>Concessão do percentual de 13,23% a servidor público federal (Leis 10.697/2003 e 10.698/2003) por decisão judicial. Princípio da isonomia. Violação à Súmula Vinculante 37.</w:t>
      </w:r>
    </w:p>
    <w:p>
      <w:pPr>
        <w:ind w:left="288"/>
      </w:pPr>
      <w:r>
        <w:rPr>
          <w:b/>
          <w:color w:val="003CA0"/>
          <w:sz w:val="16"/>
        </w:rPr>
        <w:t>[Rcl 25.927 AgR, red do ac. min. Alexandre de Moraes, j. em 31-10-2017, 1ª T, DJE de 2-2-2018.]</w:t>
      </w:r>
    </w:p>
    <w:p>
      <w:pPr>
        <w:ind w:left="288"/>
      </w:pPr>
      <w:r>
        <w:rPr>
          <w:color w:val="8C8C8C"/>
          <w:sz w:val="12"/>
        </w:rPr>
        <w:t>cf-art-37-inc-IX</w:t>
      </w:r>
      <w:r>
        <w:rPr>
          <w:color w:val="003CA0"/>
          <w:sz w:val="12"/>
        </w:rPr>
        <w:t xml:space="preserve"> | MI 4.409</w:t>
      </w:r>
      <w:r>
        <w:rPr>
          <w:color w:val="003CA0"/>
          <w:sz w:val="12"/>
        </w:rPr>
        <w:t xml:space="preserve"> | rel. Teori Zavascki</w:t>
      </w:r>
    </w:p>
    <w:p>
      <w:pPr>
        <w:ind w:left="288"/>
      </w:pPr>
      <w:r>
        <w:rPr>
          <w:color w:val="1E1E1E"/>
          <w:sz w:val="18"/>
        </w:rPr>
        <w:t>Revisão geral anual. (...) A Lei 10.331/2001 regulamentou o art. 37, X, da Constituição, conferindo-lhe eficácia plena, e está em vigor desde 19 de dezembro de 2001. Posteriormente, a Lei 10.697/2003 também cumpriu o dispositivo constitucional.</w:t>
        <w:br/>
        <w:t>[MI 4.409 AgR-ED-AgR, rel. min. Teori Zavascki, j. 17-10-2013, P, DJE de 18-11-2013.] A concessão de reajustes setoriais com a finalidade de corrigir distorções remuneratórias existentes no padrão remuneratório da carreira militar e em seus diferentes postos não ocasiona ofensa aos princípios da isonomia ou do reajuste geral de vencimentos.</w:t>
      </w:r>
    </w:p>
    <w:p>
      <w:pPr>
        <w:ind w:left="288"/>
      </w:pPr>
      <w:r>
        <w:rPr>
          <w:b/>
          <w:color w:val="003CA0"/>
          <w:sz w:val="16"/>
        </w:rPr>
        <w:t>[ARE 672.428 AgR, rel. min. Rosa Weber, j. 15-10-2013, 1ª T, DJE de 29-10-2013.]</w:t>
      </w:r>
    </w:p>
    <w:p>
      <w:pPr>
        <w:ind w:left="288"/>
      </w:pPr>
      <w:r>
        <w:rPr>
          <w:color w:val="8C8C8C"/>
          <w:sz w:val="12"/>
        </w:rPr>
        <w:t>cf-art-37-inc-IX</w:t>
      </w:r>
      <w:r>
        <w:rPr>
          <w:color w:val="003CA0"/>
          <w:sz w:val="12"/>
        </w:rPr>
        <w:t xml:space="preserve"> | ADI 525</w:t>
      </w:r>
      <w:r>
        <w:rPr>
          <w:color w:val="003CA0"/>
          <w:sz w:val="12"/>
        </w:rPr>
        <w:t xml:space="preserve"> | rel. Sepúlveda Pertence</w:t>
      </w:r>
    </w:p>
    <w:p>
      <w:pPr>
        <w:ind w:left="288"/>
      </w:pPr>
      <w:r>
        <w:rPr>
          <w:color w:val="1E1E1E"/>
          <w:sz w:val="18"/>
        </w:rPr>
        <w:t>Vide ADI 525 MC, rel. min. Sepúlveda Pertence, j. 12-6-1991, P, DJ de 2-4-2004 (...) o Plenário do Supremo Tribunal adotou entendimento segundo o qual o reajuste de 28.86%, concedido aos servidores militares e civis da União pelas Leis 8.622/1993 e 8.627/1993, não é extensível aos titulares do cargo de magistério.</w:t>
      </w:r>
    </w:p>
    <w:p>
      <w:pPr>
        <w:ind w:left="288"/>
      </w:pPr>
      <w:r>
        <w:rPr>
          <w:b/>
          <w:color w:val="003CA0"/>
          <w:sz w:val="16"/>
        </w:rPr>
        <w:t>[RE 587.825 AgR, voto da rel. min. Cármen Lúcia, j. 22-9-2009, 1ª T, DJE de 23-10-2009.]</w:t>
      </w:r>
    </w:p>
    <w:p>
      <w:pPr>
        <w:ind w:left="288"/>
      </w:pPr>
      <w:r>
        <w:rPr>
          <w:color w:val="8C8C8C"/>
          <w:sz w:val="12"/>
        </w:rPr>
        <w:t>cf-art-37-inc-IX</w:t>
      </w:r>
      <w:r>
        <w:rPr>
          <w:color w:val="003CA0"/>
          <w:sz w:val="12"/>
        </w:rPr>
        <w:t xml:space="preserve"> | AI 774.034</w:t>
      </w:r>
      <w:r>
        <w:rPr>
          <w:color w:val="003CA0"/>
          <w:sz w:val="12"/>
        </w:rPr>
        <w:t xml:space="preserve"> | rel. Eros Grau</w:t>
      </w:r>
    </w:p>
    <w:p>
      <w:pPr>
        <w:ind w:left="288"/>
      </w:pPr>
      <w:r>
        <w:rPr>
          <w:color w:val="1E1E1E"/>
          <w:sz w:val="18"/>
        </w:rPr>
        <w:t>= AI 774.034 AgR, rel. min. Eros Grau, j. 27-4-2010, 2ª T, DJE de 21-5-2010 A sentença que revigora a isonomia remuneratória dos procuradores autárquicos e fundacionais com os procuradores do Estado da Bahia desrespeita a eficácia vinculante da decisão do STF na ADI 112 MC, ainda que não haja referência expressa ao art. 3º do ADT da Constituição do mesmo Estado. Nada impede que procuradores autárquicos e fundacionais venham a ter os seus vencimentos fixados no mesmo patamar dos procuradores da administração direta. Mas é preciso que lei estadual, uma para cada classe de advogados públicos, exp</w:t>
      </w:r>
    </w:p>
    <w:p>
      <w:pPr>
        <w:ind w:left="288"/>
      </w:pPr>
      <w:r>
        <w:rPr>
          <w:b/>
          <w:color w:val="003CA0"/>
          <w:sz w:val="16"/>
        </w:rPr>
        <w:t>[Rcl 2.817, rel. min. Ayres Britto, j. 12-8-2009, P, DJE de 23-10-2009.]</w:t>
      </w:r>
    </w:p>
    <w:p>
      <w:pPr>
        <w:ind w:left="288"/>
      </w:pPr>
      <w:r>
        <w:rPr>
          <w:color w:val="8C8C8C"/>
          <w:sz w:val="12"/>
        </w:rPr>
        <w:t>cf-art-37-inc-IX</w:t>
      </w:r>
      <w:r>
        <w:rPr>
          <w:color w:val="003CA0"/>
          <w:sz w:val="12"/>
        </w:rPr>
        <w:t xml:space="preserve"> | RE 573.316</w:t>
      </w:r>
      <w:r>
        <w:rPr>
          <w:color w:val="003CA0"/>
          <w:sz w:val="12"/>
        </w:rPr>
        <w:t xml:space="preserve"> | rel. Eros Grau</w:t>
      </w:r>
    </w:p>
    <w:p>
      <w:pPr>
        <w:ind w:left="288"/>
      </w:pPr>
      <w:r>
        <w:rPr>
          <w:color w:val="1E1E1E"/>
          <w:sz w:val="18"/>
        </w:rPr>
        <w:t>O texto normativo inserido art. 37, X, da Constituição do Brasil não impede a dedução de eventuais aumentos decorrentes da reestruturação da carreira, criação e majoração de gratificações e adicionais ou de qualquer outra vantagem inerente ao respectivo cargo ou emprego da revisão geral de vencimentos.</w:t>
      </w:r>
    </w:p>
    <w:p>
      <w:pPr>
        <w:ind w:left="288"/>
      </w:pPr>
      <w:r>
        <w:rPr>
          <w:b/>
          <w:color w:val="003CA0"/>
          <w:sz w:val="16"/>
        </w:rPr>
        <w:t>[RE 573.316 AgR, rel. min. Eros Grau, j. 4-11-2008, 2ª T, DJE de 28-11-2008.]</w:t>
      </w:r>
    </w:p>
    <w:p>
      <w:pPr>
        <w:ind w:left="288"/>
      </w:pPr>
      <w:r>
        <w:rPr>
          <w:color w:val="8C8C8C"/>
          <w:sz w:val="12"/>
        </w:rPr>
        <w:t>cf-art-37-inc-IX</w:t>
      </w:r>
      <w:r>
        <w:rPr>
          <w:color w:val="003CA0"/>
          <w:sz w:val="12"/>
        </w:rPr>
        <w:t xml:space="preserve"> | ADI 5.622</w:t>
      </w:r>
      <w:r>
        <w:rPr>
          <w:color w:val="003CA0"/>
          <w:sz w:val="12"/>
        </w:rPr>
        <w:t xml:space="preserve"> | rel. Nunes Marques</w:t>
      </w:r>
    </w:p>
    <w:p>
      <w:pPr>
        <w:ind w:left="288"/>
      </w:pPr>
      <w:r>
        <w:rPr>
          <w:color w:val="1E1E1E"/>
          <w:sz w:val="18"/>
        </w:rPr>
        <w:t>XI - a remuneração e o subsídio dos ocupantes de cargos, funções e empregos públicos da administração direta, autárquica e fundacional, dos membros de qualquer dos Poderes da União, dos Estados, do Distrito Federal e dos Municípios, dos detentores de mandato eletivo e dos demais agentes políticos e os proventos, pensões ou outra espécie remuneratória, percebidos cumulativamente ou não, incluídas as vantagens pessoais ou de qualquer outra natureza, não poderão exceder o subsídio mensal, em espécie, dos Ministros do Supremo Tribunal Federal, aplicando-se como limite, nos Municípios, o subsídio d</w:t>
      </w:r>
    </w:p>
    <w:p>
      <w:pPr>
        <w:ind w:left="288"/>
      </w:pPr>
      <w:r>
        <w:rPr>
          <w:b/>
          <w:color w:val="003CA0"/>
          <w:sz w:val="16"/>
        </w:rPr>
        <w:t>[ADI 5.622, rel. min. Nunes Marques, j. 28.08.2025, P, Informativo STF 1.188.]</w:t>
      </w:r>
    </w:p>
    <w:p>
      <w:pPr>
        <w:ind w:left="288"/>
      </w:pPr>
      <w:r>
        <w:rPr>
          <w:color w:val="8C8C8C"/>
          <w:sz w:val="12"/>
        </w:rPr>
        <w:t>cf-art-37-inc-IX</w:t>
      </w:r>
      <w:r>
        <w:rPr>
          <w:color w:val="003CA0"/>
          <w:sz w:val="12"/>
        </w:rPr>
        <w:t xml:space="preserve"> | MS 32492</w:t>
      </w:r>
      <w:r>
        <w:rPr>
          <w:color w:val="003CA0"/>
          <w:sz w:val="12"/>
        </w:rPr>
        <w:t xml:space="preserve"> | rel. Dias Toffoli</w:t>
      </w:r>
    </w:p>
    <w:p>
      <w:pPr>
        <w:ind w:left="288"/>
      </w:pPr>
      <w:r>
        <w:rPr>
          <w:color w:val="1E1E1E"/>
          <w:sz w:val="18"/>
        </w:rPr>
        <w:t>A verba denominada “indenização de representação”, prevista no art. 2º da Lei 9.853/2023 do Estado do Pará, demonstra natureza de retribuição pelo exercício de cargo comissionado no âmbito do Poder Executivo Estadual. “A acumulação de função comissionada com vencimento de cargo efetivo no âmbito de um mesmo órgão público deve estar em conformidade com o teto constitucional, consoante dispõe o art. 37, inciso XI, da Carta Magna” (MS 32492 AgR, Rel. Min. Dias Toffoli, Segunda Turma, DJe 01/12/2017). Na ADI 7.402/GO, Rel. Min. André Mendonça, o Plenário do Supremo Tribunal Federal reafirmou o ent</w:t>
      </w:r>
    </w:p>
    <w:p>
      <w:pPr>
        <w:ind w:left="288"/>
      </w:pPr>
      <w:r>
        <w:rPr>
          <w:b/>
          <w:color w:val="003CA0"/>
          <w:sz w:val="16"/>
        </w:rPr>
        <w:t>[ADI 7.440, rel. min. Cristiano Zanin, j. 12.08.2025, P, DJE de 19.08.2025.]</w:t>
      </w:r>
    </w:p>
    <w:p>
      <w:pPr>
        <w:ind w:left="288"/>
      </w:pPr>
      <w:r>
        <w:rPr>
          <w:color w:val="8C8C8C"/>
          <w:sz w:val="12"/>
        </w:rPr>
        <w:t>cf-art-37-inc-IX</w:t>
      </w:r>
      <w:r>
        <w:rPr>
          <w:color w:val="003CA0"/>
          <w:sz w:val="12"/>
        </w:rPr>
        <w:t xml:space="preserve"> | ADI 7.402</w:t>
      </w:r>
      <w:r>
        <w:rPr>
          <w:color w:val="003CA0"/>
          <w:sz w:val="12"/>
        </w:rPr>
        <w:t xml:space="preserve"> | rel. André Mendonça</w:t>
      </w:r>
    </w:p>
    <w:p>
      <w:pPr>
        <w:ind w:left="288"/>
      </w:pPr>
      <w:r>
        <w:rPr>
          <w:color w:val="1E1E1E"/>
          <w:sz w:val="18"/>
        </w:rPr>
        <w:t>O teto constitucional abrange a integralidade das parcelas remuneratórias percebidas pelo servidor público. A única exceção se dá em relação às “parcelas de caráter indenizatório previstas em lei”, nos termos do § 11 do art. 37 da Lei Maior. A verba remuneratória é paga a título de contraprestação pelo serviço prestado. Já a parcela indenizatória tem por escopo compensar o gasto dispendido pelo servidor como condição necessária à efetiva prestação do serviço. Os conceitos são ontologicamente distintos, cuja diferenciação decorre da própria natureza jurídica particular de cada um. (...) Por iss</w:t>
      </w:r>
    </w:p>
    <w:p>
      <w:pPr>
        <w:ind w:left="288"/>
      </w:pPr>
      <w:r>
        <w:rPr>
          <w:b/>
          <w:color w:val="003CA0"/>
          <w:sz w:val="16"/>
        </w:rPr>
        <w:t>[ADI 7.402, rel. min. André Mendonça, j. 24.02.2025, P, DJE de 17.03.2025.]</w:t>
      </w:r>
    </w:p>
    <w:p>
      <w:pPr>
        <w:ind w:left="288"/>
      </w:pPr>
      <w:r>
        <w:rPr>
          <w:color w:val="8C8C8C"/>
          <w:sz w:val="12"/>
        </w:rPr>
        <w:t>cf-art-37-inc-IX</w:t>
      </w:r>
      <w:r>
        <w:rPr>
          <w:color w:val="003CA0"/>
          <w:sz w:val="12"/>
        </w:rPr>
        <w:t xml:space="preserve"> | ADI 3.228</w:t>
      </w:r>
      <w:r>
        <w:rPr>
          <w:color w:val="003CA0"/>
          <w:sz w:val="12"/>
        </w:rPr>
        <w:t xml:space="preserve"> | rel. Edson Fachin</w:t>
      </w:r>
    </w:p>
    <w:p>
      <w:pPr>
        <w:ind w:left="288"/>
      </w:pPr>
      <w:r>
        <w:rPr>
          <w:color w:val="1E1E1E"/>
          <w:sz w:val="18"/>
        </w:rPr>
        <w:t>O regime de subsídio não afasta a percepção de gratificações pelo exercício de cargos em comissão ou funções de confiança por membro do Ministério Público, desde que observado o teto remuneratório constitucional, sendo a vedada a acumulação e autorizado o exercício da opção.</w:t>
      </w:r>
    </w:p>
    <w:p>
      <w:pPr>
        <w:ind w:left="288"/>
      </w:pPr>
      <w:r>
        <w:rPr>
          <w:b/>
          <w:color w:val="003CA0"/>
          <w:sz w:val="16"/>
        </w:rPr>
        <w:t>[ADI 3.228, rel. min. Edson Fachin, red. do ac. min. Luís Roberto Barroso, j. 19.02.2025, P, DJE de 10.04.2025.]</w:t>
      </w:r>
    </w:p>
    <w:p>
      <w:pPr>
        <w:ind w:left="144"/>
      </w:pPr>
      <w:r>
        <w:rPr>
          <w:b/>
          <w:color w:val="B45A00"/>
          <w:sz w:val="16"/>
        </w:rPr>
        <w:t>CONTROLE CONCENTRADO</w:t>
      </w:r>
    </w:p>
    <w:p>
      <w:pPr>
        <w:ind w:left="288"/>
      </w:pPr>
      <w:r>
        <w:rPr>
          <w:color w:val="8C8C8C"/>
          <w:sz w:val="12"/>
        </w:rPr>
        <w:t>cf-art-37-inc-IX</w:t>
      </w:r>
      <w:r>
        <w:rPr>
          <w:color w:val="003CA0"/>
          <w:sz w:val="12"/>
        </w:rPr>
        <w:t xml:space="preserve"> | ADPF 593</w:t>
      </w:r>
      <w:r>
        <w:rPr>
          <w:color w:val="003CA0"/>
          <w:sz w:val="12"/>
        </w:rPr>
        <w:t xml:space="preserve"> | rel. Luiz Fux</w:t>
      </w:r>
    </w:p>
    <w:p>
      <w:pPr>
        <w:ind w:left="288"/>
      </w:pPr>
      <w:r>
        <w:rPr>
          <w:color w:val="1E1E1E"/>
          <w:sz w:val="18"/>
        </w:rPr>
        <w:t>A gratificação prevista para os cargos de direção do TCM-RJ, pela sua natureza remuneratória, deve ser submetida ao teto constitucional, uma vez que não se trata de verba indenizatória, mas de acréscimo patrimonial por serviços prestados. A expressão "de caráter indenizatório" constante do art. 24 do Regimento Interno do TCM-RJ viola o art. 37, XI, da Constituição Federal.</w:t>
        <w:br/>
        <w:t>[ADPF 593, rel. min. Luiz Fux, red. do ac. min. Flávio Dino, j. 30.09.2024, P, DJE de 16.10.2024.] A possibilidade da instituição de subtetos após a vigência da EC 41/03 encoraja os entes federativos a proceder de forma part</w:t>
      </w:r>
    </w:p>
    <w:p>
      <w:pPr>
        <w:ind w:left="288"/>
      </w:pPr>
      <w:r>
        <w:rPr>
          <w:b/>
          <w:color w:val="003CA0"/>
          <w:sz w:val="16"/>
        </w:rPr>
        <w:t>[ADI 4.900-ED, rel. min. Roberto Barroso, j. 3-8-2021, P, DJE 24-8-2021.]</w:t>
      </w:r>
    </w:p>
    <w:p>
      <w:pPr>
        <w:ind w:left="288"/>
      </w:pPr>
      <w:r>
        <w:rPr>
          <w:color w:val="8C8C8C"/>
          <w:sz w:val="12"/>
        </w:rPr>
        <w:t>cf-art-37-inc-IX</w:t>
      </w:r>
      <w:r>
        <w:rPr>
          <w:color w:val="003CA0"/>
          <w:sz w:val="12"/>
        </w:rPr>
        <w:t xml:space="preserve"> | ADI 4.900</w:t>
      </w:r>
      <w:r>
        <w:rPr>
          <w:color w:val="003CA0"/>
          <w:sz w:val="12"/>
        </w:rPr>
        <w:t xml:space="preserve"> | rel. Teori Zavascki</w:t>
      </w:r>
    </w:p>
    <w:p>
      <w:pPr>
        <w:ind w:left="288"/>
      </w:pPr>
      <w:r>
        <w:rPr>
          <w:color w:val="1E1E1E"/>
          <w:sz w:val="18"/>
        </w:rPr>
        <w:t>Vide:ADI 4.900, red.do ac. min. Roberto Barroso, rel. min. Teori Zavascki, j. 11-2-2015, P, DJE de 20-4-2015 Instituição de subteto remuneratório para magistratura estadual inferior ao da magistratura federal. Impossibilidade. Caráter nacional da estrutura judiciária brasileira. Artigo 93, V, da CF. (...) interpretação conforme à Constituição ao artigo 37, XI (com redação dada pela EC 41/2003) e § 12 (com redação dada pela EC 47/2005), da Constituição Federal, e declarar a inconstitucionalidade do artigo 2º da Resolução 13/2006 e artigo 1º, parágrafo único, da Resolução 14, ambas do Conselho N</w:t>
      </w:r>
    </w:p>
    <w:p>
      <w:pPr>
        <w:ind w:left="288"/>
      </w:pPr>
      <w:r>
        <w:rPr>
          <w:b/>
          <w:color w:val="003CA0"/>
          <w:sz w:val="16"/>
        </w:rPr>
        <w:t>[ADI 3.854 e ADI 4.014, rel. min. Gilmar Mendes, j. 7-12-2020, P, DJE de 8-2-2021.]</w:t>
      </w:r>
    </w:p>
    <w:p>
      <w:pPr>
        <w:ind w:left="288"/>
      </w:pPr>
      <w:r>
        <w:rPr>
          <w:color w:val="8C8C8C"/>
          <w:sz w:val="12"/>
        </w:rPr>
        <w:t>cf-art-37-inc-IX</w:t>
      </w:r>
      <w:r>
        <w:rPr>
          <w:color w:val="003CA0"/>
          <w:sz w:val="12"/>
        </w:rPr>
        <w:t xml:space="preserve"> | ADI 6.159</w:t>
      </w:r>
      <w:r>
        <w:rPr>
          <w:color w:val="003CA0"/>
          <w:sz w:val="12"/>
        </w:rPr>
        <w:t xml:space="preserve"> | rel. Roberto Barroso</w:t>
      </w:r>
    </w:p>
    <w:p>
      <w:pPr>
        <w:ind w:left="288"/>
      </w:pPr>
      <w:r>
        <w:rPr>
          <w:color w:val="1E1E1E"/>
          <w:sz w:val="18"/>
        </w:rPr>
        <w:t>É constitucional o pagamento de honorários sucumbenciais aos advogados públicos, observando-se, porém, o limite remuneratório previsto no art. 37, XI, da Constituição.</w:t>
      </w:r>
    </w:p>
    <w:p>
      <w:pPr>
        <w:ind w:left="288"/>
      </w:pPr>
      <w:r>
        <w:rPr>
          <w:b/>
          <w:color w:val="003CA0"/>
          <w:sz w:val="16"/>
        </w:rPr>
        <w:t>[ADI 6.159 e ADI 6.162, rel. min. Roberto Barroso, j. 24-8-2020, P, DJE de 25-11-2020.]</w:t>
      </w:r>
    </w:p>
    <w:p>
      <w:pPr>
        <w:ind w:left="288"/>
      </w:pPr>
      <w:r>
        <w:rPr>
          <w:color w:val="8C8C8C"/>
          <w:sz w:val="12"/>
        </w:rPr>
        <w:t>cf-art-37-inc-IX</w:t>
      </w:r>
      <w:r>
        <w:rPr>
          <w:color w:val="003CA0"/>
          <w:sz w:val="12"/>
        </w:rPr>
        <w:t xml:space="preserve"> | ADI 6.053</w:t>
      </w:r>
      <w:r>
        <w:rPr>
          <w:color w:val="003CA0"/>
          <w:sz w:val="12"/>
        </w:rPr>
        <w:t xml:space="preserve"> | rel. Marco Aurélio</w:t>
      </w:r>
    </w:p>
    <w:p>
      <w:pPr>
        <w:ind w:left="288"/>
      </w:pPr>
      <w:r>
        <w:rPr>
          <w:color w:val="1E1E1E"/>
          <w:sz w:val="18"/>
        </w:rPr>
        <w:t>Nada obstante compatível com o regime de subsídio, sobretudo quando estruturado como um modelo de remuneração por performance, com vistas à eficiência do serviço público, a possibilidade de advogados públicos perceberem verbas honorárias sucumbenciais não afasta a incidência do teto remuneratório estabelecido pelo art. 37, XI, da Constituição Federal.</w:t>
      </w:r>
    </w:p>
    <w:p>
      <w:pPr>
        <w:ind w:left="288"/>
      </w:pPr>
      <w:r>
        <w:rPr>
          <w:b/>
          <w:color w:val="003CA0"/>
          <w:sz w:val="16"/>
        </w:rPr>
        <w:t>[ADI 6.053, rel. min. Marco Aurélio, j. 22-6-2020, P, DJE de 17-7-2020.]</w:t>
      </w:r>
    </w:p>
    <w:p>
      <w:pPr>
        <w:ind w:left="288"/>
      </w:pPr>
      <w:r>
        <w:rPr>
          <w:color w:val="8C8C8C"/>
          <w:sz w:val="12"/>
        </w:rPr>
        <w:t>cf-art-37-inc-IX</w:t>
      </w:r>
      <w:r>
        <w:rPr>
          <w:color w:val="003CA0"/>
          <w:sz w:val="12"/>
        </w:rPr>
        <w:t xml:space="preserve"> | ADI 6.221</w:t>
      </w:r>
      <w:r>
        <w:rPr>
          <w:color w:val="003CA0"/>
          <w:sz w:val="12"/>
        </w:rPr>
        <w:t xml:space="preserve"> | rel. Edson Fachin</w:t>
      </w:r>
    </w:p>
    <w:p>
      <w:pPr>
        <w:ind w:left="288"/>
      </w:pPr>
      <w:r>
        <w:rPr>
          <w:color w:val="1E1E1E"/>
          <w:sz w:val="18"/>
        </w:rPr>
        <w:t>A faculdade conferida aos Estados para a regulação do teto aplicável a seus servidores (art. 37, § 12, da CF) não permite que a regulamentação editada com fundamento nesse permissivo inove no tratamento do teto dos servidores municipais, para quem o art. 37, XI, da CF, já estabelece um teto único.</w:t>
      </w:r>
    </w:p>
    <w:p>
      <w:pPr>
        <w:ind w:left="288"/>
      </w:pPr>
      <w:r>
        <w:rPr>
          <w:b/>
          <w:color w:val="003CA0"/>
          <w:sz w:val="16"/>
        </w:rPr>
        <w:t>[ADI 6.221 MC, red. do ac. min. Alexandre de Moraes, rel. min. Edson Fachin, j. 20-12-2019, P, DJE de 30-4-2020.]</w:t>
      </w:r>
    </w:p>
    <w:p>
      <w:pPr>
        <w:ind w:left="288"/>
      </w:pPr>
      <w:r>
        <w:rPr>
          <w:color w:val="8C8C8C"/>
          <w:sz w:val="12"/>
        </w:rPr>
        <w:t>cf-art-37-inc-IX</w:t>
      </w:r>
      <w:r>
        <w:rPr>
          <w:color w:val="003CA0"/>
          <w:sz w:val="12"/>
        </w:rPr>
        <w:t xml:space="preserve"> | ADI 4.900</w:t>
      </w:r>
      <w:r>
        <w:rPr>
          <w:color w:val="003CA0"/>
          <w:sz w:val="12"/>
        </w:rPr>
        <w:t xml:space="preserve"> | rel. Teori Zavascki</w:t>
      </w:r>
    </w:p>
    <w:p>
      <w:pPr>
        <w:ind w:left="288"/>
      </w:pPr>
      <w:r>
        <w:rPr>
          <w:color w:val="1E1E1E"/>
          <w:sz w:val="18"/>
        </w:rPr>
        <w:t>No que respeita ao subteto dos servidores estaduais, a Constituição estabeleceu a possibilidade de o Estado optar entre: a definição de um subteto por poder, hipótese em que o teto dos servidores da Justiça corresponderá ao subsídio dos desembargadores do Tribunal de Justiça (art. 37, XI, CF, na redação da EC 41/2003); e a definição de um subteto único, correspondente ao subsídio mensal dos desembargadores do Tribunal de Justiça, para todo e qualquer servidor de qualquer poder, ficando de fora desse subteto apenas o subsídio dos deputados (art. 37, § 12, CF, conforme redação da EC 47/2005). In</w:t>
      </w:r>
    </w:p>
    <w:p>
      <w:pPr>
        <w:ind w:left="288"/>
      </w:pPr>
      <w:r>
        <w:rPr>
          <w:b/>
          <w:color w:val="003CA0"/>
          <w:sz w:val="16"/>
        </w:rPr>
        <w:t>[ADI 4.900, rel. do ac. min. Roberto Barroso, rel. min. Teori Zavascki, j. 11-2-2015, P, DJE de 20-4-2015.]</w:t>
      </w:r>
    </w:p>
    <w:p>
      <w:pPr>
        <w:ind w:left="288"/>
      </w:pPr>
      <w:r>
        <w:rPr>
          <w:color w:val="8C8C8C"/>
          <w:sz w:val="12"/>
        </w:rPr>
        <w:t>cf-art-37-inc-IX</w:t>
      </w:r>
      <w:r>
        <w:rPr>
          <w:color w:val="003CA0"/>
          <w:sz w:val="12"/>
        </w:rPr>
        <w:t xml:space="preserve"> | ADI 4.900</w:t>
      </w:r>
      <w:r>
        <w:rPr>
          <w:color w:val="003CA0"/>
          <w:sz w:val="12"/>
        </w:rPr>
        <w:t xml:space="preserve"> | rel. Roberto Barroso</w:t>
      </w:r>
    </w:p>
    <w:p>
      <w:pPr>
        <w:ind w:left="288"/>
      </w:pPr>
      <w:r>
        <w:rPr>
          <w:color w:val="1E1E1E"/>
          <w:sz w:val="18"/>
        </w:rPr>
        <w:t>Vide: ADI 4.900-ED, rel. min. Roberto Barroso, j. 2-8-2021, P, DJE 24-8-2021 O valor correspondente aos proventos ou à remuneração do instituidor da pensão por morte, para os fins do art. 40, § 7º, da Constituição Federal, na redação da Emenda Constitucional nº 41/2003, deve considerar apenas as parcelas efetivamente percebidas pelo servidor ativo ou aposentado, excluídos os valores que excedam o teto ou subteto remuneratórios previstos no art. 37, XI, da Constituição, posto que sobre eles não incidiu contribuição previdenciária. A sistemática constitucional exige congruência entre custeio e b</w:t>
      </w:r>
    </w:p>
    <w:p>
      <w:pPr>
        <w:ind w:left="288"/>
      </w:pPr>
      <w:r>
        <w:rPr>
          <w:b/>
          <w:color w:val="003CA0"/>
          <w:sz w:val="16"/>
        </w:rPr>
        <w:t>[ARE 1.314.490, rel. min. Flávio Dino, j. 9-2-2026, P, DJE de 23-2-2026, Tema 1.167, com mérito julgado.]</w:t>
      </w:r>
    </w:p>
    <w:p>
      <w:pPr>
        <w:ind w:left="144"/>
      </w:pPr>
      <w:r>
        <w:rPr>
          <w:b/>
          <w:color w:val="B45A00"/>
          <w:sz w:val="16"/>
        </w:rPr>
        <w:t>REPERCUSSAO GERAL</w:t>
      </w:r>
    </w:p>
    <w:p>
      <w:pPr>
        <w:ind w:left="288"/>
      </w:pPr>
      <w:r>
        <w:rPr>
          <w:color w:val="8C8C8C"/>
          <w:sz w:val="12"/>
        </w:rPr>
        <w:t>cf-art-37-inc-IX</w:t>
      </w:r>
      <w:r>
        <w:rPr>
          <w:color w:val="003CA0"/>
          <w:sz w:val="12"/>
        </w:rPr>
        <w:t xml:space="preserve"> | RE 1.355.112</w:t>
      </w:r>
      <w:r>
        <w:rPr>
          <w:color w:val="003CA0"/>
          <w:sz w:val="12"/>
        </w:rPr>
        <w:t xml:space="preserve"> | rel. Luiz Fux</w:t>
      </w:r>
    </w:p>
    <w:p>
      <w:pPr>
        <w:ind w:left="288"/>
      </w:pPr>
      <w:r>
        <w:rPr>
          <w:color w:val="1E1E1E"/>
          <w:sz w:val="18"/>
        </w:rPr>
        <w:t>Efeitos das Emendas Constitucionais 41/2003 e 47/2005 sobre norma de Constituição Estadual editada na vigência da Emenda Constitucional 19/1998, que previa como limite de remuneração para todo o funcionalismo estadual o subsídio mensal, em espécie, dos Desembargadores do Tribunal de Justiça respectivo.</w:t>
      </w:r>
    </w:p>
    <w:p>
      <w:pPr>
        <w:ind w:left="288"/>
      </w:pPr>
      <w:r>
        <w:rPr>
          <w:b/>
          <w:color w:val="003CA0"/>
          <w:sz w:val="16"/>
        </w:rPr>
        <w:t>[RE 1.355.112 RG, rel. min. Luiz Fux, j. 10-3-2022, P, DJE de 24-3-2022, Tema 1.202, com mérito pendente.]</w:t>
      </w:r>
    </w:p>
    <w:p>
      <w:pPr>
        <w:ind w:left="288"/>
      </w:pPr>
      <w:r>
        <w:rPr>
          <w:color w:val="8C8C8C"/>
          <w:sz w:val="12"/>
        </w:rPr>
        <w:t>cf-art-37-inc-IX</w:t>
      </w:r>
      <w:r>
        <w:rPr>
          <w:color w:val="003CA0"/>
          <w:sz w:val="12"/>
        </w:rPr>
        <w:t xml:space="preserve"> | RE 808.202</w:t>
      </w:r>
      <w:r>
        <w:rPr>
          <w:color w:val="003CA0"/>
          <w:sz w:val="12"/>
        </w:rPr>
        <w:t xml:space="preserve"> | rel. Dias Toffoli</w:t>
      </w:r>
    </w:p>
    <w:p>
      <w:pPr>
        <w:ind w:left="288"/>
      </w:pPr>
      <w:r>
        <w:rPr>
          <w:color w:val="1E1E1E"/>
          <w:sz w:val="18"/>
        </w:rPr>
        <w:t>(...) os substitutos ou interinos designados para o exercício de função delegada não se equiparam aos titulares de serventias extrajudiciais, visto não atenderem aos requisitos estabelecidos nos arts. 37, inciso II; e 236, § 3º, da Constituição Federal para o provimento originário da função, inserindo-se na categoria dos agentes estatais, razão pela qual se aplica a eles o teto remuneratório do art. 37, inciso XI, da Carta da República.</w:t>
      </w:r>
    </w:p>
    <w:p>
      <w:pPr>
        <w:ind w:left="288"/>
      </w:pPr>
      <w:r>
        <w:rPr>
          <w:b/>
          <w:color w:val="003CA0"/>
          <w:sz w:val="16"/>
        </w:rPr>
        <w:t>[RE 808.202, rel. min. Dias Toffoli, j. 24-8-2020, P, DJE de 25-11-2020, Tema 779, com mérito julgado.]</w:t>
      </w:r>
    </w:p>
    <w:p>
      <w:pPr>
        <w:ind w:left="288"/>
      </w:pPr>
      <w:r>
        <w:rPr>
          <w:color w:val="8C8C8C"/>
          <w:sz w:val="12"/>
        </w:rPr>
        <w:t>cf-art-37-inc-IX</w:t>
      </w:r>
      <w:r>
        <w:rPr>
          <w:color w:val="003CA0"/>
          <w:sz w:val="12"/>
        </w:rPr>
        <w:t xml:space="preserve"> | RE 602.584</w:t>
      </w:r>
      <w:r>
        <w:rPr>
          <w:color w:val="003CA0"/>
          <w:sz w:val="12"/>
        </w:rPr>
        <w:t xml:space="preserve"> | rel. Marco Aurélio</w:t>
      </w:r>
    </w:p>
    <w:p>
      <w:pPr>
        <w:ind w:left="288"/>
      </w:pPr>
      <w:r>
        <w:rPr>
          <w:color w:val="1E1E1E"/>
          <w:sz w:val="18"/>
        </w:rPr>
        <w:t>Ocorrida a morte do instituidor da pensão em momento posterior ao da Emenda Constitucional 19/1998, o teto constitucional previsto no inciso XI do artigo 37 da Constituição Federal incide sobre o somatório de remuneração ou provento e pensão percebida por servidor.</w:t>
      </w:r>
    </w:p>
    <w:p>
      <w:pPr>
        <w:ind w:left="288"/>
      </w:pPr>
      <w:r>
        <w:rPr>
          <w:b/>
          <w:color w:val="003CA0"/>
          <w:sz w:val="16"/>
        </w:rPr>
        <w:t>[RE 602.584, rel. min. Marco Aurélio, j. 6-8-2020, P, DJE de 23-11-2020, Tema 359, com mérito julgado.]</w:t>
      </w:r>
    </w:p>
    <w:p>
      <w:pPr>
        <w:ind w:left="288"/>
      </w:pPr>
      <w:r>
        <w:rPr>
          <w:color w:val="8C8C8C"/>
          <w:sz w:val="12"/>
        </w:rPr>
        <w:t>cf-art-37-inc-IX</w:t>
      </w:r>
      <w:r>
        <w:rPr>
          <w:color w:val="003CA0"/>
          <w:sz w:val="12"/>
        </w:rPr>
        <w:t xml:space="preserve"> | RE 663.696</w:t>
      </w:r>
      <w:r>
        <w:rPr>
          <w:color w:val="003CA0"/>
          <w:sz w:val="12"/>
        </w:rPr>
        <w:t xml:space="preserve"> | rel. Luiz Fux</w:t>
      </w:r>
    </w:p>
    <w:p>
      <w:pPr>
        <w:ind w:left="288"/>
      </w:pPr>
      <w:r>
        <w:rPr>
          <w:color w:val="1E1E1E"/>
          <w:sz w:val="18"/>
        </w:rPr>
        <w:t>A expressão ‘Procuradores’, contida na parte final do inciso XI do art. 37 da Constituição da República, compreende os Procuradores Municipais, uma vez que estes se inserem nas funções essenciais à Justiça, estando, portanto, submetidos ao teto de noventa inteiros e vinte e cinco centésimos por cento do subsídio mensal, em espécie, dos Ministros do Supremo Tribunal Federal.</w:t>
      </w:r>
    </w:p>
    <w:p>
      <w:pPr>
        <w:ind w:left="288"/>
      </w:pPr>
      <w:r>
        <w:rPr>
          <w:b/>
          <w:color w:val="003CA0"/>
          <w:sz w:val="16"/>
        </w:rPr>
        <w:t>[RE 663.696, rel. min. Luiz Fux, j. 28 -2-2019, P, DJE de 22-8-2019, Tema 510, com mérito julgado.]</w:t>
      </w:r>
    </w:p>
    <w:p>
      <w:pPr>
        <w:ind w:left="288"/>
      </w:pPr>
      <w:r>
        <w:rPr>
          <w:color w:val="8C8C8C"/>
          <w:sz w:val="12"/>
        </w:rPr>
        <w:t>cf-art-37-inc-IX</w:t>
      </w:r>
      <w:r>
        <w:rPr>
          <w:color w:val="003CA0"/>
          <w:sz w:val="12"/>
        </w:rPr>
        <w:t xml:space="preserve"> | RE 612.975</w:t>
      </w:r>
      <w:r>
        <w:rPr>
          <w:color w:val="003CA0"/>
          <w:sz w:val="12"/>
        </w:rPr>
        <w:t xml:space="preserve"> | rel. Marco Aurélio</w:t>
      </w:r>
    </w:p>
    <w:p>
      <w:pPr>
        <w:ind w:left="288"/>
      </w:pPr>
      <w:r>
        <w:rPr>
          <w:color w:val="1E1E1E"/>
          <w:sz w:val="18"/>
        </w:rPr>
        <w:t>Nas situações jurídicas em que a CF autoriza a acumulação de cargos, o teto remuneratório é considerado em relação à remuneração de cada um deles, e não ao somatório do que recebido.</w:t>
      </w:r>
    </w:p>
    <w:p>
      <w:pPr>
        <w:ind w:left="288"/>
      </w:pPr>
      <w:r>
        <w:rPr>
          <w:b/>
          <w:color w:val="003CA0"/>
          <w:sz w:val="16"/>
        </w:rPr>
        <w:t>[RE 612.975 e RE 602.043, rel. min. Marco Aurélio, j. 27-4-2017, P, DJE de 8-9-2017, Tema 377 e Tema 384, com mérito julgado.]</w:t>
      </w:r>
    </w:p>
    <w:p>
      <w:pPr>
        <w:ind w:left="288"/>
      </w:pPr>
      <w:r>
        <w:rPr>
          <w:color w:val="8C8C8C"/>
          <w:sz w:val="12"/>
        </w:rPr>
        <w:t>cf-art-37-inc-IX</w:t>
      </w:r>
      <w:r>
        <w:rPr>
          <w:color w:val="003CA0"/>
          <w:sz w:val="12"/>
        </w:rPr>
        <w:t xml:space="preserve"> | RE 606.358</w:t>
      </w:r>
      <w:r>
        <w:rPr>
          <w:color w:val="003CA0"/>
          <w:sz w:val="12"/>
        </w:rPr>
        <w:t xml:space="preserve"> | rel. Rosa Weber</w:t>
      </w:r>
    </w:p>
    <w:p>
      <w:pPr>
        <w:ind w:left="288"/>
      </w:pPr>
      <w:r>
        <w:rPr>
          <w:color w:val="1E1E1E"/>
          <w:sz w:val="18"/>
        </w:rPr>
        <w:t>Computam-se para efeito de observância do teto remuneratório do art. 37, XI, da Constituição da República também os valores percebidos anteriormente à vigência da EC 41/2003 a título de vantagens pessoais pelo servidor público, dispensada a restituição dos valores recebidos em excesso de boa-fé até o dia 18 de novembro de 2015. O âmbito de incidência da garantia de irredutibilidade de vencimentos (art. 37, XV, da Lei Maior) não alcança valores excedentes do limite definido no art. 37, XI, da Constituição da República. Traduz afronta direta ao art. 37, XI e XV, da Constituição da República a ex</w:t>
      </w:r>
    </w:p>
    <w:p>
      <w:pPr>
        <w:ind w:left="288"/>
      </w:pPr>
      <w:r>
        <w:rPr>
          <w:b/>
          <w:color w:val="003CA0"/>
          <w:sz w:val="16"/>
        </w:rPr>
        <w:t>[RE 606.358, rel. min. Rosa Weber, j. 18-11-2015, P, DJE de 7-4-2016, Tema 257, com mérito julgado.]</w:t>
      </w:r>
    </w:p>
    <w:p>
      <w:pPr>
        <w:ind w:left="288"/>
      </w:pPr>
      <w:r>
        <w:rPr>
          <w:color w:val="8C8C8C"/>
          <w:sz w:val="12"/>
        </w:rPr>
        <w:t>cf-art-37-inc-IX</w:t>
      </w:r>
      <w:r>
        <w:rPr>
          <w:color w:val="003CA0"/>
          <w:sz w:val="12"/>
        </w:rPr>
        <w:t xml:space="preserve"> | RE 675.978</w:t>
      </w:r>
      <w:r>
        <w:rPr>
          <w:color w:val="003CA0"/>
          <w:sz w:val="12"/>
        </w:rPr>
        <w:t xml:space="preserve"> | rel. Cármen Lúcia</w:t>
      </w:r>
    </w:p>
    <w:p>
      <w:pPr>
        <w:ind w:left="288"/>
      </w:pPr>
      <w:r>
        <w:rPr>
          <w:color w:val="1E1E1E"/>
          <w:sz w:val="18"/>
        </w:rPr>
        <w:t>A base de cálculo sobre a qual incidirão os descontos previdenciários e o imposto de renda é a remuneração/subsídios/proventos/pensões ou outras espécies remuneratórias dos servidores públicos (valor bruto) fixada após a definição do valor a ser recebido por força da observância do teto/subteto constitucional, definidos em lei.</w:t>
      </w:r>
    </w:p>
    <w:p>
      <w:pPr>
        <w:ind w:left="288"/>
      </w:pPr>
      <w:r>
        <w:rPr>
          <w:b/>
          <w:color w:val="003CA0"/>
          <w:sz w:val="16"/>
        </w:rPr>
        <w:t>[RE 675.978, voto da rel. min. Cármen Lúcia, j. 15-4-2015, P, DJE de 29-6-2015, Tema 639, com mérito julgado.]</w:t>
      </w:r>
    </w:p>
    <w:p>
      <w:pPr>
        <w:ind w:left="288"/>
      </w:pPr>
      <w:r>
        <w:rPr>
          <w:color w:val="8C8C8C"/>
          <w:sz w:val="12"/>
        </w:rPr>
        <w:t>cf-art-37-inc-IX</w:t>
      </w:r>
      <w:r>
        <w:rPr>
          <w:color w:val="003CA0"/>
          <w:sz w:val="12"/>
        </w:rPr>
        <w:t xml:space="preserve"> | SS 5.011</w:t>
      </w:r>
      <w:r>
        <w:rPr>
          <w:color w:val="003CA0"/>
          <w:sz w:val="12"/>
        </w:rPr>
        <w:t xml:space="preserve"> | rel. Ricardo Lewandowski</w:t>
      </w:r>
    </w:p>
    <w:p>
      <w:pPr>
        <w:ind w:left="288"/>
      </w:pPr>
      <w:r>
        <w:rPr>
          <w:color w:val="1E1E1E"/>
          <w:sz w:val="18"/>
        </w:rPr>
        <w:t>Vide SS 5.011 AgR, rel. min. Ricardo Lewandowski, j. 17-6-2015, P, DJE de 1º-10-2015 O teto de retribuição estabelecido pela EC 41/2003 possui eficácia imediata, submetendo às referências de valor máximo nele discriminadas todas as verbas de natureza remuneratória percebidas pelos servidores públicos da União, Estados, Distrito Federal e Municípios, ainda que adquiridas de acordo com regime legal anterior. A observância da norma de teto de retribuição representa verdadeira condição de legitimidade para o pagamento das remunerações no serviço público. Os valores que ultrapassam os limites prees</w:t>
      </w:r>
    </w:p>
    <w:p>
      <w:pPr>
        <w:ind w:left="288"/>
      </w:pPr>
      <w:r>
        <w:rPr>
          <w:b/>
          <w:color w:val="003CA0"/>
          <w:sz w:val="16"/>
        </w:rPr>
        <w:t>[RE 609.381, rel. min. Teori Zavascki, j. 2-10-2014, P, DJE de 11-12-2014, Tema 480, com mérito julgado.]</w:t>
      </w:r>
    </w:p>
    <w:p>
      <w:pPr>
        <w:ind w:left="288"/>
      </w:pPr>
      <w:r>
        <w:rPr>
          <w:color w:val="8C8C8C"/>
          <w:sz w:val="12"/>
        </w:rPr>
        <w:t>cf-art-37-inc-IX</w:t>
      </w:r>
      <w:r>
        <w:rPr>
          <w:color w:val="003CA0"/>
          <w:sz w:val="12"/>
        </w:rPr>
        <w:t xml:space="preserve"> | RE 424.053</w:t>
      </w:r>
      <w:r>
        <w:rPr>
          <w:color w:val="003CA0"/>
          <w:sz w:val="12"/>
        </w:rPr>
        <w:t xml:space="preserve"> | rel. Marco Aurélio</w:t>
      </w:r>
    </w:p>
    <w:p>
      <w:pPr>
        <w:ind w:left="288"/>
      </w:pPr>
      <w:r>
        <w:rPr>
          <w:color w:val="1E1E1E"/>
          <w:sz w:val="18"/>
        </w:rPr>
        <w:t>A eficácia do inciso XI do art. 37 da CF, na redação decorrente da EC 19/1998, ficou jungida à fixação, por lei de iniciativa conjunta do presidente da República, do presidente do Supremo, do presidente da Câmara e do presidente do Senado, do subsídio, persistindo a vigência do texto primitivo da Carta, no que contemplado o teto por Poder, consideradas as esferas federal e estadual.</w:t>
      </w:r>
    </w:p>
    <w:p>
      <w:pPr>
        <w:ind w:left="288"/>
      </w:pPr>
      <w:r>
        <w:rPr>
          <w:b/>
          <w:color w:val="003CA0"/>
          <w:sz w:val="16"/>
        </w:rPr>
        <w:t>[RE 424.053, rel. min. Marco Aurélio, j. 24-6-2010, P, DJE de 1º-10-2010, Tema 282, com mérito julgado.]</w:t>
      </w:r>
    </w:p>
    <w:p>
      <w:pPr>
        <w:ind w:left="288"/>
      </w:pPr>
      <w:r>
        <w:rPr>
          <w:color w:val="8C8C8C"/>
          <w:sz w:val="12"/>
        </w:rPr>
        <w:t>cf-art-37-inc-IX</w:t>
      </w:r>
      <w:r>
        <w:rPr>
          <w:color w:val="003CA0"/>
          <w:sz w:val="12"/>
        </w:rPr>
        <w:t xml:space="preserve"> | RE 1.508.596</w:t>
      </w:r>
      <w:r>
        <w:rPr>
          <w:color w:val="003CA0"/>
          <w:sz w:val="12"/>
        </w:rPr>
        <w:t xml:space="preserve"> | rel. ALEXANDRE DE MORAES</w:t>
      </w:r>
    </w:p>
    <w:p>
      <w:pPr>
        <w:ind w:left="288"/>
      </w:pPr>
      <w:r>
        <w:rPr>
          <w:color w:val="1E1E1E"/>
          <w:sz w:val="18"/>
        </w:rPr>
        <w:t>O teto remuneratório das carreiras jurídicas previstas na Seção II, do Título IV da Constituição Federal – procuradores dos Estados e Municípios – são idênticos e correspondem ao mesmo teto salarial dos Desembargadores estaduais, que, nos termos do artigo 37, XI, é o teto remuneratório dos Ministros do STF, pois se inserem nas funções essenciais à Justiça. Não se pode excluir dessa interpretação constitucional a Defensoria Pública, que, igualmente, está prevista como função essencial à Justiça, na Seção III, do mesmo Título IV da Constituição Federal de 1988. A interpretação constitucional con</w:t>
      </w:r>
    </w:p>
    <w:p>
      <w:pPr>
        <w:ind w:left="288"/>
      </w:pPr>
      <w:r>
        <w:rPr>
          <w:b/>
          <w:color w:val="003CA0"/>
          <w:sz w:val="16"/>
        </w:rPr>
        <w:t>[ARE 1.514.053 AgR, rel. min. Flávio Dino, red. do ac. min. Alexandre de Moraes, j. 06.08.2025, 1ª T, DJE de 01.10.2025.]</w:t>
      </w:r>
    </w:p>
    <w:p>
      <w:pPr>
        <w:ind w:left="144"/>
      </w:pPr>
      <w:r>
        <w:rPr>
          <w:b/>
          <w:color w:val="B45A00"/>
          <w:sz w:val="16"/>
        </w:rPr>
        <w:t>JULGADOS CORRELATOS</w:t>
      </w:r>
    </w:p>
    <w:p>
      <w:pPr>
        <w:ind w:left="288"/>
      </w:pPr>
      <w:r>
        <w:rPr>
          <w:color w:val="8C8C8C"/>
          <w:sz w:val="12"/>
        </w:rPr>
        <w:t>cf-art-37-inc-IX</w:t>
      </w:r>
      <w:r>
        <w:rPr>
          <w:color w:val="003CA0"/>
          <w:sz w:val="12"/>
        </w:rPr>
        <w:t xml:space="preserve"> | RE 1.476.880</w:t>
      </w:r>
      <w:r>
        <w:rPr>
          <w:color w:val="003CA0"/>
          <w:sz w:val="12"/>
        </w:rPr>
        <w:t xml:space="preserve"> | rel. André Mendonça</w:t>
      </w:r>
    </w:p>
    <w:p>
      <w:pPr>
        <w:ind w:left="288"/>
      </w:pPr>
      <w:r>
        <w:rPr>
          <w:color w:val="1E1E1E"/>
          <w:sz w:val="18"/>
        </w:rPr>
        <w:t>Em se tratando da acumulação de duas pensões militares por morte, incide ao caso o Tema nº 359 do ementário da Repercussão Geral, cuja tese de julgamento é a seguinte: “Ocorrida a morte do instituidor da pensão em momento posterior ao da Emenda Constitucional nº 19/1998, o teto constitucional previsto no inciso XI do artigo 37 da Constituição Federal incide sobre o somatório de remuneração ou provento e pensão percebida por servidor.“</w:t>
        <w:br/>
        <w:t>[RE 1.476.880 AgR, rel. min. André Mendonça, j. 13.05.2024, 2ª T, DJE de 28.06.2024.] Acumulação remunerada de cargos públicos. Policial militar inativo. Profess</w:t>
      </w:r>
    </w:p>
    <w:p>
      <w:pPr>
        <w:ind w:left="288"/>
      </w:pPr>
      <w:r>
        <w:rPr>
          <w:b/>
          <w:color w:val="003CA0"/>
          <w:sz w:val="16"/>
        </w:rPr>
        <w:t>[MS 30.180 AgR, rel. min. Dias Toffoli, j. 21-10-2014, 1ª T, DJE de 21-11-2014.]</w:t>
      </w:r>
    </w:p>
    <w:p>
      <w:pPr>
        <w:ind w:left="288"/>
      </w:pPr>
      <w:r>
        <w:rPr>
          <w:color w:val="8C8C8C"/>
          <w:sz w:val="12"/>
        </w:rPr>
        <w:t>cf-art-37-inc-IX</w:t>
      </w:r>
      <w:r>
        <w:rPr>
          <w:color w:val="003CA0"/>
          <w:sz w:val="12"/>
        </w:rPr>
        <w:t xml:space="preserve"> | MS 29.093</w:t>
      </w:r>
      <w:r>
        <w:rPr>
          <w:color w:val="003CA0"/>
          <w:sz w:val="12"/>
        </w:rPr>
        <w:t xml:space="preserve"> | rel. Teori Zavascki</w:t>
      </w:r>
    </w:p>
    <w:p>
      <w:pPr>
        <w:ind w:left="288"/>
      </w:pPr>
      <w:r>
        <w:rPr>
          <w:color w:val="1E1E1E"/>
          <w:sz w:val="18"/>
        </w:rPr>
        <w:t>= MS 29.093 ED-ED-AgR, rel. min. Teori Zavascki, j. 14-4-2015, 2ª T, DJE de 3-8-2015 Registre-se (...) que a norma prevista no art. 37, XI, da CF, com a redação dada pela EC 41/2003, é autoaplicável.</w:t>
      </w:r>
    </w:p>
    <w:p>
      <w:pPr>
        <w:ind w:left="288"/>
      </w:pPr>
      <w:r>
        <w:rPr>
          <w:b/>
          <w:color w:val="003CA0"/>
          <w:sz w:val="16"/>
        </w:rPr>
        <w:t>[RE 372.369 AgR, voto do rel. min. Gilmar Mendes, j. 14-2-2012, 2ª T, DJE de 5-3-2012.]</w:t>
      </w:r>
    </w:p>
    <w:p>
      <w:pPr>
        <w:ind w:left="288"/>
      </w:pPr>
      <w:r>
        <w:rPr>
          <w:color w:val="8C8C8C"/>
          <w:sz w:val="12"/>
        </w:rPr>
        <w:t>cf-art-37-inc-IX</w:t>
      </w:r>
      <w:r>
        <w:rPr>
          <w:color w:val="003CA0"/>
          <w:sz w:val="12"/>
        </w:rPr>
        <w:t xml:space="preserve"> | RE 558.258</w:t>
      </w:r>
      <w:r>
        <w:rPr>
          <w:color w:val="003CA0"/>
          <w:sz w:val="12"/>
        </w:rPr>
        <w:t xml:space="preserve"> | rel. Ricardo Lewandowski</w:t>
      </w:r>
    </w:p>
    <w:p>
      <w:pPr>
        <w:ind w:left="288"/>
      </w:pPr>
      <w:r>
        <w:rPr>
          <w:color w:val="1E1E1E"/>
          <w:sz w:val="18"/>
        </w:rPr>
        <w:t>A referência ao termo "procuradores", na parte final do inciso IX do art. 37 da Constituição, deve ser interpretada de forma a alcançar os procuradores autárquicos, uma vez que estes se inserem no conceito de advocacia pública trazido pela Carta de 1988. A jurisprudência do STF, de resto, é firme no sentido de que somente por meio de lei em sentido formal é possível a estipulação de teto remuneratório.</w:t>
      </w:r>
    </w:p>
    <w:p>
      <w:pPr>
        <w:ind w:left="288"/>
      </w:pPr>
      <w:r>
        <w:rPr>
          <w:b/>
          <w:color w:val="003CA0"/>
          <w:sz w:val="16"/>
        </w:rPr>
        <w:t>[RE 558.258, rel. min. Ricardo Lewandowski, j. 9-11-2010, 1ª T, DJE de 18-3-2011.]</w:t>
      </w:r>
    </w:p>
    <w:p>
      <w:pPr>
        <w:ind w:left="288"/>
      </w:pPr>
      <w:r>
        <w:rPr>
          <w:color w:val="8C8C8C"/>
          <w:sz w:val="12"/>
        </w:rPr>
        <w:t>cf-art-37-inc-IX</w:t>
      </w:r>
      <w:r>
        <w:rPr>
          <w:color w:val="003CA0"/>
          <w:sz w:val="12"/>
        </w:rPr>
        <w:t xml:space="preserve"> | RE 562.238</w:t>
      </w:r>
      <w:r>
        <w:rPr>
          <w:color w:val="003CA0"/>
          <w:sz w:val="12"/>
        </w:rPr>
        <w:t xml:space="preserve"> | rel. Teori Zavascki</w:t>
      </w:r>
    </w:p>
    <w:p>
      <w:pPr>
        <w:ind w:left="288"/>
      </w:pPr>
      <w:r>
        <w:rPr>
          <w:color w:val="1E1E1E"/>
          <w:sz w:val="18"/>
        </w:rPr>
        <w:t>= RE 562.238 AgR, rel. min. Teori Zavascki, j. 2-4-2013, 2ª T, DJE de 17-4-2013 A jurisprudência do STF firmou-se no sentido de que, após a EC 41/2003, as vantagens pessoais, de qualquer espécie, devem ser incluídas no redutor do teto remuneratório, previsto no inciso XI do art. 37 da CF.</w:t>
      </w:r>
    </w:p>
    <w:p>
      <w:pPr>
        <w:ind w:left="288"/>
      </w:pPr>
      <w:r>
        <w:rPr>
          <w:b/>
          <w:color w:val="003CA0"/>
          <w:sz w:val="16"/>
        </w:rPr>
        <w:t>[RE 464.876 AgR, rel. min. Cármen Lúcia, j. 16-12-2008, 1ª T, DJE de 20-2-2009.]</w:t>
      </w:r>
    </w:p>
    <w:p>
      <w:pPr>
        <w:ind w:left="288"/>
      </w:pPr>
      <w:r>
        <w:rPr>
          <w:color w:val="8C8C8C"/>
          <w:sz w:val="12"/>
        </w:rPr>
        <w:t>cf-art-37-inc-IX</w:t>
      </w:r>
      <w:r>
        <w:rPr>
          <w:color w:val="003CA0"/>
          <w:sz w:val="12"/>
        </w:rPr>
        <w:t xml:space="preserve"> | RE 471.070</w:t>
      </w:r>
      <w:r>
        <w:rPr>
          <w:color w:val="003CA0"/>
          <w:sz w:val="12"/>
        </w:rPr>
        <w:t xml:space="preserve"> | rel. Ellen Gracie</w:t>
      </w:r>
    </w:p>
    <w:p>
      <w:pPr>
        <w:ind w:left="288"/>
      </w:pPr>
      <w:r>
        <w:rPr>
          <w:color w:val="1E1E1E"/>
          <w:sz w:val="18"/>
        </w:rPr>
        <w:t>= RE 471.070 AgR, rel. min. Ellen Gracie, j. 31-3-2009, 2ª T, DJE de 24-4-2009 Vide AI 339.636 AgR, rel. min. Ilmar Galvão, j. 16-10-2001, 1ª T, DJ de 14-12-2001 Os empregados das sociedades de economia mista estão submetidos ao teto salarial determinado pelo art. 37, XI, da Constituição, ainda antes da entrada em vigor da EC 19/1998.</w:t>
      </w:r>
    </w:p>
    <w:p>
      <w:pPr>
        <w:ind w:left="288"/>
      </w:pPr>
      <w:r>
        <w:rPr>
          <w:b/>
          <w:color w:val="003CA0"/>
          <w:sz w:val="16"/>
        </w:rPr>
        <w:t>[AI 581.311 AgR, rel. min. Cezar Peluso, j. 14-10-2008, 2ª T, DJE de 21-11-2008.]</w:t>
      </w:r>
    </w:p>
    <w:p>
      <w:pPr>
        <w:ind w:left="288"/>
      </w:pPr>
      <w:r>
        <w:rPr>
          <w:color w:val="8C8C8C"/>
          <w:sz w:val="12"/>
        </w:rPr>
        <w:t>cf-art-37-inc-IX</w:t>
      </w:r>
      <w:r>
        <w:rPr>
          <w:color w:val="003CA0"/>
          <w:sz w:val="12"/>
        </w:rPr>
        <w:t xml:space="preserve"> | RE 572.143</w:t>
      </w:r>
      <w:r>
        <w:rPr>
          <w:color w:val="003CA0"/>
          <w:sz w:val="12"/>
        </w:rPr>
        <w:t xml:space="preserve"> | rel. Ricardo Lewandowski</w:t>
      </w:r>
    </w:p>
    <w:p>
      <w:pPr>
        <w:ind w:left="288"/>
      </w:pPr>
      <w:r>
        <w:rPr>
          <w:color w:val="1E1E1E"/>
          <w:sz w:val="18"/>
        </w:rPr>
        <w:t>= RE 572.143 AgR, rel. min. Ricardo Lewandowski, j. 1º-2-2011, 1ª T, DJE de 25-2-2011 Observância do limite remuneratório dos servidores públicos estabelecido pelo art. 37, XI, da Constituição da República, com redação dada pela EC 41/2003. O STF pacificou o entendimento de que a percepção de proventos ou remuneração por servidores públicos acima do limite estabelecido no art. 37, XI, da Constituição da República enseja lesão à ordem pública. Impõe-se a suspensão das decisões como forma de evitar o efeito multiplicador, que se consubstancia no aforamento, nos diversos tribunais, de processos v</w:t>
      </w:r>
    </w:p>
    <w:p>
      <w:pPr>
        <w:ind w:left="288"/>
      </w:pPr>
      <w:r>
        <w:rPr>
          <w:b/>
          <w:color w:val="003CA0"/>
          <w:sz w:val="16"/>
        </w:rPr>
        <w:t>[SS 2.542 AgR, rel. min. Gilmar Mendes, j. 12-6-2008, P, DJE de 17-10-2008.]</w:t>
      </w:r>
    </w:p>
    <w:p>
      <w:pPr>
        <w:ind w:left="288"/>
      </w:pPr>
      <w:r>
        <w:rPr>
          <w:color w:val="8C8C8C"/>
          <w:sz w:val="12"/>
        </w:rPr>
        <w:t>cf-art-37-inc-IX</w:t>
      </w:r>
      <w:r>
        <w:rPr>
          <w:color w:val="003CA0"/>
          <w:sz w:val="12"/>
        </w:rPr>
        <w:t xml:space="preserve"> | RE 341.977</w:t>
      </w:r>
      <w:r>
        <w:rPr>
          <w:color w:val="003CA0"/>
          <w:sz w:val="12"/>
        </w:rPr>
        <w:t xml:space="preserve"> | rel. Eros Grau</w:t>
      </w:r>
    </w:p>
    <w:p>
      <w:pPr>
        <w:ind w:left="288"/>
      </w:pPr>
      <w:r>
        <w:rPr>
          <w:color w:val="1E1E1E"/>
          <w:sz w:val="18"/>
        </w:rPr>
        <w:t>Pensão especial por morte. Viúva de deputado estadual. Teto. Sendo a agravada pensionista, na condição de viúva de deputado estadual, não lhe é aplicável o teto do Poder Executivo estadual. (...) Pensão especial que foi extinta pela LC estadual 129/1994, criando em seu lugar pensão previdenciária integral, que, nos termos do disposto no art. 37, IV, da CF/1988, somente poderia sofrer limitação do teto remuneratório equivalente ao subsídio de deputado estadual. Precedentes.</w:t>
      </w:r>
    </w:p>
    <w:p>
      <w:pPr>
        <w:ind w:left="288"/>
      </w:pPr>
      <w:r>
        <w:rPr>
          <w:b/>
          <w:color w:val="003CA0"/>
          <w:sz w:val="16"/>
        </w:rPr>
        <w:t>[RE 341.977 AgR, rel. min. Eros Grau, j. 3-6-2008, 2ª T, DJE de 27-6-2008.]</w:t>
      </w:r>
    </w:p>
    <w:p>
      <w:pPr>
        <w:ind w:left="288"/>
      </w:pPr>
      <w:r>
        <w:rPr>
          <w:color w:val="8C8C8C"/>
          <w:sz w:val="12"/>
        </w:rPr>
        <w:t>cf-art-37-inc-IX</w:t>
      </w:r>
      <w:r>
        <w:rPr>
          <w:color w:val="003CA0"/>
          <w:sz w:val="12"/>
        </w:rPr>
        <w:t xml:space="preserve"> | RE 167.841</w:t>
      </w:r>
      <w:r>
        <w:rPr>
          <w:color w:val="003CA0"/>
          <w:sz w:val="12"/>
        </w:rPr>
        <w:t xml:space="preserve"> | rel. Dias Toffoli</w:t>
      </w:r>
    </w:p>
    <w:p>
      <w:pPr>
        <w:ind w:left="288"/>
      </w:pPr>
      <w:r>
        <w:rPr>
          <w:color w:val="1E1E1E"/>
          <w:sz w:val="18"/>
        </w:rPr>
        <w:t>= RE 167.841 AgR, rel. min. Dias Toffoli, j. 10-4-2012, 1ª T, DJE de 10-5-2012 Vide ADI 1.510 MC, rel. min. Carlos Velloso, j. 13-2-1997, P, DJ de 20-6-2003 Ministros aposentados do STF: proventos (subsídios): teto remuneratório: pretensão de imunidade à incidência do teto sobre o Adicional por Tempo de Serviço (ATS), no percentual máximo de 35% e sobre o acréscimo de 20% a que se refere o art. 184, III, da Lei 1.711/1952, combinado com o art. 250 da Lei 8.112/1990: mandado de segurança deferido, em parte. (...) No tocante à magistratura – independentemente de cuidar-se de uma emenda constituc</w:t>
      </w:r>
    </w:p>
    <w:p>
      <w:pPr>
        <w:ind w:left="288"/>
      </w:pPr>
      <w:r>
        <w:rPr>
          <w:b/>
          <w:color w:val="003CA0"/>
          <w:sz w:val="16"/>
        </w:rPr>
        <w:t>[MS 24.875, rel. min. Sepúlveda Pertence, j. 11-5-2006, P, DJ de 6-10-2006.]</w:t>
      </w:r>
    </w:p>
    <w:p>
      <w:pPr>
        <w:ind w:left="288"/>
      </w:pPr>
      <w:r>
        <w:rPr>
          <w:color w:val="8C8C8C"/>
          <w:sz w:val="12"/>
        </w:rPr>
        <w:t>cf-art-37-inc-IX</w:t>
      </w:r>
      <w:r>
        <w:rPr>
          <w:color w:val="003CA0"/>
          <w:sz w:val="12"/>
        </w:rPr>
        <w:t xml:space="preserve"> | AO 1.509</w:t>
      </w:r>
      <w:r>
        <w:rPr>
          <w:color w:val="003CA0"/>
          <w:sz w:val="12"/>
        </w:rPr>
        <w:t xml:space="preserve"> | rel. Ricardo Lewandowski</w:t>
      </w:r>
    </w:p>
    <w:p>
      <w:pPr>
        <w:ind w:left="288"/>
      </w:pPr>
      <w:r>
        <w:rPr>
          <w:color w:val="1E1E1E"/>
          <w:sz w:val="18"/>
        </w:rPr>
        <w:t>= AO 1.509 ED, rel. min. Ricardo Lewandowski, j. 27-2-2014, P, DJE de 26-3-2014 O STF, por sua Segunda Turma, ao julgar o RE 174.741, rel. min. Carlos Velloso, assentou a possibilidade de o Poder Legislativo estadual fixar, por meio de emenda a projeto de lei de iniciativa do Judiciário, o teto de vencimentos dos servidores deste Poder, tendo em conta a jurisprudência desta Suprema Corte que só restringe o poder de emenda em matérias de iniciativa reservada nas hipóteses de aumento de despesa e de descompasso entre a emenda e o assunto do projeto. Assentou-se, todavia, a teor do art. 37, XI da</w:t>
      </w:r>
    </w:p>
    <w:p>
      <w:pPr>
        <w:ind w:left="288"/>
      </w:pPr>
      <w:r>
        <w:rPr>
          <w:b/>
          <w:color w:val="003CA0"/>
          <w:sz w:val="16"/>
        </w:rPr>
        <w:t>[RE 301.841, rel. min. Ellen Gracie, j. 27-4-2004, 2ª T, DJ de 14-5-2004.]</w:t>
      </w:r>
    </w:p>
    <w:p>
      <w:pPr>
        <w:ind w:left="288"/>
      </w:pPr>
      <w:r>
        <w:rPr>
          <w:color w:val="8C8C8C"/>
          <w:sz w:val="12"/>
        </w:rPr>
        <w:t>cf-art-37-inc-IX</w:t>
      </w:r>
      <w:r>
        <w:rPr>
          <w:color w:val="003CA0"/>
          <w:sz w:val="12"/>
        </w:rPr>
        <w:t xml:space="preserve"> | AI 352.349</w:t>
      </w:r>
      <w:r>
        <w:rPr>
          <w:color w:val="003CA0"/>
          <w:sz w:val="12"/>
        </w:rPr>
        <w:t xml:space="preserve"> | rel. Sepúlveda Pertence</w:t>
      </w:r>
    </w:p>
    <w:p>
      <w:pPr>
        <w:ind w:left="288"/>
      </w:pPr>
      <w:r>
        <w:rPr>
          <w:color w:val="1E1E1E"/>
          <w:sz w:val="18"/>
        </w:rPr>
        <w:t>Procuradores do Município de São Paulo: teto de remuneração: inclusão, no cálculo, das parcelas referentes a honorários de advogado, adicional de função, regime de dedicação exclusiva e gratificação de nível superior conferidos a todos os integrantes da categoria.</w:t>
      </w:r>
    </w:p>
    <w:p>
      <w:pPr>
        <w:ind w:left="288"/>
      </w:pPr>
      <w:r>
        <w:rPr>
          <w:b/>
          <w:color w:val="003CA0"/>
          <w:sz w:val="16"/>
        </w:rPr>
        <w:t>[AI 352.349 ED, rel. min. Sepúlveda Pertence, j. 28-10-2003, 1ª T, DJ de 21-11-2003.]</w:t>
      </w:r>
    </w:p>
    <w:p>
      <w:pPr>
        <w:ind w:left="288"/>
      </w:pPr>
      <w:r>
        <w:rPr>
          <w:color w:val="8C8C8C"/>
          <w:sz w:val="12"/>
        </w:rPr>
        <w:t>cf-art-37-inc-IX</w:t>
      </w:r>
      <w:r>
        <w:rPr>
          <w:color w:val="003CA0"/>
          <w:sz w:val="12"/>
        </w:rPr>
        <w:t xml:space="preserve"> | AI 500.054</w:t>
      </w:r>
      <w:r>
        <w:rPr>
          <w:color w:val="003CA0"/>
          <w:sz w:val="12"/>
        </w:rPr>
        <w:t xml:space="preserve"> | rel. Cármen Lúcia</w:t>
      </w:r>
    </w:p>
    <w:p>
      <w:pPr>
        <w:ind w:left="288"/>
      </w:pPr>
      <w:r>
        <w:rPr>
          <w:color w:val="1E1E1E"/>
          <w:sz w:val="18"/>
        </w:rPr>
        <w:t>= AI 500.054 AgR, rel. min. Cármen Lúcia, j. 15-12-2009, 1ª T, DJE de 5-2-2010</w:t>
      </w:r>
    </w:p>
    <w:p>
      <w:pPr>
        <w:ind w:left="144"/>
      </w:pPr>
      <w:r>
        <w:rPr>
          <w:b/>
          <w:color w:val="B45A00"/>
          <w:sz w:val="16"/>
        </w:rPr>
        <w:t>CONTROLE CONCENTRADO</w:t>
      </w:r>
    </w:p>
    <w:p>
      <w:pPr>
        <w:ind w:left="288"/>
      </w:pPr>
      <w:r>
        <w:rPr>
          <w:color w:val="8C8C8C"/>
          <w:sz w:val="12"/>
        </w:rPr>
        <w:t>cf-art-37-inc-XII</w:t>
      </w:r>
      <w:r>
        <w:rPr>
          <w:color w:val="003CA0"/>
          <w:sz w:val="12"/>
        </w:rPr>
        <w:t xml:space="preserve"> | ADI 1.156</w:t>
      </w:r>
      <w:r>
        <w:rPr>
          <w:color w:val="003CA0"/>
          <w:sz w:val="12"/>
        </w:rPr>
        <w:t xml:space="preserve"> | rel. Roberto Barroso</w:t>
      </w:r>
    </w:p>
    <w:p>
      <w:pPr>
        <w:ind w:left="288"/>
      </w:pPr>
      <w:r>
        <w:rPr>
          <w:color w:val="1E1E1E"/>
          <w:sz w:val="18"/>
        </w:rPr>
        <w:t>A previsão de índices distintos para a revisão geral anual, a depender do cargo e da sua remuneração, constante do art. 2º, §2º, e do art. 17, §1º, II, da LC nº 15/1993, do Estado da Paraíba, ofende o art. 37, X, da CF/1988. O atingimento do objetivo do art. 37, XII, da CF/1988, de se buscar algum grau de isonomia entre vencimentos em todos os Poderes, ainda que seja relevante, não pode ser buscado pela via da revisão geral anual.</w:t>
      </w:r>
    </w:p>
    <w:p>
      <w:pPr>
        <w:ind w:left="288"/>
      </w:pPr>
      <w:r>
        <w:rPr>
          <w:b/>
          <w:color w:val="003CA0"/>
          <w:sz w:val="16"/>
        </w:rPr>
        <w:t>[ADI 1.156, rel. min. Roberto Barroso, j. 1º-3-2023, P, DJE de 9-3-2023.]</w:t>
      </w:r>
    </w:p>
    <w:p>
      <w:pPr>
        <w:ind w:left="288"/>
      </w:pPr>
      <w:r>
        <w:rPr>
          <w:color w:val="8C8C8C"/>
          <w:sz w:val="12"/>
        </w:rPr>
        <w:t>cf-art-37-inc-XII</w:t>
      </w:r>
      <w:r>
        <w:rPr>
          <w:color w:val="003CA0"/>
          <w:sz w:val="12"/>
        </w:rPr>
        <w:t xml:space="preserve"> | ADI 603</w:t>
      </w:r>
      <w:r>
        <w:rPr>
          <w:color w:val="003CA0"/>
          <w:sz w:val="12"/>
        </w:rPr>
        <w:t xml:space="preserve"> | rel. Eros Grau</w:t>
      </w:r>
    </w:p>
    <w:p>
      <w:pPr>
        <w:ind w:left="288"/>
      </w:pPr>
      <w:r>
        <w:rPr>
          <w:color w:val="1E1E1E"/>
          <w:sz w:val="18"/>
        </w:rPr>
        <w:t>Não há (...) ofensa ao disposto no art. 37, X e XII, da Constituição do Brasil. Como ponderou o ministro Célio Borja, relator à época (...): "(...) Argui-se (...) violação do inciso XII, do art. 37, da Constituição (...). Não está aí proclamada isonomia remuneratória prescrita alhures (art. 39, § 1º, CF) para os cargos, aliás, de atribuições iguais ou assemelhadas do mesmo Poder ou dos Poderes Executivo, Legislativo e Judiciário. O que o inciso XII, art. 37 da Constituição cria é um limite, não uma relação de igualdade. Ora, esse limite reclama, para implementar-se, intervenção legislativa uma</w:t>
      </w:r>
    </w:p>
    <w:p>
      <w:pPr>
        <w:ind w:left="288"/>
      </w:pPr>
      <w:r>
        <w:rPr>
          <w:b/>
          <w:color w:val="003CA0"/>
          <w:sz w:val="16"/>
        </w:rPr>
        <w:t>[ADI 603, voto do rel. min. Eros Grau, j. 17-8-2006, P, DJ de 6-10-2006.]</w:t>
      </w:r>
    </w:p>
    <w:p>
      <w:pPr>
        <w:ind w:left="144"/>
      </w:pPr>
      <w:r>
        <w:rPr>
          <w:b/>
          <w:color w:val="B45A00"/>
          <w:sz w:val="16"/>
        </w:rPr>
        <w:t>SUMULA VINCULANTE</w:t>
      </w:r>
    </w:p>
    <w:p>
      <w:pPr>
        <w:ind w:left="288"/>
      </w:pPr>
      <w:r>
        <w:rPr>
          <w:color w:val="8C8C8C"/>
          <w:sz w:val="12"/>
        </w:rPr>
        <w:t>cf-art-37-inc-XIII</w:t>
      </w:r>
    </w:p>
    <w:p>
      <w:pPr>
        <w:ind w:left="288"/>
      </w:pPr>
      <w:r>
        <w:rPr>
          <w:color w:val="1E1E1E"/>
          <w:sz w:val="18"/>
        </w:rPr>
        <w:t>É inconstitucional a vinculação do reajuste de vencimentos de servidores estaduais ou municipais a índices federais de correção monetária.</w:t>
      </w:r>
    </w:p>
    <w:p>
      <w:pPr>
        <w:ind w:left="288"/>
      </w:pPr>
      <w:r>
        <w:rPr>
          <w:b/>
          <w:color w:val="003CA0"/>
          <w:sz w:val="16"/>
        </w:rPr>
        <w:t>[Súmula Vinculante 42.]</w:t>
      </w:r>
    </w:p>
    <w:p>
      <w:pPr>
        <w:ind w:left="288"/>
      </w:pPr>
      <w:r>
        <w:rPr>
          <w:color w:val="8C8C8C"/>
          <w:sz w:val="12"/>
        </w:rPr>
        <w:t>cf-art-37-inc-XIII</w:t>
      </w:r>
      <w:r>
        <w:rPr>
          <w:color w:val="003CA0"/>
          <w:sz w:val="12"/>
        </w:rPr>
        <w:t xml:space="preserve"> | ADI 7.746</w:t>
      </w:r>
      <w:r>
        <w:rPr>
          <w:color w:val="003CA0"/>
          <w:sz w:val="12"/>
        </w:rPr>
        <w:t xml:space="preserve"> | rel. Cristiano Zanin</w:t>
      </w:r>
    </w:p>
    <w:p>
      <w:pPr>
        <w:ind w:left="288"/>
      </w:pPr>
      <w:r>
        <w:rPr>
          <w:color w:val="1E1E1E"/>
          <w:sz w:val="18"/>
        </w:rPr>
        <w:t>A jurisprudência do Supremo Tribunal Federal é pacífica no sentido da inconstitucionalidade da vinculação ou equiparação de espécies remuneratórias para o efeito de remuneração de pessoal do serviço público. A vedação visa impedir reajustes automáticos de vencimentos, assegurando a reserva de lei específica para a matéria (art. 37, X e XIII, da CF). (...) Interpretação conforme à Constituição Federal ao art. 7º, § 3º, I, a, da Lei n. 15.665/2006, do Estado de Goiás, para preservar o valor nominal dos vencimentos atualmente recebidos, vedando reajustes futuros decorrentes da vinculação remunera</w:t>
      </w:r>
    </w:p>
    <w:p>
      <w:pPr>
        <w:ind w:left="288"/>
      </w:pPr>
      <w:r>
        <w:rPr>
          <w:b/>
          <w:color w:val="003CA0"/>
          <w:sz w:val="16"/>
        </w:rPr>
        <w:t>[ADI 7.746, rel. min. Cristiano Zanin, j. 12.08.2025, P, DJE de 28.08.2025.]</w:t>
      </w:r>
    </w:p>
    <w:p>
      <w:pPr>
        <w:ind w:left="288"/>
      </w:pPr>
      <w:r>
        <w:rPr>
          <w:color w:val="8C8C8C"/>
          <w:sz w:val="12"/>
        </w:rPr>
        <w:t>cf-art-37-inc-XIII</w:t>
      </w:r>
      <w:r>
        <w:rPr>
          <w:color w:val="003CA0"/>
          <w:sz w:val="12"/>
        </w:rPr>
        <w:t xml:space="preserve"> | ADI 3.581</w:t>
      </w:r>
      <w:r>
        <w:rPr>
          <w:color w:val="003CA0"/>
          <w:sz w:val="12"/>
        </w:rPr>
        <w:t xml:space="preserve"> | rel. Nunes Marques</w:t>
      </w:r>
    </w:p>
    <w:p>
      <w:pPr>
        <w:ind w:left="288"/>
      </w:pPr>
      <w:r>
        <w:rPr>
          <w:color w:val="1E1E1E"/>
          <w:sz w:val="18"/>
        </w:rPr>
        <w:t>É inconstitucional a gratificação criada para remunerar investigadores e agentes da Polícia Civil pela guarda de preso em cadeias públicas e estabelecimentos do sistema penitenciário, porquanto configurado desvio de função. A gratificação paga aos agentes penitenciários da Secretaria da Justiça está atrelada ao vencimento de cargo pertencente à carreira da Polícia Civil. Eventual efeito cascata deve ser rechaçado, por incompatibilidade com o art. 37, XIII, da Constituição Federal.</w:t>
      </w:r>
    </w:p>
    <w:p>
      <w:pPr>
        <w:ind w:left="288"/>
      </w:pPr>
      <w:r>
        <w:rPr>
          <w:b/>
          <w:color w:val="003CA0"/>
          <w:sz w:val="16"/>
        </w:rPr>
        <w:t>[ADI 3.581, rel. min. Nunes Marques, j. 26.11.2024, P, DJE de 18.12.2024.]</w:t>
      </w:r>
    </w:p>
    <w:p>
      <w:pPr>
        <w:ind w:left="144"/>
      </w:pPr>
      <w:r>
        <w:rPr>
          <w:b/>
          <w:color w:val="B45A00"/>
          <w:sz w:val="16"/>
        </w:rPr>
        <w:t>CONTROLE CONCENTRADO</w:t>
      </w:r>
    </w:p>
    <w:p>
      <w:pPr>
        <w:ind w:left="288"/>
      </w:pPr>
      <w:r>
        <w:rPr>
          <w:color w:val="8C8C8C"/>
          <w:sz w:val="12"/>
        </w:rPr>
        <w:t>cf-art-37-inc-XIII</w:t>
      </w:r>
      <w:r>
        <w:rPr>
          <w:color w:val="003CA0"/>
          <w:sz w:val="12"/>
        </w:rPr>
        <w:t xml:space="preserve"> | ADI 7.264</w:t>
      </w:r>
      <w:r>
        <w:rPr>
          <w:color w:val="003CA0"/>
          <w:sz w:val="12"/>
        </w:rPr>
        <w:t xml:space="preserve"> | rel. Roberto Barroso</w:t>
      </w:r>
    </w:p>
    <w:p>
      <w:pPr>
        <w:ind w:left="288"/>
      </w:pPr>
      <w:r>
        <w:rPr>
          <w:color w:val="1E1E1E"/>
          <w:sz w:val="18"/>
        </w:rPr>
        <w:t xml:space="preserve">É inconstitucional, por violação ao art. 37, X e XIII, e ao art. 39, § 1º, da CF, a vinculação de remunerações de carreiras pertencentes a entes federativos distintos ao subsídio de Ministros do Supremo Tribunal Federal; 2) A previsão legal que fixe subsídio em percentual determinado de um cargo paradigma deve ser interpretada conforme à Constituição, considerando-se como base o valor vigente no momento de publicação da lei impugnada, vedados reajustes automáticos posteriores; 3) Não ofende a Constituição o escalonamento de salários entre cargos estruturados na mesma carreira pública ou entre </w:t>
      </w:r>
    </w:p>
    <w:p>
      <w:pPr>
        <w:ind w:left="288"/>
      </w:pPr>
      <w:r>
        <w:rPr>
          <w:b/>
          <w:color w:val="003CA0"/>
          <w:sz w:val="16"/>
        </w:rPr>
        <w:t>[ADI 6.951, rel. min. Edson Fachin, j. 13-6-2022, P, DJE de 28-6-2022.]</w:t>
      </w:r>
    </w:p>
    <w:p>
      <w:pPr>
        <w:ind w:left="288"/>
      </w:pPr>
      <w:r>
        <w:rPr>
          <w:color w:val="8C8C8C"/>
          <w:sz w:val="12"/>
        </w:rPr>
        <w:t>cf-art-37-inc-XIII</w:t>
      </w:r>
      <w:r>
        <w:rPr>
          <w:color w:val="003CA0"/>
          <w:sz w:val="12"/>
        </w:rPr>
        <w:t xml:space="preserve"> | ADI 3.804</w:t>
      </w:r>
      <w:r>
        <w:rPr>
          <w:color w:val="003CA0"/>
          <w:sz w:val="12"/>
        </w:rPr>
        <w:t xml:space="preserve"> | rel. Dias Toffoli</w:t>
      </w:r>
    </w:p>
    <w:p>
      <w:pPr>
        <w:ind w:left="288"/>
      </w:pPr>
      <w:r>
        <w:rPr>
          <w:color w:val="1E1E1E"/>
          <w:sz w:val="18"/>
        </w:rPr>
        <w:t xml:space="preserve">A extensão automática de vencimentos e vantagens dos membros do ministério público comum aos membros do parquet especial exorbita o modelo normativo proclamado pela própria Constituição Federal em seu art. 130 e transgride a autonomia financeira da respectiva corte de contas estadual e a cláusula proibitória fundada no art. 37, inciso XIII, da Carta da República, que veda a vinculação ou a equiparação de quaisquer espécies remuneratórias para o efeito de remuneração de pessoal do serviço público. Os únicos regramentos do ministério público comum aplicáveis ao parquet que atua junto a tribunal </w:t>
      </w:r>
    </w:p>
    <w:p>
      <w:pPr>
        <w:ind w:left="288"/>
      </w:pPr>
      <w:r>
        <w:rPr>
          <w:b/>
          <w:color w:val="003CA0"/>
          <w:sz w:val="16"/>
        </w:rPr>
        <w:t>[ADI 3.804, rel. min. Dias Toffoli, j. 6-12-2021, P, DJE de 16-3-2022.]</w:t>
      </w:r>
    </w:p>
    <w:p>
      <w:pPr>
        <w:ind w:left="288"/>
      </w:pPr>
      <w:r>
        <w:rPr>
          <w:color w:val="8C8C8C"/>
          <w:sz w:val="12"/>
        </w:rPr>
        <w:t>cf-art-37-inc-XIII</w:t>
      </w:r>
      <w:r>
        <w:rPr>
          <w:color w:val="003CA0"/>
          <w:sz w:val="12"/>
        </w:rPr>
        <w:t xml:space="preserve"> | ADI 1.756</w:t>
      </w:r>
      <w:r>
        <w:rPr>
          <w:color w:val="003CA0"/>
          <w:sz w:val="12"/>
        </w:rPr>
        <w:t xml:space="preserve"> | rel. Roberto Barroso</w:t>
      </w:r>
    </w:p>
    <w:p>
      <w:pPr>
        <w:ind w:left="288"/>
      </w:pPr>
      <w:r>
        <w:rPr>
          <w:color w:val="1E1E1E"/>
          <w:sz w:val="18"/>
        </w:rPr>
        <w:t>A jurisprudência desta Corte é firme quanto à inconstitucionalidade da vinculação entre os subsídios dos membros do Ministério Público e da Magistratura, em afronta ao art. 37, XIII, da Constituição.</w:t>
      </w:r>
    </w:p>
    <w:p>
      <w:pPr>
        <w:ind w:left="288"/>
      </w:pPr>
      <w:r>
        <w:rPr>
          <w:b/>
          <w:color w:val="003CA0"/>
          <w:sz w:val="16"/>
        </w:rPr>
        <w:t>[ADI 1.756, rel. min. Roberto Barroso, j. 7-10-2015, P, DJE de 4-11-2015.]</w:t>
      </w:r>
    </w:p>
    <w:p>
      <w:pPr>
        <w:ind w:left="288"/>
      </w:pPr>
      <w:r>
        <w:rPr>
          <w:color w:val="8C8C8C"/>
          <w:sz w:val="12"/>
        </w:rPr>
        <w:t>cf-art-37-inc-XIII</w:t>
      </w:r>
      <w:r>
        <w:rPr>
          <w:color w:val="003CA0"/>
          <w:sz w:val="12"/>
        </w:rPr>
        <w:t xml:space="preserve"> | ADI 668</w:t>
      </w:r>
      <w:r>
        <w:rPr>
          <w:color w:val="003CA0"/>
          <w:sz w:val="12"/>
        </w:rPr>
        <w:t xml:space="preserve"> | rel. Dias Toffoli</w:t>
      </w:r>
    </w:p>
    <w:p>
      <w:pPr>
        <w:ind w:left="288"/>
      </w:pPr>
      <w:r>
        <w:rPr>
          <w:color w:val="1E1E1E"/>
          <w:sz w:val="18"/>
        </w:rPr>
        <w:t>A jurisprudência da Corte é pacífica no que tange ao não cabimento de qualquer espécie de vinculação da remuneração de servidores públicos, repelindo, assim, a vinculação da remuneração de servidores do Estado a fatores alheios à sua vontade e ao seu controle; seja às variações de índices de correção editados pela União; seja aos pisos salariais profissionais.</w:t>
      </w:r>
    </w:p>
    <w:p>
      <w:pPr>
        <w:ind w:left="288"/>
      </w:pPr>
      <w:r>
        <w:rPr>
          <w:b/>
          <w:color w:val="003CA0"/>
          <w:sz w:val="16"/>
        </w:rPr>
        <w:t>[ADI 668, rel. min. Dias Toffoli, j. 19-2-2014, P, DJE de 28-3-2014.]</w:t>
      </w:r>
    </w:p>
    <w:p>
      <w:pPr>
        <w:ind w:left="288"/>
      </w:pPr>
      <w:r>
        <w:rPr>
          <w:color w:val="8C8C8C"/>
          <w:sz w:val="12"/>
        </w:rPr>
        <w:t>cf-art-37-inc-XIII</w:t>
      </w:r>
      <w:r>
        <w:rPr>
          <w:color w:val="003CA0"/>
          <w:sz w:val="12"/>
        </w:rPr>
        <w:t xml:space="preserve"> | ADI 191</w:t>
      </w:r>
      <w:r>
        <w:rPr>
          <w:color w:val="003CA0"/>
          <w:sz w:val="12"/>
        </w:rPr>
        <w:t xml:space="preserve"> | rel. Cármen Lúcia</w:t>
      </w:r>
    </w:p>
    <w:p>
      <w:pPr>
        <w:ind w:left="288"/>
      </w:pPr>
      <w:r>
        <w:rPr>
          <w:color w:val="1E1E1E"/>
          <w:sz w:val="18"/>
        </w:rPr>
        <w:t>A norma questionada aponta para a possibilidade de serem equiparados os servidores de toda e qualquer fundação privada, instituída ou mantida pelo Estado, aos das fundações públicas. Sendo diversos os regimes jurídicos, diferentes são os direitos e os deveres que se combinam e formam os fundamentos da relação empregatícia firmada. A equiparação de regime, inclusive o remuneratório, que se aperfeiçoa pela equiparação de vencimentos, é prática vedada pelo art. 37, XIII, da Constituição brasileira e contrária à Súmula 339 do STF.</w:t>
      </w:r>
    </w:p>
    <w:p>
      <w:pPr>
        <w:ind w:left="288"/>
      </w:pPr>
      <w:r>
        <w:rPr>
          <w:b/>
          <w:color w:val="003CA0"/>
          <w:sz w:val="16"/>
        </w:rPr>
        <w:t>[ADI 191, rel. min. Cármen Lúcia, j. 29-11-2007, P, DJE de 7-3-2008.]</w:t>
      </w:r>
    </w:p>
    <w:p>
      <w:pPr>
        <w:ind w:left="288"/>
      </w:pPr>
      <w:r>
        <w:rPr>
          <w:color w:val="8C8C8C"/>
          <w:sz w:val="12"/>
        </w:rPr>
        <w:t>cf-art-37-inc-XIII</w:t>
      </w:r>
      <w:r>
        <w:rPr>
          <w:color w:val="003CA0"/>
          <w:sz w:val="12"/>
        </w:rPr>
        <w:t xml:space="preserve"> | ADI 1.264</w:t>
      </w:r>
      <w:r>
        <w:rPr>
          <w:color w:val="003CA0"/>
          <w:sz w:val="12"/>
        </w:rPr>
        <w:t xml:space="preserve"> | rel. Cármen Lúcia</w:t>
      </w:r>
    </w:p>
    <w:p>
      <w:pPr>
        <w:ind w:left="288"/>
      </w:pPr>
      <w:r>
        <w:rPr>
          <w:color w:val="1E1E1E"/>
          <w:sz w:val="18"/>
        </w:rPr>
        <w:t xml:space="preserve">Previsão de reajuste dos valores fixados referentes às vantagens nominalmente identificáveis para os cargos de provimento em comissão de direção e de gerência superior, na mesma proporção. Configurada situação de pagamento de vantagem pessoal, na qual se enquadra o princípio da "estabilidade financeira", e não da proibição constitucional de vinculação de espécies remuneratórias vedada pelo art. 37, XIII, da Constituição da República. Previsão legal que não iguala ou equipara vencimentos, apenas reconhece o direito dos que exerceram cargos ou funções comissionadas por certo período de tempo em </w:t>
      </w:r>
    </w:p>
    <w:p>
      <w:pPr>
        <w:ind w:left="288"/>
      </w:pPr>
      <w:r>
        <w:rPr>
          <w:b/>
          <w:color w:val="003CA0"/>
          <w:sz w:val="16"/>
        </w:rPr>
        <w:t>[ADI 1.264, rel. min. Cármen Lúcia, j. 29-11-2007, P, DJE de 15-2-2008.]</w:t>
      </w:r>
    </w:p>
    <w:p>
      <w:pPr>
        <w:ind w:left="288"/>
      </w:pPr>
      <w:r>
        <w:rPr>
          <w:color w:val="8C8C8C"/>
          <w:sz w:val="12"/>
        </w:rPr>
        <w:t>cf-art-37-inc-XIII</w:t>
      </w:r>
      <w:r>
        <w:rPr>
          <w:color w:val="003CA0"/>
          <w:sz w:val="12"/>
        </w:rPr>
        <w:t xml:space="preserve"> | ADI 3.491</w:t>
      </w:r>
      <w:r>
        <w:rPr>
          <w:color w:val="003CA0"/>
          <w:sz w:val="12"/>
        </w:rPr>
        <w:t xml:space="preserve"> | rel. Ayres Britto</w:t>
      </w:r>
    </w:p>
    <w:p>
      <w:pPr>
        <w:ind w:left="288"/>
      </w:pPr>
      <w:r>
        <w:rPr>
          <w:color w:val="1E1E1E"/>
          <w:sz w:val="18"/>
        </w:rPr>
        <w:t>A Lei Maior impôs tratamento jurídico diferenciado entre a classe dos servidores públicos em geral e o membro de Poder, o detentor de mandato eletivo, os ministros de Estado e os secretários estaduais e municipais. Esses agentes públicos, que se situam no topo da estrutura funcional de cada poder orgânico da União, dos Estados, do Distrito Federal e dos Municípios, são remunerados exclusivamente por subsídios, cuja fixação ou alteração é matéria reservada à lei específica, observada, em cada caso, a respectiva iniciativa (incisos X e XI do art. 37 da CF/1988). O dispositivo legal impugnado, ao</w:t>
      </w:r>
    </w:p>
    <w:p>
      <w:pPr>
        <w:ind w:left="288"/>
      </w:pPr>
      <w:r>
        <w:rPr>
          <w:b/>
          <w:color w:val="003CA0"/>
          <w:sz w:val="16"/>
        </w:rPr>
        <w:t>[ADI 3.491, rel. min. Ayres Britto, j. 27-9-2006, P, DJ de 23-3-2007.]</w:t>
        <w:br/>
        <w:t>= RE 759.518 RG, rel. min. Gilmar Mendes, j. 29-5-2014, P, DJE de 24-11-2014, Tema 737</w:t>
      </w:r>
    </w:p>
    <w:p>
      <w:pPr>
        <w:ind w:left="288"/>
      </w:pPr>
      <w:r>
        <w:rPr>
          <w:color w:val="8C8C8C"/>
          <w:sz w:val="12"/>
        </w:rPr>
        <w:t>cf-art-37-inc-XIII</w:t>
      </w:r>
      <w:r>
        <w:rPr>
          <w:color w:val="003CA0"/>
          <w:sz w:val="12"/>
        </w:rPr>
        <w:t xml:space="preserve"> | ADI 2.831</w:t>
      </w:r>
      <w:r>
        <w:rPr>
          <w:color w:val="003CA0"/>
          <w:sz w:val="12"/>
        </w:rPr>
        <w:t xml:space="preserve"> | rel. Maurício Corrêa</w:t>
      </w:r>
    </w:p>
    <w:p>
      <w:pPr>
        <w:ind w:left="288"/>
      </w:pPr>
      <w:r>
        <w:rPr>
          <w:color w:val="1E1E1E"/>
          <w:sz w:val="18"/>
        </w:rPr>
        <w:t>Esta Corte firmou entendimento no sentido de que é inconstitucional a vinculação ou equiparação de quaisquer espécies remuneratórias para o efeito de remuneração do serviço público, exceto algumas situações previstas no próprio Texto Constitucional.</w:t>
      </w:r>
    </w:p>
    <w:p>
      <w:pPr>
        <w:ind w:left="288"/>
      </w:pPr>
      <w:r>
        <w:rPr>
          <w:b/>
          <w:color w:val="003CA0"/>
          <w:sz w:val="16"/>
        </w:rPr>
        <w:t>[ADI 2.831 MC, rel. min. Maurício Corrêa, j. 11-3-2004, P, DJ de 28-5-2004.]</w:t>
      </w:r>
    </w:p>
    <w:p>
      <w:pPr>
        <w:ind w:left="288"/>
      </w:pPr>
      <w:r>
        <w:rPr>
          <w:color w:val="8C8C8C"/>
          <w:sz w:val="12"/>
        </w:rPr>
        <w:t>cf-art-37-inc-XIII</w:t>
      </w:r>
      <w:r>
        <w:rPr>
          <w:color w:val="003CA0"/>
          <w:sz w:val="12"/>
        </w:rPr>
        <w:t xml:space="preserve"> | RE 709.685</w:t>
      </w:r>
      <w:r>
        <w:rPr>
          <w:color w:val="003CA0"/>
          <w:sz w:val="12"/>
        </w:rPr>
        <w:t xml:space="preserve"> | rel. Cármen Lúcia</w:t>
      </w:r>
    </w:p>
    <w:p>
      <w:pPr>
        <w:ind w:left="288"/>
      </w:pPr>
      <w:r>
        <w:rPr>
          <w:color w:val="1E1E1E"/>
          <w:sz w:val="18"/>
        </w:rPr>
        <w:t>= RE 709.685 AgR, rel. min. Cármen Lúcia, j. 27-11-2012, 2ª T, DJE de 18-12-2012 A fixação de um limite percentual na diferença entre os valores de remuneração recebidos pelos ocupantes dos quatro níveis que compõem a carreira de procurador de Estado não afronta a vedação contida no art. 37, XIII, da CF, por se tratar de uma sistematização da hierarquia salarial entre as classes de uma mesma carreira, e não uma vinculação salarial entre diferentes categorias de servidores públicos. Precedentes: ADI 2.863, Nelson Jobim, e ADI 955 MC, Celso de Mello. Viola o comando previsto no art. 37, XIII, da</w:t>
      </w:r>
    </w:p>
    <w:p>
      <w:pPr>
        <w:ind w:left="288"/>
      </w:pPr>
      <w:r>
        <w:rPr>
          <w:b/>
          <w:color w:val="003CA0"/>
          <w:sz w:val="16"/>
        </w:rPr>
        <w:t>[ADI 2.840, rel. min. Ellen Gracie, j. 15-10-2003, P, DJ de 11-6-2004.]</w:t>
      </w:r>
    </w:p>
    <w:p>
      <w:pPr>
        <w:ind w:left="288"/>
      </w:pPr>
      <w:r>
        <w:rPr>
          <w:color w:val="8C8C8C"/>
          <w:sz w:val="12"/>
        </w:rPr>
        <w:t>cf-art-37-inc-XIII</w:t>
      </w:r>
      <w:r>
        <w:rPr>
          <w:color w:val="003CA0"/>
          <w:sz w:val="12"/>
        </w:rPr>
        <w:t xml:space="preserve"> | ADI 196</w:t>
      </w:r>
      <w:r>
        <w:rPr>
          <w:color w:val="003CA0"/>
          <w:sz w:val="12"/>
        </w:rPr>
        <w:t xml:space="preserve"> | rel. Ellen Gracie</w:t>
      </w:r>
    </w:p>
    <w:p>
      <w:pPr>
        <w:ind w:left="288"/>
      </w:pPr>
      <w:r>
        <w:rPr>
          <w:color w:val="1E1E1E"/>
          <w:sz w:val="18"/>
        </w:rPr>
        <w:t>Conforme reiterada jurisprudência desta Corte, mostra-se inconstitucional a equiparação de vencimentos entre servidores estaduais e federais, por ofensa aos arts. 25 e 37, XIII, da CF.</w:t>
      </w:r>
    </w:p>
    <w:p>
      <w:pPr>
        <w:ind w:left="288"/>
      </w:pPr>
      <w:r>
        <w:rPr>
          <w:b/>
          <w:color w:val="003CA0"/>
          <w:sz w:val="16"/>
        </w:rPr>
        <w:t>[ADI 196, rel. min. Ellen Gracie, j. 15-8-2002, P, DJ de 20-9-2002.]</w:t>
      </w:r>
    </w:p>
    <w:p>
      <w:pPr>
        <w:ind w:left="144"/>
      </w:pPr>
      <w:r>
        <w:rPr>
          <w:b/>
          <w:color w:val="B45A00"/>
          <w:sz w:val="16"/>
        </w:rPr>
        <w:t>REPERCUSSAO GERAL</w:t>
      </w:r>
    </w:p>
    <w:p>
      <w:pPr>
        <w:ind w:left="288"/>
      </w:pPr>
      <w:r>
        <w:rPr>
          <w:color w:val="8C8C8C"/>
          <w:sz w:val="12"/>
        </w:rPr>
        <w:t>cf-art-37-inc-XIII</w:t>
      </w:r>
      <w:r>
        <w:rPr>
          <w:color w:val="003CA0"/>
          <w:sz w:val="12"/>
        </w:rPr>
        <w:t xml:space="preserve"> | RE 1.366.232</w:t>
      </w:r>
      <w:r>
        <w:rPr>
          <w:color w:val="003CA0"/>
          <w:sz w:val="12"/>
        </w:rPr>
        <w:t xml:space="preserve"> | rel. Luiz Fux</w:t>
      </w:r>
    </w:p>
    <w:p>
      <w:pPr>
        <w:ind w:left="288"/>
      </w:pPr>
      <w:r>
        <w:rPr>
          <w:color w:val="1E1E1E"/>
          <w:sz w:val="18"/>
        </w:rPr>
        <w:t>É infraconstitucional, a ela se aplicando os efeitos da ausência de repercussão geral, a controvérsia relativa ao implemento dos requisitos para concessão da gratificação de representação, prevista na Lei 12.124/1993 do Estado do Ceará, a servidor lotado em unidade policial não integrante formalmente da estrutura da Polícia Civil estadual.</w:t>
      </w:r>
    </w:p>
    <w:p>
      <w:pPr>
        <w:ind w:left="288"/>
      </w:pPr>
      <w:r>
        <w:rPr>
          <w:b/>
          <w:color w:val="003CA0"/>
          <w:sz w:val="16"/>
        </w:rPr>
        <w:t>[RE 1.366.232, rel. min. Luiz Fux, j. 12-5-2022, P, DJE de 19-5-2022, Tema 1.216, com repercussão geral negada.]</w:t>
      </w:r>
    </w:p>
    <w:p>
      <w:pPr>
        <w:ind w:left="288"/>
      </w:pPr>
      <w:r>
        <w:rPr>
          <w:color w:val="8C8C8C"/>
          <w:sz w:val="12"/>
        </w:rPr>
        <w:t>cf-art-37-inc-XIII</w:t>
      </w:r>
      <w:r>
        <w:rPr>
          <w:color w:val="003CA0"/>
          <w:sz w:val="12"/>
        </w:rPr>
        <w:t xml:space="preserve"> | ARE 665.632</w:t>
      </w:r>
      <w:r>
        <w:rPr>
          <w:color w:val="003CA0"/>
          <w:sz w:val="12"/>
        </w:rPr>
        <w:t xml:space="preserve"> | rel. Teori Zavascki</w:t>
      </w:r>
    </w:p>
    <w:p>
      <w:pPr>
        <w:ind w:left="288"/>
      </w:pPr>
      <w:r>
        <w:rPr>
          <w:color w:val="1E1E1E"/>
          <w:sz w:val="18"/>
        </w:rPr>
        <w:t>O art. 37, XIII, da CF/1988 coíbe a vinculação ou equiparação de quaisquer espécies remuneratórias no âmbito do serviço público. Destarte, a pretensão dos recorrentes se afigura evidentemente incompatível com a CF de 1988, uma vez que importa a equiparação de vencimentos entre os integrantes das Forças Armadas e os militares do Distrito Federal.</w:t>
      </w:r>
    </w:p>
    <w:p>
      <w:pPr>
        <w:ind w:left="288"/>
      </w:pPr>
      <w:r>
        <w:rPr>
          <w:b/>
          <w:color w:val="003CA0"/>
          <w:sz w:val="16"/>
        </w:rPr>
        <w:t>[ARE 665.632, rel. min. Teori Zavascki, j. 16-4-2015, P, DJE de 28-4-2015, Tema 806, com mérito julgado.]</w:t>
      </w:r>
    </w:p>
    <w:p>
      <w:pPr>
        <w:ind w:left="288"/>
      </w:pPr>
      <w:r>
        <w:rPr>
          <w:color w:val="8C8C8C"/>
          <w:sz w:val="12"/>
        </w:rPr>
        <w:t>cf-art-37-inc-XIII</w:t>
      </w:r>
      <w:r>
        <w:rPr>
          <w:color w:val="003CA0"/>
          <w:sz w:val="12"/>
        </w:rPr>
        <w:t xml:space="preserve"> | RE 745.811</w:t>
      </w:r>
      <w:r>
        <w:rPr>
          <w:color w:val="003CA0"/>
          <w:sz w:val="12"/>
        </w:rPr>
        <w:t xml:space="preserve"> | rel. Gilmar Mendes</w:t>
      </w:r>
    </w:p>
    <w:p>
      <w:pPr>
        <w:ind w:left="288"/>
      </w:pPr>
      <w:r>
        <w:rPr>
          <w:color w:val="1E1E1E"/>
          <w:sz w:val="18"/>
        </w:rPr>
        <w:t>(...) é pacífico o entendimento do STF no sentido de que as normas que alteram o padrão remuneratório são de iniciativa privativa do chefe do Poder Executivo. Assim, é inafastável a inconstitucionalidade formal do art. 273 da Constituição do Estado de Alagoas. Ressalta-se que esta questão já foi enfrentada por este Tribunal, na sistemática da repercussão geral, no julgamento do RE 745.811, de minha relatoria. (...) Ademais, também é uníssona a jurisprudência desta Corte quanto à impossibilidade de vinculação de vencimentos de cargos distintos. Dessa forma, ao vincular a remuneração de servidor</w:t>
      </w:r>
    </w:p>
    <w:p>
      <w:pPr>
        <w:ind w:left="288"/>
      </w:pPr>
      <w:r>
        <w:rPr>
          <w:b/>
          <w:color w:val="003CA0"/>
          <w:sz w:val="16"/>
        </w:rPr>
        <w:t>[Rcl 70.991 AgR, rel. min. Edson Fachin, red. do ac. Gilmar Mendes, j. 17.02.2025, 2ª T, DJE de 02.04.2025.]</w:t>
      </w:r>
    </w:p>
    <w:p>
      <w:pPr>
        <w:ind w:left="144"/>
      </w:pPr>
      <w:r>
        <w:rPr>
          <w:b/>
          <w:color w:val="B45A00"/>
          <w:sz w:val="16"/>
        </w:rPr>
        <w:t>JULGADOS CORRELATOS</w:t>
      </w:r>
    </w:p>
    <w:p>
      <w:pPr>
        <w:ind w:left="288"/>
      </w:pPr>
      <w:r>
        <w:rPr>
          <w:color w:val="8C8C8C"/>
          <w:sz w:val="12"/>
        </w:rPr>
        <w:t>cf-art-37-inc-XIII</w:t>
      </w:r>
      <w:r>
        <w:rPr>
          <w:color w:val="003CA0"/>
          <w:sz w:val="12"/>
        </w:rPr>
        <w:t xml:space="preserve"> | RE 977.068</w:t>
      </w:r>
      <w:r>
        <w:rPr>
          <w:color w:val="003CA0"/>
          <w:sz w:val="12"/>
        </w:rPr>
        <w:t xml:space="preserve"> | rel. Edson Fachin</w:t>
      </w:r>
    </w:p>
    <w:p>
      <w:pPr>
        <w:ind w:left="288"/>
      </w:pPr>
      <w:r>
        <w:rPr>
          <w:color w:val="1E1E1E"/>
          <w:sz w:val="18"/>
        </w:rPr>
        <w:t>É aplicável a Súmula Vinculante 42 a execuções de títulos judiciais formados anteriormente à publicação do verbete, caso este se remeta a julgamentos anteriores ao trânsito em julgado do ato exequendo.</w:t>
        <w:br/>
        <w:t>[RE 977.068 AgR, rel. min. Edson Fachin, j. 17-11-2017, 2ª T, DJE de 5-12-2017.] Art. 25 da LC 2.647/1986 do Estado de São Paulo. (...) É inconstitucional a norma veiculada no art. 25 da LC 467/1986, por meio da qual estabelecido sistema de reajuste automático de vencimentos, proventos e pensões pautado na variação acumulada do Índice de Preços ao Consumidor.</w:t>
        <w:br/>
        <w:t>[AI 779.185 AgR-segundo, rel. min. M</w:t>
      </w:r>
    </w:p>
    <w:p>
      <w:pPr>
        <w:ind w:left="288"/>
      </w:pPr>
      <w:r>
        <w:rPr>
          <w:b/>
          <w:color w:val="003CA0"/>
          <w:sz w:val="16"/>
        </w:rPr>
        <w:t>[RE 218.874, rel. min. Eros Grau, j. 7-11-2007, P, DJ de 1º-2-2008.]</w:t>
      </w:r>
    </w:p>
    <w:p>
      <w:pPr>
        <w:ind w:left="288"/>
      </w:pPr>
      <w:r>
        <w:rPr>
          <w:color w:val="8C8C8C"/>
          <w:sz w:val="12"/>
        </w:rPr>
        <w:t>cf-art-37-inc-XIII</w:t>
      </w:r>
      <w:r>
        <w:rPr>
          <w:color w:val="003CA0"/>
          <w:sz w:val="12"/>
        </w:rPr>
        <w:t xml:space="preserve"> | RE 222.656</w:t>
      </w:r>
      <w:r>
        <w:rPr>
          <w:color w:val="003CA0"/>
          <w:sz w:val="12"/>
        </w:rPr>
        <w:t xml:space="preserve"> | rel. Octavio Gallotti</w:t>
      </w:r>
    </w:p>
    <w:p>
      <w:pPr>
        <w:ind w:left="288"/>
      </w:pPr>
      <w:r>
        <w:rPr>
          <w:color w:val="1E1E1E"/>
          <w:sz w:val="18"/>
        </w:rPr>
        <w:t>O inciso XIII do art. 37 da Constituição veda a equiparação ou vinculação entre a remuneração de dois cargos, não a percepção dos vencimentos de um deles pela circunstância de haver o servidor exercido as funções correspondentes.</w:t>
      </w:r>
    </w:p>
    <w:p>
      <w:pPr>
        <w:ind w:left="288"/>
      </w:pPr>
      <w:r>
        <w:rPr>
          <w:b/>
          <w:color w:val="003CA0"/>
          <w:sz w:val="16"/>
        </w:rPr>
        <w:t>[RE 222.656, rel. min. Octavio Gallotti, j. 29-6-1999, 1ª T, DJ de 16-6-2000.]</w:t>
      </w:r>
    </w:p>
    <w:p>
      <w:pPr>
        <w:ind w:left="288"/>
      </w:pPr>
      <w:r>
        <w:rPr>
          <w:color w:val="8C8C8C"/>
          <w:sz w:val="12"/>
        </w:rPr>
        <w:t>cf-art-37-inc-XIII</w:t>
      </w:r>
      <w:r>
        <w:rPr>
          <w:color w:val="003CA0"/>
          <w:sz w:val="12"/>
        </w:rPr>
        <w:t xml:space="preserve"> | RE 226.462</w:t>
      </w:r>
      <w:r>
        <w:rPr>
          <w:color w:val="003CA0"/>
          <w:sz w:val="12"/>
        </w:rPr>
        <w:t xml:space="preserve"> | rel. Sepúlveda Pertence</w:t>
      </w:r>
    </w:p>
    <w:p>
      <w:pPr>
        <w:ind w:left="288"/>
      </w:pPr>
      <w:r>
        <w:rPr>
          <w:color w:val="1E1E1E"/>
          <w:sz w:val="18"/>
        </w:rPr>
        <w:t>Pacífica no STF a inexistência de conflito entre a chamada "estabilidade financeira" e o art. 37, XIII, CF, que proíbe vinculação entre vencimentos (cf. precedentes citados), daí não se segue, contudo, o direito adquirido do servidor beneficiário da vantagem à preservação do regime legal de atrelamento do valor dela ao vencimento do respectivo cargo em comissão: donde a legitimidade e a aplicabilidade imediata da lei que desvincule o reajuste futuro da vantagem àqueles vencimentos do cargo em comissão, submetendo-a aos critérios das revisões gerais dos vencimentos do funcionalismo.</w:t>
      </w:r>
    </w:p>
    <w:p>
      <w:pPr>
        <w:ind w:left="288"/>
      </w:pPr>
      <w:r>
        <w:rPr>
          <w:b/>
          <w:color w:val="003CA0"/>
          <w:sz w:val="16"/>
        </w:rPr>
        <w:t>[RE 226.462, rel. min. Sepúlveda Pertence, j. 13-5-1998, P, DJ de 25-5-2001.]</w:t>
      </w:r>
    </w:p>
    <w:p>
      <w:pPr>
        <w:ind w:left="288"/>
      </w:pPr>
      <w:r>
        <w:rPr>
          <w:color w:val="8C8C8C"/>
          <w:sz w:val="12"/>
        </w:rPr>
        <w:t>cf-art-37-inc-XIII</w:t>
      </w:r>
      <w:r>
        <w:rPr>
          <w:color w:val="003CA0"/>
          <w:sz w:val="12"/>
        </w:rPr>
        <w:t xml:space="preserve"> | RE 640.564</w:t>
      </w:r>
      <w:r>
        <w:rPr>
          <w:color w:val="003CA0"/>
          <w:sz w:val="12"/>
        </w:rPr>
        <w:t xml:space="preserve"> | rel. Luiz Fux</w:t>
      </w:r>
    </w:p>
    <w:p>
      <w:pPr>
        <w:ind w:left="288"/>
      </w:pPr>
      <w:r>
        <w:rPr>
          <w:color w:val="1E1E1E"/>
          <w:sz w:val="18"/>
        </w:rPr>
        <w:t>= RE 640.564 AgR, rel. min. Luiz Fux, j. 28-8-2012, 1ª T, DJE de 12-9-2012 XIV - os acréscimos pecuniários percebidos por servidor público não serão computados nem acumulados para fins de concessão de acréscimos ulteriores; (Redação da EC 19/1998)</w:t>
      </w:r>
    </w:p>
    <w:p>
      <w:pPr>
        <w:ind w:left="144"/>
      </w:pPr>
      <w:r>
        <w:rPr>
          <w:b/>
          <w:color w:val="B45A00"/>
          <w:sz w:val="16"/>
        </w:rPr>
        <w:t>REPERCUSSAO GERAL</w:t>
      </w:r>
    </w:p>
    <w:p>
      <w:pPr>
        <w:ind w:left="288"/>
      </w:pPr>
      <w:r>
        <w:rPr>
          <w:color w:val="8C8C8C"/>
          <w:sz w:val="12"/>
        </w:rPr>
        <w:t>cf-art-37-inc-XIII</w:t>
      </w:r>
      <w:r>
        <w:rPr>
          <w:color w:val="003CA0"/>
          <w:sz w:val="12"/>
        </w:rPr>
        <w:t xml:space="preserve"> | RE 563.708</w:t>
      </w:r>
      <w:r>
        <w:rPr>
          <w:color w:val="003CA0"/>
          <w:sz w:val="12"/>
        </w:rPr>
        <w:t xml:space="preserve"> | rel. Cármen Lúcia</w:t>
      </w:r>
    </w:p>
    <w:p>
      <w:pPr>
        <w:ind w:left="288"/>
      </w:pPr>
      <w:r>
        <w:rPr>
          <w:color w:val="1E1E1E"/>
          <w:sz w:val="18"/>
        </w:rPr>
        <w:t>Servidor público. Inexistência de direito adquirido a regime jurídico. Base de cálculo de vantagens pessoais. Efeito cascata: proibição constitucional. (...) Impossibilidade de redução dos vencimentos. Princípio da irredutibilidade dos vencimentos. Recurso ao qual se dá parcial provimento.</w:t>
        <w:br/>
        <w:t>[RE 563.708, rel. min. Cármen Lúcia, j. 6-2-2013, P, DJE de 2-5-2013, Tema 24, com mérito julgado.]</w:t>
      </w:r>
    </w:p>
    <w:p>
      <w:pPr>
        <w:ind w:left="144"/>
      </w:pPr>
      <w:r>
        <w:rPr>
          <w:b/>
          <w:color w:val="B45A00"/>
          <w:sz w:val="16"/>
        </w:rPr>
        <w:t>JULGADOS CORRELATOS</w:t>
      </w:r>
    </w:p>
    <w:p>
      <w:pPr>
        <w:ind w:left="288"/>
      </w:pPr>
      <w:r>
        <w:rPr>
          <w:color w:val="8C8C8C"/>
          <w:sz w:val="12"/>
        </w:rPr>
        <w:t>cf-art-37-inc-XIII</w:t>
      </w:r>
      <w:r>
        <w:rPr>
          <w:color w:val="003CA0"/>
          <w:sz w:val="12"/>
        </w:rPr>
        <w:t xml:space="preserve"> | AI 820.974</w:t>
      </w:r>
      <w:r>
        <w:rPr>
          <w:color w:val="003CA0"/>
          <w:sz w:val="12"/>
        </w:rPr>
        <w:t xml:space="preserve"> | rel. Marco Aurélio</w:t>
      </w:r>
    </w:p>
    <w:p>
      <w:pPr>
        <w:ind w:left="288"/>
      </w:pPr>
      <w:r>
        <w:rPr>
          <w:color w:val="1E1E1E"/>
          <w:sz w:val="18"/>
        </w:rPr>
        <w:t>Remuneração. Servidor público paulista. Sexta-parte. A parcela não caracteriza gratificação por tempo de serviço, mas melhoria de vencimento alcançada com implemento de condição temporal, integrando-o e servindo de base a outras parcelas.</w:t>
      </w:r>
    </w:p>
    <w:p>
      <w:pPr>
        <w:ind w:left="288"/>
      </w:pPr>
      <w:r>
        <w:rPr>
          <w:b/>
          <w:color w:val="003CA0"/>
          <w:sz w:val="16"/>
        </w:rPr>
        <w:t>[AI 820.974 AgR, rel. min. Marco Aurélio, j. 13-12-2011, 1ª T, DJE de 15-2-2012.]</w:t>
      </w:r>
    </w:p>
    <w:p>
      <w:pPr>
        <w:ind w:left="288"/>
      </w:pPr>
      <w:r>
        <w:rPr>
          <w:color w:val="8C8C8C"/>
          <w:sz w:val="12"/>
        </w:rPr>
        <w:t>cf-art-37-inc-XIII</w:t>
      </w:r>
      <w:r>
        <w:rPr>
          <w:color w:val="003CA0"/>
          <w:sz w:val="12"/>
        </w:rPr>
        <w:t xml:space="preserve"> | AI 414.610</w:t>
      </w:r>
      <w:r>
        <w:rPr>
          <w:color w:val="003CA0"/>
          <w:sz w:val="12"/>
        </w:rPr>
        <w:t xml:space="preserve"> | rel. Ellen Gracie</w:t>
      </w:r>
    </w:p>
    <w:p>
      <w:pPr>
        <w:ind w:left="288"/>
      </w:pPr>
      <w:r>
        <w:rPr>
          <w:color w:val="1E1E1E"/>
          <w:sz w:val="18"/>
        </w:rPr>
        <w:t>A decisão recorrida está em consonância com a jurisprudência desta Corte, a qual entende que as vantagens pessoais incidem na gratificação de produtividade porque compõem o vencimento do servidor.</w:t>
      </w:r>
    </w:p>
    <w:p>
      <w:pPr>
        <w:ind w:left="288"/>
      </w:pPr>
      <w:r>
        <w:rPr>
          <w:b/>
          <w:color w:val="003CA0"/>
          <w:sz w:val="16"/>
        </w:rPr>
        <w:t>[AI 414.610 AgR, rel. min. Ellen Gracie, j. 25-8-2009, 2ª T, DJE de 18-9-2009.]</w:t>
      </w:r>
    </w:p>
    <w:p>
      <w:pPr>
        <w:ind w:left="288"/>
      </w:pPr>
      <w:r>
        <w:rPr>
          <w:color w:val="8C8C8C"/>
          <w:sz w:val="12"/>
        </w:rPr>
        <w:t>cf-art-37-inc-XIII</w:t>
      </w:r>
      <w:r>
        <w:rPr>
          <w:color w:val="003CA0"/>
          <w:sz w:val="12"/>
        </w:rPr>
        <w:t xml:space="preserve"> | RE 262.398</w:t>
      </w:r>
      <w:r>
        <w:rPr>
          <w:color w:val="003CA0"/>
          <w:sz w:val="12"/>
        </w:rPr>
        <w:t xml:space="preserve"> | rel. Dias Toffoli</w:t>
      </w:r>
    </w:p>
    <w:p>
      <w:pPr>
        <w:ind w:left="288"/>
      </w:pPr>
      <w:r>
        <w:rPr>
          <w:color w:val="1E1E1E"/>
          <w:sz w:val="18"/>
        </w:rPr>
        <w:t xml:space="preserve">= RE 262.398 AgR, rel. min. Dias Toffoli, j. 21-8-2012, 1ª T, DJE de 6-9-2012 Vide RE 206.117, rel. min. Sepúlveda Pertence, j. 21-3-2000, 1ª T, DJ de 28-4-2000 Adicional por tempo de serviço. DL 2.019/1983 e Loman (...). Interpretando o DL 2.019/1983, em deliberação administrativa ocorrida em 4-4-1983, o Plenário desta Corte afastou, expressamente, a possibilidade da ocorrência do denominado "repicão" (incidência de adicional sobre adicional anterior da mesma natureza), ao determinar que "(...) o cálculo da gratificação adicional será efetuado sobre o vencimento e a representação percebidos, </w:t>
      </w:r>
    </w:p>
    <w:p>
      <w:pPr>
        <w:ind w:left="288"/>
      </w:pPr>
      <w:r>
        <w:rPr>
          <w:b/>
          <w:color w:val="003CA0"/>
          <w:sz w:val="16"/>
        </w:rPr>
        <w:t>[AO 150, rel. min. Menezes Direito, j. 23-10-2008, P, DJE de 27-2-2009.]</w:t>
      </w:r>
    </w:p>
    <w:p>
      <w:pPr>
        <w:ind w:left="288"/>
      </w:pPr>
      <w:r>
        <w:rPr>
          <w:color w:val="8C8C8C"/>
          <w:sz w:val="12"/>
        </w:rPr>
        <w:t>cf-art-37-inc-XIII</w:t>
      </w:r>
      <w:r>
        <w:rPr>
          <w:color w:val="003CA0"/>
          <w:sz w:val="12"/>
        </w:rPr>
        <w:t xml:space="preserve"> | AI 392.954</w:t>
      </w:r>
      <w:r>
        <w:rPr>
          <w:color w:val="003CA0"/>
          <w:sz w:val="12"/>
        </w:rPr>
        <w:t xml:space="preserve"> | rel. Cezar Peluso</w:t>
      </w:r>
    </w:p>
    <w:p>
      <w:pPr>
        <w:ind w:left="288"/>
      </w:pPr>
      <w:r>
        <w:rPr>
          <w:color w:val="1E1E1E"/>
          <w:sz w:val="18"/>
        </w:rPr>
        <w:t>A Constituição da República veda a acumulação de acréscimos pecuniários para fins de cálculo de acréscimos ulteriores, sob o mesmo fundamento.</w:t>
      </w:r>
    </w:p>
    <w:p>
      <w:pPr>
        <w:ind w:left="288"/>
      </w:pPr>
      <w:r>
        <w:rPr>
          <w:b/>
          <w:color w:val="003CA0"/>
          <w:sz w:val="16"/>
        </w:rPr>
        <w:t>[AI 392.954 AgR, rel. min. Cezar Peluso, j. 4-11-2003, P, DJ de 5-3-2004.]</w:t>
      </w:r>
    </w:p>
    <w:p>
      <w:pPr>
        <w:ind w:left="288"/>
      </w:pPr>
      <w:r>
        <w:rPr>
          <w:color w:val="8C8C8C"/>
          <w:sz w:val="12"/>
        </w:rPr>
        <w:t>cf-art-37-inc-XIII</w:t>
      </w:r>
      <w:r>
        <w:rPr>
          <w:color w:val="003CA0"/>
          <w:sz w:val="12"/>
        </w:rPr>
        <w:t xml:space="preserve"> | RMS 23.319</w:t>
      </w:r>
      <w:r>
        <w:rPr>
          <w:color w:val="003CA0"/>
          <w:sz w:val="12"/>
        </w:rPr>
        <w:t xml:space="preserve"> | rel. Nelson Jobim</w:t>
      </w:r>
    </w:p>
    <w:p>
      <w:pPr>
        <w:ind w:left="288"/>
      </w:pPr>
      <w:r>
        <w:rPr>
          <w:color w:val="1E1E1E"/>
          <w:sz w:val="18"/>
        </w:rPr>
        <w:t>Servidor público federal. Gratificação bienal. Impossibilidade da sua cumulação com adicional por tempo de serviço, por decorrerem de idêntico fundamento. Arts. 37, XIV, da CF e 17 do ADCT.</w:t>
      </w:r>
    </w:p>
    <w:p>
      <w:pPr>
        <w:ind w:left="288"/>
      </w:pPr>
      <w:r>
        <w:rPr>
          <w:b/>
          <w:color w:val="003CA0"/>
          <w:sz w:val="16"/>
        </w:rPr>
        <w:t>[RMS 23.319 AgR-ED, rel. min. Nelson Jobim, j. 20-8-2002, 2ª T, DJ de 19-12-2002.]</w:t>
      </w:r>
    </w:p>
    <w:p>
      <w:pPr>
        <w:ind w:left="288"/>
      </w:pPr>
      <w:r>
        <w:rPr>
          <w:color w:val="8C8C8C"/>
          <w:sz w:val="12"/>
        </w:rPr>
        <w:t>cf-art-37-inc-XIII</w:t>
      </w:r>
      <w:r>
        <w:rPr>
          <w:color w:val="003CA0"/>
          <w:sz w:val="12"/>
        </w:rPr>
        <w:t xml:space="preserve"> | RE 549.344</w:t>
      </w:r>
      <w:r>
        <w:rPr>
          <w:color w:val="003CA0"/>
          <w:sz w:val="12"/>
        </w:rPr>
        <w:t xml:space="preserve"> | rel. Cármen Lúcia</w:t>
      </w:r>
    </w:p>
    <w:p>
      <w:pPr>
        <w:ind w:left="288"/>
      </w:pPr>
      <w:r>
        <w:rPr>
          <w:color w:val="1E1E1E"/>
          <w:sz w:val="18"/>
        </w:rPr>
        <w:t>= RE 549.344 AgR, rel. min. Cármen Lúcia, j. 30-6-2009, 1ª T, DJE de 21-8-2009</w:t>
        <w:br/>
        <w:t>= AR 1.807, rel. min. Dias Toffoli, red. do ac. min. Luiz Fux, j. 25-4-2023, P, DJE de 28-6-2023 Acumulação de vantagens concedidas sob o mesmo título. Vedação constitucional (CF, art. 37, XIV). Adicional bienal e quinquênios: acréscimos à remuneração que têm o tempo de serviço público como fundamento.</w:t>
      </w:r>
    </w:p>
    <w:p>
      <w:pPr>
        <w:ind w:left="288"/>
      </w:pPr>
      <w:r>
        <w:rPr>
          <w:b/>
          <w:color w:val="003CA0"/>
          <w:sz w:val="16"/>
        </w:rPr>
        <w:t>[RMS 23.458, red. do ac. min. Maurício Corrêa, rel. min. Marco Aurélio, j. 16-10-2001, 2ª T, DJ de 3-5-2002.]</w:t>
      </w:r>
    </w:p>
    <w:p>
      <w:pPr>
        <w:ind w:left="288"/>
      </w:pPr>
      <w:r>
        <w:rPr>
          <w:color w:val="8C8C8C"/>
          <w:sz w:val="12"/>
        </w:rPr>
        <w:t>cf-art-37-inc-XIII</w:t>
      </w:r>
      <w:r>
        <w:rPr>
          <w:color w:val="003CA0"/>
          <w:sz w:val="12"/>
        </w:rPr>
        <w:t xml:space="preserve"> | AI 636.563</w:t>
      </w:r>
      <w:r>
        <w:rPr>
          <w:color w:val="003CA0"/>
          <w:sz w:val="12"/>
        </w:rPr>
        <w:t xml:space="preserve"> | rel. Cármen Lúcia</w:t>
      </w:r>
    </w:p>
    <w:p>
      <w:pPr>
        <w:ind w:left="288"/>
      </w:pPr>
      <w:r>
        <w:rPr>
          <w:color w:val="1E1E1E"/>
          <w:sz w:val="18"/>
        </w:rPr>
        <w:t>= AI 636.563 AgR, rel. min. Cármen Lúcia, j. 30-6-2009, 1ª T, DJE de 21-8-2009 O pressuposto para a aplicação do art. 17, caput, ADCT/1988, isto é, para a redução do vencimento, remuneração, vantagem e adicional, bem como de provento, é que esses estejam em desacordo com a Constituição de 1988. Ora, a Constituição de 1988 não estabeleceu limites ao critério do cálculo do adicional por tempo de serviço, em termos de percentuais. O que a Constituição vedou no art. 37, XIV, é o denominado "repique", ou o cálculo de vantagens pessoais uma sobre a outra, assim em "cascata".</w:t>
      </w:r>
    </w:p>
    <w:p>
      <w:pPr>
        <w:ind w:left="288"/>
      </w:pPr>
      <w:r>
        <w:rPr>
          <w:b/>
          <w:color w:val="003CA0"/>
          <w:sz w:val="16"/>
        </w:rPr>
        <w:t>[MS 22.891, rel. min. Carlos Velloso, j. 3-8-1998, P, DJ de 7-11-2003.]</w:t>
      </w:r>
    </w:p>
    <w:p>
      <w:pPr>
        <w:ind w:left="288"/>
      </w:pPr>
      <w:r>
        <w:rPr>
          <w:color w:val="8C8C8C"/>
          <w:sz w:val="12"/>
        </w:rPr>
        <w:t>cf-art-37-inc-XIII</w:t>
      </w:r>
      <w:r>
        <w:rPr>
          <w:color w:val="003CA0"/>
          <w:sz w:val="12"/>
        </w:rPr>
        <w:t xml:space="preserve"> | RE 130.960</w:t>
      </w:r>
      <w:r>
        <w:rPr>
          <w:color w:val="003CA0"/>
          <w:sz w:val="12"/>
        </w:rPr>
        <w:t xml:space="preserve"> | rel. Octavio Gallotti</w:t>
      </w:r>
    </w:p>
    <w:p>
      <w:pPr>
        <w:ind w:left="288"/>
      </w:pPr>
      <w:r>
        <w:rPr>
          <w:color w:val="1E1E1E"/>
          <w:sz w:val="18"/>
        </w:rPr>
        <w:t>Contagem sucessiva de parcelas de remuneração, ou seja, influência recíproca de umas sobre as outras, de sorte que seja a mesma gratificação incorporada ao estipêndio do servidor, para vir a integrar, em subsequente operação, a sua própria base de cálculo. Sistema incompatível com o disposto no art. 37, XIV, da Constituição (...).</w:t>
      </w:r>
    </w:p>
    <w:p>
      <w:pPr>
        <w:ind w:left="288"/>
      </w:pPr>
      <w:r>
        <w:rPr>
          <w:b/>
          <w:color w:val="003CA0"/>
          <w:sz w:val="16"/>
        </w:rPr>
        <w:t>[RE 130.960, rel. min. Octavio Gallotti, j. 12-12-1995, 1ª T, DJ de 8-3-1996.]</w:t>
      </w:r>
    </w:p>
    <w:p>
      <w:pPr>
        <w:ind w:left="288"/>
      </w:pPr>
      <w:r>
        <w:rPr>
          <w:color w:val="8C8C8C"/>
          <w:sz w:val="12"/>
        </w:rPr>
        <w:t>cf-art-37-inc-XIII</w:t>
      </w:r>
      <w:r>
        <w:rPr>
          <w:color w:val="003CA0"/>
          <w:sz w:val="12"/>
        </w:rPr>
        <w:t xml:space="preserve"> | RE 446.800</w:t>
      </w:r>
      <w:r>
        <w:rPr>
          <w:color w:val="003CA0"/>
          <w:sz w:val="12"/>
        </w:rPr>
        <w:t xml:space="preserve"> | rel. Cármen Lúcia</w:t>
      </w:r>
    </w:p>
    <w:p>
      <w:pPr>
        <w:ind w:left="288"/>
      </w:pPr>
      <w:r>
        <w:rPr>
          <w:color w:val="1E1E1E"/>
          <w:sz w:val="18"/>
        </w:rPr>
        <w:t>= RE 446.800 ED, rel. min. Cármen Lúcia, j. 8-9-2009, 1ª T, DJE de 2-10-2009 XV - o subsídio e os vencimentos dos ocupantes de cargos e empregos públicos são irredutíveis, ressalvado o disposto nos incisos XI e XIV deste artigo e nos arts. 39, § 4º; 150, II; 153, III; e 153, § 2º, I; (Redação da EC 19/1998)</w:t>
      </w:r>
    </w:p>
    <w:p>
      <w:pPr>
        <w:ind w:left="144"/>
      </w:pPr>
      <w:r>
        <w:rPr>
          <w:b/>
          <w:color w:val="B45A00"/>
          <w:sz w:val="16"/>
        </w:rPr>
        <w:t>CONTROLE CONCENTRADO</w:t>
      </w:r>
    </w:p>
    <w:p>
      <w:pPr>
        <w:ind w:left="288"/>
      </w:pPr>
      <w:r>
        <w:rPr>
          <w:color w:val="8C8C8C"/>
          <w:sz w:val="12"/>
        </w:rPr>
        <w:t>cf-art-37-inc-XIII</w:t>
      </w:r>
      <w:r>
        <w:rPr>
          <w:color w:val="003CA0"/>
          <w:sz w:val="12"/>
        </w:rPr>
        <w:t xml:space="preserve"> | ADI 5.606</w:t>
      </w:r>
      <w:r>
        <w:rPr>
          <w:color w:val="003CA0"/>
          <w:sz w:val="12"/>
        </w:rPr>
        <w:t xml:space="preserve"> | rel. Ricardo Lewandowski</w:t>
      </w:r>
    </w:p>
    <w:p>
      <w:pPr>
        <w:ind w:left="288"/>
      </w:pPr>
      <w:r>
        <w:rPr>
          <w:color w:val="1E1E1E"/>
          <w:sz w:val="18"/>
        </w:rPr>
        <w:t>A suspensão, por lei, de efeitos financeiros futuros de promoções de servidores públicos não ofende a proteção constitucional do direito adquirido e a regra da irredutibilidade de vencimentos.</w:t>
      </w:r>
    </w:p>
    <w:p>
      <w:pPr>
        <w:ind w:left="288"/>
      </w:pPr>
      <w:r>
        <w:rPr>
          <w:b/>
          <w:color w:val="003CA0"/>
          <w:sz w:val="16"/>
        </w:rPr>
        <w:t>[ADI 5.606, red. do ac. min. Roberto Barroso, rel. min. Ricardo Lewandowski, j. 21-2-2022, P, DJE de 31-3-2022.]</w:t>
      </w:r>
    </w:p>
    <w:p>
      <w:pPr>
        <w:ind w:left="288"/>
      </w:pPr>
      <w:r>
        <w:rPr>
          <w:color w:val="8C8C8C"/>
          <w:sz w:val="12"/>
        </w:rPr>
        <w:t>cf-art-37-inc-XIII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Artigos 9, § 3º, 23, § 2º, 56, caput, 57, caput. Ação julgada procedente com declaração de inconstitucionalidade dos dispositivos. (...) Em relação ao parágrafo 2º do artigo 23 da LRF, é entendimento iterativo do STF considerar a irredutibilidade do estipêndio funcional como garantia constitucional voltada a qualificar prerrogativa de caráter jurídico-social instituída em favor dos agentes públicos. (...) Artigo 23, § 1º, procedente para declarar a inconstitucionalidade parcial, sem red</w:t>
      </w:r>
    </w:p>
    <w:p>
      <w:pPr>
        <w:ind w:left="288"/>
      </w:pPr>
      <w:r>
        <w:rPr>
          <w:b/>
          <w:color w:val="003CA0"/>
          <w:sz w:val="16"/>
        </w:rPr>
        <w:t>[ADI 2.238, rel. min. Alexandre de Moraes, j. 24-6-2020, P, DJE de 15-9-2020.]</w:t>
      </w:r>
    </w:p>
    <w:p>
      <w:pPr>
        <w:ind w:left="288"/>
      </w:pPr>
      <w:r>
        <w:rPr>
          <w:color w:val="8C8C8C"/>
          <w:sz w:val="12"/>
        </w:rPr>
        <w:t>cf-art-37-inc-XIII</w:t>
      </w:r>
      <w:r>
        <w:rPr>
          <w:color w:val="003CA0"/>
          <w:sz w:val="12"/>
        </w:rPr>
        <w:t xml:space="preserve"> | ADI 5.026</w:t>
      </w:r>
      <w:r>
        <w:rPr>
          <w:color w:val="003CA0"/>
          <w:sz w:val="12"/>
        </w:rPr>
        <w:t xml:space="preserve"> | rel. Rosa Weber</w:t>
      </w:r>
    </w:p>
    <w:p>
      <w:pPr>
        <w:ind w:left="288"/>
      </w:pPr>
      <w:r>
        <w:rPr>
          <w:color w:val="1E1E1E"/>
          <w:sz w:val="18"/>
        </w:rPr>
        <w:t>Alegação de inconstitucionalidade material do artigo 53 da lei combatida, que prevê a forma de cálculo da renda mensal do benefício previdenciário de auxílio-doença com estipulação de valor inferior ao do rendimento efetivo do servidor. Inexistência de afronta aos princípios da irredutibilidade dos vencimentos e dos benefícios (artigos 37, XV, e 194, parágrafo único, da Constituição Federal). Os vencimentos recebidos pelo servidor público, pagos em contraprestação pelo seu labor, não se confundem com os valores auferidos a título de benefício previdenciário.</w:t>
      </w:r>
    </w:p>
    <w:p>
      <w:pPr>
        <w:ind w:left="288"/>
      </w:pPr>
      <w:r>
        <w:rPr>
          <w:b/>
          <w:color w:val="003CA0"/>
          <w:sz w:val="16"/>
        </w:rPr>
        <w:t>[ADI 5.026, rel. min. Rosa Weber, j. 3-3-2020, P, DJE de 12-3-2020.]</w:t>
      </w:r>
    </w:p>
    <w:p>
      <w:pPr>
        <w:ind w:left="288"/>
      </w:pPr>
      <w:r>
        <w:rPr>
          <w:color w:val="8C8C8C"/>
          <w:sz w:val="12"/>
        </w:rPr>
        <w:t>cf-art-37-inc-XIII</w:t>
      </w:r>
      <w:r>
        <w:rPr>
          <w:color w:val="003CA0"/>
          <w:sz w:val="12"/>
        </w:rPr>
        <w:t xml:space="preserve"> | ADI 5.560</w:t>
      </w:r>
      <w:r>
        <w:rPr>
          <w:color w:val="003CA0"/>
          <w:sz w:val="12"/>
        </w:rPr>
        <w:t xml:space="preserve"> | rel. Rosa Weber</w:t>
      </w:r>
    </w:p>
    <w:p>
      <w:pPr>
        <w:ind w:left="288"/>
      </w:pPr>
      <w:r>
        <w:rPr>
          <w:color w:val="1E1E1E"/>
          <w:sz w:val="18"/>
        </w:rPr>
        <w:t>Lei 10.410/2016 do Estado do Mato Grosso (...). (...) Não há afronta à garantia de irredutibilidade dos vencimentos, ao comando expresso que assegura a Revisão Geral Anual dos servidores públicos sempre na mesma data e sem distinção de índices, nem à vedação do parcelamento de salário. O art. 169, § 1º da Carta Magna veda a concessão de qualquer vantagem ou aumento de remuneração, sem que haja prévia dotação orçamentária suficiente para atender às projeções de despesa de pessoal e aos acréscimos dela decorrentes. A norma impugnada, a um só tempo: (i) garante a revisão; e (ii) efetiva o seu pag</w:t>
      </w:r>
    </w:p>
    <w:p>
      <w:pPr>
        <w:ind w:left="288"/>
      </w:pPr>
      <w:r>
        <w:rPr>
          <w:b/>
          <w:color w:val="003CA0"/>
          <w:sz w:val="16"/>
        </w:rPr>
        <w:t>[ADI 5.560, rel. min. Rosa Weber, j. 18-10-2019, P, DJE de 4-11-2019.]</w:t>
      </w:r>
    </w:p>
    <w:p>
      <w:pPr>
        <w:ind w:left="288"/>
      </w:pPr>
      <w:r>
        <w:rPr>
          <w:color w:val="8C8C8C"/>
          <w:sz w:val="12"/>
        </w:rPr>
        <w:t>cf-art-37-inc-XIII</w:t>
      </w:r>
      <w:r>
        <w:rPr>
          <w:color w:val="003CA0"/>
          <w:sz w:val="12"/>
        </w:rPr>
        <w:t xml:space="preserve"> | ADI 2.075</w:t>
      </w:r>
      <w:r>
        <w:rPr>
          <w:color w:val="003CA0"/>
          <w:sz w:val="12"/>
        </w:rPr>
        <w:t xml:space="preserve"> | rel. Celso de Mello</w:t>
      </w:r>
    </w:p>
    <w:p>
      <w:pPr>
        <w:ind w:left="288"/>
      </w:pPr>
      <w:r>
        <w:rPr>
          <w:color w:val="1E1E1E"/>
          <w:sz w:val="18"/>
        </w:rPr>
        <w:t>A garantia constitucional da irredutibilidade do estipêndio funcional traduz conquista jurídico-social outorgada, pela Constituição da República, a todos os servidores públicos (CF, art. 37, XV), em ordem a dispensar-lhes especial proteção de caráter financeiro contra eventuais ações arbitrárias do Estado. Essa qualificada tutela de ordem jurídica impede que o poder público adote medidas que importem, especialmente quando implementadas no plano infraconstitucional, em diminuição do valor nominal concernente ao estipêndio devido aos agentes públicos. A cláusula constitucional da irredutibilidad</w:t>
      </w:r>
    </w:p>
    <w:p>
      <w:pPr>
        <w:ind w:left="288"/>
      </w:pPr>
      <w:r>
        <w:rPr>
          <w:b/>
          <w:color w:val="003CA0"/>
          <w:sz w:val="16"/>
        </w:rPr>
        <w:t>[ADI 2.075 MC, rel. min. Celso de Mello, j. 7-2-2001, P, DJ de 27-6-2003.]</w:t>
      </w:r>
    </w:p>
    <w:p>
      <w:pPr>
        <w:ind w:left="288"/>
      </w:pPr>
      <w:r>
        <w:rPr>
          <w:color w:val="8C8C8C"/>
          <w:sz w:val="12"/>
        </w:rPr>
        <w:t>cf-art-37-inc-XIII</w:t>
      </w:r>
      <w:r>
        <w:rPr>
          <w:color w:val="003CA0"/>
          <w:sz w:val="12"/>
        </w:rPr>
        <w:t xml:space="preserve"> | RE 426.491</w:t>
      </w:r>
      <w:r>
        <w:rPr>
          <w:color w:val="003CA0"/>
          <w:sz w:val="12"/>
        </w:rPr>
        <w:t xml:space="preserve"> | rel. Ricardo Lewandowski</w:t>
      </w:r>
    </w:p>
    <w:p>
      <w:pPr>
        <w:ind w:left="288"/>
      </w:pPr>
      <w:r>
        <w:rPr>
          <w:color w:val="1E1E1E"/>
          <w:sz w:val="18"/>
        </w:rPr>
        <w:t xml:space="preserve">= RE 426.491 AgR, rel. min. Ricardo Lewandowski, j. 8-2-2011, 1ª T, DJE de 10-3-2011 A garantia constitucional da irredutibilidade da remuneração devida aos servidores públicos em atividade não se reveste de caráter absoluto. Expõe-se, por isso mesmo, às derrogações instituídas pela própria Constituição da República, que prevê, relativamente ao subsídio e aos vencimentos "dos ocupantes de cargos e empregos públicos" (CF, art. 37, XV), a incidência de tributos, legitimando-se, desse modo, quanto aos servidores públicos ativos, a exigibilidade da contribuição de seguridade social, mesmo porque, </w:t>
      </w:r>
    </w:p>
    <w:p>
      <w:pPr>
        <w:ind w:left="288"/>
      </w:pPr>
      <w:r>
        <w:rPr>
          <w:b/>
          <w:color w:val="003CA0"/>
          <w:sz w:val="16"/>
        </w:rPr>
        <w:t>[ADC 8 MC, rel. min. Celso de Mello, j. 13-10-1999, P, DJ de 4-4-2003.]</w:t>
      </w:r>
    </w:p>
    <w:p>
      <w:pPr>
        <w:ind w:left="288"/>
      </w:pPr>
      <w:r>
        <w:rPr>
          <w:color w:val="8C8C8C"/>
          <w:sz w:val="12"/>
        </w:rPr>
        <w:t>cf-art-37-inc-XIII</w:t>
      </w:r>
      <w:r>
        <w:rPr>
          <w:color w:val="003CA0"/>
          <w:sz w:val="12"/>
        </w:rPr>
        <w:t xml:space="preserve"> | RE 1.413.637</w:t>
      </w:r>
      <w:r>
        <w:rPr>
          <w:color w:val="003CA0"/>
          <w:sz w:val="12"/>
        </w:rPr>
        <w:t xml:space="preserve"> | rel. Luís Roberto Barroso</w:t>
      </w:r>
    </w:p>
    <w:p>
      <w:pPr>
        <w:ind w:left="288"/>
      </w:pPr>
      <w:r>
        <w:rPr>
          <w:color w:val="1E1E1E"/>
          <w:sz w:val="18"/>
        </w:rPr>
        <w:t>“É infraconstitucional e pressupõe o exame de matéria fática o exame de controvérsia sobre a possibilidade de uma lei de reestruturação de carreira designar o termo final de pagamento de diferenças remuneratórias de conversão de moeda em URV”.</w:t>
      </w:r>
    </w:p>
    <w:p>
      <w:pPr>
        <w:ind w:left="288"/>
      </w:pPr>
      <w:r>
        <w:rPr>
          <w:b/>
          <w:color w:val="003CA0"/>
          <w:sz w:val="16"/>
        </w:rPr>
        <w:t>[RE 1.413.637 RG, rel. min. Luís Roberto Barroso, j. 23.08.2024, P, DJE de 27.08.2024, Tema 1.318, com repercussão geral negada.]</w:t>
      </w:r>
    </w:p>
    <w:p>
      <w:pPr>
        <w:ind w:left="144"/>
      </w:pPr>
      <w:r>
        <w:rPr>
          <w:b/>
          <w:color w:val="B45A00"/>
          <w:sz w:val="16"/>
        </w:rPr>
        <w:t>REPERCUSSAO GERAL</w:t>
      </w:r>
    </w:p>
    <w:p>
      <w:pPr>
        <w:ind w:left="288"/>
      </w:pPr>
      <w:r>
        <w:rPr>
          <w:color w:val="8C8C8C"/>
          <w:sz w:val="12"/>
        </w:rPr>
        <w:t>cf-art-37-inc-XIII</w:t>
      </w:r>
      <w:r>
        <w:rPr>
          <w:color w:val="003CA0"/>
          <w:sz w:val="12"/>
        </w:rPr>
        <w:t xml:space="preserve"> | RE 642.890</w:t>
      </w:r>
      <w:r>
        <w:rPr>
          <w:color w:val="003CA0"/>
          <w:sz w:val="12"/>
        </w:rPr>
        <w:t xml:space="preserve"> | rel. Nunes Marques</w:t>
      </w:r>
    </w:p>
    <w:p>
      <w:pPr>
        <w:ind w:left="288"/>
      </w:pPr>
      <w:r>
        <w:rPr>
          <w:color w:val="1E1E1E"/>
          <w:sz w:val="18"/>
        </w:rPr>
        <w:t>A Portaria n. 931/2005 do Ministério da Defesa, que alterou a fórmula de cálculo do auxílio-invalidez para os servidores militares, está em harmonia com os princípios da legalidade e da irredutibilidade de vencimentos.</w:t>
      </w:r>
    </w:p>
    <w:p>
      <w:pPr>
        <w:ind w:left="288"/>
      </w:pPr>
      <w:r>
        <w:rPr>
          <w:b/>
          <w:color w:val="003CA0"/>
          <w:sz w:val="16"/>
        </w:rPr>
        <w:t>[RE 642.890, rel. min. Nunes Marques, j. 10-10-2022, P, DJE de 26-10-2022, Tema 465, com mérito julgado.]</w:t>
      </w:r>
    </w:p>
    <w:p>
      <w:pPr>
        <w:ind w:left="288"/>
      </w:pPr>
      <w:r>
        <w:rPr>
          <w:color w:val="8C8C8C"/>
          <w:sz w:val="12"/>
        </w:rPr>
        <w:t>cf-art-37-inc-XIII</w:t>
      </w:r>
      <w:r>
        <w:rPr>
          <w:color w:val="003CA0"/>
          <w:sz w:val="12"/>
        </w:rPr>
        <w:t xml:space="preserve"> | RE 1.367.406</w:t>
      </w:r>
      <w:r>
        <w:rPr>
          <w:color w:val="003CA0"/>
          <w:sz w:val="12"/>
        </w:rPr>
        <w:t xml:space="preserve"> | rel. Luiz Fux</w:t>
      </w:r>
    </w:p>
    <w:p>
      <w:pPr>
        <w:ind w:left="288"/>
      </w:pPr>
      <w:r>
        <w:rPr>
          <w:color w:val="1E1E1E"/>
          <w:sz w:val="18"/>
        </w:rPr>
        <w:t>É infraconstitucional, a ela se aplicando os efeitos da ausência de repercussão geral, a controvérsia relativa à possibilidade da inclusão da vantagem pessoal nominalmente identificada (VPNI) na base de cálculo do adicional por tempo de serviço concedido a servidores do Tribunal de Justiça do Estado do Paraná.</w:t>
      </w:r>
    </w:p>
    <w:p>
      <w:pPr>
        <w:ind w:left="288"/>
      </w:pPr>
      <w:r>
        <w:rPr>
          <w:b/>
          <w:color w:val="003CA0"/>
          <w:sz w:val="16"/>
        </w:rPr>
        <w:t>[RE 1.367.406 RG, rel. min. Luiz Fux, j. 12-8-2022, P, DJE de 17-8-2022, Tema 1.227, com repercussão geral negada.]</w:t>
      </w:r>
    </w:p>
    <w:p>
      <w:pPr>
        <w:ind w:left="288"/>
      </w:pPr>
      <w:r>
        <w:rPr>
          <w:color w:val="8C8C8C"/>
          <w:sz w:val="12"/>
        </w:rPr>
        <w:t>cf-art-37-inc-XIII</w:t>
      </w:r>
      <w:r>
        <w:rPr>
          <w:color w:val="003CA0"/>
          <w:sz w:val="12"/>
        </w:rPr>
        <w:t xml:space="preserve"> | RE 1.306.973</w:t>
      </w:r>
      <w:r>
        <w:rPr>
          <w:color w:val="003CA0"/>
          <w:sz w:val="12"/>
        </w:rPr>
        <w:t xml:space="preserve"> | rel. Luiz Fux</w:t>
      </w:r>
    </w:p>
    <w:p>
      <w:pPr>
        <w:ind w:left="288"/>
      </w:pPr>
      <w:r>
        <w:rPr>
          <w:color w:val="1E1E1E"/>
          <w:sz w:val="18"/>
        </w:rPr>
        <w:t>É infraconstitucional, a ela se aplicando os efeitos da ausência de repercussão geral, a controvérsia relativa à redução do percentual a ser pago aos servidores públicos da Secretaria de Educação do Estado de São Paulo sob a rubrica Bonificação por Resultados.</w:t>
        <w:br/>
        <w:t>[RE 1.306.973 RG, rel. min. Luiz Fux, j. 9-12-2021, P, DJE de 15-12-2021, Tema 1.188, com repercussão geral negada.] É inconstitucional o pagamento do adicional de 20% previsto no art. 184, II, da Lei 1.711/1952 a desembargadores, após a adoção do subsídio como forma remuneratória. A supressão do adicional não pode representar decesso re</w:t>
      </w:r>
    </w:p>
    <w:p>
      <w:pPr>
        <w:ind w:left="288"/>
      </w:pPr>
      <w:r>
        <w:rPr>
          <w:b/>
          <w:color w:val="003CA0"/>
          <w:sz w:val="16"/>
        </w:rPr>
        <w:t>[RE 597.396, red. do ac. min. Alexandre de Moraes, j. 16-9-2020, P, DJE de 5-10-2020, Tema 690, com mérito julgado.]</w:t>
      </w:r>
    </w:p>
    <w:p>
      <w:pPr>
        <w:ind w:left="288"/>
      </w:pPr>
      <w:r>
        <w:rPr>
          <w:color w:val="8C8C8C"/>
          <w:sz w:val="12"/>
        </w:rPr>
        <w:t>cf-art-37-inc-XIII</w:t>
      </w:r>
      <w:r>
        <w:rPr>
          <w:color w:val="003CA0"/>
          <w:sz w:val="12"/>
        </w:rPr>
        <w:t xml:space="preserve"> | RE 1.023.750</w:t>
      </w:r>
      <w:r>
        <w:rPr>
          <w:color w:val="003CA0"/>
          <w:sz w:val="12"/>
        </w:rPr>
        <w:t xml:space="preserve"> | rel. Marco Aurélio</w:t>
      </w:r>
    </w:p>
    <w:p>
      <w:pPr>
        <w:ind w:left="288"/>
      </w:pPr>
      <w:r>
        <w:rPr>
          <w:color w:val="1E1E1E"/>
          <w:sz w:val="18"/>
        </w:rPr>
        <w:t>Servidores que tiveram relação jurídica regida pela Consolidação das Leis do Trabalho, modificada considerado regime jurídico único, têm direito à diferença remuneratória decorrente do Plano de Cargos, Carreiras e Salários – PCCS.</w:t>
      </w:r>
    </w:p>
    <w:p>
      <w:pPr>
        <w:ind w:left="288"/>
      </w:pPr>
      <w:r>
        <w:rPr>
          <w:b/>
          <w:color w:val="003CA0"/>
          <w:sz w:val="16"/>
        </w:rPr>
        <w:t>[RE 1.023.750, rel. min. Marco Aurélio, j. 24-8-2020, P, DJE de 17-9-2020, Tema 951, com mérito julgado.]</w:t>
      </w:r>
    </w:p>
    <w:p>
      <w:pPr>
        <w:ind w:left="288"/>
      </w:pPr>
      <w:r>
        <w:rPr>
          <w:color w:val="8C8C8C"/>
          <w:sz w:val="12"/>
        </w:rPr>
        <w:t>cf-art-37-inc-XIII</w:t>
      </w:r>
      <w:r>
        <w:rPr>
          <w:color w:val="003CA0"/>
          <w:sz w:val="12"/>
        </w:rPr>
        <w:t xml:space="preserve"> | ARE 1.052.570</w:t>
      </w:r>
      <w:r>
        <w:rPr>
          <w:color w:val="003CA0"/>
          <w:sz w:val="12"/>
        </w:rPr>
        <w:t xml:space="preserve"> | rel. Alexandre de Moraes</w:t>
      </w:r>
    </w:p>
    <w:p>
      <w:pPr>
        <w:ind w:left="288"/>
      </w:pPr>
      <w:r>
        <w:rPr>
          <w:color w:val="1E1E1E"/>
          <w:sz w:val="18"/>
        </w:rPr>
        <w:t>Reafirma-se a jurisprudência dominante desta Corte nos termos da seguinte tese de repercussão geral: (I) O termo inicial do pagamento diferenciado das gratificações de desempenho entre servidores ativos e inativos é o da data da homologação do resultado das avaliações, após a conclusão do primeiro ciclo; (II) A redução, após a homologação do resultado das avaliações, do valor da gratificação de desempenho paga aos inativos e pensionistas não configura ofensa ao princípio da irredutibilidade de vencimentos.</w:t>
      </w:r>
    </w:p>
    <w:p>
      <w:pPr>
        <w:ind w:left="288"/>
      </w:pPr>
      <w:r>
        <w:rPr>
          <w:b/>
          <w:color w:val="003CA0"/>
          <w:sz w:val="16"/>
        </w:rPr>
        <w:t>[ARE 1.052.570 RG, rel. min. Alexandre de Moraes, j. 15-2-2018, P, DJE de 6-3-2018, Tema 983, com mérito julgado.]</w:t>
      </w:r>
    </w:p>
    <w:p>
      <w:pPr>
        <w:ind w:left="288"/>
      </w:pPr>
      <w:r>
        <w:rPr>
          <w:color w:val="8C8C8C"/>
          <w:sz w:val="12"/>
        </w:rPr>
        <w:t>cf-art-37-inc-XIII</w:t>
      </w:r>
      <w:r>
        <w:rPr>
          <w:color w:val="003CA0"/>
          <w:sz w:val="12"/>
        </w:rPr>
        <w:t xml:space="preserve"> | ARE 660.010</w:t>
      </w:r>
      <w:r>
        <w:rPr>
          <w:color w:val="003CA0"/>
          <w:sz w:val="12"/>
        </w:rPr>
        <w:t xml:space="preserve"> | rel. Dias Toffoli</w:t>
      </w:r>
    </w:p>
    <w:p>
      <w:pPr>
        <w:ind w:left="288"/>
      </w:pPr>
      <w:r>
        <w:rPr>
          <w:color w:val="1E1E1E"/>
          <w:sz w:val="18"/>
        </w:rPr>
        <w:t>Reafirmada a jurisprudência da Corte e fixadas as seguintes teses jurídicas: i) a ampliação de jornada de trabalho sem alteração da remuneração do servidor consiste em violação da regra constitucional da irredutibilidade de vencimentos; ii) no caso concreto, o § 1º do art. 1º do Decreto estadual nº 4.345, de 14 de fevereiro de 2005, do Estado do Paraná não se aplica aos servidores elencados em seu caput que, antes de sua edição, estavam legitimamente submetidos a carga horária semanal inferior a quarenta horas.</w:t>
      </w:r>
    </w:p>
    <w:p>
      <w:pPr>
        <w:ind w:left="288"/>
      </w:pPr>
      <w:r>
        <w:rPr>
          <w:b/>
          <w:color w:val="003CA0"/>
          <w:sz w:val="16"/>
        </w:rPr>
        <w:t>[ARE 660.010, rel. min. Dias Toffoli, j. 30-10-2014, P, DJE de 19-2-2015, Tema 514, com mérito julgado.]</w:t>
      </w:r>
    </w:p>
    <w:p>
      <w:pPr>
        <w:ind w:left="288"/>
      </w:pPr>
      <w:r>
        <w:rPr>
          <w:color w:val="8C8C8C"/>
          <w:sz w:val="12"/>
        </w:rPr>
        <w:t>cf-art-37-inc-XIII</w:t>
      </w:r>
      <w:r>
        <w:rPr>
          <w:color w:val="003CA0"/>
          <w:sz w:val="12"/>
        </w:rPr>
        <w:t xml:space="preserve"> | RE 609.381</w:t>
      </w:r>
      <w:r>
        <w:rPr>
          <w:color w:val="003CA0"/>
          <w:sz w:val="12"/>
        </w:rPr>
        <w:t xml:space="preserve"> | rel. Teori Zavascki</w:t>
      </w:r>
    </w:p>
    <w:p>
      <w:pPr>
        <w:ind w:left="288"/>
      </w:pPr>
      <w:r>
        <w:rPr>
          <w:color w:val="1E1E1E"/>
          <w:sz w:val="18"/>
        </w:rPr>
        <w:t>O teto de retribuição estabelecido pela EC 41/2003 possui eficácia imediata, submetendo às referências de valor máximo nele discriminadas todas as verbas de natureza remuneratória percebidas pelos servidores públicos da União, Estados, Distrito Federal e Municípios, ainda que adquiridas de acordo com regime legal anterior. A observância da norma de teto de retribuição representa verdadeira condição de legitimidade para o pagamento das remunerações no serviço público. Os valores que ultrapassam os limites preestabelecidos para cada nível federativo na CF constituem excesso cujo pagamento não po</w:t>
      </w:r>
    </w:p>
    <w:p>
      <w:pPr>
        <w:ind w:left="288"/>
      </w:pPr>
      <w:r>
        <w:rPr>
          <w:b/>
          <w:color w:val="003CA0"/>
          <w:sz w:val="16"/>
        </w:rPr>
        <w:t>[RE 609.381, rel. min. Teori Zavascki, j. 2-10-2014, P, DJE de 11-12-2014, Tema 480, com mérito julgado.]</w:t>
      </w:r>
    </w:p>
    <w:p>
      <w:pPr>
        <w:ind w:left="288"/>
      </w:pPr>
      <w:r>
        <w:rPr>
          <w:color w:val="8C8C8C"/>
          <w:sz w:val="12"/>
        </w:rPr>
        <w:t>cf-art-37-inc-XIII</w:t>
      </w:r>
      <w:r>
        <w:rPr>
          <w:color w:val="003CA0"/>
          <w:sz w:val="12"/>
        </w:rPr>
        <w:t xml:space="preserve"> | RE 561.836</w:t>
      </w:r>
      <w:r>
        <w:rPr>
          <w:color w:val="003CA0"/>
          <w:sz w:val="12"/>
        </w:rPr>
        <w:t xml:space="preserve"> | rel. Luiz Fux</w:t>
      </w:r>
    </w:p>
    <w:p>
      <w:pPr>
        <w:ind w:left="288"/>
      </w:pPr>
      <w:r>
        <w:rPr>
          <w:color w:val="1E1E1E"/>
          <w:sz w:val="18"/>
        </w:rPr>
        <w:t>O direito ao percentual de 11,98%, ou do índice decorrente do processo de liquidação, na remuneração do servidor, resultante da equivocada conversão do Cruzeiro Real em URV [Unidade Real de Valor], não representa um aumento na remuneração do servidor público, mas um reconhecimento da ocorrência de indevido decréscimo no momento da conversão da moeda em relação àqueles que recebem seus vencimentos em momento anterior ao do término do mês trabalhado, tal como ocorre, verbi gratia, no âmbito do Poder Legislativo e do Poder Judiciário por força do art. 168 da Constituição da República. (...) A irr</w:t>
      </w:r>
    </w:p>
    <w:p>
      <w:pPr>
        <w:ind w:left="288"/>
      </w:pPr>
      <w:r>
        <w:rPr>
          <w:b/>
          <w:color w:val="003CA0"/>
          <w:sz w:val="16"/>
        </w:rPr>
        <w:t>[RE 563.708, rel. min. Cármen Lúcia, j. 6-2-2013, P, DJE de 2-5-2013, Tema 24, com mérito julgado.]</w:t>
      </w:r>
    </w:p>
    <w:p>
      <w:pPr>
        <w:ind w:left="288"/>
      </w:pPr>
      <w:r>
        <w:rPr>
          <w:color w:val="8C8C8C"/>
          <w:sz w:val="12"/>
        </w:rPr>
        <w:t>cf-art-37-inc-XIII</w:t>
      </w:r>
      <w:r>
        <w:rPr>
          <w:color w:val="003CA0"/>
          <w:sz w:val="12"/>
        </w:rPr>
        <w:t xml:space="preserve"> | ARE 637.607</w:t>
      </w:r>
      <w:r>
        <w:rPr>
          <w:color w:val="003CA0"/>
          <w:sz w:val="12"/>
        </w:rPr>
        <w:t xml:space="preserve"> | rel. Cezar Peluso</w:t>
      </w:r>
    </w:p>
    <w:p>
      <w:pPr>
        <w:ind w:left="288"/>
      </w:pPr>
      <w:r>
        <w:rPr>
          <w:color w:val="1E1E1E"/>
          <w:sz w:val="18"/>
        </w:rPr>
        <w:t>É compatível com a Constituição a redução da Gratificação Especial de Retorno à Atividade (GERA), se o ingresso ou reingresso dos servidores públicos, aos quadros do CVMI [Corpo Voluntário de Militares Inativos Estaduais], ocorreu após a edição da Lei estadual 10.916/1997.</w:t>
      </w:r>
    </w:p>
    <w:p>
      <w:pPr>
        <w:ind w:left="288"/>
      </w:pPr>
      <w:r>
        <w:rPr>
          <w:b/>
          <w:color w:val="003CA0"/>
          <w:sz w:val="16"/>
        </w:rPr>
        <w:t>[ARE 637.607 RG, rel. min. Cezar Peluso, j. 23-6-2011, P, DJE de 6-9-2011, Tema 440, com mérito julgado.]</w:t>
      </w:r>
    </w:p>
    <w:p>
      <w:pPr>
        <w:ind w:left="288"/>
      </w:pPr>
      <w:r>
        <w:rPr>
          <w:color w:val="8C8C8C"/>
          <w:sz w:val="12"/>
        </w:rPr>
        <w:t>cf-art-37-inc-XIII</w:t>
      </w:r>
      <w:r>
        <w:rPr>
          <w:color w:val="003CA0"/>
          <w:sz w:val="12"/>
        </w:rPr>
        <w:t xml:space="preserve"> | RE 596.542</w:t>
      </w:r>
      <w:r>
        <w:rPr>
          <w:color w:val="003CA0"/>
          <w:sz w:val="12"/>
        </w:rPr>
        <w:t xml:space="preserve"> | rel. Cezar Peluso</w:t>
      </w:r>
    </w:p>
    <w:p>
      <w:pPr>
        <w:ind w:left="288"/>
      </w:pPr>
      <w:r>
        <w:rPr>
          <w:color w:val="1E1E1E"/>
          <w:sz w:val="18"/>
        </w:rPr>
        <w:t>É compatível com a Constituição lei específica que altera o cálculo da Gratificação por Produção Suplementar (GPS), desde que não haja redução da remuneração na sua totalidade.</w:t>
      </w:r>
    </w:p>
    <w:p>
      <w:pPr>
        <w:ind w:left="288"/>
      </w:pPr>
      <w:r>
        <w:rPr>
          <w:b/>
          <w:color w:val="003CA0"/>
          <w:sz w:val="16"/>
        </w:rPr>
        <w:t>[RE 596.542 RG, rel. min. Cezar Peluso, j. 16-6-2011, P, DJE de 16-9-2011, Tema 434, com mérito julgado.]</w:t>
      </w:r>
    </w:p>
    <w:p>
      <w:pPr>
        <w:ind w:left="288"/>
      </w:pPr>
      <w:r>
        <w:rPr>
          <w:color w:val="8C8C8C"/>
          <w:sz w:val="12"/>
        </w:rPr>
        <w:t>cf-art-37-inc-XIII</w:t>
      </w:r>
      <w:r>
        <w:rPr>
          <w:color w:val="003CA0"/>
          <w:sz w:val="12"/>
        </w:rPr>
        <w:t xml:space="preserve"> | RE 563.965</w:t>
      </w:r>
      <w:r>
        <w:rPr>
          <w:color w:val="003CA0"/>
          <w:sz w:val="12"/>
        </w:rPr>
        <w:t xml:space="preserve"> | rel. Cármen Lúcia</w:t>
      </w:r>
    </w:p>
    <w:p>
      <w:pPr>
        <w:ind w:left="288"/>
      </w:pPr>
      <w:r>
        <w:rPr>
          <w:color w:val="1E1E1E"/>
          <w:sz w:val="18"/>
        </w:rPr>
        <w:t>O STF pacificou a sua jurisprudência sobre a constitucionalidade do instituto da estabilidade financeira e sobre a ausência de direito adquirido a regime jurídico. Nesta linha, a LC 203/2001, do Estado do Rio Grande do Norte, no ponto que alterou a forma de cálculo de gratificações e, consequentemente, a composição da remuneração de servidores públicos, não ofende a Constituição da República de 1988, por dar cumprimento ao princípio da irredutibilidade da remuneração.</w:t>
        <w:br/>
        <w:t>[RE 563.965, rel. min. Cármen Lúcia, j. 11-2-2009, P, DJE de 20-3-2009, Tema 41, com mérito julgado.] Fixação de subsídios. Age</w:t>
      </w:r>
    </w:p>
    <w:p>
      <w:pPr>
        <w:ind w:left="288"/>
      </w:pPr>
      <w:r>
        <w:rPr>
          <w:b/>
          <w:color w:val="003CA0"/>
          <w:sz w:val="16"/>
        </w:rPr>
        <w:t>[ARE 1.462.344, rel. min. Gilmar Mendes, j. 27.10.2025, P, DJE de 03.11.2025.]</w:t>
      </w:r>
    </w:p>
    <w:p>
      <w:pPr>
        <w:ind w:left="288"/>
      </w:pPr>
      <w:r>
        <w:rPr>
          <w:color w:val="8C8C8C"/>
          <w:sz w:val="12"/>
        </w:rPr>
        <w:t>cf-art-37-inc-XIII</w:t>
      </w:r>
      <w:r>
        <w:rPr>
          <w:color w:val="003CA0"/>
          <w:sz w:val="12"/>
        </w:rPr>
        <w:t xml:space="preserve"> | RE 1.529.476</w:t>
      </w:r>
      <w:r>
        <w:rPr>
          <w:color w:val="003CA0"/>
          <w:sz w:val="12"/>
        </w:rPr>
        <w:t xml:space="preserve"> | rel. Gilmar Mendes</w:t>
      </w:r>
    </w:p>
    <w:p>
      <w:pPr>
        <w:ind w:left="288"/>
      </w:pPr>
      <w:r>
        <w:rPr>
          <w:color w:val="1E1E1E"/>
          <w:sz w:val="18"/>
        </w:rPr>
        <w:t>Há uma questão em discussão: saber se a modificação de aumentos salariais por lei superveniente, antes da produção de efeitos financeiros da lei original, configura violação ao direito adquirido e à irredutibilidade de vencimentos, considerando que a nova legislação buscou atender a Lei de Responsabilidade Fiscal e os princípios da isonomia e da razoabilidade. Não se verifica a violação a direito adquirido, uma vez que a Lei Complementar 896/2022 não chegou a produzir efeitos financeiros, sendo os aumentos nela previstos meras expectativas de direito e não valores incorporados ao patrimônio ju</w:t>
      </w:r>
    </w:p>
    <w:p>
      <w:pPr>
        <w:ind w:left="288"/>
      </w:pPr>
      <w:r>
        <w:rPr>
          <w:b/>
          <w:color w:val="003CA0"/>
          <w:sz w:val="16"/>
        </w:rPr>
        <w:t>[RE 1.529.476, rel. min. Gilmar Mendes, j. 15.09.2025, P, DJE de 07.10.2025.]</w:t>
      </w:r>
    </w:p>
    <w:p>
      <w:pPr>
        <w:ind w:left="144"/>
      </w:pPr>
      <w:r>
        <w:rPr>
          <w:b/>
          <w:color w:val="B45A00"/>
          <w:sz w:val="16"/>
        </w:rPr>
        <w:t>JULGADOS CORRELATOS</w:t>
      </w:r>
    </w:p>
    <w:p>
      <w:pPr>
        <w:ind w:left="288"/>
      </w:pPr>
      <w:r>
        <w:rPr>
          <w:color w:val="8C8C8C"/>
          <w:sz w:val="12"/>
        </w:rPr>
        <w:t>cf-art-37-inc-XIII</w:t>
      </w:r>
      <w:r>
        <w:rPr>
          <w:color w:val="003CA0"/>
          <w:sz w:val="12"/>
        </w:rPr>
        <w:t xml:space="preserve"> | RE 836.198</w:t>
      </w:r>
      <w:r>
        <w:rPr>
          <w:color w:val="003CA0"/>
          <w:sz w:val="12"/>
        </w:rPr>
        <w:t xml:space="preserve"> | rel. Roberto Barroso</w:t>
      </w:r>
    </w:p>
    <w:p>
      <w:pPr>
        <w:ind w:left="288"/>
      </w:pPr>
      <w:r>
        <w:rPr>
          <w:color w:val="1E1E1E"/>
          <w:sz w:val="18"/>
        </w:rPr>
        <w:t>(...) o art. 37, XV, da Constituição, impossibilita que retenção salarial seja utilizada como meio de redução de gastos com pessoal com o objetivo de adequação aos limites legais ou constitucionais de despesa.</w:t>
      </w:r>
    </w:p>
    <w:p>
      <w:pPr>
        <w:ind w:left="288"/>
      </w:pPr>
      <w:r>
        <w:rPr>
          <w:b/>
          <w:color w:val="003CA0"/>
          <w:sz w:val="16"/>
        </w:rPr>
        <w:t>[RE 836.198-AgR, rel. min. Roberto Barroso, j. 23-3-2018, 1ª T, DJE de 12-4-2018.]</w:t>
      </w:r>
    </w:p>
    <w:p>
      <w:pPr>
        <w:ind w:left="288"/>
      </w:pPr>
      <w:r>
        <w:rPr>
          <w:color w:val="8C8C8C"/>
          <w:sz w:val="12"/>
        </w:rPr>
        <w:t>cf-art-37-inc-XIII</w:t>
      </w:r>
      <w:r>
        <w:rPr>
          <w:color w:val="003CA0"/>
          <w:sz w:val="12"/>
        </w:rPr>
        <w:t xml:space="preserve"> | ARE 1.004.555</w:t>
      </w:r>
      <w:r>
        <w:rPr>
          <w:color w:val="003CA0"/>
          <w:sz w:val="12"/>
        </w:rPr>
        <w:t xml:space="preserve"> | rel. Dias Toffoli</w:t>
      </w:r>
    </w:p>
    <w:p>
      <w:pPr>
        <w:ind w:left="288"/>
      </w:pPr>
      <w:r>
        <w:rPr>
          <w:color w:val="1E1E1E"/>
          <w:sz w:val="18"/>
        </w:rPr>
        <w:t>É possível ao legislador desvincular, para o futuro, a forma de calcular gratificação incorporada pelo servidor, em razão de ter ocupado função/cargo comissionado, submetendo-a aos índices gerais de revisão, sem que isso represente violação do Texto Constitucional.</w:t>
      </w:r>
    </w:p>
    <w:p>
      <w:pPr>
        <w:ind w:left="288"/>
      </w:pPr>
      <w:r>
        <w:rPr>
          <w:b/>
          <w:color w:val="003CA0"/>
          <w:sz w:val="16"/>
        </w:rPr>
        <w:t>[ARE 1.004.555 AgR, rel. min. Dias Toffoli, j. 8-8-2017, P, DJE de 29-8-2017.]</w:t>
      </w:r>
    </w:p>
    <w:p>
      <w:pPr>
        <w:ind w:left="288"/>
      </w:pPr>
      <w:r>
        <w:rPr>
          <w:color w:val="8C8C8C"/>
          <w:sz w:val="12"/>
        </w:rPr>
        <w:t>cf-art-37-inc-XIII</w:t>
      </w:r>
      <w:r>
        <w:rPr>
          <w:color w:val="003CA0"/>
          <w:sz w:val="12"/>
        </w:rPr>
        <w:t xml:space="preserve"> | RMS 32.391</w:t>
      </w:r>
      <w:r>
        <w:rPr>
          <w:color w:val="003CA0"/>
          <w:sz w:val="12"/>
        </w:rPr>
        <w:t xml:space="preserve"> | rel. Dias Toffoli</w:t>
      </w:r>
    </w:p>
    <w:p>
      <w:pPr>
        <w:ind w:left="288"/>
      </w:pPr>
      <w:r>
        <w:rPr>
          <w:color w:val="1E1E1E"/>
          <w:sz w:val="18"/>
        </w:rPr>
        <w:t>É devido ao prestador de serviços no exterior, quando do enquadramento em cargo semelhante ao constante do organograma funcional brasileiro, o pagamento da diferença entre a remuneração percebida no exterior e a do cargo de referência, observado o teto constitucional, caracterizando-se o valor encontrado como vantagem pessoal.</w:t>
        <w:br/>
        <w:t>[RMS 32.391 AgR, rel. min. Dias Toffoli, j. 10-11-2015, 2ª T, DJE de 14-12-2015.] (...) o STF reconheceu assistir, no tema em análise (integração do salário-família, sem limitação, ao estipêndio funcional), o direito ora postulado, sem qualquer restrição, desde que se tr</w:t>
      </w:r>
    </w:p>
    <w:p>
      <w:pPr>
        <w:ind w:left="288"/>
      </w:pPr>
      <w:r>
        <w:rPr>
          <w:b/>
          <w:color w:val="003CA0"/>
          <w:sz w:val="16"/>
        </w:rPr>
        <w:t>[AI 817.010 AgR, voto do rel. min. Celso de Mello, j. 27-3-2012, 2ª T, DJE de 12-4-2012.]</w:t>
      </w:r>
    </w:p>
    <w:p>
      <w:pPr>
        <w:ind w:left="288"/>
      </w:pPr>
      <w:r>
        <w:rPr>
          <w:color w:val="8C8C8C"/>
          <w:sz w:val="12"/>
        </w:rPr>
        <w:t>cf-art-37-inc-XIII</w:t>
      </w:r>
      <w:r>
        <w:rPr>
          <w:color w:val="003CA0"/>
          <w:sz w:val="12"/>
        </w:rPr>
        <w:t xml:space="preserve"> | AI 541.949</w:t>
      </w:r>
      <w:r>
        <w:rPr>
          <w:color w:val="003CA0"/>
          <w:sz w:val="12"/>
        </w:rPr>
        <w:t xml:space="preserve"> | rel. Marco Aurélio</w:t>
      </w:r>
    </w:p>
    <w:p>
      <w:pPr>
        <w:ind w:left="288"/>
      </w:pPr>
      <w:r>
        <w:rPr>
          <w:color w:val="1E1E1E"/>
          <w:sz w:val="18"/>
        </w:rPr>
        <w:t>A alteração de proventos de servidor público somente pode ocorrer oportunizando-se o direito de defesa, ou seja, instaurando-se processo administrativo.</w:t>
      </w:r>
    </w:p>
    <w:p>
      <w:pPr>
        <w:ind w:left="288"/>
      </w:pPr>
      <w:r>
        <w:rPr>
          <w:b/>
          <w:color w:val="003CA0"/>
          <w:sz w:val="16"/>
        </w:rPr>
        <w:t>[AI 541.949 AgR, rel. min. Marco Aurélio, j. 13-4-2011, 1ª T, DJE de 18-5-2011.]</w:t>
      </w:r>
    </w:p>
    <w:p>
      <w:pPr>
        <w:ind w:left="288"/>
      </w:pPr>
      <w:r>
        <w:rPr>
          <w:color w:val="8C8C8C"/>
          <w:sz w:val="12"/>
        </w:rPr>
        <w:t>cf-art-37-inc-XIII</w:t>
      </w:r>
      <w:r>
        <w:rPr>
          <w:color w:val="003CA0"/>
          <w:sz w:val="12"/>
        </w:rPr>
        <w:t xml:space="preserve"> | RE 501.869</w:t>
      </w:r>
      <w:r>
        <w:rPr>
          <w:color w:val="003CA0"/>
          <w:sz w:val="12"/>
        </w:rPr>
        <w:t xml:space="preserve"> | rel. Eros Grau</w:t>
      </w:r>
    </w:p>
    <w:p>
      <w:pPr>
        <w:ind w:left="288"/>
      </w:pPr>
      <w:r>
        <w:rPr>
          <w:color w:val="1E1E1E"/>
          <w:sz w:val="18"/>
        </w:rPr>
        <w:t>Vide RE 501.869 AgR, rel. min. Eros Grau, j. 23-9-2008, 2ª T, DJE de 31-10-2008 Transposição do regime celetista para o estatutário. Inexistência de direito adquirido a regime jurídico. Possibilidade de diminuição ou supressão de vantagens sem redução do valor da remuneração.</w:t>
      </w:r>
    </w:p>
    <w:p>
      <w:pPr>
        <w:ind w:left="288"/>
      </w:pPr>
      <w:r>
        <w:rPr>
          <w:b/>
          <w:color w:val="003CA0"/>
          <w:sz w:val="16"/>
        </w:rPr>
        <w:t>[RE 599.618 ED, rel. min. Cármen Lúcia, j. 1º-2-2011, 1ª T, DJE de 14-3-2011.]</w:t>
      </w:r>
    </w:p>
    <w:p>
      <w:pPr>
        <w:ind w:left="288"/>
      </w:pPr>
      <w:r>
        <w:rPr>
          <w:color w:val="8C8C8C"/>
          <w:sz w:val="12"/>
        </w:rPr>
        <w:t>cf-art-37-inc-XIII</w:t>
      </w:r>
      <w:r>
        <w:rPr>
          <w:color w:val="003CA0"/>
          <w:sz w:val="12"/>
        </w:rPr>
        <w:t xml:space="preserve"> | RE 212.131</w:t>
      </w:r>
      <w:r>
        <w:rPr>
          <w:color w:val="003CA0"/>
          <w:sz w:val="12"/>
        </w:rPr>
        <w:t xml:space="preserve"> | rel. Ilmar Galvão</w:t>
      </w:r>
    </w:p>
    <w:p>
      <w:pPr>
        <w:ind w:left="288"/>
      </w:pPr>
      <w:r>
        <w:rPr>
          <w:color w:val="1E1E1E"/>
          <w:sz w:val="18"/>
        </w:rPr>
        <w:t>Vide RE 212.131, rel. min. Ilmar Galvão, j. 3-8-1999, 1ª T, DJ de 29-10-1999 O STF já pacificou sua jurisprudência no sentido de que os quintos incorporados, conforme Portaria MEC 474/1987, constituem direito adquirido, não alcançado pelas alterações promovidas pela Lei 8.168/1991. A aplicação da referida lei às parcelas já incorporadas aos vencimentos, com a redução de valores, configuraria ofensa ao princípio constitucional da irredutibilidade de vencimentos.</w:t>
      </w:r>
    </w:p>
    <w:p>
      <w:pPr>
        <w:ind w:left="288"/>
      </w:pPr>
      <w:r>
        <w:rPr>
          <w:b/>
          <w:color w:val="003CA0"/>
          <w:sz w:val="16"/>
        </w:rPr>
        <w:t>[AI 754.613 AgR, voto da rel. min. Ellen Gracie, j. 20-10-2009, 2ª T, DJE de 13-11-2009.]</w:t>
      </w:r>
    </w:p>
    <w:p>
      <w:pPr>
        <w:ind w:left="288"/>
      </w:pPr>
      <w:r>
        <w:rPr>
          <w:color w:val="8C8C8C"/>
          <w:sz w:val="12"/>
        </w:rPr>
        <w:t>cf-art-37-inc-XIII</w:t>
      </w:r>
      <w:r>
        <w:rPr>
          <w:color w:val="003CA0"/>
          <w:sz w:val="12"/>
        </w:rPr>
        <w:t xml:space="preserve"> | RE 594.979</w:t>
      </w:r>
      <w:r>
        <w:rPr>
          <w:color w:val="003CA0"/>
          <w:sz w:val="12"/>
        </w:rPr>
        <w:t xml:space="preserve"> | rel. Ricardo Lewandowski</w:t>
      </w:r>
    </w:p>
    <w:p>
      <w:pPr>
        <w:ind w:left="288"/>
      </w:pPr>
      <w:r>
        <w:rPr>
          <w:color w:val="1E1E1E"/>
          <w:sz w:val="18"/>
        </w:rPr>
        <w:t>= RE 594.979 AgR, rel. min. Ricardo Lewandowski, j. 8-2-2011, 1ª T, DJE de 10-3-2011 Cessada a atividade que deu origem à gratificação extraordinária, cessa igualmente a gratificação, não havendo falar em direito adquirido, tampouco, em princípio da irredutibilidade dos vencimentos.</w:t>
      </w:r>
    </w:p>
    <w:p>
      <w:pPr>
        <w:ind w:left="288"/>
      </w:pPr>
      <w:r>
        <w:rPr>
          <w:b/>
          <w:color w:val="003CA0"/>
          <w:sz w:val="16"/>
        </w:rPr>
        <w:t>[RE 338.436, rel. min. Menezes Direito, j. 2-9-2008, 1ª T, DJE de 21-11-2008.]</w:t>
      </w:r>
    </w:p>
    <w:p>
      <w:pPr>
        <w:ind w:left="288"/>
      </w:pPr>
      <w:r>
        <w:rPr>
          <w:color w:val="8C8C8C"/>
          <w:sz w:val="12"/>
        </w:rPr>
        <w:t>cf-art-37-inc-XIII</w:t>
      </w:r>
      <w:r>
        <w:rPr>
          <w:color w:val="003CA0"/>
          <w:sz w:val="12"/>
        </w:rPr>
        <w:t xml:space="preserve"> | RE 554.477</w:t>
      </w:r>
      <w:r>
        <w:rPr>
          <w:color w:val="003CA0"/>
          <w:sz w:val="12"/>
        </w:rPr>
        <w:t xml:space="preserve"> | rel. Eros Grau</w:t>
      </w:r>
    </w:p>
    <w:p>
      <w:pPr>
        <w:ind w:left="288"/>
      </w:pPr>
      <w:r>
        <w:rPr>
          <w:color w:val="1E1E1E"/>
          <w:sz w:val="18"/>
        </w:rPr>
        <w:t>Servidor público. Aposentadoria. Lei 1.762/1986 do Estado do Amazonas. Vantagem pessoal. O art. 139, II, da Lei estadual 1.762/1986 assegurou aos agravados o direito de incorporar aos seus proventos 20% da remuneração percebida quando da atividade. À época da edição dessa lei, estava em vigor a Constituição de 1967-1969, que vedava a percepção de proventos superiores à remuneração da atividade. Todavia, eventual inconstitucionalidade do art. 139, II, daquela lei estadual, em face da CF/1967-1969, nunca foi arguida e a gratificação por ela instituída incorporou-se ao patrimônio dos agravados. E</w:t>
      </w:r>
    </w:p>
    <w:p>
      <w:pPr>
        <w:ind w:left="288"/>
      </w:pPr>
      <w:r>
        <w:rPr>
          <w:b/>
          <w:color w:val="003CA0"/>
          <w:sz w:val="16"/>
        </w:rPr>
        <w:t>[RE 554.477 AgR, rel. min. Eros Grau, j. 10-6-2008, 2ª T, DJE de 27-6-2008.]</w:t>
      </w:r>
    </w:p>
    <w:p>
      <w:pPr>
        <w:ind w:left="288"/>
      </w:pPr>
      <w:r>
        <w:rPr>
          <w:color w:val="8C8C8C"/>
          <w:sz w:val="12"/>
        </w:rPr>
        <w:t>cf-art-37-inc-XIII</w:t>
      </w:r>
      <w:r>
        <w:rPr>
          <w:color w:val="003CA0"/>
          <w:sz w:val="12"/>
        </w:rPr>
        <w:t xml:space="preserve"> | RE 346.088</w:t>
      </w:r>
      <w:r>
        <w:rPr>
          <w:color w:val="003CA0"/>
          <w:sz w:val="12"/>
        </w:rPr>
        <w:t xml:space="preserve"> | rel. Gilmar Mendes</w:t>
      </w:r>
    </w:p>
    <w:p>
      <w:pPr>
        <w:ind w:left="288"/>
      </w:pPr>
      <w:r>
        <w:rPr>
          <w:color w:val="1E1E1E"/>
          <w:sz w:val="18"/>
        </w:rPr>
        <w:t>= RE 346.088 AgR, rel. min. Gilmar Mendes, j. 14-2-2010, 2ª T, DJE de 8-2-2011 A redução de proventos de aposentadoria, quando concedida em desacordo com a lei, não ofende o princípio da irredutibilidade de vencimentos.</w:t>
      </w:r>
    </w:p>
    <w:p>
      <w:pPr>
        <w:ind w:left="288"/>
      </w:pPr>
      <w:r>
        <w:rPr>
          <w:b/>
          <w:color w:val="003CA0"/>
          <w:sz w:val="16"/>
        </w:rPr>
        <w:t>[MS 25.552, rel. min. Cármen Lúcia, j. 7-4-2008, P, DJE de 30-5-2008.]</w:t>
      </w:r>
    </w:p>
    <w:p>
      <w:pPr>
        <w:ind w:left="288"/>
      </w:pPr>
      <w:r>
        <w:rPr>
          <w:color w:val="8C8C8C"/>
          <w:sz w:val="12"/>
        </w:rPr>
        <w:t>cf-art-37-inc-XIII</w:t>
      </w:r>
      <w:r>
        <w:rPr>
          <w:color w:val="003CA0"/>
          <w:sz w:val="12"/>
        </w:rPr>
        <w:t xml:space="preserve"> | RE 482.006</w:t>
      </w:r>
      <w:r>
        <w:rPr>
          <w:color w:val="003CA0"/>
          <w:sz w:val="12"/>
        </w:rPr>
        <w:t xml:space="preserve"> | rel. Ricardo Lewandowski</w:t>
      </w:r>
    </w:p>
    <w:p>
      <w:pPr>
        <w:ind w:left="288"/>
      </w:pPr>
      <w:r>
        <w:rPr>
          <w:color w:val="1E1E1E"/>
          <w:sz w:val="18"/>
        </w:rPr>
        <w:t>A redução de vencimentos de servidores públicos processados criminalmente colide com o disposto nos arts. 5º, LVII, e 37, XV, da Constituição, que abrigam, respectivamente, os princípios da presunção de inocência e da irredutibilidade de vencimentos. Norma estadual não recepcionada pela atual Carta Magna, sendo irrelevante a previsão que nela se contém de devolução dos valores descontados em caso de absolvição.</w:t>
      </w:r>
    </w:p>
    <w:p>
      <w:pPr>
        <w:ind w:left="288"/>
      </w:pPr>
      <w:r>
        <w:rPr>
          <w:b/>
          <w:color w:val="003CA0"/>
          <w:sz w:val="16"/>
        </w:rPr>
        <w:t>[RE 482.006, rel. min. Ricardo Lewandowski, j. 7-11-2007, P, DJ de 14-12-2007.]</w:t>
      </w:r>
    </w:p>
    <w:p>
      <w:pPr>
        <w:ind w:left="288"/>
      </w:pPr>
      <w:r>
        <w:rPr>
          <w:color w:val="8C8C8C"/>
          <w:sz w:val="12"/>
        </w:rPr>
        <w:t>cf-art-37-inc-XIII</w:t>
      </w:r>
      <w:r>
        <w:rPr>
          <w:color w:val="003CA0"/>
          <w:sz w:val="12"/>
        </w:rPr>
        <w:t xml:space="preserve"> | ARE 776.213</w:t>
      </w:r>
      <w:r>
        <w:rPr>
          <w:color w:val="003CA0"/>
          <w:sz w:val="12"/>
        </w:rPr>
        <w:t xml:space="preserve"> | rel. Gilmar Mendes</w:t>
      </w:r>
    </w:p>
    <w:p>
      <w:pPr>
        <w:ind w:left="288"/>
      </w:pPr>
      <w:r>
        <w:rPr>
          <w:color w:val="1E1E1E"/>
          <w:sz w:val="18"/>
        </w:rPr>
        <w:t>= ARE 776.213 AgR, rel. min. Gilmar Mendes, j. 19-8-2014, 2ª T, DJE de 4-9-2014 = AI 723.284 AgR, rel. min. Dias Toffoli, j. 27-8-2013, 1ª T, DJE de 23-10-2013 A irredutibilidade de vencimentos dos servidores, prevista no art. 37, XV, da Constituição do Brasil, aplica-se também àqueles que não possuem vínculo com a administração pública.</w:t>
      </w:r>
    </w:p>
    <w:p>
      <w:pPr>
        <w:ind w:left="288"/>
      </w:pPr>
      <w:r>
        <w:rPr>
          <w:b/>
          <w:color w:val="003CA0"/>
          <w:sz w:val="16"/>
        </w:rPr>
        <w:t>[MS 24.580, rel. min. Eros Grau, j. 30-8-2007, P, DJ de 23-11-2007.]</w:t>
      </w:r>
    </w:p>
    <w:p>
      <w:pPr>
        <w:ind w:left="288"/>
      </w:pPr>
      <w:r>
        <w:rPr>
          <w:color w:val="8C8C8C"/>
          <w:sz w:val="12"/>
        </w:rPr>
        <w:t>cf-art-37-inc-XIII</w:t>
      </w:r>
      <w:r>
        <w:rPr>
          <w:color w:val="003CA0"/>
          <w:sz w:val="12"/>
        </w:rPr>
        <w:t xml:space="preserve"> | RE 599.411</w:t>
      </w:r>
      <w:r>
        <w:rPr>
          <w:color w:val="003CA0"/>
          <w:sz w:val="12"/>
        </w:rPr>
        <w:t xml:space="preserve"> | rel. Cármen Lúcia</w:t>
      </w:r>
    </w:p>
    <w:p>
      <w:pPr>
        <w:ind w:left="288"/>
      </w:pPr>
      <w:r>
        <w:rPr>
          <w:color w:val="1E1E1E"/>
          <w:sz w:val="18"/>
        </w:rPr>
        <w:t>= RE 599.411 AgR, rel. min. Cármen Lúcia, j. 27-10-2009, 1ª T, DJE de 20-11-2009 A absorção de vantagem pecuniária por reajustes sucessivos não viola o princípio da irredutibilidade de vencimentos.</w:t>
      </w:r>
    </w:p>
    <w:p>
      <w:pPr>
        <w:ind w:left="288"/>
      </w:pPr>
      <w:r>
        <w:rPr>
          <w:b/>
          <w:color w:val="003CA0"/>
          <w:sz w:val="16"/>
        </w:rPr>
        <w:t>[AI 318.209 AgR-ED-ED, rel. min. Cezar Peluso, j. 7-8-2007, 1ª T, DJ de 24-8-2007.]</w:t>
      </w:r>
    </w:p>
    <w:p>
      <w:pPr>
        <w:ind w:left="288"/>
      </w:pPr>
      <w:r>
        <w:rPr>
          <w:color w:val="8C8C8C"/>
          <w:sz w:val="12"/>
        </w:rPr>
        <w:t>cf-art-37-inc-XIII</w:t>
      </w:r>
      <w:r>
        <w:rPr>
          <w:color w:val="003CA0"/>
          <w:sz w:val="12"/>
        </w:rPr>
        <w:t xml:space="preserve"> | MS 24.784</w:t>
      </w:r>
      <w:r>
        <w:rPr>
          <w:color w:val="003CA0"/>
          <w:sz w:val="12"/>
        </w:rPr>
        <w:t xml:space="preserve"> | rel. Carlos Velloso</w:t>
      </w:r>
    </w:p>
    <w:p>
      <w:pPr>
        <w:ind w:left="288"/>
      </w:pPr>
      <w:r>
        <w:rPr>
          <w:color w:val="1E1E1E"/>
          <w:sz w:val="18"/>
        </w:rPr>
        <w:t>Não há ilegalidade na extinção de uma vantagem ou na sua absorção por outra, desde que preservada a irredutibilidade da remuneração. Precedente (MS 24.784, rel. min. Carlos Velloso, DJ de 19-5-2004).</w:t>
      </w:r>
    </w:p>
    <w:p>
      <w:pPr>
        <w:ind w:left="288"/>
      </w:pPr>
      <w:r>
        <w:rPr>
          <w:b/>
          <w:color w:val="003CA0"/>
          <w:sz w:val="16"/>
        </w:rPr>
        <w:t>[MS 25.072, red. do ac. min. Eros Grau, rel. min. Marco Aurélio, j. 7-2-2007, P, DJ de 27-4-2007.]</w:t>
      </w:r>
    </w:p>
    <w:p>
      <w:pPr>
        <w:ind w:left="288"/>
      </w:pPr>
      <w:r>
        <w:rPr>
          <w:color w:val="8C8C8C"/>
          <w:sz w:val="12"/>
        </w:rPr>
        <w:t>cf-art-37-inc-XIII</w:t>
      </w:r>
      <w:r>
        <w:rPr>
          <w:color w:val="003CA0"/>
          <w:sz w:val="12"/>
        </w:rPr>
        <w:t xml:space="preserve"> | RE 212.131</w:t>
      </w:r>
      <w:r>
        <w:rPr>
          <w:color w:val="003CA0"/>
          <w:sz w:val="12"/>
        </w:rPr>
        <w:t xml:space="preserve"> | rel. Ilmar Galvão</w:t>
      </w:r>
    </w:p>
    <w:p>
      <w:pPr>
        <w:ind w:left="288"/>
      </w:pPr>
      <w:r>
        <w:rPr>
          <w:color w:val="1E1E1E"/>
          <w:sz w:val="18"/>
        </w:rPr>
        <w:t>Funcionário público. Conversão compulsória do regime contratual em estatutário. Redução verificada na remuneração. (...) Situação incompatível com o princípio da irredutibilidade que protegia os salários e protege os vencimentos do servidor, exsurgindo, como solução razoável para o impasse, o enquadramento do servidor do nível mais alto da categoria funcional que veio a integrar, convertido, ainda, eventual excesso remuneratório verificado em vantagem pessoal a ser absorvida em futuras concessões de aumento real ou específico.</w:t>
      </w:r>
    </w:p>
    <w:p>
      <w:pPr>
        <w:ind w:left="288"/>
      </w:pPr>
      <w:r>
        <w:rPr>
          <w:b/>
          <w:color w:val="003CA0"/>
          <w:sz w:val="16"/>
        </w:rPr>
        <w:t>[RE 212.131, rel. min. Ilmar Galvão, j. 3-8-1999, 1ª T, DJ de 29-10-1999.]</w:t>
      </w:r>
    </w:p>
    <w:p>
      <w:pPr>
        <w:ind w:left="288"/>
      </w:pPr>
      <w:r>
        <w:rPr>
          <w:color w:val="8C8C8C"/>
          <w:sz w:val="12"/>
        </w:rPr>
        <w:t>cf-art-37-inc-XIII</w:t>
      </w:r>
      <w:r>
        <w:rPr>
          <w:color w:val="003CA0"/>
          <w:sz w:val="12"/>
        </w:rPr>
        <w:t xml:space="preserve"> | AI 794.665</w:t>
      </w:r>
      <w:r>
        <w:rPr>
          <w:color w:val="003CA0"/>
          <w:sz w:val="12"/>
        </w:rPr>
        <w:t xml:space="preserve"> | rel. Cármen Lúcia</w:t>
      </w:r>
    </w:p>
    <w:p>
      <w:pPr>
        <w:ind w:left="288"/>
      </w:pPr>
      <w:r>
        <w:rPr>
          <w:color w:val="1E1E1E"/>
          <w:sz w:val="18"/>
        </w:rPr>
        <w:t>= AI 794.665 AgR, rel. min. Cármen Lúcia, j. 9-11-2010, 1ª T, DJE de 30-11-2010 Vide RE 599.618 ED, rel. min. Cármen Lúcia, j. 1º-2-2011, 1ª T, DJE de 14-3-2011 XVI - é vedada a acumulação remunerada de cargos públicos, exceto, quando houver compatibilidade de horários, observado em qualquer caso o disposto no inciso XI: (Redação da EC 19/1998)</w:t>
      </w:r>
    </w:p>
    <w:p>
      <w:pPr>
        <w:ind w:left="144"/>
      </w:pPr>
      <w:r>
        <w:rPr>
          <w:b/>
          <w:color w:val="B45A00"/>
          <w:sz w:val="16"/>
        </w:rPr>
        <w:t>CONTROLE CONCENTRADO</w:t>
      </w:r>
    </w:p>
    <w:p>
      <w:pPr>
        <w:ind w:left="288"/>
      </w:pPr>
      <w:r>
        <w:rPr>
          <w:color w:val="8C8C8C"/>
          <w:sz w:val="12"/>
        </w:rPr>
        <w:t>cf-art-37-inc-XIII</w:t>
      </w:r>
      <w:r>
        <w:rPr>
          <w:color w:val="003CA0"/>
          <w:sz w:val="12"/>
        </w:rPr>
        <w:t xml:space="preserve"> | ADI 1.770</w:t>
      </w:r>
      <w:r>
        <w:rPr>
          <w:color w:val="003CA0"/>
          <w:sz w:val="12"/>
        </w:rPr>
        <w:t xml:space="preserve"> | rel. Joaquim Barbosa</w:t>
      </w:r>
    </w:p>
    <w:p>
      <w:pPr>
        <w:ind w:left="288"/>
      </w:pPr>
      <w:r>
        <w:rPr>
          <w:color w:val="1E1E1E"/>
          <w:sz w:val="18"/>
        </w:rPr>
        <w:t>Readmissão de empregados de empresas públicas e sociedades de economia mista. Acumulação de proventos e vencimentos. (...) É inconstitucional o § 1º do art. 453 da CLT, com a redação dada pela Lei 9.528/1997, quer porque permite, como regra, a acumulação de proventos e vencimentos – vedada pela jurisprudência do STF –, quer porque se funda na ideia de que a aposentadoria espontânea rompe o vínculo empregatício.</w:t>
      </w:r>
    </w:p>
    <w:p>
      <w:pPr>
        <w:ind w:left="288"/>
      </w:pPr>
      <w:r>
        <w:rPr>
          <w:b/>
          <w:color w:val="003CA0"/>
          <w:sz w:val="16"/>
        </w:rPr>
        <w:t>[ADI 1.770, rel. min. Joaquim Barbosa, j. 11-10-2006, P, DJ de 1º-12-2006.]</w:t>
      </w:r>
    </w:p>
    <w:p>
      <w:pPr>
        <w:ind w:left="288"/>
      </w:pPr>
      <w:r>
        <w:rPr>
          <w:color w:val="8C8C8C"/>
          <w:sz w:val="12"/>
        </w:rPr>
        <w:t>cf-art-37-inc-XIII</w:t>
      </w:r>
      <w:r>
        <w:rPr>
          <w:color w:val="003CA0"/>
          <w:sz w:val="12"/>
        </w:rPr>
        <w:t xml:space="preserve"> | RE 679.645</w:t>
      </w:r>
      <w:r>
        <w:rPr>
          <w:color w:val="003CA0"/>
          <w:sz w:val="12"/>
        </w:rPr>
        <w:t xml:space="preserve"> | rel. Cármen Lúcia</w:t>
      </w:r>
    </w:p>
    <w:p>
      <w:pPr>
        <w:ind w:left="288"/>
      </w:pPr>
      <w:r>
        <w:rPr>
          <w:color w:val="1E1E1E"/>
          <w:sz w:val="18"/>
        </w:rPr>
        <w:t>= RE 679.645 AgR, rel. min. Cármen Lúcia, j. 11-2-2014, 2ª T, DJE de 21-2-2014 O dispositivo impugnado, ao estabelecer indistintamente que os proventos da inatividade não serão considerados para efeito de acumulação de cargos, afronta o art. 37, XVI, da CF, na medida em que amplia o rol das exceções à regra da não cumulatividade de proventos e vencimentos, já expressamente previstas no Texto Constitucional. Impossiblidade de acumulação de proventos com vencimentos quando envolvidos cargos inacumuláveis na atividade.</w:t>
      </w:r>
    </w:p>
    <w:p>
      <w:pPr>
        <w:ind w:left="288"/>
      </w:pPr>
      <w:r>
        <w:rPr>
          <w:b/>
          <w:color w:val="003CA0"/>
          <w:sz w:val="16"/>
        </w:rPr>
        <w:t>[ADI 1.328, rel. min. Ellen Gracie, j. 12-5-2004, P, DJ de 18-6-2004.]</w:t>
      </w:r>
    </w:p>
    <w:p>
      <w:pPr>
        <w:ind w:left="288"/>
      </w:pPr>
      <w:r>
        <w:rPr>
          <w:color w:val="8C8C8C"/>
          <w:sz w:val="12"/>
        </w:rPr>
        <w:t>cf-art-37-inc-XIII</w:t>
      </w:r>
      <w:r>
        <w:rPr>
          <w:color w:val="003CA0"/>
          <w:sz w:val="12"/>
        </w:rPr>
        <w:t xml:space="preserve"> | RE 415.974</w:t>
      </w:r>
      <w:r>
        <w:rPr>
          <w:color w:val="003CA0"/>
          <w:sz w:val="12"/>
        </w:rPr>
        <w:t xml:space="preserve"> | rel. Cármen Lúcia</w:t>
      </w:r>
    </w:p>
    <w:p>
      <w:pPr>
        <w:ind w:left="288"/>
      </w:pPr>
      <w:r>
        <w:rPr>
          <w:color w:val="1E1E1E"/>
          <w:sz w:val="18"/>
        </w:rPr>
        <w:t>= RE 415.974 AgR, rel. min. Cármen Lúcia, j. 1º-2-2011, 1ª T, DJE de 23-2-2011</w:t>
      </w:r>
    </w:p>
    <w:p>
      <w:pPr>
        <w:ind w:left="144"/>
      </w:pPr>
      <w:r>
        <w:rPr>
          <w:b/>
          <w:color w:val="B45A00"/>
          <w:sz w:val="16"/>
        </w:rPr>
        <w:t>REPERCUSSAO GERAL</w:t>
      </w:r>
    </w:p>
    <w:p>
      <w:pPr>
        <w:ind w:left="288"/>
      </w:pPr>
      <w:r>
        <w:rPr>
          <w:color w:val="8C8C8C"/>
          <w:sz w:val="12"/>
        </w:rPr>
        <w:t>cf-art-37-inc-XIII</w:t>
      </w:r>
      <w:r>
        <w:rPr>
          <w:color w:val="003CA0"/>
          <w:sz w:val="12"/>
        </w:rPr>
        <w:t xml:space="preserve"> | ARE 1.246.685</w:t>
      </w:r>
      <w:r>
        <w:rPr>
          <w:color w:val="003CA0"/>
          <w:sz w:val="12"/>
        </w:rPr>
        <w:t xml:space="preserve"> | rel. Dias Toffoli</w:t>
      </w:r>
    </w:p>
    <w:p>
      <w:pPr>
        <w:ind w:left="288"/>
      </w:pPr>
      <w:r>
        <w:rPr>
          <w:color w:val="1E1E1E"/>
          <w:sz w:val="18"/>
        </w:rPr>
        <w:t>As hipóteses excepcionais autorizadoras de acumulação de cargos públicos previstas na Constituição Federal sujeitam-se, unicamente, a existência de compatibilidade de horários, verificada no caso concreto, ainda que haja norma infraconstitucional que limite a jornada semanal.</w:t>
        <w:br/>
        <w:t>[ARE 1.246.685, rel. min. Dias Toffoli, j. 19-3-2020, P, DJE de 28-4-2020, Tema 1.081, com mérito julgado e reafirmação de jurisprudência.] Nas situações jurídicas em que a CF autoriza a acumulação de cargos, o teto remuneratório é considerado em relação à remuneração de cada um deles, e não ao somatório do que recebido.</w:t>
        <w:br/>
      </w:r>
    </w:p>
    <w:p>
      <w:pPr>
        <w:ind w:left="144"/>
      </w:pPr>
      <w:r>
        <w:rPr>
          <w:b/>
          <w:color w:val="B45A00"/>
          <w:sz w:val="16"/>
        </w:rPr>
        <w:t>JULGADOS CORRELATOS</w:t>
      </w:r>
    </w:p>
    <w:p>
      <w:pPr>
        <w:ind w:left="288"/>
      </w:pPr>
      <w:r>
        <w:rPr>
          <w:color w:val="8C8C8C"/>
          <w:sz w:val="12"/>
        </w:rPr>
        <w:t>cf-art-37-inc-XIII</w:t>
      </w:r>
      <w:r>
        <w:rPr>
          <w:color w:val="003CA0"/>
          <w:sz w:val="12"/>
        </w:rPr>
        <w:t xml:space="preserve"> | RE 1.441.764</w:t>
      </w:r>
      <w:r>
        <w:rPr>
          <w:color w:val="003CA0"/>
          <w:sz w:val="12"/>
        </w:rPr>
        <w:t xml:space="preserve"> | rel. Dias Toffoli</w:t>
      </w:r>
    </w:p>
    <w:p>
      <w:pPr>
        <w:ind w:left="288"/>
      </w:pPr>
      <w:r>
        <w:rPr>
          <w:color w:val="1E1E1E"/>
          <w:sz w:val="18"/>
        </w:rPr>
        <w:t>Acumulação remunerada de cargos públicos. Policial militar inativo. Professor em academia de polícia. Teto constitucional que incide isoladamente sobre cada remuneração. Tema nº 377 da Sistemática da Repercussão Geral.</w:t>
        <w:br/>
        <w:t>[RE 1.441.764 AgR, rel. min. Dias Toffoli, j. 22-8-2023, 2ª T, DJE de 11-9-2023.] Militar da reserva remunerada que reingressa no serviço público, em cargo civil, após a vigência da Emenda Constitucional n. 20/1998, não tem direito líquido e certo de acumular os proventos oriundos da reserva remunerada com a remuneração decorrente do exercício do cargo civil assumido.</w:t>
        <w:br/>
        <w:t>[MS 36.882</w:t>
      </w:r>
    </w:p>
    <w:p>
      <w:pPr>
        <w:ind w:left="288"/>
      </w:pPr>
      <w:r>
        <w:rPr>
          <w:b/>
          <w:color w:val="003CA0"/>
          <w:sz w:val="16"/>
        </w:rPr>
        <w:t>[RE 161.742, red do ac. min. Marco Aurélio, j. 13-10-2020, 1ª T, DJE de 4-2-2021.]</w:t>
      </w:r>
    </w:p>
    <w:p>
      <w:pPr>
        <w:ind w:left="288"/>
      </w:pPr>
      <w:r>
        <w:rPr>
          <w:color w:val="8C8C8C"/>
          <w:sz w:val="12"/>
        </w:rPr>
        <w:t>cf-art-37-inc-XIII</w:t>
      </w:r>
      <w:r>
        <w:rPr>
          <w:color w:val="003CA0"/>
          <w:sz w:val="12"/>
        </w:rPr>
        <w:t xml:space="preserve"> | RMS 26.929</w:t>
      </w:r>
      <w:r>
        <w:rPr>
          <w:color w:val="003CA0"/>
          <w:sz w:val="12"/>
        </w:rPr>
        <w:t xml:space="preserve"> | rel. Joaquim Barbosa</w:t>
      </w:r>
    </w:p>
    <w:p>
      <w:pPr>
        <w:ind w:left="288"/>
      </w:pPr>
      <w:r>
        <w:rPr>
          <w:color w:val="1E1E1E"/>
          <w:sz w:val="18"/>
        </w:rPr>
        <w:t>Servidor público em situação de acumulação ilícita de cargos ou empregos pode se valer da oportunidade prevista no art. 133, § 5º, da Lei 8.112/1990 para apresentar proposta de solução, comprovando o desfazimento dos vínculos, de forma a se enquadrar nas hipóteses de cumulação lícita. Contudo, o art. 133, § 5º, da Lei 8.112/1990 não autoriza que o servidor prolongue indefinidamente a situação ilegal, esperando se valer do dispositivo legal para caracterizar, como sendo de boa-fé, a proposta de solução apresentada com atraso.</w:t>
      </w:r>
    </w:p>
    <w:p>
      <w:pPr>
        <w:ind w:left="288"/>
      </w:pPr>
      <w:r>
        <w:rPr>
          <w:b/>
          <w:color w:val="003CA0"/>
          <w:sz w:val="16"/>
        </w:rPr>
        <w:t>[RMS 26.929, rel. min. Joaquim Barbosa, j. 19-10-2010, 2ª T, DJE de 11-11-2010.]</w:t>
      </w:r>
    </w:p>
    <w:p>
      <w:pPr>
        <w:ind w:left="288"/>
      </w:pPr>
      <w:r>
        <w:rPr>
          <w:color w:val="8C8C8C"/>
          <w:sz w:val="12"/>
        </w:rPr>
        <w:t>cf-art-37-inc-XIII</w:t>
      </w:r>
      <w:r>
        <w:rPr>
          <w:color w:val="003CA0"/>
          <w:sz w:val="12"/>
        </w:rPr>
        <w:t xml:space="preserve"> | RMS 24.737</w:t>
      </w:r>
      <w:r>
        <w:rPr>
          <w:color w:val="003CA0"/>
          <w:sz w:val="12"/>
        </w:rPr>
        <w:t xml:space="preserve"> | rel. Ayres Britto</w:t>
      </w:r>
    </w:p>
    <w:p>
      <w:pPr>
        <w:ind w:left="288"/>
      </w:pPr>
      <w:r>
        <w:rPr>
          <w:color w:val="1E1E1E"/>
          <w:sz w:val="18"/>
        </w:rPr>
        <w:t>O art. 11 da EC 20/1998 convalidou o reingresso – até a data da sua publicação – do inativo no serviço público, mediante concurso. Tal convalidação alcança os vencimentos em duplicidade, quando se tratar de cargos acumuláveis, na forma do art. 37, XVI, da Magna Carta, vedada, apenas, a percepção de mais de uma aposentadoria.</w:t>
      </w:r>
    </w:p>
    <w:p>
      <w:pPr>
        <w:ind w:left="288"/>
      </w:pPr>
      <w:r>
        <w:rPr>
          <w:b/>
          <w:color w:val="003CA0"/>
          <w:sz w:val="16"/>
        </w:rPr>
        <w:t>[RMS 24.737, rel. min. Ayres Britto, j. 1º-6-2004, 1ª T, DJ de 3-9-2004.]</w:t>
      </w:r>
    </w:p>
    <w:p>
      <w:pPr>
        <w:ind w:left="288"/>
      </w:pPr>
      <w:r>
        <w:rPr>
          <w:color w:val="8C8C8C"/>
          <w:sz w:val="12"/>
        </w:rPr>
        <w:t>cf-art-37-inc-XIII</w:t>
      </w:r>
      <w:r>
        <w:rPr>
          <w:color w:val="003CA0"/>
          <w:sz w:val="12"/>
        </w:rPr>
        <w:t xml:space="preserve"> | RE 163.204.</w:t>
      </w:r>
      <w:r>
        <w:rPr>
          <w:color w:val="003CA0"/>
          <w:sz w:val="12"/>
        </w:rPr>
        <w:t xml:space="preserve"> | rel. Néri da Silveira</w:t>
      </w:r>
    </w:p>
    <w:p>
      <w:pPr>
        <w:ind w:left="288"/>
      </w:pPr>
      <w:r>
        <w:rPr>
          <w:color w:val="1E1E1E"/>
          <w:sz w:val="18"/>
        </w:rPr>
        <w:t>A acumulação de proventos e vencimentos somente é permitida quando se tratar de cargos, funções ou empregos acumuláveis na atividade, na forma permitida pela Constituição. Precedente do Plenário – RE 163.204.</w:t>
      </w:r>
    </w:p>
    <w:p>
      <w:pPr>
        <w:ind w:left="288"/>
      </w:pPr>
      <w:r>
        <w:rPr>
          <w:b/>
          <w:color w:val="003CA0"/>
          <w:sz w:val="16"/>
        </w:rPr>
        <w:t>[RE 141.376, rel. min. Néri da Silveira, j. 2-10-2001, 2ª T, DJ de 22-2-2002.]</w:t>
      </w:r>
    </w:p>
    <w:p>
      <w:pPr>
        <w:ind w:left="288"/>
      </w:pPr>
      <w:r>
        <w:rPr>
          <w:color w:val="8C8C8C"/>
          <w:sz w:val="12"/>
        </w:rPr>
        <w:t>cf-art-37-inc-XIII</w:t>
      </w:r>
      <w:r>
        <w:rPr>
          <w:color w:val="003CA0"/>
          <w:sz w:val="12"/>
        </w:rPr>
        <w:t xml:space="preserve"> | RE 613.399</w:t>
      </w:r>
      <w:r>
        <w:rPr>
          <w:color w:val="003CA0"/>
          <w:sz w:val="12"/>
        </w:rPr>
        <w:t xml:space="preserve"> | rel. Ricardo Lewandowski</w:t>
      </w:r>
    </w:p>
    <w:p>
      <w:pPr>
        <w:ind w:left="288"/>
      </w:pPr>
      <w:r>
        <w:rPr>
          <w:color w:val="1E1E1E"/>
          <w:sz w:val="18"/>
        </w:rPr>
        <w:t>= RE 613.399 AgR, rel. min. Ricardo Lewandowski, j. 14-8-2012, 2ª T, DJE de 27-8-2012</w:t>
      </w:r>
    </w:p>
    <w:p>
      <w:pPr>
        <w:ind w:left="288"/>
      </w:pPr>
      <w:r>
        <w:rPr>
          <w:color w:val="8C8C8C"/>
          <w:sz w:val="12"/>
        </w:rPr>
        <w:t>cf-art-37-inc-XIII-ali-a</w:t>
      </w:r>
      <w:r>
        <w:rPr>
          <w:color w:val="003CA0"/>
          <w:sz w:val="12"/>
        </w:rPr>
        <w:t xml:space="preserve"> | RE 701.999</w:t>
      </w:r>
      <w:r>
        <w:rPr>
          <w:color w:val="003CA0"/>
          <w:sz w:val="12"/>
        </w:rPr>
        <w:t xml:space="preserve"> | rel. Ricardo Lewandowski</w:t>
      </w:r>
    </w:p>
    <w:p>
      <w:pPr>
        <w:ind w:left="288"/>
      </w:pPr>
      <w:r>
        <w:rPr>
          <w:color w:val="1E1E1E"/>
          <w:sz w:val="18"/>
        </w:rPr>
        <w:t>É impertinente a exigência de compatibilidade de horários como requisito para a percepção simultânea de um provento de aposentadoria no cargo de professor com a remuneração pelo exercício efetivo de outro cargo de magistério.</w:t>
      </w:r>
    </w:p>
    <w:p>
      <w:pPr>
        <w:ind w:left="288"/>
      </w:pPr>
      <w:r>
        <w:rPr>
          <w:b/>
          <w:color w:val="003CA0"/>
          <w:sz w:val="16"/>
        </w:rPr>
        <w:t>[RE 701.999 AgR, rel. min. Ricardo Lewandowski, j. 2-10-2012, 2ª T, DJE de 22-10-2012.]</w:t>
      </w:r>
    </w:p>
    <w:p>
      <w:pPr>
        <w:ind w:left="288"/>
      </w:pPr>
      <w:r>
        <w:rPr>
          <w:color w:val="8C8C8C"/>
          <w:sz w:val="12"/>
        </w:rPr>
        <w:t>cf-art-37-inc-XIII-ali-a</w:t>
      </w:r>
      <w:r>
        <w:rPr>
          <w:color w:val="003CA0"/>
          <w:sz w:val="12"/>
        </w:rPr>
        <w:t xml:space="preserve"> | RE 169.807</w:t>
      </w:r>
      <w:r>
        <w:rPr>
          <w:color w:val="003CA0"/>
          <w:sz w:val="12"/>
        </w:rPr>
        <w:t xml:space="preserve"> | rel. Carlos Velloso</w:t>
      </w:r>
    </w:p>
    <w:p>
      <w:pPr>
        <w:ind w:left="288"/>
      </w:pPr>
      <w:r>
        <w:rPr>
          <w:color w:val="1E1E1E"/>
          <w:sz w:val="18"/>
        </w:rPr>
        <w:t>É possível a acumulação de um cargo de professor com um emprego (celetista) de professor. Interpretação harmônica dos incisos XVI e XVII do art. 37 da CF.</w:t>
      </w:r>
    </w:p>
    <w:p>
      <w:pPr>
        <w:ind w:left="288"/>
      </w:pPr>
      <w:r>
        <w:rPr>
          <w:b/>
          <w:color w:val="003CA0"/>
          <w:sz w:val="16"/>
        </w:rPr>
        <w:t>[RE 169.807, rel. min. Carlos Velloso, j. 24-6-1996, 2ª T, DJ de 8-11-1996.]</w:t>
      </w:r>
    </w:p>
    <w:p>
      <w:pPr>
        <w:ind w:left="288"/>
      </w:pPr>
      <w:r>
        <w:rPr>
          <w:color w:val="8C8C8C"/>
          <w:sz w:val="12"/>
        </w:rPr>
        <w:t>cf-art-37-inc-XIII-ali-b</w:t>
      </w:r>
      <w:r>
        <w:rPr>
          <w:color w:val="003CA0"/>
          <w:sz w:val="12"/>
        </w:rPr>
        <w:t xml:space="preserve"> | MS 33.400</w:t>
      </w:r>
      <w:r>
        <w:rPr>
          <w:color w:val="003CA0"/>
          <w:sz w:val="12"/>
        </w:rPr>
        <w:t xml:space="preserve"> | rel. Dias Toffoli</w:t>
      </w:r>
    </w:p>
    <w:p>
      <w:pPr>
        <w:ind w:left="288"/>
      </w:pPr>
      <w:r>
        <w:rPr>
          <w:color w:val="1E1E1E"/>
          <w:sz w:val="18"/>
        </w:rPr>
        <w:t>A Constituição Federal não define ou fixa requisitos para o reconhecimento da natureza do cargo técnico ou científico a que faz alusão o art. 37, inciso XVI, Alínea b.</w:t>
      </w:r>
    </w:p>
    <w:p>
      <w:pPr>
        <w:ind w:left="288"/>
      </w:pPr>
      <w:r>
        <w:rPr>
          <w:b/>
          <w:color w:val="003CA0"/>
          <w:sz w:val="16"/>
        </w:rPr>
        <w:t>[MS 33.400 AgR, rel. min. Dias Toffoli, j. 1º-3-2021, 1ª T, DJE de 8-4-2021.]</w:t>
      </w:r>
    </w:p>
    <w:p>
      <w:pPr>
        <w:ind w:left="288"/>
      </w:pPr>
      <w:r>
        <w:rPr>
          <w:color w:val="8C8C8C"/>
          <w:sz w:val="12"/>
        </w:rPr>
        <w:t>cf-art-37-inc-XIII-ali-b</w:t>
      </w:r>
      <w:r>
        <w:rPr>
          <w:color w:val="003CA0"/>
          <w:sz w:val="12"/>
        </w:rPr>
        <w:t xml:space="preserve"> | RE 733.217</w:t>
      </w:r>
      <w:r>
        <w:rPr>
          <w:color w:val="003CA0"/>
          <w:sz w:val="12"/>
        </w:rPr>
        <w:t xml:space="preserve"> | rel. Gilmar Mendes</w:t>
      </w:r>
    </w:p>
    <w:p>
      <w:pPr>
        <w:ind w:left="288"/>
      </w:pPr>
      <w:r>
        <w:rPr>
          <w:color w:val="1E1E1E"/>
          <w:sz w:val="18"/>
        </w:rPr>
        <w:t>Acumulação remunerada de cargos públicos. Orientador educacional. Equivalência ao cargo de professor. Improcedência. Interpretação restritiva do art. 37, XVI, b, da CF.</w:t>
      </w:r>
    </w:p>
    <w:p>
      <w:pPr>
        <w:ind w:left="288"/>
      </w:pPr>
      <w:r>
        <w:rPr>
          <w:b/>
          <w:color w:val="003CA0"/>
          <w:sz w:val="16"/>
        </w:rPr>
        <w:t>[RE 733.217 AgR, rel. min. Gilmar Mendes, j. 29-6-2018, 2ª T, DJE de 2-8-2018.]</w:t>
      </w:r>
    </w:p>
    <w:p>
      <w:pPr>
        <w:ind w:left="288"/>
      </w:pPr>
      <w:r>
        <w:rPr>
          <w:color w:val="8C8C8C"/>
          <w:sz w:val="12"/>
        </w:rPr>
        <w:t>cf-art-37-inc-XIII-ali-b</w:t>
      </w:r>
      <w:r>
        <w:rPr>
          <w:color w:val="003CA0"/>
          <w:sz w:val="12"/>
        </w:rPr>
        <w:t xml:space="preserve"> | AI 192.918</w:t>
      </w:r>
      <w:r>
        <w:rPr>
          <w:color w:val="003CA0"/>
          <w:sz w:val="12"/>
        </w:rPr>
        <w:t xml:space="preserve"> | rel. Octavio Gallotti</w:t>
      </w:r>
    </w:p>
    <w:p>
      <w:pPr>
        <w:ind w:left="288"/>
      </w:pPr>
      <w:r>
        <w:rPr>
          <w:color w:val="1E1E1E"/>
          <w:sz w:val="18"/>
        </w:rPr>
        <w:t>Acumulação de emprego de atendente de telecomunicações de sociedade de economia mista, com cargo público de magistério. Quando viável, em recurso extraordinário, o reexame das atribuições daquele emprego (atividade de telefonista), correto, ainda assim, o acórdão recorrido, no sentido de se revestirem elas de "características simples e repetitivas", de modo a afastar-se a incidência do permissivo do art. 37, XVI, b, da Constituição.</w:t>
      </w:r>
    </w:p>
    <w:p>
      <w:pPr>
        <w:ind w:left="288"/>
      </w:pPr>
      <w:r>
        <w:rPr>
          <w:b/>
          <w:color w:val="003CA0"/>
          <w:sz w:val="16"/>
        </w:rPr>
        <w:t>[AI 192.918 AgR, rel. min. Octavio Gallotti, j. 3-6-1997, 1ª T, DJ de 12-9-1997.]</w:t>
      </w:r>
    </w:p>
    <w:p>
      <w:pPr>
        <w:ind w:left="288"/>
      </w:pPr>
      <w:r>
        <w:rPr>
          <w:color w:val="8C8C8C"/>
          <w:sz w:val="12"/>
        </w:rPr>
        <w:t>cf-art-37-inc-XIII-ali-c</w:t>
      </w:r>
      <w:r>
        <w:rPr>
          <w:color w:val="003CA0"/>
          <w:sz w:val="12"/>
        </w:rPr>
        <w:t xml:space="preserve"> | RMS 34.257</w:t>
      </w:r>
      <w:r>
        <w:rPr>
          <w:color w:val="003CA0"/>
          <w:sz w:val="12"/>
        </w:rPr>
        <w:t xml:space="preserve"> | rel. Ricardo Lewandowski</w:t>
      </w:r>
    </w:p>
    <w:p>
      <w:pPr>
        <w:ind w:left="288"/>
      </w:pPr>
      <w:r>
        <w:rPr>
          <w:color w:val="1E1E1E"/>
          <w:sz w:val="18"/>
        </w:rPr>
        <w:t>A existência de norma infraconstitucional que estipula limitação de jornada semanal não constitui óbice ao reconhecimento do direito à acumulação prevista no art. 37, XVI, c, da Constituição, desde que haja compatibilidade de horários para o exercício dos cargos a serem acumulados.</w:t>
      </w:r>
    </w:p>
    <w:p>
      <w:pPr>
        <w:ind w:left="288"/>
      </w:pPr>
      <w:r>
        <w:rPr>
          <w:b/>
          <w:color w:val="003CA0"/>
          <w:sz w:val="16"/>
        </w:rPr>
        <w:t>[RMS 34.257 AgR, rel. min. Ricardo Lewandowski, j. 29-6-2018, 2ª T, DJE de 6-8-2018.]</w:t>
      </w:r>
    </w:p>
    <w:p>
      <w:pPr>
        <w:ind w:left="288"/>
      </w:pPr>
      <w:r>
        <w:rPr>
          <w:color w:val="8C8C8C"/>
          <w:sz w:val="12"/>
        </w:rPr>
        <w:t>cf-art-37-inc-XIII-ali-c</w:t>
      </w:r>
      <w:r>
        <w:rPr>
          <w:color w:val="003CA0"/>
          <w:sz w:val="12"/>
        </w:rPr>
        <w:t xml:space="preserve"> | MS 33.853</w:t>
      </w:r>
      <w:r>
        <w:rPr>
          <w:color w:val="003CA0"/>
          <w:sz w:val="12"/>
        </w:rPr>
        <w:t xml:space="preserve"> | rel. Dias Toffoli</w:t>
      </w:r>
    </w:p>
    <w:p>
      <w:pPr>
        <w:ind w:left="288"/>
      </w:pPr>
      <w:r>
        <w:rPr>
          <w:color w:val="1E1E1E"/>
          <w:sz w:val="18"/>
        </w:rPr>
        <w:t xml:space="preserve">Jornada de trabalho de analistas judiciários das áreas de medicina e odontologia. Prevalência de norma especial sobre a geral. Previsão de jornada reduzida não alcança ocupantes de cargo em comissão ou função comissionada. (...) Diante do silêncio da Lei 11.416/2006 acerca da jornada de trabalho dos servidores do Poder Judiciário e existindo legislação que discipline a jornada de ocupantes de cargos públicos das áreas de medicina e odontologia, aplica-se a norma de caráter especial em detrimento da regra geral inserta no caput do art. 19 da Lei 8.112/1990. Inteligência do DL 1.445/1976, c/c a </w:t>
      </w:r>
    </w:p>
    <w:p>
      <w:pPr>
        <w:ind w:left="288"/>
      </w:pPr>
      <w:r>
        <w:rPr>
          <w:b/>
          <w:color w:val="003CA0"/>
          <w:sz w:val="16"/>
        </w:rPr>
        <w:t>[MS 33.853, rel. min. Dias Toffoli, j. 13-6-2017, 2ª T, DJE de 29-9-2017.]</w:t>
      </w:r>
    </w:p>
    <w:p>
      <w:pPr>
        <w:ind w:left="288"/>
      </w:pPr>
      <w:r>
        <w:rPr>
          <w:color w:val="8C8C8C"/>
          <w:sz w:val="12"/>
        </w:rPr>
        <w:t>cf-art-37-inc-XIII-ali-c</w:t>
      </w:r>
      <w:r>
        <w:rPr>
          <w:color w:val="003CA0"/>
          <w:sz w:val="12"/>
        </w:rPr>
        <w:t xml:space="preserve"> | MS 31.256</w:t>
      </w:r>
      <w:r>
        <w:rPr>
          <w:color w:val="003CA0"/>
          <w:sz w:val="12"/>
        </w:rPr>
        <w:t xml:space="preserve"> | rel. Marco Aurélio</w:t>
      </w:r>
    </w:p>
    <w:p>
      <w:pPr>
        <w:ind w:left="288"/>
      </w:pPr>
      <w:r>
        <w:rPr>
          <w:color w:val="1E1E1E"/>
          <w:sz w:val="18"/>
        </w:rPr>
        <w:t>A CF viabiliza a acumulação de dois cargos de saúde, uma vez verificada a compatibilidade de horário, tendo-se como consequência a possibilidade de dupla aposentadoria.</w:t>
      </w:r>
    </w:p>
    <w:p>
      <w:pPr>
        <w:ind w:left="288"/>
      </w:pPr>
      <w:r>
        <w:rPr>
          <w:b/>
          <w:color w:val="003CA0"/>
          <w:sz w:val="16"/>
        </w:rPr>
        <w:t>[MS 31.256, rel. min. Marco Aurélio, j. 24-3-2015, 1ª T, DJE de 20-4-2015.]</w:t>
      </w:r>
    </w:p>
    <w:p>
      <w:pPr>
        <w:ind w:left="288"/>
      </w:pPr>
      <w:r>
        <w:rPr>
          <w:color w:val="8C8C8C"/>
          <w:sz w:val="12"/>
        </w:rPr>
        <w:t>cf-art-37-inc-XIII-ali-c</w:t>
      </w:r>
      <w:r>
        <w:rPr>
          <w:color w:val="003CA0"/>
          <w:sz w:val="12"/>
        </w:rPr>
        <w:t xml:space="preserve"> | RE 570.213</w:t>
      </w:r>
      <w:r>
        <w:rPr>
          <w:color w:val="003CA0"/>
          <w:sz w:val="12"/>
        </w:rPr>
        <w:t xml:space="preserve"> | rel. Ricardo Lewandowski</w:t>
      </w:r>
    </w:p>
    <w:p>
      <w:pPr>
        <w:ind w:left="288"/>
      </w:pPr>
      <w:r>
        <w:rPr>
          <w:color w:val="1E1E1E"/>
          <w:sz w:val="18"/>
        </w:rPr>
        <w:t>A redação original do art. 37, XVI, c, da Constituição autorizava apenas a acumulação de dois cargos privativos de médico, não abrangendo os cargos privativos de profissionais de saúde contemplados posteriormente pela EC 34/2001.</w:t>
      </w:r>
    </w:p>
    <w:p>
      <w:pPr>
        <w:ind w:left="288"/>
      </w:pPr>
      <w:r>
        <w:rPr>
          <w:b/>
          <w:color w:val="003CA0"/>
          <w:sz w:val="16"/>
        </w:rPr>
        <w:t>[RE 570.213 AgR, rel. min. Ricardo Lewandowski, j. 10-5-2011, 1ª T, DJE de 26-5-2011.]</w:t>
      </w:r>
    </w:p>
    <w:p>
      <w:pPr>
        <w:ind w:left="288"/>
      </w:pPr>
      <w:r>
        <w:rPr>
          <w:color w:val="8C8C8C"/>
          <w:sz w:val="12"/>
        </w:rPr>
        <w:t>cf-art-37-inc-XIII-ali-c</w:t>
      </w:r>
      <w:r>
        <w:rPr>
          <w:color w:val="003CA0"/>
          <w:sz w:val="12"/>
        </w:rPr>
        <w:t xml:space="preserve"> | RE 553.670</w:t>
      </w:r>
      <w:r>
        <w:rPr>
          <w:color w:val="003CA0"/>
          <w:sz w:val="12"/>
        </w:rPr>
        <w:t xml:space="preserve"> | rel. Ellen Gracie</w:t>
      </w:r>
    </w:p>
    <w:p>
      <w:pPr>
        <w:ind w:left="288"/>
      </w:pPr>
      <w:r>
        <w:rPr>
          <w:color w:val="1E1E1E"/>
          <w:sz w:val="18"/>
        </w:rPr>
        <w:t>A CF prevê a possibilidade da acumulação de cargos privativos de profissionais da saúde, em que se incluem os assistentes sociais.</w:t>
      </w:r>
    </w:p>
    <w:p>
      <w:pPr>
        <w:ind w:left="288"/>
      </w:pPr>
      <w:r>
        <w:rPr>
          <w:b/>
          <w:color w:val="003CA0"/>
          <w:sz w:val="16"/>
        </w:rPr>
        <w:t>[RE 553.670 AgR, rel. min. Ellen Gracie, j. 14-9-2010, 2ª T, DJE de 1º-10-2010.]</w:t>
      </w:r>
    </w:p>
    <w:p>
      <w:pPr>
        <w:ind w:left="288"/>
      </w:pPr>
      <w:r>
        <w:rPr>
          <w:color w:val="8C8C8C"/>
          <w:sz w:val="12"/>
        </w:rPr>
        <w:t>cf-art-37-inc-XIII-ali-c</w:t>
      </w:r>
      <w:r>
        <w:rPr>
          <w:color w:val="003CA0"/>
          <w:sz w:val="12"/>
        </w:rPr>
        <w:t xml:space="preserve"> | ARE 823.904</w:t>
      </w:r>
      <w:r>
        <w:rPr>
          <w:color w:val="003CA0"/>
          <w:sz w:val="12"/>
        </w:rPr>
        <w:t xml:space="preserve"> | rel. Luiz Fux</w:t>
      </w:r>
    </w:p>
    <w:p>
      <w:pPr>
        <w:ind w:left="288"/>
      </w:pPr>
      <w:r>
        <w:rPr>
          <w:color w:val="1E1E1E"/>
          <w:sz w:val="18"/>
        </w:rPr>
        <w:t>= ARE 823.904 AgR, rel. min. Luiz Fux, j. 30-9-2014, 1ª T, DJE de 17-10-2014 = RE 721.077, rel. min. Gilmar Mendes, j. 7-12-2012, dec. monocrática, DJE de 13-12-2012 Vide AI 169.323 AgR, rel. min. Carlos Velloso, j. 18-6-1996, 2ª T, DJ de 14-11-1996 O art. 37, XVI, c, da CF autoriza a acumulação de dois cargos de médico, não sendo compatível interpretação ampliativa para abrigar no conceito o cargo de perita criminal com especialidade em medicina veterinária, como ocorre neste mandado de segurança. A especialidade médica não pode ser confundida sequer com a especialidade veterinária. Cada qual</w:t>
      </w:r>
    </w:p>
    <w:p>
      <w:pPr>
        <w:ind w:left="288"/>
      </w:pPr>
      <w:r>
        <w:rPr>
          <w:b/>
          <w:color w:val="003CA0"/>
          <w:sz w:val="16"/>
        </w:rPr>
        <w:t>[RE 248.248, rel. min. Menezes Direito, j. 2-9-2008, 1ª T, DJE de 14-11-2008.]</w:t>
      </w:r>
    </w:p>
    <w:p>
      <w:pPr>
        <w:ind w:left="288"/>
      </w:pPr>
      <w:r>
        <w:rPr>
          <w:color w:val="8C8C8C"/>
          <w:sz w:val="12"/>
        </w:rPr>
        <w:t>cf-art-37-inc-XIII-ali-c</w:t>
      </w:r>
    </w:p>
    <w:p>
      <w:pPr>
        <w:ind w:left="288"/>
      </w:pPr>
      <w:r>
        <w:rPr>
          <w:color w:val="1E1E1E"/>
          <w:sz w:val="18"/>
        </w:rPr>
        <w:t>XVII - a proibição de acumular estende-se a empregos e funções e abrange autarquias, fundações, empresas públicas, sociedades de economia mista, suas subsidiárias, e sociedades controladas, direta ou indiretamente, pelo poder público; (Redação da EC 19/1998)</w:t>
      </w:r>
    </w:p>
    <w:p>
      <w:pPr>
        <w:ind w:left="144"/>
      </w:pPr>
      <w:r>
        <w:rPr>
          <w:b/>
          <w:color w:val="B45A00"/>
          <w:sz w:val="16"/>
        </w:rPr>
        <w:t>CONTROLE CONCENTRADO</w:t>
      </w:r>
    </w:p>
    <w:p>
      <w:pPr>
        <w:ind w:left="288"/>
      </w:pPr>
      <w:r>
        <w:rPr>
          <w:color w:val="8C8C8C"/>
          <w:sz w:val="12"/>
        </w:rPr>
        <w:t>cf-art-37-inc-XIII-ali-c</w:t>
      </w:r>
      <w:r>
        <w:rPr>
          <w:color w:val="003CA0"/>
          <w:sz w:val="12"/>
        </w:rPr>
        <w:t xml:space="preserve"> | ADI 1.485</w:t>
      </w:r>
      <w:r>
        <w:rPr>
          <w:color w:val="003CA0"/>
          <w:sz w:val="12"/>
        </w:rPr>
        <w:t xml:space="preserve"> | rel. Rosa Weber</w:t>
      </w:r>
    </w:p>
    <w:p>
      <w:pPr>
        <w:ind w:left="288"/>
      </w:pPr>
      <w:r>
        <w:rPr>
          <w:color w:val="1E1E1E"/>
          <w:sz w:val="18"/>
        </w:rPr>
        <w:t>A autorização dada pela Lei 9.292/1996 para que servidores públicos participem de conselhos de administração e fiscal das empresas públicas e sociedades de economia mista, suas subsidiárias e controladas, bem como entidades sob controle direto ou indireto da União não contraria a vedação à acumulação remunerada de cargos, empregos e funções públicas trazida nos incisos XVI e XVII do artigo 37 da Constituição, uma vez que essa atuação como conselheiro não representa exercício de cargo ou função pública em sentido estrito.</w:t>
      </w:r>
    </w:p>
    <w:p>
      <w:pPr>
        <w:ind w:left="288"/>
      </w:pPr>
      <w:r>
        <w:rPr>
          <w:b/>
          <w:color w:val="003CA0"/>
          <w:sz w:val="16"/>
        </w:rPr>
        <w:t>[ADI 1.485, rel. min. Rosa Weber, j. 21-2-2020, P, DJE de 9-6-2020.]</w:t>
      </w:r>
    </w:p>
    <w:p>
      <w:pPr>
        <w:ind w:left="144"/>
      </w:pPr>
      <w:r>
        <w:rPr>
          <w:b/>
          <w:color w:val="B45A00"/>
          <w:sz w:val="16"/>
        </w:rPr>
        <w:t>JULGADOS CORRELATOS</w:t>
      </w:r>
    </w:p>
    <w:p>
      <w:pPr>
        <w:ind w:left="288"/>
      </w:pPr>
      <w:r>
        <w:rPr>
          <w:color w:val="8C8C8C"/>
          <w:sz w:val="12"/>
        </w:rPr>
        <w:t>cf-art-37-inc-XIII-ali-c</w:t>
      </w:r>
      <w:r>
        <w:rPr>
          <w:color w:val="003CA0"/>
          <w:sz w:val="12"/>
        </w:rPr>
        <w:t xml:space="preserve"> | MS 27.955</w:t>
      </w:r>
      <w:r>
        <w:rPr>
          <w:color w:val="003CA0"/>
          <w:sz w:val="12"/>
        </w:rPr>
        <w:t xml:space="preserve"> | rel. Roberto Barroso</w:t>
      </w:r>
    </w:p>
    <w:p>
      <w:pPr>
        <w:ind w:left="288"/>
      </w:pPr>
      <w:r>
        <w:rPr>
          <w:color w:val="1E1E1E"/>
          <w:sz w:val="18"/>
        </w:rPr>
        <w:t>Apesar de não ocuparem efetivo cargo público, a função exercida pelos titulares de serventias extrajudiciais possui inegável natureza pública. Dessa forma, aplicável ao caso a vedação prevista no inciso XVII do art. 37 da CF, que estende a proibição de cumulação também para as função públicas.</w:t>
      </w:r>
    </w:p>
    <w:p>
      <w:pPr>
        <w:ind w:left="288"/>
      </w:pPr>
      <w:r>
        <w:rPr>
          <w:b/>
          <w:color w:val="003CA0"/>
          <w:sz w:val="16"/>
        </w:rPr>
        <w:t>[MS 27.955 AgR, rel. min. Roberto Barroso, j. 17-8-2018, 1ª T, DJE de 5-9-2018.]</w:t>
      </w:r>
    </w:p>
    <w:p>
      <w:pPr>
        <w:ind w:left="288"/>
      </w:pPr>
      <w:r>
        <w:rPr>
          <w:color w:val="8C8C8C"/>
          <w:sz w:val="12"/>
        </w:rPr>
        <w:t>cf-art-37-inc-XIII-ali-c</w:t>
      </w:r>
      <w:r>
        <w:rPr>
          <w:color w:val="003CA0"/>
          <w:sz w:val="12"/>
        </w:rPr>
        <w:t xml:space="preserve"> | RMS 23.917</w:t>
      </w:r>
      <w:r>
        <w:rPr>
          <w:color w:val="003CA0"/>
          <w:sz w:val="12"/>
        </w:rPr>
        <w:t xml:space="preserve"> | rel. Ricardo Lewandowski</w:t>
      </w:r>
    </w:p>
    <w:p>
      <w:pPr>
        <w:ind w:left="288"/>
      </w:pPr>
      <w:r>
        <w:rPr>
          <w:color w:val="1E1E1E"/>
          <w:sz w:val="18"/>
        </w:rPr>
        <w:t>O acórdão recorrido entendeu que o servidor público que exerce três cargos ou empregos públicos de médico – um no INSS, outro na Secretaria Estadual de Saúde e Meio Ambiente e outro junto a hospital controlado pela União – incorre em acumulação ilegal de cargos. O STF tem reconhecido a presunção de má-fé do servidor que, embora notificado, não faz a opção que lhe compete. Demissão do recorrente que se assentou em processo administrativo regular, verificada a ocorrência dos requisitos do art. 133, § 6º, da Lei 8.112/1990.</w:t>
      </w:r>
    </w:p>
    <w:p>
      <w:pPr>
        <w:ind w:left="288"/>
      </w:pPr>
      <w:r>
        <w:rPr>
          <w:b/>
          <w:color w:val="003CA0"/>
          <w:sz w:val="16"/>
        </w:rPr>
        <w:t>[RMS 23.917, rel. min. Ricardo Lewandowski, j. 2-9-2008, 1ª T, DJE de 19-9-2008.]</w:t>
      </w:r>
    </w:p>
    <w:p>
      <w:pPr>
        <w:ind w:left="288"/>
      </w:pPr>
      <w:r>
        <w:rPr>
          <w:color w:val="8C8C8C"/>
          <w:sz w:val="12"/>
        </w:rPr>
        <w:t>cf-art-37-inc-XIII-ali-c</w:t>
      </w:r>
      <w:r>
        <w:rPr>
          <w:color w:val="003CA0"/>
          <w:sz w:val="12"/>
        </w:rPr>
        <w:t xml:space="preserve"> | RMS 24.249</w:t>
      </w:r>
      <w:r>
        <w:rPr>
          <w:color w:val="003CA0"/>
          <w:sz w:val="12"/>
        </w:rPr>
        <w:t xml:space="preserve"> | rel. Eros Grau</w:t>
      </w:r>
    </w:p>
    <w:p>
      <w:pPr>
        <w:ind w:left="288"/>
      </w:pPr>
      <w:r>
        <w:rPr>
          <w:color w:val="1E1E1E"/>
          <w:sz w:val="18"/>
        </w:rPr>
        <w:t>Para efeitos do disposto no art. 37, XVII, da Constituição, são sociedades de economia mista aquelas – anônimas ou não – sob o controle da União, dos Estados-membros, do Distrito Federal ou dos Municípios, independentemente da circunstância de terem sido "criadas por lei". Configura-se a má-fé do servidor que acumula cargos públicos de forma ilegal quando, embora devidamente notificado para optar por um dos cargos, não o faz, consubstanciando, sua omissão, disposição de persistir na prática do ilícito.</w:t>
      </w:r>
    </w:p>
    <w:p>
      <w:pPr>
        <w:ind w:left="288"/>
      </w:pPr>
      <w:r>
        <w:rPr>
          <w:b/>
          <w:color w:val="003CA0"/>
          <w:sz w:val="16"/>
        </w:rPr>
        <w:t>[RMS 24.249, rel. min. Eros Grau, j. 14-9-2004, 1ª T, DJ de 3-6-2005.]</w:t>
      </w:r>
    </w:p>
    <w:p>
      <w:pPr>
        <w:ind w:left="288"/>
      </w:pPr>
      <w:r>
        <w:rPr>
          <w:color w:val="8C8C8C"/>
          <w:sz w:val="12"/>
        </w:rPr>
        <w:t>cf-art-37-inc-XIII-ali-c</w:t>
      </w:r>
      <w:r>
        <w:rPr>
          <w:color w:val="003CA0"/>
          <w:sz w:val="12"/>
        </w:rPr>
        <w:t xml:space="preserve"> | RE 169.807</w:t>
      </w:r>
      <w:r>
        <w:rPr>
          <w:color w:val="003CA0"/>
          <w:sz w:val="12"/>
        </w:rPr>
        <w:t xml:space="preserve"> | rel. Carlos Velloso</w:t>
      </w:r>
    </w:p>
    <w:p>
      <w:pPr>
        <w:ind w:left="288"/>
      </w:pPr>
      <w:r>
        <w:rPr>
          <w:color w:val="1E1E1E"/>
          <w:sz w:val="18"/>
        </w:rPr>
        <w:t>É possível a acumulação de um cargo de professor com um emprego (celetista) de professor. Interpretação harmônica dos incisos XVI e XVII do art. 37 da CF.</w:t>
      </w:r>
    </w:p>
    <w:p>
      <w:pPr>
        <w:ind w:left="288"/>
      </w:pPr>
      <w:r>
        <w:rPr>
          <w:b/>
          <w:color w:val="003CA0"/>
          <w:sz w:val="16"/>
        </w:rPr>
        <w:t>[RE 169.807, rel. min. Carlos Velloso, j. 24-6-1996, 2ª T, DJ de 8-11-1996.]</w:t>
      </w:r>
    </w:p>
    <w:p>
      <w:pPr>
        <w:ind w:left="288"/>
      </w:pPr>
      <w:r>
        <w:rPr>
          <w:color w:val="8C8C8C"/>
          <w:sz w:val="12"/>
        </w:rPr>
        <w:t>cf-art-37-inc-XIII-ali-c</w:t>
      </w:r>
    </w:p>
    <w:p>
      <w:pPr>
        <w:ind w:left="288"/>
      </w:pPr>
      <w:r>
        <w:rPr>
          <w:color w:val="1E1E1E"/>
          <w:sz w:val="18"/>
        </w:rPr>
        <w:t>XVIII - a administração fazendária e seus servidores fiscais terão, dentro de suas áreas de competência e jurisdição, precedência sobre os demais setores administrativos, na forma da lei; XIX - somente por lei específica poderá ser criada autarquia e autorizada a instituição de empresa pública, de sociedade de economia mista e de fundação, cabendo à lei complementar, neste último caso, definir as áreas de sua atuação; (Redação da EC 19/1998)</w:t>
      </w:r>
    </w:p>
    <w:p>
      <w:pPr>
        <w:ind w:left="144"/>
      </w:pPr>
      <w:r>
        <w:rPr>
          <w:b/>
          <w:color w:val="B45A00"/>
          <w:sz w:val="16"/>
        </w:rPr>
        <w:t>CONTROLE CONCENTRADO</w:t>
      </w:r>
    </w:p>
    <w:p>
      <w:pPr>
        <w:ind w:left="288"/>
      </w:pPr>
      <w:r>
        <w:rPr>
          <w:color w:val="8C8C8C"/>
          <w:sz w:val="12"/>
        </w:rPr>
        <w:t>cf-art-37-inc-XIII-ali-c</w:t>
      </w:r>
      <w:r>
        <w:rPr>
          <w:color w:val="003CA0"/>
          <w:sz w:val="12"/>
        </w:rPr>
        <w:t xml:space="preserve"> | ADI 6.291</w:t>
      </w:r>
      <w:r>
        <w:rPr>
          <w:color w:val="003CA0"/>
          <w:sz w:val="12"/>
        </w:rPr>
        <w:t xml:space="preserve"> | rel. Cristiano Zanin</w:t>
      </w:r>
    </w:p>
    <w:p>
      <w:pPr>
        <w:ind w:left="288"/>
      </w:pPr>
      <w:r>
        <w:rPr>
          <w:color w:val="1E1E1E"/>
          <w:sz w:val="18"/>
        </w:rPr>
        <w:t>Emenda constitucional n. 77/2019, do Rio Grande do Sul. Revogação da obrigatoriedade de plebiscito para o processo de privatização de empresas estatais. Exercício da discricionariedade do poder legislativo estadual. Opção legislativa que atende os requisitos constitucionais.</w:t>
        <w:br/>
        <w:t>[ADI 6.291, rel. min. Cristiano Zanin, j. 28.10.2024, P, DJE de 08.11.2024.] As agências reguladoras independentes são autarquias de regime especial, caracterizadas por independência administrativa, ausência de subordinação hierárquica, mandato fixo, estabilidade de seus dirigentes e autonomia financeira. Esse regime espec</w:t>
      </w:r>
    </w:p>
    <w:p>
      <w:pPr>
        <w:ind w:left="288"/>
      </w:pPr>
      <w:r>
        <w:rPr>
          <w:b/>
          <w:color w:val="003CA0"/>
          <w:sz w:val="16"/>
        </w:rPr>
        <w:t>[ADI 6.241, rel. min. Cármen Lúcia, j. 8-2-2021, P, DJE de 22-3-2021.]</w:t>
      </w:r>
    </w:p>
    <w:p>
      <w:pPr>
        <w:ind w:left="288"/>
      </w:pPr>
      <w:r>
        <w:rPr>
          <w:color w:val="8C8C8C"/>
          <w:sz w:val="12"/>
        </w:rPr>
        <w:t>cf-art-37-inc-XIII-ali-c</w:t>
      </w:r>
      <w:r>
        <w:rPr>
          <w:color w:val="003CA0"/>
          <w:sz w:val="12"/>
        </w:rPr>
        <w:t xml:space="preserve"> | ADI 4.895</w:t>
      </w:r>
      <w:r>
        <w:rPr>
          <w:color w:val="003CA0"/>
          <w:sz w:val="12"/>
        </w:rPr>
        <w:t xml:space="preserve"> | rel. Cármen Lúcia</w:t>
      </w:r>
    </w:p>
    <w:p>
      <w:pPr>
        <w:ind w:left="288"/>
      </w:pPr>
      <w:r>
        <w:rPr>
          <w:color w:val="1E1E1E"/>
          <w:sz w:val="18"/>
        </w:rPr>
        <w:t>A lei específica autorizadora da criação das estatais é a ordinária, restringindo-se a exigência de lei complementar aos casos expressamente elencados na Constituição da República. No inc. XIX do art. 37 da Constituição, alterado pela Emenda Constitucional 19/1998, ao ser determinada a edição de lei complementar para a regulamentação das áreas de atuação, o poder constituinte derivado fez alusão tão somente às fundações. A interpretação gramatical deixa certo que a expressão ‘neste último caso’, no singular, refere-se ao antecedente ‘fundação’. A interpretação sistemática da Constituição també</w:t>
      </w:r>
    </w:p>
    <w:p>
      <w:pPr>
        <w:ind w:left="288"/>
      </w:pPr>
      <w:r>
        <w:rPr>
          <w:b/>
          <w:color w:val="003CA0"/>
          <w:sz w:val="16"/>
        </w:rPr>
        <w:t>[ADI 4.895, voto da rel. min. Cármen Lúcia, j. 7-12-2020, P, DJE de 4-2-2021.]</w:t>
      </w:r>
    </w:p>
    <w:p>
      <w:pPr>
        <w:ind w:left="288"/>
      </w:pPr>
      <w:r>
        <w:rPr>
          <w:color w:val="8C8C8C"/>
          <w:sz w:val="12"/>
        </w:rPr>
        <w:t>cf-art-37-inc-XIII-ali-c</w:t>
      </w:r>
      <w:r>
        <w:rPr>
          <w:color w:val="003CA0"/>
          <w:sz w:val="12"/>
        </w:rPr>
        <w:t xml:space="preserve"> | ADI 4.247</w:t>
      </w:r>
      <w:r>
        <w:rPr>
          <w:color w:val="003CA0"/>
          <w:sz w:val="12"/>
        </w:rPr>
        <w:t xml:space="preserve"> | rel. Marco Aurélio</w:t>
      </w:r>
    </w:p>
    <w:p>
      <w:pPr>
        <w:ind w:left="288"/>
      </w:pPr>
      <w:r>
        <w:rPr>
          <w:color w:val="1E1E1E"/>
          <w:sz w:val="18"/>
        </w:rPr>
        <w:t>A fundação, pouco importando a espécie de serviços a serem prestados, é pessoa jurídica de direito privado, sendo possível a criação mediante lei ordinária e a regência, pela Consolidação das Leis do Trabalho, da relação jurídica mantida com os prestadores de serviços.</w:t>
      </w:r>
    </w:p>
    <w:p>
      <w:pPr>
        <w:ind w:left="288"/>
      </w:pPr>
      <w:r>
        <w:rPr>
          <w:b/>
          <w:color w:val="003CA0"/>
          <w:sz w:val="16"/>
        </w:rPr>
        <w:t>[ADI 4.247, rel. min. Marco Aurélio, j. 4-11-2020, P, DJE de 8-3-2021.]</w:t>
      </w:r>
    </w:p>
    <w:p>
      <w:pPr>
        <w:ind w:left="288"/>
      </w:pPr>
      <w:r>
        <w:rPr>
          <w:color w:val="8C8C8C"/>
          <w:sz w:val="12"/>
        </w:rPr>
        <w:t>cf-art-37-inc-XIII-ali-c</w:t>
      </w:r>
      <w:r>
        <w:rPr>
          <w:color w:val="003CA0"/>
          <w:sz w:val="12"/>
        </w:rPr>
        <w:t xml:space="preserve"> | ADI 5.624</w:t>
      </w:r>
      <w:r>
        <w:rPr>
          <w:color w:val="003CA0"/>
          <w:sz w:val="12"/>
        </w:rPr>
        <w:t xml:space="preserve"> | rel. Ricardo Lewandowski</w:t>
      </w:r>
    </w:p>
    <w:p>
      <w:pPr>
        <w:ind w:left="288"/>
      </w:pPr>
      <w:r>
        <w:rPr>
          <w:color w:val="1E1E1E"/>
          <w:sz w:val="18"/>
        </w:rPr>
        <w:t>A alienação do controle acionário de empresas públicas e sociedades de economia mista exige autorização legislativa e licitação pública. A transferência do controle de subsidiárias e controladas não exige a anuência do Poder Legislativo e poderá ser operacionalizada sem processo de licitação pública, desde que garantida a competitividade entre os potenciais interessados e observados os princípios da administração pública constantes do art. 37 da Constituição da República.</w:t>
      </w:r>
    </w:p>
    <w:p>
      <w:pPr>
        <w:ind w:left="288"/>
      </w:pPr>
      <w:r>
        <w:rPr>
          <w:b/>
          <w:color w:val="003CA0"/>
          <w:sz w:val="16"/>
        </w:rPr>
        <w:t>[ADI 5.624 MC REF, rel. min. Ricardo Lewandowski, j. 6-6-2019, P, DJE de 29-11-2019.]</w:t>
      </w:r>
    </w:p>
    <w:p>
      <w:pPr>
        <w:ind w:left="288"/>
      </w:pPr>
      <w:r>
        <w:rPr>
          <w:color w:val="8C8C8C"/>
          <w:sz w:val="12"/>
        </w:rPr>
        <w:t>cf-art-37-inc-XIII-ali-c</w:t>
      </w:r>
      <w:r>
        <w:rPr>
          <w:color w:val="003CA0"/>
          <w:sz w:val="12"/>
        </w:rPr>
        <w:t xml:space="preserve"> | ADI 234</w:t>
      </w:r>
      <w:r>
        <w:rPr>
          <w:color w:val="003CA0"/>
          <w:sz w:val="12"/>
        </w:rPr>
        <w:t xml:space="preserve"> | rel. Cármen Lúcia</w:t>
      </w:r>
    </w:p>
    <w:p>
      <w:pPr>
        <w:ind w:left="288"/>
      </w:pPr>
      <w:r>
        <w:rPr>
          <w:color w:val="1E1E1E"/>
          <w:sz w:val="18"/>
        </w:rPr>
        <w:t>No julgamento da ADI 234/RJ, ao apreciar dispositivos da Constituição do Rio de Janeiro que vedavam a alienação de ações de sociedades de economia mista estaduais, o STF conferiu interpretação conforme à Constituição da República, no sentido de serem admitidas essas alienações, condicionando-as à autorização legislativa, por lei em sentido formal, tão somente quando importarem em perda do controle acionário por parte do Estado. Naquela assentada, se decidiu também que o chefe do Poder Executivo estadual não poderia ser privado da competência para dispor sobre a organização e o funcionamento da</w:t>
      </w:r>
    </w:p>
    <w:p>
      <w:pPr>
        <w:ind w:left="288"/>
      </w:pPr>
      <w:r>
        <w:rPr>
          <w:b/>
          <w:color w:val="003CA0"/>
          <w:sz w:val="16"/>
        </w:rPr>
        <w:t>[ADI 1.348, rel. min. Cármen Lúcia, j. 21-2-2008, P, DJE de 7-3-2008.]</w:t>
      </w:r>
    </w:p>
    <w:p>
      <w:pPr>
        <w:ind w:left="288"/>
      </w:pPr>
      <w:r>
        <w:rPr>
          <w:color w:val="8C8C8C"/>
          <w:sz w:val="12"/>
        </w:rPr>
        <w:t>cf-art-37-inc-XIII-ali-c</w:t>
      </w:r>
      <w:r>
        <w:rPr>
          <w:color w:val="003CA0"/>
          <w:sz w:val="12"/>
        </w:rPr>
        <w:t xml:space="preserve"> | RE 1.249.945</w:t>
      </w:r>
      <w:r>
        <w:rPr>
          <w:color w:val="003CA0"/>
          <w:sz w:val="12"/>
        </w:rPr>
        <w:t xml:space="preserve"> | rel. Flávio Dino</w:t>
      </w:r>
    </w:p>
    <w:p>
      <w:pPr>
        <w:ind w:left="288"/>
      </w:pPr>
      <w:r>
        <w:rPr>
          <w:color w:val="1E1E1E"/>
          <w:sz w:val="18"/>
        </w:rPr>
        <w:t>“É constitucional o art. 2º, I, da Lei nº 11.101/2005 quanto à inaplicabilidade do regime falimentar às empresas públicas e sociedades de economia mista, ainda que desempenhem atividades em regime de concorrência com a iniciativa privada, em razão do eminente interesse público/coletivo na sua criação e da necessidade de observância do princípio do paralelismo das formas”.</w:t>
      </w:r>
    </w:p>
    <w:p>
      <w:pPr>
        <w:ind w:left="288"/>
      </w:pPr>
      <w:r>
        <w:rPr>
          <w:b/>
          <w:color w:val="003CA0"/>
          <w:sz w:val="16"/>
        </w:rPr>
        <w:t>[RE 1.249.945, rel. min. Flávio Dino, j. 20.10.2025, P, DJE de 23.10.2025, Tema 1.101, com mérito julgado.]</w:t>
      </w:r>
    </w:p>
    <w:p>
      <w:pPr>
        <w:ind w:left="144"/>
      </w:pPr>
      <w:r>
        <w:rPr>
          <w:b/>
          <w:color w:val="B45A00"/>
          <w:sz w:val="16"/>
        </w:rPr>
        <w:t>JULGADOS CORRELATOS</w:t>
      </w:r>
    </w:p>
    <w:p>
      <w:pPr>
        <w:ind w:left="288"/>
      </w:pPr>
      <w:r>
        <w:rPr>
          <w:color w:val="8C8C8C"/>
          <w:sz w:val="12"/>
        </w:rPr>
        <w:t>cf-art-37-inc-XIII-ali-c</w:t>
      </w:r>
      <w:r>
        <w:rPr>
          <w:color w:val="003CA0"/>
          <w:sz w:val="12"/>
        </w:rPr>
        <w:t xml:space="preserve"> | MS 26.117</w:t>
      </w:r>
      <w:r>
        <w:rPr>
          <w:color w:val="003CA0"/>
          <w:sz w:val="12"/>
        </w:rPr>
        <w:t xml:space="preserve"> | rel. Eros Grau</w:t>
      </w:r>
    </w:p>
    <w:p>
      <w:pPr>
        <w:ind w:left="288"/>
      </w:pPr>
      <w:r>
        <w:rPr>
          <w:color w:val="1E1E1E"/>
          <w:sz w:val="18"/>
        </w:rPr>
        <w:t>A circunstância de a sociedade de economia mista não ter sido criada por lei não afasta a competência do Tribunal de Contas. São sociedades de economia mista, inclusive para os efeitos do art. 37, XIX, da Constituição do Brasil/1988, aquelas – anônimas ou não – sob o controle da União, dos Estados-membros, do Distrito Federal ou dos Municípios, independentemente da circunstância de terem sido criadas por lei.</w:t>
      </w:r>
    </w:p>
    <w:p>
      <w:pPr>
        <w:ind w:left="288"/>
      </w:pPr>
      <w:r>
        <w:rPr>
          <w:b/>
          <w:color w:val="003CA0"/>
          <w:sz w:val="16"/>
        </w:rPr>
        <w:t>[MS 26.117, rel. min. Eros Grau, j. 20-5-2009, P, DJE de 6-11-2009.]</w:t>
      </w:r>
    </w:p>
    <w:p>
      <w:pPr>
        <w:ind w:left="288"/>
      </w:pPr>
      <w:r>
        <w:rPr>
          <w:color w:val="8C8C8C"/>
          <w:sz w:val="12"/>
        </w:rPr>
        <w:t>cf-art-37-inc-XIII-ali-c</w:t>
      </w:r>
      <w:r>
        <w:rPr>
          <w:color w:val="003CA0"/>
          <w:sz w:val="12"/>
        </w:rPr>
        <w:t xml:space="preserve"> | RMS 24.249</w:t>
      </w:r>
      <w:r>
        <w:rPr>
          <w:color w:val="003CA0"/>
          <w:sz w:val="12"/>
        </w:rPr>
        <w:t xml:space="preserve"> | rel. Eros Grau</w:t>
      </w:r>
    </w:p>
    <w:p>
      <w:pPr>
        <w:ind w:left="288"/>
      </w:pPr>
      <w:r>
        <w:rPr>
          <w:color w:val="1E1E1E"/>
          <w:sz w:val="18"/>
        </w:rPr>
        <w:t>Vide RMS 24.249, rel. min. Eros Grau, j. 14-9-2004, 1ª T, DJ de 3-6-2005 O Sebrae [Serviço Brasileiro de Apoio às Micro e Pequenas Empresas] não corresponde à noção constitucional de autarquia, que, para começar, há de ser criada por lei específica (CF, art. 37, XIX) e não na forma de sociedade civil, com personalidade de direito privado, como é o caso do recorrido. Por isso, o disposto no art. 20, f, da Lei 4.717/1965, Lei de Ação Popular (LAP), para não se chocar com a Constituição, há de ter o seu alcance reduzido: não transforma em autarquia as entidades de direito privado que recebam e ap</w:t>
      </w:r>
    </w:p>
    <w:p>
      <w:pPr>
        <w:ind w:left="288"/>
      </w:pPr>
      <w:r>
        <w:rPr>
          <w:b/>
          <w:color w:val="003CA0"/>
          <w:sz w:val="16"/>
        </w:rPr>
        <w:t>[RE 366.168, rel. min. Sepúlveda Pertence, j. 3-2-2004, 1ª T, DJ de 14-5-2004.]</w:t>
      </w:r>
    </w:p>
    <w:p>
      <w:pPr>
        <w:ind w:left="144"/>
      </w:pPr>
      <w:r>
        <w:rPr>
          <w:b/>
          <w:color w:val="B45A00"/>
          <w:sz w:val="16"/>
        </w:rPr>
        <w:t>CONTROLE CONCENTRADO</w:t>
      </w:r>
    </w:p>
    <w:p>
      <w:pPr>
        <w:ind w:left="288"/>
      </w:pPr>
      <w:r>
        <w:rPr>
          <w:color w:val="8C8C8C"/>
          <w:sz w:val="12"/>
        </w:rPr>
        <w:t>cf-art-37-inc-XX</w:t>
      </w:r>
      <w:r>
        <w:rPr>
          <w:color w:val="003CA0"/>
          <w:sz w:val="12"/>
        </w:rPr>
        <w:t xml:space="preserve"> | ADI 5.624</w:t>
      </w:r>
      <w:r>
        <w:rPr>
          <w:color w:val="003CA0"/>
          <w:sz w:val="12"/>
        </w:rPr>
        <w:t xml:space="preserve"> | rel. Ricardo Lewandowski</w:t>
      </w:r>
    </w:p>
    <w:p>
      <w:pPr>
        <w:ind w:left="288"/>
      </w:pPr>
      <w:r>
        <w:rPr>
          <w:color w:val="1E1E1E"/>
          <w:sz w:val="18"/>
        </w:rPr>
        <w:t>A alienação do controle acionário de empresas públicas e sociedades de economia mista exige autorização legislativa e licitação pública. A transferência do controle de subsidiárias e controladas não exige a anuência do Poder Legislativo e poderá ser operacionalizada sem processo de licitação pública, desde que garantida a competitividade entre os potenciais interessados e observados os princípios da administração pública constantes do art. 37 da Constituição da República.</w:t>
      </w:r>
    </w:p>
    <w:p>
      <w:pPr>
        <w:ind w:left="288"/>
      </w:pPr>
      <w:r>
        <w:rPr>
          <w:b/>
          <w:color w:val="003CA0"/>
          <w:sz w:val="16"/>
        </w:rPr>
        <w:t>[ADI 5.624 MC REF, rel. min. Ricardo Lewandowski, j. 6-6-2019, P, DJE de 29-11-2019.]</w:t>
      </w:r>
    </w:p>
    <w:p>
      <w:pPr>
        <w:ind w:left="288"/>
      </w:pPr>
      <w:r>
        <w:rPr>
          <w:color w:val="8C8C8C"/>
          <w:sz w:val="12"/>
        </w:rPr>
        <w:t>cf-art-37-inc-XX</w:t>
      </w:r>
      <w:r>
        <w:rPr>
          <w:color w:val="003CA0"/>
          <w:sz w:val="12"/>
        </w:rPr>
        <w:t xml:space="preserve"> | ADI 1.491</w:t>
      </w:r>
    </w:p>
    <w:p>
      <w:pPr>
        <w:ind w:left="288"/>
      </w:pPr>
      <w:r>
        <w:rPr>
          <w:color w:val="1E1E1E"/>
          <w:sz w:val="18"/>
        </w:rPr>
        <w:t xml:space="preserve">Medida cautelar. Ação direta de inconstitucionalidade. Arts. 4º; 5º; 8º, § 2º; 10; e 13 da Lei 9.295/1996. Telecomunicações. Alegada violação dos arts. 2º; 5º; 21, XI; 37, XX e XXI; 66, § 2º; 170, IV e V; e 175 da CF. Não ocorrência. Medida cautelar indeferida. (...) É dispensável a autorização legislativa para a criação de empresas subsidiárias, desde que haja previsão para esse fim na lei de instituição da empresa pública, sociedade de economia mista ou fundação matriz, tendo em vista que a lei criadora é também a medida autorizadora. O Serviço de Valor Adicionado (SVA), previsto no art. 10 </w:t>
      </w:r>
    </w:p>
    <w:p>
      <w:pPr>
        <w:ind w:left="288"/>
      </w:pPr>
      <w:r>
        <w:rPr>
          <w:b/>
          <w:color w:val="003CA0"/>
          <w:sz w:val="16"/>
        </w:rPr>
        <w:t>[ADI 1.491 MC, red. do ac. min. Ricardo Lewandowski, j. 8-5-2014, P, DJE de 30-10-2014.]</w:t>
      </w:r>
    </w:p>
    <w:p>
      <w:pPr>
        <w:ind w:left="288"/>
      </w:pPr>
      <w:r>
        <w:rPr>
          <w:color w:val="8C8C8C"/>
          <w:sz w:val="12"/>
        </w:rPr>
        <w:t>cf-art-37-inc-XX</w:t>
      </w:r>
      <w:r>
        <w:rPr>
          <w:color w:val="003CA0"/>
          <w:sz w:val="12"/>
        </w:rPr>
        <w:t xml:space="preserve"> | ADI 1.649</w:t>
      </w:r>
      <w:r>
        <w:rPr>
          <w:color w:val="003CA0"/>
          <w:sz w:val="12"/>
        </w:rPr>
        <w:t xml:space="preserve"> | rel. Maurício Corrêa</w:t>
      </w:r>
    </w:p>
    <w:p>
      <w:pPr>
        <w:ind w:left="288"/>
      </w:pPr>
      <w:r>
        <w:rPr>
          <w:color w:val="1E1E1E"/>
          <w:sz w:val="18"/>
        </w:rPr>
        <w:t>= ADI 1.649, rel. min. Maurício Corrêa, j. 24-3-2004, P, DJ de 28-5-2004</w:t>
      </w:r>
    </w:p>
    <w:p>
      <w:pPr>
        <w:ind w:left="144"/>
      </w:pPr>
      <w:r>
        <w:rPr>
          <w:b/>
          <w:color w:val="B45A00"/>
          <w:sz w:val="16"/>
        </w:rPr>
        <w:t>JULGADOS CORRELATOS</w:t>
      </w:r>
    </w:p>
    <w:p>
      <w:pPr>
        <w:ind w:left="288"/>
      </w:pPr>
      <w:r>
        <w:rPr>
          <w:color w:val="8C8C8C"/>
          <w:sz w:val="12"/>
        </w:rPr>
        <w:t>cf-art-37-inc-XX</w:t>
      </w:r>
      <w:r>
        <w:rPr>
          <w:color w:val="003CA0"/>
          <w:sz w:val="12"/>
        </w:rPr>
        <w:t xml:space="preserve"> | RCL 42.576</w:t>
      </w:r>
    </w:p>
    <w:p>
      <w:pPr>
        <w:ind w:left="288"/>
      </w:pPr>
      <w:r>
        <w:rPr>
          <w:color w:val="1E1E1E"/>
          <w:sz w:val="18"/>
        </w:rPr>
        <w:t>Pelo inc. XIX do art. 37 da Constituição da República, a autorização legislativa para criação de sociedade de economia mista há de ser dada por lei específica, mas, para a criação das subsidiárias, no inc. XX do mesmo art. 37, exige -se apenas autorização legislativa genérica. No caso da Petróleo Brasileiro S/A – Petrobras, essa autorização foi dada pela Lei n. 9.478/1997, pela qual se dispõe sobre a política energética nacional e sobre as atividades referentes ao monopólio do petróleo e se instituem o Conselho Nacional de Política Energética e a Agência Nacional do Petróleo.</w:t>
      </w:r>
    </w:p>
    <w:p>
      <w:pPr>
        <w:ind w:left="288"/>
      </w:pPr>
      <w:r>
        <w:rPr>
          <w:b/>
          <w:color w:val="003CA0"/>
          <w:sz w:val="16"/>
        </w:rPr>
        <w:t>[Rcl 42.576-MC, red. do ac. min. Alexandre de Moraes, voto da min. Cármen Lúcia, j. 1º-10-2020, P, DJE de 17-6-2021.]</w:t>
      </w:r>
    </w:p>
    <w:p>
      <w:pPr>
        <w:ind w:left="288"/>
      </w:pPr>
      <w:r>
        <w:rPr>
          <w:color w:val="8C8C8C"/>
          <w:sz w:val="12"/>
        </w:rPr>
        <w:t>cf-art-37-inc-XX</w:t>
      </w:r>
      <w:r>
        <w:rPr>
          <w:color w:val="003CA0"/>
          <w:sz w:val="12"/>
        </w:rPr>
        <w:t xml:space="preserve"> | ADI 3.816</w:t>
      </w:r>
      <w:r>
        <w:rPr>
          <w:color w:val="003CA0"/>
          <w:sz w:val="12"/>
        </w:rPr>
        <w:t xml:space="preserve"> | rel. Nunes Marques</w:t>
      </w:r>
    </w:p>
    <w:p>
      <w:pPr>
        <w:ind w:left="288"/>
      </w:pPr>
      <w:r>
        <w:rPr>
          <w:color w:val="1E1E1E"/>
          <w:sz w:val="18"/>
        </w:rPr>
        <w:t>XXI - ressalvados os casos especificados na legislação, as obras, serviços, compras e alienações serão contratados mediante processo de licitação pública que assegure igualdade de condições a todos os concorrentes, com cláusulas que estabeleçam obrigações de pagamento, mantidas as condições efetivas da proposta, nos termos da lei, o qual somente permitirá as exigências de qualificação técnica e econômica indispensáveis à garantia do cumprimento das obrigações. A previsão de isenção de pedágio para veículos de pessoas com deficiência não configura, por si só, à míngua de elementos precisos, alt</w:t>
      </w:r>
    </w:p>
    <w:p>
      <w:pPr>
        <w:ind w:left="288"/>
      </w:pPr>
      <w:r>
        <w:rPr>
          <w:b/>
          <w:color w:val="003CA0"/>
          <w:sz w:val="16"/>
        </w:rPr>
        <w:t>[ADI 3.816, rel. min. Nunes Marques, j. 31.03.2025, P, DJE de 11.04.2025.]</w:t>
      </w:r>
    </w:p>
    <w:p>
      <w:pPr>
        <w:ind w:left="144"/>
      </w:pPr>
      <w:r>
        <w:rPr>
          <w:b/>
          <w:color w:val="B45A00"/>
          <w:sz w:val="16"/>
        </w:rPr>
        <w:t>CONTROLE CONCENTRADO</w:t>
      </w:r>
    </w:p>
    <w:p>
      <w:pPr>
        <w:ind w:left="288"/>
      </w:pPr>
      <w:r>
        <w:rPr>
          <w:color w:val="8C8C8C"/>
          <w:sz w:val="12"/>
        </w:rPr>
        <w:t>cf-art-37-inc-XX</w:t>
      </w:r>
      <w:r>
        <w:rPr>
          <w:color w:val="003CA0"/>
          <w:sz w:val="12"/>
        </w:rPr>
        <w:t xml:space="preserve"> | ADI 4.716</w:t>
      </w:r>
      <w:r>
        <w:rPr>
          <w:color w:val="003CA0"/>
          <w:sz w:val="12"/>
        </w:rPr>
        <w:t xml:space="preserve"> | rel. Dias Toffoli</w:t>
      </w:r>
    </w:p>
    <w:p>
      <w:pPr>
        <w:ind w:left="288"/>
      </w:pPr>
      <w:r>
        <w:rPr>
          <w:color w:val="1E1E1E"/>
          <w:sz w:val="18"/>
        </w:rPr>
        <w:t>“1. É constitucional a recusa de emissão de Certidão Negativa de Débitos Trabalhistas (CNDT) nas hipóteses determinadas no art. 642-A, § 1º, da Consolidação das Leis do Trabalho (CLT), com a redação conferida pela Lei nº 12.440/11; e 2. É constitucional a exigência de apresentação de CNDT nos processos licitatórios como requisito de comprovação de regularidade trabalhista”.</w:t>
        <w:br/>
        <w:t>[ADI 4.716 e ADI 4.742, rel. min. Dias Toffoli, j. 30.09.2024, P, DJE de 11.10.2024.] É constitucional a vedação à recontratação de empresa contratada diretamente por dispensa de licitação nos casos de emergência ou calamid</w:t>
      </w:r>
    </w:p>
    <w:p>
      <w:pPr>
        <w:ind w:left="288"/>
      </w:pPr>
      <w:r>
        <w:rPr>
          <w:b/>
          <w:color w:val="003CA0"/>
          <w:sz w:val="16"/>
        </w:rPr>
        <w:t>[ADI 4.645 e ADI 4.655, rel. min. Luiz Fux, j. 12-9-2023, P, DJE de 23-10-2023.]</w:t>
      </w:r>
    </w:p>
    <w:p>
      <w:pPr>
        <w:ind w:left="288"/>
      </w:pPr>
      <w:r>
        <w:rPr>
          <w:color w:val="8C8C8C"/>
          <w:sz w:val="12"/>
        </w:rPr>
        <w:t>cf-art-37-inc-XX</w:t>
      </w:r>
      <w:r>
        <w:rPr>
          <w:color w:val="003CA0"/>
          <w:sz w:val="12"/>
        </w:rPr>
        <w:t xml:space="preserve"> | ADI 6.313</w:t>
      </w:r>
      <w:r>
        <w:rPr>
          <w:color w:val="003CA0"/>
          <w:sz w:val="12"/>
        </w:rPr>
        <w:t xml:space="preserve"> | rel. Alexandre de Moraes</w:t>
      </w:r>
    </w:p>
    <w:p>
      <w:pPr>
        <w:ind w:left="288"/>
      </w:pPr>
      <w:r>
        <w:rPr>
          <w:color w:val="1E1E1E"/>
          <w:sz w:val="18"/>
        </w:rPr>
        <w:t>Por expressa autorização constitucional, o dever de licitar comporta exceções especificadas na legislação ordinária (art. 37, XXI, da CF). Constatadas a inviabilidade de competição e a consequente inexigibilidade de licitação na hipótese, é possível o credenciamento de particulares para, em consonância com os requisitos estabelecidos pelos órgãos competentes, prestar os serviços de fabricação e estampagem de placas de identificação veicular (arts. 6º, XLIII; 74, IV; e 79, II, da Lei 14.133/2021).</w:t>
        <w:br/>
        <w:t>[ADI 6.313, rel. min. Alexandre de Moraes, j. 28-8-2023, P, DJE de 4-9-2023.] Alegação de ofensa a</w:t>
      </w:r>
    </w:p>
    <w:p>
      <w:pPr>
        <w:ind w:left="288"/>
      </w:pPr>
      <w:r>
        <w:rPr>
          <w:b/>
          <w:color w:val="003CA0"/>
          <w:sz w:val="16"/>
        </w:rPr>
        <w:t>[ADI 1.706, rel. min. Eros Grau, j. 9-4-2008, P, DJE de 12-9-2008.]</w:t>
      </w:r>
    </w:p>
    <w:p>
      <w:pPr>
        <w:ind w:left="288"/>
      </w:pPr>
      <w:r>
        <w:rPr>
          <w:color w:val="8C8C8C"/>
          <w:sz w:val="12"/>
        </w:rPr>
        <w:t>cf-art-37-inc-XX</w:t>
      </w:r>
      <w:r>
        <w:rPr>
          <w:color w:val="003CA0"/>
          <w:sz w:val="12"/>
        </w:rPr>
        <w:t xml:space="preserve"> | ADI 2.716</w:t>
      </w:r>
      <w:r>
        <w:rPr>
          <w:color w:val="003CA0"/>
          <w:sz w:val="12"/>
        </w:rPr>
        <w:t xml:space="preserve"> | rel. Eros Grau</w:t>
      </w:r>
    </w:p>
    <w:p>
      <w:pPr>
        <w:ind w:left="288"/>
      </w:pPr>
      <w:r>
        <w:rPr>
          <w:color w:val="1E1E1E"/>
          <w:sz w:val="18"/>
        </w:rPr>
        <w:t>A licitação é um procedimento que visa à satisfação do interesse público, pautando-se pelo princípio da isonomia. Está voltada a um duplo objetivo: o de proporcionar à administração a possibilidade de realizar o negócio mais vantajoso – o melhor negócio – e o de assegurar aos administrados a oportunidade de concorrerem, em igualdade de condições, à contratação pretendida pela administração. (...) Procedimento que visa à satisfação do interesse público, pautando-se pelo princípio da isonomia, a função da licitação é a de viabilizar, através da mais ampla disputa, envolvendo o maior número possí</w:t>
      </w:r>
    </w:p>
    <w:p>
      <w:pPr>
        <w:ind w:left="288"/>
      </w:pPr>
      <w:r>
        <w:rPr>
          <w:b/>
          <w:color w:val="003CA0"/>
          <w:sz w:val="16"/>
        </w:rPr>
        <w:t>[ADI 2.716, rel. min. Eros Grau, j. 29-11-2007, P, DJE de 7-3-2008.]</w:t>
      </w:r>
    </w:p>
    <w:p>
      <w:pPr>
        <w:ind w:left="288"/>
      </w:pPr>
      <w:r>
        <w:rPr>
          <w:color w:val="8C8C8C"/>
          <w:sz w:val="12"/>
        </w:rPr>
        <w:t>cf-art-37-inc-XX</w:t>
      </w:r>
      <w:r>
        <w:rPr>
          <w:color w:val="003CA0"/>
          <w:sz w:val="12"/>
        </w:rPr>
        <w:t xml:space="preserve"> | RE 607.126</w:t>
      </w:r>
      <w:r>
        <w:rPr>
          <w:color w:val="003CA0"/>
          <w:sz w:val="12"/>
        </w:rPr>
        <w:t xml:space="preserve"> | rel. Cármen Lúcia</w:t>
      </w:r>
    </w:p>
    <w:p>
      <w:pPr>
        <w:ind w:left="288"/>
      </w:pPr>
      <w:r>
        <w:rPr>
          <w:color w:val="1E1E1E"/>
          <w:sz w:val="18"/>
        </w:rPr>
        <w:t xml:space="preserve">= RE 607.126 AgR, rel. min. Cármen Lúcia, j. 2-12-2010, 1ª T, DJE de 1º-2-2011 É inconstitucional o preceito segundo o qual, na análise de licitações, serão considerados, para averiguação da proposta mais vantajosa, entre outros itens, os valores relativos aos impostos pagos à Fazenda Pública daquele Estado-membro. Afronta ao princípio da isonomia, igualdade entre todos quantos pretendam acesso às contratações da administração. (...) A Constituição do Brasil exclui quaisquer exigências de qualificação técnica e econômica que não sejam indispensáveis à garantia do cumprimento das obrigações. A </w:t>
      </w:r>
    </w:p>
    <w:p>
      <w:pPr>
        <w:ind w:left="288"/>
      </w:pPr>
      <w:r>
        <w:rPr>
          <w:b/>
          <w:color w:val="003CA0"/>
          <w:sz w:val="16"/>
        </w:rPr>
        <w:t>[ADI 3.070, rel. min. Eros Grau, j. 29-11-2007, P, DJ de 19-12-2007.]</w:t>
      </w:r>
    </w:p>
    <w:p>
      <w:pPr>
        <w:ind w:left="288"/>
      </w:pPr>
      <w:r>
        <w:rPr>
          <w:color w:val="8C8C8C"/>
          <w:sz w:val="12"/>
        </w:rPr>
        <w:t>cf-art-37-inc-XX</w:t>
      </w:r>
      <w:r>
        <w:rPr>
          <w:color w:val="003CA0"/>
          <w:sz w:val="12"/>
        </w:rPr>
        <w:t xml:space="preserve"> | ADI 1.863</w:t>
      </w:r>
      <w:r>
        <w:rPr>
          <w:color w:val="003CA0"/>
          <w:sz w:val="12"/>
        </w:rPr>
        <w:t xml:space="preserve"> | rel. Eros Grau</w:t>
      </w:r>
    </w:p>
    <w:p>
      <w:pPr>
        <w:ind w:left="288"/>
      </w:pPr>
      <w:r>
        <w:rPr>
          <w:color w:val="1E1E1E"/>
          <w:sz w:val="18"/>
        </w:rPr>
        <w:t>Parágrafo único do art. 191 da Lei federal 9.472/1997. (...) Organização dos serviços de telecomunicações. (...) As privatizações – desestatizações – foram implementadas mediante a realização de leilão, modalidade de licitação prevista no art. 22 da Lei 8.666/1993 que a um só tempo transfere o controle acionário da empresa estatal e preserva a delegação de serviço público. O preceito impugnado não é inconstitucional. As empresas estatais privatizadas são delegadas e não concessionárias de serviço público. O fato de não terem celebrado com a União contratos de concessão é questão a ser resolvid</w:t>
      </w:r>
    </w:p>
    <w:p>
      <w:pPr>
        <w:ind w:left="288"/>
      </w:pPr>
      <w:r>
        <w:rPr>
          <w:b/>
          <w:color w:val="003CA0"/>
          <w:sz w:val="16"/>
        </w:rPr>
        <w:t>[ADI 1.863, rel. min. Eros Grau, j. 6-9-2007, P, DJE de 15-2-2008.]</w:t>
      </w:r>
    </w:p>
    <w:p>
      <w:pPr>
        <w:ind w:left="288"/>
      </w:pPr>
      <w:r>
        <w:rPr>
          <w:color w:val="8C8C8C"/>
          <w:sz w:val="12"/>
        </w:rPr>
        <w:t>cf-art-37-inc-XX</w:t>
      </w:r>
      <w:r>
        <w:rPr>
          <w:color w:val="003CA0"/>
          <w:sz w:val="12"/>
        </w:rPr>
        <w:t xml:space="preserve"> | ADI 1.864</w:t>
      </w:r>
      <w:r>
        <w:rPr>
          <w:color w:val="003CA0"/>
          <w:sz w:val="12"/>
        </w:rPr>
        <w:t xml:space="preserve"> | rel. Maurício Corrêa</w:t>
      </w:r>
    </w:p>
    <w:p>
      <w:pPr>
        <w:ind w:left="288"/>
      </w:pPr>
      <w:r>
        <w:rPr>
          <w:color w:val="1E1E1E"/>
          <w:sz w:val="18"/>
        </w:rPr>
        <w:t>A CF, no art. 37, XXI, determina a obrigatoriedade de obediência aos procedimentos licitatórios para a administração pública direta e indireta de qualquer um dos poderes da União, dos Estados, do Distrito Federal e dos Municípios. A mesma regra não existe para as entidades privadas que atuam em colaboração com a administração pública (...).</w:t>
      </w:r>
    </w:p>
    <w:p>
      <w:pPr>
        <w:ind w:left="288"/>
      </w:pPr>
      <w:r>
        <w:rPr>
          <w:b/>
          <w:color w:val="003CA0"/>
          <w:sz w:val="16"/>
        </w:rPr>
        <w:t>[ADI 1.864, red. do ac. min. Joaquim Barbosa, rel. min. Maurício Corrêa, j. 8-8-2007, P, DJE de 2-5-2008.]</w:t>
      </w:r>
    </w:p>
    <w:p>
      <w:pPr>
        <w:ind w:left="288"/>
      </w:pPr>
      <w:r>
        <w:rPr>
          <w:color w:val="8C8C8C"/>
          <w:sz w:val="12"/>
        </w:rPr>
        <w:t>cf-art-37-inc-XX</w:t>
      </w:r>
      <w:r>
        <w:rPr>
          <w:color w:val="003CA0"/>
          <w:sz w:val="12"/>
        </w:rPr>
        <w:t xml:space="preserve"> | ADI 2.990</w:t>
      </w:r>
      <w:r>
        <w:rPr>
          <w:color w:val="003CA0"/>
          <w:sz w:val="12"/>
        </w:rPr>
        <w:t xml:space="preserve"> | rel. Joaquim Barbosa</w:t>
      </w:r>
    </w:p>
    <w:p>
      <w:pPr>
        <w:ind w:left="288"/>
      </w:pPr>
      <w:r>
        <w:rPr>
          <w:color w:val="1E1E1E"/>
          <w:sz w:val="18"/>
        </w:rPr>
        <w:t>Venda de áreas públicas passíveis de se tornarem urbanas. (...) Processo de parcelamento reconhecido pela autoridade pública. Vendas individuais. (...) A dispensa de licitação em geral é definida no art. 24 da Lei 8.666/1993; especificadamente – nos casos de alienação, aforamento, concessão de direito real de uso, locação ou permissão de uso de bens imóveis construídos e destinados ou efetivamente utilizados no âmbito de programas habitacionais ou de regularização fundiária de interesse social, por órgãos ou entidades da administração pública – no seu art. 17, I, f. Há, no caso dos autos, invi</w:t>
      </w:r>
    </w:p>
    <w:p>
      <w:pPr>
        <w:ind w:left="288"/>
      </w:pPr>
      <w:r>
        <w:rPr>
          <w:b/>
          <w:color w:val="003CA0"/>
          <w:sz w:val="16"/>
        </w:rPr>
        <w:t>[ADI 2.990, red. do ac. min. Eros Grau, rel. min. Joaquim Barbosa, j. 18-4-2007, P, DJ de 24-8-2007.]</w:t>
      </w:r>
    </w:p>
    <w:p>
      <w:pPr>
        <w:ind w:left="288"/>
      </w:pPr>
      <w:r>
        <w:rPr>
          <w:color w:val="8C8C8C"/>
          <w:sz w:val="12"/>
        </w:rPr>
        <w:t>cf-art-37-inc-XX</w:t>
      </w:r>
      <w:r>
        <w:rPr>
          <w:color w:val="003CA0"/>
          <w:sz w:val="12"/>
        </w:rPr>
        <w:t xml:space="preserve"> | ADI 3.670</w:t>
      </w:r>
      <w:r>
        <w:rPr>
          <w:color w:val="003CA0"/>
          <w:sz w:val="12"/>
        </w:rPr>
        <w:t xml:space="preserve"> | rel. Sepúlveda Pertence</w:t>
      </w:r>
    </w:p>
    <w:p>
      <w:pPr>
        <w:ind w:left="288"/>
      </w:pPr>
      <w:r>
        <w:rPr>
          <w:color w:val="1E1E1E"/>
          <w:sz w:val="18"/>
        </w:rPr>
        <w:t>Ação direta de inconstitucionalidade: Lei distrital 3.705, de 21-11-2005, que cria restrições a empresas que discriminarem na contratação de mão de obra: inconstitucionalidade declarada. (...) Afronta ao art. 37, XXI, da Constituição da República – norma de observância compulsória pelas ordens locais – segundo o qual a disciplina legal das licitações há de assegurar a "igualdade de condições de todos os concorrentes", o que é incompatível com a proibição de licitar em função de um critério – o da discriminação de empregados inscritos em cadastros restritivos de crédito –, que não tem pertinênc</w:t>
      </w:r>
    </w:p>
    <w:p>
      <w:pPr>
        <w:ind w:left="288"/>
      </w:pPr>
      <w:r>
        <w:rPr>
          <w:b/>
          <w:color w:val="003CA0"/>
          <w:sz w:val="16"/>
        </w:rPr>
        <w:t>[ADI 3.670, rel. min. Sepúlveda Pertence, j. 2-4-2007, P, DJ de 18-5-2007.]</w:t>
      </w:r>
    </w:p>
    <w:p>
      <w:pPr>
        <w:ind w:left="288"/>
      </w:pPr>
      <w:r>
        <w:rPr>
          <w:color w:val="8C8C8C"/>
          <w:sz w:val="12"/>
        </w:rPr>
        <w:t>cf-art-37-inc-XX</w:t>
      </w:r>
      <w:r>
        <w:rPr>
          <w:color w:val="003CA0"/>
          <w:sz w:val="12"/>
        </w:rPr>
        <w:t xml:space="preserve"> | ADI 3.521</w:t>
      </w:r>
      <w:r>
        <w:rPr>
          <w:color w:val="003CA0"/>
          <w:sz w:val="12"/>
        </w:rPr>
        <w:t xml:space="preserve"> | rel. Eros Grau</w:t>
      </w:r>
    </w:p>
    <w:p>
      <w:pPr>
        <w:ind w:left="288"/>
      </w:pPr>
      <w:r>
        <w:rPr>
          <w:color w:val="1E1E1E"/>
          <w:sz w:val="18"/>
        </w:rPr>
        <w:t xml:space="preserve">Arts. 42 e 43 da LC 94/2002 do Estado do Paraná. (...) Violação do disposto no art. 37, XXI; e  art. 175, caput e parágrafo único, I e IV, da CF. (...) O art. 43, acrescentado à LC 94 pela LC 95, autoriza a manutenção, até 2008, de "outorgas vencidas, com caráter precário" ou que estiverem em vigor com prazo indeterminado. Permite ainda que essa prestação se dê em condições irregulares, a manutenção do vínculo estabelecido entre as empresas que atualmente a ela prestam serviços públicos e a administração estadual. Aponta como fundamento das prorrogações o § 2º do art. 42 da Lei federal 8.987, </w:t>
      </w:r>
    </w:p>
    <w:p>
      <w:pPr>
        <w:ind w:left="288"/>
      </w:pPr>
      <w:r>
        <w:rPr>
          <w:b/>
          <w:color w:val="003CA0"/>
          <w:sz w:val="16"/>
        </w:rPr>
        <w:t>[ADI 3.521, rel. min. Eros Grau, j. 28-9-2006, P, DJ de 16-3-2007.]</w:t>
      </w:r>
    </w:p>
    <w:p>
      <w:pPr>
        <w:ind w:left="288"/>
      </w:pPr>
      <w:r>
        <w:rPr>
          <w:color w:val="8C8C8C"/>
          <w:sz w:val="12"/>
        </w:rPr>
        <w:t>cf-art-37-inc-XX</w:t>
      </w:r>
      <w:r>
        <w:rPr>
          <w:color w:val="003CA0"/>
          <w:sz w:val="12"/>
        </w:rPr>
        <w:t xml:space="preserve"> | RE 412.921</w:t>
      </w:r>
      <w:r>
        <w:rPr>
          <w:color w:val="003CA0"/>
          <w:sz w:val="12"/>
        </w:rPr>
        <w:t xml:space="preserve"> | rel. Ricardo Lewandowski</w:t>
      </w:r>
    </w:p>
    <w:p>
      <w:pPr>
        <w:ind w:left="288"/>
      </w:pPr>
      <w:r>
        <w:rPr>
          <w:color w:val="1E1E1E"/>
          <w:sz w:val="18"/>
        </w:rPr>
        <w:t>= RE 412.921 AgR, rel. min. Ricardo Lewandowski, j. 22-2-2011, 1ª T, DJE de 15-3-2011 A lei estadual afeta o equilíbrio econômico-financeiro do contrato de concessão de obra pública, celebrado pela administração capixaba, ao conceder descontos e isenções sem qualquer forma de compensação. Afronta evidente ao princípio da harmonia entre os poderes, harmonia e não separação, na medida em que o Poder Legislativo pretende substituir o Executivo na gestão dos contratos administrativos celebrados.</w:t>
      </w:r>
    </w:p>
    <w:p>
      <w:pPr>
        <w:ind w:left="288"/>
      </w:pPr>
      <w:r>
        <w:rPr>
          <w:b/>
          <w:color w:val="003CA0"/>
          <w:sz w:val="16"/>
        </w:rPr>
        <w:t>[ADI 2.733, rel. min. Eros Grau, j. 26-10-2005, P, DJ de 3-2-2006.]</w:t>
      </w:r>
    </w:p>
    <w:p>
      <w:pPr>
        <w:ind w:left="288"/>
      </w:pPr>
      <w:r>
        <w:rPr>
          <w:color w:val="8C8C8C"/>
          <w:sz w:val="12"/>
        </w:rPr>
        <w:t>cf-art-37-inc-XX</w:t>
      </w:r>
      <w:r>
        <w:rPr>
          <w:color w:val="003CA0"/>
          <w:sz w:val="12"/>
        </w:rPr>
        <w:t xml:space="preserve"> | ADI 651</w:t>
      </w:r>
      <w:r>
        <w:rPr>
          <w:color w:val="003CA0"/>
          <w:sz w:val="12"/>
        </w:rPr>
        <w:t xml:space="preserve"> | rel. Ilmar Galvão</w:t>
      </w:r>
    </w:p>
    <w:p>
      <w:pPr>
        <w:ind w:left="288"/>
      </w:pPr>
      <w:r>
        <w:rPr>
          <w:color w:val="1E1E1E"/>
          <w:sz w:val="18"/>
        </w:rPr>
        <w:t>Venda de imóveis públicos sem a realização da necessária licitação. Contrariedade ao inciso XXI do art. 37 da CF. O ato normativo impugnado, ao possibilitar a venda direta de lotes e moradias em áreas públicas no perímetro urbano de Palmas/TO, viola a exigência de realização de prévia licitação para a alienação de bens públicos, na forma do mencionado dispositivo constitucional.</w:t>
      </w:r>
    </w:p>
    <w:p>
      <w:pPr>
        <w:ind w:left="288"/>
      </w:pPr>
      <w:r>
        <w:rPr>
          <w:b/>
          <w:color w:val="003CA0"/>
          <w:sz w:val="16"/>
        </w:rPr>
        <w:t>[ADI 651, rel. min. Ilmar Galvão, j. 8-8-2002, P, DJ de 20-9-2002.]</w:t>
      </w:r>
    </w:p>
    <w:p>
      <w:pPr>
        <w:ind w:left="288"/>
      </w:pPr>
      <w:r>
        <w:rPr>
          <w:color w:val="8C8C8C"/>
          <w:sz w:val="12"/>
        </w:rPr>
        <w:t>cf-art-37-inc-XX</w:t>
      </w:r>
      <w:r>
        <w:rPr>
          <w:color w:val="003CA0"/>
          <w:sz w:val="12"/>
        </w:rPr>
        <w:t xml:space="preserve"> | ADI 2.337</w:t>
      </w:r>
      <w:r>
        <w:rPr>
          <w:color w:val="003CA0"/>
          <w:sz w:val="12"/>
        </w:rPr>
        <w:t xml:space="preserve"> | rel. Celso de Mello</w:t>
      </w:r>
    </w:p>
    <w:p>
      <w:pPr>
        <w:ind w:left="288"/>
      </w:pPr>
      <w:r>
        <w:rPr>
          <w:color w:val="1E1E1E"/>
          <w:sz w:val="18"/>
        </w:rPr>
        <w:t>Os Estados-membros – que não podem interferir na esfera das relações jurídico-contratuais estabelecidas entre o poder concedente (quando este for a União Federal ou o Município) e as empresas concessionárias – também não dispõem de competência para modificar ou alterar as condições, que, previstas na licitação, acham-se formalmente estipuladas no contrato de concessão celebrado pela União (energia elétrica – CF, art. 21, XII, b) e pelo Município (fornecimento de água – CF, art. 30, I e V), de um lado, com as concessionárias, de outro, notadamente se essa ingerência normativa, ao determinar a s</w:t>
      </w:r>
    </w:p>
    <w:p>
      <w:pPr>
        <w:ind w:left="288"/>
      </w:pPr>
      <w:r>
        <w:rPr>
          <w:b/>
          <w:color w:val="003CA0"/>
          <w:sz w:val="16"/>
        </w:rPr>
        <w:t>[ADI 2.337 MC, rel. min. Celso de Mello, j. 20-2-2002, P, DJ de 21-6-2002.]</w:t>
      </w:r>
    </w:p>
    <w:p>
      <w:pPr>
        <w:ind w:left="288"/>
      </w:pPr>
      <w:r>
        <w:rPr>
          <w:color w:val="8C8C8C"/>
          <w:sz w:val="12"/>
        </w:rPr>
        <w:t>cf-art-37-inc-XX</w:t>
      </w:r>
      <w:r>
        <w:rPr>
          <w:color w:val="003CA0"/>
          <w:sz w:val="12"/>
        </w:rPr>
        <w:t xml:space="preserve"> | ADI 1.824</w:t>
      </w:r>
      <w:r>
        <w:rPr>
          <w:color w:val="003CA0"/>
          <w:sz w:val="12"/>
        </w:rPr>
        <w:t xml:space="preserve"> | rel. Néri da Silveira</w:t>
      </w:r>
    </w:p>
    <w:p>
      <w:pPr>
        <w:ind w:left="288"/>
      </w:pPr>
      <w:r>
        <w:rPr>
          <w:color w:val="1E1E1E"/>
          <w:sz w:val="18"/>
        </w:rPr>
        <w:t>A licitação, no processo de privatização, há de fazer-se com observância dos princípios maiores consignados no art. 37, XXI, da Lei Maior.</w:t>
      </w:r>
    </w:p>
    <w:p>
      <w:pPr>
        <w:ind w:left="288"/>
      </w:pPr>
      <w:r>
        <w:rPr>
          <w:b/>
          <w:color w:val="003CA0"/>
          <w:sz w:val="16"/>
        </w:rPr>
        <w:t>[ADI 1.824 MC, rel. min. Néri da Silveira, j. 10-6-1998, P, DJ de 29-11-2002.]</w:t>
      </w:r>
    </w:p>
    <w:p>
      <w:pPr>
        <w:ind w:left="288"/>
      </w:pPr>
      <w:r>
        <w:rPr>
          <w:color w:val="8C8C8C"/>
          <w:sz w:val="12"/>
        </w:rPr>
        <w:t>cf-art-37-inc-XX</w:t>
      </w:r>
      <w:r>
        <w:rPr>
          <w:color w:val="003CA0"/>
          <w:sz w:val="12"/>
        </w:rPr>
        <w:t xml:space="preserve"> | RE 610.523</w:t>
      </w:r>
      <w:r>
        <w:rPr>
          <w:color w:val="003CA0"/>
          <w:sz w:val="12"/>
        </w:rPr>
        <w:t xml:space="preserve"> | rel. Dias Toffoli</w:t>
      </w:r>
    </w:p>
    <w:p>
      <w:pPr>
        <w:ind w:left="288"/>
      </w:pPr>
      <w:r>
        <w:rPr>
          <w:color w:val="1E1E1E"/>
          <w:sz w:val="18"/>
        </w:rPr>
        <w:t>“a) O dolo é necessário para a configuração de qualquer ato de improbidade administrativa (art. 37, § 4º, da Constituição Federal), de modo que é inconstitucional a modalidade culposa de ato de improbidade administrativa prevista nos arts. 5º e 10 da Lei nº 8.429/92, em sua redação originária. b) São constitucionais os arts. 13, V, e 25, II, da Lei nº 8.666/1993, desde que interpretados no sentido de que a contratação direta de serviços advocatícios pela Administração Pública, por inexigibilidade de licitação, além dos critérios já previstos expressamente (necessidade de procedimento administr</w:t>
      </w:r>
    </w:p>
    <w:p>
      <w:pPr>
        <w:ind w:left="288"/>
      </w:pPr>
      <w:r>
        <w:rPr>
          <w:b/>
          <w:color w:val="003CA0"/>
          <w:sz w:val="16"/>
        </w:rPr>
        <w:t>[RE 610.523 e RE 656.558, rel. min. Dias Toffoli, j. 28.10.2025, P, DJE de 26.02.2025.]</w:t>
      </w:r>
    </w:p>
    <w:p>
      <w:pPr>
        <w:ind w:left="144"/>
      </w:pPr>
      <w:r>
        <w:rPr>
          <w:b/>
          <w:color w:val="B45A00"/>
          <w:sz w:val="16"/>
        </w:rPr>
        <w:t>REPERCUSSAO GERAL</w:t>
      </w:r>
    </w:p>
    <w:p>
      <w:pPr>
        <w:ind w:left="288"/>
      </w:pPr>
      <w:r>
        <w:rPr>
          <w:color w:val="8C8C8C"/>
          <w:sz w:val="12"/>
        </w:rPr>
        <w:t>cf-art-37-inc-XX</w:t>
      </w:r>
      <w:r>
        <w:rPr>
          <w:color w:val="003CA0"/>
          <w:sz w:val="12"/>
        </w:rPr>
        <w:t xml:space="preserve"> | RE 910.552</w:t>
      </w:r>
      <w:r>
        <w:rPr>
          <w:color w:val="003CA0"/>
          <w:sz w:val="12"/>
        </w:rPr>
        <w:t xml:space="preserve"> | rel. Cármen Lúcia</w:t>
      </w:r>
    </w:p>
    <w:p>
      <w:pPr>
        <w:ind w:left="288"/>
      </w:pPr>
      <w:r>
        <w:rPr>
          <w:color w:val="1E1E1E"/>
          <w:sz w:val="18"/>
        </w:rPr>
        <w:t>“É constitucional o ato normativo municipal, editado no exercício de competência legislativa suplementar, que proíba a participação em licitação ou a contratação: (a) de agentes eletivos; (b) de ocupantes de cargo em comissão ou função de confiança; (c) de cônjuge, companheiro ou parente em linha reta, colateral ou por afinidade, até o terceiro grau, inclusive, de qualquer destes; e (d) dos demais servidores públicos municipais”.</w:t>
        <w:br/>
        <w:t>[RE 910.552, rel. min. Cármen Lúcia, red. do ac. min. Roberto Barroso, j. 3-7-2023, P, DJE de 9-8-2023, Tema 1.001, com mérito julgado.] O inadimplemento dos encargos</w:t>
      </w:r>
    </w:p>
    <w:p>
      <w:pPr>
        <w:ind w:left="144"/>
      </w:pPr>
      <w:r>
        <w:rPr>
          <w:b/>
          <w:color w:val="B45A00"/>
          <w:sz w:val="16"/>
        </w:rPr>
        <w:t>JULGADOS CORRELATOS</w:t>
      </w:r>
    </w:p>
    <w:p>
      <w:pPr>
        <w:ind w:left="288"/>
      </w:pPr>
      <w:r>
        <w:rPr>
          <w:color w:val="8C8C8C"/>
          <w:sz w:val="12"/>
        </w:rPr>
        <w:t>cf-art-37-inc-XX</w:t>
      </w:r>
      <w:r>
        <w:rPr>
          <w:color w:val="003CA0"/>
          <w:sz w:val="12"/>
        </w:rPr>
        <w:t xml:space="preserve"> | MS 39.448</w:t>
      </w:r>
      <w:r>
        <w:rPr>
          <w:color w:val="003CA0"/>
          <w:sz w:val="12"/>
        </w:rPr>
        <w:t xml:space="preserve"> | rel. Nunes Marques</w:t>
      </w:r>
    </w:p>
    <w:p>
      <w:pPr>
        <w:ind w:left="288"/>
      </w:pPr>
      <w:r>
        <w:rPr>
          <w:color w:val="1E1E1E"/>
          <w:sz w:val="18"/>
        </w:rPr>
        <w:t>O processo de controle externo autuado a partir de representação formalizada com base no art. 113, § 1º, da Lei n. 8.666/1993 é instrumento destinado a averiguar a legalidade e regularidade dos atos praticados na condução de licitações pela Administração Pública, bem como das despesas decorrentes dos contratos celebrados, não se prestando a tutelar direitos subjetivos dos representantes, de seus patronos ou de qualquer outro interessado no procedimento licitatório.</w:t>
        <w:br/>
        <w:t>[MS 39.448 AgR, rel. min. Nunes Marques, j. 26.02.2024, 2ª T, DJE de 08.03.2024.] Responsabilidade subsidiária da Administração. A</w:t>
      </w:r>
    </w:p>
    <w:p>
      <w:pPr>
        <w:ind w:left="288"/>
      </w:pPr>
      <w:r>
        <w:rPr>
          <w:b/>
          <w:color w:val="003CA0"/>
          <w:sz w:val="16"/>
        </w:rPr>
        <w:t>[Rcl 58.799 AgR, rel. min. Edson Fachin, red. do ac. min. André Mendonça, j. 27.11.2023, 2ª T, DJE de 29.02.2024.]</w:t>
      </w:r>
    </w:p>
    <w:p>
      <w:pPr>
        <w:ind w:left="288"/>
      </w:pPr>
      <w:r>
        <w:rPr>
          <w:color w:val="8C8C8C"/>
          <w:sz w:val="12"/>
        </w:rPr>
        <w:t>cf-art-37-inc-XX</w:t>
      </w:r>
      <w:r>
        <w:rPr>
          <w:color w:val="003CA0"/>
          <w:sz w:val="12"/>
        </w:rPr>
        <w:t xml:space="preserve"> | RE 1.410.012</w:t>
      </w:r>
      <w:r>
        <w:rPr>
          <w:color w:val="003CA0"/>
          <w:sz w:val="12"/>
        </w:rPr>
        <w:t xml:space="preserve"> | rel. Edson Fachin</w:t>
      </w:r>
    </w:p>
    <w:p>
      <w:pPr>
        <w:ind w:left="288"/>
      </w:pPr>
      <w:r>
        <w:rPr>
          <w:color w:val="1E1E1E"/>
          <w:sz w:val="18"/>
        </w:rPr>
        <w:t>Lei Estadual nº 6.450, de 2013. (...) A norma estadual cria mecanismo de ressarcimento ao servidor ou autoridade pública por atos que, embora adstritos ao exercício da função pública, geram a propositura de demandas administrativas ou judiciais em desfavor desses agentes. (...) Os objetivos da norma são o de proteger o agente ou autoridade que atuam com probidade, a fim de reduzir o dano anormal a que estão sujeitos pelo acionamento temerário em seu desfavor, considerando a carga aflitiva própria do processo e os dispêndios para contratação de patrono particular. Não se verifica a criação, por</w:t>
      </w:r>
    </w:p>
    <w:p>
      <w:pPr>
        <w:ind w:left="288"/>
      </w:pPr>
      <w:r>
        <w:rPr>
          <w:b/>
          <w:color w:val="003CA0"/>
          <w:sz w:val="16"/>
        </w:rPr>
        <w:t>[ARE 1.235.427 ED-AgR-segundo, rel. min. Cristiano Zanin, j. 9-10-2023, 1ª T, DJE de 13-10-2023.]</w:t>
      </w:r>
    </w:p>
    <w:p>
      <w:pPr>
        <w:ind w:left="288"/>
      </w:pPr>
      <w:r>
        <w:rPr>
          <w:color w:val="8C8C8C"/>
          <w:sz w:val="12"/>
        </w:rPr>
        <w:t>cf-art-37-inc-XX</w:t>
      </w:r>
      <w:r>
        <w:rPr>
          <w:color w:val="003CA0"/>
          <w:sz w:val="12"/>
        </w:rPr>
        <w:t xml:space="preserve"> | rel. Rosa Weber</w:t>
      </w:r>
    </w:p>
    <w:p>
      <w:pPr>
        <w:ind w:left="288"/>
      </w:pPr>
      <w:r>
        <w:rPr>
          <w:color w:val="1E1E1E"/>
          <w:sz w:val="18"/>
        </w:rPr>
        <w:t>É válida a revogação da licitação, mesmo após as fases de adjudicação e homologação, quando existentes razões de interesse público supervenientes, devidamente justificadas, desde que observado o direito ao contraditório e ampla defesa. Não há falar, portanto, em direito adquirido à contratação, mas apenas de expectativa de direito. (...) O modelo de concessão de infraestruturas aeroportuárias em blocos acha-se estruturado sob a lógica do financiamento cruzado. O vencedor torna-se responsável por todos os Aeroportos do bloco, subsidiando a manutenção dos terminais aeroportuários deficitários co</w:t>
      </w:r>
    </w:p>
    <w:p>
      <w:pPr>
        <w:ind w:left="288"/>
      </w:pPr>
      <w:r>
        <w:rPr>
          <w:b/>
          <w:color w:val="003CA0"/>
          <w:sz w:val="16"/>
        </w:rPr>
        <w:t>[STP 776, rel. min. Rosa Weber, j. 2-10-2023, P, DJE de 6-12-2023.]</w:t>
      </w:r>
    </w:p>
    <w:p>
      <w:pPr>
        <w:ind w:left="288"/>
      </w:pPr>
      <w:r>
        <w:rPr>
          <w:color w:val="8C8C8C"/>
          <w:sz w:val="12"/>
        </w:rPr>
        <w:t>cf-art-37-inc-XX</w:t>
      </w:r>
      <w:r>
        <w:rPr>
          <w:color w:val="003CA0"/>
          <w:sz w:val="12"/>
        </w:rPr>
        <w:t xml:space="preserve"> | ACO 1.904</w:t>
      </w:r>
      <w:r>
        <w:rPr>
          <w:color w:val="003CA0"/>
          <w:sz w:val="12"/>
        </w:rPr>
        <w:t xml:space="preserve"> | rel. Marco Aurélio</w:t>
      </w:r>
    </w:p>
    <w:p>
      <w:pPr>
        <w:ind w:left="288"/>
      </w:pPr>
      <w:r>
        <w:rPr>
          <w:color w:val="1E1E1E"/>
          <w:sz w:val="18"/>
        </w:rPr>
        <w:t>Não se aplica a Lei 8.666/1993 às alienações e às contratações de obras, serviços e bens realizadas por Itaipu Binacional.</w:t>
        <w:br/>
        <w:t xml:space="preserve">[ACO 1.904, rel. min. Marco Aurélio, j. 8-9-2020, P, DJE de 24-9-2020.] Responsabilidade subsidiária da administração por dívidas trabalhistas em caso de terceirização. Alegação de violação à ADC 16 e à Súmula Vinculante 10. Superveniência do julgamento do tema nº 246 da repercussão geral. (...) Em 02.05.2017, data em que publicada a ata do julgamento do RE 760.931, ocorreu a substituição do parâmetro sobre a matéria. A partir de então, tornou-se inviável a propositura de </w:t>
      </w:r>
    </w:p>
    <w:p>
      <w:pPr>
        <w:ind w:left="288"/>
      </w:pPr>
      <w:r>
        <w:rPr>
          <w:b/>
          <w:color w:val="003CA0"/>
          <w:sz w:val="16"/>
        </w:rPr>
        <w:t>[Rcl 28.623 AgR, rel. min. Roberto Barroso, j. 12-12-2017, 1ª T, DJE de 7-2-2018.]</w:t>
      </w:r>
    </w:p>
    <w:p>
      <w:pPr>
        <w:ind w:left="288"/>
      </w:pPr>
      <w:r>
        <w:rPr>
          <w:color w:val="8C8C8C"/>
          <w:sz w:val="12"/>
        </w:rPr>
        <w:t>cf-art-37-inc-XX</w:t>
      </w:r>
      <w:r>
        <w:rPr>
          <w:color w:val="003CA0"/>
          <w:sz w:val="12"/>
        </w:rPr>
        <w:t xml:space="preserve"> | RE 668.810</w:t>
      </w:r>
      <w:r>
        <w:rPr>
          <w:color w:val="003CA0"/>
          <w:sz w:val="12"/>
        </w:rPr>
        <w:t xml:space="preserve"> | rel. Dias Toffoli</w:t>
      </w:r>
    </w:p>
    <w:p>
      <w:pPr>
        <w:ind w:left="288"/>
      </w:pPr>
      <w:r>
        <w:rPr>
          <w:color w:val="1E1E1E"/>
          <w:sz w:val="18"/>
        </w:rPr>
        <w:t>Lei do Município de São Paulo 13.959/2005, a qual exige que "os veículos utilizados para atender contratos estabelecidos com a Administração Municipal, Direta e Indireta, devem, obrigatoriamente, ter seus respectivos Certificados de Registro de Veículos expedidos no Município de São Paulo". Exigência que não se coaduna com os arts. 19, III, e 37, XXI, da CF. (...) A exigência constante da Lei 13.959/2005 do Município de São Paulo, além de malferir a legítima expectativa individual de quem queira participar de certame público, ofendendo direito individual, vulnera o interesse público, direito d</w:t>
      </w:r>
    </w:p>
    <w:p>
      <w:pPr>
        <w:ind w:left="288"/>
      </w:pPr>
      <w:r>
        <w:rPr>
          <w:b/>
          <w:color w:val="003CA0"/>
          <w:sz w:val="16"/>
        </w:rPr>
        <w:t>[Rcl 12.580 AgR, rel. min. Celso de Mello, j. 21-2-2013, P, DJE de 13-3-2013.]</w:t>
      </w:r>
    </w:p>
    <w:p>
      <w:pPr>
        <w:ind w:left="288"/>
      </w:pPr>
      <w:r>
        <w:rPr>
          <w:color w:val="8C8C8C"/>
          <w:sz w:val="12"/>
        </w:rPr>
        <w:t>cf-art-37-inc-XX</w:t>
      </w:r>
      <w:r>
        <w:rPr>
          <w:color w:val="003CA0"/>
          <w:sz w:val="12"/>
        </w:rPr>
        <w:t xml:space="preserve"> | ADC 16</w:t>
      </w:r>
      <w:r>
        <w:rPr>
          <w:color w:val="003CA0"/>
          <w:sz w:val="12"/>
        </w:rPr>
        <w:t xml:space="preserve"> | rel. Cezar Peluso</w:t>
      </w:r>
    </w:p>
    <w:p>
      <w:pPr>
        <w:ind w:left="288"/>
      </w:pPr>
      <w:r>
        <w:rPr>
          <w:color w:val="1E1E1E"/>
          <w:sz w:val="18"/>
        </w:rPr>
        <w:t>Vide ADC 16, rel. min. Cezar Peluso, j. 24-11-2010, P, DJE de 9-9-2011 A proibição de contratação com o Município dos parentes, afins ou consanguíneos, do prefeito, do vice-prefeito, dos vereadores e dos ocupantes de cargo em comissão ou função de confiança, bem como dos servidores e empregados públicos municipais, até seis meses após o fim do exercício das respectivas funções, é norma que evidentemente homenageia os princípios da impessoalidade e da moralidade administrativa, prevenindo eventuais lesões ao interesse público e ao patrimônio do Município, sem restringir a competição entre os li</w:t>
      </w:r>
    </w:p>
    <w:p>
      <w:pPr>
        <w:ind w:left="288"/>
      </w:pPr>
      <w:r>
        <w:rPr>
          <w:b/>
          <w:color w:val="003CA0"/>
          <w:sz w:val="16"/>
        </w:rPr>
        <w:t>[RE 423.560, rel. min. Joaquim Barbosa, j. 29-5-2012, 2ª T, DJE de 19-6-2012.]</w:t>
        <w:br/>
        <w:t>= ARE 648.476 AgR, rel. min. Roberto Barroso, j. 23-6-2017, 1ª T, DJE de 30-6-2017</w:t>
      </w:r>
    </w:p>
    <w:p>
      <w:pPr>
        <w:ind w:left="288"/>
      </w:pPr>
      <w:r>
        <w:rPr>
          <w:color w:val="8C8C8C"/>
          <w:sz w:val="12"/>
        </w:rPr>
        <w:t>cf-art-37-inc-XX</w:t>
      </w:r>
      <w:r>
        <w:rPr>
          <w:color w:val="003CA0"/>
          <w:sz w:val="12"/>
        </w:rPr>
        <w:t xml:space="preserve"> | RE 574.636</w:t>
      </w:r>
      <w:r>
        <w:rPr>
          <w:color w:val="003CA0"/>
          <w:sz w:val="12"/>
        </w:rPr>
        <w:t xml:space="preserve"> | rel. Cármen Lúcia</w:t>
      </w:r>
    </w:p>
    <w:p>
      <w:pPr>
        <w:ind w:left="288"/>
      </w:pPr>
      <w:r>
        <w:rPr>
          <w:color w:val="1E1E1E"/>
          <w:sz w:val="18"/>
        </w:rPr>
        <w:t>Realização de evento esportivo por entidade privada com múltiplo patrocínio: descaracterização do patrocínio como contratação administrativa sujeita à licitação. A participação de Município como um dos patrocinadores de evento esportivo de repercussão internacional não caracteriza a presença do ente público como contratante de ajuste administrativo sujeito a prévia licitação. Ausência de dever do patrocinador público de fazer licitação para condicionar o evento esportivo: objeto não estatal; inocorrência de pacto administrativo para prestar serviços ou adquirir bens.</w:t>
      </w:r>
    </w:p>
    <w:p>
      <w:pPr>
        <w:ind w:left="288"/>
      </w:pPr>
      <w:r>
        <w:rPr>
          <w:b/>
          <w:color w:val="003CA0"/>
          <w:sz w:val="16"/>
        </w:rPr>
        <w:t>[RE 574.636, rel. min. Cármen Lúcia, j. 16-8-2011, 1ª T, DJE de 14-10-2011.]</w:t>
      </w:r>
    </w:p>
    <w:p>
      <w:pPr>
        <w:ind w:left="288"/>
      </w:pPr>
      <w:r>
        <w:rPr>
          <w:color w:val="8C8C8C"/>
          <w:sz w:val="12"/>
        </w:rPr>
        <w:t>cf-art-37-inc-XX</w:t>
      </w:r>
      <w:r>
        <w:rPr>
          <w:color w:val="003CA0"/>
          <w:sz w:val="12"/>
        </w:rPr>
        <w:t xml:space="preserve"> | RCL 8.150</w:t>
      </w:r>
    </w:p>
    <w:p>
      <w:pPr>
        <w:ind w:left="288"/>
      </w:pPr>
      <w:r>
        <w:rPr>
          <w:color w:val="1E1E1E"/>
          <w:sz w:val="18"/>
        </w:rPr>
        <w:t>Acórdão que entendeu ser aplicável ao caso o que dispõe o inciso IV da Súmula 331/TST, sem a consequente declaração de inconstitucionalidade do art. 71, § 1º, da Lei 8.666/1993 com a observância da cláusula da reserva de Plenário, nos termos do art. 97 da CF. Não houve no julgamento do incidente de uniformização de jurisprudência (...) a declaração formal da inconstitucionalidade do art. 71, § 1º, da Lei 8.666/1993, mas apenas e tão somente a atribuição de certa interpretação ao mencionado dispositivo legal. (...) As disposições insertas no art. 71, § 1º, da Lei 8.666/1993 e no inciso IV da Sú</w:t>
      </w:r>
    </w:p>
    <w:p>
      <w:pPr>
        <w:ind w:left="288"/>
      </w:pPr>
      <w:r>
        <w:rPr>
          <w:b/>
          <w:color w:val="003CA0"/>
          <w:sz w:val="16"/>
        </w:rPr>
        <w:t>[Rcl 8.150 AgR, red. do ac. min. Ellen Gracie, j. 24-11-2010, P, DJE de 3-3-2011.]</w:t>
      </w:r>
    </w:p>
    <w:p>
      <w:pPr>
        <w:ind w:left="288"/>
      </w:pPr>
      <w:r>
        <w:rPr>
          <w:color w:val="8C8C8C"/>
          <w:sz w:val="12"/>
        </w:rPr>
        <w:t>cf-art-37-inc-XX</w:t>
      </w:r>
      <w:r>
        <w:rPr>
          <w:color w:val="003CA0"/>
          <w:sz w:val="12"/>
        </w:rPr>
        <w:t xml:space="preserve"> | MS 27.008</w:t>
      </w:r>
      <w:r>
        <w:rPr>
          <w:color w:val="003CA0"/>
          <w:sz w:val="12"/>
        </w:rPr>
        <w:t xml:space="preserve"> | rel. Ayres Britto</w:t>
      </w:r>
    </w:p>
    <w:p>
      <w:pPr>
        <w:ind w:left="288"/>
      </w:pPr>
      <w:r>
        <w:rPr>
          <w:color w:val="1E1E1E"/>
          <w:sz w:val="18"/>
        </w:rPr>
        <w:t>A representação ao TCU contra irregularidades em processo licitatório não está limitada pelo prazo do § 2º do art. 41 da Lei 8.666/1993.</w:t>
      </w:r>
    </w:p>
    <w:p>
      <w:pPr>
        <w:ind w:left="288"/>
      </w:pPr>
      <w:r>
        <w:rPr>
          <w:b/>
          <w:color w:val="003CA0"/>
          <w:sz w:val="16"/>
        </w:rPr>
        <w:t>[MS 27.008, rel. min. Ayres Britto, j. 17-2-2010, P, DJE de 12-3-2010.]</w:t>
      </w:r>
    </w:p>
    <w:p>
      <w:pPr>
        <w:ind w:left="288"/>
      </w:pPr>
      <w:r>
        <w:rPr>
          <w:color w:val="8C8C8C"/>
          <w:sz w:val="12"/>
        </w:rPr>
        <w:t>cf-art-37-inc-XX</w:t>
      </w:r>
      <w:r>
        <w:rPr>
          <w:color w:val="003CA0"/>
          <w:sz w:val="12"/>
        </w:rPr>
        <w:t xml:space="preserve"> | MS 27.516</w:t>
      </w:r>
      <w:r>
        <w:rPr>
          <w:color w:val="003CA0"/>
          <w:sz w:val="12"/>
        </w:rPr>
        <w:t xml:space="preserve"> | rel. Ellen Gracie</w:t>
      </w:r>
    </w:p>
    <w:p>
      <w:pPr>
        <w:ind w:left="288"/>
      </w:pPr>
      <w:r>
        <w:rPr>
          <w:color w:val="1E1E1E"/>
          <w:sz w:val="18"/>
        </w:rPr>
        <w:t>A titularidade dos serviços de transporte rodoviário interestadual e internacional de passageiros, nos termos do art. 21, XII, e, da CF, é da União. É possível a desestatização de serviços públicos já explorados por particulares, de responsabilidade da União, conforme disposto no art. 2º, § 1º, b, parte final, da Lei 9.491/1997. Inexistência de concessão ou de permissão para a utilização de algumas linhas, além da iminente expiração do prazo de concessão ou permissão de outras linhas. Existência de decisões judiciais proferidas em ações civis públicas propostas pelo MPF que determinam a imedia</w:t>
      </w:r>
    </w:p>
    <w:p>
      <w:pPr>
        <w:ind w:left="288"/>
      </w:pPr>
      <w:r>
        <w:rPr>
          <w:b/>
          <w:color w:val="003CA0"/>
          <w:sz w:val="16"/>
        </w:rPr>
        <w:t>[MS 27.516, rel. min. Ellen Gracie, j. 22-10-2008, P, DJE de 5-12-2008.]</w:t>
      </w:r>
    </w:p>
    <w:p>
      <w:pPr>
        <w:ind w:left="288"/>
      </w:pPr>
      <w:r>
        <w:rPr>
          <w:color w:val="8C8C8C"/>
          <w:sz w:val="12"/>
        </w:rPr>
        <w:t>cf-art-37-inc-XX</w:t>
      </w:r>
      <w:r>
        <w:rPr>
          <w:color w:val="003CA0"/>
          <w:sz w:val="12"/>
        </w:rPr>
        <w:t xml:space="preserve"> | RE 210.721</w:t>
      </w:r>
      <w:r>
        <w:rPr>
          <w:color w:val="003CA0"/>
          <w:sz w:val="12"/>
        </w:rPr>
        <w:t xml:space="preserve"> | rel. Menezes Direito</w:t>
      </w:r>
    </w:p>
    <w:p>
      <w:pPr>
        <w:ind w:left="288"/>
      </w:pPr>
      <w:r>
        <w:rPr>
          <w:color w:val="1E1E1E"/>
          <w:sz w:val="18"/>
        </w:rPr>
        <w:t>Não tem pertinência com a garantia do cumprimento do contrato objeto da licitação no âmbito estadual a exigência de declaração expedida por repartição federal relativa à segurança e à saúde do trabalhador. A exigência assim feita viola o art. 37, XXI, da CF.</w:t>
      </w:r>
    </w:p>
    <w:p>
      <w:pPr>
        <w:ind w:left="288"/>
      </w:pPr>
      <w:r>
        <w:rPr>
          <w:b/>
          <w:color w:val="003CA0"/>
          <w:sz w:val="16"/>
        </w:rPr>
        <w:t>[RE 210.721, rel. min. Menezes Direito, j. 20-5-2008, 1ª T, DJE de 8-8-2008.]</w:t>
      </w:r>
    </w:p>
    <w:p>
      <w:pPr>
        <w:ind w:left="288"/>
      </w:pPr>
      <w:r>
        <w:rPr>
          <w:color w:val="8C8C8C"/>
          <w:sz w:val="12"/>
        </w:rPr>
        <w:t>cf-art-37-inc-XX</w:t>
      </w:r>
      <w:r>
        <w:rPr>
          <w:color w:val="003CA0"/>
          <w:sz w:val="12"/>
        </w:rPr>
        <w:t xml:space="preserve"> | RMS 24.188</w:t>
      </w:r>
      <w:r>
        <w:rPr>
          <w:color w:val="003CA0"/>
          <w:sz w:val="12"/>
        </w:rPr>
        <w:t xml:space="preserve"> | rel. Cezar Peluso</w:t>
      </w:r>
    </w:p>
    <w:p>
      <w:pPr>
        <w:ind w:left="288"/>
      </w:pPr>
      <w:r>
        <w:rPr>
          <w:color w:val="1E1E1E"/>
          <w:sz w:val="18"/>
        </w:rPr>
        <w:t>É lícito à administração pública, com base em fatos supervenientes configuradores do interesse público, revogar motivadamente, mas sem audiência dos concorrentes habilitados, procedimento de licitação antes do início da fase de qualificação das propostas.</w:t>
      </w:r>
    </w:p>
    <w:p>
      <w:pPr>
        <w:ind w:left="288"/>
      </w:pPr>
      <w:r>
        <w:rPr>
          <w:b/>
          <w:color w:val="003CA0"/>
          <w:sz w:val="16"/>
        </w:rPr>
        <w:t>[RMS 24.188, rel. min. Cezar Peluso, j. 14-8-2007, 2ª T, DJ de 14-9-2007.]</w:t>
      </w:r>
    </w:p>
    <w:p>
      <w:pPr>
        <w:ind w:left="288"/>
      </w:pPr>
      <w:r>
        <w:rPr>
          <w:color w:val="8C8C8C"/>
          <w:sz w:val="12"/>
        </w:rPr>
        <w:t>cf-art-37-inc-XX</w:t>
      </w:r>
      <w:r>
        <w:rPr>
          <w:color w:val="003CA0"/>
          <w:sz w:val="12"/>
        </w:rPr>
        <w:t xml:space="preserve"> | MS 24.584</w:t>
      </w:r>
      <w:r>
        <w:rPr>
          <w:color w:val="003CA0"/>
          <w:sz w:val="12"/>
        </w:rPr>
        <w:t xml:space="preserve"> | rel. Marco Aurélio</w:t>
      </w:r>
    </w:p>
    <w:p>
      <w:pPr>
        <w:ind w:left="288"/>
      </w:pPr>
      <w:r>
        <w:rPr>
          <w:color w:val="1E1E1E"/>
          <w:sz w:val="18"/>
        </w:rPr>
        <w:t>Advogado público. Responsabilidade. (...) Prevendo o art. 38 da Lei 8.666/1993 que a manifestação da assessoria jurídica quanto a editais de licitação, contratos, acordos, convênios e ajustes não se limita a simples opinião, alcançando a aprovação, ou não, descabe a recusa à convocação do TCU para serem prestados esclarecimentos.</w:t>
      </w:r>
    </w:p>
    <w:p>
      <w:pPr>
        <w:ind w:left="288"/>
      </w:pPr>
      <w:r>
        <w:rPr>
          <w:b/>
          <w:color w:val="003CA0"/>
          <w:sz w:val="16"/>
        </w:rPr>
        <w:t>[MS 24.584, rel. min. Marco Aurélio, j. 9-8-2007, P, DJE de 20-6-2008.]</w:t>
      </w:r>
    </w:p>
    <w:p>
      <w:pPr>
        <w:ind w:left="288"/>
      </w:pPr>
      <w:r>
        <w:rPr>
          <w:color w:val="8C8C8C"/>
          <w:sz w:val="12"/>
        </w:rPr>
        <w:t>cf-art-37-inc-XX</w:t>
      </w:r>
      <w:r>
        <w:rPr>
          <w:color w:val="003CA0"/>
          <w:sz w:val="12"/>
        </w:rPr>
        <w:t xml:space="preserve"> | AP 348</w:t>
      </w:r>
      <w:r>
        <w:rPr>
          <w:color w:val="003CA0"/>
          <w:sz w:val="12"/>
        </w:rPr>
        <w:t xml:space="preserve"> | rel. Eros Grau</w:t>
      </w:r>
    </w:p>
    <w:p>
      <w:pPr>
        <w:ind w:left="288"/>
      </w:pPr>
      <w:r>
        <w:rPr>
          <w:color w:val="1E1E1E"/>
          <w:sz w:val="18"/>
        </w:rPr>
        <w:t>Contratação emergencial de advogados face ao caos administrativo herdado da administração municipal sucedida. (...) A hipótese dos autos não é de dispensa de licitação, eis que não caracterizado o requisito da emergência. Caracterização de situação na qual há inviabilidade de competição e, logo, inexigibilidade de licitação. "Serviços técnicos profissionais especializados" são serviços que a administração deve contratar sem licitação, escolhendo o contratado de acordo, em última instância, com o grau de confiança que ela própria, administração, deposite na especialização desse contratado. Ness</w:t>
      </w:r>
    </w:p>
    <w:p>
      <w:pPr>
        <w:ind w:left="288"/>
      </w:pPr>
      <w:r>
        <w:rPr>
          <w:b/>
          <w:color w:val="003CA0"/>
          <w:sz w:val="16"/>
        </w:rPr>
        <w:t>[AP 348, rel. min. Eros Grau, j. 15-12-2006, P, DJ de 3-8-2007.]</w:t>
      </w:r>
    </w:p>
    <w:p>
      <w:pPr>
        <w:ind w:left="288"/>
      </w:pPr>
      <w:r>
        <w:rPr>
          <w:color w:val="8C8C8C"/>
          <w:sz w:val="12"/>
        </w:rPr>
        <w:t>cf-art-37-inc-XX</w:t>
      </w:r>
      <w:r>
        <w:rPr>
          <w:color w:val="003CA0"/>
          <w:sz w:val="12"/>
        </w:rPr>
        <w:t xml:space="preserve"> | RMS 24.555</w:t>
      </w:r>
      <w:r>
        <w:rPr>
          <w:color w:val="003CA0"/>
          <w:sz w:val="12"/>
        </w:rPr>
        <w:t xml:space="preserve"> | rel. Eros Grau</w:t>
      </w:r>
    </w:p>
    <w:p>
      <w:pPr>
        <w:ind w:left="288"/>
      </w:pPr>
      <w:r>
        <w:rPr>
          <w:color w:val="1E1E1E"/>
          <w:sz w:val="18"/>
        </w:rPr>
        <w:t>A administração, bem como os licitantes, estão vinculados aos termos do edital (art. 37, XXI, da Constituição do Brasil/1988 e arts. 3º, 41 e 43, V, da Lei 8.666/1993), sendo-lhes vedado ampliar o sentido de suas cláusulas, de modo a exigir mais do que nelas previsto.</w:t>
      </w:r>
    </w:p>
    <w:p>
      <w:pPr>
        <w:ind w:left="288"/>
      </w:pPr>
      <w:r>
        <w:rPr>
          <w:b/>
          <w:color w:val="003CA0"/>
          <w:sz w:val="16"/>
        </w:rPr>
        <w:t>[RMS 24.555 AgR, rel. min. Eros Grau, j. 21-2-2006, 1ª T, DJ de 31-3-2006.]</w:t>
      </w:r>
    </w:p>
    <w:p>
      <w:pPr>
        <w:ind w:left="288"/>
      </w:pPr>
      <w:r>
        <w:rPr>
          <w:color w:val="8C8C8C"/>
          <w:sz w:val="12"/>
        </w:rPr>
        <w:t>cf-art-37-inc-XX</w:t>
      </w:r>
      <w:r>
        <w:rPr>
          <w:color w:val="003CA0"/>
          <w:sz w:val="12"/>
        </w:rPr>
        <w:t xml:space="preserve"> | RE 264.621</w:t>
      </w:r>
      <w:r>
        <w:rPr>
          <w:color w:val="003CA0"/>
          <w:sz w:val="12"/>
        </w:rPr>
        <w:t xml:space="preserve"> | rel. Joaquim Barbosa</w:t>
      </w:r>
    </w:p>
    <w:p>
      <w:pPr>
        <w:ind w:left="288"/>
      </w:pPr>
      <w:r>
        <w:rPr>
          <w:color w:val="1E1E1E"/>
          <w:sz w:val="18"/>
        </w:rPr>
        <w:t>Os princípios constitucionais que regem a administração pública exigem que a concessão de serviços públicos seja precedida de licitação pública. Contraria os arts. 37 e 175 da CF decisão judicial que, fundada em conceito genérico de interesse público, sequer fundamentada em fatos e a pretexto de suprir omissão do órgão administrativo competente, reconhece ao particular o direito de exploração de serviço público sem a observância do procedimento de licitação.</w:t>
      </w:r>
    </w:p>
    <w:p>
      <w:pPr>
        <w:ind w:left="288"/>
      </w:pPr>
      <w:r>
        <w:rPr>
          <w:b/>
          <w:color w:val="003CA0"/>
          <w:sz w:val="16"/>
        </w:rPr>
        <w:t>[RE 264.621, rel. min. Joaquim Barbosa, j. 1º-2-2005, 2ª T, DJ de 8-4-2005.]</w:t>
      </w:r>
    </w:p>
    <w:p>
      <w:pPr>
        <w:ind w:left="288"/>
      </w:pPr>
      <w:r>
        <w:rPr>
          <w:color w:val="8C8C8C"/>
          <w:sz w:val="12"/>
        </w:rPr>
        <w:t>cf-art-37-inc-XX</w:t>
      </w:r>
      <w:r>
        <w:rPr>
          <w:color w:val="003CA0"/>
          <w:sz w:val="12"/>
        </w:rPr>
        <w:t xml:space="preserve"> | AI 792.149</w:t>
      </w:r>
      <w:r>
        <w:rPr>
          <w:color w:val="003CA0"/>
          <w:sz w:val="12"/>
        </w:rPr>
        <w:t xml:space="preserve"> | rel. Ricardo Lewandowski</w:t>
      </w:r>
    </w:p>
    <w:p>
      <w:pPr>
        <w:ind w:left="288"/>
      </w:pPr>
      <w:r>
        <w:rPr>
          <w:color w:val="1E1E1E"/>
          <w:sz w:val="18"/>
        </w:rPr>
        <w:t>= AI 792.149 AgR, rel. min. Ricardo Lewandowski, j. 19-10-2010, 1ª T, DJE de 16-11-2010 Ato do TCU que determinou à administração pública a realização de nova licitação. Prorrogação do vigente contrato por prazo suficiente para que fosse realizada nova licitação. A escolha do período a ser prorrogado, realizada de acordo com o disposto no contrato celebrado, insere-se no âmbito de discricionariedade da administração.</w:t>
      </w:r>
    </w:p>
    <w:p>
      <w:pPr>
        <w:ind w:left="288"/>
      </w:pPr>
      <w:r>
        <w:rPr>
          <w:b/>
          <w:color w:val="003CA0"/>
          <w:sz w:val="16"/>
        </w:rPr>
        <w:t>[MS 24.785, red. do ac. min. Joaquim Barbosa, rel. min. Marco Aurélio, j. 8-9-2004, P, DJ de 3-2-2006.]</w:t>
      </w:r>
    </w:p>
    <w:p>
      <w:pPr>
        <w:ind w:left="288"/>
      </w:pPr>
      <w:r>
        <w:rPr>
          <w:color w:val="8C8C8C"/>
          <w:sz w:val="12"/>
        </w:rPr>
        <w:t>cf-art-37-inc-XX</w:t>
      </w:r>
      <w:r>
        <w:rPr>
          <w:color w:val="003CA0"/>
          <w:sz w:val="12"/>
        </w:rPr>
        <w:t xml:space="preserve"> | MS 26.250</w:t>
      </w:r>
      <w:r>
        <w:rPr>
          <w:color w:val="003CA0"/>
          <w:sz w:val="12"/>
        </w:rPr>
        <w:t xml:space="preserve"> | rel. Ayres Britto</w:t>
      </w:r>
    </w:p>
    <w:p>
      <w:pPr>
        <w:ind w:left="288"/>
      </w:pPr>
      <w:r>
        <w:rPr>
          <w:color w:val="1E1E1E"/>
          <w:sz w:val="18"/>
        </w:rPr>
        <w:t xml:space="preserve">= MS 26.250, rel. min. Ayres Britto, j. 17-2-2010, P, DJE de 12-3-2010 Não podem a lei, o decreto, os atos regimentais ou instruções normativas, e muito menos acordo firmado entre partes, superpor-se a preceito constitucional, instituindo privilégios para uns em detrimento de outros, posto que, além de odiosos e iníquos, atentam contra os princípios éticos e morais que precipuamente devem reger os atos relacionados com a administração pública. O art. 37, XXI, da CF, de conteúdo conceptual extensível primacialmente aos procedimentos licitatórios, insculpiu o princípio da isonomia assecuratória </w:t>
      </w:r>
    </w:p>
    <w:p>
      <w:pPr>
        <w:ind w:left="288"/>
      </w:pPr>
      <w:r>
        <w:rPr>
          <w:b/>
          <w:color w:val="003CA0"/>
          <w:sz w:val="16"/>
        </w:rPr>
        <w:t>[MS 22.509, rel. min. Marco Aurélio, red. do ac. min. Maurício Corrêa, j. 26-9-1996, P, DJ de 4-12-1996.]</w:t>
      </w:r>
    </w:p>
    <w:p>
      <w:pPr>
        <w:ind w:left="288"/>
      </w:pPr>
      <w:r>
        <w:rPr>
          <w:color w:val="8C8C8C"/>
          <w:sz w:val="12"/>
        </w:rPr>
        <w:t>cf-art-37-inc-XX</w:t>
      </w:r>
    </w:p>
    <w:p>
      <w:pPr>
        <w:ind w:left="288"/>
      </w:pPr>
      <w:r>
        <w:rPr>
          <w:color w:val="1E1E1E"/>
          <w:sz w:val="18"/>
        </w:rPr>
        <w:t>XXII - as administrações tributárias da União, dos Estados, do Distrito Federal e dos Municípios, atividades essenciais ao funcionamento do Estado, exercidas por servidores de carreiras específicas, terão recursos prioritários para a realização de suas atividades e atuarão de forma integrada, inclusive com o compartilhamento de cadastros e de informações fiscais, na forma da lei ou convênio. (Incluído pela EC 42/2003)</w:t>
      </w:r>
    </w:p>
    <w:p>
      <w:pPr>
        <w:ind w:left="144"/>
      </w:pPr>
      <w:r>
        <w:rPr>
          <w:b/>
          <w:color w:val="B45A00"/>
          <w:sz w:val="16"/>
        </w:rPr>
        <w:t>CONTROLE CONCENTRADO</w:t>
      </w:r>
    </w:p>
    <w:p>
      <w:pPr>
        <w:ind w:left="288"/>
      </w:pPr>
      <w:r>
        <w:rPr>
          <w:color w:val="8C8C8C"/>
          <w:sz w:val="12"/>
        </w:rPr>
        <w:t>cf-art-37-inc-XX</w:t>
      </w:r>
      <w:r>
        <w:rPr>
          <w:color w:val="003CA0"/>
          <w:sz w:val="12"/>
        </w:rPr>
        <w:t xml:space="preserve"> | ADI 5.729</w:t>
      </w:r>
      <w:r>
        <w:rPr>
          <w:color w:val="003CA0"/>
          <w:sz w:val="12"/>
        </w:rPr>
        <w:t xml:space="preserve"> | rel. Roberto Barroso</w:t>
      </w:r>
    </w:p>
    <w:p>
      <w:pPr>
        <w:ind w:left="288"/>
      </w:pPr>
      <w:r>
        <w:rPr>
          <w:color w:val="1E1E1E"/>
          <w:sz w:val="18"/>
        </w:rPr>
        <w:t xml:space="preserve">(...) Regime Especial de Regularização Cambial e Tributária (RERCT). O RERCT foi criado com finalidade essencialmente arrecadatória, permitindo a regularização de bens ou recursos enviados ao exterior, lá mantidos ou repatriados, sem o cumprimento das formalidades legais. A Lei 13.254/2016 estabelece benefícios e garantias a quem adere ao programa em contrapartida ao cumprimento dos seus deveres. Dentre as garantias, foi prevista a preservação do sigilo das informações prestadas (art. 7º, §§ 1º e 2º, objeto desta ADI). Não há inconstitucionalidade nos dispositivos impugnados. Isso porque: (i) </w:t>
      </w:r>
    </w:p>
    <w:p>
      <w:pPr>
        <w:ind w:left="288"/>
      </w:pPr>
      <w:r>
        <w:rPr>
          <w:b/>
          <w:color w:val="003CA0"/>
          <w:sz w:val="16"/>
        </w:rPr>
        <w:t>[ADI 5.729, rel. min. Roberto Barroso, j. 8-3-2021, P, DJE de 17-3-2021.]</w:t>
      </w:r>
    </w:p>
    <w:p>
      <w:pPr>
        <w:ind w:left="288"/>
      </w:pPr>
      <w:r>
        <w:rPr>
          <w:color w:val="8C8C8C"/>
          <w:sz w:val="12"/>
        </w:rPr>
        <w:t>cf-art-37-inc-XX</w:t>
      </w:r>
      <w:r>
        <w:rPr>
          <w:color w:val="003CA0"/>
          <w:sz w:val="12"/>
        </w:rPr>
        <w:t xml:space="preserve"> | ADI 4.883</w:t>
      </w:r>
      <w:r>
        <w:rPr>
          <w:color w:val="003CA0"/>
          <w:sz w:val="12"/>
        </w:rPr>
        <w:t xml:space="preserve"> | rel. Edson Fachin</w:t>
      </w:r>
    </w:p>
    <w:p>
      <w:pPr>
        <w:ind w:left="288"/>
      </w:pPr>
      <w:r>
        <w:rPr>
          <w:color w:val="1E1E1E"/>
          <w:sz w:val="18"/>
        </w:rPr>
        <w:t>O legislador constitucional deixou a cargo da legislação infraconstitucional a definição das carreiras componentes da ‘administração tributária’ a que se refere o inciso XXII, do art. 37, da Constituição.</w:t>
      </w:r>
    </w:p>
    <w:p>
      <w:pPr>
        <w:ind w:left="288"/>
      </w:pPr>
      <w:r>
        <w:rPr>
          <w:b/>
          <w:color w:val="003CA0"/>
          <w:sz w:val="16"/>
        </w:rPr>
        <w:t>[ADI 4.883, rel. min. Edson Fachin, j. 15-4-2020, P, DJE de 28-5-2020.]</w:t>
      </w:r>
    </w:p>
    <w:p>
      <w:pPr>
        <w:ind w:left="288"/>
      </w:pPr>
      <w:r>
        <w:rPr>
          <w:color w:val="8C8C8C"/>
          <w:sz w:val="12"/>
        </w:rPr>
        <w:t>cf-art-37-inc-XX</w:t>
      </w:r>
      <w:r>
        <w:rPr>
          <w:color w:val="003CA0"/>
          <w:sz w:val="12"/>
        </w:rPr>
        <w:t xml:space="preserve"> | RCL 77.863</w:t>
      </w:r>
      <w:r>
        <w:rPr>
          <w:color w:val="003CA0"/>
          <w:sz w:val="12"/>
        </w:rPr>
        <w:t xml:space="preserve"> | rel. André Mendonça</w:t>
      </w:r>
    </w:p>
    <w:p>
      <w:pPr>
        <w:ind w:left="288"/>
      </w:pPr>
      <w:r>
        <w:rPr>
          <w:color w:val="1E1E1E"/>
          <w:sz w:val="18"/>
        </w:rPr>
        <w:t>A exigência de que a fiscalização tributária – atividade que o art. 37, inc. XXII, da Constituição Federal, qualifica como essencial ao funcionamento do Estado e a ser exercida por servidores de carreiras específicas – seja desempenhada por servidores estatutários, detentores de um vínculo estável com a Administração, insere-se no âmbito da discricionariedade administrativa da União. Não se trata de uma interferência na autonomia municipal, mas sim de um critério para a celebração de um acordo de cooperação.</w:t>
      </w:r>
    </w:p>
    <w:p>
      <w:pPr>
        <w:ind w:left="288"/>
      </w:pPr>
      <w:r>
        <w:rPr>
          <w:b/>
          <w:color w:val="003CA0"/>
          <w:sz w:val="16"/>
        </w:rPr>
        <w:t>[Rcl 77.863 AgR, rel. min. André Mendonça, j. 20-10-2025, 2ª T, DJE de 3-11-2025.]</w:t>
      </w:r>
    </w:p>
    <w:p>
      <w:pPr>
        <w:ind w:left="288"/>
      </w:pPr>
      <w:r>
        <w:rPr>
          <w:color w:val="8C8C8C"/>
          <w:sz w:val="12"/>
        </w:rPr>
        <w:t>cf-art-37-par-1</w:t>
      </w:r>
      <w:r>
        <w:rPr>
          <w:color w:val="003CA0"/>
          <w:sz w:val="12"/>
        </w:rPr>
        <w:t xml:space="preserve"> | ADI 307</w:t>
      </w:r>
      <w:r>
        <w:rPr>
          <w:color w:val="003CA0"/>
          <w:sz w:val="12"/>
        </w:rPr>
        <w:t xml:space="preserve"> | rel. Eros Grau</w:t>
      </w:r>
    </w:p>
    <w:p>
      <w:pPr>
        <w:ind w:left="288"/>
      </w:pPr>
      <w:r>
        <w:rPr>
          <w:color w:val="1E1E1E"/>
          <w:sz w:val="18"/>
        </w:rPr>
        <w:t>O inciso V do art. 20 da Constituição do Estado veda ao Estado e aos Municípios atribuir nome de pessoa viva a avenida, praça, rua, logradouro, ponte, reservatório de água, viaduto, praça de esporte, biblioteca, hospital, maternidade, edifício público, auditórios, cidades e salas de aula. Não me parece inconstitucional. O preceito visa a impedir o culto e a promoção pessoal de pessoas vivas, tenham ou não passagem pela administração. Cabe ressaltar que proibição similar é estipulada, no âmbito federal, pela Lei 6.454/1977.</w:t>
      </w:r>
    </w:p>
    <w:p>
      <w:pPr>
        <w:ind w:left="288"/>
      </w:pPr>
      <w:r>
        <w:rPr>
          <w:b/>
          <w:color w:val="003CA0"/>
          <w:sz w:val="16"/>
        </w:rPr>
        <w:t>[ADI 307, voto do rel. min. Eros Grau, j. 13-2-2008, P, DJE de 1º-7-2009.]</w:t>
      </w:r>
    </w:p>
    <w:p>
      <w:pPr>
        <w:ind w:left="144"/>
      </w:pPr>
      <w:r>
        <w:rPr>
          <w:b/>
          <w:color w:val="B45A00"/>
          <w:sz w:val="16"/>
        </w:rPr>
        <w:t>JULGADOS CORRELATOS</w:t>
      </w:r>
    </w:p>
    <w:p>
      <w:pPr>
        <w:ind w:left="288"/>
      </w:pPr>
      <w:r>
        <w:rPr>
          <w:color w:val="8C8C8C"/>
          <w:sz w:val="12"/>
        </w:rPr>
        <w:t>cf-art-37-par-1</w:t>
      </w:r>
      <w:r>
        <w:rPr>
          <w:color w:val="003CA0"/>
          <w:sz w:val="12"/>
        </w:rPr>
        <w:t xml:space="preserve"> | RE 191.668</w:t>
      </w:r>
      <w:r>
        <w:rPr>
          <w:color w:val="003CA0"/>
          <w:sz w:val="12"/>
        </w:rPr>
        <w:t xml:space="preserve"> | rel. Menezes Direito</w:t>
      </w:r>
    </w:p>
    <w:p>
      <w:pPr>
        <w:ind w:left="288"/>
      </w:pPr>
      <w:r>
        <w:rPr>
          <w:color w:val="1E1E1E"/>
          <w:sz w:val="18"/>
        </w:rPr>
        <w:t>O caput e o § 1º do art. 37 da CF impedem que haja qualquer tipo de identificação entre a publicidade e os titulares dos cargos alcançando os partidos políticos a que pertençam. O rigor do dispositivo constitucional que assegura o princípio da impessoalidade vincula a publicidade ao caráter educativo, informativo ou de orientação social é incompatível com a menção de nomes, símbolos ou imagens, aí incluídos slogans, que caracterizem promoção pessoal ou de servidores públicos. A possibilidade de vinculação do conteúdo da divulgação com o partido político a que pertença o titular do cargo públic</w:t>
      </w:r>
    </w:p>
    <w:p>
      <w:pPr>
        <w:ind w:left="288"/>
      </w:pPr>
      <w:r>
        <w:rPr>
          <w:b/>
          <w:color w:val="003CA0"/>
          <w:sz w:val="16"/>
        </w:rPr>
        <w:t>[RE 191.668, rel. min. Menezes Direito, j. 15-4-2008, 1ª T, DJE de 30-5-2008.]</w:t>
      </w:r>
    </w:p>
    <w:p>
      <w:pPr>
        <w:ind w:left="288"/>
      </w:pPr>
      <w:r>
        <w:rPr>
          <w:color w:val="8C8C8C"/>
          <w:sz w:val="12"/>
        </w:rPr>
        <w:t>cf-art-37-par-1</w:t>
      </w:r>
      <w:r>
        <w:rPr>
          <w:color w:val="003CA0"/>
          <w:sz w:val="12"/>
        </w:rPr>
        <w:t xml:space="preserve"> | RE 217.025</w:t>
      </w:r>
      <w:r>
        <w:rPr>
          <w:color w:val="003CA0"/>
          <w:sz w:val="12"/>
        </w:rPr>
        <w:t xml:space="preserve"> | rel. Maurício Corrêa</w:t>
      </w:r>
    </w:p>
    <w:p>
      <w:pPr>
        <w:ind w:left="288"/>
      </w:pPr>
      <w:r>
        <w:rPr>
          <w:color w:val="1E1E1E"/>
          <w:sz w:val="18"/>
        </w:rPr>
        <w:t>Publicidade de caráter autopromocional do governador e de seus correligionários, contendo nomes, símbolos e imagens, realizada às custas do erário. Não observância do disposto na segunda parte do preceito constitucional contido no art. 37, § 1º.</w:t>
      </w:r>
    </w:p>
    <w:p>
      <w:pPr>
        <w:ind w:left="288"/>
      </w:pPr>
      <w:r>
        <w:rPr>
          <w:b/>
          <w:color w:val="003CA0"/>
          <w:sz w:val="16"/>
        </w:rPr>
        <w:t>[RE 217.025 AgR, rel. min. Maurício Corrêa, j. 27-4-1998, 2ª T, DJ de 5-6-1998.]</w:t>
      </w:r>
    </w:p>
    <w:p>
      <w:pPr>
        <w:ind w:left="144"/>
      </w:pPr>
      <w:r>
        <w:rPr>
          <w:b/>
          <w:color w:val="B45A00"/>
          <w:sz w:val="16"/>
        </w:rPr>
        <w:t>REPERCUSSAO GERAL</w:t>
      </w:r>
    </w:p>
    <w:p>
      <w:pPr>
        <w:ind w:left="288"/>
      </w:pPr>
      <w:r>
        <w:rPr>
          <w:color w:val="8C8C8C"/>
          <w:sz w:val="12"/>
        </w:rPr>
        <w:t>cf-art-37-par-2</w:t>
      </w:r>
      <w:r>
        <w:rPr>
          <w:color w:val="003CA0"/>
          <w:sz w:val="12"/>
        </w:rPr>
        <w:t xml:space="preserve"> | RE 596.478</w:t>
      </w:r>
      <w:r>
        <w:rPr>
          <w:color w:val="003CA0"/>
          <w:sz w:val="12"/>
        </w:rPr>
        <w:t xml:space="preserve"> | rel. Teori Zavascki</w:t>
      </w:r>
    </w:p>
    <w:p>
      <w:pPr>
        <w:ind w:left="288"/>
      </w:pPr>
      <w:r>
        <w:rPr>
          <w:color w:val="1E1E1E"/>
          <w:sz w:val="18"/>
        </w:rPr>
        <w:t>Contratação de pessoal pela administração pública sem concurso. Nulidade. Efeitos jurídicos admissíveis em relação a empregados: pagamento de saldo salarial e levantamento de FGTS (RE 596.478 – repercussão geral). Inexigibilidade de outras verbas, mesmo a título indenizatório.</w:t>
        <w:br/>
        <w:t>[RE 705.140, rel. min. Teori Zavascki, j. 28-8-2014, P, DJE de 5-11-2014, Tema 308, com mérito julgado.] Mesmo quando reconhecida a nulidade da contratação do empregado público, nos termos do art. 37, § 2º, da CF, subsiste o direito do trabalhador ao depósito do FGTS quando reconhecido ser devido o salário pelos serviços</w:t>
      </w:r>
    </w:p>
    <w:p>
      <w:pPr>
        <w:ind w:left="144"/>
      </w:pPr>
      <w:r>
        <w:rPr>
          <w:b/>
          <w:color w:val="B45A00"/>
          <w:sz w:val="16"/>
        </w:rPr>
        <w:t>CONTROLE CONCENTRADO</w:t>
      </w:r>
    </w:p>
    <w:p>
      <w:pPr>
        <w:ind w:left="288"/>
      </w:pPr>
      <w:r>
        <w:rPr>
          <w:color w:val="8C8C8C"/>
          <w:sz w:val="12"/>
        </w:rPr>
        <w:t>cf-art-37-par-3</w:t>
      </w:r>
      <w:r>
        <w:rPr>
          <w:color w:val="003CA0"/>
          <w:sz w:val="12"/>
        </w:rPr>
        <w:t xml:space="preserve"> | ADI 2.416</w:t>
      </w:r>
    </w:p>
    <w:p>
      <w:pPr>
        <w:ind w:left="288"/>
      </w:pPr>
      <w:r>
        <w:rPr>
          <w:color w:val="1E1E1E"/>
          <w:sz w:val="18"/>
        </w:rPr>
        <w:t>O art. 14 da Lei 2.689/2001, que cria o Conselho de Administração e Fiscalização de Áreas Públicas Rurais Regularizadas – composto majoritariamente por pessoas não integrantes dos quadros do poder público –, é inconstitucional, uma vez que transfere aos particulares com maior interesse no assunto o juízo de conveniência e oportunidade da alienação dos bens públicos, que é competência própria da administração pública.</w:t>
      </w:r>
    </w:p>
    <w:p>
      <w:pPr>
        <w:ind w:left="288"/>
      </w:pPr>
      <w:r>
        <w:rPr>
          <w:b/>
          <w:color w:val="003CA0"/>
          <w:sz w:val="16"/>
        </w:rPr>
        <w:t>[ADI 2.416, red. do ac. min. Ricardo Lewandowski, j. 12-12-2012, P, DJE de 14-10-2013.]</w:t>
      </w:r>
    </w:p>
    <w:p>
      <w:pPr>
        <w:ind w:left="288"/>
      </w:pPr>
      <w:r>
        <w:rPr>
          <w:color w:val="8C8C8C"/>
          <w:sz w:val="12"/>
        </w:rPr>
        <w:t>cf-art-37-par-3</w:t>
      </w:r>
    </w:p>
    <w:p>
      <w:pPr>
        <w:ind w:left="288"/>
      </w:pPr>
      <w:r>
        <w:rPr>
          <w:color w:val="1E1E1E"/>
          <w:sz w:val="18"/>
        </w:rPr>
        <w:t>I - as reclamações relativas à prestação dos serviços públicos em geral, asseguradas a manutenção de serviços de atendimento ao usuário e a avaliação periódica, externa e interna, da qualidade dos serviços; (Incluído pela EC 19/1998)</w:t>
      </w:r>
    </w:p>
    <w:p>
      <w:pPr>
        <w:ind w:left="288"/>
      </w:pPr>
      <w:r>
        <w:rPr>
          <w:color w:val="8C8C8C"/>
          <w:sz w:val="12"/>
        </w:rPr>
        <w:t>cf-art-37-par-4</w:t>
      </w:r>
      <w:r>
        <w:rPr>
          <w:color w:val="003CA0"/>
          <w:sz w:val="12"/>
        </w:rPr>
        <w:t xml:space="preserve"> | ADI 4.295</w:t>
      </w:r>
      <w:r>
        <w:rPr>
          <w:color w:val="003CA0"/>
          <w:sz w:val="12"/>
        </w:rPr>
        <w:t xml:space="preserve"> | rel. Marco Aurélio</w:t>
      </w:r>
    </w:p>
    <w:p>
      <w:pPr>
        <w:ind w:left="288"/>
      </w:pPr>
      <w:r>
        <w:rPr>
          <w:color w:val="1E1E1E"/>
          <w:sz w:val="18"/>
        </w:rPr>
        <w:t>O art. 13 do diploma legal, que prevê a obrigação de todo agente público apresentar sua declaração de imposto de renda e proventos de qualquer natureza, busca assegurar mecanismos de fiscalização do patrimônio de agentes públicos, de modo a resguardar a moralidade e o erário, razão pela qual normas dessa natureza já foram placitadas pelo Tribunal, inexistindo ofensa ao postulado da proporcionalidade.</w:t>
      </w:r>
    </w:p>
    <w:p>
      <w:pPr>
        <w:ind w:left="288"/>
      </w:pPr>
      <w:r>
        <w:rPr>
          <w:b/>
          <w:color w:val="003CA0"/>
          <w:sz w:val="16"/>
        </w:rPr>
        <w:t>[ADI 4.295, rel. min. Marco Aurélio, red. do ac. Gilmar Mendes, j. 21.8.2023, P, DJE de 2.10.2023.]</w:t>
      </w:r>
    </w:p>
    <w:p>
      <w:pPr>
        <w:ind w:left="288"/>
      </w:pPr>
      <w:r>
        <w:rPr>
          <w:color w:val="8C8C8C"/>
          <w:sz w:val="12"/>
        </w:rPr>
        <w:t>cf-art-37-par-4</w:t>
      </w:r>
      <w:r>
        <w:rPr>
          <w:color w:val="003CA0"/>
          <w:sz w:val="12"/>
        </w:rPr>
        <w:t xml:space="preserve"> | ADI 2.797</w:t>
      </w:r>
      <w:r>
        <w:rPr>
          <w:color w:val="003CA0"/>
          <w:sz w:val="12"/>
        </w:rPr>
        <w:t xml:space="preserve"> | rel. Sepúlveda Pertence</w:t>
      </w:r>
    </w:p>
    <w:p>
      <w:pPr>
        <w:ind w:left="288"/>
      </w:pPr>
      <w:r>
        <w:rPr>
          <w:color w:val="1E1E1E"/>
          <w:sz w:val="18"/>
        </w:rPr>
        <w:t>Pedido de modulação temporal dos efeitos da decisão de mérito. Possibilidade. Ações penais e de improbidade administrativa contra ocupantes e ex-ocupantes de cargos com prerrogativa de foro. Preservação dos atos processuais praticados até 15 de setembro de 2005. (...) Durante quase três anos os tribunais brasileiros processaram e julgaram ações penais e de improbidade administrativa contra ocupantes e ex-ocupantes de cargos com prerrogativa de foro, com fundamento nos §§ 1º e 2º do art. 84 do CPP. Como esses dispositivos legais cuidavam de competência dos órgãos do Poder Judiciário, todos os p</w:t>
      </w:r>
    </w:p>
    <w:p>
      <w:pPr>
        <w:ind w:left="288"/>
      </w:pPr>
      <w:r>
        <w:rPr>
          <w:b/>
          <w:color w:val="003CA0"/>
          <w:sz w:val="16"/>
        </w:rPr>
        <w:t>[ADI 2.797 e ADI 2.860, rel. min. Sepúlveda Pertence, j. 15-9-2005, P, DJ de 19-12-2006.]</w:t>
      </w:r>
    </w:p>
    <w:p>
      <w:pPr>
        <w:ind w:left="288"/>
      </w:pPr>
      <w:r>
        <w:rPr>
          <w:color w:val="8C8C8C"/>
          <w:sz w:val="12"/>
        </w:rPr>
        <w:t>cf-art-37-par-4</w:t>
      </w:r>
      <w:r>
        <w:rPr>
          <w:color w:val="003CA0"/>
          <w:sz w:val="12"/>
        </w:rPr>
        <w:t xml:space="preserve"> | PET 3.230</w:t>
      </w:r>
      <w:r>
        <w:rPr>
          <w:color w:val="003CA0"/>
          <w:sz w:val="12"/>
        </w:rPr>
        <w:t xml:space="preserve"> | rel. red. do ac. min. Roberto Barroso</w:t>
      </w:r>
    </w:p>
    <w:p>
      <w:pPr>
        <w:ind w:left="288"/>
      </w:pPr>
      <w:r>
        <w:rPr>
          <w:color w:val="1E1E1E"/>
          <w:sz w:val="18"/>
        </w:rPr>
        <w:t>= Pet 3.230 AgR, rel. min. red. do ac. min. Roberto Barroso, j. 10-5-2018, P, DJE de 22-8-2018 = Pet 3.030 QO, rel. min. Marco Aurélio, j. 23-5-2012, P, DJE de 25-2-2013 Vide ADI 2.797 ED, red. do ac. min. Ayres Britto, j. 16-5-2012, P, DJE de 28-2-2013 “(I) É possível a dupla responsabilização por crime eleitoral caixa dois (art. 350 do Código Eleitoral) e ato de improbidade administrativa (Lei 8.429/1992), pois a independência de instâncias exige tratamentos sancionatórios diferenciados entre os atos ilícitos em geral (civis, penais e político-administrativos) e os atos de improbidade admini</w:t>
      </w:r>
    </w:p>
    <w:p>
      <w:pPr>
        <w:ind w:left="288"/>
      </w:pPr>
      <w:r>
        <w:rPr>
          <w:b/>
          <w:color w:val="003CA0"/>
          <w:sz w:val="16"/>
        </w:rPr>
        <w:t>[RE 1.428.742, rel. min. Alexandre de Moraes, j. 9-2-2026, P, DJE de 5-3-2026, Tema 1.260, com mérito julgado.]</w:t>
      </w:r>
    </w:p>
    <w:p>
      <w:pPr>
        <w:ind w:left="288"/>
      </w:pPr>
      <w:r>
        <w:rPr>
          <w:color w:val="8C8C8C"/>
          <w:sz w:val="12"/>
        </w:rPr>
        <w:t>cf-art-37-par-4</w:t>
      </w:r>
      <w:r>
        <w:rPr>
          <w:color w:val="003CA0"/>
          <w:sz w:val="12"/>
        </w:rPr>
        <w:t xml:space="preserve"> | RE 610.523</w:t>
      </w:r>
      <w:r>
        <w:rPr>
          <w:color w:val="003CA0"/>
          <w:sz w:val="12"/>
        </w:rPr>
        <w:t xml:space="preserve"> | rel. Dias Toffoli</w:t>
      </w:r>
    </w:p>
    <w:p>
      <w:pPr>
        <w:ind w:left="288"/>
      </w:pPr>
      <w:r>
        <w:rPr>
          <w:color w:val="1E1E1E"/>
          <w:sz w:val="18"/>
        </w:rPr>
        <w:t>“a) O dolo é necessário para a configuração de qualquer ato de improbidade administrativa (art. 37, § 4º, da Constituição Federal), de modo que é inconstitucional a modalidade culposa de ato de improbidade administrativa prevista nos arts. 5º e 10 da Lei nº 8.429/92, em sua redação originária. b) São constitucionais os arts. 13, V, e 25, II, da Lei nº 8.666/1993, desde que interpretados no sentido de que a contratação direta de serviços advocatícios pela Administração Pública, por inexigibilidade de licitação, além dos critérios já previstos expressamente (necessidade de procedimento administr</w:t>
      </w:r>
    </w:p>
    <w:p>
      <w:pPr>
        <w:ind w:left="288"/>
      </w:pPr>
      <w:r>
        <w:rPr>
          <w:b/>
          <w:color w:val="003CA0"/>
          <w:sz w:val="16"/>
        </w:rPr>
        <w:t>[RE 610.523 e RE 656.558, rel. min. Dias Toffoli, j. 28.10.2025, P, DJE de 26.02.2025.]</w:t>
      </w:r>
    </w:p>
    <w:p>
      <w:pPr>
        <w:ind w:left="288"/>
      </w:pPr>
      <w:r>
        <w:rPr>
          <w:color w:val="8C8C8C"/>
          <w:sz w:val="12"/>
        </w:rPr>
        <w:t>cf-art-37-par-4</w:t>
      </w:r>
      <w:r>
        <w:rPr>
          <w:color w:val="003CA0"/>
          <w:sz w:val="12"/>
        </w:rPr>
        <w:t xml:space="preserve"> | ARE 1.484.919</w:t>
      </w:r>
      <w:r>
        <w:rPr>
          <w:color w:val="003CA0"/>
          <w:sz w:val="12"/>
        </w:rPr>
        <w:t xml:space="preserve"> | rel. Alexandre de Moraes</w:t>
      </w:r>
    </w:p>
    <w:p>
      <w:pPr>
        <w:ind w:left="288"/>
      </w:pPr>
      <w:r>
        <w:rPr>
          <w:color w:val="1E1E1E"/>
          <w:sz w:val="18"/>
        </w:rPr>
        <w:t>Indisponibilidade de bem de família e previsão de ressarcimento integral ao erário pela prática de ato de improbidade administrativa. Necessidade de conciliação interpretativa dos artigos 6º e 37, §4º da Constituição Federal.</w:t>
      </w:r>
    </w:p>
    <w:p>
      <w:pPr>
        <w:ind w:left="288"/>
      </w:pPr>
      <w:r>
        <w:rPr>
          <w:b/>
          <w:color w:val="003CA0"/>
          <w:sz w:val="16"/>
        </w:rPr>
        <w:t>[ARE 1.484.919 RG, rel. min. Alexandre de Moraes, j. 16.08.2024, P, DJE de 30.08.2024, Tema 1.316, com mérito pendente.]</w:t>
      </w:r>
    </w:p>
    <w:p>
      <w:pPr>
        <w:ind w:left="288"/>
      </w:pPr>
      <w:r>
        <w:rPr>
          <w:color w:val="8C8C8C"/>
          <w:sz w:val="12"/>
        </w:rPr>
        <w:t>cf-art-37-par-4</w:t>
      </w:r>
      <w:r>
        <w:rPr>
          <w:color w:val="003CA0"/>
          <w:sz w:val="12"/>
        </w:rPr>
        <w:t xml:space="preserve"> | ARE 843.989</w:t>
      </w:r>
      <w:r>
        <w:rPr>
          <w:color w:val="003CA0"/>
          <w:sz w:val="12"/>
        </w:rPr>
        <w:t xml:space="preserve"> | rel. Alexandre de Moraes</w:t>
      </w:r>
    </w:p>
    <w:p>
      <w:pPr>
        <w:ind w:left="288"/>
      </w:pPr>
      <w:r>
        <w:rPr>
          <w:color w:val="1E1E1E"/>
          <w:sz w:val="18"/>
        </w:rPr>
        <w:t>"1) É necessária a comprovação de responsabilidade subjetiva para a tipificação dos atos de improbidade administrativa, exigindo-se - nos artigos 9º, 10 e 11 da LIA - a presença do elemento subjetivo - DOLO; 2) A norma benéfica da Lei 14.230/2021 - revogação da modalidade culposa do ato de improbidade administrativa -, é IRRETROATIVA, em virtude do artigo 5º, inciso XXXVI, da Constituição Federal, não tendo incidência em relação à eficácia da coisa julgada; nem tampouco durante o processo de execução das penas e seus incidentes; 3) A nova Lei 14.230/2021 aplica-se aos atos de improbidade admin</w:t>
      </w:r>
    </w:p>
    <w:p>
      <w:pPr>
        <w:ind w:left="144"/>
      </w:pPr>
      <w:r>
        <w:rPr>
          <w:b/>
          <w:color w:val="B45A00"/>
          <w:sz w:val="16"/>
        </w:rPr>
        <w:t>REPERCUSSAO GERAL</w:t>
      </w:r>
    </w:p>
    <w:p>
      <w:pPr>
        <w:ind w:left="288"/>
      </w:pPr>
      <w:r>
        <w:rPr>
          <w:color w:val="8C8C8C"/>
          <w:sz w:val="12"/>
        </w:rPr>
        <w:t>cf-art-37-par-4</w:t>
      </w:r>
      <w:r>
        <w:rPr>
          <w:color w:val="003CA0"/>
          <w:sz w:val="12"/>
        </w:rPr>
        <w:t xml:space="preserve"> | ARE 1.175.650</w:t>
      </w:r>
      <w:r>
        <w:rPr>
          <w:color w:val="003CA0"/>
          <w:sz w:val="12"/>
        </w:rPr>
        <w:t xml:space="preserve"> | rel. Alexandre de Moraes</w:t>
      </w:r>
    </w:p>
    <w:p>
      <w:pPr>
        <w:ind w:left="288"/>
      </w:pPr>
      <w:r>
        <w:rPr>
          <w:color w:val="1E1E1E"/>
          <w:sz w:val="18"/>
        </w:rPr>
        <w:t>É constitucional a utilização da colaboração premiada, nos termos da Lei 12.850/2013, no âmbito civil, em ação civil pública por ato de improbidade administrativa movida pelo Ministério Público, observando-se as seguintes diretrizes: (1) Realizado o acordo de colaboração premiada, serão remetidos ao juiz, para análise, o respectivo termo, as declarações do colaborador e cópia da investigação, devendo o juiz ouvir sigilosamente o colaborador, acompanhado de seu defensor, oportunidade em que analisará os seguintes aspectos na homologação: regularidade, legalidade e voluntariedade da manifestação</w:t>
      </w:r>
    </w:p>
    <w:p>
      <w:pPr>
        <w:ind w:left="288"/>
      </w:pPr>
      <w:r>
        <w:rPr>
          <w:b/>
          <w:color w:val="003CA0"/>
          <w:sz w:val="16"/>
        </w:rPr>
        <w:t>[RE 1.471.155 AgR, rel. min. Edson Fachin, j. 25.06.2025, 2ª T, DJE de 04.08.2025.]</w:t>
      </w:r>
    </w:p>
    <w:p>
      <w:pPr>
        <w:ind w:left="288"/>
      </w:pPr>
      <w:r>
        <w:rPr>
          <w:color w:val="8C8C8C"/>
          <w:sz w:val="12"/>
        </w:rPr>
        <w:t>cf-art-37-par-4</w:t>
      </w:r>
      <w:r>
        <w:rPr>
          <w:color w:val="003CA0"/>
          <w:sz w:val="12"/>
        </w:rPr>
        <w:t xml:space="preserve"> | ARE 1.338.297</w:t>
      </w:r>
      <w:r>
        <w:rPr>
          <w:color w:val="003CA0"/>
          <w:sz w:val="12"/>
        </w:rPr>
        <w:t xml:space="preserve"> | rel. Alexandre de Moraes</w:t>
      </w:r>
    </w:p>
    <w:p>
      <w:pPr>
        <w:ind w:left="288"/>
      </w:pPr>
      <w:r>
        <w:rPr>
          <w:color w:val="1E1E1E"/>
          <w:sz w:val="18"/>
        </w:rPr>
        <w:t>A celebração do acordo de leniência não pode ser utilizada pela parte acordante como escudo para esquivar-se da responsabilização civil por danos contra terceiros que não fizeram parte do ajuste.</w:t>
      </w:r>
    </w:p>
    <w:p>
      <w:pPr>
        <w:ind w:left="288"/>
      </w:pPr>
      <w:r>
        <w:rPr>
          <w:b/>
          <w:color w:val="003CA0"/>
          <w:sz w:val="16"/>
        </w:rPr>
        <w:t>[ARE 1.338.297 AgR, rel. min. Alexandre de Moraes, j. 24.02.2025, 1ª T, DJE de 28.02.2025.]</w:t>
      </w:r>
    </w:p>
    <w:p>
      <w:pPr>
        <w:ind w:left="288"/>
      </w:pPr>
      <w:r>
        <w:rPr>
          <w:color w:val="8C8C8C"/>
          <w:sz w:val="12"/>
        </w:rPr>
        <w:t>cf-art-37-par-4</w:t>
      </w:r>
      <w:r>
        <w:rPr>
          <w:color w:val="003CA0"/>
          <w:sz w:val="12"/>
        </w:rPr>
        <w:t xml:space="preserve"> | RE 1.527.409</w:t>
      </w:r>
      <w:r>
        <w:rPr>
          <w:color w:val="003CA0"/>
          <w:sz w:val="12"/>
        </w:rPr>
        <w:t xml:space="preserve"> | rel. Alexandre de Moraes</w:t>
      </w:r>
    </w:p>
    <w:p>
      <w:pPr>
        <w:ind w:left="288"/>
      </w:pPr>
      <w:r>
        <w:rPr>
          <w:color w:val="1E1E1E"/>
          <w:sz w:val="18"/>
        </w:rPr>
        <w:t xml:space="preserve">Ao revogar a modalidade culposa do ato de improbidade administrativa, entretanto, a Lei 14.230/2021, não trouxe qualquer previsão de “anistia” geral para todos aqueles que, nesses mais de 30 anos de aplicação da LIA, foram condenados pela forma culposa de artigo 10; nem tampouco determinou, expressamente, sua retroatividade ou mesmo estabeleceu uma regra de transição que pudesse auxiliar o intérprete na aplicação dessa norma - revogação do ato de improbidade administrativa culposo - em situações diversas como ações em andamento, condenações não transitadas em julgado e condenações transitadas </w:t>
      </w:r>
    </w:p>
    <w:p>
      <w:pPr>
        <w:ind w:left="288"/>
      </w:pPr>
      <w:r>
        <w:rPr>
          <w:b/>
          <w:color w:val="003CA0"/>
          <w:sz w:val="16"/>
        </w:rPr>
        <w:t>[RE 1.527.409 AgR, rel. min. Alexandre de Moraes, j. 17.02.2025, 1ª T, DJE de 25.02.2025.]</w:t>
      </w:r>
    </w:p>
    <w:p>
      <w:pPr>
        <w:ind w:left="288"/>
      </w:pPr>
      <w:r>
        <w:rPr>
          <w:color w:val="8C8C8C"/>
          <w:sz w:val="12"/>
        </w:rPr>
        <w:t>cf-art-37-par-4</w:t>
      </w:r>
      <w:r>
        <w:rPr>
          <w:color w:val="003CA0"/>
          <w:sz w:val="12"/>
        </w:rPr>
        <w:t xml:space="preserve"> | RCL 71.111</w:t>
      </w:r>
      <w:r>
        <w:rPr>
          <w:color w:val="003CA0"/>
          <w:sz w:val="12"/>
        </w:rPr>
        <w:t xml:space="preserve"> | rel. Gilmar Mendes</w:t>
      </w:r>
    </w:p>
    <w:p>
      <w:pPr>
        <w:ind w:left="288"/>
      </w:pPr>
      <w:r>
        <w:rPr>
          <w:color w:val="1E1E1E"/>
          <w:sz w:val="18"/>
        </w:rPr>
        <w:t>A alteração promovida pela Lei 14.231/2021, que exige a comprovação inequívoca de dano ao erário para configuração do ato de improbidade previsto no art. 10 da LIA, aplica-se aos atos praticados na vigência do texto anterior da lei, desde que não haja condenação transitada em julgado.</w:t>
      </w:r>
    </w:p>
    <w:p>
      <w:pPr>
        <w:ind w:left="288"/>
      </w:pPr>
      <w:r>
        <w:rPr>
          <w:b/>
          <w:color w:val="003CA0"/>
          <w:sz w:val="16"/>
        </w:rPr>
        <w:t>[Rcl 71.111 AgR, rel. min. Gilmar Mendes, j. 16.12.2024, 2ª T, DJE de 26.02.2025.]</w:t>
      </w:r>
    </w:p>
    <w:p>
      <w:pPr>
        <w:ind w:left="288"/>
      </w:pPr>
      <w:r>
        <w:rPr>
          <w:color w:val="8C8C8C"/>
          <w:sz w:val="12"/>
        </w:rPr>
        <w:t>cf-art-37-par-4</w:t>
      </w:r>
      <w:r>
        <w:rPr>
          <w:color w:val="003CA0"/>
          <w:sz w:val="12"/>
        </w:rPr>
        <w:t xml:space="preserve"> | ARE 1.475.101</w:t>
      </w:r>
      <w:r>
        <w:rPr>
          <w:color w:val="003CA0"/>
          <w:sz w:val="12"/>
        </w:rPr>
        <w:t xml:space="preserve"> | rel. Alexandre de Moraes</w:t>
      </w:r>
    </w:p>
    <w:p>
      <w:pPr>
        <w:ind w:left="288"/>
      </w:pPr>
      <w:r>
        <w:rPr>
          <w:color w:val="1E1E1E"/>
          <w:sz w:val="18"/>
        </w:rPr>
        <w:t>Na ação de improbidade, uma vez prescritas as sanções, o ressarcimento ao erário, imprescritível, depende da prova de que o ato foi doloso e configura ato de improbidade administrativa, para que se abra a ampla defesa e o contraditório, a fim de evitar a responsabilidade objetiva.</w:t>
      </w:r>
    </w:p>
    <w:p>
      <w:pPr>
        <w:ind w:left="288"/>
      </w:pPr>
      <w:r>
        <w:rPr>
          <w:b/>
          <w:color w:val="003CA0"/>
          <w:sz w:val="16"/>
        </w:rPr>
        <w:t>[ARE 1.475.101 AgR, rel. min. Alexandre de Moraes, j. 22.10.2024, 1ª T, DJE de 04.02.2025.]</w:t>
      </w:r>
    </w:p>
    <w:p>
      <w:pPr>
        <w:ind w:left="144"/>
      </w:pPr>
      <w:r>
        <w:rPr>
          <w:b/>
          <w:color w:val="B45A00"/>
          <w:sz w:val="16"/>
        </w:rPr>
        <w:t>JULGADOS CORRELATOS</w:t>
      </w:r>
    </w:p>
    <w:p>
      <w:pPr>
        <w:ind w:left="288"/>
      </w:pPr>
      <w:r>
        <w:rPr>
          <w:color w:val="8C8C8C"/>
          <w:sz w:val="12"/>
        </w:rPr>
        <w:t>cf-art-37-par-4</w:t>
      </w:r>
      <w:r>
        <w:rPr>
          <w:color w:val="003CA0"/>
          <w:sz w:val="12"/>
        </w:rPr>
        <w:t xml:space="preserve"> | ARE 1.492.981</w:t>
      </w:r>
      <w:r>
        <w:rPr>
          <w:color w:val="003CA0"/>
          <w:sz w:val="12"/>
        </w:rPr>
        <w:t xml:space="preserve"> | rel. Alexandre de Moraes</w:t>
      </w:r>
    </w:p>
    <w:p>
      <w:pPr>
        <w:ind w:left="288"/>
      </w:pPr>
      <w:r>
        <w:rPr>
          <w:color w:val="1E1E1E"/>
          <w:sz w:val="18"/>
        </w:rPr>
        <w:t>Esta CORTE possui entendimento de que o Ministério Público possui legitimidade ad causam para propor Ação Civil Pública que busque o ressarcimento de danos ao Erário. Com o advento da Lei 14.230/2021, foi incluído o parágrafo 16 no art. 17 da Lei 8.429/1992, com o seguinte teor: “§ 16. A qualquer momento, se o magistrado identificar a existência de ilegalidades ou de irregularidades administrativas a serem sanadas sem que estejam presentes todos os requisitos para a imposição das sanções aos agentes incluídos no polo passivo da demanda, poderá, em decisão motivada, converter a ação de improbid</w:t>
      </w:r>
    </w:p>
    <w:p>
      <w:pPr>
        <w:ind w:left="288"/>
      </w:pPr>
      <w:r>
        <w:rPr>
          <w:b/>
          <w:color w:val="003CA0"/>
          <w:sz w:val="16"/>
        </w:rPr>
        <w:t>[AO 1.833, rel. min. Alexandre de Moraes, j. 10-4-2018, 1ª T, DJE de 8-5-2018.]</w:t>
      </w:r>
    </w:p>
    <w:p>
      <w:pPr>
        <w:ind w:left="288"/>
      </w:pPr>
      <w:r>
        <w:rPr>
          <w:color w:val="8C8C8C"/>
          <w:sz w:val="12"/>
        </w:rPr>
        <w:t>cf-art-37-par-4</w:t>
      </w:r>
      <w:r>
        <w:rPr>
          <w:color w:val="003CA0"/>
          <w:sz w:val="12"/>
        </w:rPr>
        <w:t xml:space="preserve"> | AC 3.585</w:t>
      </w:r>
      <w:r>
        <w:rPr>
          <w:color w:val="003CA0"/>
          <w:sz w:val="12"/>
        </w:rPr>
        <w:t xml:space="preserve"> | rel. Celso de Mello</w:t>
      </w:r>
    </w:p>
    <w:p>
      <w:pPr>
        <w:ind w:left="288"/>
      </w:pPr>
      <w:r>
        <w:rPr>
          <w:color w:val="1E1E1E"/>
          <w:sz w:val="18"/>
        </w:rPr>
        <w:t>Improbidade administrativa. Agente político. Comportamento alegadamente ocorrido no exercício de mandato de governador de Estado. Possibilidade de dupla sujeição tanto ao regime de responsabilização política, mediante impeachment (Lei 1.079/1950), desde que ainda titular de referido mandato eletivo, quanto à disciplina normativa da responsabilização civil por improbidade administrativa (Lei 8.424/1992). Extinção subsequente do mandato de governador de Estado. Exclusão do regime fundado na Lei 1.079/1950 (art. 76, parágrafo único). Pleito que objetiva distinguir processo civil de improbidade ad</w:t>
      </w:r>
    </w:p>
    <w:p>
      <w:pPr>
        <w:ind w:left="288"/>
      </w:pPr>
      <w:r>
        <w:rPr>
          <w:b/>
          <w:color w:val="003CA0"/>
          <w:sz w:val="16"/>
        </w:rPr>
        <w:t>[AC 3.585 AgR, rel. min. Celso de Mello, j. 2-9-2014, 2ª T, DJE de 28-10-2014.]</w:t>
      </w:r>
    </w:p>
    <w:p>
      <w:pPr>
        <w:ind w:left="288"/>
      </w:pPr>
      <w:r>
        <w:rPr>
          <w:color w:val="8C8C8C"/>
          <w:sz w:val="12"/>
        </w:rPr>
        <w:t>cf-art-37-par-4</w:t>
      </w:r>
      <w:r>
        <w:rPr>
          <w:color w:val="003CA0"/>
          <w:sz w:val="12"/>
        </w:rPr>
        <w:t xml:space="preserve"> | AP 409</w:t>
      </w:r>
      <w:r>
        <w:rPr>
          <w:color w:val="003CA0"/>
          <w:sz w:val="12"/>
        </w:rPr>
        <w:t xml:space="preserve"> | rel. Ayres Britto</w:t>
      </w:r>
    </w:p>
    <w:p>
      <w:pPr>
        <w:ind w:left="288"/>
      </w:pPr>
      <w:r>
        <w:rPr>
          <w:color w:val="1E1E1E"/>
          <w:sz w:val="18"/>
        </w:rPr>
        <w:t>(...) a probidade administrativa é o mais importante conteúdo do princípio da moralidade pública. Donde o modo particularmente severo como a Constituição reage à violação dela, probidade administrativa (...). É certo que esse regramento constitucional não tem a força de transformar em ilícitos penais práticas que eventualmente ofendam o cumprimento de deveres simplesmente administrativos. Daí por que a incidência da norma penal referida pelo Ministério Público está a depender da presença de um claro elemento subjetivo – a vontade livre e consciente (dolo) – de lesar o interesse público. Pois é</w:t>
      </w:r>
    </w:p>
    <w:p>
      <w:pPr>
        <w:ind w:left="288"/>
      </w:pPr>
      <w:r>
        <w:rPr>
          <w:b/>
          <w:color w:val="003CA0"/>
          <w:sz w:val="16"/>
        </w:rPr>
        <w:t>[AP 409, voto do rel. min. Ayres Britto, j. 13-5-2010, P, DJE de 1º-7-2010.]</w:t>
      </w:r>
    </w:p>
    <w:p>
      <w:pPr>
        <w:ind w:left="288"/>
      </w:pPr>
      <w:r>
        <w:rPr>
          <w:color w:val="8C8C8C"/>
          <w:sz w:val="12"/>
        </w:rPr>
        <w:t>cf-art-37-par-4</w:t>
      </w:r>
      <w:r>
        <w:rPr>
          <w:color w:val="003CA0"/>
          <w:sz w:val="12"/>
        </w:rPr>
        <w:t xml:space="preserve"> | RE 598.588</w:t>
      </w:r>
      <w:r>
        <w:rPr>
          <w:color w:val="003CA0"/>
          <w:sz w:val="12"/>
        </w:rPr>
        <w:t xml:space="preserve"> | rel. Eros Grau</w:t>
      </w:r>
    </w:p>
    <w:p>
      <w:pPr>
        <w:ind w:left="288"/>
      </w:pPr>
      <w:r>
        <w:rPr>
          <w:color w:val="1E1E1E"/>
          <w:sz w:val="18"/>
        </w:rPr>
        <w:t>As sanções civis impostas pelo art. 12 da Lei 8.429/1992 aos atos de improbidade administrativa estão em sintonia com os princípios constitucionais que regem a administração pública.</w:t>
      </w:r>
    </w:p>
    <w:p>
      <w:pPr>
        <w:ind w:left="288"/>
      </w:pPr>
      <w:r>
        <w:rPr>
          <w:b/>
          <w:color w:val="003CA0"/>
          <w:sz w:val="16"/>
        </w:rPr>
        <w:t>[RE 598.588 AgR, rel. min. Eros Grau, j. 2-2-2010, 2ª T, DJE de 26-2-2010.]</w:t>
      </w:r>
    </w:p>
    <w:p>
      <w:pPr>
        <w:ind w:left="288"/>
      </w:pPr>
      <w:r>
        <w:rPr>
          <w:color w:val="8C8C8C"/>
          <w:sz w:val="12"/>
        </w:rPr>
        <w:t>cf-art-37-par-4</w:t>
      </w:r>
      <w:r>
        <w:rPr>
          <w:color w:val="003CA0"/>
          <w:sz w:val="12"/>
        </w:rPr>
        <w:t xml:space="preserve"> | PET 4.089</w:t>
      </w:r>
      <w:r>
        <w:rPr>
          <w:color w:val="003CA0"/>
          <w:sz w:val="12"/>
        </w:rPr>
        <w:t xml:space="preserve"> | rel. Celso de Mello</w:t>
      </w:r>
    </w:p>
    <w:p>
      <w:pPr>
        <w:ind w:left="288"/>
      </w:pPr>
      <w:r>
        <w:rPr>
          <w:color w:val="1E1E1E"/>
          <w:sz w:val="18"/>
        </w:rPr>
        <w:t>O STF tem advertido que, tratando-se de ação civil por improbidade administrativa (Lei 8.429/1992), mostra-se irrelevante, para efeito de definição da competência originária dos tribunais, que se cuide de ocupante de cargo público ou de titular de mandato eletivo ainda no exercício das respectivas funções, pois a ação civil em questão deverá ser ajuizada perante magistrado de primeiro grau.</w:t>
      </w:r>
    </w:p>
    <w:p>
      <w:pPr>
        <w:ind w:left="288"/>
      </w:pPr>
      <w:r>
        <w:rPr>
          <w:b/>
          <w:color w:val="003CA0"/>
          <w:sz w:val="16"/>
        </w:rPr>
        <w:t>[Pet 4.089 AgR, rel. min. Celso de Mello, j. 24-10-2007, P, DJE de 1º-2-2013.]</w:t>
      </w:r>
    </w:p>
    <w:p>
      <w:pPr>
        <w:ind w:left="288"/>
      </w:pPr>
      <w:r>
        <w:rPr>
          <w:color w:val="8C8C8C"/>
          <w:sz w:val="12"/>
        </w:rPr>
        <w:t>cf-art-37-par-4</w:t>
      </w:r>
      <w:r>
        <w:rPr>
          <w:color w:val="003CA0"/>
          <w:sz w:val="12"/>
        </w:rPr>
        <w:t xml:space="preserve"> | RCL 2.138</w:t>
      </w:r>
      <w:r>
        <w:rPr>
          <w:color w:val="003CA0"/>
          <w:sz w:val="12"/>
        </w:rPr>
        <w:t xml:space="preserve"> | rel. Nelson Jobim</w:t>
      </w:r>
    </w:p>
    <w:p>
      <w:pPr>
        <w:ind w:left="288"/>
      </w:pPr>
      <w:r>
        <w:rPr>
          <w:color w:val="1E1E1E"/>
          <w:sz w:val="18"/>
        </w:rPr>
        <w:t>Os atos de improbidade administrativa são tipificados como crime de responsabilidade na Lei 1.079/1950, delito de caráter político-administrativo. Distinção entre os regimes de responsabilização político-administrativa. O sistema constitucional brasileiro distingue o regime de responsabilidade dos agentes políticos dos demais agentes públicos. A Constituição não admite a concorrência entre dois regimes de responsabilidade político-administrativa para os agentes políticos: o previsto no art. 37, § 4º (regulado pela Lei 8.429/1992), e o regime fixado no art. 102, I, c (disciplinado pela Lei 1.07</w:t>
      </w:r>
    </w:p>
    <w:p>
      <w:pPr>
        <w:ind w:left="288"/>
      </w:pPr>
      <w:r>
        <w:rPr>
          <w:b/>
          <w:color w:val="003CA0"/>
          <w:sz w:val="16"/>
        </w:rPr>
        <w:t>[Rcl 2.138, red. do ac. min. Gilmar Mendes, rel. min. Nelson Jobim, j. 13-6-2007, P, DJE de 18-4-2008.]</w:t>
      </w:r>
    </w:p>
    <w:p>
      <w:pPr>
        <w:ind w:left="288"/>
      </w:pPr>
      <w:r>
        <w:rPr>
          <w:color w:val="8C8C8C"/>
          <w:sz w:val="12"/>
        </w:rPr>
        <w:t>cf-art-37-par-4</w:t>
      </w:r>
      <w:r>
        <w:rPr>
          <w:color w:val="003CA0"/>
          <w:sz w:val="12"/>
        </w:rPr>
        <w:t xml:space="preserve"> | AI 809.338</w:t>
      </w:r>
      <w:r>
        <w:rPr>
          <w:color w:val="003CA0"/>
          <w:sz w:val="12"/>
        </w:rPr>
        <w:t xml:space="preserve"> | rel. Dias Toffoli</w:t>
      </w:r>
    </w:p>
    <w:p>
      <w:pPr>
        <w:ind w:left="288"/>
      </w:pPr>
      <w:r>
        <w:rPr>
          <w:color w:val="1E1E1E"/>
          <w:sz w:val="18"/>
        </w:rPr>
        <w:t>Vide AI 809.338 AgR, rel. min. Dias Toffoli, j. 29-10-2013, 1ª T, DJE de 24-3-2014 Vide Rcl 4.119 AgR, rel. min. Cármen Lúcia, j. 6-10-2011, P, DJE de 28-10-2011 Servidor do Departamento Nacional de Estradas e Rodagem (DNER) demitido por ato de improbidade administrativa e por se valer do cargo para obter proveito pessoal de outrem, em detrimento da dignidade da função pública, com base no art. 11, caput e I, da Lei 8.429/1992; e art. 117, IX, da Lei 8.112/1990. (...) Ato de improbidade: a aplicação das penalidades previstas na Lei 8.429/1992 não incumbe à administração, eis que privativa do P</w:t>
      </w:r>
    </w:p>
    <w:p>
      <w:pPr>
        <w:ind w:left="288"/>
      </w:pPr>
      <w:r>
        <w:rPr>
          <w:b/>
          <w:color w:val="003CA0"/>
          <w:sz w:val="16"/>
        </w:rPr>
        <w:t>[RMS 24.699, rel. min. Eros Grau, j. 30-11-2004, 1ª T, DJ de 1º-7-2005.]</w:t>
      </w:r>
    </w:p>
    <w:p>
      <w:pPr>
        <w:ind w:left="288"/>
      </w:pPr>
      <w:r>
        <w:rPr>
          <w:color w:val="8C8C8C"/>
          <w:sz w:val="12"/>
        </w:rPr>
        <w:t>cf-art-37-par-5</w:t>
      </w:r>
      <w:r>
        <w:rPr>
          <w:color w:val="003CA0"/>
          <w:sz w:val="12"/>
        </w:rPr>
        <w:t xml:space="preserve"> | ADPF 1.060</w:t>
      </w:r>
      <w:r>
        <w:rPr>
          <w:color w:val="003CA0"/>
          <w:sz w:val="12"/>
        </w:rPr>
        <w:t xml:space="preserve"> | rel. Dias Toffoli</w:t>
      </w:r>
    </w:p>
    <w:p>
      <w:pPr>
        <w:ind w:left="288"/>
      </w:pPr>
      <w:r>
        <w:rPr>
          <w:color w:val="1E1E1E"/>
          <w:sz w:val="18"/>
        </w:rPr>
        <w:t>“Prescrevem em 5 anos, a contar da publicação da ata de julgamento da presente ação, as pretensões de indenização propostas contra a União por filhos de pessoas atingidas pela hanseníase cujo fundamento seja o afastamento forçado promovido pelo Estado entre eles e seus pais, sem prejuízo da necessária demonstração, em cada caso, dos pressupostos da responsabilização civil do Estado”</w:t>
      </w:r>
    </w:p>
    <w:p>
      <w:pPr>
        <w:ind w:left="288"/>
      </w:pPr>
      <w:r>
        <w:rPr>
          <w:b/>
          <w:color w:val="003CA0"/>
          <w:sz w:val="16"/>
        </w:rPr>
        <w:t>[ADPF 1.060, rel. min. Dias Toffoli, j. 26.09.2025, P, Informativo STF 1.192.]</w:t>
      </w:r>
    </w:p>
    <w:p>
      <w:pPr>
        <w:ind w:left="288"/>
      </w:pPr>
      <w:r>
        <w:rPr>
          <w:color w:val="8C8C8C"/>
          <w:sz w:val="12"/>
        </w:rPr>
        <w:t>cf-art-37-par-5</w:t>
      </w:r>
      <w:r>
        <w:rPr>
          <w:color w:val="003CA0"/>
          <w:sz w:val="12"/>
        </w:rPr>
        <w:t xml:space="preserve"> | ARE 1.435.557</w:t>
      </w:r>
      <w:r>
        <w:rPr>
          <w:color w:val="003CA0"/>
          <w:sz w:val="12"/>
        </w:rPr>
        <w:t xml:space="preserve"> | rel. Alexandre de Moraes</w:t>
      </w:r>
    </w:p>
    <w:p>
      <w:pPr>
        <w:ind w:left="288"/>
      </w:pPr>
      <w:r>
        <w:rPr>
          <w:color w:val="1E1E1E"/>
          <w:sz w:val="18"/>
        </w:rPr>
        <w:t>De acordo com a redação original da Lei 8.429/1992, aplicável ao caso concreto, a contagem do prazo prescricional para a Ação de Improbidade Administrativa deve iniciar a partir do dia subsequente ao término do exercício do mandato - ou seja, do encerramento do vínculo do agente com a Administração Pública (art. 23, I). Em caso de reeleição do agente público, hipótese em que o vínculo com a Administração Pública é mantido, inicia-se o prazo prescricional no dia subsequente ao término do novo mandato.</w:t>
        <w:br/>
        <w:t>[ARE 1.435.557 AgR, rel. min. Alexandre de Moraes, j. 8-11-2023, 1ª T, DJE de 20-11-2023.]</w:t>
      </w:r>
    </w:p>
    <w:p>
      <w:pPr>
        <w:ind w:left="144"/>
      </w:pPr>
      <w:r>
        <w:rPr>
          <w:b/>
          <w:color w:val="B45A00"/>
          <w:sz w:val="16"/>
        </w:rPr>
        <w:t>REPERCUSSAO GERAL</w:t>
      </w:r>
    </w:p>
    <w:p>
      <w:pPr>
        <w:ind w:left="288"/>
      </w:pPr>
      <w:r>
        <w:rPr>
          <w:color w:val="8C8C8C"/>
          <w:sz w:val="12"/>
        </w:rPr>
        <w:t>cf-art-37-par-5</w:t>
      </w:r>
      <w:r>
        <w:rPr>
          <w:color w:val="003CA0"/>
          <w:sz w:val="12"/>
        </w:rPr>
        <w:t xml:space="preserve"> | RE 1.371.095</w:t>
      </w:r>
      <w:r>
        <w:rPr>
          <w:color w:val="003CA0"/>
          <w:sz w:val="12"/>
        </w:rPr>
        <w:t xml:space="preserve"> | rel. Luiz Fux</w:t>
      </w:r>
    </w:p>
    <w:p>
      <w:pPr>
        <w:ind w:left="288"/>
      </w:pPr>
      <w:r>
        <w:rPr>
          <w:color w:val="1E1E1E"/>
          <w:sz w:val="18"/>
        </w:rPr>
        <w:t>É infraconstitucional, a ela se aplicando os efeitos da ausência de repercussão geral, a controvérsia relativa à validade da constituição e inscrição em dívida ativa de créditos referentes a benefícios previdenciários ou assistenciais pagos indevidamente ou além do devido, constituídos por processos administrativos iniciados antes da vigência da Medida Provisória 780/2017, convertida na Lei 13.494/2017, e da Medida Provisória 871/2019, convertida na Lei 13.846/2019, bem como a discussão sobre a necessidade de seu refazimento.</w:t>
      </w:r>
    </w:p>
    <w:p>
      <w:pPr>
        <w:ind w:left="288"/>
      </w:pPr>
      <w:r>
        <w:rPr>
          <w:b/>
          <w:color w:val="003CA0"/>
          <w:sz w:val="16"/>
        </w:rPr>
        <w:t>[RE 1.371.095 RG, rel. min. Luiz Fux, j. 30-6-2022, P, DJE de 4-7-2022, Tema 1.222, com repercussão geral negada.]</w:t>
      </w:r>
    </w:p>
    <w:p>
      <w:pPr>
        <w:ind w:left="288"/>
      </w:pPr>
      <w:r>
        <w:rPr>
          <w:color w:val="8C8C8C"/>
          <w:sz w:val="12"/>
        </w:rPr>
        <w:t>cf-art-37-par-5</w:t>
      </w:r>
      <w:r>
        <w:rPr>
          <w:color w:val="003CA0"/>
          <w:sz w:val="12"/>
        </w:rPr>
        <w:t xml:space="preserve"> | RE 636.886</w:t>
      </w:r>
      <w:r>
        <w:rPr>
          <w:color w:val="003CA0"/>
          <w:sz w:val="12"/>
        </w:rPr>
        <w:t xml:space="preserve"> | rel. Alexandre de Moraes</w:t>
      </w:r>
    </w:p>
    <w:p>
      <w:pPr>
        <w:ind w:left="288"/>
      </w:pPr>
      <w:r>
        <w:rPr>
          <w:color w:val="1E1E1E"/>
          <w:sz w:val="18"/>
        </w:rPr>
        <w:t>É prescritível a pretensão de ressarcimento ao erário fundada em decisão de Tribunal de Contas.</w:t>
      </w:r>
    </w:p>
    <w:p>
      <w:pPr>
        <w:ind w:left="288"/>
      </w:pPr>
      <w:r>
        <w:rPr>
          <w:b/>
          <w:color w:val="003CA0"/>
          <w:sz w:val="16"/>
        </w:rPr>
        <w:t>[RE 636.886, rel. min. Alexandre de Moraes, j. 20-4-2020, P, DJE de 24-6-2020, Tema 899, com mérito julgado.]</w:t>
      </w:r>
    </w:p>
    <w:p>
      <w:pPr>
        <w:ind w:left="288"/>
      </w:pPr>
      <w:r>
        <w:rPr>
          <w:color w:val="8C8C8C"/>
          <w:sz w:val="12"/>
        </w:rPr>
        <w:t>cf-art-37-par-5</w:t>
      </w:r>
      <w:r>
        <w:rPr>
          <w:color w:val="003CA0"/>
          <w:sz w:val="12"/>
        </w:rPr>
        <w:t xml:space="preserve"> | RE 852.475</w:t>
      </w:r>
    </w:p>
    <w:p>
      <w:pPr>
        <w:ind w:left="288"/>
      </w:pPr>
      <w:r>
        <w:rPr>
          <w:color w:val="1E1E1E"/>
          <w:sz w:val="18"/>
        </w:rPr>
        <w:t>O texto constitucional é expresso (art. 37, § 5º, CRFB) ao prever que a lei estabelecerá os prazos de prescrição para ilícitos na esfera cível ou penal, aqui entendidas em sentido amplo, que gerem prejuízo ao erário e sejam praticados por qualquer agente. A Constituição, no mesmo dispositivo (art. 37, § 5º, CRFB) decota de tal comando para o Legislador as ações cíveis de ressarcimento ao erário, tornando-as, assim, imprescritíveis. São, portanto, imprescritíveis as ações de ressarcimento ao erário fundadas na prática de ato doloso tipificado na Lei de Improbidade Administrativa.</w:t>
      </w:r>
    </w:p>
    <w:p>
      <w:pPr>
        <w:ind w:left="288"/>
      </w:pPr>
      <w:r>
        <w:rPr>
          <w:b/>
          <w:color w:val="003CA0"/>
          <w:sz w:val="16"/>
        </w:rPr>
        <w:t>[RE 852.475, red. do ac. min. Edson Fachin, j. 8-8-2018, P, DJE de 25-3-2019, Tema 897, com mérito julgado.]</w:t>
      </w:r>
    </w:p>
    <w:p>
      <w:pPr>
        <w:ind w:left="288"/>
      </w:pPr>
      <w:r>
        <w:rPr>
          <w:color w:val="8C8C8C"/>
          <w:sz w:val="12"/>
        </w:rPr>
        <w:t>cf-art-37-par-5</w:t>
      </w:r>
      <w:r>
        <w:rPr>
          <w:color w:val="003CA0"/>
          <w:sz w:val="12"/>
        </w:rPr>
        <w:t xml:space="preserve"> | RE 669.069</w:t>
      </w:r>
      <w:r>
        <w:rPr>
          <w:color w:val="003CA0"/>
          <w:sz w:val="12"/>
        </w:rPr>
        <w:t xml:space="preserve"> | rel. Teori Zavascki</w:t>
      </w:r>
    </w:p>
    <w:p>
      <w:pPr>
        <w:ind w:left="288"/>
      </w:pPr>
      <w:r>
        <w:rPr>
          <w:color w:val="1E1E1E"/>
          <w:sz w:val="18"/>
        </w:rPr>
        <w:t>É prescritível a ação de reparação de danos à Fazenda Pública decorrente de ilícito civil.</w:t>
      </w:r>
    </w:p>
    <w:p>
      <w:pPr>
        <w:ind w:left="288"/>
      </w:pPr>
      <w:r>
        <w:rPr>
          <w:b/>
          <w:color w:val="003CA0"/>
          <w:sz w:val="16"/>
        </w:rPr>
        <w:t>[RE 669.069, rel. min. Teori Zavascki, j. 3-2-2016, P, DJE de 28-4-2016, Tema 666, com mérito julgado.]</w:t>
      </w:r>
    </w:p>
    <w:p>
      <w:pPr>
        <w:ind w:left="288"/>
      </w:pPr>
      <w:r>
        <w:rPr>
          <w:color w:val="8C8C8C"/>
          <w:sz w:val="12"/>
        </w:rPr>
        <w:t>cf-art-37-par-5</w:t>
      </w:r>
      <w:r>
        <w:rPr>
          <w:color w:val="003CA0"/>
          <w:sz w:val="12"/>
        </w:rPr>
        <w:t xml:space="preserve"> | ARE 1.542.302</w:t>
      </w:r>
      <w:r>
        <w:rPr>
          <w:color w:val="003CA0"/>
          <w:sz w:val="12"/>
        </w:rPr>
        <w:t xml:space="preserve"> | rel. Flávio Dino</w:t>
      </w:r>
    </w:p>
    <w:p>
      <w:pPr>
        <w:ind w:left="288"/>
      </w:pPr>
      <w:r>
        <w:rPr>
          <w:color w:val="1E1E1E"/>
          <w:sz w:val="18"/>
        </w:rPr>
        <w:t>A imprescritibilidade das ações de ressarcimento ao Erário não se restringe apenas aos atos de improbidade que causam prejuízo patrimonial direto (art. 10 da LIA), mas também abrange aqueles que importam enriquecimento ilícito (art. 9º da LIA) e os que violam os deveres de honestidade, imparcialidade e legalidade (art. 11 da LIA), desde que deles resulte dano ao patrimônio público. A exigência de comprovação de responsabilidade subjetiva (dolo) para a tipificação dos atos de improbidade administrativa, assentada no Tema 1.199, não condiciona as ações de ressarcimento exclusivamente às condutas</w:t>
      </w:r>
    </w:p>
    <w:p>
      <w:pPr>
        <w:ind w:left="288"/>
      </w:pPr>
      <w:r>
        <w:rPr>
          <w:b/>
          <w:color w:val="003CA0"/>
          <w:sz w:val="16"/>
        </w:rPr>
        <w:t>[ARE 1.542.302 AgR, rel. min. Flávio Dino, j. 25.08.2025, 1ª T, DJE de 29.08.2025.]</w:t>
      </w:r>
    </w:p>
    <w:p>
      <w:pPr>
        <w:ind w:left="288"/>
      </w:pPr>
      <w:r>
        <w:rPr>
          <w:color w:val="8C8C8C"/>
          <w:sz w:val="12"/>
        </w:rPr>
        <w:t>cf-art-37-par-5</w:t>
      </w:r>
      <w:r>
        <w:rPr>
          <w:color w:val="003CA0"/>
          <w:sz w:val="12"/>
        </w:rPr>
        <w:t xml:space="preserve"> | MS 24.519</w:t>
      </w:r>
      <w:r>
        <w:rPr>
          <w:color w:val="003CA0"/>
          <w:sz w:val="12"/>
        </w:rPr>
        <w:t xml:space="preserve"> | rel. Eros Grau. Incidência</w:t>
      </w:r>
    </w:p>
    <w:p>
      <w:pPr>
        <w:ind w:left="288"/>
      </w:pPr>
      <w:r>
        <w:rPr>
          <w:color w:val="1E1E1E"/>
          <w:sz w:val="18"/>
        </w:rPr>
        <w:t>TCU. Bolsista do CNPq. Descumprimento da obrigação de retornar ao País após término da concessão de bolsa para estudo no exterior. Ressarcimento ao erário. Inocorrência de prescrição. Denegação da segurança. O beneficiário de bolsa de estudos no exterior patrocinada pelo poder público não pode alegar desconhecimento de obrigação constante no contrato por ele subscrito e nas normas do órgão provedor. Precedente: MS 24.519, rel. min. Eros Grau. Incidência, na espécie, do disposto no art. 37, § 5º, da CF, no tocante à alegada prescrição.</w:t>
        <w:br/>
        <w:t xml:space="preserve">[MS 26.210, rel. min. Ricardo Lewandowski, j. 4-9-2008, P, </w:t>
      </w:r>
    </w:p>
    <w:p>
      <w:pPr>
        <w:ind w:left="144"/>
      </w:pPr>
      <w:r>
        <w:rPr>
          <w:b/>
          <w:color w:val="B45A00"/>
          <w:sz w:val="16"/>
        </w:rPr>
        <w:t>CONTROLE CONCENTRADO</w:t>
      </w:r>
    </w:p>
    <w:p>
      <w:pPr>
        <w:ind w:left="288"/>
      </w:pPr>
      <w:r>
        <w:rPr>
          <w:color w:val="8C8C8C"/>
          <w:sz w:val="12"/>
        </w:rPr>
        <w:t>cf-art-37-par-6</w:t>
      </w:r>
      <w:r>
        <w:rPr>
          <w:color w:val="003CA0"/>
          <w:sz w:val="12"/>
        </w:rPr>
        <w:t xml:space="preserve"> | ADI 6.428</w:t>
      </w:r>
      <w:r>
        <w:rPr>
          <w:color w:val="003CA0"/>
          <w:sz w:val="12"/>
        </w:rPr>
        <w:t xml:space="preserve"> | rel. Luís Roberto Barroso</w:t>
      </w:r>
    </w:p>
    <w:p>
      <w:pPr>
        <w:ind w:left="288"/>
      </w:pPr>
      <w:r>
        <w:rPr>
          <w:color w:val="1E1E1E"/>
          <w:sz w:val="18"/>
        </w:rPr>
        <w:t>“1. Compete ao legislador ordinário dimensionar o conceito de culpa previsto no art. 37, § 6º, da CF, respeitado o princípio da proporcionalidade, em especial na sua vertente de vedação à proteção insuficiente. 2. Estão abrangidas pela ideia de erro grosseiro as noções de imprudência, negligência e imperícia, quando efetivamente graves.”</w:t>
        <w:br/>
        <w:t>[ADI 6.428, rel. min. Luís Roberto Barroso, j. 11.03.2024, P, DJE de 17.04.2024.] A unidade da Federação responde por danos causados a custodiado quando a prisão tenha decorrido de iniciativa própria.</w:t>
      </w:r>
    </w:p>
    <w:p>
      <w:pPr>
        <w:ind w:left="288"/>
      </w:pPr>
      <w:r>
        <w:rPr>
          <w:b/>
          <w:color w:val="003CA0"/>
          <w:sz w:val="16"/>
        </w:rPr>
        <w:t>[ADI 3.738, rel. min. Marco Aurélio, j. 3-11-2020, P, DJE de 10-2-2021.]</w:t>
      </w:r>
    </w:p>
    <w:p>
      <w:pPr>
        <w:ind w:left="288"/>
      </w:pPr>
      <w:r>
        <w:rPr>
          <w:color w:val="8C8C8C"/>
          <w:sz w:val="12"/>
        </w:rPr>
        <w:t>cf-art-37-par-6</w:t>
      </w:r>
      <w:r>
        <w:rPr>
          <w:color w:val="003CA0"/>
          <w:sz w:val="12"/>
        </w:rPr>
        <w:t xml:space="preserve"> | ADI 6.421</w:t>
      </w:r>
      <w:r>
        <w:rPr>
          <w:color w:val="003CA0"/>
          <w:sz w:val="12"/>
        </w:rPr>
        <w:t xml:space="preserve"> | rel. Roberto Barroso</w:t>
      </w:r>
    </w:p>
    <w:p>
      <w:pPr>
        <w:ind w:left="288"/>
      </w:pPr>
      <w:r>
        <w:rPr>
          <w:color w:val="1E1E1E"/>
          <w:sz w:val="18"/>
        </w:rPr>
        <w:t>Responsabilidade civil e administrativa de Agentes Públicos. Atos relacionados à pandemia de COVID-19. Medida Provisória 966/2020. (...) Configura erro grosseiro o ato administrativo que ensejar violação ao direito à vida, à saúde, ao meio ambiente equilibrado ou impactos adversos à economia, por inobservância: (i) de normas e critérios científicos e técnicos; ou (ii) dos princípios constitucionais da precaução e da prevenção. A autoridade a quem compete decidir deve exigir que as opiniões técnicas em que baseará sua decisão tratem expressamente: (i) das normas e critérios científicos e técnic</w:t>
      </w:r>
    </w:p>
    <w:p>
      <w:pPr>
        <w:ind w:left="288"/>
      </w:pPr>
      <w:r>
        <w:rPr>
          <w:b/>
          <w:color w:val="003CA0"/>
          <w:sz w:val="16"/>
        </w:rPr>
        <w:t>[ADI 6.421 MC, rel. min. Roberto Barroso, j. 21-5-2020, P, DJE de 12-11-2020.]</w:t>
      </w:r>
    </w:p>
    <w:p>
      <w:pPr>
        <w:ind w:left="288"/>
      </w:pPr>
      <w:r>
        <w:rPr>
          <w:color w:val="8C8C8C"/>
          <w:sz w:val="12"/>
        </w:rPr>
        <w:t>cf-art-37-par-6</w:t>
      </w:r>
      <w:r>
        <w:rPr>
          <w:color w:val="003CA0"/>
          <w:sz w:val="12"/>
        </w:rPr>
        <w:t xml:space="preserve"> | ADI 2.418</w:t>
      </w:r>
      <w:r>
        <w:rPr>
          <w:color w:val="003CA0"/>
          <w:sz w:val="12"/>
        </w:rPr>
        <w:t xml:space="preserve"> | rel. Teori Zavascki</w:t>
      </w:r>
    </w:p>
    <w:p>
      <w:pPr>
        <w:ind w:left="288"/>
      </w:pPr>
      <w:r>
        <w:rPr>
          <w:color w:val="1E1E1E"/>
          <w:sz w:val="18"/>
        </w:rPr>
        <w:t>É constitucional a norma decorrente do art. 1º-C da Lei 9.494/1997, que fixa em cinco anos o prazo prescricional para as ações de indenização por danos causados por agentes de pessoas jurídicas de direito público e de pessoas jurídicas de direito privado prestadoras de serviços públicos, reproduzindo a regra já estabelecida, para a União, os Estados e os Municípios, no art. 1º do Decreto 20.910/1932.</w:t>
      </w:r>
    </w:p>
    <w:p>
      <w:pPr>
        <w:ind w:left="288"/>
      </w:pPr>
      <w:r>
        <w:rPr>
          <w:b/>
          <w:color w:val="003CA0"/>
          <w:sz w:val="16"/>
        </w:rPr>
        <w:t>[ADI 2.418, rel. min. Teori Zavascki, j. 4-5-2016, P, DJE de 17-11-2016.]</w:t>
      </w:r>
    </w:p>
    <w:p>
      <w:pPr>
        <w:ind w:left="288"/>
      </w:pPr>
      <w:r>
        <w:rPr>
          <w:color w:val="8C8C8C"/>
          <w:sz w:val="12"/>
        </w:rPr>
        <w:t>cf-art-37-par-6</w:t>
      </w:r>
      <w:r>
        <w:rPr>
          <w:color w:val="003CA0"/>
          <w:sz w:val="12"/>
        </w:rPr>
        <w:t xml:space="preserve"> | ADI 1.358</w:t>
      </w:r>
      <w:r>
        <w:rPr>
          <w:color w:val="003CA0"/>
          <w:sz w:val="12"/>
        </w:rPr>
        <w:t xml:space="preserve"> | rel. Gilmar Mendes</w:t>
      </w:r>
    </w:p>
    <w:p>
      <w:pPr>
        <w:ind w:left="288"/>
      </w:pPr>
      <w:r>
        <w:rPr>
          <w:color w:val="1E1E1E"/>
          <w:sz w:val="18"/>
        </w:rPr>
        <w:t>Pensão especial a cônjuge de vítima assassinada no Distrito Federal. Lei que impõe ao Distrito Federal responsabilidade além da prevista no art. 37, § 6º, da Constituição. Inocorrência da hipótese de assistência social. Inconstitucionalidade do art. 1º da Lei 842/1994.</w:t>
      </w:r>
    </w:p>
    <w:p>
      <w:pPr>
        <w:ind w:left="288"/>
      </w:pPr>
      <w:r>
        <w:rPr>
          <w:b/>
          <w:color w:val="003CA0"/>
          <w:sz w:val="16"/>
        </w:rPr>
        <w:t>[ADI 1.358, rel. min. Gilmar Mendes, j. 4-2-2015, P, DJE de 3-3-2015.]</w:t>
      </w:r>
    </w:p>
    <w:p>
      <w:pPr>
        <w:ind w:left="288"/>
      </w:pPr>
      <w:r>
        <w:rPr>
          <w:color w:val="8C8C8C"/>
          <w:sz w:val="12"/>
        </w:rPr>
        <w:t>cf-art-37-par-6</w:t>
      </w:r>
      <w:r>
        <w:rPr>
          <w:color w:val="003CA0"/>
          <w:sz w:val="12"/>
        </w:rPr>
        <w:t xml:space="preserve"> | ADI 4.976</w:t>
      </w:r>
      <w:r>
        <w:rPr>
          <w:color w:val="003CA0"/>
          <w:sz w:val="12"/>
        </w:rPr>
        <w:t xml:space="preserve"> | rel. Ricardo Lewandowski</w:t>
      </w:r>
    </w:p>
    <w:p>
      <w:pPr>
        <w:ind w:left="288"/>
      </w:pPr>
      <w:r>
        <w:rPr>
          <w:color w:val="1E1E1E"/>
          <w:sz w:val="18"/>
        </w:rPr>
        <w:t>A disposição contida no art. 37, § 6º, da CF não esgota a matéria relacionada à responsabilidade civil imputável à administração; pois, em situações especiais de grave risco para a população ou de relevante interesse público, pode o Estado ampliar a respectiva responsabilidade, por danos decorrentes de sua ação ou omissão, para além das balizas do supramencionado dispositivo constitucional, inclusive por lei ordinária, dividindo os ônus decorrentes dessa extensão com toda a sociedade. Validade do oferecimento pela União, mediante autorização legal, de garantia adicional, de natureza tipicament</w:t>
      </w:r>
    </w:p>
    <w:p>
      <w:pPr>
        <w:ind w:left="288"/>
      </w:pPr>
      <w:r>
        <w:rPr>
          <w:b/>
          <w:color w:val="003CA0"/>
          <w:sz w:val="16"/>
        </w:rPr>
        <w:t>[ADI 4.976, rel. min. Ricardo Lewandowski, j. 7-5-2014, P, DJE de 30-10-2014.]</w:t>
      </w:r>
    </w:p>
    <w:p>
      <w:pPr>
        <w:ind w:left="288"/>
      </w:pPr>
      <w:r>
        <w:rPr>
          <w:color w:val="8C8C8C"/>
          <w:sz w:val="12"/>
        </w:rPr>
        <w:t>cf-art-37-par-6</w:t>
      </w:r>
      <w:r>
        <w:rPr>
          <w:color w:val="003CA0"/>
          <w:sz w:val="12"/>
        </w:rPr>
        <w:t xml:space="preserve"> | RE 632.115</w:t>
      </w:r>
      <w:r>
        <w:rPr>
          <w:color w:val="003CA0"/>
          <w:sz w:val="12"/>
        </w:rPr>
        <w:t xml:space="preserve"> | rel. Luís Roberto Barroso</w:t>
      </w:r>
    </w:p>
    <w:p>
      <w:pPr>
        <w:ind w:left="288"/>
      </w:pPr>
      <w:r>
        <w:rPr>
          <w:color w:val="1E1E1E"/>
          <w:sz w:val="18"/>
        </w:rPr>
        <w:t>“1. A imunidade material parlamentar (art. 53, caput, c/c art. 27, § 1º, e art. 29, VIII, CF/1988) configura excludente da responsabilidade civil objetiva do Estado (art. 37, § 6º, CF/1988), afastando qualquer pretensão indenizatória em face do ente público por opiniões, palavras e votos cobertos por essa garantia. 2. Nas hipóteses em que a conduta do parlamentar extrapolar os limites da imunidade material, eventual responsabilização recairá de forma pessoal, direta e exclusiva sobre o próprio parlamentar, sob o regime de responsabilidade civil subjetiva.”</w:t>
      </w:r>
    </w:p>
    <w:p>
      <w:pPr>
        <w:ind w:left="288"/>
      </w:pPr>
      <w:r>
        <w:rPr>
          <w:b/>
          <w:color w:val="003CA0"/>
          <w:sz w:val="16"/>
        </w:rPr>
        <w:t>[RE 632.115, rel. min. Luís Roberto Barroso, j. 29.09.2025, P, DJE de 01.12.2025, Tema 950, com mérito julgado.]</w:t>
      </w:r>
    </w:p>
    <w:p>
      <w:pPr>
        <w:ind w:left="288"/>
      </w:pPr>
      <w:r>
        <w:rPr>
          <w:color w:val="8C8C8C"/>
          <w:sz w:val="12"/>
        </w:rPr>
        <w:t>cf-art-37-par-6</w:t>
      </w:r>
      <w:r>
        <w:rPr>
          <w:color w:val="003CA0"/>
          <w:sz w:val="12"/>
        </w:rPr>
        <w:t xml:space="preserve"> | RE 1.298.647</w:t>
      </w:r>
      <w:r>
        <w:rPr>
          <w:color w:val="003CA0"/>
          <w:sz w:val="12"/>
        </w:rPr>
        <w:t xml:space="preserve"> | rel. Nunes Marques</w:t>
      </w:r>
    </w:p>
    <w:p>
      <w:pPr>
        <w:ind w:left="288"/>
      </w:pPr>
      <w:r>
        <w:rPr>
          <w:color w:val="1E1E1E"/>
          <w:sz w:val="18"/>
        </w:rPr>
        <w:t>“1. Não há responsabilidade subsidiária da Administração Pública por encargos trabalhistas gerados pelo inadimplemento de empresa prestadora de serviços contratada, se amparada exclusivamente na premissa da inversão do ônus da prova, remanescendo imprescindível a comprovação, pela parte autora, da efetiva existência de comportamento negligente ou nexo de causalidade entre o dano por ele invocado e a conduta comissiva ou omissiva do poder público. 2. Haverá comportamento negligente quando a Administração Pública permanecer inerte após o recebimento de notificação formal de que a empresa contrat</w:t>
      </w:r>
    </w:p>
    <w:p>
      <w:pPr>
        <w:ind w:left="288"/>
      </w:pPr>
      <w:r>
        <w:rPr>
          <w:b/>
          <w:color w:val="003CA0"/>
          <w:sz w:val="16"/>
        </w:rPr>
        <w:t>[RE 1.298.647, rel. min. Nunes Marques, j. 13.02.2025, P, DJE de 15.04.2025, Tema 1.118, com mérito julgado.]</w:t>
      </w:r>
    </w:p>
    <w:p>
      <w:pPr>
        <w:ind w:left="288"/>
      </w:pPr>
      <w:r>
        <w:rPr>
          <w:color w:val="8C8C8C"/>
          <w:sz w:val="12"/>
        </w:rPr>
        <w:t>cf-art-37-par-6</w:t>
      </w:r>
      <w:r>
        <w:rPr>
          <w:color w:val="003CA0"/>
          <w:sz w:val="12"/>
        </w:rPr>
        <w:t xml:space="preserve"> | RE 1.522.507</w:t>
      </w:r>
      <w:r>
        <w:rPr>
          <w:color w:val="003CA0"/>
          <w:sz w:val="12"/>
        </w:rPr>
        <w:t xml:space="preserve"> | rel. Luís Roberto Barroso</w:t>
      </w:r>
    </w:p>
    <w:p>
      <w:pPr>
        <w:ind w:left="288"/>
      </w:pPr>
      <w:r>
        <w:rPr>
          <w:color w:val="1E1E1E"/>
          <w:sz w:val="18"/>
        </w:rPr>
        <w:t>“É infraconstitucional e pressupõe o exame de matéria fática a controvérsia sobre a legitimidade para o cumprimento individual de sentença coletiva”.</w:t>
      </w:r>
    </w:p>
    <w:p>
      <w:pPr>
        <w:ind w:left="288"/>
      </w:pPr>
      <w:r>
        <w:rPr>
          <w:b/>
          <w:color w:val="003CA0"/>
          <w:sz w:val="16"/>
        </w:rPr>
        <w:t>[RE 1.522.507 RG, rel. min. Luís Roberto Barroso, j. 11.11.2024, P, DJE de 14.11.2024, Tema 1.354, com repercussão geral negada.]</w:t>
      </w:r>
    </w:p>
    <w:p>
      <w:pPr>
        <w:ind w:left="144"/>
      </w:pPr>
      <w:r>
        <w:rPr>
          <w:b/>
          <w:color w:val="B45A00"/>
          <w:sz w:val="16"/>
        </w:rPr>
        <w:t>REPERCUSSAO GERAL</w:t>
      </w:r>
    </w:p>
    <w:p>
      <w:pPr>
        <w:ind w:left="288"/>
      </w:pPr>
      <w:r>
        <w:rPr>
          <w:color w:val="8C8C8C"/>
          <w:sz w:val="12"/>
        </w:rPr>
        <w:t>cf-art-37-par-6</w:t>
      </w:r>
      <w:r>
        <w:rPr>
          <w:color w:val="003CA0"/>
          <w:sz w:val="12"/>
        </w:rPr>
        <w:t xml:space="preserve"> | RE 1.455.038</w:t>
      </w:r>
      <w:r>
        <w:rPr>
          <w:color w:val="003CA0"/>
          <w:sz w:val="12"/>
        </w:rPr>
        <w:t xml:space="preserve"> | rel. Luís Roberto Barroso</w:t>
      </w:r>
    </w:p>
    <w:p>
      <w:pPr>
        <w:ind w:left="288"/>
      </w:pPr>
      <w:r>
        <w:rPr>
          <w:color w:val="1E1E1E"/>
          <w:sz w:val="18"/>
        </w:rPr>
        <w:t>“O adiamento de exame de concurso público por motivo de biossegurança relacionado à pandemia do COVID19 não impõe ao Estado o dever de indenizar”.</w:t>
        <w:br/>
        <w:t>[RE 1.455.038 RG, rel. min. Luís Roberto Barroso, j. 05.11.2024, P, DJE de 08.11.2024, Tema 1.347, com mérito julgado.] “É infraconstitucional e pressupõe o exame de matéria fática a controvérsia sobre a responsabilidade civil do Estado por exposição de agentes públicos a pesticida organoclorado DDT, a partir da ciência de toxidade do agente químico”.</w:t>
      </w:r>
    </w:p>
    <w:p>
      <w:pPr>
        <w:ind w:left="288"/>
      </w:pPr>
      <w:r>
        <w:rPr>
          <w:b/>
          <w:color w:val="003CA0"/>
          <w:sz w:val="16"/>
        </w:rPr>
        <w:t>[ARE 1.515.052 RG, rel. min. Luís Roberto Barroso, j. 27.09.2024, P, DJE de 01.10.2024, Tema 1.325, com repercussão geral negada.]</w:t>
      </w:r>
    </w:p>
    <w:p>
      <w:pPr>
        <w:ind w:left="288"/>
      </w:pPr>
      <w:r>
        <w:rPr>
          <w:color w:val="8C8C8C"/>
          <w:sz w:val="12"/>
        </w:rPr>
        <w:t>cf-art-37-par-6</w:t>
      </w:r>
      <w:r>
        <w:rPr>
          <w:color w:val="003CA0"/>
          <w:sz w:val="12"/>
        </w:rPr>
        <w:t xml:space="preserve"> | ARE 1.385.315</w:t>
      </w:r>
      <w:r>
        <w:rPr>
          <w:color w:val="003CA0"/>
          <w:sz w:val="12"/>
        </w:rPr>
        <w:t xml:space="preserve"> | rel. Edson Fachin</w:t>
      </w:r>
    </w:p>
    <w:p>
      <w:pPr>
        <w:ind w:left="288"/>
      </w:pPr>
      <w:r>
        <w:rPr>
          <w:color w:val="1E1E1E"/>
          <w:sz w:val="18"/>
        </w:rPr>
        <w:t>“(i) O Estado é responsável, na esfera cível, por morte ou ferimento decorrente de operações de segurança pública, nos termos da Teoria do Risco Administrativo; (ii) é ônus probatório do ente federativo demonstrar eventuais excludentes de responsabilidade civil; (iii) a perícia inconclusiva sobre a origem de disparo fatal durante operações policiais e militares não é suficiente, por si só, para afastar a responsabilidade civil do Estado, por constituir elemento indiciário”.</w:t>
        <w:br/>
        <w:t>[ARE 1.385.315, voto do rel. min. Edson Fachin, j. 11.04.2024, P, DJE de 13.06.2024, Tema 1.237, com mérito julgado.] É o</w:t>
      </w:r>
    </w:p>
    <w:p>
      <w:pPr>
        <w:ind w:left="288"/>
      </w:pPr>
      <w:r>
        <w:rPr>
          <w:b/>
          <w:color w:val="003CA0"/>
          <w:sz w:val="16"/>
        </w:rPr>
        <w:t>[RE 1.209.429, red. do ac. Min. Alexandre de Moraes, rel. min. Marco Aurélio, j. 10-6-2021, P, DJE de 20-10-2021, RG, Tema 1.055, com mérito julgado.]</w:t>
      </w:r>
    </w:p>
    <w:p>
      <w:pPr>
        <w:ind w:left="288"/>
      </w:pPr>
      <w:r>
        <w:rPr>
          <w:color w:val="8C8C8C"/>
          <w:sz w:val="12"/>
        </w:rPr>
        <w:t>cf-art-37-par-6</w:t>
      </w:r>
      <w:r>
        <w:rPr>
          <w:color w:val="003CA0"/>
          <w:sz w:val="12"/>
        </w:rPr>
        <w:t xml:space="preserve"> | RE 608.880</w:t>
      </w:r>
    </w:p>
    <w:p>
      <w:pPr>
        <w:ind w:left="288"/>
      </w:pPr>
      <w:r>
        <w:rPr>
          <w:color w:val="1E1E1E"/>
          <w:sz w:val="18"/>
        </w:rPr>
        <w:t>Nos termos do artigo 37, § 6º, da Constituição Federal, não se caracteriza a responsabilidade civil objetiva do Estado por danos decorrentes de crime praticado por pessoa foragida do sistema prisional, quando não demonstrado o nexo causal direto entre o momento da fuga e a conduta praticada.</w:t>
      </w:r>
    </w:p>
    <w:p>
      <w:pPr>
        <w:ind w:left="288"/>
      </w:pPr>
      <w:r>
        <w:rPr>
          <w:b/>
          <w:color w:val="003CA0"/>
          <w:sz w:val="16"/>
        </w:rPr>
        <w:t>[RE 608.880, red. do ac. min. Alexandre de Moraes, j. 8-9-2020, P, DJE de 1º-10-2020, Tema 362, com mérito julgado.]</w:t>
      </w:r>
    </w:p>
    <w:p>
      <w:pPr>
        <w:ind w:left="288"/>
      </w:pPr>
      <w:r>
        <w:rPr>
          <w:color w:val="8C8C8C"/>
          <w:sz w:val="12"/>
        </w:rPr>
        <w:t>cf-art-37-par-6</w:t>
      </w:r>
      <w:r>
        <w:rPr>
          <w:color w:val="003CA0"/>
          <w:sz w:val="12"/>
        </w:rPr>
        <w:t xml:space="preserve"> | ARE 884.325</w:t>
      </w:r>
      <w:r>
        <w:rPr>
          <w:color w:val="003CA0"/>
          <w:sz w:val="12"/>
        </w:rPr>
        <w:t xml:space="preserve"> | rel. Edson Fachin</w:t>
      </w:r>
    </w:p>
    <w:p>
      <w:pPr>
        <w:ind w:left="288"/>
      </w:pPr>
      <w:r>
        <w:rPr>
          <w:color w:val="1E1E1E"/>
          <w:sz w:val="18"/>
        </w:rPr>
        <w:t>A responsabilidade civil do Estado ocorre sempre que preenchidos os seguintes requisitos: a) dano; b) ação administrativa; c) nexo causal entre o dano e ação administrativa. Precedentes. A atuação do Estado sobre o domínio econômico por meio de normas de direção pode, potencialmente, atingir a lucratividade dos agentes econômicos. A política de fixação de preços constitui, em si mesma, uma limitação de lucros, razão pela qual a indenizabilidade de eventual dano atinge somente o efetivo prejuízo econômico, apurado por meio de perícia técnica. Hipótese em que não se demonstrou o efetivo prejuízo</w:t>
      </w:r>
    </w:p>
    <w:p>
      <w:pPr>
        <w:ind w:left="288"/>
      </w:pPr>
      <w:r>
        <w:rPr>
          <w:b/>
          <w:color w:val="003CA0"/>
          <w:sz w:val="16"/>
        </w:rPr>
        <w:t>[ARE 884.325, rel. min. Edson Fachin, j. 18-8-2020, P, DJE de 4-9-2020, Tema 826, com mérito julgado.]</w:t>
      </w:r>
    </w:p>
    <w:p>
      <w:pPr>
        <w:ind w:left="288"/>
      </w:pPr>
      <w:r>
        <w:rPr>
          <w:color w:val="8C8C8C"/>
          <w:sz w:val="12"/>
        </w:rPr>
        <w:t>cf-art-37-par-6</w:t>
      </w:r>
      <w:r>
        <w:rPr>
          <w:color w:val="003CA0"/>
          <w:sz w:val="12"/>
        </w:rPr>
        <w:t xml:space="preserve"> | RE 662.405</w:t>
      </w:r>
      <w:r>
        <w:rPr>
          <w:color w:val="003CA0"/>
          <w:sz w:val="12"/>
        </w:rPr>
        <w:t xml:space="preserve"> | rel. Luiz Fux</w:t>
      </w:r>
    </w:p>
    <w:p>
      <w:pPr>
        <w:ind w:left="288"/>
      </w:pPr>
      <w:r>
        <w:rPr>
          <w:color w:val="1E1E1E"/>
          <w:sz w:val="18"/>
        </w:rPr>
        <w:t>O Estado responde subsidiariamente por danos materiais causados a candidatos em concurso público organizado por pessoa jurídica de direito privado (art. 37, § 6º, da CRFB/88), quando os exames são cancelados por indícios de fraude.</w:t>
      </w:r>
    </w:p>
    <w:p>
      <w:pPr>
        <w:ind w:left="288"/>
      </w:pPr>
      <w:r>
        <w:rPr>
          <w:b/>
          <w:color w:val="003CA0"/>
          <w:sz w:val="16"/>
        </w:rPr>
        <w:t>[RE 662.405, rel. min. Luiz Fux, j. 29-6-2020, P, DJE de 13-8-2020 Tema 512, com mérito julgado.]</w:t>
      </w:r>
    </w:p>
    <w:p>
      <w:pPr>
        <w:ind w:left="288"/>
      </w:pPr>
      <w:r>
        <w:rPr>
          <w:color w:val="8C8C8C"/>
          <w:sz w:val="12"/>
        </w:rPr>
        <w:t>cf-art-37-par-6</w:t>
      </w:r>
      <w:r>
        <w:rPr>
          <w:color w:val="003CA0"/>
          <w:sz w:val="12"/>
        </w:rPr>
        <w:t xml:space="preserve"> | RE 136.861</w:t>
      </w:r>
    </w:p>
    <w:p>
      <w:pPr>
        <w:ind w:left="288"/>
      </w:pPr>
      <w:r>
        <w:rPr>
          <w:color w:val="1E1E1E"/>
          <w:sz w:val="18"/>
        </w:rPr>
        <w:t>Para que fique caracterizada a responsabilidade civil do Estado por danos decorrentes do comércio de fogos de artifício, é necessário que exista a violação de um dever jurídico específico de agir, que ocorrerá quando for concedida a licença para funcionamento sem as cautelas legais ou quando for de conhecimento do poder público eventuais irregularidades praticadas pelo particular.</w:t>
      </w:r>
    </w:p>
    <w:p>
      <w:pPr>
        <w:ind w:left="288"/>
      </w:pPr>
      <w:r>
        <w:rPr>
          <w:b/>
          <w:color w:val="003CA0"/>
          <w:sz w:val="16"/>
        </w:rPr>
        <w:t>[RE 136.861, red. do ac. min. Alexandre de Moraes, j. 11-3-2020, P, DJE de 13-8-2020 Tema 366, com mérito julgado.]</w:t>
      </w:r>
    </w:p>
    <w:p>
      <w:pPr>
        <w:ind w:left="288"/>
      </w:pPr>
      <w:r>
        <w:rPr>
          <w:color w:val="8C8C8C"/>
          <w:sz w:val="12"/>
        </w:rPr>
        <w:t>cf-art-37-par-6</w:t>
      </w:r>
      <w:r>
        <w:rPr>
          <w:color w:val="003CA0"/>
          <w:sz w:val="12"/>
        </w:rPr>
        <w:t xml:space="preserve"> | RE 1.027.633</w:t>
      </w:r>
      <w:r>
        <w:rPr>
          <w:color w:val="003CA0"/>
          <w:sz w:val="12"/>
        </w:rPr>
        <w:t xml:space="preserve"> | rel. Marco Aurélio</w:t>
      </w:r>
    </w:p>
    <w:p>
      <w:pPr>
        <w:ind w:left="288"/>
      </w:pPr>
      <w:r>
        <w:rPr>
          <w:color w:val="1E1E1E"/>
          <w:sz w:val="18"/>
        </w:rPr>
        <w:t>A teor do disposto no artigo 37, § 6º, da Constituição Federal, a ação por danos causados por agente público deve ser ajuizada contra o Estado ou a pessoa jurídica privada prestadora de serviço público, sendo parte ilegítima passiva o autor do ato.</w:t>
      </w:r>
    </w:p>
    <w:p>
      <w:pPr>
        <w:ind w:left="288"/>
      </w:pPr>
      <w:r>
        <w:rPr>
          <w:b/>
          <w:color w:val="003CA0"/>
          <w:sz w:val="16"/>
        </w:rPr>
        <w:t>[RE 1.027.633, voto do rel. min. Marco Aurélio, j. 14-8-2019, P, DJE de 6-12-2019, Tema 940, com mérito julgado.]</w:t>
      </w:r>
    </w:p>
    <w:p>
      <w:pPr>
        <w:ind w:left="288"/>
      </w:pPr>
      <w:r>
        <w:rPr>
          <w:color w:val="8C8C8C"/>
          <w:sz w:val="12"/>
        </w:rPr>
        <w:t>cf-art-37-par-6</w:t>
      </w:r>
      <w:r>
        <w:rPr>
          <w:color w:val="003CA0"/>
          <w:sz w:val="12"/>
        </w:rPr>
        <w:t xml:space="preserve"> | RE 760.931</w:t>
      </w:r>
      <w:r>
        <w:rPr>
          <w:color w:val="003CA0"/>
          <w:sz w:val="12"/>
        </w:rPr>
        <w:t xml:space="preserve"> | rel. Roberto Barroso</w:t>
      </w:r>
    </w:p>
    <w:p>
      <w:pPr>
        <w:ind w:left="288"/>
      </w:pPr>
      <w:r>
        <w:rPr>
          <w:color w:val="1E1E1E"/>
          <w:sz w:val="18"/>
        </w:rPr>
        <w:t>O inadimplemento dos encargos trabalhistas dos empregados do contratado não transfere automaticamente ao poder público contratante a responsabilidade pelo seu pagamento, seja em caráter solidário ou subsidiário, nos termos do art. 71, § 1º, da Lei 8.666/1993.</w:t>
      </w:r>
    </w:p>
    <w:p>
      <w:pPr>
        <w:ind w:left="288"/>
      </w:pPr>
      <w:r>
        <w:rPr>
          <w:b/>
          <w:color w:val="003CA0"/>
          <w:sz w:val="16"/>
        </w:rPr>
        <w:t>[RE 760.931, red. do ac. min. Luiz Fux, j. 26-4-2017, P, DJE de 12-9-2017, Tema 246, com mérito julgado.]</w:t>
        <w:br/>
        <w:t>Vide Rcl 28.623 AgR, rel. min. Roberto Barroso, j. 12-12-2017, 1ª T,DJE de 7-2-2018</w:t>
        <w:br/>
        <w:t>Vide Rcl 12.580 AgR, rel. min. Celso de Mello, j. 21-2-2013,</w:t>
      </w:r>
    </w:p>
    <w:p>
      <w:pPr>
        <w:ind w:left="288"/>
      </w:pPr>
      <w:r>
        <w:rPr>
          <w:color w:val="8C8C8C"/>
          <w:sz w:val="12"/>
        </w:rPr>
        <w:t>cf-art-37-par-6</w:t>
      </w:r>
      <w:r>
        <w:rPr>
          <w:color w:val="003CA0"/>
          <w:sz w:val="12"/>
        </w:rPr>
        <w:t xml:space="preserve"> | RE 580.252</w:t>
      </w:r>
    </w:p>
    <w:p>
      <w:pPr>
        <w:ind w:left="288"/>
      </w:pPr>
      <w:r>
        <w:rPr>
          <w:color w:val="1E1E1E"/>
          <w:sz w:val="18"/>
        </w:rPr>
        <w:t>Considerando que é dever do Estado, imposto pelo sistema normativo, manter em seus presídios os padrões mínimos de humanidade previstos no ordenamento jurídico, é de sua responsabilidade, nos termos do art. 37, § 6º, da Constituição, a obrigação de ressarcir os danos, inclusive morais, comprovadamente causados aos detentos em decorrência da falta ou insuficiência das condições legais de encarceramento.</w:t>
        <w:br/>
        <w:t>[RE 580.252, red. do ac. min. Gilmar Mendes, j. 16-2-2017, P, DJE de 11-9-2017, Tema 365, com mérito julgado.]</w:t>
      </w:r>
    </w:p>
    <w:p>
      <w:pPr>
        <w:ind w:left="288"/>
      </w:pPr>
      <w:r>
        <w:rPr>
          <w:color w:val="8C8C8C"/>
          <w:sz w:val="12"/>
        </w:rPr>
        <w:t>cf-art-37-par-6</w:t>
      </w:r>
      <w:r>
        <w:rPr>
          <w:color w:val="003CA0"/>
          <w:sz w:val="12"/>
        </w:rPr>
        <w:t xml:space="preserve"> | RE 724.347</w:t>
      </w:r>
    </w:p>
    <w:p>
      <w:pPr>
        <w:ind w:left="288"/>
      </w:pPr>
      <w:r>
        <w:rPr>
          <w:color w:val="1E1E1E"/>
          <w:sz w:val="18"/>
        </w:rPr>
        <w:t>Responsabilidade civil do Estado. Investidura em cargo público por força de decisão judicial. Tese afirmada em repercussão geral: na hipótese de posse em cargo público determinada por decisão judicial, o servidor não faz jus a indenização, sob fundamento de que deveria ter sido investido em momento anterior, salvo situação de arbitrariedade flagrante.</w:t>
      </w:r>
    </w:p>
    <w:p>
      <w:pPr>
        <w:ind w:left="288"/>
      </w:pPr>
      <w:r>
        <w:rPr>
          <w:b/>
          <w:color w:val="003CA0"/>
          <w:sz w:val="16"/>
        </w:rPr>
        <w:t>[RE 724.347, red. do ac. min. Roberto Barroso, j. 26-2-2015, P, DJE de 13-5-2015, Tema 671, com mérito julgado.]</w:t>
      </w:r>
    </w:p>
    <w:p>
      <w:pPr>
        <w:ind w:left="288"/>
      </w:pPr>
      <w:r>
        <w:rPr>
          <w:color w:val="8C8C8C"/>
          <w:sz w:val="12"/>
        </w:rPr>
        <w:t>cf-art-37-par-6</w:t>
      </w:r>
      <w:r>
        <w:rPr>
          <w:color w:val="003CA0"/>
          <w:sz w:val="12"/>
        </w:rPr>
        <w:t xml:space="preserve"> | RE 339.852</w:t>
      </w:r>
      <w:r>
        <w:rPr>
          <w:color w:val="003CA0"/>
          <w:sz w:val="12"/>
        </w:rPr>
        <w:t xml:space="preserve"> | rel. Ayres Britto</w:t>
      </w:r>
    </w:p>
    <w:p>
      <w:pPr>
        <w:ind w:left="288"/>
      </w:pPr>
      <w:r>
        <w:rPr>
          <w:color w:val="1E1E1E"/>
          <w:sz w:val="18"/>
        </w:rPr>
        <w:t>Vide RE 339.852 AgR, rel. min. Ayres Britto, j. 26-4-2011, 2ª T, DJE de 18-8-2011 A responsabilidade civil das pessoas jurídicas de direito privado prestadoras de serviço público é objetiva relativamente a terceiros usuários, e não usuários do serviço, segundo decorre do art. 37, § 6º, da CF. A inequívoca presença do nexo de causalidade entre o ato administrativo e o dano causado ao terceiro não usuário do serviço público é condição suficiente para estabelecer a responsabilidade objetiva da pessoa jurídica de direito privado.</w:t>
        <w:br/>
        <w:t xml:space="preserve">[RE 591.874, rel. min. Ricardo Lewandowski, j. 26-8-2009, P, DJE de </w:t>
      </w:r>
    </w:p>
    <w:p>
      <w:pPr>
        <w:ind w:left="288"/>
      </w:pPr>
      <w:r>
        <w:rPr>
          <w:b/>
          <w:color w:val="003CA0"/>
          <w:sz w:val="16"/>
        </w:rPr>
        <w:t>[RE 1.546.513 AgR, rel. min. Nunes Marques, red. do ac. min. Gilmar Mendes, j. 30-12-2025, 2ª T, DJE de 12-2-2026.]</w:t>
      </w:r>
    </w:p>
    <w:p>
      <w:pPr>
        <w:ind w:left="288"/>
      </w:pPr>
      <w:r>
        <w:rPr>
          <w:color w:val="8C8C8C"/>
          <w:sz w:val="12"/>
        </w:rPr>
        <w:t>cf-art-37-par-6</w:t>
      </w:r>
      <w:r>
        <w:rPr>
          <w:color w:val="003CA0"/>
          <w:sz w:val="12"/>
        </w:rPr>
        <w:t xml:space="preserve"> | RE 1.467.145</w:t>
      </w:r>
      <w:r>
        <w:rPr>
          <w:color w:val="003CA0"/>
          <w:sz w:val="12"/>
        </w:rPr>
        <w:t xml:space="preserve"> | rel. Flávio Dino</w:t>
      </w:r>
    </w:p>
    <w:p>
      <w:pPr>
        <w:ind w:left="288"/>
      </w:pPr>
      <w:r>
        <w:rPr>
          <w:color w:val="1E1E1E"/>
          <w:sz w:val="18"/>
        </w:rPr>
        <w:t>“I) O Estado do Paraná, em conformidade com postulados adotados pelo Supremo Tribunal Federal na fixação da tese no Tema nº 1.055 da Repercussão Geral, responde objetivamente pelos danos concretos diretamente causados por ação de policiais durante a ‘Operação Centro Cívico’, ocorrida em 29 de abril de 2015. Cabe ao ente público demonstrar, em cada caso, os fatos que comprovem eventual excludente da responsabilidade civil. II) Não se presume o reconhecimento da excludente de culpa exclusiva da vítima unicamente pelo fato desta estar presente na manifestação.”</w:t>
      </w:r>
    </w:p>
    <w:p>
      <w:pPr>
        <w:ind w:left="288"/>
      </w:pPr>
      <w:r>
        <w:rPr>
          <w:b/>
          <w:color w:val="003CA0"/>
          <w:sz w:val="16"/>
        </w:rPr>
        <w:t>[RE 1.467.145, rel. min. Flávio Dino, j. 29-10-2025, P, DJE de 11-2-2026.]</w:t>
      </w:r>
    </w:p>
    <w:p>
      <w:pPr>
        <w:ind w:left="144"/>
      </w:pPr>
      <w:r>
        <w:rPr>
          <w:b/>
          <w:color w:val="B45A00"/>
          <w:sz w:val="16"/>
        </w:rPr>
        <w:t>JULGADOS CORRELATOS</w:t>
      </w:r>
    </w:p>
    <w:p>
      <w:pPr>
        <w:ind w:left="288"/>
      </w:pPr>
      <w:r>
        <w:rPr>
          <w:color w:val="8C8C8C"/>
          <w:sz w:val="12"/>
        </w:rPr>
        <w:t>cf-art-37-par-6</w:t>
      </w:r>
      <w:r>
        <w:rPr>
          <w:color w:val="003CA0"/>
          <w:sz w:val="12"/>
        </w:rPr>
        <w:t xml:space="preserve"> | RCL 58.799</w:t>
      </w:r>
      <w:r>
        <w:rPr>
          <w:color w:val="003CA0"/>
          <w:sz w:val="12"/>
        </w:rPr>
        <w:t xml:space="preserve"> | rel. Edson Fachin</w:t>
      </w:r>
    </w:p>
    <w:p>
      <w:pPr>
        <w:ind w:left="288"/>
      </w:pPr>
      <w:r>
        <w:rPr>
          <w:color w:val="1E1E1E"/>
          <w:sz w:val="18"/>
        </w:rPr>
        <w:t>Responsabilidade subsidiária da Administração. ADC nº 16/DF. RE nº 760.931-RG/DF; tema RG nº 246. Inobservância. (...) Esta Corte tem entendimento de que a responsabilidade não pode ser automática, devendo ser mensurados os riscos embutidos no posicionamento de validar a imputação de débitos trabalhistas à entidade contratante, descurando do liame mínimo entre conduta e dano ocorrido.</w:t>
        <w:br/>
        <w:t>[Rcl 58.799 AgR, rel. min. Edson Fachin, red. do ac. min. André Mendonça, j. 27.11.2023, 2ª T, DJE de 29.02.2024.] É necessário estruturar o nexo causal entre dano e ações estatais armadas de modo a contemplar es</w:t>
      </w:r>
    </w:p>
    <w:p>
      <w:pPr>
        <w:ind w:left="288"/>
      </w:pPr>
      <w:r>
        <w:rPr>
          <w:b/>
          <w:color w:val="003CA0"/>
          <w:sz w:val="16"/>
        </w:rPr>
        <w:t>[RE 598.356, rel. min. Marco Aurélio, j. 8-5-2018, 1ª T, DJE de 1º-8-2018.]</w:t>
      </w:r>
    </w:p>
    <w:p>
      <w:pPr>
        <w:ind w:left="288"/>
      </w:pPr>
      <w:r>
        <w:rPr>
          <w:color w:val="8C8C8C"/>
          <w:sz w:val="12"/>
        </w:rPr>
        <w:t>cf-art-37-par-6</w:t>
      </w:r>
      <w:r>
        <w:rPr>
          <w:color w:val="003CA0"/>
          <w:sz w:val="12"/>
        </w:rPr>
        <w:t xml:space="preserve"> | RE 571.969</w:t>
      </w:r>
      <w:r>
        <w:rPr>
          <w:color w:val="003CA0"/>
          <w:sz w:val="12"/>
        </w:rPr>
        <w:t xml:space="preserve"> | rel. Cármen Lúcia</w:t>
      </w:r>
    </w:p>
    <w:p>
      <w:pPr>
        <w:ind w:left="288"/>
      </w:pPr>
      <w:r>
        <w:rPr>
          <w:color w:val="1E1E1E"/>
          <w:sz w:val="18"/>
        </w:rPr>
        <w:t>Responsabilidade da União por danos causados à concessionária de serviço de transporte aéreo (Varig S/A). Ruptura do equilíbrio econômico-financeiro do contrato decorrente dos efeitos dos Planos “Funaro” e “Cruzado”. Dever de indenizar. Responsabilidade por atos lícitos quando deles decorrerem prejuízos para os particulares em condições de desigualdade com os demais. Observância do princípio da legalidade, do direito adquirido e do ato jurídico perfeito.</w:t>
      </w:r>
    </w:p>
    <w:p>
      <w:pPr>
        <w:ind w:left="288"/>
      </w:pPr>
      <w:r>
        <w:rPr>
          <w:b/>
          <w:color w:val="003CA0"/>
          <w:sz w:val="16"/>
        </w:rPr>
        <w:t>[RE 571.969, rel. min. Cármen Lúcia, j. 12-3-2014, P, DJE de 18-9-2014.]</w:t>
      </w:r>
    </w:p>
    <w:p>
      <w:pPr>
        <w:ind w:left="288"/>
      </w:pPr>
      <w:r>
        <w:rPr>
          <w:color w:val="8C8C8C"/>
          <w:sz w:val="12"/>
        </w:rPr>
        <w:t>cf-art-37-par-6</w:t>
      </w:r>
      <w:r>
        <w:rPr>
          <w:color w:val="003CA0"/>
          <w:sz w:val="12"/>
        </w:rPr>
        <w:t xml:space="preserve"> | RCL 12.580</w:t>
      </w:r>
      <w:r>
        <w:rPr>
          <w:color w:val="003CA0"/>
          <w:sz w:val="12"/>
        </w:rPr>
        <w:t xml:space="preserve"> | rel. Celso de Mello</w:t>
      </w:r>
    </w:p>
    <w:p>
      <w:pPr>
        <w:ind w:left="288"/>
      </w:pPr>
      <w:r>
        <w:rPr>
          <w:color w:val="1E1E1E"/>
          <w:sz w:val="18"/>
        </w:rPr>
        <w:t>Responsabilidade subsidiária da administração pública por débitos trabalhistas (Lei 8.666/1993, art. 71, § 1º). Ato judicial reclamado plenamente justificado, no caso, pelo reconhecimento de situação configuradora de culpa in vigilando, in eligendo ou in omittendo. Dever legal das entidades públicas contratantes de fiscalizar o cumprimento, por parte das empresas contratadas, das obrigações trabalhistas referentes aos empregados vinculados ao contrato celebrado (Lei 8.666/1993, art. 67).</w:t>
      </w:r>
    </w:p>
    <w:p>
      <w:pPr>
        <w:ind w:left="288"/>
      </w:pPr>
      <w:r>
        <w:rPr>
          <w:b/>
          <w:color w:val="003CA0"/>
          <w:sz w:val="16"/>
        </w:rPr>
        <w:t>[Rcl 12.580 AgR, rel. min. Celso de Mello, j. 21-2-2013, P, DJE de 13-3-2013.]</w:t>
      </w:r>
    </w:p>
    <w:p>
      <w:pPr>
        <w:ind w:left="288"/>
      </w:pPr>
      <w:r>
        <w:rPr>
          <w:color w:val="8C8C8C"/>
          <w:sz w:val="12"/>
        </w:rPr>
        <w:t>cf-art-37-par-6</w:t>
      </w:r>
      <w:r>
        <w:rPr>
          <w:color w:val="003CA0"/>
          <w:sz w:val="12"/>
        </w:rPr>
        <w:t xml:space="preserve"> | ADC 16</w:t>
      </w:r>
      <w:r>
        <w:rPr>
          <w:color w:val="003CA0"/>
          <w:sz w:val="12"/>
        </w:rPr>
        <w:t xml:space="preserve"> | rel. Cezar Peluso</w:t>
      </w:r>
    </w:p>
    <w:p>
      <w:pPr>
        <w:ind w:left="288"/>
      </w:pPr>
      <w:r>
        <w:rPr>
          <w:color w:val="1E1E1E"/>
          <w:sz w:val="18"/>
        </w:rPr>
        <w:t>Vide ADC 16, rel. min. Cezar Peluso, j. 24-11-2010, P, DJE de 9-9-2011 A omissão do poder público, quando lesiva aos direitos de qualquer pessoa, induz à responsabilidade civil objetiva do Estado, desde que presentes os pressupostos primários que lhe determinam a obrigação de indenizar os prejuízos que os seus agentes, nessa condição, hajam causado a terceiros.</w:t>
      </w:r>
    </w:p>
    <w:p>
      <w:pPr>
        <w:ind w:left="288"/>
      </w:pPr>
      <w:r>
        <w:rPr>
          <w:b/>
          <w:color w:val="003CA0"/>
          <w:sz w:val="16"/>
        </w:rPr>
        <w:t>[ARE 655.277 ED, rel. min. Celso de Mello, j. 24-4-2012, 2ª T, DJE de 12-6-2012.]</w:t>
      </w:r>
    </w:p>
    <w:p>
      <w:pPr>
        <w:ind w:left="288"/>
      </w:pPr>
      <w:r>
        <w:rPr>
          <w:color w:val="8C8C8C"/>
          <w:sz w:val="12"/>
        </w:rPr>
        <w:t>cf-art-37-par-6</w:t>
      </w:r>
      <w:r>
        <w:rPr>
          <w:color w:val="003CA0"/>
          <w:sz w:val="12"/>
        </w:rPr>
        <w:t xml:space="preserve"> | ARE 663.647</w:t>
      </w:r>
      <w:r>
        <w:rPr>
          <w:color w:val="003CA0"/>
          <w:sz w:val="12"/>
        </w:rPr>
        <w:t xml:space="preserve"> | rel. Cármen Lúcia</w:t>
      </w:r>
    </w:p>
    <w:p>
      <w:pPr>
        <w:ind w:left="288"/>
      </w:pPr>
      <w:r>
        <w:rPr>
          <w:color w:val="1E1E1E"/>
          <w:sz w:val="18"/>
        </w:rPr>
        <w:t>Professora. Tiro de arma de fogo desferido por aluno. Ofensa à integridade física em local de trabalho. Responsabilidade objetiva. Abrangência de atos omissivos.</w:t>
      </w:r>
    </w:p>
    <w:p>
      <w:pPr>
        <w:ind w:left="288"/>
      </w:pPr>
      <w:r>
        <w:rPr>
          <w:b/>
          <w:color w:val="003CA0"/>
          <w:sz w:val="16"/>
        </w:rPr>
        <w:t>[ARE 663.647 AgR, rel. min. Cármen Lúcia, j. 14-2-2012, 1ª T, DJE de 6-3-2012.]</w:t>
      </w:r>
    </w:p>
    <w:p>
      <w:pPr>
        <w:ind w:left="288"/>
      </w:pPr>
      <w:r>
        <w:rPr>
          <w:color w:val="8C8C8C"/>
          <w:sz w:val="12"/>
        </w:rPr>
        <w:t>cf-art-37-par-6</w:t>
      </w:r>
      <w:r>
        <w:rPr>
          <w:color w:val="003CA0"/>
          <w:sz w:val="12"/>
        </w:rPr>
        <w:t xml:space="preserve"> | RE 486.825</w:t>
      </w:r>
      <w:r>
        <w:rPr>
          <w:color w:val="003CA0"/>
          <w:sz w:val="12"/>
        </w:rPr>
        <w:t xml:space="preserve"> | rel. Ayres Britto</w:t>
      </w:r>
    </w:p>
    <w:p>
      <w:pPr>
        <w:ind w:left="288"/>
      </w:pPr>
      <w:r>
        <w:rPr>
          <w:color w:val="1E1E1E"/>
          <w:sz w:val="18"/>
        </w:rPr>
        <w:t>O dano suportado pelos servidores, derivado do rompimento unilateral pela administração do plano de pensão, consubstancia direito à indenização, na forma do § 6º do art. 37 da CF. Com o que se faz imperioso o reconhecimento da situação jurídica subjetiva dos recorrentes ante o poder público, sob pena de se chancelar o enriquecimento estatal sem causa.</w:t>
      </w:r>
    </w:p>
    <w:p>
      <w:pPr>
        <w:ind w:left="288"/>
      </w:pPr>
      <w:r>
        <w:rPr>
          <w:b/>
          <w:color w:val="003CA0"/>
          <w:sz w:val="16"/>
        </w:rPr>
        <w:t>[RE 486.825, rel. min. Ayres Britto, j. 6-9-2011, 1ª T, DJE de 6-2-2012.]</w:t>
      </w:r>
    </w:p>
    <w:p>
      <w:pPr>
        <w:ind w:left="288"/>
      </w:pPr>
      <w:r>
        <w:rPr>
          <w:color w:val="8C8C8C"/>
          <w:sz w:val="12"/>
        </w:rPr>
        <w:t>cf-art-37-par-6</w:t>
      </w:r>
      <w:r>
        <w:rPr>
          <w:color w:val="003CA0"/>
          <w:sz w:val="12"/>
        </w:rPr>
        <w:t xml:space="preserve"> | RE 339.852</w:t>
      </w:r>
      <w:r>
        <w:rPr>
          <w:color w:val="003CA0"/>
          <w:sz w:val="12"/>
        </w:rPr>
        <w:t xml:space="preserve"> | rel. Ayres Britto</w:t>
      </w:r>
    </w:p>
    <w:p>
      <w:pPr>
        <w:ind w:left="288"/>
      </w:pPr>
      <w:r>
        <w:rPr>
          <w:color w:val="1E1E1E"/>
          <w:sz w:val="18"/>
        </w:rPr>
        <w:t>Nos termos da jurisprudência do STF, é cabível a indenização por danos materiais nos casos de demora na nomeação de candidatos aprovados em concursos públicos, quando o óbice imposto pela administração pública é declarado inconstitucional pelo Poder Judiciário.</w:t>
      </w:r>
    </w:p>
    <w:p>
      <w:pPr>
        <w:ind w:left="288"/>
      </w:pPr>
      <w:r>
        <w:rPr>
          <w:b/>
          <w:color w:val="003CA0"/>
          <w:sz w:val="16"/>
        </w:rPr>
        <w:t>[RE 339.852 AgR, rel. min. Ayres Britto, j. 26-4-2011, 2ª T, DJE de 18-8-2011.]</w:t>
      </w:r>
    </w:p>
    <w:p>
      <w:pPr>
        <w:ind w:left="288"/>
      </w:pPr>
      <w:r>
        <w:rPr>
          <w:color w:val="8C8C8C"/>
          <w:sz w:val="12"/>
        </w:rPr>
        <w:t>cf-art-37-par-6</w:t>
      </w:r>
      <w:r>
        <w:rPr>
          <w:color w:val="003CA0"/>
          <w:sz w:val="12"/>
        </w:rPr>
        <w:t xml:space="preserve"> | RE 724.347</w:t>
      </w:r>
    </w:p>
    <w:p>
      <w:pPr>
        <w:ind w:left="288"/>
      </w:pPr>
      <w:r>
        <w:rPr>
          <w:color w:val="1E1E1E"/>
          <w:sz w:val="18"/>
        </w:rPr>
        <w:t>Vide RE 724.347, red. do ac. min. Roberto Barroso, j. 26-2-2015, P, DJE de 13-5-2015, Tema 671 O art. 71, § 1º, da Lei 8.666/1993 prevê que a inadimplência do contratado não transfere aos entes públicos a responsabilidade pelo pagamento de encargos trabalhistas, fiscais e comerciais, enquanto o inciso IV da Súmula TST 331 dispõe que o inadimplemento das obrigações trabalhistas pelo contratado implica a responsabilidade subsidiária da administração pública, se tomadora dos serviços. O acórdão impugnado, ao aplicar ao presente caso a interpretação consagrada pelo TST no item IV do Enunciado 331,</w:t>
      </w:r>
    </w:p>
    <w:p>
      <w:pPr>
        <w:ind w:left="288"/>
      </w:pPr>
      <w:r>
        <w:rPr>
          <w:b/>
          <w:color w:val="003CA0"/>
          <w:sz w:val="16"/>
        </w:rPr>
        <w:t>[Rcl 8.150 AgR, red. do ac. min. Ellen Gracie, j. 24-11-2010, P, DJE de 3-3-2011.]</w:t>
      </w:r>
    </w:p>
    <w:p>
      <w:pPr>
        <w:ind w:left="288"/>
      </w:pPr>
      <w:r>
        <w:rPr>
          <w:color w:val="8C8C8C"/>
          <w:sz w:val="12"/>
        </w:rPr>
        <w:t>cf-art-37-par-6</w:t>
      </w:r>
      <w:r>
        <w:rPr>
          <w:color w:val="003CA0"/>
          <w:sz w:val="12"/>
        </w:rPr>
        <w:t xml:space="preserve"> | RCL 28.623</w:t>
      </w:r>
      <w:r>
        <w:rPr>
          <w:color w:val="003CA0"/>
          <w:sz w:val="12"/>
        </w:rPr>
        <w:t xml:space="preserve"> | rel. Roberto Barroso</w:t>
      </w:r>
    </w:p>
    <w:p>
      <w:pPr>
        <w:ind w:left="288"/>
      </w:pPr>
      <w:r>
        <w:rPr>
          <w:color w:val="1E1E1E"/>
          <w:sz w:val="18"/>
        </w:rPr>
        <w:t>Vide Rcl 28.623 AgR, rel. min. Roberto Barroso, j. 12-12-2017, 1ªT, DJE de 7-2-2018 Servidor público. Revisão geral de vencimento. Comportamento omissivo do chefe do Executivo. (...) Esta Corte firmou o entendimento de que, embora reconhecida a mora legislativa, não pode o Judiciário deflagrar o processo legislativo, nem fixar prazo para que o chefe do Poder Executivo o faça. Além disso, esta Turma entendeu que o comportamento omissivo do chefe do Poder Executivo não gera direito à indenização por perdas e danos.</w:t>
      </w:r>
    </w:p>
    <w:p>
      <w:pPr>
        <w:ind w:left="288"/>
      </w:pPr>
      <w:r>
        <w:rPr>
          <w:b/>
          <w:color w:val="003CA0"/>
          <w:sz w:val="16"/>
        </w:rPr>
        <w:t>[RE 424.584, red. do ac. min. Joaquim Barbosa, j. 17-11-2009, 2ª T, DJE de 7-5-2010.]</w:t>
      </w:r>
    </w:p>
    <w:p>
      <w:pPr>
        <w:ind w:left="288"/>
      </w:pPr>
      <w:r>
        <w:rPr>
          <w:color w:val="8C8C8C"/>
          <w:sz w:val="12"/>
        </w:rPr>
        <w:t>cf-art-37-par-6</w:t>
      </w:r>
      <w:r>
        <w:rPr>
          <w:color w:val="003CA0"/>
          <w:sz w:val="12"/>
        </w:rPr>
        <w:t xml:space="preserve"> | AI 552.366</w:t>
      </w:r>
      <w:r>
        <w:rPr>
          <w:color w:val="003CA0"/>
          <w:sz w:val="12"/>
        </w:rPr>
        <w:t xml:space="preserve"> | rel. Ellen Gracie</w:t>
      </w:r>
    </w:p>
    <w:p>
      <w:pPr>
        <w:ind w:left="288"/>
      </w:pPr>
      <w:r>
        <w:rPr>
          <w:color w:val="1E1E1E"/>
          <w:sz w:val="18"/>
        </w:rPr>
        <w:t>Responsabilidade objetiva do Estado por atos do Ministério Público (...). A legitimidade passiva é da pessoa jurídica de direito público para arcar com a sucumbência de ação promovida pelo Ministério Público na defesa de interesse do ente estatal. É assegurado o direito de regresso na hipótese de se verificar a incidência de dolo ou culpa do preposto, que atua em nome do Estado.</w:t>
      </w:r>
    </w:p>
    <w:p>
      <w:pPr>
        <w:ind w:left="288"/>
      </w:pPr>
      <w:r>
        <w:rPr>
          <w:b/>
          <w:color w:val="003CA0"/>
          <w:sz w:val="16"/>
        </w:rPr>
        <w:t>[AI 552.366 AgR, rel. min. Ellen Gracie, j. 6-10-2009, 2ª T, DJE de 29-10-2009.]</w:t>
      </w:r>
    </w:p>
    <w:p>
      <w:pPr>
        <w:ind w:left="288"/>
      </w:pPr>
      <w:r>
        <w:rPr>
          <w:color w:val="8C8C8C"/>
          <w:sz w:val="12"/>
        </w:rPr>
        <w:t>cf-art-37-par-6</w:t>
      </w:r>
      <w:r>
        <w:rPr>
          <w:color w:val="003CA0"/>
          <w:sz w:val="12"/>
        </w:rPr>
        <w:t xml:space="preserve"> | RE 551.156</w:t>
      </w:r>
      <w:r>
        <w:rPr>
          <w:color w:val="003CA0"/>
          <w:sz w:val="12"/>
        </w:rPr>
        <w:t xml:space="preserve"> | rel. Ellen Gracie</w:t>
      </w:r>
    </w:p>
    <w:p>
      <w:pPr>
        <w:ind w:left="288"/>
      </w:pPr>
      <w:r>
        <w:rPr>
          <w:color w:val="1E1E1E"/>
          <w:sz w:val="18"/>
        </w:rPr>
        <w:t>Vide RE 551.156 AgR, rel. min. Ellen Gracie, j. 10-3-2009, 2ª T, DJE de 3-4-2009 O Supremo Tribunal já assentou que, salvo os casos expressamente previstos em lei, a responsabilidade objetiva do Estado não se aplica aos atos de juízes.</w:t>
      </w:r>
    </w:p>
    <w:p>
      <w:pPr>
        <w:ind w:left="288"/>
      </w:pPr>
      <w:r>
        <w:rPr>
          <w:b/>
          <w:color w:val="003CA0"/>
          <w:sz w:val="16"/>
        </w:rPr>
        <w:t>[RE 553.637 ED, rel. min. Ellen Gracie, j. 4-8-2009, 2ª T, DJE de 25-9-2009.]</w:t>
      </w:r>
    </w:p>
    <w:p>
      <w:pPr>
        <w:ind w:left="288"/>
      </w:pPr>
      <w:r>
        <w:rPr>
          <w:color w:val="8C8C8C"/>
          <w:sz w:val="12"/>
        </w:rPr>
        <w:t>cf-art-37-par-6</w:t>
      </w:r>
      <w:r>
        <w:rPr>
          <w:color w:val="003CA0"/>
          <w:sz w:val="12"/>
        </w:rPr>
        <w:t xml:space="preserve"> | RE 228.977</w:t>
      </w:r>
      <w:r>
        <w:rPr>
          <w:color w:val="003CA0"/>
          <w:sz w:val="12"/>
        </w:rPr>
        <w:t xml:space="preserve"> | rel. Néri da Silveira</w:t>
      </w:r>
    </w:p>
    <w:p>
      <w:pPr>
        <w:ind w:left="288"/>
      </w:pPr>
      <w:r>
        <w:rPr>
          <w:color w:val="1E1E1E"/>
          <w:sz w:val="18"/>
        </w:rPr>
        <w:t>Vide RE 228.977, rel. min. Néri da Silveira, j. 5-3-2002, 2ª T, DJ de 12-4-2002 A discussão relativa à responsabilidade extracontratual do Estado, referente ao suicídio de paciente internado em hospital público, no caso, foi excluída pela culpa exclusiva da vítima, sem possibilidade de interferência do ente público.</w:t>
      </w:r>
    </w:p>
    <w:p>
      <w:pPr>
        <w:ind w:left="288"/>
      </w:pPr>
      <w:r>
        <w:rPr>
          <w:b/>
          <w:color w:val="003CA0"/>
          <w:sz w:val="16"/>
        </w:rPr>
        <w:t>[RE 318.725 AgR, rel. min. Ellen Gracie, j. 16-12-2008, 2ª T, DJE de 27-2-2009.]</w:t>
      </w:r>
    </w:p>
    <w:p>
      <w:pPr>
        <w:ind w:left="288"/>
      </w:pPr>
      <w:r>
        <w:rPr>
          <w:color w:val="8C8C8C"/>
          <w:sz w:val="12"/>
        </w:rPr>
        <w:t>cf-art-37-par-6</w:t>
      </w:r>
      <w:r>
        <w:rPr>
          <w:color w:val="003CA0"/>
          <w:sz w:val="12"/>
        </w:rPr>
        <w:t xml:space="preserve"> | RE 418.023</w:t>
      </w:r>
      <w:r>
        <w:rPr>
          <w:color w:val="003CA0"/>
          <w:sz w:val="12"/>
        </w:rPr>
        <w:t xml:space="preserve"> | rel. Eros Grau</w:t>
      </w:r>
    </w:p>
    <w:p>
      <w:pPr>
        <w:ind w:left="288"/>
      </w:pPr>
      <w:r>
        <w:rPr>
          <w:color w:val="1E1E1E"/>
          <w:sz w:val="18"/>
        </w:rPr>
        <w:t>Responsabilidade civil objetiva do Estado. Art. 37, § 6º, da Constituição. Crime praticado por policial militar durante o período de folga, usando arma da corporação. Responsabilidade civil objetiva do Estado.</w:t>
      </w:r>
    </w:p>
    <w:p>
      <w:pPr>
        <w:ind w:left="288"/>
      </w:pPr>
      <w:r>
        <w:rPr>
          <w:b/>
          <w:color w:val="003CA0"/>
          <w:sz w:val="16"/>
        </w:rPr>
        <w:t>[RE 418.023 AgR, rel. min. Eros Grau, j. 9-9-2008, 2ª T, DJE de 17-10-2008.]</w:t>
      </w:r>
    </w:p>
    <w:p>
      <w:pPr>
        <w:ind w:left="288"/>
      </w:pPr>
      <w:r>
        <w:rPr>
          <w:color w:val="8C8C8C"/>
          <w:sz w:val="12"/>
        </w:rPr>
        <w:t>cf-art-37-par-6</w:t>
      </w:r>
      <w:r>
        <w:rPr>
          <w:color w:val="003CA0"/>
          <w:sz w:val="12"/>
        </w:rPr>
        <w:t xml:space="preserve"> | ARE 751.186</w:t>
      </w:r>
      <w:r>
        <w:rPr>
          <w:color w:val="003CA0"/>
          <w:sz w:val="12"/>
        </w:rPr>
        <w:t xml:space="preserve"> | rel. Celso de Mello</w:t>
      </w:r>
    </w:p>
    <w:p>
      <w:pPr>
        <w:ind w:left="288"/>
      </w:pPr>
      <w:r>
        <w:rPr>
          <w:color w:val="1E1E1E"/>
          <w:sz w:val="18"/>
        </w:rPr>
        <w:t>= ARE 751.186 AgR, rel. min. Celso de Mello, j. 2-12-2014, 2ª T, DJE de 17-12-2014 = RE 213.525 AgR, rel. min. Ellen Gracie, j. 9-12-2008, 2ª T, DJE de 6-2-2009 Latrocínio cometido por foragido. Nexo de causalidade configurado. (...) A negligência estatal na vigilância do criminoso, a inércia das autoridades policiais diante da terceira fuga e o curto espaço de tempo que se seguiu antes do crime são suficientes para caracterizar o nexo de causalidade. Ato omissivo do Estado que enseja a responsabilidade objetiva nos termos do disposto no art. 37, § 6º, da Constituição do Brasil.</w:t>
      </w:r>
    </w:p>
    <w:p>
      <w:pPr>
        <w:ind w:left="288"/>
      </w:pPr>
      <w:r>
        <w:rPr>
          <w:b/>
          <w:color w:val="003CA0"/>
          <w:sz w:val="16"/>
        </w:rPr>
        <w:t>[RE 573.595 AgR, rel. min. Eros Grau, j. 24-6-2008, 2ª T, DJE de 15-8-2008.]</w:t>
      </w:r>
    </w:p>
    <w:p>
      <w:pPr>
        <w:ind w:left="288"/>
      </w:pPr>
      <w:r>
        <w:rPr>
          <w:color w:val="8C8C8C"/>
          <w:sz w:val="12"/>
        </w:rPr>
        <w:t>cf-art-37-par-6</w:t>
      </w:r>
      <w:r>
        <w:rPr>
          <w:color w:val="003CA0"/>
          <w:sz w:val="12"/>
        </w:rPr>
        <w:t xml:space="preserve"> | RE 495.740</w:t>
      </w:r>
      <w:r>
        <w:rPr>
          <w:color w:val="003CA0"/>
          <w:sz w:val="12"/>
        </w:rPr>
        <w:t xml:space="preserve"> | rel. Celso de Mello</w:t>
      </w:r>
    </w:p>
    <w:p>
      <w:pPr>
        <w:ind w:left="288"/>
      </w:pPr>
      <w:r>
        <w:rPr>
          <w:color w:val="1E1E1E"/>
          <w:sz w:val="18"/>
        </w:rPr>
        <w:t>A jurisprudência dos tribunais em geral tem reconhecido a responsabilidade civil objetiva do poder público nas hipóteses em que o eventus damni ocorra em hospitais públicos (ou mantidos pelo Estado), ou derive de tratamento médico inadequado, ministrado por funcionário público, ou, então, resulte de conduta positiva (ação) ou negativa (omissão) imputável a servidor público com atuação na área médica. Servidora pública gestante, que, no desempenho de suas atividades laborais, foi exposta à contaminação pelo citomegalovírus, em decorrência de suas funções, que consistiam, essencialmente, no tran</w:t>
      </w:r>
    </w:p>
    <w:p>
      <w:pPr>
        <w:ind w:left="288"/>
      </w:pPr>
      <w:r>
        <w:rPr>
          <w:b/>
          <w:color w:val="003CA0"/>
          <w:sz w:val="16"/>
        </w:rPr>
        <w:t>[RE 495.740 AgR, rel. min. Celso de Mello, j. 15-4-2008, 2ª T, DJE de 14-8-2009.]</w:t>
      </w:r>
    </w:p>
    <w:p>
      <w:pPr>
        <w:ind w:left="288"/>
      </w:pPr>
      <w:r>
        <w:rPr>
          <w:color w:val="8C8C8C"/>
          <w:sz w:val="12"/>
        </w:rPr>
        <w:t>cf-art-37-par-6</w:t>
      </w:r>
      <w:r>
        <w:rPr>
          <w:color w:val="003CA0"/>
          <w:sz w:val="12"/>
        </w:rPr>
        <w:t xml:space="preserve"> | AI 455.846</w:t>
      </w:r>
      <w:r>
        <w:rPr>
          <w:color w:val="003CA0"/>
          <w:sz w:val="12"/>
        </w:rPr>
        <w:t xml:space="preserve"> | rel. Celso de Mello</w:t>
      </w:r>
    </w:p>
    <w:p>
      <w:pPr>
        <w:ind w:left="288"/>
      </w:pPr>
      <w:r>
        <w:rPr>
          <w:color w:val="1E1E1E"/>
          <w:sz w:val="18"/>
        </w:rPr>
        <w:t>Vide AI 455.846, rel. min. Celso de Mello, j. 11-10-2004, dec. monocrática, DJ de 21-10-2004 Aposentadoria especial. Lei autorizando convênio com o Instituto de Previdência de São Paulo (IPESP). Revogação posterior e denúncia do convênio. (...) Não há falar em ato ilícito quando a Câmara dos Vereadores, mediante processo legislativo regular, revoga lei anterior que autorizou convênio previdenciário e, em consequência, promove a respectiva denúncia.</w:t>
      </w:r>
    </w:p>
    <w:p>
      <w:pPr>
        <w:ind w:left="288"/>
      </w:pPr>
      <w:r>
        <w:rPr>
          <w:b/>
          <w:color w:val="003CA0"/>
          <w:sz w:val="16"/>
        </w:rPr>
        <w:t>[RE 172.582, rel. min. Menezes Direito, j. 15-4-2008, 1ª T, DJE de 16-5-2008.]</w:t>
      </w:r>
    </w:p>
    <w:p>
      <w:pPr>
        <w:ind w:left="288"/>
      </w:pPr>
      <w:r>
        <w:rPr>
          <w:color w:val="8C8C8C"/>
          <w:sz w:val="12"/>
        </w:rPr>
        <w:t>cf-art-37-par-6</w:t>
      </w:r>
      <w:r>
        <w:rPr>
          <w:color w:val="003CA0"/>
          <w:sz w:val="12"/>
        </w:rPr>
        <w:t xml:space="preserve"> | AI 522.832</w:t>
      </w:r>
      <w:r>
        <w:rPr>
          <w:color w:val="003CA0"/>
          <w:sz w:val="12"/>
        </w:rPr>
        <w:t xml:space="preserve"> | rel. Gilmar Mendes</w:t>
      </w:r>
    </w:p>
    <w:p>
      <w:pPr>
        <w:ind w:left="288"/>
      </w:pPr>
      <w:r>
        <w:rPr>
          <w:color w:val="1E1E1E"/>
          <w:sz w:val="18"/>
        </w:rPr>
        <w:t>Responsabilidade civil do Estado. Danos morais. Ato de tabelionato (...). Cabimento.</w:t>
      </w:r>
    </w:p>
    <w:p>
      <w:pPr>
        <w:ind w:left="288"/>
      </w:pPr>
      <w:r>
        <w:rPr>
          <w:b/>
          <w:color w:val="003CA0"/>
          <w:sz w:val="16"/>
        </w:rPr>
        <w:t>[AI 522.832 AgR, rel. min. Gilmar Mendes, j. 26-2-2008, 2ª T, DJE de 28-3-2008.]</w:t>
      </w:r>
    </w:p>
    <w:p>
      <w:pPr>
        <w:ind w:left="288"/>
      </w:pPr>
      <w:r>
        <w:rPr>
          <w:color w:val="8C8C8C"/>
          <w:sz w:val="12"/>
        </w:rPr>
        <w:t>cf-art-37-par-6</w:t>
      </w:r>
      <w:r>
        <w:rPr>
          <w:color w:val="003CA0"/>
          <w:sz w:val="12"/>
        </w:rPr>
        <w:t xml:space="preserve"> | RE 505.393</w:t>
      </w:r>
      <w:r>
        <w:rPr>
          <w:color w:val="003CA0"/>
          <w:sz w:val="12"/>
        </w:rPr>
        <w:t xml:space="preserve"> | rel. Sepúlveda Pertence</w:t>
      </w:r>
    </w:p>
    <w:p>
      <w:pPr>
        <w:ind w:left="288"/>
      </w:pPr>
      <w:r>
        <w:rPr>
          <w:color w:val="1E1E1E"/>
          <w:sz w:val="18"/>
        </w:rPr>
        <w:t>O direito à indenização da vítima de erro judiciário e daquela presa além do tempo devido, previsto no art. 5º, LXXV, da Constituição, já era previsto no art. 630 do CPP, com a exceção do caso de ação penal privada e só uma hipótese de exoneração, quando para a condenação tivesse contribuído o próprio réu. A regra constitucional não veio para aditar pressupostos subjetivos à regra geral da responsabilidade fundada no risco administrativo, conforme o art. 37, § 6º, da Lei Fundamental: a partir do entendimento consolidado de que a regra geral é a irresponsabilidade civil do Estado por atos de ju</w:t>
      </w:r>
    </w:p>
    <w:p>
      <w:pPr>
        <w:ind w:left="288"/>
      </w:pPr>
      <w:r>
        <w:rPr>
          <w:b/>
          <w:color w:val="003CA0"/>
          <w:sz w:val="16"/>
        </w:rPr>
        <w:t>[RE 505.393, rel. min. Sepúlveda Pertence, j. 26-6-2007, 1ª T, DJ de 5-10-2007.]</w:t>
      </w:r>
    </w:p>
    <w:p>
      <w:pPr>
        <w:ind w:left="288"/>
      </w:pPr>
      <w:r>
        <w:rPr>
          <w:color w:val="8C8C8C"/>
          <w:sz w:val="12"/>
        </w:rPr>
        <w:t>cf-art-37-par-6</w:t>
      </w:r>
      <w:r>
        <w:rPr>
          <w:color w:val="003CA0"/>
          <w:sz w:val="12"/>
        </w:rPr>
        <w:t xml:space="preserve"> | AI 636.814</w:t>
      </w:r>
      <w:r>
        <w:rPr>
          <w:color w:val="003CA0"/>
          <w:sz w:val="12"/>
        </w:rPr>
        <w:t xml:space="preserve"> | rel. Eros Grau</w:t>
      </w:r>
    </w:p>
    <w:p>
      <w:pPr>
        <w:ind w:left="288"/>
      </w:pPr>
      <w:r>
        <w:rPr>
          <w:color w:val="1E1E1E"/>
          <w:sz w:val="18"/>
        </w:rPr>
        <w:t>A responsabilidade civil das pessoas jurídicas de direito público e das pessoas jurídicas de direito privado prestadoras de serviço público, responsabilidade objetiva, com base no risco administrativo, admite pesquisa em torno da culpa da vítima, para o fim de abrandá-la ou mesmo excluí-la.</w:t>
      </w:r>
    </w:p>
    <w:p>
      <w:pPr>
        <w:ind w:left="288"/>
      </w:pPr>
      <w:r>
        <w:rPr>
          <w:b/>
          <w:color w:val="003CA0"/>
          <w:sz w:val="16"/>
        </w:rPr>
        <w:t>[AI 636.814 AgR, rel. min. Eros Grau, j. 22-5-2007, 2ª T, DJ de 15-6-2007.]</w:t>
      </w:r>
    </w:p>
    <w:p>
      <w:pPr>
        <w:ind w:left="288"/>
      </w:pPr>
      <w:r>
        <w:rPr>
          <w:color w:val="8C8C8C"/>
          <w:sz w:val="12"/>
        </w:rPr>
        <w:t>cf-art-37-par-6</w:t>
      </w:r>
      <w:r>
        <w:rPr>
          <w:color w:val="003CA0"/>
          <w:sz w:val="12"/>
        </w:rPr>
        <w:t xml:space="preserve"> | RE 341.776</w:t>
      </w:r>
      <w:r>
        <w:rPr>
          <w:color w:val="003CA0"/>
          <w:sz w:val="12"/>
        </w:rPr>
        <w:t xml:space="preserve"> | rel. Gilmar Mendes</w:t>
      </w:r>
    </w:p>
    <w:p>
      <w:pPr>
        <w:ind w:left="288"/>
      </w:pPr>
      <w:r>
        <w:rPr>
          <w:color w:val="1E1E1E"/>
          <w:sz w:val="18"/>
        </w:rPr>
        <w:t>Responsabilidade civil do Estado. Morte. Vítima que exercia atividade policial irregular, desvinculada do serviço público. Nexo de causalidade não configurado.</w:t>
      </w:r>
    </w:p>
    <w:p>
      <w:pPr>
        <w:ind w:left="288"/>
      </w:pPr>
      <w:r>
        <w:rPr>
          <w:b/>
          <w:color w:val="003CA0"/>
          <w:sz w:val="16"/>
        </w:rPr>
        <w:t>[RE 341.776, rel. min. Gilmar Mendes, j. 17-4-2007, 2ª T, DJ de 3-8-2007.]</w:t>
      </w:r>
    </w:p>
    <w:p>
      <w:pPr>
        <w:ind w:left="288"/>
      </w:pPr>
      <w:r>
        <w:rPr>
          <w:color w:val="8C8C8C"/>
          <w:sz w:val="12"/>
        </w:rPr>
        <w:t>cf-art-37-par-6</w:t>
      </w:r>
      <w:r>
        <w:rPr>
          <w:color w:val="003CA0"/>
          <w:sz w:val="12"/>
        </w:rPr>
        <w:t xml:space="preserve"> | RE 456.302</w:t>
      </w:r>
      <w:r>
        <w:rPr>
          <w:color w:val="003CA0"/>
          <w:sz w:val="12"/>
        </w:rPr>
        <w:t xml:space="preserve"> | rel. Sepúlveda Pertence</w:t>
      </w:r>
    </w:p>
    <w:p>
      <w:pPr>
        <w:ind w:left="288"/>
      </w:pPr>
      <w:r>
        <w:rPr>
          <w:color w:val="1E1E1E"/>
          <w:sz w:val="18"/>
        </w:rPr>
        <w:t>Responsabilidade civil do Estado: reparação de danos morais e materiais decorrentes de parada cardiorrespiratória durante cirurgia realizada em hospital público. (...) É da jurisprudência do Supremo Tribunal que, para a configuração da responsabilidade objetiva do Estado, não é necessário que o ato praticado seja ilícito.</w:t>
      </w:r>
    </w:p>
    <w:p>
      <w:pPr>
        <w:ind w:left="288"/>
      </w:pPr>
      <w:r>
        <w:rPr>
          <w:b/>
          <w:color w:val="003CA0"/>
          <w:sz w:val="16"/>
        </w:rPr>
        <w:t>[RE 456.302 AgR, rel. min. Sepúlveda Pertence, j. 6-2-2007, 1ª T, DJ de 16-3-2007.]</w:t>
      </w:r>
    </w:p>
    <w:p>
      <w:pPr>
        <w:ind w:left="288"/>
      </w:pPr>
      <w:r>
        <w:rPr>
          <w:color w:val="8C8C8C"/>
          <w:sz w:val="12"/>
        </w:rPr>
        <w:t>cf-art-37-par-6</w:t>
      </w:r>
      <w:r>
        <w:rPr>
          <w:color w:val="003CA0"/>
          <w:sz w:val="12"/>
        </w:rPr>
        <w:t xml:space="preserve"> | RE 481.110</w:t>
      </w:r>
      <w:r>
        <w:rPr>
          <w:color w:val="003CA0"/>
          <w:sz w:val="12"/>
        </w:rPr>
        <w:t xml:space="preserve"> | rel. Celso de Mello</w:t>
      </w:r>
    </w:p>
    <w:p>
      <w:pPr>
        <w:ind w:left="288"/>
      </w:pPr>
      <w:r>
        <w:rPr>
          <w:color w:val="1E1E1E"/>
          <w:sz w:val="18"/>
        </w:rPr>
        <w:t>Os elementos que compõem a estrutura e delineiam o perfil da responsabilidade civil objetiva do poder público compreendem (a) a alteridade do dano, (b) a causalidade material entre o eventus damni e o comportamento positivo (ação) ou negativo (omissão) do agente público, (c) a oficialidade da atividade causal e lesiva imputável a agente do poder público que tenha, nessa específica condição, incidido em conduta comissiva ou omissiva, independentemente da licitude, ou não, do comportamento funcional e (d) a ausência de causa excludente da responsabilidade estatal. Precedentes. O dever de indeniz</w:t>
      </w:r>
    </w:p>
    <w:p>
      <w:pPr>
        <w:ind w:left="288"/>
      </w:pPr>
      <w:r>
        <w:rPr>
          <w:b/>
          <w:color w:val="003CA0"/>
          <w:sz w:val="16"/>
        </w:rPr>
        <w:t>[RE 481.110 AgR, rel. min. Celso de Mello, j. 6-2-2007, 2ª T, DJ de 9-3-2007.]</w:t>
      </w:r>
    </w:p>
    <w:p>
      <w:pPr>
        <w:ind w:left="288"/>
      </w:pPr>
      <w:r>
        <w:rPr>
          <w:color w:val="8C8C8C"/>
          <w:sz w:val="12"/>
        </w:rPr>
        <w:t>cf-art-37-par-6</w:t>
      </w:r>
      <w:r>
        <w:rPr>
          <w:color w:val="003CA0"/>
          <w:sz w:val="12"/>
        </w:rPr>
        <w:t xml:space="preserve"> | ARE 663.647</w:t>
      </w:r>
      <w:r>
        <w:rPr>
          <w:color w:val="003CA0"/>
          <w:sz w:val="12"/>
        </w:rPr>
        <w:t xml:space="preserve"> | rel. Cármen Lúcia</w:t>
      </w:r>
    </w:p>
    <w:p>
      <w:pPr>
        <w:ind w:left="288"/>
      </w:pPr>
      <w:r>
        <w:rPr>
          <w:color w:val="1E1E1E"/>
          <w:sz w:val="18"/>
        </w:rPr>
        <w:t>Vide ARE 663.647 AgR, rel. min. Cármen Lúcia, j. 14-2-2012, 1ª T, DJE de 6-3-2012 A administração pública pode anular seus próprios atos, quando inquinados de ilegalidade (Súmula 473); mas, se a atividade do agente público acarretou danos patrimoniais ou morais a outrem – salvo culpa exclusiva dele –, eles deverão ser ressarcidos, de acordo com o disposto no art. 37, § 6º, da CF.</w:t>
      </w:r>
    </w:p>
    <w:p>
      <w:pPr>
        <w:ind w:left="288"/>
      </w:pPr>
      <w:r>
        <w:rPr>
          <w:b/>
          <w:color w:val="003CA0"/>
          <w:sz w:val="16"/>
        </w:rPr>
        <w:t>[RE 460.881, rel. min. Sepúlveda Pertence, j. 18-4-2006, 1ª T, DJ de 12-5-2006.]</w:t>
      </w:r>
    </w:p>
    <w:p>
      <w:pPr>
        <w:ind w:left="288"/>
      </w:pPr>
      <w:r>
        <w:rPr>
          <w:color w:val="8C8C8C"/>
          <w:sz w:val="12"/>
        </w:rPr>
        <w:t>cf-art-37-par-6</w:t>
      </w:r>
      <w:r>
        <w:rPr>
          <w:color w:val="003CA0"/>
          <w:sz w:val="12"/>
        </w:rPr>
        <w:t xml:space="preserve"> | RE 409.203</w:t>
      </w:r>
    </w:p>
    <w:p>
      <w:pPr>
        <w:ind w:left="288"/>
      </w:pPr>
      <w:r>
        <w:rPr>
          <w:color w:val="1E1E1E"/>
          <w:sz w:val="18"/>
        </w:rPr>
        <w:t>Impõe-se a responsabilização do Estado quando um condenado submetido a regime prisional aberto pratica, em sete ocasiões, falta grave de evasão, sem que as autoridades responsáveis pela execução da pena lhe apliquem a medida de regressão do regime prisional aplicável à espécie. Tal omissão do Estado constituiu, na espécie, o fator determinante que propiciou ao infrator a oportunidade para praticar o crime de estupro contra menor de doze anos de idade, justamente no período em que deveria estar recolhido à prisão. Está configurado o nexo de causalidade, uma vez que, se a lei de execução penal t</w:t>
      </w:r>
    </w:p>
    <w:p>
      <w:pPr>
        <w:ind w:left="288"/>
      </w:pPr>
      <w:r>
        <w:rPr>
          <w:b/>
          <w:color w:val="003CA0"/>
          <w:sz w:val="16"/>
        </w:rPr>
        <w:t>[RE 409.203, red. do ac. min. Joaquim Barbosa, j. 7-3-2006, 2ª T, DJ de 20-4-2007.]</w:t>
      </w:r>
    </w:p>
    <w:p>
      <w:pPr>
        <w:ind w:left="288"/>
      </w:pPr>
      <w:r>
        <w:rPr>
          <w:color w:val="8C8C8C"/>
          <w:sz w:val="12"/>
        </w:rPr>
        <w:t>cf-art-37-par-6</w:t>
      </w:r>
      <w:r>
        <w:rPr>
          <w:color w:val="003CA0"/>
          <w:sz w:val="12"/>
        </w:rPr>
        <w:t xml:space="preserve"> | AI 473.381</w:t>
      </w:r>
      <w:r>
        <w:rPr>
          <w:color w:val="003CA0"/>
          <w:sz w:val="12"/>
        </w:rPr>
        <w:t xml:space="preserve"> | rel. Carlos Velloso</w:t>
      </w:r>
    </w:p>
    <w:p>
      <w:pPr>
        <w:ind w:left="288"/>
      </w:pPr>
      <w:r>
        <w:rPr>
          <w:color w:val="1E1E1E"/>
          <w:sz w:val="18"/>
        </w:rPr>
        <w:t>O entendimento do STF é no sentido de que descabe ao intérprete fazer distinções quanto ao vocábulo "terceiro" contido no § 6º do art. 37 da CF, devendo o Estado responder pelos danos causados por seus agentes qualquer que seja a vítima, servidor público ou não.</w:t>
      </w:r>
    </w:p>
    <w:p>
      <w:pPr>
        <w:ind w:left="288"/>
      </w:pPr>
      <w:r>
        <w:rPr>
          <w:b/>
          <w:color w:val="003CA0"/>
          <w:sz w:val="16"/>
        </w:rPr>
        <w:t>[AI 473.381 AgR, rel. min. Carlos Velloso, j. 20-9-2005, 2ª T, DJ de 28-10-2005.]</w:t>
      </w:r>
    </w:p>
    <w:p>
      <w:pPr>
        <w:ind w:left="288"/>
      </w:pPr>
      <w:r>
        <w:rPr>
          <w:color w:val="8C8C8C"/>
          <w:sz w:val="12"/>
        </w:rPr>
        <w:t>cf-art-37-par-6</w:t>
      </w:r>
      <w:r>
        <w:rPr>
          <w:color w:val="003CA0"/>
          <w:sz w:val="12"/>
        </w:rPr>
        <w:t xml:space="preserve"> | RE 435.444</w:t>
      </w:r>
      <w:r>
        <w:rPr>
          <w:color w:val="003CA0"/>
          <w:sz w:val="12"/>
        </w:rPr>
        <w:t xml:space="preserve"> | rel. Roberto Barroso</w:t>
      </w:r>
    </w:p>
    <w:p>
      <w:pPr>
        <w:ind w:left="288"/>
      </w:pPr>
      <w:r>
        <w:rPr>
          <w:color w:val="1E1E1E"/>
          <w:sz w:val="18"/>
        </w:rPr>
        <w:t>= RE 435.444 AgR, rel. min. Roberto Barroso, j. 18-3-2014, 1ª T, DJE de 9-6-2014 Caso em que o policial autor do disparo não se encontrava na qualidade de agente público. Nessa contextura, não há falar de responsabilidade civil do Estado.</w:t>
      </w:r>
    </w:p>
    <w:p>
      <w:pPr>
        <w:ind w:left="288"/>
      </w:pPr>
      <w:r>
        <w:rPr>
          <w:b/>
          <w:color w:val="003CA0"/>
          <w:sz w:val="16"/>
        </w:rPr>
        <w:t>[RE 363.423, rel. min. Ayres Britto, j. 16-11-2004, 1ª T, DJE de 14-3-2008.]</w:t>
      </w:r>
    </w:p>
    <w:p>
      <w:pPr>
        <w:ind w:left="288"/>
      </w:pPr>
      <w:r>
        <w:rPr>
          <w:color w:val="8C8C8C"/>
          <w:sz w:val="12"/>
        </w:rPr>
        <w:t>cf-art-37-par-6</w:t>
      </w:r>
      <w:r>
        <w:rPr>
          <w:color w:val="003CA0"/>
          <w:sz w:val="12"/>
        </w:rPr>
        <w:t xml:space="preserve"> | AI 455.846</w:t>
      </w:r>
      <w:r>
        <w:rPr>
          <w:color w:val="003CA0"/>
          <w:sz w:val="12"/>
        </w:rPr>
        <w:t xml:space="preserve"> | rel. Celso de Mello</w:t>
      </w:r>
    </w:p>
    <w:p>
      <w:pPr>
        <w:ind w:left="288"/>
      </w:pPr>
      <w:r>
        <w:rPr>
          <w:color w:val="1E1E1E"/>
          <w:sz w:val="18"/>
        </w:rPr>
        <w:t>Responsabilidade civil objetiva do poder público. Elementos estruturais. Pressupostos legitimadores da incidência do art. 37, § 6º, da Constituição da República. Teoria do risco administrativo. Fato danoso para o ofendido, resultante de atuação de servidor público no desempenho de atividade médica. Procedimento executado em hospital público. Dano moral. Ressarcibilidade. Dupla função da indenização civil por dano moral (reparação-sanção): (a) caráter punitivo ou inibitório (exemplary or punitive damages) e (b) natureza compensatória ou reparatória.</w:t>
      </w:r>
    </w:p>
    <w:p>
      <w:pPr>
        <w:ind w:left="288"/>
      </w:pPr>
      <w:r>
        <w:rPr>
          <w:b/>
          <w:color w:val="003CA0"/>
          <w:sz w:val="16"/>
        </w:rPr>
        <w:t>[AI 455.846, rel. min. Celso de Mello, j. 11-10-2004, dec. monocrática, DJ de 21-10-2004.]</w:t>
      </w:r>
    </w:p>
    <w:p>
      <w:pPr>
        <w:ind w:left="288"/>
      </w:pPr>
      <w:r>
        <w:rPr>
          <w:color w:val="8C8C8C"/>
          <w:sz w:val="12"/>
        </w:rPr>
        <w:t>cf-art-37-par-6</w:t>
      </w:r>
      <w:r>
        <w:rPr>
          <w:color w:val="003CA0"/>
          <w:sz w:val="12"/>
        </w:rPr>
        <w:t xml:space="preserve"> | RE 369.820</w:t>
      </w:r>
      <w:r>
        <w:rPr>
          <w:color w:val="003CA0"/>
          <w:sz w:val="12"/>
        </w:rPr>
        <w:t xml:space="preserve"> | rel. Carlos Velloso</w:t>
      </w:r>
    </w:p>
    <w:p>
      <w:pPr>
        <w:ind w:left="288"/>
      </w:pPr>
      <w:r>
        <w:rPr>
          <w:color w:val="1E1E1E"/>
          <w:sz w:val="18"/>
        </w:rPr>
        <w:t>Tratando-se de ato omissivo do poder público, a responsabilidade civil por tal ato é subjetiva, pelo que exige dolo ou culpa, esta numa de suas três vertentes, a negligência, a imperícia ou a imprudência, não sendo, entretanto, necessário individualizá-la, dado que pode ser atribuída ao serviço público, de forma genérica, a falta do serviço. A falta do serviço – faute du service dos franceses – não dispensa o requisito da causalidade, vale dizer, do nexo de causalidade entre a ação omissiva atribuída ao poder público e o dano causado a terceiro.</w:t>
      </w:r>
    </w:p>
    <w:p>
      <w:pPr>
        <w:ind w:left="288"/>
      </w:pPr>
      <w:r>
        <w:rPr>
          <w:b/>
          <w:color w:val="003CA0"/>
          <w:sz w:val="16"/>
        </w:rPr>
        <w:t>[RE 369.820, rel. min. Carlos Velloso, j. 4-11-2003, 2ª T, DJ de 27-2-2004.]</w:t>
      </w:r>
    </w:p>
    <w:p>
      <w:pPr>
        <w:ind w:left="288"/>
      </w:pPr>
      <w:r>
        <w:rPr>
          <w:color w:val="8C8C8C"/>
          <w:sz w:val="12"/>
        </w:rPr>
        <w:t>cf-art-37-par-6</w:t>
      </w:r>
      <w:r>
        <w:rPr>
          <w:color w:val="003CA0"/>
          <w:sz w:val="12"/>
        </w:rPr>
        <w:t xml:space="preserve"> | RE 602.223</w:t>
      </w:r>
      <w:r>
        <w:rPr>
          <w:color w:val="003CA0"/>
          <w:sz w:val="12"/>
        </w:rPr>
        <w:t xml:space="preserve"> | rel. Eros Grau</w:t>
      </w:r>
    </w:p>
    <w:p>
      <w:pPr>
        <w:ind w:left="288"/>
      </w:pPr>
      <w:r>
        <w:rPr>
          <w:color w:val="1E1E1E"/>
          <w:sz w:val="18"/>
        </w:rPr>
        <w:t>= RE 602.223 AgR, rel. min. Eros Grau, j. 9-2-2010, 2ª T, DJE de 12-3-2010 Contaminação de pacientes hemofílicos com o vírus da Aids em hospital da rede pública. Responsabilidade civil do Estado. Teoria do risco administrativo. Condenação com base em laudo pericial.</w:t>
      </w:r>
    </w:p>
    <w:p>
      <w:pPr>
        <w:ind w:left="288"/>
      </w:pPr>
      <w:r>
        <w:rPr>
          <w:b/>
          <w:color w:val="003CA0"/>
          <w:sz w:val="16"/>
        </w:rPr>
        <w:t>[RE 363.999 AgR, rel. min. Gilmar Mendes, j. 8-4-2003, 2ª T, DJ de 25-4-2003.]</w:t>
      </w:r>
    </w:p>
    <w:p>
      <w:pPr>
        <w:ind w:left="288"/>
      </w:pPr>
      <w:r>
        <w:rPr>
          <w:color w:val="8C8C8C"/>
          <w:sz w:val="12"/>
        </w:rPr>
        <w:t>cf-art-37-par-6</w:t>
      </w:r>
      <w:r>
        <w:rPr>
          <w:color w:val="003CA0"/>
          <w:sz w:val="12"/>
        </w:rPr>
        <w:t xml:space="preserve"> | RE 283.989</w:t>
      </w:r>
      <w:r>
        <w:rPr>
          <w:color w:val="003CA0"/>
          <w:sz w:val="12"/>
        </w:rPr>
        <w:t xml:space="preserve"> | rel. Ilmar Galvão</w:t>
      </w:r>
    </w:p>
    <w:p>
      <w:pPr>
        <w:ind w:left="288"/>
      </w:pPr>
      <w:r>
        <w:rPr>
          <w:color w:val="1E1E1E"/>
          <w:sz w:val="18"/>
        </w:rPr>
        <w:t>Caracteriza-se a responsabilidade civil objetiva do poder público em decorrência de danos causados, por invasores, em propriedade particular, quando o Estado se omite no cumprimento de ordem judicial para envio de força policial ao imóvel invadido.</w:t>
      </w:r>
    </w:p>
    <w:p>
      <w:pPr>
        <w:ind w:left="288"/>
      </w:pPr>
      <w:r>
        <w:rPr>
          <w:b/>
          <w:color w:val="003CA0"/>
          <w:sz w:val="16"/>
        </w:rPr>
        <w:t>[RE 283.989, rel. min. Ilmar Galvão, j. 28-5-2002, 1ª T, DJ de 13-9-2002.]</w:t>
      </w:r>
    </w:p>
    <w:p>
      <w:pPr>
        <w:ind w:left="288"/>
      </w:pPr>
      <w:r>
        <w:rPr>
          <w:color w:val="8C8C8C"/>
          <w:sz w:val="12"/>
        </w:rPr>
        <w:t>cf-art-37-par-6</w:t>
      </w:r>
      <w:r>
        <w:rPr>
          <w:color w:val="003CA0"/>
          <w:sz w:val="12"/>
        </w:rPr>
        <w:t xml:space="preserve"> | RE 228.977</w:t>
      </w:r>
      <w:r>
        <w:rPr>
          <w:color w:val="003CA0"/>
          <w:sz w:val="12"/>
        </w:rPr>
        <w:t xml:space="preserve"> | rel. Néri da Silveira</w:t>
      </w:r>
    </w:p>
    <w:p>
      <w:pPr>
        <w:ind w:left="288"/>
      </w:pPr>
      <w:r>
        <w:rPr>
          <w:color w:val="1E1E1E"/>
          <w:sz w:val="18"/>
        </w:rPr>
        <w:t>A autoridade judiciária não tem responsabilidade civil pelos atos jurisdicionais praticados. Os magistrados enquadram-se na espécie agente político, investidos para o exercício de atribuições constitucionais, sendo dotados de plena liberdade funcional no desempenho de suas funções, com prerrogativas próprias e legislação específica. Ação que deveria ter sido ajuizada contra a Fazenda estadual – responsável eventual pelos alegados danos causados pela autoridade judicial, ao exercer suas atribuições –, a qual, posteriormente, terá assegurado o direito de regresso contra o magistrado responsável,</w:t>
      </w:r>
    </w:p>
    <w:p>
      <w:pPr>
        <w:ind w:left="288"/>
      </w:pPr>
      <w:r>
        <w:rPr>
          <w:b/>
          <w:color w:val="003CA0"/>
          <w:sz w:val="16"/>
        </w:rPr>
        <w:t>[RE 228.977, rel. min. Néri da Silveira, j. 5-3-2002, 2ª T, DJ de 12-4-2002.]</w:t>
      </w:r>
    </w:p>
    <w:p>
      <w:pPr>
        <w:ind w:left="288"/>
      </w:pPr>
      <w:r>
        <w:rPr>
          <w:color w:val="8C8C8C"/>
          <w:sz w:val="12"/>
        </w:rPr>
        <w:t>cf-art-37-par-6</w:t>
      </w:r>
      <w:r>
        <w:rPr>
          <w:color w:val="003CA0"/>
          <w:sz w:val="12"/>
        </w:rPr>
        <w:t xml:space="preserve"> | RE 518.278</w:t>
      </w:r>
      <w:r>
        <w:rPr>
          <w:color w:val="003CA0"/>
          <w:sz w:val="12"/>
        </w:rPr>
        <w:t xml:space="preserve"> | rel. Eros Grau</w:t>
      </w:r>
    </w:p>
    <w:p>
      <w:pPr>
        <w:ind w:left="288"/>
      </w:pPr>
      <w:r>
        <w:rPr>
          <w:color w:val="1E1E1E"/>
          <w:sz w:val="18"/>
        </w:rPr>
        <w:t>= RE 518.278 AgR, rel. min. Eros Grau, j. 31-3-2009, 2ª T, DJE de 24-4-2009 Responsabilidade civil do Estado: caracterização: morte causada a particular por agente da Polícia Rodoviária em serviço: irrelevância, nas circunstâncias do caso, de ter sido o servidor absolvido por legítima defesa de terceiro, se a agressão a esse não atribuída à vítima, mas a outrem, não atingido.</w:t>
      </w:r>
    </w:p>
    <w:p>
      <w:pPr>
        <w:ind w:left="288"/>
      </w:pPr>
      <w:r>
        <w:rPr>
          <w:b/>
          <w:color w:val="003CA0"/>
          <w:sz w:val="16"/>
        </w:rPr>
        <w:t>[RE 229.653, rel. min. Sepúlveda Pertence, j. 12-6-2001, 1ª T, DJ de 10-8-2001.]</w:t>
      </w:r>
    </w:p>
    <w:p>
      <w:pPr>
        <w:ind w:left="288"/>
      </w:pPr>
      <w:r>
        <w:rPr>
          <w:color w:val="8C8C8C"/>
          <w:sz w:val="12"/>
        </w:rPr>
        <w:t>cf-art-37-par-6</w:t>
      </w:r>
      <w:r>
        <w:rPr>
          <w:color w:val="003CA0"/>
          <w:sz w:val="12"/>
        </w:rPr>
        <w:t xml:space="preserve"> | RE 201.595</w:t>
      </w:r>
      <w:r>
        <w:rPr>
          <w:color w:val="003CA0"/>
          <w:sz w:val="12"/>
        </w:rPr>
        <w:t xml:space="preserve"> | rel. Marco Aurélio</w:t>
      </w:r>
    </w:p>
    <w:p>
      <w:pPr>
        <w:ind w:left="288"/>
      </w:pPr>
      <w:r>
        <w:rPr>
          <w:color w:val="1E1E1E"/>
          <w:sz w:val="18"/>
        </w:rPr>
        <w:t>Responde o Estado pelos danos causados em razão de reconhecimento de firma considerada assinatura falsa. Em se tratando de atividade cartorária exercida à luz do art. 236 da CF, a responsabilidade objetiva é do notário, no que assume posição semelhante à das pessoas jurídicas de direito privado prestadoras de serviços públicos (...).</w:t>
      </w:r>
    </w:p>
    <w:p>
      <w:pPr>
        <w:ind w:left="288"/>
      </w:pPr>
      <w:r>
        <w:rPr>
          <w:b/>
          <w:color w:val="003CA0"/>
          <w:sz w:val="16"/>
        </w:rPr>
        <w:t>[RE 201.595, rel. min. Marco Aurélio, j. 28-11-2000, 2ª T, DJ de 20-4-2001.]</w:t>
      </w:r>
    </w:p>
    <w:p>
      <w:pPr>
        <w:ind w:left="288"/>
      </w:pPr>
      <w:r>
        <w:rPr>
          <w:color w:val="8C8C8C"/>
          <w:sz w:val="12"/>
        </w:rPr>
        <w:t>cf-art-37-par-6</w:t>
      </w:r>
      <w:r>
        <w:rPr>
          <w:color w:val="003CA0"/>
          <w:sz w:val="12"/>
        </w:rPr>
        <w:t xml:space="preserve"> | RE 788.009</w:t>
      </w:r>
      <w:r>
        <w:rPr>
          <w:color w:val="003CA0"/>
          <w:sz w:val="12"/>
        </w:rPr>
        <w:t xml:space="preserve"> | rel. Dias Toffoli</w:t>
      </w:r>
    </w:p>
    <w:p>
      <w:pPr>
        <w:ind w:left="288"/>
      </w:pPr>
      <w:r>
        <w:rPr>
          <w:color w:val="1E1E1E"/>
          <w:sz w:val="18"/>
        </w:rPr>
        <w:t>= RE 788.009 AgR, rel. min. Dias Toffoli, j. 19-8-2014, 1ª T, DJE de 13-10-2014 Entre as pessoas jurídicas de direito privado prestadoras de serviço público a que alude o § 6º do art. 37 da CF se incluem as permissionárias de serviços públicos.</w:t>
      </w:r>
    </w:p>
    <w:p>
      <w:pPr>
        <w:ind w:left="288"/>
      </w:pPr>
      <w:r>
        <w:rPr>
          <w:b/>
          <w:color w:val="003CA0"/>
          <w:sz w:val="16"/>
        </w:rPr>
        <w:t>[RE 206.711, rel. min. Moreira Alves, j. 26-3-1999, 1ª T, DJ de 25-6-1999.]</w:t>
      </w:r>
    </w:p>
    <w:p>
      <w:pPr>
        <w:ind w:left="288"/>
      </w:pPr>
      <w:r>
        <w:rPr>
          <w:color w:val="8C8C8C"/>
          <w:sz w:val="12"/>
        </w:rPr>
        <w:t>cf-art-37-par-6</w:t>
      </w:r>
      <w:r>
        <w:rPr>
          <w:color w:val="003CA0"/>
          <w:sz w:val="12"/>
        </w:rPr>
        <w:t xml:space="preserve"> | RE 209.354</w:t>
      </w:r>
      <w:r>
        <w:rPr>
          <w:color w:val="003CA0"/>
          <w:sz w:val="12"/>
        </w:rPr>
        <w:t xml:space="preserve"> | rel. Carlos Velloso</w:t>
      </w:r>
    </w:p>
    <w:p>
      <w:pPr>
        <w:ind w:left="288"/>
      </w:pPr>
      <w:r>
        <w:rPr>
          <w:color w:val="1E1E1E"/>
          <w:sz w:val="18"/>
        </w:rPr>
        <w:t>Natureza estatal das atividades exercidas pelos serventuários titulares de cartórios e registros extrajudiciais, exercidas em caráter privado, por delegação do poder público. Responsabilidade objetiva do Estado pelos danos praticados a terceiros por esses servidores no exercício de tais funções, assegurado o direito de regresso contra o notário, nos casos de dolo ou culpa.</w:t>
      </w:r>
    </w:p>
    <w:p>
      <w:pPr>
        <w:ind w:left="288"/>
      </w:pPr>
      <w:r>
        <w:rPr>
          <w:b/>
          <w:color w:val="003CA0"/>
          <w:sz w:val="16"/>
        </w:rPr>
        <w:t>[RE 209.354 AgR, rel. min. Carlos Velloso, j. 2-3-1999, 2ª T, DJ de 16-4-1999.]</w:t>
      </w:r>
    </w:p>
    <w:p>
      <w:pPr>
        <w:ind w:left="288"/>
      </w:pPr>
      <w:r>
        <w:rPr>
          <w:color w:val="8C8C8C"/>
          <w:sz w:val="12"/>
        </w:rPr>
        <w:t>cf-art-37-par-6</w:t>
      </w:r>
      <w:r>
        <w:rPr>
          <w:color w:val="003CA0"/>
          <w:sz w:val="12"/>
        </w:rPr>
        <w:t xml:space="preserve"> | RE 518.894</w:t>
      </w:r>
      <w:r>
        <w:rPr>
          <w:color w:val="003CA0"/>
          <w:sz w:val="12"/>
        </w:rPr>
        <w:t xml:space="preserve"> | rel. Ayres Britto</w:t>
      </w:r>
    </w:p>
    <w:p>
      <w:pPr>
        <w:ind w:left="288"/>
      </w:pPr>
      <w:r>
        <w:rPr>
          <w:color w:val="1E1E1E"/>
          <w:sz w:val="18"/>
        </w:rPr>
        <w:t>= RE 518.894 AgR, rel. min. Ayres Britto, j. 2-8-2011, 2ª T, DJE de 23-9-2011 Responsabilidade do Estado. Natureza. Animais em via pública. Colisão. A responsabilidade do Estado (gênero), prevista no § 6º do art. 37 da CF, é objetiva. O dolo e a culpa nele previstos dizem respeito à ação de regresso. Responde o Município pelos danos causados a terceiro em virtude da insuficiência de serviço de fiscalização visando à retirada, de vias urbanas, de animais.</w:t>
      </w:r>
    </w:p>
    <w:p>
      <w:pPr>
        <w:ind w:left="288"/>
      </w:pPr>
      <w:r>
        <w:rPr>
          <w:b/>
          <w:color w:val="003CA0"/>
          <w:sz w:val="16"/>
        </w:rPr>
        <w:t>[RE 180.602, rel. min. Marco Aurélio, j. 15-12-1998, 2ª T, DJ de 16-4-1999.]</w:t>
      </w:r>
    </w:p>
    <w:p>
      <w:pPr>
        <w:ind w:left="288"/>
      </w:pPr>
      <w:r>
        <w:rPr>
          <w:color w:val="8C8C8C"/>
          <w:sz w:val="12"/>
        </w:rPr>
        <w:t>cf-art-37-par-6</w:t>
      </w:r>
      <w:r>
        <w:rPr>
          <w:color w:val="003CA0"/>
          <w:sz w:val="12"/>
        </w:rPr>
        <w:t xml:space="preserve"> | RE 209.137</w:t>
      </w:r>
      <w:r>
        <w:rPr>
          <w:color w:val="003CA0"/>
          <w:sz w:val="12"/>
        </w:rPr>
        <w:t xml:space="preserve"> | rel. Moreira Alves</w:t>
      </w:r>
    </w:p>
    <w:p>
      <w:pPr>
        <w:ind w:left="288"/>
      </w:pPr>
      <w:r>
        <w:rPr>
          <w:color w:val="1E1E1E"/>
          <w:sz w:val="18"/>
        </w:rPr>
        <w:t>A responsabilidade objetiva, inclusive a das pessoas jurídicas de direito público e de direito privado a que alude o art. 37, § 6º, da atual Constituição, é excluída ou atenuada quando a causa do dano decorre exclusivamente da ação da vítima, ou quando há concorrência de causas, em função, no primeiro caso, da ausência do nexo de causalidade na ocorrência do dano para determinar a responsabilidade daquelas pessoas jurídicas, ou, no segundo caso, da causalidade concorrente para a verificação do dano.</w:t>
      </w:r>
    </w:p>
    <w:p>
      <w:pPr>
        <w:ind w:left="288"/>
      </w:pPr>
      <w:r>
        <w:rPr>
          <w:b/>
          <w:color w:val="003CA0"/>
          <w:sz w:val="16"/>
        </w:rPr>
        <w:t>[RE 209.137, rel. min. Moreira Alves, j. 8-9-1998, 1ª T, DJ de 5-2-1999.]</w:t>
      </w:r>
    </w:p>
    <w:p>
      <w:pPr>
        <w:ind w:left="288"/>
      </w:pPr>
      <w:r>
        <w:rPr>
          <w:color w:val="8C8C8C"/>
          <w:sz w:val="12"/>
        </w:rPr>
        <w:t>cf-art-37-par-6</w:t>
      </w:r>
      <w:r>
        <w:rPr>
          <w:color w:val="003CA0"/>
          <w:sz w:val="12"/>
        </w:rPr>
        <w:t xml:space="preserve"> | RE 130.764</w:t>
      </w:r>
      <w:r>
        <w:rPr>
          <w:color w:val="003CA0"/>
          <w:sz w:val="12"/>
        </w:rPr>
        <w:t xml:space="preserve"> | rel. Moreira Alves. [RE 172.025</w:t>
      </w:r>
    </w:p>
    <w:p>
      <w:pPr>
        <w:ind w:left="288"/>
      </w:pPr>
      <w:r>
        <w:rPr>
          <w:color w:val="1E1E1E"/>
          <w:sz w:val="18"/>
        </w:rPr>
        <w:t>Latrocínio praticado por preso foragido, meses depois da fuga. Fora dos parâmetros da causalidade não é possível impor ao poder público uma responsabilidade ressarcitória sob o argumento de falha no sistema de segurança dos presos. Precedente da Primeira Turma: RE 130.764, rel. min. Moreira Alves.</w:t>
      </w:r>
    </w:p>
    <w:p>
      <w:pPr>
        <w:ind w:left="288"/>
      </w:pPr>
      <w:r>
        <w:rPr>
          <w:b/>
          <w:color w:val="003CA0"/>
          <w:sz w:val="16"/>
        </w:rPr>
        <w:t>[RE 172.025, rel. min. Ilmar Galvão, j. 8-10-1996, 1ª T, DJ de 19-12-1996.]</w:t>
      </w:r>
    </w:p>
    <w:p>
      <w:pPr>
        <w:ind w:left="288"/>
      </w:pPr>
      <w:r>
        <w:rPr>
          <w:color w:val="8C8C8C"/>
          <w:sz w:val="12"/>
        </w:rPr>
        <w:t>cf-art-37-par-6</w:t>
      </w:r>
      <w:r>
        <w:rPr>
          <w:color w:val="003CA0"/>
          <w:sz w:val="12"/>
        </w:rPr>
        <w:t xml:space="preserve"> | RE 607.771</w:t>
      </w:r>
      <w:r>
        <w:rPr>
          <w:color w:val="003CA0"/>
          <w:sz w:val="12"/>
        </w:rPr>
        <w:t xml:space="preserve"> | rel. Eros Grau</w:t>
      </w:r>
    </w:p>
    <w:p>
      <w:pPr>
        <w:ind w:left="288"/>
      </w:pPr>
      <w:r>
        <w:rPr>
          <w:color w:val="1E1E1E"/>
          <w:sz w:val="18"/>
        </w:rPr>
        <w:t xml:space="preserve">Vide RE 607.771 AgR, rel. min. Eros Grau, j. 20-4-2010, 2ª T, DJE de 14-5-2010 A teoria do risco administrativo, consagrada em sucessivos documentos constitucionais brasileiros desde a Carta Política de 1946, confere fundamento doutrinário à responsabilidade civil objetiva do poder público pelos danos a que os agentes públicos houverem dado causa, por ação ou por omissão. Essa concepção teórica, que informa o princípio constitucional da responsabilidade civil objetiva do poder público, faz emergir, da mera ocorrência de ato lesivo causado à vítima pelo Estado, o dever de indenizá-la pelo dano </w:t>
      </w:r>
    </w:p>
    <w:p>
      <w:pPr>
        <w:ind w:left="288"/>
      </w:pPr>
      <w:r>
        <w:rPr>
          <w:b/>
          <w:color w:val="003CA0"/>
          <w:sz w:val="16"/>
        </w:rPr>
        <w:t>[RE 109.615, rel. min. Celso de Mello, j. 28-5-1996, 1ª T, DJ de 2-8-1996.]</w:t>
      </w:r>
    </w:p>
    <w:p>
      <w:pPr>
        <w:ind w:left="288"/>
      </w:pPr>
      <w:r>
        <w:rPr>
          <w:color w:val="8C8C8C"/>
          <w:sz w:val="12"/>
        </w:rPr>
        <w:t>cf-art-37-par-6</w:t>
      </w:r>
      <w:r>
        <w:rPr>
          <w:color w:val="003CA0"/>
          <w:sz w:val="12"/>
        </w:rPr>
        <w:t xml:space="preserve"> | RMS 22.063</w:t>
      </w:r>
      <w:r>
        <w:rPr>
          <w:color w:val="003CA0"/>
          <w:sz w:val="12"/>
        </w:rPr>
        <w:t xml:space="preserve"> | rel. Marco Aurélio</w:t>
      </w:r>
    </w:p>
    <w:p>
      <w:pPr>
        <w:ind w:left="288"/>
      </w:pPr>
      <w:r>
        <w:rPr>
          <w:color w:val="1E1E1E"/>
          <w:sz w:val="18"/>
        </w:rPr>
        <w:t>A norma constitucional ínsita no art. 37, § 6º, refere-se à responsabilidade civil do Estado por danos causados a terceiros na prestação de serviços públicos, não ensejando qualquer indenização ao candidato habilitado em concurso público mas não nomeado por interesse da administração.</w:t>
      </w:r>
    </w:p>
    <w:p>
      <w:pPr>
        <w:ind w:left="288"/>
      </w:pPr>
      <w:r>
        <w:rPr>
          <w:b/>
          <w:color w:val="003CA0"/>
          <w:sz w:val="16"/>
        </w:rPr>
        <w:t>[RMS 22.063, red. do ac. min. Maurício Corrêa, rel. min. Marco Aurélio, j. 26-6-1995, 2ª T, DJ de 7-12-1995.]</w:t>
      </w:r>
    </w:p>
    <w:p>
      <w:pPr>
        <w:ind w:left="288"/>
      </w:pPr>
      <w:r>
        <w:rPr>
          <w:color w:val="8C8C8C"/>
          <w:sz w:val="12"/>
        </w:rPr>
        <w:t>cf-art-37-par-6</w:t>
      </w:r>
      <w:r>
        <w:rPr>
          <w:color w:val="003CA0"/>
          <w:sz w:val="12"/>
        </w:rPr>
        <w:t xml:space="preserve"> | AI 794.192</w:t>
      </w:r>
      <w:r>
        <w:rPr>
          <w:color w:val="003CA0"/>
          <w:sz w:val="12"/>
        </w:rPr>
        <w:t xml:space="preserve"> | rel. Ricardo Lewandowski</w:t>
      </w:r>
    </w:p>
    <w:p>
      <w:pPr>
        <w:ind w:left="288"/>
      </w:pPr>
      <w:r>
        <w:rPr>
          <w:color w:val="1E1E1E"/>
          <w:sz w:val="18"/>
        </w:rPr>
        <w:t>= AI 794.192 AgR, rel. min. Ricardo Lewandowski, j. 19-10-2010, 1ª T, DJE de 16-11-2010 A responsabilidade civil do Estado, responsabilidade objetiva, com base no risco administrativo, que admite pesquisa em torno da culpa do particular, para o fim de abrandar ou mesmo excluir a responsabilidade estatal, ocorre, em síntese, diante dos seguintes requisitos: a) do dano; b) da ação administrativa; c) e desde que haja nexo causal entre o dano e a ação administrativa. A consideração no sentido da licitude da ação administrativa é irrelevante, pois o que interessa é isto: sofrendo o particular um pr</w:t>
      </w:r>
    </w:p>
    <w:p>
      <w:pPr>
        <w:ind w:left="288"/>
      </w:pPr>
      <w:r>
        <w:rPr>
          <w:b/>
          <w:color w:val="003CA0"/>
          <w:sz w:val="16"/>
        </w:rPr>
        <w:t>[RE 113.587, rel. min. Carlos Velloso, j. 18-2-1992, 2ª T, DJ de 3-4-1992.]</w:t>
      </w:r>
    </w:p>
    <w:p>
      <w:pPr>
        <w:ind w:left="288"/>
      </w:pPr>
      <w:r>
        <w:rPr>
          <w:color w:val="8C8C8C"/>
          <w:sz w:val="12"/>
        </w:rPr>
        <w:t>cf-art-37-par-7</w:t>
      </w:r>
    </w:p>
    <w:p>
      <w:pPr>
        <w:ind w:left="288"/>
      </w:pPr>
      <w:r>
        <w:rPr>
          <w:color w:val="1E1E1E"/>
          <w:sz w:val="18"/>
        </w:rPr>
        <w:t>§ 8º A autonomia gerencial, orçamentária e financeira dos órgãos e entidades da administração direta e indireta poderá ser ampliada mediante contrato, a ser firmado entre seus administradores e o poder público, que tenha por objeto a fixação de metas de desempenho para o órgão ou entidade, cabendo à lei dispor sobre: (Incluído pela EC 19/1998)</w:t>
      </w:r>
    </w:p>
    <w:p>
      <w:pPr>
        <w:ind w:left="144"/>
      </w:pPr>
      <w:r>
        <w:rPr>
          <w:b/>
          <w:color w:val="B45A00"/>
          <w:sz w:val="16"/>
        </w:rPr>
        <w:t>CONTROLE CONCENTRADO</w:t>
      </w:r>
    </w:p>
    <w:p>
      <w:pPr>
        <w:ind w:left="288"/>
      </w:pPr>
      <w:r>
        <w:rPr>
          <w:color w:val="8C8C8C"/>
          <w:sz w:val="12"/>
        </w:rPr>
        <w:t>cf-art-37-par-9</w:t>
      </w:r>
      <w:r>
        <w:rPr>
          <w:color w:val="003CA0"/>
          <w:sz w:val="12"/>
        </w:rPr>
        <w:t xml:space="preserve"> | ADI 6.584</w:t>
      </w:r>
      <w:r>
        <w:rPr>
          <w:color w:val="003CA0"/>
          <w:sz w:val="12"/>
        </w:rPr>
        <w:t xml:space="preserve"> | rel. Gilmar Mendes</w:t>
      </w:r>
    </w:p>
    <w:p>
      <w:pPr>
        <w:ind w:left="288"/>
      </w:pPr>
      <w:r>
        <w:rPr>
          <w:color w:val="1E1E1E"/>
          <w:sz w:val="18"/>
        </w:rPr>
        <w:t>Teto remuneratório aos empregados de empresas públicas e sociedades de economia mista não dependentes do erário do Distrito Federal. Violação ao art. 37 da Constituição Federal. Medida cautelar confirmada. Inconstitucionalidade da Emenda à Lei Orgânica do Distrito Federal n. 99/2017. Interpretação conforme à Constituição ao artigo 19, X, da LODF, de modo que a expressão “empregos públicos” se limite às entidades que recebam recursos do Distrito Federal para pagamento de despesas de pessoal ou de custeio em geral. Ação julgada procedente.</w:t>
        <w:br/>
        <w:t>[ADI 6.584, rel. min. Gilmar Mendes, j. 24-5-2021, P, DJ</w:t>
      </w:r>
    </w:p>
    <w:p>
      <w:pPr>
        <w:ind w:left="144"/>
      </w:pPr>
      <w:r>
        <w:rPr>
          <w:b/>
          <w:color w:val="B45A00"/>
          <w:sz w:val="16"/>
        </w:rPr>
        <w:t>REPERCUSSAO GERAL</w:t>
      </w:r>
    </w:p>
    <w:p>
      <w:pPr>
        <w:ind w:left="288"/>
      </w:pPr>
      <w:r>
        <w:rPr>
          <w:color w:val="8C8C8C"/>
          <w:sz w:val="12"/>
        </w:rPr>
        <w:t>cf-art-37-par-9</w:t>
      </w:r>
      <w:r>
        <w:rPr>
          <w:color w:val="003CA0"/>
          <w:sz w:val="12"/>
        </w:rPr>
        <w:t xml:space="preserve"> | RE 658.999</w:t>
      </w:r>
      <w:r>
        <w:rPr>
          <w:color w:val="003CA0"/>
          <w:sz w:val="12"/>
        </w:rPr>
        <w:t xml:space="preserve"> | rel. Dias Toffoli</w:t>
      </w:r>
    </w:p>
    <w:p>
      <w:pPr>
        <w:ind w:left="288"/>
      </w:pPr>
      <w:r>
        <w:rPr>
          <w:color w:val="1E1E1E"/>
          <w:sz w:val="18"/>
        </w:rPr>
        <w:t>“Tratando-se de cargos constitucionalmente acumuláveis, descabe aplicar a vedação de acumulação de aposentadorias e pensões contida na parte final do art. 11 da Emenda Constitucional nº 20/98, porquanto destinada apenas aos casos de que trata, ou seja, aos reingressos no serviço público por meio de concurso público antes da publicação da referida emenda e que envolvam cargos inacumuláveis".</w:t>
        <w:br/>
        <w:t>[RE 658.999, rel. min. Dias Toffoli, j. 17-12-2022, P, DJE de 22-3-2023, Tema 627, com mérito julgado.] Há remansosa jurisprudência desta Corte nesse sentido, afirmando a impossibilidade da acumulação trípl</w:t>
      </w:r>
    </w:p>
    <w:p>
      <w:pPr>
        <w:ind w:left="288"/>
      </w:pPr>
      <w:r>
        <w:rPr>
          <w:b/>
          <w:color w:val="003CA0"/>
          <w:sz w:val="16"/>
        </w:rPr>
        <w:t>[ARE 848.993 RG, voto do rel. min. Gilmar Mendes, j. 6-10-2016, P, DJE de 23-3-2017, Tema 921, com mérito julgado.]</w:t>
      </w:r>
    </w:p>
    <w:p>
      <w:pPr>
        <w:ind w:left="288"/>
      </w:pPr>
      <w:r>
        <w:rPr>
          <w:color w:val="8C8C8C"/>
          <w:sz w:val="12"/>
        </w:rPr>
        <w:t>cf-art-37-par-9</w:t>
      </w:r>
      <w:r>
        <w:rPr>
          <w:color w:val="003CA0"/>
          <w:sz w:val="12"/>
        </w:rPr>
        <w:t xml:space="preserve"> | RE 584.388</w:t>
      </w:r>
      <w:r>
        <w:rPr>
          <w:color w:val="003CA0"/>
          <w:sz w:val="12"/>
        </w:rPr>
        <w:t xml:space="preserve"> | rel. Ricardo Lewandowski</w:t>
      </w:r>
    </w:p>
    <w:p>
      <w:pPr>
        <w:ind w:left="288"/>
      </w:pPr>
      <w:r>
        <w:rPr>
          <w:color w:val="1E1E1E"/>
          <w:sz w:val="18"/>
        </w:rPr>
        <w:t>A Carta de 1988 veda a percepção simultânea de proventos de aposentadoria com remuneração de cargo, emprego ou função pública, ressalvadas hipóteses – inocorrentes na espécie – de cargos acumuláveis na forma da Constituição, cargos eletivos e cargos em comissão (art. 37, § 10, da Constituição). Mesmo antes da EC 20/1998, a acumulação de proventos e vencimentos somente era admitida quando se tratasse de cargos, funções ou empregos acumuláveis na atividade, na forma permitida pela CF. Com o advento da EC 20/1998, que preservou a situação daqueles servidores que retornaram ao serviço público ante</w:t>
      </w:r>
    </w:p>
    <w:p>
      <w:pPr>
        <w:ind w:left="144"/>
      </w:pPr>
      <w:r>
        <w:rPr>
          <w:b/>
          <w:color w:val="B45A00"/>
          <w:sz w:val="16"/>
        </w:rPr>
        <w:t>JULGADOS CORRELATOS</w:t>
      </w:r>
    </w:p>
    <w:p>
      <w:pPr>
        <w:ind w:left="288"/>
      </w:pPr>
      <w:r>
        <w:rPr>
          <w:color w:val="8C8C8C"/>
          <w:sz w:val="12"/>
        </w:rPr>
        <w:t>cf-art-37-par-9</w:t>
      </w:r>
      <w:r>
        <w:rPr>
          <w:color w:val="003CA0"/>
          <w:sz w:val="12"/>
        </w:rPr>
        <w:t xml:space="preserve"> | MS 36.882</w:t>
      </w:r>
      <w:r>
        <w:rPr>
          <w:color w:val="003CA0"/>
          <w:sz w:val="12"/>
        </w:rPr>
        <w:t xml:space="preserve"> | rel. Nunes Marques</w:t>
      </w:r>
    </w:p>
    <w:p>
      <w:pPr>
        <w:ind w:left="288"/>
      </w:pPr>
      <w:r>
        <w:rPr>
          <w:color w:val="1E1E1E"/>
          <w:sz w:val="18"/>
        </w:rPr>
        <w:t>Militar da reserva remunerada que reingressa no serviço público, em cargo civil, após a vigência da Emenda Constitucional n. 20/1998, não tem direito líquido e certo de acumular os proventos oriundos da reserva remunerada com a remuneração decorrente do exercício do cargo civil assumido.</w:t>
        <w:br/>
        <w:t>[MS 36.882 ED-AgR, rel. min. Nunes Marques, j. 7-2-2023, 2ª T, DJE de 16-2-2023.] O acesso a cargos públicos rege-se pela Constituição Federal e pela legislação de cada unidade federativa. Se o legislador municipal estabeleceu que a aposentadoria é causa de vacância, o servidor não pode, sem prestar novo concu</w:t>
      </w:r>
    </w:p>
    <w:p>
      <w:pPr>
        <w:ind w:left="288"/>
      </w:pPr>
      <w:r>
        <w:rPr>
          <w:b/>
          <w:color w:val="003CA0"/>
          <w:sz w:val="16"/>
        </w:rPr>
        <w:t>[AI 264.217 AgR, rel. min. Dias Toffoli, j. 20-3-2012, 1ª T, DJE de 26-4-2012.]</w:t>
      </w:r>
    </w:p>
    <w:p>
      <w:pPr>
        <w:ind w:left="288"/>
      </w:pPr>
      <w:r>
        <w:rPr>
          <w:color w:val="8C8C8C"/>
          <w:sz w:val="12"/>
        </w:rPr>
        <w:t>cf-art-37-par-9</w:t>
      </w:r>
      <w:r>
        <w:rPr>
          <w:color w:val="003CA0"/>
          <w:sz w:val="12"/>
        </w:rPr>
        <w:t xml:space="preserve"> | AI 481.022</w:t>
      </w:r>
      <w:r>
        <w:rPr>
          <w:color w:val="003CA0"/>
          <w:sz w:val="12"/>
        </w:rPr>
        <w:t xml:space="preserve"> | rel. Marco Aurélio</w:t>
      </w:r>
    </w:p>
    <w:p>
      <w:pPr>
        <w:ind w:left="288"/>
      </w:pPr>
      <w:r>
        <w:rPr>
          <w:color w:val="1E1E1E"/>
          <w:sz w:val="18"/>
        </w:rPr>
        <w:t>Com o art. 11 da EC 20, de 15-12-1998, ocorreu o afastamento da incidência da proibição de acumular proventos e vencimentos em relação àqueles que tivessem reingressado no serviço público em data anterior ao da promulgação do novo texto constitucional.</w:t>
      </w:r>
    </w:p>
    <w:p>
      <w:pPr>
        <w:ind w:left="288"/>
      </w:pPr>
      <w:r>
        <w:rPr>
          <w:b/>
          <w:color w:val="003CA0"/>
          <w:sz w:val="16"/>
        </w:rPr>
        <w:t>[AI 481.022 AgR, rel. min. Marco Aurélio, j. 7-4-2009, 1ª T, DJE de 5-6-2009.]</w:t>
      </w:r>
    </w:p>
    <w:p>
      <w:pPr>
        <w:ind w:left="288"/>
      </w:pPr>
      <w:r>
        <w:rPr>
          <w:color w:val="8C8C8C"/>
          <w:sz w:val="12"/>
        </w:rPr>
        <w:t>cf-art-37-par-9</w:t>
      </w:r>
      <w:r>
        <w:rPr>
          <w:color w:val="003CA0"/>
          <w:sz w:val="12"/>
        </w:rPr>
        <w:t xml:space="preserve"> | RE 593.326</w:t>
      </w:r>
      <w:r>
        <w:rPr>
          <w:color w:val="003CA0"/>
          <w:sz w:val="12"/>
        </w:rPr>
        <w:t xml:space="preserve"> | rel. Dias Toffoli</w:t>
      </w:r>
    </w:p>
    <w:p>
      <w:pPr>
        <w:ind w:left="288"/>
      </w:pPr>
      <w:r>
        <w:rPr>
          <w:color w:val="1E1E1E"/>
          <w:sz w:val="18"/>
        </w:rPr>
        <w:t>= RE 593.326, rel. min. Dias Toffoli, j. 7-11-2012, dec. monocrática, DJE de 14-11-2012 As recorrentes pretendem continuar recebendo, cumulativamente, os proventos de aposentadoria com os vencimentos do cargo da ativa. Alegam que foram beneficiadas pela exceção criada no art. 11 da EC 20/1998. A EC 20/1998 vedou a percepção simultânea de proventos de aposentadoria com a remuneração de cargo, emprego ou função pública, ressalvados os cargos acumuláveis na forma desta Constituição. Por outro lado, reconheceu o direito daqueles servidores aposentados que, até a data da promulgação dessa emenda, r</w:t>
      </w:r>
    </w:p>
    <w:p>
      <w:pPr>
        <w:ind w:left="288"/>
      </w:pPr>
      <w:r>
        <w:rPr>
          <w:b/>
          <w:color w:val="003CA0"/>
          <w:sz w:val="16"/>
        </w:rPr>
        <w:t>[RE 382.389, rel. min. Ellen Gracie, j. 14-2-2006, 2ª T, DJ de 17-3-2006.]</w:t>
      </w:r>
    </w:p>
    <w:p>
      <w:pPr>
        <w:ind w:left="288"/>
      </w:pPr>
      <w:r>
        <w:rPr>
          <w:color w:val="8C8C8C"/>
          <w:sz w:val="12"/>
        </w:rPr>
        <w:t>cf-art-37-par-9</w:t>
      </w:r>
      <w:r>
        <w:rPr>
          <w:color w:val="003CA0"/>
          <w:sz w:val="12"/>
        </w:rPr>
        <w:t xml:space="preserve"> | RE 295.014</w:t>
      </w:r>
      <w:r>
        <w:rPr>
          <w:color w:val="003CA0"/>
          <w:sz w:val="12"/>
        </w:rPr>
        <w:t xml:space="preserve"> | rel. Gilmar Mendes</w:t>
      </w:r>
    </w:p>
    <w:p>
      <w:pPr>
        <w:ind w:left="288"/>
      </w:pPr>
      <w:r>
        <w:rPr>
          <w:color w:val="1E1E1E"/>
          <w:sz w:val="18"/>
        </w:rPr>
        <w:t>= RE 295.014 AgR, rel. min. Gilmar Mendes, j. 15-2-2011, 2ª T, DJE de 1º-3-2011 O art. 93, § 9º, da Constituição do Brasil de 1967, na redação da EC 1/1969, bem como a Constituição de 1988, antes da EC 20/1998, não obstavam o retorno do militar reformado ao serviço público e a posterior aposentadoria no cargo civil, acumulando os respectivos proventos. Precedente (MS 24.742, rel. min. Marco Aurélio, Informativo 360). Reformado o militar sob a Constituição de 1967 e aposentado como servidor civil na vigência da Constituição de 1988, antes da edição da EC 20/1998, não há falar em acumulação de p</w:t>
      </w:r>
    </w:p>
    <w:p>
      <w:pPr>
        <w:ind w:left="288"/>
      </w:pPr>
      <w:r>
        <w:rPr>
          <w:b/>
          <w:color w:val="003CA0"/>
          <w:sz w:val="16"/>
        </w:rPr>
        <w:t>[MS 24.997, MS 25.015, MS 25.036, MS 25.037, MS 25.090 e MS 25.095, rel. min. Eros Grau, j. 2-2-2005, P, DJ de 1º-4-2005.]</w:t>
      </w:r>
    </w:p>
    <w:p>
      <w:pPr>
        <w:ind w:left="288"/>
      </w:pPr>
      <w:r>
        <w:rPr>
          <w:color w:val="8C8C8C"/>
          <w:sz w:val="12"/>
        </w:rPr>
        <w:t>cf-art-37-par-9</w:t>
      </w:r>
      <w:r>
        <w:rPr>
          <w:color w:val="003CA0"/>
          <w:sz w:val="12"/>
        </w:rPr>
        <w:t xml:space="preserve"> | AI 801.096</w:t>
      </w:r>
      <w:r>
        <w:rPr>
          <w:color w:val="003CA0"/>
          <w:sz w:val="12"/>
        </w:rPr>
        <w:t xml:space="preserve"> | rel. Luiz Fux</w:t>
      </w:r>
    </w:p>
    <w:p>
      <w:pPr>
        <w:ind w:left="288"/>
      </w:pPr>
      <w:r>
        <w:rPr>
          <w:color w:val="1E1E1E"/>
          <w:sz w:val="18"/>
        </w:rPr>
        <w:t>= AI 801.096 AgR, rel. min. Luiz Fux, j. 6-12-2011, 1ª T, DJE de 19-12-2011</w:t>
      </w:r>
    </w:p>
    <w:p>
      <w:pPr>
        <w:ind w:left="720"/>
      </w:pPr>
      <w:r>
        <w:rPr>
          <w:color w:val="003366"/>
          <w:sz w:val="18"/>
        </w:rPr>
        <w:t>I – os cargos, empregos e funções públicas são acessíveis aos brasileiros que pr</w:t>
      </w:r>
    </w:p>
    <w:p>
      <w:pPr>
        <w:ind w:left="720"/>
      </w:pPr>
      <w:r>
        <w:rPr>
          <w:color w:val="003366"/>
          <w:sz w:val="18"/>
        </w:rPr>
        <w:t>II – a investidura em cargo ou emprego público depende de aprovação prévia em co</w:t>
      </w:r>
    </w:p>
    <w:p>
      <w:pPr>
        <w:ind w:left="720"/>
      </w:pPr>
      <w:r>
        <w:rPr>
          <w:color w:val="003366"/>
          <w:sz w:val="18"/>
        </w:rPr>
        <w:t>III – o prazo de validade do concurso público será de até dois anos, prorrogável</w:t>
      </w:r>
    </w:p>
    <w:p>
      <w:pPr>
        <w:ind w:left="720"/>
      </w:pPr>
      <w:r>
        <w:rPr>
          <w:color w:val="003366"/>
          <w:sz w:val="18"/>
        </w:rPr>
        <w:t>IV – durante o prazo improrrogável previsto no edital de convocação, aquele apro</w:t>
      </w:r>
    </w:p>
    <w:p>
      <w:pPr>
        <w:ind w:left="720"/>
      </w:pPr>
      <w:r>
        <w:rPr>
          <w:color w:val="003366"/>
          <w:sz w:val="18"/>
        </w:rPr>
        <w:t>V – as funções de confiança, exercidas exclusivamente por servidores ocupantes d</w:t>
      </w:r>
    </w:p>
    <w:p>
      <w:pPr>
        <w:ind w:left="720"/>
      </w:pPr>
      <w:r>
        <w:rPr>
          <w:color w:val="003366"/>
          <w:sz w:val="18"/>
        </w:rPr>
        <w:t>VI – é garantido ao servidor público civil o direito à livre associação sindical</w:t>
      </w:r>
    </w:p>
    <w:p>
      <w:pPr>
        <w:ind w:left="720"/>
      </w:pPr>
      <w:r>
        <w:rPr>
          <w:color w:val="003366"/>
          <w:sz w:val="18"/>
        </w:rPr>
        <w:t>VII – o direito de greve será exercido nos termos e nos limites definidos em lei</w:t>
      </w:r>
    </w:p>
    <w:p>
      <w:pPr>
        <w:ind w:left="720"/>
      </w:pPr>
      <w:r>
        <w:rPr>
          <w:color w:val="003366"/>
          <w:sz w:val="18"/>
        </w:rPr>
        <w:t>VIII – a lei reservará percentual dos cargos e empregos públicos para as pessoas</w:t>
      </w:r>
    </w:p>
    <w:p>
      <w:pPr>
        <w:ind w:left="720"/>
      </w:pPr>
      <w:r>
        <w:rPr>
          <w:color w:val="003366"/>
          <w:sz w:val="18"/>
        </w:rPr>
        <w:t>IX – a lei estabelecerá os casos de contratação por tempo determinado para atend</w:t>
      </w:r>
    </w:p>
    <w:p>
      <w:pPr>
        <w:ind w:left="720"/>
      </w:pPr>
      <w:r>
        <w:rPr>
          <w:color w:val="003366"/>
          <w:sz w:val="18"/>
        </w:rPr>
        <w:t>X – a remuneração dos servidores públicos e o subsídio de que trata o § 4º do ar</w:t>
      </w:r>
    </w:p>
    <w:p>
      <w:pPr>
        <w:ind w:left="720"/>
      </w:pPr>
      <w:r>
        <w:rPr>
          <w:color w:val="003366"/>
          <w:sz w:val="18"/>
        </w:rPr>
        <w:t>XI – a remuneração e o subsídio dos ocupantes de cargos, funções e empregos públ</w:t>
      </w:r>
    </w:p>
    <w:p>
      <w:pPr>
        <w:ind w:left="720"/>
      </w:pPr>
      <w:r>
        <w:rPr>
          <w:color w:val="003366"/>
          <w:sz w:val="18"/>
        </w:rPr>
        <w:t>XII – os vencimentos dos cargos do Poder Legislativo e do Poder Judiciário não p</w:t>
      </w:r>
    </w:p>
    <w:p>
      <w:pPr>
        <w:ind w:left="720"/>
      </w:pPr>
      <w:r>
        <w:rPr>
          <w:color w:val="003366"/>
          <w:sz w:val="18"/>
        </w:rPr>
        <w:t>XIII – é vedada a vinculação ou equiparação de quaisquer espécies remuneratórias</w:t>
      </w:r>
    </w:p>
    <w:p>
      <w:pPr>
        <w:ind w:left="1008"/>
      </w:pPr>
      <w:r>
        <w:rPr>
          <w:color w:val="003366"/>
          <w:sz w:val="18"/>
        </w:rPr>
        <w:t>a) a de dois cargos de professor; (Redação dada pela Emenda Constitucional nº 19</w:t>
      </w:r>
    </w:p>
    <w:p>
      <w:pPr>
        <w:ind w:left="1008"/>
      </w:pPr>
      <w:r>
        <w:rPr>
          <w:color w:val="003366"/>
          <w:sz w:val="18"/>
        </w:rPr>
        <w:t>b) a de um cargo de professor com outro de qualquer natureza; (Redação dada pela</w:t>
      </w:r>
    </w:p>
    <w:p>
      <w:pPr>
        <w:ind w:left="1008"/>
      </w:pPr>
      <w:r>
        <w:rPr>
          <w:color w:val="003366"/>
          <w:sz w:val="18"/>
        </w:rPr>
        <w:t>c) a de dois cargos ou empregos privativos de profissionais de saúde, com profis</w:t>
      </w:r>
    </w:p>
    <w:p>
      <w:pPr>
        <w:ind w:left="720"/>
      </w:pPr>
      <w:r>
        <w:rPr>
          <w:color w:val="003366"/>
          <w:sz w:val="18"/>
        </w:rPr>
        <w:t>XX – depende de autorização legislativa, em cada caso, a criação de subsidiárias</w:t>
      </w:r>
    </w:p>
    <w:p>
      <w:pPr>
        <w:ind w:left="720"/>
      </w:pPr>
      <w:r>
        <w:rPr>
          <w:color w:val="003366"/>
          <w:sz w:val="18"/>
        </w:rPr>
        <w:t>XXI – ressalvados os casos especificados na legislação, as obras, serviços, comp</w:t>
      </w:r>
    </w:p>
    <w:p>
      <w:pPr>
        <w:ind w:left="720"/>
      </w:pPr>
      <w:r>
        <w:rPr>
          <w:color w:val="003366"/>
          <w:sz w:val="18"/>
        </w:rPr>
        <w:t xml:space="preserve">XXII – as administrações tributárias da União, dos Estados, do Distrito Federal </w:t>
      </w:r>
    </w:p>
    <w:p>
      <w:pPr>
        <w:ind w:left="432"/>
      </w:pPr>
      <w:r>
        <w:rPr>
          <w:color w:val="003366"/>
          <w:sz w:val="18"/>
        </w:rPr>
        <w:t>§ 1 A publicidade dos atos, programas, obras, serviços e campanhas dos órgãos pú</w:t>
      </w:r>
    </w:p>
    <w:p>
      <w:pPr>
        <w:ind w:left="432"/>
      </w:pPr>
      <w:r>
        <w:rPr>
          <w:color w:val="003366"/>
          <w:sz w:val="18"/>
        </w:rPr>
        <w:t>§ 2 A não observância do disposto nos incisos II e III implicará a nulidade do a</w:t>
      </w:r>
    </w:p>
    <w:p>
      <w:pPr>
        <w:ind w:left="432"/>
      </w:pPr>
      <w:r>
        <w:rPr>
          <w:color w:val="003366"/>
          <w:sz w:val="18"/>
        </w:rPr>
        <w:t>§ 3 A lei disciplinará as formas de participação do usuário na administração púb</w:t>
      </w:r>
    </w:p>
    <w:p>
      <w:pPr>
        <w:ind w:left="720"/>
      </w:pPr>
      <w:r>
        <w:rPr>
          <w:color w:val="003366"/>
          <w:sz w:val="18"/>
        </w:rPr>
        <w:t>I – as reclamações relativas à prestação dos serviços públicos em geral, assegur</w:t>
      </w:r>
    </w:p>
    <w:p>
      <w:pPr>
        <w:ind w:left="720"/>
      </w:pPr>
      <w:r>
        <w:rPr>
          <w:color w:val="003366"/>
          <w:sz w:val="18"/>
        </w:rPr>
        <w:t>II – o acesso dos usuários a registros administrativos e a informações sobre ato</w:t>
      </w:r>
    </w:p>
    <w:p>
      <w:pPr>
        <w:ind w:left="720"/>
      </w:pPr>
      <w:r>
        <w:rPr>
          <w:color w:val="003366"/>
          <w:sz w:val="18"/>
        </w:rPr>
        <w:t xml:space="preserve">III – a disciplina da representação contra o exercício negligente ou abusivo de </w:t>
      </w:r>
    </w:p>
    <w:p>
      <w:pPr>
        <w:ind w:left="432"/>
      </w:pPr>
      <w:r>
        <w:rPr>
          <w:color w:val="003366"/>
          <w:sz w:val="18"/>
        </w:rPr>
        <w:t>§ 4 Os atos de improbidade administrativa importarão a suspensão dos direitos po</w:t>
      </w:r>
    </w:p>
    <w:p>
      <w:pPr>
        <w:ind w:left="432"/>
      </w:pPr>
      <w:r>
        <w:rPr>
          <w:color w:val="003366"/>
          <w:sz w:val="18"/>
        </w:rPr>
        <w:t>§ 5 A lei estabelecerá os prazos de prescrição para ilícitos praticados por qual</w:t>
      </w:r>
    </w:p>
    <w:p>
      <w:pPr>
        <w:ind w:left="432"/>
      </w:pPr>
      <w:r>
        <w:rPr>
          <w:color w:val="003366"/>
          <w:sz w:val="18"/>
        </w:rPr>
        <w:t xml:space="preserve">§ 6 As pessoas jurídicas de direito público e as de direito privado prestadoras </w:t>
      </w:r>
    </w:p>
    <w:p>
      <w:pPr>
        <w:ind w:left="432"/>
      </w:pPr>
      <w:r>
        <w:rPr>
          <w:color w:val="003366"/>
          <w:sz w:val="18"/>
        </w:rPr>
        <w:t>§ 7 A lei disporá sobre os requisitos e as restrições ao ocupante de cargo ou em</w:t>
      </w:r>
    </w:p>
    <w:p>
      <w:pPr>
        <w:ind w:left="432"/>
      </w:pPr>
      <w:r>
        <w:rPr>
          <w:color w:val="003366"/>
          <w:sz w:val="18"/>
        </w:rPr>
        <w:t>§ 8 A autonomia gerencial, orçamentária e financeira dos órgãos e entidades da a</w:t>
      </w:r>
    </w:p>
    <w:p>
      <w:pPr>
        <w:ind w:left="720"/>
      </w:pPr>
      <w:r>
        <w:rPr>
          <w:color w:val="003366"/>
          <w:sz w:val="18"/>
        </w:rPr>
        <w:t xml:space="preserve">I – o prazo de duração do contrato; (Incluído pela Emenda Constitucional nº 19, </w:t>
      </w:r>
    </w:p>
    <w:p>
      <w:pPr>
        <w:ind w:left="720"/>
      </w:pPr>
      <w:r>
        <w:rPr>
          <w:color w:val="003366"/>
          <w:sz w:val="18"/>
        </w:rPr>
        <w:t>II – os controles e critérios de avaliação de desempenho, direitos, obrigações e</w:t>
      </w:r>
    </w:p>
    <w:p>
      <w:pPr>
        <w:ind w:left="720"/>
      </w:pPr>
      <w:r>
        <w:rPr>
          <w:color w:val="003366"/>
          <w:sz w:val="18"/>
        </w:rPr>
        <w:t>III – a remuneração do pessoal. (Incluído pela Emenda Constitucional nº 19, de 1</w:t>
      </w:r>
    </w:p>
    <w:p>
      <w:pPr>
        <w:ind w:left="432"/>
      </w:pPr>
      <w:r>
        <w:rPr>
          <w:color w:val="003366"/>
          <w:sz w:val="18"/>
        </w:rPr>
        <w:t>§ 9 O disposto no inciso XI aplica-se às empresas públicas e às sociedades de ec</w:t>
      </w:r>
    </w:p>
    <w:p>
      <w:pPr>
        <w:ind w:left="432"/>
      </w:pPr>
      <w:r>
        <w:rPr>
          <w:color w:val="003366"/>
          <w:sz w:val="18"/>
        </w:rPr>
        <w:t>§ 10 É vedada a percepção simultânea de proventos de aposentadoria decorrentes d</w:t>
      </w:r>
    </w:p>
    <w:p>
      <w:pPr>
        <w:ind w:left="432"/>
      </w:pPr>
      <w:r>
        <w:rPr>
          <w:color w:val="003366"/>
          <w:sz w:val="18"/>
        </w:rPr>
        <w:t>§ 11 Não serão computadas, para efeito dos limites remuneratórios de que trata o</w:t>
      </w:r>
    </w:p>
    <w:p>
      <w:pPr>
        <w:ind w:left="432"/>
      </w:pPr>
      <w:r>
        <w:rPr>
          <w:color w:val="003366"/>
          <w:sz w:val="18"/>
        </w:rPr>
        <w:t>§ 12 Para os fins do disposto no inciso XI do caput deste artigo, fica facultado</w:t>
      </w:r>
    </w:p>
    <w:p>
      <w:pPr>
        <w:ind w:left="432"/>
      </w:pPr>
      <w:r>
        <w:rPr>
          <w:color w:val="003366"/>
          <w:sz w:val="18"/>
        </w:rPr>
        <w:t>§ 13 O servidor público titular de cargo efetivo poderá ser readaptado para exer</w:t>
      </w:r>
    </w:p>
    <w:p>
      <w:pPr>
        <w:ind w:left="432"/>
      </w:pPr>
      <w:r>
        <w:rPr>
          <w:color w:val="003366"/>
          <w:sz w:val="18"/>
        </w:rPr>
        <w:t>§ 14 A aposentadoria concedida com a utilização de tempo de contribuição decorre</w:t>
      </w:r>
    </w:p>
    <w:p>
      <w:pPr>
        <w:ind w:left="432"/>
      </w:pPr>
      <w:r>
        <w:rPr>
          <w:color w:val="003366"/>
          <w:sz w:val="18"/>
        </w:rPr>
        <w:t>§ 15 É vedada a complementação de aposentadorias de servidores públicos e de pen</w:t>
      </w:r>
    </w:p>
    <w:p>
      <w:pPr>
        <w:ind w:left="432"/>
      </w:pPr>
      <w:r>
        <w:rPr>
          <w:color w:val="003366"/>
          <w:sz w:val="18"/>
        </w:rPr>
        <w:t>§ 16 Os órgãos e entidades da administração pública, individual ou conjuntamente</w:t>
      </w:r>
    </w:p>
    <w:p>
      <w:r>
        <w:rPr>
          <w:b/>
          <w:color w:val="003366"/>
          <w:sz w:val="20"/>
        </w:rPr>
        <w:t>Art. 38 Ao servidor público da administração direta, autárquica e fundacional, n</w:t>
      </w:r>
      <w:r>
        <w:rPr>
          <w:color w:val="8C8C8C"/>
          <w:sz w:val="14"/>
        </w:rPr>
        <w:t xml:space="preserve">  [9 decisoes]</w:t>
      </w:r>
    </w:p>
    <w:p>
      <w:pPr>
        <w:ind w:left="144"/>
      </w:pPr>
      <w:r>
        <w:rPr>
          <w:b/>
          <w:color w:val="B45A00"/>
          <w:sz w:val="16"/>
        </w:rPr>
        <w:t>CONTROLE CONCENTRADO</w:t>
      </w:r>
    </w:p>
    <w:p>
      <w:pPr>
        <w:ind w:left="288"/>
      </w:pPr>
      <w:r>
        <w:rPr>
          <w:color w:val="8C8C8C"/>
          <w:sz w:val="12"/>
        </w:rPr>
        <w:t>cf-art-38</w:t>
      </w:r>
      <w:r>
        <w:rPr>
          <w:color w:val="003CA0"/>
          <w:sz w:val="12"/>
        </w:rPr>
        <w:t xml:space="preserve"> | ADI 119</w:t>
      </w:r>
      <w:r>
        <w:rPr>
          <w:color w:val="003CA0"/>
          <w:sz w:val="12"/>
        </w:rPr>
        <w:t xml:space="preserve"> | rel. Dias Toffoli</w:t>
      </w:r>
    </w:p>
    <w:p>
      <w:pPr>
        <w:ind w:left="288"/>
      </w:pPr>
      <w:r>
        <w:rPr>
          <w:color w:val="1E1E1E"/>
          <w:sz w:val="18"/>
        </w:rPr>
        <w:t>É inconstitucional a garantia da disponibilidade remunerada ao ex-detentor de mandato eletivo, com a opção pelo retorno ou não às atividades, se servidor público, após o encerramento da atividade parlamentar. Não conformidade com o Texto Magno, por ofensa ao regime constitucional da disponibilidade do servidor público (art. 41, §§ 2º e 3º, CF/1988) e à regra de afastamento do titular de cargo público para o exercício de mandato eletivo (art. 38, CF/1988).</w:t>
      </w:r>
    </w:p>
    <w:p>
      <w:pPr>
        <w:ind w:left="288"/>
      </w:pPr>
      <w:r>
        <w:rPr>
          <w:b/>
          <w:color w:val="003CA0"/>
          <w:sz w:val="16"/>
        </w:rPr>
        <w:t>[ADI 119, rel. min. Dias Toffoli, j. 19-2-2014, P, DJE de 28-3-2014.]</w:t>
      </w:r>
    </w:p>
    <w:p>
      <w:pPr>
        <w:ind w:left="288"/>
      </w:pPr>
      <w:r>
        <w:rPr>
          <w:color w:val="8C8C8C"/>
          <w:sz w:val="12"/>
        </w:rPr>
        <w:t>cf-art-38-inc-II</w:t>
      </w:r>
      <w:r>
        <w:rPr>
          <w:color w:val="003CA0"/>
          <w:sz w:val="12"/>
        </w:rPr>
        <w:t xml:space="preserve"> | ADI 1.381</w:t>
      </w:r>
      <w:r>
        <w:rPr>
          <w:color w:val="003CA0"/>
          <w:sz w:val="12"/>
        </w:rPr>
        <w:t xml:space="preserve"> | rel. Dias Toffoli</w:t>
      </w:r>
    </w:p>
    <w:p>
      <w:pPr>
        <w:ind w:left="288"/>
      </w:pPr>
      <w:r>
        <w:rPr>
          <w:color w:val="1E1E1E"/>
          <w:sz w:val="18"/>
        </w:rPr>
        <w:t>Lei estadual 5.729/1995. (...) Elegibilidade do policial militar. Violação ao art. 38 da CF. (...) A autorização, ao militar eleito, de optar pela fonte de pagamento, qualquer que seja a natureza do mandato, destoa do regramento constitucional disposto no art. 38 da CF, que somente permite o direito de opção nas estritas hipóteses de vereador e de prefeito municipal.</w:t>
      </w:r>
    </w:p>
    <w:p>
      <w:pPr>
        <w:ind w:left="288"/>
      </w:pPr>
      <w:r>
        <w:rPr>
          <w:b/>
          <w:color w:val="003CA0"/>
          <w:sz w:val="16"/>
        </w:rPr>
        <w:t>[ADI 1.381, rel. min. Dias Toffoli, j. 21-8-2014, P, DJE de 9-10-2014.]</w:t>
      </w:r>
    </w:p>
    <w:p>
      <w:pPr>
        <w:ind w:left="288"/>
      </w:pPr>
      <w:r>
        <w:rPr>
          <w:color w:val="8C8C8C"/>
          <w:sz w:val="12"/>
        </w:rPr>
        <w:t>cf-art-38-inc-II</w:t>
      </w:r>
      <w:r>
        <w:rPr>
          <w:color w:val="003CA0"/>
          <w:sz w:val="12"/>
        </w:rPr>
        <w:t xml:space="preserve"> | ADI 199</w:t>
      </w:r>
      <w:r>
        <w:rPr>
          <w:color w:val="003CA0"/>
          <w:sz w:val="12"/>
        </w:rPr>
        <w:t xml:space="preserve"> | rel. Maurício Corrêa</w:t>
      </w:r>
    </w:p>
    <w:p>
      <w:pPr>
        <w:ind w:left="288"/>
      </w:pPr>
      <w:r>
        <w:rPr>
          <w:color w:val="1E1E1E"/>
          <w:sz w:val="18"/>
        </w:rPr>
        <w:t>Servidor público investido no mandato de vice-prefeito. Aplicam-se-lhe, por analogia, as disposições contidas no inciso II do art. 38 da CF.</w:t>
      </w:r>
    </w:p>
    <w:p>
      <w:pPr>
        <w:ind w:left="288"/>
      </w:pPr>
      <w:r>
        <w:rPr>
          <w:b/>
          <w:color w:val="003CA0"/>
          <w:sz w:val="16"/>
        </w:rPr>
        <w:t>[ADI 199, rel. min. Maurício Corrêa, j. 22-4-1998, P, DJ de 7-8-1998.]</w:t>
      </w:r>
    </w:p>
    <w:p>
      <w:pPr>
        <w:ind w:left="288"/>
      </w:pPr>
      <w:r>
        <w:rPr>
          <w:color w:val="8C8C8C"/>
          <w:sz w:val="12"/>
        </w:rPr>
        <w:t>cf-art-38-inc-II</w:t>
      </w:r>
      <w:r>
        <w:rPr>
          <w:color w:val="003CA0"/>
          <w:sz w:val="12"/>
        </w:rPr>
        <w:t xml:space="preserve"> | ADI 143</w:t>
      </w:r>
      <w:r>
        <w:rPr>
          <w:color w:val="003CA0"/>
          <w:sz w:val="12"/>
        </w:rPr>
        <w:t xml:space="preserve"> | rel. Carlos Velloso</w:t>
      </w:r>
    </w:p>
    <w:p>
      <w:pPr>
        <w:ind w:left="288"/>
      </w:pPr>
      <w:r>
        <w:rPr>
          <w:color w:val="1E1E1E"/>
          <w:sz w:val="18"/>
        </w:rPr>
        <w:t>Suspensão cautelar da eficácia do § 2º do art. 38 da Constituição do Ceará, que autoriza o afastamento do cargo, sem prejuízo dos salários, vencimentos e demais vantagens, de servidor público eleito vice-prefeito.</w:t>
      </w:r>
    </w:p>
    <w:p>
      <w:pPr>
        <w:ind w:left="288"/>
      </w:pPr>
      <w:r>
        <w:rPr>
          <w:b/>
          <w:color w:val="003CA0"/>
          <w:sz w:val="16"/>
        </w:rPr>
        <w:t>[ADI 143 MC-MC, rel. min. Carlos Velloso, j. 2-9-1993, P, DJ de 30-3-2001.]</w:t>
      </w:r>
    </w:p>
    <w:p>
      <w:pPr>
        <w:ind w:left="144"/>
      </w:pPr>
      <w:r>
        <w:rPr>
          <w:b/>
          <w:color w:val="B45A00"/>
          <w:sz w:val="16"/>
        </w:rPr>
        <w:t>JULGADOS CORRELATOS</w:t>
      </w:r>
    </w:p>
    <w:p>
      <w:pPr>
        <w:ind w:left="288"/>
      </w:pPr>
      <w:r>
        <w:rPr>
          <w:color w:val="8C8C8C"/>
          <w:sz w:val="12"/>
        </w:rPr>
        <w:t>cf-art-38-inc-II</w:t>
      </w:r>
      <w:r>
        <w:rPr>
          <w:color w:val="003CA0"/>
          <w:sz w:val="12"/>
        </w:rPr>
        <w:t xml:space="preserve"> | RE 140.269</w:t>
      </w:r>
      <w:r>
        <w:rPr>
          <w:color w:val="003CA0"/>
          <w:sz w:val="12"/>
        </w:rPr>
        <w:t xml:space="preserve"> | rel. Néri da Silveira</w:t>
      </w:r>
    </w:p>
    <w:p>
      <w:pPr>
        <w:ind w:left="288"/>
      </w:pPr>
      <w:r>
        <w:rPr>
          <w:color w:val="1E1E1E"/>
          <w:sz w:val="18"/>
        </w:rPr>
        <w:t xml:space="preserve">Não pode o vice-prefeito acumular a remuneração decorrente de emprego em empresa pública estadual com a representação estabelecida para o exercício do mandato eletivo (...). O que a Constituição excepcionou, no art. 38, III, no âmbito municipal, foi apenas a situação do vereador, ao possibilitar-lhe, se servidor público, no exercício do mandato, perceber as vantagens de seu cargo, emprego ou função, sem prejuízo da remuneração do cargo eletivo, quando houver compatibilidade de horários; se não se comprovar a compatibilidade de horários, será aplicada a norma relativa ao prefeito (CF, art. 38, </w:t>
      </w:r>
    </w:p>
    <w:p>
      <w:pPr>
        <w:ind w:left="288"/>
      </w:pPr>
      <w:r>
        <w:rPr>
          <w:b/>
          <w:color w:val="003CA0"/>
          <w:sz w:val="16"/>
        </w:rPr>
        <w:t>[RE 140.269, rel. min. Néri da Silveira, j. 1º-10-1996, 2ª T, DJ de 9-5-1997.]</w:t>
      </w:r>
    </w:p>
    <w:p>
      <w:pPr>
        <w:ind w:left="288"/>
      </w:pPr>
      <w:r>
        <w:rPr>
          <w:color w:val="8C8C8C"/>
          <w:sz w:val="12"/>
        </w:rPr>
        <w:t>cf-art-38-inc-II</w:t>
      </w:r>
      <w:r>
        <w:rPr>
          <w:color w:val="003CA0"/>
          <w:sz w:val="12"/>
        </w:rPr>
        <w:t xml:space="preserve"> | ARE 659.543</w:t>
      </w:r>
      <w:r>
        <w:rPr>
          <w:color w:val="003CA0"/>
          <w:sz w:val="12"/>
        </w:rPr>
        <w:t xml:space="preserve"> | rel. Cármen Lúcia</w:t>
      </w:r>
    </w:p>
    <w:p>
      <w:pPr>
        <w:ind w:left="288"/>
      </w:pPr>
      <w:r>
        <w:rPr>
          <w:color w:val="1E1E1E"/>
          <w:sz w:val="18"/>
        </w:rPr>
        <w:t>= ARE 659.543 AgR, rel. min. Cármen Lúcia, j. 30-10-2012, 2ª T, DJE de 20-11-2012 III - investido no mandato de Vereador, havendo compatibilidade de horários, perceberá as vantagens de seu cargo, emprego ou função, sem prejuízo da remuneração do cargo eletivo, e, não havendo compatibilidade, será aplicada a norma do inciso anterior;</w:t>
      </w:r>
    </w:p>
    <w:p>
      <w:pPr>
        <w:ind w:left="144"/>
      </w:pPr>
      <w:r>
        <w:rPr>
          <w:b/>
          <w:color w:val="B45A00"/>
          <w:sz w:val="16"/>
        </w:rPr>
        <w:t>CONTROLE CONCENTRADO</w:t>
      </w:r>
    </w:p>
    <w:p>
      <w:pPr>
        <w:ind w:left="288"/>
      </w:pPr>
      <w:r>
        <w:rPr>
          <w:color w:val="8C8C8C"/>
          <w:sz w:val="12"/>
        </w:rPr>
        <w:t>cf-art-38-inc-II</w:t>
      </w:r>
      <w:r>
        <w:rPr>
          <w:color w:val="003CA0"/>
          <w:sz w:val="12"/>
        </w:rPr>
        <w:t xml:space="preserve"> | ADI 1.381</w:t>
      </w:r>
      <w:r>
        <w:rPr>
          <w:color w:val="003CA0"/>
          <w:sz w:val="12"/>
        </w:rPr>
        <w:t xml:space="preserve"> | rel. Dias Toffoli</w:t>
      </w:r>
    </w:p>
    <w:p>
      <w:pPr>
        <w:ind w:left="288"/>
      </w:pPr>
      <w:r>
        <w:rPr>
          <w:color w:val="1E1E1E"/>
          <w:sz w:val="18"/>
        </w:rPr>
        <w:t>Lei estadual 5.729/1995. (...) Elegibilidade do policial militar. Violação ao art. 38 da CF. (...) A autorização, ao militar eleito, de optar pela fonte de pagamento, qualquer que seja a natureza do mandato, destoa do regramento constitucional disposto no art. 38 da CF, que somente permite o direito de opção nas estritas hipóteses de vereador e de prefeito municipal.</w:t>
      </w:r>
    </w:p>
    <w:p>
      <w:pPr>
        <w:ind w:left="288"/>
      </w:pPr>
      <w:r>
        <w:rPr>
          <w:b/>
          <w:color w:val="003CA0"/>
          <w:sz w:val="16"/>
        </w:rPr>
        <w:t>[ADI 1.381, rel. min. Dias Toffoli, j. 21-8-2014, P, DJE de 9-10-2014.]</w:t>
      </w:r>
    </w:p>
    <w:p>
      <w:pPr>
        <w:ind w:left="288"/>
      </w:pPr>
      <w:r>
        <w:rPr>
          <w:color w:val="8C8C8C"/>
          <w:sz w:val="12"/>
        </w:rPr>
        <w:t>cf-art-38-inc-II</w:t>
      </w:r>
      <w:r>
        <w:rPr>
          <w:color w:val="003CA0"/>
          <w:sz w:val="12"/>
        </w:rPr>
        <w:t xml:space="preserve"> | ADI 199</w:t>
      </w:r>
      <w:r>
        <w:rPr>
          <w:color w:val="003CA0"/>
          <w:sz w:val="12"/>
        </w:rPr>
        <w:t xml:space="preserve"> | rel. Maurício Corrêa</w:t>
      </w:r>
    </w:p>
    <w:p>
      <w:pPr>
        <w:ind w:left="288"/>
      </w:pPr>
      <w:r>
        <w:rPr>
          <w:color w:val="1E1E1E"/>
          <w:sz w:val="18"/>
        </w:rPr>
        <w:t>Carta estadual. Restrição do exercício funcional ao domicílio eleitoral. Impossibilidade. A CF prevê tão somente a hipótese do desempenho simultâneo das funções públicas, observada a compatibilidade de horários. Extensão ao suplente de vereador. Insubsistência. Ao suplente de vereador não se pode validamente estabelecer nenhuma limitação ao exercício do cargo, emprego ou função, por não ser titular de mandato eletivo.</w:t>
      </w:r>
    </w:p>
    <w:p>
      <w:pPr>
        <w:ind w:left="288"/>
      </w:pPr>
      <w:r>
        <w:rPr>
          <w:b/>
          <w:color w:val="003CA0"/>
          <w:sz w:val="16"/>
        </w:rPr>
        <w:t>[ADI 199, rel. min. Maurício Corrêa, j. 22-4-1998, P, DJ de 7-8-1998.]</w:t>
      </w:r>
    </w:p>
    <w:p>
      <w:pPr>
        <w:ind w:left="288"/>
      </w:pPr>
      <w:r>
        <w:rPr>
          <w:color w:val="8C8C8C"/>
          <w:sz w:val="12"/>
        </w:rPr>
        <w:t>cf-art-38-inc-V</w:t>
      </w:r>
      <w:r>
        <w:rPr>
          <w:color w:val="003CA0"/>
          <w:sz w:val="12"/>
        </w:rPr>
        <w:t xml:space="preserve"> | ADPF 853</w:t>
      </w:r>
      <w:r>
        <w:rPr>
          <w:color w:val="003CA0"/>
          <w:sz w:val="12"/>
        </w:rPr>
        <w:t xml:space="preserve"> | rel. Edson Fachin</w:t>
      </w:r>
    </w:p>
    <w:p>
      <w:pPr>
        <w:ind w:left="288"/>
      </w:pPr>
      <w:r>
        <w:rPr>
          <w:color w:val="1E1E1E"/>
          <w:sz w:val="18"/>
        </w:rPr>
        <w:t>A antinomia aparente entre a disposição do art. 38, V da Constituição da República e o art. 14, caput da Emenda Constitucional n. 103/2019 deve ser resolvida pelo critério da especialidade, tendo em vista que há duas normas de idêntica hierarquia que ingressaram simultaneamente no mundo jurídico. A interpretação realizada pelos atos do poder público questionados viola os preceitos fundamentais da separação dos poderes, da isonomia e indiretamente o princípio federativo ao fomentarem cobrança de contribuição previdenciária em desacordo com as prescrições da Emenda Constitucional n. 103/2019. Ar</w:t>
      </w:r>
    </w:p>
    <w:p>
      <w:pPr>
        <w:ind w:left="720"/>
      </w:pPr>
      <w:r>
        <w:rPr>
          <w:color w:val="003366"/>
          <w:sz w:val="18"/>
        </w:rPr>
        <w:t>I – tratando-se de mandato eletivo federal, estadual ou distrital, ficará afasta</w:t>
      </w:r>
    </w:p>
    <w:p>
      <w:pPr>
        <w:ind w:left="720"/>
      </w:pPr>
      <w:r>
        <w:rPr>
          <w:color w:val="003366"/>
          <w:sz w:val="18"/>
        </w:rPr>
        <w:t>II – investido no mandato de Prefeito, será afastado do cargo, emprego ou função</w:t>
      </w:r>
    </w:p>
    <w:p>
      <w:pPr>
        <w:ind w:left="720"/>
      </w:pPr>
      <w:r>
        <w:rPr>
          <w:color w:val="003366"/>
          <w:sz w:val="18"/>
        </w:rPr>
        <w:t>III – investido no mandato de Vereador, havendo compatibilidade de horários, per</w:t>
      </w:r>
    </w:p>
    <w:p>
      <w:pPr>
        <w:ind w:left="720"/>
      </w:pPr>
      <w:r>
        <w:rPr>
          <w:color w:val="003366"/>
          <w:sz w:val="18"/>
        </w:rPr>
        <w:t>IV – em qualquer caso que exija o afastamento para o exercício de mandato eletiv</w:t>
      </w:r>
    </w:p>
    <w:p>
      <w:pPr>
        <w:ind w:left="720"/>
      </w:pPr>
      <w:r>
        <w:rPr>
          <w:color w:val="003366"/>
          <w:sz w:val="18"/>
        </w:rPr>
        <w:t>V – na hipótese de ser segurado de regime próprio de previdência social, permane</w:t>
      </w:r>
    </w:p>
    <w:p>
      <w:pPr>
        <w:pStyle w:val="Heading3"/>
      </w:pPr>
      <w:r>
        <w:rPr>
          <w:color w:val="003366"/>
        </w:rPr>
        <w:t>Seção II - DOS SERVIDORES PÚBLICOS</w:t>
      </w:r>
    </w:p>
    <w:p>
      <w:r>
        <w:rPr>
          <w:b/>
          <w:color w:val="003366"/>
          <w:sz w:val="20"/>
        </w:rPr>
        <w:t>Art. 39 A União, os Estados, o Distrito Federal e os Municípios instituirão cons</w:t>
      </w:r>
      <w:r>
        <w:rPr>
          <w:color w:val="8C8C8C"/>
          <w:sz w:val="14"/>
        </w:rPr>
        <w:t xml:space="preserve">  [58 decisoes]</w:t>
      </w:r>
    </w:p>
    <w:p>
      <w:pPr>
        <w:ind w:left="288"/>
      </w:pPr>
      <w:r>
        <w:rPr>
          <w:color w:val="8C8C8C"/>
          <w:sz w:val="12"/>
        </w:rPr>
        <w:t>cf-art-39</w:t>
      </w:r>
      <w:r>
        <w:rPr>
          <w:color w:val="003CA0"/>
          <w:sz w:val="12"/>
        </w:rPr>
        <w:t xml:space="preserve"> | ADI 2.135</w:t>
      </w:r>
      <w:r>
        <w:rPr>
          <w:color w:val="003CA0"/>
          <w:sz w:val="12"/>
        </w:rPr>
        <w:t xml:space="preserve"> | rel. Cármen Lúcia. Red. do ac. min. Gilmar Mendes</w:t>
      </w:r>
    </w:p>
    <w:p>
      <w:pPr>
        <w:ind w:left="288"/>
      </w:pPr>
      <w:r>
        <w:rPr>
          <w:color w:val="1E1E1E"/>
          <w:sz w:val="18"/>
        </w:rPr>
        <w:t>A questão em discussão consiste em saber se o processo legislativo que culminou na promulgação da EC 19/1998, em especial a fase de Redação do Vencido durante o primeiro turno de votação na Câmara dos Deputados, observou o disposto no § 2º do art. 60 da Constituição, que estabelece a necessidade de discussão e aprovação em dois turnos, por maioria qualificada, para que uma proposta de emenda à Constituição possa ser considerada aprovada. Em específico, envolve a correta compreensão e delimitação do objeto do Destaque para Votação em Separado (DVS) n. 9 e dos efeitos decorrentes de sua rejeição</w:t>
      </w:r>
    </w:p>
    <w:p>
      <w:pPr>
        <w:ind w:left="288"/>
      </w:pPr>
      <w:r>
        <w:rPr>
          <w:b/>
          <w:color w:val="003CA0"/>
          <w:sz w:val="16"/>
        </w:rPr>
        <w:t>[ADI 2.135, rel. min. Cármen Lúcia. Red. do ac. min. Gilmar Mendes, j. 06.11.2024, P, DJE de 03.06.2025.]</w:t>
      </w:r>
    </w:p>
    <w:p>
      <w:pPr>
        <w:ind w:left="288"/>
      </w:pPr>
      <w:r>
        <w:rPr>
          <w:color w:val="8C8C8C"/>
          <w:sz w:val="12"/>
        </w:rPr>
        <w:t>cf-art-39</w:t>
      </w:r>
      <w:r>
        <w:rPr>
          <w:color w:val="003CA0"/>
          <w:sz w:val="12"/>
        </w:rPr>
        <w:t xml:space="preserve"> | ADC 36</w:t>
      </w:r>
      <w:r>
        <w:rPr>
          <w:color w:val="003CA0"/>
          <w:sz w:val="12"/>
        </w:rPr>
        <w:t xml:space="preserve"> | rel. Cármen Lúcia</w:t>
      </w:r>
    </w:p>
    <w:p>
      <w:pPr>
        <w:ind w:left="288"/>
      </w:pPr>
      <w:r>
        <w:rPr>
          <w:color w:val="1E1E1E"/>
          <w:sz w:val="18"/>
        </w:rPr>
        <w:t>Os Conselhos Profissionais, enquanto autarquias corporativas criadas por lei com outorga para o exercício de atividade típica do Estado, tem maior grau de autonomia administrativa e financeira, constituindo espécie sui generis de pessoa jurídica de direito público não estatal, a qual não se aplica a obrigatoriedade do regime jurídico único preconizado pelo artigo 39 do texto constitucional. Trata-se de natureza peculiar que justifica o afastamento de algumas das regras ordinárias impostas às pessoas jurídicas de direito público. (...) Constitucionalidade da legislação que permite a contratação</w:t>
      </w:r>
    </w:p>
    <w:p>
      <w:pPr>
        <w:ind w:left="288"/>
      </w:pPr>
      <w:r>
        <w:rPr>
          <w:b/>
          <w:color w:val="003CA0"/>
          <w:sz w:val="16"/>
        </w:rPr>
        <w:t>[ADC 36, rel. min. Cármen Lúcia, j. 8-9-2020, P, DJE de 16-11-2020.]</w:t>
      </w:r>
    </w:p>
    <w:p>
      <w:pPr>
        <w:ind w:left="288"/>
      </w:pPr>
      <w:r>
        <w:rPr>
          <w:color w:val="8C8C8C"/>
          <w:sz w:val="12"/>
        </w:rPr>
        <w:t>cf-art-39</w:t>
      </w:r>
      <w:r>
        <w:rPr>
          <w:color w:val="003CA0"/>
          <w:sz w:val="12"/>
        </w:rPr>
        <w:t xml:space="preserve"> | ADI 5.615</w:t>
      </w:r>
      <w:r>
        <w:rPr>
          <w:color w:val="003CA0"/>
          <w:sz w:val="12"/>
        </w:rPr>
        <w:t xml:space="preserve"> | rel. Alexandre de Moraes</w:t>
      </w:r>
    </w:p>
    <w:p>
      <w:pPr>
        <w:ind w:left="288"/>
      </w:pPr>
      <w:r>
        <w:rPr>
          <w:color w:val="1E1E1E"/>
          <w:sz w:val="18"/>
        </w:rPr>
        <w:t xml:space="preserve">Compete a cada Ente federativo estipular, por meio de lei em sentido estrito, o regime jurídico de seus servidores, escolhendo entre o regime estatutário ou o regime celetista, sendo que a Constituição Federal não excluiu a possibilidade de ser adotado o regime de emprego público (celetista) para as autarquias. Para que haja produção completa dos efeitos do art. 39 da CF, é indispensável que o Ente federativo edite norma específica instituindo o regime jurídico de seus servidores da Administração Direta, das autarquias e das fundações públicas. (...) A ausência da lei instituidora de um único </w:t>
      </w:r>
    </w:p>
    <w:p>
      <w:pPr>
        <w:ind w:left="288"/>
      </w:pPr>
      <w:r>
        <w:rPr>
          <w:b/>
          <w:color w:val="003CA0"/>
          <w:sz w:val="16"/>
        </w:rPr>
        <w:t>[ADI 5.615, rel. min. Alexandre de Moraes, j. 29-5-2020, P, DJE de 6-7-2020.]</w:t>
      </w:r>
    </w:p>
    <w:p>
      <w:pPr>
        <w:ind w:left="288"/>
      </w:pPr>
      <w:r>
        <w:rPr>
          <w:color w:val="8C8C8C"/>
          <w:sz w:val="12"/>
        </w:rPr>
        <w:t>cf-art-39</w:t>
      </w:r>
      <w:r>
        <w:rPr>
          <w:color w:val="003CA0"/>
          <w:sz w:val="12"/>
        </w:rPr>
        <w:t xml:space="preserve"> | RE 1.500.797</w:t>
      </w:r>
      <w:r>
        <w:rPr>
          <w:color w:val="003CA0"/>
          <w:sz w:val="12"/>
        </w:rPr>
        <w:t xml:space="preserve"> | rel. Luís Roberto Barroso</w:t>
      </w:r>
    </w:p>
    <w:p>
      <w:pPr>
        <w:ind w:left="288"/>
      </w:pPr>
      <w:r>
        <w:rPr>
          <w:color w:val="1E1E1E"/>
          <w:sz w:val="18"/>
        </w:rPr>
        <w:t>“É infraconstitucional a controvérsia sobre o excesso de poder regulamentar de ato do Poder Executivo que regulamenta lei sobre o regime de servidor público”.</w:t>
      </w:r>
    </w:p>
    <w:p>
      <w:pPr>
        <w:ind w:left="288"/>
      </w:pPr>
      <w:r>
        <w:rPr>
          <w:b/>
          <w:color w:val="003CA0"/>
          <w:sz w:val="16"/>
        </w:rPr>
        <w:t>[RE 1.500.797 RG, rel. min. Luís Roberto Barroso, j. 18.11.2024, P, DJE de 22.11.2024, Tema 1.356, com repercussão geral negada.]</w:t>
      </w:r>
    </w:p>
    <w:p>
      <w:pPr>
        <w:ind w:left="144"/>
      </w:pPr>
      <w:r>
        <w:rPr>
          <w:b/>
          <w:color w:val="B45A00"/>
          <w:sz w:val="16"/>
        </w:rPr>
        <w:t>REPERCUSSAO GERAL</w:t>
      </w:r>
    </w:p>
    <w:p>
      <w:pPr>
        <w:ind w:left="288"/>
      </w:pPr>
      <w:r>
        <w:rPr>
          <w:color w:val="8C8C8C"/>
          <w:sz w:val="12"/>
        </w:rPr>
        <w:t>cf-art-39</w:t>
      </w:r>
      <w:r>
        <w:rPr>
          <w:color w:val="003CA0"/>
          <w:sz w:val="12"/>
        </w:rPr>
        <w:t xml:space="preserve"> | RE 1.367.790</w:t>
      </w:r>
      <w:r>
        <w:rPr>
          <w:color w:val="003CA0"/>
          <w:sz w:val="12"/>
        </w:rPr>
        <w:t xml:space="preserve"> | rel. Luiz Fux</w:t>
      </w:r>
    </w:p>
    <w:p>
      <w:pPr>
        <w:ind w:left="288"/>
      </w:pPr>
      <w:r>
        <w:rPr>
          <w:color w:val="1E1E1E"/>
          <w:sz w:val="18"/>
        </w:rPr>
        <w:t>É inconstitucional a contagem do tempo pretérito à investidura no cargo efetivo, exercido exclusivamente em cargo comissionado, para fins de incorporação de quintos como VPNI, com fundamento no artigo 1º da Lei 15.138/2010 do Estado de Santa Catarina.</w:t>
      </w:r>
    </w:p>
    <w:p>
      <w:pPr>
        <w:ind w:left="288"/>
      </w:pPr>
      <w:r>
        <w:rPr>
          <w:b/>
          <w:color w:val="003CA0"/>
          <w:sz w:val="16"/>
        </w:rPr>
        <w:t>[RE 1.367.790, rel. min. Luiz Fux, j. 28-4-2022, P, DJE de 4-5-2022, Tema 1.213, com mérito julgado e reafirmação de jurisprudência.]</w:t>
      </w:r>
    </w:p>
    <w:p>
      <w:pPr>
        <w:ind w:left="288"/>
      </w:pPr>
      <w:r>
        <w:rPr>
          <w:color w:val="8C8C8C"/>
          <w:sz w:val="12"/>
        </w:rPr>
        <w:t>cf-art-39</w:t>
      </w:r>
      <w:r>
        <w:rPr>
          <w:color w:val="003CA0"/>
          <w:sz w:val="12"/>
        </w:rPr>
        <w:t xml:space="preserve"> | RE 573.202</w:t>
      </w:r>
      <w:r>
        <w:rPr>
          <w:color w:val="003CA0"/>
          <w:sz w:val="12"/>
        </w:rPr>
        <w:t xml:space="preserve"> | rel. Ricardo Lewandowski</w:t>
      </w:r>
    </w:p>
    <w:p>
      <w:pPr>
        <w:ind w:left="288"/>
      </w:pPr>
      <w:r>
        <w:rPr>
          <w:color w:val="1E1E1E"/>
          <w:sz w:val="18"/>
        </w:rPr>
        <w:t>Compete à Justiça comum processar e julgar causas instauradas entre o poder público e seus servidores submetidos a regime especial disciplinado por lei local editada antes da Constituição Republicana de 1988, com fundamento no art. 106 da Constituição de 1967, na redação que lhe deu a EC 1/1969, ou no art. 37, IX, da Constituição de 1988.</w:t>
      </w:r>
    </w:p>
    <w:p>
      <w:pPr>
        <w:ind w:left="288"/>
      </w:pPr>
      <w:r>
        <w:rPr>
          <w:b/>
          <w:color w:val="003CA0"/>
          <w:sz w:val="16"/>
        </w:rPr>
        <w:t>[RE 573.202, rel. min. Ricardo Lewandowski, j. 21-8-2008, P, DJE de 5-12-2008, Tema 43, com mérito julgado.]</w:t>
      </w:r>
    </w:p>
    <w:p>
      <w:pPr>
        <w:ind w:left="144"/>
      </w:pPr>
      <w:r>
        <w:rPr>
          <w:b/>
          <w:color w:val="B45A00"/>
          <w:sz w:val="16"/>
        </w:rPr>
        <w:t>JULGADOS CORRELATOS</w:t>
      </w:r>
    </w:p>
    <w:p>
      <w:pPr>
        <w:ind w:left="288"/>
      </w:pPr>
      <w:r>
        <w:rPr>
          <w:color w:val="8C8C8C"/>
          <w:sz w:val="12"/>
        </w:rPr>
        <w:t>cf-art-39</w:t>
      </w:r>
      <w:r>
        <w:rPr>
          <w:color w:val="003CA0"/>
          <w:sz w:val="12"/>
        </w:rPr>
        <w:t xml:space="preserve"> | RMS 30.548</w:t>
      </w:r>
      <w:r>
        <w:rPr>
          <w:color w:val="003CA0"/>
          <w:sz w:val="12"/>
        </w:rPr>
        <w:t xml:space="preserve"> | rel. Marco Aurélio</w:t>
      </w:r>
    </w:p>
    <w:p>
      <w:pPr>
        <w:ind w:left="288"/>
      </w:pPr>
      <w:r>
        <w:rPr>
          <w:color w:val="1E1E1E"/>
          <w:sz w:val="18"/>
        </w:rPr>
        <w:t>O retorno do servidor à administração pública, à prestação de serviços, faz-se observada a situação jurídica originária, descabendo transmudar o regime da CLT em especial – inteligência das Leis 8.878/1994 e 8.212/1990.</w:t>
      </w:r>
    </w:p>
    <w:p>
      <w:pPr>
        <w:ind w:left="288"/>
      </w:pPr>
      <w:r>
        <w:rPr>
          <w:b/>
          <w:color w:val="003CA0"/>
          <w:sz w:val="16"/>
        </w:rPr>
        <w:t>[RMS 30.548, rel. min. Marco Aurélio, j. 15-9-2015, 1ª T, DJE de 28-10-2015.]</w:t>
      </w:r>
    </w:p>
    <w:p>
      <w:pPr>
        <w:ind w:left="288"/>
      </w:pPr>
      <w:r>
        <w:rPr>
          <w:color w:val="8C8C8C"/>
          <w:sz w:val="12"/>
        </w:rPr>
        <w:t>cf-art-39</w:t>
      </w:r>
      <w:r>
        <w:rPr>
          <w:color w:val="003CA0"/>
          <w:sz w:val="12"/>
        </w:rPr>
        <w:t xml:space="preserve"> | MS 28.033</w:t>
      </w:r>
      <w:r>
        <w:rPr>
          <w:color w:val="003CA0"/>
          <w:sz w:val="12"/>
        </w:rPr>
        <w:t xml:space="preserve"> | rel. Marco Aurélio</w:t>
      </w:r>
    </w:p>
    <w:p>
      <w:pPr>
        <w:ind w:left="288"/>
      </w:pPr>
      <w:r>
        <w:rPr>
          <w:color w:val="1E1E1E"/>
          <w:sz w:val="18"/>
        </w:rPr>
        <w:t>A administração pública submete-se ao princípio da legalidade, sobrepondo-se ao regulamento a lei em sentido formal e material. (...) Consoante dispõe o inciso II do art. 141 da Lei 8.112/1990, viabilizando o salutar duplo grau administrativo, cumpre à autoridade de hierarquia imediatamente inferior às mencionadas na cabeça do artigo, entre as quais os presidentes dos tribunais federais, impor a suspensão do servidor quando ultrapassado o período de trinta dias. Inconstitucionalidade do Regulamento da Secretaria do Supremo, que, ao prever a autoria da sanção pelo dirigente maior do Tribunal, f</w:t>
      </w:r>
    </w:p>
    <w:p>
      <w:pPr>
        <w:ind w:left="288"/>
      </w:pPr>
      <w:r>
        <w:rPr>
          <w:b/>
          <w:color w:val="003CA0"/>
          <w:sz w:val="16"/>
        </w:rPr>
        <w:t>[MS 28.033, rel. min. Marco Aurélio, j. 23-4-2014, P, DJE de 30-10-2014.]</w:t>
      </w:r>
    </w:p>
    <w:p>
      <w:pPr>
        <w:ind w:left="288"/>
      </w:pPr>
      <w:r>
        <w:rPr>
          <w:color w:val="8C8C8C"/>
          <w:sz w:val="12"/>
        </w:rPr>
        <w:t>cf-art-39</w:t>
      </w:r>
      <w:r>
        <w:rPr>
          <w:color w:val="003CA0"/>
          <w:sz w:val="12"/>
        </w:rPr>
        <w:t xml:space="preserve"> | RE 549.211</w:t>
      </w:r>
      <w:r>
        <w:rPr>
          <w:color w:val="003CA0"/>
          <w:sz w:val="12"/>
        </w:rPr>
        <w:t xml:space="preserve"> | rel. Dias Toffoli</w:t>
      </w:r>
    </w:p>
    <w:p>
      <w:pPr>
        <w:ind w:left="288"/>
      </w:pPr>
      <w:r>
        <w:rPr>
          <w:color w:val="1E1E1E"/>
          <w:sz w:val="18"/>
        </w:rPr>
        <w:t>Ao servidor de órgão de fiscalização profissional admitido ainda na década de cinquenta é de ser reconhecido o direito de aposentar-se nos termos da Lei 8.112/1990, em razão do disposto no art. 39 da CF, em sua redação original.</w:t>
      </w:r>
    </w:p>
    <w:p>
      <w:pPr>
        <w:ind w:left="288"/>
      </w:pPr>
      <w:r>
        <w:rPr>
          <w:b/>
          <w:color w:val="003CA0"/>
          <w:sz w:val="16"/>
        </w:rPr>
        <w:t>[RE 549.211 AgR, rel. min. Dias Toffoli, j. 10-4-2012, 1ª T, DJE de 10-5-2012.]</w:t>
      </w:r>
    </w:p>
    <w:p>
      <w:pPr>
        <w:ind w:left="288"/>
      </w:pPr>
      <w:r>
        <w:rPr>
          <w:color w:val="8C8C8C"/>
          <w:sz w:val="12"/>
        </w:rPr>
        <w:t>cf-art-39</w:t>
      </w:r>
      <w:r>
        <w:rPr>
          <w:color w:val="003CA0"/>
          <w:sz w:val="12"/>
        </w:rPr>
        <w:t xml:space="preserve"> | AI 784.572</w:t>
      </w:r>
      <w:r>
        <w:rPr>
          <w:color w:val="003CA0"/>
          <w:sz w:val="12"/>
        </w:rPr>
        <w:t xml:space="preserve"> | rel. Cármen Lúcia</w:t>
      </w:r>
    </w:p>
    <w:p>
      <w:pPr>
        <w:ind w:left="288"/>
      </w:pPr>
      <w:r>
        <w:rPr>
          <w:color w:val="1E1E1E"/>
          <w:sz w:val="18"/>
        </w:rPr>
        <w:t>Possibilidade de legislação infraconstitucional dispor sobre vantagem ou garantia não vedada ou não disciplinada pela Constituição da República.</w:t>
      </w:r>
    </w:p>
    <w:p>
      <w:pPr>
        <w:ind w:left="288"/>
      </w:pPr>
      <w:r>
        <w:rPr>
          <w:b/>
          <w:color w:val="003CA0"/>
          <w:sz w:val="16"/>
        </w:rPr>
        <w:t>[AI 784.572 AgR, rel. min. Cármen Lúcia, j. 8-2-2011, 1ª T, DJE de 25-3-2011.]</w:t>
      </w:r>
    </w:p>
    <w:p>
      <w:pPr>
        <w:ind w:left="144"/>
      </w:pPr>
      <w:r>
        <w:rPr>
          <w:b/>
          <w:color w:val="B45A00"/>
          <w:sz w:val="16"/>
        </w:rPr>
        <w:t>SUMULA VINCULANTE</w:t>
      </w:r>
    </w:p>
    <w:p>
      <w:pPr>
        <w:ind w:left="288"/>
      </w:pPr>
      <w:r>
        <w:rPr>
          <w:color w:val="8C8C8C"/>
          <w:sz w:val="12"/>
        </w:rPr>
        <w:t>cf-art-39-par-1</w:t>
      </w:r>
    </w:p>
    <w:p>
      <w:pPr>
        <w:ind w:left="288"/>
      </w:pPr>
      <w:r>
        <w:rPr>
          <w:color w:val="1E1E1E"/>
          <w:sz w:val="18"/>
        </w:rPr>
        <w:t>Não cabe ao Poder Judiciário, que não tem função legislativa, aumentar vencimentos de servidores públicos sob o fundamento de isonomia.</w:t>
      </w:r>
    </w:p>
    <w:p>
      <w:pPr>
        <w:ind w:left="288"/>
      </w:pPr>
      <w:r>
        <w:rPr>
          <w:b/>
          <w:color w:val="003CA0"/>
          <w:sz w:val="16"/>
        </w:rPr>
        <w:t>[Súmula Vinculante 37.]</w:t>
      </w:r>
    </w:p>
    <w:p>
      <w:pPr>
        <w:ind w:left="288"/>
      </w:pPr>
      <w:r>
        <w:rPr>
          <w:color w:val="8C8C8C"/>
          <w:sz w:val="12"/>
        </w:rPr>
        <w:t>cf-art-39-par-1</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144"/>
      </w:pPr>
      <w:r>
        <w:rPr>
          <w:b/>
          <w:color w:val="B45A00"/>
          <w:sz w:val="16"/>
        </w:rPr>
        <w:t>SUMULA</w:t>
      </w:r>
    </w:p>
    <w:p>
      <w:pPr>
        <w:ind w:left="288"/>
      </w:pPr>
      <w:r>
        <w:rPr>
          <w:color w:val="8C8C8C"/>
          <w:sz w:val="12"/>
        </w:rPr>
        <w:t>cf-art-39-par-1</w:t>
      </w:r>
    </w:p>
    <w:p>
      <w:pPr>
        <w:ind w:left="288"/>
      </w:pPr>
      <w:r>
        <w:rPr>
          <w:color w:val="1E1E1E"/>
          <w:sz w:val="18"/>
        </w:rPr>
        <w:t>A fixação de vencimentos dos servidores públicos não pode ser objeto de convenção coletiva.</w:t>
      </w:r>
    </w:p>
    <w:p>
      <w:pPr>
        <w:ind w:left="288"/>
      </w:pPr>
      <w:r>
        <w:rPr>
          <w:b/>
          <w:color w:val="003CA0"/>
          <w:sz w:val="16"/>
        </w:rPr>
        <w:t>[Súmula 679.]</w:t>
      </w:r>
    </w:p>
    <w:p>
      <w:pPr>
        <w:ind w:left="288"/>
      </w:pPr>
      <w:r>
        <w:rPr>
          <w:color w:val="8C8C8C"/>
          <w:sz w:val="12"/>
        </w:rPr>
        <w:t>cf-art-39-par-1</w:t>
      </w:r>
      <w:r>
        <w:rPr>
          <w:color w:val="003CA0"/>
          <w:sz w:val="12"/>
        </w:rPr>
        <w:t xml:space="preserve"> | ADI 4.921</w:t>
      </w:r>
      <w:r>
        <w:rPr>
          <w:color w:val="003CA0"/>
          <w:sz w:val="12"/>
        </w:rPr>
        <w:t xml:space="preserve"> | rel. Nunes Marques</w:t>
      </w:r>
    </w:p>
    <w:p>
      <w:pPr>
        <w:ind w:left="288"/>
      </w:pPr>
      <w:r>
        <w:rPr>
          <w:color w:val="1E1E1E"/>
          <w:sz w:val="18"/>
        </w:rPr>
        <w:t>Polícia Civil do estado de Roraima. Política remuneratória. LC n. 94/2006. Vencimento. Majoração. Carreiras de níveis diversos. Índices distintos. (...) Constitui discricionariedade do administrador a fixação dos padrões de vencimento dos servidores públicos, considerados a dotação orçamentária prévia, a elaboração de lei específica, os princípios constantes do art. 39, § 1º, da CF/1988 – atinentes à natureza, ao grau e à responsabilidade, complexidade e peculiaridades de cada cargo –, bem assim os requisitos de investidura.</w:t>
      </w:r>
    </w:p>
    <w:p>
      <w:pPr>
        <w:ind w:left="288"/>
      </w:pPr>
      <w:r>
        <w:rPr>
          <w:b/>
          <w:color w:val="003CA0"/>
          <w:sz w:val="16"/>
        </w:rPr>
        <w:t>[ADI 4.921, rel. min. Nunes Marques, j. 20.10.2025, P, DJE de 27.10.2025.]</w:t>
      </w:r>
    </w:p>
    <w:p>
      <w:pPr>
        <w:ind w:left="288"/>
      </w:pPr>
      <w:r>
        <w:rPr>
          <w:color w:val="8C8C8C"/>
          <w:sz w:val="12"/>
        </w:rPr>
        <w:t>cf-art-39-par-1</w:t>
      </w:r>
      <w:r>
        <w:rPr>
          <w:color w:val="003CA0"/>
          <w:sz w:val="12"/>
        </w:rPr>
        <w:t xml:space="preserve"> | ARE 1.552.867</w:t>
      </w:r>
      <w:r>
        <w:rPr>
          <w:color w:val="003CA0"/>
          <w:sz w:val="12"/>
        </w:rPr>
        <w:t xml:space="preserve"> | rel. André Mendonça</w:t>
      </w:r>
    </w:p>
    <w:p>
      <w:pPr>
        <w:ind w:left="288"/>
      </w:pPr>
      <w:r>
        <w:rPr>
          <w:color w:val="1E1E1E"/>
          <w:sz w:val="18"/>
        </w:rPr>
        <w:t>A jurisprudência do STF exige que a criação de gratificações esteja vinculada à descrição de atividades especiais que justifiquem tratamento remuneratório diferenciado, não podendo visar apenas à remuneração de serviços ordinários ou inerentes ao cargo.</w:t>
      </w:r>
    </w:p>
    <w:p>
      <w:pPr>
        <w:ind w:left="288"/>
      </w:pPr>
      <w:r>
        <w:rPr>
          <w:b/>
          <w:color w:val="003CA0"/>
          <w:sz w:val="16"/>
        </w:rPr>
        <w:t>[ARE 1.552.867, rel. min. André Mendonça, j. 20.10.2025, P, DJE de 28.10.2025.]</w:t>
      </w:r>
    </w:p>
    <w:p>
      <w:pPr>
        <w:ind w:left="144"/>
      </w:pPr>
      <w:r>
        <w:rPr>
          <w:b/>
          <w:color w:val="B45A00"/>
          <w:sz w:val="16"/>
        </w:rPr>
        <w:t>JULGADOS CORRELATOS</w:t>
      </w:r>
    </w:p>
    <w:p>
      <w:pPr>
        <w:ind w:left="288"/>
      </w:pPr>
      <w:r>
        <w:rPr>
          <w:color w:val="8C8C8C"/>
          <w:sz w:val="12"/>
        </w:rPr>
        <w:t>cf-art-39-par-1</w:t>
      </w:r>
      <w:r>
        <w:rPr>
          <w:color w:val="003CA0"/>
          <w:sz w:val="12"/>
        </w:rPr>
        <w:t xml:space="preserve"> | RE 226.874</w:t>
      </w:r>
      <w:r>
        <w:rPr>
          <w:color w:val="003CA0"/>
          <w:sz w:val="12"/>
        </w:rPr>
        <w:t xml:space="preserve"> | rel. Carlos Velloso</w:t>
      </w:r>
    </w:p>
    <w:p>
      <w:pPr>
        <w:ind w:left="288"/>
      </w:pPr>
      <w:r>
        <w:rPr>
          <w:color w:val="1E1E1E"/>
          <w:sz w:val="18"/>
        </w:rPr>
        <w:t>A CF não concedeu isonomia direta às carreiras jurídicas. Essa isonomia deve ser viabilizada mediante lei.</w:t>
      </w:r>
    </w:p>
    <w:p>
      <w:pPr>
        <w:ind w:left="288"/>
      </w:pPr>
      <w:r>
        <w:rPr>
          <w:b/>
          <w:color w:val="003CA0"/>
          <w:sz w:val="16"/>
        </w:rPr>
        <w:t>[RE 226.874 AgR, rel. min. Carlos Velloso, j. 23-3-2004, 2ª T, DJ de 23-4-2004.]</w:t>
      </w:r>
    </w:p>
    <w:p>
      <w:pPr>
        <w:ind w:left="144"/>
      </w:pPr>
      <w:r>
        <w:rPr>
          <w:b/>
          <w:color w:val="B45A00"/>
          <w:sz w:val="16"/>
        </w:rPr>
        <w:t>REPERCUSSAO GERAL</w:t>
      </w:r>
    </w:p>
    <w:p>
      <w:pPr>
        <w:ind w:left="288"/>
      </w:pPr>
      <w:r>
        <w:rPr>
          <w:color w:val="8C8C8C"/>
          <w:sz w:val="12"/>
        </w:rPr>
        <w:t>cf-art-39-par-1-inc-II</w:t>
      </w:r>
      <w:r>
        <w:rPr>
          <w:color w:val="003CA0"/>
          <w:sz w:val="12"/>
        </w:rPr>
        <w:t xml:space="preserve"> | RE 740.008</w:t>
      </w:r>
      <w:r>
        <w:rPr>
          <w:color w:val="003CA0"/>
          <w:sz w:val="12"/>
        </w:rPr>
        <w:t xml:space="preserve"> | rel. Marco Aurélio</w:t>
      </w:r>
    </w:p>
    <w:p>
      <w:pPr>
        <w:ind w:left="288"/>
      </w:pPr>
      <w:r>
        <w:rPr>
          <w:color w:val="1E1E1E"/>
          <w:sz w:val="18"/>
        </w:rPr>
        <w:t>É inconstitucional o aproveitamento de servidor, aprovado em concurso público a exigir formação de nível médio, em cargo que pressuponha escolaridade superior.</w:t>
        <w:br/>
        <w:t>[RE 740.008, rel. min. Marco Aurélio, j. 21-12-2020, P, DJE de 14-4-2021, Tema 697, com mérito julgado.]</w:t>
      </w:r>
    </w:p>
    <w:p>
      <w:pPr>
        <w:ind w:left="288"/>
      </w:pPr>
      <w:r>
        <w:rPr>
          <w:color w:val="8C8C8C"/>
          <w:sz w:val="12"/>
        </w:rPr>
        <w:t>cf-art-39-par-1-inc-III</w:t>
      </w:r>
    </w:p>
    <w:p>
      <w:pPr>
        <w:ind w:left="288"/>
      </w:pPr>
      <w:r>
        <w:rPr>
          <w:color w:val="1E1E1E"/>
          <w:sz w:val="18"/>
        </w:rPr>
        <w:t>§ 2º A União, os Estados e o Distrito Federal manterão escolas de governo para a formação e o aperfeiçoamento dos servidores públicos, constituindo-se a participação nos cursos um dos requisitos para a promoção na carreira, facultada, para isso, a celebração de convênios ou contratos entre os entes federados. (Redação da EC 19/1998)</w:t>
      </w:r>
    </w:p>
    <w:p>
      <w:pPr>
        <w:ind w:left="144"/>
      </w:pPr>
      <w:r>
        <w:rPr>
          <w:b/>
          <w:color w:val="B45A00"/>
          <w:sz w:val="16"/>
        </w:rPr>
        <w:t>CONTROLE CONCENTRADO</w:t>
      </w:r>
    </w:p>
    <w:p>
      <w:pPr>
        <w:ind w:left="288"/>
      </w:pPr>
      <w:r>
        <w:rPr>
          <w:color w:val="8C8C8C"/>
          <w:sz w:val="12"/>
        </w:rPr>
        <w:t>cf-art-39-par-1-inc-III</w:t>
      </w:r>
      <w:r>
        <w:rPr>
          <w:color w:val="003CA0"/>
          <w:sz w:val="12"/>
        </w:rPr>
        <w:t xml:space="preserve"> | ADI 6.012</w:t>
      </w:r>
      <w:r>
        <w:rPr>
          <w:color w:val="003CA0"/>
          <w:sz w:val="12"/>
        </w:rPr>
        <w:t xml:space="preserve"> | rel. Alexandre de Moraes</w:t>
      </w:r>
    </w:p>
    <w:p>
      <w:pPr>
        <w:ind w:left="288"/>
      </w:pPr>
      <w:r>
        <w:rPr>
          <w:color w:val="1E1E1E"/>
          <w:sz w:val="18"/>
        </w:rPr>
        <w:t>A necessidade de formação e o aprimoramento profissional no âmbito da Administração Pública (art. 39, § 2º, da CF) permite o exercício de atividades de docência por parte dos próprios agentes públicos, os quais passam a desempenhar funções diversas para as quais foram investidos. No caso, a compensação pelo exercício voluntário de função de magistério policial, em Academia de Polícia ou em outra área da segurança Pública do Estado de Mato Grosso do Sul, busca indenizar o exercício de atividade que, em rigor, não está incluída nas atribuições legais do cargo titularizado pelo docente, seja de D</w:t>
      </w:r>
    </w:p>
    <w:p>
      <w:pPr>
        <w:ind w:left="288"/>
      </w:pPr>
      <w:r>
        <w:rPr>
          <w:b/>
          <w:color w:val="003CA0"/>
          <w:sz w:val="16"/>
        </w:rPr>
        <w:t>[ADI 6.012, rel. min. Alexandre de Moraes, j. 27-9-2019, P, DJE de 15-10-2019.]</w:t>
      </w:r>
    </w:p>
    <w:p>
      <w:pPr>
        <w:ind w:left="144"/>
      </w:pPr>
      <w:r>
        <w:rPr>
          <w:b/>
          <w:color w:val="B45A00"/>
          <w:sz w:val="16"/>
        </w:rPr>
        <w:t>SUMULA VINCULANTE</w:t>
      </w:r>
    </w:p>
    <w:p>
      <w:pPr>
        <w:ind w:left="288"/>
      </w:pPr>
      <w:r>
        <w:rPr>
          <w:color w:val="8C8C8C"/>
          <w:sz w:val="12"/>
        </w:rPr>
        <w:t>cf-art-39-par-3</w:t>
      </w:r>
    </w:p>
    <w:p>
      <w:pPr>
        <w:ind w:left="288"/>
      </w:pPr>
      <w:r>
        <w:rPr>
          <w:color w:val="1E1E1E"/>
          <w:sz w:val="18"/>
        </w:rPr>
        <w:t>Os arts. 7º, IV, e 39, § 3º (redação da EC 19/1998), da Constituição referem-se ao total da remuneração percebida pelo servidor público.</w:t>
      </w:r>
    </w:p>
    <w:p>
      <w:pPr>
        <w:ind w:left="288"/>
      </w:pPr>
      <w:r>
        <w:rPr>
          <w:b/>
          <w:color w:val="003CA0"/>
          <w:sz w:val="16"/>
        </w:rPr>
        <w:t>[Súmula Vinculante 16.]</w:t>
      </w:r>
    </w:p>
    <w:p>
      <w:pPr>
        <w:ind w:left="288"/>
      </w:pPr>
      <w:r>
        <w:rPr>
          <w:color w:val="8C8C8C"/>
          <w:sz w:val="12"/>
        </w:rPr>
        <w:t>cf-art-39-par-3</w:t>
      </w:r>
    </w:p>
    <w:p>
      <w:pPr>
        <w:ind w:left="288"/>
      </w:pPr>
      <w:r>
        <w:rPr>
          <w:color w:val="1E1E1E"/>
          <w:sz w:val="18"/>
        </w:rPr>
        <w:t>O cálculo de gratificações e outras vantagens do servidor público não incide sobre o abono utilizado para se atingir o salário mínimo.</w:t>
      </w:r>
    </w:p>
    <w:p>
      <w:pPr>
        <w:ind w:left="288"/>
      </w:pPr>
      <w:r>
        <w:rPr>
          <w:b/>
          <w:color w:val="003CA0"/>
          <w:sz w:val="16"/>
        </w:rPr>
        <w:t>[Súmula Vinculante 15.]</w:t>
      </w:r>
    </w:p>
    <w:p>
      <w:pPr>
        <w:ind w:left="288"/>
      </w:pPr>
      <w:r>
        <w:rPr>
          <w:color w:val="8C8C8C"/>
          <w:sz w:val="12"/>
        </w:rPr>
        <w:t>cf-art-39-par-3</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144"/>
      </w:pPr>
      <w:r>
        <w:rPr>
          <w:b/>
          <w:color w:val="B45A00"/>
          <w:sz w:val="16"/>
        </w:rPr>
        <w:t>SUMULA</w:t>
      </w:r>
    </w:p>
    <w:p>
      <w:pPr>
        <w:ind w:left="288"/>
      </w:pPr>
      <w:r>
        <w:rPr>
          <w:color w:val="8C8C8C"/>
          <w:sz w:val="12"/>
        </w:rPr>
        <w:t>cf-art-39-par-3</w:t>
      </w:r>
    </w:p>
    <w:p>
      <w:pPr>
        <w:ind w:left="288"/>
      </w:pPr>
      <w:r>
        <w:rPr>
          <w:color w:val="1E1E1E"/>
          <w:sz w:val="18"/>
        </w:rPr>
        <w:t>O limite de idade para a inscrição em concurso público só se legitima em face do art. 7º, XXX, da Constituição, quando possa ser justificado pela natureza das atribuições do cargo a ser preenchido.</w:t>
      </w:r>
    </w:p>
    <w:p>
      <w:pPr>
        <w:ind w:left="288"/>
      </w:pPr>
      <w:r>
        <w:rPr>
          <w:b/>
          <w:color w:val="003CA0"/>
          <w:sz w:val="16"/>
        </w:rPr>
        <w:t>[Súmula 683.]</w:t>
      </w:r>
    </w:p>
    <w:p>
      <w:pPr>
        <w:ind w:left="288"/>
      </w:pPr>
      <w:r>
        <w:rPr>
          <w:color w:val="8C8C8C"/>
          <w:sz w:val="12"/>
        </w:rPr>
        <w:t>cf-art-39-par-3</w:t>
      </w:r>
    </w:p>
    <w:p>
      <w:pPr>
        <w:ind w:left="288"/>
      </w:pPr>
      <w:r>
        <w:rPr>
          <w:color w:val="1E1E1E"/>
          <w:sz w:val="18"/>
        </w:rPr>
        <w:t>A fixação de vencimentos dos servidores públicos não pode ser objeto de convenção coletiva.</w:t>
      </w:r>
    </w:p>
    <w:p>
      <w:pPr>
        <w:ind w:left="288"/>
      </w:pPr>
      <w:r>
        <w:rPr>
          <w:b/>
          <w:color w:val="003CA0"/>
          <w:sz w:val="16"/>
        </w:rPr>
        <w:t>[Súmula 679.]</w:t>
      </w:r>
    </w:p>
    <w:p>
      <w:pPr>
        <w:ind w:left="288"/>
      </w:pPr>
      <w:r>
        <w:rPr>
          <w:color w:val="8C8C8C"/>
          <w:sz w:val="12"/>
        </w:rPr>
        <w:t>cf-art-39-par-3</w:t>
      </w:r>
      <w:r>
        <w:rPr>
          <w:color w:val="003CA0"/>
          <w:sz w:val="12"/>
        </w:rPr>
        <w:t xml:space="preserve"> | ADI 6.799</w:t>
      </w:r>
      <w:r>
        <w:rPr>
          <w:color w:val="003CA0"/>
          <w:sz w:val="12"/>
        </w:rPr>
        <w:t xml:space="preserve"> | rel. Cristiano Zanin</w:t>
      </w:r>
    </w:p>
    <w:p>
      <w:pPr>
        <w:ind w:left="288"/>
      </w:pPr>
      <w:r>
        <w:rPr>
          <w:color w:val="1E1E1E"/>
          <w:sz w:val="18"/>
        </w:rPr>
        <w:t>“É inconstitucional lei estadual que fixa idade máxima para ingresso na carreira do Ministério Público, sem a necessária vinculação à natureza das atribuições do cargo”.</w:t>
      </w:r>
    </w:p>
    <w:p>
      <w:pPr>
        <w:ind w:left="288"/>
      </w:pPr>
      <w:r>
        <w:rPr>
          <w:b/>
          <w:color w:val="003CA0"/>
          <w:sz w:val="16"/>
        </w:rPr>
        <w:t>[ADI 6.799, rel. min. Cristiano Zanin, j. 26.05.2025, P, DJE de 04.06.2025.]</w:t>
      </w:r>
    </w:p>
    <w:p>
      <w:pPr>
        <w:ind w:left="288"/>
      </w:pPr>
      <w:r>
        <w:rPr>
          <w:color w:val="8C8C8C"/>
          <w:sz w:val="12"/>
        </w:rPr>
        <w:t>cf-art-39-par-3</w:t>
      </w:r>
      <w:r>
        <w:rPr>
          <w:color w:val="003CA0"/>
          <w:sz w:val="12"/>
        </w:rPr>
        <w:t xml:space="preserve"> | ADI 7.532</w:t>
      </w:r>
      <w:r>
        <w:rPr>
          <w:color w:val="003CA0"/>
          <w:sz w:val="12"/>
        </w:rPr>
        <w:t xml:space="preserve"> | rel. André Mendonça</w:t>
      </w:r>
    </w:p>
    <w:p>
      <w:pPr>
        <w:ind w:left="288"/>
      </w:pPr>
      <w:r>
        <w:rPr>
          <w:color w:val="1E1E1E"/>
          <w:sz w:val="18"/>
        </w:rPr>
        <w:t>1. A servidora pública gestante tem direito ao gozo de licença-maternidade, independentemente do regime jurídico aplicável, se contratual ou administrativo, ainda que ocupe cargo em comissão ou seja contratada por tempo determinado. 2. O prazo para fruição da licença-maternidade pelas servidoras públicas em cargo comissionado ou contratadas temporariamente deve ser concedido de acordo com a respectiva lei estadual que regule a contratação comissionada ou temporária, ou, eventualmente, a legislação trabalhista que incida sobre o caso, na hipótese de vínculo não-administrativo. 3. Não há como se</w:t>
      </w:r>
    </w:p>
    <w:p>
      <w:pPr>
        <w:ind w:left="288"/>
      </w:pPr>
      <w:r>
        <w:rPr>
          <w:b/>
          <w:color w:val="003CA0"/>
          <w:sz w:val="16"/>
        </w:rPr>
        <w:t>[ADI 7.532, rel. min. André Mendonça, j. 24.02.2025, P, DJE de 29.04.2025.]</w:t>
      </w:r>
    </w:p>
    <w:p>
      <w:pPr>
        <w:ind w:left="144"/>
      </w:pPr>
      <w:r>
        <w:rPr>
          <w:b/>
          <w:color w:val="B45A00"/>
          <w:sz w:val="16"/>
        </w:rPr>
        <w:t>CONTROLE CONCENTRADO</w:t>
      </w:r>
    </w:p>
    <w:p>
      <w:pPr>
        <w:ind w:left="288"/>
      </w:pPr>
      <w:r>
        <w:rPr>
          <w:color w:val="8C8C8C"/>
          <w:sz w:val="12"/>
        </w:rPr>
        <w:t>cf-art-39-par-3</w:t>
      </w:r>
      <w:r>
        <w:rPr>
          <w:color w:val="003CA0"/>
          <w:sz w:val="12"/>
        </w:rPr>
        <w:t xml:space="preserve"> | ADI 7.399</w:t>
      </w:r>
      <w:r>
        <w:rPr>
          <w:color w:val="003CA0"/>
          <w:sz w:val="12"/>
        </w:rPr>
        <w:t xml:space="preserve"> | rel. Alexandre de Moraes</w:t>
      </w:r>
    </w:p>
    <w:p>
      <w:pPr>
        <w:ind w:left="288"/>
      </w:pPr>
      <w:r>
        <w:rPr>
          <w:color w:val="1E1E1E"/>
          <w:sz w:val="18"/>
        </w:rPr>
        <w:t>Art. 55, caput, incisos I, II e III, e §1º, da Lei 11.440/2006, nos trechos que estabelece critérios etários para a transferência dos diplomatas ao Quadro Especial do Serviço Exterior Brasileiro. Inexistência de violação à isonomia. (...) Critérios de transferência por idade ou por tempo de classe, o que ocorrer primeiro. No caso do critério por idade, a transferência é efetivada independentemente do tempo de serviço na respectiva classe. (...) O delineamento constitucional acerca das exigências de idade para acesso a determinados cargos e para progressão funcional confere um considerável espa</w:t>
      </w:r>
    </w:p>
    <w:p>
      <w:pPr>
        <w:ind w:left="144"/>
      </w:pPr>
      <w:r>
        <w:rPr>
          <w:b/>
          <w:color w:val="B45A00"/>
          <w:sz w:val="16"/>
        </w:rPr>
        <w:t>REPERCUSSAO GERAL</w:t>
      </w:r>
    </w:p>
    <w:p>
      <w:pPr>
        <w:ind w:left="288"/>
      </w:pPr>
      <w:r>
        <w:rPr>
          <w:color w:val="8C8C8C"/>
          <w:sz w:val="12"/>
        </w:rPr>
        <w:t>cf-art-39-par-3</w:t>
      </w:r>
      <w:r>
        <w:rPr>
          <w:color w:val="003CA0"/>
          <w:sz w:val="12"/>
        </w:rPr>
        <w:t xml:space="preserve"> | RE 1.211.446</w:t>
      </w:r>
      <w:r>
        <w:rPr>
          <w:color w:val="003CA0"/>
          <w:sz w:val="12"/>
        </w:rPr>
        <w:t xml:space="preserve"> | rel. Alexandre de Moraes</w:t>
      </w:r>
    </w:p>
    <w:p>
      <w:pPr>
        <w:ind w:left="288"/>
      </w:pPr>
      <w:r>
        <w:rPr>
          <w:color w:val="1E1E1E"/>
          <w:sz w:val="18"/>
        </w:rPr>
        <w:t>“A servidora pública ou a trabalhadora regida pela CLT não gestante em união homoafetiva têm direito ao gozo da licença-maternidade. Caso a companheira tenha usufruído do benefício, fará jus a período de afastamento correspondente ao da licença-paternidade”.</w:t>
      </w:r>
    </w:p>
    <w:p>
      <w:pPr>
        <w:ind w:left="288"/>
      </w:pPr>
      <w:r>
        <w:rPr>
          <w:b/>
          <w:color w:val="003CA0"/>
          <w:sz w:val="16"/>
        </w:rPr>
        <w:t>[RE 1.211.446, rel. min. Alexandre de Moraes, j. 13.03.2024, P, DJE de 21.05.2024, Tema 1.072, com mérito julgado.]</w:t>
      </w:r>
    </w:p>
    <w:p>
      <w:pPr>
        <w:ind w:left="288"/>
      </w:pPr>
      <w:r>
        <w:rPr>
          <w:color w:val="8C8C8C"/>
          <w:sz w:val="12"/>
        </w:rPr>
        <w:t>cf-art-39-par-3</w:t>
      </w:r>
      <w:r>
        <w:rPr>
          <w:color w:val="003CA0"/>
          <w:sz w:val="12"/>
        </w:rPr>
        <w:t xml:space="preserve"> | RE 842.844</w:t>
      </w:r>
      <w:r>
        <w:rPr>
          <w:color w:val="003CA0"/>
          <w:sz w:val="12"/>
        </w:rPr>
        <w:t xml:space="preserve"> | rel. Luiz Fux</w:t>
      </w:r>
    </w:p>
    <w:p>
      <w:pPr>
        <w:ind w:left="288"/>
      </w:pPr>
      <w:r>
        <w:rPr>
          <w:color w:val="1E1E1E"/>
          <w:sz w:val="18"/>
        </w:rPr>
        <w:t>A trabalhadora gestante tem direito ao gozo de licença-maternidade e à estabilidade provisória, independentemente do regime jurídico aplicável, se contratual ou administrativo, ainda que ocupe cargo em comissão ou seja contratada por tempo determinado, nos termos dos arts. 7º, XVIII; 37, II; e 39, § 3º; da Constituição Federal, e 10, II, b, do Ato das Disposições Constitucionais Transitórias.</w:t>
        <w:br/>
        <w:t xml:space="preserve">[RE 842.844, rel. min. Luiz Fux, j. 5-10-2023, P, DJE de 6-12-2023, Tema 542, com mérito julgado.] “No exercício da autonomia legislativa municipal, não pode o Município, ao disciplinar o regime jurídico </w:t>
      </w:r>
    </w:p>
    <w:p>
      <w:pPr>
        <w:ind w:left="288"/>
      </w:pPr>
      <w:r>
        <w:rPr>
          <w:b/>
          <w:color w:val="003CA0"/>
          <w:sz w:val="16"/>
        </w:rPr>
        <w:t>[RE 593.448, rel. min. Edson Fachin, j. 05.12.2022, P, DJE de 19.12.2022, Tema 221, com mérito julgado.]</w:t>
      </w:r>
    </w:p>
    <w:p>
      <w:pPr>
        <w:ind w:left="288"/>
      </w:pPr>
      <w:r>
        <w:rPr>
          <w:color w:val="8C8C8C"/>
          <w:sz w:val="12"/>
        </w:rPr>
        <w:t>cf-art-39-par-3</w:t>
      </w:r>
      <w:r>
        <w:rPr>
          <w:color w:val="003CA0"/>
          <w:sz w:val="12"/>
        </w:rPr>
        <w:t xml:space="preserve"> | RE 964.659</w:t>
      </w:r>
      <w:r>
        <w:rPr>
          <w:color w:val="003CA0"/>
          <w:sz w:val="12"/>
        </w:rPr>
        <w:t xml:space="preserve"> | rel. Dias Toffoli</w:t>
      </w:r>
    </w:p>
    <w:p>
      <w:pPr>
        <w:ind w:left="288"/>
      </w:pPr>
      <w:r>
        <w:rPr>
          <w:color w:val="1E1E1E"/>
          <w:sz w:val="18"/>
        </w:rPr>
        <w:t>(...) ”[é] defeso o pagamento de remuneração em valor inferior ao salário mínimo ao servidor público, ainda que labore em jornada reduzida de trabalho”.</w:t>
        <w:br/>
        <w:t>[RE 964.659, rel. min. Dias Toffoli, j. 8-8-2022, P, DJE de 1º-9-2022, Tema 900, com mérito julgado.] Concessão de décimo terceiro salário e férias remuneradas acrescidas do terço constitucional a conciliadores e juízes leigos.</w:t>
      </w:r>
    </w:p>
    <w:p>
      <w:pPr>
        <w:ind w:left="288"/>
      </w:pPr>
      <w:r>
        <w:rPr>
          <w:b/>
          <w:color w:val="003CA0"/>
          <w:sz w:val="16"/>
        </w:rPr>
        <w:t>[RE 1.308.392 RG, rel. min. Luiz Fux, j. 21-4-2022, P, DJE de 29-4-2022, Tema 1.211, com mérito pendente.]</w:t>
      </w:r>
    </w:p>
    <w:p>
      <w:pPr>
        <w:ind w:left="288"/>
      </w:pPr>
      <w:r>
        <w:rPr>
          <w:color w:val="8C8C8C"/>
          <w:sz w:val="12"/>
        </w:rPr>
        <w:t>cf-art-39-par-3</w:t>
      </w:r>
      <w:r>
        <w:rPr>
          <w:color w:val="003CA0"/>
          <w:sz w:val="12"/>
        </w:rPr>
        <w:t xml:space="preserve"> | ARE 1.336.085</w:t>
      </w:r>
      <w:r>
        <w:rPr>
          <w:color w:val="003CA0"/>
          <w:sz w:val="12"/>
        </w:rPr>
        <w:t xml:space="preserve"> | rel. Luiz Fux</w:t>
      </w:r>
    </w:p>
    <w:p>
      <w:pPr>
        <w:ind w:left="288"/>
      </w:pPr>
      <w:r>
        <w:rPr>
          <w:color w:val="1E1E1E"/>
          <w:sz w:val="18"/>
        </w:rPr>
        <w:t>É infraconstitucional, a ela se aplicando os efeitos da ausência de repercussão geral, a controvérsia relativa à definição do divisor aplicável ao cálculo de horas extras de servidores públicos.</w:t>
      </w:r>
    </w:p>
    <w:p>
      <w:pPr>
        <w:ind w:left="288"/>
      </w:pPr>
      <w:r>
        <w:rPr>
          <w:b/>
          <w:color w:val="003CA0"/>
          <w:sz w:val="16"/>
        </w:rPr>
        <w:t>[ARE 1.336.085 RG, rel. min. Luiz Fux, j. 26-8-2021, P, DJE de 3-9-2021, Tema 1.163, com repercussão geral negada.]</w:t>
      </w:r>
    </w:p>
    <w:p>
      <w:pPr>
        <w:ind w:left="288"/>
      </w:pPr>
      <w:r>
        <w:rPr>
          <w:color w:val="8C8C8C"/>
          <w:sz w:val="12"/>
        </w:rPr>
        <w:t>cf-art-39-par-3</w:t>
      </w:r>
      <w:r>
        <w:rPr>
          <w:color w:val="003CA0"/>
          <w:sz w:val="12"/>
        </w:rPr>
        <w:t xml:space="preserve"> | ARE 678.112</w:t>
      </w:r>
      <w:r>
        <w:rPr>
          <w:color w:val="003CA0"/>
          <w:sz w:val="12"/>
        </w:rPr>
        <w:t xml:space="preserve"> | rel. Luiz Fux</w:t>
      </w:r>
    </w:p>
    <w:p>
      <w:pPr>
        <w:ind w:left="288"/>
      </w:pPr>
      <w:r>
        <w:rPr>
          <w:color w:val="1E1E1E"/>
          <w:sz w:val="18"/>
        </w:rPr>
        <w:t xml:space="preserve">Insta saber se é razoável ou não limitar idade para ingressar em carreira policial, a par da aprovação em testes médicos e físicos. Com efeito, o Supremo tem entendido, em casos semelhantes, que o estabelecimento de limite de idade para inscrição em concurso público apenas é legítimo quando justificado pela natureza das atribuições do cargo a ser preenchido. (...) Nesse mesmo sentido, o teor do Enunciado 683 da Súmula da jurisprudência dominante neste Pretório Excelso: "O limite de idade para a inscrição em concurso público só se legitima em face do art. 7º, XXX, da Constituição, quando possa </w:t>
      </w:r>
    </w:p>
    <w:p>
      <w:pPr>
        <w:ind w:left="288"/>
      </w:pPr>
      <w:r>
        <w:rPr>
          <w:b/>
          <w:color w:val="003CA0"/>
          <w:sz w:val="16"/>
        </w:rPr>
        <w:t>[ARE 678.112 RG, voto do rel. min. Luiz Fux, j. 25-4-2013, P, DJE de 17-5-2013, Tema 646, com mérito julgado.]</w:t>
        <w:br/>
        <w:t>Vide RE 523.737 AgR, rel. min. Ellen Gracie, j. 22-6-2010, 2ª T, DJE de 6-8-2010</w:t>
      </w:r>
    </w:p>
    <w:p>
      <w:pPr>
        <w:ind w:left="288"/>
      </w:pPr>
      <w:r>
        <w:rPr>
          <w:color w:val="8C8C8C"/>
          <w:sz w:val="12"/>
        </w:rPr>
        <w:t>cf-art-39-par-3</w:t>
      </w:r>
      <w:r>
        <w:rPr>
          <w:color w:val="003CA0"/>
          <w:sz w:val="12"/>
        </w:rPr>
        <w:t xml:space="preserve"> | RE 572.921</w:t>
      </w:r>
      <w:r>
        <w:rPr>
          <w:color w:val="003CA0"/>
          <w:sz w:val="12"/>
        </w:rPr>
        <w:t xml:space="preserve"> | rel. Ricardo Lewandowski</w:t>
      </w:r>
    </w:p>
    <w:p>
      <w:pPr>
        <w:ind w:left="288"/>
      </w:pPr>
      <w:r>
        <w:rPr>
          <w:color w:val="1E1E1E"/>
          <w:sz w:val="18"/>
        </w:rPr>
        <w:t>Servidor público. Vencimentos. Salário mínimo. Complementação por abono. Cálculo de gratificações e outras vantagens sobre o abono utilizado para se atingir o salário mínimo. Impossibilidade. Questão de ordem. Matéria de mérito pacificada no STF. Repercussão geral reconhecida. Confirmação da jurisprudência.</w:t>
      </w:r>
    </w:p>
    <w:p>
      <w:pPr>
        <w:ind w:left="288"/>
      </w:pPr>
      <w:r>
        <w:rPr>
          <w:b/>
          <w:color w:val="003CA0"/>
          <w:sz w:val="16"/>
        </w:rPr>
        <w:t>[RE 572.921 QO-RG, rel. min. Ricardo Lewandowski, j. 13-11-2008, P, DJE de 6-2-2009, Tema 141, com mérito julgado.]</w:t>
      </w:r>
    </w:p>
    <w:p>
      <w:pPr>
        <w:ind w:left="288"/>
      </w:pPr>
      <w:r>
        <w:rPr>
          <w:color w:val="8C8C8C"/>
          <w:sz w:val="12"/>
        </w:rPr>
        <w:t>cf-art-39-par-3</w:t>
      </w:r>
      <w:r>
        <w:rPr>
          <w:color w:val="003CA0"/>
          <w:sz w:val="12"/>
        </w:rPr>
        <w:t xml:space="preserve"> | RE 439.360</w:t>
      </w:r>
      <w:r>
        <w:rPr>
          <w:color w:val="003CA0"/>
          <w:sz w:val="12"/>
        </w:rPr>
        <w:t xml:space="preserve"> | rel. Sepúlveda Pertence</w:t>
      </w:r>
    </w:p>
    <w:p>
      <w:pPr>
        <w:ind w:left="288"/>
      </w:pPr>
      <w:r>
        <w:rPr>
          <w:color w:val="1E1E1E"/>
          <w:sz w:val="18"/>
        </w:rPr>
        <w:t>= RE 439.360 AgR, rel. min. Sepúlveda Pertence, j. 9-8-2005, 1ª T, DJ de 2-9-2005 “1. A vinculação automática de remuneração ao salário mínimo viola o enunciado nº 4 da Súmula Vinculante do STF, aplicável tanto a empregados públicos quanto a servidores estatutários. 2. A coisa julgada formada sob regime celetista não gera efeitos sobre a remuneração de servidores públicos submetidos ao regime jurídico único, cujos vencimentos são estipulados por normas estatutárias. 3. A irredutibilidade de vencimentos, no momento de transição para o regime estatutário, não confere direito a reajustes automáti</w:t>
      </w:r>
    </w:p>
    <w:p>
      <w:pPr>
        <w:ind w:left="288"/>
      </w:pPr>
      <w:r>
        <w:rPr>
          <w:b/>
          <w:color w:val="003CA0"/>
          <w:sz w:val="16"/>
        </w:rPr>
        <w:t>[ARE 1.526.509 AgR, rel. min. André Mendonça, j. 22.02.2025, 2ª T, DJE de 07.03.2025.]</w:t>
      </w:r>
    </w:p>
    <w:p>
      <w:pPr>
        <w:ind w:left="144"/>
      </w:pPr>
      <w:r>
        <w:rPr>
          <w:b/>
          <w:color w:val="B45A00"/>
          <w:sz w:val="16"/>
        </w:rPr>
        <w:t>JULGADOS CORRELATOS</w:t>
      </w:r>
    </w:p>
    <w:p>
      <w:pPr>
        <w:ind w:left="288"/>
      </w:pPr>
      <w:r>
        <w:rPr>
          <w:color w:val="8C8C8C"/>
          <w:sz w:val="12"/>
        </w:rPr>
        <w:t>cf-art-39-par-3</w:t>
      </w:r>
      <w:r>
        <w:rPr>
          <w:color w:val="003CA0"/>
          <w:sz w:val="12"/>
        </w:rPr>
        <w:t xml:space="preserve"> | RE 425.760</w:t>
      </w:r>
      <w:r>
        <w:rPr>
          <w:color w:val="003CA0"/>
          <w:sz w:val="12"/>
        </w:rPr>
        <w:t xml:space="preserve"> | rel. Roberto Barroso</w:t>
      </w:r>
    </w:p>
    <w:p>
      <w:pPr>
        <w:ind w:left="288"/>
      </w:pPr>
      <w:r>
        <w:rPr>
          <w:color w:val="1E1E1E"/>
          <w:sz w:val="18"/>
        </w:rPr>
        <w:t xml:space="preserve">No caso, é notória a razoabilidade da Lei 8.112/1990, ao exigir genericamente a idade mínima de dezoito anos para a investidura em cargo público, uma vez que a própria CF proíbe expressamente o exercício de qualquer trabalho a menores de dezoito anos, salvo na condição de aprendiz, a partir de quatorze anos (art. 7º, XXXIII, da Carta). De fato, tendo em conta o grau de responsabilidade e a essencialidade dos servidores públicos ao correto andamento da máquina administrativa, não se pode igualar o exercício de função pública às atribuições acometidas a um aprendiz. Dessa forma, como exposto na </w:t>
      </w:r>
    </w:p>
    <w:p>
      <w:pPr>
        <w:ind w:left="288"/>
      </w:pPr>
      <w:r>
        <w:rPr>
          <w:b/>
          <w:color w:val="003CA0"/>
          <w:sz w:val="16"/>
        </w:rPr>
        <w:t>[RE 425.760 AgR, voto do rel. min. Roberto Barroso, j. 29-10-2013, 1ª T, DJE de 20-2-2014.]</w:t>
      </w:r>
    </w:p>
    <w:p>
      <w:pPr>
        <w:ind w:left="288"/>
      </w:pPr>
      <w:r>
        <w:rPr>
          <w:color w:val="8C8C8C"/>
          <w:sz w:val="12"/>
        </w:rPr>
        <w:t>cf-art-39-par-3</w:t>
      </w:r>
      <w:r>
        <w:rPr>
          <w:color w:val="003CA0"/>
          <w:sz w:val="12"/>
        </w:rPr>
        <w:t xml:space="preserve"> | RE 523.737</w:t>
      </w:r>
      <w:r>
        <w:rPr>
          <w:color w:val="003CA0"/>
          <w:sz w:val="12"/>
        </w:rPr>
        <w:t xml:space="preserve"> | rel. Ellen Gracie</w:t>
      </w:r>
    </w:p>
    <w:p>
      <w:pPr>
        <w:ind w:left="288"/>
      </w:pPr>
      <w:r>
        <w:rPr>
          <w:color w:val="1E1E1E"/>
          <w:sz w:val="18"/>
        </w:rPr>
        <w:t>Concurso público da polícia militar. (...) O STF entende que a restrição da admissão a cargos públicos a partir da idade somente se justifica se previsto em lei e quando situações concretas exigem um limite razoável, tendo em conta o grau de esforço a ser desenvolvido pelo ocupante do cargo ou função. No caso, mostra-se desarrazoada a exigência de teste de esforço físico com critérios diferenciados em razão da faixa etária.</w:t>
      </w:r>
    </w:p>
    <w:p>
      <w:pPr>
        <w:ind w:left="288"/>
      </w:pPr>
      <w:r>
        <w:rPr>
          <w:b/>
          <w:color w:val="003CA0"/>
          <w:sz w:val="16"/>
        </w:rPr>
        <w:t>[RE 523.737 AgR, rel. min. Ellen Gracie, j. 22-6-2010, 2ª T, DJE de 6-8-2010.]</w:t>
      </w:r>
    </w:p>
    <w:p>
      <w:pPr>
        <w:ind w:left="288"/>
      </w:pPr>
      <w:r>
        <w:rPr>
          <w:color w:val="8C8C8C"/>
          <w:sz w:val="12"/>
        </w:rPr>
        <w:t>cf-art-39-par-3</w:t>
      </w:r>
      <w:r>
        <w:rPr>
          <w:color w:val="003CA0"/>
          <w:sz w:val="12"/>
        </w:rPr>
        <w:t xml:space="preserve"> | AI 598.715</w:t>
      </w:r>
      <w:r>
        <w:rPr>
          <w:color w:val="003CA0"/>
          <w:sz w:val="12"/>
        </w:rPr>
        <w:t xml:space="preserve"> | rel. Marco Aurélio</w:t>
      </w:r>
    </w:p>
    <w:p>
      <w:pPr>
        <w:ind w:left="288"/>
      </w:pPr>
      <w:r>
        <w:rPr>
          <w:color w:val="1E1E1E"/>
          <w:sz w:val="18"/>
        </w:rPr>
        <w:t>Longe fica de vulnerar a CF pronunciamento no sentido da inexigibilidade de altura mínima para habilitação em concurso público quando esta for prevista estritamente no edital, e não em lei em sentido formal e material.</w:t>
      </w:r>
    </w:p>
    <w:p>
      <w:pPr>
        <w:ind w:left="288"/>
      </w:pPr>
      <w:r>
        <w:rPr>
          <w:b/>
          <w:color w:val="003CA0"/>
          <w:sz w:val="16"/>
        </w:rPr>
        <w:t>[AI 598.715 AgR, rel. min. Marco Aurélio, j. 1º-4-2008, 1ª T, DJE de 9-5-2008.]</w:t>
      </w:r>
    </w:p>
    <w:p>
      <w:pPr>
        <w:ind w:left="288"/>
      </w:pPr>
      <w:r>
        <w:rPr>
          <w:color w:val="8C8C8C"/>
          <w:sz w:val="12"/>
        </w:rPr>
        <w:t>cf-art-39-par-3</w:t>
      </w:r>
      <w:r>
        <w:rPr>
          <w:color w:val="003CA0"/>
          <w:sz w:val="12"/>
        </w:rPr>
        <w:t xml:space="preserve"> | RE 559.823</w:t>
      </w:r>
      <w:r>
        <w:rPr>
          <w:color w:val="003CA0"/>
          <w:sz w:val="12"/>
        </w:rPr>
        <w:t xml:space="preserve"> | rel. Joaquim Barbosa</w:t>
      </w:r>
    </w:p>
    <w:p>
      <w:pPr>
        <w:ind w:left="288"/>
      </w:pPr>
      <w:r>
        <w:rPr>
          <w:color w:val="1E1E1E"/>
          <w:sz w:val="18"/>
        </w:rPr>
        <w:t>A fixação do limite de idade via edital não tem o condão de suprir a exigência constitucional de que tal requisito seja estabelecido por lei.</w:t>
      </w:r>
    </w:p>
    <w:p>
      <w:pPr>
        <w:ind w:left="288"/>
      </w:pPr>
      <w:r>
        <w:rPr>
          <w:b/>
          <w:color w:val="003CA0"/>
          <w:sz w:val="16"/>
        </w:rPr>
        <w:t>[RE 559.823 AgR, rel. min. Joaquim Barbosa, j. 27-11-2007, 2ª T, DJE de 1º-2-2008.]</w:t>
      </w:r>
    </w:p>
    <w:p>
      <w:pPr>
        <w:ind w:left="288"/>
      </w:pPr>
      <w:r>
        <w:rPr>
          <w:color w:val="8C8C8C"/>
          <w:sz w:val="12"/>
        </w:rPr>
        <w:t>cf-art-39-par-3</w:t>
      </w:r>
      <w:r>
        <w:rPr>
          <w:color w:val="003CA0"/>
          <w:sz w:val="12"/>
        </w:rPr>
        <w:t xml:space="preserve"> | ARE 667.309</w:t>
      </w:r>
      <w:r>
        <w:rPr>
          <w:color w:val="003CA0"/>
          <w:sz w:val="12"/>
        </w:rPr>
        <w:t xml:space="preserve"> | rel. Cármen Lúcia</w:t>
      </w:r>
    </w:p>
    <w:p>
      <w:pPr>
        <w:ind w:left="288"/>
      </w:pPr>
      <w:r>
        <w:rPr>
          <w:color w:val="1E1E1E"/>
          <w:sz w:val="18"/>
        </w:rPr>
        <w:t>= ARE 667.309 AgR, rel. min. Cármen Lúcia, j. 20-3-2012, 1ª T, DJE de 9-4-2012 Vide RE 523.737 AgR, rel. min. Ellen Gracie, j. 22-6-2010, 2ª T, DJE de 6-8-2010 Vide RE 558.833 AgR, rel. min. Ellen Gracie, j. 8-9-2009, 2ª T, DJE de 25-9-2009 Concurso público. Fator altura. Caso a caso, há de perquirir-se a sintonia da exigência, no que implica fator de tratamento diferenciado com a função a ser exercida. No âmbito da polícia, ao contrário do que ocorre com o agente em si, não se tem como constitucional a exigência de altura mínima, considerados homens e mulheres, de um metro e sessenta para a h</w:t>
      </w:r>
    </w:p>
    <w:p>
      <w:pPr>
        <w:ind w:left="288"/>
      </w:pPr>
      <w:r>
        <w:rPr>
          <w:b/>
          <w:color w:val="003CA0"/>
          <w:sz w:val="16"/>
        </w:rPr>
        <w:t>[RE 150.455, rel. min. Marco Aurélio, j. 15-12-1998, 2ª T, DJ de 7-5-1999.]</w:t>
      </w:r>
    </w:p>
    <w:p>
      <w:pPr>
        <w:ind w:left="288"/>
      </w:pPr>
      <w:r>
        <w:rPr>
          <w:color w:val="8C8C8C"/>
          <w:sz w:val="12"/>
        </w:rPr>
        <w:t>cf-art-39-par-3</w:t>
      </w:r>
      <w:r>
        <w:rPr>
          <w:color w:val="003CA0"/>
          <w:sz w:val="12"/>
        </w:rPr>
        <w:t xml:space="preserve"> | AI 384.050</w:t>
      </w:r>
      <w:r>
        <w:rPr>
          <w:color w:val="003CA0"/>
          <w:sz w:val="12"/>
        </w:rPr>
        <w:t xml:space="preserve"> | rel. Carlos Velloso</w:t>
      </w:r>
    </w:p>
    <w:p>
      <w:pPr>
        <w:ind w:left="288"/>
      </w:pPr>
      <w:r>
        <w:rPr>
          <w:color w:val="1E1E1E"/>
          <w:sz w:val="18"/>
        </w:rPr>
        <w:t>= AI 384.050 AgR, rel. min. Carlos Velloso, j. 9-9-2003, 2ª T, DJ de 10-10-2003 A vedação constitucional de diferença de critério de admissão por motivo de idade (CF, art. 7º, XXX) é corolário, na esfera das relações de trabalho, do princípio fundamental de igualdade, que se entende, à falta de exclusão constitucional inequívoca (como ocorre em relação aos militares – CF, art. 42, § 1º), a todo o sistema do pessoal civil. É ponderável, não obstante, a ressalva das hipóteses em que a limitação de idade se possa legitimar como imposição da natureza e das atribuições do cargo a preencher.</w:t>
      </w:r>
    </w:p>
    <w:p>
      <w:pPr>
        <w:ind w:left="288"/>
      </w:pPr>
      <w:r>
        <w:rPr>
          <w:b/>
          <w:color w:val="003CA0"/>
          <w:sz w:val="16"/>
        </w:rPr>
        <w:t>[RMS 21.046, rel. min. Sepúlveda Pertence, j. 14-12-1990, P, DJ de 14-11-1991.]</w:t>
      </w:r>
    </w:p>
    <w:p>
      <w:pPr>
        <w:ind w:left="288"/>
      </w:pPr>
      <w:r>
        <w:rPr>
          <w:color w:val="8C8C8C"/>
          <w:sz w:val="12"/>
        </w:rPr>
        <w:t>cf-art-39-par-3</w:t>
      </w:r>
      <w:r>
        <w:rPr>
          <w:color w:val="003CA0"/>
          <w:sz w:val="12"/>
        </w:rPr>
        <w:t xml:space="preserve"> | AI 722.490</w:t>
      </w:r>
      <w:r>
        <w:rPr>
          <w:color w:val="003CA0"/>
          <w:sz w:val="12"/>
        </w:rPr>
        <w:t xml:space="preserve"> | rel. Ricardo Lewandowski</w:t>
      </w:r>
    </w:p>
    <w:p>
      <w:pPr>
        <w:ind w:left="288"/>
      </w:pPr>
      <w:r>
        <w:rPr>
          <w:color w:val="1E1E1E"/>
          <w:sz w:val="18"/>
        </w:rPr>
        <w:t>= AI 722.490 AgR, rel. min. Ricardo Lewandowski, j. 3-2-2009, 1ª T, DJE de 6-3-2009 § 4º O membro de Poder, o detentor de mandato eletivo, os Ministros de Estado e os Secretários Estaduais e Municipais serão remunerados exclusivamente por subsídio fixado em parcela única, vedado o acréscimo de qualquer gratificação, adicional, abono, prêmio, verba de representação ou outra espécie remuneratória, obedecido, em qualquer caso, o disposto no art. 37, X e XI. (Incluído pela EC 19/1998) O regime de subsídio não afasta a percepção de gratificações pelo exercício de cargos em comissão ou funções de co</w:t>
      </w:r>
    </w:p>
    <w:p>
      <w:pPr>
        <w:ind w:left="288"/>
      </w:pPr>
      <w:r>
        <w:rPr>
          <w:b/>
          <w:color w:val="003CA0"/>
          <w:sz w:val="16"/>
        </w:rPr>
        <w:t>[ADI 3.228, rel. min. Edson Fachin, red. do ac. min. Luís Roberto Barroso, j. 19.02.2025, P, DJE de 10.04.2025.]</w:t>
      </w:r>
    </w:p>
    <w:p>
      <w:pPr>
        <w:ind w:left="144"/>
      </w:pPr>
      <w:r>
        <w:rPr>
          <w:b/>
          <w:color w:val="B45A00"/>
          <w:sz w:val="16"/>
        </w:rPr>
        <w:t>CONTROLE CONCENTRADO</w:t>
      </w:r>
    </w:p>
    <w:p>
      <w:pPr>
        <w:ind w:left="288"/>
      </w:pPr>
      <w:r>
        <w:rPr>
          <w:color w:val="8C8C8C"/>
          <w:sz w:val="12"/>
        </w:rPr>
        <w:t>cf-art-39-par-3</w:t>
      </w:r>
      <w:r>
        <w:rPr>
          <w:color w:val="003CA0"/>
          <w:sz w:val="12"/>
        </w:rPr>
        <w:t xml:space="preserve"> | ADI 3.834</w:t>
      </w:r>
      <w:r>
        <w:rPr>
          <w:color w:val="003CA0"/>
          <w:sz w:val="12"/>
        </w:rPr>
        <w:t xml:space="preserve"> | rel. Luís Roberto Barroso</w:t>
      </w:r>
    </w:p>
    <w:p>
      <w:pPr>
        <w:ind w:left="288"/>
      </w:pPr>
      <w:r>
        <w:rPr>
          <w:color w:val="1E1E1E"/>
          <w:sz w:val="18"/>
        </w:rPr>
        <w:t>Vantagens remuneratórias criadas por resolução do Conselho Nacional do Ministério Público. (...) A incorporação de vantagens pessoais decorrentes do exercício pretérito de função de direção, chefia ou assessoramento, bem como o acréscimo de 20% ao cálculo dos proventos de aposentaria para aqueles que se aposentam no último nível da carreira, afrontam o regime constitucional de subsídio.</w:t>
        <w:br/>
        <w:t>[ADI 3.834, rel. min. Luís Roberto Barroso, j. 21-11-2023, P, DJE de 6-2-2024.] O ‘auxílio-aperfeiçoamento’ previsto na Lei Complementar nº 89/2015, do Estado do Amapá, tem caráter excepcional e não viola a reg</w:t>
      </w:r>
    </w:p>
    <w:p>
      <w:pPr>
        <w:ind w:left="288"/>
      </w:pPr>
      <w:r>
        <w:rPr>
          <w:b/>
          <w:color w:val="003CA0"/>
          <w:sz w:val="16"/>
        </w:rPr>
        <w:t>[ADI 4.941, red. do ac. min. Luiz Fux, j. 14-8-2019, P, DJE de 7-2-2020.]</w:t>
      </w:r>
    </w:p>
    <w:p>
      <w:pPr>
        <w:ind w:left="288"/>
      </w:pPr>
      <w:r>
        <w:rPr>
          <w:color w:val="8C8C8C"/>
          <w:sz w:val="12"/>
        </w:rPr>
        <w:t>cf-art-39-par-3</w:t>
      </w:r>
      <w:r>
        <w:rPr>
          <w:color w:val="003CA0"/>
          <w:sz w:val="12"/>
        </w:rPr>
        <w:t xml:space="preserve"> | ADI 4.587</w:t>
      </w:r>
      <w:r>
        <w:rPr>
          <w:color w:val="003CA0"/>
          <w:sz w:val="12"/>
        </w:rPr>
        <w:t xml:space="preserve"> | rel. Ricardo Lewandowski</w:t>
      </w:r>
    </w:p>
    <w:p>
      <w:pPr>
        <w:ind w:left="288"/>
      </w:pPr>
      <w:r>
        <w:rPr>
          <w:color w:val="1E1E1E"/>
          <w:sz w:val="18"/>
        </w:rPr>
        <w:t>O art. 57, § 7º, do Texto Constitucional veda o pagamento de parcela indenizatória aos parlamentares em razão de convocação extraordinária. Essa norma é de reprodução obrigatória pelos Estados-membros por força do art. 27, § 2º, da Carta Magna. A Constituição é expressa, no art. 39, § 4º, ao vedar o acréscimo de qualquer gratificação, adicional, abono, prêmio, verba de representação ou outra espécie remuneratória ao subsídio percebido pelos parlamentares.</w:t>
      </w:r>
    </w:p>
    <w:p>
      <w:pPr>
        <w:ind w:left="288"/>
      </w:pPr>
      <w:r>
        <w:rPr>
          <w:b/>
          <w:color w:val="003CA0"/>
          <w:sz w:val="16"/>
        </w:rPr>
        <w:t>[ADI 4.587, rel. min. Ricardo Lewandowski, j. 22-5-2014, P, DJE de 18-6-2014.]</w:t>
      </w:r>
    </w:p>
    <w:p>
      <w:pPr>
        <w:ind w:left="288"/>
      </w:pPr>
      <w:r>
        <w:rPr>
          <w:color w:val="8C8C8C"/>
          <w:sz w:val="12"/>
        </w:rPr>
        <w:t>cf-art-39-par-3</w:t>
      </w:r>
      <w:r>
        <w:rPr>
          <w:color w:val="003CA0"/>
          <w:sz w:val="12"/>
        </w:rPr>
        <w:t xml:space="preserve"> | ADI 3.923</w:t>
      </w:r>
      <w:r>
        <w:rPr>
          <w:color w:val="003CA0"/>
          <w:sz w:val="12"/>
        </w:rPr>
        <w:t xml:space="preserve"> | rel. Eros Grau</w:t>
      </w:r>
    </w:p>
    <w:p>
      <w:pPr>
        <w:ind w:left="288"/>
      </w:pPr>
      <w:r>
        <w:rPr>
          <w:color w:val="1E1E1E"/>
          <w:sz w:val="18"/>
        </w:rPr>
        <w:t>O ato normativo impugnado institui a remuneração por meio de "subsídio" a grupos de servidores públicos do Estado do Maranhão. Aplicação indiscriminada. O subsídio de que trata o § 4º do art. 39 da CF/1988 pode ser estendido a outros servidores públicos, configurando contudo pressupostos necessários à substituição de vencimentos por subsídio a organização dos servidores em carreira configura, bem assim a irredutibilidade da remuneração. A lei questionada não disciplina de forma clara como será procedido o pagamento das vantagens adquiridas por decisão judicial ou em decorrência de decisão admi</w:t>
      </w:r>
    </w:p>
    <w:p>
      <w:pPr>
        <w:ind w:left="288"/>
      </w:pPr>
      <w:r>
        <w:rPr>
          <w:b/>
          <w:color w:val="003CA0"/>
          <w:sz w:val="16"/>
        </w:rPr>
        <w:t>[ADI 3.923 MC, rel. min. Eros Grau, j. 16-8-2007, P, DJE de 15-2-2008.]</w:t>
      </w:r>
    </w:p>
    <w:p>
      <w:pPr>
        <w:ind w:left="144"/>
      </w:pPr>
      <w:r>
        <w:rPr>
          <w:b/>
          <w:color w:val="B45A00"/>
          <w:sz w:val="16"/>
        </w:rPr>
        <w:t>REPERCUSSAO GERAL</w:t>
      </w:r>
    </w:p>
    <w:p>
      <w:pPr>
        <w:ind w:left="288"/>
      </w:pPr>
      <w:r>
        <w:rPr>
          <w:color w:val="8C8C8C"/>
          <w:sz w:val="12"/>
        </w:rPr>
        <w:t>cf-art-39-par-3</w:t>
      </w:r>
      <w:r>
        <w:rPr>
          <w:color w:val="003CA0"/>
          <w:sz w:val="12"/>
        </w:rPr>
        <w:t xml:space="preserve"> | RE 597.396</w:t>
      </w:r>
    </w:p>
    <w:p>
      <w:pPr>
        <w:ind w:left="288"/>
      </w:pPr>
      <w:r>
        <w:rPr>
          <w:color w:val="1E1E1E"/>
          <w:sz w:val="18"/>
        </w:rPr>
        <w:t>É inconstitucional o pagamento do adicional de 20% previsto no art. 184, II, da Lei 1.711/1952 a desembargadores, após a adoção do subsídio como forma remuneratória. A supressão do adicional não pode representar decesso remuneratório, em face do princípio constitucional da irredutibilidade de vencimentos, hipótese em que a parcela deve ser absorvida por reajustes salariais futuros.</w:t>
      </w:r>
    </w:p>
    <w:p>
      <w:pPr>
        <w:ind w:left="288"/>
      </w:pPr>
      <w:r>
        <w:rPr>
          <w:b/>
          <w:color w:val="003CA0"/>
          <w:sz w:val="16"/>
        </w:rPr>
        <w:t>[RE 597.396, red. do ac. min. Alexandre de Moraes, j. 16-9-2020, P, DJE de 5-10-2020, Tema 690, com mérito julgado.]</w:t>
      </w:r>
    </w:p>
    <w:p>
      <w:pPr>
        <w:ind w:left="288"/>
      </w:pPr>
      <w:r>
        <w:rPr>
          <w:color w:val="8C8C8C"/>
          <w:sz w:val="12"/>
        </w:rPr>
        <w:t>cf-art-39-par-3</w:t>
      </w:r>
      <w:r>
        <w:rPr>
          <w:color w:val="003CA0"/>
          <w:sz w:val="12"/>
        </w:rPr>
        <w:t xml:space="preserve"> | RE 650.898</w:t>
      </w:r>
    </w:p>
    <w:p>
      <w:pPr>
        <w:ind w:left="288"/>
      </w:pPr>
      <w:r>
        <w:rPr>
          <w:color w:val="1E1E1E"/>
          <w:sz w:val="18"/>
        </w:rPr>
        <w:t>O regime de subsídio é incompatível com outras parcelas remuneratórias de natureza mensal, o que não é o caso do 13º salário e do terço constitucional de férias, pagos a todos os trabalhadores e servidores com periodicidade anual.</w:t>
      </w:r>
    </w:p>
    <w:p>
      <w:pPr>
        <w:ind w:left="288"/>
      </w:pPr>
      <w:r>
        <w:rPr>
          <w:b/>
          <w:color w:val="003CA0"/>
          <w:sz w:val="16"/>
        </w:rPr>
        <w:t>[RE 650.898, red. do ac. min. Roberto Barroso, j. 1º-2-2017, P, DJE de 24-8-2017, Tema 484, com mérito julgado.]</w:t>
      </w:r>
    </w:p>
    <w:p>
      <w:pPr>
        <w:ind w:left="144"/>
      </w:pPr>
      <w:r>
        <w:rPr>
          <w:b/>
          <w:color w:val="B45A00"/>
          <w:sz w:val="16"/>
        </w:rPr>
        <w:t>JULGADOS CORRELATOS</w:t>
      </w:r>
    </w:p>
    <w:p>
      <w:pPr>
        <w:ind w:left="288"/>
      </w:pPr>
      <w:r>
        <w:rPr>
          <w:color w:val="8C8C8C"/>
          <w:sz w:val="12"/>
        </w:rPr>
        <w:t>cf-art-39-par-3</w:t>
      </w:r>
      <w:r>
        <w:rPr>
          <w:color w:val="003CA0"/>
          <w:sz w:val="12"/>
        </w:rPr>
        <w:t xml:space="preserve"> | AO 584</w:t>
      </w:r>
      <w:r>
        <w:rPr>
          <w:color w:val="003CA0"/>
          <w:sz w:val="12"/>
        </w:rPr>
        <w:t xml:space="preserve"> | rel. Maurício Corrêa</w:t>
      </w:r>
    </w:p>
    <w:p>
      <w:pPr>
        <w:ind w:left="288"/>
      </w:pPr>
      <w:r>
        <w:rPr>
          <w:color w:val="1E1E1E"/>
          <w:sz w:val="18"/>
        </w:rPr>
        <w:t>Remuneração dos magistrados na vigência da EC 19/1998. Regência do § 4º do art. 39, com remissão ao art. 37, X e XI, da CF: parcela única em forma de subsídio, exigência de lei específica e teto correspondente ao valor devido aos ministros do STF. A nova estrutura judiciária nacional (CF, art. 93, V) criou ampla vinculação, embora indireta, entre toda a magistratura, independentemente do nível organizacional, se federal ou estadual. Antinomia apenas aparente, em face da autonomia dos Estados-membros, por força do constituinte derivado. O sistema de subsídio instaurado pela EC 19/1998 somente t</w:t>
      </w:r>
    </w:p>
    <w:p>
      <w:pPr>
        <w:ind w:left="288"/>
      </w:pPr>
      <w:r>
        <w:rPr>
          <w:b/>
          <w:color w:val="003CA0"/>
          <w:sz w:val="16"/>
        </w:rPr>
        <w:t>[AO 584, rel. min. Maurício Corrêa, j. 21-5-2003, P, DJ de 27-6-2003.]</w:t>
      </w:r>
    </w:p>
    <w:p>
      <w:pPr>
        <w:ind w:left="288"/>
      </w:pPr>
      <w:r>
        <w:rPr>
          <w:color w:val="8C8C8C"/>
          <w:sz w:val="12"/>
        </w:rPr>
        <w:t>cf-art-39-par-3</w:t>
      </w:r>
      <w:r>
        <w:rPr>
          <w:color w:val="003CA0"/>
          <w:sz w:val="12"/>
        </w:rPr>
        <w:t xml:space="preserve"> | ADI 2.116</w:t>
      </w:r>
      <w:r>
        <w:rPr>
          <w:color w:val="003CA0"/>
          <w:sz w:val="12"/>
        </w:rPr>
        <w:t xml:space="preserve"> | rel. Marco Aurélio</w:t>
      </w:r>
    </w:p>
    <w:p>
      <w:pPr>
        <w:ind w:left="288"/>
      </w:pPr>
      <w:r>
        <w:rPr>
          <w:color w:val="1E1E1E"/>
          <w:sz w:val="18"/>
        </w:rPr>
        <w:t>(...) o Plenário desta Corte, ao apreciar a ADI 2.116 MC, rel. min. Marco Aurélio, entendeu que, por não serem autoaplicáveis as normas dos arts. 37, XI, e 39, § 4º, da CF (redação dada pela EC 19/1998) – até que seja promulgada a lei de fixação do subsídio de ministro do STF –, as vantagens pessoais continuam excluídas do teto de remuneração.</w:t>
      </w:r>
    </w:p>
    <w:p>
      <w:pPr>
        <w:ind w:left="288"/>
      </w:pPr>
      <w:r>
        <w:rPr>
          <w:b/>
          <w:color w:val="003CA0"/>
          <w:sz w:val="16"/>
        </w:rPr>
        <w:t>[AI 339.636 AgR, rel. min. Ilmar Galvão, j. 16-10-2001, 1ª T, DJ de 14-12-2001.]</w:t>
      </w:r>
    </w:p>
    <w:p>
      <w:pPr>
        <w:ind w:left="288"/>
      </w:pPr>
      <w:r>
        <w:rPr>
          <w:color w:val="8C8C8C"/>
          <w:sz w:val="12"/>
        </w:rPr>
        <w:t>cf-art-39-par-3</w:t>
      </w:r>
      <w:r>
        <w:rPr>
          <w:color w:val="003CA0"/>
          <w:sz w:val="12"/>
        </w:rPr>
        <w:t xml:space="preserve"> | RE 524.824</w:t>
      </w:r>
      <w:r>
        <w:rPr>
          <w:color w:val="003CA0"/>
          <w:sz w:val="12"/>
        </w:rPr>
        <w:t xml:space="preserve"> | rel. Ellen Gracie</w:t>
      </w:r>
    </w:p>
    <w:p>
      <w:pPr>
        <w:ind w:left="288"/>
      </w:pPr>
      <w:r>
        <w:rPr>
          <w:color w:val="1E1E1E"/>
          <w:sz w:val="18"/>
        </w:rPr>
        <w:t>= RE 524.824 AgR, rel. min. Ellen Gracie, j. 8-6-2010, 2ª T, DJE de 25-6-2010 Vide RE 464.876 AgR, rel. min. Cármen Lúcia, j. 16-12-2008, 1ª T, DJE de 20-2-2009</w:t>
      </w:r>
    </w:p>
    <w:p>
      <w:pPr>
        <w:ind w:left="288"/>
      </w:pPr>
      <w:r>
        <w:rPr>
          <w:color w:val="8C8C8C"/>
          <w:sz w:val="12"/>
        </w:rPr>
        <w:t>cf-art-39-par-5</w:t>
      </w:r>
      <w:r>
        <w:rPr>
          <w:color w:val="003CA0"/>
          <w:sz w:val="12"/>
        </w:rPr>
        <w:t xml:space="preserve"> | AI 740.028</w:t>
      </w:r>
      <w:r>
        <w:rPr>
          <w:color w:val="003CA0"/>
          <w:sz w:val="12"/>
        </w:rPr>
        <w:t xml:space="preserve"> | rel. Eros Grau</w:t>
      </w:r>
    </w:p>
    <w:p>
      <w:pPr>
        <w:ind w:left="288"/>
      </w:pPr>
      <w:r>
        <w:rPr>
          <w:color w:val="1E1E1E"/>
          <w:sz w:val="18"/>
        </w:rPr>
        <w:t>O STF fixou entendimento no sentido de que a estipulação de teto remuneratório, nos termos fixados pela EC 19/1998, exige a promulgação de lei em sentido formal e material.</w:t>
      </w:r>
    </w:p>
    <w:p>
      <w:pPr>
        <w:ind w:left="288"/>
      </w:pPr>
      <w:r>
        <w:rPr>
          <w:b/>
          <w:color w:val="003CA0"/>
          <w:sz w:val="16"/>
        </w:rPr>
        <w:t>[AI 740.028 AgR, rel. min. Eros Grau, j. 24-3-2009, 2ª T, DJE de 24-4-2009.]</w:t>
      </w:r>
    </w:p>
    <w:p>
      <w:pPr>
        <w:ind w:left="288"/>
      </w:pPr>
      <w:r>
        <w:rPr>
          <w:color w:val="8C8C8C"/>
          <w:sz w:val="12"/>
        </w:rPr>
        <w:t>cf-art-39-par-5</w:t>
      </w:r>
      <w:r>
        <w:rPr>
          <w:color w:val="003CA0"/>
          <w:sz w:val="12"/>
        </w:rPr>
        <w:t xml:space="preserve"> | RE 461.626</w:t>
      </w:r>
      <w:r>
        <w:rPr>
          <w:color w:val="003CA0"/>
          <w:sz w:val="12"/>
        </w:rPr>
        <w:t xml:space="preserve"> | rel. Ayres Britto</w:t>
      </w:r>
    </w:p>
    <w:p>
      <w:pPr>
        <w:ind w:left="288"/>
      </w:pPr>
      <w:r>
        <w:rPr>
          <w:color w:val="1E1E1E"/>
          <w:sz w:val="18"/>
        </w:rPr>
        <w:t>= RE 461.626 AgR, rel. min. Ayres Britto, j. 14-12-2010, 2ª T, DJE de 17-2-2011</w:t>
      </w:r>
    </w:p>
    <w:p>
      <w:pPr>
        <w:ind w:left="288"/>
      </w:pPr>
      <w:r>
        <w:rPr>
          <w:color w:val="8C8C8C"/>
          <w:sz w:val="12"/>
        </w:rPr>
        <w:t>cf-art-39-par-6</w:t>
      </w:r>
    </w:p>
    <w:p>
      <w:pPr>
        <w:ind w:left="288"/>
      </w:pPr>
      <w:r>
        <w:rPr>
          <w:color w:val="1E1E1E"/>
          <w:sz w:val="18"/>
        </w:rPr>
        <w:t>§ 7º Lei da União, dos Estados, do Distrito Federal e dos Municípios disciplinará a aplicação de recursos orçamentários provenientes da economia com despesas correntes em cada órgão, autarquia e fundação, para aplicação no desenvolvimento de programas de qualidade e produtividade, treinamento e desenvolvimento, modernização, reaparelhamento e racionalização do serviço público, inclusive sob a forma de adicional ou prêmio de produtividade. (Incluído pela EC 19/1998)</w:t>
      </w:r>
    </w:p>
    <w:p>
      <w:pPr>
        <w:ind w:left="144"/>
      </w:pPr>
      <w:r>
        <w:rPr>
          <w:b/>
          <w:color w:val="B45A00"/>
          <w:sz w:val="16"/>
        </w:rPr>
        <w:t>CONTROLE CONCENTRADO</w:t>
      </w:r>
    </w:p>
    <w:p>
      <w:pPr>
        <w:ind w:left="288"/>
      </w:pPr>
      <w:r>
        <w:rPr>
          <w:color w:val="8C8C8C"/>
          <w:sz w:val="12"/>
        </w:rPr>
        <w:t>cf-art-39-par-6</w:t>
      </w:r>
      <w:r>
        <w:rPr>
          <w:color w:val="003CA0"/>
          <w:sz w:val="12"/>
        </w:rPr>
        <w:t xml:space="preserve"> | ADI 6.562</w:t>
      </w:r>
      <w:r>
        <w:rPr>
          <w:color w:val="003CA0"/>
          <w:sz w:val="12"/>
        </w:rPr>
        <w:t xml:space="preserve"> | rel. Gilmar Mendes</w:t>
      </w:r>
    </w:p>
    <w:p>
      <w:pPr>
        <w:ind w:left="288"/>
      </w:pPr>
      <w:r>
        <w:rPr>
          <w:color w:val="1E1E1E"/>
          <w:sz w:val="18"/>
        </w:rPr>
        <w:t>Bônus de eficiência e produtividade na atividade tributária e aduaneira e da auditoria-fiscal do trabalho. Lei federal 13.464, de 2017. (...) O Bônus de Eficiência não macula a exigência constitucional de lei específica a fixar e alterar a remuneração dos servidores públicos (Art. 37, X da CF/88). A remuneração por desempenho encontra suas balizas, seu intervalo, satisfatoriamente previstas em lei formal e se amolda ao respaldo constitucional do princípio da eficiência (Art. 37, caput c/c Art. 39, § 7º da CF/88).</w:t>
      </w:r>
    </w:p>
    <w:p>
      <w:pPr>
        <w:ind w:left="288"/>
      </w:pPr>
      <w:r>
        <w:rPr>
          <w:b/>
          <w:color w:val="003CA0"/>
          <w:sz w:val="16"/>
        </w:rPr>
        <w:t>[ADI 6.562, rel. min. Gilmar Mendes, j. 9-3-2022, P, DJE de 29-3-2022.]</w:t>
      </w:r>
    </w:p>
    <w:p>
      <w:pPr>
        <w:ind w:left="288"/>
      </w:pPr>
      <w:r>
        <w:rPr>
          <w:color w:val="8C8C8C"/>
          <w:sz w:val="12"/>
        </w:rPr>
        <w:t>cf-art-39-par-8</w:t>
      </w:r>
      <w:r>
        <w:rPr>
          <w:color w:val="003CA0"/>
          <w:sz w:val="12"/>
        </w:rPr>
        <w:t xml:space="preserve"> | ADI 6.562</w:t>
      </w:r>
      <w:r>
        <w:rPr>
          <w:color w:val="003CA0"/>
          <w:sz w:val="12"/>
        </w:rPr>
        <w:t xml:space="preserve"> | rel. Gilmar Mendes</w:t>
      </w:r>
    </w:p>
    <w:p>
      <w:pPr>
        <w:ind w:left="288"/>
      </w:pPr>
      <w:r>
        <w:rPr>
          <w:color w:val="1E1E1E"/>
          <w:sz w:val="18"/>
        </w:rPr>
        <w:t>A instituição do Bônus de Eficiência e Produtividade na Atividade Tributária e Aduaneira e da Auditoria-fiscal do Trabalho não ofende o regime constitucional de remuneração por subsídio. As carreiras a que se destinam exerceram opção constitucional por remuneração sob a sistemática de vencimentos (Art. 39, § 8º da CF/88).</w:t>
      </w:r>
    </w:p>
    <w:p>
      <w:pPr>
        <w:ind w:left="288"/>
      </w:pPr>
      <w:r>
        <w:rPr>
          <w:b/>
          <w:color w:val="003CA0"/>
          <w:sz w:val="16"/>
        </w:rPr>
        <w:t>[ADI 6.562, rel. min. Gilmar Mendes, j. 9-3-2022, P, DJE de 29-3-2022.]</w:t>
      </w:r>
    </w:p>
    <w:p>
      <w:pPr>
        <w:ind w:left="288"/>
      </w:pPr>
      <w:r>
        <w:rPr>
          <w:color w:val="8C8C8C"/>
          <w:sz w:val="12"/>
        </w:rPr>
        <w:t>cf-art-39-par-8</w:t>
      </w:r>
      <w:r>
        <w:rPr>
          <w:color w:val="003CA0"/>
          <w:sz w:val="12"/>
        </w:rPr>
        <w:t xml:space="preserve"> | ADI 5.400</w:t>
      </w:r>
      <w:r>
        <w:rPr>
          <w:color w:val="003CA0"/>
          <w:sz w:val="12"/>
        </w:rPr>
        <w:t xml:space="preserve"> | rel. Luiz Fux</w:t>
      </w:r>
    </w:p>
    <w:p>
      <w:pPr>
        <w:ind w:left="288"/>
      </w:pPr>
      <w:r>
        <w:rPr>
          <w:color w:val="1E1E1E"/>
          <w:sz w:val="18"/>
        </w:rPr>
        <w:t>A fixação de diferentes valores de subsídios para refletir o escalonamento dos cargos em níveis crescentes de responsabilidade, complexidade e antiguidade é consequência lógica desse sistema remuneratório, mercê da necessidade de os servidores estarem organizados em carreira para a adoção do subsídio (artigo 39, § 8º, da Constituição Federal), sendo, ainda, consentânea com a eficiência e isonomia e previsibilidade que devem nortear o atuar administrativo.</w:t>
      </w:r>
    </w:p>
    <w:p>
      <w:pPr>
        <w:ind w:left="288"/>
      </w:pPr>
      <w:r>
        <w:rPr>
          <w:b/>
          <w:color w:val="003CA0"/>
          <w:sz w:val="16"/>
        </w:rPr>
        <w:t>[ADI 5.400, rel. min. Luiz Fux, j. 21-2-2020, P, DJE de 12-3-2020.]</w:t>
      </w:r>
    </w:p>
    <w:p>
      <w:pPr>
        <w:ind w:left="288"/>
      </w:pPr>
      <w:r>
        <w:rPr>
          <w:color w:val="8C8C8C"/>
          <w:sz w:val="12"/>
        </w:rPr>
        <w:t>cf-art-39-par-8</w:t>
      </w:r>
      <w:r>
        <w:rPr>
          <w:color w:val="003CA0"/>
          <w:sz w:val="12"/>
        </w:rPr>
        <w:t xml:space="preserve"> | ADI 4.941</w:t>
      </w:r>
    </w:p>
    <w:p>
      <w:pPr>
        <w:ind w:left="288"/>
      </w:pPr>
      <w:r>
        <w:rPr>
          <w:color w:val="1E1E1E"/>
          <w:sz w:val="18"/>
        </w:rPr>
        <w:t>Questionamento do pagamento de gratificação de dedicação exclusiva (GDE) específico quanto aos agentes remunerados por subsídio. Conhecimento da ação apenas quanto à expressão ‘ou subsídio’, constante dos §§ 1º, 3º e 5º do artigo 1º da Lei 6.975/2008. O servidor público que exerce funções extraordinárias ou labora em condições diferenciadas pode receber parcela remuneratória além do subsídio. A interpretação sistemática do artigo 39, §§ 3º, 4º e 8º, da CRFB, permitem o pagamento dos direitos elencados no primeiro parágrafo citado. O artigo 39, § 4º, da Constituição Federal, não constitui vedaç</w:t>
      </w:r>
    </w:p>
    <w:p>
      <w:pPr>
        <w:ind w:left="288"/>
      </w:pPr>
      <w:r>
        <w:rPr>
          <w:b/>
          <w:color w:val="003CA0"/>
          <w:sz w:val="16"/>
        </w:rPr>
        <w:t>[ADI 4.941, red. do ac. min. Luiz Fux, j. 14-8-2019, P, DJE de 7-2-2020.]</w:t>
      </w:r>
    </w:p>
    <w:p>
      <w:pPr>
        <w:ind w:left="288"/>
      </w:pPr>
      <w:r>
        <w:rPr>
          <w:color w:val="8C8C8C"/>
          <w:sz w:val="12"/>
        </w:rPr>
        <w:t>cf-art-39-par-8</w:t>
      </w:r>
      <w:r>
        <w:rPr>
          <w:color w:val="003CA0"/>
          <w:sz w:val="12"/>
        </w:rPr>
        <w:t xml:space="preserve"> | ADI 4.079</w:t>
      </w:r>
      <w:r>
        <w:rPr>
          <w:color w:val="003CA0"/>
          <w:sz w:val="12"/>
        </w:rPr>
        <w:t xml:space="preserve"> | rel. Roberto Barroso</w:t>
      </w:r>
    </w:p>
    <w:p>
      <w:pPr>
        <w:ind w:left="288"/>
      </w:pPr>
      <w:r>
        <w:rPr>
          <w:color w:val="1E1E1E"/>
          <w:sz w:val="18"/>
        </w:rPr>
        <w:t>(...) não viola a Constituição o diploma estadual que impede o transporte, para o regime de subsídios, das vantagens pessoais adquiridas no passado, na medida em que autoriza os servidores a se manterem no sistema anterior e a optarem, em qualquer tempo, pela incidência do novo regime. Cabendo a decisão aos próprios servidores, não há redução forçada da remuneração ou violação ao direito adquirido. Tampouco há violação à isonomia, já que a desequiparação entre regimes foi estabelecida em benefício dos próprios servidores, que podem optar, a qualquer tempo, pelo regime mais benéfico.</w:t>
      </w:r>
    </w:p>
    <w:p>
      <w:pPr>
        <w:ind w:left="288"/>
      </w:pPr>
      <w:r>
        <w:rPr>
          <w:b/>
          <w:color w:val="003CA0"/>
          <w:sz w:val="16"/>
        </w:rPr>
        <w:t>[ADI 4.079, rel. min. Roberto Barroso, j. 26-2-2015, P, DJE de 5-5-2015.]</w:t>
      </w:r>
    </w:p>
    <w:p>
      <w:pPr>
        <w:ind w:left="288"/>
      </w:pPr>
      <w:r>
        <w:rPr>
          <w:color w:val="8C8C8C"/>
          <w:sz w:val="12"/>
        </w:rPr>
        <w:t>cf-art-39-par-8</w:t>
      </w:r>
      <w:r>
        <w:rPr>
          <w:color w:val="003CA0"/>
          <w:sz w:val="12"/>
        </w:rPr>
        <w:t xml:space="preserve"> | ADI 3.923</w:t>
      </w:r>
      <w:r>
        <w:rPr>
          <w:color w:val="003CA0"/>
          <w:sz w:val="12"/>
        </w:rPr>
        <w:t xml:space="preserve"> | rel. Eros Grau</w:t>
      </w:r>
    </w:p>
    <w:p>
      <w:pPr>
        <w:ind w:left="288"/>
      </w:pPr>
      <w:r>
        <w:rPr>
          <w:color w:val="1E1E1E"/>
          <w:sz w:val="18"/>
        </w:rPr>
        <w:t>O ato normativo impugnado institui a remuneração por meio de "subsídio" a grupos de servidores públicos do Estado do Maranhão. Aplicação indiscriminada. O subsídio de que trata o § 4º do art. 39 da CF/1988 pode ser estendido a outros servidores públicos, configurando contudo pressupostos necessários à substituição de vencimentos por subsídio a organização dos servidores em carreira configura, bem assim a irredutibilidade da remuneração. A lei questionada não disciplina de forma clara como será procedido o pagamento das vantagens adquiridas por decisão judicial ou em decorrência de decisão admi</w:t>
      </w:r>
    </w:p>
    <w:p>
      <w:pPr>
        <w:ind w:left="288"/>
      </w:pPr>
      <w:r>
        <w:rPr>
          <w:b/>
          <w:color w:val="003CA0"/>
          <w:sz w:val="16"/>
        </w:rPr>
        <w:t>[ADI 3.923 MC, rel. min. Eros Grau, j. 16-8-2007, P, DJE de 15-2-2008.]</w:t>
      </w:r>
    </w:p>
    <w:p>
      <w:pPr>
        <w:ind w:left="432"/>
      </w:pPr>
      <w:r>
        <w:rPr>
          <w:color w:val="003366"/>
          <w:sz w:val="18"/>
        </w:rPr>
        <w:t>§ 1 A fixação dos padrões de vencimento e dos demais componentes do sistema remu</w:t>
      </w:r>
    </w:p>
    <w:p>
      <w:pPr>
        <w:ind w:left="720"/>
      </w:pPr>
      <w:r>
        <w:rPr>
          <w:color w:val="003366"/>
          <w:sz w:val="18"/>
        </w:rPr>
        <w:t>I – a natureza, o grau de responsabilidade e a complexidade dos cargos component</w:t>
      </w:r>
    </w:p>
    <w:p>
      <w:pPr>
        <w:ind w:left="720"/>
      </w:pPr>
      <w:r>
        <w:rPr>
          <w:color w:val="003366"/>
          <w:sz w:val="18"/>
        </w:rPr>
        <w:t>II – os requisitos para a investidura; (Incluído pela Emenda Constitucional nº 1</w:t>
      </w:r>
    </w:p>
    <w:p>
      <w:pPr>
        <w:ind w:left="720"/>
      </w:pPr>
      <w:r>
        <w:rPr>
          <w:color w:val="003366"/>
          <w:sz w:val="18"/>
        </w:rPr>
        <w:t xml:space="preserve">III – as peculiaridades dos cargos. (Incluído pela Emenda Constitucional nº 19, </w:t>
      </w:r>
    </w:p>
    <w:p>
      <w:pPr>
        <w:ind w:left="432"/>
      </w:pPr>
      <w:r>
        <w:rPr>
          <w:color w:val="003366"/>
          <w:sz w:val="18"/>
        </w:rPr>
        <w:t xml:space="preserve">§ 2 A União, os Estados e o Distrito Federal manterão escolas de governo para a </w:t>
      </w:r>
    </w:p>
    <w:p>
      <w:pPr>
        <w:ind w:left="432"/>
      </w:pPr>
      <w:r>
        <w:rPr>
          <w:color w:val="003366"/>
          <w:sz w:val="18"/>
        </w:rPr>
        <w:t>§ 3 Aplica-se aos servidores ocupantes de cargo público o disposto no art. 7º, I</w:t>
      </w:r>
    </w:p>
    <w:p>
      <w:pPr>
        <w:ind w:left="432"/>
      </w:pPr>
      <w:r>
        <w:rPr>
          <w:color w:val="003366"/>
          <w:sz w:val="18"/>
        </w:rPr>
        <w:t>§ 4 O membro de Poder, o detentor de mandato eletivo, os Ministros de Estado e o</w:t>
      </w:r>
    </w:p>
    <w:p>
      <w:pPr>
        <w:ind w:left="432"/>
      </w:pPr>
      <w:r>
        <w:rPr>
          <w:color w:val="003366"/>
          <w:sz w:val="18"/>
        </w:rPr>
        <w:t>§ 5 Lei da União, dos Estados, do Distrito Federal e dos Municípios poderá estab</w:t>
      </w:r>
    </w:p>
    <w:p>
      <w:pPr>
        <w:ind w:left="432"/>
      </w:pPr>
      <w:r>
        <w:rPr>
          <w:color w:val="003366"/>
          <w:sz w:val="18"/>
        </w:rPr>
        <w:t>§ 6 Os Poderes Executivo, Legislativo e Judiciário publicarão anualmente os valo</w:t>
      </w:r>
    </w:p>
    <w:p>
      <w:pPr>
        <w:ind w:left="432"/>
      </w:pPr>
      <w:r>
        <w:rPr>
          <w:color w:val="003366"/>
          <w:sz w:val="18"/>
        </w:rPr>
        <w:t>§ 7 Lei da União, dos Estados, do Distrito Federal e dos Municípios disciplinará</w:t>
      </w:r>
    </w:p>
    <w:p>
      <w:pPr>
        <w:ind w:left="432"/>
      </w:pPr>
      <w:r>
        <w:rPr>
          <w:color w:val="003366"/>
          <w:sz w:val="18"/>
        </w:rPr>
        <w:t>§ 8 A remuneração dos servidores públicos organizados em carreira poderá ser fix</w:t>
      </w:r>
    </w:p>
    <w:p>
      <w:pPr>
        <w:ind w:left="432"/>
      </w:pPr>
      <w:r>
        <w:rPr>
          <w:color w:val="003366"/>
          <w:sz w:val="18"/>
        </w:rPr>
        <w:t xml:space="preserve">§ 9 É vedada a incorporação de vantagens de caráter temporário ou vinculadas ao </w:t>
      </w:r>
    </w:p>
    <w:p>
      <w:r>
        <w:rPr>
          <w:b/>
          <w:color w:val="003366"/>
          <w:sz w:val="20"/>
        </w:rPr>
        <w:t>Art. 40 O regime próprio de previdência social dos servidores titulares de cargo</w:t>
      </w:r>
      <w:r>
        <w:rPr>
          <w:color w:val="8C8C8C"/>
          <w:sz w:val="14"/>
        </w:rPr>
        <w:t xml:space="preserve">  [117 decisoes]</w:t>
      </w:r>
    </w:p>
    <w:p>
      <w:pPr>
        <w:ind w:left="144"/>
      </w:pPr>
      <w:r>
        <w:rPr>
          <w:b/>
          <w:color w:val="B45A00"/>
          <w:sz w:val="16"/>
        </w:rPr>
        <w:t>SUMULA</w:t>
      </w:r>
    </w:p>
    <w:p>
      <w:pPr>
        <w:ind w:left="288"/>
      </w:pPr>
      <w:r>
        <w:rPr>
          <w:color w:val="8C8C8C"/>
          <w:sz w:val="12"/>
        </w:rPr>
        <w:t>cf-art-40</w:t>
      </w:r>
    </w:p>
    <w:p>
      <w:pPr>
        <w:ind w:left="288"/>
      </w:pPr>
      <w:r>
        <w:rPr>
          <w:color w:val="1E1E1E"/>
          <w:sz w:val="18"/>
        </w:rPr>
        <w:t>Ressalvada a revisão prevista em lei, os proventos da inatividade regulam-se pela lei vigente ao tempo em que o militar, ou o servidor civil reuniu os requisitos necessários.</w:t>
      </w:r>
    </w:p>
    <w:p>
      <w:pPr>
        <w:ind w:left="288"/>
      </w:pPr>
      <w:r>
        <w:rPr>
          <w:b/>
          <w:color w:val="003CA0"/>
          <w:sz w:val="16"/>
        </w:rPr>
        <w:t>[Súmula 359.]</w:t>
      </w:r>
    </w:p>
    <w:p>
      <w:pPr>
        <w:ind w:left="288"/>
      </w:pPr>
      <w:r>
        <w:rPr>
          <w:color w:val="8C8C8C"/>
          <w:sz w:val="12"/>
        </w:rPr>
        <w:t>cf-art-40</w:t>
      </w:r>
      <w:r>
        <w:rPr>
          <w:color w:val="003CA0"/>
          <w:sz w:val="12"/>
        </w:rPr>
        <w:t xml:space="preserve"> | ADI 7.683</w:t>
      </w:r>
      <w:r>
        <w:rPr>
          <w:color w:val="003CA0"/>
          <w:sz w:val="12"/>
        </w:rPr>
        <w:t xml:space="preserve"> | rel. Cristiano Zanin</w:t>
      </w:r>
    </w:p>
    <w:p>
      <w:pPr>
        <w:ind w:left="288"/>
      </w:pPr>
      <w:r>
        <w:rPr>
          <w:color w:val="1E1E1E"/>
          <w:sz w:val="18"/>
        </w:rPr>
        <w:t>A jurisprudência do Supremo Tribunal Federal é consolidada no sentido de que a competência legislativa suplementar dos estados em relação ao respectivo regime próprio deve mantê-lo restrito aos servidores titulares de cargo efetivo, não havendo permissão constitucional para ampliar o rol previsto no art. 40 da Constituição Federal.</w:t>
      </w:r>
    </w:p>
    <w:p>
      <w:pPr>
        <w:ind w:left="288"/>
      </w:pPr>
      <w:r>
        <w:rPr>
          <w:b/>
          <w:color w:val="003CA0"/>
          <w:sz w:val="16"/>
        </w:rPr>
        <w:t>[ADI 7.683, rel. min. Cristiano Zanin, j. 22-12-2025, P, DJE de 30-1-2026.]</w:t>
      </w:r>
    </w:p>
    <w:p>
      <w:pPr>
        <w:ind w:left="144"/>
      </w:pPr>
      <w:r>
        <w:rPr>
          <w:b/>
          <w:color w:val="B45A00"/>
          <w:sz w:val="16"/>
        </w:rPr>
        <w:t>CONTROLE CONCENTRADO</w:t>
      </w:r>
    </w:p>
    <w:p>
      <w:pPr>
        <w:ind w:left="288"/>
      </w:pPr>
      <w:r>
        <w:rPr>
          <w:color w:val="8C8C8C"/>
          <w:sz w:val="12"/>
        </w:rPr>
        <w:t>cf-art-40</w:t>
      </w:r>
      <w:r>
        <w:rPr>
          <w:color w:val="003CA0"/>
          <w:sz w:val="12"/>
        </w:rPr>
        <w:t xml:space="preserve"> | ADI 4.824</w:t>
      </w:r>
      <w:r>
        <w:rPr>
          <w:color w:val="003CA0"/>
          <w:sz w:val="12"/>
        </w:rPr>
        <w:t xml:space="preserve"> | rel. Roberto Barroso</w:t>
      </w:r>
    </w:p>
    <w:p>
      <w:pPr>
        <w:ind w:left="288"/>
      </w:pPr>
      <w:r>
        <w:rPr>
          <w:color w:val="1E1E1E"/>
          <w:sz w:val="18"/>
        </w:rPr>
        <w:t>“1. É constitucional norma de lei estadual que imponha ao Ministério Público (i) a vinculação ao regime próprio de previdência social do respectivo ente federado; e (ii) a participação, juntamente com os poderes e demais órgãos autônomos, do custeio previdenciário. 2. É inconstitucional norma de lei estadual que autorize a Secretaria de Estado de Fazenda a reter o valor correspondente às contribuições previdenciárias devidas pelo Ministério Público, seus membros e servidores”.</w:t>
        <w:br/>
        <w:t>[ADI 4.824, rel. min. Roberto Barroso, j. 13-3-2023, P, DJE de 28-3-2023.]</w:t>
        <w:br/>
        <w:t xml:space="preserve">= ADI 4.859, rel. min. Roberto Barroso, j. </w:t>
      </w:r>
    </w:p>
    <w:p>
      <w:pPr>
        <w:ind w:left="288"/>
      </w:pPr>
      <w:r>
        <w:rPr>
          <w:b/>
          <w:color w:val="003CA0"/>
          <w:sz w:val="16"/>
        </w:rPr>
        <w:t>[ADPF 418, rel. min. Alexandre de Moraes, j. 15-4-2020, P, DJE de 30-4-2020.]</w:t>
      </w:r>
    </w:p>
    <w:p>
      <w:pPr>
        <w:ind w:left="288"/>
      </w:pPr>
      <w:r>
        <w:rPr>
          <w:color w:val="8C8C8C"/>
          <w:sz w:val="12"/>
        </w:rPr>
        <w:t>cf-art-40</w:t>
      </w:r>
      <w:r>
        <w:rPr>
          <w:color w:val="003CA0"/>
          <w:sz w:val="12"/>
        </w:rPr>
        <w:t xml:space="preserve"> | ADI 3.628</w:t>
      </w:r>
      <w:r>
        <w:rPr>
          <w:color w:val="003CA0"/>
          <w:sz w:val="12"/>
        </w:rPr>
        <w:t xml:space="preserve"> | rel. Dias Toffoli</w:t>
      </w:r>
    </w:p>
    <w:p>
      <w:pPr>
        <w:ind w:left="288"/>
      </w:pPr>
      <w:r>
        <w:rPr>
          <w:color w:val="1E1E1E"/>
          <w:sz w:val="18"/>
        </w:rPr>
        <w:t xml:space="preserve">Art. 110, parágrafo único, Lei 915, de 18 de agosto de 2005, do Estado do Amapá. (...) Durante o período de vigência do Decreto 87, de 6 de junho de 1991, não havia contribuição dos servidores ao antigo IPEAP [Instituto de Previdência do Estado do Amapá] para o custeio dos benefícios de aposentadoria. O art. 254 da Lei estadual 66, de 6 de maio de 1993, expressamente determinava que "[a]s despesas decorrentes com aposentadorias serão de responsabilidade integral do Governo do Estado do Amapá". A transferência à Amapá Previdência (AMPREV) da responsabilidade pelo pagamento das aposentadorias e </w:t>
      </w:r>
    </w:p>
    <w:p>
      <w:pPr>
        <w:ind w:left="288"/>
      </w:pPr>
      <w:r>
        <w:rPr>
          <w:b/>
          <w:color w:val="003CA0"/>
          <w:sz w:val="16"/>
        </w:rPr>
        <w:t>[ADI 3.628, rel. min. Dias Toffoli, j. 8-3-2018, P, DJE de 10-10-2018.]</w:t>
      </w:r>
    </w:p>
    <w:p>
      <w:pPr>
        <w:ind w:left="288"/>
      </w:pPr>
      <w:r>
        <w:rPr>
          <w:color w:val="8C8C8C"/>
          <w:sz w:val="12"/>
        </w:rPr>
        <w:t>cf-art-40</w:t>
      </w:r>
      <w:r>
        <w:rPr>
          <w:color w:val="003CA0"/>
          <w:sz w:val="12"/>
        </w:rPr>
        <w:t xml:space="preserve"> | ADI 3.104</w:t>
      </w:r>
      <w:r>
        <w:rPr>
          <w:color w:val="003CA0"/>
          <w:sz w:val="12"/>
        </w:rPr>
        <w:t xml:space="preserve"> | rel. Cármen Lúcia</w:t>
      </w:r>
    </w:p>
    <w:p>
      <w:pPr>
        <w:ind w:left="288"/>
      </w:pPr>
      <w:r>
        <w:rPr>
          <w:color w:val="1E1E1E"/>
          <w:sz w:val="18"/>
        </w:rPr>
        <w:t>Art. 2º e expressão "8º" do art. 10, ambos da EC 41/2003. Aposentadoria. Tempus regit actum. Regime jurídico. Direito adquirido: não ocorrência. A aposentadoria é direito constitucional que se adquire e se introduz no patrimônio jurídico do interessado no momento de sua formalização pela entidade competente. Em questões previdenciárias, aplicam-se as normas vigentes ao tempo da reunião dos requisitos de passagem para a inatividade. Somente os servidores públicos que preenchiam os requisitos estabelecidos na EC 20/1998, durante a vigência das normas por ela fixadas, poderiam reclamar a aplicaçã</w:t>
      </w:r>
    </w:p>
    <w:p>
      <w:pPr>
        <w:ind w:left="288"/>
      </w:pPr>
      <w:r>
        <w:rPr>
          <w:b/>
          <w:color w:val="003CA0"/>
          <w:sz w:val="16"/>
        </w:rPr>
        <w:t>[ADI 3.104, rel. min. Cármen Lúcia, j. 26-9-2007, P, DJ de 9-11-2007.]</w:t>
      </w:r>
    </w:p>
    <w:p>
      <w:pPr>
        <w:ind w:left="288"/>
      </w:pPr>
      <w:r>
        <w:rPr>
          <w:color w:val="8C8C8C"/>
          <w:sz w:val="12"/>
        </w:rPr>
        <w:t>cf-art-40</w:t>
      </w:r>
      <w:r>
        <w:rPr>
          <w:color w:val="003CA0"/>
          <w:sz w:val="12"/>
        </w:rPr>
        <w:t xml:space="preserve"> | ADI 2.791</w:t>
      </w:r>
      <w:r>
        <w:rPr>
          <w:color w:val="003CA0"/>
          <w:sz w:val="12"/>
        </w:rPr>
        <w:t xml:space="preserve"> | rel. Gilmar Mendes</w:t>
      </w:r>
    </w:p>
    <w:p>
      <w:pPr>
        <w:ind w:left="288"/>
      </w:pPr>
      <w:r>
        <w:rPr>
          <w:color w:val="1E1E1E"/>
          <w:sz w:val="18"/>
        </w:rPr>
        <w:t>(...) entendimento já pacificado nesta Corte no sentido de que o Estado-membro não pode conceder aos serventuários da Justiça aposentadoria em regime idêntico ao dos servidores públicos (art. 40, caput, da CF).</w:t>
      </w:r>
    </w:p>
    <w:p>
      <w:pPr>
        <w:ind w:left="288"/>
      </w:pPr>
      <w:r>
        <w:rPr>
          <w:b/>
          <w:color w:val="003CA0"/>
          <w:sz w:val="16"/>
        </w:rPr>
        <w:t>[ADI 2.791, rel. min. Gilmar Mendes, j. 16-8-2006, P, DJ de 24-11-2006.]</w:t>
      </w:r>
    </w:p>
    <w:p>
      <w:pPr>
        <w:ind w:left="288"/>
      </w:pPr>
      <w:r>
        <w:rPr>
          <w:color w:val="8C8C8C"/>
          <w:sz w:val="12"/>
        </w:rPr>
        <w:t>cf-art-40</w:t>
      </w:r>
      <w:r>
        <w:rPr>
          <w:color w:val="003CA0"/>
          <w:sz w:val="12"/>
        </w:rPr>
        <w:t xml:space="preserve"> | ARE 705.633</w:t>
      </w:r>
      <w:r>
        <w:rPr>
          <w:color w:val="003CA0"/>
          <w:sz w:val="12"/>
        </w:rPr>
        <w:t xml:space="preserve"> | rel. Marco Aurélio</w:t>
      </w:r>
    </w:p>
    <w:p>
      <w:pPr>
        <w:ind w:left="288"/>
      </w:pPr>
      <w:r>
        <w:rPr>
          <w:color w:val="1E1E1E"/>
          <w:sz w:val="18"/>
        </w:rPr>
        <w:t>= ARE 705.633 AgR, rel. min. Marco Aurélio, j. 8-10-2013, 1ª T, DJE de 28-10-2013 Não é inconstitucional o art. 4º, caput, da EC 41, de 19-12-2003, que instituiu contribuição previdenciária sobre os proventos de aposentadoria e as pensões dos servidores públicos da União, dos Estados, do Distrito Federal e dos Municípios, incluídas suas autarquias e fundações.</w:t>
      </w:r>
    </w:p>
    <w:p>
      <w:pPr>
        <w:ind w:left="288"/>
      </w:pPr>
      <w:r>
        <w:rPr>
          <w:b/>
          <w:color w:val="003CA0"/>
          <w:sz w:val="16"/>
        </w:rPr>
        <w:t>[ADI 3.105 e ADI 3.128, red. do ac. min. Cezar Peluso, j. 18-8-2004, P, DJ de 18-2-2005.]</w:t>
      </w:r>
    </w:p>
    <w:p>
      <w:pPr>
        <w:ind w:left="288"/>
      </w:pPr>
      <w:r>
        <w:rPr>
          <w:color w:val="8C8C8C"/>
          <w:sz w:val="12"/>
        </w:rPr>
        <w:t>cf-art-40</w:t>
      </w:r>
      <w:r>
        <w:rPr>
          <w:color w:val="003CA0"/>
          <w:sz w:val="12"/>
        </w:rPr>
        <w:t xml:space="preserve"> | MS 24.777</w:t>
      </w:r>
      <w:r>
        <w:rPr>
          <w:color w:val="003CA0"/>
          <w:sz w:val="12"/>
        </w:rPr>
        <w:t xml:space="preserve"> | rel. Teori Zavascki</w:t>
      </w:r>
    </w:p>
    <w:p>
      <w:pPr>
        <w:ind w:left="288"/>
      </w:pPr>
      <w:r>
        <w:rPr>
          <w:color w:val="1E1E1E"/>
          <w:sz w:val="18"/>
        </w:rPr>
        <w:t>= MS 24.777 AgR, rel. min. Teori Zavascki, j. 19-9-2013, P, DJE de 16-10-2013 Vide AI 594.104 AgR, rel. min. Ellen Gracie, j. 4-5-2010, 2ª T, DJE de 21-5-2010 Vide RE 475.076 AgR, rel. min. Eros Grau, j. 25-11-2008, 2ª T, DJE de 19-12-2008 Tabeliães e oficiais de registros públicos: aposentadoria: inconstitucionalidade da norma da Constituição local que – além de conceder-lhes aposentadoria de servidor público – que, para esse efeito, não são – vincula os respectivos proventos às alterações dos vencimentos da magistratura: precedente (ADI 139, RTJ 138/14).</w:t>
      </w:r>
    </w:p>
    <w:p>
      <w:pPr>
        <w:ind w:left="288"/>
      </w:pPr>
      <w:r>
        <w:rPr>
          <w:b/>
          <w:color w:val="003CA0"/>
          <w:sz w:val="16"/>
        </w:rPr>
        <w:t>[ADI 575, rel. min. Sepúlveda Pertence, j. 25-3-1999, P, DJ de 25-6-1999.]</w:t>
      </w:r>
    </w:p>
    <w:p>
      <w:pPr>
        <w:ind w:left="288"/>
      </w:pPr>
      <w:r>
        <w:rPr>
          <w:color w:val="8C8C8C"/>
          <w:sz w:val="12"/>
        </w:rPr>
        <w:t>cf-art-40</w:t>
      </w:r>
      <w:r>
        <w:rPr>
          <w:color w:val="003CA0"/>
          <w:sz w:val="12"/>
        </w:rPr>
        <w:t xml:space="preserve"> | AI 668.533</w:t>
      </w:r>
      <w:r>
        <w:rPr>
          <w:color w:val="003CA0"/>
          <w:sz w:val="12"/>
        </w:rPr>
        <w:t xml:space="preserve"> | rel. Cármen Lúcia</w:t>
      </w:r>
    </w:p>
    <w:p>
      <w:pPr>
        <w:ind w:left="288"/>
      </w:pPr>
      <w:r>
        <w:rPr>
          <w:color w:val="1E1E1E"/>
          <w:sz w:val="18"/>
        </w:rPr>
        <w:t>= AI 668.533 AgR, rel. min. Cármen Lúcia, j. 25-10-2011, 1ª T, DJE de 23-11-2011 Vide RE 565.936 AgR, rel. min. Ellen Gracie, j. 26-10-2010, 2ª T, DJE de 29-11-2010 Já se firmou na jurisprudência desta Corte que, entre os princípios de observância obrigatória pela Constituição e pelas leis dos Estados-membros, se encontram os contidos no art. 40 da Carta Magna Federal (assim, nas ADI 101, ADI 178 e ADI 755).</w:t>
      </w:r>
    </w:p>
    <w:p>
      <w:pPr>
        <w:ind w:left="288"/>
      </w:pPr>
      <w:r>
        <w:rPr>
          <w:b/>
          <w:color w:val="003CA0"/>
          <w:sz w:val="16"/>
        </w:rPr>
        <w:t>[ADI 369, rel. min. Moreira Alves, j. 9-12-1998, P, DJ de 12-3-1999.]</w:t>
      </w:r>
    </w:p>
    <w:p>
      <w:pPr>
        <w:ind w:left="288"/>
      </w:pPr>
      <w:r>
        <w:rPr>
          <w:color w:val="8C8C8C"/>
          <w:sz w:val="12"/>
        </w:rPr>
        <w:t>cf-art-40</w:t>
      </w:r>
      <w:r>
        <w:rPr>
          <w:color w:val="003CA0"/>
          <w:sz w:val="12"/>
        </w:rPr>
        <w:t xml:space="preserve"> | ADI 4.698</w:t>
      </w:r>
      <w:r>
        <w:rPr>
          <w:color w:val="003CA0"/>
          <w:sz w:val="12"/>
        </w:rPr>
        <w:t xml:space="preserve"> | rel. Joaquim Barbosa</w:t>
      </w:r>
    </w:p>
    <w:p>
      <w:pPr>
        <w:ind w:left="288"/>
      </w:pPr>
      <w:r>
        <w:rPr>
          <w:color w:val="1E1E1E"/>
          <w:sz w:val="18"/>
        </w:rPr>
        <w:t>= ADI 4.698 MC, rel. min. Joaquim Barbosa, j. 1º-12-2011, P, DJE de 25-4-2012 “Somente os servidores públicos civis detentores de cargo efetivo (art. 40, CF, na redação dada pela EC 20/98) são vinculados ao regime próprio de previdência social, a excluir os estáveis nos termos do art. 19 do ADCT e os demais servidores admitidos sem concurso público, ressalvadas as aposentadorias e pensões já concedidas ou com requisitos já satisfeitos até a data da publicação da ata de julgamento destes embargos declaratórios”.</w:t>
      </w:r>
    </w:p>
    <w:p>
      <w:pPr>
        <w:ind w:left="288"/>
      </w:pPr>
      <w:r>
        <w:rPr>
          <w:b/>
          <w:color w:val="003CA0"/>
          <w:sz w:val="16"/>
        </w:rPr>
        <w:t>[RE 1.426.306 RG-ED, rel. min. Luís Roberto Barroso, j. 11.06.2024, P, DJE de 21.06.2024, Tema 1.254, com mérito julgado.]</w:t>
      </w:r>
    </w:p>
    <w:p>
      <w:pPr>
        <w:ind w:left="144"/>
      </w:pPr>
      <w:r>
        <w:rPr>
          <w:b/>
          <w:color w:val="B45A00"/>
          <w:sz w:val="16"/>
        </w:rPr>
        <w:t>REPERCUSSAO GERAL</w:t>
      </w:r>
    </w:p>
    <w:p>
      <w:pPr>
        <w:ind w:left="288"/>
      </w:pPr>
      <w:r>
        <w:rPr>
          <w:color w:val="8C8C8C"/>
          <w:sz w:val="12"/>
        </w:rPr>
        <w:t>cf-art-40</w:t>
      </w:r>
      <w:r>
        <w:rPr>
          <w:color w:val="003CA0"/>
          <w:sz w:val="12"/>
        </w:rPr>
        <w:t xml:space="preserve"> | AI 831.223</w:t>
      </w:r>
      <w:r>
        <w:rPr>
          <w:color w:val="003CA0"/>
          <w:sz w:val="12"/>
        </w:rPr>
        <w:t xml:space="preserve"> | rel. Cezar Peluso</w:t>
      </w:r>
    </w:p>
    <w:p>
      <w:pPr>
        <w:ind w:left="288"/>
      </w:pPr>
      <w:r>
        <w:rPr>
          <w:color w:val="1E1E1E"/>
          <w:sz w:val="18"/>
        </w:rPr>
        <w:t>A questão suscitada neste recurso versa sobre a constitucionalidade da instituição de contribuição à saúde incidente sobre o valor de proventos e pensões de servidores públicos, no interregno das EC 20/1998 e EC 41/2003. Esta Corte possui jurisprudência firmada no sentido da inconstitucionalidade de contribuição previdenciária instituída sobre proventos e pensões de servidores públicos com a finalidade de assistência à saúde diferenciada, ainda no interregno das EC 20/1998 e EC 41/2003.</w:t>
      </w:r>
    </w:p>
    <w:p>
      <w:pPr>
        <w:ind w:left="288"/>
      </w:pPr>
      <w:r>
        <w:rPr>
          <w:b/>
          <w:color w:val="003CA0"/>
          <w:sz w:val="16"/>
        </w:rPr>
        <w:t>[AI 831.223 RG, rel. min. Cezar Peluso, j. 16-6-2011, P, DJE de 6-10-2011, Tema 431, com mérito julgado.]</w:t>
      </w:r>
    </w:p>
    <w:p>
      <w:pPr>
        <w:ind w:left="144"/>
      </w:pPr>
      <w:r>
        <w:rPr>
          <w:b/>
          <w:color w:val="B45A00"/>
          <w:sz w:val="16"/>
        </w:rPr>
        <w:t>JULGADOS CORRELATOS</w:t>
      </w:r>
    </w:p>
    <w:p>
      <w:pPr>
        <w:ind w:left="288"/>
      </w:pPr>
      <w:r>
        <w:rPr>
          <w:color w:val="8C8C8C"/>
          <w:sz w:val="12"/>
        </w:rPr>
        <w:t>cf-art-40</w:t>
      </w:r>
      <w:r>
        <w:rPr>
          <w:color w:val="003CA0"/>
          <w:sz w:val="12"/>
        </w:rPr>
        <w:t xml:space="preserve"> | MS 31.299</w:t>
      </w:r>
    </w:p>
    <w:p>
      <w:pPr>
        <w:ind w:left="288"/>
      </w:pPr>
      <w:r>
        <w:rPr>
          <w:color w:val="1E1E1E"/>
          <w:sz w:val="18"/>
        </w:rPr>
        <w:t>A ratio do art. 8º, § 3º, da EC 20/98 estabeleceu regra de transição compensatória para todos os Magistrados, membros do Ministério Público e do Tribunal de Contas, do sexo masculino, que ainda não haviam preenchidos os requisitos para a aposentadoria na data de sua vigência. A partir da leitura da norma constitucional, é possível inferir a mensagem do constituinte no sentido de que, ao sujeitarem tais servidores a novo regime jurídico previdenciário, com significativo acréscimo de 5 anos de contribuição para a aposentadoria, contemplou-os com o direito adquirido ao acréscimo de tempo de servi</w:t>
      </w:r>
    </w:p>
    <w:p>
      <w:pPr>
        <w:ind w:left="288"/>
      </w:pPr>
      <w:r>
        <w:rPr>
          <w:b/>
          <w:color w:val="003CA0"/>
          <w:sz w:val="16"/>
        </w:rPr>
        <w:t>[MS 31.299 AgR, red. do ac. min. Alexandre de Moraes, j. 15-4-2021, P, DJE de 5-5-2021.]</w:t>
      </w:r>
    </w:p>
    <w:p>
      <w:pPr>
        <w:ind w:left="288"/>
      </w:pPr>
      <w:r>
        <w:rPr>
          <w:color w:val="8C8C8C"/>
          <w:sz w:val="12"/>
        </w:rPr>
        <w:t>cf-art-40</w:t>
      </w:r>
      <w:r>
        <w:rPr>
          <w:color w:val="003CA0"/>
          <w:sz w:val="12"/>
        </w:rPr>
        <w:t xml:space="preserve"> | ARE 1.069.876</w:t>
      </w:r>
      <w:r>
        <w:rPr>
          <w:color w:val="003CA0"/>
          <w:sz w:val="12"/>
        </w:rPr>
        <w:t xml:space="preserve"> | rel. Dias Toffoli</w:t>
      </w:r>
    </w:p>
    <w:p>
      <w:pPr>
        <w:ind w:left="288"/>
      </w:pPr>
      <w:r>
        <w:rPr>
          <w:color w:val="1E1E1E"/>
          <w:sz w:val="18"/>
        </w:rPr>
        <w:t>Servidores públicos detentores da estabilidade excepcional do art. 19 do ADCT. Inclusão no regime próprio de previdência social. Impossibilidade. (...) Os servidores abrangidos pela estabilidade excepcional prevista no art. 19 do ADCT não se equiparam aos servidores efetivos, os quais foram aprovados em concurso público. Aqueles possuem somente o direito de permanecer no serviço público nos cargos em que foram admitidos, não tendo direito aos benefícios privativos dos servidores efetivos. Conforme consta do art. 40 da CF, com a redação dada pela EC 42/2003, pertencem ao regime próprio de previ</w:t>
      </w:r>
    </w:p>
    <w:p>
      <w:pPr>
        <w:ind w:left="288"/>
      </w:pPr>
      <w:r>
        <w:rPr>
          <w:b/>
          <w:color w:val="003CA0"/>
          <w:sz w:val="16"/>
        </w:rPr>
        <w:t>[ARE 1.069.876 AgR, rel. min. Dias Toffoli, j. 27-10-2017, 2ª T, DJE de 13-11-2017.]</w:t>
      </w:r>
    </w:p>
    <w:p>
      <w:pPr>
        <w:ind w:left="288"/>
      </w:pPr>
      <w:r>
        <w:rPr>
          <w:color w:val="8C8C8C"/>
          <w:sz w:val="12"/>
        </w:rPr>
        <w:t>cf-art-40</w:t>
      </w:r>
      <w:r>
        <w:rPr>
          <w:color w:val="003CA0"/>
          <w:sz w:val="12"/>
        </w:rPr>
        <w:t xml:space="preserve"> | RE 1.381.137</w:t>
      </w:r>
      <w:r>
        <w:rPr>
          <w:color w:val="003CA0"/>
          <w:sz w:val="12"/>
        </w:rPr>
        <w:t xml:space="preserve"> | rel. Alexandre de Moraes</w:t>
      </w:r>
    </w:p>
    <w:p>
      <w:pPr>
        <w:ind w:left="288"/>
      </w:pPr>
      <w:r>
        <w:rPr>
          <w:color w:val="1E1E1E"/>
          <w:sz w:val="18"/>
        </w:rPr>
        <w:t>= RE 1.381.137 AgR, rel. min. Alexandre de Moraes, red. do ac. min. Roberto Barroso, j. 16-8-2022, 1ª T, DJE de 29-8-2022 O princípio da solidariedade se presta a universalizar o âmbito de potenciais contribuintes, mitigando a referibilidade que é própria das contribuições. Não se presta o referido postulado a legitimar distorções na base de cálculo das contribuições, as quais, no intuito desmedido de arrecadar, acarretam o desvirtuamento da natureza retributiva que deve marcar os regimes de previdência.</w:t>
        <w:br/>
        <w:t>[ARE 669.573 AgR, rel. min. Roberto Barroso, j. 4-8-2015, 1ª T, DJE de 26-8-2015.] O servi</w:t>
      </w:r>
    </w:p>
    <w:p>
      <w:pPr>
        <w:ind w:left="288"/>
      </w:pPr>
      <w:r>
        <w:rPr>
          <w:b/>
          <w:color w:val="003CA0"/>
          <w:sz w:val="16"/>
        </w:rPr>
        <w:t>[MS 27.215 AgR, rel. min. Luiz Fux, j. 10-4-2014, P, DJE de 5-5-2014.]</w:t>
      </w:r>
    </w:p>
    <w:p>
      <w:pPr>
        <w:ind w:left="288"/>
      </w:pPr>
      <w:r>
        <w:rPr>
          <w:color w:val="8C8C8C"/>
          <w:sz w:val="12"/>
        </w:rPr>
        <w:t>cf-art-40</w:t>
      </w:r>
      <w:r>
        <w:rPr>
          <w:color w:val="003CA0"/>
          <w:sz w:val="12"/>
        </w:rPr>
        <w:t xml:space="preserve"> | RE 610.290</w:t>
      </w:r>
      <w:r>
        <w:rPr>
          <w:color w:val="003CA0"/>
          <w:sz w:val="12"/>
        </w:rPr>
        <w:t xml:space="preserve"> | rel. Ricardo Lewandowski</w:t>
      </w:r>
    </w:p>
    <w:p>
      <w:pPr>
        <w:ind w:left="288"/>
      </w:pPr>
      <w:r>
        <w:rPr>
          <w:color w:val="1E1E1E"/>
          <w:sz w:val="18"/>
        </w:rPr>
        <w:t>Compete aos Estados-membros dispor sobre os direitos, os deveres, a remuneração, as prerrogativas e outras situações especiais dos militares, inclusive quanto aos direitos previdenciários. O benefício previdenciário instituído em favor dos dependentes de policial militar excluído da corporação representa uma contraprestação às contribuições previdenciárias pagas durante o período efetivamente trabalhado.</w:t>
      </w:r>
    </w:p>
    <w:p>
      <w:pPr>
        <w:ind w:left="288"/>
      </w:pPr>
      <w:r>
        <w:rPr>
          <w:b/>
          <w:color w:val="003CA0"/>
          <w:sz w:val="16"/>
        </w:rPr>
        <w:t>[RE 610.290, rel. min. Ricardo Lewandowski, j. 25-6-2013, 2ª T, DJE de 15-8-2013.]</w:t>
      </w:r>
    </w:p>
    <w:p>
      <w:pPr>
        <w:ind w:left="288"/>
      </w:pPr>
      <w:r>
        <w:rPr>
          <w:color w:val="8C8C8C"/>
          <w:sz w:val="12"/>
        </w:rPr>
        <w:t>cf-art-40</w:t>
      </w:r>
      <w:r>
        <w:rPr>
          <w:color w:val="003CA0"/>
          <w:sz w:val="12"/>
        </w:rPr>
        <w:t xml:space="preserve"> | AI 725.444</w:t>
      </w:r>
      <w:r>
        <w:rPr>
          <w:color w:val="003CA0"/>
          <w:sz w:val="12"/>
        </w:rPr>
        <w:t xml:space="preserve"> | rel. Joaquim Barbosa</w:t>
      </w:r>
    </w:p>
    <w:p>
      <w:pPr>
        <w:ind w:left="288"/>
      </w:pPr>
      <w:r>
        <w:rPr>
          <w:color w:val="1E1E1E"/>
          <w:sz w:val="18"/>
        </w:rPr>
        <w:t>De acordo com a orientação firmada neste Tribunal, o servidor que completou o tempo de serviço para usufruir da licença-prêmio em momento anterior à vigência da EC 20/1998, e não o fez, tem direito a computar em dobro o tempo correspondente à licença para fins de aposentadoria.</w:t>
      </w:r>
    </w:p>
    <w:p>
      <w:pPr>
        <w:ind w:left="288"/>
      </w:pPr>
      <w:r>
        <w:rPr>
          <w:b/>
          <w:color w:val="003CA0"/>
          <w:sz w:val="16"/>
        </w:rPr>
        <w:t>[AI 725.444 AgR, rel. min. Joaquim Barbosa, j. 7-2-2012, 2ª T, DJE de 23-2-2012.]</w:t>
      </w:r>
    </w:p>
    <w:p>
      <w:pPr>
        <w:ind w:left="288"/>
      </w:pPr>
      <w:r>
        <w:rPr>
          <w:color w:val="8C8C8C"/>
          <w:sz w:val="12"/>
        </w:rPr>
        <w:t>cf-art-40</w:t>
      </w:r>
      <w:r>
        <w:rPr>
          <w:color w:val="003CA0"/>
          <w:sz w:val="12"/>
        </w:rPr>
        <w:t xml:space="preserve"> | ADI 2.034</w:t>
      </w:r>
      <w:r>
        <w:rPr>
          <w:color w:val="003CA0"/>
          <w:sz w:val="12"/>
        </w:rPr>
        <w:t xml:space="preserve"> | rel. Sydney Sanches (...). [RE 517.288 AgR</w:t>
      </w:r>
    </w:p>
    <w:p>
      <w:pPr>
        <w:ind w:left="288"/>
      </w:pPr>
      <w:r>
        <w:rPr>
          <w:color w:val="1E1E1E"/>
          <w:sz w:val="18"/>
        </w:rPr>
        <w:t>(...) a alegação de que os critérios de cálculo de alíquota de contribuição previdenciária relativos a equilíbrio financeiro e atuarial deveriam ser necessariamente estabelecidos por lei em sentido formal foi rechaçada pelo Plenário do STF no julgamento da  ADI 2.034 MC, rel. min. Sydney Sanches (...).</w:t>
      </w:r>
    </w:p>
    <w:p>
      <w:pPr>
        <w:ind w:left="288"/>
      </w:pPr>
      <w:r>
        <w:rPr>
          <w:b/>
          <w:color w:val="003CA0"/>
          <w:sz w:val="16"/>
        </w:rPr>
        <w:t>[RE 517.288 AgR, voto da rel. min. Cármen Lúcia, j. 22-2-2011, 1ª T, DJE de 18-3-2011.]</w:t>
      </w:r>
    </w:p>
    <w:p>
      <w:pPr>
        <w:ind w:left="288"/>
      </w:pPr>
      <w:r>
        <w:rPr>
          <w:color w:val="8C8C8C"/>
          <w:sz w:val="12"/>
        </w:rPr>
        <w:t>cf-art-40</w:t>
      </w:r>
      <w:r>
        <w:rPr>
          <w:color w:val="003CA0"/>
          <w:sz w:val="12"/>
        </w:rPr>
        <w:t xml:space="preserve"> | RE 589.441</w:t>
      </w:r>
      <w:r>
        <w:rPr>
          <w:color w:val="003CA0"/>
          <w:sz w:val="12"/>
        </w:rPr>
        <w:t xml:space="preserve"> | rel. Eros Grau</w:t>
      </w:r>
    </w:p>
    <w:p>
      <w:pPr>
        <w:ind w:left="288"/>
      </w:pPr>
      <w:r>
        <w:rPr>
          <w:color w:val="1E1E1E"/>
          <w:sz w:val="18"/>
        </w:rPr>
        <w:t>Contribuição social incidente sobre o abono de incentivo à participação em reuniões pedagógicas. Impossibilidade. Somente as parcelas incorporáveis ao salário do servidor sofrem a incidência da contribuição previdenciária.</w:t>
      </w:r>
    </w:p>
    <w:p>
      <w:pPr>
        <w:ind w:left="288"/>
      </w:pPr>
      <w:r>
        <w:rPr>
          <w:b/>
          <w:color w:val="003CA0"/>
          <w:sz w:val="16"/>
        </w:rPr>
        <w:t>[RE 589.441 AgR, rel. min. Eros Grau, j. 9-12-2008, 2ª T, DJE de 6-2-2009.]</w:t>
      </w:r>
    </w:p>
    <w:p>
      <w:pPr>
        <w:ind w:left="288"/>
      </w:pPr>
      <w:r>
        <w:rPr>
          <w:color w:val="8C8C8C"/>
          <w:sz w:val="12"/>
        </w:rPr>
        <w:t>cf-art-40</w:t>
      </w:r>
      <w:r>
        <w:rPr>
          <w:color w:val="003CA0"/>
          <w:sz w:val="12"/>
        </w:rPr>
        <w:t xml:space="preserve"> | AI 624.554</w:t>
      </w:r>
      <w:r>
        <w:rPr>
          <w:color w:val="003CA0"/>
          <w:sz w:val="12"/>
        </w:rPr>
        <w:t xml:space="preserve"> | rel. Gilmar Mendes</w:t>
      </w:r>
    </w:p>
    <w:p>
      <w:pPr>
        <w:ind w:left="288"/>
      </w:pPr>
      <w:r>
        <w:rPr>
          <w:color w:val="1E1E1E"/>
          <w:sz w:val="18"/>
        </w:rPr>
        <w:t>Servidor público. Aposentadoria. Cômputo do tempo rural. Comprovação do recolhimento da previdência social. Período anterior à EC 20, de 1998. Necessidade.</w:t>
      </w:r>
    </w:p>
    <w:p>
      <w:pPr>
        <w:ind w:left="288"/>
      </w:pPr>
      <w:r>
        <w:rPr>
          <w:b/>
          <w:color w:val="003CA0"/>
          <w:sz w:val="16"/>
        </w:rPr>
        <w:t>[AI 624.554 AgR, rel. min. Gilmar Mendes, j. 30-9-2008, 2ª T, DJE de 21-11-2008.]</w:t>
      </w:r>
    </w:p>
    <w:p>
      <w:pPr>
        <w:ind w:left="288"/>
      </w:pPr>
      <w:r>
        <w:rPr>
          <w:color w:val="8C8C8C"/>
          <w:sz w:val="12"/>
        </w:rPr>
        <w:t>cf-art-40</w:t>
      </w:r>
      <w:r>
        <w:rPr>
          <w:color w:val="003CA0"/>
          <w:sz w:val="12"/>
        </w:rPr>
        <w:t xml:space="preserve"> | ADI 3.105.</w:t>
      </w:r>
      <w:r>
        <w:rPr>
          <w:color w:val="003CA0"/>
          <w:sz w:val="12"/>
        </w:rPr>
        <w:t xml:space="preserve"> | rel. Cármen Lúcia</w:t>
      </w:r>
    </w:p>
    <w:p>
      <w:pPr>
        <w:ind w:left="288"/>
      </w:pPr>
      <w:r>
        <w:rPr>
          <w:color w:val="1E1E1E"/>
          <w:sz w:val="18"/>
        </w:rPr>
        <w:t>Magistrados e pensionistas de magistrados aposentados que entraram na magistratura quando vigente a Constituição da República de 1946. Reiteração dos argumentos de que a EC 20/1998 e a EC 41/2003 não alcançariam os servidores que ingressaram na carreira antes da promulgação da Constituição da República de 1988. Ausência de norma de imunidade tributária absoluta que assegure aos agravantes o direito adquirido de não se sujeitarem à contribuição previdenciária. Descumprimento da ADI 3.105.</w:t>
      </w:r>
    </w:p>
    <w:p>
      <w:pPr>
        <w:ind w:left="288"/>
      </w:pPr>
      <w:r>
        <w:rPr>
          <w:b/>
          <w:color w:val="003CA0"/>
          <w:sz w:val="16"/>
        </w:rPr>
        <w:t>[Rcl 4.486 MC-AgR, rel. min. Cármen Lúcia, j. 28-8-2008, P, DJE de 26-9-2008.]</w:t>
      </w:r>
    </w:p>
    <w:p>
      <w:pPr>
        <w:ind w:left="288"/>
      </w:pPr>
      <w:r>
        <w:rPr>
          <w:color w:val="8C8C8C"/>
          <w:sz w:val="12"/>
        </w:rPr>
        <w:t>cf-art-40</w:t>
      </w:r>
      <w:r>
        <w:rPr>
          <w:color w:val="003CA0"/>
          <w:sz w:val="12"/>
        </w:rPr>
        <w:t xml:space="preserve"> | RE 450.855</w:t>
      </w:r>
      <w:r>
        <w:rPr>
          <w:color w:val="003CA0"/>
          <w:sz w:val="12"/>
        </w:rPr>
        <w:t xml:space="preserve"> | rel. Eros Grau</w:t>
      </w:r>
    </w:p>
    <w:p>
      <w:pPr>
        <w:ind w:left="288"/>
      </w:pPr>
      <w:r>
        <w:rPr>
          <w:color w:val="1E1E1E"/>
          <w:sz w:val="18"/>
        </w:rPr>
        <w:t xml:space="preserve">O sistema público de previdência social é fundamentado no princípio da solidariedade (art. 3º,  I, da Constituição do Brasil/1988), contribuindo os ativos para financiar os benefícios pagos aos inativos. Se todos, inclusive inativos e pensionistas, estão sujeitos ao pagamento das contribuições, bem como aos aumentos de suas alíquotas, seria flagrante a afronta ao princípio da isonomia se o legislador distinguisse, entre os beneficiários, alguns mais e outros menos privilegiados, eis que todos contribuem, conforme as mesmas regras, para financiar o sistema. Se as alterações na legislação sobre </w:t>
      </w:r>
    </w:p>
    <w:p>
      <w:pPr>
        <w:ind w:left="288"/>
      </w:pPr>
      <w:r>
        <w:rPr>
          <w:b/>
          <w:color w:val="003CA0"/>
          <w:sz w:val="16"/>
        </w:rPr>
        <w:t>[RE 450.855 AgR, rel. min. Eros Grau, j. 23-8-2005, 1ª T, DJ de 9-12-2005.]</w:t>
      </w:r>
    </w:p>
    <w:p>
      <w:pPr>
        <w:ind w:left="144"/>
      </w:pPr>
      <w:r>
        <w:rPr>
          <w:b/>
          <w:color w:val="B45A00"/>
          <w:sz w:val="16"/>
        </w:rPr>
        <w:t>REPERCUSSAO GERAL</w:t>
      </w:r>
    </w:p>
    <w:p>
      <w:pPr>
        <w:ind w:left="288"/>
      </w:pPr>
      <w:r>
        <w:rPr>
          <w:color w:val="8C8C8C"/>
          <w:sz w:val="12"/>
        </w:rPr>
        <w:t>cf-art-40-par-1</w:t>
      </w:r>
      <w:r>
        <w:rPr>
          <w:color w:val="003CA0"/>
          <w:sz w:val="12"/>
        </w:rPr>
        <w:t xml:space="preserve"> | RE 590.260</w:t>
      </w:r>
      <w:r>
        <w:rPr>
          <w:color w:val="003CA0"/>
          <w:sz w:val="12"/>
        </w:rPr>
        <w:t xml:space="preserve"> | rel. Ricardo Lewandowski</w:t>
      </w:r>
    </w:p>
    <w:p>
      <w:pPr>
        <w:ind w:left="288"/>
      </w:pPr>
      <w:r>
        <w:rPr>
          <w:color w:val="1E1E1E"/>
          <w:sz w:val="18"/>
        </w:rPr>
        <w:t>Os servidores que ingressaram no serviço público antes da EC 41/2003, mas que se aposentaram após a referida emenda, possuem direito à paridade remuneratória e à integralidade no cálculo de seus proventos, desde que observadas as regras de transição especificadas nos arts. 2º e 3º da EC 47/2005.</w:t>
      </w:r>
    </w:p>
    <w:p>
      <w:pPr>
        <w:ind w:left="288"/>
      </w:pPr>
      <w:r>
        <w:rPr>
          <w:b/>
          <w:color w:val="003CA0"/>
          <w:sz w:val="16"/>
        </w:rPr>
        <w:t>[RE 590.260, rel. min. Ricardo Lewandowski, j. 24-6-2009, P, DJE de 23-10-2009, Tema 139, com mérito julgado.]</w:t>
      </w:r>
    </w:p>
    <w:p>
      <w:pPr>
        <w:ind w:left="144"/>
      </w:pPr>
      <w:r>
        <w:rPr>
          <w:b/>
          <w:color w:val="B45A00"/>
          <w:sz w:val="16"/>
        </w:rPr>
        <w:t>JULGADOS CORRELATOS</w:t>
      </w:r>
    </w:p>
    <w:p>
      <w:pPr>
        <w:ind w:left="288"/>
      </w:pPr>
      <w:r>
        <w:rPr>
          <w:color w:val="8C8C8C"/>
          <w:sz w:val="12"/>
        </w:rPr>
        <w:t>cf-art-40-par-1</w:t>
      </w:r>
      <w:r>
        <w:rPr>
          <w:color w:val="003CA0"/>
          <w:sz w:val="12"/>
        </w:rPr>
        <w:t xml:space="preserve"> | MS 27.615</w:t>
      </w:r>
      <w:r>
        <w:rPr>
          <w:color w:val="003CA0"/>
          <w:sz w:val="12"/>
        </w:rPr>
        <w:t xml:space="preserve"> | rel. Ricardo Lewandowski</w:t>
      </w:r>
    </w:p>
    <w:p>
      <w:pPr>
        <w:ind w:left="288"/>
      </w:pPr>
      <w:r>
        <w:rPr>
          <w:color w:val="1E1E1E"/>
          <w:sz w:val="18"/>
        </w:rPr>
        <w:t>A Súmula 96 do TCU prevê a possibilidade de contagem, para efeito de tempo de serviço, do trabalho prestado por aluno-aprendiz, desde que comprovada sua retribuição pecuniária, para cálculo de concessão do benefício de aposentadoria.</w:t>
      </w:r>
    </w:p>
    <w:p>
      <w:pPr>
        <w:ind w:left="288"/>
      </w:pPr>
      <w:r>
        <w:rPr>
          <w:b/>
          <w:color w:val="003CA0"/>
          <w:sz w:val="16"/>
        </w:rPr>
        <w:t>[MS 27.615 AgR, rel. min. Ricardo Lewandowski, j. 22-5-2014, P, DJE de 13-6-2014.]</w:t>
      </w:r>
    </w:p>
    <w:p>
      <w:pPr>
        <w:ind w:left="288"/>
      </w:pPr>
      <w:r>
        <w:rPr>
          <w:color w:val="8C8C8C"/>
          <w:sz w:val="12"/>
        </w:rPr>
        <w:t>cf-art-40-par-1</w:t>
      </w:r>
      <w:r>
        <w:rPr>
          <w:color w:val="003CA0"/>
          <w:sz w:val="12"/>
        </w:rPr>
        <w:t xml:space="preserve"> | RE 568.377</w:t>
      </w:r>
      <w:r>
        <w:rPr>
          <w:color w:val="003CA0"/>
          <w:sz w:val="12"/>
        </w:rPr>
        <w:t xml:space="preserve"> | rel. Eros Grau</w:t>
      </w:r>
    </w:p>
    <w:p>
      <w:pPr>
        <w:ind w:left="288"/>
      </w:pPr>
      <w:r>
        <w:rPr>
          <w:color w:val="1E1E1E"/>
          <w:sz w:val="18"/>
        </w:rPr>
        <w:t>Se o servidor contribuiu para a Previdência Social no período trabalhado além da data em que poderia ter se aposentado – o que não fez porque ao tempo do requerimento houve controvérsia a respeito da contagem do tempo de serviço, posteriormente dirimida em juízo a favor do servidor –, faz jus à devolução dos valores recolhidos, nos termos da isenção prevista no § 5º do art. 8º da EC 20/1998.</w:t>
      </w:r>
    </w:p>
    <w:p>
      <w:pPr>
        <w:ind w:left="288"/>
      </w:pPr>
      <w:r>
        <w:rPr>
          <w:b/>
          <w:color w:val="003CA0"/>
          <w:sz w:val="16"/>
        </w:rPr>
        <w:t>[RE 568.377, rel. min. Eros Grau, j. 7-10-2008, 2ª T, DJE de 14-11-2008.]</w:t>
      </w:r>
    </w:p>
    <w:p>
      <w:pPr>
        <w:ind w:left="288"/>
      </w:pPr>
      <w:r>
        <w:rPr>
          <w:color w:val="8C8C8C"/>
          <w:sz w:val="12"/>
        </w:rPr>
        <w:t>cf-art-40-par-1</w:t>
      </w:r>
      <w:r>
        <w:rPr>
          <w:color w:val="003CA0"/>
          <w:sz w:val="12"/>
        </w:rPr>
        <w:t xml:space="preserve"> | RMS 24.640</w:t>
      </w:r>
    </w:p>
    <w:p>
      <w:pPr>
        <w:ind w:left="288"/>
      </w:pPr>
      <w:r>
        <w:rPr>
          <w:color w:val="1E1E1E"/>
          <w:sz w:val="18"/>
        </w:rPr>
        <w:t>Descompasso entre o conteúdo de atestado médico oficial e atestado médico particular resolve-se com a predominância do primeiro, do oficial. (...) A repercussão de doença no cálculo dos proventos ou de pensão pressupõe encontrar-se em vigor lei prevendo-a.</w:t>
      </w:r>
    </w:p>
    <w:p>
      <w:pPr>
        <w:ind w:left="288"/>
      </w:pPr>
      <w:r>
        <w:rPr>
          <w:b/>
          <w:color w:val="003CA0"/>
          <w:sz w:val="16"/>
        </w:rPr>
        <w:t>[RMS 24.640, red. do ac. min. Marco Aurélio, j. 23-9-2008, 1ª T, DJE de 27-3-2009.]</w:t>
      </w:r>
    </w:p>
    <w:p>
      <w:pPr>
        <w:ind w:left="288"/>
      </w:pPr>
      <w:r>
        <w:rPr>
          <w:color w:val="8C8C8C"/>
          <w:sz w:val="12"/>
        </w:rPr>
        <w:t>cf-art-40-par-1</w:t>
      </w:r>
      <w:r>
        <w:rPr>
          <w:color w:val="003CA0"/>
          <w:sz w:val="12"/>
        </w:rPr>
        <w:t xml:space="preserve"> | MS 25.552</w:t>
      </w:r>
      <w:r>
        <w:rPr>
          <w:color w:val="003CA0"/>
          <w:sz w:val="12"/>
        </w:rPr>
        <w:t xml:space="preserve"> | rel. Cármen Lúcia</w:t>
      </w:r>
    </w:p>
    <w:p>
      <w:pPr>
        <w:ind w:left="288"/>
      </w:pPr>
      <w:r>
        <w:rPr>
          <w:color w:val="1E1E1E"/>
          <w:sz w:val="18"/>
        </w:rPr>
        <w:t>A redução de proventos de aposentadoria, quando concedida em desacordo com a lei, não ofende o princípio da irredutibilidade de vencimentos.</w:t>
      </w:r>
    </w:p>
    <w:p>
      <w:pPr>
        <w:ind w:left="288"/>
      </w:pPr>
      <w:r>
        <w:rPr>
          <w:b/>
          <w:color w:val="003CA0"/>
          <w:sz w:val="16"/>
        </w:rPr>
        <w:t>[MS 25.552, rel. min. Cármen Lúcia, j. 7-4-2008, P, DJE de 30-5-2008.]</w:t>
      </w:r>
    </w:p>
    <w:p>
      <w:pPr>
        <w:ind w:left="288"/>
      </w:pPr>
      <w:r>
        <w:rPr>
          <w:color w:val="8C8C8C"/>
          <w:sz w:val="12"/>
        </w:rPr>
        <w:t>cf-art-40-par-1</w:t>
      </w:r>
      <w:r>
        <w:rPr>
          <w:color w:val="003CA0"/>
          <w:sz w:val="12"/>
        </w:rPr>
        <w:t xml:space="preserve"> | RE 382.631</w:t>
      </w:r>
      <w:r>
        <w:rPr>
          <w:color w:val="003CA0"/>
          <w:sz w:val="12"/>
        </w:rPr>
        <w:t xml:space="preserve"> | rel. Sepúlveda Pertence</w:t>
      </w:r>
    </w:p>
    <w:p>
      <w:pPr>
        <w:ind w:left="288"/>
      </w:pPr>
      <w:r>
        <w:rPr>
          <w:color w:val="1E1E1E"/>
          <w:sz w:val="18"/>
        </w:rPr>
        <w:t>Servidor público: aposentadoria: proventos: direito adquirido aos proventos conformes a lei regente ao tempo da reunião dos requisitos da inatividade, ainda quando só requerida na vigência da lei posterior menos favorável (Súmula 359, revista).</w:t>
      </w:r>
    </w:p>
    <w:p>
      <w:pPr>
        <w:ind w:left="288"/>
      </w:pPr>
      <w:r>
        <w:rPr>
          <w:b/>
          <w:color w:val="003CA0"/>
          <w:sz w:val="16"/>
        </w:rPr>
        <w:t>[RE 382.631 AgR, rel. min. Sepúlveda Pertence, j. 18-10-2005, 1ª T, DJ de 11-11-2005.]</w:t>
      </w:r>
    </w:p>
    <w:p>
      <w:pPr>
        <w:ind w:left="288"/>
      </w:pPr>
      <w:r>
        <w:rPr>
          <w:color w:val="8C8C8C"/>
          <w:sz w:val="12"/>
        </w:rPr>
        <w:t>cf-art-40-par-1</w:t>
      </w:r>
      <w:r>
        <w:rPr>
          <w:color w:val="003CA0"/>
          <w:sz w:val="12"/>
        </w:rPr>
        <w:t xml:space="preserve"> | MS 26.196</w:t>
      </w:r>
      <w:r>
        <w:rPr>
          <w:color w:val="003CA0"/>
          <w:sz w:val="12"/>
        </w:rPr>
        <w:t xml:space="preserve"> | rel. Ayres Britto</w:t>
      </w:r>
    </w:p>
    <w:p>
      <w:pPr>
        <w:ind w:left="288"/>
      </w:pPr>
      <w:r>
        <w:rPr>
          <w:color w:val="1E1E1E"/>
          <w:sz w:val="18"/>
        </w:rPr>
        <w:t>= MS 26.196, rel. min. Ayres Britto, j. 18-11-2010, P, DJE de 1º-2-2011 I - por incapacidade permanente para o trabalho, no cargo em que estiver investido, quando insuscetível de readaptação, hipótese em que será obrigatória a realização de avaliações periódicas para verificação da continuidade das condições que ensejaram a concessão da aposentadoria, na forma de lei do respectivo ente federativo; (Redação da EC n. 103/2019) “O auxílio-suplementar, concedido à luz do art. 9º da Lei nº 6.367/76, é cumulável com a aposentadoria por invalidez somente se as condições para a concessão dessa tiverem</w:t>
      </w:r>
    </w:p>
    <w:p>
      <w:pPr>
        <w:ind w:left="288"/>
      </w:pPr>
      <w:r>
        <w:rPr>
          <w:b/>
          <w:color w:val="003CA0"/>
          <w:sz w:val="16"/>
        </w:rPr>
        <w:t>[RE 687.813, rel. min. Dias Toffoli, j. 17.02.2025, P, DJE de 21.02.2025, Tema 599, com mérito julgado.]</w:t>
      </w:r>
    </w:p>
    <w:p>
      <w:pPr>
        <w:ind w:left="288"/>
      </w:pPr>
      <w:r>
        <w:rPr>
          <w:color w:val="8C8C8C"/>
          <w:sz w:val="12"/>
        </w:rPr>
        <w:t>cf-art-40-par-1</w:t>
      </w:r>
      <w:r>
        <w:rPr>
          <w:color w:val="003CA0"/>
          <w:sz w:val="12"/>
        </w:rPr>
        <w:t xml:space="preserve"> | RE 1.447.945</w:t>
      </w:r>
      <w:r>
        <w:rPr>
          <w:color w:val="003CA0"/>
          <w:sz w:val="12"/>
        </w:rPr>
        <w:t xml:space="preserve"> | rel. Alexandre de Moraes</w:t>
      </w:r>
    </w:p>
    <w:p>
      <w:pPr>
        <w:ind w:left="288"/>
      </w:pPr>
      <w:r>
        <w:rPr>
          <w:color w:val="1E1E1E"/>
          <w:sz w:val="18"/>
        </w:rPr>
        <w:t>Impossibilidade de o militar, portador assintomático do vírus HIV, ser reformado ex officio por incapacidade definitiva para o serviço ativo das Forças Armadas, somente por esse motivo, antes da alteração legislativa promovida pela Lei 13.954/2019.</w:t>
      </w:r>
    </w:p>
    <w:p>
      <w:pPr>
        <w:ind w:left="288"/>
      </w:pPr>
      <w:r>
        <w:rPr>
          <w:b/>
          <w:color w:val="003CA0"/>
          <w:sz w:val="16"/>
        </w:rPr>
        <w:t>[RE 1.447.945 RG, rel. min. Alexandre de Moraes, j. 09.08.2024, P, DJE de 27.08.2024, Tema 1.310, com mérito pendente.]</w:t>
      </w:r>
    </w:p>
    <w:p>
      <w:pPr>
        <w:ind w:left="144"/>
      </w:pPr>
      <w:r>
        <w:rPr>
          <w:b/>
          <w:color w:val="B45A00"/>
          <w:sz w:val="16"/>
        </w:rPr>
        <w:t>REPERCUSSAO GERAL</w:t>
      </w:r>
    </w:p>
    <w:p>
      <w:pPr>
        <w:ind w:left="288"/>
      </w:pPr>
      <w:r>
        <w:rPr>
          <w:color w:val="8C8C8C"/>
          <w:sz w:val="12"/>
        </w:rPr>
        <w:t>cf-art-40-par-1</w:t>
      </w:r>
      <w:r>
        <w:rPr>
          <w:color w:val="003CA0"/>
          <w:sz w:val="12"/>
        </w:rPr>
        <w:t xml:space="preserve"> | RE 924.456</w:t>
      </w:r>
    </w:p>
    <w:p>
      <w:pPr>
        <w:ind w:left="288"/>
      </w:pPr>
      <w:r>
        <w:rPr>
          <w:color w:val="1E1E1E"/>
          <w:sz w:val="18"/>
        </w:rPr>
        <w:t>Os proventos de aposentadoria por invalidez decorrente de doença grave ou acidente de trabalho (art. 40, § 1º, I, da CF) correspondiam à integralidade da remuneração percebida pelo servidor no momento da aposentação, até o advento da EC 41/2003, a partir de quando o conceito de proventos integrais deixou de ter correspondência com a remuneração recebida em atividade e foi definida pela Lei 10.887/2004 como a média aritmética de 80% da melhores contribuições revertidas pelo servidor ao regime previdenciário. A EC 70/2012 inovou no tratamento da matéria ao introduzir o art. 6º-A no texto da EC 4</w:t>
      </w:r>
    </w:p>
    <w:p>
      <w:pPr>
        <w:ind w:left="144"/>
      </w:pPr>
      <w:r>
        <w:rPr>
          <w:b/>
          <w:color w:val="B45A00"/>
          <w:sz w:val="16"/>
        </w:rPr>
        <w:t>CONTROLE CONCENTRADO</w:t>
      </w:r>
    </w:p>
    <w:p>
      <w:pPr>
        <w:ind w:left="288"/>
      </w:pPr>
      <w:r>
        <w:rPr>
          <w:color w:val="8C8C8C"/>
          <w:sz w:val="12"/>
        </w:rPr>
        <w:t>cf-art-40-par-1</w:t>
      </w:r>
      <w:r>
        <w:rPr>
          <w:color w:val="003CA0"/>
          <w:sz w:val="12"/>
        </w:rPr>
        <w:t xml:space="preserve"> | ADI 5.378</w:t>
      </w:r>
      <w:r>
        <w:rPr>
          <w:color w:val="003CA0"/>
          <w:sz w:val="12"/>
        </w:rPr>
        <w:t xml:space="preserve"> | rel. Edson Fachin</w:t>
      </w:r>
    </w:p>
    <w:p>
      <w:pPr>
        <w:ind w:left="288"/>
      </w:pPr>
      <w:r>
        <w:rPr>
          <w:color w:val="1E1E1E"/>
          <w:sz w:val="18"/>
        </w:rPr>
        <w:t>É inconstitucional norma estadual, editada dentro do período entre a promulgação da Emenda Constitucional n. 88, em 7 de maio de 2015, até a publicação da Lei Complementar n. 152, em 3 de dezembro de 2015, que estende a idade de aposentadoria compulsória para cargos que não estejam expressamente indicados na Constituição Federal.</w:t>
      </w:r>
    </w:p>
    <w:p>
      <w:pPr>
        <w:ind w:left="288"/>
      </w:pPr>
      <w:r>
        <w:rPr>
          <w:b/>
          <w:color w:val="003CA0"/>
          <w:sz w:val="16"/>
        </w:rPr>
        <w:t>[ADI 5.378, rel. min. Edson Fachin, j. 17-12-2022, P, DJE de 2-2-2023.]</w:t>
      </w:r>
    </w:p>
    <w:p>
      <w:pPr>
        <w:ind w:left="288"/>
      </w:pPr>
      <w:r>
        <w:rPr>
          <w:color w:val="8C8C8C"/>
          <w:sz w:val="12"/>
        </w:rPr>
        <w:t>cf-art-40-par-1</w:t>
      </w:r>
      <w:r>
        <w:rPr>
          <w:color w:val="003CA0"/>
          <w:sz w:val="12"/>
        </w:rPr>
        <w:t xml:space="preserve"> | ADI 4.696</w:t>
      </w:r>
      <w:r>
        <w:rPr>
          <w:color w:val="003CA0"/>
          <w:sz w:val="12"/>
        </w:rPr>
        <w:t xml:space="preserve"> | rel. Edson Fachin</w:t>
      </w:r>
    </w:p>
    <w:p>
      <w:pPr>
        <w:ind w:left="288"/>
      </w:pPr>
      <w:r>
        <w:rPr>
          <w:color w:val="1E1E1E"/>
          <w:sz w:val="18"/>
        </w:rPr>
        <w:t>Art. 57, § 1º, II, da Constituição do Estado do Piauí, na redação dada pela EC 32, de 27-10-2011. (...) A modificação da idade para o implemento da aposentadoria compulsória, efetuada pela EC 88/2015, não tem o condão de operar a convalidação superveniente da norma impugnada, persistindo sua inconstitucionalidade. As regras da CF que dispõem sobre aposentadoria dos servidores titulares de cargos efetivos da União, dos Estados, do Distrito Federal e dos Municípios são normas gerais de reprodução obrigatória pelas Constituições dos Estados-membros. A norma impugnada invadiu campo reservado à Uni</w:t>
      </w:r>
    </w:p>
    <w:p>
      <w:pPr>
        <w:ind w:left="288"/>
      </w:pPr>
      <w:r>
        <w:rPr>
          <w:b/>
          <w:color w:val="003CA0"/>
          <w:sz w:val="16"/>
        </w:rPr>
        <w:t>[ADI 4.696, rel. min. Edson Fachin, j. 30-6-2017, P, DJE de 14-9-2017.]</w:t>
      </w:r>
    </w:p>
    <w:p>
      <w:pPr>
        <w:ind w:left="288"/>
      </w:pPr>
      <w:r>
        <w:rPr>
          <w:color w:val="8C8C8C"/>
          <w:sz w:val="12"/>
        </w:rPr>
        <w:t>cf-art-40-par-1</w:t>
      </w:r>
      <w:r>
        <w:rPr>
          <w:color w:val="003CA0"/>
          <w:sz w:val="12"/>
        </w:rPr>
        <w:t xml:space="preserve"> | ADI 5.316</w:t>
      </w:r>
      <w:r>
        <w:rPr>
          <w:color w:val="003CA0"/>
          <w:sz w:val="12"/>
        </w:rPr>
        <w:t xml:space="preserve"> | rel. Luiz Fux</w:t>
      </w:r>
    </w:p>
    <w:p>
      <w:pPr>
        <w:ind w:left="288"/>
      </w:pPr>
      <w:r>
        <w:rPr>
          <w:color w:val="1E1E1E"/>
          <w:sz w:val="18"/>
        </w:rPr>
        <w:t>EC 88/2015. (...) Aposentadoria compulsória aos 75 anos de idade de membros dos tribunais superiores e do TCU. Necessidade de nova sabatina perante o Senado Federal (CRFB, art. 52). Violação à separação dos poderes (CRFB, art. 60, § 4º, III). Ultraje à independência e à imparcialidade do Poder Judiciário. Inconstitucionalidade da expressão "nas condições do art. 52 da Constituição Federal" do art. 100 do ADCT. Sentido da expressão "lei complementar" na nova redação do art. 40, § 1º, II, CRFB. Discussão restrita aos membros do Poder Judiciário. Art. 93, VI, da CRFB. Necessidade de lei complemen</w:t>
      </w:r>
    </w:p>
    <w:p>
      <w:pPr>
        <w:ind w:left="288"/>
      </w:pPr>
      <w:r>
        <w:rPr>
          <w:b/>
          <w:color w:val="003CA0"/>
          <w:sz w:val="16"/>
        </w:rPr>
        <w:t>[ADI 2.602, red. do ac. min. Eros Grau, j. 24-11-2005, P, DJ de 31-3-2006.]</w:t>
      </w:r>
    </w:p>
    <w:p>
      <w:pPr>
        <w:ind w:left="288"/>
      </w:pPr>
      <w:r>
        <w:rPr>
          <w:color w:val="8C8C8C"/>
          <w:sz w:val="12"/>
        </w:rPr>
        <w:t>cf-art-40-par-1</w:t>
      </w:r>
      <w:r>
        <w:rPr>
          <w:color w:val="003CA0"/>
          <w:sz w:val="12"/>
        </w:rPr>
        <w:t xml:space="preserve"> | AI 494.237</w:t>
      </w:r>
      <w:r>
        <w:rPr>
          <w:color w:val="003CA0"/>
          <w:sz w:val="12"/>
        </w:rPr>
        <w:t xml:space="preserve"> | rel. Joaquim Barbosa</w:t>
      </w:r>
    </w:p>
    <w:p>
      <w:pPr>
        <w:ind w:left="288"/>
      </w:pPr>
      <w:r>
        <w:rPr>
          <w:color w:val="1E1E1E"/>
          <w:sz w:val="18"/>
        </w:rPr>
        <w:t>= AI 494.237 AgR, rel. min. Joaquim Barbosa, j. 23-11-2010, 2ª T, DJE de 7-12-2010 Vide RE 556.504 ED, rel. min. Dias Toffoli, j. 10-8-2010, 1ª T, DJE de 25-10-2010</w:t>
        <w:br/>
        <w:t>Vide RE 647.827, rel. min. Gilmar Mendes, j. 15-2-2017, P, DJE de 1º-2-2018, Tema 571</w:t>
      </w:r>
    </w:p>
    <w:p>
      <w:pPr>
        <w:ind w:left="144"/>
      </w:pPr>
      <w:r>
        <w:rPr>
          <w:b/>
          <w:color w:val="B45A00"/>
          <w:sz w:val="16"/>
        </w:rPr>
        <w:t>REPERCUSSAO GERAL</w:t>
      </w:r>
    </w:p>
    <w:p>
      <w:pPr>
        <w:ind w:left="288"/>
      </w:pPr>
      <w:r>
        <w:rPr>
          <w:color w:val="8C8C8C"/>
          <w:sz w:val="12"/>
        </w:rPr>
        <w:t>cf-art-40-par-1</w:t>
      </w:r>
      <w:r>
        <w:rPr>
          <w:color w:val="003CA0"/>
          <w:sz w:val="12"/>
        </w:rPr>
        <w:t xml:space="preserve"> | RE 647.827</w:t>
      </w:r>
      <w:r>
        <w:rPr>
          <w:color w:val="003CA0"/>
          <w:sz w:val="12"/>
        </w:rPr>
        <w:t xml:space="preserve"> | rel. Gilmar Mendes</w:t>
      </w:r>
    </w:p>
    <w:p>
      <w:pPr>
        <w:ind w:left="288"/>
      </w:pPr>
      <w:r>
        <w:rPr>
          <w:color w:val="1E1E1E"/>
          <w:sz w:val="18"/>
        </w:rPr>
        <w:t>Não se aplica a aposentadoria compulsória prevista no art. 40, § 1º, II, da CF aos titulares de serventias judiciais não estatizadas, desde que não sejam ocupantes de cargo público efetivo e não recebam remuneração proveniente dos cofres públicos.</w:t>
      </w:r>
    </w:p>
    <w:p>
      <w:pPr>
        <w:ind w:left="288"/>
      </w:pPr>
      <w:r>
        <w:rPr>
          <w:b/>
          <w:color w:val="003CA0"/>
          <w:sz w:val="16"/>
        </w:rPr>
        <w:t>[RE 647.827, rel. min. Gilmar Mendes, j. 15-2-2017, P, DJE de 1º-2-2018, Tema 571, com mérito julgado.]</w:t>
      </w:r>
    </w:p>
    <w:p>
      <w:pPr>
        <w:ind w:left="288"/>
      </w:pPr>
      <w:r>
        <w:rPr>
          <w:color w:val="8C8C8C"/>
          <w:sz w:val="12"/>
        </w:rPr>
        <w:t>cf-art-40-par-1</w:t>
      </w:r>
      <w:r>
        <w:rPr>
          <w:color w:val="003CA0"/>
          <w:sz w:val="12"/>
        </w:rPr>
        <w:t xml:space="preserve"> | ADI 2.602</w:t>
      </w:r>
      <w:r>
        <w:rPr>
          <w:color w:val="003CA0"/>
          <w:sz w:val="12"/>
        </w:rPr>
        <w:t xml:space="preserve"> | rel. Dias Toffoli</w:t>
      </w:r>
    </w:p>
    <w:p>
      <w:pPr>
        <w:ind w:left="288"/>
      </w:pPr>
      <w:r>
        <w:rPr>
          <w:color w:val="1E1E1E"/>
          <w:sz w:val="18"/>
        </w:rPr>
        <w:t>Vide ADI 2.602, red. do ac. min. Eros Grau, j. 24-11-2005, P, DJ de 31-3-2006 (...) Os servidores ocupantes de cargo exclusivamente em comissão não se submetem à regra da aposentadoria compulsória prevista no art. 40, § 1º, II, da CF, a qual atinge apenas os ocupantes de cargo de provimento efetivo, inexistindo, também, qualquer idade limite para fins de nomeação a cargo em comissão. (...) Ressalvados impedimentos de ordem infraconstitucional, inexiste óbice constitucional a que o servidor efetivo aposentado compulsoriamente permaneça no cargo comissionado que já desempenhava ou a que seja nom</w:t>
      </w:r>
    </w:p>
    <w:p>
      <w:pPr>
        <w:ind w:left="288"/>
      </w:pPr>
      <w:r>
        <w:rPr>
          <w:b/>
          <w:color w:val="003CA0"/>
          <w:sz w:val="16"/>
        </w:rPr>
        <w:t>[RE 786.540, rel. min. Dias Toffoli, j. 15-12-2016, P, DJE de 15-12-2017, Tema 763, com mérito julgado.]</w:t>
      </w:r>
    </w:p>
    <w:p>
      <w:pPr>
        <w:ind w:left="144"/>
      </w:pPr>
      <w:r>
        <w:rPr>
          <w:b/>
          <w:color w:val="B45A00"/>
          <w:sz w:val="16"/>
        </w:rPr>
        <w:t>JULGADOS CORRELATOS</w:t>
      </w:r>
    </w:p>
    <w:p>
      <w:pPr>
        <w:ind w:left="288"/>
      </w:pPr>
      <w:r>
        <w:rPr>
          <w:color w:val="8C8C8C"/>
          <w:sz w:val="12"/>
        </w:rPr>
        <w:t>cf-art-40-par-1</w:t>
      </w:r>
      <w:r>
        <w:rPr>
          <w:color w:val="003CA0"/>
          <w:sz w:val="12"/>
        </w:rPr>
        <w:t xml:space="preserve"> | ADI 5.316</w:t>
      </w:r>
      <w:r>
        <w:rPr>
          <w:color w:val="003CA0"/>
          <w:sz w:val="12"/>
        </w:rPr>
        <w:t xml:space="preserve"> | rel. Dias Toffoli</w:t>
      </w:r>
    </w:p>
    <w:p>
      <w:pPr>
        <w:ind w:left="288"/>
      </w:pPr>
      <w:r>
        <w:rPr>
          <w:color w:val="1E1E1E"/>
          <w:sz w:val="18"/>
        </w:rPr>
        <w:t>Pretensão de reversão de aposentadoria compulsória de membro septuagenário do MPU, aposentado compulsoriamente antes do advento da LC 152/2015. A singularidade do instituto da reversão, prevista na Seção VIII do Capítulo I do Título II da Lei 8.112/1990, não se presta para satisfazer a pretensão de retorno à atividade de servidores já aposentados compulsoriamente. (...) A mudança de parâmetro etário trazida pela EC 88/2015 não retira a condição de ato jurídico perfeito de aposentação compulsória, levada a efeito em momento pretérito. (...) Não há falar em afronta ao princípio constitucional da</w:t>
      </w:r>
    </w:p>
    <w:p>
      <w:pPr>
        <w:ind w:left="288"/>
      </w:pPr>
      <w:r>
        <w:rPr>
          <w:b/>
          <w:color w:val="003CA0"/>
          <w:sz w:val="16"/>
        </w:rPr>
        <w:t>[ADI 7.727 MC-REF, rel. min. Flávio Dino, j. 25.04.2025, P, DJE de 07.05.2025.]</w:t>
      </w:r>
    </w:p>
    <w:p>
      <w:pPr>
        <w:ind w:left="144"/>
      </w:pPr>
      <w:r>
        <w:rPr>
          <w:b/>
          <w:color w:val="B45A00"/>
          <w:sz w:val="16"/>
        </w:rPr>
        <w:t>CONTROLE CONCENTRADO</w:t>
      </w:r>
    </w:p>
    <w:p>
      <w:pPr>
        <w:ind w:left="288"/>
      </w:pPr>
      <w:r>
        <w:rPr>
          <w:color w:val="8C8C8C"/>
          <w:sz w:val="12"/>
        </w:rPr>
        <w:t>cf-art-40-par-1</w:t>
      </w:r>
      <w:r>
        <w:rPr>
          <w:color w:val="003CA0"/>
          <w:sz w:val="12"/>
        </w:rPr>
        <w:t xml:space="preserve"> | ADI 6.591</w:t>
      </w:r>
      <w:r>
        <w:rPr>
          <w:color w:val="003CA0"/>
          <w:sz w:val="12"/>
        </w:rPr>
        <w:t xml:space="preserve"> | rel. Edson Fachin</w:t>
      </w:r>
    </w:p>
    <w:p>
      <w:pPr>
        <w:ind w:left="288"/>
      </w:pPr>
      <w:r>
        <w:rPr>
          <w:color w:val="1E1E1E"/>
          <w:sz w:val="18"/>
        </w:rPr>
        <w:t>A possibilidade de cumulação de sanções e a vinculação da Administração indicam que é constitucional a previsão legal que impede a exoneração a pedido e a aposentadoria voluntária de servidor que responde a processo disciplinar. (...) Em caso de inobservância de prazo razoável para a conclusão de processo administrativo disciplinar, não há falar em ilegalidade na concessão de aposentadoria ao servidor investigado.</w:t>
        <w:br/>
        <w:t>[ADI 6.591, rel. min. Edson Fachin, j. 3-5-2023, P, DJE de 22-5-2023.]</w:t>
      </w:r>
    </w:p>
    <w:p>
      <w:pPr>
        <w:ind w:left="144"/>
      </w:pPr>
      <w:r>
        <w:rPr>
          <w:b/>
          <w:color w:val="B45A00"/>
          <w:sz w:val="16"/>
        </w:rPr>
        <w:t>REPERCUSSAO GERAL</w:t>
      </w:r>
    </w:p>
    <w:p>
      <w:pPr>
        <w:ind w:left="288"/>
      </w:pPr>
      <w:r>
        <w:rPr>
          <w:color w:val="8C8C8C"/>
          <w:sz w:val="12"/>
        </w:rPr>
        <w:t>cf-art-40-par-1</w:t>
      </w:r>
      <w:r>
        <w:rPr>
          <w:color w:val="003CA0"/>
          <w:sz w:val="12"/>
        </w:rPr>
        <w:t xml:space="preserve"> | RE 1.322.195</w:t>
      </w:r>
      <w:r>
        <w:rPr>
          <w:color w:val="003CA0"/>
          <w:sz w:val="12"/>
        </w:rPr>
        <w:t xml:space="preserve"> | rel. Luiz Fux</w:t>
      </w:r>
    </w:p>
    <w:p>
      <w:pPr>
        <w:ind w:left="288"/>
      </w:pPr>
      <w:r>
        <w:rPr>
          <w:color w:val="1E1E1E"/>
          <w:sz w:val="18"/>
        </w:rPr>
        <w:t>A promoção por acesso de servidor a classe distinta na carreira não representa ascensão a cargo diverso daquele em que já estava efetivado, de modo que, para fins de aposentadoria, o prazo mínimo de cinco anos no cargo efetivo, exigido pelo artigo 40, § 1º, inciso III, da Constituição Federal, na redação da Emenda Constitucional 20/1998, e pelos artigos 6º da Emenda Constitucional 41/2003 e 3º da Emenda Constitucional 47/2005, não recomeça a contar pela alteração de classe.</w:t>
      </w:r>
    </w:p>
    <w:p>
      <w:pPr>
        <w:ind w:left="288"/>
      </w:pPr>
      <w:r>
        <w:rPr>
          <w:b/>
          <w:color w:val="003CA0"/>
          <w:sz w:val="16"/>
        </w:rPr>
        <w:t>[RE 1.322.195, rel. min. Luiz Fux, j. 31-3-2022, P, DJE de 5-4-2022, Tema 1.207, com mérito julgado e reafirmação de jurisprudência.]</w:t>
      </w:r>
    </w:p>
    <w:p>
      <w:pPr>
        <w:ind w:left="288"/>
      </w:pPr>
      <w:r>
        <w:rPr>
          <w:color w:val="8C8C8C"/>
          <w:sz w:val="12"/>
        </w:rPr>
        <w:t>cf-art-40-par-2</w:t>
      </w:r>
      <w:r>
        <w:rPr>
          <w:color w:val="003CA0"/>
          <w:sz w:val="12"/>
        </w:rPr>
        <w:t xml:space="preserve"> | RE 1.303.874</w:t>
      </w:r>
      <w:r>
        <w:rPr>
          <w:color w:val="003CA0"/>
          <w:sz w:val="12"/>
        </w:rPr>
        <w:t xml:space="preserve"> | rel. Luiz Fux</w:t>
      </w:r>
    </w:p>
    <w:p>
      <w:pPr>
        <w:ind w:left="288"/>
      </w:pPr>
      <w:r>
        <w:rPr>
          <w:color w:val="1E1E1E"/>
          <w:sz w:val="18"/>
        </w:rPr>
        <w:t>Assentada a inconstitucionalidade do artigo 23, § 4º, da Lei 21.710/2015 do Estado de Minas Gerais, por autorizar pagamento de proventos de aposentadoria em montante superior ao que o servidor percebia no cargo efetivo, não possui repercussão geral a controvérsia relativa à necessidade de comprovação, em concreto, da inobservância do disposto no artigo 40, § 2º, da Constituição Federal (na redação dada pela Emenda Constitucional 20/1998).</w:t>
        <w:br/>
        <w:t>[RE 1.303.874 RG, rel. min. Luiz Fux, j. 17-6-2021, P, DJE de 22-6-2021, Tema 1.152, com repercussão geral negada.]</w:t>
      </w:r>
    </w:p>
    <w:p>
      <w:pPr>
        <w:ind w:left="144"/>
      </w:pPr>
      <w:r>
        <w:rPr>
          <w:b/>
          <w:color w:val="B45A00"/>
          <w:sz w:val="16"/>
        </w:rPr>
        <w:t>JULGADOS CORRELATOS</w:t>
      </w:r>
    </w:p>
    <w:p>
      <w:pPr>
        <w:ind w:left="288"/>
      </w:pPr>
      <w:r>
        <w:rPr>
          <w:color w:val="8C8C8C"/>
          <w:sz w:val="12"/>
        </w:rPr>
        <w:t>cf-art-40-par-3</w:t>
      </w:r>
      <w:r>
        <w:rPr>
          <w:color w:val="003CA0"/>
          <w:sz w:val="12"/>
        </w:rPr>
        <w:t xml:space="preserve"> | MS 25.494</w:t>
      </w:r>
      <w:r>
        <w:rPr>
          <w:color w:val="003CA0"/>
          <w:sz w:val="12"/>
        </w:rPr>
        <w:t xml:space="preserve"> | rel. Ricardo Lewandowski</w:t>
      </w:r>
    </w:p>
    <w:p>
      <w:pPr>
        <w:ind w:left="288"/>
      </w:pPr>
      <w:r>
        <w:rPr>
          <w:color w:val="1E1E1E"/>
          <w:sz w:val="18"/>
        </w:rPr>
        <w:t>Aposentadoria de servidor público. Emenda Constitucional nº 41/03. Artigo 40, § 3º, da CF. Lei nº 10.887/04. Base de cálculo. Contribuição previdenciária. Parcela variável de gratificação de desempenho. Contribuição social do servidor público. Incidência sobre a totalidade da base de contribuição. Artigo 4º, § 1º, da Lei nº 10.887/04.</w:t>
        <w:br/>
        <w:t>[MS 25.494, rel. min. Ricardo Lewandowski, red. do ac. min. Dias Toffoli, j. 26-6-7-2023, 1ª T, DJE de 30-8-2023.]</w:t>
      </w:r>
    </w:p>
    <w:p>
      <w:pPr>
        <w:ind w:left="288"/>
      </w:pPr>
      <w:r>
        <w:rPr>
          <w:color w:val="8C8C8C"/>
          <w:sz w:val="12"/>
        </w:rPr>
        <w:t>cf-art-40-par-4</w:t>
      </w:r>
      <w:r>
        <w:rPr>
          <w:color w:val="003CA0"/>
          <w:sz w:val="12"/>
        </w:rPr>
        <w:t xml:space="preserve"> | ADI 7.676</w:t>
      </w:r>
      <w:r>
        <w:rPr>
          <w:color w:val="003CA0"/>
          <w:sz w:val="12"/>
        </w:rPr>
        <w:t xml:space="preserve"> | rel. Flávio Dino</w:t>
      </w:r>
    </w:p>
    <w:p>
      <w:pPr>
        <w:ind w:left="288"/>
      </w:pPr>
      <w:r>
        <w:rPr>
          <w:color w:val="1E1E1E"/>
          <w:sz w:val="18"/>
        </w:rPr>
        <w:t>Aposentadoria de servidores públicos do estado de São Paulo. (...) LC nº 1.354/2020 do estado de São Paulo. Emenda constitucional estadual nº 49/2020. Critério da permanência no nível ou na classe. Inaplicabilidade. Emenda constitucional nº 103/2019. (...) A jurisprudência do STF, consolidada nos Temas nº 578 e nº 1207 de Repercussão Geral, assenta que o requisito do tempo no cargo, para fins de aposentadoria, deve ser interpretado como tempo de permanência na carreira, não sendo exigível lapso temporal específico em determinado nível ou classe. (...) A EC nº 103/2019 não alterou o entendiment</w:t>
      </w:r>
    </w:p>
    <w:p>
      <w:pPr>
        <w:ind w:left="288"/>
      </w:pPr>
      <w:r>
        <w:rPr>
          <w:b/>
          <w:color w:val="003CA0"/>
          <w:sz w:val="16"/>
        </w:rPr>
        <w:t>[ADI 7.676, rel. min. Flávio Dino, j. 05.11.2025, P, DJE de 12.11.2025.]</w:t>
      </w:r>
    </w:p>
    <w:p>
      <w:pPr>
        <w:ind w:left="288"/>
      </w:pPr>
      <w:r>
        <w:rPr>
          <w:color w:val="8C8C8C"/>
          <w:sz w:val="12"/>
        </w:rPr>
        <w:t>cf-art-40-par-4</w:t>
      </w:r>
      <w:r>
        <w:rPr>
          <w:color w:val="003CA0"/>
          <w:sz w:val="12"/>
        </w:rPr>
        <w:t xml:space="preserve"> | MI 1.271</w:t>
      </w:r>
      <w:r>
        <w:rPr>
          <w:color w:val="003CA0"/>
          <w:sz w:val="12"/>
        </w:rPr>
        <w:t xml:space="preserve"> | rel. Luiz Fux</w:t>
      </w:r>
    </w:p>
    <w:p>
      <w:pPr>
        <w:ind w:left="288"/>
      </w:pPr>
      <w:r>
        <w:rPr>
          <w:color w:val="1E1E1E"/>
          <w:sz w:val="18"/>
        </w:rPr>
        <w:t>Compete ao ente federado a que se vincula o servidor cobrir eventual insuficiência financeira decorrente do pagamento de benefícios previstos nos regimes próprios de previdência dos servidores públicos, lógica que se aplica ao custeio das aposentadorias especiais, afastando-se a incidência do art. 195, § 5º, da CF.</w:t>
      </w:r>
    </w:p>
    <w:p>
      <w:pPr>
        <w:ind w:left="288"/>
      </w:pPr>
      <w:r>
        <w:rPr>
          <w:b/>
          <w:color w:val="003CA0"/>
          <w:sz w:val="16"/>
        </w:rPr>
        <w:t>[MI 1.271 AgR, rel. min. Luiz Fux, j. 24-10-2013, P, DJE de 21-11-2013.]</w:t>
      </w:r>
    </w:p>
    <w:p>
      <w:pPr>
        <w:ind w:left="288"/>
      </w:pPr>
      <w:r>
        <w:rPr>
          <w:color w:val="8C8C8C"/>
          <w:sz w:val="12"/>
        </w:rPr>
        <w:t>cf-art-40-par-4</w:t>
      </w:r>
      <w:r>
        <w:rPr>
          <w:color w:val="003CA0"/>
          <w:sz w:val="12"/>
        </w:rPr>
        <w:t xml:space="preserve"> | MI 5.071</w:t>
      </w:r>
      <w:r>
        <w:rPr>
          <w:color w:val="003CA0"/>
          <w:sz w:val="12"/>
        </w:rPr>
        <w:t xml:space="preserve"> | rel. Cármen Lúcia</w:t>
      </w:r>
    </w:p>
    <w:p>
      <w:pPr>
        <w:ind w:left="288"/>
      </w:pPr>
      <w:r>
        <w:rPr>
          <w:color w:val="1E1E1E"/>
          <w:sz w:val="18"/>
        </w:rPr>
        <w:t>Autoridade administrativa não necessita de decisão em mandado de injunção em favor de servidor público para simples verificação se ele preenche, ou não, os requisitos necessários para a aposentadoria especial (art. 57 da Lei 8.213/1991).</w:t>
      </w:r>
    </w:p>
    <w:p>
      <w:pPr>
        <w:ind w:left="288"/>
      </w:pPr>
      <w:r>
        <w:rPr>
          <w:b/>
          <w:color w:val="003CA0"/>
          <w:sz w:val="16"/>
        </w:rPr>
        <w:t>[MI 5.071 AgR, rel. min. Cármen Lúcia, j. 8-5-2013, P, DJE de 28-5-2013.]</w:t>
      </w:r>
    </w:p>
    <w:p>
      <w:pPr>
        <w:ind w:left="288"/>
      </w:pPr>
      <w:r>
        <w:rPr>
          <w:color w:val="8C8C8C"/>
          <w:sz w:val="12"/>
        </w:rPr>
        <w:t>cf-art-40-par-4</w:t>
      </w:r>
      <w:r>
        <w:rPr>
          <w:color w:val="003CA0"/>
          <w:sz w:val="12"/>
        </w:rPr>
        <w:t xml:space="preserve"> | MI 1.286</w:t>
      </w:r>
      <w:r>
        <w:rPr>
          <w:color w:val="003CA0"/>
          <w:sz w:val="12"/>
        </w:rPr>
        <w:t xml:space="preserve"> | rel. Cármen Lúcia</w:t>
      </w:r>
    </w:p>
    <w:p>
      <w:pPr>
        <w:ind w:left="288"/>
      </w:pPr>
      <w:r>
        <w:rPr>
          <w:color w:val="1E1E1E"/>
          <w:sz w:val="18"/>
        </w:rPr>
        <w:t>A autoridade administrativa responsável pelo exame do pedido de aposentadoria é competente para aferir, no caso concreto, o preenchimento de todos os requisitos para a aposentação previstos no ordenamento jurídico vigente.</w:t>
      </w:r>
    </w:p>
    <w:p>
      <w:pPr>
        <w:ind w:left="288"/>
      </w:pPr>
      <w:r>
        <w:rPr>
          <w:b/>
          <w:color w:val="003CA0"/>
          <w:sz w:val="16"/>
        </w:rPr>
        <w:t>[MI 1.286 ED, rel. min. Cármen Lúcia, j. 18-12-2009, P, DJE de 19-2-2010.]</w:t>
      </w:r>
    </w:p>
    <w:p>
      <w:pPr>
        <w:ind w:left="288"/>
      </w:pPr>
      <w:r>
        <w:rPr>
          <w:color w:val="8C8C8C"/>
          <w:sz w:val="12"/>
        </w:rPr>
        <w:t>cf-art-40-par-4</w:t>
      </w:r>
      <w:r>
        <w:rPr>
          <w:color w:val="003CA0"/>
          <w:sz w:val="12"/>
        </w:rPr>
        <w:t xml:space="preserve"> | MI 3.564</w:t>
      </w:r>
      <w:r>
        <w:rPr>
          <w:color w:val="003CA0"/>
          <w:sz w:val="12"/>
        </w:rPr>
        <w:t xml:space="preserve"> | rel. Ricardo Lewandowski</w:t>
      </w:r>
    </w:p>
    <w:p>
      <w:pPr>
        <w:ind w:left="288"/>
      </w:pPr>
      <w:r>
        <w:rPr>
          <w:color w:val="1E1E1E"/>
          <w:sz w:val="18"/>
        </w:rPr>
        <w:t>= MI 3.564 AgR, rel. min. Ricardo Lewandowski, j. 17-10-2013, P, DJE de 18-11-2013 § 5º Os ocupantes do cargo de professor terão idade mínima reduzida em 5 (cinco) anos em relação às idades decorrentes da aplicação do disposto no inciso III do § 1º, desde que comprovem tempo de efetivo exercício das funções de magistério na educação infantil e no ensino fundamental e médio fixado em lei complementar do respectivo ente federativo. (Redação da EC n. 103/2019)</w:t>
      </w:r>
    </w:p>
    <w:p>
      <w:pPr>
        <w:ind w:left="144"/>
      </w:pPr>
      <w:r>
        <w:rPr>
          <w:b/>
          <w:color w:val="B45A00"/>
          <w:sz w:val="16"/>
        </w:rPr>
        <w:t>CONTROLE CONCENTRADO</w:t>
      </w:r>
    </w:p>
    <w:p>
      <w:pPr>
        <w:ind w:left="288"/>
      </w:pPr>
      <w:r>
        <w:rPr>
          <w:color w:val="8C8C8C"/>
          <w:sz w:val="12"/>
        </w:rPr>
        <w:t>cf-art-40-par-4</w:t>
      </w:r>
      <w:r>
        <w:rPr>
          <w:color w:val="003CA0"/>
          <w:sz w:val="12"/>
        </w:rPr>
        <w:t xml:space="preserve"> | ADI 856</w:t>
      </w:r>
      <w:r>
        <w:rPr>
          <w:color w:val="003CA0"/>
          <w:sz w:val="12"/>
        </w:rPr>
        <w:t xml:space="preserve"> | rel. Luiz Fux</w:t>
      </w:r>
    </w:p>
    <w:p>
      <w:pPr>
        <w:ind w:left="288"/>
      </w:pPr>
      <w:r>
        <w:rPr>
          <w:color w:val="1E1E1E"/>
          <w:sz w:val="18"/>
        </w:rPr>
        <w:t>O art. 40, III, b, da Constituição, na sua redação original, da mesma forma que o texto atual do parágrafo quinto do mesmo artigo, consagra redução no tempo de serviço necessário à aposentadoria do professor que comprove exclusivamente tempo de efetivo exercício das funções de magistério, sendo certo que a fixação de requisitos para a concessão de aposentadoria especial é matéria de competência legislativa da União, consoante os artigos 22, XXIII e XXIV, e 24, XII e § 1º, da Constituição.</w:t>
        <w:br/>
        <w:t>[ADI 856, rel. min. Luiz Fux, j. 4-9-2023, P, DJE de 2-10-2023.] Ação direta de inconstitucionalidade mane</w:t>
      </w:r>
    </w:p>
    <w:p>
      <w:pPr>
        <w:ind w:left="144"/>
      </w:pPr>
      <w:r>
        <w:rPr>
          <w:b/>
          <w:color w:val="B45A00"/>
          <w:sz w:val="16"/>
        </w:rPr>
        <w:t>REPERCUSSAO GERAL</w:t>
      </w:r>
    </w:p>
    <w:p>
      <w:pPr>
        <w:ind w:left="288"/>
      </w:pPr>
      <w:r>
        <w:rPr>
          <w:color w:val="8C8C8C"/>
          <w:sz w:val="12"/>
        </w:rPr>
        <w:t>cf-art-40-par-4</w:t>
      </w:r>
      <w:r>
        <w:rPr>
          <w:color w:val="003CA0"/>
          <w:sz w:val="12"/>
        </w:rPr>
        <w:t xml:space="preserve"> | RE 1.039.644</w:t>
      </w:r>
      <w:r>
        <w:rPr>
          <w:color w:val="003CA0"/>
          <w:sz w:val="12"/>
        </w:rPr>
        <w:t xml:space="preserve"> | rel. Alexandre de Moraes</w:t>
      </w:r>
    </w:p>
    <w:p>
      <w:pPr>
        <w:ind w:left="288"/>
      </w:pPr>
      <w:r>
        <w:rPr>
          <w:color w:val="1E1E1E"/>
          <w:sz w:val="18"/>
        </w:rPr>
        <w:t>Para a concessão da aposentadoria especial de que trata o art. 40, § 5º, da Constituição, conta-se o tempo de efetivo exercício, pelo professor, da docência e das atividades de direção de unidade escolar e de coordenação e assessoramento pedagógico, desde que em estabelecimentos de educação infantil ou de ensino fundamental e médio.</w:t>
        <w:br/>
        <w:t>[RE 1.039.644 RG, rel. min. Alexandre de Moraes, j. 13-10-2017, P, DJE de 13-11-2017, Tema 965, com mérito julgado.]</w:t>
        <w:br/>
        <w:t>= ADI 3.772, red. do ac. min. Ricardo Lewandowski, j. 29-10-2008, P, DJE de 29-10-2009 Atualmente, o § 8º do art. 201 do Texto Constitucional dispõe</w:t>
      </w:r>
    </w:p>
    <w:p>
      <w:pPr>
        <w:ind w:left="288"/>
      </w:pPr>
      <w:r>
        <w:rPr>
          <w:b/>
          <w:color w:val="003CA0"/>
          <w:sz w:val="16"/>
        </w:rPr>
        <w:t>[RE 1.520.559 AgR, rel. min. André Mendonça, j. 25.08.2025, 1ª T, DJE de 29.08.2025.]</w:t>
      </w:r>
    </w:p>
    <w:p>
      <w:pPr>
        <w:ind w:left="144"/>
      </w:pPr>
      <w:r>
        <w:rPr>
          <w:b/>
          <w:color w:val="B45A00"/>
          <w:sz w:val="16"/>
        </w:rPr>
        <w:t>JULGADOS CORRELATOS</w:t>
      </w:r>
    </w:p>
    <w:p>
      <w:pPr>
        <w:ind w:left="288"/>
      </w:pPr>
      <w:r>
        <w:rPr>
          <w:color w:val="8C8C8C"/>
          <w:sz w:val="12"/>
        </w:rPr>
        <w:t>cf-art-40-par-4</w:t>
      </w:r>
      <w:r>
        <w:rPr>
          <w:color w:val="003CA0"/>
          <w:sz w:val="12"/>
        </w:rPr>
        <w:t xml:space="preserve"> | ARE 742.005</w:t>
      </w:r>
      <w:r>
        <w:rPr>
          <w:color w:val="003CA0"/>
          <w:sz w:val="12"/>
        </w:rPr>
        <w:t xml:space="preserve"> | rel. Teori Zavascki</w:t>
      </w:r>
    </w:p>
    <w:p>
      <w:pPr>
        <w:ind w:left="288"/>
      </w:pPr>
      <w:r>
        <w:rPr>
          <w:color w:val="1E1E1E"/>
          <w:sz w:val="18"/>
        </w:rPr>
        <w:t>No regime anterior à EC 18/1981, a atividade de professor era considerada como especial (Decreto 53.831/1964, Anexo, item 2.1.4). Foi a partir dessa emenda que a aposentadoria do professor passou a ser espécie de benefício por tempo de contribuição, com o requisito etário reduzido, e não mais uma aposentadoria especial.</w:t>
      </w:r>
    </w:p>
    <w:p>
      <w:pPr>
        <w:ind w:left="288"/>
      </w:pPr>
      <w:r>
        <w:rPr>
          <w:b/>
          <w:color w:val="003CA0"/>
          <w:sz w:val="16"/>
        </w:rPr>
        <w:t>[ARE 742.005 AgR, rel. min. Teori Zavascki, j. 18-3-2014, 2ª T, DJE de 1º-4-2014.]</w:t>
        <w:br/>
        <w:t>= ARE 703.550 RG, rel. min. Gilmar Mendes, j. 2-10-2014, P, DJE de 21-10-2014, Tema 772</w:t>
      </w:r>
    </w:p>
    <w:p>
      <w:pPr>
        <w:ind w:left="288"/>
      </w:pPr>
      <w:r>
        <w:rPr>
          <w:color w:val="8C8C8C"/>
          <w:sz w:val="12"/>
        </w:rPr>
        <w:t>cf-art-40-par-4</w:t>
      </w:r>
      <w:r>
        <w:rPr>
          <w:color w:val="003CA0"/>
          <w:sz w:val="12"/>
        </w:rPr>
        <w:t xml:space="preserve"> | ADI 3.772</w:t>
      </w:r>
    </w:p>
    <w:p>
      <w:pPr>
        <w:ind w:left="288"/>
      </w:pPr>
      <w:r>
        <w:rPr>
          <w:color w:val="1E1E1E"/>
          <w:sz w:val="18"/>
        </w:rPr>
        <w:t>Vide ADI 3.772, red. do ac. min. Ricardo Lewandowski, j. 29-10-2008, P, DJE de 29-10-2009 § 6º Ressalvadas as aposentadorias decorrentes dos cargos acumuláveis na forma desta Constituição, é vedada a percepção de mais de uma aposentadoria à conta de regime próprio de previdência social, aplicando-se outras vedações, regras e condições para a acumulação de benefícios previdenciários estabelecidas no Regime Geral de Previdência Social. (Redação da EC n. 103/2019)</w:t>
      </w:r>
    </w:p>
    <w:p>
      <w:pPr>
        <w:ind w:left="144"/>
      </w:pPr>
      <w:r>
        <w:rPr>
          <w:b/>
          <w:color w:val="B45A00"/>
          <w:sz w:val="16"/>
        </w:rPr>
        <w:t>REPERCUSSAO GERAL</w:t>
      </w:r>
    </w:p>
    <w:p>
      <w:pPr>
        <w:ind w:left="288"/>
      </w:pPr>
      <w:r>
        <w:rPr>
          <w:color w:val="8C8C8C"/>
          <w:sz w:val="12"/>
        </w:rPr>
        <w:t>cf-art-40-par-4</w:t>
      </w:r>
      <w:r>
        <w:rPr>
          <w:color w:val="003CA0"/>
          <w:sz w:val="12"/>
        </w:rPr>
        <w:t xml:space="preserve"> | ARE 848.993</w:t>
      </w:r>
      <w:r>
        <w:rPr>
          <w:color w:val="003CA0"/>
          <w:sz w:val="12"/>
        </w:rPr>
        <w:t xml:space="preserve"> | rel. Gilmar Mendes</w:t>
      </w:r>
    </w:p>
    <w:p>
      <w:pPr>
        <w:ind w:left="288"/>
      </w:pPr>
      <w:r>
        <w:rPr>
          <w:color w:val="1E1E1E"/>
          <w:sz w:val="18"/>
        </w:rPr>
        <w:t>Há remansosa jurisprudência desta Corte nesse sentido, afirmando a impossibilidade da acumulação tríplice de cargos públicos, ainda que os provimentos nestes tenham ocorrido antes da vigência da EC 20/1998. (...) o art. 11 da EC 20/1998 possibilita a acumulação, apenas, de um provento de aposentadoria com a remuneração de um cargo na ativa, no qual se tenha ingressado por concurso público antes da edição da referida emenda, ainda que inacumuláveis os cargos. Em qualquer hipótese, é vedada a acumulação tríplice de remunerações, sejam proventos, sejam vencimentos.</w:t>
        <w:br/>
        <w:t>[ARE 848.993 RG, voto do rel. m</w:t>
      </w:r>
    </w:p>
    <w:p>
      <w:pPr>
        <w:ind w:left="288"/>
      </w:pPr>
      <w:r>
        <w:rPr>
          <w:b/>
          <w:color w:val="003CA0"/>
          <w:sz w:val="16"/>
        </w:rPr>
        <w:t>[RE 1.531.247 ED-AgR, rel. min. Flávio Dino, j. 20.10.2025, 1ª T, DJE de 23.10.2025.]</w:t>
      </w:r>
    </w:p>
    <w:p>
      <w:pPr>
        <w:ind w:left="288"/>
      </w:pPr>
      <w:r>
        <w:rPr>
          <w:color w:val="8C8C8C"/>
          <w:sz w:val="12"/>
        </w:rPr>
        <w:t>cf-art-40-par-4</w:t>
      </w:r>
    </w:p>
    <w:p>
      <w:pPr>
        <w:ind w:left="288"/>
      </w:pPr>
      <w:r>
        <w:rPr>
          <w:color w:val="1E1E1E"/>
          <w:sz w:val="18"/>
        </w:rPr>
        <w:t>§ 7º Observado o disposto no § 2º do art. 201, quando se tratar da única fonte de renda formal auferida pelo dependente, o benefício de pensão por morte será concedido nos termos de lei do respectivo ente federativo, a qual tratará de forma diferenciada a hipótese de morte dos servidores de que trata o § 4º-B decorrente de agressão sofrida no exercício ou em razão da função. (Redação da EC n. 103/2019)</w:t>
      </w:r>
    </w:p>
    <w:p>
      <w:pPr>
        <w:ind w:left="144"/>
      </w:pPr>
      <w:r>
        <w:rPr>
          <w:b/>
          <w:color w:val="B45A00"/>
          <w:sz w:val="16"/>
        </w:rPr>
        <w:t>CONTROLE CONCENTRADO</w:t>
      </w:r>
    </w:p>
    <w:p>
      <w:pPr>
        <w:ind w:left="288"/>
      </w:pPr>
      <w:r>
        <w:rPr>
          <w:color w:val="8C8C8C"/>
          <w:sz w:val="12"/>
        </w:rPr>
        <w:t>cf-art-40-par-4</w:t>
      </w:r>
      <w:r>
        <w:rPr>
          <w:color w:val="003CA0"/>
          <w:sz w:val="12"/>
        </w:rPr>
        <w:t xml:space="preserve"> | ADI 7.051</w:t>
      </w:r>
      <w:r>
        <w:rPr>
          <w:color w:val="003CA0"/>
          <w:sz w:val="12"/>
        </w:rPr>
        <w:t xml:space="preserve"> | rel. Roberto Barroso</w:t>
      </w:r>
    </w:p>
    <w:p>
      <w:pPr>
        <w:ind w:left="288"/>
      </w:pPr>
      <w:r>
        <w:rPr>
          <w:color w:val="1E1E1E"/>
          <w:sz w:val="18"/>
        </w:rPr>
        <w:t>“É constitucional o art. 23, caput, da Emenda Constitucional nº 103/2019, que fixa novos critérios de cálculo para a pensão por morte no Regime Geral e nos Regimes Próprios de Previdência Social”.</w:t>
        <w:br/>
        <w:t>[ADI 7.051, rel. min. Roberto Barroso, j. 26-6-2023, P, DJE de 2-8-2023.]</w:t>
      </w:r>
    </w:p>
    <w:p>
      <w:pPr>
        <w:ind w:left="144"/>
      </w:pPr>
      <w:r>
        <w:rPr>
          <w:b/>
          <w:color w:val="B45A00"/>
          <w:sz w:val="16"/>
        </w:rPr>
        <w:t>JULGADOS CORRELATOS</w:t>
      </w:r>
    </w:p>
    <w:p>
      <w:pPr>
        <w:ind w:left="288"/>
      </w:pPr>
      <w:r>
        <w:rPr>
          <w:color w:val="8C8C8C"/>
          <w:sz w:val="12"/>
        </w:rPr>
        <w:t>cf-art-40-par-4</w:t>
      </w:r>
      <w:r>
        <w:rPr>
          <w:color w:val="003CA0"/>
          <w:sz w:val="12"/>
        </w:rPr>
        <w:t xml:space="preserve"> | MS 37.359</w:t>
      </w:r>
      <w:r>
        <w:rPr>
          <w:color w:val="003CA0"/>
          <w:sz w:val="12"/>
        </w:rPr>
        <w:t xml:space="preserve"> | rel. Edson Fachin</w:t>
      </w:r>
    </w:p>
    <w:p>
      <w:pPr>
        <w:ind w:left="288"/>
      </w:pPr>
      <w:r>
        <w:rPr>
          <w:color w:val="1E1E1E"/>
          <w:sz w:val="18"/>
        </w:rPr>
        <w:t>Reconhecida a qualidade de dependente da filha solteira maior de vinte e um anos em relação ao instituidor da pensão e não se verificando a superação das condições essenciais previstas na Lei 3373/1958, que embasou a concessão, quais sejam, casamento ou posse em cargo público permanente, a pensão é devida e deve ser mantida, em respeito aos princípios da legalidade, da segurança jurídica e do tempus regit actum.</w:t>
      </w:r>
    </w:p>
    <w:p>
      <w:pPr>
        <w:ind w:left="288"/>
      </w:pPr>
      <w:r>
        <w:rPr>
          <w:b/>
          <w:color w:val="003CA0"/>
          <w:sz w:val="16"/>
        </w:rPr>
        <w:t>[MS 37.359 AgR, rel. min. Edson Fachin, j. 17-2-2021,2ª T, DJE de 26-2-2021.]</w:t>
      </w:r>
    </w:p>
    <w:p>
      <w:pPr>
        <w:ind w:left="288"/>
      </w:pPr>
      <w:r>
        <w:rPr>
          <w:color w:val="8C8C8C"/>
          <w:sz w:val="12"/>
        </w:rPr>
        <w:t>cf-art-40-par-4</w:t>
      </w:r>
      <w:r>
        <w:rPr>
          <w:color w:val="003CA0"/>
          <w:sz w:val="12"/>
        </w:rPr>
        <w:t xml:space="preserve"> | MS 32.867</w:t>
      </w:r>
      <w:r>
        <w:rPr>
          <w:color w:val="003CA0"/>
          <w:sz w:val="12"/>
        </w:rPr>
        <w:t xml:space="preserve"> | rel. Rosa Weber</w:t>
      </w:r>
    </w:p>
    <w:p>
      <w:pPr>
        <w:ind w:left="288"/>
      </w:pPr>
      <w:r>
        <w:rPr>
          <w:color w:val="1E1E1E"/>
          <w:sz w:val="18"/>
        </w:rPr>
        <w:t>(...) o art. 5º da Lei 9.717/1998 não teve o condão de derrogar categorias de beneficiários de pensão por morte do regime próprio de previdência dos servidores públicos federais, de molde a delimitá-las ao mesmo rol previsto para o regime geral.</w:t>
      </w:r>
    </w:p>
    <w:p>
      <w:pPr>
        <w:ind w:left="288"/>
      </w:pPr>
      <w:r>
        <w:rPr>
          <w:b/>
          <w:color w:val="003CA0"/>
          <w:sz w:val="16"/>
        </w:rPr>
        <w:t>[MS 32.867 AgR, rel. min. Rosa Weber, j. 16-3-2018, 1ª T, DJE de 4-4-2018.]</w:t>
      </w:r>
    </w:p>
    <w:p>
      <w:pPr>
        <w:ind w:left="288"/>
      </w:pPr>
      <w:r>
        <w:rPr>
          <w:color w:val="8C8C8C"/>
          <w:sz w:val="12"/>
        </w:rPr>
        <w:t>cf-art-40-par-4</w:t>
      </w:r>
      <w:r>
        <w:rPr>
          <w:color w:val="003CA0"/>
          <w:sz w:val="12"/>
        </w:rPr>
        <w:t xml:space="preserve"> | RE 493.490</w:t>
      </w:r>
      <w:r>
        <w:rPr>
          <w:color w:val="003CA0"/>
          <w:sz w:val="12"/>
        </w:rPr>
        <w:t xml:space="preserve"> | rel. Joaquim Barbosa</w:t>
      </w:r>
    </w:p>
    <w:p>
      <w:pPr>
        <w:ind w:left="288"/>
      </w:pPr>
      <w:r>
        <w:rPr>
          <w:color w:val="1E1E1E"/>
          <w:sz w:val="18"/>
        </w:rPr>
        <w:t>A decisão concessiva de revisão para 100% do salário de benefício nas hipóteses de pensão por morte, aposentadoria por invalidez e aposentadoria especial, instituídas em período anterior ao da vigência da Lei 9.032/1995, é contrária à Constituição.</w:t>
      </w:r>
    </w:p>
    <w:p>
      <w:pPr>
        <w:ind w:left="288"/>
      </w:pPr>
      <w:r>
        <w:rPr>
          <w:b/>
          <w:color w:val="003CA0"/>
          <w:sz w:val="16"/>
        </w:rPr>
        <w:t>[RE 493.490 AgR, rel. min. Joaquim Barbosa, j. 4-9-2007, 2ª T, DJE de 1º-2-2008.]</w:t>
      </w:r>
    </w:p>
    <w:p>
      <w:pPr>
        <w:ind w:left="288"/>
      </w:pPr>
      <w:r>
        <w:rPr>
          <w:color w:val="8C8C8C"/>
          <w:sz w:val="12"/>
        </w:rPr>
        <w:t>cf-art-40-par-4</w:t>
      </w:r>
      <w:r>
        <w:rPr>
          <w:color w:val="003CA0"/>
          <w:sz w:val="12"/>
        </w:rPr>
        <w:t xml:space="preserve"> | AI 576.400</w:t>
      </w:r>
      <w:r>
        <w:rPr>
          <w:color w:val="003CA0"/>
          <w:sz w:val="12"/>
        </w:rPr>
        <w:t xml:space="preserve"> | rel. Marco Aurélio</w:t>
      </w:r>
    </w:p>
    <w:p>
      <w:pPr>
        <w:ind w:left="288"/>
      </w:pPr>
      <w:r>
        <w:rPr>
          <w:color w:val="1E1E1E"/>
          <w:sz w:val="18"/>
        </w:rPr>
        <w:t>= AI 576.400 AgR, rel. min. Marco Aurélio, j. 7-4-2009, 1ª T, DJE de 29-5-2009 Orientação de ambas as Turmas deste Tribunal no sentido de que os antigos ferroviários que atuavam perante a extinta Fepasa [Ferrovia Paulista S.A.] estavam submetidos ao regime jurídico estatutário e não à CLT. Recebimento de pensão por morte no valor da totalidade dos vencimentos ou proventos dos servidores falecidos, à luz do autoaplicável art. 40, § 5º (atual § 7º), da Constituição do Brasil, observado o teto inscrito no art. 37, XI, da Constituição do Brasil/1988.</w:t>
      </w:r>
    </w:p>
    <w:p>
      <w:pPr>
        <w:ind w:left="288"/>
      </w:pPr>
      <w:r>
        <w:rPr>
          <w:b/>
          <w:color w:val="003CA0"/>
          <w:sz w:val="16"/>
        </w:rPr>
        <w:t>[AI 548.235 AgR, rel. min. Eros Grau, j. 16-5-2006, 2ª T, DJ de 9-6-2006.]</w:t>
      </w:r>
    </w:p>
    <w:p>
      <w:pPr>
        <w:ind w:left="288"/>
      </w:pPr>
      <w:r>
        <w:rPr>
          <w:color w:val="8C8C8C"/>
          <w:sz w:val="12"/>
        </w:rPr>
        <w:t>cf-art-40-par-4</w:t>
      </w:r>
      <w:r>
        <w:rPr>
          <w:color w:val="003CA0"/>
          <w:sz w:val="12"/>
        </w:rPr>
        <w:t xml:space="preserve"> | AI 339.656</w:t>
      </w:r>
      <w:r>
        <w:rPr>
          <w:color w:val="003CA0"/>
          <w:sz w:val="12"/>
        </w:rPr>
        <w:t xml:space="preserve"> | rel. Joaquim Barbosa</w:t>
      </w:r>
    </w:p>
    <w:p>
      <w:pPr>
        <w:ind w:left="288"/>
      </w:pPr>
      <w:r>
        <w:rPr>
          <w:color w:val="1E1E1E"/>
          <w:sz w:val="18"/>
        </w:rPr>
        <w:t>= AI 339.656 AgR, rel. min. Joaquim Barbosa, j. 6-4-2010, 2ª T, DJE de 7-5-2010 Vide RE 602.201 AgR, rel. min. Eros Grau, j. 24-11-2009, 2ª T, DJE de 18-12-2009 A regência da pensão faz-se considerada a legislação em vigor na data do falecimento do servidor, descabendo emprestar a texto de lei ou da Constituição eficácia retroativa, no que prevista a percepção pela totalidade dos vencimentos.</w:t>
      </w:r>
    </w:p>
    <w:p>
      <w:pPr>
        <w:ind w:left="288"/>
      </w:pPr>
      <w:r>
        <w:rPr>
          <w:b/>
          <w:color w:val="003CA0"/>
          <w:sz w:val="16"/>
        </w:rPr>
        <w:t>[RE 273.570, rel. min. Marco Aurélio, j. 14-2-2006, DJ de 5-5-2006.]</w:t>
      </w:r>
    </w:p>
    <w:p>
      <w:pPr>
        <w:ind w:left="288"/>
      </w:pPr>
      <w:r>
        <w:rPr>
          <w:color w:val="8C8C8C"/>
          <w:sz w:val="12"/>
        </w:rPr>
        <w:t>cf-art-40-par-4</w:t>
      </w:r>
      <w:r>
        <w:rPr>
          <w:color w:val="003CA0"/>
          <w:sz w:val="12"/>
        </w:rPr>
        <w:t xml:space="preserve"> | AI 765.377</w:t>
      </w:r>
      <w:r>
        <w:rPr>
          <w:color w:val="003CA0"/>
          <w:sz w:val="12"/>
        </w:rPr>
        <w:t xml:space="preserve"> | rel. Cármen Lúcia</w:t>
      </w:r>
    </w:p>
    <w:p>
      <w:pPr>
        <w:ind w:left="288"/>
      </w:pPr>
      <w:r>
        <w:rPr>
          <w:color w:val="1E1E1E"/>
          <w:sz w:val="18"/>
        </w:rPr>
        <w:t>= AI 765.377 AgR, rel. min. Cármen Lúcia, j. 24-8-2010, 1ª T, DJE de 24-9-2010 I - ao valor da totalidade dos proventos do servidor falecido, até o limite máximo estabelecido para os benefícios do regime geral de previdência social de que trata o art. 201, acrescido de setenta por cento da parcela excedente a este limite, caso aposentado à data do óbito; ou (Incluído pela EC n. 41/2003)</w:t>
      </w:r>
    </w:p>
    <w:p>
      <w:pPr>
        <w:ind w:left="144"/>
      </w:pPr>
      <w:r>
        <w:rPr>
          <w:b/>
          <w:color w:val="B45A00"/>
          <w:sz w:val="16"/>
        </w:rPr>
        <w:t>REPERCUSSAO GERAL</w:t>
      </w:r>
    </w:p>
    <w:p>
      <w:pPr>
        <w:ind w:left="288"/>
      </w:pPr>
      <w:r>
        <w:rPr>
          <w:color w:val="8C8C8C"/>
          <w:sz w:val="12"/>
        </w:rPr>
        <w:t>cf-art-40-par-4</w:t>
      </w:r>
      <w:r>
        <w:rPr>
          <w:color w:val="003CA0"/>
          <w:sz w:val="12"/>
        </w:rPr>
        <w:t xml:space="preserve"> | RE 603.580</w:t>
      </w:r>
      <w:r>
        <w:rPr>
          <w:color w:val="003CA0"/>
          <w:sz w:val="12"/>
        </w:rPr>
        <w:t xml:space="preserve"> | rel. Ricardo Lewandowski</w:t>
      </w:r>
    </w:p>
    <w:p>
      <w:pPr>
        <w:ind w:left="288"/>
      </w:pPr>
      <w:r>
        <w:rPr>
          <w:color w:val="1E1E1E"/>
          <w:sz w:val="18"/>
        </w:rPr>
        <w:t>Pensão por morte. Instituidor aposentado antes da EC 41/2003, porém falecido após seu advento. Direito do pensionista à paridade. Impossibilidade. Exceção: art. 3º da EC 47/2005. (...) O benefício previdenciário da pensão por morte deve ser regido pela lei vigente à época do óbito de seu instituidor. Às pensões derivadas de óbito de servidores aposentados nos termos do art. 3º da EC 47/2005 é garantido o direito à paridade.</w:t>
      </w:r>
    </w:p>
    <w:p>
      <w:pPr>
        <w:ind w:left="288"/>
      </w:pPr>
      <w:r>
        <w:rPr>
          <w:b/>
          <w:color w:val="003CA0"/>
          <w:sz w:val="16"/>
        </w:rPr>
        <w:t>[RE 603.580, rel. min. Ricardo Lewandowski, j. 20-5-2015, P, DJE de 4-8-2015, Tema 396, com mérito julgado.]</w:t>
      </w:r>
    </w:p>
    <w:p>
      <w:pPr>
        <w:ind w:left="288"/>
      </w:pPr>
      <w:r>
        <w:rPr>
          <w:color w:val="8C8C8C"/>
          <w:sz w:val="12"/>
        </w:rPr>
        <w:t>cf-art-40-par-4</w:t>
      </w:r>
    </w:p>
    <w:p>
      <w:pPr>
        <w:ind w:left="288"/>
      </w:pPr>
      <w:r>
        <w:rPr>
          <w:color w:val="1E1E1E"/>
          <w:sz w:val="18"/>
        </w:rPr>
        <w:t>II - ao valor da totalidade da remuneração do servidor no cargo efetivo em que se deu o falecimento, até o limite máximo estabelecido para os benefícios do regime geral de previdência social de que trata o art. 201, acrescido de setenta por cento da parcela excedente a este limite, caso em atividade na data do óbito. (Incluído pela EC n. 41/2003)</w:t>
      </w:r>
    </w:p>
    <w:p>
      <w:pPr>
        <w:ind w:left="144"/>
      </w:pPr>
      <w:r>
        <w:rPr>
          <w:b/>
          <w:color w:val="B45A00"/>
          <w:sz w:val="16"/>
        </w:rPr>
        <w:t>SUMULA VINCULANTE</w:t>
      </w:r>
    </w:p>
    <w:p>
      <w:pPr>
        <w:ind w:left="288"/>
      </w:pPr>
      <w:r>
        <w:rPr>
          <w:color w:val="8C8C8C"/>
          <w:sz w:val="12"/>
        </w:rPr>
        <w:t>cf-art-40-par-8</w:t>
      </w:r>
    </w:p>
    <w:p>
      <w:pPr>
        <w:ind w:left="288"/>
      </w:pPr>
      <w:r>
        <w:rPr>
          <w:color w:val="1E1E1E"/>
          <w:sz w:val="18"/>
        </w:rPr>
        <w:t>A Gratificação de Desempenho de Atividade de Seguridade Social e do Trabalho (GDASST), instituída pela Lei 10.483/2002, deve ser estendida aos inativos no valor correspondente a sessenta pontos, desde o advento da MP 198/2004, convertida na Lei 10.971/2004, quando tais inativos façam jus à paridade constitucional (EC 20/1998, 41/2003 e 47/2005).</w:t>
      </w:r>
    </w:p>
    <w:p>
      <w:pPr>
        <w:ind w:left="288"/>
      </w:pPr>
      <w:r>
        <w:rPr>
          <w:b/>
          <w:color w:val="003CA0"/>
          <w:sz w:val="16"/>
        </w:rPr>
        <w:t>[Súmula Vinculante 34.]</w:t>
      </w:r>
    </w:p>
    <w:p>
      <w:pPr>
        <w:ind w:left="144"/>
      </w:pPr>
      <w:r>
        <w:rPr>
          <w:b/>
          <w:color w:val="B45A00"/>
          <w:sz w:val="16"/>
        </w:rPr>
        <w:t>CONTROLE CONCENTRADO</w:t>
      </w:r>
    </w:p>
    <w:p>
      <w:pPr>
        <w:ind w:left="288"/>
      </w:pPr>
      <w:r>
        <w:rPr>
          <w:color w:val="8C8C8C"/>
          <w:sz w:val="12"/>
        </w:rPr>
        <w:t>cf-art-40-par-8</w:t>
      </w:r>
      <w:r>
        <w:rPr>
          <w:color w:val="003CA0"/>
          <w:sz w:val="12"/>
        </w:rPr>
        <w:t xml:space="preserve"> | ADI 5.179</w:t>
      </w:r>
    </w:p>
    <w:p>
      <w:pPr>
        <w:ind w:left="288"/>
      </w:pPr>
      <w:r>
        <w:rPr>
          <w:color w:val="1E1E1E"/>
          <w:sz w:val="18"/>
        </w:rPr>
        <w:t>(...) interpretação conforme à Constituição ao art. 5º da Lei 9.655/1998, no sentido de que se aplicam aos proventos de aposentadoria do juízes classistas temporários (e às pensões decorrentes) os reajustes conferidos aos servidores públicos federais do Poder Judiciário da União (vencimentos básicos de analista judiciário, na classe intermediária, no último padrão), de acordo com a redação conferida ao § 8º do art. 40 da CF pela Emenda Constitucional 41/2003.</w:t>
      </w:r>
    </w:p>
    <w:p>
      <w:pPr>
        <w:ind w:left="288"/>
      </w:pPr>
      <w:r>
        <w:rPr>
          <w:b/>
          <w:color w:val="003CA0"/>
          <w:sz w:val="16"/>
        </w:rPr>
        <w:t>[ADI 5.179, red. do ac. min. Gilmar Mendes, j. 27-4-2020, P, DJE de 17-9-2020.]</w:t>
      </w:r>
    </w:p>
    <w:p>
      <w:pPr>
        <w:ind w:left="288"/>
      </w:pPr>
      <w:r>
        <w:rPr>
          <w:color w:val="8C8C8C"/>
          <w:sz w:val="12"/>
        </w:rPr>
        <w:t>cf-art-40-par-8</w:t>
      </w:r>
      <w:r>
        <w:rPr>
          <w:color w:val="003CA0"/>
          <w:sz w:val="12"/>
        </w:rPr>
        <w:t xml:space="preserve"> | RE 1.408.525</w:t>
      </w:r>
      <w:r>
        <w:rPr>
          <w:color w:val="003CA0"/>
          <w:sz w:val="12"/>
        </w:rPr>
        <w:t xml:space="preserve"> | rel. Cármen Lúcia</w:t>
      </w:r>
    </w:p>
    <w:p>
      <w:pPr>
        <w:ind w:left="288"/>
      </w:pPr>
      <w:r>
        <w:rPr>
          <w:color w:val="1E1E1E"/>
          <w:sz w:val="18"/>
        </w:rPr>
        <w:t>1. Reafirma-se a jurisprudência do Supremo Tribunal Federal de que o termo inicial do pagamento diferenciado das gratificações de desempenho entre servidores ativos e inativos é a data da homologação do resultado das avaliações, após a conclusão do primeiro ciclo (Tema 983). 2. A mera alteração do limite mínimo da Gratificação de Desempenho de Atividade do Seguro Social – GDASS, devida aos integrantes da Carreira do Seguro Social em função do desempenho institucional e individual, não afasta a natureza pro labore faciendo da parcela, sendo inaplicável aos servidores públicos inativos.</w:t>
      </w:r>
    </w:p>
    <w:p>
      <w:pPr>
        <w:ind w:left="288"/>
      </w:pPr>
      <w:r>
        <w:rPr>
          <w:b/>
          <w:color w:val="003CA0"/>
          <w:sz w:val="16"/>
        </w:rPr>
        <w:t>[RE 1.408.525, rel. min. Cármen Lúcia, j.18-2-2026, P, DJE de 2-3-2026, Tema 1.289, com mérito julgado.]</w:t>
      </w:r>
    </w:p>
    <w:p>
      <w:pPr>
        <w:ind w:left="144"/>
      </w:pPr>
      <w:r>
        <w:rPr>
          <w:b/>
          <w:color w:val="B45A00"/>
          <w:sz w:val="16"/>
        </w:rPr>
        <w:t>REPERCUSSAO GERAL</w:t>
      </w:r>
    </w:p>
    <w:p>
      <w:pPr>
        <w:ind w:left="288"/>
      </w:pPr>
      <w:r>
        <w:rPr>
          <w:color w:val="8C8C8C"/>
          <w:sz w:val="12"/>
        </w:rPr>
        <w:t>cf-art-40-par-8</w:t>
      </w:r>
      <w:r>
        <w:rPr>
          <w:color w:val="003CA0"/>
          <w:sz w:val="12"/>
        </w:rPr>
        <w:t xml:space="preserve"> | RE 1.372.723</w:t>
      </w:r>
      <w:r>
        <w:rPr>
          <w:color w:val="003CA0"/>
          <w:sz w:val="12"/>
        </w:rPr>
        <w:t xml:space="preserve"> | rel. Dias Toffoli</w:t>
      </w:r>
    </w:p>
    <w:p>
      <w:pPr>
        <w:ind w:left="288"/>
      </w:pPr>
      <w:r>
        <w:rPr>
          <w:color w:val="1E1E1E"/>
          <w:sz w:val="18"/>
        </w:rPr>
        <w:t>“É constitucional o reajuste de proventos e pensões concedidos a servidores públicos federais e seus dependentes não beneficiados pela garantia de paridade de revisão pelo mesmo índice de reajuste do regime geral de previdência social (RGPS), previsto em normativo do Ministério da Previdência Social, no período anterior à Lei 11.784/2008”.</w:t>
      </w:r>
    </w:p>
    <w:p>
      <w:pPr>
        <w:ind w:left="288"/>
      </w:pPr>
      <w:r>
        <w:rPr>
          <w:b/>
          <w:color w:val="003CA0"/>
          <w:sz w:val="16"/>
        </w:rPr>
        <w:t>[RE 1.372.723, rel. min. Dias Toffoli, j. 2-10-2023, P, DJE de 24-10-2023, Tema 1.224, com mérito julgado.]</w:t>
      </w:r>
    </w:p>
    <w:p>
      <w:pPr>
        <w:ind w:left="288"/>
      </w:pPr>
      <w:r>
        <w:rPr>
          <w:color w:val="8C8C8C"/>
          <w:sz w:val="12"/>
        </w:rPr>
        <w:t>cf-art-40-par-8</w:t>
      </w:r>
      <w:r>
        <w:rPr>
          <w:color w:val="003CA0"/>
          <w:sz w:val="12"/>
        </w:rPr>
        <w:t xml:space="preserve"> | ARE 1.331.395</w:t>
      </w:r>
      <w:r>
        <w:rPr>
          <w:color w:val="003CA0"/>
          <w:sz w:val="12"/>
        </w:rPr>
        <w:t xml:space="preserve"> | rel. Luiz Fux</w:t>
      </w:r>
    </w:p>
    <w:p>
      <w:pPr>
        <w:ind w:left="288"/>
      </w:pPr>
      <w:r>
        <w:rPr>
          <w:color w:val="1E1E1E"/>
          <w:sz w:val="18"/>
        </w:rPr>
        <w:t>É infraconstitucional, a ela se aplicando os efeitos da ausência de repercussão geral, a controvérsia relativa à natureza da vantagem Reconhecimento de Saberes e Competências (RSC), instituída pela Lei 12.772/2012, e sua consequente extensão a servidor aposentado pela regra da paridade.</w:t>
        <w:br/>
        <w:t>[ARE 1.331.395 RG, rel. min. Luiz Fux, j. 13-8-2021, P, DJE de 18-8-2021, Tema 1.160, com repercussão geral negada.] As gratificações de natureza pro labore faciendo são incorporadas à aposentadoria conforme as normas de regência de cada uma delas, não caracterizando ofensa ao direito à integralidade a incorpor</w:t>
      </w:r>
    </w:p>
    <w:p>
      <w:pPr>
        <w:ind w:left="288"/>
      </w:pPr>
      <w:r>
        <w:rPr>
          <w:b/>
          <w:color w:val="003CA0"/>
          <w:sz w:val="16"/>
        </w:rPr>
        <w:t>[RE 662.406, rel. min. Teori Zavascki, j. 11-12-2014, P, DJE de 18-2-2015, Tema 664, com mérito julgado.]</w:t>
      </w:r>
    </w:p>
    <w:p>
      <w:pPr>
        <w:ind w:left="288"/>
      </w:pPr>
      <w:r>
        <w:rPr>
          <w:color w:val="8C8C8C"/>
          <w:sz w:val="12"/>
        </w:rPr>
        <w:t>cf-art-40-par-8</w:t>
      </w:r>
      <w:r>
        <w:rPr>
          <w:color w:val="003CA0"/>
          <w:sz w:val="12"/>
        </w:rPr>
        <w:t xml:space="preserve"> | RE 631.389</w:t>
      </w:r>
      <w:r>
        <w:rPr>
          <w:color w:val="003CA0"/>
          <w:sz w:val="12"/>
        </w:rPr>
        <w:t xml:space="preserve"> | rel. Marco Aurélio</w:t>
      </w:r>
    </w:p>
    <w:p>
      <w:pPr>
        <w:ind w:left="288"/>
      </w:pPr>
      <w:r>
        <w:rPr>
          <w:color w:val="1E1E1E"/>
          <w:sz w:val="18"/>
        </w:rPr>
        <w:t>= RE 631.389, rel. min. Marco Aurélio, j. 25-9-2013, P, DJE de 3-6-2014, Tema 351, com mérito julgado A Verba de Incentivo de Aprimoramento à Docência, instituída pela LC 159, de 18-3-2004, do Estado de Mato Grosso, constitui vantagem remuneratória concedida indistintamente aos professores ativos, sendo, portanto, extensível aos professores inativos e pensionistas, nos termos do art. 40, § 8º, da CF. (...) Fixação das teses do julgado, para que gerem efeitos erga omnes e para que os objetivos da tutela jurisdicional especial alcancem de forma eficiente os seus resultados jurídicos, nos seguint</w:t>
      </w:r>
    </w:p>
    <w:p>
      <w:pPr>
        <w:ind w:left="288"/>
      </w:pPr>
      <w:r>
        <w:rPr>
          <w:b/>
          <w:color w:val="003CA0"/>
          <w:sz w:val="16"/>
        </w:rPr>
        <w:t>[RE 631.389, rel. min. Marco Aurélio, j. 25-9-2013, P, DJE de 3-6-2014, Tema 351, com mérito julgado.]</w:t>
        <w:br/>
        <w:t>= RE 662.406, rel. min. Teori Zavascki, j. 11-12-2014, P, DJE de 18-2-2015, Tema 664, com mérito julgado</w:t>
      </w:r>
    </w:p>
    <w:p>
      <w:pPr>
        <w:ind w:left="288"/>
      </w:pPr>
      <w:r>
        <w:rPr>
          <w:color w:val="8C8C8C"/>
          <w:sz w:val="12"/>
        </w:rPr>
        <w:t>cf-art-40-par-8</w:t>
      </w:r>
      <w:r>
        <w:rPr>
          <w:color w:val="003CA0"/>
          <w:sz w:val="12"/>
        </w:rPr>
        <w:t xml:space="preserve"> | RE 572.884</w:t>
      </w:r>
      <w:r>
        <w:rPr>
          <w:color w:val="003CA0"/>
          <w:sz w:val="12"/>
        </w:rPr>
        <w:t xml:space="preserve"> | rel. Ricardo Lewandowski</w:t>
      </w:r>
    </w:p>
    <w:p>
      <w:pPr>
        <w:ind w:left="288"/>
      </w:pPr>
      <w:r>
        <w:rPr>
          <w:color w:val="1E1E1E"/>
          <w:sz w:val="18"/>
        </w:rPr>
        <w:t xml:space="preserve">A Gratificação de Desempenho de Atividade de Ciência e Tecnologia (GDACT), instituída pelo art. 19 da MP 2.048-26, de 29 de junho de 2000, por ocasião de sua criação, tinha o caráter de gratificação pessoal, pro labore faciendo, e, por esse motivo, não foi estendida, automaticamente, aos já aposentados e pensionistas. O art. 60-A, acrescentado pela Lei 10.769/2003 à MP 2.229-43/2001, estendeu aos inativos a GDACT, no valor correspondente a 30% do percentual máximo aplicado ao padrão da classe em que o servidor estivesse posicionado. Dessa forma, não houve redução indevida, pois, como visto, a </w:t>
      </w:r>
    </w:p>
    <w:p>
      <w:pPr>
        <w:ind w:left="144"/>
      </w:pPr>
      <w:r>
        <w:rPr>
          <w:b/>
          <w:color w:val="B45A00"/>
          <w:sz w:val="16"/>
        </w:rPr>
        <w:t>JULGADOS CORRELATOS</w:t>
      </w:r>
    </w:p>
    <w:p>
      <w:pPr>
        <w:ind w:left="288"/>
      </w:pPr>
      <w:r>
        <w:rPr>
          <w:color w:val="8C8C8C"/>
          <w:sz w:val="12"/>
        </w:rPr>
        <w:t>cf-art-40-par-8</w:t>
      </w:r>
      <w:r>
        <w:rPr>
          <w:color w:val="003CA0"/>
          <w:sz w:val="12"/>
        </w:rPr>
        <w:t xml:space="preserve"> | RE 949.293</w:t>
      </w:r>
      <w:r>
        <w:rPr>
          <w:color w:val="003CA0"/>
          <w:sz w:val="12"/>
        </w:rPr>
        <w:t xml:space="preserve"> | rel. Dias Toffoli</w:t>
      </w:r>
    </w:p>
    <w:p>
      <w:pPr>
        <w:ind w:left="288"/>
      </w:pPr>
      <w:r>
        <w:rPr>
          <w:color w:val="1E1E1E"/>
          <w:sz w:val="18"/>
        </w:rPr>
        <w:t>Gratificação de Desempenho da Atividade do Seguro Social (GDASS). Natureza pro “labore faciendo”. Incorporação aos proventos. Não observância da última pontuação obtida na ativa. Direito à integralidade. Violação. Não ocorrência. (...) A jurisprudência da Corte é no sentido de que as gratificações de natureza pro labore faciendo são incorporadas, em decorrência da aposentadoria, conforme as normas de regência de cada uma delas (no caso, o art. 16, da Lei 10.855/2004), não havendo ofensa ao direito à integralidade (art. 3º da EC 47/2005).</w:t>
      </w:r>
    </w:p>
    <w:p>
      <w:pPr>
        <w:ind w:left="288"/>
      </w:pPr>
      <w:r>
        <w:rPr>
          <w:b/>
          <w:color w:val="003CA0"/>
          <w:sz w:val="16"/>
        </w:rPr>
        <w:t>[RE 949.293 AgR, rel. min. Dias Toffoli, j. 28-6-2016, 2ª T, DJE de 8-8-2016.]</w:t>
        <w:br/>
        <w:t>= RE 948.503 AgR, rel. min. Edson Fachin, j. 30-9-2016, 1ª T, DJE de 18-10-2016</w:t>
      </w:r>
    </w:p>
    <w:p>
      <w:pPr>
        <w:ind w:left="288"/>
      </w:pPr>
      <w:r>
        <w:rPr>
          <w:color w:val="8C8C8C"/>
          <w:sz w:val="12"/>
        </w:rPr>
        <w:t>cf-art-40-par-8</w:t>
      </w:r>
      <w:r>
        <w:rPr>
          <w:color w:val="003CA0"/>
          <w:sz w:val="12"/>
        </w:rPr>
        <w:t xml:space="preserve"> | MI 6.460</w:t>
      </w:r>
      <w:r>
        <w:rPr>
          <w:color w:val="003CA0"/>
          <w:sz w:val="12"/>
        </w:rPr>
        <w:t xml:space="preserve"> | rel. Roberto Barroso</w:t>
      </w:r>
    </w:p>
    <w:p>
      <w:pPr>
        <w:ind w:left="288"/>
      </w:pPr>
      <w:r>
        <w:rPr>
          <w:color w:val="1E1E1E"/>
          <w:sz w:val="18"/>
        </w:rPr>
        <w:t>Os proventos dos juízes classistas de primeira instância que adquiriram direito à aposentadoria antes da Lei 9.528/1997 são reajustados na mesma época e no mesmo percentual concedido, em caráter geral, aos servidores públicos federais em atividade, por força da regra da paridade da Lei 6.903/1981 e do disposto na Lei 9.655/1998.</w:t>
      </w:r>
    </w:p>
    <w:p>
      <w:pPr>
        <w:ind w:left="288"/>
      </w:pPr>
      <w:r>
        <w:rPr>
          <w:b/>
          <w:color w:val="003CA0"/>
          <w:sz w:val="16"/>
        </w:rPr>
        <w:t>[MI 6.460 AgR, rel. min. Roberto Barroso, j. 28-5-2015, P, DJE de 24-6-2015.]</w:t>
      </w:r>
    </w:p>
    <w:p>
      <w:pPr>
        <w:ind w:left="288"/>
      </w:pPr>
      <w:r>
        <w:rPr>
          <w:color w:val="8C8C8C"/>
          <w:sz w:val="12"/>
        </w:rPr>
        <w:t>cf-art-40-par-8</w:t>
      </w:r>
      <w:r>
        <w:rPr>
          <w:color w:val="003CA0"/>
          <w:sz w:val="12"/>
        </w:rPr>
        <w:t xml:space="preserve"> | RE 700.126</w:t>
      </w:r>
      <w:r>
        <w:rPr>
          <w:color w:val="003CA0"/>
          <w:sz w:val="12"/>
        </w:rPr>
        <w:t xml:space="preserve"> | rel. Teori Zavascki</w:t>
      </w:r>
    </w:p>
    <w:p>
      <w:pPr>
        <w:ind w:left="288"/>
      </w:pPr>
      <w:r>
        <w:rPr>
          <w:color w:val="1E1E1E"/>
          <w:sz w:val="18"/>
        </w:rPr>
        <w:t>Serventuários da Justiça aposentados que não eram remunerados pelos cofres públicos. Extensão de aumentos remuneratórios concedidos aos servidores ativos do Tribunal de Justiça do Estado. Ilegitimidade. Súmula Vinculante 37.</w:t>
      </w:r>
    </w:p>
    <w:p>
      <w:pPr>
        <w:ind w:left="288"/>
      </w:pPr>
      <w:r>
        <w:rPr>
          <w:b/>
          <w:color w:val="003CA0"/>
          <w:sz w:val="16"/>
        </w:rPr>
        <w:t>[RE 700.126 ED, rel. min. Teori Zavascki, j. 9-12-2014, 2ª T, DJE de 19-12-2014.]</w:t>
      </w:r>
    </w:p>
    <w:p>
      <w:pPr>
        <w:ind w:left="288"/>
      </w:pPr>
      <w:r>
        <w:rPr>
          <w:color w:val="8C8C8C"/>
          <w:sz w:val="12"/>
        </w:rPr>
        <w:t>cf-art-40-par-8</w:t>
      </w:r>
      <w:r>
        <w:rPr>
          <w:color w:val="003CA0"/>
          <w:sz w:val="12"/>
        </w:rPr>
        <w:t xml:space="preserve"> | AI 853.473</w:t>
      </w:r>
      <w:r>
        <w:rPr>
          <w:color w:val="003CA0"/>
          <w:sz w:val="12"/>
        </w:rPr>
        <w:t xml:space="preserve"> | rel. Gilmar Mendes</w:t>
      </w:r>
    </w:p>
    <w:p>
      <w:pPr>
        <w:ind w:left="288"/>
      </w:pPr>
      <w:r>
        <w:rPr>
          <w:color w:val="1E1E1E"/>
          <w:sz w:val="18"/>
        </w:rPr>
        <w:t>(...) esta Corte já firmou entendimento no sentido de que a Gratificação de Estímulo à Docência não possui caráter genérico, motivo pelo qual não deve ser estendida a inativos e pensionistas.</w:t>
      </w:r>
    </w:p>
    <w:p>
      <w:pPr>
        <w:ind w:left="288"/>
      </w:pPr>
      <w:r>
        <w:rPr>
          <w:b/>
          <w:color w:val="003CA0"/>
          <w:sz w:val="16"/>
        </w:rPr>
        <w:t>[AI 853.473 AgR-AgR-ED, voto do rel. min. Gilmar Mendes, j. 30-10-2012, 2ª T, DJE de 27-11-2012.]</w:t>
      </w:r>
    </w:p>
    <w:p>
      <w:pPr>
        <w:ind w:left="288"/>
      </w:pPr>
      <w:r>
        <w:rPr>
          <w:color w:val="8C8C8C"/>
          <w:sz w:val="12"/>
        </w:rPr>
        <w:t>cf-art-40-par-8</w:t>
      </w:r>
      <w:r>
        <w:rPr>
          <w:color w:val="003CA0"/>
          <w:sz w:val="12"/>
        </w:rPr>
        <w:t xml:space="preserve"> | RE 389.213</w:t>
      </w:r>
      <w:r>
        <w:rPr>
          <w:color w:val="003CA0"/>
          <w:sz w:val="12"/>
        </w:rPr>
        <w:t xml:space="preserve"> | rel. Dias Toffoli</w:t>
      </w:r>
    </w:p>
    <w:p>
      <w:pPr>
        <w:ind w:left="288"/>
      </w:pPr>
      <w:r>
        <w:rPr>
          <w:color w:val="1E1E1E"/>
          <w:sz w:val="18"/>
        </w:rPr>
        <w:t>É pacífica a jurisprudência desta Corte no sentido de que as vantagens remuneratórias denominadas "diárias operacionais" e "abono policial", concedidas aos militares em atividade do Estado do Ceará, de forma geral, são extensíveis aos militares aposentados e aos pensionistas, sob pena de violação do art. 40, § 8º, da CF.</w:t>
      </w:r>
    </w:p>
    <w:p>
      <w:pPr>
        <w:ind w:left="288"/>
      </w:pPr>
      <w:r>
        <w:rPr>
          <w:b/>
          <w:color w:val="003CA0"/>
          <w:sz w:val="16"/>
        </w:rPr>
        <w:t>[RE 389.213 AgR, rel. min. Dias Toffoli, j. 2-8-2011, 1ª T, DJE de 19-9-2011.]</w:t>
      </w:r>
    </w:p>
    <w:p>
      <w:pPr>
        <w:ind w:left="288"/>
      </w:pPr>
      <w:r>
        <w:rPr>
          <w:color w:val="8C8C8C"/>
          <w:sz w:val="12"/>
        </w:rPr>
        <w:t>cf-art-40-par-8</w:t>
      </w:r>
      <w:r>
        <w:rPr>
          <w:color w:val="003CA0"/>
          <w:sz w:val="12"/>
        </w:rPr>
        <w:t xml:space="preserve"> | RE 418.379</w:t>
      </w:r>
      <w:r>
        <w:rPr>
          <w:color w:val="003CA0"/>
          <w:sz w:val="12"/>
        </w:rPr>
        <w:t xml:space="preserve"> | rel. Joaquim Barbosa</w:t>
      </w:r>
    </w:p>
    <w:p>
      <w:pPr>
        <w:ind w:left="288"/>
      </w:pPr>
      <w:r>
        <w:rPr>
          <w:color w:val="1E1E1E"/>
          <w:sz w:val="18"/>
        </w:rPr>
        <w:t>= RE 418.379 AgR, rel. min. Joaquim Barbosa, j. 5-6-2012, 2ª T, DJE de 22-6-2012 É devido aos servidores inativos da Fepasa [Ferrovia Paulista S.A.] o abono concedido aos servidores em atividade.</w:t>
      </w:r>
    </w:p>
    <w:p>
      <w:pPr>
        <w:ind w:left="288"/>
      </w:pPr>
      <w:r>
        <w:rPr>
          <w:b/>
          <w:color w:val="003CA0"/>
          <w:sz w:val="16"/>
        </w:rPr>
        <w:t>[AI 694.707 AgR, rel. min. Ricardo Lewandowski, j. 25-8-2009, 1ª T, DJE de 18-9-2009.]</w:t>
      </w:r>
    </w:p>
    <w:p>
      <w:pPr>
        <w:ind w:left="288"/>
      </w:pPr>
      <w:r>
        <w:rPr>
          <w:color w:val="8C8C8C"/>
          <w:sz w:val="12"/>
        </w:rPr>
        <w:t>cf-art-40-par-8</w:t>
      </w:r>
      <w:r>
        <w:rPr>
          <w:color w:val="003CA0"/>
          <w:sz w:val="12"/>
        </w:rPr>
        <w:t xml:space="preserve"> | AI 526.987</w:t>
      </w:r>
      <w:r>
        <w:rPr>
          <w:color w:val="003CA0"/>
          <w:sz w:val="12"/>
        </w:rPr>
        <w:t xml:space="preserve"> | rel. Cezar Peluso</w:t>
      </w:r>
    </w:p>
    <w:p>
      <w:pPr>
        <w:ind w:left="288"/>
      </w:pPr>
      <w:r>
        <w:rPr>
          <w:color w:val="1E1E1E"/>
          <w:sz w:val="18"/>
        </w:rPr>
        <w:t>= AI 526.987 AgR, rel. min. Cezar Peluso, j. 7-8-2012, 2ª T, DJE de 20-8-2012 Aposentados. Extensão de benefício. Art. 40, § 8º, da CF. A pedra de toque da incidência do preceito é saber se em atividade os aposentados lograriam o benefício.</w:t>
      </w:r>
    </w:p>
    <w:p>
      <w:pPr>
        <w:ind w:left="288"/>
      </w:pPr>
      <w:r>
        <w:rPr>
          <w:b/>
          <w:color w:val="003CA0"/>
          <w:sz w:val="16"/>
        </w:rPr>
        <w:t>[AI 486.042 AgR, rel. min. Marco Aurélio, j. 25-11-2008, 1ª T, DJE de 20-3-2009.]</w:t>
      </w:r>
    </w:p>
    <w:p>
      <w:pPr>
        <w:ind w:left="288"/>
      </w:pPr>
      <w:r>
        <w:rPr>
          <w:color w:val="8C8C8C"/>
          <w:sz w:val="12"/>
        </w:rPr>
        <w:t>cf-art-40-par-8</w:t>
      </w:r>
      <w:r>
        <w:rPr>
          <w:color w:val="003CA0"/>
          <w:sz w:val="12"/>
        </w:rPr>
        <w:t xml:space="preserve"> | AR 1.536</w:t>
      </w:r>
      <w:r>
        <w:rPr>
          <w:color w:val="003CA0"/>
          <w:sz w:val="12"/>
        </w:rPr>
        <w:t xml:space="preserve"> | rel. Cármen Lúcia</w:t>
      </w:r>
    </w:p>
    <w:p>
      <w:pPr>
        <w:ind w:left="288"/>
      </w:pPr>
      <w:r>
        <w:rPr>
          <w:color w:val="1E1E1E"/>
          <w:sz w:val="18"/>
        </w:rPr>
        <w:t>A vantagem legalmente prevista não é condicionada à produtividade do servidor público, a ela fazendo jus não apenas os servidores em efetivo exercício do cargo, mas também aqueles que, afastados em circunstâncias especificadas legalmente, a recebem. Natureza geral da vantagem, que, assim, há de integrar os proventos dos inativos.</w:t>
      </w:r>
    </w:p>
    <w:p>
      <w:pPr>
        <w:ind w:left="288"/>
      </w:pPr>
      <w:r>
        <w:rPr>
          <w:b/>
          <w:color w:val="003CA0"/>
          <w:sz w:val="16"/>
        </w:rPr>
        <w:t>[AR 1.536, rel. min. Cármen Lúcia, j. 2-8-2007, P, DJ de 6-9-2007.]</w:t>
      </w:r>
    </w:p>
    <w:p>
      <w:pPr>
        <w:ind w:left="288"/>
      </w:pPr>
      <w:r>
        <w:rPr>
          <w:color w:val="8C8C8C"/>
          <w:sz w:val="12"/>
        </w:rPr>
        <w:t>cf-art-40-par-8</w:t>
      </w:r>
      <w:r>
        <w:rPr>
          <w:color w:val="003CA0"/>
          <w:sz w:val="12"/>
        </w:rPr>
        <w:t xml:space="preserve"> | AI 476.232</w:t>
      </w:r>
      <w:r>
        <w:rPr>
          <w:color w:val="003CA0"/>
          <w:sz w:val="12"/>
        </w:rPr>
        <w:t xml:space="preserve"> | rel. Joaquim Barbosa</w:t>
      </w:r>
    </w:p>
    <w:p>
      <w:pPr>
        <w:ind w:left="288"/>
      </w:pPr>
      <w:r>
        <w:rPr>
          <w:color w:val="1E1E1E"/>
          <w:sz w:val="18"/>
        </w:rPr>
        <w:t>= AI 476.232 AgR-segundo, rel. min. Joaquim Barbosa, j. 24-4-2012, 2ª T, DJE de 22-5-2012 As normas contidas no art. 40, § 8º, da Constituição do Brasil são autoaplicáveis. A revisão dos proventos da aposentadoria e a extensão aos inativos de quaisquer benefícios e vantagens concedidos aos servidores em atividade pressupõe, tão somente, a existência de lei prevendo-os em relação a estes últimos.</w:t>
      </w:r>
    </w:p>
    <w:p>
      <w:pPr>
        <w:ind w:left="288"/>
      </w:pPr>
      <w:r>
        <w:rPr>
          <w:b/>
          <w:color w:val="003CA0"/>
          <w:sz w:val="16"/>
        </w:rPr>
        <w:t>[AI 620.154 AgR, rel. min. Eros Grau, j. 17-4-2007, 2ª T, DJ de 18-5-2007.]</w:t>
      </w:r>
    </w:p>
    <w:p>
      <w:pPr>
        <w:ind w:left="144"/>
      </w:pPr>
      <w:r>
        <w:rPr>
          <w:b/>
          <w:color w:val="B45A00"/>
          <w:sz w:val="16"/>
        </w:rPr>
        <w:t>SUMULA</w:t>
      </w:r>
    </w:p>
    <w:p>
      <w:pPr>
        <w:ind w:left="288"/>
      </w:pPr>
      <w:r>
        <w:rPr>
          <w:color w:val="8C8C8C"/>
          <w:sz w:val="12"/>
        </w:rPr>
        <w:t>cf-art-40-par-9</w:t>
      </w:r>
    </w:p>
    <w:p>
      <w:pPr>
        <w:ind w:left="288"/>
      </w:pPr>
      <w:r>
        <w:rPr>
          <w:color w:val="1E1E1E"/>
          <w:sz w:val="18"/>
        </w:rPr>
        <w:t>A Constituição, ao assegurar, no § 3º do art. 102, a contagem integral do tempo de serviço público federal, estadual ou municipal para os efeitos de aposentadoria e disponibilidade, não proíbe à União, aos Estados e aos Municípios mandarem contar, mediante lei, para efeito diverso, tempo de serviço prestado a outra pessoa de direito público interno.</w:t>
      </w:r>
    </w:p>
    <w:p>
      <w:pPr>
        <w:ind w:left="288"/>
      </w:pPr>
      <w:r>
        <w:rPr>
          <w:b/>
          <w:color w:val="003CA0"/>
          <w:sz w:val="16"/>
        </w:rPr>
        <w:t>[Súmula 567.]</w:t>
      </w:r>
    </w:p>
    <w:p>
      <w:pPr>
        <w:ind w:left="144"/>
      </w:pPr>
      <w:r>
        <w:rPr>
          <w:b/>
          <w:color w:val="B45A00"/>
          <w:sz w:val="16"/>
        </w:rPr>
        <w:t>JULGADOS CORRELATOS</w:t>
      </w:r>
    </w:p>
    <w:p>
      <w:pPr>
        <w:ind w:left="288"/>
      </w:pPr>
      <w:r>
        <w:rPr>
          <w:color w:val="8C8C8C"/>
          <w:sz w:val="12"/>
        </w:rPr>
        <w:t>cf-art-40-par-9</w:t>
      </w:r>
      <w:r>
        <w:rPr>
          <w:color w:val="003CA0"/>
          <w:sz w:val="12"/>
        </w:rPr>
        <w:t xml:space="preserve"> | RE 439.699</w:t>
      </w:r>
      <w:r>
        <w:rPr>
          <w:color w:val="003CA0"/>
          <w:sz w:val="12"/>
        </w:rPr>
        <w:t xml:space="preserve"> | rel. Sepúlveda Pertence</w:t>
      </w:r>
    </w:p>
    <w:p>
      <w:pPr>
        <w:ind w:left="288"/>
      </w:pPr>
      <w:r>
        <w:rPr>
          <w:color w:val="1E1E1E"/>
          <w:sz w:val="18"/>
        </w:rPr>
        <w:t>Servidor público: contagem especial de tempo de serviço prestado enquanto celetista, antes, portanto, de sua transformação em estatutário: direito adquirido, para todos os efeitos, desde que comprovado o efetivo exercício de atividade considerada insalubre, perigosa ou penosa.</w:t>
      </w:r>
    </w:p>
    <w:p>
      <w:pPr>
        <w:ind w:left="288"/>
      </w:pPr>
      <w:r>
        <w:rPr>
          <w:b/>
          <w:color w:val="003CA0"/>
          <w:sz w:val="16"/>
        </w:rPr>
        <w:t>[RE 439.699 AgR, rel. min. Sepúlveda Pertence, j. 14-11-2006, 1ª T, DJ de 7-12-2006.]</w:t>
      </w:r>
    </w:p>
    <w:p>
      <w:pPr>
        <w:ind w:left="288"/>
      </w:pPr>
      <w:r>
        <w:rPr>
          <w:color w:val="8C8C8C"/>
          <w:sz w:val="12"/>
        </w:rPr>
        <w:t>cf-art-40-par-9</w:t>
      </w:r>
      <w:r>
        <w:rPr>
          <w:color w:val="003CA0"/>
          <w:sz w:val="12"/>
        </w:rPr>
        <w:t xml:space="preserve"> | RE 457.106</w:t>
      </w:r>
      <w:r>
        <w:rPr>
          <w:color w:val="003CA0"/>
          <w:sz w:val="12"/>
        </w:rPr>
        <w:t xml:space="preserve"> | rel. Dias Toffoli</w:t>
      </w:r>
    </w:p>
    <w:p>
      <w:pPr>
        <w:ind w:left="288"/>
      </w:pPr>
      <w:r>
        <w:rPr>
          <w:color w:val="1E1E1E"/>
          <w:sz w:val="18"/>
        </w:rPr>
        <w:t>= RE 457.106 AgR, rel. min. Dias Toffoli, j. 14-2-2012, 1ª T, DJE de 28-3-2012 Pela lei vigente à época de sua prestação, qualifica-se o tempo de serviço do funcionário público, sem a aplicação retroativa de norma ulterior que nesse sentido não haja disposto.</w:t>
      </w:r>
    </w:p>
    <w:p>
      <w:pPr>
        <w:ind w:left="288"/>
      </w:pPr>
      <w:r>
        <w:rPr>
          <w:b/>
          <w:color w:val="003CA0"/>
          <w:sz w:val="16"/>
        </w:rPr>
        <w:t>[RE 174.150, rel. min. Octavio Gallotti, j. 4-4-2000, 1ª T, DJ de 18-8-2000.]</w:t>
      </w:r>
    </w:p>
    <w:p>
      <w:pPr>
        <w:ind w:left="288"/>
      </w:pPr>
      <w:r>
        <w:rPr>
          <w:color w:val="8C8C8C"/>
          <w:sz w:val="12"/>
        </w:rPr>
        <w:t>cf-art-40-par-9</w:t>
      </w:r>
    </w:p>
    <w:p>
      <w:pPr>
        <w:ind w:left="288"/>
      </w:pPr>
      <w:r>
        <w:rPr>
          <w:color w:val="1E1E1E"/>
          <w:sz w:val="18"/>
        </w:rPr>
        <w:t>§ 10. A lei não poderá estabelecer qualquer forma de contagem de tempo de contribuição fictício. (Incluído pela EC n. 20/1998)</w:t>
      </w:r>
    </w:p>
    <w:p>
      <w:pPr>
        <w:ind w:left="144"/>
      </w:pPr>
      <w:r>
        <w:rPr>
          <w:b/>
          <w:color w:val="B45A00"/>
          <w:sz w:val="16"/>
        </w:rPr>
        <w:t>CONTROLE CONCENTRADO</w:t>
      </w:r>
    </w:p>
    <w:p>
      <w:pPr>
        <w:ind w:left="288"/>
      </w:pPr>
      <w:r>
        <w:rPr>
          <w:color w:val="8C8C8C"/>
          <w:sz w:val="12"/>
        </w:rPr>
        <w:t>cf-art-40-par-9</w:t>
      </w:r>
      <w:r>
        <w:rPr>
          <w:color w:val="003CA0"/>
          <w:sz w:val="12"/>
        </w:rPr>
        <w:t xml:space="preserve"> | ADI 404</w:t>
      </w:r>
      <w:r>
        <w:rPr>
          <w:color w:val="003CA0"/>
          <w:sz w:val="12"/>
        </w:rPr>
        <w:t xml:space="preserve"> | rel. Carlos Velloso</w:t>
      </w:r>
    </w:p>
    <w:p>
      <w:pPr>
        <w:ind w:left="288"/>
      </w:pPr>
      <w:r>
        <w:rPr>
          <w:color w:val="1E1E1E"/>
          <w:sz w:val="18"/>
        </w:rPr>
        <w:t>A CF estabelece tempo mínimo para a aposentadoria, não podendo norma infraconstitucional reduzi-lo mediante a fixação de tempo ficto.</w:t>
      </w:r>
    </w:p>
    <w:p>
      <w:pPr>
        <w:ind w:left="288"/>
      </w:pPr>
      <w:r>
        <w:rPr>
          <w:b/>
          <w:color w:val="003CA0"/>
          <w:sz w:val="16"/>
        </w:rPr>
        <w:t>[ADI 404, rel. min. Carlos Velloso, j. 1º-4-2004, P, DJ de 14-5-2004.]</w:t>
      </w:r>
    </w:p>
    <w:p>
      <w:pPr>
        <w:ind w:left="144"/>
      </w:pPr>
      <w:r>
        <w:rPr>
          <w:b/>
          <w:color w:val="B45A00"/>
          <w:sz w:val="16"/>
        </w:rPr>
        <w:t>JULGADOS CORRELATOS</w:t>
      </w:r>
    </w:p>
    <w:p>
      <w:pPr>
        <w:ind w:left="288"/>
      </w:pPr>
      <w:r>
        <w:rPr>
          <w:color w:val="8C8C8C"/>
          <w:sz w:val="12"/>
        </w:rPr>
        <w:t>cf-art-40-par-9</w:t>
      </w:r>
      <w:r>
        <w:rPr>
          <w:color w:val="003CA0"/>
          <w:sz w:val="12"/>
        </w:rPr>
        <w:t xml:space="preserve"> | MI 4.204</w:t>
      </w:r>
      <w:r>
        <w:rPr>
          <w:color w:val="003CA0"/>
          <w:sz w:val="12"/>
        </w:rPr>
        <w:t xml:space="preserve"> | rel. Roberto Barroso</w:t>
      </w:r>
    </w:p>
    <w:p>
      <w:pPr>
        <w:ind w:left="288"/>
      </w:pPr>
      <w:r>
        <w:rPr>
          <w:color w:val="1E1E1E"/>
          <w:sz w:val="18"/>
        </w:rPr>
        <w:t>No regime próprio de previdência dos servidores públicos, a conversão de tempo especial em comum por um fator multiplicador decorre diretamente do direito constitucional à aposentadoria especial (CF, art. 40, § 4º) e não incide na proibição de cômputo de tempo ficto (CF, art. 40, § 10).</w:t>
      </w:r>
    </w:p>
    <w:p>
      <w:pPr>
        <w:ind w:left="288"/>
      </w:pPr>
      <w:r>
        <w:rPr>
          <w:b/>
          <w:color w:val="003CA0"/>
          <w:sz w:val="16"/>
        </w:rPr>
        <w:t>[MI 4.204, rel. min. Roberto Barroso, j. 23-11-2021, P, DJE de 17-2-2022.]</w:t>
      </w:r>
    </w:p>
    <w:p>
      <w:pPr>
        <w:ind w:left="288"/>
      </w:pPr>
      <w:r>
        <w:rPr>
          <w:color w:val="8C8C8C"/>
          <w:sz w:val="12"/>
        </w:rPr>
        <w:t>cf-art-40-par-9</w:t>
      </w:r>
      <w:r>
        <w:rPr>
          <w:color w:val="003CA0"/>
          <w:sz w:val="12"/>
        </w:rPr>
        <w:t xml:space="preserve"> | AI 727.410</w:t>
      </w:r>
      <w:r>
        <w:rPr>
          <w:color w:val="003CA0"/>
          <w:sz w:val="12"/>
        </w:rPr>
        <w:t xml:space="preserve"> | rel. Gilmar Mendes</w:t>
      </w:r>
    </w:p>
    <w:p>
      <w:pPr>
        <w:ind w:left="288"/>
      </w:pPr>
      <w:r>
        <w:rPr>
          <w:color w:val="1E1E1E"/>
          <w:sz w:val="18"/>
        </w:rPr>
        <w:t>Contagem do tempo de serviço como advogado e estagiário para fins de aposentadoria e disponibilidade no cargo de procurador municipal (...). Regra de transição do art. 4º da EC 20/1998. Possibilidade. Admissão de que o tempo de serviço considerado pela legislação vigente para efeito de aposentadoria, cumprido até que a lei discipline a matéria, seja contado como tempo de contribuição.</w:t>
      </w:r>
    </w:p>
    <w:p>
      <w:pPr>
        <w:ind w:left="288"/>
      </w:pPr>
      <w:r>
        <w:rPr>
          <w:b/>
          <w:color w:val="003CA0"/>
          <w:sz w:val="16"/>
        </w:rPr>
        <w:t>[AI 727.410 AgR, rel. min. Gilmar Mendes, j. 20-3-2012, 2ª T, DJE de 2-4-2012.]</w:t>
      </w:r>
    </w:p>
    <w:p>
      <w:pPr>
        <w:ind w:left="288"/>
      </w:pPr>
      <w:r>
        <w:rPr>
          <w:color w:val="8C8C8C"/>
          <w:sz w:val="12"/>
        </w:rPr>
        <w:t>cf-art-40-par-9</w:t>
      </w:r>
    </w:p>
    <w:p>
      <w:pPr>
        <w:ind w:left="288"/>
      </w:pPr>
      <w:r>
        <w:rPr>
          <w:color w:val="1E1E1E"/>
          <w:sz w:val="18"/>
        </w:rPr>
        <w:t>§ 11. Aplica-se o limite fixado no art. 37, XI, à soma total dos proventos de inatividade, inclusive quando decorrentes da acumulação de cargos ou empregos públicos, bem como de outras atividades sujeitas a contribuição para o regime geral de previdência social, e ao montante resultante da adição de proventos de inatividade com remuneração de cargo acumulável na forma desta Constituição, cargo em comissão declarado em lei de livre nomeação e exoneração, e de cargo eletivo. (Incluído pela EC n. 20/1998)</w:t>
      </w:r>
    </w:p>
    <w:p>
      <w:pPr>
        <w:ind w:left="288"/>
      </w:pPr>
      <w:r>
        <w:rPr>
          <w:color w:val="8C8C8C"/>
          <w:sz w:val="12"/>
        </w:rPr>
        <w:t>cf-art-40-par-9</w:t>
      </w:r>
      <w:r>
        <w:rPr>
          <w:color w:val="003CA0"/>
          <w:sz w:val="12"/>
        </w:rPr>
        <w:t xml:space="preserve"> | MS 24.742</w:t>
      </w:r>
      <w:r>
        <w:rPr>
          <w:color w:val="003CA0"/>
          <w:sz w:val="12"/>
        </w:rPr>
        <w:t xml:space="preserve"> | rel. Marco Aurélio</w:t>
      </w:r>
    </w:p>
    <w:p>
      <w:pPr>
        <w:ind w:left="288"/>
      </w:pPr>
      <w:r>
        <w:rPr>
          <w:color w:val="1E1E1E"/>
          <w:sz w:val="18"/>
        </w:rPr>
        <w:t>A Carta de 1988, na redação primitiva, nada dispôs a respeito, em si, da acumulação de proventos. Com a EC 20, deu-se disciplina interpretativa para viabilizar a acumulação de proventos e vencimentos considerados aqueles que, à época, haviam reingressado no serviço público por concurso público de provas ou de provas e títulos e pelas demais formas previstas na CF, vedando-se, isso em 1998, a percepção de mais de uma aposentadoria pelo regime de previdência a que se refere o art. 40 da CF, aplicando-se o limite fixado no § 11 do art. 40 (...).</w:t>
      </w:r>
    </w:p>
    <w:p>
      <w:pPr>
        <w:ind w:left="288"/>
      </w:pPr>
      <w:r>
        <w:rPr>
          <w:b/>
          <w:color w:val="003CA0"/>
          <w:sz w:val="16"/>
        </w:rPr>
        <w:t>[MS 24.742, voto do rel. min. Marco Aurélio, j. 8-9-2004, P, DJ de 11-3-2005.]</w:t>
      </w:r>
    </w:p>
    <w:p>
      <w:pPr>
        <w:ind w:left="288"/>
      </w:pPr>
      <w:r>
        <w:rPr>
          <w:color w:val="8C8C8C"/>
          <w:sz w:val="12"/>
        </w:rPr>
        <w:t>cf-art-40-par-9</w:t>
      </w:r>
      <w:r>
        <w:rPr>
          <w:color w:val="003CA0"/>
          <w:sz w:val="12"/>
        </w:rPr>
        <w:t xml:space="preserve"> | MS 24.448</w:t>
      </w:r>
      <w:r>
        <w:rPr>
          <w:color w:val="003CA0"/>
          <w:sz w:val="12"/>
        </w:rPr>
        <w:t xml:space="preserve"> | rel. Ayres Britto</w:t>
      </w:r>
    </w:p>
    <w:p>
      <w:pPr>
        <w:ind w:left="288"/>
      </w:pPr>
      <w:r>
        <w:rPr>
          <w:color w:val="1E1E1E"/>
          <w:sz w:val="18"/>
        </w:rPr>
        <w:t>= MS 24.448, rel. min. Ayres Britto, j. 27-9-2007, P, DJE de 14-11-2007 § 12. Além do disposto neste artigo, serão observados, em regime próprio de previdência social, no que couber, os requisitos e critérios fixados para o Regime Geral de Previdência Social. (Redação da EC n. 103/2019)</w:t>
      </w:r>
    </w:p>
    <w:p>
      <w:pPr>
        <w:ind w:left="144"/>
      </w:pPr>
      <w:r>
        <w:rPr>
          <w:b/>
          <w:color w:val="B45A00"/>
          <w:sz w:val="16"/>
        </w:rPr>
        <w:t>CONTROLE CONCENTRADO</w:t>
      </w:r>
    </w:p>
    <w:p>
      <w:pPr>
        <w:ind w:left="288"/>
      </w:pPr>
      <w:r>
        <w:rPr>
          <w:color w:val="8C8C8C"/>
          <w:sz w:val="12"/>
        </w:rPr>
        <w:t>cf-art-40-par-9</w:t>
      </w:r>
      <w:r>
        <w:rPr>
          <w:color w:val="003CA0"/>
          <w:sz w:val="12"/>
        </w:rPr>
        <w:t xml:space="preserve"> | ADI 3.105</w:t>
      </w:r>
    </w:p>
    <w:p>
      <w:pPr>
        <w:ind w:left="288"/>
      </w:pPr>
      <w:r>
        <w:rPr>
          <w:color w:val="1E1E1E"/>
          <w:sz w:val="18"/>
        </w:rPr>
        <w:t>Não é inconstitucional o art. 4º, caput, da EC 41, de 19-12-2003, que instituiu contribuição previdenciária sobre os proventos de aposentadoria e as pensões dos servidores públicos da União, dos Estados, do Distrito Federal e dos Municípios, incluídas suas autarquias e fundações.</w:t>
      </w:r>
    </w:p>
    <w:p>
      <w:pPr>
        <w:ind w:left="288"/>
      </w:pPr>
      <w:r>
        <w:rPr>
          <w:b/>
          <w:color w:val="003CA0"/>
          <w:sz w:val="16"/>
        </w:rPr>
        <w:t>[ADI 3.105 e ADI 3.128, red. do ac. min. Cezar Peluso, j. 18-8-2004, P, DJ de 18-2-2005.]</w:t>
      </w:r>
    </w:p>
    <w:p>
      <w:pPr>
        <w:ind w:left="144"/>
      </w:pPr>
      <w:r>
        <w:rPr>
          <w:b/>
          <w:color w:val="B45A00"/>
          <w:sz w:val="16"/>
        </w:rPr>
        <w:t>REPERCUSSAO GERAL</w:t>
      </w:r>
    </w:p>
    <w:p>
      <w:pPr>
        <w:ind w:left="288"/>
      </w:pPr>
      <w:r>
        <w:rPr>
          <w:color w:val="8C8C8C"/>
          <w:sz w:val="12"/>
        </w:rPr>
        <w:t>cf-art-40-par-9</w:t>
      </w:r>
      <w:r>
        <w:rPr>
          <w:color w:val="003CA0"/>
          <w:sz w:val="12"/>
        </w:rPr>
        <w:t xml:space="preserve"> | RE 593.068</w:t>
      </w:r>
      <w:r>
        <w:rPr>
          <w:color w:val="003CA0"/>
          <w:sz w:val="12"/>
        </w:rPr>
        <w:t xml:space="preserve"> | rel. Roberto Barroso</w:t>
      </w:r>
    </w:p>
    <w:p>
      <w:pPr>
        <w:ind w:left="288"/>
      </w:pPr>
      <w:r>
        <w:rPr>
          <w:color w:val="1E1E1E"/>
          <w:sz w:val="18"/>
        </w:rPr>
        <w:t>O regime previdenciário próprio, aplicável aos servidores públicos, rege-se pelas normas expressas do art. 40 da Constituição, e por dois vetores sistêmicos: (a) o caráter contributivo; e (b) o princípio da solidariedade. A leitura dos §§ 3º e 12 do art. 40, c/c o § 11 do art. 201 da CF, deixa claro que somente devem figurar como base de cálculo da contribuição previdenciária as remunerações/ganhos habituais que tenham ‘repercussão em benefícios’. Como consequência, ficam excluídas as verbas que não se incorporam à aposentadoria. Ademais, a dimensão contributiva do sistema é incompatível com a</w:t>
      </w:r>
    </w:p>
    <w:p>
      <w:pPr>
        <w:ind w:left="288"/>
      </w:pPr>
      <w:r>
        <w:rPr>
          <w:b/>
          <w:color w:val="003CA0"/>
          <w:sz w:val="16"/>
        </w:rPr>
        <w:t>[RE 593.068, rel. min. Roberto Barroso, j. 11-10-2018, P, DJE de 22-3-2019, Tema 163, com mérito julgado.]</w:t>
      </w:r>
    </w:p>
    <w:p>
      <w:pPr>
        <w:ind w:left="144"/>
      </w:pPr>
      <w:r>
        <w:rPr>
          <w:b/>
          <w:color w:val="B45A00"/>
          <w:sz w:val="16"/>
        </w:rPr>
        <w:t>JULGADOS CORRELATOS</w:t>
      </w:r>
    </w:p>
    <w:p>
      <w:pPr>
        <w:ind w:left="288"/>
      </w:pPr>
      <w:r>
        <w:rPr>
          <w:color w:val="8C8C8C"/>
          <w:sz w:val="12"/>
        </w:rPr>
        <w:t>cf-art-40-par-9</w:t>
      </w:r>
      <w:r>
        <w:rPr>
          <w:color w:val="003CA0"/>
          <w:sz w:val="12"/>
        </w:rPr>
        <w:t xml:space="preserve"> | RE 463.348</w:t>
      </w:r>
      <w:r>
        <w:rPr>
          <w:color w:val="003CA0"/>
          <w:sz w:val="12"/>
        </w:rPr>
        <w:t xml:space="preserve"> | rel. Sepúlveda Pertence</w:t>
      </w:r>
    </w:p>
    <w:p>
      <w:pPr>
        <w:ind w:left="288"/>
      </w:pPr>
      <w:r>
        <w:rPr>
          <w:color w:val="1E1E1E"/>
          <w:sz w:val="18"/>
        </w:rPr>
        <w:t>Servidor público. Contribuição previdenciária: não incidência sobre a vantagem não incorporável ao vencimento para o cálculo dos proventos de aposentadoria, relativa ao exercício de função ou cargo comissionados (CF, art. 40, § 12, c/c art. 201, § 11, e art. 195, § 5º; Lei 9.527, de 10-12-1997).</w:t>
      </w:r>
    </w:p>
    <w:p>
      <w:pPr>
        <w:ind w:left="288"/>
      </w:pPr>
      <w:r>
        <w:rPr>
          <w:b/>
          <w:color w:val="003CA0"/>
          <w:sz w:val="16"/>
        </w:rPr>
        <w:t>[RE 463.348, rel. min. Sepúlveda Pertence, j. 14-2-2006, 1ª T, DJ de 7-4-2006.]</w:t>
      </w:r>
    </w:p>
    <w:p>
      <w:pPr>
        <w:ind w:left="288"/>
      </w:pPr>
      <w:r>
        <w:rPr>
          <w:color w:val="8C8C8C"/>
          <w:sz w:val="12"/>
        </w:rPr>
        <w:t>cf-art-40-par-9</w:t>
      </w:r>
      <w:r>
        <w:rPr>
          <w:color w:val="003CA0"/>
          <w:sz w:val="12"/>
        </w:rPr>
        <w:t xml:space="preserve"> | RE 467.624</w:t>
      </w:r>
      <w:r>
        <w:rPr>
          <w:color w:val="003CA0"/>
          <w:sz w:val="12"/>
        </w:rPr>
        <w:t xml:space="preserve"> | rel. Cármen Lúcia</w:t>
      </w:r>
    </w:p>
    <w:p>
      <w:pPr>
        <w:ind w:left="288"/>
      </w:pPr>
      <w:r>
        <w:rPr>
          <w:color w:val="1E1E1E"/>
          <w:sz w:val="18"/>
        </w:rPr>
        <w:t xml:space="preserve">= RE 467.624 AgR, rel. min. Cármen Lúcia, j. 26-5-2009, 1ª T, DJE de 1º-7-2009 Contribuição instituída pela Lei estadual 7.672/1982. Proventos da inatividade e pensões. Assistência médica diferenciada. Legitimidade da cobrança somente até o advento da EC 20/1998. (...) O STF, no julgamento do RE 367.094 AgR, rel. min. Sepúlveda Pertence, assentou a ilegitimidade da cobrança da contribuição previdenciária de 2%, após o advento da EC 20/1998. A natureza de assistência médica diferenciada não viabiliza a cobrança da mencionada contribuição após a edição da EC 20/1998 (Precedente: RE 357.846 AgR, </w:t>
      </w:r>
    </w:p>
    <w:p>
      <w:pPr>
        <w:ind w:left="288"/>
      </w:pPr>
      <w:r>
        <w:rPr>
          <w:b/>
          <w:color w:val="003CA0"/>
          <w:sz w:val="16"/>
        </w:rPr>
        <w:t>[RE 377.225 AgR, red. do ac. min. Ayres Britto, rel. min. Marco Aurélio, j. 11-5-2004, 1ª T, DJ de 23-11-2007.]</w:t>
      </w:r>
    </w:p>
    <w:p>
      <w:pPr>
        <w:ind w:left="288"/>
      </w:pPr>
      <w:r>
        <w:rPr>
          <w:color w:val="8C8C8C"/>
          <w:sz w:val="12"/>
        </w:rPr>
        <w:t>cf-art-40-par-9</w:t>
      </w:r>
      <w:r>
        <w:rPr>
          <w:color w:val="003CA0"/>
          <w:sz w:val="12"/>
        </w:rPr>
        <w:t xml:space="preserve"> | RE 630.935</w:t>
      </w:r>
      <w:r>
        <w:rPr>
          <w:color w:val="003CA0"/>
          <w:sz w:val="12"/>
        </w:rPr>
        <w:t xml:space="preserve"> | rel. Cármen Lúcia</w:t>
      </w:r>
    </w:p>
    <w:p>
      <w:pPr>
        <w:ind w:left="288"/>
      </w:pPr>
      <w:r>
        <w:rPr>
          <w:color w:val="1E1E1E"/>
          <w:sz w:val="18"/>
        </w:rPr>
        <w:t>= RE 630.935 AgR, rel. min. Cármen Lúcia, j. 15-2-2011, 1ª T, DJE de 4-3-2011 = ADI 2.158, rel. min. Dias Toffoli, j. 15-9-2010, P, DJE de 16-12-2010 O custeio da assistência médica diferenciada presente no Estado do Rio Grande do Sul, por se tratar de ação voltada a assegurar direitos relativos à saúde, é espécie vinculada ao financiamento da seguridade social e, portanto, conforme decidido por esta Corte na ADI 2.010, medida liminar, rel. min. Celso de Mello, não pode ser aplicada aos aposentados e pensionistas. Ocorrerá restituição das contribuições a partir do advento da EC 20/1998, não se</w:t>
      </w:r>
    </w:p>
    <w:p>
      <w:pPr>
        <w:ind w:left="288"/>
      </w:pPr>
      <w:r>
        <w:rPr>
          <w:b/>
          <w:color w:val="003CA0"/>
          <w:sz w:val="16"/>
        </w:rPr>
        <w:t>[RE 357.628 AgR, rel. min. Joaquim Barbosa, j. 16-9-2003, 1ª T, DJ de 3-10-2003.]</w:t>
      </w:r>
    </w:p>
    <w:p>
      <w:pPr>
        <w:ind w:left="288"/>
      </w:pPr>
      <w:r>
        <w:rPr>
          <w:color w:val="8C8C8C"/>
          <w:sz w:val="12"/>
        </w:rPr>
        <w:t>cf-art-40-par-9</w:t>
      </w:r>
      <w:r>
        <w:rPr>
          <w:color w:val="003CA0"/>
          <w:sz w:val="12"/>
        </w:rPr>
        <w:t xml:space="preserve"> | RE 630.935</w:t>
      </w:r>
      <w:r>
        <w:rPr>
          <w:color w:val="003CA0"/>
          <w:sz w:val="12"/>
        </w:rPr>
        <w:t xml:space="preserve"> | rel. Cármen Lúcia</w:t>
      </w:r>
    </w:p>
    <w:p>
      <w:pPr>
        <w:ind w:left="288"/>
      </w:pPr>
      <w:r>
        <w:rPr>
          <w:color w:val="1E1E1E"/>
          <w:sz w:val="18"/>
        </w:rPr>
        <w:t>= RE 630.935 AgR, rel. min. Cármen Lúcia, j. 15-2-2011, 1ª T, DJE de 4-3-2011 § 13. Aplica-se ao agente público ocupante, exclusivamente, de cargo em comissão declarado em lei de livre nomeação e exoneração, de outro cargo temporário, inclusive mandato eletivo, ou de emprego público, o Regime Geral de Previdência Social. (Redação da EC n. 103/2019)</w:t>
      </w:r>
    </w:p>
    <w:p>
      <w:pPr>
        <w:ind w:left="144"/>
      </w:pPr>
      <w:r>
        <w:rPr>
          <w:b/>
          <w:color w:val="B45A00"/>
          <w:sz w:val="16"/>
        </w:rPr>
        <w:t>CONTROLE CONCENTRADO</w:t>
      </w:r>
    </w:p>
    <w:p>
      <w:pPr>
        <w:ind w:left="288"/>
      </w:pPr>
      <w:r>
        <w:rPr>
          <w:color w:val="8C8C8C"/>
          <w:sz w:val="12"/>
        </w:rPr>
        <w:t>cf-art-40-par-9</w:t>
      </w:r>
      <w:r>
        <w:rPr>
          <w:color w:val="003CA0"/>
          <w:sz w:val="12"/>
        </w:rPr>
        <w:t xml:space="preserve"> | ADI 2.177</w:t>
      </w:r>
      <w:r>
        <w:rPr>
          <w:color w:val="003CA0"/>
          <w:sz w:val="12"/>
        </w:rPr>
        <w:t xml:space="preserve"> | rel. Gilmar Mendes</w:t>
      </w:r>
    </w:p>
    <w:p>
      <w:pPr>
        <w:ind w:left="288"/>
      </w:pPr>
      <w:r>
        <w:rPr>
          <w:color w:val="1E1E1E"/>
          <w:sz w:val="18"/>
        </w:rPr>
        <w:t>A Emenda Constitucional 20/98 limitou a filiação aos regimes próprios de previdência apenas a servidores titulares de cargo efetivo, bem como vedou a criação de regimes previdenciários alternativos, em benefício de categorias determinadas. Os agentes políticos, no exercício de mandato, desempenham cargos públicos temporários, de modo que se submetem à filiação obrigatória ao Regime Geral de Previdência Social, a teor do disposto no art. 40, §13, da Constituição Federal, incluído pela EC 20/18.</w:t>
      </w:r>
    </w:p>
    <w:p>
      <w:pPr>
        <w:ind w:left="288"/>
      </w:pPr>
      <w:r>
        <w:rPr>
          <w:b/>
          <w:color w:val="003CA0"/>
          <w:sz w:val="16"/>
        </w:rPr>
        <w:t>[ADI 2.177, rel. min. Gilmar Mendes, j. 4-10-2019, P, DJE de 17-10-2019.]</w:t>
      </w:r>
    </w:p>
    <w:p>
      <w:pPr>
        <w:ind w:left="288"/>
      </w:pPr>
      <w:r>
        <w:rPr>
          <w:color w:val="8C8C8C"/>
          <w:sz w:val="12"/>
        </w:rPr>
        <w:t>cf-art-40-par-9</w:t>
      </w:r>
      <w:r>
        <w:rPr>
          <w:color w:val="003CA0"/>
          <w:sz w:val="12"/>
        </w:rPr>
        <w:t xml:space="preserve"> | ADI 3.106</w:t>
      </w:r>
      <w:r>
        <w:rPr>
          <w:color w:val="003CA0"/>
          <w:sz w:val="12"/>
        </w:rPr>
        <w:t xml:space="preserve"> | rel. Luiz Fux</w:t>
      </w:r>
    </w:p>
    <w:p>
      <w:pPr>
        <w:ind w:left="288"/>
      </w:pPr>
      <w:r>
        <w:rPr>
          <w:color w:val="1E1E1E"/>
          <w:sz w:val="18"/>
        </w:rPr>
        <w:t>Regime próprio de previdência privada e assistência social dos servidores do Estado de Minas Gerais. Aposentadoria e benefícios assegurados a servidores não titulares de cargo efetivo. Alegada violação aos arts. 40, § 13, e 149, § 1º, da CF. Ação direta julgada parcialmente procedente (...). (...) Embargos de declaração acolhidos parcialmente para (...) conferir efeitos prospectivos (eficácia ex nunc) à declaração de inconstitucionalidade proferida pelo STF no julgamento de mérito da presente ação direta, fixando como marco temporal de início da sua vigência a data de conclusão daquele julgame</w:t>
      </w:r>
    </w:p>
    <w:p>
      <w:pPr>
        <w:ind w:left="288"/>
      </w:pPr>
      <w:r>
        <w:rPr>
          <w:b/>
          <w:color w:val="003CA0"/>
          <w:sz w:val="16"/>
        </w:rPr>
        <w:t>[ADI 3.106 ED, rel. min. Luiz Fux, j. 20-5-2015, P, DJE de 13-8-2015.]</w:t>
      </w:r>
    </w:p>
    <w:p>
      <w:pPr>
        <w:ind w:left="288"/>
      </w:pPr>
      <w:r>
        <w:rPr>
          <w:color w:val="8C8C8C"/>
          <w:sz w:val="12"/>
        </w:rPr>
        <w:t>cf-art-40-par-9</w:t>
      </w:r>
      <w:r>
        <w:rPr>
          <w:color w:val="003CA0"/>
          <w:sz w:val="12"/>
        </w:rPr>
        <w:t xml:space="preserve"> | ADI 3.106</w:t>
      </w:r>
      <w:r>
        <w:rPr>
          <w:color w:val="003CA0"/>
          <w:sz w:val="12"/>
        </w:rPr>
        <w:t xml:space="preserve"> | rel. Eros Grau</w:t>
      </w:r>
    </w:p>
    <w:p>
      <w:pPr>
        <w:ind w:left="288"/>
      </w:pPr>
      <w:r>
        <w:rPr>
          <w:color w:val="1E1E1E"/>
          <w:sz w:val="18"/>
        </w:rPr>
        <w:t>Vide ADI 3.106, rel. min. Eros Grau, j. 14-4-2010, P, DJE de 24-9-2010</w:t>
      </w:r>
    </w:p>
    <w:p>
      <w:pPr>
        <w:ind w:left="144"/>
      </w:pPr>
      <w:r>
        <w:rPr>
          <w:b/>
          <w:color w:val="B45A00"/>
          <w:sz w:val="16"/>
        </w:rPr>
        <w:t>REPERCUSSAO GERAL</w:t>
      </w:r>
    </w:p>
    <w:p>
      <w:pPr>
        <w:ind w:left="288"/>
      </w:pPr>
      <w:r>
        <w:rPr>
          <w:color w:val="8C8C8C"/>
          <w:sz w:val="12"/>
        </w:rPr>
        <w:t>cf-art-40-par-9</w:t>
      </w:r>
      <w:r>
        <w:rPr>
          <w:color w:val="003CA0"/>
          <w:sz w:val="12"/>
        </w:rPr>
        <w:t xml:space="preserve"> | ARE 1.371.155</w:t>
      </w:r>
      <w:r>
        <w:rPr>
          <w:color w:val="003CA0"/>
          <w:sz w:val="12"/>
        </w:rPr>
        <w:t xml:space="preserve"> | rel. Luiz Fux</w:t>
      </w:r>
    </w:p>
    <w:p>
      <w:pPr>
        <w:ind w:left="288"/>
      </w:pPr>
      <w:r>
        <w:rPr>
          <w:color w:val="1E1E1E"/>
          <w:sz w:val="18"/>
        </w:rPr>
        <w:t>É infraconstitucional, a ela se aplicando os efeitos da ausência de repercussão geral, a controvérsia relativa à prorrogação de licença-maternidade a servidoras estaduais contratadas em caráter temporário.</w:t>
      </w:r>
    </w:p>
    <w:p>
      <w:pPr>
        <w:ind w:left="288"/>
      </w:pPr>
      <w:r>
        <w:rPr>
          <w:b/>
          <w:color w:val="003CA0"/>
          <w:sz w:val="16"/>
        </w:rPr>
        <w:t>[ARE 1.371.155 RG, rel. min. Luiz Fux, j. 28-4-2022, P, DJE de 9-5-2022, Tema 1.212, com repercussão geral negada.]</w:t>
      </w:r>
    </w:p>
    <w:p>
      <w:pPr>
        <w:ind w:left="288"/>
      </w:pPr>
      <w:r>
        <w:rPr>
          <w:color w:val="8C8C8C"/>
          <w:sz w:val="12"/>
        </w:rPr>
        <w:t>cf-art-40-par-9</w:t>
      </w:r>
      <w:r>
        <w:rPr>
          <w:color w:val="003CA0"/>
          <w:sz w:val="12"/>
        </w:rPr>
        <w:t xml:space="preserve"> | RE 626.837</w:t>
      </w:r>
      <w:r>
        <w:rPr>
          <w:color w:val="003CA0"/>
          <w:sz w:val="12"/>
        </w:rPr>
        <w:t xml:space="preserve"> | rel. Dias Toffoli</w:t>
      </w:r>
    </w:p>
    <w:p>
      <w:pPr>
        <w:ind w:left="288"/>
      </w:pPr>
      <w:r>
        <w:rPr>
          <w:color w:val="1E1E1E"/>
          <w:sz w:val="18"/>
        </w:rPr>
        <w:t>A partir da nova redação dada ao art. 195, I, a, e II, da Constituição pela Emenda Constitucional 20/1998, há previsão de incidência da contribuição previdenciária sobre a folha de salários e demais rendimentos do trabalho pagos ou creditados, a qualquer título, a pessoa física que preste serviço à União, aos Estados ou aos Municípios, mesmo sem vínculo empregatício. Não se verifica, ademais, a restrição de se considerar como segurado obrigatório da Previdência Social somente o "trabalhador", já que o texto constitucional se refere também a "demais segurados da Previdência Social". A EC 20/199</w:t>
      </w:r>
    </w:p>
    <w:p>
      <w:pPr>
        <w:ind w:left="288"/>
      </w:pPr>
      <w:r>
        <w:rPr>
          <w:b/>
          <w:color w:val="003CA0"/>
          <w:sz w:val="16"/>
        </w:rPr>
        <w:t>[RE 626.837, rel. min. Dias Toffoli, j. 25-5-2017, P, DJE de 1º-2-2018, Tema 691, com mérito julgado.]</w:t>
      </w:r>
    </w:p>
    <w:p>
      <w:pPr>
        <w:ind w:left="144"/>
      </w:pPr>
      <w:r>
        <w:rPr>
          <w:b/>
          <w:color w:val="B45A00"/>
          <w:sz w:val="16"/>
        </w:rPr>
        <w:t>JULGADOS CORRELATOS</w:t>
      </w:r>
    </w:p>
    <w:p>
      <w:pPr>
        <w:ind w:left="288"/>
      </w:pPr>
      <w:r>
        <w:rPr>
          <w:color w:val="8C8C8C"/>
          <w:sz w:val="12"/>
        </w:rPr>
        <w:t>cf-art-40-par-9</w:t>
      </w:r>
      <w:r>
        <w:rPr>
          <w:color w:val="003CA0"/>
          <w:sz w:val="12"/>
        </w:rPr>
        <w:t xml:space="preserve"> | AI 578.458</w:t>
      </w:r>
      <w:r>
        <w:rPr>
          <w:color w:val="003CA0"/>
          <w:sz w:val="12"/>
        </w:rPr>
        <w:t xml:space="preserve"> | rel. Gilmar Mendes</w:t>
      </w:r>
    </w:p>
    <w:p>
      <w:pPr>
        <w:ind w:left="288"/>
      </w:pPr>
      <w:r>
        <w:rPr>
          <w:color w:val="1E1E1E"/>
          <w:sz w:val="18"/>
        </w:rPr>
        <w:t>Não tem direito à aposentadoria estatutária o servidor detentor de cargo em comissão aposentado após a EC 20, de 16-12-1998.</w:t>
      </w:r>
    </w:p>
    <w:p>
      <w:pPr>
        <w:ind w:left="288"/>
      </w:pPr>
      <w:r>
        <w:rPr>
          <w:b/>
          <w:color w:val="003CA0"/>
          <w:sz w:val="16"/>
        </w:rPr>
        <w:t>[AI 578.458 AgR, rel. min. Gilmar Mendes, j. 14-8-2007, 2ª T, DJ de 14-9-2007.]</w:t>
      </w:r>
    </w:p>
    <w:p>
      <w:pPr>
        <w:ind w:left="288"/>
      </w:pPr>
      <w:r>
        <w:rPr>
          <w:color w:val="8C8C8C"/>
          <w:sz w:val="12"/>
        </w:rPr>
        <w:t>cf-art-40-par-9</w:t>
      </w:r>
      <w:r>
        <w:rPr>
          <w:color w:val="003CA0"/>
          <w:sz w:val="12"/>
        </w:rPr>
        <w:t xml:space="preserve"> | MS 24.024</w:t>
      </w:r>
      <w:r>
        <w:rPr>
          <w:color w:val="003CA0"/>
          <w:sz w:val="12"/>
        </w:rPr>
        <w:t xml:space="preserve"> | rel. Ilmar Galvão</w:t>
      </w:r>
    </w:p>
    <w:p>
      <w:pPr>
        <w:ind w:left="288"/>
      </w:pPr>
      <w:r>
        <w:rPr>
          <w:color w:val="1E1E1E"/>
          <w:sz w:val="18"/>
        </w:rPr>
        <w:t>A nomeação para cargo comissionado após a Lei 8.647, de 1993, não gera direito ao cálculo dos proventos de aposentadoria pelo regime estatutário, mas pelo regime geral da previdência social, nos moldes do cargo ocupado pelo impetrante à época da edição da lei. A lei submeteu os detentores de cargos em comissão ao regime geral da previdência social.</w:t>
      </w:r>
    </w:p>
    <w:p>
      <w:pPr>
        <w:ind w:left="288"/>
      </w:pPr>
      <w:r>
        <w:rPr>
          <w:b/>
          <w:color w:val="003CA0"/>
          <w:sz w:val="16"/>
        </w:rPr>
        <w:t>[MS 24.024, red. do ac. min. Gilmar Mendes, rel. min. Ilmar Galvão, j. 19-3-2003, P, DJ de 24-10-2003.]</w:t>
      </w:r>
    </w:p>
    <w:p>
      <w:pPr>
        <w:ind w:left="288"/>
      </w:pPr>
      <w:r>
        <w:rPr>
          <w:color w:val="8C8C8C"/>
          <w:sz w:val="12"/>
        </w:rPr>
        <w:t>cf-art-40-par-9</w:t>
      </w:r>
      <w:r>
        <w:rPr>
          <w:color w:val="003CA0"/>
          <w:sz w:val="12"/>
        </w:rPr>
        <w:t xml:space="preserve"> | ADI 4.863</w:t>
      </w:r>
      <w:r>
        <w:rPr>
          <w:color w:val="003CA0"/>
          <w:sz w:val="12"/>
        </w:rPr>
        <w:t xml:space="preserve"> | rel. André Mendonça</w:t>
      </w:r>
    </w:p>
    <w:p>
      <w:pPr>
        <w:ind w:left="288"/>
      </w:pPr>
      <w:r>
        <w:rPr>
          <w:color w:val="1E1E1E"/>
          <w:sz w:val="18"/>
        </w:rPr>
        <w:t>§ 14. A União, os Estados, o Distrito Federal e os Municípios instituirão, por lei de iniciativa do respectivo Poder Executivo, regime de previdência complementar para servidores públicos ocupantes de cargo efetivo, observado o limite máximo dos benefícios do Regime Geral de Previdência Social para o valor das aposentadorias e das pensões em regime próprio de previdência social, ressalvado o disposto no § 16. (Redação da EC n. 103/2019) Regime de previdência complementar dos servidores públicos titulares de cargo efetivo. Art. 40, §§14 e 15, da constituição (EC nº 41, de 2003) e Lei nº 12.618,</w:t>
      </w:r>
    </w:p>
    <w:p>
      <w:pPr>
        <w:ind w:left="288"/>
      </w:pPr>
      <w:r>
        <w:rPr>
          <w:b/>
          <w:color w:val="003CA0"/>
          <w:sz w:val="16"/>
        </w:rPr>
        <w:t>[ADI 4.863, rel. min. André Mendonça, j. 11.11.2025, P, DJE de 04.12.2025.]</w:t>
      </w:r>
    </w:p>
    <w:p>
      <w:pPr>
        <w:ind w:left="288"/>
      </w:pPr>
      <w:r>
        <w:rPr>
          <w:color w:val="8C8C8C"/>
          <w:sz w:val="12"/>
        </w:rPr>
        <w:t>cf-art-40-par-9</w:t>
      </w:r>
    </w:p>
    <w:p>
      <w:pPr>
        <w:ind w:left="288"/>
      </w:pPr>
      <w:r>
        <w:rPr>
          <w:color w:val="1E1E1E"/>
          <w:sz w:val="18"/>
        </w:rPr>
        <w:t>§ 15. O regime de previdência complementar de que trata o § 14 oferecerá plano de benefícios somente na modalidade contribuição definida, observará o disposto no art. 202 e será efetivado por intermédio de entidade fechada de previdência complementar ou de entidade aberta de previdência complementar. (Redação da EC n. 103/2019)</w:t>
      </w:r>
    </w:p>
    <w:p>
      <w:pPr>
        <w:ind w:left="144"/>
      </w:pPr>
      <w:r>
        <w:rPr>
          <w:b/>
          <w:color w:val="B45A00"/>
          <w:sz w:val="16"/>
        </w:rPr>
        <w:t>CONTROLE CONCENTRADO</w:t>
      </w:r>
    </w:p>
    <w:p>
      <w:pPr>
        <w:ind w:left="288"/>
      </w:pPr>
      <w:r>
        <w:rPr>
          <w:color w:val="8C8C8C"/>
          <w:sz w:val="12"/>
        </w:rPr>
        <w:t>cf-art-40-par-9</w:t>
      </w:r>
      <w:r>
        <w:rPr>
          <w:color w:val="003CA0"/>
          <w:sz w:val="12"/>
        </w:rPr>
        <w:t xml:space="preserve"> | ADI 3.297</w:t>
      </w:r>
      <w:r>
        <w:rPr>
          <w:color w:val="003CA0"/>
          <w:sz w:val="12"/>
        </w:rPr>
        <w:t xml:space="preserve"> | rel. Alexandre de Moraes</w:t>
      </w:r>
    </w:p>
    <w:p>
      <w:pPr>
        <w:ind w:left="288"/>
      </w:pPr>
      <w:r>
        <w:rPr>
          <w:color w:val="1E1E1E"/>
          <w:sz w:val="18"/>
        </w:rPr>
        <w:t>O Regime de Previdência Complementar (RPC) é facultativo, tanto na instituição, pelo ente federativo, quanto na adesão, por parte do servidor. A norma constitucional impõe que os benefícios a serem pagos pelo RPC sejam estruturados exclusivamente na modalidade de contribuição definida (art. 40, § 15, da CF), permitindo ao participante indicar o valor de sua contribuição mensal e projetar o valor da renda a ser recebida no momento de sua aposentadoria. Por isso, a mudança nas regras de aposentadoria não compromete as prerrogativas funcionais e institucionais do Poder Judiciário e de seus membro</w:t>
      </w:r>
    </w:p>
    <w:p>
      <w:pPr>
        <w:ind w:left="288"/>
      </w:pPr>
      <w:r>
        <w:rPr>
          <w:b/>
          <w:color w:val="003CA0"/>
          <w:sz w:val="16"/>
        </w:rPr>
        <w:t>[ADI 3.297, rel. min. Alexandre de Moraes, j. 11-10-2019, P, DJE de 25-10-2019.]</w:t>
      </w:r>
    </w:p>
    <w:p>
      <w:pPr>
        <w:ind w:left="288"/>
      </w:pPr>
      <w:r>
        <w:rPr>
          <w:color w:val="8C8C8C"/>
          <w:sz w:val="12"/>
        </w:rPr>
        <w:t>cf-art-40-par-9</w:t>
      </w:r>
    </w:p>
    <w:p>
      <w:pPr>
        <w:ind w:left="288"/>
      </w:pPr>
      <w:r>
        <w:rPr>
          <w:color w:val="1E1E1E"/>
          <w:sz w:val="18"/>
        </w:rPr>
        <w:t>§ 16. Somente mediante sua prévia e expressa opção, o disposto nos §§ 14 e 15 poderá ser aplicado ao servidor que tiver ingressado no serviço público até a data da publicação do ato de instituição do correspondente regime de previdência complementar. (Incluído pela EC n. 20/1998)</w:t>
      </w:r>
    </w:p>
    <w:p>
      <w:pPr>
        <w:ind w:left="288"/>
      </w:pPr>
      <w:r>
        <w:rPr>
          <w:color w:val="8C8C8C"/>
          <w:sz w:val="12"/>
        </w:rPr>
        <w:t>cf-art-40-par-9</w:t>
      </w:r>
      <w:r>
        <w:rPr>
          <w:color w:val="003CA0"/>
          <w:sz w:val="12"/>
        </w:rPr>
        <w:t xml:space="preserve"> | ADI 4.885</w:t>
      </w:r>
      <w:r>
        <w:rPr>
          <w:color w:val="003CA0"/>
          <w:sz w:val="12"/>
        </w:rPr>
        <w:t xml:space="preserve"> | rel. Marco Aurélio</w:t>
      </w:r>
    </w:p>
    <w:p>
      <w:pPr>
        <w:ind w:left="288"/>
      </w:pPr>
      <w:r>
        <w:rPr>
          <w:color w:val="1E1E1E"/>
          <w:sz w:val="18"/>
        </w:rPr>
        <w:t>Descabe ao Supremo, no exercício da função de legislador negativo, suspender a eficácia de dispositivos que definem novo termo final para a formalização, por servidor público – gênero –, de opção pelo ingresso no regime de previdência complementar ao qual se refere o § 16 do artigo 40 da Constituição Federal, sob pena de indevida manipulação de opção político-normativa do Parlamento.</w:t>
      </w:r>
    </w:p>
    <w:p>
      <w:pPr>
        <w:ind w:left="288"/>
      </w:pPr>
      <w:r>
        <w:rPr>
          <w:b/>
          <w:color w:val="003CA0"/>
          <w:sz w:val="16"/>
        </w:rPr>
        <w:t>[ADI 4.885-MC, rel. min. Marco Aurélio, j. 27-6-2018, P, DJE de 1º-8-2019.]</w:t>
      </w:r>
    </w:p>
    <w:p>
      <w:pPr>
        <w:ind w:left="288"/>
      </w:pPr>
      <w:r>
        <w:rPr>
          <w:color w:val="8C8C8C"/>
          <w:sz w:val="12"/>
        </w:rPr>
        <w:t>cf-art-40-par-9</w:t>
      </w:r>
    </w:p>
    <w:p>
      <w:pPr>
        <w:ind w:left="288"/>
      </w:pPr>
      <w:r>
        <w:rPr>
          <w:color w:val="1E1E1E"/>
          <w:sz w:val="18"/>
        </w:rPr>
        <w:t>§ 17. Todos os valores de remuneração considerados para o cálculo do benefício previsto no § 3° serão devidamente atualizados, na forma da lei. (Incluído pela EC n. 41/2003) § 18. Incidirá contribuição sobre os proventos de aposentadorias e pensões concedidas pelo regime de que trata este artigo que superem o limite máximo estabelecido para os benefícios do regime geral de previdência social de que trata o art. 201, com percentual igual ao estabelecido para os servidores titulares de cargos efetivos. (Incluído pela EC n. 41/2003)</w:t>
      </w:r>
    </w:p>
    <w:p>
      <w:pPr>
        <w:ind w:left="288"/>
      </w:pPr>
      <w:r>
        <w:rPr>
          <w:color w:val="8C8C8C"/>
          <w:sz w:val="12"/>
        </w:rPr>
        <w:t>cf-art-40-par-9</w:t>
      </w:r>
      <w:r>
        <w:rPr>
          <w:color w:val="003CA0"/>
          <w:sz w:val="12"/>
        </w:rPr>
        <w:t xml:space="preserve"> | ADI 3.133</w:t>
      </w:r>
      <w:r>
        <w:rPr>
          <w:color w:val="003CA0"/>
          <w:sz w:val="12"/>
        </w:rPr>
        <w:t xml:space="preserve"> | rel. Cármen Lúcia</w:t>
      </w:r>
    </w:p>
    <w:p>
      <w:pPr>
        <w:ind w:left="288"/>
      </w:pPr>
      <w:r>
        <w:rPr>
          <w:color w:val="1E1E1E"/>
          <w:sz w:val="18"/>
        </w:rPr>
        <w:t>A discriminação determinada pelo art. 40, § 18, da Constituição da República, segundo a qual incidirá contribuição previdenciária sobre os proventos de aposentadorias e pensões que excederem o limite máximo estabelecido para os benefícios do regime geral de previdência social configura situação justificadamente favorável àqueles que já recebiam benefícios quando do advento da Emenda Constitucional 41/2003, incluídos no rol dos contribuintes (...).</w:t>
      </w:r>
    </w:p>
    <w:p>
      <w:pPr>
        <w:ind w:left="288"/>
      </w:pPr>
      <w:r>
        <w:rPr>
          <w:b/>
          <w:color w:val="003CA0"/>
          <w:sz w:val="16"/>
        </w:rPr>
        <w:t>[ADI 3.133, ADI 3.143 e ADI 3.184, rel. min. Cármen Lúcia, j. 24-6-2020, P, DJE de 18-9-2020.]</w:t>
      </w:r>
    </w:p>
    <w:p>
      <w:pPr>
        <w:ind w:left="288"/>
      </w:pPr>
      <w:r>
        <w:rPr>
          <w:color w:val="8C8C8C"/>
          <w:sz w:val="12"/>
        </w:rPr>
        <w:t>cf-art-40-par-9</w:t>
      </w:r>
      <w:r>
        <w:rPr>
          <w:color w:val="003CA0"/>
          <w:sz w:val="12"/>
        </w:rPr>
        <w:t xml:space="preserve"> | ADI 3.105</w:t>
      </w:r>
      <w:r>
        <w:rPr>
          <w:color w:val="003CA0"/>
          <w:sz w:val="12"/>
        </w:rPr>
        <w:t xml:space="preserve"> | rel. Gilmar Mendes</w:t>
      </w:r>
    </w:p>
    <w:p>
      <w:pPr>
        <w:ind w:left="288"/>
      </w:pPr>
      <w:r>
        <w:rPr>
          <w:color w:val="1E1E1E"/>
          <w:sz w:val="18"/>
        </w:rPr>
        <w:t>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 Noutras palavras, não há, em nosso ordenamento, nenhuma norma jurídica válida que, como efeito específico do fato jurídico da aposentadoria, lhe imunize os proventos e as pensões, de modo absoluto, à tributação de</w:t>
      </w:r>
    </w:p>
    <w:p>
      <w:pPr>
        <w:ind w:left="288"/>
      </w:pPr>
      <w:r>
        <w:rPr>
          <w:b/>
          <w:color w:val="003CA0"/>
          <w:sz w:val="16"/>
        </w:rPr>
        <w:t>[ARE 1.427.037 RG, rel. min. Luís Roberto Barroso, j. 09.08.2024, P, DJE de 14.08.2024, Tema 1.312, com repercussão geral negada.]</w:t>
      </w:r>
    </w:p>
    <w:p>
      <w:pPr>
        <w:ind w:left="144"/>
      </w:pPr>
      <w:r>
        <w:rPr>
          <w:b/>
          <w:color w:val="B45A00"/>
          <w:sz w:val="16"/>
        </w:rPr>
        <w:t>REPERCUSSAO GERAL</w:t>
      </w:r>
    </w:p>
    <w:p>
      <w:pPr>
        <w:ind w:left="288"/>
      </w:pPr>
      <w:r>
        <w:rPr>
          <w:color w:val="8C8C8C"/>
          <w:sz w:val="12"/>
        </w:rPr>
        <w:t>cf-art-40-par-9</w:t>
      </w:r>
      <w:r>
        <w:rPr>
          <w:color w:val="003CA0"/>
          <w:sz w:val="12"/>
        </w:rPr>
        <w:t xml:space="preserve"> | ADI 2.010</w:t>
      </w:r>
      <w:r>
        <w:rPr>
          <w:color w:val="003CA0"/>
          <w:sz w:val="12"/>
        </w:rPr>
        <w:t xml:space="preserve"> | rel. Celso de Mello</w:t>
      </w:r>
    </w:p>
    <w:p>
      <w:pPr>
        <w:ind w:left="288"/>
      </w:pPr>
      <w:r>
        <w:rPr>
          <w:color w:val="1E1E1E"/>
          <w:sz w:val="18"/>
        </w:rPr>
        <w:t xml:space="preserve">Repetida é a jurisprudência desta Corte no sentido de que as contribuições recolhidas por órgão de seguridade social dos servidores civis inativos e respectivos pensionistas após a edição da EC 20/1998 são inconstitucionais, por expressa hipótese de não incidência criada pela referida emenda. Nesse contexto, o Tribunal demanda exaustivamente a devolução aos pensionistas e inativos de parcelas indevidamente recolhidas, sob pena de enriquecimento ilícito. Ressalte-se que esta Corte, no julgamento da ADI 2.010 MC, Pleno, rel. min. Celso de Mello, DJ de 29-9-1999, entendeu que o art. 195, II, c/c </w:t>
      </w:r>
    </w:p>
    <w:p>
      <w:pPr>
        <w:ind w:left="144"/>
      </w:pPr>
      <w:r>
        <w:rPr>
          <w:b/>
          <w:color w:val="B45A00"/>
          <w:sz w:val="16"/>
        </w:rPr>
        <w:t>JULGADOS CORRELATOS</w:t>
      </w:r>
    </w:p>
    <w:p>
      <w:pPr>
        <w:ind w:left="288"/>
      </w:pPr>
      <w:r>
        <w:rPr>
          <w:color w:val="8C8C8C"/>
          <w:sz w:val="12"/>
        </w:rPr>
        <w:t>cf-art-40-par-9</w:t>
      </w:r>
      <w:r>
        <w:rPr>
          <w:color w:val="003CA0"/>
          <w:sz w:val="12"/>
        </w:rPr>
        <w:t xml:space="preserve"> | RE 467.929</w:t>
      </w:r>
      <w:r>
        <w:rPr>
          <w:color w:val="003CA0"/>
          <w:sz w:val="12"/>
        </w:rPr>
        <w:t xml:space="preserve"> | rel. Gilmar Mendes</w:t>
      </w:r>
    </w:p>
    <w:p>
      <w:pPr>
        <w:ind w:left="288"/>
      </w:pPr>
      <w:r>
        <w:rPr>
          <w:color w:val="1E1E1E"/>
          <w:sz w:val="18"/>
        </w:rPr>
        <w:t>Servidor público. Contribuição social. Art. 2º da Lei 8.688/1993. Alíquotas progressivas. Constitucionalidade.</w:t>
      </w:r>
    </w:p>
    <w:p>
      <w:pPr>
        <w:ind w:left="288"/>
      </w:pPr>
      <w:r>
        <w:rPr>
          <w:b/>
          <w:color w:val="003CA0"/>
          <w:sz w:val="16"/>
        </w:rPr>
        <w:t>[RE 467.929 AgR, rel. min. Gilmar Mendes, j. 30-9-2008, 2ª T, DJE de 21-11-2008.]</w:t>
      </w:r>
    </w:p>
    <w:p>
      <w:pPr>
        <w:ind w:left="288"/>
      </w:pPr>
      <w:r>
        <w:rPr>
          <w:color w:val="8C8C8C"/>
          <w:sz w:val="12"/>
        </w:rPr>
        <w:t>cf-art-40-par-9</w:t>
      </w:r>
    </w:p>
    <w:p>
      <w:pPr>
        <w:ind w:left="288"/>
      </w:pPr>
      <w:r>
        <w:rPr>
          <w:color w:val="1E1E1E"/>
          <w:sz w:val="18"/>
        </w:rPr>
        <w:t>§ 19. Observados critérios a serem estabelecidos em lei do respectivo ente federativo, o servidor titular de cargo efetivo que tenha completado as exigências para a aposentadoria voluntária e que opte por permanecer em atividade poderá fazer jus a um abono de permanência equivalente, no máximo, ao valor da sua contribuição previdenciária, até completar a idade para aposentadoria compulsória. (Redação da EC n. 103/2019)</w:t>
      </w:r>
    </w:p>
    <w:p>
      <w:pPr>
        <w:ind w:left="144"/>
      </w:pPr>
      <w:r>
        <w:rPr>
          <w:b/>
          <w:color w:val="B45A00"/>
          <w:sz w:val="16"/>
        </w:rPr>
        <w:t>CONTROLE CONCENTRADO</w:t>
      </w:r>
    </w:p>
    <w:p>
      <w:pPr>
        <w:ind w:left="288"/>
      </w:pPr>
      <w:r>
        <w:rPr>
          <w:color w:val="8C8C8C"/>
          <w:sz w:val="12"/>
        </w:rPr>
        <w:t>cf-art-40-par-9</w:t>
      </w:r>
      <w:r>
        <w:rPr>
          <w:color w:val="003CA0"/>
          <w:sz w:val="12"/>
        </w:rPr>
        <w:t xml:space="preserve"> | ADI 5.026</w:t>
      </w:r>
      <w:r>
        <w:rPr>
          <w:color w:val="003CA0"/>
          <w:sz w:val="12"/>
        </w:rPr>
        <w:t xml:space="preserve"> | rel. Rosa Weber</w:t>
      </w:r>
    </w:p>
    <w:p>
      <w:pPr>
        <w:ind w:left="288"/>
      </w:pPr>
      <w:r>
        <w:rPr>
          <w:color w:val="1E1E1E"/>
          <w:sz w:val="18"/>
        </w:rPr>
        <w:t>O abono de permanência deve ser concedido uma vez preenchidos os seus requisitos, sem necessidade de formulação de requerimento ou outra exigência não prevista constitucionalmente. A jurisprudência desta Suprema Corte tem afirmado que cumpridas as condições para o gozo da aposentadoria, o servidor que decida continuar a exercer as atividades laborais tem direito ao aludido abono sem qualquer tipo de exigência adicional.</w:t>
      </w:r>
    </w:p>
    <w:p>
      <w:pPr>
        <w:ind w:left="288"/>
      </w:pPr>
      <w:r>
        <w:rPr>
          <w:b/>
          <w:color w:val="003CA0"/>
          <w:sz w:val="16"/>
        </w:rPr>
        <w:t>[ADI 5.026, rel. min. Rosa Weber, j. 3-3-2020, P, DJE de 12-3-2020.]</w:t>
      </w:r>
    </w:p>
    <w:p>
      <w:pPr>
        <w:ind w:left="144"/>
      </w:pPr>
      <w:r>
        <w:rPr>
          <w:b/>
          <w:color w:val="B45A00"/>
          <w:sz w:val="16"/>
        </w:rPr>
        <w:t>REPERCUSSAO GERAL</w:t>
      </w:r>
    </w:p>
    <w:p>
      <w:pPr>
        <w:ind w:left="288"/>
      </w:pPr>
      <w:r>
        <w:rPr>
          <w:color w:val="8C8C8C"/>
          <w:sz w:val="12"/>
        </w:rPr>
        <w:t>cf-art-40-par-9</w:t>
      </w:r>
      <w:r>
        <w:rPr>
          <w:color w:val="003CA0"/>
          <w:sz w:val="12"/>
        </w:rPr>
        <w:t xml:space="preserve"> | RE 1.348.274</w:t>
      </w:r>
      <w:r>
        <w:rPr>
          <w:color w:val="003CA0"/>
          <w:sz w:val="12"/>
        </w:rPr>
        <w:t xml:space="preserve"> | rel. Luiz Fux</w:t>
      </w:r>
    </w:p>
    <w:p>
      <w:pPr>
        <w:ind w:left="288"/>
      </w:pPr>
      <w:r>
        <w:rPr>
          <w:color w:val="1E1E1E"/>
          <w:sz w:val="18"/>
        </w:rPr>
        <w:t>É infraconstitucional, a ela se aplicando os efeitos da ausência de repercussão geral, a controvérsia relativa à possibilidade de cumulação do abono de permanência com indenização decorrente do indeferimento equivocado de aposentadoria a servidor público.</w:t>
        <w:br/>
        <w:t>[RE 1.348.274 RG, rel. min. Luiz Fux, j. 8-9-2022, P, DJE de 13-9-2022, Tema 1.233, com repercussão geral negada.] Servidor público. Ingresso no serviço público anterior à Constituição da República de 1988. Ausência de concurso público. Abono de permanência. Impossibilidade de extensão das vantagens do servidor efetivo. Tema 1.157 da repercus</w:t>
      </w:r>
    </w:p>
    <w:p>
      <w:pPr>
        <w:ind w:left="288"/>
      </w:pPr>
      <w:r>
        <w:rPr>
          <w:b/>
          <w:color w:val="003CA0"/>
          <w:sz w:val="16"/>
        </w:rPr>
        <w:t>[ARE 1.582.423 AgR, rel. min. Cármen Lúcia, j. 25-2-2026, 1ª T, DJE de 3-3-2026.]</w:t>
      </w:r>
    </w:p>
    <w:p>
      <w:pPr>
        <w:ind w:left="144"/>
      </w:pPr>
      <w:r>
        <w:rPr>
          <w:b/>
          <w:color w:val="B45A00"/>
          <w:sz w:val="16"/>
        </w:rPr>
        <w:t>JULGADOS CORRELATOS</w:t>
      </w:r>
    </w:p>
    <w:p>
      <w:pPr>
        <w:ind w:left="288"/>
      </w:pPr>
      <w:r>
        <w:rPr>
          <w:color w:val="8C8C8C"/>
          <w:sz w:val="12"/>
        </w:rPr>
        <w:t>cf-art-40-par-9</w:t>
      </w:r>
      <w:r>
        <w:rPr>
          <w:color w:val="003CA0"/>
          <w:sz w:val="12"/>
        </w:rPr>
        <w:t xml:space="preserve"> | RE 1.363.132</w:t>
      </w:r>
      <w:r>
        <w:rPr>
          <w:color w:val="003CA0"/>
          <w:sz w:val="12"/>
        </w:rPr>
        <w:t xml:space="preserve"> | rel. Dias Toffoli</w:t>
      </w:r>
    </w:p>
    <w:p>
      <w:pPr>
        <w:ind w:left="288"/>
      </w:pPr>
      <w:r>
        <w:rPr>
          <w:color w:val="1E1E1E"/>
          <w:sz w:val="18"/>
        </w:rPr>
        <w:t>Os servidores públicos efetivos que implementarem os requisitos para a aposentadoria com base na regra do art. 3º da Emenda Constitucional nº 47, de 5 de julho de 2005, no caso de opção por permanecer em atividade, fazem jus à percepção do abono de permanência, tendo em vista que o benefício deve estar condicionado tão somente à reunião dos requisitos para a aposentadoria voluntária.</w:t>
      </w:r>
    </w:p>
    <w:p>
      <w:pPr>
        <w:ind w:left="288"/>
      </w:pPr>
      <w:r>
        <w:rPr>
          <w:b/>
          <w:color w:val="003CA0"/>
          <w:sz w:val="16"/>
        </w:rPr>
        <w:t xml:space="preserve">[RE 1.363.132 AgR, rel. min. Dias Toffoli, j. 28-11-2022, 1ª T, DJE de 9-3-2023.] </w:t>
        <w:br/>
        <w:t>= ARE 1.384.187 AgR, rel. min. Gilmar Mendes, red. do ac. min. André Mendonça, j. 3-7-2023, 2ª T, DJE de 17-8-2023</w:t>
      </w:r>
    </w:p>
    <w:p>
      <w:pPr>
        <w:ind w:left="288"/>
      </w:pPr>
      <w:r>
        <w:rPr>
          <w:color w:val="8C8C8C"/>
          <w:sz w:val="12"/>
        </w:rPr>
        <w:t>cf-art-40-par-9</w:t>
      </w:r>
      <w:r>
        <w:rPr>
          <w:color w:val="003CA0"/>
          <w:sz w:val="12"/>
        </w:rPr>
        <w:t xml:space="preserve"> | ARE 1.295.775</w:t>
      </w:r>
      <w:r>
        <w:rPr>
          <w:color w:val="003CA0"/>
          <w:sz w:val="12"/>
        </w:rPr>
        <w:t xml:space="preserve"> | rel. Alexandre de Moraes</w:t>
      </w:r>
    </w:p>
    <w:p>
      <w:pPr>
        <w:ind w:left="288"/>
      </w:pPr>
      <w:r>
        <w:rPr>
          <w:color w:val="1E1E1E"/>
          <w:sz w:val="18"/>
        </w:rPr>
        <w:t>Servidor público. Abono de permanência. § 19 do art. 40 da Constituição, na redação anterior à emenda 103/2019. (...) Nas hipóteses em que for cabível a recondução ao cargo anterior, o servidor deve continuar recebendo o abono de permanência, mesmo que ocupe outro cargo. No peculiar quadro em exame nestes autos, por manter o direito a se aposentar pelo cargo anterior, está atendida a finalidade do benefício – estimular a permanência do funcionário no serviço ativo e, ao mesmo tempo, proporcionar economia para o Erário. Entretanto, até que implemente os pressupostos para se aposentar no novo ca</w:t>
      </w:r>
    </w:p>
    <w:p>
      <w:pPr>
        <w:ind w:left="288"/>
      </w:pPr>
      <w:r>
        <w:rPr>
          <w:b/>
          <w:color w:val="003CA0"/>
          <w:sz w:val="16"/>
        </w:rPr>
        <w:t>[ARE 1.295.775 AgR AgR, rel. min. Alexandre de Moraes, j. 12-5-2021, 1ª T, DJE de 21-5-2021.]</w:t>
      </w:r>
    </w:p>
    <w:p>
      <w:pPr>
        <w:ind w:left="288"/>
      </w:pPr>
      <w:r>
        <w:rPr>
          <w:color w:val="8C8C8C"/>
          <w:sz w:val="12"/>
        </w:rPr>
        <w:t>cf-art-40-par-9</w:t>
      </w:r>
      <w:r>
        <w:rPr>
          <w:color w:val="003CA0"/>
          <w:sz w:val="12"/>
        </w:rPr>
        <w:t xml:space="preserve"> | MS 33.424</w:t>
      </w:r>
      <w:r>
        <w:rPr>
          <w:color w:val="003CA0"/>
          <w:sz w:val="12"/>
        </w:rPr>
        <w:t xml:space="preserve"> | rel. Marco Aurélio</w:t>
      </w:r>
    </w:p>
    <w:p>
      <w:pPr>
        <w:ind w:left="288"/>
      </w:pPr>
      <w:r>
        <w:rPr>
          <w:color w:val="1E1E1E"/>
          <w:sz w:val="18"/>
        </w:rPr>
        <w:t>A ocupação de novo cargo dentro da estrutura do Poder Judiciário, pelo titular do abono de permanência, não implica a cessação do benefício.</w:t>
        <w:br/>
        <w:t>[MS 33.424, rel. min. Marco Aurélio, j. 28-3-2017, 1ª T, DJE de 10-4-2017.] § 20. É vedada a existência de mais de um regime próprio de previdência social e de mais de um órgão ou entidade gestora desse regime em cada ente federativo, abrangidos todos os poderes, órgãos e entidades autárquicas e fundacionais, que serão responsáveis pelo seu financiamento, observados os critérios, os parâmetros e a natureza jurídica definidos na lei complementar de que tra</w:t>
      </w:r>
    </w:p>
    <w:p>
      <w:pPr>
        <w:ind w:left="144"/>
      </w:pPr>
      <w:r>
        <w:rPr>
          <w:b/>
          <w:color w:val="B45A00"/>
          <w:sz w:val="16"/>
        </w:rPr>
        <w:t>CONTROLE CONCENTRADO</w:t>
      </w:r>
    </w:p>
    <w:p>
      <w:pPr>
        <w:ind w:left="288"/>
      </w:pPr>
      <w:r>
        <w:rPr>
          <w:color w:val="8C8C8C"/>
          <w:sz w:val="12"/>
        </w:rPr>
        <w:t>cf-art-40-par-9</w:t>
      </w:r>
      <w:r>
        <w:rPr>
          <w:color w:val="003CA0"/>
          <w:sz w:val="12"/>
        </w:rPr>
        <w:t xml:space="preserve"> | ADI 5.801</w:t>
      </w:r>
      <w:r>
        <w:rPr>
          <w:color w:val="003CA0"/>
          <w:sz w:val="12"/>
        </w:rPr>
        <w:t xml:space="preserve"> | rel. Luiz Fux</w:t>
      </w:r>
    </w:p>
    <w:p>
      <w:pPr>
        <w:ind w:left="288"/>
      </w:pPr>
      <w:r>
        <w:rPr>
          <w:color w:val="1E1E1E"/>
          <w:sz w:val="18"/>
        </w:rPr>
        <w:t>Apesar de organizadas e mantidas pela União, as polícias civil e militar e o corpo de bombeiros militar do Distrito Federal integram a estrutura orgânica do Poder Executivo distrital, submetendo-se ao poder hierárquico do Governador local (arts. 42 e 144, § 6º, da CRFB/88). (...) Diante dessa vinculação funcional à Administração Pública distrital e da proibição de existência de mais de um regime próprio de previdência social em cada ente federativo (art. 40, § 20, da CRFB/88), é constitucional a lei distrital que dispõe que os integrantes das carreiras da segurança pública do Distrito Federal,</w:t>
      </w:r>
    </w:p>
    <w:p>
      <w:pPr>
        <w:ind w:left="288"/>
      </w:pPr>
      <w:r>
        <w:rPr>
          <w:b/>
          <w:color w:val="003CA0"/>
          <w:sz w:val="16"/>
        </w:rPr>
        <w:t>[ADI 3.297, rel. min. Alexandre de Moraes, j. 11-10-2019, P, DJE de 25-10-2019.]</w:t>
      </w:r>
    </w:p>
    <w:p>
      <w:pPr>
        <w:ind w:left="432"/>
      </w:pPr>
      <w:r>
        <w:rPr>
          <w:color w:val="003366"/>
          <w:sz w:val="18"/>
        </w:rPr>
        <w:t>§ 1 O servidor abrangido por regime próprio de previdência social será aposentad</w:t>
      </w:r>
    </w:p>
    <w:p>
      <w:pPr>
        <w:ind w:left="720"/>
      </w:pPr>
      <w:r>
        <w:rPr>
          <w:color w:val="003366"/>
          <w:sz w:val="18"/>
        </w:rPr>
        <w:t>I – por incapacidade permanente para o trabalho, no cargo em que estiver investi</w:t>
      </w:r>
    </w:p>
    <w:p>
      <w:pPr>
        <w:ind w:left="720"/>
      </w:pPr>
      <w:r>
        <w:rPr>
          <w:color w:val="003366"/>
          <w:sz w:val="18"/>
        </w:rPr>
        <w:t>II – compulsoriamente, com proventos proporcionais ao tempo de contribuição, aos</w:t>
      </w:r>
    </w:p>
    <w:p>
      <w:pPr>
        <w:ind w:left="720"/>
      </w:pPr>
      <w:r>
        <w:rPr>
          <w:color w:val="003366"/>
          <w:sz w:val="18"/>
        </w:rPr>
        <w:t>III – no âmbito da União, aos 62 (sessenta e dois) anos de idade, se mulher, e a</w:t>
      </w:r>
    </w:p>
    <w:p>
      <w:pPr>
        <w:ind w:left="432"/>
      </w:pPr>
      <w:r>
        <w:rPr>
          <w:color w:val="003366"/>
          <w:sz w:val="18"/>
        </w:rPr>
        <w:t>§ 2 Os proventos de aposentadoria não poderão ser inferiores ao valor mínimo a q</w:t>
      </w:r>
    </w:p>
    <w:p>
      <w:pPr>
        <w:ind w:left="432"/>
      </w:pPr>
      <w:r>
        <w:rPr>
          <w:color w:val="003366"/>
          <w:sz w:val="18"/>
        </w:rPr>
        <w:t xml:space="preserve">§ 3 As regras para cálculo de proventos de aposentadoria serão disciplinadas em </w:t>
      </w:r>
    </w:p>
    <w:p>
      <w:pPr>
        <w:ind w:left="432"/>
      </w:pPr>
      <w:r>
        <w:rPr>
          <w:color w:val="003366"/>
          <w:sz w:val="18"/>
        </w:rPr>
        <w:t>§ 4 É vedada a adoção de requisitos ou critérios diferenciados para concessão de</w:t>
      </w:r>
    </w:p>
    <w:p>
      <w:pPr>
        <w:ind w:left="432"/>
      </w:pPr>
      <w:r>
        <w:rPr>
          <w:color w:val="003366"/>
          <w:sz w:val="18"/>
        </w:rPr>
        <w:t>§ 4 A. Poderão ser estabelecidos por lei complementar do respectivo ente federat</w:t>
      </w:r>
    </w:p>
    <w:p>
      <w:pPr>
        <w:ind w:left="432"/>
      </w:pPr>
      <w:r>
        <w:rPr>
          <w:color w:val="003366"/>
          <w:sz w:val="18"/>
        </w:rPr>
        <w:t>§ 4 B. Poderão ser estabelecidos por lei complementar do respectivo ente federat</w:t>
      </w:r>
    </w:p>
    <w:p>
      <w:pPr>
        <w:ind w:left="432"/>
      </w:pPr>
      <w:r>
        <w:rPr>
          <w:color w:val="003366"/>
          <w:sz w:val="18"/>
        </w:rPr>
        <w:t>§ 4 C. Poderão ser estabelecidos por lei complementar do respectivo ente federat</w:t>
      </w:r>
    </w:p>
    <w:p>
      <w:pPr>
        <w:ind w:left="432"/>
      </w:pPr>
      <w:r>
        <w:rPr>
          <w:color w:val="003366"/>
          <w:sz w:val="18"/>
        </w:rPr>
        <w:t xml:space="preserve">§ 5 Os ocupantes do cargo de professor terão idade mínima reduzida em 5 (cinco) </w:t>
      </w:r>
    </w:p>
    <w:p>
      <w:pPr>
        <w:ind w:left="432"/>
      </w:pPr>
      <w:r>
        <w:rPr>
          <w:color w:val="003366"/>
          <w:sz w:val="18"/>
        </w:rPr>
        <w:t>§ 6 Ressalvadas as aposentadorias decorrentes dos cargos acumuláveis na forma de</w:t>
      </w:r>
    </w:p>
    <w:p>
      <w:pPr>
        <w:ind w:left="432"/>
      </w:pPr>
      <w:r>
        <w:rPr>
          <w:color w:val="003366"/>
          <w:sz w:val="18"/>
        </w:rPr>
        <w:t>§ 7 Observado o disposto no § 2º do art. 201, quando se tratar da única fonte de</w:t>
      </w:r>
    </w:p>
    <w:p>
      <w:pPr>
        <w:ind w:left="432"/>
      </w:pPr>
      <w:r>
        <w:rPr>
          <w:color w:val="003366"/>
          <w:sz w:val="18"/>
        </w:rPr>
        <w:t xml:space="preserve">§ 8 É assegurado o reajustamento dos benefícios para preservar-lhes, em caráter </w:t>
      </w:r>
    </w:p>
    <w:p>
      <w:pPr>
        <w:ind w:left="432"/>
      </w:pPr>
      <w:r>
        <w:rPr>
          <w:color w:val="003366"/>
          <w:sz w:val="18"/>
        </w:rPr>
        <w:t>§ 9 O tempo de contribuição federal, estadual, distrital ou municipal será conta</w:t>
      </w:r>
    </w:p>
    <w:p>
      <w:pPr>
        <w:ind w:left="432"/>
      </w:pPr>
      <w:r>
        <w:rPr>
          <w:color w:val="003366"/>
          <w:sz w:val="18"/>
        </w:rPr>
        <w:t>§ 10 A lei não poderá estabelecer qualquer forma de contagem de tempo de contrib</w:t>
      </w:r>
    </w:p>
    <w:p>
      <w:pPr>
        <w:ind w:left="432"/>
      </w:pPr>
      <w:r>
        <w:rPr>
          <w:color w:val="003366"/>
          <w:sz w:val="18"/>
        </w:rPr>
        <w:t>§ 11 Aplica-se o limite fixado no art. 37, XI, à soma total dos proventos de ina</w:t>
      </w:r>
    </w:p>
    <w:p>
      <w:pPr>
        <w:ind w:left="432"/>
      </w:pPr>
      <w:r>
        <w:rPr>
          <w:color w:val="003366"/>
          <w:sz w:val="18"/>
        </w:rPr>
        <w:t>§ 12 Além do disposto neste artigo, serão observados, em regime próprio de previ</w:t>
      </w:r>
    </w:p>
    <w:p>
      <w:pPr>
        <w:ind w:left="432"/>
      </w:pPr>
      <w:r>
        <w:rPr>
          <w:color w:val="003366"/>
          <w:sz w:val="18"/>
        </w:rPr>
        <w:t xml:space="preserve">§ 13 Aplica-se ao agente público ocupante, exclusivamente, de cargo em comissão </w:t>
      </w:r>
    </w:p>
    <w:p>
      <w:pPr>
        <w:ind w:left="432"/>
      </w:pPr>
      <w:r>
        <w:rPr>
          <w:color w:val="003366"/>
          <w:sz w:val="18"/>
        </w:rPr>
        <w:t>§ 14 A União, os Estados, o Distrito Federal e os Municípios instituirão, por le</w:t>
      </w:r>
    </w:p>
    <w:p>
      <w:pPr>
        <w:ind w:left="432"/>
      </w:pPr>
      <w:r>
        <w:rPr>
          <w:color w:val="003366"/>
          <w:sz w:val="18"/>
        </w:rPr>
        <w:t>§ 15 O regime de previdência complementar de que trata o § 14 oferecerá plano de</w:t>
      </w:r>
    </w:p>
    <w:p>
      <w:pPr>
        <w:ind w:left="432"/>
      </w:pPr>
      <w:r>
        <w:rPr>
          <w:color w:val="003366"/>
          <w:sz w:val="18"/>
        </w:rPr>
        <w:t>§ 16 Somente mediante sua prévia e expressa opção, o disposto nos §§ 14 e 15 pod</w:t>
      </w:r>
    </w:p>
    <w:p>
      <w:pPr>
        <w:ind w:left="432"/>
      </w:pPr>
      <w:r>
        <w:rPr>
          <w:color w:val="003366"/>
          <w:sz w:val="18"/>
        </w:rPr>
        <w:t>§ 17 Todos os valores de remuneração considerados para o cálculo do benefício pr</w:t>
      </w:r>
    </w:p>
    <w:p>
      <w:pPr>
        <w:ind w:left="432"/>
      </w:pPr>
      <w:r>
        <w:rPr>
          <w:color w:val="003366"/>
          <w:sz w:val="18"/>
        </w:rPr>
        <w:t>§ 18 Incidirá contribuição sobre os proventos de aposentadorias e pensões conced</w:t>
      </w:r>
    </w:p>
    <w:p>
      <w:pPr>
        <w:ind w:left="432"/>
      </w:pPr>
      <w:r>
        <w:rPr>
          <w:color w:val="003366"/>
          <w:sz w:val="18"/>
        </w:rPr>
        <w:t>§ 19 Observados critérios a serem estabelecidos em lei do respectivo ente federa</w:t>
      </w:r>
    </w:p>
    <w:p>
      <w:pPr>
        <w:ind w:left="432"/>
      </w:pPr>
      <w:r>
        <w:rPr>
          <w:color w:val="003366"/>
          <w:sz w:val="18"/>
        </w:rPr>
        <w:t xml:space="preserve">§ 20 É vedada a existência de mais de um regime próprio de previdência social e </w:t>
      </w:r>
    </w:p>
    <w:p>
      <w:pPr>
        <w:ind w:left="432"/>
      </w:pPr>
      <w:r>
        <w:rPr>
          <w:color w:val="003366"/>
          <w:sz w:val="18"/>
        </w:rPr>
        <w:t>§ 21 (Revogado). (Redação dada pela Emenda Constitucional nº 103, de 2019)</w:t>
      </w:r>
    </w:p>
    <w:p>
      <w:pPr>
        <w:ind w:left="432"/>
      </w:pPr>
      <w:r>
        <w:rPr>
          <w:color w:val="003366"/>
          <w:sz w:val="18"/>
        </w:rPr>
        <w:t>§ 22 Vedada a instituição de novos regimes próprios de previdência social, lei c</w:t>
      </w:r>
    </w:p>
    <w:p>
      <w:pPr>
        <w:ind w:left="720"/>
      </w:pPr>
      <w:r>
        <w:rPr>
          <w:color w:val="003366"/>
          <w:sz w:val="18"/>
        </w:rPr>
        <w:t>I – requisitos para sua extinção e consequente migração para o Regime Geral de P</w:t>
      </w:r>
    </w:p>
    <w:p>
      <w:pPr>
        <w:ind w:left="720"/>
      </w:pPr>
      <w:r>
        <w:rPr>
          <w:color w:val="003366"/>
          <w:sz w:val="18"/>
        </w:rPr>
        <w:t>II – modelo de arrecadação, de aplicação e de utilização dos recursos; (Incluído</w:t>
      </w:r>
    </w:p>
    <w:p>
      <w:pPr>
        <w:ind w:left="720"/>
      </w:pPr>
      <w:r>
        <w:rPr>
          <w:color w:val="003366"/>
          <w:sz w:val="18"/>
        </w:rPr>
        <w:t>III – fiscalização pela União e controle externo e social; (Incluído pela Emenda</w:t>
      </w:r>
    </w:p>
    <w:p>
      <w:pPr>
        <w:ind w:left="720"/>
      </w:pPr>
      <w:r>
        <w:rPr>
          <w:color w:val="003366"/>
          <w:sz w:val="18"/>
        </w:rPr>
        <w:t>IV – definição de equilíbrio financeiro e atuarial; (Incluído pela Emenda Consti</w:t>
      </w:r>
    </w:p>
    <w:p>
      <w:pPr>
        <w:ind w:left="720"/>
      </w:pPr>
      <w:r>
        <w:rPr>
          <w:color w:val="003366"/>
          <w:sz w:val="18"/>
        </w:rPr>
        <w:t>V – condições para instituição do fundo com finalidade previdenciária de que tra</w:t>
      </w:r>
    </w:p>
    <w:p>
      <w:pPr>
        <w:ind w:left="720"/>
      </w:pPr>
      <w:r>
        <w:rPr>
          <w:color w:val="003366"/>
          <w:sz w:val="18"/>
        </w:rPr>
        <w:t>VI – mecanismos de equacionamento do deficit atuarial; (Incluído pela Emenda Con</w:t>
      </w:r>
    </w:p>
    <w:p>
      <w:pPr>
        <w:ind w:left="720"/>
      </w:pPr>
      <w:r>
        <w:rPr>
          <w:color w:val="003366"/>
          <w:sz w:val="18"/>
        </w:rPr>
        <w:t>VII – estruturação do órgão ou entidade gestora do regime, observados os princíp</w:t>
      </w:r>
    </w:p>
    <w:p>
      <w:pPr>
        <w:ind w:left="720"/>
      </w:pPr>
      <w:r>
        <w:rPr>
          <w:color w:val="003366"/>
          <w:sz w:val="18"/>
        </w:rPr>
        <w:t>VIII – condições e hipóteses para responsabilização daqueles que desempenhem atr</w:t>
      </w:r>
    </w:p>
    <w:p>
      <w:pPr>
        <w:ind w:left="720"/>
      </w:pPr>
      <w:r>
        <w:rPr>
          <w:color w:val="003366"/>
          <w:sz w:val="18"/>
        </w:rPr>
        <w:t>IX – condições para adesão a consórcio público; (Incluído pela Emenda Constituci</w:t>
      </w:r>
    </w:p>
    <w:p>
      <w:pPr>
        <w:ind w:left="720"/>
      </w:pPr>
      <w:r>
        <w:rPr>
          <w:color w:val="003366"/>
          <w:sz w:val="18"/>
        </w:rPr>
        <w:t>X – parâmetros para apuração da base de cálculo e definição de alíquota de contr</w:t>
      </w:r>
    </w:p>
    <w:p>
      <w:r>
        <w:rPr>
          <w:b/>
          <w:color w:val="003366"/>
          <w:sz w:val="20"/>
        </w:rPr>
        <w:t xml:space="preserve">Art. 41 São estáveis após três anos de efetivo exercício os servidores nomeados </w:t>
      </w:r>
      <w:r>
        <w:rPr>
          <w:color w:val="8C8C8C"/>
          <w:sz w:val="14"/>
        </w:rPr>
        <w:t xml:space="preserve">  [43 decisoes]</w:t>
      </w:r>
    </w:p>
    <w:p>
      <w:pPr>
        <w:ind w:left="144"/>
      </w:pPr>
      <w:r>
        <w:rPr>
          <w:b/>
          <w:color w:val="B45A00"/>
          <w:sz w:val="16"/>
        </w:rPr>
        <w:t>CONTROLE CONCENTRADO</w:t>
      </w:r>
    </w:p>
    <w:p>
      <w:pPr>
        <w:ind w:left="288"/>
      </w:pPr>
      <w:r>
        <w:rPr>
          <w:color w:val="8C8C8C"/>
          <w:sz w:val="12"/>
        </w:rPr>
        <w:t>cf-art-41</w:t>
      </w:r>
      <w:r>
        <w:rPr>
          <w:color w:val="003CA0"/>
          <w:sz w:val="12"/>
        </w:rPr>
        <w:t xml:space="preserve"> | ADI 5.220</w:t>
      </w:r>
      <w:r>
        <w:rPr>
          <w:color w:val="003CA0"/>
          <w:sz w:val="12"/>
        </w:rPr>
        <w:t xml:space="preserve"> | rel. Carmen Lucia</w:t>
      </w:r>
    </w:p>
    <w:p>
      <w:pPr>
        <w:ind w:left="288"/>
      </w:pPr>
      <w:r>
        <w:rPr>
          <w:color w:val="1E1E1E"/>
          <w:sz w:val="18"/>
        </w:rPr>
        <w:t>O disposto no art. 41 da Constituição da República, pelo qual se estabelece que a obtenção da estabilidade no serviço público ocorre após três anos de efetivo exercício, deve ser interpretado em consonância com os princípios constitucionais da igualdade de gênero, proteção à maternidade, dignidade da mulher e planejamento familiar. É constitucional o cômputo do período de licença à gestante no período do estágio probatório da servidora pública pelo imperativo da máxima efetividade dos direitos fundamentais.</w:t>
      </w:r>
    </w:p>
    <w:p>
      <w:pPr>
        <w:ind w:left="288"/>
      </w:pPr>
      <w:r>
        <w:rPr>
          <w:b/>
          <w:color w:val="003CA0"/>
          <w:sz w:val="16"/>
        </w:rPr>
        <w:t>[ADI 5.220, rel. min. Carmen Lucia, j. 15-3-2021, P, DJE de 23-3-2021.]</w:t>
      </w:r>
    </w:p>
    <w:p>
      <w:pPr>
        <w:ind w:left="288"/>
      </w:pPr>
      <w:r>
        <w:rPr>
          <w:color w:val="8C8C8C"/>
          <w:sz w:val="12"/>
        </w:rPr>
        <w:t>cf-art-41</w:t>
      </w:r>
      <w:r>
        <w:rPr>
          <w:color w:val="003CA0"/>
          <w:sz w:val="12"/>
        </w:rPr>
        <w:t xml:space="preserve"> | ADI 3.235</w:t>
      </w:r>
      <w:r>
        <w:rPr>
          <w:color w:val="003CA0"/>
          <w:sz w:val="12"/>
        </w:rPr>
        <w:t xml:space="preserve"> | rel. Carlos Velloso</w:t>
      </w:r>
    </w:p>
    <w:p>
      <w:pPr>
        <w:ind w:left="288"/>
      </w:pPr>
      <w:r>
        <w:rPr>
          <w:color w:val="1E1E1E"/>
          <w:sz w:val="18"/>
        </w:rPr>
        <w:t xml:space="preserve">(...) constata-se que o dispositivo impugnado padece de inconstitucionalidade, na medida em que considera o exercício não abusivo de um direito constitucional – direito de greve – como falta grave ou fato desabonador da conduta no serviço público, a ensejar a imediata exoneração do servidor público em estágio probatório, mediante processo administrativo próprio. (...) Além disso, o dispositivo impugnado explicita uma diferenciação de efeitos do exercício do direito de greve entre servidores estáveis e não estáveis, imputando consequência gravosa apenas aos primeiros, consubstanciada no ato de </w:t>
      </w:r>
    </w:p>
    <w:p>
      <w:pPr>
        <w:ind w:left="288"/>
      </w:pPr>
      <w:r>
        <w:rPr>
          <w:b/>
          <w:color w:val="003CA0"/>
          <w:sz w:val="16"/>
        </w:rPr>
        <w:t>[ADI 3.235, voto do red.do ac. min. Gilmar Mendes, rel. min. Carlos Velloso, j. 4-2-2010, P, DJE de 12-3-2010.]</w:t>
      </w:r>
    </w:p>
    <w:p>
      <w:pPr>
        <w:ind w:left="288"/>
      </w:pPr>
      <w:r>
        <w:rPr>
          <w:color w:val="8C8C8C"/>
          <w:sz w:val="12"/>
        </w:rPr>
        <w:t>cf-art-41</w:t>
      </w:r>
      <w:r>
        <w:rPr>
          <w:color w:val="003CA0"/>
          <w:sz w:val="12"/>
        </w:rPr>
        <w:t xml:space="preserve"> | RE 226.966</w:t>
      </w:r>
      <w:r>
        <w:rPr>
          <w:color w:val="003CA0"/>
          <w:sz w:val="12"/>
        </w:rPr>
        <w:t xml:space="preserve"> | rel. Menezes Direito</w:t>
      </w:r>
    </w:p>
    <w:p>
      <w:pPr>
        <w:ind w:left="288"/>
      </w:pPr>
      <w:r>
        <w:rPr>
          <w:color w:val="1E1E1E"/>
          <w:sz w:val="18"/>
        </w:rPr>
        <w:t>Vide RE 226.966, red. do ac. min. Cármen Lúcia, rel. min. Menezes Direito, j. 11-11-2008, 1ª T, DJE de 21-8-2009 Defensor público estadual: garantias e prerrogativas. (...) O prazo trienal para aquisição de estabilidade no cargo, fixado pela EC 19/1998, é aplicável indistintamente a todos os servidores públicos.</w:t>
      </w:r>
    </w:p>
    <w:p>
      <w:pPr>
        <w:ind w:left="288"/>
      </w:pPr>
      <w:r>
        <w:rPr>
          <w:b/>
          <w:color w:val="003CA0"/>
          <w:sz w:val="16"/>
        </w:rPr>
        <w:t>[ADI 230, rel. min. Cármen Lúcia, j. 1º-2-2010, P, DJE de 30-10-2014.]</w:t>
      </w:r>
    </w:p>
    <w:p>
      <w:pPr>
        <w:ind w:left="144"/>
      </w:pPr>
      <w:r>
        <w:rPr>
          <w:b/>
          <w:color w:val="B45A00"/>
          <w:sz w:val="16"/>
        </w:rPr>
        <w:t>REPERCUSSAO GERAL</w:t>
      </w:r>
    </w:p>
    <w:p>
      <w:pPr>
        <w:ind w:left="288"/>
      </w:pPr>
      <w:r>
        <w:rPr>
          <w:color w:val="8C8C8C"/>
          <w:sz w:val="12"/>
        </w:rPr>
        <w:t>cf-art-41</w:t>
      </w:r>
      <w:r>
        <w:rPr>
          <w:color w:val="003CA0"/>
          <w:sz w:val="12"/>
        </w:rPr>
        <w:t xml:space="preserve"> | RE 589.998</w:t>
      </w:r>
      <w:r>
        <w:rPr>
          <w:color w:val="003CA0"/>
          <w:sz w:val="12"/>
        </w:rPr>
        <w:t xml:space="preserve"> | rel. Ricardo Lewandowski</w:t>
      </w:r>
    </w:p>
    <w:p>
      <w:pPr>
        <w:ind w:left="288"/>
      </w:pPr>
      <w:r>
        <w:rPr>
          <w:color w:val="1E1E1E"/>
          <w:sz w:val="18"/>
        </w:rPr>
        <w:t>Empresa Brasileira de Correios e Telégrafos (ECT). Demissão imotivada de seus empregados. Impossibilidade. Necessidade de motivação da dispensa. (...) Os empregados públicos não fazem jus à estabilidade prevista no art. 41 da CF, salvo aqueles admitidos em período anterior ao advento da EC 19/1998. (...) Em atenção, no entanto, aos princípios da impessoalidade e isonomia, que regem a admissão por concurso público, a dispensa do empregado de empresas públicas e sociedades de economia mista que prestam serviços públicos deve ser motivada, assegurando-se, assim, que tais princípios, observados no</w:t>
      </w:r>
    </w:p>
    <w:p>
      <w:pPr>
        <w:ind w:left="144"/>
      </w:pPr>
      <w:r>
        <w:rPr>
          <w:b/>
          <w:color w:val="B45A00"/>
          <w:sz w:val="16"/>
        </w:rPr>
        <w:t>JULGADOS CORRELATOS</w:t>
      </w:r>
    </w:p>
    <w:p>
      <w:pPr>
        <w:ind w:left="288"/>
      </w:pPr>
      <w:r>
        <w:rPr>
          <w:color w:val="8C8C8C"/>
          <w:sz w:val="12"/>
        </w:rPr>
        <w:t>cf-art-41</w:t>
      </w:r>
      <w:r>
        <w:rPr>
          <w:color w:val="003CA0"/>
          <w:sz w:val="12"/>
        </w:rPr>
        <w:t xml:space="preserve"> | AR 2.553</w:t>
      </w:r>
      <w:r>
        <w:rPr>
          <w:color w:val="003CA0"/>
          <w:sz w:val="12"/>
        </w:rPr>
        <w:t xml:space="preserve"> | rel. Roberto Barroso</w:t>
      </w:r>
    </w:p>
    <w:p>
      <w:pPr>
        <w:ind w:left="288"/>
      </w:pPr>
      <w:r>
        <w:rPr>
          <w:color w:val="1E1E1E"/>
          <w:sz w:val="18"/>
        </w:rPr>
        <w:t>O tribunal de origem consignou que os servidores ‘ingressaram no serviço público no final de 1997 e início de 1998, poucos meses antes do advento da Emenda Constitucional 19, o curso do prazo do estágio e estabilidade estava em andamento’ e, ao final, entendeu que eles estavam submetidos ao prazo de 3 (três) anos para a aquisição da estabilidade no serviço público. Decisão mantida pelo STF no acórdão recorrido. Há que se reconhecer a violação ao art. 28 da Emenda Constitucional 19/1998, que fixou regra de transição para os servidores que se encontravam com o prazo de estágio probatório em curs</w:t>
      </w:r>
    </w:p>
    <w:p>
      <w:pPr>
        <w:ind w:left="288"/>
      </w:pPr>
      <w:r>
        <w:rPr>
          <w:b/>
          <w:color w:val="003CA0"/>
          <w:sz w:val="16"/>
        </w:rPr>
        <w:t>[AR 2.553, rel. min. Roberto Barroso, j. 23-8-2021, P, DJE de 8-9-2021.]</w:t>
      </w:r>
    </w:p>
    <w:p>
      <w:pPr>
        <w:ind w:left="288"/>
      </w:pPr>
      <w:r>
        <w:rPr>
          <w:color w:val="8C8C8C"/>
          <w:sz w:val="12"/>
        </w:rPr>
        <w:t>cf-art-41</w:t>
      </w:r>
      <w:r>
        <w:rPr>
          <w:color w:val="003CA0"/>
          <w:sz w:val="12"/>
        </w:rPr>
        <w:t xml:space="preserve"> | RE 805.491</w:t>
      </w:r>
      <w:r>
        <w:rPr>
          <w:color w:val="003CA0"/>
          <w:sz w:val="12"/>
        </w:rPr>
        <w:t xml:space="preserve"> | rel. Dias Toffoli</w:t>
      </w:r>
    </w:p>
    <w:p>
      <w:pPr>
        <w:ind w:left="288"/>
      </w:pPr>
      <w:r>
        <w:rPr>
          <w:color w:val="1E1E1E"/>
          <w:sz w:val="18"/>
        </w:rPr>
        <w:t>A jurisprudência do STF firmou-se no sentido de que o ato de exoneração do servidor é meramente declaratório, podendo ocorrer após o prazo de três anos fixados para o estágio probatório, desde que as avaliações de desempenho sejam efetuadas dentro do prazo constitucional.</w:t>
      </w:r>
    </w:p>
    <w:p>
      <w:pPr>
        <w:ind w:left="288"/>
      </w:pPr>
      <w:r>
        <w:rPr>
          <w:b/>
          <w:color w:val="003CA0"/>
          <w:sz w:val="16"/>
        </w:rPr>
        <w:t>[RE 805.491 AgR, rel. min. Dias Toffoli, j. 23-2-2016, 2ª T, DJE de 29-4-2016.]</w:t>
      </w:r>
    </w:p>
    <w:p>
      <w:pPr>
        <w:ind w:left="288"/>
      </w:pPr>
      <w:r>
        <w:rPr>
          <w:color w:val="8C8C8C"/>
          <w:sz w:val="12"/>
        </w:rPr>
        <w:t>cf-art-41</w:t>
      </w:r>
      <w:r>
        <w:rPr>
          <w:color w:val="003CA0"/>
          <w:sz w:val="12"/>
        </w:rPr>
        <w:t xml:space="preserve"> | STA 263</w:t>
      </w:r>
      <w:r>
        <w:rPr>
          <w:color w:val="003CA0"/>
          <w:sz w:val="12"/>
        </w:rPr>
        <w:t xml:space="preserve"> | rel. Gilmar Mendes</w:t>
      </w:r>
    </w:p>
    <w:p>
      <w:pPr>
        <w:ind w:left="288"/>
      </w:pPr>
      <w:r>
        <w:rPr>
          <w:color w:val="1E1E1E"/>
          <w:sz w:val="18"/>
        </w:rPr>
        <w:t>(...) a EC 19/1998, que alterou o art. 41 da CF, elevou para três anos o prazo para a aquisição da estabilidade no serviço público e, por interpretação lógica, o prazo do estágio probatório.</w:t>
      </w:r>
    </w:p>
    <w:p>
      <w:pPr>
        <w:ind w:left="288"/>
      </w:pPr>
      <w:r>
        <w:rPr>
          <w:b/>
          <w:color w:val="003CA0"/>
          <w:sz w:val="16"/>
        </w:rPr>
        <w:t>[STA 263 AgR, rel. min. Gilmar Mendes, j. 4-2-2010, P, DJE de 26-2-2010.]</w:t>
      </w:r>
    </w:p>
    <w:p>
      <w:pPr>
        <w:ind w:left="288"/>
      </w:pPr>
      <w:r>
        <w:rPr>
          <w:color w:val="8C8C8C"/>
          <w:sz w:val="12"/>
        </w:rPr>
        <w:t>cf-art-41</w:t>
      </w:r>
      <w:r>
        <w:rPr>
          <w:color w:val="003CA0"/>
          <w:sz w:val="12"/>
        </w:rPr>
        <w:t xml:space="preserve"> | RE 226.966</w:t>
      </w:r>
      <w:r>
        <w:rPr>
          <w:color w:val="003CA0"/>
          <w:sz w:val="12"/>
        </w:rPr>
        <w:t xml:space="preserve"> | rel. Menezes Direito</w:t>
      </w:r>
    </w:p>
    <w:p>
      <w:pPr>
        <w:ind w:left="288"/>
      </w:pPr>
      <w:r>
        <w:rPr>
          <w:color w:val="1E1E1E"/>
          <w:sz w:val="18"/>
        </w:rPr>
        <w:t>A simples circunstância de o servidor público estar em estágio probatório não é justificativa para demissão com fundamento na sua participação em movimento grevista por período superior a trinta dias. A ausência de regulamentação do direito de greve não transforma os dias de paralisação em movimento grevista em faltas injustificadas.</w:t>
      </w:r>
    </w:p>
    <w:p>
      <w:pPr>
        <w:ind w:left="288"/>
      </w:pPr>
      <w:r>
        <w:rPr>
          <w:b/>
          <w:color w:val="003CA0"/>
          <w:sz w:val="16"/>
        </w:rPr>
        <w:t>[RE 226.966, red. do ac. min. Cármen Lúcia, rel. min. Menezes Direito, j. 11-11-2008, 1ª T, DJE de 21-8-2009.]</w:t>
      </w:r>
    </w:p>
    <w:p>
      <w:pPr>
        <w:ind w:left="288"/>
      </w:pPr>
      <w:r>
        <w:rPr>
          <w:color w:val="8C8C8C"/>
          <w:sz w:val="12"/>
        </w:rPr>
        <w:t>cf-art-41</w:t>
      </w:r>
      <w:r>
        <w:rPr>
          <w:color w:val="003CA0"/>
          <w:sz w:val="12"/>
        </w:rPr>
        <w:t xml:space="preserve"> | ADI 3.235</w:t>
      </w:r>
      <w:r>
        <w:rPr>
          <w:color w:val="003CA0"/>
          <w:sz w:val="12"/>
        </w:rPr>
        <w:t xml:space="preserve"> | rel. Carlos Velloso</w:t>
      </w:r>
    </w:p>
    <w:p>
      <w:pPr>
        <w:ind w:left="288"/>
      </w:pPr>
      <w:r>
        <w:rPr>
          <w:color w:val="1E1E1E"/>
          <w:sz w:val="18"/>
        </w:rPr>
        <w:t xml:space="preserve">Vide ADI 3.235, rel. do ac. min. Gilmar Mendes, rel. min. Carlos Velloso, j. 4-2-2010, P, DJE de 12-3-2010 A decisão agravada está em conformidade com entendimento firmado por ambas as Turmas desta Corte, no sentido de que não se aplica a empregado de sociedade de economia mista, regido pela CLT, o disposto no art. 41 da CF, o qual somente disciplina a estabilidade dos servidores públicos civis. Ademais, não há ofensa aos princípios de direito administrativo previstos no art. 37 da Carta Magna, porquanto a pretendida estabilidade não encontra respaldo na legislação pertinente, em face do art. </w:t>
      </w:r>
    </w:p>
    <w:p>
      <w:pPr>
        <w:ind w:left="288"/>
      </w:pPr>
      <w:r>
        <w:rPr>
          <w:b/>
          <w:color w:val="003CA0"/>
          <w:sz w:val="16"/>
        </w:rPr>
        <w:t>[AI 465.780 AgR, rel. min. Joaquim Barbosa, j. 23-11-2004, 2ª T, DJ de 18-2-2005.]</w:t>
      </w:r>
    </w:p>
    <w:p>
      <w:pPr>
        <w:ind w:left="288"/>
      </w:pPr>
      <w:r>
        <w:rPr>
          <w:color w:val="8C8C8C"/>
          <w:sz w:val="12"/>
        </w:rPr>
        <w:t>cf-art-41</w:t>
      </w:r>
      <w:r>
        <w:rPr>
          <w:color w:val="003CA0"/>
          <w:sz w:val="12"/>
        </w:rPr>
        <w:t xml:space="preserve"> | AI 660.311</w:t>
      </w:r>
      <w:r>
        <w:rPr>
          <w:color w:val="003CA0"/>
          <w:sz w:val="12"/>
        </w:rPr>
        <w:t xml:space="preserve"> | rel. Eros Grau</w:t>
      </w:r>
    </w:p>
    <w:p>
      <w:pPr>
        <w:ind w:left="288"/>
      </w:pPr>
      <w:r>
        <w:rPr>
          <w:color w:val="1E1E1E"/>
          <w:sz w:val="18"/>
        </w:rPr>
        <w:t>= AI 660.311 AgR, rel. min. Eros Grau, j. 9-10-2007, 2ª T, DJ de 23-11-2007 O direito de o servidor, aprovado em concurso público, estável, que presta novo concurso e, aprovado, é nomeado para cargo outro, retornar ao cargo anterior ocorre enquanto estiver sendo submetido ao estágio probatório no novo cargo: Lei 8.112/1990, art. 20, § 2º. É que, enquanto não confirmado no estágio do novo cargo, não estará extinta a situação anterior.</w:t>
      </w:r>
    </w:p>
    <w:p>
      <w:pPr>
        <w:ind w:left="288"/>
      </w:pPr>
      <w:r>
        <w:rPr>
          <w:b/>
          <w:color w:val="003CA0"/>
          <w:sz w:val="16"/>
        </w:rPr>
        <w:t>[MS 24.543, rel. min. Carlos Velloso, j. 21-8-2003, P, DJ de 12-9-2003.]</w:t>
      </w:r>
    </w:p>
    <w:p>
      <w:pPr>
        <w:ind w:left="288"/>
      </w:pPr>
      <w:r>
        <w:rPr>
          <w:color w:val="8C8C8C"/>
          <w:sz w:val="12"/>
        </w:rPr>
        <w:t>cf-art-41-par-1</w:t>
      </w:r>
      <w:r>
        <w:rPr>
          <w:color w:val="003CA0"/>
          <w:sz w:val="12"/>
        </w:rPr>
        <w:t xml:space="preserve"> | MS 22.362</w:t>
      </w:r>
      <w:r>
        <w:rPr>
          <w:color w:val="003CA0"/>
          <w:sz w:val="12"/>
        </w:rPr>
        <w:t xml:space="preserve"> | rel. Maurício Corrêa</w:t>
      </w:r>
    </w:p>
    <w:p>
      <w:pPr>
        <w:ind w:left="288"/>
      </w:pPr>
      <w:r>
        <w:rPr>
          <w:color w:val="1E1E1E"/>
          <w:sz w:val="18"/>
        </w:rPr>
        <w:t>A ausência de decisão judicial com trânsito em julgado não torna nulo o ato demissório aplicado com base em processo administrativo em que foi assegurada ampla defesa, pois a aplicação da pena disciplinar ou administrativa independe da conclusão dos processos civil e penal, eventualmente instaurados em razão dos mesmos fatos. Interpretação do art. 125 da Lei 8.112/1990 e do art. 20 da Lei 8.429/1992 em face do art. 41, § 1º, da Constituição.</w:t>
      </w:r>
    </w:p>
    <w:p>
      <w:pPr>
        <w:ind w:left="288"/>
      </w:pPr>
      <w:r>
        <w:rPr>
          <w:b/>
          <w:color w:val="003CA0"/>
          <w:sz w:val="16"/>
        </w:rPr>
        <w:t>[MS 22.362, rel. min. Maurício Corrêa, j. 6-5-1999, P, DJ de 18-6-1999.]</w:t>
      </w:r>
    </w:p>
    <w:p>
      <w:pPr>
        <w:ind w:left="144"/>
      </w:pPr>
      <w:r>
        <w:rPr>
          <w:b/>
          <w:color w:val="B45A00"/>
          <w:sz w:val="16"/>
        </w:rPr>
        <w:t>SUMULA</w:t>
      </w:r>
    </w:p>
    <w:p>
      <w:pPr>
        <w:ind w:left="288"/>
      </w:pPr>
      <w:r>
        <w:rPr>
          <w:color w:val="8C8C8C"/>
          <w:sz w:val="12"/>
        </w:rPr>
        <w:t>cf-art-41-par-1-inc-II</w:t>
      </w:r>
    </w:p>
    <w:p>
      <w:pPr>
        <w:ind w:left="288"/>
      </w:pPr>
      <w:r>
        <w:rPr>
          <w:color w:val="1E1E1E"/>
          <w:sz w:val="18"/>
        </w:rPr>
        <w:t>Funcionário em estágio probatório não pode ser exonerado nem demitido sem inquérito ou sem as formalidades legais de apuração de sua capacidade.</w:t>
      </w:r>
    </w:p>
    <w:p>
      <w:pPr>
        <w:ind w:left="288"/>
      </w:pPr>
      <w:r>
        <w:rPr>
          <w:b/>
          <w:color w:val="003CA0"/>
          <w:sz w:val="16"/>
        </w:rPr>
        <w:t>[Súmula 21.]</w:t>
      </w:r>
    </w:p>
    <w:p>
      <w:pPr>
        <w:ind w:left="288"/>
      </w:pPr>
      <w:r>
        <w:rPr>
          <w:color w:val="8C8C8C"/>
          <w:sz w:val="12"/>
        </w:rPr>
        <w:t>cf-art-41-par-1-inc-II</w:t>
      </w:r>
    </w:p>
    <w:p>
      <w:pPr>
        <w:ind w:left="288"/>
      </w:pPr>
      <w:r>
        <w:rPr>
          <w:color w:val="1E1E1E"/>
          <w:sz w:val="18"/>
        </w:rPr>
        <w:t>É necessário processo administrativo com ampla defesa, para demissão de funcionário admitido por concurso.</w:t>
      </w:r>
    </w:p>
    <w:p>
      <w:pPr>
        <w:ind w:left="288"/>
      </w:pPr>
      <w:r>
        <w:rPr>
          <w:b/>
          <w:color w:val="003CA0"/>
          <w:sz w:val="16"/>
        </w:rPr>
        <w:t>[Súmula 20.]</w:t>
      </w:r>
    </w:p>
    <w:p>
      <w:pPr>
        <w:ind w:left="288"/>
      </w:pPr>
      <w:r>
        <w:rPr>
          <w:color w:val="8C8C8C"/>
          <w:sz w:val="12"/>
        </w:rPr>
        <w:t>cf-art-41-par-1-inc-II</w:t>
      </w:r>
    </w:p>
    <w:p>
      <w:pPr>
        <w:ind w:left="288"/>
      </w:pPr>
      <w:r>
        <w:rPr>
          <w:color w:val="1E1E1E"/>
          <w:sz w:val="18"/>
        </w:rPr>
        <w:t>É inadmissível segunda punição de servidor público, baseada no mesmo processo em que se fundou a primeira.</w:t>
      </w:r>
    </w:p>
    <w:p>
      <w:pPr>
        <w:ind w:left="288"/>
      </w:pPr>
      <w:r>
        <w:rPr>
          <w:b/>
          <w:color w:val="003CA0"/>
          <w:sz w:val="16"/>
        </w:rPr>
        <w:t>[Súmula 19.]</w:t>
      </w:r>
    </w:p>
    <w:p>
      <w:pPr>
        <w:ind w:left="288"/>
      </w:pPr>
      <w:r>
        <w:rPr>
          <w:color w:val="8C8C8C"/>
          <w:sz w:val="12"/>
        </w:rPr>
        <w:t>cf-art-41-par-1-inc-II</w:t>
      </w:r>
    </w:p>
    <w:p>
      <w:pPr>
        <w:ind w:left="288"/>
      </w:pPr>
      <w:r>
        <w:rPr>
          <w:color w:val="1E1E1E"/>
          <w:sz w:val="18"/>
        </w:rPr>
        <w:t>Pela falta residual, não compreendida na absolvição pelo juízo criminal, é admissível a punição administrativa do servidor público.</w:t>
      </w:r>
    </w:p>
    <w:p>
      <w:pPr>
        <w:ind w:left="288"/>
      </w:pPr>
      <w:r>
        <w:rPr>
          <w:b/>
          <w:color w:val="003CA0"/>
          <w:sz w:val="16"/>
        </w:rPr>
        <w:t>[Súmula 18.]</w:t>
      </w:r>
    </w:p>
    <w:p>
      <w:pPr>
        <w:ind w:left="144"/>
      </w:pPr>
      <w:r>
        <w:rPr>
          <w:b/>
          <w:color w:val="B45A00"/>
          <w:sz w:val="16"/>
        </w:rPr>
        <w:t>CONTROLE CONCENTRADO</w:t>
      </w:r>
    </w:p>
    <w:p>
      <w:pPr>
        <w:ind w:left="288"/>
      </w:pPr>
      <w:r>
        <w:rPr>
          <w:color w:val="8C8C8C"/>
          <w:sz w:val="12"/>
        </w:rPr>
        <w:t>cf-art-41-par-1-inc-II</w:t>
      </w:r>
      <w:r>
        <w:rPr>
          <w:color w:val="003CA0"/>
          <w:sz w:val="12"/>
        </w:rPr>
        <w:t xml:space="preserve"> | ADI 5.437</w:t>
      </w:r>
    </w:p>
    <w:p>
      <w:pPr>
        <w:ind w:left="288"/>
      </w:pPr>
      <w:r>
        <w:rPr>
          <w:color w:val="1E1E1E"/>
          <w:sz w:val="18"/>
        </w:rPr>
        <w:t>É constitucional a norma legal pela qual se impõe demissão por ineficiência no serviço público, apurada em processo administrativo disciplinar, assegurada a ampla defesa. Hipótese prevista no inc. II do § 1º do art. 41 da Constituição da República que não equivale à perda de cargo público por avaliação de desempenho a que se refere o inc. III do § 1º do art. 41 da Constituição da República.</w:t>
      </w:r>
    </w:p>
    <w:p>
      <w:pPr>
        <w:ind w:left="288"/>
      </w:pPr>
      <w:r>
        <w:rPr>
          <w:b/>
          <w:color w:val="003CA0"/>
          <w:sz w:val="16"/>
        </w:rPr>
        <w:t>[ADI 5.437, rel.. min. Cármen Lúcia, j. 23-11-2020, P, DJE de 3-12-2020.]</w:t>
      </w:r>
    </w:p>
    <w:p>
      <w:pPr>
        <w:ind w:left="144"/>
      </w:pPr>
      <w:r>
        <w:rPr>
          <w:b/>
          <w:color w:val="B45A00"/>
          <w:sz w:val="16"/>
        </w:rPr>
        <w:t>REPERCUSSAO GERAL</w:t>
      </w:r>
    </w:p>
    <w:p>
      <w:pPr>
        <w:ind w:left="288"/>
      </w:pPr>
      <w:r>
        <w:rPr>
          <w:color w:val="8C8C8C"/>
          <w:sz w:val="12"/>
        </w:rPr>
        <w:t>cf-art-41-par-1-inc-II</w:t>
      </w:r>
      <w:r>
        <w:rPr>
          <w:color w:val="003CA0"/>
          <w:sz w:val="12"/>
        </w:rPr>
        <w:t xml:space="preserve"> | ARE 691.306</w:t>
      </w:r>
      <w:r>
        <w:rPr>
          <w:color w:val="003CA0"/>
          <w:sz w:val="12"/>
        </w:rPr>
        <w:t xml:space="preserve"> | rel. Cezar Peluso</w:t>
      </w:r>
    </w:p>
    <w:p>
      <w:pPr>
        <w:ind w:left="288"/>
      </w:pPr>
      <w:r>
        <w:rPr>
          <w:color w:val="1E1E1E"/>
          <w:sz w:val="18"/>
        </w:rPr>
        <w:t>A Corte possui jurisprudência firmada no sentido de que a competência conferida à Justiça Militar pelo art. 125, § 4º, da Constituição é relativa à perda de graduação como pena acessória criminal, e não à sanção disciplinar, que pode decorrer de adequado processo administrativo (Súmula 673). Firmou-se, ainda, entendimento de que não há óbice à aplicação de sanção disciplinar administrativa antes do trânsito em julgado da ação penal, pois são relativamente independentes as instâncias jurisdicional e administrativa.</w:t>
        <w:br/>
        <w:t>[ARE 691.306 RG, voto do rel. min. Cezar Peluso, j. 23-8-2012, P, DJE de 11-9-20</w:t>
      </w:r>
    </w:p>
    <w:p>
      <w:pPr>
        <w:ind w:left="144"/>
      </w:pPr>
      <w:r>
        <w:rPr>
          <w:b/>
          <w:color w:val="B45A00"/>
          <w:sz w:val="16"/>
        </w:rPr>
        <w:t>JULGADOS CORRELATOS</w:t>
      </w:r>
    </w:p>
    <w:p>
      <w:pPr>
        <w:ind w:left="288"/>
      </w:pPr>
      <w:r>
        <w:rPr>
          <w:color w:val="8C8C8C"/>
          <w:sz w:val="12"/>
        </w:rPr>
        <w:t>cf-art-41-par-1-inc-II</w:t>
      </w:r>
      <w:r>
        <w:rPr>
          <w:color w:val="003CA0"/>
          <w:sz w:val="12"/>
        </w:rPr>
        <w:t xml:space="preserve"> | RMS 36.383</w:t>
      </w:r>
      <w:r>
        <w:rPr>
          <w:color w:val="003CA0"/>
          <w:sz w:val="12"/>
        </w:rPr>
        <w:t xml:space="preserve"> | rel. Gilmar Mendes</w:t>
      </w:r>
    </w:p>
    <w:p>
      <w:pPr>
        <w:ind w:left="288"/>
      </w:pPr>
      <w:r>
        <w:rPr>
          <w:color w:val="1E1E1E"/>
          <w:sz w:val="18"/>
        </w:rPr>
        <w:t>Reitor da Universidade de Brasília. Pena de demissão por processo administrativo disciplinar. Aplicação de sanção ao acusado em relação a cargo diferente (professor universitário) daquele no qual teriam sido praticadas as infrações disciplinares (reitor). Possibilidade. Art. 16, I, da Lei 5.540/1968, com redação dada pela Lei 9.192/1995. Participação de um dos membros da comissão em mais de um PAD, com fatos e objetos distintos, não determina a suspeição, unicamente por possuir o mesmo acusado. Literalidade do art. 18, I e III, da Lei 9.784/1999.</w:t>
      </w:r>
    </w:p>
    <w:p>
      <w:pPr>
        <w:ind w:left="288"/>
      </w:pPr>
      <w:r>
        <w:rPr>
          <w:b/>
          <w:color w:val="003CA0"/>
          <w:sz w:val="16"/>
        </w:rPr>
        <w:t>[RMS 36.383 AgR, rel. min. Gilmar Mendes, j. 29-5-2020, 2ª T, DJE de 10-6-2020.]</w:t>
      </w:r>
    </w:p>
    <w:p>
      <w:pPr>
        <w:ind w:left="288"/>
      </w:pPr>
      <w:r>
        <w:rPr>
          <w:color w:val="8C8C8C"/>
          <w:sz w:val="12"/>
        </w:rPr>
        <w:t>cf-art-41-par-1-inc-II</w:t>
      </w:r>
      <w:r>
        <w:rPr>
          <w:color w:val="003CA0"/>
          <w:sz w:val="12"/>
        </w:rPr>
        <w:t xml:space="preserve"> | RMS 28.490</w:t>
      </w:r>
      <w:r>
        <w:rPr>
          <w:color w:val="003CA0"/>
          <w:sz w:val="12"/>
        </w:rPr>
        <w:t xml:space="preserve"> | rel. Roberto Barroso</w:t>
      </w:r>
    </w:p>
    <w:p>
      <w:pPr>
        <w:ind w:left="288"/>
      </w:pPr>
      <w:r>
        <w:rPr>
          <w:color w:val="1E1E1E"/>
          <w:sz w:val="18"/>
        </w:rPr>
        <w:t>A jurisprudência desta Corte é firme no sentido de que não é impedido para integrar a Comissão de processo administrativo disciplinar servidor que tenha atuado na investigação judicial ou administrativa de possíveis fatos tidos por irregulares (...).</w:t>
      </w:r>
    </w:p>
    <w:p>
      <w:pPr>
        <w:ind w:left="288"/>
      </w:pPr>
      <w:r>
        <w:rPr>
          <w:b/>
          <w:color w:val="003CA0"/>
          <w:sz w:val="16"/>
        </w:rPr>
        <w:t>[RMS 28.490 AgR, rel. min. Roberto Barroso, j. 8-8-2017, P, DJE de 24-8-2017.]</w:t>
      </w:r>
    </w:p>
    <w:p>
      <w:pPr>
        <w:ind w:left="288"/>
      </w:pPr>
      <w:r>
        <w:rPr>
          <w:color w:val="8C8C8C"/>
          <w:sz w:val="12"/>
        </w:rPr>
        <w:t>cf-art-41-par-1-inc-II</w:t>
      </w:r>
      <w:r>
        <w:rPr>
          <w:color w:val="003CA0"/>
          <w:sz w:val="12"/>
        </w:rPr>
        <w:t xml:space="preserve"> | RMS 33.666</w:t>
      </w:r>
      <w:r>
        <w:rPr>
          <w:color w:val="003CA0"/>
          <w:sz w:val="12"/>
        </w:rPr>
        <w:t xml:space="preserve"> | rel. Dias Toffoli</w:t>
      </w:r>
    </w:p>
    <w:p>
      <w:pPr>
        <w:ind w:left="288"/>
      </w:pPr>
      <w:r>
        <w:rPr>
          <w:color w:val="1E1E1E"/>
          <w:sz w:val="18"/>
        </w:rPr>
        <w:t>Assentada a possibilidade de se proceder a diligências instrutórias com a designação de nova comissão, cumpre avaliar se, na hipótese dos autos, a primeira conclusão a que chegou o relatório da comissão autorizaria tal providência. A resposta é afirmativa. (...) quando do exame do primeiro relatório, havia dúvida razoável a amparar a continuidade do procedimento apuratório e, também, a opção da comissão julgadora pela continuidade da instrução, objetivando a coleta de novas provas a fim de elucidar a verdade dos fatos. Ora, “na hipótese de coleta de novos meios de prova ou de saneamento proces</w:t>
      </w:r>
    </w:p>
    <w:p>
      <w:pPr>
        <w:ind w:left="288"/>
      </w:pPr>
      <w:r>
        <w:rPr>
          <w:b/>
          <w:color w:val="003CA0"/>
          <w:sz w:val="16"/>
        </w:rPr>
        <w:t>[RE 784.302 AgR, rel. min. Dias Toffoli, j. 25-8-2015, 2ª T, DJE de 25-9-2015.]</w:t>
      </w:r>
    </w:p>
    <w:p>
      <w:pPr>
        <w:ind w:left="288"/>
      </w:pPr>
      <w:r>
        <w:rPr>
          <w:color w:val="8C8C8C"/>
          <w:sz w:val="12"/>
        </w:rPr>
        <w:t>cf-art-41-par-1-inc-II</w:t>
      </w:r>
      <w:r>
        <w:rPr>
          <w:color w:val="003CA0"/>
          <w:sz w:val="12"/>
        </w:rPr>
        <w:t xml:space="preserve"> | RMS 24.129</w:t>
      </w:r>
      <w:r>
        <w:rPr>
          <w:color w:val="003CA0"/>
          <w:sz w:val="12"/>
        </w:rPr>
        <w:t xml:space="preserve"> | rel. Joaquim Barbosa</w:t>
      </w:r>
    </w:p>
    <w:p>
      <w:pPr>
        <w:ind w:left="288"/>
      </w:pPr>
      <w:r>
        <w:rPr>
          <w:color w:val="1E1E1E"/>
          <w:sz w:val="18"/>
        </w:rPr>
        <w:t>A pena imposta ao servidor regula a prescrição. A anulação do processo administrativo original fixa como termo inicial do prazo a data em que o fato se tornou conhecido e, como termo final, a data de instauração do processo válido.</w:t>
      </w:r>
    </w:p>
    <w:p>
      <w:pPr>
        <w:ind w:left="288"/>
      </w:pPr>
      <w:r>
        <w:rPr>
          <w:b/>
          <w:color w:val="003CA0"/>
          <w:sz w:val="16"/>
        </w:rPr>
        <w:t>[RMS 24.129, rel. min. Joaquim Barbosa, j. 20-3-2012, 2ª T, DJE de 30-4-2012.]</w:t>
      </w:r>
    </w:p>
    <w:p>
      <w:pPr>
        <w:ind w:left="288"/>
      </w:pPr>
      <w:r>
        <w:rPr>
          <w:color w:val="8C8C8C"/>
          <w:sz w:val="12"/>
        </w:rPr>
        <w:t>cf-art-41-par-1-inc-II</w:t>
      </w:r>
      <w:r>
        <w:rPr>
          <w:color w:val="003CA0"/>
          <w:sz w:val="12"/>
        </w:rPr>
        <w:t xml:space="preserve"> | MS 23.187</w:t>
      </w:r>
      <w:r>
        <w:rPr>
          <w:color w:val="003CA0"/>
          <w:sz w:val="12"/>
        </w:rPr>
        <w:t xml:space="preserve"> | rel. Eros Grau</w:t>
      </w:r>
    </w:p>
    <w:p>
      <w:pPr>
        <w:ind w:left="288"/>
      </w:pPr>
      <w:r>
        <w:rPr>
          <w:color w:val="1E1E1E"/>
          <w:sz w:val="18"/>
        </w:rPr>
        <w:t>Auditoria realizada pela Superintendência Estadual do INSS no Rio de Janeiro apurou que servidores daquela autarquia haviam cadastrado "senhas fantasmas" nos sistemas de informática e, utilizando-se dessas matrículas, autorizaram a concessão indevida de benefícios previdenciários, gerando prejuízos ao erário. O superintendente estadual determinou, a partir dessas informações, a instauração de sindicância, destituindo os servidores das funções comissionadas que exerciam e afastando-os preventivamente de suas atividades. (...) Não se deu, no caso, qualquer violação dos princípios do contraditóri</w:t>
      </w:r>
    </w:p>
    <w:p>
      <w:pPr>
        <w:ind w:left="288"/>
      </w:pPr>
      <w:r>
        <w:rPr>
          <w:b/>
          <w:color w:val="003CA0"/>
          <w:sz w:val="16"/>
        </w:rPr>
        <w:t>[MS 23.187, rel. min. Eros Grau, j. 27-5-2010, P, DJE de 6-8-2010.]</w:t>
      </w:r>
    </w:p>
    <w:p>
      <w:pPr>
        <w:ind w:left="288"/>
      </w:pPr>
      <w:r>
        <w:rPr>
          <w:color w:val="8C8C8C"/>
          <w:sz w:val="12"/>
        </w:rPr>
        <w:t>cf-art-41-par-1-inc-II</w:t>
      </w:r>
      <w:r>
        <w:rPr>
          <w:color w:val="003CA0"/>
          <w:sz w:val="12"/>
        </w:rPr>
        <w:t xml:space="preserve"> | MS 23.034</w:t>
      </w:r>
      <w:r>
        <w:rPr>
          <w:color w:val="003CA0"/>
          <w:sz w:val="12"/>
        </w:rPr>
        <w:t xml:space="preserve"> | rel. Octavio Gallotti</w:t>
      </w:r>
    </w:p>
    <w:p>
      <w:pPr>
        <w:ind w:left="288"/>
      </w:pPr>
      <w:r>
        <w:rPr>
          <w:color w:val="1E1E1E"/>
          <w:sz w:val="18"/>
        </w:rPr>
        <w:t>Vide MS 23.034, rel. min. Octavio Gallotti, j. 29-3-1999, P, DJ de 18-6-1999 Processo administrativo disciplinar. (...) Imparcialidade. O fato de a mesma autoridade ter praticado vários atos no processo não conduz, necessariamente, a julgamento parcial. Impedimento que deve ser alegado no momento próprio, em sede administrativa.</w:t>
      </w:r>
    </w:p>
    <w:p>
      <w:pPr>
        <w:ind w:left="288"/>
      </w:pPr>
      <w:r>
        <w:rPr>
          <w:b/>
          <w:color w:val="003CA0"/>
          <w:sz w:val="16"/>
        </w:rPr>
        <w:t>[RMS 23.922, rel. min. Joaquim Barbosa, j. 9-2-2010, 2ª T, DJE de 12-3-2010.]</w:t>
      </w:r>
    </w:p>
    <w:p>
      <w:pPr>
        <w:ind w:left="288"/>
      </w:pPr>
      <w:r>
        <w:rPr>
          <w:color w:val="8C8C8C"/>
          <w:sz w:val="12"/>
        </w:rPr>
        <w:t>cf-art-41-par-1-inc-II</w:t>
      </w:r>
      <w:r>
        <w:rPr>
          <w:color w:val="003CA0"/>
          <w:sz w:val="12"/>
        </w:rPr>
        <w:t xml:space="preserve"> | RE 513.585</w:t>
      </w:r>
      <w:r>
        <w:rPr>
          <w:color w:val="003CA0"/>
          <w:sz w:val="12"/>
        </w:rPr>
        <w:t xml:space="preserve"> | rel. Eros Grau</w:t>
      </w:r>
    </w:p>
    <w:p>
      <w:pPr>
        <w:ind w:left="288"/>
      </w:pPr>
      <w:r>
        <w:rPr>
          <w:color w:val="1E1E1E"/>
          <w:sz w:val="18"/>
        </w:rPr>
        <w:t>A jurisprudência desta Corte tem se fixado no sentido de que a ausência de processo administrativo ou a inobservância aos princípios do contraditório e da ampla defesa tornam nulo o ato de demissão de servidor público, seja ele civil ou militar, estável ou não.</w:t>
      </w:r>
    </w:p>
    <w:p>
      <w:pPr>
        <w:ind w:left="288"/>
      </w:pPr>
      <w:r>
        <w:rPr>
          <w:b/>
          <w:color w:val="003CA0"/>
          <w:sz w:val="16"/>
        </w:rPr>
        <w:t>[RE 513.585 AgR, rel. min. Eros Grau, j. 17-6-2008, 2ª T, DJE de 1º-8-2008.]</w:t>
      </w:r>
    </w:p>
    <w:p>
      <w:pPr>
        <w:ind w:left="288"/>
      </w:pPr>
      <w:r>
        <w:rPr>
          <w:color w:val="8C8C8C"/>
          <w:sz w:val="12"/>
        </w:rPr>
        <w:t>cf-art-41-par-1-inc-II</w:t>
      </w:r>
      <w:r>
        <w:rPr>
          <w:color w:val="003CA0"/>
          <w:sz w:val="12"/>
        </w:rPr>
        <w:t xml:space="preserve"> | RE 594.040</w:t>
      </w:r>
      <w:r>
        <w:rPr>
          <w:color w:val="003CA0"/>
          <w:sz w:val="12"/>
        </w:rPr>
        <w:t xml:space="preserve"> | rel. Ricardo Lewandowski</w:t>
      </w:r>
    </w:p>
    <w:p>
      <w:pPr>
        <w:ind w:left="288"/>
      </w:pPr>
      <w:r>
        <w:rPr>
          <w:color w:val="1E1E1E"/>
          <w:sz w:val="18"/>
        </w:rPr>
        <w:t>= RE 594.040 AgR, rel. min. Ricardo Lewandowski, j. 6-4-2010, 1ª T, DJE de 23-4-2010 Vide RE 217.579 AgR, rel. min. Cezar Peluso, j. 16-12-2004, 1ª T, DJ de 4-3-2005 Servidor público. Demissão. Comissão disciplinar presidida por promotor de justiça, que se enquadra no conceito lato sensu de servidor público. A demissão da impetrante grávida baseou-se em justa causa. Legalidade do ato de demissão.</w:t>
      </w:r>
    </w:p>
    <w:p>
      <w:pPr>
        <w:ind w:left="288"/>
      </w:pPr>
      <w:r>
        <w:rPr>
          <w:b/>
          <w:color w:val="003CA0"/>
          <w:sz w:val="16"/>
        </w:rPr>
        <w:t>[MS 23.474, rel. min. Gilmar Mendes, j. 14-9-2006, P, DJ de 23-2-2007.]</w:t>
      </w:r>
    </w:p>
    <w:p>
      <w:pPr>
        <w:ind w:left="288"/>
      </w:pPr>
      <w:r>
        <w:rPr>
          <w:color w:val="8C8C8C"/>
          <w:sz w:val="12"/>
        </w:rPr>
        <w:t>cf-art-41-par-1-inc-II</w:t>
      </w:r>
      <w:r>
        <w:rPr>
          <w:color w:val="003CA0"/>
          <w:sz w:val="12"/>
        </w:rPr>
        <w:t xml:space="preserve"> | AI 504.869</w:t>
      </w:r>
      <w:r>
        <w:rPr>
          <w:color w:val="003CA0"/>
          <w:sz w:val="12"/>
        </w:rPr>
        <w:t xml:space="preserve"> | rel. Joaquim Barbosa</w:t>
      </w:r>
    </w:p>
    <w:p>
      <w:pPr>
        <w:ind w:left="288"/>
      </w:pPr>
      <w:r>
        <w:rPr>
          <w:color w:val="1E1E1E"/>
          <w:sz w:val="18"/>
        </w:rPr>
        <w:t>Licenciamento de policial militar sem estabilidade pode resultar de procedimento administrativo mais simplificado, desde que respeitado o contraditório e a ampla defesa.</w:t>
      </w:r>
    </w:p>
    <w:p>
      <w:pPr>
        <w:ind w:left="288"/>
      </w:pPr>
      <w:r>
        <w:rPr>
          <w:b/>
          <w:color w:val="003CA0"/>
          <w:sz w:val="16"/>
        </w:rPr>
        <w:t>[AI 504.869, rel. min. Joaquim Barbosa, j. 23-11-2004, 2ª T, DJ de 18-2-2005.]</w:t>
      </w:r>
    </w:p>
    <w:p>
      <w:pPr>
        <w:ind w:left="288"/>
      </w:pPr>
      <w:r>
        <w:rPr>
          <w:color w:val="8C8C8C"/>
          <w:sz w:val="12"/>
        </w:rPr>
        <w:t>cf-art-41-par-1-inc-II</w:t>
      </w:r>
      <w:r>
        <w:rPr>
          <w:color w:val="003CA0"/>
          <w:sz w:val="12"/>
        </w:rPr>
        <w:t xml:space="preserve"> | RE 247.349.</w:t>
      </w:r>
      <w:r>
        <w:rPr>
          <w:color w:val="003CA0"/>
          <w:sz w:val="12"/>
        </w:rPr>
        <w:t xml:space="preserve"> | rel. Sepúlveda Pertence</w:t>
      </w:r>
    </w:p>
    <w:p>
      <w:pPr>
        <w:ind w:left="288"/>
      </w:pPr>
      <w:r>
        <w:rPr>
          <w:color w:val="1E1E1E"/>
          <w:sz w:val="18"/>
        </w:rPr>
        <w:t>Servidor estadual em estágio probatório: exoneração não precedida de procedimento específico, com observância do direito à ampla defesa e ao contraditório, como impõe a Súmula 21/STF: nulidade. (...) Reconhecida a nulidade da exoneração, deve o servidor retornar à situação em que se encontrava antes do ato questionado, inclusive no que se refere ao tempo faltante para a complementação e avaliação regular do estágio probatório, fazendo jus ao pagamento da remuneração como se houvesse continuado no exercício do cargo; ressalva de entendimento pessoal do relator manifestado no julgamento do RE 24</w:t>
      </w:r>
    </w:p>
    <w:p>
      <w:pPr>
        <w:ind w:left="288"/>
      </w:pPr>
      <w:r>
        <w:rPr>
          <w:b/>
          <w:color w:val="003CA0"/>
          <w:sz w:val="16"/>
        </w:rPr>
        <w:t>[RE 222.532, rel. min. Sepúlveda Pertence, j. 8-8-2000, 1ª T, DJ de 1º-9-2000.]</w:t>
      </w:r>
    </w:p>
    <w:p>
      <w:pPr>
        <w:ind w:left="288"/>
      </w:pPr>
      <w:r>
        <w:rPr>
          <w:color w:val="8C8C8C"/>
          <w:sz w:val="12"/>
        </w:rPr>
        <w:t>cf-art-41-par-1-inc-II</w:t>
      </w:r>
      <w:r>
        <w:rPr>
          <w:color w:val="003CA0"/>
          <w:sz w:val="12"/>
        </w:rPr>
        <w:t xml:space="preserve"> | AI 623.854</w:t>
      </w:r>
      <w:r>
        <w:rPr>
          <w:color w:val="003CA0"/>
          <w:sz w:val="12"/>
        </w:rPr>
        <w:t xml:space="preserve"> | rel. Cármen Lúcia</w:t>
      </w:r>
    </w:p>
    <w:p>
      <w:pPr>
        <w:ind w:left="288"/>
      </w:pPr>
      <w:r>
        <w:rPr>
          <w:color w:val="1E1E1E"/>
          <w:sz w:val="18"/>
        </w:rPr>
        <w:t>= AI 623.854 AgR, rel. min. Cármen Lúcia, j. 25-8-2009, 1ª T, DJE de 23-10-2009 Vide RE 378.041, rel. min. Ayres Britto, j. 21-9-2004, 1ª T, DJ de 11-2-2005 Não obstante as sanções de suspensão e demissão tenham sido sucessivamente aplicadas ao mesmo fato, não há bis in idem, vedado pela Súmula 19, se, para aplicar a demissão, o presidente da República anulou previamente a suspensão, por incompetência da autoridade inferior que a impusera.</w:t>
      </w:r>
    </w:p>
    <w:p>
      <w:pPr>
        <w:ind w:left="288"/>
      </w:pPr>
      <w:r>
        <w:rPr>
          <w:b/>
          <w:color w:val="003CA0"/>
          <w:sz w:val="16"/>
        </w:rPr>
        <w:t>[MS 23.146, rel. min. Sepúlveda Pertence, j. 19-8-1999, P, DJ de 24-9-1999.]</w:t>
      </w:r>
    </w:p>
    <w:p>
      <w:pPr>
        <w:ind w:left="288"/>
      </w:pPr>
      <w:r>
        <w:rPr>
          <w:color w:val="8C8C8C"/>
          <w:sz w:val="12"/>
        </w:rPr>
        <w:t>cf-art-41-par-1-inc-II</w:t>
      </w:r>
      <w:r>
        <w:rPr>
          <w:color w:val="003CA0"/>
          <w:sz w:val="12"/>
        </w:rPr>
        <w:t xml:space="preserve"> | RMS 23.922</w:t>
      </w:r>
      <w:r>
        <w:rPr>
          <w:color w:val="003CA0"/>
          <w:sz w:val="12"/>
        </w:rPr>
        <w:t xml:space="preserve"> | rel. Joaquim Barbosa</w:t>
      </w:r>
    </w:p>
    <w:p>
      <w:pPr>
        <w:ind w:left="288"/>
      </w:pPr>
      <w:r>
        <w:rPr>
          <w:color w:val="1E1E1E"/>
          <w:sz w:val="18"/>
        </w:rPr>
        <w:t>= RMS 23.922, rel. min. Joaquim Barbosa, j. 9-2-2010, 2ª T, DJE de 12-3-2010 Não é obstáculo à aplicação da pena de demissão a circunstância de achar-se o servidor em gozo de licença especial.</w:t>
      </w:r>
    </w:p>
    <w:p>
      <w:pPr>
        <w:ind w:left="288"/>
      </w:pPr>
      <w:r>
        <w:rPr>
          <w:b/>
          <w:color w:val="003CA0"/>
          <w:sz w:val="16"/>
        </w:rPr>
        <w:t>[MS 23.034, rel. min. Octavio Gallotti, j. 29-3-1999, P, DJ de 18-6-1999.]</w:t>
      </w:r>
    </w:p>
    <w:p>
      <w:pPr>
        <w:ind w:left="288"/>
      </w:pPr>
      <w:r>
        <w:rPr>
          <w:color w:val="8C8C8C"/>
          <w:sz w:val="12"/>
        </w:rPr>
        <w:t>cf-art-41-par-1-inc-II</w:t>
      </w:r>
      <w:r>
        <w:rPr>
          <w:color w:val="003CA0"/>
          <w:sz w:val="12"/>
        </w:rPr>
        <w:t xml:space="preserve"> | MS 23.187</w:t>
      </w:r>
      <w:r>
        <w:rPr>
          <w:color w:val="003CA0"/>
          <w:sz w:val="12"/>
        </w:rPr>
        <w:t xml:space="preserve"> | rel. Eros Grau</w:t>
      </w:r>
    </w:p>
    <w:p>
      <w:pPr>
        <w:ind w:left="288"/>
      </w:pPr>
      <w:r>
        <w:rPr>
          <w:color w:val="1E1E1E"/>
          <w:sz w:val="18"/>
        </w:rPr>
        <w:t>Vide MS 23.187, rel. min. Eros Grau, j. 27-5-2010, P, DJE de 6-8-2010 Não há dúvida de que são independentes as instâncias penal e administrativa, só repercutindo aquela nesta quando ela se manifesta pela inexistência material do fato ou pela negativa de sua autoria.</w:t>
      </w:r>
    </w:p>
    <w:p>
      <w:pPr>
        <w:ind w:left="288"/>
      </w:pPr>
      <w:r>
        <w:rPr>
          <w:b/>
          <w:color w:val="003CA0"/>
          <w:sz w:val="16"/>
        </w:rPr>
        <w:t>[MS 21.545, rel. min. Moreira Alves, j. 11-3-1993, P, DJ de 2-4-1993.]</w:t>
      </w:r>
    </w:p>
    <w:p>
      <w:pPr>
        <w:ind w:left="288"/>
      </w:pPr>
      <w:r>
        <w:rPr>
          <w:color w:val="8C8C8C"/>
          <w:sz w:val="12"/>
        </w:rPr>
        <w:t>cf-art-41-par-1-inc-II</w:t>
      </w:r>
      <w:r>
        <w:rPr>
          <w:color w:val="003CA0"/>
          <w:sz w:val="12"/>
        </w:rPr>
        <w:t xml:space="preserve"> | ARE 691.306</w:t>
      </w:r>
      <w:r>
        <w:rPr>
          <w:color w:val="003CA0"/>
          <w:sz w:val="12"/>
        </w:rPr>
        <w:t xml:space="preserve"> | rel. Cezar Peluso</w:t>
      </w:r>
    </w:p>
    <w:p>
      <w:pPr>
        <w:ind w:left="288"/>
      </w:pPr>
      <w:r>
        <w:rPr>
          <w:color w:val="1E1E1E"/>
          <w:sz w:val="18"/>
        </w:rPr>
        <w:t>Vide ARE 691.306 RG, rel. min. Cezar Peluso, j. 23-8-2012, P, DJE de 11-9-2012, Tema 565</w:t>
      </w:r>
    </w:p>
    <w:p>
      <w:pPr>
        <w:ind w:left="144"/>
      </w:pPr>
      <w:r>
        <w:rPr>
          <w:b/>
          <w:color w:val="B45A00"/>
          <w:sz w:val="16"/>
        </w:rPr>
        <w:t>CONTROLE CONCENTRADO</w:t>
      </w:r>
    </w:p>
    <w:p>
      <w:pPr>
        <w:ind w:left="288"/>
      </w:pPr>
      <w:r>
        <w:rPr>
          <w:color w:val="8C8C8C"/>
          <w:sz w:val="12"/>
        </w:rPr>
        <w:t>cf-art-41-par-1-inc-III</w:t>
      </w:r>
      <w:r>
        <w:rPr>
          <w:color w:val="003CA0"/>
          <w:sz w:val="12"/>
        </w:rPr>
        <w:t xml:space="preserve"> | ADI 5.437</w:t>
      </w:r>
    </w:p>
    <w:p>
      <w:pPr>
        <w:ind w:left="288"/>
      </w:pPr>
      <w:r>
        <w:rPr>
          <w:color w:val="1E1E1E"/>
          <w:sz w:val="18"/>
        </w:rPr>
        <w:t>É constitucional a norma legal pela qual se impõe demissão por ineficiência no serviço público, apurada em processo administrativo disciplinar, assegurada a ampla defesa. Hipótese prevista no inc. II do § 1º do art. 41 da Constituição da República que não equivale à perda de cargo público por avaliação de desempenho a que se refere o inc. III do § 1º do art. 41 da Constituição da República.</w:t>
      </w:r>
    </w:p>
    <w:p>
      <w:pPr>
        <w:ind w:left="288"/>
      </w:pPr>
      <w:r>
        <w:rPr>
          <w:b/>
          <w:color w:val="003CA0"/>
          <w:sz w:val="16"/>
        </w:rPr>
        <w:t>[ADI 5.437, rel.. min. Cármen Lúcia, j. 23-11-2020, P, DJE de 3-12-2020.]</w:t>
      </w:r>
    </w:p>
    <w:p>
      <w:pPr>
        <w:ind w:left="144"/>
      </w:pPr>
      <w:r>
        <w:rPr>
          <w:b/>
          <w:color w:val="B45A00"/>
          <w:sz w:val="16"/>
        </w:rPr>
        <w:t>REPERCUSSAO GERAL</w:t>
      </w:r>
    </w:p>
    <w:p>
      <w:pPr>
        <w:ind w:left="288"/>
      </w:pPr>
      <w:r>
        <w:rPr>
          <w:color w:val="8C8C8C"/>
          <w:sz w:val="12"/>
        </w:rPr>
        <w:t>cf-art-41-par-1-inc-III</w:t>
      </w:r>
      <w:r>
        <w:rPr>
          <w:color w:val="003CA0"/>
          <w:sz w:val="12"/>
        </w:rPr>
        <w:t xml:space="preserve"> | RE 688.267</w:t>
      </w:r>
      <w:r>
        <w:rPr>
          <w:color w:val="003CA0"/>
          <w:sz w:val="12"/>
        </w:rPr>
        <w:t xml:space="preserve"> | rel. Alexandre de Moraes</w:t>
      </w:r>
    </w:p>
    <w:p>
      <w:pPr>
        <w:ind w:left="288"/>
      </w:pPr>
      <w:r>
        <w:rPr>
          <w:color w:val="1E1E1E"/>
          <w:sz w:val="18"/>
        </w:rPr>
        <w:t>As empresas públicas e as sociedades de economia mista, sejam elas prestadoras de serviço público ou exploradoras de atividade econômica, ainda que em regime concorrencial, têm o dever jurídico de motivar em ato formal, a demissão de seus empregados concursados, não se exigindo processo administrativo. Tal motivação deve consistir em fundamento razoável, não se exigindo, porém, que se enquadre nas hipóteses de justa causa da legislação trabalhista.</w:t>
        <w:br/>
        <w:t>[RE 688.267, rel. min. Alexandre de Moraes, red. do ac. min. Luís Roberto Barroso, j. 28.02.2024, P, DJE de 29.04.2024, Tema 1.022, com mérito julg</w:t>
      </w:r>
    </w:p>
    <w:p>
      <w:pPr>
        <w:ind w:left="144"/>
      </w:pPr>
      <w:r>
        <w:rPr>
          <w:b/>
          <w:color w:val="B45A00"/>
          <w:sz w:val="16"/>
        </w:rPr>
        <w:t>CONTROLE CONCENTRADO</w:t>
      </w:r>
    </w:p>
    <w:p>
      <w:pPr>
        <w:ind w:left="288"/>
      </w:pPr>
      <w:r>
        <w:rPr>
          <w:color w:val="8C8C8C"/>
          <w:sz w:val="12"/>
        </w:rPr>
        <w:t>cf-art-41-par-1-inc-III</w:t>
      </w:r>
      <w:r>
        <w:rPr>
          <w:color w:val="003CA0"/>
          <w:sz w:val="12"/>
        </w:rPr>
        <w:t xml:space="preserve"> | ADI 119</w:t>
      </w:r>
      <w:r>
        <w:rPr>
          <w:color w:val="003CA0"/>
          <w:sz w:val="12"/>
        </w:rPr>
        <w:t xml:space="preserve"> | rel. Dias Toffoli</w:t>
      </w:r>
    </w:p>
    <w:p>
      <w:pPr>
        <w:ind w:left="288"/>
      </w:pPr>
      <w:r>
        <w:rPr>
          <w:color w:val="1E1E1E"/>
          <w:sz w:val="18"/>
        </w:rPr>
        <w:t>É inconstitucional a garantia da disponibilidade remunerada ao ex-detentor de mandato eletivo, com a opção pelo retorno ou não às atividades, se servidor público, após o encerramento da atividade parlamentar. Não conformidade com o Texto Magno, por ofensa ao regime constitucional da disponibilidade do servidor público (art. 41, §§ 2º e 3º, CF/1988) e à regra de afastamento do titular de cargo público para o exercício de mandato eletivo (art. 38, CF/1988).</w:t>
      </w:r>
    </w:p>
    <w:p>
      <w:pPr>
        <w:ind w:left="288"/>
      </w:pPr>
      <w:r>
        <w:rPr>
          <w:b/>
          <w:color w:val="003CA0"/>
          <w:sz w:val="16"/>
        </w:rPr>
        <w:t>[ADI 119, rel. min. Dias Toffoli, j. 19-2-2014, P, DJE de 28-3-2014.]</w:t>
      </w:r>
    </w:p>
    <w:p>
      <w:pPr>
        <w:ind w:left="288"/>
      </w:pPr>
      <w:r>
        <w:rPr>
          <w:color w:val="8C8C8C"/>
          <w:sz w:val="12"/>
        </w:rPr>
        <w:t>cf-art-41-par-3</w:t>
      </w:r>
      <w:r>
        <w:rPr>
          <w:color w:val="003CA0"/>
          <w:sz w:val="12"/>
        </w:rPr>
        <w:t xml:space="preserve"> | ADI 239</w:t>
      </w:r>
      <w:r>
        <w:rPr>
          <w:color w:val="003CA0"/>
          <w:sz w:val="12"/>
        </w:rPr>
        <w:t xml:space="preserve"> | rel. Dias Toffoli</w:t>
      </w:r>
    </w:p>
    <w:p>
      <w:pPr>
        <w:ind w:left="288"/>
      </w:pPr>
      <w:r>
        <w:rPr>
          <w:color w:val="1E1E1E"/>
          <w:sz w:val="18"/>
        </w:rPr>
        <w:t>Art. 90, § 3º, da Constituição do Estado do Rio de Janeiro. Disponibilidade remunerada dos servidores públicos. (...) A imposição do prazo de um ano para aproveitamento do servidor em disponibilidade ofende materialmente a Carta Federal, pois consiste em obrigação criada pelo Poder Legislativo que não decorre direta ou indiretamente dos pressupostos essenciais à aplicação do instituto da disponibilidade definidos na Constituição da República (art. 41, § 3º), e, principalmente, porque não condiz com o postulado da independência dos Poderes instituídos, ainda que em sede do primeiro exercício do</w:t>
      </w:r>
    </w:p>
    <w:p>
      <w:pPr>
        <w:ind w:left="288"/>
      </w:pPr>
      <w:r>
        <w:rPr>
          <w:b/>
          <w:color w:val="003CA0"/>
          <w:sz w:val="16"/>
        </w:rPr>
        <w:t>[ADI 239, rel. min. Dias Toffoli, j. 19-2-2014, P, DJE de 30-10-2014.]</w:t>
      </w:r>
    </w:p>
    <w:p>
      <w:pPr>
        <w:ind w:left="288"/>
      </w:pPr>
      <w:r>
        <w:rPr>
          <w:color w:val="8C8C8C"/>
          <w:sz w:val="12"/>
        </w:rPr>
        <w:t>cf-art-41-par-3</w:t>
      </w:r>
      <w:r>
        <w:rPr>
          <w:color w:val="003CA0"/>
          <w:sz w:val="12"/>
        </w:rPr>
        <w:t xml:space="preserve"> | ADI 119</w:t>
      </w:r>
      <w:r>
        <w:rPr>
          <w:color w:val="003CA0"/>
          <w:sz w:val="12"/>
        </w:rPr>
        <w:t xml:space="preserve"> | rel. Dias Toffoli</w:t>
      </w:r>
    </w:p>
    <w:p>
      <w:pPr>
        <w:ind w:left="288"/>
      </w:pPr>
      <w:r>
        <w:rPr>
          <w:color w:val="1E1E1E"/>
          <w:sz w:val="18"/>
        </w:rPr>
        <w:t>É inconstitucional a garantia da disponibilidade remunerada ao ex-detentor de mandato eletivo, com a opção pelo retorno ou não às atividades, se servidor público, após o encerramento da atividade parlamentar. Não conformidade com o Texto Magno, por ofensa ao regime constitucional da disponibilidade do servidor público (art. 41, §§ 2º e 3º, CF/1988) e à regra de afastamento do titular de cargo público para o exercício de mandato eletivo (art. 38, CF/1988).</w:t>
      </w:r>
    </w:p>
    <w:p>
      <w:pPr>
        <w:ind w:left="288"/>
      </w:pPr>
      <w:r>
        <w:rPr>
          <w:b/>
          <w:color w:val="003CA0"/>
          <w:sz w:val="16"/>
        </w:rPr>
        <w:t>[ADI 119, rel. min. Dias Toffoli, j. 19-2-2014, P, DJE de 28-3-2014.]</w:t>
      </w:r>
    </w:p>
    <w:p>
      <w:pPr>
        <w:ind w:left="288"/>
      </w:pPr>
      <w:r>
        <w:rPr>
          <w:color w:val="8C8C8C"/>
          <w:sz w:val="12"/>
        </w:rPr>
        <w:t>cf-art-41-par-3</w:t>
      </w:r>
      <w:r>
        <w:rPr>
          <w:color w:val="003CA0"/>
          <w:sz w:val="12"/>
        </w:rPr>
        <w:t xml:space="preserve"> | ADI 2.645</w:t>
      </w:r>
      <w:r>
        <w:rPr>
          <w:color w:val="003CA0"/>
          <w:sz w:val="12"/>
        </w:rPr>
        <w:t xml:space="preserve"> | rel. Sepúlveda Pertence</w:t>
      </w:r>
    </w:p>
    <w:p>
      <w:pPr>
        <w:ind w:left="288"/>
      </w:pPr>
      <w:r>
        <w:rPr>
          <w:color w:val="1E1E1E"/>
          <w:sz w:val="18"/>
        </w:rPr>
        <w:t>Ação direta de inconstitucionalidade parcial: incindibilidade do contexto do diploma legal: impossibilidade jurídica. Da declaração de inconstitucionalidade adstrita à regra de aproveitamento automático decorreria, com a subsistência da parte inicial do art. 170, a inversão do sentido inequívoco do pertinente conjunto normativo da Lei 1.284/2001: a disponibilidade dos ocupantes dos cargos extintos – que a lei quis beneficiar com o aproveitamento automático – e, com essa disponibilidade, a drástica consequência – não pretendida pela lei benéfica – de reduzir-lhes a remuneração na razão do tempo</w:t>
      </w:r>
    </w:p>
    <w:p>
      <w:pPr>
        <w:ind w:left="288"/>
      </w:pPr>
      <w:r>
        <w:rPr>
          <w:b/>
          <w:color w:val="003CA0"/>
          <w:sz w:val="16"/>
        </w:rPr>
        <w:t>[ADI 2.645 MC, rel. min. Sepúlveda Pertence, j. 11-11-2004, P, DJ de 29-9-2006.]</w:t>
      </w:r>
    </w:p>
    <w:p>
      <w:pPr>
        <w:ind w:left="144"/>
      </w:pPr>
      <w:r>
        <w:rPr>
          <w:b/>
          <w:color w:val="B45A00"/>
          <w:sz w:val="16"/>
        </w:rPr>
        <w:t>JULGADOS CORRELATOS</w:t>
      </w:r>
    </w:p>
    <w:p>
      <w:pPr>
        <w:ind w:left="288"/>
      </w:pPr>
      <w:r>
        <w:rPr>
          <w:color w:val="8C8C8C"/>
          <w:sz w:val="12"/>
        </w:rPr>
        <w:t>cf-art-41-par-3</w:t>
      </w:r>
      <w:r>
        <w:rPr>
          <w:color w:val="003CA0"/>
          <w:sz w:val="12"/>
        </w:rPr>
        <w:t xml:space="preserve"> | RE 194.082</w:t>
      </w:r>
      <w:r>
        <w:rPr>
          <w:color w:val="003CA0"/>
          <w:sz w:val="12"/>
        </w:rPr>
        <w:t xml:space="preserve"> | rel. Menezes Direito</w:t>
      </w:r>
    </w:p>
    <w:p>
      <w:pPr>
        <w:ind w:left="288"/>
      </w:pPr>
      <w:r>
        <w:rPr>
          <w:color w:val="1E1E1E"/>
          <w:sz w:val="18"/>
        </w:rPr>
        <w:t>Já assentou a Suprema Corte que a declaração de desnecessidade de cargos públicos está subordinada ao juízo de conveniência e oportunidade da administração, não dependendo de lei ordinária para tanto.</w:t>
      </w:r>
    </w:p>
    <w:p>
      <w:pPr>
        <w:ind w:left="288"/>
      </w:pPr>
      <w:r>
        <w:rPr>
          <w:b/>
          <w:color w:val="003CA0"/>
          <w:sz w:val="16"/>
        </w:rPr>
        <w:t>[RE 194.082, rel. min. Menezes Direito, j. 22-4-2008, 1ª T, DJE de 30-5-2008.]</w:t>
      </w:r>
    </w:p>
    <w:p>
      <w:pPr>
        <w:ind w:left="288"/>
      </w:pPr>
      <w:r>
        <w:rPr>
          <w:color w:val="8C8C8C"/>
          <w:sz w:val="12"/>
        </w:rPr>
        <w:t>cf-art-41-par-3</w:t>
      </w:r>
      <w:r>
        <w:rPr>
          <w:color w:val="003CA0"/>
          <w:sz w:val="12"/>
        </w:rPr>
        <w:t xml:space="preserve"> | RE 560.464</w:t>
      </w:r>
      <w:r>
        <w:rPr>
          <w:color w:val="003CA0"/>
          <w:sz w:val="12"/>
        </w:rPr>
        <w:t xml:space="preserve"> | rel. Eros Grau</w:t>
      </w:r>
    </w:p>
    <w:p>
      <w:pPr>
        <w:ind w:left="288"/>
      </w:pPr>
      <w:r>
        <w:rPr>
          <w:color w:val="1E1E1E"/>
          <w:sz w:val="18"/>
        </w:rPr>
        <w:t>O servidor público posto em disponibilidade tem o direito de ser aproveitado em outro cargo da administração pública direta ou indireta, desde que observada a compatibilidade de atribuições e vencimentos com o cargo anterior.</w:t>
      </w:r>
    </w:p>
    <w:p>
      <w:pPr>
        <w:ind w:left="288"/>
      </w:pPr>
      <w:r>
        <w:rPr>
          <w:b/>
          <w:color w:val="003CA0"/>
          <w:sz w:val="16"/>
        </w:rPr>
        <w:t>[RE 560.464 AgR, rel. min. Eros Grau, j. 11-12-2007, 2ª T, DJE de 15-2-2008.]</w:t>
      </w:r>
    </w:p>
    <w:p>
      <w:pPr>
        <w:ind w:left="288"/>
      </w:pPr>
      <w:r>
        <w:rPr>
          <w:color w:val="8C8C8C"/>
          <w:sz w:val="12"/>
        </w:rPr>
        <w:t>cf-art-41-par-3</w:t>
      </w:r>
      <w:r>
        <w:rPr>
          <w:color w:val="003CA0"/>
          <w:sz w:val="12"/>
        </w:rPr>
        <w:t xml:space="preserve"> | ARE 656.166</w:t>
      </w:r>
      <w:r>
        <w:rPr>
          <w:color w:val="003CA0"/>
          <w:sz w:val="12"/>
        </w:rPr>
        <w:t xml:space="preserve"> | rel. Cármen Lúcia</w:t>
      </w:r>
    </w:p>
    <w:p>
      <w:pPr>
        <w:ind w:left="288"/>
      </w:pPr>
      <w:r>
        <w:rPr>
          <w:color w:val="1E1E1E"/>
          <w:sz w:val="18"/>
        </w:rPr>
        <w:t>= ARE 656.166 AgR, rel. min. Cármen Lúcia, j. 22-11-2011, 1ª T, DJE de 14-12-2011 Os cargos públicos apenas podem ser criados e extintos por lei de iniciativa do presidente da República. A declaração de desnecessidade sem amparo legal não é hábil a extingui-los.</w:t>
      </w:r>
    </w:p>
    <w:p>
      <w:pPr>
        <w:ind w:left="288"/>
      </w:pPr>
      <w:r>
        <w:rPr>
          <w:b/>
          <w:color w:val="003CA0"/>
          <w:sz w:val="16"/>
        </w:rPr>
        <w:t>[RE 240.735 AgR, rel. min. Eros Grau, j. 28-3-2006, 2ª T, DJ de 5-5-2006.]</w:t>
      </w:r>
    </w:p>
    <w:p>
      <w:pPr>
        <w:ind w:left="288"/>
      </w:pPr>
      <w:r>
        <w:rPr>
          <w:color w:val="8C8C8C"/>
          <w:sz w:val="12"/>
        </w:rPr>
        <w:t>cf-art-41-par-3</w:t>
      </w:r>
      <w:r>
        <w:rPr>
          <w:color w:val="003CA0"/>
          <w:sz w:val="12"/>
        </w:rPr>
        <w:t xml:space="preserve"> | MS 21.225</w:t>
      </w:r>
      <w:r>
        <w:rPr>
          <w:color w:val="003CA0"/>
          <w:sz w:val="12"/>
        </w:rPr>
        <w:t xml:space="preserve"> | rel. Marco Aurélio</w:t>
      </w:r>
    </w:p>
    <w:p>
      <w:pPr>
        <w:ind w:left="288"/>
      </w:pPr>
      <w:r>
        <w:rPr>
          <w:color w:val="1E1E1E"/>
          <w:sz w:val="18"/>
        </w:rPr>
        <w:t>A disponibilidade não tem contornos pessoais, estando ligada ao cargo efetivo ocupado pelo servidor. (...) Dispensável é a especificação do cargo na lei de regência da disponibilidade, podendo a individualização resultar de decreto regulamentador, observando-se, neste, a lei regulamentada.</w:t>
      </w:r>
    </w:p>
    <w:p>
      <w:pPr>
        <w:ind w:left="288"/>
      </w:pPr>
      <w:r>
        <w:rPr>
          <w:b/>
          <w:color w:val="003CA0"/>
          <w:sz w:val="16"/>
        </w:rPr>
        <w:t>[MS 21.225, rel. min. Marco Aurélio, j. 17-6-1993, P, DJ de 31-3-2000.]</w:t>
      </w:r>
    </w:p>
    <w:p>
      <w:pPr>
        <w:ind w:left="288"/>
      </w:pPr>
      <w:r>
        <w:rPr>
          <w:color w:val="8C8C8C"/>
          <w:sz w:val="12"/>
        </w:rPr>
        <w:t>cf-art-41-par-4</w:t>
      </w:r>
      <w:r>
        <w:rPr>
          <w:color w:val="003CA0"/>
          <w:sz w:val="12"/>
        </w:rPr>
        <w:t xml:space="preserve"> | RMS 28.032</w:t>
      </w:r>
      <w:r>
        <w:rPr>
          <w:color w:val="003CA0"/>
          <w:sz w:val="12"/>
        </w:rPr>
        <w:t xml:space="preserve"> | rel. Cármen Lúcia</w:t>
      </w:r>
    </w:p>
    <w:p>
      <w:pPr>
        <w:ind w:left="288"/>
      </w:pPr>
      <w:r>
        <w:rPr>
          <w:color w:val="1E1E1E"/>
          <w:sz w:val="18"/>
        </w:rPr>
        <w:t>A aprovação no Programa de Formação e Aperfeiçoamento na Carreira de Diplomata atende a condição de avaliação especial de desempenho para a aquisição da estabilidade na carreira de diplomata (§ 4º do art. 41 da Constituição da República e inciso V do § 2º do Decreto 93.325/1986), não sendo, contudo, requisito para a promoção, nos termos dos arts. 51 e 53 da Lei 11.440/2006.</w:t>
      </w:r>
    </w:p>
    <w:p>
      <w:pPr>
        <w:ind w:left="288"/>
      </w:pPr>
      <w:r>
        <w:rPr>
          <w:b/>
          <w:color w:val="003CA0"/>
          <w:sz w:val="16"/>
        </w:rPr>
        <w:t>[RMS 28.032, rel. min. Cármen Lúcia, j. 23-3-2010, 1ª T, DJE de 28-5-2010.]</w:t>
      </w:r>
    </w:p>
    <w:p>
      <w:pPr>
        <w:ind w:left="288"/>
      </w:pPr>
      <w:r>
        <w:rPr>
          <w:color w:val="8C8C8C"/>
          <w:sz w:val="12"/>
        </w:rPr>
        <w:t>cf-art-41-par-4</w:t>
      </w:r>
    </w:p>
    <w:p>
      <w:pPr>
        <w:ind w:left="288"/>
      </w:pPr>
      <w:r>
        <w:rPr>
          <w:color w:val="1E1E1E"/>
          <w:sz w:val="18"/>
        </w:rPr>
        <w:t>Seção III Dos Militares dos Estados, do Distrito Federal e dos Territórios (Redação da EC 18/1998) SUMÁRIO</w:t>
      </w:r>
    </w:p>
    <w:p>
      <w:pPr>
        <w:ind w:left="432"/>
      </w:pPr>
      <w:r>
        <w:rPr>
          <w:color w:val="003366"/>
          <w:sz w:val="18"/>
        </w:rPr>
        <w:t>§ 1 O servidor público estável só perderá o cargo: (Redação dada pela Emenda Con</w:t>
      </w:r>
    </w:p>
    <w:p>
      <w:pPr>
        <w:ind w:left="720"/>
      </w:pPr>
      <w:r>
        <w:rPr>
          <w:color w:val="003366"/>
          <w:sz w:val="18"/>
        </w:rPr>
        <w:t>I – em virtude de sentença judicial transitada em julgado; (Incluído pela Emenda</w:t>
      </w:r>
    </w:p>
    <w:p>
      <w:pPr>
        <w:ind w:left="720"/>
      </w:pPr>
      <w:r>
        <w:rPr>
          <w:color w:val="003366"/>
          <w:sz w:val="18"/>
        </w:rPr>
        <w:t>II – mediante processo administrativo em que lhe seja assegurada ampla defesa; (</w:t>
      </w:r>
    </w:p>
    <w:p>
      <w:pPr>
        <w:ind w:left="720"/>
      </w:pPr>
      <w:r>
        <w:rPr>
          <w:color w:val="003366"/>
          <w:sz w:val="18"/>
        </w:rPr>
        <w:t>III – mediante procedimento de avaliação periódica de desempenho, na forma de le</w:t>
      </w:r>
    </w:p>
    <w:p>
      <w:pPr>
        <w:ind w:left="432"/>
      </w:pPr>
      <w:r>
        <w:rPr>
          <w:color w:val="003366"/>
          <w:sz w:val="18"/>
        </w:rPr>
        <w:t>§ 2 Invalidada por sentença judicial a demissão do servidor estável, será ele re</w:t>
      </w:r>
    </w:p>
    <w:p>
      <w:pPr>
        <w:ind w:left="432"/>
      </w:pPr>
      <w:r>
        <w:rPr>
          <w:color w:val="003366"/>
          <w:sz w:val="18"/>
        </w:rPr>
        <w:t>§ 3 Extinto o cargo ou declarada a sua desnecessidade, o servidor estável ficará</w:t>
      </w:r>
    </w:p>
    <w:p>
      <w:pPr>
        <w:ind w:left="432"/>
      </w:pPr>
      <w:r>
        <w:rPr>
          <w:color w:val="003366"/>
          <w:sz w:val="18"/>
        </w:rPr>
        <w:t>§ 4 Como condição para a aquisição da estabilidade, é obrigatória a avaliação es</w:t>
      </w:r>
    </w:p>
    <w:p>
      <w:pPr>
        <w:pStyle w:val="Heading3"/>
      </w:pPr>
      <w:r>
        <w:rPr>
          <w:color w:val="003366"/>
        </w:rPr>
        <w:t>Seção III - DOS MILITARES DOS ESTADOS, DO DISTRITO FEDERAL E DOS TERRITÓRIOS</w:t>
      </w:r>
    </w:p>
    <w:p>
      <w:r>
        <w:rPr>
          <w:b/>
          <w:color w:val="003366"/>
          <w:sz w:val="20"/>
        </w:rPr>
        <w:t>Art. 42 Os membros das Polícias Militares e Corpos de Bombeiros Militares, insti</w:t>
      </w:r>
      <w:r>
        <w:rPr>
          <w:color w:val="8C8C8C"/>
          <w:sz w:val="14"/>
        </w:rPr>
        <w:t xml:space="preserve">  [8 decisoes]</w:t>
      </w:r>
    </w:p>
    <w:p>
      <w:pPr>
        <w:ind w:left="288"/>
      </w:pPr>
      <w:r>
        <w:rPr>
          <w:color w:val="8C8C8C"/>
          <w:sz w:val="12"/>
        </w:rPr>
        <w:t>cf-art-42</w:t>
      </w:r>
    </w:p>
    <w:p>
      <w:pPr>
        <w:ind w:left="288"/>
      </w:pPr>
      <w:r>
        <w:rPr>
          <w:color w:val="1E1E1E"/>
          <w:sz w:val="18"/>
        </w:rPr>
        <w:t>§ 1º Aplicam-se aos militares dos Estados, do Distrito Federal e dos Territórios, além do que vier a ser fixado em lei, as disposições do art. 14, § 8º; do art. 40, § 9º; e do art. 142, §§ 2º e 3º, cabendo a lei estadual específica dispor sobre as matérias do art. 142, § 3º, X, sendo as patentes dos oficiais conferidas pelos respectivos governadores. (Redação da EC 20/1998)</w:t>
      </w:r>
    </w:p>
    <w:p>
      <w:pPr>
        <w:ind w:left="144"/>
      </w:pPr>
      <w:r>
        <w:rPr>
          <w:b/>
          <w:color w:val="B45A00"/>
          <w:sz w:val="16"/>
        </w:rPr>
        <w:t>SUMULA VINCULANTE</w:t>
      </w:r>
    </w:p>
    <w:p>
      <w:pPr>
        <w:ind w:left="288"/>
      </w:pPr>
      <w:r>
        <w:rPr>
          <w:color w:val="8C8C8C"/>
          <w:sz w:val="12"/>
        </w:rPr>
        <w:t>cf-art-42</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144"/>
      </w:pPr>
      <w:r>
        <w:rPr>
          <w:b/>
          <w:color w:val="B45A00"/>
          <w:sz w:val="16"/>
        </w:rPr>
        <w:t>CONTROLE CONCENTRADO</w:t>
      </w:r>
    </w:p>
    <w:p>
      <w:pPr>
        <w:ind w:left="288"/>
      </w:pPr>
      <w:r>
        <w:rPr>
          <w:color w:val="8C8C8C"/>
          <w:sz w:val="12"/>
        </w:rPr>
        <w:t>cf-art-42</w:t>
      </w:r>
      <w:r>
        <w:rPr>
          <w:color w:val="003CA0"/>
          <w:sz w:val="12"/>
        </w:rPr>
        <w:t xml:space="preserve"> | ADI 5.783</w:t>
      </w:r>
      <w:r>
        <w:rPr>
          <w:color w:val="003CA0"/>
          <w:sz w:val="12"/>
        </w:rPr>
        <w:t xml:space="preserve"> | rel. Luiz Fux</w:t>
      </w:r>
    </w:p>
    <w:p>
      <w:pPr>
        <w:ind w:left="288"/>
      </w:pPr>
      <w:r>
        <w:rPr>
          <w:color w:val="1E1E1E"/>
          <w:sz w:val="18"/>
        </w:rPr>
        <w:t>Alegação de violação ao disposto no artigo 42, § 1º, que exige lei específica para tratar do regime de previdência do servidor militar, nos termos do art. 142, § 3º, inciso X, da Constituição Federal. Inocorrência. A inclusão em um mesmo diploma normativo de regra geral, comum a servidores civis e militares, não ofende a exigência constitucional de lei específica para tratar da inatividade dos militares.</w:t>
        <w:br/>
        <w:t>[ADI 5.783, rel. min. Luiz Fux, red. do ac. min. Gilmar Mendes, j. 12-9-2023, P, DJE de 14-11-2023.]</w:t>
      </w:r>
    </w:p>
    <w:p>
      <w:pPr>
        <w:ind w:left="144"/>
      </w:pPr>
      <w:r>
        <w:rPr>
          <w:b/>
          <w:color w:val="B45A00"/>
          <w:sz w:val="16"/>
        </w:rPr>
        <w:t>REPERCUSSAO GERAL</w:t>
      </w:r>
    </w:p>
    <w:p>
      <w:pPr>
        <w:ind w:left="288"/>
      </w:pPr>
      <w:r>
        <w:rPr>
          <w:color w:val="8C8C8C"/>
          <w:sz w:val="12"/>
        </w:rPr>
        <w:t>cf-art-42</w:t>
      </w:r>
      <w:r>
        <w:rPr>
          <w:color w:val="003CA0"/>
          <w:sz w:val="12"/>
        </w:rPr>
        <w:t xml:space="preserve"> | RE 970.823</w:t>
      </w:r>
    </w:p>
    <w:p>
      <w:pPr>
        <w:ind w:left="288"/>
      </w:pPr>
      <w:r>
        <w:rPr>
          <w:color w:val="1E1E1E"/>
          <w:sz w:val="18"/>
        </w:rPr>
        <w:t>“I - A Constituição Federal não prevê adicional noturno aos Militares Estaduais ou Distritais. II – Mandado de Injunção será cabível para que se apliquem, aos militares estaduais, as normas que regulamentam o adicional noturno dos servidores públicos civis, desde que o direito a tal parcela remuneratória esteja expressamente previsto na Constituição Estadual ou na Lei Orgânica do Distrito Federal”.</w:t>
      </w:r>
    </w:p>
    <w:p>
      <w:pPr>
        <w:ind w:left="288"/>
      </w:pPr>
      <w:r>
        <w:rPr>
          <w:b/>
          <w:color w:val="003CA0"/>
          <w:sz w:val="16"/>
        </w:rPr>
        <w:t>[RE 970.823, red. do ac. min. Alexandre de Moraes, j. 18-8-2020, P, DJE de 4-9-2020, Tema 1.038, com mérito julgado.]</w:t>
      </w:r>
    </w:p>
    <w:p>
      <w:pPr>
        <w:ind w:left="144"/>
      </w:pPr>
      <w:r>
        <w:rPr>
          <w:b/>
          <w:color w:val="B45A00"/>
          <w:sz w:val="16"/>
        </w:rPr>
        <w:t>JULGADOS CORRELATOS</w:t>
      </w:r>
    </w:p>
    <w:p>
      <w:pPr>
        <w:ind w:left="288"/>
      </w:pPr>
      <w:r>
        <w:rPr>
          <w:color w:val="8C8C8C"/>
          <w:sz w:val="12"/>
        </w:rPr>
        <w:t>cf-art-42</w:t>
      </w:r>
      <w:r>
        <w:rPr>
          <w:color w:val="003CA0"/>
          <w:sz w:val="12"/>
        </w:rPr>
        <w:t xml:space="preserve"> | ACO 3.396</w:t>
      </w:r>
      <w:r>
        <w:rPr>
          <w:color w:val="003CA0"/>
          <w:sz w:val="12"/>
        </w:rPr>
        <w:t xml:space="preserve"> | rel. Alexandre de Moraes</w:t>
      </w:r>
    </w:p>
    <w:p>
      <w:pPr>
        <w:ind w:left="288"/>
      </w:pPr>
      <w:r>
        <w:rPr>
          <w:color w:val="1E1E1E"/>
          <w:sz w:val="18"/>
        </w:rPr>
        <w:t>Cabe à lei estadual, nos termos do art. 42, § 1º, da Constituição Federal, regulamentar as disposições do art. 142, § 3º, inciso X, dentre as quais as relativas ao regime de aposentadoria dos militares estaduais e a questões pertinentes ao regime jurídico.</w:t>
      </w:r>
    </w:p>
    <w:p>
      <w:pPr>
        <w:ind w:left="288"/>
      </w:pPr>
      <w:r>
        <w:rPr>
          <w:b/>
          <w:color w:val="003CA0"/>
          <w:sz w:val="16"/>
        </w:rPr>
        <w:t>[ACO 3.396, rel. min. Alexandre de Moraes, j. 5-10-2020, P, DJE de 19-10-2020.]</w:t>
      </w:r>
    </w:p>
    <w:p>
      <w:pPr>
        <w:ind w:left="288"/>
      </w:pPr>
      <w:r>
        <w:rPr>
          <w:color w:val="8C8C8C"/>
          <w:sz w:val="12"/>
        </w:rPr>
        <w:t>cf-art-42</w:t>
      </w:r>
      <w:r>
        <w:rPr>
          <w:color w:val="003CA0"/>
          <w:sz w:val="12"/>
        </w:rPr>
        <w:t xml:space="preserve"> | ARE 818.547</w:t>
      </w:r>
      <w:r>
        <w:rPr>
          <w:color w:val="003CA0"/>
          <w:sz w:val="12"/>
        </w:rPr>
        <w:t xml:space="preserve"> | rel. Roberto Barroso</w:t>
      </w:r>
    </w:p>
    <w:p>
      <w:pPr>
        <w:ind w:left="288"/>
      </w:pPr>
      <w:r>
        <w:rPr>
          <w:color w:val="1E1E1E"/>
          <w:sz w:val="18"/>
        </w:rPr>
        <w:t>De acordo com o art. 42 da CF, cabe à lei própria fixar o regime jurídico de aposentadoria dos servidores militares, de modo que, existindo norma específica (LC 51/1985 ou DL estadual 260/1970), não há que se falar em aplicação da regra prevista aos trabalhadores em geral (Lei 8.213/1991).</w:t>
      </w:r>
    </w:p>
    <w:p>
      <w:pPr>
        <w:ind w:left="288"/>
      </w:pPr>
      <w:r>
        <w:rPr>
          <w:b/>
          <w:color w:val="003CA0"/>
          <w:sz w:val="16"/>
        </w:rPr>
        <w:t>[ARE 818.547 AgR, rel. min. Roberto Barroso, j. 30-9-2014, 1ª T, DJE de 15-10-2014.]</w:t>
      </w:r>
    </w:p>
    <w:p>
      <w:pPr>
        <w:ind w:left="288"/>
      </w:pPr>
      <w:r>
        <w:rPr>
          <w:color w:val="8C8C8C"/>
          <w:sz w:val="12"/>
        </w:rPr>
        <w:t>cf-art-42</w:t>
      </w:r>
      <w:r>
        <w:rPr>
          <w:color w:val="003CA0"/>
          <w:sz w:val="12"/>
        </w:rPr>
        <w:t xml:space="preserve"> | ARE 870.509</w:t>
      </w:r>
      <w:r>
        <w:rPr>
          <w:color w:val="003CA0"/>
          <w:sz w:val="12"/>
        </w:rPr>
        <w:t xml:space="preserve"> | rel. Cármen Lúcia</w:t>
      </w:r>
    </w:p>
    <w:p>
      <w:pPr>
        <w:ind w:left="288"/>
      </w:pPr>
      <w:r>
        <w:rPr>
          <w:color w:val="1E1E1E"/>
          <w:sz w:val="18"/>
        </w:rPr>
        <w:t>= ARE 870.509 AgR, rel. min. Cármen Lúcia, j. 12-5-2015, 2ª T, DJE de 22-5-2015 Cabe à lei estadual, nos termos da norma constitucional do art. 142, § 3º, X, regular as disposições do art. 42, § 1º, da CF e estabelecer as condições de transferência do militar para a inatividade.</w:t>
      </w:r>
    </w:p>
    <w:p>
      <w:pPr>
        <w:ind w:left="288"/>
      </w:pPr>
      <w:r>
        <w:rPr>
          <w:b/>
          <w:color w:val="003CA0"/>
          <w:sz w:val="16"/>
        </w:rPr>
        <w:t>[RE 495.341 AgR, rel. min. Ellen Gracie, j. 14-9-2010, 2ª T, DJE de 1º-10-2010.]</w:t>
      </w:r>
    </w:p>
    <w:p>
      <w:pPr>
        <w:ind w:left="144"/>
      </w:pPr>
      <w:r>
        <w:rPr>
          <w:b/>
          <w:color w:val="B45A00"/>
          <w:sz w:val="16"/>
        </w:rPr>
        <w:t>CONTROLE CONCENTRADO</w:t>
      </w:r>
    </w:p>
    <w:p>
      <w:pPr>
        <w:ind w:left="288"/>
      </w:pPr>
      <w:r>
        <w:rPr>
          <w:color w:val="8C8C8C"/>
          <w:sz w:val="12"/>
        </w:rPr>
        <w:t>cf-art-42-par-3</w:t>
      </w:r>
      <w:r>
        <w:rPr>
          <w:color w:val="003CA0"/>
          <w:sz w:val="12"/>
        </w:rPr>
        <w:t xml:space="preserve"> | ADI 3.663</w:t>
      </w:r>
      <w:r>
        <w:rPr>
          <w:color w:val="003CA0"/>
          <w:sz w:val="12"/>
        </w:rPr>
        <w:t xml:space="preserve"> | rel. Dias Toffoli</w:t>
      </w:r>
    </w:p>
    <w:p>
      <w:pPr>
        <w:ind w:left="288"/>
      </w:pPr>
      <w:r>
        <w:rPr>
          <w:color w:val="1E1E1E"/>
          <w:sz w:val="18"/>
        </w:rPr>
        <w:t xml:space="preserve">A designação para a prestação de tarefa por prazo certo, prevista na legislação maranhense, guarda muita semelhança com o instituto da prestação de tarefa por tempo certo, existente na legislação militar federal. Cuida-se de instrumento atípico de gestão de pessoal da Administração Castrense, o qual visa, precipuamente, ao aproveitamento das habilidades e expertises dos militares em inatividade, podendo vir a suprir, circunstancialmente, a carência de efetivo na organização militar. O militar da reserva que presta tarefas por tempo certo permanece em situação de inatividade, exercendo de modo </w:t>
      </w:r>
    </w:p>
    <w:p>
      <w:pPr>
        <w:ind w:left="432"/>
      </w:pPr>
      <w:r>
        <w:rPr>
          <w:color w:val="003366"/>
          <w:sz w:val="18"/>
        </w:rPr>
        <w:t>§ 1 Aplicam-se aos militares dos Estados, do Distrito Federal e dos Territórios,</w:t>
      </w:r>
    </w:p>
    <w:p>
      <w:pPr>
        <w:ind w:left="432"/>
      </w:pPr>
      <w:r>
        <w:rPr>
          <w:color w:val="003366"/>
          <w:sz w:val="18"/>
        </w:rPr>
        <w:t>§ 2 Aos pensionistas dos militares dos Estados, do Distrito Federal e dos Territ</w:t>
      </w:r>
    </w:p>
    <w:p>
      <w:pPr>
        <w:ind w:left="432"/>
      </w:pPr>
      <w:r>
        <w:rPr>
          <w:color w:val="003366"/>
          <w:sz w:val="18"/>
        </w:rPr>
        <w:t>§ 3 Aplica-se aos militares dos Estados, do Distrito Federal e dos Territórios o</w:t>
      </w:r>
    </w:p>
    <w:p>
      <w:pPr>
        <w:pStyle w:val="Heading3"/>
      </w:pPr>
      <w:r>
        <w:rPr>
          <w:color w:val="003366"/>
        </w:rPr>
        <w:t>Seção IV - DAS REGIÕES</w:t>
      </w:r>
    </w:p>
    <w:p>
      <w:r>
        <w:rPr>
          <w:b/>
          <w:color w:val="003366"/>
          <w:sz w:val="20"/>
        </w:rPr>
        <w:t>Art. 43 Para efeitos administrativos, a União poderá articular sua ação em um me</w:t>
      </w:r>
      <w:r>
        <w:rPr>
          <w:color w:val="8C8C8C"/>
          <w:sz w:val="14"/>
        </w:rPr>
        <w:t xml:space="preserve">  [56 decisoes]</w:t>
      </w:r>
    </w:p>
    <w:p>
      <w:pPr>
        <w:ind w:left="288"/>
      </w:pPr>
      <w:r>
        <w:rPr>
          <w:color w:val="8C8C8C"/>
          <w:sz w:val="12"/>
        </w:rPr>
        <w:t>cf-art-43-par-1-inc-I</w:t>
      </w:r>
    </w:p>
    <w:p>
      <w:pPr>
        <w:ind w:left="288"/>
      </w:pPr>
      <w:r>
        <w:rPr>
          <w:color w:val="1E1E1E"/>
          <w:sz w:val="18"/>
        </w:rPr>
        <w:t>II - a composição dos organismos regionais que executarão, na forma da lei, os planos regionais, integrantes dos planos nacionais de desenvolvimento econômico e social, aprovados juntamente com estes.</w:t>
      </w:r>
    </w:p>
    <w:p>
      <w:pPr>
        <w:ind w:left="288"/>
      </w:pPr>
      <w:r>
        <w:rPr>
          <w:color w:val="8C8C8C"/>
          <w:sz w:val="12"/>
        </w:rPr>
        <w:t>cf-art-43-par-3-ali-d</w:t>
      </w:r>
    </w:p>
    <w:p>
      <w:pPr>
        <w:ind w:left="288"/>
      </w:pPr>
      <w:r>
        <w:rPr>
          <w:color w:val="1E1E1E"/>
          <w:sz w:val="18"/>
        </w:rPr>
        <w:t>XXVI - organizar e fiscalizar a proteção e o tratamento de dados pessoais, nos termos da lei. (Incluído pela EC n. 115/2022) XXX - proteção e tratamento de dados pessoais. (Incluído pela EC n. 115/22)</w:t>
      </w:r>
    </w:p>
    <w:p>
      <w:pPr>
        <w:ind w:left="288"/>
      </w:pPr>
      <w:r>
        <w:rPr>
          <w:color w:val="8C8C8C"/>
          <w:sz w:val="12"/>
        </w:rPr>
        <w:t>cf-art-43-par-3-ali-m</w:t>
      </w:r>
    </w:p>
    <w:p>
      <w:pPr>
        <w:ind w:left="288"/>
      </w:pPr>
      <w:r>
        <w:rPr>
          <w:color w:val="1E1E1E"/>
          <w:sz w:val="18"/>
        </w:rPr>
        <w:t>n) 35 (trinta e cinco) Vereadores, nos Municípios de mais de 1.200.000 (um milhão e duzentos mil) habitantes e de até 1.350.000 (um milhão e trezentos e cinquenta mil) habitantes; (Incluída pela EC 58/2009)</w:t>
      </w:r>
    </w:p>
    <w:p>
      <w:pPr>
        <w:ind w:left="288"/>
      </w:pPr>
      <w:r>
        <w:rPr>
          <w:color w:val="8C8C8C"/>
          <w:sz w:val="12"/>
        </w:rPr>
        <w:t>cf-art-43-par-3-ali-p</w:t>
      </w:r>
    </w:p>
    <w:p>
      <w:pPr>
        <w:ind w:left="288"/>
      </w:pPr>
      <w:r>
        <w:rPr>
          <w:color w:val="1E1E1E"/>
          <w:sz w:val="18"/>
        </w:rPr>
        <w:t>q) 41 (quarenta e um) Vereadores, nos Municípios de mais de 1.800.000 (um milhão e oitocentos mil) habitantes e de até 2.400.000 (dois milhões e quatrocentos mil) habitantes; (Incluída pela EC 58/2009)</w:t>
      </w:r>
    </w:p>
    <w:p>
      <w:pPr>
        <w:ind w:left="288"/>
      </w:pPr>
      <w:r>
        <w:rPr>
          <w:color w:val="8C8C8C"/>
          <w:sz w:val="12"/>
        </w:rPr>
        <w:t>cf-art-43-par-3-ali-x</w:t>
      </w:r>
      <w:r>
        <w:rPr>
          <w:color w:val="003CA0"/>
          <w:sz w:val="12"/>
        </w:rPr>
        <w:t xml:space="preserve"> | ADI 7.402</w:t>
      </w:r>
      <w:r>
        <w:rPr>
          <w:color w:val="003CA0"/>
          <w:sz w:val="12"/>
        </w:rPr>
        <w:t xml:space="preserve"> | rel. André Mendonça</w:t>
      </w:r>
    </w:p>
    <w:p>
      <w:pPr>
        <w:ind w:left="288"/>
      </w:pPr>
      <w:r>
        <w:rPr>
          <w:color w:val="1E1E1E"/>
          <w:sz w:val="18"/>
        </w:rPr>
        <w:t xml:space="preserve">V - 4% (quatro por cento) para Municípios com população entre 3.000.001 (três milhões e um) e 8.000.000 (oito milhões) de habitantes; (Incluído pela EC 58/2009) VI - 3,5% (três inteiros e cinco décimos por cento) para Municípios com população acima de 8.000.001 (oito milhões e um) habitantes. (Incluído pela EC 58/2009) § 11. Não serão computadas, para efeito dos limites remuneratórios de que trata o inciso XI do caput deste artigo, as parcelas de caráter indenizatório expressamente previstas em lei ordinária, aprovada pelo Congresso Nacional, de caráter nacional, aplicada a todos os Poderes e </w:t>
      </w:r>
    </w:p>
    <w:p>
      <w:pPr>
        <w:ind w:left="288"/>
      </w:pPr>
      <w:r>
        <w:rPr>
          <w:b/>
          <w:color w:val="003CA0"/>
          <w:sz w:val="16"/>
        </w:rPr>
        <w:t>[ADI 7.402, rel. min. André Mendonça, j. 24.02.2025, P, DJE de 17.03.2025.]</w:t>
      </w:r>
    </w:p>
    <w:p>
      <w:pPr>
        <w:ind w:left="288"/>
      </w:pPr>
      <w:r>
        <w:rPr>
          <w:color w:val="8C8C8C"/>
          <w:sz w:val="12"/>
        </w:rPr>
        <w:t>cf-art-43-par-3-ali-x</w:t>
      </w:r>
      <w:r>
        <w:rPr>
          <w:color w:val="003CA0"/>
          <w:sz w:val="12"/>
        </w:rPr>
        <w:t xml:space="preserve"> | RE 1.167.842</w:t>
      </w:r>
      <w:r>
        <w:rPr>
          <w:color w:val="003CA0"/>
          <w:sz w:val="12"/>
        </w:rPr>
        <w:t xml:space="preserve"> | rel. Gilmar Mendes</w:t>
      </w:r>
    </w:p>
    <w:p>
      <w:pPr>
        <w:ind w:left="288"/>
      </w:pPr>
      <w:r>
        <w:rPr>
          <w:color w:val="1E1E1E"/>
          <w:sz w:val="18"/>
        </w:rPr>
        <w:t>“O art. 43, caput e § 1º, da Lei Complementar estadual 1.059/2008, de São Paulo, é formal e materialmente constitucional. A natureza indenizatória da conversão de licença-prêmio em pecúnia é válida somente no que se refere ao valor total da indenização. O teto remuneratório constitucional incide na base de cálculo utilizada para computação do valor a ser pago a título de indenização de licença-prêmio não gozada, equivalente à remuneração a que o servidor faz jus no momento de sua aposentadoria”.</w:t>
      </w:r>
    </w:p>
    <w:p>
      <w:pPr>
        <w:ind w:left="288"/>
      </w:pPr>
      <w:r>
        <w:rPr>
          <w:b/>
          <w:color w:val="003CA0"/>
          <w:sz w:val="16"/>
        </w:rPr>
        <w:t>[RE 1.167.842, rel. min. Gilmar Mendes, j. 12.11.2024, P, DJE de 12.12.2024, Tema 975, com mérito julgado.]</w:t>
      </w:r>
    </w:p>
    <w:p>
      <w:pPr>
        <w:ind w:left="288"/>
      </w:pPr>
      <w:r>
        <w:rPr>
          <w:color w:val="8C8C8C"/>
          <w:sz w:val="12"/>
        </w:rPr>
        <w:t>cf-art-43-par-3-ali-x</w:t>
      </w:r>
      <w:r>
        <w:rPr>
          <w:color w:val="003CA0"/>
          <w:sz w:val="12"/>
        </w:rPr>
        <w:t xml:space="preserve"> | ARE 1.485.330</w:t>
      </w:r>
      <w:r>
        <w:rPr>
          <w:color w:val="003CA0"/>
          <w:sz w:val="12"/>
        </w:rPr>
        <w:t xml:space="preserve"> | rel. Flávio Dino</w:t>
      </w:r>
    </w:p>
    <w:p>
      <w:pPr>
        <w:ind w:left="288"/>
      </w:pPr>
      <w:r>
        <w:rPr>
          <w:color w:val="1E1E1E"/>
          <w:sz w:val="18"/>
        </w:rPr>
        <w:t>(...) o cálculo do adicional de férias deve ter como parâmetro a remuneração recebida pelo servidor público já limitada ao teto constitucional.</w:t>
      </w:r>
    </w:p>
    <w:p>
      <w:pPr>
        <w:ind w:left="288"/>
      </w:pPr>
      <w:r>
        <w:rPr>
          <w:b/>
          <w:color w:val="003CA0"/>
          <w:sz w:val="16"/>
        </w:rPr>
        <w:t>[ARE 1.485.330 AgR, rel. min. Flávio Dino, j. 24.02.2025, 1ª T, DJE de 28.02.2025.]</w:t>
      </w:r>
    </w:p>
    <w:p>
      <w:pPr>
        <w:ind w:left="288"/>
      </w:pPr>
      <w:r>
        <w:rPr>
          <w:color w:val="8C8C8C"/>
          <w:sz w:val="12"/>
        </w:rPr>
        <w:t>cf-art-43-par-3-ali-x</w:t>
      </w:r>
    </w:p>
    <w:p>
      <w:pPr>
        <w:ind w:left="288"/>
      </w:pPr>
      <w:r>
        <w:rPr>
          <w:color w:val="1E1E1E"/>
          <w:sz w:val="18"/>
        </w:rPr>
        <w:t>§ 12. Para os fins do disposto no inciso XI do caput deste artigo, fica facultado aos Estados e ao Distrito Federal fixar, em seu âmbito, mediante emenda às respectivas Constituições e Lei Orgânica, como limite único, o subsídio mensal dos Desembargadores do respectivo Tribunal de Justiça, limitado a noventa inteiros e vinte e cinco centésimos por cento do subsídio mensal dos Ministros do Supremo Tribunal Federal, não se aplicando o disposto neste parágrafo aos subsídios dos Deputados Estaduais e Distritais e dos Vereadores. (Incluído pela EC 47/2005)</w:t>
      </w:r>
    </w:p>
    <w:p>
      <w:pPr>
        <w:ind w:left="144"/>
      </w:pPr>
      <w:r>
        <w:rPr>
          <w:b/>
          <w:color w:val="B45A00"/>
          <w:sz w:val="16"/>
        </w:rPr>
        <w:t>CONTROLE CONCENTRADO</w:t>
      </w:r>
    </w:p>
    <w:p>
      <w:pPr>
        <w:ind w:left="288"/>
      </w:pPr>
      <w:r>
        <w:rPr>
          <w:color w:val="8C8C8C"/>
          <w:sz w:val="12"/>
        </w:rPr>
        <w:t>cf-art-43-par-3-ali-x</w:t>
      </w:r>
      <w:r>
        <w:rPr>
          <w:color w:val="003CA0"/>
          <w:sz w:val="12"/>
        </w:rPr>
        <w:t xml:space="preserve"> | ADI 6.221</w:t>
      </w:r>
    </w:p>
    <w:p>
      <w:pPr>
        <w:ind w:left="288"/>
      </w:pPr>
      <w:r>
        <w:rPr>
          <w:color w:val="1E1E1E"/>
          <w:sz w:val="18"/>
        </w:rPr>
        <w:t>A faculdade conferida aos Estados para a regulação do teto aplicável a seus servidores (art. 37, § 12, da CF) não permite que a regulamentação editada com fundamento nesse permissivo inove no tratamento do teto dos servidores municipais, para quem o art. 37, XI, da CF, já estabelece um teto único.</w:t>
      </w:r>
    </w:p>
    <w:p>
      <w:pPr>
        <w:ind w:left="288"/>
      </w:pPr>
      <w:r>
        <w:rPr>
          <w:b/>
          <w:color w:val="003CA0"/>
          <w:sz w:val="16"/>
        </w:rPr>
        <w:t>[ADI 6.221 MC, red. do ac. min. Alexandre de Moraes, j. 20-12-2019, P, DJE de 30-4-2020.]</w:t>
      </w:r>
    </w:p>
    <w:p>
      <w:pPr>
        <w:ind w:left="288"/>
      </w:pPr>
      <w:r>
        <w:rPr>
          <w:color w:val="8C8C8C"/>
          <w:sz w:val="12"/>
        </w:rPr>
        <w:t>cf-art-43-par-3-ali-x</w:t>
      </w:r>
      <w:r>
        <w:rPr>
          <w:color w:val="003CA0"/>
          <w:sz w:val="12"/>
        </w:rPr>
        <w:t xml:space="preserve"> | ADI 4.900</w:t>
      </w:r>
    </w:p>
    <w:p>
      <w:pPr>
        <w:ind w:left="288"/>
      </w:pPr>
      <w:r>
        <w:rPr>
          <w:color w:val="1E1E1E"/>
          <w:sz w:val="18"/>
        </w:rPr>
        <w:t>No que respeita ao subteto dos servidores estaduais, a Constituição estabeleceu a possibilidade de o Estado optar entre: a definição de um subteto por poder, hipótese em que o teto dos servidores da Justiça corresponderá ao subsídio dos desembargadores do Tribunal de Justiça (art. 37, XI, CF, na redação da EC 41/2003); e a definição de um subteto único, correspondente ao subsídio mensal dos desembargadores do Tribunal de Justiça, para todo e qualquer servidor de qualquer poder, ficando de fora desse subteto apenas o subsídio dos deputados (art. 37, § 12, CF, conforme redação da EC 47/2005). In</w:t>
      </w:r>
    </w:p>
    <w:p>
      <w:pPr>
        <w:ind w:left="288"/>
      </w:pPr>
      <w:r>
        <w:rPr>
          <w:b/>
          <w:color w:val="003CA0"/>
          <w:sz w:val="16"/>
        </w:rPr>
        <w:t>[ADI 4.900, red. do ac. min. Roberto Barroso, j. 11-2-2015, P, DJE de 20-4-2015.]</w:t>
      </w:r>
    </w:p>
    <w:p>
      <w:pPr>
        <w:ind w:left="288"/>
      </w:pPr>
      <w:r>
        <w:rPr>
          <w:color w:val="8C8C8C"/>
          <w:sz w:val="12"/>
        </w:rPr>
        <w:t>cf-art-43-par-3-ali-x</w:t>
      </w:r>
    </w:p>
    <w:p>
      <w:pPr>
        <w:ind w:left="288"/>
      </w:pPr>
      <w:r>
        <w:rPr>
          <w:color w:val="1E1E1E"/>
          <w:sz w:val="18"/>
        </w:rPr>
        <w:t>§ 13. O servidor público titular de cargo efetivo poderá ser readaptado para exercício de cargo cujas atribuições e responsabilidades sejam compatíveis com a limitação que tenha sofrido em sua capacidade física ou mental, enquanto permanecer nesta condição, desde que possua a habilitação e o nível de escolaridade exigidos para o cargo de destino, mantida a remuneração do cargo de origem. (Incluído pela EC 103/2019) § 14. A aposentadoria concedida com a utilização de tempo de contribuição decorrente de cargo, emprego ou função pública, inclusive do Regime Geral de Previdência Social, acarretará</w:t>
      </w:r>
    </w:p>
    <w:p>
      <w:pPr>
        <w:ind w:left="144"/>
      </w:pPr>
      <w:r>
        <w:rPr>
          <w:b/>
          <w:color w:val="B45A00"/>
          <w:sz w:val="16"/>
        </w:rPr>
        <w:t>REPERCUSSAO GERAL</w:t>
      </w:r>
    </w:p>
    <w:p>
      <w:pPr>
        <w:ind w:left="288"/>
      </w:pPr>
      <w:r>
        <w:rPr>
          <w:color w:val="8C8C8C"/>
          <w:sz w:val="12"/>
        </w:rPr>
        <w:t>cf-art-43-par-3-ali-x</w:t>
      </w:r>
      <w:r>
        <w:rPr>
          <w:color w:val="003CA0"/>
          <w:sz w:val="12"/>
        </w:rPr>
        <w:t xml:space="preserve"> | RE 655.283</w:t>
      </w:r>
      <w:r>
        <w:rPr>
          <w:color w:val="003CA0"/>
          <w:sz w:val="12"/>
        </w:rPr>
        <w:t xml:space="preserve"> | rel. Marco Aurélio</w:t>
      </w:r>
    </w:p>
    <w:p>
      <w:pPr>
        <w:ind w:left="288"/>
      </w:pPr>
      <w:r>
        <w:rPr>
          <w:color w:val="1E1E1E"/>
          <w:sz w:val="18"/>
        </w:rPr>
        <w:t>A natureza do ato de demissão de empregado público é constitucional-administrativa e não trabalhista, o que atrai a competência da Justiça comum para julgar a questão. A concessão de aposentadoria aos empregados públicos inviabiliza a permanência no emprego, nos termos do art. 37, § 14, da Constituição Federal (CF), salvo para as aposentadorias concedidas pelo Regime Geral de Previdência Social (RGPS) até a data de entrada em vigor da Emenda Constitucional (EC) 103/09, nos termos do que dispõe seu art. 6º.</w:t>
      </w:r>
    </w:p>
    <w:p>
      <w:pPr>
        <w:ind w:left="288"/>
      </w:pPr>
      <w:r>
        <w:rPr>
          <w:b/>
          <w:color w:val="003CA0"/>
          <w:sz w:val="16"/>
        </w:rPr>
        <w:t>[RE 655.283, rel. Min. Marco Aurélio, redator do acórdão Min. Dias Toffoli, j. 16-6-2021, P, DJE de 2-12-2021, RG, Tema 606, com mérito julgado.]</w:t>
      </w:r>
    </w:p>
    <w:p>
      <w:pPr>
        <w:ind w:left="288"/>
      </w:pPr>
      <w:r>
        <w:rPr>
          <w:color w:val="8C8C8C"/>
          <w:sz w:val="12"/>
        </w:rPr>
        <w:t>cf-art-43-par-3-ali-x</w:t>
      </w:r>
      <w:r>
        <w:rPr>
          <w:color w:val="003CA0"/>
          <w:sz w:val="12"/>
        </w:rPr>
        <w:t xml:space="preserve"> | RCL 79.937</w:t>
      </w:r>
      <w:r>
        <w:rPr>
          <w:color w:val="003CA0"/>
          <w:sz w:val="12"/>
        </w:rPr>
        <w:t xml:space="preserve"> | rel. Gilmar Mendes</w:t>
      </w:r>
    </w:p>
    <w:p>
      <w:pPr>
        <w:ind w:left="288"/>
      </w:pPr>
      <w:r>
        <w:rPr>
          <w:color w:val="1E1E1E"/>
          <w:sz w:val="18"/>
        </w:rPr>
        <w:t>Reintegração de empregado público. Reunião dos requisitos para a aposentadoria antes da emenda constitucional 103/2019. Exceção do art. 6º. (...) A demora da Administração na concessão do benefício não pode resultar em prejuízo ao segurado que, ao requerer sua aposentadoria antes do advento da EC 103/2019, já tinha preenchido os requisitos necessários à inativação, nos termos do art. 3º da referida emenda.</w:t>
      </w:r>
    </w:p>
    <w:p>
      <w:pPr>
        <w:ind w:left="288"/>
      </w:pPr>
      <w:r>
        <w:rPr>
          <w:b/>
          <w:color w:val="003CA0"/>
          <w:sz w:val="16"/>
        </w:rPr>
        <w:t>[Rcl 79.937 ED-AgR, rel. min. Gilmar Mendes, j. 27.10.2025, 2ª T, DJE de 29.10.2025.]</w:t>
      </w:r>
    </w:p>
    <w:p>
      <w:pPr>
        <w:ind w:left="288"/>
      </w:pPr>
      <w:r>
        <w:rPr>
          <w:color w:val="8C8C8C"/>
          <w:sz w:val="12"/>
        </w:rPr>
        <w:t>cf-art-43-par-3-ali-x</w:t>
      </w:r>
      <w:r>
        <w:rPr>
          <w:color w:val="003CA0"/>
          <w:sz w:val="12"/>
        </w:rPr>
        <w:t xml:space="preserve"> | PET 9.585</w:t>
      </w:r>
      <w:r>
        <w:rPr>
          <w:color w:val="003CA0"/>
          <w:sz w:val="12"/>
        </w:rPr>
        <w:t xml:space="preserve"> | rel. Luís Roberto Barroso</w:t>
      </w:r>
    </w:p>
    <w:p>
      <w:pPr>
        <w:ind w:left="288"/>
      </w:pPr>
      <w:r>
        <w:rPr>
          <w:color w:val="1E1E1E"/>
          <w:sz w:val="18"/>
        </w:rPr>
        <w:t>§ 15. É vedada a complementação de aposentadorias de servidores públicos e de pensões por morte a seus dependentes que não seja decorrente do disposto nos §§ 14 a 16 do art. 40 ou que não seja prevista em lei que extinga regime próprio de previdência social. (Incluído pela EC 103/2019) § 16. Os órgãos e entidades da administração pública, individual ou conjuntamente, devem realizar avaliação das políticas públicas, inclusive com divulgação do objeto a ser avaliado e dos resultados alcançados, na forma da lei. (Incluído pela EC n. 109/2021) Correção de falhas estruturais no subsistema de atençã</w:t>
      </w:r>
    </w:p>
    <w:p>
      <w:pPr>
        <w:ind w:left="288"/>
      </w:pPr>
      <w:r>
        <w:rPr>
          <w:b/>
          <w:color w:val="003CA0"/>
          <w:sz w:val="16"/>
        </w:rPr>
        <w:t>[ADPF 709, rel. min. Luís Roberto Barroso, j. 29.09.2025, P, DJE de 14.10.2025.]</w:t>
      </w:r>
    </w:p>
    <w:p>
      <w:pPr>
        <w:ind w:left="288"/>
      </w:pPr>
      <w:r>
        <w:rPr>
          <w:color w:val="8C8C8C"/>
          <w:sz w:val="12"/>
        </w:rPr>
        <w:t>cf-art-43-par-3-ali-x</w:t>
      </w:r>
    </w:p>
    <w:p>
      <w:pPr>
        <w:ind w:left="288"/>
      </w:pPr>
      <w:r>
        <w:rPr>
          <w:color w:val="1E1E1E"/>
          <w:sz w:val="18"/>
        </w:rPr>
        <w:t>§ 9º É vedada a incorporação de vantagens de caráter temporário ou vinculadas ao exercício de função de confiança ou de cargo em comissão à remuneração do cargo efetivo. (Incluído pela EC 103/2019)</w:t>
      </w:r>
    </w:p>
    <w:p>
      <w:pPr>
        <w:ind w:left="288"/>
      </w:pPr>
      <w:r>
        <w:rPr>
          <w:color w:val="8C8C8C"/>
          <w:sz w:val="12"/>
        </w:rPr>
        <w:t>cf-art-43-par-3-inc-II</w:t>
      </w:r>
      <w:r>
        <w:rPr>
          <w:color w:val="003CA0"/>
          <w:sz w:val="12"/>
        </w:rPr>
        <w:t xml:space="preserve"> | RE 1.486.392</w:t>
      </w:r>
      <w:r>
        <w:rPr>
          <w:color w:val="003CA0"/>
          <w:sz w:val="12"/>
        </w:rPr>
        <w:t xml:space="preserve"> | rel. Luís Roberto Barroso</w:t>
      </w:r>
    </w:p>
    <w:p>
      <w:pPr>
        <w:ind w:left="288"/>
      </w:pPr>
      <w:r>
        <w:rPr>
          <w:color w:val="1E1E1E"/>
          <w:sz w:val="18"/>
        </w:rPr>
        <w:t>“1. É infraconstitucional a controvérsia sobre o direito à paridade de servidor público policial civil que preencheu os requisitos para a aposentadoria especial prevista na Lei Complementar nº 51/1985; 2. É nulo o acórdão que garante a paridade para aposentadoria especial de policial civil sem examinar a legislação do ente federativo ao qual pertença o servidor”.</w:t>
      </w:r>
    </w:p>
    <w:p>
      <w:pPr>
        <w:ind w:left="288"/>
      </w:pPr>
      <w:r>
        <w:rPr>
          <w:b/>
          <w:color w:val="003CA0"/>
          <w:sz w:val="16"/>
        </w:rPr>
        <w:t>[RE 1.486.392 RG, rel. min. Luís Roberto Barroso, j. 28.06.2024, P, DJE de 14.08.2024, Tema 1.307, com repercussão geral negada.]</w:t>
      </w:r>
    </w:p>
    <w:p>
      <w:pPr>
        <w:ind w:left="288"/>
      </w:pPr>
      <w:r>
        <w:rPr>
          <w:color w:val="8C8C8C"/>
          <w:sz w:val="12"/>
        </w:rPr>
        <w:t>cf-art-43-par-3-inc-II</w:t>
      </w:r>
      <w:r>
        <w:rPr>
          <w:color w:val="003CA0"/>
          <w:sz w:val="12"/>
        </w:rPr>
        <w:t xml:space="preserve"> | RE 1.162.672</w:t>
      </w:r>
      <w:r>
        <w:rPr>
          <w:color w:val="003CA0"/>
          <w:sz w:val="12"/>
        </w:rPr>
        <w:t xml:space="preserve"> | rel. Dias Toffoli</w:t>
      </w:r>
    </w:p>
    <w:p>
      <w:pPr>
        <w:ind w:left="288"/>
      </w:pPr>
      <w:r>
        <w:rPr>
          <w:color w:val="1E1E1E"/>
          <w:sz w:val="18"/>
        </w:rPr>
        <w:t>“O servidor público policial civil que preencheu os requisitos para a aposentadoria especial voluntária prevista na LC nº 51/85 tem direito ao cálculo de seus proventos com base na regra da integralidade e, quando também previsto em lei complementar, na regra da paridade, independentemente do cumprimento das regras de transição especificadas nos arts. 2º e 3º da EC 47/05, por enquadrar-se na exceção prevista no art. 40, § 4º, inciso II, da Constituição Federal, na redação anterior à EC 103/19, atinente ao exercício de atividade de risco”.</w:t>
        <w:br/>
        <w:t xml:space="preserve">[RE 1.162.672, rel. min. Dias Toffoli, j. 4-9-2023, P, </w:t>
      </w:r>
    </w:p>
    <w:p>
      <w:pPr>
        <w:ind w:left="288"/>
      </w:pPr>
      <w:r>
        <w:rPr>
          <w:color w:val="8C8C8C"/>
          <w:sz w:val="12"/>
        </w:rPr>
        <w:t>cf-art-43-par-3-inc-III</w:t>
      </w:r>
    </w:p>
    <w:p>
      <w:pPr>
        <w:ind w:left="288"/>
      </w:pPr>
      <w:r>
        <w:rPr>
          <w:color w:val="1E1E1E"/>
          <w:sz w:val="18"/>
        </w:rPr>
        <w:t>§ 4º-A. Poderão ser estabelecidos por lei complementar do respectivo ente federativo idade e tempo de contribuição diferenciados para aposentadoria de servidores com deficiência, previamente submetidos a avaliação biopsicossocial realizada por equipe multiprofissional e interdisciplinar. (Incluído pela EC n. 103/2019)</w:t>
      </w:r>
    </w:p>
    <w:p>
      <w:pPr>
        <w:ind w:left="144"/>
      </w:pPr>
      <w:r>
        <w:rPr>
          <w:b/>
          <w:color w:val="B45A00"/>
          <w:sz w:val="16"/>
        </w:rPr>
        <w:t>JULGADOS CORRELATOS</w:t>
      </w:r>
    </w:p>
    <w:p>
      <w:pPr>
        <w:ind w:left="288"/>
      </w:pPr>
      <w:r>
        <w:rPr>
          <w:color w:val="8C8C8C"/>
          <w:sz w:val="12"/>
        </w:rPr>
        <w:t>cf-art-43-par-3-inc-III</w:t>
      </w:r>
      <w:r>
        <w:rPr>
          <w:color w:val="003CA0"/>
          <w:sz w:val="12"/>
        </w:rPr>
        <w:t xml:space="preserve"> | MI 6.816</w:t>
      </w:r>
      <w:r>
        <w:rPr>
          <w:color w:val="003CA0"/>
          <w:sz w:val="12"/>
        </w:rPr>
        <w:t xml:space="preserve"> | rel. Marco Aurélio</w:t>
      </w:r>
    </w:p>
    <w:p>
      <w:pPr>
        <w:ind w:left="288"/>
      </w:pPr>
      <w:r>
        <w:rPr>
          <w:color w:val="1E1E1E"/>
          <w:sz w:val="18"/>
        </w:rPr>
        <w:t>Com o advento da Emenda Constitucional 103, de 12 de novembro de 2019, tendo em vista a competência legislativa concorrente de cada ente para estabelecer, mediante lei complementar, idade e tempo de contribuição diferenciados para aposentadoria especial no regime próprio, não cabe ao Supremo julgar mandado de injunção formalizado por servidor de ente federado, voltado a suprir a omissão normativa – artigo 40, parágrafos 4º-A, 4º-B e 4º-C, da Carta da República.</w:t>
      </w:r>
    </w:p>
    <w:p>
      <w:pPr>
        <w:ind w:left="288"/>
      </w:pPr>
      <w:r>
        <w:rPr>
          <w:b/>
          <w:color w:val="003CA0"/>
          <w:sz w:val="16"/>
        </w:rPr>
        <w:t>[MI 6.816 AgR, rel. min. Marco Aurélio, j. 29-5-2020, P, DJE de 17-6-2020.]</w:t>
      </w:r>
    </w:p>
    <w:p>
      <w:pPr>
        <w:ind w:left="288"/>
      </w:pPr>
      <w:r>
        <w:rPr>
          <w:color w:val="8C8C8C"/>
          <w:sz w:val="12"/>
        </w:rPr>
        <w:t>cf-art-43-par-3-inc-III</w:t>
      </w:r>
      <w:r>
        <w:rPr>
          <w:color w:val="003CA0"/>
          <w:sz w:val="12"/>
        </w:rPr>
        <w:t xml:space="preserve"> | MI 4.031</w:t>
      </w:r>
      <w:r>
        <w:rPr>
          <w:color w:val="003CA0"/>
          <w:sz w:val="12"/>
        </w:rPr>
        <w:t xml:space="preserve"> | rel. Roberto Barroso</w:t>
      </w:r>
    </w:p>
    <w:p>
      <w:pPr>
        <w:ind w:left="288"/>
      </w:pPr>
      <w:r>
        <w:rPr>
          <w:color w:val="1E1E1E"/>
          <w:sz w:val="18"/>
        </w:rPr>
        <w:t>A LC 142/2013, que regulamentou a aposentadoria especial de pessoas com deficiência no Regime Geral de Previdência Social, deve ser aplicada ao pedido de aposentadoria de servidores públicos com deficiência, por se tratar de diploma mais adequado para suprir a omissão na regulamentação do antigo art. 40, § 4º, I, da CF/1988 (atual art. 40, § 4º-A).</w:t>
      </w:r>
    </w:p>
    <w:p>
      <w:pPr>
        <w:ind w:left="288"/>
      </w:pPr>
      <w:r>
        <w:rPr>
          <w:b/>
          <w:color w:val="003CA0"/>
          <w:sz w:val="16"/>
        </w:rPr>
        <w:t>[MI 4.031 AgR, rel. min. Roberto Barroso, j. 4-5-2020, P, DJE de 20-5-2020.]</w:t>
      </w:r>
    </w:p>
    <w:p>
      <w:pPr>
        <w:ind w:left="288"/>
      </w:pPr>
      <w:r>
        <w:rPr>
          <w:color w:val="8C8C8C"/>
          <w:sz w:val="12"/>
        </w:rPr>
        <w:t>cf-art-43-par-3-inc-III</w:t>
      </w:r>
      <w:r>
        <w:rPr>
          <w:color w:val="003CA0"/>
          <w:sz w:val="12"/>
        </w:rPr>
        <w:t xml:space="preserve"> | MI 4.245</w:t>
      </w:r>
      <w:r>
        <w:rPr>
          <w:color w:val="003CA0"/>
          <w:sz w:val="12"/>
        </w:rPr>
        <w:t xml:space="preserve"> | rel. Luiz Fux</w:t>
      </w:r>
    </w:p>
    <w:p>
      <w:pPr>
        <w:ind w:left="288"/>
      </w:pPr>
      <w:r>
        <w:rPr>
          <w:color w:val="1E1E1E"/>
          <w:sz w:val="18"/>
        </w:rPr>
        <w:t>A aposentadoria especial de servidor público portador de deficiência está consagrada como direito previsto no art. 40, § 4º-A da Constituição da República (antigo art. 40, § 4º, I), incluído pela Emenda Constitucional 103/2019. A Emenda Constitucional 103/2019 predica, em seu art. 22, caput, que a aposentadoria especial de servidor público federal portador de deficiência é assegurada mediante o preenchimento dos requisitos previstos na Lei Complementar 142/2013, que deve ser aplicada inclusive nos períodos de prestação de serviço anteriores à sua vigência, até que seja editada a lei complement</w:t>
      </w:r>
    </w:p>
    <w:p>
      <w:pPr>
        <w:ind w:left="288"/>
      </w:pPr>
      <w:r>
        <w:rPr>
          <w:b/>
          <w:color w:val="003CA0"/>
          <w:sz w:val="16"/>
        </w:rPr>
        <w:t>[MI 4.245 AgR AgR, rel. min. Luiz Fux, j. 27-4-2020, P, DJE de 22-6-2020.]</w:t>
      </w:r>
    </w:p>
    <w:p>
      <w:pPr>
        <w:ind w:left="288"/>
      </w:pPr>
      <w:r>
        <w:rPr>
          <w:color w:val="8C8C8C"/>
          <w:sz w:val="12"/>
        </w:rPr>
        <w:t>cf-art-43-par-3-inc-III</w:t>
      </w:r>
      <w:r>
        <w:rPr>
          <w:color w:val="003CA0"/>
          <w:sz w:val="12"/>
        </w:rPr>
        <w:t xml:space="preserve"> | MI 1.885</w:t>
      </w:r>
      <w:r>
        <w:rPr>
          <w:color w:val="003CA0"/>
          <w:sz w:val="12"/>
        </w:rPr>
        <w:t xml:space="preserve"> | rel. Cármen Lúcia</w:t>
      </w:r>
    </w:p>
    <w:p>
      <w:pPr>
        <w:ind w:left="288"/>
      </w:pPr>
      <w:r>
        <w:rPr>
          <w:color w:val="1E1E1E"/>
          <w:sz w:val="18"/>
        </w:rPr>
        <w:t>Aposentadoria especial. Servidor público portador de necessidades especiais: art. 40, § 4º, I, da Constituição da República. Aplicação das regras da LC 142/2013, que dispõem sobre aposentadoria de pessoa com deficiência segurada do Regime Geral de Previdência Social (RGPS).</w:t>
      </w:r>
    </w:p>
    <w:p>
      <w:pPr>
        <w:ind w:left="288"/>
      </w:pPr>
      <w:r>
        <w:rPr>
          <w:b/>
          <w:color w:val="003CA0"/>
          <w:sz w:val="16"/>
        </w:rPr>
        <w:t>[MI 1.885 AgR, rel. min. Cármen Lúcia, j. 22-5-2014, P, DJE de 13-6-2014.]</w:t>
      </w:r>
    </w:p>
    <w:p>
      <w:pPr>
        <w:ind w:left="288"/>
      </w:pPr>
      <w:r>
        <w:rPr>
          <w:color w:val="8C8C8C"/>
          <w:sz w:val="12"/>
        </w:rPr>
        <w:t>cf-art-43-par-3-inc-III</w:t>
      </w:r>
      <w:r>
        <w:rPr>
          <w:color w:val="003CA0"/>
          <w:sz w:val="12"/>
        </w:rPr>
        <w:t xml:space="preserve"> | MI 1.967</w:t>
      </w:r>
      <w:r>
        <w:rPr>
          <w:color w:val="003CA0"/>
          <w:sz w:val="12"/>
        </w:rPr>
        <w:t xml:space="preserve"> | rel. Celso de Mello</w:t>
      </w:r>
    </w:p>
    <w:p>
      <w:pPr>
        <w:ind w:left="288"/>
      </w:pPr>
      <w:r>
        <w:rPr>
          <w:color w:val="1E1E1E"/>
          <w:sz w:val="18"/>
        </w:rPr>
        <w:t>(...) o mandado de injunção busca neutralizar as consequências lesivas decorrentes da ausência de regulamentação normativa de preceitos constitucionais revestidos de eficácia limitada, cuja incidência – necessária ao exercício efetivo de determinados direitos neles diretamente fundados – depende, essencialmente, da intervenção concretizadora do legislador. (...) O caso ora em exame (...) versa situação prevista no § 4º do art. 40 da Constituição, cujo inciso I trata da aposentadoria especial reconhecida a servidores públicos que sejam "portadores de deficiência" e que igualmente sofrem, à seme</w:t>
      </w:r>
    </w:p>
    <w:p>
      <w:pPr>
        <w:ind w:left="288"/>
      </w:pPr>
      <w:r>
        <w:rPr>
          <w:b/>
          <w:color w:val="003CA0"/>
          <w:sz w:val="16"/>
        </w:rPr>
        <w:t>[MI 1.967, rel. min. Celso de Mello, j. 24-5-2011, dec. monocrática, DJE de 27-5-2011.]</w:t>
      </w:r>
    </w:p>
    <w:p>
      <w:pPr>
        <w:ind w:left="288"/>
      </w:pPr>
      <w:r>
        <w:rPr>
          <w:color w:val="8C8C8C"/>
          <w:sz w:val="12"/>
        </w:rPr>
        <w:t>cf-art-43-par-3-inc-III</w:t>
      </w:r>
      <w:r>
        <w:rPr>
          <w:color w:val="003CA0"/>
          <w:sz w:val="12"/>
        </w:rPr>
        <w:t xml:space="preserve"> | ADPF 1.095</w:t>
      </w:r>
      <w:r>
        <w:rPr>
          <w:color w:val="003CA0"/>
          <w:sz w:val="12"/>
        </w:rPr>
        <w:t xml:space="preserve"> | rel. Gilmar Mendes</w:t>
      </w:r>
    </w:p>
    <w:p>
      <w:pPr>
        <w:ind w:left="288"/>
      </w:pPr>
      <w:r>
        <w:rPr>
          <w:color w:val="1E1E1E"/>
          <w:sz w:val="18"/>
        </w:rPr>
        <w:t>§ 4º-B. Poderão ser estabelecidos por lei complementar do respectivo ente federativo idade e tempo de contribuição diferenciados para aposentadoria de ocupantes do cargo de agente penitenciário, de agente socioeducativo ou de policial dos órgãos de que tratam o inciso IV do caput do art. 51, o inciso XIII do caput do art. 52 e os incisos I a IV do caput do art. 144. (Incluído pela EC n. 103/2019) O art. 40, § 4º-B, da Constituição Federal encerra rol taxativo, de modo que somente admite a instituição, mediante lei complementar editada pelo respectivo ente federado, de aposentadoria com critéri</w:t>
      </w:r>
    </w:p>
    <w:p>
      <w:pPr>
        <w:ind w:left="288"/>
      </w:pPr>
      <w:r>
        <w:rPr>
          <w:b/>
          <w:color w:val="003CA0"/>
          <w:sz w:val="16"/>
        </w:rPr>
        <w:t>[ADPF 1.095, rel. min. Gilmar Mendes, j. 12.08.2025, P, DJE de 11.11.2025.]</w:t>
      </w:r>
    </w:p>
    <w:p>
      <w:pPr>
        <w:ind w:left="288"/>
      </w:pPr>
      <w:r>
        <w:rPr>
          <w:color w:val="8C8C8C"/>
          <w:sz w:val="12"/>
        </w:rPr>
        <w:t>cf-art-43-par-3-inc-III</w:t>
      </w:r>
      <w:r>
        <w:rPr>
          <w:color w:val="003CA0"/>
          <w:sz w:val="12"/>
        </w:rPr>
        <w:t xml:space="preserve"> | ADI 7.727</w:t>
      </w:r>
      <w:r>
        <w:rPr>
          <w:color w:val="003CA0"/>
          <w:sz w:val="12"/>
        </w:rPr>
        <w:t xml:space="preserve"> | rel. Flávio Dino</w:t>
      </w:r>
    </w:p>
    <w:p>
      <w:pPr>
        <w:ind w:left="288"/>
      </w:pPr>
      <w:r>
        <w:rPr>
          <w:color w:val="1E1E1E"/>
          <w:sz w:val="18"/>
        </w:rPr>
        <w:t>A questão em discussão consiste em saber se as regras de aposentação das mulheres policiais civis e federais introduzidas pela EC nº 103/2019, ao exigirem de forma indistinta a ambos os sexos a “idade mínima de 55 (cinquenta e cinco) anos”, bem como “52 (cinquenta e dois) anos de idade, se mulher”, na hipótese da fórmula idade+pedágio (período adicional de contribuição) se amoldam aos preceitos constitucionais da igualdade material. Confrontados os específicos preceitos direcionados a policiais civis e federais com o regramento geral introduzido pela EC nº 103/2019, bem como à luz da praxe con</w:t>
      </w:r>
    </w:p>
    <w:p>
      <w:pPr>
        <w:ind w:left="288"/>
      </w:pPr>
      <w:r>
        <w:rPr>
          <w:b/>
          <w:color w:val="003CA0"/>
          <w:sz w:val="16"/>
        </w:rPr>
        <w:t>[ADI 7.727 MC-REF, rel. min. Flávio Dino, j. 25.04.2025, P, DJE de 07.05.2025.]</w:t>
      </w:r>
    </w:p>
    <w:p>
      <w:pPr>
        <w:ind w:left="144"/>
      </w:pPr>
      <w:r>
        <w:rPr>
          <w:b/>
          <w:color w:val="B45A00"/>
          <w:sz w:val="16"/>
        </w:rPr>
        <w:t>CONTROLE CONCENTRADO</w:t>
      </w:r>
    </w:p>
    <w:p>
      <w:pPr>
        <w:ind w:left="288"/>
      </w:pPr>
      <w:r>
        <w:rPr>
          <w:color w:val="8C8C8C"/>
          <w:sz w:val="12"/>
        </w:rPr>
        <w:t>cf-art-43-par-3-inc-III</w:t>
      </w:r>
      <w:r>
        <w:rPr>
          <w:color w:val="003CA0"/>
          <w:sz w:val="12"/>
        </w:rPr>
        <w:t xml:space="preserve"> | ADI 7.494</w:t>
      </w:r>
      <w:r>
        <w:rPr>
          <w:color w:val="003CA0"/>
          <w:sz w:val="12"/>
        </w:rPr>
        <w:t xml:space="preserve"> | rel. Cármen Lúcia</w:t>
      </w:r>
    </w:p>
    <w:p>
      <w:pPr>
        <w:ind w:left="288"/>
      </w:pPr>
      <w:r>
        <w:rPr>
          <w:color w:val="1E1E1E"/>
          <w:sz w:val="18"/>
        </w:rPr>
        <w:t>É incompatível com o regime da aposentadoria especial por exercício da atividade de risco, análoga à dos policiais, a atuação dos membros do Ministério Público e dos ocupantes de cargos no Poder Judiciário, Defensoria Pública, Procuradores do Estado, Procuradores dos Municípios, Oficiais de Justiça e Auditores Fiscais de Tributos estaduais por contrariedade aos §§ 4º e 4º-B do art. 40 da Constituição da República.</w:t>
        <w:br/>
        <w:t>[ADI 7.494, rel. min. Cármen Lúcia, j. 04.04.2024, P, DJE de 10.04.2024.] O regime constitucional da aposentadoria especial, com as significativas modificações promovidas pela EC 103</w:t>
      </w:r>
    </w:p>
    <w:p>
      <w:pPr>
        <w:ind w:left="288"/>
      </w:pPr>
      <w:r>
        <w:rPr>
          <w:b/>
          <w:color w:val="003CA0"/>
          <w:sz w:val="16"/>
        </w:rPr>
        <w:t>[ADI 6.917, rel. min. Alexandre de Moraes, j. 21-3-2022, P, DJE de 29-3-2022.]</w:t>
      </w:r>
    </w:p>
    <w:p>
      <w:pPr>
        <w:ind w:left="288"/>
      </w:pPr>
      <w:r>
        <w:rPr>
          <w:color w:val="8C8C8C"/>
          <w:sz w:val="12"/>
        </w:rPr>
        <w:t>cf-art-43-par-3-inc-III</w:t>
      </w:r>
      <w:r>
        <w:rPr>
          <w:color w:val="003CA0"/>
          <w:sz w:val="12"/>
        </w:rPr>
        <w:t xml:space="preserve"> | ADI 3.817</w:t>
      </w:r>
      <w:r>
        <w:rPr>
          <w:color w:val="003CA0"/>
          <w:sz w:val="12"/>
        </w:rPr>
        <w:t xml:space="preserve"> | rel. Cármen Lúcia</w:t>
      </w:r>
    </w:p>
    <w:p>
      <w:pPr>
        <w:ind w:left="288"/>
      </w:pPr>
      <w:r>
        <w:rPr>
          <w:color w:val="1E1E1E"/>
          <w:sz w:val="18"/>
        </w:rPr>
        <w:t>O art. 1º da LC federal 51/1985, que dispõe que o policial será aposentado voluntariamente, com proventos integrais, após trinta anos de serviço, desde que conte pelo menos vinte anos de exercício em cargo de natureza estritamente policial, foi recepcionado pela Constituição da República de 1988. A combinação desse dispositivo com o art. 3º da Lei distrital 3.556/2005 autoriza a contagem do período de vinte anos previsto na LC 51/1985 sem que o servidor público tenha, necessariamente, exercido atividades de natureza estritamente policial, expondo sua integridade física a risco, pressuposto par</w:t>
      </w:r>
    </w:p>
    <w:p>
      <w:pPr>
        <w:ind w:left="288"/>
      </w:pPr>
      <w:r>
        <w:rPr>
          <w:b/>
          <w:color w:val="003CA0"/>
          <w:sz w:val="16"/>
        </w:rPr>
        <w:t>[ADI 3.817, rel. min. Cármen Lúcia, j. 13-11-2008, P, DJE de 3-4-2009.]</w:t>
      </w:r>
    </w:p>
    <w:p>
      <w:pPr>
        <w:ind w:left="288"/>
      </w:pPr>
      <w:r>
        <w:rPr>
          <w:color w:val="8C8C8C"/>
          <w:sz w:val="12"/>
        </w:rPr>
        <w:t>cf-art-43-par-3-inc-III</w:t>
      </w:r>
      <w:r>
        <w:rPr>
          <w:color w:val="003CA0"/>
          <w:sz w:val="12"/>
        </w:rPr>
        <w:t xml:space="preserve"> | RE 567.110</w:t>
      </w:r>
      <w:r>
        <w:rPr>
          <w:color w:val="003CA0"/>
          <w:sz w:val="12"/>
        </w:rPr>
        <w:t xml:space="preserve"> | rel. Cármen Lúcia</w:t>
      </w:r>
    </w:p>
    <w:p>
      <w:pPr>
        <w:ind w:left="288"/>
      </w:pPr>
      <w:r>
        <w:rPr>
          <w:color w:val="1E1E1E"/>
          <w:sz w:val="18"/>
        </w:rPr>
        <w:t>= RE 567.110, rel. min. Cármen Lúcia, j. 13-10-2010, P, DJE de 11-4-2011, Tema 26</w:t>
      </w:r>
    </w:p>
    <w:p>
      <w:pPr>
        <w:ind w:left="144"/>
      </w:pPr>
      <w:r>
        <w:rPr>
          <w:b/>
          <w:color w:val="B45A00"/>
          <w:sz w:val="16"/>
        </w:rPr>
        <w:t>REPERCUSSAO GERAL</w:t>
      </w:r>
    </w:p>
    <w:p>
      <w:pPr>
        <w:ind w:left="288"/>
      </w:pPr>
      <w:r>
        <w:rPr>
          <w:color w:val="8C8C8C"/>
          <w:sz w:val="12"/>
        </w:rPr>
        <w:t>cf-art-43-par-3-inc-III</w:t>
      </w:r>
      <w:r>
        <w:rPr>
          <w:color w:val="003CA0"/>
          <w:sz w:val="12"/>
        </w:rPr>
        <w:t xml:space="preserve"> | ADI 3.817</w:t>
      </w:r>
      <w:r>
        <w:rPr>
          <w:color w:val="003CA0"/>
          <w:sz w:val="12"/>
        </w:rPr>
        <w:t xml:space="preserve"> | rel. Cármen Lúcia</w:t>
      </w:r>
    </w:p>
    <w:p>
      <w:pPr>
        <w:ind w:left="288"/>
      </w:pPr>
      <w:r>
        <w:rPr>
          <w:color w:val="1E1E1E"/>
          <w:sz w:val="18"/>
        </w:rPr>
        <w:t>Previdenciário. Recepção constitucional do art. 1º, I, da LC 51/1985. Adoção de requisitos e critérios diferenciados para a concessão de aposentadoria a servidores cujas atividades não são exercidas exclusivamente sob condições especiais que prejudiquem a saúde ou a integridade física. Reiteração do posicionamento assentado no julgamento da ADI 3.817, rel. min. Cármen Lúcia, da recepção do inciso I do art. 1º da LC 51/1985 pela Constituição. O Tribunal a quo reconheceu, corretamente, o direito do recorrido de se aposentar na forma especial prevista na LC 51/1985, por terem sido cumpridos todos</w:t>
      </w:r>
    </w:p>
    <w:p>
      <w:pPr>
        <w:ind w:left="288"/>
      </w:pPr>
      <w:r>
        <w:rPr>
          <w:b/>
          <w:color w:val="003CA0"/>
          <w:sz w:val="16"/>
        </w:rPr>
        <w:t>[RE 567.110, rel. min. Cármen Lúcia, j. 13-10-2010, P, DJE de 11-4-2011, Tema 26, com mérito julgado.]</w:t>
        <w:br/>
        <w:t>= ADI 3.817, rel. min. Cármen Lúcia, j. 13-11-2008, P, DJE de 3-4-2009</w:t>
      </w:r>
    </w:p>
    <w:p>
      <w:pPr>
        <w:ind w:left="288"/>
      </w:pPr>
      <w:r>
        <w:rPr>
          <w:color w:val="8C8C8C"/>
          <w:sz w:val="12"/>
        </w:rPr>
        <w:t>cf-art-43-par-3-inc-III</w:t>
      </w:r>
      <w:r>
        <w:rPr>
          <w:color w:val="003CA0"/>
          <w:sz w:val="12"/>
        </w:rPr>
        <w:t xml:space="preserve"> | RE 1.526.375</w:t>
      </w:r>
      <w:r>
        <w:rPr>
          <w:color w:val="003CA0"/>
          <w:sz w:val="12"/>
        </w:rPr>
        <w:t xml:space="preserve"> | rel. Alexandre de Moraes</w:t>
      </w:r>
    </w:p>
    <w:p>
      <w:pPr>
        <w:ind w:left="288"/>
      </w:pPr>
      <w:r>
        <w:rPr>
          <w:color w:val="1E1E1E"/>
          <w:sz w:val="18"/>
        </w:rPr>
        <w:t>(...) o art. 5º da Emenda Constitucional 103/2019 institui norma transitória assegurando aos ocupantes de cargo de agente federal penitenciário ou socioeducativo a aplicação analógica da Lei Complementar 51, de 20.12.1985, a qual dispõe sobre aposentadoria do servidor público policial, até que especificamente regulamentada a aposentadoria especial, nos termos do § 4º-B do art. 40 da Constituição. Ou seja, a Emenda Constitucional 103/2019 positivou, em norma transitória, a aplicação analógica da Lei Complementar 51/1985.</w:t>
      </w:r>
    </w:p>
    <w:p>
      <w:pPr>
        <w:ind w:left="288"/>
      </w:pPr>
      <w:r>
        <w:rPr>
          <w:b/>
          <w:color w:val="003CA0"/>
          <w:sz w:val="16"/>
        </w:rPr>
        <w:t>[RE 1.526.375 ED, rel. min. Alexandre de Moraes, j. 12.03.2025, 1ª T, DJE de 19.03.2025.]</w:t>
      </w:r>
    </w:p>
    <w:p>
      <w:pPr>
        <w:ind w:left="144"/>
      </w:pPr>
      <w:r>
        <w:rPr>
          <w:b/>
          <w:color w:val="B45A00"/>
          <w:sz w:val="16"/>
        </w:rPr>
        <w:t>JULGADOS CORRELATOS</w:t>
      </w:r>
    </w:p>
    <w:p>
      <w:pPr>
        <w:ind w:left="288"/>
      </w:pPr>
      <w:r>
        <w:rPr>
          <w:color w:val="8C8C8C"/>
          <w:sz w:val="12"/>
        </w:rPr>
        <w:t>cf-art-43-par-3-inc-III</w:t>
      </w:r>
      <w:r>
        <w:rPr>
          <w:color w:val="003CA0"/>
          <w:sz w:val="12"/>
        </w:rPr>
        <w:t xml:space="preserve"> | MI 6.103</w:t>
      </w:r>
      <w:r>
        <w:rPr>
          <w:color w:val="003CA0"/>
          <w:sz w:val="12"/>
        </w:rPr>
        <w:t xml:space="preserve"> | rel. Rosa Weber</w:t>
      </w:r>
    </w:p>
    <w:p>
      <w:pPr>
        <w:ind w:left="288"/>
      </w:pPr>
      <w:r>
        <w:rPr>
          <w:color w:val="1E1E1E"/>
          <w:sz w:val="18"/>
        </w:rPr>
        <w:t>À luz do art. 40, § 4º-B, da Magna Carta, introduzido pela Emenda Constitucional 103/2019, o tempo de serviço prestado às Forças Armadas não se inclui no rol taxativo de cargos que podem ensejar a concessão de aposentadoria especial por exposição a atividade de risco.</w:t>
      </w:r>
    </w:p>
    <w:p>
      <w:pPr>
        <w:ind w:left="288"/>
      </w:pPr>
      <w:r>
        <w:rPr>
          <w:b/>
          <w:color w:val="003CA0"/>
          <w:sz w:val="16"/>
        </w:rPr>
        <w:t>[MI 6.103 AgR, rel. min. Rosa Weber, j. 24-8-2020, P, DJE de 17-9-2020.]</w:t>
      </w:r>
    </w:p>
    <w:p>
      <w:pPr>
        <w:ind w:left="288"/>
      </w:pPr>
      <w:r>
        <w:rPr>
          <w:color w:val="8C8C8C"/>
          <w:sz w:val="12"/>
        </w:rPr>
        <w:t>cf-art-43-par-3-inc-III</w:t>
      </w:r>
      <w:r>
        <w:rPr>
          <w:color w:val="003CA0"/>
          <w:sz w:val="12"/>
        </w:rPr>
        <w:t xml:space="preserve"> | MI 6.816</w:t>
      </w:r>
      <w:r>
        <w:rPr>
          <w:color w:val="003CA0"/>
          <w:sz w:val="12"/>
        </w:rPr>
        <w:t xml:space="preserve"> | rel. Marco Aurélio</w:t>
      </w:r>
    </w:p>
    <w:p>
      <w:pPr>
        <w:ind w:left="288"/>
      </w:pPr>
      <w:r>
        <w:rPr>
          <w:color w:val="1E1E1E"/>
          <w:sz w:val="18"/>
        </w:rPr>
        <w:t>Com o advento da Emenda Constitucional 103, de 12 de novembro de 2019, tendo em vista a competência legislativa concorrente de cada ente para estabelecer, mediante lei complementar, idade e tempo de contribuição diferenciados para aposentadoria especial no regime próprio, não cabe ao Supremo julgar mandado de injunção formalizado por servidor de ente federado, voltado a suprir a omissão normativa – artigo 40, parágrafos 4º-A, 4º-B e 4º-C, da Carta da República.</w:t>
      </w:r>
    </w:p>
    <w:p>
      <w:pPr>
        <w:ind w:left="288"/>
      </w:pPr>
      <w:r>
        <w:rPr>
          <w:b/>
          <w:color w:val="003CA0"/>
          <w:sz w:val="16"/>
        </w:rPr>
        <w:t>[MI 6.816 AgR, rel. min. Marco Aurélio, j. 29-5-2020, P, DJE de 17-6-2020.]</w:t>
      </w:r>
    </w:p>
    <w:p>
      <w:pPr>
        <w:ind w:left="288"/>
      </w:pPr>
      <w:r>
        <w:rPr>
          <w:color w:val="8C8C8C"/>
          <w:sz w:val="12"/>
        </w:rPr>
        <w:t>cf-art-43-par-3-inc-III</w:t>
      </w:r>
      <w:r>
        <w:rPr>
          <w:color w:val="003CA0"/>
          <w:sz w:val="12"/>
        </w:rPr>
        <w:t xml:space="preserve"> | MI 6.770</w:t>
      </w:r>
    </w:p>
    <w:p>
      <w:pPr>
        <w:ind w:left="288"/>
      </w:pPr>
      <w:r>
        <w:rPr>
          <w:color w:val="1E1E1E"/>
          <w:sz w:val="18"/>
        </w:rPr>
        <w:t>Diante do caráter aberto da expressão atividades de risco (art. 40, § 4º, II, da Constituição) e da relativa liberdade de conformação do legislador, somente há omissão inconstitucional nos casos em que a periculosidade é inequivocamente inerente ao ofício. A eventual exposição a situações de risco a que podem estar sujeitos os guardas municipais e, de resto, diversas outras categorias, não garante direito subjetivo constitucional à aposentadoria especial. A percepção de gratificações ou adicionais de periculosidade, assim como o porte de arma de fogo, não são suficientes para reconhecer o dire</w:t>
      </w:r>
    </w:p>
    <w:p>
      <w:pPr>
        <w:ind w:left="288"/>
      </w:pPr>
      <w:r>
        <w:rPr>
          <w:b/>
          <w:color w:val="003CA0"/>
          <w:sz w:val="16"/>
        </w:rPr>
        <w:t>[MI 6.770 AgR, red. do ac. min. Roberto Barroso, j. 20-6-2018, P, DJE de 26-11-2018.]</w:t>
      </w:r>
    </w:p>
    <w:p>
      <w:pPr>
        <w:ind w:left="288"/>
      </w:pPr>
      <w:r>
        <w:rPr>
          <w:color w:val="8C8C8C"/>
          <w:sz w:val="12"/>
        </w:rPr>
        <w:t>cf-art-43-par-3-inc-III</w:t>
      </w:r>
      <w:r>
        <w:rPr>
          <w:color w:val="003CA0"/>
          <w:sz w:val="12"/>
        </w:rPr>
        <w:t xml:space="preserve"> | MI 833</w:t>
      </w:r>
    </w:p>
    <w:p>
      <w:pPr>
        <w:ind w:left="288"/>
      </w:pPr>
      <w:r>
        <w:rPr>
          <w:color w:val="1E1E1E"/>
          <w:sz w:val="18"/>
        </w:rPr>
        <w:t>Diante do caráter aberto da expressão atividades de risco (art. 40, § 4º, II, da Constituição) e da relativa liberdade de conformação do legislador, somente há omissão inconstitucional quando a periculosidade seja inequivocamente inerente ao ofício. A eventual exposição a situações de risco – a que podem estar sujeitos os oficiais de Justiça e, de resto, diversas categorias de servidores públicos – não garante direito subjetivo constitucional à aposentadoria especial. A percepção de gratificações ou adicionais de periculosidade, assim como o porte de arma de fogo não são, por si sós, suficient</w:t>
      </w:r>
    </w:p>
    <w:p>
      <w:pPr>
        <w:ind w:left="288"/>
      </w:pPr>
      <w:r>
        <w:rPr>
          <w:b/>
          <w:color w:val="003CA0"/>
          <w:sz w:val="16"/>
        </w:rPr>
        <w:t>[MI 833, red. do ac. min. Roberto Barroso, j. 11-6-2015, P, DJE de 30-9-2015.]</w:t>
      </w:r>
    </w:p>
    <w:p>
      <w:pPr>
        <w:ind w:left="288"/>
      </w:pPr>
      <w:r>
        <w:rPr>
          <w:color w:val="8C8C8C"/>
          <w:sz w:val="12"/>
        </w:rPr>
        <w:t>cf-art-43-par-3-inc-III</w:t>
      </w:r>
      <w:r>
        <w:rPr>
          <w:color w:val="003CA0"/>
          <w:sz w:val="12"/>
        </w:rPr>
        <w:t xml:space="preserve"> | MI 4.528</w:t>
      </w:r>
      <w:r>
        <w:rPr>
          <w:color w:val="003CA0"/>
          <w:sz w:val="12"/>
        </w:rPr>
        <w:t xml:space="preserve"> | rel. Cármen Lúcia</w:t>
      </w:r>
    </w:p>
    <w:p>
      <w:pPr>
        <w:ind w:left="288"/>
      </w:pPr>
      <w:r>
        <w:rPr>
          <w:color w:val="1E1E1E"/>
          <w:sz w:val="18"/>
        </w:rPr>
        <w:t>Aposentadoria especial de policial. Atividade de risco. (...) Impossibilidade de conjugação do sistema da LC 51/1985 com o do art. 57 da Lei 8.213/1991, para, com isso, cogitar-se de idade mínima para aposentação.</w:t>
      </w:r>
    </w:p>
    <w:p>
      <w:pPr>
        <w:ind w:left="288"/>
      </w:pPr>
      <w:r>
        <w:rPr>
          <w:b/>
          <w:color w:val="003CA0"/>
          <w:sz w:val="16"/>
        </w:rPr>
        <w:t>[MI 4.528 AgR, rel. min. Cármen Lúcia, j. 13-6-2012, P, DJE de 1º-8-2012.]</w:t>
      </w:r>
    </w:p>
    <w:p>
      <w:pPr>
        <w:ind w:left="288"/>
      </w:pPr>
      <w:r>
        <w:rPr>
          <w:color w:val="8C8C8C"/>
          <w:sz w:val="12"/>
        </w:rPr>
        <w:t>cf-art-43-par-3-inc-III</w:t>
      </w:r>
      <w:r>
        <w:rPr>
          <w:color w:val="003CA0"/>
          <w:sz w:val="12"/>
        </w:rPr>
        <w:t xml:space="preserve"> | MI 2.787</w:t>
      </w:r>
      <w:r>
        <w:rPr>
          <w:color w:val="003CA0"/>
          <w:sz w:val="12"/>
        </w:rPr>
        <w:t xml:space="preserve"> | rel. Teori Zavascki</w:t>
      </w:r>
    </w:p>
    <w:p>
      <w:pPr>
        <w:ind w:left="288"/>
      </w:pPr>
      <w:r>
        <w:rPr>
          <w:color w:val="1E1E1E"/>
          <w:sz w:val="18"/>
        </w:rPr>
        <w:t>= MI 2.787 AgR-segundo, rel. min. Teori Zavascki, j. 24-4-2013, P, DJE de 27-5-2013 Servidor público do Distrito Federal: inexistência de direito à aposentadoria especial, no caso de atividades perigosas, insalubres ou penosas. O Supremo Tribunal, no julgamento do MI 444 QO, Sydney Sanches, RTJ 158/6, assentou que a norma inscrita no art. 40, § 1º (atual § 4º), da CF não conferiu originariamente a nenhum servidor público o direito à obtenção de aposentadoria especial pelo exercício de atividades perigosas, insalubres ou penosas; o mencionado preceito constitucional apenas faculta ao legislador</w:t>
      </w:r>
    </w:p>
    <w:p>
      <w:pPr>
        <w:ind w:left="288"/>
      </w:pPr>
      <w:r>
        <w:rPr>
          <w:b/>
          <w:color w:val="003CA0"/>
          <w:sz w:val="16"/>
        </w:rPr>
        <w:t>[RE 428.511 AgR, rel. min. Sepúlveda Pertence, j. 14-2-2006, 1ª T, DJ de 17-3-2006.]</w:t>
      </w:r>
    </w:p>
    <w:p>
      <w:pPr>
        <w:ind w:left="288"/>
      </w:pPr>
      <w:r>
        <w:rPr>
          <w:color w:val="8C8C8C"/>
          <w:sz w:val="12"/>
        </w:rPr>
        <w:t>cf-art-43-par-3-inc-III</w:t>
      </w:r>
      <w:r>
        <w:rPr>
          <w:color w:val="003CA0"/>
          <w:sz w:val="12"/>
        </w:rPr>
        <w:t xml:space="preserve"> | RE 433.305</w:t>
      </w:r>
      <w:r>
        <w:rPr>
          <w:color w:val="003CA0"/>
          <w:sz w:val="12"/>
        </w:rPr>
        <w:t xml:space="preserve"> | rel. Sepúlveda Pertence</w:t>
      </w:r>
    </w:p>
    <w:p>
      <w:pPr>
        <w:ind w:left="288"/>
      </w:pPr>
      <w:r>
        <w:rPr>
          <w:color w:val="1E1E1E"/>
          <w:sz w:val="18"/>
        </w:rPr>
        <w:t>O servidor público tem direito à emissão pelo INSS de certidão de tempo de serviço prestado como celetista sob condições de insalubridade, periculosidade e penosidade, com os acréscimos previstos na legislação previdenciária. A autarquia não tem legitimidade para opor resistência à emissão da certidão com fundamento na alegada impossibilidade de sua utilização para a aposentadoria estatutária; requerida esta, apenas a entidade à qual incumba deferi-la é que poderia se opor à sua concessão.</w:t>
      </w:r>
    </w:p>
    <w:p>
      <w:pPr>
        <w:ind w:left="288"/>
      </w:pPr>
      <w:r>
        <w:rPr>
          <w:b/>
          <w:color w:val="003CA0"/>
          <w:sz w:val="16"/>
        </w:rPr>
        <w:t>[RE 433.305, rel. min. Sepúlveda Pertence, j. 14-2-2006, 1ª T, DJ de 10-3-2006.]</w:t>
      </w:r>
    </w:p>
    <w:p>
      <w:pPr>
        <w:ind w:left="288"/>
      </w:pPr>
      <w:r>
        <w:rPr>
          <w:color w:val="8C8C8C"/>
          <w:sz w:val="12"/>
        </w:rPr>
        <w:t>cf-art-43-par-3-inc-III</w:t>
      </w:r>
    </w:p>
    <w:p>
      <w:pPr>
        <w:ind w:left="288"/>
      </w:pPr>
      <w:r>
        <w:rPr>
          <w:color w:val="1E1E1E"/>
          <w:sz w:val="18"/>
        </w:rPr>
        <w:t>§ 4º-C. Poderão ser estabelecidos por lei complementar do respectivo ente federativo idade e tempo de contribuição diferenciados para aposentadoria de servidores cujas atividades sejam exercidas com efetiva exposição a agentes químicos, físicos e biológicos prejudiciais à saúde, ou associação desses agentes, vedada a caracterização por categoria profissional ou ocupação. (Incluído pela EC n. 103/2019)</w:t>
      </w:r>
    </w:p>
    <w:p>
      <w:pPr>
        <w:ind w:left="144"/>
      </w:pPr>
      <w:r>
        <w:rPr>
          <w:b/>
          <w:color w:val="B45A00"/>
          <w:sz w:val="16"/>
        </w:rPr>
        <w:t>SUMULA VINCULANTE</w:t>
      </w:r>
    </w:p>
    <w:p>
      <w:pPr>
        <w:ind w:left="288"/>
      </w:pPr>
      <w:r>
        <w:rPr>
          <w:color w:val="8C8C8C"/>
          <w:sz w:val="12"/>
        </w:rPr>
        <w:t>cf-art-43-par-3-inc-III</w:t>
      </w:r>
    </w:p>
    <w:p>
      <w:pPr>
        <w:ind w:left="288"/>
      </w:pPr>
      <w:r>
        <w:rPr>
          <w:color w:val="1E1E1E"/>
          <w:sz w:val="18"/>
        </w:rPr>
        <w:t>Aplicam-se ao servidor público, no que couber, as regras do regime geral da previdência social sobre aposentadoria especial de que trata o art. 40, § 4º, III, da CF, até a edição de lei complementar específica.</w:t>
      </w:r>
    </w:p>
    <w:p>
      <w:pPr>
        <w:ind w:left="288"/>
      </w:pPr>
      <w:r>
        <w:rPr>
          <w:b/>
          <w:color w:val="003CA0"/>
          <w:sz w:val="16"/>
        </w:rPr>
        <w:t>[Súmula Vinculante 33.]</w:t>
      </w:r>
    </w:p>
    <w:p>
      <w:pPr>
        <w:ind w:left="144"/>
      </w:pPr>
      <w:r>
        <w:rPr>
          <w:b/>
          <w:color w:val="B45A00"/>
          <w:sz w:val="16"/>
        </w:rPr>
        <w:t>CONTROLE CONCENTRADO</w:t>
      </w:r>
    </w:p>
    <w:p>
      <w:pPr>
        <w:ind w:left="288"/>
      </w:pPr>
      <w:r>
        <w:rPr>
          <w:color w:val="8C8C8C"/>
          <w:sz w:val="12"/>
        </w:rPr>
        <w:t>cf-art-43-par-3-inc-III</w:t>
      </w:r>
      <w:r>
        <w:rPr>
          <w:color w:val="003CA0"/>
          <w:sz w:val="12"/>
        </w:rPr>
        <w:t xml:space="preserve"> | ADI 3.817</w:t>
      </w:r>
      <w:r>
        <w:rPr>
          <w:color w:val="003CA0"/>
          <w:sz w:val="12"/>
        </w:rPr>
        <w:t xml:space="preserve"> | rel. Cármen Lúcia</w:t>
      </w:r>
    </w:p>
    <w:p>
      <w:pPr>
        <w:ind w:left="288"/>
      </w:pPr>
      <w:r>
        <w:rPr>
          <w:color w:val="1E1E1E"/>
          <w:sz w:val="18"/>
        </w:rPr>
        <w:t>O art. 1º da LC federal 51/1985, que dispõe que o policial será aposentado voluntariamente, com proventos integrais, após trinta anos de serviço, desde que conte pelo menos vinte anos de exercício em cargo de natureza estritamente policial, foi recepcionado pela Constituição da República de 1988. A combinação desse dispositivo com o art. 3º da Lei distrital 3.556/2005 autoriza a contagem do período de vinte anos previsto na LC 51/1985 sem que o servidor público tenha, necessariamente, exercido atividades de natureza estritamente policial, expondo sua integridade física a risco, pressuposto par</w:t>
      </w:r>
    </w:p>
    <w:p>
      <w:pPr>
        <w:ind w:left="288"/>
      </w:pPr>
      <w:r>
        <w:rPr>
          <w:b/>
          <w:color w:val="003CA0"/>
          <w:sz w:val="16"/>
        </w:rPr>
        <w:t>[ADI 3.817, rel. min. Cármen Lúcia, j. 13-11-2008, P, DJE de 3-4-2009.]</w:t>
      </w:r>
    </w:p>
    <w:p>
      <w:pPr>
        <w:ind w:left="288"/>
      </w:pPr>
      <w:r>
        <w:rPr>
          <w:color w:val="8C8C8C"/>
          <w:sz w:val="12"/>
        </w:rPr>
        <w:t>cf-art-43-par-3-inc-III</w:t>
      </w:r>
      <w:r>
        <w:rPr>
          <w:color w:val="003CA0"/>
          <w:sz w:val="12"/>
        </w:rPr>
        <w:t xml:space="preserve"> | RE 567.110</w:t>
      </w:r>
      <w:r>
        <w:rPr>
          <w:color w:val="003CA0"/>
          <w:sz w:val="12"/>
        </w:rPr>
        <w:t xml:space="preserve"> | rel. Cármen Lúcia</w:t>
      </w:r>
    </w:p>
    <w:p>
      <w:pPr>
        <w:ind w:left="288"/>
      </w:pPr>
      <w:r>
        <w:rPr>
          <w:color w:val="1E1E1E"/>
          <w:sz w:val="18"/>
        </w:rPr>
        <w:t>= RE 567.110, rel. min. Cármen Lúcia, j. 13-10-2010, P, DJE de 11-4-2011, Tema 26</w:t>
      </w:r>
    </w:p>
    <w:p>
      <w:pPr>
        <w:ind w:left="144"/>
      </w:pPr>
      <w:r>
        <w:rPr>
          <w:b/>
          <w:color w:val="B45A00"/>
          <w:sz w:val="16"/>
        </w:rPr>
        <w:t>REPERCUSSAO GERAL</w:t>
      </w:r>
    </w:p>
    <w:p>
      <w:pPr>
        <w:ind w:left="288"/>
      </w:pPr>
      <w:r>
        <w:rPr>
          <w:color w:val="8C8C8C"/>
          <w:sz w:val="12"/>
        </w:rPr>
        <w:t>cf-art-43-par-3-inc-III</w:t>
      </w:r>
      <w:r>
        <w:rPr>
          <w:color w:val="003CA0"/>
          <w:sz w:val="12"/>
        </w:rPr>
        <w:t xml:space="preserve"> | RE 1.014.286</w:t>
      </w:r>
    </w:p>
    <w:p>
      <w:pPr>
        <w:ind w:left="288"/>
      </w:pPr>
      <w:r>
        <w:rPr>
          <w:color w:val="1E1E1E"/>
          <w:sz w:val="18"/>
        </w:rPr>
        <w:t>Até a edição da Emenda Constitucional 103/2019, o direito à conversão, em tempo comum, do prestado sob condições especiais que prejudiquem a saúde ou a integridade física de servidor público decorre da previsão de adoção de requisitos e critérios diferenciados para a jubilação daquele enquadrado na hipótese prevista no então vigente inciso III do § 4º do art. 40 da Constituição da República, devendo ser aplicadas as normas do regime geral de previdência social relativas à aposentadoria especial contidas na Lei 8.213/1991 para viabilizar sua concretização enquanto não sobrevier lei complementar</w:t>
      </w:r>
    </w:p>
    <w:p>
      <w:pPr>
        <w:ind w:left="288"/>
      </w:pPr>
      <w:r>
        <w:rPr>
          <w:b/>
          <w:color w:val="003CA0"/>
          <w:sz w:val="16"/>
        </w:rPr>
        <w:t>[RE 1.014.286, red. do ac. min. Edson Fachin, j. 31-8-2020, P, DJE de 24-9-2020, Tema 942, com mérito julgado.]</w:t>
      </w:r>
    </w:p>
    <w:p>
      <w:pPr>
        <w:ind w:left="288"/>
      </w:pPr>
      <w:r>
        <w:rPr>
          <w:color w:val="8C8C8C"/>
          <w:sz w:val="12"/>
        </w:rPr>
        <w:t>cf-art-43-par-3-inc-III</w:t>
      </w:r>
      <w:r>
        <w:rPr>
          <w:color w:val="003CA0"/>
          <w:sz w:val="12"/>
        </w:rPr>
        <w:t xml:space="preserve"> | RE 791.961</w:t>
      </w:r>
      <w:r>
        <w:rPr>
          <w:color w:val="003CA0"/>
          <w:sz w:val="12"/>
        </w:rPr>
        <w:t xml:space="preserve"> | rel. Dias Toffoli</w:t>
      </w:r>
    </w:p>
    <w:p>
      <w:pPr>
        <w:ind w:left="288"/>
      </w:pPr>
      <w:r>
        <w:rPr>
          <w:color w:val="1E1E1E"/>
          <w:sz w:val="18"/>
        </w:rPr>
        <w:t xml:space="preserve">(...) é constitucional a vedação de continuidade da percepção de aposentadoria especial se o beneficiário permanece laborando em atividade especial ou a ela retorna, seja essa atividade especial aquela que ensejou a aposentação precoce ou não; nas hipóteses em que o segurado solicitar a aposentadoria e continuar a exercer o labor especial, a data de início do benefício será a data de entrada do requerimento, remontando a esse marco, inclusive, os efeitos financeiros; efetivada, contudo, seja na via administrativa, seja na judicial, a implantação do benefício, uma vez verificada a continuidade </w:t>
      </w:r>
    </w:p>
    <w:p>
      <w:pPr>
        <w:ind w:left="288"/>
      </w:pPr>
      <w:r>
        <w:rPr>
          <w:b/>
          <w:color w:val="003CA0"/>
          <w:sz w:val="16"/>
        </w:rPr>
        <w:t>[RE 791.961, rel. min. Dias Toffoli, j. 8-6-2020, P, DJE de 19-8-2020, Tema 709, com mérito julgado.]</w:t>
      </w:r>
    </w:p>
    <w:p>
      <w:pPr>
        <w:ind w:left="288"/>
      </w:pPr>
      <w:r>
        <w:rPr>
          <w:color w:val="8C8C8C"/>
          <w:sz w:val="12"/>
        </w:rPr>
        <w:t>cf-art-43-par-3-inc-III</w:t>
      </w:r>
      <w:r>
        <w:rPr>
          <w:color w:val="003CA0"/>
          <w:sz w:val="12"/>
        </w:rPr>
        <w:t xml:space="preserve"> | ARE 1.450.142</w:t>
      </w:r>
      <w:r>
        <w:rPr>
          <w:color w:val="003CA0"/>
          <w:sz w:val="12"/>
        </w:rPr>
        <w:t xml:space="preserve"> | rel. Luís Roberto Barroso</w:t>
      </w:r>
    </w:p>
    <w:p>
      <w:pPr>
        <w:ind w:left="288"/>
      </w:pPr>
      <w:r>
        <w:rPr>
          <w:color w:val="1E1E1E"/>
          <w:sz w:val="18"/>
        </w:rPr>
        <w:t>A orientação jurisprudencial do Supremo Tribunal Federal é no sentido de que o Tema 942 da repercussão geral, que tem como base o art. 40, § 4º, III, da Constituição, não se aplica aos servidores militares.</w:t>
      </w:r>
    </w:p>
    <w:p>
      <w:pPr>
        <w:ind w:left="288"/>
      </w:pPr>
      <w:r>
        <w:rPr>
          <w:b/>
          <w:color w:val="003CA0"/>
          <w:sz w:val="16"/>
        </w:rPr>
        <w:t>[ARE 1.450.142 ED-AgR, rel. min. Luís Roberto Barroso, j. 2-10-2023, 1ª T, DJE de 18-10-2023.]</w:t>
      </w:r>
    </w:p>
    <w:p>
      <w:pPr>
        <w:ind w:left="288"/>
      </w:pPr>
      <w:r>
        <w:rPr>
          <w:color w:val="8C8C8C"/>
          <w:sz w:val="12"/>
        </w:rPr>
        <w:t>cf-art-43-par-3-inc-III</w:t>
      </w:r>
      <w:r>
        <w:rPr>
          <w:color w:val="003CA0"/>
          <w:sz w:val="12"/>
        </w:rPr>
        <w:t xml:space="preserve"> | RE 1.501.712</w:t>
      </w:r>
      <w:r>
        <w:rPr>
          <w:color w:val="003CA0"/>
          <w:sz w:val="12"/>
        </w:rPr>
        <w:t xml:space="preserve"> | rel. Nunes Marques</w:t>
      </w:r>
    </w:p>
    <w:p>
      <w:pPr>
        <w:ind w:left="288"/>
      </w:pPr>
      <w:r>
        <w:rPr>
          <w:color w:val="1E1E1E"/>
          <w:sz w:val="18"/>
        </w:rPr>
        <w:t>Vide RE 1.501.712 AgR, rel. min. Nunes Marques, j. 06.11.2024, 2ª T, DJE de 18.11.2024 Com o advento da Emenda Constitucional 103, de 12 de novembro de 2019, tendo em vista a competência legislativa concorrente de cada ente para estabelecer, mediante lei complementar, idade e tempo de contribuição diferenciados para aposentadoria especial no regime próprio, não cabe ao Supremo julgar mandado de injunção formalizado por servidor de ente federado, voltado a suprir a omissão normativa – artigo 40, parágrafos 4º-A, 4º-B e 4º-C, da Carta da República.</w:t>
        <w:br/>
        <w:t>[MI 6.816 AgR, rel. min. Marco Aurélio, j. 29-5</w:t>
      </w:r>
    </w:p>
    <w:p>
      <w:pPr>
        <w:ind w:left="288"/>
      </w:pPr>
      <w:r>
        <w:rPr>
          <w:b/>
          <w:color w:val="003CA0"/>
          <w:sz w:val="16"/>
        </w:rPr>
        <w:t>[MI 3.881 AgR, rel. min. Cármen Lúcia, j. 20-10-2011, P, DJE de 21-11-2011.]</w:t>
      </w:r>
    </w:p>
    <w:p>
      <w:pPr>
        <w:ind w:left="288"/>
      </w:pPr>
      <w:r>
        <w:rPr>
          <w:color w:val="8C8C8C"/>
          <w:sz w:val="12"/>
        </w:rPr>
        <w:t>cf-art-43-par-3-inc-III</w:t>
      </w:r>
      <w:r>
        <w:rPr>
          <w:color w:val="003CA0"/>
          <w:sz w:val="12"/>
        </w:rPr>
        <w:t xml:space="preserve"> | MI 2.140</w:t>
      </w:r>
      <w:r>
        <w:rPr>
          <w:color w:val="003CA0"/>
          <w:sz w:val="12"/>
        </w:rPr>
        <w:t xml:space="preserve"> | rel. Cármen Lúcia</w:t>
      </w:r>
    </w:p>
    <w:p>
      <w:pPr>
        <w:ind w:left="288"/>
      </w:pPr>
      <w:r>
        <w:rPr>
          <w:color w:val="1E1E1E"/>
          <w:sz w:val="18"/>
        </w:rPr>
        <w:t>= MI 2.140 AgR, red. do ac. min. Luiz Fux, j. 6-3-2013, P, DJE de 27-8-2013 Aposentadoria especial de servidor público. Art. 40, § 4º, da CF. Aplicação do art. 57 da Lei 8.213/1991. A inexistência de norma estadual que estabeleça critérios para a aferição das condições especiais de trabalho que prejudiquem a saúde ou integridade física dos servidores públicos não impede o julgamento do mandado de injunção. A indefinição desses critérios decorre da omissão legislativa objeto do mandado de injunção.</w:t>
      </w:r>
    </w:p>
    <w:p>
      <w:pPr>
        <w:ind w:left="288"/>
      </w:pPr>
      <w:r>
        <w:rPr>
          <w:b/>
          <w:color w:val="003CA0"/>
          <w:sz w:val="16"/>
        </w:rPr>
        <w:t>[MI 1.169 AgR, rel. min. Cármen Lúcia, j. 1º-8-2011, P, DJE de 22-8-2011.]</w:t>
      </w:r>
    </w:p>
    <w:p>
      <w:pPr>
        <w:ind w:left="288"/>
      </w:pPr>
      <w:r>
        <w:rPr>
          <w:color w:val="8C8C8C"/>
          <w:sz w:val="12"/>
        </w:rPr>
        <w:t>cf-art-43-par-3-inc-III</w:t>
      </w:r>
      <w:r>
        <w:rPr>
          <w:color w:val="003CA0"/>
          <w:sz w:val="12"/>
        </w:rPr>
        <w:t xml:space="preserve"> | MI 1.832</w:t>
      </w:r>
      <w:r>
        <w:rPr>
          <w:color w:val="003CA0"/>
          <w:sz w:val="12"/>
        </w:rPr>
        <w:t xml:space="preserve"> | rel. Cármen Lúcia</w:t>
      </w:r>
    </w:p>
    <w:p>
      <w:pPr>
        <w:ind w:left="288"/>
      </w:pPr>
      <w:r>
        <w:rPr>
          <w:color w:val="1E1E1E"/>
          <w:sz w:val="18"/>
        </w:rPr>
        <w:t>Aposentadoria especial de servidor público distrital. Art. 40, § 4º, III, da Constituição da República. (...) A competência concorrente para legislar sobre previdência social não afasta a necessidade de tratamento uniforme das exceções às regras de aposentadoria dos servidores públicos. Necessidade de atuação normativa da União para a edição de norma regulamentadora de caráter nacional.</w:t>
      </w:r>
    </w:p>
    <w:p>
      <w:pPr>
        <w:ind w:left="288"/>
      </w:pPr>
      <w:r>
        <w:rPr>
          <w:b/>
          <w:color w:val="003CA0"/>
          <w:sz w:val="16"/>
        </w:rPr>
        <w:t>[MI 1.832 AgR, rel. min. Cármen Lúcia, j. 24-3-2011, P, DJE de 18-5-2011.]</w:t>
      </w:r>
    </w:p>
    <w:p>
      <w:pPr>
        <w:ind w:left="288"/>
      </w:pPr>
      <w:r>
        <w:rPr>
          <w:color w:val="8C8C8C"/>
          <w:sz w:val="12"/>
        </w:rPr>
        <w:t>cf-art-43-par-3-inc-III</w:t>
      </w:r>
      <w:r>
        <w:rPr>
          <w:color w:val="003CA0"/>
          <w:sz w:val="12"/>
        </w:rPr>
        <w:t xml:space="preserve"> | MI 1.898</w:t>
      </w:r>
      <w:r>
        <w:rPr>
          <w:color w:val="003CA0"/>
          <w:sz w:val="12"/>
        </w:rPr>
        <w:t xml:space="preserve"> | rel. Joaquim Barbosa</w:t>
      </w:r>
    </w:p>
    <w:p>
      <w:pPr>
        <w:ind w:left="288"/>
      </w:pPr>
      <w:r>
        <w:rPr>
          <w:color w:val="1E1E1E"/>
          <w:sz w:val="18"/>
        </w:rPr>
        <w:t>= MI 1.898 AgR, rel. min. Joaquim Barbosa, j. 16-5-2012, P, DJE de 1º-6-2012 Servidor público. Trabalho em ambiente insalubre. Os parâmetros alusivos à aposentadoria especial, enquanto não editada a lei exigida pelo Texto Constitucional, são aqueles contidos na Lei 8.213/1991, não cabendo mesclar sistemas para, com isso, cogitar-se de idade mínima.</w:t>
      </w:r>
    </w:p>
    <w:p>
      <w:pPr>
        <w:ind w:left="288"/>
      </w:pPr>
      <w:r>
        <w:rPr>
          <w:b/>
          <w:color w:val="003CA0"/>
          <w:sz w:val="16"/>
        </w:rPr>
        <w:t>[MI 758 ED, rel. min. Marco Aurélio, j. 8-4-2010, P, DJE de 14-5-2010.]</w:t>
      </w:r>
    </w:p>
    <w:p>
      <w:pPr>
        <w:ind w:left="288"/>
      </w:pPr>
      <w:r>
        <w:rPr>
          <w:color w:val="8C8C8C"/>
          <w:sz w:val="12"/>
        </w:rPr>
        <w:t>cf-art-43-par-3-inc-III</w:t>
      </w:r>
      <w:r>
        <w:rPr>
          <w:color w:val="003CA0"/>
          <w:sz w:val="12"/>
        </w:rPr>
        <w:t xml:space="preserve"> | MI 1.038</w:t>
      </w:r>
      <w:r>
        <w:rPr>
          <w:color w:val="003CA0"/>
          <w:sz w:val="12"/>
        </w:rPr>
        <w:t xml:space="preserve"> | rel. Gilmar Mendes</w:t>
      </w:r>
    </w:p>
    <w:p>
      <w:pPr>
        <w:ind w:left="288"/>
      </w:pPr>
      <w:r>
        <w:rPr>
          <w:color w:val="1E1E1E"/>
          <w:sz w:val="18"/>
        </w:rPr>
        <w:t>= MI 1.038 ED, rel. min. Gilmar Mendes, j. 16-5-2012, P, DJE de 19-6-2012 Servidor público: direito adquirido à contagem especial de tempo de serviço prestado em condições insalubres, vinculado ao regime geral da previdência, antes de sua transformação em estatutário, para fins de aposentadoria: o cômputo do tempo de serviço e os seus efeitos jurídicos regem-se pela lei vigente quando da sua prestação: incidência, mutatis mutandis, da Súmula 359.</w:t>
      </w:r>
    </w:p>
    <w:p>
      <w:pPr>
        <w:ind w:left="288"/>
      </w:pPr>
      <w:r>
        <w:rPr>
          <w:b/>
          <w:color w:val="003CA0"/>
          <w:sz w:val="16"/>
        </w:rPr>
        <w:t>[RE 464.694 AgR, rel. min. Sepúlveda Pertence, j. 13-2-2007, 1ª T, DJ de 27-4-2007.]</w:t>
      </w:r>
    </w:p>
    <w:p>
      <w:pPr>
        <w:ind w:left="288"/>
      </w:pPr>
      <w:r>
        <w:rPr>
          <w:color w:val="8C8C8C"/>
          <w:sz w:val="12"/>
        </w:rPr>
        <w:t>cf-art-43-par-3-inc-III</w:t>
      </w:r>
      <w:r>
        <w:rPr>
          <w:color w:val="003CA0"/>
          <w:sz w:val="12"/>
        </w:rPr>
        <w:t xml:space="preserve"> | AI 736.438</w:t>
      </w:r>
      <w:r>
        <w:rPr>
          <w:color w:val="003CA0"/>
          <w:sz w:val="12"/>
        </w:rPr>
        <w:t xml:space="preserve"> | rel. Ayres Britto</w:t>
      </w:r>
    </w:p>
    <w:p>
      <w:pPr>
        <w:ind w:left="288"/>
      </w:pPr>
      <w:r>
        <w:rPr>
          <w:color w:val="1E1E1E"/>
          <w:sz w:val="18"/>
        </w:rPr>
        <w:t>= AI 736.438 AgR, rel. min. Ayres Britto, j. 24-8-2010, 2ª T, DJE de 8-10-2010 O adicional de insalubridade não é vantagem de caráter geral, pressupondo atividade insalubre comprovada por laudo pericial. Não pode ser estendida indiscriminadamente a todos os servidores da categoria, ativos e inativos, não se aplicando o art. 40, § 4º, da Constituição.</w:t>
      </w:r>
    </w:p>
    <w:p>
      <w:pPr>
        <w:ind w:left="288"/>
      </w:pPr>
      <w:r>
        <w:rPr>
          <w:b/>
          <w:color w:val="003CA0"/>
          <w:sz w:val="16"/>
        </w:rPr>
        <w:t>[AI 540.618 AgR, rel. min. Sepúlveda Pertence, j. 14-11-2006, 1ª T, DJ de 15-12-2006.]</w:t>
      </w:r>
    </w:p>
    <w:p>
      <w:pPr>
        <w:ind w:left="288"/>
      </w:pPr>
      <w:r>
        <w:rPr>
          <w:color w:val="8C8C8C"/>
          <w:sz w:val="12"/>
        </w:rPr>
        <w:t>cf-art-43-par-3-inc-III</w:t>
      </w:r>
      <w:r>
        <w:rPr>
          <w:color w:val="003CA0"/>
          <w:sz w:val="12"/>
        </w:rPr>
        <w:t xml:space="preserve"> | MI 444</w:t>
      </w:r>
      <w:r>
        <w:rPr>
          <w:color w:val="003CA0"/>
          <w:sz w:val="12"/>
        </w:rPr>
        <w:t xml:space="preserve"> | rel. Sepúlveda Pertence</w:t>
      </w:r>
    </w:p>
    <w:p>
      <w:pPr>
        <w:ind w:left="288"/>
      </w:pPr>
      <w:r>
        <w:rPr>
          <w:color w:val="1E1E1E"/>
          <w:sz w:val="18"/>
        </w:rPr>
        <w:t>Servidor público do Distrito Federal: inexistência de direito à aposentadoria especial, no caso de atividades perigosas, insalubres ou penosas. O Supremo Tribunal, no julgamento do MI 444 QO, Sydney Sanches, RTJ 158/6, assentou que a norma inscrita no art. 40, § 1º (atual § 4º), da CF não conferiu originariamente a nenhum servidor público o direito à obtenção de aposentadoria especial pelo exercício de atividades perigosas, insalubres ou penosas; o mencionado preceito constitucional apenas faculta ao legislador, mediante lei complementar, instituir outras hipóteses de aposentadoria especial, n</w:t>
      </w:r>
    </w:p>
    <w:p>
      <w:pPr>
        <w:ind w:left="288"/>
      </w:pPr>
      <w:r>
        <w:rPr>
          <w:b/>
          <w:color w:val="003CA0"/>
          <w:sz w:val="16"/>
        </w:rPr>
        <w:t>[RE 428.511 AgR, rel. min. Sepúlveda Pertence, j. 14-2-2006, 1ª T, DJ de 17-3-2006.]</w:t>
      </w:r>
    </w:p>
    <w:p>
      <w:pPr>
        <w:ind w:left="288"/>
      </w:pPr>
      <w:r>
        <w:rPr>
          <w:color w:val="8C8C8C"/>
          <w:sz w:val="12"/>
        </w:rPr>
        <w:t>cf-art-43-par-3-inc-III</w:t>
      </w:r>
      <w:r>
        <w:rPr>
          <w:color w:val="003CA0"/>
          <w:sz w:val="12"/>
        </w:rPr>
        <w:t xml:space="preserve"> | RE 433.305</w:t>
      </w:r>
      <w:r>
        <w:rPr>
          <w:color w:val="003CA0"/>
          <w:sz w:val="12"/>
        </w:rPr>
        <w:t xml:space="preserve"> | rel. Sepúlveda Pertence</w:t>
      </w:r>
    </w:p>
    <w:p>
      <w:pPr>
        <w:ind w:left="288"/>
      </w:pPr>
      <w:r>
        <w:rPr>
          <w:color w:val="1E1E1E"/>
          <w:sz w:val="18"/>
        </w:rPr>
        <w:t>O servidor público tem direito à emissão pelo INSS de certidão de tempo de serviço prestado como celetista sob condições de insalubridade, periculosidade e penosidade, com os acréscimos previstos na legislação previdenciária. A autarquia não tem legitimidade para opor resistência à emissão da certidão com fundamento na alegada impossibilidade de sua utilização para a aposentadoria estatutária; requerida esta, apenas a entidade à qual incumba deferi-la é que poderia se opor à sua concessão.</w:t>
      </w:r>
    </w:p>
    <w:p>
      <w:pPr>
        <w:ind w:left="288"/>
      </w:pPr>
      <w:r>
        <w:rPr>
          <w:b/>
          <w:color w:val="003CA0"/>
          <w:sz w:val="16"/>
        </w:rPr>
        <w:t>[RE 433.305, rel. min. Sepúlveda Pertence, j. 14-2-2006, 1ª T, DJ de 10-3-2006.]</w:t>
      </w:r>
    </w:p>
    <w:p>
      <w:pPr>
        <w:ind w:left="288"/>
      </w:pPr>
      <w:r>
        <w:rPr>
          <w:color w:val="8C8C8C"/>
          <w:sz w:val="12"/>
        </w:rPr>
        <w:t>cf-art-43-par-3-inc-III</w:t>
      </w:r>
      <w:r>
        <w:rPr>
          <w:color w:val="003CA0"/>
          <w:sz w:val="12"/>
        </w:rPr>
        <w:t xml:space="preserve"> | RE 383.998</w:t>
      </w:r>
      <w:r>
        <w:rPr>
          <w:color w:val="003CA0"/>
          <w:sz w:val="12"/>
        </w:rPr>
        <w:t xml:space="preserve"> | rel. Sepúlveda Pertence</w:t>
      </w:r>
    </w:p>
    <w:p>
      <w:pPr>
        <w:ind w:left="288"/>
      </w:pPr>
      <w:r>
        <w:rPr>
          <w:color w:val="1E1E1E"/>
          <w:sz w:val="18"/>
        </w:rPr>
        <w:t>= RE 383.998 AgR, rel. min. Sepúlveda Pertence, j. 13-2-2007, 1ª T, DJ de 27-4-2007 § 21. (Revogado pela EC n. 103/2019) § 22. Vedada a instituição de novos regimes próprios de previdência social, lei complementar federal estabelecerá, para os que já existam, normas gerais de organização, de funcionamento e de responsabilidade em sua gestão, dispondo, entre outros aspectos, sobre: (Incluído pela EC n. 103/2019)</w:t>
      </w:r>
    </w:p>
    <w:p>
      <w:pPr>
        <w:ind w:left="288"/>
      </w:pPr>
      <w:r>
        <w:rPr>
          <w:color w:val="8C8C8C"/>
          <w:sz w:val="12"/>
        </w:rPr>
        <w:t>cf-art-43-par-3-inc-IV</w:t>
      </w:r>
    </w:p>
    <w:p>
      <w:pPr>
        <w:ind w:left="288"/>
      </w:pPr>
      <w:r>
        <w:rPr>
          <w:color w:val="1E1E1E"/>
          <w:sz w:val="18"/>
        </w:rPr>
        <w:t>V - condições para instituição do fundo com finalidade previdenciária de que trata o art. 249 e para vinculação a ele dos recursos provenientes de contribuições e dos bens, direitos e ativos de qualquer natureza; (Incluído pela EC n. 103/2019) VI - mecanismos de equacionamento do deficit atuarial; (Incluído pela EC n. 103/2019) VII - estruturação do órgão ou entidade gestora do regime, observados os princípios relacionados com governança, controle interno e transparência; (Incluído pela EC n. 103/2019) VIII - condições e hipóteses para responsabilização daqueles que desempenhem atribuições rel</w:t>
      </w:r>
    </w:p>
    <w:p>
      <w:pPr>
        <w:ind w:left="288"/>
      </w:pPr>
      <w:r>
        <w:rPr>
          <w:color w:val="8C8C8C"/>
          <w:sz w:val="12"/>
        </w:rPr>
        <w:t>cf-art-43-par-3-inc-III</w:t>
      </w:r>
      <w:r>
        <w:rPr>
          <w:color w:val="003CA0"/>
          <w:sz w:val="12"/>
        </w:rPr>
        <w:t xml:space="preserve"> | RE 592.891</w:t>
      </w:r>
      <w:r>
        <w:rPr>
          <w:color w:val="003CA0"/>
          <w:sz w:val="12"/>
        </w:rPr>
        <w:t xml:space="preserve"> | rel. Rosa Weber</w:t>
      </w:r>
    </w:p>
    <w:p>
      <w:pPr>
        <w:ind w:left="288"/>
      </w:pPr>
      <w:r>
        <w:rPr>
          <w:color w:val="1E1E1E"/>
          <w:sz w:val="18"/>
        </w:rPr>
        <w:t>Há direito ao creditamento de IPI na entrada de insumos, matéria-prima e material de embalagem adquiridos junto à Zona Franca de Manaus sob o regime da isenção, considerada a previsão de incentivos regionais constante do art. 43, § 2º, III, da Constituição Federal, combinada com o comando do art. 40 do ADCT</w:t>
      </w:r>
    </w:p>
    <w:p>
      <w:pPr>
        <w:ind w:left="288"/>
      </w:pPr>
      <w:r>
        <w:rPr>
          <w:b/>
          <w:color w:val="003CA0"/>
          <w:sz w:val="16"/>
        </w:rPr>
        <w:t>[RE 592.891, rel. min. Rosa Weber, j. 25-4-2019, P, DJE de 20-4-2019, Tema 322, com mérito julgado.]</w:t>
      </w:r>
    </w:p>
    <w:p>
      <w:pPr>
        <w:ind w:left="288"/>
      </w:pPr>
      <w:r>
        <w:rPr>
          <w:color w:val="8C8C8C"/>
          <w:sz w:val="12"/>
        </w:rPr>
        <w:t>cf-art-43-par-4</w:t>
      </w:r>
    </w:p>
    <w:p>
      <w:pPr>
        <w:ind w:left="288"/>
      </w:pPr>
      <w:r>
        <w:rPr>
          <w:color w:val="1E1E1E"/>
          <w:sz w:val="18"/>
        </w:rPr>
        <w:t>TÍTULO IV Da Organização dos Poderes (Redação da EC 80/2014) SUMÁRIO CAPÍTULO I Do Poder Legislativo SUMÁRIO Seção I Do Congresso Nacional SUMÁRIO</w:t>
      </w:r>
    </w:p>
    <w:p>
      <w:pPr>
        <w:ind w:left="432"/>
      </w:pPr>
      <w:r>
        <w:rPr>
          <w:color w:val="003366"/>
          <w:sz w:val="18"/>
        </w:rPr>
        <w:t>§ 1 Lei complementar disporá sobre:</w:t>
      </w:r>
    </w:p>
    <w:p>
      <w:pPr>
        <w:ind w:left="720"/>
      </w:pPr>
      <w:r>
        <w:rPr>
          <w:color w:val="003366"/>
          <w:sz w:val="18"/>
        </w:rPr>
        <w:t>I – as condições para integração de regiões em desenvolvimento;</w:t>
      </w:r>
    </w:p>
    <w:p>
      <w:pPr>
        <w:ind w:left="720"/>
      </w:pPr>
      <w:r>
        <w:rPr>
          <w:color w:val="003366"/>
          <w:sz w:val="18"/>
        </w:rPr>
        <w:t>II – a composição dos organismos regionais que executarão, na forma da lei, os p</w:t>
      </w:r>
    </w:p>
    <w:p>
      <w:pPr>
        <w:ind w:left="432"/>
      </w:pPr>
      <w:r>
        <w:rPr>
          <w:color w:val="003366"/>
          <w:sz w:val="18"/>
        </w:rPr>
        <w:t>§ 2 Os incentivos regionais compreenderão, além de outros, na forma da lei:</w:t>
      </w:r>
    </w:p>
    <w:p>
      <w:pPr>
        <w:ind w:left="720"/>
      </w:pPr>
      <w:r>
        <w:rPr>
          <w:color w:val="003366"/>
          <w:sz w:val="18"/>
        </w:rPr>
        <w:t>I – igualdade de tarifas, fretes, seguros e outros itens de custos e preços de r</w:t>
      </w:r>
    </w:p>
    <w:p>
      <w:pPr>
        <w:ind w:left="720"/>
      </w:pPr>
      <w:r>
        <w:rPr>
          <w:color w:val="003366"/>
          <w:sz w:val="18"/>
        </w:rPr>
        <w:t>II – juros favorecidos para financiamento de atividades prioritárias;</w:t>
      </w:r>
    </w:p>
    <w:p>
      <w:pPr>
        <w:ind w:left="720"/>
      </w:pPr>
      <w:r>
        <w:rPr>
          <w:color w:val="003366"/>
          <w:sz w:val="18"/>
        </w:rPr>
        <w:t xml:space="preserve">III – isenções, reduções ou diferimento temporário de tributos federais devidos </w:t>
      </w:r>
    </w:p>
    <w:p>
      <w:pPr>
        <w:ind w:left="720"/>
      </w:pPr>
      <w:r>
        <w:rPr>
          <w:color w:val="003366"/>
          <w:sz w:val="18"/>
        </w:rPr>
        <w:t>IV – prioridade para o aproveitamento econômico e social dos rios e das massas d</w:t>
      </w:r>
    </w:p>
    <w:p>
      <w:pPr>
        <w:ind w:left="432"/>
      </w:pPr>
      <w:r>
        <w:rPr>
          <w:color w:val="003366"/>
          <w:sz w:val="18"/>
        </w:rPr>
        <w:t>§ 3 Nas áreas a que se refere o § 2º, IV, a União incentivará a recuperação de t</w:t>
      </w:r>
    </w:p>
    <w:p>
      <w:pPr>
        <w:ind w:left="432"/>
      </w:pPr>
      <w:r>
        <w:rPr>
          <w:color w:val="003366"/>
          <w:sz w:val="18"/>
        </w:rPr>
        <w:t xml:space="preserve">§ 4 Sempre que possível, a concessão dos incentivos regionais a que se refere o </w:t>
      </w:r>
    </w:p>
    <w:p>
      <w:pPr>
        <w:pStyle w:val="Heading1"/>
      </w:pPr>
      <w:r>
        <w:rPr>
          <w:color w:val="003366"/>
        </w:rPr>
        <w:t>TÍTULO IV</w:t>
      </w:r>
    </w:p>
    <w:p>
      <w:pPr>
        <w:pStyle w:val="Heading2"/>
      </w:pPr>
      <w:r>
        <w:rPr>
          <w:color w:val="003366"/>
        </w:rPr>
        <w:t>CAPÍTULO I - DO PODER LEGISLATIVO</w:t>
      </w:r>
    </w:p>
    <w:p>
      <w:pPr>
        <w:pStyle w:val="Heading3"/>
      </w:pPr>
      <w:r>
        <w:rPr>
          <w:color w:val="003366"/>
        </w:rPr>
        <w:t>Seção I - DO CONGRESSO NACIONAL</w:t>
      </w:r>
    </w:p>
    <w:p>
      <w:r>
        <w:rPr>
          <w:b/>
          <w:color w:val="003366"/>
          <w:sz w:val="20"/>
        </w:rPr>
        <w:t>Art. 44 O Poder Legislativo é exercido pelo Congresso Nacional, que se compõe da</w:t>
      </w:r>
      <w:r>
        <w:rPr>
          <w:color w:val="8C8C8C"/>
          <w:sz w:val="14"/>
        </w:rPr>
        <w:t xml:space="preserve">  [2 decisoes]</w:t>
      </w:r>
    </w:p>
    <w:p>
      <w:pPr>
        <w:ind w:left="144"/>
      </w:pPr>
      <w:r>
        <w:rPr>
          <w:b/>
          <w:color w:val="B45A00"/>
          <w:sz w:val="16"/>
        </w:rPr>
        <w:t>JULGADOS CORRELATOS</w:t>
      </w:r>
    </w:p>
    <w:p>
      <w:pPr>
        <w:ind w:left="288"/>
      </w:pPr>
      <w:r>
        <w:rPr>
          <w:color w:val="8C8C8C"/>
          <w:sz w:val="12"/>
        </w:rPr>
        <w:t>cf-art-44</w:t>
      </w:r>
      <w:r>
        <w:rPr>
          <w:color w:val="003CA0"/>
          <w:sz w:val="12"/>
        </w:rPr>
        <w:t xml:space="preserve"> | MS 26.900</w:t>
      </w:r>
    </w:p>
    <w:p>
      <w:pPr>
        <w:ind w:left="288"/>
      </w:pPr>
      <w:r>
        <w:rPr>
          <w:color w:val="1E1E1E"/>
          <w:sz w:val="18"/>
        </w:rPr>
        <w:t>A sessão deliberativa extraordinária do Senado Federal que decide sobre a perda de mandato do presidente do Congresso Nacional faz com que todos os parlamentares, sejam eles membros da Câmara ou do Senado Federal, tenham legítimo interesse no desfecho da sessão, visto que, somados, compõem o Poder Legislativo, que é exercido pelo Congresso Nacional (art. 44 da CF).</w:t>
      </w:r>
    </w:p>
    <w:p>
      <w:pPr>
        <w:ind w:left="288"/>
      </w:pPr>
      <w:r>
        <w:rPr>
          <w:b/>
          <w:color w:val="003CA0"/>
          <w:sz w:val="16"/>
        </w:rPr>
        <w:t>[MS 26.900 MC, red. do ac. min. Ricardo Lewandowski, j. 12-9-2007, P, DJE de 4-4-2008.]</w:t>
      </w:r>
    </w:p>
    <w:p>
      <w:pPr>
        <w:ind w:left="288"/>
      </w:pPr>
      <w:r>
        <w:rPr>
          <w:color w:val="8C8C8C"/>
          <w:sz w:val="12"/>
        </w:rPr>
        <w:t>cf-art-44</w:t>
      </w:r>
    </w:p>
    <w:p>
      <w:pPr>
        <w:ind w:left="288"/>
      </w:pPr>
      <w:r>
        <w:rPr>
          <w:color w:val="1E1E1E"/>
          <w:sz w:val="18"/>
        </w:rPr>
        <w:t>Parágrafo único. Cada legislatura terá a duração de quatro anos.</w:t>
      </w:r>
    </w:p>
    <w:p>
      <w:r>
        <w:rPr>
          <w:b/>
          <w:color w:val="003366"/>
          <w:sz w:val="20"/>
        </w:rPr>
        <w:t>Art. 45 A Câmara dos Deputados compõe-se de representantes do povo, eleitos, pel</w:t>
      </w:r>
      <w:r>
        <w:rPr>
          <w:color w:val="8C8C8C"/>
          <w:sz w:val="14"/>
        </w:rPr>
        <w:t xml:space="preserve">  [9 decisoes]</w:t>
      </w:r>
    </w:p>
    <w:p>
      <w:pPr>
        <w:ind w:left="288"/>
      </w:pPr>
      <w:r>
        <w:rPr>
          <w:color w:val="8C8C8C"/>
          <w:sz w:val="12"/>
        </w:rPr>
        <w:t>cf-art-45</w:t>
      </w:r>
      <w:r>
        <w:rPr>
          <w:color w:val="003CA0"/>
          <w:sz w:val="12"/>
        </w:rPr>
        <w:t xml:space="preserve"> | ADI 7.228</w:t>
      </w:r>
      <w:r>
        <w:rPr>
          <w:color w:val="003CA0"/>
          <w:sz w:val="12"/>
        </w:rPr>
        <w:t xml:space="preserve"> | rel. Ricardo Lewandowski</w:t>
      </w:r>
    </w:p>
    <w:p>
      <w:pPr>
        <w:ind w:left="288"/>
      </w:pPr>
      <w:r>
        <w:rPr>
          <w:color w:val="1E1E1E"/>
          <w:sz w:val="18"/>
        </w:rPr>
        <w:t>Art. 109, § 2º, e art. 111 do Código Eleitoral. Caput e § 2º do art. 11 e art. 13 da Resolução n. 23.677/2021 do Tribunal Superior Eleitoral. Inaplicação da cláusula de desempenho partidário, na proporção de 80% do quociente eleitoral, à terceira fase de distribuição das cadeiras remanescentes por descumprimento aos princípios do pluralismo político, da soberania popular, da representatividade e da proporcionalidade partidária.</w:t>
      </w:r>
    </w:p>
    <w:p>
      <w:pPr>
        <w:ind w:left="288"/>
      </w:pPr>
      <w:r>
        <w:rPr>
          <w:b/>
          <w:color w:val="003CA0"/>
          <w:sz w:val="16"/>
        </w:rPr>
        <w:t>[ADI 7.228, ADI 7.263 e ADI 7.325, rel. min. Ricardo Lewandowski, red. do ac. min. Cármen Lúcia, j. 28.02.2024, P, DJE de 27.05.2024.]</w:t>
      </w:r>
    </w:p>
    <w:p>
      <w:pPr>
        <w:ind w:left="288"/>
      </w:pPr>
      <w:r>
        <w:rPr>
          <w:color w:val="8C8C8C"/>
          <w:sz w:val="12"/>
        </w:rPr>
        <w:t>cf-art-45</w:t>
      </w:r>
      <w:r>
        <w:rPr>
          <w:color w:val="003CA0"/>
          <w:sz w:val="12"/>
        </w:rPr>
        <w:t xml:space="preserve"> | ADO 38</w:t>
      </w:r>
      <w:r>
        <w:rPr>
          <w:color w:val="003CA0"/>
          <w:sz w:val="12"/>
        </w:rPr>
        <w:t xml:space="preserve"> | rel. Luiz Fux</w:t>
      </w:r>
    </w:p>
    <w:p>
      <w:pPr>
        <w:ind w:left="288"/>
      </w:pPr>
      <w:r>
        <w:rPr>
          <w:color w:val="1E1E1E"/>
          <w:sz w:val="18"/>
        </w:rPr>
        <w:t>O sistema eleitoral proporcional, previsto na Constituição para a eleição de Deputados Federais (art. 45, caput), é aquele no qual se busca a inclusão das mais variadas posições do espectro político no Parlamento, tendo como característica o princípio de que a distribuição de cadeiras deve refletir, tanto quanto possível, a distribuição de votos obtida pelos partidos. O constituinte não desceu às minúcias na definição das regras aplicáveis a este sistema, de sorte que o legislador tem amplo espaço para a definição de seus aspectos práticos, estando limitado apenas pelos contornos essenciais qu</w:t>
      </w:r>
    </w:p>
    <w:p>
      <w:pPr>
        <w:ind w:left="288"/>
      </w:pPr>
      <w:r>
        <w:rPr>
          <w:b/>
          <w:color w:val="003CA0"/>
          <w:sz w:val="16"/>
        </w:rPr>
        <w:t>[ADI 5.420, rel. min. Dias Toffoli, j. 4-3-2020, P, DJE de 9-9-2020.]</w:t>
      </w:r>
    </w:p>
    <w:p>
      <w:pPr>
        <w:ind w:left="288"/>
      </w:pPr>
      <w:r>
        <w:rPr>
          <w:color w:val="8C8C8C"/>
          <w:sz w:val="12"/>
        </w:rPr>
        <w:t>cf-art-45</w:t>
      </w:r>
      <w:r>
        <w:rPr>
          <w:color w:val="003CA0"/>
          <w:sz w:val="12"/>
        </w:rPr>
        <w:t xml:space="preserve"> | ADI 5.920</w:t>
      </w:r>
      <w:r>
        <w:rPr>
          <w:color w:val="003CA0"/>
          <w:sz w:val="12"/>
        </w:rPr>
        <w:t xml:space="preserve"> | rel. Luiz Fux</w:t>
      </w:r>
    </w:p>
    <w:p>
      <w:pPr>
        <w:ind w:left="288"/>
      </w:pPr>
      <w:r>
        <w:rPr>
          <w:color w:val="1E1E1E"/>
          <w:sz w:val="18"/>
        </w:rPr>
        <w:t>A cláusula de desempenho individual de 10% do quociente eleitoral para a eleição não viola o princípio democrático ou o sistema proporcional, consistindo, antes, em valorização da representatividade e do voto nominal, em consonância com o sistema de listas abertas e com o comportamento cultural do eleitor brasileiro. O sistema proporcional impõe regras que devem observar as particularidades da realidade eleitoral do País, considerando aspectos culturais e fáticos, pois na experiência comparada não se percebem modelos perfeitos e pré-determinados. O sistema eleitoral proporcional para a eleição</w:t>
      </w:r>
    </w:p>
    <w:p>
      <w:pPr>
        <w:ind w:left="288"/>
      </w:pPr>
      <w:r>
        <w:rPr>
          <w:b/>
          <w:color w:val="003CA0"/>
          <w:sz w:val="16"/>
        </w:rPr>
        <w:t>[ADI 5.947, rel. min. Marco Aurélio, j. 4-3-2020, P, DJE de 30-7-2020.]</w:t>
      </w:r>
    </w:p>
    <w:p>
      <w:pPr>
        <w:ind w:left="288"/>
      </w:pPr>
      <w:r>
        <w:rPr>
          <w:color w:val="8C8C8C"/>
          <w:sz w:val="12"/>
        </w:rPr>
        <w:t>cf-art-45</w:t>
      </w:r>
      <w:r>
        <w:rPr>
          <w:color w:val="003CA0"/>
          <w:sz w:val="12"/>
        </w:rPr>
        <w:t xml:space="preserve"> | ADI 4.647</w:t>
      </w:r>
      <w:r>
        <w:rPr>
          <w:color w:val="003CA0"/>
          <w:sz w:val="12"/>
        </w:rPr>
        <w:t xml:space="preserve"> | rel. Dias Toffoli</w:t>
      </w:r>
    </w:p>
    <w:p>
      <w:pPr>
        <w:ind w:left="288"/>
      </w:pPr>
      <w:r>
        <w:rPr>
          <w:color w:val="1E1E1E"/>
          <w:sz w:val="18"/>
        </w:rPr>
        <w:t>Resolução da Câmara dos Deputados. (...) Ato que disciplina a distribuição de servidores por gabinete de liderança a cada nova eleição com base na representatividade do partido. (...) Os critérios equitativos adotados na resolução decorrem do próprio regime democrático e da lógica da representatividade proporcional, sem descuidar da garantia do direito de existência das minorias.</w:t>
      </w:r>
    </w:p>
    <w:p>
      <w:pPr>
        <w:ind w:left="288"/>
      </w:pPr>
      <w:r>
        <w:rPr>
          <w:b/>
          <w:color w:val="003CA0"/>
          <w:sz w:val="16"/>
        </w:rPr>
        <w:t>[ADI 4.647, rel. min. Dias Toffoli, j. 6-6-2018, P, DJE de 21-6-2018.]</w:t>
      </w:r>
    </w:p>
    <w:p>
      <w:pPr>
        <w:ind w:left="144"/>
      </w:pPr>
      <w:r>
        <w:rPr>
          <w:b/>
          <w:color w:val="B45A00"/>
          <w:sz w:val="16"/>
        </w:rPr>
        <w:t>JULGADOS CORRELATOS</w:t>
      </w:r>
    </w:p>
    <w:p>
      <w:pPr>
        <w:ind w:left="288"/>
      </w:pPr>
      <w:r>
        <w:rPr>
          <w:color w:val="8C8C8C"/>
          <w:sz w:val="12"/>
        </w:rPr>
        <w:t>cf-art-45</w:t>
      </w:r>
      <w:r>
        <w:rPr>
          <w:color w:val="003CA0"/>
          <w:sz w:val="12"/>
        </w:rPr>
        <w:t xml:space="preserve"> | MS 30.380</w:t>
      </w:r>
      <w:r>
        <w:rPr>
          <w:color w:val="003CA0"/>
          <w:sz w:val="12"/>
        </w:rPr>
        <w:t xml:space="preserve"> | rel. Celso de Mello</w:t>
      </w:r>
    </w:p>
    <w:p>
      <w:pPr>
        <w:ind w:left="288"/>
      </w:pPr>
      <w:r>
        <w:rPr>
          <w:color w:val="1E1E1E"/>
          <w:sz w:val="18"/>
        </w:rPr>
        <w:t>Tratando-se de eleições proporcionais, e como a distribuição de cadeiras entre os partidos políticos é realizada em razão da votação por eles obtida, não se desconhece que, fora das coligações, muitas agremiações partidárias, atuando isoladamente, sequer conseguiriam eleger seus próprios candidatos, eis que incapazes, elas mesmas, de atingir o quociente eleitoral. No entanto, tal seria possível se as agremiações, disputando o processo eleitoral, o fizessem no âmbito de uma coligação partidária, pois mais facilmente alcançável, por essa união transitória de partidos políticos, o quociente eleit</w:t>
      </w:r>
    </w:p>
    <w:p>
      <w:pPr>
        <w:ind w:left="288"/>
      </w:pPr>
      <w:r>
        <w:rPr>
          <w:b/>
          <w:color w:val="003CA0"/>
          <w:sz w:val="16"/>
        </w:rPr>
        <w:t>[MS 30.380 MC, rel. min. Celso de Mello, j. 31-3-2011, dec. monocrática, DJE de 5-4-2011.]</w:t>
      </w:r>
    </w:p>
    <w:p>
      <w:pPr>
        <w:ind w:left="288"/>
      </w:pPr>
      <w:r>
        <w:rPr>
          <w:color w:val="8C8C8C"/>
          <w:sz w:val="12"/>
        </w:rPr>
        <w:t>cf-art-45</w:t>
      </w:r>
      <w:r>
        <w:rPr>
          <w:color w:val="003CA0"/>
          <w:sz w:val="12"/>
        </w:rPr>
        <w:t xml:space="preserve"> | MS 26.604</w:t>
      </w:r>
      <w:r>
        <w:rPr>
          <w:color w:val="003CA0"/>
          <w:sz w:val="12"/>
        </w:rPr>
        <w:t xml:space="preserve"> | rel. Cármen Lúcia</w:t>
      </w:r>
    </w:p>
    <w:p>
      <w:pPr>
        <w:ind w:left="288"/>
      </w:pPr>
      <w:r>
        <w:rPr>
          <w:color w:val="1E1E1E"/>
          <w:sz w:val="18"/>
        </w:rPr>
        <w:t>No Brasil, a eleição de deputados faz-se pelo sistema da representação proporcional, por lista aberta, uninominal. No sistema que acolhe – como se dá no Brasil desde a Constituição de 1934 – a representação proporcional para a eleição de deputados e vereadores, o eleitor exerce a sua liberdade de escolha apenas entre os candidatos registrados pelo partido político, sendo eles, portanto, seguidores necessários do programa partidário de sua opção. O destinatário do voto é o partido político viabilizador da candidatura por ele oferecida. O eleito vincula-se, necessariamente, a determinado partido</w:t>
      </w:r>
    </w:p>
    <w:p>
      <w:pPr>
        <w:ind w:left="288"/>
      </w:pPr>
      <w:r>
        <w:rPr>
          <w:b/>
          <w:color w:val="003CA0"/>
          <w:sz w:val="16"/>
        </w:rPr>
        <w:t>[MS 26.604, rel. min. Cármen Lúcia, j. 4-10-2007, P, DJE de 3-10-2008.]</w:t>
      </w:r>
    </w:p>
    <w:p>
      <w:pPr>
        <w:ind w:left="288"/>
      </w:pPr>
      <w:r>
        <w:rPr>
          <w:color w:val="8C8C8C"/>
          <w:sz w:val="12"/>
        </w:rPr>
        <w:t>cf-art-45</w:t>
      </w:r>
      <w:r>
        <w:rPr>
          <w:color w:val="003CA0"/>
          <w:sz w:val="12"/>
        </w:rPr>
        <w:t xml:space="preserve"> | MS 26.602</w:t>
      </w:r>
      <w:r>
        <w:rPr>
          <w:color w:val="003CA0"/>
          <w:sz w:val="12"/>
        </w:rPr>
        <w:t xml:space="preserve"> | rel. Eros Grau</w:t>
      </w:r>
    </w:p>
    <w:p>
      <w:pPr>
        <w:ind w:left="288"/>
      </w:pPr>
      <w:r>
        <w:rPr>
          <w:color w:val="1E1E1E"/>
          <w:sz w:val="18"/>
        </w:rPr>
        <w:t>= MS 26.602, rel. min. Eros Grau, j. 4-10-2007, P, DJE de 17-10-2008 = MS 26.603, rel. min. Celso de Mello, j. 4-10-2007, P, DJE de 19-12-2008 § 1º O número total de Deputados, bem como a representação por Estado e pelo Distrito Federal, será estabelecido por lei complementar, proporcionalmente à população, procedendo-se aos ajustes necessários, no ano anterior às eleições, para que nenhuma daquelas unidades da Federação tenha menos de oito ou mais de setenta Deputados.</w:t>
      </w:r>
    </w:p>
    <w:p>
      <w:pPr>
        <w:ind w:left="144"/>
      </w:pPr>
      <w:r>
        <w:rPr>
          <w:b/>
          <w:color w:val="B45A00"/>
          <w:sz w:val="16"/>
        </w:rPr>
        <w:t>CONTROLE CONCENTRADO</w:t>
      </w:r>
    </w:p>
    <w:p>
      <w:pPr>
        <w:ind w:left="288"/>
      </w:pPr>
      <w:r>
        <w:rPr>
          <w:color w:val="8C8C8C"/>
          <w:sz w:val="12"/>
        </w:rPr>
        <w:t>cf-art-45</w:t>
      </w:r>
      <w:r>
        <w:rPr>
          <w:color w:val="003CA0"/>
          <w:sz w:val="12"/>
        </w:rPr>
        <w:t xml:space="preserve"> | ADO 38</w:t>
      </w:r>
      <w:r>
        <w:rPr>
          <w:color w:val="003CA0"/>
          <w:sz w:val="12"/>
        </w:rPr>
        <w:t xml:space="preserve"> | rel. Luiz Fux</w:t>
      </w:r>
    </w:p>
    <w:p>
      <w:pPr>
        <w:ind w:left="288"/>
      </w:pPr>
      <w:r>
        <w:rPr>
          <w:color w:val="1E1E1E"/>
          <w:sz w:val="18"/>
        </w:rPr>
        <w:t>Ante a circunstância inexorável de que a população de cada unidade federativa se altera ao longo do tempo de forma desigual,   instituiu o constituinte originário comando acessório ao legislador complementar, determinando a realização de ajustes periódicos necessários ao restabelecimento da proporcionalidade eventualmente rompida ao longo dos quatro anos anteriores. In casu, resta caracterizada a inertia deliberandi, vez que, desde a edição da Lei Complementar nº 78/1993, jamais houve a revisão periódica exigida pelo §1º do art. 45 da CF. A declaração de inconstitucionalidade do parágrafo únic</w:t>
      </w:r>
    </w:p>
    <w:p>
      <w:pPr>
        <w:ind w:left="288"/>
      </w:pPr>
      <w:r>
        <w:rPr>
          <w:b/>
          <w:color w:val="003CA0"/>
          <w:sz w:val="16"/>
        </w:rPr>
        <w:t>[ADI 267 MC, rel. min. Celso de Mello, j. 25-10-1990, P, DJ de 19-5-1995.]</w:t>
      </w:r>
    </w:p>
    <w:p>
      <w:pPr>
        <w:ind w:left="144"/>
      </w:pPr>
      <w:r>
        <w:rPr>
          <w:b/>
          <w:color w:val="B45A00"/>
          <w:sz w:val="16"/>
        </w:rPr>
        <w:t>JULGADOS CORRELATOS</w:t>
      </w:r>
    </w:p>
    <w:p>
      <w:pPr>
        <w:ind w:left="288"/>
      </w:pPr>
      <w:r>
        <w:rPr>
          <w:color w:val="8C8C8C"/>
          <w:sz w:val="12"/>
        </w:rPr>
        <w:t>cf-art-45</w:t>
      </w:r>
      <w:r>
        <w:rPr>
          <w:color w:val="003CA0"/>
          <w:sz w:val="12"/>
        </w:rPr>
        <w:t xml:space="preserve"> | RE 300.343</w:t>
      </w:r>
      <w:r>
        <w:rPr>
          <w:color w:val="003CA0"/>
          <w:sz w:val="12"/>
        </w:rPr>
        <w:t xml:space="preserve"> | rel. Maurício Corrêa</w:t>
      </w:r>
    </w:p>
    <w:p>
      <w:pPr>
        <w:ind w:left="288"/>
      </w:pPr>
      <w:r>
        <w:rPr>
          <w:color w:val="1E1E1E"/>
          <w:sz w:val="18"/>
        </w:rPr>
        <w:t>Número de vereadores proporcional à população. CF, art. 29, IV. Aplicação de critério aritmético rígido. (...) Fronteiras da autonomia municipal impostas pela própria Carta da República, que admite a proporcionalidade da representação política em face do número de habitantes. Orientação que se confirma e se reitera segundo o modelo de composição da Câmara dos Deputados e das Assembleias Legislativas (CF, arts. 27 e 45, § 1º).</w:t>
      </w:r>
    </w:p>
    <w:p>
      <w:pPr>
        <w:ind w:left="288"/>
      </w:pPr>
      <w:r>
        <w:rPr>
          <w:b/>
          <w:color w:val="003CA0"/>
          <w:sz w:val="16"/>
        </w:rPr>
        <w:t>[RE 300.343, rel. min. Maurício Corrêa, j. 31-3-2004, P, DJ de 11-6-2004.]</w:t>
      </w:r>
    </w:p>
    <w:p>
      <w:pPr>
        <w:ind w:left="432"/>
      </w:pPr>
      <w:r>
        <w:rPr>
          <w:color w:val="003366"/>
          <w:sz w:val="18"/>
        </w:rPr>
        <w:t>§ 1 O número total de Deputados, bem como a representação por Estado e pelo Dist</w:t>
      </w:r>
    </w:p>
    <w:p>
      <w:pPr>
        <w:ind w:left="432"/>
      </w:pPr>
      <w:r>
        <w:rPr>
          <w:color w:val="003366"/>
          <w:sz w:val="18"/>
        </w:rPr>
        <w:t>§ 2 Cada Território elegerá quatro Deputados.</w:t>
      </w:r>
    </w:p>
    <w:p>
      <w:r>
        <w:rPr>
          <w:b/>
          <w:color w:val="003366"/>
          <w:sz w:val="20"/>
        </w:rPr>
        <w:t>Art. 46 O Senado Federal compõe-se de representantes dos Estados e do Distrito F</w:t>
      </w:r>
      <w:r>
        <w:rPr>
          <w:color w:val="8C8C8C"/>
          <w:sz w:val="14"/>
        </w:rPr>
        <w:t xml:space="preserve">  [2 decisoes]</w:t>
      </w:r>
    </w:p>
    <w:p>
      <w:pPr>
        <w:ind w:left="144"/>
      </w:pPr>
      <w:r>
        <w:rPr>
          <w:b/>
          <w:color w:val="B45A00"/>
          <w:sz w:val="16"/>
        </w:rPr>
        <w:t>CONTROLE CONCENTRADO</w:t>
      </w:r>
    </w:p>
    <w:p>
      <w:pPr>
        <w:ind w:left="288"/>
      </w:pPr>
      <w:r>
        <w:rPr>
          <w:color w:val="8C8C8C"/>
          <w:sz w:val="12"/>
        </w:rPr>
        <w:t>cf-art-46</w:t>
      </w:r>
      <w:r>
        <w:rPr>
          <w:color w:val="003CA0"/>
          <w:sz w:val="12"/>
        </w:rPr>
        <w:t xml:space="preserve"> | ADI 5.619</w:t>
      </w:r>
      <w:r>
        <w:rPr>
          <w:color w:val="003CA0"/>
          <w:sz w:val="12"/>
        </w:rPr>
        <w:t xml:space="preserve"> | rel. Roberto Barroso</w:t>
      </w:r>
    </w:p>
    <w:p>
      <w:pPr>
        <w:ind w:left="288"/>
      </w:pPr>
      <w:r>
        <w:rPr>
          <w:color w:val="1E1E1E"/>
          <w:sz w:val="18"/>
        </w:rPr>
        <w:t>É constitucional legislação federal que estabeleça novas eleições para os cargos majoritários simples – isto é, Prefeitos de Municípios com menos de duzentos mil eleitores e Senadores da República – em casos de vacância por causas eleitorais.</w:t>
      </w:r>
    </w:p>
    <w:p>
      <w:pPr>
        <w:ind w:left="288"/>
      </w:pPr>
      <w:r>
        <w:rPr>
          <w:b/>
          <w:color w:val="003CA0"/>
          <w:sz w:val="16"/>
        </w:rPr>
        <w:t>[ADI 5.619, rel. min. Roberto Barroso, j. 8-3-2018, P, DJE de 7-8-2018.]</w:t>
      </w:r>
    </w:p>
    <w:p>
      <w:pPr>
        <w:ind w:left="144"/>
      </w:pPr>
      <w:r>
        <w:rPr>
          <w:b/>
          <w:color w:val="B45A00"/>
          <w:sz w:val="16"/>
        </w:rPr>
        <w:t>JULGADOS CORRELATOS</w:t>
      </w:r>
    </w:p>
    <w:p>
      <w:pPr>
        <w:ind w:left="288"/>
      </w:pPr>
      <w:r>
        <w:rPr>
          <w:color w:val="8C8C8C"/>
          <w:sz w:val="12"/>
        </w:rPr>
        <w:t>cf-art-46-par-3</w:t>
      </w:r>
      <w:r>
        <w:rPr>
          <w:color w:val="003CA0"/>
          <w:sz w:val="12"/>
        </w:rPr>
        <w:t xml:space="preserve"> | RE 128.519</w:t>
      </w:r>
      <w:r>
        <w:rPr>
          <w:color w:val="003CA0"/>
          <w:sz w:val="12"/>
        </w:rPr>
        <w:t xml:space="preserve"> | rel. Marco Aurélio</w:t>
      </w:r>
    </w:p>
    <w:p>
      <w:pPr>
        <w:ind w:left="288"/>
      </w:pPr>
      <w:r>
        <w:rPr>
          <w:color w:val="1E1E1E"/>
          <w:sz w:val="18"/>
        </w:rPr>
        <w:t>Registro de candidatos ao Senado. Suplentes. Parágrafo 3º do art. 46 da CF. Este dispositivo legal não disciplina o registro dos candidatos. Vulnera-o decisão que o tem como pertinente para, de forma peremptória, indeferir o registro de chapa em que apresentado apenas um suplente, pouco importando que a diligência objetivando a complementação respectiva esteja prevista em diploma legal de cunho ordinário. O desrespeito a este não serve à manutenção do esvaziamento dos direitos e garantias constitucionais explícitos e dos que decorrem dos princípios inseridos na Lei Maior.</w:t>
      </w:r>
    </w:p>
    <w:p>
      <w:pPr>
        <w:ind w:left="288"/>
      </w:pPr>
      <w:r>
        <w:rPr>
          <w:b/>
          <w:color w:val="003CA0"/>
          <w:sz w:val="16"/>
        </w:rPr>
        <w:t>[RE 128.519, rel. min. Marco Aurélio, j. 27-09-1990, P, DJ de 8-3-1991.]</w:t>
      </w:r>
    </w:p>
    <w:p>
      <w:pPr>
        <w:ind w:left="432"/>
      </w:pPr>
      <w:r>
        <w:rPr>
          <w:color w:val="003366"/>
          <w:sz w:val="18"/>
        </w:rPr>
        <w:t>§ 1 Cada Estado e o Distrito Federal elegerão três Senadores, com mandato de oit</w:t>
      </w:r>
    </w:p>
    <w:p>
      <w:pPr>
        <w:ind w:left="432"/>
      </w:pPr>
      <w:r>
        <w:rPr>
          <w:color w:val="003366"/>
          <w:sz w:val="18"/>
        </w:rPr>
        <w:t>§ 2 A representação de cada Estado e do Distrito Federal será renovada de quatro</w:t>
      </w:r>
    </w:p>
    <w:p>
      <w:pPr>
        <w:ind w:left="432"/>
      </w:pPr>
      <w:r>
        <w:rPr>
          <w:color w:val="003366"/>
          <w:sz w:val="18"/>
        </w:rPr>
        <w:t>§ 3 Cada Senador será eleito com dois suplentes.</w:t>
      </w:r>
    </w:p>
    <w:p>
      <w:r>
        <w:rPr>
          <w:b/>
          <w:color w:val="003366"/>
          <w:sz w:val="20"/>
        </w:rPr>
        <w:t>Art. 47 Salvo disposição constitucional em contrário, as deliberações de cada Ca</w:t>
      </w:r>
      <w:r>
        <w:rPr>
          <w:color w:val="8C8C8C"/>
          <w:sz w:val="14"/>
        </w:rPr>
        <w:t xml:space="preserve">  [1 decisoes]</w:t>
      </w:r>
    </w:p>
    <w:p>
      <w:pPr>
        <w:ind w:left="288"/>
      </w:pPr>
      <w:r>
        <w:rPr>
          <w:color w:val="8C8C8C"/>
          <w:sz w:val="12"/>
        </w:rPr>
        <w:t>cf-art-47</w:t>
      </w:r>
    </w:p>
    <w:p>
      <w:pPr>
        <w:ind w:left="288"/>
      </w:pPr>
      <w:r>
        <w:rPr>
          <w:color w:val="1E1E1E"/>
          <w:sz w:val="18"/>
        </w:rPr>
        <w:t>Seção II Das Atribuições do Congresso Nacional SUMÁRIO</w:t>
      </w:r>
    </w:p>
    <w:p>
      <w:pPr>
        <w:pStyle w:val="Heading3"/>
      </w:pPr>
      <w:r>
        <w:rPr>
          <w:color w:val="003366"/>
        </w:rPr>
        <w:t>Seção II - DAS ATRIBUIÇÕES DO CONGRESSO NACIONAL</w:t>
      </w:r>
    </w:p>
    <w:p>
      <w:r>
        <w:rPr>
          <w:b/>
          <w:color w:val="003366"/>
          <w:sz w:val="20"/>
        </w:rPr>
        <w:t>Art. 48 Cabe ao Congresso Nacional, com a sanção do Presidente da República, não</w:t>
      </w:r>
      <w:r>
        <w:rPr>
          <w:color w:val="8C8C8C"/>
          <w:sz w:val="14"/>
        </w:rPr>
        <w:t xml:space="preserve">  [10 decisoes]</w:t>
      </w:r>
    </w:p>
    <w:p>
      <w:pPr>
        <w:ind w:left="144"/>
      </w:pPr>
      <w:r>
        <w:rPr>
          <w:b/>
          <w:color w:val="B45A00"/>
          <w:sz w:val="16"/>
        </w:rPr>
        <w:t>CONTROLE CONCENTRADO</w:t>
      </w:r>
    </w:p>
    <w:p>
      <w:pPr>
        <w:ind w:left="288"/>
      </w:pPr>
      <w:r>
        <w:rPr>
          <w:color w:val="8C8C8C"/>
          <w:sz w:val="12"/>
        </w:rPr>
        <w:t>cf-art-48-inc-II</w:t>
      </w:r>
      <w:r>
        <w:rPr>
          <w:color w:val="003CA0"/>
          <w:sz w:val="12"/>
        </w:rPr>
        <w:t xml:space="preserve"> | ADI 225</w:t>
      </w:r>
      <w:r>
        <w:rPr>
          <w:color w:val="003CA0"/>
          <w:sz w:val="12"/>
        </w:rPr>
        <w:t xml:space="preserve"> | rel. Paulo Brossard</w:t>
      </w:r>
    </w:p>
    <w:p>
      <w:pPr>
        <w:ind w:left="288"/>
      </w:pPr>
      <w:r>
        <w:rPr>
          <w:color w:val="1E1E1E"/>
          <w:sz w:val="18"/>
        </w:rPr>
        <w:t>Os precatórios judiciais, apresentados até 1º de julho, e nesta data atualizados, devem ser incluídos na proposta orçamentária que, submetida ao crivo do Poder Legislativo (art. 48, II, e 166 da CF), transformar-se-á na lei orçamentária do exercício seguinte. Somente se nela estiverem previstas dotações orçamentárias para tal fim é que os requisitórios poderão ser pagos; pois é vedada a realização de qualquer despesa sem que haja previsão no orçamento (art. 167, II, CF).</w:t>
      </w:r>
    </w:p>
    <w:p>
      <w:pPr>
        <w:ind w:left="288"/>
      </w:pPr>
      <w:r>
        <w:rPr>
          <w:b/>
          <w:color w:val="003CA0"/>
          <w:sz w:val="16"/>
        </w:rPr>
        <w:t>[ADI 225, rel. min. Paulo Brossard, j. 31-8-1994, P, DJ de 25-5-2001.]</w:t>
      </w:r>
    </w:p>
    <w:p>
      <w:pPr>
        <w:ind w:left="288"/>
      </w:pPr>
      <w:r>
        <w:rPr>
          <w:color w:val="8C8C8C"/>
          <w:sz w:val="12"/>
        </w:rPr>
        <w:t>cf-art-48-inc-V</w:t>
      </w:r>
      <w:r>
        <w:rPr>
          <w:color w:val="003CA0"/>
          <w:sz w:val="12"/>
        </w:rPr>
        <w:t xml:space="preserve"> | ADI 6.218</w:t>
      </w:r>
      <w:r>
        <w:rPr>
          <w:color w:val="003CA0"/>
          <w:sz w:val="12"/>
        </w:rPr>
        <w:t xml:space="preserve"> | rel. Nunes Marques</w:t>
      </w:r>
    </w:p>
    <w:p>
      <w:pPr>
        <w:ind w:left="288"/>
      </w:pPr>
      <w:r>
        <w:rPr>
          <w:color w:val="1E1E1E"/>
          <w:sz w:val="18"/>
        </w:rPr>
        <w:t>A competência da União para dispor sobre os “limites do território nacional” (CF, art. 48, V) refere-se apenas aos limites com países estrangeiros, não aos limites entre o chamado “território da União” e os demais entes da Federação.</w:t>
        <w:br/>
        <w:t>[ADI 6.218, rel. min. Nunes Marques, red. do ac. min. Rosa Weber, j. 3-7-2023, P, DJE de 21-8-2023.]</w:t>
      </w:r>
    </w:p>
    <w:p>
      <w:pPr>
        <w:ind w:left="144"/>
      </w:pPr>
      <w:r>
        <w:rPr>
          <w:b/>
          <w:color w:val="B45A00"/>
          <w:sz w:val="16"/>
        </w:rPr>
        <w:t>JULGADOS CORRELATOS</w:t>
      </w:r>
    </w:p>
    <w:p>
      <w:pPr>
        <w:ind w:left="288"/>
      </w:pPr>
      <w:r>
        <w:rPr>
          <w:color w:val="8C8C8C"/>
          <w:sz w:val="12"/>
        </w:rPr>
        <w:t>cf-art-48-inc-V</w:t>
      </w:r>
      <w:r>
        <w:rPr>
          <w:color w:val="003CA0"/>
          <w:sz w:val="12"/>
        </w:rPr>
        <w:t xml:space="preserve"> | ACO 3.568</w:t>
      </w:r>
      <w:r>
        <w:rPr>
          <w:color w:val="003CA0"/>
          <w:sz w:val="12"/>
        </w:rPr>
        <w:t xml:space="preserve"> | rel. Ricardo Lewandowski</w:t>
      </w:r>
    </w:p>
    <w:p>
      <w:pPr>
        <w:ind w:left="288"/>
      </w:pPr>
      <w:r>
        <w:rPr>
          <w:color w:val="1E1E1E"/>
          <w:sz w:val="18"/>
        </w:rPr>
        <w:t>A cessão de uso de bem público por parte da Administração serve para que órgãos da mesma pessoa jurídica - ou de pessoas diversas - fiquem incumbidos de desenvolver atividades que, de algum modo, traduzam interesse para a coletividade. É assente em nosso ordenamento a necessidade de autorização legislativa para que essa espécie contratual se dê entre entidades integrantes de esferas distintas, na forma dos arts. 48, V, e art. 188, § 1º, ambos da Constituição Federal, e do art. 4º, § 1º, da Constituição do Estado de Pernambuco. É que a cessão de bens de uso comum do povo a outros entes não supõ</w:t>
      </w:r>
    </w:p>
    <w:p>
      <w:pPr>
        <w:ind w:left="144"/>
      </w:pPr>
      <w:r>
        <w:rPr>
          <w:b/>
          <w:color w:val="B45A00"/>
          <w:sz w:val="16"/>
        </w:rPr>
        <w:t>CONTROLE CONCENTRADO</w:t>
      </w:r>
    </w:p>
    <w:p>
      <w:pPr>
        <w:ind w:left="288"/>
      </w:pPr>
      <w:r>
        <w:rPr>
          <w:color w:val="8C8C8C"/>
          <w:sz w:val="12"/>
        </w:rPr>
        <w:t>cf-art-48-inc-VI</w:t>
      </w:r>
      <w:r>
        <w:rPr>
          <w:color w:val="003CA0"/>
          <w:sz w:val="12"/>
        </w:rPr>
        <w:t xml:space="preserve"> | ADI 6.121</w:t>
      </w:r>
      <w:r>
        <w:rPr>
          <w:color w:val="003CA0"/>
          <w:sz w:val="12"/>
        </w:rPr>
        <w:t xml:space="preserve"> | rel. Marco Aurélio</w:t>
      </w:r>
    </w:p>
    <w:p>
      <w:pPr>
        <w:ind w:left="288"/>
      </w:pPr>
      <w:r>
        <w:rPr>
          <w:color w:val="1E1E1E"/>
          <w:sz w:val="18"/>
        </w:rPr>
        <w:t>Considerado o princípio da separação dos poderes, conflita com a Constituição Federal a extinção, por ato unilateralmente editado pelo Chefe do Executivo, de órgãos colegiados que, contando com menção em lei em sentido formal, viabilizem a participação popular na condução das políticas públicas – mesmo quando ausente expressa ‘indicação de suas competências ou dos membros que o compõem’.</w:t>
      </w:r>
    </w:p>
    <w:p>
      <w:pPr>
        <w:ind w:left="288"/>
      </w:pPr>
      <w:r>
        <w:rPr>
          <w:b/>
          <w:color w:val="003CA0"/>
          <w:sz w:val="16"/>
        </w:rPr>
        <w:t>[ADI 6.121 MC, rel. min. Marco Aurélio, j. 13-6-2019, P, DJE de 28-11-2019.]</w:t>
      </w:r>
    </w:p>
    <w:p>
      <w:pPr>
        <w:ind w:left="288"/>
      </w:pPr>
      <w:r>
        <w:rPr>
          <w:color w:val="8C8C8C"/>
          <w:sz w:val="12"/>
        </w:rPr>
        <w:t>cf-art-48-inc-VIII</w:t>
      </w:r>
      <w:r>
        <w:rPr>
          <w:color w:val="003CA0"/>
          <w:sz w:val="12"/>
        </w:rPr>
        <w:t xml:space="preserve"> | ADPF 153</w:t>
      </w:r>
      <w:r>
        <w:rPr>
          <w:color w:val="003CA0"/>
          <w:sz w:val="12"/>
        </w:rPr>
        <w:t xml:space="preserve"> | rel. Eros Grau</w:t>
      </w:r>
    </w:p>
    <w:p>
      <w:pPr>
        <w:ind w:left="288"/>
      </w:pPr>
      <w:r>
        <w:rPr>
          <w:color w:val="1E1E1E"/>
          <w:sz w:val="18"/>
        </w:rPr>
        <w:t>Lei 6.683/1979, a chamada "Lei de Anistia". (...) A lei estendeu a conexão aos crimes praticados pelos agentes do Estado contra os que lutavam contra o Estado de exceção; daí o caráter bilateral da anistia, ampla e geral, que somente não foi irrestrita porque não abrangia os já condenados – e com sentença transitada em julgado, qual o Supremo assentou – pela prática de crimes de terrorismo, assalto, sequestro e atentado pessoal. (...) É a realidade histórico-social da migração da ditadura para a democracia política, da transição conciliada de 1979, que há de ser ponderada para que possamos dis</w:t>
      </w:r>
    </w:p>
    <w:p>
      <w:pPr>
        <w:ind w:left="288"/>
      </w:pPr>
      <w:r>
        <w:rPr>
          <w:b/>
          <w:color w:val="003CA0"/>
          <w:sz w:val="16"/>
        </w:rPr>
        <w:t>[ADPF 153, rel. min. Eros Grau, j. 29-4-2010, P, DJE de 6-8-2010.]</w:t>
      </w:r>
    </w:p>
    <w:p>
      <w:pPr>
        <w:ind w:left="288"/>
      </w:pPr>
      <w:r>
        <w:rPr>
          <w:color w:val="8C8C8C"/>
          <w:sz w:val="12"/>
        </w:rPr>
        <w:t>cf-art-48-inc-VIII</w:t>
      </w:r>
      <w:r>
        <w:rPr>
          <w:color w:val="003CA0"/>
          <w:sz w:val="12"/>
        </w:rPr>
        <w:t xml:space="preserve"> | ADI 1.231</w:t>
      </w:r>
      <w:r>
        <w:rPr>
          <w:color w:val="003CA0"/>
          <w:sz w:val="12"/>
        </w:rPr>
        <w:t xml:space="preserve"> | rel. Carlos Velloso</w:t>
      </w:r>
    </w:p>
    <w:p>
      <w:pPr>
        <w:ind w:left="288"/>
      </w:pPr>
      <w:r>
        <w:rPr>
          <w:color w:val="1E1E1E"/>
          <w:sz w:val="18"/>
        </w:rPr>
        <w:t xml:space="preserve">A anistia, que depende de lei, é para os crimes políticos. Essa é a regra. Consubstancia ela ato político, com natureza política. Excepcionalmente, estende-se a crimes comuns, certo que, para estes, há o indulto e a graça, institutos distintos da anistia (CF, art. 84, XII). Pode abranger, também, qualquer sanção imposta por lei. A anistia é ato político, concedido mediante lei, assim da competência do Congresso e do chefe do Executivo, correndo por conta destes a avaliação dos critérios de conveniência e oportunidade do ato, sem dispensa, entretanto, do controle judicial, porque pode ocorrer, </w:t>
      </w:r>
    </w:p>
    <w:p>
      <w:pPr>
        <w:ind w:left="288"/>
      </w:pPr>
      <w:r>
        <w:rPr>
          <w:b/>
          <w:color w:val="003CA0"/>
          <w:sz w:val="16"/>
        </w:rPr>
        <w:t>[ADI 1.231, rel. min. Carlos Velloso, j. 15-12-2005, P, DJ de 28-4-2006.]</w:t>
      </w:r>
    </w:p>
    <w:p>
      <w:pPr>
        <w:ind w:left="288"/>
      </w:pPr>
      <w:r>
        <w:rPr>
          <w:color w:val="8C8C8C"/>
          <w:sz w:val="12"/>
        </w:rPr>
        <w:t>cf-art-48-inc-VIII</w:t>
      </w:r>
    </w:p>
    <w:p>
      <w:pPr>
        <w:ind w:left="288"/>
      </w:pPr>
      <w:r>
        <w:rPr>
          <w:color w:val="1E1E1E"/>
          <w:sz w:val="18"/>
        </w:rPr>
        <w:t>IX - organização administrativa, judiciária, do Ministério Público e da Defensoria Pública da União e dos Territórios e organização judiciária e do Ministério Público do Distrito Federal; (Redação da EC 69/2012) (Vide EC 69/2012) X - criação, transformação e extinção de cargos, empregos e funções públicas, observado o que estabelece o art. 84, VI, b; (Redação da EC 32/2001)</w:t>
      </w:r>
    </w:p>
    <w:p>
      <w:pPr>
        <w:ind w:left="288"/>
      </w:pPr>
      <w:r>
        <w:rPr>
          <w:color w:val="8C8C8C"/>
          <w:sz w:val="12"/>
        </w:rPr>
        <w:t>cf-art-48-inc-VIII</w:t>
      </w:r>
      <w:r>
        <w:rPr>
          <w:color w:val="003CA0"/>
          <w:sz w:val="12"/>
        </w:rPr>
        <w:t xml:space="preserve"> | ADI 51</w:t>
      </w:r>
      <w:r>
        <w:rPr>
          <w:color w:val="003CA0"/>
          <w:sz w:val="12"/>
        </w:rPr>
        <w:t xml:space="preserve"> | rel. Paulo Brossard</w:t>
      </w:r>
    </w:p>
    <w:p>
      <w:pPr>
        <w:ind w:left="288"/>
      </w:pPr>
      <w:r>
        <w:rPr>
          <w:color w:val="1E1E1E"/>
          <w:sz w:val="18"/>
        </w:rPr>
        <w:t>Universidade federal. Autonomia (art. 207, CF). Ação direta de inconstitucionalidade. Resolução 2/1988 do Conselho Universitário da Universidade Federal do Rio de Janeiro, que dispõe sobre eleição do reitor e vice-reitor. Inconstitucionalidade. Ofensa ao inciso X e caput do art. 48 e inciso XXV do art. 84, ambos da CF.</w:t>
      </w:r>
    </w:p>
    <w:p>
      <w:pPr>
        <w:ind w:left="288"/>
      </w:pPr>
      <w:r>
        <w:rPr>
          <w:b/>
          <w:color w:val="003CA0"/>
          <w:sz w:val="16"/>
        </w:rPr>
        <w:t>[ADI 51, rel. min. Paulo Brossard, j. 25-10-1989, P, DJ de 17-9-1993.]</w:t>
      </w:r>
    </w:p>
    <w:p>
      <w:pPr>
        <w:ind w:left="288"/>
      </w:pPr>
      <w:r>
        <w:rPr>
          <w:color w:val="8C8C8C"/>
          <w:sz w:val="12"/>
        </w:rPr>
        <w:t>cf-art-48-inc-VIII</w:t>
      </w:r>
      <w:r>
        <w:rPr>
          <w:color w:val="003CA0"/>
          <w:sz w:val="12"/>
        </w:rPr>
        <w:t xml:space="preserve"> | ADI 578</w:t>
      </w:r>
      <w:r>
        <w:rPr>
          <w:color w:val="003CA0"/>
          <w:sz w:val="12"/>
        </w:rPr>
        <w:t xml:space="preserve"> | rel. Maurício Corrêa</w:t>
      </w:r>
    </w:p>
    <w:p>
      <w:pPr>
        <w:ind w:left="288"/>
      </w:pPr>
      <w:r>
        <w:rPr>
          <w:color w:val="1E1E1E"/>
          <w:sz w:val="18"/>
        </w:rPr>
        <w:t>= ADI 578, rel. min. Maurício Corrêa, j. 3-3-1999, P, DJ de 18-5-2001 XI - criação e extinção de Ministérios e órgãos da administração pública; (Redação da EC 32/2001)</w:t>
      </w:r>
    </w:p>
    <w:p>
      <w:pPr>
        <w:ind w:left="288"/>
      </w:pPr>
      <w:r>
        <w:rPr>
          <w:color w:val="8C8C8C"/>
          <w:sz w:val="12"/>
        </w:rPr>
        <w:t>cf-art-48-inc-XIII</w:t>
      </w:r>
    </w:p>
    <w:p>
      <w:pPr>
        <w:ind w:left="288"/>
      </w:pPr>
      <w:r>
        <w:rPr>
          <w:color w:val="1E1E1E"/>
          <w:sz w:val="18"/>
        </w:rPr>
        <w:t>XIV - moeda, seus limites de emissão, e montante da dívida mobiliária federal. XV - fixação do subsídio dos Ministros do Supremo Tribunal Federal, observado o que dispõem os arts. 39, § 4º; 150, II; 153, III; e 153, § 2º, I. (Redação da EC 41/2003)</w:t>
      </w:r>
    </w:p>
    <w:p>
      <w:pPr>
        <w:ind w:left="720"/>
      </w:pPr>
      <w:r>
        <w:rPr>
          <w:color w:val="003366"/>
          <w:sz w:val="18"/>
        </w:rPr>
        <w:t>I – sistema tributário, arrecadação e distribuição de rendas;</w:t>
      </w:r>
    </w:p>
    <w:p>
      <w:pPr>
        <w:ind w:left="720"/>
      </w:pPr>
      <w:r>
        <w:rPr>
          <w:color w:val="003366"/>
          <w:sz w:val="18"/>
        </w:rPr>
        <w:t>II – plano plurianual, diretrizes orçamentárias, orçamento anual, operações de c</w:t>
      </w:r>
    </w:p>
    <w:p>
      <w:pPr>
        <w:ind w:left="720"/>
      </w:pPr>
      <w:r>
        <w:rPr>
          <w:color w:val="003366"/>
          <w:sz w:val="18"/>
        </w:rPr>
        <w:t>III – fixação e modificação do efetivo das Forças Armadas;</w:t>
      </w:r>
    </w:p>
    <w:p>
      <w:pPr>
        <w:ind w:left="720"/>
      </w:pPr>
      <w:r>
        <w:rPr>
          <w:color w:val="003366"/>
          <w:sz w:val="18"/>
        </w:rPr>
        <w:t>IV – planos e programas nacionais, regionais e setoriais de desenvolvimento;</w:t>
      </w:r>
    </w:p>
    <w:p>
      <w:pPr>
        <w:ind w:left="720"/>
      </w:pPr>
      <w:r>
        <w:rPr>
          <w:color w:val="003366"/>
          <w:sz w:val="18"/>
        </w:rPr>
        <w:t>V – limites do território nacional, espaço aéreo e marítimo e bens do domínio da</w:t>
      </w:r>
    </w:p>
    <w:p>
      <w:pPr>
        <w:ind w:left="720"/>
      </w:pPr>
      <w:r>
        <w:rPr>
          <w:color w:val="003366"/>
          <w:sz w:val="18"/>
        </w:rPr>
        <w:t>VI – incorporação, subdivisão ou desmembramento de áreas de Territórios ou Estad</w:t>
      </w:r>
    </w:p>
    <w:p>
      <w:pPr>
        <w:ind w:left="720"/>
      </w:pPr>
      <w:r>
        <w:rPr>
          <w:color w:val="003366"/>
          <w:sz w:val="18"/>
        </w:rPr>
        <w:t>VII – transferência temporária da sede do Governo Federal;</w:t>
      </w:r>
    </w:p>
    <w:p>
      <w:pPr>
        <w:ind w:left="720"/>
      </w:pPr>
      <w:r>
        <w:rPr>
          <w:color w:val="003366"/>
          <w:sz w:val="18"/>
        </w:rPr>
        <w:t>VIII – concessão de anistia;</w:t>
      </w:r>
    </w:p>
    <w:p>
      <w:pPr>
        <w:ind w:left="720"/>
      </w:pPr>
      <w:r>
        <w:rPr>
          <w:color w:val="003366"/>
          <w:sz w:val="18"/>
        </w:rPr>
        <w:t>IX – organização administrativa, judiciária, do Ministério Público e da Defensor</w:t>
      </w:r>
    </w:p>
    <w:p>
      <w:pPr>
        <w:ind w:left="720"/>
      </w:pPr>
      <w:r>
        <w:rPr>
          <w:color w:val="003366"/>
          <w:sz w:val="18"/>
        </w:rPr>
        <w:t>XII – telecomunicações e radiodifusão;</w:t>
      </w:r>
    </w:p>
    <w:p>
      <w:pPr>
        <w:ind w:left="720"/>
      </w:pPr>
      <w:r>
        <w:rPr>
          <w:color w:val="003366"/>
          <w:sz w:val="18"/>
        </w:rPr>
        <w:t xml:space="preserve">XIII – matéria financeira, cambial e monetária, instituições financeiras e suas </w:t>
      </w:r>
    </w:p>
    <w:p>
      <w:r>
        <w:rPr>
          <w:b/>
          <w:color w:val="003366"/>
          <w:sz w:val="20"/>
        </w:rPr>
        <w:t>Art. 49 É da competência exclusiva do Congresso Nacional:</w:t>
      </w:r>
      <w:r>
        <w:rPr>
          <w:color w:val="8C8C8C"/>
          <w:sz w:val="14"/>
        </w:rPr>
        <w:t xml:space="preserve">  [22 decisoes]</w:t>
      </w:r>
    </w:p>
    <w:p>
      <w:pPr>
        <w:ind w:left="144"/>
      </w:pPr>
      <w:r>
        <w:rPr>
          <w:b/>
          <w:color w:val="B45A00"/>
          <w:sz w:val="16"/>
        </w:rPr>
        <w:t>CONTROLE CONCENTRADO</w:t>
      </w:r>
    </w:p>
    <w:p>
      <w:pPr>
        <w:ind w:left="288"/>
      </w:pPr>
      <w:r>
        <w:rPr>
          <w:color w:val="8C8C8C"/>
          <w:sz w:val="12"/>
        </w:rPr>
        <w:t>cf-art-49-inc-I</w:t>
      </w:r>
      <w:r>
        <w:rPr>
          <w:color w:val="003CA0"/>
          <w:sz w:val="12"/>
        </w:rPr>
        <w:t xml:space="preserve"> | ADC 39</w:t>
      </w:r>
      <w:r>
        <w:rPr>
          <w:color w:val="003CA0"/>
          <w:sz w:val="12"/>
        </w:rPr>
        <w:t xml:space="preserve"> | rel. Dias Toffoli</w:t>
      </w:r>
    </w:p>
    <w:p>
      <w:pPr>
        <w:ind w:left="288"/>
      </w:pPr>
      <w:r>
        <w:rPr>
          <w:color w:val="1E1E1E"/>
          <w:sz w:val="18"/>
        </w:rPr>
        <w:t>(...) a denúncia pelo Presidente da República de tratados internacionais aprovados pelo Congresso Nacional, para que produza efeitos no ordenamento jurídico interno, não prescinde da sua aprovação pelo Congresso”. Aplicação desse entendimento a partir da publicação da ata do julgamento, mantendo-se a eficácia das denúncias realizadas até esse marco temporal.</w:t>
        <w:br/>
        <w:t>[ADC 39, rel. min. Dias Toffoli, j. 19-6-2023, P, DJE de 18-8-2023.] (...) o requerente alega que o art. 49, I, da CF, ao prever competência exclusiva do Congresso Nacional, restringe-se ao poder de resolver acordos ou tratados internacion</w:t>
      </w:r>
    </w:p>
    <w:p>
      <w:pPr>
        <w:ind w:left="288"/>
      </w:pPr>
      <w:r>
        <w:rPr>
          <w:b/>
          <w:color w:val="003CA0"/>
          <w:sz w:val="16"/>
        </w:rPr>
        <w:t>[ADI 1.480 MC, rel. min. Celso de Mello, j. 4-9-1997, P, DJ de 18-5-2001.]</w:t>
      </w:r>
    </w:p>
    <w:p>
      <w:pPr>
        <w:ind w:left="144"/>
      </w:pPr>
      <w:r>
        <w:rPr>
          <w:b/>
          <w:color w:val="B45A00"/>
          <w:sz w:val="16"/>
        </w:rPr>
        <w:t>JULGADOS CORRELATOS</w:t>
      </w:r>
    </w:p>
    <w:p>
      <w:pPr>
        <w:ind w:left="288"/>
      </w:pPr>
      <w:r>
        <w:rPr>
          <w:color w:val="8C8C8C"/>
          <w:sz w:val="12"/>
        </w:rPr>
        <w:t>cf-art-49-inc-I</w:t>
      </w:r>
      <w:r>
        <w:rPr>
          <w:color w:val="003CA0"/>
          <w:sz w:val="12"/>
        </w:rPr>
        <w:t xml:space="preserve"> | CR 8.279</w:t>
      </w:r>
      <w:r>
        <w:rPr>
          <w:color w:val="003CA0"/>
          <w:sz w:val="12"/>
        </w:rPr>
        <w:t xml:space="preserve"> | rel. Celso de Mello</w:t>
      </w:r>
    </w:p>
    <w:p>
      <w:pPr>
        <w:ind w:left="288"/>
      </w:pPr>
      <w:r>
        <w:rPr>
          <w:color w:val="1E1E1E"/>
          <w:sz w:val="18"/>
        </w:rPr>
        <w:t>A recepção dos tratados internacionais em geral e dos acordos celebrados pelo Brasil no âmbito do Mercosul depende, para efeito de sua ulterior execução no plano interno, de uma sucessão causal e ordenada de atos revestidos de caráter político-jurídico, assim definidos: (a) aprovação, pelo Congresso Nacional, mediante decreto legislativo, de tais convenções; (b) ratificação desses atos internacionais, pelo chefe de Estado, mediante depósito do respectivo instrumento; (c) promulgação de tais acordos ou tratados, pelo presidente da República, mediante decreto, em ordem a viabilizar a produção do</w:t>
      </w:r>
    </w:p>
    <w:p>
      <w:pPr>
        <w:ind w:left="288"/>
      </w:pPr>
      <w:r>
        <w:rPr>
          <w:b/>
          <w:color w:val="003CA0"/>
          <w:sz w:val="16"/>
        </w:rPr>
        <w:t>[CR 8.279 AgR, rel. min. Celso de Mello, j. 17-6-1998, P, DJ de 10-8-2000.]</w:t>
      </w:r>
    </w:p>
    <w:p>
      <w:pPr>
        <w:ind w:left="288"/>
      </w:pPr>
      <w:r>
        <w:rPr>
          <w:color w:val="8C8C8C"/>
          <w:sz w:val="12"/>
        </w:rPr>
        <w:t>cf-art-49-inc-I</w:t>
      </w:r>
    </w:p>
    <w:p>
      <w:pPr>
        <w:ind w:left="288"/>
      </w:pPr>
      <w:r>
        <w:rPr>
          <w:color w:val="1E1E1E"/>
          <w:sz w:val="18"/>
        </w:rPr>
        <w:t>II - autorizar o Presidente da República a declarar guerra, a celebrar a paz, a permitir que forças estrangeiras transitem pelo território nacional ou nele permaneçam temporariamente, ressalvados os casos previstos em lei complementar;</w:t>
      </w:r>
    </w:p>
    <w:p>
      <w:pPr>
        <w:ind w:left="144"/>
      </w:pPr>
      <w:r>
        <w:rPr>
          <w:b/>
          <w:color w:val="B45A00"/>
          <w:sz w:val="16"/>
        </w:rPr>
        <w:t>CONTROLE CONCENTRADO</w:t>
      </w:r>
    </w:p>
    <w:p>
      <w:pPr>
        <w:ind w:left="288"/>
      </w:pPr>
      <w:r>
        <w:rPr>
          <w:color w:val="8C8C8C"/>
          <w:sz w:val="12"/>
        </w:rPr>
        <w:t>cf-art-49-inc-III</w:t>
      </w:r>
      <w:r>
        <w:rPr>
          <w:color w:val="003CA0"/>
          <w:sz w:val="12"/>
        </w:rPr>
        <w:t xml:space="preserve"> | ADI 1.172</w:t>
      </w:r>
      <w:r>
        <w:rPr>
          <w:color w:val="003CA0"/>
          <w:sz w:val="12"/>
        </w:rPr>
        <w:t xml:space="preserve"> | rel. Ellen Gracie</w:t>
      </w:r>
    </w:p>
    <w:p>
      <w:pPr>
        <w:ind w:left="288"/>
      </w:pPr>
      <w:r>
        <w:rPr>
          <w:color w:val="1E1E1E"/>
          <w:sz w:val="18"/>
        </w:rPr>
        <w:t>(...) o disposto no caput do art. 96 da Lei Orgânica do Distrito Federal harmoniza-se perfeitamente com o modelo federal, concedendo ao governador um prazo para as ausências ocasionais dos limites do Distrito Federal, sem que careça da prévia autorização da Câmara Legislativa. Existência de conformação entre o princípio da liberdade de locomoção do cidadão com a prerrogativa institucional do Poder Legislativo em fiscalizar os atos e os comportamentos dos governantes.</w:t>
      </w:r>
    </w:p>
    <w:p>
      <w:pPr>
        <w:ind w:left="288"/>
      </w:pPr>
      <w:r>
        <w:rPr>
          <w:b/>
          <w:color w:val="003CA0"/>
          <w:sz w:val="16"/>
        </w:rPr>
        <w:t>[ADI 1.172, rel. min. Ellen Gracie, j. 19-3-2003, P, DJ de 25-4-2003.]</w:t>
      </w:r>
    </w:p>
    <w:p>
      <w:pPr>
        <w:ind w:left="288"/>
      </w:pPr>
      <w:r>
        <w:rPr>
          <w:color w:val="8C8C8C"/>
          <w:sz w:val="12"/>
        </w:rPr>
        <w:t>cf-art-49-inc-III</w:t>
      </w:r>
      <w:r>
        <w:rPr>
          <w:color w:val="003CA0"/>
          <w:sz w:val="12"/>
        </w:rPr>
        <w:t xml:space="preserve"> | ADI 738</w:t>
      </w:r>
      <w:r>
        <w:rPr>
          <w:color w:val="003CA0"/>
          <w:sz w:val="12"/>
        </w:rPr>
        <w:t xml:space="preserve"> | rel. Maurício Corrêa</w:t>
      </w:r>
    </w:p>
    <w:p>
      <w:pPr>
        <w:ind w:left="288"/>
      </w:pPr>
      <w:r>
        <w:rPr>
          <w:color w:val="1E1E1E"/>
          <w:sz w:val="18"/>
        </w:rPr>
        <w:t>Afronta os princípios constitucionais da harmonia e independência entre os Poderes e da liberdade de locomoção norma estadual que exige prévia licença da assembleia legislativa para que o governador e o vice-governador possam ausentar-se do País por qualquer prazo. Espécie de autorização que, segundo o modelo federal, somente se justifica quando o afastamento exceder a quinze dias. Aplicação do princípio da simetria.</w:t>
      </w:r>
    </w:p>
    <w:p>
      <w:pPr>
        <w:ind w:left="288"/>
      </w:pPr>
      <w:r>
        <w:rPr>
          <w:b/>
          <w:color w:val="003CA0"/>
          <w:sz w:val="16"/>
        </w:rPr>
        <w:t>[ADI 738, rel. min. Maurício Corrêa, j. 13-11-2002, P, DJ de 7-2-2003.]</w:t>
      </w:r>
    </w:p>
    <w:p>
      <w:pPr>
        <w:ind w:left="288"/>
      </w:pPr>
      <w:r>
        <w:rPr>
          <w:color w:val="8C8C8C"/>
          <w:sz w:val="12"/>
        </w:rPr>
        <w:t>cf-art-49-inc-III</w:t>
      </w:r>
      <w:r>
        <w:rPr>
          <w:color w:val="003CA0"/>
          <w:sz w:val="12"/>
        </w:rPr>
        <w:t xml:space="preserve"> | RE 317.574</w:t>
      </w:r>
      <w:r>
        <w:rPr>
          <w:color w:val="003CA0"/>
          <w:sz w:val="12"/>
        </w:rPr>
        <w:t xml:space="preserve"> | rel. Cezar Peluso</w:t>
      </w:r>
    </w:p>
    <w:p>
      <w:pPr>
        <w:ind w:left="288"/>
      </w:pPr>
      <w:r>
        <w:rPr>
          <w:color w:val="1E1E1E"/>
          <w:sz w:val="18"/>
        </w:rPr>
        <w:t>= RE 317.574, rel. min. Cezar Peluso, j. 1º-12-2010, P, DJE de 1º-2-2011</w:t>
      </w:r>
    </w:p>
    <w:p>
      <w:pPr>
        <w:ind w:left="288"/>
      </w:pPr>
      <w:r>
        <w:rPr>
          <w:color w:val="8C8C8C"/>
          <w:sz w:val="12"/>
        </w:rPr>
        <w:t>cf-art-49-inc-V</w:t>
      </w:r>
      <w:r>
        <w:rPr>
          <w:color w:val="003CA0"/>
          <w:sz w:val="12"/>
        </w:rPr>
        <w:t xml:space="preserve"> | ADI 748</w:t>
      </w:r>
      <w:r>
        <w:rPr>
          <w:color w:val="003CA0"/>
          <w:sz w:val="12"/>
        </w:rPr>
        <w:t xml:space="preserve"> | rel. Celso de Mello</w:t>
      </w:r>
    </w:p>
    <w:p>
      <w:pPr>
        <w:ind w:left="288"/>
      </w:pPr>
      <w:r>
        <w:rPr>
          <w:color w:val="1E1E1E"/>
          <w:sz w:val="18"/>
        </w:rPr>
        <w:t>Possibilidade de fiscalização normativa abstrata (...). O decreto legislativo, editado com fundamento no art. 49, V, da CF, não se desveste dos atributos tipificadores da normatividade pelo fato de limitar-se, materialmente, à suspensão de eficácia de ato oriundo do Poder Executivo. Também realiza função normativa o ato estatal que exclui, extingue ou suspende a validade ou a eficácia de uma outra norma jurídica. A eficácia derrogatória ou inibitória das consequências jurídicas dos atos estatais constitui um dos momentos concretizadores do processo normativo.</w:t>
      </w:r>
    </w:p>
    <w:p>
      <w:pPr>
        <w:ind w:left="288"/>
      </w:pPr>
      <w:r>
        <w:rPr>
          <w:b/>
          <w:color w:val="003CA0"/>
          <w:sz w:val="16"/>
        </w:rPr>
        <w:t>[ADI 748 MC, rel. min. Celso de Mello, j. 1º-7-1992, P, DJ de 6-11-1992.]</w:t>
      </w:r>
    </w:p>
    <w:p>
      <w:pPr>
        <w:ind w:left="144"/>
      </w:pPr>
      <w:r>
        <w:rPr>
          <w:b/>
          <w:color w:val="B45A00"/>
          <w:sz w:val="16"/>
        </w:rPr>
        <w:t>JULGADOS CORRELATOS</w:t>
      </w:r>
    </w:p>
    <w:p>
      <w:pPr>
        <w:ind w:left="288"/>
      </w:pPr>
      <w:r>
        <w:rPr>
          <w:color w:val="8C8C8C"/>
          <w:sz w:val="12"/>
        </w:rPr>
        <w:t>cf-art-49-inc-V</w:t>
      </w:r>
      <w:r>
        <w:rPr>
          <w:color w:val="003CA0"/>
          <w:sz w:val="12"/>
        </w:rPr>
        <w:t xml:space="preserve"> | RE 318.873</w:t>
      </w:r>
      <w:r>
        <w:rPr>
          <w:color w:val="003CA0"/>
          <w:sz w:val="12"/>
        </w:rPr>
        <w:t xml:space="preserve"> | rel. Celso de Mello</w:t>
      </w:r>
    </w:p>
    <w:p>
      <w:pPr>
        <w:ind w:left="288"/>
      </w:pPr>
      <w:r>
        <w:rPr>
          <w:color w:val="1E1E1E"/>
          <w:sz w:val="18"/>
        </w:rPr>
        <w:t>O abuso de poder regulamentar, especialmente nos casos em que o Estado atua contra legem ou praeter legem, não só expõe o ato transgressor ao controle jurisdicional, mas viabiliza, até mesmo, tal a gravidade desse comportamento governamental, o exercício, pelo Congresso Nacional, da competência extraordinária que lhe confere o art. 49, V, da Constituição da República e que lhe permite "sustar os atos normativos do Poder Executivo que exorbitem do poder regulamentar (...)". Doutrina. Precedentes (RE 318.873 AgR/SC, rel. min. Celso de Mello, v.g.). Plausibilidade jurídica da impugnação à validad</w:t>
      </w:r>
    </w:p>
    <w:p>
      <w:pPr>
        <w:ind w:left="288"/>
      </w:pPr>
      <w:r>
        <w:rPr>
          <w:b/>
          <w:color w:val="003CA0"/>
          <w:sz w:val="16"/>
        </w:rPr>
        <w:t>[AC 1.033 AgR-QO, rel. min. Celso de Mello, j. 25-5-2006, P, DJ de 16-6-2006.]</w:t>
      </w:r>
    </w:p>
    <w:p>
      <w:pPr>
        <w:ind w:left="288"/>
      </w:pPr>
      <w:r>
        <w:rPr>
          <w:color w:val="8C8C8C"/>
          <w:sz w:val="12"/>
        </w:rPr>
        <w:t>cf-art-49-inc-VII</w:t>
      </w:r>
    </w:p>
    <w:p>
      <w:pPr>
        <w:ind w:left="288"/>
      </w:pPr>
      <w:r>
        <w:rPr>
          <w:color w:val="1E1E1E"/>
          <w:sz w:val="18"/>
        </w:rPr>
        <w:t>VIII - fixar os subsídios do Presidente e do Vice-Presidente da República e dos Ministros de Estado, observado o que dispõem os arts. 37, XI; 39, § 4º; 150, II; 153, III; e 153, § 2º, I; (Redação da EC 19/1998)</w:t>
      </w:r>
    </w:p>
    <w:p>
      <w:pPr>
        <w:ind w:left="144"/>
      </w:pPr>
      <w:r>
        <w:rPr>
          <w:b/>
          <w:color w:val="B45A00"/>
          <w:sz w:val="16"/>
        </w:rPr>
        <w:t>CONTROLE CONCENTRADO</w:t>
      </w:r>
    </w:p>
    <w:p>
      <w:pPr>
        <w:ind w:left="288"/>
      </w:pPr>
      <w:r>
        <w:rPr>
          <w:color w:val="8C8C8C"/>
          <w:sz w:val="12"/>
        </w:rPr>
        <w:t>cf-art-49-inc-VII</w:t>
      </w:r>
      <w:r>
        <w:rPr>
          <w:color w:val="003CA0"/>
          <w:sz w:val="12"/>
        </w:rPr>
        <w:t xml:space="preserve"> | ADI 3.491</w:t>
      </w:r>
      <w:r>
        <w:rPr>
          <w:color w:val="003CA0"/>
          <w:sz w:val="12"/>
        </w:rPr>
        <w:t xml:space="preserve"> | rel. Ayres Britto</w:t>
      </w:r>
    </w:p>
    <w:p>
      <w:pPr>
        <w:ind w:left="288"/>
      </w:pPr>
      <w:r>
        <w:rPr>
          <w:color w:val="1E1E1E"/>
          <w:sz w:val="18"/>
        </w:rPr>
        <w:t>A Lei Maior impôs tratamento jurídico diferenciado entre a classe dos servidores públicos em geral e o membro de Poder, o detentor de mandato eletivo, os ministros de Estado e os secretários estaduais e municipais. Esses agentes públicos, que se situam no topo da estrutura funcional de cada poder orgânico da União, dos Estados, do Distrito Federal e dos Municípios, são remunerados exclusivamente por subsídios, cuja fixação ou alteração é matéria reservada à lei específica, observada, em cada caso, a respectiva iniciativa (incisos X e XI do art. 37 da CF/1988). O dispositivo legal impugnado, ao</w:t>
      </w:r>
    </w:p>
    <w:p>
      <w:pPr>
        <w:ind w:left="288"/>
      </w:pPr>
      <w:r>
        <w:rPr>
          <w:b/>
          <w:color w:val="003CA0"/>
          <w:sz w:val="16"/>
        </w:rPr>
        <w:t>[ADI 3.491, rel. min. Ayres Britto, j. 27-9-2006, P, DJ de 23-3-2007.]</w:t>
        <w:br/>
        <w:t>= RE 759.518 RG, rel. min. Gilmar Mendes, j. 29-5-2014, P, DJE de 24-11-2014, Tema 737</w:t>
      </w:r>
    </w:p>
    <w:p>
      <w:pPr>
        <w:ind w:left="144"/>
      </w:pPr>
      <w:r>
        <w:rPr>
          <w:b/>
          <w:color w:val="B45A00"/>
          <w:sz w:val="16"/>
        </w:rPr>
        <w:t>JULGADOS CORRELATOS</w:t>
      </w:r>
    </w:p>
    <w:p>
      <w:pPr>
        <w:ind w:left="288"/>
      </w:pPr>
      <w:r>
        <w:rPr>
          <w:color w:val="8C8C8C"/>
          <w:sz w:val="12"/>
        </w:rPr>
        <w:t>cf-art-49-inc-VII</w:t>
      </w:r>
      <w:r>
        <w:rPr>
          <w:color w:val="003CA0"/>
          <w:sz w:val="12"/>
        </w:rPr>
        <w:t xml:space="preserve"> | RMS 21.946</w:t>
      </w:r>
      <w:r>
        <w:rPr>
          <w:color w:val="003CA0"/>
          <w:sz w:val="12"/>
        </w:rPr>
        <w:t xml:space="preserve"> | rel. Sepúlveda Pertence</w:t>
      </w:r>
    </w:p>
    <w:p>
      <w:pPr>
        <w:ind w:left="288"/>
      </w:pPr>
      <w:r>
        <w:rPr>
          <w:color w:val="1E1E1E"/>
          <w:sz w:val="18"/>
        </w:rPr>
        <w:t>Teto de vencimentos e proventos (CF, art. 37, XI): para tal efeito, a remuneração dos ministros de Estado é aquela atribuída ao cargo por decreto legislativo (CF, art. 49, VIII), não que, mediante opção, perceba efetivamente algum dos seus titulares, em razão de ser parlamentar ou servidor público efetivo.</w:t>
      </w:r>
    </w:p>
    <w:p>
      <w:pPr>
        <w:ind w:left="288"/>
      </w:pPr>
      <w:r>
        <w:rPr>
          <w:b/>
          <w:color w:val="003CA0"/>
          <w:sz w:val="16"/>
        </w:rPr>
        <w:t>[RMS 21.946, rel. min. Sepúlveda Pertence, j. 24-5-1994, 1ª T, DJ de 1º-7-1994.]</w:t>
      </w:r>
    </w:p>
    <w:p>
      <w:pPr>
        <w:ind w:left="288"/>
      </w:pPr>
      <w:r>
        <w:rPr>
          <w:color w:val="8C8C8C"/>
          <w:sz w:val="12"/>
        </w:rPr>
        <w:t>cf-art-49-inc-IX</w:t>
      </w:r>
      <w:r>
        <w:rPr>
          <w:color w:val="003CA0"/>
          <w:sz w:val="12"/>
        </w:rPr>
        <w:t xml:space="preserve"> | ADPF 434</w:t>
      </w:r>
      <w:r>
        <w:rPr>
          <w:color w:val="003CA0"/>
          <w:sz w:val="12"/>
        </w:rPr>
        <w:t xml:space="preserve"> | rel. Nunes Marques</w:t>
      </w:r>
    </w:p>
    <w:p>
      <w:pPr>
        <w:ind w:left="288"/>
      </w:pPr>
      <w:r>
        <w:rPr>
          <w:color w:val="1E1E1E"/>
          <w:sz w:val="18"/>
        </w:rPr>
        <w:t>O parecer técnico do Tribunal de Contas, embora relevante para subsidiar o julgamento político da Assembleia Legislativa, possui natureza opinativa, não vinculando nem condicionando o exercício da competência legislativa. A ausência de parecer prévio no prazo constitucional não obsta o julgamento das contas pelo Legislativo, sendo-lhe vedado eximir-se da competência constitucionalmente atribuída.</w:t>
      </w:r>
    </w:p>
    <w:p>
      <w:pPr>
        <w:ind w:left="288"/>
      </w:pPr>
      <w:r>
        <w:rPr>
          <w:b/>
          <w:color w:val="003CA0"/>
          <w:sz w:val="16"/>
        </w:rPr>
        <w:t>[ADPF 434, rel. min. Nunes Marques, j. 12.08.2025, P, DJE de 16.10.2025.]</w:t>
      </w:r>
    </w:p>
    <w:p>
      <w:pPr>
        <w:ind w:left="144"/>
      </w:pPr>
      <w:r>
        <w:rPr>
          <w:b/>
          <w:color w:val="B45A00"/>
          <w:sz w:val="16"/>
        </w:rPr>
        <w:t>CONTROLE CONCENTRADO</w:t>
      </w:r>
    </w:p>
    <w:p>
      <w:pPr>
        <w:ind w:left="288"/>
      </w:pPr>
      <w:r>
        <w:rPr>
          <w:color w:val="8C8C8C"/>
          <w:sz w:val="12"/>
        </w:rPr>
        <w:t>cf-art-49-inc-IX</w:t>
      </w:r>
      <w:r>
        <w:rPr>
          <w:color w:val="003CA0"/>
          <w:sz w:val="12"/>
        </w:rPr>
        <w:t xml:space="preserve"> | ADI 1.964</w:t>
      </w:r>
      <w:r>
        <w:rPr>
          <w:color w:val="003CA0"/>
          <w:sz w:val="12"/>
        </w:rPr>
        <w:t xml:space="preserve"> | rel. Dias Toffoli</w:t>
      </w:r>
    </w:p>
    <w:p>
      <w:pPr>
        <w:ind w:left="288"/>
      </w:pPr>
      <w:r>
        <w:rPr>
          <w:color w:val="1E1E1E"/>
          <w:sz w:val="18"/>
        </w:rPr>
        <w:t>A CF foi assente em definir o papel específico do Legislativo municipal para julgar, após parecer prévio do tribunal de contas, as contas anuais elaboradas pelo chefe do Poder Executivo local, sem abrir margem para a ampliação para outros agentes ou órgãos públicos. O art. 29, § 2º, da Constituição do Estado do Espírito Santo, ao alargar a competência de controle externo exercida pelas câmaras municipais para alcançar, além do prefeito, o presidente da câmara municipal, alterou o modelo previsto na CF.</w:t>
      </w:r>
    </w:p>
    <w:p>
      <w:pPr>
        <w:ind w:left="288"/>
      </w:pPr>
      <w:r>
        <w:rPr>
          <w:b/>
          <w:color w:val="003CA0"/>
          <w:sz w:val="16"/>
        </w:rPr>
        <w:t>[ADI 1.964, rel. min. Dias Toffoli, j. 4-9-2014, P, DJE de 9-10-2014.]</w:t>
      </w:r>
    </w:p>
    <w:p>
      <w:pPr>
        <w:ind w:left="144"/>
      </w:pPr>
      <w:r>
        <w:rPr>
          <w:b/>
          <w:color w:val="B45A00"/>
          <w:sz w:val="16"/>
        </w:rPr>
        <w:t>JULGADOS CORRELATOS</w:t>
      </w:r>
    </w:p>
    <w:p>
      <w:pPr>
        <w:ind w:left="288"/>
      </w:pPr>
      <w:r>
        <w:rPr>
          <w:color w:val="8C8C8C"/>
          <w:sz w:val="12"/>
        </w:rPr>
        <w:t>cf-art-49-inc-IX</w:t>
      </w:r>
      <w:r>
        <w:rPr>
          <w:color w:val="003CA0"/>
          <w:sz w:val="12"/>
        </w:rPr>
        <w:t xml:space="preserve"> | MS 33.729</w:t>
      </w:r>
      <w:r>
        <w:rPr>
          <w:color w:val="003CA0"/>
          <w:sz w:val="12"/>
        </w:rPr>
        <w:t xml:space="preserve"> | rel. Roberto Barroso</w:t>
      </w:r>
    </w:p>
    <w:p>
      <w:pPr>
        <w:ind w:left="288"/>
      </w:pPr>
      <w:r>
        <w:rPr>
          <w:color w:val="1E1E1E"/>
          <w:sz w:val="18"/>
        </w:rPr>
        <w:t>O julgamento das contas do Presidente da República deve ser feito pelo Congresso Nacional em sessão conjunta das Casas, e não separadamente pela Câmara dos Deputados e pelo Senado Federal. (...) Entretanto, a longa duração da prática de julgamento separado das contas do Presidente da República por cada uma das Casas Legislativas deve ser considerada no julgamento de mérito. Tendo as contas já sido aprovadas, e os PDLs convertidos em decretos legislativos, os efeitos dos atos já praticados devem ser resguardados, em homenagem à segurança jurídica.</w:t>
        <w:br/>
        <w:t>[MS 33.729, rel. min. Roberto Barroso, j. 22-5-</w:t>
      </w:r>
    </w:p>
    <w:p>
      <w:pPr>
        <w:ind w:left="144"/>
      </w:pPr>
      <w:r>
        <w:rPr>
          <w:b/>
          <w:color w:val="B45A00"/>
          <w:sz w:val="16"/>
        </w:rPr>
        <w:t>CONTROLE CONCENTRADO</w:t>
      </w:r>
    </w:p>
    <w:p>
      <w:pPr>
        <w:ind w:left="288"/>
      </w:pPr>
      <w:r>
        <w:rPr>
          <w:color w:val="8C8C8C"/>
          <w:sz w:val="12"/>
        </w:rPr>
        <w:t>cf-art-49-inc-X</w:t>
      </w:r>
      <w:r>
        <w:rPr>
          <w:color w:val="003CA0"/>
          <w:sz w:val="12"/>
        </w:rPr>
        <w:t xml:space="preserve"> | ADI 5.351</w:t>
      </w:r>
      <w:r>
        <w:rPr>
          <w:color w:val="003CA0"/>
          <w:sz w:val="12"/>
        </w:rPr>
        <w:t xml:space="preserve"> | rel. Cármen Lúcia</w:t>
      </w:r>
    </w:p>
    <w:p>
      <w:pPr>
        <w:ind w:left="288"/>
      </w:pPr>
      <w:r>
        <w:rPr>
          <w:color w:val="1E1E1E"/>
          <w:sz w:val="18"/>
        </w:rPr>
        <w:t>“O estabelecimento de hipóteses de prioridade de tramitação processual insere-se entre as atribuições legislativas da União (inc. I do art. 22 da Constituição da República). Não viola a proporcionalidade ou razoabilidade a opção do legislador de priorizar a tramitação de procedimentos administrativos ou judiciais que derivem de apurações das Comissões Parlamentares de Inquérito, considerando o interesse público atingido e a deferência constitucional ao poder fiscalizatório do Congresso Nacional (inc. X do art. 49 da Constituição da República).”</w:t>
      </w:r>
    </w:p>
    <w:p>
      <w:pPr>
        <w:ind w:left="288"/>
      </w:pPr>
      <w:r>
        <w:rPr>
          <w:b/>
          <w:color w:val="003CA0"/>
          <w:sz w:val="16"/>
        </w:rPr>
        <w:t>[ADI 5.351, rel. min. Cármen Lúcia, j. 18-6-2021, P, DJE de 20-8-2021.]</w:t>
      </w:r>
    </w:p>
    <w:p>
      <w:pPr>
        <w:ind w:left="288"/>
      </w:pPr>
      <w:r>
        <w:rPr>
          <w:color w:val="8C8C8C"/>
          <w:sz w:val="12"/>
        </w:rPr>
        <w:t>cf-art-49-inc-X</w:t>
      </w:r>
      <w:r>
        <w:rPr>
          <w:color w:val="003CA0"/>
          <w:sz w:val="12"/>
        </w:rPr>
        <w:t xml:space="preserve"> | ADI 3.046</w:t>
      </w:r>
      <w:r>
        <w:rPr>
          <w:color w:val="003CA0"/>
          <w:sz w:val="12"/>
        </w:rPr>
        <w:t xml:space="preserve"> | rel. Sepúlveda Pertence</w:t>
      </w:r>
    </w:p>
    <w:p>
      <w:pPr>
        <w:ind w:left="288"/>
      </w:pPr>
      <w:r>
        <w:rPr>
          <w:color w:val="1E1E1E"/>
          <w:sz w:val="18"/>
        </w:rPr>
        <w:t xml:space="preserve">Do relevo primacial dos "pesos e contrapesos" no paradigma de divisão dos poderes, segue-se que à norma infraconstitucional – aí incluída, em relação à Federal, a Constituição dos Estados-membros – não é dado criar novas interferências de um Poder na órbita de outro que não derive explícita ou implicitamente de regra ou princípio da Lei Fundamental da República. O poder de fiscalização legislativa da ação administrativa do Poder Executivo é outorgado aos órgãos coletivos de cada Câmara do Congresso Nacional, no plano federal, e da assembleia legislativa, no dos Estados; nunca aos seus membros </w:t>
      </w:r>
    </w:p>
    <w:p>
      <w:pPr>
        <w:ind w:left="288"/>
      </w:pPr>
      <w:r>
        <w:rPr>
          <w:b/>
          <w:color w:val="003CA0"/>
          <w:sz w:val="16"/>
        </w:rPr>
        <w:t>[ADI 3.046, rel. min. Sepúlveda Pertence, j. 15-4-2004, P, DJ de 28-5-2004.]</w:t>
      </w:r>
    </w:p>
    <w:p>
      <w:pPr>
        <w:ind w:left="288"/>
      </w:pPr>
      <w:r>
        <w:rPr>
          <w:color w:val="8C8C8C"/>
          <w:sz w:val="12"/>
        </w:rPr>
        <w:t>cf-art-49-inc-XI</w:t>
      </w:r>
      <w:r>
        <w:rPr>
          <w:color w:val="003CA0"/>
          <w:sz w:val="12"/>
        </w:rPr>
        <w:t xml:space="preserve"> | ADI 3.059</w:t>
      </w:r>
      <w:r>
        <w:rPr>
          <w:color w:val="003CA0"/>
          <w:sz w:val="12"/>
        </w:rPr>
        <w:t xml:space="preserve"> | rel. Ayres Britto</w:t>
      </w:r>
    </w:p>
    <w:p>
      <w:pPr>
        <w:ind w:left="288"/>
      </w:pPr>
      <w:r>
        <w:rPr>
          <w:color w:val="1E1E1E"/>
          <w:sz w:val="18"/>
        </w:rPr>
        <w:t>É a Constituição mesma que resguarda o "funcionamento parlamentar" dos partidos, "de acordo com a lei" (inciso IV do art. 17), e assim mais intensamente participando das experiências do parlamento – sobretudo no altaneiro plano da produção das leis e na vigília dos atos normativos dos demais poderes (inciso XI do art. 49 da CF – é que essas pessoas jurídico-eleitorais que são os partidos políticos desfrutam de habilitação processual para o ajuizamento das ações diretas de inconstitucionalidade.</w:t>
      </w:r>
    </w:p>
    <w:p>
      <w:pPr>
        <w:ind w:left="288"/>
      </w:pPr>
      <w:r>
        <w:rPr>
          <w:b/>
          <w:color w:val="003CA0"/>
          <w:sz w:val="16"/>
        </w:rPr>
        <w:t>[ADI 3.059 MC, voto do rel. min. Ayres Britto, j. 15-4-2004, P, DJ de 20-8-2004.]</w:t>
      </w:r>
    </w:p>
    <w:p>
      <w:pPr>
        <w:ind w:left="288"/>
      </w:pPr>
      <w:r>
        <w:rPr>
          <w:color w:val="8C8C8C"/>
          <w:sz w:val="12"/>
        </w:rPr>
        <w:t>cf-art-49-inc-XIII</w:t>
      </w:r>
    </w:p>
    <w:p>
      <w:pPr>
        <w:ind w:left="288"/>
      </w:pPr>
      <w:r>
        <w:rPr>
          <w:color w:val="1E1E1E"/>
          <w:sz w:val="18"/>
        </w:rPr>
        <w:t>XIV - aprovar iniciativas do Poder Executivo referentes a atividades nucleares; XV - autorizar referendo e convocar plebiscito; XVI - autorizar, em terras indígenas, a exploração e o aproveitamento de recursos hídricos e a pesquisa e lavra de riquezas minerais;</w:t>
      </w:r>
    </w:p>
    <w:p>
      <w:pPr>
        <w:ind w:left="288"/>
      </w:pPr>
      <w:r>
        <w:rPr>
          <w:color w:val="8C8C8C"/>
          <w:sz w:val="12"/>
        </w:rPr>
        <w:t>cf-art-49-inc-XIII</w:t>
      </w:r>
      <w:r>
        <w:rPr>
          <w:color w:val="003CA0"/>
          <w:sz w:val="12"/>
        </w:rPr>
        <w:t xml:space="preserve"> | ADI 3.352</w:t>
      </w:r>
      <w:r>
        <w:rPr>
          <w:color w:val="003CA0"/>
          <w:sz w:val="12"/>
        </w:rPr>
        <w:t xml:space="preserve"> | rel. Sepúlveda Pertence</w:t>
      </w:r>
    </w:p>
    <w:p>
      <w:pPr>
        <w:ind w:left="288"/>
      </w:pPr>
      <w:r>
        <w:rPr>
          <w:color w:val="1E1E1E"/>
          <w:sz w:val="18"/>
        </w:rPr>
        <w:t>É do Congresso Nacional a competência exclusiva para autorizar a pesquisa e a lavra das riquezas minerais em terras indígenas (CF, art. 49, XVI, e 231, § 3º), mediante decreto legislativo, que não é dado substituir por medida provisória. Não a usurpa, contudo, a medida provisória que, visando resolver o problema criado com a existência, em poder de dada comunidade indígena, do produto de lavra de diamantes já realizada, disciplina-lhe a arrecadação, a venda e a entrega aos indígenas da renda líquida resultante de sua alienação.</w:t>
      </w:r>
    </w:p>
    <w:p>
      <w:pPr>
        <w:ind w:left="288"/>
      </w:pPr>
      <w:r>
        <w:rPr>
          <w:b/>
          <w:color w:val="003CA0"/>
          <w:sz w:val="16"/>
        </w:rPr>
        <w:t>[ADI 3.352 MC, rel. min. Sepúlveda Pertence, j. 2-12-2004, P, DJ de 15-4-2005.]</w:t>
      </w:r>
    </w:p>
    <w:p>
      <w:pPr>
        <w:ind w:left="288"/>
      </w:pPr>
      <w:r>
        <w:rPr>
          <w:color w:val="8C8C8C"/>
          <w:sz w:val="12"/>
        </w:rPr>
        <w:t>cf-art-49-inc-XIII</w:t>
      </w:r>
    </w:p>
    <w:p>
      <w:pPr>
        <w:ind w:left="288"/>
      </w:pPr>
      <w:r>
        <w:rPr>
          <w:color w:val="1E1E1E"/>
          <w:sz w:val="18"/>
        </w:rPr>
        <w:t>XVII - aprovar, previamente, a alienação ou concessão de terras públicas com área superior a dois mil e quinhentos hectares.</w:t>
      </w:r>
    </w:p>
    <w:p>
      <w:pPr>
        <w:ind w:left="288"/>
      </w:pPr>
      <w:r>
        <w:rPr>
          <w:color w:val="8C8C8C"/>
          <w:sz w:val="12"/>
        </w:rPr>
        <w:t>cf-art-49-inc-XIII</w:t>
      </w:r>
      <w:r>
        <w:rPr>
          <w:color w:val="003CA0"/>
          <w:sz w:val="12"/>
        </w:rPr>
        <w:t xml:space="preserve"> | ADI 3.989</w:t>
      </w:r>
      <w:r>
        <w:rPr>
          <w:color w:val="003CA0"/>
          <w:sz w:val="12"/>
        </w:rPr>
        <w:t xml:space="preserve"> | rel. Dias Toffoli</w:t>
      </w:r>
    </w:p>
    <w:p>
      <w:pPr>
        <w:ind w:left="288"/>
      </w:pPr>
      <w:r>
        <w:rPr>
          <w:color w:val="1E1E1E"/>
          <w:sz w:val="18"/>
        </w:rPr>
        <w:t>A concessão florestal é um contrato administrativo que tem por objeto o uso, por particular, de perímetros de florestas públicas, visando à prática do manejo florestal sustentável mediante a exploração de produtos e serviços. A concessão florestal não transfere o domínio de terras públicas ao concessionário. O Plano Plurianual de Outorga Florestal (PPAOF) contém o conjunto de florestas públicas que podem ser submetidas à concessão. A mera elaboração do documento não obriga ou estabelece regras para a efetiva delegação onerosa de uma unidade de manejo a um particular. Controvérsia sobre a neces</w:t>
      </w:r>
    </w:p>
    <w:p>
      <w:pPr>
        <w:ind w:left="144"/>
      </w:pPr>
      <w:r>
        <w:rPr>
          <w:b/>
          <w:color w:val="B45A00"/>
          <w:sz w:val="16"/>
        </w:rPr>
        <w:t>JULGADOS CORRELATOS</w:t>
      </w:r>
    </w:p>
    <w:p>
      <w:pPr>
        <w:ind w:left="288"/>
      </w:pPr>
      <w:r>
        <w:rPr>
          <w:color w:val="8C8C8C"/>
          <w:sz w:val="12"/>
        </w:rPr>
        <w:t>cf-art-49-inc-XIII</w:t>
      </w:r>
      <w:r>
        <w:rPr>
          <w:color w:val="003CA0"/>
          <w:sz w:val="12"/>
        </w:rPr>
        <w:t xml:space="preserve"> | ACO 79</w:t>
      </w:r>
      <w:r>
        <w:rPr>
          <w:color w:val="003CA0"/>
          <w:sz w:val="12"/>
        </w:rPr>
        <w:t xml:space="preserve"> | rel. Cezar Peluso</w:t>
      </w:r>
    </w:p>
    <w:p>
      <w:pPr>
        <w:ind w:left="288"/>
      </w:pPr>
      <w:r>
        <w:rPr>
          <w:color w:val="1E1E1E"/>
          <w:sz w:val="18"/>
        </w:rPr>
        <w:t>Sob pena de ofensa aos princípios constitucionais da segurança jurídica e da proteção à confiança legítima, não podem ser anuladas, meio século depois, por falta de necessária autorização prévia do Legislativo, concessões de domínio de terras públicas, celebradas para fins de colonização, quando esta, sob absoluta boa-fé e convicção de validez dos negócios por parte dos adquirentes e sucessores, se consolidou, ao longo do tempo, com criação de cidades, fixação de famílias, construção de hospitais, estradas, aeroportos, residências, estabelecimentos comerciais, industriais e de serviços, etc.</w:t>
      </w:r>
    </w:p>
    <w:p>
      <w:pPr>
        <w:ind w:left="288"/>
      </w:pPr>
      <w:r>
        <w:rPr>
          <w:b/>
          <w:color w:val="003CA0"/>
          <w:sz w:val="16"/>
        </w:rPr>
        <w:t>[ACO 79, rel. min. Cezar Peluso, j. 15-3-2012, P, DJE de 28-5-2012.]</w:t>
      </w:r>
    </w:p>
    <w:p>
      <w:pPr>
        <w:ind w:left="720"/>
      </w:pPr>
      <w:r>
        <w:rPr>
          <w:color w:val="003366"/>
          <w:sz w:val="18"/>
        </w:rPr>
        <w:t xml:space="preserve">I – resolver definitivamente sobre tratados, acordos ou atos internacionais que </w:t>
      </w:r>
    </w:p>
    <w:p>
      <w:pPr>
        <w:ind w:left="720"/>
      </w:pPr>
      <w:r>
        <w:rPr>
          <w:color w:val="003366"/>
          <w:sz w:val="18"/>
        </w:rPr>
        <w:t xml:space="preserve">II – autorizar o Presidente da República a declarar guerra, a celebrar a paz, a </w:t>
      </w:r>
    </w:p>
    <w:p>
      <w:pPr>
        <w:ind w:left="720"/>
      </w:pPr>
      <w:r>
        <w:rPr>
          <w:color w:val="003366"/>
          <w:sz w:val="18"/>
        </w:rPr>
        <w:t>III – autorizar o Presidente e o Vice-Presidente da República a se ausentarem do</w:t>
      </w:r>
    </w:p>
    <w:p>
      <w:pPr>
        <w:ind w:left="720"/>
      </w:pPr>
      <w:r>
        <w:rPr>
          <w:color w:val="003366"/>
          <w:sz w:val="18"/>
        </w:rPr>
        <w:t>IV – aprovar o estado de defesa e a intervenção federal, autorizar o estado de s</w:t>
      </w:r>
    </w:p>
    <w:p>
      <w:pPr>
        <w:ind w:left="720"/>
      </w:pPr>
      <w:r>
        <w:rPr>
          <w:color w:val="003366"/>
          <w:sz w:val="18"/>
        </w:rPr>
        <w:t>V – sustar os atos normativos do Poder Executivo que exorbitem do poder regulame</w:t>
      </w:r>
    </w:p>
    <w:p>
      <w:pPr>
        <w:ind w:left="720"/>
      </w:pPr>
      <w:r>
        <w:rPr>
          <w:color w:val="003366"/>
          <w:sz w:val="18"/>
        </w:rPr>
        <w:t>VI – mudar temporariamente sua sede;</w:t>
      </w:r>
    </w:p>
    <w:p>
      <w:pPr>
        <w:ind w:left="720"/>
      </w:pPr>
      <w:r>
        <w:rPr>
          <w:color w:val="003366"/>
          <w:sz w:val="18"/>
        </w:rPr>
        <w:t>VII – fixar idêntico subsídio para os Deputados Federais e os Senadores, observa</w:t>
      </w:r>
    </w:p>
    <w:p>
      <w:pPr>
        <w:ind w:left="720"/>
      </w:pPr>
      <w:r>
        <w:rPr>
          <w:color w:val="003366"/>
          <w:sz w:val="18"/>
        </w:rPr>
        <w:t xml:space="preserve">VIII – fixar os subsídios do Presidente e do Vice-Presidente da República e dos </w:t>
      </w:r>
    </w:p>
    <w:p>
      <w:pPr>
        <w:ind w:left="720"/>
      </w:pPr>
      <w:r>
        <w:rPr>
          <w:color w:val="003366"/>
          <w:sz w:val="18"/>
        </w:rPr>
        <w:t>IX – julgar anualmente as contas prestadas pelo Presidente da República e apreci</w:t>
      </w:r>
    </w:p>
    <w:p>
      <w:pPr>
        <w:ind w:left="720"/>
      </w:pPr>
      <w:r>
        <w:rPr>
          <w:color w:val="003366"/>
          <w:sz w:val="18"/>
        </w:rPr>
        <w:t xml:space="preserve">X – fiscalizar e controlar, diretamente, ou por qualquer de suas Casas, os atos </w:t>
      </w:r>
    </w:p>
    <w:p>
      <w:pPr>
        <w:ind w:left="720"/>
      </w:pPr>
      <w:r>
        <w:rPr>
          <w:color w:val="003366"/>
          <w:sz w:val="18"/>
        </w:rPr>
        <w:t>XI – zelar pela preservação de sua competência legislativa em face da atribuição</w:t>
      </w:r>
    </w:p>
    <w:p>
      <w:pPr>
        <w:ind w:left="720"/>
      </w:pPr>
      <w:r>
        <w:rPr>
          <w:color w:val="003366"/>
          <w:sz w:val="18"/>
        </w:rPr>
        <w:t>XII – apreciar os atos de concessão e renovação de concessão de emissoras de rád</w:t>
      </w:r>
    </w:p>
    <w:p>
      <w:pPr>
        <w:ind w:left="720"/>
      </w:pPr>
      <w:r>
        <w:rPr>
          <w:color w:val="003366"/>
          <w:sz w:val="18"/>
        </w:rPr>
        <w:t>XIII – escolher dois terços dos membros do Tribunal de Contas da União;</w:t>
      </w:r>
    </w:p>
    <w:p>
      <w:r>
        <w:rPr>
          <w:b/>
          <w:color w:val="003366"/>
          <w:sz w:val="20"/>
        </w:rPr>
        <w:t>Art. 50 A Câmara dos Deputados e o Senado Federal, ou qualquer de suas Comissões</w:t>
      </w:r>
      <w:r>
        <w:rPr>
          <w:color w:val="8C8C8C"/>
          <w:sz w:val="14"/>
        </w:rPr>
        <w:t xml:space="preserve">  [8 decisoes]</w:t>
      </w:r>
    </w:p>
    <w:p>
      <w:pPr>
        <w:ind w:left="144"/>
      </w:pPr>
      <w:r>
        <w:rPr>
          <w:b/>
          <w:color w:val="B45A00"/>
          <w:sz w:val="16"/>
        </w:rPr>
        <w:t>CONTROLE CONCENTRADO</w:t>
      </w:r>
    </w:p>
    <w:p>
      <w:pPr>
        <w:ind w:left="288"/>
      </w:pPr>
      <w:r>
        <w:rPr>
          <w:color w:val="8C8C8C"/>
          <w:sz w:val="12"/>
        </w:rPr>
        <w:t>cf-art-50</w:t>
      </w:r>
      <w:r>
        <w:rPr>
          <w:color w:val="003CA0"/>
          <w:sz w:val="12"/>
        </w:rPr>
        <w:t xml:space="preserve"> | ADI 6.651</w:t>
      </w:r>
      <w:r>
        <w:rPr>
          <w:color w:val="003CA0"/>
          <w:sz w:val="12"/>
        </w:rPr>
        <w:t xml:space="preserve"> | rel. Edson Fachin</w:t>
      </w:r>
    </w:p>
    <w:p>
      <w:pPr>
        <w:ind w:left="288"/>
      </w:pPr>
      <w:r>
        <w:rPr>
          <w:color w:val="1E1E1E"/>
          <w:sz w:val="18"/>
        </w:rPr>
        <w:t>A Constituição da República, em seu art. 50, caput e § 2º, prescreve sistemática de controle do Poder Legislativo sobre o Poder Executivo que, em razão do princípio da simetria, deve ser observada pelos Estados membros.</w:t>
      </w:r>
    </w:p>
    <w:p>
      <w:pPr>
        <w:ind w:left="288"/>
      </w:pPr>
      <w:r>
        <w:rPr>
          <w:b/>
          <w:color w:val="003CA0"/>
          <w:sz w:val="16"/>
        </w:rPr>
        <w:t>[ADI 6.651, rel. min. Edson Fachin, j. 21-2-2022, P, DJE de 30-3-2022.]</w:t>
      </w:r>
    </w:p>
    <w:p>
      <w:pPr>
        <w:ind w:left="288"/>
      </w:pPr>
      <w:r>
        <w:rPr>
          <w:color w:val="8C8C8C"/>
          <w:sz w:val="12"/>
        </w:rPr>
        <w:t>cf-art-50</w:t>
      </w:r>
      <w:r>
        <w:rPr>
          <w:color w:val="003CA0"/>
          <w:sz w:val="12"/>
        </w:rPr>
        <w:t xml:space="preserve"> | ADI 2.911</w:t>
      </w:r>
      <w:r>
        <w:rPr>
          <w:color w:val="003CA0"/>
          <w:sz w:val="12"/>
        </w:rPr>
        <w:t xml:space="preserve"> | rel. Ayres Britto</w:t>
      </w:r>
    </w:p>
    <w:p>
      <w:pPr>
        <w:ind w:left="288"/>
      </w:pPr>
      <w:r>
        <w:rPr>
          <w:color w:val="1E1E1E"/>
          <w:sz w:val="18"/>
        </w:rPr>
        <w:t>Os dispositivos impugnados contemplam a possibilidade de a Assembleia Legislativa capixaba convocar o presidente do Tribunal de Justiça para prestar, pessoalmente, informações sobre assunto previamente determinado, importando crime de responsabilidade a ausência injustificada desse chefe de Poder. Ao fazê-lo, porém, o art. 57 da Constituição capixaba não seguiu o paradigma da CF, extrapolando as fronteiras do esquema de freios e contrapesos – cuja aplicabilidade é sempre estrita ou materialmente inelástica – e maculando o princípio da separação de poderes.</w:t>
      </w:r>
    </w:p>
    <w:p>
      <w:pPr>
        <w:ind w:left="288"/>
      </w:pPr>
      <w:r>
        <w:rPr>
          <w:b/>
          <w:color w:val="003CA0"/>
          <w:sz w:val="16"/>
        </w:rPr>
        <w:t>[ADI 2.911, rel. min. Ayres Britto, j. 10-8-2006, P, DJ de 2-2-2007.]</w:t>
      </w:r>
    </w:p>
    <w:p>
      <w:pPr>
        <w:ind w:left="288"/>
      </w:pPr>
      <w:r>
        <w:rPr>
          <w:color w:val="8C8C8C"/>
          <w:sz w:val="12"/>
        </w:rPr>
        <w:t>cf-art-50-par-1</w:t>
      </w:r>
    </w:p>
    <w:p>
      <w:pPr>
        <w:ind w:left="288"/>
      </w:pPr>
      <w:r>
        <w:rPr>
          <w:color w:val="1E1E1E"/>
          <w:sz w:val="18"/>
        </w:rPr>
        <w:t>§ 2º As Mesas da Câmara dos Deputados e do Senado Federal poderão encaminhar pedidos escritos de informações a Ministros de Estado ou a qualquer das pessoas referidas no caput deste artigo, importando em crime de responsabilidade a recusa, ou o não atendimento, no prazo de trinta dias, bem como a prestação de informações falsas. (Redação da ECR 2/1994)</w:t>
      </w:r>
    </w:p>
    <w:p>
      <w:pPr>
        <w:ind w:left="288"/>
      </w:pPr>
      <w:r>
        <w:rPr>
          <w:color w:val="8C8C8C"/>
          <w:sz w:val="12"/>
        </w:rPr>
        <w:t>cf-art-50-par-1</w:t>
      </w:r>
      <w:r>
        <w:rPr>
          <w:color w:val="003CA0"/>
          <w:sz w:val="12"/>
        </w:rPr>
        <w:t xml:space="preserve"> | ADI 6.647</w:t>
      </w:r>
      <w:r>
        <w:rPr>
          <w:color w:val="003CA0"/>
          <w:sz w:val="12"/>
        </w:rPr>
        <w:t xml:space="preserve"> | rel. Gilmar Mendes</w:t>
      </w:r>
    </w:p>
    <w:p>
      <w:pPr>
        <w:ind w:left="288"/>
      </w:pPr>
      <w:r>
        <w:rPr>
          <w:color w:val="1E1E1E"/>
          <w:sz w:val="18"/>
        </w:rPr>
        <w:t>As Constituições Estaduais não podem ampliar o rol de autoridades sujeitas à convocação pelo Poder Legislativo e à sanção por crime de responsabilidade, por violação ao princípio da simetria e à competência privativa da União para legislar sobre o tema.</w:t>
        <w:br/>
        <w:t>[ADI 6.647, rel. min. Gilmar Mendes, j. 17-12-2022, P, DJE de 11-4-2023.] A Constituição da República, em seu art. 50, caput e § 2º, prescreve sistemática de controle do Poder Legislativo sobre o Poder Executivo que, em razão do princípio da simetria, deve ser observada pelos Estados membros.</w:t>
        <w:br/>
        <w:t>[ADI 6.651, rel. min. Edson Fachin, j. 21-2-2022, P,</w:t>
      </w:r>
    </w:p>
    <w:p>
      <w:pPr>
        <w:ind w:left="288"/>
      </w:pPr>
      <w:r>
        <w:rPr>
          <w:b/>
          <w:color w:val="003CA0"/>
          <w:sz w:val="16"/>
        </w:rPr>
        <w:t>[ADI 3.279, rel. min. Cezar Peluso, j. 16-11-2011, P, DJE de 15-2-2012.]</w:t>
      </w:r>
    </w:p>
    <w:p>
      <w:pPr>
        <w:ind w:left="288"/>
      </w:pPr>
      <w:r>
        <w:rPr>
          <w:color w:val="8C8C8C"/>
          <w:sz w:val="12"/>
        </w:rPr>
        <w:t>cf-art-50-par-1</w:t>
      </w:r>
      <w:r>
        <w:rPr>
          <w:color w:val="003CA0"/>
          <w:sz w:val="12"/>
        </w:rPr>
        <w:t xml:space="preserve"> | ADI 3.046</w:t>
      </w:r>
      <w:r>
        <w:rPr>
          <w:color w:val="003CA0"/>
          <w:sz w:val="12"/>
        </w:rPr>
        <w:t xml:space="preserve"> | rel. Sepúlveda Pertence</w:t>
      </w:r>
    </w:p>
    <w:p>
      <w:pPr>
        <w:ind w:left="288"/>
      </w:pPr>
      <w:r>
        <w:rPr>
          <w:color w:val="1E1E1E"/>
          <w:sz w:val="18"/>
        </w:rPr>
        <w:t>O poder de fiscalização legislativa da ação administrativa do Poder Executivo é outorgado aos órgãos coletivos de cada Câmara do Congresso Nacional, no plano federal, e da Assembleia Legislativa, no dos Estados; nunca aos seus membros individualmente, salvo, é claro, quando atuem em representação (ou presentação) de sua Casa ou comissão.</w:t>
      </w:r>
    </w:p>
    <w:p>
      <w:pPr>
        <w:ind w:left="288"/>
      </w:pPr>
      <w:r>
        <w:rPr>
          <w:b/>
          <w:color w:val="003CA0"/>
          <w:sz w:val="16"/>
        </w:rPr>
        <w:t>[ADI 3.046, rel. min. Sepúlveda Pertence, j. 15-4-2004, P, DJ de 28-5-2004.]</w:t>
      </w:r>
    </w:p>
    <w:p>
      <w:pPr>
        <w:ind w:left="288"/>
      </w:pPr>
      <w:r>
        <w:rPr>
          <w:color w:val="8C8C8C"/>
          <w:sz w:val="12"/>
        </w:rPr>
        <w:t>cf-art-50-par-1</w:t>
      </w:r>
      <w:r>
        <w:rPr>
          <w:color w:val="003CA0"/>
          <w:sz w:val="12"/>
        </w:rPr>
        <w:t xml:space="preserve"> | RMS 28.251</w:t>
      </w:r>
      <w:r>
        <w:rPr>
          <w:color w:val="003CA0"/>
          <w:sz w:val="12"/>
        </w:rPr>
        <w:t xml:space="preserve"> | rel. Ricardo Lewandowski</w:t>
      </w:r>
    </w:p>
    <w:p>
      <w:pPr>
        <w:ind w:left="288"/>
      </w:pPr>
      <w:r>
        <w:rPr>
          <w:color w:val="1E1E1E"/>
          <w:sz w:val="18"/>
        </w:rPr>
        <w:t>= RMS 28.251 AgR, rel. min. Ricardo Lewandowski, j. 18-10-2011, 2ª T, DJE de 22-11-2011</w:t>
      </w:r>
    </w:p>
    <w:p>
      <w:pPr>
        <w:ind w:left="144"/>
      </w:pPr>
      <w:r>
        <w:rPr>
          <w:b/>
          <w:color w:val="B45A00"/>
          <w:sz w:val="16"/>
        </w:rPr>
        <w:t>JULGADOS CORRELATOS</w:t>
      </w:r>
    </w:p>
    <w:p>
      <w:pPr>
        <w:ind w:left="288"/>
      </w:pPr>
      <w:r>
        <w:rPr>
          <w:color w:val="8C8C8C"/>
          <w:sz w:val="12"/>
        </w:rPr>
        <w:t>cf-art-50-par-1</w:t>
      </w:r>
      <w:r>
        <w:rPr>
          <w:color w:val="003CA0"/>
          <w:sz w:val="12"/>
        </w:rPr>
        <w:t xml:space="preserve"> | RMS 28.251</w:t>
      </w:r>
      <w:r>
        <w:rPr>
          <w:color w:val="003CA0"/>
          <w:sz w:val="12"/>
        </w:rPr>
        <w:t xml:space="preserve"> | rel. Ricardo Lewandowski</w:t>
      </w:r>
    </w:p>
    <w:p>
      <w:pPr>
        <w:ind w:left="288"/>
      </w:pPr>
      <w:r>
        <w:rPr>
          <w:color w:val="1E1E1E"/>
          <w:sz w:val="18"/>
        </w:rPr>
        <w:t>O direito de requerer informações aos ministros de Estado foi conferido pela Constituição tão somente às Mesas da Câmara dos Deputados e do Senado Federal, e não a parlamentares individualmente. (...) O entendimento pacífico desta Corte é no sentido de que o parlamentar individualmente não possui legitimidade para impetrar mandado de segurança para defender prerrogativa concernente à Casa Legislativa à qual pertence.</w:t>
      </w:r>
    </w:p>
    <w:p>
      <w:pPr>
        <w:ind w:left="288"/>
      </w:pPr>
      <w:r>
        <w:rPr>
          <w:b/>
          <w:color w:val="003CA0"/>
          <w:sz w:val="16"/>
        </w:rPr>
        <w:t>[RMS 28.251 AgR, rel. min. Ricardo Lewandowski, j. 18-10-2011, 2ª T, DJE de 22-11-2011.]</w:t>
      </w:r>
    </w:p>
    <w:p>
      <w:pPr>
        <w:ind w:left="288"/>
      </w:pPr>
      <w:r>
        <w:rPr>
          <w:color w:val="8C8C8C"/>
          <w:sz w:val="12"/>
        </w:rPr>
        <w:t>cf-art-50-par-1</w:t>
      </w:r>
    </w:p>
    <w:p>
      <w:pPr>
        <w:ind w:left="288"/>
      </w:pPr>
      <w:r>
        <w:rPr>
          <w:color w:val="1E1E1E"/>
          <w:sz w:val="18"/>
        </w:rPr>
        <w:t>Seção III Da Câmara dos Deputados SUMÁRIO</w:t>
      </w:r>
    </w:p>
    <w:p>
      <w:pPr>
        <w:ind w:left="432"/>
      </w:pPr>
      <w:r>
        <w:rPr>
          <w:color w:val="003366"/>
          <w:sz w:val="18"/>
        </w:rPr>
        <w:t>§ 1 Os Ministros de Estado poderão comparecer ao Senado Federal, à Câmara dos De</w:t>
      </w:r>
    </w:p>
    <w:p>
      <w:pPr>
        <w:ind w:left="432"/>
      </w:pPr>
      <w:r>
        <w:rPr>
          <w:color w:val="003366"/>
          <w:sz w:val="18"/>
        </w:rPr>
        <w:t>§ 2 As Mesas da Câmara dos Deputados e do Senado Federal poderão encaminhar pedi</w:t>
      </w:r>
    </w:p>
    <w:p>
      <w:pPr>
        <w:pStyle w:val="Heading3"/>
      </w:pPr>
      <w:r>
        <w:rPr>
          <w:color w:val="003366"/>
        </w:rPr>
        <w:t>Seção III - DA CÂMARA DOS DEPUTADOS</w:t>
      </w:r>
    </w:p>
    <w:p>
      <w:r>
        <w:rPr>
          <w:b/>
          <w:color w:val="003366"/>
          <w:sz w:val="20"/>
        </w:rPr>
        <w:t>Art. 51 Compete privativamente à Câmara dos Deputados:</w:t>
      </w:r>
      <w:r>
        <w:rPr>
          <w:color w:val="8C8C8C"/>
          <w:sz w:val="14"/>
        </w:rPr>
        <w:t xml:space="preserve">  [10 decisoes]</w:t>
      </w:r>
    </w:p>
    <w:p>
      <w:pPr>
        <w:ind w:left="144"/>
      </w:pPr>
      <w:r>
        <w:rPr>
          <w:b/>
          <w:color w:val="B45A00"/>
          <w:sz w:val="16"/>
        </w:rPr>
        <w:t>JULGADOS CORRELATOS</w:t>
      </w:r>
    </w:p>
    <w:p>
      <w:pPr>
        <w:ind w:left="288"/>
      </w:pPr>
      <w:r>
        <w:rPr>
          <w:color w:val="8C8C8C"/>
          <w:sz w:val="12"/>
        </w:rPr>
        <w:t>cf-art-51</w:t>
      </w:r>
      <w:r>
        <w:rPr>
          <w:color w:val="003CA0"/>
          <w:sz w:val="12"/>
        </w:rPr>
        <w:t xml:space="preserve"> | MS 33.558</w:t>
      </w:r>
      <w:r>
        <w:rPr>
          <w:color w:val="003CA0"/>
          <w:sz w:val="12"/>
        </w:rPr>
        <w:t xml:space="preserve"> | rel. Celso de Mello</w:t>
      </w:r>
    </w:p>
    <w:p>
      <w:pPr>
        <w:ind w:left="288"/>
      </w:pPr>
      <w:r>
        <w:rPr>
          <w:color w:val="1E1E1E"/>
          <w:sz w:val="18"/>
        </w:rPr>
        <w:t>Denúncia contra a presidente da República. Princípio da livre denunciabilidade popular (Lei 1.079/1950, art. 14). Imputação de crime de responsabilidade à chefe do Poder Executivo da União. Negativa de seguimento por parte do presidente da Câmara dos Deputados. Recurso do cidadão denunciante ao Plenário dessa Casa Legislativa. Deliberação que deixa de admitir referida manifestação recursal. (...) A questão do judicial review e o princípio da separação de poderes. Atos interna corporis e discussões de natureza regimental: apreciação vedada ao Poder Judiciário, por tratar-se de tema que deve ser</w:t>
      </w:r>
    </w:p>
    <w:p>
      <w:pPr>
        <w:ind w:left="288"/>
      </w:pPr>
      <w:r>
        <w:rPr>
          <w:b/>
          <w:color w:val="003CA0"/>
          <w:sz w:val="16"/>
        </w:rPr>
        <w:t>[MS 33.558 AgR, rel. min. Celso de Mello, j. 25-11-2015, P, DJE de 21-3-2016.]</w:t>
      </w:r>
    </w:p>
    <w:p>
      <w:pPr>
        <w:ind w:left="144"/>
      </w:pPr>
      <w:r>
        <w:rPr>
          <w:b/>
          <w:color w:val="B45A00"/>
          <w:sz w:val="16"/>
        </w:rPr>
        <w:t>CONTROLE CONCENTRADO</w:t>
      </w:r>
    </w:p>
    <w:p>
      <w:pPr>
        <w:ind w:left="288"/>
      </w:pPr>
      <w:r>
        <w:rPr>
          <w:color w:val="8C8C8C"/>
          <w:sz w:val="12"/>
        </w:rPr>
        <w:t>cf-art-51-inc-I</w:t>
      </w:r>
      <w:r>
        <w:rPr>
          <w:color w:val="003CA0"/>
          <w:sz w:val="12"/>
        </w:rPr>
        <w:t xml:space="preserve"> | ADI 5.540</w:t>
      </w:r>
      <w:r>
        <w:rPr>
          <w:color w:val="003CA0"/>
          <w:sz w:val="12"/>
        </w:rPr>
        <w:t xml:space="preserve"> | rel. Edson Fachin</w:t>
      </w:r>
    </w:p>
    <w:p>
      <w:pPr>
        <w:ind w:left="288"/>
      </w:pPr>
      <w:r>
        <w:rPr>
          <w:color w:val="1E1E1E"/>
          <w:sz w:val="18"/>
        </w:rPr>
        <w:t>Não há necessidade de prévia autorização da Assembleia Legislativa para o recebimento de denúncia ou queixa e instauração de ação penal contra Governador de Estado, por crime comum, cabendo ao STJ, no ato de recebimento ou no curso do processo, dispor, fundamentadamente, sobre a aplicação de medidas cautelares penais, inclusive afastamento do cargo.</w:t>
      </w:r>
    </w:p>
    <w:p>
      <w:pPr>
        <w:ind w:left="288"/>
      </w:pPr>
      <w:r>
        <w:rPr>
          <w:b/>
          <w:color w:val="003CA0"/>
          <w:sz w:val="16"/>
        </w:rPr>
        <w:t>[ADI 5.540, rel. min. Edson Fachin, j. 3-5-2017, P, DJE de 28-3-2019.]</w:t>
      </w:r>
    </w:p>
    <w:p>
      <w:pPr>
        <w:ind w:left="288"/>
      </w:pPr>
      <w:r>
        <w:rPr>
          <w:color w:val="8C8C8C"/>
          <w:sz w:val="12"/>
        </w:rPr>
        <w:t>cf-art-51-inc-I</w:t>
      </w:r>
      <w:r>
        <w:rPr>
          <w:color w:val="003CA0"/>
          <w:sz w:val="12"/>
        </w:rPr>
        <w:t xml:space="preserve"> | ADI 4.362</w:t>
      </w:r>
      <w:r>
        <w:rPr>
          <w:color w:val="003CA0"/>
          <w:sz w:val="12"/>
        </w:rPr>
        <w:t xml:space="preserve"> | rel. Carlos Velloso). [ADPF 378 MC</w:t>
      </w:r>
    </w:p>
    <w:p>
      <w:pPr>
        <w:ind w:left="288"/>
      </w:pPr>
      <w:r>
        <w:rPr>
          <w:color w:val="1E1E1E"/>
          <w:sz w:val="18"/>
        </w:rPr>
        <w:t>= ADI 4.362, red. do ac. min. Roberto Barroso, j. 9-8-2017, P, DJE de 6-2-2018 Apresentada denúncia contra o presidente da República por crime de responsabilidade, compete à Câmara dos Deputados autorizar a instauração de processo (art. 51, I, da CF/1988). A Câmara exerce, assim, um juízo eminentemente político sobre os fatos narrados, que constitui condição para o prosseguimento da denúncia. (...) Há três ordens de argumentos que justificam esse entendimento. Em primeiro lugar, esta é a única interpretação possível à luz da Constituição de 1988, por qualquer enfoque que se dê: literal, histór</w:t>
      </w:r>
    </w:p>
    <w:p>
      <w:pPr>
        <w:ind w:left="288"/>
      </w:pPr>
      <w:r>
        <w:rPr>
          <w:b/>
          <w:color w:val="003CA0"/>
          <w:sz w:val="16"/>
        </w:rPr>
        <w:t>[ADPF 378 MC, red. do ac. min. Roberto Barroso, j. 17-12-2015, P, DJE de 8-3-2016.]</w:t>
      </w:r>
    </w:p>
    <w:p>
      <w:pPr>
        <w:ind w:left="288"/>
      </w:pPr>
      <w:r>
        <w:rPr>
          <w:color w:val="8C8C8C"/>
          <w:sz w:val="12"/>
        </w:rPr>
        <w:t>cf-art-51-inc-I</w:t>
      </w:r>
      <w:r>
        <w:rPr>
          <w:color w:val="003CA0"/>
          <w:sz w:val="12"/>
        </w:rPr>
        <w:t xml:space="preserve"> | MS 34.130</w:t>
      </w:r>
      <w:r>
        <w:rPr>
          <w:color w:val="003CA0"/>
          <w:sz w:val="12"/>
        </w:rPr>
        <w:t xml:space="preserve"> | rel. Edson Fachin</w:t>
      </w:r>
    </w:p>
    <w:p>
      <w:pPr>
        <w:ind w:left="288"/>
      </w:pPr>
      <w:r>
        <w:rPr>
          <w:color w:val="1E1E1E"/>
          <w:sz w:val="18"/>
        </w:rPr>
        <w:t>= MS 34.130 MC, rel. min. Edson Fachin, j. 15-4-2016, P, DJE de 1º-9-2016</w:t>
      </w:r>
    </w:p>
    <w:p>
      <w:pPr>
        <w:ind w:left="144"/>
      </w:pPr>
      <w:r>
        <w:rPr>
          <w:b/>
          <w:color w:val="B45A00"/>
          <w:sz w:val="16"/>
        </w:rPr>
        <w:t>JULGADOS CORRELATOS</w:t>
      </w:r>
    </w:p>
    <w:p>
      <w:pPr>
        <w:ind w:left="288"/>
      </w:pPr>
      <w:r>
        <w:rPr>
          <w:color w:val="8C8C8C"/>
          <w:sz w:val="12"/>
        </w:rPr>
        <w:t>cf-art-51-inc-I</w:t>
      </w:r>
      <w:r>
        <w:rPr>
          <w:color w:val="003CA0"/>
          <w:sz w:val="12"/>
        </w:rPr>
        <w:t xml:space="preserve"> | INQ 4.483</w:t>
      </w:r>
      <w:r>
        <w:rPr>
          <w:color w:val="003CA0"/>
          <w:sz w:val="12"/>
        </w:rPr>
        <w:t xml:space="preserve"> | rel. Edson Fachin</w:t>
      </w:r>
    </w:p>
    <w:p>
      <w:pPr>
        <w:ind w:left="288"/>
      </w:pPr>
      <w:r>
        <w:rPr>
          <w:color w:val="1E1E1E"/>
          <w:sz w:val="18"/>
        </w:rPr>
        <w:t>A imunidade formal prevista nos arts. 86, caput e 51, I, da Constituição Federal tem por finalidade tutelar o regular exercício dos cargos de Presidente da República e de Ministro de Estado, razão pela qual não é extensível a codenunciados que não se encontram investidos em tais funções. Incidência da Súmula 245 do Supremo Tribunal Federal.</w:t>
        <w:br/>
        <w:t>[Inq 4.483 AgR e Inq 4.327 AgR-segundo, rel. min. Edson Fachin, j. 19-12-2017, P, DJE de 9-8-2018] A regra da prévia licença da Casa Legislativa como condição da procedibilidade para deliberar-se sobre o recebimento da denúncia não se irradia a ponto de apa</w:t>
      </w:r>
    </w:p>
    <w:p>
      <w:pPr>
        <w:ind w:left="288"/>
      </w:pPr>
      <w:r>
        <w:rPr>
          <w:color w:val="8C8C8C"/>
          <w:sz w:val="12"/>
        </w:rPr>
        <w:t>cf-art-51-inc-III</w:t>
      </w:r>
    </w:p>
    <w:p>
      <w:pPr>
        <w:ind w:left="288"/>
      </w:pPr>
      <w:r>
        <w:rPr>
          <w:color w:val="1E1E1E"/>
          <w:sz w:val="18"/>
        </w:rPr>
        <w:t>IV - dispor sobre sua organização, funcionamento, polícia, criação, transformação ou extinção dos cargos, empregos e funções de seus serviços, e a iniciativa de lei para fixação da respectiva remuneração, observados os parâmetros estabelecidos na lei de diretrizes orçamentárias; (Redação da EC 19/1998)</w:t>
      </w:r>
    </w:p>
    <w:p>
      <w:pPr>
        <w:ind w:left="144"/>
      </w:pPr>
      <w:r>
        <w:rPr>
          <w:b/>
          <w:color w:val="B45A00"/>
          <w:sz w:val="16"/>
        </w:rPr>
        <w:t>CONTROLE CONCENTRADO</w:t>
      </w:r>
    </w:p>
    <w:p>
      <w:pPr>
        <w:ind w:left="288"/>
      </w:pPr>
      <w:r>
        <w:rPr>
          <w:color w:val="8C8C8C"/>
          <w:sz w:val="12"/>
        </w:rPr>
        <w:t>cf-art-51-inc-III</w:t>
      </w:r>
      <w:r>
        <w:rPr>
          <w:color w:val="003CA0"/>
          <w:sz w:val="12"/>
        </w:rPr>
        <w:t xml:space="preserve"> | ADI 3.599</w:t>
      </w:r>
      <w:r>
        <w:rPr>
          <w:color w:val="003CA0"/>
          <w:sz w:val="12"/>
        </w:rPr>
        <w:t xml:space="preserve"> | rel. Gilmar Mendes</w:t>
      </w:r>
    </w:p>
    <w:p>
      <w:pPr>
        <w:ind w:left="288"/>
      </w:pPr>
      <w:r>
        <w:rPr>
          <w:color w:val="1E1E1E"/>
          <w:sz w:val="18"/>
        </w:rPr>
        <w:t>As normas que são objeto da presente ação direta alteram remuneração dos servidores das duas Casas Legislativas, majorando-a em 15%. Não há dúvida, portanto, de que não se trata de norma que pretendeu revisão geral anual de remuneração dos servidores públicos, mas de norma específica, das respectivas Casas Legislativas, concedendo majoração de remuneração a seus servidores. A CF, em seu art. 37, X, na redação que lhe foi dada pela EC 19/1998, estabeleceu expressamente que a remuneração dos servidores públicos somente poderá ser fixada ou alterada por lei específica, observada a iniciativa priv</w:t>
      </w:r>
    </w:p>
    <w:p>
      <w:pPr>
        <w:ind w:left="288"/>
      </w:pPr>
      <w:r>
        <w:rPr>
          <w:b/>
          <w:color w:val="003CA0"/>
          <w:sz w:val="16"/>
        </w:rPr>
        <w:t>[ADI 3.599, voto do rel. min. Gilmar Mendes, j. 21-5-2007, P, DJ de 14-9-2007.]</w:t>
      </w:r>
    </w:p>
    <w:p>
      <w:pPr>
        <w:ind w:left="288"/>
      </w:pPr>
      <w:r>
        <w:rPr>
          <w:color w:val="8C8C8C"/>
          <w:sz w:val="12"/>
        </w:rPr>
        <w:t>cf-art-51-inc-III</w:t>
      </w:r>
      <w:r>
        <w:rPr>
          <w:color w:val="003CA0"/>
          <w:sz w:val="12"/>
        </w:rPr>
        <w:t xml:space="preserve"> | ADI 3.369</w:t>
      </w:r>
      <w:r>
        <w:rPr>
          <w:color w:val="003CA0"/>
          <w:sz w:val="12"/>
        </w:rPr>
        <w:t xml:space="preserve"> | rel. Carlos Velloso</w:t>
      </w:r>
    </w:p>
    <w:p>
      <w:pPr>
        <w:ind w:left="288"/>
      </w:pPr>
      <w:r>
        <w:rPr>
          <w:color w:val="1E1E1E"/>
          <w:sz w:val="18"/>
        </w:rPr>
        <w:t>Em tema de remuneração dos servidores públicos, estabelece a Constituição o princípio da reserva de lei. É dizer, em tema de remuneração dos servidores públicos, nada será feito senão mediante lei, lei específica. CF, art. 37, X; art. 51, IV; art. 52, XIII.</w:t>
      </w:r>
    </w:p>
    <w:p>
      <w:pPr>
        <w:ind w:left="288"/>
      </w:pPr>
      <w:r>
        <w:rPr>
          <w:b/>
          <w:color w:val="003CA0"/>
          <w:sz w:val="16"/>
        </w:rPr>
        <w:t>[ADI 3.369 MC, rel. min. Carlos Velloso, j. 16-12-2004, P, DJ de 18-2-2005.]</w:t>
      </w:r>
    </w:p>
    <w:p>
      <w:pPr>
        <w:ind w:left="288"/>
      </w:pPr>
      <w:r>
        <w:rPr>
          <w:color w:val="8C8C8C"/>
          <w:sz w:val="12"/>
        </w:rPr>
        <w:t>cf-art-51-inc-III</w:t>
      </w:r>
      <w:r>
        <w:rPr>
          <w:color w:val="003CA0"/>
          <w:sz w:val="12"/>
        </w:rPr>
        <w:t xml:space="preserve"> | ADI 3.306</w:t>
      </w:r>
      <w:r>
        <w:rPr>
          <w:color w:val="003CA0"/>
          <w:sz w:val="12"/>
        </w:rPr>
        <w:t xml:space="preserve"> | rel. Gilmar Mendes</w:t>
      </w:r>
    </w:p>
    <w:p>
      <w:pPr>
        <w:ind w:left="288"/>
      </w:pPr>
      <w:r>
        <w:rPr>
          <w:color w:val="1E1E1E"/>
          <w:sz w:val="18"/>
        </w:rPr>
        <w:t>= ADI 3.306, rel. min. Gilmar Mendes, j. 17-3-2011, P, DJE de 7-6-2011 Por expressa previsão constitucional, apenas as Casas do Congresso gozavam da prerrogativa de aumentar os vencimentos de seus servidores por ato interno de suas Mesas Diretoras (arts. 51, IV, e 52, XIII, na redação original), o que não ocorre com o TCU, que, a teor do art. 73, exerce, no que couber, as atribuições previstas no art. 96, relativas aos tribunais. A nova redação dada aos arts. 51, IV, e 52, XIII, pelos arts. 9º e 10 da EC 19/1998 não alterou essa situação, porque as resoluções do Senado e da Câmara foram recepc</w:t>
      </w:r>
    </w:p>
    <w:p>
      <w:pPr>
        <w:ind w:left="288"/>
      </w:pPr>
      <w:r>
        <w:rPr>
          <w:b/>
          <w:color w:val="003CA0"/>
          <w:sz w:val="16"/>
        </w:rPr>
        <w:t>[ADI 1.782, rel. min. Maurício Corrêa, j. 9-9-1999, P, DJ de 15-10-1999.]</w:t>
      </w:r>
    </w:p>
    <w:p>
      <w:pPr>
        <w:ind w:left="288"/>
      </w:pPr>
      <w:r>
        <w:rPr>
          <w:color w:val="8C8C8C"/>
          <w:sz w:val="12"/>
        </w:rPr>
        <w:t>cf-art-51-inc-V</w:t>
      </w:r>
    </w:p>
    <w:p>
      <w:pPr>
        <w:ind w:left="288"/>
      </w:pPr>
      <w:r>
        <w:rPr>
          <w:color w:val="1E1E1E"/>
          <w:sz w:val="18"/>
        </w:rPr>
        <w:t>Seção IV Do Senado Federal SUMÁRIO</w:t>
      </w:r>
    </w:p>
    <w:p>
      <w:pPr>
        <w:ind w:left="720"/>
      </w:pPr>
      <w:r>
        <w:rPr>
          <w:color w:val="003366"/>
          <w:sz w:val="18"/>
        </w:rPr>
        <w:t>I – autorizar, por dois terços de seus membros, a instauração de processo contra</w:t>
      </w:r>
    </w:p>
    <w:p>
      <w:pPr>
        <w:ind w:left="720"/>
      </w:pPr>
      <w:r>
        <w:rPr>
          <w:color w:val="003366"/>
          <w:sz w:val="18"/>
        </w:rPr>
        <w:t>II – proceder à tomada de contas do Presidente da República, quando não apresent</w:t>
      </w:r>
    </w:p>
    <w:p>
      <w:pPr>
        <w:ind w:left="720"/>
      </w:pPr>
      <w:r>
        <w:rPr>
          <w:color w:val="003366"/>
          <w:sz w:val="18"/>
        </w:rPr>
        <w:t>III – elaborar seu regimento interno;</w:t>
        <w:br/>
        <w:t>IV &amp;#150; dispor sobre sua organização, fu</w:t>
      </w:r>
    </w:p>
    <w:p>
      <w:pPr>
        <w:ind w:left="720"/>
      </w:pPr>
      <w:r>
        <w:rPr>
          <w:color w:val="003366"/>
          <w:sz w:val="18"/>
        </w:rPr>
        <w:t>V – eleger membros do Conselho da República, nos termos do art. 89, VII.</w:t>
      </w:r>
    </w:p>
    <w:p>
      <w:pPr>
        <w:pStyle w:val="Heading3"/>
      </w:pPr>
      <w:r>
        <w:rPr>
          <w:color w:val="003366"/>
        </w:rPr>
        <w:t>Seção IV - DO SENADO FEDERAL</w:t>
      </w:r>
    </w:p>
    <w:p>
      <w:r>
        <w:rPr>
          <w:b/>
          <w:color w:val="003366"/>
          <w:sz w:val="20"/>
        </w:rPr>
        <w:t>Art. 52 Compete privativamente ao Senado Federal:</w:t>
      </w:r>
      <w:r>
        <w:rPr>
          <w:color w:val="8C8C8C"/>
          <w:sz w:val="14"/>
        </w:rPr>
        <w:t xml:space="preserve">  [26 decisoes]</w:t>
      </w:r>
    </w:p>
    <w:p>
      <w:pPr>
        <w:ind w:left="288"/>
      </w:pPr>
      <w:r>
        <w:rPr>
          <w:color w:val="8C8C8C"/>
          <w:sz w:val="12"/>
        </w:rPr>
        <w:t>cf-art-52</w:t>
      </w:r>
    </w:p>
    <w:p>
      <w:pPr>
        <w:ind w:left="288"/>
      </w:pPr>
      <w:r>
        <w:rPr>
          <w:color w:val="1E1E1E"/>
          <w:sz w:val="18"/>
        </w:rPr>
        <w:t>I - processar e julgar o Presidente e o Vice-Presidente da República nos crimes de responsabilidade, bem como os Ministros de Estado e os Comandantes da Marinha, do Exército e da Aeronáutica nos crimes da mesma natureza conexos com aqueles; (Redação da EC 23/1999)</w:t>
      </w:r>
    </w:p>
    <w:p>
      <w:pPr>
        <w:ind w:left="144"/>
      </w:pPr>
      <w:r>
        <w:rPr>
          <w:b/>
          <w:color w:val="B45A00"/>
          <w:sz w:val="16"/>
        </w:rPr>
        <w:t>CONTROLE CONCENTRADO</w:t>
      </w:r>
    </w:p>
    <w:p>
      <w:pPr>
        <w:ind w:left="288"/>
      </w:pPr>
      <w:r>
        <w:rPr>
          <w:color w:val="8C8C8C"/>
          <w:sz w:val="12"/>
        </w:rPr>
        <w:t>cf-art-52</w:t>
      </w:r>
      <w:r>
        <w:rPr>
          <w:color w:val="003CA0"/>
          <w:sz w:val="12"/>
        </w:rPr>
        <w:t xml:space="preserve"> | ADPF 378</w:t>
      </w:r>
    </w:p>
    <w:p>
      <w:pPr>
        <w:ind w:left="288"/>
      </w:pPr>
      <w:r>
        <w:rPr>
          <w:color w:val="1E1E1E"/>
          <w:sz w:val="18"/>
        </w:rPr>
        <w:t>Ao Senado compete, privativamente, processar e julgar o presidente (art. 52, I), locução que abrange a realização de um juízo inicial de instauração ou não do processo, isto é, de recebimento ou não da denúncia autorizada pela Câmara. (...) Por outro lado, há de se estender o rito relativamente abreviado da Lei 1.079/1950 para julgamento do impeachment pelo Senado, incorporando-se a ele uma etapa inicial de instauração ou não do processo, bem como uma etapa de pronúncia ou não do denunciado, tal como se fez em 1992. Estas são etapas essenciais ao exercício, pleno e pautado pelo devido processo</w:t>
      </w:r>
    </w:p>
    <w:p>
      <w:pPr>
        <w:ind w:left="288"/>
      </w:pPr>
      <w:r>
        <w:rPr>
          <w:b/>
          <w:color w:val="003CA0"/>
          <w:sz w:val="16"/>
        </w:rPr>
        <w:t>[ADPF 378 MC, red. do ac. min. Roberto Barroso, j. 16-12-2015, P, DJE de 8-3-2016.]</w:t>
      </w:r>
    </w:p>
    <w:p>
      <w:pPr>
        <w:ind w:left="144"/>
      </w:pPr>
      <w:r>
        <w:rPr>
          <w:b/>
          <w:color w:val="B45A00"/>
          <w:sz w:val="16"/>
        </w:rPr>
        <w:t>JULGADOS CORRELATOS</w:t>
      </w:r>
    </w:p>
    <w:p>
      <w:pPr>
        <w:ind w:left="288"/>
      </w:pPr>
      <w:r>
        <w:rPr>
          <w:color w:val="8C8C8C"/>
          <w:sz w:val="12"/>
        </w:rPr>
        <w:t>cf-art-52</w:t>
      </w:r>
      <w:r>
        <w:rPr>
          <w:color w:val="003CA0"/>
          <w:sz w:val="12"/>
        </w:rPr>
        <w:t xml:space="preserve"> | PET 3.240</w:t>
      </w:r>
    </w:p>
    <w:p>
      <w:pPr>
        <w:ind w:left="288"/>
      </w:pPr>
      <w:r>
        <w:rPr>
          <w:color w:val="1E1E1E"/>
          <w:sz w:val="18"/>
        </w:rPr>
        <w:t>Os agentes políticos, com exceção do Presidente da República, encontram-se sujeitos a um duplo regime sancionatório, de modo que se submetem tanto à responsabilização civil pelos atos de improbidade administrativa, quanto à responsabilização político-administrativa por crimes de responsabilidade. Não há qualquer impedimento à concorrência de esferas de responsabilização distintas, de modo que carece de fundamento constitucional a tentativa de imunizar os agentes políticos das sanções da ação de improbidade administrativa, a pretexto de que estas seriam absorvidas pelo crime de responsabilidade</w:t>
      </w:r>
    </w:p>
    <w:p>
      <w:pPr>
        <w:ind w:left="288"/>
      </w:pPr>
      <w:r>
        <w:rPr>
          <w:b/>
          <w:color w:val="003CA0"/>
          <w:sz w:val="16"/>
        </w:rPr>
        <w:t>[Pet 3.240 AgR, red. do ac. min. Roberto Barroso, j. 10-5-2018, P, DJE de 22-8-2018.]</w:t>
      </w:r>
    </w:p>
    <w:p>
      <w:pPr>
        <w:ind w:left="288"/>
      </w:pPr>
      <w:r>
        <w:rPr>
          <w:color w:val="8C8C8C"/>
          <w:sz w:val="12"/>
        </w:rPr>
        <w:t>cf-art-52</w:t>
      </w:r>
      <w:r>
        <w:rPr>
          <w:color w:val="003CA0"/>
          <w:sz w:val="12"/>
        </w:rPr>
        <w:t xml:space="preserve"> | PET 1.656</w:t>
      </w:r>
      <w:r>
        <w:rPr>
          <w:color w:val="003CA0"/>
          <w:sz w:val="12"/>
        </w:rPr>
        <w:t xml:space="preserve"> | rel. Maurício Corrêa</w:t>
      </w:r>
    </w:p>
    <w:p>
      <w:pPr>
        <w:ind w:left="288"/>
      </w:pPr>
      <w:r>
        <w:rPr>
          <w:color w:val="1E1E1E"/>
          <w:sz w:val="18"/>
        </w:rPr>
        <w:t>O processo de impeachment dos ministros de Estado, por crimes de responsabilidade autônomos, não conexos com infrações da mesma natureza do presidente da República, ostenta caráter jurisdicional, devendo ser instruído e julgado pelo STF. Inaplicabilidade do disposto nos arts. 51, I, e 52, I, da Carta de 1988 e 14 da Lei 1.079/1950, dado que é prescindível autorização política da Câmara dos Deputados para a sua instauração.</w:t>
      </w:r>
    </w:p>
    <w:p>
      <w:pPr>
        <w:ind w:left="288"/>
      </w:pPr>
      <w:r>
        <w:rPr>
          <w:b/>
          <w:color w:val="003CA0"/>
          <w:sz w:val="16"/>
        </w:rPr>
        <w:t>[Pet 1.656, rel. min. Maurício Corrêa, j. 11-9-2002, P, DJ de 1º-8-2003.]</w:t>
      </w:r>
    </w:p>
    <w:p>
      <w:pPr>
        <w:ind w:left="288"/>
      </w:pPr>
      <w:r>
        <w:rPr>
          <w:color w:val="8C8C8C"/>
          <w:sz w:val="12"/>
        </w:rPr>
        <w:t>cf-art-52</w:t>
      </w:r>
      <w:r>
        <w:rPr>
          <w:color w:val="003CA0"/>
          <w:sz w:val="12"/>
        </w:rPr>
        <w:t xml:space="preserve"> | MS 21.623</w:t>
      </w:r>
      <w:r>
        <w:rPr>
          <w:color w:val="003CA0"/>
          <w:sz w:val="12"/>
        </w:rPr>
        <w:t xml:space="preserve"> | rel. Carlos Velloso</w:t>
      </w:r>
    </w:p>
    <w:p>
      <w:pPr>
        <w:ind w:left="288"/>
      </w:pPr>
      <w:r>
        <w:rPr>
          <w:color w:val="1E1E1E"/>
          <w:sz w:val="18"/>
        </w:rPr>
        <w:t xml:space="preserve">Impedimento e suspeição de senadores: inocorrência. O Senado, posto investido da função de julgar o presidente da República, não se transforma, às inteiras, num tribunal judiciário submetido às rígidas regras a que estão sujeitos os órgãos do Poder Judiciário, já que o Senado é um órgão político. Quando a Câmara Legislativa – o Senado Federal – se investe de "função judicialiforme", a fim de processar e julgar a acusação, ela se submete, é certo, a regras jurídicas, regras, entretanto, próprias, que o legislador previamente fixou e que compõem o processo político-penal. Regras de impedimento: </w:t>
      </w:r>
    </w:p>
    <w:p>
      <w:pPr>
        <w:ind w:left="288"/>
      </w:pPr>
      <w:r>
        <w:rPr>
          <w:b/>
          <w:color w:val="003CA0"/>
          <w:sz w:val="16"/>
        </w:rPr>
        <w:t>[MS 21.623, rel. min. Carlos Velloso, j. 17-12-1992, P, DJ de 28-5-1993.]</w:t>
      </w:r>
    </w:p>
    <w:p>
      <w:pPr>
        <w:ind w:left="288"/>
      </w:pPr>
      <w:r>
        <w:rPr>
          <w:color w:val="8C8C8C"/>
          <w:sz w:val="12"/>
        </w:rPr>
        <w:t>cf-art-52</w:t>
      </w:r>
    </w:p>
    <w:p>
      <w:pPr>
        <w:ind w:left="288"/>
      </w:pPr>
      <w:r>
        <w:rPr>
          <w:color w:val="1E1E1E"/>
          <w:sz w:val="18"/>
        </w:rPr>
        <w:t>II - processar e julgar os Ministros do Supremo Tribunal Federal, os membros do Conselho Nacional de Justiça e do Conselho Nacional do Ministério Público, o Procurador-Geral da República e o Advogado-Geral da União nos crimes de responsabilidade; (Redação da EC 45/2004)</w:t>
      </w:r>
    </w:p>
    <w:p>
      <w:pPr>
        <w:ind w:left="288"/>
      </w:pPr>
      <w:r>
        <w:rPr>
          <w:color w:val="8C8C8C"/>
          <w:sz w:val="12"/>
        </w:rPr>
        <w:t>cf-art-52</w:t>
      </w:r>
      <w:r>
        <w:rPr>
          <w:color w:val="003CA0"/>
          <w:sz w:val="12"/>
        </w:rPr>
        <w:t xml:space="preserve"> | MS 34.592</w:t>
      </w:r>
      <w:r>
        <w:rPr>
          <w:color w:val="003CA0"/>
          <w:sz w:val="12"/>
        </w:rPr>
        <w:t xml:space="preserve"> | rel. Edson Fachin</w:t>
      </w:r>
    </w:p>
    <w:p>
      <w:pPr>
        <w:ind w:left="288"/>
      </w:pPr>
      <w:r>
        <w:rPr>
          <w:color w:val="1E1E1E"/>
          <w:sz w:val="18"/>
        </w:rPr>
        <w:t>Processo de impeachment. Ministro do STF. (...) Inexiste previsão legal de que os arquivamentos de denúncias por ausência de justa causa em processo de impeachment devam ser exercidos pela Mesa do Senado Federal, sendo inviável aplicar a regra de competência prevista para o recebimento de denúncia por crime de responsabilidade praticado por presidente da República, em que já houve um juízo prévio de admissibilidade na Câmara dos Deputados.</w:t>
        <w:br/>
        <w:t>[MS 34.592 AgR, rel. min. Edson Fachin, j. 6-10-2017, P, DJE de 23-10-2017.] Impeachment. Ministro do STF. (...) Na linha da jurisprudência firmada pelo Ple</w:t>
      </w:r>
    </w:p>
    <w:p>
      <w:pPr>
        <w:ind w:left="144"/>
      </w:pPr>
      <w:r>
        <w:rPr>
          <w:b/>
          <w:color w:val="B45A00"/>
          <w:sz w:val="16"/>
        </w:rPr>
        <w:t>CONTROLE CONCENTRADO</w:t>
      </w:r>
    </w:p>
    <w:p>
      <w:pPr>
        <w:ind w:left="288"/>
      </w:pPr>
      <w:r>
        <w:rPr>
          <w:color w:val="8C8C8C"/>
          <w:sz w:val="12"/>
        </w:rPr>
        <w:t>cf-art-52-inc-III-ali-a</w:t>
      </w:r>
      <w:r>
        <w:rPr>
          <w:color w:val="003CA0"/>
          <w:sz w:val="12"/>
        </w:rPr>
        <w:t xml:space="preserve"> | ADI 4.150</w:t>
      </w:r>
      <w:r>
        <w:rPr>
          <w:color w:val="003CA0"/>
          <w:sz w:val="12"/>
        </w:rPr>
        <w:t xml:space="preserve"> | rel. Marco Aurélio</w:t>
      </w:r>
    </w:p>
    <w:p>
      <w:pPr>
        <w:ind w:left="288"/>
      </w:pPr>
      <w:r>
        <w:rPr>
          <w:color w:val="1E1E1E"/>
          <w:sz w:val="18"/>
        </w:rPr>
        <w:t>Conflita com a CF norma da Carta do Estado que junge à aprovação da assembleia legislativa a escolha de candidato à vaga do quinto em tribunal.</w:t>
      </w:r>
    </w:p>
    <w:p>
      <w:pPr>
        <w:ind w:left="288"/>
      </w:pPr>
      <w:r>
        <w:rPr>
          <w:b/>
          <w:color w:val="003CA0"/>
          <w:sz w:val="16"/>
        </w:rPr>
        <w:t>[ADI 4.150, rel. min. Marco Aurélio, j. 25-2-2015, P, DJE de 19-3-2015.]</w:t>
      </w:r>
    </w:p>
    <w:p>
      <w:pPr>
        <w:ind w:left="144"/>
      </w:pPr>
      <w:r>
        <w:rPr>
          <w:b/>
          <w:color w:val="B45A00"/>
          <w:sz w:val="16"/>
        </w:rPr>
        <w:t>JULGADOS CORRELATOS</w:t>
      </w:r>
    </w:p>
    <w:p>
      <w:pPr>
        <w:ind w:left="288"/>
      </w:pPr>
      <w:r>
        <w:rPr>
          <w:color w:val="8C8C8C"/>
          <w:sz w:val="12"/>
        </w:rPr>
        <w:t>cf-art-52-inc-III-ali-b</w:t>
      </w:r>
      <w:r>
        <w:rPr>
          <w:color w:val="003CA0"/>
          <w:sz w:val="12"/>
        </w:rPr>
        <w:t xml:space="preserve"> | RCL 6.702</w:t>
      </w:r>
      <w:r>
        <w:rPr>
          <w:color w:val="003CA0"/>
          <w:sz w:val="12"/>
        </w:rPr>
        <w:t xml:space="preserve"> | rel. Ricardo Lewandowski</w:t>
      </w:r>
    </w:p>
    <w:p>
      <w:pPr>
        <w:ind w:left="288"/>
      </w:pPr>
      <w:r>
        <w:rPr>
          <w:color w:val="1E1E1E"/>
          <w:sz w:val="18"/>
        </w:rPr>
        <w:t>O cargo de conselheiro do Tribunal de Contas do Estado do Paraná reveste-se, à primeira vista, de natureza administrativa, uma vez que exerce a função de auxiliar do Legislativo no controle da administração pública. Aparente ocorrência de vícios que maculam o processo de escolha por parte da Assembleia Legislativa paranaense. À luz do princípio da simetria, o processo de escolha de membros do Tribunal de Contas pela Assembleia Legislativa, por votação aberta, ofende, a princípio, o art. 52, III, b, da Constituição.</w:t>
      </w:r>
    </w:p>
    <w:p>
      <w:pPr>
        <w:ind w:left="288"/>
      </w:pPr>
      <w:r>
        <w:rPr>
          <w:b/>
          <w:color w:val="003CA0"/>
          <w:sz w:val="16"/>
        </w:rPr>
        <w:t>[Rcl 6.702 MC-AgR, rel. min. Ricardo Lewandowski, j. 4-3-2009, P, DJE de 30-4-2009.]</w:t>
      </w:r>
    </w:p>
    <w:p>
      <w:pPr>
        <w:ind w:left="144"/>
      </w:pPr>
      <w:r>
        <w:rPr>
          <w:b/>
          <w:color w:val="B45A00"/>
          <w:sz w:val="16"/>
        </w:rPr>
        <w:t>CONTROLE CONCENTRADO</w:t>
      </w:r>
    </w:p>
    <w:p>
      <w:pPr>
        <w:ind w:left="288"/>
      </w:pPr>
      <w:r>
        <w:rPr>
          <w:color w:val="8C8C8C"/>
          <w:sz w:val="12"/>
        </w:rPr>
        <w:t>cf-art-52-inc-III-ali-f</w:t>
      </w:r>
      <w:r>
        <w:rPr>
          <w:color w:val="003CA0"/>
          <w:sz w:val="12"/>
        </w:rPr>
        <w:t xml:space="preserve"> | ADI 2.225</w:t>
      </w:r>
      <w:r>
        <w:rPr>
          <w:color w:val="003CA0"/>
          <w:sz w:val="12"/>
        </w:rPr>
        <w:t xml:space="preserve"> | rel. Dias Toffoli</w:t>
      </w:r>
    </w:p>
    <w:p>
      <w:pPr>
        <w:ind w:left="288"/>
      </w:pPr>
      <w:r>
        <w:rPr>
          <w:color w:val="1E1E1E"/>
          <w:sz w:val="18"/>
        </w:rPr>
        <w:t>A Corte já pacificou o entendimento de que não padece de nenhum vício constitucional a previsão de participação do Poder Legislativo na nomeação de dirigentes de autarquias ou fundações públicas. Trata-se de aplicação aos Estados-membros do parâmetro de simetria constante do art. 52, III, f, da CF, que submete ao crivo do Senado Federal a aprovação prévia dos indicados para ocupar determinados cargos definidos por lei. Nesses termos, são válidas as normas locais que subordinam a nomeação dos dirigentes de autarquias ou fundações públicas à prévia aprovação de assembleia legislativa, não havend</w:t>
      </w:r>
    </w:p>
    <w:p>
      <w:pPr>
        <w:ind w:left="288"/>
      </w:pPr>
      <w:r>
        <w:rPr>
          <w:b/>
          <w:color w:val="003CA0"/>
          <w:sz w:val="16"/>
        </w:rPr>
        <w:t>[ADI 2.225, rel. min. Dias Toffoli, j. 21-8-2014, P, DJE de 30-10-2014.]</w:t>
      </w:r>
    </w:p>
    <w:p>
      <w:pPr>
        <w:ind w:left="288"/>
      </w:pPr>
      <w:r>
        <w:rPr>
          <w:color w:val="8C8C8C"/>
          <w:sz w:val="12"/>
        </w:rPr>
        <w:t>cf-art-52-inc-VI</w:t>
      </w:r>
    </w:p>
    <w:p>
      <w:pPr>
        <w:ind w:left="288"/>
      </w:pPr>
      <w:r>
        <w:rPr>
          <w:color w:val="1E1E1E"/>
          <w:sz w:val="18"/>
        </w:rPr>
        <w:t>VII - dispor sobre limites globais e condições para as operações de crédito externo e interno da União, dos Estados, do Distrito Federal e dos Municípios, de suas autarquias e demais entidades controladas pelo Poder Público federal;</w:t>
      </w:r>
    </w:p>
    <w:p>
      <w:pPr>
        <w:ind w:left="288"/>
      </w:pPr>
      <w:r>
        <w:rPr>
          <w:color w:val="8C8C8C"/>
          <w:sz w:val="12"/>
        </w:rPr>
        <w:t>cf-art-52-inc-VI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 possibilidade de fixação por Estados e Municípios de limites de endividamento abaixo daqueles nacionalmente exigíveis não compromete competências do Senado Federal, materializando, ao contrário, prerrogativa que decorre naturalmente da autonomia política e financeira de cada Ente federado.</w:t>
        <w:br/>
        <w:t>[ADI 2.238, rel. min. Alexandre de Moraes, j. 24-6-2020, P, DJE de 15-9-2020.] Não caracterização como operação de crédito, para fins de submissão ao disposto no art. 52, inciso VII, da Constituição</w:t>
      </w:r>
    </w:p>
    <w:p>
      <w:pPr>
        <w:ind w:left="288"/>
      </w:pPr>
      <w:r>
        <w:rPr>
          <w:b/>
          <w:color w:val="003CA0"/>
          <w:sz w:val="16"/>
        </w:rPr>
        <w:t>[ADI 3.786, rel. min. Alexandre de Moraes, j. 3-10-2019, P, DJE de 18-12-2019.]</w:t>
      </w:r>
    </w:p>
    <w:p>
      <w:pPr>
        <w:ind w:left="288"/>
      </w:pPr>
      <w:r>
        <w:rPr>
          <w:color w:val="8C8C8C"/>
          <w:sz w:val="12"/>
        </w:rPr>
        <w:t>cf-art-52-inc-VI</w:t>
      </w:r>
      <w:r>
        <w:rPr>
          <w:color w:val="003CA0"/>
          <w:sz w:val="12"/>
        </w:rPr>
        <w:t xml:space="preserve"> | ADI 3.786</w:t>
      </w:r>
      <w:r>
        <w:rPr>
          <w:color w:val="003CA0"/>
          <w:sz w:val="12"/>
        </w:rPr>
        <w:t xml:space="preserve"> | rel. Alexandre de Moraes</w:t>
      </w:r>
    </w:p>
    <w:p>
      <w:pPr>
        <w:ind w:left="288"/>
      </w:pPr>
      <w:r>
        <w:rPr>
          <w:color w:val="1E1E1E"/>
          <w:sz w:val="18"/>
        </w:rPr>
        <w:t>Não caracterização como operação de crédito, para fins de submissão ao disposto no art. 52, inciso VII, da Constituição Federal, da autorização prevista pela Resolução do Senado Federal 33/2006, de cessão da Dívida Ativa de Estados, do Distrito Federal e de Municípios a instituições financeiras mediante emprego de endosso-mandato e antecipação de receita. A leitura constitucional do conceito de operações de crédito, incluída a por antecipação de receita, deve atentar para o de responsabilidade fiscal. Alteração na forma de cobrança da Dívida Ativa tributária e não tributária demanda tratamento</w:t>
      </w:r>
    </w:p>
    <w:p>
      <w:pPr>
        <w:ind w:left="288"/>
      </w:pPr>
      <w:r>
        <w:rPr>
          <w:color w:val="8C8C8C"/>
          <w:sz w:val="12"/>
        </w:rPr>
        <w:t>cf-art-52-inc-IX</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 possibilidade de fixação por Estados e Municípios de limites de endividamento abaixo daqueles nacionalmente exigíveis não compromete competências do Senado Federal, materializando, ao contrário, prerrogativa que decorre naturalmente da autonomia política e financeira de cada Ente federado.</w:t>
      </w:r>
    </w:p>
    <w:p>
      <w:pPr>
        <w:ind w:left="288"/>
      </w:pPr>
      <w:r>
        <w:rPr>
          <w:b/>
          <w:color w:val="003CA0"/>
          <w:sz w:val="16"/>
        </w:rPr>
        <w:t>[ADI 2.238, rel. min. Alexandre de Moraes, j. 24-6-2020, P, DJE de 15-9-2020.]</w:t>
      </w:r>
    </w:p>
    <w:p>
      <w:pPr>
        <w:ind w:left="288"/>
      </w:pPr>
      <w:r>
        <w:rPr>
          <w:color w:val="8C8C8C"/>
          <w:sz w:val="12"/>
        </w:rPr>
        <w:t>cf-art-52-inc-X</w:t>
      </w:r>
      <w:r>
        <w:rPr>
          <w:color w:val="003CA0"/>
          <w:sz w:val="12"/>
        </w:rPr>
        <w:t xml:space="preserve"> | ADI 3.929</w:t>
      </w:r>
      <w:r>
        <w:rPr>
          <w:color w:val="003CA0"/>
          <w:sz w:val="12"/>
        </w:rPr>
        <w:t xml:space="preserve"> | rel. Nunes Marques</w:t>
      </w:r>
    </w:p>
    <w:p>
      <w:pPr>
        <w:ind w:left="288"/>
      </w:pPr>
      <w:r>
        <w:rPr>
          <w:color w:val="1E1E1E"/>
          <w:sz w:val="18"/>
        </w:rPr>
        <w:t>A suspensão de eficácia de norma pelo Senado Federal, prevista no art. 52, X, da Constituição Federal, deve guardar correspondência com o que foi declarado inconstitucional pelo STF.</w:t>
      </w:r>
    </w:p>
    <w:p>
      <w:pPr>
        <w:ind w:left="288"/>
      </w:pPr>
      <w:r>
        <w:rPr>
          <w:b/>
          <w:color w:val="003CA0"/>
          <w:sz w:val="16"/>
        </w:rPr>
        <w:t>[ADI 3.929, rel. min. Nunes Marques, j. 08.09.2025, P, DJE de 03.10.2025.]</w:t>
      </w:r>
    </w:p>
    <w:p>
      <w:pPr>
        <w:ind w:left="288"/>
      </w:pPr>
      <w:r>
        <w:rPr>
          <w:color w:val="8C8C8C"/>
          <w:sz w:val="12"/>
        </w:rPr>
        <w:t>cf-art-52-inc-X</w:t>
      </w:r>
      <w:r>
        <w:rPr>
          <w:color w:val="003CA0"/>
          <w:sz w:val="12"/>
        </w:rPr>
        <w:t xml:space="preserve"> | ADI 3.406</w:t>
      </w:r>
      <w:r>
        <w:rPr>
          <w:color w:val="003CA0"/>
          <w:sz w:val="12"/>
        </w:rPr>
        <w:t xml:space="preserve"> | rel. Rosa Weber</w:t>
      </w:r>
    </w:p>
    <w:p>
      <w:pPr>
        <w:ind w:left="288"/>
      </w:pPr>
      <w:r>
        <w:rPr>
          <w:color w:val="1E1E1E"/>
          <w:sz w:val="18"/>
        </w:rPr>
        <w:t>Ao assegurar nível mínimo de proteção a ser necessariamente observado em todos os Estados da Federação, a Lei nº 9.055/1995, na condição de norma geral, não se impõe como obstáculo à maximização dessa proteção pelos Estados, ausente eficácia preemptiva da sua atuação legislativa, no exercício da competência concorrente. A Lei nº 3.579/2001 do Estado do Rio de Janeiro não excede dos limites da competência concorrente suplementar dos Estados, consentânea a proibição progressiva nela encartada com a diretriz norteadora da Lei nº 9.055/1995 (norma geral) (...). A despeito da nomenclatura, preceito</w:t>
      </w:r>
    </w:p>
    <w:p>
      <w:pPr>
        <w:ind w:left="288"/>
      </w:pPr>
      <w:r>
        <w:rPr>
          <w:b/>
          <w:color w:val="003CA0"/>
          <w:sz w:val="16"/>
        </w:rPr>
        <w:t>[ADI 3.406 e ADI 3.470, rel. min. Rosa Weber, j. 29-11-2017, P, DJE de 1-2-2019.]</w:t>
      </w:r>
    </w:p>
    <w:p>
      <w:pPr>
        <w:ind w:left="144"/>
      </w:pPr>
      <w:r>
        <w:rPr>
          <w:b/>
          <w:color w:val="B45A00"/>
          <w:sz w:val="16"/>
        </w:rPr>
        <w:t>JULGADOS CORRELATOS</w:t>
      </w:r>
    </w:p>
    <w:p>
      <w:pPr>
        <w:ind w:left="288"/>
      </w:pPr>
      <w:r>
        <w:rPr>
          <w:color w:val="8C8C8C"/>
          <w:sz w:val="12"/>
        </w:rPr>
        <w:t>cf-art-52-inc-X</w:t>
      </w:r>
      <w:r>
        <w:rPr>
          <w:color w:val="003CA0"/>
          <w:sz w:val="12"/>
        </w:rPr>
        <w:t xml:space="preserve"> | RE 387.271</w:t>
      </w:r>
      <w:r>
        <w:rPr>
          <w:color w:val="003CA0"/>
          <w:sz w:val="12"/>
        </w:rPr>
        <w:t xml:space="preserve"> | rel. Marco Aurélio</w:t>
      </w:r>
    </w:p>
    <w:p>
      <w:pPr>
        <w:ind w:left="288"/>
      </w:pPr>
      <w:r>
        <w:rPr>
          <w:color w:val="1E1E1E"/>
          <w:sz w:val="18"/>
        </w:rPr>
        <w:t>(...) o conflito de norma com preceito constitucional superveniente resolve-se no campo da não recepção, não cabendo a comunicação ao Senado prevista no inciso X do art. 52 da CF.</w:t>
      </w:r>
    </w:p>
    <w:p>
      <w:pPr>
        <w:ind w:left="288"/>
      </w:pPr>
      <w:r>
        <w:rPr>
          <w:b/>
          <w:color w:val="003CA0"/>
          <w:sz w:val="16"/>
        </w:rPr>
        <w:t>[RE 387.271, rel. min. Marco Aurélio, j. 8-8-2007, P, DJE de 1º-2-2008.]</w:t>
      </w:r>
    </w:p>
    <w:p>
      <w:pPr>
        <w:ind w:left="288"/>
      </w:pPr>
      <w:r>
        <w:rPr>
          <w:color w:val="8C8C8C"/>
          <w:sz w:val="12"/>
        </w:rPr>
        <w:t>cf-art-52-inc-X</w:t>
      </w:r>
      <w:r>
        <w:rPr>
          <w:color w:val="003CA0"/>
          <w:sz w:val="12"/>
        </w:rPr>
        <w:t xml:space="preserve"> | RE 199.293</w:t>
      </w:r>
      <w:r>
        <w:rPr>
          <w:color w:val="003CA0"/>
          <w:sz w:val="12"/>
        </w:rPr>
        <w:t xml:space="preserve"> | rel. Marco Aurélio</w:t>
      </w:r>
    </w:p>
    <w:p>
      <w:pPr>
        <w:ind w:left="288"/>
      </w:pPr>
      <w:r>
        <w:rPr>
          <w:color w:val="1E1E1E"/>
          <w:sz w:val="18"/>
        </w:rPr>
        <w:t>Assim, independentemente da preclusão maior, lançou-se ao mundo jurídico a determinação de que fosse comunicado o Legislativo municipal sobre a inconstitucionalidade declarada. Ora, tal decisão conflita com a ordem natural das coisas e, mais do que isso, com o preceito do art. 52, X, da CF, de observância obrigatória nos Estados federados, por encerrar verdadeiro princípio, segundo o qual, enquanto não fulminada em definitivo a lei, ante a pecha de inconstitucional, continua ela sendo de observância obrigatória. (...) Tratando-se de hipótese em que a competência para julgar originariamente a r</w:t>
      </w:r>
    </w:p>
    <w:p>
      <w:pPr>
        <w:ind w:left="288"/>
      </w:pPr>
      <w:r>
        <w:rPr>
          <w:b/>
          <w:color w:val="003CA0"/>
          <w:sz w:val="16"/>
        </w:rPr>
        <w:t>[RE 199.293, voto do rel. min. Marco Aurélio, j. 19-5-2004, P, DJ de 6-8-2004.]</w:t>
      </w:r>
    </w:p>
    <w:p>
      <w:pPr>
        <w:ind w:left="288"/>
      </w:pPr>
      <w:r>
        <w:rPr>
          <w:color w:val="8C8C8C"/>
          <w:sz w:val="12"/>
        </w:rPr>
        <w:t>cf-art-52-inc-XII</w:t>
      </w:r>
    </w:p>
    <w:p>
      <w:pPr>
        <w:ind w:left="288"/>
      </w:pPr>
      <w:r>
        <w:rPr>
          <w:color w:val="1E1E1E"/>
          <w:sz w:val="18"/>
        </w:rPr>
        <w:t>XIII - dispor sobre sua organização, funcionamento, polícia, criação, transformação ou extinção dos cargos, empregos e funções de seus serviços, e a iniciativa de lei para fixação da respectiva remuneração, observados os parâmetros estabelecidos na lei de diretrizes orçamentárias; (Redação da EC 19/1998)</w:t>
      </w:r>
    </w:p>
    <w:p>
      <w:pPr>
        <w:ind w:left="144"/>
      </w:pPr>
      <w:r>
        <w:rPr>
          <w:b/>
          <w:color w:val="B45A00"/>
          <w:sz w:val="16"/>
        </w:rPr>
        <w:t>CONTROLE CONCENTRADO</w:t>
      </w:r>
    </w:p>
    <w:p>
      <w:pPr>
        <w:ind w:left="288"/>
      </w:pPr>
      <w:r>
        <w:rPr>
          <w:color w:val="8C8C8C"/>
          <w:sz w:val="12"/>
        </w:rPr>
        <w:t>cf-art-52-inc-XII</w:t>
      </w:r>
      <w:r>
        <w:rPr>
          <w:color w:val="003CA0"/>
          <w:sz w:val="12"/>
        </w:rPr>
        <w:t xml:space="preserve"> | ADI 3.599</w:t>
      </w:r>
      <w:r>
        <w:rPr>
          <w:color w:val="003CA0"/>
          <w:sz w:val="12"/>
        </w:rPr>
        <w:t xml:space="preserve"> | rel. Gilmar Mendes</w:t>
      </w:r>
    </w:p>
    <w:p>
      <w:pPr>
        <w:ind w:left="288"/>
      </w:pPr>
      <w:r>
        <w:rPr>
          <w:color w:val="1E1E1E"/>
          <w:sz w:val="18"/>
        </w:rPr>
        <w:t>As normas que são objeto da presente ação direta alteram remuneração dos servidores das duas Casas Legislativas, majorando-a em 15%. Não há dúvida, portanto, de que não se trata de norma que pretendeu revisão geral anual de remuneração dos servidores públicos, mas de norma específica, das respectivas Casas Legislativas, concedendo majoração de remuneração a seus servidores. A CF, em seu art. 37, X, na redação que lhe foi dada pela EC 19/1998, estabeleceu expressamente que a remuneração dos servidores públicos somente poderá ser fixada ou alterada por lei específica, observada a iniciativa priv</w:t>
      </w:r>
    </w:p>
    <w:p>
      <w:pPr>
        <w:ind w:left="288"/>
      </w:pPr>
      <w:r>
        <w:rPr>
          <w:b/>
          <w:color w:val="003CA0"/>
          <w:sz w:val="16"/>
        </w:rPr>
        <w:t>[ADI 3.599, voto do rel. min. Gilmar Mendes, j. 21-5-2007, P, DJ de 14-9-2007.]</w:t>
      </w:r>
    </w:p>
    <w:p>
      <w:pPr>
        <w:ind w:left="288"/>
      </w:pPr>
      <w:r>
        <w:rPr>
          <w:color w:val="8C8C8C"/>
          <w:sz w:val="12"/>
        </w:rPr>
        <w:t>cf-art-52-inc-XII</w:t>
      </w:r>
      <w:r>
        <w:rPr>
          <w:color w:val="003CA0"/>
          <w:sz w:val="12"/>
        </w:rPr>
        <w:t xml:space="preserve"> | ADI 3.369</w:t>
      </w:r>
      <w:r>
        <w:rPr>
          <w:color w:val="003CA0"/>
          <w:sz w:val="12"/>
        </w:rPr>
        <w:t xml:space="preserve"> | rel. Carlos Velloso</w:t>
      </w:r>
    </w:p>
    <w:p>
      <w:pPr>
        <w:ind w:left="288"/>
      </w:pPr>
      <w:r>
        <w:rPr>
          <w:color w:val="1E1E1E"/>
          <w:sz w:val="18"/>
        </w:rPr>
        <w:t>Em tema de remuneração dos servidores públicos, estabelece a Constituição o princípio da reserva de lei. É dizer, em tema de remuneração dos servidores públicos, nada será feito senão mediante lei, lei específica. CF, art. 37, X; art. 51, IV; art. 52, XIII.</w:t>
      </w:r>
    </w:p>
    <w:p>
      <w:pPr>
        <w:ind w:left="288"/>
      </w:pPr>
      <w:r>
        <w:rPr>
          <w:b/>
          <w:color w:val="003CA0"/>
          <w:sz w:val="16"/>
        </w:rPr>
        <w:t>[ADI 3.369 MC, rel. min. Carlos Velloso, j. 16-12-2004, P, DJ de 18-2-2005.]</w:t>
      </w:r>
    </w:p>
    <w:p>
      <w:pPr>
        <w:ind w:left="288"/>
      </w:pPr>
      <w:r>
        <w:rPr>
          <w:color w:val="8C8C8C"/>
          <w:sz w:val="12"/>
        </w:rPr>
        <w:t>cf-art-52-inc-XII</w:t>
      </w:r>
      <w:r>
        <w:rPr>
          <w:color w:val="003CA0"/>
          <w:sz w:val="12"/>
        </w:rPr>
        <w:t xml:space="preserve"> | ADI 3.306</w:t>
      </w:r>
      <w:r>
        <w:rPr>
          <w:color w:val="003CA0"/>
          <w:sz w:val="12"/>
        </w:rPr>
        <w:t xml:space="preserve"> | rel. Gilmar Mendes</w:t>
      </w:r>
    </w:p>
    <w:p>
      <w:pPr>
        <w:ind w:left="288"/>
      </w:pPr>
      <w:r>
        <w:rPr>
          <w:color w:val="1E1E1E"/>
          <w:sz w:val="18"/>
        </w:rPr>
        <w:t>= ADI 3.306, rel. min. Gilmar Mendes, j. 17-3-2011, P, DJE de 7-6-2011 Por expressa previsão constitucional, apenas as Casas do Congresso gozavam da prerrogativa de aumentar os vencimentos de seus servidores por ato interno de suas Mesas Diretoras (arts. 51, IV, e 52, XIII, na redação original), o que não ocorre com o TCU, que, a teor do art. 73, exerce, no que couber, as atribuições previstas no art. 96, relativas aos tribunais. A nova redação dada aos arts. 51, IV, e 52, XIII, pelos arts. 9º e 10 da EC 19/1998, não alterou esta situação, porque as resoluções do Senado e da Câmara foram recep</w:t>
      </w:r>
    </w:p>
    <w:p>
      <w:pPr>
        <w:ind w:left="288"/>
      </w:pPr>
      <w:r>
        <w:rPr>
          <w:b/>
          <w:color w:val="003CA0"/>
          <w:sz w:val="16"/>
        </w:rPr>
        <w:t>[ADI 1.782, rel. min. Maurício Corrêa, j. 9-9-1999, P, DJ de 15-10-1999.]</w:t>
      </w:r>
    </w:p>
    <w:p>
      <w:pPr>
        <w:ind w:left="144"/>
      </w:pPr>
      <w:r>
        <w:rPr>
          <w:b/>
          <w:color w:val="B45A00"/>
          <w:sz w:val="16"/>
        </w:rPr>
        <w:t>JULGADOS CORRELATOS</w:t>
      </w:r>
    </w:p>
    <w:p>
      <w:pPr>
        <w:ind w:left="288"/>
      </w:pPr>
      <w:r>
        <w:rPr>
          <w:color w:val="8C8C8C"/>
          <w:sz w:val="12"/>
        </w:rPr>
        <w:t>cf-art-52-inc-XII</w:t>
      </w:r>
      <w:r>
        <w:rPr>
          <w:color w:val="003CA0"/>
          <w:sz w:val="12"/>
        </w:rPr>
        <w:t xml:space="preserve"> | MS 39.639</w:t>
      </w:r>
      <w:r>
        <w:rPr>
          <w:color w:val="003CA0"/>
          <w:sz w:val="12"/>
        </w:rPr>
        <w:t xml:space="preserve"> | rel. Cristiano Zanin</w:t>
      </w:r>
    </w:p>
    <w:p>
      <w:pPr>
        <w:ind w:left="288"/>
      </w:pPr>
      <w:r>
        <w:rPr>
          <w:color w:val="1E1E1E"/>
          <w:sz w:val="18"/>
        </w:rPr>
        <w:t>A autorização para realizar trabalho remoto, fora do país, sujeita-se à disciplina normativa aplicável ao órgão em que labora o servidor. Inexistência, no caso concreto, de norma explícita que atribua à impetrante o direito inexorável a trabalhar no exterior. Legislação que confere à Presidência do Senado competência discricionária para definir a organização de trabalho, com amparo no art. 52, XIII, da Constituição Federal.</w:t>
        <w:br/>
        <w:t>[MS 39.639 AgR-segundo, rel. min. Cristiano Zanin, j. 04.06.2024, 1ª T, DJE de 10.06.2024.] As Cartas de 1969 e de 1988 não conferiram poder normativo ao Senado Federal que</w:t>
      </w:r>
    </w:p>
    <w:p>
      <w:pPr>
        <w:ind w:left="288"/>
      </w:pPr>
      <w:r>
        <w:rPr>
          <w:color w:val="8C8C8C"/>
          <w:sz w:val="12"/>
        </w:rPr>
        <w:t>cf-art-52-inc-XII</w:t>
      </w:r>
      <w:r>
        <w:rPr>
          <w:color w:val="003CA0"/>
          <w:sz w:val="12"/>
        </w:rPr>
        <w:t xml:space="preserve"> | MS 34.418</w:t>
      </w:r>
      <w:r>
        <w:rPr>
          <w:color w:val="003CA0"/>
          <w:sz w:val="12"/>
        </w:rPr>
        <w:t xml:space="preserve"> | rel. Rosa Weber</w:t>
      </w:r>
    </w:p>
    <w:p>
      <w:pPr>
        <w:ind w:left="288"/>
      </w:pPr>
      <w:r>
        <w:rPr>
          <w:color w:val="1E1E1E"/>
          <w:sz w:val="18"/>
        </w:rPr>
        <w:t xml:space="preserve">Impeachment de Presidente da República. Votação no Senado Federal. Cisão de votações referentes à perda do cargo e à inabilitação, por oito anos, para o exercício de função pública (art. 52, parágrafo único, da Constituição Federal). (...) Sob o pálio da técnica, ainda que se pudesse dar guarida à tese da nulidade da segunda votação, observados os limites da via processual eleita, bem como os regulares efeitos jurídicos decorrentes da declaração de nulidade - retirar do mundo o ato anulado, para, se o caso, o seu refazimento -, exsurge óbice intransponível ao efeito buscado no writ, qual seja </w:t>
      </w:r>
    </w:p>
    <w:p>
      <w:pPr>
        <w:ind w:left="144"/>
      </w:pPr>
      <w:r>
        <w:rPr>
          <w:b/>
          <w:color w:val="B45A00"/>
          <w:sz w:val="16"/>
        </w:rPr>
        <w:t>CONTROLE CONCENTRADO</w:t>
      </w:r>
    </w:p>
    <w:p>
      <w:pPr>
        <w:ind w:left="288"/>
      </w:pPr>
      <w:r>
        <w:rPr>
          <w:color w:val="8C8C8C"/>
          <w:sz w:val="12"/>
        </w:rPr>
        <w:t>cf-art-52-inc-XII</w:t>
      </w:r>
      <w:r>
        <w:rPr>
          <w:color w:val="003CA0"/>
          <w:sz w:val="12"/>
        </w:rPr>
        <w:t xml:space="preserve"> | ADI 1.628</w:t>
      </w:r>
      <w:r>
        <w:rPr>
          <w:color w:val="003CA0"/>
          <w:sz w:val="12"/>
        </w:rPr>
        <w:t xml:space="preserve"> | rel. Eros Grau</w:t>
      </w:r>
    </w:p>
    <w:p>
      <w:pPr>
        <w:ind w:left="288"/>
      </w:pPr>
      <w:r>
        <w:rPr>
          <w:color w:val="1E1E1E"/>
          <w:sz w:val="18"/>
        </w:rPr>
        <w:t>(...) a Constituição de 1988, ao tratar dos crimes de responsabilidade, dispõe: "Art. 52. (...)" Para as autoridades que relaciona, a Constituição elevou o prazo de inabilitação de cinco para oito anos, podendo-se afirmar que, nesse ponto, o art. 2º da Lei 1.079/1950 não foi por ela recebido. Já em relação às autoridades estaduais, a Constituição foi omissa. Aí surge a indagação: o prazo constitucional se aplica por analogia – ou até por simetria – a essas autoridades? A Constituição não cuidando da questão no que se refere às autoridades estaduais, o preceito veiculado pelo art. 78 da Lei 1.0</w:t>
      </w:r>
    </w:p>
    <w:p>
      <w:pPr>
        <w:ind w:left="288"/>
      </w:pPr>
      <w:r>
        <w:rPr>
          <w:b/>
          <w:color w:val="003CA0"/>
          <w:sz w:val="16"/>
        </w:rPr>
        <w:t>[ADI 1.628, voto do rel. min. Eros Grau, j. 10-8-2006, P, DJ de 24-11-2006.]</w:t>
      </w:r>
    </w:p>
    <w:p>
      <w:pPr>
        <w:ind w:left="288"/>
      </w:pPr>
      <w:r>
        <w:rPr>
          <w:color w:val="8C8C8C"/>
          <w:sz w:val="12"/>
        </w:rPr>
        <w:t>cf-art-52-inc-XII</w:t>
      </w:r>
      <w:r>
        <w:rPr>
          <w:color w:val="003CA0"/>
          <w:sz w:val="12"/>
        </w:rPr>
        <w:t xml:space="preserve"> | MS 21.689</w:t>
      </w:r>
      <w:r>
        <w:rPr>
          <w:color w:val="003CA0"/>
          <w:sz w:val="12"/>
        </w:rPr>
        <w:t xml:space="preserve"> | rel. Carlos Velloso</w:t>
      </w:r>
    </w:p>
    <w:p>
      <w:pPr>
        <w:ind w:left="288"/>
      </w:pPr>
      <w:r>
        <w:rPr>
          <w:color w:val="1E1E1E"/>
          <w:sz w:val="18"/>
        </w:rPr>
        <w:t>A existência, no impeachment brasileiro, segundo a Constituição e o direito comum (CF, 1988, art. 52, parágrafo único; Lei 1.079, de 1950, arts. 2º, 33 e 34), de duas penas: a) perda do cargo; b) inabilitação, por oito anos, para o exercício de função pública. A renúncia ao cargo, apresentada na sessão de julgamento, quando já iniciado este, não paralisa o processo de impeachment. Os princípios constitucionais da impessoalidade e da moralidade administrativa (CF, art. 37). A jurisprudência do STF relativamente aos crimes de responsabilidade dos prefeitos municipais, na forma do DL 201, de 27-2</w:t>
      </w:r>
    </w:p>
    <w:p>
      <w:pPr>
        <w:ind w:left="720"/>
      </w:pPr>
      <w:r>
        <w:rPr>
          <w:color w:val="003366"/>
          <w:sz w:val="18"/>
        </w:rPr>
        <w:t xml:space="preserve">I – processar e julgar o Presidente e o Vice-Presidente da República nos crimes </w:t>
      </w:r>
    </w:p>
    <w:p>
      <w:pPr>
        <w:ind w:left="720"/>
      </w:pPr>
      <w:r>
        <w:rPr>
          <w:color w:val="003366"/>
          <w:sz w:val="18"/>
        </w:rPr>
        <w:t>III – aprovar previamente, por voto secreto, após argüição pública, a escolha de</w:t>
      </w:r>
    </w:p>
    <w:p>
      <w:pPr>
        <w:ind w:left="1008"/>
      </w:pPr>
      <w:r>
        <w:rPr>
          <w:color w:val="003366"/>
          <w:sz w:val="18"/>
        </w:rPr>
        <w:t>a) Magistrados, nos casos estabelecidos nesta Constituição;</w:t>
      </w:r>
    </w:p>
    <w:p>
      <w:pPr>
        <w:ind w:left="1008"/>
      </w:pPr>
      <w:r>
        <w:rPr>
          <w:color w:val="003366"/>
          <w:sz w:val="18"/>
        </w:rPr>
        <w:t>b) Ministros do Tribunal de Contas da União indicados pelo Presidente da Repúbli</w:t>
      </w:r>
    </w:p>
    <w:p>
      <w:pPr>
        <w:ind w:left="1008"/>
      </w:pPr>
      <w:r>
        <w:rPr>
          <w:color w:val="003366"/>
          <w:sz w:val="18"/>
        </w:rPr>
        <w:t>c) Governador de Território;</w:t>
      </w:r>
    </w:p>
    <w:p>
      <w:pPr>
        <w:ind w:left="1008"/>
      </w:pPr>
      <w:r>
        <w:rPr>
          <w:color w:val="003366"/>
          <w:sz w:val="18"/>
        </w:rPr>
        <w:t>d) Presidente e diretores do banco central;</w:t>
      </w:r>
    </w:p>
    <w:p>
      <w:pPr>
        <w:ind w:left="1008"/>
      </w:pPr>
      <w:r>
        <w:rPr>
          <w:color w:val="003366"/>
          <w:sz w:val="18"/>
        </w:rPr>
        <w:t>e) Procurador-Geral da República;</w:t>
      </w:r>
    </w:p>
    <w:p>
      <w:pPr>
        <w:ind w:left="1008"/>
      </w:pPr>
      <w:r>
        <w:rPr>
          <w:color w:val="003366"/>
          <w:sz w:val="18"/>
        </w:rPr>
        <w:t>f) titulares de outros cargos que a lei determinar;</w:t>
      </w:r>
    </w:p>
    <w:p>
      <w:pPr>
        <w:ind w:left="720"/>
      </w:pPr>
      <w:r>
        <w:rPr>
          <w:color w:val="003366"/>
          <w:sz w:val="18"/>
        </w:rPr>
        <w:t>IV – aprovar previamente, por voto secreto, após argüição em sessão secreta, a e</w:t>
      </w:r>
    </w:p>
    <w:p>
      <w:pPr>
        <w:ind w:left="720"/>
      </w:pPr>
      <w:r>
        <w:rPr>
          <w:color w:val="003366"/>
          <w:sz w:val="18"/>
        </w:rPr>
        <w:t xml:space="preserve">V – autorizar operações externas de natureza financeira, de interesse da União, </w:t>
      </w:r>
    </w:p>
    <w:p>
      <w:pPr>
        <w:ind w:left="720"/>
      </w:pPr>
      <w:r>
        <w:rPr>
          <w:color w:val="003366"/>
          <w:sz w:val="18"/>
        </w:rPr>
        <w:t>VI – fixar, por proposta do Presidente da República, limites globais para o mont</w:t>
      </w:r>
    </w:p>
    <w:p>
      <w:pPr>
        <w:ind w:left="720"/>
      </w:pPr>
      <w:r>
        <w:rPr>
          <w:color w:val="003366"/>
          <w:sz w:val="18"/>
        </w:rPr>
        <w:t>VII – dispor sobre limites globais e condições para as operações de crédito exte</w:t>
      </w:r>
    </w:p>
    <w:p>
      <w:pPr>
        <w:ind w:left="720"/>
      </w:pPr>
      <w:r>
        <w:rPr>
          <w:color w:val="003366"/>
          <w:sz w:val="18"/>
        </w:rPr>
        <w:t>VIII – dispor sobre limites e condições para a concessão de garantia da União em</w:t>
      </w:r>
    </w:p>
    <w:p>
      <w:pPr>
        <w:ind w:left="720"/>
      </w:pPr>
      <w:r>
        <w:rPr>
          <w:color w:val="003366"/>
          <w:sz w:val="18"/>
        </w:rPr>
        <w:t>IX – estabelecer limites globais e condições para o montante da dívida mobiliári</w:t>
      </w:r>
    </w:p>
    <w:p>
      <w:pPr>
        <w:ind w:left="720"/>
      </w:pPr>
      <w:r>
        <w:rPr>
          <w:color w:val="003366"/>
          <w:sz w:val="18"/>
        </w:rPr>
        <w:t>X – suspender a execução, no todo ou em parte, de lei declarada inconstitucional</w:t>
      </w:r>
    </w:p>
    <w:p>
      <w:pPr>
        <w:ind w:left="720"/>
      </w:pPr>
      <w:r>
        <w:rPr>
          <w:color w:val="003366"/>
          <w:sz w:val="18"/>
        </w:rPr>
        <w:t xml:space="preserve">XI – aprovar, por maioria absoluta e por voto secreto, a exoneração, de ofício, </w:t>
      </w:r>
    </w:p>
    <w:p>
      <w:pPr>
        <w:ind w:left="720"/>
      </w:pPr>
      <w:r>
        <w:rPr>
          <w:color w:val="003366"/>
          <w:sz w:val="18"/>
        </w:rPr>
        <w:t>XII – elaborar seu regimento interno;</w:t>
      </w:r>
    </w:p>
    <w:p>
      <w:pPr>
        <w:ind w:left="720"/>
      </w:pPr>
      <w:r>
        <w:rPr>
          <w:color w:val="003366"/>
          <w:sz w:val="18"/>
        </w:rPr>
        <w:t>XIII – dispor sobre sua organização, funcionamento, polícia, criação, transforma</w:t>
      </w:r>
    </w:p>
    <w:p>
      <w:pPr>
        <w:pStyle w:val="Heading3"/>
      </w:pPr>
      <w:r>
        <w:rPr>
          <w:color w:val="003366"/>
        </w:rPr>
        <w:t>Seção V - DOS DEPUTADOS E DOS SENADORES</w:t>
      </w:r>
    </w:p>
    <w:p>
      <w:r>
        <w:rPr>
          <w:b/>
          <w:color w:val="003366"/>
          <w:sz w:val="20"/>
        </w:rPr>
        <w:t>Art. 53 Os Deputados e Senadores são invioláveis, civil e penalmente, por quaisq</w:t>
      </w:r>
      <w:r>
        <w:rPr>
          <w:color w:val="8C8C8C"/>
          <w:sz w:val="14"/>
        </w:rPr>
        <w:t xml:space="preserve">  [39 decisoes]</w:t>
      </w:r>
    </w:p>
    <w:p>
      <w:pPr>
        <w:ind w:left="144"/>
      </w:pPr>
      <w:r>
        <w:rPr>
          <w:b/>
          <w:color w:val="B45A00"/>
          <w:sz w:val="16"/>
        </w:rPr>
        <w:t>SUMULA</w:t>
      </w:r>
    </w:p>
    <w:p>
      <w:pPr>
        <w:ind w:left="288"/>
      </w:pPr>
      <w:r>
        <w:rPr>
          <w:color w:val="8C8C8C"/>
          <w:sz w:val="12"/>
        </w:rPr>
        <w:t>cf-art-53</w:t>
      </w:r>
    </w:p>
    <w:p>
      <w:pPr>
        <w:ind w:left="288"/>
      </w:pPr>
      <w:r>
        <w:rPr>
          <w:color w:val="1E1E1E"/>
          <w:sz w:val="18"/>
        </w:rPr>
        <w:t>A imunidade parlamentar não se estende ao corréu sem essa prerrogativa.</w:t>
      </w:r>
    </w:p>
    <w:p>
      <w:pPr>
        <w:ind w:left="288"/>
      </w:pPr>
      <w:r>
        <w:rPr>
          <w:b/>
          <w:color w:val="003CA0"/>
          <w:sz w:val="16"/>
        </w:rPr>
        <w:t>[Súmula 245.]</w:t>
      </w:r>
    </w:p>
    <w:p>
      <w:pPr>
        <w:ind w:left="288"/>
      </w:pPr>
      <w:r>
        <w:rPr>
          <w:color w:val="8C8C8C"/>
          <w:sz w:val="12"/>
        </w:rPr>
        <w:t>cf-art-53</w:t>
      </w:r>
      <w:r>
        <w:rPr>
          <w:color w:val="003CA0"/>
          <w:sz w:val="12"/>
        </w:rPr>
        <w:t xml:space="preserve"> | RE 632.115</w:t>
      </w:r>
      <w:r>
        <w:rPr>
          <w:color w:val="003CA0"/>
          <w:sz w:val="12"/>
        </w:rPr>
        <w:t xml:space="preserve"> | rel. Luís Roberto Barroso</w:t>
      </w:r>
    </w:p>
    <w:p>
      <w:pPr>
        <w:ind w:left="288"/>
      </w:pPr>
      <w:r>
        <w:rPr>
          <w:color w:val="1E1E1E"/>
          <w:sz w:val="18"/>
        </w:rPr>
        <w:t>“1. A imunidade material parlamentar (art. 53, caput, c/c art. 27, § 1º, e art. 29, VIII, CF/1988) configura excludente da responsabilidade civil objetiva do Estado (art. 37, § 6º, CF/1988), afastando qualquer pretensão indenizatória em face do ente público por opiniões, palavras e votos cobertos por essa garantia. 2. Nas hipóteses em que a conduta do parlamentar extrapolar os limites da imunidade material, eventual responsabilização recairá de forma pessoal, direta e exclusiva sobre o próprio parlamentar, sob o regime de responsabilidade civil subjetiva.”</w:t>
      </w:r>
    </w:p>
    <w:p>
      <w:pPr>
        <w:ind w:left="288"/>
      </w:pPr>
      <w:r>
        <w:rPr>
          <w:b/>
          <w:color w:val="003CA0"/>
          <w:sz w:val="16"/>
        </w:rPr>
        <w:t>[RE 632.115, rel. min. Luís Roberto Barroso, j. 29.09.2025, P, DJE de 01.12.2025, Tema 950, com mérito julgado.]</w:t>
      </w:r>
    </w:p>
    <w:p>
      <w:pPr>
        <w:ind w:left="144"/>
      </w:pPr>
      <w:r>
        <w:rPr>
          <w:b/>
          <w:color w:val="B45A00"/>
          <w:sz w:val="16"/>
        </w:rPr>
        <w:t>JULGADOS CORRELATOS</w:t>
      </w:r>
    </w:p>
    <w:p>
      <w:pPr>
        <w:ind w:left="288"/>
      </w:pPr>
      <w:r>
        <w:rPr>
          <w:color w:val="8C8C8C"/>
          <w:sz w:val="12"/>
        </w:rPr>
        <w:t>cf-art-53</w:t>
      </w:r>
      <w:r>
        <w:rPr>
          <w:color w:val="003CA0"/>
          <w:sz w:val="12"/>
        </w:rPr>
        <w:t xml:space="preserve"> | INQ 4.781</w:t>
      </w:r>
      <w:r>
        <w:rPr>
          <w:color w:val="003CA0"/>
          <w:sz w:val="12"/>
        </w:rPr>
        <w:t xml:space="preserve"> | rel. Alexandre de Moraes</w:t>
      </w:r>
    </w:p>
    <w:p>
      <w:pPr>
        <w:ind w:left="288"/>
      </w:pPr>
      <w:r>
        <w:rPr>
          <w:color w:val="1E1E1E"/>
          <w:sz w:val="18"/>
        </w:rPr>
        <w:t>Não incidência da imunidade parlamentar prevista no caput, do art. 53, da Constituição Federal. A jurisprudência da CORTE é pacífica no sentido de que a garantia constitucional da imunidade parlamentar material somente incide no caso de as manifestações guardarem conexão com o desempenho da função legislativa ou que sejam proferidas em razão desta; não sendo possível utilizá-la como verdadeiro escudo protetivo para a prática de atividades ilícitas. As condutas praticadas pelo parlamentar foram perpetradas em âmbito virtual, por meio da publicação e divulgação de vídeos em mídia digital ("YouTu</w:t>
      </w:r>
    </w:p>
    <w:p>
      <w:pPr>
        <w:ind w:left="288"/>
      </w:pPr>
      <w:r>
        <w:rPr>
          <w:b/>
          <w:color w:val="003CA0"/>
          <w:sz w:val="16"/>
        </w:rPr>
        <w:t>[INQ 4.781 Ref, rel. min. Alexandre de Moraes, j. 17-2-2021, P, DJE de 14-5-2021.]</w:t>
      </w:r>
    </w:p>
    <w:p>
      <w:pPr>
        <w:ind w:left="288"/>
      </w:pPr>
      <w:r>
        <w:rPr>
          <w:color w:val="8C8C8C"/>
          <w:sz w:val="12"/>
        </w:rPr>
        <w:t>cf-art-53</w:t>
      </w:r>
      <w:r>
        <w:rPr>
          <w:color w:val="003CA0"/>
          <w:sz w:val="12"/>
        </w:rPr>
        <w:t xml:space="preserve"> | PET 7.174</w:t>
      </w:r>
      <w:r>
        <w:rPr>
          <w:color w:val="003CA0"/>
          <w:sz w:val="12"/>
        </w:rPr>
        <w:t xml:space="preserve"> | rel. Rosa Weber</w:t>
      </w:r>
    </w:p>
    <w:p>
      <w:pPr>
        <w:ind w:left="288"/>
      </w:pPr>
      <w:r>
        <w:rPr>
          <w:color w:val="1E1E1E"/>
          <w:sz w:val="18"/>
        </w:rPr>
        <w:t>A imunidade parlamentar pressupõe nexo de causalidade com o exercício do mandato. Declarações proferidas em contexto desvinculado das funções parlamentares não se encontram cobertas pela imunidade material.</w:t>
        <w:br/>
        <w:t xml:space="preserve">[PET 7.174, red. do ac. min. Marco Aurélio, j. 10-3-2020, 1ª T, DJE de 28-09-2020.] Deputado federal. Crime contra a honra. Nexo de implicação entre as declarações e o exercício do mandato. Imunidade parlamentar material. Alcance. Art. 53, caput, da CF. (...) A verbalização da representação parlamentar não contempla ofensas pessoais, via achincalhamentos ou licenciosidade da fala. Placita, </w:t>
      </w:r>
    </w:p>
    <w:p>
      <w:pPr>
        <w:ind w:left="288"/>
      </w:pPr>
      <w:r>
        <w:rPr>
          <w:b/>
          <w:color w:val="003CA0"/>
          <w:sz w:val="16"/>
        </w:rPr>
        <w:t>[Pet 5.714 AgR, rel. min. Rosa Weber, j. 28-11-2017, 1ª T, DJE de 13-12-2017.]</w:t>
      </w:r>
    </w:p>
    <w:p>
      <w:pPr>
        <w:ind w:left="288"/>
      </w:pPr>
      <w:r>
        <w:rPr>
          <w:color w:val="8C8C8C"/>
          <w:sz w:val="12"/>
        </w:rPr>
        <w:t>cf-art-53</w:t>
      </w:r>
      <w:r>
        <w:rPr>
          <w:color w:val="003CA0"/>
          <w:sz w:val="12"/>
        </w:rPr>
        <w:t xml:space="preserve"> | PET 5.705</w:t>
      </w:r>
      <w:r>
        <w:rPr>
          <w:color w:val="003CA0"/>
          <w:sz w:val="12"/>
        </w:rPr>
        <w:t xml:space="preserve"> | rel. Luiz Fux</w:t>
      </w:r>
    </w:p>
    <w:p>
      <w:pPr>
        <w:ind w:left="288"/>
      </w:pPr>
      <w:r>
        <w:rPr>
          <w:color w:val="1E1E1E"/>
          <w:sz w:val="18"/>
        </w:rPr>
        <w:t>O animus difamandi conduz, nesta fase, ao recebimento da queixa-crime. a) A imunidade parlamentar material cobra, para sua incidência no momento do recebimento da denúncia, a constatação, primo ictu occuli, do liame direto entre o fato apontado como crime contra a honra e o exercício do mandato parlamentar, pelo ofensor. A liberdade de opinião e manifestação do parlamentar, ratione muneris, impõe contornos à imunidade material, nos limites estritamente necessários à defesa do mandato contra o arbítrio, à luz do princípio republicano que norteia a CF. A imunidade parlamentar material, estabelec</w:t>
      </w:r>
    </w:p>
    <w:p>
      <w:pPr>
        <w:ind w:left="288"/>
      </w:pPr>
      <w:r>
        <w:rPr>
          <w:b/>
          <w:color w:val="003CA0"/>
          <w:sz w:val="16"/>
        </w:rPr>
        <w:t>[Inq 3.932 e Pet 5.243, rel. min. Luiz Fux, j. 21-6-2016, 1ª T, DJE de 9-9-2016.]</w:t>
      </w:r>
    </w:p>
    <w:p>
      <w:pPr>
        <w:ind w:left="288"/>
      </w:pPr>
      <w:r>
        <w:rPr>
          <w:color w:val="8C8C8C"/>
          <w:sz w:val="12"/>
        </w:rPr>
        <w:t>cf-art-53</w:t>
      </w:r>
      <w:r>
        <w:rPr>
          <w:color w:val="003CA0"/>
          <w:sz w:val="12"/>
        </w:rPr>
        <w:t xml:space="preserve"> | INQ 1.958</w:t>
      </w:r>
      <w:r>
        <w:rPr>
          <w:color w:val="003CA0"/>
          <w:sz w:val="12"/>
        </w:rPr>
        <w:t xml:space="preserve"> | rel. Roberto Barroso</w:t>
      </w:r>
    </w:p>
    <w:p>
      <w:pPr>
        <w:ind w:left="288"/>
      </w:pPr>
      <w:r>
        <w:rPr>
          <w:color w:val="1E1E1E"/>
          <w:sz w:val="18"/>
        </w:rPr>
        <w:t>Vide Inq 1.958, red. do ac. min. Ayres Britto, j. 29-10-2003, P, DJ de 18-2-2005 Art. 53 da CF. Imunidade parlamentar. Ofensas em entrevistas a meios de comunicação de massa e em postagens na rede social WhatsApp. (...) Imunidade parlamentar. A vinculação da declaração com o desempenho do mandato deve ser aferida com base no alcance das atribuições dos parlamentares. As "funções parlamentares abrangem, além da elaboração de leis, a fiscalização dos outros Poderes e, de modo ainda mais amplo, o debate de ideias, fundamental para o desenvolvimento da democracia" – RE 600.063 RG, rel. p/ ac. min.</w:t>
      </w:r>
    </w:p>
    <w:p>
      <w:pPr>
        <w:ind w:left="288"/>
      </w:pPr>
      <w:r>
        <w:rPr>
          <w:b/>
          <w:color w:val="003CA0"/>
          <w:sz w:val="16"/>
        </w:rPr>
        <w:t>[AO 2.002, rel. min. Gilmar Mendes, j. 2-2-2016, 2ª T, DJE de 26-2-2016.]</w:t>
      </w:r>
    </w:p>
    <w:p>
      <w:pPr>
        <w:ind w:left="288"/>
      </w:pPr>
      <w:r>
        <w:rPr>
          <w:color w:val="8C8C8C"/>
          <w:sz w:val="12"/>
        </w:rPr>
        <w:t>cf-art-53</w:t>
      </w:r>
      <w:r>
        <w:rPr>
          <w:color w:val="003CA0"/>
          <w:sz w:val="12"/>
        </w:rPr>
        <w:t xml:space="preserve"> | AC 3.883</w:t>
      </w:r>
      <w:r>
        <w:rPr>
          <w:color w:val="003CA0"/>
          <w:sz w:val="12"/>
        </w:rPr>
        <w:t xml:space="preserve"> | rel. Celso de Mello</w:t>
      </w:r>
    </w:p>
    <w:p>
      <w:pPr>
        <w:ind w:left="288"/>
      </w:pPr>
      <w:r>
        <w:rPr>
          <w:color w:val="1E1E1E"/>
          <w:sz w:val="18"/>
        </w:rPr>
        <w:t>A incidência da imunidade parlamentar material – por tornar inviável o ajuizamento da ação penal de conhecimento e da ação de indenização civil, ambas de índole principal – afeta a possibilidade jurídica de formulação e, até mesmo, de processamento do próprio pedido de explicações, em face da natureza meramente acessória de que se reveste tal providência de ordem cautelar. (...) Onde não couber a responsabilização penal e/ou civil do congressista por delitos contra a honra, porque amparado pela garantia constitucional da imunidade parlamentar material, aí também não se viabilizará a utilização</w:t>
      </w:r>
    </w:p>
    <w:p>
      <w:pPr>
        <w:ind w:left="288"/>
      </w:pPr>
      <w:r>
        <w:rPr>
          <w:b/>
          <w:color w:val="003CA0"/>
          <w:sz w:val="16"/>
        </w:rPr>
        <w:t>[AC 3.883 AgR, rel. min. Celso de Mello, j. 10-11-2015, 2ª T, DJE de 1º-2-2016.]</w:t>
      </w:r>
    </w:p>
    <w:p>
      <w:pPr>
        <w:ind w:left="288"/>
      </w:pPr>
      <w:r>
        <w:rPr>
          <w:color w:val="8C8C8C"/>
          <w:sz w:val="12"/>
        </w:rPr>
        <w:t>cf-art-53</w:t>
      </w:r>
      <w:r>
        <w:rPr>
          <w:color w:val="003CA0"/>
          <w:sz w:val="12"/>
        </w:rPr>
        <w:t xml:space="preserve"> | INQ 2.332</w:t>
      </w:r>
      <w:r>
        <w:rPr>
          <w:color w:val="003CA0"/>
          <w:sz w:val="12"/>
        </w:rPr>
        <w:t xml:space="preserve"> | rel. Celso de Mello</w:t>
      </w:r>
    </w:p>
    <w:p>
      <w:pPr>
        <w:ind w:left="288"/>
      </w:pPr>
      <w:r>
        <w:rPr>
          <w:color w:val="1E1E1E"/>
          <w:sz w:val="18"/>
        </w:rPr>
        <w:t>A cláusula de inviolabilidade constitucional, que impede a responsabilização penal e/ou civil do membro do Congresso Nacional, por suas palavras, opiniões e votos, também abrange, sob seu manto protetor, as entrevistas jornalísticas, a transmissão, para a imprensa, do conteúdo de pronunciamentos ou de relatórios produzidos nas Casas Legislativas e as declarações feitas aos meios de comunicação social, eis que tais manifestações – desde que vinculadas ao desempenho do mandato – qualificam-se como natural projeção do exercício das atividades parlamentares.</w:t>
      </w:r>
    </w:p>
    <w:p>
      <w:pPr>
        <w:ind w:left="288"/>
      </w:pPr>
      <w:r>
        <w:rPr>
          <w:b/>
          <w:color w:val="003CA0"/>
          <w:sz w:val="16"/>
        </w:rPr>
        <w:t>[Inq 2.332 AgR, rel. min. Celso de Mello, j. 10-2-2011, P, DJE de 1º-3-2011.]</w:t>
      </w:r>
    </w:p>
    <w:p>
      <w:pPr>
        <w:ind w:left="288"/>
      </w:pPr>
      <w:r>
        <w:rPr>
          <w:color w:val="8C8C8C"/>
          <w:sz w:val="12"/>
        </w:rPr>
        <w:t>cf-art-53</w:t>
      </w:r>
      <w:r>
        <w:rPr>
          <w:color w:val="003CA0"/>
          <w:sz w:val="12"/>
        </w:rPr>
        <w:t xml:space="preserve"> | INQ 2.815</w:t>
      </w:r>
      <w:r>
        <w:rPr>
          <w:color w:val="003CA0"/>
          <w:sz w:val="12"/>
        </w:rPr>
        <w:t xml:space="preserve"> | rel. Marco Aurélio</w:t>
      </w:r>
    </w:p>
    <w:p>
      <w:pPr>
        <w:ind w:left="288"/>
      </w:pPr>
      <w:r>
        <w:rPr>
          <w:color w:val="1E1E1E"/>
          <w:sz w:val="18"/>
        </w:rPr>
        <w:t>Ante a imunidade prevista no art. 53 da Carta Federal, a utilização da tribuna da Casa Legislativa, considerado certo contexto ligado a frustrada CPI, apontando-se corrupção em órgão público, não enseja ação penal.</w:t>
      </w:r>
    </w:p>
    <w:p>
      <w:pPr>
        <w:ind w:left="288"/>
      </w:pPr>
      <w:r>
        <w:rPr>
          <w:b/>
          <w:color w:val="003CA0"/>
          <w:sz w:val="16"/>
        </w:rPr>
        <w:t>[Inq 2.815 AgR-ED, rel. min. Marco Aurélio, j. 25-11-2009, P, DJE de 18-12-2009.]</w:t>
      </w:r>
    </w:p>
    <w:p>
      <w:pPr>
        <w:ind w:left="288"/>
      </w:pPr>
      <w:r>
        <w:rPr>
          <w:color w:val="8C8C8C"/>
          <w:sz w:val="12"/>
        </w:rPr>
        <w:t>cf-art-53</w:t>
      </w:r>
      <w:r>
        <w:rPr>
          <w:color w:val="003CA0"/>
          <w:sz w:val="12"/>
        </w:rPr>
        <w:t xml:space="preserve"> | INQ 2.297</w:t>
      </w:r>
      <w:r>
        <w:rPr>
          <w:color w:val="003CA0"/>
          <w:sz w:val="12"/>
        </w:rPr>
        <w:t xml:space="preserve"> | rel. Cármen Lúcia</w:t>
      </w:r>
    </w:p>
    <w:p>
      <w:pPr>
        <w:ind w:left="288"/>
      </w:pPr>
      <w:r>
        <w:rPr>
          <w:color w:val="1E1E1E"/>
          <w:sz w:val="18"/>
        </w:rPr>
        <w:t>Inquérito. Ação penal privada. Queixa-crime oferecida contra deputado federal e jornalista. Pretensas ofensas praticadas pelo primeiro querelado e publicadas pela segunda querelada em matéria jornalística (...). As afirmações tidas como ofensivas pelo querelante foram feitas no exercício do mandato parlamentar, por ter o querelado se manifestado na condição de deputado federal e de presidente da Câmara, não sendo possível desvincular aquelas afirmações do exercício da ampla liberdade de expressão, típica da atividade parlamentar (art. 51 da Constituição da República). O art. 53 da Constituição</w:t>
      </w:r>
    </w:p>
    <w:p>
      <w:pPr>
        <w:ind w:left="288"/>
      </w:pPr>
      <w:r>
        <w:rPr>
          <w:b/>
          <w:color w:val="003CA0"/>
          <w:sz w:val="16"/>
        </w:rPr>
        <w:t>[Inq 2.297, rel. min. Cármen Lúcia, j. 20-9-2007, P, DJ de 19-10-2007.]</w:t>
      </w:r>
    </w:p>
    <w:p>
      <w:pPr>
        <w:ind w:left="288"/>
      </w:pPr>
      <w:r>
        <w:rPr>
          <w:color w:val="8C8C8C"/>
          <w:sz w:val="12"/>
        </w:rPr>
        <w:t>cf-art-53</w:t>
      </w:r>
      <w:r>
        <w:rPr>
          <w:color w:val="003CA0"/>
          <w:sz w:val="12"/>
        </w:rPr>
        <w:t xml:space="preserve"> | RE 210.917</w:t>
      </w:r>
      <w:r>
        <w:rPr>
          <w:color w:val="003CA0"/>
          <w:sz w:val="12"/>
        </w:rPr>
        <w:t xml:space="preserve"> | rel. Sepúlveda Pertence</w:t>
      </w:r>
    </w:p>
    <w:p>
      <w:pPr>
        <w:ind w:left="288"/>
      </w:pPr>
      <w:r>
        <w:rPr>
          <w:color w:val="1E1E1E"/>
          <w:sz w:val="18"/>
        </w:rPr>
        <w:t>Imunidade parlamentar material: ofensa irrogada em Plenário, independente de conexão com o mandato, elide a responsabilidade civil por dano moral. Precedente: RE 210.917, 12-8-1998, Pertence, RTJ 177/1375.</w:t>
      </w:r>
    </w:p>
    <w:p>
      <w:pPr>
        <w:ind w:left="288"/>
      </w:pPr>
      <w:r>
        <w:rPr>
          <w:b/>
          <w:color w:val="003CA0"/>
          <w:sz w:val="16"/>
        </w:rPr>
        <w:t>[RE 463.671 AgR, rel. min. Sepúlveda Pertence, j. 19-6-2007, 1ª T, DJ de 3-8-2007.]</w:t>
      </w:r>
    </w:p>
    <w:p>
      <w:pPr>
        <w:ind w:left="288"/>
      </w:pPr>
      <w:r>
        <w:rPr>
          <w:color w:val="8C8C8C"/>
          <w:sz w:val="12"/>
        </w:rPr>
        <w:t>cf-art-53</w:t>
      </w:r>
      <w:r>
        <w:rPr>
          <w:color w:val="003CA0"/>
          <w:sz w:val="12"/>
        </w:rPr>
        <w:t xml:space="preserve"> | RE 577.785</w:t>
      </w:r>
      <w:r>
        <w:rPr>
          <w:color w:val="003CA0"/>
          <w:sz w:val="12"/>
        </w:rPr>
        <w:t xml:space="preserve"> | rel. Ricardo Lewandowski</w:t>
      </w:r>
    </w:p>
    <w:p>
      <w:pPr>
        <w:ind w:left="288"/>
      </w:pPr>
      <w:r>
        <w:rPr>
          <w:color w:val="1E1E1E"/>
          <w:sz w:val="18"/>
        </w:rPr>
        <w:t>= RE 577.785 AgR, rel. min. Ricardo Lewandowski, j. 1º-2-2011, 1ª T, DJE de 21-2-2011 A imunidade material prevista no art. 53, caput, da Constituição não é absoluta, pois somente se verifica nos casos em que a conduta possa ter alguma relação com o exercício do mandato parlamentar. Embora a atividade jornalística exercida pelo querelado não seja incompatível com atividade política, há indícios suficientemente robustos de que as declarações do querelado, além de exorbitarem o limite da simples opinião, foram por ele proferidas na condição exclusiva de jornalista.</w:t>
      </w:r>
    </w:p>
    <w:p>
      <w:pPr>
        <w:ind w:left="288"/>
      </w:pPr>
      <w:r>
        <w:rPr>
          <w:b/>
          <w:color w:val="003CA0"/>
          <w:sz w:val="16"/>
        </w:rPr>
        <w:t>[Inq 2.134, rel. min. Joaquim Barbosa, j. 23-3-2006, P, DJ de 2-2-2007.]</w:t>
      </w:r>
    </w:p>
    <w:p>
      <w:pPr>
        <w:ind w:left="288"/>
      </w:pPr>
      <w:r>
        <w:rPr>
          <w:color w:val="8C8C8C"/>
          <w:sz w:val="12"/>
        </w:rPr>
        <w:t>cf-art-53</w:t>
      </w:r>
      <w:r>
        <w:rPr>
          <w:color w:val="003CA0"/>
          <w:sz w:val="12"/>
        </w:rPr>
        <w:t xml:space="preserve"> | INQ 2.130</w:t>
      </w:r>
      <w:r>
        <w:rPr>
          <w:color w:val="003CA0"/>
          <w:sz w:val="12"/>
        </w:rPr>
        <w:t xml:space="preserve"> | rel. Ellen Gracie</w:t>
      </w:r>
    </w:p>
    <w:p>
      <w:pPr>
        <w:ind w:left="288"/>
      </w:pPr>
      <w:r>
        <w:rPr>
          <w:color w:val="1E1E1E"/>
          <w:sz w:val="18"/>
        </w:rPr>
        <w:t>A divulgação, em informativo eletrônico gerado em gabinete de deputado federal, na Câmara dos Deputados, de fatos que, em tese, configuram crimes contra a administração pública, não pode ser tida como desvinculada do exercício parlamentar, principalmente quando tais fatos ocorrem no Estado que o parlamentar representa no Congresso Nacional.</w:t>
      </w:r>
    </w:p>
    <w:p>
      <w:pPr>
        <w:ind w:left="288"/>
      </w:pPr>
      <w:r>
        <w:rPr>
          <w:b/>
          <w:color w:val="003CA0"/>
          <w:sz w:val="16"/>
        </w:rPr>
        <w:t>[Inq 2.130, rel. min. Ellen Gracie, j. 13-10-2004, P, DJ de 5-11-2004.]</w:t>
      </w:r>
    </w:p>
    <w:p>
      <w:pPr>
        <w:ind w:left="288"/>
      </w:pPr>
      <w:r>
        <w:rPr>
          <w:color w:val="8C8C8C"/>
          <w:sz w:val="12"/>
        </w:rPr>
        <w:t>cf-art-53</w:t>
      </w:r>
      <w:r>
        <w:rPr>
          <w:color w:val="003CA0"/>
          <w:sz w:val="12"/>
        </w:rPr>
        <w:t xml:space="preserve"> | INQ 390</w:t>
      </w:r>
    </w:p>
    <w:p>
      <w:pPr>
        <w:ind w:left="288"/>
      </w:pPr>
      <w:r>
        <w:rPr>
          <w:color w:val="1E1E1E"/>
          <w:sz w:val="18"/>
        </w:rPr>
        <w:t>A palavra "inviolabilidade" significa intocabilidade, intangibilidade do parlamentar quanto ao cometimento de crime ou contravenção. Tal inviolabilidade é de natureza material e decorre da função parlamentar, porque em jogo a representatividade do povo. O art. 53 da CF, com a redação da Emenda 35, não reeditou a ressalva quanto aos crimes contra a honra, prevista no art. 32 da EC 1, de 1969. Assim, é de se distinguir as situações em que as supostas ofensas são proferidas dentro e fora do Parlamento. Somente nessas últimas ofensas irrogadas fora do Parlamento é de se perquirir da chamada "conex</w:t>
      </w:r>
    </w:p>
    <w:p>
      <w:pPr>
        <w:ind w:left="288"/>
      </w:pPr>
      <w:r>
        <w:rPr>
          <w:b/>
          <w:color w:val="003CA0"/>
          <w:sz w:val="16"/>
        </w:rPr>
        <w:t>[Inq 1.958, red. do ac. min. Ayres Britto, j. 29-10-2003, P, DJ de 18-2-2005.]</w:t>
      </w:r>
    </w:p>
    <w:p>
      <w:pPr>
        <w:ind w:left="288"/>
      </w:pPr>
      <w:r>
        <w:rPr>
          <w:color w:val="8C8C8C"/>
          <w:sz w:val="12"/>
        </w:rPr>
        <w:t>cf-art-53</w:t>
      </w:r>
      <w:r>
        <w:rPr>
          <w:color w:val="003CA0"/>
          <w:sz w:val="12"/>
        </w:rPr>
        <w:t xml:space="preserve"> | INQ 2.295</w:t>
      </w:r>
      <w:r>
        <w:rPr>
          <w:color w:val="003CA0"/>
          <w:sz w:val="12"/>
        </w:rPr>
        <w:t xml:space="preserve"> | rel. Luiz Fux</w:t>
      </w:r>
    </w:p>
    <w:p>
      <w:pPr>
        <w:ind w:left="288"/>
      </w:pPr>
      <w:r>
        <w:rPr>
          <w:color w:val="1E1E1E"/>
          <w:sz w:val="18"/>
        </w:rPr>
        <w:t>= Inq 2.295, red. do ac. min. Menezes Direito, j. 23-10-2008, P, DJE de 5-6-2009 Vide Inq 3.932 e Pet 5.243, rel. min. Luiz Fux, j. 21-6-2016, 1ª T, DJE de 9-9-2016 A garantia constitucional da imunidade parlamentar em sentido material (CF, art. 53, caput) – destinada a viabilizar a prática independente, pelo membro do Congresso Nacional, do mandato legislativo de que é titular – não se estende ao congressista, quando, na condição de candidato a qualquer cargo eletivo, vem a ofender, moralmente, a honra de terceira pessoa, inclusive a de outros candidatos, em pronunciamento motivado por finali</w:t>
      </w:r>
    </w:p>
    <w:p>
      <w:pPr>
        <w:ind w:left="288"/>
      </w:pPr>
      <w:r>
        <w:rPr>
          <w:b/>
          <w:color w:val="003CA0"/>
          <w:sz w:val="16"/>
        </w:rPr>
        <w:t>[Inq 1.400 QO, rel. min. Celso de Mello, j. 4-12-2002, P, DJ de 10-10-2003.]</w:t>
      </w:r>
    </w:p>
    <w:p>
      <w:pPr>
        <w:ind w:left="288"/>
      </w:pPr>
      <w:r>
        <w:rPr>
          <w:color w:val="8C8C8C"/>
          <w:sz w:val="12"/>
        </w:rPr>
        <w:t>cf-art-53</w:t>
      </w:r>
      <w:r>
        <w:rPr>
          <w:color w:val="003CA0"/>
          <w:sz w:val="12"/>
        </w:rPr>
        <w:t xml:space="preserve"> | ARE 674.093</w:t>
      </w:r>
      <w:r>
        <w:rPr>
          <w:color w:val="003CA0"/>
          <w:sz w:val="12"/>
        </w:rPr>
        <w:t xml:space="preserve"> | rel. Gilmar Mendes</w:t>
      </w:r>
    </w:p>
    <w:p>
      <w:pPr>
        <w:ind w:left="288"/>
      </w:pPr>
      <w:r>
        <w:rPr>
          <w:color w:val="1E1E1E"/>
          <w:sz w:val="18"/>
        </w:rPr>
        <w:t xml:space="preserve">= ARE 674.093, rel. min. Gilmar Mendes, j. 20-3-2012, dec. monocrática, DJE de 26-3-2012 = AI 657.235 ED, rel. min. Joaquim Barbosa, j. 7-12-2010, 2ª T, DJE de 1º-2-2011 A garantia constitucional da imunidade parlamentar em sentido material (CF, art. 53, caput) – que representa um instrumento vital destinado a viabilizar o exercício independente do mandato representativo – somente protege o membro do Congresso Nacional, qualquer que seja o âmbito espacial (locus) em que este exerça a liberdade de opinião (ainda que fora do recinto da própria Casa legislativa), nas hipóteses específicas em que </w:t>
      </w:r>
    </w:p>
    <w:p>
      <w:pPr>
        <w:ind w:left="288"/>
      </w:pPr>
      <w:r>
        <w:rPr>
          <w:b/>
          <w:color w:val="003CA0"/>
          <w:sz w:val="16"/>
        </w:rPr>
        <w:t>[Inq 1.024 QO, rel. min. Celso de Mello, j. 21-11-2002, P, DJ de 4-3-2005.]</w:t>
      </w:r>
    </w:p>
    <w:p>
      <w:pPr>
        <w:ind w:left="288"/>
      </w:pPr>
      <w:r>
        <w:rPr>
          <w:color w:val="8C8C8C"/>
          <w:sz w:val="12"/>
        </w:rPr>
        <w:t>cf-art-53</w:t>
      </w:r>
      <w:r>
        <w:rPr>
          <w:color w:val="003CA0"/>
          <w:sz w:val="12"/>
        </w:rPr>
        <w:t xml:space="preserve"> | INQ 2.915</w:t>
      </w:r>
      <w:r>
        <w:rPr>
          <w:color w:val="003CA0"/>
          <w:sz w:val="12"/>
        </w:rPr>
        <w:t xml:space="preserve"> | rel. Luiz Fux</w:t>
      </w:r>
    </w:p>
    <w:p>
      <w:pPr>
        <w:ind w:left="288"/>
      </w:pPr>
      <w:r>
        <w:rPr>
          <w:color w:val="1E1E1E"/>
          <w:sz w:val="18"/>
        </w:rPr>
        <w:t>= Inq 2.915, rel. min. Luiz Fux, j. 9-5-2013, P, DJE de 31-5-2013 Com o advento da EC 35, de 20-12-2001, que deu nova redação ao art. 53 da CF, de 5-10-1988, os deputados e senadores já não gozam de imunidade processual, mas, apenas, de imunidade material, por suas opiniões, palavras e votos, proferidos, obviamente, no exercício do mandato ou em razão dele. Por crimes de outra natureza, respondem os parlamentares, perante esta Corte, agora sem necessidade de prévia licença da respectiva Casa Legislativa, como exigia o § 1º do art. 53 da CF, em sua redação originária.</w:t>
      </w:r>
    </w:p>
    <w:p>
      <w:pPr>
        <w:ind w:left="288"/>
      </w:pPr>
      <w:r>
        <w:rPr>
          <w:b/>
          <w:color w:val="003CA0"/>
          <w:sz w:val="16"/>
        </w:rPr>
        <w:t>[Inq 1.710, rel. min. Sydney Sanches, j. 27-2-2002, P, DJ de 28-6-2002.]</w:t>
      </w:r>
    </w:p>
    <w:p>
      <w:pPr>
        <w:ind w:left="288"/>
      </w:pPr>
      <w:r>
        <w:rPr>
          <w:color w:val="8C8C8C"/>
          <w:sz w:val="12"/>
        </w:rPr>
        <w:t>cf-art-53-par-1</w:t>
      </w:r>
      <w:r>
        <w:rPr>
          <w:color w:val="003CA0"/>
          <w:sz w:val="12"/>
        </w:rPr>
        <w:t xml:space="preserve"> | ADPF 424</w:t>
      </w:r>
      <w:r>
        <w:rPr>
          <w:color w:val="003CA0"/>
          <w:sz w:val="12"/>
        </w:rPr>
        <w:t xml:space="preserve"> | rel. Cristiano Zanin</w:t>
      </w:r>
    </w:p>
    <w:p>
      <w:pPr>
        <w:ind w:left="288"/>
      </w:pPr>
      <w:r>
        <w:rPr>
          <w:color w:val="1E1E1E"/>
          <w:sz w:val="18"/>
        </w:rPr>
        <w:t>Busca e apreensão nas dependências do Congresso Nacional e em imóveis funcionais de parlamentares. (...) Ainda que a investigação não tenha como alvo direto o parlamentar, a apreensão nesses locais de objetos, como documentos e dispositivos informáticos, repercute, ainda que indiretamente, sobre o desempenho da atividade parlamentar e o próprio exercício do mandato, atraindo a competência do Supremo Tribunal Federal (CF/1988, art. 53, § 1º, c/c art. 102, I, “b”). O art. 13, II, do Código de Processo Penal foi recepcionado pela Constituição de 1988, sendo que a legalidade do dever nele instituí</w:t>
      </w:r>
    </w:p>
    <w:p>
      <w:pPr>
        <w:ind w:left="288"/>
      </w:pPr>
      <w:r>
        <w:rPr>
          <w:b/>
          <w:color w:val="003CA0"/>
          <w:sz w:val="16"/>
        </w:rPr>
        <w:t>[ADPF 424, rel. min. Cristiano Zanin, j. 29.09.2025, P, DJE de 13.10.2025.]</w:t>
      </w:r>
    </w:p>
    <w:p>
      <w:pPr>
        <w:ind w:left="288"/>
      </w:pPr>
      <w:r>
        <w:rPr>
          <w:color w:val="8C8C8C"/>
          <w:sz w:val="12"/>
        </w:rPr>
        <w:t>cf-art-53-par-1</w:t>
      </w:r>
      <w:r>
        <w:rPr>
          <w:color w:val="003CA0"/>
          <w:sz w:val="12"/>
        </w:rPr>
        <w:t xml:space="preserve"> | AP 937</w:t>
      </w:r>
      <w:r>
        <w:rPr>
          <w:color w:val="003CA0"/>
          <w:sz w:val="12"/>
        </w:rPr>
        <w:t xml:space="preserve"> | rel. Edson Fachin</w:t>
      </w:r>
    </w:p>
    <w:p>
      <w:pPr>
        <w:ind w:left="288"/>
      </w:pPr>
      <w:r>
        <w:rPr>
          <w:color w:val="1E1E1E"/>
          <w:sz w:val="18"/>
        </w:rPr>
        <w:t>(...) por se tratar de prerrogativa do cargo, e não de privilégio pessoal, o foro privativo para atos cometidos no exercício das funções deve subsistir mesmo após a cessão do exercício funcional. Afinal, a saída do cargo não ofusca as razões que fomentam a outorga de competência originária aos Tribunais. O que ocorre é justamente o contrário. É nesse instante que adversários do ex-titular da posição política possuem mais condições de exercer influências em seu desfavor, e a prerrogativa de foro se torna mais necessária para evitar perseguições e maledicências. Há mais. A subsistência do foro e</w:t>
      </w:r>
    </w:p>
    <w:p>
      <w:pPr>
        <w:ind w:left="288"/>
      </w:pPr>
      <w:r>
        <w:rPr>
          <w:b/>
          <w:color w:val="003CA0"/>
          <w:sz w:val="16"/>
        </w:rPr>
        <w:t>[Inq 4.787 AgR-QO, rel. min. Gilmar Mendes, j. 12.03.2025, P, DJE de 27.05.2025.]</w:t>
      </w:r>
    </w:p>
    <w:p>
      <w:pPr>
        <w:ind w:left="288"/>
      </w:pPr>
      <w:r>
        <w:rPr>
          <w:color w:val="8C8C8C"/>
          <w:sz w:val="12"/>
        </w:rPr>
        <w:t>cf-art-53-par-1</w:t>
      </w:r>
      <w:r>
        <w:rPr>
          <w:color w:val="003CA0"/>
          <w:sz w:val="12"/>
        </w:rPr>
        <w:t xml:space="preserve"> | INQ 3.734</w:t>
      </w:r>
      <w:r>
        <w:rPr>
          <w:color w:val="003CA0"/>
          <w:sz w:val="12"/>
        </w:rPr>
        <w:t xml:space="preserve"> | rel. Roberto Barroso</w:t>
      </w:r>
    </w:p>
    <w:p>
      <w:pPr>
        <w:ind w:left="288"/>
      </w:pPr>
      <w:r>
        <w:rPr>
          <w:color w:val="1E1E1E"/>
          <w:sz w:val="18"/>
        </w:rPr>
        <w:t>A Turma, por maioria de votos, já decidiu que a renúncia de parlamentar, após o final da instrução, não acarreta a perda de competência do STF. (...) No Inq 3.734, a Turma entendeu, por ocasião do recebimento da denúncia, que na hipótese de não reeleição não se aplica o mesmo critério de fixação de competência. O caso presente, que envolve julgamento de ação penal, é análogo a este último. No entanto, a instrução foi concluída e o voto do relator preparado quando o denunciado ainda era titular de mandato. Diante disso, o relator propôs a concessão de habeas corpus de ofício, já que seu voto er</w:t>
      </w:r>
    </w:p>
    <w:p>
      <w:pPr>
        <w:ind w:left="288"/>
      </w:pPr>
      <w:r>
        <w:rPr>
          <w:b/>
          <w:color w:val="003CA0"/>
          <w:sz w:val="16"/>
        </w:rPr>
        <w:t>[AP 568, rel. min. Roberto Barroso, j. 14-4-2015, 1ª T, DJE de 18-5-2015.]</w:t>
      </w:r>
    </w:p>
    <w:p>
      <w:pPr>
        <w:ind w:left="288"/>
      </w:pPr>
      <w:r>
        <w:rPr>
          <w:color w:val="8C8C8C"/>
          <w:sz w:val="12"/>
        </w:rPr>
        <w:t>cf-art-53-par-1</w:t>
      </w:r>
      <w:r>
        <w:rPr>
          <w:color w:val="003CA0"/>
          <w:sz w:val="12"/>
        </w:rPr>
        <w:t xml:space="preserve"> | AP 563</w:t>
      </w:r>
      <w:r>
        <w:rPr>
          <w:color w:val="003CA0"/>
          <w:sz w:val="12"/>
        </w:rPr>
        <w:t xml:space="preserve"> | rel. Teori Zavascki</w:t>
      </w:r>
    </w:p>
    <w:p>
      <w:pPr>
        <w:ind w:left="288"/>
      </w:pPr>
      <w:r>
        <w:rPr>
          <w:color w:val="1E1E1E"/>
          <w:sz w:val="18"/>
        </w:rPr>
        <w:t>Incumbe ao STF, nos termos do art. 102, I, b, da Constituição, processar e julgar originariamente, nas infrações penais comuns (como no caso), os membros do Congresso Nacional desde o momento em que passam a ter direito a assento na cadeira parlamentar, com a expedição do diploma (art. 53, § 1º, da Constituição).</w:t>
      </w:r>
    </w:p>
    <w:p>
      <w:pPr>
        <w:ind w:left="288"/>
      </w:pPr>
      <w:r>
        <w:rPr>
          <w:b/>
          <w:color w:val="003CA0"/>
          <w:sz w:val="16"/>
        </w:rPr>
        <w:t>[AP 563, rel. min. Teori Zavascki, j. 21-10-2014, 2ª T, DJE de 28-11-2014.]</w:t>
      </w:r>
    </w:p>
    <w:p>
      <w:pPr>
        <w:ind w:left="288"/>
      </w:pPr>
      <w:r>
        <w:rPr>
          <w:color w:val="8C8C8C"/>
          <w:sz w:val="12"/>
        </w:rPr>
        <w:t>cf-art-53-par-1</w:t>
      </w:r>
      <w:r>
        <w:rPr>
          <w:color w:val="003CA0"/>
          <w:sz w:val="12"/>
        </w:rPr>
        <w:t xml:space="preserve"> | AP 634</w:t>
      </w:r>
      <w:r>
        <w:rPr>
          <w:color w:val="003CA0"/>
          <w:sz w:val="12"/>
        </w:rPr>
        <w:t xml:space="preserve"> | rel. Roberto Barroso</w:t>
      </w:r>
    </w:p>
    <w:p>
      <w:pPr>
        <w:ind w:left="288"/>
      </w:pPr>
      <w:r>
        <w:rPr>
          <w:color w:val="1E1E1E"/>
          <w:sz w:val="18"/>
        </w:rPr>
        <w:t xml:space="preserve">Proferido o primeiro voto em julgamento de apelação criminal por tribunal de justiça, o exercício superveniente de mandato parlamentar pelo réu, antes da conclusão do julgamento, não tem o condão de deslocar a competência para o STF. Ademais, no caso, o réu foi diplomado suplente e assumiu o mandato, em razão do afastamento do titular, dois dias antes de o revisor devolver o processo para continuação do julgamento, havendo comunicado esse fato apenas no dia da sessão. Mais que isso, atualmente, conforme consulta ao sítio da Câmara dos Deputados, o réu não exerce mais o mandato parlamentar. Em </w:t>
      </w:r>
    </w:p>
    <w:p>
      <w:pPr>
        <w:ind w:left="288"/>
      </w:pPr>
      <w:r>
        <w:rPr>
          <w:b/>
          <w:color w:val="003CA0"/>
          <w:sz w:val="16"/>
        </w:rPr>
        <w:t>[AP 634 QO, rel. min. Roberto Barroso, j. 6-2-2014, P, DJE de 30-10-2014.]</w:t>
      </w:r>
    </w:p>
    <w:p>
      <w:pPr>
        <w:ind w:left="288"/>
      </w:pPr>
      <w:r>
        <w:rPr>
          <w:color w:val="8C8C8C"/>
          <w:sz w:val="12"/>
        </w:rPr>
        <w:t>cf-art-53-par-1</w:t>
      </w:r>
      <w:r>
        <w:rPr>
          <w:color w:val="003CA0"/>
          <w:sz w:val="12"/>
        </w:rPr>
        <w:t xml:space="preserve"> | HC 70.620</w:t>
      </w:r>
      <w:r>
        <w:rPr>
          <w:color w:val="003CA0"/>
          <w:sz w:val="12"/>
        </w:rPr>
        <w:t xml:space="preserve"> | rel. Celso de Mello</w:t>
      </w:r>
    </w:p>
    <w:p>
      <w:pPr>
        <w:ind w:left="288"/>
      </w:pPr>
      <w:r>
        <w:rPr>
          <w:color w:val="1E1E1E"/>
          <w:sz w:val="18"/>
        </w:rPr>
        <w:t>Vide HC 70.620, rel. min. Celso de Mello, j. 16-12-1993, P, DJ de 24-11-2006 A instauração do procedimento a que se refere o art. 22 da LC 64/1990 – pertinente ao suposto envolvimento de membro do Congresso Nacional em alegado abuso de poder econômico, considerada a natureza jurídica das sanções de direito eleitoral nele imponíveis – não torna invocável, por isso mesmo, para efeito de seu processamento, a prerrogativa de foro perante o STF, eis que esse procedimento, disciplinado pela LC 64/1990 (art. 22), objetiva, em última análise, viabilizar a imposição de sanção de direito eleitoral, desv</w:t>
      </w:r>
    </w:p>
    <w:p>
      <w:pPr>
        <w:ind w:left="288"/>
      </w:pPr>
      <w:r>
        <w:rPr>
          <w:b/>
          <w:color w:val="003CA0"/>
          <w:sz w:val="16"/>
        </w:rPr>
        <w:t>[Rcl 13.286 MC, rel. min. Celso de Mello, j. 17-2-2012, dec. monocrática, DJE de 29-2-2012.]</w:t>
      </w:r>
    </w:p>
    <w:p>
      <w:pPr>
        <w:ind w:left="288"/>
      </w:pPr>
      <w:r>
        <w:rPr>
          <w:color w:val="8C8C8C"/>
          <w:sz w:val="12"/>
        </w:rPr>
        <w:t>cf-art-53-par-1</w:t>
      </w:r>
      <w:r>
        <w:rPr>
          <w:color w:val="003CA0"/>
          <w:sz w:val="12"/>
        </w:rPr>
        <w:t xml:space="preserve"> | AP 396</w:t>
      </w:r>
      <w:r>
        <w:rPr>
          <w:color w:val="003CA0"/>
          <w:sz w:val="12"/>
        </w:rPr>
        <w:t xml:space="preserve"> | rel. Cármen Lúcia</w:t>
      </w:r>
    </w:p>
    <w:p>
      <w:pPr>
        <w:ind w:left="288"/>
      </w:pPr>
      <w:r>
        <w:rPr>
          <w:color w:val="1E1E1E"/>
          <w:sz w:val="18"/>
        </w:rPr>
        <w:t>Deputado federal. Renúncia ao mandato. Abuso de direito: reconhecimento da competência do STF para a continuidade do julgamento da presente ação penal. (...) Renúncia de mandato: ato legítimo. Não se presta, porém, a ser utilizada como subterfúgio para deslocamento de competências constitucionalmente definidas, que não podem ser objeto de escolha pessoal. Impossibilidade de ser aproveitada como expediente para impedir o julgamento em tempo à absolvição ou à condenação e, neste caso, à definição de penas. No caso, a renúncia do mandato foi apresentada à Casa Legislativa em 27-10-2010, véspera d</w:t>
      </w:r>
    </w:p>
    <w:p>
      <w:pPr>
        <w:ind w:left="288"/>
      </w:pPr>
      <w:r>
        <w:rPr>
          <w:b/>
          <w:color w:val="003CA0"/>
          <w:sz w:val="16"/>
        </w:rPr>
        <w:t>[AP 396, rel. min. Cármen Lúcia, j. 28-10-2010, P, DJE de 28-4-2011.]</w:t>
      </w:r>
    </w:p>
    <w:p>
      <w:pPr>
        <w:ind w:left="288"/>
      </w:pPr>
      <w:r>
        <w:rPr>
          <w:color w:val="8C8C8C"/>
          <w:sz w:val="12"/>
        </w:rPr>
        <w:t>cf-art-53-par-1</w:t>
      </w:r>
      <w:r>
        <w:rPr>
          <w:color w:val="003CA0"/>
          <w:sz w:val="12"/>
        </w:rPr>
        <w:t xml:space="preserve"> | AP 606</w:t>
      </w:r>
      <w:r>
        <w:rPr>
          <w:color w:val="003CA0"/>
          <w:sz w:val="12"/>
        </w:rPr>
        <w:t xml:space="preserve"> | rel. Roberto Barroso</w:t>
      </w:r>
    </w:p>
    <w:p>
      <w:pPr>
        <w:ind w:left="288"/>
      </w:pPr>
      <w:r>
        <w:rPr>
          <w:color w:val="1E1E1E"/>
          <w:sz w:val="18"/>
        </w:rPr>
        <w:t>Vide AP 606 QO, rel. min. Roberto Barroso, j. 12-8-2014, 1ª T, DJE de 18-9-2014 Vide AP 333, rel. min. Joaquim Barbosa, j. 5-12-2007, P, DJE de 11-4-2008 (...) tratando-se de parlamentar indiciado, submetido a investigação penal, não tem ele a prerrogativa a que se refere o art. 221 do CPP. Com efeito, aqueles que figuram como indiciados (inquérito policial) ou como réus (processo penal), em procedimentos instaurados ou em curso perante o STF, não dispõem da prerrogativa instituída pelo art. 221 do CPP, eis que essa norma legal somente se aplica às autoridades que ostentem a condição formal de</w:t>
      </w:r>
    </w:p>
    <w:p>
      <w:pPr>
        <w:ind w:left="288"/>
      </w:pPr>
      <w:r>
        <w:rPr>
          <w:b/>
          <w:color w:val="003CA0"/>
          <w:sz w:val="16"/>
        </w:rPr>
        <w:t>[Inq 2.839, rel. min. Celso de Mello, j. 11-9-2009, dec. monocrática, DJE de 17-9-2009.]</w:t>
      </w:r>
    </w:p>
    <w:p>
      <w:pPr>
        <w:ind w:left="288"/>
      </w:pPr>
      <w:r>
        <w:rPr>
          <w:color w:val="8C8C8C"/>
          <w:sz w:val="12"/>
        </w:rPr>
        <w:t>cf-art-53-par-1</w:t>
      </w:r>
      <w:r>
        <w:rPr>
          <w:color w:val="003CA0"/>
          <w:sz w:val="12"/>
        </w:rPr>
        <w:t xml:space="preserve"> | AP 421</w:t>
      </w:r>
      <w:r>
        <w:rPr>
          <w:color w:val="003CA0"/>
          <w:sz w:val="12"/>
        </w:rPr>
        <w:t xml:space="preserve"> | rel. Joaquim Barbosa</w:t>
      </w:r>
    </w:p>
    <w:p>
      <w:pPr>
        <w:ind w:left="288"/>
      </w:pPr>
      <w:r>
        <w:rPr>
          <w:color w:val="1E1E1E"/>
          <w:sz w:val="18"/>
        </w:rPr>
        <w:t>Vide AP 421 QO, rel. min. Joaquim Barbosa, j. 22-10-2009, P, DJE de 4-2-2011 Ex-deputado não tem direito a foro especial por prerrogativa de função, em ação civil pública por improbidade administrativa.</w:t>
      </w:r>
    </w:p>
    <w:p>
      <w:pPr>
        <w:ind w:left="288"/>
      </w:pPr>
      <w:r>
        <w:rPr>
          <w:b/>
          <w:color w:val="003CA0"/>
          <w:sz w:val="16"/>
        </w:rPr>
        <w:t>[Pet 3.421 AgR, rel. min. Cezar Peluso, j. 25-6-2009, P, DJE de 4-6-2010.]</w:t>
      </w:r>
    </w:p>
    <w:p>
      <w:pPr>
        <w:ind w:left="288"/>
      </w:pPr>
      <w:r>
        <w:rPr>
          <w:color w:val="8C8C8C"/>
          <w:sz w:val="12"/>
        </w:rPr>
        <w:t>cf-art-53-par-1</w:t>
      </w:r>
      <w:r>
        <w:rPr>
          <w:color w:val="003CA0"/>
          <w:sz w:val="12"/>
        </w:rPr>
        <w:t xml:space="preserve"> | INQ 2.421</w:t>
      </w:r>
      <w:r>
        <w:rPr>
          <w:color w:val="003CA0"/>
          <w:sz w:val="12"/>
        </w:rPr>
        <w:t xml:space="preserve"> | rel. Menezes Direito</w:t>
      </w:r>
    </w:p>
    <w:p>
      <w:pPr>
        <w:ind w:left="288"/>
      </w:pPr>
      <w:r>
        <w:rPr>
          <w:color w:val="1E1E1E"/>
          <w:sz w:val="18"/>
        </w:rPr>
        <w:t>Vide Inq 2.421 AgR, rel. min. Menezes Direito, j. 14-2-2008, P, DJE de 4-4-2008 Vide Inq 2.429 AgR, rel. min. Joaquim Barbosa, j. 27-6-2007, P, DJE de 17-8-2007 Vide Inq 2.453 AgR, rel. min. Ricardo Lewandowski, j. 17-5-2007, P, DJ de 29-6-2007 Prerrogativa de foro. Termo inicial. Recebida a denúncia em data anterior ao fenômeno gerador da prerrogativa de foro, descabe entender insubsistente o ato judicial formalizado, não se podendo concluir pela existência de vício considerado o fator tempo.</w:t>
      </w:r>
    </w:p>
    <w:p>
      <w:pPr>
        <w:ind w:left="288"/>
      </w:pPr>
      <w:r>
        <w:rPr>
          <w:b/>
          <w:color w:val="003CA0"/>
          <w:sz w:val="16"/>
        </w:rPr>
        <w:t>[HC 91.593, rel. min. Marco Aurélio, j. 11-9-2008, P, DJE de 17-4-2009.]</w:t>
      </w:r>
    </w:p>
    <w:p>
      <w:pPr>
        <w:ind w:left="288"/>
      </w:pPr>
      <w:r>
        <w:rPr>
          <w:color w:val="8C8C8C"/>
          <w:sz w:val="12"/>
        </w:rPr>
        <w:t>cf-art-53-par-1</w:t>
      </w:r>
      <w:r>
        <w:rPr>
          <w:color w:val="003CA0"/>
          <w:sz w:val="12"/>
        </w:rPr>
        <w:t xml:space="preserve"> | INQ 2.421</w:t>
      </w:r>
      <w:r>
        <w:rPr>
          <w:color w:val="003CA0"/>
          <w:sz w:val="12"/>
        </w:rPr>
        <w:t xml:space="preserve"> | rel. Menezes Direito</w:t>
      </w:r>
    </w:p>
    <w:p>
      <w:pPr>
        <w:ind w:left="288"/>
      </w:pPr>
      <w:r>
        <w:rPr>
          <w:color w:val="1E1E1E"/>
          <w:sz w:val="18"/>
        </w:rPr>
        <w:t>A prerrogativa de foro conferida aos membros do Congresso Nacional, vinculada à liberdade máxima necessária ao bom desempenho do ofício legislativo, estende-se ao suplente respectivo apenas durante o período em que este permanecer no efetivo exercício da atividade parlamentar. Assim, o retorno do deputado ou do senador titular às funções normais implica a perda, pelo suplente, do direito de ser investigado, processado e julgado no STF.</w:t>
      </w:r>
    </w:p>
    <w:p>
      <w:pPr>
        <w:ind w:left="288"/>
      </w:pPr>
      <w:r>
        <w:rPr>
          <w:b/>
          <w:color w:val="003CA0"/>
          <w:sz w:val="16"/>
        </w:rPr>
        <w:t>[Inq 2.421 AgR, rel. min. Menezes Direito, j. 14-2-2008, P, DJE de 4-4-2008.]</w:t>
      </w:r>
    </w:p>
    <w:p>
      <w:pPr>
        <w:ind w:left="288"/>
      </w:pPr>
      <w:r>
        <w:rPr>
          <w:color w:val="8C8C8C"/>
          <w:sz w:val="12"/>
        </w:rPr>
        <w:t>cf-art-53-par-1</w:t>
      </w:r>
      <w:r>
        <w:rPr>
          <w:color w:val="003CA0"/>
          <w:sz w:val="12"/>
        </w:rPr>
        <w:t xml:space="preserve"> | INQ 3.341</w:t>
      </w:r>
      <w:r>
        <w:rPr>
          <w:color w:val="003CA0"/>
          <w:sz w:val="12"/>
        </w:rPr>
        <w:t xml:space="preserve"> | rel. Celso de Mello</w:t>
      </w:r>
    </w:p>
    <w:p>
      <w:pPr>
        <w:ind w:left="288"/>
      </w:pPr>
      <w:r>
        <w:rPr>
          <w:color w:val="1E1E1E"/>
          <w:sz w:val="18"/>
        </w:rPr>
        <w:t>= Inq 3.341, rel. min. Celso de Mello, j. 25-4-2012, dec. monocrática, DJE de 3-5-2012 Os membros do Congresso Nacional, pela condição peculiar de representantes do povo ou dos Estados que ostentam, atraem a competência jurisdicional do STF. O foro especial possui natureza intuitu funcionae, ligando-se ao cargo de senador ou deputado e não à pessoa do parlamentar. Não se cuida de prerrogativa intuitu personae, vinculando-se ao cargo, ainda que ocupado interinamente, razão pela qual se admite a sua perda ante o retorno do titular ao exercício daquele. A diplomação do suplente não lhe estende au</w:t>
      </w:r>
    </w:p>
    <w:p>
      <w:pPr>
        <w:ind w:left="288"/>
      </w:pPr>
      <w:r>
        <w:rPr>
          <w:b/>
          <w:color w:val="003CA0"/>
          <w:sz w:val="16"/>
        </w:rPr>
        <w:t>[Inq 2.453 AgR, rel. min. Ricardo Lewandowski, j. 17-5-2007, P, DJ de 29-6-2007.]</w:t>
      </w:r>
    </w:p>
    <w:p>
      <w:pPr>
        <w:ind w:left="288"/>
      </w:pPr>
      <w:r>
        <w:rPr>
          <w:color w:val="8C8C8C"/>
          <w:sz w:val="12"/>
        </w:rPr>
        <w:t>cf-art-53-par-1</w:t>
      </w:r>
      <w:r>
        <w:rPr>
          <w:color w:val="003CA0"/>
          <w:sz w:val="12"/>
        </w:rPr>
        <w:t xml:space="preserve"> | INQ 2.421</w:t>
      </w:r>
      <w:r>
        <w:rPr>
          <w:color w:val="003CA0"/>
          <w:sz w:val="12"/>
        </w:rPr>
        <w:t xml:space="preserve"> | rel. Menezes Direito</w:t>
      </w:r>
    </w:p>
    <w:p>
      <w:pPr>
        <w:ind w:left="288"/>
      </w:pPr>
      <w:r>
        <w:rPr>
          <w:color w:val="1E1E1E"/>
          <w:sz w:val="18"/>
        </w:rPr>
        <w:t>= Inq 2.421 AgR, rel. min. Menezes Direito, j. 14-2-2008, P, DJE de 4-4-2008 A diplomação do réu como deputado federal opera o deslocamento, para o STF, da competência penal para a persecutio criminis, não tendo o condão de afetar a integridade jurídica dos atos processuais, inclusive os de caráter decisório, já praticados, com base no ordenamento positivo vigente à época de sua efetivação, por órgão judiciário até então competente.</w:t>
      </w:r>
    </w:p>
    <w:p>
      <w:pPr>
        <w:ind w:left="288"/>
      </w:pPr>
      <w:r>
        <w:rPr>
          <w:b/>
          <w:color w:val="003CA0"/>
          <w:sz w:val="16"/>
        </w:rPr>
        <w:t>[HC 70.620, rel. min. Celso de Mello, j. 16-12-1993, P, DJ de 24-11-2006.]</w:t>
      </w:r>
    </w:p>
    <w:p>
      <w:pPr>
        <w:ind w:left="288"/>
      </w:pPr>
      <w:r>
        <w:rPr>
          <w:color w:val="8C8C8C"/>
          <w:sz w:val="12"/>
        </w:rPr>
        <w:t>cf-art-53-par-1</w:t>
      </w:r>
      <w:r>
        <w:rPr>
          <w:color w:val="003CA0"/>
          <w:sz w:val="12"/>
        </w:rPr>
        <w:t xml:space="preserve"> | INQ 2.767</w:t>
      </w:r>
      <w:r>
        <w:rPr>
          <w:color w:val="003CA0"/>
          <w:sz w:val="12"/>
        </w:rPr>
        <w:t xml:space="preserve"> | rel. Joaquim Barbosa</w:t>
      </w:r>
    </w:p>
    <w:p>
      <w:pPr>
        <w:ind w:left="288"/>
      </w:pPr>
      <w:r>
        <w:rPr>
          <w:color w:val="1E1E1E"/>
          <w:sz w:val="18"/>
        </w:rPr>
        <w:t>= Inq 2.767, rel. min. Joaquim Barbosa, j. 18-6-2009, P, DJE de 4-9-2009 Vide AP 634 QO, rel. min. Roberto Barroso, j. 6-2-2014, P, DJE de 30-10-2014 § 2º Desde a expedição do diploma, os membros do Congresso Nacional não poderão ser presos, salvo em flagrante de crime inafiançável. Nesse caso, os autos serão remetidos dentro de vinte e quatro horas à Casa respectiva, para que, pelo voto da maioria de seus membros, resolva sobre a prisão. (Redação da EC 35/2001)</w:t>
      </w:r>
    </w:p>
    <w:p>
      <w:pPr>
        <w:ind w:left="144"/>
      </w:pPr>
      <w:r>
        <w:rPr>
          <w:b/>
          <w:color w:val="B45A00"/>
          <w:sz w:val="16"/>
        </w:rPr>
        <w:t>CONTROLE CONCENTRADO</w:t>
      </w:r>
    </w:p>
    <w:p>
      <w:pPr>
        <w:ind w:left="288"/>
      </w:pPr>
      <w:r>
        <w:rPr>
          <w:color w:val="8C8C8C"/>
          <w:sz w:val="12"/>
        </w:rPr>
        <w:t>cf-art-53-par-1</w:t>
      </w:r>
      <w:r>
        <w:rPr>
          <w:color w:val="003CA0"/>
          <w:sz w:val="12"/>
        </w:rPr>
        <w:t xml:space="preserve"> | ADI 5.526</w:t>
      </w:r>
    </w:p>
    <w:p>
      <w:pPr>
        <w:ind w:left="288"/>
      </w:pPr>
      <w:r>
        <w:rPr>
          <w:color w:val="1E1E1E"/>
          <w:sz w:val="18"/>
        </w:rPr>
        <w:t>O Poder Judiciário dispõe de competência para impor aos parlamentares, por autoridade própria, as medidas cautelares a que se refere o art. 319 do CPP, seja em substituição de prisão em flagrante delito por crime inafiançável, por constituírem medidas individuais e específicas menos gravosas; seja autonomamente, em circunstâncias de excepcional gravidade. Os autos da prisão em flagrante delito por crime inafiançável ou a decisão judicial de imposição de medidas cautelares que impossibilitem, direta ou indiretamente, o pleno e regular exercício do mandato parlamentar e de suas funções legislati</w:t>
      </w:r>
    </w:p>
    <w:p>
      <w:pPr>
        <w:ind w:left="144"/>
      </w:pPr>
      <w:r>
        <w:rPr>
          <w:b/>
          <w:color w:val="B45A00"/>
          <w:sz w:val="16"/>
        </w:rPr>
        <w:t>JULGADOS CORRELATOS</w:t>
      </w:r>
    </w:p>
    <w:p>
      <w:pPr>
        <w:ind w:left="288"/>
      </w:pPr>
      <w:r>
        <w:rPr>
          <w:color w:val="8C8C8C"/>
          <w:sz w:val="12"/>
        </w:rPr>
        <w:t>cf-art-53-par-1</w:t>
      </w:r>
      <w:r>
        <w:rPr>
          <w:color w:val="003CA0"/>
          <w:sz w:val="12"/>
        </w:rPr>
        <w:t xml:space="preserve"> | ADI 5.526</w:t>
      </w:r>
      <w:r>
        <w:rPr>
          <w:color w:val="003CA0"/>
          <w:sz w:val="12"/>
        </w:rPr>
        <w:t xml:space="preserve"> | rel. Alexandre de Moraes</w:t>
      </w:r>
    </w:p>
    <w:p>
      <w:pPr>
        <w:ind w:left="288"/>
      </w:pPr>
      <w:r>
        <w:rPr>
          <w:color w:val="1E1E1E"/>
          <w:sz w:val="18"/>
        </w:rPr>
        <w:t>Violação às medidas cautelares impostas. Possibilidade de fixação de multa diária, com Desconto direto nos vencimentos e bloqueio imediato das contas bancárias do réu como garantia de cumprimento da medida. Desnecessidade de manifestação da casa legislativa por ausência de interferência direta ou indireta no exercício do mandato Parlamentar (ADI 5.526).</w:t>
      </w:r>
    </w:p>
    <w:p>
      <w:pPr>
        <w:ind w:left="288"/>
      </w:pPr>
      <w:r>
        <w:rPr>
          <w:b/>
          <w:color w:val="003CA0"/>
          <w:sz w:val="16"/>
        </w:rPr>
        <w:t>[AP 1.044 REF, rel. min. Alexandre de Moraes, j. 4-4-2022, P, DJE de 21-6-2022.]</w:t>
        <w:br/>
        <w:t>Vide ADI 5.526, rel. min. Edson Fachin, red. do ac. min. Alexandre de Moraes, j. 11-10-2017, P, DJE de 7-8-2018</w:t>
      </w:r>
    </w:p>
    <w:p>
      <w:pPr>
        <w:ind w:left="288"/>
      </w:pPr>
      <w:r>
        <w:rPr>
          <w:color w:val="8C8C8C"/>
          <w:sz w:val="12"/>
        </w:rPr>
        <w:t>cf-art-53-par-1</w:t>
      </w:r>
      <w:r>
        <w:rPr>
          <w:color w:val="003CA0"/>
          <w:sz w:val="12"/>
        </w:rPr>
        <w:t xml:space="preserve"> | AC 4.039</w:t>
      </w:r>
      <w:r>
        <w:rPr>
          <w:color w:val="003CA0"/>
          <w:sz w:val="12"/>
        </w:rPr>
        <w:t xml:space="preserve"> | rel. Teori Zavascki</w:t>
      </w:r>
    </w:p>
    <w:p>
      <w:pPr>
        <w:ind w:left="288"/>
      </w:pPr>
      <w:r>
        <w:rPr>
          <w:color w:val="1E1E1E"/>
          <w:sz w:val="18"/>
        </w:rPr>
        <w:t xml:space="preserve">A Constituição Federal não permite a propagação de ideias contrárias à ordem constitucional e ao Estado Democrático (CF, art. 5º, XLIV; 34, III e IV), nem tampouco a realização de manifestações nas redes sociais visando ao rompimento do Estado de Direito, com a extinção das cláusulas pétreas constitucionais – Separação de Poderes (CF, art. 60, §4º), com a consequente, instalação do arbítrio. (...) As condutas praticadas pelo parlamentar foram perpetradas em âmbito virtual, por meio da publicação e divulgação de vídeos em mídia digital (‘YouTube’) durante todo o dia, com constante interação do </w:t>
      </w:r>
    </w:p>
    <w:p>
      <w:pPr>
        <w:ind w:left="288"/>
      </w:pPr>
      <w:r>
        <w:rPr>
          <w:b/>
          <w:color w:val="003CA0"/>
          <w:sz w:val="16"/>
        </w:rPr>
        <w:t>[Inq 4.781 REF, rel. min. Alexandre de Moraes, j. 17-2-2021, P, DJE de 14-5-2021.]</w:t>
      </w:r>
    </w:p>
    <w:p>
      <w:pPr>
        <w:ind w:left="288"/>
      </w:pPr>
      <w:r>
        <w:rPr>
          <w:color w:val="8C8C8C"/>
          <w:sz w:val="12"/>
        </w:rPr>
        <w:t>cf-art-53-par-1</w:t>
      </w:r>
      <w:r>
        <w:rPr>
          <w:color w:val="003CA0"/>
          <w:sz w:val="12"/>
        </w:rPr>
        <w:t xml:space="preserve"> | HC 89.417</w:t>
      </w:r>
      <w:r>
        <w:rPr>
          <w:color w:val="003CA0"/>
          <w:sz w:val="12"/>
        </w:rPr>
        <w:t xml:space="preserve"> | rel. Cármen Lúcia</w:t>
      </w:r>
    </w:p>
    <w:p>
      <w:pPr>
        <w:ind w:left="288"/>
      </w:pPr>
      <w:r>
        <w:rPr>
          <w:color w:val="1E1E1E"/>
          <w:sz w:val="18"/>
        </w:rPr>
        <w:t xml:space="preserve">Os elementos contidos nos autos impõem interpretação que considere mais que a regra proibitiva da prisão de parlamentar, isoladamente, como previsto no art. 53, § 2º, da Constituição da República. Há de se buscar interpretação que conduza à aplicação efetiva e eficaz do sistema constitucional como um todo. A norma constitucional que cuida da imunidade parlamentar e da proibição de prisão do membro de órgão legislativo não pode ser tomada em sua literalidade, menos ainda como regra isolada do sistema constitucional. Os princípios determinam a interpretação e aplicação corretas da norma, sempre </w:t>
      </w:r>
    </w:p>
    <w:p>
      <w:pPr>
        <w:ind w:left="288"/>
      </w:pPr>
      <w:r>
        <w:rPr>
          <w:b/>
          <w:color w:val="003CA0"/>
          <w:sz w:val="16"/>
        </w:rPr>
        <w:t>[HC 89.417, rel. min. Cármen Lúcia, j. 22-8-2006, 1ª T, DJ de 15-12-2006.]</w:t>
      </w:r>
    </w:p>
    <w:p>
      <w:pPr>
        <w:ind w:left="288"/>
      </w:pPr>
      <w:r>
        <w:rPr>
          <w:color w:val="8C8C8C"/>
          <w:sz w:val="12"/>
        </w:rPr>
        <w:t>cf-art-53-par-1</w:t>
      </w:r>
      <w:r>
        <w:rPr>
          <w:color w:val="003CA0"/>
          <w:sz w:val="12"/>
        </w:rPr>
        <w:t xml:space="preserve"> | INQ 1.344</w:t>
      </w:r>
      <w:r>
        <w:rPr>
          <w:color w:val="003CA0"/>
          <w:sz w:val="12"/>
        </w:rPr>
        <w:t xml:space="preserve"> | rel. Sepúlveda Pertence</w:t>
      </w:r>
    </w:p>
    <w:p>
      <w:pPr>
        <w:ind w:left="288"/>
      </w:pPr>
      <w:r>
        <w:rPr>
          <w:color w:val="1E1E1E"/>
          <w:sz w:val="18"/>
        </w:rPr>
        <w:t>Ao contrário da inviolabilidade ou imunidade material que elide a criminalidade do fato ou, pelo menos, a responsabilidade do agente – e, substantiva, por isso, instituto de direito penal –, a "licença prévia" antes exigida caracterizava mera condição de procedibilidade, a qual – até que deferida ou enquanto durasse a investidura parlamentar do acusado – configurava empecilho temporário ao exercício da jurisdição, impedindo a instauração ou o curso do processo. Do que resulta induvidoso – independentemente de qualquer indagação sobre a eficácia temporal de emenda à Constituição – a aplicabilid</w:t>
      </w:r>
    </w:p>
    <w:p>
      <w:pPr>
        <w:ind w:left="288"/>
      </w:pPr>
      <w:r>
        <w:rPr>
          <w:b/>
          <w:color w:val="003CA0"/>
          <w:sz w:val="16"/>
        </w:rPr>
        <w:t>[Inq 1.344, rel. min. Sepúlveda Pertence, j. 7-8-2002, P, DJ de 1º-8-2003.]</w:t>
      </w:r>
    </w:p>
    <w:p>
      <w:pPr>
        <w:ind w:left="288"/>
      </w:pPr>
      <w:r>
        <w:rPr>
          <w:color w:val="8C8C8C"/>
          <w:sz w:val="12"/>
        </w:rPr>
        <w:t>cf-art-53-par-1</w:t>
      </w:r>
      <w:r>
        <w:rPr>
          <w:color w:val="003CA0"/>
          <w:sz w:val="12"/>
        </w:rPr>
        <w:t xml:space="preserve"> | AP 2.668</w:t>
      </w:r>
      <w:r>
        <w:rPr>
          <w:color w:val="003CA0"/>
          <w:sz w:val="12"/>
        </w:rPr>
        <w:t xml:space="preserve"> | rel. Alexandre de Moraes</w:t>
      </w:r>
    </w:p>
    <w:p>
      <w:pPr>
        <w:ind w:left="288"/>
      </w:pPr>
      <w:r>
        <w:rPr>
          <w:color w:val="1E1E1E"/>
          <w:sz w:val="18"/>
        </w:rPr>
        <w:t>§ 3º Recebida a denúncia contra o Senador ou Deputado, por crime ocorrido após a diplomação, o Supremo Tribunal Federal dará ciência à Casa respectiva, que, por iniciativa de partido político nela representado e pelo voto da maioria de seus membros, poderá, até a decisão final, sustar o andamento da ação. (Redação da EC 35/2001) O § 3º do artigo 53 da Constituição Federal, com redação dada pela Emenda Constitucional nº 35, de 20 de dezembro de 2001, estabelece que somente as ações penais instauradas contra Parlamentares, por infrações praticadas após a diplomação, poderão ser suspensas pela su</w:t>
      </w:r>
    </w:p>
    <w:p>
      <w:pPr>
        <w:ind w:left="288"/>
      </w:pPr>
      <w:r>
        <w:rPr>
          <w:b/>
          <w:color w:val="003CA0"/>
          <w:sz w:val="16"/>
        </w:rPr>
        <w:t>[AP 2.668 QO, rel. min. Alexandre de Moraes, j. 14.05.2025, 1ª T, DJE de 14.05.2025.]</w:t>
      </w:r>
    </w:p>
    <w:p>
      <w:pPr>
        <w:ind w:left="288"/>
      </w:pPr>
      <w:r>
        <w:rPr>
          <w:color w:val="8C8C8C"/>
          <w:sz w:val="12"/>
        </w:rPr>
        <w:t>cf-art-53-par-1</w:t>
      </w:r>
      <w:r>
        <w:rPr>
          <w:color w:val="003CA0"/>
          <w:sz w:val="12"/>
        </w:rPr>
        <w:t xml:space="preserve"> | INQ 1.637</w:t>
      </w:r>
      <w:r>
        <w:rPr>
          <w:color w:val="003CA0"/>
          <w:sz w:val="12"/>
        </w:rPr>
        <w:t xml:space="preserve"> | rel. Ayres Britto</w:t>
      </w:r>
    </w:p>
    <w:p>
      <w:pPr>
        <w:ind w:left="288"/>
      </w:pPr>
      <w:r>
        <w:rPr>
          <w:color w:val="1E1E1E"/>
          <w:sz w:val="18"/>
        </w:rPr>
        <w:t>O STF, em várias oportunidades, firmou o entendimento de que a EC 35, publicada em 21-12-2001, tem aplicabilidade imediata, por referir-se a imunidade processual, apta a alcançar as situações em curso. Referida emenda "suprimiu, para efeito de prosseguimento da persecutio criminis, a necessidade de licença parlamentar, distinguindo, ainda, entre delitos ocorridos antes e após a diplomação, para admitir, somente quanto a estes últimos, a possibilidade de suspensão do curso da ação penal" (Inq 1.637, min. Celso de Mello). Em face desta orientação, carece de plausibilidade jurídica, para o fim de</w:t>
      </w:r>
    </w:p>
    <w:p>
      <w:pPr>
        <w:ind w:left="288"/>
      </w:pPr>
      <w:r>
        <w:rPr>
          <w:color w:val="8C8C8C"/>
          <w:sz w:val="12"/>
        </w:rPr>
        <w:t>cf-art-53-par-7</w:t>
      </w:r>
    </w:p>
    <w:p>
      <w:pPr>
        <w:ind w:left="288"/>
      </w:pPr>
      <w:r>
        <w:rPr>
          <w:color w:val="1E1E1E"/>
          <w:sz w:val="18"/>
        </w:rPr>
        <w:t>§ 8º As imunidades de Deputados ou Senadores subsistirão durante o estado de sítio, só podendo ser suspensas mediante o voto de dois terços dos membros da Casa respectiva, nos casos de atos praticados fora do recinto do Congresso Nacional, que sejam incompatíveis com a execução da medida. (Incluído pela EC 35/2001)</w:t>
      </w:r>
    </w:p>
    <w:p>
      <w:pPr>
        <w:ind w:left="432"/>
      </w:pPr>
      <w:r>
        <w:rPr>
          <w:color w:val="003366"/>
          <w:sz w:val="18"/>
        </w:rPr>
        <w:t>§ 1 Os Deputados e Senadores, desde a expedição do diploma, serão submetidos a j</w:t>
      </w:r>
    </w:p>
    <w:p>
      <w:pPr>
        <w:ind w:left="432"/>
      </w:pPr>
      <w:r>
        <w:rPr>
          <w:color w:val="003366"/>
          <w:sz w:val="18"/>
        </w:rPr>
        <w:t>§ 2 Desde a expedição do diploma, os membros do Congresso Nacional não poderão s</w:t>
      </w:r>
    </w:p>
    <w:p>
      <w:pPr>
        <w:ind w:left="432"/>
      </w:pPr>
      <w:r>
        <w:rPr>
          <w:color w:val="003366"/>
          <w:sz w:val="18"/>
        </w:rPr>
        <w:t xml:space="preserve">§ 3 Recebida a denúncia contra o Senador ou Deputado, por crime ocorrido após a </w:t>
      </w:r>
    </w:p>
    <w:p>
      <w:pPr>
        <w:ind w:left="432"/>
      </w:pPr>
      <w:r>
        <w:rPr>
          <w:color w:val="003366"/>
          <w:sz w:val="18"/>
        </w:rPr>
        <w:t>§ 4 O pedido de sustação será apreciado pela Casa respectiva no prazo improrrogá</w:t>
      </w:r>
    </w:p>
    <w:p>
      <w:pPr>
        <w:ind w:left="432"/>
      </w:pPr>
      <w:r>
        <w:rPr>
          <w:color w:val="003366"/>
          <w:sz w:val="18"/>
        </w:rPr>
        <w:t>§ 5 A sustação do processo suspende a prescrição, enquanto durar o mandato. (Red</w:t>
      </w:r>
    </w:p>
    <w:p>
      <w:pPr>
        <w:ind w:left="432"/>
      </w:pPr>
      <w:r>
        <w:rPr>
          <w:color w:val="003366"/>
          <w:sz w:val="18"/>
        </w:rPr>
        <w:t>§ 6 Os Deputados e Senadores não serão obrigados a testemunhar sobre informações</w:t>
      </w:r>
    </w:p>
    <w:p>
      <w:pPr>
        <w:ind w:left="432"/>
      </w:pPr>
      <w:r>
        <w:rPr>
          <w:color w:val="003366"/>
          <w:sz w:val="18"/>
        </w:rPr>
        <w:t xml:space="preserve">§ 7 A incorporação às Forças Armadas de Deputados e Senadores, embora militares </w:t>
      </w:r>
    </w:p>
    <w:p>
      <w:pPr>
        <w:ind w:left="432"/>
      </w:pPr>
      <w:r>
        <w:rPr>
          <w:color w:val="003366"/>
          <w:sz w:val="18"/>
        </w:rPr>
        <w:t>§ 8 As imunidades de Deputados ou Senadores subsistirão durante o estado de síti</w:t>
      </w:r>
    </w:p>
    <w:p>
      <w:r>
        <w:rPr>
          <w:b/>
          <w:color w:val="003366"/>
          <w:sz w:val="20"/>
        </w:rPr>
        <w:t>Art. 54 Os Deputados e Senadores não poderão:</w:t>
      </w:r>
      <w:r>
        <w:rPr>
          <w:color w:val="8C8C8C"/>
          <w:sz w:val="14"/>
        </w:rPr>
        <w:t xml:space="preserve">  [2 decisoes]</w:t>
      </w:r>
    </w:p>
    <w:p>
      <w:pPr>
        <w:ind w:left="288"/>
      </w:pPr>
      <w:r>
        <w:rPr>
          <w:color w:val="8C8C8C"/>
          <w:sz w:val="12"/>
        </w:rPr>
        <w:t>cf-art-54-inc-I</w:t>
      </w:r>
    </w:p>
    <w:p>
      <w:pPr>
        <w:ind w:left="288"/>
      </w:pPr>
      <w:r>
        <w:rPr>
          <w:color w:val="1E1E1E"/>
          <w:sz w:val="18"/>
        </w:rPr>
        <w:t>a) firmar ou manter contrato com pessoa jurídica de direito público, autarquia, empresa pública, sociedade de economia mista ou empresa concessionária de serviço público, salvo quando o contrato obedecer a cláusulas uniformes;</w:t>
      </w:r>
    </w:p>
    <w:p>
      <w:pPr>
        <w:ind w:left="144"/>
      </w:pPr>
      <w:r>
        <w:rPr>
          <w:b/>
          <w:color w:val="B45A00"/>
          <w:sz w:val="16"/>
        </w:rPr>
        <w:t>JULGADOS CORRELATOS</w:t>
      </w:r>
    </w:p>
    <w:p>
      <w:pPr>
        <w:ind w:left="288"/>
      </w:pPr>
      <w:r>
        <w:rPr>
          <w:color w:val="8C8C8C"/>
          <w:sz w:val="12"/>
        </w:rPr>
        <w:t>cf-art-54-inc-II-ali-d</w:t>
      </w:r>
      <w:r>
        <w:rPr>
          <w:color w:val="003CA0"/>
          <w:sz w:val="12"/>
        </w:rPr>
        <w:t xml:space="preserve"> | MS 21.266</w:t>
      </w:r>
      <w:r>
        <w:rPr>
          <w:color w:val="003CA0"/>
          <w:sz w:val="12"/>
        </w:rPr>
        <w:t xml:space="preserve"> | rel. Célio Borja</w:t>
      </w:r>
    </w:p>
    <w:p>
      <w:pPr>
        <w:ind w:left="288"/>
      </w:pPr>
      <w:r>
        <w:rPr>
          <w:color w:val="1E1E1E"/>
          <w:sz w:val="18"/>
        </w:rPr>
        <w:t>As restrições constitucionais inerentes ao exercício do mandato parlamentar não se estendem ao suplente. A eleição e o exercício do mandato de prefeito não acarretam a perda da condição jurídica de suplente, podendo ser legitimamente convocado para substituir o titular, desde que renuncie ao mandato eletivo municipal.</w:t>
      </w:r>
    </w:p>
    <w:p>
      <w:pPr>
        <w:ind w:left="288"/>
      </w:pPr>
      <w:r>
        <w:rPr>
          <w:b/>
          <w:color w:val="003CA0"/>
          <w:sz w:val="16"/>
        </w:rPr>
        <w:t>[MS 21.266, rel. min. Célio Borja, j. 22-5-1991, 1ª T, DJ de 22-10-1993.]</w:t>
      </w:r>
    </w:p>
    <w:p>
      <w:pPr>
        <w:ind w:left="720"/>
      </w:pPr>
      <w:r>
        <w:rPr>
          <w:color w:val="003366"/>
          <w:sz w:val="18"/>
        </w:rPr>
        <w:t>I – desde a expedição do diploma:</w:t>
      </w:r>
    </w:p>
    <w:p>
      <w:pPr>
        <w:ind w:left="1008"/>
      </w:pPr>
      <w:r>
        <w:rPr>
          <w:color w:val="003366"/>
          <w:sz w:val="18"/>
        </w:rPr>
        <w:t xml:space="preserve">a) firmar ou manter contrato com pessoa jurídica de direito público, autarquia, </w:t>
      </w:r>
    </w:p>
    <w:p>
      <w:pPr>
        <w:ind w:left="1008"/>
      </w:pPr>
      <w:r>
        <w:rPr>
          <w:color w:val="003366"/>
          <w:sz w:val="18"/>
        </w:rPr>
        <w:t>b) aceitar ou exercer cargo, função ou emprego remunerado, inclusive os de que s</w:t>
      </w:r>
    </w:p>
    <w:p>
      <w:pPr>
        <w:ind w:left="720"/>
      </w:pPr>
      <w:r>
        <w:rPr>
          <w:color w:val="003366"/>
          <w:sz w:val="18"/>
        </w:rPr>
        <w:t>II – desde a posse:</w:t>
      </w:r>
    </w:p>
    <w:p>
      <w:pPr>
        <w:ind w:left="1008"/>
      </w:pPr>
      <w:r>
        <w:rPr>
          <w:color w:val="003366"/>
          <w:sz w:val="18"/>
        </w:rPr>
        <w:t>a) ser proprietários, controladores ou diretores de empresa que goze de favor de</w:t>
      </w:r>
    </w:p>
    <w:p>
      <w:pPr>
        <w:ind w:left="1008"/>
      </w:pPr>
      <w:r>
        <w:rPr>
          <w:color w:val="003366"/>
          <w:sz w:val="18"/>
        </w:rPr>
        <w:t>b) ocupar cargo ou função de que sejam demissíveis &amp;quot;ad nutum&amp;quot;, nas ent</w:t>
      </w:r>
    </w:p>
    <w:p>
      <w:pPr>
        <w:ind w:left="1008"/>
      </w:pPr>
      <w:r>
        <w:rPr>
          <w:color w:val="003366"/>
          <w:sz w:val="18"/>
        </w:rPr>
        <w:t>c) patrocinar causa em que seja interessada qualquer das entidades a que se refe</w:t>
      </w:r>
    </w:p>
    <w:p>
      <w:pPr>
        <w:ind w:left="1008"/>
      </w:pPr>
      <w:r>
        <w:rPr>
          <w:color w:val="003366"/>
          <w:sz w:val="18"/>
        </w:rPr>
        <w:t>d) ser titulares de mais de um cargo ou mandato público eletivo.</w:t>
      </w:r>
    </w:p>
    <w:p>
      <w:r>
        <w:rPr>
          <w:b/>
          <w:color w:val="003366"/>
          <w:sz w:val="20"/>
        </w:rPr>
        <w:t>Art. 55 Perderá o mandato o Deputado ou Senador:</w:t>
      </w:r>
      <w:r>
        <w:rPr>
          <w:color w:val="8C8C8C"/>
          <w:sz w:val="14"/>
        </w:rPr>
        <w:t xml:space="preserve">  [20 decisoes]</w:t>
      </w:r>
    </w:p>
    <w:p>
      <w:pPr>
        <w:ind w:left="144"/>
      </w:pPr>
      <w:r>
        <w:rPr>
          <w:b/>
          <w:color w:val="B45A00"/>
          <w:sz w:val="16"/>
        </w:rPr>
        <w:t>CONTROLE CONCENTRADO</w:t>
      </w:r>
    </w:p>
    <w:p>
      <w:pPr>
        <w:ind w:left="288"/>
      </w:pPr>
      <w:r>
        <w:rPr>
          <w:color w:val="8C8C8C"/>
          <w:sz w:val="12"/>
        </w:rPr>
        <w:t>cf-art-55</w:t>
      </w:r>
      <w:r>
        <w:rPr>
          <w:color w:val="003CA0"/>
          <w:sz w:val="12"/>
        </w:rPr>
        <w:t xml:space="preserve"> | ADI 5.081</w:t>
      </w:r>
      <w:r>
        <w:rPr>
          <w:color w:val="003CA0"/>
          <w:sz w:val="12"/>
        </w:rPr>
        <w:t xml:space="preserve"> | rel. Roberto Barroso</w:t>
      </w:r>
    </w:p>
    <w:p>
      <w:pPr>
        <w:ind w:left="288"/>
      </w:pPr>
      <w:r>
        <w:rPr>
          <w:color w:val="1E1E1E"/>
          <w:sz w:val="18"/>
        </w:rPr>
        <w:t xml:space="preserve">Inaplicabilidade da regra de perda do mandato por infidelidade partidária ao sistema eleitoral majoritário. (...) As características do sistema proporcional, com sua ênfase nos votos obtidos pelos partidos, tornam a fidelidade partidária importante para garantir que as opções políticas feitas pelo eleitor no momento da eleição sejam minimamente preservadas. Daí a legitimidade de se decretar a perda do mandato do candidato que abandona a legenda pela qual se elegeu. O sistema majoritário, adotado para a eleição de presidente, governador, prefeito e senador, tem lógica e dinâmica diversas da do </w:t>
      </w:r>
    </w:p>
    <w:p>
      <w:pPr>
        <w:ind w:left="288"/>
      </w:pPr>
      <w:r>
        <w:rPr>
          <w:b/>
          <w:color w:val="003CA0"/>
          <w:sz w:val="16"/>
        </w:rPr>
        <w:t>[ADI 5.081, rel. min. Roberto Barroso, j. 27-5-2015, P, DJE de 19-8-2015.]</w:t>
      </w:r>
    </w:p>
    <w:p>
      <w:pPr>
        <w:ind w:left="288"/>
      </w:pPr>
      <w:r>
        <w:rPr>
          <w:color w:val="8C8C8C"/>
          <w:sz w:val="12"/>
        </w:rPr>
        <w:t>cf-art-55</w:t>
      </w:r>
      <w:r>
        <w:rPr>
          <w:color w:val="003CA0"/>
          <w:sz w:val="12"/>
        </w:rPr>
        <w:t xml:space="preserve"> | MS 26.604</w:t>
      </w:r>
      <w:r>
        <w:rPr>
          <w:color w:val="003CA0"/>
          <w:sz w:val="12"/>
        </w:rPr>
        <w:t xml:space="preserve"> | rel. Cármen Lúcia</w:t>
      </w:r>
    </w:p>
    <w:p>
      <w:pPr>
        <w:ind w:left="288"/>
      </w:pPr>
      <w:r>
        <w:rPr>
          <w:color w:val="1E1E1E"/>
          <w:sz w:val="18"/>
        </w:rPr>
        <w:t>Vide MS 26.604, rel. min. Cármen Lúcia, j. 4-10-2007, P, DJE de 3-10-2008 O STF, por ocasião do julgamento dos MS 26.602, 26.603 e 26.604 reconheceu a existência do dever constitucional de observância do princípio da fidelidade partidária. (...) Não faria sentido a Corte reconhecer a existência de um direito constitucional sem prever um instrumento para assegurá-lo. As resoluções impugnadas surgem em contexto excepcional e transitório, tão somente como mecanismos para salvaguardar a observância da fidelidade partidária enquanto o Poder Legislativo, órgão legitimado para resolver as tensões típ</w:t>
      </w:r>
    </w:p>
    <w:p>
      <w:pPr>
        <w:ind w:left="288"/>
      </w:pPr>
      <w:r>
        <w:rPr>
          <w:b/>
          <w:color w:val="003CA0"/>
          <w:sz w:val="16"/>
        </w:rPr>
        <w:t>[ADI 3.999 e ADI 4.086, rel. min. Joaquim Barbosa, j. 12-11-2008, P, DJE de 17-4-2009.]</w:t>
      </w:r>
    </w:p>
    <w:p>
      <w:pPr>
        <w:ind w:left="144"/>
      </w:pPr>
      <w:r>
        <w:rPr>
          <w:b/>
          <w:color w:val="B45A00"/>
          <w:sz w:val="16"/>
        </w:rPr>
        <w:t>JULGADOS CORRELATOS</w:t>
      </w:r>
    </w:p>
    <w:p>
      <w:pPr>
        <w:ind w:left="288"/>
      </w:pPr>
      <w:r>
        <w:rPr>
          <w:color w:val="8C8C8C"/>
          <w:sz w:val="12"/>
        </w:rPr>
        <w:t>cf-art-55</w:t>
      </w:r>
      <w:r>
        <w:rPr>
          <w:color w:val="003CA0"/>
          <w:sz w:val="12"/>
        </w:rPr>
        <w:t xml:space="preserve"> | MS 27.938</w:t>
      </w:r>
      <w:r>
        <w:rPr>
          <w:color w:val="003CA0"/>
          <w:sz w:val="12"/>
        </w:rPr>
        <w:t xml:space="preserve"> | rel. Joaquim Barbosa</w:t>
      </w:r>
    </w:p>
    <w:p>
      <w:pPr>
        <w:ind w:left="288"/>
      </w:pPr>
      <w:r>
        <w:rPr>
          <w:color w:val="1E1E1E"/>
          <w:sz w:val="18"/>
        </w:rPr>
        <w:t>O reconhecimento da justa causa para transferência de partido político afasta a perda do mandato eletivo por infidelidade partidária. Contudo, ela não transfere ao novo partido o direito de sucessão à vaga.</w:t>
      </w:r>
    </w:p>
    <w:p>
      <w:pPr>
        <w:ind w:left="288"/>
      </w:pPr>
      <w:r>
        <w:rPr>
          <w:b/>
          <w:color w:val="003CA0"/>
          <w:sz w:val="16"/>
        </w:rPr>
        <w:t>[MS 27.938, rel. min. Joaquim Barbosa, j. 11-3-2010, P, DJE de 30-4-2010.]</w:t>
      </w:r>
    </w:p>
    <w:p>
      <w:pPr>
        <w:ind w:left="288"/>
      </w:pPr>
      <w:r>
        <w:rPr>
          <w:color w:val="8C8C8C"/>
          <w:sz w:val="12"/>
        </w:rPr>
        <w:t>cf-art-55</w:t>
      </w:r>
      <w:r>
        <w:rPr>
          <w:color w:val="003CA0"/>
          <w:sz w:val="12"/>
        </w:rPr>
        <w:t xml:space="preserve"> | MS 26.604</w:t>
      </w:r>
      <w:r>
        <w:rPr>
          <w:color w:val="003CA0"/>
          <w:sz w:val="12"/>
        </w:rPr>
        <w:t xml:space="preserve"> | rel. Cármen Lúcia</w:t>
      </w:r>
    </w:p>
    <w:p>
      <w:pPr>
        <w:ind w:left="288"/>
      </w:pPr>
      <w:r>
        <w:rPr>
          <w:color w:val="1E1E1E"/>
          <w:sz w:val="18"/>
        </w:rPr>
        <w:t xml:space="preserve">Vide MS 26.604, rel. min. Cármen Lúcia, j. 4-10-2007, P, DJE de 3-10-2008 A fidelidade partidária é corolário lógico-jurídico necessário do sistema constitucional vigente, sem necessidade de sua expressão literal. Sem ela não há atenção aos princípios obrigatórios que informam o ordenamento constitucional. A desfiliação partidária como causa do afastamento do parlamentar do cargo no qual se investira não configura, expressamente, pela Constituição, hipótese de cassação de mandato. O desligamento do parlamentar do mandato, em razão da ruptura, imotivada e assumida no exercício de sua liberdade </w:t>
      </w:r>
    </w:p>
    <w:p>
      <w:pPr>
        <w:ind w:left="288"/>
      </w:pPr>
      <w:r>
        <w:rPr>
          <w:b/>
          <w:color w:val="003CA0"/>
          <w:sz w:val="16"/>
        </w:rPr>
        <w:t>[MS 26.604, rel. min. Cármen Lúcia, j. 4-10-2007, P, DJE de 3-10-2008.]</w:t>
      </w:r>
    </w:p>
    <w:p>
      <w:pPr>
        <w:ind w:left="288"/>
      </w:pPr>
      <w:r>
        <w:rPr>
          <w:color w:val="8C8C8C"/>
          <w:sz w:val="12"/>
        </w:rPr>
        <w:t>cf-art-55</w:t>
      </w:r>
      <w:r>
        <w:rPr>
          <w:color w:val="003CA0"/>
          <w:sz w:val="12"/>
        </w:rPr>
        <w:t xml:space="preserve"> | MS 26.602</w:t>
      </w:r>
      <w:r>
        <w:rPr>
          <w:color w:val="003CA0"/>
          <w:sz w:val="12"/>
        </w:rPr>
        <w:t xml:space="preserve"> | rel. Eros Grau</w:t>
      </w:r>
    </w:p>
    <w:p>
      <w:pPr>
        <w:ind w:left="288"/>
      </w:pPr>
      <w:r>
        <w:rPr>
          <w:color w:val="1E1E1E"/>
          <w:sz w:val="18"/>
        </w:rPr>
        <w:t>= MS 26.602, rel. min. Eros Grau, j. 4-10-2007, P, DJE de 17-10-2008 = MS 26.603, rel. min. Celso de Mello, j. 4-10-2007, P, DJE de 19-12-2008 Vide ADI 5.081, rel. min. Roberto Barroso, j. 27-5-2015, P, DJE de 19-8-2015 Vide MS 27.938, rel. min. Joaquim Barbosa, j. 11-3-2010, P, DJE de 30-4-2010 Vide ADI 3.999 e ADI 4.086, rel. min. Joaquim Barbosa, j. 12-11-2008, P, DJE de 17-4-2009</w:t>
      </w:r>
    </w:p>
    <w:p>
      <w:pPr>
        <w:ind w:left="288"/>
      </w:pPr>
      <w:r>
        <w:rPr>
          <w:color w:val="8C8C8C"/>
          <w:sz w:val="12"/>
        </w:rPr>
        <w:t>cf-art-55-inc-II</w:t>
      </w:r>
      <w:r>
        <w:rPr>
          <w:color w:val="003CA0"/>
          <w:sz w:val="12"/>
        </w:rPr>
        <w:t xml:space="preserve"> | rel. Rosa Weber</w:t>
      </w:r>
    </w:p>
    <w:p>
      <w:pPr>
        <w:ind w:left="288"/>
      </w:pPr>
      <w:r>
        <w:rPr>
          <w:color w:val="1E1E1E"/>
          <w:sz w:val="18"/>
        </w:rPr>
        <w:t>A Constituição da República estabelece, a teor do art. 55, II, como hipótese de cassação do mandato a prática de condutas incompatíveis com o decoro parlamentar. Essa expressão consubstancia verdadeiro conceito genérico a ser preenchido pela Casa Legislativa competente, a evidenciar seu amplo espectro de discricionariedade.</w:t>
        <w:br/>
        <w:t>[STP 949 MC-REF, rel. min. Rosa Weber, j. 3-7-2023, P, DJE de 25-7-2023.]</w:t>
      </w:r>
    </w:p>
    <w:p>
      <w:pPr>
        <w:ind w:left="288"/>
      </w:pPr>
      <w:r>
        <w:rPr>
          <w:color w:val="8C8C8C"/>
          <w:sz w:val="12"/>
        </w:rPr>
        <w:t>cf-art-55-inc-II</w:t>
      </w:r>
      <w:r>
        <w:rPr>
          <w:color w:val="003CA0"/>
          <w:sz w:val="12"/>
        </w:rPr>
        <w:t xml:space="preserve"> | MS 34.327</w:t>
      </w:r>
      <w:r>
        <w:rPr>
          <w:color w:val="003CA0"/>
          <w:sz w:val="12"/>
        </w:rPr>
        <w:t xml:space="preserve"> | rel. Roberto Barroso</w:t>
      </w:r>
    </w:p>
    <w:p>
      <w:pPr>
        <w:ind w:left="288"/>
      </w:pPr>
      <w:r>
        <w:rPr>
          <w:color w:val="1E1E1E"/>
          <w:sz w:val="18"/>
        </w:rPr>
        <w:t>Cassação de mandato de deputado federal. Quebra de decoro parlamentar. (...) A suspensão do exercício do mandato do impetrante, por decisão desta Corte em sede cautelar penal, não gera direito à suspensão do processo de cassação do mandato: ninguém pode se beneficiar da própria conduta reprovável. Inexistência de violação à ampla defesa ou de direito subjetivo a dilações indevidas.</w:t>
        <w:br/>
        <w:t xml:space="preserve">[MS 34.327, rel. min. Roberto Barroso, j. 8-9-2016, P, DJE de 1º-8-2017.] (...) a regra inscrita no art. 56, II, da Constituição, não torna o congressista imune ao processo de cassação de seu mandato parlamentar. O </w:t>
      </w:r>
    </w:p>
    <w:p>
      <w:pPr>
        <w:ind w:left="288"/>
      </w:pPr>
      <w:r>
        <w:rPr>
          <w:b/>
          <w:color w:val="003CA0"/>
          <w:sz w:val="16"/>
        </w:rPr>
        <w:t>[MS 34.064 MC, rel. min. Celso de Mello, j. 16-3-2016, dec. monocrática, DJE de 18-3-2016.]</w:t>
      </w:r>
    </w:p>
    <w:p>
      <w:pPr>
        <w:ind w:left="288"/>
      </w:pPr>
      <w:r>
        <w:rPr>
          <w:color w:val="8C8C8C"/>
          <w:sz w:val="12"/>
        </w:rPr>
        <w:t>cf-art-55-inc-II</w:t>
      </w:r>
      <w:r>
        <w:rPr>
          <w:color w:val="003CA0"/>
          <w:sz w:val="12"/>
        </w:rPr>
        <w:t xml:space="preserve"> | MS 26.900</w:t>
      </w:r>
      <w:r>
        <w:rPr>
          <w:color w:val="003CA0"/>
          <w:sz w:val="12"/>
        </w:rPr>
        <w:t xml:space="preserve"> | rel. Eros Grau</w:t>
      </w:r>
    </w:p>
    <w:p>
      <w:pPr>
        <w:ind w:left="288"/>
      </w:pPr>
      <w:r>
        <w:rPr>
          <w:color w:val="1E1E1E"/>
          <w:sz w:val="18"/>
        </w:rPr>
        <w:t>A sessão deliberativa extraordinária do Senado Federal que decide sobre a perda de mandato do presidente do Congresso Nacional faz com que todos os parlamentares, sejam eles membros da Câmara ou do Senado Federal, tenham legítimo interesse no desfecho da sessão, visto que, somados, compõem o Poder Legislativo, que é exercido pelo Congresso Nacional (art. 44 da CF).</w:t>
      </w:r>
    </w:p>
    <w:p>
      <w:pPr>
        <w:ind w:left="288"/>
      </w:pPr>
      <w:r>
        <w:rPr>
          <w:b/>
          <w:color w:val="003CA0"/>
          <w:sz w:val="16"/>
        </w:rPr>
        <w:t>[MS 26.900 MC, red. do ac. min. Ricardo Lewandowski, rel. min. Eros Grau, j. 12-9-2007, P, DJE de 4-4-2008.]</w:t>
      </w:r>
    </w:p>
    <w:p>
      <w:pPr>
        <w:ind w:left="288"/>
      </w:pPr>
      <w:r>
        <w:rPr>
          <w:color w:val="8C8C8C"/>
          <w:sz w:val="12"/>
        </w:rPr>
        <w:t>cf-art-55-inc-II</w:t>
      </w:r>
      <w:r>
        <w:rPr>
          <w:color w:val="003CA0"/>
          <w:sz w:val="12"/>
        </w:rPr>
        <w:t xml:space="preserve"> | MS 23.388</w:t>
      </w:r>
      <w:r>
        <w:rPr>
          <w:color w:val="003CA0"/>
          <w:sz w:val="12"/>
        </w:rPr>
        <w:t xml:space="preserve"> | rel. Néri da Silveira</w:t>
      </w:r>
    </w:p>
    <w:p>
      <w:pPr>
        <w:ind w:left="288"/>
      </w:pPr>
      <w:r>
        <w:rPr>
          <w:color w:val="1E1E1E"/>
          <w:sz w:val="18"/>
        </w:rPr>
        <w:t>Ato da Mesa da Câmara dos Deputados, confirmado pela Comissão de Constituição e Justiça e Redação da referida Casa Legislativa, sobre a cassação do mandato do impetrante por comportamento incompatível com o decoro parlamentar. (...) Não cabe, no âmbito do mandado de segurança, (...) discutir deliberação, interna corporis, da Casa Legislativa. Escapa ao controle do Judiciário, no que concerne a seu mérito, juízo sobre fatos que se reserva, privativamente, à Casa do Congresso Nacional formulá-lo.</w:t>
      </w:r>
    </w:p>
    <w:p>
      <w:pPr>
        <w:ind w:left="288"/>
      </w:pPr>
      <w:r>
        <w:rPr>
          <w:b/>
          <w:color w:val="003CA0"/>
          <w:sz w:val="16"/>
        </w:rPr>
        <w:t>[MS 23.388, rel. min. Néri da Silveira, j. 25-11-1999, P, DJ de 20-4-2001.]</w:t>
      </w:r>
    </w:p>
    <w:p>
      <w:pPr>
        <w:ind w:left="288"/>
      </w:pPr>
      <w:r>
        <w:rPr>
          <w:color w:val="8C8C8C"/>
          <w:sz w:val="12"/>
        </w:rPr>
        <w:t>cf-art-55-inc-III</w:t>
      </w:r>
      <w:r>
        <w:rPr>
          <w:color w:val="003CA0"/>
          <w:sz w:val="12"/>
        </w:rPr>
        <w:t xml:space="preserve"> | MS 32.326</w:t>
      </w:r>
      <w:r>
        <w:rPr>
          <w:color w:val="003CA0"/>
          <w:sz w:val="12"/>
        </w:rPr>
        <w:t xml:space="preserve"> | rel. Roberto Barroso</w:t>
      </w:r>
    </w:p>
    <w:p>
      <w:pPr>
        <w:ind w:left="288"/>
      </w:pPr>
      <w:r>
        <w:rPr>
          <w:color w:val="1E1E1E"/>
          <w:sz w:val="18"/>
        </w:rPr>
        <w:t>Perda do mandato parlamentar. É da competência das Casas Legislativas decidir sobre a perda do mandato do congressista condenado criminalmente (art. 55, VI e § 2º, da CF). Regra excepcionada – adoção, no ponto, da tese proposta pelo eminente revisor, ministro Luís Roberto Barroso – quando a condenação impõe o cumprimento de pena em regime fechado, e não viável o trabalho externo diante da impossibilidade de cumprimento da fração mínima de 1/6 da pena para a obtenção do benefício durante o mandato e antes de consumada a ausência do congressista a 1/3 das sessões ordinárias da Casa Legislativa d</w:t>
      </w:r>
    </w:p>
    <w:p>
      <w:pPr>
        <w:ind w:left="288"/>
      </w:pPr>
      <w:r>
        <w:rPr>
          <w:color w:val="8C8C8C"/>
          <w:sz w:val="12"/>
        </w:rPr>
        <w:t>cf-art-55-par-1</w:t>
      </w:r>
      <w:r>
        <w:rPr>
          <w:color w:val="003CA0"/>
          <w:sz w:val="12"/>
        </w:rPr>
        <w:t xml:space="preserve"> | MS 25.579</w:t>
      </w:r>
      <w:r>
        <w:rPr>
          <w:color w:val="003CA0"/>
          <w:sz w:val="12"/>
        </w:rPr>
        <w:t xml:space="preserve"> | rel. Sepúlveda Pertence</w:t>
      </w:r>
    </w:p>
    <w:p>
      <w:pPr>
        <w:ind w:left="288"/>
      </w:pPr>
      <w:r>
        <w:rPr>
          <w:color w:val="1E1E1E"/>
          <w:sz w:val="18"/>
        </w:rPr>
        <w:t>O membro do Congresso Nacional que se licencia do mandato para investir-se no cargo de ministro de Estado não perde os laços que o unem, organicamente, ao Parlamento (CF, art. 56, I). (...) ainda que licenciado, cumpre-lhe guardar estrita observância às vedações e incompatibilidades inerentes ao estatuto constitucional do congressista, assim como às exigências ético-jurídicas que a Constituição (CF, art. 55, § 1º) e os regimentos internos das Casas Legislativas estabelecem como elementos caracterizadores do decoro parlamentar.</w:t>
      </w:r>
    </w:p>
    <w:p>
      <w:pPr>
        <w:ind w:left="288"/>
      </w:pPr>
      <w:r>
        <w:rPr>
          <w:b/>
          <w:color w:val="003CA0"/>
          <w:sz w:val="16"/>
        </w:rPr>
        <w:t>[MS 25.579 MC, red. do ac. min. Joaquim Barbosa, rel. min. Sepúlveda Pertence, j. 19-10-2005, P, DJ de 24-8-2007.]</w:t>
      </w:r>
    </w:p>
    <w:p>
      <w:pPr>
        <w:ind w:left="288"/>
      </w:pPr>
      <w:r>
        <w:rPr>
          <w:color w:val="8C8C8C"/>
          <w:sz w:val="12"/>
        </w:rPr>
        <w:t>cf-art-55-par-2</w:t>
      </w:r>
      <w:r>
        <w:rPr>
          <w:color w:val="003CA0"/>
          <w:sz w:val="12"/>
        </w:rPr>
        <w:t xml:space="preserve"> | AP 996</w:t>
      </w:r>
      <w:r>
        <w:rPr>
          <w:color w:val="003CA0"/>
          <w:sz w:val="12"/>
        </w:rPr>
        <w:t xml:space="preserve"> | rel. Edson Fachin</w:t>
      </w:r>
    </w:p>
    <w:p>
      <w:pPr>
        <w:ind w:left="288"/>
      </w:pPr>
      <w:r>
        <w:rPr>
          <w:color w:val="1E1E1E"/>
          <w:sz w:val="18"/>
        </w:rPr>
        <w:t>(...) a jurisprudência consolidada e a melhor doutrina sobre o assunto sinalizam que a perda do mandato nos casos de condenação criminal transitada em julgado, em se tratando de deputados e senadores, regrada pelo art. 55, § 2º, da Lei Maior, não é automática. (...) quando o mandato resulta do livre exercício da soberania popular, ou seja, quando o parlamentar é legitimamente eleito, falece ao Judiciário competência para decretar a perda automática de seu mandato, pois ela será, nos termos do art. 55, VI, § 2º, da Constituição, “decidida pela Câmara dos Deputados ou pelo Senado Federal, por vo</w:t>
      </w:r>
    </w:p>
    <w:p>
      <w:pPr>
        <w:ind w:left="288"/>
      </w:pPr>
      <w:r>
        <w:rPr>
          <w:b/>
          <w:color w:val="003CA0"/>
          <w:sz w:val="16"/>
        </w:rPr>
        <w:t>[AP 996, rel. Min. Edson Fachin, voto do min. Ricardo Lewandowski, j. 29-5-2018, 2ª T, DJE de 8-2-2019.]</w:t>
      </w:r>
    </w:p>
    <w:p>
      <w:pPr>
        <w:ind w:left="288"/>
      </w:pPr>
      <w:r>
        <w:rPr>
          <w:color w:val="8C8C8C"/>
          <w:sz w:val="12"/>
        </w:rPr>
        <w:t>cf-art-55-par-2</w:t>
      </w:r>
      <w:r>
        <w:rPr>
          <w:color w:val="003CA0"/>
          <w:sz w:val="12"/>
        </w:rPr>
        <w:t xml:space="preserve"> | AP 694</w:t>
      </w:r>
      <w:r>
        <w:rPr>
          <w:color w:val="003CA0"/>
          <w:sz w:val="12"/>
        </w:rPr>
        <w:t xml:space="preserve"> | rel. Rosa Weber</w:t>
      </w:r>
    </w:p>
    <w:p>
      <w:pPr>
        <w:ind w:left="288"/>
      </w:pPr>
      <w:r>
        <w:rPr>
          <w:color w:val="1E1E1E"/>
          <w:sz w:val="18"/>
        </w:rPr>
        <w:t>Vide AP 694, rel. min. Rosa Weber, j. 2-5-2017, 1ª T, DJE de 31-8-2017 Perda do mandato parlamentar. É da competência das Casas Legislativas decidir sobre a perda do mandato do congressista condenado criminalmente (art. 55, VI e § 2º, da CF). Regra excepcionada – adoção, no ponto, da tese proposta pelo eminente revisor, ministro Luís Roberto Barroso – quando a condenação impõe o cumprimento de pena em regime fechado, e não viável o trabalho externo diante da impossibilidade de cumprimento da fração mínima de 1/6 da pena para a obtenção do benefício durante o mandato e antes de consumada a ausê</w:t>
      </w:r>
    </w:p>
    <w:p>
      <w:pPr>
        <w:ind w:left="288"/>
      </w:pPr>
      <w:r>
        <w:rPr>
          <w:b/>
          <w:color w:val="003CA0"/>
          <w:sz w:val="16"/>
        </w:rPr>
        <w:t>[AP 694, rel. min. Rosa Weber, j. 2-5-2017, 1ª T, DJE de 31-8-2017.]</w:t>
      </w:r>
    </w:p>
    <w:p>
      <w:pPr>
        <w:ind w:left="288"/>
      </w:pPr>
      <w:r>
        <w:rPr>
          <w:color w:val="8C8C8C"/>
          <w:sz w:val="12"/>
        </w:rPr>
        <w:t>cf-art-55-par-2</w:t>
      </w:r>
      <w:r>
        <w:rPr>
          <w:color w:val="003CA0"/>
          <w:sz w:val="12"/>
        </w:rPr>
        <w:t xml:space="preserve"> | AP 565</w:t>
      </w:r>
      <w:r>
        <w:rPr>
          <w:color w:val="003CA0"/>
          <w:sz w:val="12"/>
        </w:rPr>
        <w:t xml:space="preserve"> | rel. Cármen Lúcia</w:t>
      </w:r>
    </w:p>
    <w:p>
      <w:pPr>
        <w:ind w:left="288"/>
      </w:pPr>
      <w:r>
        <w:rPr>
          <w:color w:val="1E1E1E"/>
          <w:sz w:val="18"/>
        </w:rPr>
        <w:t>≠ AP 565, rel. min. Cármen Lúcia, j. 8-8-2013, P, DJE de 23-5-2014 Vide AP 996, rel. Min. Edson Fachin, j. 29-5-2018, 2ª T, DJE de 8-2-2019 Em processo parlamentar de perda de mandato, não se admite aproveitamento de prova acusatória produzida após as provas de defesa, sem oportunidade de contradição real.</w:t>
      </w:r>
    </w:p>
    <w:p>
      <w:pPr>
        <w:ind w:left="288"/>
      </w:pPr>
      <w:r>
        <w:rPr>
          <w:b/>
          <w:color w:val="003CA0"/>
          <w:sz w:val="16"/>
        </w:rPr>
        <w:t>[MS 25.647 MC, rel. min. Cezar Peluso, j. 30-11-2005, P, DJ de 15-12-2006.]</w:t>
      </w:r>
    </w:p>
    <w:p>
      <w:pPr>
        <w:ind w:left="288"/>
      </w:pPr>
      <w:r>
        <w:rPr>
          <w:color w:val="8C8C8C"/>
          <w:sz w:val="12"/>
        </w:rPr>
        <w:t>cf-art-55-par-3</w:t>
      </w:r>
      <w:r>
        <w:rPr>
          <w:color w:val="003CA0"/>
          <w:sz w:val="12"/>
        </w:rPr>
        <w:t xml:space="preserve"> | MS 32.326</w:t>
      </w:r>
      <w:r>
        <w:rPr>
          <w:color w:val="003CA0"/>
          <w:sz w:val="12"/>
        </w:rPr>
        <w:t xml:space="preserve"> | rel. Roberto Barroso</w:t>
      </w:r>
    </w:p>
    <w:p>
      <w:pPr>
        <w:ind w:left="288"/>
      </w:pPr>
      <w:r>
        <w:rPr>
          <w:color w:val="1E1E1E"/>
          <w:sz w:val="18"/>
        </w:rPr>
        <w:t>Perda do mandato parlamentar. É da competência das Casas Legislativas decidir sobre a perda do mandato do congressista condenado criminalmente (art. 55, VI e § 2º, da CF). Regra excepcionada – adoção, no ponto, da tese proposta pelo eminente revisor, ministro Luís Roberto Barroso – quando a condenação impõe o cumprimento de pena em regime fechado, e não viável o trabalho externo diante da impossibilidade de cumprimento da fração mínima de 1/6 da pena para a obtenção do benefício durante o mandato e antes de consumada a ausência do congressista a 1/3 das sessões ordinárias da Casa Legislativa d</w:t>
      </w:r>
    </w:p>
    <w:p>
      <w:pPr>
        <w:ind w:left="288"/>
      </w:pPr>
      <w:r>
        <w:rPr>
          <w:b/>
          <w:color w:val="003CA0"/>
          <w:sz w:val="16"/>
        </w:rPr>
        <w:t>[MS 25.461, rel. min. Sepúlveda Pertence, j. 29-6-2006, P, DJ de 22-9-2006.]</w:t>
      </w:r>
    </w:p>
    <w:p>
      <w:pPr>
        <w:ind w:left="288"/>
      </w:pPr>
      <w:r>
        <w:rPr>
          <w:color w:val="8C8C8C"/>
          <w:sz w:val="12"/>
        </w:rPr>
        <w:t>cf-art-55-par-3</w:t>
      </w:r>
      <w:r>
        <w:rPr>
          <w:color w:val="003CA0"/>
          <w:sz w:val="12"/>
        </w:rPr>
        <w:t xml:space="preserve"> | MS 25.458</w:t>
      </w:r>
      <w:r>
        <w:rPr>
          <w:color w:val="003CA0"/>
          <w:sz w:val="12"/>
        </w:rPr>
        <w:t xml:space="preserve"> | rel. Marco Aurélio</w:t>
      </w:r>
    </w:p>
    <w:p>
      <w:pPr>
        <w:ind w:left="288"/>
      </w:pPr>
      <w:r>
        <w:rPr>
          <w:color w:val="1E1E1E"/>
          <w:sz w:val="18"/>
        </w:rPr>
        <w:t>Eficácia imediata das decisões da Justiça Eleitoral, salvo exceções previstas em lei. Comunicada a decisão à Presidência da Câmara dos Deputados, cabe a esta dar posse imediata ao suplente do parlamentar que teve seu diploma cassado.</w:t>
      </w:r>
    </w:p>
    <w:p>
      <w:pPr>
        <w:ind w:left="288"/>
      </w:pPr>
      <w:r>
        <w:rPr>
          <w:b/>
          <w:color w:val="003CA0"/>
          <w:sz w:val="16"/>
        </w:rPr>
        <w:t>[MS 25.458, red. do ac. min. Joaquim Barbosa, rel. min. Marco Aurélio, j. 7-12-2005, P, DJ de 9-3-2007.]</w:t>
      </w:r>
    </w:p>
    <w:p>
      <w:pPr>
        <w:ind w:left="288"/>
      </w:pPr>
      <w:r>
        <w:rPr>
          <w:color w:val="8C8C8C"/>
          <w:sz w:val="12"/>
        </w:rPr>
        <w:t>cf-art-55-par-3</w:t>
      </w:r>
      <w:r>
        <w:rPr>
          <w:color w:val="003CA0"/>
          <w:sz w:val="12"/>
        </w:rPr>
        <w:t xml:space="preserve"> | MS 27.613</w:t>
      </w:r>
      <w:r>
        <w:rPr>
          <w:color w:val="003CA0"/>
          <w:sz w:val="12"/>
        </w:rPr>
        <w:t xml:space="preserve"> | rel. Ricardo Lewandowski</w:t>
      </w:r>
    </w:p>
    <w:p>
      <w:pPr>
        <w:ind w:left="288"/>
      </w:pPr>
      <w:r>
        <w:rPr>
          <w:color w:val="1E1E1E"/>
          <w:sz w:val="18"/>
        </w:rPr>
        <w:t>= MS 27.613, rel. min. Ricardo Lewandowski, j. 28-10-2009, P, DJE de 4-12-2009</w:t>
      </w:r>
    </w:p>
    <w:p>
      <w:pPr>
        <w:ind w:left="288"/>
      </w:pPr>
      <w:r>
        <w:rPr>
          <w:color w:val="8C8C8C"/>
          <w:sz w:val="12"/>
        </w:rPr>
        <w:t>cf-art-55-par-4</w:t>
      </w:r>
      <w:r>
        <w:rPr>
          <w:color w:val="003CA0"/>
          <w:sz w:val="12"/>
        </w:rPr>
        <w:t xml:space="preserve"> | AP 396</w:t>
      </w:r>
      <w:r>
        <w:rPr>
          <w:color w:val="003CA0"/>
          <w:sz w:val="12"/>
        </w:rPr>
        <w:t xml:space="preserve"> | rel. Cármen Lúcia</w:t>
      </w:r>
    </w:p>
    <w:p>
      <w:pPr>
        <w:ind w:left="288"/>
      </w:pPr>
      <w:r>
        <w:rPr>
          <w:color w:val="1E1E1E"/>
          <w:sz w:val="18"/>
        </w:rPr>
        <w:t>Deputado federal. Renúncia ao mandato. Abuso de direito: reconhecimento da competência do STF para a continuidade do julgamento da presente ação penal. (...) Renúncia de mandato: ato legítimo. Não se presta, porém, a ser utilizada como subterfúgio para deslocamento de competências constitucionalmente definidas, que não podem ser objeto de escolha pessoal. Impossibilidade de ser aproveitada como expediente para impedir o julgamento em tempo à absolvição ou à condenação e, neste caso, à definição de penas. No caso, a renúncia do mandato foi apresentada à Casa Legislativa em 27-10-2010, véspera d</w:t>
      </w:r>
    </w:p>
    <w:p>
      <w:pPr>
        <w:ind w:left="288"/>
      </w:pPr>
      <w:r>
        <w:rPr>
          <w:b/>
          <w:color w:val="003CA0"/>
          <w:sz w:val="16"/>
        </w:rPr>
        <w:t>[AP 396, rel. min. Cármen Lúcia, j. 28-10-2010, P, DJE de 28-4-2011.]</w:t>
      </w:r>
    </w:p>
    <w:p>
      <w:pPr>
        <w:ind w:left="288"/>
      </w:pPr>
      <w:r>
        <w:rPr>
          <w:color w:val="8C8C8C"/>
          <w:sz w:val="12"/>
        </w:rPr>
        <w:t>cf-art-55-par-4</w:t>
      </w:r>
      <w:r>
        <w:rPr>
          <w:color w:val="003CA0"/>
          <w:sz w:val="12"/>
        </w:rPr>
        <w:t xml:space="preserve"> | AP 333</w:t>
      </w:r>
      <w:r>
        <w:rPr>
          <w:color w:val="003CA0"/>
          <w:sz w:val="12"/>
        </w:rPr>
        <w:t xml:space="preserve"> | rel. Joaquim Barbosa</w:t>
      </w:r>
    </w:p>
    <w:p>
      <w:pPr>
        <w:ind w:left="288"/>
      </w:pPr>
      <w:r>
        <w:rPr>
          <w:color w:val="1E1E1E"/>
          <w:sz w:val="18"/>
        </w:rPr>
        <w:t>Vide AP 333, rel. min. Joaquim Barbosa, j. 5-12-2007, P, DJE de 11-4-2008 A renúncia do réu produz plenos efeitos no plano processual, o que implica a declinação da competência do STF para o juízo criminal de primeiro grau. Ausente o abuso de direito que os votos vencidos vislumbraram no ato. Autos encaminhados ao juízo atualmente competente.</w:t>
      </w:r>
    </w:p>
    <w:p>
      <w:pPr>
        <w:ind w:left="288"/>
      </w:pPr>
      <w:r>
        <w:rPr>
          <w:b/>
          <w:color w:val="003CA0"/>
          <w:sz w:val="16"/>
        </w:rPr>
        <w:t>[AP 333, rel. min. Joaquim Barbosa, j. 5-12-2007, P, DJE de 11-4-2008.]</w:t>
      </w:r>
    </w:p>
    <w:p>
      <w:pPr>
        <w:ind w:left="288"/>
      </w:pPr>
      <w:r>
        <w:rPr>
          <w:color w:val="8C8C8C"/>
          <w:sz w:val="12"/>
        </w:rPr>
        <w:t>cf-art-55-par-4</w:t>
      </w:r>
      <w:r>
        <w:rPr>
          <w:color w:val="003CA0"/>
          <w:sz w:val="12"/>
        </w:rPr>
        <w:t xml:space="preserve"> | AP 396</w:t>
      </w:r>
      <w:r>
        <w:rPr>
          <w:color w:val="003CA0"/>
          <w:sz w:val="12"/>
        </w:rPr>
        <w:t xml:space="preserve"> | rel. Cármen Lúcia</w:t>
      </w:r>
    </w:p>
    <w:p>
      <w:pPr>
        <w:ind w:left="288"/>
      </w:pPr>
      <w:r>
        <w:rPr>
          <w:color w:val="1E1E1E"/>
          <w:sz w:val="18"/>
        </w:rPr>
        <w:t>Vide AP 396, rel. min. Cármen Lúcia, j. 28-10-2010, P, DJE de 28-4-2011</w:t>
      </w:r>
    </w:p>
    <w:p>
      <w:pPr>
        <w:ind w:left="720"/>
      </w:pPr>
      <w:r>
        <w:rPr>
          <w:color w:val="003366"/>
          <w:sz w:val="18"/>
        </w:rPr>
        <w:t>I – que infringir qualquer das proibições estabelecidas no artigo anterior;</w:t>
      </w:r>
    </w:p>
    <w:p>
      <w:pPr>
        <w:ind w:left="720"/>
      </w:pPr>
      <w:r>
        <w:rPr>
          <w:color w:val="003366"/>
          <w:sz w:val="18"/>
        </w:rPr>
        <w:t>II – cujo procedimento for declarado incompatível com o decoro parlamentar;</w:t>
      </w:r>
    </w:p>
    <w:p>
      <w:pPr>
        <w:ind w:left="720"/>
      </w:pPr>
      <w:r>
        <w:rPr>
          <w:color w:val="003366"/>
          <w:sz w:val="18"/>
        </w:rPr>
        <w:t>III – que deixar de comparecer, em cada sessão legislativa, à terça parte das se</w:t>
      </w:r>
    </w:p>
    <w:p>
      <w:pPr>
        <w:ind w:left="720"/>
      </w:pPr>
      <w:r>
        <w:rPr>
          <w:color w:val="003366"/>
          <w:sz w:val="18"/>
        </w:rPr>
        <w:t>IV – que perder ou tiver suspensos os direitos políticos;</w:t>
      </w:r>
    </w:p>
    <w:p>
      <w:pPr>
        <w:ind w:left="720"/>
      </w:pPr>
      <w:r>
        <w:rPr>
          <w:color w:val="003366"/>
          <w:sz w:val="18"/>
        </w:rPr>
        <w:t>V – quando o decretar a Justiça Eleitoral, nos casos previstos nesta Constituiçã</w:t>
      </w:r>
    </w:p>
    <w:p>
      <w:pPr>
        <w:ind w:left="720"/>
      </w:pPr>
      <w:r>
        <w:rPr>
          <w:color w:val="003366"/>
          <w:sz w:val="18"/>
        </w:rPr>
        <w:t>VI – que sofrer condenação criminal em sentença transitada em julgado.</w:t>
      </w:r>
    </w:p>
    <w:p>
      <w:pPr>
        <w:ind w:left="432"/>
      </w:pPr>
      <w:r>
        <w:rPr>
          <w:color w:val="003366"/>
          <w:sz w:val="18"/>
        </w:rPr>
        <w:t>§ 1 É incompatível com o decoro parlamentar, além dos casos definidos no regimen</w:t>
      </w:r>
    </w:p>
    <w:p>
      <w:pPr>
        <w:ind w:left="432"/>
      </w:pPr>
      <w:r>
        <w:rPr>
          <w:color w:val="003366"/>
          <w:sz w:val="18"/>
        </w:rPr>
        <w:t>§ 2 Nos casos dos incisos I, II e VI, a perda do mandato será decidida pela Câma</w:t>
      </w:r>
    </w:p>
    <w:p>
      <w:pPr>
        <w:ind w:left="432"/>
      </w:pPr>
      <w:r>
        <w:rPr>
          <w:color w:val="003366"/>
          <w:sz w:val="18"/>
        </w:rPr>
        <w:t>§ 3 Nos casos previstos nos incisos III a V, a perda será declarada pela Mesa da</w:t>
      </w:r>
    </w:p>
    <w:p>
      <w:pPr>
        <w:ind w:left="432"/>
      </w:pPr>
      <w:r>
        <w:rPr>
          <w:color w:val="003366"/>
          <w:sz w:val="18"/>
        </w:rPr>
        <w:t>§ 4 A renúncia de parlamentar submetido a processo que vise ou possa levar à per</w:t>
      </w:r>
    </w:p>
    <w:p>
      <w:r>
        <w:rPr>
          <w:b/>
          <w:color w:val="003366"/>
          <w:sz w:val="20"/>
        </w:rPr>
        <w:t>Art. 56 Não perderá o mandato o Deputado ou Senador:</w:t>
      </w:r>
      <w:r>
        <w:rPr>
          <w:color w:val="8C8C8C"/>
          <w:sz w:val="14"/>
        </w:rPr>
        <w:t xml:space="preserve">  [9 decisoes]</w:t>
      </w:r>
    </w:p>
    <w:p>
      <w:pPr>
        <w:ind w:left="144"/>
      </w:pPr>
      <w:r>
        <w:rPr>
          <w:b/>
          <w:color w:val="B45A00"/>
          <w:sz w:val="16"/>
        </w:rPr>
        <w:t>JULGADOS CORRELATOS</w:t>
      </w:r>
    </w:p>
    <w:p>
      <w:pPr>
        <w:ind w:left="288"/>
      </w:pPr>
      <w:r>
        <w:rPr>
          <w:color w:val="8C8C8C"/>
          <w:sz w:val="12"/>
        </w:rPr>
        <w:t>cf-art-56-inc-I</w:t>
      </w:r>
      <w:r>
        <w:rPr>
          <w:color w:val="003CA0"/>
          <w:sz w:val="12"/>
        </w:rPr>
        <w:t xml:space="preserve"> | PET 7.990</w:t>
      </w:r>
      <w:r>
        <w:rPr>
          <w:color w:val="003CA0"/>
          <w:sz w:val="12"/>
        </w:rPr>
        <w:t xml:space="preserve"> | rel. Marco Aurélio</w:t>
      </w:r>
    </w:p>
    <w:p>
      <w:pPr>
        <w:ind w:left="288"/>
      </w:pPr>
      <w:r>
        <w:rPr>
          <w:color w:val="1E1E1E"/>
          <w:sz w:val="18"/>
        </w:rPr>
        <w:t>Parlamentar – prerrogativa de foro – alcance. A competência do Supremo Tribunal Federal, considerada prática de crime comum, pressupõe delito cometido no exercício do mandato e a este, de alguma forma, ligado. Mandato parlamentar – licença – prerrogativa de função – insubsistência. A superveniência de licença do parlamentar para o desempenho de cargo diverso daquele gerador da prerrogativa de função torna insubsistente a competência do Supremo, considerada a ausência de vinculação do delito com o cargo atualmente desempenhado.</w:t>
      </w:r>
    </w:p>
    <w:p>
      <w:pPr>
        <w:ind w:left="288"/>
      </w:pPr>
      <w:r>
        <w:rPr>
          <w:b/>
          <w:color w:val="003CA0"/>
          <w:sz w:val="16"/>
        </w:rPr>
        <w:t>[Pet 7.990 AgR, rel. min. Marco Aurélio, j. 18-8-2020, 1ª T, DJE 4-12-2020]</w:t>
      </w:r>
    </w:p>
    <w:p>
      <w:pPr>
        <w:ind w:left="288"/>
      </w:pPr>
      <w:r>
        <w:rPr>
          <w:color w:val="8C8C8C"/>
          <w:sz w:val="12"/>
        </w:rPr>
        <w:t>cf-art-56-inc-I</w:t>
      </w:r>
      <w:r>
        <w:rPr>
          <w:color w:val="003CA0"/>
          <w:sz w:val="12"/>
        </w:rPr>
        <w:t xml:space="preserve"> | INQ 777-3</w:t>
      </w:r>
      <w:r>
        <w:rPr>
          <w:color w:val="003CA0"/>
          <w:sz w:val="12"/>
        </w:rPr>
        <w:t xml:space="preserve"> | rel. Moreira Alves</w:t>
      </w:r>
    </w:p>
    <w:p>
      <w:pPr>
        <w:ind w:left="288"/>
      </w:pPr>
      <w:r>
        <w:rPr>
          <w:color w:val="1E1E1E"/>
          <w:sz w:val="18"/>
        </w:rPr>
        <w:t>O membro do Congresso Nacional que se licencia do mandato para investir-se no cargo de ministro de Estado não perde os laços que o unem, organicamente, ao Parlamento (CF, art. 56, I). Consequentemente, continua a subsistir em seu favor a garantia constitucional da prerrogativa de foro em matéria penal (Inq 777-3 QO/TO, rel. min. Moreira Alves, DJ de 1º-10-1993), bem como a faculdade de optar pela remuneração do mandato (CF, art. 56, § 3º). Da mesma forma, ainda que licenciado, cumpre-lhe guardar estrita observância às vedações e incompatibilidades inerentes ao estatuto constitucional do congre</w:t>
      </w:r>
    </w:p>
    <w:p>
      <w:pPr>
        <w:ind w:left="144"/>
      </w:pPr>
      <w:r>
        <w:rPr>
          <w:b/>
          <w:color w:val="B45A00"/>
          <w:sz w:val="16"/>
        </w:rPr>
        <w:t>CONTROLE CONCENTRADO</w:t>
      </w:r>
    </w:p>
    <w:p>
      <w:pPr>
        <w:ind w:left="288"/>
      </w:pPr>
      <w:r>
        <w:rPr>
          <w:color w:val="8C8C8C"/>
          <w:sz w:val="12"/>
        </w:rPr>
        <w:t>cf-art-56-inc-I</w:t>
      </w:r>
      <w:r>
        <w:rPr>
          <w:color w:val="003CA0"/>
          <w:sz w:val="12"/>
        </w:rPr>
        <w:t xml:space="preserve"> | ADI 7.254</w:t>
      </w:r>
      <w:r>
        <w:rPr>
          <w:color w:val="003CA0"/>
          <w:sz w:val="12"/>
        </w:rPr>
        <w:t xml:space="preserve"> | rel. Flávio Dino</w:t>
      </w:r>
    </w:p>
    <w:p>
      <w:pPr>
        <w:ind w:left="288"/>
      </w:pPr>
      <w:r>
        <w:rPr>
          <w:color w:val="1E1E1E"/>
          <w:sz w:val="18"/>
        </w:rPr>
        <w:t>Ação direta ajuizada contra norma da Constituição estadual de Pernambuco que autoriza o afastamento parlamentar motivado por razões de interesse particular sem restringir o limite de tempo da licença, tornando possível, nessa hipótese, a convocação do suplente para o exercício do mandato eletivo. Chama-se de Estatuto dos Congressistas o conjunto de normas constitucionais – aplicáveis, por extensão, aos Deputados estaduais (CF, art. 27, § 1º) – destinadas à garantia da liberdade dos Deputados Federais e Senadores da República e da independência do Poder Legislativo da União. (...) As disposiçõe</w:t>
      </w:r>
    </w:p>
    <w:p>
      <w:pPr>
        <w:ind w:left="144"/>
      </w:pPr>
      <w:r>
        <w:rPr>
          <w:b/>
          <w:color w:val="B45A00"/>
          <w:sz w:val="16"/>
        </w:rPr>
        <w:t>JULGADOS CORRELATOS</w:t>
      </w:r>
    </w:p>
    <w:p>
      <w:pPr>
        <w:ind w:left="288"/>
      </w:pPr>
      <w:r>
        <w:rPr>
          <w:color w:val="8C8C8C"/>
          <w:sz w:val="12"/>
        </w:rPr>
        <w:t>cf-art-56-inc-I</w:t>
      </w:r>
      <w:r>
        <w:rPr>
          <w:color w:val="003CA0"/>
          <w:sz w:val="12"/>
        </w:rPr>
        <w:t xml:space="preserve"> | MS 34.064</w:t>
      </w:r>
      <w:r>
        <w:rPr>
          <w:color w:val="003CA0"/>
          <w:sz w:val="12"/>
        </w:rPr>
        <w:t xml:space="preserve"> | rel. Celso de Mello</w:t>
      </w:r>
    </w:p>
    <w:p>
      <w:pPr>
        <w:ind w:left="288"/>
      </w:pPr>
      <w:r>
        <w:rPr>
          <w:color w:val="1E1E1E"/>
          <w:sz w:val="18"/>
        </w:rPr>
        <w:t>(...) a regra inscrita no art. 56, II, da Constituição, não torna o congressista imune ao processo de cassação de seu mandato parlamentar. O que essa cláusula constitucional estabelece, isso sim, é a impossibilidade de a mera concessão de licença ao parlamentar, por motivo de doença, erigir-se, ela própria, à condição geradora da perda do mandato legislativo. Isso significa que o simples afastamento temporário das funções legislativas, por razão de saúde, não se revela motivo bastante para justificar a imposição da sanção destitutória do mandato parlamentar, eis que inexistente, em tal hipótes</w:t>
      </w:r>
    </w:p>
    <w:p>
      <w:pPr>
        <w:ind w:left="288"/>
      </w:pPr>
      <w:r>
        <w:rPr>
          <w:b/>
          <w:color w:val="003CA0"/>
          <w:sz w:val="16"/>
        </w:rPr>
        <w:t>[MS 34.064 MC, rel. min. Celso de Mello, j. 16-3-2016, dec. monocrática, DJE de 18-3-2016.]</w:t>
      </w:r>
    </w:p>
    <w:p>
      <w:pPr>
        <w:ind w:left="144"/>
      </w:pPr>
      <w:r>
        <w:rPr>
          <w:b/>
          <w:color w:val="B45A00"/>
          <w:sz w:val="16"/>
        </w:rPr>
        <w:t>CONTROLE CONCENTRADO</w:t>
      </w:r>
    </w:p>
    <w:p>
      <w:pPr>
        <w:ind w:left="288"/>
      </w:pPr>
      <w:r>
        <w:rPr>
          <w:color w:val="8C8C8C"/>
          <w:sz w:val="12"/>
        </w:rPr>
        <w:t>cf-art-56-par-1</w:t>
      </w:r>
      <w:r>
        <w:rPr>
          <w:color w:val="003CA0"/>
          <w:sz w:val="12"/>
        </w:rPr>
        <w:t xml:space="preserve"> | ADI 7.253</w:t>
      </w:r>
      <w:r>
        <w:rPr>
          <w:color w:val="003CA0"/>
          <w:sz w:val="12"/>
        </w:rPr>
        <w:t xml:space="preserve"> | rel. Cármen Lúcia</w:t>
      </w:r>
    </w:p>
    <w:p>
      <w:pPr>
        <w:ind w:left="288"/>
      </w:pPr>
      <w:r>
        <w:rPr>
          <w:color w:val="1E1E1E"/>
          <w:sz w:val="18"/>
        </w:rPr>
        <w:t>A interpretação que assegura a máxima efetividade do § 1º do art. 56 c/c o § 1º do art. 27 da Constituição da República e dos princípios da soberania popular, democrático e republicano determina que o prazo previsto na Constituição da República, para convocação de suplente no caso de licença de parlamentar para tratar de interesses particulares, é de observância obrigatória pelos Estados-membros e deve ser adotado pelas respectivas Assembleias Legislativas.</w:t>
        <w:br/>
        <w:t>[ADI 7.253, rel. min. Cármen Lúcia, j. 22-5-2023, P, DJE de 6-6-2023.]</w:t>
      </w:r>
    </w:p>
    <w:p>
      <w:pPr>
        <w:ind w:left="144"/>
      </w:pPr>
      <w:r>
        <w:rPr>
          <w:b/>
          <w:color w:val="B45A00"/>
          <w:sz w:val="16"/>
        </w:rPr>
        <w:t>JULGADOS CORRELATOS</w:t>
      </w:r>
    </w:p>
    <w:p>
      <w:pPr>
        <w:ind w:left="288"/>
      </w:pPr>
      <w:r>
        <w:rPr>
          <w:color w:val="8C8C8C"/>
          <w:sz w:val="12"/>
        </w:rPr>
        <w:t>cf-art-56-par-1</w:t>
      </w:r>
      <w:r>
        <w:rPr>
          <w:color w:val="003CA0"/>
          <w:sz w:val="12"/>
        </w:rPr>
        <w:t xml:space="preserve"> | MS 30.260</w:t>
      </w:r>
      <w:r>
        <w:rPr>
          <w:color w:val="003CA0"/>
          <w:sz w:val="12"/>
        </w:rPr>
        <w:t xml:space="preserve"> | rel. Cármen Lúcia</w:t>
      </w:r>
    </w:p>
    <w:p>
      <w:pPr>
        <w:ind w:left="288"/>
      </w:pPr>
      <w:r>
        <w:rPr>
          <w:color w:val="1E1E1E"/>
          <w:sz w:val="18"/>
        </w:rPr>
        <w:t>O quociente partidário para o preenchimento de cargos vagos é definido em função da coligação, contemplando seus candidatos mais votados, independentemente dos partidos aos quais são filiados. Regra que deve ser mantida para a convocação dos suplentes, pois eles, como os eleitos, formam lista única de votações nominais que, em ordem decrescente, representa a vontade do eleitorado. A sistemática estabelecida no ordenamento jurídico eleitoral para o preenchimento dos cargos disputados no sistema de eleições proporcionais é declarada no momento da diplomação, quando são ordenados os candidatos el</w:t>
      </w:r>
    </w:p>
    <w:p>
      <w:pPr>
        <w:ind w:left="288"/>
      </w:pPr>
      <w:r>
        <w:rPr>
          <w:b/>
          <w:color w:val="003CA0"/>
          <w:sz w:val="16"/>
        </w:rPr>
        <w:t>[AP 511, rel. min. Celso de Mello, j. 25-11-2009, dec. monocrática, DJE de 3-12-2009.]</w:t>
      </w:r>
    </w:p>
    <w:p>
      <w:pPr>
        <w:ind w:left="144"/>
      </w:pPr>
      <w:r>
        <w:rPr>
          <w:b/>
          <w:color w:val="B45A00"/>
          <w:sz w:val="16"/>
        </w:rPr>
        <w:t>CONTROLE CONCENTRADO</w:t>
      </w:r>
    </w:p>
    <w:p>
      <w:pPr>
        <w:ind w:left="288"/>
      </w:pPr>
      <w:r>
        <w:rPr>
          <w:color w:val="8C8C8C"/>
          <w:sz w:val="12"/>
        </w:rPr>
        <w:t>cf-art-56-par-2</w:t>
      </w:r>
      <w:r>
        <w:rPr>
          <w:color w:val="003CA0"/>
          <w:sz w:val="12"/>
        </w:rPr>
        <w:t xml:space="preserve"> | ADPF 643</w:t>
      </w:r>
      <w:r>
        <w:rPr>
          <w:color w:val="003CA0"/>
          <w:sz w:val="12"/>
        </w:rPr>
        <w:t xml:space="preserve"> | rel. Rosa Weber</w:t>
      </w:r>
    </w:p>
    <w:p>
      <w:pPr>
        <w:ind w:left="288"/>
      </w:pPr>
      <w:r>
        <w:rPr>
          <w:color w:val="1E1E1E"/>
          <w:sz w:val="18"/>
        </w:rPr>
        <w:t>Independentemente do número de votos anulados, há a necessidade de realização de novas eleições em pleito majoritário quando for indeferido o pedido de registro da candidatura ou em virtude de cassação do diploma ou do mandato. Somente se poderia cogitar do amesquinhamento do princípio federativo, em caso de duradoura persistência da situação de representação a menor de um determinado Estado, o que, na inteligência do art. 56, § 2º, da Constituição, corresponderia a um prazo superior a quinze meses. Não se extrai do indigitado artigo interpretação conducente a permitir a assunção interina do c</w:t>
      </w:r>
    </w:p>
    <w:p>
      <w:pPr>
        <w:ind w:left="144"/>
      </w:pPr>
      <w:r>
        <w:rPr>
          <w:b/>
          <w:color w:val="B45A00"/>
          <w:sz w:val="16"/>
        </w:rPr>
        <w:t>JULGADOS CORRELATOS</w:t>
      </w:r>
    </w:p>
    <w:p>
      <w:pPr>
        <w:ind w:left="288"/>
      </w:pPr>
      <w:r>
        <w:rPr>
          <w:color w:val="8C8C8C"/>
          <w:sz w:val="12"/>
        </w:rPr>
        <w:t>cf-art-56-par-3</w:t>
      </w:r>
      <w:r>
        <w:rPr>
          <w:color w:val="003CA0"/>
          <w:sz w:val="12"/>
        </w:rPr>
        <w:t xml:space="preserve"> | INQ 777-3</w:t>
      </w:r>
      <w:r>
        <w:rPr>
          <w:color w:val="003CA0"/>
          <w:sz w:val="12"/>
        </w:rPr>
        <w:t xml:space="preserve"> | rel. Moreira Alves</w:t>
      </w:r>
    </w:p>
    <w:p>
      <w:pPr>
        <w:ind w:left="288"/>
      </w:pPr>
      <w:r>
        <w:rPr>
          <w:color w:val="1E1E1E"/>
          <w:sz w:val="18"/>
        </w:rPr>
        <w:t>O membro do Congresso Nacional que se licencia do mandato para investir-se no cargo de ministro de Estado não perde os laços que o unem, organicamente, ao Parlamento (CF, art. 56, I). Consequentemente, continua a subsistir em seu favor a garantia constitucional da prerrogativa de foro em matéria penal (Inq 777-3 QO/TO, rel. min. Moreira Alves, DJ de 1º-10-1993), bem como a faculdade de optar pela remuneração do mandato (CF, art. 56, § 3º). Da mesma forma, ainda que licenciado, cumpre-lhe guardar estrita observância às vedações e incompatibilidades inerentes ao estatuto constitucional do congre</w:t>
      </w:r>
    </w:p>
    <w:p>
      <w:pPr>
        <w:ind w:left="288"/>
      </w:pPr>
      <w:r>
        <w:rPr>
          <w:b/>
          <w:color w:val="003CA0"/>
          <w:sz w:val="16"/>
        </w:rPr>
        <w:t>[MS 25.579 MC, red. do ac. min. Joaquim Barbosa, j. 19-10-2005, P, DJ de 24-8-2007.]</w:t>
      </w:r>
    </w:p>
    <w:p>
      <w:pPr>
        <w:ind w:left="288"/>
      </w:pPr>
      <w:r>
        <w:rPr>
          <w:color w:val="8C8C8C"/>
          <w:sz w:val="12"/>
        </w:rPr>
        <w:t>cf-art-56-par-3</w:t>
      </w:r>
    </w:p>
    <w:p>
      <w:pPr>
        <w:ind w:left="288"/>
      </w:pPr>
      <w:r>
        <w:rPr>
          <w:color w:val="1E1E1E"/>
          <w:sz w:val="18"/>
        </w:rPr>
        <w:t>Seção VI Das Reuniões SUMÁRIO</w:t>
      </w:r>
    </w:p>
    <w:p>
      <w:pPr>
        <w:ind w:left="720"/>
      </w:pPr>
      <w:r>
        <w:rPr>
          <w:color w:val="003366"/>
          <w:sz w:val="18"/>
        </w:rPr>
        <w:t>I – investido no cargo de Ministro de Estado, Governador de Território, Secretár</w:t>
      </w:r>
    </w:p>
    <w:p>
      <w:pPr>
        <w:ind w:left="720"/>
      </w:pPr>
      <w:r>
        <w:rPr>
          <w:color w:val="003366"/>
          <w:sz w:val="18"/>
        </w:rPr>
        <w:t>II – licenciado pela respectiva Casa por motivo de doença, ou para tratar, sem r</w:t>
      </w:r>
    </w:p>
    <w:p>
      <w:pPr>
        <w:ind w:left="432"/>
      </w:pPr>
      <w:r>
        <w:rPr>
          <w:color w:val="003366"/>
          <w:sz w:val="18"/>
        </w:rPr>
        <w:t>§ 1 O suplente será convocado nos casos de vaga, de investidura em funções previ</w:t>
      </w:r>
    </w:p>
    <w:p>
      <w:pPr>
        <w:ind w:left="432"/>
      </w:pPr>
      <w:r>
        <w:rPr>
          <w:color w:val="003366"/>
          <w:sz w:val="18"/>
        </w:rPr>
        <w:t xml:space="preserve">§ 2 Ocorrendo vaga e não havendo suplente, far-se-á eleição para preenchê-la se </w:t>
      </w:r>
    </w:p>
    <w:p>
      <w:pPr>
        <w:ind w:left="432"/>
      </w:pPr>
      <w:r>
        <w:rPr>
          <w:color w:val="003366"/>
          <w:sz w:val="18"/>
        </w:rPr>
        <w:t>§ 3 Na hipótese do inciso I, o Deputado ou Senador poderá optar pela remuneração</w:t>
      </w:r>
    </w:p>
    <w:p>
      <w:pPr>
        <w:pStyle w:val="Heading3"/>
      </w:pPr>
      <w:r>
        <w:rPr>
          <w:color w:val="003366"/>
        </w:rPr>
        <w:t>Seção VI - DAS REUNIÕES</w:t>
      </w:r>
    </w:p>
    <w:p>
      <w:r>
        <w:rPr>
          <w:b/>
          <w:color w:val="003366"/>
          <w:sz w:val="20"/>
        </w:rPr>
        <w:t>Art. 57 O Congresso Nacional reunir-se-á, anualmente, na Capital Federal, de 2 d</w:t>
      </w:r>
      <w:r>
        <w:rPr>
          <w:color w:val="8C8C8C"/>
          <w:sz w:val="14"/>
        </w:rPr>
        <w:t xml:space="preserve">  [16 decisoes]</w:t>
      </w:r>
    </w:p>
    <w:p>
      <w:pPr>
        <w:ind w:left="144"/>
      </w:pPr>
      <w:r>
        <w:rPr>
          <w:b/>
          <w:color w:val="B45A00"/>
          <w:sz w:val="16"/>
        </w:rPr>
        <w:t>JULGADOS CORRELATOS</w:t>
      </w:r>
    </w:p>
    <w:p>
      <w:pPr>
        <w:ind w:left="288"/>
      </w:pPr>
      <w:r>
        <w:rPr>
          <w:color w:val="8C8C8C"/>
          <w:sz w:val="12"/>
        </w:rPr>
        <w:t>cf-art-57-par-3</w:t>
      </w:r>
      <w:r>
        <w:rPr>
          <w:color w:val="003CA0"/>
          <w:sz w:val="12"/>
        </w:rPr>
        <w:t xml:space="preserve"> | MS 33.729</w:t>
      </w:r>
      <w:r>
        <w:rPr>
          <w:color w:val="003CA0"/>
          <w:sz w:val="12"/>
        </w:rPr>
        <w:t xml:space="preserve"> | rel. Roberto Barroso</w:t>
      </w:r>
    </w:p>
    <w:p>
      <w:pPr>
        <w:ind w:left="288"/>
      </w:pPr>
      <w:r>
        <w:rPr>
          <w:color w:val="1E1E1E"/>
          <w:sz w:val="18"/>
        </w:rPr>
        <w:t>O julgamento das contas do Presidente da República deve ser feito pelo Congresso Nacional em sessão conjunta das Casas, e não separadamente pela Câmara dos Deputados e pelo Senado Federal. (...) Entretanto, a longa duração da prática de julgamento separado das contas do Presidente da República por cada uma das Casas Legislativas deve ser considerada no julgamento de mérito. Tendo as contas já sido aprovadas, e os PDLs convertidos em decretos legislativos, os efeitos dos atos já praticados devem ser resguardados, em homenagem à segurança jurídica.</w:t>
        <w:br/>
        <w:t>[MS 33.729, rel. min. Roberto Barroso, j. 22-5-</w:t>
      </w:r>
    </w:p>
    <w:p>
      <w:pPr>
        <w:ind w:left="144"/>
      </w:pPr>
      <w:r>
        <w:rPr>
          <w:b/>
          <w:color w:val="B45A00"/>
          <w:sz w:val="16"/>
        </w:rPr>
        <w:t>CONTROLE CONCENTRADO</w:t>
      </w:r>
    </w:p>
    <w:p>
      <w:pPr>
        <w:ind w:left="288"/>
      </w:pPr>
      <w:r>
        <w:rPr>
          <w:color w:val="8C8C8C"/>
          <w:sz w:val="12"/>
        </w:rPr>
        <w:t>cf-art-57-par-3-inc-IV</w:t>
      </w:r>
      <w:r>
        <w:rPr>
          <w:color w:val="003CA0"/>
          <w:sz w:val="12"/>
        </w:rPr>
        <w:t xml:space="preserve"> | ADPF 714</w:t>
      </w:r>
      <w:r>
        <w:rPr>
          <w:color w:val="003CA0"/>
          <w:sz w:val="12"/>
        </w:rPr>
        <w:t xml:space="preserve"> | rel. Gilmar Mendes</w:t>
      </w:r>
    </w:p>
    <w:p>
      <w:pPr>
        <w:ind w:left="288"/>
      </w:pPr>
      <w:r>
        <w:rPr>
          <w:color w:val="1E1E1E"/>
          <w:sz w:val="18"/>
        </w:rPr>
        <w:t>Veto presidencial em projeto de lei que determinava a utilização de máscaras em locais fechados. Novo veto, após sanção parcial, contra dispositivo anteriormente sancionado, que determinava a utilização de máscaras em presídios. Admissibilidade de ADPF contra veto por inconstitucionalidade. Impossibilidade de arrependimento ao veto.</w:t>
      </w:r>
    </w:p>
    <w:p>
      <w:pPr>
        <w:ind w:left="288"/>
      </w:pPr>
      <w:r>
        <w:rPr>
          <w:b/>
          <w:color w:val="003CA0"/>
          <w:sz w:val="16"/>
        </w:rPr>
        <w:t>[ADPF 714, ADPF 715 e ADPF 716, rel. min. Gilmar Mendes, j. 17-2-2021, P, DJE 25-2-2021.]</w:t>
      </w:r>
    </w:p>
    <w:p>
      <w:pPr>
        <w:ind w:left="288"/>
      </w:pPr>
      <w:r>
        <w:rPr>
          <w:color w:val="8C8C8C"/>
          <w:sz w:val="12"/>
        </w:rPr>
        <w:t>cf-art-57-par-3-inc-IV</w:t>
      </w:r>
      <w:r>
        <w:rPr>
          <w:color w:val="003CA0"/>
          <w:sz w:val="12"/>
        </w:rPr>
        <w:t xml:space="preserve"> | ADPF 1</w:t>
      </w:r>
      <w:r>
        <w:rPr>
          <w:color w:val="003CA0"/>
          <w:sz w:val="12"/>
        </w:rPr>
        <w:t xml:space="preserve"> | rel. Néri da Silveira</w:t>
      </w:r>
    </w:p>
    <w:p>
      <w:pPr>
        <w:ind w:left="288"/>
      </w:pPr>
      <w:r>
        <w:rPr>
          <w:color w:val="1E1E1E"/>
          <w:sz w:val="18"/>
        </w:rPr>
        <w:t>No processo legislativo, o ato de vetar, por motivo de inconstitucionalidade ou de contrariedade ao interesse público, e a deliberação legislativa de manter ou recusar o veto, qualquer que seja o motivo desse juízo, compõem procedimentos que se hão de reservar à esfera de independência dos poderes políticos em apreço. Não é, assim, enquadrável, em princípio, o veto, devidamente fundamentado, pendente de deliberação política do Poder Legislativo – que pode, sempre, mantê-lo ou recusá-lo – no conceito de "ato do poder público", para os fins do art. 1º da Lei 9.882/1999. Impossibilidade de interv</w:t>
      </w:r>
    </w:p>
    <w:p>
      <w:pPr>
        <w:ind w:left="288"/>
      </w:pPr>
      <w:r>
        <w:rPr>
          <w:b/>
          <w:color w:val="003CA0"/>
          <w:sz w:val="16"/>
        </w:rPr>
        <w:t>[ADPF 1 QO, rel. min. Néri da Silveira, j. 3-2-2000, P, DJ de 7-11-2003.]</w:t>
      </w:r>
    </w:p>
    <w:p>
      <w:pPr>
        <w:ind w:left="288"/>
      </w:pPr>
      <w:r>
        <w:rPr>
          <w:color w:val="8C8C8C"/>
          <w:sz w:val="12"/>
        </w:rPr>
        <w:t>cf-art-57-par-3-inc-IV</w:t>
      </w:r>
      <w:r>
        <w:rPr>
          <w:color w:val="003CA0"/>
          <w:sz w:val="12"/>
        </w:rPr>
        <w:t xml:space="preserve"> | ADI 7.756</w:t>
      </w:r>
      <w:r>
        <w:rPr>
          <w:color w:val="003CA0"/>
          <w:sz w:val="12"/>
        </w:rPr>
        <w:t xml:space="preserve"> | rel. Cármen Lúcia</w:t>
      </w:r>
    </w:p>
    <w:p>
      <w:pPr>
        <w:ind w:left="288"/>
      </w:pPr>
      <w:r>
        <w:rPr>
          <w:color w:val="1E1E1E"/>
          <w:sz w:val="18"/>
        </w:rPr>
        <w:t>§ 4º Cada uma das Casas reunir-se-á em sessões preparatórias, a partir de 1º de fevereiro, no primeiro ano da legislatura, para a posse de seus membros e eleição das respectivas Mesas, para mandato de 2 (dois) anos, vedada a recondução para o mesmo cargo na eleição imediatamente subsequente. (Redação da EC 50/2006) A utilização da idade como critério de desempate nas eleições da mesa diretora da Assembleia Legislativa, em caso de empates sucessivos na votação, não desatende a Constituição da República.</w:t>
      </w:r>
    </w:p>
    <w:p>
      <w:pPr>
        <w:ind w:left="288"/>
      </w:pPr>
      <w:r>
        <w:rPr>
          <w:b/>
          <w:color w:val="003CA0"/>
          <w:sz w:val="16"/>
        </w:rPr>
        <w:t>[ADI 7.756, voto da rel. min. Cármen Lúcia, j. 26-11-2025, P, DJE de 12-2-2026.]</w:t>
      </w:r>
    </w:p>
    <w:p>
      <w:pPr>
        <w:ind w:left="288"/>
      </w:pPr>
      <w:r>
        <w:rPr>
          <w:color w:val="8C8C8C"/>
          <w:sz w:val="12"/>
        </w:rPr>
        <w:t>cf-art-57-par-3-inc-IV</w:t>
      </w:r>
      <w:r>
        <w:rPr>
          <w:color w:val="003CA0"/>
          <w:sz w:val="12"/>
        </w:rPr>
        <w:t xml:space="preserve"> | ADI 7.737</w:t>
      </w:r>
      <w:r>
        <w:rPr>
          <w:color w:val="003CA0"/>
          <w:sz w:val="12"/>
        </w:rPr>
        <w:t xml:space="preserve"> | rel. Flávio Dino</w:t>
      </w:r>
    </w:p>
    <w:p>
      <w:pPr>
        <w:ind w:left="288"/>
      </w:pPr>
      <w:r>
        <w:rPr>
          <w:color w:val="1E1E1E"/>
          <w:sz w:val="18"/>
        </w:rPr>
        <w:t>Resolução. Antecipação excessiva de eleição para mesa diretora de Assembleia Legislativa. (...) A Resolução ALEPE nº 1.936/2023, ora impugnada, modificou a redação do § 2º do art. 74 para permitir a antecipação da eleição para o mês de novembro do primeiro ano da legislatura, período muito distante do início do segundo biênio, o que diminui as chances de grupos minoritários disputarem a liderança no segundo biênio, dificulta a alternância nos cargos de poder e reduz a representatividade das instituições em relação às mudanças políticas e sociais. Ao antecipar excessivamente as eleições, a reso</w:t>
      </w:r>
    </w:p>
    <w:p>
      <w:pPr>
        <w:ind w:left="288"/>
      </w:pPr>
      <w:r>
        <w:rPr>
          <w:b/>
          <w:color w:val="003CA0"/>
          <w:sz w:val="16"/>
        </w:rPr>
        <w:t>[ADI 7.737, rel. min. Flávio Dino, j. 25.06.2025, P, DJE de 16.07.2025.]</w:t>
      </w:r>
    </w:p>
    <w:p>
      <w:pPr>
        <w:ind w:left="288"/>
      </w:pPr>
      <w:r>
        <w:rPr>
          <w:color w:val="8C8C8C"/>
          <w:sz w:val="12"/>
        </w:rPr>
        <w:t>cf-art-57-par-3-inc-IV</w:t>
      </w:r>
      <w:r>
        <w:rPr>
          <w:color w:val="003CA0"/>
          <w:sz w:val="12"/>
        </w:rPr>
        <w:t xml:space="preserve"> | ADI 7.733</w:t>
      </w:r>
      <w:r>
        <w:rPr>
          <w:color w:val="003CA0"/>
          <w:sz w:val="12"/>
        </w:rPr>
        <w:t xml:space="preserve"> | rel. Gilmar Mendes</w:t>
      </w:r>
    </w:p>
    <w:p>
      <w:pPr>
        <w:ind w:left="288"/>
      </w:pPr>
      <w:r>
        <w:rPr>
          <w:color w:val="1E1E1E"/>
          <w:sz w:val="18"/>
        </w:rPr>
        <w:t>Interpretação sistemática da Constituição Federal leva à compreensão de que as eleições da Mesa Diretora do Poder Legislativo, para o segundo biênio da legislatura, devem realizar-se a partir do mês de outubro do ano anterior ao início do mandato pertinente, em respeito à expressão política da composição atual da casa.</w:t>
        <w:br/>
        <w:t xml:space="preserve">[ADI 7.733, rel. min. Gilmar Mendes, j. 19.11.2024, P, DJE de 28.11.2024.] Emenda nº 48/22 à Constituição do Estado do Tocantins. Eleições concomitantes da mesa diretora da Assembleia Legislativa para o primeiro e o segundo biênios. Inconstitucionalidade. (...) as eleições para </w:t>
      </w:r>
    </w:p>
    <w:p>
      <w:pPr>
        <w:ind w:left="288"/>
      </w:pPr>
      <w:r>
        <w:rPr>
          <w:b/>
          <w:color w:val="003CA0"/>
          <w:sz w:val="16"/>
        </w:rPr>
        <w:t>[ADPF 1.002, voto da rel. min. Cármen Lúcia, j. 13-12-2022, P, DJE de 12-4-2023.]</w:t>
      </w:r>
    </w:p>
    <w:p>
      <w:pPr>
        <w:ind w:left="288"/>
      </w:pPr>
      <w:r>
        <w:rPr>
          <w:color w:val="8C8C8C"/>
          <w:sz w:val="12"/>
        </w:rPr>
        <w:t>cf-art-57-par-3-inc-IV</w:t>
      </w:r>
      <w:r>
        <w:rPr>
          <w:color w:val="003CA0"/>
          <w:sz w:val="12"/>
        </w:rPr>
        <w:t xml:space="preserve"> | ADI 6.524</w:t>
      </w:r>
      <w:r>
        <w:rPr>
          <w:color w:val="003CA0"/>
          <w:sz w:val="12"/>
        </w:rPr>
        <w:t xml:space="preserve"> | rel. Gilmar Mendes</w:t>
      </w:r>
    </w:p>
    <w:p>
      <w:pPr>
        <w:ind w:left="288"/>
      </w:pPr>
      <w:r>
        <w:rPr>
          <w:color w:val="1E1E1E"/>
          <w:sz w:val="18"/>
        </w:rPr>
        <w:t>(i) a eleição dos membros das Mesas das Assembleias Legislativas estaduais deve observar o limite de uma única reeleição ou recondução, limite cuja observância independe de os mandados consecutivos referirem-se à mesma legislatura; (ii) a vedação à reeleição ou recondução aplica-se somente para o mesmo cargo da mesa diretora, não impedindo que membro da mesa anterior se mantenha no órgão de direção, desde que em cargo distinto; (iii) o limite de uma única reeleição ou recondução, acima veiculado, deve orientar a formação da Mesa da Assembleia Legislativa no período posterior à data de publicaç</w:t>
      </w:r>
    </w:p>
    <w:p>
      <w:pPr>
        <w:ind w:left="288"/>
      </w:pPr>
      <w:r>
        <w:rPr>
          <w:b/>
          <w:color w:val="003CA0"/>
          <w:sz w:val="16"/>
        </w:rPr>
        <w:t>[ADI 6.688, ADI 6.698, ADI 6.714 e ADI 7.016, rel. min. Gilmar Mendes, ADI 6.683, ADI 6.686, ADI 6.687, ADI 6.711 e ADI 6.718, rel. min. Nunes Marques, j. 7.12.2022, P, DJE de 28.4.2023.]</w:t>
      </w:r>
    </w:p>
    <w:p>
      <w:pPr>
        <w:ind w:left="288"/>
      </w:pPr>
      <w:r>
        <w:rPr>
          <w:color w:val="8C8C8C"/>
          <w:sz w:val="12"/>
        </w:rPr>
        <w:t>cf-art-57-par-3-inc-IV</w:t>
      </w:r>
      <w:r>
        <w:rPr>
          <w:color w:val="003CA0"/>
          <w:sz w:val="12"/>
        </w:rPr>
        <w:t xml:space="preserve"> | ADPF 871</w:t>
      </w:r>
      <w:r>
        <w:rPr>
          <w:color w:val="003CA0"/>
          <w:sz w:val="12"/>
        </w:rPr>
        <w:t xml:space="preserve"> | rel. Cármen Lúcia</w:t>
      </w:r>
    </w:p>
    <w:p>
      <w:pPr>
        <w:ind w:left="288"/>
      </w:pPr>
      <w:r>
        <w:rPr>
          <w:color w:val="1E1E1E"/>
          <w:sz w:val="18"/>
        </w:rPr>
        <w:t>Permissão de recondução de membro da Mesa Diretora da Câmara Municipal. Princípios republicano e democrático. Interpretação conforme à Constituição para permitir apenas uma reeleição consecutiva para o mesmo cargo.</w:t>
      </w:r>
    </w:p>
    <w:p>
      <w:pPr>
        <w:ind w:left="288"/>
      </w:pPr>
      <w:r>
        <w:rPr>
          <w:b/>
          <w:color w:val="003CA0"/>
          <w:sz w:val="16"/>
        </w:rPr>
        <w:t>[ADPF 871, rel. min. Cármen Lúcia, j. 23-11-2021, P, DJE de 3-12-2021.]</w:t>
        <w:br/>
        <w:t>Vide ADI 6.524, rel. min. Gilmar Mendes, j. 15-12-2020, P, DJE de 6-4-2021.</w:t>
      </w:r>
    </w:p>
    <w:p>
      <w:pPr>
        <w:ind w:left="288"/>
      </w:pPr>
      <w:r>
        <w:rPr>
          <w:color w:val="8C8C8C"/>
          <w:sz w:val="12"/>
        </w:rPr>
        <w:t>cf-art-57-par-3-inc-IV</w:t>
      </w:r>
      <w:r>
        <w:rPr>
          <w:color w:val="003CA0"/>
          <w:sz w:val="12"/>
        </w:rPr>
        <w:t xml:space="preserve"> | ADI 6.524</w:t>
      </w:r>
    </w:p>
    <w:p>
      <w:pPr>
        <w:ind w:left="288"/>
      </w:pPr>
      <w:r>
        <w:rPr>
          <w:color w:val="1E1E1E"/>
          <w:sz w:val="18"/>
        </w:rPr>
        <w:t>(i) a eleição dos membros das Mesas das Assembleias Legislativas estaduais deve observar o limite de uma única reeleição ou recondução, limite cuja observância independe de os mandatos consecutivos referirem-se à mesma legislatura; (ii) a vedação à reeleição ou recondução aplica-se somente para o mesmo cargo da mesa diretora, não impedindo que membro da mesa anterior se mantenha no órgão de direção, desde que em cargo distinto; e (iii) o limite de uma única reeleição ou recondução, acima veiculado, deve orientar a formação das Mesas das Assembleias Legislativas que foram eleitas após a publica</w:t>
      </w:r>
    </w:p>
    <w:p>
      <w:pPr>
        <w:ind w:left="288"/>
      </w:pPr>
      <w:r>
        <w:rPr>
          <w:b/>
          <w:color w:val="003CA0"/>
          <w:sz w:val="16"/>
        </w:rPr>
        <w:t>[ADI 6.707, ADI 6.709 e ADI 6.710, redator do acórdão min. Gilmar Mendes, j. 20-9-2021, P, DJE de 6-12-2021.]</w:t>
      </w:r>
    </w:p>
    <w:p>
      <w:pPr>
        <w:ind w:left="288"/>
      </w:pPr>
      <w:r>
        <w:rPr>
          <w:color w:val="8C8C8C"/>
          <w:sz w:val="12"/>
        </w:rPr>
        <w:t>cf-art-57-par-3-inc-IV</w:t>
      </w:r>
      <w:r>
        <w:rPr>
          <w:color w:val="003CA0"/>
          <w:sz w:val="12"/>
        </w:rPr>
        <w:t xml:space="preserve"> | ADI 6.524</w:t>
      </w:r>
      <w:r>
        <w:rPr>
          <w:color w:val="003CA0"/>
          <w:sz w:val="12"/>
        </w:rPr>
        <w:t xml:space="preserve"> | rel. Gilmar Mendes</w:t>
      </w:r>
    </w:p>
    <w:p>
      <w:pPr>
        <w:ind w:left="288"/>
      </w:pPr>
      <w:r>
        <w:rPr>
          <w:color w:val="1E1E1E"/>
          <w:sz w:val="18"/>
        </w:rPr>
        <w:t>Compreensão da maioria no sentido de que o art. 57, § 4º, da Constituição Federal de 1988 requer interpretação do art. 5º, caput e § 1º, do RICD, e o art. 59, RISF, que assente a impossibilidade de recondução de Membro da Mesa para o mesmo cargo, na eleição imediatamente subsequente, que ocorre no início do terceiro ano da legislatura. (...) o Tribunal reafirmou jurisprudência que pontifica que a vedação em referência não tem lugar em caso de nova legislatura, situação em que se constitui Congresso novo.</w:t>
      </w:r>
    </w:p>
    <w:p>
      <w:pPr>
        <w:ind w:left="288"/>
      </w:pPr>
      <w:r>
        <w:rPr>
          <w:b/>
          <w:color w:val="003CA0"/>
          <w:sz w:val="16"/>
        </w:rPr>
        <w:t>[ADI 6.524, rel. min. Gilmar Mendes, j. 15-12-2020, P, DJE de 6-4-2021.]</w:t>
      </w:r>
    </w:p>
    <w:p>
      <w:pPr>
        <w:ind w:left="288"/>
      </w:pPr>
      <w:r>
        <w:rPr>
          <w:color w:val="8C8C8C"/>
          <w:sz w:val="12"/>
        </w:rPr>
        <w:t>cf-art-57-par-3-inc-IV</w:t>
      </w:r>
      <w:r>
        <w:rPr>
          <w:color w:val="003CA0"/>
          <w:sz w:val="12"/>
        </w:rPr>
        <w:t xml:space="preserve"> | ADPF 871</w:t>
      </w:r>
      <w:r>
        <w:rPr>
          <w:color w:val="003CA0"/>
          <w:sz w:val="12"/>
        </w:rPr>
        <w:t xml:space="preserve"> | rel. Cármen Lúcia</w:t>
      </w:r>
    </w:p>
    <w:p>
      <w:pPr>
        <w:ind w:left="288"/>
      </w:pPr>
      <w:r>
        <w:rPr>
          <w:color w:val="1E1E1E"/>
          <w:sz w:val="18"/>
        </w:rPr>
        <w:t>Vide ADPF 871, rel. min. Cármen Lúcia, j. 23-11-2021, P, DJE de 3-12-2021</w:t>
      </w:r>
    </w:p>
    <w:p>
      <w:pPr>
        <w:ind w:left="144"/>
      </w:pPr>
      <w:r>
        <w:rPr>
          <w:b/>
          <w:color w:val="B45A00"/>
          <w:sz w:val="16"/>
        </w:rPr>
        <w:t>JULGADOS CORRELATOS</w:t>
      </w:r>
    </w:p>
    <w:p>
      <w:pPr>
        <w:ind w:left="288"/>
      </w:pPr>
      <w:r>
        <w:rPr>
          <w:color w:val="8C8C8C"/>
          <w:sz w:val="12"/>
        </w:rPr>
        <w:t>cf-art-57-par-5</w:t>
      </w:r>
      <w:r>
        <w:rPr>
          <w:color w:val="003CA0"/>
          <w:sz w:val="12"/>
        </w:rPr>
        <w:t xml:space="preserve"> | MS 24.041</w:t>
      </w:r>
      <w:r>
        <w:rPr>
          <w:color w:val="003CA0"/>
          <w:sz w:val="12"/>
        </w:rPr>
        <w:t xml:space="preserve"> | rel. Nelson Jobim</w:t>
      </w:r>
    </w:p>
    <w:p>
      <w:pPr>
        <w:ind w:left="288"/>
      </w:pPr>
      <w:r>
        <w:rPr>
          <w:color w:val="1E1E1E"/>
          <w:sz w:val="18"/>
        </w:rPr>
        <w:t xml:space="preserve">Mesa do Congresso Nacional. Substituição do presidente. Mandado de segurança. Legitimidade ativa de membro da Câmara dos Deputados em face da garantia do devido processo legislativo. História constitucional do Poder Legislativo desde a Assembleia Geral do Império. Análise do sistema brasileiro. Bicameralismo. Constituição de 1988. Inovação – art. 57, § 5º. Composição. Presidência do Senado e preenchimento dos demais cargos pelos equivalentes em ambas as casas, observada a alternância. Matéria de estrita interpretação constitucional. Competência deste Tribunal. Impossibilidade de aplicar norma </w:t>
      </w:r>
    </w:p>
    <w:p>
      <w:pPr>
        <w:ind w:left="288"/>
      </w:pPr>
      <w:r>
        <w:rPr>
          <w:b/>
          <w:color w:val="003CA0"/>
          <w:sz w:val="16"/>
        </w:rPr>
        <w:t>[MS 24.041, rel. min. Nelson Jobim, j. 29-8-2001, P, DJ de 11-4-2003.]</w:t>
      </w:r>
    </w:p>
    <w:p>
      <w:pPr>
        <w:ind w:left="288"/>
      </w:pPr>
      <w:r>
        <w:rPr>
          <w:color w:val="8C8C8C"/>
          <w:sz w:val="12"/>
        </w:rPr>
        <w:t>cf-art-57-par-6</w:t>
      </w:r>
    </w:p>
    <w:p>
      <w:pPr>
        <w:ind w:left="288"/>
      </w:pPr>
      <w:r>
        <w:rPr>
          <w:color w:val="1E1E1E"/>
          <w:sz w:val="18"/>
        </w:rPr>
        <w:t>I - pelo Presidente do Senado Federal, em caso de decretação de estado de defesa ou de intervenção federal, de pedido de autorização para a decretação de estado de sítio e para o compromisso e a posse do Presidente e do Vice-Presidente da República; II - pelo Presidente da República, pelos Presidentes da Câmara dos Deputados e do Senado Federal ou a requerimento da maioria dos membros de ambas as Casas, em caso de urgência ou interesse público relevante, em todas as hipóteses deste inciso com a aprovação da maioria absoluta de cada uma das Casas do Congresso Nacional. (Redação da EC 50/2006)</w:t>
      </w:r>
    </w:p>
    <w:p>
      <w:pPr>
        <w:ind w:left="288"/>
      </w:pPr>
      <w:r>
        <w:rPr>
          <w:color w:val="8C8C8C"/>
          <w:sz w:val="12"/>
        </w:rPr>
        <w:t>cf-art-57-par-6</w:t>
      </w:r>
      <w:r>
        <w:rPr>
          <w:color w:val="003CA0"/>
          <w:sz w:val="12"/>
        </w:rPr>
        <w:t xml:space="preserve"> | MS 25.769</w:t>
      </w:r>
      <w:r>
        <w:rPr>
          <w:color w:val="003CA0"/>
          <w:sz w:val="12"/>
        </w:rPr>
        <w:t xml:space="preserve"> | rel. Marco Aurélio</w:t>
      </w:r>
    </w:p>
    <w:p>
      <w:pPr>
        <w:ind w:left="288"/>
      </w:pPr>
      <w:r>
        <w:rPr>
          <w:color w:val="1E1E1E"/>
          <w:sz w:val="18"/>
        </w:rPr>
        <w:t>Mandado de segurança. Sessão extraordinária de casa legislativa. Convocação. Impugnação. Inexistência de direito subjetivo do cidadão. Surge inadequada a impetração no que voltada a obstaculizar convocação extraordinária para sessão de casa legislativa.</w:t>
      </w:r>
    </w:p>
    <w:p>
      <w:pPr>
        <w:ind w:left="288"/>
      </w:pPr>
      <w:r>
        <w:rPr>
          <w:b/>
          <w:color w:val="003CA0"/>
          <w:sz w:val="16"/>
        </w:rPr>
        <w:t>[MS 25.769 AgR, rel. min. Marco Aurélio, j. 2-4-2009, P, DJE de 8-5-2009.]</w:t>
      </w:r>
    </w:p>
    <w:p>
      <w:pPr>
        <w:ind w:left="144"/>
      </w:pPr>
      <w:r>
        <w:rPr>
          <w:b/>
          <w:color w:val="B45A00"/>
          <w:sz w:val="16"/>
        </w:rPr>
        <w:t>CONTROLE CONCENTRADO</w:t>
      </w:r>
    </w:p>
    <w:p>
      <w:pPr>
        <w:ind w:left="288"/>
      </w:pPr>
      <w:r>
        <w:rPr>
          <w:color w:val="8C8C8C"/>
          <w:sz w:val="12"/>
        </w:rPr>
        <w:t>cf-art-57-par-7</w:t>
      </w:r>
      <w:r>
        <w:rPr>
          <w:color w:val="003CA0"/>
          <w:sz w:val="12"/>
        </w:rPr>
        <w:t xml:space="preserve"> | ADI 4.587</w:t>
      </w:r>
      <w:r>
        <w:rPr>
          <w:color w:val="003CA0"/>
          <w:sz w:val="12"/>
        </w:rPr>
        <w:t xml:space="preserve"> | rel. Ricardo Lewandowski</w:t>
      </w:r>
    </w:p>
    <w:p>
      <w:pPr>
        <w:ind w:left="288"/>
      </w:pPr>
      <w:r>
        <w:rPr>
          <w:color w:val="1E1E1E"/>
          <w:sz w:val="18"/>
        </w:rPr>
        <w:t>O art. 57, § 7º, do Texto Constitucional veda o pagamento de parcela indenizatória aos parlamentares em razão de convocação extraordinária. Essa norma é de reprodução obrigatória pelos Estados-membros por força do art. 27, § 2º, da Carta Magna. A Constituição é expressa, no art. 39, § 4º, ao vedar o acréscimo de qualquer gratificação, adicional, abono, prêmio, verba de representação ou outra espécie remuneratória ao subsídio percebido pelos parlamentares.</w:t>
      </w:r>
    </w:p>
    <w:p>
      <w:pPr>
        <w:ind w:left="288"/>
      </w:pPr>
      <w:r>
        <w:rPr>
          <w:b/>
          <w:color w:val="003CA0"/>
          <w:sz w:val="16"/>
        </w:rPr>
        <w:t>[ADI 4.587, rel. min. Ricardo Lewandowski, j. 22-5-2014, P, DJE de 18-6-2014.]</w:t>
      </w:r>
    </w:p>
    <w:p>
      <w:pPr>
        <w:ind w:left="288"/>
      </w:pPr>
      <w:r>
        <w:rPr>
          <w:color w:val="8C8C8C"/>
          <w:sz w:val="12"/>
        </w:rPr>
        <w:t>cf-art-57-par-8</w:t>
      </w:r>
    </w:p>
    <w:p>
      <w:pPr>
        <w:ind w:left="288"/>
      </w:pPr>
      <w:r>
        <w:rPr>
          <w:color w:val="1E1E1E"/>
          <w:sz w:val="18"/>
        </w:rPr>
        <w:t>Seção VII Das Comissões SUMÁRIO</w:t>
      </w:r>
    </w:p>
    <w:p>
      <w:pPr>
        <w:ind w:left="432"/>
      </w:pPr>
      <w:r>
        <w:rPr>
          <w:color w:val="003366"/>
          <w:sz w:val="18"/>
        </w:rPr>
        <w:t>§ 1 As reuniões marcadas para essas datas serão transferidas para o primeiro dia</w:t>
      </w:r>
    </w:p>
    <w:p>
      <w:pPr>
        <w:ind w:left="432"/>
      </w:pPr>
      <w:r>
        <w:rPr>
          <w:color w:val="003366"/>
          <w:sz w:val="18"/>
        </w:rPr>
        <w:t>§ 2 A sessão legislativa não será interrompida sem a aprovação do projeto de lei</w:t>
      </w:r>
    </w:p>
    <w:p>
      <w:pPr>
        <w:ind w:left="432"/>
      </w:pPr>
      <w:r>
        <w:rPr>
          <w:color w:val="003366"/>
          <w:sz w:val="18"/>
        </w:rPr>
        <w:t xml:space="preserve">§ 3 Além de outros casos previstos nesta Constituição, a Câmara dos Deputados e </w:t>
      </w:r>
    </w:p>
    <w:p>
      <w:pPr>
        <w:ind w:left="720"/>
      </w:pPr>
      <w:r>
        <w:rPr>
          <w:color w:val="003366"/>
          <w:sz w:val="18"/>
        </w:rPr>
        <w:t>I – inaugurar a sessão legislativa;</w:t>
      </w:r>
    </w:p>
    <w:p>
      <w:pPr>
        <w:ind w:left="720"/>
      </w:pPr>
      <w:r>
        <w:rPr>
          <w:color w:val="003366"/>
          <w:sz w:val="18"/>
        </w:rPr>
        <w:t>II – elaborar o regimento comum e regular a criação de serviços comuns às duas C</w:t>
      </w:r>
    </w:p>
    <w:p>
      <w:pPr>
        <w:ind w:left="720"/>
      </w:pPr>
      <w:r>
        <w:rPr>
          <w:color w:val="003366"/>
          <w:sz w:val="18"/>
        </w:rPr>
        <w:t>III – receber o compromisso do Presidente e do Vice-Presidente da República;</w:t>
      </w:r>
    </w:p>
    <w:p>
      <w:pPr>
        <w:ind w:left="720"/>
      </w:pPr>
      <w:r>
        <w:rPr>
          <w:color w:val="003366"/>
          <w:sz w:val="18"/>
        </w:rPr>
        <w:t>IV – conhecer do veto e sobre ele deliberar.</w:t>
      </w:r>
    </w:p>
    <w:p>
      <w:pPr>
        <w:ind w:left="432"/>
      </w:pPr>
      <w:r>
        <w:rPr>
          <w:color w:val="003366"/>
          <w:sz w:val="18"/>
        </w:rPr>
        <w:t>§ 4 Cada uma das Casas reunir-se-á em sessões preparatórias, a partir de 1º de f</w:t>
      </w:r>
    </w:p>
    <w:p>
      <w:pPr>
        <w:ind w:left="432"/>
      </w:pPr>
      <w:r>
        <w:rPr>
          <w:color w:val="003366"/>
          <w:sz w:val="18"/>
        </w:rPr>
        <w:t>§ 5 A Mesa do Congresso Nacional será presidida pelo Presidente do Senado Federa</w:t>
      </w:r>
    </w:p>
    <w:p>
      <w:pPr>
        <w:ind w:left="432"/>
      </w:pPr>
      <w:r>
        <w:rPr>
          <w:color w:val="003366"/>
          <w:sz w:val="18"/>
        </w:rPr>
        <w:t>§ 6 A convocação extraordinária do Congresso Nacional far-se-á: (Redação dada pe</w:t>
      </w:r>
    </w:p>
    <w:p>
      <w:pPr>
        <w:ind w:left="720"/>
      </w:pPr>
      <w:r>
        <w:rPr>
          <w:color w:val="003366"/>
          <w:sz w:val="18"/>
        </w:rPr>
        <w:t>I – pelo Presidente do Senado Federal, em caso de decretação de estado de defesa</w:t>
      </w:r>
    </w:p>
    <w:p>
      <w:pPr>
        <w:ind w:left="720"/>
      </w:pPr>
      <w:r>
        <w:rPr>
          <w:color w:val="003366"/>
          <w:sz w:val="18"/>
        </w:rPr>
        <w:t>II – pelo Presidente da República, pelos Presidentes da Câmara dos Deputados e d</w:t>
      </w:r>
    </w:p>
    <w:p>
      <w:pPr>
        <w:ind w:left="432"/>
      </w:pPr>
      <w:r>
        <w:rPr>
          <w:color w:val="003366"/>
          <w:sz w:val="18"/>
        </w:rPr>
        <w:t>§ 7 Na sessão legislativa extraordinária, o Congresso Nacional somente deliberar</w:t>
      </w:r>
    </w:p>
    <w:p>
      <w:pPr>
        <w:ind w:left="432"/>
      </w:pPr>
      <w:r>
        <w:rPr>
          <w:color w:val="003366"/>
          <w:sz w:val="18"/>
        </w:rPr>
        <w:t>§ 8 Havendo medidas provisórias em vigor na data de convocação extraordinária do</w:t>
      </w:r>
    </w:p>
    <w:p>
      <w:pPr>
        <w:pStyle w:val="Heading3"/>
      </w:pPr>
      <w:r>
        <w:rPr>
          <w:color w:val="003366"/>
        </w:rPr>
        <w:t>Seção VII - DAS COMISSÕES</w:t>
      </w:r>
    </w:p>
    <w:p>
      <w:r>
        <w:rPr>
          <w:b/>
          <w:color w:val="003366"/>
          <w:sz w:val="20"/>
        </w:rPr>
        <w:t>Art. 58 O Congresso Nacional e suas Casas terão comissões permanentes e temporár</w:t>
      </w:r>
      <w:r>
        <w:rPr>
          <w:color w:val="8C8C8C"/>
          <w:sz w:val="14"/>
        </w:rPr>
        <w:t xml:space="preserve">  [27 decisoes]</w:t>
      </w:r>
    </w:p>
    <w:p>
      <w:pPr>
        <w:ind w:left="144"/>
      </w:pPr>
      <w:r>
        <w:rPr>
          <w:b/>
          <w:color w:val="B45A00"/>
          <w:sz w:val="16"/>
        </w:rPr>
        <w:t>CONTROLE CONCENTRADO</w:t>
      </w:r>
    </w:p>
    <w:p>
      <w:pPr>
        <w:ind w:left="288"/>
      </w:pPr>
      <w:r>
        <w:rPr>
          <w:color w:val="8C8C8C"/>
          <w:sz w:val="12"/>
        </w:rPr>
        <w:t>cf-art-58-par-1</w:t>
      </w:r>
      <w:r>
        <w:rPr>
          <w:color w:val="003CA0"/>
          <w:sz w:val="12"/>
        </w:rPr>
        <w:t xml:space="preserve"> | ADPF 378</w:t>
      </w:r>
    </w:p>
    <w:p>
      <w:pPr>
        <w:ind w:left="288"/>
      </w:pPr>
      <w:r>
        <w:rPr>
          <w:color w:val="1E1E1E"/>
          <w:sz w:val="18"/>
        </w:rPr>
        <w:t>É incompatível com o art. 58, caput e § 1º, da Constituição que os representantes dos partidos políticos ou blocos parlamentares deixem de ser indicados pelos líderes, na forma do Regimento Interno da Câmara dos Deputados, para serem escolhidos de fora para dentro, pelo Plenário, em violação à autonomia partidária. Em rigor, portanto, a hipótese não é de eleição. Para o rito de impeachment em curso, contudo, não se considera inválida a realização de eleição pelo Plenário da Câmara, desde que limitada, tal como ocorreu no caso Collor, a ratificar ou não as indicações feitas pelos líderes dos pa</w:t>
      </w:r>
    </w:p>
    <w:p>
      <w:pPr>
        <w:ind w:left="288"/>
      </w:pPr>
      <w:r>
        <w:rPr>
          <w:b/>
          <w:color w:val="003CA0"/>
          <w:sz w:val="16"/>
        </w:rPr>
        <w:t>[ADPF 378 MC, red. do ac. min. Roberto Barroso, j. 16-12-2015, P, DJE de 8-3-2016.]</w:t>
      </w:r>
    </w:p>
    <w:p>
      <w:pPr>
        <w:ind w:left="144"/>
      </w:pPr>
      <w:r>
        <w:rPr>
          <w:b/>
          <w:color w:val="B45A00"/>
          <w:sz w:val="16"/>
        </w:rPr>
        <w:t>JULGADOS CORRELATOS</w:t>
      </w:r>
    </w:p>
    <w:p>
      <w:pPr>
        <w:ind w:left="288"/>
      </w:pPr>
      <w:r>
        <w:rPr>
          <w:color w:val="8C8C8C"/>
          <w:sz w:val="12"/>
        </w:rPr>
        <w:t>cf-art-58-par-1</w:t>
      </w:r>
      <w:r>
        <w:rPr>
          <w:color w:val="003CA0"/>
          <w:sz w:val="12"/>
        </w:rPr>
        <w:t xml:space="preserve"> | MS 22.183</w:t>
      </w:r>
      <w:r>
        <w:rPr>
          <w:color w:val="003CA0"/>
          <w:sz w:val="12"/>
        </w:rPr>
        <w:t xml:space="preserve"> | rel. Maurício Corrêa</w:t>
      </w:r>
    </w:p>
    <w:p>
      <w:pPr>
        <w:ind w:left="288"/>
      </w:pPr>
      <w:r>
        <w:rPr>
          <w:color w:val="1E1E1E"/>
          <w:sz w:val="18"/>
        </w:rPr>
        <w:t>Ato do presidente da Câmara que, tendo em vista a impossibilidade, pelo critério proporcional, defere, para fins de registro, a candidatura para o cargo de presidente e indefere para o de membro titular da Mesa. Mandado de segurança impetrado para o fim de anular a eleição da Mesa da Câmara e validar o registro da candidatura ao cargo de 3º secretário. Decisão fundada, exclusivamente, em norma regimental referente à composição da Mesa e indicação de candidaturas para seus cargos (art. 8º). O fundamento regimental, por ser matéria interna corporis, só pode encontrar solução no âmbito do Poder L</w:t>
      </w:r>
    </w:p>
    <w:p>
      <w:pPr>
        <w:ind w:left="288"/>
      </w:pPr>
      <w:r>
        <w:rPr>
          <w:b/>
          <w:color w:val="003CA0"/>
          <w:sz w:val="16"/>
        </w:rPr>
        <w:t>[MS 22.183, rel. min. Maurício Corrêa, j. 5-4-1995, P, DJ de 12-12-1997.]</w:t>
      </w:r>
    </w:p>
    <w:p>
      <w:pPr>
        <w:ind w:left="144"/>
      </w:pPr>
      <w:r>
        <w:rPr>
          <w:b/>
          <w:color w:val="B45A00"/>
          <w:sz w:val="16"/>
        </w:rPr>
        <w:t>CONTROLE CONCENTRADO</w:t>
      </w:r>
    </w:p>
    <w:p>
      <w:pPr>
        <w:ind w:left="288"/>
      </w:pPr>
      <w:r>
        <w:rPr>
          <w:color w:val="8C8C8C"/>
          <w:sz w:val="12"/>
        </w:rPr>
        <w:t>cf-art-58-par-2</w:t>
      </w:r>
      <w:r>
        <w:rPr>
          <w:color w:val="003CA0"/>
          <w:sz w:val="12"/>
        </w:rPr>
        <w:t xml:space="preserve"> | ADI 1.505</w:t>
      </w:r>
      <w:r>
        <w:rPr>
          <w:color w:val="003CA0"/>
          <w:sz w:val="12"/>
        </w:rPr>
        <w:t xml:space="preserve"> | rel. Eros Grau</w:t>
      </w:r>
    </w:p>
    <w:p>
      <w:pPr>
        <w:ind w:left="288"/>
      </w:pPr>
      <w:r>
        <w:rPr>
          <w:color w:val="1E1E1E"/>
          <w:sz w:val="18"/>
        </w:rPr>
        <w:t>Art. 187 da Constituição do Estado do Espírito Santo. Relatório de impacto ambiental. Aprovação pela Assembleia Legislativa. Vício material. Afronta aos arts. 58, § 2º, e 225, § 1º, da Constituição do Brasil. É inconstitucional preceito da Constituição do Estado do Espírito Santo que submete o Relatório de Impacto Ambiental (RIMA) ao crivo de comissão permanente e específica da Assembleia Legislativa. A concessão de autorização para desenvolvimento de atividade potencialmente danosa ao meio ambiente consubstancia ato do poder de polícia – ato da administração pública –, entenda-se ato do Poder</w:t>
      </w:r>
    </w:p>
    <w:p>
      <w:pPr>
        <w:ind w:left="288"/>
      </w:pPr>
      <w:r>
        <w:rPr>
          <w:b/>
          <w:color w:val="003CA0"/>
          <w:sz w:val="16"/>
        </w:rPr>
        <w:t>[ADI 1.505, rel. min. Eros Grau, j. 24-11-2004, P, DJ de 4-3-2005.]</w:t>
      </w:r>
    </w:p>
    <w:p>
      <w:pPr>
        <w:ind w:left="288"/>
      </w:pPr>
      <w:r>
        <w:rPr>
          <w:color w:val="8C8C8C"/>
          <w:sz w:val="12"/>
        </w:rPr>
        <w:t>cf-art-58-par-2-inc-I</w:t>
      </w:r>
      <w:r>
        <w:rPr>
          <w:color w:val="003CA0"/>
          <w:sz w:val="12"/>
        </w:rPr>
        <w:t xml:space="preserve"> | ADI 652</w:t>
      </w:r>
      <w:r>
        <w:rPr>
          <w:color w:val="003CA0"/>
          <w:sz w:val="12"/>
        </w:rPr>
        <w:t xml:space="preserve"> | rel. Celso de Mello</w:t>
      </w:r>
    </w:p>
    <w:p>
      <w:pPr>
        <w:ind w:left="288"/>
      </w:pPr>
      <w:r>
        <w:rPr>
          <w:color w:val="1E1E1E"/>
          <w:sz w:val="18"/>
        </w:rPr>
        <w:t>O procedimento instituído por lei complementar estadual, que confere poder decisório a comissão da assembleia legislativa, para o efeito de criação de Municípios, subverte os postulados disciplinadores do processo de formação das leis, pela transgressão do princípio geral da reserva de plenário, que comete a este órgão colegiado a competência exclusiva para, enquanto instância legislativa suprema, discutir, apreciar e votar os projetos de lei. O princípio da reserva de plenário, "que sempre se presume", só pode ser derrogado, em caráter de absoluta excepcionalidade, nas situações previstas pel</w:t>
      </w:r>
    </w:p>
    <w:p>
      <w:pPr>
        <w:ind w:left="288"/>
      </w:pPr>
      <w:r>
        <w:rPr>
          <w:b/>
          <w:color w:val="003CA0"/>
          <w:sz w:val="16"/>
        </w:rPr>
        <w:t>[ADI 652 MC, rel. min. Celso de Mello, j. 18-12-1991, P, DJ de 2-4-1993.]</w:t>
      </w:r>
    </w:p>
    <w:p>
      <w:pPr>
        <w:ind w:left="288"/>
      </w:pPr>
      <w:r>
        <w:rPr>
          <w:color w:val="8C8C8C"/>
          <w:sz w:val="12"/>
        </w:rPr>
        <w:t>cf-art-58-par-2-inc-VI</w:t>
      </w:r>
    </w:p>
    <w:p>
      <w:pPr>
        <w:ind w:left="288"/>
      </w:pPr>
      <w:r>
        <w:rPr>
          <w:color w:val="1E1E1E"/>
          <w:sz w:val="18"/>
        </w:rPr>
        <w:t>§ 3º As comissões parlamentares de inquérito, que terão poderes de investigação próprios das autoridades judiciais, além de outros previstos nos regimentos das respectivas Casas, serão criadas pela Câmara dos Deputados e pelo Senado Federal, em conjunto ou separadamente, mediante requerimento de um terço de seus membros, para a apuração de fato determinado e por prazo certo, sendo suas conclusões, se for o caso, encaminhadas ao Ministério Público, para que promova a responsabilidade civil ou criminal dos infratores.</w:t>
      </w:r>
    </w:p>
    <w:p>
      <w:pPr>
        <w:ind w:left="288"/>
      </w:pPr>
      <w:r>
        <w:rPr>
          <w:color w:val="8C8C8C"/>
          <w:sz w:val="12"/>
        </w:rPr>
        <w:t>cf-art-58-par-2-inc-VI</w:t>
      </w:r>
      <w:r>
        <w:rPr>
          <w:color w:val="003CA0"/>
          <w:sz w:val="12"/>
        </w:rPr>
        <w:t xml:space="preserve"> | ADI 3.619</w:t>
      </w:r>
      <w:r>
        <w:rPr>
          <w:color w:val="003CA0"/>
          <w:sz w:val="12"/>
        </w:rPr>
        <w:t xml:space="preserve"> | rel. Eros Grau</w:t>
      </w:r>
    </w:p>
    <w:p>
      <w:pPr>
        <w:ind w:left="288"/>
      </w:pPr>
      <w:r>
        <w:rPr>
          <w:color w:val="1E1E1E"/>
          <w:sz w:val="18"/>
        </w:rPr>
        <w:t>A Constituição do Brasil assegura a 1/3 dos membros da Câmara dos Deputados e a 1/3 dos membros do Senado Federal a criação da CPI, deixando, porém, ao próprio parlamento o seu destino. A garantia assegurada a 1/3 dos membros da Câmara ou do Senado estende-se aos membros das assembleias legislativas estaduais – garantia das minorias. O modelo federal de criação e instauração das CPIs constitui matéria a ser compulsoriamente observada pelas casas legislativas estaduais. A garantia da instalação da CPI independe de deliberação plenária, seja da Câmara, do Senado ou da assembleia legislativa. (..</w:t>
      </w:r>
    </w:p>
    <w:p>
      <w:pPr>
        <w:ind w:left="288"/>
      </w:pPr>
      <w:r>
        <w:rPr>
          <w:b/>
          <w:color w:val="003CA0"/>
          <w:sz w:val="16"/>
        </w:rPr>
        <w:t>[ADI 3.619, rel. min. Eros Grau, j. 1º-8-2006, P, DJ de 20-4-2007.]</w:t>
      </w:r>
    </w:p>
    <w:p>
      <w:pPr>
        <w:ind w:left="144"/>
      </w:pPr>
      <w:r>
        <w:rPr>
          <w:b/>
          <w:color w:val="B45A00"/>
          <w:sz w:val="16"/>
        </w:rPr>
        <w:t>JULGADOS CORRELATOS</w:t>
      </w:r>
    </w:p>
    <w:p>
      <w:pPr>
        <w:ind w:left="288"/>
      </w:pPr>
      <w:r>
        <w:rPr>
          <w:color w:val="8C8C8C"/>
          <w:sz w:val="12"/>
        </w:rPr>
        <w:t>cf-art-58-par-2-inc-VI</w:t>
      </w:r>
      <w:r>
        <w:rPr>
          <w:color w:val="003CA0"/>
          <w:sz w:val="12"/>
        </w:rPr>
        <w:t xml:space="preserve"> | MS 33.521</w:t>
      </w:r>
      <w:r>
        <w:rPr>
          <w:color w:val="003CA0"/>
          <w:sz w:val="12"/>
        </w:rPr>
        <w:t xml:space="preserve"> | rel. Marco Aurélio</w:t>
      </w:r>
    </w:p>
    <w:p>
      <w:pPr>
        <w:ind w:left="288"/>
      </w:pPr>
      <w:r>
        <w:rPr>
          <w:color w:val="1E1E1E"/>
          <w:sz w:val="18"/>
        </w:rPr>
        <w:t>É atribuição do Presidente da Câmara aferir o preenchimento dos requisitos atinentes à instauração de comissão parlamentar de inquérito.</w:t>
      </w:r>
    </w:p>
    <w:p>
      <w:pPr>
        <w:ind w:left="288"/>
      </w:pPr>
      <w:r>
        <w:rPr>
          <w:b/>
          <w:color w:val="003CA0"/>
          <w:sz w:val="16"/>
        </w:rPr>
        <w:t>[MS 33.521, rel. min. Marco Aurélio, j. 15-5-2020, P, DJE de 24-6-2020.]</w:t>
      </w:r>
    </w:p>
    <w:p>
      <w:pPr>
        <w:ind w:left="288"/>
      </w:pPr>
      <w:r>
        <w:rPr>
          <w:color w:val="8C8C8C"/>
          <w:sz w:val="12"/>
        </w:rPr>
        <w:t>cf-art-58-par-2-inc-VI</w:t>
      </w:r>
      <w:r>
        <w:rPr>
          <w:color w:val="003CA0"/>
          <w:sz w:val="12"/>
        </w:rPr>
        <w:t xml:space="preserve"> | MS 35.216</w:t>
      </w:r>
      <w:r>
        <w:rPr>
          <w:color w:val="003CA0"/>
          <w:sz w:val="12"/>
        </w:rPr>
        <w:t xml:space="preserve"> | rel. Luiz Fux</w:t>
      </w:r>
    </w:p>
    <w:p>
      <w:pPr>
        <w:ind w:left="288"/>
      </w:pPr>
      <w:r>
        <w:rPr>
          <w:color w:val="1E1E1E"/>
          <w:sz w:val="18"/>
        </w:rPr>
        <w:t>As CPIs possuem permissão legal para encaminhar relatório circunstanciado não só ao Ministério Público e à AGU, mas, também, a outros órgãos públicos, podendo veicular, inclusive, documentação que possibilite a instauração de inquérito policial em face de pessoas envolvidas nos fatos apurados (art. 58, § 3º, CRFB/1988, c/c art. 6º-A da Lei 1.579/1952, incluído pela Lei 13.367/2016).</w:t>
      </w:r>
    </w:p>
    <w:p>
      <w:pPr>
        <w:ind w:left="288"/>
      </w:pPr>
      <w:r>
        <w:rPr>
          <w:b/>
          <w:color w:val="003CA0"/>
          <w:sz w:val="16"/>
        </w:rPr>
        <w:t>[MS 35.216 AgR, rel. min. Luiz Fux, j. 17-11-2017, P, DJE de 27-11-2017.]</w:t>
      </w:r>
    </w:p>
    <w:p>
      <w:pPr>
        <w:ind w:left="288"/>
      </w:pPr>
      <w:r>
        <w:rPr>
          <w:color w:val="8C8C8C"/>
          <w:sz w:val="12"/>
        </w:rPr>
        <w:t>cf-art-58-par-2-inc-VI</w:t>
      </w:r>
      <w:r>
        <w:rPr>
          <w:color w:val="003CA0"/>
          <w:sz w:val="12"/>
        </w:rPr>
        <w:t xml:space="preserve"> | HC 71.231</w:t>
      </w:r>
      <w:r>
        <w:rPr>
          <w:color w:val="003CA0"/>
          <w:sz w:val="12"/>
        </w:rPr>
        <w:t xml:space="preserve"> | rel. Carlos Velloso</w:t>
      </w:r>
    </w:p>
    <w:p>
      <w:pPr>
        <w:ind w:left="288"/>
      </w:pPr>
      <w:r>
        <w:rPr>
          <w:color w:val="1E1E1E"/>
          <w:sz w:val="18"/>
        </w:rPr>
        <w:t>(...) além da função contramajoritária fiscalizatória do Poder Executivo, reiteradamente assentada por esta Corte, as CPIs figuram como instrumento essencial das atividades parlamentares como um todo, na medida em que objetivam "reunir dados e informações para o exercício das funções constitucionais conferidas ao Parlamento" (FERRAZ, Anna Cândida da Cunha. Conflito entre poderes. São Paulo: Revista dos Tribunais, 1994. p. 174), de forma que viabilizam a atividade parlamentar em sua plenitude. Em outras palavras, incumbe às Comissões em apreço não apenas as atividades de fiscalização. As CPIs t</w:t>
      </w:r>
    </w:p>
    <w:p>
      <w:pPr>
        <w:ind w:left="288"/>
      </w:pPr>
      <w:r>
        <w:rPr>
          <w:b/>
          <w:color w:val="003CA0"/>
          <w:sz w:val="16"/>
        </w:rPr>
        <w:t>[MS 25.991 AgR, rel. min. Marco Aurélio, j. 25-8-2015, 1ª T, DJE de 10-9-2015.]</w:t>
      </w:r>
    </w:p>
    <w:p>
      <w:pPr>
        <w:ind w:left="288"/>
      </w:pPr>
      <w:r>
        <w:rPr>
          <w:color w:val="8C8C8C"/>
          <w:sz w:val="12"/>
        </w:rPr>
        <w:t>cf-art-58-par-2-inc-VI</w:t>
      </w:r>
      <w:r>
        <w:rPr>
          <w:color w:val="003CA0"/>
          <w:sz w:val="12"/>
        </w:rPr>
        <w:t xml:space="preserve"> | MS 33.663</w:t>
      </w:r>
      <w:r>
        <w:rPr>
          <w:color w:val="003CA0"/>
          <w:sz w:val="12"/>
        </w:rPr>
        <w:t xml:space="preserve"> | rel. Celso de Mello</w:t>
      </w:r>
    </w:p>
    <w:p>
      <w:pPr>
        <w:ind w:left="288"/>
      </w:pPr>
      <w:r>
        <w:rPr>
          <w:color w:val="1E1E1E"/>
          <w:sz w:val="18"/>
        </w:rPr>
        <w:t>Impossibilidade jurídica de CPI praticar atos sobre os quais incida a cláusula constitucional da reserva de jurisdição, como a busca e apreensão domiciliar (...). Possibilidade, contudo, de a CPI ordenar busca e apreensão de bens, objetos e computadores, desde que essa diligência não se efetive em local inviolável, como os espaços domiciliares, sob pena, em tal hipótese, de invalidade da diligência e de ineficácia probatória dos elementos informativos dela resultantes. Deliberação da CPI/Petrobras que, embora não abrangente do domicílio dos impetrantes, ressentir-se-ia da falta da necessária f</w:t>
      </w:r>
    </w:p>
    <w:p>
      <w:pPr>
        <w:ind w:left="288"/>
      </w:pPr>
      <w:r>
        <w:rPr>
          <w:b/>
          <w:color w:val="003CA0"/>
          <w:sz w:val="16"/>
        </w:rPr>
        <w:t>[MS 33.663 MC, rel. min. Celso de Mello, j. 19-6-2015, dec. monocrática, DJE de 18-8-2015.]</w:t>
      </w:r>
    </w:p>
    <w:p>
      <w:pPr>
        <w:ind w:left="288"/>
      </w:pPr>
      <w:r>
        <w:rPr>
          <w:color w:val="8C8C8C"/>
          <w:sz w:val="12"/>
        </w:rPr>
        <w:t>cf-art-58-par-2-inc-VI</w:t>
      </w:r>
      <w:r>
        <w:rPr>
          <w:color w:val="003CA0"/>
          <w:sz w:val="12"/>
        </w:rPr>
        <w:t xml:space="preserve"> | MS 31.475</w:t>
      </w:r>
      <w:r>
        <w:rPr>
          <w:color w:val="003CA0"/>
          <w:sz w:val="12"/>
        </w:rPr>
        <w:t xml:space="preserve"> | rel. Rosa Weber</w:t>
      </w:r>
    </w:p>
    <w:p>
      <w:pPr>
        <w:ind w:left="288"/>
      </w:pPr>
      <w:r>
        <w:rPr>
          <w:color w:val="1E1E1E"/>
          <w:sz w:val="18"/>
        </w:rPr>
        <w:t>A presente impetração volta-se, efetivamente, contra ato deliberativo consubstanciador de regramento da disciplina interna de trabalho da CPMI. (...) da leitura da Ata da 20ª Reunião da Comissão Parlamentar Mista de Inquérito (...) constata-se que a estratégia inquisitiva relativa às testemunhas que invocarem o direito constitucional ao silêncio – dispensar do depoimento – foi objeto de específica deliberação e subsequente encaminhamento de votação no âmbito daquele órgão investigativo colegiado. Não obstante seja imperativo o respeito, tanto na organização quanto na dinâmica das CPIs, das pre</w:t>
      </w:r>
    </w:p>
    <w:p>
      <w:pPr>
        <w:ind w:left="288"/>
      </w:pPr>
      <w:r>
        <w:rPr>
          <w:b/>
          <w:color w:val="003CA0"/>
          <w:sz w:val="16"/>
        </w:rPr>
        <w:t>[MS 31.475, rel. min. Rosa Weber, j. 7-8-2012, dec. monocrática, DJE de 10-8-2012.]</w:t>
      </w:r>
    </w:p>
    <w:p>
      <w:pPr>
        <w:ind w:left="288"/>
      </w:pPr>
      <w:r>
        <w:rPr>
          <w:color w:val="8C8C8C"/>
          <w:sz w:val="12"/>
        </w:rPr>
        <w:t>cf-art-58-par-2-inc-VI</w:t>
      </w:r>
      <w:r>
        <w:rPr>
          <w:color w:val="003CA0"/>
          <w:sz w:val="12"/>
        </w:rPr>
        <w:t xml:space="preserve"> | MS 30.906</w:t>
      </w:r>
      <w:r>
        <w:rPr>
          <w:color w:val="003CA0"/>
          <w:sz w:val="12"/>
        </w:rPr>
        <w:t xml:space="preserve"> | rel. Celso de Mello</w:t>
      </w:r>
    </w:p>
    <w:p>
      <w:pPr>
        <w:ind w:left="288"/>
      </w:pPr>
      <w:r>
        <w:rPr>
          <w:color w:val="1E1E1E"/>
          <w:sz w:val="18"/>
        </w:rPr>
        <w:t xml:space="preserve">(...) as CPIs somente podem exercer as atribuições investigatórias que lhes são inerentes, desde que o façam nos mesmos termos e segundo as mesmas exigências que a Constituição e as leis da República impõem aos juízes, especialmente no que concerne ao necessário respeito às prerrogativas que o ordenamento positivo do Estado confere aos advogados. (...) não se revela legítimo opor, ao advogado, restrições, que, ao impedirem, injusta e arbitrariamente, o regular exercício de sua atividade profissional, culminem por esvaziar e nulificar a própria razão de ser de sua intervenção perante os órgãos </w:t>
      </w:r>
    </w:p>
    <w:p>
      <w:pPr>
        <w:ind w:left="288"/>
      </w:pPr>
      <w:r>
        <w:rPr>
          <w:b/>
          <w:color w:val="003CA0"/>
          <w:sz w:val="16"/>
        </w:rPr>
        <w:t>[MS 30.906 MC, rel. min. Celso de Mello, j. 5-10-2011, dec. monocrática, DJE de 10-10-2011.]</w:t>
      </w:r>
    </w:p>
    <w:p>
      <w:pPr>
        <w:ind w:left="288"/>
      </w:pPr>
      <w:r>
        <w:rPr>
          <w:color w:val="8C8C8C"/>
          <w:sz w:val="12"/>
        </w:rPr>
        <w:t>cf-art-58-par-2-inc-VI</w:t>
      </w:r>
      <w:r>
        <w:rPr>
          <w:color w:val="003CA0"/>
          <w:sz w:val="12"/>
        </w:rPr>
        <w:t xml:space="preserve"> | HC 100.341</w:t>
      </w:r>
      <w:r>
        <w:rPr>
          <w:color w:val="003CA0"/>
          <w:sz w:val="12"/>
        </w:rPr>
        <w:t xml:space="preserve"> | rel. Joaquim Barbosa</w:t>
      </w:r>
    </w:p>
    <w:p>
      <w:pPr>
        <w:ind w:left="288"/>
      </w:pPr>
      <w:r>
        <w:rPr>
          <w:color w:val="1E1E1E"/>
          <w:sz w:val="18"/>
        </w:rPr>
        <w:t>Utilização, por CPI, de documentos oriundos de inquérito sigiloso. Possibilidade.</w:t>
      </w:r>
    </w:p>
    <w:p>
      <w:pPr>
        <w:ind w:left="288"/>
      </w:pPr>
      <w:r>
        <w:rPr>
          <w:b/>
          <w:color w:val="003CA0"/>
          <w:sz w:val="16"/>
        </w:rPr>
        <w:t>[HC 100.341, rel. min. Joaquim Barbosa, j. 4-11-2010, P, DJE de 2-12-2010.]</w:t>
      </w:r>
    </w:p>
    <w:p>
      <w:pPr>
        <w:ind w:left="288"/>
      </w:pPr>
      <w:r>
        <w:rPr>
          <w:color w:val="8C8C8C"/>
          <w:sz w:val="12"/>
        </w:rPr>
        <w:t>cf-art-58-par-2-inc-VI</w:t>
      </w:r>
      <w:r>
        <w:rPr>
          <w:color w:val="003CA0"/>
          <w:sz w:val="12"/>
        </w:rPr>
        <w:t xml:space="preserve"> | HC 100.200</w:t>
      </w:r>
      <w:r>
        <w:rPr>
          <w:color w:val="003CA0"/>
          <w:sz w:val="12"/>
        </w:rPr>
        <w:t xml:space="preserve"> | rel. Joaquim Barbosa</w:t>
      </w:r>
    </w:p>
    <w:p>
      <w:pPr>
        <w:ind w:left="288"/>
      </w:pPr>
      <w:r>
        <w:rPr>
          <w:color w:val="1E1E1E"/>
          <w:sz w:val="18"/>
        </w:rPr>
        <w:t>É jurisprudência pacífica desta Corte a possibilidade de o investigado, convocado para depor perante CPI, permanecer em silêncio, evitando-se a autoincriminação, além de ter assegurado o direito de ser assistido por advogado e de comunicar-se com este durante a sua inquirição. (...) Considerando a qualidade de investigado convocado por CPI para prestar depoimento, é imperiosa a dispensa do compromisso legal inerente às testemunhas. Direitos e garantias inerentes ao privilégio contra a autoincriminação podem ser previamente assegurados para exercício em eventuais reconvocações.</w:t>
      </w:r>
    </w:p>
    <w:p>
      <w:pPr>
        <w:ind w:left="288"/>
      </w:pPr>
      <w:r>
        <w:rPr>
          <w:b/>
          <w:color w:val="003CA0"/>
          <w:sz w:val="16"/>
        </w:rPr>
        <w:t>[HC 100.200, rel. min. Joaquim Barbosa, j. 8-4-2010, P, DJE de 27-8-2010.]</w:t>
      </w:r>
    </w:p>
    <w:p>
      <w:pPr>
        <w:ind w:left="288"/>
      </w:pPr>
      <w:r>
        <w:rPr>
          <w:color w:val="8C8C8C"/>
          <w:sz w:val="12"/>
        </w:rPr>
        <w:t>cf-art-58-par-2-inc-VI</w:t>
      </w:r>
      <w:r>
        <w:rPr>
          <w:color w:val="003CA0"/>
          <w:sz w:val="12"/>
        </w:rPr>
        <w:t xml:space="preserve"> | MS 27.483</w:t>
      </w:r>
      <w:r>
        <w:rPr>
          <w:color w:val="003CA0"/>
          <w:sz w:val="12"/>
        </w:rPr>
        <w:t xml:space="preserve"> | rel. Cezar Peluso</w:t>
      </w:r>
    </w:p>
    <w:p>
      <w:pPr>
        <w:ind w:left="288"/>
      </w:pPr>
      <w:r>
        <w:rPr>
          <w:color w:val="1E1E1E"/>
          <w:sz w:val="18"/>
        </w:rPr>
        <w:t>CPI não tem poder jurídico de, mediante requisição, a operadoras de telefonia, de cópias de decisão nem de mandado judicial de interceptação telefônica, quebrar sigilo imposto a processo sujeito a segredo de justiça. Este é oponível a CPI, representando expressiva limitação aos seus poderes constitucionais.</w:t>
      </w:r>
    </w:p>
    <w:p>
      <w:pPr>
        <w:ind w:left="288"/>
      </w:pPr>
      <w:r>
        <w:rPr>
          <w:b/>
          <w:color w:val="003CA0"/>
          <w:sz w:val="16"/>
        </w:rPr>
        <w:t>[MS 27.483 MC-REF, rel. min. Cezar Peluso, j. 14-8-2008, P, DJE de 10-10-2008.]</w:t>
      </w:r>
    </w:p>
    <w:p>
      <w:pPr>
        <w:ind w:left="288"/>
      </w:pPr>
      <w:r>
        <w:rPr>
          <w:color w:val="8C8C8C"/>
          <w:sz w:val="12"/>
        </w:rPr>
        <w:t>cf-art-58-par-2-inc-VI</w:t>
      </w:r>
      <w:r>
        <w:rPr>
          <w:color w:val="003CA0"/>
          <w:sz w:val="12"/>
        </w:rPr>
        <w:t xml:space="preserve"> | MS 26.441</w:t>
      </w:r>
      <w:r>
        <w:rPr>
          <w:color w:val="003CA0"/>
          <w:sz w:val="12"/>
        </w:rPr>
        <w:t xml:space="preserve"> | rel. Celso de Mello</w:t>
      </w:r>
    </w:p>
    <w:p>
      <w:pPr>
        <w:ind w:left="288"/>
      </w:pPr>
      <w:r>
        <w:rPr>
          <w:color w:val="1E1E1E"/>
          <w:sz w:val="18"/>
        </w:rPr>
        <w:t>A norma inscrita no art. 58, § 3º, da Constituição da República destina-se a ensejar a participação ativa das minorias parlamentares no processo de investigação legislativa, sem que, para tanto, mostre-se necessária a concordância das agremiações que compõem a maioria parlamentar. O direito de oposição, especialmente aquele reconhecido às minorias legislativas, para que não se transforme numa prerrogativa constitucional inconsequente, há de ser aparelhado com instrumentos de atuação que viabilizem a sua prática efetiva e concreta no âmbito de cada uma das Casas do Congresso Nacional. (...) A o</w:t>
      </w:r>
    </w:p>
    <w:p>
      <w:pPr>
        <w:ind w:left="288"/>
      </w:pPr>
      <w:r>
        <w:rPr>
          <w:b/>
          <w:color w:val="003CA0"/>
          <w:sz w:val="16"/>
        </w:rPr>
        <w:t>[MS 26.441, rel. min. Celso de Mello, j. 25-4-2007, P, DJE de 18-12-2009.]</w:t>
      </w:r>
    </w:p>
    <w:p>
      <w:pPr>
        <w:ind w:left="288"/>
      </w:pPr>
      <w:r>
        <w:rPr>
          <w:color w:val="8C8C8C"/>
          <w:sz w:val="12"/>
        </w:rPr>
        <w:t>cf-art-58-par-2-inc-VI</w:t>
      </w:r>
      <w:r>
        <w:rPr>
          <w:color w:val="003CA0"/>
          <w:sz w:val="12"/>
        </w:rPr>
        <w:t xml:space="preserve"> | MS 24.831</w:t>
      </w:r>
      <w:r>
        <w:rPr>
          <w:color w:val="003CA0"/>
          <w:sz w:val="12"/>
        </w:rPr>
        <w:t xml:space="preserve"> | rel. Celso de Mello</w:t>
      </w:r>
    </w:p>
    <w:p>
      <w:pPr>
        <w:ind w:left="288"/>
      </w:pPr>
      <w:r>
        <w:rPr>
          <w:color w:val="1E1E1E"/>
          <w:sz w:val="18"/>
        </w:rPr>
        <w:t>Vide MS 24.831, rel. min. Celso de Mello, j. 22-6-2005, P, DJ de 4-8-2006 Criação de CPI: requisitos constitucionais. O Parlamento recebeu dos cidadãos, não só o poder de representação política e a competência para legislar, mas também o mandato para fiscalizar os órgãos e agentes do Estado, respeitados, nesse processo de fiscalização, os limites materiais e as exigências formais estabelecidas pela CF. O direito de investigar – que a Constituição da República atribuiu ao Congresso Nacional e às Casas que o compõem (art. 58, § 3º) – tem, no inquérito parlamentar, o instrumento mais expressivo d</w:t>
      </w:r>
    </w:p>
    <w:p>
      <w:pPr>
        <w:ind w:left="288"/>
      </w:pPr>
      <w:r>
        <w:rPr>
          <w:b/>
          <w:color w:val="003CA0"/>
          <w:sz w:val="16"/>
        </w:rPr>
        <w:t>[MS 24.831, rel. min. Celso de Mello, j. 22-6-2005, P, DJ de 4-8-2006.]</w:t>
      </w:r>
    </w:p>
    <w:p>
      <w:pPr>
        <w:ind w:left="288"/>
      </w:pPr>
      <w:r>
        <w:rPr>
          <w:color w:val="8C8C8C"/>
          <w:sz w:val="12"/>
        </w:rPr>
        <w:t>cf-art-58-par-2-inc-VI</w:t>
      </w:r>
      <w:r>
        <w:rPr>
          <w:color w:val="003CA0"/>
          <w:sz w:val="12"/>
        </w:rPr>
        <w:t xml:space="preserve"> | MS 26.441</w:t>
      </w:r>
      <w:r>
        <w:rPr>
          <w:color w:val="003CA0"/>
          <w:sz w:val="12"/>
        </w:rPr>
        <w:t xml:space="preserve"> | rel. Celso de Mello</w:t>
      </w:r>
    </w:p>
    <w:p>
      <w:pPr>
        <w:ind w:left="288"/>
      </w:pPr>
      <w:r>
        <w:rPr>
          <w:color w:val="1E1E1E"/>
          <w:sz w:val="18"/>
        </w:rPr>
        <w:t>Vide MS 26.441, rel. min. Celso de Mello, j. 25-4-2007, P, DJE de 18-12-2009 O princípio da colegialidade traduz diretriz de fundamental importância na regência das deliberações tomadas por qualquer CPI, notadamente quando esta, no desempenho de sua competência investigatória, ordena a adoção de medidas restritivas de direitos, como aquelas que importam na revelação (disclosure) das operações financeiras ativas e passivas de qualquer pessoa. A legitimidade do ato de quebra do sigilo bancário, além de supor a plena adequação de tal medida ao que prescreve a Constituição, deriva da necessidade d</w:t>
      </w:r>
    </w:p>
    <w:p>
      <w:pPr>
        <w:ind w:left="288"/>
      </w:pPr>
      <w:r>
        <w:rPr>
          <w:b/>
          <w:color w:val="003CA0"/>
          <w:sz w:val="16"/>
        </w:rPr>
        <w:t>[MS 24.817, rel. min. Celso de Mello, j. 3-2-2005, P, DJE de 6-11-2009.]</w:t>
      </w:r>
    </w:p>
    <w:p>
      <w:pPr>
        <w:ind w:left="288"/>
      </w:pPr>
      <w:r>
        <w:rPr>
          <w:color w:val="8C8C8C"/>
          <w:sz w:val="12"/>
        </w:rPr>
        <w:t>cf-art-58-par-2-inc-VI</w:t>
      </w:r>
      <w:r>
        <w:rPr>
          <w:color w:val="003CA0"/>
          <w:sz w:val="12"/>
        </w:rPr>
        <w:t xml:space="preserve"> | MS 24.832</w:t>
      </w:r>
      <w:r>
        <w:rPr>
          <w:color w:val="003CA0"/>
          <w:sz w:val="12"/>
        </w:rPr>
        <w:t xml:space="preserve"> | rel. Cezar Peluso</w:t>
      </w:r>
    </w:p>
    <w:p>
      <w:pPr>
        <w:ind w:left="288"/>
      </w:pPr>
      <w:r>
        <w:rPr>
          <w:color w:val="1E1E1E"/>
          <w:sz w:val="18"/>
        </w:rPr>
        <w:t>Não aparentam caracterizar abuso de exposição da imagem pessoal na mídia a transmissão e a gravação de sessão em que se toma depoimento de indiciado, em CPI.</w:t>
      </w:r>
    </w:p>
    <w:p>
      <w:pPr>
        <w:ind w:left="288"/>
      </w:pPr>
      <w:r>
        <w:rPr>
          <w:b/>
          <w:color w:val="003CA0"/>
          <w:sz w:val="16"/>
        </w:rPr>
        <w:t>[MS 24.832 MC, rel. min. Cezar Peluso, j. 18-3-2004, P, DJ de 18-8-2006.]</w:t>
      </w:r>
    </w:p>
    <w:p>
      <w:pPr>
        <w:ind w:left="288"/>
      </w:pPr>
      <w:r>
        <w:rPr>
          <w:color w:val="8C8C8C"/>
          <w:sz w:val="12"/>
        </w:rPr>
        <w:t>cf-art-58-par-2-inc-VI</w:t>
      </w:r>
      <w:r>
        <w:rPr>
          <w:color w:val="003CA0"/>
          <w:sz w:val="12"/>
        </w:rPr>
        <w:t xml:space="preserve"> | MS 23.868</w:t>
      </w:r>
      <w:r>
        <w:rPr>
          <w:color w:val="003CA0"/>
          <w:sz w:val="12"/>
        </w:rPr>
        <w:t xml:space="preserve"> | rel. Celso de Mello</w:t>
      </w:r>
    </w:p>
    <w:p>
      <w:pPr>
        <w:ind w:left="288"/>
      </w:pPr>
      <w:r>
        <w:rPr>
          <w:color w:val="1E1E1E"/>
          <w:sz w:val="18"/>
        </w:rPr>
        <w:t>A quebra do sigilo, por ato de CPI, deve ser necessariamente fundamentada, sob pena de invalidade. A CPI – que dispõe de competência constitucional para ordenar a quebra do sigilo bancário, fiscal e telefônico das pessoas sob investigação do Poder Legislativo – somente poderá praticar tal ato, que se reveste de gravíssimas consequências, se justificar, de modo adequado, e sempre mediante indicação concreta de fatos específicos, a necessidade de adoção dessa medida excepcional. Precedentes. A fundamentação da quebra de sigilo há de ser contemporânea à própria deliberação legislativa que a decre</w:t>
      </w:r>
    </w:p>
    <w:p>
      <w:pPr>
        <w:ind w:left="288"/>
      </w:pPr>
      <w:r>
        <w:rPr>
          <w:b/>
          <w:color w:val="003CA0"/>
          <w:sz w:val="16"/>
        </w:rPr>
        <w:t>[MS 23.868, rel. min. Celso de Mello, j. 30-8-2001, P, DJ de 21-6-2002.]</w:t>
      </w:r>
    </w:p>
    <w:p>
      <w:pPr>
        <w:ind w:left="288"/>
      </w:pPr>
      <w:r>
        <w:rPr>
          <w:color w:val="8C8C8C"/>
          <w:sz w:val="12"/>
        </w:rPr>
        <w:t>cf-art-58-par-2-inc-VI</w:t>
      </w:r>
      <w:r>
        <w:rPr>
          <w:color w:val="003CA0"/>
          <w:sz w:val="12"/>
        </w:rPr>
        <w:t xml:space="preserve"> | MS 23.852</w:t>
      </w:r>
      <w:r>
        <w:rPr>
          <w:color w:val="003CA0"/>
          <w:sz w:val="12"/>
        </w:rPr>
        <w:t xml:space="preserve"> | rel. Celso de Mello</w:t>
      </w:r>
    </w:p>
    <w:p>
      <w:pPr>
        <w:ind w:left="288"/>
      </w:pPr>
      <w:r>
        <w:rPr>
          <w:color w:val="1E1E1E"/>
          <w:sz w:val="18"/>
        </w:rPr>
        <w:t>A jurisprudência do STF entende prejudicadas as ações de mandado de segurança e de habeas corpus, sempre que – impetrados tais writs constitucionais contra CPIs – vierem estas a extinguir-se, em virtude da conclusão de seus trabalhos investigatórios, independentemente da aprovação, ou não, de seu relatório final.</w:t>
      </w:r>
    </w:p>
    <w:p>
      <w:pPr>
        <w:ind w:left="288"/>
      </w:pPr>
      <w:r>
        <w:rPr>
          <w:b/>
          <w:color w:val="003CA0"/>
          <w:sz w:val="16"/>
        </w:rPr>
        <w:t>[MS 23.852 QO, rel. min. Celso de Mello, j. 28-6-2001, P, DJ de 24-8-2001.]</w:t>
      </w:r>
    </w:p>
    <w:p>
      <w:pPr>
        <w:ind w:left="288"/>
      </w:pPr>
      <w:r>
        <w:rPr>
          <w:color w:val="8C8C8C"/>
          <w:sz w:val="12"/>
        </w:rPr>
        <w:t>cf-art-58-par-2-inc-VI</w:t>
      </w:r>
      <w:r>
        <w:rPr>
          <w:color w:val="003CA0"/>
          <w:sz w:val="12"/>
        </w:rPr>
        <w:t xml:space="preserve"> | MS 25.459</w:t>
      </w:r>
      <w:r>
        <w:rPr>
          <w:color w:val="003CA0"/>
          <w:sz w:val="12"/>
        </w:rPr>
        <w:t xml:space="preserve"> | rel. Cezar Peluso</w:t>
      </w:r>
    </w:p>
    <w:p>
      <w:pPr>
        <w:ind w:left="288"/>
      </w:pPr>
      <w:r>
        <w:rPr>
          <w:color w:val="1E1E1E"/>
          <w:sz w:val="18"/>
        </w:rPr>
        <w:t>= MS 25.459 AgR, rel. min. Cezar Peluso, j. 4-2-2010, P, DJE de 12-3-2010 = HC 95.277, rel. min. Cármen Lúcia, j. 19-12-2008, P, DJE de 20-2-2009. Para ter-se fundamentada a decisão de quebra dos sigilos, considera-se o teor do requerimento, bem como o que exposto, no momento da submissão a voto, aos integrantes da CPI, descabendo exigir que o ato conte com a mesma estrutura, com relatório, fundamentação e parte dispositiva, de uma decisão judicial.</w:t>
      </w:r>
    </w:p>
    <w:p>
      <w:pPr>
        <w:ind w:left="288"/>
      </w:pPr>
      <w:r>
        <w:rPr>
          <w:b/>
          <w:color w:val="003CA0"/>
          <w:sz w:val="16"/>
        </w:rPr>
        <w:t>[MS 23.716, rel. min. Marco Aurélio, j. 4-4-2001, P, DJ de 18-5-2001.]</w:t>
      </w:r>
    </w:p>
    <w:p>
      <w:pPr>
        <w:ind w:left="288"/>
      </w:pPr>
      <w:r>
        <w:rPr>
          <w:color w:val="8C8C8C"/>
          <w:sz w:val="12"/>
        </w:rPr>
        <w:t>cf-art-58-par-2-inc-VI</w:t>
      </w:r>
      <w:r>
        <w:rPr>
          <w:color w:val="003CA0"/>
          <w:sz w:val="12"/>
        </w:rPr>
        <w:t xml:space="preserve"> | HC 79.812</w:t>
      </w:r>
      <w:r>
        <w:rPr>
          <w:color w:val="003CA0"/>
          <w:sz w:val="12"/>
        </w:rPr>
        <w:t xml:space="preserve"> | rel. Celso de Mello</w:t>
      </w:r>
    </w:p>
    <w:p>
      <w:pPr>
        <w:ind w:left="288"/>
      </w:pPr>
      <w:r>
        <w:rPr>
          <w:color w:val="1E1E1E"/>
          <w:sz w:val="18"/>
        </w:rPr>
        <w:t>O privilégio contra a autoincriminação – que é plenamente invocável perante as CPIs – traduz direito público subjetivo assegurado a qualquer pessoa, que, na condição de testemunha, de indiciado ou de réu, deva prestar depoimento perante órgãos do Poder Legislativo, do Poder Executivo ou do Poder Judiciário. O exercício do direito de permanecer em silêncio não autoriza os órgãos estatais a dispensarem qualquer tratamento que implique restrição à esfera jurídica daquele que regularmente invocou essa prerrogativa fundamental. (...) O direito ao silêncio – enquanto poder jurídico reconhecido a qua</w:t>
      </w:r>
    </w:p>
    <w:p>
      <w:pPr>
        <w:ind w:left="288"/>
      </w:pPr>
      <w:r>
        <w:rPr>
          <w:b/>
          <w:color w:val="003CA0"/>
          <w:sz w:val="16"/>
        </w:rPr>
        <w:t>[HC 79.812, rel. min. Celso de Mello, j. 8-11-2000, P, DJ de 16-2-2001.]</w:t>
      </w:r>
    </w:p>
    <w:p>
      <w:pPr>
        <w:ind w:left="288"/>
      </w:pPr>
      <w:r>
        <w:rPr>
          <w:color w:val="8C8C8C"/>
          <w:sz w:val="12"/>
        </w:rPr>
        <w:t>cf-art-58-par-2-inc-VI</w:t>
      </w:r>
      <w:r>
        <w:rPr>
          <w:color w:val="003CA0"/>
          <w:sz w:val="12"/>
        </w:rPr>
        <w:t xml:space="preserve"> | HC 100.200</w:t>
      </w:r>
      <w:r>
        <w:rPr>
          <w:color w:val="003CA0"/>
          <w:sz w:val="12"/>
        </w:rPr>
        <w:t xml:space="preserve"> | rel. Joaquim Barbosa</w:t>
      </w:r>
    </w:p>
    <w:p>
      <w:pPr>
        <w:ind w:left="288"/>
      </w:pPr>
      <w:r>
        <w:rPr>
          <w:color w:val="1E1E1E"/>
          <w:sz w:val="18"/>
        </w:rPr>
        <w:t>Vide HC 100.200, rel. min. Joaquim Barbosa, j. 8-4-2010, P, DJE de 27-8-2010 Incompetência da CPI para expedir decreto de indisponibilidade de bens de particular, que não é medida de instrução – a cujo âmbito se restringem os poderes de autoridade judicial a elas conferidos no art. 58, § 3º, mas de provimento cautelar de eventual sentença futura, que só pode caber ao juiz competente para proferi-la.</w:t>
      </w:r>
    </w:p>
    <w:p>
      <w:pPr>
        <w:ind w:left="288"/>
      </w:pPr>
      <w:r>
        <w:rPr>
          <w:b/>
          <w:color w:val="003CA0"/>
          <w:sz w:val="16"/>
        </w:rPr>
        <w:t>[MS 23.480, rel. min. Sepúlveda Pertence, j. 4-5-2000, P, DJ de 15-9-2000.]</w:t>
      </w:r>
    </w:p>
    <w:p>
      <w:pPr>
        <w:ind w:left="288"/>
      </w:pPr>
      <w:r>
        <w:rPr>
          <w:color w:val="8C8C8C"/>
          <w:sz w:val="12"/>
        </w:rPr>
        <w:t>cf-art-58-par-2-inc-VI</w:t>
      </w:r>
      <w:r>
        <w:rPr>
          <w:color w:val="003CA0"/>
          <w:sz w:val="12"/>
        </w:rPr>
        <w:t xml:space="preserve"> | HC 71.261</w:t>
      </w:r>
      <w:r>
        <w:rPr>
          <w:color w:val="003CA0"/>
          <w:sz w:val="12"/>
        </w:rPr>
        <w:t xml:space="preserve"> | rel. Sepúlveda Pertence</w:t>
      </w:r>
    </w:p>
    <w:p>
      <w:pPr>
        <w:ind w:left="288"/>
      </w:pPr>
      <w:r>
        <w:rPr>
          <w:color w:val="1E1E1E"/>
          <w:sz w:val="18"/>
        </w:rPr>
        <w:t>A duração do inquérito parlamentar – com o poder coercitivo sobre particulares, inerentes à sua atividade instrutória e à exposição da honra e da imagem das pessoas a desconfianças e conjecturas injuriosas – e um dos pontos de tensão dialética entre a CPI e os direitos individuais, cuja solução, pela limitação temporal do funcionamento do órgão, antes se deve entender matéria apropriada à lei do que aos regimentos: donde, a recepção do art. 5º, § 2º, da Lei 1.579/1952, que situa, no termo final de legislatura em que constituída, o limite intransponível de duração, ao qual, com ou sem prorrogaç</w:t>
      </w:r>
    </w:p>
    <w:p>
      <w:pPr>
        <w:ind w:left="288"/>
      </w:pPr>
      <w:r>
        <w:rPr>
          <w:b/>
          <w:color w:val="003CA0"/>
          <w:sz w:val="16"/>
        </w:rPr>
        <w:t>[HC 71.261, rel. min. Sepúlveda Pertence, j. 11-5-1994, P, DJ de 24-6-1994.]</w:t>
      </w:r>
    </w:p>
    <w:p>
      <w:pPr>
        <w:ind w:left="288"/>
      </w:pPr>
      <w:r>
        <w:rPr>
          <w:color w:val="8C8C8C"/>
          <w:sz w:val="12"/>
        </w:rPr>
        <w:t>cf-art-58-par-2-inc-VI</w:t>
      </w:r>
      <w:r>
        <w:rPr>
          <w:color w:val="003CA0"/>
          <w:sz w:val="12"/>
        </w:rPr>
        <w:t xml:space="preserve"> | RE 194.346</w:t>
      </w:r>
      <w:r>
        <w:rPr>
          <w:color w:val="003CA0"/>
          <w:sz w:val="12"/>
        </w:rPr>
        <w:t xml:space="preserve"> | rel. Joaquim Barbosa</w:t>
      </w:r>
    </w:p>
    <w:p>
      <w:pPr>
        <w:ind w:left="288"/>
      </w:pPr>
      <w:r>
        <w:rPr>
          <w:color w:val="1E1E1E"/>
          <w:sz w:val="18"/>
        </w:rPr>
        <w:t>= RE 194.346 AgR, rel. min. Joaquim Barbosa, j. 14-9-2010, 2ª T, DJE de 8-10-2010</w:t>
      </w:r>
    </w:p>
    <w:p>
      <w:pPr>
        <w:ind w:left="288"/>
      </w:pPr>
      <w:r>
        <w:rPr>
          <w:color w:val="8C8C8C"/>
          <w:sz w:val="12"/>
        </w:rPr>
        <w:t>cf-art-58-par-4</w:t>
      </w:r>
    </w:p>
    <w:p>
      <w:pPr>
        <w:ind w:left="288"/>
      </w:pPr>
      <w:r>
        <w:rPr>
          <w:color w:val="1E1E1E"/>
          <w:sz w:val="18"/>
        </w:rPr>
        <w:t>Seção VIII Do Processo Legislativo SUMÁRIO Subseção I - Disposição Geral</w:t>
      </w:r>
    </w:p>
    <w:p>
      <w:pPr>
        <w:ind w:left="432"/>
      </w:pPr>
      <w:r>
        <w:rPr>
          <w:color w:val="003366"/>
          <w:sz w:val="18"/>
        </w:rPr>
        <w:t>§ 1 Na constituição das Mesas e de cada Comissão, é assegurada, tanto quanto pos</w:t>
      </w:r>
    </w:p>
    <w:p>
      <w:pPr>
        <w:ind w:left="432"/>
      </w:pPr>
      <w:r>
        <w:rPr>
          <w:color w:val="003366"/>
          <w:sz w:val="18"/>
        </w:rPr>
        <w:t>§ 2 Às comissões, em razão da matéria de sua competência, cabe:</w:t>
      </w:r>
    </w:p>
    <w:p>
      <w:pPr>
        <w:ind w:left="720"/>
      </w:pPr>
      <w:r>
        <w:rPr>
          <w:color w:val="003366"/>
          <w:sz w:val="18"/>
        </w:rPr>
        <w:t>I – discutir e votar projeto de lei que dispensar, na forma do regimento, a comp</w:t>
      </w:r>
    </w:p>
    <w:p>
      <w:pPr>
        <w:ind w:left="720"/>
      </w:pPr>
      <w:r>
        <w:rPr>
          <w:color w:val="003366"/>
          <w:sz w:val="18"/>
        </w:rPr>
        <w:t>II – realizar audiências públicas com entidades da sociedade civil;</w:t>
      </w:r>
    </w:p>
    <w:p>
      <w:pPr>
        <w:ind w:left="720"/>
      </w:pPr>
      <w:r>
        <w:rPr>
          <w:color w:val="003366"/>
          <w:sz w:val="18"/>
        </w:rPr>
        <w:t>III – convocar Ministros de Estado para prestar informações sobre assuntos inere</w:t>
      </w:r>
    </w:p>
    <w:p>
      <w:pPr>
        <w:ind w:left="720"/>
      </w:pPr>
      <w:r>
        <w:rPr>
          <w:color w:val="003366"/>
          <w:sz w:val="18"/>
        </w:rPr>
        <w:t>IV – receber petições, reclamações, representações ou queixas de qualquer pessoa</w:t>
      </w:r>
    </w:p>
    <w:p>
      <w:pPr>
        <w:ind w:left="720"/>
      </w:pPr>
      <w:r>
        <w:rPr>
          <w:color w:val="003366"/>
          <w:sz w:val="18"/>
        </w:rPr>
        <w:t>V – solicitar depoimento de qualquer autoridade ou cidadão;</w:t>
      </w:r>
    </w:p>
    <w:p>
      <w:pPr>
        <w:ind w:left="720"/>
      </w:pPr>
      <w:r>
        <w:rPr>
          <w:color w:val="003366"/>
          <w:sz w:val="18"/>
        </w:rPr>
        <w:t>VI – apreciar programas de obras, planos nacionais, regionais e setoriais de des</w:t>
      </w:r>
    </w:p>
    <w:p>
      <w:pPr>
        <w:ind w:left="432"/>
      </w:pPr>
      <w:r>
        <w:rPr>
          <w:color w:val="003366"/>
          <w:sz w:val="18"/>
        </w:rPr>
        <w:t>§ 3 As comissões parlamentares de inquérito, que terão poderes de investigação p</w:t>
      </w:r>
    </w:p>
    <w:p>
      <w:pPr>
        <w:ind w:left="432"/>
      </w:pPr>
      <w:r>
        <w:rPr>
          <w:color w:val="003366"/>
          <w:sz w:val="18"/>
        </w:rPr>
        <w:t>§ 4 Durante o recesso, haverá uma Comissão representativa do Congresso Nacional,</w:t>
      </w:r>
    </w:p>
    <w:p>
      <w:pPr>
        <w:pStyle w:val="Heading3"/>
      </w:pPr>
      <w:r>
        <w:rPr>
          <w:color w:val="003366"/>
        </w:rPr>
        <w:t>Seção VIII - DO PROCESSO LEGISLATIVO</w:t>
      </w:r>
    </w:p>
    <w:p>
      <w:r>
        <w:rPr>
          <w:b/>
          <w:color w:val="003366"/>
          <w:sz w:val="20"/>
        </w:rPr>
        <w:t>Art. 59 O processo legislativo compreende a elaboração de:</w:t>
      </w:r>
      <w:r>
        <w:rPr>
          <w:color w:val="8C8C8C"/>
          <w:sz w:val="14"/>
        </w:rPr>
        <w:t xml:space="preserve">  [16 decisoes]</w:t>
      </w:r>
    </w:p>
    <w:p>
      <w:pPr>
        <w:ind w:left="288"/>
      </w:pPr>
      <w:r>
        <w:rPr>
          <w:color w:val="8C8C8C"/>
          <w:sz w:val="12"/>
        </w:rPr>
        <w:t>cf-art-59</w:t>
      </w:r>
      <w:r>
        <w:rPr>
          <w:color w:val="003CA0"/>
          <w:sz w:val="12"/>
        </w:rPr>
        <w:t xml:space="preserve"> | ADI 7.231</w:t>
      </w:r>
      <w:r>
        <w:rPr>
          <w:color w:val="003CA0"/>
          <w:sz w:val="12"/>
        </w:rPr>
        <w:t xml:space="preserve"> | rel. Flávio Dino</w:t>
      </w:r>
    </w:p>
    <w:p>
      <w:pPr>
        <w:ind w:left="288"/>
      </w:pPr>
      <w:r>
        <w:rPr>
          <w:color w:val="1E1E1E"/>
          <w:sz w:val="18"/>
        </w:rPr>
        <w:t>O erro no processo de formação das leis que distorça a manifestação de vontade do Poder Legislativo enseja a inconstitucionalidade formal, por violação ao devido processo legislativo, previsto nos arts. 59 e seguintes da Constituição Federal, e ao princípio democrático (art. 1º, caput, CF).</w:t>
      </w:r>
    </w:p>
    <w:p>
      <w:pPr>
        <w:ind w:left="288"/>
      </w:pPr>
      <w:r>
        <w:rPr>
          <w:b/>
          <w:color w:val="003CA0"/>
          <w:sz w:val="16"/>
        </w:rPr>
        <w:t>[ADI 7.231, rel. min. Flávio Dino, j. 16.06.2025, P, DJE de 22.08.2025.]</w:t>
      </w:r>
    </w:p>
    <w:p>
      <w:pPr>
        <w:ind w:left="144"/>
      </w:pPr>
      <w:r>
        <w:rPr>
          <w:b/>
          <w:color w:val="B45A00"/>
          <w:sz w:val="16"/>
        </w:rPr>
        <w:t>CONTROLE CONCENTRADO</w:t>
      </w:r>
    </w:p>
    <w:p>
      <w:pPr>
        <w:ind w:left="288"/>
      </w:pPr>
      <w:r>
        <w:rPr>
          <w:color w:val="8C8C8C"/>
          <w:sz w:val="12"/>
        </w:rPr>
        <w:t>cf-art-59</w:t>
      </w:r>
      <w:r>
        <w:rPr>
          <w:color w:val="003CA0"/>
          <w:sz w:val="12"/>
        </w:rPr>
        <w:t xml:space="preserve"> | ADPF 362</w:t>
      </w:r>
      <w:r>
        <w:rPr>
          <w:color w:val="003CA0"/>
          <w:sz w:val="12"/>
        </w:rPr>
        <w:t xml:space="preserve"> | rel. Alexandre de Moraes</w:t>
      </w:r>
    </w:p>
    <w:p>
      <w:pPr>
        <w:ind w:left="288"/>
      </w:pPr>
      <w:r>
        <w:rPr>
          <w:color w:val="1E1E1E"/>
          <w:sz w:val="18"/>
        </w:rPr>
        <w:t>Ofício 265/1991 do Presidente da Assembleia Legislativa do Estado da Bahia. Exigência de lei específica para concessão de reajuste remuneratório para servidores do poder legislativo. Período anterior ao advento da emenda constitucional 19/98. Desnecessidade. Não atendimento às regras do processo legislativo. Ausência de ato formal da mesa diretora deliberando sobre o aumento concedido. Usurpação de competência. Configuração. (...) A subtração, pelo Presidente da Assembleia Legislativa, das atribuições conferidas à Mesa Diretora sugere haver indevida usurpação de competência, em conflito com os</w:t>
      </w:r>
    </w:p>
    <w:p>
      <w:pPr>
        <w:ind w:left="288"/>
      </w:pPr>
      <w:r>
        <w:rPr>
          <w:b/>
          <w:color w:val="003CA0"/>
          <w:sz w:val="16"/>
        </w:rPr>
        <w:t>[ADPF 362, rel. min. Alexandre de Moraes, j. 21.02.2024, P, DJE de 23.04.2024.]</w:t>
      </w:r>
    </w:p>
    <w:p>
      <w:pPr>
        <w:ind w:left="144"/>
      </w:pPr>
      <w:r>
        <w:rPr>
          <w:b/>
          <w:color w:val="B45A00"/>
          <w:sz w:val="16"/>
        </w:rPr>
        <w:t>JULGADOS CORRELATOS</w:t>
      </w:r>
    </w:p>
    <w:p>
      <w:pPr>
        <w:ind w:left="288"/>
      </w:pPr>
      <w:r>
        <w:rPr>
          <w:color w:val="8C8C8C"/>
          <w:sz w:val="12"/>
        </w:rPr>
        <w:t>cf-art-59</w:t>
      </w:r>
      <w:r>
        <w:rPr>
          <w:color w:val="003CA0"/>
          <w:sz w:val="12"/>
        </w:rPr>
        <w:t xml:space="preserve"> | MS 27.971</w:t>
      </w:r>
      <w:r>
        <w:rPr>
          <w:color w:val="003CA0"/>
          <w:sz w:val="12"/>
        </w:rPr>
        <w:t xml:space="preserve"> | rel. Celso de Mello</w:t>
      </w:r>
    </w:p>
    <w:p>
      <w:pPr>
        <w:ind w:left="288"/>
      </w:pPr>
      <w:r>
        <w:rPr>
          <w:color w:val="1E1E1E"/>
          <w:sz w:val="18"/>
        </w:rPr>
        <w:t>(...) a perda superveniente de titularidade do mandato legislativo tem efeito desqualificador da legitimidade ativa do congressista que, apoiado nessa específica condição político-jurídica, ajuizou ação de mandado de segurança com o objetivo de questionar a validade jurídica de determinado procedimento que ambas as Casas do Congresso Nacional têm adotado em matéria de apreciação de medidas provisórias. É que a atualidade do exercício do mandato parlamentar configura, nesse contexto, situação legitimante e necessária, tanto para a instauração, quanto para o prosseguimento da causa perante o STF</w:t>
      </w:r>
    </w:p>
    <w:p>
      <w:pPr>
        <w:ind w:left="288"/>
      </w:pPr>
      <w:r>
        <w:rPr>
          <w:b/>
          <w:color w:val="003CA0"/>
          <w:sz w:val="16"/>
        </w:rPr>
        <w:t>[MS 27.971, rel. min. Celso de Mello, j. 1º-7-2011, dec. monocrática, DJE de 1º-8-2011.]</w:t>
      </w:r>
    </w:p>
    <w:p>
      <w:pPr>
        <w:ind w:left="288"/>
      </w:pPr>
      <w:r>
        <w:rPr>
          <w:color w:val="8C8C8C"/>
          <w:sz w:val="12"/>
        </w:rPr>
        <w:t>cf-art-59</w:t>
      </w:r>
      <w:r>
        <w:rPr>
          <w:color w:val="003CA0"/>
          <w:sz w:val="12"/>
        </w:rPr>
        <w:t xml:space="preserve"> | MS 24.667</w:t>
      </w:r>
      <w:r>
        <w:rPr>
          <w:color w:val="003CA0"/>
          <w:sz w:val="12"/>
        </w:rPr>
        <w:t xml:space="preserve"> | rel. Carlos Velloso</w:t>
      </w:r>
    </w:p>
    <w:p>
      <w:pPr>
        <w:ind w:left="288"/>
      </w:pPr>
      <w:r>
        <w:rPr>
          <w:color w:val="1E1E1E"/>
          <w:sz w:val="18"/>
        </w:rP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pPr>
        <w:ind w:left="288"/>
      </w:pPr>
      <w:r>
        <w:rPr>
          <w:b/>
          <w:color w:val="003CA0"/>
          <w:sz w:val="16"/>
        </w:rPr>
        <w:t>[MS 24.667 AgR, rel. min. Carlos Velloso, j. 4-12-2003, P, DJ de 23-4-2004.]</w:t>
      </w:r>
    </w:p>
    <w:p>
      <w:pPr>
        <w:ind w:left="288"/>
      </w:pPr>
      <w:r>
        <w:rPr>
          <w:color w:val="8C8C8C"/>
          <w:sz w:val="12"/>
        </w:rPr>
        <w:t>cf-art-59</w:t>
      </w:r>
      <w:r>
        <w:rPr>
          <w:color w:val="003CA0"/>
          <w:sz w:val="12"/>
        </w:rPr>
        <w:t xml:space="preserve"> | MS 32.033</w:t>
      </w:r>
      <w:r>
        <w:rPr>
          <w:color w:val="003CA0"/>
          <w:sz w:val="12"/>
        </w:rPr>
        <w:t xml:space="preserve"> | rel. Celso de Mello</w:t>
      </w:r>
    </w:p>
    <w:p>
      <w:pPr>
        <w:ind w:left="288"/>
      </w:pPr>
      <w:r>
        <w:rPr>
          <w:color w:val="1E1E1E"/>
          <w:sz w:val="18"/>
        </w:rPr>
        <w:t>= MS 32.033, red. do ac. min. Teori Zavascki, j. 20-6-2013, P, DJE de 18-2-2014 (...) as leis, ainda que em período de vacatio legis, não se revelam imunes à possibilidade jurídica de sua revogação por diploma legislativo que, sendo editado posteriormente, apresente-se em relação de conflito antinômico com elas. Vale dizer, inexiste qualquer obstáculo de índole jurídico-constitucional que impeça a revogação de uma determinada lei por outra, ainda que a superveniência desta última tenha formalmente ocorrido durante o prazo de vacatio legis, tal como já ocorreu, em nosso sistema de direito posit</w:t>
      </w:r>
    </w:p>
    <w:p>
      <w:pPr>
        <w:ind w:left="288"/>
      </w:pPr>
      <w:r>
        <w:rPr>
          <w:b/>
          <w:color w:val="003CA0"/>
          <w:sz w:val="16"/>
        </w:rPr>
        <w:t>[HC 72.435, voto do rel. min. Celso de Mello, j. 12-9-1995, 1ª T, DJE de 14-8-2009.]</w:t>
      </w:r>
    </w:p>
    <w:p>
      <w:pPr>
        <w:ind w:left="288"/>
      </w:pPr>
      <w:r>
        <w:rPr>
          <w:color w:val="8C8C8C"/>
          <w:sz w:val="12"/>
        </w:rPr>
        <w:t>cf-art-59-inc-II</w:t>
      </w:r>
    </w:p>
    <w:p>
      <w:pPr>
        <w:ind w:left="288"/>
      </w:pPr>
      <w:r>
        <w:rPr>
          <w:color w:val="1E1E1E"/>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88"/>
      </w:pPr>
      <w:r>
        <w:rPr>
          <w:b/>
          <w:color w:val="003CA0"/>
          <w:sz w:val="16"/>
        </w:rPr>
        <w:t>[Súmula Vinculante 62]</w:t>
      </w:r>
    </w:p>
    <w:p>
      <w:pPr>
        <w:ind w:left="144"/>
      </w:pPr>
      <w:r>
        <w:rPr>
          <w:b/>
          <w:color w:val="B45A00"/>
          <w:sz w:val="16"/>
        </w:rPr>
        <w:t>CONTROLE CONCENTRADO</w:t>
      </w:r>
    </w:p>
    <w:p>
      <w:pPr>
        <w:ind w:left="288"/>
      </w:pPr>
      <w:r>
        <w:rPr>
          <w:color w:val="8C8C8C"/>
          <w:sz w:val="12"/>
        </w:rPr>
        <w:t>cf-art-59-inc-II</w:t>
      </w:r>
      <w:r>
        <w:rPr>
          <w:color w:val="003CA0"/>
          <w:sz w:val="12"/>
        </w:rPr>
        <w:t xml:space="preserve"> | ADI 2.926</w:t>
      </w:r>
      <w:r>
        <w:rPr>
          <w:color w:val="003CA0"/>
          <w:sz w:val="12"/>
        </w:rPr>
        <w:t xml:space="preserve"> | rel. Nunes Marques</w:t>
      </w:r>
    </w:p>
    <w:p>
      <w:pPr>
        <w:ind w:left="288"/>
      </w:pPr>
      <w:r>
        <w:rPr>
          <w:color w:val="1E1E1E"/>
          <w:sz w:val="18"/>
        </w:rPr>
        <w:t>A votação e aprovação de lei complementar em contexto a exigir apenas o rito de lei ordinária não configura vício formal, porquanto é satisfeito, e suplantado, o requisito da maioria simples. A lei complementar inexigível deve ser tratada como lei ordinária.</w:t>
        <w:br/>
        <w:t>[ADI 2.926, rel. min. Nunes Marques, j. 18-3-2023, P, DJE de 22-5-2023.] “É possível a revogação ou alteração por lei ordinária de benefício instituído a servidor público por lei complementar quando materialmente ordinária, observado o princípio da simetria.”</w:t>
      </w:r>
    </w:p>
    <w:p>
      <w:pPr>
        <w:ind w:left="288"/>
      </w:pPr>
      <w:r>
        <w:rPr>
          <w:b/>
          <w:color w:val="003CA0"/>
          <w:sz w:val="16"/>
        </w:rPr>
        <w:t>[ARE 1.521.802, rel. min. Edson Fachin, j. 15.09.2025, P, DJE de 19.09.2025, Tema 1.352, com mérito julgado.]</w:t>
      </w:r>
    </w:p>
    <w:p>
      <w:pPr>
        <w:ind w:left="144"/>
      </w:pPr>
      <w:r>
        <w:rPr>
          <w:b/>
          <w:color w:val="B45A00"/>
          <w:sz w:val="16"/>
        </w:rPr>
        <w:t>REPERCUSSAO GERAL</w:t>
      </w:r>
    </w:p>
    <w:p>
      <w:pPr>
        <w:ind w:left="288"/>
      </w:pPr>
      <w:r>
        <w:rPr>
          <w:color w:val="8C8C8C"/>
          <w:sz w:val="12"/>
        </w:rPr>
        <w:t>cf-art-59-inc-II</w:t>
      </w:r>
      <w:r>
        <w:rPr>
          <w:color w:val="003CA0"/>
          <w:sz w:val="12"/>
        </w:rPr>
        <w:t xml:space="preserve"> | RE 377.457</w:t>
      </w:r>
      <w:r>
        <w:rPr>
          <w:color w:val="003CA0"/>
          <w:sz w:val="12"/>
        </w:rPr>
        <w:t xml:space="preserve"> | rel. Gilmar Mendes</w:t>
      </w:r>
    </w:p>
    <w:p>
      <w:pPr>
        <w:ind w:left="288"/>
      </w:pPr>
      <w:r>
        <w:rPr>
          <w:color w:val="1E1E1E"/>
          <w:sz w:val="18"/>
        </w:rPr>
        <w:t>A  LC 70/1991 é apenas formalmente complementar, mas materialmente ordinária, com relação aos dispositivos concernentes à contribuição social por ela instituída.</w:t>
        <w:br/>
        <w:t>[RE 377.457, rel. min. Gilmar Mendes, j. 17-9-2008, P, DJE de 19-12-2008, Tema 71, com mérito julgado.]</w:t>
        <w:br/>
        <w:t>Vide ADI 4.071 AgR, rel. min. Menezes Direito, j. 22-4-2009, P, DJE de 16-10-2009</w:t>
      </w:r>
    </w:p>
    <w:p>
      <w:pPr>
        <w:ind w:left="144"/>
      </w:pPr>
      <w:r>
        <w:rPr>
          <w:b/>
          <w:color w:val="B45A00"/>
          <w:sz w:val="16"/>
        </w:rPr>
        <w:t>JULGADOS CORRELATOS</w:t>
      </w:r>
    </w:p>
    <w:p>
      <w:pPr>
        <w:ind w:left="288"/>
      </w:pPr>
      <w:r>
        <w:rPr>
          <w:color w:val="8C8C8C"/>
          <w:sz w:val="12"/>
        </w:rPr>
        <w:t>cf-art-59-inc-II</w:t>
      </w:r>
      <w:r>
        <w:rPr>
          <w:color w:val="003CA0"/>
          <w:sz w:val="12"/>
        </w:rPr>
        <w:t xml:space="preserve"> | RE 228.339</w:t>
      </w:r>
      <w:r>
        <w:rPr>
          <w:color w:val="003CA0"/>
          <w:sz w:val="12"/>
        </w:rPr>
        <w:t xml:space="preserve"> | rel. Joaquim Barbosa</w:t>
      </w:r>
    </w:p>
    <w:p>
      <w:pPr>
        <w:ind w:left="288"/>
      </w:pPr>
      <w:r>
        <w:rPr>
          <w:color w:val="1E1E1E"/>
          <w:sz w:val="18"/>
        </w:rPr>
        <w:t>Conflito entre legislação local e lei complementar de normas gerais em matéria tributária. (...) Nem toda contraposição entre lei ordinária e lei complementar se resolve no plano constitucional. Entre outras hipóteses, a discussão será de alçada constitucional se o ponto a ser resolvido, direta ou incidentalmente, referir-se à existência ou inexistência de reserva de lei complementar para instituir o tributo ou estabelecer normas gerais em matéria tributária, pois é a Constituição que estabelece os campos materiais para o rito de processo legislativo adequado. Num segundo ponto, é possível ent</w:t>
      </w:r>
    </w:p>
    <w:p>
      <w:pPr>
        <w:ind w:left="288"/>
      </w:pPr>
      <w:r>
        <w:rPr>
          <w:b/>
          <w:color w:val="003CA0"/>
          <w:sz w:val="16"/>
        </w:rPr>
        <w:t>[RE 228.339 AgR, rel. min. Joaquim Barbosa, j. 20-4-2010, 2ª T, DJE de 28-5-2010.]</w:t>
      </w:r>
    </w:p>
    <w:p>
      <w:pPr>
        <w:ind w:left="288"/>
      </w:pPr>
      <w:r>
        <w:rPr>
          <w:color w:val="8C8C8C"/>
          <w:sz w:val="12"/>
        </w:rPr>
        <w:t>cf-art-59-inc-II</w:t>
      </w:r>
      <w:r>
        <w:rPr>
          <w:color w:val="003CA0"/>
          <w:sz w:val="12"/>
        </w:rPr>
        <w:t xml:space="preserve"> | AI 235.800</w:t>
      </w:r>
      <w:r>
        <w:rPr>
          <w:color w:val="003CA0"/>
          <w:sz w:val="12"/>
        </w:rPr>
        <w:t xml:space="preserve"> | rel. Moreira Alves</w:t>
      </w:r>
    </w:p>
    <w:p>
      <w:pPr>
        <w:ind w:left="288"/>
      </w:pPr>
      <w:r>
        <w:rPr>
          <w:color w:val="1E1E1E"/>
          <w:sz w:val="18"/>
        </w:rPr>
        <w:t>A recepção de lei ordinária como lei complementar pela Constituição posterior a ela só ocorre com relação aos seus dispositivos em vigor quando da promulgação desta, não havendo que se pretender a ocorrência de efeito repristinatório, porque o nosso sistema jurídico, salvo disposição em contrário, não admite a repristinação (art. 2º, § 3º, da Lei de Introdução ao Código Civil).</w:t>
      </w:r>
    </w:p>
    <w:p>
      <w:pPr>
        <w:ind w:left="288"/>
      </w:pPr>
      <w:r>
        <w:rPr>
          <w:b/>
          <w:color w:val="003CA0"/>
          <w:sz w:val="16"/>
        </w:rPr>
        <w:t>[AI 235.800 AgR, rel. min. Moreira Alves, j. 25-5-1999, 1ª T, DJ de 25-6-1999.]</w:t>
      </w:r>
    </w:p>
    <w:p>
      <w:pPr>
        <w:ind w:left="288"/>
      </w:pPr>
      <w:r>
        <w:rPr>
          <w:color w:val="8C8C8C"/>
          <w:sz w:val="12"/>
        </w:rPr>
        <w:t>cf-art-59-inc-III</w:t>
      </w:r>
    </w:p>
    <w:p>
      <w:pPr>
        <w:ind w:left="288"/>
      </w:pPr>
      <w:r>
        <w:rPr>
          <w:color w:val="1E1E1E"/>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88"/>
      </w:pPr>
      <w:r>
        <w:rPr>
          <w:b/>
          <w:color w:val="003CA0"/>
          <w:sz w:val="16"/>
        </w:rPr>
        <w:t>[Súmula Vinculante 62]</w:t>
      </w:r>
    </w:p>
    <w:p>
      <w:pPr>
        <w:ind w:left="288"/>
      </w:pPr>
      <w:r>
        <w:rPr>
          <w:color w:val="8C8C8C"/>
          <w:sz w:val="12"/>
        </w:rPr>
        <w:t>cf-art-59-inc-III</w:t>
      </w:r>
      <w:r>
        <w:rPr>
          <w:color w:val="003CA0"/>
          <w:sz w:val="12"/>
        </w:rPr>
        <w:t xml:space="preserve"> | ARE 1.521.802</w:t>
      </w:r>
      <w:r>
        <w:rPr>
          <w:color w:val="003CA0"/>
          <w:sz w:val="12"/>
        </w:rPr>
        <w:t xml:space="preserve"> | rel. Edson Fachin</w:t>
      </w:r>
    </w:p>
    <w:p>
      <w:pPr>
        <w:ind w:left="288"/>
      </w:pPr>
      <w:r>
        <w:rPr>
          <w:color w:val="1E1E1E"/>
          <w:sz w:val="18"/>
        </w:rPr>
        <w:t>“É possível a revogação ou alteração por lei ordinária de benefício instituído a servidor público por lei complementar quando materialmente ordinária, observado o princípio da simetria.”</w:t>
      </w:r>
    </w:p>
    <w:p>
      <w:pPr>
        <w:ind w:left="288"/>
      </w:pPr>
      <w:r>
        <w:rPr>
          <w:b/>
          <w:color w:val="003CA0"/>
          <w:sz w:val="16"/>
        </w:rPr>
        <w:t>[ARE 1.521.802, rel. min. Edson Fachin, j. 15.09.2025, P, DJE de 19.09.2025, Tema 1.352, com mérito julgado.]</w:t>
      </w:r>
    </w:p>
    <w:p>
      <w:pPr>
        <w:ind w:left="144"/>
      </w:pPr>
      <w:r>
        <w:rPr>
          <w:b/>
          <w:color w:val="B45A00"/>
          <w:sz w:val="16"/>
        </w:rPr>
        <w:t>REPERCUSSAO GERAL</w:t>
      </w:r>
    </w:p>
    <w:p>
      <w:pPr>
        <w:ind w:left="288"/>
      </w:pPr>
      <w:r>
        <w:rPr>
          <w:color w:val="8C8C8C"/>
          <w:sz w:val="12"/>
        </w:rPr>
        <w:t>cf-art-59-inc-III</w:t>
      </w:r>
      <w:r>
        <w:rPr>
          <w:color w:val="003CA0"/>
          <w:sz w:val="12"/>
        </w:rPr>
        <w:t xml:space="preserve"> | RE 377.457</w:t>
      </w:r>
      <w:r>
        <w:rPr>
          <w:color w:val="003CA0"/>
          <w:sz w:val="12"/>
        </w:rPr>
        <w:t xml:space="preserve"> | rel. Gilmar Mendes</w:t>
      </w:r>
    </w:p>
    <w:p>
      <w:pPr>
        <w:ind w:left="288"/>
      </w:pPr>
      <w:r>
        <w:rPr>
          <w:color w:val="1E1E1E"/>
          <w:sz w:val="18"/>
        </w:rPr>
        <w:t>A LC 70/1991 é apenas formalmente complementar, mas materialmente ordinária, com relação aos dispositivos concernentes à contribuição social por ela instituída.</w:t>
        <w:br/>
        <w:t>[RE 377.457, rel. min. Gilmar Mendes, j. 17-9-2008, P, DJE de 19-12-2008, Tema 71, com mérito julgado.]</w:t>
        <w:br/>
        <w:t>Vide ADI 4.071 AgR, rel. min. Menezes Direito, j. 22-4-2009, P, DJE de 16-10-2009</w:t>
      </w:r>
    </w:p>
    <w:p>
      <w:pPr>
        <w:ind w:left="144"/>
      </w:pPr>
      <w:r>
        <w:rPr>
          <w:b/>
          <w:color w:val="B45A00"/>
          <w:sz w:val="16"/>
        </w:rPr>
        <w:t>JULGADOS CORRELATOS</w:t>
      </w:r>
    </w:p>
    <w:p>
      <w:pPr>
        <w:ind w:left="288"/>
      </w:pPr>
      <w:r>
        <w:rPr>
          <w:color w:val="8C8C8C"/>
          <w:sz w:val="12"/>
        </w:rPr>
        <w:t>cf-art-59-inc-III</w:t>
      </w:r>
      <w:r>
        <w:rPr>
          <w:color w:val="003CA0"/>
          <w:sz w:val="12"/>
        </w:rPr>
        <w:t xml:space="preserve"> | RE 405.386</w:t>
      </w:r>
    </w:p>
    <w:p>
      <w:pPr>
        <w:ind w:left="288"/>
      </w:pPr>
      <w:r>
        <w:rPr>
          <w:color w:val="1E1E1E"/>
          <w:sz w:val="18"/>
        </w:rPr>
        <w:t>Não há empecilho constitucional à edição de leis sem caráter geral e abstrato, providas apenas de efeitos concretos e individualizados. Há matérias a cujo respeito a disciplina não pode ser conferida por ato administrativo, demandando a edição de lei, ainda que em sentido meramente formal. É o caso da concessão de pensões especiais. O tratamento privilegiado a certas pessoas somente pode ser considerado ofensivo ao princípio da igualdade ou da moralidade quando não decorrer de uma causa razoavelmente justificada.</w:t>
      </w:r>
    </w:p>
    <w:p>
      <w:pPr>
        <w:ind w:left="288"/>
      </w:pPr>
      <w:r>
        <w:rPr>
          <w:b/>
          <w:color w:val="003CA0"/>
          <w:sz w:val="16"/>
        </w:rPr>
        <w:t>[RE 405.386, red. do ac. min. Teori Zavascki, j. 26-2-2013, 2ª T, DJE de 26-4-2013.]</w:t>
      </w:r>
    </w:p>
    <w:p>
      <w:pPr>
        <w:ind w:left="288"/>
      </w:pPr>
      <w:r>
        <w:rPr>
          <w:color w:val="8C8C8C"/>
          <w:sz w:val="12"/>
        </w:rPr>
        <w:t>cf-art-59-inc-III</w:t>
      </w:r>
      <w:r>
        <w:rPr>
          <w:color w:val="003CA0"/>
          <w:sz w:val="12"/>
        </w:rPr>
        <w:t xml:space="preserve"> | RE 228.339</w:t>
      </w:r>
      <w:r>
        <w:rPr>
          <w:color w:val="003CA0"/>
          <w:sz w:val="12"/>
        </w:rPr>
        <w:t xml:space="preserve"> | rel. Joaquim Barbosa</w:t>
      </w:r>
    </w:p>
    <w:p>
      <w:pPr>
        <w:ind w:left="288"/>
      </w:pPr>
      <w:r>
        <w:rPr>
          <w:color w:val="1E1E1E"/>
          <w:sz w:val="18"/>
        </w:rPr>
        <w:t>Conflito entre legislação local e lei complementar de normas gerais em matéria tributária. (...) Nem toda contraposição entre lei ordinária e lei complementar se resolve no plano constitucional. Dentre outras hipóteses, a discussão será de alçada constitucional se o ponto a ser resolvido, direta ou incidentalmente, referir-se à existência ou inexistência de reserva de lei complementar para instituir o tributo ou estabelecer normas gerais em matéria tributária, pois é a Constituição que estabelece os campos materiais para o rito de processo legislativo adequado. Num segundo ponto, é possível en</w:t>
      </w:r>
    </w:p>
    <w:p>
      <w:pPr>
        <w:ind w:left="288"/>
      </w:pPr>
      <w:r>
        <w:rPr>
          <w:b/>
          <w:color w:val="003CA0"/>
          <w:sz w:val="16"/>
        </w:rPr>
        <w:t>[RE 228.339 AgR, rel. min. Joaquim Barbosa, j. 20-4-2010, 2ª T, DJE de 28-5-2010.]</w:t>
      </w:r>
    </w:p>
    <w:p>
      <w:pPr>
        <w:ind w:left="288"/>
      </w:pPr>
      <w:r>
        <w:rPr>
          <w:color w:val="8C8C8C"/>
          <w:sz w:val="12"/>
        </w:rPr>
        <w:t>cf-art-59-par-unico</w:t>
      </w:r>
    </w:p>
    <w:p>
      <w:pPr>
        <w:ind w:left="288"/>
      </w:pPr>
      <w:r>
        <w:rPr>
          <w:color w:val="1E1E1E"/>
          <w:sz w:val="18"/>
        </w:rPr>
        <w:t>Subseção II - Da Emenda à Constituição</w:t>
      </w:r>
    </w:p>
    <w:p>
      <w:pPr>
        <w:ind w:left="720"/>
      </w:pPr>
      <w:r>
        <w:rPr>
          <w:color w:val="003366"/>
          <w:sz w:val="18"/>
        </w:rPr>
        <w:t>I – emendas à Constituição;</w:t>
      </w:r>
    </w:p>
    <w:p>
      <w:pPr>
        <w:ind w:left="720"/>
      </w:pPr>
      <w:r>
        <w:rPr>
          <w:color w:val="003366"/>
          <w:sz w:val="18"/>
        </w:rPr>
        <w:t>II – leis complementares;</w:t>
      </w:r>
    </w:p>
    <w:p>
      <w:pPr>
        <w:ind w:left="720"/>
      </w:pPr>
      <w:r>
        <w:rPr>
          <w:color w:val="003366"/>
          <w:sz w:val="18"/>
        </w:rPr>
        <w:t>III – leis ordinárias;</w:t>
      </w:r>
    </w:p>
    <w:p>
      <w:pPr>
        <w:ind w:left="720"/>
      </w:pPr>
      <w:r>
        <w:rPr>
          <w:color w:val="003366"/>
          <w:sz w:val="18"/>
        </w:rPr>
        <w:t>IV – leis delegadas;</w:t>
      </w:r>
    </w:p>
    <w:p>
      <w:pPr>
        <w:ind w:left="720"/>
      </w:pPr>
      <w:r>
        <w:rPr>
          <w:color w:val="003366"/>
          <w:sz w:val="18"/>
        </w:rPr>
        <w:t>V – medidas provisórias;</w:t>
      </w:r>
    </w:p>
    <w:p>
      <w:pPr>
        <w:ind w:left="720"/>
      </w:pPr>
      <w:r>
        <w:rPr>
          <w:color w:val="003366"/>
          <w:sz w:val="18"/>
        </w:rPr>
        <w:t>VI – decretos legislativos;</w:t>
      </w:r>
    </w:p>
    <w:p>
      <w:pPr>
        <w:ind w:left="720"/>
      </w:pPr>
      <w:r>
        <w:rPr>
          <w:color w:val="003366"/>
          <w:sz w:val="18"/>
        </w:rPr>
        <w:t>VII – resoluções.</w:t>
      </w:r>
    </w:p>
    <w:p>
      <w:r>
        <w:rPr>
          <w:b/>
          <w:color w:val="003366"/>
          <w:sz w:val="20"/>
        </w:rPr>
        <w:t>Art. 60 A Constituição poderá ser emendada mediante proposta:</w:t>
      </w:r>
      <w:r>
        <w:rPr>
          <w:color w:val="8C8C8C"/>
          <w:sz w:val="14"/>
        </w:rPr>
        <w:t xml:space="preserve">  [24 decisoes]</w:t>
      </w:r>
    </w:p>
    <w:p>
      <w:pPr>
        <w:ind w:left="144"/>
      </w:pPr>
      <w:r>
        <w:rPr>
          <w:b/>
          <w:color w:val="B45A00"/>
          <w:sz w:val="16"/>
        </w:rPr>
        <w:t>CONTROLE CONCENTRADO</w:t>
      </w:r>
    </w:p>
    <w:p>
      <w:pPr>
        <w:ind w:left="288"/>
      </w:pPr>
      <w:r>
        <w:rPr>
          <w:color w:val="8C8C8C"/>
          <w:sz w:val="12"/>
        </w:rPr>
        <w:t>cf-art-60</w:t>
      </w:r>
      <w:r>
        <w:rPr>
          <w:color w:val="003CA0"/>
          <w:sz w:val="12"/>
        </w:rPr>
        <w:t xml:space="preserve"> | ADI 2.356</w:t>
      </w:r>
    </w:p>
    <w:p>
      <w:pPr>
        <w:ind w:left="288"/>
      </w:pPr>
      <w:r>
        <w:rPr>
          <w:color w:val="1E1E1E"/>
          <w:sz w:val="18"/>
        </w:rPr>
        <w:t>A eficácia das regras jurídicas produzidas pelo poder constituinte (redundantemente chamado de "originário") não está sujeita a nenhuma limitação normativa, seja de ordem material, seja formal, porque provém do exercício de um poder de fato ou suprapositivo. Já as normas produzidas pelo poder reformador, essas têm sua validez e eficácia condicionadas à legitimação que recebam da ordem constitucional. Daí a necessária obediência das emendas constitucionais às chamadas cláusulas pétreas.</w:t>
      </w:r>
    </w:p>
    <w:p>
      <w:pPr>
        <w:ind w:left="288"/>
      </w:pPr>
      <w:r>
        <w:rPr>
          <w:b/>
          <w:color w:val="003CA0"/>
          <w:sz w:val="16"/>
        </w:rPr>
        <w:t>[ADI 2.356 MC e ADI 2.362 MC, red. do ac. min. Ayres Britto, j. 25-11-2010, P, DJE de 19-5-2011.]</w:t>
      </w:r>
    </w:p>
    <w:p>
      <w:pPr>
        <w:ind w:left="288"/>
      </w:pPr>
      <w:r>
        <w:rPr>
          <w:color w:val="8C8C8C"/>
          <w:sz w:val="12"/>
        </w:rPr>
        <w:t>cf-art-60</w:t>
      </w:r>
      <w:r>
        <w:rPr>
          <w:color w:val="003CA0"/>
          <w:sz w:val="12"/>
        </w:rPr>
        <w:t xml:space="preserve"> | ADI 939</w:t>
      </w:r>
      <w:r>
        <w:rPr>
          <w:color w:val="003CA0"/>
          <w:sz w:val="12"/>
        </w:rPr>
        <w:t xml:space="preserve"> | rel. Sydney Sanches</w:t>
      </w:r>
    </w:p>
    <w:p>
      <w:pPr>
        <w:ind w:left="288"/>
      </w:pPr>
      <w:r>
        <w:rPr>
          <w:color w:val="1E1E1E"/>
          <w:sz w:val="18"/>
        </w:rPr>
        <w:t>= ADI 939, rel. min. Sydney Sanches, j. 15-12-1993, P, DJ de 18-3-1994</w:t>
      </w:r>
    </w:p>
    <w:p>
      <w:pPr>
        <w:ind w:left="144"/>
      </w:pPr>
      <w:r>
        <w:rPr>
          <w:b/>
          <w:color w:val="B45A00"/>
          <w:sz w:val="16"/>
        </w:rPr>
        <w:t>JULGADOS CORRELATOS</w:t>
      </w:r>
    </w:p>
    <w:p>
      <w:pPr>
        <w:ind w:left="288"/>
      </w:pPr>
      <w:r>
        <w:rPr>
          <w:color w:val="8C8C8C"/>
          <w:sz w:val="12"/>
        </w:rPr>
        <w:t>cf-art-60</w:t>
      </w:r>
      <w:r>
        <w:rPr>
          <w:color w:val="003CA0"/>
          <w:sz w:val="12"/>
        </w:rPr>
        <w:t xml:space="preserve"> | MS 24.667</w:t>
      </w:r>
      <w:r>
        <w:rPr>
          <w:color w:val="003CA0"/>
          <w:sz w:val="12"/>
        </w:rPr>
        <w:t xml:space="preserve"> | rel. Carlos Velloso</w:t>
      </w:r>
    </w:p>
    <w:p>
      <w:pPr>
        <w:ind w:left="288"/>
      </w:pPr>
      <w:r>
        <w:rPr>
          <w:color w:val="1E1E1E"/>
          <w:sz w:val="18"/>
        </w:rP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pPr>
        <w:ind w:left="288"/>
      </w:pPr>
      <w:r>
        <w:rPr>
          <w:b/>
          <w:color w:val="003CA0"/>
          <w:sz w:val="16"/>
        </w:rPr>
        <w:t>[MS 24.667 AgR, rel. min. Carlos Velloso, j. 4-12-2003, P, DJ de 23-4-2004.]</w:t>
      </w:r>
    </w:p>
    <w:p>
      <w:pPr>
        <w:ind w:left="288"/>
      </w:pPr>
      <w:r>
        <w:rPr>
          <w:color w:val="8C8C8C"/>
          <w:sz w:val="12"/>
        </w:rPr>
        <w:t>cf-art-60</w:t>
      </w:r>
      <w:r>
        <w:rPr>
          <w:color w:val="003CA0"/>
          <w:sz w:val="12"/>
        </w:rPr>
        <w:t xml:space="preserve"> | MS 32.033</w:t>
      </w:r>
    </w:p>
    <w:p>
      <w:pPr>
        <w:ind w:left="288"/>
      </w:pPr>
      <w:r>
        <w:rPr>
          <w:color w:val="1E1E1E"/>
          <w:sz w:val="18"/>
        </w:rPr>
        <w:t>= MS 32.033, red. do ac. min. Teori Zavascki, j. 20-6-2013, P, DJE de 18-2-2014</w:t>
      </w:r>
    </w:p>
    <w:p>
      <w:pPr>
        <w:ind w:left="144"/>
      </w:pPr>
      <w:r>
        <w:rPr>
          <w:b/>
          <w:color w:val="B45A00"/>
          <w:sz w:val="16"/>
        </w:rPr>
        <w:t>CONTROLE CONCENTRADO</w:t>
      </w:r>
    </w:p>
    <w:p>
      <w:pPr>
        <w:ind w:left="288"/>
      </w:pPr>
      <w:r>
        <w:rPr>
          <w:color w:val="8C8C8C"/>
          <w:sz w:val="12"/>
        </w:rPr>
        <w:t>cf-art-60-inc-I</w:t>
      </w:r>
      <w:r>
        <w:rPr>
          <w:color w:val="003CA0"/>
          <w:sz w:val="12"/>
        </w:rPr>
        <w:t xml:space="preserve"> | ADI 2.031</w:t>
      </w:r>
      <w:r>
        <w:rPr>
          <w:color w:val="003CA0"/>
          <w:sz w:val="12"/>
        </w:rPr>
        <w:t xml:space="preserve"> | rel. Ellen Gracie</w:t>
      </w:r>
    </w:p>
    <w:p>
      <w:pPr>
        <w:ind w:left="288"/>
      </w:pPr>
      <w:r>
        <w:rPr>
          <w:color w:val="1E1E1E"/>
          <w:sz w:val="18"/>
        </w:rPr>
        <w:t>O início da tramitação da proposta de emenda no Senado Federal está em harmonia com o disposto no art. 60, I, da CF, que confere poder de iniciativa a ambas as Casas Legislativas.</w:t>
      </w:r>
    </w:p>
    <w:p>
      <w:pPr>
        <w:ind w:left="288"/>
      </w:pPr>
      <w:r>
        <w:rPr>
          <w:b/>
          <w:color w:val="003CA0"/>
          <w:sz w:val="16"/>
        </w:rPr>
        <w:t>[ADI 2.031, rel. min. Ellen Gracie, j. 3-10-2002, P, DJ de 17-10-2003.]</w:t>
      </w:r>
    </w:p>
    <w:p>
      <w:pPr>
        <w:ind w:left="288"/>
      </w:pPr>
      <w:r>
        <w:rPr>
          <w:color w:val="8C8C8C"/>
          <w:sz w:val="12"/>
        </w:rPr>
        <w:t>cf-art-60-par-2</w:t>
      </w:r>
      <w:r>
        <w:rPr>
          <w:color w:val="003CA0"/>
          <w:sz w:val="12"/>
        </w:rPr>
        <w:t xml:space="preserve"> | ADI 2.135</w:t>
      </w:r>
      <w:r>
        <w:rPr>
          <w:color w:val="003CA0"/>
          <w:sz w:val="12"/>
        </w:rPr>
        <w:t xml:space="preserve"> | rel. Cármen Lúcia. Red. do ac. min. Gilmar Mendes</w:t>
      </w:r>
    </w:p>
    <w:p>
      <w:pPr>
        <w:ind w:left="288"/>
      </w:pPr>
      <w:r>
        <w:rPr>
          <w:color w:val="1E1E1E"/>
          <w:sz w:val="18"/>
        </w:rPr>
        <w:t>A questão em discussão consiste em saber se o processo legislativo que culminou na promulgação da EC 19/1998, em especial a fase de Redação do Vencido durante o primeiro turno de votação na Câmara dos Deputados, observou o disposto no § 2º do art. 60 da Constituição, que estabelece a necessidade de discussão e aprovação em dois turnos, por maioria qualificada, para que uma proposta de emenda à Constituição possa ser considerada aprovada. Em específico, envolve a correta compreensão e delimitação do objeto do Destaque para Votação em Separado (DVS) n. 9 e dos efeitos decorrentes de sua rejeição</w:t>
      </w:r>
    </w:p>
    <w:p>
      <w:pPr>
        <w:ind w:left="288"/>
      </w:pPr>
      <w:r>
        <w:rPr>
          <w:b/>
          <w:color w:val="003CA0"/>
          <w:sz w:val="16"/>
        </w:rPr>
        <w:t>[ADI 2.135, rel. min. Cármen Lúcia. Red. do ac. min. Gilmar Mendes, j. 06.11.2024, P, DJE de 03.06.2025.]</w:t>
      </w:r>
    </w:p>
    <w:p>
      <w:pPr>
        <w:ind w:left="288"/>
      </w:pPr>
      <w:r>
        <w:rPr>
          <w:color w:val="8C8C8C"/>
          <w:sz w:val="12"/>
        </w:rPr>
        <w:t>cf-art-60-par-2</w:t>
      </w:r>
      <w:r>
        <w:rPr>
          <w:color w:val="003CA0"/>
          <w:sz w:val="12"/>
        </w:rPr>
        <w:t xml:space="preserve"> | ADI 7.205</w:t>
      </w:r>
      <w:r>
        <w:rPr>
          <w:color w:val="003CA0"/>
          <w:sz w:val="12"/>
        </w:rPr>
        <w:t xml:space="preserve"> | rel. Dias Toffoli</w:t>
      </w:r>
    </w:p>
    <w:p>
      <w:pPr>
        <w:ind w:left="288"/>
      </w:pPr>
      <w:r>
        <w:rPr>
          <w:color w:val="1E1E1E"/>
          <w:sz w:val="18"/>
        </w:rPr>
        <w:t>(...) o art. 70, § 1º, da Lei Orgânica do Distrito Federal, ao exigir, para a aprovação de suas emendas, quórum de dois terços, destoa do arquétipo federal previsto no art. 60, § 2º, da CF, padecendo, pois, de patente inconstitucionalidade.</w:t>
        <w:br/>
        <w:t>[ADI 7.205, rel. min. Dias Toffoli, j. 17-12-2022, P, DJE de 20-4-2023.] A CF de 1988 não fixou um intervalo temporal mínimo entre os dois turnos de votação para fins de aprovação de emendas à Constituição (CF, art. 60, § 2º), de sorte que inexiste parâmetro objetivo que oriente o exame judicial do grau de solidez da vontade política de reformar a Lei Maior</w:t>
      </w:r>
    </w:p>
    <w:p>
      <w:pPr>
        <w:ind w:left="288"/>
      </w:pPr>
      <w:r>
        <w:rPr>
          <w:b/>
          <w:color w:val="003CA0"/>
          <w:sz w:val="16"/>
        </w:rPr>
        <w:t>[ADI 3.367, rel. min. Cezar Peluso, j. 13-4-2005, P, DJ de 22-9-2006.]</w:t>
      </w:r>
    </w:p>
    <w:p>
      <w:pPr>
        <w:ind w:left="288"/>
      </w:pPr>
      <w:r>
        <w:rPr>
          <w:color w:val="8C8C8C"/>
          <w:sz w:val="12"/>
        </w:rPr>
        <w:t>cf-art-60-par-2</w:t>
      </w:r>
      <w:r>
        <w:rPr>
          <w:color w:val="003CA0"/>
          <w:sz w:val="12"/>
        </w:rPr>
        <w:t xml:space="preserve"> | ADI 486</w:t>
      </w:r>
      <w:r>
        <w:rPr>
          <w:color w:val="003CA0"/>
          <w:sz w:val="12"/>
        </w:rPr>
        <w:t xml:space="preserve"> | rel. Celso de Mello</w:t>
      </w:r>
    </w:p>
    <w:p>
      <w:pPr>
        <w:ind w:left="288"/>
      </w:pPr>
      <w:r>
        <w:rPr>
          <w:color w:val="1E1E1E"/>
          <w:sz w:val="18"/>
        </w:rPr>
        <w:t>Processo de reforma da Constituição estadual. Necessária observância dos requisitos estabelecidos na CF (art. 60, § 1º a § 5º). Impossibilidade constitucional de o Estado-membro, em divergência com o modelo inscrito na Lei Fundamental da República, condicionar a reforma da Constituição estadual à aprovação da respectiva proposta por 4/5 da totalidade dos membros integrantes da assembleia legislativa. Exigência que virtualmente esteriliza o exercício da função reformadora pelo Poder Legislativo local (...).</w:t>
      </w:r>
    </w:p>
    <w:p>
      <w:pPr>
        <w:ind w:left="288"/>
      </w:pPr>
      <w:r>
        <w:rPr>
          <w:b/>
          <w:color w:val="003CA0"/>
          <w:sz w:val="16"/>
        </w:rPr>
        <w:t>[ADI 486, rel. min. Celso de Mello, j. 3-4-1997, P, DJ de 10-11-2006.]</w:t>
      </w:r>
    </w:p>
    <w:p>
      <w:pPr>
        <w:ind w:left="288"/>
      </w:pPr>
      <w:r>
        <w:rPr>
          <w:color w:val="8C8C8C"/>
          <w:sz w:val="12"/>
        </w:rPr>
        <w:t>cf-art-60-par-4</w:t>
      </w:r>
      <w:r>
        <w:rPr>
          <w:color w:val="003CA0"/>
          <w:sz w:val="12"/>
        </w:rPr>
        <w:t xml:space="preserve"> | RP 94</w:t>
      </w:r>
      <w:r>
        <w:rPr>
          <w:color w:val="003CA0"/>
          <w:sz w:val="12"/>
        </w:rPr>
        <w:t xml:space="preserve"> | rel. Castro Nunes</w:t>
      </w:r>
    </w:p>
    <w:p>
      <w:pPr>
        <w:ind w:left="288"/>
      </w:pPr>
      <w:r>
        <w:rPr>
          <w:color w:val="1E1E1E"/>
          <w:sz w:val="18"/>
        </w:rPr>
        <w:t>É muito difícil indicar, a priori, os preceitos fundamentais da Constituição passíveis de lesão tão grave que justifique o processo e o julgamento da arguição de descumprimento. Não há dúvida de que alguns desses preceitos estão enunciados, de forma explícita, no texto constitucional. (...) não se poderá deixar de atribuir essa qualificação aos demais princípios protegidos pela cláusula pétrea do art. 60, § 4º, da Constituição. (...) É fácil ver que a amplitude conferida às cláusulas pétreas e a ideia de unidade da Constituição (...) acabam por colocar parte significativa da Constituição sob a</w:t>
      </w:r>
    </w:p>
    <w:p>
      <w:pPr>
        <w:ind w:left="288"/>
      </w:pPr>
      <w:r>
        <w:rPr>
          <w:b/>
          <w:color w:val="003CA0"/>
          <w:sz w:val="16"/>
        </w:rPr>
        <w:t>[ADPF 33 MC, voto do rel. min. Gilmar Mendes, j. 29-10-2003, P, DJ de 6-8-2004.]</w:t>
      </w:r>
    </w:p>
    <w:p>
      <w:pPr>
        <w:ind w:left="288"/>
      </w:pPr>
      <w:r>
        <w:rPr>
          <w:color w:val="8C8C8C"/>
          <w:sz w:val="12"/>
        </w:rPr>
        <w:t>cf-art-60-par-4</w:t>
      </w:r>
      <w:r>
        <w:rPr>
          <w:color w:val="003CA0"/>
          <w:sz w:val="12"/>
        </w:rPr>
        <w:t xml:space="preserve"> | ADI 939</w:t>
      </w:r>
      <w:r>
        <w:rPr>
          <w:color w:val="003CA0"/>
          <w:sz w:val="12"/>
        </w:rPr>
        <w:t xml:space="preserve"> | rel. Sydney Sanches</w:t>
      </w:r>
    </w:p>
    <w:p>
      <w:pPr>
        <w:ind w:left="288"/>
      </w:pPr>
      <w:r>
        <w:rPr>
          <w:color w:val="1E1E1E"/>
          <w:sz w:val="18"/>
        </w:rPr>
        <w:t>O STF já assentou o entendimento de que é admissível a ação direta de inconstitucionalidade de emenda constitucional, quando se alega, na inicial, que esta contraria princípios imutáveis ou as chamadas cláusulas pétreas da Constituição originária (art. 60, § 4º, da CF). Precedente: ADI 939 (RTJ 151/755).</w:t>
      </w:r>
    </w:p>
    <w:p>
      <w:pPr>
        <w:ind w:left="288"/>
      </w:pPr>
      <w:r>
        <w:rPr>
          <w:b/>
          <w:color w:val="003CA0"/>
          <w:sz w:val="16"/>
        </w:rPr>
        <w:t>[ADI 1.946 MC, rel. min. Sydney Sanches, j. 29-4-1999, P, DJ de 14-9-2001.]</w:t>
      </w:r>
    </w:p>
    <w:p>
      <w:pPr>
        <w:ind w:left="288"/>
      </w:pPr>
      <w:r>
        <w:rPr>
          <w:color w:val="8C8C8C"/>
          <w:sz w:val="12"/>
        </w:rPr>
        <w:t>cf-art-60-par-4</w:t>
      </w:r>
      <w:r>
        <w:rPr>
          <w:color w:val="003CA0"/>
          <w:sz w:val="12"/>
        </w:rPr>
        <w:t xml:space="preserve"> | ADI 815</w:t>
      </w:r>
      <w:r>
        <w:rPr>
          <w:color w:val="003CA0"/>
          <w:sz w:val="12"/>
        </w:rPr>
        <w:t xml:space="preserve"> | rel. Moreira Alves</w:t>
      </w:r>
    </w:p>
    <w:p>
      <w:pPr>
        <w:ind w:left="288"/>
      </w:pPr>
      <w:r>
        <w:rPr>
          <w:color w:val="1E1E1E"/>
          <w:sz w:val="18"/>
        </w:rPr>
        <w:t>As cláusulas pétreas não podem ser invocadas para sustentação da tese da inconstitucionalidade de normas constitucionais inferiores em face de normas constitucionais superiores, porquanto a Constituição as prevê apenas como limites ao poder constituinte derivado ao rever ou ao emendar a Constituição elaborada pelo poder constituinte originário, e não como abarcando normas cuja observância se impôs ao próprio poder constituinte originário com relação às outras que não sejam consideradas como cláusulas pétreas, e, portanto, possam ser emendadas.</w:t>
      </w:r>
    </w:p>
    <w:p>
      <w:pPr>
        <w:ind w:left="288"/>
      </w:pPr>
      <w:r>
        <w:rPr>
          <w:b/>
          <w:color w:val="003CA0"/>
          <w:sz w:val="16"/>
        </w:rPr>
        <w:t>[ADI 815, rel. min. Moreira Alves, j. 28-3-1996, P, DJ de 10-5-1996.]</w:t>
      </w:r>
    </w:p>
    <w:p>
      <w:pPr>
        <w:ind w:left="144"/>
      </w:pPr>
      <w:r>
        <w:rPr>
          <w:b/>
          <w:color w:val="B45A00"/>
          <w:sz w:val="16"/>
        </w:rPr>
        <w:t>JULGADOS CORRELATOS</w:t>
      </w:r>
    </w:p>
    <w:p>
      <w:pPr>
        <w:ind w:left="288"/>
      </w:pPr>
      <w:r>
        <w:rPr>
          <w:color w:val="8C8C8C"/>
          <w:sz w:val="12"/>
        </w:rPr>
        <w:t>cf-art-60-par-4</w:t>
      </w:r>
      <w:r>
        <w:rPr>
          <w:color w:val="003CA0"/>
          <w:sz w:val="12"/>
        </w:rPr>
        <w:t xml:space="preserve"> | EXT 986</w:t>
      </w:r>
      <w:r>
        <w:rPr>
          <w:color w:val="003CA0"/>
          <w:sz w:val="12"/>
        </w:rPr>
        <w:t xml:space="preserve"> | rel. Eros Grau</w:t>
      </w:r>
    </w:p>
    <w:p>
      <w:pPr>
        <w:ind w:left="288"/>
      </w:pPr>
      <w:r>
        <w:rPr>
          <w:color w:val="1E1E1E"/>
          <w:sz w:val="18"/>
        </w:rPr>
        <w:t>Extradição e necessidade de observância dos parâmetros do devido processo legal, do Estado de Direito e do respeito aos direitos humanos. Constituição do Brasil, arts. 5º, § 1º, e 60, § 4º. (...) Obrigação do STF de manter e observar os parâmetros do devido processo legal, do Estado de Direito e dos direitos humanos. (...) Necessidade de assegurar direitos fundamentais básicos ao extraditando. Direitos e garantias fundamentais devem ter eficácia imediata (cf. art. 5º, § 1º); a vinculação direta dos órgãos estatais a esses direitos deve obrigar o Estado a guardar-lhes estrita observância. Direi</w:t>
      </w:r>
    </w:p>
    <w:p>
      <w:pPr>
        <w:ind w:left="288"/>
      </w:pPr>
      <w:r>
        <w:rPr>
          <w:b/>
          <w:color w:val="003CA0"/>
          <w:sz w:val="16"/>
        </w:rPr>
        <w:t>[Ext 986, rel. min. Eros Grau, j. 15-8-2007, P, DJ de 5-10-2007.]</w:t>
      </w:r>
    </w:p>
    <w:p>
      <w:pPr>
        <w:ind w:left="144"/>
      </w:pPr>
      <w:r>
        <w:rPr>
          <w:b/>
          <w:color w:val="B45A00"/>
          <w:sz w:val="16"/>
        </w:rPr>
        <w:t>CONTROLE CONCENTRADO</w:t>
      </w:r>
    </w:p>
    <w:p>
      <w:pPr>
        <w:ind w:left="288"/>
      </w:pPr>
      <w:r>
        <w:rPr>
          <w:color w:val="8C8C8C"/>
          <w:sz w:val="12"/>
        </w:rPr>
        <w:t>cf-art-60-par-4-inc-I</w:t>
      </w:r>
      <w:r>
        <w:rPr>
          <w:color w:val="003CA0"/>
          <w:sz w:val="12"/>
        </w:rPr>
        <w:t xml:space="preserve"> | ADI 2.024</w:t>
      </w:r>
      <w:r>
        <w:rPr>
          <w:color w:val="003CA0"/>
          <w:sz w:val="12"/>
        </w:rPr>
        <w:t xml:space="preserve"> | rel. Sepúlveda Pertence</w:t>
      </w:r>
    </w:p>
    <w:p>
      <w:pPr>
        <w:ind w:left="288"/>
      </w:pPr>
      <w:r>
        <w:rPr>
          <w:color w:val="1E1E1E"/>
          <w:sz w:val="18"/>
        </w:rPr>
        <w:t xml:space="preserve">A "forma federativa de Estado" – elevado a princípio intangível por todas as Constituições da República – não pode ser conceituada a partir de um modelo ideal e apriorístico de Federação, mas, sim, daquele que o constituinte originário concretamente adotou e, como o adotou, erigiu em limite material imposto às futuras emendas à Constituição; de resto as limitações materiais ao poder constituinte de reforma, que o art. 60, § 4º, da Lei Fundamental enumera, não significam a intangibilidade literal da respectiva disciplina na Constituição originária, mas apenas a proteção do núcleo essencial dos </w:t>
      </w:r>
    </w:p>
    <w:p>
      <w:pPr>
        <w:ind w:left="288"/>
      </w:pPr>
      <w:r>
        <w:rPr>
          <w:b/>
          <w:color w:val="003CA0"/>
          <w:sz w:val="16"/>
        </w:rPr>
        <w:t>[ADI 2.024, rel. min. Sepúlveda Pertence, j. 3-5-2007, P, DJ de 22-6-2007.]</w:t>
      </w:r>
    </w:p>
    <w:p>
      <w:pPr>
        <w:ind w:left="144"/>
      </w:pPr>
      <w:r>
        <w:rPr>
          <w:b/>
          <w:color w:val="B45A00"/>
          <w:sz w:val="16"/>
        </w:rPr>
        <w:t>JULGADOS CORRELATOS</w:t>
      </w:r>
    </w:p>
    <w:p>
      <w:pPr>
        <w:ind w:left="288"/>
      </w:pPr>
      <w:r>
        <w:rPr>
          <w:color w:val="8C8C8C"/>
          <w:sz w:val="12"/>
        </w:rPr>
        <w:t>cf-art-60-par-4-inc-I</w:t>
      </w:r>
      <w:r>
        <w:rPr>
          <w:color w:val="003CA0"/>
          <w:sz w:val="12"/>
        </w:rPr>
        <w:t xml:space="preserve"> | HC 80.511</w:t>
      </w:r>
      <w:r>
        <w:rPr>
          <w:color w:val="003CA0"/>
          <w:sz w:val="12"/>
        </w:rPr>
        <w:t xml:space="preserve"> | rel. Celso de Mello</w:t>
      </w:r>
    </w:p>
    <w:p>
      <w:pPr>
        <w:ind w:left="288"/>
      </w:pPr>
      <w:r>
        <w:rPr>
          <w:color w:val="1E1E1E"/>
          <w:sz w:val="18"/>
        </w:rPr>
        <w:t>(...) a ideia de Federação – que tem, na autonomia dos Estados-membros, um de seus cornerstones – revela-se elemento cujo sentido de fundamentalidade a torna imune, em sede de revisão constitucional, à própria ação reformadora do Congresso Nacional, por representar categoria política inalcançável, até mesmo, pelo exercício do poder constituinte derivado (CF, art. 60, § 4º, I).</w:t>
      </w:r>
    </w:p>
    <w:p>
      <w:pPr>
        <w:ind w:left="288"/>
      </w:pPr>
      <w:r>
        <w:rPr>
          <w:b/>
          <w:color w:val="003CA0"/>
          <w:sz w:val="16"/>
        </w:rPr>
        <w:t>[HC 80.511, voto do rel. min. Celso de Mello, j. 21-8-2001, 2ª T, DJ de 14-9-2001.]</w:t>
      </w:r>
    </w:p>
    <w:p>
      <w:pPr>
        <w:ind w:left="144"/>
      </w:pPr>
      <w:r>
        <w:rPr>
          <w:b/>
          <w:color w:val="B45A00"/>
          <w:sz w:val="16"/>
        </w:rPr>
        <w:t>CONTROLE CONCENTRADO</w:t>
      </w:r>
    </w:p>
    <w:p>
      <w:pPr>
        <w:ind w:left="288"/>
      </w:pPr>
      <w:r>
        <w:rPr>
          <w:color w:val="8C8C8C"/>
          <w:sz w:val="12"/>
        </w:rPr>
        <w:t>cf-art-60-par-4-inc-II</w:t>
      </w:r>
      <w:r>
        <w:rPr>
          <w:color w:val="003CA0"/>
          <w:sz w:val="12"/>
        </w:rPr>
        <w:t xml:space="preserve"> | ADI 7.350</w:t>
      </w:r>
      <w:r>
        <w:rPr>
          <w:color w:val="003CA0"/>
          <w:sz w:val="12"/>
        </w:rPr>
        <w:t xml:space="preserve"> | rel. Dias Toffoli</w:t>
      </w:r>
    </w:p>
    <w:p>
      <w:pPr>
        <w:ind w:left="288"/>
      </w:pPr>
      <w:r>
        <w:rPr>
          <w:color w:val="1E1E1E"/>
          <w:sz w:val="18"/>
        </w:rPr>
        <w:t>Emenda nº 48/22 à Constituição do Estado do Tocantins. Eleições concomitantes da mesa diretora da Assembleia Legislativa para o primeiro e o segundo biênios. Inconstitucionalidade. (...) as eleições para as mesas das casas legislativas federais devem ser contemporâneas ao início do respectivo biênio (art. 57, § 4º, da CF/88). Não há no texto constitucional nenhuma norma que se assemelhe ao que previu o dispositivo questionado, isto é, que antecipe de forma tão desarrazoada a escolha de eleitos para um dado mandato e concentre em um único momento a escolha de duas “chapas” distintas para os mes</w:t>
      </w:r>
    </w:p>
    <w:p>
      <w:pPr>
        <w:ind w:left="288"/>
      </w:pPr>
      <w:r>
        <w:rPr>
          <w:b/>
          <w:color w:val="003CA0"/>
          <w:sz w:val="16"/>
        </w:rPr>
        <w:t>[ADI 7.350, rel. min. Dias Toffoli, j. 11.03.2024, P, DJE de 07.05.2024.]</w:t>
      </w:r>
    </w:p>
    <w:p>
      <w:pPr>
        <w:ind w:left="288"/>
      </w:pPr>
      <w:r>
        <w:rPr>
          <w:color w:val="8C8C8C"/>
          <w:sz w:val="12"/>
        </w:rPr>
        <w:t>cf-art-60-par-4-inc-II</w:t>
      </w:r>
      <w:r>
        <w:rPr>
          <w:color w:val="003CA0"/>
          <w:sz w:val="12"/>
        </w:rPr>
        <w:t xml:space="preserve"> | ADI 5.889</w:t>
      </w:r>
      <w:r>
        <w:rPr>
          <w:color w:val="003CA0"/>
          <w:sz w:val="12"/>
        </w:rPr>
        <w:t xml:space="preserve"> | rel. Gilmar Mendes</w:t>
      </w:r>
    </w:p>
    <w:p>
      <w:pPr>
        <w:ind w:left="288"/>
      </w:pPr>
      <w:r>
        <w:rPr>
          <w:color w:val="1E1E1E"/>
          <w:sz w:val="18"/>
        </w:rPr>
        <w:t>Legitimidade do Congresso Nacional para adoção de sistemas e procedimentos de escrutínio eleitoral com observância das garantias de sigilosidade e liberdade do voto (CF, arts. 14 e 60, § 4º, II). Modelo híbrido de votação previsto pelo art. 59-A da Lei 9.504/1997. Potencialidade de risco na identificação do eleitor configuradora de ameaça à sua livre escolha. Inconstitucionalidade.</w:t>
        <w:br/>
        <w:t>[ADI 5.889, rel. min. Gilmar Mendes, j. 16-9-2020, P, DJE de 5-10-2020.]</w:t>
      </w:r>
    </w:p>
    <w:p>
      <w:pPr>
        <w:ind w:left="288"/>
      </w:pPr>
      <w:r>
        <w:rPr>
          <w:color w:val="8C8C8C"/>
          <w:sz w:val="12"/>
        </w:rPr>
        <w:t>cf-art-60-par-4-inc-IV</w:t>
      </w:r>
      <w:r>
        <w:rPr>
          <w:color w:val="003CA0"/>
          <w:sz w:val="12"/>
        </w:rPr>
        <w:t xml:space="preserve"> | ADI 5.935</w:t>
      </w:r>
      <w:r>
        <w:rPr>
          <w:color w:val="003CA0"/>
          <w:sz w:val="12"/>
        </w:rPr>
        <w:t xml:space="preserve"> | rel. Edson Fachin</w:t>
      </w:r>
    </w:p>
    <w:p>
      <w:pPr>
        <w:ind w:left="288"/>
      </w:pPr>
      <w:r>
        <w:rPr>
          <w:color w:val="1E1E1E"/>
          <w:sz w:val="18"/>
        </w:rPr>
        <w:t>EC 98/2017. Servidores dos Territórios Federais. Amapá e Roraima. (...) Os direitos e garantias individuais foram alçados à condição de cláusula pétrea pela primeira vez na Constituição da República de 1988. O art. 60, §4º, IV, protege o texto constitucional de emendas que atinjam o núcleo essencial desses direitos ou tendam a aboli-los. (...) O ordenamento pátrio possui outras exceções ao concurso público, inclusive que garantem a efetivação de trabalhadores de ex-Territórios, cabendo ao constituinte derivado estabelecer critérios para alargá-la, bem como medir o impacto orçamentário. A prote</w:t>
      </w:r>
    </w:p>
    <w:p>
      <w:pPr>
        <w:ind w:left="288"/>
      </w:pPr>
      <w:r>
        <w:rPr>
          <w:b/>
          <w:color w:val="003CA0"/>
          <w:sz w:val="16"/>
        </w:rPr>
        <w:t>[ADI 5.935, rel. min. Edson Fachin, j. 22-5-2020, P, DJE de 3-6-2020.]</w:t>
      </w:r>
    </w:p>
    <w:p>
      <w:pPr>
        <w:ind w:left="288"/>
      </w:pPr>
      <w:r>
        <w:rPr>
          <w:color w:val="8C8C8C"/>
          <w:sz w:val="12"/>
        </w:rPr>
        <w:t>cf-art-60-par-4-inc-IV</w:t>
      </w:r>
      <w:r>
        <w:rPr>
          <w:color w:val="003CA0"/>
          <w:sz w:val="12"/>
        </w:rPr>
        <w:t xml:space="preserve"> | ADI 3.128</w:t>
      </w:r>
      <w:r>
        <w:rPr>
          <w:color w:val="003CA0"/>
          <w:sz w:val="12"/>
        </w:rPr>
        <w:t xml:space="preserve"> | rel. Ellen Gracie</w:t>
      </w:r>
    </w:p>
    <w:p>
      <w:pPr>
        <w:ind w:left="288"/>
      </w:pPr>
      <w:r>
        <w:rPr>
          <w:color w:val="1E1E1E"/>
          <w:sz w:val="18"/>
        </w:rPr>
        <w:t>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 Noutras palavras, não há, em nosso ordenamento, nenhuma norma jurídica válida que, como efeito específico do fato jurídico da aposentadoria, lhe imunize os proventos e as pensões, de modo absoluto, à tributação de</w:t>
      </w:r>
    </w:p>
    <w:p>
      <w:pPr>
        <w:ind w:left="288"/>
      </w:pPr>
      <w:r>
        <w:rPr>
          <w:b/>
          <w:color w:val="003CA0"/>
          <w:sz w:val="16"/>
        </w:rPr>
        <w:t>[ADI 3.128 e ADI 3.105, red. do ac. min. Cezar Peluso, rel. min. Ellen Gracie, j. 18-8-2004, P, DJ de 18-2-2005.]</w:t>
      </w:r>
    </w:p>
    <w:p>
      <w:pPr>
        <w:ind w:left="288"/>
      </w:pPr>
      <w:r>
        <w:rPr>
          <w:color w:val="8C8C8C"/>
          <w:sz w:val="12"/>
        </w:rPr>
        <w:t>cf-art-60-par-4-inc-IV</w:t>
      </w:r>
      <w:r>
        <w:rPr>
          <w:color w:val="003CA0"/>
          <w:sz w:val="12"/>
        </w:rPr>
        <w:t xml:space="preserve"> | ADI 2.666</w:t>
      </w:r>
      <w:r>
        <w:rPr>
          <w:color w:val="003CA0"/>
          <w:sz w:val="12"/>
        </w:rPr>
        <w:t xml:space="preserve"> | rel. Ellen Gracie</w:t>
      </w:r>
    </w:p>
    <w:p>
      <w:pPr>
        <w:ind w:left="288"/>
      </w:pPr>
      <w:r>
        <w:rPr>
          <w:color w:val="1E1E1E"/>
          <w:sz w:val="18"/>
        </w:rPr>
        <w:t>Contribuição Provisória sobre Movimentação ou CPMF (arts. 84 e 85, acrescentados ao ADCT pelo art. 3º da EC 37, de 12-6-2002). Ausência de inconstitucionalidade material. O § 4º, IV, do art. 60 da Constituição veda a deliberação quanto à proposta de emenda tendente a abolir os direitos e garantias individuais. Proibida, assim, estaria a deliberação de emenda que se destinasse a suprimir do texto constitucional o § 6º do art. 195, ou que excluísse a aplicação desse preceito a uma hipótese em que, pela vontade do constituinte originário, devesse ele ser aplicado.</w:t>
      </w:r>
    </w:p>
    <w:p>
      <w:pPr>
        <w:ind w:left="288"/>
      </w:pPr>
      <w:r>
        <w:rPr>
          <w:b/>
          <w:color w:val="003CA0"/>
          <w:sz w:val="16"/>
        </w:rPr>
        <w:t>[ADI 2.666, rel. min. Ellen Gracie, j. 3-10-2002, P, DJ de 6-12-2002.]</w:t>
      </w:r>
    </w:p>
    <w:p>
      <w:pPr>
        <w:ind w:left="288"/>
      </w:pPr>
      <w:r>
        <w:rPr>
          <w:color w:val="8C8C8C"/>
          <w:sz w:val="12"/>
        </w:rPr>
        <w:t>cf-art-60-par-4-inc-IV</w:t>
      </w:r>
      <w:r>
        <w:rPr>
          <w:color w:val="003CA0"/>
          <w:sz w:val="12"/>
        </w:rPr>
        <w:t xml:space="preserve"> | ADI 466</w:t>
      </w:r>
      <w:r>
        <w:rPr>
          <w:color w:val="003CA0"/>
          <w:sz w:val="12"/>
        </w:rPr>
        <w:t xml:space="preserve"> | rel. Celso de Mello</w:t>
      </w:r>
    </w:p>
    <w:p>
      <w:pPr>
        <w:ind w:left="288"/>
      </w:pPr>
      <w:r>
        <w:rPr>
          <w:color w:val="1E1E1E"/>
          <w:sz w:val="18"/>
        </w:rPr>
        <w:t>O Congresso Nacional, no exercício de sua atividade constituinte derivada e no desempenho de sua função reformadora, está juridicamente subordinado à decisão do poder constituinte originário que, a par de restrições de ordem circunstancial, inibitórias do poder reformador (CF, art. 60, § 1º), identificou, em nosso sistema constitucional, um núcleo temático intangível e imune à ação revisora da instituição parlamentar. As limitações materiais explícitas, definidas no § 4º do art. 60 da Constituição da República, incidem diretamente sobre o poder de reforma conferido ao Poder Legislativo da Uniã</w:t>
      </w:r>
    </w:p>
    <w:p>
      <w:pPr>
        <w:ind w:left="288"/>
      </w:pPr>
      <w:r>
        <w:rPr>
          <w:b/>
          <w:color w:val="003CA0"/>
          <w:sz w:val="16"/>
        </w:rPr>
        <w:t>[ADI 466, rel. min. Celso de Mello, j. 3-4-1991, P, DJ de 10-5-1991.]</w:t>
      </w:r>
    </w:p>
    <w:p>
      <w:pPr>
        <w:ind w:left="144"/>
      </w:pPr>
      <w:r>
        <w:rPr>
          <w:b/>
          <w:color w:val="B45A00"/>
          <w:sz w:val="16"/>
        </w:rPr>
        <w:t>REPERCUSSAO GERAL</w:t>
      </w:r>
    </w:p>
    <w:p>
      <w:pPr>
        <w:ind w:left="288"/>
      </w:pPr>
      <w:r>
        <w:rPr>
          <w:color w:val="8C8C8C"/>
          <w:sz w:val="12"/>
        </w:rPr>
        <w:t>cf-art-60-par-4-inc-IV</w:t>
      </w:r>
      <w:r>
        <w:rPr>
          <w:color w:val="003CA0"/>
          <w:sz w:val="12"/>
        </w:rPr>
        <w:t xml:space="preserve"> | RE 587.008</w:t>
      </w:r>
      <w:r>
        <w:rPr>
          <w:color w:val="003CA0"/>
          <w:sz w:val="12"/>
        </w:rPr>
        <w:t xml:space="preserve"> | rel. Dias Toffoli</w:t>
      </w:r>
    </w:p>
    <w:p>
      <w:pPr>
        <w:ind w:left="288"/>
      </w:pPr>
      <w:r>
        <w:rPr>
          <w:color w:val="1E1E1E"/>
          <w:sz w:val="18"/>
        </w:rPr>
        <w:t>O poder constituinte derivado não é ilimitado, visto que se submete ao processo consignado no art. 60, §§ 2º e 3º, da CF, bem assim aos limites materiais, circunstanciais e temporais dos §§ 1º, 4º e 5º do aludido artigo. A anterioridade da norma tributária, quando essa é gravosa, representa uma das garantias fundamentais do contribuinte, traduzindo uma limitação ao poder impositivo do Estado.</w:t>
        <w:br/>
        <w:t>[RE 587.008, rel. min. Dias Toffoli, j. 2-2-2011, P, DJE de 6-5-2011, Tema 107, com mérito julgado.]</w:t>
        <w:br/>
        <w:t>Vide ADI 939, rel. min. Sydney Sanches, j. 15-12-1993, P, DJ de 18-3-1994</w:t>
      </w:r>
    </w:p>
    <w:p>
      <w:pPr>
        <w:ind w:left="144"/>
      </w:pPr>
      <w:r>
        <w:rPr>
          <w:b/>
          <w:color w:val="B45A00"/>
          <w:sz w:val="16"/>
        </w:rPr>
        <w:t>JULGADOS CORRELATOS</w:t>
      </w:r>
    </w:p>
    <w:p>
      <w:pPr>
        <w:ind w:left="288"/>
      </w:pPr>
      <w:r>
        <w:rPr>
          <w:color w:val="8C8C8C"/>
          <w:sz w:val="12"/>
        </w:rPr>
        <w:t>cf-art-60-par-4-inc-IV</w:t>
      </w:r>
      <w:r>
        <w:rPr>
          <w:color w:val="003CA0"/>
          <w:sz w:val="12"/>
        </w:rPr>
        <w:t xml:space="preserve"> | MS 24.875</w:t>
      </w:r>
      <w:r>
        <w:rPr>
          <w:color w:val="003CA0"/>
          <w:sz w:val="12"/>
        </w:rPr>
        <w:t xml:space="preserve"> | rel. Sepúlveda Pertence</w:t>
      </w:r>
    </w:p>
    <w:p>
      <w:pPr>
        <w:ind w:left="288"/>
      </w:pPr>
      <w:r>
        <w:rPr>
          <w:color w:val="1E1E1E"/>
          <w:sz w:val="18"/>
        </w:rPr>
        <w:t>Com relação a emendas constitucionais, o parâmetro de aferição de sua constitucionalidade é estreitíssimo, adstrito às limitações materiais, explícitas ou implícitas, que a Constituição imponha induvidosamente ao mais eminente dos poderes instituídos, qual seja o órgão de sua própria reforma. Nem da interpretação mais generosa das chamadas "cláusulas pétreas" poderia resultar que um juízo de eventuais inconveniências se convertesse em declaração de inconstitucionalidade da emenda constitucional que submeta certa vantagem funcional ao teto constitucional de vencimentos.</w:t>
      </w:r>
    </w:p>
    <w:p>
      <w:pPr>
        <w:ind w:left="288"/>
      </w:pPr>
      <w:r>
        <w:rPr>
          <w:b/>
          <w:color w:val="003CA0"/>
          <w:sz w:val="16"/>
        </w:rPr>
        <w:t>[MS 24.875, rel. min. Sepúlveda Pertence, j. 11-5-2006, P, DJ de 6-10-2006.]</w:t>
      </w:r>
    </w:p>
    <w:p>
      <w:pPr>
        <w:ind w:left="288"/>
      </w:pPr>
      <w:r>
        <w:rPr>
          <w:color w:val="8C8C8C"/>
          <w:sz w:val="12"/>
        </w:rPr>
        <w:t>cf-art-60-par-5</w:t>
      </w:r>
      <w:r>
        <w:rPr>
          <w:color w:val="003CA0"/>
          <w:sz w:val="12"/>
        </w:rPr>
        <w:t xml:space="preserve"> | MS 22.503</w:t>
      </w:r>
      <w:r>
        <w:rPr>
          <w:color w:val="003CA0"/>
          <w:sz w:val="12"/>
        </w:rPr>
        <w:t xml:space="preserve"> | rel. Marco Aurélio</w:t>
      </w:r>
    </w:p>
    <w:p>
      <w:pPr>
        <w:ind w:left="288"/>
      </w:pPr>
      <w:r>
        <w:rPr>
          <w:color w:val="1E1E1E"/>
          <w:sz w:val="18"/>
        </w:rPr>
        <w:t>Não ocorre contrariedade ao § 5º do art. 60 da Constituição na medida em que o presidente da Câmara dos Deputados, autoridade coatora, aplica dispositivo regimental adequado e declara prejudicada a proposição que tiver substitutivo aprovado, e não rejeitado, ressalvados os destaques (art. 163, V). É de ver-se, pois, que tendo a Câmara dos Deputados apenas rejeitado o substitutivo, e não o projeto que veio por mensagem do Poder Executivo, não se cuida de aplicar a norma do art. 60, § 5º, da Constituição. Por isso mesmo, afastada a rejeição do substitutivo, nada impede que se prossiga na votação</w:t>
      </w:r>
    </w:p>
    <w:p>
      <w:pPr>
        <w:ind w:left="288"/>
      </w:pPr>
      <w:r>
        <w:rPr>
          <w:b/>
          <w:color w:val="003CA0"/>
          <w:sz w:val="16"/>
        </w:rPr>
        <w:t>[MS 22.503, rel. min. Marco Aurélio, j. 8-5-1996, P, DJ de 6-6-1997.]</w:t>
      </w:r>
    </w:p>
    <w:p>
      <w:pPr>
        <w:ind w:left="288"/>
      </w:pPr>
      <w:r>
        <w:rPr>
          <w:color w:val="8C8C8C"/>
          <w:sz w:val="12"/>
        </w:rPr>
        <w:t>cf-art-60-par-5</w:t>
      </w:r>
    </w:p>
    <w:p>
      <w:pPr>
        <w:ind w:left="288"/>
      </w:pPr>
      <w:r>
        <w:rPr>
          <w:color w:val="1E1E1E"/>
          <w:sz w:val="18"/>
        </w:rPr>
        <w:t>Subseção III - Das Leis</w:t>
      </w:r>
    </w:p>
    <w:p>
      <w:pPr>
        <w:ind w:left="720"/>
      </w:pPr>
      <w:r>
        <w:rPr>
          <w:color w:val="003366"/>
          <w:sz w:val="18"/>
        </w:rPr>
        <w:t>I – de um terço, no mínimo, dos membros da Câmara dos Deputados ou do Senado Fed</w:t>
      </w:r>
    </w:p>
    <w:p>
      <w:pPr>
        <w:ind w:left="720"/>
      </w:pPr>
      <w:r>
        <w:rPr>
          <w:color w:val="003366"/>
          <w:sz w:val="18"/>
        </w:rPr>
        <w:t>II – do Presidente da República;</w:t>
      </w:r>
    </w:p>
    <w:p>
      <w:pPr>
        <w:ind w:left="720"/>
      </w:pPr>
      <w:r>
        <w:rPr>
          <w:color w:val="003366"/>
          <w:sz w:val="18"/>
        </w:rPr>
        <w:t xml:space="preserve">III – de mais da metade das Assembléias Legislativas das unidades da Federação, </w:t>
      </w:r>
    </w:p>
    <w:p>
      <w:pPr>
        <w:ind w:left="432"/>
      </w:pPr>
      <w:r>
        <w:rPr>
          <w:color w:val="003366"/>
          <w:sz w:val="18"/>
        </w:rPr>
        <w:t>§ 1 A Constituição não poderá ser emendada na vigência de intervenção federal, d</w:t>
      </w:r>
    </w:p>
    <w:p>
      <w:pPr>
        <w:ind w:left="432"/>
      </w:pPr>
      <w:r>
        <w:rPr>
          <w:color w:val="003366"/>
          <w:sz w:val="18"/>
        </w:rPr>
        <w:t>§ 2 A proposta será discutida e votada em cada Casa do Congresso Nacional, em do</w:t>
      </w:r>
    </w:p>
    <w:p>
      <w:pPr>
        <w:ind w:left="432"/>
      </w:pPr>
      <w:r>
        <w:rPr>
          <w:color w:val="003366"/>
          <w:sz w:val="18"/>
        </w:rPr>
        <w:t xml:space="preserve">§ 3 A emenda à Constituição será promulgada pelas Mesas da Câmara dos Deputados </w:t>
      </w:r>
    </w:p>
    <w:p>
      <w:pPr>
        <w:ind w:left="432"/>
      </w:pPr>
      <w:r>
        <w:rPr>
          <w:color w:val="003366"/>
          <w:sz w:val="18"/>
        </w:rPr>
        <w:t>§ 4 Não será objeto de deliberação a proposta de emenda tendente a abolir:</w:t>
      </w:r>
    </w:p>
    <w:p>
      <w:pPr>
        <w:ind w:left="720"/>
      </w:pPr>
      <w:r>
        <w:rPr>
          <w:color w:val="003366"/>
          <w:sz w:val="18"/>
        </w:rPr>
        <w:t>I – a forma federativa de Estado;</w:t>
      </w:r>
    </w:p>
    <w:p>
      <w:pPr>
        <w:ind w:left="720"/>
      </w:pPr>
      <w:r>
        <w:rPr>
          <w:color w:val="003366"/>
          <w:sz w:val="18"/>
        </w:rPr>
        <w:t>II – o voto direto, secreto, universal e periódico;</w:t>
      </w:r>
    </w:p>
    <w:p>
      <w:pPr>
        <w:ind w:left="720"/>
      </w:pPr>
      <w:r>
        <w:rPr>
          <w:color w:val="003366"/>
          <w:sz w:val="18"/>
        </w:rPr>
        <w:t>III – a separação dos Poderes;</w:t>
      </w:r>
    </w:p>
    <w:p>
      <w:pPr>
        <w:ind w:left="720"/>
      </w:pPr>
      <w:r>
        <w:rPr>
          <w:color w:val="003366"/>
          <w:sz w:val="18"/>
        </w:rPr>
        <w:t>IV – os direitos e garantias individuais.</w:t>
      </w:r>
    </w:p>
    <w:p>
      <w:pPr>
        <w:ind w:left="432"/>
      </w:pPr>
      <w:r>
        <w:rPr>
          <w:color w:val="003366"/>
          <w:sz w:val="18"/>
        </w:rPr>
        <w:t>§ 5 A matéria constante de proposta de emenda rejeitada ou havida por prejudicad</w:t>
      </w:r>
    </w:p>
    <w:p>
      <w:r>
        <w:rPr>
          <w:b/>
          <w:color w:val="003366"/>
          <w:sz w:val="20"/>
        </w:rPr>
        <w:t>Art. 61 A iniciativa das leis complementares e ordinárias cabe a qualquer membro</w:t>
      </w:r>
      <w:r>
        <w:rPr>
          <w:color w:val="8C8C8C"/>
          <w:sz w:val="14"/>
        </w:rPr>
        <w:t xml:space="preserve">  [80 decisoes]</w:t>
      </w:r>
    </w:p>
    <w:p>
      <w:pPr>
        <w:ind w:left="144"/>
      </w:pPr>
      <w:r>
        <w:rPr>
          <w:b/>
          <w:color w:val="B45A00"/>
          <w:sz w:val="16"/>
        </w:rPr>
        <w:t>CONTROLE CONCENTRADO</w:t>
      </w:r>
    </w:p>
    <w:p>
      <w:pPr>
        <w:ind w:left="288"/>
      </w:pPr>
      <w:r>
        <w:rPr>
          <w:color w:val="8C8C8C"/>
          <w:sz w:val="12"/>
        </w:rPr>
        <w:t>cf-art-61</w:t>
      </w:r>
      <w:r>
        <w:rPr>
          <w:color w:val="003CA0"/>
          <w:sz w:val="12"/>
        </w:rPr>
        <w:t xml:space="preserve"> | ADI 572</w:t>
      </w:r>
      <w:r>
        <w:rPr>
          <w:color w:val="003CA0"/>
          <w:sz w:val="12"/>
        </w:rPr>
        <w:t xml:space="preserve"> | rel. Eros Grau</w:t>
      </w:r>
    </w:p>
    <w:p>
      <w:pPr>
        <w:ind w:left="288"/>
      </w:pPr>
      <w:r>
        <w:rPr>
          <w:color w:val="1E1E1E"/>
          <w:sz w:val="18"/>
        </w:rPr>
        <w:t>O constituinte estadual não pode estabelecer hipóteses nas quais seja vedada a apresentação de projeto de lei pelo chefe do Executivo sem que isso represente ofensa à harmonia entre os Poderes.</w:t>
      </w:r>
    </w:p>
    <w:p>
      <w:pPr>
        <w:ind w:left="288"/>
      </w:pPr>
      <w:r>
        <w:rPr>
          <w:b/>
          <w:color w:val="003CA0"/>
          <w:sz w:val="16"/>
        </w:rPr>
        <w:t>[ADI 572, rel. min. Eros Grau, j. 28-6-2006, P, DJ de 9-2-2007.]</w:t>
      </w:r>
    </w:p>
    <w:p>
      <w:pPr>
        <w:ind w:left="288"/>
      </w:pPr>
      <w:r>
        <w:rPr>
          <w:color w:val="8C8C8C"/>
          <w:sz w:val="12"/>
        </w:rPr>
        <w:t>cf-art-61</w:t>
      </w:r>
      <w:r>
        <w:rPr>
          <w:color w:val="003CA0"/>
          <w:sz w:val="12"/>
        </w:rPr>
        <w:t xml:space="preserve"> | ADI 637</w:t>
      </w:r>
      <w:r>
        <w:rPr>
          <w:color w:val="003CA0"/>
          <w:sz w:val="12"/>
        </w:rPr>
        <w:t xml:space="preserve"> | rel. Sepúlveda Pertence</w:t>
      </w:r>
    </w:p>
    <w:p>
      <w:pPr>
        <w:ind w:left="288"/>
      </w:pPr>
      <w:r>
        <w:rPr>
          <w:color w:val="1E1E1E"/>
          <w:sz w:val="18"/>
        </w:rPr>
        <w:t>Processo legislativo dos Estados-membros: absorção compulsória das linhas básicas do modelo constitucional federal entre elas, as decorrentes das normas de reserva de iniciativa das leis, dada a implicação com o princípio fundamental da separação e independência dos poderes: jurisprudência consolidada do Supremo Tribunal.</w:t>
      </w:r>
    </w:p>
    <w:p>
      <w:pPr>
        <w:ind w:left="288"/>
      </w:pPr>
      <w:r>
        <w:rPr>
          <w:b/>
          <w:color w:val="003CA0"/>
          <w:sz w:val="16"/>
        </w:rPr>
        <w:t>[ADI 637, rel. min. Sepúlveda Pertence, j. 25-8-2004, P, DJ de 1º-10-2004.]</w:t>
      </w:r>
    </w:p>
    <w:p>
      <w:pPr>
        <w:ind w:left="144"/>
      </w:pPr>
      <w:r>
        <w:rPr>
          <w:b/>
          <w:color w:val="B45A00"/>
          <w:sz w:val="16"/>
        </w:rPr>
        <w:t>REPERCUSSAO GERAL</w:t>
      </w:r>
    </w:p>
    <w:p>
      <w:pPr>
        <w:ind w:left="288"/>
      </w:pPr>
      <w:r>
        <w:rPr>
          <w:color w:val="8C8C8C"/>
          <w:sz w:val="12"/>
        </w:rPr>
        <w:t>cf-art-61</w:t>
      </w:r>
      <w:r>
        <w:rPr>
          <w:color w:val="003CA0"/>
          <w:sz w:val="12"/>
        </w:rPr>
        <w:t xml:space="preserve"> | RE 626.946</w:t>
      </w:r>
      <w:r>
        <w:rPr>
          <w:color w:val="003CA0"/>
          <w:sz w:val="12"/>
        </w:rPr>
        <w:t xml:space="preserve"> | rel. Marco Aurélio</w:t>
      </w:r>
    </w:p>
    <w:p>
      <w:pPr>
        <w:ind w:left="288"/>
      </w:pPr>
      <w:r>
        <w:rPr>
          <w:color w:val="1E1E1E"/>
          <w:sz w:val="18"/>
        </w:rPr>
        <w:t>Surge constitucional lei de iniciativa parlamentar a criar conselho de representantes da sociedade civil, integrante da estrutura do Poder Legislativo, com atribuição de acompanhar ações do Executivo.</w:t>
      </w:r>
    </w:p>
    <w:p>
      <w:pPr>
        <w:ind w:left="288"/>
      </w:pPr>
      <w:r>
        <w:rPr>
          <w:b/>
          <w:color w:val="003CA0"/>
          <w:sz w:val="16"/>
        </w:rPr>
        <w:t>[RE 626.946, rel. min. Marco Aurélio, j. 13-10-2020, P, DJE de 17-12-2020, Tema 1.040, com mérito julgado]</w:t>
      </w:r>
    </w:p>
    <w:p>
      <w:pPr>
        <w:ind w:left="288"/>
      </w:pPr>
      <w:r>
        <w:rPr>
          <w:color w:val="8C8C8C"/>
          <w:sz w:val="12"/>
        </w:rPr>
        <w:t>cf-art-61</w:t>
      </w:r>
      <w:r>
        <w:rPr>
          <w:color w:val="003CA0"/>
          <w:sz w:val="12"/>
        </w:rPr>
        <w:t xml:space="preserve"> | RE 1.536.640</w:t>
      </w:r>
      <w:r>
        <w:rPr>
          <w:color w:val="003CA0"/>
          <w:sz w:val="12"/>
        </w:rPr>
        <w:t xml:space="preserve"> | rel. André Mendonça</w:t>
      </w:r>
    </w:p>
    <w:p>
      <w:pPr>
        <w:ind w:left="288"/>
      </w:pPr>
      <w:r>
        <w:rPr>
          <w:color w:val="1E1E1E"/>
          <w:sz w:val="18"/>
        </w:rPr>
        <w:t>É formalmente constitucional — na medida em que não configura matéria sujeita à reserva de iniciativa do chefe do Poder Executivo — a Lei Distrital nº 7.465/2024, que instituiu o Programa de Financiamento da Infraestrutura Pública do Distrito Federal, destinado a viabilizar a captação de recursos privados para realização de obras e manutenção de equipamentos públicos mediante parcerias entre o poder público e a iniciativa privada.</w:t>
      </w:r>
    </w:p>
    <w:p>
      <w:pPr>
        <w:ind w:left="288"/>
      </w:pPr>
      <w:r>
        <w:rPr>
          <w:b/>
          <w:color w:val="003CA0"/>
          <w:sz w:val="16"/>
        </w:rPr>
        <w:t>[RE 1.536.640, rel. min. André Mendonça, j. 13.11.2025, P, Informativo STF 1.199.]</w:t>
      </w:r>
    </w:p>
    <w:p>
      <w:pPr>
        <w:ind w:left="144"/>
      </w:pPr>
      <w:r>
        <w:rPr>
          <w:b/>
          <w:color w:val="B45A00"/>
          <w:sz w:val="16"/>
        </w:rPr>
        <w:t>JULGADOS CORRELATOS</w:t>
      </w:r>
    </w:p>
    <w:p>
      <w:pPr>
        <w:ind w:left="288"/>
      </w:pPr>
      <w:r>
        <w:rPr>
          <w:color w:val="8C8C8C"/>
          <w:sz w:val="12"/>
        </w:rPr>
        <w:t>cf-art-61</w:t>
      </w:r>
      <w:r>
        <w:rPr>
          <w:color w:val="003CA0"/>
          <w:sz w:val="12"/>
        </w:rPr>
        <w:t xml:space="preserve"> | RE 328.896</w:t>
      </w:r>
      <w:r>
        <w:rPr>
          <w:color w:val="003CA0"/>
          <w:sz w:val="12"/>
        </w:rPr>
        <w:t xml:space="preserve"> | rel. Celso de Mello</w:t>
      </w:r>
    </w:p>
    <w:p>
      <w:pPr>
        <w:ind w:left="288"/>
      </w:pPr>
      <w:r>
        <w:rPr>
          <w:color w:val="1E1E1E"/>
          <w:sz w:val="18"/>
        </w:rPr>
        <w:t>(...) não mais assiste, ao chefe do Poder Executivo, a prerrogativa constitucional de fazer instaurar, com exclusividade, em matéria tributária, o concernente processo legislativo. (...) sob a égide da Constituição republicana de 1988, também o membro do Poder Legislativo dispõe de legitimidade ativa para iniciar o processo de formação das leis, quando se tratar de matéria de índole tributária, não mais subsistindo, em consequência, a restrição que prevaleceu ao longo da Carta Federal de 1969 (art. 57, I) (...).</w:t>
      </w:r>
    </w:p>
    <w:p>
      <w:pPr>
        <w:ind w:left="288"/>
      </w:pPr>
      <w:r>
        <w:rPr>
          <w:b/>
          <w:color w:val="003CA0"/>
          <w:sz w:val="16"/>
        </w:rPr>
        <w:t>[RE 328.896, rel. min. Celso de Mello, j. 9-10-2009, dec. monocrática, DJE de 5-11-2009.]</w:t>
      </w:r>
    </w:p>
    <w:p>
      <w:pPr>
        <w:ind w:left="288"/>
      </w:pPr>
      <w:r>
        <w:rPr>
          <w:color w:val="8C8C8C"/>
          <w:sz w:val="12"/>
        </w:rPr>
        <w:t>cf-art-61</w:t>
      </w:r>
      <w:r>
        <w:rPr>
          <w:color w:val="003CA0"/>
          <w:sz w:val="12"/>
        </w:rPr>
        <w:t xml:space="preserve"> | RE 424.674</w:t>
      </w:r>
      <w:r>
        <w:rPr>
          <w:color w:val="003CA0"/>
          <w:sz w:val="12"/>
        </w:rPr>
        <w:t xml:space="preserve"> | rel. Marco Aurélio</w:t>
      </w:r>
    </w:p>
    <w:p>
      <w:pPr>
        <w:ind w:left="288"/>
      </w:pPr>
      <w:r>
        <w:rPr>
          <w:color w:val="1E1E1E"/>
          <w:sz w:val="18"/>
        </w:rPr>
        <w:t>= RE 424.674, rel. min. Marco Aurélio, j. 25-2-2014, 1ª T, DJE de 19-3-2014</w:t>
      </w:r>
    </w:p>
    <w:p>
      <w:pPr>
        <w:ind w:left="288"/>
      </w:pPr>
      <w:r>
        <w:rPr>
          <w:color w:val="8C8C8C"/>
          <w:sz w:val="12"/>
        </w:rPr>
        <w:t>cf-art-61-par-1</w:t>
      </w:r>
      <w:r>
        <w:rPr>
          <w:color w:val="003CA0"/>
          <w:sz w:val="12"/>
        </w:rPr>
        <w:t xml:space="preserve"> | ADPF 1.092</w:t>
      </w:r>
      <w:r>
        <w:rPr>
          <w:color w:val="003CA0"/>
          <w:sz w:val="12"/>
        </w:rPr>
        <w:t xml:space="preserve"> | rel. André Mendonça</w:t>
      </w:r>
    </w:p>
    <w:p>
      <w:pPr>
        <w:ind w:left="288"/>
      </w:pPr>
      <w:r>
        <w:rPr>
          <w:color w:val="1E1E1E"/>
          <w:sz w:val="18"/>
        </w:rPr>
        <w:t>Projeto de lei de iniciativa reservada. Alteração, por meio de emenda parlamentar, da natureza do projeto de lei ordinária para projeto de lei complementar. Manutenção da essência do projeto de lei inicial. Possibilidade. Atuação em conformidade com os limites do poder de emenda. Inexistência de inconstitucionalidade formal. A Emenda Modificativa 1 ao PL 177/2014 limitou-se a transmudar o projeto de lei ordinária em projeto de lei complementar, mantendo os termos do quanto encaminhado pelo Governador do Estado, de modo que a atuação da ALESE está em absoluta conformidade com o poder de emenda,</w:t>
      </w:r>
    </w:p>
    <w:p>
      <w:pPr>
        <w:ind w:left="288"/>
      </w:pPr>
      <w:r>
        <w:rPr>
          <w:b/>
          <w:color w:val="003CA0"/>
          <w:sz w:val="16"/>
        </w:rPr>
        <w:t>[ADPF 1.092, rel. min. André Mendonça, red. do ac. min. Gilmar Mendes, j. 12.08.2025, P, DJE de 20.08.2025.]</w:t>
      </w:r>
    </w:p>
    <w:p>
      <w:pPr>
        <w:ind w:left="144"/>
      </w:pPr>
      <w:r>
        <w:rPr>
          <w:b/>
          <w:color w:val="B45A00"/>
          <w:sz w:val="16"/>
        </w:rPr>
        <w:t>CONTROLE CONCENTRADO</w:t>
      </w:r>
    </w:p>
    <w:p>
      <w:pPr>
        <w:ind w:left="288"/>
      </w:pPr>
      <w:r>
        <w:rPr>
          <w:color w:val="8C8C8C"/>
          <w:sz w:val="12"/>
        </w:rPr>
        <w:t>cf-art-61-par-1</w:t>
      </w:r>
      <w:r>
        <w:rPr>
          <w:color w:val="003CA0"/>
          <w:sz w:val="12"/>
        </w:rPr>
        <w:t xml:space="preserve"> | ADI 2.583</w:t>
      </w:r>
      <w:r>
        <w:rPr>
          <w:color w:val="003CA0"/>
          <w:sz w:val="12"/>
        </w:rPr>
        <w:t xml:space="preserve"> | rel. Cármen Lúcia</w:t>
      </w:r>
    </w:p>
    <w:p>
      <w:pPr>
        <w:ind w:left="288"/>
      </w:pPr>
      <w:r>
        <w:rPr>
          <w:color w:val="1E1E1E"/>
          <w:sz w:val="18"/>
        </w:rPr>
        <w:t>Art. 2º da Lei gaúcha 11.369/2001. Cadastro de contratações temporárias. Criação de procedimentos administrativos que devem ser observados pelo Poder Executivo na contratação de servidores temporários. (...) As normas impugnadas, decorrentes de emendas parlamentares, estabelecem o procedimento a ser adotado pelo Poder Executivo estadual para a realização de inscrições no cadastro de contratações temporárias, tema não incluído entre aqueles cujos projetos de lei são de iniciativa privativa do governador do Estado.</w:t>
      </w:r>
    </w:p>
    <w:p>
      <w:pPr>
        <w:ind w:left="288"/>
      </w:pPr>
      <w:r>
        <w:rPr>
          <w:b/>
          <w:color w:val="003CA0"/>
          <w:sz w:val="16"/>
        </w:rPr>
        <w:t>[ADI 2.583, rel. min. Cármen Lúcia, j. 1º-8-2011, P, DJE de 26-8-2011.]</w:t>
      </w:r>
    </w:p>
    <w:p>
      <w:pPr>
        <w:ind w:left="288"/>
      </w:pPr>
      <w:r>
        <w:rPr>
          <w:color w:val="8C8C8C"/>
          <w:sz w:val="12"/>
        </w:rPr>
        <w:t>cf-art-61-par-1</w:t>
      </w:r>
      <w:r>
        <w:rPr>
          <w:color w:val="003CA0"/>
          <w:sz w:val="12"/>
        </w:rPr>
        <w:t xml:space="preserve"> | ADI 3.458</w:t>
      </w:r>
      <w:r>
        <w:rPr>
          <w:color w:val="003CA0"/>
          <w:sz w:val="12"/>
        </w:rPr>
        <w:t xml:space="preserve"> | rel. Eros Grau</w:t>
      </w:r>
    </w:p>
    <w:p>
      <w:pPr>
        <w:ind w:left="288"/>
      </w:pPr>
      <w:r>
        <w:rPr>
          <w:color w:val="1E1E1E"/>
          <w:sz w:val="18"/>
        </w:rPr>
        <w:t>A iniciativa legislativa, no que respeita à criação de conta única de depósitos judiciais e extrajudiciais, cabe ao Poder Judiciário. A deflagração do processo legislativo pelo chefe do Poder Executivo consubstancia afronta ao texto da Constituição do Brasil (art. 61, § 1º).</w:t>
      </w:r>
    </w:p>
    <w:p>
      <w:pPr>
        <w:ind w:left="288"/>
      </w:pPr>
      <w:r>
        <w:rPr>
          <w:b/>
          <w:color w:val="003CA0"/>
          <w:sz w:val="16"/>
        </w:rPr>
        <w:t>[ADI 3.458, rel. min. Eros Grau, j. 21-2-2008, P, DJE de 16-5-2008.]</w:t>
      </w:r>
    </w:p>
    <w:p>
      <w:pPr>
        <w:ind w:left="288"/>
      </w:pPr>
      <w:r>
        <w:rPr>
          <w:color w:val="8C8C8C"/>
          <w:sz w:val="12"/>
        </w:rPr>
        <w:t>cf-art-61-par-1</w:t>
      </w:r>
      <w:r>
        <w:rPr>
          <w:color w:val="003CA0"/>
          <w:sz w:val="12"/>
        </w:rPr>
        <w:t xml:space="preserve"> | ADI 2.855</w:t>
      </w:r>
      <w:r>
        <w:rPr>
          <w:color w:val="003CA0"/>
          <w:sz w:val="12"/>
        </w:rPr>
        <w:t xml:space="preserve"> | rel. Marco Aurélio</w:t>
      </w:r>
    </w:p>
    <w:p>
      <w:pPr>
        <w:ind w:left="288"/>
      </w:pPr>
      <w:r>
        <w:rPr>
          <w:color w:val="1E1E1E"/>
          <w:sz w:val="18"/>
        </w:rPr>
        <w:t>Vide ADI 2.855, rel. min. Marco Aurélio, j. 12-5-2010, P, DJE de 17-9-2010 Vide ADI 2.909, rel. min. Ayres Britto, j. 12-5-2010, P, DJE de 11-6-2010 Não procede a alegação de que qualquer projeto de lei que crie despesa só poderá ser proposto pelo chefe do Executivo. As hipóteses de limitação da iniciativa parlamentar estão previstas, em numerus clausus, no art. 61 da Constituição do Brasil – matérias relativas ao funcionamento da administração pública, notadamente no que se refere a servidores e órgãos do Poder Executivo. Precedentes.</w:t>
      </w:r>
    </w:p>
    <w:p>
      <w:pPr>
        <w:ind w:left="288"/>
      </w:pPr>
      <w:r>
        <w:rPr>
          <w:b/>
          <w:color w:val="003CA0"/>
          <w:sz w:val="16"/>
        </w:rPr>
        <w:t>[ADI 3.394, rel. min. Eros Grau, j. 2-4-2007, P, DJE de 15-8-2008.]</w:t>
      </w:r>
    </w:p>
    <w:p>
      <w:pPr>
        <w:ind w:left="288"/>
      </w:pPr>
      <w:r>
        <w:rPr>
          <w:color w:val="8C8C8C"/>
          <w:sz w:val="12"/>
        </w:rPr>
        <w:t>cf-art-61-par-1</w:t>
      </w:r>
      <w:r>
        <w:rPr>
          <w:color w:val="003CA0"/>
          <w:sz w:val="12"/>
        </w:rPr>
        <w:t xml:space="preserve"> | ADI 2.672</w:t>
      </w:r>
    </w:p>
    <w:p>
      <w:pPr>
        <w:ind w:left="288"/>
      </w:pPr>
      <w:r>
        <w:rPr>
          <w:color w:val="1E1E1E"/>
          <w:sz w:val="18"/>
        </w:rPr>
        <w:t>O diploma normativo em causa, que estabelece isenção do pagamento de taxa de concurso público, não versa sobre matéria relativa a servidores públicos (§ 1º do art. 61 da CF/1988). Dispõe, isso sim, sobre condição para se chegar à investidura em cargo público, que é um momento anterior ao da caracterização do candidato como servidor público. Inconstitucionalidade formal não configurada.</w:t>
      </w:r>
    </w:p>
    <w:p>
      <w:pPr>
        <w:ind w:left="288"/>
      </w:pPr>
      <w:r>
        <w:rPr>
          <w:b/>
          <w:color w:val="003CA0"/>
          <w:sz w:val="16"/>
        </w:rPr>
        <w:t>[ADI 2.672, red. do ac. min. Ayres Britto, j. 22-6-2006, P, DJ de 10-11-2006.]</w:t>
      </w:r>
    </w:p>
    <w:p>
      <w:pPr>
        <w:ind w:left="288"/>
      </w:pPr>
      <w:r>
        <w:rPr>
          <w:color w:val="8C8C8C"/>
          <w:sz w:val="12"/>
        </w:rPr>
        <w:t>cf-art-61-par-1</w:t>
      </w:r>
      <w:r>
        <w:rPr>
          <w:color w:val="003CA0"/>
          <w:sz w:val="12"/>
        </w:rPr>
        <w:t xml:space="preserve"> | AI 682.317</w:t>
      </w:r>
      <w:r>
        <w:rPr>
          <w:color w:val="003CA0"/>
          <w:sz w:val="12"/>
        </w:rPr>
        <w:t xml:space="preserve"> | rel. Dias Toffoli</w:t>
      </w:r>
    </w:p>
    <w:p>
      <w:pPr>
        <w:ind w:left="288"/>
      </w:pPr>
      <w:r>
        <w:rPr>
          <w:color w:val="1E1E1E"/>
          <w:sz w:val="18"/>
        </w:rPr>
        <w:t>= AI 682.317 AgR, rel. min. Dias Toffoli, j. 14-2-2012, 1ª T, DJE de 22-3-2012 A sanção do projeto de lei não convalida o vício de inconstitucionalidade resultante da usurpação do poder de iniciativa. A ulterior aquiescência do chefe do Poder Executivo, mediante sanção do projeto de lei, ainda quando dele seja a prerrogativa usurpada, não tem o condão de sanar o vício radical da inconstitucionalidade. Insubsistência da Súmula 5/STF.</w:t>
      </w:r>
    </w:p>
    <w:p>
      <w:pPr>
        <w:ind w:left="288"/>
      </w:pPr>
      <w:r>
        <w:rPr>
          <w:b/>
          <w:color w:val="003CA0"/>
          <w:sz w:val="16"/>
        </w:rPr>
        <w:t>[ADI 2.867, rel. min. Celso de Mello, j. 3-12-2003, P, DJ de 9-2-2007.]</w:t>
      </w:r>
    </w:p>
    <w:p>
      <w:pPr>
        <w:ind w:left="288"/>
      </w:pPr>
      <w:r>
        <w:rPr>
          <w:color w:val="8C8C8C"/>
          <w:sz w:val="12"/>
        </w:rPr>
        <w:t>cf-art-61-par-1</w:t>
      </w:r>
      <w:r>
        <w:rPr>
          <w:color w:val="003CA0"/>
          <w:sz w:val="12"/>
        </w:rPr>
        <w:t xml:space="preserve"> | ADI 2.305</w:t>
      </w:r>
      <w:r>
        <w:rPr>
          <w:color w:val="003CA0"/>
          <w:sz w:val="12"/>
        </w:rPr>
        <w:t xml:space="preserve"> | rel. Cezar Peluso</w:t>
      </w:r>
    </w:p>
    <w:p>
      <w:pPr>
        <w:ind w:left="288"/>
      </w:pPr>
      <w:r>
        <w:rPr>
          <w:color w:val="1E1E1E"/>
          <w:sz w:val="18"/>
        </w:rPr>
        <w:t>= ADI 2.305, rel. min. Cezar Peluso, j. 30-6-2011, P, DJE de 5-8-2011</w:t>
        <w:br/>
        <w:t>= ADI  6.337, rel. min. Rosa Weber, j. 24-8-2020, P, DJE de 22-10-2020.] Tratando-se de projeto de lei de iniciativa privativa do chefe do Poder Executivo, não pode o Poder Legislativo assinar-lhe prazo para o exercício dessa prerrogativa sua. Não havendo aumento de despesa, o Poder Legislativo pode emendar projeto de iniciativa privativa do chefe do Poder Executivo, mas esse poder não é ilimitado, não se estendendo ele a emendas que não guardem estreita pertinência com o objeto do projeto encaminhado ao Legislativo pelo Exe</w:t>
      </w:r>
    </w:p>
    <w:p>
      <w:pPr>
        <w:ind w:left="288"/>
      </w:pPr>
      <w:r>
        <w:rPr>
          <w:b/>
          <w:color w:val="003CA0"/>
          <w:sz w:val="16"/>
        </w:rPr>
        <w:t>[ADI 546, rel. min. Moreira Alves, j. 11-3-1999, P, DJ de 14-4-2000.]</w:t>
      </w:r>
    </w:p>
    <w:p>
      <w:pPr>
        <w:ind w:left="288"/>
      </w:pPr>
      <w:r>
        <w:rPr>
          <w:color w:val="8C8C8C"/>
          <w:sz w:val="12"/>
        </w:rPr>
        <w:t>cf-art-61-par-1</w:t>
      </w:r>
      <w:r>
        <w:rPr>
          <w:color w:val="003CA0"/>
          <w:sz w:val="12"/>
        </w:rPr>
        <w:t xml:space="preserve"> | ADI 2.305</w:t>
      </w:r>
      <w:r>
        <w:rPr>
          <w:color w:val="003CA0"/>
          <w:sz w:val="12"/>
        </w:rPr>
        <w:t xml:space="preserve"> | rel. Cezar Peluso</w:t>
      </w:r>
    </w:p>
    <w:p>
      <w:pPr>
        <w:ind w:left="288"/>
      </w:pPr>
      <w:r>
        <w:rPr>
          <w:color w:val="1E1E1E"/>
          <w:sz w:val="18"/>
        </w:rPr>
        <w:t>= ADI 2.305, rel. min. Cezar Peluso, j. 30-6-2011, P, DJE de 5-8-2011</w:t>
      </w:r>
    </w:p>
    <w:p>
      <w:pPr>
        <w:ind w:left="144"/>
      </w:pPr>
      <w:r>
        <w:rPr>
          <w:b/>
          <w:color w:val="B45A00"/>
          <w:sz w:val="16"/>
        </w:rPr>
        <w:t>REPERCUSSAO GERAL</w:t>
      </w:r>
    </w:p>
    <w:p>
      <w:pPr>
        <w:ind w:left="288"/>
      </w:pPr>
      <w:r>
        <w:rPr>
          <w:color w:val="8C8C8C"/>
          <w:sz w:val="12"/>
        </w:rPr>
        <w:t>cf-art-61-par-1</w:t>
      </w:r>
      <w:r>
        <w:rPr>
          <w:color w:val="003CA0"/>
          <w:sz w:val="12"/>
        </w:rPr>
        <w:t xml:space="preserve"> | ARE 878.911</w:t>
      </w:r>
      <w:r>
        <w:rPr>
          <w:color w:val="003CA0"/>
          <w:sz w:val="12"/>
        </w:rPr>
        <w:t xml:space="preserve"> | rel. Gilmar Mendes</w:t>
      </w:r>
    </w:p>
    <w:p>
      <w:pPr>
        <w:ind w:left="288"/>
      </w:pPr>
      <w:r>
        <w:rPr>
          <w:color w:val="1E1E1E"/>
          <w:sz w:val="18"/>
        </w:rPr>
        <w:t xml:space="preserve">Não usurpa a competência privativa do chefe do Poder Executivo lei que, embora crie despesa para a administração pública, não trata da sua estrutura ou da atribuição de seus órgãos nem do regime jurídico de servidores públicos. </w:t>
        <w:br/>
        <w:t xml:space="preserve">[ARE 878.911 RG, rel. min. Gilmar Mendes, j. 29-9-2016, P, DJE de 11-10-2016, Tema 917, com mérito julgado.] A lei municipal em questão dispõe sobre as condições para a identificação, cadastramento e matrícula de alunos com necessidades educacionais especiais, incluindo a disponibilização de professor auxiliar e a fixação de prazo para a realização de laudo médico (60 </w:t>
      </w:r>
    </w:p>
    <w:p>
      <w:pPr>
        <w:ind w:left="288"/>
      </w:pPr>
      <w:r>
        <w:rPr>
          <w:b/>
          <w:color w:val="003CA0"/>
          <w:sz w:val="16"/>
        </w:rPr>
        <w:t>[RE 1.513.460, rel. min. Gilmar Mendes, j. 16-12-2025, P, DJE de 8-1-2026.]</w:t>
      </w:r>
    </w:p>
    <w:p>
      <w:pPr>
        <w:ind w:left="288"/>
      </w:pPr>
      <w:r>
        <w:rPr>
          <w:color w:val="8C8C8C"/>
          <w:sz w:val="12"/>
        </w:rPr>
        <w:t>cf-art-61-par-1</w:t>
      </w:r>
      <w:r>
        <w:rPr>
          <w:color w:val="003CA0"/>
          <w:sz w:val="12"/>
        </w:rPr>
        <w:t xml:space="preserve"> | RE 1.533.649</w:t>
      </w:r>
      <w:r>
        <w:rPr>
          <w:color w:val="003CA0"/>
          <w:sz w:val="12"/>
        </w:rPr>
        <w:t xml:space="preserve"> | rel. André Mendonça</w:t>
      </w:r>
    </w:p>
    <w:p>
      <w:pPr>
        <w:ind w:left="288"/>
      </w:pPr>
      <w:r>
        <w:rPr>
          <w:color w:val="1E1E1E"/>
          <w:sz w:val="18"/>
        </w:rPr>
        <w:t>“Não ofende a reserva de iniciativa do Chefe do Poder Executivo lei municipal de iniciativa parlamentar pela qual se estabelecem formas de publicidade institucional sobre aplicativo de saúde pública”.</w:t>
      </w:r>
    </w:p>
    <w:p>
      <w:pPr>
        <w:ind w:left="288"/>
      </w:pPr>
      <w:r>
        <w:rPr>
          <w:b/>
          <w:color w:val="003CA0"/>
          <w:sz w:val="16"/>
        </w:rPr>
        <w:t>[RE 1.533.649, rel. min. André Mendonça, j. 09.06.2025, P, DJE de 08.07.2025.]</w:t>
      </w:r>
    </w:p>
    <w:p>
      <w:pPr>
        <w:ind w:left="288"/>
      </w:pPr>
      <w:r>
        <w:rPr>
          <w:color w:val="8C8C8C"/>
          <w:sz w:val="12"/>
        </w:rPr>
        <w:t>cf-art-61-par-1</w:t>
      </w:r>
      <w:r>
        <w:rPr>
          <w:color w:val="003CA0"/>
          <w:sz w:val="12"/>
        </w:rPr>
        <w:t xml:space="preserve"> | RE 1.498.771</w:t>
      </w:r>
      <w:r>
        <w:rPr>
          <w:color w:val="003CA0"/>
          <w:sz w:val="12"/>
        </w:rPr>
        <w:t xml:space="preserve"> | rel. Gilmar Mendes</w:t>
      </w:r>
    </w:p>
    <w:p>
      <w:pPr>
        <w:ind w:left="288"/>
      </w:pPr>
      <w:r>
        <w:rPr>
          <w:color w:val="1E1E1E"/>
          <w:sz w:val="18"/>
        </w:rPr>
        <w:t>Lei Municipal de iniciativa parlamentar que determina a transmissão, ao vivo e via internet, das licitações do Poder Legislativo e Executivo do Município de Itapecerica da Serra. 3. Tema 917 da repercussão geral. Não usurpa competência privativa do Chefe do Poder Executivo lei que, embora crie despesa para a Administração, não trata da sua estrutura ou da atribuição de seus órgãos nem do regime jurídico de servidores públicos.</w:t>
      </w:r>
    </w:p>
    <w:p>
      <w:pPr>
        <w:ind w:left="288"/>
      </w:pPr>
      <w:r>
        <w:rPr>
          <w:b/>
          <w:color w:val="003CA0"/>
          <w:sz w:val="16"/>
        </w:rPr>
        <w:t>[RE 1.498.771, rel. min. Gilmar Mendes, j. 31.03.2025, P, DJE de 10.04.2025.]</w:t>
      </w:r>
    </w:p>
    <w:p>
      <w:pPr>
        <w:ind w:left="288"/>
      </w:pPr>
      <w:r>
        <w:rPr>
          <w:color w:val="8C8C8C"/>
          <w:sz w:val="12"/>
        </w:rPr>
        <w:t>cf-art-61-par-1</w:t>
      </w:r>
      <w:r>
        <w:rPr>
          <w:color w:val="003CA0"/>
          <w:sz w:val="12"/>
        </w:rPr>
        <w:t xml:space="preserve"> | RE 1.506.020</w:t>
      </w:r>
      <w:r>
        <w:rPr>
          <w:color w:val="003CA0"/>
          <w:sz w:val="12"/>
        </w:rPr>
        <w:t xml:space="preserve"> | rel. Gilmar Mendes</w:t>
      </w:r>
    </w:p>
    <w:p>
      <w:pPr>
        <w:ind w:left="288"/>
      </w:pPr>
      <w:r>
        <w:rPr>
          <w:color w:val="1E1E1E"/>
          <w:sz w:val="18"/>
        </w:rPr>
        <w:t>Lei municipal de iniciativa parlamentar que detalha a publicidade de informações sobre empreendimentos imobiliários não usurpa competência privativa do chefe do Poder Executivo se não interfere na estrutura administrativa, atribuições de órgãos ou regime jurídico de servidores públicos.</w:t>
      </w:r>
    </w:p>
    <w:p>
      <w:pPr>
        <w:ind w:left="288"/>
      </w:pPr>
      <w:r>
        <w:rPr>
          <w:b/>
          <w:color w:val="003CA0"/>
          <w:sz w:val="16"/>
        </w:rPr>
        <w:t>[RE 1.506.020, rel. min. Gilmar Mendes, j. 31.03.2025, P, DJE de 09.04.2025.]</w:t>
      </w:r>
    </w:p>
    <w:p>
      <w:pPr>
        <w:ind w:left="144"/>
      </w:pPr>
      <w:r>
        <w:rPr>
          <w:b/>
          <w:color w:val="B45A00"/>
          <w:sz w:val="16"/>
        </w:rPr>
        <w:t>JULGADOS CORRELATOS</w:t>
      </w:r>
    </w:p>
    <w:p>
      <w:pPr>
        <w:ind w:left="288"/>
      </w:pPr>
      <w:r>
        <w:rPr>
          <w:color w:val="8C8C8C"/>
          <w:sz w:val="12"/>
        </w:rPr>
        <w:t>cf-art-61-par-1</w:t>
      </w:r>
      <w:r>
        <w:rPr>
          <w:color w:val="003CA0"/>
          <w:sz w:val="12"/>
        </w:rPr>
        <w:t xml:space="preserve"> | RE 1.497.683</w:t>
      </w:r>
      <w:r>
        <w:rPr>
          <w:color w:val="003CA0"/>
          <w:sz w:val="12"/>
        </w:rPr>
        <w:t xml:space="preserve"> | rel. André Mendonça</w:t>
      </w:r>
    </w:p>
    <w:p>
      <w:pPr>
        <w:ind w:left="288"/>
      </w:pPr>
      <w:r>
        <w:rPr>
          <w:color w:val="1E1E1E"/>
          <w:sz w:val="18"/>
        </w:rPr>
        <w:t>Lei municipal nº 9.001, de 2023. Agendamento e cancelamento de consultas médicas, exames e procedimentos médicos. Tema nº 917 do ementário da repercussão geral. Atribuição de encargos para concretização do direito social à saúde. (...) Convém ressaltar que a interpretação relativa ao Tema RG nº 917 deve ser bem analisada. Com efeito, no julgamento do ARE nº 878.911/RJ (j. 29/09/2016, p. 11/10/2016), o Supremo Tribunal Federal fixou a seguinte tese: “Não usurpa competência privativa do Chefe do Poder Executivo lei que, embora crie despesa para a Administração, não trata da sua estrutura ou da a</w:t>
      </w:r>
    </w:p>
    <w:p>
      <w:pPr>
        <w:ind w:left="288"/>
      </w:pPr>
      <w:r>
        <w:rPr>
          <w:b/>
          <w:color w:val="003CA0"/>
          <w:sz w:val="16"/>
        </w:rPr>
        <w:t>[MS 22.690, rel. min. Celso de Mello, j. 17-4-1997, P, DJ de 7-12-2006.]</w:t>
      </w:r>
    </w:p>
    <w:p>
      <w:pPr>
        <w:ind w:left="144"/>
      </w:pPr>
      <w:r>
        <w:rPr>
          <w:b/>
          <w:color w:val="B45A00"/>
          <w:sz w:val="16"/>
        </w:rPr>
        <w:t>CONTROLE CONCENTRADO</w:t>
      </w:r>
    </w:p>
    <w:p>
      <w:pPr>
        <w:ind w:left="288"/>
      </w:pPr>
      <w:r>
        <w:rPr>
          <w:color w:val="8C8C8C"/>
          <w:sz w:val="12"/>
        </w:rPr>
        <w:t>cf-art-61-par-1-inc-II</w:t>
      </w:r>
      <w:r>
        <w:rPr>
          <w:color w:val="003CA0"/>
          <w:sz w:val="12"/>
        </w:rPr>
        <w:t xml:space="preserve"> | ADI 7.149</w:t>
      </w:r>
      <w:r>
        <w:rPr>
          <w:color w:val="003CA0"/>
          <w:sz w:val="12"/>
        </w:rPr>
        <w:t xml:space="preserve"> | rel. Ricardo Lewandowski</w:t>
      </w:r>
    </w:p>
    <w:p>
      <w:pPr>
        <w:ind w:left="288"/>
      </w:pPr>
      <w:r>
        <w:rPr>
          <w:color w:val="1E1E1E"/>
          <w:sz w:val="18"/>
        </w:rPr>
        <w:t>Lei 9.385/2021, do Estado do Rio de Janeiro, que inseriu o inciso XII no art. 19 da Lei 4.528/2005, para garantir a reserva de vagas em escola para irmãos que frequentem a mesma etapa ou ciclo escolar. (...) Ao garantir a reserva de vaga para irmãos, sem influenciar no funcionamento de órgãos, alterar o regime jurídico de servidores, estabelecer regramento procedimental sobre matrículas ou proibir o gestor de implementar estratégias por ele idealizadas, a norma editada pela Assembleia Legislativa do Estado do Rio de Janeiro não subtraiu do Chefe do Poder Executivo a iniciativa que lhe é reserv</w:t>
      </w:r>
    </w:p>
    <w:p>
      <w:pPr>
        <w:ind w:left="288"/>
      </w:pPr>
      <w:r>
        <w:rPr>
          <w:b/>
          <w:color w:val="003CA0"/>
          <w:sz w:val="16"/>
        </w:rPr>
        <w:t>[ADI 7.149, rel. min. Ricardo Lewandowski, j. 26-9-2022, P, DJE de 5-10-2022.]</w:t>
      </w:r>
    </w:p>
    <w:p>
      <w:pPr>
        <w:ind w:left="288"/>
      </w:pPr>
      <w:r>
        <w:rPr>
          <w:color w:val="8C8C8C"/>
          <w:sz w:val="12"/>
        </w:rPr>
        <w:t>cf-art-61-par-1-inc-II</w:t>
      </w:r>
      <w:r>
        <w:rPr>
          <w:color w:val="003CA0"/>
          <w:sz w:val="12"/>
        </w:rPr>
        <w:t xml:space="preserve"> | ADI 341</w:t>
      </w:r>
      <w:r>
        <w:rPr>
          <w:color w:val="003CA0"/>
          <w:sz w:val="12"/>
        </w:rPr>
        <w:t xml:space="preserve"> | rel. Eros Grau</w:t>
      </w:r>
    </w:p>
    <w:p>
      <w:pPr>
        <w:ind w:left="288"/>
      </w:pPr>
      <w:r>
        <w:rPr>
          <w:color w:val="1E1E1E"/>
          <w:sz w:val="18"/>
        </w:rPr>
        <w:t>Aplica-se aos Estados-membros o disposto no art. 61, § 1º, II, da Constituição do Brasil. Precedentes. Inviável o projeto de lei de iniciativa do Poder Legislativo que disponha a propósito [de] servidores públicos – "anistia" administrativa, nesta hipótese – implicando aumento de despesas para o Poder Executivo.</w:t>
      </w:r>
    </w:p>
    <w:p>
      <w:pPr>
        <w:ind w:left="288"/>
      </w:pPr>
      <w:r>
        <w:rPr>
          <w:b/>
          <w:color w:val="003CA0"/>
          <w:sz w:val="16"/>
        </w:rPr>
        <w:t>[ADI 341, rel. min. Eros Grau, j. 14-4-2010, P, DJE de 11-6-2010.]</w:t>
      </w:r>
    </w:p>
    <w:p>
      <w:pPr>
        <w:ind w:left="288"/>
      </w:pPr>
      <w:r>
        <w:rPr>
          <w:color w:val="8C8C8C"/>
          <w:sz w:val="12"/>
        </w:rPr>
        <w:t>cf-art-61-par-1-inc-II-ali-a</w:t>
      </w:r>
      <w:r>
        <w:rPr>
          <w:color w:val="003CA0"/>
          <w:sz w:val="12"/>
        </w:rPr>
        <w:t xml:space="preserve"> | ADI 4.354</w:t>
      </w:r>
      <w:r>
        <w:rPr>
          <w:color w:val="003CA0"/>
          <w:sz w:val="12"/>
        </w:rPr>
        <w:t xml:space="preserve"> | rel. Dias Toffoli</w:t>
      </w:r>
    </w:p>
    <w:p>
      <w:pPr>
        <w:ind w:left="288"/>
      </w:pPr>
      <w:r>
        <w:rPr>
          <w:color w:val="1E1E1E"/>
          <w:sz w:val="18"/>
        </w:rPr>
        <w:t>Inexistência de vício de iniciativa na proposição da Lei nº 12.030/09, haja vista tratar-se de norma geral direcionada aos peritos criminais de todo o Brasil. O diploma impugnado estabelece apenas normas relativas à organização, aos direitos e às garantias dos peritos criminais oficiais, não adentrando na matéria do art. 61, § 1º, inciso II, alíneas a ou c, da Constituição Federal.</w:t>
      </w:r>
    </w:p>
    <w:p>
      <w:pPr>
        <w:ind w:left="288"/>
      </w:pPr>
      <w:r>
        <w:rPr>
          <w:b/>
          <w:color w:val="003CA0"/>
          <w:sz w:val="16"/>
        </w:rPr>
        <w:t>[ADI 4.354, rel. min. Dias Toffoli, j. 07.11.2024, P, DJE de 28.02.2025.]</w:t>
      </w:r>
    </w:p>
    <w:p>
      <w:pPr>
        <w:ind w:left="288"/>
      </w:pPr>
      <w:r>
        <w:rPr>
          <w:color w:val="8C8C8C"/>
          <w:sz w:val="12"/>
        </w:rPr>
        <w:t>cf-art-61-par-1-inc-II-ali-a</w:t>
      </w:r>
      <w:r>
        <w:rPr>
          <w:color w:val="003CA0"/>
          <w:sz w:val="12"/>
        </w:rPr>
        <w:t xml:space="preserve"> | ADI 3.428</w:t>
      </w:r>
      <w:r>
        <w:rPr>
          <w:color w:val="003CA0"/>
          <w:sz w:val="12"/>
        </w:rPr>
        <w:t xml:space="preserve"> | rel. Luiz Fux</w:t>
      </w:r>
    </w:p>
    <w:p>
      <w:pPr>
        <w:ind w:left="288"/>
      </w:pPr>
      <w:r>
        <w:rPr>
          <w:color w:val="1E1E1E"/>
          <w:sz w:val="18"/>
        </w:rPr>
        <w:t>Criação do Conselho Federal e dos Conselhos Regionais de Educação Física e disciplina da eleição de seus membros efetivos e suplentes. Lei de iniciativa parlamentar. Inconstitucionalidade formal. Os conselhos de fiscalização profissional possuem natureza jurídica de autarquia federal, de forma que somente podem ser criados por lei de iniciativa do presidente da república (artigo 61, § 1º, II, a, da constituição federal).</w:t>
        <w:br/>
        <w:t>[ADI 3.428, rel. min. Luiz Fux, j. 1º-3-2023, P, DJE de 24-4-2023.] A educação a distância é modalidade educacional na qual a mediação didático-pedagógica ocorre com a utiliza</w:t>
      </w:r>
    </w:p>
    <w:p>
      <w:pPr>
        <w:ind w:left="288"/>
      </w:pPr>
      <w:r>
        <w:rPr>
          <w:b/>
          <w:color w:val="003CA0"/>
          <w:sz w:val="16"/>
        </w:rPr>
        <w:t>[ADI 5.004, rel. min. Alexandre de Moraes, j. 12-4-2018, P, DJE de 25-4-2018.]</w:t>
      </w:r>
    </w:p>
    <w:p>
      <w:pPr>
        <w:ind w:left="288"/>
      </w:pPr>
      <w:r>
        <w:rPr>
          <w:color w:val="8C8C8C"/>
          <w:sz w:val="12"/>
        </w:rPr>
        <w:t>cf-art-61-par-1-inc-II-ali-a</w:t>
      </w:r>
      <w:r>
        <w:rPr>
          <w:color w:val="003CA0"/>
          <w:sz w:val="12"/>
        </w:rPr>
        <w:t xml:space="preserve"> | ADI 290</w:t>
      </w:r>
      <w:r>
        <w:rPr>
          <w:color w:val="003CA0"/>
          <w:sz w:val="12"/>
        </w:rPr>
        <w:t xml:space="preserve"> | rel. Dias Toffoli</w:t>
      </w:r>
    </w:p>
    <w:p>
      <w:pPr>
        <w:ind w:left="288"/>
      </w:pPr>
      <w:r>
        <w:rPr>
          <w:color w:val="1E1E1E"/>
          <w:sz w:val="18"/>
        </w:rPr>
        <w:t>Inequívoco o vício de iniciativa da Lei estadual 1.117, de 30-3-1990, na medida em que estabelece normas para aplicação do salário mínimo profissional aos servidores estaduais. Incidência da regra de iniciativa legislativa exclusiva do chefe do Poder Executivo para dispor sobre remuneração dos cargos e funções do serviço público, em razão da cláusula de reserva prevista no art. 61, § 1º, II, a, da Carta Magna.</w:t>
      </w:r>
    </w:p>
    <w:p>
      <w:pPr>
        <w:ind w:left="288"/>
      </w:pPr>
      <w:r>
        <w:rPr>
          <w:b/>
          <w:color w:val="003CA0"/>
          <w:sz w:val="16"/>
        </w:rPr>
        <w:t>[ADI 290, rel. min. Dias Toffoli, j. 19-2-2014, P, DJE de 12-6-2014.]</w:t>
      </w:r>
    </w:p>
    <w:p>
      <w:pPr>
        <w:ind w:left="288"/>
      </w:pPr>
      <w:r>
        <w:rPr>
          <w:color w:val="8C8C8C"/>
          <w:sz w:val="12"/>
        </w:rPr>
        <w:t>cf-art-61-par-1-inc-II-ali-a</w:t>
      </w:r>
      <w:r>
        <w:rPr>
          <w:color w:val="003CA0"/>
          <w:sz w:val="12"/>
        </w:rPr>
        <w:t xml:space="preserve"> | ADI 4.759</w:t>
      </w:r>
      <w:r>
        <w:rPr>
          <w:color w:val="003CA0"/>
          <w:sz w:val="12"/>
        </w:rPr>
        <w:t xml:space="preserve"> | rel. Marco Aurélio</w:t>
      </w:r>
    </w:p>
    <w:p>
      <w:pPr>
        <w:ind w:left="288"/>
      </w:pPr>
      <w:r>
        <w:rPr>
          <w:color w:val="1E1E1E"/>
          <w:sz w:val="18"/>
        </w:rPr>
        <w:t>Em se tratando de servidor cedido pelo Executivo, a este cabe a iniciativa de lei a alcançar a respectiva remuneração.</w:t>
      </w:r>
    </w:p>
    <w:p>
      <w:pPr>
        <w:ind w:left="288"/>
      </w:pPr>
      <w:r>
        <w:rPr>
          <w:b/>
          <w:color w:val="003CA0"/>
          <w:sz w:val="16"/>
        </w:rPr>
        <w:t>[ADI 4.759 MC, rel. min. Marco Aurélio, j. 5-2-2014, P, DJE de 1º-8-2014.]</w:t>
      </w:r>
    </w:p>
    <w:p>
      <w:pPr>
        <w:ind w:left="288"/>
      </w:pPr>
      <w:r>
        <w:rPr>
          <w:color w:val="8C8C8C"/>
          <w:sz w:val="12"/>
        </w:rPr>
        <w:t>cf-art-61-par-1-inc-II-ali-a</w:t>
      </w:r>
      <w:r>
        <w:rPr>
          <w:color w:val="003CA0"/>
          <w:sz w:val="12"/>
        </w:rPr>
        <w:t xml:space="preserve"> | ADI 1.521</w:t>
      </w:r>
      <w:r>
        <w:rPr>
          <w:color w:val="003CA0"/>
          <w:sz w:val="12"/>
        </w:rPr>
        <w:t xml:space="preserve"> | rel. Ricardo Lewandowski</w:t>
      </w:r>
    </w:p>
    <w:p>
      <w:pPr>
        <w:ind w:left="288"/>
      </w:pPr>
      <w:r>
        <w:rPr>
          <w:color w:val="1E1E1E"/>
          <w:sz w:val="18"/>
        </w:rPr>
        <w:t>A extinção de cargos públicos, sejam eles efetivos ou em comissão, pressupõe lei específica, dispondo quantos e quais cargos serão extintos, não podendo ocorrer por meio de norma genérica inserida na Constituição. Incabível, por emenda constitucional, nos Estados-membros, que o Poder Legislativo disponha sobre espécie reservada à iniciativa privativa dos demais Poderes da República, sob pena de afronta ao art. 61 da Lei Maior.</w:t>
      </w:r>
    </w:p>
    <w:p>
      <w:pPr>
        <w:ind w:left="288"/>
      </w:pPr>
      <w:r>
        <w:rPr>
          <w:b/>
          <w:color w:val="003CA0"/>
          <w:sz w:val="16"/>
        </w:rPr>
        <w:t>[ADI 1.521, rel. min. Ricardo Lewandowski, j. 19-6-2013, P, DJE de 13-8-2013.]</w:t>
      </w:r>
    </w:p>
    <w:p>
      <w:pPr>
        <w:ind w:left="288"/>
      </w:pPr>
      <w:r>
        <w:rPr>
          <w:color w:val="8C8C8C"/>
          <w:sz w:val="12"/>
        </w:rPr>
        <w:t>cf-art-61-par-1-inc-II-ali-a</w:t>
      </w:r>
      <w:r>
        <w:rPr>
          <w:color w:val="003CA0"/>
          <w:sz w:val="12"/>
        </w:rPr>
        <w:t xml:space="preserve"> | ADI 3.555</w:t>
      </w:r>
      <w:r>
        <w:rPr>
          <w:color w:val="003CA0"/>
          <w:sz w:val="12"/>
        </w:rPr>
        <w:t xml:space="preserve"> | rel. Cezar Peluso</w:t>
      </w:r>
    </w:p>
    <w:p>
      <w:pPr>
        <w:ind w:left="288"/>
      </w:pPr>
      <w:r>
        <w:rPr>
          <w:color w:val="1E1E1E"/>
          <w:sz w:val="18"/>
        </w:rPr>
        <w:t>É inconstitucional a norma de Constituição do Estado-membro que disponha sobre valor da remuneração de servidores policiais militares.</w:t>
      </w:r>
    </w:p>
    <w:p>
      <w:pPr>
        <w:ind w:left="288"/>
      </w:pPr>
      <w:r>
        <w:rPr>
          <w:b/>
          <w:color w:val="003CA0"/>
          <w:sz w:val="16"/>
        </w:rPr>
        <w:t>[ADI 3.555, rel. min. Cezar Peluso, j. 4-3-2009, P, DJE de 8-5-2009.]</w:t>
      </w:r>
    </w:p>
    <w:p>
      <w:pPr>
        <w:ind w:left="288"/>
      </w:pPr>
      <w:r>
        <w:rPr>
          <w:color w:val="8C8C8C"/>
          <w:sz w:val="12"/>
        </w:rPr>
        <w:t>cf-art-61-par-1-inc-II-ali-a</w:t>
      </w:r>
      <w:r>
        <w:rPr>
          <w:color w:val="003CA0"/>
          <w:sz w:val="12"/>
        </w:rPr>
        <w:t xml:space="preserve"> | ADI 3.232</w:t>
      </w:r>
      <w:r>
        <w:rPr>
          <w:color w:val="003CA0"/>
          <w:sz w:val="12"/>
        </w:rPr>
        <w:t xml:space="preserve"> | rel. Cezar Peluso</w:t>
      </w:r>
    </w:p>
    <w:p>
      <w:pPr>
        <w:ind w:left="288"/>
      </w:pPr>
      <w:r>
        <w:rPr>
          <w:color w:val="1E1E1E"/>
          <w:sz w:val="18"/>
        </w:rPr>
        <w:t>São inconstitucionais a lei que autorize o chefe do Poder Executivo a dispor, mediante decreto, sobre criação de cargos públicos remunerados, bem como os decretos que lhe deem execução.</w:t>
      </w:r>
    </w:p>
    <w:p>
      <w:pPr>
        <w:ind w:left="288"/>
      </w:pPr>
      <w:r>
        <w:rPr>
          <w:b/>
          <w:color w:val="003CA0"/>
          <w:sz w:val="16"/>
        </w:rPr>
        <w:t>[ADI 3.232, rel. min. Cezar Peluso, j. 14-8-2008, P, DJE de 3-10-2008.]</w:t>
      </w:r>
    </w:p>
    <w:p>
      <w:pPr>
        <w:ind w:left="288"/>
      </w:pPr>
      <w:r>
        <w:rPr>
          <w:color w:val="8C8C8C"/>
          <w:sz w:val="12"/>
        </w:rPr>
        <w:t>cf-art-61-par-1-inc-II-ali-a</w:t>
      </w:r>
      <w:r>
        <w:rPr>
          <w:color w:val="003CA0"/>
          <w:sz w:val="12"/>
        </w:rPr>
        <w:t xml:space="preserve"> | ADI 4.125</w:t>
      </w:r>
      <w:r>
        <w:rPr>
          <w:color w:val="003CA0"/>
          <w:sz w:val="12"/>
        </w:rPr>
        <w:t xml:space="preserve"> | rel. Cármen Lúcia</w:t>
      </w:r>
    </w:p>
    <w:p>
      <w:pPr>
        <w:ind w:left="288"/>
      </w:pPr>
      <w:r>
        <w:rPr>
          <w:color w:val="1E1E1E"/>
          <w:sz w:val="18"/>
        </w:rPr>
        <w:t>= ADI 4.125, rel. min. Cármen Lúcia, j. 10-6-2010, P, DJE de 15-2-2011 Lei estadual que dispõe sobre a situação funcional de servidores públicos: iniciativa do chefe do Poder Executivo (art. 61, § 1º, II, a e c, CR/1988). Princípio da simetria.</w:t>
      </w:r>
    </w:p>
    <w:p>
      <w:pPr>
        <w:ind w:left="288"/>
      </w:pPr>
      <w:r>
        <w:rPr>
          <w:b/>
          <w:color w:val="003CA0"/>
          <w:sz w:val="16"/>
        </w:rPr>
        <w:t>[ADI 2.029, rel. min. Ricardo Lewandowski, j. 4-6-2007, P, DJ de 24-8-2007.]</w:t>
      </w:r>
    </w:p>
    <w:p>
      <w:pPr>
        <w:ind w:left="288"/>
      </w:pPr>
      <w:r>
        <w:rPr>
          <w:color w:val="8C8C8C"/>
          <w:sz w:val="12"/>
        </w:rPr>
        <w:t>cf-art-61-par-1-inc-II-ali-a</w:t>
      </w:r>
      <w:r>
        <w:rPr>
          <w:color w:val="003CA0"/>
          <w:sz w:val="12"/>
        </w:rPr>
        <w:t xml:space="preserve"> | ADI 3.791</w:t>
      </w:r>
      <w:r>
        <w:rPr>
          <w:color w:val="003CA0"/>
          <w:sz w:val="12"/>
        </w:rPr>
        <w:t xml:space="preserve"> | rel. Ayres Britto</w:t>
      </w:r>
    </w:p>
    <w:p>
      <w:pPr>
        <w:ind w:left="288"/>
      </w:pPr>
      <w:r>
        <w:rPr>
          <w:color w:val="1E1E1E"/>
          <w:sz w:val="18"/>
        </w:rPr>
        <w:t xml:space="preserve">= ADI 3.791, rel. min. Ayres Britto, j. 16-6-2010, P, DJE de 27-8-2010 Poder constituinte estadual. Autonomia (ADCT, art. 11). Restrições jurisprudenciais inaplicáveis ao caso. É da jurisprudência assente do Supremo Tribunal que afronta o princípio fundamental da separação e independência dos Poderes o trato em constituições estaduais de matéria, sem caráter essencialmente constitucional – assim, por exemplo, a relativa à fixação de vencimentos ou à concessão de vantagens específicas a servidores públicos –, que caracterize fraude à iniciativa reservada ao Poder Executivo de leis ordinárias a </w:t>
      </w:r>
    </w:p>
    <w:p>
      <w:pPr>
        <w:ind w:left="288"/>
      </w:pPr>
      <w:r>
        <w:rPr>
          <w:b/>
          <w:color w:val="003CA0"/>
          <w:sz w:val="16"/>
        </w:rPr>
        <w:t>[ADI 104, rel. min. Sepúlveda Pertence, j. 4-6-2007, P, DJ de 24-8-2007.]</w:t>
      </w:r>
    </w:p>
    <w:p>
      <w:pPr>
        <w:ind w:left="288"/>
      </w:pPr>
      <w:r>
        <w:rPr>
          <w:color w:val="8C8C8C"/>
          <w:sz w:val="12"/>
        </w:rPr>
        <w:t>cf-art-61-par-1-inc-II-ali-a</w:t>
      </w:r>
      <w:r>
        <w:rPr>
          <w:color w:val="003CA0"/>
          <w:sz w:val="12"/>
        </w:rPr>
        <w:t xml:space="preserve"> | ADI 3.599</w:t>
      </w:r>
      <w:r>
        <w:rPr>
          <w:color w:val="003CA0"/>
          <w:sz w:val="12"/>
        </w:rPr>
        <w:t xml:space="preserve"> | rel. Gilmar Mendes</w:t>
      </w:r>
    </w:p>
    <w:p>
      <w:pPr>
        <w:ind w:left="288"/>
      </w:pPr>
      <w:r>
        <w:rPr>
          <w:color w:val="1E1E1E"/>
          <w:sz w:val="18"/>
        </w:rPr>
        <w:t>Leis federais 11.169/2005 e 11.170/2005, que alteram a remuneração dos servidores públicos integrantes dos Quadros de Pessoal da Câmara dos Deputados e do Senado Federal. (...) Não configurada a alegada usurpação de iniciativa privativa do presidente da República, tendo em vista que as normas impugnadas não pretenderam a revisão geral anual de remuneração dos servidores públicos. Distinção entre reajuste setorial de servidores públicos e revisão geral anual da remuneração dos servidores públicos: necessidade de lei específica para ambas as situações.</w:t>
      </w:r>
    </w:p>
    <w:p>
      <w:pPr>
        <w:ind w:left="288"/>
      </w:pPr>
      <w:r>
        <w:rPr>
          <w:b/>
          <w:color w:val="003CA0"/>
          <w:sz w:val="16"/>
        </w:rPr>
        <w:t>[ADI 3.599, rel. min. Gilmar Mendes, j. 21-5-2007, P, DJ de 14-9-2007.]</w:t>
      </w:r>
    </w:p>
    <w:p>
      <w:pPr>
        <w:ind w:left="288"/>
      </w:pPr>
      <w:r>
        <w:rPr>
          <w:color w:val="8C8C8C"/>
          <w:sz w:val="12"/>
        </w:rPr>
        <w:t>cf-art-61-par-1-inc-II-ali-a</w:t>
      </w:r>
      <w:r>
        <w:rPr>
          <w:color w:val="003CA0"/>
          <w:sz w:val="12"/>
        </w:rPr>
        <w:t xml:space="preserve"> | ADI 3.061</w:t>
      </w:r>
      <w:r>
        <w:rPr>
          <w:color w:val="003CA0"/>
          <w:sz w:val="12"/>
        </w:rPr>
        <w:t xml:space="preserve"> | rel. Ayres Britto</w:t>
      </w:r>
    </w:p>
    <w:p>
      <w:pPr>
        <w:ind w:left="288"/>
      </w:pPr>
      <w:r>
        <w:rPr>
          <w:color w:val="1E1E1E"/>
          <w:sz w:val="18"/>
        </w:rPr>
        <w:t>O § 1º do art. 61 da Lei Republicana confere ao chefe do Poder Executivo a privativa competência para iniciar os processos de elaboração de diplomas legislativos que disponham sobre a criação de cargos, funções ou empregos públicos na administração direta e autárquica, o aumento da respectiva remuneração, bem como os referentes a servidores públicos da União e dos Territórios, seu regime jurídico, provimento de cargos, estabilidade e aposentadoria (alíneas a e c do inciso II do art. 61). Insistindo nessa linha de opção política, a mesma Lei Maior de 1988 habilitou os presidentes do STF, dos tr</w:t>
      </w:r>
    </w:p>
    <w:p>
      <w:pPr>
        <w:ind w:left="288"/>
      </w:pPr>
      <w:r>
        <w:rPr>
          <w:b/>
          <w:color w:val="003CA0"/>
          <w:sz w:val="16"/>
        </w:rPr>
        <w:t>[ADI 3.061, rel. min. Ayres Britto, j. 5-4-2006, P, DJ de 9-6-2006.]</w:t>
      </w:r>
    </w:p>
    <w:p>
      <w:pPr>
        <w:ind w:left="288"/>
      </w:pPr>
      <w:r>
        <w:rPr>
          <w:color w:val="8C8C8C"/>
          <w:sz w:val="12"/>
        </w:rPr>
        <w:t>cf-art-61-par-1-inc-II-ali-a</w:t>
      </w:r>
      <w:r>
        <w:rPr>
          <w:color w:val="003CA0"/>
          <w:sz w:val="12"/>
        </w:rPr>
        <w:t xml:space="preserve"> | ADI 1.521</w:t>
      </w:r>
      <w:r>
        <w:rPr>
          <w:color w:val="003CA0"/>
          <w:sz w:val="12"/>
        </w:rPr>
        <w:t xml:space="preserve"> | rel. Ricardo Lewandowski</w:t>
      </w:r>
    </w:p>
    <w:p>
      <w:pPr>
        <w:ind w:left="288"/>
      </w:pPr>
      <w:r>
        <w:rPr>
          <w:color w:val="1E1E1E"/>
          <w:sz w:val="18"/>
        </w:rPr>
        <w:t>= ADI 1.521, rel. min. Ricardo Lewandowski, j. 19-6-2013, P, DJE de 13-8-2013 A fixação de data para o pagamento dos vencimentos dos servidores estaduais e a previsão de correção monetária em caso de atraso não constituem aumento de remuneração ou concessão de vantagem.</w:t>
      </w:r>
    </w:p>
    <w:p>
      <w:pPr>
        <w:ind w:left="288"/>
      </w:pPr>
      <w:r>
        <w:rPr>
          <w:b/>
          <w:color w:val="003CA0"/>
          <w:sz w:val="16"/>
        </w:rPr>
        <w:t>[ADI 559, rel. min. Eros Grau, j. 15-2-2006, P, DJ de 5-5-2006.]</w:t>
      </w:r>
    </w:p>
    <w:p>
      <w:pPr>
        <w:ind w:left="288"/>
      </w:pPr>
      <w:r>
        <w:rPr>
          <w:color w:val="8C8C8C"/>
          <w:sz w:val="12"/>
        </w:rPr>
        <w:t>cf-art-61-par-1-inc-II-ali-a</w:t>
      </w:r>
      <w:r>
        <w:rPr>
          <w:color w:val="003CA0"/>
          <w:sz w:val="12"/>
        </w:rPr>
        <w:t xml:space="preserve"> | ADI 2.079</w:t>
      </w:r>
      <w:r>
        <w:rPr>
          <w:color w:val="003CA0"/>
          <w:sz w:val="12"/>
        </w:rPr>
        <w:t xml:space="preserve"> | rel. Maurício Corrêa</w:t>
      </w:r>
    </w:p>
    <w:p>
      <w:pPr>
        <w:ind w:left="288"/>
      </w:pPr>
      <w:r>
        <w:rPr>
          <w:color w:val="1E1E1E"/>
          <w:sz w:val="18"/>
        </w:rPr>
        <w:t>Incorre em vício de inconstitucionalidade formal (CF, arts. 61, § 1º, II, a e c, e 63, I) a norma jurídica decorrente de emenda parlamentar em projeto de lei de iniciativa reservada ao chefe do Poder Executivo de que resulte aumento de despesa. Parâmetro de observância cogente pelos Estados da Federação, à luz do princípio da simetria.</w:t>
      </w:r>
    </w:p>
    <w:p>
      <w:pPr>
        <w:ind w:left="288"/>
      </w:pPr>
      <w:r>
        <w:rPr>
          <w:b/>
          <w:color w:val="003CA0"/>
          <w:sz w:val="16"/>
        </w:rPr>
        <w:t>[ADI 2.079, rel. min. Maurício Corrêa, j. 29-4-2004, P, DJ de 18-6-2004.]</w:t>
      </w:r>
    </w:p>
    <w:p>
      <w:pPr>
        <w:ind w:left="288"/>
      </w:pPr>
      <w:r>
        <w:rPr>
          <w:color w:val="8C8C8C"/>
          <w:sz w:val="12"/>
        </w:rPr>
        <w:t>cf-art-61-par-1-inc-II-ali-a</w:t>
      </w:r>
      <w:r>
        <w:rPr>
          <w:color w:val="003CA0"/>
          <w:sz w:val="12"/>
        </w:rPr>
        <w:t xml:space="preserve"> | RE 745.811</w:t>
      </w:r>
      <w:r>
        <w:rPr>
          <w:color w:val="003CA0"/>
          <w:sz w:val="12"/>
        </w:rPr>
        <w:t xml:space="preserve"> | rel. Gilmar Mendes</w:t>
      </w:r>
    </w:p>
    <w:p>
      <w:pPr>
        <w:ind w:left="288"/>
      </w:pPr>
      <w:r>
        <w:rPr>
          <w:color w:val="1E1E1E"/>
          <w:sz w:val="18"/>
        </w:rPr>
        <w:t>= RE 745.811 RG, rel. min. Gilmar Mendes, j. 17-10-2013, P, DJE de 6-11-2013, Tema 686 O tema concernente à disciplina jurídica da remuneração funcional submete-se ao postulado constitucional da reserva absoluta de lei, vedando-se, em consequência, a intervenção de outros atos estatais revestidos de menor positividade jurídica, emanados de fontes normativas que se revelem estranhas, quanto à sua origem institucional, ao âmbito de atuação do Poder Legislativo, notadamente quando se tratar de imposições restritivas ou de fixação de limitações quantitativas ao estipêndio devido aos agentes públic</w:t>
      </w:r>
    </w:p>
    <w:p>
      <w:pPr>
        <w:ind w:left="288"/>
      </w:pPr>
      <w:r>
        <w:rPr>
          <w:b/>
          <w:color w:val="003CA0"/>
          <w:sz w:val="16"/>
        </w:rPr>
        <w:t>[ADI 2.075 MC, rel. min. Celso de Mello, j. 7-2-2001, P, DJ de 27-6-2003.]</w:t>
      </w:r>
    </w:p>
    <w:p>
      <w:pPr>
        <w:ind w:left="144"/>
      </w:pPr>
      <w:r>
        <w:rPr>
          <w:b/>
          <w:color w:val="B45A00"/>
          <w:sz w:val="16"/>
        </w:rPr>
        <w:t>REPERCUSSAO GERAL</w:t>
      </w:r>
    </w:p>
    <w:p>
      <w:pPr>
        <w:ind w:left="288"/>
      </w:pPr>
      <w:r>
        <w:rPr>
          <w:color w:val="8C8C8C"/>
          <w:sz w:val="12"/>
        </w:rPr>
        <w:t>cf-art-61-par-1-inc-II-ali-a</w:t>
      </w:r>
      <w:r>
        <w:rPr>
          <w:color w:val="003CA0"/>
          <w:sz w:val="12"/>
        </w:rPr>
        <w:t xml:space="preserve"> | RE 590.829</w:t>
      </w:r>
      <w:r>
        <w:rPr>
          <w:color w:val="003CA0"/>
          <w:sz w:val="12"/>
        </w:rPr>
        <w:t xml:space="preserve"> | rel. Marco Aurélio</w:t>
      </w:r>
    </w:p>
    <w:p>
      <w:pPr>
        <w:ind w:left="288"/>
      </w:pPr>
      <w:r>
        <w:rPr>
          <w:color w:val="1E1E1E"/>
          <w:sz w:val="18"/>
        </w:rPr>
        <w:t>Descabe, em lei orgânica de Município, a normatização de direitos dos servidores, porquanto a prática acaba por afrontar a iniciativa do chefe do Poder Executivo.</w:t>
        <w:br/>
        <w:t xml:space="preserve">[RE 590.829, rel. min. Marco Aurélio, j. 5-3-2015, P, DJE de 30-3-2015, Tema 223, com mérito julgado.] Dispositivos resultantes de emenda parlamentar que estenderam gratificação, inicialmente prevista apenas para os professores, a todos os servidores que atuem na área de educação especial. Inconstitucionalidade formal. Arts. 2º e 63, I, da CF. </w:t>
        <w:br/>
        <w:t>[RE 745.811 RG, rel. min. Gilmar Mendes, j. 17-10-2013, P, DJE de 6-11-2013, Tema 686, com</w:t>
      </w:r>
    </w:p>
    <w:p>
      <w:pPr>
        <w:ind w:left="144"/>
      </w:pPr>
      <w:r>
        <w:rPr>
          <w:b/>
          <w:color w:val="B45A00"/>
          <w:sz w:val="16"/>
        </w:rPr>
        <w:t>JULGADOS CORRELATOS</w:t>
      </w:r>
    </w:p>
    <w:p>
      <w:pPr>
        <w:ind w:left="288"/>
      </w:pPr>
      <w:r>
        <w:rPr>
          <w:color w:val="8C8C8C"/>
          <w:sz w:val="12"/>
        </w:rPr>
        <w:t>cf-art-61-par-1-inc-II-ali-a</w:t>
      </w:r>
      <w:r>
        <w:rPr>
          <w:color w:val="003CA0"/>
          <w:sz w:val="12"/>
        </w:rPr>
        <w:t xml:space="preserve"> | RE 240.735</w:t>
      </w:r>
      <w:r>
        <w:rPr>
          <w:color w:val="003CA0"/>
          <w:sz w:val="12"/>
        </w:rPr>
        <w:t xml:space="preserve"> | rel. Eros Grau</w:t>
      </w:r>
    </w:p>
    <w:p>
      <w:pPr>
        <w:ind w:left="288"/>
      </w:pPr>
      <w:r>
        <w:rPr>
          <w:color w:val="1E1E1E"/>
          <w:sz w:val="18"/>
        </w:rPr>
        <w:t>Os cargos públicos apenas podem ser criados e extintos por lei de iniciativa do presidente da República. A declaração de desnecessidade sem amparo legal não é hábil a extingui-los.</w:t>
      </w:r>
    </w:p>
    <w:p>
      <w:pPr>
        <w:ind w:left="288"/>
      </w:pPr>
      <w:r>
        <w:rPr>
          <w:b/>
          <w:color w:val="003CA0"/>
          <w:sz w:val="16"/>
        </w:rPr>
        <w:t>[RE 240.735 AgR, rel. min. Eros Grau, j. 28-3-2006, 2ª T, DJ de 5-5-2006.]</w:t>
      </w:r>
    </w:p>
    <w:p>
      <w:pPr>
        <w:ind w:left="144"/>
      </w:pPr>
      <w:r>
        <w:rPr>
          <w:b/>
          <w:color w:val="B45A00"/>
          <w:sz w:val="16"/>
        </w:rPr>
        <w:t>CONTROLE CONCENTRADO</w:t>
      </w:r>
    </w:p>
    <w:p>
      <w:pPr>
        <w:ind w:left="288"/>
      </w:pPr>
      <w:r>
        <w:rPr>
          <w:color w:val="8C8C8C"/>
          <w:sz w:val="12"/>
        </w:rPr>
        <w:t>cf-art-61-par-1-inc-II-ali-b</w:t>
      </w:r>
      <w:r>
        <w:rPr>
          <w:color w:val="003CA0"/>
          <w:sz w:val="12"/>
        </w:rPr>
        <w:t xml:space="preserve"> | ADI 2.447</w:t>
      </w:r>
      <w:r>
        <w:rPr>
          <w:color w:val="003CA0"/>
          <w:sz w:val="12"/>
        </w:rPr>
        <w:t xml:space="preserve"> | rel. Joaquim Barbosa</w:t>
      </w:r>
    </w:p>
    <w:p>
      <w:pPr>
        <w:ind w:left="288"/>
      </w:pPr>
      <w:r>
        <w:rPr>
          <w:color w:val="1E1E1E"/>
          <w:sz w:val="18"/>
        </w:rPr>
        <w:t>A reserva de lei de iniciativa do chefe do Executivo, prevista no art. 61, § 1º, II, b, da Constituição, somente se aplica aos Territórios federais.</w:t>
      </w:r>
    </w:p>
    <w:p>
      <w:pPr>
        <w:ind w:left="288"/>
      </w:pPr>
      <w:r>
        <w:rPr>
          <w:b/>
          <w:color w:val="003CA0"/>
          <w:sz w:val="16"/>
        </w:rPr>
        <w:t>[ADI 2.447, rel. min. Joaquim Barbosa, j. 4-3-2009, P, DJE de 4-12-2009.]</w:t>
      </w:r>
    </w:p>
    <w:p>
      <w:pPr>
        <w:ind w:left="288"/>
      </w:pPr>
      <w:r>
        <w:rPr>
          <w:color w:val="8C8C8C"/>
          <w:sz w:val="12"/>
        </w:rPr>
        <w:t>cf-art-61-par-1-inc-II-ali-b</w:t>
      </w:r>
      <w:r>
        <w:rPr>
          <w:color w:val="003CA0"/>
          <w:sz w:val="12"/>
        </w:rPr>
        <w:t xml:space="preserve"> | ADI 2.464</w:t>
      </w:r>
      <w:r>
        <w:rPr>
          <w:color w:val="003CA0"/>
          <w:sz w:val="12"/>
        </w:rPr>
        <w:t xml:space="preserve"> | rel. Ellen Gracie</w:t>
      </w:r>
    </w:p>
    <w:p>
      <w:pPr>
        <w:ind w:left="288"/>
      </w:pPr>
      <w:r>
        <w:rPr>
          <w:color w:val="1E1E1E"/>
          <w:sz w:val="18"/>
        </w:rPr>
        <w:t>Não ofende o art. 61, § 1º, II, b, da CF lei oriunda de projeto elaborado na assembleia legislativa estadual que trate sobre matéria tributária, uma vez que a aplicação deste dispositivo está circunscrita às iniciativas privativas do chefe do Poder Executivo Federal na órbita exclusiva dos Territórios federais.</w:t>
      </w:r>
    </w:p>
    <w:p>
      <w:pPr>
        <w:ind w:left="288"/>
      </w:pPr>
      <w:r>
        <w:rPr>
          <w:b/>
          <w:color w:val="003CA0"/>
          <w:sz w:val="16"/>
        </w:rPr>
        <w:t>[ADI 2.464, rel. min. Ellen Gracie, j. 11-4-2007, P, DJ de 25-5-2007.]</w:t>
      </w:r>
    </w:p>
    <w:p>
      <w:pPr>
        <w:ind w:left="288"/>
      </w:pPr>
      <w:r>
        <w:rPr>
          <w:color w:val="8C8C8C"/>
          <w:sz w:val="12"/>
        </w:rPr>
        <w:t>cf-art-61-par-1-inc-II-ali-b</w:t>
      </w:r>
      <w:r>
        <w:rPr>
          <w:color w:val="003CA0"/>
          <w:sz w:val="12"/>
        </w:rPr>
        <w:t xml:space="preserve"> | RE 601.348</w:t>
      </w:r>
      <w:r>
        <w:rPr>
          <w:color w:val="003CA0"/>
          <w:sz w:val="12"/>
        </w:rPr>
        <w:t xml:space="preserve"> | rel. Ricardo Lewandowski</w:t>
      </w:r>
    </w:p>
    <w:p>
      <w:pPr>
        <w:ind w:left="288"/>
      </w:pPr>
      <w:r>
        <w:rPr>
          <w:color w:val="1E1E1E"/>
          <w:sz w:val="18"/>
        </w:rPr>
        <w:t>= RE 601.348 ED, rel. min. Ricardo Lewandowski, j. 22-11-2011, 2ª T, DJE de 7-12-2011 Vide ADI 3.205, rel. min. Sepúlveda Pertence, j. 19-10-2006, P, DJ de 17-11-2006 Por tratar-se de evidente matéria de organização administrativa, a iniciativa do processo legislativo está reservada ao chefe do Poder Executivo local. Os Estados-membros e o Distrito Federal devem obediência às regras de iniciativa legislativa reservada, fixadas constitucionalmente, sob pena de violação do modelo de harmônica tripartição de poderes, consagrado pelo constituinte originário.</w:t>
      </w:r>
    </w:p>
    <w:p>
      <w:pPr>
        <w:ind w:left="288"/>
      </w:pPr>
      <w:r>
        <w:rPr>
          <w:b/>
          <w:color w:val="003CA0"/>
          <w:sz w:val="16"/>
        </w:rPr>
        <w:t>[ADI 1.182, rel. min. Eros Grau, j. 24-11-2005, P, DJ de 10-3-2006.]</w:t>
      </w:r>
    </w:p>
    <w:p>
      <w:pPr>
        <w:ind w:left="288"/>
      </w:pPr>
      <w:r>
        <w:rPr>
          <w:color w:val="8C8C8C"/>
          <w:sz w:val="12"/>
        </w:rPr>
        <w:t>cf-art-61-par-1-inc-II-ali-b</w:t>
      </w:r>
      <w:r>
        <w:rPr>
          <w:color w:val="003CA0"/>
          <w:sz w:val="12"/>
        </w:rPr>
        <w:t xml:space="preserve"> | RE 508.827</w:t>
      </w:r>
      <w:r>
        <w:rPr>
          <w:color w:val="003CA0"/>
          <w:sz w:val="12"/>
        </w:rPr>
        <w:t xml:space="preserve"> | rel. Cármen Lúcia</w:t>
      </w:r>
    </w:p>
    <w:p>
      <w:pPr>
        <w:ind w:left="288"/>
      </w:pPr>
      <w:r>
        <w:rPr>
          <w:color w:val="1E1E1E"/>
          <w:sz w:val="18"/>
        </w:rPr>
        <w:t>= RE 508.827 AgR, rel. min. Cármen Lúcia, j. 25-9-2012, 2ª T, DJE de 19-10-2012 A Constituição de 1988 admite a iniciativa parlamentar na instauração do processo legislativo em tema de direito tributário. A iniciativa reservada, por constituir matéria de direito estrito, não se presume e nem comporta interpretação ampliativa, na medida em que, por implicar limitação ao poder de instauração do processo legislativo, deve necessariamente derivar de norma constitucional explícita e inequívoca. O ato de legislar sobre direito tributário, ainda que para conceder benefícios jurídicos de ordem fiscal,</w:t>
      </w:r>
    </w:p>
    <w:p>
      <w:pPr>
        <w:ind w:left="288"/>
      </w:pPr>
      <w:r>
        <w:rPr>
          <w:b/>
          <w:color w:val="003CA0"/>
          <w:sz w:val="16"/>
        </w:rPr>
        <w:t>[ADI 724 MC, rel. min. Celso de Mello, j. 7-5-1992, P, DJ de 27-4-2001.]</w:t>
      </w:r>
    </w:p>
    <w:p>
      <w:pPr>
        <w:ind w:left="288"/>
      </w:pPr>
      <w:r>
        <w:rPr>
          <w:color w:val="8C8C8C"/>
          <w:sz w:val="12"/>
        </w:rPr>
        <w:t>cf-art-61-par-1-inc-II-ali-b</w:t>
      </w:r>
      <w:r>
        <w:rPr>
          <w:color w:val="003CA0"/>
          <w:sz w:val="12"/>
        </w:rPr>
        <w:t xml:space="preserve"> | RE 590.697</w:t>
      </w:r>
      <w:r>
        <w:rPr>
          <w:color w:val="003CA0"/>
          <w:sz w:val="12"/>
        </w:rPr>
        <w:t xml:space="preserve"> | rel. Ricardo Lewandowski</w:t>
      </w:r>
    </w:p>
    <w:p>
      <w:pPr>
        <w:ind w:left="288"/>
      </w:pPr>
      <w:r>
        <w:rPr>
          <w:color w:val="1E1E1E"/>
          <w:sz w:val="18"/>
        </w:rPr>
        <w:t>= RE 590.697 ED, rel. min. Ricardo Lewandowski, j. 23-8-2011, 2ª T, DJE de 6-9-2011 “A iniciativa legislativa para definição de obrigações de pequeno valor para pagamento de condenação judicial não é reservada ao chefe do Poder Executivo”.</w:t>
      </w:r>
    </w:p>
    <w:p>
      <w:pPr>
        <w:ind w:left="288"/>
      </w:pPr>
      <w:r>
        <w:rPr>
          <w:b/>
          <w:color w:val="003CA0"/>
          <w:sz w:val="16"/>
        </w:rPr>
        <w:t>[RE 1.496.204 RG, rel. min. Luís Roberto Barroso, j. 04.10.2024, P, DJE de 09.10.2024, Tema 1.326, com mérito julgado.]</w:t>
      </w:r>
    </w:p>
    <w:p>
      <w:pPr>
        <w:ind w:left="144"/>
      </w:pPr>
      <w:r>
        <w:rPr>
          <w:b/>
          <w:color w:val="B45A00"/>
          <w:sz w:val="16"/>
        </w:rPr>
        <w:t>REPERCUSSAO GERAL</w:t>
      </w:r>
    </w:p>
    <w:p>
      <w:pPr>
        <w:ind w:left="288"/>
      </w:pPr>
      <w:r>
        <w:rPr>
          <w:color w:val="8C8C8C"/>
          <w:sz w:val="12"/>
        </w:rPr>
        <w:t>cf-art-61-par-1-inc-II-ali-b</w:t>
      </w:r>
      <w:r>
        <w:rPr>
          <w:color w:val="003CA0"/>
          <w:sz w:val="12"/>
        </w:rPr>
        <w:t xml:space="preserve"> | ARE 743.480</w:t>
      </w:r>
      <w:r>
        <w:rPr>
          <w:color w:val="003CA0"/>
          <w:sz w:val="12"/>
        </w:rPr>
        <w:t xml:space="preserve"> | rel. Gilmar Mendes</w:t>
      </w:r>
    </w:p>
    <w:p>
      <w:pPr>
        <w:ind w:left="288"/>
      </w:pPr>
      <w:r>
        <w:rPr>
          <w:color w:val="1E1E1E"/>
          <w:sz w:val="18"/>
        </w:rPr>
        <w:t>A norma não reserva à iniciativa privativa do presidente da República toda e qualquer lei que cuide de tributos, senão apenas a matéria tributária dos Territórios.</w:t>
        <w:br/>
        <w:t>[ARE 743.480 RG, voto do rel. min. Gilmar Mendes, j. 10-10-2013, P, DJE de 20-11-2013, Tema 682, com mérito julgado.]</w:t>
      </w:r>
    </w:p>
    <w:p>
      <w:pPr>
        <w:ind w:left="288"/>
      </w:pPr>
      <w:r>
        <w:rPr>
          <w:color w:val="8C8C8C"/>
          <w:sz w:val="12"/>
        </w:rPr>
        <w:t>cf-art-61-par-1-inc-II-ali-c</w:t>
      </w:r>
      <w:r>
        <w:rPr>
          <w:color w:val="003CA0"/>
          <w:sz w:val="12"/>
        </w:rPr>
        <w:t xml:space="preserve"> | ADI 3.901</w:t>
      </w:r>
      <w:r>
        <w:rPr>
          <w:color w:val="003CA0"/>
          <w:sz w:val="12"/>
        </w:rPr>
        <w:t xml:space="preserve"> | rel. Edson Fachin</w:t>
      </w:r>
    </w:p>
    <w:p>
      <w:pPr>
        <w:ind w:left="288"/>
      </w:pPr>
      <w:r>
        <w:rPr>
          <w:color w:val="1E1E1E"/>
          <w:sz w:val="18"/>
        </w:rPr>
        <w:t>A designação de período para a realização de concurso público é matéria que não se enquadra na competência do Chefe do Executivo (art. 61, §1º, inciso II, “c”, CF), visto que não se relaciona, diretamente, com o provimento de cargos públicos.</w:t>
      </w:r>
    </w:p>
    <w:p>
      <w:pPr>
        <w:ind w:left="288"/>
      </w:pPr>
      <w:r>
        <w:rPr>
          <w:b/>
          <w:color w:val="003CA0"/>
          <w:sz w:val="16"/>
        </w:rPr>
        <w:t>[ADI 3.901, rel. min. Edson Fachin, j. 22.09.2025, P, DJE de 26.11.2025.]</w:t>
      </w:r>
    </w:p>
    <w:p>
      <w:pPr>
        <w:ind w:left="288"/>
      </w:pPr>
      <w:r>
        <w:rPr>
          <w:color w:val="8C8C8C"/>
          <w:sz w:val="12"/>
        </w:rPr>
        <w:t>cf-art-61-par-1-inc-II-ali-c</w:t>
      </w:r>
      <w:r>
        <w:rPr>
          <w:color w:val="003CA0"/>
          <w:sz w:val="12"/>
        </w:rPr>
        <w:t xml:space="preserve"> | ADI 4.354</w:t>
      </w:r>
      <w:r>
        <w:rPr>
          <w:color w:val="003CA0"/>
          <w:sz w:val="12"/>
        </w:rPr>
        <w:t xml:space="preserve"> | rel. Dias Toffoli</w:t>
      </w:r>
    </w:p>
    <w:p>
      <w:pPr>
        <w:ind w:left="288"/>
      </w:pPr>
      <w:r>
        <w:rPr>
          <w:color w:val="1E1E1E"/>
          <w:sz w:val="18"/>
        </w:rPr>
        <w:t>Inexistência de vício de iniciativa na proposição da Lei nº 12.030/09, haja vista tratar-se de norma geral direcionada aos peritos criminais de todo o Brasil. O diploma impugnado estabelece apenas normas relativas à organização, aos direitos e às garantias dos peritos criminais oficiais, não adentrando na matéria do art. 61, § 1º, inciso II, alíneas a ou c, da Constituição Federal.</w:t>
      </w:r>
    </w:p>
    <w:p>
      <w:pPr>
        <w:ind w:left="288"/>
      </w:pPr>
      <w:r>
        <w:rPr>
          <w:b/>
          <w:color w:val="003CA0"/>
          <w:sz w:val="16"/>
        </w:rPr>
        <w:t>[ADI 4.354, rel. min. Dias Toffoli, j. 07.11.2024, P, DJE de 28.02.2025.]</w:t>
      </w:r>
    </w:p>
    <w:p>
      <w:pPr>
        <w:ind w:left="144"/>
      </w:pPr>
      <w:r>
        <w:rPr>
          <w:b/>
          <w:color w:val="B45A00"/>
          <w:sz w:val="16"/>
        </w:rPr>
        <w:t>CONTROLE CONCENTRADO</w:t>
      </w:r>
    </w:p>
    <w:p>
      <w:pPr>
        <w:ind w:left="288"/>
      </w:pPr>
      <w:r>
        <w:rPr>
          <w:color w:val="8C8C8C"/>
          <w:sz w:val="12"/>
        </w:rPr>
        <w:t>cf-art-61-par-1-inc-II-ali-c</w:t>
      </w:r>
      <w:r>
        <w:rPr>
          <w:color w:val="003CA0"/>
          <w:sz w:val="12"/>
        </w:rPr>
        <w:t xml:space="preserve"> | ADI 856</w:t>
      </w:r>
      <w:r>
        <w:rPr>
          <w:color w:val="003CA0"/>
          <w:sz w:val="12"/>
        </w:rPr>
        <w:t xml:space="preserve"> | rel. Luiz Fux</w:t>
      </w:r>
    </w:p>
    <w:p>
      <w:pPr>
        <w:ind w:left="288"/>
      </w:pPr>
      <w:r>
        <w:rPr>
          <w:color w:val="1E1E1E"/>
          <w:sz w:val="18"/>
        </w:rPr>
        <w:t>Aposentadoria especial. Funções de magistério. Definição. Projeto de lei de iniciativa privativa do chefe do executivo (...). (...) O Chefe do Executivo possui a iniciativa privativa de leis que disponham sobre servidores públicos da União e Territórios, seu regime jurídico, provimento de cargos, estabilidade e aposentadoria de civis, reforma e transferência de militares para a inatividade, bem como sobre criação, estruturação e atribuições dos Ministérios e órgãos da administração pública, ex vi do art. 61, II, alíneas c e e, da Carta Magna.</w:t>
        <w:br/>
        <w:t>[ADI 856, rel. min. Luiz Fux, j. 4-9-2023, P, DJE d</w:t>
      </w:r>
    </w:p>
    <w:p>
      <w:pPr>
        <w:ind w:left="288"/>
      </w:pPr>
      <w:r>
        <w:rPr>
          <w:b/>
          <w:color w:val="003CA0"/>
          <w:sz w:val="16"/>
        </w:rPr>
        <w:t>[ADI 3.980, rel. min. Rosa Weber, j. 29-11-2019, P, DJE de 18-12-2019.]</w:t>
      </w:r>
    </w:p>
    <w:p>
      <w:pPr>
        <w:ind w:left="288"/>
      </w:pPr>
      <w:r>
        <w:rPr>
          <w:color w:val="8C8C8C"/>
          <w:sz w:val="12"/>
        </w:rPr>
        <w:t>cf-art-61-par-1-inc-II-ali-c</w:t>
      </w:r>
      <w:r>
        <w:rPr>
          <w:color w:val="003CA0"/>
          <w:sz w:val="12"/>
        </w:rPr>
        <w:t xml:space="preserve"> | ADI 4.827</w:t>
      </w:r>
      <w:r>
        <w:rPr>
          <w:color w:val="003CA0"/>
          <w:sz w:val="12"/>
        </w:rPr>
        <w:t xml:space="preserve"> | rel. Alexandre de Moraes</w:t>
      </w:r>
    </w:p>
    <w:p>
      <w:pPr>
        <w:ind w:left="288"/>
      </w:pPr>
      <w:r>
        <w:rPr>
          <w:color w:val="1E1E1E"/>
          <w:sz w:val="18"/>
        </w:rPr>
        <w:t>Lei 7.372/2012 do Estado de Alagoas, que dispõe sobre a fixação do efetivo da polícia militar. Emenda parlamentar a projeto de lei de iniciativa exclusiva do chefe do poder executivo. Criação do quadro de oficiais veterinários. Distribuição de quadro de assessorias militares dos Poderes Judiciário e Legislativo. (...) O desmembramento do Quadro de Oficiais de Saúde (QOS) para criação de um Quadro novo e isolado, composto apenas por Oficiais Veterinários (QOV), além de desbordar do conteúdo do projeto original, viola a iniciativa reservada ao Chefe do Poder Executivo, que é aquele que tem inici</w:t>
      </w:r>
    </w:p>
    <w:p>
      <w:pPr>
        <w:ind w:left="288"/>
      </w:pPr>
      <w:r>
        <w:rPr>
          <w:b/>
          <w:color w:val="003CA0"/>
          <w:sz w:val="16"/>
        </w:rPr>
        <w:t>[ADI 4.827, rel. min. Alexandre de Moraes, j. 27-9-2019, P, DJE de 15-10-2019.]</w:t>
      </w:r>
    </w:p>
    <w:p>
      <w:pPr>
        <w:ind w:left="288"/>
      </w:pPr>
      <w:r>
        <w:rPr>
          <w:color w:val="8C8C8C"/>
          <w:sz w:val="12"/>
        </w:rPr>
        <w:t>cf-art-61-par-1-inc-II-ali-c</w:t>
      </w:r>
      <w:r>
        <w:rPr>
          <w:color w:val="003CA0"/>
          <w:sz w:val="12"/>
        </w:rPr>
        <w:t xml:space="preserve"> | ADI 5.786</w:t>
      </w:r>
      <w:r>
        <w:rPr>
          <w:color w:val="003CA0"/>
          <w:sz w:val="12"/>
        </w:rPr>
        <w:t xml:space="preserve"> | rel. Alexandre de Moraes</w:t>
      </w:r>
    </w:p>
    <w:p>
      <w:pPr>
        <w:ind w:left="288"/>
      </w:pPr>
      <w:r>
        <w:rPr>
          <w:color w:val="1E1E1E"/>
          <w:sz w:val="18"/>
        </w:rPr>
        <w:t>Ao estabelecer a obrigatoriedade de as escolas públicas de educação básica de Santa Catarina manterem a presença de um segundo professor de turma nas salas de aula que tiverem alunos com diagnóstico de deficiências e transtornos especificados no texto normativo, a lei estadual, de iniciativa parlamentar, viola regra constitucional que determina a iniciativa privativa do Poder Executivo para dispor sobre servidores públicos, seu regime jurídico, provimento de cargos, estabilidade e aposentadoria (CF, art. 61, § 1º, II, c).</w:t>
      </w:r>
    </w:p>
    <w:p>
      <w:pPr>
        <w:ind w:left="288"/>
      </w:pPr>
      <w:r>
        <w:rPr>
          <w:b/>
          <w:color w:val="003CA0"/>
          <w:sz w:val="16"/>
        </w:rPr>
        <w:t>[ADI 5.786, rel. min. Alexandre de Moraes, j. 13-9-2019, P, DJE de 26-9-2019.]</w:t>
      </w:r>
    </w:p>
    <w:p>
      <w:pPr>
        <w:ind w:left="288"/>
      </w:pPr>
      <w:r>
        <w:rPr>
          <w:color w:val="8C8C8C"/>
          <w:sz w:val="12"/>
        </w:rPr>
        <w:t>cf-art-61-par-1-inc-II-ali-c</w:t>
      </w:r>
      <w:r>
        <w:rPr>
          <w:color w:val="003CA0"/>
          <w:sz w:val="12"/>
        </w:rPr>
        <w:t xml:space="preserve"> | ADI 5.520</w:t>
      </w:r>
      <w:r>
        <w:rPr>
          <w:color w:val="003CA0"/>
          <w:sz w:val="12"/>
        </w:rPr>
        <w:t xml:space="preserve"> | rel. Alexandre de Moraes</w:t>
      </w:r>
    </w:p>
    <w:p>
      <w:pPr>
        <w:ind w:left="288"/>
      </w:pPr>
      <w:r>
        <w:rPr>
          <w:color w:val="1E1E1E"/>
          <w:sz w:val="18"/>
        </w:rPr>
        <w:t>A Emenda Constitucional 61/2012 de Santa Catarina conferiu status de carreira jurídica, com independência funcional, ao cargo de delegado de polícia. Com isso, alterou o regime do cargo e afetou o exercício de competência típica da chefia do Poder Executivo, o que viola a cláusula de reserva de iniciativa do chefe do Poder Executivo (art. 61, § 1º, II, c, extensível aos Estados-Membros por força do art. 25 da CF).</w:t>
      </w:r>
    </w:p>
    <w:p>
      <w:pPr>
        <w:ind w:left="288"/>
      </w:pPr>
      <w:r>
        <w:rPr>
          <w:b/>
          <w:color w:val="003CA0"/>
          <w:sz w:val="16"/>
        </w:rPr>
        <w:t>[ADI 5.520, rel. min. Alexandre de Moraes, j. 6-9-2019, P, DJE de 20-9-2019.]</w:t>
      </w:r>
    </w:p>
    <w:p>
      <w:pPr>
        <w:ind w:left="288"/>
      </w:pPr>
      <w:r>
        <w:rPr>
          <w:color w:val="8C8C8C"/>
          <w:sz w:val="12"/>
        </w:rPr>
        <w:t>cf-art-61-par-1-inc-II-ali-c</w:t>
      </w:r>
      <w:r>
        <w:rPr>
          <w:color w:val="003CA0"/>
          <w:sz w:val="12"/>
        </w:rPr>
        <w:t xml:space="preserve"> | ADI 3.792</w:t>
      </w:r>
      <w:r>
        <w:rPr>
          <w:color w:val="003CA0"/>
          <w:sz w:val="12"/>
        </w:rPr>
        <w:t xml:space="preserve"> | rel. Dias Toffoli</w:t>
      </w:r>
    </w:p>
    <w:p>
      <w:pPr>
        <w:ind w:left="288"/>
      </w:pPr>
      <w:r>
        <w:rPr>
          <w:color w:val="1E1E1E"/>
          <w:sz w:val="18"/>
        </w:rPr>
        <w:t>Ação direta de inconstitucionalidade. Lei 8.865/2006 do Estado do Rio Grande do Norte. Obrigação de a Universidade do Estado do Rio Grande do Norte prestar serviço de assistência judiciária, durante os finais de semana, aos necessitados presos em flagrante delito. (...) Os arts. 2º e 3º da Lei 8.865/2006, resultante de projeto de lei de iniciativa parlamentar, contêm, ainda, vício formal de iniciativa (art. 61, § 1º, II, c, CF/1988), pois criam atribuições para a Secretaria de Estado da Educação, Cultura e dos Desportos (art. 2º), para a Secretaria de Estado de Defesa Social e Segurança Públic</w:t>
      </w:r>
    </w:p>
    <w:p>
      <w:pPr>
        <w:ind w:left="288"/>
      </w:pPr>
      <w:r>
        <w:rPr>
          <w:b/>
          <w:color w:val="003CA0"/>
          <w:sz w:val="16"/>
        </w:rPr>
        <w:t>[ADI 3.792, rel. min. Dias Toffoli, j. 22-9-2016, P, DJE de 1º-8-2017.]</w:t>
      </w:r>
    </w:p>
    <w:p>
      <w:pPr>
        <w:ind w:left="288"/>
      </w:pPr>
      <w:r>
        <w:rPr>
          <w:color w:val="8C8C8C"/>
          <w:sz w:val="12"/>
        </w:rPr>
        <w:t>cf-art-61-par-1-inc-II-ali-c</w:t>
      </w:r>
      <w:r>
        <w:rPr>
          <w:color w:val="003CA0"/>
          <w:sz w:val="12"/>
        </w:rPr>
        <w:t xml:space="preserve"> | ADI 2.300</w:t>
      </w:r>
      <w:r>
        <w:rPr>
          <w:color w:val="003CA0"/>
          <w:sz w:val="12"/>
        </w:rPr>
        <w:t xml:space="preserve"> | rel. Teori Zavascki</w:t>
      </w:r>
    </w:p>
    <w:p>
      <w:pPr>
        <w:ind w:left="288"/>
      </w:pPr>
      <w:r>
        <w:rPr>
          <w:color w:val="1E1E1E"/>
          <w:sz w:val="18"/>
        </w:rPr>
        <w:t>Ao provocar alteração no regime jurídico dos servidores civis do Estado do Rio Grande do Sul e impor limitações ao exercício da autotutela nas relações estatutárias estabelecidas entre a administração e seus servidores, a LC estadual 11.370/1999, de iniciativa parlamentar, padece de vício formal e material de incompatibilidade com a CF.</w:t>
      </w:r>
    </w:p>
    <w:p>
      <w:pPr>
        <w:ind w:left="288"/>
      </w:pPr>
      <w:r>
        <w:rPr>
          <w:b/>
          <w:color w:val="003CA0"/>
          <w:sz w:val="16"/>
        </w:rPr>
        <w:t>[ADI 2.300, rel. min. Teori Zavascki, j. 21-8-2014, P, DJE de 17-9-2014.]</w:t>
      </w:r>
    </w:p>
    <w:p>
      <w:pPr>
        <w:ind w:left="288"/>
      </w:pPr>
      <w:r>
        <w:rPr>
          <w:color w:val="8C8C8C"/>
          <w:sz w:val="12"/>
        </w:rPr>
        <w:t>cf-art-61-par-1-inc-II-ali-c</w:t>
      </w:r>
      <w:r>
        <w:rPr>
          <w:color w:val="003CA0"/>
          <w:sz w:val="12"/>
        </w:rPr>
        <w:t xml:space="preserve"> | ADI 2.873</w:t>
      </w:r>
      <w:r>
        <w:rPr>
          <w:color w:val="003CA0"/>
          <w:sz w:val="12"/>
        </w:rPr>
        <w:t xml:space="preserve"> | rel. Ellen Gracie</w:t>
      </w:r>
    </w:p>
    <w:p>
      <w:pPr>
        <w:ind w:left="288"/>
      </w:pPr>
      <w:r>
        <w:rPr>
          <w:color w:val="1E1E1E"/>
          <w:sz w:val="18"/>
        </w:rPr>
        <w:t>(...) a norma prevista em Constituição estadual vedando a estipulação de limite de idade para o ingresso no serviço público traz em si requisito referente ao provimento de cargos e ao regime jurídico de servidor público, matéria cuja regulamentação reclama a edição de legislação ordinária, de iniciativa do chefe do Poder Executivo.</w:t>
      </w:r>
    </w:p>
    <w:p>
      <w:pPr>
        <w:ind w:left="288"/>
      </w:pPr>
      <w:r>
        <w:rPr>
          <w:b/>
          <w:color w:val="003CA0"/>
          <w:sz w:val="16"/>
        </w:rPr>
        <w:t>[ADI 2.873, rel. min. Ellen Gracie, j. 20-9-2007, P, DJ de 9-11-2007.]</w:t>
      </w:r>
    </w:p>
    <w:p>
      <w:pPr>
        <w:ind w:left="288"/>
      </w:pPr>
      <w:r>
        <w:rPr>
          <w:color w:val="8C8C8C"/>
          <w:sz w:val="12"/>
        </w:rPr>
        <w:t>cf-art-61-par-1-inc-II-ali-c</w:t>
      </w:r>
      <w:r>
        <w:rPr>
          <w:color w:val="003CA0"/>
          <w:sz w:val="12"/>
        </w:rPr>
        <w:t xml:space="preserve"> | ADI 2.856</w:t>
      </w:r>
      <w:r>
        <w:rPr>
          <w:color w:val="003CA0"/>
          <w:sz w:val="12"/>
        </w:rPr>
        <w:t xml:space="preserve"> | rel. Gilmar Mendes</w:t>
      </w:r>
    </w:p>
    <w:p>
      <w:pPr>
        <w:ind w:left="288"/>
      </w:pPr>
      <w:r>
        <w:rPr>
          <w:color w:val="1E1E1E"/>
          <w:sz w:val="18"/>
        </w:rPr>
        <w:t>= ADI 2.856, rel. min. Gilmar Mendes, j. 10-2-2011, P, DJE de 1º-3-2011 Ofende o art. 61, § 1º, II, c, e o art. 2º da CF de 1988 emenda parlamentar que estabeleça perdão a servidores por falta ao trabalho.</w:t>
      </w:r>
    </w:p>
    <w:p>
      <w:pPr>
        <w:ind w:left="288"/>
      </w:pPr>
      <w:r>
        <w:rPr>
          <w:b/>
          <w:color w:val="003CA0"/>
          <w:sz w:val="16"/>
        </w:rPr>
        <w:t>[ADI 13, rel. min. Joaquim Barbosa, j. 17-9-2007, P, DJ de 28-9-2007.]</w:t>
      </w:r>
    </w:p>
    <w:p>
      <w:pPr>
        <w:ind w:left="288"/>
      </w:pPr>
      <w:r>
        <w:rPr>
          <w:color w:val="8C8C8C"/>
          <w:sz w:val="12"/>
        </w:rPr>
        <w:t>cf-art-61-par-1-inc-II-ali-c</w:t>
      </w:r>
      <w:r>
        <w:rPr>
          <w:color w:val="003CA0"/>
          <w:sz w:val="12"/>
        </w:rPr>
        <w:t xml:space="preserve"> | ADI 1.448</w:t>
      </w:r>
      <w:r>
        <w:rPr>
          <w:color w:val="003CA0"/>
          <w:sz w:val="12"/>
        </w:rPr>
        <w:t xml:space="preserve"> | rel. Maurício Corrêa</w:t>
      </w:r>
    </w:p>
    <w:p>
      <w:pPr>
        <w:ind w:left="288"/>
      </w:pPr>
      <w:r>
        <w:rPr>
          <w:color w:val="1E1E1E"/>
          <w:sz w:val="18"/>
        </w:rPr>
        <w:t>Disposição constitucional estadual que impõe o pagamento de 13º salário aos servidores estaduais em data e forma definidas. Abuso do poder constituinte estadual, por interferência indevida na programação financeira e na execução de despesa pública, a cargo do Poder Executivo, nos termos da CF.</w:t>
      </w:r>
    </w:p>
    <w:p>
      <w:pPr>
        <w:ind w:left="288"/>
      </w:pPr>
      <w:r>
        <w:rPr>
          <w:b/>
          <w:color w:val="003CA0"/>
          <w:sz w:val="16"/>
        </w:rPr>
        <w:t>[ADI 1.448, red. do ac. min. Joaquim Barbosa, rel. min. Maurício Corrêa, j. 16-8-2007, P, DJ de 11-10-2007.]</w:t>
      </w:r>
    </w:p>
    <w:p>
      <w:pPr>
        <w:ind w:left="288"/>
      </w:pPr>
      <w:r>
        <w:rPr>
          <w:color w:val="8C8C8C"/>
          <w:sz w:val="12"/>
        </w:rPr>
        <w:t>cf-art-61-par-1-inc-II-ali-c</w:t>
      </w:r>
      <w:r>
        <w:rPr>
          <w:color w:val="003CA0"/>
          <w:sz w:val="12"/>
        </w:rPr>
        <w:t xml:space="preserve"> | ADI 1.895</w:t>
      </w:r>
      <w:r>
        <w:rPr>
          <w:color w:val="003CA0"/>
          <w:sz w:val="12"/>
        </w:rPr>
        <w:t xml:space="preserve"> | rel. Sepúlveda Pertence</w:t>
      </w:r>
    </w:p>
    <w:p>
      <w:pPr>
        <w:ind w:left="288"/>
      </w:pPr>
      <w:r>
        <w:rPr>
          <w:color w:val="1E1E1E"/>
          <w:sz w:val="18"/>
        </w:rPr>
        <w:t>Processo legislativo: normas de lei de iniciativa parlamentar que cuidam de jornada de trabalho, distribuição de carga horária, lotação dos profissionais da educação e uso dos espaços físicos e recursos humanos e materiais do Estado e de seus Municípios na organização do sistema de ensino: reserva de iniciativa ao Poder Executivo dos projetos de leis que disponham sobre o regime jurídico dos servidores públicos, provimento de cargos, estabilidade e aposentadoria (art. 61, II, § 1º, c).</w:t>
      </w:r>
    </w:p>
    <w:p>
      <w:pPr>
        <w:ind w:left="288"/>
      </w:pPr>
      <w:r>
        <w:rPr>
          <w:b/>
          <w:color w:val="003CA0"/>
          <w:sz w:val="16"/>
        </w:rPr>
        <w:t>[ADI 1.895, rel. min. Sepúlveda Pertence, j. 2-8-2007, P, DJ de 6-9-2007.]</w:t>
      </w:r>
    </w:p>
    <w:p>
      <w:pPr>
        <w:ind w:left="288"/>
      </w:pPr>
      <w:r>
        <w:rPr>
          <w:color w:val="8C8C8C"/>
          <w:sz w:val="12"/>
        </w:rPr>
        <w:t>cf-art-61-par-1-inc-II-ali-c</w:t>
      </w:r>
      <w:r>
        <w:rPr>
          <w:color w:val="003CA0"/>
          <w:sz w:val="12"/>
        </w:rPr>
        <w:t xml:space="preserve"> | ADI 3.403</w:t>
      </w:r>
      <w:r>
        <w:rPr>
          <w:color w:val="003CA0"/>
          <w:sz w:val="12"/>
        </w:rPr>
        <w:t xml:space="preserve"> | rel. Joaquim Barbosa</w:t>
      </w:r>
    </w:p>
    <w:p>
      <w:pPr>
        <w:ind w:left="288"/>
      </w:pPr>
      <w:r>
        <w:rPr>
          <w:color w:val="1E1E1E"/>
          <w:sz w:val="18"/>
        </w:rPr>
        <w:t>Lei 10.964/2001 do Estado de São Paulo. Realização de exames de sangue em funcionários de empresas públicas do Estado de São Paulo. (...) Norma que disciplina acompanhamento preventivo de saúde aplicável exclusivamente a parte do funcionalismo público estadual. Iniciativa parlamentar. Ofensa ao disposto no art. 61, § 1º, c, da CF de 1988.</w:t>
      </w:r>
    </w:p>
    <w:p>
      <w:pPr>
        <w:ind w:left="288"/>
      </w:pPr>
      <w:r>
        <w:rPr>
          <w:b/>
          <w:color w:val="003CA0"/>
          <w:sz w:val="16"/>
        </w:rPr>
        <w:t>[ADI 3.403, rel. min. Joaquim Barbosa, j. 18-6-2007, P, DJ de 24-8-2007.]</w:t>
      </w:r>
    </w:p>
    <w:p>
      <w:pPr>
        <w:ind w:left="288"/>
      </w:pPr>
      <w:r>
        <w:rPr>
          <w:color w:val="8C8C8C"/>
          <w:sz w:val="12"/>
        </w:rPr>
        <w:t>cf-art-61-par-1-inc-II-ali-c</w:t>
      </w:r>
      <w:r>
        <w:rPr>
          <w:color w:val="003CA0"/>
          <w:sz w:val="12"/>
        </w:rPr>
        <w:t xml:space="preserve"> | ADI 2.420</w:t>
      </w:r>
      <w:r>
        <w:rPr>
          <w:color w:val="003CA0"/>
          <w:sz w:val="12"/>
        </w:rPr>
        <w:t xml:space="preserve"> | rel. Ellen Gracie</w:t>
      </w:r>
    </w:p>
    <w:p>
      <w:pPr>
        <w:ind w:left="288"/>
      </w:pPr>
      <w:r>
        <w:rPr>
          <w:color w:val="1E1E1E"/>
          <w:sz w:val="18"/>
        </w:rPr>
        <w:t>A posse, matéria de que tratou o diploma impugnado, complementa e completa, juntamente com a entrada no exercício, o provimento de cargo público iniciado com a nomeação do candidato aprovado em concurso. É, portanto, matéria claramente prevista no art. 61, § 1º, II, c, da Carta Magna, cuja reserva legislativa foi inegavelmente desrespeitada.</w:t>
      </w:r>
    </w:p>
    <w:p>
      <w:pPr>
        <w:ind w:left="288"/>
      </w:pPr>
      <w:r>
        <w:rPr>
          <w:b/>
          <w:color w:val="003CA0"/>
          <w:sz w:val="16"/>
        </w:rPr>
        <w:t>[ADI 2.420, rel. min. Ellen Gracie, j. 24-2-2005, P, DJ de 25-4-2005.]</w:t>
      </w:r>
    </w:p>
    <w:p>
      <w:pPr>
        <w:ind w:left="288"/>
      </w:pPr>
      <w:r>
        <w:rPr>
          <w:color w:val="8C8C8C"/>
          <w:sz w:val="12"/>
        </w:rPr>
        <w:t>cf-art-61-par-1-inc-II-ali-c</w:t>
      </w:r>
      <w:r>
        <w:rPr>
          <w:color w:val="003CA0"/>
          <w:sz w:val="12"/>
        </w:rPr>
        <w:t xml:space="preserve"> | RE 583.231</w:t>
      </w:r>
      <w:r>
        <w:rPr>
          <w:color w:val="003CA0"/>
          <w:sz w:val="12"/>
        </w:rPr>
        <w:t xml:space="preserve"> | rel. Cármen Lúcia</w:t>
      </w:r>
    </w:p>
    <w:p>
      <w:pPr>
        <w:ind w:left="288"/>
      </w:pPr>
      <w:r>
        <w:rPr>
          <w:color w:val="1E1E1E"/>
          <w:sz w:val="18"/>
        </w:rPr>
        <w:t>= RE 583.231 AgR, rel. min. Cármen Lúcia, j. 8-2-2011, 1ª T, DJE de 2-3-2011 Significação constitucional do regime jurídico dos servidores públicos (civis e militares). A locução constitucional "regime jurídico dos servidores públicos" corresponde ao conjunto de normas que disciplinam os diversos aspectos das relações, estatutárias ou contratuais, mantidas pelo Estado com os seus agentes. Precedentes.</w:t>
      </w:r>
    </w:p>
    <w:p>
      <w:pPr>
        <w:ind w:left="288"/>
      </w:pPr>
      <w:r>
        <w:rPr>
          <w:b/>
          <w:color w:val="003CA0"/>
          <w:sz w:val="16"/>
        </w:rPr>
        <w:t>[ADI 2.867, rel. min. Celso de Mello, j. 3-12-2003, P, DJ de 9-2-2007.]</w:t>
      </w:r>
    </w:p>
    <w:p>
      <w:pPr>
        <w:ind w:left="288"/>
      </w:pPr>
      <w:r>
        <w:rPr>
          <w:color w:val="8C8C8C"/>
          <w:sz w:val="12"/>
        </w:rPr>
        <w:t>cf-art-61-par-1-inc-II-ali-c</w:t>
      </w:r>
      <w:r>
        <w:rPr>
          <w:color w:val="003CA0"/>
          <w:sz w:val="12"/>
        </w:rPr>
        <w:t xml:space="preserve"> | ADI 700</w:t>
      </w:r>
      <w:r>
        <w:rPr>
          <w:color w:val="003CA0"/>
          <w:sz w:val="12"/>
        </w:rPr>
        <w:t xml:space="preserve"> | rel. Maurício Corrêa</w:t>
      </w:r>
    </w:p>
    <w:p>
      <w:pPr>
        <w:ind w:left="288"/>
      </w:pPr>
      <w:r>
        <w:rPr>
          <w:color w:val="1E1E1E"/>
          <w:sz w:val="18"/>
        </w:rPr>
        <w:t>É firme na jurisprudência do Tribunal que a sanção do projeto de lei não convalida o defeito de iniciativa.</w:t>
      </w:r>
    </w:p>
    <w:p>
      <w:pPr>
        <w:ind w:left="288"/>
      </w:pPr>
      <w:r>
        <w:rPr>
          <w:b/>
          <w:color w:val="003CA0"/>
          <w:sz w:val="16"/>
        </w:rPr>
        <w:t>[ADI 700, rel. min. Maurício Corrêa, j. 23-5-2001, P, DJ de 24-8-2001.]</w:t>
      </w:r>
    </w:p>
    <w:p>
      <w:pPr>
        <w:ind w:left="288"/>
      </w:pPr>
      <w:r>
        <w:rPr>
          <w:color w:val="8C8C8C"/>
          <w:sz w:val="12"/>
        </w:rPr>
        <w:t>cf-art-61-par-1-inc-II-ali-c</w:t>
      </w:r>
      <w:r>
        <w:rPr>
          <w:color w:val="003CA0"/>
          <w:sz w:val="12"/>
        </w:rPr>
        <w:t xml:space="preserve"> | ADI 2.904</w:t>
      </w:r>
      <w:r>
        <w:rPr>
          <w:color w:val="003CA0"/>
          <w:sz w:val="12"/>
        </w:rPr>
        <w:t xml:space="preserve"> | rel. Menezes Direito</w:t>
      </w:r>
    </w:p>
    <w:p>
      <w:pPr>
        <w:ind w:left="288"/>
      </w:pPr>
      <w:r>
        <w:rPr>
          <w:color w:val="1E1E1E"/>
          <w:sz w:val="18"/>
        </w:rPr>
        <w:t>=  ADI 2.904, rel. min. Menezes Direito, j. 15-4-2009, P, DJE de 25-9-2009 A criação do direito à aposentadoria dos titulares das serventias judiciais e extrajudiciais mediante norma transitória de constituição estadual vulnera a regra segundo a qual os Estados organizam-se e regem-se pelas respectivas constituições e leis que adotarem, observados os princípios que decorrem da Lei Básica Federal.</w:t>
      </w:r>
    </w:p>
    <w:p>
      <w:pPr>
        <w:ind w:left="288"/>
      </w:pPr>
      <w:r>
        <w:rPr>
          <w:b/>
          <w:color w:val="003CA0"/>
          <w:sz w:val="16"/>
        </w:rPr>
        <w:t>[ADI 139, red. do ac. min. Marco Aurélio, j. 31-10-1991, P, DJ de 5-6-1992.]</w:t>
      </w:r>
    </w:p>
    <w:p>
      <w:pPr>
        <w:ind w:left="144"/>
      </w:pPr>
      <w:r>
        <w:rPr>
          <w:b/>
          <w:color w:val="B45A00"/>
          <w:sz w:val="16"/>
        </w:rPr>
        <w:t>REPERCUSSAO GERAL</w:t>
      </w:r>
    </w:p>
    <w:p>
      <w:pPr>
        <w:ind w:left="288"/>
      </w:pPr>
      <w:r>
        <w:rPr>
          <w:color w:val="8C8C8C"/>
          <w:sz w:val="12"/>
        </w:rPr>
        <w:t>cf-art-61-par-1-inc-II-ali-c</w:t>
      </w:r>
      <w:r>
        <w:rPr>
          <w:color w:val="003CA0"/>
          <w:sz w:val="12"/>
        </w:rPr>
        <w:t xml:space="preserve"> | RE 590.829</w:t>
      </w:r>
      <w:r>
        <w:rPr>
          <w:color w:val="003CA0"/>
          <w:sz w:val="12"/>
        </w:rPr>
        <w:t xml:space="preserve"> | rel. Marco Aurélio</w:t>
      </w:r>
    </w:p>
    <w:p>
      <w:pPr>
        <w:ind w:left="288"/>
      </w:pPr>
      <w:r>
        <w:rPr>
          <w:color w:val="1E1E1E"/>
          <w:sz w:val="18"/>
        </w:rPr>
        <w:t>Descabe, em lei orgânica de Município, a normatização de direitos dos servidores, porquanto a prática acaba por afrontar a iniciativa do chefe do Poder Executivo.</w:t>
        <w:br/>
        <w:t>[RE 590.829, rel. min. Marco Aurélio, j. 5-3-2015, P, DJE de 30-3-2015, Tema 223, com mérito julgado.]</w:t>
      </w:r>
    </w:p>
    <w:p>
      <w:pPr>
        <w:ind w:left="144"/>
      </w:pPr>
      <w:r>
        <w:rPr>
          <w:b/>
          <w:color w:val="B45A00"/>
          <w:sz w:val="16"/>
        </w:rPr>
        <w:t>JULGADOS CORRELATOS</w:t>
      </w:r>
    </w:p>
    <w:p>
      <w:pPr>
        <w:ind w:left="288"/>
      </w:pPr>
      <w:r>
        <w:rPr>
          <w:color w:val="8C8C8C"/>
          <w:sz w:val="12"/>
        </w:rPr>
        <w:t>cf-art-61-par-1-inc-II-ali-c</w:t>
      </w:r>
      <w:r>
        <w:rPr>
          <w:color w:val="003CA0"/>
          <w:sz w:val="12"/>
        </w:rPr>
        <w:t xml:space="preserve"> | MS 35.779</w:t>
      </w:r>
      <w:r>
        <w:rPr>
          <w:color w:val="003CA0"/>
          <w:sz w:val="12"/>
        </w:rPr>
        <w:t xml:space="preserve"> | rel. Roberto Barroso</w:t>
      </w:r>
    </w:p>
    <w:p>
      <w:pPr>
        <w:ind w:left="288"/>
      </w:pPr>
      <w:r>
        <w:rPr>
          <w:color w:val="1E1E1E"/>
          <w:sz w:val="18"/>
        </w:rPr>
        <w:t>(...) a restrição à manifestação político-partidária em redes sociais imposta pelo Provimento nº 71/2018 contraria o regime legal e constitucional que assegura aos servidores civis o direito de filiação partidária e o exercício pleno de atividade política e afronta a autonomia dos Estados para disciplinar o estatuto de seus servidores.</w:t>
      </w:r>
    </w:p>
    <w:p>
      <w:pPr>
        <w:ind w:left="288"/>
      </w:pPr>
      <w:r>
        <w:rPr>
          <w:b/>
          <w:color w:val="003CA0"/>
          <w:sz w:val="16"/>
        </w:rPr>
        <w:t>[MS 35.779 MC, rel. min. Roberto Barroso, j. 29-11-2018, dec. monocrática, DJE de 10-12-2018.]</w:t>
      </w:r>
    </w:p>
    <w:p>
      <w:pPr>
        <w:ind w:left="288"/>
      </w:pPr>
      <w:r>
        <w:rPr>
          <w:color w:val="8C8C8C"/>
          <w:sz w:val="12"/>
        </w:rPr>
        <w:t>cf-art-61-par-1-inc-II-ali-c</w:t>
      </w:r>
      <w:r>
        <w:rPr>
          <w:color w:val="003CA0"/>
          <w:sz w:val="12"/>
        </w:rPr>
        <w:t xml:space="preserve"> | ADI 5.213</w:t>
      </w:r>
      <w:r>
        <w:rPr>
          <w:color w:val="003CA0"/>
          <w:sz w:val="12"/>
        </w:rPr>
        <w:t xml:space="preserve"> | rel. Alexandre de Moraes</w:t>
      </w:r>
    </w:p>
    <w:p>
      <w:pPr>
        <w:ind w:left="288"/>
      </w:pPr>
      <w:r>
        <w:rPr>
          <w:color w:val="1E1E1E"/>
          <w:sz w:val="18"/>
        </w:rPr>
        <w:t>Direito de greve de servidores públicos estaduais. Regulamentação por lei estadual. (...) A norma impugnada, ao disciplinar o exercício do direito de greve dos servidores públicos do Estado de Rondônia, apresenta peculiar disciplina normativa concernente à relação jurídica havida entre os servidores públicos estaduais e a administração pública. Considerada a iniciativa parlamentar da norma impugnada, é de se reconhecer sua inconstitucionalidade formal (art. 61, §1º, II, c, CF)</w:t>
      </w:r>
    </w:p>
    <w:p>
      <w:pPr>
        <w:ind w:left="288"/>
      </w:pPr>
      <w:r>
        <w:rPr>
          <w:b/>
          <w:color w:val="003CA0"/>
          <w:sz w:val="16"/>
        </w:rPr>
        <w:t>[ADI 5.213, rel. min. Alexandre de Moraes, j. 13-6-2018, P, DJE de 21-6-2018.]</w:t>
      </w:r>
    </w:p>
    <w:p>
      <w:pPr>
        <w:ind w:left="288"/>
      </w:pPr>
      <w:r>
        <w:rPr>
          <w:color w:val="8C8C8C"/>
          <w:sz w:val="12"/>
        </w:rPr>
        <w:t>cf-art-61-par-1-inc-II-ali-c</w:t>
      </w:r>
      <w:r>
        <w:rPr>
          <w:color w:val="003CA0"/>
          <w:sz w:val="12"/>
        </w:rPr>
        <w:t xml:space="preserve"> | ADI 7.280</w:t>
      </w:r>
      <w:r>
        <w:rPr>
          <w:color w:val="003CA0"/>
          <w:sz w:val="12"/>
        </w:rPr>
        <w:t xml:space="preserve"> | rel. André Mendonça</w:t>
      </w:r>
    </w:p>
    <w:p>
      <w:pPr>
        <w:ind w:left="288"/>
      </w:pPr>
      <w:r>
        <w:rPr>
          <w:color w:val="1E1E1E"/>
          <w:sz w:val="18"/>
        </w:rPr>
        <w:t>d) organização do Ministério Público e da Defensoria Pública da União, bem como normas gerais para a organização do Ministério Público e da Defensoria Pública dos Estados, do Distrito Federal e dos Territórios; A Constituição Federal atribui à União a competência para dispor sobre normas gerais relativas à organização do Ministério Público, conforme os arts. 61, § 1º, II, "d", e 128, § 5º, sendo vedado aos Estados criar critérios incompatíveis com a Lei Orgânica Nacional do Ministério Público. A Lei nº 8.625/1993 (LONMP) disciplina os critérios de promoção e remoção dos membros do Ministério P</w:t>
      </w:r>
    </w:p>
    <w:p>
      <w:pPr>
        <w:ind w:left="288"/>
      </w:pPr>
      <w:r>
        <w:rPr>
          <w:b/>
          <w:color w:val="003CA0"/>
          <w:sz w:val="16"/>
        </w:rPr>
        <w:t>[ADI 7.280, rel. min. André Mendonça, j. 14.04.2025, P, DJE de 28.05.2025.]</w:t>
      </w:r>
    </w:p>
    <w:p>
      <w:pPr>
        <w:ind w:left="144"/>
      </w:pPr>
      <w:r>
        <w:rPr>
          <w:b/>
          <w:color w:val="B45A00"/>
          <w:sz w:val="16"/>
        </w:rPr>
        <w:t>CONTROLE CONCENTRADO</w:t>
      </w:r>
    </w:p>
    <w:p>
      <w:pPr>
        <w:ind w:left="288"/>
      </w:pPr>
      <w:r>
        <w:rPr>
          <w:color w:val="8C8C8C"/>
          <w:sz w:val="12"/>
        </w:rPr>
        <w:t>cf-art-61-par-1-inc-II-ali-c</w:t>
      </w:r>
      <w:r>
        <w:rPr>
          <w:color w:val="003CA0"/>
          <w:sz w:val="12"/>
        </w:rPr>
        <w:t xml:space="preserve"> | ADI 400</w:t>
      </w:r>
      <w:r>
        <w:rPr>
          <w:color w:val="003CA0"/>
          <w:sz w:val="12"/>
        </w:rPr>
        <w:t xml:space="preserve"> | rel. Nunes Marques</w:t>
      </w:r>
    </w:p>
    <w:p>
      <w:pPr>
        <w:ind w:left="288"/>
      </w:pPr>
      <w:r>
        <w:rPr>
          <w:color w:val="1E1E1E"/>
          <w:sz w:val="18"/>
        </w:rPr>
        <w:t xml:space="preserve">Na esfera estadual, coexistem dois regimes de organização do Ministério Público: (i) a Lei Orgânica Nacional (Lei nº 8.625/1993), editada com base no art. 61, § 1º, II, d, da CF; e (ii) a Lei Orgânica do Estado, que delimita, em lei complementar de iniciativa do Procurador-Geral de Justiça, organização, atribuições e estatuto de cada Ministério Público (art. 128, § 5º, CF). É inconstitucional a atribuição de iniciativa privativa ao Governador do Estado para leis que disponham sobre a organização do Ministério Público estadual. (...) Tese: ‘a atribuição de iniciativa privativa ao Governador do </w:t>
      </w:r>
    </w:p>
    <w:p>
      <w:pPr>
        <w:ind w:left="288"/>
      </w:pPr>
      <w:r>
        <w:rPr>
          <w:b/>
          <w:color w:val="003CA0"/>
          <w:sz w:val="16"/>
        </w:rPr>
        <w:t>[ADI 400, rel. min. Nunes Marques, red. do ac. min. Roberto Barroso, j. 21-6-2022, P, DJE de 19-8-2022.]</w:t>
      </w:r>
    </w:p>
    <w:p>
      <w:pPr>
        <w:ind w:left="288"/>
      </w:pPr>
      <w:r>
        <w:rPr>
          <w:color w:val="8C8C8C"/>
          <w:sz w:val="12"/>
        </w:rPr>
        <w:t>cf-art-61-par-1-inc-II-ali-c</w:t>
      </w:r>
      <w:r>
        <w:rPr>
          <w:color w:val="003CA0"/>
          <w:sz w:val="12"/>
        </w:rPr>
        <w:t xml:space="preserve"> | ADI 5.351</w:t>
      </w:r>
      <w:r>
        <w:rPr>
          <w:color w:val="003CA0"/>
          <w:sz w:val="12"/>
        </w:rPr>
        <w:t xml:space="preserve"> | rel. Cármen Lúcia</w:t>
      </w:r>
    </w:p>
    <w:p>
      <w:pPr>
        <w:ind w:left="288"/>
      </w:pPr>
      <w:r>
        <w:rPr>
          <w:color w:val="1E1E1E"/>
          <w:sz w:val="18"/>
        </w:rPr>
        <w:t>É formalmente inconstitucional a norma impugnada, pois usurpada iniciativa reservada pela Constituição da República ao chefe do Poder Executivo para tratar sobre normas gerais à organização do Ministério Público e versada sobre matéria reservada à lei complementar de iniciativa do chefe do Ministério Público.</w:t>
        <w:br/>
        <w:t>[ADI 5.351, rel. min. Cármen Lúcia, j. 21-6-2021, P, DJE de 20-8-2021.] As leis complementares estaduais, pelas quais se estabelecem a organização, atribuições e estatuto dos respectivos Ministérios Públicos são de iniciativa do Procurador-Geral de Justiça do Estado e devem observar o reg</w:t>
      </w:r>
    </w:p>
    <w:p>
      <w:pPr>
        <w:ind w:left="288"/>
      </w:pPr>
      <w:r>
        <w:rPr>
          <w:b/>
          <w:color w:val="003CA0"/>
          <w:sz w:val="16"/>
        </w:rPr>
        <w:t>[ADI 5.281, rel. min. Cármen Lúcia, j. 12-5-2021, P, DJE de 20-5-2021.]</w:t>
      </w:r>
    </w:p>
    <w:p>
      <w:pPr>
        <w:ind w:left="288"/>
      </w:pPr>
      <w:r>
        <w:rPr>
          <w:color w:val="8C8C8C"/>
          <w:sz w:val="12"/>
        </w:rPr>
        <w:t>cf-art-61-par-1-inc-II-ali-c</w:t>
      </w:r>
      <w:r>
        <w:rPr>
          <w:color w:val="003CA0"/>
          <w:sz w:val="12"/>
        </w:rPr>
        <w:t xml:space="preserve"> | ADI 4.075</w:t>
      </w:r>
      <w:r>
        <w:rPr>
          <w:color w:val="003CA0"/>
          <w:sz w:val="12"/>
        </w:rPr>
        <w:t xml:space="preserve"> | rel. Joaquim Barbosa</w:t>
      </w:r>
    </w:p>
    <w:p>
      <w:pPr>
        <w:ind w:left="288"/>
      </w:pPr>
      <w:r>
        <w:rPr>
          <w:color w:val="1E1E1E"/>
          <w:sz w:val="18"/>
        </w:rPr>
        <w:t>A jurisprudência desta Corte firmou-se no sentido de que gera inconstitucionalidade formal a emenda parlamentar a projeto de lei de iniciativa do Ministério Público estadual que importa aumento de despesa.</w:t>
      </w:r>
    </w:p>
    <w:p>
      <w:pPr>
        <w:ind w:left="288"/>
      </w:pPr>
      <w:r>
        <w:rPr>
          <w:b/>
          <w:color w:val="003CA0"/>
          <w:sz w:val="16"/>
        </w:rPr>
        <w:t>[ADI 4.075 MC, rel. min. Joaquim Barbosa, j. 4-6-2008, P, DJE de 20-6-2008.]</w:t>
      </w:r>
    </w:p>
    <w:p>
      <w:pPr>
        <w:ind w:left="288"/>
      </w:pPr>
      <w:r>
        <w:rPr>
          <w:color w:val="8C8C8C"/>
          <w:sz w:val="12"/>
        </w:rPr>
        <w:t>cf-art-61-par-1-inc-II-ali-c</w:t>
      </w:r>
      <w:r>
        <w:rPr>
          <w:color w:val="003CA0"/>
          <w:sz w:val="12"/>
        </w:rPr>
        <w:t xml:space="preserve"> | ADI 126-4</w:t>
      </w:r>
      <w:r>
        <w:rPr>
          <w:color w:val="003CA0"/>
          <w:sz w:val="12"/>
        </w:rPr>
        <w:t xml:space="preserve"> | rel. O. Gallotti</w:t>
      </w:r>
    </w:p>
    <w:p>
      <w:pPr>
        <w:ind w:left="288"/>
      </w:pPr>
      <w:r>
        <w:rPr>
          <w:color w:val="1E1E1E"/>
          <w:sz w:val="18"/>
        </w:rPr>
        <w:t>No julgamento da ADI 126-4/RO, rel. min. O. Gallotti, o STF decidiu que a competência do Ministério Público para propor a fixação de vencimentos decorre do poder que lhe confere a Constituição de iniciativa para a criação de cargos (CF, art. 127, § 2º).</w:t>
      </w:r>
    </w:p>
    <w:p>
      <w:pPr>
        <w:ind w:left="288"/>
      </w:pPr>
      <w:r>
        <w:rPr>
          <w:b/>
          <w:color w:val="003CA0"/>
          <w:sz w:val="16"/>
        </w:rPr>
        <w:t>[ADI 595 MC, rel. min. Carlos Velloso, j. 30-10-1991, P, DJ de 13-12-1991.]</w:t>
      </w:r>
    </w:p>
    <w:p>
      <w:pPr>
        <w:ind w:left="288"/>
      </w:pPr>
      <w:r>
        <w:rPr>
          <w:color w:val="8C8C8C"/>
          <w:sz w:val="12"/>
        </w:rPr>
        <w:t>cf-art-61-par-1-inc-II-ali-e</w:t>
      </w:r>
      <w:r>
        <w:rPr>
          <w:color w:val="003CA0"/>
          <w:sz w:val="12"/>
        </w:rPr>
        <w:t xml:space="preserve"> | ADI 856</w:t>
      </w:r>
      <w:r>
        <w:rPr>
          <w:color w:val="003CA0"/>
          <w:sz w:val="12"/>
        </w:rPr>
        <w:t xml:space="preserve"> | rel. Luiz Fux</w:t>
      </w:r>
    </w:p>
    <w:p>
      <w:pPr>
        <w:ind w:left="288"/>
      </w:pPr>
      <w:r>
        <w:rPr>
          <w:color w:val="1E1E1E"/>
          <w:sz w:val="18"/>
        </w:rPr>
        <w:t>Aposentadoria especial. Funções de magistério. Definição. Projeto de lei de iniciativa privativa do chefe do executivo (...). (...) O Chefe do Executivo possui a iniciativa privativa de leis que disponham sobre servidores públicos da União e Territórios, seu regime jurídico, provimento de cargos, estabilidade e aposentadoria de civis, reforma e transferência de militares para a inatividade, bem como sobre criação, estruturação e atribuições dos Ministérios e órgãos da administração pública, ex vi do art. 61, II, alíneas c e e, da Carta Magna.</w:t>
        <w:br/>
        <w:t>[ADI 856, rel. min. Luiz Fux, j. 4-9-2023, P, DJE d</w:t>
      </w:r>
    </w:p>
    <w:p>
      <w:pPr>
        <w:ind w:left="288"/>
      </w:pPr>
      <w:r>
        <w:rPr>
          <w:b/>
          <w:color w:val="003CA0"/>
          <w:sz w:val="16"/>
        </w:rPr>
        <w:t>[ADI 5.293, rel. min. Alexandre de Moraes, j. 8-11-2017, P, DJE de 21-11-2017.]</w:t>
      </w:r>
    </w:p>
    <w:p>
      <w:pPr>
        <w:ind w:left="288"/>
      </w:pPr>
      <w:r>
        <w:rPr>
          <w:color w:val="8C8C8C"/>
          <w:sz w:val="12"/>
        </w:rPr>
        <w:t>cf-art-61-par-1-inc-II-ali-e</w:t>
      </w:r>
      <w:r>
        <w:rPr>
          <w:color w:val="003CA0"/>
          <w:sz w:val="12"/>
        </w:rPr>
        <w:t xml:space="preserve"> | ADI 2.443</w:t>
      </w:r>
      <w:r>
        <w:rPr>
          <w:color w:val="003CA0"/>
          <w:sz w:val="12"/>
        </w:rPr>
        <w:t xml:space="preserve"> | rel. Marco Aurélio</w:t>
      </w:r>
    </w:p>
    <w:p>
      <w:pPr>
        <w:ind w:left="288"/>
      </w:pPr>
      <w:r>
        <w:rPr>
          <w:color w:val="1E1E1E"/>
          <w:sz w:val="18"/>
        </w:rPr>
        <w:t>Consoante disposto na Carta da República, incumbe ao chefe do Poder Executivo o encaminhamento de projeto de lei que vise alterar procedimento adotado no respectivo âmbito. (...) A iniciativa de projeto de lei objetivando a disciplina de central de atendimento telefônico de serviço do Executivo cabe a este último e não ao Parlamento.</w:t>
        <w:br/>
        <w:t>[ADI 2.443, rel. min. Marco Aurélio, j. 25-9-2014, P, DJE de 3-11-2014.] Reconhecida a inconstitucionalidade de dispositivo de lei, de iniciativa parlamentar, que restringe matérias a serem publicadas no Diário Oficial do Estado por vício de natureza formal e mate</w:t>
      </w:r>
    </w:p>
    <w:p>
      <w:pPr>
        <w:ind w:left="288"/>
      </w:pPr>
      <w:r>
        <w:rPr>
          <w:b/>
          <w:color w:val="003CA0"/>
          <w:sz w:val="16"/>
        </w:rPr>
        <w:t>[ADI 2.294, rel. min. Ricardo Lewandowski, j. 27-8-2014, P, DJE de 11-9-2014.]</w:t>
      </w:r>
    </w:p>
    <w:p>
      <w:pPr>
        <w:ind w:left="288"/>
      </w:pPr>
      <w:r>
        <w:rPr>
          <w:color w:val="8C8C8C"/>
          <w:sz w:val="12"/>
        </w:rPr>
        <w:t>cf-art-61-par-1-inc-II-ali-e</w:t>
      </w:r>
      <w:r>
        <w:rPr>
          <w:color w:val="003CA0"/>
          <w:sz w:val="12"/>
        </w:rPr>
        <w:t xml:space="preserve"> | ADI 2.329</w:t>
      </w:r>
      <w:r>
        <w:rPr>
          <w:color w:val="003CA0"/>
          <w:sz w:val="12"/>
        </w:rPr>
        <w:t xml:space="preserve"> | rel. Cármen Lúcia</w:t>
      </w:r>
    </w:p>
    <w:p>
      <w:pPr>
        <w:ind w:left="288"/>
      </w:pPr>
      <w:r>
        <w:rPr>
          <w:color w:val="1E1E1E"/>
          <w:sz w:val="18"/>
        </w:rPr>
        <w:t>Lei alagoana 6.153, de 11-5-2000, que cria o programa de leitura de jornais e periódicos em sala de aula, a ser cumprido pelas escolas da rede oficial e particular do Estado de Alagoas. Iniciativa privativa do chefe do Poder Executivo estadual para legislar sobre organização administrativa no âmbito do Estado. Lei de iniciativa parlamentar que afronta o art. 61, § 1º, II, e, da Constituição da República, ao alterar a atribuição da Secretaria de Educação do Estado de Alagoas. Princípio da simetria federativa de competências. Iniciativa louvável do legislador alagoano que não retira o vício form</w:t>
      </w:r>
    </w:p>
    <w:p>
      <w:pPr>
        <w:ind w:left="288"/>
      </w:pPr>
      <w:r>
        <w:rPr>
          <w:b/>
          <w:color w:val="003CA0"/>
          <w:sz w:val="16"/>
        </w:rPr>
        <w:t>[ADI 2.329, rel. min. Cármen Lúcia, j. 14-4-2010, P, DJE de 25-6-2010.]</w:t>
      </w:r>
    </w:p>
    <w:p>
      <w:pPr>
        <w:ind w:left="288"/>
      </w:pPr>
      <w:r>
        <w:rPr>
          <w:color w:val="8C8C8C"/>
          <w:sz w:val="12"/>
        </w:rPr>
        <w:t>cf-art-61-par-1-inc-II-ali-e</w:t>
      </w:r>
      <w:r>
        <w:rPr>
          <w:color w:val="003CA0"/>
          <w:sz w:val="12"/>
        </w:rPr>
        <w:t xml:space="preserve"> | ADI 2.857</w:t>
      </w:r>
      <w:r>
        <w:rPr>
          <w:color w:val="003CA0"/>
          <w:sz w:val="12"/>
        </w:rPr>
        <w:t xml:space="preserve"> | rel. Joaquim Barbosa</w:t>
      </w:r>
    </w:p>
    <w:p>
      <w:pPr>
        <w:ind w:left="288"/>
      </w:pPr>
      <w:r>
        <w:rPr>
          <w:color w:val="1E1E1E"/>
          <w:sz w:val="18"/>
        </w:rPr>
        <w:t>A Lei 6.835/2001, de iniciativa da Mesa da Assembleia Legislativa do Estado do Espírito Santo, cria nova atribuição à Secretaria de Fazenda Estadual, órgão integrante do Poder Executivo daquele Estado. À luz do princípio da simetria, são de iniciativa do chefe do Poder Executivo estadual as leis que versem sobre a organização administrativa do Estado, podendo a questão referente à organização e funcionamento da administração estadual, quando não importar aumento de despesa, ser regulamentada por meio de decreto do chefe do Poder Executivo (...). Inconstitucionalidade formal, por vício de inici</w:t>
      </w:r>
    </w:p>
    <w:p>
      <w:pPr>
        <w:ind w:left="288"/>
      </w:pPr>
      <w:r>
        <w:rPr>
          <w:b/>
          <w:color w:val="003CA0"/>
          <w:sz w:val="16"/>
        </w:rPr>
        <w:t>[ADI 2.857, rel. min. Joaquim Barbosa, j. 30-8-2007, P, DJ de 30-11-2007.]</w:t>
      </w:r>
    </w:p>
    <w:p>
      <w:pPr>
        <w:ind w:left="288"/>
      </w:pPr>
      <w:r>
        <w:rPr>
          <w:color w:val="8C8C8C"/>
          <w:sz w:val="12"/>
        </w:rPr>
        <w:t>cf-art-61-par-1-inc-II-ali-e</w:t>
      </w:r>
      <w:r>
        <w:rPr>
          <w:color w:val="003CA0"/>
          <w:sz w:val="12"/>
        </w:rPr>
        <w:t xml:space="preserve"> | ADI 3.180</w:t>
      </w:r>
      <w:r>
        <w:rPr>
          <w:color w:val="003CA0"/>
          <w:sz w:val="12"/>
        </w:rPr>
        <w:t xml:space="preserve"> | rel. Joaquim Barbosa</w:t>
      </w:r>
    </w:p>
    <w:p>
      <w:pPr>
        <w:ind w:left="288"/>
      </w:pPr>
      <w:r>
        <w:rPr>
          <w:color w:val="1E1E1E"/>
          <w:sz w:val="18"/>
        </w:rPr>
        <w:t>Lei 781, de 2003, do Estado do Amapá, que, em seus arts. 4º, 5º e 6º, estabelece obrigações para o Poder Executivo instituir e organizar sistema de avaliação de satisfação dos usuários de serviços públicos. Inconstitucionalidade formal, em virtude de a lei ter-se originado de iniciativa da Assembleia Legislativa. Processo legislativo que deveria ter sido inaugurado por iniciativa do governador do Estado (CF, art. 61, § 1º, II, e).</w:t>
      </w:r>
    </w:p>
    <w:p>
      <w:pPr>
        <w:ind w:left="288"/>
      </w:pPr>
      <w:r>
        <w:rPr>
          <w:b/>
          <w:color w:val="003CA0"/>
          <w:sz w:val="16"/>
        </w:rPr>
        <w:t>[ADI 3.180, rel. min. Joaquim Barbosa, j. 17-5-2007, P, DJ de 15-6-2007.]</w:t>
      </w:r>
    </w:p>
    <w:p>
      <w:pPr>
        <w:ind w:left="288"/>
      </w:pPr>
      <w:r>
        <w:rPr>
          <w:color w:val="8C8C8C"/>
          <w:sz w:val="12"/>
        </w:rPr>
        <w:t>cf-art-61-par-1-inc-II-ali-e</w:t>
      </w:r>
      <w:r>
        <w:rPr>
          <w:color w:val="003CA0"/>
          <w:sz w:val="12"/>
        </w:rPr>
        <w:t xml:space="preserve"> | ADI 1.275</w:t>
      </w:r>
      <w:r>
        <w:rPr>
          <w:color w:val="003CA0"/>
          <w:sz w:val="12"/>
        </w:rPr>
        <w:t xml:space="preserve"> | rel. Ricardo Lewandowski</w:t>
      </w:r>
    </w:p>
    <w:p>
      <w:pPr>
        <w:ind w:left="288"/>
      </w:pPr>
      <w:r>
        <w:rPr>
          <w:color w:val="1E1E1E"/>
          <w:sz w:val="18"/>
        </w:rPr>
        <w:t>Lei do Estado de São Paulo. Criação do Conselho Estadual de Controle e Fiscalização do Sangue (COFISAN), órgão auxiliar da Secretaria de Estado da Saúde. Lei de iniciativa parlamentar. Vício de iniciativa. Inconstitucionalidade reconhecida. Projeto de lei que visa à criação e estruturação de órgão da administração pública: iniciativa do chefe do Poder Executivo (art. 61, § 1º, II, e, CF/1988). Princípio da simetria.</w:t>
      </w:r>
    </w:p>
    <w:p>
      <w:pPr>
        <w:ind w:left="288"/>
      </w:pPr>
      <w:r>
        <w:rPr>
          <w:b/>
          <w:color w:val="003CA0"/>
          <w:sz w:val="16"/>
        </w:rPr>
        <w:t>[ADI 1.275, rel. min. Ricardo Lewandowski, j. 16-5-2007, P, DJ de 8-6-2007.]</w:t>
      </w:r>
    </w:p>
    <w:p>
      <w:pPr>
        <w:ind w:left="288"/>
      </w:pPr>
      <w:r>
        <w:rPr>
          <w:color w:val="8C8C8C"/>
          <w:sz w:val="12"/>
        </w:rPr>
        <w:t>cf-art-61-par-1-inc-II-ali-e</w:t>
      </w:r>
      <w:r>
        <w:rPr>
          <w:color w:val="003CA0"/>
          <w:sz w:val="12"/>
        </w:rPr>
        <w:t xml:space="preserve"> | ADI 3.179</w:t>
      </w:r>
      <w:r>
        <w:rPr>
          <w:color w:val="003CA0"/>
          <w:sz w:val="12"/>
        </w:rPr>
        <w:t xml:space="preserve"> | rel. Cezar Peluso</w:t>
      </w:r>
    </w:p>
    <w:p>
      <w:pPr>
        <w:ind w:left="288"/>
      </w:pPr>
      <w:r>
        <w:rPr>
          <w:color w:val="1E1E1E"/>
          <w:sz w:val="18"/>
        </w:rPr>
        <w:t>= ADI 3.179, rel. min. Cezar Peluso, j. 27-5-2010, P, DJE de 10-9-2010 Lei de iniciativa do Ministério Público. (...) O texto normativo criou novo órgão na administração pública estadual, composto, entre outros membros, por dois secretários de Estado, além de acarretar ônus para o Estado-membro. Afronta ao disposto no art. 61, § 1º, II, e, da Constituição do Brasil.</w:t>
      </w:r>
    </w:p>
    <w:p>
      <w:pPr>
        <w:ind w:left="288"/>
      </w:pPr>
      <w:r>
        <w:rPr>
          <w:b/>
          <w:color w:val="003CA0"/>
          <w:sz w:val="16"/>
        </w:rPr>
        <w:t>[ADI 603, rel. min. Eros Grau, j. 17-8-2006, P, DJ de 6-10-2006.]</w:t>
      </w:r>
    </w:p>
    <w:p>
      <w:pPr>
        <w:ind w:left="288"/>
      </w:pPr>
      <w:r>
        <w:rPr>
          <w:color w:val="8C8C8C"/>
          <w:sz w:val="12"/>
        </w:rPr>
        <w:t>cf-art-61-par-1-inc-II-ali-e</w:t>
      </w:r>
      <w:r>
        <w:rPr>
          <w:color w:val="003CA0"/>
          <w:sz w:val="12"/>
        </w:rPr>
        <w:t xml:space="preserve"> | ADI 1.144</w:t>
      </w:r>
      <w:r>
        <w:rPr>
          <w:color w:val="003CA0"/>
          <w:sz w:val="12"/>
        </w:rPr>
        <w:t xml:space="preserve"> | rel. Eros Grau</w:t>
      </w:r>
    </w:p>
    <w:p>
      <w:pPr>
        <w:ind w:left="288"/>
      </w:pPr>
      <w:r>
        <w:rPr>
          <w:color w:val="1E1E1E"/>
          <w:sz w:val="18"/>
        </w:rPr>
        <w:t>Lei 10.238/1994 do Estado do Rio Grande do Sul. Instituição do programa estadual de iluminação pública, destinado aos Municípios. Criação de um conselho para administrar o programa. (...) Vício de iniciativa, vez que o projeto de lei foi apresentado por um parlamentar, embora trate de matéria típica de administração. O texto normativo criou novo órgão na administração pública estadual, o Conselho de Administração, composto, entre outros, por dois secretários de Estado, além de acarretar ônus para o Estado-membro.</w:t>
      </w:r>
    </w:p>
    <w:p>
      <w:pPr>
        <w:ind w:left="288"/>
      </w:pPr>
      <w:r>
        <w:rPr>
          <w:b/>
          <w:color w:val="003CA0"/>
          <w:sz w:val="16"/>
        </w:rPr>
        <w:t>[ADI 1.144, rel. min. Eros Grau, j. 16-8-2006, P, DJ de 8-9-2006.]</w:t>
      </w:r>
    </w:p>
    <w:p>
      <w:pPr>
        <w:ind w:left="288"/>
      </w:pPr>
      <w:r>
        <w:rPr>
          <w:color w:val="8C8C8C"/>
          <w:sz w:val="12"/>
        </w:rPr>
        <w:t>cf-art-61-par-1-inc-II-ali-e</w:t>
      </w:r>
      <w:r>
        <w:rPr>
          <w:color w:val="003CA0"/>
          <w:sz w:val="12"/>
        </w:rPr>
        <w:t xml:space="preserve"> | ADI 3.254</w:t>
      </w:r>
      <w:r>
        <w:rPr>
          <w:color w:val="003CA0"/>
          <w:sz w:val="12"/>
        </w:rPr>
        <w:t xml:space="preserve"> | rel. Ellen Gracie</w:t>
      </w:r>
    </w:p>
    <w:p>
      <w:pPr>
        <w:ind w:left="288"/>
      </w:pPr>
      <w:r>
        <w:rPr>
          <w:color w:val="1E1E1E"/>
          <w:sz w:val="18"/>
        </w:rPr>
        <w:t>É indispensável a iniciativa do chefe do Poder Executivo (mediante projeto de lei ou mesmo, após a EC 32/2001, por meio de decreto) na elaboração de normas que de alguma forma remodelem as atribuições de órgão pertencente à estrutura administrativa de determinada unidade da Federação.</w:t>
      </w:r>
    </w:p>
    <w:p>
      <w:pPr>
        <w:ind w:left="288"/>
      </w:pPr>
      <w:r>
        <w:rPr>
          <w:b/>
          <w:color w:val="003CA0"/>
          <w:sz w:val="16"/>
        </w:rPr>
        <w:t>[ADI 3.254, rel. min. Ellen Gracie, j. 16-11-2005, P, DJ de 2-12-2005.]</w:t>
      </w:r>
    </w:p>
    <w:p>
      <w:pPr>
        <w:ind w:left="288"/>
      </w:pPr>
      <w:r>
        <w:rPr>
          <w:color w:val="8C8C8C"/>
          <w:sz w:val="12"/>
        </w:rPr>
        <w:t>cf-art-61-par-1-inc-II-ali-e</w:t>
      </w:r>
      <w:r>
        <w:rPr>
          <w:color w:val="003CA0"/>
          <w:sz w:val="12"/>
        </w:rPr>
        <w:t xml:space="preserve"> | AI 643.926</w:t>
      </w:r>
      <w:r>
        <w:rPr>
          <w:color w:val="003CA0"/>
          <w:sz w:val="12"/>
        </w:rPr>
        <w:t xml:space="preserve"> | rel. Dias Toffoli</w:t>
      </w:r>
    </w:p>
    <w:p>
      <w:pPr>
        <w:ind w:left="288"/>
      </w:pPr>
      <w:r>
        <w:rPr>
          <w:color w:val="1E1E1E"/>
          <w:sz w:val="18"/>
        </w:rPr>
        <w:t>= AI 643.926 ED, rel. min. Dias Toffoli, j. 13-3-2012, 1ª T, DJE de 12-4-2012</w:t>
      </w:r>
    </w:p>
    <w:p>
      <w:pPr>
        <w:ind w:left="288"/>
      </w:pPr>
      <w:r>
        <w:rPr>
          <w:color w:val="8C8C8C"/>
          <w:sz w:val="12"/>
        </w:rPr>
        <w:t>cf-art-61-par-1-inc-II-ali-f</w:t>
      </w:r>
      <w:r>
        <w:rPr>
          <w:color w:val="003CA0"/>
          <w:sz w:val="12"/>
        </w:rPr>
        <w:t xml:space="preserve"> | ADI 2.966</w:t>
      </w:r>
      <w:r>
        <w:rPr>
          <w:color w:val="003CA0"/>
          <w:sz w:val="12"/>
        </w:rPr>
        <w:t xml:space="preserve"> | rel. Joaquim Barbosa</w:t>
      </w:r>
    </w:p>
    <w:p>
      <w:pPr>
        <w:ind w:left="288"/>
      </w:pPr>
      <w:r>
        <w:rPr>
          <w:color w:val="1E1E1E"/>
          <w:sz w:val="18"/>
        </w:rPr>
        <w:t>À luz do princípio da simetria, é de iniciativa privativa do chefe do Poder Executivo estadual as leis que disciplinem o regime jurídico dos militares (art. 61, § 1º, II, f, da CF/1988). Matéria restrita à iniciativa do Poder Executivo não pode ser regulada por emenda constitucional de origem parlamentar.</w:t>
      </w:r>
    </w:p>
    <w:p>
      <w:pPr>
        <w:ind w:left="288"/>
      </w:pPr>
      <w:r>
        <w:rPr>
          <w:b/>
          <w:color w:val="003CA0"/>
          <w:sz w:val="16"/>
        </w:rPr>
        <w:t>[ADI 2.966, rel. min. Joaquim Barbosa, j. 6-4-2005, P, DJ de 6-5-2005.]</w:t>
      </w:r>
    </w:p>
    <w:p>
      <w:pPr>
        <w:ind w:left="288"/>
      </w:pPr>
      <w:r>
        <w:rPr>
          <w:color w:val="8C8C8C"/>
          <w:sz w:val="12"/>
        </w:rPr>
        <w:t>cf-art-61-par-1-inc-II-ali-f</w:t>
      </w:r>
      <w:r>
        <w:rPr>
          <w:color w:val="003CA0"/>
          <w:sz w:val="12"/>
        </w:rPr>
        <w:t xml:space="preserve"> | ADI 858</w:t>
      </w:r>
      <w:r>
        <w:rPr>
          <w:color w:val="003CA0"/>
          <w:sz w:val="12"/>
        </w:rPr>
        <w:t xml:space="preserve"> | rel. Ricardo Lewandowski</w:t>
      </w:r>
    </w:p>
    <w:p>
      <w:pPr>
        <w:ind w:left="288"/>
      </w:pPr>
      <w:r>
        <w:rPr>
          <w:color w:val="1E1E1E"/>
          <w:sz w:val="18"/>
        </w:rPr>
        <w:t>= ADI 858, rel. min. Ricardo Lewandowski, j. 13-2-2008, P, DJE de 28-3-2008 Vide ADI 2.102, rel. min. Menezes Direito, j. 15-4-2009, P, DJE de 21-8-2009</w:t>
      </w:r>
    </w:p>
    <w:p>
      <w:pPr>
        <w:ind w:left="432"/>
      </w:pPr>
      <w:r>
        <w:rPr>
          <w:color w:val="003366"/>
          <w:sz w:val="18"/>
        </w:rPr>
        <w:t>§ 1 São de iniciativa privativa do Presidente da República as leis que:</w:t>
      </w:r>
    </w:p>
    <w:p>
      <w:pPr>
        <w:ind w:left="720"/>
      </w:pPr>
      <w:r>
        <w:rPr>
          <w:color w:val="003366"/>
          <w:sz w:val="18"/>
        </w:rPr>
        <w:t>I – fixem ou modifiquem os efetivos das Forças Armadas;</w:t>
      </w:r>
    </w:p>
    <w:p>
      <w:pPr>
        <w:ind w:left="720"/>
      </w:pPr>
      <w:r>
        <w:rPr>
          <w:color w:val="003366"/>
          <w:sz w:val="18"/>
        </w:rPr>
        <w:t>II – disponham sobre:</w:t>
      </w:r>
    </w:p>
    <w:p>
      <w:pPr>
        <w:ind w:left="1008"/>
      </w:pPr>
      <w:r>
        <w:rPr>
          <w:color w:val="003366"/>
          <w:sz w:val="18"/>
        </w:rPr>
        <w:t>a) criação de cargos, funções ou empregos públicos na administração direta e aut</w:t>
      </w:r>
    </w:p>
    <w:p>
      <w:pPr>
        <w:ind w:left="1008"/>
      </w:pPr>
      <w:r>
        <w:rPr>
          <w:color w:val="003366"/>
          <w:sz w:val="18"/>
        </w:rPr>
        <w:t>b) organização administrativa e judiciária, matéria tributária e orçamentária, s</w:t>
      </w:r>
    </w:p>
    <w:p>
      <w:pPr>
        <w:ind w:left="1008"/>
      </w:pPr>
      <w:r>
        <w:rPr>
          <w:color w:val="003366"/>
          <w:sz w:val="18"/>
        </w:rPr>
        <w:t>c) servidores públicos da União e Territórios, seu regime jurídico, provimento d</w:t>
      </w:r>
    </w:p>
    <w:p>
      <w:pPr>
        <w:ind w:left="1008"/>
      </w:pPr>
      <w:r>
        <w:rPr>
          <w:color w:val="003366"/>
          <w:sz w:val="18"/>
        </w:rPr>
        <w:t xml:space="preserve">d) organização do Ministério Público e da Defensoria Pública da União, bem como </w:t>
      </w:r>
    </w:p>
    <w:p>
      <w:pPr>
        <w:ind w:left="1008"/>
      </w:pPr>
      <w:r>
        <w:rPr>
          <w:color w:val="003366"/>
          <w:sz w:val="18"/>
        </w:rPr>
        <w:t>e) criação e extinção de Ministérios e órgãos da administração pública, observad</w:t>
      </w:r>
    </w:p>
    <w:p>
      <w:pPr>
        <w:ind w:left="1008"/>
      </w:pPr>
      <w:r>
        <w:rPr>
          <w:color w:val="003366"/>
          <w:sz w:val="18"/>
        </w:rPr>
        <w:t>f) militares das Forças Armadas, seu regime jurídico, provimento de cargos, prom</w:t>
      </w:r>
    </w:p>
    <w:p>
      <w:pPr>
        <w:ind w:left="432"/>
      </w:pPr>
      <w:r>
        <w:rPr>
          <w:color w:val="003366"/>
          <w:sz w:val="18"/>
        </w:rPr>
        <w:t>§ 2 A iniciativa popular pode ser exercida pela apresentação à Câmara dos Deputa</w:t>
      </w:r>
    </w:p>
    <w:p>
      <w:r>
        <w:rPr>
          <w:b/>
          <w:color w:val="003366"/>
          <w:sz w:val="20"/>
        </w:rPr>
        <w:t>Art. 62 Em caso de relevância e urgência, o Presidente da República poderá adota</w:t>
      </w:r>
      <w:r>
        <w:rPr>
          <w:color w:val="8C8C8C"/>
          <w:sz w:val="14"/>
        </w:rPr>
        <w:t xml:space="preserve">  [47 decisoes]</w:t>
      </w:r>
    </w:p>
    <w:p>
      <w:pPr>
        <w:ind w:left="288"/>
      </w:pPr>
      <w:r>
        <w:rPr>
          <w:color w:val="8C8C8C"/>
          <w:sz w:val="12"/>
        </w:rPr>
        <w:t>cf-art-62</w:t>
      </w:r>
      <w:r>
        <w:rPr>
          <w:color w:val="003CA0"/>
          <w:sz w:val="12"/>
        </w:rPr>
        <w:t xml:space="preserve"> | ADI 2.527</w:t>
      </w:r>
      <w:r>
        <w:rPr>
          <w:color w:val="003CA0"/>
          <w:sz w:val="12"/>
        </w:rPr>
        <w:t xml:space="preserve"> | rel. Cármen Lúcia</w:t>
      </w:r>
    </w:p>
    <w:p>
      <w:pPr>
        <w:ind w:left="288"/>
      </w:pPr>
      <w:r>
        <w:rPr>
          <w:color w:val="1E1E1E"/>
          <w:sz w:val="18"/>
        </w:rPr>
        <w:t>Ausência de revogação do caput do art. 896-A, incluído pela Medida Provisória n. 2.226/2011 na Consolidação das Leis do Trabalho. (...) Editada a Medida Provisória n. 2.226, de 4.9.2001, antes da Emenda Constitucional n. 32, de 11.9.2001, e não tendo sido revogada por medida provisória posterior nem por deliberação definitiva do Congresso Nacional, a norma instituída no art. 1º da Medida Provisória n. 2.226/2001 não perdeu validade. (...) Para a solução da controvérsia, há de considerarem o decurso de mais de vinte e quatro anos desde a entrada em vigor da Medida Provisória n. 2.226, de 4.9.20</w:t>
      </w:r>
    </w:p>
    <w:p>
      <w:pPr>
        <w:ind w:left="288"/>
      </w:pPr>
      <w:r>
        <w:rPr>
          <w:b/>
          <w:color w:val="003CA0"/>
          <w:sz w:val="16"/>
        </w:rPr>
        <w:t>[ADI 2.527, rel. min. Cármen Lúcia, j. 09.10.2025, P, DJE de 16.12.2025.]</w:t>
      </w:r>
    </w:p>
    <w:p>
      <w:pPr>
        <w:ind w:left="144"/>
      </w:pPr>
      <w:r>
        <w:rPr>
          <w:b/>
          <w:color w:val="B45A00"/>
          <w:sz w:val="16"/>
        </w:rPr>
        <w:t>CONTROLE CONCENTRADO</w:t>
      </w:r>
    </w:p>
    <w:p>
      <w:pPr>
        <w:ind w:left="288"/>
      </w:pPr>
      <w:r>
        <w:rPr>
          <w:color w:val="8C8C8C"/>
          <w:sz w:val="12"/>
        </w:rPr>
        <w:t>cf-art-62</w:t>
      </w:r>
      <w:r>
        <w:rPr>
          <w:color w:val="003CA0"/>
          <w:sz w:val="12"/>
        </w:rPr>
        <w:t xml:space="preserve"> | ADI 7.232</w:t>
      </w:r>
      <w:r>
        <w:rPr>
          <w:color w:val="003CA0"/>
          <w:sz w:val="12"/>
        </w:rPr>
        <w:t xml:space="preserve"> | rel. Cármen Lúcia</w:t>
      </w:r>
    </w:p>
    <w:p>
      <w:pPr>
        <w:ind w:left="288"/>
      </w:pPr>
      <w:r>
        <w:rPr>
          <w:color w:val="1E1E1E"/>
          <w:sz w:val="18"/>
        </w:rPr>
        <w:t>Nos termos do inc. III do § 1° do art. 62 da Constituição da República, é vedado ao Poder Executivo editar medida provisória que disponha sobre matéria reservada a lei complementar.</w:t>
      </w:r>
    </w:p>
    <w:p>
      <w:pPr>
        <w:ind w:left="288"/>
      </w:pPr>
      <w:r>
        <w:rPr>
          <w:b/>
          <w:color w:val="003CA0"/>
          <w:sz w:val="16"/>
        </w:rPr>
        <w:t>[ADI 7.232-MC-Ref, rel. min. Cármen Lúcia, j. 10-11-2022, P, DJE de 10-1-2023.]</w:t>
      </w:r>
    </w:p>
    <w:p>
      <w:pPr>
        <w:ind w:left="288"/>
      </w:pPr>
      <w:r>
        <w:rPr>
          <w:color w:val="8C8C8C"/>
          <w:sz w:val="12"/>
        </w:rPr>
        <w:t>cf-art-62</w:t>
      </w:r>
      <w:r>
        <w:rPr>
          <w:color w:val="003CA0"/>
          <w:sz w:val="12"/>
        </w:rPr>
        <w:t xml:space="preserve"> | ADI 7.232</w:t>
      </w:r>
      <w:r>
        <w:rPr>
          <w:color w:val="003CA0"/>
          <w:sz w:val="12"/>
        </w:rPr>
        <w:t xml:space="preserve"> | rel. Cármen Lúcia</w:t>
      </w:r>
    </w:p>
    <w:p>
      <w:pPr>
        <w:ind w:left="288"/>
      </w:pPr>
      <w:r>
        <w:rPr>
          <w:color w:val="1E1E1E"/>
          <w:sz w:val="18"/>
        </w:rPr>
        <w:t>A jurisprudência deste Supremo Tribunal admite o controle de constitucionalidade de medida provisória quando se comprove desvio de finalidade ou abuso da competência normativa do Chefe do Executivo, pela ausência dos requisitos constitucionais de relevância e urgência. Na espécie, o Presidente da República valeu-se de medida provisória para desconstituir o que deliberado pelo Congresso Nacional e reafirmado na derrubada dos vetos presidenciais às normas alteradas pela Medida Provisória n. 1.135/2022.</w:t>
      </w:r>
    </w:p>
    <w:p>
      <w:pPr>
        <w:ind w:left="288"/>
      </w:pPr>
      <w:r>
        <w:rPr>
          <w:b/>
          <w:color w:val="003CA0"/>
          <w:sz w:val="16"/>
        </w:rPr>
        <w:t>[ADI 7.232-MC-Ref, rel. min. Cármen Lúcia, j. 10-11-2022, P, DJE de 10-1-2023.]</w:t>
      </w:r>
    </w:p>
    <w:p>
      <w:pPr>
        <w:ind w:left="288"/>
      </w:pPr>
      <w:r>
        <w:rPr>
          <w:color w:val="8C8C8C"/>
          <w:sz w:val="12"/>
        </w:rPr>
        <w:t>cf-art-62</w:t>
      </w:r>
      <w:r>
        <w:rPr>
          <w:color w:val="003CA0"/>
          <w:sz w:val="12"/>
        </w:rPr>
        <w:t xml:space="preserve"> | ADI 4.980</w:t>
      </w:r>
      <w:r>
        <w:rPr>
          <w:color w:val="003CA0"/>
          <w:sz w:val="12"/>
        </w:rPr>
        <w:t xml:space="preserve"> | rel. Nunes Marques</w:t>
      </w:r>
    </w:p>
    <w:p>
      <w:pPr>
        <w:ind w:left="288"/>
      </w:pPr>
      <w:r>
        <w:rPr>
          <w:color w:val="1E1E1E"/>
          <w:sz w:val="18"/>
        </w:rPr>
        <w:t>A conversão de medida provisória em lei, com absorção de conteúdo, torna prejudicado o debate sobre o atendimento dos pressupostos de sua admissibilidade.</w:t>
      </w:r>
    </w:p>
    <w:p>
      <w:pPr>
        <w:ind w:left="288"/>
      </w:pPr>
      <w:r>
        <w:rPr>
          <w:b/>
          <w:color w:val="003CA0"/>
          <w:sz w:val="16"/>
        </w:rPr>
        <w:t>[ADI 4.980, rel. min. Nunes Marques, j. 10-3-2022, P, DJE de 17-5-2022.]</w:t>
      </w:r>
    </w:p>
    <w:p>
      <w:pPr>
        <w:ind w:left="288"/>
      </w:pPr>
      <w:r>
        <w:rPr>
          <w:color w:val="8C8C8C"/>
          <w:sz w:val="12"/>
        </w:rPr>
        <w:t>cf-art-62</w:t>
      </w:r>
      <w:r>
        <w:rPr>
          <w:color w:val="003CA0"/>
          <w:sz w:val="12"/>
        </w:rPr>
        <w:t xml:space="preserve"> | ADI 5.709</w:t>
      </w:r>
      <w:r>
        <w:rPr>
          <w:color w:val="003CA0"/>
          <w:sz w:val="12"/>
        </w:rPr>
        <w:t xml:space="preserve"> | rel. Rosa Weber</w:t>
      </w:r>
    </w:p>
    <w:p>
      <w:pPr>
        <w:ind w:left="288"/>
      </w:pPr>
      <w:r>
        <w:rPr>
          <w:color w:val="1E1E1E"/>
          <w:sz w:val="18"/>
        </w:rPr>
        <w:t>Medida provisória não revoga lei anterior, mas apenas suspende seus efeitos no ordenamento jurídico, em face do seu caráter transitório e precário. Assim, aprovada a medida provisória pela Câmara e pelo Senado, surge nova lei, a qual terá o efeito de revogar lei antecedente. Todavia, caso a medida provisória seja rejeitada (expressa ou tacitamente), a lei primeira vigente no ordenamento, e que estava suspensa, volta a ter eficácia.</w:t>
      </w:r>
    </w:p>
    <w:p>
      <w:pPr>
        <w:ind w:left="288"/>
      </w:pPr>
      <w:r>
        <w:rPr>
          <w:b/>
          <w:color w:val="003CA0"/>
          <w:sz w:val="16"/>
        </w:rPr>
        <w:t>[ADI 5.709, ADI 5.716, ADI 5.717 e ADI 5.727, rel. min. Rosa Weber, j. 27-3-2019, P, DJE de 28-6-2019.]</w:t>
      </w:r>
    </w:p>
    <w:p>
      <w:pPr>
        <w:ind w:left="288"/>
      </w:pPr>
      <w:r>
        <w:rPr>
          <w:color w:val="8C8C8C"/>
          <w:sz w:val="12"/>
        </w:rPr>
        <w:t>cf-art-62</w:t>
      </w:r>
      <w:r>
        <w:rPr>
          <w:color w:val="003CA0"/>
          <w:sz w:val="12"/>
        </w:rPr>
        <w:t xml:space="preserve"> | ADI 3.330</w:t>
      </w:r>
      <w:r>
        <w:rPr>
          <w:color w:val="003CA0"/>
          <w:sz w:val="12"/>
        </w:rPr>
        <w:t xml:space="preserve"> | rel. Ayres Britto</w:t>
      </w:r>
    </w:p>
    <w:p>
      <w:pPr>
        <w:ind w:left="288"/>
      </w:pPr>
      <w:r>
        <w:rPr>
          <w:color w:val="1E1E1E"/>
          <w:sz w:val="18"/>
        </w:rPr>
        <w:t>A conversão de medida provisória em lei não prejudica o debate jurisdicional sobre o atendimento dos pressupostos de admissibilidade desse espécime de ato da ordem legislativa.</w:t>
        <w:br/>
        <w:t>[ADI 3.330, rel. min. Ayres Britto, j. 3-5-2012, P, DJE de 22-3-2013.] Conversão da medida provisória na Lei 11.658/2008, sem alteração substancial. Aditamento ao pedido inicial. Inexistência de obstáculo processual ao prosseguimento do julgamento. A lei de conversão não convalida os vícios existentes na medida provisória.</w:t>
      </w:r>
    </w:p>
    <w:p>
      <w:pPr>
        <w:ind w:left="288"/>
      </w:pPr>
      <w:r>
        <w:rPr>
          <w:b/>
          <w:color w:val="003CA0"/>
          <w:sz w:val="16"/>
        </w:rPr>
        <w:t>[ADI 4.048 MC, rel. min. Gilmar Mendes, j. 14-5-2008, P, DJE de 22-8-2008.]</w:t>
      </w:r>
    </w:p>
    <w:p>
      <w:pPr>
        <w:ind w:left="288"/>
      </w:pPr>
      <w:r>
        <w:rPr>
          <w:color w:val="8C8C8C"/>
          <w:sz w:val="12"/>
        </w:rPr>
        <w:t>cf-art-62</w:t>
      </w:r>
      <w:r>
        <w:rPr>
          <w:color w:val="003CA0"/>
          <w:sz w:val="12"/>
        </w:rPr>
        <w:t xml:space="preserve"> | ADI 4.049</w:t>
      </w:r>
      <w:r>
        <w:rPr>
          <w:color w:val="003CA0"/>
          <w:sz w:val="12"/>
        </w:rPr>
        <w:t xml:space="preserve"> | rel. Ayres Britto</w:t>
      </w:r>
    </w:p>
    <w:p>
      <w:pPr>
        <w:ind w:left="288"/>
      </w:pPr>
      <w:r>
        <w:rPr>
          <w:color w:val="1E1E1E"/>
          <w:sz w:val="18"/>
        </w:rPr>
        <w:t>= ADI 4.049 MC, rel. min. Ayres Britto, j. 5-11-2008, P, DJE de 8-5-2009 Esta Suprema Corte somente admite o exame jurisdicional do mérito dos requisitos de relevância e urgência na edição de medida provisória em casos excepcionalíssimos, em que a ausência desses pressupostos seja evidente.</w:t>
      </w:r>
    </w:p>
    <w:p>
      <w:pPr>
        <w:ind w:left="288"/>
      </w:pPr>
      <w:r>
        <w:rPr>
          <w:b/>
          <w:color w:val="003CA0"/>
          <w:sz w:val="16"/>
        </w:rPr>
        <w:t>[ADI 2.527 MC, rel. min. Ellen Gracie, j. 16-8-2007, P, DJ de 23-11-2007.]</w:t>
      </w:r>
    </w:p>
    <w:p>
      <w:pPr>
        <w:ind w:left="288"/>
      </w:pPr>
      <w:r>
        <w:rPr>
          <w:color w:val="8C8C8C"/>
          <w:sz w:val="12"/>
        </w:rPr>
        <w:t>cf-art-62</w:t>
      </w:r>
      <w:r>
        <w:rPr>
          <w:color w:val="003CA0"/>
          <w:sz w:val="12"/>
        </w:rPr>
        <w:t xml:space="preserve"> | ADC 11</w:t>
      </w:r>
      <w:r>
        <w:rPr>
          <w:color w:val="003CA0"/>
          <w:sz w:val="12"/>
        </w:rPr>
        <w:t xml:space="preserve"> | rel. Cezar Peluso</w:t>
      </w:r>
    </w:p>
    <w:p>
      <w:pPr>
        <w:ind w:left="288"/>
      </w:pPr>
      <w:r>
        <w:rPr>
          <w:color w:val="1E1E1E"/>
          <w:sz w:val="18"/>
        </w:rPr>
        <w:t>Conforme entendimento consolidado da Corte, os requisitos constitucionais legitimadores da edição de medidas provisórias, vertidos nos conceitos jurídicos indeterminados de "relevância" e "urgência" (art. 62 da CF), apenas em caráter excepcional se submetem ao crivo do Poder Judiciário, por força da regra da separação de poderes (art. 2º da CF).</w:t>
      </w:r>
    </w:p>
    <w:p>
      <w:pPr>
        <w:ind w:left="288"/>
      </w:pPr>
      <w:r>
        <w:rPr>
          <w:b/>
          <w:color w:val="003CA0"/>
          <w:sz w:val="16"/>
        </w:rPr>
        <w:t>[ADC 11 MC, voto do rel. min. Cezar Peluso, j. 28-3-2007, P, DJ de 29-6-2007.]</w:t>
      </w:r>
    </w:p>
    <w:p>
      <w:pPr>
        <w:ind w:left="288"/>
      </w:pPr>
      <w:r>
        <w:rPr>
          <w:color w:val="8C8C8C"/>
          <w:sz w:val="12"/>
        </w:rPr>
        <w:t>cf-art-62</w:t>
      </w:r>
      <w:r>
        <w:rPr>
          <w:color w:val="003CA0"/>
          <w:sz w:val="12"/>
        </w:rPr>
        <w:t xml:space="preserve"> | ADI 4.029</w:t>
      </w:r>
      <w:r>
        <w:rPr>
          <w:color w:val="003CA0"/>
          <w:sz w:val="12"/>
        </w:rPr>
        <w:t xml:space="preserve"> | rel. Luiz Fux</w:t>
      </w:r>
    </w:p>
    <w:p>
      <w:pPr>
        <w:ind w:left="288"/>
      </w:pPr>
      <w:r>
        <w:rPr>
          <w:color w:val="1E1E1E"/>
          <w:sz w:val="18"/>
        </w:rPr>
        <w:t>= ADI 4.029, rel. min. Luiz Fux, j. 8-3-2012, P, DJE de 27-6-2012 Adoção de medida provisória por Estado-membro. Possibilidade. Arts. 62 e 84, XXVI, da CF. EC 32, de 11-9-2001, que alterou substancialmente a redação do art. 62. (...) Inexistência de vedação expressa quanto às medidas provisórias. Necessidade de previsão no texto da Carta estadual e da estrita observância dos princípios e limitações impostas pelo modelo federal.</w:t>
      </w:r>
    </w:p>
    <w:p>
      <w:pPr>
        <w:ind w:left="288"/>
      </w:pPr>
      <w:r>
        <w:rPr>
          <w:b/>
          <w:color w:val="003CA0"/>
          <w:sz w:val="16"/>
        </w:rPr>
        <w:t>[ADI 2.391, rel. min. Ellen Gracie, j. 16-8-2006, P, DJ de 16-3-2007.]</w:t>
      </w:r>
    </w:p>
    <w:p>
      <w:pPr>
        <w:ind w:left="288"/>
      </w:pPr>
      <w:r>
        <w:rPr>
          <w:color w:val="8C8C8C"/>
          <w:sz w:val="12"/>
        </w:rPr>
        <w:t>cf-art-62</w:t>
      </w:r>
      <w:r>
        <w:rPr>
          <w:color w:val="003CA0"/>
          <w:sz w:val="12"/>
        </w:rPr>
        <w:t xml:space="preserve"> | ADI 425</w:t>
      </w:r>
      <w:r>
        <w:rPr>
          <w:color w:val="003CA0"/>
          <w:sz w:val="12"/>
        </w:rPr>
        <w:t xml:space="preserve"> | rel. Maurício Corrêa</w:t>
      </w:r>
    </w:p>
    <w:p>
      <w:pPr>
        <w:ind w:left="288"/>
      </w:pPr>
      <w:r>
        <w:rPr>
          <w:color w:val="1E1E1E"/>
          <w:sz w:val="18"/>
        </w:rPr>
        <w:t>= ADI 425, rel. min. Maurício Corrêa, j. 4-9-2002, P, DJ de 19-12-2003 Porque possui força de lei e eficácia imediata a partir de sua publicação, a medida provisória não pode ser "retirada" pelo presidente da República à apreciação do Congresso Nacional. (...) Como qualquer outro ato legislativo, a medida provisória é passível de ab-rogação mediante diploma de igual ou superior hierarquia. (...) A revogação da medida provisória por outra apenas suspende a eficácia da norma ab-rogada, que voltará a vigorar pelo tempo que lhe reste para apreciação, caso caduque ou seja rejeitada a medida provisó</w:t>
      </w:r>
    </w:p>
    <w:p>
      <w:pPr>
        <w:ind w:left="288"/>
      </w:pPr>
      <w:r>
        <w:rPr>
          <w:b/>
          <w:color w:val="003CA0"/>
          <w:sz w:val="16"/>
        </w:rPr>
        <w:t>[ADI 2.984 MC, rel. min. Ellen Gracie, j. 4-9-2003, P, DJ de 14-5-2004.]</w:t>
      </w:r>
    </w:p>
    <w:p>
      <w:pPr>
        <w:ind w:left="288"/>
      </w:pPr>
      <w:r>
        <w:rPr>
          <w:color w:val="8C8C8C"/>
          <w:sz w:val="12"/>
        </w:rPr>
        <w:t>cf-art-62</w:t>
      </w:r>
      <w:r>
        <w:rPr>
          <w:color w:val="003CA0"/>
          <w:sz w:val="12"/>
        </w:rPr>
        <w:t xml:space="preserve"> | ADI 2.213</w:t>
      </w:r>
      <w:r>
        <w:rPr>
          <w:color w:val="003CA0"/>
          <w:sz w:val="12"/>
        </w:rPr>
        <w:t xml:space="preserve"> | rel. Celso de Mello</w:t>
      </w:r>
    </w:p>
    <w:p>
      <w:pPr>
        <w:ind w:left="288"/>
      </w:pPr>
      <w:r>
        <w:rPr>
          <w:color w:val="1E1E1E"/>
          <w:sz w:val="18"/>
        </w:rPr>
        <w:t>A edição de medidas provisórias, pelo presidente da República, para legitimar-se juridicamente, depende, dentre outros requisitos, da estrita observância dos pressupostos constitucionais da urgência e da relevância (CF, art. 62, caput). Os pressupostos da urgência e da relevância, embora conceitos jurídicos relativamente indeterminados e fluidos, mesmo expondo-se, inicialmente, à avaliação discricionária do presidente da República, estão sujeitos, ainda que excepcionalmente, ao controle do Poder Judiciário, porque compõem a própria estrutura constitucional que disciplina as medidas provisórias</w:t>
      </w:r>
    </w:p>
    <w:p>
      <w:pPr>
        <w:ind w:left="288"/>
      </w:pPr>
      <w:r>
        <w:rPr>
          <w:b/>
          <w:color w:val="003CA0"/>
          <w:sz w:val="16"/>
        </w:rPr>
        <w:t>[ADI 2.213 MC, rel. min. Celso de Mello, j. 4-4-2002, P, DJ de 23-4-2004.]</w:t>
      </w:r>
    </w:p>
    <w:p>
      <w:pPr>
        <w:ind w:left="288"/>
      </w:pPr>
      <w:r>
        <w:rPr>
          <w:color w:val="8C8C8C"/>
          <w:sz w:val="12"/>
        </w:rPr>
        <w:t>cf-art-62</w:t>
      </w:r>
      <w:r>
        <w:rPr>
          <w:color w:val="003CA0"/>
          <w:sz w:val="12"/>
        </w:rPr>
        <w:t xml:space="preserve"> | ADI 2.213</w:t>
      </w:r>
      <w:r>
        <w:rPr>
          <w:color w:val="003CA0"/>
          <w:sz w:val="12"/>
        </w:rPr>
        <w:t xml:space="preserve"> | rel. Celso de Mello</w:t>
      </w:r>
    </w:p>
    <w:p>
      <w:pPr>
        <w:ind w:left="288"/>
      </w:pPr>
      <w:r>
        <w:rPr>
          <w:color w:val="1E1E1E"/>
          <w:sz w:val="18"/>
        </w:rPr>
        <w:t xml:space="preserve">A crescente apropriação institucional do poder de legislar, por parte dos sucessivos presidentes da República, tem despertado graves preocupações de ordem jurídica, em razão do fato de a utilização excessiva das medidas provisórias causar profundas distorções que se projetam no plano das relações políticas entre os Poderes Executivo e Legislativo. Nada pode justificar a utilização abusiva de medidas provisórias, sob pena de o Executivo, quando ausentes razões constitucionais de urgência, necessidade e relevância material, investir-se, ilegitimamente, na mais relevante função institucional que </w:t>
      </w:r>
    </w:p>
    <w:p>
      <w:pPr>
        <w:ind w:left="288"/>
      </w:pPr>
      <w:r>
        <w:rPr>
          <w:b/>
          <w:color w:val="003CA0"/>
          <w:sz w:val="16"/>
        </w:rPr>
        <w:t>[ADI 2.213 MC, rel. min. Celso de Mello, j. 4-4-2002, P, DJ de 23-4-2004.]</w:t>
      </w:r>
    </w:p>
    <w:p>
      <w:pPr>
        <w:ind w:left="288"/>
      </w:pPr>
      <w:r>
        <w:rPr>
          <w:color w:val="8C8C8C"/>
          <w:sz w:val="12"/>
        </w:rPr>
        <w:t>cf-art-62</w:t>
      </w:r>
      <w:r>
        <w:rPr>
          <w:color w:val="003CA0"/>
          <w:sz w:val="12"/>
        </w:rPr>
        <w:t xml:space="preserve"> | ADI 1.717</w:t>
      </w:r>
      <w:r>
        <w:rPr>
          <w:color w:val="003CA0"/>
          <w:sz w:val="12"/>
        </w:rPr>
        <w:t xml:space="preserve"> | rel. Sydney Sanches</w:t>
      </w:r>
    </w:p>
    <w:p>
      <w:pPr>
        <w:ind w:left="288"/>
      </w:pPr>
      <w:r>
        <w:rPr>
          <w:color w:val="1E1E1E"/>
          <w:sz w:val="18"/>
        </w:rPr>
        <w:t>No que concerne à alegada falta dos requisitos da relevância e da urgência da medida provisória (que deu origem à lei em questão), exigidos no art. 62 da Constituição, o STF somente a tem por caracterizada quando neste objetivamente evidenciada. E não quando dependa de uma avaliação subjetiva, estritamente política, mediante critérios de oportunidade e conveniência, esta confiada aos Poderes Executivo e Legislativo, que têm melhores condições que o Judiciário para uma conclusão a respeito.</w:t>
      </w:r>
    </w:p>
    <w:p>
      <w:pPr>
        <w:ind w:left="288"/>
      </w:pPr>
      <w:r>
        <w:rPr>
          <w:b/>
          <w:color w:val="003CA0"/>
          <w:sz w:val="16"/>
        </w:rPr>
        <w:t>[ADI 1.717 MC, rel. min. Sydney Sanches, j. 22-9-1999, 2ª T, DJ de 25-2-2000.]</w:t>
      </w:r>
    </w:p>
    <w:p>
      <w:pPr>
        <w:ind w:left="288"/>
      </w:pPr>
      <w:r>
        <w:rPr>
          <w:color w:val="8C8C8C"/>
          <w:sz w:val="12"/>
        </w:rPr>
        <w:t>cf-art-62</w:t>
      </w:r>
      <w:r>
        <w:rPr>
          <w:color w:val="003CA0"/>
          <w:sz w:val="12"/>
        </w:rPr>
        <w:t xml:space="preserve"> | ADI 1.726</w:t>
      </w:r>
      <w:r>
        <w:rPr>
          <w:color w:val="003CA0"/>
          <w:sz w:val="12"/>
        </w:rPr>
        <w:t xml:space="preserve"> | rel. Maurício Corrêa</w:t>
      </w:r>
    </w:p>
    <w:p>
      <w:pPr>
        <w:ind w:left="288"/>
      </w:pPr>
      <w:r>
        <w:rPr>
          <w:color w:val="1E1E1E"/>
          <w:sz w:val="18"/>
        </w:rPr>
        <w:t>A exigência de prévia autorização legislativa para a criação de fundos, prevista no art. 167, IX, da Constituição, é suprida pela edição de medida provisória, que tem força de lei, nos termos do seu art. 62. O argumento de que medida provisória não se presta à criação de fundos fica combalido com a sua conversão em lei; pois, bem ou mal, o Congresso Nacional entendeu supridos os critérios da relevância e da urgência.</w:t>
      </w:r>
    </w:p>
    <w:p>
      <w:pPr>
        <w:ind w:left="288"/>
      </w:pPr>
      <w:r>
        <w:rPr>
          <w:b/>
          <w:color w:val="003CA0"/>
          <w:sz w:val="16"/>
        </w:rPr>
        <w:t>[ADI 1.726 MC, rel. min. Maurício Corrêa, j. 16-9-1998, P, DJ de 30-4-2004.]</w:t>
      </w:r>
    </w:p>
    <w:p>
      <w:pPr>
        <w:ind w:left="288"/>
      </w:pPr>
      <w:r>
        <w:rPr>
          <w:color w:val="8C8C8C"/>
          <w:sz w:val="12"/>
        </w:rPr>
        <w:t>cf-art-62</w:t>
      </w:r>
      <w:r>
        <w:rPr>
          <w:color w:val="003CA0"/>
          <w:sz w:val="12"/>
        </w:rPr>
        <w:t xml:space="preserve"> | ADI 1.204</w:t>
      </w:r>
      <w:r>
        <w:rPr>
          <w:color w:val="003CA0"/>
          <w:sz w:val="12"/>
        </w:rPr>
        <w:t xml:space="preserve"> | rel. Moreira Alves</w:t>
      </w:r>
    </w:p>
    <w:p>
      <w:pPr>
        <w:ind w:left="288"/>
      </w:pPr>
      <w:r>
        <w:rPr>
          <w:color w:val="1E1E1E"/>
          <w:sz w:val="18"/>
        </w:rPr>
        <w:t>Já se firmou a jurisprudência desta Corte (assim, nas ADI 1.204 MC, 1.370 MC e 1.636 MC) no sentido de que, quando medida provisória ainda pendente de apreciação pelo Congresso Nacional é revogada por outra, fica suspensa a eficácia da que foi objeto de revogação até que haja pronunciamento do Poder Legislativo sobre a medida provisória revogadora, a qual, se convertida em lei, tornará definitiva a revogação; se não o for, retomará os seus efeitos a medida provisória revogada pelo período que ainda lhe restava para vigorar.</w:t>
      </w:r>
    </w:p>
    <w:p>
      <w:pPr>
        <w:ind w:left="288"/>
      </w:pPr>
      <w:r>
        <w:rPr>
          <w:b/>
          <w:color w:val="003CA0"/>
          <w:sz w:val="16"/>
        </w:rPr>
        <w:t>[ADI 1.665 MC, rel. min. Moreira Alves, j. 27-11-1997, P, DJ de 8-5-1998.]</w:t>
      </w:r>
    </w:p>
    <w:p>
      <w:pPr>
        <w:ind w:left="288"/>
      </w:pPr>
      <w:r>
        <w:rPr>
          <w:color w:val="8C8C8C"/>
          <w:sz w:val="12"/>
        </w:rPr>
        <w:t>cf-art-62</w:t>
      </w:r>
      <w:r>
        <w:rPr>
          <w:color w:val="003CA0"/>
          <w:sz w:val="12"/>
        </w:rPr>
        <w:t xml:space="preserve"> | ADI 1.125</w:t>
      </w:r>
      <w:r>
        <w:rPr>
          <w:color w:val="003CA0"/>
          <w:sz w:val="12"/>
        </w:rPr>
        <w:t xml:space="preserve"> | rel. Carlos Velloso</w:t>
      </w:r>
    </w:p>
    <w:p>
      <w:pPr>
        <w:ind w:left="288"/>
      </w:pPr>
      <w:r>
        <w:rPr>
          <w:color w:val="1E1E1E"/>
          <w:sz w:val="18"/>
        </w:rPr>
        <w:t>No caso de reedição da medida provisória, ou no caso de sua conversão em lei, poderá o autor da ação direta pedir a extensão da ação à medida provisória reeditada ou à lei de conversão, para que a inconstitucionalidade arguida venha a ser apreciada pelo STF, inclusive no que toca a liminar pleiteada.</w:t>
      </w:r>
    </w:p>
    <w:p>
      <w:pPr>
        <w:ind w:left="288"/>
      </w:pPr>
      <w:r>
        <w:rPr>
          <w:b/>
          <w:color w:val="003CA0"/>
          <w:sz w:val="16"/>
        </w:rPr>
        <w:t>[ADI 1.125 MC, rel. min. Carlos Velloso, j. 1º-2-1995, P, DJ de 31-3-1995.]</w:t>
      </w:r>
    </w:p>
    <w:p>
      <w:pPr>
        <w:ind w:left="288"/>
      </w:pPr>
      <w:r>
        <w:rPr>
          <w:color w:val="8C8C8C"/>
          <w:sz w:val="12"/>
        </w:rPr>
        <w:t>cf-art-62</w:t>
      </w:r>
      <w:r>
        <w:rPr>
          <w:color w:val="003CA0"/>
          <w:sz w:val="12"/>
        </w:rPr>
        <w:t xml:space="preserve"> | ADI 1.005</w:t>
      </w:r>
      <w:r>
        <w:rPr>
          <w:color w:val="003CA0"/>
          <w:sz w:val="12"/>
        </w:rPr>
        <w:t xml:space="preserve"> | rel. Moreira Alves</w:t>
      </w:r>
    </w:p>
    <w:p>
      <w:pPr>
        <w:ind w:left="288"/>
      </w:pPr>
      <w:r>
        <w:rPr>
          <w:color w:val="1E1E1E"/>
          <w:sz w:val="18"/>
        </w:rPr>
        <w:t>Quando uma medida provisória é convertida em lei, a arguição de inconstitucionalidade deve atacar esta e não aquela. Essa regra, porém, não se aplica a casos em que a inconstitucionalidade que se alega com relação à medida provisória diz respeito exclusivamente a ela (o de ser, ou não, cabível medida provisória para instituir ou aumentar imposto), refletindo-se sobre a lei de conversão no tocante a sua vigência para o efeito da observância do princípio constitucional da anterioridade.</w:t>
      </w:r>
    </w:p>
    <w:p>
      <w:pPr>
        <w:ind w:left="288"/>
      </w:pPr>
      <w:r>
        <w:rPr>
          <w:b/>
          <w:color w:val="003CA0"/>
          <w:sz w:val="16"/>
        </w:rPr>
        <w:t>[ADI 1.005 MC, rel. min. Moreira Alves, j. 11-11-1994, P, DJ de 19-5-1995.]</w:t>
      </w:r>
    </w:p>
    <w:p>
      <w:pPr>
        <w:ind w:left="288"/>
      </w:pPr>
      <w:r>
        <w:rPr>
          <w:color w:val="8C8C8C"/>
          <w:sz w:val="12"/>
        </w:rPr>
        <w:t>cf-art-62</w:t>
      </w:r>
      <w:r>
        <w:rPr>
          <w:color w:val="003CA0"/>
          <w:sz w:val="12"/>
        </w:rPr>
        <w:t xml:space="preserve"> | ADI 691</w:t>
      </w:r>
      <w:r>
        <w:rPr>
          <w:color w:val="003CA0"/>
          <w:sz w:val="12"/>
        </w:rPr>
        <w:t xml:space="preserve"> | rel. Sepúlveda Pertence</w:t>
      </w:r>
    </w:p>
    <w:p>
      <w:pPr>
        <w:ind w:left="288"/>
      </w:pPr>
      <w:r>
        <w:rPr>
          <w:color w:val="1E1E1E"/>
          <w:sz w:val="18"/>
        </w:rPr>
        <w:t>Não prejudica a ação direta de inconstitucionalidade material de medida provisória a sua intercorrente conversão em lei sem alterações, dado que a sua aprovação e promulgação integrais apenas lhe tornam definitiva a vigência, com eficácia ex tunc e sem solução de continuidade, preservada a identidade originária do seu conteúdo normativo, objeto da arguição de invalidade.</w:t>
      </w:r>
    </w:p>
    <w:p>
      <w:pPr>
        <w:ind w:left="288"/>
      </w:pPr>
      <w:r>
        <w:rPr>
          <w:b/>
          <w:color w:val="003CA0"/>
          <w:sz w:val="16"/>
        </w:rPr>
        <w:t>[ADI 691 MC, rel. min. Sepúlveda Pertence, j. 22-4-1992, P, DJ de 19-6-1992.]</w:t>
      </w:r>
    </w:p>
    <w:p>
      <w:pPr>
        <w:ind w:left="288"/>
      </w:pPr>
      <w:r>
        <w:rPr>
          <w:color w:val="8C8C8C"/>
          <w:sz w:val="12"/>
        </w:rPr>
        <w:t>cf-art-62</w:t>
      </w:r>
      <w:r>
        <w:rPr>
          <w:color w:val="003CA0"/>
          <w:sz w:val="12"/>
        </w:rPr>
        <w:t xml:space="preserve"> | ADI 365</w:t>
      </w:r>
      <w:r>
        <w:rPr>
          <w:color w:val="003CA0"/>
          <w:sz w:val="12"/>
        </w:rPr>
        <w:t xml:space="preserve"> | rel. Celso de Mello</w:t>
      </w:r>
    </w:p>
    <w:p>
      <w:pPr>
        <w:ind w:left="288"/>
      </w:pPr>
      <w:r>
        <w:rPr>
          <w:color w:val="1E1E1E"/>
          <w:sz w:val="18"/>
        </w:rPr>
        <w:t>Os atos regulamentares de medidas provisórias não convertidas em lei não subsistem autonomamente, eis que nelas reside, de modo direto e imediato, o seu próprio fundamento de validade e de eficácia. A ausência de conversão legislativa opera efeitos extintivos radicais e genéricos, de modo a afetar todos os atos que estejam, de qualquer modo, causalmente vinculados a medida provisória rejeitada ou não transformada em lei, especialmente aqueles que, editados pelo próprio poder público, com ela mantinham, ou deveriam manter, estrita relação de dependência normativa e de acessoriedade jurídica, ta</w:t>
      </w:r>
    </w:p>
    <w:p>
      <w:pPr>
        <w:ind w:left="288"/>
      </w:pPr>
      <w:r>
        <w:rPr>
          <w:b/>
          <w:color w:val="003CA0"/>
          <w:sz w:val="16"/>
        </w:rPr>
        <w:t>[ADI 365 AgR, rel. min. Celso de Mello, j. 7-11-1990, P, DJ de 15-3-1991.]</w:t>
      </w:r>
    </w:p>
    <w:p>
      <w:pPr>
        <w:ind w:left="288"/>
      </w:pPr>
      <w:r>
        <w:rPr>
          <w:color w:val="8C8C8C"/>
          <w:sz w:val="12"/>
        </w:rPr>
        <w:t>cf-art-62</w:t>
      </w:r>
      <w:r>
        <w:rPr>
          <w:color w:val="003CA0"/>
          <w:sz w:val="12"/>
        </w:rPr>
        <w:t xml:space="preserve"> | ADI 293</w:t>
      </w:r>
      <w:r>
        <w:rPr>
          <w:color w:val="003CA0"/>
          <w:sz w:val="12"/>
        </w:rPr>
        <w:t xml:space="preserve"> | rel. Celso de Mello</w:t>
      </w:r>
    </w:p>
    <w:p>
      <w:pPr>
        <w:ind w:left="288"/>
      </w:pPr>
      <w:r>
        <w:rPr>
          <w:color w:val="1E1E1E"/>
          <w:sz w:val="18"/>
        </w:rPr>
        <w:t>A edição de medida provisória gera dois efeitos imediatos. O primeiro efeito é de ordem normativa, eis que a medida provisória, que possui vigência e eficácia imediatas, inova, em caráter inaugural, a ordem jurídica. O segundo efeito é de natureza ritual, eis que a publicação da medida provisória atua como verdadeira provocatio ad agendum, estimulando o Congresso Nacional a instaurar o adequado procedimento de conversão em lei.</w:t>
      </w:r>
    </w:p>
    <w:p>
      <w:pPr>
        <w:ind w:left="288"/>
      </w:pPr>
      <w:r>
        <w:rPr>
          <w:b/>
          <w:color w:val="003CA0"/>
          <w:sz w:val="16"/>
        </w:rPr>
        <w:t>[ADI 293 MC, rel. min. Celso de Mello, j. 6-6-1990, P, DJ de 16-4-1993.]</w:t>
      </w:r>
    </w:p>
    <w:p>
      <w:pPr>
        <w:ind w:left="288"/>
      </w:pPr>
      <w:r>
        <w:rPr>
          <w:color w:val="8C8C8C"/>
          <w:sz w:val="12"/>
        </w:rPr>
        <w:t>cf-art-62</w:t>
      </w:r>
      <w:r>
        <w:rPr>
          <w:color w:val="003CA0"/>
          <w:sz w:val="12"/>
        </w:rPr>
        <w:t xml:space="preserve"> | ADI 221</w:t>
      </w:r>
      <w:r>
        <w:rPr>
          <w:color w:val="003CA0"/>
          <w:sz w:val="12"/>
        </w:rPr>
        <w:t xml:space="preserve"> | rel. Moreira Alves</w:t>
      </w:r>
    </w:p>
    <w:p>
      <w:pPr>
        <w:ind w:left="288"/>
      </w:pPr>
      <w:r>
        <w:rPr>
          <w:color w:val="1E1E1E"/>
          <w:sz w:val="18"/>
        </w:rPr>
        <w:t xml:space="preserve">O que justifica a edição dessa espécie normativa, com força de lei, em nosso direito constitucional, é a existência de um estado de necessidade, que impõe ao poder público a adoção imediata de providências, de caráter legislativo, inalcançáveis segundo as regras ordinárias de legiferação, em face do próprio periculum in mora que fatalmente decorreria do atraso na concretização da prestação legislativa. (...) É inquestionável que as medidas provisórias traduzem, no plano da organização do Estado e na esfera das relações institucionais entre os Poderes Executivo e Legislativo, um instrumento de </w:t>
      </w:r>
    </w:p>
    <w:p>
      <w:pPr>
        <w:ind w:left="288"/>
      </w:pPr>
      <w:r>
        <w:rPr>
          <w:b/>
          <w:color w:val="003CA0"/>
          <w:sz w:val="16"/>
        </w:rPr>
        <w:t>[ADI 221 MC, rel. min. Moreira Alves, voto do min. Celso de Mello, j. 29-3-1990, P, DJ de 22-10-1993.]</w:t>
      </w:r>
    </w:p>
    <w:p>
      <w:pPr>
        <w:ind w:left="144"/>
      </w:pPr>
      <w:r>
        <w:rPr>
          <w:b/>
          <w:color w:val="B45A00"/>
          <w:sz w:val="16"/>
        </w:rPr>
        <w:t>REPERCUSSAO GERAL</w:t>
      </w:r>
    </w:p>
    <w:p>
      <w:pPr>
        <w:ind w:left="288"/>
      </w:pPr>
      <w:r>
        <w:rPr>
          <w:color w:val="8C8C8C"/>
          <w:sz w:val="12"/>
        </w:rPr>
        <w:t>cf-art-62</w:t>
      </w:r>
      <w:r>
        <w:rPr>
          <w:color w:val="003CA0"/>
          <w:sz w:val="12"/>
        </w:rPr>
        <w:t xml:space="preserve"> | RE 592.377</w:t>
      </w:r>
    </w:p>
    <w:p>
      <w:pPr>
        <w:ind w:left="288"/>
      </w:pPr>
      <w:r>
        <w:rPr>
          <w:color w:val="1E1E1E"/>
          <w:sz w:val="18"/>
        </w:rPr>
        <w:t>(...) o tema tratado pelo art. 5º da MP 2.170/2001 é relevante, porquanto o tratamento normativo dos juros é matéria extremamente sensível para a estruturação do sistema bancário, e, consequentemente, para assegurar estabilidade à dinâmica da vida econômica do país. Por outro lado, a urgência para a edição do ato também não pode ser rechaçada, ainda mais em se considerando que, para tal, seria indispensável fazer juízo sobre a realidade econômica existente à época, ou seja, há quinze anos passados.</w:t>
        <w:br/>
        <w:t>[RE 592.377, red. do ac. min. Teori Zavascki, j. 4-2-2015, P, DJE de 20-3-2015, Tema 33.]</w:t>
      </w:r>
    </w:p>
    <w:p>
      <w:pPr>
        <w:ind w:left="144"/>
      </w:pPr>
      <w:r>
        <w:rPr>
          <w:b/>
          <w:color w:val="B45A00"/>
          <w:sz w:val="16"/>
        </w:rPr>
        <w:t>JULGADOS CORRELATOS</w:t>
      </w:r>
    </w:p>
    <w:p>
      <w:pPr>
        <w:ind w:left="288"/>
      </w:pPr>
      <w:r>
        <w:rPr>
          <w:color w:val="8C8C8C"/>
          <w:sz w:val="12"/>
        </w:rPr>
        <w:t>cf-art-62</w:t>
      </w:r>
      <w:r>
        <w:rPr>
          <w:color w:val="003CA0"/>
          <w:sz w:val="12"/>
        </w:rPr>
        <w:t xml:space="preserve"> | RE 378.691</w:t>
      </w:r>
      <w:r>
        <w:rPr>
          <w:color w:val="003CA0"/>
          <w:sz w:val="12"/>
        </w:rPr>
        <w:t xml:space="preserve"> | rel. Eros Grau</w:t>
      </w:r>
    </w:p>
    <w:p>
      <w:pPr>
        <w:ind w:left="288"/>
      </w:pPr>
      <w:r>
        <w:rPr>
          <w:color w:val="1E1E1E"/>
          <w:sz w:val="18"/>
        </w:rPr>
        <w:t>O STF fixou entendimento no sentido de que não perde a eficácia a medida provisória, com força de lei, não apreciada pelo Congresso Nacional, mas reeditada, por meio de nova medida provisória, dentro de seu prazo de validade de trinta dias.</w:t>
      </w:r>
    </w:p>
    <w:p>
      <w:pPr>
        <w:ind w:left="288"/>
      </w:pPr>
      <w:r>
        <w:rPr>
          <w:b/>
          <w:color w:val="003CA0"/>
          <w:sz w:val="16"/>
        </w:rPr>
        <w:t>[RE 378.691 AgR, rel. min. Eros Grau, j. 13-5-2008, 2ª T, DJE de 6-6-2008.]</w:t>
      </w:r>
    </w:p>
    <w:p>
      <w:pPr>
        <w:ind w:left="288"/>
      </w:pPr>
      <w:r>
        <w:rPr>
          <w:color w:val="8C8C8C"/>
          <w:sz w:val="12"/>
        </w:rPr>
        <w:t>cf-art-62</w:t>
      </w:r>
      <w:r>
        <w:rPr>
          <w:color w:val="003CA0"/>
          <w:sz w:val="12"/>
        </w:rPr>
        <w:t xml:space="preserve"> | RE 588.943</w:t>
      </w:r>
      <w:r>
        <w:rPr>
          <w:color w:val="003CA0"/>
          <w:sz w:val="12"/>
        </w:rPr>
        <w:t xml:space="preserve"> | rel. Cármen Lúcia</w:t>
      </w:r>
    </w:p>
    <w:p>
      <w:pPr>
        <w:ind w:left="288"/>
      </w:pPr>
      <w:r>
        <w:rPr>
          <w:color w:val="1E1E1E"/>
          <w:sz w:val="18"/>
        </w:rPr>
        <w:t>= RE 588.943 AgR, rel. min. Cármen Lúcia, j. 15-2-2011, 1ª T, DJE de 18-3-2011 Conversão em lei das medidas provisórias, sem alteração substancial do seu texto: ratificação do ato normativo editado pelo presidente da República. Sanção do chefe do Poder Executivo. Inexigível. Medida provisória alterada pelo Congresso Nacional, com supressão ou acréscimo de dispositivos. Obrigatoriedade da remessa do projeto de lei de conversão ao presidente da República para sanção ou veto, de modo a prevalecer a comunhão de vontade do Poder Executivo e do Legislativo.</w:t>
      </w:r>
    </w:p>
    <w:p>
      <w:pPr>
        <w:ind w:left="288"/>
      </w:pPr>
      <w:r>
        <w:rPr>
          <w:b/>
          <w:color w:val="003CA0"/>
          <w:sz w:val="16"/>
        </w:rPr>
        <w:t>[RE 217.194, rel. min. Maurício Corrêa, j. 17-4-2001, 2ª T, DJ de 1º-6-2001.]</w:t>
      </w:r>
    </w:p>
    <w:p>
      <w:pPr>
        <w:ind w:left="144"/>
      </w:pPr>
      <w:r>
        <w:rPr>
          <w:b/>
          <w:color w:val="B45A00"/>
          <w:sz w:val="16"/>
        </w:rPr>
        <w:t>CONTROLE CONCENTRADO</w:t>
      </w:r>
    </w:p>
    <w:p>
      <w:pPr>
        <w:ind w:left="288"/>
      </w:pPr>
      <w:r>
        <w:rPr>
          <w:color w:val="8C8C8C"/>
          <w:sz w:val="12"/>
        </w:rPr>
        <w:t>cf-art-62-par-1-inc-I-ali-a</w:t>
      </w:r>
      <w:r>
        <w:rPr>
          <w:color w:val="003CA0"/>
          <w:sz w:val="12"/>
        </w:rPr>
        <w:t xml:space="preserve"> | ADI 4.011</w:t>
      </w:r>
      <w:r>
        <w:rPr>
          <w:color w:val="003CA0"/>
          <w:sz w:val="12"/>
        </w:rPr>
        <w:t xml:space="preserve"> | rel. Nunes Marques</w:t>
      </w:r>
    </w:p>
    <w:p>
      <w:pPr>
        <w:ind w:left="288"/>
      </w:pPr>
      <w:r>
        <w:rPr>
          <w:color w:val="1E1E1E"/>
          <w:sz w:val="18"/>
        </w:rPr>
        <w:t>Programa Nacional de Segurança Pública com Cidadania – PRONASCI. (...) O art. 2º, da Lei nº 11.707, de 20 de junho de 2008, é constitucional. A norma versa sobre política voltada para o âmbito da segurança pública e não tem por objeto matéria eleitoral não havendo violação aos arts. 16 e 62, § 1º, I, alínea a, da Constituição Federal.</w:t>
      </w:r>
    </w:p>
    <w:p>
      <w:pPr>
        <w:ind w:left="288"/>
      </w:pPr>
      <w:r>
        <w:rPr>
          <w:b/>
          <w:color w:val="003CA0"/>
          <w:sz w:val="16"/>
        </w:rPr>
        <w:t>[ADI 4.011, rel. min. Nunes Marques, j. 19-4-2021, P, DJE de 4-5-2021.]</w:t>
      </w:r>
    </w:p>
    <w:p>
      <w:pPr>
        <w:ind w:left="288"/>
      </w:pPr>
      <w:r>
        <w:rPr>
          <w:color w:val="8C8C8C"/>
          <w:sz w:val="12"/>
        </w:rPr>
        <w:t>cf-art-62-par-1-inc-I-ali-b</w:t>
      </w:r>
      <w:r>
        <w:rPr>
          <w:color w:val="003CA0"/>
          <w:sz w:val="12"/>
        </w:rPr>
        <w:t xml:space="preserve"> | ADI 2.736</w:t>
      </w:r>
      <w:r>
        <w:rPr>
          <w:color w:val="003CA0"/>
          <w:sz w:val="12"/>
        </w:rPr>
        <w:t xml:space="preserve"> | rel. Cezar Peluso</w:t>
      </w:r>
    </w:p>
    <w:p>
      <w:pPr>
        <w:ind w:left="288"/>
      </w:pPr>
      <w:r>
        <w:rPr>
          <w:color w:val="1E1E1E"/>
          <w:sz w:val="18"/>
        </w:rPr>
        <w:t>É inconstitucional a medida provisória que, alterando lei, suprime condenação em honorários advocatícios, por sucumbência, nas ações entre o FGTS e titulares de contas vinculadas, bem como naquelas em que figurem os respectivos representantes ou substitutos processuais.</w:t>
        <w:br/>
        <w:t>[ADI 2.736, rel. min. Cezar Peluso, j. 8-9-2010, P, DJE de 29-3-2011.]</w:t>
        <w:br/>
        <w:t>= RE 581.160, rel. min. Ricardo Lewandowski, j. 20-6-2012, P, DJE de 23-8-2012, Tema 116 O controle judicial dos requisitos de relevância e urgência para edição de medidas provisórias (art. 62, caput, da CF/1988) é excepcionalíssimo, justificando-se apenas e</w:t>
      </w:r>
    </w:p>
    <w:p>
      <w:pPr>
        <w:ind w:left="288"/>
      </w:pPr>
      <w:r>
        <w:rPr>
          <w:b/>
          <w:color w:val="003CA0"/>
          <w:sz w:val="16"/>
        </w:rPr>
        <w:t>[RE 1.347.526, rel. min. Cristiano Zanin, j. 15.09.2025, P, DJE de 24.09.2025, Tema 1.196, com mérito julgado.]</w:t>
      </w:r>
    </w:p>
    <w:p>
      <w:pPr>
        <w:ind w:left="144"/>
      </w:pPr>
      <w:r>
        <w:rPr>
          <w:b/>
          <w:color w:val="B45A00"/>
          <w:sz w:val="16"/>
        </w:rPr>
        <w:t>REPERCUSSAO GERAL</w:t>
      </w:r>
    </w:p>
    <w:p>
      <w:pPr>
        <w:ind w:left="288"/>
      </w:pPr>
      <w:r>
        <w:rPr>
          <w:color w:val="8C8C8C"/>
          <w:sz w:val="12"/>
        </w:rPr>
        <w:t>cf-art-62-par-1-inc-I-ali-b</w:t>
      </w:r>
      <w:r>
        <w:rPr>
          <w:color w:val="003CA0"/>
          <w:sz w:val="12"/>
        </w:rPr>
        <w:t xml:space="preserve"> | RE 1.347.526</w:t>
      </w:r>
      <w:r>
        <w:rPr>
          <w:color w:val="003CA0"/>
          <w:sz w:val="12"/>
        </w:rPr>
        <w:t xml:space="preserve"> | rel. Luiz Fux</w:t>
      </w:r>
    </w:p>
    <w:p>
      <w:pPr>
        <w:ind w:left="288"/>
      </w:pPr>
      <w:r>
        <w:rPr>
          <w:color w:val="1E1E1E"/>
          <w:sz w:val="18"/>
        </w:rPr>
        <w:t>Constitucionalidade da Medida Provisória 739/2016, substituída pela Medida Provisória 767/2017 e convertida na Lei 13.457/2017, as quais alteraram a Lei 8.213/1991, inserindo preceito sobre prazo estimado para a duração do benefício.</w:t>
      </w:r>
    </w:p>
    <w:p>
      <w:pPr>
        <w:ind w:left="288"/>
      </w:pPr>
      <w:r>
        <w:rPr>
          <w:b/>
          <w:color w:val="003CA0"/>
          <w:sz w:val="16"/>
        </w:rPr>
        <w:t>[RE 1.347.526 RG, rel. min. Luiz Fux, j. 17-2-2022, P, DJE de 23-2-2022, Tema 1.196, com mérito pendente.]</w:t>
      </w:r>
    </w:p>
    <w:p>
      <w:pPr>
        <w:ind w:left="288"/>
      </w:pPr>
      <w:r>
        <w:rPr>
          <w:color w:val="8C8C8C"/>
          <w:sz w:val="12"/>
        </w:rPr>
        <w:t>cf-art-62-par-1-inc-I-ali-b</w:t>
      </w:r>
      <w:r>
        <w:rPr>
          <w:color w:val="003CA0"/>
          <w:sz w:val="12"/>
        </w:rPr>
        <w:t xml:space="preserve"> | RE 581.160</w:t>
      </w:r>
      <w:r>
        <w:rPr>
          <w:color w:val="003CA0"/>
          <w:sz w:val="12"/>
        </w:rPr>
        <w:t xml:space="preserve"> | rel. Ricardo Lewandowski</w:t>
      </w:r>
    </w:p>
    <w:p>
      <w:pPr>
        <w:ind w:left="288"/>
      </w:pPr>
      <w:r>
        <w:rPr>
          <w:color w:val="1E1E1E"/>
          <w:sz w:val="18"/>
        </w:rPr>
        <w:t xml:space="preserve">(...) o STF declarou a inconstitucionalidade do art. 9º da MP 2.164-41/2001 com base nos seguintes fundamentos: (...) c) a matéria relativa à condenação em honorários advocatícios possui natureza processual civil, e a jurisprudência desta Corte, antes mesmo da vedação imposta pela EC 32/2001, não admitia a utilização de medida provisória para disciplinar questões processuais; d) a competência para legislar sobre matéria de índole processual civil é privativa da União Federal, no âmbito do Poder Legislativo (art. 22, I, da CF). Tais fundamentos devem ser adotados, in totum, neste caso, no qual </w:t>
      </w:r>
    </w:p>
    <w:p>
      <w:pPr>
        <w:ind w:left="288"/>
      </w:pPr>
      <w:r>
        <w:rPr>
          <w:b/>
          <w:color w:val="003CA0"/>
          <w:sz w:val="16"/>
        </w:rPr>
        <w:t>[RE 581.160, voto do rel. min. Ricardo Lewandowski, j. 20-6-2012, P, DJE de 23-8-2012, Tema 116, com mérito julgado.]</w:t>
        <w:br/>
        <w:t>= ADI 2.736, rel. min. Cezar Peluso, j. 8-9-2010, P, DJE de 29-3-2011</w:t>
      </w:r>
    </w:p>
    <w:p>
      <w:pPr>
        <w:ind w:left="144"/>
      </w:pPr>
      <w:r>
        <w:rPr>
          <w:b/>
          <w:color w:val="B45A00"/>
          <w:sz w:val="16"/>
        </w:rPr>
        <w:t>JULGADOS CORRELATOS</w:t>
      </w:r>
    </w:p>
    <w:p>
      <w:pPr>
        <w:ind w:left="288"/>
      </w:pPr>
      <w:r>
        <w:rPr>
          <w:color w:val="8C8C8C"/>
          <w:sz w:val="12"/>
        </w:rPr>
        <w:t>cf-art-62-par-1-inc-I-ali-b</w:t>
      </w:r>
      <w:r>
        <w:rPr>
          <w:color w:val="003CA0"/>
          <w:sz w:val="12"/>
        </w:rPr>
        <w:t xml:space="preserve"> | RE 254.818</w:t>
      </w:r>
      <w:r>
        <w:rPr>
          <w:color w:val="003CA0"/>
          <w:sz w:val="12"/>
        </w:rPr>
        <w:t xml:space="preserve"> | rel. Sepúlveda Pertence</w:t>
      </w:r>
    </w:p>
    <w:p>
      <w:pPr>
        <w:ind w:left="288"/>
      </w:pPr>
      <w:r>
        <w:rPr>
          <w:color w:val="1E1E1E"/>
          <w:sz w:val="18"/>
        </w:rPr>
        <w:t>Medida provisória: sua inadmissibilidade em matéria penal, extraída pela doutrina consensual da interpretação sistemática da Constituição, não compreende a de normas penais benéficas, assim, as que abolem crimes ou lhes restringem o alcance, extingam ou abrandem penas ou ampliam os casos de isenção de pena ou de extinção de punibilidade.</w:t>
      </w:r>
    </w:p>
    <w:p>
      <w:pPr>
        <w:ind w:left="288"/>
      </w:pPr>
      <w:r>
        <w:rPr>
          <w:b/>
          <w:color w:val="003CA0"/>
          <w:sz w:val="16"/>
        </w:rPr>
        <w:t>[RE 254.818, rel. min. Sepúlveda Pertence, j. 8-11-2000, P, DJ de 19-12-2002.]</w:t>
      </w:r>
    </w:p>
    <w:p>
      <w:pPr>
        <w:ind w:left="144"/>
      </w:pPr>
      <w:r>
        <w:rPr>
          <w:b/>
          <w:color w:val="B45A00"/>
          <w:sz w:val="16"/>
        </w:rPr>
        <w:t>CONTROLE CONCENTRADO</w:t>
      </w:r>
    </w:p>
    <w:p>
      <w:pPr>
        <w:ind w:left="288"/>
      </w:pPr>
      <w:r>
        <w:rPr>
          <w:color w:val="8C8C8C"/>
          <w:sz w:val="12"/>
        </w:rPr>
        <w:t>cf-art-62-par-1-inc-I-ali-c</w:t>
      </w:r>
      <w:r>
        <w:rPr>
          <w:color w:val="003CA0"/>
          <w:sz w:val="12"/>
        </w:rPr>
        <w:t xml:space="preserve"> | ADI 2.581</w:t>
      </w:r>
      <w:r>
        <w:rPr>
          <w:color w:val="003CA0"/>
          <w:sz w:val="12"/>
        </w:rPr>
        <w:t xml:space="preserve"> | rel. Maurício Corrêa</w:t>
      </w:r>
    </w:p>
    <w:p>
      <w:pPr>
        <w:ind w:left="288"/>
      </w:pPr>
      <w:r>
        <w:rPr>
          <w:color w:val="1E1E1E"/>
          <w:sz w:val="18"/>
        </w:rPr>
        <w:t>A regra do Diploma Maior quanto à iniciativa do chefe do Poder Executivo para projeto a respeito de certas matérias não suplanta o tratamento destas últimas pela vez primeira na Carta do próprio Estado. (...) Mostra-se harmônico com a CF preceito da Carta estadual prevendo a escolha do procurador-geral do Estado entre os integrantes da carreira.</w:t>
      </w:r>
    </w:p>
    <w:p>
      <w:pPr>
        <w:ind w:left="288"/>
      </w:pPr>
      <w:r>
        <w:rPr>
          <w:b/>
          <w:color w:val="003CA0"/>
          <w:sz w:val="16"/>
        </w:rPr>
        <w:t>[ADI 2.581, red. do ac. min. Marco Aurélio, rel. min. Maurício Corrêa, j. 16-8-2007, P, DJE de 15-8-2008.]</w:t>
      </w:r>
    </w:p>
    <w:p>
      <w:pPr>
        <w:ind w:left="288"/>
      </w:pPr>
      <w:r>
        <w:rPr>
          <w:color w:val="8C8C8C"/>
          <w:sz w:val="12"/>
        </w:rPr>
        <w:t>cf-art-62-par-1-inc-I-ali-c</w:t>
      </w:r>
      <w:r>
        <w:rPr>
          <w:color w:val="003CA0"/>
          <w:sz w:val="12"/>
        </w:rPr>
        <w:t xml:space="preserve"> | ADI 291</w:t>
      </w:r>
      <w:r>
        <w:rPr>
          <w:color w:val="003CA0"/>
          <w:sz w:val="12"/>
        </w:rPr>
        <w:t xml:space="preserve"> | rel. Joaquim Barbosa</w:t>
      </w:r>
    </w:p>
    <w:p>
      <w:pPr>
        <w:ind w:left="288"/>
      </w:pPr>
      <w:r>
        <w:rPr>
          <w:color w:val="1E1E1E"/>
          <w:sz w:val="18"/>
        </w:rPr>
        <w:t>≠ ADI 291, rel. min. Joaquim Barbosa, j. 7-4-2010, P, DJE de 10-9-2010</w:t>
      </w:r>
    </w:p>
    <w:p>
      <w:pPr>
        <w:ind w:left="288"/>
      </w:pPr>
      <w:r>
        <w:rPr>
          <w:color w:val="8C8C8C"/>
          <w:sz w:val="12"/>
        </w:rPr>
        <w:t>cf-art-62-par-2</w:t>
      </w:r>
      <w:r>
        <w:rPr>
          <w:color w:val="003CA0"/>
          <w:sz w:val="12"/>
        </w:rPr>
        <w:t xml:space="preserve"> | ADI 7.375</w:t>
      </w:r>
      <w:r>
        <w:rPr>
          <w:color w:val="003CA0"/>
          <w:sz w:val="12"/>
        </w:rPr>
        <w:t xml:space="preserve"> | rel. André Mendonça</w:t>
      </w:r>
    </w:p>
    <w:p>
      <w:pPr>
        <w:ind w:left="288"/>
      </w:pPr>
      <w:r>
        <w:rPr>
          <w:color w:val="1E1E1E"/>
          <w:sz w:val="18"/>
        </w:rPr>
        <w:t xml:space="preserve">É dado aos Chefes do Poder Executivo dos Estados-membros editarem medidas provisórias, desde que a espécie legislativa esteja prevista na Constituição estadual e seja observado o conjunto de regras básicas do processo legislativo postas no Texto Constitucional de 1988. Com o advento da Emenda Constitucional nº 32, de 2001, passou-se a exigir que a medida provisória a qual implicasse instituição ou majoração de impostos só produzirá efeitos no exercício financeiro seguinte ao de sua edição, caso seja devidamente convertida em lei até o último dia do ano fiscal em que foi editada, nos termos do </w:t>
      </w:r>
    </w:p>
    <w:p>
      <w:pPr>
        <w:ind w:left="288"/>
      </w:pPr>
      <w:r>
        <w:rPr>
          <w:color w:val="8C8C8C"/>
          <w:sz w:val="12"/>
        </w:rPr>
        <w:t>cf-art-62-par-2</w:t>
      </w:r>
      <w:r>
        <w:rPr>
          <w:color w:val="003CA0"/>
          <w:sz w:val="12"/>
        </w:rPr>
        <w:t xml:space="preserve"> | ADPF 216</w:t>
      </w:r>
      <w:r>
        <w:rPr>
          <w:color w:val="003CA0"/>
          <w:sz w:val="12"/>
        </w:rPr>
        <w:t xml:space="preserve"> | rel. Cármem Lúcia</w:t>
      </w:r>
    </w:p>
    <w:p>
      <w:pPr>
        <w:ind w:left="288"/>
      </w:pPr>
      <w:r>
        <w:rPr>
          <w:color w:val="1E1E1E"/>
          <w:sz w:val="18"/>
        </w:rPr>
        <w:t>O § 11 do art. 62 da Constituição visa garantir segurança jurídica àqueles que praticaram atos embasados na medida provisória rejeitada ou não apreciada, mas isso não pode se dar ao extremo de se permitir a sobreposição da vontade do Chefe do Poder Executivo sob a do Poder Legislativo, em situações, por exemplo, em que a preservação dos efeitos da medida provisória equivalha à manutenção de sua vigência. Interpretação diversa ofenderia a cláusula pétrea constante do art. 2º da Constituição, que preconiza a separação entre os Poderes. Quanto aos pedidos de licença para exploração de CLIA não ex</w:t>
      </w:r>
    </w:p>
    <w:p>
      <w:pPr>
        <w:ind w:left="288"/>
      </w:pPr>
      <w:r>
        <w:rPr>
          <w:b/>
          <w:color w:val="003CA0"/>
          <w:sz w:val="16"/>
        </w:rPr>
        <w:t>[ADPF 216, rel. min. Cármem Lúcia, j. 14-3-2018, P, DJE de 23-3-2020.]</w:t>
      </w:r>
    </w:p>
    <w:p>
      <w:pPr>
        <w:ind w:left="288"/>
      </w:pPr>
      <w:r>
        <w:rPr>
          <w:color w:val="8C8C8C"/>
          <w:sz w:val="12"/>
        </w:rPr>
        <w:t>cf-art-62-par-2</w:t>
      </w:r>
      <w:r>
        <w:rPr>
          <w:color w:val="003CA0"/>
          <w:sz w:val="12"/>
        </w:rPr>
        <w:t xml:space="preserve"> | ADI 5.127</w:t>
      </w:r>
      <w:r>
        <w:rPr>
          <w:color w:val="003CA0"/>
          <w:sz w:val="12"/>
        </w:rPr>
        <w:t xml:space="preserve"> | rel. Rosa Weber</w:t>
      </w:r>
    </w:p>
    <w:p>
      <w:pPr>
        <w:ind w:left="288"/>
      </w:pPr>
      <w:r>
        <w:rPr>
          <w:color w:val="1E1E1E"/>
          <w:sz w:val="18"/>
        </w:rPr>
        <w:t>Se a medida provisória é espécie normativa de competência exclusiva do presidente da República e excepcional, pois sujeita às exigências de relevância e urgência – critérios esses de juízo político prévio do presidente da República –, não é possível tratar de temas diversos daqueles fixados como relevantes e urgentes. Uma vez estabelecido o tema relevante e urgente, toda e qualquer emenda parlamentar em projeto de conversão de medida provisória em lei se limita e circunscreve ao tema definido como urgente e relevante. Vale dizer, é evidente que é possível emenda parlamentar ao projeto de conve</w:t>
      </w:r>
    </w:p>
    <w:p>
      <w:pPr>
        <w:ind w:left="288"/>
      </w:pPr>
      <w:r>
        <w:rPr>
          <w:b/>
          <w:color w:val="003CA0"/>
          <w:sz w:val="16"/>
        </w:rPr>
        <w:t>[ADI 5.127, voto do red. do ac. min. Edson Fachin, rel. min. Rosa Weber, j. 15-10-2015, P, DJE de 11-5-2016.]</w:t>
      </w:r>
    </w:p>
    <w:p>
      <w:pPr>
        <w:ind w:left="288"/>
      </w:pPr>
      <w:r>
        <w:rPr>
          <w:color w:val="8C8C8C"/>
          <w:sz w:val="12"/>
        </w:rPr>
        <w:t>cf-art-62-par-4</w:t>
      </w:r>
      <w:r>
        <w:rPr>
          <w:color w:val="003CA0"/>
          <w:sz w:val="12"/>
        </w:rPr>
        <w:t xml:space="preserve"> | ADPF 661</w:t>
      </w:r>
      <w:r>
        <w:rPr>
          <w:color w:val="003CA0"/>
          <w:sz w:val="12"/>
        </w:rPr>
        <w:t xml:space="preserve"> | rel. Alexandre de Moraes</w:t>
      </w:r>
    </w:p>
    <w:p>
      <w:pPr>
        <w:ind w:left="288"/>
      </w:pPr>
      <w:r>
        <w:rPr>
          <w:color w:val="1E1E1E"/>
          <w:sz w:val="18"/>
        </w:rPr>
        <w:t>O controle legislativo sobre medidas provisórias editadas pelo Presidente da República é tão importante para o equilíbrio entre os poderes da República que a Constituição Federal estabeleceu uma única hipótese excepcional de suspensão do prazo decadencial de 120 (cento e vinte) dias, durante o recesso do Congresso Nacional (CF, § 4º, art. 62). As alterações no funcionamento regimental das Casas Legislativas, em virtude da pandemia da COVID-19, não caracterizam recesso parlamentar, pois o Congresso Nacional continuará a funcionar e exercer todas as suas competências constitucionais. (...) Mostr</w:t>
      </w:r>
    </w:p>
    <w:p>
      <w:pPr>
        <w:ind w:left="288"/>
      </w:pPr>
      <w:r>
        <w:rPr>
          <w:b/>
          <w:color w:val="003CA0"/>
          <w:sz w:val="16"/>
        </w:rPr>
        <w:t>[ADPF 661, rel. min. Alexandre de Moraes, j. 8-9-2021, P, DJE de 15-9-2021.]</w:t>
      </w:r>
    </w:p>
    <w:p>
      <w:pPr>
        <w:ind w:left="288"/>
      </w:pPr>
      <w:r>
        <w:rPr>
          <w:color w:val="8C8C8C"/>
          <w:sz w:val="12"/>
        </w:rPr>
        <w:t>cf-art-62-par-5</w:t>
      </w:r>
    </w:p>
    <w:p>
      <w:pPr>
        <w:ind w:left="288"/>
      </w:pPr>
      <w:r>
        <w:rPr>
          <w:color w:val="1E1E1E"/>
          <w:sz w:val="18"/>
        </w:rPr>
        <w:t>§ 6º Se a medida provisória não for apreciada em até quarenta e cinco dias contados de sua publicação, entrará em regime de urgência, subsequentemente, em cada uma das Casas do Congresso Nacional, ficando sobrestadas, até que se ultime a votação, todas as demais deliberações legislativas da Casa em que estiver tramitando. (Incluído pela EC 32/2001)</w:t>
      </w:r>
    </w:p>
    <w:p>
      <w:pPr>
        <w:ind w:left="288"/>
      </w:pPr>
      <w:r>
        <w:rPr>
          <w:color w:val="8C8C8C"/>
          <w:sz w:val="12"/>
        </w:rPr>
        <w:t>cf-art-62-par-5</w:t>
      </w:r>
      <w:r>
        <w:rPr>
          <w:color w:val="003CA0"/>
          <w:sz w:val="12"/>
        </w:rPr>
        <w:t xml:space="preserve"> | ADI 3.146</w:t>
      </w:r>
      <w:r>
        <w:rPr>
          <w:color w:val="003CA0"/>
          <w:sz w:val="12"/>
        </w:rPr>
        <w:t xml:space="preserve"> | rel. Joaquim Barbosa</w:t>
      </w:r>
    </w:p>
    <w:p>
      <w:pPr>
        <w:ind w:left="288"/>
      </w:pPr>
      <w:r>
        <w:rPr>
          <w:color w:val="1E1E1E"/>
          <w:sz w:val="18"/>
        </w:rPr>
        <w:t>A CF, ao dispor regras sobre processo legislativo, permite o controle judicial da regularidade do processo. Exceção à jurisprudência do STF sobre a impossibilidade de revisão jurisdicional em matéria interna corporis. (...). Alegação de inconstitucionalidade formal: nulidade do processo legislativo em que foi aprovado projeto de lei enquanto pendente a leitura de medida provisória numa das Casas do Congresso Nacional, para os efeitos do sobrestamento a que se refere o art. 62, § 6º, da CF. Medida provisória que trancaria a pauta lida após a aprovação do projeto que resultou na lei atacada. Aus</w:t>
      </w:r>
    </w:p>
    <w:p>
      <w:pPr>
        <w:ind w:left="288"/>
      </w:pPr>
      <w:r>
        <w:rPr>
          <w:b/>
          <w:color w:val="003CA0"/>
          <w:sz w:val="16"/>
        </w:rPr>
        <w:t>[ADI 3.146, rel. min. Joaquim Barbosa, j. 11-5-2006, P, DJ de 19-12-2006.]</w:t>
      </w:r>
    </w:p>
    <w:p>
      <w:pPr>
        <w:ind w:left="144"/>
      </w:pPr>
      <w:r>
        <w:rPr>
          <w:b/>
          <w:color w:val="B45A00"/>
          <w:sz w:val="16"/>
        </w:rPr>
        <w:t>JULGADOS CORRELATOS</w:t>
      </w:r>
    </w:p>
    <w:p>
      <w:pPr>
        <w:ind w:left="288"/>
      </w:pPr>
      <w:r>
        <w:rPr>
          <w:color w:val="8C8C8C"/>
          <w:sz w:val="12"/>
        </w:rPr>
        <w:t>cf-art-62-par-5</w:t>
      </w:r>
      <w:r>
        <w:rPr>
          <w:color w:val="003CA0"/>
          <w:sz w:val="12"/>
        </w:rPr>
        <w:t xml:space="preserve"> | MS 27.931</w:t>
      </w:r>
      <w:r>
        <w:rPr>
          <w:color w:val="003CA0"/>
          <w:sz w:val="12"/>
        </w:rPr>
        <w:t xml:space="preserve"> | rel. Celso de Mello</w:t>
      </w:r>
    </w:p>
    <w:p>
      <w:pPr>
        <w:ind w:left="288"/>
      </w:pPr>
      <w:r>
        <w:rPr>
          <w:color w:val="1E1E1E"/>
          <w:sz w:val="18"/>
        </w:rPr>
        <w:t>O regime de urgência previsto no art. 62, § 6º, da Constituição da República – que impõe o sobrestamento das deliberações legislativas das Casas do Congresso Nacional – incide, tão-somente, sobre aquelas matérias que se mostram passíveis de regramento por medida provisória, excluídos, em consequência, do bloqueio procedimental imposto por mencionado preceito constitucional as propostas de emenda à Constituição e os projetos de lei complementar, de decreto legislativo, de resolução e, até mesmo, tratando-se de projetos de lei ordinária, aqueles que veiculem temas pré-excluídos do âmbito de inci</w:t>
      </w:r>
    </w:p>
    <w:p>
      <w:pPr>
        <w:ind w:left="288"/>
      </w:pPr>
      <w:r>
        <w:rPr>
          <w:b/>
          <w:color w:val="003CA0"/>
          <w:sz w:val="16"/>
        </w:rPr>
        <w:t>[MS 27.931, rel. min. Celso de Mello, j. 29-6-2017, P, DJE de 28-10-2020.]</w:t>
      </w:r>
    </w:p>
    <w:p>
      <w:pPr>
        <w:ind w:left="144"/>
      </w:pPr>
      <w:r>
        <w:rPr>
          <w:b/>
          <w:color w:val="B45A00"/>
          <w:sz w:val="16"/>
        </w:rPr>
        <w:t>CONTROLE CONCENTRADO</w:t>
      </w:r>
    </w:p>
    <w:p>
      <w:pPr>
        <w:ind w:left="288"/>
      </w:pPr>
      <w:r>
        <w:rPr>
          <w:color w:val="8C8C8C"/>
          <w:sz w:val="12"/>
        </w:rPr>
        <w:t>cf-art-62-par-9</w:t>
      </w:r>
      <w:r>
        <w:rPr>
          <w:color w:val="003CA0"/>
          <w:sz w:val="12"/>
        </w:rPr>
        <w:t xml:space="preserve"> | ADPF 661</w:t>
      </w:r>
      <w:r>
        <w:rPr>
          <w:color w:val="003CA0"/>
          <w:sz w:val="12"/>
        </w:rPr>
        <w:t xml:space="preserve"> | rel. Alexandre de Moraes</w:t>
      </w:r>
    </w:p>
    <w:p>
      <w:pPr>
        <w:ind w:left="288"/>
      </w:pPr>
      <w:r>
        <w:rPr>
          <w:color w:val="1E1E1E"/>
          <w:sz w:val="18"/>
        </w:rPr>
        <w:t>O controle legislativo sobre medidas provisórias editadas pelo Presidente da República é tão importante para o equilíbrio entre os poderes da República que a Constituição Federal estabeleceu uma única hipótese excepcional de suspensão do prazo decadencial de 120 (cento e vinte) dias, durante o recesso do Congresso Nacional (CF, § 4º, art. 62). As alterações no funcionamento regimental das Casas Legislativas, em virtude da pandemia da COVID-19, não caracterizam recesso parlamentar, pois o Congresso Nacional continuará a funcionar e exercer todas as suas competências constitucionais. (...) Mostr</w:t>
      </w:r>
    </w:p>
    <w:p>
      <w:pPr>
        <w:ind w:left="288"/>
      </w:pPr>
      <w:r>
        <w:rPr>
          <w:b/>
          <w:color w:val="003CA0"/>
          <w:sz w:val="16"/>
        </w:rPr>
        <w:t>[ADPF 661, rel. min. Alexandre de Moraes, j. 8-9-2021, P, DJE de 15-9-2021.]</w:t>
      </w:r>
    </w:p>
    <w:p>
      <w:pPr>
        <w:ind w:left="288"/>
      </w:pPr>
      <w:r>
        <w:rPr>
          <w:color w:val="8C8C8C"/>
          <w:sz w:val="12"/>
        </w:rPr>
        <w:t>cf-art-62-par-9</w:t>
      </w:r>
      <w:r>
        <w:rPr>
          <w:color w:val="003CA0"/>
          <w:sz w:val="12"/>
        </w:rPr>
        <w:t xml:space="preserve"> | ADI 4.029</w:t>
      </w:r>
      <w:r>
        <w:rPr>
          <w:color w:val="003CA0"/>
          <w:sz w:val="12"/>
        </w:rPr>
        <w:t xml:space="preserve"> | rel. Luiz Fux</w:t>
      </w:r>
    </w:p>
    <w:p>
      <w:pPr>
        <w:ind w:left="288"/>
      </w:pPr>
      <w:r>
        <w:rPr>
          <w:color w:val="1E1E1E"/>
          <w:sz w:val="18"/>
        </w:rPr>
        <w:t>As comissões mistas e a magnitude das funções das mesmas no processo de conversão de medidas provisórias decorrem da necessidade, imposta pela Constituição, de assegurar uma reflexão mais detida sobre o ato normativo primário emanado pelo Executivo, evitando que a apreciação pelo Plenário seja feita de maneira inopinada, percebendo-se, assim, que o parecer desse Colegiado representa, em vez de formalidade desimportante, uma garantia de que o Legislativo fiscalize o exercício atípico da função legiferante pelo Executivo. O art. 6º da Resolução 1 de 2002 do Congresso Nacional, que permite a emis</w:t>
      </w:r>
    </w:p>
    <w:p>
      <w:pPr>
        <w:ind w:left="288"/>
      </w:pPr>
      <w:r>
        <w:rPr>
          <w:b/>
          <w:color w:val="003CA0"/>
          <w:sz w:val="16"/>
        </w:rPr>
        <w:t>[ADI 4.029, rel. min. Luiz Fux, j. 8-3-2012, P, DJE de 27-6-2012.]</w:t>
      </w:r>
    </w:p>
    <w:p>
      <w:pPr>
        <w:ind w:left="288"/>
      </w:pPr>
      <w:r>
        <w:rPr>
          <w:color w:val="8C8C8C"/>
          <w:sz w:val="12"/>
        </w:rPr>
        <w:t>cf-art-62-par-9</w:t>
      </w:r>
    </w:p>
    <w:p>
      <w:pPr>
        <w:ind w:left="288"/>
      </w:pPr>
      <w:r>
        <w:rPr>
          <w:color w:val="1E1E1E"/>
          <w:sz w:val="18"/>
        </w:rPr>
        <w:t>§ 10. É vedada a reedição, na mesma sessão legislativa, de medida provisória que tenha sido rejeitada ou que tenha perdido sua eficácia por decurso de prazo. (Incluído pela EC 32/2001)</w:t>
      </w:r>
    </w:p>
    <w:p>
      <w:pPr>
        <w:ind w:left="288"/>
      </w:pPr>
      <w:r>
        <w:rPr>
          <w:color w:val="8C8C8C"/>
          <w:sz w:val="12"/>
        </w:rPr>
        <w:t>cf-art-62-par-9</w:t>
      </w:r>
      <w:r>
        <w:rPr>
          <w:color w:val="003CA0"/>
          <w:sz w:val="12"/>
        </w:rPr>
        <w:t xml:space="preserve"> | ADI 2.984</w:t>
      </w:r>
      <w:r>
        <w:rPr>
          <w:color w:val="003CA0"/>
          <w:sz w:val="12"/>
        </w:rPr>
        <w:t xml:space="preserve"> | rel. Rosa Weber</w:t>
      </w:r>
    </w:p>
    <w:p>
      <w:pPr>
        <w:ind w:left="288"/>
      </w:pPr>
      <w:r>
        <w:rPr>
          <w:color w:val="1E1E1E"/>
          <w:sz w:val="18"/>
        </w:rPr>
        <w:t>Impossibilidade de reedição, na mesma sessão legislativa, de medida provisória revogada, nos termos do prescreve o art. 62, §§2º e 3º. Interpretação jurídica em sentido contrário, importaria violação do princípio da Separação de Poderes. Isso porque o Presidente da República teria o controle e comando da pauta do Congresso Nacional, por conseguinte, das prioridades do processo legislativo, em detrimento do próprio Poder Legislativo. Matéria de competência privativa das duas Casas Legislativas (inciso IV do art. 51 e inciso XIII do art. 52, ambos da Constituição Federal). O alcance normativo do</w:t>
      </w:r>
    </w:p>
    <w:p>
      <w:pPr>
        <w:ind w:left="288"/>
      </w:pPr>
      <w:r>
        <w:rPr>
          <w:b/>
          <w:color w:val="003CA0"/>
          <w:sz w:val="16"/>
        </w:rPr>
        <w:t>[ADI 5.709, ADI 5.716, ADI 5.717 e ADI 5.727, rel. min. Rosa Weber, j. 27-3-2019, P, DJE de 28-6-2019.]</w:t>
      </w:r>
    </w:p>
    <w:p>
      <w:pPr>
        <w:ind w:left="288"/>
      </w:pPr>
      <w:r>
        <w:rPr>
          <w:color w:val="8C8C8C"/>
          <w:sz w:val="12"/>
        </w:rPr>
        <w:t>cf-art-62-par-9</w:t>
      </w:r>
      <w:r>
        <w:rPr>
          <w:color w:val="003CA0"/>
          <w:sz w:val="12"/>
        </w:rPr>
        <w:t xml:space="preserve"> | ADI 2.010</w:t>
      </w:r>
      <w:r>
        <w:rPr>
          <w:color w:val="003CA0"/>
          <w:sz w:val="12"/>
        </w:rPr>
        <w:t xml:space="preserve"> | rel. Octavio Gallotti). Também pelas mesmas razões</w:t>
      </w:r>
    </w:p>
    <w:p>
      <w:pPr>
        <w:ind w:left="288"/>
      </w:pPr>
      <w:r>
        <w:rPr>
          <w:color w:val="1E1E1E"/>
          <w:sz w:val="18"/>
        </w:rPr>
        <w:t>A norma inscrita no art. 67 da Constituição – que consagra o postulado da irrepetibilidade dos projetos rejeitados na mesma sessão legislativa – não impede o presidente da República de submeter, à apreciação do Congresso Nacional, reunido em convocação extraordinária (CF, art. 57, § 6º, II), projeto de lei versando, total ou parcialmente, a mesma matéria que constituiu objeto de medida provisória rejeitada pelo Parlamento, em sessão legislativa realizada no ano anterior. O presidente da República, no entanto, sob pena de ofensa ao princípio da separação de poderes e de transgressão à integrida</w:t>
      </w:r>
    </w:p>
    <w:p>
      <w:pPr>
        <w:ind w:left="288"/>
      </w:pPr>
      <w:r>
        <w:rPr>
          <w:b/>
          <w:color w:val="003CA0"/>
          <w:sz w:val="16"/>
        </w:rPr>
        <w:t>[ADI 2.010 MC, rel. min. Celso de Mello, j. 30-9-1999, P, DJ de 12-4-2002.]</w:t>
      </w:r>
    </w:p>
    <w:p>
      <w:pPr>
        <w:ind w:left="288"/>
      </w:pPr>
      <w:r>
        <w:rPr>
          <w:color w:val="8C8C8C"/>
          <w:sz w:val="12"/>
        </w:rPr>
        <w:t>cf-art-62-par-9</w:t>
      </w:r>
    </w:p>
    <w:p>
      <w:pPr>
        <w:ind w:left="288"/>
      </w:pPr>
      <w:r>
        <w:rPr>
          <w:color w:val="1E1E1E"/>
          <w:sz w:val="18"/>
        </w:rPr>
        <w:t>§ 11. Não editado o decreto legislativo a que se refere o § 3º até sessenta dias após a rejeição ou perda de eficácia de medida provisória, as relações jurídicas constituídas e decorrentes de atos praticados durante sua vigência conservar-se-ão por ela regidas. (Incluído pela EC 32/2001)</w:t>
      </w:r>
    </w:p>
    <w:p>
      <w:pPr>
        <w:ind w:left="288"/>
      </w:pPr>
      <w:r>
        <w:rPr>
          <w:color w:val="8C8C8C"/>
          <w:sz w:val="12"/>
        </w:rPr>
        <w:t>cf-art-62-par-9</w:t>
      </w:r>
      <w:r>
        <w:rPr>
          <w:color w:val="003CA0"/>
          <w:sz w:val="12"/>
        </w:rPr>
        <w:t xml:space="preserve"> | ADPF 216</w:t>
      </w:r>
      <w:r>
        <w:rPr>
          <w:color w:val="003CA0"/>
          <w:sz w:val="12"/>
        </w:rPr>
        <w:t xml:space="preserve"> | rel. Cármem Lúcia</w:t>
      </w:r>
    </w:p>
    <w:p>
      <w:pPr>
        <w:ind w:left="288"/>
      </w:pPr>
      <w:r>
        <w:rPr>
          <w:color w:val="1E1E1E"/>
          <w:sz w:val="18"/>
        </w:rPr>
        <w:t>O § 11 do art. 62 da Constituição visa garantir segurança jurídica àqueles que praticaram atos embasados na medida provisória rejeitada ou não apreciada, mas isso não pode se dar ao extremo de se permitir a sobreposição da vontade do Chefe do Poder Executivo sob a do Poder Legislativo, em situações, por exemplo, em que a preservação dos efeitos da medida provisória equivalha à manutenção de sua vigência. Interpretação diversa ofenderia a cláusula pétrea constante do art. 2º da Constituição, que preconiza a separação entre os Poderes. Quanto aos pedidos de licença para exploração de CLIA não ex</w:t>
      </w:r>
    </w:p>
    <w:p>
      <w:pPr>
        <w:ind w:left="288"/>
      </w:pPr>
      <w:r>
        <w:rPr>
          <w:b/>
          <w:color w:val="003CA0"/>
          <w:sz w:val="16"/>
        </w:rPr>
        <w:t>[ADPF 216, rel. min. Cármem Lúcia, j. 14-3-2018, P, DJE de 23-3-2020.]</w:t>
      </w:r>
    </w:p>
    <w:p>
      <w:pPr>
        <w:ind w:left="288"/>
      </w:pPr>
      <w:r>
        <w:rPr>
          <w:color w:val="8C8C8C"/>
          <w:sz w:val="12"/>
        </w:rPr>
        <w:t>cf-art-62-par-9</w:t>
      </w:r>
      <w:r>
        <w:rPr>
          <w:color w:val="003CA0"/>
          <w:sz w:val="12"/>
        </w:rPr>
        <w:t xml:space="preserve"> | RE 1.517.308</w:t>
      </w:r>
      <w:r>
        <w:rPr>
          <w:color w:val="003CA0"/>
          <w:sz w:val="12"/>
        </w:rPr>
        <w:t xml:space="preserve"> | rel. Luís Roberto Barroso</w:t>
      </w:r>
    </w:p>
    <w:p>
      <w:pPr>
        <w:ind w:left="288"/>
      </w:pPr>
      <w:r>
        <w:rPr>
          <w:color w:val="1E1E1E"/>
          <w:sz w:val="18"/>
        </w:rPr>
        <w:t>Prazo prescricional de um ano do art. 14 da Medida Provisória nº 1.039/2021 para os pedidos de auxílio emergencial.</w:t>
      </w:r>
    </w:p>
    <w:p>
      <w:pPr>
        <w:ind w:left="288"/>
      </w:pPr>
      <w:r>
        <w:rPr>
          <w:b/>
          <w:color w:val="003CA0"/>
          <w:sz w:val="16"/>
        </w:rPr>
        <w:t>[RE 1.517.308 RG, rel. min. Luís Roberto Barroso, j. 23.05.2025, P, DJE de 09.06.2025, Tema 1.399, com mérito pendente.]</w:t>
      </w:r>
    </w:p>
    <w:p>
      <w:pPr>
        <w:ind w:left="288"/>
      </w:pPr>
      <w:r>
        <w:rPr>
          <w:color w:val="8C8C8C"/>
          <w:sz w:val="12"/>
        </w:rPr>
        <w:t>cf-art-62-par-9</w:t>
      </w:r>
    </w:p>
    <w:p>
      <w:pPr>
        <w:ind w:left="288"/>
      </w:pPr>
      <w:r>
        <w:rPr>
          <w:color w:val="1E1E1E"/>
          <w:sz w:val="18"/>
        </w:rPr>
        <w:t>§ 12. Aprovado projeto de lei de conversão alterando o texto original da medida provisória, esta manter-se-á integralmente em vigor até que seja sancionado ou vetado o projeto. (Incluído pela EC 32/2001)</w:t>
      </w:r>
    </w:p>
    <w:p>
      <w:pPr>
        <w:ind w:left="432"/>
      </w:pPr>
      <w:r>
        <w:rPr>
          <w:color w:val="003366"/>
          <w:sz w:val="18"/>
        </w:rPr>
        <w:t>§ 1 É vedada a edição de medidas provisórias sobre matéria: (Incluído pela Emend</w:t>
      </w:r>
    </w:p>
    <w:p>
      <w:pPr>
        <w:ind w:left="1008"/>
      </w:pPr>
      <w:r>
        <w:rPr>
          <w:color w:val="003366"/>
          <w:sz w:val="18"/>
        </w:rPr>
        <w:t>a) nacionalidade, cidadania, direitos políticos, partidos políticos e direito el</w:t>
      </w:r>
    </w:p>
    <w:p>
      <w:pPr>
        <w:ind w:left="1008"/>
      </w:pPr>
      <w:r>
        <w:rPr>
          <w:color w:val="003366"/>
          <w:sz w:val="18"/>
        </w:rPr>
        <w:t>b) direito penal, processual penal e processual civil; (Incluído pela Emenda Con</w:t>
      </w:r>
    </w:p>
    <w:p>
      <w:pPr>
        <w:ind w:left="1008"/>
      </w:pPr>
      <w:r>
        <w:rPr>
          <w:color w:val="003366"/>
          <w:sz w:val="18"/>
        </w:rPr>
        <w:t>c) organização do Poder Judiciário e do Ministério Público, a carreira e a garan</w:t>
      </w:r>
    </w:p>
    <w:p>
      <w:pPr>
        <w:ind w:left="1008"/>
      </w:pPr>
      <w:r>
        <w:rPr>
          <w:color w:val="003366"/>
          <w:sz w:val="18"/>
        </w:rPr>
        <w:t>d) planos plurianuais, diretrizes orçamentárias, orçamento e créditos adicionais</w:t>
      </w:r>
    </w:p>
    <w:p>
      <w:pPr>
        <w:ind w:left="432"/>
      </w:pPr>
      <w:r>
        <w:rPr>
          <w:color w:val="003366"/>
          <w:sz w:val="18"/>
        </w:rPr>
        <w:t xml:space="preserve">§ 2 Medida provisória que implique instituição ou majoração de impostos, exceto </w:t>
      </w:r>
    </w:p>
    <w:p>
      <w:pPr>
        <w:ind w:left="432"/>
      </w:pPr>
      <w:r>
        <w:rPr>
          <w:color w:val="003366"/>
          <w:sz w:val="18"/>
        </w:rPr>
        <w:t>§ 3 As medidas provisórias, ressalvado o disposto nos §§ 11 e 12 perderão eficác</w:t>
      </w:r>
    </w:p>
    <w:p>
      <w:pPr>
        <w:ind w:left="432"/>
      </w:pPr>
      <w:r>
        <w:rPr>
          <w:color w:val="003366"/>
          <w:sz w:val="18"/>
        </w:rPr>
        <w:t>§ 4 O prazo a que se refere o § 3º contar-se-á da publicação da medida provisóri</w:t>
      </w:r>
    </w:p>
    <w:p>
      <w:pPr>
        <w:ind w:left="432"/>
      </w:pPr>
      <w:r>
        <w:rPr>
          <w:color w:val="003366"/>
          <w:sz w:val="18"/>
        </w:rPr>
        <w:t>§ 5 A deliberação de cada uma das Casas do Congresso Nacional sobre o mérito das</w:t>
      </w:r>
    </w:p>
    <w:p>
      <w:pPr>
        <w:ind w:left="432"/>
      </w:pPr>
      <w:r>
        <w:rPr>
          <w:color w:val="003366"/>
          <w:sz w:val="18"/>
        </w:rPr>
        <w:t>§ 6 Se a medida provisória não for apreciada em até quarenta e cinco dias contad</w:t>
      </w:r>
    </w:p>
    <w:p>
      <w:pPr>
        <w:ind w:left="432"/>
      </w:pPr>
      <w:r>
        <w:rPr>
          <w:color w:val="003366"/>
          <w:sz w:val="18"/>
        </w:rPr>
        <w:t>§ 7 Prorrogar-se-á uma única vez por igual período a vigência de medida provisór</w:t>
      </w:r>
    </w:p>
    <w:p>
      <w:pPr>
        <w:ind w:left="432"/>
      </w:pPr>
      <w:r>
        <w:rPr>
          <w:color w:val="003366"/>
          <w:sz w:val="18"/>
        </w:rPr>
        <w:t>§ 8 As medidas provisórias terão sua votação iniciada na Câmara dos Deputados. (</w:t>
      </w:r>
    </w:p>
    <w:p>
      <w:pPr>
        <w:ind w:left="432"/>
      </w:pPr>
      <w:r>
        <w:rPr>
          <w:color w:val="003366"/>
          <w:sz w:val="18"/>
        </w:rPr>
        <w:t>§ 9 Caberá à comissão mista de Deputados e Senadores examinar as medidas provisó</w:t>
      </w:r>
    </w:p>
    <w:p>
      <w:pPr>
        <w:ind w:left="432"/>
      </w:pPr>
      <w:r>
        <w:rPr>
          <w:color w:val="003366"/>
          <w:sz w:val="18"/>
        </w:rPr>
        <w:t xml:space="preserve">§ 10 É vedada a reedição, na mesma sessão legislativa, de medida provisória que </w:t>
      </w:r>
    </w:p>
    <w:p>
      <w:pPr>
        <w:ind w:left="432"/>
      </w:pPr>
      <w:r>
        <w:rPr>
          <w:color w:val="003366"/>
          <w:sz w:val="18"/>
        </w:rPr>
        <w:t xml:space="preserve">§ 11 Não editado o decreto legislativo a que se refere o § 3º até sessenta dias </w:t>
      </w:r>
    </w:p>
    <w:p>
      <w:pPr>
        <w:ind w:left="432"/>
      </w:pPr>
      <w:r>
        <w:rPr>
          <w:color w:val="003366"/>
          <w:sz w:val="18"/>
        </w:rPr>
        <w:t>§ 12 Aprovado projeto de lei de conversão alterando o texto original da medida p</w:t>
      </w:r>
    </w:p>
    <w:p>
      <w:r>
        <w:rPr>
          <w:b/>
          <w:color w:val="003366"/>
          <w:sz w:val="20"/>
        </w:rPr>
        <w:t>Art. 63 Não será admitido aumento da despesa prevista:</w:t>
      </w:r>
      <w:r>
        <w:rPr>
          <w:color w:val="8C8C8C"/>
          <w:sz w:val="14"/>
        </w:rPr>
        <w:t xml:space="preserve">  [9 decisoes]</w:t>
      </w:r>
    </w:p>
    <w:p>
      <w:pPr>
        <w:ind w:left="144"/>
      </w:pPr>
      <w:r>
        <w:rPr>
          <w:b/>
          <w:color w:val="B45A00"/>
          <w:sz w:val="16"/>
        </w:rPr>
        <w:t>CONTROLE CONCENTRADO</w:t>
      </w:r>
    </w:p>
    <w:p>
      <w:pPr>
        <w:ind w:left="288"/>
      </w:pPr>
      <w:r>
        <w:rPr>
          <w:color w:val="8C8C8C"/>
          <w:sz w:val="12"/>
        </w:rPr>
        <w:t>cf-art-63-inc-I</w:t>
      </w:r>
      <w:r>
        <w:rPr>
          <w:color w:val="003CA0"/>
          <w:sz w:val="12"/>
        </w:rPr>
        <w:t xml:space="preserve"> | ADI 2.791</w:t>
      </w:r>
      <w:r>
        <w:rPr>
          <w:color w:val="003CA0"/>
          <w:sz w:val="12"/>
        </w:rPr>
        <w:t xml:space="preserve"> | rel. Gilmar Mendes</w:t>
      </w:r>
    </w:p>
    <w:p>
      <w:pPr>
        <w:ind w:left="288"/>
      </w:pPr>
      <w:r>
        <w:rPr>
          <w:color w:val="1E1E1E"/>
          <w:sz w:val="18"/>
        </w:rPr>
        <w:t>Inconstitucionalidade formal caracterizada. Emenda parlamentar a projeto de iniciativa exclusiva do chefe do Executivo que resulta em aumento de despesa afronta o art. 63, I, c/c o 61, § 1º, II, c, da CF.</w:t>
      </w:r>
    </w:p>
    <w:p>
      <w:pPr>
        <w:ind w:left="288"/>
      </w:pPr>
      <w:r>
        <w:rPr>
          <w:b/>
          <w:color w:val="003CA0"/>
          <w:sz w:val="16"/>
        </w:rPr>
        <w:t>[ADI 2.791, rel. min. Gilmar Mendes, j. 16-8-2006, P, DJ de 24-11-2006.]</w:t>
      </w:r>
    </w:p>
    <w:p>
      <w:pPr>
        <w:ind w:left="288"/>
      </w:pPr>
      <w:r>
        <w:rPr>
          <w:color w:val="8C8C8C"/>
          <w:sz w:val="12"/>
        </w:rPr>
        <w:t>cf-art-63-inc-I</w:t>
      </w:r>
      <w:r>
        <w:rPr>
          <w:color w:val="003CA0"/>
          <w:sz w:val="12"/>
        </w:rPr>
        <w:t xml:space="preserve"> | ADI 4.009</w:t>
      </w:r>
      <w:r>
        <w:rPr>
          <w:color w:val="003CA0"/>
          <w:sz w:val="12"/>
        </w:rPr>
        <w:t xml:space="preserve"> | rel. Eros Grau</w:t>
      </w:r>
    </w:p>
    <w:p>
      <w:pPr>
        <w:ind w:left="288"/>
      </w:pPr>
      <w:r>
        <w:rPr>
          <w:color w:val="1E1E1E"/>
          <w:sz w:val="18"/>
        </w:rPr>
        <w:t>= ADI 4.009, rel. min. Eros Grau, j. 4-2-2009, P, DJE de 29-5-2009 As normas constitucionais de processo legislativo não impossibilitam, em regra, a modificação, por meio de emendas parlamentares, dos projetos de lei enviados pelo chefe do Poder Executivo no exercício de sua iniciativa privativa. Essa atribuição do Poder Legislativo brasileiro esbarra, porém, em duas limitações: a) a impossibilidade de o Parlamento veicular matérias diferentes das versadas no projeto de lei, de modo a desfigurá-lo; e b) a impossibilidade de as emendas parlamentares aos projetos de lei de iniciativa do presiden</w:t>
      </w:r>
    </w:p>
    <w:p>
      <w:pPr>
        <w:ind w:left="288"/>
      </w:pPr>
      <w:r>
        <w:rPr>
          <w:b/>
          <w:color w:val="003CA0"/>
          <w:sz w:val="16"/>
        </w:rPr>
        <w:t>[ADI 3.114, rel. min. Ayres Britto, j. 24-8-2005, P, DJ de 7-4-2006.]</w:t>
      </w:r>
    </w:p>
    <w:p>
      <w:pPr>
        <w:ind w:left="288"/>
      </w:pPr>
      <w:r>
        <w:rPr>
          <w:color w:val="8C8C8C"/>
          <w:sz w:val="12"/>
        </w:rPr>
        <w:t>cf-art-63-inc-I</w:t>
      </w:r>
      <w:r>
        <w:rPr>
          <w:color w:val="003CA0"/>
          <w:sz w:val="12"/>
        </w:rPr>
        <w:t xml:space="preserve"> | ADI 2.583</w:t>
      </w:r>
      <w:r>
        <w:rPr>
          <w:color w:val="003CA0"/>
          <w:sz w:val="12"/>
        </w:rPr>
        <w:t xml:space="preserve"> | rel. Cármen Lúcia</w:t>
      </w:r>
    </w:p>
    <w:p>
      <w:pPr>
        <w:ind w:left="288"/>
      </w:pPr>
      <w:r>
        <w:rPr>
          <w:color w:val="1E1E1E"/>
          <w:sz w:val="18"/>
        </w:rPr>
        <w:t>= ADI 2.583, rel. min. Cármen Lúcia, j. 1º-8-2011, P, DJE de 26-8-2011 O poder de emendar – que não constitui derivação do poder de iniciar o processo de formação das leis – qualifica-se como prerrogativa deferida aos parlamentares, que se sujeitam, no entanto, quanto ao seu exercício, às restrições impostas, em numerus clausus, pela CF. A CF de 1988, prestigiando o exercício da função parlamentar, afastou muitas das restrições que incidiam, especificamente, no regime constitucional anterior, sobre o poder de emenda reconhecido aos membros do Legislativo. O legislador constituinte, ao assim pr</w:t>
      </w:r>
    </w:p>
    <w:p>
      <w:pPr>
        <w:ind w:left="288"/>
      </w:pPr>
      <w:r>
        <w:rPr>
          <w:b/>
          <w:color w:val="003CA0"/>
          <w:sz w:val="16"/>
        </w:rPr>
        <w:t>[ADI 2.681 MC, rel. min. Celso de Mello, j. 11-9-2002, P, DJE de 25-10-2013.]</w:t>
      </w:r>
    </w:p>
    <w:p>
      <w:pPr>
        <w:ind w:left="288"/>
      </w:pPr>
      <w:r>
        <w:rPr>
          <w:color w:val="8C8C8C"/>
          <w:sz w:val="12"/>
        </w:rPr>
        <w:t>cf-art-63-inc-I</w:t>
      </w:r>
      <w:r>
        <w:rPr>
          <w:color w:val="003CA0"/>
          <w:sz w:val="12"/>
        </w:rPr>
        <w:t xml:space="preserve"> | ADI 774</w:t>
      </w:r>
      <w:r>
        <w:rPr>
          <w:color w:val="003CA0"/>
          <w:sz w:val="12"/>
        </w:rPr>
        <w:t xml:space="preserve"> | rel. Sepúlveda Pertence</w:t>
      </w:r>
    </w:p>
    <w:p>
      <w:pPr>
        <w:ind w:left="288"/>
      </w:pPr>
      <w:r>
        <w:rPr>
          <w:color w:val="1E1E1E"/>
          <w:sz w:val="18"/>
        </w:rPr>
        <w:t>Processo legislativo da União: observância compulsória pelos Estados de seus princípios básicos, por sua implicação com o princípio fundamental da separação e independência dos Poderes: jurisprudência do Supremo Tribunal. Processo legislativo: emenda de origem parlamentar a projeto de iniciativa reservada a outro poder: inconstitucionalidade, quando da alteração resulte aumento da despesa consequente ao projeto inicial (...).</w:t>
      </w:r>
    </w:p>
    <w:p>
      <w:pPr>
        <w:ind w:left="288"/>
      </w:pPr>
      <w:r>
        <w:rPr>
          <w:b/>
          <w:color w:val="003CA0"/>
          <w:sz w:val="16"/>
        </w:rPr>
        <w:t>[ADI 774, rel. min. Sepúlveda Pertence, j. 10-12-1998, P, DJ de 26-2-1999.]</w:t>
      </w:r>
    </w:p>
    <w:p>
      <w:pPr>
        <w:ind w:left="288"/>
      </w:pPr>
      <w:r>
        <w:rPr>
          <w:color w:val="8C8C8C"/>
          <w:sz w:val="12"/>
        </w:rPr>
        <w:t>cf-art-63-inc-I</w:t>
      </w:r>
      <w:r>
        <w:rPr>
          <w:color w:val="003CA0"/>
          <w:sz w:val="12"/>
        </w:rPr>
        <w:t xml:space="preserve"> | RE 745.811</w:t>
      </w:r>
      <w:r>
        <w:rPr>
          <w:color w:val="003CA0"/>
          <w:sz w:val="12"/>
        </w:rPr>
        <w:t xml:space="preserve"> | rel. Gilmar Mendes</w:t>
      </w:r>
    </w:p>
    <w:p>
      <w:pPr>
        <w:ind w:left="288"/>
      </w:pPr>
      <w:r>
        <w:rPr>
          <w:color w:val="1E1E1E"/>
          <w:sz w:val="18"/>
        </w:rPr>
        <w:t>= RE 745.811 RG, rel. min. Gilmar Mendes, j. 17-10-2013, P, DJE de 6-11-2013, Tema 686</w:t>
      </w:r>
    </w:p>
    <w:p>
      <w:pPr>
        <w:ind w:left="144"/>
      </w:pPr>
      <w:r>
        <w:rPr>
          <w:b/>
          <w:color w:val="B45A00"/>
          <w:sz w:val="16"/>
        </w:rPr>
        <w:t>REPERCUSSAO GERAL</w:t>
      </w:r>
    </w:p>
    <w:p>
      <w:pPr>
        <w:ind w:left="288"/>
      </w:pPr>
      <w:r>
        <w:rPr>
          <w:color w:val="8C8C8C"/>
          <w:sz w:val="12"/>
        </w:rPr>
        <w:t>cf-art-63-inc-I</w:t>
      </w:r>
      <w:r>
        <w:rPr>
          <w:color w:val="003CA0"/>
          <w:sz w:val="12"/>
        </w:rPr>
        <w:t xml:space="preserve"> | RE 745.811</w:t>
      </w:r>
      <w:r>
        <w:rPr>
          <w:color w:val="003CA0"/>
          <w:sz w:val="12"/>
        </w:rPr>
        <w:t xml:space="preserve"> | rel. Gilmar Mendes</w:t>
      </w:r>
    </w:p>
    <w:p>
      <w:pPr>
        <w:ind w:left="288"/>
      </w:pPr>
      <w:r>
        <w:rPr>
          <w:color w:val="1E1E1E"/>
          <w:sz w:val="18"/>
        </w:rPr>
        <w:t xml:space="preserve">Dispositivos resultantes de emenda parlamentar que estenderam gratificação, inicialmente prevista apenas para os professores, a todos os servidores que atuem na área de educação especial. Inconstitucionalidade formal. Arts. 2º e 63, I, da CF. </w:t>
        <w:br/>
        <w:t>[RE 745.811 RG, rel. min. Gilmar Mendes, j. 17-10-2013, P, DJE de 6-11-2013, Tema 686, com mérito julgado.]</w:t>
        <w:br/>
        <w:t>= ADI 774, rel. min. Sepúlveda Pertence, j. 10-12-1998, P, DJ de 26-2-1999</w:t>
      </w:r>
    </w:p>
    <w:p>
      <w:pPr>
        <w:ind w:left="144"/>
      </w:pPr>
      <w:r>
        <w:rPr>
          <w:b/>
          <w:color w:val="B45A00"/>
          <w:sz w:val="16"/>
        </w:rPr>
        <w:t>JULGADOS CORRELATOS</w:t>
      </w:r>
    </w:p>
    <w:p>
      <w:pPr>
        <w:ind w:left="288"/>
      </w:pPr>
      <w:r>
        <w:rPr>
          <w:color w:val="8C8C8C"/>
          <w:sz w:val="12"/>
        </w:rPr>
        <w:t>cf-art-63-inc-I</w:t>
      </w:r>
      <w:r>
        <w:rPr>
          <w:color w:val="003CA0"/>
          <w:sz w:val="12"/>
        </w:rPr>
        <w:t xml:space="preserve"> | RE 274.383</w:t>
      </w:r>
      <w:r>
        <w:rPr>
          <w:color w:val="003CA0"/>
          <w:sz w:val="12"/>
        </w:rPr>
        <w:t xml:space="preserve"> | rel. Ellen Gracie</w:t>
      </w:r>
    </w:p>
    <w:p>
      <w:pPr>
        <w:ind w:left="288"/>
      </w:pPr>
      <w:r>
        <w:rPr>
          <w:color w:val="1E1E1E"/>
          <w:sz w:val="18"/>
        </w:rPr>
        <w:t>Norma que rege o regime jurídico de servidor público. Iniciativa privativa do chefe do Executivo. Alegação de inconstitucionalidade dessa regra, ante a emenda da Câmara de Vereadores, que reduziu o tempo mínimo de exercício de quinze para doze anos. Entendimento consolidado desta Corte no sentido de ser permitido a parlamentares apresentar emendas a projeto de iniciativa privativa do Executivo, desde que não causem aumento de despesas (art. 61, § 1º, a e c, c/c art. 63, I, todos da CF/1988). Inaplicabilidade ao caso concreto. Se a norma impugnada for retirada do mundo jurídico, desaparecerá qu</w:t>
      </w:r>
    </w:p>
    <w:p>
      <w:pPr>
        <w:ind w:left="288"/>
      </w:pPr>
      <w:r>
        <w:rPr>
          <w:b/>
          <w:color w:val="003CA0"/>
          <w:sz w:val="16"/>
        </w:rPr>
        <w:t>[RE 274.383, rel. min. Ellen Gracie, j. 29-3-2005, 2ª T, DJ de 22-4-2005.]</w:t>
      </w:r>
    </w:p>
    <w:p>
      <w:pPr>
        <w:ind w:left="144"/>
      </w:pPr>
      <w:r>
        <w:rPr>
          <w:b/>
          <w:color w:val="B45A00"/>
          <w:sz w:val="16"/>
        </w:rPr>
        <w:t>CONTROLE CONCENTRADO</w:t>
      </w:r>
    </w:p>
    <w:p>
      <w:pPr>
        <w:ind w:left="288"/>
      </w:pPr>
      <w:r>
        <w:rPr>
          <w:color w:val="8C8C8C"/>
          <w:sz w:val="12"/>
        </w:rPr>
        <w:t>cf-art-63-inc-II</w:t>
      </w:r>
      <w:r>
        <w:rPr>
          <w:color w:val="003CA0"/>
          <w:sz w:val="12"/>
        </w:rPr>
        <w:t xml:space="preserve"> | ADI 865</w:t>
      </w:r>
      <w:r>
        <w:rPr>
          <w:color w:val="003CA0"/>
          <w:sz w:val="12"/>
        </w:rPr>
        <w:t xml:space="preserve"> | rel. Celso de Mello</w:t>
      </w:r>
    </w:p>
    <w:p>
      <w:pPr>
        <w:ind w:left="288"/>
      </w:pPr>
      <w:r>
        <w:rPr>
          <w:color w:val="1E1E1E"/>
          <w:sz w:val="18"/>
        </w:rPr>
        <w:t>O projeto de lei sobre organização judiciária pode sofrer emendas parlamentares de que resulte, até mesmo, aumento da despesa prevista. O conteúdo restritivo da norma inscrita no art. 63, II, da CF, que concerne exclusivamente aos serviços administrativos estruturados na secretaria dos tribunais, não se aplica aos projetos referentes à organização judiciária, eis que as limitações expressamente previstas, nesse tema, pela Carta Política de 1969 (art. 144, § 5º, in fine) deixaram de ser reproduzidas pelo vigente ordenamento constitucional.</w:t>
      </w:r>
    </w:p>
    <w:p>
      <w:pPr>
        <w:ind w:left="288"/>
      </w:pPr>
      <w:r>
        <w:rPr>
          <w:b/>
          <w:color w:val="003CA0"/>
          <w:sz w:val="16"/>
        </w:rPr>
        <w:t>[ADI 865 MC, rel. min. Celso de Mello, j. 7-10-1993, P, DJ de 8-4-1994.]</w:t>
      </w:r>
    </w:p>
    <w:p>
      <w:pPr>
        <w:ind w:left="144"/>
      </w:pPr>
      <w:r>
        <w:rPr>
          <w:b/>
          <w:color w:val="B45A00"/>
          <w:sz w:val="16"/>
        </w:rPr>
        <w:t>JULGADOS CORRELATOS</w:t>
      </w:r>
    </w:p>
    <w:p>
      <w:pPr>
        <w:ind w:left="288"/>
      </w:pPr>
      <w:r>
        <w:rPr>
          <w:color w:val="8C8C8C"/>
          <w:sz w:val="12"/>
        </w:rPr>
        <w:t>cf-art-63-inc-II</w:t>
      </w:r>
      <w:r>
        <w:rPr>
          <w:color w:val="003CA0"/>
          <w:sz w:val="12"/>
        </w:rPr>
        <w:t xml:space="preserve"> | RE 140.542</w:t>
      </w:r>
      <w:r>
        <w:rPr>
          <w:color w:val="003CA0"/>
          <w:sz w:val="12"/>
        </w:rPr>
        <w:t xml:space="preserve"> | rel. Ilmar Galvão</w:t>
      </w:r>
    </w:p>
    <w:p>
      <w:pPr>
        <w:ind w:left="288"/>
      </w:pPr>
      <w:r>
        <w:rPr>
          <w:color w:val="1E1E1E"/>
          <w:sz w:val="18"/>
        </w:rPr>
        <w:t>Art. 2º da Lei 1.509/1989/RJ, pelo qual foi atribuída a competência aos respectivos juízos de cognição para execução das sentenças criminais por eles proferidas. Acórdão que declarou a inconstitucionalidade da norma, ao fundamento de haver ela resultado de emenda a projeto de lei de iniciativa do Poder Judiciário, no curso do trâmite legislativo. Decisão insustentável, já que a iniciativa de lei constitui mero pressuposto objetivo vinculatório do procedimento legislativo, que se exaure no impulso dado pelo poder competente, sem o efeito de reduzir a atuação do Poder Legislativo a uma simples a</w:t>
      </w:r>
    </w:p>
    <w:p>
      <w:pPr>
        <w:ind w:left="288"/>
      </w:pPr>
      <w:r>
        <w:rPr>
          <w:b/>
          <w:color w:val="003CA0"/>
          <w:sz w:val="16"/>
        </w:rPr>
        <w:t>[RE 140.542, rel. min. Ilmar Galvão, j. 30-9-1993, P, DJ de 25-10-1996.]</w:t>
      </w:r>
    </w:p>
    <w:p>
      <w:pPr>
        <w:ind w:left="720"/>
      </w:pPr>
      <w:r>
        <w:rPr>
          <w:color w:val="003366"/>
          <w:sz w:val="18"/>
        </w:rPr>
        <w:t xml:space="preserve">I – nos projetos de iniciativa exclusiva do Presidente da República, ressalvado </w:t>
      </w:r>
    </w:p>
    <w:p>
      <w:pPr>
        <w:ind w:left="720"/>
      </w:pPr>
      <w:r>
        <w:rPr>
          <w:color w:val="003366"/>
          <w:sz w:val="18"/>
        </w:rPr>
        <w:t>II – nos projetos sobre organização dos serviços administrativos da Câmara dos D</w:t>
      </w:r>
    </w:p>
    <w:p>
      <w:r>
        <w:rPr>
          <w:b/>
          <w:color w:val="003366"/>
          <w:sz w:val="20"/>
        </w:rPr>
        <w:t>Art. 64 A discussão e votação dos projetos de lei de iniciativa do Presidente da</w:t>
      </w:r>
      <w:r>
        <w:rPr>
          <w:color w:val="8C8C8C"/>
          <w:sz w:val="14"/>
        </w:rPr>
        <w:t xml:space="preserve">  [3 decisoes]</w:t>
      </w:r>
    </w:p>
    <w:p>
      <w:pPr>
        <w:ind w:left="144"/>
      </w:pPr>
      <w:r>
        <w:rPr>
          <w:b/>
          <w:color w:val="B45A00"/>
          <w:sz w:val="16"/>
        </w:rPr>
        <w:t>CONTROLE CONCENTRADO</w:t>
      </w:r>
    </w:p>
    <w:p>
      <w:pPr>
        <w:ind w:left="288"/>
      </w:pPr>
      <w:r>
        <w:rPr>
          <w:color w:val="8C8C8C"/>
          <w:sz w:val="12"/>
        </w:rPr>
        <w:t>cf-art-64-par-1</w:t>
      </w:r>
      <w:r>
        <w:rPr>
          <w:color w:val="003CA0"/>
          <w:sz w:val="12"/>
        </w:rPr>
        <w:t xml:space="preserve"> | ADI 3.682</w:t>
      </w:r>
      <w:r>
        <w:rPr>
          <w:color w:val="003CA0"/>
          <w:sz w:val="12"/>
        </w:rPr>
        <w:t xml:space="preserve"> | rel. Gilmar Mendes</w:t>
      </w:r>
    </w:p>
    <w:p>
      <w:pPr>
        <w:ind w:left="288"/>
      </w:pPr>
      <w:r>
        <w:rPr>
          <w:color w:val="1E1E1E"/>
          <w:sz w:val="18"/>
        </w:rPr>
        <w:t>Assim, questão que ainda está a merecer melhor exame diz respeito à inertia deliberandi (discussão e votação) no âmbito das Casas Legislativas. Enquanto a sanção e o veto estão disciplinados, de forma relativamente precisa, no texto constitucional, inclusive no que concerne a prazos (art. 66), a deliberação não mereceu do constituinte, no tocante a esse aspecto, uma disciplina mais minuciosa. Ressalvada a hipótese de utilização do procedimento abreviado previsto no art. 64, §§ 1º e 2º, da Constituição, não se estabeleceram prazos para a apreciação dos projetos de lei. Observe-se que, mesmo nos</w:t>
      </w:r>
    </w:p>
    <w:p>
      <w:pPr>
        <w:ind w:left="288"/>
      </w:pPr>
      <w:r>
        <w:rPr>
          <w:b/>
          <w:color w:val="003CA0"/>
          <w:sz w:val="16"/>
        </w:rPr>
        <w:t>[ADI 3.682, voto do rel. min. Gilmar Mendes, j. 9-5-2007, P, DJ de 6-9-2007.]</w:t>
      </w:r>
    </w:p>
    <w:p>
      <w:pPr>
        <w:ind w:left="288"/>
      </w:pPr>
      <w:r>
        <w:rPr>
          <w:color w:val="8C8C8C"/>
          <w:sz w:val="12"/>
        </w:rPr>
        <w:t>cf-art-64-par-1</w:t>
      </w:r>
      <w:r>
        <w:rPr>
          <w:color w:val="003CA0"/>
          <w:sz w:val="12"/>
        </w:rPr>
        <w:t xml:space="preserve"> | ADI 525</w:t>
      </w:r>
      <w:r>
        <w:rPr>
          <w:color w:val="003CA0"/>
          <w:sz w:val="12"/>
        </w:rPr>
        <w:t xml:space="preserve"> | rel. Sepúlveda Pertence</w:t>
      </w:r>
    </w:p>
    <w:p>
      <w:pPr>
        <w:ind w:left="288"/>
      </w:pPr>
      <w:r>
        <w:rPr>
          <w:color w:val="1E1E1E"/>
          <w:sz w:val="18"/>
        </w:rPr>
        <w:t>Medida provisória: (...) edição na pendência, em regime de urgência, de projeto de lei sobre matéria de iniciativa presidencial. (...) A circunstância de a MP 296/1991 ter sido baixada no curso do processo legislativo, em regime de urgência(...), sobre projeto de iniciativa presidencial abrangendo a matéria por ela regulada, não ilide, por si só, a possibilidade constitucional da sua edição.</w:t>
      </w:r>
    </w:p>
    <w:p>
      <w:pPr>
        <w:ind w:left="288"/>
      </w:pPr>
      <w:r>
        <w:rPr>
          <w:b/>
          <w:color w:val="003CA0"/>
          <w:sz w:val="16"/>
        </w:rPr>
        <w:t>[ADI 525 MC, rel. min. Sepúlveda Pertence, j. 12-6-1991, P, DJ de 2-4-2004.]</w:t>
      </w:r>
    </w:p>
    <w:p>
      <w:pPr>
        <w:ind w:left="288"/>
      </w:pPr>
      <w:r>
        <w:rPr>
          <w:color w:val="8C8C8C"/>
          <w:sz w:val="12"/>
        </w:rPr>
        <w:t>cf-art-64-par-1</w:t>
      </w:r>
    </w:p>
    <w:p>
      <w:pPr>
        <w:ind w:left="288"/>
      </w:pPr>
      <w:r>
        <w:rPr>
          <w:color w:val="1E1E1E"/>
          <w:sz w:val="18"/>
        </w:rPr>
        <w:t>§ 2º Se, no caso do § 1º, a Câmara dos Deputados e o Senado Federal não se manifestarem sobre a proposição, cada qual sucessivamente, em até quarenta e cinco dias, sobrestar-se-ão todas as demais deliberações legislativas da respectiva Casa, com exceção das que tenham prazo constitucional determinado, até que se ultime a votação. (Redação da EC 32/2001)</w:t>
      </w:r>
    </w:p>
    <w:p>
      <w:pPr>
        <w:ind w:left="432"/>
      </w:pPr>
      <w:r>
        <w:rPr>
          <w:color w:val="003366"/>
          <w:sz w:val="18"/>
        </w:rPr>
        <w:t>§ 1 O Presidente da República poderá solicitar urgência para apreciação de proje</w:t>
      </w:r>
    </w:p>
    <w:p>
      <w:pPr>
        <w:ind w:left="432"/>
      </w:pPr>
      <w:r>
        <w:rPr>
          <w:color w:val="003366"/>
          <w:sz w:val="18"/>
        </w:rPr>
        <w:t>§ 2 Se, no caso do § 1º, a Câmara dos Deputados e o Senado Federal não se manife</w:t>
      </w:r>
    </w:p>
    <w:p>
      <w:pPr>
        <w:ind w:left="432"/>
      </w:pPr>
      <w:r>
        <w:rPr>
          <w:color w:val="003366"/>
          <w:sz w:val="18"/>
        </w:rPr>
        <w:t>§ 3 A apreciação das emendas do Senado Federal pela Câmara dos Deputados far-se-</w:t>
      </w:r>
    </w:p>
    <w:p>
      <w:pPr>
        <w:ind w:left="432"/>
      </w:pPr>
      <w:r>
        <w:rPr>
          <w:color w:val="003366"/>
          <w:sz w:val="18"/>
        </w:rPr>
        <w:t xml:space="preserve">§ 4 Os prazos do § 2º não correm nos períodos de recesso do Congresso Nacional, </w:t>
      </w:r>
    </w:p>
    <w:p>
      <w:r>
        <w:rPr>
          <w:b/>
          <w:color w:val="003366"/>
          <w:sz w:val="20"/>
        </w:rPr>
        <w:t>Art. 65 O projeto de lei aprovado por uma Casa será revisto pela outra, em um só</w:t>
      </w:r>
      <w:r>
        <w:rPr>
          <w:color w:val="8C8C8C"/>
          <w:sz w:val="14"/>
        </w:rPr>
        <w:t xml:space="preserve">  [4 decisoes]</w:t>
      </w:r>
    </w:p>
    <w:p>
      <w:pPr>
        <w:ind w:left="288"/>
      </w:pPr>
      <w:r>
        <w:rPr>
          <w:color w:val="8C8C8C"/>
          <w:sz w:val="12"/>
        </w:rPr>
        <w:t>cf-art-65-par-unico</w:t>
      </w:r>
      <w:r>
        <w:rPr>
          <w:color w:val="003CA0"/>
          <w:sz w:val="12"/>
        </w:rPr>
        <w:t xml:space="preserve"> | ADI 6.085</w:t>
      </w:r>
      <w:r>
        <w:rPr>
          <w:color w:val="003CA0"/>
          <w:sz w:val="12"/>
        </w:rPr>
        <w:t xml:space="preserve"> | rel. Cristiano Zanin</w:t>
      </w:r>
    </w:p>
    <w:p>
      <w:pPr>
        <w:ind w:left="288"/>
      </w:pPr>
      <w:r>
        <w:rPr>
          <w:color w:val="1E1E1E"/>
          <w:sz w:val="18"/>
        </w:rPr>
        <w:t>Mostra-se relevante perquirir, diante de uma emenda apresentada pela Casa Revisora, se ela possui, ou não, aptidão para modificar a proposição jurídica originalmente encaminhada pela Casa Iniciadora. Caso se compreenda que a Casa Revisora introduziu emenda que implica alteração, supressão ou complementação de conteúdo, mostra-se indispensável o retorno à Casa Iniciadora para análise e deliberação. Caso se entenda em sentido diverso, ou seja, que a emenda inserida pela Casa Revisora não acarretou modificação quanto à substância do projeto, revela-se prescindível o retorno à Casa Iniciadora.</w:t>
      </w:r>
    </w:p>
    <w:p>
      <w:pPr>
        <w:ind w:left="288"/>
      </w:pPr>
      <w:r>
        <w:rPr>
          <w:b/>
          <w:color w:val="003CA0"/>
          <w:sz w:val="16"/>
        </w:rPr>
        <w:t>[ADI 6.085, rel. min. Cristiano Zanin, red. do ac. min. Gilmar Mendes, j. 19.08.2025, P, DJE de 08.10.2025.]</w:t>
      </w:r>
    </w:p>
    <w:p>
      <w:pPr>
        <w:ind w:left="288"/>
      </w:pPr>
      <w:r>
        <w:rPr>
          <w:color w:val="8C8C8C"/>
          <w:sz w:val="12"/>
        </w:rPr>
        <w:t>cf-art-65-par-unico</w:t>
      </w:r>
      <w:r>
        <w:rPr>
          <w:color w:val="003CA0"/>
          <w:sz w:val="12"/>
        </w:rPr>
        <w:t xml:space="preserve"> | ADI 7.442</w:t>
      </w:r>
      <w:r>
        <w:rPr>
          <w:color w:val="003CA0"/>
          <w:sz w:val="12"/>
        </w:rPr>
        <w:t xml:space="preserve"> | rel. Alexandre de Moraes</w:t>
      </w:r>
    </w:p>
    <w:p>
      <w:pPr>
        <w:ind w:left="288"/>
      </w:pPr>
      <w:r>
        <w:rPr>
          <w:color w:val="1E1E1E"/>
          <w:sz w:val="18"/>
        </w:rPr>
        <w:t>A observância de regularidade do devido processo legislativo em ambas as Casas Legislativas é imprescindível em face do bicameralismo de nosso Congresso Nacional, que consagra, em regra, a necessidade de discussão e aprovação de um projeto de lei por ambas as casas, exigindo que qualquer alteração de conteúdo ao projeto aprovado por uma delas retorne à outra. 4. O Senado Federal especificou, exclusivamente, que as sociedades cooperativas operadoras de plano de assistência à saúde não estão contidas na limitação constante do art. 2º, II a Lei 11.101/2005. Nesse sentido, não alterou substancialm</w:t>
      </w:r>
    </w:p>
    <w:p>
      <w:pPr>
        <w:ind w:left="288"/>
      </w:pPr>
      <w:r>
        <w:rPr>
          <w:b/>
          <w:color w:val="003CA0"/>
          <w:sz w:val="16"/>
        </w:rPr>
        <w:t>[ADI 7.442, rel. min. Alexandre de Moraes, j. 24.10.2024, P, DJE de 07.02.2025.]</w:t>
      </w:r>
    </w:p>
    <w:p>
      <w:pPr>
        <w:ind w:left="144"/>
      </w:pPr>
      <w:r>
        <w:rPr>
          <w:b/>
          <w:color w:val="B45A00"/>
          <w:sz w:val="16"/>
        </w:rPr>
        <w:t>CONTROLE CONCENTRADO</w:t>
      </w:r>
    </w:p>
    <w:p>
      <w:pPr>
        <w:ind w:left="288"/>
      </w:pPr>
      <w:r>
        <w:rPr>
          <w:color w:val="8C8C8C"/>
          <w:sz w:val="12"/>
        </w:rPr>
        <w:t>cf-art-65-par-unico</w:t>
      </w:r>
      <w:r>
        <w:rPr>
          <w:color w:val="003CA0"/>
          <w:sz w:val="12"/>
        </w:rPr>
        <w:t xml:space="preserve"> | ADI 2.238</w:t>
      </w:r>
      <w:r>
        <w:rPr>
          <w:color w:val="003CA0"/>
          <w:sz w:val="12"/>
        </w:rPr>
        <w:t xml:space="preserve"> | rel. Alexandre de Moraes</w:t>
      </w:r>
    </w:p>
    <w:p>
      <w:pPr>
        <w:ind w:left="288"/>
      </w:pPr>
      <w:r>
        <w:rPr>
          <w:color w:val="1E1E1E"/>
          <w:sz w:val="18"/>
        </w:rPr>
        <w:t>Na presente hipótese, não houve qualquer desrespeito ao devido processo legislativo, tendo sido respeitado integralmente o bicameralismo congressual, pois ambas as Casas legislativas aprovaram os mesmos textos, inexistindo qualquer alteração substancial de conteúdo nos dispositivos impugnados.</w:t>
        <w:br/>
        <w:t>[ADI 2.238, voto do rel. min. Alexandre de Moraes, j. 24-6-2020, P, DJE de 15-9-2020.]</w:t>
        <w:br/>
        <w:t>Vide ADI 2.182, red. do ac. min. Cármen Lúcia, j. 12-5-2010, P, DJE de 10-9-2010 Inconstitucionalidade formal da Lei 8.429/1992 (Lei de Improbidade Administrativa): inexistência. (...) Iniciado o projeto de lei na Câma</w:t>
      </w:r>
    </w:p>
    <w:p>
      <w:pPr>
        <w:ind w:left="288"/>
      </w:pPr>
      <w:r>
        <w:rPr>
          <w:b/>
          <w:color w:val="003CA0"/>
          <w:sz w:val="16"/>
        </w:rPr>
        <w:t>[ADI 2.182, red. do ac. min. Cármen Lúcia, rel. min. Marco Aurélio, j. 12-5-2010, P, DJE de 10-9-2010.]</w:t>
      </w:r>
    </w:p>
    <w:p>
      <w:pPr>
        <w:ind w:left="288"/>
      </w:pPr>
      <w:r>
        <w:rPr>
          <w:color w:val="8C8C8C"/>
          <w:sz w:val="12"/>
        </w:rPr>
        <w:t>cf-art-65-par-unico</w:t>
      </w:r>
      <w:r>
        <w:rPr>
          <w:color w:val="003CA0"/>
          <w:sz w:val="12"/>
        </w:rPr>
        <w:t xml:space="preserve"> | ADI 2.238</w:t>
      </w:r>
      <w:r>
        <w:rPr>
          <w:color w:val="003CA0"/>
          <w:sz w:val="12"/>
        </w:rPr>
        <w:t xml:space="preserve"> | rel. Alexandre de Moraes</w:t>
      </w:r>
    </w:p>
    <w:p>
      <w:pPr>
        <w:ind w:left="288"/>
      </w:pPr>
      <w:r>
        <w:rPr>
          <w:color w:val="1E1E1E"/>
          <w:sz w:val="18"/>
        </w:rPr>
        <w:t>Vide ADI 2.238, rel. min. Alexandre de Moraes, j. 24-6-2020, P, DJE de 15-9-2020 Projeto de lei aprovado na Casa iniciadora (Câmara dos Deputados) e remetido à Casa revisora (Senado Federal), na qual foi aprovado substitutivo, seguindo-se sua volta à Câmara. A aprovação de substitutivo pelo Senado não equivale à rejeição do projeto, visto que "emenda substitutiva é a apresentada à parte de outra proposição, denominando-se 'substitutivo' quando alterar, substancial ou formalmente, em seu conjunto" (§ 4º do art. 118 do Regimento Interno da Câmara dos Deputados); substitutivo, pois, nada mais é d</w:t>
      </w:r>
    </w:p>
    <w:p>
      <w:pPr>
        <w:ind w:left="288"/>
      </w:pPr>
      <w:r>
        <w:rPr>
          <w:b/>
          <w:color w:val="003CA0"/>
          <w:sz w:val="16"/>
        </w:rPr>
        <w:t>[ADI 2.182 MC, rel. min. Maurício Corrêa, j. 31-5-2000, P, DJ de19-3-2004.]</w:t>
      </w:r>
    </w:p>
    <w:p>
      <w:r>
        <w:rPr>
          <w:b/>
          <w:color w:val="003366"/>
          <w:sz w:val="20"/>
        </w:rPr>
        <w:t>Art. 66 A Casa na qual tenha sido concluída a votação enviará o projeto de lei a</w:t>
      </w:r>
      <w:r>
        <w:rPr>
          <w:color w:val="8C8C8C"/>
          <w:sz w:val="14"/>
        </w:rPr>
        <w:t xml:space="preserve">  [12 decisoes]</w:t>
      </w:r>
    </w:p>
    <w:p>
      <w:pPr>
        <w:ind w:left="144"/>
      </w:pPr>
      <w:r>
        <w:rPr>
          <w:b/>
          <w:color w:val="B45A00"/>
          <w:sz w:val="16"/>
        </w:rPr>
        <w:t>CONTROLE CONCENTRADO</w:t>
      </w:r>
    </w:p>
    <w:p>
      <w:pPr>
        <w:ind w:left="288"/>
      </w:pPr>
      <w:r>
        <w:rPr>
          <w:color w:val="8C8C8C"/>
          <w:sz w:val="12"/>
        </w:rPr>
        <w:t>cf-art-66</w:t>
      </w:r>
      <w:r>
        <w:rPr>
          <w:color w:val="003CA0"/>
          <w:sz w:val="12"/>
        </w:rPr>
        <w:t xml:space="preserve"> | ADPF 714</w:t>
      </w:r>
      <w:r>
        <w:rPr>
          <w:color w:val="003CA0"/>
          <w:sz w:val="12"/>
        </w:rPr>
        <w:t xml:space="preserve"> | rel. Gilmar Mendes</w:t>
      </w:r>
    </w:p>
    <w:p>
      <w:pPr>
        <w:ind w:left="288"/>
      </w:pPr>
      <w:r>
        <w:rPr>
          <w:color w:val="1E1E1E"/>
          <w:sz w:val="18"/>
        </w:rPr>
        <w:t>Veto presidencial em projeto de lei que determinava a utilização de máscaras em locais fechados. Novo veto, após sanção parcial, contra dispositivo anteriormente sancionado, que determinava a utilização de máscaras em presídios. Admissibilidade de ADPF contra veto por inconstitucionalidade. Impossibilidade de arrependimento ao veto.</w:t>
      </w:r>
    </w:p>
    <w:p>
      <w:pPr>
        <w:ind w:left="288"/>
      </w:pPr>
      <w:r>
        <w:rPr>
          <w:b/>
          <w:color w:val="003CA0"/>
          <w:sz w:val="16"/>
        </w:rPr>
        <w:t>[ADPF 714, ADPF 715 e ADPF 716, rel. min. Gilmar Mendes, j. 17-2-2021, P, DJE 25-2-2021.]</w:t>
      </w:r>
    </w:p>
    <w:p>
      <w:pPr>
        <w:ind w:left="288"/>
      </w:pPr>
      <w:r>
        <w:rPr>
          <w:color w:val="8C8C8C"/>
          <w:sz w:val="12"/>
        </w:rPr>
        <w:t>cf-art-66</w:t>
      </w:r>
      <w:r>
        <w:rPr>
          <w:color w:val="003CA0"/>
          <w:sz w:val="12"/>
        </w:rPr>
        <w:t xml:space="preserve"> | ADI 2.867</w:t>
      </w:r>
      <w:r>
        <w:rPr>
          <w:color w:val="003CA0"/>
          <w:sz w:val="12"/>
        </w:rPr>
        <w:t xml:space="preserve"> | rel. Celso de Mello</w:t>
      </w:r>
    </w:p>
    <w:p>
      <w:pPr>
        <w:ind w:left="288"/>
      </w:pPr>
      <w:r>
        <w:rPr>
          <w:color w:val="1E1E1E"/>
          <w:sz w:val="18"/>
        </w:rPr>
        <w:t>A sanção do projeto de lei não convalida o vício de inconstitucionalidade resultante da usurpação do poder de iniciativa. A ulterior aquiescência do chefe do Poder Executivo, mediante sanção do projeto de lei, ainda quando dele seja a prerrogativa usurpada, não tem o condão de sanar o vício radical da inconstitucionalidade. Insubsistência da Súmula 5/STF.</w:t>
      </w:r>
    </w:p>
    <w:p>
      <w:pPr>
        <w:ind w:left="288"/>
      </w:pPr>
      <w:r>
        <w:rPr>
          <w:b/>
          <w:color w:val="003CA0"/>
          <w:sz w:val="16"/>
        </w:rPr>
        <w:t>[ADI 2.867, rel. min. Celso de Mello, j. 3-12-2003, P, DJ de 9-2-2007.]</w:t>
      </w:r>
    </w:p>
    <w:p>
      <w:pPr>
        <w:ind w:left="288"/>
      </w:pPr>
      <w:r>
        <w:rPr>
          <w:color w:val="8C8C8C"/>
          <w:sz w:val="12"/>
        </w:rPr>
        <w:t>cf-art-66</w:t>
      </w:r>
      <w:r>
        <w:rPr>
          <w:color w:val="003CA0"/>
          <w:sz w:val="12"/>
        </w:rPr>
        <w:t xml:space="preserve"> | ADI 2.113</w:t>
      </w:r>
      <w:r>
        <w:rPr>
          <w:color w:val="003CA0"/>
          <w:sz w:val="12"/>
        </w:rPr>
        <w:t xml:space="preserve"> | rel. Cármen Lúcia</w:t>
      </w:r>
    </w:p>
    <w:p>
      <w:pPr>
        <w:ind w:left="288"/>
      </w:pPr>
      <w:r>
        <w:rPr>
          <w:color w:val="1E1E1E"/>
          <w:sz w:val="18"/>
        </w:rPr>
        <w:t>= ADI 2.113, rel. min. Cármen Lúcia, j. 4-3-2009, P, DJE de 21-8-2009</w:t>
      </w:r>
    </w:p>
    <w:p>
      <w:pPr>
        <w:ind w:left="144"/>
      </w:pPr>
      <w:r>
        <w:rPr>
          <w:b/>
          <w:color w:val="B45A00"/>
          <w:sz w:val="16"/>
        </w:rPr>
        <w:t>JULGADOS CORRELATOS</w:t>
      </w:r>
    </w:p>
    <w:p>
      <w:pPr>
        <w:ind w:left="288"/>
      </w:pPr>
      <w:r>
        <w:rPr>
          <w:color w:val="8C8C8C"/>
          <w:sz w:val="12"/>
        </w:rPr>
        <w:t>cf-art-66</w:t>
      </w:r>
      <w:r>
        <w:rPr>
          <w:color w:val="003CA0"/>
          <w:sz w:val="12"/>
        </w:rPr>
        <w:t xml:space="preserve"> | RCL 14.156</w:t>
      </w:r>
      <w:r>
        <w:rPr>
          <w:color w:val="003CA0"/>
          <w:sz w:val="12"/>
        </w:rPr>
        <w:t xml:space="preserve"> | rel. Celso de Mello</w:t>
      </w:r>
    </w:p>
    <w:p>
      <w:pPr>
        <w:ind w:left="288"/>
      </w:pPr>
      <w:r>
        <w:rPr>
          <w:color w:val="1E1E1E"/>
          <w:sz w:val="18"/>
        </w:rPr>
        <w:t>Pretendida submissão do processo legislativo ao efeito vinculante que resulta do julgamento, pelo STF, das causas de fiscalização abstrata de constitucionalidade. Inadmissibilidade. Consequente possibilidade de o chefe do Poder Executivo, por meio de sanção (ato impregnado de qualificação constitucional e integrante do próprio processo de formação das leis), converter, em lei, projeto cujo conteúdo estaria em conflito com decisão confirmatória da constitucionalidade de certo diploma legislativo, proferida, em sede de controle abstrato, pela Suprema Corte.</w:t>
      </w:r>
    </w:p>
    <w:p>
      <w:pPr>
        <w:ind w:left="288"/>
      </w:pPr>
      <w:r>
        <w:rPr>
          <w:b/>
          <w:color w:val="003CA0"/>
          <w:sz w:val="16"/>
        </w:rPr>
        <w:t>[Rcl 14.156 AgR, rel. min. Celso de Mello, j. 19-2-2014, P, DJE de 13-5-2014.]</w:t>
      </w:r>
    </w:p>
    <w:p>
      <w:pPr>
        <w:ind w:left="288"/>
      </w:pPr>
      <w:r>
        <w:rPr>
          <w:color w:val="8C8C8C"/>
          <w:sz w:val="12"/>
        </w:rPr>
        <w:t>cf-art-66</w:t>
      </w:r>
      <w:r>
        <w:rPr>
          <w:color w:val="003CA0"/>
          <w:sz w:val="12"/>
        </w:rPr>
        <w:t xml:space="preserve"> | RCL 13.019</w:t>
      </w:r>
      <w:r>
        <w:rPr>
          <w:color w:val="003CA0"/>
          <w:sz w:val="12"/>
        </w:rPr>
        <w:t xml:space="preserve"> | rel. Celso de Mello</w:t>
      </w:r>
    </w:p>
    <w:p>
      <w:pPr>
        <w:ind w:left="288"/>
      </w:pPr>
      <w:r>
        <w:rPr>
          <w:color w:val="1E1E1E"/>
          <w:sz w:val="18"/>
        </w:rPr>
        <w:t>Vide Rcl 13.019 MC, rel. min. Celso de Mello, j. 8-5-2012, dec. monocrática, DJE de 15-5-2012 § 1º Se o Presidente da República considerar o projeto, no todo ou em parte, inconstitucional ou contrário ao interesse público, vetá-lo-á total ou parcialmente, no prazo de quinze dias úteis, contados da data do recebimento, e comunicará, dentro de quarenta e oito horas, ao Presidente do Senado Federal os motivos do veto.</w:t>
      </w:r>
    </w:p>
    <w:p>
      <w:pPr>
        <w:ind w:left="144"/>
      </w:pPr>
      <w:r>
        <w:rPr>
          <w:b/>
          <w:color w:val="B45A00"/>
          <w:sz w:val="16"/>
        </w:rPr>
        <w:t>CONTROLE CONCENTRADO</w:t>
      </w:r>
    </w:p>
    <w:p>
      <w:pPr>
        <w:ind w:left="288"/>
      </w:pPr>
      <w:r>
        <w:rPr>
          <w:color w:val="8C8C8C"/>
          <w:sz w:val="12"/>
        </w:rPr>
        <w:t>cf-art-66</w:t>
      </w:r>
      <w:r>
        <w:rPr>
          <w:color w:val="003CA0"/>
          <w:sz w:val="12"/>
        </w:rPr>
        <w:t xml:space="preserve"> | ADPF 1.078</w:t>
      </w:r>
      <w:r>
        <w:rPr>
          <w:color w:val="003CA0"/>
          <w:sz w:val="12"/>
        </w:rPr>
        <w:t xml:space="preserve"> | rel. Edson Fachin</w:t>
      </w:r>
    </w:p>
    <w:p>
      <w:pPr>
        <w:ind w:left="288"/>
      </w:pPr>
      <w:r>
        <w:rPr>
          <w:color w:val="1E1E1E"/>
          <w:sz w:val="18"/>
        </w:rPr>
        <w:t>A contagem do prazo de 15 dias úteis tem como marco inicial o primeiro dia útil subsequente à data de recebimento da matéria pela chefia do Poder Executivo e, como termo final, a comunicação do veto ao Poder Legislativo, e não a publicação, conforme precedentes desta Corte.</w:t>
        <w:br/>
        <w:t>[ADPF 1.078, rel. min. Edson Fachin, j. 01.07.2024, P, DJE de 10.07.2024.] O poder de veto previsto no art. 66, § 1º, da Constituição não pode ser exercido após o decurso do prazo constitucional de 15 (quinze) dias.</w:t>
        <w:br/>
        <w:t>[ADPF 893, rel. min. Cármen Lúcia, red do ac. min. Roberto Barroso, j. 21-6-2022, P, DJE de 5-9-2022.] Veto p</w:t>
      </w:r>
    </w:p>
    <w:p>
      <w:pPr>
        <w:ind w:left="288"/>
      </w:pPr>
      <w:r>
        <w:rPr>
          <w:b/>
          <w:color w:val="003CA0"/>
          <w:sz w:val="16"/>
        </w:rPr>
        <w:t>[ADPF 714, rel. min. Gilmar Mendes, j. 17-2-2021, P, DJE de 25-2-2021.]</w:t>
      </w:r>
    </w:p>
    <w:p>
      <w:pPr>
        <w:ind w:left="144"/>
      </w:pPr>
      <w:r>
        <w:rPr>
          <w:b/>
          <w:color w:val="B45A00"/>
          <w:sz w:val="16"/>
        </w:rPr>
        <w:t>JULGADOS CORRELATOS</w:t>
      </w:r>
    </w:p>
    <w:p>
      <w:pPr>
        <w:ind w:left="288"/>
      </w:pPr>
      <w:r>
        <w:rPr>
          <w:color w:val="8C8C8C"/>
          <w:sz w:val="12"/>
        </w:rPr>
        <w:t>cf-art-66</w:t>
      </w:r>
      <w:r>
        <w:rPr>
          <w:color w:val="003CA0"/>
          <w:sz w:val="12"/>
        </w:rPr>
        <w:t xml:space="preserve"> | MS 33.694</w:t>
      </w:r>
      <w:r>
        <w:rPr>
          <w:color w:val="003CA0"/>
          <w:sz w:val="12"/>
        </w:rPr>
        <w:t xml:space="preserve"> | rel. Cármen Lúcia</w:t>
      </w:r>
    </w:p>
    <w:p>
      <w:pPr>
        <w:ind w:left="288"/>
      </w:pPr>
      <w:r>
        <w:rPr>
          <w:color w:val="1E1E1E"/>
          <w:sz w:val="18"/>
        </w:rPr>
        <w:t>(...) o impetrante pretende submeter ao controle abstrato de constitucionalidade deste Supremo Tribunal o mérito do veto aposto pela presidente da República a proposta legislativa votada pelo Congresso Nacional, afirmando-o contrário aos arts. 5º, §§ 2º e 3º, e 206, I, da Constituição da República (...). Pretende obter a declaração de inconstitucionalidade do veto e, com isso, a promulgação de normas vetadas. O impetrante pretende substituir os instrumentos de controle abstrato de constitucionalidade pela ação de mandado de segurança. Aqueles instrumentos são dispostos constitucionalmente, têm</w:t>
      </w:r>
    </w:p>
    <w:p>
      <w:pPr>
        <w:ind w:left="288"/>
      </w:pPr>
      <w:r>
        <w:rPr>
          <w:b/>
          <w:color w:val="003CA0"/>
          <w:sz w:val="16"/>
        </w:rPr>
        <w:t>[MS 33.694, rel. min. Cármen Lúcia, j. 6-8-2015, dec. monocrática, DJE de 14-8-2015.]</w:t>
      </w:r>
    </w:p>
    <w:p>
      <w:pPr>
        <w:ind w:left="288"/>
      </w:pPr>
      <w:r>
        <w:rPr>
          <w:color w:val="8C8C8C"/>
          <w:sz w:val="12"/>
        </w:rPr>
        <w:t>cf-art-66</w:t>
      </w:r>
      <w:r>
        <w:rPr>
          <w:color w:val="003CA0"/>
          <w:sz w:val="12"/>
        </w:rPr>
        <w:t xml:space="preserve"> | MS 33.694</w:t>
      </w:r>
      <w:r>
        <w:rPr>
          <w:color w:val="003CA0"/>
          <w:sz w:val="12"/>
        </w:rPr>
        <w:t xml:space="preserve"> | rel. Cármen Lúcia</w:t>
      </w:r>
    </w:p>
    <w:p>
      <w:pPr>
        <w:ind w:left="288"/>
      </w:pPr>
      <w:r>
        <w:rPr>
          <w:color w:val="1E1E1E"/>
          <w:sz w:val="18"/>
        </w:rPr>
        <w:t>= MS 33.694 AgR, rel. min. Cármen Lúcia, j. 7-10-2015, P, DJE de 26-10-2015</w:t>
      </w:r>
    </w:p>
    <w:p>
      <w:pPr>
        <w:ind w:left="144"/>
      </w:pPr>
      <w:r>
        <w:rPr>
          <w:b/>
          <w:color w:val="B45A00"/>
          <w:sz w:val="16"/>
        </w:rPr>
        <w:t>CONTROLE CONCENTRADO</w:t>
      </w:r>
    </w:p>
    <w:p>
      <w:pPr>
        <w:ind w:left="288"/>
      </w:pPr>
      <w:r>
        <w:rPr>
          <w:color w:val="8C8C8C"/>
          <w:sz w:val="12"/>
        </w:rPr>
        <w:t>cf-art-66-par-4</w:t>
      </w:r>
      <w:r>
        <w:rPr>
          <w:color w:val="003CA0"/>
          <w:sz w:val="12"/>
        </w:rPr>
        <w:t xml:space="preserve"> | ADI 5.706</w:t>
      </w:r>
      <w:r>
        <w:rPr>
          <w:color w:val="003CA0"/>
          <w:sz w:val="12"/>
        </w:rPr>
        <w:t xml:space="preserve"> | rel. Luiz Fux</w:t>
      </w:r>
    </w:p>
    <w:p>
      <w:pPr>
        <w:ind w:left="288"/>
      </w:pPr>
      <w:r>
        <w:rPr>
          <w:color w:val="1E1E1E"/>
          <w:sz w:val="18"/>
        </w:rPr>
        <w:t>A inobservância do prazo previsto no artigo 66, § 4º, da Constituição Federal para o Poder Legislativo apreciar o veto do chefe do Poder Executivo a projeto de lei acarreta tão somente a inclusão da matéria na ordem do dia da sessão imediata e o sobrestamento das demais proposições até sua votação, não se podendo extrair do texto constitucional a caducidade ou preclusão desta prerrogativa do Poder Legislativo.</w:t>
        <w:br/>
        <w:t>[ADI 5.706, rel. min. Luiz Fux, j. 26.02.2024, P, DJE de 13.03.2024.] Processo legislativo: veto mantido pelo Legislativo: decreto legislativo que, anos depois, sob fundamento de ter sid</w:t>
      </w:r>
    </w:p>
    <w:p>
      <w:pPr>
        <w:ind w:left="144"/>
      </w:pPr>
      <w:r>
        <w:rPr>
          <w:b/>
          <w:color w:val="B45A00"/>
          <w:sz w:val="16"/>
        </w:rPr>
        <w:t>JULGADOS CORRELATOS</w:t>
      </w:r>
    </w:p>
    <w:p>
      <w:pPr>
        <w:ind w:left="288"/>
      </w:pPr>
      <w:r>
        <w:rPr>
          <w:color w:val="8C8C8C"/>
          <w:sz w:val="12"/>
        </w:rPr>
        <w:t>cf-art-66-par-4</w:t>
      </w:r>
      <w:r>
        <w:rPr>
          <w:color w:val="003CA0"/>
          <w:sz w:val="12"/>
        </w:rPr>
        <w:t xml:space="preserve"> | RCL 1.206</w:t>
      </w:r>
      <w:r>
        <w:rPr>
          <w:color w:val="003CA0"/>
          <w:sz w:val="12"/>
        </w:rPr>
        <w:t xml:space="preserve"> | rel. Maurício Corrêa</w:t>
      </w:r>
    </w:p>
    <w:p>
      <w:pPr>
        <w:ind w:left="288"/>
      </w:pPr>
      <w:r>
        <w:rPr>
          <w:color w:val="1E1E1E"/>
          <w:sz w:val="18"/>
        </w:rPr>
        <w:t>Se para a apreciação do veto é exigido o voto da maioria absoluta (CF, art. 66, § 4º) e o seu exame ocorreu na vigência da atual ordem constitucional, não poderia a Assembleia Legislativa valer-se daquele fixado na anterior Carta estadual para determiná-lo como sendo o de 2/3. O modelo federal é de observância cogente pelos Estados-membros desde a data da promulgação da Carta de 1988.</w:t>
      </w:r>
    </w:p>
    <w:p>
      <w:pPr>
        <w:ind w:left="288"/>
      </w:pPr>
      <w:r>
        <w:rPr>
          <w:b/>
          <w:color w:val="003CA0"/>
          <w:sz w:val="16"/>
        </w:rPr>
        <w:t>[Rcl 1.206, rel. min. Maurício Corrêa, j. 22-8-2002, P, DJ de 18-10-2002.]</w:t>
      </w:r>
    </w:p>
    <w:p>
      <w:pPr>
        <w:ind w:left="288"/>
      </w:pPr>
      <w:r>
        <w:rPr>
          <w:color w:val="8C8C8C"/>
          <w:sz w:val="12"/>
        </w:rPr>
        <w:t>cf-art-66-par-6</w:t>
      </w:r>
      <w:r>
        <w:rPr>
          <w:color w:val="003CA0"/>
          <w:sz w:val="12"/>
        </w:rPr>
        <w:t xml:space="preserve"> | MS 31.816</w:t>
      </w:r>
    </w:p>
    <w:p>
      <w:pPr>
        <w:ind w:left="288"/>
      </w:pPr>
      <w:r>
        <w:rPr>
          <w:color w:val="1E1E1E"/>
          <w:sz w:val="18"/>
        </w:rPr>
        <w:t>No caso, o que se pretende, na impetração, é provimento que iniba o Congresso Nacional de apreciar o Veto Parcial 38/2012, aposto pela presidente da República ao Projeto de Lei 2.565/2011, antes da votação de todos os demais vetos anteriormente apresentados (mais de 3 mil), alguns com prazo vencido há mais de treze anos. A medida liminar, que tem natureza antecipatória, não pode ir além nem deferir providência diversa da que deriva da sentença definitiva. Assim, no entender majoritário da Corte, não há como manter a determinação liminar ordenando ao Congresso Nacional que "se abstenha de delib</w:t>
      </w:r>
    </w:p>
    <w:p>
      <w:pPr>
        <w:ind w:left="288"/>
      </w:pPr>
      <w:r>
        <w:rPr>
          <w:b/>
          <w:color w:val="003CA0"/>
          <w:sz w:val="16"/>
        </w:rPr>
        <w:t>[MS 31.816 MC-AgR, red. do ac. min. Teori Zavascki, j. 27-2-2013, P, DJE de 13-5-2013.]</w:t>
      </w:r>
    </w:p>
    <w:p>
      <w:pPr>
        <w:ind w:left="144"/>
      </w:pPr>
      <w:r>
        <w:rPr>
          <w:b/>
          <w:color w:val="B45A00"/>
          <w:sz w:val="16"/>
        </w:rPr>
        <w:t>REPERCUSSAO GERAL</w:t>
      </w:r>
    </w:p>
    <w:p>
      <w:pPr>
        <w:ind w:left="288"/>
      </w:pPr>
      <w:r>
        <w:rPr>
          <w:color w:val="8C8C8C"/>
          <w:sz w:val="12"/>
        </w:rPr>
        <w:t>cf-art-66-par-7</w:t>
      </w:r>
      <w:r>
        <w:rPr>
          <w:color w:val="003CA0"/>
          <w:sz w:val="12"/>
        </w:rPr>
        <w:t xml:space="preserve"> | RE 706.103</w:t>
      </w:r>
      <w:r>
        <w:rPr>
          <w:color w:val="003CA0"/>
          <w:sz w:val="12"/>
        </w:rPr>
        <w:t xml:space="preserve"> | rel. Luiz Fux</w:t>
      </w:r>
    </w:p>
    <w:p>
      <w:pPr>
        <w:ind w:left="288"/>
      </w:pPr>
      <w:r>
        <w:rPr>
          <w:color w:val="1E1E1E"/>
          <w:sz w:val="18"/>
        </w:rPr>
        <w:t>É constitucional a promulgação, pelo Chefe do Poder Executivo, da parte incontroversa de projeto de lei que não foi vetada, antes da manifestação do Poder Legislativo pela manutenção ou pela rejeição do veto, inexistindo vício de inconstitucionalidade dessa parte inicialmente publicada pela ausência de promulgação da derrubada dos vetos.</w:t>
      </w:r>
    </w:p>
    <w:p>
      <w:pPr>
        <w:ind w:left="288"/>
      </w:pPr>
      <w:r>
        <w:rPr>
          <w:b/>
          <w:color w:val="003CA0"/>
          <w:sz w:val="16"/>
        </w:rPr>
        <w:t>[RE 706.103, rel. min. Luiz Fux, j. 27-4-2020, P, DJE de 14-5-2020, Tema 595, com mérito julgado.]</w:t>
      </w:r>
    </w:p>
    <w:p>
      <w:pPr>
        <w:ind w:left="432"/>
      </w:pPr>
      <w:r>
        <w:rPr>
          <w:color w:val="003366"/>
          <w:sz w:val="18"/>
        </w:rPr>
        <w:t>§ 1 Se o Presidente da República considerar o projeto, no todo ou em parte, inco</w:t>
      </w:r>
    </w:p>
    <w:p>
      <w:pPr>
        <w:ind w:left="432"/>
      </w:pPr>
      <w:r>
        <w:rPr>
          <w:color w:val="003366"/>
          <w:sz w:val="18"/>
        </w:rPr>
        <w:t xml:space="preserve">§ 2 O veto parcial somente abrangerá texto integral de artigo, de parágrafo, de </w:t>
      </w:r>
    </w:p>
    <w:p>
      <w:pPr>
        <w:ind w:left="432"/>
      </w:pPr>
      <w:r>
        <w:rPr>
          <w:color w:val="003366"/>
          <w:sz w:val="18"/>
        </w:rPr>
        <w:t>§ 3 Decorrido o prazo de quinze dias, o silêncio do Presidente da República impo</w:t>
      </w:r>
    </w:p>
    <w:p>
      <w:pPr>
        <w:ind w:left="432"/>
      </w:pPr>
      <w:r>
        <w:rPr>
          <w:color w:val="003366"/>
          <w:sz w:val="18"/>
        </w:rPr>
        <w:t xml:space="preserve">§ 4 O veto será apreciado em sessão conjunta, dentro de trinta dias a contar de </w:t>
      </w:r>
    </w:p>
    <w:p>
      <w:pPr>
        <w:ind w:left="432"/>
      </w:pPr>
      <w:r>
        <w:rPr>
          <w:color w:val="003366"/>
          <w:sz w:val="18"/>
        </w:rPr>
        <w:t>§ 5 Se o veto não for mantido, será o projeto enviado, para promulgação, ao Pres</w:t>
      </w:r>
    </w:p>
    <w:p>
      <w:pPr>
        <w:ind w:left="432"/>
      </w:pPr>
      <w:r>
        <w:rPr>
          <w:color w:val="003366"/>
          <w:sz w:val="18"/>
        </w:rPr>
        <w:t xml:space="preserve">§ 6 Esgotado sem deliberação o prazo estabelecido no § 4º, o veto será colocado </w:t>
      </w:r>
    </w:p>
    <w:p>
      <w:pPr>
        <w:ind w:left="432"/>
      </w:pPr>
      <w:r>
        <w:rPr>
          <w:color w:val="003366"/>
          <w:sz w:val="18"/>
        </w:rPr>
        <w:t xml:space="preserve">§ 7 Se a lei não for promulgada dentro de quarenta e oito horas pelo Presidente </w:t>
      </w:r>
    </w:p>
    <w:p>
      <w:r>
        <w:rPr>
          <w:b/>
          <w:color w:val="003366"/>
          <w:sz w:val="20"/>
        </w:rPr>
        <w:t>Art. 67 A matéria constante de projeto de lei rejeitado somente poderá constitui</w:t>
      </w:r>
      <w:r>
        <w:rPr>
          <w:color w:val="8C8C8C"/>
          <w:sz w:val="14"/>
        </w:rPr>
        <w:t xml:space="preserve">  [3 decisoes]</w:t>
      </w:r>
    </w:p>
    <w:p>
      <w:pPr>
        <w:ind w:left="144"/>
      </w:pPr>
      <w:r>
        <w:rPr>
          <w:b/>
          <w:color w:val="B45A00"/>
          <w:sz w:val="16"/>
        </w:rPr>
        <w:t>CONTROLE CONCENTRADO</w:t>
      </w:r>
    </w:p>
    <w:p>
      <w:pPr>
        <w:ind w:left="288"/>
      </w:pPr>
      <w:r>
        <w:rPr>
          <w:color w:val="8C8C8C"/>
          <w:sz w:val="12"/>
        </w:rPr>
        <w:t>cf-art-67</w:t>
      </w:r>
      <w:r>
        <w:rPr>
          <w:color w:val="003CA0"/>
          <w:sz w:val="12"/>
        </w:rPr>
        <w:t xml:space="preserve"> | ADI 2.010</w:t>
      </w:r>
      <w:r>
        <w:rPr>
          <w:color w:val="003CA0"/>
          <w:sz w:val="12"/>
        </w:rPr>
        <w:t xml:space="preserve"> | rel. Octavio Gallotti). Também pelas mesmas razões</w:t>
      </w:r>
    </w:p>
    <w:p>
      <w:pPr>
        <w:ind w:left="288"/>
      </w:pPr>
      <w:r>
        <w:rPr>
          <w:color w:val="1E1E1E"/>
          <w:sz w:val="18"/>
        </w:rPr>
        <w:t>A norma inscrita no art. 67 da Constituição – que consagra o postulado da irrepetibilidade dos projetos rejeitados na mesma sessão legislativa – não impede o presidente da República de submeter, à apreciação do Congresso Nacional, reunido em convocação extraordinária (CF, art. 57, § 6º, II), projeto de lei versando, total ou parcialmente, a mesma matéria que constitui objeto de medida provisória rejeitada pelo Parlamento, em sessão legislativa realizada no ano anterior. O presidente da República, no entanto, sob pena de ofensa ao princípio da separação de poderes e de transgressão à integridad</w:t>
      </w:r>
    </w:p>
    <w:p>
      <w:pPr>
        <w:ind w:left="288"/>
      </w:pPr>
      <w:r>
        <w:rPr>
          <w:b/>
          <w:color w:val="003CA0"/>
          <w:sz w:val="16"/>
        </w:rPr>
        <w:t>[ADI 2.010 MC, rel. min. Celso de Mello, j. 30-10-1999, P, DJ de 12-4-2002.]</w:t>
      </w:r>
    </w:p>
    <w:p>
      <w:pPr>
        <w:ind w:left="288"/>
      </w:pPr>
      <w:r>
        <w:rPr>
          <w:color w:val="8C8C8C"/>
          <w:sz w:val="12"/>
        </w:rPr>
        <w:t>cf-art-67</w:t>
      </w:r>
      <w:r>
        <w:rPr>
          <w:color w:val="003CA0"/>
          <w:sz w:val="12"/>
        </w:rPr>
        <w:t xml:space="preserve"> | ADI 1.546</w:t>
      </w:r>
      <w:r>
        <w:rPr>
          <w:color w:val="003CA0"/>
          <w:sz w:val="12"/>
        </w:rPr>
        <w:t xml:space="preserve"> | rel. Nelson Jobim</w:t>
      </w:r>
    </w:p>
    <w:p>
      <w:pPr>
        <w:ind w:left="288"/>
      </w:pPr>
      <w:r>
        <w:rPr>
          <w:color w:val="1E1E1E"/>
          <w:sz w:val="18"/>
        </w:rPr>
        <w:t>Constituição estadual e regimento interno da assembleia legislativa. Estrutura do processo legislativo. Projeto de lei rejeitado. Reapresentação. Expressões em dispositivos que desobedecem ao art. 25 e se contrapõem ao art. 67, ambos da CF. A observância das regras federais não fere autonomia estadual.</w:t>
      </w:r>
    </w:p>
    <w:p>
      <w:pPr>
        <w:ind w:left="288"/>
      </w:pPr>
      <w:r>
        <w:rPr>
          <w:b/>
          <w:color w:val="003CA0"/>
          <w:sz w:val="16"/>
        </w:rPr>
        <w:t>[ADI 1.546, rel. min. Nelson Jobim, j. 3-12-1998, P, DJ de 6-4-2001.]</w:t>
      </w:r>
    </w:p>
    <w:p>
      <w:pPr>
        <w:ind w:left="288"/>
      </w:pPr>
      <w:r>
        <w:rPr>
          <w:color w:val="8C8C8C"/>
          <w:sz w:val="12"/>
        </w:rPr>
        <w:t>cf-art-67</w:t>
      </w:r>
      <w:r>
        <w:rPr>
          <w:color w:val="003CA0"/>
          <w:sz w:val="12"/>
        </w:rPr>
        <w:t xml:space="preserve"> | ADI 1.441</w:t>
      </w:r>
      <w:r>
        <w:rPr>
          <w:color w:val="003CA0"/>
          <w:sz w:val="12"/>
        </w:rPr>
        <w:t xml:space="preserve"> | rel. Octavio Gallotti</w:t>
      </w:r>
    </w:p>
    <w:p>
      <w:pPr>
        <w:ind w:left="288"/>
      </w:pPr>
      <w:r>
        <w:rPr>
          <w:color w:val="1E1E1E"/>
          <w:sz w:val="18"/>
        </w:rPr>
        <w:t>A exigência de iniciativa da maioria dos votos dos membros de qualquer das Casas do Congresso Nacional, inscrita no art. 67 da Constituição, inibe, em tese e por força de compreensão, a utilização do processo de medida provisória para o trato da matéria que já tenha sido objeto de rejeição na mesma sessão legislativa. Não em sessão legislativa antecedente, seja ordinária ou extraordinária.</w:t>
      </w:r>
    </w:p>
    <w:p>
      <w:pPr>
        <w:ind w:left="288"/>
      </w:pPr>
      <w:r>
        <w:rPr>
          <w:b/>
          <w:color w:val="003CA0"/>
          <w:sz w:val="16"/>
        </w:rPr>
        <w:t>[ADI 1.441 MC, voto do rel. min. Octavio Gallotti, j. 28-6-1996, P, DJ de 18-10-1996.]</w:t>
      </w:r>
    </w:p>
    <w:p>
      <w:r>
        <w:rPr>
          <w:b/>
          <w:color w:val="003366"/>
          <w:sz w:val="20"/>
        </w:rPr>
        <w:t>Art. 68 As leis delegadas serão elaboradas pelo Presidente da República, que dev</w:t>
      </w:r>
      <w:r>
        <w:rPr>
          <w:color w:val="8C8C8C"/>
          <w:sz w:val="14"/>
        </w:rPr>
        <w:t xml:space="preserve">  [4 decisoes]</w:t>
      </w:r>
    </w:p>
    <w:p>
      <w:pPr>
        <w:ind w:left="144"/>
      </w:pPr>
      <w:r>
        <w:rPr>
          <w:b/>
          <w:color w:val="B45A00"/>
          <w:sz w:val="16"/>
        </w:rPr>
        <w:t>CONTROLE CONCENTRADO</w:t>
      </w:r>
    </w:p>
    <w:p>
      <w:pPr>
        <w:ind w:left="288"/>
      </w:pPr>
      <w:r>
        <w:rPr>
          <w:color w:val="8C8C8C"/>
          <w:sz w:val="12"/>
        </w:rPr>
        <w:t>cf-art-68</w:t>
      </w:r>
      <w:r>
        <w:rPr>
          <w:color w:val="003CA0"/>
          <w:sz w:val="12"/>
        </w:rPr>
        <w:t xml:space="preserve"> | ADI 425</w:t>
      </w:r>
      <w:r>
        <w:rPr>
          <w:color w:val="003CA0"/>
          <w:sz w:val="12"/>
        </w:rPr>
        <w:t xml:space="preserve"> | rel. Maurício Corrêa</w:t>
      </w:r>
    </w:p>
    <w:p>
      <w:pPr>
        <w:ind w:left="288"/>
      </w:pPr>
      <w:r>
        <w:rPr>
          <w:color w:val="1E1E1E"/>
          <w:sz w:val="18"/>
        </w:rPr>
        <w:t>A MP 64/1990, convertida na Lei 215/1990, que autoriza o chefe do Poder Executivo a doar quaisquer bens do Estado, móveis ou imóveis, sem especificá-los, ofende os princípios constitucionais sensíveis (CF, arts. 2º, 25 e 34, IV), como aliás bem anotado no parecer do MPF. Com efeito, a competência outorgada ao governador, por meio de norma genérica, votada pela Assembleia Legislativa, constitui forma de violação ao princípio da separação dos Poderes de que cuidam os arts. 2º e 60, § 4º, da CF, porquanto lhe atribui contínua autorização para a disponibilidade de bens públicos do Estado. Ora, ess</w:t>
      </w:r>
    </w:p>
    <w:p>
      <w:pPr>
        <w:ind w:left="288"/>
      </w:pPr>
      <w:r>
        <w:rPr>
          <w:b/>
          <w:color w:val="003CA0"/>
          <w:sz w:val="16"/>
        </w:rPr>
        <w:t>[ADI 425, voto do rel. min. Maurício Corrêa, j. 4-9-2002, P, DJ de 19-12-2003.]</w:t>
      </w:r>
    </w:p>
    <w:p>
      <w:pPr>
        <w:ind w:left="288"/>
      </w:pPr>
      <w:r>
        <w:rPr>
          <w:color w:val="8C8C8C"/>
          <w:sz w:val="12"/>
        </w:rPr>
        <w:t>cf-art-68</w:t>
      </w:r>
      <w:r>
        <w:rPr>
          <w:color w:val="003CA0"/>
          <w:sz w:val="12"/>
        </w:rPr>
        <w:t xml:space="preserve"> | ADI 1.296</w:t>
      </w:r>
      <w:r>
        <w:rPr>
          <w:color w:val="003CA0"/>
          <w:sz w:val="12"/>
        </w:rPr>
        <w:t xml:space="preserve"> | rel. Celso de Mello. [ADI 1.247 MC</w:t>
      </w:r>
    </w:p>
    <w:p>
      <w:pPr>
        <w:ind w:left="288"/>
      </w:pPr>
      <w:r>
        <w:rPr>
          <w:color w:val="1E1E1E"/>
          <w:sz w:val="18"/>
        </w:rPr>
        <w:t>Matéria tributária e delegação legislativa: a outorga de qualquer subsídio, isenção ou crédito presumido, a redução da base de cálculo e a concessão de anistia ou remissão em matéria tributária só podem ser deferidas mediante lei específica, sendo vedado ao Poder Legislativo conferir ao chefe do Executivo a prerrogativa extraordinária de dispor, normativamente, sobre tais categorias temáticas, sob pena de ofensa ao postulado nuclear da separação de poderes e de transgressão ao princípio da reserva constitucional de competência legislativa. Precedente: ADI 1.296/PE, rel. min. Celso de Mello.</w:t>
      </w:r>
    </w:p>
    <w:p>
      <w:pPr>
        <w:ind w:left="288"/>
      </w:pPr>
      <w:r>
        <w:rPr>
          <w:b/>
          <w:color w:val="003CA0"/>
          <w:sz w:val="16"/>
        </w:rPr>
        <w:t>[ADI 1.247 MC, rel. min. Celso de Mello, j. 17-8-1995, P, DJ de 8-9-1995.]</w:t>
      </w:r>
    </w:p>
    <w:p>
      <w:pPr>
        <w:ind w:left="288"/>
      </w:pPr>
      <w:r>
        <w:rPr>
          <w:color w:val="8C8C8C"/>
          <w:sz w:val="12"/>
        </w:rPr>
        <w:t>cf-art-68</w:t>
      </w:r>
      <w:r>
        <w:rPr>
          <w:color w:val="003CA0"/>
          <w:sz w:val="12"/>
        </w:rPr>
        <w:t xml:space="preserve"> | ADI 2.688</w:t>
      </w:r>
      <w:r>
        <w:rPr>
          <w:color w:val="003CA0"/>
          <w:sz w:val="12"/>
        </w:rPr>
        <w:t xml:space="preserve"> | rel. Joaquim Barbosa</w:t>
      </w:r>
    </w:p>
    <w:p>
      <w:pPr>
        <w:ind w:left="288"/>
      </w:pPr>
      <w:r>
        <w:rPr>
          <w:color w:val="1E1E1E"/>
          <w:sz w:val="18"/>
        </w:rPr>
        <w:t>= ADI 2.688, rel. min. Joaquim Barbosa, j. 1º-6-2011, P, DJE de 26-8-2011 A nova Constituição da República revelou-se extremamente fiel ao postulado da separação de poderes, disciplinando, mediante regime de direito estrito, a possibilidade, sempre excepcional, de o Parlamento proceder a delegação legislativa externa em favor do Poder Executivo. A delegação legislativa externa, nos casos em que se apresente possível, só pode ser veiculada mediante resolução, que constitui o meio formalmente idôneo para consubstanciar, em nosso sistema constitucional, o ato de outorga parlamentar de funções nor</w:t>
      </w:r>
    </w:p>
    <w:p>
      <w:pPr>
        <w:ind w:left="288"/>
      </w:pPr>
      <w:r>
        <w:rPr>
          <w:b/>
          <w:color w:val="003CA0"/>
          <w:sz w:val="16"/>
        </w:rPr>
        <w:t>[ADI 1.296 MC, rel. min. Celso de Mello, j. 14-6-1995, P, DJ de 10-8-1995.]</w:t>
      </w:r>
    </w:p>
    <w:p>
      <w:pPr>
        <w:ind w:left="144"/>
      </w:pPr>
      <w:r>
        <w:rPr>
          <w:b/>
          <w:color w:val="B45A00"/>
          <w:sz w:val="16"/>
        </w:rPr>
        <w:t>JULGADOS CORRELATOS</w:t>
      </w:r>
    </w:p>
    <w:p>
      <w:pPr>
        <w:ind w:left="288"/>
      </w:pPr>
      <w:r>
        <w:rPr>
          <w:color w:val="8C8C8C"/>
          <w:sz w:val="12"/>
        </w:rPr>
        <w:t>cf-art-68-par-1-inc-I</w:t>
      </w:r>
      <w:r>
        <w:rPr>
          <w:color w:val="003CA0"/>
          <w:sz w:val="12"/>
        </w:rPr>
        <w:t xml:space="preserve"> | HC 85.060</w:t>
      </w:r>
      <w:r>
        <w:rPr>
          <w:color w:val="003CA0"/>
          <w:sz w:val="12"/>
        </w:rPr>
        <w:t xml:space="preserve"> | rel. Eros Grau</w:t>
      </w:r>
    </w:p>
    <w:p>
      <w:pPr>
        <w:ind w:left="288"/>
      </w:pPr>
      <w:r>
        <w:rPr>
          <w:color w:val="1E1E1E"/>
          <w:sz w:val="18"/>
        </w:rPr>
        <w:t>Quando o Executivo e o Judiciário expedem atos normativos de caráter não legislativo – regulamentos e regimentos, respectivamente –, não o fazem no exercício da função legislativa, mas no desenvolvimento de "função normativa". O exercício da função regulamentar e da função regimental não decorre de delegação de função legislativa; não envolve, portanto, derrogação do princípio da divisão dos Poderes.</w:t>
      </w:r>
    </w:p>
    <w:p>
      <w:pPr>
        <w:ind w:left="288"/>
      </w:pPr>
      <w:r>
        <w:rPr>
          <w:b/>
          <w:color w:val="003CA0"/>
          <w:sz w:val="16"/>
        </w:rPr>
        <w:t>[HC 85.060, rel. min. Eros Grau, j. 23-9-2008, 1ª T, DJE de 13-2-2009.]</w:t>
      </w:r>
    </w:p>
    <w:p>
      <w:pPr>
        <w:ind w:left="432"/>
      </w:pPr>
      <w:r>
        <w:rPr>
          <w:color w:val="003366"/>
          <w:sz w:val="18"/>
        </w:rPr>
        <w:t xml:space="preserve">§ 1 Não serão objeto de delegação os atos de competência exclusiva do Congresso </w:t>
      </w:r>
    </w:p>
    <w:p>
      <w:pPr>
        <w:ind w:left="720"/>
      </w:pPr>
      <w:r>
        <w:rPr>
          <w:color w:val="003366"/>
          <w:sz w:val="18"/>
        </w:rPr>
        <w:t>I – organização do Poder Judiciário e do Ministério Público, a carreira e a gara</w:t>
      </w:r>
    </w:p>
    <w:p>
      <w:pPr>
        <w:ind w:left="720"/>
      </w:pPr>
      <w:r>
        <w:rPr>
          <w:color w:val="003366"/>
          <w:sz w:val="18"/>
        </w:rPr>
        <w:t>II – nacionalidade, cidadania, direitos individuais, políticos e eleitorais;</w:t>
      </w:r>
    </w:p>
    <w:p>
      <w:pPr>
        <w:ind w:left="720"/>
      </w:pPr>
      <w:r>
        <w:rPr>
          <w:color w:val="003366"/>
          <w:sz w:val="18"/>
        </w:rPr>
        <w:t>III – planos plurianuais, diretrizes orçamentárias e orçamentos.</w:t>
      </w:r>
    </w:p>
    <w:p>
      <w:pPr>
        <w:ind w:left="432"/>
      </w:pPr>
      <w:r>
        <w:rPr>
          <w:color w:val="003366"/>
          <w:sz w:val="18"/>
        </w:rPr>
        <w:t>§ 2 A delegação ao Presidente da República terá a forma de resolução do Congress</w:t>
      </w:r>
    </w:p>
    <w:p>
      <w:pPr>
        <w:ind w:left="432"/>
      </w:pPr>
      <w:r>
        <w:rPr>
          <w:color w:val="003366"/>
          <w:sz w:val="18"/>
        </w:rPr>
        <w:t>§ 3 Se a resolução determinar a apreciação do projeto pelo Congresso Nacional, e</w:t>
      </w:r>
    </w:p>
    <w:p>
      <w:r>
        <w:rPr>
          <w:b/>
          <w:color w:val="003366"/>
          <w:sz w:val="20"/>
        </w:rPr>
        <w:t>Art. 69 As leis complementares serão aprovadas por maioria absoluta.</w:t>
      </w:r>
      <w:r>
        <w:rPr>
          <w:color w:val="8C8C8C"/>
          <w:sz w:val="14"/>
        </w:rPr>
        <w:t xml:space="preserve">  [2 decisoes]</w:t>
      </w:r>
    </w:p>
    <w:p>
      <w:pPr>
        <w:ind w:left="144"/>
      </w:pPr>
      <w:r>
        <w:rPr>
          <w:b/>
          <w:color w:val="B45A00"/>
          <w:sz w:val="16"/>
        </w:rPr>
        <w:t>CONTROLE CONCENTRADO</w:t>
      </w:r>
    </w:p>
    <w:p>
      <w:pPr>
        <w:ind w:left="288"/>
      </w:pPr>
      <w:r>
        <w:rPr>
          <w:color w:val="8C8C8C"/>
          <w:sz w:val="12"/>
        </w:rPr>
        <w:t>cf-art-69</w:t>
      </w:r>
      <w:r>
        <w:rPr>
          <w:color w:val="003CA0"/>
          <w:sz w:val="12"/>
        </w:rPr>
        <w:t xml:space="preserve"> | ADI 5.003</w:t>
      </w:r>
      <w:r>
        <w:rPr>
          <w:color w:val="003CA0"/>
          <w:sz w:val="12"/>
        </w:rPr>
        <w:t xml:space="preserve"> | rel. Luiz Fux</w:t>
      </w:r>
    </w:p>
    <w:p>
      <w:pPr>
        <w:ind w:left="288"/>
      </w:pPr>
      <w:r>
        <w:rPr>
          <w:color w:val="1E1E1E"/>
          <w:sz w:val="18"/>
        </w:rPr>
        <w:t>A lei complementar, conquanto não goze, no ordenamento jurídico nacional, de posição hierárquica superior àquela ocupada pela lei ordinária, pressupõe a adoção de processo legislativo qualificado, cujo quórum para a aprovação demanda maioria absoluta, ex vi do artigo 69 da CRFB. A criação de reserva de lei complementar, com o fito de mitigar a influência das maiorias parlamentares circunstanciais no processo legislativo referente a determinadas matérias, decorre de juízo de ponderação específico realizado pelo texto constitucional, fruto do sopesamento entre o princípio democrático, de um lado</w:t>
      </w:r>
    </w:p>
    <w:p>
      <w:pPr>
        <w:ind w:left="288"/>
      </w:pPr>
      <w:r>
        <w:rPr>
          <w:b/>
          <w:color w:val="003CA0"/>
          <w:sz w:val="16"/>
        </w:rPr>
        <w:t>[ADI 5.003, rel. min. Luiz Fux, j. 5-12-2019, P, DJE de 19-12-2019.]</w:t>
      </w:r>
    </w:p>
    <w:p>
      <w:pPr>
        <w:ind w:left="288"/>
      </w:pPr>
      <w:r>
        <w:rPr>
          <w:color w:val="8C8C8C"/>
          <w:sz w:val="12"/>
        </w:rPr>
        <w:t>cf-art-69</w:t>
      </w:r>
    </w:p>
    <w:p>
      <w:pPr>
        <w:ind w:left="288"/>
      </w:pPr>
      <w:r>
        <w:rPr>
          <w:color w:val="1E1E1E"/>
          <w:sz w:val="18"/>
        </w:rPr>
        <w:t>Seção IX Da Fiscalização Contábil, Financeira e Orçamentária SUMÁRIO</w:t>
      </w:r>
    </w:p>
    <w:p>
      <w:pPr>
        <w:pStyle w:val="Heading3"/>
      </w:pPr>
      <w:r>
        <w:rPr>
          <w:color w:val="003366"/>
        </w:rPr>
        <w:t>Seção IX - DA FISCALIZAÇÃO CONTÁBIL, FINANCEIRA E ORÇAMENTÁRIA</w:t>
      </w:r>
    </w:p>
    <w:p>
      <w:r>
        <w:rPr>
          <w:b/>
          <w:color w:val="003366"/>
          <w:sz w:val="20"/>
        </w:rPr>
        <w:t>Art. 70 A fiscalização contábil, financeira, orçamentária, operacional e patrimo</w:t>
      </w:r>
      <w:r>
        <w:rPr>
          <w:color w:val="8C8C8C"/>
          <w:sz w:val="14"/>
        </w:rPr>
        <w:t xml:space="preserve">  [11 decisoes]</w:t>
      </w:r>
    </w:p>
    <w:p>
      <w:pPr>
        <w:ind w:left="288"/>
      </w:pPr>
      <w:r>
        <w:rPr>
          <w:color w:val="8C8C8C"/>
          <w:sz w:val="12"/>
        </w:rPr>
        <w:t>cf-art-70</w:t>
      </w:r>
      <w:r>
        <w:rPr>
          <w:color w:val="003CA0"/>
          <w:sz w:val="12"/>
        </w:rPr>
        <w:t xml:space="preserve"> | ADI 5.705</w:t>
      </w:r>
      <w:r>
        <w:rPr>
          <w:color w:val="003CA0"/>
          <w:sz w:val="12"/>
        </w:rPr>
        <w:t xml:space="preserve"> | rel. André Mendonça</w:t>
      </w:r>
    </w:p>
    <w:p>
      <w:pPr>
        <w:ind w:left="288"/>
      </w:pPr>
      <w:r>
        <w:rPr>
          <w:color w:val="1E1E1E"/>
          <w:sz w:val="18"/>
        </w:rPr>
        <w:t>A Constituição Federal (artigos 70 a 74) prevê os sistemas de controle interno e externo como mecanismos autônomos e cooperativos de fiscalização da Administração Pública, sem relação de hierarquia entre si. O modelo constitucional atribui ao controle interno a função de apoio ao controle externo, mas não o subordina às determinações dos Tribunais de Contas, em respeito ao princípio da separação de poderes. (...) A expressão "por determinação do Tribunal de Contas do Estado", contida no art. 61, inciso I, da Lei complementar estadual nº 202, de 2000, implica subordinação hierárquica indevida d</w:t>
      </w:r>
    </w:p>
    <w:p>
      <w:pPr>
        <w:ind w:left="288"/>
      </w:pPr>
      <w:r>
        <w:rPr>
          <w:b/>
          <w:color w:val="003CA0"/>
          <w:sz w:val="16"/>
        </w:rPr>
        <w:t>[ADI 5.705, rel. min. André Mendonça, j. 09.06.2025, P, DJE de 28.08.2025.]</w:t>
      </w:r>
    </w:p>
    <w:p>
      <w:pPr>
        <w:ind w:left="144"/>
      </w:pPr>
      <w:r>
        <w:rPr>
          <w:b/>
          <w:color w:val="B45A00"/>
          <w:sz w:val="16"/>
        </w:rPr>
        <w:t>CONTROLE CONCENTRADO</w:t>
      </w:r>
    </w:p>
    <w:p>
      <w:pPr>
        <w:ind w:left="288"/>
      </w:pPr>
      <w:r>
        <w:rPr>
          <w:color w:val="8C8C8C"/>
          <w:sz w:val="12"/>
        </w:rPr>
        <w:t>cf-art-70</w:t>
      </w:r>
      <w:r>
        <w:rPr>
          <w:color w:val="003CA0"/>
          <w:sz w:val="12"/>
        </w:rPr>
        <w:t xml:space="preserve"> | ADI 523</w:t>
      </w:r>
      <w:r>
        <w:rPr>
          <w:color w:val="003CA0"/>
          <w:sz w:val="12"/>
        </w:rPr>
        <w:t xml:space="preserve"> | rel. Eros Grau</w:t>
      </w:r>
    </w:p>
    <w:p>
      <w:pPr>
        <w:ind w:left="288"/>
      </w:pPr>
      <w:r>
        <w:rPr>
          <w:color w:val="1E1E1E"/>
          <w:sz w:val="18"/>
        </w:rPr>
        <w:t>A Constituição do Brasil – art. 70 – estabelece que compete ao Tribunal de Contas auxiliar o Legislativo na função de fiscalização a ele designada. (...) Não cabe ao Poder Legislativo apreciar recursos interpostos contra decisões tomadas em processos administrativos nos quais se discuta questão tributária.</w:t>
      </w:r>
    </w:p>
    <w:p>
      <w:pPr>
        <w:ind w:left="288"/>
      </w:pPr>
      <w:r>
        <w:rPr>
          <w:b/>
          <w:color w:val="003CA0"/>
          <w:sz w:val="16"/>
        </w:rPr>
        <w:t>[ADI 523, rel. min. Eros Grau, j. 3-4-2008, P, DJE de 17-10-2008.]</w:t>
      </w:r>
    </w:p>
    <w:p>
      <w:pPr>
        <w:ind w:left="288"/>
      </w:pPr>
      <w:r>
        <w:rPr>
          <w:color w:val="8C8C8C"/>
          <w:sz w:val="12"/>
        </w:rPr>
        <w:t>cf-art-70</w:t>
      </w:r>
      <w:r>
        <w:rPr>
          <w:color w:val="003CA0"/>
          <w:sz w:val="12"/>
        </w:rPr>
        <w:t xml:space="preserve"> | ADI 375</w:t>
      </w:r>
      <w:r>
        <w:rPr>
          <w:color w:val="003CA0"/>
          <w:sz w:val="12"/>
        </w:rPr>
        <w:t xml:space="preserve"> | rel. Octavio Gallotti</w:t>
      </w:r>
    </w:p>
    <w:p>
      <w:pPr>
        <w:ind w:left="288"/>
      </w:pPr>
      <w:r>
        <w:rPr>
          <w:color w:val="1E1E1E"/>
          <w:sz w:val="18"/>
        </w:rPr>
        <w:t>Ante a publicidade de que se devem tais gastos revestir, não conflita, com a Carta Federal (arts. 70 e 71), o dispositivo da Constituição do Amazonas (art. 28, XXX), que autoriza a requisição de informações e cópias autenticadas de documentos de despesas realizadas pelos Tribunais de Contas dos Estados e Municípios. Não estão ambos os Tribunais indenes ao controle externo da Assembleia, nem basta, ao fim colimado pelo dispositivo estadual impugnado, o encaminhamento dos relatórios previstos, com outro objetivo, pelo § 4º do art. 71 da CF.</w:t>
      </w:r>
    </w:p>
    <w:p>
      <w:pPr>
        <w:ind w:left="288"/>
      </w:pPr>
      <w:r>
        <w:rPr>
          <w:b/>
          <w:color w:val="003CA0"/>
          <w:sz w:val="16"/>
        </w:rPr>
        <w:t>[ADI 375, rel. min. Octavio Gallotti, j. 30-10-1991, P, DJ de 14-2-1992.]</w:t>
      </w:r>
    </w:p>
    <w:p>
      <w:pPr>
        <w:ind w:left="144"/>
      </w:pPr>
      <w:r>
        <w:rPr>
          <w:b/>
          <w:color w:val="B45A00"/>
          <w:sz w:val="16"/>
        </w:rPr>
        <w:t>JULGADOS CORRELATOS</w:t>
      </w:r>
    </w:p>
    <w:p>
      <w:pPr>
        <w:ind w:left="288"/>
      </w:pPr>
      <w:r>
        <w:rPr>
          <w:color w:val="8C8C8C"/>
          <w:sz w:val="12"/>
        </w:rPr>
        <w:t>cf-art-70</w:t>
      </w:r>
      <w:r>
        <w:rPr>
          <w:color w:val="003CA0"/>
          <w:sz w:val="12"/>
        </w:rPr>
        <w:t xml:space="preserve"> | RMS 25.943</w:t>
      </w:r>
      <w:r>
        <w:rPr>
          <w:color w:val="003CA0"/>
          <w:sz w:val="12"/>
        </w:rPr>
        <w:t xml:space="preserve"> | rel. Ricardo Lewandowski</w:t>
      </w:r>
    </w:p>
    <w:p>
      <w:pPr>
        <w:ind w:left="288"/>
      </w:pPr>
      <w:r>
        <w:rPr>
          <w:color w:val="1E1E1E"/>
          <w:sz w:val="18"/>
        </w:rPr>
        <w:t>A Controladoria-Geral da União (CGU) pode fiscalizar a aplicação de verbas federais onde quer que elas estejam sendo aplicadas, mesmo que em outro ente federado às quais foram destinadas. A fiscalização exercida pela CGU é interna, pois feita exclusivamente sobre verbas provenientes do orçamento do Executivo.</w:t>
      </w:r>
    </w:p>
    <w:p>
      <w:pPr>
        <w:ind w:left="288"/>
      </w:pPr>
      <w:r>
        <w:rPr>
          <w:b/>
          <w:color w:val="003CA0"/>
          <w:sz w:val="16"/>
        </w:rPr>
        <w:t>[RMS 25.943, rel. min. Ricardo Lewandowski, j. 24-11-2010, P, DJE de 2-3-2011.]</w:t>
      </w:r>
    </w:p>
    <w:p>
      <w:pPr>
        <w:ind w:left="288"/>
      </w:pPr>
      <w:r>
        <w:rPr>
          <w:color w:val="8C8C8C"/>
          <w:sz w:val="12"/>
        </w:rPr>
        <w:t>cf-art-70</w:t>
      </w:r>
      <w:r>
        <w:rPr>
          <w:color w:val="003CA0"/>
          <w:sz w:val="12"/>
        </w:rPr>
        <w:t xml:space="preserve"> | MS 24.423</w:t>
      </w:r>
      <w:r>
        <w:rPr>
          <w:color w:val="003CA0"/>
          <w:sz w:val="12"/>
        </w:rPr>
        <w:t xml:space="preserve"> | rel. Gilmar Mendes</w:t>
      </w:r>
    </w:p>
    <w:p>
      <w:pPr>
        <w:ind w:left="288"/>
      </w:pPr>
      <w:r>
        <w:rPr>
          <w:color w:val="1E1E1E"/>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w:t>
      </w:r>
    </w:p>
    <w:p>
      <w:pPr>
        <w:ind w:left="288"/>
      </w:pPr>
      <w:r>
        <w:rPr>
          <w:b/>
          <w:color w:val="003CA0"/>
          <w:sz w:val="16"/>
        </w:rPr>
        <w:t>[MS 24.423, voto do rel. min. Gilmar Mendes, j. 10-9-2008, P, DJE de 20-2-2009.]</w:t>
      </w:r>
    </w:p>
    <w:p>
      <w:pPr>
        <w:ind w:left="288"/>
      </w:pPr>
      <w:r>
        <w:rPr>
          <w:color w:val="8C8C8C"/>
          <w:sz w:val="12"/>
        </w:rPr>
        <w:t>cf-art-70</w:t>
      </w:r>
      <w:r>
        <w:rPr>
          <w:color w:val="003CA0"/>
          <w:sz w:val="12"/>
        </w:rPr>
        <w:t xml:space="preserve"> | PET 3.606</w:t>
      </w:r>
      <w:r>
        <w:rPr>
          <w:color w:val="003CA0"/>
          <w:sz w:val="12"/>
        </w:rPr>
        <w:t xml:space="preserve"> | rel. Sepúlveda Pertence</w:t>
      </w:r>
    </w:p>
    <w:p>
      <w:pPr>
        <w:ind w:left="288"/>
      </w:pPr>
      <w:r>
        <w:rPr>
          <w:color w:val="1E1E1E"/>
          <w:sz w:val="18"/>
        </w:rPr>
        <w:t xml:space="preserve">Conflito de atribuição inexistente: ministro de Estado dos Transportes e TCU: áreas de atuação diversas e inconfundíveis. A atuação do TCU no exercício da fiscalização contábil, financeira, orçamentária, operacional e patrimonial das entidades administrativas não se confunde com aquela atividade fiscalizatória realizada pelo próprio órgão administrativo, uma vez que esta atribuição decorre da de controle interno ínsito a cada Poder e aquela, do controle externo a cargo do Congresso Nacional (CF, art. 70). O poder outorgado pelo legislador ao TCU, de declarar, verificada a ocorrência de fraude </w:t>
      </w:r>
    </w:p>
    <w:p>
      <w:pPr>
        <w:ind w:left="288"/>
      </w:pPr>
      <w:r>
        <w:rPr>
          <w:b/>
          <w:color w:val="003CA0"/>
          <w:sz w:val="16"/>
        </w:rPr>
        <w:t>[Pet 3.606 AgR, rel. min. Sepúlveda Pertence, j. 21-9-2006, P, DJ de 27-10-2006.]</w:t>
      </w:r>
    </w:p>
    <w:p>
      <w:pPr>
        <w:ind w:left="288"/>
      </w:pPr>
      <w:r>
        <w:rPr>
          <w:color w:val="8C8C8C"/>
          <w:sz w:val="12"/>
        </w:rPr>
        <w:t>cf-art-70-par-unico</w:t>
      </w:r>
      <w:r>
        <w:rPr>
          <w:color w:val="003CA0"/>
          <w:sz w:val="12"/>
        </w:rPr>
        <w:t xml:space="preserve"> | ADI 7.702</w:t>
      </w:r>
      <w:r>
        <w:rPr>
          <w:color w:val="003CA0"/>
          <w:sz w:val="12"/>
        </w:rPr>
        <w:t xml:space="preserve"> | rel. Edson Fachin</w:t>
      </w:r>
    </w:p>
    <w:p>
      <w:pPr>
        <w:ind w:left="288"/>
      </w:pPr>
      <w:r>
        <w:rPr>
          <w:color w:val="1E1E1E"/>
          <w:sz w:val="18"/>
        </w:rPr>
        <w:t>É constitucional norma estadual que cria fundo público especial e autoriza sua gestão, para melhor consecução de suas finalidades, por meio de repasse a outros fundos e de participação de fundo financeiro de natureza privada criado e mantido por instituição financeira controlado pelo Estado. Devem ser necessariamente resguardadas as finalidades legais previstas pela norma geral (art. 2º, §2º da Lei Complementar nº. 206/2024), com destinação integral dos recursos a plano de investimentos em ações de enfrentamento e mitigação dos danos decorrentes da calamidade pública e de suas consequências so</w:t>
      </w:r>
    </w:p>
    <w:p>
      <w:pPr>
        <w:ind w:left="288"/>
      </w:pPr>
      <w:r>
        <w:rPr>
          <w:b/>
          <w:color w:val="003CA0"/>
          <w:sz w:val="16"/>
        </w:rPr>
        <w:t>[ADI 7.702, rel. min. Edson Fachin, j. 05.03.2025, P, DJE de 24.03.2025.]</w:t>
      </w:r>
    </w:p>
    <w:p>
      <w:pPr>
        <w:ind w:left="144"/>
      </w:pPr>
      <w:r>
        <w:rPr>
          <w:b/>
          <w:color w:val="B45A00"/>
          <w:sz w:val="16"/>
        </w:rPr>
        <w:t>REPERCUSSAO GERAL</w:t>
      </w:r>
    </w:p>
    <w:p>
      <w:pPr>
        <w:ind w:left="288"/>
      </w:pPr>
      <w:r>
        <w:rPr>
          <w:color w:val="8C8C8C"/>
          <w:sz w:val="12"/>
        </w:rPr>
        <w:t>cf-art-70-par-unico</w:t>
      </w:r>
      <w:r>
        <w:rPr>
          <w:color w:val="003CA0"/>
          <w:sz w:val="12"/>
        </w:rPr>
        <w:t xml:space="preserve"> | RE 1.182.189</w:t>
      </w:r>
      <w:r>
        <w:rPr>
          <w:color w:val="003CA0"/>
          <w:sz w:val="12"/>
        </w:rPr>
        <w:t xml:space="preserve"> | rel. Marco Aurélio</w:t>
      </w:r>
    </w:p>
    <w:p>
      <w:pPr>
        <w:ind w:left="288"/>
      </w:pPr>
      <w:r>
        <w:rPr>
          <w:color w:val="1E1E1E"/>
          <w:sz w:val="18"/>
        </w:rPr>
        <w:t>“O Conselho Federal e os Conselhos Seccionais da Ordem dos Advogados do Brasil não estão obrigados a prestar contas ao Tribunal de Contas da União nem a qualquer outra entidade externa”.</w:t>
        <w:br/>
        <w:t>[RE 1.182.189, rel. min. Marco Aurélio, red. do ac. min. Edson Fachin, j. 25-4-2023, P, DJE de 16-6-2023, Tema 1.054, com mérito julgado.] A simples natureza privada de uma entidade ou pessoa jurídica não impede o exercício da competência fiscalizatória do TCU, sendo a extensão do controle externo prevista expressamente na Constituição Federal. Da mesma forma, a circunstância de não integrar a Administração Pú</w:t>
      </w:r>
    </w:p>
    <w:p>
      <w:pPr>
        <w:ind w:left="288"/>
      </w:pPr>
      <w:r>
        <w:rPr>
          <w:b/>
          <w:color w:val="003CA0"/>
          <w:sz w:val="16"/>
        </w:rPr>
        <w:t>[MS 37.082 AgR, rel. min. Cristiano Zanin, j. 25-2-2026, 1ª T, DJE de 2-3-2026.]</w:t>
      </w:r>
    </w:p>
    <w:p>
      <w:pPr>
        <w:ind w:left="144"/>
      </w:pPr>
      <w:r>
        <w:rPr>
          <w:b/>
          <w:color w:val="B45A00"/>
          <w:sz w:val="16"/>
        </w:rPr>
        <w:t>JULGADOS CORRELATOS</w:t>
      </w:r>
    </w:p>
    <w:p>
      <w:pPr>
        <w:ind w:left="288"/>
      </w:pPr>
      <w:r>
        <w:rPr>
          <w:color w:val="8C8C8C"/>
          <w:sz w:val="12"/>
        </w:rPr>
        <w:t>cf-art-70-par-unico</w:t>
      </w:r>
      <w:r>
        <w:rPr>
          <w:color w:val="003CA0"/>
          <w:sz w:val="12"/>
        </w:rPr>
        <w:t xml:space="preserve"> | MS 24.423</w:t>
      </w:r>
      <w:r>
        <w:rPr>
          <w:color w:val="003CA0"/>
          <w:sz w:val="12"/>
        </w:rPr>
        <w:t xml:space="preserve"> | rel. Gilmar Mendes</w:t>
      </w:r>
    </w:p>
    <w:p>
      <w:pPr>
        <w:ind w:left="288"/>
      </w:pPr>
      <w:r>
        <w:rPr>
          <w:color w:val="1E1E1E"/>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w:t>
      </w:r>
    </w:p>
    <w:p>
      <w:pPr>
        <w:ind w:left="288"/>
      </w:pPr>
      <w:r>
        <w:rPr>
          <w:b/>
          <w:color w:val="003CA0"/>
          <w:sz w:val="16"/>
        </w:rPr>
        <w:t>[MS 24.423, voto do rel. min. Gilmar Mendes, j. 10-9-2008, P, DJE de 20-2-2009.]</w:t>
      </w:r>
    </w:p>
    <w:p>
      <w:pPr>
        <w:ind w:left="288"/>
      </w:pPr>
      <w:r>
        <w:rPr>
          <w:color w:val="8C8C8C"/>
          <w:sz w:val="12"/>
        </w:rPr>
        <w:t>cf-art-70-par-unico</w:t>
      </w:r>
      <w:r>
        <w:rPr>
          <w:color w:val="003CA0"/>
          <w:sz w:val="12"/>
        </w:rPr>
        <w:t xml:space="preserve"> | MS 24.073</w:t>
      </w:r>
      <w:r>
        <w:rPr>
          <w:color w:val="003CA0"/>
          <w:sz w:val="12"/>
        </w:rPr>
        <w:t xml:space="preserve"> | rel. Carlos Velloso</w:t>
      </w:r>
    </w:p>
    <w:p>
      <w:pPr>
        <w:ind w:left="288"/>
      </w:pPr>
      <w:r>
        <w:rPr>
          <w:color w:val="1E1E1E"/>
          <w:sz w:val="18"/>
        </w:rPr>
        <w:t>Advogado de empresa estatal que, chamado a opinar, oferece parecer sugerindo contratação direta, sem licitação, mediante interpretação da Lei das Licitações. Pretensão do TCU em responsabilizar o advogado solidariamente com o administrador que decidiu pela contratação direta: impossibilidade, dado que o parecer não é ato administrativo, sendo, quando muito, ato de administração consultiva, que visa a informar, elucidar, sugerir providências administrativas a serem estabelecidas nos atos de administração ativa (MELLO, Celso Antônio Bandeira de. Curso de direito administrativo. 13. ed. Malheiros</w:t>
      </w:r>
    </w:p>
    <w:p>
      <w:pPr>
        <w:ind w:left="288"/>
      </w:pPr>
      <w:r>
        <w:rPr>
          <w:b/>
          <w:color w:val="003CA0"/>
          <w:sz w:val="16"/>
        </w:rPr>
        <w:t>[MS 24.073, rel. min. Carlos Velloso, j. 6-11-2002, P, DJ de 31-10-2003.]</w:t>
      </w:r>
    </w:p>
    <w:p>
      <w:pPr>
        <w:ind w:left="288"/>
      </w:pPr>
      <w:r>
        <w:rPr>
          <w:color w:val="8C8C8C"/>
          <w:sz w:val="12"/>
        </w:rPr>
        <w:t>cf-art-70-par-unico</w:t>
      </w:r>
      <w:r>
        <w:rPr>
          <w:color w:val="003CA0"/>
          <w:sz w:val="12"/>
        </w:rPr>
        <w:t xml:space="preserve"> | MS 24.631</w:t>
      </w:r>
      <w:r>
        <w:rPr>
          <w:color w:val="003CA0"/>
          <w:sz w:val="12"/>
        </w:rPr>
        <w:t xml:space="preserve"> | rel. Joaquim Barbosa</w:t>
      </w:r>
    </w:p>
    <w:p>
      <w:pPr>
        <w:ind w:left="288"/>
      </w:pPr>
      <w:r>
        <w:rPr>
          <w:color w:val="1E1E1E"/>
          <w:sz w:val="18"/>
        </w:rPr>
        <w:t>Vide MS 24.631, rel. min. Joaquim Barbosa, j. 9-8-2007, P, DJE de 1º-2-2008 Vide MS 24.584, rel. min. Marco Aurélio, j. 9-8-2007, P, DJE de 20-6-2008</w:t>
      </w:r>
    </w:p>
    <w:p>
      <w:r>
        <w:rPr>
          <w:b/>
          <w:color w:val="003366"/>
          <w:sz w:val="20"/>
        </w:rPr>
        <w:t>Art. 71 O controle externo, a cargo do Congresso Nacional, será exercido com o a</w:t>
      </w:r>
      <w:r>
        <w:rPr>
          <w:color w:val="8C8C8C"/>
          <w:sz w:val="14"/>
        </w:rPr>
        <w:t xml:space="preserve">  [89 decisoes]</w:t>
      </w:r>
    </w:p>
    <w:p>
      <w:pPr>
        <w:ind w:left="144"/>
      </w:pPr>
      <w:r>
        <w:rPr>
          <w:b/>
          <w:color w:val="B45A00"/>
          <w:sz w:val="16"/>
        </w:rPr>
        <w:t>SUMULA</w:t>
      </w:r>
    </w:p>
    <w:p>
      <w:pPr>
        <w:ind w:left="288"/>
      </w:pPr>
      <w:r>
        <w:rPr>
          <w:color w:val="8C8C8C"/>
          <w:sz w:val="12"/>
        </w:rPr>
        <w:t>cf-art-71</w:t>
      </w:r>
    </w:p>
    <w:p>
      <w:pPr>
        <w:ind w:left="288"/>
      </w:pPr>
      <w:r>
        <w:rPr>
          <w:color w:val="1E1E1E"/>
          <w:sz w:val="18"/>
        </w:rPr>
        <w:t>O Tribunal de Contas, no exercício de suas atribuições, pode apreciar a constitucionalidade das leis e dos atos do poder público.</w:t>
      </w:r>
    </w:p>
    <w:p>
      <w:pPr>
        <w:ind w:left="288"/>
      </w:pPr>
      <w:r>
        <w:rPr>
          <w:b/>
          <w:color w:val="003CA0"/>
          <w:sz w:val="16"/>
        </w:rPr>
        <w:t>[Súmula 347.]</w:t>
      </w:r>
    </w:p>
    <w:p>
      <w:pPr>
        <w:ind w:left="288"/>
      </w:pPr>
      <w:r>
        <w:rPr>
          <w:color w:val="8C8C8C"/>
          <w:sz w:val="12"/>
        </w:rPr>
        <w:t>cf-art-71</w:t>
      </w:r>
      <w:r>
        <w:rPr>
          <w:color w:val="003CA0"/>
          <w:sz w:val="12"/>
        </w:rPr>
        <w:t xml:space="preserve"> | ADI 7.459</w:t>
      </w:r>
      <w:r>
        <w:rPr>
          <w:color w:val="003CA0"/>
          <w:sz w:val="12"/>
        </w:rPr>
        <w:t xml:space="preserve"> | rel. Dias Toffoli</w:t>
      </w:r>
    </w:p>
    <w:p>
      <w:pPr>
        <w:ind w:left="288"/>
      </w:pPr>
      <w:r>
        <w:rPr>
          <w:color w:val="1E1E1E"/>
          <w:sz w:val="18"/>
        </w:rPr>
        <w:t>O procedimento de análise prévia de seletividade é instrumento para que a Corte de Contas conheça o objeto da denúncia e possa mensurar os impactos e as repercussões da irregularidade apontada, de modo que a Corte de Contas atue apenas quando presentes materialidade, relevância, oportunidade, risco, gravidade, urgência e tendência que justifiquem uma ação de controle externo. O Tribunal poderá priorizar esforços em ações de maior impacto em termos sociais, financeiros e orçamentários, evitando que o controle externo atue em questões menores cujo custo seja maior do que eventual benefício. Obse</w:t>
      </w:r>
    </w:p>
    <w:p>
      <w:pPr>
        <w:ind w:left="288"/>
      </w:pPr>
      <w:r>
        <w:rPr>
          <w:b/>
          <w:color w:val="003CA0"/>
          <w:sz w:val="16"/>
        </w:rPr>
        <w:t>[ADI 7.459, rel. min. Dias Toffoli, j. 01.07.2025, P, DJE de 08.07.2025.]</w:t>
      </w:r>
    </w:p>
    <w:p>
      <w:pPr>
        <w:ind w:left="144"/>
      </w:pPr>
      <w:r>
        <w:rPr>
          <w:b/>
          <w:color w:val="B45A00"/>
          <w:sz w:val="16"/>
        </w:rPr>
        <w:t>CONTROLE CONCENTRADO</w:t>
      </w:r>
    </w:p>
    <w:p>
      <w:pPr>
        <w:ind w:left="288"/>
      </w:pPr>
      <w:r>
        <w:rPr>
          <w:color w:val="8C8C8C"/>
          <w:sz w:val="12"/>
        </w:rPr>
        <w:t>cf-art-71</w:t>
      </w:r>
      <w:r>
        <w:rPr>
          <w:color w:val="003CA0"/>
          <w:sz w:val="12"/>
        </w:rPr>
        <w:t xml:space="preserve"> | ADI 2.324</w:t>
      </w:r>
      <w:r>
        <w:rPr>
          <w:color w:val="003CA0"/>
          <w:sz w:val="12"/>
        </w:rPr>
        <w:t xml:space="preserve"> | rel. Alexandre de Moraes</w:t>
      </w:r>
    </w:p>
    <w:p>
      <w:pPr>
        <w:ind w:left="288"/>
      </w:pPr>
      <w:r>
        <w:rPr>
          <w:color w:val="1E1E1E"/>
          <w:sz w:val="18"/>
        </w:rPr>
        <w:t xml:space="preserve">Lei complementar 101/2000. Lei de Responsabilidade Fiscal (LRF). Artigos 56, § 2º, e 59, caput. Inexistência de usurpação de competência. (...) Inexistência de qualquer subtração à competência dos Tribunais de Contas de julgamento das próprias contas, mas previsão de atuação opinativa da Comissão Mista de Orçamento (art. 166, § 1º, da CF) ou órgão equivalente. Ao permitir a fiscalização dos padrões de gestão fiscal pela atuação concomitante do Legislativo e dos Tribunais de Contas, o dispositivo buscou melhor aproveitar as especializações institucionais, sem qualquer usurpação de competências </w:t>
      </w:r>
    </w:p>
    <w:p>
      <w:pPr>
        <w:ind w:left="288"/>
      </w:pPr>
      <w:r>
        <w:rPr>
          <w:b/>
          <w:color w:val="003CA0"/>
          <w:sz w:val="16"/>
        </w:rPr>
        <w:t>[ADI 916, rel. min. Joaquim Barbosa, j. 2-2-2009, P, DJE de 6-3-2009.]</w:t>
      </w:r>
    </w:p>
    <w:p>
      <w:pPr>
        <w:ind w:left="288"/>
      </w:pPr>
      <w:r>
        <w:rPr>
          <w:color w:val="8C8C8C"/>
          <w:sz w:val="12"/>
        </w:rPr>
        <w:t>cf-art-71</w:t>
      </w:r>
      <w:r>
        <w:rPr>
          <w:color w:val="003CA0"/>
          <w:sz w:val="12"/>
        </w:rPr>
        <w:t xml:space="preserve"> | RP 1.021</w:t>
      </w:r>
      <w:r>
        <w:rPr>
          <w:color w:val="003CA0"/>
          <w:sz w:val="12"/>
        </w:rPr>
        <w:t xml:space="preserve"> | rel. Nelson Jobim</w:t>
      </w:r>
    </w:p>
    <w:p>
      <w:pPr>
        <w:ind w:left="288"/>
      </w:pPr>
      <w:r>
        <w:rPr>
          <w:color w:val="1E1E1E"/>
          <w:sz w:val="18"/>
        </w:rPr>
        <w:t xml:space="preserve">Competência exclusiva da Assembleia Legislativa para julgar anualmente as contas do Tribunal de Contas do Estado do Pará. Prestação de contas pelo Tribunal de Justiça paraense à Assembleia Legislativa no prazo de sessenta dias contados da abertura da sessão legislativa. Alegação de violação do disposto nos art. 71, I e II, e 75, da Constituição do Brasil. Inocorrência. A Constituição do Brasil de 1988, ao tratar de fiscalização contábil, financeira e orçamentária, prevê o controle externo a ser exercido pelo Congresso Nacional com o auxílio do TCU. A função fiscalizadora do TCU não é inovação </w:t>
      </w:r>
    </w:p>
    <w:p>
      <w:pPr>
        <w:ind w:left="288"/>
      </w:pPr>
      <w:r>
        <w:rPr>
          <w:b/>
          <w:color w:val="003CA0"/>
          <w:sz w:val="16"/>
        </w:rPr>
        <w:t>[ADI 2.597, red. do ac. min. Eros Grau, rel. min. Nelson Jobim, j. 4-8-2004, P, DJ de 17-8-2007.]</w:t>
      </w:r>
    </w:p>
    <w:p>
      <w:pPr>
        <w:ind w:left="288"/>
      </w:pPr>
      <w:r>
        <w:rPr>
          <w:color w:val="8C8C8C"/>
          <w:sz w:val="12"/>
        </w:rPr>
        <w:t>cf-art-71</w:t>
      </w:r>
      <w:r>
        <w:rPr>
          <w:color w:val="003CA0"/>
          <w:sz w:val="12"/>
        </w:rPr>
        <w:t xml:space="preserve"> | ADI 1.175</w:t>
      </w:r>
      <w:r>
        <w:rPr>
          <w:color w:val="003CA0"/>
          <w:sz w:val="12"/>
        </w:rPr>
        <w:t xml:space="preserve"> | rel. Carlos Velloso</w:t>
      </w:r>
    </w:p>
    <w:p>
      <w:pPr>
        <w:ind w:left="288"/>
      </w:pPr>
      <w:r>
        <w:rPr>
          <w:color w:val="1E1E1E"/>
          <w:sz w:val="18"/>
        </w:rPr>
        <w:t>Surge harmônico com a CF diploma revelador do controle pelo Legislativo das contas dos órgãos que o auxiliam, ou seja, dos tribunais de contas.</w:t>
      </w:r>
    </w:p>
    <w:p>
      <w:pPr>
        <w:ind w:left="288"/>
      </w:pPr>
      <w:r>
        <w:rPr>
          <w:b/>
          <w:color w:val="003CA0"/>
          <w:sz w:val="16"/>
        </w:rPr>
        <w:t>[ADI 1.175, red. do ac. min. Marco Aurélio, rel. min. Carlos Velloso, j. 4-8-2004, P, DJ de 19-12-2006.]</w:t>
      </w:r>
    </w:p>
    <w:p>
      <w:pPr>
        <w:ind w:left="288"/>
      </w:pPr>
      <w:r>
        <w:rPr>
          <w:color w:val="8C8C8C"/>
          <w:sz w:val="12"/>
        </w:rPr>
        <w:t>cf-art-71</w:t>
      </w:r>
      <w:r>
        <w:rPr>
          <w:color w:val="003CA0"/>
          <w:sz w:val="12"/>
        </w:rPr>
        <w:t xml:space="preserve"> | MS 37.082</w:t>
      </w:r>
      <w:r>
        <w:rPr>
          <w:color w:val="003CA0"/>
          <w:sz w:val="12"/>
        </w:rPr>
        <w:t xml:space="preserve"> | rel. Cristiano Zanin</w:t>
      </w:r>
    </w:p>
    <w:p>
      <w:pPr>
        <w:ind w:left="288"/>
      </w:pPr>
      <w:r>
        <w:rPr>
          <w:color w:val="1E1E1E"/>
          <w:sz w:val="18"/>
        </w:rPr>
        <w:t>A simples natureza privada de uma entidade ou pessoa jurídica não impede o exercício da competência fiscalizatória do TCU, sendo a extensão do controle externo prevista expressamente na Constituição Federal. Da mesma forma, a circunstância de não integrar a Administração Pública, direta ou indireta, também não exime a pessoa jurídica, ex ante, de qualquer controle do órgão.  Ainda que os repasses realizados pelo ente público patrocinador sejam destinados aos planos de benefícios, isto é, à previdência complementar, há a possibilidade de a gestão dos recursos ocasionar a responsabilidade patrim</w:t>
      </w:r>
    </w:p>
    <w:p>
      <w:pPr>
        <w:ind w:left="288"/>
      </w:pPr>
      <w:r>
        <w:rPr>
          <w:b/>
          <w:color w:val="003CA0"/>
          <w:sz w:val="16"/>
        </w:rPr>
        <w:t>[MS 37.082 AgR, rel. min. Cristiano Zanin, j. 25-2-2026, 1ª T, DJE de 2-3-2026.]</w:t>
      </w:r>
    </w:p>
    <w:p>
      <w:pPr>
        <w:ind w:left="144"/>
      </w:pPr>
      <w:r>
        <w:rPr>
          <w:b/>
          <w:color w:val="B45A00"/>
          <w:sz w:val="16"/>
        </w:rPr>
        <w:t>JULGADOS CORRELATOS</w:t>
      </w:r>
    </w:p>
    <w:p>
      <w:pPr>
        <w:ind w:left="288"/>
      </w:pPr>
      <w:r>
        <w:rPr>
          <w:color w:val="8C8C8C"/>
          <w:sz w:val="12"/>
        </w:rPr>
        <w:t>cf-art-71</w:t>
      </w:r>
      <w:r>
        <w:rPr>
          <w:color w:val="003CA0"/>
          <w:sz w:val="12"/>
        </w:rPr>
        <w:t xml:space="preserve"> | MS 25.888</w:t>
      </w:r>
      <w:r>
        <w:rPr>
          <w:color w:val="003CA0"/>
          <w:sz w:val="12"/>
        </w:rPr>
        <w:t xml:space="preserve"> | rel. Gilmar Mendes</w:t>
      </w:r>
    </w:p>
    <w:p>
      <w:pPr>
        <w:ind w:left="288"/>
      </w:pPr>
      <w:r>
        <w:rPr>
          <w:color w:val="1E1E1E"/>
          <w:sz w:val="18"/>
        </w:rPr>
        <w:t>A normatividade da Constituição é antes de tudo um dever a ser observado por parte dos órgãos do Estado que lidam com a aplicação de normas jurídicas a casos concretos. Se ao Supremo Tribunal Federal compete, precipuamente, a guarda da Constituição Federal, é certo que a sua interpretação do texto constitucional deve ser acompanhada pelos demais órgãos públicos. (...) O tratamento de questões constitucionais, por parte de um Tribunal de Contas, observa a finalidade de reforçar a normatividade constitucional. Da Corte de Contas espera-se a postura de cobrar da administração pública a observânci</w:t>
      </w:r>
    </w:p>
    <w:p>
      <w:pPr>
        <w:ind w:left="288"/>
      </w:pPr>
      <w:r>
        <w:rPr>
          <w:b/>
          <w:color w:val="003CA0"/>
          <w:sz w:val="16"/>
        </w:rPr>
        <w:t>[MS 35.500, rel. min. Alexandre de Moraes, j. 13-4-2021, P, DJE de 5-5-2021.]</w:t>
      </w:r>
    </w:p>
    <w:p>
      <w:pPr>
        <w:ind w:left="288"/>
      </w:pPr>
      <w:r>
        <w:rPr>
          <w:color w:val="8C8C8C"/>
          <w:sz w:val="12"/>
        </w:rPr>
        <w:t>cf-art-71</w:t>
      </w:r>
      <w:r>
        <w:rPr>
          <w:color w:val="003CA0"/>
          <w:sz w:val="12"/>
        </w:rPr>
        <w:t xml:space="preserve"> | MS 23.168</w:t>
      </w:r>
      <w:r>
        <w:rPr>
          <w:color w:val="003CA0"/>
          <w:sz w:val="12"/>
        </w:rPr>
        <w:t xml:space="preserve"> | rel. Rosa Weber</w:t>
      </w:r>
    </w:p>
    <w:p>
      <w:pPr>
        <w:ind w:left="288"/>
      </w:pPr>
      <w:r>
        <w:rPr>
          <w:color w:val="1E1E1E"/>
          <w:sz w:val="18"/>
        </w:rPr>
        <w:t>Deliberações do Tribunal de Contas da União que determinaram o fornecimento de trabalhos de auditoria interna. Recusa de entrega, por parte do Banco do Brasil S.A., (...) Quando enfocados apenas dados operacionais da sociedade de economia mista, sem identificação de dados pessoais ou de movimentações individuais dos correntistas, não há falar em sigilo bancário como óbice ao fornecimento dos documentos de auditoria interna requisitados pelo TCU. Esse e o entendimento que se extrai dos princípios da publicidade e da transparência, além da exigência de prestar contas, inerentes, por imposição co</w:t>
      </w:r>
    </w:p>
    <w:p>
      <w:pPr>
        <w:ind w:left="288"/>
      </w:pPr>
      <w:r>
        <w:rPr>
          <w:b/>
          <w:color w:val="003CA0"/>
          <w:sz w:val="16"/>
        </w:rPr>
        <w:t>[MS 23.168-AgR, rel. min. Rosa Weber, j. em 27-6-2019, 1a.T, DJE de 5-8-2019.</w:t>
      </w:r>
    </w:p>
    <w:p>
      <w:pPr>
        <w:ind w:left="288"/>
      </w:pPr>
      <w:r>
        <w:rPr>
          <w:color w:val="8C8C8C"/>
          <w:sz w:val="12"/>
        </w:rPr>
        <w:t>cf-art-71</w:t>
      </w:r>
      <w:r>
        <w:rPr>
          <w:color w:val="003CA0"/>
          <w:sz w:val="12"/>
        </w:rPr>
        <w:t xml:space="preserve"> | MS 33.340</w:t>
      </w:r>
      <w:r>
        <w:rPr>
          <w:color w:val="003CA0"/>
          <w:sz w:val="12"/>
        </w:rPr>
        <w:t xml:space="preserve"> | rel. Luiz Fux</w:t>
      </w:r>
    </w:p>
    <w:p>
      <w:pPr>
        <w:ind w:left="288"/>
      </w:pPr>
      <w:r>
        <w:rPr>
          <w:color w:val="1E1E1E"/>
          <w:sz w:val="18"/>
        </w:rPr>
        <w:t>O sigilo de informações necessárias para a preservação da intimidade é relativizado quando se está diante do interesse da sociedade de se conhecer o destino dos recursos públicos. Operações financeiras que envolvam recursos públicos não estão abrangidas pelo sigilo bancário a que alude a LC 105/2001, visto que as operações dessa espécie estão submetidas aos princípios da administração pública insculpidos no art. 37 da CF. Em tais situações, é prerrogativa constitucional do Tribunal [TCU] o acesso a informações relacionadas a operações financiadas com recursos públicos.</w:t>
      </w:r>
    </w:p>
    <w:p>
      <w:pPr>
        <w:ind w:left="288"/>
      </w:pPr>
      <w:r>
        <w:rPr>
          <w:b/>
          <w:color w:val="003CA0"/>
          <w:sz w:val="16"/>
        </w:rPr>
        <w:t>[MS 33.340, rel. min. Luiz Fux, j. 26-5-2015, 1ª T, DJE de 3-8-2015.]</w:t>
      </w:r>
    </w:p>
    <w:p>
      <w:pPr>
        <w:ind w:left="288"/>
      </w:pPr>
      <w:r>
        <w:rPr>
          <w:color w:val="8C8C8C"/>
          <w:sz w:val="12"/>
        </w:rPr>
        <w:t>cf-art-71</w:t>
      </w:r>
      <w:r>
        <w:rPr>
          <w:color w:val="003CA0"/>
          <w:sz w:val="12"/>
        </w:rPr>
        <w:t xml:space="preserve"> | MS 33.092</w:t>
      </w:r>
      <w:r>
        <w:rPr>
          <w:color w:val="003CA0"/>
          <w:sz w:val="12"/>
        </w:rPr>
        <w:t xml:space="preserve"> | rel. Gilmar Mendes</w:t>
      </w:r>
    </w:p>
    <w:p>
      <w:pPr>
        <w:ind w:left="288"/>
      </w:pPr>
      <w:r>
        <w:rPr>
          <w:color w:val="1E1E1E"/>
          <w:sz w:val="18"/>
        </w:rPr>
        <w:t>TCU. Tomada de contas especial. Dano ao patrimônio da Petrobras. Medida cautelar de indisponibilidade de bens dos responsáveis. Poder geral de cautela reconhecido ao TCU como decorrência de suas atribuições constitucionais.</w:t>
      </w:r>
    </w:p>
    <w:p>
      <w:pPr>
        <w:ind w:left="288"/>
      </w:pPr>
      <w:r>
        <w:rPr>
          <w:b/>
          <w:color w:val="003CA0"/>
          <w:sz w:val="16"/>
        </w:rPr>
        <w:t>[MS 33.092, rel. min. Gilmar Mendes, j. 24-3-2015, 2ª T, DJE de 17-8-2015.]</w:t>
      </w:r>
    </w:p>
    <w:p>
      <w:pPr>
        <w:ind w:left="288"/>
      </w:pPr>
      <w:r>
        <w:rPr>
          <w:color w:val="8C8C8C"/>
          <w:sz w:val="12"/>
        </w:rPr>
        <w:t>cf-art-71</w:t>
      </w:r>
      <w:r>
        <w:rPr>
          <w:color w:val="003CA0"/>
          <w:sz w:val="12"/>
        </w:rPr>
        <w:t xml:space="preserve"> | MS 27.008</w:t>
      </w:r>
      <w:r>
        <w:rPr>
          <w:color w:val="003CA0"/>
          <w:sz w:val="12"/>
        </w:rPr>
        <w:t xml:space="preserve"> | rel. Ayres Britto</w:t>
      </w:r>
    </w:p>
    <w:p>
      <w:pPr>
        <w:ind w:left="288"/>
      </w:pPr>
      <w:r>
        <w:rPr>
          <w:color w:val="1E1E1E"/>
          <w:sz w:val="18"/>
        </w:rPr>
        <w:t>A representação ao TCU contra irregularidades em processo licitatório não está limitada pelo prazo do § 2º do art. 41 da Lei 8.666/1993.</w:t>
      </w:r>
    </w:p>
    <w:p>
      <w:pPr>
        <w:ind w:left="288"/>
      </w:pPr>
      <w:r>
        <w:rPr>
          <w:b/>
          <w:color w:val="003CA0"/>
          <w:sz w:val="16"/>
        </w:rPr>
        <w:t>[MS 27.008, rel. min. Ayres Britto, j. 17-2-2010, P, DJE de 12-3-2010.]</w:t>
      </w:r>
    </w:p>
    <w:p>
      <w:pPr>
        <w:ind w:left="288"/>
      </w:pPr>
      <w:r>
        <w:rPr>
          <w:color w:val="8C8C8C"/>
          <w:sz w:val="12"/>
        </w:rPr>
        <w:t>cf-art-71</w:t>
      </w:r>
      <w:r>
        <w:rPr>
          <w:color w:val="003CA0"/>
          <w:sz w:val="12"/>
        </w:rPr>
        <w:t xml:space="preserve"> | MS 26.250</w:t>
      </w:r>
      <w:r>
        <w:rPr>
          <w:color w:val="003CA0"/>
          <w:sz w:val="12"/>
        </w:rPr>
        <w:t xml:space="preserve"> | rel. Ayres Britto</w:t>
      </w:r>
    </w:p>
    <w:p>
      <w:pPr>
        <w:ind w:left="288"/>
      </w:pPr>
      <w:r>
        <w:rPr>
          <w:color w:val="1E1E1E"/>
          <w:sz w:val="18"/>
        </w:rPr>
        <w:t>Não há direito líquido e certo à prorrogação de contrato celebrado com o poder público. Existência de mera expectativa de direito, dado que a decisão sobre a prorrogação do ajuste se inscreve no âmbito da discricionariedade da administração pública. Sendo a relação jurídica travada entre o Tribunal de Contas e a administração pública, não há que se falar em desrespeito às garantias constitucionais do contraditório e da ampla defesa.</w:t>
      </w:r>
    </w:p>
    <w:p>
      <w:pPr>
        <w:ind w:left="288"/>
      </w:pPr>
      <w:r>
        <w:rPr>
          <w:b/>
          <w:color w:val="003CA0"/>
          <w:sz w:val="16"/>
        </w:rPr>
        <w:t>[MS 26.250, rel. min. Ayres Britto, j. 17-2-2010, P, DJE de 12-3-2010.]</w:t>
      </w:r>
    </w:p>
    <w:p>
      <w:pPr>
        <w:ind w:left="288"/>
      </w:pPr>
      <w:r>
        <w:rPr>
          <w:color w:val="8C8C8C"/>
          <w:sz w:val="12"/>
        </w:rPr>
        <w:t>cf-art-71</w:t>
      </w:r>
      <w:r>
        <w:rPr>
          <w:color w:val="003CA0"/>
          <w:sz w:val="12"/>
        </w:rPr>
        <w:t xml:space="preserve"> | MS 24.423</w:t>
      </w:r>
      <w:r>
        <w:rPr>
          <w:color w:val="003CA0"/>
          <w:sz w:val="12"/>
        </w:rPr>
        <w:t xml:space="preserve"> | rel. Gilmar Mendes</w:t>
      </w:r>
    </w:p>
    <w:p>
      <w:pPr>
        <w:ind w:left="288"/>
      </w:pPr>
      <w:r>
        <w:rPr>
          <w:color w:val="1E1E1E"/>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w:t>
      </w:r>
    </w:p>
    <w:p>
      <w:pPr>
        <w:ind w:left="288"/>
      </w:pPr>
      <w:r>
        <w:rPr>
          <w:b/>
          <w:color w:val="003CA0"/>
          <w:sz w:val="16"/>
        </w:rPr>
        <w:t>[MS 24.423, voto do rel. min. Gilmar Mendes, j. 10-9-2008, P, DJE de 20-2-2009.]</w:t>
      </w:r>
    </w:p>
    <w:p>
      <w:pPr>
        <w:ind w:left="288"/>
      </w:pPr>
      <w:r>
        <w:rPr>
          <w:color w:val="8C8C8C"/>
          <w:sz w:val="12"/>
        </w:rPr>
        <w:t>cf-art-71</w:t>
      </w:r>
      <w:r>
        <w:rPr>
          <w:color w:val="003CA0"/>
          <w:sz w:val="12"/>
        </w:rPr>
        <w:t xml:space="preserve"> | MS 26.732</w:t>
      </w:r>
      <w:r>
        <w:rPr>
          <w:color w:val="003CA0"/>
          <w:sz w:val="12"/>
        </w:rPr>
        <w:t xml:space="preserve"> | rel. Cármen Lúcia</w:t>
      </w:r>
    </w:p>
    <w:p>
      <w:pPr>
        <w:ind w:left="288"/>
      </w:pPr>
      <w:r>
        <w:rPr>
          <w:color w:val="1E1E1E"/>
          <w:sz w:val="18"/>
        </w:rPr>
        <w:t>Não se faz necessária a notificação prévia e pessoal da data em que será realizada a sessão de julgamento de recurso de reconsideração pelo TCU. Ausência de ofensa aos princípios da ampla defesa e do devido processo legal quando a pauta de julgamentos é publicada no DOU. O pedido de sustentação oral pode ser feito, conforme autoriza o art. 168 do Regimento Interno do TCU, até quatro horas antes da sessão. Para tanto, é necessário que os interessados no julgamento acompanhem o andamento do processo e as publicações feitas no DOU.</w:t>
      </w:r>
    </w:p>
    <w:p>
      <w:pPr>
        <w:ind w:left="288"/>
      </w:pPr>
      <w:r>
        <w:rPr>
          <w:b/>
          <w:color w:val="003CA0"/>
          <w:sz w:val="16"/>
        </w:rPr>
        <w:t>[MS 26.732 AgR, rel. min. Cármen Lúcia, j. 25-6-2008, P, DJE de 15-8-2008.]</w:t>
      </w:r>
    </w:p>
    <w:p>
      <w:pPr>
        <w:ind w:left="288"/>
      </w:pPr>
      <w:r>
        <w:rPr>
          <w:color w:val="8C8C8C"/>
          <w:sz w:val="12"/>
        </w:rPr>
        <w:t>cf-art-71</w:t>
      </w:r>
      <w:r>
        <w:rPr>
          <w:color w:val="003CA0"/>
          <w:sz w:val="12"/>
        </w:rPr>
        <w:t xml:space="preserve"> | MS 22.801</w:t>
      </w:r>
      <w:r>
        <w:rPr>
          <w:color w:val="003CA0"/>
          <w:sz w:val="12"/>
        </w:rPr>
        <w:t xml:space="preserve"> | rel. Menezes Direito</w:t>
      </w:r>
    </w:p>
    <w:p>
      <w:pPr>
        <w:ind w:left="288"/>
      </w:pPr>
      <w:r>
        <w:rPr>
          <w:color w:val="1E1E1E"/>
          <w:sz w:val="18"/>
        </w:rPr>
        <w:t>A LC 105, de 10-1-2001, não conferiu ao TCU poderes para determinar a quebra do sigilo bancário de dados constantes do Banco Central do Brasil. O legislador conferiu esses poderes ao Poder Judiciário (art. 3º), ao Poder Legislativo Federal (art. 4º), bem como às CPIs, após prévia aprovação do pedido pelo Plenário da Câmara dos Deputados, do Senado Federal ou do Plenário de suas respectivas CPIs (§§ 1º e 2º do art. 4º). Embora as atividades do TCU, por sua natureza, verificação de contas e até mesmo o julgamento das contas das pessoas enumeradas no art. 71, II, da CF, justifiquem a eventual que</w:t>
      </w:r>
    </w:p>
    <w:p>
      <w:pPr>
        <w:ind w:left="288"/>
      </w:pPr>
      <w:r>
        <w:rPr>
          <w:b/>
          <w:color w:val="003CA0"/>
          <w:sz w:val="16"/>
        </w:rPr>
        <w:t>[MS 22.801, rel. min. Menezes Direito, j. 17-12-2007, P, DJE de 14-3-2008.]</w:t>
      </w:r>
    </w:p>
    <w:p>
      <w:pPr>
        <w:ind w:left="288"/>
      </w:pPr>
      <w:r>
        <w:rPr>
          <w:color w:val="8C8C8C"/>
          <w:sz w:val="12"/>
        </w:rPr>
        <w:t>cf-art-71</w:t>
      </w:r>
      <w:r>
        <w:rPr>
          <w:color w:val="003CA0"/>
          <w:sz w:val="12"/>
        </w:rPr>
        <w:t xml:space="preserve"> | MS 22.934</w:t>
      </w:r>
      <w:r>
        <w:rPr>
          <w:color w:val="003CA0"/>
          <w:sz w:val="12"/>
        </w:rPr>
        <w:t xml:space="preserve"> | rel. Joaquim Barbosa</w:t>
      </w:r>
    </w:p>
    <w:p>
      <w:pPr>
        <w:ind w:left="288"/>
      </w:pPr>
      <w:r>
        <w:rPr>
          <w:color w:val="1E1E1E"/>
          <w:sz w:val="18"/>
        </w:rPr>
        <w:t>= MS 22.934, rel. min. Joaquim Barbosa, j. 17-4-2012, 2ª T, DJE de 9-5-2012 Advogado público. Responsabilidade. (...) Prevendo o art. 38 da Lei 8.666/1993 que a manifestação da assessoria jurídica quanto a editais de licitação, contratos, acordos, convênios e ajustes não se limita a simples opinião, alcançando a aprovação, ou não, descabe a recusa à convocação do TCU para serem prestados esclarecimentos.</w:t>
      </w:r>
    </w:p>
    <w:p>
      <w:pPr>
        <w:ind w:left="288"/>
      </w:pPr>
      <w:r>
        <w:rPr>
          <w:b/>
          <w:color w:val="003CA0"/>
          <w:sz w:val="16"/>
        </w:rPr>
        <w:t>[MS 24.584, rel. min. Marco Aurélio, j. 9-8-2007, P, DJE de 20-6-2008.]</w:t>
      </w:r>
    </w:p>
    <w:p>
      <w:pPr>
        <w:ind w:left="288"/>
      </w:pPr>
      <w:r>
        <w:rPr>
          <w:color w:val="8C8C8C"/>
          <w:sz w:val="12"/>
        </w:rPr>
        <w:t>cf-art-71</w:t>
      </w:r>
      <w:r>
        <w:rPr>
          <w:color w:val="003CA0"/>
          <w:sz w:val="12"/>
        </w:rPr>
        <w:t xml:space="preserve"> | MS 24.631</w:t>
      </w:r>
      <w:r>
        <w:rPr>
          <w:color w:val="003CA0"/>
          <w:sz w:val="12"/>
        </w:rPr>
        <w:t xml:space="preserve"> | rel. Joaquim Barbosa</w:t>
      </w:r>
    </w:p>
    <w:p>
      <w:pPr>
        <w:ind w:left="288"/>
      </w:pPr>
      <w:r>
        <w:rPr>
          <w:color w:val="1E1E1E"/>
          <w:sz w:val="18"/>
        </w:rPr>
        <w:t>Controle externo. Auditoria pelo TCU. Responsabilidade de procurador de autarquia por emissão de parecer técnico-jurídico de natureza opinativa. Segurança deferida. Repercussões da natureza jurídico-administrativa do parecer jurídico: (i) quando a consulta é facultativa, a autoridade não se vincula ao parecer proferido, sendo que seu poder de decisão não se altera pela manifestação do órgão consultivo; (ii) quando a consulta é obrigatória, a autoridade administrativa se vincula a emitir o ato tal como submetido à consultoria, com parecer favorável ou contrário, e se pretender praticar ato de f</w:t>
      </w:r>
    </w:p>
    <w:p>
      <w:pPr>
        <w:ind w:left="288"/>
      </w:pPr>
      <w:r>
        <w:rPr>
          <w:b/>
          <w:color w:val="003CA0"/>
          <w:sz w:val="16"/>
        </w:rPr>
        <w:t>[MS 24.631, rel. min. Joaquim Barbosa, j. 9-8-2007, P, DJ de 1º-2-2008.]</w:t>
      </w:r>
    </w:p>
    <w:p>
      <w:pPr>
        <w:ind w:left="288"/>
      </w:pPr>
      <w:r>
        <w:rPr>
          <w:color w:val="8C8C8C"/>
          <w:sz w:val="12"/>
        </w:rPr>
        <w:t>cf-art-71</w:t>
      </w:r>
      <w:r>
        <w:rPr>
          <w:color w:val="003CA0"/>
          <w:sz w:val="12"/>
        </w:rPr>
        <w:t xml:space="preserve"> | MS 24.001</w:t>
      </w:r>
      <w:r>
        <w:rPr>
          <w:color w:val="003CA0"/>
          <w:sz w:val="12"/>
        </w:rPr>
        <w:t xml:space="preserve"> | rel. Maurício Corrêa</w:t>
      </w:r>
    </w:p>
    <w:p>
      <w:pPr>
        <w:ind w:left="288"/>
      </w:pPr>
      <w:r>
        <w:rPr>
          <w:color w:val="1E1E1E"/>
          <w:sz w:val="18"/>
        </w:rPr>
        <w:t>A jurisprudência desta Corte é firme no sentido de que o TCU é parte legítima para figurar no polo passivo de mandado de segurança apenas quando o ato impugnado estiver revestido de caráter impositivo. Nesse sentido o MS 24.001, rel. min. Maurício Corrêa, DJ de 20-5-2002. A especificação da autoridade coatora na petição inicial há de ser feita em função do órgão do TCU que tenha proferido a decisão impugnada no mandamus. Tanto o presidente daquela Corte de Contas quanto os das respectivas Câmaras podem figurar como autoridades coatoras. O Supremo, no entanto, não faz essa distinção, conhecendo</w:t>
      </w:r>
    </w:p>
    <w:p>
      <w:pPr>
        <w:ind w:left="288"/>
      </w:pPr>
      <w:r>
        <w:rPr>
          <w:b/>
          <w:color w:val="003CA0"/>
          <w:sz w:val="16"/>
        </w:rPr>
        <w:t>[MS 26.381 AgR, rel. min. Eros Grau, j. 14-6-2007, P, DJ de 10-8-2007.]</w:t>
      </w:r>
    </w:p>
    <w:p>
      <w:pPr>
        <w:ind w:left="288"/>
      </w:pPr>
      <w:r>
        <w:rPr>
          <w:color w:val="8C8C8C"/>
          <w:sz w:val="12"/>
        </w:rPr>
        <w:t>cf-art-71</w:t>
      </w:r>
      <w:r>
        <w:rPr>
          <w:color w:val="003CA0"/>
          <w:sz w:val="12"/>
        </w:rPr>
        <w:t xml:space="preserve"> | MS 24.001</w:t>
      </w:r>
      <w:r>
        <w:rPr>
          <w:color w:val="003CA0"/>
          <w:sz w:val="12"/>
        </w:rPr>
        <w:t xml:space="preserve"> | rel. Eros Grau</w:t>
      </w:r>
    </w:p>
    <w:p>
      <w:pPr>
        <w:ind w:left="288"/>
      </w:pPr>
      <w:r>
        <w:rPr>
          <w:color w:val="1E1E1E"/>
          <w:sz w:val="18"/>
        </w:rPr>
        <w:t>O presidente da Primeira Câmara do TCU é parte legítima para figurar no polo passivo de mandado de segurança quando o ato impugnado reveste-se de caráter impositivo. Precedente (MS 24.001, relator Maurício Corrêa, DJ de 20-5-2002). Prejudicada a impetração quanto ao coordenador-geral de recursos humanos da Abin [Agência Brasileira de Inteligência], mero executor do ato administrativo do TCU.</w:t>
      </w:r>
    </w:p>
    <w:p>
      <w:pPr>
        <w:ind w:left="288"/>
      </w:pPr>
      <w:r>
        <w:rPr>
          <w:b/>
          <w:color w:val="003CA0"/>
          <w:sz w:val="16"/>
        </w:rPr>
        <w:t>[MS 24.997, MS 25.015, MS 25.036, MS 25.037, MS 25.090 e MS 25.095, rel. min. Eros Grau, j. 2-2-2005, P, DJ de 1º-4-2005.]</w:t>
      </w:r>
    </w:p>
    <w:p>
      <w:pPr>
        <w:ind w:left="288"/>
      </w:pPr>
      <w:r>
        <w:rPr>
          <w:color w:val="8C8C8C"/>
          <w:sz w:val="12"/>
        </w:rPr>
        <w:t>cf-art-71</w:t>
      </w:r>
      <w:r>
        <w:rPr>
          <w:color w:val="003CA0"/>
          <w:sz w:val="12"/>
        </w:rPr>
        <w:t xml:space="preserve"> | MS 25.149</w:t>
      </w:r>
      <w:r>
        <w:rPr>
          <w:color w:val="003CA0"/>
          <w:sz w:val="12"/>
        </w:rPr>
        <w:t xml:space="preserve"> | rel. Celso de Mello</w:t>
      </w:r>
    </w:p>
    <w:p>
      <w:pPr>
        <w:ind w:left="288"/>
      </w:pPr>
      <w:r>
        <w:rPr>
          <w:color w:val="1E1E1E"/>
          <w:sz w:val="18"/>
        </w:rPr>
        <w:t>= MS 25.149, rel. min. Celso de Mello, j. 9-6-2005, P, DJE de 18-9-2009 (...) a atribuição de poderes explícitos, ao Tribunal de Contas, tais como enunciados no art. 71 da Lei Fundamental da República, supõe que se lhe reconheça, ainda que por implicitude, a titularidade de meios destinados a viabilizar a adoção de medidas cautelares vocacionadas a conferir real efetividade às suas deliberações finais, permitindo, assim, que se neutralizem situações de lesividade, atual ou iminente, ao erário público. Impende considerar, no ponto, em ordem a legitimar esse entendimento, a formulação que se fez</w:t>
      </w:r>
    </w:p>
    <w:p>
      <w:pPr>
        <w:ind w:left="288"/>
      </w:pPr>
      <w:r>
        <w:rPr>
          <w:b/>
          <w:color w:val="003CA0"/>
          <w:sz w:val="16"/>
        </w:rPr>
        <w:t>[MS 24.510, rel. min. Ellen Gracie, voto do min. Celso de Mello, j. 19-11-2003, P, DJ de 19-3-2004.]</w:t>
      </w:r>
    </w:p>
    <w:p>
      <w:pPr>
        <w:ind w:left="288"/>
      </w:pPr>
      <w:r>
        <w:rPr>
          <w:color w:val="8C8C8C"/>
          <w:sz w:val="12"/>
        </w:rPr>
        <w:t>cf-art-71</w:t>
      </w:r>
      <w:r>
        <w:rPr>
          <w:color w:val="003CA0"/>
          <w:sz w:val="12"/>
        </w:rPr>
        <w:t xml:space="preserve"> | MS 33.092</w:t>
      </w:r>
      <w:r>
        <w:rPr>
          <w:color w:val="003CA0"/>
          <w:sz w:val="12"/>
        </w:rPr>
        <w:t xml:space="preserve"> | rel. Gilmar Mendes</w:t>
      </w:r>
    </w:p>
    <w:p>
      <w:pPr>
        <w:ind w:left="288"/>
      </w:pPr>
      <w:r>
        <w:rPr>
          <w:color w:val="1E1E1E"/>
          <w:sz w:val="18"/>
        </w:rPr>
        <w:t>Vide MS 33.092, rel. min. Gilmar Mendes, j. 24-3-2015, 2ª T, DJE de 17-8-2015 TCU: processo de representação fundado em invalidade de contrato administrativo: incidência das garantias do devido processo legal e do contraditório e ampla defesa, que impõem assegurar aos interessados, a começar do particular contratante, a ciência de sua instauração e as intervenções cabíveis. (...) A incidência imediata das garantias constitucionais referidas dispensariam previsão legal expressa de audiência dos interessados; de qualquer modo, nada exclui os procedimentos do Tribunal de Contas da aplicação subsi</w:t>
      </w:r>
    </w:p>
    <w:p>
      <w:pPr>
        <w:ind w:left="288"/>
      </w:pPr>
      <w:r>
        <w:rPr>
          <w:b/>
          <w:color w:val="003CA0"/>
          <w:sz w:val="16"/>
        </w:rPr>
        <w:t>[MS 23.550, rel. min. Sepúlveda Pertence, j. 4-4-2001, P, DJ de 31-10-2001.]</w:t>
      </w:r>
    </w:p>
    <w:p>
      <w:pPr>
        <w:ind w:left="288"/>
      </w:pPr>
      <w:r>
        <w:rPr>
          <w:color w:val="8C8C8C"/>
          <w:sz w:val="12"/>
        </w:rPr>
        <w:t>cf-art-71</w:t>
      </w:r>
      <w:r>
        <w:rPr>
          <w:color w:val="003CA0"/>
          <w:sz w:val="12"/>
        </w:rPr>
        <w:t xml:space="preserve"> | MS 30.329</w:t>
      </w:r>
      <w:r>
        <w:rPr>
          <w:color w:val="003CA0"/>
          <w:sz w:val="12"/>
        </w:rPr>
        <w:t xml:space="preserve"> | rel. Cármen Lúcia</w:t>
      </w:r>
    </w:p>
    <w:p>
      <w:pPr>
        <w:ind w:left="288"/>
      </w:pPr>
      <w:r>
        <w:rPr>
          <w:color w:val="1E1E1E"/>
          <w:sz w:val="18"/>
        </w:rPr>
        <w:t>= MS 30.329, rel. min. Cármen Lúcia, j. 18-12-2012, 2ª T , DJE de 20-2-2013</w:t>
      </w:r>
    </w:p>
    <w:p>
      <w:pPr>
        <w:ind w:left="288"/>
      </w:pPr>
      <w:r>
        <w:rPr>
          <w:color w:val="8C8C8C"/>
          <w:sz w:val="12"/>
        </w:rPr>
        <w:t>cf-art-71-inc-I</w:t>
      </w:r>
      <w:r>
        <w:rPr>
          <w:color w:val="003CA0"/>
          <w:sz w:val="12"/>
        </w:rPr>
        <w:t xml:space="preserve"> | ADPF 434</w:t>
      </w:r>
      <w:r>
        <w:rPr>
          <w:color w:val="003CA0"/>
          <w:sz w:val="12"/>
        </w:rPr>
        <w:t xml:space="preserve"> | rel. Nunes Marques</w:t>
      </w:r>
    </w:p>
    <w:p>
      <w:pPr>
        <w:ind w:left="288"/>
      </w:pPr>
      <w:r>
        <w:rPr>
          <w:color w:val="1E1E1E"/>
          <w:sz w:val="18"/>
        </w:rPr>
        <w:t>O parecer técnico do Tribunal de Contas, embora relevante para subsidiar o julgamento político da Assembleia Legislativa, possui natureza opinativa, não vinculando nem condicionando o exercício da competência legislativa. A ausência de parecer prévio no prazo constitucional não obsta o julgamento das contas pelo Legislativo, sendo-lhe vedado eximir-se da competência constitucionalmente atribuída.</w:t>
      </w:r>
    </w:p>
    <w:p>
      <w:pPr>
        <w:ind w:left="288"/>
      </w:pPr>
      <w:r>
        <w:rPr>
          <w:b/>
          <w:color w:val="003CA0"/>
          <w:sz w:val="16"/>
        </w:rPr>
        <w:t>[ADPF 434, rel. min. Nunes Marques, j. 12.08.2025, P, DJE de 16.10.2025.]</w:t>
      </w:r>
    </w:p>
    <w:p>
      <w:pPr>
        <w:ind w:left="288"/>
      </w:pPr>
      <w:r>
        <w:rPr>
          <w:color w:val="8C8C8C"/>
          <w:sz w:val="12"/>
        </w:rPr>
        <w:t>cf-art-71-inc-I</w:t>
      </w:r>
      <w:r>
        <w:rPr>
          <w:color w:val="003CA0"/>
          <w:sz w:val="12"/>
        </w:rPr>
        <w:t xml:space="preserve"> | ADPF 366</w:t>
      </w:r>
      <w:r>
        <w:rPr>
          <w:color w:val="003CA0"/>
          <w:sz w:val="12"/>
        </w:rPr>
        <w:t xml:space="preserve"> | rel. Gilmar Mendes</w:t>
      </w:r>
    </w:p>
    <w:p>
      <w:pPr>
        <w:ind w:left="288"/>
      </w:pPr>
      <w:r>
        <w:rPr>
          <w:color w:val="1E1E1E"/>
          <w:sz w:val="18"/>
        </w:rPr>
        <w:t>A competência do Tribunal de Contas para emissão do parecer prévio a que se refere o art. 71, I, da Constituição Federal, quando extrapolado, em muito, o prazo constitucionalmente imposto, não tem o condão de obstruir a competência do Poder Legislativo estadual para julgar as contas anuais do Chefe do Poder Executivo estadual. (...) Admitir que o Tribunal de Contas do Estado, após superado, de forma irrazoável, o prazo mencionado, pode impedir o exercício de atribuição própria do Poder Legislativo estadual significa – além de menosprezar esse Poder, diminuindo, de forma inconstitucional, seu â</w:t>
      </w:r>
    </w:p>
    <w:p>
      <w:pPr>
        <w:ind w:left="288"/>
      </w:pPr>
      <w:r>
        <w:rPr>
          <w:b/>
          <w:color w:val="003CA0"/>
          <w:sz w:val="16"/>
        </w:rPr>
        <w:t>[ADPF 366, rel. min. Gilmar Mendes, j. 24.02.2025, P, DJE de 06.03.2025.]</w:t>
      </w:r>
    </w:p>
    <w:p>
      <w:pPr>
        <w:ind w:left="144"/>
      </w:pPr>
      <w:r>
        <w:rPr>
          <w:b/>
          <w:color w:val="B45A00"/>
          <w:sz w:val="16"/>
        </w:rPr>
        <w:t>CONTROLE CONCENTRADO</w:t>
      </w:r>
    </w:p>
    <w:p>
      <w:pPr>
        <w:ind w:left="288"/>
      </w:pPr>
      <w:r>
        <w:rPr>
          <w:color w:val="8C8C8C"/>
          <w:sz w:val="12"/>
        </w:rPr>
        <w:t>cf-art-71-inc-I</w:t>
      </w:r>
      <w:r>
        <w:rPr>
          <w:color w:val="003CA0"/>
          <w:sz w:val="12"/>
        </w:rPr>
        <w:t xml:space="preserve"> | ADI 1.779</w:t>
      </w:r>
      <w:r>
        <w:rPr>
          <w:color w:val="003CA0"/>
          <w:sz w:val="12"/>
        </w:rPr>
        <w:t xml:space="preserve"> | rel. Ilmar Galvão</w:t>
      </w:r>
    </w:p>
    <w:p>
      <w:pPr>
        <w:ind w:left="288"/>
      </w:pPr>
      <w:r>
        <w:rPr>
          <w:color w:val="1E1E1E"/>
          <w:sz w:val="18"/>
        </w:rPr>
        <w:t>Disposições que, na conformidade da orientação assentada na jurisprudência do STF, ao atribuírem competência exclusiva à assembleia legislativa para julgar as contas do Poder Legislativo, do Tribunal de Contas, do tribunal de justiça e das mesas diretoras das câmaras municipais, entram em choque com a norma contida no inciso I do art. 71 da CF.</w:t>
      </w:r>
    </w:p>
    <w:p>
      <w:pPr>
        <w:ind w:left="288"/>
      </w:pPr>
      <w:r>
        <w:rPr>
          <w:b/>
          <w:color w:val="003CA0"/>
          <w:sz w:val="16"/>
        </w:rPr>
        <w:t>[ADI 1.779, rel. min. Ilmar Galvão, j. 1º-8-2001, P, DJ de 14-9-2001.]</w:t>
      </w:r>
    </w:p>
    <w:p>
      <w:pPr>
        <w:ind w:left="288"/>
      </w:pPr>
      <w:r>
        <w:rPr>
          <w:color w:val="8C8C8C"/>
          <w:sz w:val="12"/>
        </w:rPr>
        <w:t>cf-art-71-inc-I</w:t>
      </w:r>
      <w:r>
        <w:rPr>
          <w:color w:val="003CA0"/>
          <w:sz w:val="12"/>
        </w:rPr>
        <w:t xml:space="preserve"> | ADI 4.124</w:t>
      </w:r>
      <w:r>
        <w:rPr>
          <w:color w:val="003CA0"/>
          <w:sz w:val="12"/>
        </w:rPr>
        <w:t xml:space="preserve"> | rel. Nunes Marques</w:t>
      </w:r>
    </w:p>
    <w:p>
      <w:pPr>
        <w:ind w:left="288"/>
      </w:pPr>
      <w:r>
        <w:rPr>
          <w:color w:val="1E1E1E"/>
          <w:sz w:val="18"/>
        </w:rPr>
        <w:t>II - julgar as contas dos administradores e demais responsáveis por dinheiros, bens e valores públicos da administração direta e indireta, incluídas as fundações e sociedades instituídas e mantidas pelo Poder Público federal, e as contas daqueles que derem causa a perda, extravio ou outra irregularidade de que resulte prejuízo ao erário público; Os Tribunais de Contas dos Municípios do Estado, quando existentes, são órgãos estaduais, sujeitos à competência genérica do Tribunal de Contas do Estado para o julgamento de suas contas, nos termos dos arts. 71, II, e 75 da CF/1988. A norma estadual q</w:t>
      </w:r>
    </w:p>
    <w:p>
      <w:pPr>
        <w:ind w:left="288"/>
      </w:pPr>
      <w:r>
        <w:rPr>
          <w:b/>
          <w:color w:val="003CA0"/>
          <w:sz w:val="16"/>
        </w:rPr>
        <w:t>[ADI 4.124, rel. min. Nunes Marques, j. 16-12-2025, P, DJE de 26-1-2026.]</w:t>
      </w:r>
    </w:p>
    <w:p>
      <w:pPr>
        <w:ind w:left="288"/>
      </w:pPr>
      <w:r>
        <w:rPr>
          <w:color w:val="8C8C8C"/>
          <w:sz w:val="12"/>
        </w:rPr>
        <w:t>cf-art-71-inc-I</w:t>
      </w:r>
      <w:r>
        <w:rPr>
          <w:color w:val="003CA0"/>
          <w:sz w:val="12"/>
        </w:rPr>
        <w:t xml:space="preserve"> | ADPF 982</w:t>
      </w:r>
      <w:r>
        <w:rPr>
          <w:color w:val="003CA0"/>
          <w:sz w:val="12"/>
        </w:rPr>
        <w:t xml:space="preserve"> | rel. Flávio Dino</w:t>
      </w:r>
    </w:p>
    <w:p>
      <w:pPr>
        <w:ind w:left="288"/>
      </w:pPr>
      <w:r>
        <w:rPr>
          <w:color w:val="1E1E1E"/>
          <w:sz w:val="18"/>
        </w:rPr>
        <w:t>“(I) Prefeitos que ordenam despesas têm o dever de prestar contas, seja por atuarem como responsáveis por dinheiros, bens e valores públicos da administração, seja na eventualidade de darem causa a perda, extravio ou outra irregularidade que resulte em prejuízo ao erário; (II) Compete aos Tribunais de Contas, nos termos do art. 71, II, da Constituição Federal de 1988, o julgamento das contas de Prefeitos que atuem na qualidade de ordenadores de despesas; (III) A competência dos Tribunais de Contas, quando atestada a irregularidade de contas de gestão prestadas por Prefeitos ordenadores de desp</w:t>
      </w:r>
    </w:p>
    <w:p>
      <w:pPr>
        <w:ind w:left="288"/>
      </w:pPr>
      <w:r>
        <w:rPr>
          <w:b/>
          <w:color w:val="003CA0"/>
          <w:sz w:val="16"/>
        </w:rPr>
        <w:t>[ADPF 982, rel. min. Flávio Dino, j. 24.02.2025, P, DJE de 17.03.2025.]</w:t>
      </w:r>
    </w:p>
    <w:p>
      <w:pPr>
        <w:ind w:left="288"/>
      </w:pPr>
      <w:r>
        <w:rPr>
          <w:color w:val="8C8C8C"/>
          <w:sz w:val="12"/>
        </w:rPr>
        <w:t>cf-art-71-inc-I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Em relação ao artigo 56, caput, da LRF, a emissão de diferentes pareceres prévios respectivamente às contas dos Poderes Legislativo, Judiciário e Ministério Público transmite ambiguidade a respeito de qual deveria ser o teor da análise a ser efetuada pelos Tribunais de Contas, se juízo opinativo, tal como o do art. 71, I, da CF, ou se conclusivo, com valor de julgamento. Confirmação da liminar, declarando-se a inconstitucionalidade do dispositivo. O mesmo se aplica ao art. 57, caput, da</w:t>
      </w:r>
    </w:p>
    <w:p>
      <w:pPr>
        <w:ind w:left="288"/>
      </w:pPr>
      <w:r>
        <w:rPr>
          <w:b/>
          <w:color w:val="003CA0"/>
          <w:sz w:val="16"/>
        </w:rPr>
        <w:t>[ADI 2.238, rel. min. Alexandre de Moraes, j. 24-6-2020, P, DJE de 15-9-2020.]</w:t>
        <w:br/>
        <w:t>= ADI 2.324, rel. min. Alexandre de Moraes, j. 22-8-2019, P, DJE de 14-9-2020</w:t>
      </w:r>
    </w:p>
    <w:p>
      <w:pPr>
        <w:ind w:left="288"/>
      </w:pPr>
      <w:r>
        <w:rPr>
          <w:color w:val="8C8C8C"/>
          <w:sz w:val="12"/>
        </w:rPr>
        <w:t>cf-art-71-inc-I</w:t>
      </w:r>
      <w:r>
        <w:rPr>
          <w:color w:val="003CA0"/>
          <w:sz w:val="12"/>
        </w:rPr>
        <w:t xml:space="preserve"> | ADI 1.934</w:t>
      </w:r>
      <w:r>
        <w:rPr>
          <w:color w:val="003CA0"/>
          <w:sz w:val="12"/>
        </w:rPr>
        <w:t xml:space="preserve"> | rel. Roberto Barroso</w:t>
      </w:r>
    </w:p>
    <w:p>
      <w:pPr>
        <w:ind w:left="288"/>
      </w:pPr>
      <w:r>
        <w:rPr>
          <w:color w:val="1E1E1E"/>
          <w:sz w:val="18"/>
        </w:rPr>
        <w:t>É inconstitucional o art. 1º da Lei 9.604/1998, que fixou a competência dos Tribunais de Contas Estaduais e de Câmaras Municipais para análise da prestação de contas da aplicação de recursos financeiros oriundos do Fundo Nacional de Assistência Social, repassados aos Estados e Municípios. A competência para o controle da prestação de contas da aplicação de recursos federais é do Tribunal de Contas da União (...).</w:t>
      </w:r>
    </w:p>
    <w:p>
      <w:pPr>
        <w:ind w:left="288"/>
      </w:pPr>
      <w:r>
        <w:rPr>
          <w:b/>
          <w:color w:val="003CA0"/>
          <w:sz w:val="16"/>
        </w:rPr>
        <w:t>[ADI 1.934, rel. min. Roberto Barroso, j. 7-2-2019, P, DJE de 26-2-2019.]</w:t>
      </w:r>
    </w:p>
    <w:p>
      <w:pPr>
        <w:ind w:left="288"/>
      </w:pPr>
      <w:r>
        <w:rPr>
          <w:color w:val="8C8C8C"/>
          <w:sz w:val="12"/>
        </w:rPr>
        <w:t>cf-art-71-inc-I</w:t>
      </w:r>
      <w:r>
        <w:rPr>
          <w:color w:val="003CA0"/>
          <w:sz w:val="12"/>
        </w:rPr>
        <w:t xml:space="preserve"> | ADI 3.715</w:t>
      </w:r>
      <w:r>
        <w:rPr>
          <w:color w:val="003CA0"/>
          <w:sz w:val="12"/>
        </w:rPr>
        <w:t xml:space="preserve"> | rel. Gilmar Mendes</w:t>
      </w:r>
    </w:p>
    <w:p>
      <w:pPr>
        <w:ind w:left="288"/>
      </w:pPr>
      <w:r>
        <w:rPr>
          <w:color w:val="1E1E1E"/>
          <w:sz w:val="18"/>
        </w:rPr>
        <w:t>Constituição do Estado do Tocantins. EC 16/2006, que criou a possibilidade de recurso, dotado de efeito suspensivo, para o Plenário da Assembleia Legislativa, das decisões tomadas pelo Tribunal de Contas do Estado com base em sua competência de julgamento de contas (...). (...) No âmbito das competências institucionais do Tribunal de Contas, o STF tem reconhecido a clara distinção entre: a competência para apreciar e emitir parecer prévio sobre as contas prestadas anualmente pelo chefe do Poder Executivo, especificada no art. 71, I, CF/1988; e a competência para julgar as contas dos demais adm</w:t>
      </w:r>
    </w:p>
    <w:p>
      <w:pPr>
        <w:ind w:left="288"/>
      </w:pPr>
      <w:r>
        <w:rPr>
          <w:b/>
          <w:color w:val="003CA0"/>
          <w:sz w:val="16"/>
        </w:rPr>
        <w:t>[ADI 3.715, rel. min. Gilmar Mendes, j. 21-8-2014, P, DJE de 30-10-2014.]</w:t>
      </w:r>
    </w:p>
    <w:p>
      <w:pPr>
        <w:ind w:left="288"/>
      </w:pPr>
      <w:r>
        <w:rPr>
          <w:color w:val="8C8C8C"/>
          <w:sz w:val="12"/>
        </w:rPr>
        <w:t>cf-art-71-inc-I</w:t>
      </w:r>
      <w:r>
        <w:rPr>
          <w:color w:val="003CA0"/>
          <w:sz w:val="12"/>
        </w:rPr>
        <w:t xml:space="preserve"> | ADI 849</w:t>
      </w:r>
      <w:r>
        <w:rPr>
          <w:color w:val="003CA0"/>
          <w:sz w:val="12"/>
        </w:rPr>
        <w:t xml:space="preserve"> | rel. Sepúlveda Pertence</w:t>
      </w:r>
    </w:p>
    <w:p>
      <w:pPr>
        <w:ind w:left="288"/>
      </w:pPr>
      <w:r>
        <w:rPr>
          <w:color w:val="1E1E1E"/>
          <w:sz w:val="18"/>
        </w:rPr>
        <w:t>Tribunal de contas dos Estados: competência: observância compulsória do modelo federal: inconstitucionalidade de subtração ao tribunal de contas da competência do julgamento das contas da mesa da assembleia legislativa – compreendidas na previsão do art. 71, II, da CF, para submetê-las ao regime do art. 71, c/c o art. 49, IX, que é exclusivo da prestação de contas do chefe do Poder Executivo.</w:t>
      </w:r>
    </w:p>
    <w:p>
      <w:pPr>
        <w:ind w:left="288"/>
      </w:pPr>
      <w:r>
        <w:rPr>
          <w:b/>
          <w:color w:val="003CA0"/>
          <w:sz w:val="16"/>
        </w:rPr>
        <w:t>[ADI 849, rel. min. Sepúlveda Pertence, j. 11-2-1999, P, DJ de 23-4-1999.]</w:t>
      </w:r>
    </w:p>
    <w:p>
      <w:pPr>
        <w:ind w:left="144"/>
      </w:pPr>
      <w:r>
        <w:rPr>
          <w:b/>
          <w:color w:val="B45A00"/>
          <w:sz w:val="16"/>
        </w:rPr>
        <w:t>JULGADOS CORRELATOS</w:t>
      </w:r>
    </w:p>
    <w:p>
      <w:pPr>
        <w:ind w:left="288"/>
      </w:pPr>
      <w:r>
        <w:rPr>
          <w:color w:val="8C8C8C"/>
          <w:sz w:val="12"/>
        </w:rPr>
        <w:t>cf-art-71-inc-I</w:t>
      </w:r>
      <w:r>
        <w:rPr>
          <w:color w:val="003CA0"/>
          <w:sz w:val="12"/>
        </w:rPr>
        <w:t xml:space="preserve"> | MS 32.703</w:t>
      </w:r>
      <w:r>
        <w:rPr>
          <w:color w:val="003CA0"/>
          <w:sz w:val="12"/>
        </w:rPr>
        <w:t xml:space="preserve"> | rel. Dias Toffoli</w:t>
      </w:r>
    </w:p>
    <w:p>
      <w:pPr>
        <w:ind w:left="288"/>
      </w:pPr>
      <w:r>
        <w:rPr>
          <w:color w:val="1E1E1E"/>
          <w:sz w:val="18"/>
        </w:rPr>
        <w:t>Não compete ao TCU adotar procedimento de fiscalização que alcance a Fundação Banco do Brasil [FBB] quanto aos recursos próprios, de natureza eminentemente privada, repassados por aquela entidade a terceiros, visto que a FBB não integra o rol de entidades obrigadas a prestar contas àquela Corte de Contas, nos termos do art. 71, II, da CF, não lhe cabendo, por via reflexa, subserviência aos preceitos que regem a Administração Pública.</w:t>
      </w:r>
    </w:p>
    <w:p>
      <w:pPr>
        <w:ind w:left="288"/>
      </w:pPr>
      <w:r>
        <w:rPr>
          <w:b/>
          <w:color w:val="003CA0"/>
          <w:sz w:val="16"/>
        </w:rPr>
        <w:t>[MS 32.703 AgR, rel. min. Dias Toffoli, j. 10-4-2018, 2ª T, DJE de 11-5-2018.]</w:t>
      </w:r>
    </w:p>
    <w:p>
      <w:pPr>
        <w:ind w:left="288"/>
      </w:pPr>
      <w:r>
        <w:rPr>
          <w:color w:val="8C8C8C"/>
          <w:sz w:val="12"/>
        </w:rPr>
        <w:t>cf-art-71-inc-I</w:t>
      </w:r>
      <w:r>
        <w:rPr>
          <w:color w:val="003CA0"/>
          <w:sz w:val="12"/>
        </w:rPr>
        <w:t xml:space="preserve"> | MS 26.297</w:t>
      </w:r>
      <w:r>
        <w:rPr>
          <w:color w:val="003CA0"/>
          <w:sz w:val="12"/>
        </w:rPr>
        <w:t xml:space="preserve"> | rel. Edson Fachin</w:t>
      </w:r>
    </w:p>
    <w:p>
      <w:pPr>
        <w:ind w:left="288"/>
      </w:pPr>
      <w:r>
        <w:rPr>
          <w:color w:val="1E1E1E"/>
          <w:sz w:val="18"/>
        </w:rPr>
        <w:t>Mandado de segurança contra ato do TCU que determinou a cessação de pagamento do adicional previsto no DL 1.971/1982 aos empregados da Eletronorte admitidos após a edição do Decreto 89.253/1983. (...) o processo de tomada de contas instaurado perante o TCU é regido pela Lei 8.443/1992, que consubstancia norma especial em relação à Lei 9.784/1999. Por essa razão, não ocorre, no caso, a decadência.</w:t>
      </w:r>
    </w:p>
    <w:p>
      <w:pPr>
        <w:ind w:left="288"/>
      </w:pPr>
      <w:r>
        <w:rPr>
          <w:b/>
          <w:color w:val="003CA0"/>
          <w:sz w:val="16"/>
        </w:rPr>
        <w:t>[MS 26.297 AgR, rel. min. Edson Fachin, j. 17-3-2017, 2ª T, DJE de 3-5-2017.]</w:t>
      </w:r>
    </w:p>
    <w:p>
      <w:pPr>
        <w:ind w:left="288"/>
      </w:pPr>
      <w:r>
        <w:rPr>
          <w:color w:val="8C8C8C"/>
          <w:sz w:val="12"/>
        </w:rPr>
        <w:t>cf-art-71-inc-I</w:t>
      </w:r>
      <w:r>
        <w:rPr>
          <w:color w:val="003CA0"/>
          <w:sz w:val="12"/>
        </w:rPr>
        <w:t xml:space="preserve"> | MS 24.379</w:t>
      </w:r>
      <w:r>
        <w:rPr>
          <w:color w:val="003CA0"/>
          <w:sz w:val="12"/>
        </w:rPr>
        <w:t xml:space="preserve"> | rel. Dias Toffoli</w:t>
      </w:r>
    </w:p>
    <w:p>
      <w:pPr>
        <w:ind w:left="288"/>
      </w:pPr>
      <w:r>
        <w:rPr>
          <w:color w:val="1E1E1E"/>
          <w:sz w:val="18"/>
        </w:rPr>
        <w:t>Em decorrência da amplitude das competências fiscalizadoras da Corte de Contas, tem-se que não é a natureza do ente envolvido na relação que permite, ou não, a incidência da fiscalização da Corte de Contas, mas sim a origem dos recursos envolvidos, conforme dispõe o art. 71, II, da CF.</w:t>
      </w:r>
    </w:p>
    <w:p>
      <w:pPr>
        <w:ind w:left="288"/>
      </w:pPr>
      <w:r>
        <w:rPr>
          <w:b/>
          <w:color w:val="003CA0"/>
          <w:sz w:val="16"/>
        </w:rPr>
        <w:t>[MS 24.379, rel. min. Dias Toffoli, j. 7-4-2015, 1ª T, DJE de 8-6-2015.]</w:t>
      </w:r>
    </w:p>
    <w:p>
      <w:pPr>
        <w:ind w:left="288"/>
      </w:pPr>
      <w:r>
        <w:rPr>
          <w:color w:val="8C8C8C"/>
          <w:sz w:val="12"/>
        </w:rPr>
        <w:t>cf-art-71-inc-I</w:t>
      </w:r>
      <w:r>
        <w:rPr>
          <w:color w:val="003CA0"/>
          <w:sz w:val="12"/>
        </w:rPr>
        <w:t xml:space="preserve"> | MS 26.969</w:t>
      </w:r>
      <w:r>
        <w:rPr>
          <w:color w:val="003CA0"/>
          <w:sz w:val="12"/>
        </w:rPr>
        <w:t xml:space="preserve"> | rel. Luiz Fux</w:t>
      </w:r>
    </w:p>
    <w:p>
      <w:pPr>
        <w:ind w:left="288"/>
      </w:pPr>
      <w:r>
        <w:rPr>
          <w:color w:val="1E1E1E"/>
          <w:sz w:val="18"/>
        </w:rPr>
        <w:t>As instâncias judicial e administrativa não se confundem, razão pela qual a fiscalização do TCU não inibe a propositura da ação civil pública (...).</w:t>
      </w:r>
    </w:p>
    <w:p>
      <w:pPr>
        <w:ind w:left="288"/>
      </w:pPr>
      <w:r>
        <w:rPr>
          <w:b/>
          <w:color w:val="003CA0"/>
          <w:sz w:val="16"/>
        </w:rPr>
        <w:t>[MS 26.969, rel. min. Luiz Fux, j. 18-11-2014, 1ª T, DJE de 12-12-2014.]</w:t>
      </w:r>
    </w:p>
    <w:p>
      <w:pPr>
        <w:ind w:left="288"/>
      </w:pPr>
      <w:r>
        <w:rPr>
          <w:color w:val="8C8C8C"/>
          <w:sz w:val="12"/>
        </w:rPr>
        <w:t>cf-art-71-inc-I</w:t>
      </w:r>
      <w:r>
        <w:rPr>
          <w:color w:val="003CA0"/>
          <w:sz w:val="12"/>
        </w:rPr>
        <w:t xml:space="preserve"> | MS 26.117</w:t>
      </w:r>
      <w:r>
        <w:rPr>
          <w:color w:val="003CA0"/>
          <w:sz w:val="12"/>
        </w:rPr>
        <w:t xml:space="preserve"> | rel. Eros Grau</w:t>
      </w:r>
    </w:p>
    <w:p>
      <w:pPr>
        <w:ind w:left="288"/>
      </w:pPr>
      <w:r>
        <w:rPr>
          <w:color w:val="1E1E1E"/>
          <w:sz w:val="18"/>
        </w:rPr>
        <w:t>A circunstância de a sociedade de economia mista não ter sido criada por lei não afasta a competência do Tribunal de Contas.</w:t>
      </w:r>
    </w:p>
    <w:p>
      <w:pPr>
        <w:ind w:left="288"/>
      </w:pPr>
      <w:r>
        <w:rPr>
          <w:b/>
          <w:color w:val="003CA0"/>
          <w:sz w:val="16"/>
        </w:rPr>
        <w:t>[MS 26.117, rel. min. Eros Grau, j. 20-5-2009, P, DJE de 6-11-2009.]</w:t>
      </w:r>
    </w:p>
    <w:p>
      <w:pPr>
        <w:ind w:left="288"/>
      </w:pPr>
      <w:r>
        <w:rPr>
          <w:color w:val="8C8C8C"/>
          <w:sz w:val="12"/>
        </w:rPr>
        <w:t>cf-art-71-inc-I</w:t>
      </w:r>
      <w:r>
        <w:rPr>
          <w:color w:val="003CA0"/>
          <w:sz w:val="12"/>
        </w:rPr>
        <w:t xml:space="preserve"> | MS 24.423</w:t>
      </w:r>
      <w:r>
        <w:rPr>
          <w:color w:val="003CA0"/>
          <w:sz w:val="12"/>
        </w:rPr>
        <w:t xml:space="preserve"> | rel. Gilmar Mendes</w:t>
      </w:r>
    </w:p>
    <w:p>
      <w:pPr>
        <w:ind w:left="288"/>
      </w:pPr>
      <w:r>
        <w:rPr>
          <w:color w:val="1E1E1E"/>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w:t>
      </w:r>
    </w:p>
    <w:p>
      <w:pPr>
        <w:ind w:left="288"/>
      </w:pPr>
      <w:r>
        <w:rPr>
          <w:b/>
          <w:color w:val="003CA0"/>
          <w:sz w:val="16"/>
        </w:rPr>
        <w:t>[MS 24.423, voto do rel. min. Gilmar Mendes, j. 10-9-2008, P, DJE de 20-2-2009.]</w:t>
      </w:r>
    </w:p>
    <w:p>
      <w:pPr>
        <w:ind w:left="288"/>
      </w:pPr>
      <w:r>
        <w:rPr>
          <w:color w:val="8C8C8C"/>
          <w:sz w:val="12"/>
        </w:rPr>
        <w:t>cf-art-71-inc-I</w:t>
      </w:r>
      <w:r>
        <w:rPr>
          <w:color w:val="003CA0"/>
          <w:sz w:val="12"/>
        </w:rPr>
        <w:t xml:space="preserve"> | MS 24.961</w:t>
      </w:r>
      <w:r>
        <w:rPr>
          <w:color w:val="003CA0"/>
          <w:sz w:val="12"/>
        </w:rPr>
        <w:t xml:space="preserve"> | rel. Carlos Velloso</w:t>
      </w:r>
    </w:p>
    <w:p>
      <w:pPr>
        <w:ind w:left="288"/>
      </w:pPr>
      <w:r>
        <w:rPr>
          <w:color w:val="1E1E1E"/>
          <w:sz w:val="18"/>
        </w:rPr>
        <w:t>A competência do TCU para julgar contas abrange todos quantos derem causa a perda, extravio ou outra irregularidade de que resulte dano ao erário, devendo ser aplicadas aos responsáveis, em caso de ilegalidade de despesa ou irregularidade de contas, as sanções previstas em lei, lei que estabelecerá, entre outras cominações, multa proporcional ao dano causado aos cofres públicos (art. 71, II, da Constituição do Brasil/1988 e art. 5º, II e VIII, da Lei 8.443/1992). A tomada de contas especial não consubstancia procedimento administrativo disciplinar. Tem por escopo a defesa da coisa pública, bus</w:t>
      </w:r>
    </w:p>
    <w:p>
      <w:pPr>
        <w:ind w:left="288"/>
      </w:pPr>
      <w:r>
        <w:rPr>
          <w:b/>
          <w:color w:val="003CA0"/>
          <w:sz w:val="16"/>
        </w:rPr>
        <w:t>[MS 25.880, rel. min. Eros Grau, j. 7-2-2007, P, DJ de 16-3-2007.]</w:t>
      </w:r>
    </w:p>
    <w:p>
      <w:pPr>
        <w:ind w:left="288"/>
      </w:pPr>
      <w:r>
        <w:rPr>
          <w:color w:val="8C8C8C"/>
          <w:sz w:val="12"/>
        </w:rPr>
        <w:t>cf-art-71-inc-I</w:t>
      </w:r>
      <w:r>
        <w:rPr>
          <w:color w:val="003CA0"/>
          <w:sz w:val="12"/>
        </w:rPr>
        <w:t xml:space="preserve"> | MS 25.092</w:t>
      </w:r>
      <w:r>
        <w:rPr>
          <w:color w:val="003CA0"/>
          <w:sz w:val="12"/>
        </w:rPr>
        <w:t xml:space="preserve"> | rel. Carlos Velloso</w:t>
      </w:r>
    </w:p>
    <w:p>
      <w:pPr>
        <w:ind w:left="288"/>
      </w:pPr>
      <w:r>
        <w:rPr>
          <w:color w:val="1E1E1E"/>
          <w:sz w:val="18"/>
        </w:rPr>
        <w:t>Ao TCU compete julgar as contas dos administradores e demais responsáveis por dinheiros, bens e valores públicos da administração direta e indireta, incluídas as fundações e sociedades instituídas e mantidas pelo poder público federal, e as contas daqueles que derem causa a perda, extravio ou outra irregularidade de que resulte prejuízo ao erário (CF, art. 71, II; Lei 8.443/1992, art. 1º, I). As empresas públicas e as sociedades de economia mista, integrantes da administração indireta, estão sujeitas à fiscalização do Tribunal de Contas, não obstante os seus servidores estarem sujeitos ao regi</w:t>
      </w:r>
    </w:p>
    <w:p>
      <w:pPr>
        <w:ind w:left="288"/>
      </w:pPr>
      <w:r>
        <w:rPr>
          <w:b/>
          <w:color w:val="003CA0"/>
          <w:sz w:val="16"/>
        </w:rPr>
        <w:t>[MS 25.092, rel. min. Carlos Velloso, j. 10-11-2005, P, DJ de 17-3-2006.]</w:t>
      </w:r>
    </w:p>
    <w:p>
      <w:pPr>
        <w:ind w:left="288"/>
      </w:pPr>
      <w:r>
        <w:rPr>
          <w:color w:val="8C8C8C"/>
          <w:sz w:val="12"/>
        </w:rPr>
        <w:t>cf-art-71-inc-I</w:t>
      </w:r>
      <w:r>
        <w:rPr>
          <w:color w:val="003CA0"/>
          <w:sz w:val="12"/>
        </w:rPr>
        <w:t xml:space="preserve"> | RE 356.209</w:t>
      </w:r>
      <w:r>
        <w:rPr>
          <w:color w:val="003CA0"/>
          <w:sz w:val="12"/>
        </w:rPr>
        <w:t xml:space="preserve"> | rel. Ellen Gracie</w:t>
      </w:r>
    </w:p>
    <w:p>
      <w:pPr>
        <w:ind w:left="288"/>
      </w:pPr>
      <w:r>
        <w:rPr>
          <w:color w:val="1E1E1E"/>
          <w:sz w:val="18"/>
        </w:rPr>
        <w:t>= RE 356.209 AgR, rel. min. Ellen Gracie, j. 1º-3-2011, 2ª T, DJE de 25-3-2011 O TCU não tem competência para julgar as contas dos administradores de entidades de direito privado. A participação majoritária do Estado na composição do capital não transmuda seus bens em públicos. Os bens e valores questionados não são os da administração pública, mas os geridos considerando-se a atividade bancária por depósitos de terceiros e administrados pelo banco comercialmente. Atividade tipicamente privada, desenvolvida por entidade cujo controle acionário é da União.</w:t>
      </w:r>
    </w:p>
    <w:p>
      <w:pPr>
        <w:ind w:left="288"/>
      </w:pPr>
      <w:r>
        <w:rPr>
          <w:b/>
          <w:color w:val="003CA0"/>
          <w:sz w:val="16"/>
        </w:rPr>
        <w:t>[MS 23.875, red. do ac. min. Nelson Jobim, rel. min. Carlos Velloso, j. 7-3-2002, P, DJ de 30-4-2004.]</w:t>
      </w:r>
    </w:p>
    <w:p>
      <w:pPr>
        <w:ind w:left="288"/>
      </w:pPr>
      <w:r>
        <w:rPr>
          <w:color w:val="8C8C8C"/>
          <w:sz w:val="12"/>
        </w:rPr>
        <w:t>cf-art-71-inc-I</w:t>
      </w:r>
      <w:r>
        <w:rPr>
          <w:color w:val="003CA0"/>
          <w:sz w:val="12"/>
        </w:rPr>
        <w:t xml:space="preserve"> | MS 21.797</w:t>
      </w:r>
      <w:r>
        <w:rPr>
          <w:color w:val="003CA0"/>
          <w:sz w:val="12"/>
        </w:rPr>
        <w:t xml:space="preserve"> | rel. Carlos Velloso</w:t>
      </w:r>
    </w:p>
    <w:p>
      <w:pPr>
        <w:ind w:left="288"/>
      </w:pPr>
      <w:r>
        <w:rPr>
          <w:color w:val="1E1E1E"/>
          <w:sz w:val="18"/>
        </w:rPr>
        <w:t>Natureza autárquica do Conselho Federal e dos Conselhos Regionais de Odontologia. Obrigatoriedade de prestar contas ao TCU.</w:t>
      </w:r>
    </w:p>
    <w:p>
      <w:pPr>
        <w:ind w:left="288"/>
      </w:pPr>
      <w:r>
        <w:rPr>
          <w:b/>
          <w:color w:val="003CA0"/>
          <w:sz w:val="16"/>
        </w:rPr>
        <w:t>[MS 21.797, rel. min. Carlos Velloso, j. 9-3-2000, P, DJ de 18-5-2001.]</w:t>
      </w:r>
    </w:p>
    <w:p>
      <w:pPr>
        <w:ind w:left="288"/>
      </w:pPr>
      <w:r>
        <w:rPr>
          <w:color w:val="8C8C8C"/>
          <w:sz w:val="12"/>
        </w:rPr>
        <w:t>cf-art-71-inc-I</w:t>
      </w:r>
      <w:r>
        <w:rPr>
          <w:color w:val="003CA0"/>
          <w:sz w:val="12"/>
        </w:rPr>
        <w:t xml:space="preserve"> | MS 21.644</w:t>
      </w:r>
      <w:r>
        <w:rPr>
          <w:color w:val="003CA0"/>
          <w:sz w:val="12"/>
        </w:rPr>
        <w:t xml:space="preserve"> | rel. Néri da Silveira</w:t>
      </w:r>
    </w:p>
    <w:p>
      <w:pPr>
        <w:ind w:left="288"/>
      </w:pPr>
      <w:r>
        <w:rPr>
          <w:color w:val="1E1E1E"/>
          <w:sz w:val="18"/>
        </w:rPr>
        <w:t>Embora a entidade seja de direito privado, sujeita-se à fiscalização do Estado, pois recebe recursos de origem estatal, e seus dirigentes hão de prestar contas dos valores recebidos; quem gere dinheiro público ou administra bens ou interesses da comunidade deve contas ao órgão competente para a fiscalização.</w:t>
      </w:r>
    </w:p>
    <w:p>
      <w:pPr>
        <w:ind w:left="288"/>
      </w:pPr>
      <w:r>
        <w:rPr>
          <w:b/>
          <w:color w:val="003CA0"/>
          <w:sz w:val="16"/>
        </w:rPr>
        <w:t>[MS 21.644, rel. min. Néri da Silveira, j. 4-11-1993, P, DJ de 8-11-1996.]</w:t>
      </w:r>
    </w:p>
    <w:p>
      <w:pPr>
        <w:ind w:left="288"/>
      </w:pPr>
      <w:r>
        <w:rPr>
          <w:color w:val="8C8C8C"/>
          <w:sz w:val="12"/>
        </w:rPr>
        <w:t>cf-art-71-inc-I</w:t>
      </w:r>
      <w:r>
        <w:rPr>
          <w:color w:val="003CA0"/>
          <w:sz w:val="12"/>
        </w:rPr>
        <w:t xml:space="preserve"> | MS 26.969</w:t>
      </w:r>
      <w:r>
        <w:rPr>
          <w:color w:val="003CA0"/>
          <w:sz w:val="12"/>
        </w:rPr>
        <w:t xml:space="preserve"> | rel. Luiz Fux</w:t>
      </w:r>
    </w:p>
    <w:p>
      <w:pPr>
        <w:ind w:left="288"/>
      </w:pPr>
      <w:r>
        <w:rPr>
          <w:color w:val="1E1E1E"/>
          <w:sz w:val="18"/>
        </w:rPr>
        <w:t>= MS 26.969, rel. min. Luiz Fux, j. 18-11-2014, 1ª T, DJE de 12-12-2014 III - apreciar, para fins de registro, a legalidade dos atos de admissão de pessoal, a qualquer título, na administração direta e indireta, incluídas as fundações instituídas e mantidas pelo Poder Público, excetuadas as nomeações para cargo de provimento em comissão, bem como a das concessões de aposentadorias, reformas e pensões, ressalvadas as melhorias posteriores que não alterem o fundamento legal do ato concessório;</w:t>
      </w:r>
    </w:p>
    <w:p>
      <w:pPr>
        <w:ind w:left="144"/>
      </w:pPr>
      <w:r>
        <w:rPr>
          <w:b/>
          <w:color w:val="B45A00"/>
          <w:sz w:val="16"/>
        </w:rPr>
        <w:t>SUMULA VINCULANTE</w:t>
      </w:r>
    </w:p>
    <w:p>
      <w:pPr>
        <w:ind w:left="288"/>
      </w:pPr>
      <w:r>
        <w:rPr>
          <w:color w:val="8C8C8C"/>
          <w:sz w:val="12"/>
        </w:rPr>
        <w:t>cf-art-71-inc-I</w:t>
      </w:r>
    </w:p>
    <w:p>
      <w:pPr>
        <w:ind w:left="288"/>
      </w:pPr>
      <w:r>
        <w:rPr>
          <w:color w:val="1E1E1E"/>
          <w:sz w:val="18"/>
        </w:rPr>
        <w:t>Nos processos perante o TCU asseguram-se o contraditório e a ampla defesa quando da decisão puder resultar anulação ou revogação de ato administrativo que beneficie o interessado, excetuada a apreciação da legalidade do ato de concessão inicial de aposentadoria, reforma e pensão.</w:t>
      </w:r>
    </w:p>
    <w:p>
      <w:pPr>
        <w:ind w:left="288"/>
      </w:pPr>
      <w:r>
        <w:rPr>
          <w:b/>
          <w:color w:val="003CA0"/>
          <w:sz w:val="16"/>
        </w:rPr>
        <w:t>[Súmula Vinculante 3.]</w:t>
      </w:r>
    </w:p>
    <w:p>
      <w:pPr>
        <w:ind w:left="144"/>
      </w:pPr>
      <w:r>
        <w:rPr>
          <w:b/>
          <w:color w:val="B45A00"/>
          <w:sz w:val="16"/>
        </w:rPr>
        <w:t>SUMULA</w:t>
      </w:r>
    </w:p>
    <w:p>
      <w:pPr>
        <w:ind w:left="288"/>
      </w:pPr>
      <w:r>
        <w:rPr>
          <w:color w:val="8C8C8C"/>
          <w:sz w:val="12"/>
        </w:rPr>
        <w:t>cf-art-71-inc-I</w:t>
      </w:r>
    </w:p>
    <w:p>
      <w:pPr>
        <w:ind w:left="288"/>
      </w:pPr>
      <w:r>
        <w:rPr>
          <w:color w:val="1E1E1E"/>
          <w:sz w:val="18"/>
        </w:rPr>
        <w:t>A revogação ou anulação, pelo Poder Executivo, de aposentadoria ou qualquer outro ato aprovado pelo Tribunal de Contas não produz efeitos antes de aprovada por aquele Tribunal, ressalvada a competência revisora do Judiciário.</w:t>
      </w:r>
    </w:p>
    <w:p>
      <w:pPr>
        <w:ind w:left="288"/>
      </w:pPr>
      <w:r>
        <w:rPr>
          <w:b/>
          <w:color w:val="003CA0"/>
          <w:sz w:val="16"/>
        </w:rPr>
        <w:t>[Súmula 6.]</w:t>
      </w:r>
    </w:p>
    <w:p>
      <w:pPr>
        <w:ind w:left="144"/>
      </w:pPr>
      <w:r>
        <w:rPr>
          <w:b/>
          <w:color w:val="B45A00"/>
          <w:sz w:val="16"/>
        </w:rPr>
        <w:t>REPERCUSSAO GERAL</w:t>
      </w:r>
    </w:p>
    <w:p>
      <w:pPr>
        <w:ind w:left="288"/>
      </w:pPr>
      <w:r>
        <w:rPr>
          <w:color w:val="8C8C8C"/>
          <w:sz w:val="12"/>
        </w:rPr>
        <w:t>cf-art-71-inc-I</w:t>
      </w:r>
      <w:r>
        <w:rPr>
          <w:color w:val="003CA0"/>
          <w:sz w:val="12"/>
        </w:rPr>
        <w:t xml:space="preserve"> | RE 576.920</w:t>
      </w:r>
      <w:r>
        <w:rPr>
          <w:color w:val="003CA0"/>
          <w:sz w:val="12"/>
        </w:rPr>
        <w:t xml:space="preserve"> | rel. Edson Fachin</w:t>
      </w:r>
    </w:p>
    <w:p>
      <w:pPr>
        <w:ind w:left="288"/>
      </w:pPr>
      <w:r>
        <w:rPr>
          <w:color w:val="1E1E1E"/>
          <w:sz w:val="18"/>
        </w:rPr>
        <w:t>A competência técnica do Tribunal de Contas do Estado, ao negar registro de admissão de pessoal, não se subordina à revisão pelo Poder Legislativo respectivo.</w:t>
      </w:r>
    </w:p>
    <w:p>
      <w:pPr>
        <w:ind w:left="288"/>
      </w:pPr>
      <w:r>
        <w:rPr>
          <w:b/>
          <w:color w:val="003CA0"/>
          <w:sz w:val="16"/>
        </w:rPr>
        <w:t>[RE 576.920, rel. min. Edson Fachin, j. 20-4-2020, P, DJE de 9-11-2020, Tema 47, com mérito julgado.]</w:t>
      </w:r>
    </w:p>
    <w:p>
      <w:pPr>
        <w:ind w:left="288"/>
      </w:pPr>
      <w:r>
        <w:rPr>
          <w:color w:val="8C8C8C"/>
          <w:sz w:val="12"/>
        </w:rPr>
        <w:t>cf-art-71-inc-I</w:t>
      </w:r>
      <w:r>
        <w:rPr>
          <w:color w:val="003CA0"/>
          <w:sz w:val="12"/>
        </w:rPr>
        <w:t xml:space="preserve"> | RE 636.553</w:t>
      </w:r>
      <w:r>
        <w:rPr>
          <w:color w:val="003CA0"/>
          <w:sz w:val="12"/>
        </w:rPr>
        <w:t xml:space="preserve"> | rel. Gilmar Mendes</w:t>
      </w:r>
    </w:p>
    <w:p>
      <w:pPr>
        <w:ind w:left="288"/>
      </w:pPr>
      <w:r>
        <w:rPr>
          <w:color w:val="1E1E1E"/>
          <w:sz w:val="18"/>
        </w:rPr>
        <w:t>Em atenção aos princípios da segurança jurídica e da confiança legítima, os Tribunais de Contas estão sujeitos ao prazo de 5 anos para o julgamento da legalidade do ato de concessão inicial de aposentadoria, reforma ou pensão, a contar da chegada do processo à respectiva Corte de Contas.</w:t>
      </w:r>
    </w:p>
    <w:p>
      <w:pPr>
        <w:ind w:left="288"/>
      </w:pPr>
      <w:r>
        <w:rPr>
          <w:b/>
          <w:color w:val="003CA0"/>
          <w:sz w:val="16"/>
        </w:rPr>
        <w:t>[RE 636.553, rel. min. Gilmar Mendes, j. 19-2-2020, P, DJE de 26-5-2020, Tema 445, com mérito julgado.]</w:t>
      </w:r>
    </w:p>
    <w:p>
      <w:pPr>
        <w:ind w:left="144"/>
      </w:pPr>
      <w:r>
        <w:rPr>
          <w:b/>
          <w:color w:val="B45A00"/>
          <w:sz w:val="16"/>
        </w:rPr>
        <w:t>JULGADOS CORRELATOS</w:t>
      </w:r>
    </w:p>
    <w:p>
      <w:pPr>
        <w:ind w:left="288"/>
      </w:pPr>
      <w:r>
        <w:rPr>
          <w:color w:val="8C8C8C"/>
          <w:sz w:val="12"/>
        </w:rPr>
        <w:t>cf-art-71-inc-I</w:t>
      </w:r>
      <w:r>
        <w:rPr>
          <w:color w:val="003CA0"/>
          <w:sz w:val="12"/>
        </w:rPr>
        <w:t xml:space="preserve"> | MS 39.736</w:t>
      </w:r>
      <w:r>
        <w:rPr>
          <w:color w:val="003CA0"/>
          <w:sz w:val="12"/>
        </w:rPr>
        <w:t xml:space="preserve"> | rel. Flávio Dino</w:t>
      </w:r>
    </w:p>
    <w:p>
      <w:pPr>
        <w:ind w:left="288"/>
      </w:pPr>
      <w:r>
        <w:rPr>
          <w:color w:val="1E1E1E"/>
          <w:sz w:val="18"/>
        </w:rPr>
        <w:t>É ilegal o ato administrativo que exorbita o exame da regularidade da pensão por morte, conforme requisitos objetivos desse benefício, e desconstitui o próprio ato de concessão da aposentadoria de servidor já falecido, no que tange ao valor dos proventos, depois de decorridos mais de trinta anos (desde 1984).</w:t>
        <w:br/>
        <w:t>[MS 39.736 MC-REF, rel. min. Flávio Dino, j. 01.07.2024, 1ª T, DJE de 12.07.2024.] (...) não há direito adquirido a regime jurídico referente à composição dos vencimentos de servidor público, podendo, destarte, a Corte de Contas da União concluir pela ilegalidade do ato de concessão de ap</w:t>
      </w:r>
    </w:p>
    <w:p>
      <w:pPr>
        <w:ind w:left="288"/>
      </w:pPr>
      <w:r>
        <w:rPr>
          <w:b/>
          <w:color w:val="003CA0"/>
          <w:sz w:val="16"/>
        </w:rPr>
        <w:t>[MS 31.383, rel. min. Marco Aurélio, j. 12-5-2015, 1ª T, DJE de 25-6-2015.]</w:t>
      </w:r>
    </w:p>
    <w:p>
      <w:pPr>
        <w:ind w:left="288"/>
      </w:pPr>
      <w:r>
        <w:rPr>
          <w:color w:val="8C8C8C"/>
          <w:sz w:val="12"/>
        </w:rPr>
        <w:t>cf-art-71-inc-I</w:t>
      </w:r>
      <w:r>
        <w:rPr>
          <w:color w:val="003CA0"/>
          <w:sz w:val="12"/>
        </w:rPr>
        <w:t xml:space="preserve"> | MS 25.916</w:t>
      </w:r>
      <w:r>
        <w:rPr>
          <w:color w:val="003CA0"/>
          <w:sz w:val="12"/>
        </w:rPr>
        <w:t xml:space="preserve"> | rel. Marco Aurélio</w:t>
      </w:r>
    </w:p>
    <w:p>
      <w:pPr>
        <w:ind w:left="288"/>
      </w:pPr>
      <w:r>
        <w:rPr>
          <w:color w:val="1E1E1E"/>
          <w:sz w:val="18"/>
        </w:rPr>
        <w:t>Os institutos da anistia e da aposentadoria são diversos, quando a primeira não envolve, explicitamente, a segunda, cabendo ao TCU, a teor do disposto no art. 71, III, da CF, examinar o atendimento dos requisitos legais considerado o processo de registro da aposentadoria.</w:t>
      </w:r>
    </w:p>
    <w:p>
      <w:pPr>
        <w:ind w:left="288"/>
      </w:pPr>
      <w:r>
        <w:rPr>
          <w:b/>
          <w:color w:val="003CA0"/>
          <w:sz w:val="16"/>
        </w:rPr>
        <w:t>[MS 25.916, rel. min. Marco Aurélio, j. 19-9-2013, P, DJE de 13-12-2013.]</w:t>
      </w:r>
    </w:p>
    <w:p>
      <w:pPr>
        <w:ind w:left="288"/>
      </w:pPr>
      <w:r>
        <w:rPr>
          <w:color w:val="8C8C8C"/>
          <w:sz w:val="12"/>
        </w:rPr>
        <w:t>cf-art-71-inc-I</w:t>
      </w:r>
      <w:r>
        <w:rPr>
          <w:color w:val="003CA0"/>
          <w:sz w:val="12"/>
        </w:rPr>
        <w:t xml:space="preserve"> | MS 30.312</w:t>
      </w:r>
      <w:r>
        <w:rPr>
          <w:color w:val="003CA0"/>
          <w:sz w:val="12"/>
        </w:rPr>
        <w:t xml:space="preserve"> | rel. Dias Toffoli</w:t>
      </w:r>
    </w:p>
    <w:p>
      <w:pPr>
        <w:ind w:left="288"/>
      </w:pPr>
      <w:r>
        <w:rPr>
          <w:color w:val="1E1E1E"/>
          <w:sz w:val="18"/>
        </w:rPr>
        <w:t>Existência de decisão judicial transitada em julgado condenando a União ao pagamento da pensão, conforme se verifica na parte dispositiva da sentença. Não se está diante de hipótese excepcional de lacuna do título judicial ou de desvio administrativo em sua implementação. Desse modo, não pode o TCU, mesmo que indiretamente, alterar as partes alcançadas pela decisão judicial já transitada em julgado. Se o responsável pelo pagamento da pensão era o INSS, essa questão deveria ter sido arguida à época da discussão judicial. A questão acerca do regime de aposentação da impetrante deveria ter sido a</w:t>
      </w:r>
    </w:p>
    <w:p>
      <w:pPr>
        <w:ind w:left="288"/>
      </w:pPr>
      <w:r>
        <w:rPr>
          <w:b/>
          <w:color w:val="003CA0"/>
          <w:sz w:val="16"/>
        </w:rPr>
        <w:t>[MS 30.312 AgR, rel. min. Dias Toffoli, j. 27-11-2012, 1ª T, DJE de 14-12-2012.]</w:t>
      </w:r>
    </w:p>
    <w:p>
      <w:pPr>
        <w:ind w:left="288"/>
      </w:pPr>
      <w:r>
        <w:rPr>
          <w:color w:val="8C8C8C"/>
          <w:sz w:val="12"/>
        </w:rPr>
        <w:t>cf-art-71-inc-I</w:t>
      </w:r>
      <w:r>
        <w:rPr>
          <w:color w:val="003CA0"/>
          <w:sz w:val="12"/>
        </w:rPr>
        <w:t xml:space="preserve"> | MS 30.799</w:t>
      </w:r>
      <w:r>
        <w:rPr>
          <w:color w:val="003CA0"/>
          <w:sz w:val="12"/>
        </w:rPr>
        <w:t xml:space="preserve"> | rel. Cármen Lúcia</w:t>
      </w:r>
    </w:p>
    <w:p>
      <w:pPr>
        <w:ind w:left="288"/>
      </w:pPr>
      <w:r>
        <w:rPr>
          <w:color w:val="1E1E1E"/>
          <w:sz w:val="18"/>
        </w:rPr>
        <w:t>TCU. Suspensão de pensão concedida com base em lei de anistia por presunção de ilegalidade, sem prévio exame do ato de concessão. Contrariedade ao princípio do devido processo legal.</w:t>
      </w:r>
    </w:p>
    <w:p>
      <w:pPr>
        <w:ind w:left="288"/>
      </w:pPr>
      <w:r>
        <w:rPr>
          <w:b/>
          <w:color w:val="003CA0"/>
          <w:sz w:val="16"/>
        </w:rPr>
        <w:t>[MS 30.799, rel. min. Cármen Lúcia, j. 2-10-2012, 2ª T, DJE de 9-11-2012.]</w:t>
      </w:r>
    </w:p>
    <w:p>
      <w:pPr>
        <w:ind w:left="288"/>
      </w:pPr>
      <w:r>
        <w:rPr>
          <w:color w:val="8C8C8C"/>
          <w:sz w:val="12"/>
        </w:rPr>
        <w:t>cf-art-71-inc-I</w:t>
      </w:r>
      <w:r>
        <w:rPr>
          <w:color w:val="003CA0"/>
          <w:sz w:val="12"/>
        </w:rPr>
        <w:t xml:space="preserve"> | MS 22.315</w:t>
      </w:r>
      <w:r>
        <w:rPr>
          <w:color w:val="003CA0"/>
          <w:sz w:val="12"/>
        </w:rPr>
        <w:t xml:space="preserve"> | rel. Gilmar Mendes</w:t>
      </w:r>
    </w:p>
    <w:p>
      <w:pPr>
        <w:ind w:left="288"/>
      </w:pPr>
      <w:r>
        <w:rPr>
          <w:color w:val="1E1E1E"/>
          <w:sz w:val="18"/>
        </w:rPr>
        <w:t>Aposentadoria. TCU. Negativa de registro de aposentadoria. Segurança jurídica como subprincípio do Estado de Direito. Situação consolidada, prevalecendo a boa-fé e a confiança. Aptidão da justificação judicial para produzir os efeitos a que se destina.</w:t>
      </w:r>
    </w:p>
    <w:p>
      <w:pPr>
        <w:ind w:left="288"/>
      </w:pPr>
      <w:r>
        <w:rPr>
          <w:b/>
          <w:color w:val="003CA0"/>
          <w:sz w:val="16"/>
        </w:rPr>
        <w:t>[MS 22.315, rel. min. Gilmar Mendes, j. 17-4-2012, 2ª T, DJE de 16-5-2012.]</w:t>
      </w:r>
    </w:p>
    <w:p>
      <w:pPr>
        <w:ind w:left="288"/>
      </w:pPr>
      <w:r>
        <w:rPr>
          <w:color w:val="8C8C8C"/>
          <w:sz w:val="12"/>
        </w:rPr>
        <w:t>cf-art-71-inc-I</w:t>
      </w:r>
      <w:r>
        <w:rPr>
          <w:color w:val="003CA0"/>
          <w:sz w:val="12"/>
        </w:rPr>
        <w:t xml:space="preserve"> | AI 805.165</w:t>
      </w:r>
      <w:r>
        <w:rPr>
          <w:color w:val="003CA0"/>
          <w:sz w:val="12"/>
        </w:rPr>
        <w:t xml:space="preserve"> | rel. Luiz Fux</w:t>
      </w:r>
    </w:p>
    <w:p>
      <w:pPr>
        <w:ind w:left="288"/>
      </w:pPr>
      <w:r>
        <w:rPr>
          <w:color w:val="1E1E1E"/>
          <w:sz w:val="18"/>
        </w:rPr>
        <w:t>Servidor público. Cancelamento unilateral de aposentadoria. (...) A anulação unilateral pela administração sem o conhecimento do Tribunal de Contas está em desacordo com a Súmula 6 do STF (...).</w:t>
      </w:r>
    </w:p>
    <w:p>
      <w:pPr>
        <w:ind w:left="288"/>
      </w:pPr>
      <w:r>
        <w:rPr>
          <w:b/>
          <w:color w:val="003CA0"/>
          <w:sz w:val="16"/>
        </w:rPr>
        <w:t>[AI 805.165 AgR, rel. min. Luiz Fux, j. 6-12-2011, 1ª T, DJE de 19-12-2011.]</w:t>
      </w:r>
    </w:p>
    <w:p>
      <w:pPr>
        <w:ind w:left="288"/>
      </w:pPr>
      <w:r>
        <w:rPr>
          <w:color w:val="8C8C8C"/>
          <w:sz w:val="12"/>
        </w:rPr>
        <w:t>cf-art-71-inc-I</w:t>
      </w:r>
      <w:r>
        <w:rPr>
          <w:color w:val="003CA0"/>
          <w:sz w:val="12"/>
        </w:rPr>
        <w:t xml:space="preserve"> | MS 24.781</w:t>
      </w:r>
    </w:p>
    <w:p>
      <w:pPr>
        <w:ind w:left="288"/>
      </w:pPr>
      <w:r>
        <w:rPr>
          <w:color w:val="1E1E1E"/>
          <w:sz w:val="18"/>
        </w:rPr>
        <w:t>Nos termos dos precedentes firmados pelo Plenário desta Corte, não se opera a decadência prevista no art. 54 da Lei 9.784/1999 no período compreendido entre o ato administrativo concessivo de aposentadoria ou pensão e o posterior julgamento de sua legalidade e registro pelo TCU – que consubstancia o exercício da competência constitucional de controle externo (art. 71, III, CF). A recente jurisprudência consolidada do STF passou a se manifestar no sentido de exigir que o TCU assegure a ampla defesa e o contraditório nos casos em que o controle externo de legalidade exercido pela Corte de Contas</w:t>
      </w:r>
    </w:p>
    <w:p>
      <w:pPr>
        <w:ind w:left="288"/>
      </w:pPr>
      <w:r>
        <w:rPr>
          <w:b/>
          <w:color w:val="003CA0"/>
          <w:sz w:val="16"/>
        </w:rPr>
        <w:t>[MS 24.781, red. do ac. min. Gilmar Mendes, j. 2-3-2011, P, DJE de 9-6-2011.]</w:t>
      </w:r>
    </w:p>
    <w:p>
      <w:pPr>
        <w:ind w:left="288"/>
      </w:pPr>
      <w:r>
        <w:rPr>
          <w:color w:val="8C8C8C"/>
          <w:sz w:val="12"/>
        </w:rPr>
        <w:t>cf-art-71-inc-I</w:t>
      </w:r>
      <w:r>
        <w:rPr>
          <w:color w:val="003CA0"/>
          <w:sz w:val="12"/>
        </w:rPr>
        <w:t xml:space="preserve"> | MS 27.699</w:t>
      </w:r>
      <w:r>
        <w:rPr>
          <w:color w:val="003CA0"/>
          <w:sz w:val="12"/>
        </w:rPr>
        <w:t xml:space="preserve"> | rel. Dias Toffoli</w:t>
      </w:r>
    </w:p>
    <w:p>
      <w:pPr>
        <w:ind w:left="288"/>
      </w:pPr>
      <w:r>
        <w:rPr>
          <w:color w:val="1E1E1E"/>
          <w:sz w:val="18"/>
        </w:rPr>
        <w:t>= MS 27.699 AgR, rel. min. Dias Toffoli, j. 21-8-2012, 1ª T, DJE de 4-9-2012 = MS 26.053 ED-segundos, rel. min. Ricardo Lewandowski, j. 14-4-2011, P, DJE de 23-5-2011 Vide MS 27.746 ED, rel. min. Dias Toffoli, j. 12-6-2012, 1ª T, DJE de 6-9-2012 Vide MS 26.560, rel. min. Cezar Peluso, j. 17-12-2007, P, DJE de 22-2-2008 O TCU considerou legal o ato de concessão inicial de pensão do montepio civil da União em favor da impetrante e de sua irmã, ordenando o seu registro. A Corte de Contas também determinou a adoção de medidas com o objetivo de efetuar a alteração dessa pensão para que a irmã da im</w:t>
      </w:r>
    </w:p>
    <w:p>
      <w:pPr>
        <w:ind w:left="288"/>
      </w:pPr>
      <w:r>
        <w:rPr>
          <w:b/>
          <w:color w:val="003CA0"/>
          <w:sz w:val="16"/>
        </w:rPr>
        <w:t>[MS 28.061 AgR, rel. min. Ellen Gracie, j. 2-3-2011, P, DJE de 11-4-2011.]</w:t>
      </w:r>
    </w:p>
    <w:p>
      <w:pPr>
        <w:ind w:left="288"/>
      </w:pPr>
      <w:r>
        <w:rPr>
          <w:color w:val="8C8C8C"/>
          <w:sz w:val="12"/>
        </w:rPr>
        <w:t>cf-art-71-inc-I</w:t>
      </w:r>
      <w:r>
        <w:rPr>
          <w:color w:val="003CA0"/>
          <w:sz w:val="12"/>
        </w:rPr>
        <w:t xml:space="preserve"> | MS 25.116</w:t>
      </w:r>
      <w:r>
        <w:rPr>
          <w:color w:val="003CA0"/>
          <w:sz w:val="12"/>
        </w:rPr>
        <w:t xml:space="preserve"> | rel. Ayres Britto</w:t>
      </w:r>
    </w:p>
    <w:p>
      <w:pPr>
        <w:ind w:left="288"/>
      </w:pPr>
      <w:r>
        <w:rPr>
          <w:color w:val="1E1E1E"/>
          <w:sz w:val="18"/>
        </w:rPr>
        <w:t>A manifestação do órgão constitucional de controle externo há de se formalizar em tempo que não desborde das pautas elementares da razoabilidade. Todo o direito positivo é permeado por essa preocupação com o tempo enquanto figura jurídica, para que sua prolongada passagem em aberto não opere como fator de séria instabilidade intersubjetiva ou mesmo intergrupal. A própria CF/1988 dá conta de institutos que têm no perfazimento de um certo lapso temporal a sua própria razão de ser. Pelo que existe uma espécie de tempo constitucional médio que resume em si, objetivamente, o desejado critério da ra</w:t>
      </w:r>
    </w:p>
    <w:p>
      <w:pPr>
        <w:ind w:left="288"/>
      </w:pPr>
      <w:r>
        <w:rPr>
          <w:b/>
          <w:color w:val="003CA0"/>
          <w:sz w:val="16"/>
        </w:rPr>
        <w:t>[MS 25.116, rel. min. Ayres Britto, j. 8-9-2010, P, DJE de 10-2-2011.]</w:t>
      </w:r>
    </w:p>
    <w:p>
      <w:pPr>
        <w:ind w:left="288"/>
      </w:pPr>
      <w:r>
        <w:rPr>
          <w:color w:val="8C8C8C"/>
          <w:sz w:val="12"/>
        </w:rPr>
        <w:t>cf-art-71-inc-I</w:t>
      </w:r>
      <w:r>
        <w:rPr>
          <w:color w:val="003CA0"/>
          <w:sz w:val="12"/>
        </w:rPr>
        <w:t xml:space="preserve"> | MS 26.053</w:t>
      </w:r>
      <w:r>
        <w:rPr>
          <w:color w:val="003CA0"/>
          <w:sz w:val="12"/>
        </w:rPr>
        <w:t xml:space="preserve"> | rel. Ricardo Lewandowski</w:t>
      </w:r>
    </w:p>
    <w:p>
      <w:pPr>
        <w:ind w:left="288"/>
      </w:pPr>
      <w:r>
        <w:rPr>
          <w:color w:val="1E1E1E"/>
          <w:sz w:val="18"/>
        </w:rPr>
        <w:t>= MS 26.053, rel. min. Ricardo Lewandowski, j. 18-11-2010, P, DJE de 23-2-2011 Envolvendo a espécie, considerados atos administrativos em geral, o registro de aposentadoria, descabe cogitar de situação constituída a atrair o disposto no art. 54 da Lei  9.784/1999, no que fixa prazo decadencial para a administração pública rever atos praticados. (...) Versando o processo administrativo submetido ao Tribunal de Contas alteração do registro de aposentadoria para aditar-se aos proventos certa parcela, mostra-se dispensável a observância do contraditório.</w:t>
      </w:r>
    </w:p>
    <w:p>
      <w:pPr>
        <w:ind w:left="288"/>
      </w:pPr>
      <w:r>
        <w:rPr>
          <w:b/>
          <w:color w:val="003CA0"/>
          <w:sz w:val="16"/>
        </w:rPr>
        <w:t>[MS 25.525, rel. min. Marco Aurélio, j. 17-2-2010, P, DJE de 19-3-2010.]</w:t>
      </w:r>
    </w:p>
    <w:p>
      <w:pPr>
        <w:ind w:left="288"/>
      </w:pPr>
      <w:r>
        <w:rPr>
          <w:color w:val="8C8C8C"/>
          <w:sz w:val="12"/>
        </w:rPr>
        <w:t>cf-art-71-inc-I</w:t>
      </w:r>
      <w:r>
        <w:rPr>
          <w:color w:val="003CA0"/>
          <w:sz w:val="12"/>
        </w:rPr>
        <w:t xml:space="preserve"> | MS 30.916</w:t>
      </w:r>
      <w:r>
        <w:rPr>
          <w:color w:val="003CA0"/>
          <w:sz w:val="12"/>
        </w:rPr>
        <w:t xml:space="preserve"> | rel. Cármen Lúcia</w:t>
      </w:r>
    </w:p>
    <w:p>
      <w:pPr>
        <w:ind w:left="288"/>
      </w:pPr>
      <w:r>
        <w:rPr>
          <w:color w:val="1E1E1E"/>
          <w:sz w:val="18"/>
        </w:rPr>
        <w:t>= MS 30.916, rel. min. Cármen Lúcia, j. 22-5-2012, 1ª T, DJE de 8-6-2012 Mandado de segurança. TCU. (...) Determinação de retorno do impetrante à atividade para completar o tempo necessário para aposentadoria com proventos integrais, ou sua permanência, na condição de aposentado, com proventos proporcionais. Legalidade do cômputo do prazo de aluno-aprendiz em escola técnica para aposentadoria do impetrante (...). Segurança concedida.</w:t>
      </w:r>
    </w:p>
    <w:p>
      <w:pPr>
        <w:ind w:left="288"/>
      </w:pPr>
      <w:r>
        <w:rPr>
          <w:b/>
          <w:color w:val="003CA0"/>
          <w:sz w:val="16"/>
        </w:rPr>
        <w:t>[MS 27.185, rel. min. Cármen Lúcia, j. 17-2-2010, P, DJE de 12-3-2010.]</w:t>
      </w:r>
    </w:p>
    <w:p>
      <w:pPr>
        <w:ind w:left="288"/>
      </w:pPr>
      <w:r>
        <w:rPr>
          <w:color w:val="8C8C8C"/>
          <w:sz w:val="12"/>
        </w:rPr>
        <w:t>cf-art-71-inc-I</w:t>
      </w:r>
      <w:r>
        <w:rPr>
          <w:color w:val="003CA0"/>
          <w:sz w:val="12"/>
        </w:rPr>
        <w:t xml:space="preserve"> | MS 28.399</w:t>
      </w:r>
      <w:r>
        <w:rPr>
          <w:color w:val="003CA0"/>
          <w:sz w:val="12"/>
        </w:rPr>
        <w:t xml:space="preserve"> | rel. Ricardo Lewandowski</w:t>
      </w:r>
    </w:p>
    <w:p>
      <w:pPr>
        <w:ind w:left="288"/>
      </w:pPr>
      <w:r>
        <w:rPr>
          <w:color w:val="1E1E1E"/>
          <w:sz w:val="18"/>
        </w:rPr>
        <w:t>= MS 28.399 AgR, rel. min. Ricardo Lewandowski, j. 22-5-2012, 2ª T, DJE de 5-6-2012</w:t>
        <w:br/>
        <w:t>= MS 31.518, rel. min. Marco Aurélio, j. 7-2-2017, 1ª T, DJE de 6-9-2017 (...) a Súmula Vinculante 3 se dirige, exclusivamente, às decisões do TCU que anulem ou revoguem atos administrativos que beneficiem algum interessado. Os precedentes que subsidiaram a elaboração da Súmula Vinculante 3 tratam tão somente de decisões da Corte de Contas que cancelaram aposentadorias ou pensões. Em nenhum deles há referência a procedimentos de tomadas de contas. O procedimento de tomadas de contas se destina à verificação, pe</w:t>
      </w:r>
    </w:p>
    <w:p>
      <w:pPr>
        <w:ind w:left="288"/>
      </w:pPr>
      <w:r>
        <w:rPr>
          <w:b/>
          <w:color w:val="003CA0"/>
          <w:sz w:val="16"/>
        </w:rPr>
        <w:t>[Rcl 6.396 AgR, rel. min. Joaquim Barbosa, j. 21-10-2009, P, DJE de 13-11-2009.]</w:t>
      </w:r>
    </w:p>
    <w:p>
      <w:pPr>
        <w:ind w:left="288"/>
      </w:pPr>
      <w:r>
        <w:rPr>
          <w:color w:val="8C8C8C"/>
          <w:sz w:val="12"/>
        </w:rPr>
        <w:t>cf-art-71-inc-I</w:t>
      </w:r>
      <w:r>
        <w:rPr>
          <w:color w:val="003CA0"/>
          <w:sz w:val="12"/>
        </w:rPr>
        <w:t xml:space="preserve"> | RCL 10.546</w:t>
      </w:r>
      <w:r>
        <w:rPr>
          <w:color w:val="003CA0"/>
          <w:sz w:val="12"/>
        </w:rPr>
        <w:t xml:space="preserve"> | rel. Cármen Lúcia</w:t>
      </w:r>
    </w:p>
    <w:p>
      <w:pPr>
        <w:ind w:left="288"/>
      </w:pPr>
      <w:r>
        <w:rPr>
          <w:color w:val="1E1E1E"/>
          <w:sz w:val="18"/>
        </w:rPr>
        <w:t>= Rcl 10.546 AgR, rel. min. Cármen Lúcia, j. 24-2-2011, P, DJE de 13-4-2011 Não pode o TCU, sob fundamento ou pretexto algum, anular ascensão funcional de servidor operada e aprovada há mais de cinco anos, sobretudo em procedimento que lhe não assegura o contraditório e a ampla defesa.</w:t>
      </w:r>
    </w:p>
    <w:p>
      <w:pPr>
        <w:ind w:left="288"/>
      </w:pPr>
      <w:r>
        <w:rPr>
          <w:b/>
          <w:color w:val="003CA0"/>
          <w:sz w:val="16"/>
        </w:rPr>
        <w:t>[MS 26.560, rel. min. Cezar Peluso, j. 17-12-2007, P, DJE de 22-2-2008.]</w:t>
      </w:r>
    </w:p>
    <w:p>
      <w:pPr>
        <w:ind w:left="288"/>
      </w:pPr>
      <w:r>
        <w:rPr>
          <w:color w:val="8C8C8C"/>
          <w:sz w:val="12"/>
        </w:rPr>
        <w:t>cf-art-71-inc-I</w:t>
      </w:r>
      <w:r>
        <w:rPr>
          <w:color w:val="003CA0"/>
          <w:sz w:val="12"/>
        </w:rPr>
        <w:t xml:space="preserve"> | MS 26.237</w:t>
      </w:r>
      <w:r>
        <w:rPr>
          <w:color w:val="003CA0"/>
          <w:sz w:val="12"/>
        </w:rPr>
        <w:t xml:space="preserve"> | rel. Dias Toffoli</w:t>
      </w:r>
    </w:p>
    <w:p>
      <w:pPr>
        <w:ind w:left="288"/>
      </w:pPr>
      <w:r>
        <w:rPr>
          <w:color w:val="1E1E1E"/>
          <w:sz w:val="18"/>
        </w:rPr>
        <w:t>= MS 26.237 AgR, rel. min. Dias Toffoli, j. 21-8-2012, 1ª T, DJE de 6-9-2012 Vide MS 25.525, rel. min. Marco Aurélio, j. 17-2-2010, P, DJE de 19-3-2010 Uma vez aperfeiçoado o ato complexo alusivo à aposentadoria, com a homologação pelo Tribunal de Contas, a modificação dos proventos não prescinde da observação do devido processo legal, presente a medula deste último, ou seja, o contraditório.</w:t>
      </w:r>
    </w:p>
    <w:p>
      <w:pPr>
        <w:ind w:left="288"/>
      </w:pPr>
      <w:r>
        <w:rPr>
          <w:b/>
          <w:color w:val="003CA0"/>
          <w:sz w:val="16"/>
        </w:rPr>
        <w:t>[RE 285.495, rel. min. Marco Aurélio, j. 2-10-2007, 1ª T, DJ de 30-11-2007.]</w:t>
      </w:r>
    </w:p>
    <w:p>
      <w:pPr>
        <w:ind w:left="288"/>
      </w:pPr>
      <w:r>
        <w:rPr>
          <w:color w:val="8C8C8C"/>
          <w:sz w:val="12"/>
        </w:rPr>
        <w:t>cf-art-71-inc-I</w:t>
      </w:r>
      <w:r>
        <w:rPr>
          <w:color w:val="003CA0"/>
          <w:sz w:val="12"/>
        </w:rPr>
        <w:t xml:space="preserve"> | MS 25.460</w:t>
      </w:r>
      <w:r>
        <w:rPr>
          <w:color w:val="003CA0"/>
          <w:sz w:val="12"/>
        </w:rPr>
        <w:t xml:space="preserve"> | rel. Carlos Velloso</w:t>
      </w:r>
    </w:p>
    <w:p>
      <w:pPr>
        <w:ind w:left="288"/>
      </w:pPr>
      <w:r>
        <w:rPr>
          <w:color w:val="1E1E1E"/>
          <w:sz w:val="18"/>
        </w:rPr>
        <w:t>Vantagem pecuniária incorporada aos proventos de aposentadoria de servidor público, por força de decisão judicial transitada em julgado: não pode o Tribunal de Contas, em caso assim, determinar a supressão de tal vantagem, por isso que a situação jurídica coberta pela coisa julgada somente pode ser modificada pela via da ação rescisória.</w:t>
      </w:r>
    </w:p>
    <w:p>
      <w:pPr>
        <w:ind w:left="288"/>
      </w:pPr>
      <w:r>
        <w:rPr>
          <w:b/>
          <w:color w:val="003CA0"/>
          <w:sz w:val="16"/>
        </w:rPr>
        <w:t>[MS 25.460, rel. min. Carlos Velloso, j. 15-12-2005, P, DJ de 10-2-2006.]</w:t>
      </w:r>
    </w:p>
    <w:p>
      <w:pPr>
        <w:ind w:left="288"/>
      </w:pPr>
      <w:r>
        <w:rPr>
          <w:color w:val="8C8C8C"/>
          <w:sz w:val="12"/>
        </w:rPr>
        <w:t>cf-art-71-inc-I</w:t>
      </w:r>
      <w:r>
        <w:rPr>
          <w:color w:val="003CA0"/>
          <w:sz w:val="12"/>
        </w:rPr>
        <w:t xml:space="preserve"> | MS 30.312</w:t>
      </w:r>
      <w:r>
        <w:rPr>
          <w:color w:val="003CA0"/>
          <w:sz w:val="12"/>
        </w:rPr>
        <w:t xml:space="preserve"> | rel. Dias Toffoli</w:t>
      </w:r>
    </w:p>
    <w:p>
      <w:pPr>
        <w:ind w:left="288"/>
      </w:pPr>
      <w:r>
        <w:rPr>
          <w:color w:val="1E1E1E"/>
          <w:sz w:val="18"/>
        </w:rPr>
        <w:t>= MS 30.312 AgR, rel. min. Dias Toffoli, j. 27-11-2012, 1ª T, DJE de 14-12-2012 O ato de aposentadoria configura ato administrativo complexo, aperfeiçoando-se somente com o registro perante o Tribunal de Contas. Submetido à condição resolutiva, não se operam os efeitos da decadência antes da vontade final da administração.</w:t>
      </w:r>
    </w:p>
    <w:p>
      <w:pPr>
        <w:ind w:left="288"/>
      </w:pPr>
      <w:r>
        <w:rPr>
          <w:b/>
          <w:color w:val="003CA0"/>
          <w:sz w:val="16"/>
        </w:rPr>
        <w:t>[MS 24.997, MS 25.015, MS 25.036, MS 25.037, MS 25.090 e MS 25.095, rel. min. Eros Grau, j. 2-2-2005, P, DJ de 1º-4-2005.]</w:t>
      </w:r>
    </w:p>
    <w:p>
      <w:pPr>
        <w:ind w:left="288"/>
      </w:pPr>
      <w:r>
        <w:rPr>
          <w:color w:val="8C8C8C"/>
          <w:sz w:val="12"/>
        </w:rPr>
        <w:t>cf-art-71-inc-I</w:t>
      </w:r>
      <w:r>
        <w:rPr>
          <w:color w:val="003CA0"/>
          <w:sz w:val="12"/>
        </w:rPr>
        <w:t xml:space="preserve"> | AI 844.718</w:t>
      </w:r>
      <w:r>
        <w:rPr>
          <w:color w:val="003CA0"/>
          <w:sz w:val="12"/>
        </w:rPr>
        <w:t xml:space="preserve"> | rel. Luiz Fux</w:t>
      </w:r>
    </w:p>
    <w:p>
      <w:pPr>
        <w:ind w:left="288"/>
      </w:pPr>
      <w:r>
        <w:rPr>
          <w:color w:val="1E1E1E"/>
          <w:sz w:val="18"/>
        </w:rPr>
        <w:t>= AI 844.718 AgR, rel. min. Luiz Fux, j. 22-11-2011, 1ª T, DJE de 13-12-2011 Vide MS 24.781, red. do ac. min. Gilmar Mendes, j. 2-3-2011, P, DJE de 9-6-2011 Tribunal de Contas: registro de aposentadoria: mandado de segurança posterior para compelir a autoridade administrativa a alterar o ato concessivo já registrado não impõe ao Tribunal de Contas deferir o registro da alteração: aplicação da Súmula 6/STF, não elidida pela circunstância de o ato administrativo subsequente ao registro ter derivado do deferimento de mandado de segurança para ordenar a sua prática à autoridade competente retifica</w:t>
      </w:r>
    </w:p>
    <w:p>
      <w:pPr>
        <w:ind w:left="288"/>
      </w:pPr>
      <w:r>
        <w:rPr>
          <w:b/>
          <w:color w:val="003CA0"/>
          <w:sz w:val="16"/>
        </w:rPr>
        <w:t>[MS 22.658, rel. min. Sepúlveda Pertence, j. 10-9-1997, P, DJ de 27-3-1998.]</w:t>
      </w:r>
    </w:p>
    <w:p>
      <w:pPr>
        <w:ind w:left="288"/>
      </w:pPr>
      <w:r>
        <w:rPr>
          <w:color w:val="8C8C8C"/>
          <w:sz w:val="12"/>
        </w:rPr>
        <w:t>cf-art-71-inc-I</w:t>
      </w:r>
      <w:r>
        <w:rPr>
          <w:color w:val="003CA0"/>
          <w:sz w:val="12"/>
        </w:rPr>
        <w:t xml:space="preserve"> | MS 21.466</w:t>
      </w:r>
      <w:r>
        <w:rPr>
          <w:color w:val="003CA0"/>
          <w:sz w:val="12"/>
        </w:rPr>
        <w:t xml:space="preserve"> | rel. Celso de Mello</w:t>
      </w:r>
    </w:p>
    <w:p>
      <w:pPr>
        <w:ind w:left="288"/>
      </w:pPr>
      <w:r>
        <w:rPr>
          <w:color w:val="1E1E1E"/>
          <w:sz w:val="18"/>
        </w:rPr>
        <w:t xml:space="preserve">O TCU, no desempenho dessa específica atribuição, não dispõe de competência para proceder a qualquer inovação no título jurídico de aposentação submetido a seu exame. Constatada a ocorrência de vício de legalidade no ato concessivo de aposentadoria, torna-se lícito ao TCU, especialmente ante a ampliação do espaço institucional de sua atuação fiscalizadora, recomendar ao órgão ou entidade competente que adote as medidas necessárias ao exato cumprimento da lei, evitando, desse modo, a medida radical da recusa de registro. Se o órgão de que proveio o ato juridicamente viciado, agindo nos limites </w:t>
      </w:r>
    </w:p>
    <w:p>
      <w:pPr>
        <w:ind w:left="288"/>
      </w:pPr>
      <w:r>
        <w:rPr>
          <w:b/>
          <w:color w:val="003CA0"/>
          <w:sz w:val="16"/>
        </w:rPr>
        <w:t>[MS 21.466, rel. min. Celso de Mello, j. 19-5-1993, P, DJ de 6-5-1994.]</w:t>
      </w:r>
    </w:p>
    <w:p>
      <w:pPr>
        <w:ind w:left="288"/>
      </w:pPr>
      <w:r>
        <w:rPr>
          <w:color w:val="8C8C8C"/>
          <w:sz w:val="12"/>
        </w:rPr>
        <w:t>cf-art-71-inc-I</w:t>
      </w:r>
    </w:p>
    <w:p>
      <w:pPr>
        <w:ind w:left="288"/>
      </w:pPr>
      <w:r>
        <w:rPr>
          <w:color w:val="1E1E1E"/>
          <w:sz w:val="18"/>
        </w:rPr>
        <w:t>IV - realizar, por iniciativa própria, da Câmara dos Deputados, do Senado Federal, de Comissão técnica ou de inquérito, inspeções e auditorias de natureza contábil, financeira, orçamentária, operacional e patrimonial, nas unidades administrativas dos Poderes Legislativo, Executivo e Judiciário, e demais entidades referidas no inciso II;</w:t>
      </w:r>
    </w:p>
    <w:p>
      <w:pPr>
        <w:ind w:left="288"/>
      </w:pPr>
      <w:r>
        <w:rPr>
          <w:color w:val="8C8C8C"/>
          <w:sz w:val="12"/>
        </w:rPr>
        <w:t>cf-art-71-inc-I</w:t>
      </w:r>
      <w:r>
        <w:rPr>
          <w:color w:val="003CA0"/>
          <w:sz w:val="12"/>
        </w:rPr>
        <w:t xml:space="preserve"> | MS 31.707</w:t>
      </w:r>
      <w:r>
        <w:rPr>
          <w:color w:val="003CA0"/>
          <w:sz w:val="12"/>
        </w:rPr>
        <w:t xml:space="preserve"> | rel. Roberto Barroso</w:t>
      </w:r>
    </w:p>
    <w:p>
      <w:pPr>
        <w:ind w:left="288"/>
      </w:pPr>
      <w:r>
        <w:rPr>
          <w:color w:val="1E1E1E"/>
          <w:sz w:val="18"/>
        </w:rPr>
        <w:t>A jurisprudência desta Corte é pacífica no sentido de que, na auditoria promovida pelo Tribunal de Contas sobre órgãos públicos, o contraditório se forma entre os referidos órgãos e o TCU, não se admitindo a integração do feito por eventuais terceiros.</w:t>
        <w:br/>
        <w:t>[MS 31.707 AgR, rel. min. Roberto Barroso, j. 24-11-2017, 1ª T, DJE de 7-12-2017.]</w:t>
      </w:r>
    </w:p>
    <w:p>
      <w:pPr>
        <w:ind w:left="288"/>
      </w:pPr>
      <w:r>
        <w:rPr>
          <w:color w:val="8C8C8C"/>
          <w:sz w:val="12"/>
        </w:rPr>
        <w:t>cf-art-71-inc-V</w:t>
      </w:r>
      <w:r>
        <w:rPr>
          <w:color w:val="003CA0"/>
          <w:sz w:val="12"/>
        </w:rPr>
        <w:t xml:space="preserve"> | ACO 1.905</w:t>
      </w:r>
      <w:r>
        <w:rPr>
          <w:color w:val="003CA0"/>
          <w:sz w:val="12"/>
        </w:rPr>
        <w:t xml:space="preserve"> | rel. Marco Aurélio</w:t>
      </w:r>
    </w:p>
    <w:p>
      <w:pPr>
        <w:ind w:left="288"/>
      </w:pPr>
      <w:r>
        <w:rPr>
          <w:color w:val="1E1E1E"/>
          <w:sz w:val="18"/>
        </w:rPr>
        <w:t>Itaipu Binacional. (...) Eventual fiscalização pelo Tribunal de Contas da União dar-se-á nos termos acordados em instrumento firmado entre a República Federativa do Brasil e a República do Paraguai.</w:t>
      </w:r>
    </w:p>
    <w:p>
      <w:pPr>
        <w:ind w:left="288"/>
      </w:pPr>
      <w:r>
        <w:rPr>
          <w:b/>
          <w:color w:val="003CA0"/>
          <w:sz w:val="16"/>
        </w:rPr>
        <w:t>[ACO 1.905, rel. min. Marco Aurélio, j. 8-9-2020, P, DJE de 24-9-2020.]</w:t>
      </w:r>
    </w:p>
    <w:p>
      <w:pPr>
        <w:ind w:left="144"/>
      </w:pPr>
      <w:r>
        <w:rPr>
          <w:b/>
          <w:color w:val="B45A00"/>
          <w:sz w:val="16"/>
        </w:rPr>
        <w:t>CONTROLE CONCENTRADO</w:t>
      </w:r>
    </w:p>
    <w:p>
      <w:pPr>
        <w:ind w:left="288"/>
      </w:pPr>
      <w:r>
        <w:rPr>
          <w:color w:val="8C8C8C"/>
          <w:sz w:val="12"/>
        </w:rPr>
        <w:t>cf-art-71-inc-VI</w:t>
      </w:r>
      <w:r>
        <w:rPr>
          <w:color w:val="003CA0"/>
          <w:sz w:val="12"/>
        </w:rPr>
        <w:t xml:space="preserve"> | ADI 5.791</w:t>
      </w:r>
      <w:r>
        <w:rPr>
          <w:color w:val="003CA0"/>
          <w:sz w:val="12"/>
        </w:rPr>
        <w:t xml:space="preserve"> | rel. Ricardo Lewandowski</w:t>
      </w:r>
    </w:p>
    <w:p>
      <w:pPr>
        <w:ind w:left="288"/>
      </w:pPr>
      <w:r>
        <w:rPr>
          <w:color w:val="1E1E1E"/>
          <w:sz w:val="18"/>
        </w:rPr>
        <w:t>É competência do TCU fiscalizar a aplicação de verbas originárias da União por parte dos demais entes da Federação.</w:t>
      </w:r>
    </w:p>
    <w:p>
      <w:pPr>
        <w:ind w:left="288"/>
      </w:pPr>
      <w:r>
        <w:rPr>
          <w:b/>
          <w:color w:val="003CA0"/>
          <w:sz w:val="16"/>
        </w:rPr>
        <w:t>[ADI 5.791, rel. min. Ricardo Lewandowski, j. 5-9-2022, P, DJE de 12-9-2022.]</w:t>
      </w:r>
    </w:p>
    <w:p>
      <w:pPr>
        <w:ind w:left="288"/>
      </w:pPr>
      <w:r>
        <w:rPr>
          <w:color w:val="8C8C8C"/>
          <w:sz w:val="12"/>
        </w:rPr>
        <w:t>cf-art-71-inc-VI</w:t>
      </w:r>
      <w:r>
        <w:rPr>
          <w:color w:val="003CA0"/>
          <w:sz w:val="12"/>
        </w:rPr>
        <w:t xml:space="preserve"> | ADI 1.934</w:t>
      </w:r>
      <w:r>
        <w:rPr>
          <w:color w:val="003CA0"/>
          <w:sz w:val="12"/>
        </w:rPr>
        <w:t xml:space="preserve"> | rel. Roberto Barroso</w:t>
      </w:r>
    </w:p>
    <w:p>
      <w:pPr>
        <w:ind w:left="288"/>
      </w:pPr>
      <w:r>
        <w:rPr>
          <w:color w:val="1E1E1E"/>
          <w:sz w:val="18"/>
        </w:rPr>
        <w:t>Fundo Nacional de Assistência Social. Lei 9.604/1998. (...) O art. 2º da (...) lei, (...) é compatível com a Constituição. A previsão de repasse automático de recursos do Fundo para Estados e Municípios, ainda que desvinculado da celebração prévia de convênio, ajuste, acordo ou contrato, não afasta a competência do TCU prevista no art. 71, VI, da Carta.</w:t>
      </w:r>
    </w:p>
    <w:p>
      <w:pPr>
        <w:ind w:left="288"/>
      </w:pPr>
      <w:r>
        <w:rPr>
          <w:b/>
          <w:color w:val="003CA0"/>
          <w:sz w:val="16"/>
        </w:rPr>
        <w:t>[ADI 1.934, rel. min. Roberto Barroso, j. 7-2-2019, P, DJE de 26-2-2019.]</w:t>
      </w:r>
    </w:p>
    <w:p>
      <w:pPr>
        <w:ind w:left="144"/>
      </w:pPr>
      <w:r>
        <w:rPr>
          <w:b/>
          <w:color w:val="B45A00"/>
          <w:sz w:val="16"/>
        </w:rPr>
        <w:t>JULGADOS CORRELATOS</w:t>
      </w:r>
    </w:p>
    <w:p>
      <w:pPr>
        <w:ind w:left="288"/>
      </w:pPr>
      <w:r>
        <w:rPr>
          <w:color w:val="8C8C8C"/>
          <w:sz w:val="12"/>
        </w:rPr>
        <w:t>cf-art-71-inc-VI</w:t>
      </w:r>
      <w:r>
        <w:rPr>
          <w:color w:val="003CA0"/>
          <w:sz w:val="12"/>
        </w:rPr>
        <w:t xml:space="preserve"> | MS 28.584</w:t>
      </w:r>
      <w:r>
        <w:rPr>
          <w:color w:val="003CA0"/>
          <w:sz w:val="12"/>
        </w:rPr>
        <w:t xml:space="preserve"> | rel. Edson Fachin</w:t>
      </w:r>
    </w:p>
    <w:p>
      <w:pPr>
        <w:ind w:left="288"/>
      </w:pPr>
      <w:r>
        <w:rPr>
          <w:color w:val="1E1E1E"/>
          <w:sz w:val="18"/>
        </w:rPr>
        <w:t>A competência para fiscalizar a aplicação dos recursos da União repassados ao FCDF é do Tribunal de Contas da União, à luz do disposto no art. 71, VI, da Constituição Federal.</w:t>
      </w:r>
    </w:p>
    <w:p>
      <w:pPr>
        <w:ind w:left="288"/>
      </w:pPr>
      <w:r>
        <w:rPr>
          <w:b/>
          <w:color w:val="003CA0"/>
          <w:sz w:val="16"/>
        </w:rPr>
        <w:t>[MS 28.584 AgR-ED, rel. min. Edson Fachin, j. 25-4-2023, 2ª T, DJE de 3-5-2023.]</w:t>
      </w:r>
    </w:p>
    <w:p>
      <w:pPr>
        <w:ind w:left="288"/>
      </w:pPr>
      <w:r>
        <w:rPr>
          <w:color w:val="8C8C8C"/>
          <w:sz w:val="12"/>
        </w:rPr>
        <w:t>cf-art-71-inc-VI</w:t>
      </w:r>
      <w:r>
        <w:rPr>
          <w:color w:val="003CA0"/>
          <w:sz w:val="12"/>
        </w:rPr>
        <w:t xml:space="preserve"> | MS 30.946</w:t>
      </w:r>
      <w:r>
        <w:rPr>
          <w:color w:val="003CA0"/>
          <w:sz w:val="12"/>
        </w:rPr>
        <w:t xml:space="preserve"> | rel. Dias Toffoli</w:t>
      </w:r>
    </w:p>
    <w:p>
      <w:pPr>
        <w:ind w:left="288"/>
      </w:pPr>
      <w:r>
        <w:rPr>
          <w:color w:val="1E1E1E"/>
          <w:sz w:val="18"/>
        </w:rPr>
        <w:t>Na condição de convenente, o Estado pode ser responsabilizado pela má utilização de verbas públicas federais repassadas por convênio, submetendo-se, portanto, ao controle do TCU, sem prejuízo, ainda, de eventual responsabilidade concorrente do gestor estadual.</w:t>
      </w:r>
    </w:p>
    <w:p>
      <w:pPr>
        <w:ind w:left="288"/>
      </w:pPr>
      <w:r>
        <w:rPr>
          <w:b/>
          <w:color w:val="003CA0"/>
          <w:sz w:val="16"/>
        </w:rPr>
        <w:t>[MS 30.946 AgR, rel. min. Dias Toffoli, j. 4-4-2018, 2ª T, DJE de 9-5-2018.]</w:t>
      </w:r>
    </w:p>
    <w:p>
      <w:pPr>
        <w:ind w:left="288"/>
      </w:pPr>
      <w:r>
        <w:rPr>
          <w:color w:val="8C8C8C"/>
          <w:sz w:val="12"/>
        </w:rPr>
        <w:t>cf-art-71-inc-VI</w:t>
      </w:r>
      <w:r>
        <w:rPr>
          <w:color w:val="003CA0"/>
          <w:sz w:val="12"/>
        </w:rPr>
        <w:t xml:space="preserve"> | MS 24.312</w:t>
      </w:r>
      <w:r>
        <w:rPr>
          <w:color w:val="003CA0"/>
          <w:sz w:val="12"/>
        </w:rPr>
        <w:t xml:space="preserve"> | rel. Ellen Gracie</w:t>
      </w:r>
    </w:p>
    <w:p>
      <w:pPr>
        <w:ind w:left="288"/>
      </w:pPr>
      <w:r>
        <w:rPr>
          <w:color w:val="1E1E1E"/>
          <w:sz w:val="18"/>
        </w:rPr>
        <w:t>Embora os recursos naturais da plataforma continental e os recursos minerais sejam bens da União (CF, art. 20, V e IX), a participação ou compensação aos Estados, Distrito Federal e Municípios no resultado da exploração de petróleo, xisto betuminoso e gás natural são receitas originárias destes últimos entes federativos (CF, art. 20, § 1º). É inaplicável, ao caso, o disposto no art. 71, VI, da Carta Magna, que se refere, especificamente, ao repasse efetuado pela União – mediante convênio, acordo ou ajuste – de recursos originariamente federais.</w:t>
      </w:r>
    </w:p>
    <w:p>
      <w:pPr>
        <w:ind w:left="288"/>
      </w:pPr>
      <w:r>
        <w:rPr>
          <w:b/>
          <w:color w:val="003CA0"/>
          <w:sz w:val="16"/>
        </w:rPr>
        <w:t>[MS 24.312, rel. min. Ellen Gracie, j. 19-2-2003, P, DJ de 19-12-2003.]</w:t>
      </w:r>
    </w:p>
    <w:p>
      <w:pPr>
        <w:ind w:left="288"/>
      </w:pPr>
      <w:r>
        <w:rPr>
          <w:color w:val="8C8C8C"/>
          <w:sz w:val="12"/>
        </w:rPr>
        <w:t>cf-art-71-inc-VI</w:t>
      </w:r>
      <w:r>
        <w:rPr>
          <w:color w:val="003CA0"/>
          <w:sz w:val="12"/>
        </w:rPr>
        <w:t xml:space="preserve"> | ADI 7.082</w:t>
      </w:r>
      <w:r>
        <w:rPr>
          <w:color w:val="003CA0"/>
          <w:sz w:val="12"/>
        </w:rPr>
        <w:t xml:space="preserve"> | rel. Cristiano Zanin</w:t>
      </w:r>
    </w:p>
    <w:p>
      <w:pPr>
        <w:ind w:left="288"/>
      </w:pPr>
      <w:r>
        <w:rPr>
          <w:color w:val="1E1E1E"/>
          <w:sz w:val="18"/>
        </w:rPr>
        <w:t>VII - prestar as informações solicitadas pelo Congresso Nacional, por qualquer de suas Casas, ou por qualquer das respectivas Comissões, sobre a fiscalização contábil, financeira, orçamentária, operacional e patrimonial e sobre resultados de auditorias e inspeções realizadas; VIII - aplicar aos responsáveis, em caso de ilegalidade de despesa ou irregularidade de contas, as sanções previstas em lei, que estabelecerá, entre outras cominações, multa proporcional ao dano causado ao erário; Lei n. 14.460/2022, do Estado da Bahia, de iniciativa parlamentar. Veda aplicação de multas e responsabilizaç</w:t>
      </w:r>
    </w:p>
    <w:p>
      <w:pPr>
        <w:ind w:left="288"/>
      </w:pPr>
      <w:r>
        <w:rPr>
          <w:b/>
          <w:color w:val="003CA0"/>
          <w:sz w:val="16"/>
        </w:rPr>
        <w:t>[ADI 7.082, rel. min. Cristiano Zanin, j. 29.09.2025, P, DJE de 02.10.2025.]</w:t>
      </w:r>
    </w:p>
    <w:p>
      <w:pPr>
        <w:ind w:left="288"/>
      </w:pPr>
      <w:r>
        <w:rPr>
          <w:color w:val="8C8C8C"/>
          <w:sz w:val="12"/>
        </w:rPr>
        <w:t>cf-art-71-inc-VI</w:t>
      </w:r>
      <w:r>
        <w:rPr>
          <w:color w:val="003CA0"/>
          <w:sz w:val="12"/>
        </w:rPr>
        <w:t xml:space="preserve"> | MS 30.788</w:t>
      </w:r>
    </w:p>
    <w:p>
      <w:pPr>
        <w:ind w:left="288"/>
      </w:pPr>
      <w:r>
        <w:rPr>
          <w:color w:val="1E1E1E"/>
          <w:sz w:val="18"/>
        </w:rPr>
        <w:t>É constitucional o art. 46 da Lei 8.443/1992, que institui sanção de inidoneidade a particulares por fraude a licitação, aplicável pelo TCU.</w:t>
      </w:r>
    </w:p>
    <w:p>
      <w:pPr>
        <w:ind w:left="288"/>
      </w:pPr>
      <w:r>
        <w:rPr>
          <w:b/>
          <w:color w:val="003CA0"/>
          <w:sz w:val="16"/>
        </w:rPr>
        <w:t>[MS 30.788, red. do ac. min. Roberto Barroso, j. 21-5-2015, P, DJE de 4-8-2015.]</w:t>
      </w:r>
    </w:p>
    <w:p>
      <w:pPr>
        <w:ind w:left="288"/>
      </w:pPr>
      <w:r>
        <w:rPr>
          <w:color w:val="8C8C8C"/>
          <w:sz w:val="12"/>
        </w:rPr>
        <w:t>cf-art-71-inc-VI</w:t>
      </w:r>
      <w:r>
        <w:rPr>
          <w:color w:val="003CA0"/>
          <w:sz w:val="12"/>
        </w:rPr>
        <w:t xml:space="preserve"> | PET 3.606</w:t>
      </w:r>
      <w:r>
        <w:rPr>
          <w:color w:val="003CA0"/>
          <w:sz w:val="12"/>
        </w:rPr>
        <w:t xml:space="preserve"> | rel. Sepúlveda Pertence</w:t>
      </w:r>
    </w:p>
    <w:p>
      <w:pPr>
        <w:ind w:left="288"/>
      </w:pPr>
      <w:r>
        <w:rPr>
          <w:color w:val="1E1E1E"/>
          <w:sz w:val="18"/>
        </w:rPr>
        <w:t xml:space="preserve">Vide Pet 3.606 AgR, rel. min. Sepúlveda Pertence, j. 21-9-2006, P, DJ de 27-10-2006 Nepotismo cruzado. (...) Reconhecida a competência do TCU para a verificação da legalidade do ato praticado pelo impetrante, nos termos dos arts. 71, VIII e IX, da CF. Procedimento instaurado no TCU a partir de encaminhamento de autos de procedimento administrativo concluído pelo MPF no Estado do Espírito Santo. (...) A nomeação para o cargo de assessor do impetrante é ato formalmente lícito. Contudo, no momento em que é apurada a finalidade contrária ao interesse público, qual seja, uma troca de favores entre </w:t>
      </w:r>
    </w:p>
    <w:p>
      <w:pPr>
        <w:ind w:left="288"/>
      </w:pPr>
      <w:r>
        <w:rPr>
          <w:b/>
          <w:color w:val="003CA0"/>
          <w:sz w:val="16"/>
        </w:rPr>
        <w:t>[MS 24.020, rel. min. Joaquim Barbosa, j. 6-3-2012, 2ª T, DJE de 13-6-2012.]</w:t>
      </w:r>
    </w:p>
    <w:p>
      <w:pPr>
        <w:ind w:left="288"/>
      </w:pPr>
      <w:r>
        <w:rPr>
          <w:color w:val="8C8C8C"/>
          <w:sz w:val="12"/>
        </w:rPr>
        <w:t>cf-art-71-inc-VI</w:t>
      </w:r>
      <w:r>
        <w:rPr>
          <w:color w:val="003CA0"/>
          <w:sz w:val="12"/>
        </w:rPr>
        <w:t xml:space="preserve"> | MS 24.544</w:t>
      </w:r>
      <w:r>
        <w:rPr>
          <w:color w:val="003CA0"/>
          <w:sz w:val="12"/>
        </w:rPr>
        <w:t xml:space="preserve"> | rel. Marco Aurélio</w:t>
      </w:r>
    </w:p>
    <w:p>
      <w:pPr>
        <w:ind w:left="288"/>
      </w:pPr>
      <w:r>
        <w:rPr>
          <w:color w:val="1E1E1E"/>
          <w:sz w:val="18"/>
        </w:rPr>
        <w:t>Ato do TCU. Imposição de valor a ser ressarcido aos cofres públicos e previsão de desconto, considerado o que percebido pelo servidor, geram a legitimidade do TCU para figurar no mandado de segurança como órgão coator.</w:t>
      </w:r>
    </w:p>
    <w:p>
      <w:pPr>
        <w:ind w:left="288"/>
      </w:pPr>
      <w:r>
        <w:rPr>
          <w:b/>
          <w:color w:val="003CA0"/>
          <w:sz w:val="16"/>
        </w:rPr>
        <w:t>[MS 24.544, rel. min. Marco Aurélio, j. 4-8-2004, P, DJ de 4-3-2005.]</w:t>
      </w:r>
    </w:p>
    <w:p>
      <w:pPr>
        <w:ind w:left="288"/>
      </w:pPr>
      <w:r>
        <w:rPr>
          <w:color w:val="8C8C8C"/>
          <w:sz w:val="12"/>
        </w:rPr>
        <w:t>cf-art-71-inc-VI</w:t>
      </w:r>
      <w:r>
        <w:rPr>
          <w:color w:val="003CA0"/>
          <w:sz w:val="12"/>
        </w:rPr>
        <w:t xml:space="preserve"> | MS 21.548</w:t>
      </w:r>
      <w:r>
        <w:rPr>
          <w:color w:val="003CA0"/>
          <w:sz w:val="12"/>
        </w:rPr>
        <w:t xml:space="preserve"> | rel. Maurício Corrêa</w:t>
      </w:r>
    </w:p>
    <w:p>
      <w:pPr>
        <w:ind w:left="288"/>
      </w:pPr>
      <w:r>
        <w:rPr>
          <w:color w:val="1E1E1E"/>
          <w:sz w:val="18"/>
        </w:rPr>
        <w:t>O TCU é parte legítima para figurar no polo passivo do mandado de segurança, quando sua decisão está revestida de caráter impositivo.</w:t>
      </w:r>
    </w:p>
    <w:p>
      <w:pPr>
        <w:ind w:left="288"/>
      </w:pPr>
      <w:r>
        <w:rPr>
          <w:b/>
          <w:color w:val="003CA0"/>
          <w:sz w:val="16"/>
        </w:rPr>
        <w:t>[MS 21.548, rel. min. Maurício Corrêa, j. 4-2-1999, P, DJ de 25-6-1999.]</w:t>
      </w:r>
    </w:p>
    <w:p>
      <w:pPr>
        <w:ind w:left="288"/>
      </w:pPr>
      <w:r>
        <w:rPr>
          <w:color w:val="8C8C8C"/>
          <w:sz w:val="12"/>
        </w:rPr>
        <w:t>cf-art-71-inc-VI</w:t>
      </w:r>
      <w:r>
        <w:rPr>
          <w:color w:val="003CA0"/>
          <w:sz w:val="12"/>
        </w:rPr>
        <w:t xml:space="preserve"> | MS 28.700</w:t>
      </w:r>
      <w:r>
        <w:rPr>
          <w:color w:val="003CA0"/>
          <w:sz w:val="12"/>
        </w:rPr>
        <w:t xml:space="preserve"> | rel. Marco Aurélio</w:t>
      </w:r>
    </w:p>
    <w:p>
      <w:pPr>
        <w:ind w:left="288"/>
      </w:pPr>
      <w:r>
        <w:rPr>
          <w:color w:val="1E1E1E"/>
          <w:sz w:val="18"/>
        </w:rPr>
        <w:t>= MS 28.700, rel. min. Marco Aurélio, j. 30-10-2012, 1ª T, DJE de 22-2-2013 Não é possível, efetivamente, entender que as decisões das cortes de contas, no exercício de sua competência constitucional, não possuam teor de coercibilidade. Possibilidade de impor sanções, assim como a lei disciplinar. Certo está que, na hipótese de abuso no exercício dessas atribuições por agentes da fiscalização dos tribunais de contas, ou de desvio de poder, os sujeitos passivos das sanções impostas possuem os meios que a ordem jurídica contém para o controle de legalidade dos atos de quem quer que exerça parcel</w:t>
      </w:r>
    </w:p>
    <w:p>
      <w:pPr>
        <w:ind w:left="288"/>
      </w:pPr>
      <w:r>
        <w:rPr>
          <w:b/>
          <w:color w:val="003CA0"/>
          <w:sz w:val="16"/>
        </w:rPr>
        <w:t>[RE 190.985, rel. min. Néri da Silveira, j. 14-2-1996, P, DJ de 24-8-2001.]</w:t>
      </w:r>
    </w:p>
    <w:p>
      <w:pPr>
        <w:ind w:left="288"/>
      </w:pPr>
      <w:r>
        <w:rPr>
          <w:color w:val="8C8C8C"/>
          <w:sz w:val="12"/>
        </w:rPr>
        <w:t>cf-art-71-inc-IX</w:t>
      </w:r>
      <w:r>
        <w:rPr>
          <w:color w:val="003CA0"/>
          <w:sz w:val="12"/>
        </w:rPr>
        <w:t xml:space="preserve"> | MS 24.020</w:t>
      </w:r>
      <w:r>
        <w:rPr>
          <w:color w:val="003CA0"/>
          <w:sz w:val="12"/>
        </w:rPr>
        <w:t xml:space="preserve"> | rel. Joaquim Barbosa</w:t>
      </w:r>
    </w:p>
    <w:p>
      <w:pPr>
        <w:ind w:left="288"/>
      </w:pPr>
      <w:r>
        <w:rPr>
          <w:color w:val="1E1E1E"/>
          <w:sz w:val="18"/>
        </w:rPr>
        <w:t>Nepotismo cruzado. (...) Reconhecida a competência do TCU para a verificação da legalidade do ato praticado pelo impetrante, nos termos dos arts. 71, VIII e IX, da CF. Procedimento instaurado no TCU a partir de encaminhamento de autos de procedimento administrativo concluído pelo MPF no Estado do Espírito Santo. (...) A nomeação para o cargo de assessor do impetrante é ato formalmente lícito. Contudo, no momento em que é apurada a finalidade contrária ao interesse público, qual seja, uma troca de favores entre membros do Judiciário, o ato deve ser invalidado, por violação ao princípio da moral</w:t>
      </w:r>
    </w:p>
    <w:p>
      <w:pPr>
        <w:ind w:left="288"/>
      </w:pPr>
      <w:r>
        <w:rPr>
          <w:b/>
          <w:color w:val="003CA0"/>
          <w:sz w:val="16"/>
        </w:rPr>
        <w:t>[MS 24.020, rel. min. Joaquim Barbosa, j. 6-3-2012, 2ª T, DJE de 13-6-2012.]</w:t>
      </w:r>
    </w:p>
    <w:p>
      <w:pPr>
        <w:ind w:left="288"/>
      </w:pPr>
      <w:r>
        <w:rPr>
          <w:color w:val="8C8C8C"/>
          <w:sz w:val="12"/>
        </w:rPr>
        <w:t>cf-art-71-inc-IX</w:t>
      </w:r>
      <w:r>
        <w:rPr>
          <w:color w:val="003CA0"/>
          <w:sz w:val="12"/>
        </w:rPr>
        <w:t xml:space="preserve"> | MS 23.550</w:t>
      </w:r>
    </w:p>
    <w:p>
      <w:pPr>
        <w:ind w:left="288"/>
      </w:pPr>
      <w:r>
        <w:rPr>
          <w:color w:val="1E1E1E"/>
          <w:sz w:val="18"/>
        </w:rPr>
        <w:t>O TCU, embora não tenha poder para anular ou sustar contratos administrativos, tem competência, conforme o art. 71, IX, para determinar à autoridade administrativa que promova a anulação do contrato e, se for o caso, da licitação de que se originou.</w:t>
      </w:r>
    </w:p>
    <w:p>
      <w:pPr>
        <w:ind w:left="288"/>
      </w:pPr>
      <w:r>
        <w:rPr>
          <w:b/>
          <w:color w:val="003CA0"/>
          <w:sz w:val="16"/>
        </w:rPr>
        <w:t>[MS 23.550, red. do ac. min. Sepúlveda Pertence, j. 4-4-2001, P, DJ de 31-10-2001.]</w:t>
      </w:r>
    </w:p>
    <w:p>
      <w:pPr>
        <w:ind w:left="288"/>
      </w:pPr>
      <w:r>
        <w:rPr>
          <w:color w:val="8C8C8C"/>
          <w:sz w:val="12"/>
        </w:rPr>
        <w:t>cf-art-71-inc-IX</w:t>
      </w:r>
      <w:r>
        <w:rPr>
          <w:color w:val="003CA0"/>
          <w:sz w:val="12"/>
        </w:rPr>
        <w:t xml:space="preserve"> | MS 26.000</w:t>
      </w:r>
      <w:r>
        <w:rPr>
          <w:color w:val="003CA0"/>
          <w:sz w:val="12"/>
        </w:rPr>
        <w:t xml:space="preserve"> | rel. Dias Toffoli</w:t>
      </w:r>
    </w:p>
    <w:p>
      <w:pPr>
        <w:ind w:left="288"/>
      </w:pPr>
      <w:r>
        <w:rPr>
          <w:color w:val="1E1E1E"/>
          <w:sz w:val="18"/>
        </w:rPr>
        <w:t>= MS 26.000, rel. min. Dias Toffoli, j. 16-10-2012, 1ª T, DJE de 14-11-2012</w:t>
      </w:r>
    </w:p>
    <w:p>
      <w:pPr>
        <w:ind w:left="144"/>
      </w:pPr>
      <w:r>
        <w:rPr>
          <w:b/>
          <w:color w:val="B45A00"/>
          <w:sz w:val="16"/>
        </w:rPr>
        <w:t>CONTROLE CONCENTRADO</w:t>
      </w:r>
    </w:p>
    <w:p>
      <w:pPr>
        <w:ind w:left="288"/>
      </w:pPr>
      <w:r>
        <w:rPr>
          <w:color w:val="8C8C8C"/>
          <w:sz w:val="12"/>
        </w:rPr>
        <w:t>cf-art-71-par-1</w:t>
      </w:r>
      <w:r>
        <w:rPr>
          <w:color w:val="003CA0"/>
          <w:sz w:val="12"/>
        </w:rPr>
        <w:t xml:space="preserve"> | ADI 3.715</w:t>
      </w:r>
      <w:r>
        <w:rPr>
          <w:color w:val="003CA0"/>
          <w:sz w:val="12"/>
        </w:rPr>
        <w:t xml:space="preserve"> | rel. Gilmar Mendes</w:t>
      </w:r>
    </w:p>
    <w:p>
      <w:pPr>
        <w:ind w:left="288"/>
      </w:pPr>
      <w:r>
        <w:rPr>
          <w:color w:val="1E1E1E"/>
          <w:sz w:val="18"/>
        </w:rPr>
        <w:t>Constituição do Estado do Tocantins. EC 16/2006, que (...) atribuiu à Assembleia Legislativa a competência para sustar não apenas os contratos, mas também as licitações e eventuais casos de dispensa e inexigibilidade de licitação (...). A CF é clara ao determinar, em seu art. 75, que as normas constitucionais que conformam o modelo federal de organização do TCU são de observância compulsória pelas Constituições dos Estados-membros. (...) A CF dispõe que apenas no caso de contratos o ato de sustação será adotado diretamente pelo Congresso Nacional (art. 71, § 1º, CF/1988). Ação julgada proceden</w:t>
      </w:r>
    </w:p>
    <w:p>
      <w:pPr>
        <w:ind w:left="288"/>
      </w:pPr>
      <w:r>
        <w:rPr>
          <w:b/>
          <w:color w:val="003CA0"/>
          <w:sz w:val="16"/>
        </w:rPr>
        <w:t>[ADI 3.715, rel. min. Gilmar Mendes, j. 21-8-2014, P, DJE de 30-10-2014.]</w:t>
      </w:r>
    </w:p>
    <w:p>
      <w:pPr>
        <w:ind w:left="288"/>
      </w:pPr>
      <w:r>
        <w:rPr>
          <w:color w:val="8C8C8C"/>
          <w:sz w:val="12"/>
        </w:rPr>
        <w:t>cf-art-71-par-3</w:t>
      </w:r>
      <w:r>
        <w:rPr>
          <w:color w:val="003CA0"/>
          <w:sz w:val="12"/>
        </w:rPr>
        <w:t xml:space="preserve"> | RE 1.003.433</w:t>
      </w:r>
      <w:r>
        <w:rPr>
          <w:color w:val="003CA0"/>
          <w:sz w:val="12"/>
        </w:rPr>
        <w:t xml:space="preserve"> | rel. Gilmar Mendes</w:t>
      </w:r>
    </w:p>
    <w:p>
      <w:pPr>
        <w:ind w:left="288"/>
      </w:pPr>
      <w:r>
        <w:rPr>
          <w:color w:val="1E1E1E"/>
          <w:sz w:val="18"/>
        </w:rPr>
        <w:t>No julgamento do RE 1.003.433/RJ, tema 642 da repercussão geral, a Corte restringiu-se a examinar a questão da multa aplicada pelo Tribunal de Contas em razão de prática lesiva à Fazenda Pública municipal. Distinção entre aquela hipótese e a presente. Exame, no caso, da legitimidade para execução de multa simples imposta por Corte de Contas. Diferenciação entre duas modalidades de responsabilidade financeira: a reintegratória e a sancionatória. A primeira está relacionada à reposição de recursos públicos, objeto de desvio, pagamento indevido ou falta de cobrança ou liquidação nos termos da lei</w:t>
      </w:r>
    </w:p>
    <w:p>
      <w:pPr>
        <w:ind w:left="144"/>
      </w:pPr>
      <w:r>
        <w:rPr>
          <w:b/>
          <w:color w:val="B45A00"/>
          <w:sz w:val="16"/>
        </w:rPr>
        <w:t>REPERCUSSAO GERAL</w:t>
      </w:r>
    </w:p>
    <w:p>
      <w:pPr>
        <w:ind w:left="288"/>
      </w:pPr>
      <w:r>
        <w:rPr>
          <w:color w:val="8C8C8C"/>
          <w:sz w:val="12"/>
        </w:rPr>
        <w:t>cf-art-71-par-3</w:t>
      </w:r>
      <w:r>
        <w:rPr>
          <w:color w:val="003CA0"/>
          <w:sz w:val="12"/>
        </w:rPr>
        <w:t xml:space="preserve"> | RE 1.003.433</w:t>
      </w:r>
      <w:r>
        <w:rPr>
          <w:color w:val="003CA0"/>
          <w:sz w:val="12"/>
        </w:rPr>
        <w:t xml:space="preserve"> | rel. Marco Aurélio</w:t>
      </w:r>
    </w:p>
    <w:p>
      <w:pPr>
        <w:ind w:left="288"/>
      </w:pPr>
      <w:r>
        <w:rPr>
          <w:color w:val="1E1E1E"/>
          <w:sz w:val="18"/>
        </w:rPr>
        <w:t>O Município prejudicado é o legitimado para a execução de crédito decorrente de multa aplicada por Tribunal de Contas estadual a agente público municipal, em razão de danos causados ao erário municipal.</w:t>
      </w:r>
    </w:p>
    <w:p>
      <w:pPr>
        <w:ind w:left="288"/>
      </w:pPr>
      <w:r>
        <w:rPr>
          <w:b/>
          <w:color w:val="003CA0"/>
          <w:sz w:val="16"/>
        </w:rPr>
        <w:t>[RE 1.003.433, rel. min. Marco Aurélio, red. do ac. min. Alexandre de Moraes j. 15-9-2021, P, DJE de 13-10-2021, Tema 642, com mérito julgado.]</w:t>
      </w:r>
    </w:p>
    <w:p>
      <w:pPr>
        <w:ind w:left="144"/>
      </w:pPr>
      <w:r>
        <w:rPr>
          <w:b/>
          <w:color w:val="B45A00"/>
          <w:sz w:val="16"/>
        </w:rPr>
        <w:t>JULGADOS CORRELATOS</w:t>
      </w:r>
    </w:p>
    <w:p>
      <w:pPr>
        <w:ind w:left="288"/>
      </w:pPr>
      <w:r>
        <w:rPr>
          <w:color w:val="8C8C8C"/>
          <w:sz w:val="12"/>
        </w:rPr>
        <w:t>cf-art-71-par-3</w:t>
      </w:r>
      <w:r>
        <w:rPr>
          <w:color w:val="003CA0"/>
          <w:sz w:val="12"/>
        </w:rPr>
        <w:t xml:space="preserve"> | ACO 3.182</w:t>
      </w:r>
      <w:r>
        <w:rPr>
          <w:color w:val="003CA0"/>
          <w:sz w:val="12"/>
        </w:rPr>
        <w:t xml:space="preserve"> | rel. Ricardo Lewandowski</w:t>
      </w:r>
    </w:p>
    <w:p>
      <w:pPr>
        <w:ind w:left="288"/>
      </w:pPr>
      <w:r>
        <w:rPr>
          <w:color w:val="1E1E1E"/>
          <w:sz w:val="18"/>
        </w:rPr>
        <w:t>(...) a tomada de contas especial é um procedimento administrativo com rito próprio, que tem suas regras e pressupostos definidos na Lei 8.443/1992, e que permite não somente a apuração, mas também a liquidação do dano em dívida líquida e certa, por meio de decisão com eficácia de título executivo extrajudicial (art. 71, § 3º, da CF).</w:t>
      </w:r>
    </w:p>
    <w:p>
      <w:pPr>
        <w:ind w:left="288"/>
      </w:pPr>
      <w:r>
        <w:rPr>
          <w:b/>
          <w:color w:val="003CA0"/>
          <w:sz w:val="16"/>
        </w:rPr>
        <w:t>[ACO 3.182 AgR, rel. min. Ricardo Lewandowski, j. 24-8-2020, P, DJE de 2-10-2020.]</w:t>
      </w:r>
    </w:p>
    <w:p>
      <w:pPr>
        <w:ind w:left="288"/>
      </w:pPr>
      <w:r>
        <w:rPr>
          <w:color w:val="8C8C8C"/>
          <w:sz w:val="12"/>
        </w:rPr>
        <w:t>cf-art-71-par-3</w:t>
      </w:r>
      <w:r>
        <w:rPr>
          <w:color w:val="003CA0"/>
          <w:sz w:val="12"/>
        </w:rPr>
        <w:t xml:space="preserve"> | RE 510.034</w:t>
      </w:r>
      <w:r>
        <w:rPr>
          <w:color w:val="003CA0"/>
          <w:sz w:val="12"/>
        </w:rPr>
        <w:t xml:space="preserve"> | rel. Eros Grau</w:t>
      </w:r>
    </w:p>
    <w:p>
      <w:pPr>
        <w:ind w:left="288"/>
      </w:pPr>
      <w:r>
        <w:rPr>
          <w:color w:val="1E1E1E"/>
          <w:sz w:val="18"/>
        </w:rPr>
        <w:t>Em caso de multa imposta por tribunal de contas estadual a responsáveis por irregularidades no uso de bens públicos, a ação de cobrança somente pode ser proposta pelo ente público beneficiário da condenação do tribunal de contas.</w:t>
      </w:r>
    </w:p>
    <w:p>
      <w:pPr>
        <w:ind w:left="288"/>
      </w:pPr>
      <w:r>
        <w:rPr>
          <w:b/>
          <w:color w:val="003CA0"/>
          <w:sz w:val="16"/>
        </w:rPr>
        <w:t>[RE 510.034 AgR, rel. min. Eros Grau, j. 24-6-2008, 2ª T, DJE de 15-8-2008.]</w:t>
      </w:r>
    </w:p>
    <w:p>
      <w:pPr>
        <w:ind w:left="288"/>
      </w:pPr>
      <w:r>
        <w:rPr>
          <w:color w:val="8C8C8C"/>
          <w:sz w:val="12"/>
        </w:rPr>
        <w:t>cf-art-71-par-3</w:t>
      </w:r>
      <w:r>
        <w:rPr>
          <w:color w:val="003CA0"/>
          <w:sz w:val="12"/>
        </w:rPr>
        <w:t xml:space="preserve"> | AI 765.470</w:t>
      </w:r>
      <w:r>
        <w:rPr>
          <w:color w:val="003CA0"/>
          <w:sz w:val="12"/>
        </w:rPr>
        <w:t xml:space="preserve"> | rel. Rosa Weber</w:t>
      </w:r>
    </w:p>
    <w:p>
      <w:pPr>
        <w:ind w:left="288"/>
      </w:pPr>
      <w:r>
        <w:rPr>
          <w:color w:val="1E1E1E"/>
          <w:sz w:val="18"/>
        </w:rPr>
        <w:t>= AI 765.470 AgR, rel. min. Rosa Weber, j. 18-12-2012, 1ª T, DJE de 19-2-2013</w:t>
      </w:r>
    </w:p>
    <w:p>
      <w:pPr>
        <w:ind w:left="144"/>
      </w:pPr>
      <w:r>
        <w:rPr>
          <w:b/>
          <w:color w:val="B45A00"/>
          <w:sz w:val="16"/>
        </w:rPr>
        <w:t>CONTROLE CONCENTRADO</w:t>
      </w:r>
    </w:p>
    <w:p>
      <w:pPr>
        <w:ind w:left="288"/>
      </w:pPr>
      <w:r>
        <w:rPr>
          <w:color w:val="8C8C8C"/>
          <w:sz w:val="12"/>
        </w:rPr>
        <w:t>cf-art-71-par-4</w:t>
      </w:r>
      <w:r>
        <w:rPr>
          <w:color w:val="003CA0"/>
          <w:sz w:val="12"/>
        </w:rPr>
        <w:t xml:space="preserve"> | ADI 687</w:t>
      </w:r>
      <w:r>
        <w:rPr>
          <w:color w:val="003CA0"/>
          <w:sz w:val="12"/>
        </w:rPr>
        <w:t xml:space="preserve"> | rel. Celso de Mello</w:t>
      </w:r>
    </w:p>
    <w:p>
      <w:pPr>
        <w:ind w:left="288"/>
      </w:pPr>
      <w:r>
        <w:rPr>
          <w:color w:val="1E1E1E"/>
          <w:sz w:val="18"/>
        </w:rPr>
        <w:t xml:space="preserve">O tribunal de contas está obrigado, por expressa determinação constitucional (CF, art. 71, § 4º), aplicável ao plano local (CF, art. 75), a encaminhar ao Poder Legislativo a que se acha institucionalmente vinculado tanto relatórios trimestrais quanto anuais de suas próprias atividades, pois tais relatórios, além de permitirem o exame parlamentar do desempenho, pela corte de contas, de suas atribuições fiscalizadoras, também se destinam a expor ao Legislativo a situação das finanças públicas administradas pelos órgãos e entidades governamentais, em ordem a conferir um grau de maior eficácia ao </w:t>
      </w:r>
    </w:p>
    <w:p>
      <w:pPr>
        <w:ind w:left="288"/>
      </w:pPr>
      <w:r>
        <w:rPr>
          <w:b/>
          <w:color w:val="003CA0"/>
          <w:sz w:val="16"/>
        </w:rPr>
        <w:t>[ADI 687, rel. min. Celso de Mello, j. 2-2-1995, P, DJ de 10-2-2006.]</w:t>
      </w:r>
    </w:p>
    <w:p>
      <w:pPr>
        <w:ind w:left="720"/>
      </w:pPr>
      <w:r>
        <w:rPr>
          <w:color w:val="003366"/>
          <w:sz w:val="18"/>
        </w:rPr>
        <w:t>I – apreciar as contas prestadas anualmente pelo Presidente da República, median</w:t>
      </w:r>
    </w:p>
    <w:p>
      <w:pPr>
        <w:ind w:left="720"/>
      </w:pPr>
      <w:r>
        <w:rPr>
          <w:color w:val="003366"/>
          <w:sz w:val="18"/>
        </w:rPr>
        <w:t>II – julgar as contas dos administradores e demais responsáveis por dinheiros, b</w:t>
      </w:r>
    </w:p>
    <w:p>
      <w:pPr>
        <w:ind w:left="720"/>
      </w:pPr>
      <w:r>
        <w:rPr>
          <w:color w:val="003366"/>
          <w:sz w:val="18"/>
        </w:rPr>
        <w:t>III – apreciar, para fins de registro, a legalidade dos atos de admissão de pess</w:t>
      </w:r>
    </w:p>
    <w:p>
      <w:pPr>
        <w:ind w:left="720"/>
      </w:pPr>
      <w:r>
        <w:rPr>
          <w:color w:val="003366"/>
          <w:sz w:val="18"/>
        </w:rPr>
        <w:t>IV – realizar, por iniciativa própria, da Câmara dos Deputados, do Senado Federa</w:t>
      </w:r>
    </w:p>
    <w:p>
      <w:pPr>
        <w:ind w:left="720"/>
      </w:pPr>
      <w:r>
        <w:rPr>
          <w:color w:val="003366"/>
          <w:sz w:val="18"/>
        </w:rPr>
        <w:t>V – fiscalizar as contas nacionais das empresas supranacionais de cujo capital s</w:t>
      </w:r>
    </w:p>
    <w:p>
      <w:pPr>
        <w:ind w:left="720"/>
      </w:pPr>
      <w:r>
        <w:rPr>
          <w:color w:val="003366"/>
          <w:sz w:val="18"/>
        </w:rPr>
        <w:t>VI – fiscalizar a aplicação de quaisquer recursos repassados pela União mediante</w:t>
      </w:r>
    </w:p>
    <w:p>
      <w:pPr>
        <w:ind w:left="720"/>
      </w:pPr>
      <w:r>
        <w:rPr>
          <w:color w:val="003366"/>
          <w:sz w:val="18"/>
        </w:rPr>
        <w:t>VII – prestar as informações solicitadas pelo Congresso Nacional, por qualquer d</w:t>
      </w:r>
    </w:p>
    <w:p>
      <w:pPr>
        <w:ind w:left="720"/>
      </w:pPr>
      <w:r>
        <w:rPr>
          <w:color w:val="003366"/>
          <w:sz w:val="18"/>
        </w:rPr>
        <w:t>VIII – aplicar aos responsáveis, em caso de ilegalidade de despesa ou irregulari</w:t>
      </w:r>
    </w:p>
    <w:p>
      <w:pPr>
        <w:ind w:left="720"/>
      </w:pPr>
      <w:r>
        <w:rPr>
          <w:color w:val="003366"/>
          <w:sz w:val="18"/>
        </w:rPr>
        <w:t>IX – assinar prazo para que o órgão ou entidade adote as providências necessária</w:t>
      </w:r>
    </w:p>
    <w:p>
      <w:pPr>
        <w:ind w:left="720"/>
      </w:pPr>
      <w:r>
        <w:rPr>
          <w:color w:val="003366"/>
          <w:sz w:val="18"/>
        </w:rPr>
        <w:t xml:space="preserve">X – sustar, se não atendido, a execução do ato impugnado, comunicando a decisão </w:t>
      </w:r>
    </w:p>
    <w:p>
      <w:pPr>
        <w:ind w:left="720"/>
      </w:pPr>
      <w:r>
        <w:rPr>
          <w:color w:val="003366"/>
          <w:sz w:val="18"/>
        </w:rPr>
        <w:t>XI – representar ao Poder competente sobre irregularidades ou abusos apurados.</w:t>
      </w:r>
    </w:p>
    <w:p>
      <w:pPr>
        <w:ind w:left="432"/>
      </w:pPr>
      <w:r>
        <w:rPr>
          <w:color w:val="003366"/>
          <w:sz w:val="18"/>
        </w:rPr>
        <w:t>§ 1 No caso de contrato, o ato de sustação será adotado diretamente pelo Congres</w:t>
      </w:r>
    </w:p>
    <w:p>
      <w:pPr>
        <w:ind w:left="432"/>
      </w:pPr>
      <w:r>
        <w:rPr>
          <w:color w:val="003366"/>
          <w:sz w:val="18"/>
        </w:rPr>
        <w:t xml:space="preserve">§ 2 Se o Congresso Nacional ou o Poder Executivo, no prazo de noventa dias, não </w:t>
      </w:r>
    </w:p>
    <w:p>
      <w:pPr>
        <w:ind w:left="432"/>
      </w:pPr>
      <w:r>
        <w:rPr>
          <w:color w:val="003366"/>
          <w:sz w:val="18"/>
        </w:rPr>
        <w:t>§ 3 As decisões do Tribunal de que resulte imputação de débito ou multa terão ef</w:t>
      </w:r>
    </w:p>
    <w:p>
      <w:pPr>
        <w:ind w:left="432"/>
      </w:pPr>
      <w:r>
        <w:rPr>
          <w:color w:val="003366"/>
          <w:sz w:val="18"/>
        </w:rPr>
        <w:t>§ 4 O Tribunal encaminhará ao Congresso Nacional, trimestral e anualmente, relat</w:t>
      </w:r>
    </w:p>
    <w:p>
      <w:r>
        <w:rPr>
          <w:b/>
          <w:color w:val="003366"/>
          <w:sz w:val="20"/>
        </w:rPr>
        <w:t>Art. 72 A Comissão mista permanente a que se refere o art. 166, §1º, diante de i</w:t>
      </w:r>
    </w:p>
    <w:p>
      <w:pPr>
        <w:ind w:left="432"/>
      </w:pPr>
      <w:r>
        <w:rPr>
          <w:color w:val="003366"/>
          <w:sz w:val="18"/>
        </w:rPr>
        <w:t>§ 1 Não prestados os esclarecimentos, ou considerados estes insuficientes, a Com</w:t>
      </w:r>
    </w:p>
    <w:p>
      <w:pPr>
        <w:ind w:left="432"/>
      </w:pPr>
      <w:r>
        <w:rPr>
          <w:color w:val="003366"/>
          <w:sz w:val="18"/>
        </w:rPr>
        <w:t>§ 2 Entendendo o Tribunal irregular a despesa, a Comissão, se julgar que o gasto</w:t>
      </w:r>
    </w:p>
    <w:p>
      <w:r>
        <w:rPr>
          <w:b/>
          <w:color w:val="003366"/>
          <w:sz w:val="20"/>
        </w:rPr>
        <w:t>Art. 73 O Tribunal de Contas da União, integrado por nove Ministros, tem sede no</w:t>
      </w:r>
      <w:r>
        <w:rPr>
          <w:color w:val="8C8C8C"/>
          <w:sz w:val="14"/>
        </w:rPr>
        <w:t xml:space="preserve">  [25 decisoes]</w:t>
      </w:r>
    </w:p>
    <w:p>
      <w:pPr>
        <w:ind w:left="288"/>
      </w:pPr>
      <w:r>
        <w:rPr>
          <w:color w:val="8C8C8C"/>
          <w:sz w:val="12"/>
        </w:rPr>
        <w:t>cf-art-73</w:t>
      </w:r>
      <w:r>
        <w:rPr>
          <w:color w:val="003CA0"/>
          <w:sz w:val="12"/>
        </w:rPr>
        <w:t xml:space="preserve"> | ADI 6.844</w:t>
      </w:r>
      <w:r>
        <w:rPr>
          <w:color w:val="003CA0"/>
          <w:sz w:val="12"/>
        </w:rPr>
        <w:t xml:space="preserve"> | rel. Luiz Fux</w:t>
      </w:r>
    </w:p>
    <w:p>
      <w:pPr>
        <w:ind w:left="288"/>
      </w:pPr>
      <w:r>
        <w:rPr>
          <w:color w:val="1E1E1E"/>
          <w:sz w:val="18"/>
        </w:rPr>
        <w:t>A jurisprudência do Supremo Tribunal Federal firmou-se no sentido de que a interpretação sistemática das normas constitucionais confere aos Tribunais de Contas autonomia e autogoverno na definição de seus assuntos internos, o que inclui a reserva de iniciativa legislativa (artigos 73, caput, e 96, inciso II, alínea “d”, da Constituição). In casu, a norma impugnada, derivada de projeto de lei apresentado pelo Presidente da República, representa a imposição, ao Tribunal de Contas, da cessão de um de seus servidores, que passará a ocupar cargo de comissão em regime de dedicação exclusiva no Poder</w:t>
      </w:r>
    </w:p>
    <w:p>
      <w:pPr>
        <w:ind w:left="288"/>
      </w:pPr>
      <w:r>
        <w:rPr>
          <w:b/>
          <w:color w:val="003CA0"/>
          <w:sz w:val="16"/>
        </w:rPr>
        <w:t>[ADI 6.844, rel. min. Luiz Fux, j. 27.05.2025, P, DJE de 04.06.2025.]</w:t>
      </w:r>
    </w:p>
    <w:p>
      <w:pPr>
        <w:ind w:left="144"/>
      </w:pPr>
      <w:r>
        <w:rPr>
          <w:b/>
          <w:color w:val="B45A00"/>
          <w:sz w:val="16"/>
        </w:rPr>
        <w:t>CONTROLE CONCENTRADO</w:t>
      </w:r>
    </w:p>
    <w:p>
      <w:pPr>
        <w:ind w:left="288"/>
      </w:pPr>
      <w:r>
        <w:rPr>
          <w:color w:val="8C8C8C"/>
          <w:sz w:val="12"/>
        </w:rPr>
        <w:t>cf-art-73</w:t>
      </w:r>
      <w:r>
        <w:rPr>
          <w:color w:val="003CA0"/>
          <w:sz w:val="12"/>
        </w:rPr>
        <w:t xml:space="preserve"> | ADI 6.967</w:t>
      </w:r>
      <w:r>
        <w:rPr>
          <w:color w:val="003CA0"/>
          <w:sz w:val="12"/>
        </w:rPr>
        <w:t xml:space="preserve"> | rel. Nunes Marques</w:t>
      </w:r>
    </w:p>
    <w:p>
      <w:pPr>
        <w:ind w:left="288"/>
      </w:pPr>
      <w:r>
        <w:rPr>
          <w:color w:val="1E1E1E"/>
          <w:sz w:val="18"/>
        </w:rPr>
        <w:t>É reservada ao Tribunal de Contas a iniciativa para deflagrar processo legislativo a fim de dispor sobre a própria estrutura e organização, sendo vedado ao Poder Legislativo formalizar emendas, se impertinentes em relação à matéria originalmente proposta ou caso delas resulte aumento de despesa. (...) É inconstitucional a revogação, decorrente de emenda parlamentar, de dispositivo da Lei Orgânica do Tribunal de Contas mediante o qual (i) determinado que os meios de comunicação dos atos processuais serão regulamentados via resolução; (ii) fixada multa com valor dobrado aos infratores reincident</w:t>
      </w:r>
    </w:p>
    <w:p>
      <w:pPr>
        <w:ind w:left="288"/>
      </w:pPr>
      <w:r>
        <w:rPr>
          <w:b/>
          <w:color w:val="003CA0"/>
          <w:sz w:val="16"/>
        </w:rPr>
        <w:t>[ADI 4.643, rel. min. Luiz Fux, j. 15-5-2019, P, DJE de 3-6-2019.]</w:t>
      </w:r>
    </w:p>
    <w:p>
      <w:pPr>
        <w:ind w:left="288"/>
      </w:pPr>
      <w:r>
        <w:rPr>
          <w:color w:val="8C8C8C"/>
          <w:sz w:val="12"/>
        </w:rPr>
        <w:t>cf-art-73</w:t>
      </w:r>
      <w:r>
        <w:rPr>
          <w:color w:val="003CA0"/>
          <w:sz w:val="12"/>
        </w:rPr>
        <w:t xml:space="preserve"> | ADI 4.418</w:t>
      </w:r>
      <w:r>
        <w:rPr>
          <w:color w:val="003CA0"/>
          <w:sz w:val="12"/>
        </w:rPr>
        <w:t xml:space="preserve"> | rel. Dias Toffoli</w:t>
      </w:r>
    </w:p>
    <w:p>
      <w:pPr>
        <w:ind w:left="288"/>
      </w:pPr>
      <w:r>
        <w:rPr>
          <w:color w:val="1E1E1E"/>
          <w:sz w:val="18"/>
        </w:rPr>
        <w:t>As cortes de contas seguem o exemplo dos tribunais judiciários no que concerne às garantias de independência, sendo também detentoras de autonomia funcional, administrativa e financeira, das quais decorre, essencialmente, a iniciativa reservada para instaurar processo legislativo que pretenda alterar sua organização e funcionamento, conforme interpretação sistemática dos arts. 73, 75 e 96, II, d, da CF.</w:t>
      </w:r>
    </w:p>
    <w:p>
      <w:pPr>
        <w:ind w:left="288"/>
      </w:pPr>
      <w:r>
        <w:rPr>
          <w:b/>
          <w:color w:val="003CA0"/>
          <w:sz w:val="16"/>
        </w:rPr>
        <w:t>[ADI 4.418, rel. min. Dias Toffoli, j. 15-12-2016, P, DJE de 20-3-2017.]</w:t>
      </w:r>
    </w:p>
    <w:p>
      <w:pPr>
        <w:ind w:left="288"/>
      </w:pPr>
      <w:r>
        <w:rPr>
          <w:color w:val="8C8C8C"/>
          <w:sz w:val="12"/>
        </w:rPr>
        <w:t>cf-art-73</w:t>
      </w:r>
      <w:r>
        <w:rPr>
          <w:color w:val="003CA0"/>
          <w:sz w:val="12"/>
        </w:rPr>
        <w:t xml:space="preserve"> | ADI 1.994</w:t>
      </w:r>
      <w:r>
        <w:rPr>
          <w:color w:val="003CA0"/>
          <w:sz w:val="12"/>
        </w:rPr>
        <w:t xml:space="preserve"> | rel. Eros Grau</w:t>
      </w:r>
    </w:p>
    <w:p>
      <w:pPr>
        <w:ind w:left="288"/>
      </w:pPr>
      <w:r>
        <w:rPr>
          <w:color w:val="1E1E1E"/>
          <w:sz w:val="18"/>
        </w:rPr>
        <w:t>Vide ADI 1.994, rel. min. Eros Grau, j. 24-5-2006, P, DJ de 8-9-2006 O autor ataca trecho do art. 50 da Carta estadual que outorgou ao Tribunal de Contas do Estado, além da capacidade de autogestão, a autonomia de caráter financeiro. Constitucionalidade decorrente da outorga à Corte de Contas das mesmas garantias dadas ao Poder Judiciário (arts. 73 e 96 da CF/1988), o que inclui a autonomia financeira.</w:t>
      </w:r>
    </w:p>
    <w:p>
      <w:pPr>
        <w:ind w:left="288"/>
      </w:pPr>
      <w:r>
        <w:rPr>
          <w:b/>
          <w:color w:val="003CA0"/>
          <w:sz w:val="16"/>
        </w:rPr>
        <w:t>[ADI 119, rel. min. Dias Toffoli, j. 19-2-2014, P, DJE de 28-3-2014.]</w:t>
      </w:r>
    </w:p>
    <w:p>
      <w:pPr>
        <w:ind w:left="288"/>
      </w:pPr>
      <w:r>
        <w:rPr>
          <w:color w:val="8C8C8C"/>
          <w:sz w:val="12"/>
        </w:rPr>
        <w:t>cf-art-73</w:t>
      </w:r>
      <w:r>
        <w:rPr>
          <w:color w:val="003CA0"/>
          <w:sz w:val="12"/>
        </w:rPr>
        <w:t xml:space="preserve"> | ADI 4.190</w:t>
      </w:r>
      <w:r>
        <w:rPr>
          <w:color w:val="003CA0"/>
          <w:sz w:val="12"/>
        </w:rPr>
        <w:t xml:space="preserve"> | rel. Celso de Mello</w:t>
      </w:r>
    </w:p>
    <w:p>
      <w:pPr>
        <w:ind w:left="288"/>
      </w:pPr>
      <w:r>
        <w:rPr>
          <w:color w:val="1E1E1E"/>
          <w:sz w:val="18"/>
        </w:rPr>
        <w:t>Os tribunais de contas ostentam posição eminente na estrutura constitucional brasileira, não se achando subordinados, por qualquer vínculo de ordem hierárquica, ao Poder Legislativo, de que não são órgãos delegatários nem organismos de mero assessoramento técnico. A competência institucional dos tribunais de contas não deriva, por isso mesmo, de delegação dos órgãos do Poder Legislativo, mas traduz emanação que resulta, primariamente, da própria Constituição da República.</w:t>
      </w:r>
    </w:p>
    <w:p>
      <w:pPr>
        <w:ind w:left="288"/>
      </w:pPr>
      <w:r>
        <w:rPr>
          <w:b/>
          <w:color w:val="003CA0"/>
          <w:sz w:val="16"/>
        </w:rPr>
        <w:t>[ADI 4.190 MC-REF, rel. min. Celso de Mello, j. 10-3-2010, P, DJE de 11-6-2010.]</w:t>
      </w:r>
    </w:p>
    <w:p>
      <w:pPr>
        <w:ind w:left="288"/>
      </w:pPr>
      <w:r>
        <w:rPr>
          <w:color w:val="8C8C8C"/>
          <w:sz w:val="12"/>
        </w:rPr>
        <w:t>cf-art-73-par-1</w:t>
      </w:r>
      <w:r>
        <w:rPr>
          <w:color w:val="003CA0"/>
          <w:sz w:val="12"/>
        </w:rPr>
        <w:t xml:space="preserve"> | ADI 5.587</w:t>
      </w:r>
      <w:r>
        <w:rPr>
          <w:color w:val="003CA0"/>
          <w:sz w:val="12"/>
        </w:rPr>
        <w:t xml:space="preserve"> | rel. André Mendonça</w:t>
      </w:r>
    </w:p>
    <w:p>
      <w:pPr>
        <w:ind w:left="288"/>
      </w:pPr>
      <w:r>
        <w:rPr>
          <w:color w:val="1E1E1E"/>
          <w:sz w:val="18"/>
        </w:rPr>
        <w:t>A exigência de requisitos adicionais para que auditores exerçam a função de substituição de conselheiros, tais como, a) tempo de serviço no Tribunal e b) ausência de punição ou mesmo prática de infração disciplinar não encontra previsão constitucional e impõe restrições desproporcionais, violando os arts. 73, §§ 1º e 4º, e 75 da Constituição da República.</w:t>
      </w:r>
    </w:p>
    <w:p>
      <w:pPr>
        <w:ind w:left="288"/>
      </w:pPr>
      <w:r>
        <w:rPr>
          <w:b/>
          <w:color w:val="003CA0"/>
          <w:sz w:val="16"/>
        </w:rPr>
        <w:t>[ADI 5.587, rel. min. André Mendonça, j. 25.04.2025, P, DJE de 08.10.2025.]</w:t>
      </w:r>
    </w:p>
    <w:p>
      <w:pPr>
        <w:ind w:left="144"/>
      </w:pPr>
      <w:r>
        <w:rPr>
          <w:b/>
          <w:color w:val="B45A00"/>
          <w:sz w:val="16"/>
        </w:rPr>
        <w:t>JULGADOS CORRELATOS</w:t>
      </w:r>
    </w:p>
    <w:p>
      <w:pPr>
        <w:ind w:left="288"/>
      </w:pPr>
      <w:r>
        <w:rPr>
          <w:color w:val="8C8C8C"/>
          <w:sz w:val="12"/>
        </w:rPr>
        <w:t>cf-art-73-par-1-inc-I</w:t>
      </w:r>
      <w:r>
        <w:rPr>
          <w:color w:val="003CA0"/>
          <w:sz w:val="12"/>
        </w:rPr>
        <w:t xml:space="preserve"> | MS 23.968</w:t>
      </w:r>
      <w:r>
        <w:rPr>
          <w:color w:val="003CA0"/>
          <w:sz w:val="12"/>
        </w:rPr>
        <w:t xml:space="preserve"> | rel. Gilmar Mendes</w:t>
      </w:r>
    </w:p>
    <w:p>
      <w:pPr>
        <w:ind w:left="288"/>
      </w:pPr>
      <w:r>
        <w:rPr>
          <w:color w:val="1E1E1E"/>
          <w:sz w:val="18"/>
        </w:rPr>
        <w:t>Elaboração de lista singular para preenchimento de cargo de ministro do TCU. Pedido de elaboração de nova lista tríplice. Limite objetivo de idade não admite exceções, CF, art. 73, § 1º. A lista deve ser tríplice quando houver candidatos aptos, Regimento Interno do TCU, art. 281, § 5º. Lista singular elaborada em conformidade com o Regimento Interno do TCU. Prejuízo do mandado de segurança em virtude do fato de o impetrante já ter completado setenta anos.</w:t>
      </w:r>
    </w:p>
    <w:p>
      <w:pPr>
        <w:ind w:left="288"/>
      </w:pPr>
      <w:r>
        <w:rPr>
          <w:b/>
          <w:color w:val="003CA0"/>
          <w:sz w:val="16"/>
        </w:rPr>
        <w:t>[MS 23.968, rel. min. Gilmar Mendes, j. 14-4-2008, P, DJE de 13-6-2008.]</w:t>
      </w:r>
    </w:p>
    <w:p>
      <w:pPr>
        <w:ind w:left="288"/>
      </w:pPr>
      <w:r>
        <w:rPr>
          <w:color w:val="8C8C8C"/>
          <w:sz w:val="12"/>
        </w:rPr>
        <w:t>cf-art-73-par-1-inc-III</w:t>
      </w:r>
      <w:r>
        <w:rPr>
          <w:color w:val="003CA0"/>
          <w:sz w:val="12"/>
        </w:rPr>
        <w:t xml:space="preserve"> | AO 476</w:t>
      </w:r>
    </w:p>
    <w:p>
      <w:pPr>
        <w:ind w:left="288"/>
      </w:pPr>
      <w:r>
        <w:rPr>
          <w:color w:val="1E1E1E"/>
          <w:sz w:val="18"/>
        </w:rPr>
        <w:t>A qualificação profissional formal não é requisito à nomeação de conselheiro de tribunal de contas estadual. O requisito notório saber é pressuposto subjetivo a ser analisado pelo governador do Estado, a seu juízo discricionário.</w:t>
      </w:r>
    </w:p>
    <w:p>
      <w:pPr>
        <w:ind w:left="288"/>
      </w:pPr>
      <w:r>
        <w:rPr>
          <w:b/>
          <w:color w:val="003CA0"/>
          <w:sz w:val="16"/>
        </w:rPr>
        <w:t>[AO 476, red. do ac. min. Nelson Jobim, j. 16-10-1997, P, DJ de 5-11-1999.]</w:t>
      </w:r>
    </w:p>
    <w:p>
      <w:pPr>
        <w:ind w:left="144"/>
      </w:pPr>
      <w:r>
        <w:rPr>
          <w:b/>
          <w:color w:val="B45A00"/>
          <w:sz w:val="16"/>
        </w:rPr>
        <w:t>CONTROLE CONCENTRADO</w:t>
      </w:r>
    </w:p>
    <w:p>
      <w:pPr>
        <w:ind w:left="288"/>
      </w:pPr>
      <w:r>
        <w:rPr>
          <w:color w:val="8C8C8C"/>
          <w:sz w:val="12"/>
        </w:rPr>
        <w:t>cf-art-73-par-2</w:t>
      </w:r>
      <w:r>
        <w:rPr>
          <w:color w:val="003CA0"/>
          <w:sz w:val="12"/>
        </w:rPr>
        <w:t xml:space="preserve"> | ADI 2.117</w:t>
      </w:r>
      <w:r>
        <w:rPr>
          <w:color w:val="003CA0"/>
          <w:sz w:val="12"/>
        </w:rPr>
        <w:t xml:space="preserve"> | rel. Marco Aurélio</w:t>
      </w:r>
    </w:p>
    <w:p>
      <w:pPr>
        <w:ind w:left="288"/>
      </w:pPr>
      <w:r>
        <w:rPr>
          <w:color w:val="1E1E1E"/>
          <w:sz w:val="18"/>
        </w:rPr>
        <w:t>O disposto no art. 73, § 2º, da CF, presente o princípio do determinismo, encerra não a simples escolha dos integrantes, mas, acima de tudo, a composição do TCU.</w:t>
      </w:r>
    </w:p>
    <w:p>
      <w:pPr>
        <w:ind w:left="288"/>
      </w:pPr>
      <w:r>
        <w:rPr>
          <w:b/>
          <w:color w:val="003CA0"/>
          <w:sz w:val="16"/>
        </w:rPr>
        <w:t>[ADI 2.117, rel. min. Marco Aurélio, j. 27-8-2014, P, DJE de 18-9-2014.]</w:t>
      </w:r>
    </w:p>
    <w:p>
      <w:pPr>
        <w:ind w:left="288"/>
      </w:pPr>
      <w:r>
        <w:rPr>
          <w:color w:val="8C8C8C"/>
          <w:sz w:val="12"/>
        </w:rPr>
        <w:t>cf-art-73-par-2</w:t>
      </w:r>
      <w:r>
        <w:rPr>
          <w:color w:val="003CA0"/>
          <w:sz w:val="12"/>
        </w:rPr>
        <w:t xml:space="preserve"> | ADI 3.688</w:t>
      </w:r>
      <w:r>
        <w:rPr>
          <w:color w:val="003CA0"/>
          <w:sz w:val="12"/>
        </w:rPr>
        <w:t xml:space="preserve"> | rel. Joaquim Barbosa</w:t>
      </w:r>
    </w:p>
    <w:p>
      <w:pPr>
        <w:ind w:left="288"/>
      </w:pPr>
      <w:r>
        <w:rPr>
          <w:color w:val="1E1E1E"/>
          <w:sz w:val="18"/>
        </w:rPr>
        <w:t>Lei do Estado de Pernambuco que prevê que a escolha de membros indicados para o Tribunal de Contas do Estado será feita do seguinte modo: as três primeiras pela Assembleia Legislativa e as três seguintes pelo governador. A aplicação pura e simples do critério cronológico permite que vagas ocupadas originalmente por membros indicados pela Assembleia Legislativa sejam posteriormente ocupadas por membros indicados pelo governador, ferindo assim o entendimento desta Corte, exposto na Súmula 653, de que nos tribunais de contas estaduais que contêm 7 membros, a seguinte proporção deverá ser respeita</w:t>
      </w:r>
    </w:p>
    <w:p>
      <w:pPr>
        <w:ind w:left="288"/>
      </w:pPr>
      <w:r>
        <w:rPr>
          <w:b/>
          <w:color w:val="003CA0"/>
          <w:sz w:val="16"/>
        </w:rPr>
        <w:t>[ADI 3.688, rel. min. Joaquim Barbosa, j. 11-6-2007, P, DJ de 24-8-2007.]</w:t>
      </w:r>
    </w:p>
    <w:p>
      <w:pPr>
        <w:ind w:left="288"/>
      </w:pPr>
      <w:r>
        <w:rPr>
          <w:color w:val="8C8C8C"/>
          <w:sz w:val="12"/>
        </w:rPr>
        <w:t>cf-art-73-par-2</w:t>
      </w:r>
      <w:r>
        <w:rPr>
          <w:color w:val="003CA0"/>
          <w:sz w:val="12"/>
        </w:rPr>
        <w:t xml:space="preserve"> | ADI 1.957</w:t>
      </w:r>
      <w:r>
        <w:rPr>
          <w:color w:val="003CA0"/>
          <w:sz w:val="12"/>
        </w:rPr>
        <w:t xml:space="preserve"> | rel. Gilmar Mendes</w:t>
      </w:r>
    </w:p>
    <w:p>
      <w:pPr>
        <w:ind w:left="288"/>
      </w:pPr>
      <w:r>
        <w:rPr>
          <w:color w:val="1E1E1E"/>
          <w:sz w:val="18"/>
        </w:rPr>
        <w:t>= ADI 1.957, rel. min. Gilmar Mendes, j. 1º-9-2010, P, DJE de 22-10-2010 O preceito veiculado pelo art. 73 da Constituição do Brasil aplica-se, no que couber, à organização, composição e fiscalização dos tribunais de contas dos Estados e do Distrito Federal, bem como dos tribunais e conselhos de contas dos Municípios. Imposição do modelo federal nos termos do art. 75. A inércia da Assembleia Legislativa cearense relativamente à criação de cargos e carreiras do Ministério Público Especial e de auditores que devam atuar junto ao Tribunal de Contas estadual consubstancia omissão inconstitucional.</w:t>
      </w:r>
    </w:p>
    <w:p>
      <w:pPr>
        <w:ind w:left="288"/>
      </w:pPr>
      <w:r>
        <w:rPr>
          <w:b/>
          <w:color w:val="003CA0"/>
          <w:sz w:val="16"/>
        </w:rPr>
        <w:t>[ADI 3.276, rel. min. Eros Grau, j. 2-6-2005, P, DJ de 1º-2-2008.]</w:t>
      </w:r>
    </w:p>
    <w:p>
      <w:pPr>
        <w:ind w:left="288"/>
      </w:pPr>
      <w:r>
        <w:rPr>
          <w:color w:val="8C8C8C"/>
          <w:sz w:val="12"/>
        </w:rPr>
        <w:t>cf-art-73-par-2</w:t>
      </w:r>
      <w:r>
        <w:rPr>
          <w:color w:val="003CA0"/>
          <w:sz w:val="12"/>
        </w:rPr>
        <w:t xml:space="preserve"> | ADI 374</w:t>
      </w:r>
      <w:r>
        <w:rPr>
          <w:color w:val="003CA0"/>
          <w:sz w:val="12"/>
        </w:rPr>
        <w:t xml:space="preserve"> | rel. Dias Toffoli</w:t>
      </w:r>
    </w:p>
    <w:p>
      <w:pPr>
        <w:ind w:left="288"/>
      </w:pPr>
      <w:r>
        <w:rPr>
          <w:color w:val="1E1E1E"/>
          <w:sz w:val="18"/>
        </w:rPr>
        <w:t xml:space="preserve">= ADI 374, rel. min. Dias Toffoli, j. 22-3-2012, P, DJE de 21-8-2014 Constituição: princípio da efetividade máxima e transição. Na solução dos problemas de transição de um para outro modelo constitucional, deve prevalecer, sempre que possível, a interpretação que viabilize a implementação mais rápida do novo ordenamento. Tribunal de contas dos Estados: implementação do modelo de composição heterogênea da Constituição de 1988. A Constituição de 1988 rompeu com a fórmula tradicional de exclusividade da livre indicação dos seus membros pelo Poder Executivo para, de um lado, impor a predominância </w:t>
      </w:r>
    </w:p>
    <w:p>
      <w:pPr>
        <w:ind w:left="288"/>
      </w:pPr>
      <w:r>
        <w:rPr>
          <w:b/>
          <w:color w:val="003CA0"/>
          <w:sz w:val="16"/>
        </w:rPr>
        <w:t>[ADI 2.596, rel. min. Sepúlveda Pertence, j. 19-3-2003, P, DJ de 2-5-2003.]</w:t>
      </w:r>
    </w:p>
    <w:p>
      <w:pPr>
        <w:ind w:left="288"/>
      </w:pPr>
      <w:r>
        <w:rPr>
          <w:color w:val="8C8C8C"/>
          <w:sz w:val="12"/>
        </w:rPr>
        <w:t>cf-art-73-par-2</w:t>
      </w:r>
      <w:r>
        <w:rPr>
          <w:color w:val="003CA0"/>
          <w:sz w:val="12"/>
        </w:rPr>
        <w:t xml:space="preserve"> | ADI 374</w:t>
      </w:r>
      <w:r>
        <w:rPr>
          <w:color w:val="003CA0"/>
          <w:sz w:val="12"/>
        </w:rPr>
        <w:t xml:space="preserve"> | rel. Dias Toffoli</w:t>
      </w:r>
    </w:p>
    <w:p>
      <w:pPr>
        <w:ind w:left="288"/>
      </w:pPr>
      <w:r>
        <w:rPr>
          <w:color w:val="1E1E1E"/>
          <w:sz w:val="18"/>
        </w:rPr>
        <w:t>= ADI 374, rel. min. Dias Toffoli, j. 22-3-2012, P, DJE de 21-8-2014 I - um terço pelo Presidente da República, com aprovação do Senado Federal, sendo dois alternadamente dentre auditores e membros do Ministério Público junto ao Tribunal, indicados em lista tríplice pelo Tribunal, segundo os critérios de antiguidade e merecimento; Desde 1993, o Supremo Tribunal Federal compreende que a composição dos Tribunais de Contas estaduais e do Distrito Federal deve seguir o padrão de 4 (quatro) indicações pelas Assembleias Legislativas ou pela Câmara Distrital e 3 (três) vagas destinadas à escolha do G</w:t>
      </w:r>
    </w:p>
    <w:p>
      <w:pPr>
        <w:ind w:left="288"/>
      </w:pPr>
      <w:r>
        <w:rPr>
          <w:b/>
          <w:color w:val="003CA0"/>
          <w:sz w:val="16"/>
        </w:rPr>
        <w:t>[ADI 7.053, rel. min. Nunes Marques, red. do ac. min. Gilmar Mendes, j. 12.08.2025, P, DJE de 08.10.2025.]</w:t>
      </w:r>
    </w:p>
    <w:p>
      <w:pPr>
        <w:ind w:left="288"/>
      </w:pPr>
      <w:r>
        <w:rPr>
          <w:color w:val="8C8C8C"/>
          <w:sz w:val="12"/>
        </w:rPr>
        <w:t>cf-art-73-par-2</w:t>
      </w:r>
      <w:r>
        <w:rPr>
          <w:color w:val="003CA0"/>
          <w:sz w:val="12"/>
        </w:rPr>
        <w:t xml:space="preserve"> | ADI 5.276</w:t>
      </w:r>
      <w:r>
        <w:rPr>
          <w:color w:val="003CA0"/>
          <w:sz w:val="12"/>
        </w:rPr>
        <w:t xml:space="preserve"> | rel. Nunes Marques</w:t>
      </w:r>
    </w:p>
    <w:p>
      <w:pPr>
        <w:ind w:left="288"/>
      </w:pPr>
      <w:r>
        <w:rPr>
          <w:color w:val="1E1E1E"/>
          <w:sz w:val="18"/>
        </w:rPr>
        <w:t>A CF/1988 estabelece que os membros do Tribunal de Contas escolhidos dentre auditores e membros do Ministério Público junto à Corte sejam indicados em lista tríplice elaborada pelo Tribunal segundo os critérios de antiguidade e merecimento. O critério de antiguidade, por sua natureza objetiva, não admite combinação com elemento subjetivo, como a votação, pelos membros da Corte, de nomes para comporem a lista tríplice, parâmetro de índole essencialmente pessoal e política. O dispositivo impugnado viola o princípio da simetria, pois incorpora em situação de empate, na escolha de candidato por an</w:t>
      </w:r>
    </w:p>
    <w:p>
      <w:pPr>
        <w:ind w:left="288"/>
      </w:pPr>
      <w:r>
        <w:rPr>
          <w:b/>
          <w:color w:val="003CA0"/>
          <w:sz w:val="16"/>
        </w:rPr>
        <w:t>[ADI 5.276, rel. min. Nunes Marques, j. 25.04.2025, P, DJE de 13.05.2025.]</w:t>
      </w:r>
    </w:p>
    <w:p>
      <w:pPr>
        <w:ind w:left="288"/>
      </w:pPr>
      <w:r>
        <w:rPr>
          <w:color w:val="8C8C8C"/>
          <w:sz w:val="12"/>
        </w:rPr>
        <w:t>cf-art-73-par-2</w:t>
      </w:r>
      <w:r>
        <w:rPr>
          <w:color w:val="003CA0"/>
          <w:sz w:val="12"/>
        </w:rPr>
        <w:t xml:space="preserve"> | ADI 789</w:t>
      </w:r>
      <w:r>
        <w:rPr>
          <w:color w:val="003CA0"/>
          <w:sz w:val="12"/>
        </w:rPr>
        <w:t xml:space="preserve"> | rel. Ricardo Lewandowski</w:t>
      </w:r>
    </w:p>
    <w:p>
      <w:pPr>
        <w:ind w:left="288"/>
      </w:pPr>
      <w:r>
        <w:rPr>
          <w:color w:val="1E1E1E"/>
          <w:sz w:val="18"/>
        </w:rPr>
        <w:t>Segundo precedente do STF (ADI 789/DF), os procuradores das cortes de contas são ligados administrativamente a elas, sem qualquer vínculo com o Ministério Público comum. Além de violar os arts. 73, § 2º,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pPr>
        <w:ind w:left="288"/>
      </w:pPr>
      <w:r>
        <w:rPr>
          <w:b/>
          <w:color w:val="003CA0"/>
          <w:sz w:val="16"/>
        </w:rPr>
        <w:t>[ADI 3.315, rel. min. Ricardo Lewandowski, j. 6-3-2008, P, DJE de 11-4-2008.]</w:t>
      </w:r>
    </w:p>
    <w:p>
      <w:pPr>
        <w:ind w:left="288"/>
      </w:pPr>
      <w:r>
        <w:rPr>
          <w:color w:val="8C8C8C"/>
          <w:sz w:val="12"/>
        </w:rPr>
        <w:t>cf-art-73-par-2</w:t>
      </w:r>
      <w:r>
        <w:rPr>
          <w:color w:val="003CA0"/>
          <w:sz w:val="12"/>
        </w:rPr>
        <w:t xml:space="preserve"> | ADI 789</w:t>
      </w:r>
      <w:r>
        <w:rPr>
          <w:color w:val="003CA0"/>
          <w:sz w:val="12"/>
        </w:rPr>
        <w:t xml:space="preserve"> | rel. Celso de Mello</w:t>
      </w:r>
    </w:p>
    <w:p>
      <w:pPr>
        <w:ind w:left="288"/>
      </w:pPr>
      <w:r>
        <w:rPr>
          <w:color w:val="1E1E1E"/>
          <w:sz w:val="18"/>
        </w:rPr>
        <w:t>Ministério Público junto ao TCU. Instituição que não integra o MPU. (...) O Ministério Público que atua perante o TCU qualifica-se como órgão de extração constitucional, eis que a sua existência jurídica resulta de expressa previsão normativa constante da Carta Política (art. 73, § 2º, I, e art. 130), sendo indiferente, para efeito de sua configuração jurídico-institucional, a circunstância de não constar do rol taxativo inscrito no art. 128, I, da Constituição, que define a estrutura orgânica do MPU. O Ministério Público junto ao TCU não dispõe de fisionomia institucional própria e, não obsta</w:t>
      </w:r>
    </w:p>
    <w:p>
      <w:pPr>
        <w:ind w:left="288"/>
      </w:pPr>
      <w:r>
        <w:rPr>
          <w:b/>
          <w:color w:val="003CA0"/>
          <w:sz w:val="16"/>
        </w:rPr>
        <w:t>[ADI 789, rel. min. Celso de Mello, j. 26-5-1994, P, DJ de 19-12-1994.]</w:t>
      </w:r>
    </w:p>
    <w:p>
      <w:pPr>
        <w:ind w:left="288"/>
      </w:pPr>
      <w:r>
        <w:rPr>
          <w:color w:val="8C8C8C"/>
          <w:sz w:val="12"/>
        </w:rPr>
        <w:t>cf-art-73-par-3</w:t>
      </w:r>
      <w:r>
        <w:rPr>
          <w:color w:val="003CA0"/>
          <w:sz w:val="12"/>
        </w:rPr>
        <w:t xml:space="preserve"> | ADI 6.126</w:t>
      </w:r>
      <w:r>
        <w:rPr>
          <w:color w:val="003CA0"/>
          <w:sz w:val="12"/>
        </w:rPr>
        <w:t xml:space="preserve"> | rel. Edson Fachin</w:t>
      </w:r>
    </w:p>
    <w:p>
      <w:pPr>
        <w:ind w:left="288"/>
      </w:pPr>
      <w:r>
        <w:rPr>
          <w:color w:val="1E1E1E"/>
          <w:sz w:val="18"/>
        </w:rPr>
        <w:t>Em face do regime remuneratório paritário estatuído no art. 73, § 3º, da Constituição Federal, e em atenção ao princípio da simetria, a instituição de verba de representação para os Conselheiros do Tribunal de Contas do Distrito Federal sem observância da equivalência em lei para os Desembargadores do Tribunal de Justiça viola o próprio texto constitucional.</w:t>
      </w:r>
    </w:p>
    <w:p>
      <w:pPr>
        <w:ind w:left="288"/>
      </w:pPr>
      <w:r>
        <w:rPr>
          <w:b/>
          <w:color w:val="003CA0"/>
          <w:sz w:val="16"/>
        </w:rPr>
        <w:t>[ADI 6.126, rel. min. Edson Fachin, j. 18-4-2023, P, DJE de 4-5-2023.]</w:t>
      </w:r>
    </w:p>
    <w:p>
      <w:pPr>
        <w:ind w:left="288"/>
      </w:pPr>
      <w:r>
        <w:rPr>
          <w:color w:val="8C8C8C"/>
          <w:sz w:val="12"/>
        </w:rPr>
        <w:t>cf-art-73-par-3</w:t>
      </w:r>
      <w:r>
        <w:rPr>
          <w:color w:val="003CA0"/>
          <w:sz w:val="12"/>
        </w:rPr>
        <w:t xml:space="preserve"> | ADI 3.417</w:t>
      </w:r>
      <w:r>
        <w:rPr>
          <w:color w:val="003CA0"/>
          <w:sz w:val="12"/>
        </w:rPr>
        <w:t xml:space="preserve"> | rel. Cármen Lúcia</w:t>
      </w:r>
    </w:p>
    <w:p>
      <w:pPr>
        <w:ind w:left="288"/>
      </w:pPr>
      <w:r>
        <w:rPr>
          <w:color w:val="1E1E1E"/>
          <w:sz w:val="18"/>
        </w:rPr>
        <w:t>A aplicação subsidiária aos conselheiros do Tribunal de Contas do Distrito Federal das normas do regime jurídico dos servidores públicos desse órgão conduz à extensão indevida de vantagens não estabelecidas na Lei Orgânica da Magistratura e quebra da paridade determinada pela Constituição da República entre os membros do Tribunal de Contas e os magistrados, conforme previsão do § 3º do art. 73 e do art. 75 da Constituição da República.</w:t>
      </w:r>
    </w:p>
    <w:p>
      <w:pPr>
        <w:ind w:left="288"/>
      </w:pPr>
      <w:r>
        <w:rPr>
          <w:b/>
          <w:color w:val="003CA0"/>
          <w:sz w:val="16"/>
        </w:rPr>
        <w:t>[ADI 3.417, rel. min. Cármen Lúcia, j. 13-9-2019, P, DJE de 27-9-2019.]</w:t>
      </w:r>
    </w:p>
    <w:p>
      <w:pPr>
        <w:ind w:left="144"/>
      </w:pPr>
      <w:r>
        <w:rPr>
          <w:b/>
          <w:color w:val="B45A00"/>
          <w:sz w:val="16"/>
        </w:rPr>
        <w:t>JULGADOS CORRELATOS</w:t>
      </w:r>
    </w:p>
    <w:p>
      <w:pPr>
        <w:ind w:left="288"/>
      </w:pPr>
      <w:r>
        <w:rPr>
          <w:color w:val="8C8C8C"/>
          <w:sz w:val="12"/>
        </w:rPr>
        <w:t>cf-art-73-par-3</w:t>
      </w:r>
      <w:r>
        <w:rPr>
          <w:color w:val="003CA0"/>
          <w:sz w:val="12"/>
        </w:rPr>
        <w:t xml:space="preserve"> | INQ 4.954</w:t>
      </w:r>
      <w:r>
        <w:rPr>
          <w:color w:val="003CA0"/>
          <w:sz w:val="12"/>
        </w:rPr>
        <w:t xml:space="preserve"> | rel. Alexandre de Moraes</w:t>
      </w:r>
    </w:p>
    <w:p>
      <w:pPr>
        <w:ind w:left="288"/>
      </w:pPr>
      <w:r>
        <w:rPr>
          <w:color w:val="1E1E1E"/>
          <w:sz w:val="18"/>
        </w:rPr>
        <w:t>São conferidas as mesmas prerrogativas dos integrantes da magistratura (arts. 73, § 3º, e 75 da Constituição) aos membros dos Tribunais de Contas Estaduais, dentre as quais a de ser recolhido em prisão especial ou em sala de Estado-Maior (art. 33, III, da LOMAN).</w:t>
        <w:br/>
        <w:t>[Inq 4.954 AgR-quarto, rel. min. Alexandre de Moraes, j. 07.10.2024, 1ª T, DJE de 09.10.2024.] Ministro aposentado do TCU. Férias não gozadas por necessidade de serviço motivada por exclusivo interesse do poder público. Exercício, no caso, por ministro do TCU, de funções inerentes à administração superior da Corte de Contas. Superveni</w:t>
      </w:r>
    </w:p>
    <w:p>
      <w:pPr>
        <w:ind w:left="288"/>
      </w:pPr>
      <w:r>
        <w:rPr>
          <w:color w:val="8C8C8C"/>
          <w:sz w:val="12"/>
        </w:rPr>
        <w:t>cf-art-73-par-4</w:t>
      </w:r>
      <w:r>
        <w:rPr>
          <w:color w:val="003CA0"/>
          <w:sz w:val="12"/>
        </w:rPr>
        <w:t xml:space="preserve"> | ADI 5.587</w:t>
      </w:r>
      <w:r>
        <w:rPr>
          <w:color w:val="003CA0"/>
          <w:sz w:val="12"/>
        </w:rPr>
        <w:t xml:space="preserve"> | rel. André Mendonça</w:t>
      </w:r>
    </w:p>
    <w:p>
      <w:pPr>
        <w:ind w:left="288"/>
      </w:pPr>
      <w:r>
        <w:rPr>
          <w:color w:val="1E1E1E"/>
          <w:sz w:val="18"/>
        </w:rPr>
        <w:t>A exigência de requisitos adicionais para que auditores exerçam a função de substituição de conselheiros, tais como, a) tempo de serviço no Tribunal e b) ausência de punição ou mesmo prática de infração disciplinar não encontra previsão constitucional e impõe restrições desproporcionais, violando os arts. 73, §§ 1º e 4º, e 75 da Constituição da República.</w:t>
      </w:r>
    </w:p>
    <w:p>
      <w:pPr>
        <w:ind w:left="288"/>
      </w:pPr>
      <w:r>
        <w:rPr>
          <w:b/>
          <w:color w:val="003CA0"/>
          <w:sz w:val="16"/>
        </w:rPr>
        <w:t>[ADI 5.587, rel. min. André Mendonça, j. 25.04.2025, P, DJE de 08.10.2025.]</w:t>
      </w:r>
    </w:p>
    <w:p>
      <w:pPr>
        <w:ind w:left="288"/>
      </w:pPr>
      <w:r>
        <w:rPr>
          <w:color w:val="8C8C8C"/>
          <w:sz w:val="12"/>
        </w:rPr>
        <w:t>cf-art-73-par-4</w:t>
      </w:r>
      <w:r>
        <w:rPr>
          <w:color w:val="003CA0"/>
          <w:sz w:val="12"/>
        </w:rPr>
        <w:t xml:space="preserve"> | ADI 6.054</w:t>
      </w:r>
      <w:r>
        <w:rPr>
          <w:color w:val="003CA0"/>
          <w:sz w:val="12"/>
        </w:rPr>
        <w:t xml:space="preserve"> | rel. Gilmar Mendes</w:t>
      </w:r>
    </w:p>
    <w:p>
      <w:pPr>
        <w:ind w:left="288"/>
      </w:pPr>
      <w:r>
        <w:rPr>
          <w:color w:val="1E1E1E"/>
          <w:sz w:val="18"/>
        </w:rPr>
        <w:t>O art. 73, § 4º, da Constituição Federal fixa que, no exercício ordinário da judicatura de contas, os Auditores do Tribunal de Contas gozam das mesmas garantias e a eles se impõem os mesmos impedimentos de juízes de Tribunais Regionais Federais. Por outro lado, quando em exercício da extraordinária função de substituir Ministros titulares, os Auditores gozam das mesmas garantias e vedações do titular. (...) Habilitação para votar para composição da direção da Corte de Contas. O ato de votar para composição dos órgãos de direção do Tribunal de Contas não consubstancia uma espécie de garantia, t</w:t>
      </w:r>
    </w:p>
    <w:p>
      <w:pPr>
        <w:ind w:left="288"/>
      </w:pPr>
      <w:r>
        <w:rPr>
          <w:b/>
          <w:color w:val="003CA0"/>
          <w:sz w:val="16"/>
        </w:rPr>
        <w:t>[ADI 6.054, rel. min. Gilmar Mendes, j. 28.10.2024, P, DJE de 05.11.2024.]</w:t>
      </w:r>
    </w:p>
    <w:p>
      <w:pPr>
        <w:ind w:left="288"/>
      </w:pPr>
      <w:r>
        <w:rPr>
          <w:color w:val="8C8C8C"/>
          <w:sz w:val="12"/>
        </w:rPr>
        <w:t>cf-art-73-par-4</w:t>
      </w:r>
      <w:r>
        <w:rPr>
          <w:color w:val="003CA0"/>
          <w:sz w:val="12"/>
        </w:rPr>
        <w:t xml:space="preserve"> | ADI 5.530</w:t>
      </w:r>
      <w:r>
        <w:rPr>
          <w:color w:val="003CA0"/>
          <w:sz w:val="12"/>
        </w:rPr>
        <w:t xml:space="preserve"> | rel. Roberto Barroso</w:t>
      </w:r>
    </w:p>
    <w:p>
      <w:pPr>
        <w:ind w:left="288"/>
      </w:pPr>
      <w:r>
        <w:rPr>
          <w:color w:val="1E1E1E"/>
          <w:sz w:val="18"/>
        </w:rPr>
        <w:t>“São inconstitucionais normas que atribuem a emissão de pareceres opinativos aos auditores de Tribunal de Contas estadual, por incompatibilidade com a função de judicatura de contas estabelecida pelos arts. 73, § 4º, e 75, caput, da Constituição”.</w:t>
        <w:br/>
        <w:t>[ADI 5.530, rel. min. Roberto Barroso, j. 22-5-2023, P, DJE de 6-6-2023.] (...) este Supremo Tribunal (...) assentou que a interpretação adequada do § 4º do art. 73 da Constituição da República é aquela que estende aos auditores estaduais as mesmas garantias asseguradas aos magistrados do correspondente Tribunal de Justiça, inclusive quanto à equipar</w:t>
      </w:r>
    </w:p>
    <w:p>
      <w:pPr>
        <w:ind w:left="288"/>
      </w:pPr>
      <w:r>
        <w:rPr>
          <w:b/>
          <w:color w:val="003CA0"/>
          <w:sz w:val="16"/>
        </w:rPr>
        <w:t>[ADI 6.945, rel. min. Roberto Barroso, j. 22-8-2022, P, DJE de 5-9-2022.]</w:t>
      </w:r>
    </w:p>
    <w:p>
      <w:pPr>
        <w:ind w:left="288"/>
      </w:pPr>
      <w:r>
        <w:rPr>
          <w:color w:val="8C8C8C"/>
          <w:sz w:val="12"/>
        </w:rPr>
        <w:t>cf-art-73-par-4</w:t>
      </w:r>
      <w:r>
        <w:rPr>
          <w:color w:val="003CA0"/>
          <w:sz w:val="12"/>
        </w:rPr>
        <w:t xml:space="preserve"> | ADI 4.541</w:t>
      </w:r>
      <w:r>
        <w:rPr>
          <w:color w:val="003CA0"/>
          <w:sz w:val="12"/>
        </w:rPr>
        <w:t xml:space="preserve"> | rel. Cármen Lúcia</w:t>
      </w:r>
    </w:p>
    <w:p>
      <w:pPr>
        <w:ind w:left="288"/>
      </w:pPr>
      <w:r>
        <w:rPr>
          <w:color w:val="1E1E1E"/>
          <w:sz w:val="18"/>
        </w:rPr>
        <w:t>Impossibilidade de equiparação legislativa do cargo de auditor, categorias jurídica e de controle externo, do Tribunal de Contas baiano ao de auditor do Tribunal de Contas da União, de estatura e atribuições distintas. (...) Necessidade de edição de lei estadual para criação do cargo específico de auditor ao qual se refere o art. 73, §§ 2º e 4º, a ser provido por concurso público.</w:t>
      </w:r>
    </w:p>
    <w:p>
      <w:pPr>
        <w:ind w:left="288"/>
      </w:pPr>
      <w:r>
        <w:rPr>
          <w:b/>
          <w:color w:val="003CA0"/>
          <w:sz w:val="16"/>
        </w:rPr>
        <w:t>[ADI 4.541, rel. min. Cármen Lúcia, j. 19-4-2021, P, DJE de 4-5-2021.]</w:t>
      </w:r>
    </w:p>
    <w:p>
      <w:pPr>
        <w:ind w:left="288"/>
      </w:pPr>
      <w:r>
        <w:rPr>
          <w:color w:val="8C8C8C"/>
          <w:sz w:val="12"/>
        </w:rPr>
        <w:t>cf-art-73-par-4</w:t>
      </w:r>
      <w:r>
        <w:rPr>
          <w:color w:val="003CA0"/>
          <w:sz w:val="12"/>
        </w:rPr>
        <w:t xml:space="preserve"> | ADI 1.994</w:t>
      </w:r>
      <w:r>
        <w:rPr>
          <w:color w:val="003CA0"/>
          <w:sz w:val="12"/>
        </w:rPr>
        <w:t xml:space="preserve"> | rel. Eros Grau</w:t>
      </w:r>
    </w:p>
    <w:p>
      <w:pPr>
        <w:ind w:left="288"/>
      </w:pPr>
      <w:r>
        <w:rPr>
          <w:color w:val="1E1E1E"/>
          <w:sz w:val="18"/>
        </w:rPr>
        <w:t>Não é possível ao Estado-membro extinguir o cargo de auditor na corte de contas estadual, previsto constitucionalmente, e substituí-lo por outro cuja forma de provimento igualmente divirja do modelo definido pela Constituição do Brasil/1988.</w:t>
      </w:r>
    </w:p>
    <w:p>
      <w:pPr>
        <w:ind w:left="288"/>
      </w:pPr>
      <w:r>
        <w:rPr>
          <w:b/>
          <w:color w:val="003CA0"/>
          <w:sz w:val="16"/>
        </w:rPr>
        <w:t>[ADI 1.994, rel. min. Eros Grau, j. 24-5-2006, P, DJ de 8-9-2006.]</w:t>
      </w:r>
    </w:p>
    <w:p>
      <w:pPr>
        <w:ind w:left="288"/>
      </w:pPr>
      <w:r>
        <w:rPr>
          <w:color w:val="8C8C8C"/>
          <w:sz w:val="12"/>
        </w:rPr>
        <w:t>cf-art-73-par-4</w:t>
      </w:r>
      <w:r>
        <w:rPr>
          <w:color w:val="003CA0"/>
          <w:sz w:val="12"/>
        </w:rPr>
        <w:t xml:space="preserve"> | ADI 2.208</w:t>
      </w:r>
      <w:r>
        <w:rPr>
          <w:color w:val="003CA0"/>
          <w:sz w:val="12"/>
        </w:rPr>
        <w:t xml:space="preserve"> | rel. Gilmar Mendes</w:t>
      </w:r>
    </w:p>
    <w:p>
      <w:pPr>
        <w:ind w:left="288"/>
      </w:pPr>
      <w:r>
        <w:rPr>
          <w:color w:val="1E1E1E"/>
          <w:sz w:val="18"/>
        </w:rPr>
        <w:t>Criação de cargo de controlador do Tribunal de Contas do Estado do Paraná. Alegada ofensa ao art. 37, II e XIII, aos §§ 1º e 2º do art. 73, e ao art. 75 da Constitução da República. (...) Inconstitucionalidade da previsão de nomeação de auditores e controladores sem aprovação em concurso de provas ou de provas e títulos, conforme determina o art. 37, II, da Constituição. (...) Criação da figura de controlador em desacordo com o disposto na CF (art. 73, § 4º, CF).</w:t>
      </w:r>
    </w:p>
    <w:p>
      <w:pPr>
        <w:ind w:left="288"/>
      </w:pPr>
      <w:r>
        <w:rPr>
          <w:b/>
          <w:color w:val="003CA0"/>
          <w:sz w:val="16"/>
        </w:rPr>
        <w:t>[ADI 2.208, rel. min. Gilmar Mendes, j. 19-5-2004, P, DJ de 25-6-2004.]</w:t>
      </w:r>
    </w:p>
    <w:p>
      <w:pPr>
        <w:ind w:left="432"/>
      </w:pPr>
      <w:r>
        <w:rPr>
          <w:color w:val="003366"/>
          <w:sz w:val="18"/>
        </w:rPr>
        <w:t>§ 1 Os Ministros do Tribunal de Contas da União serão nomeados dentre brasileiro</w:t>
      </w:r>
    </w:p>
    <w:p>
      <w:pPr>
        <w:ind w:left="720"/>
      </w:pPr>
      <w:r>
        <w:rPr>
          <w:color w:val="003366"/>
          <w:sz w:val="18"/>
        </w:rPr>
        <w:t xml:space="preserve">I – mais de trinta e cinco e menos de setenta anos de idade; (Redação dada pela </w:t>
      </w:r>
    </w:p>
    <w:p>
      <w:pPr>
        <w:ind w:left="720"/>
      </w:pPr>
      <w:r>
        <w:rPr>
          <w:color w:val="003366"/>
          <w:sz w:val="18"/>
        </w:rPr>
        <w:t>II – idoneidade moral e reputação ilibada;</w:t>
      </w:r>
    </w:p>
    <w:p>
      <w:pPr>
        <w:ind w:left="720"/>
      </w:pPr>
      <w:r>
        <w:rPr>
          <w:color w:val="003366"/>
          <w:sz w:val="18"/>
        </w:rPr>
        <w:t>III – notórios conhecimentos jurídicos, contábeis, econômicos e financeiros ou d</w:t>
      </w:r>
    </w:p>
    <w:p>
      <w:pPr>
        <w:ind w:left="720"/>
      </w:pPr>
      <w:r>
        <w:rPr>
          <w:color w:val="003366"/>
          <w:sz w:val="18"/>
        </w:rPr>
        <w:t>IV – mais de dez anos de exercício de função ou de efetiva atividade profissiona</w:t>
      </w:r>
    </w:p>
    <w:p>
      <w:pPr>
        <w:ind w:left="432"/>
      </w:pPr>
      <w:r>
        <w:rPr>
          <w:color w:val="003366"/>
          <w:sz w:val="18"/>
        </w:rPr>
        <w:t>§ 2 Os Ministros do Tribunal de Contas da União serão escolhidos:</w:t>
      </w:r>
    </w:p>
    <w:p>
      <w:pPr>
        <w:ind w:left="720"/>
      </w:pPr>
      <w:r>
        <w:rPr>
          <w:color w:val="003366"/>
          <w:sz w:val="18"/>
        </w:rPr>
        <w:t>I – um terço pelo Presidente da República, com aprovação do Senado Federal, send</w:t>
      </w:r>
    </w:p>
    <w:p>
      <w:pPr>
        <w:ind w:left="720"/>
      </w:pPr>
      <w:r>
        <w:rPr>
          <w:color w:val="003366"/>
          <w:sz w:val="18"/>
        </w:rPr>
        <w:t>II – dois terços pelo Congresso Nacional.</w:t>
      </w:r>
    </w:p>
    <w:p>
      <w:pPr>
        <w:ind w:left="432"/>
      </w:pPr>
      <w:r>
        <w:rPr>
          <w:color w:val="003366"/>
          <w:sz w:val="18"/>
        </w:rPr>
        <w:t>§ 3 Os Ministros do Tribunal de Contas da União terão as mesmas garantias, prerr</w:t>
      </w:r>
    </w:p>
    <w:p>
      <w:pPr>
        <w:ind w:left="432"/>
      </w:pPr>
      <w:r>
        <w:rPr>
          <w:color w:val="003366"/>
          <w:sz w:val="18"/>
        </w:rPr>
        <w:t>§ 4 O auditor, quando em substituição a Ministro, terá as mesmas garantias e imp</w:t>
      </w:r>
    </w:p>
    <w:p>
      <w:r>
        <w:rPr>
          <w:b/>
          <w:color w:val="003366"/>
          <w:sz w:val="20"/>
        </w:rPr>
        <w:t>Art. 74 Os Poderes Legislativo, Executivo e Judiciário manterão, de forma integr</w:t>
      </w:r>
      <w:r>
        <w:rPr>
          <w:color w:val="8C8C8C"/>
          <w:sz w:val="14"/>
        </w:rPr>
        <w:t xml:space="preserve">  [3 decisoes]</w:t>
      </w:r>
    </w:p>
    <w:p>
      <w:pPr>
        <w:ind w:left="144"/>
      </w:pPr>
      <w:r>
        <w:rPr>
          <w:b/>
          <w:color w:val="B45A00"/>
          <w:sz w:val="16"/>
        </w:rPr>
        <w:t>JULGADOS CORRELATOS</w:t>
      </w:r>
    </w:p>
    <w:p>
      <w:pPr>
        <w:ind w:left="288"/>
      </w:pPr>
      <w:r>
        <w:rPr>
          <w:color w:val="8C8C8C"/>
          <w:sz w:val="12"/>
        </w:rPr>
        <w:t>cf-art-74</w:t>
      </w:r>
      <w:r>
        <w:rPr>
          <w:color w:val="003CA0"/>
          <w:sz w:val="12"/>
        </w:rPr>
        <w:t xml:space="preserve"> | RMS 25.943</w:t>
      </w:r>
      <w:r>
        <w:rPr>
          <w:color w:val="003CA0"/>
          <w:sz w:val="12"/>
        </w:rPr>
        <w:t xml:space="preserve"> | rel. Ricardo Lewandowski</w:t>
      </w:r>
    </w:p>
    <w:p>
      <w:pPr>
        <w:ind w:left="288"/>
      </w:pPr>
      <w:r>
        <w:rPr>
          <w:color w:val="1E1E1E"/>
          <w:sz w:val="18"/>
        </w:rPr>
        <w:t>A Controladoria-Geral da União (CGU) pode fiscalizar a aplicação de verbas federais onde quer que elas estejam sendo aplicadas, mesmo que em outro ente federado às quais foram destinadas. A fiscalização exercida pela CGU é interna, pois feita exclusivamente sobre verbas provenientes do orçamento do Executivo.</w:t>
      </w:r>
    </w:p>
    <w:p>
      <w:pPr>
        <w:ind w:left="288"/>
      </w:pPr>
      <w:r>
        <w:rPr>
          <w:b/>
          <w:color w:val="003CA0"/>
          <w:sz w:val="16"/>
        </w:rPr>
        <w:t>[RMS 25.943, rel. min. Ricardo Lewandowski, j. 24-11-2010, P, DJE de 2-3-2011.]</w:t>
      </w:r>
    </w:p>
    <w:p>
      <w:pPr>
        <w:ind w:left="288"/>
      </w:pPr>
      <w:r>
        <w:rPr>
          <w:color w:val="8C8C8C"/>
          <w:sz w:val="12"/>
        </w:rPr>
        <w:t>cf-art-74-inc-I</w:t>
      </w:r>
    </w:p>
    <w:p>
      <w:pPr>
        <w:ind w:left="288"/>
      </w:pPr>
      <w:r>
        <w:rPr>
          <w:color w:val="1E1E1E"/>
          <w:sz w:val="18"/>
        </w:rPr>
        <w:t>II - comprovar a legalidade e avaliar os resultados, quanto à eficácia e eficiência, da gestão orçamentária, financeira e patrimonial nos órgãos e entidades da administração federal, bem como da aplicação de recursos públicos por entidades de direito privado;</w:t>
      </w:r>
    </w:p>
    <w:p>
      <w:pPr>
        <w:ind w:left="288"/>
      </w:pPr>
      <w:r>
        <w:rPr>
          <w:color w:val="8C8C8C"/>
          <w:sz w:val="12"/>
        </w:rPr>
        <w:t>cf-art-74-inc-IV</w:t>
      </w:r>
      <w:r>
        <w:rPr>
          <w:color w:val="003CA0"/>
          <w:sz w:val="12"/>
        </w:rPr>
        <w:t xml:space="preserve"> | ADI 5.705</w:t>
      </w:r>
      <w:r>
        <w:rPr>
          <w:color w:val="003CA0"/>
          <w:sz w:val="12"/>
        </w:rPr>
        <w:t xml:space="preserve"> | rel. André Mendonça</w:t>
      </w:r>
    </w:p>
    <w:p>
      <w:pPr>
        <w:ind w:left="288"/>
      </w:pPr>
      <w:r>
        <w:rPr>
          <w:color w:val="1E1E1E"/>
          <w:sz w:val="18"/>
        </w:rPr>
        <w:t>A Constituição Federal (artigos 70 a 74) prevê os sistemas de controle interno e externo como mecanismos autônomos e cooperativos de fiscalização da Administração Pública, sem relação de hierarquia entre si. O modelo constitucional atribui ao controle interno a função de apoio ao controle externo, mas não o subordina às determinações dos Tribunais de Contas, em respeito ao princípio da separação de poderes. (...) A expressão "por determinação do Tribunal de Contas do Estado", contida no art. 61, inciso I, da Lei complementar estadual nº 202, de 2000, implica subordinação hierárquica indevida d</w:t>
      </w:r>
    </w:p>
    <w:p>
      <w:pPr>
        <w:ind w:left="288"/>
      </w:pPr>
      <w:r>
        <w:rPr>
          <w:b/>
          <w:color w:val="003CA0"/>
          <w:sz w:val="16"/>
        </w:rPr>
        <w:t>[ADI 5.705, rel. min. André Mendonça, j. 09.06.2025, P, DJE de 28.08.2025.]</w:t>
      </w:r>
    </w:p>
    <w:p>
      <w:pPr>
        <w:ind w:left="720"/>
      </w:pPr>
      <w:r>
        <w:rPr>
          <w:color w:val="003366"/>
          <w:sz w:val="18"/>
        </w:rPr>
        <w:t>I – avaliar o cumprimento das metas previstas no plano plurianual, a execução do</w:t>
      </w:r>
    </w:p>
    <w:p>
      <w:pPr>
        <w:ind w:left="720"/>
      </w:pPr>
      <w:r>
        <w:rPr>
          <w:color w:val="003366"/>
          <w:sz w:val="18"/>
        </w:rPr>
        <w:t>II – comprovar a legalidade e avaliar os resultados, quanto à eficácia e eficiên</w:t>
      </w:r>
    </w:p>
    <w:p>
      <w:pPr>
        <w:ind w:left="720"/>
      </w:pPr>
      <w:r>
        <w:rPr>
          <w:color w:val="003366"/>
          <w:sz w:val="18"/>
        </w:rPr>
        <w:t>III – exercer o controle das operações de crédito, avais e garantias, bem como d</w:t>
      </w:r>
    </w:p>
    <w:p>
      <w:pPr>
        <w:ind w:left="720"/>
      </w:pPr>
      <w:r>
        <w:rPr>
          <w:color w:val="003366"/>
          <w:sz w:val="18"/>
        </w:rPr>
        <w:t>IV – apoiar o controle externo no exercício de sua missão institucional.</w:t>
      </w:r>
    </w:p>
    <w:p>
      <w:pPr>
        <w:ind w:left="432"/>
      </w:pPr>
      <w:r>
        <w:rPr>
          <w:color w:val="003366"/>
          <w:sz w:val="18"/>
        </w:rPr>
        <w:t>§ 1 Os responsáveis pelo controle interno, ao tomarem conhecimento de qualquer i</w:t>
      </w:r>
    </w:p>
    <w:p>
      <w:pPr>
        <w:ind w:left="432"/>
      </w:pPr>
      <w:r>
        <w:rPr>
          <w:color w:val="003366"/>
          <w:sz w:val="18"/>
        </w:rPr>
        <w:t>§ 2 Qualquer cidadão, partido político, associação ou sindicato é parte legítima</w:t>
      </w:r>
    </w:p>
    <w:p>
      <w:r>
        <w:rPr>
          <w:b/>
          <w:color w:val="003366"/>
          <w:sz w:val="20"/>
        </w:rPr>
        <w:t>Art. 75 As normas estabelecidas nesta seção aplicam-se, no que couber, à organiz</w:t>
      </w:r>
      <w:r>
        <w:rPr>
          <w:color w:val="8C8C8C"/>
          <w:sz w:val="14"/>
        </w:rPr>
        <w:t xml:space="preserve">  [35 decisoes]</w:t>
      </w:r>
    </w:p>
    <w:p>
      <w:pPr>
        <w:ind w:left="288"/>
      </w:pPr>
      <w:r>
        <w:rPr>
          <w:color w:val="8C8C8C"/>
          <w:sz w:val="12"/>
        </w:rPr>
        <w:t>cf-art-75</w:t>
      </w:r>
      <w:r>
        <w:rPr>
          <w:color w:val="003CA0"/>
          <w:sz w:val="12"/>
        </w:rPr>
        <w:t xml:space="preserve"> | ADI 4.124</w:t>
      </w:r>
      <w:r>
        <w:rPr>
          <w:color w:val="003CA0"/>
          <w:sz w:val="12"/>
        </w:rPr>
        <w:t xml:space="preserve"> | rel. Nunes Marques</w:t>
      </w:r>
    </w:p>
    <w:p>
      <w:pPr>
        <w:ind w:left="288"/>
      </w:pPr>
      <w:r>
        <w:rPr>
          <w:color w:val="1E1E1E"/>
          <w:sz w:val="18"/>
        </w:rPr>
        <w:t>Os Tribunais de Contas dos Municípios do Estado, quando existentes, são órgãos estaduais, sujeitos à competência genérica do Tribunal de Contas do Estado para o julgamento de suas contas, nos termos dos arts. 71, II, e 75 da CF/1988. A norma estadual que atribui à Assembleia Legislativa o julgamento das contas do Tribunal de Contas dos Municípios do Estado viola a organização do controle externo definida pela Constituição Federal, configurando ingerência indevida no modelo federativo e na repartição de competências estabelecida pela Carta Magna.</w:t>
      </w:r>
    </w:p>
    <w:p>
      <w:pPr>
        <w:ind w:left="288"/>
      </w:pPr>
      <w:r>
        <w:rPr>
          <w:b/>
          <w:color w:val="003CA0"/>
          <w:sz w:val="16"/>
        </w:rPr>
        <w:t>[ADI 4.124, rel. min. Nunes Marques, j. 16-12-2025, P, DJE de 26-1-2026.]</w:t>
      </w:r>
    </w:p>
    <w:p>
      <w:pPr>
        <w:ind w:left="288"/>
      </w:pPr>
      <w:r>
        <w:rPr>
          <w:color w:val="8C8C8C"/>
          <w:sz w:val="12"/>
        </w:rPr>
        <w:t>cf-art-75</w:t>
      </w:r>
      <w:r>
        <w:rPr>
          <w:color w:val="003CA0"/>
          <w:sz w:val="12"/>
        </w:rPr>
        <w:t xml:space="preserve"> | ADI 7.053</w:t>
      </w:r>
      <w:r>
        <w:rPr>
          <w:color w:val="003CA0"/>
          <w:sz w:val="12"/>
        </w:rPr>
        <w:t xml:space="preserve"> | rel. Nunes Marques</w:t>
      </w:r>
    </w:p>
    <w:p>
      <w:pPr>
        <w:ind w:left="288"/>
      </w:pPr>
      <w:r>
        <w:rPr>
          <w:color w:val="1E1E1E"/>
          <w:sz w:val="18"/>
        </w:rPr>
        <w:t>Desde 1993, o Supremo Tribunal Federal compreende que a composição dos Tribunais de Contas estaduais e do Distrito Federal deve seguir o padrão de 4 (quatro) indicações pelas Assembleias Legislativas ou pela Câmara Distrital e 3 (três) vagas destinadas à escolha do Governador, das quais 2 (duas) têm vinculação à carreira de Auditor da Corte de Contas e aos membros do MP de Contas. (...) Deixar de prover, deliberadamente, os cargos de Auditor do Tribunal de Contas por certo configura circunstância de inconstitucionalidade por omissão, que deve ser objeto da devida atenção pelos Poderes constitu</w:t>
      </w:r>
    </w:p>
    <w:p>
      <w:pPr>
        <w:ind w:left="288"/>
      </w:pPr>
      <w:r>
        <w:rPr>
          <w:b/>
          <w:color w:val="003CA0"/>
          <w:sz w:val="16"/>
        </w:rPr>
        <w:t>[ADI 7.053, rel. min. Nunes Marques, red. do ac. min. Gilmar Mendes, j. 12.08.2025, P, DJE de 08.10.2025.]</w:t>
      </w:r>
    </w:p>
    <w:p>
      <w:pPr>
        <w:ind w:left="288"/>
      </w:pPr>
      <w:r>
        <w:rPr>
          <w:color w:val="8C8C8C"/>
          <w:sz w:val="12"/>
        </w:rPr>
        <w:t>cf-art-75</w:t>
      </w:r>
      <w:r>
        <w:rPr>
          <w:color w:val="003CA0"/>
          <w:sz w:val="12"/>
        </w:rPr>
        <w:t xml:space="preserve"> | ADPF 434</w:t>
      </w:r>
      <w:r>
        <w:rPr>
          <w:color w:val="003CA0"/>
          <w:sz w:val="12"/>
        </w:rPr>
        <w:t xml:space="preserve"> | rel. Nunes Marques</w:t>
      </w:r>
    </w:p>
    <w:p>
      <w:pPr>
        <w:ind w:left="288"/>
      </w:pPr>
      <w:r>
        <w:rPr>
          <w:color w:val="1E1E1E"/>
          <w:sz w:val="18"/>
        </w:rPr>
        <w:t>O parecer técnico do Tribunal de Contas, embora relevante para subsidiar o julgamento político da Assembleia Legislativa, possui natureza opinativa, não vinculando nem condicionando o exercício da competência legislativa. A ausência de parecer prévio no prazo constitucional não obsta o julgamento das contas pelo Legislativo, sendo-lhe vedado eximir-se da competência constitucionalmente atribuída.</w:t>
      </w:r>
    </w:p>
    <w:p>
      <w:pPr>
        <w:ind w:left="288"/>
      </w:pPr>
      <w:r>
        <w:rPr>
          <w:b/>
          <w:color w:val="003CA0"/>
          <w:sz w:val="16"/>
        </w:rPr>
        <w:t>[ADPF 434, rel. min. Nunes Marques, j. 12.08.2025, P, DJE de 16.10.2025.]</w:t>
      </w:r>
    </w:p>
    <w:p>
      <w:pPr>
        <w:ind w:left="288"/>
      </w:pPr>
      <w:r>
        <w:rPr>
          <w:color w:val="8C8C8C"/>
          <w:sz w:val="12"/>
        </w:rPr>
        <w:t>cf-art-75</w:t>
      </w:r>
      <w:r>
        <w:rPr>
          <w:color w:val="003CA0"/>
          <w:sz w:val="12"/>
        </w:rPr>
        <w:t xml:space="preserve"> | ADI 7.459</w:t>
      </w:r>
      <w:r>
        <w:rPr>
          <w:color w:val="003CA0"/>
          <w:sz w:val="12"/>
        </w:rPr>
        <w:t xml:space="preserve"> | rel. Dias Toffoli</w:t>
      </w:r>
    </w:p>
    <w:p>
      <w:pPr>
        <w:ind w:left="288"/>
      </w:pPr>
      <w:r>
        <w:rPr>
          <w:color w:val="1E1E1E"/>
          <w:sz w:val="18"/>
        </w:rPr>
        <w:t>O procedimento de análise prévia de seletividade é instrumento para que a Corte de Contas conheça o objeto da denúncia e possa mensurar os impactos e as repercussões da irregularidade apontada, de modo que a Corte de Contas atue apenas quando presentes materialidade, relevância, oportunidade, risco, gravidade, urgência e tendência que justifiquem uma ação de controle externo. O Tribunal poderá priorizar esforços em ações de maior impacto em termos sociais, financeiros e orçamentários, evitando que o controle externo atue em questões menores cujo custo seja maior do que eventual benefício. Obse</w:t>
      </w:r>
    </w:p>
    <w:p>
      <w:pPr>
        <w:ind w:left="288"/>
      </w:pPr>
      <w:r>
        <w:rPr>
          <w:b/>
          <w:color w:val="003CA0"/>
          <w:sz w:val="16"/>
        </w:rPr>
        <w:t>[ADI 7.459, rel. min. Dias Toffoli, j. 01.07.2025, P, DJE de 08.07.2025.]</w:t>
      </w:r>
    </w:p>
    <w:p>
      <w:pPr>
        <w:ind w:left="288"/>
      </w:pPr>
      <w:r>
        <w:rPr>
          <w:color w:val="8C8C8C"/>
          <w:sz w:val="12"/>
        </w:rPr>
        <w:t>cf-art-75</w:t>
      </w:r>
      <w:r>
        <w:rPr>
          <w:color w:val="003CA0"/>
          <w:sz w:val="12"/>
        </w:rPr>
        <w:t xml:space="preserve"> | ADI 5.276</w:t>
      </w:r>
      <w:r>
        <w:rPr>
          <w:color w:val="003CA0"/>
          <w:sz w:val="12"/>
        </w:rPr>
        <w:t xml:space="preserve"> | rel. Nunes Marques</w:t>
      </w:r>
    </w:p>
    <w:p>
      <w:pPr>
        <w:ind w:left="288"/>
      </w:pPr>
      <w:r>
        <w:rPr>
          <w:color w:val="1E1E1E"/>
          <w:sz w:val="18"/>
        </w:rPr>
        <w:t>A CF/1988 estabelece que os membros do Tribunal de Contas escolhidos dentre auditores e membros do Ministério Público junto à Corte sejam indicados em lista tríplice elaborada pelo Tribunal segundo os critérios de antiguidade e merecimento. O critério de antiguidade, por sua natureza objetiva, não admite combinação com elemento subjetivo, como a votação, pelos membros da Corte, de nomes para comporem a lista tríplice, parâmetro de índole essencialmente pessoal e política. O dispositivo impugnado viola o princípio da simetria, pois incorpora em situação de empate, na escolha de candidato por an</w:t>
      </w:r>
    </w:p>
    <w:p>
      <w:pPr>
        <w:ind w:left="288"/>
      </w:pPr>
      <w:r>
        <w:rPr>
          <w:b/>
          <w:color w:val="003CA0"/>
          <w:sz w:val="16"/>
        </w:rPr>
        <w:t>[ADI 5.276, rel. min. Nunes Marques, j. 25.04.2025, P, DJE de 13.05.2025.]</w:t>
      </w:r>
    </w:p>
    <w:p>
      <w:pPr>
        <w:ind w:left="288"/>
      </w:pPr>
      <w:r>
        <w:rPr>
          <w:color w:val="8C8C8C"/>
          <w:sz w:val="12"/>
        </w:rPr>
        <w:t>cf-art-75</w:t>
      </w:r>
      <w:r>
        <w:rPr>
          <w:color w:val="003CA0"/>
          <w:sz w:val="12"/>
        </w:rPr>
        <w:t xml:space="preserve"> | ADI 5.587</w:t>
      </w:r>
      <w:r>
        <w:rPr>
          <w:color w:val="003CA0"/>
          <w:sz w:val="12"/>
        </w:rPr>
        <w:t xml:space="preserve"> | rel. André Mendonça</w:t>
      </w:r>
    </w:p>
    <w:p>
      <w:pPr>
        <w:ind w:left="288"/>
      </w:pPr>
      <w:r>
        <w:rPr>
          <w:color w:val="1E1E1E"/>
          <w:sz w:val="18"/>
        </w:rPr>
        <w:t>A exigência de requisitos adicionais para que auditores exerçam a função de substituição de conselheiros, tais como, a) tempo de serviço no Tribunal e b) ausência de punição ou mesmo prática de infração disciplinar não encontra previsão constitucional e impõe restrições desproporcionais, violando os arts. 73, §§ 1º e 4º, e 75 da Constituição da República.</w:t>
      </w:r>
    </w:p>
    <w:p>
      <w:pPr>
        <w:ind w:left="288"/>
      </w:pPr>
      <w:r>
        <w:rPr>
          <w:b/>
          <w:color w:val="003CA0"/>
          <w:sz w:val="16"/>
        </w:rPr>
        <w:t>[ADI 5.587, rel. min. André Mendonça, j. 25.04.2025, P, DJE de 08.10.2025.]</w:t>
      </w:r>
    </w:p>
    <w:p>
      <w:pPr>
        <w:ind w:left="288"/>
      </w:pPr>
      <w:r>
        <w:rPr>
          <w:color w:val="8C8C8C"/>
          <w:sz w:val="12"/>
        </w:rPr>
        <w:t>cf-art-75</w:t>
      </w:r>
      <w:r>
        <w:rPr>
          <w:color w:val="003CA0"/>
          <w:sz w:val="12"/>
        </w:rPr>
        <w:t xml:space="preserve"> | ADI 4.190</w:t>
      </w:r>
      <w:r>
        <w:rPr>
          <w:color w:val="003CA0"/>
          <w:sz w:val="12"/>
        </w:rPr>
        <w:t xml:space="preserve"> | rel. Nunes Marques</w:t>
      </w:r>
    </w:p>
    <w:p>
      <w:pPr>
        <w:ind w:left="288"/>
      </w:pPr>
      <w:r>
        <w:rPr>
          <w:color w:val="1E1E1E"/>
          <w:sz w:val="18"/>
        </w:rPr>
        <w:t xml:space="preserve">Art. 128, §§ 6º e 7º, da Constituição do Estado do Rio de Janeiro, na redação conferida pela Emenda nº 40/2009, renumerados pela Emenda nº 53/2012. Condutas praticadas por conselheiros do Tribunal de Contas. Julgamento pela Assembleia Legislativa. Sanção de afastamento do cargo. Disciplina do processo e julgamento. Tipificação de crimes de responsabilidade. (...) A previsão de perda do cargo sem decisão judicial transitada em julgado ofende a garantia constitucional da vitaliciedade assegurada pelo modelo federal extensível aos Tribunais de Contas dos Estados-membros (CF/1988, arts. 73, § 3º, </w:t>
      </w:r>
    </w:p>
    <w:p>
      <w:pPr>
        <w:ind w:left="288"/>
      </w:pPr>
      <w:r>
        <w:rPr>
          <w:b/>
          <w:color w:val="003CA0"/>
          <w:sz w:val="16"/>
        </w:rPr>
        <w:t>[ADI 4.190, rel. min. Nunes Marques, j. 24.02.2025, P, DJE de 11.03.2025.]</w:t>
      </w:r>
    </w:p>
    <w:p>
      <w:pPr>
        <w:ind w:left="288"/>
      </w:pPr>
      <w:r>
        <w:rPr>
          <w:color w:val="8C8C8C"/>
          <w:sz w:val="12"/>
        </w:rPr>
        <w:t>cf-art-75</w:t>
      </w:r>
      <w:r>
        <w:rPr>
          <w:color w:val="003CA0"/>
          <w:sz w:val="12"/>
        </w:rPr>
        <w:t xml:space="preserve"> | ADI 5.254</w:t>
      </w:r>
      <w:r>
        <w:rPr>
          <w:color w:val="003CA0"/>
          <w:sz w:val="12"/>
        </w:rPr>
        <w:t xml:space="preserve"> | rel. Luís Roberto Barroso</w:t>
      </w:r>
    </w:p>
    <w:p>
      <w:pPr>
        <w:ind w:left="288"/>
      </w:pPr>
      <w:r>
        <w:rPr>
          <w:color w:val="1E1E1E"/>
          <w:sz w:val="18"/>
        </w:rPr>
        <w:t>“É inconstitucional, por violação aos arts. 130 e 75 da CF/1988, norma estadual que confere autonomia administrativa e orçamentária ao Ministério Público Estadual junto ao Tribunal de Contas, garantida a independência funcional de seus membros e os meios necessários para o desempenho da função”.</w:t>
      </w:r>
    </w:p>
    <w:p>
      <w:pPr>
        <w:ind w:left="288"/>
      </w:pPr>
      <w:r>
        <w:rPr>
          <w:b/>
          <w:color w:val="003CA0"/>
          <w:sz w:val="16"/>
        </w:rPr>
        <w:t>[ADI 5.254, rel. min. Luís Roberto Barroso, j. 21.08.2024, P, DJE de 05.08.2025.]</w:t>
      </w:r>
    </w:p>
    <w:p>
      <w:pPr>
        <w:ind w:left="288"/>
      </w:pPr>
      <w:r>
        <w:rPr>
          <w:color w:val="8C8C8C"/>
          <w:sz w:val="12"/>
        </w:rPr>
        <w:t>cf-art-75</w:t>
      </w:r>
      <w:r>
        <w:rPr>
          <w:color w:val="003CA0"/>
          <w:sz w:val="12"/>
        </w:rPr>
        <w:t xml:space="preserve"> | ADI 6.557</w:t>
      </w:r>
      <w:r>
        <w:rPr>
          <w:color w:val="003CA0"/>
          <w:sz w:val="12"/>
        </w:rPr>
        <w:t xml:space="preserve"> | rel. Cristiano Zanin</w:t>
      </w:r>
    </w:p>
    <w:p>
      <w:pPr>
        <w:ind w:left="288"/>
      </w:pPr>
      <w:r>
        <w:rPr>
          <w:color w:val="1E1E1E"/>
          <w:sz w:val="18"/>
        </w:rPr>
        <w:t>Inocorrência de afronta à iniciativa privativa dos Tribunais de Contas. A alteração da destinação da receita decorrente de aplicação de multa pelo Tribunal de Contas estadual é matéria estranha à estruturação ou organização interna da respectiva Corte de Contas. As receitas públicas provenientes de multas aplicadas pelos Tribunais de Contas estaduais pertencem ao tesouro do ente público beneficiado pela decisão de imputação de débito ou mantenedor da respectiva Corte de Contas.</w:t>
        <w:br/>
        <w:t xml:space="preserve">[ADI 6.557, rel. min. Cristiano Zanin, j. 19.08.2024, P, DJE de 22.08.2024.] “1. É constitucional a criação de órgão </w:t>
      </w:r>
    </w:p>
    <w:p>
      <w:pPr>
        <w:ind w:left="288"/>
      </w:pPr>
      <w:r>
        <w:rPr>
          <w:b/>
          <w:color w:val="003CA0"/>
          <w:sz w:val="16"/>
        </w:rPr>
        <w:t>[ADI 6.951, rel. min. Edson Fachin, j. 13-6-2022, P, DJE de 28-6-2022.]</w:t>
      </w:r>
    </w:p>
    <w:p>
      <w:pPr>
        <w:ind w:left="288"/>
      </w:pPr>
      <w:r>
        <w:rPr>
          <w:color w:val="8C8C8C"/>
          <w:sz w:val="12"/>
        </w:rPr>
        <w:t>cf-art-75</w:t>
      </w:r>
      <w:r>
        <w:rPr>
          <w:color w:val="003CA0"/>
          <w:sz w:val="12"/>
        </w:rPr>
        <w:t xml:space="preserve"> | ADI 5.384</w:t>
      </w:r>
      <w:r>
        <w:rPr>
          <w:color w:val="003CA0"/>
          <w:sz w:val="12"/>
        </w:rPr>
        <w:t xml:space="preserve"> | rel. Alexandre de Moraes</w:t>
      </w:r>
    </w:p>
    <w:p>
      <w:pPr>
        <w:ind w:left="288"/>
      </w:pPr>
      <w:r>
        <w:rPr>
          <w:color w:val="1E1E1E"/>
          <w:sz w:val="18"/>
        </w:rPr>
        <w:t>A edição de norma estadual, decorrente de emenda parlamentar, veiculadora de regras sobre prescrição e decadência aplicável no âmbito de Tribunal de Contas estadual, não ofende a competência privativa desse para iniciar o processo legislativo a dispor sobre sua organização e funcionamento.</w:t>
      </w:r>
    </w:p>
    <w:p>
      <w:pPr>
        <w:ind w:left="288"/>
      </w:pPr>
      <w:r>
        <w:rPr>
          <w:b/>
          <w:color w:val="003CA0"/>
          <w:sz w:val="16"/>
        </w:rPr>
        <w:t>[ADI 5.384, rel. min. Alexandre de Moraes, j. 30-5-2022, P, DJE de 10-8-2022.]</w:t>
      </w:r>
    </w:p>
    <w:p>
      <w:pPr>
        <w:ind w:left="288"/>
      </w:pPr>
      <w:r>
        <w:rPr>
          <w:color w:val="8C8C8C"/>
          <w:sz w:val="12"/>
        </w:rPr>
        <w:t>cf-art-75</w:t>
      </w:r>
      <w:r>
        <w:rPr>
          <w:color w:val="003CA0"/>
          <w:sz w:val="12"/>
        </w:rPr>
        <w:t xml:space="preserve"> | ADI 3.977</w:t>
      </w:r>
      <w:r>
        <w:rPr>
          <w:color w:val="003CA0"/>
          <w:sz w:val="12"/>
        </w:rPr>
        <w:t xml:space="preserve"> | rel. Marco Aurélio</w:t>
      </w:r>
    </w:p>
    <w:p>
      <w:pPr>
        <w:ind w:left="288"/>
      </w:pPr>
      <w:r>
        <w:rPr>
          <w:color w:val="1E1E1E"/>
          <w:sz w:val="18"/>
        </w:rPr>
        <w:t>Consideradas a autonomia e a independência asseguradas aos Tribunais de Contas pela Lei Maior, surge constitucional a limitação do padrão remuneratório dos auditores àqueles vinculados ao subsídio percebido por Conselheiro – cargo de maior hierarquia dentro dos órgãos.</w:t>
      </w:r>
    </w:p>
    <w:p>
      <w:pPr>
        <w:ind w:left="288"/>
      </w:pPr>
      <w:r>
        <w:rPr>
          <w:b/>
          <w:color w:val="003CA0"/>
          <w:sz w:val="16"/>
        </w:rPr>
        <w:t>[ADI 3.977, rel. min. Marco Aurélio, j. 10-10-2019, P, DJE de 10-3-2020.]</w:t>
      </w:r>
    </w:p>
    <w:p>
      <w:pPr>
        <w:ind w:left="288"/>
      </w:pPr>
      <w:r>
        <w:rPr>
          <w:color w:val="8C8C8C"/>
          <w:sz w:val="12"/>
        </w:rPr>
        <w:t>cf-art-75</w:t>
      </w:r>
      <w:r>
        <w:rPr>
          <w:color w:val="003CA0"/>
          <w:sz w:val="12"/>
        </w:rPr>
        <w:t xml:space="preserve"> | ADI 3.417</w:t>
      </w:r>
      <w:r>
        <w:rPr>
          <w:color w:val="003CA0"/>
          <w:sz w:val="12"/>
        </w:rPr>
        <w:t xml:space="preserve"> | rel. Cármen Lúcia</w:t>
      </w:r>
    </w:p>
    <w:p>
      <w:pPr>
        <w:ind w:left="288"/>
      </w:pPr>
      <w:r>
        <w:rPr>
          <w:color w:val="1E1E1E"/>
          <w:sz w:val="18"/>
        </w:rPr>
        <w:t>A aplicação subsidiária aos conselheiros do Tribunal de Contas do Distrito Federal das normas do regime jurídico dos servidores públicos desse órgão conduz à extensão indevida de vantagens não estabelecidas na Lei Orgânica da Magistratura e quebra da paridade determinada pela Constituição da República entre os membros do Tribunal de Contas e os magistrados, conforme previsão do § 3º do art. 73 e do art. 75 da Constituição da República.</w:t>
      </w:r>
    </w:p>
    <w:p>
      <w:pPr>
        <w:ind w:left="288"/>
      </w:pPr>
      <w:r>
        <w:rPr>
          <w:b/>
          <w:color w:val="003CA0"/>
          <w:sz w:val="16"/>
        </w:rPr>
        <w:t>[ADI 3.417, rel. min. Cármen Lúcia, j. 13-9-2019, P, DJE de 27-9-2019.]</w:t>
      </w:r>
    </w:p>
    <w:p>
      <w:pPr>
        <w:ind w:left="288"/>
      </w:pPr>
      <w:r>
        <w:rPr>
          <w:color w:val="8C8C8C"/>
          <w:sz w:val="12"/>
        </w:rPr>
        <w:t>cf-art-75</w:t>
      </w:r>
      <w:r>
        <w:rPr>
          <w:color w:val="003CA0"/>
          <w:sz w:val="12"/>
        </w:rPr>
        <w:t xml:space="preserve"> | ADI 4.643</w:t>
      </w:r>
      <w:r>
        <w:rPr>
          <w:color w:val="003CA0"/>
          <w:sz w:val="12"/>
        </w:rPr>
        <w:t xml:space="preserve"> | rel. Luiz Fux</w:t>
      </w:r>
    </w:p>
    <w:p>
      <w:pPr>
        <w:ind w:left="288"/>
      </w:pPr>
      <w:r>
        <w:rPr>
          <w:color w:val="1E1E1E"/>
          <w:sz w:val="18"/>
        </w:rPr>
        <w:t>A Lei Complementar 142/2011 do Estado do Rio de Janeiro, de origem parlamentar, ao alterar diversos dispositivos da Lei Orgânica do Tribunal de Contas do Estado do Rio de Janeiro, contrariou o disposto nos artigos 73, 75 e 96, II, d, da Constituição Federal, por dispor sobre forma de atuação, competências, garantias, deveres e organização do Tribunal de Contas estadual, matéria de iniciativa legislativa privativa daquela Corte. As Cortes de Contas do país, conforme reconhecido pela Constituição de 1988 e por esta Suprema Corte, gozam das prerrogativas da autonomia e do autogoverno, o que inclu</w:t>
      </w:r>
    </w:p>
    <w:p>
      <w:pPr>
        <w:ind w:left="288"/>
      </w:pPr>
      <w:r>
        <w:rPr>
          <w:b/>
          <w:color w:val="003CA0"/>
          <w:sz w:val="16"/>
        </w:rPr>
        <w:t>[ADI 4.643, rel. min. Luiz Fux, j. 15-5-2019, P, DJE de 3-6-2019.]</w:t>
      </w:r>
    </w:p>
    <w:p>
      <w:pPr>
        <w:ind w:left="288"/>
      </w:pPr>
      <w:r>
        <w:rPr>
          <w:color w:val="8C8C8C"/>
          <w:sz w:val="12"/>
        </w:rPr>
        <w:t>cf-art-75</w:t>
      </w:r>
      <w:r>
        <w:rPr>
          <w:color w:val="003CA0"/>
          <w:sz w:val="12"/>
        </w:rPr>
        <w:t xml:space="preserve"> | ADI 5.323</w:t>
      </w:r>
      <w:r>
        <w:rPr>
          <w:color w:val="003CA0"/>
          <w:sz w:val="12"/>
        </w:rPr>
        <w:t xml:space="preserve"> | rel. Rosa Weber</w:t>
      </w:r>
    </w:p>
    <w:p>
      <w:pPr>
        <w:ind w:left="288"/>
      </w:pPr>
      <w:r>
        <w:rPr>
          <w:color w:val="1E1E1E"/>
          <w:sz w:val="18"/>
        </w:rPr>
        <w:t>O art. 75, caput, da Constituição da República contempla comando expresso de espelhamento obrigatório, nos Estados, no Distrito Federal e nos Municípios, do modelo nela estabelecido de controle externo da higidez contábil, financeira e orçamentária dos atos administrativos, sendo materialmente inconstitucional a norma de regência da organização ou funcionamento de Tribunal de Contas estadual divorciada do modelo federal de controle externo das contas públicas.</w:t>
      </w:r>
    </w:p>
    <w:p>
      <w:pPr>
        <w:ind w:left="288"/>
      </w:pPr>
      <w:r>
        <w:rPr>
          <w:b/>
          <w:color w:val="003CA0"/>
          <w:sz w:val="16"/>
        </w:rPr>
        <w:t>[ADI 5.323, rel. min. Rosa Weber, j. 11-4-2019, P, DJE de 6-5-2019.]</w:t>
      </w:r>
    </w:p>
    <w:p>
      <w:pPr>
        <w:ind w:left="288"/>
      </w:pPr>
      <w:r>
        <w:rPr>
          <w:color w:val="8C8C8C"/>
          <w:sz w:val="12"/>
        </w:rPr>
        <w:t>cf-art-75</w:t>
      </w:r>
      <w:r>
        <w:rPr>
          <w:color w:val="003CA0"/>
          <w:sz w:val="12"/>
        </w:rPr>
        <w:t xml:space="preserve"> | ADI 825</w:t>
      </w:r>
      <w:r>
        <w:rPr>
          <w:color w:val="003CA0"/>
          <w:sz w:val="12"/>
        </w:rPr>
        <w:t xml:space="preserve"> | rel. Alexandre de Moraes</w:t>
      </w:r>
    </w:p>
    <w:p>
      <w:pPr>
        <w:ind w:left="288"/>
      </w:pPr>
      <w:r>
        <w:rPr>
          <w:color w:val="1E1E1E"/>
          <w:sz w:val="18"/>
        </w:rPr>
        <w:t>É inconstitucional a atribuição, aos Tribunais de Contas estaduais, de competência para homologação dos cálculos das cotas do ICMS devidas aos Municípios, por violação ao princípio da separação dos Poderes (art. 2º da CF), afastada a alegação de simetria com o modelo federal (arts. 75 e 161, parágrafo único, da CF).</w:t>
      </w:r>
    </w:p>
    <w:p>
      <w:pPr>
        <w:ind w:left="288"/>
      </w:pPr>
      <w:r>
        <w:rPr>
          <w:b/>
          <w:color w:val="003CA0"/>
          <w:sz w:val="16"/>
        </w:rPr>
        <w:t>[ADI 825, rel. min. Alexandre de Moraes, j. 25-10-2018, P, DJE de 27-6-2019.]</w:t>
      </w:r>
    </w:p>
    <w:p>
      <w:pPr>
        <w:ind w:left="288"/>
      </w:pPr>
      <w:r>
        <w:rPr>
          <w:color w:val="8C8C8C"/>
          <w:sz w:val="12"/>
        </w:rPr>
        <w:t>cf-art-75</w:t>
      </w:r>
      <w:r>
        <w:rPr>
          <w:color w:val="003CA0"/>
          <w:sz w:val="12"/>
        </w:rPr>
        <w:t xml:space="preserve"> | ADI 916</w:t>
      </w:r>
      <w:r>
        <w:rPr>
          <w:color w:val="003CA0"/>
          <w:sz w:val="12"/>
        </w:rPr>
        <w:t xml:space="preserve"> | rel. Joaquim Barbosa</w:t>
      </w:r>
    </w:p>
    <w:p>
      <w:pPr>
        <w:ind w:left="288"/>
      </w:pPr>
      <w:r>
        <w:rPr>
          <w:color w:val="1E1E1E"/>
          <w:sz w:val="18"/>
        </w:rPr>
        <w:t>Nos termos do art. 75 da Constituição, as normas relativas à organização e fiscalização do TCU se aplicam aos demais tribunais de contas. O art. 71 da Constituição não insere na competência do TCU a aptidão para examinar, previamente, a validade de contratos administrativos celebrados pelo poder público. Atividade que se insere no acervo de competência da função executiva. É inconstitucional norma local que estabeleça a competência do tribunal de contas para realizar exame prévio de validade de contratos firmados com o poder público.</w:t>
      </w:r>
    </w:p>
    <w:p>
      <w:pPr>
        <w:ind w:left="288"/>
      </w:pPr>
      <w:r>
        <w:rPr>
          <w:b/>
          <w:color w:val="003CA0"/>
          <w:sz w:val="16"/>
        </w:rPr>
        <w:t>[ADI 916, rel. min. Joaquim Barbosa, j. 2-2-2009, P, DJE de 6-3-2009.]</w:t>
      </w:r>
    </w:p>
    <w:p>
      <w:pPr>
        <w:ind w:left="288"/>
      </w:pPr>
      <w:r>
        <w:rPr>
          <w:color w:val="8C8C8C"/>
          <w:sz w:val="12"/>
        </w:rPr>
        <w:t>cf-art-75</w:t>
      </w:r>
      <w:r>
        <w:rPr>
          <w:color w:val="003CA0"/>
          <w:sz w:val="12"/>
        </w:rPr>
        <w:t xml:space="preserve"> | ADI 3.688</w:t>
      </w:r>
      <w:r>
        <w:rPr>
          <w:color w:val="003CA0"/>
          <w:sz w:val="12"/>
        </w:rPr>
        <w:t xml:space="preserve"> | rel. Joaquim Barbosa</w:t>
      </w:r>
    </w:p>
    <w:p>
      <w:pPr>
        <w:ind w:left="288"/>
      </w:pPr>
      <w:r>
        <w:rPr>
          <w:color w:val="1E1E1E"/>
          <w:sz w:val="18"/>
        </w:rPr>
        <w:t>Lei do Estado de Pernambuco que prevê que a escolha de membros indicados para o Tribunal de Contas do Estado será feita do seguinte modo: as três primeiras pela Assembleia Legislativa e as três seguintes pelo governador. A aplicação pura e simples do critério cronológico permite que vagas ocupadas originalmente por membros indicados pela Assembleia Legislativa sejam posteriormente ocupadas por membros indicados pelo governador, ferindo assim o entendimento desta Corte, exposto na Súmula 653, de que nos tribunais de contas estaduais que contêm 7 membros, a seguinte proporção deverá ser respeita</w:t>
      </w:r>
    </w:p>
    <w:p>
      <w:pPr>
        <w:ind w:left="288"/>
      </w:pPr>
      <w:r>
        <w:rPr>
          <w:b/>
          <w:color w:val="003CA0"/>
          <w:sz w:val="16"/>
        </w:rPr>
        <w:t>[ADI 3.688, rel. min. Joaquim Barbosa, j. 11-6-2007, P, DJ de 24-8-2007.]</w:t>
      </w:r>
    </w:p>
    <w:p>
      <w:pPr>
        <w:ind w:left="288"/>
      </w:pPr>
      <w:r>
        <w:rPr>
          <w:color w:val="8C8C8C"/>
          <w:sz w:val="12"/>
        </w:rPr>
        <w:t>cf-art-75</w:t>
      </w:r>
      <w:r>
        <w:rPr>
          <w:color w:val="003CA0"/>
          <w:sz w:val="12"/>
        </w:rPr>
        <w:t xml:space="preserve"> | ADI 1.957</w:t>
      </w:r>
      <w:r>
        <w:rPr>
          <w:color w:val="003CA0"/>
          <w:sz w:val="12"/>
        </w:rPr>
        <w:t xml:space="preserve"> | rel. Gilmar Mendes</w:t>
      </w:r>
    </w:p>
    <w:p>
      <w:pPr>
        <w:ind w:left="288"/>
      </w:pPr>
      <w:r>
        <w:rPr>
          <w:color w:val="1E1E1E"/>
          <w:sz w:val="18"/>
        </w:rPr>
        <w:t>= ADI 1.957, rel. min. Gilmar Mendes, j. 1º-9-2010, P, DJE de 22-10-2010 Não ofende a Constituição o estabelecimento, pela constituição estadual, da precedência da indicação feita por um dos Poderes sobre a do outro (v.g., ADI 419, Rezek, DJ de 24-11-1995; ADI 1.068, Rezek, DJ de 24-11-1995; ADI 585, Ilmar, DJ de 2-9-1994). Entretanto, no caso da composição dos tribunais de contas paraenses, a situação atual, marcada com indicações feitas sob quadros normativos diferentes, necessita de ajuste para se aproximar do desenho institucional dado pela Constituição. "Na solução dos problemas de transi</w:t>
      </w:r>
    </w:p>
    <w:p>
      <w:pPr>
        <w:ind w:left="288"/>
      </w:pPr>
      <w:r>
        <w:rPr>
          <w:b/>
          <w:color w:val="003CA0"/>
          <w:sz w:val="16"/>
        </w:rPr>
        <w:t>[ADI 3.255, rel. min. Sepúlveda Pertence, j. 22-6-2006, P, DJ de 7-12-2007.]</w:t>
      </w:r>
    </w:p>
    <w:p>
      <w:pPr>
        <w:ind w:left="288"/>
      </w:pPr>
      <w:r>
        <w:rPr>
          <w:color w:val="8C8C8C"/>
          <w:sz w:val="12"/>
        </w:rPr>
        <w:t>cf-art-75</w:t>
      </w:r>
      <w:r>
        <w:rPr>
          <w:color w:val="003CA0"/>
          <w:sz w:val="12"/>
        </w:rPr>
        <w:t xml:space="preserve"> | ADI 1.957</w:t>
      </w:r>
      <w:r>
        <w:rPr>
          <w:color w:val="003CA0"/>
          <w:sz w:val="12"/>
        </w:rPr>
        <w:t xml:space="preserve"> | rel. Gilmar Mendes</w:t>
      </w:r>
    </w:p>
    <w:p>
      <w:pPr>
        <w:ind w:left="288"/>
      </w:pPr>
      <w:r>
        <w:rPr>
          <w:color w:val="1E1E1E"/>
          <w:sz w:val="18"/>
        </w:rPr>
        <w:t>= ADI 1.957, rel. min. Gilmar Mendes, j. 1º-9-2010, P, DJE de 22-10-2010 Impossibilidade de procuradores de justiça do Estado do Espírito Santo atuarem junto à corte de contas estadual, em substituição aos membros do Ministério Público especial. Esta Corte entende que somente o Ministério Público especial tem legitimidade para atuar junto aos tribunais de contas dos Estados e que a organização e composição dos tribunais de contas estaduais estão sujeitas ao modelo jurídico estabelecido pela Constituição do Brasil (art. 75). (...) É inconstitucional o texto normativo que prevê a possibilidade d</w:t>
      </w:r>
    </w:p>
    <w:p>
      <w:pPr>
        <w:ind w:left="288"/>
      </w:pPr>
      <w:r>
        <w:rPr>
          <w:b/>
          <w:color w:val="003CA0"/>
          <w:sz w:val="16"/>
        </w:rPr>
        <w:t>[ADI 3.192, rel. min. Eros Grau, j. 24-5-2006, P, DJ de 18-8-2006.]</w:t>
      </w:r>
    </w:p>
    <w:p>
      <w:pPr>
        <w:ind w:left="288"/>
      </w:pPr>
      <w:r>
        <w:rPr>
          <w:color w:val="8C8C8C"/>
          <w:sz w:val="12"/>
        </w:rPr>
        <w:t>cf-art-75</w:t>
      </w:r>
      <w:r>
        <w:rPr>
          <w:color w:val="003CA0"/>
          <w:sz w:val="12"/>
        </w:rPr>
        <w:t xml:space="preserve"> | ADI 3.307</w:t>
      </w:r>
      <w:r>
        <w:rPr>
          <w:color w:val="003CA0"/>
          <w:sz w:val="12"/>
        </w:rPr>
        <w:t xml:space="preserve"> | rel. Cármen Lúcia</w:t>
      </w:r>
    </w:p>
    <w:p>
      <w:pPr>
        <w:ind w:left="288"/>
      </w:pPr>
      <w:r>
        <w:rPr>
          <w:color w:val="1E1E1E"/>
          <w:sz w:val="18"/>
        </w:rPr>
        <w:t>= ADI 3.307, rel. min. Cármen Lúcia, j. 2-2-2009, P, DJE de 29-5-2009 A nomeação livre dos membros do tribunal de contas do Estado e do tribunal de contas dos Municípios pelo governador dar-se-á nos termos do art. 75 da Constituição do Brasil, não devendo alongar-se de maneira a abranger também as vagas que a Constituição destinou aos membros do Ministério Público e aos auditores. (...) O preceito veiculado pelo art. 73 da Constituição do Brasil aplica-se, no que couber, à organização, composição e fiscalização dos tribunais de contas dos Estados e do Distrito Federal, bem como dos tribunais e</w:t>
      </w:r>
    </w:p>
    <w:p>
      <w:pPr>
        <w:ind w:left="288"/>
      </w:pPr>
      <w:r>
        <w:rPr>
          <w:b/>
          <w:color w:val="003CA0"/>
          <w:sz w:val="16"/>
        </w:rPr>
        <w:t>[ADI 3.276, rel. min. Eros Grau, j. 2-6-2005, P, DJ de 1º-2-2008.]</w:t>
      </w:r>
    </w:p>
    <w:p>
      <w:pPr>
        <w:ind w:left="288"/>
      </w:pPr>
      <w:r>
        <w:rPr>
          <w:color w:val="8C8C8C"/>
          <w:sz w:val="12"/>
        </w:rPr>
        <w:t>cf-art-75</w:t>
      </w:r>
      <w:r>
        <w:rPr>
          <w:color w:val="003CA0"/>
          <w:sz w:val="12"/>
        </w:rPr>
        <w:t xml:space="preserve"> | ADI 374</w:t>
      </w:r>
      <w:r>
        <w:rPr>
          <w:color w:val="003CA0"/>
          <w:sz w:val="12"/>
        </w:rPr>
        <w:t xml:space="preserve"> | rel. Dias Toffoli</w:t>
      </w:r>
    </w:p>
    <w:p>
      <w:pPr>
        <w:ind w:left="288"/>
      </w:pPr>
      <w:r>
        <w:rPr>
          <w:color w:val="1E1E1E"/>
          <w:sz w:val="18"/>
        </w:rPr>
        <w:t>= ADI 374, rel. min. Dias Toffoli, j. 22-3-2012, P, DJE de 21-8-2014 Competência exclusiva da Assembleia Legislativa para julgar anualmente as contas do Tribunal de Contas do Estado do Pará. Prestação de contas pelo Tribunal de Justiça paraense à Assembleia Legislativa no prazo de sessenta dias contados da abertura da sessão legislativa. Alegação de violação do disposto nos art. 71, I e II, e 75, da Constituição do Brasil. Inocorrência. A Constituição do Brasil de 1988, ao tratar de fiscalização contábil, financeira e orçamentária, prevê o controle externo a ser exercido pelo Congresso Naciona</w:t>
      </w:r>
    </w:p>
    <w:p>
      <w:pPr>
        <w:ind w:left="288"/>
      </w:pPr>
      <w:r>
        <w:rPr>
          <w:b/>
          <w:color w:val="003CA0"/>
          <w:sz w:val="16"/>
        </w:rPr>
        <w:t>[ADI 2.597, red. do ac. min. Eros Grau, j. 4-8-2004, P, DJ de 17-8-2007.]</w:t>
      </w:r>
    </w:p>
    <w:p>
      <w:pPr>
        <w:ind w:left="288"/>
      </w:pPr>
      <w:r>
        <w:rPr>
          <w:color w:val="8C8C8C"/>
          <w:sz w:val="12"/>
        </w:rPr>
        <w:t>cf-art-75</w:t>
      </w:r>
      <w:r>
        <w:rPr>
          <w:color w:val="003CA0"/>
          <w:sz w:val="12"/>
        </w:rPr>
        <w:t xml:space="preserve"> | ADI 1.175</w:t>
      </w:r>
    </w:p>
    <w:p>
      <w:pPr>
        <w:ind w:left="288"/>
      </w:pPr>
      <w:r>
        <w:rPr>
          <w:color w:val="1E1E1E"/>
          <w:sz w:val="18"/>
        </w:rPr>
        <w:t>Surge harmônico com a CF diploma revelador do controle pelo Legislativo das contas dos órgãos que o auxiliam, ou seja, dos tribunais de contas.</w:t>
      </w:r>
    </w:p>
    <w:p>
      <w:pPr>
        <w:ind w:left="288"/>
      </w:pPr>
      <w:r>
        <w:rPr>
          <w:b/>
          <w:color w:val="003CA0"/>
          <w:sz w:val="16"/>
        </w:rPr>
        <w:t>[ADI 1.175, red. do ac. min. Marco Aurélio, j. 4-8-2004, P, DJ de 19-12-2006.]</w:t>
      </w:r>
    </w:p>
    <w:p>
      <w:pPr>
        <w:ind w:left="288"/>
      </w:pPr>
      <w:r>
        <w:rPr>
          <w:color w:val="8C8C8C"/>
          <w:sz w:val="12"/>
        </w:rPr>
        <w:t>cf-art-75</w:t>
      </w:r>
      <w:r>
        <w:rPr>
          <w:color w:val="003CA0"/>
          <w:sz w:val="12"/>
        </w:rPr>
        <w:t xml:space="preserve"> | RE 97.858</w:t>
      </w:r>
    </w:p>
    <w:p>
      <w:pPr>
        <w:ind w:left="288"/>
      </w:pPr>
      <w:r>
        <w:rPr>
          <w:color w:val="1E1E1E"/>
          <w:sz w:val="18"/>
        </w:rPr>
        <w:t>Inexistência de violação ao princípio da simetria pelo disposto no art. 74, § 1º, da Constituição estadual, uma vez que a necessária correlação de vencimentos dos conselheiros do tribunal de contas se dá em relação aos desembargadores do tribunal de justiça. Precedente: RE 97.858, Néri da Silveira, DJ de 15-6-1984.</w:t>
      </w:r>
    </w:p>
    <w:p>
      <w:pPr>
        <w:ind w:left="288"/>
      </w:pPr>
      <w:r>
        <w:rPr>
          <w:b/>
          <w:color w:val="003CA0"/>
          <w:sz w:val="16"/>
        </w:rPr>
        <w:t>[ADI 396, red. do ac. min. Gilmar Mendes, j. 27-5-2004, P, DJ de 5-8-2005.]</w:t>
      </w:r>
    </w:p>
    <w:p>
      <w:pPr>
        <w:ind w:left="288"/>
      </w:pPr>
      <w:r>
        <w:rPr>
          <w:color w:val="8C8C8C"/>
          <w:sz w:val="12"/>
        </w:rPr>
        <w:t>cf-art-75</w:t>
      </w:r>
      <w:r>
        <w:rPr>
          <w:color w:val="003CA0"/>
          <w:sz w:val="12"/>
        </w:rPr>
        <w:t xml:space="preserve"> | ADI 2.378</w:t>
      </w:r>
      <w:r>
        <w:rPr>
          <w:color w:val="003CA0"/>
          <w:sz w:val="12"/>
        </w:rPr>
        <w:t xml:space="preserve"> | rel. Maurício Corrêa</w:t>
      </w:r>
    </w:p>
    <w:p>
      <w:pPr>
        <w:ind w:left="288"/>
      </w:pPr>
      <w:r>
        <w:rPr>
          <w:color w:val="1E1E1E"/>
          <w:sz w:val="18"/>
        </w:rPr>
        <w:t xml:space="preserve">O Ministério Público especial junto aos tribunais de contas estaduais não dispõe das garantias institucionais pertinentes ao Ministério Público comum dos Estados-membros, notadamente daquelas prerrogativas que concernem à autonomia administrativa e financeira dessa instituição, ao processo de escolha, nomeação e destituição de seu titular e ao poder de iniciativa dos projetos de lei relativos à sua organização. Precedentes. A cláusula de garantia inscrita no art. 130 da Constituição – que não outorgou, ao Ministério Público especial, as mesmas prerrogativas e atributos de autonomia conferidos </w:t>
      </w:r>
    </w:p>
    <w:p>
      <w:pPr>
        <w:ind w:left="288"/>
      </w:pPr>
      <w:r>
        <w:rPr>
          <w:b/>
          <w:color w:val="003CA0"/>
          <w:sz w:val="16"/>
        </w:rPr>
        <w:t>[ADI 2.378, red. do ac. min. Celso de Mello, rel. min. Maurício Corrêa, j. 19-5-2004, P, DJ de 6-9-2007.]</w:t>
      </w:r>
    </w:p>
    <w:p>
      <w:pPr>
        <w:ind w:left="288"/>
      </w:pPr>
      <w:r>
        <w:rPr>
          <w:color w:val="8C8C8C"/>
          <w:sz w:val="12"/>
        </w:rPr>
        <w:t>cf-art-75</w:t>
      </w:r>
      <w:r>
        <w:rPr>
          <w:color w:val="003CA0"/>
          <w:sz w:val="12"/>
        </w:rPr>
        <w:t xml:space="preserve"> | ADI 461</w:t>
      </w:r>
      <w:r>
        <w:rPr>
          <w:color w:val="003CA0"/>
          <w:sz w:val="12"/>
        </w:rPr>
        <w:t xml:space="preserve"> | rel. Carlos Velloso</w:t>
      </w:r>
    </w:p>
    <w:p>
      <w:pPr>
        <w:ind w:left="288"/>
      </w:pPr>
      <w:r>
        <w:rPr>
          <w:color w:val="1E1E1E"/>
          <w:sz w:val="18"/>
        </w:rPr>
        <w:t>Inclusão, na Constituição baiana, art. 80, das isenções fiscais, como objetivo da fiscalização por parte do Tribunal de Contas do Estado e bem assim a outorga ao Tribunal de Contas da competência para julgar recursos de decisão denegatória de pensão (Constituição baiana, art. 95, I, b): inconstitucionalidade, dado que citados dispositivos são ofensivos à norma dos arts. 70 e 71, III, CF, aplicáveis aos tribunais de contas dos Estados, ex vi do disposto no art. 75, CF.</w:t>
      </w:r>
    </w:p>
    <w:p>
      <w:pPr>
        <w:ind w:left="288"/>
      </w:pPr>
      <w:r>
        <w:rPr>
          <w:b/>
          <w:color w:val="003CA0"/>
          <w:sz w:val="16"/>
        </w:rPr>
        <w:t>[ADI 461, rel. min. Carlos Velloso, j. 8-8-2002, P, DJ de 6-9-2002.]</w:t>
      </w:r>
    </w:p>
    <w:p>
      <w:pPr>
        <w:ind w:left="144"/>
      </w:pPr>
      <w:r>
        <w:rPr>
          <w:b/>
          <w:color w:val="B45A00"/>
          <w:sz w:val="16"/>
        </w:rPr>
        <w:t>REPERCUSSAO GERAL</w:t>
      </w:r>
    </w:p>
    <w:p>
      <w:pPr>
        <w:ind w:left="288"/>
      </w:pPr>
      <w:r>
        <w:rPr>
          <w:color w:val="8C8C8C"/>
          <w:sz w:val="12"/>
        </w:rPr>
        <w:t>cf-art-75</w:t>
      </w:r>
      <w:r>
        <w:rPr>
          <w:color w:val="003CA0"/>
          <w:sz w:val="12"/>
        </w:rPr>
        <w:t xml:space="preserve"> | RE 576.920</w:t>
      </w:r>
      <w:r>
        <w:rPr>
          <w:color w:val="003CA0"/>
          <w:sz w:val="12"/>
        </w:rPr>
        <w:t xml:space="preserve"> | rel. Edson Fachin</w:t>
      </w:r>
    </w:p>
    <w:p>
      <w:pPr>
        <w:ind w:left="288"/>
      </w:pPr>
      <w:r>
        <w:rPr>
          <w:color w:val="1E1E1E"/>
          <w:sz w:val="18"/>
        </w:rPr>
        <w:t>A competência técnica do Tribunal de Contas do Estado, ao negar registro de admissão de pessoal, não se subordina à revisão pelo Poder Legislativo respectivo.</w:t>
      </w:r>
    </w:p>
    <w:p>
      <w:pPr>
        <w:ind w:left="288"/>
      </w:pPr>
      <w:r>
        <w:rPr>
          <w:b/>
          <w:color w:val="003CA0"/>
          <w:sz w:val="16"/>
        </w:rPr>
        <w:t>[RE 576.920, rel. min. Edson Fachin, j. 20-4-2020, P, DJE de 9-11-2020, Tema 47, com mérito julgado.]</w:t>
      </w:r>
    </w:p>
    <w:p>
      <w:pPr>
        <w:ind w:left="288"/>
      </w:pPr>
      <w:r>
        <w:rPr>
          <w:color w:val="8C8C8C"/>
          <w:sz w:val="12"/>
        </w:rPr>
        <w:t>cf-art-75</w:t>
      </w:r>
      <w:r>
        <w:rPr>
          <w:color w:val="003CA0"/>
          <w:sz w:val="12"/>
        </w:rPr>
        <w:t xml:space="preserve"> | RE 223.037</w:t>
      </w:r>
      <w:r>
        <w:rPr>
          <w:color w:val="003CA0"/>
          <w:sz w:val="12"/>
        </w:rPr>
        <w:t xml:space="preserve"> | rel. Maurício Corrêa</w:t>
      </w:r>
    </w:p>
    <w:p>
      <w:pPr>
        <w:ind w:left="288"/>
      </w:pPr>
      <w:r>
        <w:rPr>
          <w:color w:val="1E1E1E"/>
          <w:sz w:val="18"/>
        </w:rPr>
        <w:t>A questão constitucional discutida nos autos é a possibilidade de execução das decisões de condenação patrimonial proferidas pelos tribunais de contas por iniciativa do Ministério Público, atuante ou não junto às cortes de contas, seja federal, seja estadual. (...) a jurisprudência pacificada do STF firmou-se no sentido de que a referida ação de execução pode ser proposta tão somente pelo ente público beneficiário da condenação imposta pelos tribunais de contas. (...) Por conseguinte, é ausente a legitimidade ativa do Parquet. Na espécie, não se comporta interpretação ampliativa do art. 129, I</w:t>
      </w:r>
    </w:p>
    <w:p>
      <w:pPr>
        <w:ind w:left="288"/>
      </w:pPr>
      <w:r>
        <w:rPr>
          <w:b/>
          <w:color w:val="003CA0"/>
          <w:sz w:val="16"/>
        </w:rPr>
        <w:t>[ARE 823.347 RG, voto do rel. min. Gilmar Mendes, j. 2-10-2014, P, DJE de 28-10-2014, Tema 768, com mérito julgado.]</w:t>
      </w:r>
    </w:p>
    <w:p>
      <w:pPr>
        <w:ind w:left="144"/>
      </w:pPr>
      <w:r>
        <w:rPr>
          <w:b/>
          <w:color w:val="B45A00"/>
          <w:sz w:val="16"/>
        </w:rPr>
        <w:t>JULGADOS CORRELATOS</w:t>
      </w:r>
    </w:p>
    <w:p>
      <w:pPr>
        <w:ind w:left="288"/>
      </w:pPr>
      <w:r>
        <w:rPr>
          <w:color w:val="8C8C8C"/>
          <w:sz w:val="12"/>
        </w:rPr>
        <w:t>cf-art-75</w:t>
      </w:r>
      <w:r>
        <w:rPr>
          <w:color w:val="003CA0"/>
          <w:sz w:val="12"/>
        </w:rPr>
        <w:t xml:space="preserve"> | INQ 4.954</w:t>
      </w:r>
      <w:r>
        <w:rPr>
          <w:color w:val="003CA0"/>
          <w:sz w:val="12"/>
        </w:rPr>
        <w:t xml:space="preserve"> | rel. Alexandre de Moraes</w:t>
      </w:r>
    </w:p>
    <w:p>
      <w:pPr>
        <w:ind w:left="288"/>
      </w:pPr>
      <w:r>
        <w:rPr>
          <w:color w:val="1E1E1E"/>
          <w:sz w:val="18"/>
        </w:rPr>
        <w:t>São conferidas as mesmas prerrogativas dos integrantes da magistratura (arts. 73, § 3º, e 75 da Constituição) aos membros dos Tribunais de Contas Estaduais, dentre as quais a de ser recolhido em prisão especial ou em sala de Estado-Maior (art. 33, III, da LOMAN).</w:t>
        <w:br/>
        <w:t>[Inq 4.954 AgR-quarto, rel. min. Alexandre de Moraes, j. 07.10.2024, 1ª T, DJE de 09.10.2024.] É possível a comprovação, pelo Estado, da observância do limite de gastos com pessoal, mediante decisão do Tribunal de Contas local, visando a concessão, pela União, de garantia em empréstimos contratados com instituições financeiras naciona</w:t>
      </w:r>
    </w:p>
    <w:p>
      <w:pPr>
        <w:ind w:left="288"/>
      </w:pPr>
      <w:r>
        <w:rPr>
          <w:b/>
          <w:color w:val="003CA0"/>
          <w:sz w:val="16"/>
        </w:rPr>
        <w:t>[SS 4.580, rel. min. Cezar Peluso, j. 2-3-2012, dec. monocrática, DJE de 13-3-2012.]</w:t>
      </w:r>
    </w:p>
    <w:p>
      <w:pPr>
        <w:ind w:left="288"/>
      </w:pPr>
      <w:r>
        <w:rPr>
          <w:color w:val="8C8C8C"/>
          <w:sz w:val="12"/>
        </w:rPr>
        <w:t>cf-art-75</w:t>
      </w:r>
      <w:r>
        <w:rPr>
          <w:color w:val="003CA0"/>
          <w:sz w:val="12"/>
        </w:rPr>
        <w:t xml:space="preserve"> | RE 213.461</w:t>
      </w:r>
      <w:r>
        <w:rPr>
          <w:color w:val="003CA0"/>
          <w:sz w:val="12"/>
        </w:rPr>
        <w:t xml:space="preserve"> | rel. Octavio Galloti</w:t>
      </w:r>
    </w:p>
    <w:p>
      <w:pPr>
        <w:ind w:left="288"/>
      </w:pPr>
      <w:r>
        <w:rPr>
          <w:color w:val="1E1E1E"/>
          <w:sz w:val="18"/>
        </w:rPr>
        <w:t>Serventuário da Justiça titular de serventia extrajudicial. Concessão de "gratificação de assiduidade" e de "adicional por tempo de serviço", próprios dos servidores públicos. Impossibilidade de tal extensão, diante da Súmula 339 desta Corte. Reconhecimento da competência do tribunal de contas do Estado para recusar o registro desses benefícios, diante do que dispõem os art. 71, III, e 75 da CF.</w:t>
      </w:r>
    </w:p>
    <w:p>
      <w:pPr>
        <w:ind w:left="288"/>
      </w:pPr>
      <w:r>
        <w:rPr>
          <w:b/>
          <w:color w:val="003CA0"/>
          <w:sz w:val="16"/>
        </w:rPr>
        <w:t>[RE 213.461, rel. min. Octavio Galloti, j. 18-4-2000, 1ª T, DJ de 26-5-2000.]</w:t>
      </w:r>
    </w:p>
    <w:p>
      <w:pPr>
        <w:ind w:left="288"/>
      </w:pPr>
      <w:r>
        <w:rPr>
          <w:color w:val="8C8C8C"/>
          <w:sz w:val="12"/>
        </w:rPr>
        <w:t>cf-art-75</w:t>
      </w:r>
      <w:r>
        <w:rPr>
          <w:color w:val="003CA0"/>
          <w:sz w:val="12"/>
        </w:rPr>
        <w:t xml:space="preserve"> | AR 2.279</w:t>
      </w:r>
      <w:r>
        <w:rPr>
          <w:color w:val="003CA0"/>
          <w:sz w:val="12"/>
        </w:rPr>
        <w:t xml:space="preserve"> | rel. Ricardo Lewandowski</w:t>
      </w:r>
    </w:p>
    <w:p>
      <w:pPr>
        <w:ind w:left="288"/>
      </w:pPr>
      <w:r>
        <w:rPr>
          <w:color w:val="1E1E1E"/>
          <w:sz w:val="18"/>
        </w:rPr>
        <w:t>= AR 2.279 AgR, rel. min. Ricardo Lewandowski, j. 27-2-2014, DJE de 21-3-2014 Parágrafo único. As Constituições estaduais disporão sobre os Tribunais de Contas respectivos, que serão integrados por sete Conselheiros.</w:t>
      </w:r>
    </w:p>
    <w:p>
      <w:pPr>
        <w:ind w:left="144"/>
      </w:pPr>
      <w:r>
        <w:rPr>
          <w:b/>
          <w:color w:val="B45A00"/>
          <w:sz w:val="16"/>
        </w:rPr>
        <w:t>SUMULA</w:t>
      </w:r>
    </w:p>
    <w:p>
      <w:pPr>
        <w:ind w:left="288"/>
      </w:pPr>
      <w:r>
        <w:rPr>
          <w:color w:val="8C8C8C"/>
          <w:sz w:val="12"/>
        </w:rPr>
        <w:t>cf-art-75</w:t>
      </w:r>
    </w:p>
    <w:p>
      <w:pPr>
        <w:ind w:left="288"/>
      </w:pPr>
      <w:r>
        <w:rPr>
          <w:color w:val="1E1E1E"/>
          <w:sz w:val="18"/>
        </w:rPr>
        <w:t>No tribunal de contas estadual, composto por sete conselheiros, quatro devem ser escolhidos pela assembleia legislativa e três pelo chefe do Poder Executivo estadual, cabendo a este indicar um dentre auditores e outro dentre membros do Ministério Público, e um terceiro à sua livre escolha.</w:t>
      </w:r>
    </w:p>
    <w:p>
      <w:pPr>
        <w:ind w:left="288"/>
      </w:pPr>
      <w:r>
        <w:rPr>
          <w:b/>
          <w:color w:val="003CA0"/>
          <w:sz w:val="16"/>
        </w:rPr>
        <w:t>[Súmula 653.]</w:t>
      </w:r>
    </w:p>
    <w:p>
      <w:pPr>
        <w:ind w:left="288"/>
      </w:pPr>
      <w:r>
        <w:rPr>
          <w:color w:val="8C8C8C"/>
          <w:sz w:val="12"/>
        </w:rPr>
        <w:t>cf-art-75</w:t>
      </w:r>
      <w:r>
        <w:rPr>
          <w:color w:val="003CA0"/>
          <w:sz w:val="12"/>
        </w:rPr>
        <w:t xml:space="preserve"> | ADI 4.964</w:t>
      </w:r>
      <w:r>
        <w:rPr>
          <w:color w:val="003CA0"/>
          <w:sz w:val="12"/>
        </w:rPr>
        <w:t xml:space="preserve"> | rel. Nunes Marques</w:t>
      </w:r>
    </w:p>
    <w:p>
      <w:pPr>
        <w:ind w:left="288"/>
      </w:pPr>
      <w:r>
        <w:rPr>
          <w:color w:val="1E1E1E"/>
          <w:sz w:val="18"/>
        </w:rPr>
        <w:t>É constitucional a previsão de dupla deliberação pela Assembleia Legislativa para escolha de conselheiro do Tribunal de Contas, por encontrar-se albergada na margem de conformação permitida ao constituinte estadual quanto à disciplina do procedimento.</w:t>
      </w:r>
    </w:p>
    <w:p>
      <w:pPr>
        <w:ind w:left="288"/>
      </w:pPr>
      <w:r>
        <w:rPr>
          <w:b/>
          <w:color w:val="003CA0"/>
          <w:sz w:val="16"/>
        </w:rPr>
        <w:t>[ADI 4.964, rel. min. Nunes Marques, j. 16.12.2024, P, DJE de 06.02.2025.]</w:t>
      </w:r>
    </w:p>
    <w:p>
      <w:pPr>
        <w:ind w:left="144"/>
      </w:pPr>
      <w:r>
        <w:rPr>
          <w:b/>
          <w:color w:val="B45A00"/>
          <w:sz w:val="16"/>
        </w:rPr>
        <w:t>CONTROLE CONCENTRADO</w:t>
      </w:r>
    </w:p>
    <w:p>
      <w:pPr>
        <w:ind w:left="288"/>
      </w:pPr>
      <w:r>
        <w:rPr>
          <w:color w:val="8C8C8C"/>
          <w:sz w:val="12"/>
        </w:rPr>
        <w:t>cf-art-75</w:t>
      </w:r>
      <w:r>
        <w:rPr>
          <w:color w:val="003CA0"/>
          <w:sz w:val="12"/>
        </w:rPr>
        <w:t xml:space="preserve"> | ADI 397</w:t>
      </w:r>
      <w:r>
        <w:rPr>
          <w:color w:val="003CA0"/>
          <w:sz w:val="12"/>
        </w:rPr>
        <w:t xml:space="preserve"> | rel. Eros Grau</w:t>
      </w:r>
    </w:p>
    <w:p>
      <w:pPr>
        <w:ind w:left="288"/>
      </w:pPr>
      <w:r>
        <w:rPr>
          <w:color w:val="1E1E1E"/>
          <w:sz w:val="18"/>
        </w:rPr>
        <w:t>Nos termos do Enunciado 653 da Súmula desta Corte, nos tribunais de contas estaduais, compostos por sete conselheiros, três deles serão escolhidos pelo governador do Estado, cabendo-lhe indicar um entre auditores e outro entre membros do Ministério Público especial, o terceiro sendo da sua livre escolha. Os demais são escolhidos pela assembleia legislativa. Quanto aos dois primeiros, apenas os auditores e membros do Ministério Público junto ao tribunal de contas podem figurar entre os possíveis conselheiros.</w:t>
      </w:r>
    </w:p>
    <w:p>
      <w:pPr>
        <w:ind w:left="288"/>
      </w:pPr>
      <w:r>
        <w:rPr>
          <w:b/>
          <w:color w:val="003CA0"/>
          <w:sz w:val="16"/>
        </w:rPr>
        <w:t>[ADI 397, rel. min. Eros Grau, j. 3-8-2005, P, DJ de 9-12-2005.]</w:t>
      </w:r>
    </w:p>
    <w:p>
      <w:pPr>
        <w:ind w:left="288"/>
      </w:pPr>
      <w:r>
        <w:rPr>
          <w:color w:val="8C8C8C"/>
          <w:sz w:val="12"/>
        </w:rPr>
        <w:t>cf-art-75</w:t>
      </w:r>
      <w:r>
        <w:rPr>
          <w:color w:val="003CA0"/>
          <w:sz w:val="12"/>
        </w:rPr>
        <w:t xml:space="preserve"> | RE 634.891</w:t>
      </w:r>
      <w:r>
        <w:rPr>
          <w:color w:val="003CA0"/>
          <w:sz w:val="12"/>
        </w:rPr>
        <w:t xml:space="preserve"> | rel. Cármen Lúcia</w:t>
      </w:r>
    </w:p>
    <w:p>
      <w:pPr>
        <w:ind w:left="288"/>
      </w:pPr>
      <w:r>
        <w:rPr>
          <w:color w:val="1E1E1E"/>
          <w:sz w:val="18"/>
        </w:rPr>
        <w:t>= RE 634.891 AgR, rel. min. Cármen Lúcia, j. 21-6-2011, 1ª T, DJE de 1º-8-2011 (...) é pacífica a jurisprudência do Plenário, no sentido de que, nos tribunais de contas, compostos por sete membros, três devem ser nomeados pelo governador (um dentre membros do Ministério Público, um dentre auditores, e um de livre escolha) e quatro pela assembleia legislativa. Só assim se pode conciliar o disposto nos arts. 73, § 2º, I e II, e 75 da CF.</w:t>
      </w:r>
    </w:p>
    <w:p>
      <w:pPr>
        <w:ind w:left="288"/>
      </w:pPr>
      <w:r>
        <w:rPr>
          <w:b/>
          <w:color w:val="003CA0"/>
          <w:sz w:val="16"/>
        </w:rPr>
        <w:t>[ADI 2.502 MC, rel. min. Sydney Sanches, j. 3-10-2001, P, DJ de14-12-2001.]</w:t>
      </w:r>
    </w:p>
    <w:p>
      <w:pPr>
        <w:ind w:left="144"/>
      </w:pPr>
      <w:r>
        <w:rPr>
          <w:b/>
          <w:color w:val="B45A00"/>
          <w:sz w:val="16"/>
        </w:rPr>
        <w:t>REPERCUSSAO GERAL</w:t>
      </w:r>
    </w:p>
    <w:p>
      <w:pPr>
        <w:ind w:left="288"/>
      </w:pPr>
      <w:r>
        <w:rPr>
          <w:color w:val="8C8C8C"/>
          <w:sz w:val="12"/>
        </w:rPr>
        <w:t>cf-art-75</w:t>
      </w:r>
      <w:r>
        <w:rPr>
          <w:color w:val="003CA0"/>
          <w:sz w:val="12"/>
        </w:rPr>
        <w:t xml:space="preserve"> | RE 717.424</w:t>
      </w:r>
      <w:r>
        <w:rPr>
          <w:color w:val="003CA0"/>
          <w:sz w:val="12"/>
        </w:rPr>
        <w:t xml:space="preserve"> | rel. Marco Aurélio</w:t>
      </w:r>
    </w:p>
    <w:p>
      <w:pPr>
        <w:ind w:left="288"/>
      </w:pPr>
      <w:r>
        <w:rPr>
          <w:color w:val="1E1E1E"/>
          <w:sz w:val="18"/>
        </w:rPr>
        <w:t>(...) prevalece a regra constitucional de divisão proporcional das indicações entre os Poderes Legislativo e Executivo, e ao inerente critério da “vaga cativa”, sobre a obrigatória indicação de clientelas específicas pelos governadores. O Tribunal definiu tratar-se de regras sucessivas: primeiro, observa-se a proporção de escolhas entre os poderes para, apenas então, cumprirem-se os critérios impostos ao Executivo, não havendo exceção a tal sistemática, nem mesmo em razão da ausência de membro do Ministério Público especial. Isso significa que o atendimento da norma quanto à distribuição de ca</w:t>
      </w:r>
    </w:p>
    <w:p>
      <w:pPr>
        <w:pStyle w:val="Heading2"/>
      </w:pPr>
      <w:r>
        <w:rPr>
          <w:color w:val="003366"/>
        </w:rPr>
        <w:t>CAPÍTULO II - DO PODER EXECUTIVO</w:t>
      </w:r>
    </w:p>
    <w:p>
      <w:pPr>
        <w:pStyle w:val="Heading3"/>
      </w:pPr>
      <w:r>
        <w:rPr>
          <w:color w:val="003366"/>
        </w:rPr>
        <w:t>Seção I - DO PRESIDENTE E DO VICE-PRESIDENTE DA REPÚBLICA</w:t>
      </w:r>
    </w:p>
    <w:p>
      <w:r>
        <w:rPr>
          <w:b/>
          <w:color w:val="003366"/>
          <w:sz w:val="20"/>
        </w:rPr>
        <w:t>Art. 76 O Poder Executivo é exercido pelo Presidente da República, auxiliado pel</w:t>
      </w:r>
      <w:r>
        <w:rPr>
          <w:color w:val="8C8C8C"/>
          <w:sz w:val="14"/>
        </w:rPr>
        <w:t xml:space="preserve">  [1 decisoes]</w:t>
      </w:r>
    </w:p>
    <w:p>
      <w:pPr>
        <w:ind w:left="144"/>
      </w:pPr>
      <w:r>
        <w:rPr>
          <w:b/>
          <w:color w:val="B45A00"/>
          <w:sz w:val="16"/>
        </w:rPr>
        <w:t>CONTROLE CONCENTRADO</w:t>
      </w:r>
    </w:p>
    <w:p>
      <w:pPr>
        <w:ind w:left="288"/>
      </w:pPr>
      <w:r>
        <w:rPr>
          <w:color w:val="8C8C8C"/>
          <w:sz w:val="12"/>
        </w:rPr>
        <w:t>cf-art-76</w:t>
      </w:r>
      <w:r>
        <w:rPr>
          <w:color w:val="003CA0"/>
          <w:sz w:val="12"/>
        </w:rPr>
        <w:t xml:space="preserve"> | ADI 2.564</w:t>
      </w:r>
      <w:r>
        <w:rPr>
          <w:color w:val="003CA0"/>
          <w:sz w:val="12"/>
        </w:rPr>
        <w:t xml:space="preserve"> | rel. Ellen Gracie</w:t>
      </w:r>
    </w:p>
    <w:p>
      <w:pPr>
        <w:ind w:left="288"/>
      </w:pPr>
      <w:r>
        <w:rPr>
          <w:color w:val="1E1E1E"/>
          <w:sz w:val="18"/>
        </w:rPr>
        <w:t>Os arts. 76 e 84, I, II e VI, a, todos da CF, atribuem ao presidente da República a posição de chefe supremo da administração pública federal, ao qual estão subordinados os ministros de Estado. Ausência de ofensa ao princípio da reserva legal, diante da nova redação atribuída ao inciso VI do art. 84 pela EC 32/2001, que permite expressamente ao presidente da República dispor, por decreto, sobre a organização e o funcionamento da administração federal, quando isso não implicar aumento de despesa ou criação de órgãos públicos, exceções que não se aplicam ao decreto atacado.</w:t>
      </w:r>
    </w:p>
    <w:p>
      <w:pPr>
        <w:ind w:left="288"/>
      </w:pPr>
      <w:r>
        <w:rPr>
          <w:b/>
          <w:color w:val="003CA0"/>
          <w:sz w:val="16"/>
        </w:rPr>
        <w:t>[ADI 2.564, rel. min. Ellen Gracie, j. 8-10-2003, P, DJ de 6-2-2004.]</w:t>
      </w:r>
    </w:p>
    <w:p>
      <w:r>
        <w:rPr>
          <w:b/>
          <w:color w:val="003366"/>
          <w:sz w:val="20"/>
        </w:rPr>
        <w:t>Art. 77 A eleição do Presidente e do Vice-Presidente da República realizar-se-á,</w:t>
      </w:r>
      <w:r>
        <w:rPr>
          <w:color w:val="8C8C8C"/>
          <w:sz w:val="14"/>
        </w:rPr>
        <w:t xml:space="preserve">  [3 decisoes]</w:t>
      </w:r>
    </w:p>
    <w:p>
      <w:pPr>
        <w:ind w:left="144"/>
      </w:pPr>
      <w:r>
        <w:rPr>
          <w:b/>
          <w:color w:val="B45A00"/>
          <w:sz w:val="16"/>
        </w:rPr>
        <w:t>CONTROLE CONCENTRADO</w:t>
      </w:r>
    </w:p>
    <w:p>
      <w:pPr>
        <w:ind w:left="288"/>
      </w:pPr>
      <w:r>
        <w:rPr>
          <w:color w:val="8C8C8C"/>
          <w:sz w:val="12"/>
        </w:rPr>
        <w:t>cf-art-77</w:t>
      </w:r>
      <w:r>
        <w:rPr>
          <w:color w:val="003CA0"/>
          <w:sz w:val="12"/>
        </w:rPr>
        <w:t xml:space="preserve"> | ADI 1.057</w:t>
      </w:r>
      <w:r>
        <w:rPr>
          <w:color w:val="003CA0"/>
          <w:sz w:val="12"/>
        </w:rPr>
        <w:t xml:space="preserve"> | rel. Celso de Mello</w:t>
      </w:r>
    </w:p>
    <w:p>
      <w:pPr>
        <w:ind w:left="288"/>
      </w:pPr>
      <w:r>
        <w:rPr>
          <w:color w:val="1E1E1E"/>
          <w:sz w:val="18"/>
        </w:rPr>
        <w:t>Na realidade, e tal como precedentemente acentuado, os Estados-membros acham-se vinculados, em função de expressa determinação constitucional inscrita no art. 28, caput, in fine, da Carta da República, ao modelo subordinante estabelecido pelo art. 77 da CF, que se aplica, no entanto, por força dessa cláusula de extensão, apenas às eleições ordinárias e populares realizadas para a seleção de governador e de vice-governador de Estado, inexistindo, no que concerne à hipótese de escolha suplementar pelo próprio Poder Legislativo, no caso excepcional da dupla vacância, qualquer regramento constituc</w:t>
      </w:r>
    </w:p>
    <w:p>
      <w:pPr>
        <w:ind w:left="288"/>
      </w:pPr>
      <w:r>
        <w:rPr>
          <w:b/>
          <w:color w:val="003CA0"/>
          <w:sz w:val="16"/>
        </w:rPr>
        <w:t>[ADI 1.057 MC, voto do rel. min. Celso de Mello, j. 20-4-1994, P, DJ de 6-4-2001.]</w:t>
      </w:r>
    </w:p>
    <w:p>
      <w:pPr>
        <w:ind w:left="144"/>
      </w:pPr>
      <w:r>
        <w:rPr>
          <w:b/>
          <w:color w:val="B45A00"/>
          <w:sz w:val="16"/>
        </w:rPr>
        <w:t>JULGADOS CORRELATOS</w:t>
      </w:r>
    </w:p>
    <w:p>
      <w:pPr>
        <w:ind w:left="288"/>
      </w:pPr>
      <w:r>
        <w:rPr>
          <w:color w:val="8C8C8C"/>
          <w:sz w:val="12"/>
        </w:rPr>
        <w:t>cf-art-77-par-2</w:t>
      </w:r>
      <w:r>
        <w:rPr>
          <w:color w:val="003CA0"/>
          <w:sz w:val="12"/>
        </w:rPr>
        <w:t xml:space="preserve"> | RMS 23.234</w:t>
      </w:r>
      <w:r>
        <w:rPr>
          <w:color w:val="003CA0"/>
          <w:sz w:val="12"/>
        </w:rPr>
        <w:t xml:space="preserve"> | rel. Sepúlveda Pertence</w:t>
      </w:r>
    </w:p>
    <w:p>
      <w:pPr>
        <w:ind w:left="288"/>
      </w:pPr>
      <w:r>
        <w:rPr>
          <w:color w:val="1E1E1E"/>
          <w:sz w:val="18"/>
        </w:rPr>
        <w:t>Eleições majoritárias: nulidade: maioria de votos nulos, como tais entendidos os dados a candidatos cujo registro fora indeferido: incidência do art. 224 do Código Eleitoral, recebido pela Constituição. O art. 77, § 2º, da CF, ao definir a maioria absoluta, trata de estabelecer critério para a proclamação do eleito, no primeiro turno das eleições majoritárias a ela sujeitas; mas, é óbvio, não se cogita de proclamação de resultado eleitoral antes de verificada a validade das eleições; e sobre a validade da eleição – pressuposto da proclamação do seu resultado, é que versa o art. 224 do Código E</w:t>
      </w:r>
    </w:p>
    <w:p>
      <w:pPr>
        <w:ind w:left="288"/>
      </w:pPr>
      <w:r>
        <w:rPr>
          <w:b/>
          <w:color w:val="003CA0"/>
          <w:sz w:val="16"/>
        </w:rPr>
        <w:t>[RMS 23.234, rel. min. Sepúlveda Pertence, j. 2-10-1998, 1ª T, DJ de 20-11-1998.]</w:t>
      </w:r>
    </w:p>
    <w:p>
      <w:pPr>
        <w:ind w:left="288"/>
      </w:pPr>
      <w:r>
        <w:rPr>
          <w:color w:val="8C8C8C"/>
          <w:sz w:val="12"/>
        </w:rPr>
        <w:t>cf-art-77-par-2</w:t>
      </w:r>
      <w:r>
        <w:rPr>
          <w:color w:val="003CA0"/>
          <w:sz w:val="12"/>
        </w:rPr>
        <w:t xml:space="preserve"> | RE 140.460</w:t>
      </w:r>
      <w:r>
        <w:rPr>
          <w:color w:val="003CA0"/>
          <w:sz w:val="12"/>
        </w:rPr>
        <w:t xml:space="preserve"> | rel. Ilmar Galvão</w:t>
      </w:r>
    </w:p>
    <w:p>
      <w:pPr>
        <w:ind w:left="288"/>
      </w:pPr>
      <w:r>
        <w:rPr>
          <w:color w:val="1E1E1E"/>
          <w:sz w:val="18"/>
        </w:rPr>
        <w:t>Os votos brancos também representam manifestação da vontade política do eleitor. São eles computados em eleições majoritárias em face de norma expressa (arts. 28; 29, II; e 77, § 2º, da CF) configuradora de exceção alusiva às eleições majoritárias, não podendo por isso ser tomada como princípio geral. O art. 5º do ADCT limitou-se a dispor sobre a inaplicabilidade, à eleição para prefeito nele referida, do princípio da maioria absoluta previsto no § 2º do referido art. 77 do Texto Constitucional permanente, não dispondo sobre voto em branco.</w:t>
      </w:r>
    </w:p>
    <w:p>
      <w:pPr>
        <w:ind w:left="288"/>
      </w:pPr>
      <w:r>
        <w:rPr>
          <w:b/>
          <w:color w:val="003CA0"/>
          <w:sz w:val="16"/>
        </w:rPr>
        <w:t>[RE 140.460, rel. min. Ilmar Galvão, j. 19-5-1993, P, DJ de 4-5-2001.]</w:t>
      </w:r>
    </w:p>
    <w:p>
      <w:pPr>
        <w:ind w:left="432"/>
      </w:pPr>
      <w:r>
        <w:rPr>
          <w:color w:val="003366"/>
          <w:sz w:val="18"/>
        </w:rPr>
        <w:t xml:space="preserve">§ 1 A eleição do Presidente da República importará a do Vice-Presidente com ele </w:t>
      </w:r>
    </w:p>
    <w:p>
      <w:pPr>
        <w:ind w:left="432"/>
      </w:pPr>
      <w:r>
        <w:rPr>
          <w:color w:val="003366"/>
          <w:sz w:val="18"/>
        </w:rPr>
        <w:t>§ 2 Será considerado eleito Presidente o candidato que, registrado por partido p</w:t>
      </w:r>
    </w:p>
    <w:p>
      <w:pPr>
        <w:ind w:left="432"/>
      </w:pPr>
      <w:r>
        <w:rPr>
          <w:color w:val="003366"/>
          <w:sz w:val="18"/>
        </w:rPr>
        <w:t xml:space="preserve">§ 3 Se nenhum candidato alcançar maioria absoluta na primeira votação, far-se-á </w:t>
      </w:r>
    </w:p>
    <w:p>
      <w:pPr>
        <w:ind w:left="432"/>
      </w:pPr>
      <w:r>
        <w:rPr>
          <w:color w:val="003366"/>
          <w:sz w:val="18"/>
        </w:rPr>
        <w:t>§ 4 Se, antes de realizado o segundo turno, ocorrer morte, desistência ou impedi</w:t>
      </w:r>
    </w:p>
    <w:p>
      <w:pPr>
        <w:ind w:left="432"/>
      </w:pPr>
      <w:r>
        <w:rPr>
          <w:color w:val="003366"/>
          <w:sz w:val="18"/>
        </w:rPr>
        <w:t>§ 5 Se, na hipótese dos parágrafos anteriores, remanescer, em segundo lugar, mai</w:t>
      </w:r>
    </w:p>
    <w:p>
      <w:r>
        <w:rPr>
          <w:b/>
          <w:color w:val="003366"/>
          <w:sz w:val="20"/>
        </w:rPr>
        <w:t>Art. 78 O Presidente e o Vice-Presidente da República tomarão posse em sessão do</w:t>
      </w:r>
      <w:r>
        <w:rPr>
          <w:color w:val="8C8C8C"/>
          <w:sz w:val="14"/>
        </w:rPr>
        <w:t xml:space="preserve">  [1 decisoes]</w:t>
      </w:r>
    </w:p>
    <w:p>
      <w:pPr>
        <w:ind w:left="288"/>
      </w:pPr>
      <w:r>
        <w:rPr>
          <w:color w:val="8C8C8C"/>
          <w:sz w:val="12"/>
        </w:rPr>
        <w:t>cf-art-78</w:t>
      </w:r>
    </w:p>
    <w:p>
      <w:pPr>
        <w:ind w:left="288"/>
      </w:pPr>
      <w:r>
        <w:rPr>
          <w:color w:val="1E1E1E"/>
          <w:sz w:val="18"/>
        </w:rPr>
        <w:t>Parágrafo único. Se, decorridos dez dias da data fixada para a posse, o Presidente ou o Vice-Presidente, salvo motivo de força maior, não tiver assumido o cargo, este será declarado vago.</w:t>
      </w:r>
    </w:p>
    <w:p>
      <w:r>
        <w:rPr>
          <w:b/>
          <w:color w:val="003366"/>
          <w:sz w:val="20"/>
        </w:rPr>
        <w:t>Art. 79 Substituirá o Presidente, no caso de impedimento, e suceder- lhe-á, no d</w:t>
      </w:r>
      <w:r>
        <w:rPr>
          <w:color w:val="8C8C8C"/>
          <w:sz w:val="14"/>
        </w:rPr>
        <w:t xml:space="preserve">  [1 decisoes]</w:t>
      </w:r>
    </w:p>
    <w:p>
      <w:pPr>
        <w:ind w:left="144"/>
      </w:pPr>
      <w:r>
        <w:rPr>
          <w:b/>
          <w:color w:val="B45A00"/>
          <w:sz w:val="16"/>
        </w:rPr>
        <w:t>CONTROLE CONCENTRADO</w:t>
      </w:r>
    </w:p>
    <w:p>
      <w:pPr>
        <w:ind w:left="288"/>
      </w:pPr>
      <w:r>
        <w:rPr>
          <w:color w:val="8C8C8C"/>
          <w:sz w:val="12"/>
        </w:rPr>
        <w:t>cf-art-79</w:t>
      </w:r>
      <w:r>
        <w:rPr>
          <w:color w:val="003CA0"/>
          <w:sz w:val="12"/>
        </w:rPr>
        <w:t xml:space="preserve"> | ADI 3.647</w:t>
      </w:r>
      <w:r>
        <w:rPr>
          <w:color w:val="003CA0"/>
          <w:sz w:val="12"/>
        </w:rPr>
        <w:t xml:space="preserve"> | rel. Joaquim Barbosa</w:t>
      </w:r>
    </w:p>
    <w:p>
      <w:pPr>
        <w:ind w:left="288"/>
      </w:pPr>
      <w:r>
        <w:rPr>
          <w:color w:val="1E1E1E"/>
          <w:sz w:val="18"/>
        </w:rPr>
        <w:t xml:space="preserve">A ausência do presidente da República do país ou a ausência do governador do Estado do território estadual ou do país é uma causa temporária que impossibilita o cumprimento, pelo chefe do Poder Executivo, dos deveres e responsabilidades inerentes ao cargo. Desse modo, para que não haja acefalia no âmbito do Poder Executivo, o presidente da República ou o governador do Estado deve ser devidamente substituído pelo vice-presidente ou vice-governador, respectivamente. (...) Em decorrência do princípio da simetria, a Constituição estadual deve estabelecer sanção para o afastamento do governador ou </w:t>
      </w:r>
    </w:p>
    <w:p>
      <w:pPr>
        <w:ind w:left="288"/>
      </w:pPr>
      <w:r>
        <w:rPr>
          <w:b/>
          <w:color w:val="003CA0"/>
          <w:sz w:val="16"/>
        </w:rPr>
        <w:t>[ADI 3.647, rel. min. Joaquim Barbosa, j. 17-9-2007, P, DJE de 16-5-2008.]</w:t>
      </w:r>
    </w:p>
    <w:p>
      <w:r>
        <w:rPr>
          <w:b/>
          <w:color w:val="003366"/>
          <w:sz w:val="20"/>
        </w:rPr>
        <w:t>Art. 80 Em caso de impedimento do Presidente e do Vice-Presidente, ou vacância d</w:t>
      </w:r>
      <w:r>
        <w:rPr>
          <w:color w:val="8C8C8C"/>
          <w:sz w:val="14"/>
        </w:rPr>
        <w:t xml:space="preserve">  [2 decisoes]</w:t>
      </w:r>
    </w:p>
    <w:p>
      <w:pPr>
        <w:ind w:left="144"/>
      </w:pPr>
      <w:r>
        <w:rPr>
          <w:b/>
          <w:color w:val="B45A00"/>
          <w:sz w:val="16"/>
        </w:rPr>
        <w:t>CONTROLE CONCENTRADO</w:t>
      </w:r>
    </w:p>
    <w:p>
      <w:pPr>
        <w:ind w:left="288"/>
      </w:pPr>
      <w:r>
        <w:rPr>
          <w:color w:val="8C8C8C"/>
          <w:sz w:val="12"/>
        </w:rPr>
        <w:t>cf-art-80</w:t>
      </w:r>
      <w:r>
        <w:rPr>
          <w:color w:val="003CA0"/>
          <w:sz w:val="12"/>
        </w:rPr>
        <w:t xml:space="preserve"> | ADPF 402</w:t>
      </w:r>
    </w:p>
    <w:p>
      <w:pPr>
        <w:ind w:left="288"/>
      </w:pPr>
      <w:r>
        <w:rPr>
          <w:color w:val="1E1E1E"/>
          <w:sz w:val="18"/>
        </w:rPr>
        <w:t>Os substitutos eventuais do Presidente da República – o Presidente da Câmara dos Deputados, o Presidente do Senado Federal e o Presidente do Supremo Tribunal Federal (CF, art. 80) – ficarão unicamente impossibilitados de exercer, em caráter interino, a Chefia do Poder Executivo da União, caso ostentem a posição de réus criminais, condição que assumem somente após o recebimento judicial da denúncia ou da queixa-crime (CF, art. 86, § 1º, I). Essa interdição, contudo – por unicamente incidir na hipótese estrita de convocação para o exercício, por substituição, da Presidência da República (CF, art</w:t>
      </w:r>
    </w:p>
    <w:p>
      <w:pPr>
        <w:ind w:left="288"/>
      </w:pPr>
      <w:r>
        <w:rPr>
          <w:b/>
          <w:color w:val="003CA0"/>
          <w:sz w:val="16"/>
        </w:rPr>
        <w:t>[ADPF 402 MC-REF, red. do ac. min. Celso de Mello, j. 7-12-2016, P, DJE de 29-8-2018.]</w:t>
      </w:r>
    </w:p>
    <w:p>
      <w:pPr>
        <w:ind w:left="144"/>
      </w:pPr>
      <w:r>
        <w:rPr>
          <w:b/>
          <w:color w:val="B45A00"/>
          <w:sz w:val="16"/>
        </w:rPr>
        <w:t>JULGADOS CORRELATOS</w:t>
      </w:r>
    </w:p>
    <w:p>
      <w:pPr>
        <w:ind w:left="288"/>
      </w:pPr>
      <w:r>
        <w:rPr>
          <w:color w:val="8C8C8C"/>
          <w:sz w:val="12"/>
        </w:rPr>
        <w:t>cf-art-80</w:t>
      </w:r>
      <w:r>
        <w:rPr>
          <w:color w:val="003CA0"/>
          <w:sz w:val="12"/>
        </w:rPr>
        <w:t xml:space="preserve"> | RE 655.647</w:t>
      </w:r>
      <w:r>
        <w:rPr>
          <w:color w:val="003CA0"/>
          <w:sz w:val="12"/>
        </w:rPr>
        <w:t xml:space="preserve"> | rel. Dias Toffoli</w:t>
      </w:r>
    </w:p>
    <w:p>
      <w:pPr>
        <w:ind w:left="288"/>
      </w:pPr>
      <w:r>
        <w:rPr>
          <w:color w:val="1E1E1E"/>
          <w:sz w:val="18"/>
        </w:rPr>
        <w:t>Art. 75 da Lei Orgânica do Município de Manaus/AM, que dispõe sobre os substitutos eventuais do prefeito e vice-prefeito no caso de dupla vacância. (...) A jurisprudência da Corte fixou-se no sentido de que a disciplina acerca da sucessão e da substituição da chefia do Poder Executivo municipal põe-se no âmbito da autonomia política do Município, por tratar tão somente de assunto de interesse local, não havendo dever de observância do modelo federal (...).</w:t>
      </w:r>
    </w:p>
    <w:p>
      <w:pPr>
        <w:ind w:left="288"/>
      </w:pPr>
      <w:r>
        <w:rPr>
          <w:b/>
          <w:color w:val="003CA0"/>
          <w:sz w:val="16"/>
        </w:rPr>
        <w:t>[RE 655.647 AgR, rel. min. Dias Toffoli, j. 11-11-2014, 1ª T, DJE de 19-12-2014.]</w:t>
      </w:r>
    </w:p>
    <w:p>
      <w:r>
        <w:rPr>
          <w:b/>
          <w:color w:val="003366"/>
          <w:sz w:val="20"/>
        </w:rPr>
        <w:t>Art. 81 Vagando os cargos de Presidente e Vice-Presidente da República, far-se-á</w:t>
      </w:r>
      <w:r>
        <w:rPr>
          <w:color w:val="8C8C8C"/>
          <w:sz w:val="14"/>
        </w:rPr>
        <w:t xml:space="preserve">  [6 decisoes]</w:t>
      </w:r>
    </w:p>
    <w:p>
      <w:pPr>
        <w:ind w:left="144"/>
      </w:pPr>
      <w:r>
        <w:rPr>
          <w:b/>
          <w:color w:val="B45A00"/>
          <w:sz w:val="16"/>
        </w:rPr>
        <w:t>CONTROLE CONCENTRADO</w:t>
      </w:r>
    </w:p>
    <w:p>
      <w:pPr>
        <w:ind w:left="288"/>
      </w:pPr>
      <w:r>
        <w:rPr>
          <w:color w:val="8C8C8C"/>
          <w:sz w:val="12"/>
        </w:rPr>
        <w:t>cf-art-81-par-1</w:t>
      </w:r>
      <w:r>
        <w:rPr>
          <w:color w:val="003CA0"/>
          <w:sz w:val="12"/>
        </w:rPr>
        <w:t xml:space="preserve"> | ADI 5.525</w:t>
      </w:r>
      <w:r>
        <w:rPr>
          <w:color w:val="003CA0"/>
          <w:sz w:val="12"/>
        </w:rPr>
        <w:t xml:space="preserve"> | rel. Roberto Barroso</w:t>
      </w:r>
    </w:p>
    <w:p>
      <w:pPr>
        <w:ind w:left="288"/>
      </w:pPr>
      <w:r>
        <w:rPr>
          <w:color w:val="1E1E1E"/>
          <w:sz w:val="18"/>
        </w:rPr>
        <w:t>O legislador ordinário federal pode prever hipóteses de vacância de cargos eletivos fora das situações expressamente contempladas na Constituição, com vistas a assegurar a higidez do processo eleitoral e a preservar o princípio majoritário. Não pode, todavia, disciplinar o modo de eleição para o cargo vago diferentemente do que estabelece a Constituição Federal. Inconstitucionalidade do § 4º do art. 224 do Código Eleitoral, na redação dada pela Lei 13.165/2015, na parte em que incide sobre a eleição para Presidente, Vice-Presidente e Senador da República, em caso de vacância, por estar em cont</w:t>
      </w:r>
    </w:p>
    <w:p>
      <w:pPr>
        <w:ind w:left="288"/>
      </w:pPr>
      <w:r>
        <w:rPr>
          <w:b/>
          <w:color w:val="003CA0"/>
          <w:sz w:val="16"/>
        </w:rPr>
        <w:t>[ADI 5.525, rel. min. Roberto Barroso, j. 8-3-2019, P, DJE de 29-11-2019.]</w:t>
      </w:r>
    </w:p>
    <w:p>
      <w:pPr>
        <w:ind w:left="288"/>
      </w:pPr>
      <w:r>
        <w:rPr>
          <w:color w:val="8C8C8C"/>
          <w:sz w:val="12"/>
        </w:rPr>
        <w:t>cf-art-81-par-1</w:t>
      </w:r>
      <w:r>
        <w:rPr>
          <w:color w:val="003CA0"/>
          <w:sz w:val="12"/>
        </w:rPr>
        <w:t xml:space="preserve"> | ADI 4.298</w:t>
      </w:r>
      <w:r>
        <w:rPr>
          <w:color w:val="003CA0"/>
          <w:sz w:val="12"/>
        </w:rPr>
        <w:t xml:space="preserve"> | rel. Cezar Peluso</w:t>
      </w:r>
    </w:p>
    <w:p>
      <w:pPr>
        <w:ind w:left="288"/>
      </w:pPr>
      <w:r>
        <w:rPr>
          <w:color w:val="1E1E1E"/>
          <w:sz w:val="18"/>
        </w:rPr>
        <w:t xml:space="preserve">A reserva de lei constante do art. 81, § 1º, da CF, que é nítida e especialíssima exceção ao cânone do exercício direto do sufrágio, diz respeito tão só ao regime de dupla vacância dos cargos de presidente e do vice-presidente da República, e, como tal, é da óbvia competência da União. E, considerados o desenho federativo e a inaplicabilidade do princípio da simetria ao caso, compete aos Estados-membros definir e regulamentar as normas de substituição de governador e vice-governador. De modo que, quando, como na espécie, tenha o constituinte estadual reproduzido o preceito da CF, a reserva de </w:t>
      </w:r>
    </w:p>
    <w:p>
      <w:pPr>
        <w:ind w:left="288"/>
      </w:pPr>
      <w:r>
        <w:rPr>
          <w:b/>
          <w:color w:val="003CA0"/>
          <w:sz w:val="16"/>
        </w:rPr>
        <w:t>[ADI 4.298 MC, voto do rel. min. Cezar Peluso, j. 7-10-2009, P, DJE de 27-11-2009.]</w:t>
      </w:r>
    </w:p>
    <w:p>
      <w:pPr>
        <w:ind w:left="288"/>
      </w:pPr>
      <w:r>
        <w:rPr>
          <w:color w:val="8C8C8C"/>
          <w:sz w:val="12"/>
        </w:rPr>
        <w:t>cf-art-81-par-1</w:t>
      </w:r>
      <w:r>
        <w:rPr>
          <w:color w:val="003CA0"/>
          <w:sz w:val="12"/>
        </w:rPr>
        <w:t xml:space="preserve"> | ADI 3.549</w:t>
      </w:r>
      <w:r>
        <w:rPr>
          <w:color w:val="003CA0"/>
          <w:sz w:val="12"/>
        </w:rPr>
        <w:t xml:space="preserve"> | rel. Cármen Lúcia</w:t>
      </w:r>
    </w:p>
    <w:p>
      <w:pPr>
        <w:ind w:left="288"/>
      </w:pPr>
      <w:r>
        <w:rPr>
          <w:color w:val="1E1E1E"/>
          <w:sz w:val="18"/>
        </w:rPr>
        <w:t>A vocação sucessória dos cargos de prefeito e vice-prefeito põe-se no âmbito da autonomia política local, em caso de dupla vacância. Ao disciplinar matéria, cuja competência é exclusiva dos Municípios, o art. 75, § 2º, da Constituição de Goiás fere a autonomia desses entes, mitigando-lhes a capacidade de auto-organização e de autogoverno e limitando a sua autonomia política assegurada pela Constituição brasileira.</w:t>
      </w:r>
    </w:p>
    <w:p>
      <w:pPr>
        <w:ind w:left="288"/>
      </w:pPr>
      <w:r>
        <w:rPr>
          <w:b/>
          <w:color w:val="003CA0"/>
          <w:sz w:val="16"/>
        </w:rPr>
        <w:t>[ADI 3.549, rel. min. Cármen Lúcia, j. 17-9-2007, P, DJ de 31-10-2007.]</w:t>
      </w:r>
    </w:p>
    <w:p>
      <w:pPr>
        <w:ind w:left="288"/>
      </w:pPr>
      <w:r>
        <w:rPr>
          <w:color w:val="8C8C8C"/>
          <w:sz w:val="12"/>
        </w:rPr>
        <w:t>cf-art-81-par-1</w:t>
      </w:r>
      <w:r>
        <w:rPr>
          <w:color w:val="003CA0"/>
          <w:sz w:val="12"/>
        </w:rPr>
        <w:t xml:space="preserve"> | ADI 2.709</w:t>
      </w:r>
      <w:r>
        <w:rPr>
          <w:color w:val="003CA0"/>
          <w:sz w:val="12"/>
        </w:rPr>
        <w:t xml:space="preserve"> | rel. Gilmar Mendes</w:t>
      </w:r>
    </w:p>
    <w:p>
      <w:pPr>
        <w:ind w:left="288"/>
      </w:pPr>
      <w:r>
        <w:rPr>
          <w:color w:val="1E1E1E"/>
          <w:sz w:val="18"/>
        </w:rPr>
        <w:t xml:space="preserve">EC 28, que alterou o § 2º do art. 79 da Constituição do Estado de Sergipe, estabelecendo que, no caso de vacância dos cargos de governador e vice-governador do Estado, no último ano do período governamental, serão sucessivamente chamados o presidente da Assembleia Legislativa e o presidente do Tribunal de Justiça, para exercer o cargo de governador. A norma impugnada suprimiu a eleição indireta para governador e vice-governador do Estado, realizada pela Assembleia Legislativa em caso de dupla vacância desses cargos no último biênio do período de governo. Afronta aos parâmetros constitucionais </w:t>
      </w:r>
    </w:p>
    <w:p>
      <w:pPr>
        <w:ind w:left="288"/>
      </w:pPr>
      <w:r>
        <w:rPr>
          <w:b/>
          <w:color w:val="003CA0"/>
          <w:sz w:val="16"/>
        </w:rPr>
        <w:t>[ADI 2.709, rel. min. Gilmar Mendes, j. 1º-8-2006, P, DJE de 16-5-2008.]</w:t>
      </w:r>
    </w:p>
    <w:p>
      <w:pPr>
        <w:ind w:left="288"/>
      </w:pPr>
      <w:r>
        <w:rPr>
          <w:color w:val="8C8C8C"/>
          <w:sz w:val="12"/>
        </w:rPr>
        <w:t>cf-art-81-par-1</w:t>
      </w:r>
      <w:r>
        <w:rPr>
          <w:color w:val="003CA0"/>
          <w:sz w:val="12"/>
        </w:rPr>
        <w:t xml:space="preserve"> | RCL 7.759</w:t>
      </w:r>
      <w:r>
        <w:rPr>
          <w:color w:val="003CA0"/>
          <w:sz w:val="12"/>
        </w:rPr>
        <w:t xml:space="preserve"> | rel. Celso de Mello</w:t>
      </w:r>
    </w:p>
    <w:p>
      <w:pPr>
        <w:ind w:left="288"/>
      </w:pPr>
      <w:r>
        <w:rPr>
          <w:color w:val="1E1E1E"/>
          <w:sz w:val="18"/>
        </w:rPr>
        <w:t xml:space="preserve">Vide Rcl 7.759 MC, rel. min. Celso de Mello, j. 26-2-2009, dec. monocrática, DJE de 4-3-2009 O Estado-membro dispõe de competência para disciplinar o processo de escolha, por sua assembleia legislativa, do governador e do vice-governador do Estado, nas hipóteses em que se verificar a dupla vacância desses cargos nos últimos dois anos do período governamental. Essa competência legislativa do Estado-membro decorre da capacidade de autogoverno que lhe outorgou a própria Constituição da República. As condições de elegibilidade (CF, art. 14, § 4º a § 8º) e as hipóteses de inelegibilidade (CF, art. </w:t>
      </w:r>
    </w:p>
    <w:p>
      <w:pPr>
        <w:ind w:left="288"/>
      </w:pPr>
      <w:r>
        <w:rPr>
          <w:b/>
          <w:color w:val="003CA0"/>
          <w:sz w:val="16"/>
        </w:rPr>
        <w:t>[ADI 1.057 MC, rel. min. Celso de Mello, j. 20-4-1994, P, DJ de 6-4-2001.]</w:t>
      </w:r>
    </w:p>
    <w:p>
      <w:pPr>
        <w:ind w:left="288"/>
      </w:pPr>
      <w:r>
        <w:rPr>
          <w:color w:val="8C8C8C"/>
          <w:sz w:val="12"/>
        </w:rPr>
        <w:t>cf-art-81-par-1</w:t>
      </w:r>
      <w:r>
        <w:rPr>
          <w:color w:val="003CA0"/>
          <w:sz w:val="12"/>
        </w:rPr>
        <w:t xml:space="preserve"> | RCL 7.759</w:t>
      </w:r>
      <w:r>
        <w:rPr>
          <w:color w:val="003CA0"/>
          <w:sz w:val="12"/>
        </w:rPr>
        <w:t xml:space="preserve"> | rel. Celso de Mello</w:t>
      </w:r>
    </w:p>
    <w:p>
      <w:pPr>
        <w:ind w:left="288"/>
      </w:pPr>
      <w:r>
        <w:rPr>
          <w:color w:val="1E1E1E"/>
          <w:sz w:val="18"/>
        </w:rPr>
        <w:t>= Rcl 7.759 MC, rel. min. Celso de Mello, j. 26-2-2009, dec. monocrática, DJE de 4-3-2009</w:t>
      </w:r>
    </w:p>
    <w:p>
      <w:pPr>
        <w:ind w:left="432"/>
      </w:pPr>
      <w:r>
        <w:rPr>
          <w:color w:val="003366"/>
          <w:sz w:val="18"/>
        </w:rPr>
        <w:t>§ 1 Ocorrendo a vacância nos últimos dois anos do período presidencial, a eleiçã</w:t>
      </w:r>
    </w:p>
    <w:p>
      <w:pPr>
        <w:ind w:left="432"/>
      </w:pPr>
      <w:r>
        <w:rPr>
          <w:color w:val="003366"/>
          <w:sz w:val="18"/>
        </w:rPr>
        <w:t>§ 2 Em qualquer dos casos, os eleitos deverão completar o período de seus antece</w:t>
      </w:r>
    </w:p>
    <w:p>
      <w:r>
        <w:rPr>
          <w:b/>
          <w:color w:val="003366"/>
          <w:sz w:val="20"/>
        </w:rPr>
        <w:t xml:space="preserve">Art. 82 O mandato do Presidente da República é de 4 (quatro) anos e terá início </w:t>
      </w:r>
    </w:p>
    <w:p>
      <w:r>
        <w:rPr>
          <w:b/>
          <w:color w:val="003366"/>
          <w:sz w:val="20"/>
        </w:rPr>
        <w:t>Art. 83 O Presidente e o Vice-Presidente da República não poderão, sem licença d</w:t>
      </w:r>
      <w:r>
        <w:rPr>
          <w:color w:val="8C8C8C"/>
          <w:sz w:val="14"/>
        </w:rPr>
        <w:t xml:space="preserve">  [3 decisoes]</w:t>
      </w:r>
    </w:p>
    <w:p>
      <w:pPr>
        <w:ind w:left="144"/>
      </w:pPr>
      <w:r>
        <w:rPr>
          <w:b/>
          <w:color w:val="B45A00"/>
          <w:sz w:val="16"/>
        </w:rPr>
        <w:t>CONTROLE CONCENTRADO</w:t>
      </w:r>
    </w:p>
    <w:p>
      <w:pPr>
        <w:ind w:left="288"/>
      </w:pPr>
      <w:r>
        <w:rPr>
          <w:color w:val="8C8C8C"/>
          <w:sz w:val="12"/>
        </w:rPr>
        <w:t>cf-art-83</w:t>
      </w:r>
      <w:r>
        <w:rPr>
          <w:color w:val="003CA0"/>
          <w:sz w:val="12"/>
        </w:rPr>
        <w:t xml:space="preserve"> | ADI 3.647</w:t>
      </w:r>
      <w:r>
        <w:rPr>
          <w:color w:val="003CA0"/>
          <w:sz w:val="12"/>
        </w:rPr>
        <w:t xml:space="preserve"> | rel. Joaquim Barbosa</w:t>
      </w:r>
    </w:p>
    <w:p>
      <w:pPr>
        <w:ind w:left="288"/>
      </w:pPr>
      <w:r>
        <w:rPr>
          <w:color w:val="1E1E1E"/>
          <w:sz w:val="18"/>
        </w:rPr>
        <w:t xml:space="preserve">A ausência do presidente da República do país ou a ausência do governador do Estado do território estadual ou do país é uma causa temporária que impossibilita o cumprimento, pelo chefe do Poder Executivo, dos deveres e responsabilidades inerentes ao cargo. Desse modo, para que não haja acefalia no âmbito do Poder Executivo, o presidente da República ou o governador do Estado deve ser devidamente substituído pelo vice-presidente ou vice-governador, respectivamente. (...) Em decorrência do princípio da simetria, a Constituição estadual deve estabelecer sanção para o afastamento do governador ou </w:t>
      </w:r>
    </w:p>
    <w:p>
      <w:pPr>
        <w:ind w:left="288"/>
      </w:pPr>
      <w:r>
        <w:rPr>
          <w:b/>
          <w:color w:val="003CA0"/>
          <w:sz w:val="16"/>
        </w:rPr>
        <w:t>[ADI 3.647, rel. min. Joaquim Barbosa, j. 17-9-2007, P, DJE de 16-5-2008.]</w:t>
      </w:r>
    </w:p>
    <w:p>
      <w:pPr>
        <w:ind w:left="288"/>
      </w:pPr>
      <w:r>
        <w:rPr>
          <w:color w:val="8C8C8C"/>
          <w:sz w:val="12"/>
        </w:rPr>
        <w:t>cf-art-83</w:t>
      </w:r>
      <w:r>
        <w:rPr>
          <w:color w:val="003CA0"/>
          <w:sz w:val="12"/>
        </w:rPr>
        <w:t xml:space="preserve"> | ADI 738</w:t>
      </w:r>
      <w:r>
        <w:rPr>
          <w:color w:val="003CA0"/>
          <w:sz w:val="12"/>
        </w:rPr>
        <w:t xml:space="preserve"> | rel. Maurício Corrêa</w:t>
      </w:r>
    </w:p>
    <w:p>
      <w:pPr>
        <w:ind w:left="288"/>
      </w:pPr>
      <w:r>
        <w:rPr>
          <w:color w:val="1E1E1E"/>
          <w:sz w:val="18"/>
        </w:rPr>
        <w:t>Afronta os princípios constitucionais da harmonia e independência entre os Poderes e da liberdade de locomoção norma estadual que exige prévia licença da assembleia legislativa para que o governador e o vice-governador possam ausentar-se do País por qualquer prazo. Espécie de autorização que, segundo o modelo federal, somente se justifica quando o afastamento exceder a quinze dias. Aplicação do princípio da simetria.</w:t>
      </w:r>
    </w:p>
    <w:p>
      <w:pPr>
        <w:ind w:left="288"/>
      </w:pPr>
      <w:r>
        <w:rPr>
          <w:b/>
          <w:color w:val="003CA0"/>
          <w:sz w:val="16"/>
        </w:rPr>
        <w:t>[ADI 738, rel. min. Maurício Corrêa, j. 13-11-2002, P, DJ de 7-2-2003.]</w:t>
      </w:r>
    </w:p>
    <w:p>
      <w:pPr>
        <w:ind w:left="288"/>
      </w:pPr>
      <w:r>
        <w:rPr>
          <w:color w:val="8C8C8C"/>
          <w:sz w:val="12"/>
        </w:rPr>
        <w:t>cf-art-83</w:t>
      </w:r>
      <w:r>
        <w:rPr>
          <w:color w:val="003CA0"/>
          <w:sz w:val="12"/>
        </w:rPr>
        <w:t xml:space="preserve"> | RE 317.574</w:t>
      </w:r>
      <w:r>
        <w:rPr>
          <w:color w:val="003CA0"/>
          <w:sz w:val="12"/>
        </w:rPr>
        <w:t xml:space="preserve"> | rel. Cezar Peluso</w:t>
      </w:r>
    </w:p>
    <w:p>
      <w:pPr>
        <w:ind w:left="288"/>
      </w:pPr>
      <w:r>
        <w:rPr>
          <w:color w:val="1E1E1E"/>
          <w:sz w:val="18"/>
        </w:rPr>
        <w:t>= RE 317.574, rel. min. Cezar Peluso, j. 1º-12-2010, P, DJE de 1º-2-2011 Seção II Das Atribuições do Presidente da República SUMÁRIO</w:t>
      </w:r>
    </w:p>
    <w:p>
      <w:pPr>
        <w:pStyle w:val="Heading3"/>
      </w:pPr>
      <w:r>
        <w:rPr>
          <w:color w:val="003366"/>
        </w:rPr>
        <w:t>Seção II - Das Atribuições do Presidente da República</w:t>
      </w:r>
    </w:p>
    <w:p>
      <w:r>
        <w:rPr>
          <w:b/>
          <w:color w:val="003366"/>
          <w:sz w:val="20"/>
        </w:rPr>
        <w:t>Art. 84 Compete privativamente ao Presidente da República:</w:t>
      </w:r>
      <w:r>
        <w:rPr>
          <w:color w:val="8C8C8C"/>
          <w:sz w:val="14"/>
        </w:rPr>
        <w:t xml:space="preserve">  [66 decisoes]</w:t>
      </w:r>
    </w:p>
    <w:p>
      <w:pPr>
        <w:ind w:left="144"/>
      </w:pPr>
      <w:r>
        <w:rPr>
          <w:b/>
          <w:color w:val="B45A00"/>
          <w:sz w:val="16"/>
        </w:rPr>
        <w:t>REPERCUSSAO GERAL</w:t>
      </w:r>
    </w:p>
    <w:p>
      <w:pPr>
        <w:ind w:left="288"/>
      </w:pPr>
      <w:r>
        <w:rPr>
          <w:color w:val="8C8C8C"/>
          <w:sz w:val="12"/>
        </w:rPr>
        <w:t>cf-art-84</w:t>
      </w:r>
      <w:r>
        <w:rPr>
          <w:color w:val="003CA0"/>
          <w:sz w:val="12"/>
        </w:rPr>
        <w:t xml:space="preserve"> | RE 570.680</w:t>
      </w:r>
      <w:r>
        <w:rPr>
          <w:color w:val="003CA0"/>
          <w:sz w:val="12"/>
        </w:rPr>
        <w:t xml:space="preserve"> | rel. Ricardo Lewandowski</w:t>
      </w:r>
    </w:p>
    <w:p>
      <w:pPr>
        <w:ind w:left="288"/>
      </w:pPr>
      <w:r>
        <w:rPr>
          <w:color w:val="1E1E1E"/>
          <w:sz w:val="18"/>
        </w:rPr>
        <w:t>É compatível com a Carta Magna a norma infraconstitucional que atribui a órgão integrante do Poder Executivo da União a faculdade de estabelecer as alíquotas do Imposto de Exportação. Competência que não é privativa do presidente da República. Inocorrência de ofensa aos arts. 84, caput, IV, e parágrafo único, e 153, § 1º, da CF ou ao princípio de reserva legal. (...) Faculdade discricionária atribuída à Câmara de Comércio Exterior (CAMEX), que se circunscreve ao disposto no DL 1.578/1977 e às demais normas regulamentares.</w:t>
        <w:br/>
        <w:t>[RE 570.680, rel. min. Ricardo Lewandowski, j. 28-10-2009, P, DJE de 4-1</w:t>
      </w:r>
    </w:p>
    <w:p>
      <w:pPr>
        <w:ind w:left="144"/>
      </w:pPr>
      <w:r>
        <w:rPr>
          <w:b/>
          <w:color w:val="B45A00"/>
          <w:sz w:val="16"/>
        </w:rPr>
        <w:t>JULGADOS CORRELATOS</w:t>
      </w:r>
    </w:p>
    <w:p>
      <w:pPr>
        <w:ind w:left="288"/>
      </w:pPr>
      <w:r>
        <w:rPr>
          <w:color w:val="8C8C8C"/>
          <w:sz w:val="12"/>
        </w:rPr>
        <w:t>cf-art-84</w:t>
      </w:r>
      <w:r>
        <w:rPr>
          <w:color w:val="003CA0"/>
          <w:sz w:val="12"/>
        </w:rPr>
        <w:t xml:space="preserve"> | HC 101.528</w:t>
      </w:r>
      <w:r>
        <w:rPr>
          <w:color w:val="003CA0"/>
          <w:sz w:val="12"/>
        </w:rPr>
        <w:t xml:space="preserve"> | rel. Dias Toffoli</w:t>
      </w:r>
    </w:p>
    <w:p>
      <w:pPr>
        <w:ind w:left="288"/>
      </w:pPr>
      <w:r>
        <w:rPr>
          <w:color w:val="1E1E1E"/>
          <w:sz w:val="18"/>
        </w:rPr>
        <w:t>(...) competência desta Suprema Corte para julgamento do presente habeas corpus. Isso porque a competência da expulsão é exclusiva do presidente da República (Lei 6.815/1980, art. 66), com delegação desses poderes ao ministro de Estado da Justiça, a partir do Decreto 3.447/2000 (art. 1º). O fato de o presidente da República delegar ao ministro de Estado da Justiça, mediante ato administrativo por ele próprio assinado, o exercício da competência legal de expulsão de estrangeiro não implica disposição da própria competência.</w:t>
      </w:r>
    </w:p>
    <w:p>
      <w:pPr>
        <w:ind w:left="288"/>
      </w:pPr>
      <w:r>
        <w:rPr>
          <w:b/>
          <w:color w:val="003CA0"/>
          <w:sz w:val="16"/>
        </w:rPr>
        <w:t>[HC 101.528, voto do rel. min. Dias Toffoli, j. 9-12-2010, P, DJE de 22-3-2011.]</w:t>
      </w:r>
    </w:p>
    <w:p>
      <w:pPr>
        <w:ind w:left="288"/>
      </w:pPr>
      <w:r>
        <w:rPr>
          <w:color w:val="8C8C8C"/>
          <w:sz w:val="12"/>
        </w:rPr>
        <w:t>cf-art-84</w:t>
      </w:r>
      <w:r>
        <w:rPr>
          <w:color w:val="003CA0"/>
          <w:sz w:val="12"/>
        </w:rPr>
        <w:t xml:space="preserve"> | HC 101.269</w:t>
      </w:r>
      <w:r>
        <w:rPr>
          <w:color w:val="003CA0"/>
          <w:sz w:val="12"/>
        </w:rPr>
        <w:t xml:space="preserve"> | rel. Cármen Lúcia</w:t>
      </w:r>
    </w:p>
    <w:p>
      <w:pPr>
        <w:ind w:left="288"/>
      </w:pPr>
      <w:r>
        <w:rPr>
          <w:color w:val="1E1E1E"/>
          <w:sz w:val="18"/>
        </w:rPr>
        <w:t>Vide HC 101.269, rel. min. Cármen Lúcia, j. 3-8-2010, 1ª T, DJE de 20-8-2010 Não implica disposição de competência legal a delegação pelo presidente da República do ato de expulsão de estrangeiro. O STF sempre reputou válido o decreto de expulsão de estrangeiro subscrito pelo ministro de Estado da Justiça por delegação do presidente da República.</w:t>
      </w:r>
    </w:p>
    <w:p>
      <w:pPr>
        <w:ind w:left="288"/>
      </w:pPr>
      <w:r>
        <w:rPr>
          <w:b/>
          <w:color w:val="003CA0"/>
          <w:sz w:val="16"/>
        </w:rPr>
        <w:t>[HC 101.269, rel. min. Cármen Lúcia, j. 3-8-2010, 1ª T, DJE de 20-8-2010.]</w:t>
      </w:r>
    </w:p>
    <w:p>
      <w:pPr>
        <w:ind w:left="288"/>
      </w:pPr>
      <w:r>
        <w:rPr>
          <w:color w:val="8C8C8C"/>
          <w:sz w:val="12"/>
        </w:rPr>
        <w:t>cf-art-84</w:t>
      </w:r>
      <w:r>
        <w:rPr>
          <w:color w:val="003CA0"/>
          <w:sz w:val="12"/>
        </w:rPr>
        <w:t xml:space="preserve"> | HC 101.528</w:t>
      </w:r>
      <w:r>
        <w:rPr>
          <w:color w:val="003CA0"/>
          <w:sz w:val="12"/>
        </w:rPr>
        <w:t xml:space="preserve"> | rel. Dias Toffoli</w:t>
      </w:r>
    </w:p>
    <w:p>
      <w:pPr>
        <w:ind w:left="288"/>
      </w:pPr>
      <w:r>
        <w:rPr>
          <w:color w:val="1E1E1E"/>
          <w:sz w:val="18"/>
        </w:rPr>
        <w:t>Vide HC 101.528, rel. min. Dias Toffoli, j. 9-12-2010, P, DJE de 22-3-2011 Vide HC 72.851, rel. min. Celso de Mello, j. 25-10-1995, P, DJE de 28-11-2008 A existência de filha brasileira só constitui causa impeditiva da expulsão de estrangeiro, quando sempre a teve sob sua guarda e dependência econômica, mas desde que a tenha reconhecido antes do fato que haja motivado a expedição do decreto expulsório.</w:t>
      </w:r>
    </w:p>
    <w:p>
      <w:pPr>
        <w:ind w:left="288"/>
      </w:pPr>
      <w:r>
        <w:rPr>
          <w:b/>
          <w:color w:val="003CA0"/>
          <w:sz w:val="16"/>
        </w:rPr>
        <w:t>[HC 82.893, rel. min. Cezar Peluso, j. 17-12-2004, P, DJ de 8-4-2005.]</w:t>
      </w:r>
    </w:p>
    <w:p>
      <w:pPr>
        <w:ind w:left="288"/>
      </w:pPr>
      <w:r>
        <w:rPr>
          <w:color w:val="8C8C8C"/>
          <w:sz w:val="12"/>
        </w:rPr>
        <w:t>cf-art-84</w:t>
      </w:r>
      <w:r>
        <w:rPr>
          <w:color w:val="003CA0"/>
          <w:sz w:val="12"/>
        </w:rPr>
        <w:t xml:space="preserve"> | HC 110.849</w:t>
      </w:r>
      <w:r>
        <w:rPr>
          <w:color w:val="003CA0"/>
          <w:sz w:val="12"/>
        </w:rPr>
        <w:t xml:space="preserve"> | rel. Ricardo Lewandowski</w:t>
      </w:r>
    </w:p>
    <w:p>
      <w:pPr>
        <w:ind w:left="288"/>
      </w:pPr>
      <w:r>
        <w:rPr>
          <w:color w:val="1E1E1E"/>
          <w:sz w:val="18"/>
        </w:rPr>
        <w:t xml:space="preserve">= HC 110.849, rel. min. Ricardo Lewandowski, j. 10-4-2012, 2ª T, DJE de 30-5-2012 A expulsão de estrangeiros – que constitui manifestação da soberania do Estado brasileiro – qualifica-se como típica medida de caráter político-administrativo, da competência exclusiva do presidente da República, a quem incumbe avaliar, discricionariamente, a conveniência, a necessidade, a utilidade e a oportunidade de sua efetivação. (...) O julgamento da nocividade da permanência do súdito estrangeiro em território nacional inclui-se na esfera de exclusiva atribuição do chefe do Poder Executivo da União. (...) </w:t>
      </w:r>
    </w:p>
    <w:p>
      <w:pPr>
        <w:ind w:left="288"/>
      </w:pPr>
      <w:r>
        <w:rPr>
          <w:b/>
          <w:color w:val="003CA0"/>
          <w:sz w:val="16"/>
        </w:rPr>
        <w:t>[HC 72.851, rel. min. Celso de Mello, j. 25-10-1995, P, DJE de 28-11-2008.]</w:t>
      </w:r>
    </w:p>
    <w:p>
      <w:pPr>
        <w:ind w:left="288"/>
      </w:pPr>
      <w:r>
        <w:rPr>
          <w:color w:val="8C8C8C"/>
          <w:sz w:val="12"/>
        </w:rPr>
        <w:t>cf-art-84</w:t>
      </w:r>
      <w:r>
        <w:rPr>
          <w:color w:val="003CA0"/>
          <w:sz w:val="12"/>
        </w:rPr>
        <w:t xml:space="preserve"> | HC 85.203</w:t>
      </w:r>
      <w:r>
        <w:rPr>
          <w:color w:val="003CA0"/>
          <w:sz w:val="12"/>
        </w:rPr>
        <w:t xml:space="preserve"> | rel. Eros Grau</w:t>
      </w:r>
    </w:p>
    <w:p>
      <w:pPr>
        <w:ind w:left="288"/>
      </w:pPr>
      <w:r>
        <w:rPr>
          <w:color w:val="1E1E1E"/>
          <w:sz w:val="18"/>
        </w:rPr>
        <w:t>=  HC 85.203, rel. min. Eros Grau, j. 6-8-2009, P, DJE de 16-12-2010 Vide HC 101.269, rel. min. Cármen Lúcia, j. 3-8-2010, 1ª T, DJE de 20-8-2010</w:t>
      </w:r>
    </w:p>
    <w:p>
      <w:pPr>
        <w:ind w:left="144"/>
      </w:pPr>
      <w:r>
        <w:rPr>
          <w:b/>
          <w:color w:val="B45A00"/>
          <w:sz w:val="16"/>
        </w:rPr>
        <w:t>CONTROLE CONCENTRADO</w:t>
      </w:r>
    </w:p>
    <w:p>
      <w:pPr>
        <w:ind w:left="288"/>
      </w:pPr>
      <w:r>
        <w:rPr>
          <w:color w:val="8C8C8C"/>
          <w:sz w:val="12"/>
        </w:rPr>
        <w:t>cf-art-84-inc-II</w:t>
      </w:r>
      <w:r>
        <w:rPr>
          <w:color w:val="003CA0"/>
          <w:sz w:val="12"/>
        </w:rPr>
        <w:t xml:space="preserve"> | ADI 2.095</w:t>
      </w:r>
      <w:r>
        <w:rPr>
          <w:color w:val="003CA0"/>
          <w:sz w:val="12"/>
        </w:rPr>
        <w:t xml:space="preserve"> | rel. Cármen Lúcia</w:t>
      </w:r>
    </w:p>
    <w:p>
      <w:pPr>
        <w:ind w:left="288"/>
      </w:pPr>
      <w:r>
        <w:rPr>
          <w:color w:val="1E1E1E"/>
          <w:sz w:val="18"/>
        </w:rPr>
        <w:t>A atuação da Agência Estadual de Regulação dos Serviços Públicos do Rio Grande do Sul – AGERGS não se opõe à autonomia do Chefe do Poder Executivo (inc. II do art. 84 da Constituição da República). Não lhe incumbe atuar na conformação de políticas de governo, mas prevenir e arbitrar, conforme a lei e os contratos, os conflitos de interesses entre concessionários e usuários ou entre aqueles e o Poder concedente.</w:t>
      </w:r>
    </w:p>
    <w:p>
      <w:pPr>
        <w:ind w:left="288"/>
      </w:pPr>
      <w:r>
        <w:rPr>
          <w:b/>
          <w:color w:val="003CA0"/>
          <w:sz w:val="16"/>
        </w:rPr>
        <w:t>[ADI 2.095, rel. min. Cármen Lúcia, j. 11-10-2019, P, DJE de 26-11-2019.]</w:t>
      </w:r>
    </w:p>
    <w:p>
      <w:pPr>
        <w:ind w:left="288"/>
      </w:pPr>
      <w:r>
        <w:rPr>
          <w:color w:val="8C8C8C"/>
          <w:sz w:val="12"/>
        </w:rPr>
        <w:t>cf-art-84-inc-II</w:t>
      </w:r>
      <w:r>
        <w:rPr>
          <w:color w:val="003CA0"/>
          <w:sz w:val="12"/>
        </w:rPr>
        <w:t xml:space="preserve"> | ADI 179</w:t>
      </w:r>
      <w:r>
        <w:rPr>
          <w:color w:val="003CA0"/>
          <w:sz w:val="12"/>
        </w:rPr>
        <w:t xml:space="preserve"> | rel. Dias Toffoli</w:t>
      </w:r>
    </w:p>
    <w:p>
      <w:pPr>
        <w:ind w:left="288"/>
      </w:pPr>
      <w:r>
        <w:rPr>
          <w:color w:val="1E1E1E"/>
          <w:sz w:val="18"/>
        </w:rPr>
        <w:t>É inconstitucional qualquer tentativa do Poder Legislativo de definir previamente conteúdos ou estabelecer prazos para que o Poder Executivo, em relação às matérias afetas a sua iniciativa, apresente proposições legislativas, mesmo em sede da Constituição estadual, porquanto ofende, na seara administrativa, a garantia de gestão superior dada ao chefe daquele Poder.</w:t>
      </w:r>
    </w:p>
    <w:p>
      <w:pPr>
        <w:ind w:left="288"/>
      </w:pPr>
      <w:r>
        <w:rPr>
          <w:b/>
          <w:color w:val="003CA0"/>
          <w:sz w:val="16"/>
        </w:rPr>
        <w:t>[ADI 179, rel. min. Dias Toffoli, j. 19-2-2014, P, DJE de 28-3-2014.]</w:t>
      </w:r>
    </w:p>
    <w:p>
      <w:pPr>
        <w:ind w:left="288"/>
      </w:pPr>
      <w:r>
        <w:rPr>
          <w:color w:val="8C8C8C"/>
          <w:sz w:val="12"/>
        </w:rPr>
        <w:t>cf-art-84-inc-II</w:t>
      </w:r>
      <w:r>
        <w:rPr>
          <w:color w:val="003CA0"/>
          <w:sz w:val="12"/>
        </w:rPr>
        <w:t xml:space="preserve"> | ADI 1.901</w:t>
      </w:r>
      <w:r>
        <w:rPr>
          <w:color w:val="003CA0"/>
          <w:sz w:val="12"/>
        </w:rPr>
        <w:t xml:space="preserve"> | rel. Ilmar Galvão</w:t>
      </w:r>
    </w:p>
    <w:p>
      <w:pPr>
        <w:ind w:left="288"/>
      </w:pPr>
      <w:r>
        <w:rPr>
          <w:color w:val="1E1E1E"/>
          <w:sz w:val="18"/>
        </w:rPr>
        <w:t>O dispositivo impugnado, ao atribuir à instituição financeira depositária dos recursos do Estado a iniciativa de repassar, automaticamente, às contas dos órgãos dos Poderes Legislativo e Judiciário, do Ministério Público e do Tribunal de Contas as dotações orçamentárias a eles destinadas, caracteriza ofensa ao art. 84, II, da CF/1988 (de observância obrigatória pelas unidades federadas), que confere, privativamente, ao chefe do Poder Executivo, a direção superior da administração estadual.</w:t>
      </w:r>
    </w:p>
    <w:p>
      <w:pPr>
        <w:ind w:left="288"/>
      </w:pPr>
      <w:r>
        <w:rPr>
          <w:b/>
          <w:color w:val="003CA0"/>
          <w:sz w:val="16"/>
        </w:rPr>
        <w:t>[ADI 1.901, rel. min. Ilmar Galvão, j. 3-2-2003, P, DJ de 9-5-2003.]</w:t>
      </w:r>
    </w:p>
    <w:p>
      <w:pPr>
        <w:ind w:left="288"/>
      </w:pPr>
      <w:r>
        <w:rPr>
          <w:color w:val="8C8C8C"/>
          <w:sz w:val="12"/>
        </w:rPr>
        <w:t>cf-art-84-inc-II</w:t>
      </w:r>
      <w:r>
        <w:rPr>
          <w:color w:val="003CA0"/>
          <w:sz w:val="12"/>
        </w:rPr>
        <w:t xml:space="preserve"> | ADI 1.914</w:t>
      </w:r>
      <w:r>
        <w:rPr>
          <w:color w:val="003CA0"/>
          <w:sz w:val="12"/>
        </w:rPr>
        <w:t xml:space="preserve"> | rel. Cezar Peluso</w:t>
      </w:r>
    </w:p>
    <w:p>
      <w:pPr>
        <w:ind w:left="288"/>
      </w:pPr>
      <w:r>
        <w:rPr>
          <w:color w:val="1E1E1E"/>
          <w:sz w:val="18"/>
        </w:rPr>
        <w:t>= ADI 1.914, rel. min. Cezar Peluso, j. 15-4-2009, P, DJE de 7-8-2009 Agência Estadual de Regulação dos Serviços Públicos do Estado do Rio Grande do Sul (AGERGS). Insuficiência de relevo jurídico da oposição que se faz à sua autonomia perante o chefe do Poder Executivo (CF, art. 84, II), dado que não se inclui na competência da autarquia função política decisória ou planejadora sobre até onde e a que serviços estender a delegação do Estado, mas o encargo de prevenir e arbitrar segundo a lei os conflitos de interesses entre concessionários e usuários ou entre aqueles e o poder concedente. Servi</w:t>
      </w:r>
    </w:p>
    <w:p>
      <w:pPr>
        <w:ind w:left="288"/>
      </w:pPr>
      <w:r>
        <w:rPr>
          <w:b/>
          <w:color w:val="003CA0"/>
          <w:sz w:val="16"/>
        </w:rPr>
        <w:t>[ADI 2.095 MC, rel. min. Octavio Gallotti, j. 22-3-2000, P, DJ de 19-9-2003.]</w:t>
      </w:r>
    </w:p>
    <w:p>
      <w:pPr>
        <w:ind w:left="288"/>
      </w:pPr>
      <w:r>
        <w:rPr>
          <w:color w:val="8C8C8C"/>
          <w:sz w:val="12"/>
        </w:rPr>
        <w:t>cf-art-84-inc-II</w:t>
      </w:r>
      <w:r>
        <w:rPr>
          <w:color w:val="003CA0"/>
          <w:sz w:val="12"/>
        </w:rPr>
        <w:t xml:space="preserve"> | AI 763.559</w:t>
      </w:r>
      <w:r>
        <w:rPr>
          <w:color w:val="003CA0"/>
          <w:sz w:val="12"/>
        </w:rPr>
        <w:t xml:space="preserve"> | rel. Eros Grau</w:t>
      </w:r>
    </w:p>
    <w:p>
      <w:pPr>
        <w:ind w:left="288"/>
      </w:pPr>
      <w:r>
        <w:rPr>
          <w:color w:val="1E1E1E"/>
          <w:sz w:val="18"/>
        </w:rPr>
        <w:t>= AI 763.559 AgR, rel. min. Eros Grau, j. 2-2-2010, 2ª T, DJE de 26-2-2010</w:t>
      </w:r>
    </w:p>
    <w:p>
      <w:pPr>
        <w:ind w:left="144"/>
      </w:pPr>
      <w:r>
        <w:rPr>
          <w:b/>
          <w:color w:val="B45A00"/>
          <w:sz w:val="16"/>
        </w:rPr>
        <w:t>JULGADOS CORRELATOS</w:t>
      </w:r>
    </w:p>
    <w:p>
      <w:pPr>
        <w:ind w:left="288"/>
      </w:pPr>
      <w:r>
        <w:rPr>
          <w:color w:val="8C8C8C"/>
          <w:sz w:val="12"/>
        </w:rPr>
        <w:t>cf-art-84-inc-II</w:t>
      </w:r>
      <w:r>
        <w:rPr>
          <w:color w:val="003CA0"/>
          <w:sz w:val="12"/>
        </w:rPr>
        <w:t xml:space="preserve"> | RMS 28.487</w:t>
      </w:r>
      <w:r>
        <w:rPr>
          <w:color w:val="003CA0"/>
          <w:sz w:val="12"/>
        </w:rPr>
        <w:t xml:space="preserve"> | rel. Dias Toffoli</w:t>
      </w:r>
    </w:p>
    <w:p>
      <w:pPr>
        <w:ind w:left="288"/>
      </w:pPr>
      <w:r>
        <w:rPr>
          <w:color w:val="1E1E1E"/>
          <w:sz w:val="18"/>
        </w:rPr>
        <w:t>A Câmara de Regulação do Mercado de Medicamentos (CMED) está prevista na Lei 10.742/2003 como órgão técnico necessário à regulação do setor farmacêutico, justificando-se, especialmente, pelas complexidades do mercado de medicamentos. A amplitude da delegação normativa consiste no fundamento fático-jurídico do exercício do poder regulamentar pela administração pública, que deve atuar em consonância com a lei, atendendo à necessidade de regulação do setor farmacêutico e em respeito à dinâmica e às peculiaridades técnicas do mercado de medicamentos.</w:t>
      </w:r>
    </w:p>
    <w:p>
      <w:pPr>
        <w:ind w:left="288"/>
      </w:pPr>
      <w:r>
        <w:rPr>
          <w:b/>
          <w:color w:val="003CA0"/>
          <w:sz w:val="16"/>
        </w:rPr>
        <w:t>[RMS 28.487, rel. min. Dias Toffoli, j. 26-2-2013, 1ª T, DJE de 15-3-2013.]</w:t>
      </w:r>
    </w:p>
    <w:p>
      <w:pPr>
        <w:ind w:left="288"/>
      </w:pPr>
      <w:r>
        <w:rPr>
          <w:color w:val="8C8C8C"/>
          <w:sz w:val="12"/>
        </w:rPr>
        <w:t>cf-art-84-inc-III</w:t>
      </w:r>
      <w:r>
        <w:rPr>
          <w:color w:val="003CA0"/>
          <w:sz w:val="12"/>
        </w:rPr>
        <w:t xml:space="preserve"> | AI 754.613</w:t>
      </w:r>
      <w:r>
        <w:rPr>
          <w:color w:val="003CA0"/>
          <w:sz w:val="12"/>
        </w:rPr>
        <w:t xml:space="preserve"> | rel. Ellen Gracie</w:t>
      </w:r>
    </w:p>
    <w:p>
      <w:pPr>
        <w:ind w:left="288"/>
      </w:pPr>
      <w:r>
        <w:rPr>
          <w:color w:val="1E1E1E"/>
          <w:sz w:val="18"/>
        </w:rPr>
        <w:t>A Portaria MEC 474/1987 não configura usurpação de competência legislativa do chefe do Poder Executivo.</w:t>
      </w:r>
    </w:p>
    <w:p>
      <w:pPr>
        <w:ind w:left="288"/>
      </w:pPr>
      <w:r>
        <w:rPr>
          <w:b/>
          <w:color w:val="003CA0"/>
          <w:sz w:val="16"/>
        </w:rPr>
        <w:t>[AI 754.613 AgR, rel. min. Ellen Gracie, j. 20-10-2009, 2ª T, DJE de 13-11-2009.]</w:t>
      </w:r>
    </w:p>
    <w:p>
      <w:pPr>
        <w:ind w:left="288"/>
      </w:pPr>
      <w:r>
        <w:rPr>
          <w:color w:val="8C8C8C"/>
          <w:sz w:val="12"/>
        </w:rPr>
        <w:t>cf-art-84-inc-IV</w:t>
      </w:r>
      <w:r>
        <w:rPr>
          <w:color w:val="003CA0"/>
          <w:sz w:val="12"/>
        </w:rPr>
        <w:t xml:space="preserve"> | ADC 85</w:t>
      </w:r>
      <w:r>
        <w:rPr>
          <w:color w:val="003CA0"/>
          <w:sz w:val="12"/>
        </w:rPr>
        <w:t xml:space="preserve"> | rel. Gilmar Mendes</w:t>
      </w:r>
    </w:p>
    <w:p>
      <w:pPr>
        <w:ind w:left="288"/>
      </w:pPr>
      <w:r>
        <w:rPr>
          <w:color w:val="1E1E1E"/>
          <w:sz w:val="18"/>
        </w:rPr>
        <w:t>Decretos 11.366/2023 e 11.615/2023. Atos normativos que promoveram a regulamentação do Estatuto do Desarmamento (Lei 10.823/2003). (...) Os Decretos 11.366/2023 e 11.615/2023 visam reverter a vertiginosa tendência de proliferação de armas de fogo em circulação no Brasil e promover a reconstrução das políticas públicas de efetivo controle dessa circulação. Os atos normativos inserem-se no poder regulamentar privativo do Presidente da República (CF, art. 84, IV) e não extrapolam a margem de conformação regulamentar estabelecida pelo Estatuto do Desarmamento (10.826/2003). As determinações regula</w:t>
      </w:r>
    </w:p>
    <w:p>
      <w:pPr>
        <w:ind w:left="288"/>
      </w:pPr>
      <w:r>
        <w:rPr>
          <w:b/>
          <w:color w:val="003CA0"/>
          <w:sz w:val="16"/>
        </w:rPr>
        <w:t>[ADC 85, rel. min. Gilmar Mendes, j. 25.06.2025, P, DJE de 23.07.2025.]</w:t>
      </w:r>
    </w:p>
    <w:p>
      <w:pPr>
        <w:ind w:left="144"/>
      </w:pPr>
      <w:r>
        <w:rPr>
          <w:b/>
          <w:color w:val="B45A00"/>
          <w:sz w:val="16"/>
        </w:rPr>
        <w:t>CONTROLE CONCENTRADO</w:t>
      </w:r>
    </w:p>
    <w:p>
      <w:pPr>
        <w:ind w:left="288"/>
      </w:pPr>
      <w:r>
        <w:rPr>
          <w:color w:val="8C8C8C"/>
          <w:sz w:val="12"/>
        </w:rPr>
        <w:t>cf-art-84-inc-IV</w:t>
      </w:r>
      <w:r>
        <w:rPr>
          <w:color w:val="003CA0"/>
          <w:sz w:val="12"/>
        </w:rPr>
        <w:t xml:space="preserve"> | ADI 6.680</w:t>
      </w:r>
      <w:r>
        <w:rPr>
          <w:color w:val="003CA0"/>
          <w:sz w:val="12"/>
        </w:rPr>
        <w:t xml:space="preserve"> | rel. Rosa Weber</w:t>
      </w:r>
    </w:p>
    <w:p>
      <w:pPr>
        <w:ind w:left="288"/>
      </w:pPr>
      <w:r>
        <w:rPr>
          <w:color w:val="1E1E1E"/>
          <w:sz w:val="18"/>
        </w:rPr>
        <w:t>Decretos Presidenciais que dispõem sobre aquisição, cadastro, registro, posse e porte de armas de fogo, acessórios e munições (Decretos nºs 10.627, 10.628, 10.629 e 10.630, de 12 de fevereiro de 2021). Atos normativos editados com o propósito de promover a chamada “flexibilização das armas” no Brasil. (...) Os regulamentos estão subordinados às leis que lhes dão fundamento, devendo observância ao espaço restrito de delegação normativa. O respeito a este limite de conformação regulamentar adquire relevância constitucional, na medida em que configura corolário do postulado da separação dos Poder</w:t>
      </w:r>
    </w:p>
    <w:p>
      <w:pPr>
        <w:ind w:left="288"/>
      </w:pPr>
      <w:r>
        <w:rPr>
          <w:b/>
          <w:color w:val="003CA0"/>
          <w:sz w:val="16"/>
        </w:rPr>
        <w:t>[ADI 4.568, rel. min. Cármen Lúcia, j. 3-11-2011, P, DJE de 30-3-2012.]</w:t>
      </w:r>
    </w:p>
    <w:p>
      <w:pPr>
        <w:ind w:left="288"/>
      </w:pPr>
      <w:r>
        <w:rPr>
          <w:color w:val="8C8C8C"/>
          <w:sz w:val="12"/>
        </w:rPr>
        <w:t>cf-art-84-inc-IV</w:t>
      </w:r>
      <w:r>
        <w:rPr>
          <w:color w:val="003CA0"/>
          <w:sz w:val="12"/>
        </w:rPr>
        <w:t xml:space="preserve"> | ADI 3.394</w:t>
      </w:r>
      <w:r>
        <w:rPr>
          <w:color w:val="003CA0"/>
          <w:sz w:val="12"/>
        </w:rPr>
        <w:t xml:space="preserve"> | rel. Eros Grau</w:t>
      </w:r>
    </w:p>
    <w:p>
      <w:pPr>
        <w:ind w:left="288"/>
      </w:pPr>
      <w:r>
        <w:rPr>
          <w:color w:val="1E1E1E"/>
          <w:sz w:val="18"/>
        </w:rPr>
        <w:t>(...) o preceito legal marca prazo para que o Executivo exerça função regulamentar de sua atribuição, o que ocorre amiúde, mas não deixa de afrontar o princípio da interdependência e harmonia entre os poderes. A determinação de prazo para que o chefe do Executivo exerça função que lhe incumbe originariamente, sem que expressiva de dever de regulamentar, tenho-a por inconstitucional.</w:t>
      </w:r>
    </w:p>
    <w:p>
      <w:pPr>
        <w:ind w:left="288"/>
      </w:pPr>
      <w:r>
        <w:rPr>
          <w:b/>
          <w:color w:val="003CA0"/>
          <w:sz w:val="16"/>
        </w:rPr>
        <w:t>[ADI 3.394, voto do rel. min. Eros Grau, j. 2-4-2007, P, DJE de 15-8-2008.]</w:t>
      </w:r>
    </w:p>
    <w:p>
      <w:pPr>
        <w:ind w:left="288"/>
      </w:pPr>
      <w:r>
        <w:rPr>
          <w:color w:val="8C8C8C"/>
          <w:sz w:val="12"/>
        </w:rPr>
        <w:t>cf-art-84-inc-IV</w:t>
      </w:r>
      <w:r>
        <w:rPr>
          <w:color w:val="003CA0"/>
          <w:sz w:val="12"/>
        </w:rPr>
        <w:t xml:space="preserve"> | ADI 996</w:t>
      </w:r>
      <w:r>
        <w:rPr>
          <w:color w:val="003CA0"/>
          <w:sz w:val="12"/>
        </w:rPr>
        <w:t xml:space="preserve"> | rel. Celso de Mello</w:t>
      </w:r>
    </w:p>
    <w:p>
      <w:pPr>
        <w:ind w:left="288"/>
      </w:pPr>
      <w:r>
        <w:rPr>
          <w:color w:val="1E1E1E"/>
          <w:sz w:val="18"/>
        </w:rPr>
        <w:t>Se a interpretação administrativa da lei, que vier a consubstanciar-se em decreto executivo, divergir do sentido e do conteúdo da norma legal que o ato secundário pretendeu regulamentar, quer porque tenha este se projetado ultra legem, quer porque tenha permanecido citra legem, quer, ainda, porque tenha investido contra legem, a questão caracterizará, sempre, típica crise de legalidade, e não de inconstitucionalidade, a inviabilizar, em consequência, a utilização do mecanismo processual da fiscalização normativa abstrata. O eventual extravasamento, pelo ato regulamentar, dos limites a que mate</w:t>
      </w:r>
    </w:p>
    <w:p>
      <w:pPr>
        <w:ind w:left="288"/>
      </w:pPr>
      <w:r>
        <w:rPr>
          <w:b/>
          <w:color w:val="003CA0"/>
          <w:sz w:val="16"/>
        </w:rPr>
        <w:t>[ADI 996 MC, rel. min. Celso de Mello, j. 11-3-1994, P, DJ de 6-5-1994.]</w:t>
      </w:r>
    </w:p>
    <w:p>
      <w:pPr>
        <w:ind w:left="288"/>
      </w:pPr>
      <w:r>
        <w:rPr>
          <w:color w:val="8C8C8C"/>
          <w:sz w:val="12"/>
        </w:rPr>
        <w:t>cf-art-84-inc-IV</w:t>
      </w:r>
      <w:r>
        <w:rPr>
          <w:color w:val="003CA0"/>
          <w:sz w:val="12"/>
        </w:rPr>
        <w:t xml:space="preserve"> | ADI 4.176</w:t>
      </w:r>
      <w:r>
        <w:rPr>
          <w:color w:val="003CA0"/>
          <w:sz w:val="12"/>
        </w:rPr>
        <w:t xml:space="preserve"> | rel. Cármen Lúcia</w:t>
      </w:r>
    </w:p>
    <w:p>
      <w:pPr>
        <w:ind w:left="288"/>
      </w:pPr>
      <w:r>
        <w:rPr>
          <w:color w:val="1E1E1E"/>
          <w:sz w:val="18"/>
        </w:rPr>
        <w:t>= ADI 4.176 AgR, rel. min. Cármen Lúcia, j. 20-6-2012, P, DJE de 1º-8-2012 “É infraconstitucional a controvérsia sobre o excesso de poder regulamentar de ato do Poder Executivo que regulamenta lei sobre o regime de servidor público”.</w:t>
      </w:r>
    </w:p>
    <w:p>
      <w:pPr>
        <w:ind w:left="288"/>
      </w:pPr>
      <w:r>
        <w:rPr>
          <w:b/>
          <w:color w:val="003CA0"/>
          <w:sz w:val="16"/>
        </w:rPr>
        <w:t>[RE 1.500.797 RG, rel. min. Luís Roberto Barroso, j. 18.11.2024, P, DJE de 22.11.2024, Tema 1.356, com repercussão geral negada.]</w:t>
      </w:r>
    </w:p>
    <w:p>
      <w:pPr>
        <w:ind w:left="288"/>
      </w:pPr>
      <w:r>
        <w:rPr>
          <w:color w:val="8C8C8C"/>
          <w:sz w:val="12"/>
        </w:rPr>
        <w:t>cf-art-84-inc-IV</w:t>
      </w:r>
      <w:r>
        <w:rPr>
          <w:color w:val="003CA0"/>
          <w:sz w:val="12"/>
        </w:rPr>
        <w:t xml:space="preserve"> | ARE 1.520.300</w:t>
      </w:r>
      <w:r>
        <w:rPr>
          <w:color w:val="003CA0"/>
          <w:sz w:val="12"/>
        </w:rPr>
        <w:t xml:space="preserve"> | rel. Luís Roberto Barroso</w:t>
      </w:r>
    </w:p>
    <w:p>
      <w:pPr>
        <w:ind w:left="288"/>
      </w:pPr>
      <w:r>
        <w:rPr>
          <w:color w:val="1E1E1E"/>
          <w:sz w:val="18"/>
        </w:rPr>
        <w:t>“É infraconstitucional a controvérsia sobre o excesso de poder regulamentar no estabelecimento de limitação ao pagamento de ajuda de custo/auxílio a determinadas categorias de servidores públicos”.</w:t>
      </w:r>
    </w:p>
    <w:p>
      <w:pPr>
        <w:ind w:left="288"/>
      </w:pPr>
      <w:r>
        <w:rPr>
          <w:b/>
          <w:color w:val="003CA0"/>
          <w:sz w:val="16"/>
        </w:rPr>
        <w:t>[ARE 1.520.300 RG, rel. min. Luís Roberto Barroso, j. 05.11.2024, P, DJE de 08.11.2024, Tema 1.350, com repercussão geral negada.]</w:t>
      </w:r>
    </w:p>
    <w:p>
      <w:pPr>
        <w:ind w:left="144"/>
      </w:pPr>
      <w:r>
        <w:rPr>
          <w:b/>
          <w:color w:val="B45A00"/>
          <w:sz w:val="16"/>
        </w:rPr>
        <w:t>REPERCUSSAO GERAL</w:t>
      </w:r>
    </w:p>
    <w:p>
      <w:pPr>
        <w:ind w:left="288"/>
      </w:pPr>
      <w:r>
        <w:rPr>
          <w:color w:val="8C8C8C"/>
          <w:sz w:val="12"/>
        </w:rPr>
        <w:t>cf-art-84-inc-IV</w:t>
      </w:r>
      <w:r>
        <w:rPr>
          <w:color w:val="003CA0"/>
          <w:sz w:val="12"/>
        </w:rPr>
        <w:t xml:space="preserve"> | RE 577.025</w:t>
      </w:r>
      <w:r>
        <w:rPr>
          <w:color w:val="003CA0"/>
          <w:sz w:val="12"/>
        </w:rPr>
        <w:t xml:space="preserve"> | rel. Ricardo Lewandowski</w:t>
      </w:r>
    </w:p>
    <w:p>
      <w:pPr>
        <w:ind w:left="288"/>
      </w:pPr>
      <w:r>
        <w:rPr>
          <w:color w:val="1E1E1E"/>
          <w:sz w:val="18"/>
        </w:rPr>
        <w:t xml:space="preserve">A Constituição da República não oferece guarida à possibilidade de o governador do Distrito Federal criar cargos e reestruturar órgãos públicos por meio de simples decreto. </w:t>
        <w:br/>
        <w:t>[RE 577.025, rel. min. Ricardo Lewandowski, j. 11-12-2008, P, DJE de 6-3-2009, Tema 48, com mérito julgado.]</w:t>
      </w:r>
    </w:p>
    <w:p>
      <w:pPr>
        <w:ind w:left="144"/>
      </w:pPr>
      <w:r>
        <w:rPr>
          <w:b/>
          <w:color w:val="B45A00"/>
          <w:sz w:val="16"/>
        </w:rPr>
        <w:t>JULGADOS CORRELATOS</w:t>
      </w:r>
    </w:p>
    <w:p>
      <w:pPr>
        <w:ind w:left="288"/>
      </w:pPr>
      <w:r>
        <w:rPr>
          <w:color w:val="8C8C8C"/>
          <w:sz w:val="12"/>
        </w:rPr>
        <w:t>cf-art-84-inc-IV</w:t>
      </w:r>
      <w:r>
        <w:rPr>
          <w:color w:val="003CA0"/>
          <w:sz w:val="12"/>
        </w:rPr>
        <w:t xml:space="preserve"> | MS 35.959</w:t>
      </w:r>
      <w:r>
        <w:rPr>
          <w:color w:val="003CA0"/>
          <w:sz w:val="12"/>
        </w:rPr>
        <w:t xml:space="preserve"> | rel. Luiz Fux</w:t>
      </w:r>
    </w:p>
    <w:p>
      <w:pPr>
        <w:ind w:left="288"/>
      </w:pPr>
      <w:r>
        <w:rPr>
          <w:color w:val="1E1E1E"/>
          <w:sz w:val="18"/>
        </w:rPr>
        <w:t>O art. 34 da Lei 13.639/2018 prevê a prerrogativa da Confederação Nacional das Profissões Liberais – CNPL de coordenar o primeiro processo eleitoral para a criação dos conselhos federais, em cooperação com outras entidades sindicais, não havendo qualquer imposição legal identificada no sentido da atribuição exclusiva da CNPL para estabelecer todos os procedimentos do processo eletivo. O Decreto 9.461/2018, ora impugnado, editado pelo Presidente da República no afã de regulamentar o dispositivo legal, detalhou a forma como deve ocorrer o primeiro processo eleitoral da Diretoria Executiva do Con</w:t>
      </w:r>
    </w:p>
    <w:p>
      <w:pPr>
        <w:ind w:left="288"/>
      </w:pPr>
      <w:r>
        <w:rPr>
          <w:b/>
          <w:color w:val="003CA0"/>
          <w:sz w:val="16"/>
        </w:rPr>
        <w:t>[MS 35.959-AgR, rel. min. Luiz Fux, j. 14-12-2018, P, DJE de 7-2-2019.]</w:t>
      </w:r>
    </w:p>
    <w:p>
      <w:pPr>
        <w:ind w:left="288"/>
      </w:pPr>
      <w:r>
        <w:rPr>
          <w:color w:val="8C8C8C"/>
          <w:sz w:val="12"/>
        </w:rPr>
        <w:t>cf-art-84-inc-IV</w:t>
      </w:r>
      <w:r>
        <w:rPr>
          <w:color w:val="003CA0"/>
          <w:sz w:val="12"/>
        </w:rPr>
        <w:t xml:space="preserve"> | RE 582.487</w:t>
      </w:r>
      <w:r>
        <w:rPr>
          <w:color w:val="003CA0"/>
          <w:sz w:val="12"/>
        </w:rPr>
        <w:t xml:space="preserve"> | rel. Cármen Lúcia</w:t>
      </w:r>
    </w:p>
    <w:p>
      <w:pPr>
        <w:ind w:left="288"/>
      </w:pPr>
      <w:r>
        <w:rPr>
          <w:color w:val="1E1E1E"/>
          <w:sz w:val="18"/>
        </w:rPr>
        <w:t>(...) o STF assentou que é vedado ao chefe do Poder Executivo expedir decreto a fim de suspender a eficácia de ato normativo hierarquicamente superior.</w:t>
      </w:r>
    </w:p>
    <w:p>
      <w:pPr>
        <w:ind w:left="288"/>
      </w:pPr>
      <w:r>
        <w:rPr>
          <w:b/>
          <w:color w:val="003CA0"/>
          <w:sz w:val="16"/>
        </w:rPr>
        <w:t>[RE 582.487 AgR, voto da rel. min. Cármen Lúcia, j. 25-9-2012, 2ª T, DJE de 25-9-2012.]</w:t>
      </w:r>
    </w:p>
    <w:p>
      <w:pPr>
        <w:ind w:left="288"/>
      </w:pPr>
      <w:r>
        <w:rPr>
          <w:color w:val="8C8C8C"/>
          <w:sz w:val="12"/>
        </w:rPr>
        <w:t>cf-art-84-inc-V</w:t>
      </w:r>
    </w:p>
    <w:p>
      <w:pPr>
        <w:ind w:left="288"/>
      </w:pPr>
      <w:r>
        <w:rPr>
          <w:color w:val="1E1E1E"/>
          <w:sz w:val="18"/>
        </w:rPr>
        <w:t>VI - dispor, mediante decreto, sobre: (Redação da EC 32/2001)</w:t>
      </w:r>
    </w:p>
    <w:p>
      <w:pPr>
        <w:ind w:left="288"/>
      </w:pPr>
      <w:r>
        <w:rPr>
          <w:color w:val="8C8C8C"/>
          <w:sz w:val="12"/>
        </w:rPr>
        <w:t>cf-art-84-inc-V-ali-a</w:t>
      </w:r>
      <w:r>
        <w:rPr>
          <w:color w:val="003CA0"/>
          <w:sz w:val="12"/>
        </w:rPr>
        <w:t xml:space="preserve"> | ADI 3.901</w:t>
      </w:r>
      <w:r>
        <w:rPr>
          <w:color w:val="003CA0"/>
          <w:sz w:val="12"/>
        </w:rPr>
        <w:t xml:space="preserve"> | rel. Edson Fachin</w:t>
      </w:r>
    </w:p>
    <w:p>
      <w:pPr>
        <w:ind w:left="288"/>
      </w:pPr>
      <w:r>
        <w:rPr>
          <w:color w:val="1E1E1E"/>
          <w:sz w:val="18"/>
        </w:rPr>
        <w:t>Lei 6.140/1998 do estado do Pará que dispõe acerca do período de realização de provas de concursos públicos e exames vestibulares. (...) O abono de falta de alunos e a reposição da carga horária dos estudantes que, por motivo religioso comprovado, não possam frequentar aulas e atividades acadêmicas não ofendem o art. 84, VI, a, da Constituição Federal, visto que não se está diante de legislação que organize ou remodele o funcionamento e as atribuições de órgão pertencente à estrutura administrativa do Estado do Pará.</w:t>
      </w:r>
    </w:p>
    <w:p>
      <w:pPr>
        <w:ind w:left="288"/>
      </w:pPr>
      <w:r>
        <w:rPr>
          <w:b/>
          <w:color w:val="003CA0"/>
          <w:sz w:val="16"/>
        </w:rPr>
        <w:t>[ADI 3.901, rel. min. Edson Fachin, j. 22.09.2025, P, DJE de 26.11.2025.]</w:t>
      </w:r>
    </w:p>
    <w:p>
      <w:pPr>
        <w:ind w:left="144"/>
      </w:pPr>
      <w:r>
        <w:rPr>
          <w:b/>
          <w:color w:val="B45A00"/>
          <w:sz w:val="16"/>
        </w:rPr>
        <w:t>CONTROLE CONCENTRADO</w:t>
      </w:r>
    </w:p>
    <w:p>
      <w:pPr>
        <w:ind w:left="288"/>
      </w:pPr>
      <w:r>
        <w:rPr>
          <w:color w:val="8C8C8C"/>
          <w:sz w:val="12"/>
        </w:rPr>
        <w:t>cf-art-84-inc-V-ali-a</w:t>
      </w:r>
      <w:r>
        <w:rPr>
          <w:color w:val="003CA0"/>
          <w:sz w:val="12"/>
        </w:rPr>
        <w:t xml:space="preserve"> | ADI 6.180</w:t>
      </w:r>
      <w:r>
        <w:rPr>
          <w:color w:val="003CA0"/>
          <w:sz w:val="12"/>
        </w:rPr>
        <w:t xml:space="preserve"> | rel. Dias Toffoli</w:t>
      </w:r>
    </w:p>
    <w:p>
      <w:pPr>
        <w:ind w:left="288"/>
      </w:pPr>
      <w:r>
        <w:rPr>
          <w:color w:val="1E1E1E"/>
          <w:sz w:val="18"/>
        </w:rPr>
        <w:t>Há autorização constitucional para que o chefe do Executivo disponha, em certas situações, mediante decreto, sobre organização e funcionamento da Administração Pública, desde que observadas as condições previstas no art. 84, inciso VI, alíneas a e b, da Constituição. Todavia, para fins de mera reorganização interna da Administração Pública, não é cabível a transformação, mediante decreto ou outro ato normativo infralegal, de funções de confiança em cargos em comissão e vice-versa, uma vez que tais postos funcionais possuem naturezas e formas de provimento distintas, por expressa disposição con</w:t>
      </w:r>
    </w:p>
    <w:p>
      <w:pPr>
        <w:ind w:left="288"/>
      </w:pPr>
      <w:r>
        <w:rPr>
          <w:b/>
          <w:color w:val="003CA0"/>
          <w:sz w:val="16"/>
        </w:rPr>
        <w:t>[ADI 2.601, rel. min. Ricardo Lewandowski, j. 19-8-2021, P, DJE de 4-2-2022.]</w:t>
      </w:r>
    </w:p>
    <w:p>
      <w:pPr>
        <w:ind w:left="288"/>
      </w:pPr>
      <w:r>
        <w:rPr>
          <w:color w:val="8C8C8C"/>
          <w:sz w:val="12"/>
        </w:rPr>
        <w:t>cf-art-84-inc-V-ali-a</w:t>
      </w:r>
      <w:r>
        <w:rPr>
          <w:color w:val="003CA0"/>
          <w:sz w:val="12"/>
        </w:rPr>
        <w:t xml:space="preserve"> | ADI 6.121</w:t>
      </w:r>
      <w:r>
        <w:rPr>
          <w:color w:val="003CA0"/>
          <w:sz w:val="12"/>
        </w:rPr>
        <w:t xml:space="preserve"> | rel. Marco Aurélio</w:t>
      </w:r>
    </w:p>
    <w:p>
      <w:pPr>
        <w:ind w:left="288"/>
      </w:pPr>
      <w:r>
        <w:rPr>
          <w:color w:val="1E1E1E"/>
          <w:sz w:val="18"/>
        </w:rPr>
        <w:t>Competência normativa. Administração pública. Órgãos colegiados. Previsão legal. Extinção. Chancela parlamentar. Considerado o princípio da separação dos poderes, conflita com a Constituição Federal a extinção, por ato unilateralmente editado pelo Chefe do Executivo, de órgãos colegiados que, contando com menção em lei em sentido formal, viabilizem a participação popular na condução das políticas públicas – mesmo quando ausente expressa ‘indicação de suas competências ou dos membros que o compõem’.</w:t>
      </w:r>
    </w:p>
    <w:p>
      <w:pPr>
        <w:ind w:left="288"/>
      </w:pPr>
      <w:r>
        <w:rPr>
          <w:b/>
          <w:color w:val="003CA0"/>
          <w:sz w:val="16"/>
        </w:rPr>
        <w:t>[ADI 6.121 MC, rel. min. Marco Aurélio, j. 13-6-2019, P, DJE de 28-11-2019.]</w:t>
      </w:r>
    </w:p>
    <w:p>
      <w:pPr>
        <w:ind w:left="288"/>
      </w:pPr>
      <w:r>
        <w:rPr>
          <w:color w:val="8C8C8C"/>
          <w:sz w:val="12"/>
        </w:rPr>
        <w:t>cf-art-84-inc-V-ali-a</w:t>
      </w:r>
      <w:r>
        <w:rPr>
          <w:color w:val="003CA0"/>
          <w:sz w:val="12"/>
        </w:rPr>
        <w:t xml:space="preserve"> | ADI 3.232</w:t>
      </w:r>
      <w:r>
        <w:rPr>
          <w:color w:val="003CA0"/>
          <w:sz w:val="12"/>
        </w:rPr>
        <w:t xml:space="preserve"> | rel. Cezar Peluso</w:t>
      </w:r>
    </w:p>
    <w:p>
      <w:pPr>
        <w:ind w:left="288"/>
      </w:pPr>
      <w:r>
        <w:rPr>
          <w:color w:val="1E1E1E"/>
          <w:sz w:val="18"/>
        </w:rPr>
        <w:t>É admissível controle concentrado de constitucionalidade de decreto que, dando execução a lei inconstitucional, crie cargos públicos remunerados e estabeleça as respectivas denominações, competências, atribuições e remunerações. (...) Art. 5º da Lei 1.124/2000 do Estado do Tocantins. Administração pública. Criação de cargos e funções. Fixação de atribuições e remuneração dos servidores. Efeitos jurídicos delegados a decretos do chefe do Executivo. Aumento de despesas. Inadmissibilidade. Necessidade de lei em sentido formal, de iniciativa privativa daquele. Ofensa aos arts. 61, § 1º, II, a, e 8</w:t>
      </w:r>
    </w:p>
    <w:p>
      <w:pPr>
        <w:ind w:left="288"/>
      </w:pPr>
      <w:r>
        <w:rPr>
          <w:b/>
          <w:color w:val="003CA0"/>
          <w:sz w:val="16"/>
        </w:rPr>
        <w:t>[ADI 3.232, rel. min. Cezar Peluso, j. 14-8-2008, P, DJE de 3-10-2008.]</w:t>
      </w:r>
    </w:p>
    <w:p>
      <w:pPr>
        <w:ind w:left="288"/>
      </w:pPr>
      <w:r>
        <w:rPr>
          <w:color w:val="8C8C8C"/>
          <w:sz w:val="12"/>
        </w:rPr>
        <w:t>cf-art-84-inc-V-ali-a</w:t>
      </w:r>
      <w:r>
        <w:rPr>
          <w:color w:val="003CA0"/>
          <w:sz w:val="12"/>
        </w:rPr>
        <w:t xml:space="preserve"> | ADI 4.125</w:t>
      </w:r>
      <w:r>
        <w:rPr>
          <w:color w:val="003CA0"/>
          <w:sz w:val="12"/>
        </w:rPr>
        <w:t xml:space="preserve"> | rel. Cármen Lúcia</w:t>
      </w:r>
    </w:p>
    <w:p>
      <w:pPr>
        <w:ind w:left="288"/>
      </w:pPr>
      <w:r>
        <w:rPr>
          <w:color w:val="1E1E1E"/>
          <w:sz w:val="18"/>
        </w:rPr>
        <w:t xml:space="preserve">= ADI 4.125, rel. min. Cármen Lúcia, j. 10-6-2010, P, DJE de 15-2-2011 A Lei 6.835/2001, de iniciativa da Mesa da Assembleia Legislativa do Estado do Espírito Santo, cria nova atribuição à Secretaria de Fazenda Estadual, órgão integrante do Poder Executivo daquele Estado. À luz do princípio da simetria, são de iniciativa do chefe do Poder Executivo estadual as leis que versem sobre a organização administrativa do Estado, podendo a questão referente à organização e funcionamento da administração estadual, quando não importar aumento de despesa, ser regulamentada por meio de decreto do chefe do </w:t>
      </w:r>
    </w:p>
    <w:p>
      <w:pPr>
        <w:ind w:left="288"/>
      </w:pPr>
      <w:r>
        <w:rPr>
          <w:b/>
          <w:color w:val="003CA0"/>
          <w:sz w:val="16"/>
        </w:rPr>
        <w:t>[ADI 2.857, rel. min. Joaquim Barbosa, j. 30-8-2007, P, DJ de 30-11-2007.]</w:t>
      </w:r>
    </w:p>
    <w:p>
      <w:pPr>
        <w:ind w:left="288"/>
      </w:pPr>
      <w:r>
        <w:rPr>
          <w:color w:val="8C8C8C"/>
          <w:sz w:val="12"/>
        </w:rPr>
        <w:t>cf-art-84-inc-V-ali-a</w:t>
      </w:r>
      <w:r>
        <w:rPr>
          <w:color w:val="003CA0"/>
          <w:sz w:val="12"/>
        </w:rPr>
        <w:t xml:space="preserve"> | ADI 3.254</w:t>
      </w:r>
      <w:r>
        <w:rPr>
          <w:color w:val="003CA0"/>
          <w:sz w:val="12"/>
        </w:rPr>
        <w:t xml:space="preserve"> | rel. Ellen Gracie</w:t>
      </w:r>
    </w:p>
    <w:p>
      <w:pPr>
        <w:ind w:left="288"/>
      </w:pPr>
      <w:r>
        <w:rPr>
          <w:color w:val="1E1E1E"/>
          <w:sz w:val="18"/>
        </w:rPr>
        <w:t>É indispensável a iniciativa do chefe do Poder Executivo (mediante projeto de lei ou mesmo, após a EC 32/2001, por meio de decreto) na elaboração de normas que de alguma forma remodelem as atribuições de órgão pertencente à estrutura administrativa de determinada unidade da Federação.</w:t>
      </w:r>
    </w:p>
    <w:p>
      <w:pPr>
        <w:ind w:left="288"/>
      </w:pPr>
      <w:r>
        <w:rPr>
          <w:b/>
          <w:color w:val="003CA0"/>
          <w:sz w:val="16"/>
        </w:rPr>
        <w:t>[ADI 3.254, rel. min. Ellen Gracie, j. 16-11-2005, P, DJ de 2-12-2005.]</w:t>
      </w:r>
    </w:p>
    <w:p>
      <w:pPr>
        <w:ind w:left="288"/>
      </w:pPr>
      <w:r>
        <w:rPr>
          <w:color w:val="8C8C8C"/>
          <w:sz w:val="12"/>
        </w:rPr>
        <w:t>cf-art-84-inc-V-ali-a</w:t>
      </w:r>
      <w:r>
        <w:rPr>
          <w:color w:val="003CA0"/>
          <w:sz w:val="12"/>
        </w:rPr>
        <w:t xml:space="preserve"> | ADI 2.564</w:t>
      </w:r>
      <w:r>
        <w:rPr>
          <w:color w:val="003CA0"/>
          <w:sz w:val="12"/>
        </w:rPr>
        <w:t xml:space="preserve"> | rel. Ellen Gracie</w:t>
      </w:r>
    </w:p>
    <w:p>
      <w:pPr>
        <w:ind w:left="288"/>
      </w:pPr>
      <w:r>
        <w:rPr>
          <w:color w:val="1E1E1E"/>
          <w:sz w:val="18"/>
        </w:rPr>
        <w:t>Decreto 4.010, de 12-11-2001. Pagamento de servidores públicos da administração federal. Liberação de recursos. Exigência de prévia autorização do presidente da República. Os arts. 76 e 84, I, II e VI, a, todos da CF, atribuem ao presidente da República a posição de chefe supremo da administração pública federal, ao qual estão subordinados os ministros de Estado. Ausência de ofensa ao princípio da reserva legal, diante da nova redação atribuída ao inciso VI do art. 84 pela EC 32/2001, que permite expressamente ao presidente da República dispor, por decreto, sobre a organização e o funcionament</w:t>
      </w:r>
    </w:p>
    <w:p>
      <w:pPr>
        <w:ind w:left="288"/>
      </w:pPr>
      <w:r>
        <w:rPr>
          <w:b/>
          <w:color w:val="003CA0"/>
          <w:sz w:val="16"/>
        </w:rPr>
        <w:t>[ADI 2.564, rel. min. Ellen Gracie, j. 8-10-2003, P, DJ de 6-2-2004.]</w:t>
      </w:r>
    </w:p>
    <w:p>
      <w:pPr>
        <w:ind w:left="288"/>
      </w:pPr>
      <w:r>
        <w:rPr>
          <w:color w:val="8C8C8C"/>
          <w:sz w:val="12"/>
        </w:rPr>
        <w:t>cf-art-84-inc-V-ali-b</w:t>
      </w:r>
      <w:r>
        <w:rPr>
          <w:color w:val="003CA0"/>
          <w:sz w:val="12"/>
        </w:rPr>
        <w:t xml:space="preserve"> | ADI 6.180</w:t>
      </w:r>
      <w:r>
        <w:rPr>
          <w:color w:val="003CA0"/>
          <w:sz w:val="12"/>
        </w:rPr>
        <w:t xml:space="preserve"> | rel. Dias Toffoli</w:t>
      </w:r>
    </w:p>
    <w:p>
      <w:pPr>
        <w:ind w:left="288"/>
      </w:pPr>
      <w:r>
        <w:rPr>
          <w:color w:val="1E1E1E"/>
          <w:sz w:val="18"/>
        </w:rPr>
        <w:t>Há autorização constitucional para que o chefe do Executivo disponha, em certas situações, mediante decreto, sobre organização e funcionamento da Administração Pública, desde que observadas as condições previstas no art. 84, inciso VI, alíneas a e b, da Constituição. Todavia, para fins de mera reorganização interna da Administração Pública, não é cabível a transformação, mediante decreto ou outro ato normativo infralegal, de funções de confiança em cargos em comissão e vice-versa, uma vez que tais postos funcionais possuem naturezas e formas de provimento distintas, por expressa disposição con</w:t>
      </w:r>
    </w:p>
    <w:p>
      <w:pPr>
        <w:ind w:left="144"/>
      </w:pPr>
      <w:r>
        <w:rPr>
          <w:b/>
          <w:color w:val="B45A00"/>
          <w:sz w:val="16"/>
        </w:rPr>
        <w:t>JULGADOS CORRELATOS</w:t>
      </w:r>
    </w:p>
    <w:p>
      <w:pPr>
        <w:ind w:left="288"/>
      </w:pPr>
      <w:r>
        <w:rPr>
          <w:color w:val="8C8C8C"/>
          <w:sz w:val="12"/>
        </w:rPr>
        <w:t>cf-art-84-inc-VII</w:t>
      </w:r>
      <w:r>
        <w:rPr>
          <w:color w:val="003CA0"/>
          <w:sz w:val="12"/>
        </w:rPr>
        <w:t xml:space="preserve"> | EXT 1.085.</w:t>
      </w:r>
      <w:r>
        <w:rPr>
          <w:color w:val="003CA0"/>
          <w:sz w:val="12"/>
        </w:rPr>
        <w:t xml:space="preserve"> | rel. Celso de Mello</w:t>
      </w:r>
    </w:p>
    <w:p>
      <w:pPr>
        <w:ind w:left="288"/>
      </w:pPr>
      <w:r>
        <w:rPr>
          <w:color w:val="1E1E1E"/>
          <w:sz w:val="18"/>
        </w:rPr>
        <w:t>A soberania nacional no plano transnacional funda-se no princípio da independência nacional, efetivada pelo presidente da República, consoante suas atribuições previstas no art. 84, VII e VIII, da Lei Maior. A soberania, dicotomizada em interna e externa, tem na primeira a exteriorização da vontade popular (art. 14 da CRFB) através dos representantes do povo no parlamento e no governo; na segunda, a sua expressão no plano internacional, por meio do presidente da República. No campo da soberania, relativamente à extradição, é assente que o ato de entrega do extraditando é exclusivo, da competên</w:t>
      </w:r>
    </w:p>
    <w:p>
      <w:pPr>
        <w:ind w:left="288"/>
      </w:pPr>
      <w:r>
        <w:rPr>
          <w:b/>
          <w:color w:val="003CA0"/>
          <w:sz w:val="16"/>
        </w:rPr>
        <w:t>[Rcl 11.243, red. do ac. min. Luiz Fux, j. 8-6-2011, P, DJE de 5-10-2011.]</w:t>
      </w:r>
    </w:p>
    <w:p>
      <w:pPr>
        <w:ind w:left="288"/>
      </w:pPr>
      <w:r>
        <w:rPr>
          <w:color w:val="8C8C8C"/>
          <w:sz w:val="12"/>
        </w:rPr>
        <w:t>cf-art-84-inc-VII</w:t>
      </w:r>
      <w:r>
        <w:rPr>
          <w:color w:val="003CA0"/>
          <w:sz w:val="12"/>
        </w:rPr>
        <w:t xml:space="preserve"> | EXT 493</w:t>
      </w:r>
    </w:p>
    <w:p>
      <w:pPr>
        <w:ind w:left="288"/>
      </w:pPr>
      <w:r>
        <w:rPr>
          <w:color w:val="1E1E1E"/>
          <w:sz w:val="18"/>
        </w:rPr>
        <w:t>É válida a lei que reserva ao Poder Executivo – a quem incumbe, por atribuição constitucional, a competência para tomar decisões que tenham reflexos no plano das relações internacionais do Estado – o poder privativo de conceder asilo ou refúgio. (...) (Ext 493).</w:t>
      </w:r>
    </w:p>
    <w:p>
      <w:pPr>
        <w:ind w:left="288"/>
      </w:pPr>
      <w:r>
        <w:rPr>
          <w:b/>
          <w:color w:val="003CA0"/>
          <w:sz w:val="16"/>
        </w:rPr>
        <w:t>[Ext 1.008, red. do ac. min. Sepúlveda Pertence, j. 21-3-2007, P, DJ de 17-8-2007.]</w:t>
      </w:r>
    </w:p>
    <w:p>
      <w:pPr>
        <w:ind w:left="144"/>
      </w:pPr>
      <w:r>
        <w:rPr>
          <w:b/>
          <w:color w:val="B45A00"/>
          <w:sz w:val="16"/>
        </w:rPr>
        <w:t>CONTROLE CONCENTRADO</w:t>
      </w:r>
    </w:p>
    <w:p>
      <w:pPr>
        <w:ind w:left="288"/>
      </w:pPr>
      <w:r>
        <w:rPr>
          <w:color w:val="8C8C8C"/>
          <w:sz w:val="12"/>
        </w:rPr>
        <w:t>cf-art-84-inc-VIII</w:t>
      </w:r>
      <w:r>
        <w:rPr>
          <w:color w:val="003CA0"/>
          <w:sz w:val="12"/>
        </w:rPr>
        <w:t xml:space="preserve"> | ADC 39</w:t>
      </w:r>
      <w:r>
        <w:rPr>
          <w:color w:val="003CA0"/>
          <w:sz w:val="12"/>
        </w:rPr>
        <w:t xml:space="preserve"> | rel. Dias Toffoli</w:t>
      </w:r>
    </w:p>
    <w:p>
      <w:pPr>
        <w:ind w:left="288"/>
      </w:pPr>
      <w:r>
        <w:rPr>
          <w:color w:val="1E1E1E"/>
          <w:sz w:val="18"/>
        </w:rPr>
        <w:t>(...) a denúncia pelo Presidente da República de tratados internacionais aprovados pelo Congresso Nacional, para que produza efeitos no ordenamento jurídico interno, não prescinde da sua aprovação pelo Congresso”. Aplicação desse entendimento a partir da publicação da ata do julgamento, mantendo-se a eficácia das denúncias realizadas até esse marco temporal.</w:t>
        <w:br/>
        <w:t>[ADC 39, rel. min. Dias Toffoli, j. 19-6-2023, P, DJE de 18-8-2023.] O exame da vigente CF permite constatar que a execução dos tratados internacionais e a sua incorporação à ordem jurídica interna decorrem, no sistema adotado pelo Brasil,</w:t>
      </w:r>
    </w:p>
    <w:p>
      <w:pPr>
        <w:ind w:left="144"/>
      </w:pPr>
      <w:r>
        <w:rPr>
          <w:b/>
          <w:color w:val="B45A00"/>
          <w:sz w:val="16"/>
        </w:rPr>
        <w:t>JULGADOS CORRELATOS</w:t>
      </w:r>
    </w:p>
    <w:p>
      <w:pPr>
        <w:ind w:left="288"/>
      </w:pPr>
      <w:r>
        <w:rPr>
          <w:color w:val="8C8C8C"/>
          <w:sz w:val="12"/>
        </w:rPr>
        <w:t>cf-art-84-inc-VIII</w:t>
      </w:r>
      <w:r>
        <w:rPr>
          <w:color w:val="003CA0"/>
          <w:sz w:val="12"/>
        </w:rPr>
        <w:t xml:space="preserve"> | HC 67.635</w:t>
      </w:r>
      <w:r>
        <w:rPr>
          <w:color w:val="003CA0"/>
          <w:sz w:val="12"/>
        </w:rPr>
        <w:t xml:space="preserve"> | rel. Paulo Brossard</w:t>
      </w:r>
    </w:p>
    <w:p>
      <w:pPr>
        <w:ind w:left="288"/>
      </w:pPr>
      <w:r>
        <w:rPr>
          <w:color w:val="1E1E1E"/>
          <w:sz w:val="18"/>
        </w:rPr>
        <w:t>Tratado de extradição. Acolhimento pela Constituição dos atos a ela anteriores, desde que compatíveis. Desnecessidade de novo referendo pelo Congresso Nacional (CF, art. 84, VIII).</w:t>
      </w:r>
    </w:p>
    <w:p>
      <w:pPr>
        <w:ind w:left="288"/>
      </w:pPr>
      <w:r>
        <w:rPr>
          <w:b/>
          <w:color w:val="003CA0"/>
          <w:sz w:val="16"/>
        </w:rPr>
        <w:t>[HC 67.635, rel. min. Paulo Brossard, j. 30-8-1989, P, DJ de 29-9-1989.]</w:t>
      </w:r>
    </w:p>
    <w:p>
      <w:pPr>
        <w:ind w:left="144"/>
      </w:pPr>
      <w:r>
        <w:rPr>
          <w:b/>
          <w:color w:val="B45A00"/>
          <w:sz w:val="16"/>
        </w:rPr>
        <w:t>CONTROLE CONCENTRADO</w:t>
      </w:r>
    </w:p>
    <w:p>
      <w:pPr>
        <w:ind w:left="288"/>
      </w:pPr>
      <w:r>
        <w:rPr>
          <w:color w:val="8C8C8C"/>
          <w:sz w:val="12"/>
        </w:rPr>
        <w:t>cf-art-84-inc-XII</w:t>
      </w:r>
      <w:r>
        <w:rPr>
          <w:color w:val="003CA0"/>
          <w:sz w:val="12"/>
        </w:rPr>
        <w:t xml:space="preserve"> | ADPF 964</w:t>
      </w:r>
      <w:r>
        <w:rPr>
          <w:color w:val="003CA0"/>
          <w:sz w:val="12"/>
        </w:rPr>
        <w:t xml:space="preserve"> | rel. Rosa Weber</w:t>
      </w:r>
    </w:p>
    <w:p>
      <w:pPr>
        <w:ind w:left="288"/>
      </w:pPr>
      <w:r>
        <w:rPr>
          <w:color w:val="1E1E1E"/>
          <w:sz w:val="18"/>
        </w:rPr>
        <w:t>O perdão presidencial é um importante instrumento, à disposição do Poder Executivo, de contrapeso ao Poder Judiciário, revelando-se, pois, legítima, em tese, quando devidamente prevista no texto constitucional, a interferência de um Poder no outro. (...) A existência de vício em quaisquer dos elementos constitutivos do ato administrativo permite a sua legítima invalidação pelo Poder Judiciário. O ato de governo ou ato político, espécie do gênero ato administrativo, reveste-se de espectro mais amplo de discricionariedade. Disso não resulta, contudo, sua insindicabilidade absoluta perante o Pode</w:t>
      </w:r>
    </w:p>
    <w:p>
      <w:pPr>
        <w:ind w:left="288"/>
      </w:pPr>
      <w:r>
        <w:rPr>
          <w:b/>
          <w:color w:val="003CA0"/>
          <w:sz w:val="16"/>
        </w:rPr>
        <w:t>[ADI 1.231, rel. min. Carlos Velloso, j. 15-12-2005, P, DJ de 28-4-2006.]</w:t>
      </w:r>
    </w:p>
    <w:p>
      <w:pPr>
        <w:ind w:left="288"/>
      </w:pPr>
      <w:r>
        <w:rPr>
          <w:color w:val="8C8C8C"/>
          <w:sz w:val="12"/>
        </w:rPr>
        <w:t>cf-art-84-inc-XII</w:t>
      </w:r>
      <w:r>
        <w:rPr>
          <w:color w:val="003CA0"/>
          <w:sz w:val="12"/>
        </w:rPr>
        <w:t xml:space="preserve"> | RE 1.450.100</w:t>
      </w:r>
      <w:r>
        <w:rPr>
          <w:color w:val="003CA0"/>
          <w:sz w:val="12"/>
        </w:rPr>
        <w:t xml:space="preserve"> | rel. Flávio Dino</w:t>
      </w:r>
    </w:p>
    <w:p>
      <w:pPr>
        <w:ind w:left="288"/>
      </w:pPr>
      <w:r>
        <w:rPr>
          <w:color w:val="1E1E1E"/>
          <w:sz w:val="18"/>
        </w:rPr>
        <w:t>“É constitucional o indulto natalino do art. 5º, caput e parágrafo único, do Decreto Presidencial nº 11.302, de 22/12/2022”.</w:t>
      </w:r>
    </w:p>
    <w:p>
      <w:pPr>
        <w:ind w:left="288"/>
      </w:pPr>
      <w:r>
        <w:rPr>
          <w:b/>
          <w:color w:val="003CA0"/>
          <w:sz w:val="16"/>
        </w:rPr>
        <w:t>[RE 1.450.100, rel. min. Flávio Dino, j. 19.05.2025, P, DJE de 23.05.2025, Tema 1.267, com mérito julgado.]</w:t>
      </w:r>
    </w:p>
    <w:p>
      <w:pPr>
        <w:ind w:left="144"/>
      </w:pPr>
      <w:r>
        <w:rPr>
          <w:b/>
          <w:color w:val="B45A00"/>
          <w:sz w:val="16"/>
        </w:rPr>
        <w:t>REPERCUSSAO GERAL</w:t>
      </w:r>
    </w:p>
    <w:p>
      <w:pPr>
        <w:ind w:left="288"/>
      </w:pPr>
      <w:r>
        <w:rPr>
          <w:color w:val="8C8C8C"/>
          <w:sz w:val="12"/>
        </w:rPr>
        <w:t>cf-art-84-inc-XII</w:t>
      </w:r>
      <w:r>
        <w:rPr>
          <w:color w:val="003CA0"/>
          <w:sz w:val="12"/>
        </w:rPr>
        <w:t xml:space="preserve"> | RE 628.658</w:t>
      </w:r>
      <w:r>
        <w:rPr>
          <w:color w:val="003CA0"/>
          <w:sz w:val="12"/>
        </w:rPr>
        <w:t xml:space="preserve"> | rel. Marco Aurélio</w:t>
      </w:r>
    </w:p>
    <w:p>
      <w:pPr>
        <w:ind w:left="288"/>
      </w:pPr>
      <w:r>
        <w:rPr>
          <w:color w:val="1E1E1E"/>
          <w:sz w:val="18"/>
        </w:rPr>
        <w:t>Sendo a medida de segurança sanção penal, o período de cumprimento repercute no tempo exigido para o indulto.</w:t>
        <w:br/>
        <w:t>[RE 628.658, rel. min. Marco Aurélio, j. 5-11-2015, P, DJE de 1º-4-2016, Tema 371.]</w:t>
      </w:r>
    </w:p>
    <w:p>
      <w:pPr>
        <w:ind w:left="144"/>
      </w:pPr>
      <w:r>
        <w:rPr>
          <w:b/>
          <w:color w:val="B45A00"/>
          <w:sz w:val="16"/>
        </w:rPr>
        <w:t>JULGADOS CORRELATOS</w:t>
      </w:r>
    </w:p>
    <w:p>
      <w:pPr>
        <w:ind w:left="288"/>
      </w:pPr>
      <w:r>
        <w:rPr>
          <w:color w:val="8C8C8C"/>
          <w:sz w:val="12"/>
        </w:rPr>
        <w:t>cf-art-84-inc-XII</w:t>
      </w:r>
      <w:r>
        <w:rPr>
          <w:color w:val="003CA0"/>
          <w:sz w:val="12"/>
        </w:rPr>
        <w:t xml:space="preserve"> | AI 701.673</w:t>
      </w:r>
      <w:r>
        <w:rPr>
          <w:color w:val="003CA0"/>
          <w:sz w:val="12"/>
        </w:rPr>
        <w:t xml:space="preserve"> | rel. Ricardo Lewandowski</w:t>
      </w:r>
    </w:p>
    <w:p>
      <w:pPr>
        <w:ind w:left="288"/>
      </w:pPr>
      <w:r>
        <w:rPr>
          <w:color w:val="1E1E1E"/>
          <w:sz w:val="18"/>
        </w:rPr>
        <w:t>A concessão do benefício do indulto é uma faculdade atribuída ao presidente da República. Assim, é possível a imposição de condições para tê-lo como aperfeiçoado, desde que em conformidade com a CF.</w:t>
      </w:r>
    </w:p>
    <w:p>
      <w:pPr>
        <w:ind w:left="288"/>
      </w:pPr>
      <w:r>
        <w:rPr>
          <w:b/>
          <w:color w:val="003CA0"/>
          <w:sz w:val="16"/>
        </w:rPr>
        <w:t>[AI 701.673 AgR, rel. min. Ricardo Lewandowski, j. 5-5-2009, 1ª T, DJE de 5-6-2009.]</w:t>
      </w:r>
    </w:p>
    <w:p>
      <w:pPr>
        <w:ind w:left="288"/>
      </w:pPr>
      <w:r>
        <w:rPr>
          <w:color w:val="8C8C8C"/>
          <w:sz w:val="12"/>
        </w:rPr>
        <w:t>cf-art-84-inc-XII</w:t>
      </w:r>
      <w:r>
        <w:rPr>
          <w:color w:val="003CA0"/>
          <w:sz w:val="12"/>
        </w:rPr>
        <w:t xml:space="preserve"> | HC 90.364</w:t>
      </w:r>
      <w:r>
        <w:rPr>
          <w:color w:val="003CA0"/>
          <w:sz w:val="12"/>
        </w:rPr>
        <w:t xml:space="preserve"> | rel. Ricardo Lewandowski</w:t>
      </w:r>
    </w:p>
    <w:p>
      <w:pPr>
        <w:ind w:left="288"/>
      </w:pPr>
      <w:r>
        <w:rPr>
          <w:color w:val="1E1E1E"/>
          <w:sz w:val="18"/>
        </w:rPr>
        <w:t>O art. 5º, XLIII, da Constituição, que proíbe a graça, gênero do qual o indulto é espécie, nos crimes hediondos definidos em lei, não conflita com o art. 84, XII, da Lei Maior. O decreto presidencial que concede o indulto configura ato de governo, caracterizado pela ampla discricionariedade.</w:t>
      </w:r>
    </w:p>
    <w:p>
      <w:pPr>
        <w:ind w:left="288"/>
      </w:pPr>
      <w:r>
        <w:rPr>
          <w:b/>
          <w:color w:val="003CA0"/>
          <w:sz w:val="16"/>
        </w:rPr>
        <w:t>[HC 90.364, rel. min. Ricardo Lewandowski, j. 31-10-2007, P, DJ de 30-11-2007.]</w:t>
      </w:r>
    </w:p>
    <w:p>
      <w:pPr>
        <w:ind w:left="288"/>
      </w:pPr>
      <w:r>
        <w:rPr>
          <w:color w:val="8C8C8C"/>
          <w:sz w:val="12"/>
        </w:rPr>
        <w:t>cf-art-84-inc-XII</w:t>
      </w:r>
      <w:r>
        <w:rPr>
          <w:color w:val="003CA0"/>
          <w:sz w:val="12"/>
        </w:rPr>
        <w:t xml:space="preserve"> | HC 81.810</w:t>
      </w:r>
      <w:r>
        <w:rPr>
          <w:color w:val="003CA0"/>
          <w:sz w:val="12"/>
        </w:rPr>
        <w:t xml:space="preserve"> | rel. Cezar Peluso</w:t>
      </w:r>
    </w:p>
    <w:p>
      <w:pPr>
        <w:ind w:left="288"/>
      </w:pPr>
      <w:r>
        <w:rPr>
          <w:color w:val="1E1E1E"/>
          <w:sz w:val="18"/>
        </w:rPr>
        <w:t>= HC 81.810, rel. min. Cezar Peluso, j. 16-4-2009, P, DJE de 7-8-2009 Não pode, em tese, a lei ordinária restringir o poder constitucional do presidente da República de "conceder indulto e comutar penas, com audiência, se necessário, dos órgãos instituídos em lei" (CF, art. 84, XII), opondo-lhe vedações materiais não decorrentes da Constituição. Não obstante, é constitucional o art. 2º, I, da Lei 8.072/1990, porque nele a menção ao indulto é meramente expletiva da proibição de graça aos condenados por crimes hediondos ditada pelo art. 5º, XLIII, da Constituição. Na Constituição, a graça indivi</w:t>
      </w:r>
    </w:p>
    <w:p>
      <w:pPr>
        <w:ind w:left="288"/>
      </w:pPr>
      <w:r>
        <w:rPr>
          <w:b/>
          <w:color w:val="003CA0"/>
          <w:sz w:val="16"/>
        </w:rPr>
        <w:t>[HC 81.565, rel. min. Sepúlveda Pertence, j. 19-2-2002, 1ª T, DJ de 22-3-2002.]</w:t>
      </w:r>
    </w:p>
    <w:p>
      <w:pPr>
        <w:ind w:left="288"/>
      </w:pPr>
      <w:r>
        <w:rPr>
          <w:color w:val="8C8C8C"/>
          <w:sz w:val="12"/>
        </w:rPr>
        <w:t>cf-art-84-inc-XII</w:t>
      </w:r>
      <w:r>
        <w:rPr>
          <w:color w:val="003CA0"/>
          <w:sz w:val="12"/>
        </w:rPr>
        <w:t xml:space="preserve"> | RHC 71.400</w:t>
      </w:r>
      <w:r>
        <w:rPr>
          <w:color w:val="003CA0"/>
          <w:sz w:val="12"/>
        </w:rPr>
        <w:t xml:space="preserve"> | rel. Ilmar Galvão</w:t>
      </w:r>
    </w:p>
    <w:p>
      <w:pPr>
        <w:ind w:left="288"/>
      </w:pPr>
      <w:r>
        <w:rPr>
          <w:color w:val="1E1E1E"/>
          <w:sz w:val="18"/>
        </w:rPr>
        <w:t>A fixação do ressarcimento do dano como condição para o indulto não destoa da lógica de nosso sistema legal, que estimula a composição dos prejuízos causados pelo delito, mesmo antes do seu julgamento definitivo (v.g., arts. 16 e 312, § 2º, do CP), sem conferir-lhe, no entanto, caráter de obrigatoriedade, mas apenas de pressuposto para o gozo de determinado benefício. O sequestro de bens não tem o condão de tornar insolvente o réu para efeito de eximi-lo da satisfação do dano, erigida como condição para o indulto. Se o beneficiário não cumpre todos os requisitos do indulto, seu indeferimento n</w:t>
      </w:r>
    </w:p>
    <w:p>
      <w:pPr>
        <w:ind w:left="288"/>
      </w:pPr>
      <w:r>
        <w:rPr>
          <w:b/>
          <w:color w:val="003CA0"/>
          <w:sz w:val="16"/>
        </w:rPr>
        <w:t>[RHC 71.400, rel. min. Ilmar Galvão, j. 7-6-1994, 1ª T, DJ de 30-9-1994.]</w:t>
      </w:r>
    </w:p>
    <w:p>
      <w:pPr>
        <w:ind w:left="288"/>
      </w:pPr>
      <w:r>
        <w:rPr>
          <w:color w:val="8C8C8C"/>
          <w:sz w:val="12"/>
        </w:rPr>
        <w:t>cf-art-84-inc-XII</w:t>
      </w:r>
    </w:p>
    <w:p>
      <w:pPr>
        <w:ind w:left="288"/>
      </w:pPr>
      <w:r>
        <w:rPr>
          <w:color w:val="1E1E1E"/>
          <w:sz w:val="18"/>
        </w:rPr>
        <w:t>XIII - exercer o comando supremo das Forças Armadas, nomear os Comandantes da Marinha, do Exército e da Aeronáutica, promover seus oficiais-generais e nomeá-los para os cargos que lhes são privativos; (Redação da EC 23/1999)</w:t>
      </w:r>
    </w:p>
    <w:p>
      <w:pPr>
        <w:ind w:left="144"/>
      </w:pPr>
      <w:r>
        <w:rPr>
          <w:b/>
          <w:color w:val="B45A00"/>
          <w:sz w:val="16"/>
        </w:rPr>
        <w:t>CONTROLE CONCENTRADO</w:t>
      </w:r>
    </w:p>
    <w:p>
      <w:pPr>
        <w:ind w:left="288"/>
      </w:pPr>
      <w:r>
        <w:rPr>
          <w:color w:val="8C8C8C"/>
          <w:sz w:val="12"/>
        </w:rPr>
        <w:t>cf-art-84-inc-XII</w:t>
      </w:r>
      <w:r>
        <w:rPr>
          <w:color w:val="003CA0"/>
          <w:sz w:val="12"/>
        </w:rPr>
        <w:t xml:space="preserve"> | ADI 6.457</w:t>
      </w:r>
      <w:r>
        <w:rPr>
          <w:color w:val="003CA0"/>
          <w:sz w:val="12"/>
        </w:rPr>
        <w:t xml:space="preserve"> | rel. Luiz Fux</w:t>
      </w:r>
    </w:p>
    <w:p>
      <w:pPr>
        <w:ind w:left="288"/>
      </w:pPr>
      <w:r>
        <w:rPr>
          <w:color w:val="1E1E1E"/>
          <w:sz w:val="18"/>
        </w:rPr>
        <w:t>A chefia das Forças Armadas é poder limitado, excluindo-se de seu âmbito qualquer interpretação que permita sua utilização para indevidas intromissões no independente funcionamento dos outros Poderes, relacionando-se a autoridade sobre as Forças Armadas às competências materiais atribuídas pela Constituição ao Presidente da República. A prerrogativa do Presidente da República de autorizar o emprego das Forças Armadas, por iniciativa própria ou em atendimento a pedido manifestado por quaisquer dos outros poderes constitucionais – por intermédio dos Presidentes do Supremo Tribunal Federal, do Se</w:t>
      </w:r>
    </w:p>
    <w:p>
      <w:pPr>
        <w:ind w:left="144"/>
      </w:pPr>
      <w:r>
        <w:rPr>
          <w:b/>
          <w:color w:val="B45A00"/>
          <w:sz w:val="16"/>
        </w:rPr>
        <w:t>JULGADOS CORRELATOS</w:t>
      </w:r>
    </w:p>
    <w:p>
      <w:pPr>
        <w:ind w:left="288"/>
      </w:pPr>
      <w:r>
        <w:rPr>
          <w:color w:val="8C8C8C"/>
          <w:sz w:val="12"/>
        </w:rPr>
        <w:t>cf-art-84-inc-XII</w:t>
      </w:r>
      <w:r>
        <w:rPr>
          <w:color w:val="003CA0"/>
          <w:sz w:val="12"/>
        </w:rPr>
        <w:t xml:space="preserve"> | MS 25.549</w:t>
      </w:r>
      <w:r>
        <w:rPr>
          <w:color w:val="003CA0"/>
          <w:sz w:val="12"/>
        </w:rPr>
        <w:t xml:space="preserve"> | rel. Marco Aurélio</w:t>
      </w:r>
    </w:p>
    <w:p>
      <w:pPr>
        <w:ind w:left="288"/>
      </w:pPr>
      <w:r>
        <w:rPr>
          <w:color w:val="1E1E1E"/>
          <w:sz w:val="18"/>
        </w:rPr>
        <w:t>Forças Armadas. Desligamento de soldado-cabo. Mandado de segurança (...). Surge a impropriedade da impetração quando apontada como autoridade coatora, ante o fato de ser o chefe supremo das Forças Armadas, o presidente da República.</w:t>
      </w:r>
    </w:p>
    <w:p>
      <w:pPr>
        <w:ind w:left="288"/>
      </w:pPr>
      <w:r>
        <w:rPr>
          <w:b/>
          <w:color w:val="003CA0"/>
          <w:sz w:val="16"/>
        </w:rPr>
        <w:t>[MS 25.549 AgR, rel. min. Marco Aurélio, j. 2-4-2009, P, DJE de 8-5-2009.]</w:t>
      </w:r>
    </w:p>
    <w:p>
      <w:pPr>
        <w:ind w:left="288"/>
      </w:pPr>
      <w:r>
        <w:rPr>
          <w:color w:val="8C8C8C"/>
          <w:sz w:val="12"/>
        </w:rPr>
        <w:t>cf-art-84-inc-XII</w:t>
      </w:r>
    </w:p>
    <w:p>
      <w:pPr>
        <w:ind w:left="288"/>
      </w:pPr>
      <w:r>
        <w:rPr>
          <w:color w:val="1E1E1E"/>
          <w:sz w:val="18"/>
        </w:rPr>
        <w:t>XIV - nomear, após aprovação pelo Senado Federal, os Ministros do Supremo Tribunal Federal e dos Tribunais Superiores, os Governadores de Territórios, o Procurador-Geral da República, o presidente e os diretores do Banco Central e outros servidores, quando determinado em lei; XV - nomear, observado o disposto no art. 73, os Ministros do Tribunal de Contas da União;</w:t>
      </w:r>
    </w:p>
    <w:p>
      <w:pPr>
        <w:ind w:left="144"/>
      </w:pPr>
      <w:r>
        <w:rPr>
          <w:b/>
          <w:color w:val="B45A00"/>
          <w:sz w:val="16"/>
        </w:rPr>
        <w:t>CONTROLE CONCENTRADO</w:t>
      </w:r>
    </w:p>
    <w:p>
      <w:pPr>
        <w:ind w:left="288"/>
      </w:pPr>
      <w:r>
        <w:rPr>
          <w:color w:val="8C8C8C"/>
          <w:sz w:val="12"/>
        </w:rPr>
        <w:t>cf-art-84-inc-XII</w:t>
      </w:r>
      <w:r>
        <w:rPr>
          <w:color w:val="003CA0"/>
          <w:sz w:val="12"/>
        </w:rPr>
        <w:t xml:space="preserve"> | ADI 5.079</w:t>
      </w:r>
      <w:r>
        <w:rPr>
          <w:color w:val="003CA0"/>
          <w:sz w:val="12"/>
        </w:rPr>
        <w:t xml:space="preserve"> | rel. André Mendonça</w:t>
      </w:r>
    </w:p>
    <w:p>
      <w:pPr>
        <w:ind w:left="288"/>
      </w:pPr>
      <w:r>
        <w:rPr>
          <w:color w:val="1E1E1E"/>
          <w:sz w:val="18"/>
        </w:rPr>
        <w:t>Ofende a ordem constitucional interpretação de dispositivos regimentais que levem à conclusão de que o decreto legislativo, por si só, basta à nomeação dos Conselheiros do TCE/ES. A partir do emprego da técnica decisória referente à declaração parcial de inconstitucionalidade, sem redução de texto, exclui-se norma no sentido de que é possível a nomeação de Conselheiro do Tribunal de Contas estadual por meio de decreto legislativo editado por Assembleia Legislativa de Estado-membro, e não mediante decreto do Chefe do Poder Executivo, conforme reza o art. 84, inc. XV, da Constituição da Repúblic</w:t>
      </w:r>
    </w:p>
    <w:p>
      <w:pPr>
        <w:ind w:left="288"/>
      </w:pPr>
      <w:r>
        <w:rPr>
          <w:b/>
          <w:color w:val="003CA0"/>
          <w:sz w:val="16"/>
        </w:rPr>
        <w:t>[ADI 5.079, rel. min. André Mendonça, j. 17-12-2022, P, DJE de 15-2-2023.]</w:t>
      </w:r>
    </w:p>
    <w:p>
      <w:pPr>
        <w:ind w:left="288"/>
      </w:pPr>
      <w:r>
        <w:rPr>
          <w:color w:val="8C8C8C"/>
          <w:sz w:val="12"/>
        </w:rPr>
        <w:t>cf-art-84-inc-XII</w:t>
      </w:r>
    </w:p>
    <w:p>
      <w:pPr>
        <w:ind w:left="288"/>
      </w:pPr>
      <w:r>
        <w:rPr>
          <w:color w:val="1E1E1E"/>
          <w:sz w:val="18"/>
        </w:rPr>
        <w:t>XVI - nomear os magistrados, nos casos previstos nesta Constituição, e o Advogado-Geral da União;</w:t>
      </w:r>
    </w:p>
    <w:p>
      <w:pPr>
        <w:ind w:left="144"/>
      </w:pPr>
      <w:r>
        <w:rPr>
          <w:b/>
          <w:color w:val="B45A00"/>
          <w:sz w:val="16"/>
        </w:rPr>
        <w:t>SUMULA</w:t>
      </w:r>
    </w:p>
    <w:p>
      <w:pPr>
        <w:ind w:left="288"/>
      </w:pPr>
      <w:r>
        <w:rPr>
          <w:color w:val="8C8C8C"/>
          <w:sz w:val="12"/>
        </w:rPr>
        <w:t>cf-art-84-inc-XII</w:t>
      </w:r>
    </w:p>
    <w:p>
      <w:pPr>
        <w:ind w:left="288"/>
      </w:pPr>
      <w:r>
        <w:rPr>
          <w:color w:val="1E1E1E"/>
          <w:sz w:val="18"/>
        </w:rPr>
        <w:t>No mandado de segurança contra a nomeação de magistrado da competência do presidente da República, este é considerado autoridade coatora, ainda que o fundamento da impetração seja nulidade ocorrida em fase anterior ao procedimento.</w:t>
      </w:r>
    </w:p>
    <w:p>
      <w:pPr>
        <w:ind w:left="288"/>
      </w:pPr>
      <w:r>
        <w:rPr>
          <w:b/>
          <w:color w:val="003CA0"/>
          <w:sz w:val="16"/>
        </w:rPr>
        <w:t>[Súmula 627.]</w:t>
      </w:r>
    </w:p>
    <w:p>
      <w:pPr>
        <w:ind w:left="144"/>
      </w:pPr>
      <w:r>
        <w:rPr>
          <w:b/>
          <w:color w:val="B45A00"/>
          <w:sz w:val="16"/>
        </w:rPr>
        <w:t>JULGADOS CORRELATOS</w:t>
      </w:r>
    </w:p>
    <w:p>
      <w:pPr>
        <w:ind w:left="288"/>
      </w:pPr>
      <w:r>
        <w:rPr>
          <w:color w:val="8C8C8C"/>
          <w:sz w:val="12"/>
        </w:rPr>
        <w:t>cf-art-84-inc-XII</w:t>
      </w:r>
      <w:r>
        <w:rPr>
          <w:color w:val="003CA0"/>
          <w:sz w:val="12"/>
        </w:rPr>
        <w:t xml:space="preserve"> | MS 27.244</w:t>
      </w:r>
      <w:r>
        <w:rPr>
          <w:color w:val="003CA0"/>
          <w:sz w:val="12"/>
        </w:rPr>
        <w:t xml:space="preserve"> | rel. Joaquim Barbosa</w:t>
      </w:r>
    </w:p>
    <w:p>
      <w:pPr>
        <w:ind w:left="288"/>
      </w:pPr>
      <w:r>
        <w:rPr>
          <w:color w:val="1E1E1E"/>
          <w:sz w:val="18"/>
        </w:rPr>
        <w:t>Estando o presidente da República de posse de lista tríplice destinada ao preenchimento de vaga de magistrado de TRT, podendo nomear, a qualquer momento, aquele que vai ocupar o cargo vago, configura-se a competência desta Corte para o julgamento do mandado de segurança que impugna o processo de escolha dos integrantes da lista, nos termos da jurisprudência do STF, consolidada na Súmula 627 desta Corte.</w:t>
      </w:r>
    </w:p>
    <w:p>
      <w:pPr>
        <w:ind w:left="288"/>
      </w:pPr>
      <w:r>
        <w:rPr>
          <w:b/>
          <w:color w:val="003CA0"/>
          <w:sz w:val="16"/>
        </w:rPr>
        <w:t>[MS 27.244 QO, rel. min. Joaquim Barbosa, j. 13-5-2009, P, DJE de 19-3-2010.]</w:t>
      </w:r>
    </w:p>
    <w:p>
      <w:pPr>
        <w:ind w:left="288"/>
      </w:pPr>
      <w:r>
        <w:rPr>
          <w:color w:val="8C8C8C"/>
          <w:sz w:val="12"/>
        </w:rPr>
        <w:t>cf-art-84-inc-XII</w:t>
      </w:r>
    </w:p>
    <w:p>
      <w:pPr>
        <w:ind w:left="288"/>
      </w:pPr>
      <w:r>
        <w:rPr>
          <w:color w:val="1E1E1E"/>
          <w:sz w:val="18"/>
        </w:rPr>
        <w:t>XVII - nomear membros do Conselho da República, nos termos do art. 89, VII; XVIII - convocar e presidir o Conselho da República e o Conselho de Defesa Nacional; XIX - declarar guerra, no caso de agressão estrangeira, autorizado pelo Congresso Nacional ou referendado por ele, quando ocorrida no intervalo das sessões legislativas, e, nas mesmas condições, decretar, total ou parcialmente, a mobilização nacional;</w:t>
      </w:r>
    </w:p>
    <w:p>
      <w:pPr>
        <w:ind w:left="288"/>
      </w:pPr>
      <w:r>
        <w:rPr>
          <w:color w:val="8C8C8C"/>
          <w:sz w:val="12"/>
        </w:rPr>
        <w:t>cf-art-84-inc-XXIII</w:t>
      </w:r>
    </w:p>
    <w:p>
      <w:pPr>
        <w:ind w:left="288"/>
      </w:pPr>
      <w:r>
        <w:rPr>
          <w:color w:val="1E1E1E"/>
          <w:sz w:val="18"/>
        </w:rPr>
        <w:t>XXIV - prestar, anualmente, ao Congresso Nacional, dentro de sessenta dias após a abertura da sessão legislativa, as contas referentes ao exercício anterior;</w:t>
      </w:r>
    </w:p>
    <w:p>
      <w:pPr>
        <w:ind w:left="144"/>
      </w:pPr>
      <w:r>
        <w:rPr>
          <w:b/>
          <w:color w:val="B45A00"/>
          <w:sz w:val="16"/>
        </w:rPr>
        <w:t>CONTROLE CONCENTRADO</w:t>
      </w:r>
    </w:p>
    <w:p>
      <w:pPr>
        <w:ind w:left="288"/>
      </w:pPr>
      <w:r>
        <w:rPr>
          <w:color w:val="8C8C8C"/>
          <w:sz w:val="12"/>
        </w:rPr>
        <w:t>cf-art-84-inc-XXIII</w:t>
      </w:r>
      <w:r>
        <w:rPr>
          <w:color w:val="003CA0"/>
          <w:sz w:val="12"/>
        </w:rPr>
        <w:t xml:space="preserve"> | ADI 2.472</w:t>
      </w:r>
      <w:r>
        <w:rPr>
          <w:color w:val="003CA0"/>
          <w:sz w:val="12"/>
        </w:rPr>
        <w:t xml:space="preserve"> | rel. Maurício Corrêa</w:t>
      </w:r>
    </w:p>
    <w:p>
      <w:pPr>
        <w:ind w:left="288"/>
      </w:pPr>
      <w:r>
        <w:rPr>
          <w:color w:val="1E1E1E"/>
          <w:sz w:val="18"/>
        </w:rPr>
        <w:t>Prestação trimestral de contas à assembleia legislativa. Desconformidade com o parâmetro federal (CF, art. 84, XXIV), que prevê prestação anual de contas do presidente da República ao Congresso Nacional.</w:t>
      </w:r>
    </w:p>
    <w:p>
      <w:pPr>
        <w:ind w:left="288"/>
      </w:pPr>
      <w:r>
        <w:rPr>
          <w:b/>
          <w:color w:val="003CA0"/>
          <w:sz w:val="16"/>
        </w:rPr>
        <w:t>[ADI 2.472 MC, rel. min. Maurício Corrêa, j. 13-3-2002, P, DJ de 3-5-2002.]</w:t>
      </w:r>
    </w:p>
    <w:p>
      <w:pPr>
        <w:ind w:left="288"/>
      </w:pPr>
      <w:r>
        <w:rPr>
          <w:color w:val="8C8C8C"/>
          <w:sz w:val="12"/>
        </w:rPr>
        <w:t>cf-art-84-inc-XXIII</w:t>
      </w:r>
    </w:p>
    <w:p>
      <w:pPr>
        <w:ind w:left="288"/>
      </w:pPr>
      <w:r>
        <w:rPr>
          <w:color w:val="1E1E1E"/>
          <w:sz w:val="18"/>
        </w:rPr>
        <w:t>XXV - prover e extinguir os cargos públicos federais, na forma da lei;</w:t>
      </w:r>
    </w:p>
    <w:p>
      <w:pPr>
        <w:ind w:left="288"/>
      </w:pPr>
      <w:r>
        <w:rPr>
          <w:color w:val="8C8C8C"/>
          <w:sz w:val="12"/>
        </w:rPr>
        <w:t>cf-art-84-inc-XXIII</w:t>
      </w:r>
      <w:r>
        <w:rPr>
          <w:color w:val="003CA0"/>
          <w:sz w:val="12"/>
        </w:rPr>
        <w:t xml:space="preserve"> | ADI 2.167</w:t>
      </w:r>
    </w:p>
    <w:p>
      <w:pPr>
        <w:ind w:left="288"/>
      </w:pPr>
      <w:r>
        <w:rPr>
          <w:color w:val="1E1E1E"/>
          <w:sz w:val="18"/>
        </w:rPr>
        <w:t>É vedada à legislação estadual submeter à aprovação prévia da Assembleia Legislativa a nomeação de dirigentes de Autarquias, Fundações Públicas, Presidentes de Empresas de Economia Mista, Interventores de Municípios, bem como de titulares de Defensoria Pública e da Procuradoria-Geral do Estado; por afronta à separação de poderes.</w:t>
      </w:r>
    </w:p>
    <w:p>
      <w:pPr>
        <w:ind w:left="288"/>
      </w:pPr>
      <w:r>
        <w:rPr>
          <w:b/>
          <w:color w:val="003CA0"/>
          <w:sz w:val="16"/>
        </w:rPr>
        <w:t>[ADI 2.167, red. do ac. min. Alexandre de Moraes, j. 3-6-2020, P, DJE de 11-11-2020.]</w:t>
      </w:r>
    </w:p>
    <w:p>
      <w:pPr>
        <w:ind w:left="288"/>
      </w:pPr>
      <w:r>
        <w:rPr>
          <w:color w:val="8C8C8C"/>
          <w:sz w:val="12"/>
        </w:rPr>
        <w:t>cf-art-84-inc-XXIII</w:t>
      </w:r>
      <w:r>
        <w:rPr>
          <w:color w:val="003CA0"/>
          <w:sz w:val="12"/>
        </w:rPr>
        <w:t xml:space="preserve"> | ADI 291</w:t>
      </w:r>
      <w:r>
        <w:rPr>
          <w:color w:val="003CA0"/>
          <w:sz w:val="12"/>
        </w:rPr>
        <w:t xml:space="preserve"> | rel. Joaquim Barbosa</w:t>
      </w:r>
    </w:p>
    <w:p>
      <w:pPr>
        <w:ind w:left="288"/>
      </w:pPr>
      <w:r>
        <w:rPr>
          <w:color w:val="1E1E1E"/>
          <w:sz w:val="18"/>
        </w:rPr>
        <w:t>A Constituição do Estado de Mato Grosso, ao condicionar a destituição do procurador-geral do Estado à autorização da assembleia legislativa, ofende o disposto no art. 84, XXV, e art. 131, § 1º, da CF/1988. Compete ao chefe do Executivo dispor sobre as matérias exclusivas de sua iniciativa, não podendo tal prerrogativa ser estendida ao procurador-geral do Estado.</w:t>
      </w:r>
    </w:p>
    <w:p>
      <w:pPr>
        <w:ind w:left="288"/>
      </w:pPr>
      <w:r>
        <w:rPr>
          <w:b/>
          <w:color w:val="003CA0"/>
          <w:sz w:val="16"/>
        </w:rPr>
        <w:t>[ADI 291, rel. min. Joaquim Barbosa, j. 7-4-2010, P, DJE de 10-9-2010.]</w:t>
      </w:r>
    </w:p>
    <w:p>
      <w:pPr>
        <w:ind w:left="288"/>
      </w:pPr>
      <w:r>
        <w:rPr>
          <w:color w:val="8C8C8C"/>
          <w:sz w:val="12"/>
        </w:rPr>
        <w:t>cf-art-84-inc-XXIII</w:t>
      </w:r>
      <w:r>
        <w:rPr>
          <w:color w:val="003CA0"/>
          <w:sz w:val="12"/>
        </w:rPr>
        <w:t xml:space="preserve"> | ADI 123</w:t>
      </w:r>
      <w:r>
        <w:rPr>
          <w:color w:val="003CA0"/>
          <w:sz w:val="12"/>
        </w:rPr>
        <w:t xml:space="preserve"> | rel. Carlos Velloso</w:t>
      </w:r>
    </w:p>
    <w:p>
      <w:pPr>
        <w:ind w:left="288"/>
      </w:pPr>
      <w:r>
        <w:rPr>
          <w:color w:val="1E1E1E"/>
          <w:sz w:val="18"/>
        </w:rPr>
        <w:t>É inconstitucional o dispositivo da Constituição de Santa Catarina que estabelece o sistema eletivo, mediante voto direto e secreto, para escolha dos dirigentes dos estabelecimentos de ensino. É que os cargos públicos ou são providos mediante concurso público, ou, tratando-se de cargo em comissão, mediante livre nomeação e exoneração do chefe do Poder Executivo, se os cargos estão na órbita deste (CF, art. 37, II, art. 84, XXV).</w:t>
      </w:r>
    </w:p>
    <w:p>
      <w:pPr>
        <w:ind w:left="288"/>
      </w:pPr>
      <w:r>
        <w:rPr>
          <w:b/>
          <w:color w:val="003CA0"/>
          <w:sz w:val="16"/>
        </w:rPr>
        <w:t>[ADI 123, rel. min. Carlos Velloso, j. 3-2-1997, P, DJ de 12-9-1997.]</w:t>
      </w:r>
    </w:p>
    <w:p>
      <w:pPr>
        <w:ind w:left="288"/>
      </w:pPr>
      <w:r>
        <w:rPr>
          <w:color w:val="8C8C8C"/>
          <w:sz w:val="12"/>
        </w:rPr>
        <w:t>cf-art-84-inc-XXIII</w:t>
      </w:r>
      <w:r>
        <w:rPr>
          <w:color w:val="003CA0"/>
          <w:sz w:val="12"/>
        </w:rPr>
        <w:t xml:space="preserve"> | ADI 2.997</w:t>
      </w:r>
      <w:r>
        <w:rPr>
          <w:color w:val="003CA0"/>
          <w:sz w:val="12"/>
        </w:rPr>
        <w:t xml:space="preserve"> | rel. Cezar Peluso</w:t>
      </w:r>
    </w:p>
    <w:p>
      <w:pPr>
        <w:ind w:left="288"/>
      </w:pPr>
      <w:r>
        <w:rPr>
          <w:color w:val="1E1E1E"/>
          <w:sz w:val="18"/>
        </w:rPr>
        <w:t>= ADI 2.997, rel. min. Cezar Peluso, j. 12-8-2009, P, DJE de 12-3-2010</w:t>
      </w:r>
    </w:p>
    <w:p>
      <w:pPr>
        <w:ind w:left="144"/>
      </w:pPr>
      <w:r>
        <w:rPr>
          <w:b/>
          <w:color w:val="B45A00"/>
          <w:sz w:val="16"/>
        </w:rPr>
        <w:t>JULGADOS CORRELATOS</w:t>
      </w:r>
    </w:p>
    <w:p>
      <w:pPr>
        <w:ind w:left="288"/>
      </w:pPr>
      <w:r>
        <w:rPr>
          <w:color w:val="8C8C8C"/>
          <w:sz w:val="12"/>
        </w:rPr>
        <w:t>cf-art-84-inc-XXIII</w:t>
      </w:r>
      <w:r>
        <w:rPr>
          <w:color w:val="003CA0"/>
          <w:sz w:val="12"/>
        </w:rPr>
        <w:t xml:space="preserve"> | RE 633.009</w:t>
      </w:r>
      <w:r>
        <w:rPr>
          <w:color w:val="003CA0"/>
          <w:sz w:val="12"/>
        </w:rPr>
        <w:t xml:space="preserve"> | rel. Ricardo Lewandowski</w:t>
      </w:r>
    </w:p>
    <w:p>
      <w:pPr>
        <w:ind w:left="288"/>
      </w:pPr>
      <w:r>
        <w:rPr>
          <w:color w:val="1E1E1E"/>
          <w:sz w:val="18"/>
        </w:rPr>
        <w:t>Esta Corte firmou orientação no sentido da legitimidade de delegação a ministro de Estado da competência do chefe do Executivo Federal para, nos termos do art. 84, XXV, e parágrafo único, da CF, aplicar pena de demissão a servidores públicos federais. (...) Legitimidade da delegação a secretários estaduais da competência do governador do Estado de Goiás para (...) aplicar penalidade de demissão aos servidores do Executivo, tendo em vista o princípio da simetria.</w:t>
      </w:r>
    </w:p>
    <w:p>
      <w:pPr>
        <w:ind w:left="288"/>
      </w:pPr>
      <w:r>
        <w:rPr>
          <w:b/>
          <w:color w:val="003CA0"/>
          <w:sz w:val="16"/>
        </w:rPr>
        <w:t>[RE 633.009 AgR, rel. min. Ricardo Lewandowski, j. 13-9-2011, 2ª T, DJE de 27-9-2011.]</w:t>
      </w:r>
    </w:p>
    <w:p>
      <w:pPr>
        <w:ind w:left="288"/>
      </w:pPr>
      <w:r>
        <w:rPr>
          <w:color w:val="8C8C8C"/>
          <w:sz w:val="12"/>
        </w:rPr>
        <w:t>cf-art-84-inc-XXIII</w:t>
      </w:r>
      <w:r>
        <w:rPr>
          <w:color w:val="003CA0"/>
          <w:sz w:val="12"/>
        </w:rPr>
        <w:t xml:space="preserve"> | RE 608.848</w:t>
      </w:r>
      <w:r>
        <w:rPr>
          <w:color w:val="003CA0"/>
          <w:sz w:val="12"/>
        </w:rPr>
        <w:t xml:space="preserve"> | rel. Teori Zavascki</w:t>
      </w:r>
    </w:p>
    <w:p>
      <w:pPr>
        <w:ind w:left="288"/>
      </w:pPr>
      <w:r>
        <w:rPr>
          <w:color w:val="1E1E1E"/>
          <w:sz w:val="18"/>
        </w:rPr>
        <w:t>= RE 608.848 AgR, rel. min. Teori Zavascki, j. 17-12-2013, 2ª T, DJE de 11-2-2014 Presidente da República: competência para prover cargos públicos (CF, art. 84, XXV, primeira parte), que abrange a de desprovê-los, a qual, portanto é susceptível de delegação a ministro de Estado (CF, art. 84, parágrafo único): validade da portaria do ministro de Estado que, no uso de competência delegada, aplicou a pena de demissão ao impetrante.</w:t>
      </w:r>
    </w:p>
    <w:p>
      <w:pPr>
        <w:ind w:left="288"/>
      </w:pPr>
      <w:r>
        <w:rPr>
          <w:b/>
          <w:color w:val="003CA0"/>
          <w:sz w:val="16"/>
        </w:rPr>
        <w:t>[MS 25.518, rel. min. Sepúlveda Pertence, j. 14-6-2006, P, DJ de 10-8-2006.]</w:t>
      </w:r>
    </w:p>
    <w:p>
      <w:pPr>
        <w:ind w:left="288"/>
      </w:pPr>
      <w:r>
        <w:rPr>
          <w:color w:val="8C8C8C"/>
          <w:sz w:val="12"/>
        </w:rPr>
        <w:t>cf-art-84-inc-XXIII</w:t>
      </w:r>
    </w:p>
    <w:p>
      <w:pPr>
        <w:ind w:left="288"/>
      </w:pPr>
      <w:r>
        <w:rPr>
          <w:color w:val="1E1E1E"/>
          <w:sz w:val="18"/>
        </w:rPr>
        <w:t>XXVI - editar medidas provisórias com força de lei, nos termos do art. 62;</w:t>
      </w:r>
    </w:p>
    <w:p>
      <w:pPr>
        <w:ind w:left="144"/>
      </w:pPr>
      <w:r>
        <w:rPr>
          <w:b/>
          <w:color w:val="B45A00"/>
          <w:sz w:val="16"/>
        </w:rPr>
        <w:t>CONTROLE CONCENTRADO</w:t>
      </w:r>
    </w:p>
    <w:p>
      <w:pPr>
        <w:ind w:left="288"/>
      </w:pPr>
      <w:r>
        <w:rPr>
          <w:color w:val="8C8C8C"/>
          <w:sz w:val="12"/>
        </w:rPr>
        <w:t>cf-art-84-inc-XXIII</w:t>
      </w:r>
      <w:r>
        <w:rPr>
          <w:color w:val="003CA0"/>
          <w:sz w:val="12"/>
        </w:rPr>
        <w:t xml:space="preserve"> | ADI 425</w:t>
      </w:r>
      <w:r>
        <w:rPr>
          <w:color w:val="003CA0"/>
          <w:sz w:val="12"/>
        </w:rPr>
        <w:t xml:space="preserve"> | rel. Maurício Corrêa</w:t>
      </w:r>
    </w:p>
    <w:p>
      <w:pPr>
        <w:ind w:left="288"/>
      </w:pPr>
      <w:r>
        <w:rPr>
          <w:color w:val="1E1E1E"/>
          <w:sz w:val="18"/>
        </w:rPr>
        <w:t>Adoção de medida provisória por Estado-membro. Possibilidade. Arts. 62 e 84, XXVI, da CF. EC 32, de 11-9-2001, que alterou substancialmente a redação do art. 62. (...) No julgamento da ADI 425, rel. min. Maurício Corrêa, DJ de 19-12-2003, o Plenário desta Corte já havia reconhecido, por ampla maioria, a constitucionalidade da instituição de medida provisória estadual, desde que, primeiro, esse instrumento esteja expressamente previsto na Constituição do Estado e, segundo, sejam observados os princípios e as limitações impostas pelo modelo adotado pela CF, tendo em vista a necessidade da observ</w:t>
      </w:r>
    </w:p>
    <w:p>
      <w:pPr>
        <w:ind w:left="288"/>
      </w:pPr>
      <w:r>
        <w:rPr>
          <w:b/>
          <w:color w:val="003CA0"/>
          <w:sz w:val="16"/>
        </w:rPr>
        <w:t>[ADI 2.391, rel. min. Ellen Gracie, j. 16-8-2006, P, DJ de 16-3-2007.]</w:t>
      </w:r>
    </w:p>
    <w:p>
      <w:pPr>
        <w:ind w:left="288"/>
      </w:pPr>
      <w:r>
        <w:rPr>
          <w:color w:val="8C8C8C"/>
          <w:sz w:val="12"/>
        </w:rPr>
        <w:t>cf-art-84-inc-XXIII</w:t>
      </w:r>
      <w:r>
        <w:rPr>
          <w:color w:val="003CA0"/>
          <w:sz w:val="12"/>
        </w:rPr>
        <w:t xml:space="preserve"> | ARE 1.481.448</w:t>
      </w:r>
      <w:r>
        <w:rPr>
          <w:color w:val="003CA0"/>
          <w:sz w:val="12"/>
        </w:rPr>
        <w:t xml:space="preserve"> | rel. Luiz Fux</w:t>
      </w:r>
    </w:p>
    <w:p>
      <w:pPr>
        <w:ind w:left="288"/>
      </w:pPr>
      <w:r>
        <w:rPr>
          <w:color w:val="1E1E1E"/>
          <w:sz w:val="18"/>
        </w:rPr>
        <w:t>XXVII - exercer outras atribuições previstas nesta Constituição. Parágrafo único. O Presidente da República poderá delegar as atribuições mencionadas nos incisos VI, XII e XXV, primeira parte, aos Ministros de Estado, ao Procurador-Geral da República ou ao Advogado-Geral da União, que observarão os limites traçados nas respectivas delegações. Ministro de Estado atuando por delegação de poder do Presidente da República, nos termos do Decreto 3.035/1999, está exercendo a competência de autoridade máxima, inexistindo razão para admitir-se, em tais hipóteses, recurso hierárquico, sob pena de esvaz</w:t>
      </w:r>
    </w:p>
    <w:p>
      <w:pPr>
        <w:ind w:left="288"/>
      </w:pPr>
      <w:r>
        <w:rPr>
          <w:b/>
          <w:color w:val="003CA0"/>
          <w:sz w:val="16"/>
        </w:rPr>
        <w:t>[ARE 1.481.448 AgR, rel. min. Luiz Fux, red. do ac. min. Alexandre de Moraes, j. 12.03.2025, 1ª T, DJE de 19.03.2025.]</w:t>
      </w:r>
    </w:p>
    <w:p>
      <w:pPr>
        <w:ind w:left="144"/>
      </w:pPr>
      <w:r>
        <w:rPr>
          <w:b/>
          <w:color w:val="B45A00"/>
          <w:sz w:val="16"/>
        </w:rPr>
        <w:t>JULGADOS CORRELATOS</w:t>
      </w:r>
    </w:p>
    <w:p>
      <w:pPr>
        <w:ind w:left="288"/>
      </w:pPr>
      <w:r>
        <w:rPr>
          <w:color w:val="8C8C8C"/>
          <w:sz w:val="12"/>
        </w:rPr>
        <w:t>cf-art-84-inc-XXIII</w:t>
      </w:r>
      <w:r>
        <w:rPr>
          <w:color w:val="003CA0"/>
          <w:sz w:val="12"/>
        </w:rPr>
        <w:t xml:space="preserve"> | RE 633.009</w:t>
      </w:r>
      <w:r>
        <w:rPr>
          <w:color w:val="003CA0"/>
          <w:sz w:val="12"/>
        </w:rPr>
        <w:t xml:space="preserve"> | rel. Ricardo Lewandowski</w:t>
      </w:r>
    </w:p>
    <w:p>
      <w:pPr>
        <w:ind w:left="288"/>
      </w:pPr>
      <w:r>
        <w:rPr>
          <w:color w:val="1E1E1E"/>
          <w:sz w:val="18"/>
        </w:rPr>
        <w:t>Esta Corte firmou orientação no sentido da legitimidade de delegação a ministro de Estado da competência do chefe do Executivo Federal para, nos termos do art. 84, XXV, e parágrafo único, da CF, aplicar pena de demissão a servidores públicos federais. (...) Legitimidade da delegação a secretários estaduais da competência do governador do Estado de Goiás para (...) aplicar penalidade de demissão aos servidores do Executivo, tendo em vista o princípio da simetria.</w:t>
      </w:r>
    </w:p>
    <w:p>
      <w:pPr>
        <w:ind w:left="288"/>
      </w:pPr>
      <w:r>
        <w:rPr>
          <w:b/>
          <w:color w:val="003CA0"/>
          <w:sz w:val="16"/>
        </w:rPr>
        <w:t>[RE 633.009 AgR, rel. min. Ricardo Lewandowski, j. 13-9-2011, 2ª T, DJE de 27-9-2011.]</w:t>
      </w:r>
    </w:p>
    <w:p>
      <w:pPr>
        <w:ind w:left="288"/>
      </w:pPr>
      <w:r>
        <w:rPr>
          <w:color w:val="8C8C8C"/>
          <w:sz w:val="12"/>
        </w:rPr>
        <w:t>cf-art-84-inc-XXIII</w:t>
      </w:r>
      <w:r>
        <w:rPr>
          <w:color w:val="003CA0"/>
          <w:sz w:val="12"/>
        </w:rPr>
        <w:t xml:space="preserve"> | RE 608.848</w:t>
      </w:r>
      <w:r>
        <w:rPr>
          <w:color w:val="003CA0"/>
          <w:sz w:val="12"/>
        </w:rPr>
        <w:t xml:space="preserve"> | rel. Teori Zavascki</w:t>
      </w:r>
    </w:p>
    <w:p>
      <w:pPr>
        <w:ind w:left="288"/>
      </w:pPr>
      <w:r>
        <w:rPr>
          <w:color w:val="1E1E1E"/>
          <w:sz w:val="18"/>
        </w:rPr>
        <w:t>= RE 608.848 AgR, rel. min. Teori Zavascki, j. 17-12-2013, 2ª T, DJE de 11-2-2014 Nos termos do parágrafo único do art. 84 da Magna Carta, o presidente da República pode delegar aos ministros de Estado a competência para julgar processos administrativos e aplicar pena de demissão aos servidores públicos federais. Para esse fim é que foi editado o Decreto 3.035/1999.</w:t>
      </w:r>
    </w:p>
    <w:p>
      <w:pPr>
        <w:ind w:left="288"/>
      </w:pPr>
      <w:r>
        <w:rPr>
          <w:b/>
          <w:color w:val="003CA0"/>
          <w:sz w:val="16"/>
        </w:rPr>
        <w:t>[RMS 25.367, rel. min. Ayres Britto, j. 4-10-2005, 1ª T, DJ de 21-10-2005.]</w:t>
      </w:r>
    </w:p>
    <w:p>
      <w:pPr>
        <w:ind w:left="288"/>
      </w:pPr>
      <w:r>
        <w:rPr>
          <w:color w:val="8C8C8C"/>
          <w:sz w:val="12"/>
        </w:rPr>
        <w:t>cf-art-84-inc-XXIII</w:t>
      </w:r>
      <w:r>
        <w:rPr>
          <w:color w:val="003CA0"/>
          <w:sz w:val="12"/>
        </w:rPr>
        <w:t xml:space="preserve"> | RMS 24.619</w:t>
      </w:r>
      <w:r>
        <w:rPr>
          <w:color w:val="003CA0"/>
          <w:sz w:val="12"/>
        </w:rPr>
        <w:t xml:space="preserve"> | rel. Gilmar Mendes</w:t>
      </w:r>
    </w:p>
    <w:p>
      <w:pPr>
        <w:ind w:left="288"/>
      </w:pPr>
      <w:r>
        <w:rPr>
          <w:color w:val="1E1E1E"/>
          <w:sz w:val="18"/>
        </w:rPr>
        <w:t>= RMS 24.619, rel. min. Gilmar Mendes, j. 11-10-2011, 2ª T, DJE de 22-11-2011 Seção III Da Responsabilidade do Presidente da República SUMÁRIO</w:t>
      </w:r>
    </w:p>
    <w:p>
      <w:pPr>
        <w:ind w:left="720"/>
      </w:pPr>
      <w:r>
        <w:rPr>
          <w:color w:val="003366"/>
          <w:sz w:val="18"/>
        </w:rPr>
        <w:t>I – nomear e exonerar os Ministros de Estado;</w:t>
      </w:r>
    </w:p>
    <w:p>
      <w:pPr>
        <w:ind w:left="720"/>
      </w:pPr>
      <w:r>
        <w:rPr>
          <w:color w:val="003366"/>
          <w:sz w:val="18"/>
        </w:rPr>
        <w:t>II – exercer, com o auxílio dos Ministros de Estado, a direção superior da admin</w:t>
      </w:r>
    </w:p>
    <w:p>
      <w:pPr>
        <w:ind w:left="720"/>
      </w:pPr>
      <w:r>
        <w:rPr>
          <w:color w:val="003366"/>
          <w:sz w:val="18"/>
        </w:rPr>
        <w:t>III – iniciar o processo legislativo, na forma e nos casos previstos nesta Const</w:t>
      </w:r>
    </w:p>
    <w:p>
      <w:pPr>
        <w:ind w:left="720"/>
      </w:pPr>
      <w:r>
        <w:rPr>
          <w:color w:val="003366"/>
          <w:sz w:val="18"/>
        </w:rPr>
        <w:t xml:space="preserve">IV – sancionar, promulgar e fazer publicar as leis, bem como expedir decretos e </w:t>
      </w:r>
    </w:p>
    <w:p>
      <w:pPr>
        <w:ind w:left="720"/>
      </w:pPr>
      <w:r>
        <w:rPr>
          <w:color w:val="003366"/>
          <w:sz w:val="18"/>
        </w:rPr>
        <w:t>V – vetar projetos de lei, total ou parcialmente;</w:t>
        <w:br/>
        <w:t>VI &amp;#150; dispor, mediante dec</w:t>
      </w:r>
    </w:p>
    <w:p>
      <w:pPr>
        <w:ind w:left="1008"/>
      </w:pPr>
      <w:r>
        <w:rPr>
          <w:color w:val="003366"/>
          <w:sz w:val="18"/>
        </w:rPr>
        <w:t>a) organização e funcionamento da administração federal, quando não implicar aum</w:t>
      </w:r>
    </w:p>
    <w:p>
      <w:pPr>
        <w:ind w:left="1008"/>
      </w:pPr>
      <w:r>
        <w:rPr>
          <w:color w:val="003366"/>
          <w:sz w:val="18"/>
        </w:rPr>
        <w:t>b) extinção de funções ou cargos públicos, quando vagos; (Incluída pela Emenda C</w:t>
      </w:r>
    </w:p>
    <w:p>
      <w:pPr>
        <w:ind w:left="720"/>
      </w:pPr>
      <w:r>
        <w:rPr>
          <w:color w:val="003366"/>
          <w:sz w:val="18"/>
        </w:rPr>
        <w:t>VII – manter relações com Estados estrangeiros e acreditar seus representantes d</w:t>
      </w:r>
    </w:p>
    <w:p>
      <w:pPr>
        <w:ind w:left="720"/>
      </w:pPr>
      <w:r>
        <w:rPr>
          <w:color w:val="003366"/>
          <w:sz w:val="18"/>
        </w:rPr>
        <w:t>VIII – celebrar tratados, convenções e atos internacionais, sujeitos a referendo</w:t>
      </w:r>
    </w:p>
    <w:p>
      <w:pPr>
        <w:ind w:left="720"/>
      </w:pPr>
      <w:r>
        <w:rPr>
          <w:color w:val="003366"/>
          <w:sz w:val="18"/>
        </w:rPr>
        <w:t>IX – decretar o estado de defesa e o estado de sítio;</w:t>
      </w:r>
    </w:p>
    <w:p>
      <w:pPr>
        <w:ind w:left="720"/>
      </w:pPr>
      <w:r>
        <w:rPr>
          <w:color w:val="003366"/>
          <w:sz w:val="18"/>
        </w:rPr>
        <w:t>X – decretar e executar a intervenção federal;</w:t>
      </w:r>
    </w:p>
    <w:p>
      <w:pPr>
        <w:ind w:left="720"/>
      </w:pPr>
      <w:r>
        <w:rPr>
          <w:color w:val="003366"/>
          <w:sz w:val="18"/>
        </w:rPr>
        <w:t>XI – remeter mensagem e plano de governo ao Congresso Nacional por ocasião da ab</w:t>
      </w:r>
    </w:p>
    <w:p>
      <w:pPr>
        <w:ind w:left="720"/>
      </w:pPr>
      <w:r>
        <w:rPr>
          <w:color w:val="003366"/>
          <w:sz w:val="18"/>
        </w:rPr>
        <w:t>XII – conceder indulto e comutar penas, com audiência, se necessário, dos órgãos</w:t>
      </w:r>
    </w:p>
    <w:p>
      <w:pPr>
        <w:ind w:left="720"/>
      </w:pPr>
      <w:r>
        <w:rPr>
          <w:color w:val="003366"/>
          <w:sz w:val="18"/>
        </w:rPr>
        <w:t>XIII – exercer o comando supremo das Forças Armadas, nomear os Comandantes da Ma</w:t>
      </w:r>
    </w:p>
    <w:p>
      <w:pPr>
        <w:ind w:left="720"/>
      </w:pPr>
      <w:r>
        <w:rPr>
          <w:color w:val="003366"/>
          <w:sz w:val="18"/>
        </w:rPr>
        <w:t>XX – celebrar a paz, autorizado ou com o referendo do Congresso Nacional;</w:t>
      </w:r>
    </w:p>
    <w:p>
      <w:pPr>
        <w:ind w:left="720"/>
      </w:pPr>
      <w:r>
        <w:rPr>
          <w:color w:val="003366"/>
          <w:sz w:val="18"/>
        </w:rPr>
        <w:t>XXI – conferir condecorações e distinções honoríficas;</w:t>
      </w:r>
    </w:p>
    <w:p>
      <w:pPr>
        <w:ind w:left="720"/>
      </w:pPr>
      <w:r>
        <w:rPr>
          <w:color w:val="003366"/>
          <w:sz w:val="18"/>
        </w:rPr>
        <w:t>XXII – permitir, nos casos previstos em lei complementar, que forças estrangeira</w:t>
      </w:r>
    </w:p>
    <w:p>
      <w:pPr>
        <w:ind w:left="720"/>
      </w:pPr>
      <w:r>
        <w:rPr>
          <w:color w:val="003366"/>
          <w:sz w:val="18"/>
        </w:rPr>
        <w:t>XXIII – enviar ao Congresso Nacional o plano plurianual, o projeto de lei de dir</w:t>
      </w:r>
    </w:p>
    <w:p>
      <w:pPr>
        <w:pStyle w:val="Heading3"/>
      </w:pPr>
      <w:r>
        <w:rPr>
          <w:color w:val="003366"/>
        </w:rPr>
        <w:t>Seção III - Da Responsabilidade do Presidente da República</w:t>
      </w:r>
    </w:p>
    <w:p>
      <w:r>
        <w:rPr>
          <w:b/>
          <w:color w:val="003366"/>
          <w:sz w:val="20"/>
        </w:rPr>
        <w:t>Art. 85 São crimes de responsabilidade os atos do Presidente da República que at</w:t>
      </w:r>
      <w:r>
        <w:rPr>
          <w:color w:val="8C8C8C"/>
          <w:sz w:val="14"/>
        </w:rPr>
        <w:t xml:space="preserve">  [6 decisoes]</w:t>
      </w:r>
    </w:p>
    <w:p>
      <w:pPr>
        <w:ind w:left="288"/>
      </w:pPr>
      <w:r>
        <w:rPr>
          <w:color w:val="8C8C8C"/>
          <w:sz w:val="12"/>
        </w:rPr>
        <w:t>cf-art-85-inc-VII</w:t>
      </w:r>
    </w:p>
    <w:p>
      <w:pPr>
        <w:ind w:left="288"/>
      </w:pPr>
      <w:r>
        <w:rPr>
          <w:color w:val="1E1E1E"/>
          <w:sz w:val="18"/>
        </w:rPr>
        <w:t>Parágrafo único. Esses crimes serão definidos em lei especial, que estabelecerá as normas de processo e julgamento.</w:t>
      </w:r>
    </w:p>
    <w:p>
      <w:pPr>
        <w:ind w:left="144"/>
      </w:pPr>
      <w:r>
        <w:rPr>
          <w:b/>
          <w:color w:val="B45A00"/>
          <w:sz w:val="16"/>
        </w:rPr>
        <w:t>SUMULA VINCULANTE</w:t>
      </w:r>
    </w:p>
    <w:p>
      <w:pPr>
        <w:ind w:left="288"/>
      </w:pPr>
      <w:r>
        <w:rPr>
          <w:color w:val="8C8C8C"/>
          <w:sz w:val="12"/>
        </w:rPr>
        <w:t>cf-art-85-inc-VII</w:t>
      </w:r>
    </w:p>
    <w:p>
      <w:pPr>
        <w:ind w:left="288"/>
      </w:pPr>
      <w:r>
        <w:rPr>
          <w:color w:val="1E1E1E"/>
          <w:sz w:val="18"/>
        </w:rPr>
        <w:t>A definição dos crimes de responsabilidade e o estabelecimento das respectivas normas de processo e julgamento são da competência legislativa privativa da União.</w:t>
      </w:r>
    </w:p>
    <w:p>
      <w:pPr>
        <w:ind w:left="288"/>
      </w:pPr>
      <w:r>
        <w:rPr>
          <w:b/>
          <w:color w:val="003CA0"/>
          <w:sz w:val="16"/>
        </w:rPr>
        <w:t>[Súmula Vinculante 46.]</w:t>
      </w:r>
    </w:p>
    <w:p>
      <w:pPr>
        <w:ind w:left="144"/>
      </w:pPr>
      <w:r>
        <w:rPr>
          <w:b/>
          <w:color w:val="B45A00"/>
          <w:sz w:val="16"/>
        </w:rPr>
        <w:t>CONTROLE CONCENTRADO</w:t>
      </w:r>
    </w:p>
    <w:p>
      <w:pPr>
        <w:ind w:left="288"/>
      </w:pPr>
      <w:r>
        <w:rPr>
          <w:color w:val="8C8C8C"/>
          <w:sz w:val="12"/>
        </w:rPr>
        <w:t>cf-art-85-inc-VII</w:t>
      </w:r>
      <w:r>
        <w:rPr>
          <w:color w:val="003CA0"/>
          <w:sz w:val="12"/>
        </w:rPr>
        <w:t xml:space="preserve"> | ADPF 378</w:t>
      </w:r>
    </w:p>
    <w:p>
      <w:pPr>
        <w:ind w:left="288"/>
      </w:pPr>
      <w:r>
        <w:rPr>
          <w:color w:val="1E1E1E"/>
          <w:sz w:val="18"/>
        </w:rPr>
        <w:t>A aplicação subsidiária do Regimento Interno da Câmara dos Deputados e do Senado ao processamento e julgamento do impeachment não viola a reserva de lei especial imposta pelo art. 85, parágrafo único, da Constituição, desde que as normas regimentais sejam compatíveis com os preceitos legais e constitucionais pertinentes, limitando-se a disciplinar questões interna corporis.</w:t>
      </w:r>
    </w:p>
    <w:p>
      <w:pPr>
        <w:ind w:left="288"/>
      </w:pPr>
      <w:r>
        <w:rPr>
          <w:b/>
          <w:color w:val="003CA0"/>
          <w:sz w:val="16"/>
        </w:rPr>
        <w:t>[ADPF 378 MC, red. do ac. min. Roberto Barroso, j. 16-12-2015, P, DJE de 8-3-2016.]</w:t>
      </w:r>
    </w:p>
    <w:p>
      <w:pPr>
        <w:ind w:left="288"/>
      </w:pPr>
      <w:r>
        <w:rPr>
          <w:color w:val="8C8C8C"/>
          <w:sz w:val="12"/>
        </w:rPr>
        <w:t>cf-art-85-inc-VII</w:t>
      </w:r>
      <w:r>
        <w:rPr>
          <w:color w:val="003CA0"/>
          <w:sz w:val="12"/>
        </w:rPr>
        <w:t xml:space="preserve"> | ADI 2.220</w:t>
      </w:r>
      <w:r>
        <w:rPr>
          <w:color w:val="003CA0"/>
          <w:sz w:val="12"/>
        </w:rPr>
        <w:t xml:space="preserve"> | rel. Cármen Lúcia</w:t>
      </w:r>
    </w:p>
    <w:p>
      <w:pPr>
        <w:ind w:left="288"/>
      </w:pPr>
      <w:r>
        <w:rPr>
          <w:color w:val="1E1E1E"/>
          <w:sz w:val="18"/>
        </w:rPr>
        <w:t>A definição das condutas típicas configuradoras do crime de responsabilidade e o estabelecimento de regras que disciplinem o processo e julgamento dos agentes políticos federais, estaduais ou municipais envolvidos são da competência legislativa privativa da União e devem ser tratados em lei nacional especial (art. 85 da Constituição da República).</w:t>
      </w:r>
    </w:p>
    <w:p>
      <w:pPr>
        <w:ind w:left="288"/>
      </w:pPr>
      <w:r>
        <w:rPr>
          <w:b/>
          <w:color w:val="003CA0"/>
          <w:sz w:val="16"/>
        </w:rPr>
        <w:t>[ADI 2.220, rel. min. Cármen Lúcia, j. 16-11-2011, P, DJE de 7-12-2011.]</w:t>
      </w:r>
    </w:p>
    <w:p>
      <w:pPr>
        <w:ind w:left="144"/>
      </w:pPr>
      <w:r>
        <w:rPr>
          <w:b/>
          <w:color w:val="B45A00"/>
          <w:sz w:val="16"/>
        </w:rPr>
        <w:t>JULGADOS CORRELATOS</w:t>
      </w:r>
    </w:p>
    <w:p>
      <w:pPr>
        <w:ind w:left="288"/>
      </w:pPr>
      <w:r>
        <w:rPr>
          <w:color w:val="8C8C8C"/>
          <w:sz w:val="12"/>
        </w:rPr>
        <w:t>cf-art-85-inc-VII</w:t>
      </w:r>
      <w:r>
        <w:rPr>
          <w:color w:val="003CA0"/>
          <w:sz w:val="12"/>
        </w:rPr>
        <w:t xml:space="preserve"> | MS 37.083</w:t>
      </w:r>
      <w:r>
        <w:rPr>
          <w:color w:val="003CA0"/>
          <w:sz w:val="12"/>
        </w:rPr>
        <w:t xml:space="preserve"> | rel. Nunes Marques</w:t>
      </w:r>
    </w:p>
    <w:p>
      <w:pPr>
        <w:ind w:left="288"/>
      </w:pPr>
      <w:r>
        <w:rPr>
          <w:color w:val="1E1E1E"/>
          <w:sz w:val="18"/>
        </w:rPr>
        <w:t>A Constituição Federal e o Regimento Interno da Câmara dos Deputados não preveem a fixação de prazo para que pedido de impeachment seja analisado pelo Presidente daquela Casa Legislativa. Invocar o uso de prazos da legislação administrativa é descabido, uma vez que o procedimento em discussão é eminentemente constitucional, de teor político e subordinado à discricionariedade dos agentes autorizados pela Carta da República.</w:t>
      </w:r>
    </w:p>
    <w:p>
      <w:pPr>
        <w:ind w:left="288"/>
      </w:pPr>
      <w:r>
        <w:rPr>
          <w:b/>
          <w:color w:val="003CA0"/>
          <w:sz w:val="16"/>
        </w:rPr>
        <w:t>[MS 37.083 AgR, rel. min. Nunes Marques, j. 16-8-2022, P, DJE de 26-8-2022.]</w:t>
      </w:r>
    </w:p>
    <w:p>
      <w:pPr>
        <w:ind w:left="288"/>
      </w:pPr>
      <w:r>
        <w:rPr>
          <w:color w:val="8C8C8C"/>
          <w:sz w:val="12"/>
        </w:rPr>
        <w:t>cf-art-85-inc-VII</w:t>
      </w:r>
      <w:r>
        <w:rPr>
          <w:color w:val="003CA0"/>
          <w:sz w:val="12"/>
        </w:rPr>
        <w:t xml:space="preserve"> | MS 21.564</w:t>
      </w:r>
      <w:r>
        <w:rPr>
          <w:color w:val="003CA0"/>
          <w:sz w:val="12"/>
        </w:rPr>
        <w:t xml:space="preserve"> | rel. Carlos Velloso</w:t>
      </w:r>
    </w:p>
    <w:p>
      <w:pPr>
        <w:ind w:left="288"/>
      </w:pPr>
      <w:r>
        <w:rPr>
          <w:color w:val="1E1E1E"/>
          <w:sz w:val="18"/>
        </w:rPr>
        <w:t>O impeachment na Constituição de 1988, no que concerne ao presidente da República: autorizada pela Câmara dos Deputados, por 2/3 de seus membros, a instauração do processo (CF, art. 51, I), ou admitida a acusação (CF, art. 86), o Senado Federal processará e julgará o presidente da República nos crimes de responsabilidade. É dizer: o impeachment do presidente da República será processado e julgado pelo Senado Federal. O Senado e não mais a Câmara dos Deputados formulará a acusação (juízo de pronúncia) e proferirá o julgamento. CF/1988, art. 51, I; art. 52; art. 86, § 1º, II, § 2º (MS 21.564/DF)</w:t>
      </w:r>
    </w:p>
    <w:p>
      <w:pPr>
        <w:ind w:left="288"/>
      </w:pPr>
      <w:r>
        <w:rPr>
          <w:b/>
          <w:color w:val="003CA0"/>
          <w:sz w:val="16"/>
        </w:rPr>
        <w:t>[MS 21.623, rel. min. Carlos Velloso, j. 17-12-1992, P, DJ de 28-5-1993.]</w:t>
      </w:r>
    </w:p>
    <w:p>
      <w:pPr>
        <w:ind w:left="720"/>
      </w:pPr>
      <w:r>
        <w:rPr>
          <w:color w:val="003366"/>
          <w:sz w:val="18"/>
        </w:rPr>
        <w:t>I – a existência da União;</w:t>
      </w:r>
    </w:p>
    <w:p>
      <w:pPr>
        <w:ind w:left="720"/>
      </w:pPr>
      <w:r>
        <w:rPr>
          <w:color w:val="003366"/>
          <w:sz w:val="18"/>
        </w:rPr>
        <w:t xml:space="preserve">II – o livre exercício do Poder Legislativo, do Poder Judiciário, do Ministério </w:t>
      </w:r>
    </w:p>
    <w:p>
      <w:pPr>
        <w:ind w:left="720"/>
      </w:pPr>
      <w:r>
        <w:rPr>
          <w:color w:val="003366"/>
          <w:sz w:val="18"/>
        </w:rPr>
        <w:t>III – o exercício dos direitos políticos, individuais e sociais;</w:t>
      </w:r>
    </w:p>
    <w:p>
      <w:pPr>
        <w:ind w:left="720"/>
      </w:pPr>
      <w:r>
        <w:rPr>
          <w:color w:val="003366"/>
          <w:sz w:val="18"/>
        </w:rPr>
        <w:t>IV – a segurança interna do País;</w:t>
      </w:r>
    </w:p>
    <w:p>
      <w:pPr>
        <w:ind w:left="720"/>
      </w:pPr>
      <w:r>
        <w:rPr>
          <w:color w:val="003366"/>
          <w:sz w:val="18"/>
        </w:rPr>
        <w:t>V – a probidade na administração;</w:t>
      </w:r>
    </w:p>
    <w:p>
      <w:pPr>
        <w:ind w:left="720"/>
      </w:pPr>
      <w:r>
        <w:rPr>
          <w:color w:val="003366"/>
          <w:sz w:val="18"/>
        </w:rPr>
        <w:t>VI – a lei orçamentária;</w:t>
      </w:r>
    </w:p>
    <w:p>
      <w:pPr>
        <w:ind w:left="720"/>
      </w:pPr>
      <w:r>
        <w:rPr>
          <w:color w:val="003366"/>
          <w:sz w:val="18"/>
        </w:rPr>
        <w:t>VII – o cumprimento das leis e das decisões judiciais.</w:t>
      </w:r>
    </w:p>
    <w:p>
      <w:r>
        <w:rPr>
          <w:b/>
          <w:color w:val="003366"/>
          <w:sz w:val="20"/>
        </w:rPr>
        <w:t>Art. 86 Admitida a acusação contra o Presidente da República, por dois terços da</w:t>
      </w:r>
      <w:r>
        <w:rPr>
          <w:color w:val="8C8C8C"/>
          <w:sz w:val="14"/>
        </w:rPr>
        <w:t xml:space="preserve">  [18 decisoes]</w:t>
      </w:r>
    </w:p>
    <w:p>
      <w:pPr>
        <w:ind w:left="144"/>
      </w:pPr>
      <w:r>
        <w:rPr>
          <w:b/>
          <w:color w:val="B45A00"/>
          <w:sz w:val="16"/>
        </w:rPr>
        <w:t>CONTROLE CONCENTRADO</w:t>
      </w:r>
    </w:p>
    <w:p>
      <w:pPr>
        <w:ind w:left="288"/>
      </w:pPr>
      <w:r>
        <w:rPr>
          <w:color w:val="8C8C8C"/>
          <w:sz w:val="12"/>
        </w:rPr>
        <w:t>cf-art-86</w:t>
      </w:r>
      <w:r>
        <w:rPr>
          <w:color w:val="003CA0"/>
          <w:sz w:val="12"/>
        </w:rPr>
        <w:t xml:space="preserve"> | ADI 3.466</w:t>
      </w:r>
      <w:r>
        <w:rPr>
          <w:color w:val="003CA0"/>
          <w:sz w:val="12"/>
        </w:rPr>
        <w:t xml:space="preserve"> | rel. Dias Toffoli</w:t>
      </w:r>
    </w:p>
    <w:p>
      <w:pPr>
        <w:ind w:left="288"/>
      </w:pPr>
      <w:r>
        <w:rPr>
          <w:color w:val="1E1E1E"/>
          <w:sz w:val="18"/>
        </w:rPr>
        <w:t>A concentração do juízo de admissibilidade da acusação e do julgamento dos crimes de responsabilidade do Governador na Assembleia Legislativa do Estado ou na Câmara Legislativa do Distrito Federal ofende a lógica do juízo institucional bifásico, prevista no art. 86 da Constituição. (...) É inconstitucional disposição de Constituição estadual ou Lei Orgânica distrital que, em desacordo com o previsto no art. 78, § 3º, da Lei nº 1.079/1950, atribuam à Assembleia ou Câmara Legislativa o julgamento do Governador por crime de responsabilidade”.</w:t>
        <w:br/>
        <w:t>[ADI 3.466, rel. min. Dias Toffoli, red. do ac. min. R</w:t>
      </w:r>
    </w:p>
    <w:p>
      <w:pPr>
        <w:ind w:left="144"/>
      </w:pPr>
      <w:r>
        <w:rPr>
          <w:b/>
          <w:color w:val="B45A00"/>
          <w:sz w:val="16"/>
        </w:rPr>
        <w:t>JULGADOS CORRELATOS</w:t>
      </w:r>
    </w:p>
    <w:p>
      <w:pPr>
        <w:ind w:left="288"/>
      </w:pPr>
      <w:r>
        <w:rPr>
          <w:color w:val="8C8C8C"/>
          <w:sz w:val="12"/>
        </w:rPr>
        <w:t>cf-art-86</w:t>
      </w:r>
      <w:r>
        <w:rPr>
          <w:color w:val="003CA0"/>
          <w:sz w:val="12"/>
        </w:rPr>
        <w:t xml:space="preserve"> | INQ 4.483</w:t>
      </w:r>
      <w:r>
        <w:rPr>
          <w:color w:val="003CA0"/>
          <w:sz w:val="12"/>
        </w:rPr>
        <w:t xml:space="preserve"> | rel. Edson Fachin</w:t>
      </w:r>
    </w:p>
    <w:p>
      <w:pPr>
        <w:ind w:left="288"/>
      </w:pPr>
      <w:r>
        <w:rPr>
          <w:color w:val="1E1E1E"/>
          <w:sz w:val="18"/>
        </w:rPr>
        <w:t>A imunidade formal prevista nos arts. 86, caput e 51, I, da Constituição Federal tem por finalidade tutelar o regular exercício dos cargos de Presidente da República e de Ministro de Estado, razão pela qual não é extensível a codenunciados que não se encontram investidos em tais funções. Incidência da Súmula 245 do Supremo Tribunal Federal.</w:t>
      </w:r>
    </w:p>
    <w:p>
      <w:pPr>
        <w:ind w:left="288"/>
      </w:pPr>
      <w:r>
        <w:rPr>
          <w:b/>
          <w:color w:val="003CA0"/>
          <w:sz w:val="16"/>
        </w:rPr>
        <w:t>[Inq 4.483 AgR e Inq 4.327 AgR-segundo, rel. min. Edson Fachin, j. 19-12-2017, P, DJE de 9-8-2018.]</w:t>
      </w:r>
    </w:p>
    <w:p>
      <w:pPr>
        <w:ind w:left="288"/>
      </w:pPr>
      <w:r>
        <w:rPr>
          <w:color w:val="8C8C8C"/>
          <w:sz w:val="12"/>
        </w:rPr>
        <w:t>cf-art-86</w:t>
      </w:r>
      <w:r>
        <w:rPr>
          <w:color w:val="003CA0"/>
          <w:sz w:val="12"/>
        </w:rPr>
        <w:t xml:space="preserve"> | AP 595</w:t>
      </w:r>
      <w:r>
        <w:rPr>
          <w:color w:val="003CA0"/>
          <w:sz w:val="12"/>
        </w:rPr>
        <w:t xml:space="preserve"> | rel. Luiz Fux</w:t>
      </w:r>
    </w:p>
    <w:p>
      <w:pPr>
        <w:ind w:left="288"/>
      </w:pPr>
      <w:r>
        <w:rPr>
          <w:color w:val="1E1E1E"/>
          <w:sz w:val="18"/>
        </w:rPr>
        <w:t>O art. 86, caput, da CF, na sua exegese, impõe não seja exigida a admissão, pelo Legislativo, da acusação criminal contra o chefe do Executivo, quando já encerrado o mandato do acusado.</w:t>
        <w:br/>
        <w:t>[AP 595, rel. min. Luiz Fux, j. 25-11-2014, 1ª T, DJE de 10-2-2015.] O STF possui competência originária para processar pedido de explicações formulado com apoio no art. 144 do CP, quando deduzido contra a presidente da República, que dispõe de prerrogativa de foro, ratione muneris, perante esta Corte Suprema, nas infrações penais comuns (CF, art. 86, caput, c/c art. 102, I, b).</w:t>
      </w:r>
    </w:p>
    <w:p>
      <w:pPr>
        <w:ind w:left="288"/>
      </w:pPr>
      <w:r>
        <w:rPr>
          <w:b/>
          <w:color w:val="003CA0"/>
          <w:sz w:val="16"/>
        </w:rPr>
        <w:t>[Pet 5.146, rel. min. Celso de Mello, j. 21-2-2014, dec. monocrática, DJE de 27-2-2014.]</w:t>
      </w:r>
    </w:p>
    <w:p>
      <w:pPr>
        <w:ind w:left="288"/>
      </w:pPr>
      <w:r>
        <w:rPr>
          <w:color w:val="8C8C8C"/>
          <w:sz w:val="12"/>
        </w:rPr>
        <w:t>cf-art-86</w:t>
      </w:r>
      <w:r>
        <w:rPr>
          <w:color w:val="003CA0"/>
          <w:sz w:val="12"/>
        </w:rPr>
        <w:t xml:space="preserve"> | MS 26.062</w:t>
      </w:r>
      <w:r>
        <w:rPr>
          <w:color w:val="003CA0"/>
          <w:sz w:val="12"/>
        </w:rPr>
        <w:t xml:space="preserve"> | rel. Gilmar Mendes</w:t>
      </w:r>
    </w:p>
    <w:p>
      <w:pPr>
        <w:ind w:left="288"/>
      </w:pPr>
      <w:r>
        <w:rPr>
          <w:color w:val="1E1E1E"/>
          <w:sz w:val="18"/>
        </w:rPr>
        <w:t>Oferecimento de denúncia por qualquer cidadão imputando crime de responsabilidade ao presidente da República (...). Impossibilidade de interposição de recurso contra decisão que negou seguimento à denúncia. Ausência de previsão legal (Lei 1.079/1950). A interpretação e a aplicação do Regimento Interno da Câmara dos Deputados constituem matéria interna corporis, insuscetível de apreciação pelo Poder Judiciário.</w:t>
      </w:r>
    </w:p>
    <w:p>
      <w:pPr>
        <w:ind w:left="288"/>
      </w:pPr>
      <w:r>
        <w:rPr>
          <w:b/>
          <w:color w:val="003CA0"/>
          <w:sz w:val="16"/>
        </w:rPr>
        <w:t>[MS 26.062 AgR, rel. min. Gilmar Mendes, j. 10-3-2008, P, DJE de 4-4-2008.]</w:t>
      </w:r>
    </w:p>
    <w:p>
      <w:pPr>
        <w:ind w:left="288"/>
      </w:pPr>
      <w:r>
        <w:rPr>
          <w:color w:val="8C8C8C"/>
          <w:sz w:val="12"/>
        </w:rPr>
        <w:t>cf-art-86</w:t>
      </w:r>
      <w:r>
        <w:rPr>
          <w:color w:val="003CA0"/>
          <w:sz w:val="12"/>
        </w:rPr>
        <w:t xml:space="preserve"> | MS 25.588</w:t>
      </w:r>
      <w:r>
        <w:rPr>
          <w:color w:val="003CA0"/>
          <w:sz w:val="12"/>
        </w:rPr>
        <w:t xml:space="preserve"> | rel. Menezes Direito</w:t>
      </w:r>
    </w:p>
    <w:p>
      <w:pPr>
        <w:ind w:left="288"/>
      </w:pPr>
      <w:r>
        <w:rPr>
          <w:color w:val="1E1E1E"/>
          <w:sz w:val="18"/>
        </w:rPr>
        <w:t>= MS 25.588 AgR, rel. min. Menezes Direito, j. 2-4-2009, P, DJE de 8-5-2009 Impeachment do presidente da República: apresentação da denúncia à Câmara dos Deputados: competência do presidente desta para o exame liminar da idoneidade da denúncia popular, "que não se reduz à verificação das formalidades extrínsecas e da legitimidade de denunciantes e denunciados, mas se pode estender (...) à rejeição imediata da acusação patentemente inepta ou despida de justa causa, sujeitando-se ao controle do Plenário da Casa, mediante recurso (...)". MS 20.941/DF, Sepúlveda Pertence, DJ de 31-8-1992.</w:t>
      </w:r>
    </w:p>
    <w:p>
      <w:pPr>
        <w:ind w:left="288"/>
      </w:pPr>
      <w:r>
        <w:rPr>
          <w:b/>
          <w:color w:val="003CA0"/>
          <w:sz w:val="16"/>
        </w:rPr>
        <w:t>[MS 23.885, rel. min. Carlos Velloso, j. 28-8-2002, P, DJ de 20-9-2002.]</w:t>
      </w:r>
    </w:p>
    <w:p>
      <w:pPr>
        <w:ind w:left="288"/>
      </w:pPr>
      <w:r>
        <w:rPr>
          <w:color w:val="8C8C8C"/>
          <w:sz w:val="12"/>
        </w:rPr>
        <w:t>cf-art-86</w:t>
      </w:r>
      <w:r>
        <w:rPr>
          <w:color w:val="003CA0"/>
          <w:sz w:val="12"/>
        </w:rPr>
        <w:t xml:space="preserve"> | MS 30.672</w:t>
      </w:r>
      <w:r>
        <w:rPr>
          <w:color w:val="003CA0"/>
          <w:sz w:val="12"/>
        </w:rPr>
        <w:t xml:space="preserve"> | rel. Ricardo Lewandowski</w:t>
      </w:r>
    </w:p>
    <w:p>
      <w:pPr>
        <w:ind w:left="288"/>
      </w:pPr>
      <w:r>
        <w:rPr>
          <w:color w:val="1E1E1E"/>
          <w:sz w:val="18"/>
        </w:rPr>
        <w:t>Vide MS 30.672 AgR, rel. min. Ricardo Lewandowski, j. 15-9-2011, P, DJE de 18-10-2011 O impeachment, no Brasil, a partir da Constituição de 1891, segundo o modelo americano, mas com características que o distinguem deste: no Brasil, ao contrário do que ocorre nos Estados Unidos, lei ordinária definirá os crimes de responsabilidade, disciplinará a acusação e estabelecerá o processo e o julgamento. Alteração do direito positivo brasileiro: a Lei 27, de 1892, art. 3º, estabelecia: a) o processo de impeachment somente poderia ser intentado durante o período presidencial; b) intentado, cessaria qua</w:t>
      </w:r>
    </w:p>
    <w:p>
      <w:pPr>
        <w:ind w:left="288"/>
      </w:pPr>
      <w:r>
        <w:rPr>
          <w:b/>
          <w:color w:val="003CA0"/>
          <w:sz w:val="16"/>
        </w:rPr>
        <w:t>[MS 21.689, rel. min. Carlos Velloso, j. 16-12-1993, P, DJ de 7-4-1995.]</w:t>
      </w:r>
    </w:p>
    <w:p>
      <w:pPr>
        <w:ind w:left="288"/>
      </w:pPr>
      <w:r>
        <w:rPr>
          <w:color w:val="8C8C8C"/>
          <w:sz w:val="12"/>
        </w:rPr>
        <w:t>cf-art-86</w:t>
      </w:r>
      <w:r>
        <w:rPr>
          <w:color w:val="003CA0"/>
          <w:sz w:val="12"/>
        </w:rPr>
        <w:t xml:space="preserve"> | MS 21.564</w:t>
      </w:r>
    </w:p>
    <w:p>
      <w:pPr>
        <w:ind w:left="288"/>
      </w:pPr>
      <w:r>
        <w:rPr>
          <w:color w:val="1E1E1E"/>
          <w:sz w:val="18"/>
        </w:rPr>
        <w:t>No regime da Carta de 1988, a Câmara dos Deputados, diante da denúncia oferecida contra o presidente da República, examina a admissibilidade da acusação (CF, art. 86, caput), podendo, portanto, rejeitar a denúncia oferecida na forma do art. 14 da Lei 1.079/1950. No procedimento de admissibilidade da denúncia, a Câmara dos Deputados profere juízo político. Deve ser concedido ao acusado prazo para defesa, defesa que decorre do princípio inscrito no art. 5º, LV, da Constituição, observadas, entretanto, as limitações do fato de a acusação somente materializar-se com a instauração do processo, no S</w:t>
      </w:r>
    </w:p>
    <w:p>
      <w:pPr>
        <w:ind w:left="288"/>
      </w:pPr>
      <w:r>
        <w:rPr>
          <w:b/>
          <w:color w:val="003CA0"/>
          <w:sz w:val="16"/>
        </w:rPr>
        <w:t>[MS 21.564, red. do ac. min. Carlos Velloso, j. 23-9-1992, P, DJ de 27-8-1993.]</w:t>
      </w:r>
    </w:p>
    <w:p>
      <w:pPr>
        <w:ind w:left="144"/>
      </w:pPr>
      <w:r>
        <w:rPr>
          <w:b/>
          <w:color w:val="B45A00"/>
          <w:sz w:val="16"/>
        </w:rPr>
        <w:t>CONTROLE CONCENTRADO</w:t>
      </w:r>
    </w:p>
    <w:p>
      <w:pPr>
        <w:ind w:left="288"/>
      </w:pPr>
      <w:r>
        <w:rPr>
          <w:color w:val="8C8C8C"/>
          <w:sz w:val="12"/>
        </w:rPr>
        <w:t>cf-art-86-par-1-inc-I</w:t>
      </w:r>
      <w:r>
        <w:rPr>
          <w:color w:val="003CA0"/>
          <w:sz w:val="12"/>
        </w:rPr>
        <w:t xml:space="preserve"> | ADPF 402</w:t>
      </w:r>
    </w:p>
    <w:p>
      <w:pPr>
        <w:ind w:left="288"/>
      </w:pPr>
      <w:r>
        <w:rPr>
          <w:color w:val="1E1E1E"/>
          <w:sz w:val="18"/>
        </w:rPr>
        <w:t>Os substitutos eventuais do presidente da República – o presidente da Câmara dos Deputados, o presidente do Senado Federal e o presidente do STF (CF, art. 80) – ficarão unicamente impossibilitados de exercer, em caráter interino, a chefia do Poder Executivo da União, caso ostentem a posição de réus criminais, condição que assumem somente após o recebimento judicial da denúncia ou da queixa-crime (CF, art. 86, § 1º, I). Essa interdição, contudo – por unicamente incidir na hipótese estrita de convocação para o exercício, por substituição, da Presidência da República (CF, art. 80) –, não os imped</w:t>
      </w:r>
    </w:p>
    <w:p>
      <w:pPr>
        <w:ind w:left="288"/>
      </w:pPr>
      <w:r>
        <w:rPr>
          <w:b/>
          <w:color w:val="003CA0"/>
          <w:sz w:val="16"/>
        </w:rPr>
        <w:t>[ADPF 402 MC-REF, red. do ac. min. Celso de Mello, j. 7-12-2016, P, DJE de 29-8-2018.]</w:t>
      </w:r>
    </w:p>
    <w:p>
      <w:pPr>
        <w:ind w:left="144"/>
      </w:pPr>
      <w:r>
        <w:rPr>
          <w:b/>
          <w:color w:val="B45A00"/>
          <w:sz w:val="16"/>
        </w:rPr>
        <w:t>JULGADOS CORRELATOS</w:t>
      </w:r>
    </w:p>
    <w:p>
      <w:pPr>
        <w:ind w:left="288"/>
      </w:pPr>
      <w:r>
        <w:rPr>
          <w:color w:val="8C8C8C"/>
          <w:sz w:val="12"/>
        </w:rPr>
        <w:t>cf-art-86-par-1-inc-I</w:t>
      </w:r>
      <w:r>
        <w:rPr>
          <w:color w:val="003CA0"/>
          <w:sz w:val="12"/>
        </w:rPr>
        <w:t xml:space="preserve"> | INQ 4.483</w:t>
      </w:r>
      <w:r>
        <w:rPr>
          <w:color w:val="003CA0"/>
          <w:sz w:val="12"/>
        </w:rPr>
        <w:t xml:space="preserve"> | rel. Edson Fachin</w:t>
      </w:r>
    </w:p>
    <w:p>
      <w:pPr>
        <w:ind w:left="288"/>
      </w:pPr>
      <w:r>
        <w:rPr>
          <w:color w:val="1E1E1E"/>
          <w:sz w:val="18"/>
        </w:rPr>
        <w:t>O juízo político de admissibilidade por dois terços da Câmara dos Deputados em face de acusação contra o Presidente da República, nos termos da norma constitucional aplicável (CRFB, art. 86, caput), precede a análise jurídica pelo Supremo Tribunal Federal, se assim autorizado for a examinar o recebimento da denúncia, para conhecer e julgar qualquer questão ou matéria defensiva suscitada pelo denunciado.</w:t>
      </w:r>
    </w:p>
    <w:p>
      <w:pPr>
        <w:ind w:left="288"/>
      </w:pPr>
      <w:r>
        <w:rPr>
          <w:b/>
          <w:color w:val="003CA0"/>
          <w:sz w:val="16"/>
        </w:rPr>
        <w:t>[Inq 4.483 QO, rel. min. Edson Fachin, j. 21-9-2017, P, DJE de 13-6-2018.]</w:t>
      </w:r>
    </w:p>
    <w:p>
      <w:pPr>
        <w:ind w:left="144"/>
      </w:pPr>
      <w:r>
        <w:rPr>
          <w:b/>
          <w:color w:val="B45A00"/>
          <w:sz w:val="16"/>
        </w:rPr>
        <w:t>CONTROLE CONCENTRADO</w:t>
      </w:r>
    </w:p>
    <w:p>
      <w:pPr>
        <w:ind w:left="288"/>
      </w:pPr>
      <w:r>
        <w:rPr>
          <w:color w:val="8C8C8C"/>
          <w:sz w:val="12"/>
        </w:rPr>
        <w:t>cf-art-86-par-3</w:t>
      </w:r>
      <w:r>
        <w:rPr>
          <w:color w:val="003CA0"/>
          <w:sz w:val="12"/>
        </w:rPr>
        <w:t xml:space="preserve"> | ADI 1.028</w:t>
      </w:r>
      <w:r>
        <w:rPr>
          <w:color w:val="003CA0"/>
          <w:sz w:val="12"/>
        </w:rPr>
        <w:t xml:space="preserve"> | rel. Néri da Silveira</w:t>
      </w:r>
    </w:p>
    <w:p>
      <w:pPr>
        <w:ind w:left="288"/>
      </w:pPr>
      <w:r>
        <w:rPr>
          <w:color w:val="1E1E1E"/>
          <w:sz w:val="18"/>
        </w:rPr>
        <w:t>Orientação desta Corte, no que concerne ao art. 86, §§ 3º e 4º, da Constituição, na ADI 1.028, de referência à imunidade à prisão cautelar como prerrogativa exclusiva do presidente da República, insuscetível de estender-se aos governadores dos Estados, que institucionalmente não a possuem.</w:t>
      </w:r>
    </w:p>
    <w:p>
      <w:pPr>
        <w:ind w:left="288"/>
      </w:pPr>
      <w:r>
        <w:rPr>
          <w:b/>
          <w:color w:val="003CA0"/>
          <w:sz w:val="16"/>
        </w:rPr>
        <w:t>[ADI 1.634 MC, rel. min. Néri da Silveira, j. 17-9-1997, P, DJ de 8-9-2000.]</w:t>
      </w:r>
    </w:p>
    <w:p>
      <w:pPr>
        <w:ind w:left="288"/>
      </w:pPr>
      <w:r>
        <w:rPr>
          <w:color w:val="8C8C8C"/>
          <w:sz w:val="12"/>
        </w:rPr>
        <w:t>cf-art-86-par-3</w:t>
      </w:r>
      <w:r>
        <w:rPr>
          <w:color w:val="003CA0"/>
          <w:sz w:val="12"/>
        </w:rPr>
        <w:t xml:space="preserve"> | ADI 978</w:t>
      </w:r>
    </w:p>
    <w:p>
      <w:pPr>
        <w:ind w:left="288"/>
      </w:pPr>
      <w:r>
        <w:rPr>
          <w:color w:val="1E1E1E"/>
          <w:sz w:val="18"/>
        </w:rPr>
        <w:t>O Estado-membro, ainda que em norma constante de sua própria Constituição, não dispõe de competência para outorgar ao governador a prerrogativa extraordinária da imunidade à prisão em flagrante, à prisão preventiva e à prisão temporária, pois a disciplinação dessas modalidades de prisão cautelar submete-se, com exclusividade, ao poder normativo da União Federal, por efeito de expressa reserva constitucional de competência definida pela Carta da República. A norma constante da Constituição estadual – que impede a prisão do governador de Estado antes de sua condenação penal definitiva – não se r</w:t>
      </w:r>
    </w:p>
    <w:p>
      <w:pPr>
        <w:ind w:left="288"/>
      </w:pPr>
      <w:r>
        <w:rPr>
          <w:b/>
          <w:color w:val="003CA0"/>
          <w:sz w:val="16"/>
        </w:rPr>
        <w:t>[ADI 978, red. do ac. min. Celso de Mello, j. 19-10-1995, P, DJ de 24-11-1995.]</w:t>
      </w:r>
    </w:p>
    <w:p>
      <w:pPr>
        <w:ind w:left="288"/>
      </w:pPr>
      <w:r>
        <w:rPr>
          <w:color w:val="8C8C8C"/>
          <w:sz w:val="12"/>
        </w:rPr>
        <w:t>cf-art-86-par-3</w:t>
      </w:r>
      <w:r>
        <w:rPr>
          <w:color w:val="003CA0"/>
          <w:sz w:val="12"/>
        </w:rPr>
        <w:t xml:space="preserve"> | HC 102.732</w:t>
      </w:r>
      <w:r>
        <w:rPr>
          <w:color w:val="003CA0"/>
          <w:sz w:val="12"/>
        </w:rPr>
        <w:t xml:space="preserve"> | rel. Marco Aurélio</w:t>
      </w:r>
    </w:p>
    <w:p>
      <w:pPr>
        <w:ind w:left="288"/>
      </w:pPr>
      <w:r>
        <w:rPr>
          <w:color w:val="1E1E1E"/>
          <w:sz w:val="18"/>
        </w:rPr>
        <w:t>= HC 102.732, rel. min. Marco Aurélio, j. 4-3-2010, P, DJE de 7-5-2010</w:t>
      </w:r>
    </w:p>
    <w:p>
      <w:pPr>
        <w:ind w:left="288"/>
      </w:pPr>
      <w:r>
        <w:rPr>
          <w:color w:val="8C8C8C"/>
          <w:sz w:val="12"/>
        </w:rPr>
        <w:t>cf-art-86-par-4</w:t>
      </w:r>
      <w:r>
        <w:rPr>
          <w:color w:val="003CA0"/>
          <w:sz w:val="12"/>
        </w:rPr>
        <w:t xml:space="preserve"> | ADI 1.021</w:t>
      </w:r>
      <w:r>
        <w:rPr>
          <w:color w:val="003CA0"/>
          <w:sz w:val="12"/>
        </w:rPr>
        <w:t xml:space="preserve"> | rel. Celso de Mello</w:t>
      </w:r>
    </w:p>
    <w:p>
      <w:pPr>
        <w:ind w:left="288"/>
      </w:pPr>
      <w:r>
        <w:rPr>
          <w:color w:val="1E1E1E"/>
          <w:sz w:val="18"/>
        </w:rPr>
        <w:t>A imunidade do chefe de Estado à persecução penal deriva de cláusula constitucional exorbitante do direito comum e, por traduzir consequência derrogatória do postulado republicano, só pode ser outorgada pela própria CF.</w:t>
      </w:r>
    </w:p>
    <w:p>
      <w:pPr>
        <w:ind w:left="288"/>
      </w:pPr>
      <w:r>
        <w:rPr>
          <w:b/>
          <w:color w:val="003CA0"/>
          <w:sz w:val="16"/>
        </w:rPr>
        <w:t>[ADI 1.021, rel. min. Celso de Mello, j. 19-10-1995, P, DJ de 24-11-1995.]</w:t>
      </w:r>
    </w:p>
    <w:p>
      <w:pPr>
        <w:ind w:left="288"/>
      </w:pPr>
      <w:r>
        <w:rPr>
          <w:color w:val="8C8C8C"/>
          <w:sz w:val="12"/>
        </w:rPr>
        <w:t>cf-art-86-par-4</w:t>
      </w:r>
      <w:r>
        <w:rPr>
          <w:color w:val="003CA0"/>
          <w:sz w:val="12"/>
        </w:rPr>
        <w:t xml:space="preserve"> | ADI 978</w:t>
      </w:r>
    </w:p>
    <w:p>
      <w:pPr>
        <w:ind w:left="288"/>
      </w:pPr>
      <w:r>
        <w:rPr>
          <w:color w:val="1E1E1E"/>
          <w:sz w:val="18"/>
        </w:rPr>
        <w:t>Os Estados-membros não podem reproduzir em suas próprias constituições o conteúdo normativo dos preceitos inscritos no art. 86, §§ 3º e 4º, da Carta Federal, pois as prerrogativas contempladas nesses preceitos da Lei Fundamental – por serem unicamente compatíveis com a condição institucional de chefe de Estado – são apenas extensíveis ao presidente da República.</w:t>
      </w:r>
    </w:p>
    <w:p>
      <w:pPr>
        <w:ind w:left="288"/>
      </w:pPr>
      <w:r>
        <w:rPr>
          <w:b/>
          <w:color w:val="003CA0"/>
          <w:sz w:val="16"/>
        </w:rPr>
        <w:t>[ADI 978, red. do ac. min. Celso de Mello, j. 19-10-1995, P, DJ de 24-11-1995.]</w:t>
      </w:r>
    </w:p>
    <w:p>
      <w:pPr>
        <w:ind w:left="144"/>
      </w:pPr>
      <w:r>
        <w:rPr>
          <w:b/>
          <w:color w:val="B45A00"/>
          <w:sz w:val="16"/>
        </w:rPr>
        <w:t>JULGADOS CORRELATOS</w:t>
      </w:r>
    </w:p>
    <w:p>
      <w:pPr>
        <w:ind w:left="288"/>
      </w:pPr>
      <w:r>
        <w:rPr>
          <w:color w:val="8C8C8C"/>
          <w:sz w:val="12"/>
        </w:rPr>
        <w:t>cf-art-86-par-4</w:t>
      </w:r>
      <w:r>
        <w:rPr>
          <w:color w:val="003CA0"/>
          <w:sz w:val="12"/>
        </w:rPr>
        <w:t xml:space="preserve"> | INQ 3.983</w:t>
      </w:r>
      <w:r>
        <w:rPr>
          <w:color w:val="003CA0"/>
          <w:sz w:val="12"/>
        </w:rPr>
        <w:t xml:space="preserve"> | rel. Teori Zavascki</w:t>
      </w:r>
    </w:p>
    <w:p>
      <w:pPr>
        <w:ind w:left="288"/>
      </w:pPr>
      <w:r>
        <w:rPr>
          <w:color w:val="1E1E1E"/>
          <w:sz w:val="18"/>
        </w:rPr>
        <w:t>A previsão constitucional do art. 86, § 4º, da Constituição da República se destina expressamente ao chefe do Poder Executivo da União, não autorizando, por sua natureza restritiva, qualquer interpretação que amplie sua incidência a outras autoridades, nomeadamente do Poder Legislativo.</w:t>
      </w:r>
    </w:p>
    <w:p>
      <w:pPr>
        <w:ind w:left="288"/>
      </w:pPr>
      <w:r>
        <w:rPr>
          <w:b/>
          <w:color w:val="003CA0"/>
          <w:sz w:val="16"/>
        </w:rPr>
        <w:t>[Inq 3.983, rel. min. Teori Zavascki, j. 3-3-2016, P, DJE de 12-5-2016.]</w:t>
      </w:r>
    </w:p>
    <w:p>
      <w:pPr>
        <w:ind w:left="288"/>
      </w:pPr>
      <w:r>
        <w:rPr>
          <w:color w:val="8C8C8C"/>
          <w:sz w:val="12"/>
        </w:rPr>
        <w:t>cf-art-86-par-4</w:t>
      </w:r>
      <w:r>
        <w:rPr>
          <w:color w:val="003CA0"/>
          <w:sz w:val="12"/>
        </w:rPr>
        <w:t xml:space="preserve"> | HC 83.154</w:t>
      </w:r>
      <w:r>
        <w:rPr>
          <w:color w:val="003CA0"/>
          <w:sz w:val="12"/>
        </w:rPr>
        <w:t xml:space="preserve"> | rel. Sepúlveda Pertence</w:t>
      </w:r>
    </w:p>
    <w:p>
      <w:pPr>
        <w:ind w:left="288"/>
      </w:pPr>
      <w:r>
        <w:rPr>
          <w:color w:val="1E1E1E"/>
          <w:sz w:val="18"/>
        </w:rPr>
        <w:t>O que o art. 86, § 4º, confere ao presidente da República não é imunidade penal, mas imunidade temporária à persecução penal: nele não se prescreve que o presidente é irresponsável por crimes não funcionais praticados no curso do mandato, mas apenas que, por tais crimes, não poderá ser responsabilizado, enquanto não cesse a investidura na presidência. Da impossibilidade, segundo o art. 86, § 4º, de que, enquanto dure o mandato, tenha curso ou se instaure processo penal contra o presidente da República por crimes não funcionais, decorre que, se o fato é anterior à sua investidura, o Supremo Tri</w:t>
      </w:r>
    </w:p>
    <w:p>
      <w:pPr>
        <w:ind w:left="288"/>
      </w:pPr>
      <w:r>
        <w:rPr>
          <w:b/>
          <w:color w:val="003CA0"/>
          <w:sz w:val="16"/>
        </w:rPr>
        <w:t>[HC 83.154, rel. min. Sepúlveda Pertence, j. 11-9-2003, P, DJ de 21-11-2003.]</w:t>
      </w:r>
    </w:p>
    <w:p>
      <w:pPr>
        <w:ind w:left="288"/>
      </w:pPr>
      <w:r>
        <w:rPr>
          <w:color w:val="8C8C8C"/>
          <w:sz w:val="12"/>
        </w:rPr>
        <w:t>cf-art-86-par-4</w:t>
      </w:r>
      <w:r>
        <w:rPr>
          <w:color w:val="003CA0"/>
          <w:sz w:val="12"/>
        </w:rPr>
        <w:t xml:space="preserve"> | INQ 672</w:t>
      </w:r>
      <w:r>
        <w:rPr>
          <w:color w:val="003CA0"/>
          <w:sz w:val="12"/>
        </w:rPr>
        <w:t xml:space="preserve"> | rel. Celso de Mello</w:t>
      </w:r>
    </w:p>
    <w:p>
      <w:pPr>
        <w:ind w:left="288"/>
      </w:pPr>
      <w:r>
        <w:rPr>
          <w:color w:val="1E1E1E"/>
          <w:sz w:val="18"/>
        </w:rPr>
        <w:t>O art. 86, § 4º, da Constituição, ao outorgar privilégio de ordem político-funcional ao presidente da República, excluiu-o, durante a vigência de seu mandato – e por atos estranhos ao seu exercício –, da possibilidade de ser ele submetido, no plano judicial, a qualquer ação persecutória do Estado. A cláusula de exclusão inscrita nesse preceito da Carta Federal, ao inibir a atividade do poder público, em sede judicial, alcança as infrações penais comuns praticadas em momento anterior ao da investidura no cargo de chefe do Poder Executivo da União, bem assim aquelas praticadas na vigência do man</w:t>
      </w:r>
    </w:p>
    <w:p>
      <w:pPr>
        <w:ind w:left="288"/>
      </w:pPr>
      <w:r>
        <w:rPr>
          <w:b/>
          <w:color w:val="003CA0"/>
          <w:sz w:val="16"/>
        </w:rPr>
        <w:t>[Inq 672 QO, rel. min. Celso de Mello, j. 16-9-1992, P, DJ de 16-4-1993.]</w:t>
      </w:r>
    </w:p>
    <w:p>
      <w:pPr>
        <w:ind w:left="288"/>
      </w:pPr>
      <w:r>
        <w:rPr>
          <w:color w:val="8C8C8C"/>
          <w:sz w:val="12"/>
        </w:rPr>
        <w:t>cf-art-86-par-4</w:t>
      </w:r>
    </w:p>
    <w:p>
      <w:pPr>
        <w:ind w:left="288"/>
      </w:pPr>
      <w:r>
        <w:rPr>
          <w:color w:val="1E1E1E"/>
          <w:sz w:val="18"/>
        </w:rPr>
        <w:t>Seção IV Dos Ministros de Estado SUMÁRIO</w:t>
      </w:r>
    </w:p>
    <w:p>
      <w:pPr>
        <w:ind w:left="432"/>
      </w:pPr>
      <w:r>
        <w:rPr>
          <w:color w:val="003366"/>
          <w:sz w:val="18"/>
        </w:rPr>
        <w:t>§ 1 O Presidente ficará suspenso de suas funções:</w:t>
      </w:r>
    </w:p>
    <w:p>
      <w:pPr>
        <w:ind w:left="720"/>
      </w:pPr>
      <w:r>
        <w:rPr>
          <w:color w:val="003366"/>
          <w:sz w:val="18"/>
        </w:rPr>
        <w:t>I – nas infrações penais comuns, se recebida a denúncia ou queixa-crime pelo Sup</w:t>
      </w:r>
    </w:p>
    <w:p>
      <w:pPr>
        <w:ind w:left="720"/>
      </w:pPr>
      <w:r>
        <w:rPr>
          <w:color w:val="003366"/>
          <w:sz w:val="18"/>
        </w:rPr>
        <w:t xml:space="preserve">II – nos crimes de responsabilidade, após a instauração do processo pelo Senado </w:t>
      </w:r>
    </w:p>
    <w:p>
      <w:pPr>
        <w:ind w:left="432"/>
      </w:pPr>
      <w:r>
        <w:rPr>
          <w:color w:val="003366"/>
          <w:sz w:val="18"/>
        </w:rPr>
        <w:t>§ 2 Se, decorrido o prazo de cento e oitenta dias, o julgamento não estiver conc</w:t>
      </w:r>
    </w:p>
    <w:p>
      <w:pPr>
        <w:ind w:left="432"/>
      </w:pPr>
      <w:r>
        <w:rPr>
          <w:color w:val="003366"/>
          <w:sz w:val="18"/>
        </w:rPr>
        <w:t>§ 3 Enquanto não sobrevier sentença condenatória, nas infrações comuns, o Presid</w:t>
      </w:r>
    </w:p>
    <w:p>
      <w:pPr>
        <w:ind w:left="432"/>
      </w:pPr>
      <w:r>
        <w:rPr>
          <w:color w:val="003366"/>
          <w:sz w:val="18"/>
        </w:rPr>
        <w:t>§ 4 O Presidente da República, na vigência de seu mandato, não pode ser responsa</w:t>
      </w:r>
    </w:p>
    <w:p>
      <w:pPr>
        <w:pStyle w:val="Heading3"/>
      </w:pPr>
      <w:r>
        <w:rPr>
          <w:color w:val="003366"/>
        </w:rPr>
        <w:t>Seção IV - DOS MINISTROS DE ESTADO</w:t>
      </w:r>
    </w:p>
    <w:p>
      <w:r>
        <w:rPr>
          <w:b/>
          <w:color w:val="003366"/>
          <w:sz w:val="20"/>
        </w:rPr>
        <w:t>Art. 87 Os Ministros de Estado serão escolhidos dentre brasileiros maiores de vi</w:t>
      </w:r>
      <w:r>
        <w:rPr>
          <w:color w:val="8C8C8C"/>
          <w:sz w:val="14"/>
        </w:rPr>
        <w:t xml:space="preserve">  [11 decisoes]</w:t>
      </w:r>
    </w:p>
    <w:p>
      <w:pPr>
        <w:ind w:left="144"/>
      </w:pPr>
      <w:r>
        <w:rPr>
          <w:b/>
          <w:color w:val="B45A00"/>
          <w:sz w:val="16"/>
        </w:rPr>
        <w:t>JULGADOS CORRELATOS</w:t>
      </w:r>
    </w:p>
    <w:p>
      <w:pPr>
        <w:ind w:left="288"/>
      </w:pPr>
      <w:r>
        <w:rPr>
          <w:color w:val="8C8C8C"/>
          <w:sz w:val="12"/>
        </w:rPr>
        <w:t>cf-art-87</w:t>
      </w:r>
      <w:r>
        <w:rPr>
          <w:color w:val="003CA0"/>
          <w:sz w:val="12"/>
        </w:rPr>
        <w:t xml:space="preserve"> | PET 1.199</w:t>
      </w:r>
      <w:r>
        <w:rPr>
          <w:color w:val="003CA0"/>
          <w:sz w:val="12"/>
        </w:rPr>
        <w:t xml:space="preserve"> | rel. Sepúlveda Pertence</w:t>
      </w:r>
    </w:p>
    <w:p>
      <w:pPr>
        <w:ind w:left="288"/>
      </w:pPr>
      <w:r>
        <w:rPr>
          <w:color w:val="1E1E1E"/>
          <w:sz w:val="18"/>
        </w:rPr>
        <w:t>Para efeito de definição da competência penal originária do STF, não se consideram ministros de Estado os titulares de cargos de natureza especial da estrutura orgânica da Presidência da República, malgrado lhes confira a lei prerrogativas, garantias, vantagens e direitos equivalentes aos dos titulares de ministérios: é o caso do secretário de Comunicação Social da Presidência da República.</w:t>
      </w:r>
    </w:p>
    <w:p>
      <w:pPr>
        <w:ind w:left="288"/>
      </w:pPr>
      <w:r>
        <w:rPr>
          <w:b/>
          <w:color w:val="003CA0"/>
          <w:sz w:val="16"/>
        </w:rPr>
        <w:t>[Pet 1.199 AgR, rel. min. Sepúlveda Pertence, j. 5-5-1999, P, DJ de 25-6-1999.]</w:t>
      </w:r>
    </w:p>
    <w:p>
      <w:pPr>
        <w:ind w:left="144"/>
      </w:pPr>
      <w:r>
        <w:rPr>
          <w:b/>
          <w:color w:val="B45A00"/>
          <w:sz w:val="16"/>
        </w:rPr>
        <w:t>CONTROLE CONCENTRADO</w:t>
      </w:r>
    </w:p>
    <w:p>
      <w:pPr>
        <w:ind w:left="288"/>
      </w:pPr>
      <w:r>
        <w:rPr>
          <w:color w:val="8C8C8C"/>
          <w:sz w:val="12"/>
        </w:rPr>
        <w:t>cf-art-87-par-unico</w:t>
      </w:r>
      <w:r>
        <w:rPr>
          <w:color w:val="003CA0"/>
          <w:sz w:val="12"/>
        </w:rPr>
        <w:t xml:space="preserve"> | ADI 1.397</w:t>
      </w:r>
      <w:r>
        <w:rPr>
          <w:color w:val="003CA0"/>
          <w:sz w:val="12"/>
        </w:rPr>
        <w:t xml:space="preserve"> | rel. Nunes Marques</w:t>
      </w:r>
    </w:p>
    <w:p>
      <w:pPr>
        <w:ind w:left="288"/>
      </w:pPr>
      <w:r>
        <w:rPr>
          <w:color w:val="1E1E1E"/>
          <w:sz w:val="18"/>
        </w:rPr>
        <w:t>A competência dos ministérios é definida primariamente por lei e secundariamente mediante atos do Presidente da República, o qual pode delegar atribuições aos ministros mesmo inexistindo lei expressa a esse respeito (CF, art. 87). Não há garantia constitucional acerca da competência de ministério em face do Presidente da República, visto caber a esse último o exercício superior da administração federal, aí incluído o juízo sobre a melhor forma de disciplinar a atuação dos órgãos e agentes do Poder Executivo (concentração/desconcentração administrativa).</w:t>
      </w:r>
    </w:p>
    <w:p>
      <w:pPr>
        <w:ind w:left="288"/>
      </w:pPr>
      <w:r>
        <w:rPr>
          <w:b/>
          <w:color w:val="003CA0"/>
          <w:sz w:val="16"/>
        </w:rPr>
        <w:t>[ADI 1.397, rel. min. Nunes Marques, j. 16-8-2022, P, DJE de 15-9-2022.]</w:t>
      </w:r>
    </w:p>
    <w:p>
      <w:pPr>
        <w:ind w:left="144"/>
      </w:pPr>
      <w:r>
        <w:rPr>
          <w:b/>
          <w:color w:val="B45A00"/>
          <w:sz w:val="16"/>
        </w:rPr>
        <w:t>JULGADOS CORRELATOS</w:t>
      </w:r>
    </w:p>
    <w:p>
      <w:pPr>
        <w:ind w:left="288"/>
      </w:pPr>
      <w:r>
        <w:rPr>
          <w:color w:val="8C8C8C"/>
          <w:sz w:val="12"/>
        </w:rPr>
        <w:t>cf-art-87-par-unico</w:t>
      </w:r>
      <w:r>
        <w:rPr>
          <w:color w:val="003CA0"/>
          <w:sz w:val="12"/>
        </w:rPr>
        <w:t xml:space="preserve"> | HC 101.528</w:t>
      </w:r>
      <w:r>
        <w:rPr>
          <w:color w:val="003CA0"/>
          <w:sz w:val="12"/>
        </w:rPr>
        <w:t xml:space="preserve"> | rel. Dias Toffoli</w:t>
      </w:r>
    </w:p>
    <w:p>
      <w:pPr>
        <w:ind w:left="288"/>
      </w:pPr>
      <w:r>
        <w:rPr>
          <w:color w:val="1E1E1E"/>
          <w:sz w:val="18"/>
        </w:rPr>
        <w:t>(...) competência desta Suprema Corte para julgamento do presente habeas corpus. Isso porque a competência da expulsão é exclusiva do presidente da República (Lei 6.815/1980, art. 66), com delegação desses poderes ao ministro de Estado da Justiça, a partir do Decreto 3.447/2000 (art. 1º). O fato de o presidente da República delegar ao ministro de Estado da Justiça, mediante ato administrativo por ele próprio assinado, o exercício da competência legal de expulsão de estrangeiro não implica disposição da própria competência.</w:t>
      </w:r>
    </w:p>
    <w:p>
      <w:pPr>
        <w:ind w:left="288"/>
      </w:pPr>
      <w:r>
        <w:rPr>
          <w:b/>
          <w:color w:val="003CA0"/>
          <w:sz w:val="16"/>
        </w:rPr>
        <w:t>[HC 101.528, voto do rel. min. Dias Toffoli, j. 9-12-2010, P, DJE de 22-3-2011.]</w:t>
      </w:r>
    </w:p>
    <w:p>
      <w:pPr>
        <w:ind w:left="288"/>
      </w:pPr>
      <w:r>
        <w:rPr>
          <w:color w:val="8C8C8C"/>
          <w:sz w:val="12"/>
        </w:rPr>
        <w:t>cf-art-87-par-unico</w:t>
      </w:r>
      <w:r>
        <w:rPr>
          <w:color w:val="003CA0"/>
          <w:sz w:val="12"/>
        </w:rPr>
        <w:t xml:space="preserve"> | HC 101.269</w:t>
      </w:r>
      <w:r>
        <w:rPr>
          <w:color w:val="003CA0"/>
          <w:sz w:val="12"/>
        </w:rPr>
        <w:t xml:space="preserve"> | rel. Cármen Lúcia</w:t>
      </w:r>
    </w:p>
    <w:p>
      <w:pPr>
        <w:ind w:left="288"/>
      </w:pPr>
      <w:r>
        <w:rPr>
          <w:color w:val="1E1E1E"/>
          <w:sz w:val="18"/>
        </w:rPr>
        <w:t>Vide HC 101.269, rel. min. Cármen Lúcia, j. 3-8-2010, 1ª T, DJE de 20-8-2010</w:t>
      </w:r>
    </w:p>
    <w:p>
      <w:pPr>
        <w:ind w:left="288"/>
      </w:pPr>
      <w:r>
        <w:rPr>
          <w:color w:val="8C8C8C"/>
          <w:sz w:val="12"/>
        </w:rPr>
        <w:t>cf-art-87-par-unico-inc-I</w:t>
      </w:r>
      <w:r>
        <w:rPr>
          <w:color w:val="003CA0"/>
          <w:sz w:val="12"/>
        </w:rPr>
        <w:t xml:space="preserve"> | MS 23.201</w:t>
      </w:r>
      <w:r>
        <w:rPr>
          <w:color w:val="003CA0"/>
          <w:sz w:val="12"/>
        </w:rPr>
        <w:t xml:space="preserve"> | rel. Ellen Gracie</w:t>
      </w:r>
    </w:p>
    <w:p>
      <w:pPr>
        <w:ind w:left="288"/>
      </w:pPr>
      <w:r>
        <w:rPr>
          <w:color w:val="1E1E1E"/>
          <w:sz w:val="18"/>
        </w:rPr>
        <w:t>O ministro, em decorrência do que dispõe o art. 87, I, da CF, no âmbito do seu ministério, é a autoridade maior. A decisão final a ele pertence. Ademais, os pareceres previstos nos arts. 1º, XIII, 17 e 29, do Regimento Interno da Consultoria Jurídica do Ministério da Justiça (...), por mais abalizados que sejam ou por mais ilustres que sejam seus subscritores, servem, apenas, para orientar o ministro. Se, da análise de todo o processado, o ministro, a quem compete decidir, deles vier a discordar, pode proferir a decisão que reflita sua convicção pessoal.</w:t>
      </w:r>
    </w:p>
    <w:p>
      <w:pPr>
        <w:ind w:left="288"/>
      </w:pPr>
      <w:r>
        <w:rPr>
          <w:b/>
          <w:color w:val="003CA0"/>
          <w:sz w:val="16"/>
        </w:rPr>
        <w:t>[MS 23.201, voto da rel. min. Ellen Gracie, j. 30-6-2005, P, DJ de 19-8-2005.]</w:t>
      </w:r>
    </w:p>
    <w:p>
      <w:pPr>
        <w:ind w:left="288"/>
      </w:pPr>
      <w:r>
        <w:rPr>
          <w:color w:val="8C8C8C"/>
          <w:sz w:val="12"/>
        </w:rPr>
        <w:t>cf-art-87-par-unico-inc-I</w:t>
      </w:r>
      <w:r>
        <w:rPr>
          <w:color w:val="003CA0"/>
          <w:sz w:val="12"/>
        </w:rPr>
        <w:t xml:space="preserve"> | RMS 25.296</w:t>
      </w:r>
      <w:r>
        <w:rPr>
          <w:color w:val="003CA0"/>
          <w:sz w:val="12"/>
        </w:rPr>
        <w:t xml:space="preserve"> | rel. Eros Grau</w:t>
      </w:r>
    </w:p>
    <w:p>
      <w:pPr>
        <w:ind w:left="288"/>
      </w:pPr>
      <w:r>
        <w:rPr>
          <w:color w:val="1E1E1E"/>
          <w:sz w:val="18"/>
        </w:rPr>
        <w:t>= RMS 25.296, rel. min. Eros Grau, j. 9-3-2010, 2ª T, DJE de 14-5-2010 A referenda ministerial, que não se reveste de consequências de ordem processual, projeta-se, quanto aos seus efeitos, numa dimensão estritamente institucional, qualificando-se, sob tal perspectiva, como causa geradora de corresponsabilidade político-administrativa dos ministros de Estado (...). Cumpre ter presente, por isso mesmo, no que concerne à função da referenda ministerial, que esta não se qualifica com requisito indispensável de validade dos decretos presidenciais.</w:t>
      </w:r>
    </w:p>
    <w:p>
      <w:pPr>
        <w:ind w:left="288"/>
      </w:pPr>
      <w:r>
        <w:rPr>
          <w:b/>
          <w:color w:val="003CA0"/>
          <w:sz w:val="16"/>
        </w:rPr>
        <w:t>[MS 22.706 MC, rel. min. Celso de Mello, j. 23-1-1997, dec. monocrática, DJ de 5-2-1997.]</w:t>
      </w:r>
    </w:p>
    <w:p>
      <w:pPr>
        <w:ind w:left="144"/>
      </w:pPr>
      <w:r>
        <w:rPr>
          <w:b/>
          <w:color w:val="B45A00"/>
          <w:sz w:val="16"/>
        </w:rPr>
        <w:t>CONTROLE CONCENTRADO</w:t>
      </w:r>
    </w:p>
    <w:p>
      <w:pPr>
        <w:ind w:left="288"/>
      </w:pPr>
      <w:r>
        <w:rPr>
          <w:color w:val="8C8C8C"/>
          <w:sz w:val="12"/>
        </w:rPr>
        <w:t>cf-art-87-par-unico-inc-II</w:t>
      </w:r>
      <w:r>
        <w:rPr>
          <w:color w:val="003CA0"/>
          <w:sz w:val="12"/>
        </w:rPr>
        <w:t xml:space="preserve"> | ADI 1.075</w:t>
      </w:r>
      <w:r>
        <w:rPr>
          <w:color w:val="003CA0"/>
          <w:sz w:val="12"/>
        </w:rPr>
        <w:t xml:space="preserve"> | rel. Celso de Mello</w:t>
      </w:r>
    </w:p>
    <w:p>
      <w:pPr>
        <w:ind w:left="288"/>
      </w:pPr>
      <w:r>
        <w:rPr>
          <w:color w:val="1E1E1E"/>
          <w:sz w:val="18"/>
        </w:rPr>
        <w:t>A competência regulamentar deferida aos Ministros de Estado, mesmo sendo de segundo grau, possui inquestionável extração constitucional (CF, art. 87, parágrafo único, II), de tal modo que o poder jurídico de expedir instruções para a fiel execução das leis compõe, no quadro do sistema normativo vigente no Brasil, uma prerrogativa que também assiste, “ope constitutionis”, a esses qualificados agentes auxiliares do Chefe do Poder Executivo da União. As instruções regulamentares, quando emanarem de Ministro de Estado, qualificar-se-ão como regulamentos executivos, necessariamente subordinados aos</w:t>
      </w:r>
    </w:p>
    <w:p>
      <w:pPr>
        <w:ind w:left="288"/>
      </w:pPr>
      <w:r>
        <w:rPr>
          <w:b/>
          <w:color w:val="003CA0"/>
          <w:sz w:val="16"/>
        </w:rPr>
        <w:t>[ADI 1.075, rel. min. Celso de Mello, j. 5-10-2020, P, DJE de 19-10-2020.]</w:t>
      </w:r>
    </w:p>
    <w:p>
      <w:pPr>
        <w:ind w:left="288"/>
      </w:pPr>
      <w:r>
        <w:rPr>
          <w:color w:val="8C8C8C"/>
          <w:sz w:val="12"/>
        </w:rPr>
        <w:t>cf-art-87-par-unico-inc-II</w:t>
      </w:r>
      <w:r>
        <w:rPr>
          <w:color w:val="003CA0"/>
          <w:sz w:val="12"/>
        </w:rPr>
        <w:t xml:space="preserve"> | ADPF 509</w:t>
      </w:r>
      <w:r>
        <w:rPr>
          <w:color w:val="003CA0"/>
          <w:sz w:val="12"/>
        </w:rPr>
        <w:t xml:space="preserve"> | rel. Marco Aurélio</w:t>
      </w:r>
    </w:p>
    <w:p>
      <w:pPr>
        <w:ind w:left="288"/>
      </w:pPr>
      <w:r>
        <w:rPr>
          <w:color w:val="1E1E1E"/>
          <w:sz w:val="18"/>
        </w:rPr>
        <w:t>Encerrando portaria, fundamentada na legislação de regência, divulgação de cadastro de empregadores que tenham submetido trabalhadores a condição análoga à de escravo, sem extravasamento das atribuições previstas na Lei Maior, tem-se a higidez constitucional.</w:t>
      </w:r>
    </w:p>
    <w:p>
      <w:pPr>
        <w:ind w:left="288"/>
      </w:pPr>
      <w:r>
        <w:rPr>
          <w:b/>
          <w:color w:val="003CA0"/>
          <w:sz w:val="16"/>
        </w:rPr>
        <w:t>[ADPF 509, rel. min. Marco Aurélio, j. 16-9-2020, P, DJE de 5-10-2020.]</w:t>
      </w:r>
    </w:p>
    <w:p>
      <w:pPr>
        <w:ind w:left="288"/>
      </w:pPr>
      <w:r>
        <w:rPr>
          <w:color w:val="8C8C8C"/>
          <w:sz w:val="12"/>
        </w:rPr>
        <w:t>cf-art-87-par-unico-inc-II</w:t>
      </w:r>
      <w:r>
        <w:rPr>
          <w:color w:val="003CA0"/>
          <w:sz w:val="12"/>
        </w:rPr>
        <w:t xml:space="preserve"> | ADI 3.206</w:t>
      </w:r>
      <w:r>
        <w:rPr>
          <w:color w:val="003CA0"/>
          <w:sz w:val="12"/>
        </w:rPr>
        <w:t xml:space="preserve"> | rel. Marco Aurélio</w:t>
      </w:r>
    </w:p>
    <w:p>
      <w:pPr>
        <w:ind w:left="288"/>
      </w:pPr>
      <w:r>
        <w:rPr>
          <w:color w:val="1E1E1E"/>
          <w:sz w:val="18"/>
        </w:rPr>
        <w:t>A regência das contribuições sindicais há de se fazer mediante lei no sentido formal e material, conflitando com a Carta da República, considerada a forma, portaria do ministro de Estado do Trabalho e Emprego, disciplinando o tema.</w:t>
      </w:r>
    </w:p>
    <w:p>
      <w:pPr>
        <w:ind w:left="288"/>
      </w:pPr>
      <w:r>
        <w:rPr>
          <w:b/>
          <w:color w:val="003CA0"/>
          <w:sz w:val="16"/>
        </w:rPr>
        <w:t>[ADI 3.206, rel. min. Marco Aurélio, j. 14-4-2005, P, DJ de 26-8-2005.]</w:t>
      </w:r>
    </w:p>
    <w:p>
      <w:pPr>
        <w:ind w:left="144"/>
      </w:pPr>
      <w:r>
        <w:rPr>
          <w:b/>
          <w:color w:val="B45A00"/>
          <w:sz w:val="16"/>
        </w:rPr>
        <w:t>JULGADOS CORRELATOS</w:t>
      </w:r>
    </w:p>
    <w:p>
      <w:pPr>
        <w:ind w:left="288"/>
      </w:pPr>
      <w:r>
        <w:rPr>
          <w:color w:val="8C8C8C"/>
          <w:sz w:val="12"/>
        </w:rPr>
        <w:t>cf-art-87-par-unico-inc-II</w:t>
      </w:r>
      <w:r>
        <w:rPr>
          <w:color w:val="003CA0"/>
          <w:sz w:val="12"/>
        </w:rPr>
        <w:t xml:space="preserve"> | RMS 28.487</w:t>
      </w:r>
      <w:r>
        <w:rPr>
          <w:color w:val="003CA0"/>
          <w:sz w:val="12"/>
        </w:rPr>
        <w:t xml:space="preserve"> | rel. Dias Toffoli</w:t>
      </w:r>
    </w:p>
    <w:p>
      <w:pPr>
        <w:ind w:left="288"/>
      </w:pPr>
      <w:r>
        <w:rPr>
          <w:color w:val="1E1E1E"/>
          <w:sz w:val="18"/>
        </w:rPr>
        <w:t>A Câmara de Regulação do Mercado de Medicamentos (CMED) está prevista na Lei 10.742/2003 como órgão técnico necessário à regulação do setor farmacêutico, justificando-se, especialmente, pelas complexidades do mercado de medicamentos. A amplitude da delegação normativa consiste no fundamento fático-jurídico do exercício do poder regulamentar pela administração pública, que deve atuar em consonância com a lei, atendendo à necessidade de regulação do setor farmacêutico e em respeito à dinâmica e às peculiaridades técnicas do mercado de medicamentos.</w:t>
      </w:r>
    </w:p>
    <w:p>
      <w:pPr>
        <w:ind w:left="288"/>
      </w:pPr>
      <w:r>
        <w:rPr>
          <w:b/>
          <w:color w:val="003CA0"/>
          <w:sz w:val="16"/>
        </w:rPr>
        <w:t>[RMS 28.487, rel. min. Dias Toffoli, j. 26-2-2013, 1ª T, DJE de 15-3-2013.]</w:t>
      </w:r>
    </w:p>
    <w:p>
      <w:pPr>
        <w:ind w:left="288"/>
      </w:pPr>
      <w:r>
        <w:rPr>
          <w:color w:val="8C8C8C"/>
          <w:sz w:val="12"/>
        </w:rPr>
        <w:t>cf-art-87-par-unico-inc-II</w:t>
      </w:r>
      <w:r>
        <w:rPr>
          <w:color w:val="003CA0"/>
          <w:sz w:val="12"/>
        </w:rPr>
        <w:t xml:space="preserve"> | PET 4.074</w:t>
      </w:r>
      <w:r>
        <w:rPr>
          <w:color w:val="003CA0"/>
          <w:sz w:val="12"/>
        </w:rPr>
        <w:t xml:space="preserve"> | rel. Cezar Peluso</w:t>
      </w:r>
    </w:p>
    <w:p>
      <w:pPr>
        <w:ind w:left="288"/>
      </w:pPr>
      <w:r>
        <w:rPr>
          <w:color w:val="1E1E1E"/>
          <w:sz w:val="18"/>
        </w:rPr>
        <w:t>Não se conhece de pedido de notificação dirigido a ministro de Estado para cumprimento de lei. Precedentes (Pet 4.074 AgR, 4.081, 4.094, 4.098, 4.103 e 4.105, rel. min. Cezar Peluso, DJE de 27-6-2008).</w:t>
      </w:r>
    </w:p>
    <w:p>
      <w:pPr>
        <w:ind w:left="288"/>
      </w:pPr>
      <w:r>
        <w:rPr>
          <w:b/>
          <w:color w:val="003CA0"/>
          <w:sz w:val="16"/>
        </w:rPr>
        <w:t>[Pet 4.100 AgR, rel. min. Eros Grau, j. 24-4-2008, P, DJE de 27-6-2008.]</w:t>
      </w:r>
    </w:p>
    <w:p>
      <w:pPr>
        <w:ind w:left="720"/>
      </w:pPr>
      <w:r>
        <w:rPr>
          <w:color w:val="003366"/>
          <w:sz w:val="18"/>
        </w:rPr>
        <w:t>I – exercer a orientação, coordenação e supervisão dos órgãos e entidades da adm</w:t>
      </w:r>
    </w:p>
    <w:p>
      <w:pPr>
        <w:ind w:left="720"/>
      </w:pPr>
      <w:r>
        <w:rPr>
          <w:color w:val="003366"/>
          <w:sz w:val="18"/>
        </w:rPr>
        <w:t>II – expedir instruções para a execução das leis, decretos e regulamentos;</w:t>
      </w:r>
    </w:p>
    <w:p>
      <w:pPr>
        <w:ind w:left="720"/>
      </w:pPr>
      <w:r>
        <w:rPr>
          <w:color w:val="003366"/>
          <w:sz w:val="18"/>
        </w:rPr>
        <w:t>III – apresentar ao Presidente da República relatório anual de sua gestão no Min</w:t>
      </w:r>
    </w:p>
    <w:p>
      <w:pPr>
        <w:ind w:left="720"/>
      </w:pPr>
      <w:r>
        <w:rPr>
          <w:color w:val="003366"/>
          <w:sz w:val="18"/>
        </w:rPr>
        <w:t>IV – praticar os atos pertinentes às atribuições que lhe forem outorgadas ou del</w:t>
      </w:r>
    </w:p>
    <w:p>
      <w:r>
        <w:rPr>
          <w:b/>
          <w:color w:val="003366"/>
          <w:sz w:val="20"/>
        </w:rPr>
        <w:t>Art. 88 A lei disporá sobre a criação e extinção de Ministérios e órgãos da admi</w:t>
      </w:r>
      <w:r>
        <w:rPr>
          <w:color w:val="8C8C8C"/>
          <w:sz w:val="14"/>
        </w:rPr>
        <w:t xml:space="preserve">  [1 decisoes]</w:t>
      </w:r>
    </w:p>
    <w:p>
      <w:pPr>
        <w:ind w:left="288"/>
      </w:pPr>
      <w:r>
        <w:rPr>
          <w:color w:val="8C8C8C"/>
          <w:sz w:val="12"/>
        </w:rPr>
        <w:t>cf-art-88</w:t>
      </w:r>
    </w:p>
    <w:p>
      <w:pPr>
        <w:ind w:left="288"/>
      </w:pPr>
      <w:r>
        <w:rPr>
          <w:color w:val="1E1E1E"/>
          <w:sz w:val="18"/>
        </w:rPr>
        <w:t>Seção V Do Conselho da República e do Conselho de Defesa Nacional SUMÁRIO Subseção I - Do Conselho da República</w:t>
      </w:r>
    </w:p>
    <w:p>
      <w:pPr>
        <w:pStyle w:val="Heading3"/>
      </w:pPr>
      <w:r>
        <w:rPr>
          <w:color w:val="003366"/>
        </w:rPr>
        <w:t>Seção V - DO CONSELHO DA REPÚBLICA E DO CONSELHO DE DEFESA NACIONAL</w:t>
      </w:r>
    </w:p>
    <w:p>
      <w:r>
        <w:rPr>
          <w:b/>
          <w:color w:val="003366"/>
          <w:sz w:val="20"/>
        </w:rPr>
        <w:t>Art. 89 O Conselho da República é órgão superior de consulta do Presidente da Re</w:t>
      </w:r>
      <w:r>
        <w:rPr>
          <w:color w:val="8C8C8C"/>
          <w:sz w:val="14"/>
        </w:rPr>
        <w:t xml:space="preserve">  [2 decisoes]</w:t>
      </w:r>
    </w:p>
    <w:p>
      <w:pPr>
        <w:ind w:left="144"/>
      </w:pPr>
      <w:r>
        <w:rPr>
          <w:b/>
          <w:color w:val="B45A00"/>
          <w:sz w:val="16"/>
        </w:rPr>
        <w:t>CONTROLE CONCENTRADO</w:t>
      </w:r>
    </w:p>
    <w:p>
      <w:pPr>
        <w:ind w:left="288"/>
      </w:pPr>
      <w:r>
        <w:rPr>
          <w:color w:val="8C8C8C"/>
          <w:sz w:val="12"/>
        </w:rPr>
        <w:t>cf-art-89</w:t>
      </w:r>
      <w:r>
        <w:rPr>
          <w:color w:val="003CA0"/>
          <w:sz w:val="12"/>
        </w:rPr>
        <w:t xml:space="preserve"> | ADI 106</w:t>
      </w:r>
    </w:p>
    <w:p>
      <w:pPr>
        <w:ind w:left="288"/>
      </w:pPr>
      <w:r>
        <w:rPr>
          <w:color w:val="1E1E1E"/>
          <w:sz w:val="18"/>
        </w:rPr>
        <w:t>Criação e atribuições de Conselho de Governo em conformidade com a CF. Inconstitucionalidade da inclusão do procurador-geral de Justiça e dos presidentes dos tribunais de justiça e de contas na composição do Conselho de Governo.</w:t>
      </w:r>
    </w:p>
    <w:p>
      <w:pPr>
        <w:ind w:left="288"/>
      </w:pPr>
      <w:r>
        <w:rPr>
          <w:b/>
          <w:color w:val="003CA0"/>
          <w:sz w:val="16"/>
        </w:rPr>
        <w:t>[ADI 106, red. do ac. min. Gilmar Mendes, j. 10-10-2002, P, DJ de 25-11-2005.]</w:t>
      </w:r>
    </w:p>
    <w:p>
      <w:pPr>
        <w:ind w:left="288"/>
      </w:pPr>
      <w:r>
        <w:rPr>
          <w:color w:val="8C8C8C"/>
          <w:sz w:val="12"/>
        </w:rPr>
        <w:t>cf-art-89-inc-VI</w:t>
      </w:r>
    </w:p>
    <w:p>
      <w:pPr>
        <w:ind w:left="288"/>
      </w:pPr>
      <w:r>
        <w:rPr>
          <w:color w:val="1E1E1E"/>
          <w:sz w:val="18"/>
        </w:rPr>
        <w:t>VII - seis cidadãos brasileiros natos, com mais de trinta e cinco anos de idade, sendo dois nomeados pelo Presidente da República, dois eleitos pelo Senado Federal e dois eleitos pela Câmara dos Deputados, todos com mandato de três anos, vedada a recondução.</w:t>
      </w:r>
    </w:p>
    <w:p>
      <w:pPr>
        <w:ind w:left="720"/>
      </w:pPr>
      <w:r>
        <w:rPr>
          <w:color w:val="003366"/>
          <w:sz w:val="18"/>
        </w:rPr>
        <w:t>I – o Vice-Presidente da República;</w:t>
      </w:r>
    </w:p>
    <w:p>
      <w:pPr>
        <w:ind w:left="720"/>
      </w:pPr>
      <w:r>
        <w:rPr>
          <w:color w:val="003366"/>
          <w:sz w:val="18"/>
        </w:rPr>
        <w:t>II – o Presidente da Câmara dos Deputados;</w:t>
      </w:r>
    </w:p>
    <w:p>
      <w:pPr>
        <w:ind w:left="720"/>
      </w:pPr>
      <w:r>
        <w:rPr>
          <w:color w:val="003366"/>
          <w:sz w:val="18"/>
        </w:rPr>
        <w:t>III – o Presidente do Senado Federal;</w:t>
      </w:r>
    </w:p>
    <w:p>
      <w:pPr>
        <w:ind w:left="720"/>
      </w:pPr>
      <w:r>
        <w:rPr>
          <w:color w:val="003366"/>
          <w:sz w:val="18"/>
        </w:rPr>
        <w:t>IV – os líderes da maioria e da minoria na Câmara dos Deputados;</w:t>
      </w:r>
    </w:p>
    <w:p>
      <w:pPr>
        <w:ind w:left="720"/>
      </w:pPr>
      <w:r>
        <w:rPr>
          <w:color w:val="003366"/>
          <w:sz w:val="18"/>
        </w:rPr>
        <w:t>V – os líderes da maioria e da minoria no Senado Federal;</w:t>
      </w:r>
    </w:p>
    <w:p>
      <w:pPr>
        <w:ind w:left="720"/>
      </w:pPr>
      <w:r>
        <w:rPr>
          <w:color w:val="003366"/>
          <w:sz w:val="18"/>
        </w:rPr>
        <w:t>VI – o Ministro da Justiça;</w:t>
      </w:r>
    </w:p>
    <w:p>
      <w:pPr>
        <w:ind w:left="720"/>
      </w:pPr>
      <w:r>
        <w:rPr>
          <w:color w:val="003366"/>
          <w:sz w:val="18"/>
        </w:rPr>
        <w:t>VII – seis cidadãos brasileiros natos, com mais de trinta e cinco anos de idade,</w:t>
      </w:r>
    </w:p>
    <w:p>
      <w:r>
        <w:rPr>
          <w:b/>
          <w:color w:val="003366"/>
          <w:sz w:val="20"/>
        </w:rPr>
        <w:t>Art. 90 Compete ao Conselho da República pronunciar-se sobre:</w:t>
      </w:r>
      <w:r>
        <w:rPr>
          <w:color w:val="8C8C8C"/>
          <w:sz w:val="14"/>
        </w:rPr>
        <w:t xml:space="preserve">  [1 decisoes]</w:t>
      </w:r>
    </w:p>
    <w:p>
      <w:pPr>
        <w:ind w:left="288"/>
      </w:pPr>
      <w:r>
        <w:rPr>
          <w:color w:val="8C8C8C"/>
          <w:sz w:val="12"/>
        </w:rPr>
        <w:t>cf-art-90-par-2</w:t>
      </w:r>
    </w:p>
    <w:p>
      <w:pPr>
        <w:ind w:left="288"/>
      </w:pPr>
      <w:r>
        <w:rPr>
          <w:color w:val="1E1E1E"/>
          <w:sz w:val="18"/>
        </w:rPr>
        <w:t>Subseção II - Do Conselho de Defesa Nacional</w:t>
      </w:r>
    </w:p>
    <w:p>
      <w:pPr>
        <w:ind w:left="720"/>
      </w:pPr>
      <w:r>
        <w:rPr>
          <w:color w:val="003366"/>
          <w:sz w:val="18"/>
        </w:rPr>
        <w:t>I – intervenção federal, estado de defesa e estado de sítio;</w:t>
      </w:r>
    </w:p>
    <w:p>
      <w:pPr>
        <w:ind w:left="720"/>
      </w:pPr>
      <w:r>
        <w:rPr>
          <w:color w:val="003366"/>
          <w:sz w:val="18"/>
        </w:rPr>
        <w:t>II – as questões relevantes para a estabilidade das instituições democráticas.</w:t>
      </w:r>
    </w:p>
    <w:p>
      <w:pPr>
        <w:ind w:left="432"/>
      </w:pPr>
      <w:r>
        <w:rPr>
          <w:color w:val="003366"/>
          <w:sz w:val="18"/>
        </w:rPr>
        <w:t>§ 1 O Presidente da República poderá convocar Ministro de Estado para participar</w:t>
      </w:r>
    </w:p>
    <w:p>
      <w:pPr>
        <w:ind w:left="432"/>
      </w:pPr>
      <w:r>
        <w:rPr>
          <w:color w:val="003366"/>
          <w:sz w:val="18"/>
        </w:rPr>
        <w:t>§ 2 A lei regulará a organização e o funcionamento do Conselho da República. (Vi</w:t>
      </w:r>
    </w:p>
    <w:p>
      <w:r>
        <w:rPr>
          <w:b/>
          <w:color w:val="003366"/>
          <w:sz w:val="20"/>
        </w:rPr>
        <w:t>Art. 91 O Conselho de Defesa Nacional é órgão de consulta do Presidente da Repúb</w:t>
      </w:r>
      <w:r>
        <w:rPr>
          <w:color w:val="8C8C8C"/>
          <w:sz w:val="14"/>
        </w:rPr>
        <w:t xml:space="preserve">  [5 decisoes]</w:t>
      </w:r>
    </w:p>
    <w:p>
      <w:pPr>
        <w:ind w:left="144"/>
      </w:pPr>
      <w:r>
        <w:rPr>
          <w:b/>
          <w:color w:val="B45A00"/>
          <w:sz w:val="16"/>
        </w:rPr>
        <w:t>JULGADOS CORRELATOS</w:t>
      </w:r>
    </w:p>
    <w:p>
      <w:pPr>
        <w:ind w:left="288"/>
      </w:pPr>
      <w:r>
        <w:rPr>
          <w:color w:val="8C8C8C"/>
          <w:sz w:val="12"/>
        </w:rPr>
        <w:t>cf-art-91-inc-III</w:t>
      </w:r>
      <w:r>
        <w:rPr>
          <w:color w:val="003CA0"/>
          <w:sz w:val="12"/>
        </w:rPr>
        <w:t xml:space="preserve"> | RE 659.661</w:t>
      </w:r>
      <w:r>
        <w:rPr>
          <w:color w:val="003CA0"/>
          <w:sz w:val="12"/>
        </w:rPr>
        <w:t xml:space="preserve"> | rel. Roberto Barroso</w:t>
      </w:r>
    </w:p>
    <w:p>
      <w:pPr>
        <w:ind w:left="288"/>
      </w:pPr>
      <w:r>
        <w:rPr>
          <w:color w:val="1E1E1E"/>
          <w:sz w:val="18"/>
        </w:rPr>
        <w:t>A questão a ser resolvida consiste na forma de contagem do período de “três anos de atividade jurídica”, exigido no art. 93, I, da Constituição, para o ingresso na magistratura. Por um imperativo de isonomia, nos termos dos arts. 5º e 37 da Constituição, o mesmo critério adotado no art. 5º do Regulamento Geral do Estatuto da Advocacia e da OAB deve ser aplicado à hipótese.</w:t>
      </w:r>
    </w:p>
    <w:p>
      <w:pPr>
        <w:ind w:left="288"/>
      </w:pPr>
      <w:r>
        <w:rPr>
          <w:b/>
          <w:color w:val="003CA0"/>
          <w:sz w:val="16"/>
        </w:rPr>
        <w:t>[RE 659.661 AgR, rel. min. Roberto Barroso, j. 3-10-2022, 1ª T, DJE de 13-10-2022.]</w:t>
      </w:r>
    </w:p>
    <w:p>
      <w:pPr>
        <w:ind w:left="288"/>
      </w:pPr>
      <w:r>
        <w:rPr>
          <w:color w:val="8C8C8C"/>
          <w:sz w:val="12"/>
        </w:rPr>
        <w:t>cf-art-91-par-1-inc-II</w:t>
      </w:r>
    </w:p>
    <w:p>
      <w:pPr>
        <w:ind w:left="288"/>
      </w:pPr>
      <w:r>
        <w:rPr>
          <w:color w:val="1E1E1E"/>
          <w:sz w:val="18"/>
        </w:rPr>
        <w:t>III - propor os critérios e condições de utilização de áreas indispensáveis à segurança do território nacional e opinar sobre seu efetivo uso, especialmente na faixa de fronteira e nas relacionadas com a preservação e a exploração dos recursos naturais de qualquer tipo;</w:t>
      </w:r>
    </w:p>
    <w:p>
      <w:pPr>
        <w:ind w:left="288"/>
      </w:pPr>
      <w:r>
        <w:rPr>
          <w:color w:val="8C8C8C"/>
          <w:sz w:val="12"/>
        </w:rPr>
        <w:t>cf-art-91-par-1-inc-II</w:t>
      </w:r>
      <w:r>
        <w:rPr>
          <w:color w:val="003CA0"/>
          <w:sz w:val="12"/>
        </w:rPr>
        <w:t xml:space="preserve"> | MS 25.483</w:t>
      </w:r>
      <w:r>
        <w:rPr>
          <w:color w:val="003CA0"/>
          <w:sz w:val="12"/>
        </w:rPr>
        <w:t xml:space="preserve"> | rel. Ayres Britto</w:t>
      </w:r>
    </w:p>
    <w:p>
      <w:pPr>
        <w:ind w:left="288"/>
      </w:pPr>
      <w:r>
        <w:rPr>
          <w:color w:val="1E1E1E"/>
          <w:sz w:val="18"/>
        </w:rPr>
        <w:t>Cabe à União demarcar as terras tradicionalmente ocupadas pelos índios (caput do art. 231 da CF). Donde competir ao presidente da República homologar tal demarcação administrativa. A manifestação do Conselho de Defesa Nacional não é requisito de validade da demarcação de terras indígenas, mesmo daquelas situadas em região de fronteira.</w:t>
      </w:r>
    </w:p>
    <w:p>
      <w:pPr>
        <w:ind w:left="288"/>
      </w:pPr>
      <w:r>
        <w:rPr>
          <w:b/>
          <w:color w:val="003CA0"/>
          <w:sz w:val="16"/>
        </w:rPr>
        <w:t>[MS 25.483, rel. min. Ayres Britto, j. 4-6-2007, P, DJ de 14-9-2007.]</w:t>
      </w:r>
    </w:p>
    <w:p>
      <w:pPr>
        <w:ind w:left="288"/>
      </w:pPr>
      <w:r>
        <w:rPr>
          <w:color w:val="8C8C8C"/>
          <w:sz w:val="12"/>
        </w:rPr>
        <w:t>cf-art-91-par-1-inc-II</w:t>
      </w:r>
      <w:r>
        <w:rPr>
          <w:color w:val="003CA0"/>
          <w:sz w:val="12"/>
        </w:rPr>
        <w:t xml:space="preserve"> | MS 24.045</w:t>
      </w:r>
      <w:r>
        <w:rPr>
          <w:color w:val="003CA0"/>
          <w:sz w:val="12"/>
        </w:rPr>
        <w:t xml:space="preserve"> | rel. Joaquim Barbosa</w:t>
      </w:r>
    </w:p>
    <w:p>
      <w:pPr>
        <w:ind w:left="288"/>
      </w:pPr>
      <w:r>
        <w:rPr>
          <w:color w:val="1E1E1E"/>
          <w:sz w:val="18"/>
        </w:rPr>
        <w:t>Vide MS 24.045, rel. min. Joaquim Barbosa, j. 7-4-2005, P, DJ de 14-10-2005</w:t>
      </w:r>
    </w:p>
    <w:p>
      <w:pPr>
        <w:ind w:left="288"/>
      </w:pPr>
      <w:r>
        <w:rPr>
          <w:color w:val="8C8C8C"/>
          <w:sz w:val="12"/>
        </w:rPr>
        <w:t>cf-art-91-par-2</w:t>
      </w:r>
    </w:p>
    <w:p>
      <w:pPr>
        <w:ind w:left="288"/>
      </w:pPr>
      <w:r>
        <w:rPr>
          <w:color w:val="1E1E1E"/>
          <w:sz w:val="18"/>
        </w:rPr>
        <w:t>CAPÍTULO III Do Poder Judiciário SUMÁRIO Seção I Disposições Gerais SUMÁRIO</w:t>
      </w:r>
    </w:p>
    <w:p>
      <w:pPr>
        <w:ind w:left="720"/>
      </w:pPr>
      <w:r>
        <w:rPr>
          <w:color w:val="003366"/>
          <w:sz w:val="18"/>
        </w:rPr>
        <w:t>I – o Vice-Presidente da República;</w:t>
      </w:r>
    </w:p>
    <w:p>
      <w:pPr>
        <w:ind w:left="720"/>
      </w:pPr>
      <w:r>
        <w:rPr>
          <w:color w:val="003366"/>
          <w:sz w:val="18"/>
        </w:rPr>
        <w:t>II – o Presidente da Câmara dos Deputados;</w:t>
      </w:r>
    </w:p>
    <w:p>
      <w:pPr>
        <w:ind w:left="720"/>
      </w:pPr>
      <w:r>
        <w:rPr>
          <w:color w:val="003366"/>
          <w:sz w:val="18"/>
        </w:rPr>
        <w:t>III – o Presidente do Senado Federal;</w:t>
      </w:r>
    </w:p>
    <w:p>
      <w:pPr>
        <w:ind w:left="720"/>
      </w:pPr>
      <w:r>
        <w:rPr>
          <w:color w:val="003366"/>
          <w:sz w:val="18"/>
        </w:rPr>
        <w:t>IV – o Ministro da Justiça;</w:t>
      </w:r>
    </w:p>
    <w:p>
      <w:pPr>
        <w:ind w:left="720"/>
      </w:pPr>
      <w:r>
        <w:rPr>
          <w:color w:val="003366"/>
          <w:sz w:val="18"/>
        </w:rPr>
        <w:t xml:space="preserve">V – o Ministro de Estado da Defesa; (Redação dada pela Emenda Constitucional nº </w:t>
      </w:r>
    </w:p>
    <w:p>
      <w:pPr>
        <w:ind w:left="720"/>
      </w:pPr>
      <w:r>
        <w:rPr>
          <w:color w:val="003366"/>
          <w:sz w:val="18"/>
        </w:rPr>
        <w:t>VI – o Ministro das Relações Exteriores;</w:t>
      </w:r>
    </w:p>
    <w:p>
      <w:pPr>
        <w:ind w:left="720"/>
      </w:pPr>
      <w:r>
        <w:rPr>
          <w:color w:val="003366"/>
          <w:sz w:val="18"/>
        </w:rPr>
        <w:t>VII – o Ministro do Planejamento.</w:t>
      </w:r>
    </w:p>
    <w:p>
      <w:pPr>
        <w:ind w:left="720"/>
      </w:pPr>
      <w:r>
        <w:rPr>
          <w:color w:val="003366"/>
          <w:sz w:val="18"/>
        </w:rPr>
        <w:t>VIII – os Comandantes da Marinha, do Exército e da Aeronáutica. (Incluído pela E</w:t>
      </w:r>
    </w:p>
    <w:p>
      <w:pPr>
        <w:ind w:left="432"/>
      </w:pPr>
      <w:r>
        <w:rPr>
          <w:color w:val="003366"/>
          <w:sz w:val="18"/>
        </w:rPr>
        <w:t>§ 1 Compete ao Conselho de Defesa Nacional:</w:t>
      </w:r>
    </w:p>
    <w:p>
      <w:pPr>
        <w:ind w:left="720"/>
      </w:pPr>
      <w:r>
        <w:rPr>
          <w:color w:val="003366"/>
          <w:sz w:val="18"/>
        </w:rPr>
        <w:t>I – opinar nas hipóteses de declaração de guerra e de celebração da paz, nos ter</w:t>
      </w:r>
    </w:p>
    <w:p>
      <w:pPr>
        <w:ind w:left="720"/>
      </w:pPr>
      <w:r>
        <w:rPr>
          <w:color w:val="003366"/>
          <w:sz w:val="18"/>
        </w:rPr>
        <w:t>II – opinar sobre a decretação do estado de defesa, do estado de sítio e da inte</w:t>
      </w:r>
    </w:p>
    <w:p>
      <w:pPr>
        <w:ind w:left="720"/>
      </w:pPr>
      <w:r>
        <w:rPr>
          <w:color w:val="003366"/>
          <w:sz w:val="18"/>
        </w:rPr>
        <w:t>III – propor os critérios e condições de utilização de áreas indispensáveis à se</w:t>
      </w:r>
    </w:p>
    <w:p>
      <w:pPr>
        <w:ind w:left="720"/>
      </w:pPr>
      <w:r>
        <w:rPr>
          <w:color w:val="003366"/>
          <w:sz w:val="18"/>
        </w:rPr>
        <w:t>IV – estudar, propor e acompanhar o desenvolvimento de iniciativas necessárias a</w:t>
      </w:r>
    </w:p>
    <w:p>
      <w:pPr>
        <w:ind w:left="432"/>
      </w:pPr>
      <w:r>
        <w:rPr>
          <w:color w:val="003366"/>
          <w:sz w:val="18"/>
        </w:rPr>
        <w:t>§ 2 A lei regulará a organização e o funcionamento do Conselho de Defesa Naciona</w:t>
      </w:r>
    </w:p>
    <w:p>
      <w:pPr>
        <w:pStyle w:val="Heading2"/>
      </w:pPr>
      <w:r>
        <w:rPr>
          <w:color w:val="003366"/>
        </w:rPr>
        <w:t>CAPÍTULO III - DO PODER JUDICIÁRIO</w:t>
      </w:r>
    </w:p>
    <w:p>
      <w:pPr>
        <w:pStyle w:val="Heading3"/>
      </w:pPr>
      <w:r>
        <w:rPr>
          <w:color w:val="003366"/>
        </w:rPr>
        <w:t>Seção I - DISPOSIÇÕES GERAIS</w:t>
      </w:r>
    </w:p>
    <w:p>
      <w:r>
        <w:rPr>
          <w:b/>
          <w:color w:val="003366"/>
          <w:sz w:val="20"/>
        </w:rPr>
        <w:t>Art. 92 São órgãos do Poder Judiciário:</w:t>
      </w:r>
      <w:r>
        <w:rPr>
          <w:color w:val="8C8C8C"/>
          <w:sz w:val="14"/>
        </w:rPr>
        <w:t xml:space="preserve">  [7 decisoes]</w:t>
      </w:r>
    </w:p>
    <w:p>
      <w:pPr>
        <w:ind w:left="144"/>
      </w:pPr>
      <w:r>
        <w:rPr>
          <w:b/>
          <w:color w:val="B45A00"/>
          <w:sz w:val="16"/>
        </w:rPr>
        <w:t>CONTROLE CONCENTRADO</w:t>
      </w:r>
    </w:p>
    <w:p>
      <w:pPr>
        <w:ind w:left="288"/>
      </w:pPr>
      <w:r>
        <w:rPr>
          <w:color w:val="8C8C8C"/>
          <w:sz w:val="12"/>
        </w:rPr>
        <w:t>cf-art-92</w:t>
      </w:r>
      <w:r>
        <w:rPr>
          <w:color w:val="003CA0"/>
          <w:sz w:val="12"/>
        </w:rPr>
        <w:t xml:space="preserve"> | ADI 5.415</w:t>
      </w:r>
      <w:r>
        <w:rPr>
          <w:color w:val="003CA0"/>
          <w:sz w:val="12"/>
        </w:rPr>
        <w:t xml:space="preserve"> | rel. Dias Toffoli</w:t>
      </w:r>
    </w:p>
    <w:p>
      <w:pPr>
        <w:ind w:left="288"/>
      </w:pPr>
      <w:r>
        <w:rPr>
          <w:color w:val="1E1E1E"/>
          <w:sz w:val="18"/>
        </w:rPr>
        <w:t>A Lei 13.188/15 estabelece um rito especial para o exercício do direito de resposta. O art. 10 da lei, ao exigir deliberação colegiada para a concessão de efeito suspensivo a decisão de primeiro grau em que se concede ou nega direito de resposta, importa em inobservância ao poder geral de cautela do juiz, contraria a organicidade do Judiciário e subverte a hierarquia que inspira a estrutura desse Poder no texto constitucional, conforme indicado no art. 92 da Constituição Federal.</w:t>
      </w:r>
    </w:p>
    <w:p>
      <w:pPr>
        <w:ind w:left="288"/>
      </w:pPr>
      <w:r>
        <w:rPr>
          <w:b/>
          <w:color w:val="003CA0"/>
          <w:sz w:val="16"/>
        </w:rPr>
        <w:t>[ADI 5.415, rel. min. Dias Toffoli, j. 11-3-2021, P, DJE de 25-5-2021.]</w:t>
      </w:r>
    </w:p>
    <w:p>
      <w:pPr>
        <w:ind w:left="144"/>
      </w:pPr>
      <w:r>
        <w:rPr>
          <w:b/>
          <w:color w:val="B45A00"/>
          <w:sz w:val="16"/>
        </w:rPr>
        <w:t>REPERCUSSAO GERAL</w:t>
      </w:r>
    </w:p>
    <w:p>
      <w:pPr>
        <w:ind w:left="288"/>
      </w:pPr>
      <w:r>
        <w:rPr>
          <w:color w:val="8C8C8C"/>
          <w:sz w:val="12"/>
        </w:rPr>
        <w:t>cf-art-92</w:t>
      </w:r>
      <w:r>
        <w:rPr>
          <w:color w:val="003CA0"/>
          <w:sz w:val="12"/>
        </w:rPr>
        <w:t xml:space="preserve"> | RE 590.409</w:t>
      </w:r>
      <w:r>
        <w:rPr>
          <w:color w:val="003CA0"/>
          <w:sz w:val="12"/>
        </w:rPr>
        <w:t xml:space="preserve"> | rel. Ricardo Lewandowski</w:t>
      </w:r>
    </w:p>
    <w:p>
      <w:pPr>
        <w:ind w:left="288"/>
      </w:pPr>
      <w:r>
        <w:rPr>
          <w:color w:val="1E1E1E"/>
          <w:sz w:val="18"/>
        </w:rPr>
        <w:t>(...) a Constituição não arrola as turmas recursais entre os órgãos do Poder Judiciário, (...) É por essa razão que, contra suas decisões, não cabe recurso especial ao STJ, a teor da Súmula 203 daquela Corte, mas tão somente recurso extraordinário ao STF, nos termos de sua Súmula 640. Isso ocorre, insisto, porque elas constituem órgãos recursais ordinários de última instância relativamente às decisões dos juizados especiais, mas não tribunais, requisito essencial para que se instaure a competência especial do STJ.</w:t>
        <w:br/>
        <w:t>[RE 590.409, voto do rel. min. Ricardo Lewandowski, j. 26-8-2009, P, DJE de 29-1</w:t>
      </w:r>
    </w:p>
    <w:p>
      <w:pPr>
        <w:ind w:left="144"/>
      </w:pPr>
      <w:r>
        <w:rPr>
          <w:b/>
          <w:color w:val="B45A00"/>
          <w:sz w:val="16"/>
        </w:rPr>
        <w:t>CONTROLE CONCENTRADO</w:t>
      </w:r>
    </w:p>
    <w:p>
      <w:pPr>
        <w:ind w:left="288"/>
      </w:pPr>
      <w:r>
        <w:rPr>
          <w:color w:val="8C8C8C"/>
          <w:sz w:val="12"/>
        </w:rPr>
        <w:t>cf-art-92-inc-I</w:t>
      </w:r>
      <w:r>
        <w:rPr>
          <w:color w:val="003CA0"/>
          <w:sz w:val="12"/>
        </w:rPr>
        <w:t xml:space="preserve"> | ADI 4.638</w:t>
      </w:r>
      <w:r>
        <w:rPr>
          <w:color w:val="003CA0"/>
          <w:sz w:val="12"/>
        </w:rPr>
        <w:t xml:space="preserve"> | rel. Marco Aurélio</w:t>
      </w:r>
    </w:p>
    <w:p>
      <w:pPr>
        <w:ind w:left="288"/>
      </w:pPr>
      <w:r>
        <w:rPr>
          <w:color w:val="1E1E1E"/>
          <w:sz w:val="18"/>
        </w:rPr>
        <w:t>(...) esta Suprema Corte em distintas ocasiões já afirmou que o CNJ não é dotado de competência jurisdicional, sendo mero órgão administrativo. Assim sendo, a Resolução 135, ao classificar o CNJ e o CJF de "tribunal", (...) simplesmente disse – até porque mais não poderia dizer – que as normas que nela se contêm aplicam-se também aos referidos órgãos.</w:t>
      </w:r>
    </w:p>
    <w:p>
      <w:pPr>
        <w:ind w:left="288"/>
      </w:pPr>
      <w:r>
        <w:rPr>
          <w:b/>
          <w:color w:val="003CA0"/>
          <w:sz w:val="16"/>
        </w:rPr>
        <w:t>[ADI 4.638 MC-REF, rel. min. Marco Aurélio, voto do min. Ricardo Lewandowski, j. 8-2-2012, P, DJE de 30-10-2014.]</w:t>
      </w:r>
    </w:p>
    <w:p>
      <w:pPr>
        <w:ind w:left="288"/>
      </w:pPr>
      <w:r>
        <w:rPr>
          <w:color w:val="8C8C8C"/>
          <w:sz w:val="12"/>
        </w:rPr>
        <w:t>cf-art-92-inc-I</w:t>
      </w:r>
      <w:r>
        <w:rPr>
          <w:color w:val="003CA0"/>
          <w:sz w:val="12"/>
        </w:rPr>
        <w:t xml:space="preserve"> | ADC 12</w:t>
      </w:r>
      <w:r>
        <w:rPr>
          <w:color w:val="003CA0"/>
          <w:sz w:val="12"/>
        </w:rPr>
        <w:t xml:space="preserve"> | rel. Ayres Britto</w:t>
      </w:r>
    </w:p>
    <w:p>
      <w:pPr>
        <w:ind w:left="288"/>
      </w:pPr>
      <w:r>
        <w:rPr>
          <w:color w:val="1E1E1E"/>
          <w:sz w:val="18"/>
        </w:rPr>
        <w:t xml:space="preserve">Os condicionamentos impostos pela Resolução 7/2000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 estranho ao Poder Judiciário (art. 92, CF) e não está a submeter esse Poder à autoridade de nenhum </w:t>
      </w:r>
    </w:p>
    <w:p>
      <w:pPr>
        <w:ind w:left="288"/>
      </w:pPr>
      <w:r>
        <w:rPr>
          <w:b/>
          <w:color w:val="003CA0"/>
          <w:sz w:val="16"/>
        </w:rPr>
        <w:t>[ADC 12, rel. min. Ayres Britto, j. 20-8-2008, P, DJE de 18-12-2009.]</w:t>
      </w:r>
    </w:p>
    <w:p>
      <w:pPr>
        <w:ind w:left="288"/>
      </w:pPr>
      <w:r>
        <w:rPr>
          <w:color w:val="8C8C8C"/>
          <w:sz w:val="12"/>
        </w:rPr>
        <w:t>cf-art-92-inc-I</w:t>
      </w:r>
      <w:r>
        <w:rPr>
          <w:color w:val="003CA0"/>
          <w:sz w:val="12"/>
        </w:rPr>
        <w:t xml:space="preserve"> | ADI 3.367</w:t>
      </w:r>
      <w:r>
        <w:rPr>
          <w:color w:val="003CA0"/>
          <w:sz w:val="12"/>
        </w:rPr>
        <w:t xml:space="preserve"> | rel. Cezar Peluso</w:t>
      </w:r>
    </w:p>
    <w:p>
      <w:pPr>
        <w:ind w:left="288"/>
      </w:pPr>
      <w:r>
        <w:rPr>
          <w:color w:val="1E1E1E"/>
          <w:sz w:val="18"/>
        </w:rPr>
        <w:t>São constitucionais as normas que, introduzidas pela EC 45, de 8-12-2004, instituem e disciplinam o CNJ, como órgão administrativo do Poder Judiciário nacional. Poder Judiciário. Caráter nacional. Regime orgânico unitário. Controle administrativo, financeiro e disciplinar. Órgão interno ou externo. Conselho de Justiça. Criação por Estado-membro. Inadmissibilidade. Falta de competência constitucional. Os Estados-membros carecem de competência constitucional para instituir, como órgão interno ou externo do Judiciário, conselho destinado ao controle da atividade administrativa, financeira ou disc</w:t>
      </w:r>
    </w:p>
    <w:p>
      <w:pPr>
        <w:ind w:left="288"/>
      </w:pPr>
      <w:r>
        <w:rPr>
          <w:b/>
          <w:color w:val="003CA0"/>
          <w:sz w:val="16"/>
        </w:rPr>
        <w:t>[ADI 3.367, rel. min. Cezar Peluso, j. 13-4-2005, P, DJ de 22-9-2006.]</w:t>
      </w:r>
    </w:p>
    <w:p>
      <w:pPr>
        <w:ind w:left="144"/>
      </w:pPr>
      <w:r>
        <w:rPr>
          <w:b/>
          <w:color w:val="B45A00"/>
          <w:sz w:val="16"/>
        </w:rPr>
        <w:t>JULGADOS CORRELATOS</w:t>
      </w:r>
    </w:p>
    <w:p>
      <w:pPr>
        <w:ind w:left="288"/>
      </w:pPr>
      <w:r>
        <w:rPr>
          <w:color w:val="8C8C8C"/>
          <w:sz w:val="12"/>
        </w:rPr>
        <w:t>cf-art-92-inc-I</w:t>
      </w:r>
      <w:r>
        <w:rPr>
          <w:color w:val="003CA0"/>
          <w:sz w:val="12"/>
        </w:rPr>
        <w:t xml:space="preserve"> | MS 31.631</w:t>
      </w:r>
      <w:r>
        <w:rPr>
          <w:color w:val="003CA0"/>
          <w:sz w:val="12"/>
        </w:rPr>
        <w:t xml:space="preserve"> | rel. Marco Aurélio</w:t>
      </w:r>
    </w:p>
    <w:p>
      <w:pPr>
        <w:ind w:left="288"/>
      </w:pPr>
      <w:r>
        <w:rPr>
          <w:color w:val="1E1E1E"/>
          <w:sz w:val="18"/>
        </w:rPr>
        <w:t>Consoante se extrai do sítio eletrônico do CNJ, o programa Justiça Plena “monitora e dá transparência ao andamento de processos de grande repercussão social”. Considerados coordenadores e participantes, atuam no plano de monitoramento o Ministério da Justiça, o CNJ, a AGU, a Secretaria de Direitos Humanos, o Conselho Nacional do Ministério Público, a OAB, as Defensorias Públicas da União e dos Estados e a Procuradoria Federal dos Direitos do Cidadão. O acesso às informações acontece por meio do Sistema de Acompanhamento de Processos de Relevância Social (SAPRS) e é permitido apenas aos represe</w:t>
      </w:r>
    </w:p>
    <w:p>
      <w:pPr>
        <w:ind w:left="288"/>
      </w:pPr>
      <w:r>
        <w:rPr>
          <w:color w:val="8C8C8C"/>
          <w:sz w:val="12"/>
        </w:rPr>
        <w:t>cf-art-92-par-2</w:t>
      </w:r>
      <w:r>
        <w:rPr>
          <w:color w:val="003CA0"/>
          <w:sz w:val="12"/>
        </w:rPr>
        <w:t xml:space="preserve"> | HC 102.041</w:t>
      </w:r>
      <w:r>
        <w:rPr>
          <w:color w:val="003CA0"/>
          <w:sz w:val="12"/>
        </w:rPr>
        <w:t xml:space="preserve"> | rel. Celso de Mello</w:t>
      </w:r>
    </w:p>
    <w:p>
      <w:pPr>
        <w:ind w:left="288"/>
      </w:pPr>
      <w:r>
        <w:rPr>
          <w:color w:val="1E1E1E"/>
          <w:sz w:val="18"/>
        </w:rPr>
        <w:t>Ressalvadas as hipóteses previstas em tratados, convenções e regras de direito internacional, os órgãos integrantes do Poder Judiciário brasileiro acham-se delimitados, quanto ao exercício da atividade jurisdicional, pelo conceito – que é eminentemente jurídico – de território. É que a prática da jurisdição, por efeito de autolimitação imposta pelo próprio legislador doméstico de cada Estado nacional, submete-se, em regra, ao âmbito de validade espacial do ordenamento positivo interno. O conceito de jurisdição encerra não só a ideia de potestas, mas supõe, também, a noção de imperium, a eviden</w:t>
      </w:r>
    </w:p>
    <w:p>
      <w:pPr>
        <w:ind w:left="288"/>
      </w:pPr>
      <w:r>
        <w:rPr>
          <w:b/>
          <w:color w:val="003CA0"/>
          <w:sz w:val="16"/>
        </w:rPr>
        <w:t>[HC 102.041, rel. min. Celso de Mello, j. 20-4-2010, 2ª T, DJE de 20-8-2010.]</w:t>
      </w:r>
    </w:p>
    <w:p>
      <w:pPr>
        <w:ind w:left="720"/>
      </w:pPr>
      <w:r>
        <w:rPr>
          <w:color w:val="003366"/>
          <w:sz w:val="18"/>
        </w:rPr>
        <w:t>I – o Supremo Tribunal Federal;</w:t>
      </w:r>
    </w:p>
    <w:p>
      <w:pPr>
        <w:ind w:left="720"/>
      </w:pPr>
      <w:r>
        <w:rPr>
          <w:color w:val="003366"/>
          <w:sz w:val="18"/>
        </w:rPr>
        <w:t>I – A o Conselho Nacional de Justiça; (Incluído pela Emenda Constitucional nº 45</w:t>
      </w:r>
    </w:p>
    <w:p>
      <w:pPr>
        <w:ind w:left="720"/>
      </w:pPr>
      <w:r>
        <w:rPr>
          <w:color w:val="003366"/>
          <w:sz w:val="18"/>
        </w:rPr>
        <w:t>II – o Superior Tribunal de Justiça;</w:t>
      </w:r>
    </w:p>
    <w:p>
      <w:pPr>
        <w:ind w:left="720"/>
      </w:pPr>
      <w:r>
        <w:rPr>
          <w:color w:val="003366"/>
          <w:sz w:val="18"/>
        </w:rPr>
        <w:t>II – A - o Tribunal Superior do Trabalho; (Incluído pela Emenda Constitucional n</w:t>
      </w:r>
    </w:p>
    <w:p>
      <w:pPr>
        <w:ind w:left="720"/>
      </w:pPr>
      <w:r>
        <w:rPr>
          <w:color w:val="003366"/>
          <w:sz w:val="18"/>
        </w:rPr>
        <w:t>III – os Tribunais Regionais Federais e Juízes Federais;</w:t>
      </w:r>
    </w:p>
    <w:p>
      <w:pPr>
        <w:ind w:left="720"/>
      </w:pPr>
      <w:r>
        <w:rPr>
          <w:color w:val="003366"/>
          <w:sz w:val="18"/>
        </w:rPr>
        <w:t>IV – os Tribunais e Juízes do Trabalho;</w:t>
      </w:r>
    </w:p>
    <w:p>
      <w:pPr>
        <w:ind w:left="720"/>
      </w:pPr>
      <w:r>
        <w:rPr>
          <w:color w:val="003366"/>
          <w:sz w:val="18"/>
        </w:rPr>
        <w:t>V – os Tribunais e Juízes Eleitorais;</w:t>
      </w:r>
    </w:p>
    <w:p>
      <w:pPr>
        <w:ind w:left="720"/>
      </w:pPr>
      <w:r>
        <w:rPr>
          <w:color w:val="003366"/>
          <w:sz w:val="18"/>
        </w:rPr>
        <w:t>VI – os Tribunais e Juízes Militares;</w:t>
      </w:r>
    </w:p>
    <w:p>
      <w:pPr>
        <w:ind w:left="720"/>
      </w:pPr>
      <w:r>
        <w:rPr>
          <w:color w:val="003366"/>
          <w:sz w:val="18"/>
        </w:rPr>
        <w:t>VII – os Tribunais e Juízes dos Estados e do Distrito Federal e Territórios.</w:t>
      </w:r>
    </w:p>
    <w:p>
      <w:pPr>
        <w:ind w:left="432"/>
      </w:pPr>
      <w:r>
        <w:rPr>
          <w:color w:val="003366"/>
          <w:sz w:val="18"/>
        </w:rPr>
        <w:t>§ 1 O Supremo Tribunal Federal, o Conselho Nacional de Justiça e os Tribunais Su</w:t>
      </w:r>
    </w:p>
    <w:p>
      <w:pPr>
        <w:ind w:left="432"/>
      </w:pPr>
      <w:r>
        <w:rPr>
          <w:color w:val="003366"/>
          <w:sz w:val="18"/>
        </w:rPr>
        <w:t xml:space="preserve">§ 2 O Supremo Tribunal Federal e os Tribunais Superiores têm jurisdição em todo </w:t>
      </w:r>
    </w:p>
    <w:p>
      <w:r>
        <w:rPr>
          <w:b/>
          <w:color w:val="003366"/>
          <w:sz w:val="20"/>
        </w:rPr>
        <w:t>Art. 93 Lei complementar, de iniciativa do Supremo Tribunal Federal, disporá sob</w:t>
      </w:r>
      <w:r>
        <w:rPr>
          <w:color w:val="8C8C8C"/>
          <w:sz w:val="14"/>
        </w:rPr>
        <w:t xml:space="preserve">  [153 decisoes]</w:t>
      </w:r>
    </w:p>
    <w:p>
      <w:pPr>
        <w:ind w:left="144"/>
      </w:pPr>
      <w:r>
        <w:rPr>
          <w:b/>
          <w:color w:val="B45A00"/>
          <w:sz w:val="16"/>
        </w:rPr>
        <w:t>CONTROLE CONCENTRADO</w:t>
      </w:r>
    </w:p>
    <w:p>
      <w:pPr>
        <w:ind w:left="288"/>
      </w:pPr>
      <w:r>
        <w:rPr>
          <w:color w:val="8C8C8C"/>
          <w:sz w:val="12"/>
        </w:rPr>
        <w:t>cf-art-93</w:t>
      </w:r>
      <w:r>
        <w:rPr>
          <w:color w:val="003CA0"/>
          <w:sz w:val="12"/>
        </w:rPr>
        <w:t xml:space="preserve"> | ADI 2.952</w:t>
      </w:r>
      <w:r>
        <w:rPr>
          <w:color w:val="003CA0"/>
          <w:sz w:val="12"/>
        </w:rPr>
        <w:t xml:space="preserve"> | rel. Gilmar Mendes</w:t>
      </w:r>
    </w:p>
    <w:p>
      <w:pPr>
        <w:ind w:left="288"/>
      </w:pPr>
      <w:r>
        <w:rPr>
          <w:color w:val="1E1E1E"/>
          <w:sz w:val="18"/>
        </w:rPr>
        <w:t>Lei 1.856/91, do Estado do Rio de Janeiro. Benefício de permanência em atividade para os magistrados. Vantagem remuneratória não prevista na LOMAN (art. 65). Violação ao art. 93, caput, da constituição.</w:t>
        <w:br/>
        <w:t>[ADI 2.952, rel. min. Gilmar Mendes, j. 3-4-2023, P, DJE de 11-5-2023.] É inconstitucional norma estadual de acordo com a qual compete a órgão colegiado do tribunal autorizar o prosseguimento de investigações contra magistrados, por criar prerrogativa não prevista na Lei Orgânica da Magistratura Nacional e não extensível a outras autoridades com foro por prerrogativa de função.</w:t>
        <w:br/>
        <w:t>[ADI 5.331, rel.</w:t>
      </w:r>
    </w:p>
    <w:p>
      <w:pPr>
        <w:ind w:left="288"/>
      </w:pPr>
      <w:r>
        <w:rPr>
          <w:b/>
          <w:color w:val="003CA0"/>
          <w:sz w:val="16"/>
        </w:rPr>
        <w:t>[ADI 4.243, rel. min. Roberto Barroso, j. 19-12-2018, P, DJE de 6-3-2019.]</w:t>
      </w:r>
    </w:p>
    <w:p>
      <w:pPr>
        <w:ind w:left="288"/>
      </w:pPr>
      <w:r>
        <w:rPr>
          <w:color w:val="8C8C8C"/>
          <w:sz w:val="12"/>
        </w:rPr>
        <w:t>cf-art-93</w:t>
      </w:r>
      <w:r>
        <w:rPr>
          <w:color w:val="003CA0"/>
          <w:sz w:val="12"/>
        </w:rPr>
        <w:t xml:space="preserve"> | ADI 5.310</w:t>
      </w:r>
      <w:r>
        <w:rPr>
          <w:color w:val="003CA0"/>
          <w:sz w:val="12"/>
        </w:rPr>
        <w:t xml:space="preserve"> | rel. Cármen Lúcia</w:t>
      </w:r>
    </w:p>
    <w:p>
      <w:pPr>
        <w:ind w:left="288"/>
      </w:pPr>
      <w:r>
        <w:rPr>
          <w:color w:val="1E1E1E"/>
          <w:sz w:val="18"/>
        </w:rPr>
        <w:t>Na espécie vertente, ao estabelecer a possibilidade de “o Desembargador ser novamente eleito para o mesmo cargo, desde que observado o intervalo de dois mandatos”, o Plenário do Tribunal de Justiça do Rio de Janeiro contrariou as balizas estabelecidas no art. 102 da LC 35/1979, recepcionado pela Constituição da República nos termos do seu art. 93. (...) Houve inobservância do art. 93, caput, da Constituição da República, segundo o qual está reservada a lei complementar, de iniciativa do STF, a regulamentação da matéria afeta à elegibilidade para os órgãos diretivos dos tribunais.[</w:t>
      </w:r>
    </w:p>
    <w:p>
      <w:pPr>
        <w:ind w:left="288"/>
      </w:pPr>
      <w:r>
        <w:rPr>
          <w:b/>
          <w:color w:val="003CA0"/>
          <w:sz w:val="16"/>
        </w:rPr>
        <w:t>ADI 5.310, voto da rel. min. Cármen Lúcia, j.14-12-2016, P, DJE de 9-10-2017.]</w:t>
      </w:r>
    </w:p>
    <w:p>
      <w:pPr>
        <w:ind w:left="288"/>
      </w:pPr>
      <w:r>
        <w:rPr>
          <w:color w:val="8C8C8C"/>
          <w:sz w:val="12"/>
        </w:rPr>
        <w:t>cf-art-93</w:t>
      </w:r>
      <w:r>
        <w:rPr>
          <w:color w:val="003CA0"/>
          <w:sz w:val="12"/>
        </w:rPr>
        <w:t xml:space="preserve"> | ADI 4.462</w:t>
      </w:r>
      <w:r>
        <w:rPr>
          <w:color w:val="003CA0"/>
          <w:sz w:val="12"/>
        </w:rPr>
        <w:t xml:space="preserve"> | rel. Cármen Lúcia</w:t>
      </w:r>
    </w:p>
    <w:p>
      <w:pPr>
        <w:ind w:left="288"/>
      </w:pPr>
      <w:r>
        <w:rPr>
          <w:color w:val="1E1E1E"/>
          <w:sz w:val="18"/>
        </w:rPr>
        <w:t>Promoção por antiguidade na magistratura tocantinense. Inobservância dos critérios estabelecidos na Loman. Impossibilidade de reconhecimento de tempo de serviço público no Estado ou de tempo de serviço público. Contrariedade ao art. 93 da Constituição da República. Validade da adoção do critério de idade para desempate: precedente. Confirmação da medida cautelar deferida parcialmente a unanimidade. Ação direta julgada parcialmente procedente para declarar a inconstitucionalidade do art. 78, § 1º, III e IV, da LC tocantinense 10/1996.</w:t>
      </w:r>
    </w:p>
    <w:p>
      <w:pPr>
        <w:ind w:left="288"/>
      </w:pPr>
      <w:r>
        <w:rPr>
          <w:b/>
          <w:color w:val="003CA0"/>
          <w:sz w:val="16"/>
        </w:rPr>
        <w:t>[ADI 4.462, rel. min. Cármen Lúcia, j. 18-8-2016, P, DJE de 14-9-2016.]</w:t>
      </w:r>
    </w:p>
    <w:p>
      <w:pPr>
        <w:ind w:left="288"/>
      </w:pPr>
      <w:r>
        <w:rPr>
          <w:color w:val="8C8C8C"/>
          <w:sz w:val="12"/>
        </w:rPr>
        <w:t>cf-art-93</w:t>
      </w:r>
      <w:r>
        <w:rPr>
          <w:color w:val="003CA0"/>
          <w:sz w:val="12"/>
        </w:rPr>
        <w:t xml:space="preserve"> | ADI 4.108</w:t>
      </w:r>
      <w:r>
        <w:rPr>
          <w:color w:val="003CA0"/>
          <w:sz w:val="12"/>
        </w:rPr>
        <w:t xml:space="preserve"> | rel. Ellen Gracie</w:t>
      </w:r>
    </w:p>
    <w:p>
      <w:pPr>
        <w:ind w:left="288"/>
      </w:pPr>
      <w:r>
        <w:rPr>
          <w:color w:val="1E1E1E"/>
          <w:sz w:val="18"/>
        </w:rPr>
        <w:t>Esta Suprema Corte tem admitido o controle concentrado de constitucionalidade de preceitos oriundos da atividade administrativa dos tribunais, desde que presente, de forma inequívoca, o caráter normativo e autônomo do ato impugnado (...). O Tribunal de Justiça do Estado de Minas Gerais, ao adotar, em seu regimento interno, um critério próprio de especificação do número de membros aptos a concorrerem aos seus cargos de direção, destoou do modelo previsto no art. 102 da legislação nacional vigente, a LC 35/1979 (Loman). O Plenário do STF já fixou entendimento no sentido de que o regramento relat</w:t>
      </w:r>
    </w:p>
    <w:p>
      <w:pPr>
        <w:ind w:left="288"/>
      </w:pPr>
      <w:r>
        <w:rPr>
          <w:b/>
          <w:color w:val="003CA0"/>
          <w:sz w:val="16"/>
        </w:rPr>
        <w:t>[ADI 4.108 MC-REF, rel. min. Ellen Gracie, j. 2-2-2009, P, DJE de 6-3-2009.]</w:t>
      </w:r>
    </w:p>
    <w:p>
      <w:pPr>
        <w:ind w:left="288"/>
      </w:pPr>
      <w:r>
        <w:rPr>
          <w:color w:val="8C8C8C"/>
          <w:sz w:val="12"/>
        </w:rPr>
        <w:t>cf-art-93</w:t>
      </w:r>
      <w:r>
        <w:rPr>
          <w:color w:val="003CA0"/>
          <w:sz w:val="12"/>
        </w:rPr>
        <w:t xml:space="preserve"> | ADI 4.042</w:t>
      </w:r>
      <w:r>
        <w:rPr>
          <w:color w:val="003CA0"/>
          <w:sz w:val="12"/>
        </w:rPr>
        <w:t xml:space="preserve"> | rel. Gilmar Mendes</w:t>
      </w:r>
    </w:p>
    <w:p>
      <w:pPr>
        <w:ind w:left="288"/>
      </w:pPr>
      <w:r>
        <w:rPr>
          <w:color w:val="1E1E1E"/>
          <w:sz w:val="18"/>
        </w:rPr>
        <w:t>Consideração do tempo de exercício da advocacia privada para fins de classificação pelo critério de antiguidade na carreira da magistratura, da mesma forma em que se considera o tempo de serviço público. Alegada violação ao art. 93 da CF. Até a edição da lei complementar prevista no art. 93, caput, da CF, compete exclusivamente à Loman dispor sobre a promoção, a remoção e o acesso de magistrados aos cargos. (...) Medida cautelar deferida para suspender, com eficácia ex tunc, a vigência do art. 92, III, e, da Constituição do Estado de Mato Grosso, com a redação determinada pela EC 46/2006.</w:t>
      </w:r>
    </w:p>
    <w:p>
      <w:pPr>
        <w:ind w:left="288"/>
      </w:pPr>
      <w:r>
        <w:rPr>
          <w:b/>
          <w:color w:val="003CA0"/>
          <w:sz w:val="16"/>
        </w:rPr>
        <w:t>[ADI 4.042 MC, rel. min. Gilmar Mendes, j. 26-6-2008, P, DJE de 30-4-2009.]</w:t>
      </w:r>
    </w:p>
    <w:p>
      <w:pPr>
        <w:ind w:left="288"/>
      </w:pPr>
      <w:r>
        <w:rPr>
          <w:color w:val="8C8C8C"/>
          <w:sz w:val="12"/>
        </w:rPr>
        <w:t>cf-art-93</w:t>
      </w:r>
      <w:r>
        <w:rPr>
          <w:color w:val="003CA0"/>
          <w:sz w:val="12"/>
        </w:rPr>
        <w:t xml:space="preserve"> | MS 30.647</w:t>
      </w:r>
      <w:r>
        <w:rPr>
          <w:color w:val="003CA0"/>
          <w:sz w:val="12"/>
        </w:rPr>
        <w:t xml:space="preserve"> | rel. Celso de Mello</w:t>
      </w:r>
    </w:p>
    <w:p>
      <w:pPr>
        <w:ind w:left="288"/>
      </w:pPr>
      <w:r>
        <w:rPr>
          <w:color w:val="1E1E1E"/>
          <w:sz w:val="18"/>
        </w:rPr>
        <w:t xml:space="preserve">= MS 30.647 MC-AgR, rel. min. Celso de Mello, j. 22-6-2011, P, DJE de 6-8-2013 Vide ADI 4.462, rel. min. Cármen Lúcia, j. 18-8-2016, P, DJE de 14-9-2016 Provimento 4, de 25-2-2005, da Corregedoria-Geral de Justiça do Tribunal de Justiça de Mato Grosso do Sul, que dispõe sobre o horário em que o magistrado pode exercer o magistério. (...) Inconstitucionalidade formal (...) do seu art. 2º, que, ao vedar ao magistrado estadual o exercício de docência em horário coincidente com o do expediente do foro, dispõe sobre matéria de competência reservada à lei complementar, nos termos do art. 93, da CF, </w:t>
      </w:r>
    </w:p>
    <w:p>
      <w:pPr>
        <w:ind w:left="288"/>
      </w:pPr>
      <w:r>
        <w:rPr>
          <w:b/>
          <w:color w:val="003CA0"/>
          <w:sz w:val="16"/>
        </w:rPr>
        <w:t>[ADI 3.508, rel. min. Sepúlveda Pertence, j. 27-6-2007, P, DJ de 31-8-2007.]</w:t>
      </w:r>
    </w:p>
    <w:p>
      <w:pPr>
        <w:ind w:left="288"/>
      </w:pPr>
      <w:r>
        <w:rPr>
          <w:color w:val="8C8C8C"/>
          <w:sz w:val="12"/>
        </w:rPr>
        <w:t>cf-art-93</w:t>
      </w:r>
      <w:r>
        <w:rPr>
          <w:color w:val="003CA0"/>
          <w:sz w:val="12"/>
        </w:rPr>
        <w:t xml:space="preserve"> | ADI 3.566</w:t>
      </w:r>
    </w:p>
    <w:p>
      <w:pPr>
        <w:ind w:left="288"/>
      </w:pPr>
      <w:r>
        <w:rPr>
          <w:color w:val="1E1E1E"/>
          <w:sz w:val="18"/>
        </w:rPr>
        <w:t>Previsão regimental de elegibilidade de todos os integrantes do Órgão Especial. Inadmissibilidade. Temática institucional. Matéria de competência legislativa reservada à Loman e ao Estatuto da Magistratura. Ofensa ao art. 93, caput, da CF. (...) São inconstitucionais as normas de regimento interno de tribunal que disponham sobre o universo dos magistrados elegíveis para seus órgãos de direção.</w:t>
      </w:r>
    </w:p>
    <w:p>
      <w:pPr>
        <w:ind w:left="288"/>
      </w:pPr>
      <w:r>
        <w:rPr>
          <w:b/>
          <w:color w:val="003CA0"/>
          <w:sz w:val="16"/>
        </w:rPr>
        <w:t>[ADI 3.566, red. do ac. min. Cezar Peluso, j. 15-2-2007, P, DJ de 15-6-2007.]</w:t>
      </w:r>
    </w:p>
    <w:p>
      <w:pPr>
        <w:ind w:left="288"/>
      </w:pPr>
      <w:r>
        <w:rPr>
          <w:color w:val="8C8C8C"/>
          <w:sz w:val="12"/>
        </w:rPr>
        <w:t>cf-art-93</w:t>
      </w:r>
      <w:r>
        <w:rPr>
          <w:color w:val="003CA0"/>
          <w:sz w:val="12"/>
        </w:rPr>
        <w:t xml:space="preserve"> | RCL 8.025</w:t>
      </w:r>
      <w:r>
        <w:rPr>
          <w:color w:val="003CA0"/>
          <w:sz w:val="12"/>
        </w:rPr>
        <w:t xml:space="preserve"> | rel. Eros Grau</w:t>
      </w:r>
    </w:p>
    <w:p>
      <w:pPr>
        <w:ind w:left="288"/>
      </w:pPr>
      <w:r>
        <w:rPr>
          <w:color w:val="1E1E1E"/>
          <w:sz w:val="18"/>
        </w:rPr>
        <w:t xml:space="preserve">Vide Rcl 8.025, rel. min. Eros Grau, j. 9-12-2009, P, DJE de 6-8-2010 A decisão do tribunal que dá provimento ao recurso para anular a decisão impugnada não substitui o ato recorrido, mas se restringe a cassá-lo, por ilegalidade, após reconhecer a existência de vício de atividade ou error in procedendo. Se, por um lado, o magistrado é livre para reapreciar o mérito da causa, podendo, até mesmo, chegar a veredicto coincidente àquele emitido anteriormente (momento em que se estará dando plena aplicabilidade ao princípio da independência do magistrado na apreciação da lide), por outro, de acordo </w:t>
      </w:r>
    </w:p>
    <w:p>
      <w:pPr>
        <w:ind w:left="288"/>
      </w:pPr>
      <w:r>
        <w:rPr>
          <w:b/>
          <w:color w:val="003CA0"/>
          <w:sz w:val="16"/>
        </w:rPr>
        <w:t>[ADI 2.885, rel. min. Ellen Gracie, j. 18-10-2006, P, DJ de 23-2-2006.]</w:t>
      </w:r>
    </w:p>
    <w:p>
      <w:pPr>
        <w:ind w:left="288"/>
      </w:pPr>
      <w:r>
        <w:rPr>
          <w:color w:val="8C8C8C"/>
          <w:sz w:val="12"/>
        </w:rPr>
        <w:t>cf-art-93</w:t>
      </w:r>
      <w:r>
        <w:rPr>
          <w:color w:val="003CA0"/>
          <w:sz w:val="12"/>
        </w:rPr>
        <w:t xml:space="preserve"> | ADI 2.880</w:t>
      </w:r>
      <w:r>
        <w:rPr>
          <w:color w:val="003CA0"/>
          <w:sz w:val="12"/>
        </w:rPr>
        <w:t xml:space="preserve"> | rel. Gilmar Mendes</w:t>
      </w:r>
    </w:p>
    <w:p>
      <w:pPr>
        <w:ind w:left="288"/>
      </w:pPr>
      <w:r>
        <w:rPr>
          <w:color w:val="1E1E1E"/>
          <w:sz w:val="18"/>
        </w:rPr>
        <w:t>Art. 154, VI, da LC 59, de 18-1-2001, do Estado de Minas Gerais, que prevê hipótese de pena de demissão a magistrado em razão de procedimento incompatível com a dignidade, a honra e o decoro de suas funções, por decisão da maioria de votos dos membros da Corte Superior do Tribunal de Justiça, além dos casos previstos no art. 26 da Loman; e art. 156, da mesma lei complementar estadual, que prevê procedimentos a serem estabelecidos no Regimento Interno do Tribunal de Justiça do Estado de Minas Gerais (RITJMG) para apuração de faltas e aplicação de penalidades, bem como para a decretação de remoç</w:t>
      </w:r>
    </w:p>
    <w:p>
      <w:pPr>
        <w:ind w:left="288"/>
      </w:pPr>
      <w:r>
        <w:rPr>
          <w:b/>
          <w:color w:val="003CA0"/>
          <w:sz w:val="16"/>
        </w:rPr>
        <w:t>[ADI 3.227, rel. min. Gilmar Mendes, j. 26-4-2006, P, DJ de 1º-9-2006.]</w:t>
      </w:r>
    </w:p>
    <w:p>
      <w:pPr>
        <w:ind w:left="288"/>
      </w:pPr>
      <w:r>
        <w:rPr>
          <w:color w:val="8C8C8C"/>
          <w:sz w:val="12"/>
        </w:rPr>
        <w:t>cf-art-93</w:t>
      </w:r>
      <w:r>
        <w:rPr>
          <w:color w:val="003CA0"/>
          <w:sz w:val="12"/>
        </w:rPr>
        <w:t xml:space="preserve"> | ADI 1.985</w:t>
      </w:r>
      <w:r>
        <w:rPr>
          <w:color w:val="003CA0"/>
          <w:sz w:val="12"/>
        </w:rPr>
        <w:t xml:space="preserve"> | rel. Eros Grau</w:t>
      </w:r>
    </w:p>
    <w:p>
      <w:pPr>
        <w:ind w:left="288"/>
      </w:pPr>
      <w:r>
        <w:rPr>
          <w:color w:val="1E1E1E"/>
          <w:sz w:val="18"/>
        </w:rPr>
        <w:t>Até o advento da lei complementar prevista no art. 93, caput, da Constituição de 1988, o Estatuto da Magistratura será disciplinado pelo texto da LC  35/1979, que foi recebida pela Constituição.</w:t>
      </w:r>
    </w:p>
    <w:p>
      <w:pPr>
        <w:ind w:left="288"/>
      </w:pPr>
      <w:r>
        <w:rPr>
          <w:b/>
          <w:color w:val="003CA0"/>
          <w:sz w:val="16"/>
        </w:rPr>
        <w:t>[ADI 1.985, rel. min. Eros Grau, j. 3-3-2005, P, DJ de 13-5-2005.]</w:t>
      </w:r>
    </w:p>
    <w:p>
      <w:pPr>
        <w:ind w:left="288"/>
      </w:pPr>
      <w:r>
        <w:rPr>
          <w:color w:val="8C8C8C"/>
          <w:sz w:val="12"/>
        </w:rPr>
        <w:t>cf-art-93</w:t>
      </w:r>
      <w:r>
        <w:rPr>
          <w:color w:val="003CA0"/>
          <w:sz w:val="12"/>
        </w:rPr>
        <w:t xml:space="preserve"> | ADI 1.422</w:t>
      </w:r>
      <w:r>
        <w:rPr>
          <w:color w:val="003CA0"/>
          <w:sz w:val="12"/>
        </w:rPr>
        <w:t xml:space="preserve"> | rel. Ilmar Galvão</w:t>
      </w:r>
    </w:p>
    <w:p>
      <w:pPr>
        <w:ind w:left="288"/>
      </w:pPr>
      <w:r>
        <w:rPr>
          <w:color w:val="1E1E1E"/>
          <w:sz w:val="18"/>
        </w:rPr>
        <w:t>Lei 2.432, de 6-9-1995, do Estado do Rio de Janeiro, que deu nova redação aos §§ 1º e 2º do art. 18 do Código de Organização e Divisão Judiciárias do mesmo Estado. Incompatibilidade com a norma do art. 93 da CF, por regular matéria própria do Estatuto da Magistratura, reservada, no dispositivo constitucional mencionado, à lei complementar federal.</w:t>
      </w:r>
    </w:p>
    <w:p>
      <w:pPr>
        <w:ind w:left="288"/>
      </w:pPr>
      <w:r>
        <w:rPr>
          <w:b/>
          <w:color w:val="003CA0"/>
          <w:sz w:val="16"/>
        </w:rPr>
        <w:t>[ADI 1.422, rel. min. Ilmar Galvão, j. 9-9-1999, P, DJ de 12-11-1999.]</w:t>
      </w:r>
    </w:p>
    <w:p>
      <w:pPr>
        <w:ind w:left="288"/>
      </w:pPr>
      <w:r>
        <w:rPr>
          <w:color w:val="8C8C8C"/>
          <w:sz w:val="12"/>
        </w:rPr>
        <w:t>cf-art-93</w:t>
      </w:r>
      <w:r>
        <w:rPr>
          <w:color w:val="003CA0"/>
          <w:sz w:val="12"/>
        </w:rPr>
        <w:t xml:space="preserve"> | ADI 575</w:t>
      </w:r>
      <w:r>
        <w:rPr>
          <w:color w:val="003CA0"/>
          <w:sz w:val="12"/>
        </w:rPr>
        <w:t xml:space="preserve"> | rel. Sepúlveda Pertence</w:t>
      </w:r>
    </w:p>
    <w:p>
      <w:pPr>
        <w:ind w:left="288"/>
      </w:pPr>
      <w:r>
        <w:rPr>
          <w:color w:val="1E1E1E"/>
          <w:sz w:val="18"/>
        </w:rPr>
        <w:t>Defensor público: inconstitucionalidade de norma local que lhe estende normas do Estatuto Constitucional da Magistratura (CF, art. 93, II, IV, VI e VIII).</w:t>
      </w:r>
    </w:p>
    <w:p>
      <w:pPr>
        <w:ind w:left="288"/>
      </w:pPr>
      <w:r>
        <w:rPr>
          <w:b/>
          <w:color w:val="003CA0"/>
          <w:sz w:val="16"/>
        </w:rPr>
        <w:t>[ADI 575, rel. min. Sepúlveda Pertence, j. 25-3-1999, P, DJ de 25-6-1999.]</w:t>
      </w:r>
    </w:p>
    <w:p>
      <w:pPr>
        <w:ind w:left="288"/>
      </w:pPr>
      <w:r>
        <w:rPr>
          <w:color w:val="8C8C8C"/>
          <w:sz w:val="12"/>
        </w:rPr>
        <w:t>cf-art-93</w:t>
      </w:r>
      <w:r>
        <w:rPr>
          <w:color w:val="003CA0"/>
          <w:sz w:val="12"/>
        </w:rPr>
        <w:t xml:space="preserve"> | MS 20.911</w:t>
      </w:r>
      <w:r>
        <w:rPr>
          <w:color w:val="003CA0"/>
          <w:sz w:val="12"/>
        </w:rPr>
        <w:t xml:space="preserve"> | rel. Octavio Gallotti</w:t>
      </w:r>
    </w:p>
    <w:p>
      <w:pPr>
        <w:ind w:left="288"/>
      </w:pPr>
      <w:r>
        <w:rPr>
          <w:color w:val="1E1E1E"/>
          <w:sz w:val="18"/>
        </w:rPr>
        <w:t>O art. 102 da Loman, que disciplina a eleição dos cargos de direção dos tribunais e fixa o período do mandato em dois anos, foi recebido pela Constituição de 1988. Precedente do STF: MS 20.911/PA, rel. min. Octavio Gallotti, RTJ 128/1141. A matéria é, portanto, própria do Estatuto da Magistratura. CF, art. 93.</w:t>
      </w:r>
    </w:p>
    <w:p>
      <w:pPr>
        <w:ind w:left="288"/>
      </w:pPr>
      <w:r>
        <w:rPr>
          <w:b/>
          <w:color w:val="003CA0"/>
          <w:sz w:val="16"/>
        </w:rPr>
        <w:t xml:space="preserve">[ADI 841 QO, rel. min. Carlos Velloso, j. 21-9-1994, P, DJ de 21-10-1994.] </w:t>
        <w:br/>
        <w:t>Vide ADI 5.310, rel. min. Cármen Lúcia, j. 14-12-2016, P, DJE de 9-10-2017</w:t>
      </w:r>
    </w:p>
    <w:p>
      <w:pPr>
        <w:ind w:left="288"/>
      </w:pPr>
      <w:r>
        <w:rPr>
          <w:color w:val="8C8C8C"/>
          <w:sz w:val="12"/>
        </w:rPr>
        <w:t>cf-art-93</w:t>
      </w:r>
      <w:r>
        <w:rPr>
          <w:color w:val="003CA0"/>
          <w:sz w:val="12"/>
        </w:rPr>
        <w:t xml:space="preserve"> | ADI 189</w:t>
      </w:r>
      <w:r>
        <w:rPr>
          <w:color w:val="003CA0"/>
          <w:sz w:val="12"/>
        </w:rPr>
        <w:t xml:space="preserve"> | rel. Celso de Mello</w:t>
      </w:r>
    </w:p>
    <w:p>
      <w:pPr>
        <w:ind w:left="288"/>
      </w:pPr>
      <w:r>
        <w:rPr>
          <w:color w:val="1E1E1E"/>
          <w:sz w:val="18"/>
        </w:rPr>
        <w:t>A aplicabilidade das normas e princípios inscritos no art. 93 da CF independe da promulgação do Estatuto da Magistratura, em face do caráter de plena e integral eficácia de que se revestem aqueles preceitos.</w:t>
      </w:r>
    </w:p>
    <w:p>
      <w:pPr>
        <w:ind w:left="288"/>
      </w:pPr>
      <w:r>
        <w:rPr>
          <w:b/>
          <w:color w:val="003CA0"/>
          <w:sz w:val="16"/>
        </w:rPr>
        <w:t>[ADI 189, rel. min. Celso de Mello, j. 9-10-1991, P, DJ de 22-5-1992.]</w:t>
      </w:r>
    </w:p>
    <w:p>
      <w:pPr>
        <w:ind w:left="144"/>
      </w:pPr>
      <w:r>
        <w:rPr>
          <w:b/>
          <w:color w:val="B45A00"/>
          <w:sz w:val="16"/>
        </w:rPr>
        <w:t>JULGADOS CORRELATOS</w:t>
      </w:r>
    </w:p>
    <w:p>
      <w:pPr>
        <w:ind w:left="288"/>
      </w:pPr>
      <w:r>
        <w:rPr>
          <w:color w:val="8C8C8C"/>
          <w:sz w:val="12"/>
        </w:rPr>
        <w:t>cf-art-93</w:t>
      </w:r>
      <w:r>
        <w:rPr>
          <w:color w:val="003CA0"/>
          <w:sz w:val="12"/>
        </w:rPr>
        <w:t xml:space="preserve"> | AO 2.234</w:t>
      </w:r>
      <w:r>
        <w:rPr>
          <w:color w:val="003CA0"/>
          <w:sz w:val="12"/>
        </w:rPr>
        <w:t xml:space="preserve"> | rel. Gilmar Mendes</w:t>
      </w:r>
    </w:p>
    <w:p>
      <w:pPr>
        <w:ind w:left="288"/>
      </w:pPr>
      <w:r>
        <w:rPr>
          <w:color w:val="1E1E1E"/>
          <w:sz w:val="18"/>
        </w:rPr>
        <w:t>Percepção de verba não prevista na Loman. Art. 65, § 2º. Vedação. Extensão genérica aos magistrados de rubrica concedida aos servidores em geral. Impossibilidade.</w:t>
      </w:r>
    </w:p>
    <w:p>
      <w:pPr>
        <w:ind w:left="288"/>
      </w:pPr>
      <w:r>
        <w:rPr>
          <w:b/>
          <w:color w:val="003CA0"/>
          <w:sz w:val="16"/>
        </w:rPr>
        <w:t>[AO 2.234-ED, rel. min. Gilmar Mendes, j. 19-3-2019, 2ª T, DJE de 13-8-2019.]</w:t>
      </w:r>
    </w:p>
    <w:p>
      <w:pPr>
        <w:ind w:left="288"/>
      </w:pPr>
      <w:r>
        <w:rPr>
          <w:color w:val="8C8C8C"/>
          <w:sz w:val="12"/>
        </w:rPr>
        <w:t>cf-art-93</w:t>
      </w:r>
      <w:r>
        <w:rPr>
          <w:color w:val="003CA0"/>
          <w:sz w:val="12"/>
        </w:rPr>
        <w:t xml:space="preserve"> | AO 2.259</w:t>
      </w:r>
      <w:r>
        <w:rPr>
          <w:color w:val="003CA0"/>
          <w:sz w:val="12"/>
        </w:rPr>
        <w:t xml:space="preserve"> | rel. Ricardo Lewandowski</w:t>
      </w:r>
    </w:p>
    <w:p>
      <w:pPr>
        <w:ind w:left="288"/>
      </w:pPr>
      <w:r>
        <w:rPr>
          <w:color w:val="1E1E1E"/>
          <w:sz w:val="18"/>
        </w:rPr>
        <w:t>Ação originária consiste em meio processual adequado para delimitar a abrangência subjetiva dos Estatutos da Magistratura e do Desarmamento sem, necessariamente, declarar a inconstitucionalidade de nenhum deles. Autora não pretende o exercício de controle concentrado da constitucionalidade do Estatuto do Desarmamento, mas apenas a declaração de que determinadas exigências da Lei 10.826/2003 não se aplicam aos Magistrados filiados à Associação, por força da prerrogativa de portar arma que lhes garante a Loman.</w:t>
        <w:br/>
        <w:t>[AO 2.259 AgR, rel. min. Ricardo Lewandowski, j. 28-8-2018, 2ª T, DJE de 17-10-2018.]</w:t>
      </w:r>
    </w:p>
    <w:p>
      <w:pPr>
        <w:ind w:left="288"/>
      </w:pPr>
      <w:r>
        <w:rPr>
          <w:b/>
          <w:color w:val="003CA0"/>
          <w:sz w:val="16"/>
        </w:rPr>
        <w:t>[MS 32.979 AGR, rel. min. Edson Fachin, j. 29-6-2018, 2ª T, DJE de 1º-8-2018.]</w:t>
      </w:r>
    </w:p>
    <w:p>
      <w:pPr>
        <w:ind w:left="288"/>
      </w:pPr>
      <w:r>
        <w:rPr>
          <w:color w:val="8C8C8C"/>
          <w:sz w:val="12"/>
        </w:rPr>
        <w:t>cf-art-93</w:t>
      </w:r>
      <w:r>
        <w:rPr>
          <w:color w:val="003CA0"/>
          <w:sz w:val="12"/>
        </w:rPr>
        <w:t xml:space="preserve"> | ARE 956.734</w:t>
      </w:r>
      <w:r>
        <w:rPr>
          <w:color w:val="003CA0"/>
          <w:sz w:val="12"/>
        </w:rPr>
        <w:t xml:space="preserve"> | rel. Gilmar Mendes</w:t>
      </w:r>
    </w:p>
    <w:p>
      <w:pPr>
        <w:ind w:left="288"/>
      </w:pPr>
      <w:r>
        <w:rPr>
          <w:color w:val="1E1E1E"/>
          <w:sz w:val="18"/>
        </w:rPr>
        <w:t>(...) inexistindo respaldo legal e confrontando o entendimento pacífico da jurisprudência desta Corte, de que o rol de direitos e vantagens previsto no art. 69 da Loman é taxativo, não é possível a extensão de vantagens previstas em legislação de outra carreira a magistrados com fundamento na simetria constitucional entre a magistratura e o Ministério Público.</w:t>
      </w:r>
    </w:p>
    <w:p>
      <w:pPr>
        <w:ind w:left="288"/>
      </w:pPr>
      <w:r>
        <w:rPr>
          <w:b/>
          <w:color w:val="003CA0"/>
          <w:sz w:val="16"/>
        </w:rPr>
        <w:t>[ARE 956.734 AgR, rel. min. Gilmar Mendes, j. 25-8-2017, P, DJE de 5-9-2017.]</w:t>
      </w:r>
    </w:p>
    <w:p>
      <w:pPr>
        <w:ind w:left="288"/>
      </w:pPr>
      <w:r>
        <w:rPr>
          <w:color w:val="8C8C8C"/>
          <w:sz w:val="12"/>
        </w:rPr>
        <w:t>cf-art-93</w:t>
      </w:r>
      <w:r>
        <w:rPr>
          <w:color w:val="003CA0"/>
          <w:sz w:val="12"/>
        </w:rPr>
        <w:t xml:space="preserve"> | MS 20.479</w:t>
      </w:r>
      <w:r>
        <w:rPr>
          <w:color w:val="003CA0"/>
          <w:sz w:val="12"/>
        </w:rPr>
        <w:t xml:space="preserve"> | rel. Sydney Sanches</w:t>
      </w:r>
    </w:p>
    <w:p>
      <w:pPr>
        <w:ind w:left="288"/>
      </w:pPr>
      <w:r>
        <w:rPr>
          <w:color w:val="1E1E1E"/>
          <w:sz w:val="18"/>
        </w:rPr>
        <w:t>Norma de aplicação de critério de desempate entre magistrados para aferição de antiguidade na carreira. Segurança jurídica. A norma vigente ao tempo da posse dos interessados acerca do critério de antiguidade deve prevalecer para todos os fins; posto gerar insegurança jurídica subordinar a lista de antiguidade a critério introduzido pelas alterações supervenientes ao Regimento Interno sempre que se fizer necessário apurar-se a antiguidade dos magistrados. A novel alteração do regimento aplica-se aos empossados em período ulterior à reforma da norma secundária. A republicação da lista a cada an</w:t>
      </w:r>
    </w:p>
    <w:p>
      <w:pPr>
        <w:ind w:left="288"/>
      </w:pPr>
      <w:r>
        <w:rPr>
          <w:b/>
          <w:color w:val="003CA0"/>
          <w:sz w:val="16"/>
        </w:rPr>
        <w:t>[MS 28.447, rel. min. Dias Toffoli, j. 25-8-2011, P, DJE de 23-11-2011.]</w:t>
      </w:r>
    </w:p>
    <w:p>
      <w:pPr>
        <w:ind w:left="288"/>
      </w:pPr>
      <w:r>
        <w:rPr>
          <w:color w:val="8C8C8C"/>
          <w:sz w:val="12"/>
        </w:rPr>
        <w:t>cf-art-93</w:t>
      </w:r>
      <w:r>
        <w:rPr>
          <w:color w:val="003CA0"/>
          <w:sz w:val="12"/>
        </w:rPr>
        <w:t xml:space="preserve"> | MS 27.593</w:t>
      </w:r>
      <w:r>
        <w:rPr>
          <w:color w:val="003CA0"/>
          <w:sz w:val="12"/>
        </w:rPr>
        <w:t xml:space="preserve"> | rel. Ricardo Lewandowski</w:t>
      </w:r>
    </w:p>
    <w:p>
      <w:pPr>
        <w:ind w:left="288"/>
      </w:pPr>
      <w:r>
        <w:rPr>
          <w:color w:val="1E1E1E"/>
          <w:sz w:val="18"/>
        </w:rPr>
        <w:t>Art. 102 da Loman. Condições de elegibilidade para cargo de direção em tribunal. Inelegibilidade configurada com exercício de dois mandatos, ainda que incompletos. (...) O art. 102 da Loman, ao se referir à inelegibilidade daqueles que exerceram cargos de direção "por quatro anos", deve ser entendido como "por dois mandatos". Assim, o exercício de dois mandatos em cargo de direção no tribunal torna o desembargador inelegível, salvo se não houver outros desembargadores elegíveis ou que aceitem o cargo.</w:t>
      </w:r>
    </w:p>
    <w:p>
      <w:pPr>
        <w:ind w:left="288"/>
      </w:pPr>
      <w:r>
        <w:rPr>
          <w:b/>
          <w:color w:val="003CA0"/>
          <w:sz w:val="16"/>
        </w:rPr>
        <w:t>[MS 27.593, rel. min. Ricardo Lewandowski, j. 1º-7-2010, P, DJE de 8-10-2010.]</w:t>
      </w:r>
    </w:p>
    <w:p>
      <w:pPr>
        <w:ind w:left="288"/>
      </w:pPr>
      <w:r>
        <w:rPr>
          <w:color w:val="8C8C8C"/>
          <w:sz w:val="12"/>
        </w:rPr>
        <w:t>cf-art-93</w:t>
      </w:r>
      <w:r>
        <w:rPr>
          <w:color w:val="003CA0"/>
          <w:sz w:val="12"/>
        </w:rPr>
        <w:t xml:space="preserve"> | ADI 3.566</w:t>
      </w:r>
      <w:r>
        <w:rPr>
          <w:color w:val="003CA0"/>
          <w:sz w:val="12"/>
        </w:rPr>
        <w:t xml:space="preserve"> | rel. Eros Grau</w:t>
      </w:r>
    </w:p>
    <w:p>
      <w:pPr>
        <w:ind w:left="288"/>
      </w:pPr>
      <w:r>
        <w:rPr>
          <w:color w:val="1E1E1E"/>
          <w:sz w:val="18"/>
        </w:rPr>
        <w:t>Impugnação de ato do TRF 3ª Região concernente à eleição para o cargo de presidente daquele Tribunal. Discussão a propósito da possibilidade de desembargador que anteriormente ocupou cargo diretivo por dois biênios no TRF 3ª Região ser eleito presidente. Afronta à decisão proferida na ADI 3.566 – recepção e vigência do art. 102 da LC 35 (Loman). (...) Situação de inelegibilidade decorrente da vedação do art. 102 da Loman, segunda parte. A incidência do preceito da Loman resulta frustrada. A fraude à lei importa, fundamentalmente, frustração da lei. Mais grave se é à Constituição, frustração da</w:t>
      </w:r>
    </w:p>
    <w:p>
      <w:pPr>
        <w:ind w:left="288"/>
      </w:pPr>
      <w:r>
        <w:rPr>
          <w:b/>
          <w:color w:val="003CA0"/>
          <w:sz w:val="16"/>
        </w:rPr>
        <w:t>[Rcl 8.025, rel. min. Eros Grau, j. 9-12-2009, P, DJE de 6-8-2010.]</w:t>
      </w:r>
    </w:p>
    <w:p>
      <w:pPr>
        <w:ind w:left="288"/>
      </w:pPr>
      <w:r>
        <w:rPr>
          <w:color w:val="8C8C8C"/>
          <w:sz w:val="12"/>
        </w:rPr>
        <w:t>cf-art-93</w:t>
      </w:r>
      <w:r>
        <w:rPr>
          <w:color w:val="003CA0"/>
          <w:sz w:val="12"/>
        </w:rPr>
        <w:t xml:space="preserve"> | ADI 3.566</w:t>
      </w:r>
      <w:r>
        <w:rPr>
          <w:color w:val="003CA0"/>
          <w:sz w:val="12"/>
        </w:rPr>
        <w:t xml:space="preserve"> | rel. Celso de Mello</w:t>
      </w:r>
    </w:p>
    <w:p>
      <w:pPr>
        <w:ind w:left="288"/>
      </w:pPr>
      <w:r>
        <w:rPr>
          <w:color w:val="1E1E1E"/>
          <w:sz w:val="18"/>
        </w:rPr>
        <w:t>Vide ADI 3.566, red. do ac. min. Cezar Peluso, j. 15-2-2007, P, DJ de 15-6-2007 O magistrado é inviolável pelas opiniões que expressar ou pelo conteúdo das decisões que proferir, não podendo ser punido nem prejudicado em razão de tais pronunciamentos. É necessário, contudo, que esse discurso judiciário, manifestado no julgamento da causa, seja compatível com o usus fori e que, desprovido de intuito ofensivo, guarde, ainda, com o objeto do litígio, indissociável nexo de causalidade e de pertinência. A ratio subjacente à norma inscrita no art. 41 da Loman decorre da necessidade de proteger os ma</w:t>
      </w:r>
    </w:p>
    <w:p>
      <w:pPr>
        <w:ind w:left="288"/>
      </w:pPr>
      <w:r>
        <w:rPr>
          <w:b/>
          <w:color w:val="003CA0"/>
          <w:sz w:val="16"/>
        </w:rPr>
        <w:t>[Inq 2.699 QO, rel. min. Celso de Mello, j. 12-3-2009, P, DJE de 8-5-2009.]</w:t>
      </w:r>
    </w:p>
    <w:p>
      <w:pPr>
        <w:ind w:left="288"/>
      </w:pPr>
      <w:r>
        <w:rPr>
          <w:color w:val="8C8C8C"/>
          <w:sz w:val="12"/>
        </w:rPr>
        <w:t>cf-art-93</w:t>
      </w:r>
      <w:r>
        <w:rPr>
          <w:color w:val="003CA0"/>
          <w:sz w:val="12"/>
        </w:rPr>
        <w:t xml:space="preserve"> | AO 155</w:t>
      </w:r>
      <w:r>
        <w:rPr>
          <w:color w:val="003CA0"/>
          <w:sz w:val="12"/>
        </w:rPr>
        <w:t xml:space="preserve"> | rel. Octavio Gallotti</w:t>
      </w:r>
    </w:p>
    <w:p>
      <w:pPr>
        <w:ind w:left="288"/>
      </w:pPr>
      <w:r>
        <w:rPr>
          <w:color w:val="1E1E1E"/>
          <w:sz w:val="18"/>
        </w:rPr>
        <w:t>Perante a enumeração exaustiva do art. 69 da Loman (LC 35/1979), ficaram revogadas as leis estaduais concessivas do direito de licença-prêmio ou especial aos magistrados, aos quais, igualmente, não se aplicam as normas que confiram esse mesmo direito aos servidores públicos em geral.</w:t>
      </w:r>
    </w:p>
    <w:p>
      <w:pPr>
        <w:ind w:left="288"/>
      </w:pPr>
      <w:r>
        <w:rPr>
          <w:b/>
          <w:color w:val="003CA0"/>
          <w:sz w:val="16"/>
        </w:rPr>
        <w:t>[AO 155, rel. min. Octavio Gallotti, j. 23-8-1995, P, DJ de 10-11-1995.]</w:t>
      </w:r>
    </w:p>
    <w:p>
      <w:pPr>
        <w:ind w:left="288"/>
      </w:pPr>
      <w:r>
        <w:rPr>
          <w:color w:val="8C8C8C"/>
          <w:sz w:val="12"/>
        </w:rPr>
        <w:t>cf-art-93</w:t>
      </w:r>
      <w:r>
        <w:rPr>
          <w:color w:val="003CA0"/>
          <w:sz w:val="12"/>
        </w:rPr>
        <w:t xml:space="preserve"> | AO 482</w:t>
      </w:r>
      <w:r>
        <w:rPr>
          <w:color w:val="003CA0"/>
          <w:sz w:val="12"/>
        </w:rPr>
        <w:t xml:space="preserve"> | rel. Cármen Lúcia</w:t>
      </w:r>
    </w:p>
    <w:p>
      <w:pPr>
        <w:ind w:left="288"/>
      </w:pPr>
      <w:r>
        <w:rPr>
          <w:color w:val="1E1E1E"/>
          <w:sz w:val="18"/>
        </w:rPr>
        <w:t>= AO 482, rel. min. Cármen Lúcia, j. 14-4-2011, P, DJE de 25-5-2011 O âmbito normativo do Estatuto da Magistratura, previsto no art. 93/CF, não se reduz à disciplina dos direitos e deveres funcionais dos magistrados: nele cabem normas fundamentais de um verdadeiro estatuto orgânico do Poder Judiciário, incluídas as que dizem respeito aos critérios para a substituição dos membros dos tribunais, em seus impedimentos: consequente recepção, pela ordem constitucional vigente, das regras pertinentes da Loman.</w:t>
      </w:r>
    </w:p>
    <w:p>
      <w:pPr>
        <w:ind w:left="288"/>
      </w:pPr>
      <w:r>
        <w:rPr>
          <w:b/>
          <w:color w:val="003CA0"/>
          <w:sz w:val="16"/>
        </w:rPr>
        <w:t>[HC 68.210, rel. min. Sepúlveda Pertence, j. 18-12-1991, P, DJ de 21-8-1992.]</w:t>
      </w:r>
    </w:p>
    <w:p>
      <w:pPr>
        <w:ind w:left="288"/>
      </w:pPr>
      <w:r>
        <w:rPr>
          <w:color w:val="8C8C8C"/>
          <w:sz w:val="12"/>
        </w:rPr>
        <w:t>cf-art-93</w:t>
      </w:r>
    </w:p>
    <w:p>
      <w:pPr>
        <w:ind w:left="288"/>
      </w:pPr>
      <w:r>
        <w:rPr>
          <w:color w:val="1E1E1E"/>
          <w:sz w:val="18"/>
        </w:rPr>
        <w:t>I - ingresso na carreira, cujo cargo inicial será o de juiz substituto, mediante concurso público de provas e títulos, com a participação da Ordem dos Advogados do Brasil em todas as fases, exigindo-se do bacharel em direito, no mínimo, três anos de atividade jurídica e obedecendo-se, nas nomeações, à ordem de classificação; (Redação da EC 45/2004)</w:t>
      </w:r>
    </w:p>
    <w:p>
      <w:pPr>
        <w:ind w:left="144"/>
      </w:pPr>
      <w:r>
        <w:rPr>
          <w:b/>
          <w:color w:val="B45A00"/>
          <w:sz w:val="16"/>
        </w:rPr>
        <w:t>CONTROLE CONCENTRADO</w:t>
      </w:r>
    </w:p>
    <w:p>
      <w:pPr>
        <w:ind w:left="288"/>
      </w:pPr>
      <w:r>
        <w:rPr>
          <w:color w:val="8C8C8C"/>
          <w:sz w:val="12"/>
        </w:rPr>
        <w:t>cf-art-93</w:t>
      </w:r>
      <w:r>
        <w:rPr>
          <w:color w:val="003CA0"/>
          <w:sz w:val="12"/>
        </w:rPr>
        <w:t xml:space="preserve"> | ADI 6.782</w:t>
      </w:r>
      <w:r>
        <w:rPr>
          <w:color w:val="003CA0"/>
          <w:sz w:val="12"/>
        </w:rPr>
        <w:t xml:space="preserve"> | rel. Gilmar Mendes</w:t>
      </w:r>
    </w:p>
    <w:p>
      <w:pPr>
        <w:ind w:left="288"/>
      </w:pPr>
      <w:r>
        <w:rPr>
          <w:color w:val="1E1E1E"/>
          <w:sz w:val="18"/>
        </w:rPr>
        <w:t>O Poder Judiciário é um Poder Nacional e seus membros devem estar submetidos a regras uniformes. (...) Inconstitucionalidade da previsão de permuta entre magistrados vinculados a diferentes Tribunais de Justiça.</w:t>
        <w:br/>
        <w:t xml:space="preserve">[ADI 6.782, rel. min. Gilmar Mendes, j. 06-03-2023, P, DJE de 22-3-2023.] O art. 52, V, da Lei 11.697/2008, ao estabelecer como requisito para ingresso na carreira da magistratura do Distrito Federal ou dos Territórios a idade mínima de 25 anos e máxima de 50, viola o disposto no art. 93, I, da Constituição Federal. Em assuntos diretamente relacionados à magistratura nacional, como as </w:t>
      </w:r>
    </w:p>
    <w:p>
      <w:pPr>
        <w:ind w:left="288"/>
      </w:pPr>
      <w:r>
        <w:rPr>
          <w:b/>
          <w:color w:val="003CA0"/>
          <w:sz w:val="16"/>
        </w:rPr>
        <w:t>[ADI 2.983, voto do rel. min. Carlos Velloso, j. 23-2-2005, P, DJ de 15-4-2005.]</w:t>
      </w:r>
    </w:p>
    <w:p>
      <w:pPr>
        <w:ind w:left="288"/>
      </w:pPr>
      <w:r>
        <w:rPr>
          <w:color w:val="8C8C8C"/>
          <w:sz w:val="12"/>
        </w:rPr>
        <w:t>cf-art-93</w:t>
      </w:r>
      <w:r>
        <w:rPr>
          <w:color w:val="003CA0"/>
          <w:sz w:val="12"/>
        </w:rPr>
        <w:t xml:space="preserve"> | ADI 2.210</w:t>
      </w:r>
      <w:r>
        <w:rPr>
          <w:color w:val="003CA0"/>
          <w:sz w:val="12"/>
        </w:rPr>
        <w:t xml:space="preserve"> | rel. Sepúlveda Pertence</w:t>
      </w:r>
    </w:p>
    <w:p>
      <w:pPr>
        <w:ind w:left="288"/>
      </w:pPr>
      <w:r>
        <w:rPr>
          <w:color w:val="1E1E1E"/>
          <w:sz w:val="18"/>
        </w:rPr>
        <w:t>Concurso para a magistratura: exigência constitucional de participação da OAB "em todas as suas fases": consequente plausibilidade da arguição de inconstitucionalidade das normas regulamentares do certame que: (a) confiaram exclusivamente ao presidente do tribunal de justiça, com recurso para o Plenário deste, decidir sobre os requerimentos de inscrição; (b) predeterminaram as notas a conferir a cada categoria de títulos: usurpação de atribuições da comissão, da qual há de participar a Ordem.</w:t>
      </w:r>
    </w:p>
    <w:p>
      <w:pPr>
        <w:ind w:left="288"/>
      </w:pPr>
      <w:r>
        <w:rPr>
          <w:b/>
          <w:color w:val="003CA0"/>
          <w:sz w:val="16"/>
        </w:rPr>
        <w:t>[ADI 2.210 MC, rel. min. Sepúlveda Pertence, j. 28-9-2000, P, DJ de 24-5-2002.]</w:t>
      </w:r>
    </w:p>
    <w:p>
      <w:pPr>
        <w:ind w:left="288"/>
      </w:pPr>
      <w:r>
        <w:rPr>
          <w:color w:val="8C8C8C"/>
          <w:sz w:val="12"/>
        </w:rPr>
        <w:t>cf-art-93</w:t>
      </w:r>
      <w:r>
        <w:rPr>
          <w:color w:val="003CA0"/>
          <w:sz w:val="12"/>
        </w:rPr>
        <w:t xml:space="preserve"> | ADI 2.204</w:t>
      </w:r>
      <w:r>
        <w:rPr>
          <w:color w:val="003CA0"/>
          <w:sz w:val="12"/>
        </w:rPr>
        <w:t xml:space="preserve"> | rel. Sydney Sanches</w:t>
      </w:r>
    </w:p>
    <w:p>
      <w:pPr>
        <w:ind w:left="288"/>
      </w:pPr>
      <w:r>
        <w:rPr>
          <w:color w:val="1E1E1E"/>
          <w:sz w:val="18"/>
        </w:rPr>
        <w:t>= ADI 2.204 MC, rel. min. Sydney Sanches, j. 8-11-2000, P, DJ de 2-2-2001</w:t>
      </w:r>
    </w:p>
    <w:p>
      <w:pPr>
        <w:ind w:left="144"/>
      </w:pPr>
      <w:r>
        <w:rPr>
          <w:b/>
          <w:color w:val="B45A00"/>
          <w:sz w:val="16"/>
        </w:rPr>
        <w:t>REPERCUSSAO GERAL</w:t>
      </w:r>
    </w:p>
    <w:p>
      <w:pPr>
        <w:ind w:left="288"/>
      </w:pPr>
      <w:r>
        <w:rPr>
          <w:color w:val="8C8C8C"/>
          <w:sz w:val="12"/>
        </w:rPr>
        <w:t>cf-art-93</w:t>
      </w:r>
      <w:r>
        <w:rPr>
          <w:color w:val="003CA0"/>
          <w:sz w:val="12"/>
        </w:rPr>
        <w:t xml:space="preserve"> | ADI 3.460.</w:t>
      </w:r>
      <w:r>
        <w:rPr>
          <w:color w:val="003CA0"/>
          <w:sz w:val="12"/>
        </w:rPr>
        <w:t xml:space="preserve"> | rel. Ayres Britto</w:t>
      </w:r>
    </w:p>
    <w:p>
      <w:pPr>
        <w:ind w:left="288"/>
      </w:pPr>
      <w:r>
        <w:rPr>
          <w:color w:val="1E1E1E"/>
          <w:sz w:val="18"/>
        </w:rPr>
        <w:t xml:space="preserve">Ingresso na carreira da magistratura. Art. 93, I, CRFB. EC 45/2004. Triênio de atividade jurídica privativa de bacharel em direito. Requisito de experimentação profissional. Momento da comprovação. Inscrição definitiva. Constitucionalidade da exigência. ADI 3.460. Reafirmação do precedente pela Suprema Corte. </w:t>
        <w:br/>
        <w:t>[RE 655.265, red. do ac. min. Edson Fachin, j. 13-4-2016, P, DJE de 5-8-2016, Tema 509.]</w:t>
        <w:br/>
        <w:t>Vide ADI 3.460, rel. min. Ayres Britto, j. 31-8-2006, P, DJ de 15-6-2007</w:t>
      </w:r>
    </w:p>
    <w:p>
      <w:pPr>
        <w:ind w:left="144"/>
      </w:pPr>
      <w:r>
        <w:rPr>
          <w:b/>
          <w:color w:val="B45A00"/>
          <w:sz w:val="16"/>
        </w:rPr>
        <w:t>JULGADOS CORRELATOS</w:t>
      </w:r>
    </w:p>
    <w:p>
      <w:pPr>
        <w:ind w:left="288"/>
      </w:pPr>
      <w:r>
        <w:rPr>
          <w:color w:val="8C8C8C"/>
          <w:sz w:val="12"/>
        </w:rPr>
        <w:t>cf-art-93</w:t>
      </w:r>
      <w:r>
        <w:rPr>
          <w:color w:val="003CA0"/>
          <w:sz w:val="12"/>
        </w:rPr>
        <w:t xml:space="preserve"> | MS 28.226</w:t>
      </w:r>
      <w:r>
        <w:rPr>
          <w:color w:val="003CA0"/>
          <w:sz w:val="12"/>
        </w:rPr>
        <w:t xml:space="preserve"> | rel. Luiz Fux</w:t>
      </w:r>
    </w:p>
    <w:p>
      <w:pPr>
        <w:ind w:left="288"/>
      </w:pPr>
      <w:r>
        <w:rPr>
          <w:color w:val="1E1E1E"/>
          <w:sz w:val="18"/>
        </w:rPr>
        <w:t>A comprovação de atividade jurídica, pode considerar o tempo de exercício em cargo não privativo de bacharel em Direito, desde que, ausentes dúvidas acerca da natureza eminentemente jurídica das funções desempenhadas.</w:t>
      </w:r>
    </w:p>
    <w:p>
      <w:pPr>
        <w:ind w:left="288"/>
      </w:pPr>
      <w:r>
        <w:rPr>
          <w:b/>
          <w:color w:val="003CA0"/>
          <w:sz w:val="16"/>
        </w:rPr>
        <w:t>[MS 28.226 AgR, rel. min. Luiz Fux, j. 4-8-2015, 1ª T, DJE de 26-8-2015.]</w:t>
      </w:r>
    </w:p>
    <w:p>
      <w:pPr>
        <w:ind w:left="288"/>
      </w:pPr>
      <w:r>
        <w:rPr>
          <w:color w:val="8C8C8C"/>
          <w:sz w:val="12"/>
        </w:rPr>
        <w:t>cf-art-93</w:t>
      </w:r>
      <w:r>
        <w:rPr>
          <w:color w:val="003CA0"/>
          <w:sz w:val="12"/>
        </w:rPr>
        <w:t xml:space="preserve"> | MS 32.042</w:t>
      </w:r>
      <w:r>
        <w:rPr>
          <w:color w:val="003CA0"/>
          <w:sz w:val="12"/>
        </w:rPr>
        <w:t xml:space="preserve"> | rel. Cármen Lúcia</w:t>
      </w:r>
    </w:p>
    <w:p>
      <w:pPr>
        <w:ind w:left="288"/>
      </w:pPr>
      <w:r>
        <w:rPr>
          <w:color w:val="1E1E1E"/>
          <w:sz w:val="18"/>
        </w:rPr>
        <w:t>Concurso público para ingresso na magistratura. Prova oral. Formulação de questões sobre temas não contemplados no ponto jurídico sorteado. Interposição de recurso administrativo. Alegada inviabilidade de revisar a nota obtida pelo candidato (art. 70, § 1º, da Resolução/CNJ 75/2009). Determinação de exclusão do certame. Impossibilidade. Distinção entre a irretratabilidade da nota atribuída ao candidato em prova oral e o exercício do controle administrativo da legalidade. Vinculação da administração às normas estabelecidas no edital de concurso público.</w:t>
      </w:r>
    </w:p>
    <w:p>
      <w:pPr>
        <w:ind w:left="288"/>
      </w:pPr>
      <w:r>
        <w:rPr>
          <w:b/>
          <w:color w:val="003CA0"/>
          <w:sz w:val="16"/>
        </w:rPr>
        <w:t>[MS 32.042, rel. min. Cármen Lúcia, j. 26-8-2014, 2ª T, DJE de 4-9-2014.]</w:t>
      </w:r>
    </w:p>
    <w:p>
      <w:pPr>
        <w:ind w:left="288"/>
      </w:pPr>
      <w:r>
        <w:rPr>
          <w:color w:val="8C8C8C"/>
          <w:sz w:val="12"/>
        </w:rPr>
        <w:t>cf-art-93</w:t>
      </w:r>
      <w:r>
        <w:rPr>
          <w:color w:val="003CA0"/>
          <w:sz w:val="12"/>
        </w:rPr>
        <w:t xml:space="preserve"> | MS 27.165</w:t>
      </w:r>
      <w:r>
        <w:rPr>
          <w:color w:val="003CA0"/>
          <w:sz w:val="12"/>
        </w:rPr>
        <w:t xml:space="preserve"> | rel. Joaquim Barbosa</w:t>
      </w:r>
    </w:p>
    <w:p>
      <w:pPr>
        <w:ind w:left="288"/>
      </w:pPr>
      <w:r>
        <w:rPr>
          <w:color w:val="1E1E1E"/>
          <w:sz w:val="18"/>
        </w:rPr>
        <w:t>Após a publicação do edital e no curso do certame, só se admite a alteração das regras do concurso se houver modificação na legislação que disciplina a respectiva carreira.</w:t>
      </w:r>
    </w:p>
    <w:p>
      <w:pPr>
        <w:ind w:left="288"/>
      </w:pPr>
      <w:r>
        <w:rPr>
          <w:b/>
          <w:color w:val="003CA0"/>
          <w:sz w:val="16"/>
        </w:rPr>
        <w:t>[MS 27.165, rel. min. Joaquim Barbosa, j. 18-12-2008, P, DJE de 6-3-2009.]</w:t>
      </w:r>
    </w:p>
    <w:p>
      <w:pPr>
        <w:ind w:left="288"/>
      </w:pPr>
      <w:r>
        <w:rPr>
          <w:color w:val="8C8C8C"/>
          <w:sz w:val="12"/>
        </w:rPr>
        <w:t>cf-art-93</w:t>
      </w:r>
      <w:r>
        <w:rPr>
          <w:color w:val="003CA0"/>
          <w:sz w:val="12"/>
        </w:rPr>
        <w:t xml:space="preserve"> | MS 26.700</w:t>
      </w:r>
      <w:r>
        <w:rPr>
          <w:color w:val="003CA0"/>
          <w:sz w:val="12"/>
        </w:rPr>
        <w:t xml:space="preserve"> | rel. Ricardo Lewandowski</w:t>
      </w:r>
    </w:p>
    <w:p>
      <w:pPr>
        <w:ind w:left="288"/>
      </w:pPr>
      <w:r>
        <w:rPr>
          <w:color w:val="1E1E1E"/>
          <w:sz w:val="18"/>
        </w:rPr>
        <w:t>CNJ. Anulação do XVIII concurso para ingresso na magistratura do Estado de Rondônia. Ofensa aos princípios da moralidade e impessoalidade. Inocorrência. (...) Não é possível presumir a existência de má-fé ou a ocorrência de irregularidades pelo simples fato de duas das candidatas aprovadas terem sido assessoras de desembargadores integrantes da banca examinadora.</w:t>
      </w:r>
    </w:p>
    <w:p>
      <w:pPr>
        <w:ind w:left="288"/>
      </w:pPr>
      <w:r>
        <w:rPr>
          <w:b/>
          <w:color w:val="003CA0"/>
          <w:sz w:val="16"/>
        </w:rPr>
        <w:t>[MS 26.700, rel. min. Ricardo Lewandowski, j. 21-5-2008, P, DJE de 27-6-2008.]</w:t>
        <w:br/>
        <w:t>Vide MS 28.775, red. do ac. min. Ricardo Lewandowski, j. 17-10-2017, 2ª T, DJE de 7-8-2018</w:t>
      </w:r>
    </w:p>
    <w:p>
      <w:pPr>
        <w:ind w:left="144"/>
      </w:pPr>
      <w:r>
        <w:rPr>
          <w:b/>
          <w:color w:val="B45A00"/>
          <w:sz w:val="16"/>
        </w:rPr>
        <w:t>SUMULA</w:t>
      </w:r>
    </w:p>
    <w:p>
      <w:pPr>
        <w:ind w:left="288"/>
      </w:pPr>
      <w:r>
        <w:rPr>
          <w:color w:val="8C8C8C"/>
          <w:sz w:val="12"/>
        </w:rPr>
        <w:t>cf-art-93-inc-II</w:t>
      </w:r>
    </w:p>
    <w:p>
      <w:pPr>
        <w:ind w:left="288"/>
      </w:pPr>
      <w:r>
        <w:rPr>
          <w:color w:val="1E1E1E"/>
          <w:sz w:val="18"/>
        </w:rPr>
        <w:t>A elevação da entrância da comarca não promove automaticamente o Juiz, mas não interrompe o exercício de suas funções na mesma comarca.</w:t>
      </w:r>
    </w:p>
    <w:p>
      <w:pPr>
        <w:ind w:left="288"/>
      </w:pPr>
      <w:r>
        <w:rPr>
          <w:b/>
          <w:color w:val="003CA0"/>
          <w:sz w:val="16"/>
        </w:rPr>
        <w:t>[Súmula 40.]</w:t>
      </w:r>
    </w:p>
    <w:p>
      <w:pPr>
        <w:ind w:left="288"/>
      </w:pPr>
      <w:r>
        <w:rPr>
          <w:color w:val="8C8C8C"/>
          <w:sz w:val="12"/>
        </w:rPr>
        <w:t>cf-art-93-inc-II</w:t>
      </w:r>
      <w:r>
        <w:rPr>
          <w:color w:val="003CA0"/>
          <w:sz w:val="12"/>
        </w:rPr>
        <w:t xml:space="preserve"> | ADI 6.757</w:t>
      </w:r>
      <w:r>
        <w:rPr>
          <w:color w:val="003CA0"/>
          <w:sz w:val="12"/>
        </w:rPr>
        <w:t xml:space="preserve"> | rel. Nunes Marques</w:t>
      </w:r>
    </w:p>
    <w:p>
      <w:pPr>
        <w:ind w:left="288"/>
      </w:pPr>
      <w:r>
        <w:rPr>
          <w:color w:val="1E1E1E"/>
          <w:sz w:val="18"/>
        </w:rPr>
        <w:t>Levando em conta o regime instituído pela Emenda Constitucional n. 45/2004, nas carreiras das magistraturas federal e estadual a remoção precede a promoção por antiguidade ou por merecimento (CF, art. 93, VIII-A) Cancelamento do Tema 964/RG. Modulação de efeitos prospectivos, com a concessão do prazo de 12 meses, contados da publicação da ata deste julgamento, para implementação pelos tribunais da sistemática aqui estabelecida, ressalvados os concursos de remoção ou promoção já finalizados, e mantidas, nesse período, as regras até então estipuladas pelos tribunais.</w:t>
      </w:r>
    </w:p>
    <w:p>
      <w:pPr>
        <w:ind w:left="288"/>
      </w:pPr>
      <w:r>
        <w:rPr>
          <w:b/>
          <w:color w:val="003CA0"/>
          <w:sz w:val="16"/>
        </w:rPr>
        <w:t>[ADI 6.757, rel. min. Nunes Marques, j. 20.02.2025, P, DJE de 24.04.2025.]</w:t>
      </w:r>
    </w:p>
    <w:p>
      <w:pPr>
        <w:ind w:left="144"/>
      </w:pPr>
      <w:r>
        <w:rPr>
          <w:b/>
          <w:color w:val="B45A00"/>
          <w:sz w:val="16"/>
        </w:rPr>
        <w:t>CONTROLE CONCENTRADO</w:t>
      </w:r>
    </w:p>
    <w:p>
      <w:pPr>
        <w:ind w:left="288"/>
      </w:pPr>
      <w:r>
        <w:rPr>
          <w:color w:val="8C8C8C"/>
          <w:sz w:val="12"/>
        </w:rPr>
        <w:t>cf-art-93-inc-II</w:t>
      </w:r>
      <w:r>
        <w:rPr>
          <w:color w:val="003CA0"/>
          <w:sz w:val="12"/>
        </w:rPr>
        <w:t xml:space="preserve"> | ADI 3.698</w:t>
      </w:r>
      <w:r>
        <w:rPr>
          <w:color w:val="003CA0"/>
          <w:sz w:val="12"/>
        </w:rPr>
        <w:t xml:space="preserve"> | rel. Gilmar Mendes</w:t>
      </w:r>
    </w:p>
    <w:p>
      <w:pPr>
        <w:ind w:left="288"/>
      </w:pPr>
      <w:r>
        <w:rPr>
          <w:color w:val="1E1E1E"/>
          <w:sz w:val="18"/>
        </w:rPr>
        <w:t>O Supremo Tribunal Federal tem jurisprudência assentada no sentido da inconstitucionalidade, por violação ao art. 93 da Constituição Federal, de normas estaduais, legais ou constitucionais, que disciplinem matérias próprias do Estatuto da Magistratura, em desacordo com ele ou em caráter inovador. Neste contexto, a LOMAN não consagrou o disposto no artigo 164 da Lei 12.342, de 28 de julho de 1994, do Estado do Ceará, que estabelece condições estranhas à função jurisdicional para determinar o desempate entre aqueles que estejam concorrendo à promoção por antiguidade.</w:t>
      </w:r>
    </w:p>
    <w:p>
      <w:pPr>
        <w:ind w:left="288"/>
      </w:pPr>
      <w:r>
        <w:rPr>
          <w:b/>
          <w:color w:val="003CA0"/>
          <w:sz w:val="16"/>
        </w:rPr>
        <w:t>[ADI 3.698, rel. min. Gilmar Mendes, j. 9-5-2019, P, DJE de 15-8-2019.]</w:t>
      </w:r>
    </w:p>
    <w:p>
      <w:pPr>
        <w:ind w:left="288"/>
      </w:pPr>
      <w:r>
        <w:rPr>
          <w:color w:val="8C8C8C"/>
          <w:sz w:val="12"/>
        </w:rPr>
        <w:t>cf-art-93-inc-II</w:t>
      </w:r>
      <w:r>
        <w:rPr>
          <w:color w:val="003CA0"/>
          <w:sz w:val="12"/>
        </w:rPr>
        <w:t xml:space="preserve"> | ADI 4.414</w:t>
      </w:r>
      <w:r>
        <w:rPr>
          <w:color w:val="003CA0"/>
          <w:sz w:val="12"/>
        </w:rPr>
        <w:t xml:space="preserve"> | rel. Luiz Fux</w:t>
      </w:r>
    </w:p>
    <w:p>
      <w:pPr>
        <w:ind w:left="288"/>
      </w:pPr>
      <w:r>
        <w:rPr>
          <w:color w:val="1E1E1E"/>
          <w:sz w:val="18"/>
        </w:rPr>
        <w:t xml:space="preserve">Criação, por lei estadual, de varas especializadas em delitos praticados por organizações criminosas. (...) Os juízes integrantes de vara especializada criada por lei estadual devem ser designados com observância dos parâmetros constitucionais de antiguidade e merecimento previstos no art. 93, II e VIII-A, da Constituição da República, sendo inconstitucional, em vista da necessidade de preservação da independência do julgador, previsão normativa segundo a qual a indicação e nomeação dos magistrados que ocuparão a referida vara será feita pelo presidente do tribunal de justiça, com a aprovação </w:t>
      </w:r>
    </w:p>
    <w:p>
      <w:pPr>
        <w:ind w:left="288"/>
      </w:pPr>
      <w:r>
        <w:rPr>
          <w:b/>
          <w:color w:val="003CA0"/>
          <w:sz w:val="16"/>
        </w:rPr>
        <w:t>[ADI 4.414, rel. min. Luiz Fux, j. 31-5-2012, P, DJE de 17-6-2013.]</w:t>
      </w:r>
    </w:p>
    <w:p>
      <w:pPr>
        <w:ind w:left="288"/>
      </w:pPr>
      <w:r>
        <w:rPr>
          <w:color w:val="8C8C8C"/>
          <w:sz w:val="12"/>
        </w:rPr>
        <w:t>cf-art-93-inc-II</w:t>
      </w:r>
      <w:r>
        <w:rPr>
          <w:color w:val="003CA0"/>
          <w:sz w:val="12"/>
        </w:rPr>
        <w:t xml:space="preserve"> | ADI 2.494</w:t>
      </w:r>
      <w:r>
        <w:rPr>
          <w:color w:val="003CA0"/>
          <w:sz w:val="12"/>
        </w:rPr>
        <w:t xml:space="preserve"> | rel. Eros Grau</w:t>
      </w:r>
    </w:p>
    <w:p>
      <w:pPr>
        <w:ind w:left="288"/>
      </w:pPr>
      <w:r>
        <w:rPr>
          <w:color w:val="1E1E1E"/>
          <w:sz w:val="18"/>
        </w:rPr>
        <w:t xml:space="preserve">LC 212 do Estado de Santa Catarina, que conferiu nova redação ao art. 192 da Lei 5.624/1979. Preceito que determina a precedência da remoção de juízes às promoções por antiguidade ou merecimento. (...) Até o advento da lei complementar prevista no art. 93, caput, da Constituição do Brasil, a matéria própria ao Estatuto da Magistratura será disciplinada pelo texto da LC 35/1979, recebida pela Constituição. (...) A lei atacada dispôs sobre matéria constitucionalmente reservada a lei complementar de iniciativa do STF, violando o disposto no art. 93 da Constituição. Ressalvada a validade dos atos </w:t>
      </w:r>
    </w:p>
    <w:p>
      <w:pPr>
        <w:ind w:left="288"/>
      </w:pPr>
      <w:r>
        <w:rPr>
          <w:b/>
          <w:color w:val="003CA0"/>
          <w:sz w:val="16"/>
        </w:rPr>
        <w:t>[ADI 2.494, rel. min. Eros Grau, j. 26-4-2006, P, DJ de 13-10-2006.]</w:t>
      </w:r>
    </w:p>
    <w:p>
      <w:pPr>
        <w:ind w:left="288"/>
      </w:pPr>
      <w:r>
        <w:rPr>
          <w:color w:val="8C8C8C"/>
          <w:sz w:val="12"/>
        </w:rPr>
        <w:t>cf-art-93-inc-II</w:t>
      </w:r>
      <w:r>
        <w:rPr>
          <w:color w:val="003CA0"/>
          <w:sz w:val="12"/>
        </w:rPr>
        <w:t xml:space="preserve"> | ADI 1.837</w:t>
      </w:r>
      <w:r>
        <w:rPr>
          <w:color w:val="003CA0"/>
          <w:sz w:val="12"/>
        </w:rPr>
        <w:t xml:space="preserve"> | rel. Sydney Sanches</w:t>
      </w:r>
    </w:p>
    <w:p>
      <w:pPr>
        <w:ind w:left="288"/>
      </w:pPr>
      <w:r>
        <w:rPr>
          <w:color w:val="1E1E1E"/>
          <w:sz w:val="18"/>
        </w:rPr>
        <w:t>O dispositivo impugnado promove, automaticamente, à entrância especial os juízes em exercício nas varas do Juizado Especial da Comarca de Fortaleza, sem observar o princípio da alternância, na promoção, por antiguidade e merecimento (art. 93, II, da CF). Ação direta julgada procedente.</w:t>
      </w:r>
    </w:p>
    <w:p>
      <w:pPr>
        <w:ind w:left="288"/>
      </w:pPr>
      <w:r>
        <w:rPr>
          <w:b/>
          <w:color w:val="003CA0"/>
          <w:sz w:val="16"/>
        </w:rPr>
        <w:t>[ADI 1.837, rel. min. Sydney Sanches, j. 19-3-2003, P, DJ de 2-5-2003.]</w:t>
      </w:r>
    </w:p>
    <w:p>
      <w:pPr>
        <w:ind w:left="288"/>
      </w:pPr>
      <w:r>
        <w:rPr>
          <w:color w:val="8C8C8C"/>
          <w:sz w:val="12"/>
        </w:rPr>
        <w:t>cf-art-93-inc-II</w:t>
      </w:r>
      <w:r>
        <w:rPr>
          <w:color w:val="003CA0"/>
          <w:sz w:val="12"/>
        </w:rPr>
        <w:t xml:space="preserve"> | ADI 581</w:t>
      </w:r>
      <w:r>
        <w:rPr>
          <w:color w:val="003CA0"/>
          <w:sz w:val="12"/>
        </w:rPr>
        <w:t xml:space="preserve"> | rel. Marco Aurélio</w:t>
      </w:r>
    </w:p>
    <w:p>
      <w:pPr>
        <w:ind w:left="288"/>
      </w:pPr>
      <w:r>
        <w:rPr>
          <w:color w:val="1E1E1E"/>
          <w:sz w:val="18"/>
        </w:rPr>
        <w:t>Lista de merecimento. TRT 21ª Região. Rio Grande do Norte. Lei 8.215/1991. Constitucionalidade. A Lei 8.215/1991 mostra-se constitucional no que se lhe empreste interpretação harmônica com as seguintes premissas: a) a consideração do exercício por mais de dois anos e da quinta parte da lista de antiguidade ocorre vaga a vaga, descabendo fixá-la, de início e de forma global, para preenchimento das diversas existentes; b) confeccionada a lista de merecimento para a primeira vaga, apuram-se, para a vaga subsequente, os nomes dos juízes que, afastados os já selecionados, componham a referida quint</w:t>
      </w:r>
    </w:p>
    <w:p>
      <w:pPr>
        <w:ind w:left="288"/>
      </w:pPr>
      <w:r>
        <w:rPr>
          <w:b/>
          <w:color w:val="003CA0"/>
          <w:sz w:val="16"/>
        </w:rPr>
        <w:t>[ADI 581, rel. min. Marco Aurélio, j. 12-8-1992, P, DJ de 6-11-1992.]</w:t>
      </w:r>
    </w:p>
    <w:p>
      <w:pPr>
        <w:ind w:left="288"/>
      </w:pPr>
      <w:r>
        <w:rPr>
          <w:color w:val="8C8C8C"/>
          <w:sz w:val="12"/>
        </w:rPr>
        <w:t>cf-art-93-inc-II</w:t>
      </w:r>
      <w:r>
        <w:rPr>
          <w:color w:val="003CA0"/>
          <w:sz w:val="12"/>
        </w:rPr>
        <w:t xml:space="preserve"> | ADI 189</w:t>
      </w:r>
      <w:r>
        <w:rPr>
          <w:color w:val="003CA0"/>
          <w:sz w:val="12"/>
        </w:rPr>
        <w:t xml:space="preserve"> | rel. Celso de Mello</w:t>
      </w:r>
    </w:p>
    <w:p>
      <w:pPr>
        <w:ind w:left="288"/>
      </w:pPr>
      <w:r>
        <w:rPr>
          <w:color w:val="1E1E1E"/>
          <w:sz w:val="18"/>
        </w:rPr>
        <w:t>É inconstitucional a cláusula constante de ato regimental, editado por tribunal de justiça, que estabelece, como elemento de desempate nas promoções por merecimento, o fator de ordem temporal – a antiguidade na entrância –, desestruturando, desse modo, a dualidade de critérios para acesso aos tribunais de segundo grau, consagrada no art. 93 da Lei Fundamental da República.</w:t>
      </w:r>
    </w:p>
    <w:p>
      <w:pPr>
        <w:ind w:left="288"/>
      </w:pPr>
      <w:r>
        <w:rPr>
          <w:b/>
          <w:color w:val="003CA0"/>
          <w:sz w:val="16"/>
        </w:rPr>
        <w:t>[ADI 189, rel. min. Celso de Mello, j. 9-10-1991, P, DJ de 22-5-1992.]</w:t>
      </w:r>
    </w:p>
    <w:p>
      <w:pPr>
        <w:ind w:left="144"/>
      </w:pPr>
      <w:r>
        <w:rPr>
          <w:b/>
          <w:color w:val="B45A00"/>
          <w:sz w:val="16"/>
        </w:rPr>
        <w:t>JULGADOS CORRELATOS</w:t>
      </w:r>
    </w:p>
    <w:p>
      <w:pPr>
        <w:ind w:left="288"/>
      </w:pPr>
      <w:r>
        <w:rPr>
          <w:color w:val="8C8C8C"/>
          <w:sz w:val="12"/>
        </w:rPr>
        <w:t>cf-art-93-inc-II</w:t>
      </w:r>
      <w:r>
        <w:rPr>
          <w:color w:val="003CA0"/>
          <w:sz w:val="12"/>
        </w:rPr>
        <w:t xml:space="preserve"> | MS 35.957</w:t>
      </w:r>
      <w:r>
        <w:rPr>
          <w:color w:val="003CA0"/>
          <w:sz w:val="12"/>
        </w:rPr>
        <w:t xml:space="preserve"> | rel. Alexandre de Moraes</w:t>
      </w:r>
    </w:p>
    <w:p>
      <w:pPr>
        <w:ind w:left="288"/>
      </w:pPr>
      <w:r>
        <w:rPr>
          <w:color w:val="1E1E1E"/>
          <w:sz w:val="18"/>
        </w:rPr>
        <w:t>(...) a circunstância de oportunizar aos juízes advindos do critério de antiguidade a preferência na escolha de uma dentre as sete varas vagas, acaba por ignorar completamente a necessária vinculação de cada unidade vaga ao seu respectivo critério de merecimento ou antiguidade, cuja alternância deve seguir conforme a ordem cronológica das vacâncias. Ou seja, a desvinculação da vara vaga do seu respectivo critério de merecimento ou antiguidade – previamente estabelecido no momento da vacância – distorce a exigência constitucional de alternância entre merecimento e antiguidade, em completo desre</w:t>
      </w:r>
    </w:p>
    <w:p>
      <w:pPr>
        <w:ind w:left="288"/>
      </w:pPr>
      <w:r>
        <w:rPr>
          <w:b/>
          <w:color w:val="003CA0"/>
          <w:sz w:val="16"/>
        </w:rPr>
        <w:t>[MS 35.957 AgR, voto do rel. min. Alexandre de Moraes, j. 14-12-2018, 1ª T, DJE de 6-2-2019.]</w:t>
      </w:r>
    </w:p>
    <w:p>
      <w:pPr>
        <w:ind w:left="288"/>
      </w:pPr>
      <w:r>
        <w:rPr>
          <w:color w:val="8C8C8C"/>
          <w:sz w:val="12"/>
        </w:rPr>
        <w:t>cf-art-93-inc-II</w:t>
      </w:r>
      <w:r>
        <w:rPr>
          <w:color w:val="003CA0"/>
          <w:sz w:val="12"/>
        </w:rPr>
        <w:t xml:space="preserve"> | MS 26.366</w:t>
      </w:r>
      <w:r>
        <w:rPr>
          <w:color w:val="003CA0"/>
          <w:sz w:val="12"/>
        </w:rPr>
        <w:t xml:space="preserve"> | rel. Marco Aurélio</w:t>
      </w:r>
    </w:p>
    <w:p>
      <w:pPr>
        <w:ind w:left="288"/>
      </w:pPr>
      <w:r>
        <w:rPr>
          <w:color w:val="1E1E1E"/>
          <w:sz w:val="18"/>
        </w:rPr>
        <w:t>O concurso de remoção pressupõe encontrar-se vago o cargo envolvido. (...) Ocorrendo a modificação da natureza do juízo, passando este a ser de entrância de maior envergadura, cumpre preservar a situação do magistrado que o exerce.</w:t>
      </w:r>
    </w:p>
    <w:p>
      <w:pPr>
        <w:ind w:left="288"/>
      </w:pPr>
      <w:r>
        <w:rPr>
          <w:b/>
          <w:color w:val="003CA0"/>
          <w:sz w:val="16"/>
        </w:rPr>
        <w:t>[MS 26.366, rel. min. Marco Aurélio, j. 24-6-2014, 1ª T, DJE de 23-9-2014.]</w:t>
      </w:r>
    </w:p>
    <w:p>
      <w:pPr>
        <w:ind w:left="288"/>
      </w:pPr>
      <w:r>
        <w:rPr>
          <w:color w:val="8C8C8C"/>
          <w:sz w:val="12"/>
        </w:rPr>
        <w:t>cf-art-93-inc-II</w:t>
      </w:r>
      <w:r>
        <w:rPr>
          <w:color w:val="003CA0"/>
          <w:sz w:val="12"/>
        </w:rPr>
        <w:t xml:space="preserve"> | MS 28.254</w:t>
      </w:r>
      <w:r>
        <w:rPr>
          <w:color w:val="003CA0"/>
          <w:sz w:val="12"/>
        </w:rPr>
        <w:t xml:space="preserve"> | rel. Ricardo Lewandowski</w:t>
      </w:r>
    </w:p>
    <w:p>
      <w:pPr>
        <w:ind w:left="288"/>
      </w:pPr>
      <w:r>
        <w:rPr>
          <w:color w:val="1E1E1E"/>
          <w:sz w:val="18"/>
        </w:rPr>
        <w:t>(...) o ato de composição das turmas recursais não caracteriza promoção de magistrado para outra entrância ou mesmo de remoção, porém de mera designação para integrar órgão de primeiro grau, não se impondo, portanto, a observância dos critérios de merecimento ou antiguidade. Nessa linha, a definição dos critérios para composição da turma recursal é ato interna corporis do respectivo tribunal.</w:t>
      </w:r>
    </w:p>
    <w:p>
      <w:pPr>
        <w:ind w:left="288"/>
      </w:pPr>
      <w:r>
        <w:rPr>
          <w:b/>
          <w:color w:val="003CA0"/>
          <w:sz w:val="16"/>
        </w:rPr>
        <w:t>[MS 28.254 AgR, rel. min. Ricardo Lewandowski, j. 24-3-2011, P, DJE de 12-4-2011.]</w:t>
      </w:r>
    </w:p>
    <w:p>
      <w:pPr>
        <w:ind w:left="288"/>
      </w:pPr>
      <w:r>
        <w:rPr>
          <w:color w:val="8C8C8C"/>
          <w:sz w:val="12"/>
        </w:rPr>
        <w:t>cf-art-93-inc-II</w:t>
      </w:r>
      <w:r>
        <w:rPr>
          <w:color w:val="003CA0"/>
          <w:sz w:val="12"/>
        </w:rPr>
        <w:t xml:space="preserve"> | RCL 2.772</w:t>
      </w:r>
      <w:r>
        <w:rPr>
          <w:color w:val="003CA0"/>
          <w:sz w:val="12"/>
        </w:rPr>
        <w:t xml:space="preserve"> | rel. Cezar Peluso</w:t>
      </w:r>
    </w:p>
    <w:p>
      <w:pPr>
        <w:ind w:left="288"/>
      </w:pPr>
      <w:r>
        <w:rPr>
          <w:color w:val="1E1E1E"/>
          <w:sz w:val="18"/>
        </w:rPr>
        <w:t>Magistrado. Promoção por merecimento. Vaga única em TRT. Lista tríplice. Composição. Mandado de segurança concedido a juíza que era um dos três únicos magistrados que, à data da confecção, cumpriam todos os requisitos constitucionais. Trânsito em julgado. Recomposição necessária da lista com o nome daqueles três magistrados. Sessenta e cinco anos completados por um deles no curso do processo. Irrelevância. Atuação da lei no momento em que incidiu. Impossibilidade de a duração do processo reverter em dano de quem tem razão.</w:t>
      </w:r>
    </w:p>
    <w:p>
      <w:pPr>
        <w:ind w:left="288"/>
      </w:pPr>
      <w:r>
        <w:rPr>
          <w:b/>
          <w:color w:val="003CA0"/>
          <w:sz w:val="16"/>
        </w:rPr>
        <w:t>[Rcl 2.772 ED, rel. min. Cezar Peluso, j. 23-8-2006, P, DJ de 23-2-2007.]</w:t>
      </w:r>
    </w:p>
    <w:p>
      <w:pPr>
        <w:ind w:left="288"/>
      </w:pPr>
      <w:r>
        <w:rPr>
          <w:color w:val="8C8C8C"/>
          <w:sz w:val="12"/>
        </w:rPr>
        <w:t>cf-art-93-inc-II-ali-a</w:t>
      </w:r>
      <w:r>
        <w:rPr>
          <w:color w:val="003CA0"/>
          <w:sz w:val="12"/>
        </w:rPr>
        <w:t xml:space="preserve"> | MS 30.585</w:t>
      </w:r>
      <w:r>
        <w:rPr>
          <w:color w:val="003CA0"/>
          <w:sz w:val="12"/>
        </w:rPr>
        <w:t xml:space="preserve"> | rel. Ricardo Lewandowski</w:t>
      </w:r>
    </w:p>
    <w:p>
      <w:pPr>
        <w:ind w:left="288"/>
      </w:pPr>
      <w:r>
        <w:rPr>
          <w:color w:val="1E1E1E"/>
          <w:sz w:val="18"/>
        </w:rPr>
        <w:t>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inciso III do mencionado dispositivo que não altera tal entendimento.</w:t>
      </w:r>
    </w:p>
    <w:p>
      <w:pPr>
        <w:ind w:left="288"/>
      </w:pPr>
      <w:r>
        <w:rPr>
          <w:b/>
          <w:color w:val="003CA0"/>
          <w:sz w:val="16"/>
        </w:rPr>
        <w:t>[MS 30.585, rel. min. Ricardo Lewandowski, j. 12-9-2012, P, DJE de 28-11-2012.]</w:t>
      </w:r>
    </w:p>
    <w:p>
      <w:pPr>
        <w:ind w:left="288"/>
      </w:pPr>
      <w:r>
        <w:rPr>
          <w:color w:val="8C8C8C"/>
          <w:sz w:val="12"/>
        </w:rPr>
        <w:t>cf-art-93-inc-II-ali-a</w:t>
      </w:r>
      <w:r>
        <w:rPr>
          <w:color w:val="003CA0"/>
          <w:sz w:val="12"/>
        </w:rPr>
        <w:t xml:space="preserve"> | MS 31.375</w:t>
      </w:r>
      <w:r>
        <w:rPr>
          <w:color w:val="003CA0"/>
          <w:sz w:val="12"/>
        </w:rPr>
        <w:t xml:space="preserve"> | rel. Cármen Lúcia</w:t>
      </w:r>
    </w:p>
    <w:p>
      <w:pPr>
        <w:ind w:left="288"/>
      </w:pPr>
      <w:r>
        <w:rPr>
          <w:color w:val="1E1E1E"/>
          <w:sz w:val="18"/>
        </w:rPr>
        <w:t>= MS 31.375, rel. min. Cármen Lúcia, j. 26-6-2013, P, DJE de 8-8-2013 No que diz respeito ao mérito, entendo que, da conjugação dos arts. 93, II, b, e III; 107, II, da CF com os arts. 80, 82, 84 e 88 da LC 35 de 14-6-1979 – Loman – a confecção de lista quádrupla, ao invés de duas listas tríplices, corresponde à prática legítima. Primeiro, porque o critério da lista quádrupla, no caso de existência de duas vagas a serem preenchidas, equivale ao de duas listas triplas, já que, escolhido inicialmente um dos nomes entre quatro, ainda restam três nomes para a segunda escolha, como bem ponderou o mi</w:t>
      </w:r>
    </w:p>
    <w:p>
      <w:pPr>
        <w:ind w:left="288"/>
      </w:pPr>
      <w:r>
        <w:rPr>
          <w:b/>
          <w:color w:val="003CA0"/>
          <w:sz w:val="16"/>
        </w:rPr>
        <w:t>[MS 23.789, voto da rel. min. Ellen Gracie, j. 30-6-2005, P, DJ de 23-9-2005.]</w:t>
      </w:r>
    </w:p>
    <w:p>
      <w:pPr>
        <w:ind w:left="288"/>
      </w:pPr>
      <w:r>
        <w:rPr>
          <w:color w:val="8C8C8C"/>
          <w:sz w:val="12"/>
        </w:rPr>
        <w:t>cf-art-93-inc-II-ali-a</w:t>
      </w:r>
      <w:r>
        <w:rPr>
          <w:color w:val="003CA0"/>
          <w:sz w:val="12"/>
        </w:rPr>
        <w:t xml:space="preserve"> | MS 21.571</w:t>
      </w:r>
      <w:r>
        <w:rPr>
          <w:color w:val="003CA0"/>
          <w:sz w:val="12"/>
        </w:rPr>
        <w:t xml:space="preserve"> | rel. Sepúlveda Pertence</w:t>
      </w:r>
    </w:p>
    <w:p>
      <w:pPr>
        <w:ind w:left="288"/>
      </w:pPr>
      <w:r>
        <w:rPr>
          <w:color w:val="1E1E1E"/>
          <w:sz w:val="18"/>
        </w:rPr>
        <w:t>Poder Judiciário: promoção compulsória do magistrado incluído por três vezes consecutivas em lista de merecimento (CF, art. 93, II, a): não incidência, quando as duas listas anteriores se destinaram à composição de TRT diverso, criado por desmembramento da área territorial de jurisdição daquele a que se destina a terceira.</w:t>
      </w:r>
    </w:p>
    <w:p>
      <w:pPr>
        <w:ind w:left="288"/>
      </w:pPr>
      <w:r>
        <w:rPr>
          <w:b/>
          <w:color w:val="003CA0"/>
          <w:sz w:val="16"/>
        </w:rPr>
        <w:t>[MS 21.571, rel. min. Sepúlveda Pertence, j. 29-4-1993, P, DJ de 13-6-1997.]</w:t>
      </w:r>
    </w:p>
    <w:p>
      <w:pPr>
        <w:ind w:left="288"/>
      </w:pPr>
      <w:r>
        <w:rPr>
          <w:color w:val="8C8C8C"/>
          <w:sz w:val="12"/>
        </w:rPr>
        <w:t>cf-art-93-inc-II-ali-a</w:t>
      </w:r>
    </w:p>
    <w:p>
      <w:pPr>
        <w:ind w:left="288"/>
      </w:pPr>
      <w:r>
        <w:rPr>
          <w:color w:val="1E1E1E"/>
          <w:sz w:val="18"/>
        </w:rPr>
        <w:t>b) a promoção por merecimento pressupõe dois anos de exercício na respectiva entrância e integrar o juiz a primeira quinta parte da lista de antiguidade desta, salvo se não houver com tais requisitos quem aceite o lugar vago;</w:t>
      </w:r>
    </w:p>
    <w:p>
      <w:pPr>
        <w:ind w:left="288"/>
      </w:pPr>
      <w:r>
        <w:rPr>
          <w:color w:val="8C8C8C"/>
          <w:sz w:val="12"/>
        </w:rPr>
        <w:t>cf-art-93-inc-II-ali-a</w:t>
      </w:r>
      <w:r>
        <w:rPr>
          <w:color w:val="003CA0"/>
          <w:sz w:val="12"/>
        </w:rPr>
        <w:t xml:space="preserve"> | MS 23.789</w:t>
      </w:r>
      <w:r>
        <w:rPr>
          <w:color w:val="003CA0"/>
          <w:sz w:val="12"/>
        </w:rPr>
        <w:t xml:space="preserve"> | rel. Ellen Gracie</w:t>
      </w:r>
    </w:p>
    <w:p>
      <w:pPr>
        <w:ind w:left="288"/>
      </w:pPr>
      <w:r>
        <w:rPr>
          <w:color w:val="1E1E1E"/>
          <w:sz w:val="18"/>
        </w:rPr>
        <w:t>A teor dos arts. 93, II, b, e III; 107, II, da CF e 80, 82, 84 e 88 da Loman, a confecção de lista quádrupla, ao invés de duas listas tríplices, é legítima.</w:t>
      </w:r>
    </w:p>
    <w:p>
      <w:pPr>
        <w:ind w:left="288"/>
      </w:pPr>
      <w:r>
        <w:rPr>
          <w:b/>
          <w:color w:val="003CA0"/>
          <w:sz w:val="16"/>
        </w:rPr>
        <w:t>[MS 23.789, rel. min. Ellen Gracie, j. 30-6-2005, P, DJ de 23-9-2005.]</w:t>
      </w:r>
    </w:p>
    <w:p>
      <w:pPr>
        <w:ind w:left="288"/>
      </w:pPr>
      <w:r>
        <w:rPr>
          <w:color w:val="8C8C8C"/>
          <w:sz w:val="12"/>
        </w:rPr>
        <w:t>cf-art-93-inc-II-ali-a</w:t>
      </w:r>
      <w:r>
        <w:rPr>
          <w:color w:val="003CA0"/>
          <w:sz w:val="12"/>
        </w:rPr>
        <w:t xml:space="preserve"> | ADI 281</w:t>
      </w:r>
      <w:r>
        <w:rPr>
          <w:color w:val="003CA0"/>
          <w:sz w:val="12"/>
        </w:rPr>
        <w:t xml:space="preserve"> | rel. Marco Aurélio</w:t>
      </w:r>
    </w:p>
    <w:p>
      <w:pPr>
        <w:ind w:left="288"/>
      </w:pPr>
      <w:r>
        <w:rPr>
          <w:color w:val="1E1E1E"/>
          <w:sz w:val="18"/>
        </w:rPr>
        <w:t>A lista tríplice elaborada pelo tribunal deve obedecer aos dois requisitos previstos no art. 93, II, b, da Constituição do Brasil (redação anterior à EC 45/2004), levando-se em conta as seguintes premissas, assentadas pela jurisprudência desta Corte: a) Para os lugares remanescentes na lista tríplice, na ausência de juízes que atendam cumulativamente às condições ali estabelecidas, apura-se novamente a primeira quinta parte dos mais antigos, incluídos todos os magistrados. Precedentes (ADI 281, rel. min. Marco Aurélio, RE 239.595, rel. min. Sepúlveda Pertence); b) A quinta parte da lista de an</w:t>
      </w:r>
    </w:p>
    <w:p>
      <w:pPr>
        <w:ind w:left="288"/>
      </w:pPr>
      <w:r>
        <w:rPr>
          <w:b/>
          <w:color w:val="003CA0"/>
          <w:sz w:val="16"/>
        </w:rPr>
        <w:t>[MS 24.575, rel. min. Eros Grau, j. 15-12-2004, P, DJ de 4-3-2005.]</w:t>
      </w:r>
    </w:p>
    <w:p>
      <w:pPr>
        <w:ind w:left="288"/>
      </w:pPr>
      <w:r>
        <w:rPr>
          <w:color w:val="8C8C8C"/>
          <w:sz w:val="12"/>
        </w:rPr>
        <w:t>cf-art-93-inc-II-ali-a</w:t>
      </w:r>
      <w:r>
        <w:rPr>
          <w:color w:val="003CA0"/>
          <w:sz w:val="12"/>
        </w:rPr>
        <w:t xml:space="preserve"> | ADI 581</w:t>
      </w:r>
      <w:r>
        <w:rPr>
          <w:color w:val="003CA0"/>
          <w:sz w:val="12"/>
        </w:rPr>
        <w:t xml:space="preserve"> | rel. Cezar Peluso</w:t>
      </w:r>
    </w:p>
    <w:p>
      <w:pPr>
        <w:ind w:left="288"/>
      </w:pPr>
      <w:r>
        <w:rPr>
          <w:color w:val="1E1E1E"/>
          <w:sz w:val="18"/>
        </w:rPr>
        <w:t>Inteligência do art. 93, II, b e d, da CF e da interpretação fixada na ADI 581/DF. Ofende direito líquido e certo de magistrado que, sendo um dos três únicos juízes com plenas condições constitucionais de promoção por merecimento, é preterido, sem recusa em procedimento próprio e específico, por outros dois que não pertencem à primeira quinta parte da lista de antiguidade, na composição de lista tríplice para o preenchimento de uma única vaga.</w:t>
      </w:r>
    </w:p>
    <w:p>
      <w:pPr>
        <w:ind w:left="288"/>
      </w:pPr>
      <w:r>
        <w:rPr>
          <w:b/>
          <w:color w:val="003CA0"/>
          <w:sz w:val="16"/>
        </w:rPr>
        <w:t>[MS 24.414, rel. min. Cezar Peluso, j. 3-9-2003, P, DJ de 21-11-2003.]</w:t>
      </w:r>
    </w:p>
    <w:p>
      <w:pPr>
        <w:ind w:left="288"/>
      </w:pPr>
      <w:r>
        <w:rPr>
          <w:color w:val="8C8C8C"/>
          <w:sz w:val="12"/>
        </w:rPr>
        <w:t>cf-art-93-inc-II-ali-a</w:t>
      </w:r>
      <w:r>
        <w:rPr>
          <w:color w:val="003CA0"/>
          <w:sz w:val="12"/>
        </w:rPr>
        <w:t xml:space="preserve"> | ADI 581</w:t>
      </w:r>
      <w:r>
        <w:rPr>
          <w:color w:val="003CA0"/>
          <w:sz w:val="12"/>
        </w:rPr>
        <w:t xml:space="preserve"> | rel. Sepúlveda Pertence</w:t>
      </w:r>
    </w:p>
    <w:p>
      <w:pPr>
        <w:ind w:left="288"/>
      </w:pPr>
      <w:r>
        <w:rPr>
          <w:color w:val="1E1E1E"/>
          <w:sz w:val="18"/>
        </w:rPr>
        <w:t>Magistratura: promoção por merecimento: satisfação dos pressupostos do art. 93, II, b, CF, por um único juiz de direito: reconhecimento do seu direito a integrar a lista tríplice, só admitida à inclusão dos que não satisfaçam os pressupostos constitucionais para preencher os lugares nela remanescentes (STF, ADI 581): interesse na inclusão em lista tríplice, não obstante a compulsoriedade da escolha do mais votado (STF, AO 70 e ADI 189), dada a ressalva da promoção obrigatória do que nele figure por três vezes consecutivas ou cinco alternadas (CF, art. 93, II, a).</w:t>
      </w:r>
    </w:p>
    <w:p>
      <w:pPr>
        <w:ind w:left="288"/>
      </w:pPr>
      <w:r>
        <w:rPr>
          <w:b/>
          <w:color w:val="003CA0"/>
          <w:sz w:val="16"/>
        </w:rPr>
        <w:t>[RE 239.595, rel. min. Sepúlveda Pertence, j. 30-3-1999, 1ª T, DJ de 21-5-1999.]</w:t>
      </w:r>
    </w:p>
    <w:p>
      <w:pPr>
        <w:ind w:left="288"/>
      </w:pPr>
      <w:r>
        <w:rPr>
          <w:color w:val="8C8C8C"/>
          <w:sz w:val="12"/>
        </w:rPr>
        <w:t>cf-art-93-inc-II-ali-a</w:t>
      </w:r>
      <w:r>
        <w:rPr>
          <w:color w:val="003CA0"/>
          <w:sz w:val="12"/>
        </w:rPr>
        <w:t xml:space="preserve"> | MS 21.759</w:t>
      </w:r>
      <w:r>
        <w:rPr>
          <w:color w:val="003CA0"/>
          <w:sz w:val="12"/>
        </w:rPr>
        <w:t xml:space="preserve"> | rel. Sydney Sanches</w:t>
      </w:r>
    </w:p>
    <w:p>
      <w:pPr>
        <w:ind w:left="288"/>
      </w:pPr>
      <w:r>
        <w:rPr>
          <w:color w:val="1E1E1E"/>
          <w:sz w:val="18"/>
        </w:rPr>
        <w:t>(...) o TRT 2ª Região, com sede em São Paulo, teve de indicar doze juízes togados vitalícios, seis por antiguidade e seis por merecimento. Excluídos os indicados por antiguidade, e os que precederam aos demais, na lista de merecimento, sobejaram, dentre outros, além dos impetrantes, os que vieram a ser escolhidos e nomeados, todos os quais se encontravam, com aquelas exclusões, na primeira quinta parte da lista de antiguidade na entrância e com exercício nela havia mais de dois anos, satisfeitos, assim, os requisitos do art. 115, parágrafo único, I, c/c o art. 93, II, b, da CF. Em se tratando,</w:t>
      </w:r>
    </w:p>
    <w:p>
      <w:pPr>
        <w:ind w:left="288"/>
      </w:pPr>
      <w:r>
        <w:rPr>
          <w:b/>
          <w:color w:val="003CA0"/>
          <w:sz w:val="16"/>
        </w:rPr>
        <w:t>[MS 21.759, rel. min. Sydney Sanches, j. 14-3-1996, P, DJ de 10-5-1996.]</w:t>
      </w:r>
    </w:p>
    <w:p>
      <w:pPr>
        <w:ind w:left="288"/>
      </w:pPr>
      <w:r>
        <w:rPr>
          <w:color w:val="8C8C8C"/>
          <w:sz w:val="12"/>
        </w:rPr>
        <w:t>cf-art-93-inc-II-ali-a</w:t>
      </w:r>
      <w:r>
        <w:rPr>
          <w:color w:val="003CA0"/>
          <w:sz w:val="12"/>
        </w:rPr>
        <w:t xml:space="preserve"> | MS 21.631</w:t>
      </w:r>
      <w:r>
        <w:rPr>
          <w:color w:val="003CA0"/>
          <w:sz w:val="12"/>
        </w:rPr>
        <w:t xml:space="preserve"> | rel. Ilmar Galvão</w:t>
      </w:r>
    </w:p>
    <w:p>
      <w:pPr>
        <w:ind w:left="288"/>
      </w:pPr>
      <w:r>
        <w:rPr>
          <w:color w:val="1E1E1E"/>
          <w:sz w:val="18"/>
        </w:rPr>
        <w:t>Inaplicabilidade da regra do art. 93, II, b, da CF à promoção de juízes federais, sujeita que está ela a um único requisito, implemento de cinco anos de exercício, conforme disposto no art. 107, II, da mesma Carta, norma especial em cujo favor, por isso mesmo, se resolve o aparente conflito existente entre os dois dispositivos. Mesmo porque, havendo a Justiça Federal sido organizada sem entrâncias, considerados de um mesmo grau todas as seções judiciárias distribuídas pelas unidades federadas, não resta espaço para falar-se na exigência de dois anos de exercício na mesma entrância, nem, conseq</w:t>
      </w:r>
    </w:p>
    <w:p>
      <w:pPr>
        <w:ind w:left="288"/>
      </w:pPr>
      <w:r>
        <w:rPr>
          <w:b/>
          <w:color w:val="003CA0"/>
          <w:sz w:val="16"/>
        </w:rPr>
        <w:t>[MS 21.631, rel. min. Ilmar Galvão, j. 9-6-1993, P, DJ de 4-8-2000.]</w:t>
      </w:r>
    </w:p>
    <w:p>
      <w:pPr>
        <w:ind w:left="288"/>
      </w:pPr>
      <w:r>
        <w:rPr>
          <w:color w:val="8C8C8C"/>
          <w:sz w:val="12"/>
        </w:rPr>
        <w:t>cf-art-93-inc-II-ali-a</w:t>
      </w:r>
      <w:r>
        <w:rPr>
          <w:color w:val="003CA0"/>
          <w:sz w:val="12"/>
        </w:rPr>
        <w:t xml:space="preserve"> | MS 27.164</w:t>
      </w:r>
      <w:r>
        <w:rPr>
          <w:color w:val="003CA0"/>
          <w:sz w:val="12"/>
        </w:rPr>
        <w:t xml:space="preserve"> | rel. Ayres Britto</w:t>
      </w:r>
    </w:p>
    <w:p>
      <w:pPr>
        <w:ind w:left="288"/>
      </w:pPr>
      <w:r>
        <w:rPr>
          <w:color w:val="1E1E1E"/>
          <w:sz w:val="18"/>
        </w:rPr>
        <w:t>= MS 27.164 AgR, rel. min. Ayres Britto, j. 16-12-2010, P, DJE de 2-3-2011 c) aferição do merecimento conforme o desempenho e pelos critérios objetivos de produtividade e presteza no exercício da jurisdição e pela freqüência e aproveitamento em cursos oficiais ou reconhecidos de aperfeiçoamento; (Redação da EC 45/2004)</w:t>
      </w:r>
    </w:p>
    <w:p>
      <w:pPr>
        <w:ind w:left="288"/>
      </w:pPr>
      <w:r>
        <w:rPr>
          <w:color w:val="8C8C8C"/>
          <w:sz w:val="12"/>
        </w:rPr>
        <w:t>cf-art-93-inc-II-ali-a</w:t>
      </w:r>
      <w:r>
        <w:rPr>
          <w:color w:val="003CA0"/>
          <w:sz w:val="12"/>
        </w:rPr>
        <w:t xml:space="preserve"> | MS 27.960</w:t>
      </w:r>
      <w:r>
        <w:rPr>
          <w:color w:val="003CA0"/>
          <w:sz w:val="12"/>
        </w:rPr>
        <w:t xml:space="preserve"> | rel. Ricardo Lewandowski</w:t>
      </w:r>
    </w:p>
    <w:p>
      <w:pPr>
        <w:ind w:left="288"/>
      </w:pPr>
      <w:r>
        <w:rPr>
          <w:color w:val="1E1E1E"/>
          <w:sz w:val="18"/>
        </w:rPr>
        <w:t>A aferição do merecimento é feita levando-se em conta diversos critérios, não apenas dados objetivos, mas também outros relativos à produtividade e presteza no exercício da jurisdição.</w:t>
      </w:r>
    </w:p>
    <w:p>
      <w:pPr>
        <w:ind w:left="288"/>
      </w:pPr>
      <w:r>
        <w:rPr>
          <w:b/>
          <w:color w:val="003CA0"/>
          <w:sz w:val="16"/>
        </w:rPr>
        <w:t>[MS 27.960 AgR, rel. min. Ricardo Lewandowski, j. 27-10-2011, P, DJE de 11-11-2011.]</w:t>
      </w:r>
    </w:p>
    <w:p>
      <w:pPr>
        <w:ind w:left="288"/>
      </w:pPr>
      <w:r>
        <w:rPr>
          <w:color w:val="8C8C8C"/>
          <w:sz w:val="12"/>
        </w:rPr>
        <w:t>cf-art-93-inc-II-ali-a</w:t>
      </w:r>
    </w:p>
    <w:p>
      <w:pPr>
        <w:ind w:left="288"/>
      </w:pPr>
      <w:r>
        <w:rPr>
          <w:color w:val="1E1E1E"/>
          <w:sz w:val="18"/>
        </w:rPr>
        <w:t>d) na apuração de antiguidade, o tribunal somente poderá recusar o juiz mais antigo pelo voto fundamentado de dois terços de seus membros, conforme procedimento próprio, e assegurada ampla defesa, repetindo-se a votação até fixar-se a indicação; (Redação da EC 45/2004)</w:t>
      </w:r>
    </w:p>
    <w:p>
      <w:pPr>
        <w:ind w:left="144"/>
      </w:pPr>
      <w:r>
        <w:rPr>
          <w:b/>
          <w:color w:val="B45A00"/>
          <w:sz w:val="16"/>
        </w:rPr>
        <w:t>CONTROLE CONCENTRADO</w:t>
      </w:r>
    </w:p>
    <w:p>
      <w:pPr>
        <w:ind w:left="288"/>
      </w:pPr>
      <w:r>
        <w:rPr>
          <w:color w:val="8C8C8C"/>
          <w:sz w:val="12"/>
        </w:rPr>
        <w:t>cf-art-93-inc-II-ali-a</w:t>
      </w:r>
      <w:r>
        <w:rPr>
          <w:color w:val="003CA0"/>
          <w:sz w:val="12"/>
        </w:rPr>
        <w:t xml:space="preserve"> | ADI 1.303</w:t>
      </w:r>
      <w:r>
        <w:rPr>
          <w:color w:val="003CA0"/>
          <w:sz w:val="12"/>
        </w:rPr>
        <w:t xml:space="preserve"> | rel. Maurício Corrêa</w:t>
      </w:r>
    </w:p>
    <w:p>
      <w:pPr>
        <w:ind w:left="288"/>
      </w:pPr>
      <w:r>
        <w:rPr>
          <w:color w:val="1E1E1E"/>
          <w:sz w:val="18"/>
        </w:rPr>
        <w:t>(...) a resolução administrativa que alterou a redação do § 2º do art. 45 do Regimento Interno do TRT/SC manteve o critério da escolha pelo voto secreto; se é certo que a CF, em seu art. 93, II, d, faculta a recusa do juiz mais antigo para a promoção, impondo o quorum de 2/3, também não é menos certo que, em se tratando de um dos tipos de decisão administrativa, venha ela desacompanhada da respectiva motivação, a teor do enunciado do mesmo art. 93, em seu inciso X (...).</w:t>
      </w:r>
    </w:p>
    <w:p>
      <w:pPr>
        <w:ind w:left="288"/>
      </w:pPr>
      <w:r>
        <w:rPr>
          <w:b/>
          <w:color w:val="003CA0"/>
          <w:sz w:val="16"/>
        </w:rPr>
        <w:t>[ADI 1.303 MC, rel. min. Maurício Corrêa, j. 14-12-1995, P, DJ de 1º-9-2000.]</w:t>
      </w:r>
    </w:p>
    <w:p>
      <w:pPr>
        <w:ind w:left="144"/>
      </w:pPr>
      <w:r>
        <w:rPr>
          <w:b/>
          <w:color w:val="B45A00"/>
          <w:sz w:val="16"/>
        </w:rPr>
        <w:t>JULGADOS CORRELATOS</w:t>
      </w:r>
    </w:p>
    <w:p>
      <w:pPr>
        <w:ind w:left="288"/>
      </w:pPr>
      <w:r>
        <w:rPr>
          <w:color w:val="8C8C8C"/>
          <w:sz w:val="12"/>
        </w:rPr>
        <w:t>cf-art-93-inc-II-ali-a</w:t>
      </w:r>
      <w:r>
        <w:rPr>
          <w:color w:val="003CA0"/>
          <w:sz w:val="12"/>
        </w:rPr>
        <w:t xml:space="preserve"> | MS 31.361</w:t>
      </w:r>
      <w:r>
        <w:rPr>
          <w:color w:val="003CA0"/>
          <w:sz w:val="12"/>
        </w:rPr>
        <w:t xml:space="preserve"> | rel. Marco Aurélio</w:t>
      </w:r>
    </w:p>
    <w:p>
      <w:pPr>
        <w:ind w:left="288"/>
      </w:pPr>
      <w:r>
        <w:rPr>
          <w:color w:val="1E1E1E"/>
          <w:sz w:val="18"/>
        </w:rPr>
        <w:t>O quórum de 2/3 de membros efetivos do tribunal ou de seu órgão especial, para o fim de rejeição de juiz relativamente à promoção por antiguidade, há de ser computado consideradas as cadeiras preenchidas e aqueles em condições legais de votar, observadas ausências eventuais.</w:t>
      </w:r>
    </w:p>
    <w:p>
      <w:pPr>
        <w:ind w:left="288"/>
      </w:pPr>
      <w:r>
        <w:rPr>
          <w:b/>
          <w:color w:val="003CA0"/>
          <w:sz w:val="16"/>
        </w:rPr>
        <w:t>[MS 31.361, rel. min. Marco Aurélio, j. 11-6-2014, 1ª T, DJE de 16-10-2014.]</w:t>
      </w:r>
    </w:p>
    <w:p>
      <w:pPr>
        <w:ind w:left="288"/>
      </w:pPr>
      <w:r>
        <w:rPr>
          <w:color w:val="8C8C8C"/>
          <w:sz w:val="12"/>
        </w:rPr>
        <w:t>cf-art-93-inc-II-ali-a</w:t>
      </w:r>
      <w:r>
        <w:rPr>
          <w:color w:val="003CA0"/>
          <w:sz w:val="12"/>
        </w:rPr>
        <w:t xml:space="preserve"> | MS 24.499</w:t>
      </w:r>
      <w:r>
        <w:rPr>
          <w:color w:val="003CA0"/>
          <w:sz w:val="12"/>
        </w:rPr>
        <w:t xml:space="preserve"> | rel. Eros Grau</w:t>
      </w:r>
    </w:p>
    <w:p>
      <w:pPr>
        <w:ind w:left="288"/>
      </w:pPr>
      <w:r>
        <w:rPr>
          <w:color w:val="1E1E1E"/>
          <w:sz w:val="18"/>
        </w:rPr>
        <w:t>A impetração de mandado de segurança por desembargadores federais que, espontaneamente, deixaram de comparecer a sessão administrativa para deliberação de promoção de juízes reclama a existência de algum prejuízo a direito subjetivo, decorrente da nomeação e posse dos novos magistrados. Os agravantes deram causa à nulidade que ora vêm impugnar, em clara ofensa ao princípio de que ninguém pode alegar a própria torpeza (nemo auditur propriam turpitudinem allegans). A posse dos juízes federais promovidos por antiguidade implica a perda de objeto do writ. Em se tratando de promoção pelo critério o</w:t>
      </w:r>
    </w:p>
    <w:p>
      <w:pPr>
        <w:ind w:left="288"/>
      </w:pPr>
      <w:r>
        <w:rPr>
          <w:b/>
          <w:color w:val="003CA0"/>
          <w:sz w:val="16"/>
        </w:rPr>
        <w:t>[MS 24.499 AgR, rel. min. Eros Grau, j. 6-4-2005, P, DJ de 6-5-2005.]</w:t>
      </w:r>
    </w:p>
    <w:p>
      <w:pPr>
        <w:ind w:left="288"/>
      </w:pPr>
      <w:r>
        <w:rPr>
          <w:color w:val="8C8C8C"/>
          <w:sz w:val="12"/>
        </w:rPr>
        <w:t>cf-art-93-inc-II-ali-a</w:t>
      </w:r>
      <w:r>
        <w:rPr>
          <w:color w:val="003CA0"/>
          <w:sz w:val="12"/>
        </w:rPr>
        <w:t xml:space="preserve"> | MS 24.501</w:t>
      </w:r>
      <w:r>
        <w:rPr>
          <w:color w:val="003CA0"/>
          <w:sz w:val="12"/>
        </w:rPr>
        <w:t xml:space="preserve"> | rel. Carlos Velloso</w:t>
      </w:r>
    </w:p>
    <w:p>
      <w:pPr>
        <w:ind w:left="288"/>
      </w:pPr>
      <w:r>
        <w:rPr>
          <w:color w:val="1E1E1E"/>
          <w:sz w:val="18"/>
        </w:rPr>
        <w:t>A recusa do juiz mais antigo – CF, art. 93, II, d – exige processo de votação em que seja examinado, exclusivamente, o nome deste. A decisão há de ser motivada – CF, art. 93, X. Essa motivação, entretanto, poderá constar da ata de julgamento, ou ficar em apenso a esta, para conhecimento do juiz recusado, a fim de que possa ele, se for o caso, insurgir-se, pelos meios processuais regulares, contra a decisão.</w:t>
      </w:r>
    </w:p>
    <w:p>
      <w:pPr>
        <w:ind w:left="288"/>
      </w:pPr>
      <w:r>
        <w:rPr>
          <w:b/>
          <w:color w:val="003CA0"/>
          <w:sz w:val="16"/>
        </w:rPr>
        <w:t>[MS 24.501, rel. min. Carlos Velloso, j. 18-2-2004, P, DJ de 6-8-2004.]</w:t>
      </w:r>
    </w:p>
    <w:p>
      <w:pPr>
        <w:ind w:left="288"/>
      </w:pPr>
      <w:r>
        <w:rPr>
          <w:color w:val="8C8C8C"/>
          <w:sz w:val="12"/>
        </w:rPr>
        <w:t>cf-art-93-inc-II-ali-a</w:t>
      </w:r>
      <w:r>
        <w:rPr>
          <w:color w:val="003CA0"/>
          <w:sz w:val="12"/>
        </w:rPr>
        <w:t xml:space="preserve"> | MS 24.305</w:t>
      </w:r>
      <w:r>
        <w:rPr>
          <w:color w:val="003CA0"/>
          <w:sz w:val="12"/>
        </w:rPr>
        <w:t xml:space="preserve"> | rel. Gilmar Mendes</w:t>
      </w:r>
    </w:p>
    <w:p>
      <w:pPr>
        <w:ind w:left="288"/>
      </w:pPr>
      <w:r>
        <w:rPr>
          <w:color w:val="1E1E1E"/>
          <w:sz w:val="18"/>
        </w:rPr>
        <w:t>= MS 24.305, rel. min. Gilmar Mendes, j. 11-12-2002, P, DJ de 19-12-2003</w:t>
      </w:r>
    </w:p>
    <w:p>
      <w:pPr>
        <w:ind w:left="288"/>
      </w:pPr>
      <w:r>
        <w:rPr>
          <w:color w:val="8C8C8C"/>
          <w:sz w:val="12"/>
        </w:rPr>
        <w:t>cf-art-93-inc-II-ali-e</w:t>
      </w:r>
    </w:p>
    <w:p>
      <w:pPr>
        <w:ind w:left="288"/>
      </w:pPr>
      <w:r>
        <w:rPr>
          <w:color w:val="1E1E1E"/>
          <w:sz w:val="18"/>
        </w:rPr>
        <w:t>III - o acesso aos tribunais de segundo grau far-se-á por antiguidade e merecimento, alternadamente, apurados na última ou única entrância; (Redação da EC 45/2004)</w:t>
      </w:r>
    </w:p>
    <w:p>
      <w:pPr>
        <w:ind w:left="144"/>
      </w:pPr>
      <w:r>
        <w:rPr>
          <w:b/>
          <w:color w:val="B45A00"/>
          <w:sz w:val="16"/>
        </w:rPr>
        <w:t>CONTROLE CONCENTRADO</w:t>
      </w:r>
    </w:p>
    <w:p>
      <w:pPr>
        <w:ind w:left="288"/>
      </w:pPr>
      <w:r>
        <w:rPr>
          <w:color w:val="8C8C8C"/>
          <w:sz w:val="12"/>
        </w:rPr>
        <w:t>cf-art-93-inc-II-ali-e</w:t>
      </w:r>
      <w:r>
        <w:rPr>
          <w:color w:val="003CA0"/>
          <w:sz w:val="12"/>
        </w:rPr>
        <w:t xml:space="preserve"> | ADI 654</w:t>
      </w:r>
      <w:r>
        <w:rPr>
          <w:color w:val="003CA0"/>
          <w:sz w:val="12"/>
        </w:rPr>
        <w:t xml:space="preserve"> | rel. Carlos Velloso</w:t>
      </w:r>
    </w:p>
    <w:p>
      <w:pPr>
        <w:ind w:left="288"/>
      </w:pPr>
      <w:r>
        <w:rPr>
          <w:color w:val="1E1E1E"/>
          <w:sz w:val="18"/>
        </w:rPr>
        <w:t>A aferição do merecimento deve ser feita segundo os critérios fixados na alínea c do inciso II do art. 93 da Constituição. A obrigatoriedade da promoção do juiz somente ocorre na hipótese inscrita na alínea a do inciso II do art. 93 da Constituição. Não pode o ato normativo primário ou secundário privilegiar a antiguidade, na promoção por merecimento do magistrado, mais do que faz a Constituição.</w:t>
      </w:r>
    </w:p>
    <w:p>
      <w:pPr>
        <w:ind w:left="288"/>
      </w:pPr>
      <w:r>
        <w:rPr>
          <w:b/>
          <w:color w:val="003CA0"/>
          <w:sz w:val="16"/>
        </w:rPr>
        <w:t>[ADI 654, rel. min. Carlos Velloso, j. 2-6-1993, P, DJ de 6-8-1993.]</w:t>
      </w:r>
    </w:p>
    <w:p>
      <w:pPr>
        <w:ind w:left="288"/>
      </w:pPr>
      <w:r>
        <w:rPr>
          <w:color w:val="8C8C8C"/>
          <w:sz w:val="12"/>
        </w:rPr>
        <w:t>cf-art-93-inc-II-ali-e</w:t>
      </w:r>
      <w:r>
        <w:rPr>
          <w:color w:val="003CA0"/>
          <w:sz w:val="12"/>
        </w:rPr>
        <w:t xml:space="preserve"> | ADI 189</w:t>
      </w:r>
      <w:r>
        <w:rPr>
          <w:color w:val="003CA0"/>
          <w:sz w:val="12"/>
        </w:rPr>
        <w:t xml:space="preserve"> | rel. Celso de Mello</w:t>
      </w:r>
    </w:p>
    <w:p>
      <w:pPr>
        <w:ind w:left="288"/>
      </w:pPr>
      <w:r>
        <w:rPr>
          <w:color w:val="1E1E1E"/>
          <w:sz w:val="18"/>
        </w:rPr>
        <w:t>O provimento dos cargos judiciários nos tribunais de segundo grau, em vagas reservadas à magistratura de carreira, insere-se na competência institucional do próprio tribunal de justiça, constituindo específica projeção concretizadora do postulado do autogoverno do Poder Judiciário. Não ofende a Constituição, em consequência, o ato regimental que, subordinando o exercício dessa competência à deliberação do órgão especial do tribunal de justiça, vincula o presidente dessa corte judiciária na promoção do juiz mais votado dentre os que constarem da lista tríplice.</w:t>
      </w:r>
    </w:p>
    <w:p>
      <w:pPr>
        <w:ind w:left="288"/>
      </w:pPr>
      <w:r>
        <w:rPr>
          <w:b/>
          <w:color w:val="003CA0"/>
          <w:sz w:val="16"/>
        </w:rPr>
        <w:t>[ADI 189, rel. min. Celso de Mello, j. 9-10-1991, P, DJ de 22-5-1992.]</w:t>
      </w:r>
    </w:p>
    <w:p>
      <w:pPr>
        <w:ind w:left="144"/>
      </w:pPr>
      <w:r>
        <w:rPr>
          <w:b/>
          <w:color w:val="B45A00"/>
          <w:sz w:val="16"/>
        </w:rPr>
        <w:t>JULGADOS CORRELATOS</w:t>
      </w:r>
    </w:p>
    <w:p>
      <w:pPr>
        <w:ind w:left="288"/>
      </w:pPr>
      <w:r>
        <w:rPr>
          <w:color w:val="8C8C8C"/>
          <w:sz w:val="12"/>
        </w:rPr>
        <w:t>cf-art-93-inc-II-ali-e</w:t>
      </w:r>
      <w:r>
        <w:rPr>
          <w:color w:val="003CA0"/>
          <w:sz w:val="12"/>
        </w:rPr>
        <w:t xml:space="preserve"> | MS 30.585</w:t>
      </w:r>
      <w:r>
        <w:rPr>
          <w:color w:val="003CA0"/>
          <w:sz w:val="12"/>
        </w:rPr>
        <w:t xml:space="preserve"> | rel. Ricardo Lewandowski</w:t>
      </w:r>
    </w:p>
    <w:p>
      <w:pPr>
        <w:ind w:left="288"/>
      </w:pPr>
      <w:r>
        <w:rPr>
          <w:color w:val="1E1E1E"/>
          <w:sz w:val="18"/>
        </w:rPr>
        <w:t>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inciso III do mencionado dispositivo que não altera tal entendimento.</w:t>
      </w:r>
    </w:p>
    <w:p>
      <w:pPr>
        <w:ind w:left="288"/>
      </w:pPr>
      <w:r>
        <w:rPr>
          <w:b/>
          <w:color w:val="003CA0"/>
          <w:sz w:val="16"/>
        </w:rPr>
        <w:t>[MS 30.585, rel. min. Ricardo Lewandowski, j. 12-9-2012, P, DJE de 28-11-2012.]</w:t>
      </w:r>
    </w:p>
    <w:p>
      <w:pPr>
        <w:ind w:left="288"/>
      </w:pPr>
      <w:r>
        <w:rPr>
          <w:color w:val="8C8C8C"/>
          <w:sz w:val="12"/>
        </w:rPr>
        <w:t>cf-art-93-inc-II-ali-e</w:t>
      </w:r>
      <w:r>
        <w:rPr>
          <w:color w:val="003CA0"/>
          <w:sz w:val="12"/>
        </w:rPr>
        <w:t xml:space="preserve"> | MS 31.375</w:t>
      </w:r>
      <w:r>
        <w:rPr>
          <w:color w:val="003CA0"/>
          <w:sz w:val="12"/>
        </w:rPr>
        <w:t xml:space="preserve"> | rel. Cármen Lúcia</w:t>
      </w:r>
    </w:p>
    <w:p>
      <w:pPr>
        <w:ind w:left="288"/>
      </w:pPr>
      <w:r>
        <w:rPr>
          <w:color w:val="1E1E1E"/>
          <w:sz w:val="18"/>
        </w:rPr>
        <w:t>= MS 31.375, rel. min. Cármen Lúcia, j. 26-6-2013, P, DJE de 8-8-2013 (...) o ato de composição das turmas recursais não caracteriza promoção de magistrado para outra entrância ou mesmo de remoção, porém de mera designação para integrar órgão de primeiro grau, não se impondo, portanto, a observância dos critérios de merecimento ou antiguidade. Nessa linha, a definição dos critérios para composição da turma recursal é ato interna corporis do respectivo tribunal.</w:t>
      </w:r>
    </w:p>
    <w:p>
      <w:pPr>
        <w:ind w:left="288"/>
      </w:pPr>
      <w:r>
        <w:rPr>
          <w:b/>
          <w:color w:val="003CA0"/>
          <w:sz w:val="16"/>
        </w:rPr>
        <w:t>[MS 28.254 AgR, rel. min. Ricardo Lewandowski, j. 24-3-2011, P, DJE de 12-4-2011.]</w:t>
      </w:r>
    </w:p>
    <w:p>
      <w:pPr>
        <w:ind w:left="288"/>
      </w:pPr>
      <w:r>
        <w:rPr>
          <w:color w:val="8C8C8C"/>
          <w:sz w:val="12"/>
        </w:rPr>
        <w:t>cf-art-93-inc-II-ali-e</w:t>
      </w:r>
      <w:r>
        <w:rPr>
          <w:color w:val="003CA0"/>
          <w:sz w:val="12"/>
        </w:rPr>
        <w:t xml:space="preserve"> | AO 1.499</w:t>
      </w:r>
      <w:r>
        <w:rPr>
          <w:color w:val="003CA0"/>
          <w:sz w:val="12"/>
        </w:rPr>
        <w:t xml:space="preserve"> | rel. Eros Grau</w:t>
      </w:r>
    </w:p>
    <w:p>
      <w:pPr>
        <w:ind w:left="288"/>
      </w:pPr>
      <w:r>
        <w:rPr>
          <w:color w:val="1E1E1E"/>
          <w:sz w:val="18"/>
        </w:rPr>
        <w:t xml:space="preserve">O art. 93, III, da Constituição determina que "o acesso aos tribunais de segundo grau far-se-á por antiguidade e merecimento, alternadamente, apurados na última ou única entrância". A promoção de juízes para o tribunal de justiça local ocorre de acordo com o surgimento das vagas, alternando-se os critérios de antiguidade e merecimento para provimento dos cargos. Esse sistema não se confunde com a promoção de entrância, em que há uma lista das varas a serem providas por merecimento e outra destinada ao provimento por antiguidade. A combinação dos sistemas, aplicando-se os preceitos da promoção </w:t>
      </w:r>
    </w:p>
    <w:p>
      <w:pPr>
        <w:ind w:left="288"/>
      </w:pPr>
      <w:r>
        <w:rPr>
          <w:b/>
          <w:color w:val="003CA0"/>
          <w:sz w:val="16"/>
        </w:rPr>
        <w:t>[AO 1.499, rel. min. Eros Grau, j. 26-5-2010, P, DJE de 6-8-2010.]</w:t>
      </w:r>
    </w:p>
    <w:p>
      <w:pPr>
        <w:ind w:left="288"/>
      </w:pPr>
      <w:r>
        <w:rPr>
          <w:color w:val="8C8C8C"/>
          <w:sz w:val="12"/>
        </w:rPr>
        <w:t>cf-art-93-inc-II-ali-e</w:t>
      </w:r>
      <w:r>
        <w:rPr>
          <w:color w:val="003CA0"/>
          <w:sz w:val="12"/>
        </w:rPr>
        <w:t xml:space="preserve"> | MS 23.445</w:t>
      </w:r>
      <w:r>
        <w:rPr>
          <w:color w:val="003CA0"/>
          <w:sz w:val="12"/>
        </w:rPr>
        <w:t xml:space="preserve"> | rel. Néri da Silveira</w:t>
      </w:r>
    </w:p>
    <w:p>
      <w:pPr>
        <w:ind w:left="288"/>
      </w:pPr>
      <w:r>
        <w:rPr>
          <w:color w:val="1E1E1E"/>
          <w:sz w:val="18"/>
        </w:rPr>
        <w:t>Não é o STJ corte de segundo grau, em termos a invocar-se a aplicação do art. 93, III, da Lei Magna. A regra expressa da Constituição dispõe sobre a composição e forma de preenchimento dos cargos de ministro no STJ, a teor de seu art. 104, parágrafo único, I e II.</w:t>
      </w:r>
    </w:p>
    <w:p>
      <w:pPr>
        <w:ind w:left="288"/>
      </w:pPr>
      <w:r>
        <w:rPr>
          <w:b/>
          <w:color w:val="003CA0"/>
          <w:sz w:val="16"/>
        </w:rPr>
        <w:t>[MS 23.445, rel. min. Néri da Silveira, j. 18-11-1999, P, DJ de 17-3-2000.]</w:t>
      </w:r>
    </w:p>
    <w:p>
      <w:pPr>
        <w:ind w:left="288"/>
      </w:pPr>
      <w:r>
        <w:rPr>
          <w:color w:val="8C8C8C"/>
          <w:sz w:val="12"/>
        </w:rPr>
        <w:t>cf-art-93-inc-II-ali-e</w:t>
      </w:r>
      <w:r>
        <w:rPr>
          <w:color w:val="003CA0"/>
          <w:sz w:val="12"/>
        </w:rPr>
        <w:t xml:space="preserve"> | HC 69.601</w:t>
      </w:r>
      <w:r>
        <w:rPr>
          <w:color w:val="003CA0"/>
          <w:sz w:val="12"/>
        </w:rPr>
        <w:t xml:space="preserve"> | rel. Celso de Mello</w:t>
      </w:r>
    </w:p>
    <w:p>
      <w:pPr>
        <w:ind w:left="288"/>
      </w:pPr>
      <w:r>
        <w:rPr>
          <w:color w:val="1E1E1E"/>
          <w:sz w:val="18"/>
        </w:rPr>
        <w:t>A regra consubstanciada no art. 93, III, da Constituição da República – que apenas dispõe sobre o acesso de magistrados aos tribunais de segundo grau, mediante promoção – não atua, especialmente ante a impertinência temática de seu conteúdo material e em face da absoluta ausência de norma restritiva, como aquela inscrita no art. 144, VII, da revogada Carta Federal de 1969, como causa impeditiva do exercício, pelos Estados-membros, de seu poder de instituir, mediante legislação própria concernente à organização judiciária local, sistema de convocação de juízes para efeito de substituição eventu</w:t>
      </w:r>
    </w:p>
    <w:p>
      <w:pPr>
        <w:ind w:left="288"/>
      </w:pPr>
      <w:r>
        <w:rPr>
          <w:b/>
          <w:color w:val="003CA0"/>
          <w:sz w:val="16"/>
        </w:rPr>
        <w:t>[HC 69.601, rel. min. Celso de Mello, j. 24-11-1992, 1ª T, DJ de 18-12-1992.]</w:t>
      </w:r>
    </w:p>
    <w:p>
      <w:pPr>
        <w:ind w:left="288"/>
      </w:pPr>
      <w:r>
        <w:rPr>
          <w:color w:val="8C8C8C"/>
          <w:sz w:val="12"/>
        </w:rPr>
        <w:t>cf-art-93-inc-II-ali-e</w:t>
      </w:r>
    </w:p>
    <w:p>
      <w:pPr>
        <w:ind w:left="288"/>
      </w:pPr>
      <w:r>
        <w:rPr>
          <w:color w:val="1E1E1E"/>
          <w:sz w:val="18"/>
        </w:rPr>
        <w:t>IV - previsão de cursos oficiais de preparação, aperfeiçoamento e promoção de magistrados, constituindo etapa obrigatória do processo de vitaliciamento a participação em curso oficial ou reconhecido por escola nacional de formação e aperfeiçoamento de magistrados; (Redação da EC 45/2004) V - o subsídio dos Ministros dos Tribunais Superiores corresponderá a noventa e cinco por cento do subsídio mensal fixado para os Ministros do Supremo Tribunal Federal e os subsídios dos demais magistrados serão fixados em lei e escalonados, em nível federal e estadual, conforme as respectivas categorias da es</w:t>
      </w:r>
    </w:p>
    <w:p>
      <w:pPr>
        <w:ind w:left="144"/>
      </w:pPr>
      <w:r>
        <w:rPr>
          <w:b/>
          <w:color w:val="B45A00"/>
          <w:sz w:val="16"/>
        </w:rPr>
        <w:t>CONTROLE CONCENTRADO</w:t>
      </w:r>
    </w:p>
    <w:p>
      <w:pPr>
        <w:ind w:left="288"/>
      </w:pPr>
      <w:r>
        <w:rPr>
          <w:color w:val="8C8C8C"/>
          <w:sz w:val="12"/>
        </w:rPr>
        <w:t>cf-art-93-inc-II-ali-e</w:t>
      </w:r>
      <w:r>
        <w:rPr>
          <w:color w:val="003CA0"/>
          <w:sz w:val="12"/>
        </w:rPr>
        <w:t xml:space="preserve"> | ADI 4.216</w:t>
      </w:r>
      <w:r>
        <w:rPr>
          <w:color w:val="003CA0"/>
          <w:sz w:val="12"/>
        </w:rPr>
        <w:t xml:space="preserve"> | rel. Luís Roberto Barroso</w:t>
      </w:r>
    </w:p>
    <w:p>
      <w:pPr>
        <w:ind w:left="288"/>
      </w:pPr>
      <w:r>
        <w:rPr>
          <w:color w:val="1E1E1E"/>
          <w:sz w:val="18"/>
        </w:rPr>
        <w:t xml:space="preserve">A expressão “categorias da estrutura judiciária nacional” (art. 93, V, da CF) veda o estabelecimento de tetos remuneratórios distintos para magistrados federais e estaduais, mas não impede que seus subsídios sejam fixados em valores diferentes de acordo com o número de entrâncias. Interpretação que prestigia a autonomia dos Estados, aos quais compete fixar os subsídios de seus magistrados e organizar o Poder Judiciário local. (...) Definir que a promoção para entrância superior seja acompanhada da elevação do valor do subsídio é medida que concretiza o princípio da eficiência, já que serve de </w:t>
      </w:r>
    </w:p>
    <w:p>
      <w:pPr>
        <w:ind w:left="288"/>
      </w:pPr>
      <w:r>
        <w:rPr>
          <w:b/>
          <w:color w:val="003CA0"/>
          <w:sz w:val="16"/>
        </w:rPr>
        <w:t>[ADI 3.072, rel. min. Gilmar Mendes, j. 9-5-2019, P, DJE de 15-8-2019.]</w:t>
      </w:r>
    </w:p>
    <w:p>
      <w:pPr>
        <w:ind w:left="288"/>
      </w:pPr>
      <w:r>
        <w:rPr>
          <w:color w:val="8C8C8C"/>
          <w:sz w:val="12"/>
        </w:rPr>
        <w:t>cf-art-93-inc-II-ali-e</w:t>
      </w:r>
      <w:r>
        <w:rPr>
          <w:color w:val="003CA0"/>
          <w:sz w:val="12"/>
        </w:rPr>
        <w:t xml:space="preserve"> | ADI 509</w:t>
      </w:r>
      <w:r>
        <w:rPr>
          <w:color w:val="003CA0"/>
          <w:sz w:val="12"/>
        </w:rPr>
        <w:t xml:space="preserve"> | rel. Ricardo Lewandowski</w:t>
      </w:r>
    </w:p>
    <w:p>
      <w:pPr>
        <w:ind w:left="288"/>
      </w:pPr>
      <w:r>
        <w:rPr>
          <w:color w:val="1E1E1E"/>
          <w:sz w:val="18"/>
        </w:rPr>
        <w:t xml:space="preserve">Composição e limite da remuneração de magistrados e servidores públicos. Loman. EC 19/1998. (...) O art. 145 da Constituição do Estado de Mato Grosso contrapõe-se, na parte em que se refere à remuneração total dos cargos do Poder Judiciário, ao estabelecido no art. 93, V, da CF, em sua redação original. Enquanto não encaminhada por esta Corte proposta de lei complementar a regulamentar o tema, os vencimentos dos magistrados encontram regência na LC 35, de 14-3-1979, recepcionada pela nova ordem constitucional. Dessa forma, a Constituição estadual de Mato Grosso não poderia regrar a composição </w:t>
      </w:r>
    </w:p>
    <w:p>
      <w:pPr>
        <w:ind w:left="288"/>
      </w:pPr>
      <w:r>
        <w:rPr>
          <w:b/>
          <w:color w:val="003CA0"/>
          <w:sz w:val="16"/>
        </w:rPr>
        <w:t>[ADI 509, rel. min. Ricardo Lewandowski, j. 19-2-2014, P, DJE de 16-9-2014.]</w:t>
      </w:r>
    </w:p>
    <w:p>
      <w:pPr>
        <w:ind w:left="288"/>
      </w:pPr>
      <w:r>
        <w:rPr>
          <w:color w:val="8C8C8C"/>
          <w:sz w:val="12"/>
        </w:rPr>
        <w:t>cf-art-93-inc-II-ali-e</w:t>
      </w:r>
      <w:r>
        <w:rPr>
          <w:color w:val="003CA0"/>
          <w:sz w:val="12"/>
        </w:rPr>
        <w:t xml:space="preserve"> | ADI 2.075</w:t>
      </w:r>
      <w:r>
        <w:rPr>
          <w:color w:val="003CA0"/>
          <w:sz w:val="12"/>
        </w:rPr>
        <w:t xml:space="preserve"> | rel. Celso de Mello</w:t>
      </w:r>
    </w:p>
    <w:p>
      <w:pPr>
        <w:ind w:left="288"/>
      </w:pPr>
      <w:r>
        <w:rPr>
          <w:color w:val="1E1E1E"/>
          <w:sz w:val="18"/>
        </w:rPr>
        <w:t>A questão do subteto no âmbito do Poder Executivo dos Estados-membros e dos Municípios – hipótese em que se revela constitucionalmente possível a fixação desse limite em valor inferior ao previsto no art. 37, XI, da Constituição – ressalva quanto às hipóteses em que a própria Constituição estipula tetos específicos (CF, art. 27, § 2º, e art. 93, V).</w:t>
      </w:r>
    </w:p>
    <w:p>
      <w:pPr>
        <w:ind w:left="288"/>
      </w:pPr>
      <w:r>
        <w:rPr>
          <w:b/>
          <w:color w:val="003CA0"/>
          <w:sz w:val="16"/>
        </w:rPr>
        <w:t>[ADI 2.075 MC, rel. min. Celso de Mello, j. 7-2-2001, P, DJ de 27-6-2003.]</w:t>
      </w:r>
    </w:p>
    <w:p>
      <w:pPr>
        <w:ind w:left="288"/>
      </w:pPr>
      <w:r>
        <w:rPr>
          <w:color w:val="8C8C8C"/>
          <w:sz w:val="12"/>
        </w:rPr>
        <w:t>cf-art-93-inc-II-ali-e</w:t>
      </w:r>
      <w:r>
        <w:rPr>
          <w:color w:val="003CA0"/>
          <w:sz w:val="12"/>
        </w:rPr>
        <w:t xml:space="preserve"> | ADI 2.087</w:t>
      </w:r>
      <w:r>
        <w:rPr>
          <w:color w:val="003CA0"/>
          <w:sz w:val="12"/>
        </w:rPr>
        <w:t xml:space="preserve"> | rel. Sepúlveda Pertence</w:t>
      </w:r>
    </w:p>
    <w:p>
      <w:pPr>
        <w:ind w:left="288"/>
      </w:pPr>
      <w:r>
        <w:rPr>
          <w:color w:val="1E1E1E"/>
          <w:sz w:val="18"/>
        </w:rPr>
        <w:t>A admissibilidade de subtetos, de qualquer sorte, sofrerá, contudo, as exceções ditadas pela própria CF, nas hipóteses por ela subtraídas do campo normativo da regra geral do art. 37, XI, para submetê-las a mecanismo diverso de limitação mais estrita da autonomia das entidades da Federação: é o caso do escalonamento vertical de subsídios de magistrado, de âmbito nacional (CF, art. 93, V, cf. EC 19/1998) e, em termos, o dos deputados estaduais.</w:t>
      </w:r>
    </w:p>
    <w:p>
      <w:pPr>
        <w:ind w:left="288"/>
      </w:pPr>
      <w:r>
        <w:rPr>
          <w:b/>
          <w:color w:val="003CA0"/>
          <w:sz w:val="16"/>
        </w:rPr>
        <w:t>[ADI 2.087-MC, rel. min. Sepúlveda Pertence, j. 3-11-1999, P, DJ de 19-9-2003.]</w:t>
      </w:r>
    </w:p>
    <w:p>
      <w:pPr>
        <w:ind w:left="144"/>
      </w:pPr>
      <w:r>
        <w:rPr>
          <w:b/>
          <w:color w:val="B45A00"/>
          <w:sz w:val="16"/>
        </w:rPr>
        <w:t>JULGADOS CORRELATOS</w:t>
      </w:r>
    </w:p>
    <w:p>
      <w:pPr>
        <w:ind w:left="288"/>
      </w:pPr>
      <w:r>
        <w:rPr>
          <w:color w:val="8C8C8C"/>
          <w:sz w:val="12"/>
        </w:rPr>
        <w:t>cf-art-93-inc-II-ali-e</w:t>
      </w:r>
      <w:r>
        <w:rPr>
          <w:color w:val="003CA0"/>
          <w:sz w:val="12"/>
        </w:rPr>
        <w:t xml:space="preserve"> | AO 1.157</w:t>
      </w:r>
      <w:r>
        <w:rPr>
          <w:color w:val="003CA0"/>
          <w:sz w:val="12"/>
        </w:rPr>
        <w:t xml:space="preserve"> | rel. Gilmar Mendes</w:t>
      </w:r>
    </w:p>
    <w:p>
      <w:pPr>
        <w:ind w:left="288"/>
      </w:pPr>
      <w:r>
        <w:rPr>
          <w:color w:val="1E1E1E"/>
          <w:sz w:val="18"/>
        </w:rPr>
        <w:t>Como já decidiu esta Suprema Corte, no "período de 1º-1-1998 até o advento da Lei 10.474/2002 não havia qualquer débito da União em relação ao abono variável criado pela Lei 9.655/1998 – dependente à época, da fixação do subsídio dos ministros do STF. Com a edição da Lei 10.474, de junho de 2002, fixando definitivamente os valores devidos e a forma de pagamento do abono, assim como com a posterior regulamentação da matéria pela Resolução 245 do STF, de dezembro de 2002, também não há que se falar em correção monetária ou qualquer valor não estipulado por essa regulamentação legal. Eventuais co</w:t>
      </w:r>
    </w:p>
    <w:p>
      <w:pPr>
        <w:ind w:left="288"/>
      </w:pPr>
      <w:r>
        <w:rPr>
          <w:b/>
          <w:color w:val="003CA0"/>
          <w:sz w:val="16"/>
        </w:rPr>
        <w:t>[AO 1.412, rel. min. Menezes Direito, j. 23-10-2008, P, DJE de 13-2-2009.]</w:t>
      </w:r>
    </w:p>
    <w:p>
      <w:pPr>
        <w:ind w:left="288"/>
      </w:pPr>
      <w:r>
        <w:rPr>
          <w:color w:val="8C8C8C"/>
          <w:sz w:val="12"/>
        </w:rPr>
        <w:t>cf-art-93-inc-II-ali-e</w:t>
      </w:r>
      <w:r>
        <w:rPr>
          <w:color w:val="003CA0"/>
          <w:sz w:val="12"/>
        </w:rPr>
        <w:t xml:space="preserve"> | AO 1.510</w:t>
      </w:r>
      <w:r>
        <w:rPr>
          <w:color w:val="003CA0"/>
          <w:sz w:val="12"/>
        </w:rPr>
        <w:t xml:space="preserve"> | rel. Ellen Gracie</w:t>
      </w:r>
    </w:p>
    <w:p>
      <w:pPr>
        <w:ind w:left="288"/>
      </w:pPr>
      <w:r>
        <w:rPr>
          <w:color w:val="1E1E1E"/>
          <w:sz w:val="18"/>
        </w:rPr>
        <w:t>= AO 1.510, rel. min. Ellen Gracie, j. 16-3-2011, P, DJE de 30-5-2011</w:t>
      </w:r>
    </w:p>
    <w:p>
      <w:pPr>
        <w:ind w:left="288"/>
      </w:pPr>
      <w:r>
        <w:rPr>
          <w:color w:val="8C8C8C"/>
          <w:sz w:val="12"/>
        </w:rPr>
        <w:t>cf-art-93-inc-VI</w:t>
      </w:r>
      <w:r>
        <w:rPr>
          <w:color w:val="003CA0"/>
          <w:sz w:val="12"/>
        </w:rPr>
        <w:t xml:space="preserve"> | ADI 4.863</w:t>
      </w:r>
      <w:r>
        <w:rPr>
          <w:color w:val="003CA0"/>
          <w:sz w:val="12"/>
        </w:rPr>
        <w:t xml:space="preserve"> | rel. André Mendonça</w:t>
      </w:r>
    </w:p>
    <w:p>
      <w:pPr>
        <w:ind w:left="288"/>
      </w:pPr>
      <w:r>
        <w:rPr>
          <w:color w:val="1E1E1E"/>
          <w:sz w:val="18"/>
        </w:rPr>
        <w:t xml:space="preserve">Da constitucionalidade da incidência do regime complementar de previdência aos magistrados. O art. 93, caput e inciso VI, da Constituição - invocado como parâmetro de controle - não estabelece a necessidade de lei complementar e iniciativa do Supremo Tribunal Federal para regular o regime de previdência complementar dos magistrados. Na verdade, o dispositivo constitucional, após a Emenda Constitucional nº 20, de 1998, prevê que “a aposentadoria dos magistrados e a pensão de seus dependentes observarão o disposto no art. 40”. Ademais, em precedentes desta Corte, fixou-se o entendimento de que: </w:t>
      </w:r>
    </w:p>
    <w:p>
      <w:pPr>
        <w:ind w:left="288"/>
      </w:pPr>
      <w:r>
        <w:rPr>
          <w:b/>
          <w:color w:val="003CA0"/>
          <w:sz w:val="16"/>
        </w:rPr>
        <w:t>[ADI 4.863, rel. min. André Mendonça, j. 11.11.2025, P, DJE de 04.12.2025.]</w:t>
      </w:r>
    </w:p>
    <w:p>
      <w:pPr>
        <w:ind w:left="144"/>
      </w:pPr>
      <w:r>
        <w:rPr>
          <w:b/>
          <w:color w:val="B45A00"/>
          <w:sz w:val="16"/>
        </w:rPr>
        <w:t>CONTROLE CONCENTRADO</w:t>
      </w:r>
    </w:p>
    <w:p>
      <w:pPr>
        <w:ind w:left="288"/>
      </w:pPr>
      <w:r>
        <w:rPr>
          <w:color w:val="8C8C8C"/>
          <w:sz w:val="12"/>
        </w:rPr>
        <w:t>cf-art-93-inc-VI</w:t>
      </w:r>
      <w:r>
        <w:rPr>
          <w:color w:val="003CA0"/>
          <w:sz w:val="12"/>
        </w:rPr>
        <w:t xml:space="preserve"> | ADI 3.308</w:t>
      </w:r>
      <w:r>
        <w:rPr>
          <w:color w:val="003CA0"/>
          <w:sz w:val="12"/>
        </w:rPr>
        <w:t xml:space="preserve"> | rel. Gilmar Mendes</w:t>
      </w:r>
    </w:p>
    <w:p>
      <w:pPr>
        <w:ind w:left="288"/>
      </w:pPr>
      <w:r>
        <w:rPr>
          <w:color w:val="1E1E1E"/>
          <w:sz w:val="18"/>
        </w:rPr>
        <w:t>Submissão dos magistrados ao regime de previdência social comum aos servidores públicos. Emendas constitucionais 20/1998 e 41/2003. Inexistência de ofensa ao princípio da separação de poderes. A garantia da vitaliciedade está adstrita à taxatividade das hipóteses de aposentadoria compulsória.</w:t>
        <w:br/>
        <w:t>[ADI 3.308, ADI 3.363, ADI 3.998, ADI 4.802 e ADI 4.803, rel. min. Gilmar Mendes, j. 15-5-2023, P, DJE de 31-5-2023.] A Lei Complementar 152/2015 regulamentou o inc. II do § 1º do art. 40 da Constituição e dispôs sobre a aposentadoria compulsória por idade dos servidores públicos ocupantes de cargos efeti</w:t>
      </w:r>
    </w:p>
    <w:p>
      <w:pPr>
        <w:ind w:left="288"/>
      </w:pPr>
      <w:r>
        <w:rPr>
          <w:b/>
          <w:color w:val="003CA0"/>
          <w:sz w:val="16"/>
        </w:rPr>
        <w:t>[ADI 5.490, rel. min. Cármen Lúcia, j. 20-11-2019, P, DJE de 9-12-2019.]</w:t>
      </w:r>
    </w:p>
    <w:p>
      <w:pPr>
        <w:ind w:left="288"/>
      </w:pPr>
      <w:r>
        <w:rPr>
          <w:color w:val="8C8C8C"/>
          <w:sz w:val="12"/>
        </w:rPr>
        <w:t>cf-art-93-inc-VI</w:t>
      </w:r>
      <w:r>
        <w:rPr>
          <w:color w:val="003CA0"/>
          <w:sz w:val="12"/>
        </w:rPr>
        <w:t xml:space="preserve"> | ADI 1.878</w:t>
      </w:r>
      <w:r>
        <w:rPr>
          <w:color w:val="003CA0"/>
          <w:sz w:val="12"/>
        </w:rPr>
        <w:t xml:space="preserve"> | rel. Ilmar Galvão</w:t>
      </w:r>
    </w:p>
    <w:p>
      <w:pPr>
        <w:ind w:left="288"/>
      </w:pPr>
      <w:r>
        <w:rPr>
          <w:color w:val="1E1E1E"/>
          <w:sz w:val="18"/>
        </w:rPr>
        <w:t>Embora a CF/1988 tenha conferido, até o advento da EC 24/1999, tratamento de magistrado aos representantes classistas da Justiça do Trabalho, a estes não se aplica o regime jurídico constitucional próprio dos magistrados togados, disposto no art. 93 da Carta Magna. A aposentadoria dos juízes temporários assim como os demais benefícios e vantagens que a estes tenham sido outorgados devem estar expressamente previstos em legislação específica.</w:t>
      </w:r>
    </w:p>
    <w:p>
      <w:pPr>
        <w:ind w:left="288"/>
      </w:pPr>
      <w:r>
        <w:rPr>
          <w:b/>
          <w:color w:val="003CA0"/>
          <w:sz w:val="16"/>
        </w:rPr>
        <w:t>[ADI 1.878, rel. min. Ilmar Galvão, j. 23-10-2002, P, DJ de 7-11-2003.]</w:t>
      </w:r>
    </w:p>
    <w:p>
      <w:pPr>
        <w:ind w:left="288"/>
      </w:pPr>
      <w:r>
        <w:rPr>
          <w:color w:val="8C8C8C"/>
          <w:sz w:val="12"/>
        </w:rPr>
        <w:t>cf-art-93-inc-VI</w:t>
      </w:r>
      <w:r>
        <w:rPr>
          <w:color w:val="003CA0"/>
          <w:sz w:val="12"/>
        </w:rPr>
        <w:t xml:space="preserve"> | AI 474.675</w:t>
      </w:r>
      <w:r>
        <w:rPr>
          <w:color w:val="003CA0"/>
          <w:sz w:val="12"/>
        </w:rPr>
        <w:t xml:space="preserve"> | rel. Ayres Britto</w:t>
      </w:r>
    </w:p>
    <w:p>
      <w:pPr>
        <w:ind w:left="288"/>
      </w:pPr>
      <w:r>
        <w:rPr>
          <w:color w:val="1E1E1E"/>
          <w:sz w:val="18"/>
        </w:rPr>
        <w:t>= AI 474.675 AgR, rel. min. Ayres Britto, j. 26-10-2010, 2ª T, DJE de 2-3-2011 = AR 2.127 AgR, rel. min. Dias Toffoli, j. 24-6-2010, P, DJE de 22-10-2010 Vide RMS 25.841, red. do ac. min. Marco Aurélio, j. 20-3-2013, P, DJE de 20-5-2013</w:t>
      </w:r>
    </w:p>
    <w:p>
      <w:pPr>
        <w:ind w:left="144"/>
      </w:pPr>
      <w:r>
        <w:rPr>
          <w:b/>
          <w:color w:val="B45A00"/>
          <w:sz w:val="16"/>
        </w:rPr>
        <w:t>JULGADOS CORRELATOS</w:t>
      </w:r>
    </w:p>
    <w:p>
      <w:pPr>
        <w:ind w:left="288"/>
      </w:pPr>
      <w:r>
        <w:rPr>
          <w:color w:val="8C8C8C"/>
          <w:sz w:val="12"/>
        </w:rPr>
        <w:t>cf-art-93-inc-VI</w:t>
      </w:r>
      <w:r>
        <w:rPr>
          <w:color w:val="003CA0"/>
          <w:sz w:val="12"/>
        </w:rPr>
        <w:t xml:space="preserve"> | AO 2.330</w:t>
      </w:r>
      <w:r>
        <w:rPr>
          <w:color w:val="003CA0"/>
          <w:sz w:val="12"/>
        </w:rPr>
        <w:t xml:space="preserve"> | rel. Gilmar Mendes</w:t>
      </w:r>
    </w:p>
    <w:p>
      <w:pPr>
        <w:ind w:left="288"/>
      </w:pPr>
      <w:r>
        <w:rPr>
          <w:color w:val="1E1E1E"/>
          <w:sz w:val="18"/>
        </w:rPr>
        <w:t>A Emenda Constitucional nº 20/1998 alterou o regime de aposentadoria dos magistrados, ao conferir nova redação ao art. 93, VI, CF/88, determinando a aplicação, aos juízes, das normas gerais do regime próprio, incidentes sobre os servidores ocupantes de cargos efetivos (CF/88, art. 40). A magistratura não constitui atividade inerentemente perigosa, consoante entendimento firmado pelo Plenário do Supremo Tribunal Federal no julgamento da AO 2.330, Rel. Min. Gilmar Mendes, havendo somente direito à aposentadoria especial nos casos em que a periculosidade for inequivocamente inerente à atividade p</w:t>
      </w:r>
    </w:p>
    <w:p>
      <w:pPr>
        <w:ind w:left="144"/>
      </w:pPr>
      <w:r>
        <w:rPr>
          <w:b/>
          <w:color w:val="B45A00"/>
          <w:sz w:val="16"/>
        </w:rPr>
        <w:t>CONTROLE CONCENTRADO</w:t>
      </w:r>
    </w:p>
    <w:p>
      <w:pPr>
        <w:ind w:left="288"/>
      </w:pPr>
      <w:r>
        <w:rPr>
          <w:color w:val="8C8C8C"/>
          <w:sz w:val="12"/>
        </w:rPr>
        <w:t>cf-art-93-inc-VI</w:t>
      </w:r>
      <w:r>
        <w:rPr>
          <w:color w:val="003CA0"/>
          <w:sz w:val="12"/>
        </w:rPr>
        <w:t xml:space="preserve"> | ADI 3.053</w:t>
      </w:r>
      <w:r>
        <w:rPr>
          <w:color w:val="003CA0"/>
          <w:sz w:val="12"/>
        </w:rPr>
        <w:t xml:space="preserve"> | rel. Sepúlveda Pertence</w:t>
      </w:r>
    </w:p>
    <w:p>
      <w:pPr>
        <w:ind w:left="288"/>
      </w:pPr>
      <w:r>
        <w:rPr>
          <w:color w:val="1E1E1E"/>
          <w:sz w:val="18"/>
        </w:rPr>
        <w:t>Provimento de tribunal de justiça que proíbe os juízes de se ausentarem das comarcas, sob pena de perda de subsídios: matéria reservada à lei complementar. Procedência da ação direta para declarar a inconstitucionalidade formal do provimento impugnado.</w:t>
      </w:r>
    </w:p>
    <w:p>
      <w:pPr>
        <w:ind w:left="288"/>
      </w:pPr>
      <w:r>
        <w:rPr>
          <w:b/>
          <w:color w:val="003CA0"/>
          <w:sz w:val="16"/>
        </w:rPr>
        <w:t>[ADI 3.053, rel. min. Sepúlveda Pertence, j. 11-11-2004, P, DJ de 17-12-2004.]</w:t>
      </w:r>
    </w:p>
    <w:p>
      <w:pPr>
        <w:ind w:left="144"/>
      </w:pPr>
      <w:r>
        <w:rPr>
          <w:b/>
          <w:color w:val="B45A00"/>
          <w:sz w:val="16"/>
        </w:rPr>
        <w:t>JULGADOS CORRELATOS</w:t>
      </w:r>
    </w:p>
    <w:p>
      <w:pPr>
        <w:ind w:left="288"/>
      </w:pPr>
      <w:r>
        <w:rPr>
          <w:color w:val="8C8C8C"/>
          <w:sz w:val="12"/>
        </w:rPr>
        <w:t>cf-art-93-inc-VI</w:t>
      </w:r>
      <w:r>
        <w:rPr>
          <w:color w:val="003CA0"/>
          <w:sz w:val="12"/>
        </w:rPr>
        <w:t xml:space="preserve"> | AO 1.773</w:t>
      </w:r>
      <w:r>
        <w:rPr>
          <w:color w:val="003CA0"/>
          <w:sz w:val="12"/>
        </w:rPr>
        <w:t xml:space="preserve"> | rel. Luiz Fux</w:t>
      </w:r>
    </w:p>
    <w:p>
      <w:pPr>
        <w:ind w:left="288"/>
      </w:pPr>
      <w:r>
        <w:rPr>
          <w:color w:val="1E1E1E"/>
          <w:sz w:val="18"/>
        </w:rPr>
        <w:t>Magistratura e Ministério Público. Simetria constitucional entre carreiras. Ajuda de custo para fins de moradia. Art. 65, II, da LOMAN (LC nº 35/79). Art. 227, VII, da Lei Complementar nº 75/1993 e art. 50, II, da Lei nº 8.625/1993. Extensão aos membros do MP. Necessidade de garantia de um padrão simétrico entre as carreiras de Estado. Modificações no contexto fático-jurídico. Novo cenário orçamentário. Promulgação de leis que garantem a recomposição parcial da inflação de 16,38% nos subsídios dos membros do STF e do Procurador-geral da República. Lei n.º 13.752/2018 e Lei n.º 13.753/2018. Nov</w:t>
      </w:r>
    </w:p>
    <w:p>
      <w:pPr>
        <w:ind w:left="288"/>
      </w:pPr>
      <w:r>
        <w:rPr>
          <w:b/>
          <w:color w:val="003CA0"/>
          <w:sz w:val="16"/>
        </w:rPr>
        <w:t>[AO 1.773, rel. min. Luiz Fux, j. 26-11-2018, dec. monocrática, DJE de 28-11-2018.]</w:t>
      </w:r>
    </w:p>
    <w:p>
      <w:pPr>
        <w:ind w:left="288"/>
      </w:pPr>
      <w:r>
        <w:rPr>
          <w:color w:val="8C8C8C"/>
          <w:sz w:val="12"/>
        </w:rPr>
        <w:t>cf-art-93-inc-VI</w:t>
      </w:r>
      <w:r>
        <w:rPr>
          <w:color w:val="003CA0"/>
          <w:sz w:val="12"/>
        </w:rPr>
        <w:t xml:space="preserve"> | MS 28.135</w:t>
      </w:r>
      <w:r>
        <w:rPr>
          <w:color w:val="003CA0"/>
          <w:sz w:val="12"/>
        </w:rPr>
        <w:t xml:space="preserve"> | rel. Ellen Gracie</w:t>
      </w:r>
    </w:p>
    <w:p>
      <w:pPr>
        <w:ind w:left="288"/>
      </w:pPr>
      <w:r>
        <w:rPr>
          <w:color w:val="1E1E1E"/>
          <w:sz w:val="18"/>
        </w:rPr>
        <w:t>A ratio subjacente ao art. 65, II, da Loman, que também está presente na própria deliberação emanada do E. CNJ, apoia-se na circunstância de que a ajuda de custo, para moradia, destina-se a indenizar, de modo estrito, o magistrado que não dispõe, na localidade em que exerce a jurisdição, de casa própria ou de residência oficial ou, ainda, de imóvel posto à sua disposição pelo poder público. O que não parece razoável, contudo, é deferir-se auxílio-moradia a juízes que já se achem aposentados, não mais estando, em consequência, no efetivo exercício da função jurisdicional, pois a situação de ina</w:t>
      </w:r>
    </w:p>
    <w:p>
      <w:pPr>
        <w:ind w:left="288"/>
      </w:pPr>
      <w:r>
        <w:rPr>
          <w:b/>
          <w:color w:val="003CA0"/>
          <w:sz w:val="16"/>
        </w:rPr>
        <w:t>[MS 28.135 MC, rel. min. Ellen Gracie, dec. monocrática proferida pelo min. Celso de Mello no exercício da Presidência, j. 17-7-2009, DJE de 5-8-2009.]</w:t>
      </w:r>
    </w:p>
    <w:p>
      <w:pPr>
        <w:ind w:left="288"/>
      </w:pPr>
      <w:r>
        <w:rPr>
          <w:color w:val="8C8C8C"/>
          <w:sz w:val="12"/>
        </w:rPr>
        <w:t>cf-art-93-inc-VI</w:t>
      </w:r>
      <w:r>
        <w:rPr>
          <w:color w:val="003CA0"/>
          <w:sz w:val="12"/>
        </w:rPr>
        <w:t xml:space="preserve"> | RE 629.851</w:t>
      </w:r>
      <w:r>
        <w:rPr>
          <w:color w:val="003CA0"/>
          <w:sz w:val="12"/>
        </w:rPr>
        <w:t xml:space="preserve"> | rel. Cármen Lúcia</w:t>
      </w:r>
    </w:p>
    <w:p>
      <w:pPr>
        <w:ind w:left="288"/>
      </w:pPr>
      <w:r>
        <w:rPr>
          <w:color w:val="1E1E1E"/>
          <w:sz w:val="18"/>
        </w:rPr>
        <w:t>= RE 629.851 AgR, rel. min. Cármen Lúcia, j. 23-6-2015, 2ª T, DJE de 3-8-2015 Vide ADI 3.783, rel. min. Gilmar Mendes, j. 17-3-2011, P, DJE de 6-6-2011 VIII - o ato de remoção ou de disponibilidade do magistrado, por interesse público, fundar-se-á em decisão por voto da maioria absoluta do respectivo tribunal ou do Conselho Nacional de Justiça, assegurada ampla defesa; (Redação da EC 103/2019) Art. 57, caput e parágrafos 1º e 2º, da Lei Complementar nº 35/1.979. Pena de disponibilidade. (...) A pena de disponibilidade é sanção administrativa sui generis, que concilia o aspecto punitivo com a p</w:t>
      </w:r>
    </w:p>
    <w:p>
      <w:pPr>
        <w:ind w:left="288"/>
      </w:pPr>
      <w:r>
        <w:rPr>
          <w:b/>
          <w:color w:val="003CA0"/>
          <w:sz w:val="16"/>
        </w:rPr>
        <w:t>[ADPF 677, rel. min. Cristiano Zanin, j. 16-12-2025, P, DJE de 8-1-2026.]</w:t>
      </w:r>
    </w:p>
    <w:p>
      <w:pPr>
        <w:ind w:left="288"/>
      </w:pPr>
      <w:r>
        <w:rPr>
          <w:color w:val="8C8C8C"/>
          <w:sz w:val="12"/>
        </w:rPr>
        <w:t>cf-art-93-inc-VI</w:t>
      </w:r>
      <w:r>
        <w:rPr>
          <w:color w:val="003CA0"/>
          <w:sz w:val="12"/>
        </w:rPr>
        <w:t xml:space="preserve"> | ADI 6.757</w:t>
      </w:r>
      <w:r>
        <w:rPr>
          <w:color w:val="003CA0"/>
          <w:sz w:val="12"/>
        </w:rPr>
        <w:t xml:space="preserve"> | rel. Nunes Marques</w:t>
      </w:r>
    </w:p>
    <w:p>
      <w:pPr>
        <w:ind w:left="288"/>
      </w:pPr>
      <w:r>
        <w:rPr>
          <w:color w:val="1E1E1E"/>
          <w:sz w:val="18"/>
        </w:rPr>
        <w:t>VIII-A - a remoção a pedido de magistrados de comarca de igual entrância atenderá, no que couber, ao disposto nas alíneas "a", "b", "c" e "e" do inciso II do caput deste artigo e no art. 94 desta Constituição; (Redação dada pela EC n.130/2023) Levando em conta o regime instituído pela Emenda Constitucional n. 45/2004, nas carreiras das magistraturas federal e estadual a remoção precede a promoção por antiguidade ou por merecimento (CF, art. 93, VIII-A) Cancelamento do Tema 964/RG. Modulação de efeitos prospectivos, com a concessão do prazo de 12 meses, contados da publicação da ata deste julga</w:t>
      </w:r>
    </w:p>
    <w:p>
      <w:pPr>
        <w:ind w:left="288"/>
      </w:pPr>
      <w:r>
        <w:rPr>
          <w:b/>
          <w:color w:val="003CA0"/>
          <w:sz w:val="16"/>
        </w:rPr>
        <w:t>[ADI 6.757, rel. min. Nunes Marques, j. 20.02.2025, P, DJE de 24.04.2025.]</w:t>
      </w:r>
    </w:p>
    <w:p>
      <w:pPr>
        <w:ind w:left="288"/>
      </w:pPr>
      <w:r>
        <w:rPr>
          <w:color w:val="8C8C8C"/>
          <w:sz w:val="12"/>
        </w:rPr>
        <w:t>cf-art-93-inc-VI</w:t>
      </w:r>
    </w:p>
    <w:p>
      <w:pPr>
        <w:ind w:left="288"/>
      </w:pPr>
      <w:r>
        <w:rPr>
          <w:color w:val="1E1E1E"/>
          <w:sz w:val="18"/>
        </w:rPr>
        <w:t>IX - todos os julgamentos dos órgãos do Poder Judiciário serão públicos, e fundamentadas todas as decisões, sob pena de nulidade, podendo a lei limitar a presença, em determinados atos, às próprias partes e a seus advogados, ou somente a estes, em casos nos quais a preservação do direito à intimidade do interessado no sigilo não prejudique o interesse público à informação; (Redação da EC 45/2004)</w:t>
      </w:r>
    </w:p>
    <w:p>
      <w:pPr>
        <w:ind w:left="144"/>
      </w:pPr>
      <w:r>
        <w:rPr>
          <w:b/>
          <w:color w:val="B45A00"/>
          <w:sz w:val="16"/>
        </w:rPr>
        <w:t>SUMULA VINCULANTE</w:t>
      </w:r>
    </w:p>
    <w:p>
      <w:pPr>
        <w:ind w:left="288"/>
      </w:pPr>
      <w:r>
        <w:rPr>
          <w:color w:val="8C8C8C"/>
          <w:sz w:val="12"/>
        </w:rPr>
        <w:t>cf-art-93-inc-VI</w:t>
      </w:r>
    </w:p>
    <w:p>
      <w:pPr>
        <w:ind w:left="288"/>
      </w:pPr>
      <w:r>
        <w:rPr>
          <w:color w:val="1E1E1E"/>
          <w:sz w:val="18"/>
        </w:rPr>
        <w:t>Para efeito de progressão de regime no cumprimento de pena por crime hediondo, ou equiparado, o juízo da execução observará a inconstitucionalidade do art. 2º da Lei 8.072, de 25-7-1990, sem prejuízo de avaliar se o condenado preenche, ou não, os requisitos objetivos e subjetivos do benefício, podendo determinar, para tal fim, de modo fundamentado, a realização de exame criminológico.</w:t>
      </w:r>
    </w:p>
    <w:p>
      <w:pPr>
        <w:ind w:left="288"/>
      </w:pPr>
      <w:r>
        <w:rPr>
          <w:b/>
          <w:color w:val="003CA0"/>
          <w:sz w:val="16"/>
        </w:rPr>
        <w:t>[Súmula Vinculante 26.]</w:t>
      </w:r>
    </w:p>
    <w:p>
      <w:pPr>
        <w:ind w:left="288"/>
      </w:pPr>
      <w:r>
        <w:rPr>
          <w:color w:val="8C8C8C"/>
          <w:sz w:val="12"/>
        </w:rPr>
        <w:t>cf-art-93-inc-VI</w:t>
      </w:r>
      <w:r>
        <w:rPr>
          <w:color w:val="003CA0"/>
          <w:sz w:val="12"/>
        </w:rPr>
        <w:t xml:space="preserve"> | ADPF 1.174</w:t>
      </w:r>
      <w:r>
        <w:rPr>
          <w:color w:val="003CA0"/>
          <w:sz w:val="12"/>
        </w:rPr>
        <w:t xml:space="preserve"> | rel. Alexandre de Moraes</w:t>
      </w:r>
    </w:p>
    <w:p>
      <w:pPr>
        <w:ind w:left="288"/>
      </w:pPr>
      <w:r>
        <w:rPr>
          <w:color w:val="1E1E1E"/>
          <w:sz w:val="18"/>
        </w:rPr>
        <w:t>As decisões judiciais impugnadas afastam a aplicação da norma estadual sem declarar sua inconstitucionalidade, o que configura controle difuso implícito. A ausência de fundamentação explícita sobre a constitucionalidade da norma estadual viola o dever de motivação previsto no art. 93, IX, da CF/1988.</w:t>
      </w:r>
    </w:p>
    <w:p>
      <w:pPr>
        <w:ind w:left="288"/>
      </w:pPr>
      <w:r>
        <w:rPr>
          <w:b/>
          <w:color w:val="003CA0"/>
          <w:sz w:val="16"/>
        </w:rPr>
        <w:t>[ADPF 1.174 MC-REF, rel. min. Alexandre de Moraes, j. 17.03.2025, P, DJE de 21.03.2025.]</w:t>
      </w:r>
    </w:p>
    <w:p>
      <w:pPr>
        <w:ind w:left="144"/>
      </w:pPr>
      <w:r>
        <w:rPr>
          <w:b/>
          <w:color w:val="B45A00"/>
          <w:sz w:val="16"/>
        </w:rPr>
        <w:t>CONTROLE CONCENTRADO</w:t>
      </w:r>
    </w:p>
    <w:p>
      <w:pPr>
        <w:ind w:left="288"/>
      </w:pPr>
      <w:r>
        <w:rPr>
          <w:color w:val="8C8C8C"/>
          <w:sz w:val="12"/>
        </w:rPr>
        <w:t>cf-art-93-inc-VI</w:t>
      </w:r>
      <w:r>
        <w:rPr>
          <w:color w:val="003CA0"/>
          <w:sz w:val="12"/>
        </w:rPr>
        <w:t xml:space="preserve"> | ADI 4.414</w:t>
      </w:r>
      <w:r>
        <w:rPr>
          <w:color w:val="003CA0"/>
          <w:sz w:val="12"/>
        </w:rPr>
        <w:t xml:space="preserve"> | rel. Luiz Fux</w:t>
      </w:r>
    </w:p>
    <w:p>
      <w:pPr>
        <w:ind w:left="288"/>
      </w:pPr>
      <w:r>
        <w:rPr>
          <w:color w:val="1E1E1E"/>
          <w:sz w:val="18"/>
        </w:rPr>
        <w:t>A publicidade assegurada constitucionalmente (art. 5º, LX, e 93, IX, da CRFB) alcança os autos do processo, e não somente as sessões e audiências, razão pela qual padece de inconstitucionalidade disposição normativa que determine abstratamente segredo de justiça em todos os processos em curso perante vara criminal.</w:t>
      </w:r>
    </w:p>
    <w:p>
      <w:pPr>
        <w:ind w:left="288"/>
      </w:pPr>
      <w:r>
        <w:rPr>
          <w:b/>
          <w:color w:val="003CA0"/>
          <w:sz w:val="16"/>
        </w:rPr>
        <w:t>[ADI 4.414, rel. min. Luiz Fux, j. 31-5-2012, P, DJE de 17-6-2013.]</w:t>
      </w:r>
    </w:p>
    <w:p>
      <w:pPr>
        <w:ind w:left="288"/>
      </w:pPr>
      <w:r>
        <w:rPr>
          <w:color w:val="8C8C8C"/>
          <w:sz w:val="12"/>
        </w:rPr>
        <w:t>cf-art-93-inc-VI</w:t>
      </w:r>
      <w:r>
        <w:rPr>
          <w:color w:val="003CA0"/>
          <w:sz w:val="12"/>
        </w:rPr>
        <w:t xml:space="preserve"> | ADI 3.463</w:t>
      </w:r>
      <w:r>
        <w:rPr>
          <w:color w:val="003CA0"/>
          <w:sz w:val="12"/>
        </w:rPr>
        <w:t xml:space="preserve"> | rel. Ayres Britto</w:t>
      </w:r>
    </w:p>
    <w:p>
      <w:pPr>
        <w:ind w:left="288"/>
      </w:pPr>
      <w:r>
        <w:rPr>
          <w:color w:val="1E1E1E"/>
          <w:sz w:val="18"/>
        </w:rPr>
        <w:t>O art. 51 do Ato das Disposições Transitórias da Constituição do Estado do Rio de Janeiro não confere competência ao Ministério Público fluminense, mas apenas cria o Conselho Estadual de Defesa da Criança e do Adolescente, garantindo a possibilidade de participação do Ministério Público. (...) Inconstitucionalidade da expressão "Poder Judiciário", porquanto a participação de membro do Poder Judicante em conselho administrativo tem a potencialidade de quebrantar a necessária garantia de imparcialidade do julgador. (...) Ação que se julga parcialmente procedente para: (...) declarar a inconstitu</w:t>
      </w:r>
    </w:p>
    <w:p>
      <w:pPr>
        <w:ind w:left="288"/>
      </w:pPr>
      <w:r>
        <w:rPr>
          <w:b/>
          <w:color w:val="003CA0"/>
          <w:sz w:val="16"/>
        </w:rPr>
        <w:t>[ADI 3.463, rel. min. Ayres Britto, j. 27-10-2011, P, DJE de 6-6-2012.]</w:t>
      </w:r>
    </w:p>
    <w:p>
      <w:pPr>
        <w:ind w:left="144"/>
      </w:pPr>
      <w:r>
        <w:rPr>
          <w:b/>
          <w:color w:val="B45A00"/>
          <w:sz w:val="16"/>
        </w:rPr>
        <w:t>REPERCUSSAO GERAL</w:t>
      </w:r>
    </w:p>
    <w:p>
      <w:pPr>
        <w:ind w:left="288"/>
      </w:pPr>
      <w:r>
        <w:rPr>
          <w:color w:val="8C8C8C"/>
          <w:sz w:val="12"/>
        </w:rPr>
        <w:t>cf-art-93-inc-VI</w:t>
      </w:r>
      <w:r>
        <w:rPr>
          <w:color w:val="003CA0"/>
          <w:sz w:val="12"/>
        </w:rPr>
        <w:t xml:space="preserve"> | RE 635.729</w:t>
      </w:r>
      <w:r>
        <w:rPr>
          <w:color w:val="003CA0"/>
          <w:sz w:val="12"/>
        </w:rPr>
        <w:t xml:space="preserve"> | rel. Dias Toffoli</w:t>
      </w:r>
    </w:p>
    <w:p>
      <w:pPr>
        <w:ind w:left="288"/>
      </w:pPr>
      <w:r>
        <w:rPr>
          <w:color w:val="1E1E1E"/>
          <w:sz w:val="18"/>
        </w:rPr>
        <w:t>(...) não afronta a exigência constitucional de motivação dos atos decisórios a decisão de turma recursal de juizados especiais que, em consonância com a Lei 9.099/1995, adota como razões de decidir os fundamentos contidos na sentença recorrida.</w:t>
        <w:br/>
        <w:t>[RE 635.729 RG, voto do rel. min. Dias Toffoli, j. 30-6-2011, P, DJE de 24-8-2011, Tema 451, com mérito julgado.]</w:t>
        <w:br/>
        <w:t>Vide MS 25.936 ED, rel. min. Celso de Mello, j. 13-6-2007, P, DJE de 18-9-2009 O art. 93, IX, da CF exige que o acórdão ou decisão sejam fundamentados, ainda que sucintamente, sem determinar, contudo, o exame pormenorizado de cada uma das a</w:t>
      </w:r>
    </w:p>
    <w:p>
      <w:pPr>
        <w:ind w:left="288"/>
      </w:pPr>
      <w:r>
        <w:rPr>
          <w:b/>
          <w:color w:val="003CA0"/>
          <w:sz w:val="16"/>
        </w:rPr>
        <w:t>[AI 791.292 QO-RG, rel. min. Gilmar Mendes, j. 23-6-2010, P, DJE de 13-8-2010, Tema 339, com mérito julgado.]</w:t>
      </w:r>
    </w:p>
    <w:p>
      <w:pPr>
        <w:ind w:left="288"/>
      </w:pPr>
      <w:r>
        <w:rPr>
          <w:color w:val="8C8C8C"/>
          <w:sz w:val="12"/>
        </w:rPr>
        <w:t>cf-art-93-inc-VI</w:t>
      </w:r>
      <w:r>
        <w:rPr>
          <w:color w:val="003CA0"/>
          <w:sz w:val="12"/>
        </w:rPr>
        <w:t xml:space="preserve"> | RE 575.144</w:t>
      </w:r>
      <w:r>
        <w:rPr>
          <w:color w:val="003CA0"/>
          <w:sz w:val="12"/>
        </w:rPr>
        <w:t xml:space="preserve"> | rel. Ricardo Lewandowski</w:t>
      </w:r>
    </w:p>
    <w:p>
      <w:pPr>
        <w:ind w:left="288"/>
      </w:pPr>
      <w:r>
        <w:rPr>
          <w:color w:val="1E1E1E"/>
          <w:sz w:val="18"/>
        </w:rPr>
        <w:t>(...) constitui direito fundamental do cidadão, em especial na qualidade de jurisdicionado, o de conhecer a motivação das decisões judiciais, sob pena de retornar-se ao voluntarismo dos agentes estatais, expresso na conhecida frase dos monarcas absolutistas franceses, que justificavam seus atos assentando: "ler oi le veut." (...) a expedição de mera certidão em que se contém apenas o resultado do julgamento não permite que se conheça as razões que emprestam suporte às decisões dos ministros do STM, revelando-se tal proceder incompatível com o ordenamento constitucional vigente.</w:t>
        <w:br/>
        <w:t>[RE 575.144, vo</w:t>
      </w:r>
    </w:p>
    <w:p>
      <w:pPr>
        <w:ind w:left="144"/>
      </w:pPr>
      <w:r>
        <w:rPr>
          <w:b/>
          <w:color w:val="B45A00"/>
          <w:sz w:val="16"/>
        </w:rPr>
        <w:t>JULGADOS CORRELATOS</w:t>
      </w:r>
    </w:p>
    <w:p>
      <w:pPr>
        <w:ind w:left="288"/>
      </w:pPr>
      <w:r>
        <w:rPr>
          <w:color w:val="8C8C8C"/>
          <w:sz w:val="12"/>
        </w:rPr>
        <w:t>cf-art-93-inc-VI</w:t>
      </w:r>
      <w:r>
        <w:rPr>
          <w:color w:val="003CA0"/>
          <w:sz w:val="12"/>
        </w:rPr>
        <w:t xml:space="preserve"> | HC 128.763</w:t>
      </w:r>
      <w:r>
        <w:rPr>
          <w:color w:val="003CA0"/>
          <w:sz w:val="12"/>
        </w:rPr>
        <w:t xml:space="preserve"> | rel. Gilmar Mendes</w:t>
      </w:r>
    </w:p>
    <w:p>
      <w:pPr>
        <w:ind w:left="288"/>
      </w:pPr>
      <w:r>
        <w:rPr>
          <w:color w:val="1E1E1E"/>
          <w:sz w:val="18"/>
        </w:rPr>
        <w:t>Execução penal. Saída temporária. Visita periódica à família. Um único ato judicial que analisa o histórico do sentenciado e estabelece um calendário de saídas temporárias, com a expressa ressalva de que as autorizações poderão ser revistas em caso de cometimento de falta, é suficiente para fundamentar a saída mais próxima e as futuras. A decisão única permite participação suficiente do Ministério Público, que poderá falar sobre seu cabimento e, caso alterada a situação fática, pugnar por sua revisão. Ameaça concreta de lesão ao direito do paciente. Dificuldades operacionais na Vara de Execuçõ</w:t>
      </w:r>
    </w:p>
    <w:p>
      <w:pPr>
        <w:ind w:left="288"/>
      </w:pPr>
      <w:r>
        <w:rPr>
          <w:b/>
          <w:color w:val="003CA0"/>
          <w:sz w:val="16"/>
        </w:rPr>
        <w:t>[HC 128.763, rel. min. Gilmar Mendes, j. 4-8-2015, 2ª T, DJE de 1º-2-2016.]</w:t>
      </w:r>
    </w:p>
    <w:p>
      <w:pPr>
        <w:ind w:left="288"/>
      </w:pPr>
      <w:r>
        <w:rPr>
          <w:color w:val="8C8C8C"/>
          <w:sz w:val="12"/>
        </w:rPr>
        <w:t>cf-art-93-inc-VI</w:t>
      </w:r>
      <w:r>
        <w:rPr>
          <w:color w:val="003CA0"/>
          <w:sz w:val="12"/>
        </w:rPr>
        <w:t xml:space="preserve"> | HC 96.056</w:t>
      </w:r>
      <w:r>
        <w:rPr>
          <w:color w:val="003CA0"/>
          <w:sz w:val="12"/>
        </w:rPr>
        <w:t xml:space="preserve"> | rel. Gilmar Mendes</w:t>
      </w:r>
    </w:p>
    <w:p>
      <w:pPr>
        <w:ind w:left="288"/>
      </w:pPr>
      <w:r>
        <w:rPr>
          <w:color w:val="1E1E1E"/>
          <w:sz w:val="18"/>
        </w:rPr>
        <w:t>(...) tenho que uma excepcional situação de restrição de um direito ou garantia constitucional só deve ocorrer em situações pontuais, em que restem evidenciadas de forma flagrante a sua real necessidade. No caso dos autos, a envolver o sigilo dos dados bancários, fiscais e das comunicações telefônicas, a regra é a inviolabilidade, a exceção, a sua violação, a qual somente se justifica quando devidamente fundamentada por autoridade judicial competente, consoante o disposto no art. 93, IX, da CF. Daí por que imperioso concluir que a mera alusão ao "requerimento" do Parquet e/ou da autoridade pol</w:t>
      </w:r>
    </w:p>
    <w:p>
      <w:pPr>
        <w:ind w:left="288"/>
      </w:pPr>
      <w:r>
        <w:rPr>
          <w:b/>
          <w:color w:val="003CA0"/>
          <w:sz w:val="16"/>
        </w:rPr>
        <w:t>[HC 96.056, voto do rel. min. Gilmar Mendes, j. 28-6-2011, 2ª T, DJE de 8-5-2012.]</w:t>
      </w:r>
    </w:p>
    <w:p>
      <w:pPr>
        <w:ind w:left="288"/>
      </w:pPr>
      <w:r>
        <w:rPr>
          <w:color w:val="8C8C8C"/>
          <w:sz w:val="12"/>
        </w:rPr>
        <w:t>cf-art-93-inc-VI</w:t>
      </w:r>
      <w:r>
        <w:rPr>
          <w:color w:val="003CA0"/>
          <w:sz w:val="12"/>
        </w:rPr>
        <w:t xml:space="preserve"> | MS 28.306</w:t>
      </w:r>
      <w:r>
        <w:rPr>
          <w:color w:val="003CA0"/>
          <w:sz w:val="12"/>
        </w:rPr>
        <w:t xml:space="preserve"> | rel. Ricardo Lewandowski</w:t>
      </w:r>
    </w:p>
    <w:p>
      <w:pPr>
        <w:ind w:left="288"/>
      </w:pPr>
      <w:r>
        <w:rPr>
          <w:color w:val="1E1E1E"/>
          <w:sz w:val="18"/>
        </w:rPr>
        <w:t>CNJ. Instauração de processo disciplinar contra magistrado. (...) A exigência de motivação para instauração do processo disciplinar é a presença de indícios de materialidade dos fatos e de autoria das infrações administrativas praticadas, o que foi atendido pela decisão combatida.</w:t>
      </w:r>
    </w:p>
    <w:p>
      <w:pPr>
        <w:ind w:left="288"/>
      </w:pPr>
      <w:r>
        <w:rPr>
          <w:b/>
          <w:color w:val="003CA0"/>
          <w:sz w:val="16"/>
        </w:rPr>
        <w:t>[MS 28.306, rel. min. Ricardo Lewandowski, j. 2-3-2011, P, DJE de 28-3-2011.]</w:t>
      </w:r>
    </w:p>
    <w:p>
      <w:pPr>
        <w:ind w:left="288"/>
      </w:pPr>
      <w:r>
        <w:rPr>
          <w:color w:val="8C8C8C"/>
          <w:sz w:val="12"/>
        </w:rPr>
        <w:t>cf-art-93-inc-VI</w:t>
      </w:r>
      <w:r>
        <w:rPr>
          <w:color w:val="003CA0"/>
          <w:sz w:val="12"/>
        </w:rPr>
        <w:t xml:space="preserve"> | HC 105.349</w:t>
      </w:r>
      <w:r>
        <w:rPr>
          <w:color w:val="003CA0"/>
          <w:sz w:val="12"/>
        </w:rPr>
        <w:t xml:space="preserve"> | rel. Ayres Britto</w:t>
      </w:r>
    </w:p>
    <w:p>
      <w:pPr>
        <w:ind w:left="288"/>
      </w:pPr>
      <w:r>
        <w:rPr>
          <w:color w:val="1E1E1E"/>
          <w:sz w:val="18"/>
        </w:rPr>
        <w:t>A falta de fundamentação não se confunde com fundamentação sucinta. Interpretação que se extrai do inciso IX do art. 93 da CF/1988.</w:t>
      </w:r>
    </w:p>
    <w:p>
      <w:pPr>
        <w:ind w:left="288"/>
      </w:pPr>
      <w:r>
        <w:rPr>
          <w:b/>
          <w:color w:val="003CA0"/>
          <w:sz w:val="16"/>
        </w:rPr>
        <w:t>[HC 105.349 AgR, rel. min. Ayres Britto, j. 23-11-2010, 2ª T, DJE de 17-2-2011.]</w:t>
      </w:r>
    </w:p>
    <w:p>
      <w:pPr>
        <w:ind w:left="288"/>
      </w:pPr>
      <w:r>
        <w:rPr>
          <w:color w:val="8C8C8C"/>
          <w:sz w:val="12"/>
        </w:rPr>
        <w:t>cf-art-93-inc-VI</w:t>
      </w:r>
      <w:r>
        <w:rPr>
          <w:color w:val="003CA0"/>
          <w:sz w:val="12"/>
        </w:rPr>
        <w:t xml:space="preserve"> | HC 94.274</w:t>
      </w:r>
      <w:r>
        <w:rPr>
          <w:color w:val="003CA0"/>
          <w:sz w:val="12"/>
        </w:rPr>
        <w:t xml:space="preserve"> | rel. Ayres Britto</w:t>
      </w:r>
    </w:p>
    <w:p>
      <w:pPr>
        <w:ind w:left="288"/>
      </w:pPr>
      <w:r>
        <w:rPr>
          <w:color w:val="1E1E1E"/>
          <w:sz w:val="18"/>
        </w:rPr>
        <w:t>Na pronúncia, o dever de fundamentação imposto ao magistrado é de ser cumprido dentro de limites estreitos. Fundamentação que é de se restringir à comprovação da materialidade do fato criminoso e à indicação dos indícios da autoria delitiva. Tudo o mais, todas as teses defensivas, todos os elementos de prova já coligidos hão de ser sopesados pelo próprio conselho de sentença, que é soberano em tema de crimes dolosos contra a vida. É vedado ao juízo de pronúncia o exame conclusivo dos elementos probatórios constantes dos autos. Além de se esperar que esse juízo pronunciante seja externado em li</w:t>
      </w:r>
    </w:p>
    <w:p>
      <w:pPr>
        <w:ind w:left="288"/>
      </w:pPr>
      <w:r>
        <w:rPr>
          <w:b/>
          <w:color w:val="003CA0"/>
          <w:sz w:val="16"/>
        </w:rPr>
        <w:t>[HC 94.274, rel. min. Ayres Britto, j. 1º-12-2009, 1ª T, DJE de 5-2-2010.]</w:t>
      </w:r>
    </w:p>
    <w:p>
      <w:pPr>
        <w:ind w:left="288"/>
      </w:pPr>
      <w:r>
        <w:rPr>
          <w:color w:val="8C8C8C"/>
          <w:sz w:val="12"/>
        </w:rPr>
        <w:t>cf-art-93-inc-VI</w:t>
      </w:r>
      <w:r>
        <w:rPr>
          <w:color w:val="003CA0"/>
          <w:sz w:val="12"/>
        </w:rPr>
        <w:t xml:space="preserve"> | AI 744.897</w:t>
      </w:r>
      <w:r>
        <w:rPr>
          <w:color w:val="003CA0"/>
          <w:sz w:val="12"/>
        </w:rPr>
        <w:t xml:space="preserve"> | rel. Cármen Lúcia</w:t>
      </w:r>
    </w:p>
    <w:p>
      <w:pPr>
        <w:ind w:left="288"/>
      </w:pPr>
      <w:r>
        <w:rPr>
          <w:color w:val="1E1E1E"/>
          <w:sz w:val="18"/>
        </w:rPr>
        <w:t xml:space="preserve">= AI 744.897 AgR, rel. min. Cármen Lúcia, j. 9-6-2009, 1ª T, DJE de 7-8-2009 = HC 89.833, rel. min. Ricardo Lewandowski, j. 27-3-2007, 1ª T, DJ de 4-5-2007 No caso, tenho por desatendido o dever jurisdicional de fundamentação real das decisões. É que a ordem constritiva está assentada, tão somente, na reprodução de algumas das expressões do art. 312 do CPP. Pelo que não se enxerga no decreto de prisão o conteúdo mínimo da garantia da fundamentação real das decisões judiciais. Garantia constitucional que se lê na segunda parte do inciso LXI do art. 5º e na parte inicial do inciso IX do art. 93 </w:t>
      </w:r>
    </w:p>
    <w:p>
      <w:pPr>
        <w:ind w:left="288"/>
      </w:pPr>
      <w:r>
        <w:rPr>
          <w:b/>
          <w:color w:val="003CA0"/>
          <w:sz w:val="16"/>
        </w:rPr>
        <w:t>[HC 98.006, rel. min. Ayres Britto, j. 24-11-2009, 1ª T, DJE de 5-2-2010.]</w:t>
      </w:r>
    </w:p>
    <w:p>
      <w:pPr>
        <w:ind w:left="288"/>
      </w:pPr>
      <w:r>
        <w:rPr>
          <w:color w:val="8C8C8C"/>
          <w:sz w:val="12"/>
        </w:rPr>
        <w:t>cf-art-93-inc-VI</w:t>
      </w:r>
      <w:r>
        <w:rPr>
          <w:color w:val="003CA0"/>
          <w:sz w:val="12"/>
        </w:rPr>
        <w:t xml:space="preserve"> | RHC 97.473</w:t>
      </w:r>
    </w:p>
    <w:p>
      <w:pPr>
        <w:ind w:left="288"/>
      </w:pPr>
      <w:r>
        <w:rPr>
          <w:color w:val="1E1E1E"/>
          <w:sz w:val="18"/>
        </w:rPr>
        <w:t>A apelação do Ministério Público devolve ao tribunal de justiça local a análise dos fatos e de seu enquadramento. Valorar os mesmos fatos anteriormente considerados pelo juízo de primeiro grau para aplicar uma pena maior e modificar o regime prisional para um mais gravoso está no âmbito da competência do tribunal de justiça, sem que isso configure ofensa ao art. 93, IX, da CF.</w:t>
      </w:r>
    </w:p>
    <w:p>
      <w:pPr>
        <w:ind w:left="288"/>
      </w:pPr>
      <w:r>
        <w:rPr>
          <w:b/>
          <w:color w:val="003CA0"/>
          <w:sz w:val="16"/>
        </w:rPr>
        <w:t>[RHC 97.473, red. do ac. min. Dias Toffoli, j. 10-11-2009, 1ª T, DJE de 18-12-2009.]</w:t>
      </w:r>
    </w:p>
    <w:p>
      <w:pPr>
        <w:ind w:left="288"/>
      </w:pPr>
      <w:r>
        <w:rPr>
          <w:color w:val="8C8C8C"/>
          <w:sz w:val="12"/>
        </w:rPr>
        <w:t>cf-art-93-inc-VI</w:t>
      </w:r>
      <w:r>
        <w:rPr>
          <w:color w:val="003CA0"/>
          <w:sz w:val="12"/>
        </w:rPr>
        <w:t xml:space="preserve"> | AI 650.375</w:t>
      </w:r>
      <w:r>
        <w:rPr>
          <w:color w:val="003CA0"/>
          <w:sz w:val="12"/>
        </w:rPr>
        <w:t xml:space="preserve"> | rel. Sepúlveda Pertence</w:t>
      </w:r>
    </w:p>
    <w:p>
      <w:pPr>
        <w:ind w:left="288"/>
      </w:pPr>
      <w:r>
        <w:rPr>
          <w:color w:val="1E1E1E"/>
          <w:sz w:val="18"/>
        </w:rPr>
        <w:t>Não há falar em negativa de prestação jurisdicional quando, como ocorre na espécie vertente, "a parte teve acesso aos recursos cabíveis na espécie e a jurisdição foi prestada (...) mediante decisão suficientemente motivada, não obstante contrária à pretensão do recorrente" (AI 650.375 AgR, rel. min. Sepúlveda Pertence, DJ de 10-8-2007), e "o órgão judicante não é obrigado a se manifestar sobre todas as teses apresentadas pela defesa, bastando que aponte fundamentadamente as razões de seu convencimento" (AI 690.504 AgR, rel. min. Joaquim Barbosa, DJE de 23-5-2008).</w:t>
      </w:r>
    </w:p>
    <w:p>
      <w:pPr>
        <w:ind w:left="288"/>
      </w:pPr>
      <w:r>
        <w:rPr>
          <w:b/>
          <w:color w:val="003CA0"/>
          <w:sz w:val="16"/>
        </w:rPr>
        <w:t>[AI 747.611 AgR, rel. min. Cármen Lúcia, j. 13-10-2009, 1ª T, DJE de 13-11-2009.]</w:t>
      </w:r>
    </w:p>
    <w:p>
      <w:pPr>
        <w:ind w:left="288"/>
      </w:pPr>
      <w:r>
        <w:rPr>
          <w:color w:val="8C8C8C"/>
          <w:sz w:val="12"/>
        </w:rPr>
        <w:t>cf-art-93-inc-VI</w:t>
      </w:r>
      <w:r>
        <w:rPr>
          <w:color w:val="003CA0"/>
          <w:sz w:val="12"/>
        </w:rPr>
        <w:t xml:space="preserve"> | AI 811.144</w:t>
      </w:r>
      <w:r>
        <w:rPr>
          <w:color w:val="003CA0"/>
          <w:sz w:val="12"/>
        </w:rPr>
        <w:t xml:space="preserve"> | rel. Rosa Weber</w:t>
      </w:r>
    </w:p>
    <w:p>
      <w:pPr>
        <w:ind w:left="288"/>
      </w:pPr>
      <w:r>
        <w:rPr>
          <w:color w:val="1E1E1E"/>
          <w:sz w:val="18"/>
        </w:rPr>
        <w:t>= AI 811.144 AgR, rel. min. Rosa Weber, j. 28-2-2012, 1ª T, DJE de 15-3-2012 = AI 791.149 ED, rel. min. Ricardo Lewandowski, j. 17-8-2010, 1ª T, DJE de 24-9-2010 O quadro empírico da causa impede o imediato estabelecimento da pena-base em quatro anos (mínimo legal). Inexistência de afronta às garantias constitucionais da individualização da pena e da fundamentação das decisões judiciais (inciso XLVI do art. 5º e inciso IX do art. 93, ambos da CF de 1988). Se o juízo processante justificou corretamente a fixação da pena-base em patamar superior ao mínimo legal, não cabe falar em regime prisiona</w:t>
      </w:r>
    </w:p>
    <w:p>
      <w:pPr>
        <w:ind w:left="288"/>
      </w:pPr>
      <w:r>
        <w:rPr>
          <w:b/>
          <w:color w:val="003CA0"/>
          <w:sz w:val="16"/>
        </w:rPr>
        <w:t>[HC 95.614, rel. min. Ayres Britto, j. 13-10-2009, 1ª T, DJE de 13-11-2009.]</w:t>
      </w:r>
    </w:p>
    <w:p>
      <w:pPr>
        <w:ind w:left="288"/>
      </w:pPr>
      <w:r>
        <w:rPr>
          <w:color w:val="8C8C8C"/>
          <w:sz w:val="12"/>
        </w:rPr>
        <w:t>cf-art-93-inc-VI</w:t>
      </w:r>
      <w:r>
        <w:rPr>
          <w:color w:val="003CA0"/>
          <w:sz w:val="12"/>
        </w:rPr>
        <w:t xml:space="preserve"> | HC 96.590</w:t>
      </w:r>
      <w:r>
        <w:rPr>
          <w:color w:val="003CA0"/>
          <w:sz w:val="12"/>
        </w:rPr>
        <w:t xml:space="preserve"> | rel. Celso de Mello</w:t>
      </w:r>
    </w:p>
    <w:p>
      <w:pPr>
        <w:ind w:left="288"/>
      </w:pPr>
      <w:r>
        <w:rPr>
          <w:color w:val="1E1E1E"/>
          <w:sz w:val="18"/>
        </w:rPr>
        <w:t>Vide HC 96.590, rel. min. Celso de Mello, j. 9-6-2009, 2ª T, DJE de 4-12-2009 Vide HC 71.952, voto do rel. min. Celso de Mello, j. 4-4-1995, 1ª T, DJE de 11-12-2009 A dosimetria da pena exige do julgador uma cuidadosa ponderação dos efeitos ético-sociais da sanção e das garantias constitucionais, especialmente a garantia da individualização do castigo. Em matéria penal, a necessidade de fundamentação das decisões judiciais tem na fixação da pena um dos seus momentos culminantes. Não há ilegalidade ou abuso de poder se, no trajeto da aplicação da pena, o julgador explicita os motivos de sua dec</w:t>
      </w:r>
    </w:p>
    <w:p>
      <w:pPr>
        <w:ind w:left="288"/>
      </w:pPr>
      <w:r>
        <w:rPr>
          <w:b/>
          <w:color w:val="003CA0"/>
          <w:sz w:val="16"/>
        </w:rPr>
        <w:t>[RHC 95.778, rel. min. Ayres Britto, j. 15-9-2009, 1ª T, DJE de 16-10-2009.]</w:t>
      </w:r>
    </w:p>
    <w:p>
      <w:pPr>
        <w:ind w:left="288"/>
      </w:pPr>
      <w:r>
        <w:rPr>
          <w:color w:val="8C8C8C"/>
          <w:sz w:val="12"/>
        </w:rPr>
        <w:t>cf-art-93-inc-VI</w:t>
      </w:r>
      <w:r>
        <w:rPr>
          <w:color w:val="003CA0"/>
          <w:sz w:val="12"/>
        </w:rPr>
        <w:t xml:space="preserve"> | HC 68.742</w:t>
      </w:r>
      <w:r>
        <w:rPr>
          <w:color w:val="003CA0"/>
          <w:sz w:val="12"/>
        </w:rPr>
        <w:t xml:space="preserve"> | rel. Eros Grau</w:t>
      </w:r>
    </w:p>
    <w:p>
      <w:pPr>
        <w:ind w:left="288"/>
      </w:pPr>
      <w:r>
        <w:rPr>
          <w:color w:val="1E1E1E"/>
          <w:sz w:val="18"/>
        </w:rPr>
        <w:t>Vide HC 68.742, red. do ac. min. Ilmar Galvão, j. 28-6-1991, P, DJ de 2-4-1993 Não cabe falar em excesso de linguagem na sentença de pronúncia se evidenciado que o juiz-presidente do tribunal do júri limitou-se a explicitar os fundamentos de sua convicção, na forma do disposto nos arts. 413 do CPP, na redação conferida pela Lei 11.689/2008, e 93, IX, da CF/1988.</w:t>
      </w:r>
    </w:p>
    <w:p>
      <w:pPr>
        <w:ind w:left="288"/>
      </w:pPr>
      <w:r>
        <w:rPr>
          <w:b/>
          <w:color w:val="003CA0"/>
          <w:sz w:val="16"/>
        </w:rPr>
        <w:t>[HC 93.191, rel. min. Eros Grau, j. 8-9-2009, 2ª T, DJE de 23-10-2009.]</w:t>
      </w:r>
    </w:p>
    <w:p>
      <w:pPr>
        <w:ind w:left="288"/>
      </w:pPr>
      <w:r>
        <w:rPr>
          <w:color w:val="8C8C8C"/>
          <w:sz w:val="12"/>
        </w:rPr>
        <w:t>cf-art-93-inc-VI</w:t>
      </w:r>
      <w:r>
        <w:rPr>
          <w:color w:val="003CA0"/>
          <w:sz w:val="12"/>
        </w:rPr>
        <w:t xml:space="preserve"> | HC 98.814</w:t>
      </w:r>
      <w:r>
        <w:rPr>
          <w:color w:val="003CA0"/>
          <w:sz w:val="12"/>
        </w:rPr>
        <w:t xml:space="preserve"> | rel. Ellen Gracie</w:t>
      </w:r>
    </w:p>
    <w:p>
      <w:pPr>
        <w:ind w:left="288"/>
      </w:pPr>
      <w:r>
        <w:rPr>
          <w:color w:val="1E1E1E"/>
          <w:sz w:val="18"/>
        </w:rPr>
        <w:t>Não viola o art. 93, IX, da CF o acórdão que adota os fundamentos da sentença de primeiro grau como razão de decidir.</w:t>
      </w:r>
    </w:p>
    <w:p>
      <w:pPr>
        <w:ind w:left="288"/>
      </w:pPr>
      <w:r>
        <w:rPr>
          <w:b/>
          <w:color w:val="003CA0"/>
          <w:sz w:val="16"/>
        </w:rPr>
        <w:t>[HC 98.814, rel. min. Ellen Gracie, j. 23-6-2009, 2ª T, DJE de 4-9-2009.]</w:t>
      </w:r>
    </w:p>
    <w:p>
      <w:pPr>
        <w:ind w:left="288"/>
      </w:pPr>
      <w:r>
        <w:rPr>
          <w:color w:val="8C8C8C"/>
          <w:sz w:val="12"/>
        </w:rPr>
        <w:t>cf-art-93-inc-VI</w:t>
      </w:r>
      <w:r>
        <w:rPr>
          <w:color w:val="003CA0"/>
          <w:sz w:val="12"/>
        </w:rPr>
        <w:t xml:space="preserve"> | HC 94.384</w:t>
      </w:r>
      <w:r>
        <w:rPr>
          <w:color w:val="003CA0"/>
          <w:sz w:val="12"/>
        </w:rPr>
        <w:t xml:space="preserve"> | rel. Dias Toffoli</w:t>
      </w:r>
    </w:p>
    <w:p>
      <w:pPr>
        <w:ind w:left="288"/>
      </w:pPr>
      <w:r>
        <w:rPr>
          <w:color w:val="1E1E1E"/>
          <w:sz w:val="18"/>
        </w:rPr>
        <w:t>= HC 94.384, rel. min. Dias Toffoli, j. 2-3-2010, 1ª T, DJE de 26-3-2010 Vide AI 789.441 AgR, rel. min. Ricardo Lewandowski, j. 9-11-2010, 1ª T, DJE de 25-11-2010 Vide AI 664.641 ED, rel. min. Cármen Lúcia, j. 16-9-2008, 1ª T, DJE de 20-2-2009 Vide MS 25.936 ED, rel. min. Celso de Mello, j. 13-6-2007, P, DJE de 18-9-2009 Vide HC 86.533, rel. min. Eros Grau, j. 8-11-2005, 1ª T, DJ de 2-12-2005 Nada impede que o magistrado das execuções criminais, facultativamente, requisite o exame criminológico e o utilize como fundamento da decisão que julga o pedido de progressão.</w:t>
      </w:r>
    </w:p>
    <w:p>
      <w:pPr>
        <w:ind w:left="288"/>
      </w:pPr>
      <w:r>
        <w:rPr>
          <w:b/>
          <w:color w:val="003CA0"/>
          <w:sz w:val="16"/>
        </w:rPr>
        <w:t>[HC 96.660, rel. min. Ricardo Lewandowski, j. 23-6-2009, 1ª T, DJE de 21-8-2009.]</w:t>
      </w:r>
    </w:p>
    <w:p>
      <w:pPr>
        <w:ind w:left="288"/>
      </w:pPr>
      <w:r>
        <w:rPr>
          <w:color w:val="8C8C8C"/>
          <w:sz w:val="12"/>
        </w:rPr>
        <w:t>cf-art-93-inc-VI</w:t>
      </w:r>
      <w:r>
        <w:rPr>
          <w:color w:val="003CA0"/>
          <w:sz w:val="12"/>
        </w:rPr>
        <w:t xml:space="preserve"> | HC 105.185</w:t>
      </w:r>
      <w:r>
        <w:rPr>
          <w:color w:val="003CA0"/>
          <w:sz w:val="12"/>
        </w:rPr>
        <w:t xml:space="preserve"> | rel. Gilmar Mendes</w:t>
      </w:r>
    </w:p>
    <w:p>
      <w:pPr>
        <w:ind w:left="288"/>
      </w:pPr>
      <w:r>
        <w:rPr>
          <w:color w:val="1E1E1E"/>
          <w:sz w:val="18"/>
        </w:rPr>
        <w:t>= HC 105.185, rel. min. Gilmar Mendes, j. 23-11-2010, 2ª T, DJE de 9-12-2010 Vide HC 92.378, red. do ac. min. Cármen Lúcia, j. 9-9-2008, 1ª T, DJE de 8-5-2009 Se é certo, de um lado, que nenhum condenado tem direito público subjetivo à estipulação da pena-base em seu grau mínimo, não é menos exato, de outro, que não se mostra lícito, ao magistrado sentenciante, proceder a uma especial exacerbação da pena-base, exceto se o fizer em ato decisório adequadamente motivado, que satisfaça, de modo pleno, a exigência de fundamentação substancial evidenciadora da necessária relação de proporcionalidade</w:t>
      </w:r>
    </w:p>
    <w:p>
      <w:pPr>
        <w:ind w:left="288"/>
      </w:pPr>
      <w:r>
        <w:rPr>
          <w:b/>
          <w:color w:val="003CA0"/>
          <w:sz w:val="16"/>
        </w:rPr>
        <w:t>[HC 96.590, rel. min. Celso de Mello, j. 9-6-2009, 2ª T, DJE de 4-12-2009.]</w:t>
      </w:r>
    </w:p>
    <w:p>
      <w:pPr>
        <w:ind w:left="288"/>
      </w:pPr>
      <w:r>
        <w:rPr>
          <w:color w:val="8C8C8C"/>
          <w:sz w:val="12"/>
        </w:rPr>
        <w:t>cf-art-93-inc-VI</w:t>
      </w:r>
      <w:r>
        <w:rPr>
          <w:color w:val="003CA0"/>
          <w:sz w:val="12"/>
        </w:rPr>
        <w:t xml:space="preserve"> | HC 98.729</w:t>
      </w:r>
      <w:r>
        <w:rPr>
          <w:color w:val="003CA0"/>
          <w:sz w:val="12"/>
        </w:rPr>
        <w:t xml:space="preserve"> | rel. Ayres Britto</w:t>
      </w:r>
    </w:p>
    <w:p>
      <w:pPr>
        <w:ind w:left="288"/>
      </w:pPr>
      <w:r>
        <w:rPr>
          <w:color w:val="1E1E1E"/>
          <w:sz w:val="18"/>
        </w:rPr>
        <w:t>= HC 98.729, rel. min. Ayres Britto, j. 25-5-2010, 1ª T, DJE de 25-6-2010 Vide HC 95.614, rel. min. Ayres Britto, j. 13-10-2009, 1ª T, DJE de 13-11-2009 A decisão, como ato de inteligência, há de ser a mais completa e convincente possível. Incumbe ao Estado-juiz observar a estrutura imposta por lei, formalizando o relatório, a fundamentação e o dispositivo. Transgride comezinha noção do devido processo legal, desafiando os recursos de revista, especial e extraordinário pronunciamento que, inexistente incompatibilidade com o já assentado, implique recusa em apreciar causa de pedir veiculada por</w:t>
      </w:r>
    </w:p>
    <w:p>
      <w:pPr>
        <w:ind w:left="288"/>
      </w:pPr>
      <w:r>
        <w:rPr>
          <w:b/>
          <w:color w:val="003CA0"/>
          <w:sz w:val="16"/>
        </w:rPr>
        <w:t>[RE 435.256, rel. min. Marco Aurélio, j. 26-5-2009, 1ª T, DJE de 21-8-2009.]</w:t>
      </w:r>
    </w:p>
    <w:p>
      <w:pPr>
        <w:ind w:left="288"/>
      </w:pPr>
      <w:r>
        <w:rPr>
          <w:color w:val="8C8C8C"/>
          <w:sz w:val="12"/>
        </w:rPr>
        <w:t>cf-art-93-inc-VI</w:t>
      </w:r>
      <w:r>
        <w:rPr>
          <w:color w:val="003CA0"/>
          <w:sz w:val="12"/>
        </w:rPr>
        <w:t xml:space="preserve"> | HC 94.243</w:t>
      </w:r>
      <w:r>
        <w:rPr>
          <w:color w:val="003CA0"/>
          <w:sz w:val="12"/>
        </w:rPr>
        <w:t xml:space="preserve"> | rel. Eros Grau</w:t>
      </w:r>
    </w:p>
    <w:p>
      <w:pPr>
        <w:ind w:left="288"/>
      </w:pPr>
      <w:r>
        <w:rPr>
          <w:color w:val="1E1E1E"/>
          <w:sz w:val="18"/>
        </w:rPr>
        <w:t>Transcrição e adoção, como razões de decidir, de depoimentos de testemunhas. Ausência de afronta ao disposto no art. 93, IX, da Constituição do Brasil/1988.</w:t>
      </w:r>
    </w:p>
    <w:p>
      <w:pPr>
        <w:ind w:left="288"/>
      </w:pPr>
      <w:r>
        <w:rPr>
          <w:b/>
          <w:color w:val="003CA0"/>
          <w:sz w:val="16"/>
        </w:rPr>
        <w:t>[HC 94.243, rel. min. Eros Grau, j. 31-3-2009, 2ª T, DJE de 14-8-2009.]</w:t>
      </w:r>
    </w:p>
    <w:p>
      <w:pPr>
        <w:ind w:left="288"/>
      </w:pPr>
      <w:r>
        <w:rPr>
          <w:color w:val="8C8C8C"/>
          <w:sz w:val="12"/>
        </w:rPr>
        <w:t>cf-art-93-inc-VI</w:t>
      </w:r>
      <w:r>
        <w:rPr>
          <w:color w:val="003CA0"/>
          <w:sz w:val="12"/>
        </w:rPr>
        <w:t xml:space="preserve"> | RE 456.673</w:t>
      </w:r>
      <w:r>
        <w:rPr>
          <w:color w:val="003CA0"/>
          <w:sz w:val="12"/>
        </w:rPr>
        <w:t xml:space="preserve"> | rel. Cezar Peluso</w:t>
      </w:r>
    </w:p>
    <w:p>
      <w:pPr>
        <w:ind w:left="288"/>
      </w:pPr>
      <w:r>
        <w:rPr>
          <w:color w:val="1E1E1E"/>
          <w:sz w:val="18"/>
        </w:rPr>
        <w:t>É nula a decisão que recebe denúncia sem fundamentação suficiente sobre a admissibilidade da ação penal.</w:t>
      </w:r>
    </w:p>
    <w:p>
      <w:pPr>
        <w:ind w:left="288"/>
      </w:pPr>
      <w:r>
        <w:rPr>
          <w:b/>
          <w:color w:val="003CA0"/>
          <w:sz w:val="16"/>
        </w:rPr>
        <w:t>[RE 456.673, rel. min. Cezar Peluso, j. 31-3-2009, 2ª T, DJE de 22-5-2009.]</w:t>
      </w:r>
    </w:p>
    <w:p>
      <w:pPr>
        <w:ind w:left="288"/>
      </w:pPr>
      <w:r>
        <w:rPr>
          <w:color w:val="8C8C8C"/>
          <w:sz w:val="12"/>
        </w:rPr>
        <w:t>cf-art-93-inc-VI</w:t>
      </w:r>
      <w:r>
        <w:rPr>
          <w:color w:val="003CA0"/>
          <w:sz w:val="12"/>
        </w:rPr>
        <w:t xml:space="preserve"> | HC 95.009</w:t>
      </w:r>
      <w:r>
        <w:rPr>
          <w:color w:val="003CA0"/>
          <w:sz w:val="12"/>
        </w:rPr>
        <w:t xml:space="preserve"> | rel. Eros Grau</w:t>
      </w:r>
    </w:p>
    <w:p>
      <w:pPr>
        <w:ind w:left="288"/>
      </w:pPr>
      <w:r>
        <w:rPr>
          <w:color w:val="1E1E1E"/>
          <w:sz w:val="18"/>
        </w:rPr>
        <w:t>A neutralidade impõe que o juiz se mantenha em situação exterior ao conflito objeto da lide a ser solucionada. O juiz há de ser estranho ao conflito. A independência é expressão da atitude do juiz em face de influências provenientes do sistema e do governo. Permite-lhe tomar não apenas decisões contrárias a interesses do governo – quando o exijam a Constituição e a lei – mas também impopulares, que a imprensa e a opinião pública não gostariam que fossem adotadas. A imparcialidade é expressão da atitude do juiz em face de influências provenientes das partes nos processos judiciais a ele submeti</w:t>
      </w:r>
    </w:p>
    <w:p>
      <w:pPr>
        <w:ind w:left="288"/>
      </w:pPr>
      <w:r>
        <w:rPr>
          <w:b/>
          <w:color w:val="003CA0"/>
          <w:sz w:val="16"/>
        </w:rPr>
        <w:t>[HC 95.009, rel. min. Eros Grau, j. 6-11-2008, P, DJE de 19-12-2008.]</w:t>
      </w:r>
    </w:p>
    <w:p>
      <w:pPr>
        <w:ind w:left="288"/>
      </w:pPr>
      <w:r>
        <w:rPr>
          <w:color w:val="8C8C8C"/>
          <w:sz w:val="12"/>
        </w:rPr>
        <w:t>cf-art-93-inc-VI</w:t>
      </w:r>
      <w:r>
        <w:rPr>
          <w:color w:val="003CA0"/>
          <w:sz w:val="12"/>
        </w:rPr>
        <w:t xml:space="preserve"> | HC 92.378</w:t>
      </w:r>
    </w:p>
    <w:p>
      <w:pPr>
        <w:ind w:left="288"/>
      </w:pPr>
      <w:r>
        <w:rPr>
          <w:color w:val="1E1E1E"/>
          <w:sz w:val="18"/>
        </w:rPr>
        <w:t>Na linha dos precedentes do Supremo Tribunal posteriores à Lei 10.792/2003, o exame criminológico, embora facultativo, deve ser feito por decisão devidamente fundamentada, com a indicação dos motivos e considerando-se as circunstâncias do caso concreto, o que, neste caso, não se apresenta.</w:t>
      </w:r>
    </w:p>
    <w:p>
      <w:pPr>
        <w:ind w:left="288"/>
      </w:pPr>
      <w:r>
        <w:rPr>
          <w:b/>
          <w:color w:val="003CA0"/>
          <w:sz w:val="16"/>
        </w:rPr>
        <w:t>[HC 92.378, red. do ac. min. Cármen Lúcia, j. 9-9-2008, 1ª T, DJE de 8-5-2009.]</w:t>
      </w:r>
    </w:p>
    <w:p>
      <w:pPr>
        <w:ind w:left="288"/>
      </w:pPr>
      <w:r>
        <w:rPr>
          <w:color w:val="8C8C8C"/>
          <w:sz w:val="12"/>
        </w:rPr>
        <w:t>cf-art-93-inc-VI</w:t>
      </w:r>
      <w:r>
        <w:rPr>
          <w:color w:val="003CA0"/>
          <w:sz w:val="12"/>
        </w:rPr>
        <w:t xml:space="preserve"> | HC 103.070</w:t>
      </w:r>
      <w:r>
        <w:rPr>
          <w:color w:val="003CA0"/>
          <w:sz w:val="12"/>
        </w:rPr>
        <w:t xml:space="preserve"> | rel. Luiz Fux</w:t>
      </w:r>
    </w:p>
    <w:p>
      <w:pPr>
        <w:ind w:left="288"/>
      </w:pPr>
      <w:r>
        <w:rPr>
          <w:color w:val="1E1E1E"/>
          <w:sz w:val="18"/>
        </w:rPr>
        <w:t>= HC 103.070, rel. min. Luiz Fux, j. 14-6-2011, 1ª T, DJE de 1º-8-2011 Vide HC 96.660, rel. min. Ricardo Lewandowski, j. 23-6-2009,  1ª T, DJE de 21-8-2009 O STF já assentou entendimento de que não há afronta ao art. 93, IX e X, da Constituição da República quando a decisão for motivada, sendo desnecessária a análise de todos os argumentos apresentados e certo que a contrariedade ao interesse da parte não configura negativa de prestação jurisdicional.</w:t>
      </w:r>
    </w:p>
    <w:p>
      <w:pPr>
        <w:ind w:left="288"/>
      </w:pPr>
      <w:r>
        <w:rPr>
          <w:b/>
          <w:color w:val="003CA0"/>
          <w:sz w:val="16"/>
        </w:rPr>
        <w:t>[MS 26.163, rel. min. Cármen Lúcia, j. 24-4-2008, P, DJE de 5-9-2008.]</w:t>
      </w:r>
    </w:p>
    <w:p>
      <w:pPr>
        <w:ind w:left="288"/>
      </w:pPr>
      <w:r>
        <w:rPr>
          <w:color w:val="8C8C8C"/>
          <w:sz w:val="12"/>
        </w:rPr>
        <w:t>cf-art-93-inc-VI</w:t>
      </w:r>
      <w:r>
        <w:rPr>
          <w:color w:val="003CA0"/>
          <w:sz w:val="12"/>
        </w:rPr>
        <w:t xml:space="preserve"> | HC 91.514</w:t>
      </w:r>
      <w:r>
        <w:rPr>
          <w:color w:val="003CA0"/>
          <w:sz w:val="12"/>
        </w:rPr>
        <w:t xml:space="preserve"> | rel. Gilmar Mendes</w:t>
      </w:r>
    </w:p>
    <w:p>
      <w:pPr>
        <w:ind w:left="288"/>
      </w:pPr>
      <w:r>
        <w:rPr>
          <w:color w:val="1E1E1E"/>
          <w:sz w:val="18"/>
        </w:rPr>
        <w:t>Segundo a jurisprudência do STF, não basta a mera explicitação textual dos requisitos previstos pelo art. 312 do CPP, mas é indispensável a indicação de elementos concretos que demonstrem a necessidade da segregação preventiva. (...) A prisão preventiva é medida excepcional que demanda a explicitação de fundamentos consistentes e individualizados com relação a cada um dos cidadãos investigados (CF, arts. 93, IX, e 5º, XLVI).</w:t>
      </w:r>
    </w:p>
    <w:p>
      <w:pPr>
        <w:ind w:left="288"/>
      </w:pPr>
      <w:r>
        <w:rPr>
          <w:b/>
          <w:color w:val="003CA0"/>
          <w:sz w:val="16"/>
        </w:rPr>
        <w:t>[HC 91.514, rel. min. Gilmar Mendes, j. 11-3-2008, 2ª T, DJE de 16-5-2008.]</w:t>
      </w:r>
    </w:p>
    <w:p>
      <w:pPr>
        <w:ind w:left="288"/>
      </w:pPr>
      <w:r>
        <w:rPr>
          <w:color w:val="8C8C8C"/>
          <w:sz w:val="12"/>
        </w:rPr>
        <w:t>cf-art-93-inc-VI</w:t>
      </w:r>
      <w:r>
        <w:rPr>
          <w:color w:val="003CA0"/>
          <w:sz w:val="12"/>
        </w:rPr>
        <w:t xml:space="preserve"> | HC 91.641</w:t>
      </w:r>
      <w:r>
        <w:rPr>
          <w:color w:val="003CA0"/>
          <w:sz w:val="12"/>
        </w:rPr>
        <w:t xml:space="preserve"> | rel. Ayres Britto</w:t>
      </w:r>
    </w:p>
    <w:p>
      <w:pPr>
        <w:ind w:left="288"/>
      </w:pPr>
      <w:r>
        <w:rPr>
          <w:color w:val="1E1E1E"/>
          <w:sz w:val="18"/>
        </w:rPr>
        <w:t>O inconformismo da defesa com a tese encampada no acórdão do tribunal estadual não evidencia a falta de fundamentação da decisão. Não há que se falar em falta de apreciação de tese defensiva, se o tribunal estadual emitiu juízo sobre a questão suscitada pelos advogados dos pacientes.</w:t>
      </w:r>
    </w:p>
    <w:p>
      <w:pPr>
        <w:ind w:left="288"/>
      </w:pPr>
      <w:r>
        <w:rPr>
          <w:b/>
          <w:color w:val="003CA0"/>
          <w:sz w:val="16"/>
        </w:rPr>
        <w:t>[HC 91.641, rel. min. Ayres Britto, j. 30-10-2007, 1ª T, DJE de 18-4-2008.]</w:t>
      </w:r>
    </w:p>
    <w:p>
      <w:pPr>
        <w:ind w:left="288"/>
      </w:pPr>
      <w:r>
        <w:rPr>
          <w:color w:val="8C8C8C"/>
          <w:sz w:val="12"/>
        </w:rPr>
        <w:t>cf-art-93-inc-VI</w:t>
      </w:r>
      <w:r>
        <w:rPr>
          <w:color w:val="003CA0"/>
          <w:sz w:val="12"/>
        </w:rPr>
        <w:t xml:space="preserve"> | RHC 92.886</w:t>
      </w:r>
      <w:r>
        <w:rPr>
          <w:color w:val="003CA0"/>
          <w:sz w:val="12"/>
        </w:rPr>
        <w:t xml:space="preserve"> | rel. Joaquim Barbosa</w:t>
      </w:r>
    </w:p>
    <w:p>
      <w:pPr>
        <w:ind w:left="288"/>
      </w:pPr>
      <w:r>
        <w:rPr>
          <w:color w:val="1E1E1E"/>
          <w:sz w:val="18"/>
        </w:rPr>
        <w:t>= RHC 92.886 AgR, rel. min. Joaquim Barbosa, j. 21-9-2010, 2ª T, DJE de 22-10-2010 Revela-se legítima e plenamente compatível com a exigência imposta pelo art. 93, IX, da Constituição da República, a utilização, por magistrados, da técnica da motivação per relationem, que se caracteriza pela remissão que o ato judicial expressamente faz a outras manifestações ou peças processuais existentes nos autos, mesmo as produzidas pelas partes, pelo Ministério Público ou por autoridades públicas, cujo teor indique os fundamentos de fato e/ou de direito que justifiquem a decisão emanada do Poder Judiciár</w:t>
      </w:r>
    </w:p>
    <w:p>
      <w:pPr>
        <w:ind w:left="288"/>
      </w:pPr>
      <w:r>
        <w:rPr>
          <w:b/>
          <w:color w:val="003CA0"/>
          <w:sz w:val="16"/>
        </w:rPr>
        <w:t>[MS 25.936 ED, rel. min. Celso de Mello, j. 13-6-2007, P, DJE de 18-9-2009.]</w:t>
      </w:r>
    </w:p>
    <w:p>
      <w:pPr>
        <w:ind w:left="288"/>
      </w:pPr>
      <w:r>
        <w:rPr>
          <w:color w:val="8C8C8C"/>
          <w:sz w:val="12"/>
        </w:rPr>
        <w:t>cf-art-93-inc-VI</w:t>
      </w:r>
      <w:r>
        <w:rPr>
          <w:color w:val="003CA0"/>
          <w:sz w:val="12"/>
        </w:rPr>
        <w:t xml:space="preserve"> | AI 814.640</w:t>
      </w:r>
      <w:r>
        <w:rPr>
          <w:color w:val="003CA0"/>
          <w:sz w:val="12"/>
        </w:rPr>
        <w:t xml:space="preserve"> | rel. Ricardo Lewandowski</w:t>
      </w:r>
    </w:p>
    <w:p>
      <w:pPr>
        <w:ind w:left="288"/>
      </w:pPr>
      <w:r>
        <w:rPr>
          <w:color w:val="1E1E1E"/>
          <w:sz w:val="18"/>
        </w:rPr>
        <w:t>= AI 814.640 AgR, rel. min. Ricardo Lewandowski, j. 2-12-2010, 1ª T, DJE de 1º-2-2011 = HC 92.020, rel. min. Joaquim Barbosa, j. 21-9-2010, 2ª T, DJE de 8-11-2010 Não há falar em nulidade, por ofensa ao dever de fundamentação ou de prestação jurisdicional, quando a decisão que julga prejudicado conflito negativo de competência faz expressa referência a outro conflito de competência, que analisou os mesmos fatos, envolvendo as mesmas partes e que concluiu pela identidade das situações jurídicas.</w:t>
      </w:r>
    </w:p>
    <w:p>
      <w:pPr>
        <w:ind w:left="288"/>
      </w:pPr>
      <w:r>
        <w:rPr>
          <w:b/>
          <w:color w:val="003CA0"/>
          <w:sz w:val="16"/>
        </w:rPr>
        <w:t>[HC 89.437, rel. min. Ricardo Lewandowski, j. 5-6-2007, 1ª T, DJ de 22-6-2007.]</w:t>
      </w:r>
    </w:p>
    <w:p>
      <w:pPr>
        <w:ind w:left="288"/>
      </w:pPr>
      <w:r>
        <w:rPr>
          <w:color w:val="8C8C8C"/>
          <w:sz w:val="12"/>
        </w:rPr>
        <w:t>cf-art-93-inc-VI</w:t>
      </w:r>
      <w:r>
        <w:rPr>
          <w:color w:val="003CA0"/>
          <w:sz w:val="12"/>
        </w:rPr>
        <w:t xml:space="preserve"> | MS 25.936</w:t>
      </w:r>
      <w:r>
        <w:rPr>
          <w:color w:val="003CA0"/>
          <w:sz w:val="12"/>
        </w:rPr>
        <w:t xml:space="preserve"> | rel. Celso de Mello</w:t>
      </w:r>
    </w:p>
    <w:p>
      <w:pPr>
        <w:ind w:left="288"/>
      </w:pPr>
      <w:r>
        <w:rPr>
          <w:color w:val="1E1E1E"/>
          <w:sz w:val="18"/>
        </w:rPr>
        <w:t>Vide MS 25.936 ED, rel. min. Celso de Mello, j. 13-6-2007, P, DJE de 18-9-2009 As circunstâncias e consequências do crime permitem mensurar o grau de culpabilidade e reprovabilidade da conduta. Inexigibilidade de fundamentação exaustiva das circunstâncias judiciais consideradas, uma vez que a sentença deve ser lida como um todo.</w:t>
      </w:r>
    </w:p>
    <w:p>
      <w:pPr>
        <w:ind w:left="288"/>
      </w:pPr>
      <w:r>
        <w:rPr>
          <w:b/>
          <w:color w:val="003CA0"/>
          <w:sz w:val="16"/>
        </w:rPr>
        <w:t>[RHC 90.531, rel. min. Ricardo Lewandowski, j. 10-4-2007, 1ª T, DJ de 27-4-2007.]</w:t>
      </w:r>
    </w:p>
    <w:p>
      <w:pPr>
        <w:ind w:left="288"/>
      </w:pPr>
      <w:r>
        <w:rPr>
          <w:color w:val="8C8C8C"/>
          <w:sz w:val="12"/>
        </w:rPr>
        <w:t>cf-art-93-inc-VI</w:t>
      </w:r>
      <w:r>
        <w:rPr>
          <w:color w:val="003CA0"/>
          <w:sz w:val="12"/>
        </w:rPr>
        <w:t xml:space="preserve"> | HC 94.691</w:t>
      </w:r>
      <w:r>
        <w:rPr>
          <w:color w:val="003CA0"/>
          <w:sz w:val="12"/>
        </w:rPr>
        <w:t xml:space="preserve"> | rel. Eros Grau</w:t>
      </w:r>
    </w:p>
    <w:p>
      <w:pPr>
        <w:ind w:left="288"/>
      </w:pPr>
      <w:r>
        <w:rPr>
          <w:color w:val="1E1E1E"/>
          <w:sz w:val="18"/>
        </w:rPr>
        <w:t>= HC 94.691, rel. min. Eros Grau, j. 12-8-2008, 2ª T, DJE de 19-12-2008 Ofensa ao art. 93, IX, da CF. (...) É nula a decisão que decreta prisão preventiva com base em razões abstratas.</w:t>
      </w:r>
    </w:p>
    <w:p>
      <w:pPr>
        <w:ind w:left="288"/>
      </w:pPr>
      <w:r>
        <w:rPr>
          <w:b/>
          <w:color w:val="003CA0"/>
          <w:sz w:val="16"/>
        </w:rPr>
        <w:t>[HC 84.311, rel. min. Cezar Peluso, j. 3-4-2007, 2ª T, DJ de 8-6-2007.]</w:t>
      </w:r>
    </w:p>
    <w:p>
      <w:pPr>
        <w:ind w:left="288"/>
      </w:pPr>
      <w:r>
        <w:rPr>
          <w:color w:val="8C8C8C"/>
          <w:sz w:val="12"/>
        </w:rPr>
        <w:t>cf-art-93-inc-VI</w:t>
      </w:r>
      <w:r>
        <w:rPr>
          <w:color w:val="003CA0"/>
          <w:sz w:val="12"/>
        </w:rPr>
        <w:t xml:space="preserve"> | RE 335.302</w:t>
      </w:r>
      <w:r>
        <w:rPr>
          <w:color w:val="003CA0"/>
          <w:sz w:val="12"/>
        </w:rPr>
        <w:t xml:space="preserve"> | rel. Ellen Gracie</w:t>
      </w:r>
    </w:p>
    <w:p>
      <w:pPr>
        <w:ind w:left="288"/>
      </w:pPr>
      <w:r>
        <w:rPr>
          <w:color w:val="1E1E1E"/>
          <w:sz w:val="18"/>
        </w:rPr>
        <w:t>Não há violação ao art. 93, IX, da CF, quando é fixada a pena-base acima do mínimo legal e adota-se, para tanto, a fundamentação desenvolvida pelo juiz sentenciante acerca das circunstâncias judiciais.</w:t>
      </w:r>
    </w:p>
    <w:p>
      <w:pPr>
        <w:ind w:left="288"/>
      </w:pPr>
      <w:r>
        <w:rPr>
          <w:b/>
          <w:color w:val="003CA0"/>
          <w:sz w:val="16"/>
        </w:rPr>
        <w:t>[RE 335.302, rel. min. Ellen Gracie, j. 19-8-2003, 2ª T, DJ de 12-9-2003.]</w:t>
      </w:r>
    </w:p>
    <w:p>
      <w:pPr>
        <w:ind w:left="288"/>
      </w:pPr>
      <w:r>
        <w:rPr>
          <w:color w:val="8C8C8C"/>
          <w:sz w:val="12"/>
        </w:rPr>
        <w:t>cf-art-93-inc-VI</w:t>
      </w:r>
      <w:r>
        <w:rPr>
          <w:color w:val="003CA0"/>
          <w:sz w:val="12"/>
        </w:rPr>
        <w:t xml:space="preserve"> | HC 103.833</w:t>
      </w:r>
      <w:r>
        <w:rPr>
          <w:color w:val="003CA0"/>
          <w:sz w:val="12"/>
        </w:rPr>
        <w:t xml:space="preserve"> | rel. Gilmar Mendes</w:t>
      </w:r>
    </w:p>
    <w:p>
      <w:pPr>
        <w:ind w:left="288"/>
      </w:pPr>
      <w:r>
        <w:rPr>
          <w:color w:val="1E1E1E"/>
          <w:sz w:val="18"/>
        </w:rPr>
        <w:t>= HC 103.833, rel. min. Gilmar Mendes, j. 23-11-2010, 2ª T, DJE de 14-12-2010 Quanto à fundamentação, atenta-se contra o art. 93, IX, da Constituição, quando o decisum não é fundamentado; tal não sucede, se a fundamentação, existente, for mais ou menos completa. Mesmo se deficiente, não há ver, desde logo, ofensa direta ao art. 93, IX, da Lei Maior.</w:t>
      </w:r>
    </w:p>
    <w:p>
      <w:pPr>
        <w:ind w:left="288"/>
      </w:pPr>
      <w:r>
        <w:rPr>
          <w:b/>
          <w:color w:val="003CA0"/>
          <w:sz w:val="16"/>
        </w:rPr>
        <w:t>[AI 351.384 AgR, rel. min. Néri da Silveira, j. 26-2-2002, 2ª T, DJ de 22-3-2002.]</w:t>
      </w:r>
    </w:p>
    <w:p>
      <w:pPr>
        <w:ind w:left="288"/>
      </w:pPr>
      <w:r>
        <w:rPr>
          <w:color w:val="8C8C8C"/>
          <w:sz w:val="12"/>
        </w:rPr>
        <w:t>cf-art-93-inc-VI</w:t>
      </w:r>
      <w:r>
        <w:rPr>
          <w:color w:val="003CA0"/>
          <w:sz w:val="12"/>
        </w:rPr>
        <w:t xml:space="preserve"> | HC 80.892</w:t>
      </w:r>
      <w:r>
        <w:rPr>
          <w:color w:val="003CA0"/>
          <w:sz w:val="12"/>
        </w:rPr>
        <w:t xml:space="preserve"> | rel. Celso de Mello</w:t>
      </w:r>
    </w:p>
    <w:p>
      <w:pPr>
        <w:ind w:left="288"/>
      </w:pPr>
      <w:r>
        <w:rPr>
          <w:color w:val="1E1E1E"/>
          <w:sz w:val="18"/>
        </w:rPr>
        <w:t>A fundamentação constitui pressuposto de legitimidade das decisões judiciais. A fundamentação dos atos decisórios qualifica-se como pressuposto constitucional de validade e eficácia das decisões emanadas do Poder Judiciário. A inobservância do dever imposto pelo art. 93, IX, da Carta Política, precisamente por traduzir grave transgressão de natureza constitucional, afeta a legitimidade jurídica da decisão e gera, de maneira irremissível, a consequente nulidade do pronunciamento judicial.</w:t>
      </w:r>
    </w:p>
    <w:p>
      <w:pPr>
        <w:ind w:left="288"/>
      </w:pPr>
      <w:r>
        <w:rPr>
          <w:b/>
          <w:color w:val="003CA0"/>
          <w:sz w:val="16"/>
        </w:rPr>
        <w:t>[HC 80.892, rel. min. Celso de Mello, j. 16-10-2001, 2ª T, DJ de 23-11-2007.]</w:t>
      </w:r>
    </w:p>
    <w:p>
      <w:pPr>
        <w:ind w:left="288"/>
      </w:pPr>
      <w:r>
        <w:rPr>
          <w:color w:val="8C8C8C"/>
          <w:sz w:val="12"/>
        </w:rPr>
        <w:t>cf-art-93-inc-VI</w:t>
      </w:r>
      <w:r>
        <w:rPr>
          <w:color w:val="003CA0"/>
          <w:sz w:val="12"/>
        </w:rPr>
        <w:t xml:space="preserve"> | HC 90.045</w:t>
      </w:r>
      <w:r>
        <w:rPr>
          <w:color w:val="003CA0"/>
          <w:sz w:val="12"/>
        </w:rPr>
        <w:t xml:space="preserve"> | rel. Joaquim Barbosa</w:t>
      </w:r>
    </w:p>
    <w:p>
      <w:pPr>
        <w:ind w:left="288"/>
      </w:pPr>
      <w:r>
        <w:rPr>
          <w:color w:val="1E1E1E"/>
          <w:sz w:val="18"/>
        </w:rPr>
        <w:t>= HC 90.045, rel. min. Joaquim Barbosa, j. 10-2-2009, 2ª T, DJE de 20-3-2009 A sentença que não enfrenta pedido de desclassificação formulado pela defesa ofende a CF, art. 93, IX. É citra petita.</w:t>
      </w:r>
    </w:p>
    <w:p>
      <w:pPr>
        <w:ind w:left="288"/>
      </w:pPr>
      <w:r>
        <w:rPr>
          <w:b/>
          <w:color w:val="003CA0"/>
          <w:sz w:val="16"/>
        </w:rPr>
        <w:t>[HC 77.824, rel. min. Nelson Jobim, j. 11-12-1998, 2ª T, DJ de 27-4-2001.]</w:t>
      </w:r>
    </w:p>
    <w:p>
      <w:pPr>
        <w:ind w:left="288"/>
      </w:pPr>
      <w:r>
        <w:rPr>
          <w:color w:val="8C8C8C"/>
          <w:sz w:val="12"/>
        </w:rPr>
        <w:t>cf-art-93-inc-VI</w:t>
      </w:r>
      <w:r>
        <w:rPr>
          <w:color w:val="003CA0"/>
          <w:sz w:val="12"/>
        </w:rPr>
        <w:t xml:space="preserve"> | RE 217.631</w:t>
      </w:r>
      <w:r>
        <w:rPr>
          <w:color w:val="003CA0"/>
          <w:sz w:val="12"/>
        </w:rPr>
        <w:t xml:space="preserve"> | rel. Sepúlveda Pertence</w:t>
      </w:r>
    </w:p>
    <w:p>
      <w:pPr>
        <w:ind w:left="288"/>
      </w:pPr>
      <w:r>
        <w:rPr>
          <w:color w:val="1E1E1E"/>
          <w:sz w:val="18"/>
        </w:rPr>
        <w:t>Não satisfaz a exigência constitucional de que sejam fundamentadas todas as decisões do Poder Judiciário (CF, art. 93, IX) a afirmação de que a alegação deduzida pela parte é "inviável juridicamente, uma vez que não retrata a verdade dos compêndios legais": não servem à motivação de uma decisão judicial afirmações que, a rigor, se prestariam a justificar qualquer outra.</w:t>
      </w:r>
    </w:p>
    <w:p>
      <w:pPr>
        <w:ind w:left="288"/>
      </w:pPr>
      <w:r>
        <w:rPr>
          <w:b/>
          <w:color w:val="003CA0"/>
          <w:sz w:val="16"/>
        </w:rPr>
        <w:t>[RE 217.631, rel. min. Sepúlveda Pertence, j. 9-9-1997, 1ª T, DJ de 24-10-1997.]</w:t>
      </w:r>
    </w:p>
    <w:p>
      <w:pPr>
        <w:ind w:left="288"/>
      </w:pPr>
      <w:r>
        <w:rPr>
          <w:color w:val="8C8C8C"/>
          <w:sz w:val="12"/>
        </w:rPr>
        <w:t>cf-art-93-inc-VI</w:t>
      </w:r>
      <w:r>
        <w:rPr>
          <w:color w:val="003CA0"/>
          <w:sz w:val="12"/>
        </w:rPr>
        <w:t xml:space="preserve"> | HC 74.073</w:t>
      </w:r>
      <w:r>
        <w:rPr>
          <w:color w:val="003CA0"/>
          <w:sz w:val="12"/>
        </w:rPr>
        <w:t xml:space="preserve"> | rel. Celso de Mello</w:t>
      </w:r>
    </w:p>
    <w:p>
      <w:pPr>
        <w:ind w:left="288"/>
      </w:pPr>
      <w:r>
        <w:rPr>
          <w:color w:val="1E1E1E"/>
          <w:sz w:val="18"/>
        </w:rPr>
        <w:t>A decisão judicial deve analisar todas as questões suscitadas pela defesa do réu. Reveste-se de nulidade o ato decisório, que, descumprindo o mandamento constitucional que impõe a qualquer juiz ou tribunal o dever de motivar a sentença ou o acórdão, deixa de examinar, com sensível prejuízo para o réu, fundamento relevante em que se apoia a defesa técnica do acusado.</w:t>
      </w:r>
    </w:p>
    <w:p>
      <w:pPr>
        <w:ind w:left="288"/>
      </w:pPr>
      <w:r>
        <w:rPr>
          <w:b/>
          <w:color w:val="003CA0"/>
          <w:sz w:val="16"/>
        </w:rPr>
        <w:t>[HC 74.073, rel. min. Celso de Mello, j. 20-5-1997, 1ª T, DJ de 27-6-1997.]</w:t>
      </w:r>
    </w:p>
    <w:p>
      <w:pPr>
        <w:ind w:left="288"/>
      </w:pPr>
      <w:r>
        <w:rPr>
          <w:color w:val="8C8C8C"/>
          <w:sz w:val="12"/>
        </w:rPr>
        <w:t>cf-art-93-inc-VI</w:t>
      </w:r>
      <w:r>
        <w:rPr>
          <w:color w:val="003CA0"/>
          <w:sz w:val="12"/>
        </w:rPr>
        <w:t xml:space="preserve"> | HC 72.286</w:t>
      </w:r>
      <w:r>
        <w:rPr>
          <w:color w:val="003CA0"/>
          <w:sz w:val="12"/>
        </w:rPr>
        <w:t xml:space="preserve"> | rel. Maurício Corrêa</w:t>
      </w:r>
    </w:p>
    <w:p>
      <w:pPr>
        <w:ind w:left="288"/>
      </w:pPr>
      <w:r>
        <w:rPr>
          <w:color w:val="1E1E1E"/>
          <w:sz w:val="18"/>
        </w:rPr>
        <w:t>O despacho que recebe a denúncia ou a queixa, embora tenha também conteúdo decisório, não se encarta no conceito de "decisão", como previsto no art. 93, IX, da Constituição, não sendo exigida a sua fundamentação (art. 394 do CPP); a fundamentação é exigida, apenas, quando o juiz rejeita a denúncia ou a queixa (art. 516 do CPP), aliás, único caso em que cabe recurso (art. 581, I, do CPP).</w:t>
      </w:r>
    </w:p>
    <w:p>
      <w:pPr>
        <w:ind w:left="288"/>
      </w:pPr>
      <w:r>
        <w:rPr>
          <w:b/>
          <w:color w:val="003CA0"/>
          <w:sz w:val="16"/>
        </w:rPr>
        <w:t>[HC 72.286, rel. min. Maurício Corrêa, j. 28-11-1995, 2ª T, DJ de 16-2-1996.]</w:t>
      </w:r>
    </w:p>
    <w:p>
      <w:pPr>
        <w:ind w:left="288"/>
      </w:pPr>
      <w:r>
        <w:rPr>
          <w:color w:val="8C8C8C"/>
          <w:sz w:val="12"/>
        </w:rPr>
        <w:t>cf-art-93-inc-VI</w:t>
      </w:r>
      <w:r>
        <w:rPr>
          <w:color w:val="003CA0"/>
          <w:sz w:val="12"/>
        </w:rPr>
        <w:t xml:space="preserve"> | HC 101.971</w:t>
      </w:r>
      <w:r>
        <w:rPr>
          <w:color w:val="003CA0"/>
          <w:sz w:val="12"/>
        </w:rPr>
        <w:t xml:space="preserve"> | rel. Cármen Lúcia</w:t>
      </w:r>
    </w:p>
    <w:p>
      <w:pPr>
        <w:ind w:left="288"/>
      </w:pPr>
      <w:r>
        <w:rPr>
          <w:color w:val="1E1E1E"/>
          <w:sz w:val="18"/>
        </w:rPr>
        <w:t>= HC 101.971, rel. min. Cármen Lúcia, j. 21-6-2011, 1ª T, DJE de 5-9-2011 = HC 95.354, rel. min. Gilmar Mendes, j. 14-6-2010, 2ª T, DJE de 27-8-2010 Satisfaz integralmente a exigência constitucional de motivação dos atos decisórios a condenação penal, que, ao optar pelo limite máximo das penas impostas, expõe os elementos de fato em que se apoiou o juízo de especial exacerbação da pena, explicitando dados da realidade objetiva aos quais se conferiu, com extrema adequação, a pertinente valoração judicial procedida com estrita observância dos parâmetros fixados pelo ordenamento positivo.</w:t>
      </w:r>
    </w:p>
    <w:p>
      <w:pPr>
        <w:ind w:left="288"/>
      </w:pPr>
      <w:r>
        <w:rPr>
          <w:b/>
          <w:color w:val="003CA0"/>
          <w:sz w:val="16"/>
        </w:rPr>
        <w:t>[HC 72.992, rel. min. Celso de Mello, j. 21-11-1995, 1ª T, DJ de 14-11-1996.]</w:t>
      </w:r>
    </w:p>
    <w:p>
      <w:pPr>
        <w:ind w:left="288"/>
      </w:pPr>
      <w:r>
        <w:rPr>
          <w:color w:val="8C8C8C"/>
          <w:sz w:val="12"/>
        </w:rPr>
        <w:t>cf-art-93-inc-VI</w:t>
      </w:r>
      <w:r>
        <w:rPr>
          <w:color w:val="003CA0"/>
          <w:sz w:val="12"/>
        </w:rPr>
        <w:t xml:space="preserve"> | HC 101.478</w:t>
      </w:r>
      <w:r>
        <w:rPr>
          <w:color w:val="003CA0"/>
          <w:sz w:val="12"/>
        </w:rPr>
        <w:t xml:space="preserve"> | rel. Cármen Lúcia</w:t>
      </w:r>
    </w:p>
    <w:p>
      <w:pPr>
        <w:ind w:left="288"/>
      </w:pPr>
      <w:r>
        <w:rPr>
          <w:color w:val="1E1E1E"/>
          <w:sz w:val="18"/>
        </w:rPr>
        <w:t>= HC 101.478, rel. min. Cármen Lúcia, j. 11-5-2010, 1ª T, DJE de 1º-7-2010 A realização dos julgamentos pelo Poder Judiciário, além da exigência constitucional de sua publicidade (CF, art. 93, IX), supõe, para efeito de sua válida efetivação, a observância do postulado que assegura ao réu a garantia da ampla defesa.</w:t>
      </w:r>
    </w:p>
    <w:p>
      <w:pPr>
        <w:ind w:left="288"/>
      </w:pPr>
      <w:r>
        <w:rPr>
          <w:b/>
          <w:color w:val="003CA0"/>
          <w:sz w:val="16"/>
        </w:rPr>
        <w:t>[HC 71.551, rel. min. Celso de Mello, j. 6-12-1994, 1ª T, DJ de 6-12-1996.]</w:t>
      </w:r>
    </w:p>
    <w:p>
      <w:pPr>
        <w:ind w:left="288"/>
      </w:pPr>
      <w:r>
        <w:rPr>
          <w:color w:val="8C8C8C"/>
          <w:sz w:val="12"/>
        </w:rPr>
        <w:t>cf-art-93-inc-VI</w:t>
      </w:r>
      <w:r>
        <w:rPr>
          <w:color w:val="003CA0"/>
          <w:sz w:val="12"/>
        </w:rPr>
        <w:t xml:space="preserve"> | RHC 67.494</w:t>
      </w:r>
      <w:r>
        <w:rPr>
          <w:color w:val="003CA0"/>
          <w:sz w:val="12"/>
        </w:rPr>
        <w:t xml:space="preserve"> | rel. Ilmar Galvão</w:t>
      </w:r>
    </w:p>
    <w:p>
      <w:pPr>
        <w:ind w:left="288"/>
      </w:pPr>
      <w:r>
        <w:rPr>
          <w:color w:val="1E1E1E"/>
          <w:sz w:val="18"/>
        </w:rPr>
        <w:t>Convivência, reconhecida por esta Corte, com a CF (art. 93, IX), da norma do art. 434 do CPPM, que prevê sessão secreta para os julgamentos do Conselho de Justiça, desde que assegurada a presença das partes e de seus advogados (RHC 67.494 – ministro Passarinho).</w:t>
      </w:r>
    </w:p>
    <w:p>
      <w:pPr>
        <w:ind w:left="288"/>
      </w:pPr>
      <w:r>
        <w:rPr>
          <w:b/>
          <w:color w:val="003CA0"/>
          <w:sz w:val="16"/>
        </w:rPr>
        <w:t>[HC 69.968, rel. min. Ilmar Galvão, j. 18-5-1993, 1ª T, DJ de 1º-7-1993.]</w:t>
      </w:r>
    </w:p>
    <w:p>
      <w:pPr>
        <w:ind w:left="288"/>
      </w:pPr>
      <w:r>
        <w:rPr>
          <w:color w:val="8C8C8C"/>
          <w:sz w:val="12"/>
        </w:rPr>
        <w:t>cf-art-93-inc-VI</w:t>
      </w:r>
      <w:r>
        <w:rPr>
          <w:color w:val="003CA0"/>
          <w:sz w:val="12"/>
        </w:rPr>
        <w:t xml:space="preserve"> | HC 70.177</w:t>
      </w:r>
      <w:r>
        <w:rPr>
          <w:color w:val="003CA0"/>
          <w:sz w:val="12"/>
        </w:rPr>
        <w:t xml:space="preserve"> | rel. Celso de Mello</w:t>
      </w:r>
    </w:p>
    <w:p>
      <w:pPr>
        <w:ind w:left="288"/>
      </w:pPr>
      <w:r>
        <w:rPr>
          <w:color w:val="1E1E1E"/>
          <w:sz w:val="18"/>
        </w:rPr>
        <w:t>O exercício desse poder cautelar submete-se à avaliação discricionária dos juízes e tribunais que deverão, no entanto, em obséquio à exigência constitucional inscrita no art. 93, IX, da Carta Política, motivar, sempre, as decisões em que apreciem o pedido de liminar a eles dirigido.</w:t>
      </w:r>
    </w:p>
    <w:p>
      <w:pPr>
        <w:ind w:left="288"/>
      </w:pPr>
      <w:r>
        <w:rPr>
          <w:b/>
          <w:color w:val="003CA0"/>
          <w:sz w:val="16"/>
        </w:rPr>
        <w:t>[HC 70.177 MC, rel. min. Celso de Mello, j. 6-4-1993, 1ª T, DJ de 7-5-1993.]</w:t>
      </w:r>
    </w:p>
    <w:p>
      <w:pPr>
        <w:ind w:left="288"/>
      </w:pPr>
      <w:r>
        <w:rPr>
          <w:color w:val="8C8C8C"/>
          <w:sz w:val="12"/>
        </w:rPr>
        <w:t>cf-art-93-inc-VI</w:t>
      </w:r>
      <w:r>
        <w:rPr>
          <w:color w:val="003CA0"/>
          <w:sz w:val="12"/>
        </w:rPr>
        <w:t xml:space="preserve"> | HC 69.419</w:t>
      </w:r>
      <w:r>
        <w:rPr>
          <w:color w:val="003CA0"/>
          <w:sz w:val="12"/>
        </w:rPr>
        <w:t xml:space="preserve"> | rel. Sepúlveda Pertence</w:t>
      </w:r>
    </w:p>
    <w:p>
      <w:pPr>
        <w:ind w:left="288"/>
      </w:pPr>
      <w:r>
        <w:rPr>
          <w:color w:val="1E1E1E"/>
          <w:sz w:val="18"/>
        </w:rPr>
        <w:t xml:space="preserve">Sentença condenatória: individualização da pena: coerência lógico-jurídica entre a fundamentação e o dispositivo. A exigência de motivação da individualização da pena – hoje, garantia constitucional do condenado (CF, arts. 5º, XLVI, e 93, IX) – não se satisfaz com a existência na sentença de frases ou palavras quaisquer, a pretexto de cumpri-la: a fundamentação há de explicitar a sua base empírica e essa, de sua vez, há de guardar relação de pertinência, legalmente adequada, com a exasperação da sanção penal, que visou a justificar. É nula, no ponto, a sentença na qual o juiz, explicitando os </w:t>
      </w:r>
    </w:p>
    <w:p>
      <w:pPr>
        <w:ind w:left="288"/>
      </w:pPr>
      <w:r>
        <w:rPr>
          <w:b/>
          <w:color w:val="003CA0"/>
          <w:sz w:val="16"/>
        </w:rPr>
        <w:t>[HC 69.419, rel. min. Sepúlveda Pertence, j. 23-6-1992, 1ª T, DJ de 28-8-1992.]</w:t>
      </w:r>
    </w:p>
    <w:p>
      <w:pPr>
        <w:ind w:left="288"/>
      </w:pPr>
      <w:r>
        <w:rPr>
          <w:color w:val="8C8C8C"/>
          <w:sz w:val="12"/>
        </w:rPr>
        <w:t>cf-art-93-inc-VI</w:t>
      </w:r>
      <w:r>
        <w:rPr>
          <w:color w:val="003CA0"/>
          <w:sz w:val="12"/>
        </w:rPr>
        <w:t xml:space="preserve"> | HC 93.857</w:t>
      </w:r>
      <w:r>
        <w:rPr>
          <w:color w:val="003CA0"/>
          <w:sz w:val="12"/>
        </w:rPr>
        <w:t xml:space="preserve"> | rel. Cezar Peluso</w:t>
      </w:r>
    </w:p>
    <w:p>
      <w:pPr>
        <w:ind w:left="288"/>
      </w:pPr>
      <w:r>
        <w:rPr>
          <w:color w:val="1E1E1E"/>
          <w:sz w:val="18"/>
        </w:rPr>
        <w:t>= HC 93.857, rel. min. Cezar Peluso, j. 25-8-2009, 2ª T, DJE de 16-10-2009 Tribunal do júri. Sigilo das votações (art. 5º, XXXVIII, CF) e publicidade dos julgamentos (art. 93, IX, CF). Conflito aparente de normas. Distinção entre julgamento do tribunal do júri e decisão do conselho de jurados. Manutenção pelo sistema constitucional vigente do sigilo das votações, através de disposição específica.</w:t>
      </w:r>
    </w:p>
    <w:p>
      <w:pPr>
        <w:ind w:left="288"/>
      </w:pPr>
      <w:r>
        <w:rPr>
          <w:b/>
          <w:color w:val="003CA0"/>
          <w:sz w:val="16"/>
        </w:rPr>
        <w:t>[RE 140.975 AgR, rel. min. Paulo Brossard, j. 23-6-1992, 2ª T, DJ de 21-8-1992.]</w:t>
      </w:r>
    </w:p>
    <w:p>
      <w:pPr>
        <w:ind w:left="288"/>
      </w:pPr>
      <w:r>
        <w:rPr>
          <w:color w:val="8C8C8C"/>
          <w:sz w:val="12"/>
        </w:rPr>
        <w:t>cf-art-93-inc-VI</w:t>
      </w:r>
      <w:r>
        <w:rPr>
          <w:color w:val="003CA0"/>
          <w:sz w:val="12"/>
        </w:rPr>
        <w:t xml:space="preserve"> | HC 68.422</w:t>
      </w:r>
      <w:r>
        <w:rPr>
          <w:color w:val="003CA0"/>
          <w:sz w:val="12"/>
        </w:rPr>
        <w:t xml:space="preserve"> | rel. Celso de Mello</w:t>
      </w:r>
    </w:p>
    <w:p>
      <w:pPr>
        <w:ind w:left="288"/>
      </w:pPr>
      <w:r>
        <w:rPr>
          <w:color w:val="1E1E1E"/>
          <w:sz w:val="18"/>
        </w:rPr>
        <w:t>O órgão judiciário sentenciante tem o dever de motivar o seu pronunciamento quanto à concessão ou denegação do benefício da suspensão condicional da pena. A exigência de motivação dos atos jurisdicionais constitui, hoje, postulado constitucional inafastável que traduz, em sua concepção básica, poderoso fator de limitação do próprio poder estatal, além de constituir instrumento essencial de respeito e proteção às liberdades públicas. Atos jurisdicionais, que descumpram a obrigação constitucional de adequada motivação decisória, são atos estatais nulos.</w:t>
      </w:r>
    </w:p>
    <w:p>
      <w:pPr>
        <w:ind w:left="288"/>
      </w:pPr>
      <w:r>
        <w:rPr>
          <w:b/>
          <w:color w:val="003CA0"/>
          <w:sz w:val="16"/>
        </w:rPr>
        <w:t>[HC 68.422, rel. min. Celso de Mello, j. 19-2-1991, 1ª T, DJ de 15-3-1991.]</w:t>
      </w:r>
    </w:p>
    <w:p>
      <w:pPr>
        <w:ind w:left="288"/>
      </w:pPr>
      <w:r>
        <w:rPr>
          <w:color w:val="8C8C8C"/>
          <w:sz w:val="12"/>
        </w:rPr>
        <w:t>cf-art-93-inc-VI</w:t>
      </w:r>
      <w:r>
        <w:rPr>
          <w:color w:val="003CA0"/>
          <w:sz w:val="12"/>
        </w:rPr>
        <w:t xml:space="preserve"> | HC 68.202</w:t>
      </w:r>
      <w:r>
        <w:rPr>
          <w:color w:val="003CA0"/>
          <w:sz w:val="12"/>
        </w:rPr>
        <w:t xml:space="preserve"> | rel. Celso de Mello</w:t>
      </w:r>
    </w:p>
    <w:p>
      <w:pPr>
        <w:ind w:left="288"/>
      </w:pPr>
      <w:r>
        <w:rPr>
          <w:color w:val="1E1E1E"/>
          <w:sz w:val="18"/>
        </w:rPr>
        <w:t>É inquestionável que a exigência de fundamentação das decisões judiciais, mais do que expressiva imposição consagrada e positivada pela nova ordem constitucional (art. 93, IX), reflete uma poderosa garantia contra eventuais excessos do Estado-juiz, pois, ao torná-la elemento imprescindível e essencial dos atos sentenciais, quis o ordenamento jurídico erigi-la como fator de limitação dos poderes deferidos aos magistrados e tribunais.</w:t>
      </w:r>
    </w:p>
    <w:p>
      <w:pPr>
        <w:ind w:left="288"/>
      </w:pPr>
      <w:r>
        <w:rPr>
          <w:b/>
          <w:color w:val="003CA0"/>
          <w:sz w:val="16"/>
        </w:rPr>
        <w:t>[HC 68.202, rel. min. Celso de Mello, j. 6-11-1990, 1ª T, DJ de 15-3-1991.]</w:t>
      </w:r>
    </w:p>
    <w:p>
      <w:pPr>
        <w:ind w:left="288"/>
      </w:pPr>
      <w:r>
        <w:rPr>
          <w:color w:val="8C8C8C"/>
          <w:sz w:val="12"/>
        </w:rPr>
        <w:t>cf-art-93-inc-VI</w:t>
      </w:r>
    </w:p>
    <w:p>
      <w:pPr>
        <w:ind w:left="288"/>
      </w:pPr>
      <w:r>
        <w:rPr>
          <w:color w:val="1E1E1E"/>
          <w:sz w:val="18"/>
        </w:rPr>
        <w:t>X - as decisões administrativas dos tribunais serão motivadas e em sessão pública, sendo as disciplinares tomadas pelo voto da maioria absoluta de seus membros; (Redação da EC 45/2004)</w:t>
      </w:r>
    </w:p>
    <w:p>
      <w:pPr>
        <w:ind w:left="144"/>
      </w:pPr>
      <w:r>
        <w:rPr>
          <w:b/>
          <w:color w:val="B45A00"/>
          <w:sz w:val="16"/>
        </w:rPr>
        <w:t>CONTROLE CONCENTRADO</w:t>
      </w:r>
    </w:p>
    <w:p>
      <w:pPr>
        <w:ind w:left="288"/>
      </w:pPr>
      <w:r>
        <w:rPr>
          <w:color w:val="8C8C8C"/>
          <w:sz w:val="12"/>
        </w:rPr>
        <w:t>cf-art-93-inc-VI</w:t>
      </w:r>
      <w:r>
        <w:rPr>
          <w:color w:val="003CA0"/>
          <w:sz w:val="12"/>
        </w:rPr>
        <w:t xml:space="preserve"> | ADI 2.580</w:t>
      </w:r>
      <w:r>
        <w:rPr>
          <w:color w:val="003CA0"/>
          <w:sz w:val="12"/>
        </w:rPr>
        <w:t xml:space="preserve"> | rel. Carlos Velloso</w:t>
      </w:r>
    </w:p>
    <w:p>
      <w:pPr>
        <w:ind w:left="288"/>
      </w:pPr>
      <w:r>
        <w:rPr>
          <w:color w:val="1E1E1E"/>
          <w:sz w:val="18"/>
        </w:rPr>
        <w:t>As penas de advertência e de censura são aplicáveis aos juízes de primeiro grau, pelo tribunal, pelo voto da maioria absoluta de seus membros.</w:t>
      </w:r>
    </w:p>
    <w:p>
      <w:pPr>
        <w:ind w:left="288"/>
      </w:pPr>
      <w:r>
        <w:rPr>
          <w:b/>
          <w:color w:val="003CA0"/>
          <w:sz w:val="16"/>
        </w:rPr>
        <w:t>[ADI 2.580, rel. min. Carlos Velloso, j. 26-9-2002, P, DJ de 21-2-2003.]</w:t>
      </w:r>
    </w:p>
    <w:p>
      <w:pPr>
        <w:ind w:left="144"/>
      </w:pPr>
      <w:r>
        <w:rPr>
          <w:b/>
          <w:color w:val="B45A00"/>
          <w:sz w:val="16"/>
        </w:rPr>
        <w:t>JULGADOS CORRELATOS</w:t>
      </w:r>
    </w:p>
    <w:p>
      <w:pPr>
        <w:ind w:left="288"/>
      </w:pPr>
      <w:r>
        <w:rPr>
          <w:color w:val="8C8C8C"/>
          <w:sz w:val="12"/>
        </w:rPr>
        <w:t>cf-art-93-inc-VI</w:t>
      </w:r>
      <w:r>
        <w:rPr>
          <w:color w:val="003CA0"/>
          <w:sz w:val="12"/>
        </w:rPr>
        <w:t xml:space="preserve"> | MS 25.747</w:t>
      </w:r>
      <w:r>
        <w:rPr>
          <w:color w:val="003CA0"/>
          <w:sz w:val="12"/>
        </w:rPr>
        <w:t xml:space="preserve"> | rel. Gilmar Mendes</w:t>
      </w:r>
    </w:p>
    <w:p>
      <w:pPr>
        <w:ind w:left="288"/>
      </w:pPr>
      <w:r>
        <w:rPr>
          <w:color w:val="1E1E1E"/>
          <w:sz w:val="18"/>
        </w:rPr>
        <w:t xml:space="preserve">Acórdão do CNJ que julgou procedente o PCA [Procedimento de Controle Administrativo] para desconstituir a decisão administrativa do Tribunal de Justiça do Estado de Santa Catarina que realizou votação de atos de remoção voluntária de magistrados por meio de escrutínio secreto. Alegação de que a decisão impugnada fundamentou-se na Resolução 6/2005 do CNJ, inaplicável à espécie, inexistindo obrigação legal de votação aberta e fundamentação expressa e pública no caso. Improcedência das alegações da impetração. Necessidade de motivação expressa, pública e fundamentada das decisões administrativas </w:t>
      </w:r>
    </w:p>
    <w:p>
      <w:pPr>
        <w:ind w:left="288"/>
      </w:pPr>
      <w:r>
        <w:rPr>
          <w:b/>
          <w:color w:val="003CA0"/>
          <w:sz w:val="16"/>
        </w:rPr>
        <w:t>[MS 25.747, rel. min. Gilmar Mendes, j. 17-5-2012, P, DJE de 18-6-2012.]</w:t>
      </w:r>
    </w:p>
    <w:p>
      <w:pPr>
        <w:ind w:left="288"/>
      </w:pPr>
      <w:r>
        <w:rPr>
          <w:color w:val="8C8C8C"/>
          <w:sz w:val="12"/>
        </w:rPr>
        <w:t>cf-art-93-inc-VI</w:t>
      </w:r>
      <w:r>
        <w:rPr>
          <w:color w:val="003CA0"/>
          <w:sz w:val="12"/>
        </w:rPr>
        <w:t xml:space="preserve"> | MS 28.306</w:t>
      </w:r>
      <w:r>
        <w:rPr>
          <w:color w:val="003CA0"/>
          <w:sz w:val="12"/>
        </w:rPr>
        <w:t xml:space="preserve"> | rel. Ricardo Lewandowski</w:t>
      </w:r>
    </w:p>
    <w:p>
      <w:pPr>
        <w:ind w:left="288"/>
      </w:pPr>
      <w:r>
        <w:rPr>
          <w:color w:val="1E1E1E"/>
          <w:sz w:val="18"/>
        </w:rPr>
        <w:t>CNJ. Instauração de processo disciplinar contra magistrado. (...) A exigência de motivação para instauração do processo disciplinar é a presença de indícios de materialidade dos fatos e de autoria das infrações administrativas praticadas, o que foi atendido pela decisão combatida.</w:t>
      </w:r>
    </w:p>
    <w:p>
      <w:pPr>
        <w:ind w:left="288"/>
      </w:pPr>
      <w:r>
        <w:rPr>
          <w:b/>
          <w:color w:val="003CA0"/>
          <w:sz w:val="16"/>
        </w:rPr>
        <w:t>[MS 28.306, rel. min. Ricardo Lewandowski, j. 2-3-2011, P, DJE de 28-3-2011.]</w:t>
      </w:r>
    </w:p>
    <w:p>
      <w:pPr>
        <w:ind w:left="288"/>
      </w:pPr>
      <w:r>
        <w:rPr>
          <w:color w:val="8C8C8C"/>
          <w:sz w:val="12"/>
        </w:rPr>
        <w:t>cf-art-93-inc-VI</w:t>
      </w:r>
      <w:r>
        <w:rPr>
          <w:color w:val="003CA0"/>
          <w:sz w:val="12"/>
        </w:rPr>
        <w:t xml:space="preserve"> | RE 235.487</w:t>
      </w:r>
      <w:r>
        <w:rPr>
          <w:color w:val="003CA0"/>
          <w:sz w:val="12"/>
        </w:rPr>
        <w:t xml:space="preserve"> | rel. Ilmar Galvão</w:t>
      </w:r>
    </w:p>
    <w:p>
      <w:pPr>
        <w:ind w:left="288"/>
      </w:pPr>
      <w:r>
        <w:rPr>
          <w:color w:val="1E1E1E"/>
          <w:sz w:val="18"/>
        </w:rPr>
        <w:t>Magistrado. Promoção por antiguidade. Recusa. Indispensabilidade de fundamentação. Art. 93, X, da CF. Nulidade irremediável do ato, por não haver sido indicada, nem mesmo na ata do julgamento, a razão pela qual o recorrente teve o seu nome preterido no concurso para promoção por antiguidade.</w:t>
      </w:r>
    </w:p>
    <w:p>
      <w:pPr>
        <w:ind w:left="288"/>
      </w:pPr>
      <w:r>
        <w:rPr>
          <w:b/>
          <w:color w:val="003CA0"/>
          <w:sz w:val="16"/>
        </w:rPr>
        <w:t>[RE 235.487, rel. min. Ilmar Galvão, j. 15-6-2000, P, DJ de 21-6-2002.]</w:t>
      </w:r>
    </w:p>
    <w:p>
      <w:pPr>
        <w:ind w:left="288"/>
      </w:pPr>
      <w:r>
        <w:rPr>
          <w:color w:val="8C8C8C"/>
          <w:sz w:val="12"/>
        </w:rPr>
        <w:t>cf-art-93-inc-VI</w:t>
      </w:r>
      <w:r>
        <w:rPr>
          <w:color w:val="003CA0"/>
          <w:sz w:val="12"/>
        </w:rPr>
        <w:t xml:space="preserve"> | RCL 3.626</w:t>
      </w:r>
      <w:r>
        <w:rPr>
          <w:color w:val="003CA0"/>
          <w:sz w:val="12"/>
        </w:rPr>
        <w:t xml:space="preserve"> | rel. Cezar Peluso</w:t>
      </w:r>
    </w:p>
    <w:p>
      <w:pPr>
        <w:ind w:left="288"/>
      </w:pPr>
      <w:r>
        <w:rPr>
          <w:color w:val="1E1E1E"/>
          <w:sz w:val="18"/>
        </w:rPr>
        <w:t>Inteligência do art. 93, X e XI, da CF. É da competência do Órgão Especial de Tribunal de Justiça instaurar, conduzir e julgar processo administrativo-disciplinar contra magistrado.</w:t>
      </w:r>
    </w:p>
    <w:p>
      <w:pPr>
        <w:ind w:left="288"/>
      </w:pPr>
      <w:r>
        <w:rPr>
          <w:b/>
          <w:color w:val="003CA0"/>
          <w:sz w:val="16"/>
        </w:rPr>
        <w:t>[Rcl 3.626 AgR, rel. min. Cezar Peluso, j. 12-6-2006, P, DJ de 30-6-2006.]</w:t>
      </w:r>
    </w:p>
    <w:p>
      <w:pPr>
        <w:ind w:left="288"/>
      </w:pPr>
      <w:r>
        <w:rPr>
          <w:color w:val="8C8C8C"/>
          <w:sz w:val="12"/>
        </w:rPr>
        <w:t>cf-art-93-inc-VI</w:t>
      </w:r>
    </w:p>
    <w:p>
      <w:pPr>
        <w:ind w:left="288"/>
      </w:pPr>
      <w:r>
        <w:rPr>
          <w:color w:val="1E1E1E"/>
          <w:sz w:val="18"/>
        </w:rPr>
        <w:t>XI - nos tribunais com número superior a vinte e cinco julgadores, poderá ser constituído órgão especial, com o mínimo de onze e o máximo de vinte e cinco membros, para o exercício das atribuições administrativas e jurisdicionais delegadas da competência do tribunal pleno, provendo-se metade das vagas por antiguidade e a outra metade por eleição pelo tribunal pleno; (Redação da EC 45/2004)</w:t>
      </w:r>
    </w:p>
    <w:p>
      <w:pPr>
        <w:ind w:left="144"/>
      </w:pPr>
      <w:r>
        <w:rPr>
          <w:b/>
          <w:color w:val="B45A00"/>
          <w:sz w:val="16"/>
        </w:rPr>
        <w:t>CONTROLE CONCENTRADO</w:t>
      </w:r>
    </w:p>
    <w:p>
      <w:pPr>
        <w:ind w:left="288"/>
      </w:pPr>
      <w:r>
        <w:rPr>
          <w:color w:val="8C8C8C"/>
          <w:sz w:val="12"/>
        </w:rPr>
        <w:t>cf-art-93-inc-VI</w:t>
      </w:r>
      <w:r>
        <w:rPr>
          <w:color w:val="003CA0"/>
          <w:sz w:val="12"/>
        </w:rPr>
        <w:t xml:space="preserve"> | ADI 4.320</w:t>
      </w:r>
      <w:r>
        <w:rPr>
          <w:color w:val="003CA0"/>
          <w:sz w:val="12"/>
        </w:rPr>
        <w:t xml:space="preserve"> | rel. Marco Aurélio</w:t>
      </w:r>
    </w:p>
    <w:p>
      <w:pPr>
        <w:ind w:left="288"/>
      </w:pPr>
      <w:r>
        <w:rPr>
          <w:color w:val="1E1E1E"/>
          <w:sz w:val="18"/>
        </w:rPr>
        <w:t>Surge harmônica, com a Constituição Federal, disciplina na escolha dos integrantes do Órgão Especial que, levando em conta antiguidade e merecimento, contempla o quinto constitucional.</w:t>
      </w:r>
    </w:p>
    <w:p>
      <w:pPr>
        <w:ind w:left="288"/>
      </w:pPr>
      <w:r>
        <w:rPr>
          <w:b/>
          <w:color w:val="003CA0"/>
          <w:sz w:val="16"/>
        </w:rPr>
        <w:t>[ADI 4.320, rel. min. Marco Aurélio, j. 20-10-2020, P, DJE de 25-2-2021.]</w:t>
      </w:r>
    </w:p>
    <w:p>
      <w:pPr>
        <w:ind w:left="144"/>
      </w:pPr>
      <w:r>
        <w:rPr>
          <w:b/>
          <w:color w:val="B45A00"/>
          <w:sz w:val="16"/>
        </w:rPr>
        <w:t>JULGADOS CORRELATOS</w:t>
      </w:r>
    </w:p>
    <w:p>
      <w:pPr>
        <w:ind w:left="288"/>
      </w:pPr>
      <w:r>
        <w:rPr>
          <w:color w:val="8C8C8C"/>
          <w:sz w:val="12"/>
        </w:rPr>
        <w:t>cf-art-93-inc-VI</w:t>
      </w:r>
      <w:r>
        <w:rPr>
          <w:color w:val="003CA0"/>
          <w:sz w:val="12"/>
        </w:rPr>
        <w:t xml:space="preserve"> | MS 26.411</w:t>
      </w:r>
    </w:p>
    <w:p>
      <w:pPr>
        <w:ind w:left="288"/>
      </w:pPr>
      <w:r>
        <w:rPr>
          <w:color w:val="1E1E1E"/>
          <w:sz w:val="18"/>
        </w:rPr>
        <w:t>O órgão especial age por delegação do plenário, que é o órgão maior dos tribunais, conforme prevê o art. 93, XI, da CF, na redação conferida pela EC 45/2004 (...). Incumbindo ao plenário, de modo facultativo, a criação do órgão especial, compete somente a ele definir quais são as atribuições que delega ao referido órgão, que, por expressa disciplina do art. 93, XI, da Constituição, exerce as atribuições administrativas e jurisdicionais da competência do pleno que lhes sejam por esse delegadas.</w:t>
      </w:r>
    </w:p>
    <w:p>
      <w:pPr>
        <w:ind w:left="288"/>
      </w:pPr>
      <w:r>
        <w:rPr>
          <w:b/>
          <w:color w:val="003CA0"/>
          <w:sz w:val="16"/>
        </w:rPr>
        <w:t>[MS 26.411 QO, red. do ac. min. Teori Zavascki, j. 26-11-2015, P, DJE de 16-5-2016.]</w:t>
      </w:r>
    </w:p>
    <w:p>
      <w:pPr>
        <w:ind w:left="288"/>
      </w:pPr>
      <w:r>
        <w:rPr>
          <w:color w:val="8C8C8C"/>
          <w:sz w:val="12"/>
        </w:rPr>
        <w:t>cf-art-93-inc-VI</w:t>
      </w:r>
      <w:r>
        <w:rPr>
          <w:color w:val="003CA0"/>
          <w:sz w:val="12"/>
        </w:rPr>
        <w:t xml:space="preserve"> | HC 94.134</w:t>
      </w:r>
      <w:r>
        <w:rPr>
          <w:color w:val="003CA0"/>
          <w:sz w:val="12"/>
        </w:rPr>
        <w:t xml:space="preserve"> | rel. Ayres Britto</w:t>
      </w:r>
    </w:p>
    <w:p>
      <w:pPr>
        <w:ind w:left="288"/>
      </w:pPr>
      <w:r>
        <w:rPr>
          <w:color w:val="1E1E1E"/>
          <w:sz w:val="18"/>
        </w:rPr>
        <w:t>Em linha de princípio, e sem avançar qualquer juízo de mérito, a nova forma de composição dos órgãos especiais de que trata o inciso XI do art. 93 da CF/1988 (com a redação dada pela EC 45/2004) não me parece capaz de anular, de forma automática ou mecânica, todos os julgamentos proferidos sob a égide da disciplina anterior. Até porque os critérios para a composição e eleição dos respectivos órgãos especiais dos tribunais foram estabelecidos pelo CNJ mediante a Resolução 16, de 30-5-2006.</w:t>
      </w:r>
    </w:p>
    <w:p>
      <w:pPr>
        <w:ind w:left="288"/>
      </w:pPr>
      <w:r>
        <w:rPr>
          <w:b/>
          <w:color w:val="003CA0"/>
          <w:sz w:val="16"/>
        </w:rPr>
        <w:t>[HC 94.134 AgR, rel. min. Ayres Britto, j. 21-10-2008, 1ª T, DJE de 13-3-2009.]</w:t>
      </w:r>
    </w:p>
    <w:p>
      <w:pPr>
        <w:ind w:left="288"/>
      </w:pPr>
      <w:r>
        <w:rPr>
          <w:color w:val="8C8C8C"/>
          <w:sz w:val="12"/>
        </w:rPr>
        <w:t>cf-art-93-inc-VI</w:t>
      </w:r>
      <w:r>
        <w:rPr>
          <w:color w:val="003CA0"/>
          <w:sz w:val="12"/>
        </w:rPr>
        <w:t xml:space="preserve"> | AO 232</w:t>
      </w:r>
      <w:r>
        <w:rPr>
          <w:color w:val="003CA0"/>
          <w:sz w:val="12"/>
        </w:rPr>
        <w:t xml:space="preserve"> | rel. Sepúlveda Pertence</w:t>
      </w:r>
    </w:p>
    <w:p>
      <w:pPr>
        <w:ind w:left="288"/>
      </w:pPr>
      <w:r>
        <w:rPr>
          <w:color w:val="1E1E1E"/>
          <w:sz w:val="18"/>
        </w:rPr>
        <w:t>Só pode criar órgão especial o tribunal integrado por mais de 25 juízes (CF, art. 93, XI): para esse fim, considera-se a composição já implementada da corte, não bastando a existência de vagas recém-criadas, mas ainda não preenchidas.</w:t>
      </w:r>
    </w:p>
    <w:p>
      <w:pPr>
        <w:ind w:left="288"/>
      </w:pPr>
      <w:r>
        <w:rPr>
          <w:b/>
          <w:color w:val="003CA0"/>
          <w:sz w:val="16"/>
        </w:rPr>
        <w:t>[AO 232, rel. min. Sepúlveda Pertence, j. 3-5-1995, P, DJ de 20-4-2001.]</w:t>
      </w:r>
    </w:p>
    <w:p>
      <w:pPr>
        <w:ind w:left="288"/>
      </w:pPr>
      <w:r>
        <w:rPr>
          <w:color w:val="8C8C8C"/>
          <w:sz w:val="12"/>
        </w:rPr>
        <w:t>cf-art-93-inc-VI</w:t>
      </w:r>
    </w:p>
    <w:p>
      <w:pPr>
        <w:ind w:left="288"/>
      </w:pPr>
      <w:r>
        <w:rPr>
          <w:color w:val="1E1E1E"/>
          <w:sz w:val="18"/>
        </w:rPr>
        <w:t>XII - a atividade jurisdicional será ininterrupta, sendo vedado férias coletivas nos juízos e tribunais de segundo grau, funcionando, nos dias em que não houver expediente forense normal, juízes em plantão permanente; (Incluído pela EC 45/2004)</w:t>
      </w:r>
    </w:p>
    <w:p>
      <w:pPr>
        <w:ind w:left="144"/>
      </w:pPr>
      <w:r>
        <w:rPr>
          <w:b/>
          <w:color w:val="B45A00"/>
          <w:sz w:val="16"/>
        </w:rPr>
        <w:t>CONTROLE CONCENTRADO</w:t>
      </w:r>
    </w:p>
    <w:p>
      <w:pPr>
        <w:ind w:left="288"/>
      </w:pPr>
      <w:r>
        <w:rPr>
          <w:color w:val="8C8C8C"/>
          <w:sz w:val="12"/>
        </w:rPr>
        <w:t>cf-art-93-inc-VI</w:t>
      </w:r>
      <w:r>
        <w:rPr>
          <w:color w:val="003CA0"/>
          <w:sz w:val="12"/>
        </w:rPr>
        <w:t xml:space="preserve"> | ADI 5.142</w:t>
      </w:r>
      <w:r>
        <w:rPr>
          <w:color w:val="003CA0"/>
          <w:sz w:val="12"/>
        </w:rPr>
        <w:t xml:space="preserve"> | rel. Alexandre de Moraes</w:t>
      </w:r>
    </w:p>
    <w:p>
      <w:pPr>
        <w:ind w:left="288"/>
      </w:pPr>
      <w:r>
        <w:rPr>
          <w:color w:val="1E1E1E"/>
          <w:sz w:val="18"/>
        </w:rPr>
        <w:t xml:space="preserve">Lei 13.145/2014 do Estado da Bahia. Lei de Organização Judiciária do Estado da Bahia. Criação da câmara especial do extremo oeste baiano. Criação e extinção de cargos de magistrados estaduais. Afronta ao art. 93, XII e XIII, da Constituição Federal. Inocorrência. (...) O fato de o Tribunal de Justiça da Bahia extinguir 34 cargos de juiz de direito das varas de substituição, à medida que vagarem, para criação de outros 34 cargos de juiz substituto de segundo grau, não acarreta prejuízo à prestação jurisdicional ininterrupta, uma vez que o próprio Tribunal se encarregou de organizar o regime de </w:t>
      </w:r>
    </w:p>
    <w:p>
      <w:pPr>
        <w:ind w:left="288"/>
      </w:pPr>
      <w:r>
        <w:rPr>
          <w:b/>
          <w:color w:val="003CA0"/>
          <w:sz w:val="16"/>
        </w:rPr>
        <w:t>[ADI 5.142, rel. min. Alexandre de Moraes, j. 23-8-2019, P, DJE de 9-9-2019.]</w:t>
      </w:r>
    </w:p>
    <w:p>
      <w:pPr>
        <w:ind w:left="288"/>
      </w:pPr>
      <w:r>
        <w:rPr>
          <w:color w:val="8C8C8C"/>
          <w:sz w:val="12"/>
        </w:rPr>
        <w:t>cf-art-93-inc-VI</w:t>
      </w:r>
      <w:r>
        <w:rPr>
          <w:color w:val="003CA0"/>
          <w:sz w:val="12"/>
        </w:rPr>
        <w:t xml:space="preserve"> | ADI 3.823</w:t>
      </w:r>
      <w:r>
        <w:rPr>
          <w:color w:val="003CA0"/>
          <w:sz w:val="12"/>
        </w:rPr>
        <w:t xml:space="preserve"> | rel. Cármen Lúcia</w:t>
      </w:r>
    </w:p>
    <w:p>
      <w:pPr>
        <w:ind w:left="288"/>
      </w:pPr>
      <w:r>
        <w:rPr>
          <w:color w:val="1E1E1E"/>
          <w:sz w:val="18"/>
        </w:rPr>
        <w:t>Princípio da ininterruptabilidade da jurisdição. As regras legais que estabeleciam que os magistrados gozariam de férias coletivas perderam seu fundamento de validade pela promulgação da EC 45/2004. A nova norma constitucional plasmou paradigma para a matéria, contra a qual nada pode prevalecer. Enquanto vigente a norma constitucional, pelo menos em exame cautelar, cumpre fazer prevalecer a vedação de férias coletivas de juízes e membros dos tribunais de segundo grau, suspendendo-se a eficácia de atos que ponham em risco a efetividade daquela proibição.</w:t>
      </w:r>
    </w:p>
    <w:p>
      <w:pPr>
        <w:ind w:left="288"/>
      </w:pPr>
      <w:r>
        <w:rPr>
          <w:b/>
          <w:color w:val="003CA0"/>
          <w:sz w:val="16"/>
        </w:rPr>
        <w:t>[ADI 3.823 MC, rel. min. Cármen Lúcia, j. 6-12-2006, P, DJ de 23-11-2007.]</w:t>
      </w:r>
    </w:p>
    <w:p>
      <w:pPr>
        <w:ind w:left="288"/>
      </w:pPr>
      <w:r>
        <w:rPr>
          <w:color w:val="8C8C8C"/>
          <w:sz w:val="12"/>
        </w:rPr>
        <w:t>cf-art-93-inc-VI</w:t>
      </w:r>
      <w:r>
        <w:rPr>
          <w:color w:val="003CA0"/>
          <w:sz w:val="12"/>
        </w:rPr>
        <w:t xml:space="preserve"> | ADI 3.085</w:t>
      </w:r>
      <w:r>
        <w:rPr>
          <w:color w:val="003CA0"/>
          <w:sz w:val="12"/>
        </w:rPr>
        <w:t xml:space="preserve"> | rel. Eros Grau</w:t>
      </w:r>
    </w:p>
    <w:p>
      <w:pPr>
        <w:ind w:left="288"/>
      </w:pPr>
      <w:r>
        <w:rPr>
          <w:color w:val="1E1E1E"/>
          <w:sz w:val="18"/>
        </w:rPr>
        <w:t>A EC 45/2004, ao vedar as férias coletivas nos juízos e tribunais de segundo grau, revogou os atos normativos inferiores que a elas se referiam, sendo pacífico o entendimento desta Corte no sentido de não ser cabível a ação direta contra ato revogado.</w:t>
      </w:r>
    </w:p>
    <w:p>
      <w:pPr>
        <w:ind w:left="288"/>
      </w:pPr>
      <w:r>
        <w:rPr>
          <w:b/>
          <w:color w:val="003CA0"/>
          <w:sz w:val="16"/>
        </w:rPr>
        <w:t>[ADI 3.085, rel. min. Eros Grau, j. 17-2-2005, P, DJ de 28-4-2006.]</w:t>
      </w:r>
    </w:p>
    <w:p>
      <w:pPr>
        <w:ind w:left="288"/>
      </w:pPr>
      <w:r>
        <w:rPr>
          <w:color w:val="8C8C8C"/>
          <w:sz w:val="12"/>
        </w:rPr>
        <w:t>cf-art-93-inc-VI</w:t>
      </w:r>
      <w:r>
        <w:rPr>
          <w:color w:val="003CA0"/>
          <w:sz w:val="12"/>
        </w:rPr>
        <w:t xml:space="preserve"> | MS 26.739</w:t>
      </w:r>
      <w:r>
        <w:rPr>
          <w:color w:val="003CA0"/>
          <w:sz w:val="12"/>
        </w:rPr>
        <w:t xml:space="preserve"> | rel. Dias Toffoli</w:t>
      </w:r>
    </w:p>
    <w:p>
      <w:pPr>
        <w:ind w:left="288"/>
      </w:pPr>
      <w:r>
        <w:rPr>
          <w:color w:val="1E1E1E"/>
          <w:sz w:val="18"/>
        </w:rPr>
        <w:t>Vide MS 26.739, rel. min. Dias Toffoli, j. 1º-3-2016, 1ª T, DJE de 14-6-2016 XIII - o número de juízes na unidade jurisdicional será proporcional à efetiva demanda judicial e à respectiva população; (Incluído pela EC 45/2004)</w:t>
      </w:r>
    </w:p>
    <w:p>
      <w:pPr>
        <w:ind w:left="288"/>
      </w:pPr>
      <w:r>
        <w:rPr>
          <w:color w:val="8C8C8C"/>
          <w:sz w:val="12"/>
        </w:rPr>
        <w:t>cf-art-93-inc-VI</w:t>
      </w:r>
      <w:r>
        <w:rPr>
          <w:color w:val="003CA0"/>
          <w:sz w:val="12"/>
        </w:rPr>
        <w:t xml:space="preserve"> | ADI 5.142</w:t>
      </w:r>
      <w:r>
        <w:rPr>
          <w:color w:val="003CA0"/>
          <w:sz w:val="12"/>
        </w:rPr>
        <w:t xml:space="preserve"> | rel. Alexandre de Moraes</w:t>
      </w:r>
    </w:p>
    <w:p>
      <w:pPr>
        <w:ind w:left="288"/>
      </w:pPr>
      <w:r>
        <w:rPr>
          <w:color w:val="1E1E1E"/>
          <w:sz w:val="18"/>
        </w:rPr>
        <w:t xml:space="preserve">Lei 13.145/2014 do Estado da Bahia. Lei de Organização Judiciária do Estado da Bahia. Criação da câmara especial do extremo oeste baiano. Criação e extinção de cargos de magistrados estaduais. Afronta ao art. 93, XII e XIII, da Constituição Federal. Inocorrência. (...) O fato de o Tribunal de Justiça da Bahia extinguir 34 cargos de juiz de direito das varas de substituição, à medida que vagarem, para criação de outros 34 cargos de juiz substituto de segundo grau, não acarreta prejuízo à prestação jurisdicional ininterrupta, uma vez que o próprio Tribunal se encarregou de organizar o regime de </w:t>
      </w:r>
    </w:p>
    <w:p>
      <w:pPr>
        <w:ind w:left="288"/>
      </w:pPr>
      <w:r>
        <w:rPr>
          <w:b/>
          <w:color w:val="003CA0"/>
          <w:sz w:val="16"/>
        </w:rPr>
        <w:t>[ADI 5.142, rel. min. Alexandre de Moraes, j. 23-8-2019, P, DJE de 9-9-2019.]</w:t>
      </w:r>
    </w:p>
    <w:p>
      <w:pPr>
        <w:ind w:left="288"/>
      </w:pPr>
      <w:r>
        <w:rPr>
          <w:color w:val="8C8C8C"/>
          <w:sz w:val="12"/>
        </w:rPr>
        <w:t>cf-art-93-inc-VI</w:t>
      </w:r>
    </w:p>
    <w:p>
      <w:pPr>
        <w:ind w:left="288"/>
      </w:pPr>
      <w:r>
        <w:rPr>
          <w:color w:val="1E1E1E"/>
          <w:sz w:val="18"/>
        </w:rPr>
        <w:t>XIV - os servidores receberão delegação para a prática de atos de administração e atos de mero expediente sem caráter decisório; (Incluído pela EC 45/2004) XV - a distribuição de processos será imediata, em todos os graus de jurisdição. (Incluído pela EC 45/2004)</w:t>
      </w:r>
    </w:p>
    <w:p>
      <w:pPr>
        <w:ind w:left="720"/>
      </w:pPr>
      <w:r>
        <w:rPr>
          <w:color w:val="003366"/>
          <w:sz w:val="18"/>
        </w:rPr>
        <w:t>I – ingresso na carreira, cujo cargo inicial será o de juiz substituto, mediante</w:t>
      </w:r>
    </w:p>
    <w:p>
      <w:pPr>
        <w:ind w:left="720"/>
      </w:pPr>
      <w:r>
        <w:rPr>
          <w:color w:val="003366"/>
          <w:sz w:val="18"/>
        </w:rPr>
        <w:t>II – promoção de entrância para entrância, alternadamente, por antigüidade e mer</w:t>
      </w:r>
    </w:p>
    <w:p>
      <w:pPr>
        <w:ind w:left="1008"/>
      </w:pPr>
      <w:r>
        <w:rPr>
          <w:color w:val="003366"/>
          <w:sz w:val="18"/>
        </w:rPr>
        <w:t>a) é obrigatória a promoção do juiz que figure por três vezes consecutivas ou ci</w:t>
      </w:r>
    </w:p>
    <w:p>
      <w:pPr>
        <w:ind w:left="1008"/>
      </w:pPr>
      <w:r>
        <w:rPr>
          <w:color w:val="003366"/>
          <w:sz w:val="18"/>
        </w:rPr>
        <w:t>b) a promoção por merecimento pressupõe dois anos de exercício na respectiva ent</w:t>
      </w:r>
    </w:p>
    <w:p>
      <w:pPr>
        <w:ind w:left="1008"/>
      </w:pPr>
      <w:r>
        <w:rPr>
          <w:color w:val="003366"/>
          <w:sz w:val="18"/>
        </w:rPr>
        <w:t xml:space="preserve">c) aferição do merecimento conforme o desempenho e pelos critérios objetivos de </w:t>
      </w:r>
    </w:p>
    <w:p>
      <w:pPr>
        <w:ind w:left="1008"/>
      </w:pPr>
      <w:r>
        <w:rPr>
          <w:color w:val="003366"/>
          <w:sz w:val="18"/>
        </w:rPr>
        <w:t>d) na apuração de antigüidade, o tribunal somente poderá recusar o juiz mais ant</w:t>
      </w:r>
    </w:p>
    <w:p>
      <w:pPr>
        <w:ind w:left="1008"/>
      </w:pPr>
      <w:r>
        <w:rPr>
          <w:color w:val="003366"/>
          <w:sz w:val="18"/>
        </w:rPr>
        <w:t>e) não será promovido o juiz que, injustificadamente, retiver autos em seu poder</w:t>
      </w:r>
    </w:p>
    <w:p>
      <w:pPr>
        <w:ind w:left="720"/>
      </w:pPr>
      <w:r>
        <w:rPr>
          <w:color w:val="003366"/>
          <w:sz w:val="18"/>
        </w:rPr>
        <w:t xml:space="preserve">V – o subsídio dos Ministros dos Tribunais Superiores corresponderá a noventa e </w:t>
      </w:r>
    </w:p>
    <w:p>
      <w:pPr>
        <w:ind w:left="720"/>
      </w:pPr>
      <w:r>
        <w:rPr>
          <w:color w:val="003366"/>
          <w:sz w:val="18"/>
        </w:rPr>
        <w:t>VI – a aposentadoria dos magistrados e a pensão de seus dependentes observarão o</w:t>
      </w:r>
    </w:p>
    <w:p>
      <w:pPr>
        <w:ind w:left="720"/>
      </w:pPr>
      <w:r>
        <w:rPr>
          <w:color w:val="003366"/>
          <w:sz w:val="18"/>
        </w:rPr>
        <w:t>VIII – o ato de remoção ou de disponibilidade do magistrado, por interesse públi</w:t>
      </w:r>
    </w:p>
    <w:p>
      <w:pPr>
        <w:ind w:left="720"/>
      </w:pPr>
      <w:r>
        <w:rPr>
          <w:color w:val="003366"/>
          <w:sz w:val="18"/>
        </w:rPr>
        <w:t>VIII – A - a remoção a pedido de magistrados de comarca de igual entrância atend</w:t>
      </w:r>
    </w:p>
    <w:p>
      <w:pPr>
        <w:ind w:left="720"/>
      </w:pPr>
      <w:r>
        <w:rPr>
          <w:color w:val="003366"/>
          <w:sz w:val="18"/>
        </w:rPr>
        <w:t xml:space="preserve">VIII – B - a permuta de magistrados de comarca de igual entrância, quando for o </w:t>
      </w:r>
    </w:p>
    <w:p>
      <w:r>
        <w:rPr>
          <w:b/>
          <w:color w:val="003366"/>
          <w:sz w:val="20"/>
        </w:rPr>
        <w:t>Art. 94 Um quinto dos lugares dos Tribunais Regionais Federais, dos Tribunais do</w:t>
      </w:r>
      <w:r>
        <w:rPr>
          <w:color w:val="8C8C8C"/>
          <w:sz w:val="14"/>
        </w:rPr>
        <w:t xml:space="preserve">  [21 decisoes]</w:t>
      </w:r>
    </w:p>
    <w:p>
      <w:pPr>
        <w:ind w:left="288"/>
      </w:pPr>
      <w:r>
        <w:rPr>
          <w:color w:val="8C8C8C"/>
          <w:sz w:val="12"/>
        </w:rPr>
        <w:t>cf-art-94</w:t>
      </w:r>
      <w:r>
        <w:rPr>
          <w:color w:val="003CA0"/>
          <w:sz w:val="12"/>
        </w:rPr>
        <w:t xml:space="preserve"> | ADI 7.667</w:t>
      </w:r>
      <w:r>
        <w:rPr>
          <w:color w:val="003CA0"/>
          <w:sz w:val="12"/>
        </w:rPr>
        <w:t xml:space="preserve"> | rel. Dias Toffoli</w:t>
      </w:r>
    </w:p>
    <w:p>
      <w:pPr>
        <w:ind w:left="288"/>
      </w:pPr>
      <w:r>
        <w:rPr>
          <w:color w:val="1E1E1E"/>
          <w:sz w:val="18"/>
        </w:rPr>
        <w:t>O primeiro provimento de assento ímpar relativo ao quinto constitucional não se submete aos critérios da alternância e da sucessividade previstos no art. 100, § 2º, da Lei Complementar nº 35/79. 2. O tribunal respectivo poderá decidir acerca do primeiro provimento de assento ímpar relativo ao quinto constitucional, devendo ter como baliza o equilíbrio de oportunidades entre advocacia e ministério público.</w:t>
      </w:r>
    </w:p>
    <w:p>
      <w:pPr>
        <w:ind w:left="288"/>
      </w:pPr>
      <w:r>
        <w:rPr>
          <w:b/>
          <w:color w:val="003CA0"/>
          <w:sz w:val="16"/>
        </w:rPr>
        <w:t>[ADI 7.667, rel. min. Dias Toffoli, j. 25.06.2025, P, DJE de 08.09.2025.]</w:t>
      </w:r>
    </w:p>
    <w:p>
      <w:pPr>
        <w:ind w:left="288"/>
      </w:pPr>
      <w:r>
        <w:rPr>
          <w:color w:val="8C8C8C"/>
          <w:sz w:val="12"/>
        </w:rPr>
        <w:t>cf-art-94</w:t>
      </w:r>
      <w:r>
        <w:rPr>
          <w:color w:val="003CA0"/>
          <w:sz w:val="12"/>
        </w:rPr>
        <w:t xml:space="preserve"> | ADI 6.810</w:t>
      </w:r>
      <w:r>
        <w:rPr>
          <w:color w:val="003CA0"/>
          <w:sz w:val="12"/>
        </w:rPr>
        <w:t xml:space="preserve"> | rel. Dias Toffoli</w:t>
      </w:r>
    </w:p>
    <w:p>
      <w:pPr>
        <w:ind w:left="288"/>
      </w:pPr>
      <w:r>
        <w:rPr>
          <w:color w:val="1E1E1E"/>
          <w:sz w:val="18"/>
        </w:rPr>
        <w:t>A Constituição Federal outorgou à Ordem dos Advogados do Brasil a atribuição de indicar, em lista sêxtupla, os advogados integrantes do quinto constitucional (CF, art. 94). A definição dos critérios de escolha a serem observados pela própria Instituição constitui derivação lógica do poder decisório da qual se acha investida. (...) A definição de critérios objetivos e previamente conhecidos de todos os interessados fortalece o primado da transparência, da impessoalidade e da moralidade no processo de escolha dos integrantes do quinto constitucional. (...) A adoção do critério da aderência ao Es</w:t>
      </w:r>
    </w:p>
    <w:p>
      <w:pPr>
        <w:ind w:left="288"/>
      </w:pPr>
      <w:r>
        <w:rPr>
          <w:b/>
          <w:color w:val="003CA0"/>
          <w:sz w:val="16"/>
        </w:rPr>
        <w:t>[ADI 6.810, rel. min. Dias Toffoli, red. do ac. min. Flávio Dino, j. 19.04.2025, P, DJE de 28.05.2025.]</w:t>
      </w:r>
    </w:p>
    <w:p>
      <w:pPr>
        <w:ind w:left="144"/>
      </w:pPr>
      <w:r>
        <w:rPr>
          <w:b/>
          <w:color w:val="B45A00"/>
          <w:sz w:val="16"/>
        </w:rPr>
        <w:t>CONTROLE CONCENTRADO</w:t>
      </w:r>
    </w:p>
    <w:p>
      <w:pPr>
        <w:ind w:left="288"/>
      </w:pPr>
      <w:r>
        <w:rPr>
          <w:color w:val="8C8C8C"/>
          <w:sz w:val="12"/>
        </w:rPr>
        <w:t>cf-art-94</w:t>
      </w:r>
      <w:r>
        <w:rPr>
          <w:color w:val="003CA0"/>
          <w:sz w:val="12"/>
        </w:rPr>
        <w:t xml:space="preserve"> | ADI 5.588</w:t>
      </w:r>
      <w:r>
        <w:rPr>
          <w:color w:val="003CA0"/>
          <w:sz w:val="12"/>
        </w:rPr>
        <w:t xml:space="preserve"> | rel. Ricardo Lewandowski</w:t>
      </w:r>
    </w:p>
    <w:p>
      <w:pPr>
        <w:ind w:left="288"/>
      </w:pPr>
      <w:r>
        <w:rPr>
          <w:color w:val="1E1E1E"/>
          <w:sz w:val="18"/>
        </w:rPr>
        <w:t xml:space="preserve">O processo de escolha da lista sêxtupla para composição de tribunais pelo chamado quinto constitucional é tema de índole institucional que interessa a todo o Ministério Público e, por conseguinte, deve ser disciplinado pela Lei 8.625, de 12 de fevereiro de 1993 (Lei de Organização Nacional do Ministério Público – LONMP). Não há lacuna neste regramento a ser suprida por lei estadual acerca do procedimento de escolha do membro do Parquet para compor os tribunais de justiça, nos termos do art. 94, caput, da Carta da República. É inconstitucional lei estadual que disponha contrariamente às normas </w:t>
      </w:r>
    </w:p>
    <w:p>
      <w:pPr>
        <w:ind w:left="288"/>
      </w:pPr>
      <w:r>
        <w:rPr>
          <w:b/>
          <w:color w:val="003CA0"/>
          <w:sz w:val="16"/>
        </w:rPr>
        <w:t>[ADI 5.588, rel. min. Ricardo Lewandowski, j. 5-9-2022, P, DJE de 8-11-2022.]</w:t>
      </w:r>
    </w:p>
    <w:p>
      <w:pPr>
        <w:ind w:left="288"/>
      </w:pPr>
      <w:r>
        <w:rPr>
          <w:color w:val="8C8C8C"/>
          <w:sz w:val="12"/>
        </w:rPr>
        <w:t>cf-art-94</w:t>
      </w:r>
      <w:r>
        <w:rPr>
          <w:color w:val="003CA0"/>
          <w:sz w:val="12"/>
        </w:rPr>
        <w:t xml:space="preserve"> | ADI 4.134</w:t>
      </w:r>
      <w:r>
        <w:rPr>
          <w:color w:val="003CA0"/>
          <w:sz w:val="12"/>
        </w:rPr>
        <w:t xml:space="preserve"> | rel. Edson Fachin</w:t>
      </w:r>
    </w:p>
    <w:p>
      <w:pPr>
        <w:ind w:left="288"/>
      </w:pPr>
      <w:r>
        <w:rPr>
          <w:color w:val="1E1E1E"/>
          <w:sz w:val="18"/>
        </w:rPr>
        <w:t>Competência do Conselho Superior do Ministério Público para elaboração das listas sêxtuplas. (...) Embora sejam elegíveis para integrar o Conselho Superior do Ministério Público, nos termos do art. 14 da Lei 8.625/1993, apenas os Procuradores de Justiça, a escolha é realizada por meio de eleição em que votam membros de toda a classe, o que evidencia a representatividade do órgão.</w:t>
      </w:r>
    </w:p>
    <w:p>
      <w:pPr>
        <w:ind w:left="288"/>
      </w:pPr>
      <w:r>
        <w:rPr>
          <w:b/>
          <w:color w:val="003CA0"/>
          <w:sz w:val="16"/>
        </w:rPr>
        <w:t>[ADI 4.134, rel. min. Edson Fachin, j. 18-10-2019, P, DJE de 2-12-2019.]</w:t>
      </w:r>
    </w:p>
    <w:p>
      <w:pPr>
        <w:ind w:left="288"/>
      </w:pPr>
      <w:r>
        <w:rPr>
          <w:color w:val="8C8C8C"/>
          <w:sz w:val="12"/>
        </w:rPr>
        <w:t>cf-art-94</w:t>
      </w:r>
      <w:r>
        <w:rPr>
          <w:color w:val="003CA0"/>
          <w:sz w:val="12"/>
        </w:rPr>
        <w:t xml:space="preserve"> | ADI 3.490</w:t>
      </w:r>
      <w:r>
        <w:rPr>
          <w:color w:val="003CA0"/>
          <w:sz w:val="12"/>
        </w:rPr>
        <w:t xml:space="preserve"> | rel. Marco Aurélio</w:t>
      </w:r>
    </w:p>
    <w:p>
      <w:pPr>
        <w:ind w:left="288"/>
      </w:pPr>
      <w:r>
        <w:rPr>
          <w:color w:val="1E1E1E"/>
          <w:sz w:val="18"/>
        </w:rPr>
        <w:t>Com a promulgação da EC 45/2004, deu-se a extensão, aos tribunais do trabalho, da regra do "quinto" constante do art. 94 da Carta Federal.</w:t>
      </w:r>
    </w:p>
    <w:p>
      <w:pPr>
        <w:ind w:left="288"/>
      </w:pPr>
      <w:r>
        <w:rPr>
          <w:b/>
          <w:color w:val="003CA0"/>
          <w:sz w:val="16"/>
        </w:rPr>
        <w:t>[ADI 3.490, rel. min. Marco Aurélio, j. 19-12-2005, P, DJ de 7-4-2006.]</w:t>
      </w:r>
    </w:p>
    <w:p>
      <w:pPr>
        <w:ind w:left="288"/>
      </w:pPr>
      <w:r>
        <w:rPr>
          <w:color w:val="8C8C8C"/>
          <w:sz w:val="12"/>
        </w:rPr>
        <w:t>cf-art-94</w:t>
      </w:r>
      <w:r>
        <w:rPr>
          <w:color w:val="003CA0"/>
          <w:sz w:val="12"/>
        </w:rPr>
        <w:t xml:space="preserve"> | ADI 160</w:t>
      </w:r>
      <w:r>
        <w:rPr>
          <w:color w:val="003CA0"/>
          <w:sz w:val="12"/>
        </w:rPr>
        <w:t xml:space="preserve"> | rel. Octavio Gallotti</w:t>
      </w:r>
    </w:p>
    <w:p>
      <w:pPr>
        <w:ind w:left="288"/>
      </w:pPr>
      <w:r>
        <w:rPr>
          <w:color w:val="1E1E1E"/>
          <w:sz w:val="18"/>
        </w:rPr>
        <w:t>Inconstitucionalidade da previsão, pela Carta estadual, de percentual fixo (4/5), para o preenchimento das vagas destinadas aos oriundos da magistratura, pela possibilidade de choque com a garantia do provimento, do quinto restante, quando não for múltiplo de cinco o número de membros do tribunal.</w:t>
      </w:r>
    </w:p>
    <w:p>
      <w:pPr>
        <w:ind w:left="288"/>
      </w:pPr>
      <w:r>
        <w:rPr>
          <w:b/>
          <w:color w:val="003CA0"/>
          <w:sz w:val="16"/>
        </w:rPr>
        <w:t>[ADI 160, rel. min. Octavio Gallotti, j. 23-4-1998, 1ª T, DJ de 20-11-1998.]</w:t>
      </w:r>
    </w:p>
    <w:p>
      <w:pPr>
        <w:ind w:left="288"/>
      </w:pPr>
      <w:r>
        <w:rPr>
          <w:color w:val="8C8C8C"/>
          <w:sz w:val="12"/>
        </w:rPr>
        <w:t>cf-art-94</w:t>
      </w:r>
      <w:r>
        <w:rPr>
          <w:color w:val="003CA0"/>
          <w:sz w:val="12"/>
        </w:rPr>
        <w:t xml:space="preserve"> | ADI 759</w:t>
      </w:r>
      <w:r>
        <w:rPr>
          <w:color w:val="003CA0"/>
          <w:sz w:val="12"/>
        </w:rPr>
        <w:t xml:space="preserve"> | rel. Carlos Velloso</w:t>
      </w:r>
    </w:p>
    <w:p>
      <w:pPr>
        <w:ind w:left="288"/>
      </w:pPr>
      <w:r>
        <w:rPr>
          <w:color w:val="1E1E1E"/>
          <w:sz w:val="18"/>
        </w:rPr>
        <w:t>Constitucional. Advogados. Lista sêxtupla. Incompatibilidade e impedimento. Provimento 73, de 13-4-1992, do Conselho Federal da OAB, parágrafo único do art. 5º e § 3º do art. 7º. Constituição, art. 94. Suspensão da eficácia, no parágrafo único do art. 5º, do Provimento 73, do Conselho Federal da OAB. Vencido, em parte, o ministro relator, que suspendia, apenas, a locução "há mais de seis meses da abertura da vaga".</w:t>
      </w:r>
    </w:p>
    <w:p>
      <w:pPr>
        <w:ind w:left="288"/>
      </w:pPr>
      <w:r>
        <w:rPr>
          <w:b/>
          <w:color w:val="003CA0"/>
          <w:sz w:val="16"/>
        </w:rPr>
        <w:t>[ADI 759 MC, rel. min. Carlos Velloso, j. 20-8-1992, P, DJ de 16-4-1993.]</w:t>
      </w:r>
    </w:p>
    <w:p>
      <w:pPr>
        <w:ind w:left="288"/>
      </w:pPr>
      <w:r>
        <w:rPr>
          <w:color w:val="8C8C8C"/>
          <w:sz w:val="12"/>
        </w:rPr>
        <w:t>cf-art-94</w:t>
      </w:r>
      <w:r>
        <w:rPr>
          <w:color w:val="003CA0"/>
          <w:sz w:val="12"/>
        </w:rPr>
        <w:t xml:space="preserve"> | ADI 27</w:t>
      </w:r>
      <w:r>
        <w:rPr>
          <w:color w:val="003CA0"/>
          <w:sz w:val="12"/>
        </w:rPr>
        <w:t xml:space="preserve"> | rel. Célio Borja</w:t>
      </w:r>
    </w:p>
    <w:p>
      <w:pPr>
        <w:ind w:left="288"/>
      </w:pPr>
      <w:r>
        <w:rPr>
          <w:color w:val="1E1E1E"/>
          <w:sz w:val="18"/>
        </w:rPr>
        <w:t>Os campos de incidência dos arts. 93 e 94 da Constituição são autônomos e o que um manda não desautoriza o que o outro impõe. Assim, enquanto os dispositivos do citado art. 93, II e III, aplicam-se exclusivamente a magistrados, o art. 94 regula o ingresso de advogados e membros do Ministério Público no quinto da composição dos tribunais.</w:t>
      </w:r>
    </w:p>
    <w:p>
      <w:pPr>
        <w:ind w:left="288"/>
      </w:pPr>
      <w:r>
        <w:rPr>
          <w:b/>
          <w:color w:val="003CA0"/>
          <w:sz w:val="16"/>
        </w:rPr>
        <w:t>[ADI 27, rel. min. Célio Borja, j. 21-2-1990, P, DJ de 22-6-1990.]</w:t>
      </w:r>
    </w:p>
    <w:p>
      <w:pPr>
        <w:ind w:left="144"/>
      </w:pPr>
      <w:r>
        <w:rPr>
          <w:b/>
          <w:color w:val="B45A00"/>
          <w:sz w:val="16"/>
        </w:rPr>
        <w:t>JULGADOS CORRELATOS</w:t>
      </w:r>
    </w:p>
    <w:p>
      <w:pPr>
        <w:ind w:left="288"/>
      </w:pPr>
      <w:r>
        <w:rPr>
          <w:color w:val="8C8C8C"/>
          <w:sz w:val="12"/>
        </w:rPr>
        <w:t>cf-art-94</w:t>
      </w:r>
      <w:r>
        <w:rPr>
          <w:color w:val="003CA0"/>
          <w:sz w:val="12"/>
        </w:rPr>
        <w:t xml:space="preserve"> | MS 32.491</w:t>
      </w:r>
      <w:r>
        <w:rPr>
          <w:color w:val="003CA0"/>
          <w:sz w:val="12"/>
        </w:rPr>
        <w:t xml:space="preserve"> | rel. Ricardo Lewandowski</w:t>
      </w:r>
    </w:p>
    <w:p>
      <w:pPr>
        <w:ind w:left="288"/>
      </w:pPr>
      <w:r>
        <w:rPr>
          <w:color w:val="1E1E1E"/>
          <w:sz w:val="18"/>
        </w:rPr>
        <w:t>Advogado nomeado ao cargo de desembargador pelo quinto constitucional. (...) A qualidade de ex-juiz do TRE/BA ostentada pelo impetrante indica que é detentor dos requisitos necessários para ocupar o cargo de desembargador do Tribunal de Justiça do mesmo Estado, a despeito de possuir um inquérito policial instaurado contra ele. Os cargos de juiz do TRE, assim como o de desembargador do Tribunal de Justiça, possuem os mesmos requisitos para o respectivo preenchimento, a saber: notório saber jurídico e idoneidade moral. Dessa forma, se o impetrante preenchia o requisito para atuar no TRE, nada im</w:t>
      </w:r>
    </w:p>
    <w:p>
      <w:pPr>
        <w:ind w:left="288"/>
      </w:pPr>
      <w:r>
        <w:rPr>
          <w:b/>
          <w:color w:val="003CA0"/>
          <w:sz w:val="16"/>
        </w:rPr>
        <w:t>[MS 32.491, rel. min. Ricardo Lewandowski, j. 19-8-2014, 2ª T, DJE de 10-10-2014.]</w:t>
      </w:r>
    </w:p>
    <w:p>
      <w:pPr>
        <w:ind w:left="288"/>
      </w:pPr>
      <w:r>
        <w:rPr>
          <w:color w:val="8C8C8C"/>
          <w:sz w:val="12"/>
        </w:rPr>
        <w:t>cf-art-94</w:t>
      </w:r>
      <w:r>
        <w:rPr>
          <w:color w:val="003CA0"/>
          <w:sz w:val="12"/>
        </w:rPr>
        <w:t xml:space="preserve"> | RE 484.388</w:t>
      </w:r>
    </w:p>
    <w:p>
      <w:pPr>
        <w:ind w:left="288"/>
      </w:pPr>
      <w:r>
        <w:rPr>
          <w:color w:val="1E1E1E"/>
          <w:sz w:val="18"/>
        </w:rPr>
        <w:t>O quinto constitucional previsto para o provimento de lugares em Tribunal, quando eventualmente não observado, não gera nulidade do julgado, máxime em razão da ilegitimidade da parte para questionar os critérios de preenchimento das vagas nos órgãos do Judiciário, mercê da incidência do princípio pas de nullité sans grief, consagrado no art. 499 do CPPM (...).</w:t>
      </w:r>
    </w:p>
    <w:p>
      <w:pPr>
        <w:ind w:left="288"/>
      </w:pPr>
      <w:r>
        <w:rPr>
          <w:b/>
          <w:color w:val="003CA0"/>
          <w:sz w:val="16"/>
        </w:rPr>
        <w:t>[RE 484.388, red. do ac. min. Luiz Fux, j. 13-10-2011, P, DJE de 13-3-2012.]</w:t>
      </w:r>
    </w:p>
    <w:p>
      <w:pPr>
        <w:ind w:left="288"/>
      </w:pPr>
      <w:r>
        <w:rPr>
          <w:color w:val="8C8C8C"/>
          <w:sz w:val="12"/>
        </w:rPr>
        <w:t>cf-art-94</w:t>
      </w:r>
      <w:r>
        <w:rPr>
          <w:color w:val="003CA0"/>
          <w:sz w:val="12"/>
        </w:rPr>
        <w:t xml:space="preserve"> | MS 25.624</w:t>
      </w:r>
      <w:r>
        <w:rPr>
          <w:color w:val="003CA0"/>
          <w:sz w:val="12"/>
        </w:rPr>
        <w:t xml:space="preserve"> | rel. Sepúlveda Pertence</w:t>
      </w:r>
    </w:p>
    <w:p>
      <w:pPr>
        <w:ind w:left="288"/>
      </w:pPr>
      <w:r>
        <w:rPr>
          <w:color w:val="1E1E1E"/>
          <w:sz w:val="18"/>
        </w:rPr>
        <w:t>Composição do Tribunal de Justiça do Estado de São Paulo. (...) A devolução da lista apresentada pela OAB com clara indicação dos motivos que a suportaram não viola decisão desta Suprema Corte que, expressamente, ressalvou essa possibilidade "à falta de requisito constitucional para a investidura, desde que fundada a recusa em razões objetivas, declinadas na motivação da deliberação do órgão competente do colegiado judiciário" (MS 25.624/SP, rel. min. Sepúlveda Pertence, DJ de 19-12-2006).</w:t>
      </w:r>
    </w:p>
    <w:p>
      <w:pPr>
        <w:ind w:left="288"/>
      </w:pPr>
      <w:r>
        <w:rPr>
          <w:b/>
          <w:color w:val="003CA0"/>
          <w:sz w:val="16"/>
        </w:rPr>
        <w:t>[Rcl 5.413, rel. min. Menezes Direito, j. 10-4-2008, P, DJE de 23-5-2008.]</w:t>
      </w:r>
    </w:p>
    <w:p>
      <w:pPr>
        <w:ind w:left="288"/>
      </w:pPr>
      <w:r>
        <w:rPr>
          <w:color w:val="8C8C8C"/>
          <w:sz w:val="12"/>
        </w:rPr>
        <w:t>cf-art-94</w:t>
      </w:r>
      <w:r>
        <w:rPr>
          <w:color w:val="003CA0"/>
          <w:sz w:val="12"/>
        </w:rPr>
        <w:t xml:space="preserve"> | MS 25.624</w:t>
      </w:r>
      <w:r>
        <w:rPr>
          <w:color w:val="003CA0"/>
          <w:sz w:val="12"/>
        </w:rPr>
        <w:t xml:space="preserve"> | rel. Sepúlveda Pertence</w:t>
      </w:r>
    </w:p>
    <w:p>
      <w:pPr>
        <w:ind w:left="288"/>
      </w:pPr>
      <w:r>
        <w:rPr>
          <w:color w:val="1E1E1E"/>
          <w:sz w:val="18"/>
        </w:rPr>
        <w:t>Mandado de segurança: processo de escolha de candidatos a cinco vagas de desembargador do Tribunal de Justiça de São Paulo, correspondente à cota no "quinto constitucional" da advocacia: composição de lista sêxtupla pelo Tribunal de Justiça que, desprezando a lista sêxtupla específica organizada pelo Conselho Seccional da OAB para a primeira das vagas, substituiu os seus integrantes por nomes remanescentes das listas indicadas para as vagas subsequentes e, dentre eles, elaborou a lista tríplice: contrariedade ao art. 94 e seu parágrafo único da CF: declaração de nulidade de ambas as listas, se</w:t>
      </w:r>
    </w:p>
    <w:p>
      <w:pPr>
        <w:ind w:left="288"/>
      </w:pPr>
      <w:r>
        <w:rPr>
          <w:b/>
          <w:color w:val="003CA0"/>
          <w:sz w:val="16"/>
        </w:rPr>
        <w:t>[MS 25.624, rel. min. Sepúlveda Pertence, j. 6-9-2006, P, DJ de 19-12-2006.]</w:t>
      </w:r>
    </w:p>
    <w:p>
      <w:pPr>
        <w:ind w:left="288"/>
      </w:pPr>
      <w:r>
        <w:rPr>
          <w:color w:val="8C8C8C"/>
          <w:sz w:val="12"/>
        </w:rPr>
        <w:t>cf-art-94</w:t>
      </w:r>
      <w:r>
        <w:rPr>
          <w:color w:val="003CA0"/>
          <w:sz w:val="12"/>
        </w:rPr>
        <w:t xml:space="preserve"> | MS 23.769</w:t>
      </w:r>
      <w:r>
        <w:rPr>
          <w:color w:val="003CA0"/>
          <w:sz w:val="12"/>
        </w:rPr>
        <w:t xml:space="preserve"> | rel. Ellen Gracie</w:t>
      </w:r>
    </w:p>
    <w:p>
      <w:pPr>
        <w:ind w:left="288"/>
      </w:pPr>
      <w:r>
        <w:rPr>
          <w:color w:val="1E1E1E"/>
          <w:sz w:val="18"/>
        </w:rPr>
        <w:t>Composição dos TRT em decorrência da extinção da representação classista na justiça laboral. EC 24/1999. Vagas destinadas a advogados e membros do MPT. Critério de proporcionalidade. Por simetria com os TRF e todos os demais tribunais de grau de apelação, as listas tríplices haverão de ser extraídas das listas sêxtuplas encaminhadas pelos órgãos representativos de ambas as categorias, a teor do disposto no art. 94, in fine. A regra de escolha da lista tríplice, independentemente de indicação pelos órgãos de representação das respectivas classes, é restrita aos tribunais superiores (TST e STJ).</w:t>
      </w:r>
    </w:p>
    <w:p>
      <w:pPr>
        <w:ind w:left="288"/>
      </w:pPr>
      <w:r>
        <w:rPr>
          <w:b/>
          <w:color w:val="003CA0"/>
          <w:sz w:val="16"/>
        </w:rPr>
        <w:t>[MS 23.769, rel. min. Ellen Gracie, j. 3-4-2002, P, DJ de 30-4-2004.]</w:t>
      </w:r>
    </w:p>
    <w:p>
      <w:pPr>
        <w:ind w:left="288"/>
      </w:pPr>
      <w:r>
        <w:rPr>
          <w:color w:val="8C8C8C"/>
          <w:sz w:val="12"/>
        </w:rPr>
        <w:t>cf-art-94</w:t>
      </w:r>
      <w:r>
        <w:rPr>
          <w:color w:val="003CA0"/>
          <w:sz w:val="12"/>
        </w:rPr>
        <w:t xml:space="preserve"> | MS 20.597</w:t>
      </w:r>
      <w:r>
        <w:rPr>
          <w:color w:val="003CA0"/>
          <w:sz w:val="12"/>
        </w:rPr>
        <w:t xml:space="preserve"> | rel. Carlos Velloso</w:t>
      </w:r>
    </w:p>
    <w:p>
      <w:pPr>
        <w:ind w:left="288"/>
      </w:pPr>
      <w:r>
        <w:rPr>
          <w:color w:val="1E1E1E"/>
          <w:sz w:val="18"/>
        </w:rPr>
        <w:t>A norma do § 2º do art. 100 da Loman, LC 35/1979, é aplicável quando, ocorrendo vaga a ser preenchida pelo quinto constitucional, uma das classes se acha em inferioridade na composição do tribunal. No preenchimento, então, dessa vaga, inverter-se-á a situação: a classe que se achava em inferioridade passa a ter situação de superioridade, atendendo-se, destarte, ao princípio constitucional da paridade entre as duas classes, Ministério Público e advocacia. Precedente do STF: MS 20.597/DF, Octavio Gallotti, Plenário, RTJ 120/1975.</w:t>
      </w:r>
    </w:p>
    <w:p>
      <w:pPr>
        <w:ind w:left="288"/>
      </w:pPr>
      <w:r>
        <w:rPr>
          <w:b/>
          <w:color w:val="003CA0"/>
          <w:sz w:val="16"/>
        </w:rPr>
        <w:t>[MS 23.972, rel. min. Carlos Velloso, j. 12-9-2001, P, DJ de 29-8-2003.]</w:t>
      </w:r>
    </w:p>
    <w:p>
      <w:pPr>
        <w:ind w:left="288"/>
      </w:pPr>
      <w:r>
        <w:rPr>
          <w:color w:val="8C8C8C"/>
          <w:sz w:val="12"/>
        </w:rPr>
        <w:t>cf-art-94</w:t>
      </w:r>
      <w:r>
        <w:rPr>
          <w:color w:val="003CA0"/>
          <w:sz w:val="12"/>
        </w:rPr>
        <w:t xml:space="preserve"> | AO 493</w:t>
      </w:r>
      <w:r>
        <w:rPr>
          <w:color w:val="003CA0"/>
          <w:sz w:val="12"/>
        </w:rPr>
        <w:t xml:space="preserve"> | rel. Octavio Gallotti</w:t>
      </w:r>
    </w:p>
    <w:p>
      <w:pPr>
        <w:ind w:left="288"/>
      </w:pPr>
      <w:r>
        <w:rPr>
          <w:color w:val="1E1E1E"/>
          <w:sz w:val="18"/>
        </w:rPr>
        <w:t>Tribunal de justiça. Se o número total de sua composição não for divisível por cinco, arredonda-se a fração restante (seja superior ou inferior à metade) para o número inteiro seguinte, a fim de alcançar-se a quantidade de vagas destinadas ao quinto constitucional destinado ao provimento por advogados e membros do Ministério Público.</w:t>
      </w:r>
    </w:p>
    <w:p>
      <w:pPr>
        <w:ind w:left="288"/>
      </w:pPr>
      <w:r>
        <w:rPr>
          <w:b/>
          <w:color w:val="003CA0"/>
          <w:sz w:val="16"/>
        </w:rPr>
        <w:t>[AO 493, rel. min. Octavio Gallotti, j. 6-6-2000, 1ª T, DJ de 10-11-2000.]</w:t>
      </w:r>
    </w:p>
    <w:p>
      <w:pPr>
        <w:ind w:left="288"/>
      </w:pPr>
      <w:r>
        <w:rPr>
          <w:color w:val="8C8C8C"/>
          <w:sz w:val="12"/>
        </w:rPr>
        <w:t>cf-art-94</w:t>
      </w:r>
      <w:r>
        <w:rPr>
          <w:color w:val="003CA0"/>
          <w:sz w:val="12"/>
        </w:rPr>
        <w:t xml:space="preserve"> | RE 678.957</w:t>
      </w:r>
      <w:r>
        <w:rPr>
          <w:color w:val="003CA0"/>
          <w:sz w:val="12"/>
        </w:rPr>
        <w:t xml:space="preserve"> | rel. Cármen Lúcia</w:t>
      </w:r>
    </w:p>
    <w:p>
      <w:pPr>
        <w:ind w:left="288"/>
      </w:pPr>
      <w:r>
        <w:rPr>
          <w:color w:val="1E1E1E"/>
          <w:sz w:val="18"/>
        </w:rPr>
        <w:t>=  RE 678.957 AgR, rel. min. Cármen Lúcia, j. 19-11-2013, 2ª T, DJE de 27-11-2013 Um quinto da composição dos TRF será de juízes oriundos da advocacia e do MPF. Esta é uma norma constitucional expressa, que há de prevalecer sobre a norma implícita, que decorre da norma expressa, no sentido de que, se 1/5 é dos advogados e membros do MPF, 4/5 serão dos juízes de carreira. Observada a regra de hermenêutica – a norma expressa prevalece sobre a norma implícita – força é convir que, se o número total da composição for múltiplo de cinco, arredonda-se a fração – superior ou inferior a meio – para cim</w:t>
      </w:r>
    </w:p>
    <w:p>
      <w:pPr>
        <w:ind w:left="288"/>
      </w:pPr>
      <w:r>
        <w:rPr>
          <w:b/>
          <w:color w:val="003CA0"/>
          <w:sz w:val="16"/>
        </w:rPr>
        <w:t>[MS 22.323, rel. min. Carlos Velloso, j. 28-9-1995, P, DJ de 19-4-1996.]</w:t>
      </w:r>
    </w:p>
    <w:p>
      <w:pPr>
        <w:ind w:left="288"/>
      </w:pPr>
      <w:r>
        <w:rPr>
          <w:color w:val="8C8C8C"/>
          <w:sz w:val="12"/>
        </w:rPr>
        <w:t>cf-art-94</w:t>
      </w:r>
      <w:r>
        <w:rPr>
          <w:color w:val="003CA0"/>
          <w:sz w:val="12"/>
        </w:rPr>
        <w:t xml:space="preserve"> | MS 21.168</w:t>
      </w:r>
      <w:r>
        <w:rPr>
          <w:color w:val="003CA0"/>
          <w:sz w:val="12"/>
        </w:rPr>
        <w:t xml:space="preserve"> | rel. Sepúlveda Pertence</w:t>
      </w:r>
    </w:p>
    <w:p>
      <w:pPr>
        <w:ind w:left="288"/>
      </w:pPr>
      <w:r>
        <w:rPr>
          <w:color w:val="1E1E1E"/>
          <w:sz w:val="18"/>
        </w:rPr>
        <w:t>MPT: substitutos de procurador: antiguidade na carreira a partir da vigência do art. 29, § 4º, ADCT/1988 – que os integrou na carreira –, para o efeito de concorrerem à eleição da lista sêxtupla de candidatos à respectiva cota dos tribunais do trabalho, nos termos do art. 94 da Constituição.</w:t>
      </w:r>
    </w:p>
    <w:p>
      <w:pPr>
        <w:ind w:left="288"/>
      </w:pPr>
      <w:r>
        <w:rPr>
          <w:b/>
          <w:color w:val="003CA0"/>
          <w:sz w:val="16"/>
        </w:rPr>
        <w:t>[MS 21.168, rel. min. Sepúlveda Pertence, j. 23-6-1994, P, DJ de 16-9-1994.]</w:t>
      </w:r>
    </w:p>
    <w:p>
      <w:pPr>
        <w:ind w:left="144"/>
      </w:pPr>
      <w:r>
        <w:rPr>
          <w:b/>
          <w:color w:val="B45A00"/>
          <w:sz w:val="16"/>
        </w:rPr>
        <w:t>CONTROLE CONCENTRADO</w:t>
      </w:r>
    </w:p>
    <w:p>
      <w:pPr>
        <w:ind w:left="288"/>
      </w:pPr>
      <w:r>
        <w:rPr>
          <w:color w:val="8C8C8C"/>
          <w:sz w:val="12"/>
        </w:rPr>
        <w:t>cf-art-94-par-unico</w:t>
      </w:r>
      <w:r>
        <w:rPr>
          <w:color w:val="003CA0"/>
          <w:sz w:val="12"/>
        </w:rPr>
        <w:t xml:space="preserve"> | ADI 4.150</w:t>
      </w:r>
      <w:r>
        <w:rPr>
          <w:color w:val="003CA0"/>
          <w:sz w:val="12"/>
        </w:rPr>
        <w:t xml:space="preserve"> | rel. Marco Aurélio</w:t>
      </w:r>
    </w:p>
    <w:p>
      <w:pPr>
        <w:ind w:left="288"/>
      </w:pPr>
      <w:r>
        <w:rPr>
          <w:color w:val="1E1E1E"/>
          <w:sz w:val="18"/>
        </w:rPr>
        <w:t>Conflita com a CF norma da Carta do Estado que junge à aprovação da assembleia legislativa a escolha de candidato à vaga do quinto em tribunal.</w:t>
      </w:r>
    </w:p>
    <w:p>
      <w:pPr>
        <w:ind w:left="288"/>
      </w:pPr>
      <w:r>
        <w:rPr>
          <w:b/>
          <w:color w:val="003CA0"/>
          <w:sz w:val="16"/>
        </w:rPr>
        <w:t>[ADI 4.150, rel. min. Marco Aurélio, j. 25-2-2015, P, DJE de 19-3-2015.]</w:t>
      </w:r>
    </w:p>
    <w:p>
      <w:pPr>
        <w:ind w:left="144"/>
      </w:pPr>
      <w:r>
        <w:rPr>
          <w:b/>
          <w:color w:val="B45A00"/>
          <w:sz w:val="16"/>
        </w:rPr>
        <w:t>JULGADOS CORRELATOS</w:t>
      </w:r>
    </w:p>
    <w:p>
      <w:pPr>
        <w:ind w:left="288"/>
      </w:pPr>
      <w:r>
        <w:rPr>
          <w:color w:val="8C8C8C"/>
          <w:sz w:val="12"/>
        </w:rPr>
        <w:t>cf-art-94-par-unico</w:t>
      </w:r>
      <w:r>
        <w:rPr>
          <w:color w:val="003CA0"/>
          <w:sz w:val="12"/>
        </w:rPr>
        <w:t xml:space="preserve"> | MS 27.033</w:t>
      </w:r>
      <w:r>
        <w:rPr>
          <w:color w:val="003CA0"/>
          <w:sz w:val="12"/>
        </w:rPr>
        <w:t xml:space="preserve"> | rel. Celso de Mello</w:t>
      </w:r>
    </w:p>
    <w:p>
      <w:pPr>
        <w:ind w:left="288"/>
      </w:pPr>
      <w:r>
        <w:rPr>
          <w:color w:val="1E1E1E"/>
          <w:sz w:val="18"/>
        </w:rPr>
        <w:t>O CNJ não dispõe, constitucionalmente, de competência para deliberar sobre situações que alcancem ou que atinjam resoluções e manifestações volitivas emanadas de órgãos e autoridades vinculados a outros Poderes do Estado e, por isso mesmo, absolutamente estranhos ao âmbito de atribuições institucionais daquele órgão de controle meramente administrativo do Poder Judiciário, ainda que se trate de provimento de cargo de desembargador pela regra do quinto constitucional (CF, art. 94), pois, em tal hipótese, cuidando-se de procedimento subjetivamente complexo (RTJ 178/220 – RTJ 187/233-234 – RTJ 18</w:t>
      </w:r>
    </w:p>
    <w:p>
      <w:pPr>
        <w:ind w:left="288"/>
      </w:pPr>
      <w:r>
        <w:rPr>
          <w:b/>
          <w:color w:val="003CA0"/>
          <w:sz w:val="16"/>
        </w:rPr>
        <w:t>[MS 27.033 AgR, rel. min. Celso de Mello, j. 30-6-2015, 2ª T, DJE de 27-10-2015.]</w:t>
      </w:r>
    </w:p>
    <w:p>
      <w:pPr>
        <w:ind w:left="288"/>
      </w:pPr>
      <w:r>
        <w:rPr>
          <w:color w:val="8C8C8C"/>
          <w:sz w:val="12"/>
        </w:rPr>
        <w:t>cf-art-94-par-unico</w:t>
      </w:r>
      <w:r>
        <w:rPr>
          <w:color w:val="003CA0"/>
          <w:sz w:val="12"/>
        </w:rPr>
        <w:t xml:space="preserve"> | MS 31.923</w:t>
      </w:r>
      <w:r>
        <w:rPr>
          <w:color w:val="003CA0"/>
          <w:sz w:val="12"/>
        </w:rPr>
        <w:t xml:space="preserve"> | rel. Celso de Mello</w:t>
      </w:r>
    </w:p>
    <w:p>
      <w:pPr>
        <w:ind w:left="288"/>
      </w:pPr>
      <w:r>
        <w:rPr>
          <w:color w:val="1E1E1E"/>
          <w:sz w:val="18"/>
        </w:rPr>
        <w:t xml:space="preserve">"Quinto constitucional" (CF, art. 94). Elaboração de lista tríplice por tribunal de justiça. Observância do princípio da publicidade, em oposição à prática dos arcana imperii, como fator de legitimação constitucional das deliberações dos órgãos do Poder Judiciário. Aparente validade da resolução do CNJ que consagrou, em tal hipótese, a necessidade de "votação aberta, nominal e fundamentada". Importância da transparência dos atos estatais como elemento viabilizador do escrutínio público. A ruptura dos círculos de indevassabilidade das deliberações do poder. Instituição do regime de sigilo fora </w:t>
      </w:r>
    </w:p>
    <w:p>
      <w:pPr>
        <w:ind w:left="288"/>
      </w:pPr>
      <w:r>
        <w:rPr>
          <w:b/>
          <w:color w:val="003CA0"/>
          <w:sz w:val="16"/>
        </w:rPr>
        <w:t>[MS 31.923 MC, rel. min. Celso de Mello, j. 17-4-2013, dec. monocrática, DJE de 22-4-2013.]</w:t>
      </w:r>
    </w:p>
    <w:p>
      <w:pPr>
        <w:ind w:left="288"/>
      </w:pPr>
      <w:r>
        <w:rPr>
          <w:color w:val="8C8C8C"/>
          <w:sz w:val="12"/>
        </w:rPr>
        <w:t>cf-art-94-par-unico</w:t>
      </w:r>
      <w:r>
        <w:rPr>
          <w:color w:val="003CA0"/>
          <w:sz w:val="12"/>
        </w:rPr>
        <w:t xml:space="preserve"> | MS 22.323</w:t>
      </w:r>
      <w:r>
        <w:rPr>
          <w:color w:val="003CA0"/>
          <w:sz w:val="12"/>
        </w:rPr>
        <w:t xml:space="preserve"> | rel. Carlos Velloso</w:t>
      </w:r>
    </w:p>
    <w:p>
      <w:pPr>
        <w:ind w:left="288"/>
      </w:pPr>
      <w:r>
        <w:rPr>
          <w:color w:val="1E1E1E"/>
          <w:sz w:val="18"/>
        </w:rPr>
        <w:t>Decadência do direito à impetração: inocorrência, tendo em vista que o ato de nomeação de juiz do TRF é ato complexo, que somente se completa com o decreto do presidente da República, que, acolhendo a lista tríplice, nomeia o magistrado.</w:t>
      </w:r>
    </w:p>
    <w:p>
      <w:pPr>
        <w:ind w:left="288"/>
      </w:pPr>
      <w:r>
        <w:rPr>
          <w:b/>
          <w:color w:val="003CA0"/>
          <w:sz w:val="16"/>
        </w:rPr>
        <w:t>[MS 22.323, rel. min. Carlos Velloso, j. 28-9-1995, P, DJ de 19-4-1996.]</w:t>
      </w:r>
    </w:p>
    <w:p>
      <w:r>
        <w:rPr>
          <w:b/>
          <w:color w:val="003366"/>
          <w:sz w:val="20"/>
        </w:rPr>
        <w:t>Art. 95 Os juízes gozam das seguintes garantias:</w:t>
      </w:r>
      <w:r>
        <w:rPr>
          <w:color w:val="8C8C8C"/>
          <w:sz w:val="14"/>
        </w:rPr>
        <w:t xml:space="preserve">  [18 decisoes]</w:t>
      </w:r>
    </w:p>
    <w:p>
      <w:pPr>
        <w:ind w:left="144"/>
      </w:pPr>
      <w:r>
        <w:rPr>
          <w:b/>
          <w:color w:val="B45A00"/>
          <w:sz w:val="16"/>
        </w:rPr>
        <w:t>JULGADOS CORRELATOS</w:t>
      </w:r>
    </w:p>
    <w:p>
      <w:pPr>
        <w:ind w:left="288"/>
      </w:pPr>
      <w:r>
        <w:rPr>
          <w:color w:val="8C8C8C"/>
          <w:sz w:val="12"/>
        </w:rPr>
        <w:t>cf-art-95</w:t>
      </w:r>
      <w:r>
        <w:rPr>
          <w:color w:val="003CA0"/>
          <w:sz w:val="12"/>
        </w:rPr>
        <w:t xml:space="preserve"> | AI 471.215</w:t>
      </w:r>
      <w:r>
        <w:rPr>
          <w:color w:val="003CA0"/>
          <w:sz w:val="12"/>
        </w:rPr>
        <w:t xml:space="preserve"> | rel. Cezar Peluso</w:t>
      </w:r>
    </w:p>
    <w:p>
      <w:pPr>
        <w:ind w:left="288"/>
      </w:pPr>
      <w:r>
        <w:rPr>
          <w:color w:val="1E1E1E"/>
          <w:sz w:val="18"/>
        </w:rPr>
        <w:t>Adicional por tempo de serviço. (...) É computável, para fins de gratificação adicional dos magistrados da União, o tempo de serviço prestado a pessoas de direito público integrantes da administração pública, ainda que despidas de natureza autárquica.</w:t>
      </w:r>
    </w:p>
    <w:p>
      <w:pPr>
        <w:ind w:left="288"/>
      </w:pPr>
      <w:r>
        <w:rPr>
          <w:b/>
          <w:color w:val="003CA0"/>
          <w:sz w:val="16"/>
        </w:rPr>
        <w:t>[AI 471.215 AgR-ED-ED, rel. min. Cezar Peluso, j. 14-12-2006, 1ª T, DJ de 16-2-2007.]</w:t>
      </w:r>
    </w:p>
    <w:p>
      <w:pPr>
        <w:ind w:left="288"/>
      </w:pPr>
      <w:r>
        <w:rPr>
          <w:color w:val="8C8C8C"/>
          <w:sz w:val="12"/>
        </w:rPr>
        <w:t>cf-art-95</w:t>
      </w:r>
      <w:r>
        <w:rPr>
          <w:color w:val="003CA0"/>
          <w:sz w:val="12"/>
        </w:rPr>
        <w:t xml:space="preserve"> | RE 228.977</w:t>
      </w:r>
      <w:r>
        <w:rPr>
          <w:color w:val="003CA0"/>
          <w:sz w:val="12"/>
        </w:rPr>
        <w:t xml:space="preserve"> | rel. Néri da Silveira</w:t>
      </w:r>
    </w:p>
    <w:p>
      <w:pPr>
        <w:ind w:left="288"/>
      </w:pPr>
      <w:r>
        <w:rPr>
          <w:color w:val="1E1E1E"/>
          <w:sz w:val="18"/>
        </w:rPr>
        <w:t>A autoridade judiciária não tem responsabilidade civil pelos atos jurisdicionais praticados. Os magistrados enquadram-se na espécie agente político, investidos para o exercício de atribuições constitucionais, sendo dotados de plena liberdade funcional no desempenho de suas funções, com prerrogativas próprias e legislação específica. Ação que deveria  ter sido ajuizada contra a Fazenda Estadual – responsável eventual pelos alegados danos causados pela autoridade judicial, ao exercer suas atribuições –, a qual, posteriormente, terá assegurado o direito de regresso contra o magistrado responsável</w:t>
      </w:r>
    </w:p>
    <w:p>
      <w:pPr>
        <w:ind w:left="288"/>
      </w:pPr>
      <w:r>
        <w:rPr>
          <w:b/>
          <w:color w:val="003CA0"/>
          <w:sz w:val="16"/>
        </w:rPr>
        <w:t>[RE 228.977, rel. min. Néri da Silveira, j. 5-3-2002, 2ª T, DJ de 12-4-2002.]</w:t>
      </w:r>
    </w:p>
    <w:p>
      <w:pPr>
        <w:ind w:left="288"/>
      </w:pPr>
      <w:r>
        <w:rPr>
          <w:color w:val="8C8C8C"/>
          <w:sz w:val="12"/>
        </w:rPr>
        <w:t>cf-art-95</w:t>
      </w:r>
      <w:r>
        <w:rPr>
          <w:color w:val="003CA0"/>
          <w:sz w:val="12"/>
        </w:rPr>
        <w:t xml:space="preserve"> | RE 553.637</w:t>
      </w:r>
      <w:r>
        <w:rPr>
          <w:color w:val="003CA0"/>
          <w:sz w:val="12"/>
        </w:rPr>
        <w:t xml:space="preserve"> | rel. Ellen Gracie</w:t>
      </w:r>
    </w:p>
    <w:p>
      <w:pPr>
        <w:ind w:left="288"/>
      </w:pPr>
      <w:r>
        <w:rPr>
          <w:color w:val="1E1E1E"/>
          <w:sz w:val="18"/>
        </w:rPr>
        <w:t>= RE 553.637 ED, rel. min. Ellen Gracie, j. 4-8-2009, 2ª T, DJE de 25-9-2009 I - vitaliciedade, que, no primeiro grau, só será adquirida após dois anos de exercício, dependendo a perda do cargo, nesse período, de deliberação do tribunal a que o juiz estiver vinculado, e, nos demais casos, de sentença judicial transitada em julgado;</w:t>
      </w:r>
    </w:p>
    <w:p>
      <w:pPr>
        <w:ind w:left="144"/>
      </w:pPr>
      <w:r>
        <w:rPr>
          <w:b/>
          <w:color w:val="B45A00"/>
          <w:sz w:val="16"/>
        </w:rPr>
        <w:t>CONTROLE CONCENTRADO</w:t>
      </w:r>
    </w:p>
    <w:p>
      <w:pPr>
        <w:ind w:left="288"/>
      </w:pPr>
      <w:r>
        <w:rPr>
          <w:color w:val="8C8C8C"/>
          <w:sz w:val="12"/>
        </w:rPr>
        <w:t>cf-art-95</w:t>
      </w:r>
      <w:r>
        <w:rPr>
          <w:color w:val="003CA0"/>
          <w:sz w:val="12"/>
        </w:rPr>
        <w:t xml:space="preserve"> | ADI 4.638</w:t>
      </w:r>
      <w:r>
        <w:rPr>
          <w:color w:val="003CA0"/>
          <w:sz w:val="12"/>
        </w:rPr>
        <w:t xml:space="preserve"> | rel. Marco Aurélio</w:t>
      </w:r>
    </w:p>
    <w:p>
      <w:pPr>
        <w:ind w:left="288"/>
      </w:pPr>
      <w:r>
        <w:rPr>
          <w:color w:val="1E1E1E"/>
          <w:sz w:val="18"/>
        </w:rPr>
        <w:t>No que toca ao § 1º do art. 15, convém salientar que tal dispositivo está em flagrante descompasso com a Carta Magna, visto que o CNJ, ao arrepio desta, cria, mediante mero ato normativo, nova hipótese cautelar de afastamento de magistrado. Qualquer restrição às garantias da inamovibilidade e da vitaliciedade exige a promulgação de lei em sentido formal e material, sob pena de flagrante ofensa ao princípio da legalidade e ao devido processo legal.</w:t>
      </w:r>
    </w:p>
    <w:p>
      <w:pPr>
        <w:ind w:left="288"/>
      </w:pPr>
      <w:r>
        <w:rPr>
          <w:b/>
          <w:color w:val="003CA0"/>
          <w:sz w:val="16"/>
        </w:rPr>
        <w:t>[ADI 4.638 MC-REF, rel. min. Marco Aurélio, voto do min. Ricardo Lewandowski, j. 8-2-2012, P, DJE de 30-10-2014.]</w:t>
      </w:r>
    </w:p>
    <w:p>
      <w:pPr>
        <w:ind w:left="144"/>
      </w:pPr>
      <w:r>
        <w:rPr>
          <w:b/>
          <w:color w:val="B45A00"/>
          <w:sz w:val="16"/>
        </w:rPr>
        <w:t>REPERCUSSAO GERAL</w:t>
      </w:r>
    </w:p>
    <w:p>
      <w:pPr>
        <w:ind w:left="288"/>
      </w:pPr>
      <w:r>
        <w:rPr>
          <w:color w:val="8C8C8C"/>
          <w:sz w:val="12"/>
        </w:rPr>
        <w:t>cf-art-95</w:t>
      </w:r>
      <w:r>
        <w:rPr>
          <w:color w:val="003CA0"/>
          <w:sz w:val="12"/>
        </w:rPr>
        <w:t xml:space="preserve"> | RE 549.560</w:t>
      </w:r>
      <w:r>
        <w:rPr>
          <w:color w:val="003CA0"/>
          <w:sz w:val="12"/>
        </w:rPr>
        <w:t xml:space="preserve"> | rel. Ricardo Lewandowski</w:t>
      </w:r>
    </w:p>
    <w:p>
      <w:pPr>
        <w:ind w:left="288"/>
      </w:pPr>
      <w:r>
        <w:rPr>
          <w:color w:val="1E1E1E"/>
          <w:sz w:val="18"/>
        </w:rPr>
        <w:t>A aposentadoria do magistrado, ainda que voluntária, transfere a competência para processamento e julgamento de eventual ilícito penal para o primeiro grau de jurisdição.</w:t>
        <w:br/>
        <w:t>[RE 549.560, rel. min. Ricardo Lewandowski, j. 22-3-2012, P, DJE de 30-5-2014, Tema 453.]</w:t>
      </w:r>
    </w:p>
    <w:p>
      <w:pPr>
        <w:ind w:left="288"/>
      </w:pPr>
      <w:r>
        <w:rPr>
          <w:color w:val="8C8C8C"/>
          <w:sz w:val="12"/>
        </w:rPr>
        <w:t>cf-art-95-inc-II</w:t>
      </w:r>
      <w:r>
        <w:rPr>
          <w:color w:val="003CA0"/>
          <w:sz w:val="12"/>
        </w:rPr>
        <w:t xml:space="preserve"> | ADI 5.070</w:t>
      </w:r>
      <w:r>
        <w:rPr>
          <w:color w:val="003CA0"/>
          <w:sz w:val="12"/>
        </w:rPr>
        <w:t xml:space="preserve"> | rel. Dias Toffoli</w:t>
      </w:r>
    </w:p>
    <w:p>
      <w:pPr>
        <w:ind w:left="288"/>
      </w:pPr>
      <w:r>
        <w:rPr>
          <w:color w:val="1E1E1E"/>
          <w:sz w:val="18"/>
        </w:rPr>
        <w:t>Lei Complementar Estadual nº 1.208/2013/SP, com a redação conferida pela Lei Complementar Estadual nº 1.214/2013/SP. Resolução nº 617/13 do TJSP. Organização judiciária. Criação do Departamento Estadual de Execuções Criminais e do Departamento Estadual de Inquéritos Policiais no Judiciário Paulista. (...) É vedada a indicação de juízes para atuarem nos órgãos judiciais objeto da demanda pelo Conselho Superior da Magistratura Paulista, mediante inscrição e observados seus históricos profissionais (art. 1º, § 3º, parte final), uma vez que está em desacordo com as regras constitucionais que regem</w:t>
      </w:r>
    </w:p>
    <w:p>
      <w:pPr>
        <w:ind w:left="288"/>
      </w:pPr>
      <w:r>
        <w:rPr>
          <w:b/>
          <w:color w:val="003CA0"/>
          <w:sz w:val="16"/>
        </w:rPr>
        <w:t>[ADI 5.070, rel. min. Dias Toffoli, j. 07.11.2024, P, DJE de 03.10.2025.]</w:t>
      </w:r>
    </w:p>
    <w:p>
      <w:pPr>
        <w:ind w:left="144"/>
      </w:pPr>
      <w:r>
        <w:rPr>
          <w:b/>
          <w:color w:val="B45A00"/>
          <w:sz w:val="16"/>
        </w:rPr>
        <w:t>CONTROLE CONCENTRADO</w:t>
      </w:r>
    </w:p>
    <w:p>
      <w:pPr>
        <w:ind w:left="288"/>
      </w:pPr>
      <w:r>
        <w:rPr>
          <w:color w:val="8C8C8C"/>
          <w:sz w:val="12"/>
        </w:rPr>
        <w:t>cf-art-95-inc-II</w:t>
      </w:r>
      <w:r>
        <w:rPr>
          <w:color w:val="003CA0"/>
          <w:sz w:val="12"/>
        </w:rPr>
        <w:t xml:space="preserve"> | ADI 4.638</w:t>
      </w:r>
      <w:r>
        <w:rPr>
          <w:color w:val="003CA0"/>
          <w:sz w:val="12"/>
        </w:rPr>
        <w:t xml:space="preserve"> | rel. Marco Aurélio</w:t>
      </w:r>
    </w:p>
    <w:p>
      <w:pPr>
        <w:ind w:left="288"/>
      </w:pPr>
      <w:r>
        <w:rPr>
          <w:color w:val="1E1E1E"/>
          <w:sz w:val="18"/>
        </w:rPr>
        <w:t>No que toca ao § 1º do art. 15, convém salientar que tal dispositivo está em flagrante descompasso com a Carta Magna, visto que o CNJ, ao arrepio desta, cria, mediante mero ato normativo, nova hipótese cautelar de afastamento de magistrado. Qualquer restrição às garantias da inamovibilidade e da vitaliciedade exige a promulgação de lei em sentido formal e material, sob pena de flagrante ofensa ao princípio da legalidade e ao devido processo legal.</w:t>
      </w:r>
    </w:p>
    <w:p>
      <w:pPr>
        <w:ind w:left="288"/>
      </w:pPr>
      <w:r>
        <w:rPr>
          <w:b/>
          <w:color w:val="003CA0"/>
          <w:sz w:val="16"/>
        </w:rPr>
        <w:t>[ADI 4.638 MC-REF, rel. min. Marco Aurélio, voto do min. Ricardo Lewandowski, j. 8-2-2012, P, DJE de 30-10-2014.]</w:t>
      </w:r>
    </w:p>
    <w:p>
      <w:pPr>
        <w:ind w:left="144"/>
      </w:pPr>
      <w:r>
        <w:rPr>
          <w:b/>
          <w:color w:val="B45A00"/>
          <w:sz w:val="16"/>
        </w:rPr>
        <w:t>JULGADOS CORRELATOS</w:t>
      </w:r>
    </w:p>
    <w:p>
      <w:pPr>
        <w:ind w:left="288"/>
      </w:pPr>
      <w:r>
        <w:rPr>
          <w:color w:val="8C8C8C"/>
          <w:sz w:val="12"/>
        </w:rPr>
        <w:t>cf-art-95-inc-II</w:t>
      </w:r>
      <w:r>
        <w:rPr>
          <w:color w:val="003CA0"/>
          <w:sz w:val="12"/>
        </w:rPr>
        <w:t xml:space="preserve"> | MS 27.958</w:t>
      </w:r>
      <w:r>
        <w:rPr>
          <w:color w:val="003CA0"/>
          <w:sz w:val="12"/>
        </w:rPr>
        <w:t xml:space="preserve"> | rel. Ricardo Lewandowski</w:t>
      </w:r>
    </w:p>
    <w:p>
      <w:pPr>
        <w:ind w:left="288"/>
      </w:pPr>
      <w:r>
        <w:rPr>
          <w:color w:val="1E1E1E"/>
          <w:sz w:val="18"/>
        </w:rPr>
        <w:t>A inamovibilidade é, nos termos do art. 95, II, da CF, garantia de toda a magistratura, alcançando não apenas o juiz titular como também o substituto. O magistrado só poderá ser removido por designação, para responder por determinada vara ou comarca ou para prestar auxílio, com o seu consentimento, ou, ainda, se o interesse público o exigir, nos termos do inciso VIII do art. 93 do Texto Constitucional.</w:t>
      </w:r>
    </w:p>
    <w:p>
      <w:pPr>
        <w:ind w:left="288"/>
      </w:pPr>
      <w:r>
        <w:rPr>
          <w:b/>
          <w:color w:val="003CA0"/>
          <w:sz w:val="16"/>
        </w:rPr>
        <w:t>[MS 27.958, rel. min. Ricardo Lewandowski, j. 17-5-2012, P, DJE de 29-8-2012.]</w:t>
      </w:r>
    </w:p>
    <w:p>
      <w:pPr>
        <w:ind w:left="144"/>
      </w:pPr>
      <w:r>
        <w:rPr>
          <w:b/>
          <w:color w:val="B45A00"/>
          <w:sz w:val="16"/>
        </w:rPr>
        <w:t>CONTROLE CONCENTRADO</w:t>
      </w:r>
    </w:p>
    <w:p>
      <w:pPr>
        <w:ind w:left="288"/>
      </w:pPr>
      <w:r>
        <w:rPr>
          <w:color w:val="8C8C8C"/>
          <w:sz w:val="12"/>
        </w:rPr>
        <w:t>cf-art-95-inc-III</w:t>
      </w:r>
      <w:r>
        <w:rPr>
          <w:color w:val="003CA0"/>
          <w:sz w:val="12"/>
        </w:rPr>
        <w:t xml:space="preserve"> | ADI 1.550</w:t>
      </w:r>
      <w:r>
        <w:rPr>
          <w:color w:val="003CA0"/>
          <w:sz w:val="12"/>
        </w:rPr>
        <w:t xml:space="preserve"> | rel. Maurício Corrêa</w:t>
      </w:r>
    </w:p>
    <w:p>
      <w:pPr>
        <w:ind w:left="288"/>
      </w:pPr>
      <w:r>
        <w:rPr>
          <w:color w:val="1E1E1E"/>
          <w:sz w:val="18"/>
        </w:rPr>
        <w:t>A CF consagra o princípio da irredutibilidade dos vencimentos dos magistrados (art. 95, III), e bem assim os dos funcionários públicos em geral (arts. 7º, VI, e 39, § 2º).</w:t>
      </w:r>
    </w:p>
    <w:p>
      <w:pPr>
        <w:ind w:left="288"/>
      </w:pPr>
      <w:r>
        <w:rPr>
          <w:b/>
          <w:color w:val="003CA0"/>
          <w:sz w:val="16"/>
        </w:rPr>
        <w:t>[ADI 1.550 MC, rel. min. Maurício Corrêa, j. 16-12-1996, P, DJ de 4-4-1997.]</w:t>
      </w:r>
    </w:p>
    <w:p>
      <w:pPr>
        <w:ind w:left="144"/>
      </w:pPr>
      <w:r>
        <w:rPr>
          <w:b/>
          <w:color w:val="B45A00"/>
          <w:sz w:val="16"/>
        </w:rPr>
        <w:t>JULGADOS CORRELATOS</w:t>
      </w:r>
    </w:p>
    <w:p>
      <w:pPr>
        <w:ind w:left="288"/>
      </w:pPr>
      <w:r>
        <w:rPr>
          <w:color w:val="8C8C8C"/>
          <w:sz w:val="12"/>
        </w:rPr>
        <w:t>cf-art-95-inc-III</w:t>
      </w:r>
      <w:r>
        <w:rPr>
          <w:color w:val="003CA0"/>
          <w:sz w:val="12"/>
        </w:rPr>
        <w:t xml:space="preserve"> | RE 137.797</w:t>
      </w:r>
      <w:r>
        <w:rPr>
          <w:color w:val="003CA0"/>
          <w:sz w:val="12"/>
        </w:rPr>
        <w:t xml:space="preserve"> | rel. Menezes Direito</w:t>
      </w:r>
    </w:p>
    <w:p>
      <w:pPr>
        <w:ind w:left="288"/>
      </w:pPr>
      <w:r>
        <w:rPr>
          <w:color w:val="1E1E1E"/>
          <w:sz w:val="18"/>
        </w:rPr>
        <w:t>Vencimentos de magistrados. Não há direito líquido e certo à percepção de vencimentos constantes de tabela vinculada a dispositivo legal alcançado por declaração de inconstitucionalidade proferida pela Suprema Corte.</w:t>
      </w:r>
    </w:p>
    <w:p>
      <w:pPr>
        <w:ind w:left="288"/>
      </w:pPr>
      <w:r>
        <w:rPr>
          <w:b/>
          <w:color w:val="003CA0"/>
          <w:sz w:val="16"/>
        </w:rPr>
        <w:t>[RE 137.797, rel. min. Menezes Direito, j. 8-4-2008, 1ª T, DJE de 23-5-2008.]</w:t>
      </w:r>
    </w:p>
    <w:p>
      <w:pPr>
        <w:ind w:left="144"/>
      </w:pPr>
      <w:r>
        <w:rPr>
          <w:b/>
          <w:color w:val="B45A00"/>
          <w:sz w:val="16"/>
        </w:rPr>
        <w:t>CONTROLE CONCENTRADO</w:t>
      </w:r>
    </w:p>
    <w:p>
      <w:pPr>
        <w:ind w:left="288"/>
      </w:pPr>
      <w:r>
        <w:rPr>
          <w:color w:val="8C8C8C"/>
          <w:sz w:val="12"/>
        </w:rPr>
        <w:t>cf-art-95-par-unico-inc-I</w:t>
      </w:r>
      <w:r>
        <w:rPr>
          <w:color w:val="003CA0"/>
          <w:sz w:val="12"/>
        </w:rPr>
        <w:t xml:space="preserve"> | ADI 3.508</w:t>
      </w:r>
      <w:r>
        <w:rPr>
          <w:color w:val="003CA0"/>
          <w:sz w:val="12"/>
        </w:rPr>
        <w:t xml:space="preserve"> | rel. Sepúlveda Pertence</w:t>
      </w:r>
    </w:p>
    <w:p>
      <w:pPr>
        <w:ind w:left="288"/>
      </w:pPr>
      <w:r>
        <w:rPr>
          <w:color w:val="1E1E1E"/>
          <w:sz w:val="18"/>
        </w:rPr>
        <w:t>Provimento 4, de 25-2-2005, da Corregedoria-Geral de Justiça do Tribunal de Justiça de Mato Grosso do Sul, que dispõe sobre o horário em que o magistrado pode exercer o magistério. Procedência, em parte. Constitucionalidade do art. 1º, que apenas reproduz o disposto no art. 95, parágrafo único, I, da CF. Inconstitucionalidade formal, contudo, do seu art. 2º, que, ao vedar ao magistrado estadual o exercício de docência em horário coincidente com o do expediente do foro, dispõe sobre matéria de competência reservada à lei complementar, nos termos do art. 93, da CF, e já prevista no art. 26, § 1º</w:t>
      </w:r>
    </w:p>
    <w:p>
      <w:pPr>
        <w:ind w:left="288"/>
      </w:pPr>
      <w:r>
        <w:rPr>
          <w:b/>
          <w:color w:val="003CA0"/>
          <w:sz w:val="16"/>
        </w:rPr>
        <w:t>[ADI 3.508, rel. min. Sepúlveda Pertence, j. 27-6-2007, P, DJ de 31-8-2007.]</w:t>
      </w:r>
    </w:p>
    <w:p>
      <w:pPr>
        <w:ind w:left="288"/>
      </w:pPr>
      <w:r>
        <w:rPr>
          <w:color w:val="8C8C8C"/>
          <w:sz w:val="12"/>
        </w:rPr>
        <w:t>cf-art-95-par-unico-inc-I</w:t>
      </w:r>
      <w:r>
        <w:rPr>
          <w:color w:val="003CA0"/>
          <w:sz w:val="12"/>
        </w:rPr>
        <w:t xml:space="preserve"> | ADI 3.126</w:t>
      </w:r>
      <w:r>
        <w:rPr>
          <w:color w:val="003CA0"/>
          <w:sz w:val="12"/>
        </w:rPr>
        <w:t xml:space="preserve"> | rel. Gilmar Mendes</w:t>
      </w:r>
    </w:p>
    <w:p>
      <w:pPr>
        <w:ind w:left="288"/>
      </w:pPr>
      <w:r>
        <w:rPr>
          <w:color w:val="1E1E1E"/>
          <w:sz w:val="18"/>
        </w:rPr>
        <w:t>Ação direta de inconstitucionalidade ajuizada contra a Resolução 336, de 2003, do presidente do CJF, que dispõe sobre o acúmulo do exercício da magistratura com o exercício do magistério, no âmbito da Justiça Federal de primeiro e segundo graus. Alegação no sentido de que a matéria em análise já encontra tratamento na CF (art. 95, parágrafo único, I), e caso comportasse regulamentação, esta deveria vir sob a forma de lei complementar, no próprio Estatuto da Magistratura. Suposta incompetência do CJF para editar o referido ato, porquanto fora de suas atribuições definidas no art. 105, parágrafo</w:t>
      </w:r>
    </w:p>
    <w:p>
      <w:pPr>
        <w:ind w:left="288"/>
      </w:pPr>
      <w:r>
        <w:rPr>
          <w:b/>
          <w:color w:val="003CA0"/>
          <w:sz w:val="16"/>
        </w:rPr>
        <w:t>[ADI 3.126 MC, rel. min. Gilmar Mendes, j. 17-2-2005, P, DJ de 6-5-2005.]</w:t>
      </w:r>
    </w:p>
    <w:p>
      <w:pPr>
        <w:ind w:left="144"/>
      </w:pPr>
      <w:r>
        <w:rPr>
          <w:b/>
          <w:color w:val="B45A00"/>
          <w:sz w:val="16"/>
        </w:rPr>
        <w:t>JULGADOS CORRELATOS</w:t>
      </w:r>
    </w:p>
    <w:p>
      <w:pPr>
        <w:ind w:left="288"/>
      </w:pPr>
      <w:r>
        <w:rPr>
          <w:color w:val="8C8C8C"/>
          <w:sz w:val="12"/>
        </w:rPr>
        <w:t>cf-art-95-par-unico-inc-I</w:t>
      </w:r>
      <w:r>
        <w:rPr>
          <w:color w:val="003CA0"/>
          <w:sz w:val="12"/>
        </w:rPr>
        <w:t xml:space="preserve"> | MS 29.883</w:t>
      </w:r>
      <w:r>
        <w:rPr>
          <w:color w:val="003CA0"/>
          <w:sz w:val="12"/>
        </w:rPr>
        <w:t xml:space="preserve"> | rel. Marco Aurélio</w:t>
      </w:r>
    </w:p>
    <w:p>
      <w:pPr>
        <w:ind w:left="288"/>
      </w:pPr>
      <w:r>
        <w:rPr>
          <w:color w:val="1E1E1E"/>
          <w:sz w:val="18"/>
        </w:rPr>
        <w:t>A atuação do magistrado no campo do ensino há de ficar limitada ao magistério, não alcançando participação em deliberações da entidade que o implemente.</w:t>
      </w:r>
    </w:p>
    <w:p>
      <w:pPr>
        <w:ind w:left="288"/>
      </w:pPr>
      <w:r>
        <w:rPr>
          <w:b/>
          <w:color w:val="003CA0"/>
          <w:sz w:val="16"/>
        </w:rPr>
        <w:t>[MS 29.883, rel. min. Marco Aurélio, j. 24-2-2021, 1ª T, DJE de 8-3-2021.]</w:t>
      </w:r>
    </w:p>
    <w:p>
      <w:pPr>
        <w:ind w:left="288"/>
      </w:pPr>
      <w:r>
        <w:rPr>
          <w:color w:val="8C8C8C"/>
          <w:sz w:val="12"/>
        </w:rPr>
        <w:t>cf-art-95-par-unico-inc-I</w:t>
      </w:r>
      <w:r>
        <w:rPr>
          <w:color w:val="003CA0"/>
          <w:sz w:val="12"/>
        </w:rPr>
        <w:t xml:space="preserve"> | MS 25.938</w:t>
      </w:r>
      <w:r>
        <w:rPr>
          <w:color w:val="003CA0"/>
          <w:sz w:val="12"/>
        </w:rPr>
        <w:t xml:space="preserve"> | rel. Cármen Lúcia</w:t>
      </w:r>
    </w:p>
    <w:p>
      <w:pPr>
        <w:ind w:left="288"/>
      </w:pPr>
      <w:r>
        <w:rPr>
          <w:color w:val="1E1E1E"/>
          <w:sz w:val="18"/>
        </w:rPr>
        <w:t>As vedações formais impostas constitucionalmente aos magistrados objetivam, de um lado, proteger o próprio Poder Judiciário, de modo que seus integrantes sejam dotados de condições de total independência e, de outra parte, garantir que os juízes dediquem-se, integralmente, às funções inerentes ao cargo, proibindo que a dispersão com outras atividades deixe em menor valia e cuidado o desempenho da atividade jurisdicional, que é função essencial do Estado e direito fundamental do jurisdicionado. O art. 95, parágrafo único, I, da Constituição da República vinculou-se a uma proibição geral de acum</w:t>
      </w:r>
    </w:p>
    <w:p>
      <w:pPr>
        <w:ind w:left="288"/>
      </w:pPr>
      <w:r>
        <w:rPr>
          <w:b/>
          <w:color w:val="003CA0"/>
          <w:sz w:val="16"/>
        </w:rPr>
        <w:t>[MS 25.938, rel. min. Cármen Lúcia, j. 24-4-2008, P, DJE de 12-9-2008.]</w:t>
      </w:r>
    </w:p>
    <w:p>
      <w:pPr>
        <w:ind w:left="144"/>
      </w:pPr>
      <w:r>
        <w:rPr>
          <w:b/>
          <w:color w:val="B45A00"/>
          <w:sz w:val="16"/>
        </w:rPr>
        <w:t>CONTROLE CONCENTRADO</w:t>
      </w:r>
    </w:p>
    <w:p>
      <w:pPr>
        <w:ind w:left="288"/>
      </w:pPr>
      <w:r>
        <w:rPr>
          <w:color w:val="8C8C8C"/>
          <w:sz w:val="12"/>
        </w:rPr>
        <w:t>cf-art-95-par-unico-inc-II</w:t>
      </w:r>
      <w:r>
        <w:rPr>
          <w:color w:val="003CA0"/>
          <w:sz w:val="12"/>
        </w:rPr>
        <w:t xml:space="preserve"> | ADI 954</w:t>
      </w:r>
      <w:r>
        <w:rPr>
          <w:color w:val="003CA0"/>
          <w:sz w:val="12"/>
        </w:rPr>
        <w:t xml:space="preserve"> | rel. Gilmar Mendes</w:t>
      </w:r>
    </w:p>
    <w:p>
      <w:pPr>
        <w:ind w:left="288"/>
      </w:pPr>
      <w:r>
        <w:rPr>
          <w:color w:val="1E1E1E"/>
          <w:sz w:val="18"/>
        </w:rPr>
        <w:t>(...) os juízes de paz integram o Poder Judiciário e a eles se impõe a vedação prevista no art. 95, parágrafo único, II, da Constituição, a qual proíbe a percepção, a qualquer título ou pretexto, de custas ou participação em processo pelos membros do Judiciário.</w:t>
      </w:r>
    </w:p>
    <w:p>
      <w:pPr>
        <w:ind w:left="288"/>
      </w:pPr>
      <w:r>
        <w:rPr>
          <w:b/>
          <w:color w:val="003CA0"/>
          <w:sz w:val="16"/>
        </w:rPr>
        <w:t>[ADI 954, rel. min. Gilmar Mendes, j. 24-2-2011, P, DJE de 26-5-2011.]</w:t>
      </w:r>
    </w:p>
    <w:p>
      <w:pPr>
        <w:ind w:left="144"/>
      </w:pPr>
      <w:r>
        <w:rPr>
          <w:b/>
          <w:color w:val="B45A00"/>
          <w:sz w:val="16"/>
        </w:rPr>
        <w:t>JULGADOS CORRELATOS</w:t>
      </w:r>
    </w:p>
    <w:p>
      <w:pPr>
        <w:ind w:left="288"/>
      </w:pPr>
      <w:r>
        <w:rPr>
          <w:color w:val="8C8C8C"/>
          <w:sz w:val="12"/>
        </w:rPr>
        <w:t>cf-art-95-par-unico-inc-III</w:t>
      </w:r>
      <w:r>
        <w:rPr>
          <w:color w:val="003CA0"/>
          <w:sz w:val="12"/>
        </w:rPr>
        <w:t xml:space="preserve"> | AO 2.236</w:t>
      </w:r>
      <w:r>
        <w:rPr>
          <w:color w:val="003CA0"/>
          <w:sz w:val="12"/>
        </w:rPr>
        <w:t xml:space="preserve"> | rel. Gilmar Mendes</w:t>
      </w:r>
    </w:p>
    <w:p>
      <w:pPr>
        <w:ind w:left="288"/>
      </w:pPr>
      <w:r>
        <w:rPr>
          <w:color w:val="1E1E1E"/>
          <w:sz w:val="18"/>
        </w:rPr>
        <w:t>(...) no Brasil, os juízes e promotores exercem as atribuições de autoridade eleitoral. Perfeitamente natural que os magistrados, sendo os fiscais e árbitros das eleições, sejam impedidos de se candidatar aos pleitos.</w:t>
        <w:br/>
        <w:t>[AO 2.236 ED, voto do rel. min. Gilmar Mendes, j. 22-9-2017, 2ª T, DJE de 4-10-2017.] IV - receber, a qualquer título ou pretexto, auxílios ou contribuições de pessoas físicas, entidades públicas ou privadas, ressalvadas as exceções previstas em lei; (Incluído pela EC 45/2004)</w:t>
      </w:r>
    </w:p>
    <w:p>
      <w:pPr>
        <w:ind w:left="288"/>
      </w:pPr>
      <w:r>
        <w:rPr>
          <w:color w:val="8C8C8C"/>
          <w:sz w:val="12"/>
        </w:rPr>
        <w:t>cf-art-95-par-unico-inc-III</w:t>
      </w:r>
      <w:r>
        <w:rPr>
          <w:color w:val="003CA0"/>
          <w:sz w:val="12"/>
        </w:rPr>
        <w:t xml:space="preserve"> | MS 32.040</w:t>
      </w:r>
      <w:r>
        <w:rPr>
          <w:color w:val="003CA0"/>
          <w:sz w:val="12"/>
        </w:rPr>
        <w:t xml:space="preserve"> | rel. Celso de Mello</w:t>
      </w:r>
    </w:p>
    <w:p>
      <w:pPr>
        <w:ind w:left="288"/>
      </w:pPr>
      <w:r>
        <w:rPr>
          <w:color w:val="1E1E1E"/>
          <w:sz w:val="18"/>
        </w:rPr>
        <w:t>(...) Resolução 170/2013 do CNJ. (...) Ato do CNJ que objetivou regulamentar a participação de magistrados em congressos, seminários, simpósios, encontros jurídicos e culturais e eventos similares. Competência do CNJ, que traduz direta emanação do texto da Constituição da República e que lhe outorga poder para, legitimamente, praticar atos e expedir regulações normativas destinados a viabilizar o cumprimento, por parte dos magistrados, de seus deveres funcionais, notadamente os de probidade e de respeito aos princípios da legalidade, da moralidade e da impessoalidade no desempenho do ofício ju</w:t>
      </w:r>
    </w:p>
    <w:p>
      <w:pPr>
        <w:ind w:left="288"/>
      </w:pPr>
      <w:r>
        <w:rPr>
          <w:b/>
          <w:color w:val="003CA0"/>
          <w:sz w:val="16"/>
        </w:rPr>
        <w:t>[MS 32.040 MC, rel. min. Celso de Mello, j. 8-7-2013, dec. monocrática, DJE de 5-8-2013.]</w:t>
      </w:r>
    </w:p>
    <w:p>
      <w:pPr>
        <w:ind w:left="288"/>
      </w:pPr>
      <w:r>
        <w:rPr>
          <w:color w:val="8C8C8C"/>
          <w:sz w:val="12"/>
        </w:rPr>
        <w:t>cf-art-95-par-unico-inc-III</w:t>
      </w:r>
    </w:p>
    <w:p>
      <w:pPr>
        <w:ind w:left="288"/>
      </w:pPr>
      <w:r>
        <w:rPr>
          <w:color w:val="1E1E1E"/>
          <w:sz w:val="18"/>
        </w:rPr>
        <w:t>V - exercer a advocacia no juízo ou tribunal do qual se afastou, antes de decorridos três anos do afastamento do cargo por aposentadoria ou exoneração. (Incluído pela EC 45/2004)</w:t>
      </w:r>
    </w:p>
    <w:p>
      <w:pPr>
        <w:ind w:left="720"/>
      </w:pPr>
      <w:r>
        <w:rPr>
          <w:color w:val="003366"/>
          <w:sz w:val="18"/>
        </w:rPr>
        <w:t>I – vitaliciedade, que, no primeiro grau, só será adquirida após dois anos de ex</w:t>
      </w:r>
    </w:p>
    <w:p>
      <w:pPr>
        <w:ind w:left="720"/>
      </w:pPr>
      <w:r>
        <w:rPr>
          <w:color w:val="003366"/>
          <w:sz w:val="18"/>
        </w:rPr>
        <w:t>II – inamovibilidade, salvo por motivo de interesse público, na forma do art. 93</w:t>
      </w:r>
    </w:p>
    <w:p>
      <w:pPr>
        <w:ind w:left="720"/>
      </w:pPr>
      <w:r>
        <w:rPr>
          <w:color w:val="003366"/>
          <w:sz w:val="18"/>
        </w:rPr>
        <w:t xml:space="preserve">III – irredutibilidade de subsídio, ressalvado o disposto nos arts. 37, X e XI, </w:t>
      </w:r>
    </w:p>
    <w:p>
      <w:pPr>
        <w:ind w:left="720"/>
      </w:pPr>
      <w:r>
        <w:rPr>
          <w:color w:val="003366"/>
          <w:sz w:val="18"/>
        </w:rPr>
        <w:t>I – exercer, ainda que em disponibilidade, outro cargo ou função, salvo uma de m</w:t>
      </w:r>
    </w:p>
    <w:p>
      <w:pPr>
        <w:ind w:left="720"/>
      </w:pPr>
      <w:r>
        <w:rPr>
          <w:color w:val="003366"/>
          <w:sz w:val="18"/>
        </w:rPr>
        <w:t>II – receber, a qualquer título ou pretexto, custas ou participação em processo;</w:t>
      </w:r>
    </w:p>
    <w:p>
      <w:pPr>
        <w:ind w:left="720"/>
      </w:pPr>
      <w:r>
        <w:rPr>
          <w:color w:val="003366"/>
          <w:sz w:val="18"/>
        </w:rPr>
        <w:t>III – dedicar-se à atividade político-partidária.</w:t>
        <w:br/>
        <w:t xml:space="preserve">IV receber, a qualquer título </w:t>
      </w:r>
    </w:p>
    <w:p>
      <w:r>
        <w:rPr>
          <w:b/>
          <w:color w:val="003366"/>
          <w:sz w:val="20"/>
        </w:rPr>
        <w:t>Art. 96 Compete privativamente:</w:t>
      </w:r>
      <w:r>
        <w:rPr>
          <w:color w:val="8C8C8C"/>
          <w:sz w:val="14"/>
        </w:rPr>
        <w:t xml:space="preserve">  [67 decisoes]</w:t>
      </w:r>
    </w:p>
    <w:p>
      <w:pPr>
        <w:ind w:left="288"/>
      </w:pPr>
      <w:r>
        <w:rPr>
          <w:color w:val="8C8C8C"/>
          <w:sz w:val="12"/>
        </w:rPr>
        <w:t>cf-art-96-inc-I</w:t>
      </w:r>
      <w:r>
        <w:rPr>
          <w:color w:val="003CA0"/>
          <w:sz w:val="12"/>
        </w:rPr>
        <w:t xml:space="preserve"> | AO 3</w:t>
      </w:r>
      <w:r>
        <w:rPr>
          <w:color w:val="003CA0"/>
          <w:sz w:val="12"/>
        </w:rPr>
        <w:t xml:space="preserve"> | rel. Luiz Fux</w:t>
      </w:r>
    </w:p>
    <w:p>
      <w:pPr>
        <w:ind w:left="288"/>
      </w:pPr>
      <w:r>
        <w:rPr>
          <w:color w:val="1E1E1E"/>
          <w:sz w:val="18"/>
        </w:rPr>
        <w:t>O juiz das garantias, embora formalmente concebido pela lei como norma processual geral, altera materialmente a divisão e a organização de serviços judiciários em nível tal que enseja completa reorganização da justiça criminal do país, de sorte que inafastável considerar que os artigos 3º-A ao 3º-F demandam compatibilização das diversas normas de organização judiciária locais. O juízo das garantias e sua implementação causam impacto financeiro relevante ao Poder Judiciário, especialmente com as necessárias reestruturações e redistribuições de recursos humanos e materiais, bem como com o increm</w:t>
      </w:r>
    </w:p>
    <w:p>
      <w:pPr>
        <w:ind w:left="288"/>
      </w:pPr>
      <w:r>
        <w:rPr>
          <w:b/>
          <w:color w:val="003CA0"/>
          <w:sz w:val="16"/>
        </w:rPr>
        <w:t>[ADI 6.298, ADI 6.299, ADI 6.300 e ADI 6.305, rel. min. Luiz Fux, j. 24.8.2023, P, DJE de 19.12.2023.]</w:t>
      </w:r>
    </w:p>
    <w:p>
      <w:pPr>
        <w:ind w:left="288"/>
      </w:pPr>
      <w:r>
        <w:rPr>
          <w:color w:val="8C8C8C"/>
          <w:sz w:val="12"/>
        </w:rPr>
        <w:t>cf-art-96-inc-I</w:t>
      </w:r>
      <w:r>
        <w:rPr>
          <w:color w:val="003CA0"/>
          <w:sz w:val="12"/>
        </w:rPr>
        <w:t xml:space="preserve"> | ADI 7.756</w:t>
      </w:r>
      <w:r>
        <w:rPr>
          <w:color w:val="003CA0"/>
          <w:sz w:val="12"/>
        </w:rPr>
        <w:t xml:space="preserve"> | rel. Cármen Lúcia</w:t>
      </w:r>
    </w:p>
    <w:p>
      <w:pPr>
        <w:ind w:left="288"/>
      </w:pPr>
      <w:r>
        <w:rPr>
          <w:color w:val="1E1E1E"/>
          <w:sz w:val="18"/>
        </w:rPr>
        <w:t>a) eleger seus órgãos diretivos e elaborar seus regimentos internos, com observância das normas de processo e das garantias processuais das partes, dispondo sobre a competência e o funcionamento dos respectivos órgãos jurisdicionais e administrativos; “A criação de órgão regionalizado com competência para o processamento de execuções cíveis por ato normativo de Tribunal de Justiça, com fundamento em previsão da Lei de Organização Judiciária, insere-se no âmbito de competência do ente federativo quanto à sua organização judiciária”.</w:t>
      </w:r>
    </w:p>
    <w:p>
      <w:pPr>
        <w:ind w:left="288"/>
      </w:pPr>
      <w:r>
        <w:rPr>
          <w:b/>
          <w:color w:val="003CA0"/>
          <w:sz w:val="16"/>
        </w:rPr>
        <w:t>[ADI 7.756, voto da rel. min. Cármen Lúcia, j. 26-11-2025, P, DJE de 12-2-2026.]</w:t>
      </w:r>
    </w:p>
    <w:p>
      <w:pPr>
        <w:ind w:left="144"/>
      </w:pPr>
      <w:r>
        <w:rPr>
          <w:b/>
          <w:color w:val="B45A00"/>
          <w:sz w:val="16"/>
        </w:rPr>
        <w:t>CONTROLE CONCENTRADO</w:t>
      </w:r>
    </w:p>
    <w:p>
      <w:pPr>
        <w:ind w:left="288"/>
      </w:pPr>
      <w:r>
        <w:rPr>
          <w:color w:val="8C8C8C"/>
          <w:sz w:val="12"/>
        </w:rPr>
        <w:t>cf-art-96-inc-I</w:t>
      </w:r>
      <w:r>
        <w:rPr>
          <w:color w:val="003CA0"/>
          <w:sz w:val="12"/>
        </w:rPr>
        <w:t xml:space="preserve"> | ADI 6.188</w:t>
      </w:r>
      <w:r>
        <w:rPr>
          <w:color w:val="003CA0"/>
          <w:sz w:val="12"/>
        </w:rPr>
        <w:t xml:space="preserve"> | rel. Ricardo Lewandowski</w:t>
      </w:r>
    </w:p>
    <w:p>
      <w:pPr>
        <w:ind w:left="288"/>
      </w:pPr>
      <w:r>
        <w:rPr>
          <w:color w:val="1E1E1E"/>
          <w:sz w:val="18"/>
        </w:rPr>
        <w:t>Redação do art. 702, I, f e §§ 3º e 4º, da Consolidação das Leis do Trabalho (Decreto-lei 5.452/1943), conferida pela Lei 13.467/2017. Estabelecimento de parâmetros para edição, revisão ou cancelamento de súmulas dos Tribunais Regionais do Trabalho e Tribunal Superior do Trabalho. Função atípica legislativa do Poder Judiciário. Ofensa aos princípios da separação dos poderes e da autonomia dos tribunais.</w:t>
        <w:br/>
        <w:t>[ADI 6.188, rel. min. Ricardo Lewandowski, red. do ac. min. Edson Fachin, j. 22-8-2023, P, DJE de 24-10-2023.] A escolha dos órgãos diretivos compete privativamente ao próprio tribunal, nos ter</w:t>
      </w:r>
    </w:p>
    <w:p>
      <w:pPr>
        <w:ind w:left="288"/>
      </w:pPr>
      <w:r>
        <w:rPr>
          <w:b/>
          <w:color w:val="003CA0"/>
          <w:sz w:val="16"/>
        </w:rPr>
        <w:t>[ADI 4.243, rel. min. Roberto Barroso, j. 19-12-2018, P, DJE de 6-3-2019.]</w:t>
      </w:r>
    </w:p>
    <w:p>
      <w:pPr>
        <w:ind w:left="288"/>
      </w:pPr>
      <w:r>
        <w:rPr>
          <w:color w:val="8C8C8C"/>
          <w:sz w:val="12"/>
        </w:rPr>
        <w:t>cf-art-96-inc-I</w:t>
      </w:r>
      <w:r>
        <w:rPr>
          <w:color w:val="003CA0"/>
          <w:sz w:val="12"/>
        </w:rPr>
        <w:t xml:space="preserve"> | ADI 5.240</w:t>
      </w:r>
      <w:r>
        <w:rPr>
          <w:color w:val="003CA0"/>
          <w:sz w:val="12"/>
        </w:rPr>
        <w:t xml:space="preserve"> | rel. Luiz Fux</w:t>
      </w:r>
    </w:p>
    <w:p>
      <w:pPr>
        <w:ind w:left="288"/>
      </w:pPr>
      <w:r>
        <w:rPr>
          <w:color w:val="1E1E1E"/>
          <w:sz w:val="18"/>
        </w:rPr>
        <w:t xml:space="preserve">O ato normativo sob o crivo da fiscalização abstrata de constitucionalidade contempla, em seus arts. 1º, 3º, 5º, 6º e 7º, normas estritamente regulamentadoras do procedimento legal de habeas corpus instaurado perante o juiz de primeira instância, em nada exorbitando ou contrariando a lei processual vigente, restando, assim, inexistência de conflito com a lei, o que torna inadmissível o ajuizamento de ação direta de inconstitucionalidade para a sua impugnação, porquanto o status do CPP não gera violação constitucional, posto legislação infraconstitucional. As disposições administrativas do ato </w:t>
      </w:r>
    </w:p>
    <w:p>
      <w:pPr>
        <w:ind w:left="288"/>
      </w:pPr>
      <w:r>
        <w:rPr>
          <w:b/>
          <w:color w:val="003CA0"/>
          <w:sz w:val="16"/>
        </w:rPr>
        <w:t>[ADI 5.240, rel. min. Luiz Fux, j. 20-8-2015, P, DJE de 1º-2-2016.]</w:t>
      </w:r>
    </w:p>
    <w:p>
      <w:pPr>
        <w:ind w:left="288"/>
      </w:pPr>
      <w:r>
        <w:rPr>
          <w:color w:val="8C8C8C"/>
          <w:sz w:val="12"/>
        </w:rPr>
        <w:t>cf-art-96-inc-I</w:t>
      </w:r>
      <w:r>
        <w:rPr>
          <w:color w:val="003CA0"/>
          <w:sz w:val="12"/>
        </w:rPr>
        <w:t xml:space="preserve"> | ADC 19</w:t>
      </w:r>
      <w:r>
        <w:rPr>
          <w:color w:val="003CA0"/>
          <w:sz w:val="12"/>
        </w:rPr>
        <w:t xml:space="preserve"> | rel. Marco Aurélio</w:t>
      </w:r>
    </w:p>
    <w:p>
      <w:pPr>
        <w:ind w:left="288"/>
      </w:pPr>
      <w:r>
        <w:rPr>
          <w:color w:val="1E1E1E"/>
          <w:sz w:val="18"/>
        </w:rPr>
        <w:t>O art. 33 da Lei 11.340/2006, no que revela a conveniência de criação dos juizados de violência doméstica e familiar contra a mulher, não implica usurpação da competência normativa dos Estados quanto à própria organização judiciária.</w:t>
      </w:r>
    </w:p>
    <w:p>
      <w:pPr>
        <w:ind w:left="288"/>
      </w:pPr>
      <w:r>
        <w:rPr>
          <w:b/>
          <w:color w:val="003CA0"/>
          <w:sz w:val="16"/>
        </w:rPr>
        <w:t>[ADC 19, rel. min. Marco Aurélio, j. 9-2-2012, P, DJE de 29-4-2014.]</w:t>
      </w:r>
    </w:p>
    <w:p>
      <w:pPr>
        <w:ind w:left="288"/>
      </w:pPr>
      <w:r>
        <w:rPr>
          <w:color w:val="8C8C8C"/>
          <w:sz w:val="12"/>
        </w:rPr>
        <w:t>cf-art-96-inc-I</w:t>
      </w:r>
      <w:r>
        <w:rPr>
          <w:color w:val="003CA0"/>
          <w:sz w:val="12"/>
        </w:rPr>
        <w:t xml:space="preserve"> | ADI 2.012</w:t>
      </w:r>
      <w:r>
        <w:rPr>
          <w:color w:val="003CA0"/>
          <w:sz w:val="12"/>
        </w:rPr>
        <w:t xml:space="preserve"> | rel. Ricardo Lewandowski</w:t>
      </w:r>
    </w:p>
    <w:p>
      <w:pPr>
        <w:ind w:left="288"/>
      </w:pPr>
      <w:r>
        <w:rPr>
          <w:color w:val="1E1E1E"/>
          <w:sz w:val="18"/>
        </w:rPr>
        <w:t>A escolha dos órgãos diretivos compete privativamente ao próprio tribunal, nos termos do art. 96, I, a, da Carta Magna. Tribunal, na dicção constitucional, é o órgão colegiado, sendo inconstitucional, portanto, a norma estadual possibilitar que juízes vitalícios, que não apenas os desembargadores, participem da escolha da direção do tribunal (...).</w:t>
      </w:r>
    </w:p>
    <w:p>
      <w:pPr>
        <w:ind w:left="288"/>
      </w:pPr>
      <w:r>
        <w:rPr>
          <w:b/>
          <w:color w:val="003CA0"/>
          <w:sz w:val="16"/>
        </w:rPr>
        <w:t>[ADI 2.012, rel. min. Ricardo Lewandowski, j. 27-10-2011, P, DJE de 28-11-2011.]</w:t>
      </w:r>
    </w:p>
    <w:p>
      <w:pPr>
        <w:ind w:left="288"/>
      </w:pPr>
      <w:r>
        <w:rPr>
          <w:color w:val="8C8C8C"/>
          <w:sz w:val="12"/>
        </w:rPr>
        <w:t>cf-art-96-inc-I</w:t>
      </w:r>
      <w:r>
        <w:rPr>
          <w:color w:val="003CA0"/>
          <w:sz w:val="12"/>
        </w:rPr>
        <w:t xml:space="preserve"> | ADI 2.907</w:t>
      </w:r>
      <w:r>
        <w:rPr>
          <w:color w:val="003CA0"/>
          <w:sz w:val="12"/>
        </w:rPr>
        <w:t xml:space="preserve"> | rel. Ricardo Lewandowski</w:t>
      </w:r>
    </w:p>
    <w:p>
      <w:pPr>
        <w:ind w:left="288"/>
      </w:pPr>
      <w:r>
        <w:rPr>
          <w:color w:val="1E1E1E"/>
          <w:sz w:val="18"/>
        </w:rPr>
        <w:t>Ato normativo que disciplina o horário de trabalho dos servidores do Judiciário. Vício de natureza formal. (...) Embora não haja ofensa ao princípio da separação dos poderes, visto que a portaria em questão não altera a jornada de trabalho dos servidores e, portanto, não interfere com o seu regime jurídico, constata-se, na espécie, vício de natureza formal. Como assentou o Plenário do STF, nada impede que a matéria seja regulada pelo tribunal, no exercício da autonomia administrativa que a Carta Magna garante ao Judiciário. Mas a forma com que o tema foi tratado, ou seja, por portaria ao invés</w:t>
      </w:r>
    </w:p>
    <w:p>
      <w:pPr>
        <w:ind w:left="288"/>
      </w:pPr>
      <w:r>
        <w:rPr>
          <w:b/>
          <w:color w:val="003CA0"/>
          <w:sz w:val="16"/>
        </w:rPr>
        <w:t>[ADI 2.907, rel. min. Ricardo Lewandowski, j. 4-6-2008, P, DJE de 29-8-2008.]</w:t>
      </w:r>
    </w:p>
    <w:p>
      <w:pPr>
        <w:ind w:left="288"/>
      </w:pPr>
      <w:r>
        <w:rPr>
          <w:color w:val="8C8C8C"/>
          <w:sz w:val="12"/>
        </w:rPr>
        <w:t>cf-art-96-inc-I</w:t>
      </w:r>
      <w:r>
        <w:rPr>
          <w:color w:val="003CA0"/>
          <w:sz w:val="12"/>
        </w:rPr>
        <w:t xml:space="preserve"> | ADI 2.480</w:t>
      </w:r>
      <w:r>
        <w:rPr>
          <w:color w:val="003CA0"/>
          <w:sz w:val="12"/>
        </w:rPr>
        <w:t xml:space="preserve"> | rel. Sepúlveda Pertence</w:t>
      </w:r>
    </w:p>
    <w:p>
      <w:pPr>
        <w:ind w:left="288"/>
      </w:pPr>
      <w:r>
        <w:rPr>
          <w:color w:val="1E1E1E"/>
          <w:sz w:val="18"/>
        </w:rPr>
        <w:t>Ação direta de inconstitucionalidade: dispositivo do Regimento Interno do Tribunal de Justiça do Estado da Paraíba (art. 357), que admite e disciplina o processo e julgamento de reclamação para preservação da sua competência ou da autoridade de seus julgados (...). Questionada a constitucionalidade de norma regimental, é desnecessário indagar se a colocação do instrumento na seara do direito de petição dispensa, ou não, a sua previsão na Constituição estadual, dado que consta do texto da Constituição do Estado da Paraíba a existência de cláusulas de poderes implícitos atribuídos ao Tribunal de</w:t>
      </w:r>
    </w:p>
    <w:p>
      <w:pPr>
        <w:ind w:left="288"/>
      </w:pPr>
      <w:r>
        <w:rPr>
          <w:b/>
          <w:color w:val="003CA0"/>
          <w:sz w:val="16"/>
        </w:rPr>
        <w:t>[ADI 2.480, rel. min. Sepúlveda Pertence, j. 2-4-2007, P, DJ de 15-6-2007.]</w:t>
      </w:r>
    </w:p>
    <w:p>
      <w:pPr>
        <w:ind w:left="288"/>
      </w:pPr>
      <w:r>
        <w:rPr>
          <w:color w:val="8C8C8C"/>
          <w:sz w:val="12"/>
        </w:rPr>
        <w:t>cf-art-96-inc-I</w:t>
      </w:r>
      <w:r>
        <w:rPr>
          <w:color w:val="003CA0"/>
          <w:sz w:val="12"/>
        </w:rPr>
        <w:t xml:space="preserve"> | ADI 3.566</w:t>
      </w:r>
    </w:p>
    <w:p>
      <w:pPr>
        <w:ind w:left="288"/>
      </w:pPr>
      <w:r>
        <w:rPr>
          <w:color w:val="1E1E1E"/>
          <w:sz w:val="18"/>
        </w:rPr>
        <w:t>Previsão regimental de elegibilidade de todos os integrantes do órgão especial. Inadmissibilidade. Temática institucional. Matéria de competência legislativa reservada à Loman e ao Estatuto da Magistratura. Ofensa ao art. 93, caput, da CF. Inteligência do art. 96, I, a, da CF. (...) São inconstitucionais as normas de regimento interno de tribunal que disponham sobre o universo dos magistrados elegíveis para seus órgãos de direção.</w:t>
      </w:r>
    </w:p>
    <w:p>
      <w:pPr>
        <w:ind w:left="288"/>
      </w:pPr>
      <w:r>
        <w:rPr>
          <w:b/>
          <w:color w:val="003CA0"/>
          <w:sz w:val="16"/>
        </w:rPr>
        <w:t>[ADI 3.566, red. do ac. min. Cezar Peluso, j. 15-2-2007, P, DJ de 15-6-2007.]</w:t>
      </w:r>
    </w:p>
    <w:p>
      <w:pPr>
        <w:ind w:left="288"/>
      </w:pPr>
      <w:r>
        <w:rPr>
          <w:color w:val="8C8C8C"/>
          <w:sz w:val="12"/>
        </w:rPr>
        <w:t>cf-art-96-inc-I</w:t>
      </w:r>
      <w:r>
        <w:rPr>
          <w:color w:val="003CA0"/>
          <w:sz w:val="12"/>
        </w:rPr>
        <w:t xml:space="preserve"> | RCL 13.115</w:t>
      </w:r>
      <w:r>
        <w:rPr>
          <w:color w:val="003CA0"/>
          <w:sz w:val="12"/>
        </w:rPr>
        <w:t xml:space="preserve"> | rel. Eros Grau</w:t>
      </w:r>
    </w:p>
    <w:p>
      <w:pPr>
        <w:ind w:left="288"/>
      </w:pPr>
      <w:r>
        <w:rPr>
          <w:color w:val="1E1E1E"/>
          <w:sz w:val="18"/>
        </w:rPr>
        <w:t xml:space="preserve">Vide Rcl 13.115 MC-AgR, red. do ac. min. Marco Aurélio, j. 12-12-2012, P, DJE de 5-6-2013 Vide Rcl 8.025, rel. min. Eros Grau, j. 9-12-2009, P, DJE de 6-8-2010 Com o advento da CF de 1988, delimitou-se, de forma mais criteriosa, o campo de regulamentação das leis e o dos regimentos internos dos tribunais, cabendo a estes últimos o respeito à reserva de lei federal para a edição de regras de natureza processual (CF, art. 22, I), bem como às garantias processuais das partes, "dispondo sobre a competência e o funcionamento dos respectivos órgãos jurisdicionais e administrativos" (CF, art. 96, I, </w:t>
      </w:r>
    </w:p>
    <w:p>
      <w:pPr>
        <w:ind w:left="288"/>
      </w:pPr>
      <w:r>
        <w:rPr>
          <w:b/>
          <w:color w:val="003CA0"/>
          <w:sz w:val="16"/>
        </w:rPr>
        <w:t>[ADI 2.970, rel. min. Ellen Gracie, j. 20-4-2006, P, DJ de 12-5-2006.]</w:t>
      </w:r>
    </w:p>
    <w:p>
      <w:pPr>
        <w:ind w:left="288"/>
      </w:pPr>
      <w:r>
        <w:rPr>
          <w:color w:val="8C8C8C"/>
          <w:sz w:val="12"/>
        </w:rPr>
        <w:t>cf-art-96-inc-I</w:t>
      </w:r>
      <w:r>
        <w:rPr>
          <w:color w:val="003CA0"/>
          <w:sz w:val="12"/>
        </w:rPr>
        <w:t xml:space="preserve"> | ADI 2.700</w:t>
      </w:r>
      <w:r>
        <w:rPr>
          <w:color w:val="003CA0"/>
          <w:sz w:val="12"/>
        </w:rPr>
        <w:t xml:space="preserve"> | rel. Sydney Sanches</w:t>
      </w:r>
    </w:p>
    <w:p>
      <w:pPr>
        <w:ind w:left="288"/>
      </w:pPr>
      <w:r>
        <w:rPr>
          <w:color w:val="1E1E1E"/>
          <w:sz w:val="18"/>
        </w:rPr>
        <w:t>Ação direta de inconstitucionalidade da EC 28, de 25-6-2002, do Estado do Rio de Janeiro, que deu nova redação ao art. 156 da Constituição estadual, estabelecendo normas sobre forma de votação na recusa de promoção do juiz mais antigo, providências a serem tomadas, após a recusa, publicidade das sessões administrativas do Tribunal de Justiça, motivação dos votos neles proferidos, e publicação do inteiro teor no órgão oficial de imprensa. Alegação de que a nova redação implica violação aos arts. 93, caput, e incisos II, d, e X, da CF, conflitando, ainda, com normas, por esta recebidas, da Loman</w:t>
      </w:r>
    </w:p>
    <w:p>
      <w:pPr>
        <w:ind w:left="288"/>
      </w:pPr>
      <w:r>
        <w:rPr>
          <w:b/>
          <w:color w:val="003CA0"/>
          <w:sz w:val="16"/>
        </w:rPr>
        <w:t>[ADI 2.700 MC, rel. min. Sydney Sanches, j. 17-10-2002, P, DJ de 7-3-2003.]</w:t>
      </w:r>
    </w:p>
    <w:p>
      <w:pPr>
        <w:ind w:left="288"/>
      </w:pPr>
      <w:r>
        <w:rPr>
          <w:color w:val="8C8C8C"/>
          <w:sz w:val="12"/>
        </w:rPr>
        <w:t>cf-art-96-inc-I</w:t>
      </w:r>
      <w:r>
        <w:rPr>
          <w:color w:val="003CA0"/>
          <w:sz w:val="12"/>
        </w:rPr>
        <w:t xml:space="preserve"> | ADI 1.503</w:t>
      </w:r>
      <w:r>
        <w:rPr>
          <w:color w:val="003CA0"/>
          <w:sz w:val="12"/>
        </w:rPr>
        <w:t xml:space="preserve"> | rel. Maurício Corrêa</w:t>
      </w:r>
    </w:p>
    <w:p>
      <w:pPr>
        <w:ind w:left="288"/>
      </w:pPr>
      <w:r>
        <w:rPr>
          <w:color w:val="1E1E1E"/>
          <w:sz w:val="18"/>
        </w:rPr>
        <w:t>A eleição para o preenchimento dos cargos de direção dos tribunais de justiça dos Estados é disciplinada pelo art. 102 da LC 35/1979 (Loman), recebida pela atual ordem constitucional (CF, art. 93). Os regimentos internos dos tribunais podem explicitar os meios para a sua realização, desde que obedecidos os limites e parâmetros estabelecidos na lei. Neles é vedada, contudo, a inclusão de instruções sobre o processo eleitoral interno que ultrapassem as regras básicas da lei complementar.</w:t>
      </w:r>
    </w:p>
    <w:p>
      <w:pPr>
        <w:ind w:left="288"/>
      </w:pPr>
      <w:r>
        <w:rPr>
          <w:b/>
          <w:color w:val="003CA0"/>
          <w:sz w:val="16"/>
        </w:rPr>
        <w:t>[ADI 1.503, rel. min. Maurício Corrêa, j. 29-3-2001, P, DJ de 18-5-2001.]</w:t>
      </w:r>
    </w:p>
    <w:p>
      <w:pPr>
        <w:ind w:left="288"/>
      </w:pPr>
      <w:r>
        <w:rPr>
          <w:color w:val="8C8C8C"/>
          <w:sz w:val="12"/>
        </w:rPr>
        <w:t>cf-art-96-inc-I</w:t>
      </w:r>
      <w:r>
        <w:rPr>
          <w:color w:val="003CA0"/>
          <w:sz w:val="12"/>
        </w:rPr>
        <w:t xml:space="preserve"> | RCL 13.115</w:t>
      </w:r>
      <w:r>
        <w:rPr>
          <w:color w:val="003CA0"/>
          <w:sz w:val="12"/>
        </w:rPr>
        <w:t xml:space="preserve"> | rel. Paulo Brossard</w:t>
      </w:r>
    </w:p>
    <w:p>
      <w:pPr>
        <w:ind w:left="288"/>
      </w:pPr>
      <w:r>
        <w:rPr>
          <w:color w:val="1E1E1E"/>
          <w:sz w:val="18"/>
        </w:rPr>
        <w:t>Vide Rcl 13.115 MC-AgR, red. do ac. min. Marco Aurélio, j. 12-12-2012, P, DJE de 5-6-2013 Os antigos regimentos lusitanos se não confundem com os regimentos internos dos tribunais; de comum eles têm apenas o nome. Aqueles eram variantes legislativas da monarquia absoluta, enquanto estes resultam do fato da elevação do Judiciário a Poder do Estado e encontram no direito constitucional seu fundamento e previsão expressa. O ato do julgamento é o momento culminante da ação jurisdicional do Poder Judiciário e há de ser regulado em seu regimento interno, com exclusão de interferência dos demais pode</w:t>
      </w:r>
    </w:p>
    <w:p>
      <w:pPr>
        <w:ind w:left="288"/>
      </w:pPr>
      <w:r>
        <w:rPr>
          <w:b/>
          <w:color w:val="003CA0"/>
          <w:sz w:val="16"/>
        </w:rPr>
        <w:t>[ADI 1.105 MC, rel. min. Paulo Brossard, j. 3-8-1994, P, DJ de 27-4-2001.]</w:t>
      </w:r>
    </w:p>
    <w:p>
      <w:pPr>
        <w:ind w:left="144"/>
      </w:pPr>
      <w:r>
        <w:rPr>
          <w:b/>
          <w:color w:val="B45A00"/>
          <w:sz w:val="16"/>
        </w:rPr>
        <w:t>JULGADOS CORRELATOS</w:t>
      </w:r>
    </w:p>
    <w:p>
      <w:pPr>
        <w:ind w:left="288"/>
      </w:pPr>
      <w:r>
        <w:rPr>
          <w:color w:val="8C8C8C"/>
          <w:sz w:val="12"/>
        </w:rPr>
        <w:t>cf-art-96-inc-I</w:t>
      </w:r>
      <w:r>
        <w:rPr>
          <w:color w:val="003CA0"/>
          <w:sz w:val="12"/>
        </w:rPr>
        <w:t xml:space="preserve"> | MS 37.887</w:t>
      </w:r>
      <w:r>
        <w:rPr>
          <w:color w:val="003CA0"/>
          <w:sz w:val="12"/>
        </w:rPr>
        <w:t xml:space="preserve"> | rel. Alexandre de Moraes</w:t>
      </w:r>
    </w:p>
    <w:p>
      <w:pPr>
        <w:ind w:left="288"/>
      </w:pPr>
      <w:r>
        <w:rPr>
          <w:color w:val="1E1E1E"/>
          <w:sz w:val="18"/>
        </w:rPr>
        <w:t>A previsão e eleição dos dirigentes dos Tribunais é função governativa, na medida em que tais dirigentes comandam um dos segmentos do Poder Público, devendo ser realizada pelos membros do Tribunal, sem ingerência externa.</w:t>
      </w:r>
    </w:p>
    <w:p>
      <w:pPr>
        <w:ind w:left="288"/>
      </w:pPr>
      <w:r>
        <w:rPr>
          <w:b/>
          <w:color w:val="003CA0"/>
          <w:sz w:val="16"/>
        </w:rPr>
        <w:t>[MS 37.887 AgR, rel. min. Alexandre de Moraes, j. 13-6-2022, 1ª T, DJE de 26-8-2022.]</w:t>
      </w:r>
    </w:p>
    <w:p>
      <w:pPr>
        <w:ind w:left="288"/>
      </w:pPr>
      <w:r>
        <w:rPr>
          <w:color w:val="8C8C8C"/>
          <w:sz w:val="12"/>
        </w:rPr>
        <w:t>cf-art-96-inc-I</w:t>
      </w:r>
      <w:r>
        <w:rPr>
          <w:color w:val="003CA0"/>
          <w:sz w:val="12"/>
        </w:rPr>
        <w:t xml:space="preserve"> | MS 26.411</w:t>
      </w:r>
      <w:r>
        <w:rPr>
          <w:color w:val="003CA0"/>
          <w:sz w:val="12"/>
        </w:rPr>
        <w:t xml:space="preserve"> | rel. Dias Toffoli</w:t>
      </w:r>
    </w:p>
    <w:p>
      <w:pPr>
        <w:ind w:left="288"/>
      </w:pPr>
      <w:r>
        <w:rPr>
          <w:color w:val="1E1E1E"/>
          <w:sz w:val="18"/>
        </w:rPr>
        <w:t>É competência do próprio tribunal pleno a criação de órgão especial do tribunal e a definição de suas atribuições (a medida da delegação). (...) Não usurpa, desse modo, a competência privativa do órgão especial determinação do plenário de que aquele órgão especializado elabore o regimento interno do tribunal de justiça e o submeta à aprovação plenária; tratando-se, ao contrário, de decisão que se coaduna com a figura da delegação administrativa sobre matéria de competência do tribunal pleno (art. 96, I, a, da CF/1988).</w:t>
      </w:r>
    </w:p>
    <w:p>
      <w:pPr>
        <w:ind w:left="288"/>
      </w:pPr>
      <w:r>
        <w:rPr>
          <w:b/>
          <w:color w:val="003CA0"/>
          <w:sz w:val="16"/>
        </w:rPr>
        <w:t>[MS 26.411 AgR, rel. min. Dias Toffoli, j. 4-6-2018, 2ª T, DJE de 14-6-2018.]</w:t>
      </w:r>
    </w:p>
    <w:p>
      <w:pPr>
        <w:ind w:left="288"/>
      </w:pPr>
      <w:r>
        <w:rPr>
          <w:color w:val="8C8C8C"/>
          <w:sz w:val="12"/>
        </w:rPr>
        <w:t>cf-art-96-inc-I</w:t>
      </w:r>
      <w:r>
        <w:rPr>
          <w:color w:val="003CA0"/>
          <w:sz w:val="12"/>
        </w:rPr>
        <w:t xml:space="preserve"> | HC 143.333</w:t>
      </w:r>
      <w:r>
        <w:rPr>
          <w:color w:val="003CA0"/>
          <w:sz w:val="12"/>
        </w:rPr>
        <w:t xml:space="preserve"> | rel. Edson Fachin</w:t>
      </w:r>
    </w:p>
    <w:p>
      <w:pPr>
        <w:ind w:left="288"/>
      </w:pPr>
      <w:r>
        <w:rPr>
          <w:color w:val="1E1E1E"/>
          <w:sz w:val="18"/>
        </w:rPr>
        <w:t>Os regimentos internos dos Tribunais, editados com base no art. 96, I, a, da Constituição Federal, consubstanciam normas primárias de idêntica categoria às leis, solucionando-se eventual antinomia não por critérios hierárquicos mas, sim, pela substância regulada, sendo que, no que tange ao funcionamento e organização dos afazeres do Estado-Juiz, prepondera o dispositivo regimental.</w:t>
      </w:r>
    </w:p>
    <w:p>
      <w:pPr>
        <w:ind w:left="288"/>
      </w:pPr>
      <w:r>
        <w:rPr>
          <w:b/>
          <w:color w:val="003CA0"/>
          <w:sz w:val="16"/>
        </w:rPr>
        <w:t>[HC 143.333, rel. min. Edson Fachin, j. 12-4-2018, P, DJE de 21-3-2019.]</w:t>
      </w:r>
    </w:p>
    <w:p>
      <w:pPr>
        <w:ind w:left="288"/>
      </w:pPr>
      <w:r>
        <w:rPr>
          <w:color w:val="8C8C8C"/>
          <w:sz w:val="12"/>
        </w:rPr>
        <w:t>cf-art-96-inc-I</w:t>
      </w:r>
      <w:r>
        <w:rPr>
          <w:color w:val="003CA0"/>
          <w:sz w:val="12"/>
        </w:rPr>
        <w:t xml:space="preserve"> | EXT 1.234</w:t>
      </w:r>
      <w:r>
        <w:rPr>
          <w:color w:val="003CA0"/>
          <w:sz w:val="12"/>
        </w:rPr>
        <w:t xml:space="preserve"> | rel. Dias Toffoli</w:t>
      </w:r>
    </w:p>
    <w:p>
      <w:pPr>
        <w:ind w:left="288"/>
      </w:pPr>
      <w:r>
        <w:rPr>
          <w:color w:val="1E1E1E"/>
          <w:sz w:val="18"/>
        </w:rPr>
        <w:t xml:space="preserve">Preliminar de incompetência de órgão fracionário da Corte para julgar pedido de extradição, frente ao comando do art. 83 da Lei 6.815/1980. Não ocorrência. Alteração da competência por edição de emenda regimental que atendeu aos ditames do art. 102, I, g, c/c o art. 96, I, a, da CF. (...) A Emenda Regimental 45/2011 não representa ofensa ao art. 83 da Lei 6.815/1980, uma vez que atendeu aos ditames constitucionais do art. 102, I, g – que fixou, sem qualquer distinção dos seus órgãos de julgamento, a competência do STF para a análise de extradição solicitada por Estado estrangeiro – c/c o art. </w:t>
      </w:r>
    </w:p>
    <w:p>
      <w:pPr>
        <w:ind w:left="288"/>
      </w:pPr>
      <w:r>
        <w:rPr>
          <w:b/>
          <w:color w:val="003CA0"/>
          <w:sz w:val="16"/>
        </w:rPr>
        <w:t>[Ext 1.234 Extn-segunda, rel. min. Dias Toffoli, j. 30-9-2014, 1ª T, DJE de 17-11-2014.]</w:t>
      </w:r>
    </w:p>
    <w:p>
      <w:pPr>
        <w:ind w:left="288"/>
      </w:pPr>
      <w:r>
        <w:rPr>
          <w:color w:val="8C8C8C"/>
          <w:sz w:val="12"/>
        </w:rPr>
        <w:t>cf-art-96-inc-I</w:t>
      </w:r>
      <w:r>
        <w:rPr>
          <w:color w:val="003CA0"/>
          <w:sz w:val="12"/>
        </w:rPr>
        <w:t xml:space="preserve"> | MS 30.793</w:t>
      </w:r>
      <w:r>
        <w:rPr>
          <w:color w:val="003CA0"/>
          <w:sz w:val="12"/>
        </w:rPr>
        <w:t xml:space="preserve"> | rel. Cármen Lúcia</w:t>
      </w:r>
    </w:p>
    <w:p>
      <w:pPr>
        <w:ind w:left="288"/>
      </w:pPr>
      <w:r>
        <w:rPr>
          <w:color w:val="1E1E1E"/>
          <w:sz w:val="18"/>
        </w:rPr>
        <w:t>Ato do Conselho de Justiça. Procedimento de controle administrativo. Alteração do Regimento Interno do Tribunal de Justiça do Rio de Janeiro. Regra de competência jurisdicional. Alegação de incompetência do CNJ. Segurança concedida.</w:t>
      </w:r>
    </w:p>
    <w:p>
      <w:pPr>
        <w:ind w:left="288"/>
      </w:pPr>
      <w:r>
        <w:rPr>
          <w:b/>
          <w:color w:val="003CA0"/>
          <w:sz w:val="16"/>
        </w:rPr>
        <w:t>[MS 30.793, rel. min. Cármen Lúcia, j. 5-8-2014, 2ª T, DJE de 25-9-2014.]</w:t>
      </w:r>
    </w:p>
    <w:p>
      <w:pPr>
        <w:ind w:left="288"/>
      </w:pPr>
      <w:r>
        <w:rPr>
          <w:color w:val="8C8C8C"/>
          <w:sz w:val="12"/>
        </w:rPr>
        <w:t>cf-art-96-inc-I</w:t>
      </w:r>
      <w:r>
        <w:rPr>
          <w:color w:val="003CA0"/>
          <w:sz w:val="12"/>
        </w:rPr>
        <w:t xml:space="preserve"> | RCL 13.115</w:t>
      </w:r>
    </w:p>
    <w:p>
      <w:pPr>
        <w:ind w:left="288"/>
      </w:pPr>
      <w:r>
        <w:rPr>
          <w:color w:val="1E1E1E"/>
          <w:sz w:val="18"/>
        </w:rPr>
        <w:t>Ao contrário do versado no art. 112 do Diploma Maior anterior – EC 1, de 1969 –, o atual não remete mais à Lei Orgânica da Magistratura a regência da direção dos tribunais, ficando a disciplina a cargo do regimento interno.</w:t>
      </w:r>
    </w:p>
    <w:p>
      <w:pPr>
        <w:ind w:left="288"/>
      </w:pPr>
      <w:r>
        <w:rPr>
          <w:b/>
          <w:color w:val="003CA0"/>
          <w:sz w:val="16"/>
        </w:rPr>
        <w:t>[Rcl 13.115 MC-AgR, red. do ac. min. Marco Aurélio, j. 12-12-2012, P, DJE de 5-6-2013.]</w:t>
      </w:r>
    </w:p>
    <w:p>
      <w:pPr>
        <w:ind w:left="288"/>
      </w:pPr>
      <w:r>
        <w:rPr>
          <w:color w:val="8C8C8C"/>
          <w:sz w:val="12"/>
        </w:rPr>
        <w:t>cf-art-96-inc-I</w:t>
      </w:r>
      <w:r>
        <w:rPr>
          <w:color w:val="003CA0"/>
          <w:sz w:val="12"/>
        </w:rPr>
        <w:t xml:space="preserve"> | ADI 4.108</w:t>
      </w:r>
      <w:r>
        <w:rPr>
          <w:color w:val="003CA0"/>
          <w:sz w:val="12"/>
        </w:rPr>
        <w:t xml:space="preserve"> | rel. Ellen Gracie</w:t>
      </w:r>
    </w:p>
    <w:p>
      <w:pPr>
        <w:ind w:left="288"/>
      </w:pPr>
      <w:r>
        <w:rPr>
          <w:color w:val="1E1E1E"/>
          <w:sz w:val="18"/>
        </w:rPr>
        <w:t>Vide  ADI 4.108 MC-REF, rel. min. Ellen Gracie, j. 2-2-2009, P, DJE de 6-3-2009 Vide ADI 3.566, red. do ac. min. Cezar Peluso, j. 15-2-2007, P, DJ de 15-6-2007 Vide ADI 1.503, rel. min. Maurício Corrêa, j. 29-3-2001, P, DJ de 18-5-2001 O STF, sob a égide da Carta Política de 1969 (art. 119, § 3º, c), dispunha de competência normativa primária para, em sede meramente regimental, formular normas de direito processual concernentes ao processo e ao julgamento dos feitos de sua competência originária ou recursal. Com a superveniência da Constituição de 1988, operou-se a recepção de tais preceitos r</w:t>
      </w:r>
    </w:p>
    <w:p>
      <w:pPr>
        <w:ind w:left="288"/>
      </w:pPr>
      <w:r>
        <w:rPr>
          <w:b/>
          <w:color w:val="003CA0"/>
          <w:sz w:val="16"/>
        </w:rPr>
        <w:t>[AI 727.503 AgR-ED-EDv-AgR-ED, rel. min. Celso de Mello, j. 10-11-2011, P, DJE de 6-12-2011.]</w:t>
      </w:r>
    </w:p>
    <w:p>
      <w:pPr>
        <w:ind w:left="288"/>
      </w:pPr>
      <w:r>
        <w:rPr>
          <w:color w:val="8C8C8C"/>
          <w:sz w:val="12"/>
        </w:rPr>
        <w:t>cf-art-96-inc-I</w:t>
      </w:r>
      <w:r>
        <w:rPr>
          <w:color w:val="003CA0"/>
          <w:sz w:val="12"/>
        </w:rPr>
        <w:t xml:space="preserve"> | MS 28.447</w:t>
      </w:r>
      <w:r>
        <w:rPr>
          <w:color w:val="003CA0"/>
          <w:sz w:val="12"/>
        </w:rPr>
        <w:t xml:space="preserve"> | rel. Dias Toffoli</w:t>
      </w:r>
    </w:p>
    <w:p>
      <w:pPr>
        <w:ind w:left="288"/>
      </w:pPr>
      <w:r>
        <w:rPr>
          <w:color w:val="1E1E1E"/>
          <w:sz w:val="18"/>
        </w:rPr>
        <w:t>O objeto da impetração é apreciar os limites dos poderes normativos (ou nomogenéticos, para ser mais preciso) dos tribunais – o que se radica no papel dos regimentos internos –, é interpretar o art. 102 da Loman, à luz do Texto Constitucional. O espaço normativo dos regimentos internos dos tribunais é expressão da garantia constitucional de sua autonomia orgânico-administrativa (art. 96, I, a, CF/1988), compreensiva da "independência na estruturação e funcionamento de seus órgãos”.</w:t>
      </w:r>
    </w:p>
    <w:p>
      <w:pPr>
        <w:ind w:left="288"/>
      </w:pPr>
      <w:r>
        <w:rPr>
          <w:b/>
          <w:color w:val="003CA0"/>
          <w:sz w:val="16"/>
        </w:rPr>
        <w:t>[MS 28.447, rel. min. Dias Toffoli, j. 25-8-2011, P, DJE de 23-11-2011.]</w:t>
      </w:r>
    </w:p>
    <w:p>
      <w:pPr>
        <w:ind w:left="288"/>
      </w:pPr>
      <w:r>
        <w:rPr>
          <w:color w:val="8C8C8C"/>
          <w:sz w:val="12"/>
        </w:rPr>
        <w:t>cf-art-96-inc-I</w:t>
      </w:r>
      <w:r>
        <w:rPr>
          <w:color w:val="003CA0"/>
          <w:sz w:val="12"/>
        </w:rPr>
        <w:t xml:space="preserve"> | ADI 1.152</w:t>
      </w:r>
      <w:r>
        <w:rPr>
          <w:color w:val="003CA0"/>
          <w:sz w:val="12"/>
        </w:rPr>
        <w:t xml:space="preserve"> | rel. Celso de Mello</w:t>
      </w:r>
    </w:p>
    <w:p>
      <w:pPr>
        <w:ind w:left="288"/>
      </w:pPr>
      <w:r>
        <w:rPr>
          <w:color w:val="1E1E1E"/>
          <w:sz w:val="18"/>
        </w:rPr>
        <w:t>Vide  ADI 1.152 MC, rel. min. Celso de Mello, j. 10-11-1994, P, DJ de 3-2-1995 Art. 102 da Loman. Condições de elegibilidade para cargo de direção em tribunal. Inelegibilidade configurada com exercício de dois mandatos, ainda que incompletos. (...) O art. 102 da Loman, ao se referir à inelegibilidade daqueles que exerceram cargos de direção "por quatro anos", deve ser entendido como "por dois mandatos". Assim, o exercício de dois mandatos em cargo de direção no tribunal torna o desembargador inelegível, salvo se não houver outros desembargadores elegíveis ou que aceitem o cargo.</w:t>
      </w:r>
    </w:p>
    <w:p>
      <w:pPr>
        <w:ind w:left="288"/>
      </w:pPr>
      <w:r>
        <w:rPr>
          <w:b/>
          <w:color w:val="003CA0"/>
          <w:sz w:val="16"/>
        </w:rPr>
        <w:t>[MS 27.593, rel. min. Ricardo Lewandowski, j. 1º-7-2010, P, DJE de 8-10-2010.]</w:t>
      </w:r>
    </w:p>
    <w:p>
      <w:pPr>
        <w:ind w:left="288"/>
      </w:pPr>
      <w:r>
        <w:rPr>
          <w:color w:val="8C8C8C"/>
          <w:sz w:val="12"/>
        </w:rPr>
        <w:t>cf-art-96-inc-I</w:t>
      </w:r>
      <w:r>
        <w:rPr>
          <w:color w:val="003CA0"/>
          <w:sz w:val="12"/>
        </w:rPr>
        <w:t xml:space="preserve"> | ADI 3.566</w:t>
      </w:r>
      <w:r>
        <w:rPr>
          <w:color w:val="003CA0"/>
          <w:sz w:val="12"/>
        </w:rPr>
        <w:t xml:space="preserve"> | rel. Eros Grau</w:t>
      </w:r>
    </w:p>
    <w:p>
      <w:pPr>
        <w:ind w:left="288"/>
      </w:pPr>
      <w:r>
        <w:rPr>
          <w:color w:val="1E1E1E"/>
          <w:sz w:val="18"/>
        </w:rPr>
        <w:t xml:space="preserve">Impugnação de ato do TRF 3ª Região concernente à eleição para o cargo de presidente daquele Tribunal. Discussão a propósito da possibilidade de desembargador que anteriormente ocupou cargo diretivo por dois biênios no TRF 3ª Região ser eleito presidente. Afronta à decisão proferida na ADI 3.566 – recepção e vigência do art. 102 da LC 35 (Loman). (...) Situação de inelegibilidade decorrente da vedação do art. 102 da Loman, segunda parte. A incidência do preceito da Loman resulta frustrada. A fraude à lei importa, fundamentalmente, frustração da lei. Mais grave se é à Constituição frustração da </w:t>
      </w:r>
    </w:p>
    <w:p>
      <w:pPr>
        <w:ind w:left="288"/>
      </w:pPr>
      <w:r>
        <w:rPr>
          <w:b/>
          <w:color w:val="003CA0"/>
          <w:sz w:val="16"/>
        </w:rPr>
        <w:t>[Rcl 8.025, rel. min. Eros Grau, j. 9-12-2009, P, DJE de 6-8-2010.]</w:t>
      </w:r>
    </w:p>
    <w:p>
      <w:pPr>
        <w:ind w:left="288"/>
      </w:pPr>
      <w:r>
        <w:rPr>
          <w:color w:val="8C8C8C"/>
          <w:sz w:val="12"/>
        </w:rPr>
        <w:t>cf-art-96-inc-I</w:t>
      </w:r>
      <w:r>
        <w:rPr>
          <w:color w:val="003CA0"/>
          <w:sz w:val="12"/>
        </w:rPr>
        <w:t xml:space="preserve"> | ADI 3.566</w:t>
      </w:r>
      <w:r>
        <w:rPr>
          <w:color w:val="003CA0"/>
          <w:sz w:val="12"/>
        </w:rPr>
        <w:t xml:space="preserve"> | rel. Ellen Gracie</w:t>
      </w:r>
    </w:p>
    <w:p>
      <w:pPr>
        <w:ind w:left="288"/>
      </w:pPr>
      <w:r>
        <w:rPr>
          <w:color w:val="1E1E1E"/>
          <w:sz w:val="18"/>
        </w:rPr>
        <w:t>Vide ADI 3.566, red. do ac. min. Cezar Peluso, j. 15-2-2007, P, DJ de 15-6-2007 O Provimento 275, de 11-10-2005, do CJF 3ª Região especializou a 3ª Vara Federal de Campo Grande/MS, atribuindo-lhe competência exclusiva para processar e julgar os crimes contra o sistema financeiro nacional e os crimes de "lavagem" ou ocultação de bens, direitos e valores. Não há que se falar em violação aos princípios constitucionais do devido processo legal, do juiz natural e da perpetuatio jurisdictionis, visto que a leitura interpretativa do art. 96, I, a, da CF, admite que haja alteração da competência dos ó</w:t>
      </w:r>
    </w:p>
    <w:p>
      <w:pPr>
        <w:ind w:left="288"/>
      </w:pPr>
      <w:r>
        <w:rPr>
          <w:b/>
          <w:color w:val="003CA0"/>
          <w:sz w:val="16"/>
        </w:rPr>
        <w:t>[HC 94.146, rel. min. Ellen Gracie, j. 21-10-2008, 2ª T, DJE de 7-11-2008.]</w:t>
      </w:r>
    </w:p>
    <w:p>
      <w:pPr>
        <w:ind w:left="288"/>
      </w:pPr>
      <w:r>
        <w:rPr>
          <w:color w:val="8C8C8C"/>
          <w:sz w:val="12"/>
        </w:rPr>
        <w:t>cf-art-96-inc-I</w:t>
      </w:r>
      <w:r>
        <w:rPr>
          <w:color w:val="003CA0"/>
          <w:sz w:val="12"/>
        </w:rPr>
        <w:t xml:space="preserve"> | HC 96.104</w:t>
      </w:r>
      <w:r>
        <w:rPr>
          <w:color w:val="003CA0"/>
          <w:sz w:val="12"/>
        </w:rPr>
        <w:t xml:space="preserve"> | rel. Ricardo Lewandowski</w:t>
      </w:r>
    </w:p>
    <w:p>
      <w:pPr>
        <w:ind w:left="288"/>
      </w:pPr>
      <w:r>
        <w:rPr>
          <w:color w:val="1E1E1E"/>
          <w:sz w:val="18"/>
        </w:rPr>
        <w:t>= HC 96.104, rel. min. Ricardo Lewandowski, j. 16-6-2010, 1ª T, DJE de 6-8-2010 = HC 88.660, rel. min. Cármen Lúcia, j. 15-5-2008, P, DJE de 6-8-2014 Especialização, por Resolução do Tribunal Regional da 4ª Região, da Segunda Vara Federal de Curitiba/PR para o julgamento de crimes financeiros. (...) Especializar varas e atribuir competência por natureza de feitos não é matéria alcançada pela reserva da lei em sentido estrito, porém apenas pelo princípio da legalidade afirmado no art. 5º, II, da Constituição do Brasil, ou seja, pela reserva da norma. (...) No caso concreto, o princípio da legal</w:t>
      </w:r>
    </w:p>
    <w:p>
      <w:pPr>
        <w:ind w:left="288"/>
      </w:pPr>
      <w:r>
        <w:rPr>
          <w:b/>
          <w:color w:val="003CA0"/>
          <w:sz w:val="16"/>
        </w:rPr>
        <w:t>[HC 85.060, rel. min. Eros Grau, j. 23-9-2008, 1ª T, DJE de 13-2-2009.]</w:t>
      </w:r>
    </w:p>
    <w:p>
      <w:pPr>
        <w:ind w:left="288"/>
      </w:pPr>
      <w:r>
        <w:rPr>
          <w:color w:val="8C8C8C"/>
          <w:sz w:val="12"/>
        </w:rPr>
        <w:t>cf-art-96-inc-I</w:t>
      </w:r>
      <w:r>
        <w:rPr>
          <w:color w:val="003CA0"/>
          <w:sz w:val="12"/>
        </w:rPr>
        <w:t xml:space="preserve"> | RE 304.641</w:t>
      </w:r>
      <w:r>
        <w:rPr>
          <w:color w:val="003CA0"/>
          <w:sz w:val="12"/>
        </w:rPr>
        <w:t xml:space="preserve"> | rel. Néri da Silveira</w:t>
      </w:r>
    </w:p>
    <w:p>
      <w:pPr>
        <w:ind w:left="288"/>
      </w:pPr>
      <w:r>
        <w:rPr>
          <w:color w:val="1E1E1E"/>
          <w:sz w:val="18"/>
        </w:rPr>
        <w:t>Alegação de violação ao art. 125, § 4º, da CF/1988, aduzindo-se incompetência de órgão fracionário da Corte para decidir sobre perda de graduação de praças. (...) Inexistência de restrição, no art. 125, § 4º, da Lei Maior, no sentido de a competência conferida ao Tribunal poder ser exercida por uma de suas Câmaras, com base no regimento interno.</w:t>
      </w:r>
    </w:p>
    <w:p>
      <w:pPr>
        <w:ind w:left="288"/>
      </w:pPr>
      <w:r>
        <w:rPr>
          <w:b/>
          <w:color w:val="003CA0"/>
          <w:sz w:val="16"/>
        </w:rPr>
        <w:t>[RE 304.641, rel. min. Néri da Silveira, j. 25-9-2001, 2ª T, DJ de 26-10-2001.]</w:t>
      </w:r>
    </w:p>
    <w:p>
      <w:pPr>
        <w:ind w:left="288"/>
      </w:pPr>
      <w:r>
        <w:rPr>
          <w:color w:val="8C8C8C"/>
          <w:sz w:val="12"/>
        </w:rPr>
        <w:t>cf-art-96-inc-I</w:t>
      </w:r>
      <w:r>
        <w:rPr>
          <w:color w:val="003CA0"/>
          <w:sz w:val="12"/>
        </w:rPr>
        <w:t xml:space="preserve"> | HC 74.190</w:t>
      </w:r>
      <w:r>
        <w:rPr>
          <w:color w:val="003CA0"/>
          <w:sz w:val="12"/>
        </w:rPr>
        <w:t xml:space="preserve"> | rel. Moreira Alves</w:t>
      </w:r>
    </w:p>
    <w:p>
      <w:pPr>
        <w:ind w:left="288"/>
      </w:pPr>
      <w:r>
        <w:rPr>
          <w:color w:val="1E1E1E"/>
          <w:sz w:val="18"/>
        </w:rPr>
        <w:t>O art. 101, § 3º, c, da LC 35/1979, que atribui às seções especializadas e não aos grupos de câmaras criminais dos tribunais a competência para processar e julgar as revisões criminais dos julgamentos de primeiro grau, da própria seção ou das respectivas turmas, não foi recebido pela atual Constituição, que, no art. 96, I, a, preceitua que compete privativamente aos tribunais elaborar seus regimentos internos, com observância das normas de processo e das garantias processuais das partes, dispondo sobre a competência e o financiamento dos respectivos órgãos jurisdicionais e administrativos. Por</w:t>
      </w:r>
    </w:p>
    <w:p>
      <w:pPr>
        <w:ind w:left="288"/>
      </w:pPr>
      <w:r>
        <w:rPr>
          <w:b/>
          <w:color w:val="003CA0"/>
          <w:sz w:val="16"/>
        </w:rPr>
        <w:t>[HC 74.190, rel. min. Moreira Alves, j. 15-10-1996, 1ª T, DJ de 7-3-1997.]</w:t>
      </w:r>
    </w:p>
    <w:p>
      <w:pPr>
        <w:ind w:left="288"/>
      </w:pPr>
      <w:r>
        <w:rPr>
          <w:color w:val="8C8C8C"/>
          <w:sz w:val="12"/>
        </w:rPr>
        <w:t>cf-art-96-inc-I</w:t>
      </w:r>
      <w:r>
        <w:rPr>
          <w:color w:val="003CA0"/>
          <w:sz w:val="12"/>
        </w:rPr>
        <w:t xml:space="preserve"> | AI 177.313</w:t>
      </w:r>
      <w:r>
        <w:rPr>
          <w:color w:val="003CA0"/>
          <w:sz w:val="12"/>
        </w:rPr>
        <w:t xml:space="preserve"> | rel. Celso de Mello</w:t>
      </w:r>
    </w:p>
    <w:p>
      <w:pPr>
        <w:ind w:left="288"/>
      </w:pPr>
      <w:r>
        <w:rPr>
          <w:color w:val="1E1E1E"/>
          <w:sz w:val="18"/>
        </w:rPr>
        <w:t>A competência penal originária do tribunal de justiça, para processar e julgar prefeitos municipais, não se limita nem se restringe ao plenário ou, onde houver, ao respectivo órgão especial, podendo ser atribuída – inclusive por ato dessa própria corte judiciária, fundado no art. 96, I, a, da CF – a qualquer de seus órgãos fracionários (câmaras, turmas, seções, v.g.), eis que os pronunciamentos de tais órgãos qualificam-se como decisões juridicamente imputáveis ao próprio tribunal de justiça. (...) Compete ao tribunal de justiça, mediante exercício do poder de regulação normativa interna que l</w:t>
      </w:r>
    </w:p>
    <w:p>
      <w:pPr>
        <w:ind w:left="288"/>
      </w:pPr>
      <w:r>
        <w:rPr>
          <w:b/>
          <w:color w:val="003CA0"/>
          <w:sz w:val="16"/>
        </w:rPr>
        <w:t>[AI 177.313 AgR, rel. min. Celso de Mello, j. 23-4-1996, 1ª T, DJ de 17-5-1996.]</w:t>
      </w:r>
    </w:p>
    <w:p>
      <w:pPr>
        <w:ind w:left="288"/>
      </w:pPr>
      <w:r>
        <w:rPr>
          <w:color w:val="8C8C8C"/>
          <w:sz w:val="12"/>
        </w:rPr>
        <w:t>cf-art-96-inc-I</w:t>
      </w:r>
      <w:r>
        <w:rPr>
          <w:color w:val="003CA0"/>
          <w:sz w:val="12"/>
        </w:rPr>
        <w:t xml:space="preserve"> | ADI 410</w:t>
      </w:r>
      <w:r>
        <w:rPr>
          <w:color w:val="003CA0"/>
          <w:sz w:val="12"/>
        </w:rPr>
        <w:t xml:space="preserve"> | rel. Sepúlveda Pertence</w:t>
      </w:r>
    </w:p>
    <w:p>
      <w:pPr>
        <w:ind w:left="288"/>
      </w:pPr>
      <w:r>
        <w:rPr>
          <w:color w:val="1E1E1E"/>
          <w:sz w:val="18"/>
        </w:rPr>
        <w:t>A competência para criar o órgão especial se contém no poder dos tribunais – segundo o art. 96, I, a, CF – para dispor, no regimento interno, "sobre a competência e o funcionamento dos respectivos órgãos jurisdicionais e administrativos" (ADI 410/SC, MC, Lex 191/166). Só pode criar órgão especial o tribunal integrado por mais de 25 juízes (CF, art. 93, XI): para esse fim, considera-se a composição já implementada da corte, não bastando a existência de vagas recém-criadas, mas ainda não preenchidas.</w:t>
      </w:r>
    </w:p>
    <w:p>
      <w:pPr>
        <w:ind w:left="288"/>
      </w:pPr>
      <w:r>
        <w:rPr>
          <w:b/>
          <w:color w:val="003CA0"/>
          <w:sz w:val="16"/>
        </w:rPr>
        <w:t>[AO 232, rel. min. Sepúlveda Pertence, j. 3-5-1995, P, DJ de 20-4-2001.]</w:t>
      </w:r>
    </w:p>
    <w:p>
      <w:pPr>
        <w:ind w:left="144"/>
      </w:pPr>
      <w:r>
        <w:rPr>
          <w:b/>
          <w:color w:val="B45A00"/>
          <w:sz w:val="16"/>
        </w:rPr>
        <w:t>CONTROLE CONCENTRADO</w:t>
      </w:r>
    </w:p>
    <w:p>
      <w:pPr>
        <w:ind w:left="288"/>
      </w:pPr>
      <w:r>
        <w:rPr>
          <w:color w:val="8C8C8C"/>
          <w:sz w:val="12"/>
        </w:rPr>
        <w:t>cf-art-96-inc-I-ali-b</w:t>
      </w:r>
      <w:r>
        <w:rPr>
          <w:color w:val="003CA0"/>
          <w:sz w:val="12"/>
        </w:rPr>
        <w:t xml:space="preserve"> | ADI 4.796</w:t>
      </w:r>
      <w:r>
        <w:rPr>
          <w:color w:val="003CA0"/>
          <w:sz w:val="12"/>
        </w:rPr>
        <w:t xml:space="preserve"> | rel. Gilmar Mendes</w:t>
      </w:r>
    </w:p>
    <w:p>
      <w:pPr>
        <w:ind w:left="288"/>
      </w:pPr>
      <w:r>
        <w:rPr>
          <w:color w:val="1E1E1E"/>
          <w:sz w:val="18"/>
        </w:rPr>
        <w:t>Autogoverno dos tribunais deve atender ao bem comum. Ministério Público e Defensoria Pública podem ter gabinetes para desempenho de suas funções nas instalações físicas dos tribunais.</w:t>
      </w:r>
    </w:p>
    <w:p>
      <w:pPr>
        <w:ind w:left="288"/>
      </w:pPr>
      <w:r>
        <w:rPr>
          <w:b/>
          <w:color w:val="003CA0"/>
          <w:sz w:val="16"/>
        </w:rPr>
        <w:t>[ADI 4.796, rel. min. Gilmar Mendes, j. 16-9-2020, P, DJE de 5-10-2020.]</w:t>
      </w:r>
    </w:p>
    <w:p>
      <w:pPr>
        <w:ind w:left="288"/>
      </w:pPr>
      <w:r>
        <w:rPr>
          <w:color w:val="8C8C8C"/>
          <w:sz w:val="12"/>
        </w:rPr>
        <w:t>cf-art-96-inc-I-ali-b</w:t>
      </w:r>
      <w:r>
        <w:rPr>
          <w:color w:val="003CA0"/>
          <w:sz w:val="12"/>
        </w:rPr>
        <w:t xml:space="preserve"> | ADI 3.250</w:t>
      </w:r>
      <w:r>
        <w:rPr>
          <w:color w:val="003CA0"/>
          <w:sz w:val="12"/>
        </w:rPr>
        <w:t xml:space="preserve"> | rel. Marco Aurélio</w:t>
      </w:r>
    </w:p>
    <w:p>
      <w:pPr>
        <w:ind w:left="288"/>
      </w:pPr>
      <w:r>
        <w:rPr>
          <w:color w:val="1E1E1E"/>
          <w:sz w:val="18"/>
        </w:rPr>
        <w:t>Surge constitucional lei a prever a coordenação de serviços na Justiça do Trabalho, presentes os Tribunais Regionais, pelo Tribunal Superior do Trabalho – artigos 2º e 3º da Lei 10.873/2004.</w:t>
      </w:r>
    </w:p>
    <w:p>
      <w:pPr>
        <w:ind w:left="288"/>
      </w:pPr>
      <w:r>
        <w:rPr>
          <w:b/>
          <w:color w:val="003CA0"/>
          <w:sz w:val="16"/>
        </w:rPr>
        <w:t>[ADI 3.250, rel. min. Marco Aurélio, j. 19-12-2019, P, DJE de 6-7-2020.]</w:t>
      </w:r>
    </w:p>
    <w:p>
      <w:pPr>
        <w:ind w:left="288"/>
      </w:pPr>
      <w:r>
        <w:rPr>
          <w:color w:val="8C8C8C"/>
          <w:sz w:val="12"/>
        </w:rPr>
        <w:t>cf-art-96-inc-I-ali-b</w:t>
      </w:r>
      <w:r>
        <w:rPr>
          <w:color w:val="003CA0"/>
          <w:sz w:val="12"/>
        </w:rPr>
        <w:t xml:space="preserve"> | ADI 4.140</w:t>
      </w:r>
      <w:r>
        <w:rPr>
          <w:color w:val="003CA0"/>
          <w:sz w:val="12"/>
        </w:rPr>
        <w:t xml:space="preserve"> | rel. Ellen Gracie</w:t>
      </w:r>
    </w:p>
    <w:p>
      <w:pPr>
        <w:ind w:left="288"/>
      </w:pPr>
      <w:r>
        <w:rPr>
          <w:color w:val="1E1E1E"/>
          <w:sz w:val="18"/>
        </w:rPr>
        <w:t>Os serviços auxiliares dos tribunais e dos juízos de direito que lhes são vinculados, organizados privativamente por aqueles (arts. 96, I, b, e 99, caput, da CF), são formados, exclusivamente, pelo conjunto de unidades e atividades de apoio que viabilizam a realização de suas finalidades institucionais. As serventias judiciais e extrajudiciais não compõem, portanto, os serviços auxiliares ou administrativos dos tribunais.</w:t>
      </w:r>
    </w:p>
    <w:p>
      <w:pPr>
        <w:ind w:left="288"/>
      </w:pPr>
      <w:r>
        <w:rPr>
          <w:b/>
          <w:color w:val="003CA0"/>
          <w:sz w:val="16"/>
        </w:rPr>
        <w:t>[ADI 4.140, rel. min. Ellen Gracie, j. 29-6-2011, P, DJE de 20-9-2011.]</w:t>
      </w:r>
    </w:p>
    <w:p>
      <w:pPr>
        <w:ind w:left="288"/>
      </w:pPr>
      <w:r>
        <w:rPr>
          <w:color w:val="8C8C8C"/>
          <w:sz w:val="12"/>
        </w:rPr>
        <w:t>cf-art-96-inc-I-ali-b</w:t>
      </w:r>
      <w:r>
        <w:rPr>
          <w:color w:val="003CA0"/>
          <w:sz w:val="12"/>
        </w:rPr>
        <w:t xml:space="preserve"> | ADI 2.907</w:t>
      </w:r>
      <w:r>
        <w:rPr>
          <w:color w:val="003CA0"/>
          <w:sz w:val="12"/>
        </w:rPr>
        <w:t xml:space="preserve"> | rel. Ricardo Lewandowski</w:t>
      </w:r>
    </w:p>
    <w:p>
      <w:pPr>
        <w:ind w:left="288"/>
      </w:pPr>
      <w:r>
        <w:rPr>
          <w:color w:val="1E1E1E"/>
          <w:sz w:val="18"/>
        </w:rPr>
        <w:t>Ato normativo que disciplina o horário de trabalho dos servidores do Judiciário. Vício de natureza formal. (...) Embora não haja ofensa ao princípio da separação dos Poderes, visto que a portaria em questão não altera a jornada de trabalho dos servidores e, portanto, não interfere com o seu regime jurídico, constata-se, na espécie, vício de natureza formal. Como assentou o Plenário do STF, nada impede que a matéria seja regulada pelo tribunal, no exercício da autonomia administrativa que a Carta Magna garante ao Judiciário. Mas a forma com que o tema foi tratado, ou seja, por portaria ao invés</w:t>
      </w:r>
    </w:p>
    <w:p>
      <w:pPr>
        <w:ind w:left="288"/>
      </w:pPr>
      <w:r>
        <w:rPr>
          <w:b/>
          <w:color w:val="003CA0"/>
          <w:sz w:val="16"/>
        </w:rPr>
        <w:t>[ADI 2.907, rel. min. Ricardo Lewandowski, j. 4-6-2008, P, DJE de 29-8-2008.]</w:t>
      </w:r>
    </w:p>
    <w:p>
      <w:pPr>
        <w:ind w:left="288"/>
      </w:pPr>
      <w:r>
        <w:rPr>
          <w:color w:val="8C8C8C"/>
          <w:sz w:val="12"/>
        </w:rPr>
        <w:t>cf-art-96-inc-I-ali-b</w:t>
      </w:r>
      <w:r>
        <w:rPr>
          <w:color w:val="003CA0"/>
          <w:sz w:val="12"/>
        </w:rPr>
        <w:t xml:space="preserve"> | ADI 2.308</w:t>
      </w:r>
      <w:r>
        <w:rPr>
          <w:color w:val="003CA0"/>
          <w:sz w:val="12"/>
        </w:rPr>
        <w:t xml:space="preserve"> | rel. Moreira Alves</w:t>
      </w:r>
    </w:p>
    <w:p>
      <w:pPr>
        <w:ind w:left="288"/>
      </w:pPr>
      <w:r>
        <w:rPr>
          <w:color w:val="1E1E1E"/>
          <w:sz w:val="18"/>
        </w:rPr>
        <w:t>Não há dúvida de que a resolução em causa, que altera o horário de expediente da Secretaria do Tribunal de Justiça e da Justiça de primeiro grau do Estado de Santa Catarina, e que consequentemente reduz para seis horas, em turno único, a jornada de trabalho de todos os servidores de ambas, é ato normativo e tem caráter autônomo, porquanto dá como fundamento, para justificar a competência para tanto do Órgão Especial do Tribunal de Justiça, o disposto no art. 96, I, a e b, da CF e no art. 83, III, da Constituição estadual. Em exame sumário como é o compatível com pedido de concessão de liminar,</w:t>
      </w:r>
    </w:p>
    <w:p>
      <w:pPr>
        <w:ind w:left="288"/>
      </w:pPr>
      <w:r>
        <w:rPr>
          <w:b/>
          <w:color w:val="003CA0"/>
          <w:sz w:val="16"/>
        </w:rPr>
        <w:t>[ADI 2.308 MC, rel. min. Moreira Alves, j. 25-4-2001, P, DJ de 5-10-2001.]</w:t>
      </w:r>
    </w:p>
    <w:p>
      <w:pPr>
        <w:ind w:left="288"/>
      </w:pPr>
      <w:r>
        <w:rPr>
          <w:color w:val="8C8C8C"/>
          <w:sz w:val="12"/>
        </w:rPr>
        <w:t>cf-art-96-inc-I-ali-c</w:t>
      </w:r>
      <w:r>
        <w:rPr>
          <w:color w:val="003CA0"/>
          <w:sz w:val="12"/>
        </w:rPr>
        <w:t xml:space="preserve"> | ADI 314</w:t>
      </w:r>
      <w:r>
        <w:rPr>
          <w:color w:val="003CA0"/>
          <w:sz w:val="12"/>
        </w:rPr>
        <w:t xml:space="preserve"> | rel. Carlos Velloso</w:t>
      </w:r>
    </w:p>
    <w:p>
      <w:pPr>
        <w:ind w:left="288"/>
      </w:pPr>
      <w:r>
        <w:rPr>
          <w:color w:val="1E1E1E"/>
          <w:sz w:val="18"/>
        </w:rPr>
        <w:t>O provimento do cargo de desembargador, mediante promoção de juiz de carreira, é ato privativo do tribunal de justiça (CF, art. 96, I, c). Inconstitucionalidade de disposição constante da Constituição de Pernambuco, art. 58, § 2º, que diz caber ao governador o ato de provimento desse cargo.</w:t>
      </w:r>
    </w:p>
    <w:p>
      <w:pPr>
        <w:ind w:left="288"/>
      </w:pPr>
      <w:r>
        <w:rPr>
          <w:b/>
          <w:color w:val="003CA0"/>
          <w:sz w:val="16"/>
        </w:rPr>
        <w:t>[ADI 314, rel. min. Carlos Velloso, j. 4-9-1991, P, DJ de 20-4-2001.]</w:t>
      </w:r>
    </w:p>
    <w:p>
      <w:pPr>
        <w:ind w:left="288"/>
      </w:pPr>
      <w:r>
        <w:rPr>
          <w:color w:val="8C8C8C"/>
          <w:sz w:val="12"/>
        </w:rPr>
        <w:t>cf-art-96-inc-I-ali-d</w:t>
      </w:r>
      <w:r>
        <w:rPr>
          <w:color w:val="003CA0"/>
          <w:sz w:val="12"/>
        </w:rPr>
        <w:t xml:space="preserve"> | ADI 3.131</w:t>
      </w:r>
      <w:r>
        <w:rPr>
          <w:color w:val="003CA0"/>
          <w:sz w:val="12"/>
        </w:rPr>
        <w:t xml:space="preserve"> | rel. Carlos Velloso</w:t>
      </w:r>
    </w:p>
    <w:p>
      <w:pPr>
        <w:ind w:left="288"/>
      </w:pPr>
      <w:r>
        <w:rPr>
          <w:color w:val="1E1E1E"/>
          <w:sz w:val="18"/>
        </w:rPr>
        <w:t>Lei de Organização Judiciária do Estado. Inobservância da iniciativa legislativa do tribunal de justiça: CF, art. 96, II, d. Supressão do processo legislativo: inconstitucionalidade.</w:t>
      </w:r>
    </w:p>
    <w:p>
      <w:pPr>
        <w:ind w:left="288"/>
      </w:pPr>
      <w:r>
        <w:rPr>
          <w:b/>
          <w:color w:val="003CA0"/>
          <w:sz w:val="16"/>
        </w:rPr>
        <w:t>[ADI 3.131, rel. min. Carlos Velloso, j. 19-5-2004, P, DJ de 18-6-2004.]</w:t>
      </w:r>
    </w:p>
    <w:p>
      <w:pPr>
        <w:ind w:left="288"/>
      </w:pPr>
      <w:r>
        <w:rPr>
          <w:color w:val="8C8C8C"/>
          <w:sz w:val="12"/>
        </w:rPr>
        <w:t>cf-art-96-inc-I-ali-d</w:t>
      </w:r>
    </w:p>
    <w:p>
      <w:pPr>
        <w:ind w:left="288"/>
      </w:pPr>
      <w:r>
        <w:rPr>
          <w:color w:val="1E1E1E"/>
          <w:sz w:val="18"/>
        </w:rPr>
        <w:t>e) prover, por concurso público de provas, ou de provas e títulos, obedecido o disposto no art. 169, parágrafo único, os cargos necessários à administração da Justiça, exceto os de confiança assim definidos em lei;</w:t>
      </w:r>
    </w:p>
    <w:p>
      <w:pPr>
        <w:ind w:left="288"/>
      </w:pPr>
      <w:r>
        <w:rPr>
          <w:color w:val="8C8C8C"/>
          <w:sz w:val="12"/>
        </w:rPr>
        <w:t>cf-art-96-inc-II</w:t>
      </w:r>
      <w:r>
        <w:rPr>
          <w:color w:val="003CA0"/>
          <w:sz w:val="12"/>
        </w:rPr>
        <w:t xml:space="preserve"> | ADI 7.709</w:t>
      </w:r>
      <w:r>
        <w:rPr>
          <w:color w:val="003CA0"/>
          <w:sz w:val="12"/>
        </w:rPr>
        <w:t xml:space="preserve"> | rel. Cristiano Zanin</w:t>
      </w:r>
    </w:p>
    <w:p>
      <w:pPr>
        <w:ind w:left="288"/>
      </w:pPr>
      <w:r>
        <w:rPr>
          <w:color w:val="1E1E1E"/>
          <w:sz w:val="18"/>
        </w:rPr>
        <w:t>Dispositivos da Lei Federal n. 14.456/2022 introduzidos por emenda parlamentar no curso do processo legislativo. Alteração de requisito de ingresso no cargo de Técnico Judiciário do Poder Judiciário da União para nível superior. Alegação de inconstitucionalidade formal por ofensa à iniciativa reservada do Supremo Tribunal Federal. Art. 96, II, da Constituição. Inexistência de vício de inconstitucionalidade. (...) O poder de apresentar emendas a projetos de lei em curso no Congresso Nacional constitui prerrogativa parlamentar, inerente à atividade legislativa e incide inclusive sobre proposiçõe</w:t>
      </w:r>
    </w:p>
    <w:p>
      <w:pPr>
        <w:ind w:left="288"/>
      </w:pPr>
      <w:r>
        <w:rPr>
          <w:b/>
          <w:color w:val="003CA0"/>
          <w:sz w:val="16"/>
        </w:rPr>
        <w:t>[ADI 7.709, rel. min. Cristiano Zanin, j. 24.02.2025, P, DJE de 07.04.2025.]</w:t>
      </w:r>
    </w:p>
    <w:p>
      <w:pPr>
        <w:ind w:left="288"/>
      </w:pPr>
      <w:r>
        <w:rPr>
          <w:color w:val="8C8C8C"/>
          <w:sz w:val="12"/>
        </w:rPr>
        <w:t>cf-art-96-inc-II</w:t>
      </w:r>
      <w:r>
        <w:rPr>
          <w:color w:val="003CA0"/>
          <w:sz w:val="12"/>
        </w:rPr>
        <w:t xml:space="preserve"> | ADI 2.909</w:t>
      </w:r>
      <w:r>
        <w:rPr>
          <w:color w:val="003CA0"/>
          <w:sz w:val="12"/>
        </w:rPr>
        <w:t xml:space="preserve"> | rel. Ayres Britto</w:t>
      </w:r>
    </w:p>
    <w:p>
      <w:pPr>
        <w:ind w:left="288"/>
      </w:pPr>
      <w:r>
        <w:rPr>
          <w:color w:val="1E1E1E"/>
          <w:sz w:val="18"/>
        </w:rPr>
        <w:t>É inconstitucional, por extravasar os limites do inciso II do art. 96 da CF, lei que institui Sistema de Gerenciamento dos Depósitos Judiciais, fixa a destinação dos rendimentos líquidos decorrentes da aplicação dos depósitos no mercado financeiro e atribui ao Fundo de Reaparelhamento do Poder Judiciário a coordenação e o controle das atividades inerentes à administração financeira de tal sistema. Matéria que não se encontra entre aquelas reservadas à iniciativa legislativa do Poder Judiciário.</w:t>
      </w:r>
    </w:p>
    <w:p>
      <w:pPr>
        <w:ind w:left="288"/>
      </w:pPr>
      <w:r>
        <w:rPr>
          <w:b/>
          <w:color w:val="003CA0"/>
          <w:sz w:val="16"/>
        </w:rPr>
        <w:t>[ADI 2.909, rel. min. Ayres Britto, j. 12-5-2010, P, DJE de 11-6-2010.]</w:t>
      </w:r>
    </w:p>
    <w:p>
      <w:pPr>
        <w:ind w:left="288"/>
      </w:pPr>
      <w:r>
        <w:rPr>
          <w:color w:val="8C8C8C"/>
          <w:sz w:val="12"/>
        </w:rPr>
        <w:t>cf-art-96-inc-II</w:t>
      </w:r>
      <w:r>
        <w:rPr>
          <w:color w:val="003CA0"/>
          <w:sz w:val="12"/>
        </w:rPr>
        <w:t xml:space="preserve"> | ADI 2.855</w:t>
      </w:r>
      <w:r>
        <w:rPr>
          <w:color w:val="003CA0"/>
          <w:sz w:val="12"/>
        </w:rPr>
        <w:t xml:space="preserve"> | rel. Marco Aurélio</w:t>
      </w:r>
    </w:p>
    <w:p>
      <w:pPr>
        <w:ind w:left="288"/>
      </w:pPr>
      <w:r>
        <w:rPr>
          <w:color w:val="1E1E1E"/>
          <w:sz w:val="18"/>
        </w:rPr>
        <w:t>Vide  ADI 2.855, rel. min. Marco Aurélio, j. 12-5-2010, P, DJE de 17-9-2010</w:t>
      </w:r>
    </w:p>
    <w:p>
      <w:pPr>
        <w:ind w:left="288"/>
      </w:pPr>
      <w:r>
        <w:rPr>
          <w:color w:val="8C8C8C"/>
          <w:sz w:val="12"/>
        </w:rPr>
        <w:t>cf-art-96-inc-II-ali-a</w:t>
      </w:r>
      <w:r>
        <w:rPr>
          <w:color w:val="003CA0"/>
          <w:sz w:val="12"/>
        </w:rPr>
        <w:t xml:space="preserve"> | ADI 3.362</w:t>
      </w:r>
    </w:p>
    <w:p>
      <w:pPr>
        <w:ind w:left="288"/>
      </w:pPr>
      <w:r>
        <w:rPr>
          <w:color w:val="1E1E1E"/>
          <w:sz w:val="18"/>
        </w:rPr>
        <w:t>Vulnera a CF norma de Carta estadual que preveja limite de cadeiras no tribunal de justiça, afastando a iniciativa deste quanto a projeto de lei visando à alteração.</w:t>
      </w:r>
    </w:p>
    <w:p>
      <w:pPr>
        <w:ind w:left="288"/>
      </w:pPr>
      <w:r>
        <w:rPr>
          <w:b/>
          <w:color w:val="003CA0"/>
          <w:sz w:val="16"/>
        </w:rPr>
        <w:t>[ADI 3.362, red. do ac. min. Marco Aurélio, j. 30-8-2007, P, DJE de 28-3-2008.]</w:t>
      </w:r>
    </w:p>
    <w:p>
      <w:pPr>
        <w:ind w:left="288"/>
      </w:pPr>
      <w:r>
        <w:rPr>
          <w:color w:val="8C8C8C"/>
          <w:sz w:val="12"/>
        </w:rPr>
        <w:t>cf-art-96-inc-II-ali-a</w:t>
      </w:r>
      <w:r>
        <w:rPr>
          <w:color w:val="003CA0"/>
          <w:sz w:val="12"/>
        </w:rPr>
        <w:t xml:space="preserve"> | ADI 142</w:t>
      </w:r>
      <w:r>
        <w:rPr>
          <w:color w:val="003CA0"/>
          <w:sz w:val="12"/>
        </w:rPr>
        <w:t xml:space="preserve"> | rel. Ilmar Galvão</w:t>
      </w:r>
    </w:p>
    <w:p>
      <w:pPr>
        <w:ind w:left="288"/>
      </w:pPr>
      <w:r>
        <w:rPr>
          <w:color w:val="1E1E1E"/>
          <w:sz w:val="18"/>
        </w:rPr>
        <w:t>Art. 85 da Constituição do Estado de Rondônia, que elevou para treze o número de desembargadores do Tribunal de Justiça. Ofensa manifesta ao princípio da iniciativa privativa, para o assunto, do Tribunal de Justiça, consagrada no art. 96, II, b, da CF, de observância imperiosa pelo poder constituinte derivado estadual, como previsto no art. 11 do ADCT/1988.</w:t>
      </w:r>
    </w:p>
    <w:p>
      <w:pPr>
        <w:ind w:left="288"/>
      </w:pPr>
      <w:r>
        <w:rPr>
          <w:b/>
          <w:color w:val="003CA0"/>
          <w:sz w:val="16"/>
        </w:rPr>
        <w:t>[ADI 142, rel. min. Ilmar Galvão, j. 19-6-1996, P, DJ de 6-9-1996.]</w:t>
      </w:r>
    </w:p>
    <w:p>
      <w:pPr>
        <w:ind w:left="288"/>
      </w:pPr>
      <w:r>
        <w:rPr>
          <w:color w:val="8C8C8C"/>
          <w:sz w:val="12"/>
        </w:rPr>
        <w:t>cf-art-96-inc-II-ali-a</w:t>
      </w:r>
    </w:p>
    <w:p>
      <w:pPr>
        <w:ind w:left="288"/>
      </w:pPr>
      <w:r>
        <w:rPr>
          <w:color w:val="1E1E1E"/>
          <w:sz w:val="18"/>
        </w:rPr>
        <w:t>b) a criação e a extinção de cargos e a remuneração dos seus serviços auxiliares e dos juízos que lhes forem vinculados, bem como a fixação do subsídio de seus membros e dos juízes, inclusive dos tribunais inferiores, onde houver; (Redação da EC 41/2003)</w:t>
      </w:r>
    </w:p>
    <w:p>
      <w:pPr>
        <w:ind w:left="288"/>
      </w:pPr>
      <w:r>
        <w:rPr>
          <w:color w:val="8C8C8C"/>
          <w:sz w:val="12"/>
        </w:rPr>
        <w:t>cf-art-96-inc-II-ali-a</w:t>
      </w:r>
      <w:r>
        <w:rPr>
          <w:color w:val="003CA0"/>
          <w:sz w:val="12"/>
        </w:rPr>
        <w:t xml:space="preserve"> | ADI 1.835</w:t>
      </w:r>
      <w:r>
        <w:rPr>
          <w:color w:val="003CA0"/>
          <w:sz w:val="12"/>
        </w:rPr>
        <w:t xml:space="preserve"> | rel. Dias Toffoli</w:t>
      </w:r>
    </w:p>
    <w:p>
      <w:pPr>
        <w:ind w:left="288"/>
      </w:pPr>
      <w:r>
        <w:rPr>
          <w:color w:val="1E1E1E"/>
          <w:sz w:val="18"/>
        </w:rPr>
        <w:t xml:space="preserve">Art. 1º, parágrafo único, da LC estadual 164/1998 do Estado de Santa Catarina. Extensão aos servidores inativos e extrajudiciais de aumento remuneratório dado aos servidores do Poder Judiciário do Estado. Emenda aditiva parlamentar a projeto de iniciativa do Poder Judiciário local. Vício de iniciativa. (...) Inconstitucionalidade da extensão do aumento aos serventuários extrajudiciais, por ofensa ao art. 96, II, b, da CF. Os serventuários extrajudiciais que, a teor do disposto no art. 32 do ADCT, são remunerados pelos cofres públicos, à conta do Poder Judiciário, dependem de projeto de lei de </w:t>
      </w:r>
    </w:p>
    <w:p>
      <w:pPr>
        <w:ind w:left="288"/>
      </w:pPr>
      <w:r>
        <w:rPr>
          <w:b/>
          <w:color w:val="003CA0"/>
          <w:sz w:val="16"/>
        </w:rPr>
        <w:t>[ADI 1.835, rel. min. Dias Toffoli, j. 17-9-2014, P, DJE de 17-10-2014.]</w:t>
      </w:r>
    </w:p>
    <w:p>
      <w:pPr>
        <w:ind w:left="288"/>
      </w:pPr>
      <w:r>
        <w:rPr>
          <w:color w:val="8C8C8C"/>
          <w:sz w:val="12"/>
        </w:rPr>
        <w:t>cf-art-96-inc-II-ali-a</w:t>
      </w:r>
      <w:r>
        <w:rPr>
          <w:color w:val="003CA0"/>
          <w:sz w:val="12"/>
        </w:rPr>
        <w:t xml:space="preserve"> | ADI 1.935</w:t>
      </w:r>
      <w:r>
        <w:rPr>
          <w:color w:val="003CA0"/>
          <w:sz w:val="12"/>
        </w:rPr>
        <w:t xml:space="preserve"> | rel. Carlos Velloso</w:t>
      </w:r>
    </w:p>
    <w:p>
      <w:pPr>
        <w:ind w:left="288"/>
      </w:pPr>
      <w:r>
        <w:rPr>
          <w:color w:val="1E1E1E"/>
          <w:sz w:val="18"/>
        </w:rPr>
        <w:t>É pacífica a jurisprudência do STF no sentido de que as leis que disponham sobre serventias judiciais e extrajudiciais são de iniciativa privativa dos tribunais de justiça, a teor do que dispõem as alíneas b e d do inciso II do art. 96 da Constituição da República. Precedentes: ADI 1.935/RO, rel. min. Carlos Velloso, DJ de 4-10-2002; ADI 865 MC/MA, rel. min. Celso de Mello, DJ de 8-4-1994.</w:t>
      </w:r>
    </w:p>
    <w:p>
      <w:pPr>
        <w:ind w:left="288"/>
      </w:pPr>
      <w:r>
        <w:rPr>
          <w:b/>
          <w:color w:val="003CA0"/>
          <w:sz w:val="16"/>
        </w:rPr>
        <w:t>[ADI 3.773, rel. min. Menezes Direito, j. 4-3-2009, P, DJE de 4-9-2009.]</w:t>
      </w:r>
    </w:p>
    <w:p>
      <w:pPr>
        <w:ind w:left="288"/>
      </w:pPr>
      <w:r>
        <w:rPr>
          <w:color w:val="8C8C8C"/>
          <w:sz w:val="12"/>
        </w:rPr>
        <w:t>cf-art-96-inc-II-ali-a</w:t>
      </w:r>
      <w:r>
        <w:rPr>
          <w:color w:val="003CA0"/>
          <w:sz w:val="12"/>
        </w:rPr>
        <w:t xml:space="preserve"> | ADI 2.104</w:t>
      </w:r>
      <w:r>
        <w:rPr>
          <w:color w:val="003CA0"/>
          <w:sz w:val="12"/>
        </w:rPr>
        <w:t xml:space="preserve"> | rel. Eros Grau</w:t>
      </w:r>
    </w:p>
    <w:p>
      <w:pPr>
        <w:ind w:left="288"/>
      </w:pPr>
      <w:r>
        <w:rPr>
          <w:color w:val="1E1E1E"/>
          <w:sz w:val="18"/>
        </w:rPr>
        <w:t>Ato que determina que a verba de representação instituída pelo DL 2.371/1987 seja calculada com a incidência do vencimento básico e da parcela de equivalência. (...) Inconstitucionalidade do ato normativo que configura aumento de remuneração dos magistrados de forma diversa da prevista no art. 96, II, b, da Constituição do Brasil. Jurisprudência do Supremo.</w:t>
      </w:r>
    </w:p>
    <w:p>
      <w:pPr>
        <w:ind w:left="288"/>
      </w:pPr>
      <w:r>
        <w:rPr>
          <w:b/>
          <w:color w:val="003CA0"/>
          <w:sz w:val="16"/>
        </w:rPr>
        <w:t>[ADI 2.104, rel. min. Eros Grau, j. 21-11-2007, P, DJE de 22-2-2008.]</w:t>
      </w:r>
    </w:p>
    <w:p>
      <w:pPr>
        <w:ind w:left="288"/>
      </w:pPr>
      <w:r>
        <w:rPr>
          <w:color w:val="8C8C8C"/>
          <w:sz w:val="12"/>
        </w:rPr>
        <w:t>cf-art-96-inc-II-ali-a</w:t>
      </w:r>
      <w:r>
        <w:rPr>
          <w:color w:val="003CA0"/>
          <w:sz w:val="12"/>
        </w:rPr>
        <w:t xml:space="preserve"> | ADI 2.103</w:t>
      </w:r>
      <w:r>
        <w:rPr>
          <w:color w:val="003CA0"/>
          <w:sz w:val="12"/>
        </w:rPr>
        <w:t xml:space="preserve"> | rel. Ellen Gracie</w:t>
      </w:r>
    </w:p>
    <w:p>
      <w:pPr>
        <w:ind w:left="288"/>
      </w:pPr>
      <w:r>
        <w:rPr>
          <w:color w:val="1E1E1E"/>
          <w:sz w:val="18"/>
        </w:rPr>
        <w:t>No cálculo da remuneração dos magistrados, consoante diretriz estabelecida por esta Suprema Corte em sessão administrativa, deveria a verba de representação incidir tão somente sobre o vencimento básico. Por meio da decisão administrativa ora impugnada, em manifesta divergência com a orientação desta Suprema Corte, o TRT 6ª Região ampliou a base de cálculo da verba de representação, na medida em que nela inseriu a parcela de equivalência. Trata-se, portanto, de indisfarçável aumento salarial concedido aos membros do Poder Judiciário Trabalhista de Pernambuco sem a previsão legal exigida pelo a</w:t>
      </w:r>
    </w:p>
    <w:p>
      <w:pPr>
        <w:ind w:left="288"/>
      </w:pPr>
      <w:r>
        <w:rPr>
          <w:b/>
          <w:color w:val="003CA0"/>
          <w:sz w:val="16"/>
        </w:rPr>
        <w:t>[ADI 2.103, rel. min. Ellen Gracie, j. 9-9-2004, P, DJ de 8-10-2004.]</w:t>
      </w:r>
    </w:p>
    <w:p>
      <w:pPr>
        <w:ind w:left="288"/>
      </w:pPr>
      <w:r>
        <w:rPr>
          <w:color w:val="8C8C8C"/>
          <w:sz w:val="12"/>
        </w:rPr>
        <w:t>cf-art-96-inc-II-ali-a</w:t>
      </w:r>
      <w:r>
        <w:rPr>
          <w:color w:val="003CA0"/>
          <w:sz w:val="12"/>
        </w:rPr>
        <w:t xml:space="preserve"> | AO 764</w:t>
      </w:r>
      <w:r>
        <w:rPr>
          <w:color w:val="003CA0"/>
          <w:sz w:val="12"/>
        </w:rPr>
        <w:t xml:space="preserve"> | rel. Marco Aurélio</w:t>
      </w:r>
    </w:p>
    <w:p>
      <w:pPr>
        <w:ind w:left="288"/>
      </w:pPr>
      <w:r>
        <w:rPr>
          <w:color w:val="1E1E1E"/>
          <w:sz w:val="18"/>
        </w:rPr>
        <w:t>= AO 764 AgR, rel. min. Marco Aurélio, j. 25-2-2014, 1ª T, DJE de 20-3-2014 Competência do tribunal de justiça para criar e disciplinar seus serviços auxiliares. Inconstitucionalidade da estipulação de prazo para que o tribunal de justiça envie projeto de lei dispondo sobre matéria que lhe é privativa.</w:t>
      </w:r>
    </w:p>
    <w:p>
      <w:pPr>
        <w:ind w:left="288"/>
      </w:pPr>
      <w:r>
        <w:rPr>
          <w:b/>
          <w:color w:val="003CA0"/>
          <w:sz w:val="16"/>
        </w:rPr>
        <w:t>[ADI 106, red. do ac. min. Gilmar Mendes, j. 10-10-2002, P, DJ de 25-11-2005.]</w:t>
      </w:r>
    </w:p>
    <w:p>
      <w:pPr>
        <w:ind w:left="288"/>
      </w:pPr>
      <w:r>
        <w:rPr>
          <w:color w:val="8C8C8C"/>
          <w:sz w:val="12"/>
        </w:rPr>
        <w:t>cf-art-96-inc-II-ali-a</w:t>
      </w:r>
      <w:r>
        <w:rPr>
          <w:color w:val="003CA0"/>
          <w:sz w:val="12"/>
        </w:rPr>
        <w:t xml:space="preserve"> | ADI 965</w:t>
      </w:r>
      <w:r>
        <w:rPr>
          <w:color w:val="003CA0"/>
          <w:sz w:val="12"/>
        </w:rPr>
        <w:t xml:space="preserve"> | rel. Maurício Corrêa</w:t>
      </w:r>
    </w:p>
    <w:p>
      <w:pPr>
        <w:ind w:left="288"/>
      </w:pPr>
      <w:r>
        <w:rPr>
          <w:color w:val="1E1E1E"/>
          <w:sz w:val="18"/>
        </w:rPr>
        <w:t>Reajuste de vencimentos decorrente de atualização monetária. Extensão aos membros da magistratura. A exigência de lei formal, de iniciativa do Poder Judiciário, aplica-se às hipóteses de aumento real de vencimentos e não às de extensão, aos magistrados, dos reajustes gerais de vencimentos do funcionalismo estadual.</w:t>
      </w:r>
    </w:p>
    <w:p>
      <w:pPr>
        <w:ind w:left="288"/>
      </w:pPr>
      <w:r>
        <w:rPr>
          <w:b/>
          <w:color w:val="003CA0"/>
          <w:sz w:val="16"/>
        </w:rPr>
        <w:t>[ADI 965, rel. min. Maurício Corrêa, j. 3-8-1998, P, DJ de 8-9-2000.]</w:t>
      </w:r>
    </w:p>
    <w:p>
      <w:pPr>
        <w:ind w:left="144"/>
      </w:pPr>
      <w:r>
        <w:rPr>
          <w:b/>
          <w:color w:val="B45A00"/>
          <w:sz w:val="16"/>
        </w:rPr>
        <w:t>JULGADOS CORRELATOS</w:t>
      </w:r>
    </w:p>
    <w:p>
      <w:pPr>
        <w:ind w:left="288"/>
      </w:pPr>
      <w:r>
        <w:rPr>
          <w:color w:val="8C8C8C"/>
          <w:sz w:val="12"/>
        </w:rPr>
        <w:t>cf-art-96-inc-II-ali-a</w:t>
      </w:r>
      <w:r>
        <w:rPr>
          <w:color w:val="003CA0"/>
          <w:sz w:val="12"/>
        </w:rPr>
        <w:t xml:space="preserve"> | AO 1.710</w:t>
      </w:r>
      <w:r>
        <w:rPr>
          <w:color w:val="003CA0"/>
          <w:sz w:val="12"/>
        </w:rPr>
        <w:t xml:space="preserve"> | rel. Marco Aurélio</w:t>
      </w:r>
    </w:p>
    <w:p>
      <w:pPr>
        <w:ind w:left="288"/>
      </w:pPr>
      <w:r>
        <w:rPr>
          <w:color w:val="1E1E1E"/>
          <w:sz w:val="18"/>
        </w:rPr>
        <w:t>A magistratura foi beneficiada pela equivalência prevista no art. 1º, parágrafo único, da Lei 8.448/1992, presente o disposto no art. 93, V, da CF, surgindo, ante o escalonamento, valores absolutos a serem atualizados segundo os percentuais próprios, mostrando-se desinfluente legislação que veio a versar diferenças inferiores.</w:t>
      </w:r>
    </w:p>
    <w:p>
      <w:pPr>
        <w:ind w:left="288"/>
      </w:pPr>
      <w:r>
        <w:rPr>
          <w:b/>
          <w:color w:val="003CA0"/>
          <w:sz w:val="16"/>
        </w:rPr>
        <w:t>[AO 1.710, rel. min. Marco Aurélio, j. 3-12-2013, 1ª T, DJE de 18-12-2013.]</w:t>
      </w:r>
    </w:p>
    <w:p>
      <w:pPr>
        <w:ind w:left="288"/>
      </w:pPr>
      <w:r>
        <w:rPr>
          <w:color w:val="8C8C8C"/>
          <w:sz w:val="12"/>
        </w:rPr>
        <w:t>cf-art-96-inc-II-ali-a</w:t>
      </w:r>
      <w:r>
        <w:rPr>
          <w:color w:val="003CA0"/>
          <w:sz w:val="12"/>
        </w:rPr>
        <w:t xml:space="preserve"> | AO 1.609</w:t>
      </w:r>
      <w:r>
        <w:rPr>
          <w:color w:val="003CA0"/>
          <w:sz w:val="12"/>
        </w:rPr>
        <w:t xml:space="preserve"> | rel. Cármen Lúcia</w:t>
      </w:r>
    </w:p>
    <w:p>
      <w:pPr>
        <w:ind w:left="288"/>
      </w:pPr>
      <w:r>
        <w:rPr>
          <w:color w:val="1E1E1E"/>
          <w:sz w:val="18"/>
        </w:rPr>
        <w:t>Vide AO 1.609 AgR, rel. min. Cármen Lúcia, j. 8-11-2011, 1ª T, DJE de 30-11-2011 Incorporação de diferença da parcela autônoma de equivalência por juízes do trabalho, no mesmo percentual conferido aos ministros do STF. Pretensão amparada em decisão administrativa do TST que teve sua eficácia suspensa por este Supremo Tribunal na ADI 1.899/DF. Necessidade de lei formal para majoração dos vencimentos de magistrado.</w:t>
      </w:r>
    </w:p>
    <w:p>
      <w:pPr>
        <w:ind w:left="288"/>
      </w:pPr>
      <w:r>
        <w:rPr>
          <w:b/>
          <w:color w:val="003CA0"/>
          <w:sz w:val="16"/>
        </w:rPr>
        <w:t>[AO 1.609 AgR, rel. min. Cármen Lúcia, j. 8-11-2011, 1ª T, DJE de 30-11-2011.]</w:t>
      </w:r>
    </w:p>
    <w:p>
      <w:pPr>
        <w:ind w:left="288"/>
      </w:pPr>
      <w:r>
        <w:rPr>
          <w:color w:val="8C8C8C"/>
          <w:sz w:val="12"/>
        </w:rPr>
        <w:t>cf-art-96-inc-II-ali-a</w:t>
      </w:r>
      <w:r>
        <w:rPr>
          <w:color w:val="003CA0"/>
          <w:sz w:val="12"/>
        </w:rPr>
        <w:t xml:space="preserve"> | RE 218.874</w:t>
      </w:r>
      <w:r>
        <w:rPr>
          <w:color w:val="003CA0"/>
          <w:sz w:val="12"/>
        </w:rPr>
        <w:t xml:space="preserve"> | rel. Eros Grau</w:t>
      </w:r>
    </w:p>
    <w:p>
      <w:pPr>
        <w:ind w:left="288"/>
      </w:pPr>
      <w:r>
        <w:rPr>
          <w:color w:val="1E1E1E"/>
          <w:sz w:val="18"/>
        </w:rPr>
        <w:t>Reajuste automático de vencimentos dos servidores do Estado-membro, vinculado ao incremento da arrecadação do ICMS e a índice de correção monetária. Ofensa ao disposto nos arts. 37, XIII; 96, II, b; e 167, IV, da Constituição do Brasil.</w:t>
      </w:r>
    </w:p>
    <w:p>
      <w:pPr>
        <w:ind w:left="288"/>
      </w:pPr>
      <w:r>
        <w:rPr>
          <w:b/>
          <w:color w:val="003CA0"/>
          <w:sz w:val="16"/>
        </w:rPr>
        <w:t>[RE 218.874, rel. min. Eros Grau, j. 7-11-2007, P, DJ de 1º-2-2008.]</w:t>
      </w:r>
    </w:p>
    <w:p>
      <w:pPr>
        <w:ind w:left="288"/>
      </w:pPr>
      <w:r>
        <w:rPr>
          <w:color w:val="8C8C8C"/>
          <w:sz w:val="12"/>
        </w:rPr>
        <w:t>cf-art-96-inc-II-ali-a</w:t>
      </w:r>
      <w:r>
        <w:rPr>
          <w:color w:val="003CA0"/>
          <w:sz w:val="12"/>
        </w:rPr>
        <w:t xml:space="preserve"> | RMS 22.875</w:t>
      </w:r>
      <w:r>
        <w:rPr>
          <w:color w:val="003CA0"/>
          <w:sz w:val="12"/>
        </w:rPr>
        <w:t xml:space="preserve"> | rel. Maurício Corrêa</w:t>
      </w:r>
    </w:p>
    <w:p>
      <w:pPr>
        <w:ind w:left="288"/>
      </w:pPr>
      <w:r>
        <w:rPr>
          <w:color w:val="1E1E1E"/>
          <w:sz w:val="18"/>
        </w:rPr>
        <w:t>Função pública exercida por servidores do STJ, em virtude do disposto no art. 61, § 1º, a, c/c o art. 96, II, b, da Carta Magna, deve ser instituída por lei de iniciativa do próprio Tribunal, sendo considerada inexistente aquela criada por ato administrativo. Em consequência, se as funções correlatas foram criadas por resolução do Tribunal, os servidores não fazem jus à gratificação de gabinete.</w:t>
      </w:r>
    </w:p>
    <w:p>
      <w:pPr>
        <w:ind w:left="288"/>
      </w:pPr>
      <w:r>
        <w:rPr>
          <w:b/>
          <w:color w:val="003CA0"/>
          <w:sz w:val="16"/>
        </w:rPr>
        <w:t>[RMS 22.875, rel. min. Maurício Corrêa, j. 30-6-1998, 2ª T, DJ de 11-9-1998.]</w:t>
      </w:r>
    </w:p>
    <w:p>
      <w:pPr>
        <w:ind w:left="288"/>
      </w:pPr>
      <w:r>
        <w:rPr>
          <w:color w:val="8C8C8C"/>
          <w:sz w:val="12"/>
        </w:rPr>
        <w:t>cf-art-96-inc-II-ali-a</w:t>
      </w:r>
      <w:r>
        <w:rPr>
          <w:color w:val="003CA0"/>
          <w:sz w:val="12"/>
        </w:rPr>
        <w:t xml:space="preserve"> | ADI 1.776</w:t>
      </w:r>
      <w:r>
        <w:rPr>
          <w:color w:val="003CA0"/>
          <w:sz w:val="12"/>
        </w:rPr>
        <w:t xml:space="preserve"> | rel. Dias Toffoli</w:t>
      </w:r>
    </w:p>
    <w:p>
      <w:pPr>
        <w:ind w:left="288"/>
      </w:pPr>
      <w:r>
        <w:rPr>
          <w:color w:val="1E1E1E"/>
          <w:sz w:val="18"/>
        </w:rPr>
        <w:t>= ADI 1.776, rel. min. Dias Toffoli, j. 4-9-2014, P, DJE de 8-10-2014</w:t>
      </w:r>
    </w:p>
    <w:p>
      <w:pPr>
        <w:ind w:left="144"/>
      </w:pPr>
      <w:r>
        <w:rPr>
          <w:b/>
          <w:color w:val="B45A00"/>
          <w:sz w:val="16"/>
        </w:rPr>
        <w:t>CONTROLE CONCENTRADO</w:t>
      </w:r>
    </w:p>
    <w:p>
      <w:pPr>
        <w:ind w:left="288"/>
      </w:pPr>
      <w:r>
        <w:rPr>
          <w:color w:val="8C8C8C"/>
          <w:sz w:val="12"/>
        </w:rPr>
        <w:t>cf-art-96-inc-II-ali-c</w:t>
      </w:r>
      <w:r>
        <w:rPr>
          <w:color w:val="003CA0"/>
          <w:sz w:val="12"/>
        </w:rPr>
        <w:t xml:space="preserve"> | ADI 2.011</w:t>
      </w:r>
      <w:r>
        <w:rPr>
          <w:color w:val="003CA0"/>
          <w:sz w:val="12"/>
        </w:rPr>
        <w:t xml:space="preserve"> | rel. Ilmar Galvão</w:t>
      </w:r>
    </w:p>
    <w:p>
      <w:pPr>
        <w:ind w:left="288"/>
      </w:pPr>
      <w:r>
        <w:rPr>
          <w:color w:val="1E1E1E"/>
          <w:sz w:val="18"/>
        </w:rPr>
        <w:t>A CF reservou aos tribunais de justiça a iniciativa legislativa relacionada à auto-organização da magistratura, não restando ao constituinte ou ao legislador estadual senão reproduzir os respectivos textos na Carta estadual, sem qualquer margem para obviar a exigência da Carta Federal.</w:t>
      </w:r>
    </w:p>
    <w:p>
      <w:pPr>
        <w:ind w:left="288"/>
      </w:pPr>
      <w:r>
        <w:rPr>
          <w:b/>
          <w:color w:val="003CA0"/>
          <w:sz w:val="16"/>
        </w:rPr>
        <w:t>[ADI 2.011 MC, rel. min. Ilmar Galvão, j. 30-6-1999, P, DJ de 4-4-2003.]</w:t>
      </w:r>
    </w:p>
    <w:p>
      <w:pPr>
        <w:ind w:left="288"/>
      </w:pPr>
      <w:r>
        <w:rPr>
          <w:color w:val="8C8C8C"/>
          <w:sz w:val="12"/>
        </w:rPr>
        <w:t>cf-art-96-inc-II-ali-d</w:t>
      </w:r>
      <w:r>
        <w:rPr>
          <w:color w:val="003CA0"/>
          <w:sz w:val="12"/>
        </w:rPr>
        <w:t xml:space="preserve"> | ADI 5.681</w:t>
      </w:r>
      <w:r>
        <w:rPr>
          <w:color w:val="003CA0"/>
          <w:sz w:val="12"/>
        </w:rPr>
        <w:t xml:space="preserve"> | rel. Cármen Lúcia</w:t>
      </w:r>
    </w:p>
    <w:p>
      <w:pPr>
        <w:ind w:left="288"/>
      </w:pPr>
      <w:r>
        <w:rPr>
          <w:color w:val="1E1E1E"/>
          <w:sz w:val="18"/>
        </w:rPr>
        <w:t>Ação direta de inconstitucionalidade. Resolução n. 14/2008 do Tribunal de Justiça do Espírito Santo. Desanexação de serventias extrajudiciais por resolução do tribunal de justiça. Descumprimento da exigência constitucional de lei formal. Disciplina sobre organização judiciária. Al d do inc. II do art. 96 e § 1º do art. 125 da constituição da república. Ação julgada procedente. Modulação dos efeitos do julgado.</w:t>
      </w:r>
    </w:p>
    <w:p>
      <w:pPr>
        <w:ind w:left="288"/>
      </w:pPr>
      <w:r>
        <w:rPr>
          <w:b/>
          <w:color w:val="003CA0"/>
          <w:sz w:val="16"/>
        </w:rPr>
        <w:t>[ADI 5.681, rel.  min. Cármen Lúcia, j. 23-11-2020, P, DJE de 3-12-2020.]</w:t>
      </w:r>
    </w:p>
    <w:p>
      <w:pPr>
        <w:ind w:left="288"/>
      </w:pPr>
      <w:r>
        <w:rPr>
          <w:color w:val="8C8C8C"/>
          <w:sz w:val="12"/>
        </w:rPr>
        <w:t>cf-art-96-inc-II-ali-d</w:t>
      </w:r>
      <w:r>
        <w:rPr>
          <w:color w:val="003CA0"/>
          <w:sz w:val="12"/>
        </w:rPr>
        <w:t xml:space="preserve"> | ADI 3.915</w:t>
      </w:r>
      <w:r>
        <w:rPr>
          <w:color w:val="003CA0"/>
          <w:sz w:val="12"/>
        </w:rPr>
        <w:t xml:space="preserve"> | rel. Alexandre de Moraes</w:t>
      </w:r>
    </w:p>
    <w:p>
      <w:pPr>
        <w:ind w:left="288"/>
      </w:pPr>
      <w:r>
        <w:rPr>
          <w:color w:val="1E1E1E"/>
          <w:sz w:val="18"/>
        </w:rPr>
        <w:t>É inválida a inclusão de norma com conteúdo próprio à disciplina dos regimentos internos dos tribunais, por emenda parlamentar, ao projeto de lei apresentado pelo tribunal de justiça com o propósito de dispor sobre a organização judiciária do Estado, uma vez que violada a reserva de iniciativa disposta no art. 96, II, d, da CF, prevalecendo a previsão do Regimento Interno que comete aos órgãos fracionários do tribunal (câmaras criminais) a competência para julgamento dos prefeitos.</w:t>
      </w:r>
    </w:p>
    <w:p>
      <w:pPr>
        <w:ind w:left="288"/>
      </w:pPr>
      <w:r>
        <w:rPr>
          <w:b/>
          <w:color w:val="003CA0"/>
          <w:sz w:val="16"/>
        </w:rPr>
        <w:t>[ADI 3.915, rel. min. Alexandre de Moraes, j. 20-6-2018, P, DJE de 28-6-2018.]</w:t>
      </w:r>
    </w:p>
    <w:p>
      <w:pPr>
        <w:ind w:left="288"/>
      </w:pPr>
      <w:r>
        <w:rPr>
          <w:color w:val="8C8C8C"/>
          <w:sz w:val="12"/>
        </w:rPr>
        <w:t>cf-art-96-inc-II-ali-d</w:t>
      </w:r>
      <w:r>
        <w:rPr>
          <w:color w:val="003CA0"/>
          <w:sz w:val="12"/>
        </w:rPr>
        <w:t xml:space="preserve"> | ADI 4.140</w:t>
      </w:r>
      <w:r>
        <w:rPr>
          <w:color w:val="003CA0"/>
          <w:sz w:val="12"/>
        </w:rPr>
        <w:t xml:space="preserve"> | rel. Ellen Gracie</w:t>
      </w:r>
    </w:p>
    <w:p>
      <w:pPr>
        <w:ind w:left="288"/>
      </w:pPr>
      <w:r>
        <w:rPr>
          <w:color w:val="1E1E1E"/>
          <w:sz w:val="18"/>
        </w:rPr>
        <w:t>A despeito da manutenção do número absoluto de cartórios existentes nas comarcas envolvidas, todos previamente criados por lei estadual, a recombinação de serviços notariais e de registro levada a efeito pela Resolução 2/2008 do Conselho Superior da Magistratura do Estado de Goiás importou não só em novas e excessivas acumulações, como também na multiplicação de determinados serviços extrajudiciais e no inequívoco surgimento de serventias até então inexistentes. A substancial modificação da organização judiciária do Estado de Goiás sem a respectiva edição da legislação estadual pertinente viol</w:t>
      </w:r>
    </w:p>
    <w:p>
      <w:pPr>
        <w:ind w:left="288"/>
      </w:pPr>
      <w:r>
        <w:rPr>
          <w:b/>
          <w:color w:val="003CA0"/>
          <w:sz w:val="16"/>
        </w:rPr>
        <w:t>[ADI 4.140, rel. min. Ellen Gracie, j. 29-6-2011, P, DJE de 20-9-2011.]</w:t>
      </w:r>
    </w:p>
    <w:p>
      <w:pPr>
        <w:ind w:left="288"/>
      </w:pPr>
      <w:r>
        <w:rPr>
          <w:color w:val="8C8C8C"/>
          <w:sz w:val="12"/>
        </w:rPr>
        <w:t>cf-art-96-inc-II-ali-d</w:t>
      </w:r>
      <w:r>
        <w:rPr>
          <w:color w:val="003CA0"/>
          <w:sz w:val="12"/>
        </w:rPr>
        <w:t xml:space="preserve"> | ADI 1.935</w:t>
      </w:r>
      <w:r>
        <w:rPr>
          <w:color w:val="003CA0"/>
          <w:sz w:val="12"/>
        </w:rPr>
        <w:t xml:space="preserve"> | rel. Carlos Velloso</w:t>
      </w:r>
    </w:p>
    <w:p>
      <w:pPr>
        <w:ind w:left="288"/>
      </w:pPr>
      <w:r>
        <w:rPr>
          <w:color w:val="1E1E1E"/>
          <w:sz w:val="18"/>
        </w:rPr>
        <w:t>É pacífica a jurisprudência do STF no sentido de que as leis que disponham sobre serventias judiciais e extrajudiciais são de iniciativa privativa dos tribunais de justiça, a teor do que dispõem as alíneas b e d do inciso II do art. 96 da Constituição da República. Precedentes: ADI 1.935/RO, rel. min. Carlos Velloso, DJ de 4-10-2002; ADI 865 MC/MA, rel. min. Celso de Mello, DJ de 8-4-1994.</w:t>
      </w:r>
    </w:p>
    <w:p>
      <w:pPr>
        <w:ind w:left="288"/>
      </w:pPr>
      <w:r>
        <w:rPr>
          <w:b/>
          <w:color w:val="003CA0"/>
          <w:sz w:val="16"/>
        </w:rPr>
        <w:t>[ADI 3.773, rel. min. Menezes Direito, j. 4-3-2009, P, DJE de 4-9-2009.]</w:t>
      </w:r>
    </w:p>
    <w:p>
      <w:pPr>
        <w:ind w:left="288"/>
      </w:pPr>
      <w:r>
        <w:rPr>
          <w:color w:val="8C8C8C"/>
          <w:sz w:val="12"/>
        </w:rPr>
        <w:t>cf-art-96-inc-II-ali-d</w:t>
      </w:r>
      <w:r>
        <w:rPr>
          <w:color w:val="003CA0"/>
          <w:sz w:val="12"/>
        </w:rPr>
        <w:t xml:space="preserve"> | ADI 4.140</w:t>
      </w:r>
      <w:r>
        <w:rPr>
          <w:color w:val="003CA0"/>
          <w:sz w:val="12"/>
        </w:rPr>
        <w:t xml:space="preserve"> | rel. Ellen Gracie</w:t>
      </w:r>
    </w:p>
    <w:p>
      <w:pPr>
        <w:ind w:left="288"/>
      </w:pPr>
      <w:r>
        <w:rPr>
          <w:color w:val="1E1E1E"/>
          <w:sz w:val="18"/>
        </w:rPr>
        <w:t>= ADI 4.140, rel. min. Ellen Gracie, j. 29-6-2011, P, DJE de 20-9-2011 Iniciativa: embora não privativamente, compete ao tribunal de justiça deflagrar o processo de elaboração de leis que disponham sobre a instituição do selo de controle administrativo dos atos dos serviços notariais e de registro (alínea d do inciso II do art. 96 c/c o § 1º do art. 236 da Carta Federal).</w:t>
      </w:r>
    </w:p>
    <w:p>
      <w:pPr>
        <w:ind w:left="288"/>
      </w:pPr>
      <w:r>
        <w:rPr>
          <w:b/>
          <w:color w:val="003CA0"/>
          <w:sz w:val="16"/>
        </w:rPr>
        <w:t>[ADI 3.151, rel. min. Ayres Britto, j. 8-6-2005, 2ª T, DJ de 28-4-2006.]</w:t>
      </w:r>
    </w:p>
    <w:p>
      <w:pPr>
        <w:ind w:left="144"/>
      </w:pPr>
      <w:r>
        <w:rPr>
          <w:b/>
          <w:color w:val="B45A00"/>
          <w:sz w:val="16"/>
        </w:rPr>
        <w:t>JULGADOS CORRELATOS</w:t>
      </w:r>
    </w:p>
    <w:p>
      <w:pPr>
        <w:ind w:left="288"/>
      </w:pPr>
      <w:r>
        <w:rPr>
          <w:color w:val="8C8C8C"/>
          <w:sz w:val="12"/>
        </w:rPr>
        <w:t>cf-art-96-inc-II-ali-d</w:t>
      </w:r>
      <w:r>
        <w:rPr>
          <w:color w:val="003CA0"/>
          <w:sz w:val="12"/>
        </w:rPr>
        <w:t xml:space="preserve"> | HC 91.024</w:t>
      </w:r>
      <w:r>
        <w:rPr>
          <w:color w:val="003CA0"/>
          <w:sz w:val="12"/>
        </w:rPr>
        <w:t xml:space="preserve"> | rel. Ellen Gracie</w:t>
      </w:r>
    </w:p>
    <w:p>
      <w:pPr>
        <w:ind w:left="288"/>
      </w:pPr>
      <w:r>
        <w:rPr>
          <w:color w:val="1E1E1E"/>
          <w:sz w:val="18"/>
        </w:rPr>
        <w:t>O mérito envolve a interpretação da norma constitucional que atribui aos tribunais de justiça propor ao Poder Legislativo respectivo, em consonância com os limites orçamentários, a alteração da organização e divisão judiciárias (...). O Poder Judiciário tem competência para dispor sobre especialização de varas, porque é matéria que se insere no âmbito da organização judiciária dos tribunais. O tema referente à organização judiciária não se encontra restrito ao campo de incidência exclusiva da lei, eis que depende da integração dos critérios preestabelecidos na Constituição, nas leis e nos regi</w:t>
      </w:r>
    </w:p>
    <w:p>
      <w:pPr>
        <w:ind w:left="288"/>
      </w:pPr>
      <w:r>
        <w:rPr>
          <w:b/>
          <w:color w:val="003CA0"/>
          <w:sz w:val="16"/>
        </w:rPr>
        <w:t>[HC 91.024, rel. min. Ellen Gracie, j. 5-8-2008, 2ª T, DJE de 22-8-2008.]</w:t>
      </w:r>
    </w:p>
    <w:p>
      <w:pPr>
        <w:ind w:left="288"/>
      </w:pPr>
      <w:r>
        <w:rPr>
          <w:color w:val="8C8C8C"/>
          <w:sz w:val="12"/>
        </w:rPr>
        <w:t>cf-art-96-inc-II-ali-d</w:t>
      </w:r>
      <w:r>
        <w:rPr>
          <w:color w:val="003CA0"/>
          <w:sz w:val="12"/>
        </w:rPr>
        <w:t xml:space="preserve"> | RE 377.356</w:t>
      </w:r>
      <w:r>
        <w:rPr>
          <w:color w:val="003CA0"/>
          <w:sz w:val="12"/>
        </w:rPr>
        <w:t xml:space="preserve"> | rel. Cezar Peluso</w:t>
      </w:r>
    </w:p>
    <w:p>
      <w:pPr>
        <w:ind w:left="288"/>
      </w:pPr>
      <w:r>
        <w:rPr>
          <w:color w:val="1E1E1E"/>
          <w:sz w:val="18"/>
        </w:rPr>
        <w:t>III - aos Tribunais de Justiça julgar os juízes estaduais e do Distrito Federal e Territórios, bem como os membros do Ministério Público, nos crimes comuns e de responsabilidade, ressalvada a competência da Justiça Eleitoral. Não cabe a juízo da Justiça estadual, mas a TRF, conhecer de pedido de habeas corpus contra ato de membro do MPF.</w:t>
      </w:r>
    </w:p>
    <w:p>
      <w:pPr>
        <w:ind w:left="288"/>
      </w:pPr>
      <w:r>
        <w:rPr>
          <w:b/>
          <w:color w:val="003CA0"/>
          <w:sz w:val="16"/>
        </w:rPr>
        <w:t>[RE 377.356, rel. min. Cezar Peluso, j. 7-10-2008, 2ª T, DJE de 28-11-2008.]</w:t>
      </w:r>
    </w:p>
    <w:p>
      <w:pPr>
        <w:ind w:left="288"/>
      </w:pPr>
      <w:r>
        <w:rPr>
          <w:color w:val="8C8C8C"/>
          <w:sz w:val="12"/>
        </w:rPr>
        <w:t>cf-art-96-inc-II-ali-d</w:t>
      </w:r>
      <w:r>
        <w:rPr>
          <w:color w:val="003CA0"/>
          <w:sz w:val="12"/>
        </w:rPr>
        <w:t xml:space="preserve"> | HC 86.009</w:t>
      </w:r>
      <w:r>
        <w:rPr>
          <w:color w:val="003CA0"/>
          <w:sz w:val="12"/>
        </w:rPr>
        <w:t xml:space="preserve"> | rel. Ayres Britto</w:t>
      </w:r>
    </w:p>
    <w:p>
      <w:pPr>
        <w:ind w:left="288"/>
      </w:pPr>
      <w:r>
        <w:rPr>
          <w:color w:val="1E1E1E"/>
          <w:sz w:val="18"/>
        </w:rPr>
        <w:t>Tendo em vista que o STF, modificando sua jurisprudência, assentou a competência dos tribunais de justiça estaduais para julgar habeas corpus contra ato de turmas recursais dos juizados especiais, impõe-se a imediata remessa dos autos à respectiva corte local para reinício do julgamento da causa, ficando sem efeito os votos já proferidos. Mesmo tratando-se de alteração de competência por efeito de mutação constitucional (nova interpretação à CF), e não propriamente de alteração no texto da Lei Fundamental, o fato é que se tem, na espécie, hipótese de competência absoluta (em razão do grau de j</w:t>
      </w:r>
    </w:p>
    <w:p>
      <w:pPr>
        <w:ind w:left="288"/>
      </w:pPr>
      <w:r>
        <w:rPr>
          <w:b/>
          <w:color w:val="003CA0"/>
          <w:sz w:val="16"/>
        </w:rPr>
        <w:t>[HC 86.009 QO, rel. min. Ayres Britto, j. 29-8-2006, 1ª T, DJ de 27-4-2007.]</w:t>
      </w:r>
    </w:p>
    <w:p>
      <w:pPr>
        <w:ind w:left="288"/>
      </w:pPr>
      <w:r>
        <w:rPr>
          <w:color w:val="8C8C8C"/>
          <w:sz w:val="12"/>
        </w:rPr>
        <w:t>cf-art-96-inc-II-ali-d</w:t>
      </w:r>
      <w:r>
        <w:rPr>
          <w:color w:val="003CA0"/>
          <w:sz w:val="12"/>
        </w:rPr>
        <w:t xml:space="preserve"> | HC 86.834</w:t>
      </w:r>
      <w:r>
        <w:rPr>
          <w:color w:val="003CA0"/>
          <w:sz w:val="12"/>
        </w:rPr>
        <w:t xml:space="preserve"> | rel. Marco Aurélio</w:t>
      </w:r>
    </w:p>
    <w:p>
      <w:pPr>
        <w:ind w:left="288"/>
      </w:pPr>
      <w:r>
        <w:rPr>
          <w:color w:val="1E1E1E"/>
          <w:sz w:val="18"/>
        </w:rPr>
        <w:t>Competência. Habeas corpus. Definição. A competência para o julgamento do habeas corpus é definida pelos envolvidos – paciente e impetrante. Competência. Habeas corpus. Ato de turma recursal. Estando os integrantes das turmas recursais dos juizados especiais submetidos, nos crimes comuns e nos de responsabilidade, à jurisdição do Tribunal de Justiça ou do TRF, incumbe a cada qual, conforme o caso, julgar os habeas impetrados contra ato que tenham praticado. Competência. Habeas corpus. Liminar. Uma vez ocorrida a declinação da competência, cumpre preservar o quadro decisório decorrente do defer</w:t>
      </w:r>
    </w:p>
    <w:p>
      <w:pPr>
        <w:ind w:left="288"/>
      </w:pPr>
      <w:r>
        <w:rPr>
          <w:b/>
          <w:color w:val="003CA0"/>
          <w:sz w:val="16"/>
        </w:rPr>
        <w:t>[HC 86.834, rel. min. Marco Aurélio, j. 23-8-2006, P, DJ de 9-3-2007.]</w:t>
      </w:r>
    </w:p>
    <w:p>
      <w:pPr>
        <w:ind w:left="288"/>
      </w:pPr>
      <w:r>
        <w:rPr>
          <w:color w:val="8C8C8C"/>
          <w:sz w:val="12"/>
        </w:rPr>
        <w:t>cf-art-96-inc-II-ali-d</w:t>
      </w:r>
      <w:r>
        <w:rPr>
          <w:color w:val="003CA0"/>
          <w:sz w:val="12"/>
        </w:rPr>
        <w:t xml:space="preserve"> | HC 85.240</w:t>
      </w:r>
      <w:r>
        <w:rPr>
          <w:color w:val="003CA0"/>
          <w:sz w:val="12"/>
        </w:rPr>
        <w:t xml:space="preserve"> | rel. Ayres Britto</w:t>
      </w:r>
    </w:p>
    <w:p>
      <w:pPr>
        <w:ind w:left="288"/>
      </w:pPr>
      <w:r>
        <w:rPr>
          <w:color w:val="1E1E1E"/>
          <w:sz w:val="18"/>
        </w:rPr>
        <w:t>= HC 85.240, rel. min. Ayres Britto, j. 14-2-2008, P, DJE de 19-9-2008 Competência por prerrogativa de função do tribunal de justiça para julgar crime contra a honra de magistrado estadual em função eleitoral, praticado por juiz de direito (CF, art. 96, III). Firme a jurisprudência do Supremo Tribunal no sentido de que a única ressalva à competência por prerrogativa de função do tribunal de justiça para julgar juízes estaduais, nos crimes comuns e de responsabilidade, é a competência da Justiça Eleitoral: precedentes.</w:t>
      </w:r>
    </w:p>
    <w:p>
      <w:pPr>
        <w:ind w:left="288"/>
      </w:pPr>
      <w:r>
        <w:rPr>
          <w:b/>
          <w:color w:val="003CA0"/>
          <w:sz w:val="16"/>
        </w:rPr>
        <w:t>[RE 398.042, rel. min. Sepúlveda Pertence, j. 2-12-2003, 1ª T, DJ de 6-2-2004.]</w:t>
      </w:r>
    </w:p>
    <w:p>
      <w:pPr>
        <w:ind w:left="288"/>
      </w:pPr>
      <w:r>
        <w:rPr>
          <w:color w:val="8C8C8C"/>
          <w:sz w:val="12"/>
        </w:rPr>
        <w:t>cf-art-96-inc-II-ali-d</w:t>
      </w:r>
      <w:r>
        <w:rPr>
          <w:color w:val="003CA0"/>
          <w:sz w:val="12"/>
        </w:rPr>
        <w:t xml:space="preserve"> | HC 77.558</w:t>
      </w:r>
      <w:r>
        <w:rPr>
          <w:color w:val="003CA0"/>
          <w:sz w:val="12"/>
        </w:rPr>
        <w:t xml:space="preserve"> | rel. Carlos Velloso</w:t>
      </w:r>
    </w:p>
    <w:p>
      <w:pPr>
        <w:ind w:left="288"/>
      </w:pPr>
      <w:r>
        <w:rPr>
          <w:color w:val="1E1E1E"/>
          <w:sz w:val="18"/>
        </w:rPr>
        <w:t>Nos termos do art. 96, III, da Constituição, compete aos tribunais de justiça julgar os juízes estaduais, mesmo quando acusados de crimes de competência da Justiça Federal.</w:t>
      </w:r>
    </w:p>
    <w:p>
      <w:pPr>
        <w:ind w:left="288"/>
      </w:pPr>
      <w:r>
        <w:rPr>
          <w:b/>
          <w:color w:val="003CA0"/>
          <w:sz w:val="16"/>
        </w:rPr>
        <w:t>[HC 77.558, rel. min. Carlos Velloso, j. 16-3-1999, 2ª T, DJ de 7-5-1999.]</w:t>
      </w:r>
    </w:p>
    <w:p>
      <w:pPr>
        <w:ind w:left="288"/>
      </w:pPr>
      <w:r>
        <w:rPr>
          <w:color w:val="8C8C8C"/>
          <w:sz w:val="12"/>
        </w:rPr>
        <w:t>cf-art-96-inc-II-ali-d</w:t>
      </w:r>
      <w:r>
        <w:rPr>
          <w:color w:val="003CA0"/>
          <w:sz w:val="12"/>
        </w:rPr>
        <w:t xml:space="preserve"> | RE 141.209</w:t>
      </w:r>
      <w:r>
        <w:rPr>
          <w:color w:val="003CA0"/>
          <w:sz w:val="12"/>
        </w:rPr>
        <w:t xml:space="preserve"> | rel. Sepúlveda Pertence</w:t>
      </w:r>
    </w:p>
    <w:p>
      <w:pPr>
        <w:ind w:left="288"/>
      </w:pPr>
      <w:r>
        <w:rPr>
          <w:color w:val="1E1E1E"/>
          <w:sz w:val="18"/>
        </w:rPr>
        <w:t>Não é exaustivo o rol dos casos de habeas corpus de competência originária dos tribunais de justiça, constante do art. 650 do CPP, porque a competência originária por prerrogativa de função, dita ratione personae ou ratione muneris, quando conferida pela Constituição da República ou por lei federal, na órbita da jurisdição dos Estados, impõe-se como mínimo a ser observado pelo ordenamento local: a este, no entanto, é que incumbe, respeitado o raio mínimo imposto pela ordem central, fixar-lhe a área total.</w:t>
      </w:r>
    </w:p>
    <w:p>
      <w:pPr>
        <w:ind w:left="288"/>
      </w:pPr>
      <w:r>
        <w:rPr>
          <w:b/>
          <w:color w:val="003CA0"/>
          <w:sz w:val="16"/>
        </w:rPr>
        <w:t>[RE 141.209, rel. min. Sepúlveda Pertence, j. 4-2-1992, 1ª T, DJ de 20-3-1992.]</w:t>
      </w:r>
    </w:p>
    <w:p>
      <w:pPr>
        <w:ind w:left="720"/>
      </w:pPr>
      <w:r>
        <w:rPr>
          <w:color w:val="003366"/>
          <w:sz w:val="18"/>
        </w:rPr>
        <w:t>I – aos tribunais:</w:t>
      </w:r>
    </w:p>
    <w:p>
      <w:pPr>
        <w:ind w:left="1008"/>
      </w:pPr>
      <w:r>
        <w:rPr>
          <w:color w:val="003366"/>
          <w:sz w:val="18"/>
        </w:rPr>
        <w:t>a) eleger seus órgãos diretivos e elaborar seus regimentos internos, com observâ</w:t>
      </w:r>
    </w:p>
    <w:p>
      <w:pPr>
        <w:ind w:left="1008"/>
      </w:pPr>
      <w:r>
        <w:rPr>
          <w:color w:val="003366"/>
          <w:sz w:val="18"/>
        </w:rPr>
        <w:t>b) organizar suas secretarias e serviços auxiliares e os dos juízos que lhes for</w:t>
      </w:r>
    </w:p>
    <w:p>
      <w:pPr>
        <w:ind w:left="1008"/>
      </w:pPr>
      <w:r>
        <w:rPr>
          <w:color w:val="003366"/>
          <w:sz w:val="18"/>
        </w:rPr>
        <w:t>c) prover, na forma prevista nesta Constituição, os cargos de juiz de carreira d</w:t>
      </w:r>
    </w:p>
    <w:p>
      <w:pPr>
        <w:ind w:left="1008"/>
      </w:pPr>
      <w:r>
        <w:rPr>
          <w:color w:val="003366"/>
          <w:sz w:val="18"/>
        </w:rPr>
        <w:t>d) propor a criação de novas varas judiciárias;</w:t>
      </w:r>
    </w:p>
    <w:p>
      <w:pPr>
        <w:ind w:left="1008"/>
      </w:pPr>
      <w:r>
        <w:rPr>
          <w:color w:val="003366"/>
          <w:sz w:val="18"/>
        </w:rPr>
        <w:t>e) prover, por concurso público de provas, ou de provas e títulos, obedecido o d</w:t>
      </w:r>
    </w:p>
    <w:p>
      <w:pPr>
        <w:ind w:left="1008"/>
      </w:pPr>
      <w:r>
        <w:rPr>
          <w:color w:val="003366"/>
          <w:sz w:val="18"/>
        </w:rPr>
        <w:t xml:space="preserve">f) conceder licença, férias e outros afastamentos a seus membros e aos juízes e </w:t>
      </w:r>
    </w:p>
    <w:p>
      <w:pPr>
        <w:ind w:left="720"/>
      </w:pPr>
      <w:r>
        <w:rPr>
          <w:color w:val="003366"/>
          <w:sz w:val="18"/>
        </w:rPr>
        <w:t>II – ao Supremo Tribunal Federal, aos Tribunais Superiores e aos Tribunais de Ju</w:t>
      </w:r>
    </w:p>
    <w:p>
      <w:pPr>
        <w:ind w:left="1008"/>
      </w:pPr>
      <w:r>
        <w:rPr>
          <w:color w:val="003366"/>
          <w:sz w:val="18"/>
        </w:rPr>
        <w:t>a) a alteração do número de membros dos tribunais inferiores;</w:t>
      </w:r>
    </w:p>
    <w:p>
      <w:pPr>
        <w:ind w:left="1008"/>
      </w:pPr>
      <w:r>
        <w:rPr>
          <w:color w:val="003366"/>
          <w:sz w:val="18"/>
        </w:rPr>
        <w:t>b) a criação e a extinção de cargos e a remuneração dos seus serviços auxiliares</w:t>
      </w:r>
    </w:p>
    <w:p>
      <w:pPr>
        <w:ind w:left="1008"/>
      </w:pPr>
      <w:r>
        <w:rPr>
          <w:color w:val="003366"/>
          <w:sz w:val="18"/>
        </w:rPr>
        <w:t>c) a criação ou extinção dos tribunais inferiores;</w:t>
      </w:r>
    </w:p>
    <w:p>
      <w:pPr>
        <w:ind w:left="1008"/>
      </w:pPr>
      <w:r>
        <w:rPr>
          <w:color w:val="003366"/>
          <w:sz w:val="18"/>
        </w:rPr>
        <w:t>d) a alteração da organização e da divisão judiciárias;</w:t>
      </w:r>
    </w:p>
    <w:p>
      <w:pPr>
        <w:ind w:left="720"/>
      </w:pPr>
      <w:r>
        <w:rPr>
          <w:color w:val="003366"/>
          <w:sz w:val="18"/>
        </w:rPr>
        <w:t xml:space="preserve">III – aos Tribunais de Justiça julgar os juízes estaduais e do Distrito Federal </w:t>
      </w:r>
    </w:p>
    <w:p>
      <w:r>
        <w:rPr>
          <w:b/>
          <w:color w:val="003366"/>
          <w:sz w:val="20"/>
        </w:rPr>
        <w:t xml:space="preserve">Art. 97 Somente pelo voto da maioria absoluta de seus membros ou dos membros do </w:t>
      </w:r>
      <w:r>
        <w:rPr>
          <w:color w:val="8C8C8C"/>
          <w:sz w:val="14"/>
        </w:rPr>
        <w:t xml:space="preserve">  [29 decisoes]</w:t>
      </w:r>
    </w:p>
    <w:p>
      <w:pPr>
        <w:ind w:left="144"/>
      </w:pPr>
      <w:r>
        <w:rPr>
          <w:b/>
          <w:color w:val="B45A00"/>
          <w:sz w:val="16"/>
        </w:rPr>
        <w:t>SUMULA VINCULANTE</w:t>
      </w:r>
    </w:p>
    <w:p>
      <w:pPr>
        <w:ind w:left="288"/>
      </w:pPr>
      <w:r>
        <w:rPr>
          <w:color w:val="8C8C8C"/>
          <w:sz w:val="12"/>
        </w:rPr>
        <w:t>cf-art-97</w:t>
      </w:r>
    </w:p>
    <w:p>
      <w:pPr>
        <w:ind w:left="288"/>
      </w:pPr>
      <w:r>
        <w:rPr>
          <w:color w:val="1E1E1E"/>
          <w:sz w:val="18"/>
        </w:rPr>
        <w:t>Viola a cláusula de reserva de plenário (CF, art. 97) a decisão de órgão fracionário de tribunal que, embora não declare expressamente a inconstitucionalidade de lei ou ato normativo do poder público, afasta sua incidência, no todo ou em parte.</w:t>
      </w:r>
    </w:p>
    <w:p>
      <w:pPr>
        <w:ind w:left="288"/>
      </w:pPr>
      <w:r>
        <w:rPr>
          <w:b/>
          <w:color w:val="003CA0"/>
          <w:sz w:val="16"/>
        </w:rPr>
        <w:t>[Súmula Vinculante 10.]</w:t>
      </w:r>
    </w:p>
    <w:p>
      <w:pPr>
        <w:ind w:left="288"/>
      </w:pPr>
      <w:r>
        <w:rPr>
          <w:color w:val="8C8C8C"/>
          <w:sz w:val="12"/>
        </w:rPr>
        <w:t>cf-art-97</w:t>
      </w:r>
      <w:r>
        <w:rPr>
          <w:color w:val="003CA0"/>
          <w:sz w:val="12"/>
        </w:rPr>
        <w:t xml:space="preserve"> | ADPF 1.174</w:t>
      </w:r>
      <w:r>
        <w:rPr>
          <w:color w:val="003CA0"/>
          <w:sz w:val="12"/>
        </w:rPr>
        <w:t xml:space="preserve"> | rel. Alexandre de Moraes</w:t>
      </w:r>
    </w:p>
    <w:p>
      <w:pPr>
        <w:ind w:left="288"/>
      </w:pPr>
      <w:r>
        <w:rPr>
          <w:color w:val="1E1E1E"/>
          <w:sz w:val="18"/>
        </w:rPr>
        <w:t>A ausência de órgão especial, no âmbito dos Juizados, não pode acarretar a possibilidade de que cada Turma Recursal decida sobre a aplicabilidade de legislação local, ou mesmo sobre sua constitucionalidade, sem a concorrência de mecanismos de uniformização de jurisprudência, que garantam a igualdade e uniformidade na aplicação da lei.</w:t>
      </w:r>
    </w:p>
    <w:p>
      <w:pPr>
        <w:ind w:left="288"/>
      </w:pPr>
      <w:r>
        <w:rPr>
          <w:b/>
          <w:color w:val="003CA0"/>
          <w:sz w:val="16"/>
        </w:rPr>
        <w:t>[ADPF 1.174 MC-REF, rel. min. Alexandre de Moraes, j. 17.03.2025, P, DJE de 21.03.2025.]</w:t>
      </w:r>
    </w:p>
    <w:p>
      <w:pPr>
        <w:ind w:left="144"/>
      </w:pPr>
      <w:r>
        <w:rPr>
          <w:b/>
          <w:color w:val="B45A00"/>
          <w:sz w:val="16"/>
        </w:rPr>
        <w:t>CONTROLE CONCENTRADO</w:t>
      </w:r>
    </w:p>
    <w:p>
      <w:pPr>
        <w:ind w:left="288"/>
      </w:pPr>
      <w:r>
        <w:rPr>
          <w:color w:val="8C8C8C"/>
          <w:sz w:val="12"/>
        </w:rPr>
        <w:t>cf-art-97</w:t>
      </w:r>
      <w:r>
        <w:rPr>
          <w:color w:val="003CA0"/>
          <w:sz w:val="12"/>
        </w:rPr>
        <w:t xml:space="preserve"> | ADI 4.066</w:t>
      </w:r>
      <w:r>
        <w:rPr>
          <w:color w:val="003CA0"/>
          <w:sz w:val="12"/>
        </w:rPr>
        <w:t xml:space="preserve"> | rel. Rosa Weber</w:t>
      </w:r>
    </w:p>
    <w:p>
      <w:pPr>
        <w:ind w:left="288"/>
      </w:pPr>
      <w:r>
        <w:rPr>
          <w:color w:val="1E1E1E"/>
          <w:sz w:val="18"/>
        </w:rPr>
        <w:t>Quórum de julgamento constituído por nove ministros, considerados os impedimentos. Cinco votos pela procedência da ação direta, a fim de declarar a inconstitucionalidade, por proteção deficiente, da tolerância ao uso do amianto crisotila, da forma como encartada no art. 2º da Lei 9.055/1995, em face dos arts. 7º, XXII, 196 e 225 da Constituição da República. Quatro votos pela improcedência. Não atingido o quórum de seis votos (art. 23 da Lei 9.868/1999), maioria absoluta (art. 97 da Constituição da República), para proclamação da constitucionalidade ou inconstitucionalidade do dispositivo impu</w:t>
      </w:r>
    </w:p>
    <w:p>
      <w:pPr>
        <w:ind w:left="288"/>
      </w:pPr>
      <w:r>
        <w:rPr>
          <w:b/>
          <w:color w:val="003CA0"/>
          <w:sz w:val="16"/>
        </w:rPr>
        <w:t>[ARE 791.932, rel. min. Alexandre de Moraes, j. 11-10-2018, P, DJE de 6-3-2019, Tema 739, com mérito julgado.]</w:t>
      </w:r>
    </w:p>
    <w:p>
      <w:pPr>
        <w:ind w:left="288"/>
      </w:pPr>
      <w:r>
        <w:rPr>
          <w:color w:val="8C8C8C"/>
          <w:sz w:val="12"/>
        </w:rPr>
        <w:t>cf-art-97</w:t>
      </w:r>
      <w:r>
        <w:rPr>
          <w:color w:val="003CA0"/>
          <w:sz w:val="12"/>
        </w:rPr>
        <w:t xml:space="preserve"> | ARE 914.045</w:t>
      </w:r>
      <w:r>
        <w:rPr>
          <w:color w:val="003CA0"/>
          <w:sz w:val="12"/>
        </w:rPr>
        <w:t xml:space="preserve"> | rel. Edson Fachin</w:t>
      </w:r>
    </w:p>
    <w:p>
      <w:pPr>
        <w:ind w:left="288"/>
      </w:pPr>
      <w:r>
        <w:rPr>
          <w:color w:val="1E1E1E"/>
          <w:sz w:val="18"/>
        </w:rPr>
        <w:t>A jurisprudência pacífica desta Corte, agora reafirmada em sede de repercussão geral, entende que é desnecessária a submissão de demanda judicial à regra da reserva de plenário na hipótese em que a decisão judicial estiver fundada em jurisprudência do Plenário do STF ou em súmula deste Tribunal, nos termos dos arts. 97 da CF e 481, parágrafo único, do CPC.</w:t>
      </w:r>
    </w:p>
    <w:p>
      <w:pPr>
        <w:ind w:left="288"/>
      </w:pPr>
      <w:r>
        <w:rPr>
          <w:b/>
          <w:color w:val="003CA0"/>
          <w:sz w:val="16"/>
        </w:rPr>
        <w:t>[ARE 914.045 RG, rel. min. Edson Fachin, j. 15-10-2015, P, DJE de 19-11-2015, Tema 856, com mérito julgado.]</w:t>
      </w:r>
    </w:p>
    <w:p>
      <w:pPr>
        <w:ind w:left="288"/>
      </w:pPr>
      <w:r>
        <w:rPr>
          <w:color w:val="8C8C8C"/>
          <w:sz w:val="12"/>
        </w:rPr>
        <w:t>cf-art-97</w:t>
      </w:r>
      <w:r>
        <w:rPr>
          <w:color w:val="003CA0"/>
          <w:sz w:val="12"/>
        </w:rPr>
        <w:t xml:space="preserve"> | RE 580.108</w:t>
      </w:r>
      <w:r>
        <w:rPr>
          <w:color w:val="003CA0"/>
          <w:sz w:val="12"/>
        </w:rPr>
        <w:t xml:space="preserve"> | rel. Ellen Gracie</w:t>
      </w:r>
    </w:p>
    <w:p>
      <w:pPr>
        <w:ind w:left="288"/>
      </w:pPr>
      <w:r>
        <w:rPr>
          <w:color w:val="1E1E1E"/>
          <w:sz w:val="18"/>
        </w:rPr>
        <w:t>Afastamento, pelos órgãos judiciários a quo, de lei ou ato normativo do poder público sem a expressa declaração de inconstitucionalidade. Ofensa à cláusula de reserva de plenário (CF, art. 97).</w:t>
        <w:br/>
        <w:t xml:space="preserve">[RE 580.108 QO-RG, rel. min. Ellen Gracie, j. 11-6-2008, P, DJE de 19-12-2008, Tema 93, com mérito julgado.] (...) a controvérsia relativa à existência, no caso, de termo de compromisso firmado e homologado no juizado especial, fundamento utilizado pelo STJ, com apoio no princípio tempus regit actum, para afastar a aplicabilidade retroativa do novo Código Florestal. Para caracterizar afronta à cláusula </w:t>
      </w:r>
    </w:p>
    <w:p>
      <w:pPr>
        <w:ind w:left="288"/>
      </w:pPr>
      <w:r>
        <w:rPr>
          <w:b/>
          <w:color w:val="003CA0"/>
          <w:sz w:val="16"/>
        </w:rPr>
        <w:t>[ARE 1.287.076 AgR, rel. min. Edson Fachin, j. 20.6.2023, P, DJE de 24.8.2023.]</w:t>
      </w:r>
    </w:p>
    <w:p>
      <w:pPr>
        <w:ind w:left="288"/>
      </w:pPr>
      <w:r>
        <w:rPr>
          <w:color w:val="8C8C8C"/>
          <w:sz w:val="12"/>
        </w:rPr>
        <w:t>cf-art-97</w:t>
      </w:r>
      <w:r>
        <w:rPr>
          <w:color w:val="003CA0"/>
          <w:sz w:val="12"/>
        </w:rPr>
        <w:t xml:space="preserve"> | RCL 18.165</w:t>
      </w:r>
      <w:r>
        <w:rPr>
          <w:color w:val="003CA0"/>
          <w:sz w:val="12"/>
        </w:rPr>
        <w:t xml:space="preserve"> | rel. Teori Zavascki</w:t>
      </w:r>
    </w:p>
    <w:p>
      <w:pPr>
        <w:ind w:left="288"/>
      </w:pPr>
      <w:r>
        <w:rPr>
          <w:color w:val="1E1E1E"/>
          <w:sz w:val="18"/>
        </w:rPr>
        <w:t>O princípio da reserva de plenário previsto no art. 97 da Constituição (e a que se refere a Súmula Vinculante 10) diz respeito à declaração de "inconstitucionalidade de lei ou ato normativo do poder público". Atos normativos têm como características essenciais a abstração, a generalidade e a impessoalidade dos comandos neles contidos. São, portanto, expedidos sem destinatários determinados e com finalidade normativa, alcançando todos os sujeitos que se encontram na mesma situação de fato abrangida por seus preceitos. O decreto legislativo que estabelece a suspensão do andamento de uma certa aç</w:t>
      </w:r>
    </w:p>
    <w:p>
      <w:pPr>
        <w:ind w:left="288"/>
      </w:pPr>
      <w:r>
        <w:rPr>
          <w:b/>
          <w:color w:val="003CA0"/>
          <w:sz w:val="16"/>
        </w:rPr>
        <w:t>[Rcl 12.275 AgR, rel. min. Ricardo Lewandowski, j. 22-5-2014, P, DJE de 18-6-2014.]</w:t>
      </w:r>
    </w:p>
    <w:p>
      <w:pPr>
        <w:ind w:left="288"/>
      </w:pPr>
      <w:r>
        <w:rPr>
          <w:color w:val="8C8C8C"/>
          <w:sz w:val="12"/>
        </w:rPr>
        <w:t>cf-art-97</w:t>
      </w:r>
      <w:r>
        <w:rPr>
          <w:color w:val="003CA0"/>
          <w:sz w:val="12"/>
        </w:rPr>
        <w:t xml:space="preserve"> | ARE 792.562</w:t>
      </w:r>
      <w:r>
        <w:rPr>
          <w:color w:val="003CA0"/>
          <w:sz w:val="12"/>
        </w:rPr>
        <w:t xml:space="preserve"> | rel. Teori Zavascki</w:t>
      </w:r>
    </w:p>
    <w:p>
      <w:pPr>
        <w:ind w:left="288"/>
      </w:pPr>
      <w:r>
        <w:rPr>
          <w:color w:val="1E1E1E"/>
          <w:sz w:val="18"/>
        </w:rPr>
        <w:t>O art. 97 da Constituição, ao subordinar o reconhecimento da inconstitucionalidade de preceito normativo a decisão nesse sentido da "maioria absoluta de seus membros ou dos membros dos respectivos órgãos especiais", está se dirigindo aos tribunais indicados no art. 92 e aos respectivos órgãos especiais de que trata o art. 93, XI. A referência, portanto, não atinge juizados de pequenas causas (art. 24, X) e juizados especiais (art. 98, I), os quais, pela configuração atribuída pelo legislador, não funcionam, na esfera recursal, sob regime de plenário ou de órgão especial.</w:t>
      </w:r>
    </w:p>
    <w:p>
      <w:pPr>
        <w:ind w:left="288"/>
      </w:pPr>
      <w:r>
        <w:rPr>
          <w:b/>
          <w:color w:val="003CA0"/>
          <w:sz w:val="16"/>
        </w:rPr>
        <w:t>[ARE 792.562 AgR, rel. min. Teori Zavascki, j. 18-3-2014, 2ª T, DJE de 2-4-2014.]</w:t>
      </w:r>
    </w:p>
    <w:p>
      <w:pPr>
        <w:ind w:left="288"/>
      </w:pPr>
      <w:r>
        <w:rPr>
          <w:color w:val="8C8C8C"/>
          <w:sz w:val="12"/>
        </w:rPr>
        <w:t>cf-art-97</w:t>
      </w:r>
      <w:r>
        <w:rPr>
          <w:color w:val="003CA0"/>
          <w:sz w:val="12"/>
        </w:rPr>
        <w:t xml:space="preserve"> | RCL 10.865</w:t>
      </w:r>
      <w:r>
        <w:rPr>
          <w:color w:val="003CA0"/>
          <w:sz w:val="12"/>
        </w:rPr>
        <w:t xml:space="preserve"> | rel. Marco Aurélio</w:t>
      </w:r>
    </w:p>
    <w:p>
      <w:pPr>
        <w:ind w:left="288"/>
      </w:pPr>
      <w:r>
        <w:rPr>
          <w:color w:val="1E1E1E"/>
          <w:sz w:val="18"/>
        </w:rPr>
        <w:t>O verbete vinculante 10 da Súmula do Supremo não alcança situações jurídicas em que o órgão julgador tenha dirimido conflito de interesses a partir de interpretação de norma legal.</w:t>
      </w:r>
    </w:p>
    <w:p>
      <w:pPr>
        <w:ind w:left="288"/>
      </w:pPr>
      <w:r>
        <w:rPr>
          <w:b/>
          <w:color w:val="003CA0"/>
          <w:sz w:val="16"/>
        </w:rPr>
        <w:t>[Rcl 10.865 AgR, rel. min. Marco Aurélio, j. 27-2-2014, P, DJE de 31-3-2014.]</w:t>
      </w:r>
    </w:p>
    <w:p>
      <w:pPr>
        <w:ind w:left="288"/>
      </w:pPr>
      <w:r>
        <w:rPr>
          <w:color w:val="8C8C8C"/>
          <w:sz w:val="12"/>
        </w:rPr>
        <w:t>cf-art-97</w:t>
      </w:r>
      <w:r>
        <w:rPr>
          <w:color w:val="003CA0"/>
          <w:sz w:val="12"/>
        </w:rPr>
        <w:t xml:space="preserve"> | RCL 10.114</w:t>
      </w:r>
      <w:r>
        <w:rPr>
          <w:color w:val="003CA0"/>
          <w:sz w:val="12"/>
        </w:rPr>
        <w:t xml:space="preserve"> | rel. Teori Zavascki</w:t>
      </w:r>
    </w:p>
    <w:p>
      <w:pPr>
        <w:ind w:left="288"/>
      </w:pPr>
      <w:r>
        <w:rPr>
          <w:color w:val="1E1E1E"/>
          <w:sz w:val="18"/>
        </w:rPr>
        <w:t>Não caracteriza ofensa aos termos da Súmula Vinculante 10, mas tão somente ao art. 10 da Lei 9.868/1999, o deferimento de medida liminar, em sede de controle concentrado de constitucionalidade, por maioria simples dos membros de órgão especial de tribunal de justiça.</w:t>
      </w:r>
    </w:p>
    <w:p>
      <w:pPr>
        <w:ind w:left="288"/>
      </w:pPr>
      <w:r>
        <w:rPr>
          <w:b/>
          <w:color w:val="003CA0"/>
          <w:sz w:val="16"/>
        </w:rPr>
        <w:t>[Rcl 10.114 AgR, rel. min. Teori Zavascki, j. 18-12-2013, P, DJE de 19-2-2014.]</w:t>
      </w:r>
    </w:p>
    <w:p>
      <w:pPr>
        <w:ind w:left="288"/>
      </w:pPr>
      <w:r>
        <w:rPr>
          <w:color w:val="8C8C8C"/>
          <w:sz w:val="12"/>
        </w:rPr>
        <w:t>cf-art-97</w:t>
      </w:r>
      <w:r>
        <w:rPr>
          <w:color w:val="003CA0"/>
          <w:sz w:val="12"/>
        </w:rPr>
        <w:t xml:space="preserve"> | RE 432.884</w:t>
      </w:r>
      <w:r>
        <w:rPr>
          <w:color w:val="003CA0"/>
          <w:sz w:val="12"/>
        </w:rPr>
        <w:t xml:space="preserve"> | rel. Joaquim Barbosa</w:t>
      </w:r>
    </w:p>
    <w:p>
      <w:pPr>
        <w:ind w:left="288"/>
      </w:pPr>
      <w:r>
        <w:rPr>
          <w:color w:val="1E1E1E"/>
          <w:sz w:val="18"/>
        </w:rPr>
        <w:t>Da decisão que declara a inconstitucionalidade de lei federal, sem observância da reserva de plenário, é cabível o recurso extraordinário fundado na violação do art. 97 da Constituição (art. 102, III, a, da Constituição). Descabe sobrepor as hipóteses de cabimento do recurso extraordinário para viabilizar o julgamento de mérito de demanda cujas razões recursais são deficientes (interposição exclusivamente nos termos do art. 102, III, b, da Constituição).</w:t>
      </w:r>
    </w:p>
    <w:p>
      <w:pPr>
        <w:ind w:left="288"/>
      </w:pPr>
      <w:r>
        <w:rPr>
          <w:b/>
          <w:color w:val="003CA0"/>
          <w:sz w:val="16"/>
        </w:rPr>
        <w:t>[RE 432.884 AgR, rel. min. Joaquim Barbosa, j. 26-6-2012, 2ª T, DJE de 13-8-2012.]</w:t>
      </w:r>
    </w:p>
    <w:p>
      <w:pPr>
        <w:ind w:left="288"/>
      </w:pPr>
      <w:r>
        <w:rPr>
          <w:color w:val="8C8C8C"/>
          <w:sz w:val="12"/>
        </w:rPr>
        <w:t>cf-art-97</w:t>
      </w:r>
      <w:r>
        <w:rPr>
          <w:color w:val="003CA0"/>
          <w:sz w:val="12"/>
        </w:rPr>
        <w:t xml:space="preserve"> | AI 749.030</w:t>
      </w:r>
      <w:r>
        <w:rPr>
          <w:color w:val="003CA0"/>
          <w:sz w:val="12"/>
        </w:rPr>
        <w:t xml:space="preserve"> | rel. Dias Toffoli</w:t>
      </w:r>
    </w:p>
    <w:p>
      <w:pPr>
        <w:ind w:left="288"/>
      </w:pPr>
      <w:r>
        <w:rPr>
          <w:color w:val="1E1E1E"/>
          <w:sz w:val="18"/>
        </w:rPr>
        <w:t>= AI 749.030 AgR, rel. min. Dias Toffoli, j. 10-9-2013, 1ª T, DJE de 7-11-2013 Alegação de violação da Súmula Vinculante 10. (...) Decisões reiteradas desta Corte têm respaldado a prerrogativa de conferir determinada interpretação à lei como atributo inerente à própria atividade jurisdicional, o que, em consequência, afasta a equiparação proposta pela parte vencida entre as hipóteses de interpretação desfavorável a seus interesses e de declaração de inconstitucionalidade do dispositivo analisado.</w:t>
      </w:r>
    </w:p>
    <w:p>
      <w:pPr>
        <w:ind w:left="288"/>
      </w:pPr>
      <w:r>
        <w:rPr>
          <w:b/>
          <w:color w:val="003CA0"/>
          <w:sz w:val="16"/>
        </w:rPr>
        <w:t>[Rcl 12.107 AgR, rel. min. Rosa Weber, j. 13-6-2012, P, DJE de 1º-8-2012.]</w:t>
      </w:r>
    </w:p>
    <w:p>
      <w:pPr>
        <w:ind w:left="288"/>
      </w:pPr>
      <w:r>
        <w:rPr>
          <w:color w:val="8C8C8C"/>
          <w:sz w:val="12"/>
        </w:rPr>
        <w:t>cf-art-97</w:t>
      </w:r>
      <w:r>
        <w:rPr>
          <w:color w:val="003CA0"/>
          <w:sz w:val="12"/>
        </w:rPr>
        <w:t xml:space="preserve"> | RCL 15.717</w:t>
      </w:r>
      <w:r>
        <w:rPr>
          <w:color w:val="003CA0"/>
          <w:sz w:val="12"/>
        </w:rPr>
        <w:t xml:space="preserve"> | rel. Marco Aurélio</w:t>
      </w:r>
    </w:p>
    <w:p>
      <w:pPr>
        <w:ind w:left="288"/>
      </w:pPr>
      <w:r>
        <w:rPr>
          <w:color w:val="1E1E1E"/>
          <w:sz w:val="18"/>
        </w:rPr>
        <w:t>= Rcl 15.717 AgR, rel. min. Marco Aurélio, j. 25-2-2014, 1ª T, DJE de 20-3-2014 A cláusula constitucional de reserva de plenário, insculpida no art. 97 da CF, fundada na presunção de constitucionalidade das leis, não impede que os órgãos fracionários ou os membros julgadores dos tribunais, quando atuem monocraticamente, rejeitem a arguição de invalidade dos atos normativos, conforme consagrada lição da doutrina (MOREIRA, José Carlos Barbosa. Comentários ao Código de Processo Civil, vol. V – Arts. 476 a 565, Rio de Janeiro: Forense, 2009. p. 40).</w:t>
      </w:r>
    </w:p>
    <w:p>
      <w:pPr>
        <w:ind w:left="288"/>
      </w:pPr>
      <w:r>
        <w:rPr>
          <w:b/>
          <w:color w:val="003CA0"/>
          <w:sz w:val="16"/>
        </w:rPr>
        <w:t>[RE 636.359 AgR-segundo, rel. min. Luiz Fux, j. 3-11-2011, P, DJE de 25-11-2011.]</w:t>
      </w:r>
    </w:p>
    <w:p>
      <w:pPr>
        <w:ind w:left="288"/>
      </w:pPr>
      <w:r>
        <w:rPr>
          <w:color w:val="8C8C8C"/>
          <w:sz w:val="12"/>
        </w:rPr>
        <w:t>cf-art-97</w:t>
      </w:r>
      <w:r>
        <w:rPr>
          <w:color w:val="003CA0"/>
          <w:sz w:val="12"/>
        </w:rPr>
        <w:t xml:space="preserve"> | AI 631.400</w:t>
      </w:r>
      <w:r>
        <w:rPr>
          <w:color w:val="003CA0"/>
          <w:sz w:val="12"/>
        </w:rPr>
        <w:t xml:space="preserve"> | rel. Joaquim Barbosa</w:t>
      </w:r>
    </w:p>
    <w:p>
      <w:pPr>
        <w:ind w:left="288"/>
      </w:pPr>
      <w:r>
        <w:rPr>
          <w:color w:val="1E1E1E"/>
          <w:sz w:val="18"/>
        </w:rPr>
        <w:t>A orientação do STF admite, em situações extremas, o reconhecimento de efeitos meramente prospectivos à declaração incidental de inconstitucionalidade.</w:t>
      </w:r>
    </w:p>
    <w:p>
      <w:pPr>
        <w:ind w:left="288"/>
      </w:pPr>
      <w:r>
        <w:rPr>
          <w:b/>
          <w:color w:val="003CA0"/>
          <w:sz w:val="16"/>
        </w:rPr>
        <w:t>[AI 631.400 AgR, rel. min. Joaquim Barbosa, j. 4-10-2011, 2ª T, DJE de 2-3-2012.]</w:t>
      </w:r>
    </w:p>
    <w:p>
      <w:pPr>
        <w:ind w:left="288"/>
      </w:pPr>
      <w:r>
        <w:rPr>
          <w:color w:val="8C8C8C"/>
          <w:sz w:val="12"/>
        </w:rPr>
        <w:t>cf-art-97</w:t>
      </w:r>
      <w:r>
        <w:rPr>
          <w:color w:val="003CA0"/>
          <w:sz w:val="12"/>
        </w:rPr>
        <w:t xml:space="preserve"> | RE 601.088</w:t>
      </w:r>
      <w:r>
        <w:rPr>
          <w:color w:val="003CA0"/>
          <w:sz w:val="12"/>
        </w:rPr>
        <w:t xml:space="preserve"> | rel. Joaquim Barbosa</w:t>
      </w:r>
    </w:p>
    <w:p>
      <w:pPr>
        <w:ind w:left="288"/>
      </w:pPr>
      <w:r>
        <w:rPr>
          <w:color w:val="1E1E1E"/>
          <w:sz w:val="18"/>
        </w:rPr>
        <w:t>O acórdão recorrido afastou a aplicação da multa moratória, na medida em que foi reconhecida a instabilidade da jurisprudência (...). Esse afastamento foi justificado com singelo apelo à segurança jurídica. Em relação às multas, a aplicação da segurança jurídica pode decorrer diretamente tanto da Constituição como do CTN (art. 112). A proteção conferida pelo CTN não é absorvida pelo princípio constitucional, de modo a tornar ocioso o art. 112 do CTN. Os parâmetros de controle se somam, de forma que o acolhimento de qualquer deles pelo Judiciário é suficiente em si para justificar a conclusão p</w:t>
      </w:r>
    </w:p>
    <w:p>
      <w:pPr>
        <w:ind w:left="288"/>
      </w:pPr>
      <w:r>
        <w:rPr>
          <w:b/>
          <w:color w:val="003CA0"/>
          <w:sz w:val="16"/>
        </w:rPr>
        <w:t>[RE 601.088 AgR, rel. min. Joaquim Barbosa, j. 4-10-2011, 2ª T, DJE de 21-10-2011.]</w:t>
      </w:r>
    </w:p>
    <w:p>
      <w:pPr>
        <w:ind w:left="288"/>
      </w:pPr>
      <w:r>
        <w:rPr>
          <w:color w:val="8C8C8C"/>
          <w:sz w:val="12"/>
        </w:rPr>
        <w:t>cf-art-97</w:t>
      </w:r>
      <w:r>
        <w:rPr>
          <w:color w:val="003CA0"/>
          <w:sz w:val="12"/>
        </w:rPr>
        <w:t xml:space="preserve"> | RCL 10.864</w:t>
      </w:r>
      <w:r>
        <w:rPr>
          <w:color w:val="003CA0"/>
          <w:sz w:val="12"/>
        </w:rPr>
        <w:t xml:space="preserve"> | rel. Cármen Lúcia</w:t>
      </w:r>
    </w:p>
    <w:p>
      <w:pPr>
        <w:ind w:left="288"/>
      </w:pPr>
      <w:r>
        <w:rPr>
          <w:color w:val="1E1E1E"/>
          <w:sz w:val="18"/>
        </w:rPr>
        <w:t>Alegação de contrariedade à Súmula Vinculante 10 do STF. (...) Indeferimento de medida cautelar não afasta a incidência ou declara a inconstitucionalidade de lei ou ato normativo. Decisão proferida em sede cautelar: desnecessidade de aplicação da cláusula de reserva de plenário estabelecida no art. 97 da Constituição da República.</w:t>
      </w:r>
    </w:p>
    <w:p>
      <w:pPr>
        <w:ind w:left="288"/>
      </w:pPr>
      <w:r>
        <w:rPr>
          <w:b/>
          <w:color w:val="003CA0"/>
          <w:sz w:val="16"/>
        </w:rPr>
        <w:t>[Rcl 10.864 AgR, rel. min. Cármen Lúcia, j. 24-3-2011, P, DJE de 13-4-2011.]</w:t>
      </w:r>
    </w:p>
    <w:p>
      <w:pPr>
        <w:ind w:left="288"/>
      </w:pPr>
      <w:r>
        <w:rPr>
          <w:color w:val="8C8C8C"/>
          <w:sz w:val="12"/>
        </w:rPr>
        <w:t>cf-art-97</w:t>
      </w:r>
      <w:r>
        <w:rPr>
          <w:color w:val="003CA0"/>
          <w:sz w:val="12"/>
        </w:rPr>
        <w:t xml:space="preserve"> | RE 575.895</w:t>
      </w:r>
      <w:r>
        <w:rPr>
          <w:color w:val="003CA0"/>
          <w:sz w:val="12"/>
        </w:rPr>
        <w:t xml:space="preserve"> | rel. Ellen Gracie</w:t>
      </w:r>
    </w:p>
    <w:p>
      <w:pPr>
        <w:ind w:left="288"/>
      </w:pPr>
      <w:r>
        <w:rPr>
          <w:color w:val="1E1E1E"/>
          <w:sz w:val="18"/>
        </w:rPr>
        <w:t>(...) resta evidente que não ocorreu violação à reserva de plenário, pois o embasamento da decisão em princípios constitucionais não resulta, necessariamente, em juízo de inconstitucionalidade.</w:t>
      </w:r>
    </w:p>
    <w:p>
      <w:pPr>
        <w:ind w:left="288"/>
      </w:pPr>
      <w:r>
        <w:rPr>
          <w:b/>
          <w:color w:val="003CA0"/>
          <w:sz w:val="16"/>
        </w:rPr>
        <w:t>[RE 575.895 AgR, voto da rel. min. Ellen Gracie, j. 15-3-2011, 2ª T, DJE de 5-4-2011.]</w:t>
      </w:r>
    </w:p>
    <w:p>
      <w:pPr>
        <w:ind w:left="288"/>
      </w:pPr>
      <w:r>
        <w:rPr>
          <w:color w:val="8C8C8C"/>
          <w:sz w:val="12"/>
        </w:rPr>
        <w:t>cf-art-97</w:t>
      </w:r>
      <w:r>
        <w:rPr>
          <w:color w:val="003CA0"/>
          <w:sz w:val="12"/>
        </w:rPr>
        <w:t xml:space="preserve"> | RE 516.814</w:t>
      </w:r>
      <w:r>
        <w:rPr>
          <w:color w:val="003CA0"/>
          <w:sz w:val="12"/>
        </w:rPr>
        <w:t xml:space="preserve"> | rel. Joaquim Barbosa</w:t>
      </w:r>
    </w:p>
    <w:p>
      <w:pPr>
        <w:ind w:left="288"/>
      </w:pPr>
      <w:r>
        <w:rPr>
          <w:color w:val="1E1E1E"/>
          <w:sz w:val="18"/>
        </w:rPr>
        <w:t>Reconhecida a violação do art. 97 da Constituição, anulado o acórdão e determinado novo julgamento, com observância da reserva de Plenário, compete ao STJ dar o encaminhamento processual que entender adequado ao caso. Se, supervenientemente, o STJ firmou precedente sobre a matéria, observando o quanto disposto no art. 97 da Constituição, poderá ele aplicá-lo por seus órgãos fracionários, se a legislação assim o permitir no caso concreto.</w:t>
      </w:r>
    </w:p>
    <w:p>
      <w:pPr>
        <w:ind w:left="288"/>
      </w:pPr>
      <w:r>
        <w:rPr>
          <w:b/>
          <w:color w:val="003CA0"/>
          <w:sz w:val="16"/>
        </w:rPr>
        <w:t>[RE 516.814 ED, rel. min. Joaquim Barbosa, j. 14-9-2010, 2ª T, DJE de 8-10-2010.]</w:t>
      </w:r>
    </w:p>
    <w:p>
      <w:pPr>
        <w:ind w:left="288"/>
      </w:pPr>
      <w:r>
        <w:rPr>
          <w:color w:val="8C8C8C"/>
          <w:sz w:val="12"/>
        </w:rPr>
        <w:t>cf-art-97</w:t>
      </w:r>
      <w:r>
        <w:rPr>
          <w:color w:val="003CA0"/>
          <w:sz w:val="12"/>
        </w:rPr>
        <w:t xml:space="preserve"> | AI 607.616</w:t>
      </w:r>
      <w:r>
        <w:rPr>
          <w:color w:val="003CA0"/>
          <w:sz w:val="12"/>
        </w:rPr>
        <w:t xml:space="preserve"> | rel. Joaquim Barbosa</w:t>
      </w:r>
    </w:p>
    <w:p>
      <w:pPr>
        <w:ind w:left="288"/>
      </w:pPr>
      <w:r>
        <w:rPr>
          <w:color w:val="1E1E1E"/>
          <w:sz w:val="18"/>
        </w:rPr>
        <w:t>Não há reserva de plenário (art. 97 da Constituição) à aplicação de jurisprudência firmada pelo Pleno ou por ambas as Turmas desta Corte. Ademais, não é necessária identidade absoluta para aplicação dos precedentes dos quais resultem a declaração de inconstitucionalidade ou de constitucionalidade. Requer-se, sim, que as matérias examinadas sejam equivalentes. Assim, cabe à parte que se entende prejudicada discutir a simetria entre as questões fáticas e jurídicas que lhe são peculiares e a orientação firmada por esta Corte. De forma semelhante, não se aplica a reserva de plenário à constante re</w:t>
      </w:r>
    </w:p>
    <w:p>
      <w:pPr>
        <w:ind w:left="288"/>
      </w:pPr>
      <w:r>
        <w:rPr>
          <w:b/>
          <w:color w:val="003CA0"/>
          <w:sz w:val="16"/>
        </w:rPr>
        <w:t>[AI 607.616 AgR, rel. min. Joaquim Barbosa, j. 31-8-2010, 2ª T, DJE de 1º-10-2010.]</w:t>
      </w:r>
    </w:p>
    <w:p>
      <w:pPr>
        <w:ind w:left="288"/>
      </w:pPr>
      <w:r>
        <w:rPr>
          <w:color w:val="8C8C8C"/>
          <w:sz w:val="12"/>
        </w:rPr>
        <w:t>cf-art-97</w:t>
      </w:r>
      <w:r>
        <w:rPr>
          <w:color w:val="003CA0"/>
          <w:sz w:val="12"/>
        </w:rPr>
        <w:t xml:space="preserve"> | RE 578.582</w:t>
      </w:r>
      <w:r>
        <w:rPr>
          <w:color w:val="003CA0"/>
          <w:sz w:val="12"/>
        </w:rPr>
        <w:t xml:space="preserve"> | rel. Dias Toffoli</w:t>
      </w:r>
    </w:p>
    <w:p>
      <w:pPr>
        <w:ind w:left="288"/>
      </w:pPr>
      <w:r>
        <w:rPr>
          <w:color w:val="1E1E1E"/>
          <w:sz w:val="18"/>
        </w:rPr>
        <w:t>= RE 578.582 AgR, rel. min. Dias Toffoli, j. 27-11-2012, 1ª T, DJE de 19-12-2012 Vide RE 361.829 ED, rel. min. Ellen Gracie, j. 2-3-2010, 2ª T, DJE de 19-3-2010 A simples ausência de aplicação de uma dada norma jurídica ao caso sob exame não caracteriza, apenas por isso, violação da orientação firmada pelo STF. Para caracterização da contrariedade à Súmula Vinculante 10, do STF, é necessário que a decisão fundamente-se na incompatibilidade entre a norma legal tomada como base dos argumentos expostos na ação e a Constituição.</w:t>
      </w:r>
    </w:p>
    <w:p>
      <w:pPr>
        <w:ind w:left="288"/>
      </w:pPr>
      <w:r>
        <w:rPr>
          <w:b/>
          <w:color w:val="003CA0"/>
          <w:sz w:val="16"/>
        </w:rPr>
        <w:t>[Rcl 6.944, rel. min. Cármen Lúcia, j. 23-6-2010, P, DJE de 13-8-2010.]</w:t>
      </w:r>
    </w:p>
    <w:p>
      <w:pPr>
        <w:ind w:left="288"/>
      </w:pPr>
      <w:r>
        <w:rPr>
          <w:color w:val="8C8C8C"/>
          <w:sz w:val="12"/>
        </w:rPr>
        <w:t>cf-art-97</w:t>
      </w:r>
      <w:r>
        <w:rPr>
          <w:color w:val="003CA0"/>
          <w:sz w:val="12"/>
        </w:rPr>
        <w:t xml:space="preserve"> | RCL 14.953</w:t>
      </w:r>
      <w:r>
        <w:rPr>
          <w:color w:val="003CA0"/>
          <w:sz w:val="12"/>
        </w:rPr>
        <w:t xml:space="preserve"> | rel. Marco Aurélio</w:t>
      </w:r>
    </w:p>
    <w:p>
      <w:pPr>
        <w:ind w:left="288"/>
      </w:pPr>
      <w:r>
        <w:rPr>
          <w:color w:val="1E1E1E"/>
          <w:sz w:val="18"/>
        </w:rPr>
        <w:t>= Rcl 14.953 AgR, rel. min. Marco Aurélio, j. 24-10-2013, P, DJE de 14-11-2013 = ARE 683.572 AgR, rel. min. Luiz Fux, j. 11-9-2012, 1ª T, DJE de 27-9-2012 O STF exerce, por excelência, o controle difuso de constitucionalidade quando do julgamento do recurso extraordinário, tendo os seus colegiados fracionários competência regimental para fazê-lo sem ofensa ao art. 97 da CF.</w:t>
      </w:r>
    </w:p>
    <w:p>
      <w:pPr>
        <w:ind w:left="288"/>
      </w:pPr>
      <w:r>
        <w:rPr>
          <w:b/>
          <w:color w:val="003CA0"/>
          <w:sz w:val="16"/>
        </w:rPr>
        <w:t>[RE 361.829 ED, rel. min. Ellen Gracie, j. 2-3-2010, 2ª T, DJE de 19-3-2010.]</w:t>
      </w:r>
    </w:p>
    <w:p>
      <w:pPr>
        <w:ind w:left="288"/>
      </w:pPr>
      <w:r>
        <w:rPr>
          <w:color w:val="8C8C8C"/>
          <w:sz w:val="12"/>
        </w:rPr>
        <w:t>cf-art-97</w:t>
      </w:r>
      <w:r>
        <w:rPr>
          <w:color w:val="003CA0"/>
          <w:sz w:val="12"/>
        </w:rPr>
        <w:t xml:space="preserve"> | RE 348.468</w:t>
      </w:r>
      <w:r>
        <w:rPr>
          <w:color w:val="003CA0"/>
          <w:sz w:val="12"/>
        </w:rPr>
        <w:t xml:space="preserve"> | rel. Gilmar Mendes</w:t>
      </w:r>
    </w:p>
    <w:p>
      <w:pPr>
        <w:ind w:left="288"/>
      </w:pPr>
      <w:r>
        <w:rPr>
          <w:color w:val="1E1E1E"/>
          <w:sz w:val="18"/>
        </w:rPr>
        <w:t>Tanto o poder do juiz de negar aplicação à lei inconstitucional quanto a faculdade assegurada ao indivíduo de negar observância à lei inconstitucional (mediante interposição de recurso extraordinário) demonstram que o constituinte pressupôs a nulidade da lei inconstitucional. Em certos casos, o efeito necessário e imediato da declaração de nulidade de uma norma, na declaração de inconstitucionalidade pelo STF ou pelos tribunais de justiça dos Estados, há de ser a exclusão de toda ultra-atividade da lei inconstitucional. A eventual eliminação dos atos praticados com fundamento na lei inconstitu</w:t>
      </w:r>
    </w:p>
    <w:p>
      <w:pPr>
        <w:ind w:left="288"/>
      </w:pPr>
      <w:r>
        <w:rPr>
          <w:b/>
          <w:color w:val="003CA0"/>
          <w:sz w:val="16"/>
        </w:rPr>
        <w:t>[RE 348.468, voto do rel. min. Gilmar Mendes, j. 15-12-2009, 2ª T, DJE de 19-2-2010.]</w:t>
      </w:r>
    </w:p>
    <w:p>
      <w:pPr>
        <w:ind w:left="288"/>
      </w:pPr>
      <w:r>
        <w:rPr>
          <w:color w:val="8C8C8C"/>
          <w:sz w:val="12"/>
        </w:rPr>
        <w:t>cf-art-97</w:t>
      </w:r>
      <w:r>
        <w:rPr>
          <w:color w:val="003CA0"/>
          <w:sz w:val="12"/>
        </w:rPr>
        <w:t xml:space="preserve"> | RE 436.155</w:t>
      </w:r>
      <w:r>
        <w:rPr>
          <w:color w:val="003CA0"/>
          <w:sz w:val="12"/>
        </w:rPr>
        <w:t xml:space="preserve"> | rel. Ellen Gracie</w:t>
      </w:r>
    </w:p>
    <w:p>
      <w:pPr>
        <w:ind w:left="288"/>
      </w:pPr>
      <w:r>
        <w:rPr>
          <w:color w:val="1E1E1E"/>
          <w:sz w:val="18"/>
        </w:rPr>
        <w:t>Inexistência de ofensa ao princípio da reserva de plenário, pois o acórdão recorrido analisou normas legais sem julgar inconstitucional lei ou ato normativo federal.</w:t>
      </w:r>
    </w:p>
    <w:p>
      <w:pPr>
        <w:ind w:left="288"/>
      </w:pPr>
      <w:r>
        <w:rPr>
          <w:b/>
          <w:color w:val="003CA0"/>
          <w:sz w:val="16"/>
        </w:rPr>
        <w:t>[RE 436.155 AgR, rel. min. Ellen Gracie, j. 24-3-2009, 2ª T, DJE de 24-4-2009.]</w:t>
      </w:r>
    </w:p>
    <w:p>
      <w:pPr>
        <w:ind w:left="288"/>
      </w:pPr>
      <w:r>
        <w:rPr>
          <w:color w:val="8C8C8C"/>
          <w:sz w:val="12"/>
        </w:rPr>
        <w:t>cf-art-97</w:t>
      </w:r>
      <w:r>
        <w:rPr>
          <w:color w:val="003CA0"/>
          <w:sz w:val="12"/>
        </w:rPr>
        <w:t xml:space="preserve"> | AI 463.220</w:t>
      </w:r>
      <w:r>
        <w:rPr>
          <w:color w:val="003CA0"/>
          <w:sz w:val="12"/>
        </w:rPr>
        <w:t xml:space="preserve"> | rel. Ricardo Lewandowski</w:t>
      </w:r>
    </w:p>
    <w:p>
      <w:pPr>
        <w:ind w:left="288"/>
      </w:pPr>
      <w:r>
        <w:rPr>
          <w:color w:val="1E1E1E"/>
          <w:sz w:val="18"/>
        </w:rPr>
        <w:t>= AI 463.220 AgR, rel. min. Ricardo Lewandowski, j. 15-2-2011, 1ª T, DJE de 4-3-2011 Descabe cogitar, no caso, de reserva de plenário – art. 97 do referido diploma –, especialmente quando a matéria de fundo se encontra sumulada.</w:t>
      </w:r>
    </w:p>
    <w:p>
      <w:pPr>
        <w:ind w:left="288"/>
      </w:pPr>
      <w:r>
        <w:rPr>
          <w:b/>
          <w:color w:val="003CA0"/>
          <w:sz w:val="16"/>
        </w:rPr>
        <w:t>[AI 555.254 AgR, rel. min. Marco Aurélio, j. 11-3-2008, 1ª T, DJE de 2-5-2008.]</w:t>
      </w:r>
    </w:p>
    <w:p>
      <w:pPr>
        <w:ind w:left="288"/>
      </w:pPr>
      <w:r>
        <w:rPr>
          <w:color w:val="8C8C8C"/>
          <w:sz w:val="12"/>
        </w:rPr>
        <w:t>cf-art-97</w:t>
      </w:r>
      <w:r>
        <w:rPr>
          <w:color w:val="003CA0"/>
          <w:sz w:val="12"/>
        </w:rPr>
        <w:t xml:space="preserve"> | AI 413.118</w:t>
      </w:r>
      <w:r>
        <w:rPr>
          <w:color w:val="003CA0"/>
          <w:sz w:val="12"/>
        </w:rPr>
        <w:t xml:space="preserve"> | rel. Joaquim Barbosa</w:t>
      </w:r>
    </w:p>
    <w:p>
      <w:pPr>
        <w:ind w:left="288"/>
      </w:pPr>
      <w:r>
        <w:rPr>
          <w:color w:val="1E1E1E"/>
          <w:sz w:val="18"/>
        </w:rPr>
        <w:t>= AI 413.118 AgR, rel. min. Joaquim Barbosa, j. 23-3-2010, 2ª T, DJE de 7-5-2010 Controle incidente de constitucionalidade de normas: reserva de plenário (CF, art. 97): viola o dispositivo constitucional o acórdão proferido por órgão fracionário, que declara a inconstitucionalidade de lei, ainda que parcial, sem que haja declaração anterior proferida por órgão especial ou plenário.</w:t>
      </w:r>
    </w:p>
    <w:p>
      <w:pPr>
        <w:ind w:left="288"/>
      </w:pPr>
      <w:r>
        <w:rPr>
          <w:b/>
          <w:color w:val="003CA0"/>
          <w:sz w:val="16"/>
        </w:rPr>
        <w:t>[RE 544.246, rel. min. Sepúlveda Pertence, j. 15-5-2007, 1ª T, DJ de 8-6-2007.]</w:t>
      </w:r>
    </w:p>
    <w:p>
      <w:pPr>
        <w:ind w:left="288"/>
      </w:pPr>
      <w:r>
        <w:rPr>
          <w:color w:val="8C8C8C"/>
          <w:sz w:val="12"/>
        </w:rPr>
        <w:t>cf-art-97</w:t>
      </w:r>
      <w:r>
        <w:rPr>
          <w:color w:val="003CA0"/>
          <w:sz w:val="12"/>
        </w:rPr>
        <w:t xml:space="preserve"> | RE 486.168</w:t>
      </w:r>
      <w:r>
        <w:rPr>
          <w:color w:val="003CA0"/>
          <w:sz w:val="12"/>
        </w:rPr>
        <w:t xml:space="preserve"> | rel. Marco Aurélio</w:t>
      </w:r>
    </w:p>
    <w:p>
      <w:pPr>
        <w:ind w:left="288"/>
      </w:pPr>
      <w:r>
        <w:rPr>
          <w:color w:val="1E1E1E"/>
          <w:sz w:val="18"/>
        </w:rPr>
        <w:t>= RE 486.168 AgR, rel. min. Marco Aurélio, j. 23-9-2008, 1ª T, DJE de 27-2-2009 Controle incidente de inconstitucionalidade: reserva de plenário (CF, art. 97). "Interpretação que restringe a aplicação de uma norma a alguns casos, mantendo-a com relação a outros, não se identifica com a declaração de inconstitucionalidade da norma que é a que se refere o art. 97 da Constituição." (cf. RE 184.093, Moreira Alves, DJ de 5-9-1997).</w:t>
      </w:r>
    </w:p>
    <w:p>
      <w:pPr>
        <w:ind w:left="288"/>
      </w:pPr>
      <w:r>
        <w:rPr>
          <w:b/>
          <w:color w:val="003CA0"/>
          <w:sz w:val="16"/>
        </w:rPr>
        <w:t>[RE 460.971, rel. min. Sepúlveda Pertence, j. 13-2-2007, 1ª T, DJ de 30-3-2007.]</w:t>
      </w:r>
    </w:p>
    <w:p>
      <w:pPr>
        <w:ind w:left="288"/>
      </w:pPr>
      <w:r>
        <w:rPr>
          <w:color w:val="8C8C8C"/>
          <w:sz w:val="12"/>
        </w:rPr>
        <w:t>cf-art-97</w:t>
      </w:r>
      <w:r>
        <w:rPr>
          <w:color w:val="003CA0"/>
          <w:sz w:val="12"/>
        </w:rPr>
        <w:t xml:space="preserve"> | ARE 676.006</w:t>
      </w:r>
      <w:r>
        <w:rPr>
          <w:color w:val="003CA0"/>
          <w:sz w:val="12"/>
        </w:rPr>
        <w:t xml:space="preserve"> | rel. Luiz Fux</w:t>
      </w:r>
    </w:p>
    <w:p>
      <w:pPr>
        <w:ind w:left="288"/>
      </w:pPr>
      <w:r>
        <w:rPr>
          <w:color w:val="1E1E1E"/>
          <w:sz w:val="18"/>
        </w:rPr>
        <w:t>= ARE 676.006 AgR, rel. min. Luiz Fux, j. 22-5-2012, 1ª T, DJE de 6-6-2012 IPTU. Progressividade. Taxas. Pretendida modulação, no tempo, dos efeitos da declaração de inconstitucionalidade. Não incidência, no caso em exame. Utilização dessa técnica no plano da fiscalização incidental. Necessária observância do postulado da reserva de plenário. Consequente incompetência dos órgãos fracionários do Tribunal (Turmas).</w:t>
      </w:r>
    </w:p>
    <w:p>
      <w:pPr>
        <w:ind w:left="288"/>
      </w:pPr>
      <w:r>
        <w:rPr>
          <w:b/>
          <w:color w:val="003CA0"/>
          <w:sz w:val="16"/>
        </w:rPr>
        <w:t>[AI 417.014 AgR-ED, rel. min. Celso de Mello, j. 18-12-2006, 2ª T, DJ de 16-2-2007.]</w:t>
      </w:r>
    </w:p>
    <w:p>
      <w:pPr>
        <w:ind w:left="288"/>
      </w:pPr>
      <w:r>
        <w:rPr>
          <w:color w:val="8C8C8C"/>
          <w:sz w:val="12"/>
        </w:rPr>
        <w:t>cf-art-97</w:t>
      </w:r>
      <w:r>
        <w:rPr>
          <w:color w:val="003CA0"/>
          <w:sz w:val="12"/>
        </w:rPr>
        <w:t xml:space="preserve"> | AI 527.297</w:t>
      </w:r>
      <w:r>
        <w:rPr>
          <w:color w:val="003CA0"/>
          <w:sz w:val="12"/>
        </w:rPr>
        <w:t xml:space="preserve"> | rel. Ricardo Lewandowski</w:t>
      </w:r>
    </w:p>
    <w:p>
      <w:pPr>
        <w:ind w:left="288"/>
      </w:pPr>
      <w:r>
        <w:rPr>
          <w:color w:val="1E1E1E"/>
          <w:sz w:val="18"/>
        </w:rPr>
        <w:t>= AI 527.297 AgR-ED, rel. min. Ricardo Lewandowski, j. 15-12-2009, 1ª T, DJE de 26-2-2010 (...) a discussão em torno da incidência, ou não, do postulado da recepção – precisamente por não envolver qualquer juízo de inconstitucionalidade (mas, sim, quando for o caso, o de simples revogação de diploma pré-constitucional) – dispensa, por tal motivo, a aplicação do princípio da reserva de plenário (CF, art. 97), legitimando, por isso mesmo, a possibilidade de reconhecimento, por órgão fracionário do Tribunal, de que determinado ato estatal não foi recebido pela nova ordem constitucional (RTJ 191/3</w:t>
      </w:r>
    </w:p>
    <w:p>
      <w:pPr>
        <w:ind w:left="288"/>
      </w:pPr>
      <w:r>
        <w:rPr>
          <w:b/>
          <w:color w:val="003CA0"/>
          <w:sz w:val="16"/>
        </w:rPr>
        <w:t>[AI 582.280 AgR, voto do rel. min. Celso de Mello, j. 12-9-2006, 2ª T, DJ de 6-11-2006.]</w:t>
      </w:r>
    </w:p>
    <w:p>
      <w:pPr>
        <w:ind w:left="288"/>
      </w:pPr>
      <w:r>
        <w:rPr>
          <w:color w:val="8C8C8C"/>
          <w:sz w:val="12"/>
        </w:rPr>
        <w:t>cf-art-97</w:t>
      </w:r>
      <w:r>
        <w:rPr>
          <w:color w:val="003CA0"/>
          <w:sz w:val="12"/>
        </w:rPr>
        <w:t xml:space="preserve"> | RCL 10.114</w:t>
      </w:r>
      <w:r>
        <w:rPr>
          <w:color w:val="003CA0"/>
          <w:sz w:val="12"/>
        </w:rPr>
        <w:t xml:space="preserve"> | rel. Ricardo Lewandowski</w:t>
      </w:r>
    </w:p>
    <w:p>
      <w:pPr>
        <w:ind w:left="288"/>
      </w:pPr>
      <w:r>
        <w:rPr>
          <w:color w:val="1E1E1E"/>
          <w:sz w:val="18"/>
        </w:rPr>
        <w:t>= Rcl 10.114 AgR, rel. min. Ricardo Lewandowski, j. 18-12-2013, P, DJE de 19-2-2014 = AI 669.872 AgR, rel. min. Luiz Fux, j. 11-12-2012, 1ª T, DJE de 14-2-2013 A regra da chamada reserva do plenário para declaração de inconstitucionalidade (art. 97 da CF) não se aplica, deveras, às turmas recursais de juizado especial. Mas tal circunstância em nada atenua nem desnatura a rigorosa exigência de juntada de cópia integral do precedente que tenha, ali, pronunciado inconstitucionalidade de norma objeto de recurso extraordinário fundado no art. 102, III, b, da Constituição da República, pela mesmíssi</w:t>
      </w:r>
    </w:p>
    <w:p>
      <w:pPr>
        <w:ind w:left="288"/>
      </w:pPr>
      <w:r>
        <w:rPr>
          <w:b/>
          <w:color w:val="003CA0"/>
          <w:sz w:val="16"/>
        </w:rPr>
        <w:t>[RE 453.744 AgR, voto do rel. min. Cezar Peluso, j. 13-6-2006, 1ª T, DJ de 25-8-2006.]</w:t>
      </w:r>
    </w:p>
    <w:p>
      <w:pPr>
        <w:ind w:left="288"/>
      </w:pPr>
      <w:r>
        <w:rPr>
          <w:color w:val="8C8C8C"/>
          <w:sz w:val="12"/>
        </w:rPr>
        <w:t>cf-art-97</w:t>
      </w:r>
      <w:r>
        <w:rPr>
          <w:color w:val="003CA0"/>
          <w:sz w:val="12"/>
        </w:rPr>
        <w:t xml:space="preserve"> | HC 69.921</w:t>
      </w:r>
      <w:r>
        <w:rPr>
          <w:color w:val="003CA0"/>
          <w:sz w:val="12"/>
        </w:rPr>
        <w:t xml:space="preserve"> | rel. Celso de Mello</w:t>
      </w:r>
    </w:p>
    <w:p>
      <w:pPr>
        <w:ind w:left="288"/>
      </w:pPr>
      <w:r>
        <w:rPr>
          <w:color w:val="1E1E1E"/>
          <w:sz w:val="18"/>
        </w:rPr>
        <w:t>A norma inscrita no art. 97 da Carta Federal, porque exclusivamente dirigida aos órgãos colegiados do Poder Judiciário, não se aplica aos magistrados singulares quando no exercício da jurisdição constitucional (RT 554/253).</w:t>
      </w:r>
    </w:p>
    <w:p>
      <w:pPr>
        <w:ind w:left="288"/>
      </w:pPr>
      <w:r>
        <w:rPr>
          <w:b/>
          <w:color w:val="003CA0"/>
          <w:sz w:val="16"/>
        </w:rPr>
        <w:t>[HC 69.921, rel. min. Celso de Mello, j. 9-2-1993, 1ª T, DJ de 26-3-1993.]</w:t>
      </w:r>
    </w:p>
    <w:p>
      <w:r>
        <w:rPr>
          <w:b/>
          <w:color w:val="003366"/>
          <w:sz w:val="20"/>
        </w:rPr>
        <w:t>Art. 98 A União, no Distrito Federal e nos Territórios, e os Estados criarão:</w:t>
      </w:r>
      <w:r>
        <w:rPr>
          <w:color w:val="8C8C8C"/>
          <w:sz w:val="14"/>
        </w:rPr>
        <w:t xml:space="preserve">  [23 decisoes]</w:t>
      </w:r>
    </w:p>
    <w:p>
      <w:pPr>
        <w:ind w:left="288"/>
      </w:pPr>
      <w:r>
        <w:rPr>
          <w:color w:val="8C8C8C"/>
          <w:sz w:val="12"/>
        </w:rPr>
        <w:t>cf-art-98</w:t>
      </w:r>
    </w:p>
    <w:p>
      <w:pPr>
        <w:ind w:left="288"/>
      </w:pPr>
      <w:r>
        <w:rPr>
          <w:color w:val="1E1E1E"/>
          <w:sz w:val="18"/>
        </w:rPr>
        <w:t>I - juizados especiais, providos por juízes togados, ou togados e leigos, competentes para a conciliação, o julgamento e a execução de causas cíveis de menor complexidade e infrações penais de menor potencial ofensivo, mediante os procedimentos oral e sumariíssimo, permitidos, nas hipóteses previstas em lei, a transação e o julgamento de recursos por turmas de juízes de primeiro grau;</w:t>
      </w:r>
    </w:p>
    <w:p>
      <w:pPr>
        <w:ind w:left="144"/>
      </w:pPr>
      <w:r>
        <w:rPr>
          <w:b/>
          <w:color w:val="B45A00"/>
          <w:sz w:val="16"/>
        </w:rPr>
        <w:t>SUMULA VINCULANTE</w:t>
      </w:r>
    </w:p>
    <w:p>
      <w:pPr>
        <w:ind w:left="288"/>
      </w:pPr>
      <w:r>
        <w:rPr>
          <w:color w:val="8C8C8C"/>
          <w:sz w:val="12"/>
        </w:rPr>
        <w:t>cf-art-98</w:t>
      </w:r>
    </w:p>
    <w:p>
      <w:pPr>
        <w:ind w:left="288"/>
      </w:pPr>
      <w:r>
        <w:rPr>
          <w:color w:val="1E1E1E"/>
          <w:sz w:val="18"/>
        </w:rPr>
        <w:t>Compete à Justiça estadual julgar causas entre consumidor e concessionária de serviço público de telefonia, quando a Anatel não seja litisconsorte passiva necessária, assistente, nem opoente.</w:t>
      </w:r>
    </w:p>
    <w:p>
      <w:pPr>
        <w:ind w:left="288"/>
      </w:pPr>
      <w:r>
        <w:rPr>
          <w:b/>
          <w:color w:val="003CA0"/>
          <w:sz w:val="16"/>
        </w:rPr>
        <w:t>[Súmula Vinculante 27.]</w:t>
      </w:r>
    </w:p>
    <w:p>
      <w:pPr>
        <w:ind w:left="144"/>
      </w:pPr>
      <w:r>
        <w:rPr>
          <w:b/>
          <w:color w:val="B45A00"/>
          <w:sz w:val="16"/>
        </w:rPr>
        <w:t>CONTROLE CONCENTRADO</w:t>
      </w:r>
    </w:p>
    <w:p>
      <w:pPr>
        <w:ind w:left="288"/>
      </w:pPr>
      <w:r>
        <w:rPr>
          <w:color w:val="8C8C8C"/>
          <w:sz w:val="12"/>
        </w:rPr>
        <w:t>cf-art-98</w:t>
      </w:r>
      <w:r>
        <w:rPr>
          <w:color w:val="003CA0"/>
          <w:sz w:val="12"/>
        </w:rPr>
        <w:t xml:space="preserve"> | ADI 4.161</w:t>
      </w:r>
      <w:r>
        <w:rPr>
          <w:color w:val="003CA0"/>
          <w:sz w:val="12"/>
        </w:rPr>
        <w:t xml:space="preserve"> | rel. Cármen Lúcia</w:t>
      </w:r>
    </w:p>
    <w:p>
      <w:pPr>
        <w:ind w:left="288"/>
      </w:pPr>
      <w:r>
        <w:rPr>
          <w:color w:val="1E1E1E"/>
          <w:sz w:val="18"/>
        </w:rPr>
        <w:t>Lei 6.816/2007 de Alagoas, instituindo depósito prévio de 100% do valor da condenação para a interposição de recurso nos juizados especiais cíveis do Estado. Inconstitucionalidade formal: competência privativa da União para legislar sobre matéria processual. Art. 22, I, da Constituição da República.</w:t>
      </w:r>
    </w:p>
    <w:p>
      <w:pPr>
        <w:ind w:left="288"/>
      </w:pPr>
      <w:r>
        <w:rPr>
          <w:b/>
          <w:color w:val="003CA0"/>
          <w:sz w:val="16"/>
        </w:rPr>
        <w:t>[ADI 4.161, rel. min. Cármen Lúcia, j. 30-10-2014, P, DJE de 10-2-2015.]</w:t>
      </w:r>
    </w:p>
    <w:p>
      <w:pPr>
        <w:ind w:left="144"/>
      </w:pPr>
      <w:r>
        <w:rPr>
          <w:b/>
          <w:color w:val="B45A00"/>
          <w:sz w:val="16"/>
        </w:rPr>
        <w:t>REPERCUSSAO GERAL</w:t>
      </w:r>
    </w:p>
    <w:p>
      <w:pPr>
        <w:ind w:left="288"/>
      </w:pPr>
      <w:r>
        <w:rPr>
          <w:color w:val="8C8C8C"/>
          <w:sz w:val="12"/>
        </w:rPr>
        <w:t>cf-art-98</w:t>
      </w:r>
      <w:r>
        <w:rPr>
          <w:color w:val="003CA0"/>
          <w:sz w:val="12"/>
        </w:rPr>
        <w:t xml:space="preserve"> | RE 586.789</w:t>
      </w:r>
      <w:r>
        <w:rPr>
          <w:color w:val="003CA0"/>
          <w:sz w:val="12"/>
        </w:rPr>
        <w:t xml:space="preserve"> | rel. Ricardo Lewandowski</w:t>
      </w:r>
    </w:p>
    <w:p>
      <w:pPr>
        <w:ind w:left="288"/>
      </w:pPr>
      <w:r>
        <w:rPr>
          <w:color w:val="1E1E1E"/>
          <w:sz w:val="18"/>
        </w:rPr>
        <w:t>As turmas recursais são órgãos recursais ordinários de última instância relativamente às decisões dos juizados especiais, de forma que os juízes dos juizados especiais estão a elas vinculados no que concerne ao reexame de seus julgados. Competente a turma recursal para processar e julgar recursos contra decisões de primeiro grau, também o é para processar e julgar o mandado de segurança substitutivo de recurso. Primazia da simplificação do processo judicial e do princípio da razoável duração do processo.</w:t>
        <w:br/>
        <w:t xml:space="preserve">[RE 586.789, rel. min. Ricardo Lewandowski, j. 16-11-2011, P, DJE de 27-2-2012, Tema 159, </w:t>
      </w:r>
    </w:p>
    <w:p>
      <w:pPr>
        <w:ind w:left="144"/>
      </w:pPr>
      <w:r>
        <w:rPr>
          <w:b/>
          <w:color w:val="B45A00"/>
          <w:sz w:val="16"/>
        </w:rPr>
        <w:t>JULGADOS CORRELATOS</w:t>
      </w:r>
    </w:p>
    <w:p>
      <w:pPr>
        <w:ind w:left="288"/>
      </w:pPr>
      <w:r>
        <w:rPr>
          <w:color w:val="8C8C8C"/>
          <w:sz w:val="12"/>
        </w:rPr>
        <w:t>cf-art-98</w:t>
      </w:r>
      <w:r>
        <w:rPr>
          <w:color w:val="003CA0"/>
          <w:sz w:val="12"/>
        </w:rPr>
        <w:t xml:space="preserve"> | HC 109.277</w:t>
      </w:r>
      <w:r>
        <w:rPr>
          <w:color w:val="003CA0"/>
          <w:sz w:val="12"/>
        </w:rPr>
        <w:t xml:space="preserve"> | rel. Ayres Britto</w:t>
      </w:r>
    </w:p>
    <w:p>
      <w:pPr>
        <w:ind w:left="288"/>
      </w:pPr>
      <w:r>
        <w:rPr>
          <w:color w:val="1E1E1E"/>
          <w:sz w:val="18"/>
        </w:rPr>
        <w:t>Significância penal. Conceito constitucional. (...) Ao prever, por exemplo, a categoria de infrações de menor potencial ofensivo (inciso I do art. 98), a CF logicamente nega a significância penal de tudo que ficar aquém desse potencial, de logo rotulado de "menor"; ou seja, quando a CF concebe a categoria das infrações de menor potencial ofensivo, parece mesmo que o faz na perspectiva de uma conduta atenuadamente danosa para a vítima e a sociedade, é certo, mas ainda assim em grau suficiente de lesividade para justificar uma reação estatal punitiva. Pelo que estabelece um vínculo operacional d</w:t>
      </w:r>
    </w:p>
    <w:p>
      <w:pPr>
        <w:ind w:left="288"/>
      </w:pPr>
      <w:r>
        <w:rPr>
          <w:b/>
          <w:color w:val="003CA0"/>
          <w:sz w:val="16"/>
        </w:rPr>
        <w:t>[HC 109.277, rel. min. Ayres Britto, j. 13-12-2011, 2ª T, DJE de 22-2-2012.]</w:t>
      </w:r>
    </w:p>
    <w:p>
      <w:pPr>
        <w:ind w:left="288"/>
      </w:pPr>
      <w:r>
        <w:rPr>
          <w:color w:val="8C8C8C"/>
          <w:sz w:val="12"/>
        </w:rPr>
        <w:t>cf-art-98</w:t>
      </w:r>
      <w:r>
        <w:rPr>
          <w:color w:val="003CA0"/>
          <w:sz w:val="12"/>
        </w:rPr>
        <w:t xml:space="preserve"> | RE 537.427</w:t>
      </w:r>
      <w:r>
        <w:rPr>
          <w:color w:val="003CA0"/>
          <w:sz w:val="12"/>
        </w:rPr>
        <w:t xml:space="preserve"> | rel. Marco Aurélio</w:t>
      </w:r>
    </w:p>
    <w:p>
      <w:pPr>
        <w:ind w:left="288"/>
      </w:pPr>
      <w:r>
        <w:rPr>
          <w:color w:val="1E1E1E"/>
          <w:sz w:val="18"/>
        </w:rPr>
        <w:t>A excludente da competência dos juizados especiais – complexidade da controvérsia (art. 98 da CF) – há de ser sopesada em face das causas de pedir constantes da inicial, observando-se, em passo seguinte, a defesa apresentada pela parte acionada. Competência. Ação indenizatória. Fumo. Dependência. Tratamento. Ante as balizas objetivas do conflito de interesses, a direcionarem a indagação técnico-pericial, surge complexidade a afastar a competência dos juizados especiais.</w:t>
      </w:r>
    </w:p>
    <w:p>
      <w:pPr>
        <w:ind w:left="288"/>
      </w:pPr>
      <w:r>
        <w:rPr>
          <w:b/>
          <w:color w:val="003CA0"/>
          <w:sz w:val="16"/>
        </w:rPr>
        <w:t>[RE 537.427, rel. min. Marco Aurélio, j. 14-4-2011, P, DJE de 17-8-2011.]</w:t>
      </w:r>
    </w:p>
    <w:p>
      <w:pPr>
        <w:ind w:left="288"/>
      </w:pPr>
      <w:r>
        <w:rPr>
          <w:color w:val="8C8C8C"/>
          <w:sz w:val="12"/>
        </w:rPr>
        <w:t>cf-art-98</w:t>
      </w:r>
      <w:r>
        <w:rPr>
          <w:color w:val="003CA0"/>
          <w:sz w:val="12"/>
        </w:rPr>
        <w:t xml:space="preserve"> | HC 106.212</w:t>
      </w:r>
      <w:r>
        <w:rPr>
          <w:color w:val="003CA0"/>
          <w:sz w:val="12"/>
        </w:rPr>
        <w:t xml:space="preserve"> | rel. Marco Aurélio</w:t>
      </w:r>
    </w:p>
    <w:p>
      <w:pPr>
        <w:ind w:left="288"/>
      </w:pPr>
      <w:r>
        <w:rPr>
          <w:color w:val="1E1E1E"/>
          <w:sz w:val="18"/>
        </w:rPr>
        <w:t>Violência doméstica (...). O preceito do art. 41 da Lei 11.340/2006 alcança toda e qualquer prática delituosa contra a mulher, até mesmo quando consubstancia contravenção penal, como é a relativa a vias de fato. (...) Ante a opção político-normativa prevista no art. 98, I, e a proteção versada no art. 226, § 8º, ambos da CF, surge harmônico com esta última o afastamento peremptório da Lei 9.099/1995 – mediante o art. 41 da Lei 11.340/2006 – no processo-crime a revelar violência contra a mulher.</w:t>
      </w:r>
    </w:p>
    <w:p>
      <w:pPr>
        <w:ind w:left="288"/>
      </w:pPr>
      <w:r>
        <w:rPr>
          <w:b/>
          <w:color w:val="003CA0"/>
          <w:sz w:val="16"/>
        </w:rPr>
        <w:t>[HC 106.212, rel. min. Marco Aurélio, j. 24-3-2011, P, DJE de 13-6-2011.]</w:t>
      </w:r>
    </w:p>
    <w:p>
      <w:pPr>
        <w:ind w:left="288"/>
      </w:pPr>
      <w:r>
        <w:rPr>
          <w:color w:val="8C8C8C"/>
          <w:sz w:val="12"/>
        </w:rPr>
        <w:t>cf-art-98</w:t>
      </w:r>
      <w:r>
        <w:rPr>
          <w:color w:val="003CA0"/>
          <w:sz w:val="12"/>
        </w:rPr>
        <w:t xml:space="preserve"> | HC 110.113</w:t>
      </w:r>
      <w:r>
        <w:rPr>
          <w:color w:val="003CA0"/>
          <w:sz w:val="12"/>
        </w:rPr>
        <w:t xml:space="preserve"> | rel. Cármen Lúcia</w:t>
      </w:r>
    </w:p>
    <w:p>
      <w:pPr>
        <w:ind w:left="288"/>
      </w:pPr>
      <w:r>
        <w:rPr>
          <w:color w:val="1E1E1E"/>
          <w:sz w:val="18"/>
        </w:rPr>
        <w:t>= HC 110.113, rel. min. Cármen Lúcia, j. 20-3-2012, 1ª T, DJE de 9-4-2012 Vide ADI 3.096, rel. min. Cármen Lúcia, j. 16-6-2010, P, DJE de 3-9-2010 Consoante dispõe o art. 9º da Lei 10.259/2001, em se tratando de processo originário de juizado especial, não há a contagem de prazo em dobro prevista no art. 188 do CPC. Descabe distinguir onde a lei não distingue, para, com isso, dar origem à dualidade de prazos.</w:t>
      </w:r>
    </w:p>
    <w:p>
      <w:pPr>
        <w:ind w:left="288"/>
      </w:pPr>
      <w:r>
        <w:rPr>
          <w:b/>
          <w:color w:val="003CA0"/>
          <w:sz w:val="16"/>
        </w:rPr>
        <w:t>[RE 475.920 AgR, rel. min. Marco Aurélio, j. 25-8-2009, 1ª T, DJE de 23-10-2009.]</w:t>
      </w:r>
    </w:p>
    <w:p>
      <w:pPr>
        <w:ind w:left="288"/>
      </w:pPr>
      <w:r>
        <w:rPr>
          <w:color w:val="8C8C8C"/>
          <w:sz w:val="12"/>
        </w:rPr>
        <w:t>cf-art-98</w:t>
      </w:r>
      <w:r>
        <w:rPr>
          <w:color w:val="003CA0"/>
          <w:sz w:val="12"/>
        </w:rPr>
        <w:t xml:space="preserve"> | AI 633.998</w:t>
      </w:r>
      <w:r>
        <w:rPr>
          <w:color w:val="003CA0"/>
          <w:sz w:val="12"/>
        </w:rPr>
        <w:t xml:space="preserve"> | rel. Cármen Lúcia</w:t>
      </w:r>
    </w:p>
    <w:p>
      <w:pPr>
        <w:ind w:left="288"/>
      </w:pPr>
      <w:r>
        <w:rPr>
          <w:color w:val="1E1E1E"/>
          <w:sz w:val="18"/>
        </w:rPr>
        <w:t>Vide AI 633.998 AgR, rel. min. Cármen Lúcia, j. 25-8-2009, 1ª T, DJE de 23-10-2009 A jurisprudência do STF é pacífica quanto à impossibilidade de conhecimento de mandado de segurança impetrado contra ato pretensamente coator praticado por juiz de direito integrante de juizado especial, em face de sua absoluta incompetência. A teor do que dispõe o art. 102, I, d, da Constituição da República, dúvidas não remanescem de que a autoridade tida como coatora não está elencada naquele rol, que é taxativo, sendo, portanto, incompetente o STF para processar e julgar o presente mandado de segurança.</w:t>
      </w:r>
    </w:p>
    <w:p>
      <w:pPr>
        <w:ind w:left="288"/>
      </w:pPr>
      <w:r>
        <w:rPr>
          <w:b/>
          <w:color w:val="003CA0"/>
          <w:sz w:val="16"/>
        </w:rPr>
        <w:t>[MS 26.836 AgR, voto da rel. min. Cármen Lúcia, j. 25-6-2008, P, DJE de 13-3-2009.]</w:t>
      </w:r>
    </w:p>
    <w:p>
      <w:pPr>
        <w:ind w:left="288"/>
      </w:pPr>
      <w:r>
        <w:rPr>
          <w:color w:val="8C8C8C"/>
          <w:sz w:val="12"/>
        </w:rPr>
        <w:t>cf-art-98</w:t>
      </w:r>
      <w:r>
        <w:rPr>
          <w:color w:val="003CA0"/>
          <w:sz w:val="12"/>
        </w:rPr>
        <w:t xml:space="preserve"> | RE 463.560</w:t>
      </w:r>
      <w:r>
        <w:rPr>
          <w:color w:val="003CA0"/>
          <w:sz w:val="12"/>
        </w:rPr>
        <w:t xml:space="preserve"> | rel. Joaquim Barbosa</w:t>
      </w:r>
    </w:p>
    <w:p>
      <w:pPr>
        <w:ind w:left="288"/>
      </w:pPr>
      <w:r>
        <w:rPr>
          <w:color w:val="1E1E1E"/>
          <w:sz w:val="18"/>
        </w:rPr>
        <w:t>Os juizados especiais e as turmas recursais foram instituídos, no Estado de Santa Catarina, por lei complementar estadual, anteriormente à edição da Lei  9.099/1995. Assim, a posterior exigência, por este último diploma legal, de lei estadual para a criação de juizados e turmas recursais nos Estados já estava atendida no Estado de Santa Catarina. O fato de a lei complementar estadual prever apenas competência cível para as turmas de recursos não torna ilegítima a resolução do Tribunal de Justiça que declara a existência da competência também em matéria criminal. Observância dos princípios nort</w:t>
      </w:r>
    </w:p>
    <w:p>
      <w:pPr>
        <w:ind w:left="288"/>
      </w:pPr>
      <w:r>
        <w:rPr>
          <w:b/>
          <w:color w:val="003CA0"/>
          <w:sz w:val="16"/>
        </w:rPr>
        <w:t>[RE 463.560, rel. min. Joaquim Barbosa, j. 29-4-2008, 2ª T, DJE de 20-6-2008.]</w:t>
      </w:r>
    </w:p>
    <w:p>
      <w:pPr>
        <w:ind w:left="288"/>
      </w:pPr>
      <w:r>
        <w:rPr>
          <w:color w:val="8C8C8C"/>
          <w:sz w:val="12"/>
        </w:rPr>
        <w:t>cf-art-98</w:t>
      </w:r>
      <w:r>
        <w:rPr>
          <w:color w:val="003CA0"/>
          <w:sz w:val="12"/>
        </w:rPr>
        <w:t xml:space="preserve"> | RE 721.967</w:t>
      </w:r>
      <w:r>
        <w:rPr>
          <w:color w:val="003CA0"/>
          <w:sz w:val="12"/>
        </w:rPr>
        <w:t xml:space="preserve"> | rel. Gilmar Mendes</w:t>
      </w:r>
    </w:p>
    <w:p>
      <w:pPr>
        <w:ind w:left="288"/>
      </w:pPr>
      <w:r>
        <w:rPr>
          <w:color w:val="1E1E1E"/>
          <w:sz w:val="18"/>
        </w:rPr>
        <w:t>= RE 721.967 AgR, rel. min. Gilmar Mendes, j. 19-11-2013, 2ª T, DJE de 5-12-2013 Competência recursal: crime de menor potencial ofensivo: se o réu foi processado e condenado pela Justiça comum, compete ao tribunal de justiça e não à turma recursal a apreciação do mérito da apelação criminal.</w:t>
      </w:r>
    </w:p>
    <w:p>
      <w:pPr>
        <w:ind w:left="288"/>
      </w:pPr>
      <w:r>
        <w:rPr>
          <w:b/>
          <w:color w:val="003CA0"/>
          <w:sz w:val="16"/>
        </w:rPr>
        <w:t>[HC 88.428, rel. min. Sepúlveda Pertence, j. 30-5-2006, 1ª T, DJ de 10-8-2006.]</w:t>
      </w:r>
    </w:p>
    <w:p>
      <w:pPr>
        <w:ind w:left="288"/>
      </w:pPr>
      <w:r>
        <w:rPr>
          <w:color w:val="8C8C8C"/>
          <w:sz w:val="12"/>
        </w:rPr>
        <w:t>cf-art-98</w:t>
      </w:r>
      <w:r>
        <w:rPr>
          <w:color w:val="003CA0"/>
          <w:sz w:val="12"/>
        </w:rPr>
        <w:t xml:space="preserve"> | RE 273.899</w:t>
      </w:r>
      <w:r>
        <w:rPr>
          <w:color w:val="003CA0"/>
          <w:sz w:val="12"/>
        </w:rPr>
        <w:t xml:space="preserve"> | rel. Sepúlveda Pertence</w:t>
      </w:r>
    </w:p>
    <w:p>
      <w:pPr>
        <w:ind w:left="288"/>
      </w:pPr>
      <w:r>
        <w:rPr>
          <w:color w:val="1E1E1E"/>
          <w:sz w:val="18"/>
        </w:rPr>
        <w:t>Juizados especiais (CF, art. 98, I): matéria de processo (criação de recursos): competência legislativa privativa da União (Lei 9.099/1995): consequente inadmissibilidade de embargos de divergência para o tribunal de justiça, criados por lei estadual.</w:t>
      </w:r>
    </w:p>
    <w:p>
      <w:pPr>
        <w:ind w:left="288"/>
      </w:pPr>
      <w:r>
        <w:rPr>
          <w:b/>
          <w:color w:val="003CA0"/>
          <w:sz w:val="16"/>
        </w:rPr>
        <w:t>[RE 273.899, rel. min. Sepúlveda Pertence, j. 29-3-2001, P, DJ de 25-5-2001.]</w:t>
      </w:r>
    </w:p>
    <w:p>
      <w:pPr>
        <w:ind w:left="288"/>
      </w:pPr>
      <w:r>
        <w:rPr>
          <w:color w:val="8C8C8C"/>
          <w:sz w:val="12"/>
        </w:rPr>
        <w:t>cf-art-98</w:t>
      </w:r>
      <w:r>
        <w:rPr>
          <w:color w:val="003CA0"/>
          <w:sz w:val="12"/>
        </w:rPr>
        <w:t xml:space="preserve"> | ADO 40</w:t>
      </w:r>
      <w:r>
        <w:rPr>
          <w:color w:val="003CA0"/>
          <w:sz w:val="12"/>
        </w:rPr>
        <w:t xml:space="preserve"> | rel. Cristiano Zanin</w:t>
      </w:r>
    </w:p>
    <w:p>
      <w:pPr>
        <w:ind w:left="288"/>
      </w:pPr>
      <w:r>
        <w:rPr>
          <w:color w:val="1E1E1E"/>
          <w:sz w:val="18"/>
        </w:rPr>
        <w:t>II - justiça de paz, remunerada, composta de cidadãos eleitos pelo voto direto, universal e secreto, com mandato de quatro anos e competência para, na forma da lei, celebrar casamentos, verificar, de ofício ou em face de impugnação apresentada, o processo de habilitação e exercer atribuições conciliatórias, sem caráter jurisdicional, além de outras previstas na legislação. Disciplina constitucional do art. 98, II, da Constituição Federal, que versa sobre a criação da justiça de paz. Suposta omissão inconstitucional atribuída à união e aos estados federativos apontados na petição inicial quanto</w:t>
      </w:r>
    </w:p>
    <w:p>
      <w:pPr>
        <w:ind w:left="288"/>
      </w:pPr>
      <w:r>
        <w:rPr>
          <w:b/>
          <w:color w:val="003CA0"/>
          <w:sz w:val="16"/>
        </w:rPr>
        <w:t>[ADO 40, rel. min. Cristiano Zanin, j.18-2-2026, P, DJE de 2-3-2026.]</w:t>
      </w:r>
    </w:p>
    <w:p>
      <w:pPr>
        <w:ind w:left="144"/>
      </w:pPr>
      <w:r>
        <w:rPr>
          <w:b/>
          <w:color w:val="B45A00"/>
          <w:sz w:val="16"/>
        </w:rPr>
        <w:t>CONTROLE CONCENTRADO</w:t>
      </w:r>
    </w:p>
    <w:p>
      <w:pPr>
        <w:ind w:left="288"/>
      </w:pPr>
      <w:r>
        <w:rPr>
          <w:color w:val="8C8C8C"/>
          <w:sz w:val="12"/>
        </w:rPr>
        <w:t>cf-art-98</w:t>
      </w:r>
      <w:r>
        <w:rPr>
          <w:color w:val="003CA0"/>
          <w:sz w:val="12"/>
        </w:rPr>
        <w:t xml:space="preserve"> | ADI 954</w:t>
      </w:r>
      <w:r>
        <w:rPr>
          <w:color w:val="003CA0"/>
          <w:sz w:val="12"/>
        </w:rPr>
        <w:t xml:space="preserve"> | rel. Gilmar Mendes</w:t>
      </w:r>
    </w:p>
    <w:p>
      <w:pPr>
        <w:ind w:left="288"/>
      </w:pPr>
      <w:r>
        <w:rPr>
          <w:color w:val="1E1E1E"/>
          <w:sz w:val="18"/>
        </w:rPr>
        <w:t>Os juízes de paz, na qualidade de agentes públicos, ocupam cargo cuja remuneração deve ocorrer com base em valor fixo e predeterminado, e não por participação no que é recolhido aos cofres públicos. Além disso, os juízes de paz integram o Poder Judiciário e a eles se impõe a vedação prevista no art. 95, parágrafo único, II, da Constituição, a qual proíbe a percepção, a qualquer título ou pretexto, de custas ou participação em processo pelos membros do Judiciário.</w:t>
      </w:r>
    </w:p>
    <w:p>
      <w:pPr>
        <w:ind w:left="288"/>
      </w:pPr>
      <w:r>
        <w:rPr>
          <w:b/>
          <w:color w:val="003CA0"/>
          <w:sz w:val="16"/>
        </w:rPr>
        <w:t>[ADI 954, rel. min. Gilmar Mendes, j. 24-2-2011, P, DJE de 26-5-2011.]</w:t>
      </w:r>
    </w:p>
    <w:p>
      <w:pPr>
        <w:ind w:left="288"/>
      </w:pPr>
      <w:r>
        <w:rPr>
          <w:color w:val="8C8C8C"/>
          <w:sz w:val="12"/>
        </w:rPr>
        <w:t>cf-art-98</w:t>
      </w:r>
      <w:r>
        <w:rPr>
          <w:color w:val="003CA0"/>
          <w:sz w:val="12"/>
        </w:rPr>
        <w:t xml:space="preserve"> | ADI 1.051</w:t>
      </w:r>
      <w:r>
        <w:rPr>
          <w:color w:val="003CA0"/>
          <w:sz w:val="12"/>
        </w:rPr>
        <w:t xml:space="preserve"> | rel. Maurício Corrêa</w:t>
      </w:r>
    </w:p>
    <w:p>
      <w:pPr>
        <w:ind w:left="288"/>
      </w:pPr>
      <w:r>
        <w:rPr>
          <w:color w:val="1E1E1E"/>
          <w:sz w:val="18"/>
        </w:rPr>
        <w:t>Vide ADI 1.051, rel. min. Maurício Corrêa, j. 2-8-1995, P, DJ de 13-10-1995 A obrigatoriedade de filiação partidária para os candidatos a juiz de paz (art. 14, § 3º, da Constituição do Brasil/1988) decorre do sistema eleitoral constitucionalmente definido. (...) A fixação por lei estadual de condições de elegibilidade em relação aos candidatos a juiz de paz, além das constitucionalmente previstas no art. 14, § 3º, invade a competência da União para legislar sobre direito eleitoral, definida no art. 22, I, da Constituição do Brasil. (...) Lei estadual que define como competência funcional do ju</w:t>
      </w:r>
    </w:p>
    <w:p>
      <w:pPr>
        <w:ind w:left="288"/>
      </w:pPr>
      <w:r>
        <w:rPr>
          <w:b/>
          <w:color w:val="003CA0"/>
          <w:sz w:val="16"/>
        </w:rPr>
        <w:t>[ADI 2.938, rel. min. Eros Grau, j. 9-6-2005, P, DJ de 9-12-2005.]</w:t>
      </w:r>
    </w:p>
    <w:p>
      <w:pPr>
        <w:ind w:left="288"/>
      </w:pPr>
      <w:r>
        <w:rPr>
          <w:color w:val="8C8C8C"/>
          <w:sz w:val="12"/>
        </w:rPr>
        <w:t>cf-art-98</w:t>
      </w:r>
      <w:r>
        <w:rPr>
          <w:color w:val="003CA0"/>
          <w:sz w:val="12"/>
        </w:rPr>
        <w:t xml:space="preserve"> | ADI 1.051</w:t>
      </w:r>
      <w:r>
        <w:rPr>
          <w:color w:val="003CA0"/>
          <w:sz w:val="12"/>
        </w:rPr>
        <w:t xml:space="preserve"> | rel. Maurício Corrêa</w:t>
      </w:r>
    </w:p>
    <w:p>
      <w:pPr>
        <w:ind w:left="288"/>
      </w:pPr>
      <w:r>
        <w:rPr>
          <w:color w:val="1E1E1E"/>
          <w:sz w:val="18"/>
        </w:rPr>
        <w:t xml:space="preserve">A remuneração dos juízes de paz somente pode ser fixada em lei de iniciativa exclusiva do tribunal de justiça do Estado. A regra constitucional insculpida no art. 98 e seu inciso II, segundo a qual a União, no Distrito Federal e nos Territórios, e os Estados criarão a Justiça de Paz, remunerada, não prescinde do ditame relativo à competência exclusiva enunciada no mencionado art. 96, II, b. As disposições que atribuem remuneração aos juízes de paz, decorrentes de emenda parlamentar ao projeto original, de iniciativa do tribunal de justiça estadual, são incompatíveis com as regras dos arts. 2º </w:t>
      </w:r>
    </w:p>
    <w:p>
      <w:pPr>
        <w:ind w:left="288"/>
      </w:pPr>
      <w:r>
        <w:rPr>
          <w:b/>
          <w:color w:val="003CA0"/>
          <w:sz w:val="16"/>
        </w:rPr>
        <w:t>[ADI 1.051, rel. min. Maurício Corrêa, j. 2-8-1995, P, DJ de 13-10-1995.]</w:t>
      </w:r>
    </w:p>
    <w:p>
      <w:pPr>
        <w:ind w:left="288"/>
      </w:pPr>
      <w:r>
        <w:rPr>
          <w:color w:val="8C8C8C"/>
          <w:sz w:val="12"/>
        </w:rPr>
        <w:t>cf-art-98</w:t>
      </w:r>
      <w:r>
        <w:rPr>
          <w:color w:val="003CA0"/>
          <w:sz w:val="12"/>
        </w:rPr>
        <w:t xml:space="preserve"> | RE 480.328</w:t>
      </w:r>
      <w:r>
        <w:rPr>
          <w:color w:val="003CA0"/>
          <w:sz w:val="12"/>
        </w:rPr>
        <w:t xml:space="preserve"> | rel. Marco Aurélio</w:t>
      </w:r>
    </w:p>
    <w:p>
      <w:pPr>
        <w:ind w:left="288"/>
      </w:pPr>
      <w:r>
        <w:rPr>
          <w:color w:val="1E1E1E"/>
          <w:sz w:val="18"/>
        </w:rPr>
        <w:t>= RE 480.328, rel. min. Marco Aurélio, j. 2-6-2009, 1ª T, DJE de 28-8-2009 Vide ADI 954, rel. min. Gilmar Mendes, j. 24-2-2011, P, DJE de 26-5-2011</w:t>
      </w:r>
    </w:p>
    <w:p>
      <w:pPr>
        <w:ind w:left="144"/>
      </w:pPr>
      <w:r>
        <w:rPr>
          <w:b/>
          <w:color w:val="B45A00"/>
          <w:sz w:val="16"/>
        </w:rPr>
        <w:t>REPERCUSSAO GERAL</w:t>
      </w:r>
    </w:p>
    <w:p>
      <w:pPr>
        <w:ind w:left="288"/>
      </w:pPr>
      <w:r>
        <w:rPr>
          <w:color w:val="8C8C8C"/>
          <w:sz w:val="12"/>
        </w:rPr>
        <w:t>cf-art-98-par-1</w:t>
      </w:r>
      <w:r>
        <w:rPr>
          <w:color w:val="003CA0"/>
          <w:sz w:val="12"/>
        </w:rPr>
        <w:t xml:space="preserve"> | ARE 648.629</w:t>
      </w:r>
      <w:r>
        <w:rPr>
          <w:color w:val="003CA0"/>
          <w:sz w:val="12"/>
        </w:rPr>
        <w:t xml:space="preserve"> | rel. Luiz Fux</w:t>
      </w:r>
    </w:p>
    <w:p>
      <w:pPr>
        <w:ind w:left="288"/>
      </w:pPr>
      <w:r>
        <w:rPr>
          <w:color w:val="1E1E1E"/>
          <w:sz w:val="18"/>
        </w:rPr>
        <w:t>Não se aplica aos juizados especiais federais a prerrogativa de intimação pessoal dos ocupantes de cargo de procurador federal, prevista no art. 17 da Lei 10.910/2004, na medida em que nesse rito especial, ante a simplicidade das causas nele julgadas, particular e Fazenda Pública apresentam semelhante, se não idêntica, dificuldade para o adequado exercício do direito de informação dos atos do processo, de modo que não se revela razoável a incidência de norma que restringe a paridade de armas, além de comprometer a informalidade e a celeridade do procedimento.</w:t>
      </w:r>
    </w:p>
    <w:p>
      <w:pPr>
        <w:ind w:left="288"/>
      </w:pPr>
      <w:r>
        <w:rPr>
          <w:b/>
          <w:color w:val="003CA0"/>
          <w:sz w:val="16"/>
        </w:rPr>
        <w:t>[ARE 648.629, rel. min. Luiz Fux, j. 24-4-2013, P, DJE de 8-4-2014, Tema 549, com mérito julgado.]</w:t>
      </w:r>
    </w:p>
    <w:p>
      <w:pPr>
        <w:ind w:left="288"/>
      </w:pPr>
      <w:r>
        <w:rPr>
          <w:color w:val="8C8C8C"/>
          <w:sz w:val="12"/>
        </w:rPr>
        <w:t>cf-art-98-par-2</w:t>
      </w:r>
      <w:r>
        <w:rPr>
          <w:color w:val="003CA0"/>
          <w:sz w:val="12"/>
        </w:rPr>
        <w:t xml:space="preserve"> | ADI 7.641</w:t>
      </w:r>
      <w:r>
        <w:rPr>
          <w:color w:val="003CA0"/>
          <w:sz w:val="12"/>
        </w:rPr>
        <w:t xml:space="preserve"> | rel. Alexandre de Moraes</w:t>
      </w:r>
    </w:p>
    <w:p>
      <w:pPr>
        <w:ind w:left="288"/>
      </w:pPr>
      <w:r>
        <w:rPr>
          <w:color w:val="1E1E1E"/>
          <w:sz w:val="18"/>
        </w:rPr>
        <w:t>A LC 200/2023 reforça a responsabilidade fiscal e estabelece limites individualizados para despesas primárias, com exceções específicas para entidades com receitas próprias, como universidades, empresas públicas e instituições científicas. O não enquadramento das receitas próprias dos tribunais federais nas exceções previstas na lei compromete a autonomia desses órgãos, assim como impede a destinação exclusiva de parte destas verbas ao custeio das atividades judiciais, prevista no art. 98, § 2º, da Constituição Federal. No âmbito do Poder Judiciário, fundos especiais e receitas próprias vincul</w:t>
      </w:r>
    </w:p>
    <w:p>
      <w:pPr>
        <w:ind w:left="288"/>
      </w:pPr>
      <w:r>
        <w:rPr>
          <w:b/>
          <w:color w:val="003CA0"/>
          <w:sz w:val="16"/>
        </w:rPr>
        <w:t>[ADI 7.641, rel. min. Alexandre de Moraes, j. 14.04.2025, P, DJE de 23.04.2025.]</w:t>
      </w:r>
    </w:p>
    <w:p>
      <w:pPr>
        <w:ind w:left="288"/>
      </w:pPr>
      <w:r>
        <w:rPr>
          <w:color w:val="8C8C8C"/>
          <w:sz w:val="12"/>
        </w:rPr>
        <w:t>cf-art-98-par-2</w:t>
      </w:r>
      <w:r>
        <w:rPr>
          <w:color w:val="003CA0"/>
          <w:sz w:val="12"/>
        </w:rPr>
        <w:t xml:space="preserve"> | ADI 7.641</w:t>
      </w:r>
      <w:r>
        <w:rPr>
          <w:color w:val="003CA0"/>
          <w:sz w:val="12"/>
        </w:rPr>
        <w:t xml:space="preserve"> | rel. Alexandre de Moraes</w:t>
      </w:r>
    </w:p>
    <w:p>
      <w:pPr>
        <w:ind w:left="288"/>
      </w:pPr>
      <w:r>
        <w:rPr>
          <w:b/>
          <w:color w:val="003CA0"/>
          <w:sz w:val="16"/>
        </w:rPr>
        <w:t>[ADI 7.641 ED, rel. min. Alexandre de Moraes, j. 28.08.2025, P, DJE de 20.10.2025.]</w:t>
      </w:r>
    </w:p>
    <w:p>
      <w:pPr>
        <w:ind w:left="144"/>
      </w:pPr>
      <w:r>
        <w:rPr>
          <w:b/>
          <w:color w:val="B45A00"/>
          <w:sz w:val="16"/>
        </w:rPr>
        <w:t>CONTROLE CONCENTRADO</w:t>
      </w:r>
    </w:p>
    <w:p>
      <w:pPr>
        <w:ind w:left="288"/>
      </w:pPr>
      <w:r>
        <w:rPr>
          <w:color w:val="8C8C8C"/>
          <w:sz w:val="12"/>
        </w:rPr>
        <w:t>cf-art-98-par-2</w:t>
      </w:r>
      <w:r>
        <w:rPr>
          <w:color w:val="003CA0"/>
          <w:sz w:val="12"/>
        </w:rPr>
        <w:t xml:space="preserve"> | ADI 6.145</w:t>
      </w:r>
      <w:r>
        <w:rPr>
          <w:color w:val="003CA0"/>
          <w:sz w:val="12"/>
        </w:rPr>
        <w:t xml:space="preserve"> | rel. Rosa Weber</w:t>
      </w:r>
    </w:p>
    <w:p>
      <w:pPr>
        <w:ind w:left="288"/>
      </w:pPr>
      <w:r>
        <w:rPr>
          <w:color w:val="1E1E1E"/>
          <w:sz w:val="18"/>
        </w:rPr>
        <w:t>A taxa, embora tributo vinculado quanto ao fato gerador, não possui destinação vinculada. A Constituição da República determina a arrecadação de taxa com destinação vinculada apenas na hipótese do art. 98, § 2º.</w:t>
      </w:r>
    </w:p>
    <w:p>
      <w:pPr>
        <w:ind w:left="288"/>
      </w:pPr>
      <w:r>
        <w:rPr>
          <w:b/>
          <w:color w:val="003CA0"/>
          <w:sz w:val="16"/>
        </w:rPr>
        <w:t>[ADI 6.145, rel. min. Rosa Weber, j. 14-9-2022, P, DJE de 24-10-2022.]</w:t>
      </w:r>
    </w:p>
    <w:p>
      <w:pPr>
        <w:ind w:left="288"/>
      </w:pPr>
      <w:r>
        <w:rPr>
          <w:color w:val="8C8C8C"/>
          <w:sz w:val="12"/>
        </w:rPr>
        <w:t>cf-art-98-par-2</w:t>
      </w:r>
      <w:r>
        <w:rPr>
          <w:color w:val="003CA0"/>
          <w:sz w:val="12"/>
        </w:rPr>
        <w:t xml:space="preserve"> | ADI 3.419</w:t>
      </w:r>
      <w:r>
        <w:rPr>
          <w:color w:val="003CA0"/>
          <w:sz w:val="12"/>
        </w:rPr>
        <w:t xml:space="preserve"> | rel. Gilmar Mendes</w:t>
      </w:r>
    </w:p>
    <w:p>
      <w:pPr>
        <w:ind w:left="288"/>
      </w:pPr>
      <w:r>
        <w:rPr>
          <w:color w:val="1E1E1E"/>
          <w:sz w:val="18"/>
        </w:rPr>
        <w:t>Artigos 20, 21 e 30 da Lei 7.088/1997 do Estado do Rio Grande do Norte. Destinação de percentual da arrecadação da taxa judiciária para Escola da Magistratura estadual. (...) O funcionamento de Escola da Magistratura como órgão integrante do Poder Judiciário visa a aprimorar a prestação jurisdicional, o que lhe permite ser financiada também por recursos decorrentes da utilização de tal serviço público.</w:t>
      </w:r>
    </w:p>
    <w:p>
      <w:pPr>
        <w:ind w:left="288"/>
      </w:pPr>
      <w:r>
        <w:rPr>
          <w:b/>
          <w:color w:val="003CA0"/>
          <w:sz w:val="16"/>
        </w:rPr>
        <w:t>[ADI 3.419, rel. min. Gilmar Mendes, j. 6-12-2019, P, DJE de 17-12-2019.]</w:t>
      </w:r>
    </w:p>
    <w:p>
      <w:pPr>
        <w:ind w:left="288"/>
      </w:pPr>
      <w:r>
        <w:rPr>
          <w:color w:val="8C8C8C"/>
          <w:sz w:val="12"/>
        </w:rPr>
        <w:t>cf-art-98-par-2</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w:t>
      </w:r>
    </w:p>
    <w:p>
      <w:pPr>
        <w:ind w:left="288"/>
      </w:pPr>
      <w:r>
        <w:rPr>
          <w:b/>
          <w:color w:val="003CA0"/>
          <w:sz w:val="16"/>
        </w:rPr>
        <w:t>[ADI 3.401, rel. min. Gilmar Mendes, j. 26-4-2006, P, DJ de 23-2-2007.]</w:t>
      </w:r>
    </w:p>
    <w:p>
      <w:pPr>
        <w:ind w:left="720"/>
      </w:pPr>
      <w:r>
        <w:rPr>
          <w:color w:val="003366"/>
          <w:sz w:val="18"/>
        </w:rPr>
        <w:t>I – juizados especiais, providos por juízes togados, ou togados e leigos, compet</w:t>
      </w:r>
    </w:p>
    <w:p>
      <w:pPr>
        <w:ind w:left="720"/>
      </w:pPr>
      <w:r>
        <w:rPr>
          <w:color w:val="003366"/>
          <w:sz w:val="18"/>
        </w:rPr>
        <w:t xml:space="preserve">II – justiça de paz, remunerada, composta de cidadãos eleitos pelo voto direto, </w:t>
      </w:r>
    </w:p>
    <w:p>
      <w:pPr>
        <w:ind w:left="432"/>
      </w:pPr>
      <w:r>
        <w:rPr>
          <w:color w:val="003366"/>
          <w:sz w:val="18"/>
        </w:rPr>
        <w:t>§ 1 Lei federal disporá sobre a criação de juizados especiais no âmbito da Justi</w:t>
      </w:r>
    </w:p>
    <w:p>
      <w:pPr>
        <w:ind w:left="432"/>
      </w:pPr>
      <w:r>
        <w:rPr>
          <w:color w:val="003366"/>
          <w:sz w:val="18"/>
        </w:rPr>
        <w:t>§ 2 As custas e emolumentos serão destinados exclusivamente ao custeio dos servi</w:t>
      </w:r>
    </w:p>
    <w:p>
      <w:r>
        <w:rPr>
          <w:b/>
          <w:color w:val="003366"/>
          <w:sz w:val="20"/>
        </w:rPr>
        <w:t>Art. 99 Ao Poder Judiciário é assegurada autonomia administrativa e financeira.</w:t>
      </w:r>
      <w:r>
        <w:rPr>
          <w:color w:val="8C8C8C"/>
          <w:sz w:val="14"/>
        </w:rPr>
        <w:t xml:space="preserve">  [15 decisoes]</w:t>
      </w:r>
    </w:p>
    <w:p>
      <w:pPr>
        <w:ind w:left="144"/>
      </w:pPr>
      <w:r>
        <w:rPr>
          <w:b/>
          <w:color w:val="B45A00"/>
          <w:sz w:val="16"/>
        </w:rPr>
        <w:t>CONTROLE CONCENTRADO</w:t>
      </w:r>
    </w:p>
    <w:p>
      <w:pPr>
        <w:ind w:left="288"/>
      </w:pPr>
      <w:r>
        <w:rPr>
          <w:color w:val="8C8C8C"/>
          <w:sz w:val="12"/>
        </w:rPr>
        <w:t>cf-art-99</w:t>
      </w:r>
      <w:r>
        <w:rPr>
          <w:color w:val="003CA0"/>
          <w:sz w:val="12"/>
        </w:rPr>
        <w:t xml:space="preserve"> | ADI 3.976</w:t>
      </w:r>
      <w:r>
        <w:rPr>
          <w:color w:val="003CA0"/>
          <w:sz w:val="12"/>
        </w:rPr>
        <w:t xml:space="preserve"> | rel. Edson Fachin</w:t>
      </w:r>
    </w:p>
    <w:p>
      <w:pPr>
        <w:ind w:left="288"/>
      </w:pPr>
      <w:r>
        <w:rPr>
          <w:color w:val="1E1E1E"/>
          <w:sz w:val="18"/>
        </w:rPr>
        <w:t>A escolha dos órgãos diretivos compete privativamente ao próprio tribunal, nos termos do artigo 96, I, a, e artigo 99, da Carta Magna, em homenagem à autonomia administrativa. Matéria sujeita à disciplina por normas regimentais, não recepcionado o artigo 102, da Lei Orgânica da Magistratura Nacional (LCp 35/1979), na parte em que restringe aos Juízes mais antigos o universo daqueles aptos a concorrer aos cargos de direção.</w:t>
      </w:r>
    </w:p>
    <w:p>
      <w:pPr>
        <w:ind w:left="288"/>
      </w:pPr>
      <w:r>
        <w:rPr>
          <w:b/>
          <w:color w:val="003CA0"/>
          <w:sz w:val="16"/>
        </w:rPr>
        <w:t>[ADI 3.976, rel. min. Edson Fachin, j. 25-6-2020, P, DJE de 21-9-2020.]</w:t>
      </w:r>
    </w:p>
    <w:p>
      <w:pPr>
        <w:ind w:left="288"/>
      </w:pPr>
      <w:r>
        <w:rPr>
          <w:color w:val="8C8C8C"/>
          <w:sz w:val="12"/>
        </w:rPr>
        <w:t>cf-art-99</w:t>
      </w:r>
      <w:r>
        <w:rPr>
          <w:color w:val="003CA0"/>
          <w:sz w:val="12"/>
        </w:rPr>
        <w:t xml:space="preserve"> | ADI 1.933</w:t>
      </w:r>
      <w:r>
        <w:rPr>
          <w:color w:val="003CA0"/>
          <w:sz w:val="12"/>
        </w:rPr>
        <w:t xml:space="preserve"> | rel. Eros Grau</w:t>
      </w:r>
    </w:p>
    <w:p>
      <w:pPr>
        <w:ind w:left="288"/>
      </w:pPr>
      <w:r>
        <w:rPr>
          <w:color w:val="1E1E1E"/>
          <w:sz w:val="18"/>
        </w:rPr>
        <w:t>(...) a transferência dos recursos depositados em juízo para a conta única do Tesouro Nacional em nada afeta a autonomia do Poder Judiciário, até porque esses valores não integram os recursos orçamentários de administração exclusiva desse Poder (art. 168 da CF). Enquanto não houver ordem judicial para levantamento (e a lei não opõe nenhum óbice à emissão dessa ordem), os valores terão a aplicação determinada em lei.</w:t>
      </w:r>
    </w:p>
    <w:p>
      <w:pPr>
        <w:ind w:left="288"/>
      </w:pPr>
      <w:r>
        <w:rPr>
          <w:b/>
          <w:color w:val="003CA0"/>
          <w:sz w:val="16"/>
        </w:rPr>
        <w:t>[ADI 1.933, rel. min. Eros Grau, voto do min. Ayres Britto, j. 14-4-2010, P, DJE de 3-9-2010.]</w:t>
      </w:r>
    </w:p>
    <w:p>
      <w:pPr>
        <w:ind w:left="288"/>
      </w:pPr>
      <w:r>
        <w:rPr>
          <w:color w:val="8C8C8C"/>
          <w:sz w:val="12"/>
        </w:rPr>
        <w:t>cf-art-99</w:t>
      </w:r>
      <w:r>
        <w:rPr>
          <w:color w:val="003CA0"/>
          <w:sz w:val="12"/>
        </w:rPr>
        <w:t xml:space="preserve"> | ADI 1.578</w:t>
      </w:r>
      <w:r>
        <w:rPr>
          <w:color w:val="003CA0"/>
          <w:sz w:val="12"/>
        </w:rPr>
        <w:t xml:space="preserve"> | rel. Cármen Lúcia</w:t>
      </w:r>
    </w:p>
    <w:p>
      <w:pPr>
        <w:ind w:left="288"/>
      </w:pPr>
      <w:r>
        <w:rPr>
          <w:color w:val="1E1E1E"/>
          <w:sz w:val="18"/>
        </w:rPr>
        <w:t>Lei 5.913/1997 do Estado de Alagoas. Criação da Central de Pagamentos de Salários do Estado. Órgão externo. Princípio da separação de poderes. Autonomia financeira e administrativa do Poder Judiciário. (...) A Associação dos Magistrados Brasileiros (AMB) tem legitimidade para o ajuizamento de ação direta de inconstitucionalidade em que se discute afronta ao princípio constitucional da autonomia do Poder Judiciário. A ingerência de órgão externo nos processos decisórios relativos à organização e ao funcionamento do Poder Judiciário afronta sua autonomia financeira e administrativa. A presença d</w:t>
      </w:r>
    </w:p>
    <w:p>
      <w:pPr>
        <w:ind w:left="288"/>
      </w:pPr>
      <w:r>
        <w:rPr>
          <w:b/>
          <w:color w:val="003CA0"/>
          <w:sz w:val="16"/>
        </w:rPr>
        <w:t>[ADI 1.578, rel. min. Cármen Lúcia, j. 4-3-2009, P, DJE de 3-4-2009.]</w:t>
      </w:r>
    </w:p>
    <w:p>
      <w:pPr>
        <w:ind w:left="288"/>
      </w:pPr>
      <w:r>
        <w:rPr>
          <w:color w:val="8C8C8C"/>
          <w:sz w:val="12"/>
        </w:rPr>
        <w:t>cf-art-99</w:t>
      </w:r>
      <w:r>
        <w:rPr>
          <w:color w:val="003CA0"/>
          <w:sz w:val="12"/>
        </w:rPr>
        <w:t xml:space="preserve"> | ADI 3.458</w:t>
      </w:r>
      <w:r>
        <w:rPr>
          <w:color w:val="003CA0"/>
          <w:sz w:val="12"/>
        </w:rPr>
        <w:t xml:space="preserve"> | rel. Eros Grau</w:t>
      </w:r>
    </w:p>
    <w:p>
      <w:pPr>
        <w:ind w:left="288"/>
      </w:pPr>
      <w:r>
        <w:rPr>
          <w:color w:val="1E1E1E"/>
          <w:sz w:val="18"/>
        </w:rPr>
        <w:t>Tesouro estadual definido como administrador da conta de depósitos judiciais. Inconstitucionalidade material. (...) Cumpre ao Poder Judiciário a administração e os rendimentos referentes à conta única de depósitos judiciais e extrajudiciais.</w:t>
      </w:r>
    </w:p>
    <w:p>
      <w:pPr>
        <w:ind w:left="288"/>
      </w:pPr>
      <w:r>
        <w:rPr>
          <w:b/>
          <w:color w:val="003CA0"/>
          <w:sz w:val="16"/>
        </w:rPr>
        <w:t>[ADI 3.458, rel. min. Eros Grau, j. 21-2-2008, P, DJE de 16-5-2008.]</w:t>
      </w:r>
    </w:p>
    <w:p>
      <w:pPr>
        <w:ind w:left="288"/>
      </w:pPr>
      <w:r>
        <w:rPr>
          <w:color w:val="8C8C8C"/>
          <w:sz w:val="12"/>
        </w:rPr>
        <w:t>cf-art-99</w:t>
      </w:r>
      <w:r>
        <w:rPr>
          <w:color w:val="003CA0"/>
          <w:sz w:val="12"/>
        </w:rPr>
        <w:t xml:space="preserve"> | ADI 1.933</w:t>
      </w:r>
      <w:r>
        <w:rPr>
          <w:color w:val="003CA0"/>
          <w:sz w:val="12"/>
        </w:rPr>
        <w:t xml:space="preserve"> | rel. Eros Grau</w:t>
      </w:r>
    </w:p>
    <w:p>
      <w:pPr>
        <w:ind w:left="288"/>
      </w:pPr>
      <w:r>
        <w:rPr>
          <w:color w:val="1E1E1E"/>
          <w:sz w:val="18"/>
        </w:rPr>
        <w:t>Vide ADI 1.933, rel. min. Eros Grau, j. 14-4-2010, P, DJE de 3-9-2010 Vide ADI 2.214 MC, rel. min. Maurício Corrêa, j. 6-2-2002, P, DJ de 19-4-2002</w:t>
      </w:r>
    </w:p>
    <w:p>
      <w:pPr>
        <w:ind w:left="144"/>
      </w:pPr>
      <w:r>
        <w:rPr>
          <w:b/>
          <w:color w:val="B45A00"/>
          <w:sz w:val="16"/>
        </w:rPr>
        <w:t>JULGADOS CORRELATOS</w:t>
      </w:r>
    </w:p>
    <w:p>
      <w:pPr>
        <w:ind w:left="288"/>
      </w:pPr>
      <w:r>
        <w:rPr>
          <w:color w:val="8C8C8C"/>
          <w:sz w:val="12"/>
        </w:rPr>
        <w:t>cf-art-99</w:t>
      </w:r>
      <w:r>
        <w:rPr>
          <w:color w:val="003CA0"/>
          <w:sz w:val="12"/>
        </w:rPr>
        <w:t xml:space="preserve"> | MS 39.821</w:t>
      </w:r>
      <w:r>
        <w:rPr>
          <w:color w:val="003CA0"/>
          <w:sz w:val="12"/>
        </w:rPr>
        <w:t xml:space="preserve"> | rel. Nunes Marques</w:t>
      </w:r>
    </w:p>
    <w:p>
      <w:pPr>
        <w:ind w:left="288"/>
      </w:pPr>
      <w:r>
        <w:rPr>
          <w:color w:val="1E1E1E"/>
          <w:sz w:val="18"/>
        </w:rPr>
        <w:t>Prestações pecuniárias pagas em decorrência de processos criminais. Fiscalização da destinação dos recursos. Tribunal de Contas da União. Incompetência. (...) O Tribunal de Contas da União, ao avançar na fiscalização da destinação de recursos oriundos de prestações pecuniárias pagas em virtude de condenações criminais, surgidas da atuação jurisdicional, viola as garantias de autonomia administrativa e financeira do Poder Judiciário (CF, arts. 96 e 99), que possui normas legais regulamentadoras da matéria em discussão.</w:t>
        <w:br/>
        <w:t>[MS 39.821 MC-REF, rel. min. Nunes Marques, j. 26.08.2024, 2ª T, DJE de 02.1</w:t>
      </w:r>
    </w:p>
    <w:p>
      <w:pPr>
        <w:ind w:left="288"/>
      </w:pPr>
      <w:r>
        <w:rPr>
          <w:color w:val="8C8C8C"/>
          <w:sz w:val="12"/>
        </w:rPr>
        <w:t>cf-art-99-par-1</w:t>
      </w:r>
      <w:r>
        <w:rPr>
          <w:color w:val="003CA0"/>
          <w:sz w:val="12"/>
        </w:rPr>
        <w:t xml:space="preserve"> | ADI 7.641</w:t>
      </w:r>
      <w:r>
        <w:rPr>
          <w:color w:val="003CA0"/>
          <w:sz w:val="12"/>
        </w:rPr>
        <w:t xml:space="preserve"> | rel. Alexandre de Moraes</w:t>
      </w:r>
    </w:p>
    <w:p>
      <w:pPr>
        <w:ind w:left="288"/>
      </w:pPr>
      <w:r>
        <w:rPr>
          <w:color w:val="1E1E1E"/>
          <w:sz w:val="18"/>
        </w:rPr>
        <w:t>As receitas próprias dos Tribunais e órgãos do Poder Judiciário da União que foram excluídas do teto de gastos instituído pela Lei Complementar 200/2023 por força do acórdão embargado abrangem: (i) despesas custeadas com receitas próprias, ou de convênios, contratos ou instrumentos congêneres, celebrados com os demais entes federativos ou entidades privadas; e (ii) custas e emolumentos. Não se afiguraria legítimo modificar retroativamente a base de cálculo originalmente utilizada na apuração do limite de despesas primárias para os órgãos Poder Judiciário federal, diminuindo-lhe o valor para, e</w:t>
      </w:r>
    </w:p>
    <w:p>
      <w:pPr>
        <w:ind w:left="288"/>
      </w:pPr>
      <w:r>
        <w:rPr>
          <w:b/>
          <w:color w:val="003CA0"/>
          <w:sz w:val="16"/>
        </w:rPr>
        <w:t>[ADI 7.641 ED, rel. min. Alexandre de Moraes, j. 28.08.2025, P, DJE de 20.10.2025.]</w:t>
      </w:r>
    </w:p>
    <w:p>
      <w:pPr>
        <w:ind w:left="288"/>
      </w:pPr>
      <w:r>
        <w:rPr>
          <w:color w:val="8C8C8C"/>
          <w:sz w:val="12"/>
        </w:rPr>
        <w:t>cf-art-99-par-1</w:t>
      </w:r>
      <w:r>
        <w:rPr>
          <w:color w:val="003CA0"/>
          <w:sz w:val="12"/>
        </w:rPr>
        <w:t xml:space="preserve"> | ADI 7.641</w:t>
      </w:r>
      <w:r>
        <w:rPr>
          <w:color w:val="003CA0"/>
          <w:sz w:val="12"/>
        </w:rPr>
        <w:t xml:space="preserve"> | rel. Alexandre de Moraes</w:t>
      </w:r>
    </w:p>
    <w:p>
      <w:pPr>
        <w:ind w:left="288"/>
      </w:pPr>
      <w:r>
        <w:rPr>
          <w:color w:val="1E1E1E"/>
          <w:sz w:val="18"/>
        </w:rPr>
        <w:t xml:space="preserve">Vide ADI 7.641, rel. min. Alexandre de Moraes, j. 14.04.2025, P, DJE de 23.04.2025 A LC 200/2023 reforça a responsabilidade fiscal e estabelece limites individualizados para despesas primárias, com exceções específicas para entidades com receitas próprias, como universidades, empresas públicas e instituições científicas. O não enquadramento das receitas próprias dos tribunais federais nas exceções previstas na lei compromete a autonomia desses órgãos, assim como impede a destinação exclusiva de parte destas verbas ao custeio das atividades judiciais, prevista no art. 98, § 2º, da Constituição </w:t>
      </w:r>
    </w:p>
    <w:p>
      <w:pPr>
        <w:ind w:left="288"/>
      </w:pPr>
      <w:r>
        <w:rPr>
          <w:b/>
          <w:color w:val="003CA0"/>
          <w:sz w:val="16"/>
        </w:rPr>
        <w:t>[ADI 7.641, rel. min. Alexandre de Moraes, j. 14.04.2025, P, DJE de 23.04.2025.]</w:t>
      </w:r>
    </w:p>
    <w:p>
      <w:pPr>
        <w:ind w:left="288"/>
      </w:pPr>
      <w:r>
        <w:rPr>
          <w:color w:val="8C8C8C"/>
          <w:sz w:val="12"/>
        </w:rPr>
        <w:t>cf-art-99-par-1</w:t>
      </w:r>
      <w:r>
        <w:rPr>
          <w:color w:val="003CA0"/>
          <w:sz w:val="12"/>
        </w:rPr>
        <w:t xml:space="preserve"> | ADI 7.641</w:t>
      </w:r>
      <w:r>
        <w:rPr>
          <w:color w:val="003CA0"/>
          <w:sz w:val="12"/>
        </w:rPr>
        <w:t xml:space="preserve"> | rel. Alexandre de Moraes</w:t>
      </w:r>
    </w:p>
    <w:p>
      <w:pPr>
        <w:ind w:left="288"/>
      </w:pPr>
      <w:r>
        <w:rPr>
          <w:b/>
          <w:color w:val="003CA0"/>
          <w:sz w:val="16"/>
        </w:rPr>
        <w:t>[ADI 7.641 ED, rel. min. Alexandre de Moraes, j. 28.08.2025, P, DJE de 20.10.2025.]</w:t>
      </w:r>
    </w:p>
    <w:p>
      <w:pPr>
        <w:ind w:left="144"/>
      </w:pPr>
      <w:r>
        <w:rPr>
          <w:b/>
          <w:color w:val="B45A00"/>
          <w:sz w:val="16"/>
        </w:rPr>
        <w:t>CONTROLE CONCENTRADO</w:t>
      </w:r>
    </w:p>
    <w:p>
      <w:pPr>
        <w:ind w:left="288"/>
      </w:pPr>
      <w:r>
        <w:rPr>
          <w:color w:val="8C8C8C"/>
          <w:sz w:val="12"/>
        </w:rPr>
        <w:t>cf-art-99-par-1</w:t>
      </w:r>
      <w:r>
        <w:rPr>
          <w:color w:val="003CA0"/>
          <w:sz w:val="12"/>
        </w:rPr>
        <w:t xml:space="preserve"> | ADI 4.426</w:t>
      </w:r>
      <w:r>
        <w:rPr>
          <w:color w:val="003CA0"/>
          <w:sz w:val="12"/>
        </w:rPr>
        <w:t xml:space="preserve"> | rel. Dias Toffoli</w:t>
      </w:r>
    </w:p>
    <w:p>
      <w:pPr>
        <w:ind w:left="288"/>
      </w:pPr>
      <w:r>
        <w:rPr>
          <w:color w:val="1E1E1E"/>
          <w:sz w:val="18"/>
        </w:rPr>
        <w:t>O diploma normativo versa sobre execução orçamentária, impondo limites especialmente às despesas não previstas na folha normal de pessoal. Tais limites, conquanto não estejam disciplinados na LDO e na LOA, buscam controlar a forma de gestão dos recursos orçamentários já aprovados. A participação necessária do Poder Judiciário na construção do pertinente diploma orçamentário diretivo, em conjugação com os outros Poderes instituídos, é reflexo do status constitucional da autonomia e da independência que lhe são atribuídas no art. 2º do Diploma Maior. Esse é o entendimento que decorre diretamente</w:t>
      </w:r>
    </w:p>
    <w:p>
      <w:pPr>
        <w:ind w:left="288"/>
      </w:pPr>
      <w:r>
        <w:rPr>
          <w:b/>
          <w:color w:val="003CA0"/>
          <w:sz w:val="16"/>
        </w:rPr>
        <w:t>[ADI 4.426, rel. min. Dias Toffoli, j. 9-2-2011, P, DJE de 18-5-2011.]</w:t>
      </w:r>
    </w:p>
    <w:p>
      <w:pPr>
        <w:ind w:left="288"/>
      </w:pPr>
      <w:r>
        <w:rPr>
          <w:color w:val="8C8C8C"/>
          <w:sz w:val="12"/>
        </w:rPr>
        <w:t>cf-art-99-par-1</w:t>
      </w:r>
      <w:r>
        <w:rPr>
          <w:color w:val="003CA0"/>
          <w:sz w:val="12"/>
        </w:rPr>
        <w:t xml:space="preserve"> | ADI 4.356</w:t>
      </w:r>
      <w:r>
        <w:rPr>
          <w:color w:val="003CA0"/>
          <w:sz w:val="12"/>
        </w:rPr>
        <w:t xml:space="preserve"> | rel. Dias Toffoli</w:t>
      </w:r>
    </w:p>
    <w:p>
      <w:pPr>
        <w:ind w:left="288"/>
      </w:pPr>
      <w:r>
        <w:rPr>
          <w:color w:val="1E1E1E"/>
          <w:sz w:val="18"/>
        </w:rPr>
        <w:t>Vide ADI 4.356, rel. min. Dias Toffoli, j. 9-2-2011, P, DJE de 12-5-2011 Ação direta julgada procedente em relação aos seguintes preceitos da Constituição sergipana: (...) Art. 95, § 1º: o preceito estipula limites referentes à proposta orçamentária do Poder Judiciário estadual. Não há, na Constituição do Brasil/1988, preceito que fundamente a limitação.</w:t>
      </w:r>
    </w:p>
    <w:p>
      <w:pPr>
        <w:ind w:left="288"/>
      </w:pPr>
      <w:r>
        <w:rPr>
          <w:b/>
          <w:color w:val="003CA0"/>
          <w:sz w:val="16"/>
        </w:rPr>
        <w:t>[ADI 336, rel. min. Eros Grau, j. 10-2-2010, P, DJE de 17-9-2010.]</w:t>
      </w:r>
    </w:p>
    <w:p>
      <w:pPr>
        <w:ind w:left="288"/>
      </w:pPr>
      <w:r>
        <w:rPr>
          <w:color w:val="8C8C8C"/>
          <w:sz w:val="12"/>
        </w:rPr>
        <w:t>cf-art-99-par-1</w:t>
      </w:r>
      <w:r>
        <w:rPr>
          <w:color w:val="003CA0"/>
          <w:sz w:val="12"/>
        </w:rPr>
        <w:t xml:space="preserve"> | ADI 848</w:t>
      </w:r>
      <w:r>
        <w:rPr>
          <w:color w:val="003CA0"/>
          <w:sz w:val="12"/>
        </w:rPr>
        <w:t xml:space="preserve"> | rel. Sepúlveda Pertence</w:t>
      </w:r>
    </w:p>
    <w:p>
      <w:pPr>
        <w:ind w:left="288"/>
      </w:pPr>
      <w:r>
        <w:rPr>
          <w:color w:val="1E1E1E"/>
          <w:sz w:val="18"/>
        </w:rPr>
        <w:t>LDO: participação necessária do Poder Judiciário na fixação do limite de sua proposta orçamentária (CF, art. 99, § 1º).</w:t>
      </w:r>
    </w:p>
    <w:p>
      <w:pPr>
        <w:ind w:left="288"/>
      </w:pPr>
      <w:r>
        <w:rPr>
          <w:b/>
          <w:color w:val="003CA0"/>
          <w:sz w:val="16"/>
        </w:rPr>
        <w:t>[ADI 848 MC, rel. min. Sepúlveda Pertence, j. 18-3-1993, P, DJ de 16-4-1993.]</w:t>
      </w:r>
    </w:p>
    <w:p>
      <w:pPr>
        <w:ind w:left="288"/>
      </w:pPr>
      <w:r>
        <w:rPr>
          <w:color w:val="8C8C8C"/>
          <w:sz w:val="12"/>
        </w:rPr>
        <w:t>cf-art-99-par-1</w:t>
      </w:r>
      <w:r>
        <w:rPr>
          <w:color w:val="003CA0"/>
          <w:sz w:val="12"/>
        </w:rPr>
        <w:t xml:space="preserve"> | ADI 691</w:t>
      </w:r>
      <w:r>
        <w:rPr>
          <w:color w:val="003CA0"/>
          <w:sz w:val="12"/>
        </w:rPr>
        <w:t xml:space="preserve"> | rel. Sepúlveda Pertence</w:t>
      </w:r>
    </w:p>
    <w:p>
      <w:pPr>
        <w:ind w:left="288"/>
      </w:pPr>
      <w:r>
        <w:rPr>
          <w:color w:val="1E1E1E"/>
          <w:sz w:val="18"/>
        </w:rPr>
        <w:t xml:space="preserve">Poder Judiciário: independência, autogoverno e controle. A administração financeira do Judiciário não está imune ao controle, na forma da Constituição, da legalidade dos dispêndios dos recursos públicos; sujeita-se, não apenas à fiscalização do Tribunal de Contas e do Legislativo, mas também às vias judiciais de prevenção e repressão de abusos, abertas não só aos governantes, mas a qualquer do povo, incluídas as que dão acesso à jurisdição do Supremo Tribunal (CF, art. 102, I, n). O que não admite transigências é a defesa da independência de cada um dos Poderes do Estado, na área que lhe seja </w:t>
      </w:r>
    </w:p>
    <w:p>
      <w:pPr>
        <w:ind w:left="288"/>
      </w:pPr>
      <w:r>
        <w:rPr>
          <w:b/>
          <w:color w:val="003CA0"/>
          <w:sz w:val="16"/>
        </w:rPr>
        <w:t>[ADI 691 MC, rel. min. Sepúlveda Pertence, j. 22-4-1992, P, DJ de 19-6-1992.]</w:t>
      </w:r>
    </w:p>
    <w:p>
      <w:pPr>
        <w:ind w:left="288"/>
      </w:pPr>
      <w:r>
        <w:rPr>
          <w:color w:val="8C8C8C"/>
          <w:sz w:val="12"/>
        </w:rPr>
        <w:t>cf-art-99-par-2-inc-II</w:t>
      </w:r>
    </w:p>
    <w:p>
      <w:pPr>
        <w:ind w:left="288"/>
      </w:pPr>
      <w:r>
        <w:rPr>
          <w:color w:val="1E1E1E"/>
          <w:sz w:val="18"/>
        </w:rPr>
        <w:t>§ 3º Se os órgãos referidos no § 2º não encaminharem as respectivas propostas orçamentárias dentro do prazo estabelecido na lei de diretrizes orçamentárias, o Poder Executivo considerará, para fins de consolidação da proposta orçamentária anual, os valores aprovados na lei orçamentária vigente, ajustados de acordo com os limites estipulados na forma do § 1º deste artigo. (Incluído pela EC 45/2004)</w:t>
      </w:r>
    </w:p>
    <w:p>
      <w:pPr>
        <w:ind w:left="288"/>
      </w:pPr>
      <w:r>
        <w:rPr>
          <w:color w:val="8C8C8C"/>
          <w:sz w:val="12"/>
        </w:rPr>
        <w:t>cf-art-99-par-4</w:t>
      </w:r>
    </w:p>
    <w:p>
      <w:pPr>
        <w:ind w:left="288"/>
      </w:pPr>
      <w:r>
        <w:rPr>
          <w:color w:val="1E1E1E"/>
          <w:sz w:val="18"/>
        </w:rPr>
        <w:t>§ 5º Durante a execução orçamentária do exercício, não poderá haver a realização de despesas ou a assunção de obrigações que extrapolem os limites estabelecidos na lei de diretrizes orçamentárias, exceto se previamente autorizadas, mediante a abertura de créditos suplementares ou especiais. (Incluído pela EC 45/2004)</w:t>
      </w:r>
    </w:p>
    <w:p>
      <w:pPr>
        <w:ind w:left="432"/>
      </w:pPr>
      <w:r>
        <w:rPr>
          <w:color w:val="003366"/>
          <w:sz w:val="18"/>
        </w:rPr>
        <w:t>§ 1 Os tribunais elaborarão suas propostas orçamentárias dentro dos limites esti</w:t>
      </w:r>
    </w:p>
    <w:p>
      <w:pPr>
        <w:ind w:left="432"/>
      </w:pPr>
      <w:r>
        <w:rPr>
          <w:color w:val="003366"/>
          <w:sz w:val="18"/>
        </w:rPr>
        <w:t>§ 2 O encaminhamento da proposta, ouvidos os outros tribunais interessados, comp</w:t>
      </w:r>
    </w:p>
    <w:p>
      <w:pPr>
        <w:ind w:left="720"/>
      </w:pPr>
      <w:r>
        <w:rPr>
          <w:color w:val="003366"/>
          <w:sz w:val="18"/>
        </w:rPr>
        <w:t>I – no âmbito da União, aos Presidentes do Supremo Tribunal Federal e dos Tribun</w:t>
      </w:r>
    </w:p>
    <w:p>
      <w:pPr>
        <w:ind w:left="720"/>
      </w:pPr>
      <w:r>
        <w:rPr>
          <w:color w:val="003366"/>
          <w:sz w:val="18"/>
        </w:rPr>
        <w:t>II – no âmbito dos Estados e no do Distrito Federal e Territórios, aos President</w:t>
      </w:r>
    </w:p>
    <w:p>
      <w:pPr>
        <w:ind w:left="432"/>
      </w:pPr>
      <w:r>
        <w:rPr>
          <w:color w:val="003366"/>
          <w:sz w:val="18"/>
        </w:rPr>
        <w:t>§ 3 Se os órgãos referidos no § 2º não encaminharem as respectivas propostas orç</w:t>
      </w:r>
    </w:p>
    <w:p>
      <w:pPr>
        <w:ind w:left="432"/>
      </w:pPr>
      <w:r>
        <w:rPr>
          <w:color w:val="003366"/>
          <w:sz w:val="18"/>
        </w:rPr>
        <w:t>§ 4 Se as propostas orçamentárias de que trata este artigo forem encaminhadas em</w:t>
      </w:r>
    </w:p>
    <w:p>
      <w:pPr>
        <w:ind w:left="432"/>
      </w:pPr>
      <w:r>
        <w:rPr>
          <w:color w:val="003366"/>
          <w:sz w:val="18"/>
        </w:rPr>
        <w:t xml:space="preserve">§ 5 Durante a execução orçamentária do exercício, não poderá haver a realização </w:t>
      </w:r>
    </w:p>
    <w:p>
      <w:r>
        <w:rPr>
          <w:b/>
          <w:color w:val="003366"/>
          <w:sz w:val="20"/>
        </w:rPr>
        <w:t>Art. 100 Os pagamentos devidos pelas Fazendas Públicas Federal, Estaduais, Distr</w:t>
      </w:r>
      <w:r>
        <w:rPr>
          <w:color w:val="8C8C8C"/>
          <w:sz w:val="14"/>
        </w:rPr>
        <w:t xml:space="preserve">  [39 decisoes]</w:t>
      </w:r>
    </w:p>
    <w:p>
      <w:pPr>
        <w:ind w:left="144"/>
      </w:pPr>
      <w:r>
        <w:rPr>
          <w:b/>
          <w:color w:val="B45A00"/>
          <w:sz w:val="16"/>
        </w:rPr>
        <w:t>SUMULA</w:t>
      </w:r>
    </w:p>
    <w:p>
      <w:pPr>
        <w:ind w:left="288"/>
      </w:pPr>
      <w:r>
        <w:rPr>
          <w:color w:val="8C8C8C"/>
          <w:sz w:val="12"/>
        </w:rPr>
        <w:t>cf-art-100</w:t>
      </w:r>
      <w:r>
        <w:rPr>
          <w:color w:val="003CA0"/>
          <w:sz w:val="12"/>
        </w:rPr>
        <w:t xml:space="preserve"> | ADC 4</w:t>
      </w:r>
    </w:p>
    <w:p>
      <w:pPr>
        <w:ind w:left="288"/>
      </w:pPr>
      <w:r>
        <w:rPr>
          <w:color w:val="1E1E1E"/>
          <w:sz w:val="18"/>
        </w:rPr>
        <w:t>A decisão na ADC 4 não se aplica à antecipação de tutela em causa de natureza previdenciária.</w:t>
      </w:r>
    </w:p>
    <w:p>
      <w:pPr>
        <w:ind w:left="288"/>
      </w:pPr>
      <w:r>
        <w:rPr>
          <w:b/>
          <w:color w:val="003CA0"/>
          <w:sz w:val="16"/>
        </w:rPr>
        <w:t>[Súmula 729.]</w:t>
      </w:r>
    </w:p>
    <w:p>
      <w:pPr>
        <w:ind w:left="144"/>
      </w:pPr>
      <w:r>
        <w:rPr>
          <w:b/>
          <w:color w:val="B45A00"/>
          <w:sz w:val="16"/>
        </w:rPr>
        <w:t>CONTROLE CONCENTRADO</w:t>
      </w:r>
    </w:p>
    <w:p>
      <w:pPr>
        <w:ind w:left="288"/>
      </w:pPr>
      <w:r>
        <w:rPr>
          <w:color w:val="8C8C8C"/>
          <w:sz w:val="12"/>
        </w:rPr>
        <w:t>cf-art-100</w:t>
      </w:r>
      <w:r>
        <w:rPr>
          <w:color w:val="003CA0"/>
          <w:sz w:val="12"/>
        </w:rPr>
        <w:t xml:space="preserve"> | ADPF 1.088</w:t>
      </w:r>
      <w:r>
        <w:rPr>
          <w:color w:val="003CA0"/>
          <w:sz w:val="12"/>
        </w:rPr>
        <w:t xml:space="preserve"> | rel. Luiz Fux</w:t>
      </w:r>
    </w:p>
    <w:p>
      <w:pPr>
        <w:ind w:left="288"/>
      </w:pPr>
      <w:r>
        <w:rPr>
          <w:color w:val="1E1E1E"/>
          <w:sz w:val="18"/>
        </w:rPr>
        <w:t>O Plenário deste Supremo Tribunal têm uma série de decisões em que se afirma a submissão de empresas estatais prestadoras de serviços públicos essenciais e natureza não concorrencial ao regime de precatórios. Em sendo referidas empresas estatais instrumentos do Estado para a prestação de serviços públicos essenciais, o bloqueio indevido de seus recursos para a satisfação de créditos individuais pode comprometer a prestação destes serviços, em detrimento da coletividade em geral e em ofensa aos princípios da separação dos poderes, da legalidade orçamentária e da continuidade da prestação dos se</w:t>
      </w:r>
    </w:p>
    <w:p>
      <w:pPr>
        <w:ind w:left="288"/>
      </w:pPr>
      <w:r>
        <w:rPr>
          <w:b/>
          <w:color w:val="003CA0"/>
          <w:sz w:val="16"/>
        </w:rPr>
        <w:t>[ADI 5.755, rel. min. Rosa Weber, j. 30-6-2022, P, DJE de 4-10-2022.]</w:t>
      </w:r>
    </w:p>
    <w:p>
      <w:pPr>
        <w:ind w:left="288"/>
      </w:pPr>
      <w:r>
        <w:rPr>
          <w:color w:val="8C8C8C"/>
          <w:sz w:val="12"/>
        </w:rPr>
        <w:t>cf-art-100</w:t>
      </w:r>
      <w:r>
        <w:rPr>
          <w:color w:val="003CA0"/>
          <w:sz w:val="12"/>
        </w:rPr>
        <w:t xml:space="preserve"> | ADPF 890</w:t>
      </w:r>
      <w:r>
        <w:rPr>
          <w:color w:val="003CA0"/>
          <w:sz w:val="12"/>
        </w:rPr>
        <w:t xml:space="preserve"> | rel. Dias Toffoli</w:t>
      </w:r>
    </w:p>
    <w:p>
      <w:pPr>
        <w:ind w:left="288"/>
      </w:pPr>
      <w:r>
        <w:rPr>
          <w:color w:val="1E1E1E"/>
          <w:sz w:val="18"/>
        </w:rPr>
        <w:t>A CAESB é uma sociedade de economia mista cujo objetivo primordial e a prestação do serviço público essencial de saneamento básico no âmbito do Distrito Federal, onde atua com caráter de exclusividade. A lógica aplicada aos precatórios visa proteger a organização financeira dos órgãos da Administração Pública, de forma a garantir a fiel execução do orçamento e, consequentemente, a efetiva implementação das políticas públicas ali previstas, bem como estabelecer isonomia entre os credores do Estado, promovendo a racionalização do pagamento das condenações judiciais da Fazenda Pública. O reconhec</w:t>
      </w:r>
    </w:p>
    <w:p>
      <w:pPr>
        <w:ind w:left="288"/>
      </w:pPr>
      <w:r>
        <w:rPr>
          <w:b/>
          <w:color w:val="003CA0"/>
          <w:sz w:val="16"/>
        </w:rPr>
        <w:t>[ADPF 484, rel. min. Luiz Fux, j. 4-6-2020, P, DJE de 10-11-2020.]</w:t>
      </w:r>
    </w:p>
    <w:p>
      <w:pPr>
        <w:ind w:left="288"/>
      </w:pPr>
      <w:r>
        <w:rPr>
          <w:color w:val="8C8C8C"/>
          <w:sz w:val="12"/>
        </w:rPr>
        <w:t>cf-art-100</w:t>
      </w:r>
      <w:r>
        <w:rPr>
          <w:color w:val="003CA0"/>
          <w:sz w:val="12"/>
        </w:rPr>
        <w:t xml:space="preserve"> | ADI 5.409</w:t>
      </w:r>
      <w:r>
        <w:rPr>
          <w:color w:val="003CA0"/>
          <w:sz w:val="12"/>
        </w:rPr>
        <w:t xml:space="preserve"> | rel. Edson Fachin</w:t>
      </w:r>
    </w:p>
    <w:p>
      <w:pPr>
        <w:ind w:left="288"/>
      </w:pPr>
      <w:r>
        <w:rPr>
          <w:color w:val="1E1E1E"/>
          <w:sz w:val="18"/>
        </w:rPr>
        <w:t>O tratamento orçamentário preconizado aos recursos provenientes dos depósitos judiciais não-tributários diverge da sistemática especial de pagamento de débitos judiciais da Fazenda Pública, porquanto não é dado ao Poder Público realizar gastos públicos com ingressos meramente transitórios. Logo, financiam-se despesas correntes e de capital com entradas provisórias as quais, por dever legal, devem ser restituídas aos seus legítimos titulares ao fim de demanda jurisdicional.</w:t>
      </w:r>
    </w:p>
    <w:p>
      <w:pPr>
        <w:ind w:left="288"/>
      </w:pPr>
      <w:r>
        <w:rPr>
          <w:b/>
          <w:color w:val="003CA0"/>
          <w:sz w:val="16"/>
        </w:rPr>
        <w:t>[ADI 5.409, rel. min. Edson Fachin, j. 13-12-2019, P, DJE de 12-2-2020.]</w:t>
      </w:r>
    </w:p>
    <w:p>
      <w:pPr>
        <w:ind w:left="288"/>
      </w:pPr>
      <w:r>
        <w:rPr>
          <w:color w:val="8C8C8C"/>
          <w:sz w:val="12"/>
        </w:rPr>
        <w:t>cf-art-100</w:t>
      </w:r>
      <w:r>
        <w:rPr>
          <w:color w:val="003CA0"/>
          <w:sz w:val="12"/>
        </w:rPr>
        <w:t xml:space="preserve"> | ADI 584</w:t>
      </w:r>
      <w:r>
        <w:rPr>
          <w:color w:val="003CA0"/>
          <w:sz w:val="12"/>
        </w:rPr>
        <w:t xml:space="preserve"> | rel. Dias Toffoli</w:t>
      </w:r>
    </w:p>
    <w:p>
      <w:pPr>
        <w:ind w:left="288"/>
      </w:pPr>
      <w:r>
        <w:rPr>
          <w:color w:val="1E1E1E"/>
          <w:sz w:val="18"/>
        </w:rPr>
        <w:t>Ação direta de inconstitucionalidade. Art. 245 da Constituição do Estado do Paraná. (...) O preceito atacado cria forma transversa de quebra da ordem de precedência dos precatórios ao efetivar a vinculação das receitas obtidas com indenizações ou créditos pagos ao Estado pela União ao pagamento de débitos de idêntica natureza. Não encontra amparo constitucional a previsão, porquanto seria instalada, inevitavelmente, uma ordem paralela de satisfação dos créditos, em detrimento da ordem cronológica. Impossibilidade de regramento da matéria por norma de hierarquia inferior.</w:t>
      </w:r>
    </w:p>
    <w:p>
      <w:pPr>
        <w:ind w:left="288"/>
      </w:pPr>
      <w:r>
        <w:rPr>
          <w:b/>
          <w:color w:val="003CA0"/>
          <w:sz w:val="16"/>
        </w:rPr>
        <w:t>[ADI 584, rel. min. Dias Toffoli, j. 19-3-2014, P, DJE de 9-4-2014.]</w:t>
      </w:r>
    </w:p>
    <w:p>
      <w:pPr>
        <w:ind w:left="288"/>
      </w:pPr>
      <w:r>
        <w:rPr>
          <w:color w:val="8C8C8C"/>
          <w:sz w:val="12"/>
        </w:rPr>
        <w:t>cf-art-100</w:t>
      </w:r>
      <w:r>
        <w:rPr>
          <w:color w:val="003CA0"/>
          <w:sz w:val="12"/>
        </w:rPr>
        <w:t xml:space="preserve"> | ADI 3.453</w:t>
      </w:r>
      <w:r>
        <w:rPr>
          <w:color w:val="003CA0"/>
          <w:sz w:val="12"/>
        </w:rPr>
        <w:t xml:space="preserve"> | rel. Cármen Lúcia</w:t>
      </w:r>
    </w:p>
    <w:p>
      <w:pPr>
        <w:ind w:left="288"/>
      </w:pPr>
      <w:r>
        <w:rPr>
          <w:color w:val="1E1E1E"/>
          <w:sz w:val="18"/>
        </w:rPr>
        <w:t>Precatórios. Art. 19 da Lei nacional 11.033, de 21-12-2004.(...) A determinação de condicionantes e requisitos para o levantamento ou a autorização para depósito em conta bancária de valores decorrentes de precatórios judiciais, que não aqueles constantes de norma constitucional, ofende os princípios da garantia da jurisdição efetiva (art. 5º, XXXVI) e o art. 100 e seus incisos, não podendo ser tida como válida a norma que, ao fixar novos requisitos, embaraça o levantamento dos precatórios.</w:t>
      </w:r>
    </w:p>
    <w:p>
      <w:pPr>
        <w:ind w:left="288"/>
      </w:pPr>
      <w:r>
        <w:rPr>
          <w:b/>
          <w:color w:val="003CA0"/>
          <w:sz w:val="16"/>
        </w:rPr>
        <w:t>[ADI 3.453, rel. min. Cármen Lúcia, j. 30-11-2006, P, DJ de 16-3-2007.]</w:t>
      </w:r>
    </w:p>
    <w:p>
      <w:pPr>
        <w:ind w:left="288"/>
      </w:pPr>
      <w:r>
        <w:rPr>
          <w:color w:val="8C8C8C"/>
          <w:sz w:val="12"/>
        </w:rPr>
        <w:t>cf-art-100</w:t>
      </w:r>
      <w:r>
        <w:rPr>
          <w:color w:val="003CA0"/>
          <w:sz w:val="12"/>
        </w:rPr>
        <w:t xml:space="preserve"> | ADC 4</w:t>
      </w:r>
      <w:r>
        <w:rPr>
          <w:color w:val="003CA0"/>
          <w:sz w:val="12"/>
        </w:rPr>
        <w:t xml:space="preserve"> | rel. Sydney Sanches</w:t>
      </w:r>
    </w:p>
    <w:p>
      <w:pPr>
        <w:ind w:left="288"/>
      </w:pPr>
      <w:r>
        <w:rPr>
          <w:color w:val="1E1E1E"/>
          <w:sz w:val="18"/>
        </w:rPr>
        <w:t>Ação declaratória de constitucionalidade do art. 1º da Lei 9.494, de 10-9-1997, que disciplina a aplicação da tutela antecipada contra a Fazenda Pública. Medida cautelar: cabimento e espécie, na ação declaratória de constitucionalidade. Requisitos para sua concessão. (...) Está igualmente atendido o requisito do periculum in mora, em face da alta conveniência da administração pública, pressionada por liminares que, apesar do disposto na norma impugnada, determinam a incorporação imediata de acréscimos de vencimentos, na folha de pagamento de grande número de servidores e até o pagamento imedia</w:t>
      </w:r>
    </w:p>
    <w:p>
      <w:pPr>
        <w:ind w:left="288"/>
      </w:pPr>
      <w:r>
        <w:rPr>
          <w:b/>
          <w:color w:val="003CA0"/>
          <w:sz w:val="16"/>
        </w:rPr>
        <w:t>[ADC 4 MC, rel. min. Sydney Sanches, j. 11-2-1998, P, DJ de 21-5-1999.]</w:t>
      </w:r>
    </w:p>
    <w:p>
      <w:pPr>
        <w:ind w:left="288"/>
      </w:pPr>
      <w:r>
        <w:rPr>
          <w:color w:val="8C8C8C"/>
          <w:sz w:val="12"/>
        </w:rPr>
        <w:t>cf-art-100</w:t>
      </w:r>
      <w:r>
        <w:rPr>
          <w:color w:val="003CA0"/>
          <w:sz w:val="12"/>
        </w:rPr>
        <w:t xml:space="preserve"> | RCL 6.258</w:t>
      </w:r>
      <w:r>
        <w:rPr>
          <w:color w:val="003CA0"/>
          <w:sz w:val="12"/>
        </w:rPr>
        <w:t xml:space="preserve"> | rel. Eros Grau</w:t>
      </w:r>
    </w:p>
    <w:p>
      <w:pPr>
        <w:ind w:left="288"/>
      </w:pPr>
      <w:r>
        <w:rPr>
          <w:color w:val="1E1E1E"/>
          <w:sz w:val="18"/>
        </w:rPr>
        <w:t>Vide  Rcl 6.258 AgR, rel. min. Eros Grau, j. 23-9-2009, P, DJE de 29-10-2009 . Saber se o art. 3º da EC nº 113/2021 determina a incidência da taxa SELIC sobre o valor do débito corrigido acrescido de juros.</w:t>
      </w:r>
    </w:p>
    <w:p>
      <w:pPr>
        <w:ind w:left="288"/>
      </w:pPr>
      <w:r>
        <w:rPr>
          <w:b/>
          <w:color w:val="003CA0"/>
          <w:sz w:val="16"/>
        </w:rPr>
        <w:t>[RE 1.516.074 RG, rel. min. Luís Roberto Barroso, j. 05.11.2024, P, DJE de 08.11.2024, Tema 1.349, com mérito pendente.]</w:t>
      </w:r>
    </w:p>
    <w:p>
      <w:pPr>
        <w:ind w:left="144"/>
      </w:pPr>
      <w:r>
        <w:rPr>
          <w:b/>
          <w:color w:val="B45A00"/>
          <w:sz w:val="16"/>
        </w:rPr>
        <w:t>REPERCUSSAO GERAL</w:t>
      </w:r>
    </w:p>
    <w:p>
      <w:pPr>
        <w:ind w:left="288"/>
      </w:pPr>
      <w:r>
        <w:rPr>
          <w:color w:val="8C8C8C"/>
          <w:sz w:val="12"/>
        </w:rPr>
        <w:t>cf-art-100</w:t>
      </w:r>
      <w:r>
        <w:rPr>
          <w:color w:val="003CA0"/>
          <w:sz w:val="12"/>
        </w:rPr>
        <w:t xml:space="preserve"> | RE 922.144</w:t>
      </w:r>
      <w:r>
        <w:rPr>
          <w:color w:val="003CA0"/>
          <w:sz w:val="12"/>
        </w:rPr>
        <w:t xml:space="preserve"> | rel. Luís Roberto Barroso</w:t>
      </w:r>
    </w:p>
    <w:p>
      <w:pPr>
        <w:ind w:left="288"/>
      </w:pPr>
      <w:r>
        <w:rPr>
          <w:color w:val="1E1E1E"/>
          <w:sz w:val="18"/>
        </w:rPr>
        <w:t>“No caso de necessidade de complementação da indenização, ao final do processo expropriatório, deverá o pagamento ser feito mediante depósito judicial direto se o Poder Público não estiver em dia com os precatórios”.</w:t>
        <w:br/>
        <w:t>[RE 922.144, rel. min. Luís Roberto Barroso, j. 19-10-2023, P, DJE de 7-2-2024, Tema 865, com mérito julgado.] Regime especial de precatórios da EC nº 62/2009. Artigo 97 do ADCT. Inconstitucionalidade reconhecida pelo STF. Questão de ordem. Efeitos prospectivos. Aplicação a precatórios já expedidos na vigência da EC nº 30/2000 (art. 78 do ADCT). (...) “O regime especial de precató</w:t>
      </w:r>
    </w:p>
    <w:p>
      <w:pPr>
        <w:ind w:left="288"/>
      </w:pPr>
      <w:r>
        <w:rPr>
          <w:b/>
          <w:color w:val="003CA0"/>
          <w:sz w:val="16"/>
        </w:rPr>
        <w:t>[RE 659.172, rel. min. Dias Toffoli, j. 25-9-2023, P, DJE de 30-10-2023, Tema 1.224, com mérito julgado.]</w:t>
      </w:r>
    </w:p>
    <w:p>
      <w:pPr>
        <w:ind w:left="288"/>
      </w:pPr>
      <w:r>
        <w:rPr>
          <w:color w:val="8C8C8C"/>
          <w:sz w:val="12"/>
        </w:rPr>
        <w:t>cf-art-100</w:t>
      </w:r>
      <w:r>
        <w:rPr>
          <w:color w:val="003CA0"/>
          <w:sz w:val="12"/>
        </w:rPr>
        <w:t xml:space="preserve"> | RE 840.435</w:t>
      </w:r>
      <w:r>
        <w:rPr>
          <w:color w:val="003CA0"/>
          <w:sz w:val="12"/>
        </w:rPr>
        <w:t xml:space="preserve"> | rel. Dias Toffoli</w:t>
      </w:r>
    </w:p>
    <w:p>
      <w:pPr>
        <w:ind w:left="288"/>
      </w:pPr>
      <w:r>
        <w:rPr>
          <w:color w:val="1E1E1E"/>
          <w:sz w:val="18"/>
        </w:rPr>
        <w:t>"O deferimento de sequestro de rendas públicas para pagamento de precatório deve se restringir às hipóteses enumeradas taxativamente na Constituição Federal de 1988.”</w:t>
        <w:br/>
        <w:t>[RE 840.435, rel. min. Dias Toffoli, j. 25-9-2023, P, DJE de 31-10-2023, Tema 598, com mérito julgado.] “1. A complementação ao FUNDEF realizada a partir do valor mínimo anual por aluno fixada em desacordo com a média nacional impõe à União o dever de suplementação de recursos. 2. Sendo tal obrigação imposta por título executivo judicial, aplica-se a sistemática dos precatórios, nos termos do art. 100 da Constituição Federal”.</w:t>
        <w:br/>
        <w:t>[R</w:t>
      </w:r>
    </w:p>
    <w:p>
      <w:pPr>
        <w:ind w:left="288"/>
      </w:pPr>
      <w:r>
        <w:rPr>
          <w:b/>
          <w:color w:val="003CA0"/>
          <w:sz w:val="16"/>
        </w:rPr>
        <w:t>[AI 841.548 RG, rel. min. Cezar Peluso, j. 9-6-2011, P, DJE de 31-8-2011, Tema 411, com mérito julgado.]</w:t>
      </w:r>
    </w:p>
    <w:p>
      <w:pPr>
        <w:ind w:left="288"/>
      </w:pPr>
      <w:r>
        <w:rPr>
          <w:color w:val="8C8C8C"/>
          <w:sz w:val="12"/>
        </w:rPr>
        <w:t>cf-art-100</w:t>
      </w:r>
      <w:r>
        <w:rPr>
          <w:color w:val="003CA0"/>
          <w:sz w:val="12"/>
        </w:rPr>
        <w:t xml:space="preserve"> | AI 349.477</w:t>
      </w:r>
      <w:r>
        <w:rPr>
          <w:color w:val="003CA0"/>
          <w:sz w:val="12"/>
        </w:rPr>
        <w:t xml:space="preserve"> | rel. Celso de Mello</w:t>
      </w:r>
    </w:p>
    <w:p>
      <w:pPr>
        <w:ind w:left="288"/>
      </w:pPr>
      <w:r>
        <w:rPr>
          <w:color w:val="1E1E1E"/>
          <w:sz w:val="18"/>
        </w:rPr>
        <w:t>Vide AI 349.477 AgR, rel. min. Celso de Mello, j. 11-2-2003, 2ª T, DJ de 28-2-2003 Os privilégios da Fazenda Pública são inextensíveis às sociedades de economia mista que executam atividades em regime de concorrência ou que tenham como objetivo distribuir lucros aos seus acionistas.</w:t>
        <w:br/>
        <w:t>[RE 599.628, red. do ac. min. Joaquim Barbosa, j. 25-5-2011, P, DJE de 17-10-2011, Tema 253, com mérito julgado.]</w:t>
      </w:r>
    </w:p>
    <w:p>
      <w:pPr>
        <w:ind w:left="144"/>
      </w:pPr>
      <w:r>
        <w:rPr>
          <w:b/>
          <w:color w:val="B45A00"/>
          <w:sz w:val="16"/>
        </w:rPr>
        <w:t>JULGADOS CORRELATOS</w:t>
      </w:r>
    </w:p>
    <w:p>
      <w:pPr>
        <w:ind w:left="288"/>
      </w:pPr>
      <w:r>
        <w:rPr>
          <w:color w:val="8C8C8C"/>
          <w:sz w:val="12"/>
        </w:rPr>
        <w:t>cf-art-100</w:t>
      </w:r>
      <w:r>
        <w:rPr>
          <w:color w:val="003CA0"/>
          <w:sz w:val="12"/>
        </w:rPr>
        <w:t xml:space="preserve"> | RCL 66.323</w:t>
      </w:r>
      <w:r>
        <w:rPr>
          <w:color w:val="003CA0"/>
          <w:sz w:val="12"/>
        </w:rPr>
        <w:t xml:space="preserve"> | rel. Flávio Dino</w:t>
      </w:r>
    </w:p>
    <w:p>
      <w:pPr>
        <w:ind w:left="288"/>
      </w:pPr>
      <w:r>
        <w:rPr>
          <w:color w:val="1E1E1E"/>
          <w:sz w:val="18"/>
        </w:rPr>
        <w:t>É vedado ao Poder Judiciário determinar medidas constritivas de recursos públicos, a exemplo do arresto ou do sequestro, para pagamento de dívida de natureza contratual, sem submissão ao regime de precatório, uma vez que esta situação não está prevista entre as exceções constitucionais. O deferimento de sequestro de rendas públicas para pagamento de precatório deve se restringir às hipóteses enumeradas taxativamente na Constituição Federal de 1998.</w:t>
        <w:br/>
        <w:t>[Rcl 66.323 MC-REF, rel. min. Flávio Dino, j. 04.04.2024, 1ª T, DJE de 23.04.2024.] Ordem judicial de cumprimento imediato de obrigação de pagar qu</w:t>
      </w:r>
    </w:p>
    <w:p>
      <w:pPr>
        <w:ind w:left="288"/>
      </w:pPr>
      <w:r>
        <w:rPr>
          <w:b/>
          <w:color w:val="003CA0"/>
          <w:sz w:val="16"/>
        </w:rPr>
        <w:t>[SL 1.609 MC-REF, rel. min. Rosa Weber, j. 8-8-2023, P, DJE de 17-8-2023.]</w:t>
      </w:r>
    </w:p>
    <w:p>
      <w:pPr>
        <w:ind w:left="288"/>
      </w:pPr>
      <w:r>
        <w:rPr>
          <w:color w:val="8C8C8C"/>
          <w:sz w:val="12"/>
        </w:rPr>
        <w:t>cf-art-100</w:t>
      </w:r>
      <w:r>
        <w:rPr>
          <w:color w:val="003CA0"/>
          <w:sz w:val="12"/>
        </w:rPr>
        <w:t xml:space="preserve"> | RE 1.009.828</w:t>
      </w:r>
      <w:r>
        <w:rPr>
          <w:color w:val="003CA0"/>
          <w:sz w:val="12"/>
        </w:rPr>
        <w:t xml:space="preserve"> | rel. Rosa Weber</w:t>
      </w:r>
    </w:p>
    <w:p>
      <w:pPr>
        <w:ind w:left="288"/>
      </w:pPr>
      <w:r>
        <w:rPr>
          <w:color w:val="1E1E1E"/>
          <w:sz w:val="18"/>
        </w:rPr>
        <w:t>Além de proteger a Administração Pública contra a obstrução judicial inesperada do acesso a recursos indispensáveis à manutenção de serviços públicos essenciais e à preservação da ordem administrativa, o regime constitucional dos precatórios atende, ainda, ao propósito de dar concretude aos princípios da moralidade, da impessoalidade e da igualdade no pagamento das dívidas da Fazenda Pública.</w:t>
        <w:br/>
        <w:t>[STP 924 REF-MC, rel. min. Rosa Weber, j. 13-4-2023, P, DJE de 19-4-2023.] Casa da Moeda do Brasil. Empresa pública que presta serviço público em regime de monopólio. Prerrogativas de fazenda pública. Exe</w:t>
      </w:r>
    </w:p>
    <w:p>
      <w:pPr>
        <w:ind w:left="288"/>
      </w:pPr>
      <w:r>
        <w:rPr>
          <w:b/>
          <w:color w:val="003CA0"/>
          <w:sz w:val="16"/>
        </w:rPr>
        <w:t>[RE 1.028.771 AgR, rel. min. Gilmar Mendes, j. 1º-12-2017, 2ª T, DJE de 14-12-2017.]</w:t>
      </w:r>
    </w:p>
    <w:p>
      <w:pPr>
        <w:ind w:left="288"/>
      </w:pPr>
      <w:r>
        <w:rPr>
          <w:color w:val="8C8C8C"/>
          <w:sz w:val="12"/>
        </w:rPr>
        <w:t>cf-art-100</w:t>
      </w:r>
      <w:r>
        <w:rPr>
          <w:color w:val="003CA0"/>
          <w:sz w:val="12"/>
        </w:rPr>
        <w:t xml:space="preserve"> | RE 851.711</w:t>
      </w:r>
      <w:r>
        <w:rPr>
          <w:color w:val="003CA0"/>
          <w:sz w:val="12"/>
        </w:rPr>
        <w:t xml:space="preserve"> | rel. Marco Aurélio</w:t>
      </w:r>
    </w:p>
    <w:p>
      <w:pPr>
        <w:ind w:left="288"/>
      </w:pPr>
      <w:r>
        <w:rPr>
          <w:color w:val="1E1E1E"/>
          <w:sz w:val="18"/>
        </w:rPr>
        <w:t>= RE 851.711 ED-AgR-AgR, rel. min. Marco Aurélio, j. 12-12-2017, 1ª T, DJE de 10-4-2018 Exaurido o período vintenário para resgate dos títulos da dívida agrária, o pagamento complementar da indenização fixada na decisão final da ação expropriatória deve ser efetuado na forma do art. 100 da Constituição, e não em títulos da dívida agrária complementares, em atenção ao princípio da prévia e justa indenização nas desapropriações por interesse social e em observância ao sistema de pagamento das condenações judiciais impostas à Fazenda Pública.</w:t>
      </w:r>
    </w:p>
    <w:p>
      <w:pPr>
        <w:ind w:left="288"/>
      </w:pPr>
      <w:r>
        <w:rPr>
          <w:b/>
          <w:color w:val="003CA0"/>
          <w:sz w:val="16"/>
        </w:rPr>
        <w:t>[RE 595.168, rel. min. Ricardo Lewandowski, j. 6-8-2013, 2ª T, DJE de 25-3-2014.]</w:t>
      </w:r>
    </w:p>
    <w:p>
      <w:pPr>
        <w:ind w:left="288"/>
      </w:pPr>
      <w:r>
        <w:rPr>
          <w:color w:val="8C8C8C"/>
          <w:sz w:val="12"/>
        </w:rPr>
        <w:t>cf-art-100</w:t>
      </w:r>
      <w:r>
        <w:rPr>
          <w:color w:val="003CA0"/>
          <w:sz w:val="12"/>
        </w:rPr>
        <w:t xml:space="preserve"> | RE 420.816</w:t>
      </w:r>
      <w:r>
        <w:rPr>
          <w:color w:val="003CA0"/>
          <w:sz w:val="12"/>
        </w:rPr>
        <w:t xml:space="preserve"> | rel. Celso de Mello</w:t>
      </w:r>
    </w:p>
    <w:p>
      <w:pPr>
        <w:ind w:left="288"/>
      </w:pPr>
      <w:r>
        <w:rPr>
          <w:color w:val="1E1E1E"/>
          <w:sz w:val="18"/>
        </w:rPr>
        <w:t>(...) o exame dos presentes autos evidencia que houve, no caso ora em análise, a oposição de embargos à execução manifestada pela União, circunstância essa que impede a aplicação, na espécie, da diretriz firmada no julgamento plenário do RE 420.816/PR. (...) Como precedentemente assinalado, o acórdão questionado nesta sede recursal diverge da orientação jurisprudencial prevalecente nesta Corte, eis que, tratando-se de execução aparelhada contra a Fazenda Pública, e desde que por esta embargada, torna-se devida a verba honorária, por inaplicável o art. 1º-D da Lei 9.494/1997.</w:t>
      </w:r>
    </w:p>
    <w:p>
      <w:pPr>
        <w:ind w:left="288"/>
      </w:pPr>
      <w:r>
        <w:rPr>
          <w:b/>
          <w:color w:val="003CA0"/>
          <w:sz w:val="16"/>
        </w:rPr>
        <w:t>[RE 491.851 AgR-ED, voto do rel. min. Celso de Mello, j. 6-9-2011, 2ª T, DJE de 27-9-2011.]</w:t>
      </w:r>
    </w:p>
    <w:p>
      <w:pPr>
        <w:ind w:left="288"/>
      </w:pPr>
      <w:r>
        <w:rPr>
          <w:color w:val="8C8C8C"/>
          <w:sz w:val="12"/>
        </w:rPr>
        <w:t>cf-art-100</w:t>
      </w:r>
      <w:r>
        <w:rPr>
          <w:color w:val="003CA0"/>
          <w:sz w:val="12"/>
        </w:rPr>
        <w:t xml:space="preserve"> | AI 740.555</w:t>
      </w:r>
      <w:r>
        <w:rPr>
          <w:color w:val="003CA0"/>
          <w:sz w:val="12"/>
        </w:rPr>
        <w:t xml:space="preserve"> | rel. Marco Aurélio</w:t>
      </w:r>
    </w:p>
    <w:p>
      <w:pPr>
        <w:ind w:left="288"/>
      </w:pPr>
      <w:r>
        <w:rPr>
          <w:color w:val="1E1E1E"/>
          <w:sz w:val="18"/>
        </w:rPr>
        <w:t>Longe fica de vulnerar o preceito decisão no sentido de autorizar a penhora de precatório, configurando a hipótese mera transmissão do direito de receber o valor nele consignado.</w:t>
      </w:r>
    </w:p>
    <w:p>
      <w:pPr>
        <w:ind w:left="288"/>
      </w:pPr>
      <w:r>
        <w:rPr>
          <w:b/>
          <w:color w:val="003CA0"/>
          <w:sz w:val="16"/>
        </w:rPr>
        <w:t>[AI 740.555 AgR, rel. min. Marco Aurélio, j. 28-6-2011, 1ª T, DJE de 24-8-2011.]</w:t>
      </w:r>
    </w:p>
    <w:p>
      <w:pPr>
        <w:ind w:left="288"/>
      </w:pPr>
      <w:r>
        <w:rPr>
          <w:color w:val="8C8C8C"/>
          <w:sz w:val="12"/>
        </w:rPr>
        <w:t>cf-art-100</w:t>
      </w:r>
      <w:r>
        <w:rPr>
          <w:color w:val="003CA0"/>
          <w:sz w:val="12"/>
        </w:rPr>
        <w:t xml:space="preserve"> | AI 589.584</w:t>
      </w:r>
      <w:r>
        <w:rPr>
          <w:color w:val="003CA0"/>
          <w:sz w:val="12"/>
        </w:rPr>
        <w:t xml:space="preserve"> | rel. Ellen Gracie</w:t>
      </w:r>
    </w:p>
    <w:p>
      <w:pPr>
        <w:ind w:left="288"/>
      </w:pPr>
      <w:r>
        <w:rPr>
          <w:color w:val="1E1E1E"/>
          <w:sz w:val="18"/>
        </w:rPr>
        <w:t>O sistema de precatório instituído pela CF não exclui o pagamento realizado pela Fazenda Pública decorrente de descumprimento de sentença de natureza mandamental. Incabível no caso, portanto, o bloqueio de renda pública.</w:t>
      </w:r>
    </w:p>
    <w:p>
      <w:pPr>
        <w:ind w:left="288"/>
      </w:pPr>
      <w:r>
        <w:rPr>
          <w:b/>
          <w:color w:val="003CA0"/>
          <w:sz w:val="16"/>
        </w:rPr>
        <w:t>[AI 589.584 AgR, rel. min. Ellen Gracie, j. 31-8-2010, 2ª T, DJE de 24-9-2010.]</w:t>
      </w:r>
    </w:p>
    <w:p>
      <w:pPr>
        <w:ind w:left="288"/>
      </w:pPr>
      <w:r>
        <w:rPr>
          <w:color w:val="8C8C8C"/>
          <w:sz w:val="12"/>
        </w:rPr>
        <w:t>cf-art-100</w:t>
      </w:r>
      <w:r>
        <w:rPr>
          <w:color w:val="003CA0"/>
          <w:sz w:val="12"/>
        </w:rPr>
        <w:t xml:space="preserve"> | RCL 14.505</w:t>
      </w:r>
      <w:r>
        <w:rPr>
          <w:color w:val="003CA0"/>
          <w:sz w:val="12"/>
        </w:rPr>
        <w:t xml:space="preserve"> | rel. Teori Zavascki</w:t>
      </w:r>
    </w:p>
    <w:p>
      <w:pPr>
        <w:ind w:left="288"/>
      </w:pPr>
      <w:r>
        <w:rPr>
          <w:color w:val="1E1E1E"/>
          <w:sz w:val="18"/>
        </w:rPr>
        <w:t>= Rcl 14.505 AgR, rel. min. Teori Zavascki, j. 19-6-2013, P, DJE de 1º-7-2013 O art. 14 da LC 76/1993, ao dispor que o valor da indenização estabelecido por sentença em processo de desapropriação para fins de reforma agrária deverá ser depositado pelo expropriante em dinheiro, para as benfeitorias úteis e necessárias, inclusive culturas e pastagens artificiais, contraria o sistema de pagamento das condenações judiciais, pela Fazenda Pública, determinado pela CF no art. 100 e parágrafos. Os arts. 15 e 16 da referida lei complementar, por sua vez, referem-se, exclusivamente, às indenizações a se</w:t>
      </w:r>
    </w:p>
    <w:p>
      <w:pPr>
        <w:ind w:left="288"/>
      </w:pPr>
      <w:r>
        <w:rPr>
          <w:b/>
          <w:color w:val="003CA0"/>
          <w:sz w:val="16"/>
        </w:rPr>
        <w:t>[RE 247.866, rel. min. Ilmar Galvão, j. 9-8-2000, DJ de 24-11-2000.]</w:t>
      </w:r>
    </w:p>
    <w:p>
      <w:pPr>
        <w:ind w:left="288"/>
      </w:pPr>
      <w:r>
        <w:rPr>
          <w:color w:val="8C8C8C"/>
          <w:sz w:val="12"/>
        </w:rPr>
        <w:t>cf-art-100</w:t>
      </w:r>
      <w:r>
        <w:rPr>
          <w:color w:val="003CA0"/>
          <w:sz w:val="12"/>
        </w:rPr>
        <w:t xml:space="preserve"> | RE 504.210</w:t>
      </w:r>
      <w:r>
        <w:rPr>
          <w:color w:val="003CA0"/>
          <w:sz w:val="12"/>
        </w:rPr>
        <w:t xml:space="preserve"> | rel. Cármen Lúcia</w:t>
      </w:r>
    </w:p>
    <w:p>
      <w:pPr>
        <w:ind w:left="288"/>
      </w:pPr>
      <w:r>
        <w:rPr>
          <w:color w:val="1E1E1E"/>
          <w:sz w:val="18"/>
        </w:rPr>
        <w:t>= RE 504.210 AgR, rel. min. Cármen Lúcia, j. 9-11-2010, 1ª T, DJE de 2-12-2010 O processo de execução por quantia certa contra a Fazenda Pública rege-se, nos termos do que prescreve a própria Lei Fundamental, por normas especiais, que, ao instituírem o regime constitucional dos precatórios, estendem-se a todas as pessoas jurídicas de direito público interno, inclusive às entidades autárquicas. A disciplina constitucional desse processo de execução, na redação anterior à promulgação das EC 30/2000, 37/2002 e 62/2009, tornava imprescindível a expedição do requisitório, independentemente da natur</w:t>
      </w:r>
    </w:p>
    <w:p>
      <w:pPr>
        <w:ind w:left="288"/>
      </w:pPr>
      <w:r>
        <w:rPr>
          <w:b/>
          <w:color w:val="003CA0"/>
          <w:sz w:val="16"/>
        </w:rPr>
        <w:t>[AP 503, rel. min. Celso de Mello, j. 20-5-2010, P, DJE de 1º-2-2013.]</w:t>
      </w:r>
    </w:p>
    <w:p>
      <w:pPr>
        <w:ind w:left="288"/>
      </w:pPr>
      <w:r>
        <w:rPr>
          <w:color w:val="8C8C8C"/>
          <w:sz w:val="12"/>
        </w:rPr>
        <w:t>cf-art-100</w:t>
      </w:r>
      <w:r>
        <w:rPr>
          <w:color w:val="003CA0"/>
          <w:sz w:val="12"/>
        </w:rPr>
        <w:t xml:space="preserve"> | RE 598.678</w:t>
      </w:r>
      <w:r>
        <w:rPr>
          <w:color w:val="003CA0"/>
          <w:sz w:val="12"/>
        </w:rPr>
        <w:t xml:space="preserve"> | rel. Eros Grau</w:t>
      </w:r>
    </w:p>
    <w:p>
      <w:pPr>
        <w:ind w:left="288"/>
      </w:pPr>
      <w:r>
        <w:rPr>
          <w:color w:val="1E1E1E"/>
          <w:sz w:val="18"/>
        </w:rPr>
        <w:t>Verificada a insuficiência do depósito prévio na desapropriação por utilidade pública, a diferença do valor depositado para imissão na posse deve ser feito por meio de precatório, na forma do art. 100 da Constituição do Brasil/1988.</w:t>
      </w:r>
    </w:p>
    <w:p>
      <w:pPr>
        <w:ind w:left="288"/>
      </w:pPr>
      <w:r>
        <w:rPr>
          <w:b/>
          <w:color w:val="003CA0"/>
          <w:sz w:val="16"/>
        </w:rPr>
        <w:t>[RE 598.678 AgR, rel. min. Eros Grau, j. 1º-12-2009, 2ª T, DJE de 18-12-2009.]</w:t>
      </w:r>
    </w:p>
    <w:p>
      <w:pPr>
        <w:ind w:left="288"/>
      </w:pPr>
      <w:r>
        <w:rPr>
          <w:color w:val="8C8C8C"/>
          <w:sz w:val="12"/>
        </w:rPr>
        <w:t>cf-art-100</w:t>
      </w:r>
      <w:r>
        <w:rPr>
          <w:color w:val="003CA0"/>
          <w:sz w:val="12"/>
        </w:rPr>
        <w:t xml:space="preserve"> | RE 739.454</w:t>
      </w:r>
      <w:r>
        <w:rPr>
          <w:color w:val="003CA0"/>
          <w:sz w:val="12"/>
        </w:rPr>
        <w:t xml:space="preserve"> | rel. Cármen Lúcia</w:t>
      </w:r>
    </w:p>
    <w:p>
      <w:pPr>
        <w:ind w:left="288"/>
      </w:pPr>
      <w:r>
        <w:rPr>
          <w:color w:val="1E1E1E"/>
          <w:sz w:val="18"/>
        </w:rPr>
        <w:t>= RE 739.454 AgR, rel. min. Cármen Lúcia, j. 12-11-2013, 2ª T, DJE de 20-11-2013 À empresa Brasileira de Correios e Telégrafos, pessoa jurídica equiparada à Fazenda Pública, é aplicável o privilégio da impenhorabilidade de seus bens, rendas e serviços. Recepção do art. 12 do DL 509/1969 e não incidência da restrição contida no art. 173, § 1º, da CF, que submete a empresa pública, a sociedade de economia mista e outras entidades que explorem atividade econômica ao regime próprio das empresas privadas, inclusive quanto às obrigações trabalhistas e tributárias. Empresa pública que não exerce ativ</w:t>
      </w:r>
    </w:p>
    <w:p>
      <w:pPr>
        <w:ind w:left="288"/>
      </w:pPr>
      <w:r>
        <w:rPr>
          <w:b/>
          <w:color w:val="003CA0"/>
          <w:sz w:val="16"/>
        </w:rPr>
        <w:t>[RE 230.051 ED, rel. min. Maurício Corrêa, j. 11-6-2003, P, DJ de 8-8-2003.]</w:t>
      </w:r>
    </w:p>
    <w:p>
      <w:pPr>
        <w:ind w:left="288"/>
      </w:pPr>
      <w:r>
        <w:rPr>
          <w:color w:val="8C8C8C"/>
          <w:sz w:val="12"/>
        </w:rPr>
        <w:t>cf-art-100</w:t>
      </w:r>
      <w:r>
        <w:rPr>
          <w:color w:val="003CA0"/>
          <w:sz w:val="12"/>
        </w:rPr>
        <w:t xml:space="preserve"> | RE 393.032</w:t>
      </w:r>
      <w:r>
        <w:rPr>
          <w:color w:val="003CA0"/>
          <w:sz w:val="12"/>
        </w:rPr>
        <w:t xml:space="preserve"> | rel. Cármen Lúcia</w:t>
      </w:r>
    </w:p>
    <w:p>
      <w:pPr>
        <w:ind w:left="288"/>
      </w:pPr>
      <w:r>
        <w:rPr>
          <w:color w:val="1E1E1E"/>
          <w:sz w:val="18"/>
        </w:rPr>
        <w:t>= RE 393.032 AgR, rel. min. Cármen Lúcia, j. 27-10-2009, 1ª T, DJE de 18-12-2009 § 1º Os débitos de natureza alimentícia compreendem aqueles decorrentes da relação laboral ou previdenciária, independentemente da sua natureza tributária, inclusive os oriundos de repetição de indébito incidente sobre remuneração ou proventos de aposentadoria, bem como indenizações por morte ou por invalidez, fundadas em responsabilidade civil, em virtude de sentença judicial transitada em julgado, e serão pagos com preferência sobre todos os demais débitos, exceto sobre aqueles referidos no § 2º deste artigo. (R</w:t>
      </w:r>
    </w:p>
    <w:p>
      <w:pPr>
        <w:ind w:left="144"/>
      </w:pPr>
      <w:r>
        <w:rPr>
          <w:b/>
          <w:color w:val="B45A00"/>
          <w:sz w:val="16"/>
        </w:rPr>
        <w:t>CONTROLE CONCENTRADO</w:t>
      </w:r>
    </w:p>
    <w:p>
      <w:pPr>
        <w:ind w:left="288"/>
      </w:pPr>
      <w:r>
        <w:rPr>
          <w:color w:val="8C8C8C"/>
          <w:sz w:val="12"/>
        </w:rPr>
        <w:t>cf-art-100</w:t>
      </w:r>
      <w:r>
        <w:rPr>
          <w:color w:val="003CA0"/>
          <w:sz w:val="12"/>
        </w:rPr>
        <w:t xml:space="preserve"> | ADI 4.425</w:t>
      </w:r>
      <w:r>
        <w:rPr>
          <w:color w:val="003CA0"/>
          <w:sz w:val="12"/>
        </w:rPr>
        <w:t xml:space="preserve"> | rel. Cristiano Zanin</w:t>
      </w:r>
    </w:p>
    <w:p>
      <w:pPr>
        <w:ind w:left="288"/>
      </w:pPr>
      <w:r>
        <w:rPr>
          <w:color w:val="1E1E1E"/>
          <w:sz w:val="18"/>
        </w:rPr>
        <w:t>O pagamento prioritário, até certo limite, de precatórios devidos a titulares idosos ou que sejam portadores de doença grave promove, com razoabilidade, a dignidade da pessoa humana (CF, art. 1º, III) e a proporcionalidade (CF, art. 5º, LIV), situando-se dentro da margem de conformação do legislador constituinte para operacionalização da novel preferência subjetiva criada pela EC 62/2009. A expressão "na data de expedição do precatório", contida no art. 100, § 2º, da CF, com redação dada pela EC 62/2009, enquanto baliza temporal para a aplicação da preferência no pagamento de idosos, ultraja a</w:t>
      </w:r>
    </w:p>
    <w:p>
      <w:pPr>
        <w:ind w:left="288"/>
      </w:pPr>
      <w:r>
        <w:rPr>
          <w:b/>
          <w:color w:val="003CA0"/>
          <w:sz w:val="16"/>
        </w:rPr>
        <w:t>[RE 1.326.178, rel. min. Cristiano Zanin, j. 26.05.2025, P, DJE de 04.06.2025, Tema 1.156, com mérito julgado.]</w:t>
      </w:r>
    </w:p>
    <w:p>
      <w:pPr>
        <w:ind w:left="144"/>
      </w:pPr>
      <w:r>
        <w:rPr>
          <w:b/>
          <w:color w:val="B45A00"/>
          <w:sz w:val="16"/>
        </w:rPr>
        <w:t>JULGADOS CORRELATOS</w:t>
      </w:r>
    </w:p>
    <w:p>
      <w:pPr>
        <w:ind w:left="288"/>
      </w:pPr>
      <w:r>
        <w:rPr>
          <w:color w:val="8C8C8C"/>
          <w:sz w:val="12"/>
        </w:rPr>
        <w:t>cf-art-100</w:t>
      </w:r>
      <w:r>
        <w:rPr>
          <w:color w:val="003CA0"/>
          <w:sz w:val="12"/>
        </w:rPr>
        <w:t xml:space="preserve"> | RE 964.577</w:t>
      </w:r>
      <w:r>
        <w:rPr>
          <w:color w:val="003CA0"/>
          <w:sz w:val="12"/>
        </w:rPr>
        <w:t xml:space="preserve"> | rel. Luiz Fux</w:t>
      </w:r>
    </w:p>
    <w:p>
      <w:pPr>
        <w:ind w:left="288"/>
      </w:pPr>
      <w:r>
        <w:rPr>
          <w:color w:val="1E1E1E"/>
          <w:sz w:val="18"/>
        </w:rPr>
        <w:t>(...) não contraria o disposto no art. 100, § 2º, da Constituição o pagamento de mais de um precatório dentro da sistemática da "superpreferência" estabelecida no referido dispositivo, a um só credor e no mesmo exercício orçamentário (...).</w:t>
        <w:br/>
        <w:t>[RE 964.577 AgR, voto do rel. min. Luiz Fux, j. 11-12-2017, 1ª T, DJE de 19-12-2017.]</w:t>
      </w:r>
    </w:p>
    <w:p>
      <w:pPr>
        <w:ind w:left="144"/>
      </w:pPr>
      <w:r>
        <w:rPr>
          <w:b/>
          <w:color w:val="B45A00"/>
          <w:sz w:val="16"/>
        </w:rPr>
        <w:t>CONTROLE CONCENTRADO</w:t>
      </w:r>
    </w:p>
    <w:p>
      <w:pPr>
        <w:ind w:left="288"/>
      </w:pPr>
      <w:r>
        <w:rPr>
          <w:color w:val="8C8C8C"/>
          <w:sz w:val="12"/>
        </w:rPr>
        <w:t>cf-art-100-par-3</w:t>
      </w:r>
      <w:r>
        <w:rPr>
          <w:color w:val="003CA0"/>
          <w:sz w:val="12"/>
        </w:rPr>
        <w:t xml:space="preserve"> | ADI 5.706</w:t>
      </w:r>
      <w:r>
        <w:rPr>
          <w:color w:val="003CA0"/>
          <w:sz w:val="12"/>
        </w:rPr>
        <w:t xml:space="preserve"> | rel. Luiz Fux</w:t>
      </w:r>
    </w:p>
    <w:p>
      <w:pPr>
        <w:ind w:left="288"/>
      </w:pPr>
      <w:r>
        <w:rPr>
          <w:color w:val="1E1E1E"/>
          <w:sz w:val="18"/>
        </w:rPr>
        <w:t>O pagamento das obrigações de pequeno valor mediante requisição deve observância estrita às balizas estabelecidas no texto maior, competindo aos legisladores ordinários de cada ente federativo tão somente fixar os valores-teto das referidas obrigações, sendo-lhes vedado ampliar a dispensa de precatórios para outras hipóteses, sob pena, inclusive, de ofensa ao princípio da isonomia, consideradas as situações não abarcadas pelo privilégio.</w:t>
        <w:br/>
        <w:t>[ADI 5.706, rel. min. Luiz Fux, j. 26.02.2024, P, DJE de 13.03.2024.] A autonomia expressamente reconhecida na Constituição de 1988 e na jurisprudência do Sup</w:t>
      </w:r>
    </w:p>
    <w:p>
      <w:pPr>
        <w:ind w:left="288"/>
      </w:pPr>
      <w:r>
        <w:rPr>
          <w:b/>
          <w:color w:val="003CA0"/>
          <w:sz w:val="16"/>
        </w:rPr>
        <w:t>[ADI 4.015 MC, rel. min. Celso de Mello, j. 16-4-2008, 2ª T, DJE de 6-2-2014.]</w:t>
      </w:r>
    </w:p>
    <w:p>
      <w:pPr>
        <w:ind w:left="288"/>
      </w:pPr>
      <w:r>
        <w:rPr>
          <w:color w:val="8C8C8C"/>
          <w:sz w:val="12"/>
        </w:rPr>
        <w:t>cf-art-100-par-3</w:t>
      </w:r>
      <w:r>
        <w:rPr>
          <w:color w:val="003CA0"/>
          <w:sz w:val="12"/>
        </w:rPr>
        <w:t xml:space="preserve"> | ADI 3.057</w:t>
      </w:r>
      <w:r>
        <w:rPr>
          <w:color w:val="003CA0"/>
          <w:sz w:val="12"/>
        </w:rPr>
        <w:t xml:space="preserve"> | rel. Cezar Peluso</w:t>
      </w:r>
    </w:p>
    <w:p>
      <w:pPr>
        <w:ind w:left="288"/>
      </w:pPr>
      <w:r>
        <w:rPr>
          <w:color w:val="1E1E1E"/>
          <w:sz w:val="18"/>
        </w:rPr>
        <w:t>= ADI 3.057 MC, rel. min. Cezar Peluso, j. 19-2-2004, P, DJ de 19-3-2004</w:t>
      </w:r>
    </w:p>
    <w:p>
      <w:pPr>
        <w:ind w:left="144"/>
      </w:pPr>
      <w:r>
        <w:rPr>
          <w:b/>
          <w:color w:val="B45A00"/>
          <w:sz w:val="16"/>
        </w:rPr>
        <w:t>JULGADOS CORRELATOS</w:t>
      </w:r>
    </w:p>
    <w:p>
      <w:pPr>
        <w:ind w:left="288"/>
      </w:pPr>
      <w:r>
        <w:rPr>
          <w:color w:val="8C8C8C"/>
          <w:sz w:val="12"/>
        </w:rPr>
        <w:t>cf-art-100-par-3</w:t>
      </w:r>
      <w:r>
        <w:rPr>
          <w:color w:val="003CA0"/>
          <w:sz w:val="12"/>
        </w:rPr>
        <w:t xml:space="preserve"> | RE 1.462.285</w:t>
      </w:r>
      <w:r>
        <w:rPr>
          <w:color w:val="003CA0"/>
          <w:sz w:val="12"/>
        </w:rPr>
        <w:t xml:space="preserve"> | rel. Gilmar Mendes</w:t>
      </w:r>
    </w:p>
    <w:p>
      <w:pPr>
        <w:ind w:left="288"/>
      </w:pPr>
      <w:r>
        <w:rPr>
          <w:color w:val="1E1E1E"/>
          <w:sz w:val="18"/>
        </w:rPr>
        <w:t>Tema nº 792 da Sistemática da Repercussão Geral. Aplicação indevida da tese firmada. (...) A tese fixada no Tema nº 792 distingue-se da presente hipótese, cuja controvérsia se instaura quanto à aplicação da Lei Distrital nº 6.618/20, a qual aumentou o teto para a expedição de Requisição de Pequeno Valor de 10 (dez) para 20 (vinte) salários mínimos, de modo que o crédito inscrito em precatório que passe a se enquadrar, pelos critérios da nova lei, como de pequeno valor, seja excepcionado da ordem cronológica de apresentação de precatórios e obrigatoriedade de crédito previsto em orçamento (regr</w:t>
      </w:r>
    </w:p>
    <w:p>
      <w:pPr>
        <w:ind w:left="288"/>
      </w:pPr>
      <w:r>
        <w:rPr>
          <w:b/>
          <w:color w:val="003CA0"/>
          <w:sz w:val="16"/>
        </w:rPr>
        <w:t>[RE 601.914 AgR, rel. min. Celso de Mello, j. 6-3-2012, 2ª T, DJE de 25-2-2013.]</w:t>
      </w:r>
    </w:p>
    <w:p>
      <w:pPr>
        <w:ind w:left="288"/>
      </w:pPr>
      <w:r>
        <w:rPr>
          <w:color w:val="8C8C8C"/>
          <w:sz w:val="12"/>
        </w:rPr>
        <w:t>cf-art-100-par-3</w:t>
      </w:r>
      <w:r>
        <w:rPr>
          <w:color w:val="003CA0"/>
          <w:sz w:val="12"/>
        </w:rPr>
        <w:t xml:space="preserve"> | AI 641.431</w:t>
      </w:r>
      <w:r>
        <w:rPr>
          <w:color w:val="003CA0"/>
          <w:sz w:val="12"/>
        </w:rPr>
        <w:t xml:space="preserve"> | rel. Ellen Gracie</w:t>
      </w:r>
    </w:p>
    <w:p>
      <w:pPr>
        <w:ind w:left="288"/>
      </w:pPr>
      <w:r>
        <w:rPr>
          <w:color w:val="1E1E1E"/>
          <w:sz w:val="18"/>
        </w:rPr>
        <w:t>A expedição de precatório não se aplica aos créditos alimentícios de pequeno valor.</w:t>
      </w:r>
    </w:p>
    <w:p>
      <w:pPr>
        <w:ind w:left="288"/>
      </w:pPr>
      <w:r>
        <w:rPr>
          <w:b/>
          <w:color w:val="003CA0"/>
          <w:sz w:val="16"/>
        </w:rPr>
        <w:t>[AI 641.431 AgR, rel. min. Ellen Gracie, j. 8-6-2010, 2ª T, DJE de 25-6-2010.]</w:t>
      </w:r>
    </w:p>
    <w:p>
      <w:pPr>
        <w:ind w:left="288"/>
      </w:pPr>
      <w:r>
        <w:rPr>
          <w:color w:val="8C8C8C"/>
          <w:sz w:val="12"/>
        </w:rPr>
        <w:t>cf-art-100-par-3</w:t>
      </w:r>
      <w:r>
        <w:rPr>
          <w:color w:val="003CA0"/>
          <w:sz w:val="12"/>
        </w:rPr>
        <w:t xml:space="preserve"> | AI 618.770</w:t>
      </w:r>
      <w:r>
        <w:rPr>
          <w:color w:val="003CA0"/>
          <w:sz w:val="12"/>
        </w:rPr>
        <w:t xml:space="preserve"> | rel. Gilmar Mendes</w:t>
      </w:r>
    </w:p>
    <w:p>
      <w:pPr>
        <w:ind w:left="288"/>
      </w:pPr>
      <w:r>
        <w:rPr>
          <w:color w:val="1E1E1E"/>
          <w:sz w:val="18"/>
        </w:rPr>
        <w:t>Por possuírem a mesma natureza, não há diferenciação entre precatório e requisição de pequeno valor, quanto à incidência de juros de mora.</w:t>
      </w:r>
    </w:p>
    <w:p>
      <w:pPr>
        <w:ind w:left="288"/>
      </w:pPr>
      <w:r>
        <w:rPr>
          <w:b/>
          <w:color w:val="003CA0"/>
          <w:sz w:val="16"/>
        </w:rPr>
        <w:t>[AI 618.770 AgR, rel. min. Gilmar Mendes, j. 12-2-2008, 2ª T, DJE de 7-3-2008.]</w:t>
      </w:r>
    </w:p>
    <w:p>
      <w:pPr>
        <w:ind w:left="288"/>
      </w:pPr>
      <w:r>
        <w:rPr>
          <w:color w:val="8C8C8C"/>
          <w:sz w:val="12"/>
        </w:rPr>
        <w:t>cf-art-100-par-3</w:t>
      </w:r>
      <w:r>
        <w:rPr>
          <w:color w:val="003CA0"/>
          <w:sz w:val="12"/>
        </w:rPr>
        <w:t xml:space="preserve"> | RE 415.932</w:t>
      </w:r>
    </w:p>
    <w:p>
      <w:pPr>
        <w:ind w:left="288"/>
      </w:pPr>
      <w:r>
        <w:rPr>
          <w:color w:val="1E1E1E"/>
          <w:sz w:val="18"/>
        </w:rPr>
        <w:t>Fazenda Pública: execução não embargada: honorários de advogado: constitucionalidade declarada pelo Supremo Tribunal, com interpretação conforme ao art. 1º-D da Lei 9.494/1997, na redação que lhe foi dada pela MP 2.180-35/2001, de modo a reduzir-lhe a aplicação à hipótese de execução por quantia certa contra a Fazenda Pública (CPC, art. 730), excluídos os casos de pagamento de obrigações definidos em lei como de pequeno valor (CF/1988, art. 100, § 3º).</w:t>
      </w:r>
    </w:p>
    <w:p>
      <w:pPr>
        <w:ind w:left="288"/>
      </w:pPr>
      <w:r>
        <w:rPr>
          <w:b/>
          <w:color w:val="003CA0"/>
          <w:sz w:val="16"/>
        </w:rPr>
        <w:t>[RE 415.932, red. do ac. min. Sepúlveda Pertence, j. 29-9-2004, P, DJ de 10-11-2006.]</w:t>
      </w:r>
    </w:p>
    <w:p>
      <w:pPr>
        <w:ind w:left="288"/>
      </w:pPr>
      <w:r>
        <w:rPr>
          <w:color w:val="8C8C8C"/>
          <w:sz w:val="12"/>
        </w:rPr>
        <w:t>cf-art-100-par-3</w:t>
      </w:r>
      <w:r>
        <w:rPr>
          <w:color w:val="003CA0"/>
          <w:sz w:val="12"/>
        </w:rPr>
        <w:t xml:space="preserve"> | RE 481.089</w:t>
      </w:r>
      <w:r>
        <w:rPr>
          <w:color w:val="003CA0"/>
          <w:sz w:val="12"/>
        </w:rPr>
        <w:t xml:space="preserve"> | rel. Gilmar Mendes</w:t>
      </w:r>
    </w:p>
    <w:p>
      <w:pPr>
        <w:ind w:left="288"/>
      </w:pPr>
      <w:r>
        <w:rPr>
          <w:color w:val="1E1E1E"/>
          <w:sz w:val="18"/>
        </w:rPr>
        <w:t>= RE 481.089 AgR, rel. min. Gilmar Mendes, j. 22-2-2011, 2ª T, DJE de 22-3-2011 Vide RE 526.186 AgR-segundo, rel. min. Cármen Lúcia, j. 2-12-2010, 1ª T, DJE de 24-2-2011 Vide RE 435.757 AgR, rel. min. Joaquim Barbosa, j. 4-12-2009, 2ª T, DJE de 5-2-2010</w:t>
      </w:r>
    </w:p>
    <w:p>
      <w:pPr>
        <w:ind w:left="144"/>
      </w:pPr>
      <w:r>
        <w:rPr>
          <w:b/>
          <w:color w:val="B45A00"/>
          <w:sz w:val="16"/>
        </w:rPr>
        <w:t>CONTROLE CONCENTRADO</w:t>
      </w:r>
    </w:p>
    <w:p>
      <w:pPr>
        <w:ind w:left="288"/>
      </w:pPr>
      <w:r>
        <w:rPr>
          <w:color w:val="8C8C8C"/>
          <w:sz w:val="12"/>
        </w:rPr>
        <w:t>cf-art-100-par-4</w:t>
      </w:r>
      <w:r>
        <w:rPr>
          <w:color w:val="003CA0"/>
          <w:sz w:val="12"/>
        </w:rPr>
        <w:t xml:space="preserve"> | ADI 5.534</w:t>
      </w:r>
      <w:r>
        <w:rPr>
          <w:color w:val="003CA0"/>
          <w:sz w:val="12"/>
        </w:rPr>
        <w:t xml:space="preserve"> | rel. Dias Toffoli</w:t>
      </w:r>
    </w:p>
    <w:p>
      <w:pPr>
        <w:ind w:left="288"/>
      </w:pPr>
      <w:r>
        <w:rPr>
          <w:color w:val="1E1E1E"/>
          <w:sz w:val="18"/>
        </w:rPr>
        <w:t>A autonomia expressamente reconhecida na Constituição de 1988 e na jurisprudência do Supremo Tribunal Federal aos estados-membros para dispor sobre obrigações de pequeno valor restringe-se à fixação do valor referencial. Pretender ampliar o sentido da jurisprudência e do que está posto nos §§ 3º e 4º do art. 100 da Constituição, de modo a afirmar a competência legislativa do estado-membro para estabelecer também o prazo para pagamento das RPV, é passo demasiadamente largo.</w:t>
      </w:r>
    </w:p>
    <w:p>
      <w:pPr>
        <w:ind w:left="288"/>
      </w:pPr>
      <w:r>
        <w:rPr>
          <w:b/>
          <w:color w:val="003CA0"/>
          <w:sz w:val="16"/>
        </w:rPr>
        <w:t>[ADI 5.534, rel. min. Dias Toffoli, j. 21-12-2020, P, DJE de 12-2-2021.]</w:t>
      </w:r>
    </w:p>
    <w:p>
      <w:pPr>
        <w:ind w:left="288"/>
      </w:pPr>
      <w:r>
        <w:rPr>
          <w:color w:val="8C8C8C"/>
          <w:sz w:val="12"/>
        </w:rPr>
        <w:t>cf-art-100-par-4</w:t>
      </w:r>
      <w:r>
        <w:rPr>
          <w:color w:val="003CA0"/>
          <w:sz w:val="12"/>
        </w:rPr>
        <w:t xml:space="preserve"> | ADI 5.100</w:t>
      </w:r>
      <w:r>
        <w:rPr>
          <w:color w:val="003CA0"/>
          <w:sz w:val="12"/>
        </w:rPr>
        <w:t xml:space="preserve"> | rel. Luiz Fux</w:t>
      </w:r>
    </w:p>
    <w:p>
      <w:pPr>
        <w:ind w:left="288"/>
      </w:pPr>
      <w:r>
        <w:rPr>
          <w:color w:val="1E1E1E"/>
          <w:sz w:val="18"/>
        </w:rPr>
        <w:t xml:space="preserve">Os entes federados são competentes para estabelecer, por meio de leis próprias e segundo a sua capacidade econômica, o valor máximo das respectivas obrigações de pequeno valor, não podendo tal valor ser inferior àquele do maior benefício do regime geral de previdência social (artigo 100, §§ 3º e 4º, da Constituição Federal, na redação da Emenda Constitucional 62/2009). (...) A aferição da capacidade econômica do ente federado, para fins de delimitação do teto para o pagamento de seus débitos por meio de requisição de pequeno valor, não se esgota na verificação do quantum da receita do Estado, </w:t>
      </w:r>
    </w:p>
    <w:p>
      <w:pPr>
        <w:ind w:left="288"/>
      </w:pPr>
      <w:r>
        <w:rPr>
          <w:b/>
          <w:color w:val="003CA0"/>
          <w:sz w:val="16"/>
        </w:rPr>
        <w:t>[ADI 5.100, rel. min. Luiz Fux, j. 27-4-2020, P, DJE de 14-5-2020.]</w:t>
      </w:r>
    </w:p>
    <w:p>
      <w:pPr>
        <w:ind w:left="288"/>
      </w:pPr>
      <w:r>
        <w:rPr>
          <w:color w:val="8C8C8C"/>
          <w:sz w:val="12"/>
        </w:rPr>
        <w:t>cf-art-100-par-4</w:t>
      </w:r>
      <w:r>
        <w:rPr>
          <w:color w:val="003CA0"/>
          <w:sz w:val="12"/>
        </w:rPr>
        <w:t xml:space="preserve"> | ADI 2.868</w:t>
      </w:r>
      <w:r>
        <w:rPr>
          <w:color w:val="003CA0"/>
          <w:sz w:val="12"/>
        </w:rPr>
        <w:t xml:space="preserve"> | rel. Joaquim Barbosa</w:t>
      </w:r>
    </w:p>
    <w:p>
      <w:pPr>
        <w:ind w:left="288"/>
      </w:pPr>
      <w:r>
        <w:rPr>
          <w:color w:val="1E1E1E"/>
          <w:sz w:val="18"/>
        </w:rPr>
        <w:t>Precatórios. Obrigações de pequeno valor. CF, art. 100, § 3º. ADCT, art. 87. Possibilidade de fixação, pelos Estados-membros, de valor referencial inferior ao do art. 87 do ADCT, com a redação dada pela EC 37/2002.</w:t>
      </w:r>
    </w:p>
    <w:p>
      <w:pPr>
        <w:ind w:left="288"/>
      </w:pPr>
      <w:r>
        <w:rPr>
          <w:b/>
          <w:color w:val="003CA0"/>
          <w:sz w:val="16"/>
        </w:rPr>
        <w:t>[ADI 2.868, rel. p/ o ac. min. Joaquim Barbosa, j. 2-6-2004, P, DJ de 12-11-2004.]</w:t>
      </w:r>
    </w:p>
    <w:p>
      <w:pPr>
        <w:ind w:left="288"/>
      </w:pPr>
      <w:r>
        <w:rPr>
          <w:color w:val="8C8C8C"/>
          <w:sz w:val="12"/>
        </w:rPr>
        <w:t>cf-art-100-par-4</w:t>
      </w:r>
      <w:r>
        <w:rPr>
          <w:color w:val="003CA0"/>
          <w:sz w:val="12"/>
        </w:rPr>
        <w:t xml:space="preserve"> | AI 761.701</w:t>
      </w:r>
      <w:r>
        <w:rPr>
          <w:color w:val="003CA0"/>
          <w:sz w:val="12"/>
        </w:rPr>
        <w:t xml:space="preserve"> | rel. Dias Toffoli</w:t>
      </w:r>
    </w:p>
    <w:p>
      <w:pPr>
        <w:ind w:left="288"/>
      </w:pPr>
      <w:r>
        <w:rPr>
          <w:color w:val="1E1E1E"/>
          <w:sz w:val="18"/>
        </w:rPr>
        <w:t>Vide AI 761.701 ED, rel. min. Dias Toffoli, j. 15-10-2013, 1ª T, DJE de 27-11-2013</w:t>
      </w:r>
    </w:p>
    <w:p>
      <w:pPr>
        <w:ind w:left="144"/>
      </w:pPr>
      <w:r>
        <w:rPr>
          <w:b/>
          <w:color w:val="B45A00"/>
          <w:sz w:val="16"/>
        </w:rPr>
        <w:t>REPERCUSSAO GERAL</w:t>
      </w:r>
    </w:p>
    <w:p>
      <w:pPr>
        <w:ind w:left="288"/>
      </w:pPr>
      <w:r>
        <w:rPr>
          <w:color w:val="8C8C8C"/>
          <w:sz w:val="12"/>
        </w:rPr>
        <w:t>cf-art-100-par-4</w:t>
      </w:r>
      <w:r>
        <w:rPr>
          <w:color w:val="003CA0"/>
          <w:sz w:val="12"/>
        </w:rPr>
        <w:t xml:space="preserve"> | RE 1.359.139</w:t>
      </w:r>
      <w:r>
        <w:rPr>
          <w:color w:val="003CA0"/>
          <w:sz w:val="12"/>
        </w:rPr>
        <w:t xml:space="preserve"> | rel. Luiz Fux</w:t>
      </w:r>
    </w:p>
    <w:p>
      <w:pPr>
        <w:ind w:left="288"/>
      </w:pPr>
      <w:r>
        <w:rPr>
          <w:color w:val="1E1E1E"/>
          <w:sz w:val="18"/>
        </w:rPr>
        <w:t>I – As unidades federadas podem fixar os limites das respectivas requisições de pequeno valor em patamares inferiores aos previstos no art. 87 do ADCT, desde que o façam em consonância com sua capacidade econômica; II – A aferição da capacidade econômica, para este fim, deve refletir não somente a receita, mas igualmente os graus de endividamento e de litigiosidade do ente federado; III – A ausência de demonstração concreta da desproporcionalidade na fixação do teto das requisições de pequeno valor impõe a deferência do Poder Judiciário ao juízo politicoadministrativo externado pela legislação</w:t>
      </w:r>
    </w:p>
    <w:p>
      <w:pPr>
        <w:ind w:left="288"/>
      </w:pPr>
      <w:r>
        <w:rPr>
          <w:b/>
          <w:color w:val="003CA0"/>
          <w:sz w:val="16"/>
        </w:rPr>
        <w:t>[RE 1.359.139, rel. min. Luiz Fux, j. 1-9-2022, P, DJE de 8-9-2022, Tema 1.231, com mérito julgado e reafirmação de jurisprudência.]</w:t>
      </w:r>
    </w:p>
    <w:p>
      <w:pPr>
        <w:ind w:left="288"/>
      </w:pPr>
      <w:r>
        <w:rPr>
          <w:color w:val="8C8C8C"/>
          <w:sz w:val="12"/>
        </w:rPr>
        <w:t>cf-art-100-par-4</w:t>
      </w:r>
      <w:r>
        <w:rPr>
          <w:color w:val="003CA0"/>
          <w:sz w:val="12"/>
        </w:rPr>
        <w:t xml:space="preserve"> | ADI 4.357</w:t>
      </w:r>
      <w:r>
        <w:rPr>
          <w:color w:val="003CA0"/>
          <w:sz w:val="12"/>
        </w:rPr>
        <w:t xml:space="preserve"> | rel. Luís Roberto Barroso</w:t>
      </w:r>
    </w:p>
    <w:p>
      <w:pPr>
        <w:ind w:left="288"/>
      </w:pPr>
      <w:r>
        <w:rPr>
          <w:color w:val="1E1E1E"/>
          <w:sz w:val="18"/>
        </w:rPr>
        <w:t>§ 5º É obrigatória a inclusão no orçamento das entidades de direito público de verba necessária ao pagamento de seus débitos oriundos de sentenças transitadas em julgado constantes de precatórios judiciários apresentados até 1º de fevereiro, fazendo-se o pagamento até o final do exercício seguinte, quando terão seus valores atualizados monetariamente. (Redação dada pela EC n. 136/2025) “1. Não incide a taxa SELIC, prevista no art. 3º da EC nº 113/2021, no prazo constitucional de pagamento de precatórios do § 5º do art. 100 da Constituição. 2. Durante o denominado ‘período de graça’, os valores</w:t>
      </w:r>
    </w:p>
    <w:p>
      <w:pPr>
        <w:ind w:left="288"/>
      </w:pPr>
      <w:r>
        <w:rPr>
          <w:b/>
          <w:color w:val="003CA0"/>
          <w:sz w:val="16"/>
        </w:rPr>
        <w:t>[RE 1.515.163 RG, rel. min. Luís Roberto Barroso, j. 11.10.2024, P, DJE de 21.10.2024, Tema 1.335, com mérito julgado.]</w:t>
      </w:r>
    </w:p>
    <w:p>
      <w:pPr>
        <w:ind w:left="288"/>
      </w:pPr>
      <w:r>
        <w:rPr>
          <w:color w:val="8C8C8C"/>
          <w:sz w:val="12"/>
        </w:rPr>
        <w:t>cf-art-100-par-4</w:t>
      </w:r>
    </w:p>
    <w:p>
      <w:pPr>
        <w:ind w:left="288"/>
      </w:pPr>
      <w:r>
        <w:rPr>
          <w:color w:val="1E1E1E"/>
          <w:sz w:val="18"/>
        </w:rPr>
        <w:t>§ 6º As dotações orçamentárias e os créditos abertos serão consignados diretamente ao Poder Judiciário, cabendo ao Presidente do Tribunal que proferir a decisão exequenda determinar o pagamento integral e autorizar, a requerimento do credor e exclusivamente para os casos de preterimento de seu direito de precedência ou de não alocação orçamentária do valor necessário à satisfação do seu débito, o sequestro da quantia respectiva. (Redação da EC 62/2009)</w:t>
      </w:r>
    </w:p>
    <w:p>
      <w:pPr>
        <w:ind w:left="288"/>
      </w:pPr>
      <w:r>
        <w:rPr>
          <w:color w:val="8C8C8C"/>
          <w:sz w:val="12"/>
        </w:rPr>
        <w:t>cf-art-100-par-4</w:t>
      </w:r>
      <w:r>
        <w:rPr>
          <w:color w:val="003CA0"/>
          <w:sz w:val="12"/>
        </w:rPr>
        <w:t xml:space="preserve"> | RE 840.435</w:t>
      </w:r>
      <w:r>
        <w:rPr>
          <w:color w:val="003CA0"/>
          <w:sz w:val="12"/>
        </w:rPr>
        <w:t xml:space="preserve"> | rel. Dias Toffoli</w:t>
      </w:r>
    </w:p>
    <w:p>
      <w:pPr>
        <w:ind w:left="288"/>
      </w:pPr>
      <w:r>
        <w:rPr>
          <w:color w:val="1E1E1E"/>
          <w:sz w:val="18"/>
        </w:rPr>
        <w:t>“O deferimento de sequestro de rendas públicas para pagamento de precatório deve se restringir às hipóteses enumeradas taxativamente na Constituição Federal de 1988.”</w:t>
        <w:br/>
        <w:t>[RE 840.435, rel. min. Dias Toffoli, j. 25-9-2023, P, DJE de 31-10-2023, Tema 598, com mérito julgado.] Seção II Do Supremo Tribunal Federal SUMÁRIO</w:t>
      </w:r>
    </w:p>
    <w:p>
      <w:pPr>
        <w:ind w:left="432"/>
      </w:pPr>
      <w:r>
        <w:rPr>
          <w:color w:val="003366"/>
          <w:sz w:val="18"/>
        </w:rPr>
        <w:t>§ 1 Os débitos de natureza alimentícia compreendem aqueles decorrentes da relaçã</w:t>
      </w:r>
    </w:p>
    <w:p>
      <w:pPr>
        <w:ind w:left="432"/>
      </w:pPr>
      <w:r>
        <w:rPr>
          <w:color w:val="003366"/>
          <w:sz w:val="18"/>
        </w:rPr>
        <w:t>§ 2 Os débitos de natureza alimentícia cujos titulares, originários ou por suces</w:t>
      </w:r>
    </w:p>
    <w:p>
      <w:pPr>
        <w:ind w:left="432"/>
      </w:pPr>
      <w:r>
        <w:rPr>
          <w:color w:val="003366"/>
          <w:sz w:val="18"/>
        </w:rPr>
        <w:t>§ 3 O disposto no caput deste artigo relativamente à expedição de precatórios nã</w:t>
      </w:r>
    </w:p>
    <w:p>
      <w:pPr>
        <w:ind w:left="432"/>
      </w:pPr>
      <w:r>
        <w:rPr>
          <w:color w:val="003366"/>
          <w:sz w:val="18"/>
        </w:rPr>
        <w:t>§ 4 Para os fins do disposto no § 3º, poderão ser fixados, por leis próprias, va</w:t>
      </w:r>
    </w:p>
    <w:p>
      <w:pPr>
        <w:ind w:left="432"/>
      </w:pPr>
      <w:r>
        <w:rPr>
          <w:color w:val="003366"/>
          <w:sz w:val="18"/>
        </w:rPr>
        <w:t>§ 5 É obrigatória a inclusão no orçamento das entidades de direito público de ve</w:t>
      </w:r>
    </w:p>
    <w:p>
      <w:pPr>
        <w:ind w:left="432"/>
      </w:pPr>
      <w:r>
        <w:rPr>
          <w:color w:val="003366"/>
          <w:sz w:val="18"/>
        </w:rPr>
        <w:t>§ 6 As dotações orçamentárias e os créditos abertos serão consignados diretament</w:t>
      </w:r>
    </w:p>
    <w:p>
      <w:pPr>
        <w:ind w:left="432"/>
      </w:pPr>
      <w:r>
        <w:rPr>
          <w:color w:val="003366"/>
          <w:sz w:val="18"/>
        </w:rPr>
        <w:t>§ 7 O Presidente do Tribunal competente que, por ato comissivo ou omissivo, reta</w:t>
      </w:r>
    </w:p>
    <w:p>
      <w:pPr>
        <w:ind w:left="432"/>
      </w:pPr>
      <w:r>
        <w:rPr>
          <w:color w:val="003366"/>
          <w:sz w:val="18"/>
        </w:rPr>
        <w:t>§ 8 É vedada a expedição de precatórios complementares ou suplementares de valor</w:t>
      </w:r>
    </w:p>
    <w:p>
      <w:pPr>
        <w:ind w:left="432"/>
      </w:pPr>
      <w:r>
        <w:rPr>
          <w:color w:val="003366"/>
          <w:sz w:val="18"/>
        </w:rPr>
        <w:t>§ 9 Sem que haja interrupção no pagamento do precatório e mediante comunicação d</w:t>
      </w:r>
    </w:p>
    <w:p>
      <w:pPr>
        <w:ind w:left="432"/>
      </w:pPr>
      <w:r>
        <w:rPr>
          <w:color w:val="003366"/>
          <w:sz w:val="18"/>
        </w:rPr>
        <w:t>§ 10 Antes da expedição dos precatórios, o Tribunal solicitará à Fazenda Pública</w:t>
      </w:r>
    </w:p>
    <w:p>
      <w:pPr>
        <w:ind w:left="432"/>
      </w:pPr>
      <w:r>
        <w:rPr>
          <w:color w:val="003366"/>
          <w:sz w:val="18"/>
        </w:rPr>
        <w:t>§ 11 É facultada ao credor, conforme estabelecido em lei do ente federativo deve</w:t>
      </w:r>
    </w:p>
    <w:p>
      <w:pPr>
        <w:ind w:left="720"/>
      </w:pPr>
      <w:r>
        <w:rPr>
          <w:color w:val="003366"/>
          <w:sz w:val="18"/>
        </w:rPr>
        <w:t xml:space="preserve">I – quitação de débitos parcelados ou débitos inscritos em dívida ativa do ente </w:t>
      </w:r>
    </w:p>
    <w:p>
      <w:pPr>
        <w:ind w:left="720"/>
      </w:pPr>
      <w:r>
        <w:rPr>
          <w:color w:val="003366"/>
          <w:sz w:val="18"/>
        </w:rPr>
        <w:t>II – compra de imóveis públicos de propriedade do mesmo ente disponibilizados pa</w:t>
      </w:r>
    </w:p>
    <w:p>
      <w:pPr>
        <w:ind w:left="720"/>
      </w:pPr>
      <w:r>
        <w:rPr>
          <w:color w:val="003366"/>
          <w:sz w:val="18"/>
        </w:rPr>
        <w:t xml:space="preserve">III – pagamento de outorga de delegações de serviços públicos e demais espécies </w:t>
      </w:r>
    </w:p>
    <w:p>
      <w:pPr>
        <w:ind w:left="720"/>
      </w:pPr>
      <w:r>
        <w:rPr>
          <w:color w:val="003366"/>
          <w:sz w:val="18"/>
        </w:rPr>
        <w:t>IV – aquisição, inclusive minoritária, de participação societária, disponibiliza</w:t>
      </w:r>
    </w:p>
    <w:p>
      <w:pPr>
        <w:ind w:left="720"/>
      </w:pPr>
      <w:r>
        <w:rPr>
          <w:color w:val="003366"/>
          <w:sz w:val="18"/>
        </w:rPr>
        <w:t>V – compra de direitos, disponibilizados para cessão, do respectivo ente federat</w:t>
      </w:r>
    </w:p>
    <w:p>
      <w:pPr>
        <w:ind w:left="432"/>
      </w:pPr>
      <w:r>
        <w:rPr>
          <w:color w:val="003366"/>
          <w:sz w:val="18"/>
        </w:rPr>
        <w:t>§ 12 A partir da promulgação desta Emenda Constitucional, a atualização de valor</w:t>
      </w:r>
    </w:p>
    <w:p>
      <w:pPr>
        <w:ind w:left="432"/>
      </w:pPr>
      <w:r>
        <w:rPr>
          <w:color w:val="003366"/>
          <w:sz w:val="18"/>
        </w:rPr>
        <w:t xml:space="preserve">§ 13 O credor poderá ceder, total ou parcialmente, seus créditos em precatórios </w:t>
      </w:r>
    </w:p>
    <w:p>
      <w:pPr>
        <w:ind w:left="432"/>
      </w:pPr>
      <w:r>
        <w:rPr>
          <w:color w:val="003366"/>
          <w:sz w:val="18"/>
        </w:rPr>
        <w:t>§ 14 A cessão de precatórios, observado o disposto no § 9º deste artigo, somente</w:t>
      </w:r>
    </w:p>
    <w:p>
      <w:pPr>
        <w:ind w:left="432"/>
      </w:pPr>
      <w:r>
        <w:rPr>
          <w:color w:val="003366"/>
          <w:sz w:val="18"/>
        </w:rPr>
        <w:t>§ 15 Sem prejuízo do disposto neste artigo, lei complementar a esta Constituição</w:t>
      </w:r>
    </w:p>
    <w:p>
      <w:pPr>
        <w:ind w:left="432"/>
      </w:pPr>
      <w:r>
        <w:rPr>
          <w:color w:val="003366"/>
          <w:sz w:val="18"/>
        </w:rPr>
        <w:t>§ 16 A seu critério exclusivo e na forma de lei, a União poderá assumir débitos,</w:t>
      </w:r>
    </w:p>
    <w:p>
      <w:pPr>
        <w:ind w:left="432"/>
      </w:pPr>
      <w:r>
        <w:rPr>
          <w:color w:val="003366"/>
          <w:sz w:val="18"/>
        </w:rPr>
        <w:t>§ 17 A União, os Estados, o Distrito Federal e os Municípios aferirão mensalment</w:t>
      </w:r>
    </w:p>
    <w:p>
      <w:pPr>
        <w:ind w:left="432"/>
      </w:pPr>
      <w:r>
        <w:rPr>
          <w:color w:val="003366"/>
          <w:sz w:val="18"/>
        </w:rPr>
        <w:t>§ 18 Entende-se como receita corrente líquida, para os fins de que trata o § 17,</w:t>
      </w:r>
    </w:p>
    <w:p>
      <w:pPr>
        <w:ind w:left="720"/>
      </w:pPr>
      <w:r>
        <w:rPr>
          <w:color w:val="003366"/>
          <w:sz w:val="18"/>
        </w:rPr>
        <w:t>I – na União, as parcelas entregues aos Estados, ao Distrito Federal e aos Munic</w:t>
      </w:r>
    </w:p>
    <w:p>
      <w:pPr>
        <w:ind w:left="720"/>
      </w:pPr>
      <w:r>
        <w:rPr>
          <w:color w:val="003366"/>
          <w:sz w:val="18"/>
        </w:rPr>
        <w:t>II – nos Estados, as parcelas entregues aos Municípios por determinação constitu</w:t>
      </w:r>
    </w:p>
    <w:p>
      <w:pPr>
        <w:ind w:left="720"/>
      </w:pPr>
      <w:r>
        <w:rPr>
          <w:color w:val="003366"/>
          <w:sz w:val="18"/>
        </w:rPr>
        <w:t>III – na União, nos Estados, no Distrito Federal e nos Municípios, a contribuiçã</w:t>
      </w:r>
    </w:p>
    <w:p>
      <w:pPr>
        <w:ind w:left="432"/>
      </w:pPr>
      <w:r>
        <w:rPr>
          <w:color w:val="003366"/>
          <w:sz w:val="18"/>
        </w:rPr>
        <w:t>§ 19 Caso o montante total de débitos decorrentes de condenações judiciais em pr</w:t>
      </w:r>
    </w:p>
    <w:p>
      <w:pPr>
        <w:ind w:left="432"/>
      </w:pPr>
      <w:r>
        <w:rPr>
          <w:color w:val="003366"/>
          <w:sz w:val="18"/>
        </w:rPr>
        <w:t>§ 19 A. A União fica autorizada a instituir linha de crédito especial, por inter</w:t>
      </w:r>
    </w:p>
    <w:p>
      <w:pPr>
        <w:ind w:left="432"/>
      </w:pPr>
      <w:r>
        <w:rPr>
          <w:color w:val="003366"/>
          <w:sz w:val="18"/>
        </w:rPr>
        <w:t>§ 20 Caso haja precatório com valor superior a 15% (quinze por cento) do montant</w:t>
      </w:r>
    </w:p>
    <w:p>
      <w:pPr>
        <w:ind w:left="432"/>
      </w:pPr>
      <w:r>
        <w:rPr>
          <w:color w:val="003366"/>
          <w:sz w:val="18"/>
        </w:rPr>
        <w:t>§ 21 Ficam a União e os demais entes federativos, nos montantes que lhes são pró</w:t>
      </w:r>
    </w:p>
    <w:p>
      <w:pPr>
        <w:ind w:left="720"/>
      </w:pPr>
      <w:r>
        <w:rPr>
          <w:color w:val="003366"/>
          <w:sz w:val="18"/>
        </w:rPr>
        <w:t>I – nos contratos de refinanciamento cujos créditos sejam detidos pelo ente fede</w:t>
      </w:r>
    </w:p>
    <w:p>
      <w:pPr>
        <w:ind w:left="720"/>
      </w:pPr>
      <w:r>
        <w:rPr>
          <w:color w:val="003366"/>
          <w:sz w:val="18"/>
        </w:rPr>
        <w:t>II – nos contratos em que houve prestação de garantia a outro ente federativo; (</w:t>
      </w:r>
    </w:p>
    <w:p>
      <w:pPr>
        <w:ind w:left="720"/>
      </w:pPr>
      <w:r>
        <w:rPr>
          <w:color w:val="003366"/>
          <w:sz w:val="18"/>
        </w:rPr>
        <w:t>III – nos parcelamentos de tributos ou de contribuições sociais; e (Incluído pel</w:t>
      </w:r>
    </w:p>
    <w:p>
      <w:pPr>
        <w:ind w:left="720"/>
      </w:pPr>
      <w:r>
        <w:rPr>
          <w:color w:val="003366"/>
          <w:sz w:val="18"/>
        </w:rPr>
        <w:t>IV – nas obrigações decorrentes do descumprimento de prestação de contas ou de d</w:t>
      </w:r>
    </w:p>
    <w:p>
      <w:pPr>
        <w:ind w:left="432"/>
      </w:pPr>
      <w:r>
        <w:rPr>
          <w:color w:val="003366"/>
          <w:sz w:val="18"/>
        </w:rPr>
        <w:t>§ 22 A amortização de que trata o § 21 deste artigo: (Incluído pela Emenda Const</w:t>
      </w:r>
    </w:p>
    <w:p>
      <w:pPr>
        <w:ind w:left="720"/>
      </w:pPr>
      <w:r>
        <w:rPr>
          <w:color w:val="003366"/>
          <w:sz w:val="18"/>
        </w:rPr>
        <w:t>I – nas obrigações vencidas, será imputada primeiramente às parcelas mais antiga</w:t>
      </w:r>
    </w:p>
    <w:p>
      <w:pPr>
        <w:ind w:left="720"/>
      </w:pPr>
      <w:r>
        <w:rPr>
          <w:color w:val="003366"/>
          <w:sz w:val="18"/>
        </w:rPr>
        <w:t>II – nas obrigações vincendas, reduzirá uniformemente o valor de cada parcela de</w:t>
      </w:r>
    </w:p>
    <w:p>
      <w:pPr>
        <w:ind w:left="432"/>
      </w:pPr>
      <w:r>
        <w:rPr>
          <w:color w:val="003366"/>
          <w:sz w:val="18"/>
        </w:rPr>
        <w:t>§ 23 Os pagamentos de precatórios pelos Estados, pelo Distrito Federal e pelos M</w:t>
      </w:r>
    </w:p>
    <w:p>
      <w:pPr>
        <w:ind w:left="720"/>
      </w:pPr>
      <w:r>
        <w:rPr>
          <w:color w:val="003366"/>
          <w:sz w:val="18"/>
        </w:rPr>
        <w:t>I – 1% (um por cento) da receita corrente líquida apurada no exercício financeir</w:t>
      </w:r>
    </w:p>
    <w:p>
      <w:pPr>
        <w:ind w:left="720"/>
      </w:pPr>
      <w:r>
        <w:rPr>
          <w:color w:val="003366"/>
          <w:sz w:val="18"/>
        </w:rPr>
        <w:t>II – 1,5% (um inteiro e cinco décimos por cento) da receita corrente líquida apu</w:t>
      </w:r>
    </w:p>
    <w:p>
      <w:pPr>
        <w:ind w:left="720"/>
      </w:pPr>
      <w:r>
        <w:rPr>
          <w:color w:val="003366"/>
          <w:sz w:val="18"/>
        </w:rPr>
        <w:t>III – 2% (dois por cento) da receita corrente líquida apurada no exercício finan</w:t>
      </w:r>
    </w:p>
    <w:p>
      <w:pPr>
        <w:ind w:left="720"/>
      </w:pPr>
      <w:r>
        <w:rPr>
          <w:color w:val="003366"/>
          <w:sz w:val="18"/>
        </w:rPr>
        <w:t xml:space="preserve">IV – 2,5% (dois inteiros e cinco décimos por cento) da receita corrente líquida </w:t>
      </w:r>
    </w:p>
    <w:p>
      <w:pPr>
        <w:ind w:left="720"/>
      </w:pPr>
      <w:r>
        <w:rPr>
          <w:color w:val="003366"/>
          <w:sz w:val="18"/>
        </w:rPr>
        <w:t>V – 3% (três por cento) da receita corrente líquida apurada no exercício finance</w:t>
      </w:r>
    </w:p>
    <w:p>
      <w:pPr>
        <w:ind w:left="720"/>
      </w:pPr>
      <w:r>
        <w:rPr>
          <w:color w:val="003366"/>
          <w:sz w:val="18"/>
        </w:rPr>
        <w:t xml:space="preserve">VI – 3,5% (três inteiros e cinco décimos por cento) da receita corrente líquida </w:t>
      </w:r>
    </w:p>
    <w:p>
      <w:pPr>
        <w:ind w:left="720"/>
      </w:pPr>
      <w:r>
        <w:rPr>
          <w:color w:val="003366"/>
          <w:sz w:val="18"/>
        </w:rPr>
        <w:t>VII – 4% (quatro por cento) da receita corrente líquida apurada no exercício fin</w:t>
      </w:r>
    </w:p>
    <w:p>
      <w:pPr>
        <w:ind w:left="720"/>
      </w:pPr>
      <w:r>
        <w:rPr>
          <w:color w:val="003366"/>
          <w:sz w:val="18"/>
        </w:rPr>
        <w:t>VIII – 4,5% (quatro inteiros e cinco décimos por cento) da receita corrente líqu</w:t>
      </w:r>
    </w:p>
    <w:p>
      <w:pPr>
        <w:ind w:left="720"/>
      </w:pPr>
      <w:r>
        <w:rPr>
          <w:color w:val="003366"/>
          <w:sz w:val="18"/>
        </w:rPr>
        <w:t>IX – 5% (cinco por cento) da receita corrente líquida apurada no exercício finan</w:t>
      </w:r>
    </w:p>
    <w:p>
      <w:pPr>
        <w:ind w:left="432"/>
      </w:pPr>
      <w:r>
        <w:rPr>
          <w:color w:val="003366"/>
          <w:sz w:val="18"/>
        </w:rPr>
        <w:t>§ 24 Os limites percentuais fixados nos incisos I a IX do § 23 deste artigo deve</w:t>
      </w:r>
    </w:p>
    <w:p>
      <w:pPr>
        <w:ind w:left="432"/>
      </w:pPr>
      <w:r>
        <w:rPr>
          <w:color w:val="003366"/>
          <w:sz w:val="18"/>
        </w:rPr>
        <w:t>§ 25 Toda medida efetiva de redução de estoque de precatórios promovida pelos Es</w:t>
      </w:r>
    </w:p>
    <w:p>
      <w:pPr>
        <w:ind w:left="432"/>
      </w:pPr>
      <w:r>
        <w:rPr>
          <w:color w:val="003366"/>
          <w:sz w:val="18"/>
        </w:rPr>
        <w:t>§ 26 Os pagamentos de precatórios realizados nos termos dos §§ 11 e 21 deste art</w:t>
      </w:r>
    </w:p>
    <w:p>
      <w:pPr>
        <w:ind w:left="432"/>
      </w:pPr>
      <w:r>
        <w:rPr>
          <w:color w:val="003366"/>
          <w:sz w:val="18"/>
        </w:rPr>
        <w:t>§ 27 Se os recursos destinados aos pagamentos de precatórios dos Estados, do Dis</w:t>
      </w:r>
    </w:p>
    <w:p>
      <w:pPr>
        <w:ind w:left="720"/>
      </w:pPr>
      <w:r>
        <w:rPr>
          <w:color w:val="003366"/>
          <w:sz w:val="18"/>
        </w:rPr>
        <w:t xml:space="preserve">I – os limites de que trata o § 23 deste artigo serão suspensos; (Incluído pela </w:t>
      </w:r>
    </w:p>
    <w:p>
      <w:pPr>
        <w:ind w:left="720"/>
      </w:pPr>
      <w:r>
        <w:rPr>
          <w:color w:val="003366"/>
          <w:sz w:val="18"/>
        </w:rPr>
        <w:t>II – o Presidente do Tribunal de Justiça local determinará o sequestro, até o li</w:t>
      </w:r>
    </w:p>
    <w:p>
      <w:pPr>
        <w:ind w:left="720"/>
      </w:pPr>
      <w:r>
        <w:rPr>
          <w:color w:val="003366"/>
          <w:sz w:val="18"/>
        </w:rPr>
        <w:t>III – o Governador do Estado ou do Distrito Federal ou o Prefeito do Município i</w:t>
      </w:r>
    </w:p>
    <w:p>
      <w:pPr>
        <w:ind w:left="720"/>
      </w:pPr>
      <w:r>
        <w:rPr>
          <w:color w:val="003366"/>
          <w:sz w:val="18"/>
        </w:rPr>
        <w:t>IV – o Estado, o Distrito Federal ou o Município ficará impedido de receber tran</w:t>
      </w:r>
    </w:p>
    <w:p>
      <w:pPr>
        <w:ind w:left="432"/>
      </w:pPr>
      <w:r>
        <w:rPr>
          <w:color w:val="003366"/>
          <w:sz w:val="18"/>
        </w:rPr>
        <w:t>§ 28 Os Estados, o Distrito Federal e os Municípios, mediante dotação orçamentár</w:t>
      </w:r>
    </w:p>
    <w:p>
      <w:pPr>
        <w:ind w:left="432"/>
      </w:pPr>
      <w:r>
        <w:rPr>
          <w:color w:val="003366"/>
          <w:sz w:val="18"/>
        </w:rPr>
        <w:t xml:space="preserve">§ 29 É facultado ao credor de precatório dos Estados, do Distrito Federal e dos </w:t>
      </w:r>
    </w:p>
    <w:p>
      <w:pPr>
        <w:ind w:left="432"/>
      </w:pPr>
      <w:r>
        <w:rPr>
          <w:color w:val="003366"/>
          <w:sz w:val="18"/>
        </w:rPr>
        <w:t>§ 30 Os valores efetivamente aportados pelos entes federativos nas contas especi</w:t>
      </w:r>
    </w:p>
    <w:p>
      <w:pPr>
        <w:pStyle w:val="Heading3"/>
      </w:pPr>
      <w:r>
        <w:rPr>
          <w:color w:val="003366"/>
        </w:rPr>
        <w:t>Seção II - DO SUPREMO TRIBUNAL FEDERAL</w:t>
      </w:r>
    </w:p>
    <w:p>
      <w:r>
        <w:rPr>
          <w:b/>
          <w:color w:val="003366"/>
          <w:sz w:val="20"/>
        </w:rPr>
        <w:t>Art. 101 O Supremo Tribunal Federal compõe-se de onze Ministros, escolhidos dent</w:t>
      </w:r>
      <w:r>
        <w:rPr>
          <w:color w:val="8C8C8C"/>
          <w:sz w:val="14"/>
        </w:rPr>
        <w:t xml:space="preserve">  [1 decisoes]</w:t>
      </w:r>
    </w:p>
    <w:p>
      <w:pPr>
        <w:ind w:left="288"/>
      </w:pPr>
      <w:r>
        <w:rPr>
          <w:color w:val="8C8C8C"/>
          <w:sz w:val="12"/>
        </w:rPr>
        <w:t>cf-art-101</w:t>
      </w:r>
    </w:p>
    <w:p>
      <w:pPr>
        <w:ind w:left="288"/>
      </w:pPr>
      <w:r>
        <w:rPr>
          <w:color w:val="1E1E1E"/>
          <w:sz w:val="18"/>
        </w:rPr>
        <w:t>Parágrafo único. Os Ministros do Supremo Tribunal Federal serão nomeados pelo Presidente da República, depois de aprovada a escolha pela maioria absoluta do Senado Federal.</w:t>
      </w:r>
    </w:p>
    <w:p>
      <w:r>
        <w:rPr>
          <w:b/>
          <w:color w:val="003366"/>
          <w:sz w:val="20"/>
        </w:rPr>
        <w:t>Art. 102 Compete ao Supremo Tribunal Federal, precipuamente, a guarda da Constit</w:t>
      </w:r>
      <w:r>
        <w:rPr>
          <w:color w:val="8C8C8C"/>
          <w:sz w:val="14"/>
        </w:rPr>
        <w:t xml:space="preserve">  [644 decisoes]</w:t>
      </w:r>
    </w:p>
    <w:p>
      <w:pPr>
        <w:ind w:left="144"/>
      </w:pPr>
      <w:r>
        <w:rPr>
          <w:b/>
          <w:color w:val="B45A00"/>
          <w:sz w:val="16"/>
        </w:rPr>
        <w:t>CONTROLE CONCENTRADO</w:t>
      </w:r>
    </w:p>
    <w:p>
      <w:pPr>
        <w:ind w:left="288"/>
      </w:pPr>
      <w:r>
        <w:rPr>
          <w:color w:val="8C8C8C"/>
          <w:sz w:val="12"/>
        </w:rPr>
        <w:t>cf-art-102</w:t>
      </w:r>
      <w:r>
        <w:rPr>
          <w:color w:val="003CA0"/>
          <w:sz w:val="12"/>
        </w:rPr>
        <w:t xml:space="preserve"> | ADI 3.345</w:t>
      </w:r>
      <w:r>
        <w:rPr>
          <w:color w:val="003CA0"/>
          <w:sz w:val="12"/>
        </w:rPr>
        <w:t xml:space="preserve"> | rel. Celso de Mello</w:t>
      </w:r>
    </w:p>
    <w:p>
      <w:pPr>
        <w:ind w:left="288"/>
      </w:pPr>
      <w:r>
        <w:rPr>
          <w:color w:val="1E1E1E"/>
          <w:sz w:val="18"/>
        </w:rPr>
        <w:t>A interpretação constitucional derivada das decisões proferidas pelo STF – a quem se atribuiu a função eminente de "guarda da Constituição" (CF, art. 102, caput) – assume papel de essencial importância na organização institucional do Estado brasileiro, a justificar o reconhecimento de que o modelo político-jurídico vigente em nosso país confere, à Suprema Corte, a singular prerrogativa de dispor do monopólio da última palavra em tema de exegese das normas inscritas no texto da Lei Fundamental.</w:t>
      </w:r>
    </w:p>
    <w:p>
      <w:pPr>
        <w:ind w:left="288"/>
      </w:pPr>
      <w:r>
        <w:rPr>
          <w:b/>
          <w:color w:val="003CA0"/>
          <w:sz w:val="16"/>
        </w:rPr>
        <w:t>[ADI 3.345, rel. min. Celso de Mello, j. 25-8-2005, P, DJE de 20-8-2010.]</w:t>
      </w:r>
    </w:p>
    <w:p>
      <w:pPr>
        <w:ind w:left="288"/>
      </w:pPr>
      <w:r>
        <w:rPr>
          <w:color w:val="8C8C8C"/>
          <w:sz w:val="12"/>
        </w:rPr>
        <w:t>cf-art-102</w:t>
      </w:r>
      <w:r>
        <w:rPr>
          <w:color w:val="003CA0"/>
          <w:sz w:val="12"/>
        </w:rPr>
        <w:t xml:space="preserve"> | AI 733.387</w:t>
      </w:r>
      <w:r>
        <w:rPr>
          <w:color w:val="003CA0"/>
          <w:sz w:val="12"/>
        </w:rPr>
        <w:t xml:space="preserve"> | rel. Celso de Mello</w:t>
      </w:r>
    </w:p>
    <w:p>
      <w:pPr>
        <w:ind w:left="288"/>
      </w:pPr>
      <w:r>
        <w:rPr>
          <w:color w:val="1E1E1E"/>
          <w:sz w:val="18"/>
        </w:rPr>
        <w:t>= AI 733.387, rel. min. Celso de Mello, j. 16-12-2008, 2ª T, DJE de 1º-2-2013 Vide HC 91.361, rel. min. Celso de Mello, j. 23-9-2008, 2ª T, DJE de 6-2-2009 Vide RE 227.001 ED, rel. min. Gilmar Mendes, j. 18-9-2007, 2ª T, DJ de 5-10-2007 A invocação das razões de Estado – além de deslegitimar-se como fundamento idôneo de justificação de medidas legislativas – representa, por efeito das gravíssimas consequências provocadas por seu eventual acolhimento, uma ameaça inadmissível às liberdades públicas, à supremacia da ordem constitucional e aos valores democráticos que a informam, culminando por in</w:t>
      </w:r>
    </w:p>
    <w:p>
      <w:pPr>
        <w:ind w:left="288"/>
      </w:pPr>
      <w:r>
        <w:rPr>
          <w:b/>
          <w:color w:val="003CA0"/>
          <w:sz w:val="16"/>
        </w:rPr>
        <w:t>[ADI 2.010 MC, rel. min. Celso de Mello, j. 30-9-1999, P, DJ de 12-4-2002.]</w:t>
      </w:r>
    </w:p>
    <w:p>
      <w:pPr>
        <w:ind w:left="288"/>
      </w:pPr>
      <w:r>
        <w:rPr>
          <w:color w:val="8C8C8C"/>
          <w:sz w:val="12"/>
        </w:rPr>
        <w:t>cf-art-102</w:t>
      </w:r>
      <w:r>
        <w:rPr>
          <w:color w:val="003CA0"/>
          <w:sz w:val="12"/>
        </w:rPr>
        <w:t xml:space="preserve"> | RCL 73.295</w:t>
      </w:r>
      <w:r>
        <w:rPr>
          <w:color w:val="003CA0"/>
          <w:sz w:val="12"/>
        </w:rPr>
        <w:t xml:space="preserve"> | rel. Gilmar Mendes</w:t>
      </w:r>
    </w:p>
    <w:p>
      <w:pPr>
        <w:ind w:left="288"/>
      </w:pPr>
      <w:r>
        <w:rPr>
          <w:color w:val="1E1E1E"/>
          <w:sz w:val="18"/>
        </w:rPr>
        <w:t xml:space="preserve">Instauração do incidente de assunção de competência perante o Supremo Tribunal Federal. Possibilidade. O Código de Processo Civil criou institutos que, além de valorizarem os pronunciamentos jurisdicionais, estão orientados à promoção de mais segurança jurídica, à garantia de maior isonomia e à salvaguarda da tutela judicial efetiva, com observância à duração razoável do processo. O incidente de assunção de competência, que consubstancia instrumento de maximização de princípios constitucionais, pode ser instaurado, perante o Supremo Tribunal Federal, quando se tratar de competência originária </w:t>
      </w:r>
    </w:p>
    <w:p>
      <w:pPr>
        <w:ind w:left="288"/>
      </w:pPr>
      <w:r>
        <w:rPr>
          <w:b/>
          <w:color w:val="003CA0"/>
          <w:sz w:val="16"/>
        </w:rPr>
        <w:t>[Rcl 73.295, rel. min. Gilmar Mendes, j. 19-11-2025, P, DJE de 4-3-2026.]</w:t>
      </w:r>
    </w:p>
    <w:p>
      <w:pPr>
        <w:ind w:left="144"/>
      </w:pPr>
      <w:r>
        <w:rPr>
          <w:b/>
          <w:color w:val="B45A00"/>
          <w:sz w:val="16"/>
        </w:rPr>
        <w:t>JULGADOS CORRELATOS</w:t>
      </w:r>
    </w:p>
    <w:p>
      <w:pPr>
        <w:ind w:left="288"/>
      </w:pPr>
      <w:r>
        <w:rPr>
          <w:color w:val="8C8C8C"/>
          <w:sz w:val="12"/>
        </w:rPr>
        <w:t>cf-art-102</w:t>
      </w:r>
      <w:r>
        <w:rPr>
          <w:color w:val="003CA0"/>
          <w:sz w:val="12"/>
        </w:rPr>
        <w:t xml:space="preserve"> | AC 2.404</w:t>
      </w:r>
      <w:r>
        <w:rPr>
          <w:color w:val="003CA0"/>
          <w:sz w:val="12"/>
        </w:rPr>
        <w:t xml:space="preserve"> | rel. Roberto Barroso</w:t>
      </w:r>
    </w:p>
    <w:p>
      <w:pPr>
        <w:ind w:left="288"/>
      </w:pPr>
      <w:r>
        <w:rPr>
          <w:color w:val="1E1E1E"/>
          <w:sz w:val="18"/>
        </w:rPr>
        <w:t>O STF não tem competência para julgar ações ordinárias que impugnem atos do TCU. Como o acessório segue o principal, o mesmo se passa com as ações cautelares preparatórias dessas demandas.</w:t>
      </w:r>
    </w:p>
    <w:p>
      <w:pPr>
        <w:ind w:left="288"/>
      </w:pPr>
      <w:r>
        <w:rPr>
          <w:b/>
          <w:color w:val="003CA0"/>
          <w:sz w:val="16"/>
        </w:rPr>
        <w:t>[AC 2.404 ED, rel. min. Roberto Barroso, j. 25-2-2014, 1ª T, DJE de 19-3-2014.]</w:t>
      </w:r>
    </w:p>
    <w:p>
      <w:pPr>
        <w:ind w:left="288"/>
      </w:pPr>
      <w:r>
        <w:rPr>
          <w:color w:val="8C8C8C"/>
          <w:sz w:val="12"/>
        </w:rPr>
        <w:t>cf-art-102</w:t>
      </w:r>
      <w:r>
        <w:rPr>
          <w:color w:val="003CA0"/>
          <w:sz w:val="12"/>
        </w:rPr>
        <w:t xml:space="preserve"> | ARE 729.643</w:t>
      </w:r>
      <w:r>
        <w:rPr>
          <w:color w:val="003CA0"/>
          <w:sz w:val="12"/>
        </w:rPr>
        <w:t xml:space="preserve"> | rel. Marco Aurélio</w:t>
      </w:r>
    </w:p>
    <w:p>
      <w:pPr>
        <w:ind w:left="288"/>
      </w:pPr>
      <w:r>
        <w:rPr>
          <w:color w:val="1E1E1E"/>
          <w:sz w:val="18"/>
        </w:rPr>
        <w:t>É inadequado recurso extraordinário contra acórdão de turma do Supremo.</w:t>
      </w:r>
    </w:p>
    <w:p>
      <w:pPr>
        <w:ind w:left="288"/>
      </w:pPr>
      <w:r>
        <w:rPr>
          <w:b/>
          <w:color w:val="003CA0"/>
          <w:sz w:val="16"/>
        </w:rPr>
        <w:t>[ARE 729.643 AgR-ED-AgR, rel. min. Marco Aurélio, j. 26-11-2013, 1ª T, DJE de 11-12-2013.]</w:t>
      </w:r>
    </w:p>
    <w:p>
      <w:pPr>
        <w:ind w:left="288"/>
      </w:pPr>
      <w:r>
        <w:rPr>
          <w:color w:val="8C8C8C"/>
          <w:sz w:val="12"/>
        </w:rPr>
        <w:t>cf-art-102</w:t>
      </w:r>
      <w:r>
        <w:rPr>
          <w:color w:val="003CA0"/>
          <w:sz w:val="12"/>
        </w:rPr>
        <w:t xml:space="preserve"> | RCL 5.444</w:t>
      </w:r>
      <w:r>
        <w:rPr>
          <w:color w:val="003CA0"/>
          <w:sz w:val="12"/>
        </w:rPr>
        <w:t xml:space="preserve"> | rel. Marco Aurélio</w:t>
      </w:r>
    </w:p>
    <w:p>
      <w:pPr>
        <w:ind w:left="288"/>
      </w:pPr>
      <w:r>
        <w:rPr>
          <w:color w:val="1E1E1E"/>
          <w:sz w:val="18"/>
        </w:rPr>
        <w:t>O fato de o processo de desapropriação ser precedido de decreto do presidente da República, por meio do qual se declara o imóvel de interesse social e se autoriza a União a intentar a ação respectiva, não atrai a competência do Supremo.</w:t>
      </w:r>
    </w:p>
    <w:p>
      <w:pPr>
        <w:ind w:left="288"/>
      </w:pPr>
      <w:r>
        <w:rPr>
          <w:b/>
          <w:color w:val="003CA0"/>
          <w:sz w:val="16"/>
        </w:rPr>
        <w:t>[Rcl 5.444 MC-AgR, rel. min. Marco Aurélio, j. 9-12-2010, P, DJE de 12-4-2011.]</w:t>
      </w:r>
    </w:p>
    <w:p>
      <w:pPr>
        <w:ind w:left="288"/>
      </w:pPr>
      <w:r>
        <w:rPr>
          <w:color w:val="8C8C8C"/>
          <w:sz w:val="12"/>
        </w:rPr>
        <w:t>cf-art-102</w:t>
      </w:r>
      <w:r>
        <w:rPr>
          <w:color w:val="003CA0"/>
          <w:sz w:val="12"/>
        </w:rPr>
        <w:t xml:space="preserve"> | SS 4.265</w:t>
      </w:r>
      <w:r>
        <w:rPr>
          <w:color w:val="003CA0"/>
          <w:sz w:val="12"/>
        </w:rPr>
        <w:t xml:space="preserve"> | rel. Cezar Peluso</w:t>
      </w:r>
    </w:p>
    <w:p>
      <w:pPr>
        <w:ind w:left="288"/>
      </w:pPr>
      <w:r>
        <w:rPr>
          <w:color w:val="1E1E1E"/>
          <w:sz w:val="18"/>
        </w:rPr>
        <w:t>Liminar concedida em agravo de instrumento inaugura competência do presidente do STF para julgamento de suspensão de segurança relativa às questões constitucionais.</w:t>
      </w:r>
    </w:p>
    <w:p>
      <w:pPr>
        <w:ind w:left="288"/>
      </w:pPr>
      <w:r>
        <w:rPr>
          <w:b/>
          <w:color w:val="003CA0"/>
          <w:sz w:val="16"/>
        </w:rPr>
        <w:t>[SS 4.265 AgR, rel. min. Cezar Peluso, j. 9-12-2010, P, DJE de 11-2-2011.]</w:t>
      </w:r>
    </w:p>
    <w:p>
      <w:pPr>
        <w:ind w:left="288"/>
      </w:pPr>
      <w:r>
        <w:rPr>
          <w:color w:val="8C8C8C"/>
          <w:sz w:val="12"/>
        </w:rPr>
        <w:t>cf-art-102</w:t>
      </w:r>
      <w:r>
        <w:rPr>
          <w:color w:val="003CA0"/>
          <w:sz w:val="12"/>
        </w:rPr>
        <w:t xml:space="preserve"> | SS 4.188</w:t>
      </w:r>
      <w:r>
        <w:rPr>
          <w:color w:val="003CA0"/>
          <w:sz w:val="12"/>
        </w:rPr>
        <w:t xml:space="preserve"> | rel. Cezar Peluso</w:t>
      </w:r>
    </w:p>
    <w:p>
      <w:pPr>
        <w:ind w:left="288"/>
      </w:pPr>
      <w:r>
        <w:rPr>
          <w:color w:val="1E1E1E"/>
          <w:sz w:val="18"/>
        </w:rPr>
        <w:t>Não pode o STF conhecer de renovação de pedido de suspensão formulado ao tribunal de origem, quando não foi ainda julgado o agravo regimental contra seu indeferimento.</w:t>
      </w:r>
    </w:p>
    <w:p>
      <w:pPr>
        <w:ind w:left="288"/>
      </w:pPr>
      <w:r>
        <w:rPr>
          <w:b/>
          <w:color w:val="003CA0"/>
          <w:sz w:val="16"/>
        </w:rPr>
        <w:t>[SS 4.188 AgR, rel. min. Cezar Peluso, j. 16-9-2010, P, DJE de 1º-10-2010.]</w:t>
      </w:r>
    </w:p>
    <w:p>
      <w:pPr>
        <w:ind w:left="288"/>
      </w:pPr>
      <w:r>
        <w:rPr>
          <w:color w:val="8C8C8C"/>
          <w:sz w:val="12"/>
        </w:rPr>
        <w:t>cf-art-102</w:t>
      </w:r>
      <w:r>
        <w:rPr>
          <w:color w:val="003CA0"/>
          <w:sz w:val="12"/>
        </w:rPr>
        <w:t xml:space="preserve"> | RMS 27.920</w:t>
      </w:r>
      <w:r>
        <w:rPr>
          <w:color w:val="003CA0"/>
          <w:sz w:val="12"/>
        </w:rPr>
        <w:t xml:space="preserve"> | rel. Eros Grau</w:t>
      </w:r>
    </w:p>
    <w:p>
      <w:pPr>
        <w:ind w:left="288"/>
      </w:pPr>
      <w:r>
        <w:rPr>
          <w:color w:val="1E1E1E"/>
          <w:sz w:val="18"/>
        </w:rPr>
        <w:t>Os arts. 11 e 22 do Regimento Interno desta Corte dispõem sobre a remessa ao Plenário dos feitos de competência de suas Turmas. É possível às partes solicitar, com fundamento nas hipóteses desses preceitos, a remessa do feito para julgamento do Plenário. O pedido, que será apreciado pela Turma, deve contudo ser formulado antes do início do julgamento.</w:t>
      </w:r>
    </w:p>
    <w:p>
      <w:pPr>
        <w:ind w:left="288"/>
      </w:pPr>
      <w:r>
        <w:rPr>
          <w:b/>
          <w:color w:val="003CA0"/>
          <w:sz w:val="16"/>
        </w:rPr>
        <w:t>[RMS 27.920 QO, rel. min. Eros Grau, j. 6-10-2009, 2ª T, DJE de 4-12-2009.]</w:t>
      </w:r>
    </w:p>
    <w:p>
      <w:pPr>
        <w:ind w:left="288"/>
      </w:pPr>
      <w:r>
        <w:rPr>
          <w:color w:val="8C8C8C"/>
          <w:sz w:val="12"/>
        </w:rPr>
        <w:t>cf-art-102</w:t>
      </w:r>
      <w:r>
        <w:rPr>
          <w:color w:val="003CA0"/>
          <w:sz w:val="12"/>
        </w:rPr>
        <w:t xml:space="preserve"> | HC 91.361</w:t>
      </w:r>
      <w:r>
        <w:rPr>
          <w:color w:val="003CA0"/>
          <w:sz w:val="12"/>
        </w:rPr>
        <w:t xml:space="preserve"> | rel. Celso de Mello</w:t>
      </w:r>
    </w:p>
    <w:p>
      <w:pPr>
        <w:ind w:left="288"/>
      </w:pPr>
      <w:r>
        <w:rPr>
          <w:color w:val="1E1E1E"/>
          <w:sz w:val="18"/>
        </w:rPr>
        <w:t>A interpretação judicial como instrumento de mutação informal da Constituição. A questão dos processos informais de mutação constitucional e o papel do Poder Judiciário: a interpretação judicial como instrumento juridicamente idôneo de mudança informal da Constituição. A legitimidade da adequação, mediante interpretação do Poder Judiciário, da própria Constituição da República, se e quando imperioso compatibilizá-la, mediante exegese atualizadora, com as novas exigências, necessidades e transformações resultantes dos processos sociais, econômicos e políticos que caracterizam, em seus múltiplos</w:t>
      </w:r>
    </w:p>
    <w:p>
      <w:pPr>
        <w:ind w:left="288"/>
      </w:pPr>
      <w:r>
        <w:rPr>
          <w:b/>
          <w:color w:val="003CA0"/>
          <w:sz w:val="16"/>
        </w:rPr>
        <w:t>[HC 91.361, rel. min. Celso de Mello, j. 23-9-2008, 2ª T, DJE de 6-2-2009.]</w:t>
      </w:r>
    </w:p>
    <w:p>
      <w:pPr>
        <w:ind w:left="288"/>
      </w:pPr>
      <w:r>
        <w:rPr>
          <w:color w:val="8C8C8C"/>
          <w:sz w:val="12"/>
        </w:rPr>
        <w:t>cf-art-102</w:t>
      </w:r>
      <w:r>
        <w:rPr>
          <w:color w:val="003CA0"/>
          <w:sz w:val="12"/>
        </w:rPr>
        <w:t xml:space="preserve"> | ADI 3.345</w:t>
      </w:r>
      <w:r>
        <w:rPr>
          <w:color w:val="003CA0"/>
          <w:sz w:val="12"/>
        </w:rPr>
        <w:t xml:space="preserve"> | rel. Celso de Mello</w:t>
      </w:r>
    </w:p>
    <w:p>
      <w:pPr>
        <w:ind w:left="288"/>
      </w:pPr>
      <w:r>
        <w:rPr>
          <w:color w:val="1E1E1E"/>
          <w:sz w:val="18"/>
        </w:rPr>
        <w:t>Vide ADI 3.345, rel. min. Celso de Mello, j. 25-8-2005, P, DJE de 20-8-2010 Petição. Ação civil pública contra decisão do CNJ. Incompetência, em sede originária, do STF. Nos termos do art. 102 e incisos da Magna Carta, esta Suprema Corte não detém competência originária para processar e julgar ações civis públicas.</w:t>
      </w:r>
    </w:p>
    <w:p>
      <w:pPr>
        <w:ind w:left="288"/>
      </w:pPr>
      <w:r>
        <w:rPr>
          <w:b/>
          <w:color w:val="003CA0"/>
          <w:sz w:val="16"/>
        </w:rPr>
        <w:t>[Pet 3.986 AgR, rel. min. Ricardo Lewandowski, j. 25-6-2008, P, DJE de 5-9-2008.]</w:t>
      </w:r>
    </w:p>
    <w:p>
      <w:pPr>
        <w:ind w:left="288"/>
      </w:pPr>
      <w:r>
        <w:rPr>
          <w:color w:val="8C8C8C"/>
          <w:sz w:val="12"/>
        </w:rPr>
        <w:t>cf-art-102</w:t>
      </w:r>
      <w:r>
        <w:rPr>
          <w:color w:val="003CA0"/>
          <w:sz w:val="12"/>
        </w:rPr>
        <w:t xml:space="preserve"> | SS 2.504</w:t>
      </w:r>
      <w:r>
        <w:rPr>
          <w:color w:val="003CA0"/>
          <w:sz w:val="12"/>
        </w:rPr>
        <w:t xml:space="preserve"> | rel. Ellen Gracie</w:t>
      </w:r>
    </w:p>
    <w:p>
      <w:pPr>
        <w:ind w:left="288"/>
      </w:pPr>
      <w:r>
        <w:rPr>
          <w:color w:val="1E1E1E"/>
          <w:sz w:val="18"/>
        </w:rPr>
        <w:t>A determinação da competência do STF para o exame de pedido de suspensão dá-se em face da existência, ou não, de tema de índole constitucional na causa principal, a ensejar, em tese, a futura interposição de recurso extraordinário. (...) Na suspensão de segurança não se aprecia o mérito do processo principal, mas tão somente a ocorrência dos aspectos relacionados à potencialidade lesiva do ato decisório em face dos interesses públicos relevantes consagrados em lei, quais sejam, a ordem, a saúde, a segurança e a economia públicas.</w:t>
      </w:r>
    </w:p>
    <w:p>
      <w:pPr>
        <w:ind w:left="288"/>
      </w:pPr>
      <w:r>
        <w:rPr>
          <w:b/>
          <w:color w:val="003CA0"/>
          <w:sz w:val="16"/>
        </w:rPr>
        <w:t>[SS 2.504 AgR, rel. min. Ellen Gracie, j. 17-3-2008, P, DJE de 2-5-2008.]</w:t>
      </w:r>
    </w:p>
    <w:p>
      <w:pPr>
        <w:ind w:left="288"/>
      </w:pPr>
      <w:r>
        <w:rPr>
          <w:color w:val="8C8C8C"/>
          <w:sz w:val="12"/>
        </w:rPr>
        <w:t>cf-art-102</w:t>
      </w:r>
      <w:r>
        <w:rPr>
          <w:color w:val="003CA0"/>
          <w:sz w:val="12"/>
        </w:rPr>
        <w:t xml:space="preserve"> | SS 4.380</w:t>
      </w:r>
      <w:r>
        <w:rPr>
          <w:color w:val="003CA0"/>
          <w:sz w:val="12"/>
        </w:rPr>
        <w:t xml:space="preserve"> | rel. Joaquim Barbosa</w:t>
      </w:r>
    </w:p>
    <w:p>
      <w:pPr>
        <w:ind w:left="288"/>
      </w:pPr>
      <w:r>
        <w:rPr>
          <w:color w:val="1E1E1E"/>
          <w:sz w:val="18"/>
        </w:rPr>
        <w:t>= SS 4.380 MC-AgR, rel. min. Joaquim Barbosa, j. 18-12-2013, P, DJE de 7-3-2014 Vide SS 3.449 AgR, rel. min. Gilmar Mendes, j. 17-9-2009, P, DJE de 9-10-2009 Julgamento remetido ao Plenário pela Segunda Turma. Conhecimento. É possível ao Plenário apreciar embargos de declaração opostos contra acórdão prolatado por órgão fracionário, quando o processo foi remetido pela turma originalmente competente.</w:t>
      </w:r>
    </w:p>
    <w:p>
      <w:pPr>
        <w:ind w:left="288"/>
      </w:pPr>
      <w:r>
        <w:rPr>
          <w:b/>
          <w:color w:val="003CA0"/>
          <w:sz w:val="16"/>
        </w:rPr>
        <w:t>[RE 328.812 ED, rel. min. Gilmar Mendes, j. 6-3-2008, P, DJE de 2-5-2008.]</w:t>
      </w:r>
    </w:p>
    <w:p>
      <w:pPr>
        <w:ind w:left="288"/>
      </w:pPr>
      <w:r>
        <w:rPr>
          <w:color w:val="8C8C8C"/>
          <w:sz w:val="12"/>
        </w:rPr>
        <w:t>cf-art-102</w:t>
      </w:r>
      <w:r>
        <w:rPr>
          <w:color w:val="003CA0"/>
          <w:sz w:val="12"/>
        </w:rPr>
        <w:t xml:space="preserve"> | SL 129</w:t>
      </w:r>
      <w:r>
        <w:rPr>
          <w:color w:val="003CA0"/>
          <w:sz w:val="12"/>
        </w:rPr>
        <w:t xml:space="preserve"> | rel. Ellen Gracie</w:t>
      </w:r>
    </w:p>
    <w:p>
      <w:pPr>
        <w:ind w:left="288"/>
      </w:pPr>
      <w:r>
        <w:rPr>
          <w:color w:val="1E1E1E"/>
          <w:sz w:val="18"/>
        </w:rPr>
        <w:t>É cabível o pedido de suspensão de liminar deferida por relator, no âmbito dos tribunais, ainda que o poder público não tenha interposto agravo regimental.</w:t>
      </w:r>
    </w:p>
    <w:p>
      <w:pPr>
        <w:ind w:left="288"/>
      </w:pPr>
      <w:r>
        <w:rPr>
          <w:b/>
          <w:color w:val="003CA0"/>
          <w:sz w:val="16"/>
        </w:rPr>
        <w:t>[SL 129 AgR, rel. min. Ellen Gracie, j. 15-12-2006, P, DJ de 4-5-2007.]</w:t>
      </w:r>
    </w:p>
    <w:p>
      <w:pPr>
        <w:ind w:left="288"/>
      </w:pPr>
      <w:r>
        <w:rPr>
          <w:color w:val="8C8C8C"/>
          <w:sz w:val="12"/>
        </w:rPr>
        <w:t>cf-art-102</w:t>
      </w:r>
      <w:r>
        <w:rPr>
          <w:color w:val="003CA0"/>
          <w:sz w:val="12"/>
        </w:rPr>
        <w:t xml:space="preserve"> | SS 2.504</w:t>
      </w:r>
      <w:r>
        <w:rPr>
          <w:color w:val="003CA0"/>
          <w:sz w:val="12"/>
        </w:rPr>
        <w:t xml:space="preserve"> | rel. Ellen Gracie</w:t>
      </w:r>
    </w:p>
    <w:p>
      <w:pPr>
        <w:ind w:left="288"/>
      </w:pPr>
      <w:r>
        <w:rPr>
          <w:color w:val="1E1E1E"/>
          <w:sz w:val="18"/>
        </w:rPr>
        <w:t>= SS 2.504 AgR, rel. min. Ellen Gracie, j. 17-3-2008, P, DJE de 2-5-2008 Tramitação e processamento de representação por quebra de decoro parlamentar. Deputado federal licenciado e investido no cargo de ministro de Estado. Liminar indeferida. (...) Na qualidade de guarda da Constituição, o STF tem a elevada responsabilidade de decidir acerca da juridicidade da ação dos demais Poderes do Estado. No exercício desse mister, deve esta Corte ter sempre em perspectiva a regra de autocontenção que lhe impede de invadir a esfera reservada à decisão política dos dois outros Poderes, bem como o dever de</w:t>
      </w:r>
    </w:p>
    <w:p>
      <w:pPr>
        <w:ind w:left="288"/>
      </w:pPr>
      <w:r>
        <w:rPr>
          <w:b/>
          <w:color w:val="003CA0"/>
          <w:sz w:val="16"/>
        </w:rPr>
        <w:t>[MS 25.579 MC, red do ac. min. Joaquim Barbosa, j. 19-10-2005, P, DJ de 24-8-2007.]</w:t>
      </w:r>
    </w:p>
    <w:p>
      <w:pPr>
        <w:ind w:left="288"/>
      </w:pPr>
      <w:r>
        <w:rPr>
          <w:color w:val="8C8C8C"/>
          <w:sz w:val="12"/>
        </w:rPr>
        <w:t>cf-art-102</w:t>
      </w:r>
      <w:r>
        <w:rPr>
          <w:color w:val="003CA0"/>
          <w:sz w:val="12"/>
        </w:rPr>
        <w:t xml:space="preserve"> | MS 23.920</w:t>
      </w:r>
      <w:r>
        <w:rPr>
          <w:color w:val="003CA0"/>
          <w:sz w:val="12"/>
        </w:rPr>
        <w:t xml:space="preserve"> | rel. Celso de Mello</w:t>
      </w:r>
    </w:p>
    <w:p>
      <w:pPr>
        <w:ind w:left="288"/>
      </w:pPr>
      <w:r>
        <w:rPr>
          <w:color w:val="1E1E1E"/>
          <w:sz w:val="18"/>
        </w:rPr>
        <w:t>Vide MS 23.920 MC, rel. min. Celso de Mello, j. 28-3-2001, dec. monocrática, DJ de 3-4-2001 (...) o Plenário do STF tem reiteradamente advertido que atos emanados dos órgãos de direção das Casas do Congresso Nacional, quando praticados nos estritos limites da competência da autoridade apontada como coatora e desde que apoiados em fundamentos exclusivamente regimentais, sem qualquer conotação de índole jurídico-constitucional, revelam-se imunes ao judicial review, pois – não custa enfatizar – a interpretação incidente sobre normas de índole meramente regimental, por qualificar-se como típica ma</w:t>
      </w:r>
    </w:p>
    <w:p>
      <w:pPr>
        <w:ind w:left="288"/>
      </w:pPr>
      <w:r>
        <w:rPr>
          <w:b/>
          <w:color w:val="003CA0"/>
          <w:sz w:val="16"/>
        </w:rPr>
        <w:t>[MS 23.920 MC, rel. min. Celso de Mello, j. 28-3-2001, dec. monocrática, DJ de 3-4-2001.]</w:t>
      </w:r>
    </w:p>
    <w:p>
      <w:pPr>
        <w:ind w:left="288"/>
      </w:pPr>
      <w:r>
        <w:rPr>
          <w:color w:val="8C8C8C"/>
          <w:sz w:val="12"/>
        </w:rPr>
        <w:t>cf-art-102</w:t>
      </w:r>
      <w:r>
        <w:rPr>
          <w:color w:val="003CA0"/>
          <w:sz w:val="12"/>
        </w:rPr>
        <w:t xml:space="preserve"> | MS 25.579</w:t>
      </w:r>
      <w:r>
        <w:rPr>
          <w:color w:val="003CA0"/>
          <w:sz w:val="12"/>
        </w:rPr>
        <w:t xml:space="preserve"> | rel. Celso de Mello</w:t>
      </w:r>
    </w:p>
    <w:p>
      <w:pPr>
        <w:ind w:left="288"/>
      </w:pPr>
      <w:r>
        <w:rPr>
          <w:color w:val="1E1E1E"/>
          <w:sz w:val="18"/>
        </w:rPr>
        <w:t>Vide MS 25.579 MC, red. do ac. min. Joaquim Barbosa, j. 19-10-2005, P, DJ de 24-8-2007 Não cabem embargos infringentes contra decisão majoritária do Plenário do STF, se tal decisão – embora consubstanciando declaração incidental de inconstitucionalidade – veio a ser proferida em causa diversa daquelas enunciadas, taxativamente, em rol exaustivo (numerus clausus), no art. 333 do RISTF.</w:t>
      </w:r>
    </w:p>
    <w:p>
      <w:pPr>
        <w:ind w:left="288"/>
      </w:pPr>
      <w:r>
        <w:rPr>
          <w:b/>
          <w:color w:val="003CA0"/>
          <w:sz w:val="16"/>
        </w:rPr>
        <w:t>[RE 172.004 EI-AgR, rel. min. Celso de Mello, j. 27-5-1998, P, DJ de 7-8-1998.]</w:t>
      </w:r>
    </w:p>
    <w:p>
      <w:pPr>
        <w:ind w:left="288"/>
      </w:pPr>
      <w:r>
        <w:rPr>
          <w:color w:val="8C8C8C"/>
          <w:sz w:val="12"/>
        </w:rPr>
        <w:t>cf-art-102</w:t>
      </w:r>
      <w:r>
        <w:rPr>
          <w:color w:val="003CA0"/>
          <w:sz w:val="12"/>
        </w:rPr>
        <w:t xml:space="preserve"> | HC 70.274</w:t>
      </w:r>
      <w:r>
        <w:rPr>
          <w:color w:val="003CA0"/>
          <w:sz w:val="12"/>
        </w:rPr>
        <w:t xml:space="preserve"> | rel. Celso de Mello</w:t>
      </w:r>
    </w:p>
    <w:p>
      <w:pPr>
        <w:ind w:left="288"/>
      </w:pPr>
      <w:r>
        <w:rPr>
          <w:color w:val="1E1E1E"/>
          <w:sz w:val="18"/>
        </w:rPr>
        <w:t>Não cabem embargos de divergência contra decisão proferida por turma do STF em habeas corpus, seja em sede de impetração originária (CF, art. 102, I, d e i), seja em sede de recurso ordinário (CF, art. 102, II, a).</w:t>
      </w:r>
    </w:p>
    <w:p>
      <w:pPr>
        <w:ind w:left="288"/>
      </w:pPr>
      <w:r>
        <w:rPr>
          <w:b/>
          <w:color w:val="003CA0"/>
          <w:sz w:val="16"/>
        </w:rPr>
        <w:t>[HC 70.274 ED-EDv-AgR, rel. min. Celso de Mello, j. 25-8-1994, P, DJ de 9-12-1994.]</w:t>
      </w:r>
    </w:p>
    <w:p>
      <w:pPr>
        <w:ind w:left="288"/>
      </w:pPr>
      <w:r>
        <w:rPr>
          <w:color w:val="8C8C8C"/>
          <w:sz w:val="12"/>
        </w:rPr>
        <w:t>cf-art-102</w:t>
      </w:r>
      <w:r>
        <w:rPr>
          <w:color w:val="003CA0"/>
          <w:sz w:val="12"/>
        </w:rPr>
        <w:t xml:space="preserve"> | HC 88.247</w:t>
      </w:r>
      <w:r>
        <w:rPr>
          <w:color w:val="003CA0"/>
          <w:sz w:val="12"/>
        </w:rPr>
        <w:t xml:space="preserve"> | rel. Ellen Gracie</w:t>
      </w:r>
    </w:p>
    <w:p>
      <w:pPr>
        <w:ind w:left="288"/>
      </w:pPr>
      <w:r>
        <w:rPr>
          <w:color w:val="1E1E1E"/>
          <w:sz w:val="18"/>
        </w:rPr>
        <w:t>= HC 88.247 AgR-AgR-EDv-AgR, rel. min. Ellen Gracie, j. 19-8-2010, P, DJE de 22-10-2010</w:t>
      </w:r>
    </w:p>
    <w:p>
      <w:pPr>
        <w:ind w:left="288"/>
      </w:pPr>
      <w:r>
        <w:rPr>
          <w:color w:val="8C8C8C"/>
          <w:sz w:val="12"/>
        </w:rPr>
        <w:t>cf-art-102-inc-I</w:t>
      </w:r>
      <w:r>
        <w:rPr>
          <w:color w:val="003CA0"/>
          <w:sz w:val="12"/>
        </w:rPr>
        <w:t xml:space="preserve"> | AP 1.060</w:t>
      </w:r>
      <w:r>
        <w:rPr>
          <w:color w:val="003CA0"/>
          <w:sz w:val="12"/>
        </w:rPr>
        <w:t xml:space="preserve"> | rel. Alexandre de Moraes</w:t>
      </w:r>
    </w:p>
    <w:p>
      <w:pPr>
        <w:ind w:left="288"/>
      </w:pPr>
      <w:r>
        <w:rPr>
          <w:color w:val="1E1E1E"/>
          <w:sz w:val="18"/>
        </w:rPr>
        <w:t>Competência deste Supremo Tribunal Federal para processamento e julgamento da presente ação penal, em face de evidente conexão entre as condutas denunciadas e aquelas investigadas no âmbito mais abrangente dos procedimentos envolvendo investigados com prerrogativa de foro.</w:t>
      </w:r>
    </w:p>
    <w:p>
      <w:pPr>
        <w:ind w:left="288"/>
      </w:pPr>
      <w:r>
        <w:rPr>
          <w:b/>
          <w:color w:val="003CA0"/>
          <w:sz w:val="16"/>
        </w:rPr>
        <w:t>[AP 1.060, rel. min. Alexandre de Moraes, j. 14.9.2023, P, DJE de 19.2.2024.]</w:t>
      </w:r>
    </w:p>
    <w:p>
      <w:pPr>
        <w:ind w:left="288"/>
      </w:pPr>
      <w:r>
        <w:rPr>
          <w:color w:val="8C8C8C"/>
          <w:sz w:val="12"/>
        </w:rPr>
        <w:t>cf-art-102-inc-I</w:t>
      </w:r>
      <w:r>
        <w:rPr>
          <w:color w:val="003CA0"/>
          <w:sz w:val="12"/>
        </w:rPr>
        <w:t xml:space="preserve"> | RCL 24.686</w:t>
      </w:r>
      <w:r>
        <w:rPr>
          <w:color w:val="003CA0"/>
          <w:sz w:val="12"/>
        </w:rPr>
        <w:t xml:space="preserve"> | rel. Teori Zavascki</w:t>
      </w:r>
    </w:p>
    <w:p>
      <w:pPr>
        <w:ind w:left="288"/>
      </w:pPr>
      <w:r>
        <w:rPr>
          <w:color w:val="1E1E1E"/>
          <w:sz w:val="18"/>
        </w:rPr>
        <w:t>Em se tratando de reclamação para o STF, a interpretação do art. 988, § 5º, II, do CPC/2015 deve ser fundamentalmente teleológica, e não estritamente literal. O esgotamento da instância ordinária, em tais casos, significa o percurso de todo o íter recursal cabível antes do acesso à Suprema Corte. Ou seja, se a decisão reclamada ainda comportar reforma por via de recurso a algum tribunal, inclusive a tribunal superior, não se permitirá acesso à Suprema Corte por via de reclamação.</w:t>
        <w:br/>
        <w:t>[Rcl 24.686 ED-AgR, rel. min. Teori Zavascki, j. 28-10-2016, 2ª T, DJE de 11-4-2017.] De igual forma, não há vulner</w:t>
      </w:r>
    </w:p>
    <w:p>
      <w:pPr>
        <w:ind w:left="288"/>
      </w:pPr>
      <w:r>
        <w:rPr>
          <w:b/>
          <w:color w:val="003CA0"/>
          <w:sz w:val="16"/>
        </w:rPr>
        <w:t>[Inq 3.412 ED, voto da rel. min. Rosa Weber, j. 11-9-2014, P, DJE de 8-10-2014.]</w:t>
      </w:r>
    </w:p>
    <w:p>
      <w:pPr>
        <w:ind w:left="288"/>
      </w:pPr>
      <w:r>
        <w:rPr>
          <w:color w:val="8C8C8C"/>
          <w:sz w:val="12"/>
        </w:rPr>
        <w:t>cf-art-102-inc-I</w:t>
      </w:r>
      <w:r>
        <w:rPr>
          <w:color w:val="003CA0"/>
          <w:sz w:val="12"/>
        </w:rPr>
        <w:t xml:space="preserve"> | AP 470</w:t>
      </w:r>
      <w:r>
        <w:rPr>
          <w:color w:val="003CA0"/>
          <w:sz w:val="12"/>
        </w:rPr>
        <w:t xml:space="preserve"> | rel. Sepúlveda Pertence</w:t>
      </w:r>
    </w:p>
    <w:p>
      <w:pPr>
        <w:ind w:left="288"/>
      </w:pPr>
      <w:r>
        <w:rPr>
          <w:color w:val="1E1E1E"/>
          <w:sz w:val="18"/>
        </w:rPr>
        <w:t>= AP 470 AgR-vigésimo quinto, red do ac. min. Teori Zavascki, j. 18-9-2013, P, DJE de 17-2-2014 = RHC 79.785, rel. min. Sepúlveda Pertence, j. 29-3-2000, P, DJ de 22-11-2002 A competência do Supremo, presente a prerrogativa de função, é de direito estrito. Não a alteram normas processuais comuns, como são as da continência e da conexão.</w:t>
      </w:r>
    </w:p>
    <w:p>
      <w:pPr>
        <w:ind w:left="288"/>
      </w:pPr>
      <w:r>
        <w:rPr>
          <w:b/>
          <w:color w:val="003CA0"/>
          <w:sz w:val="16"/>
        </w:rPr>
        <w:t>[AP 666 AgR, rel. min. Marco Aurélio, j. 13-12-2012, P, DJE de 7-6-2013.]</w:t>
      </w:r>
    </w:p>
    <w:p>
      <w:pPr>
        <w:ind w:left="288"/>
      </w:pPr>
      <w:r>
        <w:rPr>
          <w:color w:val="8C8C8C"/>
          <w:sz w:val="12"/>
        </w:rPr>
        <w:t>cf-art-102-inc-I</w:t>
      </w:r>
      <w:r>
        <w:rPr>
          <w:color w:val="003CA0"/>
          <w:sz w:val="12"/>
        </w:rPr>
        <w:t xml:space="preserve"> | AC 2.473</w:t>
      </w:r>
      <w:r>
        <w:rPr>
          <w:color w:val="003CA0"/>
          <w:sz w:val="12"/>
        </w:rPr>
        <w:t xml:space="preserve"> | rel. Celso de Mello</w:t>
      </w:r>
    </w:p>
    <w:p>
      <w:pPr>
        <w:ind w:left="288"/>
      </w:pPr>
      <w:r>
        <w:rPr>
          <w:color w:val="1E1E1E"/>
          <w:sz w:val="18"/>
        </w:rPr>
        <w:t>Não cabe, ao STF, por absoluta falta de competência originária, outorgar eficácia suspensiva a embargos de declaração, que, opostos a acórdão proferido em sede de recurso especial eleitoral, sequer foram julgados pelo próprio TSE.</w:t>
      </w:r>
    </w:p>
    <w:p>
      <w:pPr>
        <w:ind w:left="288"/>
      </w:pPr>
      <w:r>
        <w:rPr>
          <w:b/>
          <w:color w:val="003CA0"/>
          <w:sz w:val="16"/>
        </w:rPr>
        <w:t>[AC 2.473 MC-QO, rel. min. Celso de Mello, j. 20-10-2009, 2ª T, DJE de 27-11-2009.]</w:t>
      </w:r>
    </w:p>
    <w:p>
      <w:pPr>
        <w:ind w:left="288"/>
      </w:pPr>
      <w:r>
        <w:rPr>
          <w:color w:val="8C8C8C"/>
          <w:sz w:val="12"/>
        </w:rPr>
        <w:t>cf-art-102-inc-I</w:t>
      </w:r>
      <w:r>
        <w:rPr>
          <w:color w:val="003CA0"/>
          <w:sz w:val="12"/>
        </w:rPr>
        <w:t xml:space="preserve"> | HC 100.231</w:t>
      </w:r>
      <w:r>
        <w:rPr>
          <w:color w:val="003CA0"/>
          <w:sz w:val="12"/>
        </w:rPr>
        <w:t xml:space="preserve"> | rel. Celso de Mello</w:t>
      </w:r>
    </w:p>
    <w:p>
      <w:pPr>
        <w:ind w:left="288"/>
      </w:pPr>
      <w:r>
        <w:rPr>
          <w:color w:val="1E1E1E"/>
          <w:sz w:val="18"/>
        </w:rPr>
        <w:t>Inadmissível, também, converter-se esta ação de habeas corpus em ação popular constitucional, como pretende, alternativamente, o ora impetrante. É que, mesmo que viável tal conversão (como sustentado pelo ora impetrante), subsistiria, ainda assim, a falta de competência originária do STF para apreciar a presente causa. Como se sabe, a CF de 1988 – observando uma tradição que se inaugurou com a Carta Política de 1934 – não incluiu o julgamento da ação popular na esfera das atribuições jurisdicionais originárias da Suprema Corte. Na realidade, a previsão de ação popular não se subsume a qualquer</w:t>
      </w:r>
    </w:p>
    <w:p>
      <w:pPr>
        <w:ind w:left="288"/>
      </w:pPr>
      <w:r>
        <w:rPr>
          <w:b/>
          <w:color w:val="003CA0"/>
          <w:sz w:val="16"/>
        </w:rPr>
        <w:t>[HC 100.231 MC, rel. min. Celso de Mello, j. 7-8-2009, dec. monocrática, DJE de 4-9-2009.]</w:t>
      </w:r>
    </w:p>
    <w:p>
      <w:pPr>
        <w:ind w:left="288"/>
      </w:pPr>
      <w:r>
        <w:rPr>
          <w:color w:val="8C8C8C"/>
          <w:sz w:val="12"/>
        </w:rPr>
        <w:t>cf-art-102-inc-I</w:t>
      </w:r>
      <w:r>
        <w:rPr>
          <w:color w:val="003CA0"/>
          <w:sz w:val="12"/>
        </w:rPr>
        <w:t xml:space="preserve"> | HC 91.595</w:t>
      </w:r>
      <w:r>
        <w:rPr>
          <w:color w:val="003CA0"/>
          <w:sz w:val="12"/>
        </w:rPr>
        <w:t xml:space="preserve"> | rel. Marco Aurélio</w:t>
      </w:r>
    </w:p>
    <w:p>
      <w:pPr>
        <w:ind w:left="288"/>
      </w:pPr>
      <w:r>
        <w:rPr>
          <w:color w:val="1E1E1E"/>
          <w:sz w:val="18"/>
        </w:rPr>
        <w:t>Habeas corpus. Liminar. Impugnação a ato de integrante do Supremo. Atribuição. Ombreando, no ofício judicante, o relator do habeas e o autor do ato atacado, cumpre ao Plenário do Supremo examinar o pedido de concessão de medida acauteladora.</w:t>
      </w:r>
    </w:p>
    <w:p>
      <w:pPr>
        <w:ind w:left="288"/>
      </w:pPr>
      <w:r>
        <w:rPr>
          <w:b/>
          <w:color w:val="003CA0"/>
          <w:sz w:val="16"/>
        </w:rPr>
        <w:t>[HC 91.595 MC, rel. min. Marco Aurélio, j. 21-6-2007, P, DJ de 11-10-2007.]</w:t>
      </w:r>
    </w:p>
    <w:p>
      <w:pPr>
        <w:ind w:left="288"/>
      </w:pPr>
      <w:r>
        <w:rPr>
          <w:color w:val="8C8C8C"/>
          <w:sz w:val="12"/>
        </w:rPr>
        <w:t>cf-art-102-inc-I</w:t>
      </w:r>
      <w:r>
        <w:rPr>
          <w:color w:val="003CA0"/>
          <w:sz w:val="12"/>
        </w:rPr>
        <w:t xml:space="preserve"> | PET 1.738</w:t>
      </w:r>
      <w:r>
        <w:rPr>
          <w:color w:val="003CA0"/>
          <w:sz w:val="12"/>
        </w:rPr>
        <w:t xml:space="preserve"> | rel. Celso de Mello</w:t>
      </w:r>
    </w:p>
    <w:p>
      <w:pPr>
        <w:ind w:left="288"/>
      </w:pPr>
      <w:r>
        <w:rPr>
          <w:color w:val="1E1E1E"/>
          <w:sz w:val="18"/>
        </w:rPr>
        <w:t xml:space="preserve">O regime de direito estrito, a que se submete a definição dessa competência institucional, tem levado o STF, por efeito da taxatividade do rol constante da Carta Política, a afastar, do âmbito de suas atribuições jurisdicionais originárias, o processo e o julgamento de causas de natureza civil que não se acham inscritas no texto constitucional (ações populares, ações civis públicas, ações cautelares, ações ordinárias, ações declaratórias e medidas cautelares), mesmo que instauradas contra o presidente da República ou contra qualquer das autoridades, que, em matéria penal (CF, art. 102, I, b e </w:t>
      </w:r>
    </w:p>
    <w:p>
      <w:pPr>
        <w:ind w:left="288"/>
      </w:pPr>
      <w:r>
        <w:rPr>
          <w:b/>
          <w:color w:val="003CA0"/>
          <w:sz w:val="16"/>
        </w:rPr>
        <w:t>[Pet 1.738 AgR, rel. min. Celso de Mello, j. 1º-9-1999, P, DJ de 1º-10-1999.]</w:t>
      </w:r>
    </w:p>
    <w:p>
      <w:pPr>
        <w:ind w:left="288"/>
      </w:pPr>
      <w:r>
        <w:rPr>
          <w:color w:val="8C8C8C"/>
          <w:sz w:val="12"/>
        </w:rPr>
        <w:t>cf-art-102-inc-I</w:t>
      </w:r>
      <w:r>
        <w:rPr>
          <w:color w:val="003CA0"/>
          <w:sz w:val="12"/>
        </w:rPr>
        <w:t xml:space="preserve"> | PET 4.223</w:t>
      </w:r>
      <w:r>
        <w:rPr>
          <w:color w:val="003CA0"/>
          <w:sz w:val="12"/>
        </w:rPr>
        <w:t xml:space="preserve"> | rel. Cezar Peluso</w:t>
      </w:r>
    </w:p>
    <w:p>
      <w:pPr>
        <w:ind w:left="288"/>
      </w:pPr>
      <w:r>
        <w:rPr>
          <w:color w:val="1E1E1E"/>
          <w:sz w:val="18"/>
        </w:rPr>
        <w:t>= Pet 4.223 AgR, rel. min. Cezar Peluso, j. 18-8-2010, P, DJE de 2-2-2011</w:t>
      </w:r>
    </w:p>
    <w:p>
      <w:pPr>
        <w:ind w:left="144"/>
      </w:pPr>
      <w:r>
        <w:rPr>
          <w:b/>
          <w:color w:val="B45A00"/>
          <w:sz w:val="16"/>
        </w:rPr>
        <w:t>SUMULA</w:t>
      </w:r>
    </w:p>
    <w:p>
      <w:pPr>
        <w:ind w:left="288"/>
      </w:pPr>
      <w:r>
        <w:rPr>
          <w:color w:val="8C8C8C"/>
          <w:sz w:val="12"/>
        </w:rPr>
        <w:t>cf-art-102-inc-I-ali-a</w:t>
      </w:r>
    </w:p>
    <w:p>
      <w:pPr>
        <w:ind w:left="288"/>
      </w:pPr>
      <w:r>
        <w:rPr>
          <w:color w:val="1E1E1E"/>
          <w:sz w:val="18"/>
        </w:rPr>
        <w:t>Não cabe ação direta de inconstitucionalidade de lei do Distrito Federal derivada da sua competência legislativa municipal.</w:t>
      </w:r>
    </w:p>
    <w:p>
      <w:pPr>
        <w:ind w:left="288"/>
      </w:pPr>
      <w:r>
        <w:rPr>
          <w:b/>
          <w:color w:val="003CA0"/>
          <w:sz w:val="16"/>
        </w:rPr>
        <w:t>[Súmula 642.]</w:t>
      </w:r>
    </w:p>
    <w:p>
      <w:pPr>
        <w:ind w:left="144"/>
      </w:pPr>
      <w:r>
        <w:rPr>
          <w:b/>
          <w:color w:val="B45A00"/>
          <w:sz w:val="16"/>
        </w:rPr>
        <w:t>CONTROLE CONCENTRADO</w:t>
      </w:r>
    </w:p>
    <w:p>
      <w:pPr>
        <w:ind w:left="288"/>
      </w:pPr>
      <w:r>
        <w:rPr>
          <w:color w:val="8C8C8C"/>
          <w:sz w:val="12"/>
        </w:rPr>
        <w:t>cf-art-102-inc-I-ali-a</w:t>
      </w:r>
      <w:r>
        <w:rPr>
          <w:color w:val="003CA0"/>
          <w:sz w:val="12"/>
        </w:rPr>
        <w:t xml:space="preserve"> | ADI 6.362</w:t>
      </w:r>
      <w:r>
        <w:rPr>
          <w:color w:val="003CA0"/>
          <w:sz w:val="12"/>
        </w:rPr>
        <w:t xml:space="preserve"> | rel. Ricardo Lewandowski</w:t>
      </w:r>
    </w:p>
    <w:p>
      <w:pPr>
        <w:ind w:left="288"/>
      </w:pPr>
      <w:r>
        <w:rPr>
          <w:color w:val="1E1E1E"/>
          <w:sz w:val="18"/>
        </w:rPr>
        <w:t>(...) não há impedimento nem suspeição no julgamento de ações de controle concentrado de normas, exceto se o próprio ministro indicar razões de foro íntimo.</w:t>
        <w:br/>
        <w:t xml:space="preserve">[ADI 6.362, rel. min. Ricardo Lewandowski, j. 2-9-2020, P, DJE de 9-12-2020] </w:t>
        <w:br/>
        <w:t>Vide: ADI 2.321 MC, rel. min. Celso de Mello, j. 25-10-2000, P, DJ de 10-6-2005 Ausente alteração substancial no conteúdo do ato normativo questionado, superveniente alteração meramente redacional não implica prejuízo ao exame do mérito.</w:t>
      </w:r>
    </w:p>
    <w:p>
      <w:pPr>
        <w:ind w:left="288"/>
      </w:pPr>
      <w:r>
        <w:rPr>
          <w:b/>
          <w:color w:val="003CA0"/>
          <w:sz w:val="16"/>
        </w:rPr>
        <w:t>[ADI 3.534, rel. min. Marco Aurélio, j. 10-10-2019, P, DJE de 24-10-2019.]</w:t>
      </w:r>
    </w:p>
    <w:p>
      <w:pPr>
        <w:ind w:left="288"/>
      </w:pPr>
      <w:r>
        <w:rPr>
          <w:color w:val="8C8C8C"/>
          <w:sz w:val="12"/>
        </w:rPr>
        <w:t>cf-art-102-inc-I-ali-a</w:t>
      </w:r>
      <w:r>
        <w:rPr>
          <w:color w:val="003CA0"/>
          <w:sz w:val="12"/>
        </w:rPr>
        <w:t xml:space="preserve"> | ADI 3.659</w:t>
      </w:r>
      <w:r>
        <w:rPr>
          <w:color w:val="003CA0"/>
          <w:sz w:val="12"/>
        </w:rPr>
        <w:t xml:space="preserve"> | rel. Alexandre de Moraes</w:t>
      </w:r>
    </w:p>
    <w:p>
      <w:pPr>
        <w:ind w:left="288"/>
      </w:pPr>
      <w:r>
        <w:rPr>
          <w:color w:val="1E1E1E"/>
          <w:sz w:val="18"/>
        </w:rPr>
        <w:t>Coexistindo ações diretas de inconstitucionalidade de um mesmo preceito normativo estadual, a decisão proferida pelo Tribunal de Justiça somente prejudicará a que está em curso perante o STF se for pela procedência e desde que a inconstitucionalidade seja por incompatibilidade com dispositivo constitucional estadual tipicamente estadual (= sem similar na Constituição Federal). Havendo declaração de inconstitucionalidade de preceito normativo estadual pelo Tribunal de Justiça com base em norma constitucional estadual que constitua reprodução (obrigatória ou não) de dispositivo da Constituição F</w:t>
      </w:r>
    </w:p>
    <w:p>
      <w:pPr>
        <w:ind w:left="288"/>
      </w:pPr>
      <w:r>
        <w:rPr>
          <w:b/>
          <w:color w:val="003CA0"/>
          <w:sz w:val="16"/>
        </w:rPr>
        <w:t>[ADI 3.659, rel. min. Alexandre de Moraes, j. 13-12-2018, P, DJE de 8-5-2019.]</w:t>
      </w:r>
    </w:p>
    <w:p>
      <w:pPr>
        <w:ind w:left="288"/>
      </w:pPr>
      <w:r>
        <w:rPr>
          <w:color w:val="8C8C8C"/>
          <w:sz w:val="12"/>
        </w:rPr>
        <w:t>cf-art-102-inc-I-ali-a</w:t>
      </w:r>
      <w:r>
        <w:rPr>
          <w:color w:val="003CA0"/>
          <w:sz w:val="12"/>
        </w:rPr>
        <w:t xml:space="preserve"> | ADI 2.087</w:t>
      </w:r>
      <w:r>
        <w:rPr>
          <w:color w:val="003CA0"/>
          <w:sz w:val="12"/>
        </w:rPr>
        <w:t xml:space="preserve"> | rel. Dias Toffoli</w:t>
      </w:r>
    </w:p>
    <w:p>
      <w:pPr>
        <w:ind w:left="288"/>
      </w:pPr>
      <w:r>
        <w:rPr>
          <w:color w:val="1E1E1E"/>
          <w:sz w:val="18"/>
        </w:rPr>
        <w:t>Substancial alteração do parâmetro de controle. Posicionamento da Corte no sentido de aceitar, em casos excepcionais, o conhecimento da ação, com vistas à máxima efetividade da jurisdição constitucional, ante a constatação de que a inconstitucionalidade persiste e é atual</w:t>
        <w:br/>
        <w:t>[ADI 2.087, rel. min. Dias Toffoli, j. 12-4-2018, P, DJE de 8-5-2018.] A causa de pedir aberta das ações do controle concentrado de constitucionalidade torna desnecessário o ajuizamento de nova ação direta para a impugnação de norma cuja constitucionalidade já é discutida em ação direta em trâmite perante o STF, proposta pela</w:t>
      </w:r>
    </w:p>
    <w:p>
      <w:pPr>
        <w:ind w:left="288"/>
      </w:pPr>
      <w:r>
        <w:rPr>
          <w:b/>
          <w:color w:val="003CA0"/>
          <w:sz w:val="16"/>
        </w:rPr>
        <w:t>[ADI 5.749 AgR, rel. min. Alexandre de Moraes, j. 9-2-2018, P, DJE de 26-2-2018.]</w:t>
      </w:r>
    </w:p>
    <w:p>
      <w:pPr>
        <w:ind w:left="288"/>
      </w:pPr>
      <w:r>
        <w:rPr>
          <w:color w:val="8C8C8C"/>
          <w:sz w:val="12"/>
        </w:rPr>
        <w:t>cf-art-102-inc-I-ali-a</w:t>
      </w:r>
      <w:r>
        <w:rPr>
          <w:color w:val="003CA0"/>
          <w:sz w:val="12"/>
        </w:rPr>
        <w:t xml:space="preserve"> | ADI 3.111</w:t>
      </w:r>
      <w:r>
        <w:rPr>
          <w:color w:val="003CA0"/>
          <w:sz w:val="12"/>
        </w:rPr>
        <w:t xml:space="preserve"> | rel. Alexandre de Moraes</w:t>
      </w:r>
    </w:p>
    <w:p>
      <w:pPr>
        <w:ind w:left="288"/>
      </w:pPr>
      <w:r>
        <w:rPr>
          <w:color w:val="1E1E1E"/>
          <w:sz w:val="18"/>
        </w:rPr>
        <w:t>O efeito repristinatório da declaração de inconstitucionalidade não revigora a vigência de normas pré-constitucionais, não havendo óbice ao conhecimento de ação direta que se limita a impugnar parte de cadeia normativa editada após a CF/1988 (...).</w:t>
      </w:r>
    </w:p>
    <w:p>
      <w:pPr>
        <w:ind w:left="288"/>
      </w:pPr>
      <w:r>
        <w:rPr>
          <w:b/>
          <w:color w:val="003CA0"/>
          <w:sz w:val="16"/>
        </w:rPr>
        <w:t>[ADI 3.111, rel. min. Alexandre de Moraes, j. 30-6-2017, P, DJE de 8-8-2017.]</w:t>
      </w:r>
    </w:p>
    <w:p>
      <w:pPr>
        <w:ind w:left="288"/>
      </w:pPr>
      <w:r>
        <w:rPr>
          <w:color w:val="8C8C8C"/>
          <w:sz w:val="12"/>
        </w:rPr>
        <w:t>cf-art-102-inc-I-ali-a</w:t>
      </w:r>
      <w:r>
        <w:rPr>
          <w:color w:val="003CA0"/>
          <w:sz w:val="12"/>
        </w:rPr>
        <w:t xml:space="preserve"> | ADI 2.361</w:t>
      </w:r>
      <w:r>
        <w:rPr>
          <w:color w:val="003CA0"/>
          <w:sz w:val="12"/>
        </w:rPr>
        <w:t xml:space="preserve"> | rel. Marco Aurélio</w:t>
      </w:r>
    </w:p>
    <w:p>
      <w:pPr>
        <w:ind w:left="288"/>
      </w:pPr>
      <w:r>
        <w:rPr>
          <w:color w:val="1E1E1E"/>
          <w:sz w:val="18"/>
        </w:rPr>
        <w:t>Uma vez constatada a instauração simultânea de processos nas jurisdições constitucionais estadual e federal, a solução é a suspensão da representação de inconstitucionalidade em curso no tribunal de justiça local, que, após a decisão do Supremo na ação direta, poderá ter prosseguimento, se não ficar prejudicada.</w:t>
        <w:br/>
        <w:t>[ADI 2.361, voto do rel. min. Marco Aurélio, j. 24-9-2014, P, DJE de 23-10-2014.] (...) mostra-se inviável a arguição de preceito fundamental, quando se tratar (...) de decisões transitadas em julgado ou quando se cuidar de efeitos decorrentes da coisa julgada (...). (...) a arguição d</w:t>
      </w:r>
    </w:p>
    <w:p>
      <w:pPr>
        <w:ind w:left="288"/>
      </w:pPr>
      <w:r>
        <w:rPr>
          <w:b/>
          <w:color w:val="003CA0"/>
          <w:sz w:val="16"/>
        </w:rPr>
        <w:t>[ADPF 249 AgR, voto do rel. min. Celso de Mello, j. 13-8-2014, P, DJE de 1º-9-2014.]</w:t>
      </w:r>
    </w:p>
    <w:p>
      <w:pPr>
        <w:ind w:left="288"/>
      </w:pPr>
      <w:r>
        <w:rPr>
          <w:color w:val="8C8C8C"/>
          <w:sz w:val="12"/>
        </w:rPr>
        <w:t>cf-art-102-inc-I-ali-a</w:t>
      </w:r>
      <w:r>
        <w:rPr>
          <w:color w:val="003CA0"/>
          <w:sz w:val="12"/>
        </w:rPr>
        <w:t xml:space="preserve"> | ADI 3.341</w:t>
      </w:r>
      <w:r>
        <w:rPr>
          <w:color w:val="003CA0"/>
          <w:sz w:val="12"/>
        </w:rPr>
        <w:t xml:space="preserve"> | rel. Ricardo Lewandowski</w:t>
      </w:r>
    </w:p>
    <w:p>
      <w:pPr>
        <w:ind w:left="288"/>
      </w:pPr>
      <w:r>
        <w:rPr>
          <w:color w:val="1E1E1E"/>
          <w:sz w:val="18"/>
        </w:rPr>
        <w:t>A natureza híbrida do Distrito Federal não afasta a competência desta Corte para exercer o controle concentrado de normas que tratam sobre a organização de pessoal, pois nesta seara é impossível distinguir se sua natureza é municipal ou estadual.</w:t>
      </w:r>
    </w:p>
    <w:p>
      <w:pPr>
        <w:ind w:left="288"/>
      </w:pPr>
      <w:r>
        <w:rPr>
          <w:b/>
          <w:color w:val="003CA0"/>
          <w:sz w:val="16"/>
        </w:rPr>
        <w:t>[ADI 3.341, rel. min. Ricardo Lewandowski, j. 29-5-2014, P, DJE de 1º-7-2014.]</w:t>
      </w:r>
    </w:p>
    <w:p>
      <w:pPr>
        <w:ind w:left="288"/>
      </w:pPr>
      <w:r>
        <w:rPr>
          <w:color w:val="8C8C8C"/>
          <w:sz w:val="12"/>
        </w:rPr>
        <w:t>cf-art-102-inc-I-ali-a</w:t>
      </w:r>
      <w:r>
        <w:rPr>
          <w:color w:val="003CA0"/>
          <w:sz w:val="12"/>
        </w:rPr>
        <w:t xml:space="preserve"> | ADI 3.147</w:t>
      </w:r>
      <w:r>
        <w:rPr>
          <w:color w:val="003CA0"/>
          <w:sz w:val="12"/>
        </w:rPr>
        <w:t xml:space="preserve"> | rel. Teori Zavascki</w:t>
      </w:r>
    </w:p>
    <w:p>
      <w:pPr>
        <w:ind w:left="288"/>
      </w:pPr>
      <w:r>
        <w:rPr>
          <w:color w:val="1E1E1E"/>
          <w:sz w:val="18"/>
        </w:rPr>
        <w:t>A derrogação do ato normativo originalmente atacado (Decreto 11.435/2004 do Estado do Piauí) não impede a formulação de juízo de inconstitucionalidade do ato superveniente com semelhante conteúdo (Decreto 11.248/2006) (...).</w:t>
      </w:r>
    </w:p>
    <w:p>
      <w:pPr>
        <w:ind w:left="288"/>
      </w:pPr>
      <w:r>
        <w:rPr>
          <w:b/>
          <w:color w:val="003CA0"/>
          <w:sz w:val="16"/>
        </w:rPr>
        <w:t>[ADI 3.147 ED, rel. min. Teori Zavascki, j. 28-5-2014, P, DJE de 13-6-2014.]</w:t>
      </w:r>
    </w:p>
    <w:p>
      <w:pPr>
        <w:ind w:left="288"/>
      </w:pPr>
      <w:r>
        <w:rPr>
          <w:color w:val="8C8C8C"/>
          <w:sz w:val="12"/>
        </w:rPr>
        <w:t>cf-art-102-inc-I-ali-a</w:t>
      </w:r>
      <w:r>
        <w:rPr>
          <w:color w:val="003CA0"/>
          <w:sz w:val="12"/>
        </w:rPr>
        <w:t xml:space="preserve"> | ADI 4.430</w:t>
      </w:r>
      <w:r>
        <w:rPr>
          <w:color w:val="003CA0"/>
          <w:sz w:val="12"/>
        </w:rPr>
        <w:t xml:space="preserve"> | rel. Dias Toffoli</w:t>
      </w:r>
    </w:p>
    <w:p>
      <w:pPr>
        <w:ind w:left="288"/>
      </w:pPr>
      <w:r>
        <w:rPr>
          <w:color w:val="1E1E1E"/>
          <w:sz w:val="18"/>
        </w:rPr>
        <w:t>O STF está autorizado a apreciar a inconstitucionalidade de dada norma, ainda que seja para dela extrair interpretação conforme à CF, com a finalidade de fazer incidir conteúdo normativo constitucional dotado de carga cogente cuja produção de efeitos independa de intermediação legislativa.</w:t>
      </w:r>
    </w:p>
    <w:p>
      <w:pPr>
        <w:ind w:left="288"/>
      </w:pPr>
      <w:r>
        <w:rPr>
          <w:b/>
          <w:color w:val="003CA0"/>
          <w:sz w:val="16"/>
        </w:rPr>
        <w:t>[ADI 4.430, rel. min. Dias Toffoli, j. 29-6-2012, P, DJE de 19-9-2013.]</w:t>
      </w:r>
    </w:p>
    <w:p>
      <w:pPr>
        <w:ind w:left="288"/>
      </w:pPr>
      <w:r>
        <w:rPr>
          <w:color w:val="8C8C8C"/>
          <w:sz w:val="12"/>
        </w:rPr>
        <w:t>cf-art-102-inc-I-ali-a</w:t>
      </w:r>
      <w:r>
        <w:rPr>
          <w:color w:val="003CA0"/>
          <w:sz w:val="12"/>
        </w:rPr>
        <w:t xml:space="preserve"> | ADI 1.822</w:t>
      </w:r>
      <w:r>
        <w:rPr>
          <w:color w:val="003CA0"/>
          <w:sz w:val="12"/>
        </w:rPr>
        <w:t xml:space="preserve"> | rel. Moreira Alves</w:t>
      </w:r>
    </w:p>
    <w:p>
      <w:pPr>
        <w:ind w:left="288"/>
      </w:pPr>
      <w:r>
        <w:rPr>
          <w:color w:val="1E1E1E"/>
          <w:sz w:val="18"/>
        </w:rPr>
        <w:t>Vide ADI 1.822, rel. min. Moreira Alves, j. 26-6-1998, P, DJ de 10-12-1999 Vide ADI 956, rel. min. Francisco Rezek, j. 1º-7-2004, P, DJ de 20-4-2001 Quando, no julgamento de mérito desta ou daquela controvérsia, o STF deixa de se pronunciar acerca da eficácia temporal do julgado, é de se presumir que o Tribunal deu pela ausência de razões de segurança jurídica ou de interesse social. Presunção, porém, que apenas se torna absoluta com o trânsito em julgado da ação direta. O STF, ao tomar conhecimento, em sede de embargos de declaração (antes, portanto, do trânsito em julgado de sua decisão), de</w:t>
      </w:r>
    </w:p>
    <w:p>
      <w:pPr>
        <w:ind w:left="288"/>
      </w:pPr>
      <w:r>
        <w:rPr>
          <w:b/>
          <w:color w:val="003CA0"/>
          <w:sz w:val="16"/>
        </w:rPr>
        <w:t>[ADI 2.797 ED, red. do ac. min. Ayres Britto, j. 16-5-2012, P, DJE de 28-2-2013.]</w:t>
      </w:r>
    </w:p>
    <w:p>
      <w:pPr>
        <w:ind w:left="288"/>
      </w:pPr>
      <w:r>
        <w:rPr>
          <w:color w:val="8C8C8C"/>
          <w:sz w:val="12"/>
        </w:rPr>
        <w:t>cf-art-102-inc-I-ali-a</w:t>
      </w:r>
      <w:r>
        <w:rPr>
          <w:color w:val="003CA0"/>
          <w:sz w:val="12"/>
        </w:rPr>
        <w:t xml:space="preserve"> | ADI 4.163</w:t>
      </w:r>
      <w:r>
        <w:rPr>
          <w:color w:val="003CA0"/>
          <w:sz w:val="12"/>
        </w:rPr>
        <w:t xml:space="preserve"> | rel. Cezar Peluso</w:t>
      </w:r>
    </w:p>
    <w:p>
      <w:pPr>
        <w:ind w:left="288"/>
      </w:pPr>
      <w:r>
        <w:rPr>
          <w:color w:val="1E1E1E"/>
          <w:sz w:val="18"/>
        </w:rPr>
        <w:t>Embora adotado o rito previsto no art. 10 da Lei 9.868, de 10 de novembro de 1999, ao processo de ação direta de inconstitucionalidade ou de descumprimento de preceito fundamental, pode o STF julgar a causa, desde logo, em termos definitivos, se, nessa fase processual, já tiverem sido exaustivas as manifestações de todos os intervenientes, necessários e facultativos admitidos.</w:t>
      </w:r>
    </w:p>
    <w:p>
      <w:pPr>
        <w:ind w:left="288"/>
      </w:pPr>
      <w:r>
        <w:rPr>
          <w:b/>
          <w:color w:val="003CA0"/>
          <w:sz w:val="16"/>
        </w:rPr>
        <w:t>[ADI 4.163, rel. min. Cezar Peluso, j. 29-2-2012, P, DJE de 1º-3-2013.]</w:t>
      </w:r>
    </w:p>
    <w:p>
      <w:pPr>
        <w:ind w:left="288"/>
      </w:pPr>
      <w:r>
        <w:rPr>
          <w:color w:val="8C8C8C"/>
          <w:sz w:val="12"/>
        </w:rPr>
        <w:t>cf-art-102-inc-I-ali-a</w:t>
      </w:r>
      <w:r>
        <w:rPr>
          <w:color w:val="003CA0"/>
          <w:sz w:val="12"/>
        </w:rPr>
        <w:t xml:space="preserve"> | ADI 3.306</w:t>
      </w:r>
      <w:r>
        <w:rPr>
          <w:color w:val="003CA0"/>
          <w:sz w:val="12"/>
        </w:rPr>
        <w:t xml:space="preserve"> | rel. Gilmar Mendes</w:t>
      </w:r>
    </w:p>
    <w:p>
      <w:pPr>
        <w:ind w:left="288"/>
      </w:pPr>
      <w:r>
        <w:rPr>
          <w:color w:val="1E1E1E"/>
          <w:sz w:val="18"/>
        </w:rPr>
        <w:t>Configurada a fraude processual com a revogação dos atos normativos impugnados na ação direta, o curso procedimental e o julgamento final da ação não ficam prejudicados.</w:t>
      </w:r>
    </w:p>
    <w:p>
      <w:pPr>
        <w:ind w:left="288"/>
      </w:pPr>
      <w:r>
        <w:rPr>
          <w:b/>
          <w:color w:val="003CA0"/>
          <w:sz w:val="16"/>
        </w:rPr>
        <w:t>[ADI 3.306, rel. min. Gilmar Mendes, j. 17-3-2011, P, DJE de 7-6-2011.]</w:t>
      </w:r>
    </w:p>
    <w:p>
      <w:pPr>
        <w:ind w:left="288"/>
      </w:pPr>
      <w:r>
        <w:rPr>
          <w:color w:val="8C8C8C"/>
          <w:sz w:val="12"/>
        </w:rPr>
        <w:t>cf-art-102-inc-I-ali-a</w:t>
      </w:r>
      <w:r>
        <w:rPr>
          <w:color w:val="003CA0"/>
          <w:sz w:val="12"/>
        </w:rPr>
        <w:t xml:space="preserve"> | ADI 4.364</w:t>
      </w:r>
      <w:r>
        <w:rPr>
          <w:color w:val="003CA0"/>
          <w:sz w:val="12"/>
        </w:rPr>
        <w:t xml:space="preserve"> | rel. Dias Toffoli</w:t>
      </w:r>
    </w:p>
    <w:p>
      <w:pPr>
        <w:ind w:left="288"/>
      </w:pPr>
      <w:r>
        <w:rPr>
          <w:color w:val="1E1E1E"/>
          <w:sz w:val="18"/>
        </w:rPr>
        <w:t>A exigência de pertinência temática não impede, quando o vício de inconstitucionalidade for idêntico para todos os seus destinatários, o amplo conhecimento da ação nem a declaração de inconstitucionalidade da norma para além do âmbito dos indivíduos representados pela entidade requerente.</w:t>
      </w:r>
    </w:p>
    <w:p>
      <w:pPr>
        <w:ind w:left="288"/>
      </w:pPr>
      <w:r>
        <w:rPr>
          <w:b/>
          <w:color w:val="003CA0"/>
          <w:sz w:val="16"/>
        </w:rPr>
        <w:t>[ADI 4.364, rel. min. Dias Toffoli, j. 2-3-2011, P, DJE de 16-5-2011.]</w:t>
      </w:r>
    </w:p>
    <w:p>
      <w:pPr>
        <w:ind w:left="288"/>
      </w:pPr>
      <w:r>
        <w:rPr>
          <w:color w:val="8C8C8C"/>
          <w:sz w:val="12"/>
        </w:rPr>
        <w:t>cf-art-102-inc-I-ali-a</w:t>
      </w:r>
      <w:r>
        <w:rPr>
          <w:color w:val="003CA0"/>
          <w:sz w:val="12"/>
        </w:rPr>
        <w:t xml:space="preserve"> | ADI 3.710</w:t>
      </w:r>
      <w:r>
        <w:rPr>
          <w:color w:val="003CA0"/>
          <w:sz w:val="12"/>
        </w:rPr>
        <w:t xml:space="preserve"> | rel. Joaquim Barbosa</w:t>
      </w:r>
    </w:p>
    <w:p>
      <w:pPr>
        <w:ind w:left="288"/>
      </w:pPr>
      <w:r>
        <w:rPr>
          <w:color w:val="1E1E1E"/>
          <w:sz w:val="18"/>
        </w:rPr>
        <w:t>= ADI 3.710, rel. min. Joaquim Barbosa, j. 9-2-2007, P, DJ de 27-4-2007 Em nosso ordenamento jurídico, não se admite a figura da constitucionalidade superveniente. Mais relevante do que a atualidade do parâmetro de controle é a constatação de que a inconstitucionalidade persiste e é atual, ainda que se refira a dispositivos da CF que não se encontram mais em vigor. Caso contrário, ficaria sensivelmente enfraquecida a própria regra que proíbe a convalidação. A jurisdição constitucional brasileira não deve deixar às instâncias ordinárias a solução de problemas que podem, de maneira mais eficient</w:t>
      </w:r>
    </w:p>
    <w:p>
      <w:pPr>
        <w:ind w:left="288"/>
      </w:pPr>
      <w:r>
        <w:rPr>
          <w:b/>
          <w:color w:val="003CA0"/>
          <w:sz w:val="16"/>
        </w:rPr>
        <w:t>[ADI 2.158 e ADI 2.189, rel. min. Dias Toffoli, j. 15-9-2010, P, DJE de 16-12-2010.]</w:t>
      </w:r>
    </w:p>
    <w:p>
      <w:pPr>
        <w:ind w:left="288"/>
      </w:pPr>
      <w:r>
        <w:rPr>
          <w:color w:val="8C8C8C"/>
          <w:sz w:val="12"/>
        </w:rPr>
        <w:t>cf-art-102-inc-I-ali-a</w:t>
      </w:r>
      <w:r>
        <w:rPr>
          <w:color w:val="003CA0"/>
          <w:sz w:val="12"/>
        </w:rPr>
        <w:t xml:space="preserve"> | ADI 94</w:t>
      </w:r>
      <w:r>
        <w:rPr>
          <w:color w:val="003CA0"/>
          <w:sz w:val="12"/>
        </w:rPr>
        <w:t xml:space="preserve"> | rel. Gilmar Mendes</w:t>
      </w:r>
    </w:p>
    <w:p>
      <w:pPr>
        <w:ind w:left="288"/>
      </w:pPr>
      <w:r>
        <w:rPr>
          <w:color w:val="1E1E1E"/>
          <w:sz w:val="18"/>
        </w:rPr>
        <w:t>= ADI 94, rel. min. Gilmar Mendes, j. 7-12-2011, P, DJE de 16-12-2011 Vide ADI 2.159, red. do ac. min. Eros Grau, j. 12-8-2004, P, DJ de 7-12-2007 Não cabe ao órgão fiscalizador da inconstitucionalidade valorar se a lei cumpre bem ou mal os fins por ela estabelecidos. A fundamentação da decisão judicial não pode assentar em "vícios" produzidos no âmbito da liberdade de conformação ou no exercício do poder discricionário do poder constituinte. (...) Como observou o min. Marco Aurélio na ementa do RE 140.265, cogitando do ofício judicante e da postura do juiz, "[a]o examinar a lide, o magistrado</w:t>
      </w:r>
    </w:p>
    <w:p>
      <w:pPr>
        <w:ind w:left="288"/>
      </w:pPr>
      <w:r>
        <w:rPr>
          <w:b/>
          <w:color w:val="003CA0"/>
          <w:sz w:val="16"/>
        </w:rPr>
        <w:t>[ADI 3.826, rel. min. Eros Grau, j. 12-5-2010, P, DJE de 20-8-2010.]</w:t>
      </w:r>
    </w:p>
    <w:p>
      <w:pPr>
        <w:ind w:left="288"/>
      </w:pPr>
      <w:r>
        <w:rPr>
          <w:color w:val="8C8C8C"/>
          <w:sz w:val="12"/>
        </w:rPr>
        <w:t>cf-art-102-inc-I-ali-a</w:t>
      </w:r>
      <w:r>
        <w:rPr>
          <w:color w:val="003CA0"/>
          <w:sz w:val="12"/>
        </w:rPr>
        <w:t xml:space="preserve"> | ADI 4.180</w:t>
      </w:r>
      <w:r>
        <w:rPr>
          <w:color w:val="003CA0"/>
          <w:sz w:val="12"/>
        </w:rPr>
        <w:t xml:space="preserve"> | rel. Cezar Peluso</w:t>
      </w:r>
    </w:p>
    <w:p>
      <w:pPr>
        <w:ind w:left="288"/>
      </w:pPr>
      <w:r>
        <w:rPr>
          <w:color w:val="1E1E1E"/>
          <w:sz w:val="18"/>
        </w:rPr>
        <w:t>Aplicação do princípio da fungibilidade. (...) É lícito conhecer de ação direta de inconstitucionalidade como arguição de descumprimento de preceito fundamental, quando coexistentes todos os requisitos de admissibilidade desta, em caso de inadmissibilidade daquela.</w:t>
      </w:r>
    </w:p>
    <w:p>
      <w:pPr>
        <w:ind w:left="288"/>
      </w:pPr>
      <w:r>
        <w:rPr>
          <w:b/>
          <w:color w:val="003CA0"/>
          <w:sz w:val="16"/>
        </w:rPr>
        <w:t>[ADI 4.180 MC-REF, rel. min. Cezar Peluso, j. 10-3-2010, P, DJE de 27-8-2010.]</w:t>
      </w:r>
    </w:p>
    <w:p>
      <w:pPr>
        <w:ind w:left="288"/>
      </w:pPr>
      <w:r>
        <w:rPr>
          <w:color w:val="8C8C8C"/>
          <w:sz w:val="12"/>
        </w:rPr>
        <w:t>cf-art-102-inc-I-ali-a</w:t>
      </w:r>
      <w:r>
        <w:rPr>
          <w:color w:val="003CA0"/>
          <w:sz w:val="12"/>
        </w:rPr>
        <w:t xml:space="preserve"> | ADPF 178</w:t>
      </w:r>
      <w:r>
        <w:rPr>
          <w:color w:val="003CA0"/>
          <w:sz w:val="12"/>
        </w:rPr>
        <w:t xml:space="preserve"> | rel. Gilmar Mendes</w:t>
      </w:r>
    </w:p>
    <w:p>
      <w:pPr>
        <w:ind w:left="288"/>
      </w:pPr>
      <w:r>
        <w:rPr>
          <w:color w:val="1E1E1E"/>
          <w:sz w:val="18"/>
        </w:rPr>
        <w:t>Vide ADPF 178, rel. min. Gilmar Mendes, j. 21-7-2009, dec. monocrática, DJE de 5-8-2009 Vide ADPF 72 QO, rel. min. Ellen Gracie, j. 1º-6-2005, P, DJ de 2-12-2005 Lei ou norma de caráter ou efeito concreto já exaurido não pode ser objeto de controle abstrato de constitucionalidade, em ação direta de inconstitucionalidade.</w:t>
      </w:r>
    </w:p>
    <w:p>
      <w:pPr>
        <w:ind w:left="288"/>
      </w:pPr>
      <w:r>
        <w:rPr>
          <w:b/>
          <w:color w:val="003CA0"/>
          <w:sz w:val="16"/>
        </w:rPr>
        <w:t>[ADI 2.980, red. do ac. min. Cezar Peluso, j. 5-2-2009, P, DJE de 7-8-2009.]</w:t>
      </w:r>
    </w:p>
    <w:p>
      <w:pPr>
        <w:ind w:left="288"/>
      </w:pPr>
      <w:r>
        <w:rPr>
          <w:color w:val="8C8C8C"/>
          <w:sz w:val="12"/>
        </w:rPr>
        <w:t>cf-art-102-inc-I-ali-a</w:t>
      </w:r>
      <w:r>
        <w:rPr>
          <w:color w:val="003CA0"/>
          <w:sz w:val="12"/>
        </w:rPr>
        <w:t xml:space="preserve"> | ADI 2.549</w:t>
      </w:r>
      <w:r>
        <w:rPr>
          <w:color w:val="003CA0"/>
          <w:sz w:val="12"/>
        </w:rPr>
        <w:t xml:space="preserve"> | rel. Ricardo Lewandowski</w:t>
      </w:r>
    </w:p>
    <w:p>
      <w:pPr>
        <w:ind w:left="288"/>
      </w:pPr>
      <w:r>
        <w:rPr>
          <w:color w:val="1E1E1E"/>
          <w:sz w:val="18"/>
        </w:rPr>
        <w:t>= ADI 2.549, rel. min. Ricardo Lewandowski, j. 1º-6-2011, P, DJE de 3-11-2011 (...) o fato de a lei objeto da impugnação ter sido revogada, não diria, no curso dos processos, mas já quase ao cabo deles, não subtrai à Corte a jurisdição nem a competência para examinar a constitucionalidade da lei até então vigente e suas consequências jurídicas, que, uma vez julgadas procedentes as três ações, não seriam, no caso, de pouca monta.</w:t>
      </w:r>
    </w:p>
    <w:p>
      <w:pPr>
        <w:ind w:left="288"/>
      </w:pPr>
      <w:r>
        <w:rPr>
          <w:b/>
          <w:color w:val="003CA0"/>
          <w:sz w:val="16"/>
        </w:rPr>
        <w:t>[ADI 3.232, voto do rel. min. Cezar Peluso, j. 14-8-2008, P, DJE de 3-10-2008.]</w:t>
      </w:r>
    </w:p>
    <w:p>
      <w:pPr>
        <w:ind w:left="288"/>
      </w:pPr>
      <w:r>
        <w:rPr>
          <w:color w:val="8C8C8C"/>
          <w:sz w:val="12"/>
        </w:rPr>
        <w:t>cf-art-102-inc-I-ali-a</w:t>
      </w:r>
      <w:r>
        <w:rPr>
          <w:color w:val="003CA0"/>
          <w:sz w:val="12"/>
        </w:rPr>
        <w:t xml:space="preserve"> | ADI 1.835</w:t>
      </w:r>
      <w:r>
        <w:rPr>
          <w:color w:val="003CA0"/>
          <w:sz w:val="12"/>
        </w:rPr>
        <w:t xml:space="preserve"> | rel. Dias Toffoli</w:t>
      </w:r>
    </w:p>
    <w:p>
      <w:pPr>
        <w:ind w:left="288"/>
      </w:pPr>
      <w:r>
        <w:rPr>
          <w:color w:val="1E1E1E"/>
          <w:sz w:val="18"/>
        </w:rPr>
        <w:t>= ADI 1.835, rel. min. Dias Toffoli, j. 17-9-2014, P, DJE de 17-10-2014 Afasta-se o uso da técnica de "interpretação conforme" para a feitura de sentença de caráter aditivo que tencione conferir à Lei de Biossegurança exuberância regratória, ou restrições tendentes a inviabilizar as pesquisas com células-tronco embrionárias. Inexistência dos pressupostos para a aplicação da técnica da "interpretação conforme a Constituição", porquanto a norma impugnada não padece de polissemia ou de plurissignificatividade.</w:t>
      </w:r>
    </w:p>
    <w:p>
      <w:pPr>
        <w:ind w:left="288"/>
      </w:pPr>
      <w:r>
        <w:rPr>
          <w:b/>
          <w:color w:val="003CA0"/>
          <w:sz w:val="16"/>
        </w:rPr>
        <w:t>[ADI 3.510, rel. min. Ayres Britto, j. 29-5-2008, P, DJE de 28-5-2010.]</w:t>
      </w:r>
    </w:p>
    <w:p>
      <w:pPr>
        <w:ind w:left="288"/>
      </w:pPr>
      <w:r>
        <w:rPr>
          <w:color w:val="8C8C8C"/>
          <w:sz w:val="12"/>
        </w:rPr>
        <w:t>cf-art-102-inc-I-ali-a</w:t>
      </w:r>
      <w:r>
        <w:rPr>
          <w:color w:val="003CA0"/>
          <w:sz w:val="12"/>
        </w:rPr>
        <w:t xml:space="preserve"> | ADI 4.048</w:t>
      </w:r>
      <w:r>
        <w:rPr>
          <w:color w:val="003CA0"/>
          <w:sz w:val="12"/>
        </w:rPr>
        <w:t xml:space="preserve"> | rel. Gilmar Mendes</w:t>
      </w:r>
    </w:p>
    <w:p>
      <w:pPr>
        <w:ind w:left="288"/>
      </w:pPr>
      <w:r>
        <w:rPr>
          <w:color w:val="1E1E1E"/>
          <w:sz w:val="18"/>
        </w:rPr>
        <w:t>A extensão da jurisprudência, desenvolvida para afastar do controle abstrato de normas os atos administrativos de efeito concreto, às chamadas leis formais suscita, sem dúvida, alguma insegurança, porque coloca a salvo do controle de constitucionalidade um sem-número de leis. (...) Outra há de ser, todavia, a interpretação, se se cuida de atos editados sob a forma de lei. Nesse caso, houve por bem o constituinte não distinguir entre leis dotadas de generalidade e aqueloutras, conformadas sem o atributo da generalidade e abstração. Essas leis formais decorrem ou da vontade do legislador ou do d</w:t>
      </w:r>
    </w:p>
    <w:p>
      <w:pPr>
        <w:ind w:left="288"/>
      </w:pPr>
      <w:r>
        <w:rPr>
          <w:b/>
          <w:color w:val="003CA0"/>
          <w:sz w:val="16"/>
        </w:rPr>
        <w:t>[ADI 4.048 MC, voto do rel. min. Gilmar Mendes, j. 14-5-2008, P, DJE de 22-8-2008.]</w:t>
      </w:r>
    </w:p>
    <w:p>
      <w:pPr>
        <w:ind w:left="288"/>
      </w:pPr>
      <w:r>
        <w:rPr>
          <w:color w:val="8C8C8C"/>
          <w:sz w:val="12"/>
        </w:rPr>
        <w:t>cf-art-102-inc-I-ali-a</w:t>
      </w:r>
      <w:r>
        <w:rPr>
          <w:color w:val="003CA0"/>
          <w:sz w:val="12"/>
        </w:rPr>
        <w:t xml:space="preserve"> | RE 412.921</w:t>
      </w:r>
      <w:r>
        <w:rPr>
          <w:color w:val="003CA0"/>
          <w:sz w:val="12"/>
        </w:rPr>
        <w:t xml:space="preserve"> | rel. Ricardo Lewandowski</w:t>
      </w:r>
    </w:p>
    <w:p>
      <w:pPr>
        <w:ind w:left="288"/>
      </w:pPr>
      <w:r>
        <w:rPr>
          <w:color w:val="1E1E1E"/>
          <w:sz w:val="18"/>
        </w:rPr>
        <w:t>= RE 412.921 AgR, rel. min. Ricardo Lewandowski, j. 22-2-2011, 1ª T, DJE de 15-3-2011 Esta Corte deferiu o pedido de medida cautelar para sustar os efeitos da Resolução Administrativa 50/1991 do TST, que determinou o pagamento de vantagens a magistrados e servidores. Impossibilidade de cumprimento da medida cautelar. A eficácia da resolução exauriu-se no momento em que o pagamento foi efetuado. A via da ação direta é inadequada para a aferição de constitucionalidade de ato normativo desprovido de efeitos.</w:t>
      </w:r>
    </w:p>
    <w:p>
      <w:pPr>
        <w:ind w:left="288"/>
      </w:pPr>
      <w:r>
        <w:rPr>
          <w:b/>
          <w:color w:val="003CA0"/>
          <w:sz w:val="16"/>
        </w:rPr>
        <w:t>[ADI 695 QO, rel. min. Eros Grau, j. 21-11-2007, P, DJ de 14-12-2007.]</w:t>
      </w:r>
    </w:p>
    <w:p>
      <w:pPr>
        <w:ind w:left="288"/>
      </w:pPr>
      <w:r>
        <w:rPr>
          <w:color w:val="8C8C8C"/>
          <w:sz w:val="12"/>
        </w:rPr>
        <w:t>cf-art-102-inc-I-ali-a</w:t>
      </w:r>
      <w:r>
        <w:rPr>
          <w:color w:val="003CA0"/>
          <w:sz w:val="12"/>
        </w:rPr>
        <w:t xml:space="preserve"> | ADI 3.731</w:t>
      </w:r>
      <w:r>
        <w:rPr>
          <w:color w:val="003CA0"/>
          <w:sz w:val="12"/>
        </w:rPr>
        <w:t xml:space="preserve"> | rel. Cezar Peluso</w:t>
      </w:r>
    </w:p>
    <w:p>
      <w:pPr>
        <w:ind w:left="288"/>
      </w:pPr>
      <w:r>
        <w:rPr>
          <w:color w:val="1E1E1E"/>
          <w:sz w:val="18"/>
        </w:rPr>
        <w:t>Pode ser objeto de ação direta de inconstitucionalidade o ato normativo subalterno cujo conteúdo seja de lei ordinária em sentido material e, como tal, goze de autonomia nomológica.</w:t>
      </w:r>
    </w:p>
    <w:p>
      <w:pPr>
        <w:ind w:left="288"/>
      </w:pPr>
      <w:r>
        <w:rPr>
          <w:b/>
          <w:color w:val="003CA0"/>
          <w:sz w:val="16"/>
        </w:rPr>
        <w:t>[ADI 3.731 MC, rel. min. Cezar Peluso, j. 29-8-2007, P, DJ de 11-10-2007.]</w:t>
      </w:r>
    </w:p>
    <w:p>
      <w:pPr>
        <w:ind w:left="288"/>
      </w:pPr>
      <w:r>
        <w:rPr>
          <w:color w:val="8C8C8C"/>
          <w:sz w:val="12"/>
        </w:rPr>
        <w:t>cf-art-102-inc-I-ali-a</w:t>
      </w:r>
      <w:r>
        <w:rPr>
          <w:color w:val="003CA0"/>
          <w:sz w:val="12"/>
        </w:rPr>
        <w:t xml:space="preserve"> | ADI 2.398</w:t>
      </w:r>
      <w:r>
        <w:rPr>
          <w:color w:val="003CA0"/>
          <w:sz w:val="12"/>
        </w:rPr>
        <w:t xml:space="preserve"> | rel. Cezar Peluso</w:t>
      </w:r>
    </w:p>
    <w:p>
      <w:pPr>
        <w:ind w:left="288"/>
      </w:pPr>
      <w:r>
        <w:rPr>
          <w:color w:val="1E1E1E"/>
          <w:sz w:val="18"/>
        </w:rPr>
        <w:t>Ação direta. Portaria 796/2000 do ministro de Estado da Justiça. Ato de caráter regulamentar. Diversões e espetáculos públicos. Regulamentação do disposto no art. 74 da Lei federal  8.069/1990 – ECA. Ato normativo não autônomo ou secundário. Inadmissibilidade da ação. Inexistência de ofensa constitucional direta. Eventual excesso que se resolve no campo da legalidade. (...) Não se admite ação direta de inconstitucionalidade que tenha por objeto ato normativo não autônomo ou secundário, que regulamenta disposições de lei.</w:t>
      </w:r>
    </w:p>
    <w:p>
      <w:pPr>
        <w:ind w:left="288"/>
      </w:pPr>
      <w:r>
        <w:rPr>
          <w:b/>
          <w:color w:val="003CA0"/>
          <w:sz w:val="16"/>
        </w:rPr>
        <w:t>[ADI 2.398 AgR, rel. min. Cezar Peluso, j. 25-6-2007, P, DJ de 31-8-2007.]</w:t>
      </w:r>
    </w:p>
    <w:p>
      <w:pPr>
        <w:ind w:left="288"/>
      </w:pPr>
      <w:r>
        <w:rPr>
          <w:color w:val="8C8C8C"/>
          <w:sz w:val="12"/>
        </w:rPr>
        <w:t>cf-art-102-inc-I-ali-a</w:t>
      </w:r>
      <w:r>
        <w:rPr>
          <w:color w:val="003CA0"/>
          <w:sz w:val="12"/>
        </w:rPr>
        <w:t xml:space="preserve"> | RCL 8.273</w:t>
      </w:r>
      <w:r>
        <w:rPr>
          <w:color w:val="003CA0"/>
          <w:sz w:val="12"/>
        </w:rPr>
        <w:t xml:space="preserve"> | rel. Teori Zavascki</w:t>
      </w:r>
    </w:p>
    <w:p>
      <w:pPr>
        <w:ind w:left="288"/>
      </w:pPr>
      <w:r>
        <w:rPr>
          <w:color w:val="1E1E1E"/>
          <w:sz w:val="18"/>
        </w:rPr>
        <w:t>= Rcl 8.273 AgR, rel. min. Teori Zavascki, j. 17-10-2013, P, DJE de 12-11-2013 (...) a decisão que afirma a constitucionalidade da norma ou que indefere o pedido de declaração de sua inconstitucionalidade também não será objeto de reexame em outra ação direta de inconstitucionalidade em que se discute norma de idêntico teor.</w:t>
      </w:r>
    </w:p>
    <w:p>
      <w:pPr>
        <w:ind w:left="288"/>
      </w:pPr>
      <w:r>
        <w:rPr>
          <w:b/>
          <w:color w:val="003CA0"/>
          <w:sz w:val="16"/>
        </w:rPr>
        <w:t>[ADI 1.633, voto da rel. min. Cármen Lúcia, j. 17-5-2007, P, DJ de 30-11-2007.]</w:t>
      </w:r>
    </w:p>
    <w:p>
      <w:pPr>
        <w:ind w:left="288"/>
      </w:pPr>
      <w:r>
        <w:rPr>
          <w:color w:val="8C8C8C"/>
          <w:sz w:val="12"/>
        </w:rPr>
        <w:t>cf-art-102-inc-I-ali-a</w:t>
      </w:r>
      <w:r>
        <w:rPr>
          <w:color w:val="003CA0"/>
          <w:sz w:val="12"/>
        </w:rPr>
        <w:t xml:space="preserve"> | ADI 575</w:t>
      </w:r>
      <w:r>
        <w:rPr>
          <w:color w:val="003CA0"/>
          <w:sz w:val="12"/>
        </w:rPr>
        <w:t xml:space="preserve"> | rel. Sepúlveda Pertence</w:t>
      </w:r>
    </w:p>
    <w:p>
      <w:pPr>
        <w:ind w:left="288"/>
      </w:pPr>
      <w:r>
        <w:rPr>
          <w:color w:val="1E1E1E"/>
          <w:sz w:val="18"/>
        </w:rPr>
        <w:t>= ADI 575, rel. min. Sepúlveda Pertence, j. 25-03-1999, P, DJ de 25-6-1999 Admissibilidade de aditamento do pedido na ação direta de inconstitucionalidade para declarar inconstitucional norma editada durante o curso da ação. Circunstância em que se constata a alteração da norma impugnada por outra apenas para alterar a denominação de cargos na administração judicial estadual; alteração legislativa que não torna prejudicado o pedido na ação direta.</w:t>
      </w:r>
    </w:p>
    <w:p>
      <w:pPr>
        <w:ind w:left="288"/>
      </w:pPr>
      <w:r>
        <w:rPr>
          <w:b/>
          <w:color w:val="003CA0"/>
          <w:sz w:val="16"/>
        </w:rPr>
        <w:t>[ADI 3.233, rel. min. Joaquim Barbosa, j. 10-5-2007, P, DJ de 14-9-2007.]</w:t>
      </w:r>
    </w:p>
    <w:p>
      <w:pPr>
        <w:ind w:left="288"/>
      </w:pPr>
      <w:r>
        <w:rPr>
          <w:color w:val="8C8C8C"/>
          <w:sz w:val="12"/>
        </w:rPr>
        <w:t>cf-art-102-inc-I-ali-a</w:t>
      </w:r>
      <w:r>
        <w:rPr>
          <w:color w:val="003CA0"/>
          <w:sz w:val="12"/>
        </w:rPr>
        <w:t xml:space="preserve"> | ADI 2.867</w:t>
      </w:r>
      <w:r>
        <w:rPr>
          <w:color w:val="003CA0"/>
          <w:sz w:val="12"/>
        </w:rPr>
        <w:t xml:space="preserve"> | rel. Celso de Mello</w:t>
      </w:r>
    </w:p>
    <w:p>
      <w:pPr>
        <w:ind w:left="288"/>
      </w:pPr>
      <w:r>
        <w:rPr>
          <w:color w:val="1E1E1E"/>
          <w:sz w:val="18"/>
        </w:rPr>
        <w:t>Fiscalização normativa abstrata. Declaração de inconstitucionalidade em tese e efeito repristinatório. A declaração de inconstitucionalidade in abstracto, considerado o efeito repristinatório que lhe é inerente (RTJ 120/64 – RTJ 194/504-505 – ADI 2.867/ES, v.g.), importa em restauração das normas estatais revogadas pelo diploma objeto do processo de controle normativo abstrato. É que a lei declarada inconstitucional, por incidir em absoluta desvalia jurídica (RTJ 146/461-462), não pode gerar quaisquer efeitos no plano do direito, nem mesmo o de provocar a própria revogação dos diplomas normati</w:t>
      </w:r>
    </w:p>
    <w:p>
      <w:pPr>
        <w:ind w:left="288"/>
      </w:pPr>
      <w:r>
        <w:rPr>
          <w:b/>
          <w:color w:val="003CA0"/>
          <w:sz w:val="16"/>
        </w:rPr>
        <w:t>[ADI 3.148, rel. min. Celso de Mello, j. 13-12-2006, P, DJ de 28-9-2007.]</w:t>
      </w:r>
    </w:p>
    <w:p>
      <w:pPr>
        <w:ind w:left="288"/>
      </w:pPr>
      <w:r>
        <w:rPr>
          <w:color w:val="8C8C8C"/>
          <w:sz w:val="12"/>
        </w:rPr>
        <w:t>cf-art-102-inc-I-ali-a</w:t>
      </w:r>
      <w:r>
        <w:rPr>
          <w:color w:val="003CA0"/>
          <w:sz w:val="12"/>
        </w:rPr>
        <w:t xml:space="preserve"> | ADI 2.728</w:t>
      </w:r>
      <w:r>
        <w:rPr>
          <w:color w:val="003CA0"/>
          <w:sz w:val="12"/>
        </w:rPr>
        <w:t xml:space="preserve"> | rel. Marco Aurélio</w:t>
      </w:r>
    </w:p>
    <w:p>
      <w:pPr>
        <w:ind w:left="288"/>
      </w:pPr>
      <w:r>
        <w:rPr>
          <w:b/>
          <w:color w:val="003CA0"/>
          <w:sz w:val="16"/>
        </w:rPr>
        <w:t>[ADI 2.728 ED, rel. min. Marco Aurélio, j. 19-10-2006, P, DJ de 5-10-2007.]</w:t>
      </w:r>
    </w:p>
    <w:p>
      <w:pPr>
        <w:ind w:left="288"/>
      </w:pPr>
      <w:r>
        <w:rPr>
          <w:color w:val="8C8C8C"/>
          <w:sz w:val="12"/>
        </w:rPr>
        <w:t>cf-art-102-inc-I-ali-a</w:t>
      </w:r>
      <w:r>
        <w:rPr>
          <w:color w:val="003CA0"/>
          <w:sz w:val="12"/>
        </w:rPr>
        <w:t xml:space="preserve"> | ADI 2.132</w:t>
      </w:r>
      <w:r>
        <w:rPr>
          <w:color w:val="003CA0"/>
          <w:sz w:val="12"/>
        </w:rPr>
        <w:t xml:space="preserve"> | rel. Moreira Alves</w:t>
      </w:r>
    </w:p>
    <w:p>
      <w:pPr>
        <w:ind w:left="288"/>
      </w:pPr>
      <w:r>
        <w:rPr>
          <w:color w:val="1E1E1E"/>
          <w:sz w:val="18"/>
        </w:rPr>
        <w:t>(...) há que se aplicar a jurisprudência consolidada desta Corte no sentido de que não é de se conhecer da ação direta de inconstitucionalidade, se, declarada a inconstitucionalidade de um dispositivo normativo, dessa declaração resultar a restauração imediata do dispositivo por ele revogado, que apresenta o mesmo vício de inconstitucionalidade e que não foi objeto da referida ação (ADI 2.132 MC/RJ, rel. min. Moreira Alves, Tribunal Pleno, DJ de 5-4-2002). No caso dos autos, a impossibilidade de declaração de inconstitucionalidade das normas constitucionais originárias (cf. precedente desta Co</w:t>
      </w:r>
    </w:p>
    <w:p>
      <w:pPr>
        <w:ind w:left="288"/>
      </w:pPr>
      <w:r>
        <w:rPr>
          <w:b/>
          <w:color w:val="003CA0"/>
          <w:sz w:val="16"/>
        </w:rPr>
        <w:t>[ADI 2.883, voto do rel. min. Gilmar Mendes, j. 30-8-2006, P, DJ de 9-3-2007.]</w:t>
      </w:r>
    </w:p>
    <w:p>
      <w:pPr>
        <w:ind w:left="288"/>
      </w:pPr>
      <w:r>
        <w:rPr>
          <w:color w:val="8C8C8C"/>
          <w:sz w:val="12"/>
        </w:rPr>
        <w:t>cf-art-102-inc-I-ali-a</w:t>
      </w:r>
      <w:r>
        <w:rPr>
          <w:color w:val="003CA0"/>
          <w:sz w:val="12"/>
        </w:rPr>
        <w:t xml:space="preserve"> | ADI 3.573</w:t>
      </w:r>
    </w:p>
    <w:p>
      <w:pPr>
        <w:ind w:left="288"/>
      </w:pPr>
      <w:r>
        <w:rPr>
          <w:color w:val="1E1E1E"/>
          <w:sz w:val="18"/>
        </w:rPr>
        <w:t>Não cabe ação direta como via de impugnação de lei-medida. A lei-medida é lei apenas em sentido formal, é lei que não é norma jurídica dotada de generalidade e abstração.</w:t>
      </w:r>
    </w:p>
    <w:p>
      <w:pPr>
        <w:ind w:left="288"/>
      </w:pPr>
      <w:r>
        <w:rPr>
          <w:b/>
          <w:color w:val="003CA0"/>
          <w:sz w:val="16"/>
        </w:rPr>
        <w:t>[ADI 3.573, red. do ac. min. Eros Grau, j. 1º-12-2005, P, DJ de 19-12-2006.]</w:t>
      </w:r>
    </w:p>
    <w:p>
      <w:pPr>
        <w:ind w:left="288"/>
      </w:pPr>
      <w:r>
        <w:rPr>
          <w:color w:val="8C8C8C"/>
          <w:sz w:val="12"/>
        </w:rPr>
        <w:t>cf-art-102-inc-I-ali-a</w:t>
      </w:r>
      <w:r>
        <w:rPr>
          <w:color w:val="003CA0"/>
          <w:sz w:val="12"/>
        </w:rPr>
        <w:t xml:space="preserve"> | ADI 2.895</w:t>
      </w:r>
      <w:r>
        <w:rPr>
          <w:color w:val="003CA0"/>
          <w:sz w:val="12"/>
        </w:rPr>
        <w:t xml:space="preserve"> | rel. Carlos Velloso</w:t>
      </w:r>
    </w:p>
    <w:p>
      <w:pPr>
        <w:ind w:left="288"/>
      </w:pPr>
      <w:r>
        <w:rPr>
          <w:color w:val="1E1E1E"/>
          <w:sz w:val="18"/>
        </w:rPr>
        <w:t>Não obstante de constitucionalidade duvidosa a primeira parte do mencionado art. 74, ocorre, no caso, a impossibilidade de sua apreciação, em obséquio ao "princípio do pedido" e por não ocorrer, na hipótese, o fenômeno da inconstitucionalidade por "arrastamento" ou "atração", já que o citado dispositivo legal não é dependente da norma declarada inconstitucional.</w:t>
      </w:r>
    </w:p>
    <w:p>
      <w:pPr>
        <w:ind w:left="288"/>
      </w:pPr>
      <w:r>
        <w:rPr>
          <w:b/>
          <w:color w:val="003CA0"/>
          <w:sz w:val="16"/>
        </w:rPr>
        <w:t>[ADI 2.895, rel. min. Carlos Velloso, j. 2-2-2005, P, DJ de 20-5-2005.]</w:t>
      </w:r>
    </w:p>
    <w:p>
      <w:pPr>
        <w:ind w:left="288"/>
      </w:pPr>
      <w:r>
        <w:rPr>
          <w:color w:val="8C8C8C"/>
          <w:sz w:val="12"/>
        </w:rPr>
        <w:t>cf-art-102-inc-I-ali-a</w:t>
      </w:r>
      <w:r>
        <w:rPr>
          <w:color w:val="003CA0"/>
          <w:sz w:val="12"/>
        </w:rPr>
        <w:t xml:space="preserve"> | ADI 3.324</w:t>
      </w:r>
      <w:r>
        <w:rPr>
          <w:color w:val="003CA0"/>
          <w:sz w:val="12"/>
        </w:rPr>
        <w:t xml:space="preserve"> | rel. Marco Aurélio</w:t>
      </w:r>
    </w:p>
    <w:p>
      <w:pPr>
        <w:ind w:left="288"/>
      </w:pPr>
      <w:r>
        <w:rPr>
          <w:color w:val="1E1E1E"/>
          <w:sz w:val="18"/>
        </w:rPr>
        <w:t>É possível, juridicamente, formular-se, em inicial de ação direta de inconstitucionalidade, pedido de interpretação conforme, ante enfoque diverso que se mostre conflitante com a Carta Federal. Envolvimento, no caso, de reconhecimento de inconstitucionalidade.</w:t>
      </w:r>
    </w:p>
    <w:p>
      <w:pPr>
        <w:ind w:left="288"/>
      </w:pPr>
      <w:r>
        <w:rPr>
          <w:b/>
          <w:color w:val="003CA0"/>
          <w:sz w:val="16"/>
        </w:rPr>
        <w:t>[ADI 3.324, rel. min. Marco Aurélio, j. 16-12-2004, P, DJ de 5-8-2005.]</w:t>
      </w:r>
    </w:p>
    <w:p>
      <w:pPr>
        <w:ind w:left="288"/>
      </w:pPr>
      <w:r>
        <w:rPr>
          <w:color w:val="8C8C8C"/>
          <w:sz w:val="12"/>
        </w:rPr>
        <w:t>cf-art-102-inc-I-ali-a</w:t>
      </w:r>
      <w:r>
        <w:rPr>
          <w:color w:val="003CA0"/>
          <w:sz w:val="12"/>
        </w:rPr>
        <w:t xml:space="preserve"> | ADI 1.874</w:t>
      </w:r>
      <w:r>
        <w:rPr>
          <w:color w:val="003CA0"/>
          <w:sz w:val="12"/>
        </w:rPr>
        <w:t xml:space="preserve"> | rel. Maurício Corrêa</w:t>
      </w:r>
    </w:p>
    <w:p>
      <w:pPr>
        <w:ind w:left="288"/>
      </w:pPr>
      <w:r>
        <w:rPr>
          <w:color w:val="1E1E1E"/>
          <w:sz w:val="18"/>
        </w:rPr>
        <w:t>A renumeração do preceito constitucional estadual impugnado, mantido na íntegra o texto original, não implica a prejudicialidade da ação direta, desde que promovido o aditamento à petição inicial. (...) (ADI 1.874, rel. min. Maurício Corrêa, DJ de 7-2-2003).</w:t>
      </w:r>
    </w:p>
    <w:p>
      <w:pPr>
        <w:ind w:left="288"/>
      </w:pPr>
      <w:r>
        <w:rPr>
          <w:b/>
          <w:color w:val="003CA0"/>
          <w:sz w:val="16"/>
        </w:rPr>
        <w:t>[ADI 246, rel. min. Eros Grau, j. 16-12-2004, P, DJ de 29-4-2005.]</w:t>
      </w:r>
    </w:p>
    <w:p>
      <w:pPr>
        <w:ind w:left="288"/>
      </w:pPr>
      <w:r>
        <w:rPr>
          <w:color w:val="8C8C8C"/>
          <w:sz w:val="12"/>
        </w:rPr>
        <w:t>cf-art-102-inc-I-ali-a</w:t>
      </w:r>
      <w:r>
        <w:rPr>
          <w:color w:val="003CA0"/>
          <w:sz w:val="12"/>
        </w:rPr>
        <w:t xml:space="preserve"> | ADI 2.238</w:t>
      </w:r>
      <w:r>
        <w:rPr>
          <w:color w:val="003CA0"/>
          <w:sz w:val="12"/>
        </w:rPr>
        <w:t xml:space="preserve"> | rel. Alexandre de Moraes</w:t>
      </w:r>
    </w:p>
    <w:p>
      <w:pPr>
        <w:ind w:left="288"/>
      </w:pPr>
      <w:r>
        <w:rPr>
          <w:color w:val="1E1E1E"/>
          <w:sz w:val="18"/>
        </w:rPr>
        <w:t>= ADI 2.238, rel. min. Alexandre de Moraes, j. 24-6-2020, P, DJE de 15-9-2020 A revogação superveniente do ato estatal impugnado faz instaurar situação de prejudicialidade que provoca a extinção anômala do processo de fiscalização abstrata de constitucionalidade, eis que a ab-rogação do diploma normativo questionado opera, quanto a este, a sua exclusão do sistema de direito positivo, causando, desse modo, a perda ulterior de objeto da própria ação direta, independentemente da ocorrência, ou não, de efeitos residuais concretos. Precedentes.</w:t>
      </w:r>
    </w:p>
    <w:p>
      <w:pPr>
        <w:ind w:left="288"/>
      </w:pPr>
      <w:r>
        <w:rPr>
          <w:b/>
          <w:color w:val="003CA0"/>
          <w:sz w:val="16"/>
        </w:rPr>
        <w:t>[ADI 1.445 QO, rel. min. Celso de Mello, j. 3-11-2004, P, DJ de 29-4-2005.]</w:t>
      </w:r>
    </w:p>
    <w:p>
      <w:pPr>
        <w:ind w:left="288"/>
      </w:pPr>
      <w:r>
        <w:rPr>
          <w:color w:val="8C8C8C"/>
          <w:sz w:val="12"/>
        </w:rPr>
        <w:t>cf-art-102-inc-I-ali-a</w:t>
      </w:r>
      <w:r>
        <w:rPr>
          <w:color w:val="003CA0"/>
          <w:sz w:val="12"/>
        </w:rPr>
        <w:t xml:space="preserve"> | ADI 4.620</w:t>
      </w:r>
      <w:r>
        <w:rPr>
          <w:color w:val="003CA0"/>
          <w:sz w:val="12"/>
        </w:rPr>
        <w:t xml:space="preserve"> | rel. Dias Toffoli</w:t>
      </w:r>
    </w:p>
    <w:p>
      <w:pPr>
        <w:ind w:left="288"/>
      </w:pPr>
      <w:r>
        <w:rPr>
          <w:color w:val="1E1E1E"/>
          <w:sz w:val="18"/>
        </w:rPr>
        <w:t>= ADI 4.620 AgR, rel. min. Dias Toffoli, j. 20-6-2012, P, DJE de 1º-8-2012 Estão sujeitos ao controle de constitucionalidade concentrado os atos normativos, expressões da função normativa, cujas espécies compreendem a função regulamentar (do Executivo), a função regimental (do Judiciário) e a função legislativa (do Legislativo). Os decretos que veiculam ato normativo também devem sujeitar-se ao controle de constitucionalidade exercido pelo STF. O Poder Legislativo não detém o monopólio da função normativa, mas apenas de uma parcela dela, a função legislativa.</w:t>
      </w:r>
    </w:p>
    <w:p>
      <w:pPr>
        <w:ind w:left="288"/>
      </w:pPr>
      <w:r>
        <w:rPr>
          <w:b/>
          <w:color w:val="003CA0"/>
          <w:sz w:val="16"/>
        </w:rPr>
        <w:t>[ADI 2.950 AgR, red. do ac. min. Eros Grau, j. 6-10-2004, P, DJ de 9-2-2007.]</w:t>
      </w:r>
    </w:p>
    <w:p>
      <w:pPr>
        <w:ind w:left="288"/>
      </w:pPr>
      <w:r>
        <w:rPr>
          <w:color w:val="8C8C8C"/>
          <w:sz w:val="12"/>
        </w:rPr>
        <w:t>cf-art-102-inc-I-ali-a</w:t>
      </w:r>
      <w:r>
        <w:rPr>
          <w:color w:val="003CA0"/>
          <w:sz w:val="12"/>
        </w:rPr>
        <w:t xml:space="preserve"> | ADI 2.159</w:t>
      </w:r>
    </w:p>
    <w:p>
      <w:pPr>
        <w:ind w:left="288"/>
      </w:pPr>
      <w:r>
        <w:rPr>
          <w:color w:val="1E1E1E"/>
          <w:sz w:val="18"/>
        </w:rPr>
        <w:t>A alteração substancial do texto constitucional em razão de emenda superveniente prejudica a análise da ação direta de inconstitucionalidade. O controle concentrado de constitucionalidade é feito com base no texto constitucional em vigor. A modificação do texto constitucional paradigma inviabiliza o prosseguimento da ação direta. Precedentes. Ação direta de inconstitucionalidade julgada prejudicada.</w:t>
      </w:r>
    </w:p>
    <w:p>
      <w:pPr>
        <w:ind w:left="288"/>
      </w:pPr>
      <w:r>
        <w:rPr>
          <w:b/>
          <w:color w:val="003CA0"/>
          <w:sz w:val="16"/>
        </w:rPr>
        <w:t>[ADI 2.159, red. do ac. min. Eros Grau, j. 12-8-2004, P, DJ de 7-12-2007.]</w:t>
      </w:r>
    </w:p>
    <w:p>
      <w:pPr>
        <w:ind w:left="288"/>
      </w:pPr>
      <w:r>
        <w:rPr>
          <w:color w:val="8C8C8C"/>
          <w:sz w:val="12"/>
        </w:rPr>
        <w:t>cf-art-102-inc-I-ali-a</w:t>
      </w:r>
      <w:r>
        <w:rPr>
          <w:color w:val="003CA0"/>
          <w:sz w:val="12"/>
        </w:rPr>
        <w:t xml:space="preserve"> | ADI 2.813</w:t>
      </w:r>
      <w:r>
        <w:rPr>
          <w:color w:val="003CA0"/>
          <w:sz w:val="12"/>
        </w:rPr>
        <w:t xml:space="preserve"> | rel. Cármen Lúcia</w:t>
      </w:r>
    </w:p>
    <w:p>
      <w:pPr>
        <w:ind w:left="288"/>
      </w:pPr>
      <w:r>
        <w:rPr>
          <w:color w:val="1E1E1E"/>
          <w:sz w:val="18"/>
        </w:rPr>
        <w:t>= ADI 2.813, rel. min. Cármen Lúcia, j. 1º-8-2011, P, DJE de 26-8-2011 Vide ADI 2.158 e ADI 2.189, rel. min. Dias Toffoli, j. 15-9-2010, P, DJE de 16-12-2010 Mostra-se adequado o controle concentrado de constitucionalidade quando a lei orçamentária revela contornos abstratos e autônomos, em abandono ao campo da eficácia concreta.</w:t>
      </w:r>
    </w:p>
    <w:p>
      <w:pPr>
        <w:ind w:left="288"/>
      </w:pPr>
      <w:r>
        <w:rPr>
          <w:b/>
          <w:color w:val="003CA0"/>
          <w:sz w:val="16"/>
        </w:rPr>
        <w:t>[ADI 2.925, red. do ac. min. Marco Aurélio, j. 19-12-2003, P, DJ de 4-3-2005.]</w:t>
      </w:r>
    </w:p>
    <w:p>
      <w:pPr>
        <w:ind w:left="288"/>
      </w:pPr>
      <w:r>
        <w:rPr>
          <w:color w:val="8C8C8C"/>
          <w:sz w:val="12"/>
        </w:rPr>
        <w:t>cf-art-102-inc-I-ali-a</w:t>
      </w:r>
      <w:r>
        <w:rPr>
          <w:color w:val="003CA0"/>
          <w:sz w:val="12"/>
        </w:rPr>
        <w:t xml:space="preserve"> | ADI 2.844</w:t>
      </w:r>
      <w:r>
        <w:rPr>
          <w:color w:val="003CA0"/>
          <w:sz w:val="12"/>
        </w:rPr>
        <w:t xml:space="preserve"> | rel. Sepúlveda Pertence</w:t>
      </w:r>
    </w:p>
    <w:p>
      <w:pPr>
        <w:ind w:left="288"/>
      </w:pPr>
      <w:r>
        <w:rPr>
          <w:color w:val="1E1E1E"/>
          <w:sz w:val="18"/>
        </w:rPr>
        <w:t>Ação direta de inconstitucionalidade: cumulação objetiva de arguições de inconstitucionalidade de atos normativos de entidades estatais diversas: hipóteses excepcionais de admissibilidade: aditamento recebido. Em princípio, não é de admitir, no mesmo processo de ação direta, a cumulação de arguições de inconstitucionalidade de atos normativos emanados de diferentes entes da Federação, ainda quando lhes seja comum o fundamento jurídico invocado. Há, no entanto, duas hipóteses pelo menos em que a cumulação objetiva considerada, mais que facultada, é necessária: a) a primeira é aquela em que, dad</w:t>
      </w:r>
    </w:p>
    <w:p>
      <w:pPr>
        <w:ind w:left="288"/>
      </w:pPr>
      <w:r>
        <w:rPr>
          <w:b/>
          <w:color w:val="003CA0"/>
          <w:sz w:val="16"/>
        </w:rPr>
        <w:t>[ADI 2.844 QO, rel. min. Sepúlveda Pertence, j. 24-4-2003, P, DJ de 27-6-2003.]</w:t>
      </w:r>
    </w:p>
    <w:p>
      <w:pPr>
        <w:ind w:left="288"/>
      </w:pPr>
      <w:r>
        <w:rPr>
          <w:color w:val="8C8C8C"/>
          <w:sz w:val="12"/>
        </w:rPr>
        <w:t>cf-art-102-inc-I-ali-a</w:t>
      </w:r>
      <w:r>
        <w:rPr>
          <w:color w:val="003CA0"/>
          <w:sz w:val="12"/>
        </w:rPr>
        <w:t xml:space="preserve"> | ADI 2.695</w:t>
      </w:r>
      <w:r>
        <w:rPr>
          <w:color w:val="003CA0"/>
          <w:sz w:val="12"/>
        </w:rPr>
        <w:t xml:space="preserve"> | rel. Moreira Alves</w:t>
      </w:r>
    </w:p>
    <w:p>
      <w:pPr>
        <w:ind w:left="288"/>
      </w:pPr>
      <w:r>
        <w:rPr>
          <w:color w:val="1E1E1E"/>
          <w:sz w:val="18"/>
        </w:rPr>
        <w:t>Arguição de inconstitucionalidade das alterações introduzidas pela MP 45, de 25-6-2002, nos §§ 6º, 7º e 8º do art. 21 da Lei 9.650, de 27-5-1998. Aquilo a que visa a presente ação direta de inconstitucionalidade é resolver, em abstrato, questões que podem dar margem a discussão, em casos concretos, sobre eventual violação, pelos dispositivos legais atacados, de decisão judicial que foi proferida pela Justiça do Trabalho e depois rescindida em ação rescisória julgada procedente, rescisão essa cujo alcance o requerente pretende restringir às parcelas vincendas que não foram pagas espontaneamente</w:t>
      </w:r>
    </w:p>
    <w:p>
      <w:pPr>
        <w:ind w:left="288"/>
      </w:pPr>
      <w:r>
        <w:rPr>
          <w:b/>
          <w:color w:val="003CA0"/>
          <w:sz w:val="16"/>
        </w:rPr>
        <w:t>[ADI 2.695, rel. min. Moreira Alves, j. 3-4-2003, P, DJ de 1º-8-2003.]</w:t>
      </w:r>
    </w:p>
    <w:p>
      <w:pPr>
        <w:ind w:left="288"/>
      </w:pPr>
      <w:r>
        <w:rPr>
          <w:color w:val="8C8C8C"/>
          <w:sz w:val="12"/>
        </w:rPr>
        <w:t>cf-art-102-inc-I-ali-a</w:t>
      </w:r>
      <w:r>
        <w:rPr>
          <w:color w:val="003CA0"/>
          <w:sz w:val="12"/>
        </w:rPr>
        <w:t xml:space="preserve"> | ADI 2.551</w:t>
      </w:r>
      <w:r>
        <w:rPr>
          <w:color w:val="003CA0"/>
          <w:sz w:val="12"/>
        </w:rPr>
        <w:t xml:space="preserve"> | rel. Celso de Mello</w:t>
      </w:r>
    </w:p>
    <w:p>
      <w:pPr>
        <w:ind w:left="288"/>
      </w:pPr>
      <w:r>
        <w:rPr>
          <w:color w:val="1E1E1E"/>
          <w:sz w:val="18"/>
        </w:rPr>
        <w:t>O controle normativo de constitucionalidade qualifica-se como típico processo de caráter objetivo, vocacionado, exclusivamente, à defesa, em tese, da harmonia do sistema constitucional. A instauração desse processo objetivo tem por função instrumental viabilizar o julgamento da validade abstrata do ato estatal em face da Constituição da República. O exame de relações jurídicas concretas e individuais constitui matéria juridicamente estranha ao domínio do processo de controle concentrado de constitucionalidade. A tutela jurisdicional de situações individuais, uma vez suscitada a controvérsia de</w:t>
      </w:r>
    </w:p>
    <w:p>
      <w:pPr>
        <w:ind w:left="288"/>
      </w:pPr>
      <w:r>
        <w:rPr>
          <w:b/>
          <w:color w:val="003CA0"/>
          <w:sz w:val="16"/>
        </w:rPr>
        <w:t>[ADI 2.551 MC-QO, rel. min. Celso de Mello, j. 2-4-2003, P, DJ de 20-4-2006.]</w:t>
      </w:r>
    </w:p>
    <w:p>
      <w:pPr>
        <w:ind w:left="288"/>
      </w:pPr>
      <w:r>
        <w:rPr>
          <w:color w:val="8C8C8C"/>
          <w:sz w:val="12"/>
        </w:rPr>
        <w:t>cf-art-102-inc-I-ali-a</w:t>
      </w:r>
      <w:r>
        <w:rPr>
          <w:color w:val="003CA0"/>
          <w:sz w:val="12"/>
        </w:rPr>
        <w:t xml:space="preserve"> | ADI 2.574</w:t>
      </w:r>
      <w:r>
        <w:rPr>
          <w:color w:val="003CA0"/>
          <w:sz w:val="12"/>
        </w:rPr>
        <w:t xml:space="preserve"> | rel. Carlos Velloso</w:t>
      </w:r>
    </w:p>
    <w:p>
      <w:pPr>
        <w:ind w:left="288"/>
      </w:pPr>
      <w:r>
        <w:rPr>
          <w:color w:val="1E1E1E"/>
          <w:sz w:val="18"/>
        </w:rPr>
        <w:t>Ação direta de inconstitucionalidade: efeito repristinatório: norma anterior com o mesmo vício de inconstitucionalidade. No caso de ser declarada a inconstitucionalidade da norma objeto da causa, ter-se-ia a repristinação de preceito anterior com o mesmo vício de inconstitucionalidade. Neste caso, e não impugnada a norma anterior, não é de se conhecer da ação direta de inconstitucionalidade.</w:t>
      </w:r>
    </w:p>
    <w:p>
      <w:pPr>
        <w:ind w:left="288"/>
      </w:pPr>
      <w:r>
        <w:rPr>
          <w:b/>
          <w:color w:val="003CA0"/>
          <w:sz w:val="16"/>
        </w:rPr>
        <w:t>[ADI 2.574, rel. min. Carlos Velloso, j. 2-10-2002, P, DJ de 29-8-2003.]</w:t>
      </w:r>
    </w:p>
    <w:p>
      <w:pPr>
        <w:ind w:left="288"/>
      </w:pPr>
      <w:r>
        <w:rPr>
          <w:color w:val="8C8C8C"/>
          <w:sz w:val="12"/>
        </w:rPr>
        <w:t>cf-art-102-inc-I-ali-a</w:t>
      </w:r>
      <w:r>
        <w:rPr>
          <w:color w:val="003CA0"/>
          <w:sz w:val="12"/>
        </w:rPr>
        <w:t xml:space="preserve"> | ADI 1.000</w:t>
      </w:r>
      <w:r>
        <w:rPr>
          <w:color w:val="003CA0"/>
          <w:sz w:val="12"/>
        </w:rPr>
        <w:t xml:space="preserve"> | rel. Moreira Alves</w:t>
      </w:r>
    </w:p>
    <w:p>
      <w:pPr>
        <w:ind w:left="288"/>
      </w:pPr>
      <w:r>
        <w:rPr>
          <w:color w:val="1E1E1E"/>
          <w:sz w:val="18"/>
        </w:rPr>
        <w:t>(...) não cabe ação direta de inconstitucionalidade que tenha por objeto norma já ab-rogada ou derrogada, independentemente de ter, ou não, produzido efeitos concretos.</w:t>
      </w:r>
    </w:p>
    <w:p>
      <w:pPr>
        <w:ind w:left="288"/>
      </w:pPr>
      <w:r>
        <w:rPr>
          <w:b/>
          <w:color w:val="003CA0"/>
          <w:sz w:val="16"/>
        </w:rPr>
        <w:t>[ADI 1.000 QO, rel. min. Moreira Alves, j. 5-6-2002, P, DJ de 9-8-2002.]</w:t>
      </w:r>
    </w:p>
    <w:p>
      <w:pPr>
        <w:ind w:left="288"/>
      </w:pPr>
      <w:r>
        <w:rPr>
          <w:color w:val="8C8C8C"/>
          <w:sz w:val="12"/>
        </w:rPr>
        <w:t>cf-art-102-inc-I-ali-a</w:t>
      </w:r>
      <w:r>
        <w:rPr>
          <w:color w:val="003CA0"/>
          <w:sz w:val="12"/>
        </w:rPr>
        <w:t xml:space="preserve"> | ADI 1.503</w:t>
      </w:r>
      <w:r>
        <w:rPr>
          <w:color w:val="003CA0"/>
          <w:sz w:val="12"/>
        </w:rPr>
        <w:t xml:space="preserve"> | rel. Maurício Corrêa</w:t>
      </w:r>
    </w:p>
    <w:p>
      <w:pPr>
        <w:ind w:left="288"/>
      </w:pPr>
      <w:r>
        <w:rPr>
          <w:color w:val="1E1E1E"/>
          <w:sz w:val="18"/>
        </w:rPr>
        <w:t>À primeira vista, poderia parecer que o inevitável confronto da norma regimental com a Loman obstaria o controle concentrado do dispositivo impugnado por implicar exame de legalidade e não de constitucionalidade. Contudo, o problema é focalizado sob prisma diferente. Cuida-se de examinar se o Tribunal de Justiça, ao dispor em seu Regimento Interno sobre eleição de seu presidente e dos demais titulares de cargos de direção, teria usurpado competência do Poder Legislativo de disciplinar a matéria em lei complementar.</w:t>
      </w:r>
    </w:p>
    <w:p>
      <w:pPr>
        <w:ind w:left="288"/>
      </w:pPr>
      <w:r>
        <w:rPr>
          <w:b/>
          <w:color w:val="003CA0"/>
          <w:sz w:val="16"/>
        </w:rPr>
        <w:t>[ADI 1.503, voto do rel. min. Maurício Corrêa, j. 29-3-2001, P, DJ de 18-5-2001.]</w:t>
      </w:r>
    </w:p>
    <w:p>
      <w:pPr>
        <w:ind w:left="288"/>
      </w:pPr>
      <w:r>
        <w:rPr>
          <w:color w:val="8C8C8C"/>
          <w:sz w:val="12"/>
        </w:rPr>
        <w:t>cf-art-102-inc-I-ali-a</w:t>
      </w:r>
      <w:r>
        <w:rPr>
          <w:color w:val="003CA0"/>
          <w:sz w:val="12"/>
        </w:rPr>
        <w:t xml:space="preserve"> | ADI 2.321</w:t>
      </w:r>
      <w:r>
        <w:rPr>
          <w:color w:val="003CA0"/>
          <w:sz w:val="12"/>
        </w:rPr>
        <w:t xml:space="preserve"> | rel. Celso de Mello</w:t>
      </w:r>
    </w:p>
    <w:p>
      <w:pPr>
        <w:ind w:left="288"/>
      </w:pPr>
      <w:r>
        <w:rPr>
          <w:color w:val="1E1E1E"/>
          <w:sz w:val="18"/>
        </w:rPr>
        <w:t>O presidente do TSE, embora prestando informações no processo, não está impedido de participar do julgamento de ação direta na qual tenha sido questionada a constitucionalidade, in abstracto, de atos ou de resoluções emanados daquela egrégia Corte judiciária. Também não incidem nessa situação de incompatibilidade processual, considerado o perfil objetivo que tipifica o controle normativo abstrato, os ministros do STF que hajam participado, como integrantes do TSE, da formulação e edição, por este, de atos ou resoluções que tenham sido contestados, quanto à sua validade jurídica, em sede de fis</w:t>
      </w:r>
    </w:p>
    <w:p>
      <w:pPr>
        <w:ind w:left="288"/>
      </w:pPr>
      <w:r>
        <w:rPr>
          <w:b/>
          <w:color w:val="003CA0"/>
          <w:sz w:val="16"/>
        </w:rPr>
        <w:t>[ADI 2.321 MC, rel. min. Celso de Mello, j. 25-10-2000, P, DJ de 10-6-2005.]</w:t>
      </w:r>
    </w:p>
    <w:p>
      <w:pPr>
        <w:ind w:left="288"/>
      </w:pPr>
      <w:r>
        <w:rPr>
          <w:color w:val="8C8C8C"/>
          <w:sz w:val="12"/>
        </w:rPr>
        <w:t>cf-art-102-inc-I-ali-a</w:t>
      </w:r>
      <w:r>
        <w:rPr>
          <w:color w:val="003CA0"/>
          <w:sz w:val="12"/>
        </w:rPr>
        <w:t xml:space="preserve"> | ADI 3.345</w:t>
      </w:r>
      <w:r>
        <w:rPr>
          <w:color w:val="003CA0"/>
          <w:sz w:val="12"/>
        </w:rPr>
        <w:t xml:space="preserve"> | rel. Celso de Mello</w:t>
      </w:r>
    </w:p>
    <w:p>
      <w:pPr>
        <w:ind w:left="288"/>
      </w:pPr>
      <w:r>
        <w:rPr>
          <w:color w:val="1E1E1E"/>
          <w:sz w:val="18"/>
        </w:rPr>
        <w:t>= ADI 3.345, rel. min. Celso de Mello, j. 25-8-2005, P, DJE de 20-8-2010 Ação direta de inconstitucionalidade e emenda constitucional de vigência protraída: prejuízo inexistente. Proposta e ação direta contra emenda de vigência imediata à Constituição de Estado, relativa a limites da remuneração dos vereadores, não a prejudica por ora a superveniência da EC 25/2000 à Constituição da República, que, embora cuide da matéria, só entrará em vigor em 2001, quando do início da nova legislatura nos Municípios.</w:t>
      </w:r>
    </w:p>
    <w:p>
      <w:pPr>
        <w:ind w:left="288"/>
      </w:pPr>
      <w:r>
        <w:rPr>
          <w:b/>
          <w:color w:val="003CA0"/>
          <w:sz w:val="16"/>
        </w:rPr>
        <w:t>[ADI 2.112 MC, rel. min. Sepúlveda Pertence, j. 11-5-2000, P, DJ de 18-5-2001.]</w:t>
      </w:r>
    </w:p>
    <w:p>
      <w:pPr>
        <w:ind w:left="288"/>
      </w:pPr>
      <w:r>
        <w:rPr>
          <w:color w:val="8C8C8C"/>
          <w:sz w:val="12"/>
        </w:rPr>
        <w:t>cf-art-102-inc-I-ali-a</w:t>
      </w:r>
      <w:r>
        <w:rPr>
          <w:color w:val="003CA0"/>
          <w:sz w:val="12"/>
        </w:rPr>
        <w:t xml:space="preserve"> | ADI 2.174</w:t>
      </w:r>
      <w:r>
        <w:rPr>
          <w:color w:val="003CA0"/>
          <w:sz w:val="12"/>
        </w:rPr>
        <w:t xml:space="preserve"> | rel. Maurício Corrêa</w:t>
      </w:r>
    </w:p>
    <w:p>
      <w:pPr>
        <w:ind w:left="288"/>
      </w:pPr>
      <w:r>
        <w:rPr>
          <w:color w:val="1E1E1E"/>
          <w:sz w:val="18"/>
        </w:rPr>
        <w:t>Impugnação isolada apenas de partes de um sistema legal, interligadas ao seu conjunto, torna inviável o conhecimento da ação direta de inconstitucionalidade, dado que, reconhecida a inconstitucionalidade parcial de alguns preceitos, os outros perdem o seu sentido. Não se conhece da ação direta de inconstitucionalidade, se a inicial deixa de proceder ao cotejo analítico de todas as suas disposições, tendo em vista os dispositivos constitucionais apontados como violados.</w:t>
      </w:r>
    </w:p>
    <w:p>
      <w:pPr>
        <w:ind w:left="288"/>
      </w:pPr>
      <w:r>
        <w:rPr>
          <w:b/>
          <w:color w:val="003CA0"/>
          <w:sz w:val="16"/>
        </w:rPr>
        <w:t>[ADI 2.174, rel. min. Maurício Corrêa, j. 14-4-2000, P, DJ de 7-3-2003.]</w:t>
      </w:r>
    </w:p>
    <w:p>
      <w:pPr>
        <w:ind w:left="288"/>
      </w:pPr>
      <w:r>
        <w:rPr>
          <w:color w:val="8C8C8C"/>
          <w:sz w:val="12"/>
        </w:rPr>
        <w:t>cf-art-102-inc-I-ali-a</w:t>
      </w:r>
      <w:r>
        <w:rPr>
          <w:color w:val="003CA0"/>
          <w:sz w:val="12"/>
        </w:rPr>
        <w:t xml:space="preserve"> | ADI 2.105</w:t>
      </w:r>
      <w:r>
        <w:rPr>
          <w:color w:val="003CA0"/>
          <w:sz w:val="12"/>
        </w:rPr>
        <w:t xml:space="preserve"> | rel. Celso de Mello</w:t>
      </w:r>
    </w:p>
    <w:p>
      <w:pPr>
        <w:ind w:left="288"/>
      </w:pPr>
      <w:r>
        <w:rPr>
          <w:color w:val="1E1E1E"/>
          <w:sz w:val="18"/>
        </w:rPr>
        <w:t>A eficácia ex tunc da medida cautelar não se presume, pois depende de expressa determinação constante da decisão que a defere, em sede de ação direta de inconstitucionalidade. A medida cautelar, em ação direta de inconstitucionalidade, reveste-se, ordinariamente, de eficácia ex nunc, operando, portanto, a partir do momento em que o STF a defere (RTJ 124/80). Excepcionalmente, no entanto, e para que não se frustrem os seus objetivos, a medida cautelar poderá projetar-se com eficácia ex tunc, em caráter retroativo, com repercussão sobre situações pretéritas (RTJ 138/86). Para que se outorgue efi</w:t>
      </w:r>
    </w:p>
    <w:p>
      <w:pPr>
        <w:ind w:left="288"/>
      </w:pPr>
      <w:r>
        <w:rPr>
          <w:b/>
          <w:color w:val="003CA0"/>
          <w:sz w:val="16"/>
        </w:rPr>
        <w:t>[ADI 2.105 MC, rel. min. Celso de Mello, j. 23-3-2000, P, DJ de 28-4-2000.]</w:t>
      </w:r>
    </w:p>
    <w:p>
      <w:pPr>
        <w:ind w:left="288"/>
      </w:pPr>
      <w:r>
        <w:rPr>
          <w:color w:val="8C8C8C"/>
          <w:sz w:val="12"/>
        </w:rPr>
        <w:t>cf-art-102-inc-I-ali-a</w:t>
      </w:r>
      <w:r>
        <w:rPr>
          <w:color w:val="003CA0"/>
          <w:sz w:val="12"/>
        </w:rPr>
        <w:t xml:space="preserve"> | ADI 1.749</w:t>
      </w:r>
    </w:p>
    <w:p>
      <w:pPr>
        <w:ind w:left="288"/>
      </w:pPr>
      <w:r>
        <w:rPr>
          <w:color w:val="1E1E1E"/>
          <w:sz w:val="18"/>
        </w:rPr>
        <w:t>Declaração de inconstitucionalidade que não se mostra possível, porque se atacaria o acessório e não o principal.</w:t>
      </w:r>
    </w:p>
    <w:p>
      <w:pPr>
        <w:ind w:left="288"/>
      </w:pPr>
      <w:r>
        <w:rPr>
          <w:b/>
          <w:color w:val="003CA0"/>
          <w:sz w:val="16"/>
        </w:rPr>
        <w:t>[ADI 1.749, red. do ac. min. Nelson Jobim, j. 25-11-1999, P, DJ de 15-4-2005.]</w:t>
      </w:r>
    </w:p>
    <w:p>
      <w:pPr>
        <w:ind w:left="288"/>
      </w:pPr>
      <w:r>
        <w:rPr>
          <w:color w:val="8C8C8C"/>
          <w:sz w:val="12"/>
        </w:rPr>
        <w:t>cf-art-102-inc-I-ali-a</w:t>
      </w:r>
      <w:r>
        <w:rPr>
          <w:color w:val="003CA0"/>
          <w:sz w:val="12"/>
        </w:rPr>
        <w:t xml:space="preserve"> | ADI 1.949</w:t>
      </w:r>
      <w:r>
        <w:rPr>
          <w:color w:val="003CA0"/>
          <w:sz w:val="12"/>
        </w:rPr>
        <w:t xml:space="preserve"> | rel. Sepúlveda Pertence</w:t>
      </w:r>
    </w:p>
    <w:p>
      <w:pPr>
        <w:ind w:left="288"/>
      </w:pPr>
      <w:r>
        <w:rPr>
          <w:color w:val="1E1E1E"/>
          <w:sz w:val="18"/>
        </w:rPr>
        <w:t>Ação direta de inconstitucionalidade: eficácia da suspensão cautelar da norma arguida de inconstitucional, que alcança, no caso, o dispositivo da lei primitiva, substancialmente idêntico. Ação direta de inconstitucionalidade e impossibilidade jurídica do pedido: não se declara a inconstitucionalidade parcial quando haja inversão clara do sentido da lei, dado que não é permitido ao Poder Judiciário agir como legislador positivo: hipótese excepcional, contudo, em que se faculta a emenda da inicial para ampliar o objeto do pedido.</w:t>
      </w:r>
    </w:p>
    <w:p>
      <w:pPr>
        <w:ind w:left="288"/>
      </w:pPr>
      <w:r>
        <w:rPr>
          <w:b/>
          <w:color w:val="003CA0"/>
          <w:sz w:val="16"/>
        </w:rPr>
        <w:t>[ADI 1.949 MC, rel. min. Sepúlveda Pertence, j. 18-11-1999, P, DJ de 25-11-2005.]</w:t>
      </w:r>
    </w:p>
    <w:p>
      <w:pPr>
        <w:ind w:left="288"/>
      </w:pPr>
      <w:r>
        <w:rPr>
          <w:color w:val="8C8C8C"/>
          <w:sz w:val="12"/>
        </w:rPr>
        <w:t>cf-art-102-inc-I-ali-a</w:t>
      </w:r>
      <w:r>
        <w:rPr>
          <w:color w:val="003CA0"/>
          <w:sz w:val="12"/>
        </w:rPr>
        <w:t xml:space="preserve"> | ADI 939</w:t>
      </w:r>
      <w:r>
        <w:rPr>
          <w:color w:val="003CA0"/>
          <w:sz w:val="12"/>
        </w:rPr>
        <w:t xml:space="preserve"> | rel. Sydney Sanches</w:t>
      </w:r>
    </w:p>
    <w:p>
      <w:pPr>
        <w:ind w:left="288"/>
      </w:pPr>
      <w:r>
        <w:rPr>
          <w:color w:val="1E1E1E"/>
          <w:sz w:val="18"/>
        </w:rPr>
        <w:t>O STF já assentou o entendimento de que é admissível a ação direta de inconstitucionalidade de emenda constitucional, quando se alega, na inicial, que esta contraria princípios imutáveis ou as chamadas cláusulas pétreas da Constituição originária (art. 60, § 4º, da CF). Precedente: ADI  939 (RTJ 151/755).</w:t>
      </w:r>
    </w:p>
    <w:p>
      <w:pPr>
        <w:ind w:left="288"/>
      </w:pPr>
      <w:r>
        <w:rPr>
          <w:b/>
          <w:color w:val="003CA0"/>
          <w:sz w:val="16"/>
        </w:rPr>
        <w:t>[ADI 1.946 MC, rel. min. Sydney Sanches, j. 29-4-1999, P, DJ de 14-9-2001.]</w:t>
      </w:r>
    </w:p>
    <w:p>
      <w:pPr>
        <w:ind w:left="288"/>
      </w:pPr>
      <w:r>
        <w:rPr>
          <w:color w:val="8C8C8C"/>
          <w:sz w:val="12"/>
        </w:rPr>
        <w:t>cf-art-102-inc-I-ali-a</w:t>
      </w:r>
      <w:r>
        <w:rPr>
          <w:color w:val="003CA0"/>
          <w:sz w:val="12"/>
        </w:rPr>
        <w:t xml:space="preserve"> | ADI 4.307</w:t>
      </w:r>
      <w:r>
        <w:rPr>
          <w:color w:val="003CA0"/>
          <w:sz w:val="12"/>
        </w:rPr>
        <w:t xml:space="preserve"> | rel. Cármen Lúcia</w:t>
      </w:r>
    </w:p>
    <w:p>
      <w:pPr>
        <w:ind w:left="288"/>
      </w:pPr>
      <w:r>
        <w:rPr>
          <w:color w:val="1E1E1E"/>
          <w:sz w:val="18"/>
        </w:rPr>
        <w:t>= ADI 4.307, rel. min. Cármen Lúcia, j. 11-4-2013, P, DJE de 1º-10-2013 Possuindo o decreto característica de ato autônomo abstrato, adequado é o ataque da medida na via da ação direta de inconstitucionalidade. Isso ocorre relativamente a ato do Poder Executivo que, a pretexto de compatibilizar a liberdade de reunião e de expressão com o direito ao trabalho em ambiente de tranquilidade, acaba por emprestar à Carta regulamentação imprópria, sob os ângulos formal e material.</w:t>
      </w:r>
    </w:p>
    <w:p>
      <w:pPr>
        <w:ind w:left="288"/>
      </w:pPr>
      <w:r>
        <w:rPr>
          <w:b/>
          <w:color w:val="003CA0"/>
          <w:sz w:val="16"/>
        </w:rPr>
        <w:t>[ADI 1.969 MC, rel. min. Marco Aurélio, j. 24-3-1999, P, DJ de 5-3-2004.]</w:t>
      </w:r>
    </w:p>
    <w:p>
      <w:pPr>
        <w:ind w:left="288"/>
      </w:pPr>
      <w:r>
        <w:rPr>
          <w:color w:val="8C8C8C"/>
          <w:sz w:val="12"/>
        </w:rPr>
        <w:t>cf-art-102-inc-I-ali-a</w:t>
      </w:r>
      <w:r>
        <w:rPr>
          <w:color w:val="003CA0"/>
          <w:sz w:val="12"/>
        </w:rPr>
        <w:t xml:space="preserve"> | ADI 1.614</w:t>
      </w:r>
    </w:p>
    <w:p>
      <w:pPr>
        <w:ind w:left="288"/>
      </w:pPr>
      <w:r>
        <w:rPr>
          <w:color w:val="1E1E1E"/>
          <w:sz w:val="18"/>
        </w:rPr>
        <w:t>Resolução administrativa do TRT 3ª Região. Natureza normativa da resolução. Atribuição do Congresso Nacional para ato normativo que aumenta vencimentos de servidor. Inconstitucionalidade da resolução configurada. Precedentes do STF.</w:t>
      </w:r>
    </w:p>
    <w:p>
      <w:pPr>
        <w:ind w:left="288"/>
      </w:pPr>
      <w:r>
        <w:rPr>
          <w:b/>
          <w:color w:val="003CA0"/>
          <w:sz w:val="16"/>
        </w:rPr>
        <w:t>[ADI 1.614, red. do ac. min. Nelson Jobim, j. 18-12-1998, P, DJ de 6-8-1999.]</w:t>
      </w:r>
    </w:p>
    <w:p>
      <w:pPr>
        <w:ind w:left="288"/>
      </w:pPr>
      <w:r>
        <w:rPr>
          <w:color w:val="8C8C8C"/>
          <w:sz w:val="12"/>
        </w:rPr>
        <w:t>cf-art-102-inc-I-ali-a</w:t>
      </w:r>
      <w:r>
        <w:rPr>
          <w:color w:val="003CA0"/>
          <w:sz w:val="12"/>
        </w:rPr>
        <w:t xml:space="preserve"> | ADI 2.104</w:t>
      </w:r>
      <w:r>
        <w:rPr>
          <w:color w:val="003CA0"/>
          <w:sz w:val="12"/>
        </w:rPr>
        <w:t xml:space="preserve"> | rel. Eros Grau</w:t>
      </w:r>
    </w:p>
    <w:p>
      <w:pPr>
        <w:ind w:left="288"/>
      </w:pPr>
      <w:r>
        <w:rPr>
          <w:color w:val="1E1E1E"/>
          <w:sz w:val="18"/>
        </w:rPr>
        <w:t>= ADI 2.104, rel. min. Eros Grau, j. 21-11-2007, P, DJE de 22-2-2008 Em se tratando de lei municipal, o controle de constitucionalidade se faz, pelo sistema difuso – e não concentrado – ou seja, apenas no julgamento de casos concretos, com eficácia inter partes e não erga omnes, quando confrontado o ato normativo local com a CF. O controle de constitucionalidade concentrado, nesse caso, somente será possível, em face da Constituição dos Estados, se ocorrente a hipótese prevista no § 2º do art. 125 da CF.</w:t>
      </w:r>
    </w:p>
    <w:p>
      <w:pPr>
        <w:ind w:left="288"/>
      </w:pPr>
      <w:r>
        <w:rPr>
          <w:b/>
          <w:color w:val="003CA0"/>
          <w:sz w:val="16"/>
        </w:rPr>
        <w:t>[ADI 209, rel. min. Sydney Sanches, j. 20-5-1998, P, DJ de 11-9-1998.]</w:t>
      </w:r>
    </w:p>
    <w:p>
      <w:pPr>
        <w:ind w:left="288"/>
      </w:pPr>
      <w:r>
        <w:rPr>
          <w:color w:val="8C8C8C"/>
          <w:sz w:val="12"/>
        </w:rPr>
        <w:t>cf-art-102-inc-I-ali-a</w:t>
      </w:r>
      <w:r>
        <w:rPr>
          <w:color w:val="003CA0"/>
          <w:sz w:val="12"/>
        </w:rPr>
        <w:t xml:space="preserve"> | ADI 5.089</w:t>
      </w:r>
      <w:r>
        <w:rPr>
          <w:color w:val="003CA0"/>
          <w:sz w:val="12"/>
        </w:rPr>
        <w:t xml:space="preserve"> | rel. Celso de Mello</w:t>
      </w:r>
    </w:p>
    <w:p>
      <w:pPr>
        <w:ind w:left="288"/>
      </w:pPr>
      <w:r>
        <w:rPr>
          <w:color w:val="1E1E1E"/>
          <w:sz w:val="18"/>
        </w:rPr>
        <w:t>= ADI 5.089 AgR, rel. min. Celso de Mello, j. 16-10-2014, P, DJE de 6-2-2015 (...) não cabe ação direta de inconstitucionalidade para se examinar a ocorrência, ou não, de invasão de competência entre a União Federal e os Estados-membros, porquanto, nesse caso, para a análise da inconstitucionalidade arguida, há necessidade do confronto entre leis infraconstitucionais.</w:t>
      </w:r>
    </w:p>
    <w:p>
      <w:pPr>
        <w:ind w:left="288"/>
      </w:pPr>
      <w:r>
        <w:rPr>
          <w:b/>
          <w:color w:val="003CA0"/>
          <w:sz w:val="16"/>
        </w:rPr>
        <w:t>[ADI 384, rel. min. Moreira Alves, j. 20-11-1997, P, DJ de 21-2-2003.]</w:t>
      </w:r>
    </w:p>
    <w:p>
      <w:pPr>
        <w:ind w:left="288"/>
      </w:pPr>
      <w:r>
        <w:rPr>
          <w:color w:val="8C8C8C"/>
          <w:sz w:val="12"/>
        </w:rPr>
        <w:t>cf-art-102-inc-I-ali-a</w:t>
      </w:r>
      <w:r>
        <w:rPr>
          <w:color w:val="003CA0"/>
          <w:sz w:val="12"/>
        </w:rPr>
        <w:t xml:space="preserve"> | ADI 128</w:t>
      </w:r>
      <w:r>
        <w:rPr>
          <w:color w:val="003CA0"/>
          <w:sz w:val="12"/>
        </w:rPr>
        <w:t xml:space="preserve"> | rel. Cármen Lúcia</w:t>
      </w:r>
    </w:p>
    <w:p>
      <w:pPr>
        <w:ind w:left="288"/>
      </w:pPr>
      <w:r>
        <w:rPr>
          <w:color w:val="1E1E1E"/>
          <w:sz w:val="18"/>
        </w:rPr>
        <w:t>= ADI 128, rel. min. Cármen Lúcia, j. 2-6-2010, P, DJE de 15-9-2011 (...) O Poder Judiciário – fundado na supremacia da Constituição da República – dispõe de competência, para, quer em sede de fiscalização abstrata, quer no âmbito do controle difuso, efetuar o exame de constitucionalidade dos tratados ou convenções internacionais já incorporados ao sistema de direito positivo interno.</w:t>
      </w:r>
    </w:p>
    <w:p>
      <w:pPr>
        <w:ind w:left="288"/>
      </w:pPr>
      <w:r>
        <w:rPr>
          <w:b/>
          <w:color w:val="003CA0"/>
          <w:sz w:val="16"/>
        </w:rPr>
        <w:t>[ADI 1.480 MC, rel. min. Celso de Mello, j. 4-9-1997, P, DJ de 18-5-2001.]</w:t>
      </w:r>
    </w:p>
    <w:p>
      <w:pPr>
        <w:ind w:left="288"/>
      </w:pPr>
      <w:r>
        <w:rPr>
          <w:color w:val="8C8C8C"/>
          <w:sz w:val="12"/>
        </w:rPr>
        <w:t>cf-art-102-inc-I-ali-a</w:t>
      </w:r>
      <w:r>
        <w:rPr>
          <w:color w:val="003CA0"/>
          <w:sz w:val="12"/>
        </w:rPr>
        <w:t xml:space="preserve"> | ADI 1.507</w:t>
      </w:r>
      <w:r>
        <w:rPr>
          <w:color w:val="003CA0"/>
          <w:sz w:val="12"/>
        </w:rPr>
        <w:t xml:space="preserve"> | rel. Carlos Velloso</w:t>
      </w:r>
    </w:p>
    <w:p>
      <w:pPr>
        <w:ind w:left="288"/>
      </w:pPr>
      <w:r>
        <w:rPr>
          <w:color w:val="1E1E1E"/>
          <w:sz w:val="18"/>
        </w:rPr>
        <w:t>Tem legitimidade constitucional a atribuição conferida ao relator para arquivar ou negar seguimento a pedido ou recurso intempestivo, incabível ou improcedente e, ainda, quando contrariar a jurisprudência predominante do Tribunal ou for evidente a sua incompetência (RISTF, art. 21, § 1º; Lei 8.038/1990, art. 38), desde que, mediante recurso – agravo regimental, por exemplo – possam as decisões ser submetidas ao controle do colegiado.</w:t>
      </w:r>
    </w:p>
    <w:p>
      <w:pPr>
        <w:ind w:left="288"/>
      </w:pPr>
      <w:r>
        <w:rPr>
          <w:b/>
          <w:color w:val="003CA0"/>
          <w:sz w:val="16"/>
        </w:rPr>
        <w:t>[ADI 1.507 MC-AgR, rel. min. Carlos Velloso, j. 3-2-1997, P, DJ de 6-6-1997.]</w:t>
      </w:r>
    </w:p>
    <w:p>
      <w:pPr>
        <w:ind w:left="288"/>
      </w:pPr>
      <w:r>
        <w:rPr>
          <w:color w:val="8C8C8C"/>
          <w:sz w:val="12"/>
        </w:rPr>
        <w:t>cf-art-102-inc-I-ali-a</w:t>
      </w:r>
      <w:r>
        <w:rPr>
          <w:color w:val="003CA0"/>
          <w:sz w:val="12"/>
        </w:rPr>
        <w:t xml:space="preserve"> | RCL 425.</w:t>
      </w:r>
      <w:r>
        <w:rPr>
          <w:color w:val="003CA0"/>
          <w:sz w:val="12"/>
        </w:rPr>
        <w:t xml:space="preserve"> | rel. Moreira Alves</w:t>
      </w:r>
    </w:p>
    <w:p>
      <w:pPr>
        <w:ind w:left="288"/>
      </w:pPr>
      <w:r>
        <w:rPr>
          <w:color w:val="1E1E1E"/>
          <w:sz w:val="18"/>
        </w:rPr>
        <w:t>Rejeição das preliminares de litispendência e de continência, porquanto, quando tramitam paralelamente duas ações diretas de inconstitucionalidade, uma no tribunal de justiça local e outra no STF, contra a mesma lei estadual impugnada em face de princípios constitucionais estaduais que são reprodução de princípios da CF, suspende-se o curso da ação direta proposta perante o tribunal estadual até o julgamento final da ação direta proposta perante o STF, conforme sustentou o relator da presente ação direta de inconstitucionalidade em voto que proferiu, em pedido de vista, na Rcl 425.</w:t>
      </w:r>
    </w:p>
    <w:p>
      <w:pPr>
        <w:ind w:left="288"/>
      </w:pPr>
      <w:r>
        <w:rPr>
          <w:b/>
          <w:color w:val="003CA0"/>
          <w:sz w:val="16"/>
        </w:rPr>
        <w:t>[ADI 1.423 MC, rel. min. Moreira Alves, j. 20-6-1996, P, DJ de 22-11-1996.]</w:t>
      </w:r>
    </w:p>
    <w:p>
      <w:pPr>
        <w:ind w:left="288"/>
      </w:pPr>
      <w:r>
        <w:rPr>
          <w:color w:val="8C8C8C"/>
          <w:sz w:val="12"/>
        </w:rPr>
        <w:t>cf-art-102-inc-I-ali-a</w:t>
      </w:r>
      <w:r>
        <w:rPr>
          <w:color w:val="003CA0"/>
          <w:sz w:val="12"/>
        </w:rPr>
        <w:t xml:space="preserve"> | ADI 3.773</w:t>
      </w:r>
      <w:r>
        <w:rPr>
          <w:color w:val="003CA0"/>
          <w:sz w:val="12"/>
        </w:rPr>
        <w:t xml:space="preserve"> | rel. Menezes Direito</w:t>
      </w:r>
    </w:p>
    <w:p>
      <w:pPr>
        <w:ind w:left="288"/>
      </w:pPr>
      <w:r>
        <w:rPr>
          <w:color w:val="1E1E1E"/>
          <w:sz w:val="18"/>
        </w:rPr>
        <w:t>= ADI 3.773, rel. min. Menezes Direito, j. 4-3-2009, P, DJE de 4-9-2009 Desrespeito à Constituição. Modalidades de comportamentos inconstitucionais do poder público. O desrespeito à Constituição tanto pode ocorrer mediante ação estatal quanto mediante inércia governamental. A situação de inconstitucionalidade pode derivar de um comportamento ativo do poder público, que age ou edita normas em desacordo com o que dispõe a Constituição, ofendendo-lhe, assim, os preceitos e os princípios que nela se acham consignados. Essa conduta estatal, que importa em um facere (atuação positiva), gera a incons</w:t>
      </w:r>
    </w:p>
    <w:p>
      <w:pPr>
        <w:ind w:left="288"/>
      </w:pPr>
      <w:r>
        <w:rPr>
          <w:b/>
          <w:color w:val="003CA0"/>
          <w:sz w:val="16"/>
        </w:rPr>
        <w:t>[ADI 1.458 MC, rel. min. Celso de Mello, j. 23-5-1996, P, DJ de 20-9-1996.]</w:t>
      </w:r>
    </w:p>
    <w:p>
      <w:pPr>
        <w:ind w:left="288"/>
      </w:pPr>
      <w:r>
        <w:rPr>
          <w:color w:val="8C8C8C"/>
          <w:sz w:val="12"/>
        </w:rPr>
        <w:t>cf-art-102-inc-I-ali-a</w:t>
      </w:r>
      <w:r>
        <w:rPr>
          <w:color w:val="003CA0"/>
          <w:sz w:val="12"/>
        </w:rPr>
        <w:t xml:space="preserve"> | ADI 815</w:t>
      </w:r>
      <w:r>
        <w:rPr>
          <w:color w:val="003CA0"/>
          <w:sz w:val="12"/>
        </w:rPr>
        <w:t xml:space="preserve"> | rel. Moreira Alves</w:t>
      </w:r>
    </w:p>
    <w:p>
      <w:pPr>
        <w:ind w:left="288"/>
      </w:pPr>
      <w:r>
        <w:rPr>
          <w:color w:val="1E1E1E"/>
          <w:sz w:val="18"/>
        </w:rPr>
        <w:t>Parágrafos 1º e 2º do art. 45 da CF. A tese de que há hierarquia entre normas constitucionais originárias dando azo à declaração de inconstitucionalidade de umas em face de outras é incompossível com o sistema de Constituição rígida. Na atual Carta Magna "compete ao STF, precipuamente, a guarda da Constituição" (art. 102, caput), o que implica dizer que essa jurisdição lhe é atribuída para impedir que se desrespeite a Constituição como um todo, e não para, com relação a ela, exercer o papel de fiscal do poder constituinte originário, a fim de verificar se este teria, ou não, violado os princíp</w:t>
      </w:r>
    </w:p>
    <w:p>
      <w:pPr>
        <w:ind w:left="288"/>
      </w:pPr>
      <w:r>
        <w:rPr>
          <w:b/>
          <w:color w:val="003CA0"/>
          <w:sz w:val="16"/>
        </w:rPr>
        <w:t>[ADI 815, rel. min. Moreira Alves, j. 28-3-1996, P, DJ de 10-5-1996.]</w:t>
      </w:r>
    </w:p>
    <w:p>
      <w:pPr>
        <w:ind w:left="288"/>
      </w:pPr>
      <w:r>
        <w:rPr>
          <w:color w:val="8C8C8C"/>
          <w:sz w:val="12"/>
        </w:rPr>
        <w:t>cf-art-102-inc-I-ali-a</w:t>
      </w:r>
      <w:r>
        <w:rPr>
          <w:color w:val="003CA0"/>
          <w:sz w:val="12"/>
        </w:rPr>
        <w:t xml:space="preserve"> | ADI 1.344</w:t>
      </w:r>
      <w:r>
        <w:rPr>
          <w:color w:val="003CA0"/>
          <w:sz w:val="12"/>
        </w:rPr>
        <w:t xml:space="preserve"> | rel. Moreira Alves</w:t>
      </w:r>
    </w:p>
    <w:p>
      <w:pPr>
        <w:ind w:left="288"/>
      </w:pPr>
      <w:r>
        <w:rPr>
          <w:color w:val="1E1E1E"/>
          <w:sz w:val="18"/>
        </w:rPr>
        <w:t xml:space="preserve">Impossibilidade, na espécie, de se dar interpretação conforme à Constituição, pois essa técnica só é utilizável quando a norma impugnada admite, dentre as várias interpretações possíveis, uma que a compatibilize com a Carta Magna, e não quando o sentido da norma é unívoco, como sucede no caso presente. Quando, pela redação do texto no qual se inclui a parte da norma que é atacada como inconstitucional, não é possível suprimir dele qualquer expressão para alcançar essa parte, impõe-se a utilização da técnica de concessão da liminar "para a suspensão da eficácia parcial do texto impugnado sem a </w:t>
      </w:r>
    </w:p>
    <w:p>
      <w:pPr>
        <w:ind w:left="288"/>
      </w:pPr>
      <w:r>
        <w:rPr>
          <w:b/>
          <w:color w:val="003CA0"/>
          <w:sz w:val="16"/>
        </w:rPr>
        <w:t>[ADI 1.344 MC, rel. min. Moreira Alves, j. 18-12-1995, P, DJ de 19-4-1996.]</w:t>
      </w:r>
    </w:p>
    <w:p>
      <w:pPr>
        <w:ind w:left="288"/>
      </w:pPr>
      <w:r>
        <w:rPr>
          <w:color w:val="8C8C8C"/>
          <w:sz w:val="12"/>
        </w:rPr>
        <w:t>cf-art-102-inc-I-ali-a</w:t>
      </w:r>
      <w:r>
        <w:rPr>
          <w:color w:val="003CA0"/>
          <w:sz w:val="12"/>
        </w:rPr>
        <w:t xml:space="preserve"> | ADI 3.046</w:t>
      </w:r>
      <w:r>
        <w:rPr>
          <w:color w:val="003CA0"/>
          <w:sz w:val="12"/>
        </w:rPr>
        <w:t xml:space="preserve"> | rel. Sepúlveda Pertence</w:t>
      </w:r>
    </w:p>
    <w:p>
      <w:pPr>
        <w:ind w:left="288"/>
      </w:pPr>
      <w:r>
        <w:rPr>
          <w:color w:val="1E1E1E"/>
          <w:sz w:val="18"/>
        </w:rPr>
        <w:t xml:space="preserve">= ADI 3.046, rel. min. Sepúlveda Pertence, j. 15-4-2004, P, DJ de 28-5-2004 Vide ADI 3.510, rel. min. Ayres Britto, j. 29-5-2008, P, DJE de 28-5-2010 Vide ADPF 130, rel. min. Ayres Britto, j. 30-4-2009, P, DJE de 6-11-2009 A Constituição da República, em tema de ação direta, qualifica-se como o único instrumento normativo revestido de parametricidade, para efeito de fiscalização abstrata de constitucionalidade perante o STF. (...) O controle normativo abstrato, para efeito de sua válida instauração, supõe a ocorrência de situação de litigiosidade constitucional que reclama a existência de uma </w:t>
      </w:r>
    </w:p>
    <w:p>
      <w:pPr>
        <w:ind w:left="288"/>
      </w:pPr>
      <w:r>
        <w:rPr>
          <w:b/>
          <w:color w:val="003CA0"/>
          <w:sz w:val="16"/>
        </w:rPr>
        <w:t>[ADI 1.347 MC, rel. min. Celso de Mello, j. 5-10-1995, P, DJ de 1º-12-1995.]</w:t>
      </w:r>
    </w:p>
    <w:p>
      <w:pPr>
        <w:ind w:left="288"/>
      </w:pPr>
      <w:r>
        <w:rPr>
          <w:color w:val="8C8C8C"/>
          <w:sz w:val="12"/>
        </w:rPr>
        <w:t>cf-art-102-inc-I-ali-a</w:t>
      </w:r>
      <w:r>
        <w:rPr>
          <w:color w:val="003CA0"/>
          <w:sz w:val="12"/>
        </w:rPr>
        <w:t xml:space="preserve"> | ADPF 93</w:t>
      </w:r>
      <w:r>
        <w:rPr>
          <w:color w:val="003CA0"/>
          <w:sz w:val="12"/>
        </w:rPr>
        <w:t xml:space="preserve"> | rel. Ricardo Lewandowski</w:t>
      </w:r>
    </w:p>
    <w:p>
      <w:pPr>
        <w:ind w:left="288"/>
      </w:pPr>
      <w:r>
        <w:rPr>
          <w:color w:val="1E1E1E"/>
          <w:sz w:val="18"/>
        </w:rPr>
        <w:t xml:space="preserve">= ADPF 93 AgR, rel. min. Ricardo Lewandowski, j. 20-5-2009, P, DJE de 7-8-2009 = ADI 3.376, rel. min. Eros Grau, j. 16-6-2005, P, DJ de 23-6-2006 (...) o STF, em processo objetivo, como é o da ação direta de inconstitucionalidade, que impugna dispositivo de uma lei, em tese, não pode reconhecer, incidentalmente, a inconstitucionalidade de outra lei, que nem está sendo impugnada. Até porque a declaração incidental só é possível no controle difuso de constitucionalidade, com eficácia inter partes, sujeita, ainda, à deliberação do Senado no sentido da suspensão definitiva da vigência do diploma, </w:t>
      </w:r>
    </w:p>
    <w:p>
      <w:pPr>
        <w:ind w:left="288"/>
      </w:pPr>
      <w:r>
        <w:rPr>
          <w:b/>
          <w:color w:val="003CA0"/>
          <w:sz w:val="16"/>
        </w:rPr>
        <w:t>[ADI 91, rel. min. Sydney Sanches, j. 21-9-1995, P, DJ de 23-3-2001.]</w:t>
      </w:r>
    </w:p>
    <w:p>
      <w:pPr>
        <w:ind w:left="288"/>
      </w:pPr>
      <w:r>
        <w:rPr>
          <w:color w:val="8C8C8C"/>
          <w:sz w:val="12"/>
        </w:rPr>
        <w:t>cf-art-102-inc-I-ali-a</w:t>
      </w:r>
      <w:r>
        <w:rPr>
          <w:color w:val="003CA0"/>
          <w:sz w:val="12"/>
        </w:rPr>
        <w:t xml:space="preserve"> | ADI 561</w:t>
      </w:r>
      <w:r>
        <w:rPr>
          <w:color w:val="003CA0"/>
          <w:sz w:val="12"/>
        </w:rPr>
        <w:t xml:space="preserve"> | rel. Celso de Mello</w:t>
      </w:r>
    </w:p>
    <w:p>
      <w:pPr>
        <w:ind w:left="288"/>
      </w:pPr>
      <w:r>
        <w:rPr>
          <w:color w:val="1E1E1E"/>
          <w:sz w:val="18"/>
        </w:rPr>
        <w:t>O STF não está condicionado, no desempenho de sua atividade jurisdicional, pelas razões de ordem jurídica invocadas como suporte da pretensão de inconstitucionalidade deduzida pelo autor da ação direta. Tal circunstância, no entanto, não suprime à parte o dever processual de motivar o pedido e de identificar, na Constituição, em obséquio ao princípio da especificação das normas, os dispositivos alegadamente violados pelo ato normativo que pretende impugnar. Impõe-se ao autor, no processo de controle concentrado de constitucionalidade, sob pena de não conhecimento da ação direta, indicar as nor</w:t>
      </w:r>
    </w:p>
    <w:p>
      <w:pPr>
        <w:ind w:left="288"/>
      </w:pPr>
      <w:r>
        <w:rPr>
          <w:b/>
          <w:color w:val="003CA0"/>
          <w:sz w:val="16"/>
        </w:rPr>
        <w:t>[ADI 561 MC, rel. min. Celso de Mello, j. 23-8-1995, P, DJ de 23-3-2001.]</w:t>
      </w:r>
    </w:p>
    <w:p>
      <w:pPr>
        <w:ind w:left="288"/>
      </w:pPr>
      <w:r>
        <w:rPr>
          <w:color w:val="8C8C8C"/>
          <w:sz w:val="12"/>
        </w:rPr>
        <w:t>cf-art-102-inc-I-ali-a</w:t>
      </w:r>
      <w:r>
        <w:rPr>
          <w:color w:val="003CA0"/>
          <w:sz w:val="12"/>
        </w:rPr>
        <w:t xml:space="preserve"> | ADI 1.063</w:t>
      </w:r>
      <w:r>
        <w:rPr>
          <w:color w:val="003CA0"/>
          <w:sz w:val="12"/>
        </w:rPr>
        <w:t xml:space="preserve"> | rel. Celso de Mello</w:t>
      </w:r>
    </w:p>
    <w:p>
      <w:pPr>
        <w:ind w:left="288"/>
      </w:pPr>
      <w:r>
        <w:rPr>
          <w:color w:val="1E1E1E"/>
          <w:sz w:val="18"/>
        </w:rPr>
        <w:t>O STF como legislador negativo. A ação direta de inconstitucionalidade não pode ser utilizada com o objetivo de transformar o STF, indevidamente, em legislador positivo, eis que o poder de inovar o sistema normativo, em caráter inaugural, constitui função típica da instituição parlamentar. Não se revela lícito pretender, em sede de controle normativo abstrato, que o STF, a partir da supressão seletiva de fragmentos do discurso normativo inscrito no ato estatal impugnado, proceda à virtual criação de outra regra legal, substancialmente divorciada do conteúdo material que lhe deu o próprio legis</w:t>
      </w:r>
    </w:p>
    <w:p>
      <w:pPr>
        <w:ind w:left="288"/>
      </w:pPr>
      <w:r>
        <w:rPr>
          <w:b/>
          <w:color w:val="003CA0"/>
          <w:sz w:val="16"/>
        </w:rPr>
        <w:t>[ADI 1.063 MC, rel. min. Celso de Mello, j. 18-5-1994, P, DJ de 27-4-2001.]</w:t>
      </w:r>
    </w:p>
    <w:p>
      <w:pPr>
        <w:ind w:left="288"/>
      </w:pPr>
      <w:r>
        <w:rPr>
          <w:color w:val="8C8C8C"/>
          <w:sz w:val="12"/>
        </w:rPr>
        <w:t>cf-art-102-inc-I-ali-a</w:t>
      </w:r>
      <w:r>
        <w:rPr>
          <w:color w:val="003CA0"/>
          <w:sz w:val="12"/>
        </w:rPr>
        <w:t xml:space="preserve"> | ADI 996</w:t>
      </w:r>
      <w:r>
        <w:rPr>
          <w:color w:val="003CA0"/>
          <w:sz w:val="12"/>
        </w:rPr>
        <w:t xml:space="preserve"> | rel. Celso de Mello</w:t>
      </w:r>
    </w:p>
    <w:p>
      <w:pPr>
        <w:ind w:left="288"/>
      </w:pPr>
      <w:r>
        <w:rPr>
          <w:color w:val="1E1E1E"/>
          <w:sz w:val="18"/>
        </w:rPr>
        <w:t>Se a interpretação administrativa da lei, que vier a consubstanciar-se em decreto executivo, divergir do sentido e do conteúdo da norma legal que o ato secundário pretendeu regulamentar, quer porque tenha este se projetado ultra legem, quer porque tenha permanecido citra legem, quer, ainda, porque tenha investido contra legem, a questão caracterizará, sempre, típica crise de legalidade, e não de inconstitucionalidade, a inviabilizar, em consequência, a utilização do mecanismo processual da fiscalização normativa abstrata. O eventual extravasamento, pelo ato regulamentar, dos limites a que mate</w:t>
      </w:r>
    </w:p>
    <w:p>
      <w:pPr>
        <w:ind w:left="288"/>
      </w:pPr>
      <w:r>
        <w:rPr>
          <w:b/>
          <w:color w:val="003CA0"/>
          <w:sz w:val="16"/>
        </w:rPr>
        <w:t>[ADI 996 MC, rel. min. Celso de Mello, j. 11-3-1994, P, DJ de 6-5-1994.]</w:t>
      </w:r>
    </w:p>
    <w:p>
      <w:pPr>
        <w:ind w:left="288"/>
      </w:pPr>
      <w:r>
        <w:rPr>
          <w:color w:val="8C8C8C"/>
          <w:sz w:val="12"/>
        </w:rPr>
        <w:t>cf-art-102-inc-I-ali-a</w:t>
      </w:r>
      <w:r>
        <w:rPr>
          <w:color w:val="003CA0"/>
          <w:sz w:val="12"/>
        </w:rPr>
        <w:t xml:space="preserve"> | ADI 4.176</w:t>
      </w:r>
      <w:r>
        <w:rPr>
          <w:color w:val="003CA0"/>
          <w:sz w:val="12"/>
        </w:rPr>
        <w:t xml:space="preserve"> | rel. Cármen Lúcia</w:t>
      </w:r>
    </w:p>
    <w:p>
      <w:pPr>
        <w:ind w:left="288"/>
      </w:pPr>
      <w:r>
        <w:rPr>
          <w:color w:val="1E1E1E"/>
          <w:sz w:val="18"/>
        </w:rPr>
        <w:t>= ADI 4.176 AgR, rel. min. Cármen Lúcia, j. 20-6-2012, P, DJE de 1º-8-2012 Tramitação da ação declaratória de constitucionalidade. Incidente que se julga no sentido da constitucionalidade da EC 3, de 1993, no tocante à ação declaratória de constitucionalidade.</w:t>
      </w:r>
    </w:p>
    <w:p>
      <w:pPr>
        <w:ind w:left="288"/>
      </w:pPr>
      <w:r>
        <w:rPr>
          <w:b/>
          <w:color w:val="003CA0"/>
          <w:sz w:val="16"/>
        </w:rPr>
        <w:t>[ADC 1 QO, rel. min. Moreira Alves, j. 27-10-1993, P, DJ de 16-6-1995.]</w:t>
      </w:r>
    </w:p>
    <w:p>
      <w:pPr>
        <w:ind w:left="288"/>
      </w:pPr>
      <w:r>
        <w:rPr>
          <w:color w:val="8C8C8C"/>
          <w:sz w:val="12"/>
        </w:rPr>
        <w:t>cf-art-102-inc-I-ali-a</w:t>
      </w:r>
      <w:r>
        <w:rPr>
          <w:color w:val="003CA0"/>
          <w:sz w:val="12"/>
        </w:rPr>
        <w:t xml:space="preserve"> | ADI 669.</w:t>
      </w:r>
      <w:r>
        <w:rPr>
          <w:color w:val="003CA0"/>
          <w:sz w:val="12"/>
        </w:rPr>
        <w:t xml:space="preserve"> | rel. Moreira Alves)</w:t>
      </w:r>
    </w:p>
    <w:p>
      <w:pPr>
        <w:ind w:left="288"/>
      </w:pPr>
      <w:r>
        <w:rPr>
          <w:color w:val="1E1E1E"/>
          <w:sz w:val="18"/>
        </w:rPr>
        <w:t>Pedido de suspensão de sua eficácia manifestado por meio de reclamação, sob alegação de tratar-se de reprodução de lei anterior (n. 1.914, de 1991), da mesma unidade federada, cujos efeitos foram suspensos pelo STF, na ADI 669. Reclamação convertida em ação direta de inconstitucionalidade, na forma de precedentes do STF (ADI  864, rel.  min. Moreira Alves), com deferimento de nova cautelar, face à subsistência das razões determinantes da provisória privação dos efeitos da lei reproduzida.</w:t>
      </w:r>
    </w:p>
    <w:p>
      <w:pPr>
        <w:ind w:left="288"/>
      </w:pPr>
      <w:r>
        <w:rPr>
          <w:b/>
          <w:color w:val="003CA0"/>
          <w:sz w:val="16"/>
        </w:rPr>
        <w:t>[ADI 907 MC, rel. min. Ilmar Galvão, j. 8-10-1993, P, DJ de 3-12-1993.]</w:t>
      </w:r>
    </w:p>
    <w:p>
      <w:pPr>
        <w:ind w:left="288"/>
      </w:pPr>
      <w:r>
        <w:rPr>
          <w:color w:val="8C8C8C"/>
          <w:sz w:val="12"/>
        </w:rPr>
        <w:t>cf-art-102-inc-I-ali-a</w:t>
      </w:r>
      <w:r>
        <w:rPr>
          <w:color w:val="003CA0"/>
          <w:sz w:val="12"/>
        </w:rPr>
        <w:t xml:space="preserve"> | ADI 794</w:t>
      </w:r>
      <w:r>
        <w:rPr>
          <w:color w:val="003CA0"/>
          <w:sz w:val="12"/>
        </w:rPr>
        <w:t xml:space="preserve"> | rel. Sepúlveda Pertence</w:t>
      </w:r>
    </w:p>
    <w:p>
      <w:pPr>
        <w:ind w:left="288"/>
      </w:pPr>
      <w:r>
        <w:rPr>
          <w:color w:val="1E1E1E"/>
          <w:sz w:val="18"/>
        </w:rPr>
        <w:t>Ação direta de inconstitucionalidade: inidoneidade, se dependente da prévia solução de questões controvertidas de fato e de direito local. O controle direto de constitucionalidade das leis pressupõe a exata compreensão do sentido e do alcance das normas questionadas, a qual há de ser possível de obter-se no procedimento sumário e documental da ação direta. Se, ao contrário, a pré-compreensão do significado da lei impugnada pende da solução de intrincada controvérsia acerca da antecedente situação de fato e de direito sobre a qual pretende incidir, não é a ação direta de inconstitucionalidade a</w:t>
      </w:r>
    </w:p>
    <w:p>
      <w:pPr>
        <w:ind w:left="288"/>
      </w:pPr>
      <w:r>
        <w:rPr>
          <w:b/>
          <w:color w:val="003CA0"/>
          <w:sz w:val="16"/>
        </w:rPr>
        <w:t>[ADI 794, rel. min. Sepúlveda Pertence, j. 9-12-1992, P, DJ de 21-5-1993.]</w:t>
      </w:r>
    </w:p>
    <w:p>
      <w:pPr>
        <w:ind w:left="288"/>
      </w:pPr>
      <w:r>
        <w:rPr>
          <w:color w:val="8C8C8C"/>
          <w:sz w:val="12"/>
        </w:rPr>
        <w:t>cf-art-102-inc-I-ali-a</w:t>
      </w:r>
      <w:r>
        <w:rPr>
          <w:color w:val="003CA0"/>
          <w:sz w:val="12"/>
        </w:rPr>
        <w:t xml:space="preserve"> | ADI 4.303</w:t>
      </w:r>
      <w:r>
        <w:rPr>
          <w:color w:val="003CA0"/>
          <w:sz w:val="12"/>
        </w:rPr>
        <w:t xml:space="preserve"> | rel. Cármen Lúcia</w:t>
      </w:r>
    </w:p>
    <w:p>
      <w:pPr>
        <w:ind w:left="288"/>
      </w:pPr>
      <w:r>
        <w:rPr>
          <w:color w:val="1E1E1E"/>
          <w:sz w:val="18"/>
        </w:rPr>
        <w:t>= ADI 4.303, rel. min. Cármen Lúcia, j. 5-2-2014, P, DJE de 28-8-2014 A súmula, porque não apresenta as características de ato normativo, não está sujeita a jurisdição constitucional concentrada.</w:t>
      </w:r>
    </w:p>
    <w:p>
      <w:pPr>
        <w:ind w:left="288"/>
      </w:pPr>
      <w:r>
        <w:rPr>
          <w:b/>
          <w:color w:val="003CA0"/>
          <w:sz w:val="16"/>
        </w:rPr>
        <w:t>[ADI 594, rel. min. Carlos Velloso, j. 19-2-1992, P, DJ de 15-4-1994.]</w:t>
      </w:r>
    </w:p>
    <w:p>
      <w:pPr>
        <w:ind w:left="288"/>
      </w:pPr>
      <w:r>
        <w:rPr>
          <w:color w:val="8C8C8C"/>
          <w:sz w:val="12"/>
        </w:rPr>
        <w:t>cf-art-102-inc-I-ali-a</w:t>
      </w:r>
      <w:r>
        <w:rPr>
          <w:color w:val="003CA0"/>
          <w:sz w:val="12"/>
        </w:rPr>
        <w:t xml:space="preserve"> | RE 584.188</w:t>
      </w:r>
      <w:r>
        <w:rPr>
          <w:color w:val="003CA0"/>
          <w:sz w:val="12"/>
        </w:rPr>
        <w:t xml:space="preserve"> | rel. Ayres Britto</w:t>
      </w:r>
    </w:p>
    <w:p>
      <w:pPr>
        <w:ind w:left="288"/>
      </w:pPr>
      <w:r>
        <w:rPr>
          <w:color w:val="1E1E1E"/>
          <w:sz w:val="18"/>
        </w:rPr>
        <w:t>= RE 584.188 AgR, rel. min. Ayres Britto, j. 28-9-2010, 2ª T, DJE de 3-12-2010 Constituição. Lei anterior que a contrarie. Revogação. Inconstitucionalidade superveniente. Impossibilidade. A lei ou é constitucional ou não é lei. Lei inconstitucional é uma contradição em si. A lei é constitucional quando fiel à Constituição; inconstitucional na medida em que a desrespeita, dispondo sobre o que lhe era vedado. O vício da inconstitucionalidade é congênito à lei e há de ser apurado em face da Constituição vigente ao tempo de sua elaboração. Lei anterior não pode ser inconstitucional em relação à Co</w:t>
      </w:r>
    </w:p>
    <w:p>
      <w:pPr>
        <w:ind w:left="288"/>
      </w:pPr>
      <w:r>
        <w:rPr>
          <w:b/>
          <w:color w:val="003CA0"/>
          <w:sz w:val="16"/>
        </w:rPr>
        <w:t>[ADI 2, rel. min. Paulo Brossard, j. 6-2-1992, P, DJ de 21-11-1997.]</w:t>
      </w:r>
    </w:p>
    <w:p>
      <w:pPr>
        <w:ind w:left="288"/>
      </w:pPr>
      <w:r>
        <w:rPr>
          <w:color w:val="8C8C8C"/>
          <w:sz w:val="12"/>
        </w:rPr>
        <w:t>cf-art-102-inc-I-ali-a</w:t>
      </w:r>
      <w:r>
        <w:rPr>
          <w:color w:val="003CA0"/>
          <w:sz w:val="12"/>
        </w:rPr>
        <w:t xml:space="preserve"> | RE 343.801</w:t>
      </w:r>
      <w:r>
        <w:rPr>
          <w:color w:val="003CA0"/>
          <w:sz w:val="12"/>
        </w:rPr>
        <w:t xml:space="preserve"> | rel. Ayres Britto</w:t>
      </w:r>
    </w:p>
    <w:p>
      <w:pPr>
        <w:ind w:left="288"/>
      </w:pPr>
      <w:r>
        <w:rPr>
          <w:color w:val="1E1E1E"/>
          <w:sz w:val="18"/>
        </w:rPr>
        <w:t>= RE 343.801 AgR, rel. min. Ayres Britto, j. 20-3-2012, 2ª T, DJE de 26-6-2012 Vide ADI 2.158 e ADI 2.189, rel. min. Dias Toffoli, j. 15-9-2010, P, DJE de 16-12-2010 A ocorrência dos pressupostos de relevância e urgência para a edição de medidas provisórias não está de todo imune ao controle jurisdicional, restrito, porém, aos casos de abuso manifesto, dado caráter discricionário do juízo político que envolve, confiado ao Poder Executivo, sob censura do Congresso Nacional (ADI 162, de 14-12-1989).</w:t>
      </w:r>
    </w:p>
    <w:p>
      <w:pPr>
        <w:ind w:left="288"/>
      </w:pPr>
      <w:r>
        <w:rPr>
          <w:b/>
          <w:color w:val="003CA0"/>
          <w:sz w:val="16"/>
        </w:rPr>
        <w:t>[ADI 525 MC, rel. min. Sepúlveda Pertence, j. 12-6-1991, P, DJ de 2-4-2004.]</w:t>
      </w:r>
    </w:p>
    <w:p>
      <w:pPr>
        <w:ind w:left="288"/>
      </w:pPr>
      <w:r>
        <w:rPr>
          <w:color w:val="8C8C8C"/>
          <w:sz w:val="12"/>
        </w:rPr>
        <w:t>cf-art-102-inc-I-ali-a</w:t>
      </w:r>
      <w:r>
        <w:rPr>
          <w:color w:val="003CA0"/>
          <w:sz w:val="12"/>
        </w:rPr>
        <w:t xml:space="preserve"> | ADI 466</w:t>
      </w:r>
      <w:r>
        <w:rPr>
          <w:color w:val="003CA0"/>
          <w:sz w:val="12"/>
        </w:rPr>
        <w:t xml:space="preserve"> | rel. Celso de Mello</w:t>
      </w:r>
    </w:p>
    <w:p>
      <w:pPr>
        <w:ind w:left="288"/>
      </w:pPr>
      <w:r>
        <w:rPr>
          <w:color w:val="1E1E1E"/>
          <w:sz w:val="18"/>
        </w:rPr>
        <w:t>O direito constitucional positivo brasileiro, ao longo de sua evolução histórica, jamais autorizou – como a nova Constituição promulgada em 1988 também não o admite – o sistema de controle jurisdicional preventivo de constitucionalidade, em abstrato. Inexiste, desse modo, em nosso sistema jurídico, a possibilidade de fiscalização abstrata preventiva da legitimidade constitucional de meras proposições normativas pelo STF.</w:t>
      </w:r>
    </w:p>
    <w:p>
      <w:pPr>
        <w:ind w:left="288"/>
      </w:pPr>
      <w:r>
        <w:rPr>
          <w:b/>
          <w:color w:val="003CA0"/>
          <w:sz w:val="16"/>
        </w:rPr>
        <w:t>[ADI 466, rel. min. Celso de Mello, j. 3-4-1991, P, DJ de 10-5-1991.]</w:t>
      </w:r>
    </w:p>
    <w:p>
      <w:pPr>
        <w:ind w:left="288"/>
      </w:pPr>
      <w:r>
        <w:rPr>
          <w:color w:val="8C8C8C"/>
          <w:sz w:val="12"/>
        </w:rPr>
        <w:t>cf-art-102-inc-I-ali-a</w:t>
      </w:r>
      <w:r>
        <w:rPr>
          <w:color w:val="003CA0"/>
          <w:sz w:val="12"/>
        </w:rPr>
        <w:t xml:space="preserve"> | MS 32.033</w:t>
      </w:r>
      <w:r>
        <w:rPr>
          <w:color w:val="003CA0"/>
          <w:sz w:val="12"/>
        </w:rPr>
        <w:t xml:space="preserve"> | rel. Sydney Sanches</w:t>
      </w:r>
    </w:p>
    <w:p>
      <w:pPr>
        <w:ind w:left="288"/>
      </w:pPr>
      <w:r>
        <w:rPr>
          <w:color w:val="1E1E1E"/>
          <w:sz w:val="18"/>
        </w:rPr>
        <w:t>= MS 32.033, red. do ac. min. Teori Zavascki, j. 20-6-2013, P, DJE de 18-2-2014 Ministro que oficiou nos autos do processo da ação direta de inconstitucionalidade, como procurador-geral da República, emitindo parecer sobre medida cautelar, está impedido de participar, como membro da Corte, do julgamento final da ação. Ministro que participou, como membro do Poder Executivo, da discussão de questões que levaram à elaboração do ato impugnado na ação direta de inconstitucionalidade não está, só por isso, impedido de participar do julgamento.</w:t>
      </w:r>
    </w:p>
    <w:p>
      <w:pPr>
        <w:ind w:left="288"/>
      </w:pPr>
      <w:r>
        <w:rPr>
          <w:b/>
          <w:color w:val="003CA0"/>
          <w:sz w:val="16"/>
        </w:rPr>
        <w:t>[ADI 4, rel. min. Sydney Sanches, j. 7-3-1991, P, DJ de 25-6-1993.]</w:t>
      </w:r>
    </w:p>
    <w:p>
      <w:pPr>
        <w:ind w:left="288"/>
      </w:pPr>
      <w:r>
        <w:rPr>
          <w:color w:val="8C8C8C"/>
          <w:sz w:val="12"/>
        </w:rPr>
        <w:t>cf-art-102-inc-I-ali-a</w:t>
      </w:r>
      <w:r>
        <w:rPr>
          <w:color w:val="003CA0"/>
          <w:sz w:val="12"/>
        </w:rPr>
        <w:t xml:space="preserve"> | ADI 221</w:t>
      </w:r>
      <w:r>
        <w:rPr>
          <w:color w:val="003CA0"/>
          <w:sz w:val="12"/>
        </w:rPr>
        <w:t xml:space="preserve"> | rel. Moreira Alves</w:t>
      </w:r>
    </w:p>
    <w:p>
      <w:pPr>
        <w:ind w:left="288"/>
      </w:pPr>
      <w:r>
        <w:rPr>
          <w:color w:val="1E1E1E"/>
          <w:sz w:val="18"/>
        </w:rPr>
        <w:t>Em nosso sistema jurídico, não se admite declaração de inconstitucionalidade de lei ou de ato normativo com força de lei por lei ou por ato normativo com força de lei posteriores. O controle de constitucionalidade da lei ou dos atos normativos é da competência exclusiva do Poder Judiciário. Os Poderes Executivo e Legislativo, por sua chefia – e isso mesmo tem sido questionado com o alargamento da legitimação ativa na ação direta de inconstitucionalidade –, podem tão só determinar aos seus órgãos subordinados que deixem de aplicar administrativamente as leis ou atos com força de lei que conside</w:t>
      </w:r>
    </w:p>
    <w:p>
      <w:pPr>
        <w:ind w:left="288"/>
      </w:pPr>
      <w:r>
        <w:rPr>
          <w:b/>
          <w:color w:val="003CA0"/>
          <w:sz w:val="16"/>
        </w:rPr>
        <w:t>[ADI 221 MC, rel. min. Moreira Alves, j. 29-3-1990, P, DJ de 22-10-1993.]</w:t>
      </w:r>
    </w:p>
    <w:p>
      <w:pPr>
        <w:ind w:left="144"/>
      </w:pPr>
      <w:r>
        <w:rPr>
          <w:b/>
          <w:color w:val="B45A00"/>
          <w:sz w:val="16"/>
        </w:rPr>
        <w:t>REPERCUSSAO GERAL</w:t>
      </w:r>
    </w:p>
    <w:p>
      <w:pPr>
        <w:ind w:left="288"/>
      </w:pPr>
      <w:r>
        <w:rPr>
          <w:color w:val="8C8C8C"/>
          <w:sz w:val="12"/>
        </w:rPr>
        <w:t>cf-art-102-inc-I-ali-a</w:t>
      </w:r>
      <w:r>
        <w:rPr>
          <w:color w:val="003CA0"/>
          <w:sz w:val="12"/>
        </w:rPr>
        <w:t xml:space="preserve"> | RE 730.462</w:t>
      </w:r>
      <w:r>
        <w:rPr>
          <w:color w:val="003CA0"/>
          <w:sz w:val="12"/>
        </w:rPr>
        <w:t xml:space="preserve"> | rel. Teori Zavascki</w:t>
      </w:r>
    </w:p>
    <w:p>
      <w:pPr>
        <w:ind w:left="288"/>
      </w:pPr>
      <w:r>
        <w:rPr>
          <w:color w:val="1E1E1E"/>
          <w:sz w:val="18"/>
        </w:rPr>
        <w:t>(...) a decisão do STF declarando a constitucionalidade ou a inconstitucionalidade de preceito normativo não produz a automática reforma ou rescisão das sentenças anteriores que tenham adotado entendimento diferente; para que tal ocorra, será indispensável a interposição do recurso próprio ou, se for o caso, a propositura da ação rescisória própria, nos termos do art. 485, V, do CPC, observado o respectivo prazo decadencial (CPC, art. 495). Ressalva-se desse entendimento, quanto à indispensabilidade da ação rescisória, a questão relacionada à execução de efeitos futuros da sentença proferida e</w:t>
      </w:r>
    </w:p>
    <w:p>
      <w:pPr>
        <w:ind w:left="288"/>
      </w:pPr>
      <w:r>
        <w:rPr>
          <w:b/>
          <w:color w:val="003CA0"/>
          <w:sz w:val="16"/>
        </w:rPr>
        <w:t>[RE 730.462, rel. min. Teori Zavascki, j. 28-5-2015, P, DJE de 9-9-2015, Tema 733, com mérito julgado.]</w:t>
      </w:r>
    </w:p>
    <w:p>
      <w:pPr>
        <w:ind w:left="144"/>
      </w:pPr>
      <w:r>
        <w:rPr>
          <w:b/>
          <w:color w:val="B45A00"/>
          <w:sz w:val="16"/>
        </w:rPr>
        <w:t>JULGADOS CORRELATOS</w:t>
      </w:r>
    </w:p>
    <w:p>
      <w:pPr>
        <w:ind w:left="288"/>
      </w:pPr>
      <w:r>
        <w:rPr>
          <w:color w:val="8C8C8C"/>
          <w:sz w:val="12"/>
        </w:rPr>
        <w:t>cf-art-102-inc-I-ali-a</w:t>
      </w:r>
      <w:r>
        <w:rPr>
          <w:color w:val="003CA0"/>
          <w:sz w:val="12"/>
        </w:rPr>
        <w:t xml:space="preserve"> | MS 32.582</w:t>
      </w:r>
      <w:r>
        <w:rPr>
          <w:color w:val="003CA0"/>
          <w:sz w:val="12"/>
        </w:rPr>
        <w:t xml:space="preserve"> | rel. Celso de Mello</w:t>
      </w:r>
    </w:p>
    <w:p>
      <w:pPr>
        <w:ind w:left="288"/>
      </w:pPr>
      <w:r>
        <w:rPr>
          <w:color w:val="1E1E1E"/>
          <w:sz w:val="18"/>
        </w:rPr>
        <w:t>Não é possível a utilização do procedimento de controle administrativo como sucedâneo da ação direta de inconstitucionalidade, inclusive com usurpação da função jurisdicional deste egrégio STF (...).</w:t>
      </w:r>
    </w:p>
    <w:p>
      <w:pPr>
        <w:ind w:left="288"/>
      </w:pPr>
      <w:r>
        <w:rPr>
          <w:b/>
          <w:color w:val="003CA0"/>
          <w:sz w:val="16"/>
        </w:rPr>
        <w:t>[MS 32.582 MC, rel. min. Celso de Mello, j. 3-2-2014, dec. monocrática, DJE de 11-2-2014.]</w:t>
      </w:r>
    </w:p>
    <w:p>
      <w:pPr>
        <w:ind w:left="288"/>
      </w:pPr>
      <w:r>
        <w:rPr>
          <w:color w:val="8C8C8C"/>
          <w:sz w:val="12"/>
        </w:rPr>
        <w:t>cf-art-102-inc-I-ali-a</w:t>
      </w:r>
      <w:r>
        <w:rPr>
          <w:color w:val="003CA0"/>
          <w:sz w:val="12"/>
        </w:rPr>
        <w:t xml:space="preserve"> | ACO 1.062</w:t>
      </w:r>
      <w:r>
        <w:rPr>
          <w:color w:val="003CA0"/>
          <w:sz w:val="12"/>
        </w:rPr>
        <w:t xml:space="preserve"> | rel. Ricardo Lewandowski</w:t>
      </w:r>
    </w:p>
    <w:p>
      <w:pPr>
        <w:ind w:left="288"/>
      </w:pPr>
      <w:r>
        <w:rPr>
          <w:color w:val="1E1E1E"/>
          <w:sz w:val="18"/>
        </w:rPr>
        <w:t>= ACO 1.062 AgR, rel. min. Ricardo Lewandowski, j. 13-8-2014, P, DJE de 25-8-2014 As decisões proferidas em sede de controle concentrado de constitucionalidade, em regra, passam a produzir efeitos a partir da publicação, no veículo oficial, da ata de julgamento.</w:t>
      </w:r>
    </w:p>
    <w:p>
      <w:pPr>
        <w:ind w:left="288"/>
      </w:pPr>
      <w:r>
        <w:rPr>
          <w:b/>
          <w:color w:val="003CA0"/>
          <w:sz w:val="16"/>
        </w:rPr>
        <w:t>[Rcl 6.999 AgR, rel. min. Teori Zavascki, j. 17-10-2013, P, DJE de 7-11-2013.]</w:t>
      </w:r>
    </w:p>
    <w:p>
      <w:pPr>
        <w:ind w:left="288"/>
      </w:pPr>
      <w:r>
        <w:rPr>
          <w:color w:val="8C8C8C"/>
          <w:sz w:val="12"/>
        </w:rPr>
        <w:t>cf-art-102-inc-I-ali-a</w:t>
      </w:r>
      <w:r>
        <w:rPr>
          <w:color w:val="003CA0"/>
          <w:sz w:val="12"/>
        </w:rPr>
        <w:t xml:space="preserve"> | RE 432.884</w:t>
      </w:r>
      <w:r>
        <w:rPr>
          <w:color w:val="003CA0"/>
          <w:sz w:val="12"/>
        </w:rPr>
        <w:t xml:space="preserve"> | rel. Joaquim Barbosa</w:t>
      </w:r>
    </w:p>
    <w:p>
      <w:pPr>
        <w:ind w:left="288"/>
      </w:pPr>
      <w:r>
        <w:rPr>
          <w:color w:val="1E1E1E"/>
          <w:sz w:val="18"/>
        </w:rPr>
        <w:t>Da decisão que declara a inconstitucionalidade de lei federal, sem observância da reserva de plenário, é cabível o recurso extraordinário fundado na violação do art. 97 da Constituição (art. 102, III, a, da Constituição). Descabe sobrepor as hipóteses de cabimento do recurso extraordinário para viabilizar o julgamento de mérito de demanda cujas razões recursais são deficientes (interposição exclusivamente nos termos do art. 102, III, b, da Constituição).</w:t>
      </w:r>
    </w:p>
    <w:p>
      <w:pPr>
        <w:ind w:left="288"/>
      </w:pPr>
      <w:r>
        <w:rPr>
          <w:b/>
          <w:color w:val="003CA0"/>
          <w:sz w:val="16"/>
        </w:rPr>
        <w:t>[RE 432.884 AgR, rel. min. Joaquim Barbosa, j. 26-6-2012, 2ª T, DJE de 13-8-2012.]</w:t>
      </w:r>
    </w:p>
    <w:p>
      <w:pPr>
        <w:ind w:left="288"/>
      </w:pPr>
      <w:r>
        <w:rPr>
          <w:color w:val="8C8C8C"/>
          <w:sz w:val="12"/>
        </w:rPr>
        <w:t>cf-art-102-inc-I-ali-a</w:t>
      </w:r>
      <w:r>
        <w:rPr>
          <w:color w:val="003CA0"/>
          <w:sz w:val="12"/>
        </w:rPr>
        <w:t xml:space="preserve"> | AI 749.030</w:t>
      </w:r>
      <w:r>
        <w:rPr>
          <w:color w:val="003CA0"/>
          <w:sz w:val="12"/>
        </w:rPr>
        <w:t xml:space="preserve"> | rel. Dias Toffoli</w:t>
      </w:r>
    </w:p>
    <w:p>
      <w:pPr>
        <w:ind w:left="288"/>
      </w:pPr>
      <w:r>
        <w:rPr>
          <w:color w:val="1E1E1E"/>
          <w:sz w:val="18"/>
        </w:rPr>
        <w:t>= AI 749.030 AgR, rel. min. Dias Toffoli, j. 10-9-2013, 1ª T, DJE de 7-11-2013 Modelo exigente de controle de constitucionalidade das leis em matéria penal, baseado em níveis de intensidade. Podem ser distinguidos três níveis ou graus de intensidade do controle de constitucionalidade de leis penais, consoante as diretrizes elaboradas pela doutrina e jurisprudência constitucional alemã: a) controle de evidência (Evidenzkontrolle); b) controle de sustentabilidade ou justificabilidade (Vertretbarkeitskontrolle); c) controle material de intensidade (intensivierten inhaltlichen Kontrolle). O Tribun</w:t>
      </w:r>
    </w:p>
    <w:p>
      <w:pPr>
        <w:ind w:left="288"/>
      </w:pPr>
      <w:r>
        <w:rPr>
          <w:b/>
          <w:color w:val="003CA0"/>
          <w:sz w:val="16"/>
        </w:rPr>
        <w:t>[HC 104.410, rel. min. Gilmar Mendes, j. 6-3-2012, 2ª T, DJE de 27-3-2012.]</w:t>
      </w:r>
    </w:p>
    <w:p>
      <w:pPr>
        <w:ind w:left="288"/>
      </w:pPr>
      <w:r>
        <w:rPr>
          <w:color w:val="8C8C8C"/>
          <w:sz w:val="12"/>
        </w:rPr>
        <w:t>cf-art-102-inc-I-ali-a</w:t>
      </w:r>
      <w:r>
        <w:rPr>
          <w:color w:val="003CA0"/>
          <w:sz w:val="12"/>
        </w:rPr>
        <w:t xml:space="preserve"> | RCL 4.329</w:t>
      </w:r>
      <w:r>
        <w:rPr>
          <w:color w:val="003CA0"/>
          <w:sz w:val="12"/>
        </w:rPr>
        <w:t xml:space="preserve"> | rel. Ayres Britto</w:t>
      </w:r>
    </w:p>
    <w:p>
      <w:pPr>
        <w:ind w:left="288"/>
      </w:pPr>
      <w:r>
        <w:rPr>
          <w:color w:val="1E1E1E"/>
          <w:sz w:val="18"/>
        </w:rPr>
        <w:t>O Tribunal de Justiça do Estado de Minas Gerais, em sede de representação de inconstitucionalidade, suspendeu a eficácia da Lei 9.148/2004 do Município de Uberaba/MG, com fundamento no art. 2º da CF, bem como pelo fato de o Município haver usurpado a competência legislativa e material da União em tema de serviço de radiodifusão (inciso IV do art. 22 e inciso XII do art. 21 e art. 223, todos da Carta Magna). Situação configuradora de usurpação da competência originária do STF, dado que os parâmetros constitucionais de que lançou mão a Casa de Justiça reclamada não são de absorção obrigatória pe</w:t>
      </w:r>
    </w:p>
    <w:p>
      <w:pPr>
        <w:ind w:left="288"/>
      </w:pPr>
      <w:r>
        <w:rPr>
          <w:b/>
          <w:color w:val="003CA0"/>
          <w:sz w:val="16"/>
        </w:rPr>
        <w:t>[Rcl 4.329, rel. min. Ayres Britto, j. 17-11-2011, P, DJE de 12-12-2011.]</w:t>
      </w:r>
    </w:p>
    <w:p>
      <w:pPr>
        <w:ind w:left="288"/>
      </w:pPr>
      <w:r>
        <w:rPr>
          <w:color w:val="8C8C8C"/>
          <w:sz w:val="12"/>
        </w:rPr>
        <w:t>cf-art-102-inc-I-ali-a</w:t>
      </w:r>
      <w:r>
        <w:rPr>
          <w:color w:val="003CA0"/>
          <w:sz w:val="12"/>
        </w:rPr>
        <w:t xml:space="preserve"> | RCL 383</w:t>
      </w:r>
      <w:r>
        <w:rPr>
          <w:color w:val="003CA0"/>
          <w:sz w:val="12"/>
        </w:rPr>
        <w:t xml:space="preserve"> | rel. Moreira Alves</w:t>
      </w:r>
    </w:p>
    <w:p>
      <w:pPr>
        <w:ind w:left="288"/>
      </w:pPr>
      <w:r>
        <w:rPr>
          <w:color w:val="1E1E1E"/>
          <w:sz w:val="18"/>
        </w:rPr>
        <w:t>Vide Rcl 383, rel. min. Moreira Alves, j. 11-6-1992, P, DJ de 21-5-1993 A Lei 8.223/2007, decretada e sancionada pelos Poderes Legislativo e Executivo do Estado da Paraíba, não pode ter o controle de constitucionalidade realizado pelo CNJ, pois a Constituição da República confere essa competência, com exclusividade, ao STF.</w:t>
      </w:r>
    </w:p>
    <w:p>
      <w:pPr>
        <w:ind w:left="288"/>
      </w:pPr>
      <w:r>
        <w:rPr>
          <w:b/>
          <w:color w:val="003CA0"/>
          <w:sz w:val="16"/>
        </w:rPr>
        <w:t>[AC 2.390 MC-REF, rel. min. Cármen Lúcia, j. 19-8-2010, P, DJE de 2-5-2011.]</w:t>
      </w:r>
    </w:p>
    <w:p>
      <w:pPr>
        <w:ind w:left="288"/>
      </w:pPr>
      <w:r>
        <w:rPr>
          <w:color w:val="8C8C8C"/>
          <w:sz w:val="12"/>
        </w:rPr>
        <w:t>cf-art-102-inc-I-ali-a</w:t>
      </w:r>
      <w:r>
        <w:rPr>
          <w:color w:val="003CA0"/>
          <w:sz w:val="12"/>
        </w:rPr>
        <w:t xml:space="preserve"> | RE 582.258</w:t>
      </w:r>
      <w:r>
        <w:rPr>
          <w:color w:val="003CA0"/>
          <w:sz w:val="12"/>
        </w:rPr>
        <w:t xml:space="preserve"> | rel. Ricardo Lewandowski</w:t>
      </w:r>
    </w:p>
    <w:p>
      <w:pPr>
        <w:ind w:left="288"/>
      </w:pPr>
      <w:r>
        <w:rPr>
          <w:color w:val="1E1E1E"/>
          <w:sz w:val="18"/>
        </w:rPr>
        <w:t>O STF não tem competência para determinar, de imediato, a aplicação de eventual comando legal em substituição de lei ou ato normativo considerado inconstitucional.</w:t>
      </w:r>
    </w:p>
    <w:p>
      <w:pPr>
        <w:ind w:left="288"/>
      </w:pPr>
      <w:r>
        <w:rPr>
          <w:b/>
          <w:color w:val="003CA0"/>
          <w:sz w:val="16"/>
        </w:rPr>
        <w:t>[RE 582.258 AgR-AgR, rel. min. Ricardo Lewandowski, j. 6-4-2010, 1ª T, DJE de 14-5-2010.]</w:t>
      </w:r>
    </w:p>
    <w:p>
      <w:pPr>
        <w:ind w:left="288"/>
      </w:pPr>
      <w:r>
        <w:rPr>
          <w:color w:val="8C8C8C"/>
          <w:sz w:val="12"/>
        </w:rPr>
        <w:t>cf-art-102-inc-I-ali-a</w:t>
      </w:r>
      <w:r>
        <w:rPr>
          <w:color w:val="003CA0"/>
          <w:sz w:val="12"/>
        </w:rPr>
        <w:t xml:space="preserve"> | RE 579.760</w:t>
      </w:r>
      <w:r>
        <w:rPr>
          <w:color w:val="003CA0"/>
          <w:sz w:val="12"/>
        </w:rPr>
        <w:t xml:space="preserve"> | rel. Cezar Peluso</w:t>
      </w:r>
    </w:p>
    <w:p>
      <w:pPr>
        <w:ind w:left="288"/>
      </w:pPr>
      <w:r>
        <w:rPr>
          <w:color w:val="1E1E1E"/>
          <w:sz w:val="18"/>
        </w:rPr>
        <w:t>São singulares os prazos recursais das ações de controle abstrato de constitucionalidade, em razão de seu reconhecido caráter objetivo.</w:t>
      </w:r>
    </w:p>
    <w:p>
      <w:pPr>
        <w:ind w:left="288"/>
      </w:pPr>
      <w:r>
        <w:rPr>
          <w:b/>
          <w:color w:val="003CA0"/>
          <w:sz w:val="16"/>
        </w:rPr>
        <w:t>[RE 579.760 ED, rel. min. Cezar Peluso, j. 27-10-2009, 2ª T, DJE de 20-11-2009.]</w:t>
      </w:r>
    </w:p>
    <w:p>
      <w:pPr>
        <w:ind w:left="288"/>
      </w:pPr>
      <w:r>
        <w:rPr>
          <w:color w:val="8C8C8C"/>
          <w:sz w:val="12"/>
        </w:rPr>
        <w:t>cf-art-102-inc-I-ali-a</w:t>
      </w:r>
      <w:r>
        <w:rPr>
          <w:color w:val="003CA0"/>
          <w:sz w:val="12"/>
        </w:rPr>
        <w:t xml:space="preserve"> | AI 788.453</w:t>
      </w:r>
      <w:r>
        <w:rPr>
          <w:color w:val="003CA0"/>
          <w:sz w:val="12"/>
        </w:rPr>
        <w:t xml:space="preserve"> | rel. Ricardo Lewandowski</w:t>
      </w:r>
    </w:p>
    <w:p>
      <w:pPr>
        <w:ind w:left="288"/>
      </w:pPr>
      <w:r>
        <w:rPr>
          <w:color w:val="1E1E1E"/>
          <w:sz w:val="18"/>
        </w:rPr>
        <w:t>= AI 788.453 AgR, rel. min. Ricardo Lewandowski, j. 28-6-2011, 1ª T, DJE de 15-8-2011 Não há falar em declaração de constitucionalidade incidenter tantum quando o Tribunal, à unanimidade, não conheceu da ação por falta de pertinência temática em relação ao art. 23 da Lei 8.096/1994. O não conhecimento da ação direta quanto ao item impugnado não gera, em nenhuma hipótese, a declaração de sua constitucionalidade.</w:t>
      </w:r>
    </w:p>
    <w:p>
      <w:pPr>
        <w:ind w:left="288"/>
      </w:pPr>
      <w:r>
        <w:rPr>
          <w:b/>
          <w:color w:val="003CA0"/>
          <w:sz w:val="16"/>
        </w:rPr>
        <w:t>[Rcl 5.914 AgR, rel. min. Ricardo Lewandowski, j. 25-6-2008, P, DJE de 15-8-2008.]</w:t>
      </w:r>
    </w:p>
    <w:p>
      <w:pPr>
        <w:ind w:left="288"/>
      </w:pPr>
      <w:r>
        <w:rPr>
          <w:color w:val="8C8C8C"/>
          <w:sz w:val="12"/>
        </w:rPr>
        <w:t>cf-art-102-inc-I-ali-a</w:t>
      </w:r>
      <w:r>
        <w:rPr>
          <w:color w:val="003CA0"/>
          <w:sz w:val="12"/>
        </w:rPr>
        <w:t xml:space="preserve"> | RE 424.993</w:t>
      </w:r>
      <w:r>
        <w:rPr>
          <w:color w:val="003CA0"/>
          <w:sz w:val="12"/>
        </w:rPr>
        <w:t xml:space="preserve"> | rel. Joaquim Barbosa</w:t>
      </w:r>
    </w:p>
    <w:p>
      <w:pPr>
        <w:ind w:left="288"/>
      </w:pPr>
      <w:r>
        <w:rPr>
          <w:color w:val="1E1E1E"/>
          <w:sz w:val="18"/>
        </w:rPr>
        <w:t>A jurisprudência do STF tem reconhecido que se pode pleitear a inconstitucionalidade de determinado ato normativo na ação civil pública, desde que incidenter tantum. Veda-se, no entanto, o uso da ação civil pública para alcançar a declaração de inconstitucionalidade com efeitos erga omnes.</w:t>
      </w:r>
    </w:p>
    <w:p>
      <w:pPr>
        <w:ind w:left="288"/>
      </w:pPr>
      <w:r>
        <w:rPr>
          <w:b/>
          <w:color w:val="003CA0"/>
          <w:sz w:val="16"/>
        </w:rPr>
        <w:t>[RE 424.993, rel. min. Joaquim Barbosa, j. 12-9-2007, P, DJ de 19-10-2007.]</w:t>
      </w:r>
    </w:p>
    <w:p>
      <w:pPr>
        <w:ind w:left="288"/>
      </w:pPr>
      <w:r>
        <w:rPr>
          <w:color w:val="8C8C8C"/>
          <w:sz w:val="12"/>
        </w:rPr>
        <w:t>cf-art-102-inc-I-ali-a</w:t>
      </w:r>
      <w:r>
        <w:rPr>
          <w:color w:val="003CA0"/>
          <w:sz w:val="12"/>
        </w:rPr>
        <w:t xml:space="preserve"> | RCL 8.605</w:t>
      </w:r>
      <w:r>
        <w:rPr>
          <w:color w:val="003CA0"/>
          <w:sz w:val="12"/>
        </w:rPr>
        <w:t xml:space="preserve"> | rel. Marco Aurélio</w:t>
      </w:r>
    </w:p>
    <w:p>
      <w:pPr>
        <w:ind w:left="288"/>
      </w:pPr>
      <w:r>
        <w:rPr>
          <w:color w:val="1E1E1E"/>
          <w:sz w:val="18"/>
        </w:rPr>
        <w:t>= Rcl 8.605 AgR, rel. min. Marco Aurélio, j. 17-10-2013, P, DJE de 7-11-2013 Aplicação, pelo Tribunal de Justiça do Espírito Santo, da interpretação conferida pelo STF no julgamento das ADI 3.105/DF e ADI 3.128/DF. Desnecessidade de "retificação"/"correção" pelo órgão legislativo competente em tese. Legitimidade do STF na jurisdição constitucional brasileira.</w:t>
      </w:r>
    </w:p>
    <w:p>
      <w:pPr>
        <w:ind w:left="288"/>
      </w:pPr>
      <w:r>
        <w:rPr>
          <w:b/>
          <w:color w:val="003CA0"/>
          <w:sz w:val="16"/>
        </w:rPr>
        <w:t>[Pet 3.476 AgR, rel. min. Gilmar Mendes, j. 3-5-2006, P, DJ de 9-6-2006.]</w:t>
      </w:r>
    </w:p>
    <w:p>
      <w:pPr>
        <w:ind w:left="288"/>
      </w:pPr>
      <w:r>
        <w:rPr>
          <w:color w:val="8C8C8C"/>
          <w:sz w:val="12"/>
        </w:rPr>
        <w:t>cf-art-102-inc-I-ali-a</w:t>
      </w:r>
      <w:r>
        <w:rPr>
          <w:color w:val="003CA0"/>
          <w:sz w:val="12"/>
        </w:rPr>
        <w:t xml:space="preserve"> | RE 313.768</w:t>
      </w:r>
      <w:r>
        <w:rPr>
          <w:color w:val="003CA0"/>
          <w:sz w:val="12"/>
        </w:rPr>
        <w:t xml:space="preserve"> | rel. Sepúlveda Pertence</w:t>
      </w:r>
    </w:p>
    <w:p>
      <w:pPr>
        <w:ind w:left="288"/>
      </w:pPr>
      <w:r>
        <w:rPr>
          <w:color w:val="1E1E1E"/>
          <w:sz w:val="18"/>
        </w:rPr>
        <w:t>Controle incidente de constitucionalidade: vínculo das Turmas do STF à precedente declaração plenária da constitucionalidade ou inconstitucionalidade de lei ou ato normativo, salvo proposta de revisão de qualquer dos ministros (RISTF, arts. 101 e 103, c/c art. 557, CPC.</w:t>
      </w:r>
    </w:p>
    <w:p>
      <w:pPr>
        <w:ind w:left="288"/>
      </w:pPr>
      <w:r>
        <w:rPr>
          <w:b/>
          <w:color w:val="003CA0"/>
          <w:sz w:val="16"/>
        </w:rPr>
        <w:t>[RE 313.768 AgR, rel. min. Sepúlveda Pertence, j. 26-11-2002, 1ª T, DJ de 19-12-2002.]</w:t>
      </w:r>
    </w:p>
    <w:p>
      <w:pPr>
        <w:ind w:left="144"/>
      </w:pPr>
      <w:r>
        <w:rPr>
          <w:b/>
          <w:color w:val="B45A00"/>
          <w:sz w:val="16"/>
        </w:rPr>
        <w:t>CONTROLE CONCENTRADO</w:t>
      </w:r>
    </w:p>
    <w:p>
      <w:pPr>
        <w:ind w:left="288"/>
      </w:pPr>
      <w:r>
        <w:rPr>
          <w:color w:val="8C8C8C"/>
          <w:sz w:val="12"/>
        </w:rPr>
        <w:t>cf-art-102-inc-I-ali-a</w:t>
      </w:r>
      <w:r>
        <w:rPr>
          <w:color w:val="003CA0"/>
          <w:sz w:val="12"/>
        </w:rPr>
        <w:t xml:space="preserve"> | PET 1.543</w:t>
      </w:r>
      <w:r>
        <w:rPr>
          <w:color w:val="003CA0"/>
          <w:sz w:val="12"/>
        </w:rPr>
        <w:t xml:space="preserve"> | rel. Marco Aurélio</w:t>
      </w:r>
    </w:p>
    <w:p>
      <w:pPr>
        <w:ind w:left="288"/>
      </w:pPr>
      <w:r>
        <w:rPr>
          <w:b/>
          <w:color w:val="003CA0"/>
          <w:sz w:val="16"/>
        </w:rPr>
        <w:t>[Pet 1.543 AgR, rel. min. Marco Aurélio, j. 10-10-2001, P, DJ de 9-11-2001.]</w:t>
      </w:r>
    </w:p>
    <w:p>
      <w:pPr>
        <w:ind w:left="288"/>
      </w:pPr>
      <w:r>
        <w:rPr>
          <w:color w:val="8C8C8C"/>
          <w:sz w:val="12"/>
        </w:rPr>
        <w:t>cf-art-102-inc-I-ali-a</w:t>
      </w:r>
      <w:r>
        <w:rPr>
          <w:color w:val="003CA0"/>
          <w:sz w:val="12"/>
        </w:rPr>
        <w:t xml:space="preserve"> | PET 2.066</w:t>
      </w:r>
      <w:r>
        <w:rPr>
          <w:color w:val="003CA0"/>
          <w:sz w:val="12"/>
        </w:rPr>
        <w:t xml:space="preserve"> | rel. Sepúlveda Pertence</w:t>
      </w:r>
    </w:p>
    <w:p>
      <w:pPr>
        <w:ind w:left="288"/>
      </w:pPr>
      <w:r>
        <w:rPr>
          <w:color w:val="1E1E1E"/>
          <w:sz w:val="18"/>
        </w:rPr>
        <w:t>Controle de constitucionalidade de lei: convivência dos sistemas no STF. No STF – que acumula o monopólio do controle concentrado e direto da constitucionalidade de normas federais e estaduais com a função de órgão de cúpula do sistema paralelo de controle difuso –, é de sustar-se a decisão da arguição incidente de ilegitimidade constitucional do mesmo ato normativo pendente da decisão do pedido de medida cautelar em ação direta.</w:t>
      </w:r>
    </w:p>
    <w:p>
      <w:pPr>
        <w:ind w:left="288"/>
      </w:pPr>
      <w:r>
        <w:rPr>
          <w:b/>
          <w:color w:val="003CA0"/>
          <w:sz w:val="16"/>
        </w:rPr>
        <w:t>[Pet 2.066 AgR-QO, rel. min. Sepúlveda Pertence, j. 2-8-2000, P, DJ de 28-2-2003.]</w:t>
      </w:r>
    </w:p>
    <w:p>
      <w:pPr>
        <w:ind w:left="288"/>
      </w:pPr>
      <w:r>
        <w:rPr>
          <w:color w:val="8C8C8C"/>
          <w:sz w:val="12"/>
        </w:rPr>
        <w:t>cf-art-102-inc-I-ali-a</w:t>
      </w:r>
      <w:r>
        <w:rPr>
          <w:color w:val="003CA0"/>
          <w:sz w:val="12"/>
        </w:rPr>
        <w:t xml:space="preserve"> | RHC 76.946</w:t>
      </w:r>
      <w:r>
        <w:rPr>
          <w:color w:val="003CA0"/>
          <w:sz w:val="12"/>
        </w:rPr>
        <w:t xml:space="preserve"> | rel. Carlos Velloso</w:t>
      </w:r>
    </w:p>
    <w:p>
      <w:pPr>
        <w:ind w:left="288"/>
      </w:pPr>
      <w:r>
        <w:rPr>
          <w:color w:val="1E1E1E"/>
          <w:sz w:val="18"/>
        </w:rPr>
        <w:t>Possibilidade da discussão da constitucionalidade de norma legal no processo do habeas corpus.</w:t>
      </w:r>
    </w:p>
    <w:p>
      <w:pPr>
        <w:ind w:left="288"/>
      </w:pPr>
      <w:r>
        <w:rPr>
          <w:b/>
          <w:color w:val="003CA0"/>
          <w:sz w:val="16"/>
        </w:rPr>
        <w:t>[RHC 76.946, rel. min. Carlos Velloso, j. 27-4-1999, 2ª T, DJ de 11-6-1999.]</w:t>
      </w:r>
    </w:p>
    <w:p>
      <w:pPr>
        <w:ind w:left="288"/>
      </w:pPr>
      <w:r>
        <w:rPr>
          <w:color w:val="8C8C8C"/>
          <w:sz w:val="12"/>
        </w:rPr>
        <w:t>cf-art-102-inc-I-ali-a</w:t>
      </w:r>
      <w:r>
        <w:rPr>
          <w:color w:val="003CA0"/>
          <w:sz w:val="12"/>
        </w:rPr>
        <w:t xml:space="preserve"> | RE 168.277</w:t>
      </w:r>
      <w:r>
        <w:rPr>
          <w:color w:val="003CA0"/>
          <w:sz w:val="12"/>
        </w:rPr>
        <w:t xml:space="preserve"> | rel. Sepúlveda Pertence</w:t>
      </w:r>
    </w:p>
    <w:p>
      <w:pPr>
        <w:ind w:left="288"/>
      </w:pPr>
      <w:r>
        <w:rPr>
          <w:color w:val="1E1E1E"/>
          <w:sz w:val="18"/>
        </w:rPr>
        <w:t>Medida cautelar em ação direta de inconstitucionalidade: indeferida – ao contrário do que sucede na hipótese de concessão (cf. RE 168.277 QO, Galvão, 4-2-1998) – não se suspende, em princípio, o julgamento dos processos em que incidentemente se haja de decidir a mesma questão de inconstitucionalidade.</w:t>
      </w:r>
    </w:p>
    <w:p>
      <w:pPr>
        <w:ind w:left="288"/>
      </w:pPr>
      <w:r>
        <w:rPr>
          <w:b/>
          <w:color w:val="003CA0"/>
          <w:sz w:val="16"/>
        </w:rPr>
        <w:t>[RE 220.271, rel. min. Sepúlveda Pertence, j. 10-3-1998, 1ª T, DJ de 3-4-1998.]</w:t>
      </w:r>
    </w:p>
    <w:p>
      <w:pPr>
        <w:ind w:left="288"/>
      </w:pPr>
      <w:r>
        <w:rPr>
          <w:color w:val="8C8C8C"/>
          <w:sz w:val="12"/>
        </w:rPr>
        <w:t>cf-art-102-inc-I-ali-b</w:t>
      </w:r>
      <w:r>
        <w:rPr>
          <w:color w:val="003CA0"/>
          <w:sz w:val="12"/>
        </w:rPr>
        <w:t xml:space="preserve"> | ADPF 424</w:t>
      </w:r>
      <w:r>
        <w:rPr>
          <w:color w:val="003CA0"/>
          <w:sz w:val="12"/>
        </w:rPr>
        <w:t xml:space="preserve"> | rel. Cristiano Zanin</w:t>
      </w:r>
    </w:p>
    <w:p>
      <w:pPr>
        <w:ind w:left="288"/>
      </w:pPr>
      <w:r>
        <w:rPr>
          <w:color w:val="1E1E1E"/>
          <w:sz w:val="18"/>
        </w:rPr>
        <w:t>Busca e apreensão nas dependências do Congresso Nacional e em imóveis funcionais de parlamentares. (...) Ainda que a investigação não tenha como alvo direto o parlamentar, a apreensão nesses locais de objetos, como documentos e dispositivos informáticos, repercute, ainda que indiretamente, sobre o desempenho da atividade parlamentar e o próprio exercício do mandato, atraindo a competência do Supremo Tribunal Federal (CF/1988, art. 53, § 1º, c/c art. 102, I, “b”). O art. 13, II, do Código de Processo Penal foi recepcionado pela Constituição de 1988, sendo que a legalidade do dever nele instituí</w:t>
      </w:r>
    </w:p>
    <w:p>
      <w:pPr>
        <w:ind w:left="288"/>
      </w:pPr>
      <w:r>
        <w:rPr>
          <w:b/>
          <w:color w:val="003CA0"/>
          <w:sz w:val="16"/>
        </w:rPr>
        <w:t>[ADPF 424, rel. min. Cristiano Zanin, j. 29.09.2025, P, DJE de 13.10.2025.]</w:t>
      </w:r>
    </w:p>
    <w:p>
      <w:pPr>
        <w:ind w:left="288"/>
      </w:pPr>
      <w:r>
        <w:rPr>
          <w:color w:val="8C8C8C"/>
          <w:sz w:val="12"/>
        </w:rPr>
        <w:t>cf-art-102-inc-I-ali-b</w:t>
      </w:r>
      <w:r>
        <w:rPr>
          <w:color w:val="003CA0"/>
          <w:sz w:val="12"/>
        </w:rPr>
        <w:t xml:space="preserve"> | AP 2.668</w:t>
      </w:r>
      <w:r>
        <w:rPr>
          <w:color w:val="003CA0"/>
          <w:sz w:val="12"/>
        </w:rPr>
        <w:t xml:space="preserve"> | rel. Alexandre Moraes</w:t>
      </w:r>
    </w:p>
    <w:p>
      <w:pPr>
        <w:ind w:left="288"/>
      </w:pPr>
      <w:r>
        <w:rPr>
          <w:color w:val="1E1E1E"/>
          <w:sz w:val="18"/>
        </w:rPr>
        <w:t>O STF, por meio de sua Primeira Turma — a partir de 18 de dezembro de 2023 (RISTF, art. 9º, I, l) — é competente para processar e julgar todas as investigações, inquéritos e ações penais referentes aos atos antidemocráticos, milícias digitais, tentativa de golpe e atentado contra os Poderes e instituições, inclusive aqueles ocorridos no dia 8 de janeiro de 2023.</w:t>
      </w:r>
    </w:p>
    <w:p>
      <w:pPr>
        <w:ind w:left="288"/>
      </w:pPr>
      <w:r>
        <w:rPr>
          <w:b/>
          <w:color w:val="003CA0"/>
          <w:sz w:val="16"/>
        </w:rPr>
        <w:t>[AP 2.668, rel. min. Alexandre Moraes, j. 11.09.2025, 1ª T, Informativo STF 1.190, DJE de 22-10-2025]</w:t>
      </w:r>
    </w:p>
    <w:p>
      <w:pPr>
        <w:ind w:left="288"/>
      </w:pPr>
      <w:r>
        <w:rPr>
          <w:color w:val="8C8C8C"/>
          <w:sz w:val="12"/>
        </w:rPr>
        <w:t>cf-art-102-inc-I-ali-b</w:t>
      </w:r>
      <w:r>
        <w:rPr>
          <w:color w:val="003CA0"/>
          <w:sz w:val="12"/>
        </w:rPr>
        <w:t xml:space="preserve"> | ADI 7.083</w:t>
      </w:r>
      <w:r>
        <w:rPr>
          <w:color w:val="003CA0"/>
          <w:sz w:val="12"/>
        </w:rPr>
        <w:t xml:space="preserve"> | rel. Cármen Lúcia</w:t>
      </w:r>
    </w:p>
    <w:p>
      <w:pPr>
        <w:ind w:left="288"/>
      </w:pPr>
      <w:r>
        <w:rPr>
          <w:color w:val="1E1E1E"/>
          <w:sz w:val="18"/>
        </w:rPr>
        <w:t>Em interpretação sistemática da Constituição da República, a mesma razão jurídica apontada para justificar a necessidade de supervisão judicial dos atos investigatórios de autoridades com prerrogativa de foro neste Supremo Tribunal Federal aplica-se às autoridades com prerrogativa de foro em outros Tribunais.</w:t>
      </w:r>
    </w:p>
    <w:p>
      <w:pPr>
        <w:ind w:left="288"/>
      </w:pPr>
      <w:r>
        <w:rPr>
          <w:b/>
          <w:color w:val="003CA0"/>
          <w:sz w:val="16"/>
        </w:rPr>
        <w:t>[ADI 7.083, rel. min. Cármen Lúcia, j. 16-5-2022, P, DJE de 24-5-2022.]</w:t>
      </w:r>
    </w:p>
    <w:p>
      <w:pPr>
        <w:ind w:left="288"/>
      </w:pPr>
      <w:r>
        <w:rPr>
          <w:color w:val="8C8C8C"/>
          <w:sz w:val="12"/>
        </w:rPr>
        <w:t>cf-art-102-inc-I-ali-b</w:t>
      </w:r>
      <w:r>
        <w:rPr>
          <w:color w:val="003CA0"/>
          <w:sz w:val="12"/>
        </w:rPr>
        <w:t xml:space="preserve"> | ADI 5.175</w:t>
      </w:r>
      <w:r>
        <w:rPr>
          <w:color w:val="003CA0"/>
          <w:sz w:val="12"/>
        </w:rPr>
        <w:t xml:space="preserve"> | rel. Gilmar Mendes</w:t>
      </w:r>
    </w:p>
    <w:p>
      <w:pPr>
        <w:ind w:left="288"/>
      </w:pPr>
      <w:r>
        <w:rPr>
          <w:color w:val="1E1E1E"/>
          <w:sz w:val="18"/>
        </w:rPr>
        <w:t xml:space="preserve">Emenda 49/2014 do Regimento Interno do Supremo Tribunal Federal. Transferência da competência do Plenário para as Turmas para processar e julgar, nos crimes comuns, Deputados e Senadores. Manutenção da competência do Tribunal Pleno para julgar o Presidente da República, o Vice-Presidente da República, o Presidente do Senado Federal, o Presidente da Câmara dos Deputados, os Ministros do Supremo Tribunal Federal e o Procurador-Geral da República. (...) O Supremo Tribunal Federal exerce sua competência pelo Plenário, pelas Turmas, pelo Presidente e por meio de cada Ministro. Ausência de violação </w:t>
      </w:r>
    </w:p>
    <w:p>
      <w:pPr>
        <w:ind w:left="288"/>
      </w:pPr>
      <w:r>
        <w:rPr>
          <w:b/>
          <w:color w:val="003CA0"/>
          <w:sz w:val="16"/>
        </w:rPr>
        <w:t>[ADI 5.175, rel. min. Gilmar Mendes, j. 22-6-2020, P, DJE de 6-8-2020.]</w:t>
      </w:r>
    </w:p>
    <w:p>
      <w:pPr>
        <w:ind w:left="288"/>
      </w:pPr>
      <w:r>
        <w:rPr>
          <w:color w:val="8C8C8C"/>
          <w:sz w:val="12"/>
        </w:rPr>
        <w:t>cf-art-102-inc-I-ali-b</w:t>
      </w:r>
      <w:r>
        <w:rPr>
          <w:color w:val="003CA0"/>
          <w:sz w:val="12"/>
        </w:rPr>
        <w:t xml:space="preserve"> | ADI 4.381</w:t>
      </w:r>
      <w:r>
        <w:rPr>
          <w:color w:val="003CA0"/>
          <w:sz w:val="12"/>
        </w:rPr>
        <w:t xml:space="preserve"> | rel. Roberto Barroso</w:t>
      </w:r>
    </w:p>
    <w:p>
      <w:pPr>
        <w:ind w:left="288"/>
      </w:pPr>
      <w:r>
        <w:rPr>
          <w:color w:val="1E1E1E"/>
          <w:sz w:val="18"/>
        </w:rPr>
        <w:t>Vedação à imposição de uniformes que ponham em evidência o corpo das funcionárias e funcionários. (...) Usurpa a competência legislativa da União o diploma estadual que regula aspecto da relação jurídico-trabalhista, criando direitos e deveres às partes do contrato de trabalho (CF/88, art. 22, I). Em que pese a relevância social da matéria e a inegável reprovabilidade da conduta que se pretendia coibir, não é possível ignorar a inconstitucionalidade formal do diploma.</w:t>
      </w:r>
    </w:p>
    <w:p>
      <w:pPr>
        <w:ind w:left="288"/>
      </w:pPr>
      <w:r>
        <w:rPr>
          <w:b/>
          <w:color w:val="003CA0"/>
          <w:sz w:val="16"/>
        </w:rPr>
        <w:t>[ADI 4.381, rel. min. Roberto Barroso, j. 22-6-2020, P, DJE de 7-8-2020.]</w:t>
      </w:r>
    </w:p>
    <w:p>
      <w:pPr>
        <w:ind w:left="288"/>
      </w:pPr>
      <w:r>
        <w:rPr>
          <w:color w:val="8C8C8C"/>
          <w:sz w:val="12"/>
        </w:rPr>
        <w:t>cf-art-102-inc-I-ali-b</w:t>
      </w:r>
      <w:r>
        <w:rPr>
          <w:color w:val="003CA0"/>
          <w:sz w:val="12"/>
        </w:rPr>
        <w:t xml:space="preserve"> | ADI 2.797</w:t>
      </w:r>
      <w:r>
        <w:rPr>
          <w:color w:val="003CA0"/>
          <w:sz w:val="12"/>
        </w:rPr>
        <w:t xml:space="preserve"> | rel. Ayres Britto</w:t>
      </w:r>
    </w:p>
    <w:p>
      <w:pPr>
        <w:ind w:left="288"/>
      </w:pPr>
      <w:r>
        <w:rPr>
          <w:color w:val="1E1E1E"/>
          <w:sz w:val="18"/>
        </w:rPr>
        <w:t>Durante quase três anos os tribunais brasileiros processaram e julgaram ações penais e de improbidade administrativa contra ocupantes e ex-ocupantes de cargos com prerrogativa de foro, com fundamento nos §§ 1º e 2º do art. 84 do CPP. Como esses dispositivos legais cuidavam de competência dos órgãos do Poder Judiciário, todos os processos por eles alcançados retornariam à estaca zero, com evidentes impactos negativos à segurança jurídica e à efetividade da prestação jurisdicional. Embargos de declaração conhecidos e acolhidos para fixar a data de 15 de setembro de 2005 como termo inicial dos ef</w:t>
      </w:r>
    </w:p>
    <w:p>
      <w:pPr>
        <w:ind w:left="288"/>
      </w:pPr>
      <w:r>
        <w:rPr>
          <w:b/>
          <w:color w:val="003CA0"/>
          <w:sz w:val="16"/>
        </w:rPr>
        <w:t>[ADI 2.797 ED, rel. p/ o ac. min. Ayres Britto, j. 17-5-2012, P, DJE de 28-2-2013.]</w:t>
      </w:r>
    </w:p>
    <w:p>
      <w:pPr>
        <w:ind w:left="288"/>
      </w:pPr>
      <w:r>
        <w:rPr>
          <w:color w:val="8C8C8C"/>
          <w:sz w:val="12"/>
        </w:rPr>
        <w:t>cf-art-102-inc-I-ali-b</w:t>
      </w:r>
      <w:r>
        <w:rPr>
          <w:color w:val="003CA0"/>
          <w:sz w:val="12"/>
        </w:rPr>
        <w:t xml:space="preserve"> | ADI 2.797</w:t>
      </w:r>
      <w:r>
        <w:rPr>
          <w:color w:val="003CA0"/>
          <w:sz w:val="12"/>
        </w:rPr>
        <w:t xml:space="preserve"> | rel. Sepúlveda Pertence</w:t>
      </w:r>
    </w:p>
    <w:p>
      <w:pPr>
        <w:ind w:left="288"/>
      </w:pPr>
      <w:r>
        <w:rPr>
          <w:color w:val="1E1E1E"/>
          <w:sz w:val="18"/>
        </w:rPr>
        <w:t>Vide ADI 2.797 e ADI 2.860, rel. min. Sepúlveda Pertence, j. 15-9-2005, P, DJ de 19-12-2006 (...) por se tratar de prerrogativa do cargo, e não de privilégio pessoal, o foro privativo para atos cometidos no exercício das funções deve subsistir mesmo após a cessão do exercício funcional. Afinal, a saída do cargo não ofusca as razões que fomentam a outorga de competência originária aos Tribunais. O que ocorre é justamente o contrário. É nesse instante que adversários do ex-titular da posição política possuem mais condições de exercer influências em seu desfavor, e a prerrogativa de foro se torna</w:t>
      </w:r>
    </w:p>
    <w:p>
      <w:pPr>
        <w:ind w:left="288"/>
      </w:pPr>
      <w:r>
        <w:rPr>
          <w:b/>
          <w:color w:val="003CA0"/>
          <w:sz w:val="16"/>
        </w:rPr>
        <w:t>[Inq 4.787 AgR-QO, rel. min. Gilmar Mendes, j. 12.03.2025, P, DJE de 27.05.2025.]</w:t>
      </w:r>
    </w:p>
    <w:p>
      <w:pPr>
        <w:ind w:left="288"/>
      </w:pPr>
      <w:r>
        <w:rPr>
          <w:color w:val="8C8C8C"/>
          <w:sz w:val="12"/>
        </w:rPr>
        <w:t>cf-art-102-inc-I-ali-b</w:t>
      </w:r>
      <w:r>
        <w:rPr>
          <w:color w:val="003CA0"/>
          <w:sz w:val="12"/>
        </w:rPr>
        <w:t xml:space="preserve"> | RE 696.533</w:t>
      </w:r>
      <w:r>
        <w:rPr>
          <w:color w:val="003CA0"/>
          <w:sz w:val="12"/>
        </w:rPr>
        <w:t xml:space="preserve"> | rel. Luiz Fux</w:t>
      </w:r>
    </w:p>
    <w:p>
      <w:pPr>
        <w:ind w:left="288"/>
      </w:pPr>
      <w:r>
        <w:rPr>
          <w:color w:val="1E1E1E"/>
          <w:sz w:val="18"/>
        </w:rPr>
        <w:t>O STF é competente para julgamento do recurso especial interposto contra o acórdão condenatório proferido pelo TRF 4ª Região, quando, após a interposição do recurso especial, o recorrente foi diplomado no cargo de deputado federal, o que atrai a competência desta Suprema Corte para julgamento das ações penais contra os membros do Congresso Nacional.</w:t>
      </w:r>
    </w:p>
    <w:p>
      <w:pPr>
        <w:ind w:left="288"/>
      </w:pPr>
      <w:r>
        <w:rPr>
          <w:b/>
          <w:color w:val="003CA0"/>
          <w:sz w:val="16"/>
        </w:rPr>
        <w:t>[RE 696.533 AgR-ED, rel. min. Luiz Fux, j. 31-3-2017, 1ª T, DJE de 20-4-2017.]</w:t>
      </w:r>
    </w:p>
    <w:p>
      <w:pPr>
        <w:ind w:left="288"/>
      </w:pPr>
      <w:r>
        <w:rPr>
          <w:color w:val="8C8C8C"/>
          <w:sz w:val="12"/>
        </w:rPr>
        <w:t>cf-art-102-inc-I-ali-b</w:t>
      </w:r>
      <w:r>
        <w:rPr>
          <w:color w:val="003CA0"/>
          <w:sz w:val="12"/>
        </w:rPr>
        <w:t xml:space="preserve"> | RHC 135.683</w:t>
      </w:r>
      <w:r>
        <w:rPr>
          <w:color w:val="003CA0"/>
          <w:sz w:val="12"/>
        </w:rPr>
        <w:t xml:space="preserve"> | rel. Dias Toffoli</w:t>
      </w:r>
    </w:p>
    <w:p>
      <w:pPr>
        <w:ind w:left="288"/>
      </w:pPr>
      <w:r>
        <w:rPr>
          <w:color w:val="1E1E1E"/>
          <w:sz w:val="18"/>
        </w:rPr>
        <w:t>Interceptações telefônicas realizadas em primeiro grau de jurisdição. Operação Vegas. Surgimento de indícios do envolvimento de senador da República, detentor de prerrogativa de foro, em fatos criminosos em apuração. Competência do STF para processar e julgar originariamente a causa (...). Necessidade de imediata remessa dos autos à Corte. Não ocorrência. Usurpação de sua competência constitucional configurada. Prosseguimento das investigações em primeiro grau. Tentativa de arrecadar maiores elementos de informação por via oblíqua sem a autorização do STF. Violação do princípio do juiz natural</w:t>
      </w:r>
    </w:p>
    <w:p>
      <w:pPr>
        <w:ind w:left="288"/>
      </w:pPr>
      <w:r>
        <w:rPr>
          <w:b/>
          <w:color w:val="003CA0"/>
          <w:sz w:val="16"/>
        </w:rPr>
        <w:t>[Inq 3.732, rel. min. Cármen Lúcia, j. 8-3-2016, 2ª T, DJE de 22-3-2016.]</w:t>
      </w:r>
    </w:p>
    <w:p>
      <w:pPr>
        <w:ind w:left="288"/>
      </w:pPr>
      <w:r>
        <w:rPr>
          <w:color w:val="8C8C8C"/>
          <w:sz w:val="12"/>
        </w:rPr>
        <w:t>cf-art-102-inc-I-ali-b</w:t>
      </w:r>
      <w:r>
        <w:rPr>
          <w:color w:val="003CA0"/>
          <w:sz w:val="12"/>
        </w:rPr>
        <w:t xml:space="preserve"> | INQ 3.515</w:t>
      </w:r>
      <w:r>
        <w:rPr>
          <w:color w:val="003CA0"/>
          <w:sz w:val="12"/>
        </w:rPr>
        <w:t xml:space="preserve"> | rel. Marco Aurélio</w:t>
      </w:r>
    </w:p>
    <w:p>
      <w:pPr>
        <w:ind w:left="288"/>
      </w:pPr>
      <w:r>
        <w:rPr>
          <w:color w:val="1E1E1E"/>
          <w:sz w:val="18"/>
        </w:rPr>
        <w:t>Segundo entendimento afirmado por seu Plenário, cabe ao STF, ao exercer sua prerrogativa exclusiva de decidir sobre a cisão de processos envolvendo agentes com prerrogativa de foro, promover, em regra, o seu desmembramento, a fim de manter sob sua jurisdição apenas o que envolva especificamente essas autoridades, segundo as circunstâncias de cada caso (Inq 3.515 AgR, rel. min. Marco Aurélio, Tribunal Pleno, julgado em 13-2-2014, DJE de 14-3-2014). Ressalvam-se, todavia, situações em que os fatos se revelem "de tal forma imbricados que a cisão por si só implique prejuízo a seu esclarecimento" (</w:t>
      </w:r>
    </w:p>
    <w:p>
      <w:pPr>
        <w:ind w:left="288"/>
      </w:pPr>
      <w:r>
        <w:rPr>
          <w:b/>
          <w:color w:val="003CA0"/>
          <w:sz w:val="16"/>
        </w:rPr>
        <w:t>[Inq 3.983, rel. min. Teori Zavascki, j. 3-3-2016, P, DJE de 12-5-2016.]</w:t>
      </w:r>
    </w:p>
    <w:p>
      <w:pPr>
        <w:ind w:left="288"/>
      </w:pPr>
      <w:r>
        <w:rPr>
          <w:color w:val="8C8C8C"/>
          <w:sz w:val="12"/>
        </w:rPr>
        <w:t>cf-art-102-inc-I-ali-b</w:t>
      </w:r>
      <w:r>
        <w:rPr>
          <w:color w:val="003CA0"/>
          <w:sz w:val="12"/>
        </w:rPr>
        <w:t xml:space="preserve"> | INQ 3.734</w:t>
      </w:r>
      <w:r>
        <w:rPr>
          <w:color w:val="003CA0"/>
          <w:sz w:val="12"/>
        </w:rPr>
        <w:t xml:space="preserve"> | rel. Roberto Barroso</w:t>
      </w:r>
    </w:p>
    <w:p>
      <w:pPr>
        <w:ind w:left="288"/>
      </w:pPr>
      <w:r>
        <w:rPr>
          <w:color w:val="1E1E1E"/>
          <w:sz w:val="18"/>
        </w:rPr>
        <w:t>A Turma, por maioria de votos, já decidiu que a renúncia de parlamentar, após o final da instrução, não acarreta a perda de competência do STF. (...) No Inq 3.734, a Turma entendeu, por ocasião do recebimento da denúncia, que na hipótese de não reeleição não se aplica o mesmo critério de fixação de competência. O caso presente, que envolve julgamento de ação penal, é análogo a este último. No entanto, a instrução foi concluída e o voto do relator preparado quando o denunciado ainda era titular de mandato. Diante disso, o relator propôs a concessão de habeas corpus de ofício, já que seu voto er</w:t>
      </w:r>
    </w:p>
    <w:p>
      <w:pPr>
        <w:ind w:left="288"/>
      </w:pPr>
      <w:r>
        <w:rPr>
          <w:b/>
          <w:color w:val="003CA0"/>
          <w:sz w:val="16"/>
        </w:rPr>
        <w:t>[AP 568, rel. min. Roberto Barroso, j. 14-4-2015, 1ª T, DJE de 18-5-2015.]</w:t>
      </w:r>
    </w:p>
    <w:p>
      <w:pPr>
        <w:ind w:left="288"/>
      </w:pPr>
      <w:r>
        <w:rPr>
          <w:color w:val="8C8C8C"/>
          <w:sz w:val="12"/>
        </w:rPr>
        <w:t>cf-art-102-inc-I-ali-b</w:t>
      </w:r>
      <w:r>
        <w:rPr>
          <w:color w:val="003CA0"/>
          <w:sz w:val="12"/>
        </w:rPr>
        <w:t xml:space="preserve"> | AP 563</w:t>
      </w:r>
      <w:r>
        <w:rPr>
          <w:color w:val="003CA0"/>
          <w:sz w:val="12"/>
        </w:rPr>
        <w:t xml:space="preserve"> | rel. Teori Zavascki</w:t>
      </w:r>
    </w:p>
    <w:p>
      <w:pPr>
        <w:ind w:left="288"/>
      </w:pPr>
      <w:r>
        <w:rPr>
          <w:color w:val="1E1E1E"/>
          <w:sz w:val="18"/>
        </w:rPr>
        <w:t>Incumbe ao STF, nos termos do art. 102, I, b, da Constituição, processar e julgar originariamente, nas infrações penais comuns (como no caso), os membros do Congresso Nacional desde o momento em que passam a ter direito a assento na cadeira parlamentar, com a expedição do diploma (art. 53, § 1º, da Constituição). Manifestando-se a prerrogativa de foro após a sentença proferida pelo juízo de primeiro grau e pendente de julgamento a apelação, passa a causa à jurisdição do STF, para aqui ter seu prosseguimento a partir do estado em que se encontra, legítimos os atos anteriormente nela praticados.</w:t>
      </w:r>
    </w:p>
    <w:p>
      <w:pPr>
        <w:ind w:left="288"/>
      </w:pPr>
      <w:r>
        <w:rPr>
          <w:b/>
          <w:color w:val="003CA0"/>
          <w:sz w:val="16"/>
        </w:rPr>
        <w:t>[AP 563, rel. min. Teori Zavascki, j. 21-10-2014, 2ª T, DJE de 28-11-2014.]</w:t>
      </w:r>
    </w:p>
    <w:p>
      <w:pPr>
        <w:ind w:left="288"/>
      </w:pPr>
      <w:r>
        <w:rPr>
          <w:color w:val="8C8C8C"/>
          <w:sz w:val="12"/>
        </w:rPr>
        <w:t>cf-art-102-inc-I-ali-b</w:t>
      </w:r>
      <w:r>
        <w:rPr>
          <w:color w:val="003CA0"/>
          <w:sz w:val="12"/>
        </w:rPr>
        <w:t xml:space="preserve"> | AP 606</w:t>
      </w:r>
      <w:r>
        <w:rPr>
          <w:color w:val="003CA0"/>
          <w:sz w:val="12"/>
        </w:rPr>
        <w:t xml:space="preserve"> | rel. Roberto Barroso</w:t>
      </w:r>
    </w:p>
    <w:p>
      <w:pPr>
        <w:ind w:left="288"/>
      </w:pPr>
      <w:r>
        <w:rPr>
          <w:color w:val="1E1E1E"/>
          <w:sz w:val="18"/>
        </w:rPr>
        <w:t>A renúncia de parlamentar, após o final da instrução, não acarreta a perda de competência do STF. Superação da jurisprudência anterior. Havendo a renúncia ocorrido anteriormente ao final da instrução, declina-se da competência para o juízo de primeiro grau.</w:t>
      </w:r>
    </w:p>
    <w:p>
      <w:pPr>
        <w:ind w:left="288"/>
      </w:pPr>
      <w:r>
        <w:rPr>
          <w:b/>
          <w:color w:val="003CA0"/>
          <w:sz w:val="16"/>
        </w:rPr>
        <w:t>[AP 606 QO, rel. min. Roberto Barroso, j. 12-8-2014, 1ª T, DJE de 18-9-2014.]</w:t>
      </w:r>
    </w:p>
    <w:p>
      <w:pPr>
        <w:ind w:left="288"/>
      </w:pPr>
      <w:r>
        <w:rPr>
          <w:color w:val="8C8C8C"/>
          <w:sz w:val="12"/>
        </w:rPr>
        <w:t>cf-art-102-inc-I-ali-b</w:t>
      </w:r>
      <w:r>
        <w:rPr>
          <w:color w:val="003CA0"/>
          <w:sz w:val="12"/>
        </w:rPr>
        <w:t xml:space="preserve"> | AP 396</w:t>
      </w:r>
      <w:r>
        <w:rPr>
          <w:color w:val="003CA0"/>
          <w:sz w:val="12"/>
        </w:rPr>
        <w:t xml:space="preserve"> | rel. Cármen Lúcia</w:t>
      </w:r>
    </w:p>
    <w:p>
      <w:pPr>
        <w:ind w:left="288"/>
      </w:pPr>
      <w:r>
        <w:rPr>
          <w:color w:val="1E1E1E"/>
          <w:sz w:val="18"/>
        </w:rPr>
        <w:t>Vide AP 396, rel. min. Cármen Lúcia, j. 28-10-2010, P, DJE de 28-4-2011 Desmembrado o processo-crime para que seja julgado o recurso de apelação interposto pelo réu detentor da prerrogativa de foro de que trata o art. 102, I, b, da Constituição da República, não mais persiste a competência deste STF para decidir sobre os demais pedidos do agravante.</w:t>
      </w:r>
    </w:p>
    <w:p>
      <w:pPr>
        <w:ind w:left="288"/>
      </w:pPr>
      <w:r>
        <w:rPr>
          <w:b/>
          <w:color w:val="003CA0"/>
          <w:sz w:val="16"/>
        </w:rPr>
        <w:t>[AP 639 AgR, rel. min. Cármen Lúcia, j. 5-6-2014, P, DJE de 13-6-2014.]</w:t>
      </w:r>
    </w:p>
    <w:p>
      <w:pPr>
        <w:ind w:left="288"/>
      </w:pPr>
      <w:r>
        <w:rPr>
          <w:color w:val="8C8C8C"/>
          <w:sz w:val="12"/>
        </w:rPr>
        <w:t>cf-art-102-inc-I-ali-b</w:t>
      </w:r>
      <w:r>
        <w:rPr>
          <w:color w:val="003CA0"/>
          <w:sz w:val="12"/>
        </w:rPr>
        <w:t xml:space="preserve"> | AP 634</w:t>
      </w:r>
      <w:r>
        <w:rPr>
          <w:color w:val="003CA0"/>
          <w:sz w:val="12"/>
        </w:rPr>
        <w:t xml:space="preserve"> | rel. Roberto Barroso</w:t>
      </w:r>
    </w:p>
    <w:p>
      <w:pPr>
        <w:ind w:left="288"/>
      </w:pPr>
      <w:r>
        <w:rPr>
          <w:color w:val="1E1E1E"/>
          <w:sz w:val="18"/>
        </w:rPr>
        <w:t>Processual penal. Questão de ordem em apelação criminal. Competência de tribunal de justiça. Proferido o primeiro voto em julgamento de apelação criminal por tribunal de justiça, o exercício superveniente de mandato parlamentar pelo réu, antes da conclusão do julgamento, não tem o condão de deslocar a competência para o STF. Ademais, no caso, o réu foi diplomado suplente e assumiu o mandato, em razão do afastamento do titular, dois dias antes de o revisor devolver o processo para a continuação do julgamento, havendo comunicado esse fato apenas no dia da sessão. Mais que isso, atualmente, confo</w:t>
      </w:r>
    </w:p>
    <w:p>
      <w:pPr>
        <w:ind w:left="288"/>
      </w:pPr>
      <w:r>
        <w:rPr>
          <w:b/>
          <w:color w:val="003CA0"/>
          <w:sz w:val="16"/>
        </w:rPr>
        <w:t>[AP 634 QO, rel. min. Roberto Barroso, j. 6-2-2014, P, DJE de 30-10-2014.]</w:t>
      </w:r>
    </w:p>
    <w:p>
      <w:pPr>
        <w:ind w:left="288"/>
      </w:pPr>
      <w:r>
        <w:rPr>
          <w:color w:val="8C8C8C"/>
          <w:sz w:val="12"/>
        </w:rPr>
        <w:t>cf-art-102-inc-I-ali-b</w:t>
      </w:r>
      <w:r>
        <w:rPr>
          <w:color w:val="003CA0"/>
          <w:sz w:val="12"/>
        </w:rPr>
        <w:t xml:space="preserve"> | HC 70.620</w:t>
      </w:r>
      <w:r>
        <w:rPr>
          <w:color w:val="003CA0"/>
          <w:sz w:val="12"/>
        </w:rPr>
        <w:t xml:space="preserve"> | rel. Celso de Mello</w:t>
      </w:r>
    </w:p>
    <w:p>
      <w:pPr>
        <w:ind w:left="288"/>
      </w:pPr>
      <w:r>
        <w:rPr>
          <w:color w:val="1E1E1E"/>
          <w:sz w:val="18"/>
        </w:rPr>
        <w:t>Vide HC 70.620, rel. min. Celso de Mello, j. 16-12-1993, P, DJ de 24-11-2006 A instauração do procedimento a que se refere o art. 22 da LC 64/1990 – pertinente ao suposto envolvimento de membro do Congresso Nacional em alegado abuso de poder econômico, considerada a natureza jurídica das sanções de direito eleitoral nele imponíveis – não torna invocável, por isso mesmo, para efeito de seu processamento, a prerrogativa de foro perante o STF, eis que esse procedimento, disciplinado pela LC 64/1990 (art. 22), objetiva, em última análise, viabilizar a imposição de sanção de direito eleitoral, desv</w:t>
      </w:r>
    </w:p>
    <w:p>
      <w:pPr>
        <w:ind w:left="288"/>
      </w:pPr>
      <w:r>
        <w:rPr>
          <w:b/>
          <w:color w:val="003CA0"/>
          <w:sz w:val="16"/>
        </w:rPr>
        <w:t>[Rcl 13.286 MC, rel. min. Celso de Mello, j. 17-2-2012, dec. monocrática, DJE de 29-2-2012.]</w:t>
      </w:r>
    </w:p>
    <w:p>
      <w:pPr>
        <w:ind w:left="288"/>
      </w:pPr>
      <w:r>
        <w:rPr>
          <w:color w:val="8C8C8C"/>
          <w:sz w:val="12"/>
        </w:rPr>
        <w:t>cf-art-102-inc-I-ali-b</w:t>
      </w:r>
      <w:r>
        <w:rPr>
          <w:color w:val="003CA0"/>
          <w:sz w:val="12"/>
        </w:rPr>
        <w:t xml:space="preserve"> | RCL 514</w:t>
      </w:r>
      <w:r>
        <w:rPr>
          <w:color w:val="003CA0"/>
          <w:sz w:val="12"/>
        </w:rPr>
        <w:t xml:space="preserve"> | rel. Octavio Gallotti</w:t>
      </w:r>
    </w:p>
    <w:p>
      <w:pPr>
        <w:ind w:left="288"/>
      </w:pPr>
      <w:r>
        <w:rPr>
          <w:color w:val="1E1E1E"/>
          <w:sz w:val="18"/>
        </w:rPr>
        <w:t>Vide Rcl 514, rel. min. Octavio Gallotti, j. 21-6-2000, P, DJ de 29-9-2000 A simples convicção da indiciada, sem o aval do titular da ação penal, de que o deputado federal (...) tenha praticado crimes relacionados aos fatos investigados não é apta a ensejar a permanência dos autos nesta Suprema Corte.</w:t>
      </w:r>
    </w:p>
    <w:p>
      <w:pPr>
        <w:ind w:left="288"/>
      </w:pPr>
      <w:r>
        <w:rPr>
          <w:b/>
          <w:color w:val="003CA0"/>
          <w:sz w:val="16"/>
        </w:rPr>
        <w:t>[Inq 2.890 AgR, rel. min. Dias Toffoli, j. 15-9-2011, P, DJE de 10-10-2011.]</w:t>
      </w:r>
    </w:p>
    <w:p>
      <w:pPr>
        <w:ind w:left="288"/>
      </w:pPr>
      <w:r>
        <w:rPr>
          <w:color w:val="8C8C8C"/>
          <w:sz w:val="12"/>
        </w:rPr>
        <w:t>cf-art-102-inc-I-ali-b</w:t>
      </w:r>
      <w:r>
        <w:rPr>
          <w:color w:val="003CA0"/>
          <w:sz w:val="12"/>
        </w:rPr>
        <w:t xml:space="preserve"> | INQ 1.645</w:t>
      </w:r>
      <w:r>
        <w:rPr>
          <w:color w:val="003CA0"/>
          <w:sz w:val="12"/>
        </w:rPr>
        <w:t xml:space="preserve"> | rel. Luiz Fux</w:t>
      </w:r>
    </w:p>
    <w:p>
      <w:pPr>
        <w:ind w:left="288"/>
      </w:pPr>
      <w:r>
        <w:rPr>
          <w:color w:val="1E1E1E"/>
          <w:sz w:val="18"/>
        </w:rPr>
        <w:t>A competência do Supremo cessa ante o exaurimento do mandato de parlamentar federal do investigado, mas o julgamento dos embargos declaratórios contra o acórdão do tribunal pleno mediante o qual recebida a denúncia compete a esta Corte.</w:t>
      </w:r>
    </w:p>
    <w:p>
      <w:pPr>
        <w:ind w:left="288"/>
      </w:pPr>
      <w:r>
        <w:rPr>
          <w:b/>
          <w:color w:val="003CA0"/>
          <w:sz w:val="16"/>
        </w:rPr>
        <w:t>[Inq 1.645 ED, rel. min. Luiz Fux, j. 19-5-2011, P, DJE de 17-6-2011.]</w:t>
      </w:r>
    </w:p>
    <w:p>
      <w:pPr>
        <w:ind w:left="288"/>
      </w:pPr>
      <w:r>
        <w:rPr>
          <w:color w:val="8C8C8C"/>
          <w:sz w:val="12"/>
        </w:rPr>
        <w:t>cf-art-102-inc-I-ali-b</w:t>
      </w:r>
      <w:r>
        <w:rPr>
          <w:color w:val="003CA0"/>
          <w:sz w:val="12"/>
        </w:rPr>
        <w:t xml:space="preserve"> | AP 527</w:t>
      </w:r>
      <w:r>
        <w:rPr>
          <w:color w:val="003CA0"/>
          <w:sz w:val="12"/>
        </w:rPr>
        <w:t xml:space="preserve"> | rel. Dias Toffoli</w:t>
      </w:r>
    </w:p>
    <w:p>
      <w:pPr>
        <w:ind w:left="288"/>
      </w:pPr>
      <w:r>
        <w:rPr>
          <w:color w:val="1E1E1E"/>
          <w:sz w:val="18"/>
        </w:rPr>
        <w:t>Consoante posicionamento jurisprudencial desta Colenda Corte Constitucional, a competência penal originária do STF por prerrogativa de função advinda da investidura de sujeito ativo de um delito, no curso do processo, em uma das funções descritas no art. 102, I, b e c, da CF/1988 não acarreta a nulidade da denúncia oferecida nem dos atos processuais praticados anteriormente perante a justiça competente à época dos fatos.</w:t>
      </w:r>
    </w:p>
    <w:p>
      <w:pPr>
        <w:ind w:left="288"/>
      </w:pPr>
      <w:r>
        <w:rPr>
          <w:b/>
          <w:color w:val="003CA0"/>
          <w:sz w:val="16"/>
        </w:rPr>
        <w:t>[AP 527, rel. min. Dias Toffoli, j. 16-12-2010, P, DJE de 4-4-2011.]</w:t>
      </w:r>
    </w:p>
    <w:p>
      <w:pPr>
        <w:ind w:left="288"/>
      </w:pPr>
      <w:r>
        <w:rPr>
          <w:color w:val="8C8C8C"/>
          <w:sz w:val="12"/>
        </w:rPr>
        <w:t>cf-art-102-inc-I-ali-b</w:t>
      </w:r>
      <w:r>
        <w:rPr>
          <w:color w:val="003CA0"/>
          <w:sz w:val="12"/>
        </w:rPr>
        <w:t xml:space="preserve"> | INQ 2.648</w:t>
      </w:r>
      <w:r>
        <w:rPr>
          <w:color w:val="003CA0"/>
          <w:sz w:val="12"/>
        </w:rPr>
        <w:t xml:space="preserve"> | rel. Cármen Lúcia</w:t>
      </w:r>
    </w:p>
    <w:p>
      <w:pPr>
        <w:ind w:left="288"/>
      </w:pPr>
      <w:r>
        <w:rPr>
          <w:color w:val="1E1E1E"/>
          <w:sz w:val="18"/>
        </w:rPr>
        <w:t>= Inq 2.648, rel. min. Cármen Lúcia, j. 12-6-2008, P, DJE de 22-8-2008 Deputado federal. Renúncia ao mandato. Abuso de direito: reconhecimento da competência do STF para a continuidade do julgamento da presente ação penal. (...) Renúncia de mandato: ato legítimo. Não se presta, porém, a ser utilizada como subterfúgio para deslocamento de competências constitucionalmente definidas, que não podem ser objeto de escolha pessoal. Impossibilidade de ser aproveitada como expediente para impedir o julgamento em tempo à absolvição ou à condenação e, neste caso, à definição de penas. No caso, a renúncia</w:t>
      </w:r>
    </w:p>
    <w:p>
      <w:pPr>
        <w:ind w:left="288"/>
      </w:pPr>
      <w:r>
        <w:rPr>
          <w:b/>
          <w:color w:val="003CA0"/>
          <w:sz w:val="16"/>
        </w:rPr>
        <w:t>[AP 396, rel. min. Cármen Lúcia, j. 28-10-2010, P, DJE de 28-4-2011.]</w:t>
      </w:r>
    </w:p>
    <w:p>
      <w:pPr>
        <w:ind w:left="288"/>
      </w:pPr>
      <w:r>
        <w:rPr>
          <w:color w:val="8C8C8C"/>
          <w:sz w:val="12"/>
        </w:rPr>
        <w:t>cf-art-102-inc-I-ali-b</w:t>
      </w:r>
      <w:r>
        <w:rPr>
          <w:color w:val="003CA0"/>
          <w:sz w:val="12"/>
        </w:rPr>
        <w:t xml:space="preserve"> | AP 606</w:t>
      </w:r>
      <w:r>
        <w:rPr>
          <w:color w:val="003CA0"/>
          <w:sz w:val="12"/>
        </w:rPr>
        <w:t xml:space="preserve"> | rel. Roberto Barroso</w:t>
      </w:r>
    </w:p>
    <w:p>
      <w:pPr>
        <w:ind w:left="288"/>
      </w:pPr>
      <w:r>
        <w:rPr>
          <w:color w:val="1E1E1E"/>
          <w:sz w:val="18"/>
        </w:rPr>
        <w:t>Vide AP 606 QO, rel. min. Roberto Barroso, j. 12-8-2014, 1ª T, DJE de 18-9-2014 Vide AP 333, rel. min. Joaquim Barbosa, j. 5-12-2007, P, DJE de 11-4-2008 Desmembramento indeferido. Prejuízo à exata compreensão do feito. (...) Embora apenas um dos réus detenha prerrogativa de foro no STF, o desmembramento da ação penal comprometeria a prestação jurisdicional, tornando inaplicáveis os precedentes da Corte no sentido do desmembramento. O julgamento do réu com foro privilegiado depende da análise das condutas imputadas aos corréus, tendo em vista a formação coletiva da vontade no sentido da prátic</w:t>
      </w:r>
    </w:p>
    <w:p>
      <w:pPr>
        <w:ind w:left="288"/>
      </w:pPr>
      <w:r>
        <w:rPr>
          <w:b/>
          <w:color w:val="003CA0"/>
          <w:sz w:val="16"/>
        </w:rPr>
        <w:t>[AP 420 AgR, rel. min. Joaquim Barbosa, j. 9-9-2010, P, DJE de 14-3-2012.]</w:t>
      </w:r>
    </w:p>
    <w:p>
      <w:pPr>
        <w:ind w:left="288"/>
      </w:pPr>
      <w:r>
        <w:rPr>
          <w:color w:val="8C8C8C"/>
          <w:sz w:val="12"/>
        </w:rPr>
        <w:t>cf-art-102-inc-I-ali-b</w:t>
      </w:r>
      <w:r>
        <w:rPr>
          <w:color w:val="003CA0"/>
          <w:sz w:val="12"/>
        </w:rPr>
        <w:t xml:space="preserve"> | INQ 2.718</w:t>
      </w:r>
      <w:r>
        <w:rPr>
          <w:color w:val="003CA0"/>
          <w:sz w:val="12"/>
        </w:rPr>
        <w:t xml:space="preserve"> | rel. Ricardo Lewandowski</w:t>
      </w:r>
    </w:p>
    <w:p>
      <w:pPr>
        <w:ind w:left="288"/>
      </w:pPr>
      <w:r>
        <w:rPr>
          <w:color w:val="1E1E1E"/>
          <w:sz w:val="18"/>
        </w:rPr>
        <w:t>Vide Inq 2.718 QO, rel. min. Ricardo Lewandowski, j. 20-8-2009, P, DJE de 27-11-2009 Vide AP 351, rel. min. Marco Aurélio, j. 12-8-2004, P, DJ de 17-9-2004 Senador e governador de Estado. (...) Conforme precedentes do STF, salvo casos excepcionais, é de ser desmembrado o inquérito policial de modo a que o feito, nesta Corte, prossiga apenas em relação àqueles que possuem o foro constitucional. Desmembrado o feito, resta prejudicada questão de ordem que aventava acerca da necessidade de prévia manifestação da assembleia legislativa para o recebimento da denúncia em face de governador de Estado.</w:t>
      </w:r>
    </w:p>
    <w:p>
      <w:pPr>
        <w:ind w:left="288"/>
      </w:pPr>
      <w:r>
        <w:rPr>
          <w:b/>
          <w:color w:val="003CA0"/>
          <w:sz w:val="16"/>
        </w:rPr>
        <w:t>[Inq 2.718 QO, rel. min. Ricardo Lewandowski, j. 20-8-2009, P, DJE de 27-11-2009.]</w:t>
      </w:r>
    </w:p>
    <w:p>
      <w:pPr>
        <w:ind w:left="288"/>
      </w:pPr>
      <w:r>
        <w:rPr>
          <w:color w:val="8C8C8C"/>
          <w:sz w:val="12"/>
        </w:rPr>
        <w:t>cf-art-102-inc-I-ali-b</w:t>
      </w:r>
      <w:r>
        <w:rPr>
          <w:color w:val="003CA0"/>
          <w:sz w:val="12"/>
        </w:rPr>
        <w:t xml:space="preserve"> | AP 420</w:t>
      </w:r>
      <w:r>
        <w:rPr>
          <w:color w:val="003CA0"/>
          <w:sz w:val="12"/>
        </w:rPr>
        <w:t xml:space="preserve"> | rel. Joaquim Barbosa</w:t>
      </w:r>
    </w:p>
    <w:p>
      <w:pPr>
        <w:ind w:left="288"/>
      </w:pPr>
      <w:r>
        <w:rPr>
          <w:color w:val="1E1E1E"/>
          <w:sz w:val="18"/>
        </w:rPr>
        <w:t>Vide AP 420 AgR, rel. min. Joaquim Barbosa, j. 9-9-2010, P, DJE de 14-3-2012 Ex-deputado não tem direito a foro especial por prerrogativa de função, em ação civil pública por improbidade administrativa.</w:t>
      </w:r>
    </w:p>
    <w:p>
      <w:pPr>
        <w:ind w:left="288"/>
      </w:pPr>
      <w:r>
        <w:rPr>
          <w:b/>
          <w:color w:val="003CA0"/>
          <w:sz w:val="16"/>
        </w:rPr>
        <w:t>[Pet 3.421 AgR, rel. min. Cezar Peluso, j. 25-6-2009, P, DJE de 4-6-2010.]</w:t>
      </w:r>
    </w:p>
    <w:p>
      <w:pPr>
        <w:ind w:left="288"/>
      </w:pPr>
      <w:r>
        <w:rPr>
          <w:color w:val="8C8C8C"/>
          <w:sz w:val="12"/>
        </w:rPr>
        <w:t>cf-art-102-inc-I-ali-b</w:t>
      </w:r>
      <w:r>
        <w:rPr>
          <w:color w:val="003CA0"/>
          <w:sz w:val="12"/>
        </w:rPr>
        <w:t xml:space="preserve"> | INQ 2.421</w:t>
      </w:r>
      <w:r>
        <w:rPr>
          <w:color w:val="003CA0"/>
          <w:sz w:val="12"/>
        </w:rPr>
        <w:t xml:space="preserve"> | rel. Menezes Direito</w:t>
      </w:r>
    </w:p>
    <w:p>
      <w:pPr>
        <w:ind w:left="288"/>
      </w:pPr>
      <w:r>
        <w:rPr>
          <w:color w:val="1E1E1E"/>
          <w:sz w:val="18"/>
        </w:rPr>
        <w:t>Vide Inq 2.421 AgR, rel. min. Menezes Direito, j. 14-2-2008, P, DJE de 4-4-2008 Vide Inq 2.429 AgR, rel. min. Joaquim Barbosa, j. 27-6-2007, P, DJE de 17-8-2007 Vide Inq 2.453 AgR, rel. min. Ricardo Lewandowski, j. 17-5-2007, P, DJ de 29-6-2007 Uma vez iniciado o julgamento de parlamentar nesta Suprema Corte, a superveniência do término do mandato eletivo não desloca a competência para outra instância.</w:t>
      </w:r>
    </w:p>
    <w:p>
      <w:pPr>
        <w:ind w:left="288"/>
      </w:pPr>
      <w:r>
        <w:rPr>
          <w:b/>
          <w:color w:val="003CA0"/>
          <w:sz w:val="16"/>
        </w:rPr>
        <w:t>[Inq 2.295, red. do ac. min. Menezes Direito, j. 23-10-2008, P, DJE de 5-6-2009.]</w:t>
      </w:r>
    </w:p>
    <w:p>
      <w:pPr>
        <w:ind w:left="288"/>
      </w:pPr>
      <w:r>
        <w:rPr>
          <w:color w:val="8C8C8C"/>
          <w:sz w:val="12"/>
        </w:rPr>
        <w:t>cf-art-102-inc-I-ali-b</w:t>
      </w:r>
      <w:r>
        <w:rPr>
          <w:color w:val="003CA0"/>
          <w:sz w:val="12"/>
        </w:rPr>
        <w:t xml:space="preserve"> | AP 606</w:t>
      </w:r>
      <w:r>
        <w:rPr>
          <w:color w:val="003CA0"/>
          <w:sz w:val="12"/>
        </w:rPr>
        <w:t xml:space="preserve"> | rel. Roberto Barroso</w:t>
      </w:r>
    </w:p>
    <w:p>
      <w:pPr>
        <w:ind w:left="288"/>
      </w:pPr>
      <w:r>
        <w:rPr>
          <w:color w:val="1E1E1E"/>
          <w:sz w:val="18"/>
        </w:rPr>
        <w:t>Vide  AP 606 QO, rel. min. Roberto Barroso, j. 12-8-2014, 1ª T, DJE de 18-9-2014 Vide AP 396, rel. min. Cármen Lúcia, j. 28-10-2010, P, DJE de 28-4-2011 O agravante teve encerrado o prazo do mandato eletivo de senador da República, como foi destacado na segunda decisão agravada e, por isso, o STF deixou de ser competente para processá-lo e julgá-lo (CF, art. 102, I, b). Trata-se de clara hipótese de incompetência superveniente do STF e, por isso, a determinação da remessa dos autos do inquérito ao juízo competente para conhecer e julgar a causa (Inq 2.207/PA, rel. min. Gilmar Mendes, de 19-3-2</w:t>
      </w:r>
    </w:p>
    <w:p>
      <w:pPr>
        <w:ind w:left="288"/>
      </w:pPr>
      <w:r>
        <w:rPr>
          <w:b/>
          <w:color w:val="003CA0"/>
          <w:sz w:val="16"/>
        </w:rPr>
        <w:t>[Pet 3.466 AgR, rel. min. Ellen Gracie, j. 23-10-2008, P, DJE de 21-11-2008.]</w:t>
      </w:r>
    </w:p>
    <w:p>
      <w:pPr>
        <w:ind w:left="288"/>
      </w:pPr>
      <w:r>
        <w:rPr>
          <w:color w:val="8C8C8C"/>
          <w:sz w:val="12"/>
        </w:rPr>
        <w:t>cf-art-102-inc-I-ali-b</w:t>
      </w:r>
      <w:r>
        <w:rPr>
          <w:color w:val="003CA0"/>
          <w:sz w:val="12"/>
        </w:rPr>
        <w:t xml:space="preserve"> | INQ 2.706</w:t>
      </w:r>
      <w:r>
        <w:rPr>
          <w:color w:val="003CA0"/>
          <w:sz w:val="12"/>
        </w:rPr>
        <w:t xml:space="preserve"> | rel. Menezes Direito</w:t>
      </w:r>
    </w:p>
    <w:p>
      <w:pPr>
        <w:ind w:left="288"/>
      </w:pPr>
      <w:r>
        <w:rPr>
          <w:color w:val="1E1E1E"/>
          <w:sz w:val="18"/>
        </w:rPr>
        <w:t>Na forma de inúmeros precedentes da Suprema Corte, o elevado número de agentes e de condutas demandam complexa dilação probatória a justificar o desmembramento do feito requerido pelo MPF, ressaltando-se que apenas um dos 23 indiciados detém prerrogativa de foro por ser deputado federal (art. 80 do CPP).</w:t>
      </w:r>
    </w:p>
    <w:p>
      <w:pPr>
        <w:ind w:left="288"/>
      </w:pPr>
      <w:r>
        <w:rPr>
          <w:b/>
          <w:color w:val="003CA0"/>
          <w:sz w:val="16"/>
        </w:rPr>
        <w:t>[Inq 2.706 AgR, rel. min. Menezes Direito, j. 14-8-2008, P, DJE de 25-9-2008.]</w:t>
      </w:r>
    </w:p>
    <w:p>
      <w:pPr>
        <w:ind w:left="288"/>
      </w:pPr>
      <w:r>
        <w:rPr>
          <w:color w:val="8C8C8C"/>
          <w:sz w:val="12"/>
        </w:rPr>
        <w:t>cf-art-102-inc-I-ali-b</w:t>
      </w:r>
      <w:r>
        <w:rPr>
          <w:color w:val="003CA0"/>
          <w:sz w:val="12"/>
        </w:rPr>
        <w:t xml:space="preserve"> | INQ 2.578</w:t>
      </w:r>
      <w:r>
        <w:rPr>
          <w:color w:val="003CA0"/>
          <w:sz w:val="12"/>
        </w:rPr>
        <w:t xml:space="preserve"> | rel. Ricardo Lewandowski</w:t>
      </w:r>
    </w:p>
    <w:p>
      <w:pPr>
        <w:ind w:left="288"/>
      </w:pPr>
      <w:r>
        <w:rPr>
          <w:color w:val="1E1E1E"/>
          <w:sz w:val="18"/>
        </w:rPr>
        <w:t>= Inq 2.578, rel. min. Ricardo Lewandowski, j. 6-8-2009, P, DJE de 18-9-2009 O réu, na qualidade de detentor do mandato de parlamentar federal, detém prerrogativa de foro perante o STF, onde deve ser julgado pela imputação da prática de crime doloso contra a vida. A norma contida no art. 5º, XXXVIII, da Constituição da República, que garante a instituição do júri, cede diante do disposto no art. 102, I, b, da Lei Maior, definidor da competência do STF, dada a especialidade deste último. Os crimes dolosos contra a vida estão abarcados pelo conceito de crimes comuns. Precedentes da Corte. A renú</w:t>
      </w:r>
    </w:p>
    <w:p>
      <w:pPr>
        <w:ind w:left="288"/>
      </w:pPr>
      <w:r>
        <w:rPr>
          <w:b/>
          <w:color w:val="003CA0"/>
          <w:sz w:val="16"/>
        </w:rPr>
        <w:t>[AP 333, rel. min. Joaquim Barbosa, j. 5-12-2007, P, DJE de 11-4-2008.]</w:t>
      </w:r>
    </w:p>
    <w:p>
      <w:pPr>
        <w:ind w:left="288"/>
      </w:pPr>
      <w:r>
        <w:rPr>
          <w:color w:val="8C8C8C"/>
          <w:sz w:val="12"/>
        </w:rPr>
        <w:t>cf-art-102-inc-I-ali-b</w:t>
      </w:r>
      <w:r>
        <w:rPr>
          <w:color w:val="003CA0"/>
          <w:sz w:val="12"/>
        </w:rPr>
        <w:t xml:space="preserve"> | AP 396</w:t>
      </w:r>
      <w:r>
        <w:rPr>
          <w:color w:val="003CA0"/>
          <w:sz w:val="12"/>
        </w:rPr>
        <w:t xml:space="preserve"> | rel. Cármen Lúcia</w:t>
      </w:r>
    </w:p>
    <w:p>
      <w:pPr>
        <w:ind w:left="288"/>
      </w:pPr>
      <w:r>
        <w:rPr>
          <w:color w:val="1E1E1E"/>
          <w:sz w:val="18"/>
        </w:rPr>
        <w:t>Vide AP 396, rel. min. Cármen Lúcia, j. 28-10-2010, P, DJE de 28-4-2011 Jurisprudência desta Corte é no sentido de que o pedido de explicações somente deve ser processado perante este Tribunal quando a autoridade apresentar prerrogativa de foro ratione muneris. A medida em causa não assume natureza de interpelação criminal judicial, o que a qualificaria como típica medida preparatória de futura ação penal referente a delitos contra a honra.</w:t>
      </w:r>
    </w:p>
    <w:p>
      <w:pPr>
        <w:ind w:left="288"/>
      </w:pPr>
      <w:r>
        <w:rPr>
          <w:b/>
          <w:color w:val="003CA0"/>
          <w:sz w:val="16"/>
        </w:rPr>
        <w:t>[Pet 4.076 AgR, rel. min. Ricardo Lewandowski, j. 29-11-2007, P, DJ de 14-12-2007.]</w:t>
      </w:r>
    </w:p>
    <w:p>
      <w:pPr>
        <w:ind w:left="288"/>
      </w:pPr>
      <w:r>
        <w:rPr>
          <w:color w:val="8C8C8C"/>
          <w:sz w:val="12"/>
        </w:rPr>
        <w:t>cf-art-102-inc-I-ali-b</w:t>
      </w:r>
      <w:r>
        <w:rPr>
          <w:color w:val="003CA0"/>
          <w:sz w:val="12"/>
        </w:rPr>
        <w:t xml:space="preserve"> | PET 5.187</w:t>
      </w:r>
      <w:r>
        <w:rPr>
          <w:color w:val="003CA0"/>
          <w:sz w:val="12"/>
        </w:rPr>
        <w:t xml:space="preserve"> | rel. Celso de Mello</w:t>
      </w:r>
    </w:p>
    <w:p>
      <w:pPr>
        <w:ind w:left="288"/>
      </w:pPr>
      <w:r>
        <w:rPr>
          <w:color w:val="1E1E1E"/>
          <w:sz w:val="18"/>
        </w:rPr>
        <w:t>= Pet 5.187, rel. min. Celso de Mello, j. 8-9-2014, dec. monocrática, DJE de 11-9-2014 Agravo regimental em inquérito. Recurso interposto contra decisão monocrática que, em face da perda do mandato de deputado federal, reconheceu a incompetência superveniente deste STF para processar e julgar o investigado nos termos do art. 102 da CF. A agravante sustenta a competência do STF para processar e julgar o feito, em face de o art. 84 do CPP e seus parágrafos assinalarem que a ex-autoridade, por ato praticado no ofício, mantém a prerrogativa de foro. Afirma, ainda, que o investigado aposentou-se an</w:t>
      </w:r>
    </w:p>
    <w:p>
      <w:pPr>
        <w:ind w:left="288"/>
      </w:pPr>
      <w:r>
        <w:rPr>
          <w:b/>
          <w:color w:val="003CA0"/>
          <w:sz w:val="16"/>
        </w:rPr>
        <w:t>[Inq 2.105 AgR, rel. min. Gilmar Mendes, j. 31-10-2007, P, DJ de 14-11-2007.]</w:t>
      </w:r>
    </w:p>
    <w:p>
      <w:pPr>
        <w:ind w:left="288"/>
      </w:pPr>
      <w:r>
        <w:rPr>
          <w:color w:val="8C8C8C"/>
          <w:sz w:val="12"/>
        </w:rPr>
        <w:t>cf-art-102-inc-I-ali-b</w:t>
      </w:r>
      <w:r>
        <w:rPr>
          <w:color w:val="003CA0"/>
          <w:sz w:val="12"/>
        </w:rPr>
        <w:t xml:space="preserve"> | PET 3.825</w:t>
      </w:r>
    </w:p>
    <w:p>
      <w:pPr>
        <w:ind w:left="288"/>
      </w:pPr>
      <w:r>
        <w:rPr>
          <w:color w:val="1E1E1E"/>
          <w:sz w:val="18"/>
        </w:rPr>
        <w:t>O voto do ministro Gilmar Mendes, por sua vez, abriu divergência do relator para apreciar se caberia, ou não, à autoridade policial investigar e indiciar autoridade dotada de predicamento de foro perante o STF. Considerações doutrinárias e jurisprudenciais acerca do tema da instauração de inquéritos em geral e dos inquéritos originários de competência do STF: i) a jurisprudência do STF é pacífica no sentido de que, nos inquéritos policiais em geral, não cabe a juiz ou a tribunal investigar, de ofício, o titular de prerrogativa de foro; ii) qualquer pessoa que, na condição exclusiva de cidadão,</w:t>
      </w:r>
    </w:p>
    <w:p>
      <w:pPr>
        <w:ind w:left="288"/>
      </w:pPr>
      <w:r>
        <w:rPr>
          <w:b/>
          <w:color w:val="003CA0"/>
          <w:sz w:val="16"/>
        </w:rPr>
        <w:t>[Pet 3.825 QO, red. do ac. min. Gilmar Mendes, j. 10-10-2007, P, DJE de 4-4-2008.]</w:t>
      </w:r>
    </w:p>
    <w:p>
      <w:pPr>
        <w:ind w:left="288"/>
      </w:pPr>
      <w:r>
        <w:rPr>
          <w:color w:val="8C8C8C"/>
          <w:sz w:val="12"/>
        </w:rPr>
        <w:t>cf-art-102-inc-I-ali-b</w:t>
      </w:r>
      <w:r>
        <w:rPr>
          <w:color w:val="003CA0"/>
          <w:sz w:val="12"/>
        </w:rPr>
        <w:t xml:space="preserve"> | INQ 2.411</w:t>
      </w:r>
      <w:r>
        <w:rPr>
          <w:color w:val="003CA0"/>
          <w:sz w:val="12"/>
        </w:rPr>
        <w:t xml:space="preserve"> | rel. Gilmar Mendes</w:t>
      </w:r>
    </w:p>
    <w:p>
      <w:pPr>
        <w:ind w:left="288"/>
      </w:pPr>
      <w:r>
        <w:rPr>
          <w:color w:val="1E1E1E"/>
          <w:sz w:val="18"/>
        </w:rPr>
        <w:t>= Inq 2.411 QO, rel. min. Gilmar Mendes, j. 10-10-2007, P, DJE de 25-4-2008 Primeira preliminar. Incompetência. Foro por prerrogativa de função. Desmembramento indeferido pelo pleno. Preclusão. Rejeitada a preliminar de incompetência do STF para julgar a acusação formulada contra os 34 acusados que não gozam de prerrogativa de foro. Matéria preclusa, tendo em vista que na sessão plenária realizada no dia 6-12-2006 decidiu-se, por votação majoritária, pela necessidade de manter-se um processo único, a tramitar perante o STF. (...) Terceira preliminar. Quebra de sigilo bancário decretada pelo ma</w:t>
      </w:r>
    </w:p>
    <w:p>
      <w:pPr>
        <w:ind w:left="288"/>
      </w:pPr>
      <w:r>
        <w:rPr>
          <w:b/>
          <w:color w:val="003CA0"/>
          <w:sz w:val="16"/>
        </w:rPr>
        <w:t>[Inq 2.245, rel. min. Joaquim Barbosa, j. 28-8-2007, P, DJ de 9-11-2007.]</w:t>
      </w:r>
    </w:p>
    <w:p>
      <w:pPr>
        <w:ind w:left="288"/>
      </w:pPr>
      <w:r>
        <w:rPr>
          <w:color w:val="8C8C8C"/>
          <w:sz w:val="12"/>
        </w:rPr>
        <w:t>cf-art-102-inc-I-ali-b</w:t>
      </w:r>
      <w:r>
        <w:rPr>
          <w:color w:val="003CA0"/>
          <w:sz w:val="12"/>
        </w:rPr>
        <w:t xml:space="preserve"> | HC 91.347</w:t>
      </w:r>
      <w:r>
        <w:rPr>
          <w:color w:val="003CA0"/>
          <w:sz w:val="12"/>
        </w:rPr>
        <w:t xml:space="preserve"> | rel. Marco Aurélio</w:t>
      </w:r>
    </w:p>
    <w:p>
      <w:pPr>
        <w:ind w:left="288"/>
      </w:pPr>
      <w:r>
        <w:rPr>
          <w:color w:val="1E1E1E"/>
          <w:sz w:val="18"/>
        </w:rPr>
        <w:t>Inquérito. Remembramento. Acusados sem prerrogativa de foro. Conexão. Continência. Supremo. Não concorre a indispensável relevância da causa de pedir do remembramento de inquérito, presente a competência do Supremo definida na CF, considerada a disciplina legal da conexão e da continência.</w:t>
      </w:r>
    </w:p>
    <w:p>
      <w:pPr>
        <w:ind w:left="288"/>
      </w:pPr>
      <w:r>
        <w:rPr>
          <w:b/>
          <w:color w:val="003CA0"/>
          <w:sz w:val="16"/>
        </w:rPr>
        <w:t>[HC 91.347 MC, rel. min. Marco Aurélio, j. 20-6-2007, P, DJ de 14-9-2007.]</w:t>
      </w:r>
    </w:p>
    <w:p>
      <w:pPr>
        <w:ind w:left="288"/>
      </w:pPr>
      <w:r>
        <w:rPr>
          <w:color w:val="8C8C8C"/>
          <w:sz w:val="12"/>
        </w:rPr>
        <w:t>cf-art-102-inc-I-ali-b</w:t>
      </w:r>
      <w:r>
        <w:rPr>
          <w:color w:val="003CA0"/>
          <w:sz w:val="12"/>
        </w:rPr>
        <w:t xml:space="preserve"> | RCL 2.138</w:t>
      </w:r>
      <w:r>
        <w:rPr>
          <w:color w:val="003CA0"/>
          <w:sz w:val="12"/>
        </w:rPr>
        <w:t xml:space="preserve"> | rel. Nelson Jobim. O pedido foi indeferido sob os seguintes fundamentos: 1) A Lei 8.429/1992 regulamenta o art. 37</w:t>
      </w:r>
    </w:p>
    <w:p>
      <w:pPr>
        <w:ind w:left="288"/>
      </w:pPr>
      <w:r>
        <w:rPr>
          <w:color w:val="1E1E1E"/>
          <w:sz w:val="18"/>
        </w:rPr>
        <w:t>Deputado federal, condenado em ação de improbidade administrativa, em razão de atos praticados à época em que era prefeito municipal, pleiteia que a execução da respectiva sentença condenatória tramite perante o STF, sob a alegação de que: a) os agentes políticos que respondem pelos crimes de responsabilidade tipificados no DL 201/1967 não se submetem à Lei de Improbidade (Lei 8.429/1992), sob pena de ocorrência de bis in idem; b) a ação de improbidade administrativa tem natureza penal e c) encontrava-se pendente de julgamento, nesta Corte, a Rcl 2.138, rel.  min.  Nelson Jobim. O pedido foi i</w:t>
      </w:r>
    </w:p>
    <w:p>
      <w:pPr>
        <w:ind w:left="288"/>
      </w:pPr>
      <w:r>
        <w:rPr>
          <w:b/>
          <w:color w:val="003CA0"/>
          <w:sz w:val="16"/>
        </w:rPr>
        <w:t>[Pet 3.923 QO, rel. min. Joaquim Barbosa, j. 13-6-2007, P, DJE de 26-9-2008.]</w:t>
      </w:r>
    </w:p>
    <w:p>
      <w:pPr>
        <w:ind w:left="288"/>
      </w:pPr>
      <w:r>
        <w:rPr>
          <w:color w:val="8C8C8C"/>
          <w:sz w:val="12"/>
        </w:rPr>
        <w:t>cf-art-102-inc-I-ali-b</w:t>
      </w:r>
      <w:r>
        <w:rPr>
          <w:color w:val="003CA0"/>
          <w:sz w:val="12"/>
        </w:rPr>
        <w:t xml:space="preserve"> | INQ 2.453</w:t>
      </w:r>
      <w:r>
        <w:rPr>
          <w:color w:val="003CA0"/>
          <w:sz w:val="12"/>
        </w:rPr>
        <w:t xml:space="preserve"> | rel. Ricardo Lewandowski</w:t>
      </w:r>
    </w:p>
    <w:p>
      <w:pPr>
        <w:ind w:left="288"/>
      </w:pPr>
      <w:r>
        <w:rPr>
          <w:color w:val="1E1E1E"/>
          <w:sz w:val="18"/>
        </w:rPr>
        <w:t>Os membros do Congresso Nacional, pela condição peculiar de representantes do povo ou dos Estados que ostentam, atraem a competência jurisdicional do STF. O foro especial possui natureza intuitu funcionae, ligando-se ao cargo de senador ou deputado e não à pessoa do parlamentar. Não se cuida de prerrogativa intuitu personae, vinculando-se ao cargo, ainda que ocupado interinamente, razão pela qual se admite a sua perda ante o retorno do titular ao exercício daquele. A diplomação do suplente não lhe estende automaticamente o regime político-jurídico dos congressistas, por constituir mera formali</w:t>
      </w:r>
    </w:p>
    <w:p>
      <w:pPr>
        <w:ind w:left="288"/>
      </w:pPr>
      <w:r>
        <w:rPr>
          <w:b/>
          <w:color w:val="003CA0"/>
          <w:sz w:val="16"/>
        </w:rPr>
        <w:t>[Inq 2.453 AgR, rel. min. Ricardo Lewandowski, j. 17-5-2007, P, DJ de 29-6-2007.]</w:t>
      </w:r>
    </w:p>
    <w:p>
      <w:pPr>
        <w:ind w:left="288"/>
      </w:pPr>
      <w:r>
        <w:rPr>
          <w:color w:val="8C8C8C"/>
          <w:sz w:val="12"/>
        </w:rPr>
        <w:t>cf-art-102-inc-I-ali-b</w:t>
      </w:r>
      <w:r>
        <w:rPr>
          <w:color w:val="003CA0"/>
          <w:sz w:val="12"/>
        </w:rPr>
        <w:t xml:space="preserve"> | INQ 2.421</w:t>
      </w:r>
      <w:r>
        <w:rPr>
          <w:color w:val="003CA0"/>
          <w:sz w:val="12"/>
        </w:rPr>
        <w:t xml:space="preserve"> | rel. Menezes Direito</w:t>
      </w:r>
    </w:p>
    <w:p>
      <w:pPr>
        <w:ind w:left="288"/>
      </w:pPr>
      <w:r>
        <w:rPr>
          <w:color w:val="1E1E1E"/>
          <w:sz w:val="18"/>
        </w:rPr>
        <w:t>= Inq 2.421 AgR, rel. min. Menezes Direito, j. 14-2-2008, P, DJE de 4-4-2008 Cancelamento da Súmula 394/STF (RTJ 179/912-913). Nada pode autorizar o desequilíbrio entre os cidadãos da República. O reconhecimento da prerrogativa de foro, perante o STF, nos ilícitos penais comuns, em favor de ex-ocupantes de cargos públicos ou de ex-titulares de mandatos eletivos transgride valor fundamental à própria configuração da ideia republicana, que se orienta pelo vetor axiológico da igualdade. A prerrogativa de foro é outorgada, constitucionalmente, ratione muneris, a significar, portanto, que é deferid</w:t>
      </w:r>
    </w:p>
    <w:p>
      <w:pPr>
        <w:ind w:left="288"/>
      </w:pPr>
      <w:r>
        <w:rPr>
          <w:b/>
          <w:color w:val="003CA0"/>
          <w:sz w:val="16"/>
        </w:rPr>
        <w:t>[Inq 1.376 AgR, rel. min. Celso de Mello, j. 15-2-2007, P, DJ de 16-3-2007.]</w:t>
      </w:r>
    </w:p>
    <w:p>
      <w:pPr>
        <w:ind w:left="288"/>
      </w:pPr>
      <w:r>
        <w:rPr>
          <w:color w:val="8C8C8C"/>
          <w:sz w:val="12"/>
        </w:rPr>
        <w:t>cf-art-102-inc-I-ali-b</w:t>
      </w:r>
      <w:r>
        <w:rPr>
          <w:color w:val="003CA0"/>
          <w:sz w:val="12"/>
        </w:rPr>
        <w:t xml:space="preserve"> | RE 599.650</w:t>
      </w:r>
      <w:r>
        <w:rPr>
          <w:color w:val="003CA0"/>
          <w:sz w:val="12"/>
        </w:rPr>
        <w:t xml:space="preserve"> | rel. Cezar Peluso</w:t>
      </w:r>
    </w:p>
    <w:p>
      <w:pPr>
        <w:ind w:left="288"/>
      </w:pPr>
      <w:r>
        <w:rPr>
          <w:color w:val="1E1E1E"/>
          <w:sz w:val="18"/>
        </w:rPr>
        <w:t>= RE 599.650, rel. min. Cezar Peluso, j. 29-9-2009, 2ª T, DJE de 23-10-2009 A racionalidade dos trabalhos do Judiciário direciona ao desmembramento do processo para remessa à primeira instância, objetivando a sequência no tocante aos que não gozem de prerrogativa de foro, preservando-se com isso o princípio constitucional do juiz natural.</w:t>
      </w:r>
    </w:p>
    <w:p>
      <w:pPr>
        <w:ind w:left="288"/>
      </w:pPr>
      <w:r>
        <w:rPr>
          <w:b/>
          <w:color w:val="003CA0"/>
          <w:sz w:val="16"/>
        </w:rPr>
        <w:t>[AP 351, rel. min. Marco Aurélio, j. 12-8-2004, P, DJ de 17-9-2004.]</w:t>
      </w:r>
    </w:p>
    <w:p>
      <w:pPr>
        <w:ind w:left="288"/>
      </w:pPr>
      <w:r>
        <w:rPr>
          <w:color w:val="8C8C8C"/>
          <w:sz w:val="12"/>
        </w:rPr>
        <w:t>cf-art-102-inc-I-ali-b</w:t>
      </w:r>
      <w:r>
        <w:rPr>
          <w:color w:val="003CA0"/>
          <w:sz w:val="12"/>
        </w:rPr>
        <w:t xml:space="preserve"> | AP 420</w:t>
      </w:r>
      <w:r>
        <w:rPr>
          <w:color w:val="003CA0"/>
          <w:sz w:val="12"/>
        </w:rPr>
        <w:t xml:space="preserve"> | rel. Joaquim Barbosa</w:t>
      </w:r>
    </w:p>
    <w:p>
      <w:pPr>
        <w:ind w:left="288"/>
      </w:pPr>
      <w:r>
        <w:rPr>
          <w:color w:val="1E1E1E"/>
          <w:sz w:val="18"/>
        </w:rPr>
        <w:t>Vide AP 420 AgR, rel. min. Joaquim Barbosa, j. 9-9-2010, P, DJE de 14-3-2012 Vide Inq 2.718 QO, rel. min. Ricardo Lewandowski, j. 20-8-2009, P, DJE de 27-11-2009 Competência penal. Ato praticado quando do exercício do mandato e sem relação com o mandato. Inaplicabilidade da Lei 10.628/2002. Ato praticado em decorrência do exercício do mandato e relativo a tal exercício. Nessa última hipótese a competência do STF, por força da lei, independe do acusado se encontrar, ou não, quando da denúncia, no exercício do mandato. O critério para a competência está em que o ato tenha relação com o exercício</w:t>
      </w:r>
    </w:p>
    <w:p>
      <w:pPr>
        <w:ind w:left="288"/>
      </w:pPr>
      <w:r>
        <w:rPr>
          <w:b/>
          <w:color w:val="003CA0"/>
          <w:sz w:val="16"/>
        </w:rPr>
        <w:t>[Rcl 2.538 AgR, rel. min. Ellen Gracie, j. 19-2-2004, P, DJ de 12-3-2004.]</w:t>
      </w:r>
    </w:p>
    <w:p>
      <w:pPr>
        <w:ind w:left="288"/>
      </w:pPr>
      <w:r>
        <w:rPr>
          <w:color w:val="8C8C8C"/>
          <w:sz w:val="12"/>
        </w:rPr>
        <w:t>cf-art-102-inc-I-ali-b</w:t>
      </w:r>
      <w:r>
        <w:rPr>
          <w:color w:val="003CA0"/>
          <w:sz w:val="12"/>
        </w:rPr>
        <w:t xml:space="preserve"> | HC 70.140</w:t>
      </w:r>
      <w:r>
        <w:rPr>
          <w:color w:val="003CA0"/>
          <w:sz w:val="12"/>
        </w:rPr>
        <w:t xml:space="preserve"> | rel. Octavio Gallotti</w:t>
      </w:r>
    </w:p>
    <w:p>
      <w:pPr>
        <w:ind w:left="288"/>
      </w:pPr>
      <w:r>
        <w:rPr>
          <w:color w:val="1E1E1E"/>
          <w:sz w:val="18"/>
        </w:rPr>
        <w:t>Quebra de sigilo de deputada federal, autorizada por decisão de juiz-corregedor regional eleitoral, em processo de inelegibilidade. Não se caracteriza, em tal hipótese, a usurpação de competência originária conferida ao Supremo Tribunal pelo art. 101, I, b, da Constituição, que se restringe ao julgamento de matéria criminal. Precedentes do STF: HC 70.140, RTJ 151/95; Rcl 511, RTJ 166/787.</w:t>
      </w:r>
    </w:p>
    <w:p>
      <w:pPr>
        <w:ind w:left="288"/>
      </w:pPr>
      <w:r>
        <w:rPr>
          <w:b/>
          <w:color w:val="003CA0"/>
          <w:sz w:val="16"/>
        </w:rPr>
        <w:t>[Rcl 514, rel. min. Octavio Gallotti, j. 21-6-2000, P, DJ de 29-9-2000.]</w:t>
      </w:r>
    </w:p>
    <w:p>
      <w:pPr>
        <w:ind w:left="288"/>
      </w:pPr>
      <w:r>
        <w:rPr>
          <w:color w:val="8C8C8C"/>
          <w:sz w:val="12"/>
        </w:rPr>
        <w:t>cf-art-102-inc-I-ali-b</w:t>
      </w:r>
      <w:r>
        <w:rPr>
          <w:color w:val="003CA0"/>
          <w:sz w:val="12"/>
        </w:rPr>
        <w:t xml:space="preserve"> | RCL 13.286</w:t>
      </w:r>
      <w:r>
        <w:rPr>
          <w:color w:val="003CA0"/>
          <w:sz w:val="12"/>
        </w:rPr>
        <w:t xml:space="preserve"> | rel. Celso de Mello</w:t>
      </w:r>
    </w:p>
    <w:p>
      <w:pPr>
        <w:ind w:left="288"/>
      </w:pPr>
      <w:r>
        <w:rPr>
          <w:color w:val="1E1E1E"/>
          <w:sz w:val="18"/>
        </w:rPr>
        <w:t>Vide Rcl 13.286 MC, rel. min. Celso de Mello, j. 17-2-2012, dec. monocrática, DJE de 29-2-2012 A jurisprudência do STF firmou-se no sentido de definir a locução constitucional "crimes comuns" como expressão abrangente a todas as modalidades de infrações penais, estendendo-se aos delitos eleitorais e alcançando, até mesmo, as próprias contravenções penais.</w:t>
      </w:r>
    </w:p>
    <w:p>
      <w:pPr>
        <w:ind w:left="288"/>
      </w:pPr>
      <w:r>
        <w:rPr>
          <w:b/>
          <w:color w:val="003CA0"/>
          <w:sz w:val="16"/>
        </w:rPr>
        <w:t>[Rcl 511, rel. min. Celso de Mello, j. 9-2-1995, P, DJ de 15-9-1995.]</w:t>
      </w:r>
    </w:p>
    <w:p>
      <w:pPr>
        <w:ind w:left="288"/>
      </w:pPr>
      <w:r>
        <w:rPr>
          <w:color w:val="8C8C8C"/>
          <w:sz w:val="12"/>
        </w:rPr>
        <w:t>cf-art-102-inc-I-ali-b</w:t>
      </w:r>
      <w:r>
        <w:rPr>
          <w:color w:val="003CA0"/>
          <w:sz w:val="12"/>
        </w:rPr>
        <w:t xml:space="preserve"> | INQ 1.872</w:t>
      </w:r>
      <w:r>
        <w:rPr>
          <w:color w:val="003CA0"/>
          <w:sz w:val="12"/>
        </w:rPr>
        <w:t xml:space="preserve"> | rel. Ricardo Lewandowski</w:t>
      </w:r>
    </w:p>
    <w:p>
      <w:pPr>
        <w:ind w:left="288"/>
      </w:pPr>
      <w:r>
        <w:rPr>
          <w:color w:val="1E1E1E"/>
          <w:sz w:val="18"/>
        </w:rPr>
        <w:t>= Inq 1.872, rel. min. Ricardo Lewandowski, j. 4-10-2006, P, DJ de 20-4-2007 A diplomação do réu como deputado federal opera o deslocamento, para o STF, da competência penal para a persecutio criminis, não tendo o condão de afetar a integridade jurídica dos atos processuais, inclusive os de caráter decisório, já praticados, com base no ordenamento positivo vigente à época de sua efetivação, por órgão judiciário até então competente.</w:t>
      </w:r>
    </w:p>
    <w:p>
      <w:pPr>
        <w:ind w:left="288"/>
      </w:pPr>
      <w:r>
        <w:rPr>
          <w:b/>
          <w:color w:val="003CA0"/>
          <w:sz w:val="16"/>
        </w:rPr>
        <w:t>[HC 70.620, rel. min. Celso de Mello, j. 16-12-1993, P, DJ de 24-11-2006.]</w:t>
      </w:r>
    </w:p>
    <w:p>
      <w:pPr>
        <w:ind w:left="288"/>
      </w:pPr>
      <w:r>
        <w:rPr>
          <w:color w:val="8C8C8C"/>
          <w:sz w:val="12"/>
        </w:rPr>
        <w:t>cf-art-102-inc-I-ali-b</w:t>
      </w:r>
      <w:r>
        <w:rPr>
          <w:color w:val="003CA0"/>
          <w:sz w:val="12"/>
        </w:rPr>
        <w:t xml:space="preserve"> | INQ 2.767</w:t>
      </w:r>
      <w:r>
        <w:rPr>
          <w:color w:val="003CA0"/>
          <w:sz w:val="12"/>
        </w:rPr>
        <w:t xml:space="preserve"> | rel. Joaquim Barbosa</w:t>
      </w:r>
    </w:p>
    <w:p>
      <w:pPr>
        <w:ind w:left="288"/>
      </w:pPr>
      <w:r>
        <w:rPr>
          <w:color w:val="1E1E1E"/>
          <w:sz w:val="18"/>
        </w:rPr>
        <w:t>= Inq 2.767, rel. min. Joaquim Barbosa, j. 18-6-2009, P, DJE de 4-9-2009 Vide AP 634 QO, rel. min. Roberto Barroso, j. 6-2-2014, P, DJE de 30-10-2014 No sistema da CF, a proteção especial à pessoa do parlamentar, independentemente do exercício do mandato, reside no foro por prerrogativa de função que lhe assegura o art. 53, § 4º, da Carta Magna, ainda quando afastado da função legislativa para exercer cargo público constitucionalmente permitido.</w:t>
      </w:r>
    </w:p>
    <w:p>
      <w:pPr>
        <w:ind w:left="288"/>
      </w:pPr>
      <w:r>
        <w:rPr>
          <w:b/>
          <w:color w:val="003CA0"/>
          <w:sz w:val="16"/>
        </w:rPr>
        <w:t>[Inq 777 QO, rel. min. Moreira Alves, j. 2-9-1993, P, DJ de 1º-10-1993.]</w:t>
      </w:r>
    </w:p>
    <w:p>
      <w:pPr>
        <w:ind w:left="288"/>
      </w:pPr>
      <w:r>
        <w:rPr>
          <w:color w:val="8C8C8C"/>
          <w:sz w:val="12"/>
        </w:rPr>
        <w:t>cf-art-102-inc-I-ali-b</w:t>
      </w:r>
    </w:p>
    <w:p>
      <w:pPr>
        <w:ind w:left="288"/>
      </w:pPr>
      <w:r>
        <w:rPr>
          <w:color w:val="1E1E1E"/>
          <w:sz w:val="18"/>
        </w:rPr>
        <w:t>c) nas infrações penais comuns e nos crimes de responsabilidade, os Ministros de Estado e os Comandantes da Marinha, do Exército e da Aeronáutica, ressalvado o disposto no art. 52, I, os membros dos Tribunais Superiores, os do Tribunal de Contas da União e os chefes de missão diplomática de caráter permanente; (Redação da EC 23/1999)</w:t>
      </w:r>
    </w:p>
    <w:p>
      <w:pPr>
        <w:ind w:left="288"/>
      </w:pPr>
      <w:r>
        <w:rPr>
          <w:color w:val="8C8C8C"/>
          <w:sz w:val="12"/>
        </w:rPr>
        <w:t>cf-art-102-inc-I-ali-b</w:t>
      </w:r>
      <w:r>
        <w:rPr>
          <w:color w:val="003CA0"/>
          <w:sz w:val="12"/>
        </w:rPr>
        <w:t xml:space="preserve"> | ADI 3.289</w:t>
      </w:r>
      <w:r>
        <w:rPr>
          <w:color w:val="003CA0"/>
          <w:sz w:val="12"/>
        </w:rPr>
        <w:t xml:space="preserve"> | rel. Gilmar Mendes</w:t>
      </w:r>
    </w:p>
    <w:p>
      <w:pPr>
        <w:ind w:left="288"/>
      </w:pPr>
      <w:r>
        <w:rPr>
          <w:color w:val="1E1E1E"/>
          <w:sz w:val="18"/>
        </w:rPr>
        <w:t>Ação direta de inconstitucionalidade contra a MP 207, de 13-8-2004 (convertida na Lei 11.036/2004), que alterou disposições das Leis 10.683/2003 e 9.650/1998, para equiparar o cargo de natureza especial de presidente do Banco Central ao cargo de ministro de Estado. Prerrogativa de foro para o presidente do Banco Central. Ofensa aos arts. 2º; 52, III, d; 62, § 1º, I, b, § 9º; 69 e 192; todos da CF. Natureza política da função de presidente do Banco Central que autoriza a transferência de competência. (...) Não caracterização de modelo linear ou simétrico de competências por prerrogativa de foro</w:t>
      </w:r>
    </w:p>
    <w:p>
      <w:pPr>
        <w:ind w:left="288"/>
      </w:pPr>
      <w:r>
        <w:rPr>
          <w:b/>
          <w:color w:val="003CA0"/>
          <w:sz w:val="16"/>
        </w:rPr>
        <w:t>[ADI 3.289 e ADI 3.290, rel. min. Gilmar Mendes, j. 5-5-2005, P, DJ de 24-2-2006.]</w:t>
      </w:r>
    </w:p>
    <w:p>
      <w:pPr>
        <w:ind w:left="144"/>
      </w:pPr>
      <w:r>
        <w:rPr>
          <w:b/>
          <w:color w:val="B45A00"/>
          <w:sz w:val="16"/>
        </w:rPr>
        <w:t>JULGADOS CORRELATOS</w:t>
      </w:r>
    </w:p>
    <w:p>
      <w:pPr>
        <w:ind w:left="288"/>
      </w:pPr>
      <w:r>
        <w:rPr>
          <w:color w:val="8C8C8C"/>
          <w:sz w:val="12"/>
        </w:rPr>
        <w:t>cf-art-102-inc-I-ali-b</w:t>
      </w:r>
      <w:r>
        <w:rPr>
          <w:color w:val="003CA0"/>
          <w:sz w:val="12"/>
        </w:rPr>
        <w:t xml:space="preserve"> | PET 3.230</w:t>
      </w:r>
      <w:r>
        <w:rPr>
          <w:color w:val="003CA0"/>
          <w:sz w:val="12"/>
        </w:rPr>
        <w:t xml:space="preserve"> | rel. Celso de Mello</w:t>
      </w:r>
    </w:p>
    <w:p>
      <w:pPr>
        <w:ind w:left="288"/>
      </w:pPr>
      <w:r>
        <w:rPr>
          <w:color w:val="1E1E1E"/>
          <w:sz w:val="18"/>
        </w:rPr>
        <w:t xml:space="preserve">O foro especial por prerrogativa de função previsto na CF em relação às infrações penais comuns não é extensível às ações de improbidade administrativa, de natureza civil. (...) não há lacuna constitucional, mas legítima opção do poder constituinte originário em não instituir foro privilegiado para o processo e julgamento de agentes políticos pela prática de atos de improbidade na esfera civil. </w:t>
        <w:br/>
        <w:t>[Pet 3.230 AgR, red. do ac. min. Roberto Barroso, j. 10-5-2018, P, DJE de 22-8-2018.] Diplomata. Prerrogativa de foro. Infrações penais comuns. Tratamento normativo do tema no constitucionalismo brasil</w:t>
      </w:r>
    </w:p>
    <w:p>
      <w:pPr>
        <w:ind w:left="288"/>
      </w:pPr>
      <w:r>
        <w:rPr>
          <w:b/>
          <w:color w:val="003CA0"/>
          <w:sz w:val="16"/>
        </w:rPr>
        <w:t>[AP 570, rel. min. Celso de Mello, j. 24-10-2013, dec. monocrática, DJE de 29-10-2013.]</w:t>
      </w:r>
    </w:p>
    <w:p>
      <w:pPr>
        <w:ind w:left="288"/>
      </w:pPr>
      <w:r>
        <w:rPr>
          <w:color w:val="8C8C8C"/>
          <w:sz w:val="12"/>
        </w:rPr>
        <w:t>cf-art-102-inc-I-ali-b</w:t>
      </w:r>
      <w:r>
        <w:rPr>
          <w:color w:val="003CA0"/>
          <w:sz w:val="12"/>
        </w:rPr>
        <w:t xml:space="preserve"> | rel. Celso de Mello</w:t>
      </w:r>
    </w:p>
    <w:p>
      <w:pPr>
        <w:ind w:left="288"/>
      </w:pPr>
      <w:r>
        <w:rPr>
          <w:color w:val="1E1E1E"/>
          <w:sz w:val="18"/>
        </w:rPr>
        <w:t>O STF possui competência originária para processar pedido de explicações formulado com apoio no art. 144 do CP, quando deduzido contra ministro integrante de tribunal superior da União, por se tratar de autoridade que dispõe de prerrogativa de foro ratione muneris.</w:t>
      </w:r>
    </w:p>
    <w:p>
      <w:pPr>
        <w:ind w:left="288"/>
      </w:pPr>
      <w:r>
        <w:rPr>
          <w:b/>
          <w:color w:val="003CA0"/>
          <w:sz w:val="16"/>
        </w:rPr>
        <w:t>[Pet. 4.892, rel. min. Celso de Mello, j. 26-4-2011, dec. monocrática, DJE de 29-4-2011.]</w:t>
      </w:r>
    </w:p>
    <w:p>
      <w:pPr>
        <w:ind w:left="288"/>
      </w:pPr>
      <w:r>
        <w:rPr>
          <w:color w:val="8C8C8C"/>
          <w:sz w:val="12"/>
        </w:rPr>
        <w:t>cf-art-102-inc-I-ali-b</w:t>
      </w:r>
      <w:r>
        <w:rPr>
          <w:color w:val="003CA0"/>
          <w:sz w:val="12"/>
        </w:rPr>
        <w:t xml:space="preserve"> | AP 527</w:t>
      </w:r>
      <w:r>
        <w:rPr>
          <w:color w:val="003CA0"/>
          <w:sz w:val="12"/>
        </w:rPr>
        <w:t xml:space="preserve"> | rel. Dias Toffoli</w:t>
      </w:r>
    </w:p>
    <w:p>
      <w:pPr>
        <w:ind w:left="288"/>
      </w:pPr>
      <w:r>
        <w:rPr>
          <w:color w:val="1E1E1E"/>
          <w:sz w:val="18"/>
        </w:rPr>
        <w:t>Consoante posicionamento jurisprudencial desta Colenda Corte Constitucional, a competência penal originária do STF por prerrogativa de função advinda da investidura de sujeito ativo de um delito, no curso do processo, em uma das funções descritas no art. 102, I, b e c, da CF/1988 não acarreta a nulidade da denúncia oferecida nem dos atos processuais praticados anteriormente perante a justiça competente à época dos fatos.</w:t>
      </w:r>
    </w:p>
    <w:p>
      <w:pPr>
        <w:ind w:left="288"/>
      </w:pPr>
      <w:r>
        <w:rPr>
          <w:b/>
          <w:color w:val="003CA0"/>
          <w:sz w:val="16"/>
        </w:rPr>
        <w:t>[AP 527, rel. min. Dias Toffoli, j. 16-12-2010, P, DJE de 4-4-2011.]</w:t>
      </w:r>
    </w:p>
    <w:p>
      <w:pPr>
        <w:ind w:left="288"/>
      </w:pPr>
      <w:r>
        <w:rPr>
          <w:color w:val="8C8C8C"/>
          <w:sz w:val="12"/>
        </w:rPr>
        <w:t>cf-art-102-inc-I-ali-b</w:t>
      </w:r>
      <w:r>
        <w:rPr>
          <w:color w:val="003CA0"/>
          <w:sz w:val="12"/>
        </w:rPr>
        <w:t xml:space="preserve"> | INQ 2.648</w:t>
      </w:r>
      <w:r>
        <w:rPr>
          <w:color w:val="003CA0"/>
          <w:sz w:val="12"/>
        </w:rPr>
        <w:t xml:space="preserve"> | rel. Cármen Lúcia</w:t>
      </w:r>
    </w:p>
    <w:p>
      <w:pPr>
        <w:ind w:left="288"/>
      </w:pPr>
      <w:r>
        <w:rPr>
          <w:color w:val="1E1E1E"/>
          <w:sz w:val="18"/>
        </w:rPr>
        <w:t>= Inq 2.648, rel. min. Cármen Lúcia, j. 12-6-2008, P, DJE de 22-8-2008 O cerne da questão em debate neste writ consiste em saber se está ou não impedido o magistrado que, tendo presidido o inquérito, tornou-se, posteriormente, prevento para atuar como relator da ação penal. (...) Em se tratando de processos penais originários, que tramitam no STJ e no STF, regulados pela Lei 8.038/1990, de acordo com o seu art. 2º, parágrafo único, "o relator escolhido, na forma regimental (...) terá as atribuições que a legislação processual confere aos juízes singulares". Entre essas atribuições encontra-se,</w:t>
      </w:r>
    </w:p>
    <w:p>
      <w:pPr>
        <w:ind w:left="288"/>
      </w:pPr>
      <w:r>
        <w:rPr>
          <w:b/>
          <w:color w:val="003CA0"/>
          <w:sz w:val="16"/>
        </w:rPr>
        <w:t>[HC 92.893, voto do rel. min. Ricardo Lewandowski, j. 2-10-2008, P, DJE de 12-12-2008.]</w:t>
      </w:r>
    </w:p>
    <w:p>
      <w:pPr>
        <w:ind w:left="288"/>
      </w:pPr>
      <w:r>
        <w:rPr>
          <w:color w:val="8C8C8C"/>
          <w:sz w:val="12"/>
        </w:rPr>
        <w:t>cf-art-102-inc-I-ali-b</w:t>
      </w:r>
      <w:r>
        <w:rPr>
          <w:color w:val="003CA0"/>
          <w:sz w:val="12"/>
        </w:rPr>
        <w:t xml:space="preserve"> | PET 4.313</w:t>
      </w:r>
      <w:r>
        <w:rPr>
          <w:color w:val="003CA0"/>
          <w:sz w:val="12"/>
        </w:rPr>
        <w:t xml:space="preserve"> | rel. Cezar Peluso</w:t>
      </w:r>
    </w:p>
    <w:p>
      <w:pPr>
        <w:ind w:left="288"/>
      </w:pPr>
      <w:r>
        <w:rPr>
          <w:color w:val="1E1E1E"/>
          <w:sz w:val="18"/>
        </w:rPr>
        <w:t>Competência. Originária. Magistratura. Magistrado. Ministro do STJ. Representação. Alegação de ofensa aos princípios da legalidade e da imparcialidade. Não conhecimento. Inteligência do art. 102, I, e, da CF. Remessa dos autos ao STJ. Agravo improvido. O Supremo não é competente para conhecer de representação contra ministro do STJ.</w:t>
      </w:r>
    </w:p>
    <w:p>
      <w:pPr>
        <w:ind w:left="288"/>
      </w:pPr>
      <w:r>
        <w:rPr>
          <w:b/>
          <w:color w:val="003CA0"/>
          <w:sz w:val="16"/>
        </w:rPr>
        <w:t>[Pet 4.313 AgR, rel. min. Cezar Peluso, j. 16-9-2008, P, DJE de 7-11-2008.]</w:t>
      </w:r>
    </w:p>
    <w:p>
      <w:pPr>
        <w:ind w:left="288"/>
      </w:pPr>
      <w:r>
        <w:rPr>
          <w:color w:val="8C8C8C"/>
          <w:sz w:val="12"/>
        </w:rPr>
        <w:t>cf-art-102-inc-I-ali-b</w:t>
      </w:r>
      <w:r>
        <w:rPr>
          <w:color w:val="003CA0"/>
          <w:sz w:val="12"/>
        </w:rPr>
        <w:t xml:space="preserve"> | PET 3.211</w:t>
      </w:r>
    </w:p>
    <w:p>
      <w:pPr>
        <w:ind w:left="288"/>
      </w:pPr>
      <w:r>
        <w:rPr>
          <w:color w:val="1E1E1E"/>
          <w:sz w:val="18"/>
        </w:rPr>
        <w:t>Questão de ordem. Ação civil pública. Ato de improbidade administrativa. Ministro do STF. Impossibilidade. Competência da Corte para processar e julgar seus membros apenas nas infrações penais comuns. Compete ao STF julgar ação de improbidade contra seus membros. Arquivamento da ação quanto ao ministro da Suprema Corte e remessa dos autos ao juízo de primeiro grau de jurisdição no tocante aos demais.</w:t>
      </w:r>
    </w:p>
    <w:p>
      <w:pPr>
        <w:ind w:left="288"/>
      </w:pPr>
      <w:r>
        <w:rPr>
          <w:b/>
          <w:color w:val="003CA0"/>
          <w:sz w:val="16"/>
        </w:rPr>
        <w:t>[Pet 3.211 QO, red do ac. min. Menezes Direito, j. 13-3-2008, P, DJE de 27-6-2008.]</w:t>
      </w:r>
    </w:p>
    <w:p>
      <w:pPr>
        <w:ind w:left="288"/>
      </w:pPr>
      <w:r>
        <w:rPr>
          <w:color w:val="8C8C8C"/>
          <w:sz w:val="12"/>
        </w:rPr>
        <w:t>cf-art-102-inc-I-ali-b</w:t>
      </w:r>
      <w:r>
        <w:rPr>
          <w:color w:val="003CA0"/>
          <w:sz w:val="12"/>
        </w:rPr>
        <w:t xml:space="preserve"> | PET 4.089</w:t>
      </w:r>
      <w:r>
        <w:rPr>
          <w:color w:val="003CA0"/>
          <w:sz w:val="12"/>
        </w:rPr>
        <w:t xml:space="preserve"> | rel. Celso de Mello</w:t>
      </w:r>
    </w:p>
    <w:p>
      <w:pPr>
        <w:ind w:left="288"/>
      </w:pPr>
      <w:r>
        <w:rPr>
          <w:color w:val="1E1E1E"/>
          <w:sz w:val="18"/>
        </w:rPr>
        <w:t>As medidas cautelares a que se refere o art. 867 do CPC (protesto, notificação ou interpelação), quando promovidas contra ministro de Estado, não se incluem na esfera de competência originária do STF, precisamente porque destituídas de caráter penal.</w:t>
      </w:r>
    </w:p>
    <w:p>
      <w:pPr>
        <w:ind w:left="288"/>
      </w:pPr>
      <w:r>
        <w:rPr>
          <w:b/>
          <w:color w:val="003CA0"/>
          <w:sz w:val="16"/>
        </w:rPr>
        <w:t>[Pet 4.089 AgR, rel. min. Celso de Mello, j. 24-10-2007, P, DJE de 1º-2-2013.]</w:t>
      </w:r>
    </w:p>
    <w:p>
      <w:pPr>
        <w:ind w:left="288"/>
      </w:pPr>
      <w:r>
        <w:rPr>
          <w:color w:val="8C8C8C"/>
          <w:sz w:val="12"/>
        </w:rPr>
        <w:t>cf-art-102-inc-I-ali-b</w:t>
      </w:r>
      <w:r>
        <w:rPr>
          <w:color w:val="003CA0"/>
          <w:sz w:val="12"/>
        </w:rPr>
        <w:t xml:space="preserve"> | PET 4.075</w:t>
      </w:r>
      <w:r>
        <w:rPr>
          <w:color w:val="003CA0"/>
          <w:sz w:val="12"/>
        </w:rPr>
        <w:t xml:space="preserve"> | rel. Teori Zavascki</w:t>
      </w:r>
    </w:p>
    <w:p>
      <w:pPr>
        <w:ind w:left="288"/>
      </w:pPr>
      <w:r>
        <w:rPr>
          <w:color w:val="1E1E1E"/>
          <w:sz w:val="18"/>
        </w:rPr>
        <w:t>= Pet 4.075 AgR, rel. min. Teori Zavascki, j. 19-9-2013, P, DJE de 11-10-2013 Foro especial. Impetração contra decisão de desmembramento de inquérito que manteve o paciente sob a jurisdição do STF por conexão. Inexistência de afronta ao princípio do juiz natural: Súmula 704/STF. Falta de interesse de agir: não ocorrência.</w:t>
      </w:r>
    </w:p>
    <w:p>
      <w:pPr>
        <w:ind w:left="288"/>
      </w:pPr>
      <w:r>
        <w:rPr>
          <w:b/>
          <w:color w:val="003CA0"/>
          <w:sz w:val="16"/>
        </w:rPr>
        <w:t>[HC 91.224, red do ac. min. Cármen Lúcia, j. 15-10-2007, P, DJE de 16-5-2008.]</w:t>
      </w:r>
    </w:p>
    <w:p>
      <w:pPr>
        <w:ind w:left="288"/>
      </w:pPr>
      <w:r>
        <w:rPr>
          <w:color w:val="8C8C8C"/>
          <w:sz w:val="12"/>
        </w:rPr>
        <w:t>cf-art-102-inc-I-ali-b</w:t>
      </w:r>
      <w:r>
        <w:rPr>
          <w:color w:val="003CA0"/>
          <w:sz w:val="12"/>
        </w:rPr>
        <w:t xml:space="preserve"> | INQ 2.424</w:t>
      </w:r>
      <w:r>
        <w:rPr>
          <w:color w:val="003CA0"/>
          <w:sz w:val="12"/>
        </w:rPr>
        <w:t xml:space="preserve"> | rel. Cezar Peluso</w:t>
      </w:r>
    </w:p>
    <w:p>
      <w:pPr>
        <w:ind w:left="288"/>
      </w:pPr>
      <w:r>
        <w:rPr>
          <w:color w:val="1E1E1E"/>
          <w:sz w:val="18"/>
        </w:rPr>
        <w:t>= Inq 2.424, rel. min. Cezar Peluso, j. 26-11-2008, P, DJE de 26-3-2010 Vide Inq 2.718 QO, rel. min. Ricardo Lewandowski, j. 20-8-2009, P, DJE de 27-11-2009 Somente o STF pode processar e julgar ministro de Estado no caso de crime de responsabilidade e, assim, eventualmente, determinar a perda do cargo ou a suspensão de direitos políticos.</w:t>
      </w:r>
    </w:p>
    <w:p>
      <w:pPr>
        <w:ind w:left="288"/>
      </w:pPr>
      <w:r>
        <w:rPr>
          <w:b/>
          <w:color w:val="003CA0"/>
          <w:sz w:val="16"/>
        </w:rPr>
        <w:t>[Rcl 2.138, red do ac. min. Gilmar Mendes, j. 13-6-2007, P, DJE de 18-4-2008.]</w:t>
      </w:r>
    </w:p>
    <w:p>
      <w:pPr>
        <w:ind w:left="288"/>
      </w:pPr>
      <w:r>
        <w:rPr>
          <w:color w:val="8C8C8C"/>
          <w:sz w:val="12"/>
        </w:rPr>
        <w:t>cf-art-102-inc-I-ali-b</w:t>
      </w:r>
      <w:r>
        <w:rPr>
          <w:color w:val="003CA0"/>
          <w:sz w:val="12"/>
        </w:rPr>
        <w:t xml:space="preserve"> | RE 579.799</w:t>
      </w:r>
      <w:r>
        <w:rPr>
          <w:color w:val="003CA0"/>
          <w:sz w:val="12"/>
        </w:rPr>
        <w:t xml:space="preserve"> | rel. Eros Grau</w:t>
      </w:r>
    </w:p>
    <w:p>
      <w:pPr>
        <w:ind w:left="288"/>
      </w:pPr>
      <w:r>
        <w:rPr>
          <w:color w:val="1E1E1E"/>
          <w:sz w:val="18"/>
        </w:rPr>
        <w:t>= RE 579.799 AgR, rel. min. Eros Grau, j. 2-12-2008, 2ª T, DJE de 19-12-2008 O membro do Congresso Nacional que se licencia do mandato para investir-se no cargo de ministro de Estado não perde os laços que o unem, organicamente, ao Parlamento (CF, art. 56, I). (...) ainda que licenciado, cumpre-lhe guardar estrita observância às vedações e incompatibilidades inerentes ao estatuto constitucional do congressista, assim como às exigências ético-jurídicas que a Constituição (CF, art. 55, § 1º) e os regimentos internos das Casas Legislativas estabelecem como elementos caracterizadores do decoro par</w:t>
      </w:r>
    </w:p>
    <w:p>
      <w:pPr>
        <w:ind w:left="288"/>
      </w:pPr>
      <w:r>
        <w:rPr>
          <w:b/>
          <w:color w:val="003CA0"/>
          <w:sz w:val="16"/>
        </w:rPr>
        <w:t>[MS 25.579 MC, red do ac. min. Joaquim Barbosa, j. 19-10-2005, P, DJ de 24-8-2007.]</w:t>
      </w:r>
    </w:p>
    <w:p>
      <w:pPr>
        <w:ind w:left="288"/>
      </w:pPr>
      <w:r>
        <w:rPr>
          <w:color w:val="8C8C8C"/>
          <w:sz w:val="12"/>
        </w:rPr>
        <w:t>cf-art-102-inc-I-ali-b</w:t>
      </w:r>
      <w:r>
        <w:rPr>
          <w:color w:val="003CA0"/>
          <w:sz w:val="12"/>
        </w:rPr>
        <w:t xml:space="preserve"> | INQ 2.044</w:t>
      </w:r>
      <w:r>
        <w:rPr>
          <w:color w:val="003CA0"/>
          <w:sz w:val="12"/>
        </w:rPr>
        <w:t xml:space="preserve"> | rel. Sepúlveda Pertence</w:t>
      </w:r>
    </w:p>
    <w:p>
      <w:pPr>
        <w:ind w:left="288"/>
      </w:pPr>
      <w:r>
        <w:rPr>
          <w:color w:val="1E1E1E"/>
          <w:sz w:val="18"/>
        </w:rPr>
        <w:t>Para efeito de definição da competência penal originária do STF, não se consideram ministros de Estado os titulares de cargos de natureza especial da estrutura orgânica da Presidência da República, malgrado lhes confira a lei prerrogativas, garantias, vantagens e direitos equivalentes aos dos titulares dos Ministérios: é o caso do secretário especial de Aquicultura e Pesca da Presidência da República. Precedente: Inq 2.044 QO, Pleno, Pertence, 17-12-2004.</w:t>
      </w:r>
    </w:p>
    <w:p>
      <w:pPr>
        <w:ind w:left="288"/>
      </w:pPr>
      <w:r>
        <w:rPr>
          <w:b/>
          <w:color w:val="003CA0"/>
          <w:sz w:val="16"/>
        </w:rPr>
        <w:t>[Rcl 2.356 AgR, rel. min. Sepúlveda Pertence, j. 7-4-2005, P, DJ de 10-6-2005.]</w:t>
      </w:r>
    </w:p>
    <w:p>
      <w:pPr>
        <w:ind w:left="288"/>
      </w:pPr>
      <w:r>
        <w:rPr>
          <w:color w:val="8C8C8C"/>
          <w:sz w:val="12"/>
        </w:rPr>
        <w:t>cf-art-102-inc-I-ali-b</w:t>
      </w:r>
      <w:r>
        <w:rPr>
          <w:color w:val="003CA0"/>
          <w:sz w:val="12"/>
        </w:rPr>
        <w:t xml:space="preserve"> | PET 1.954</w:t>
      </w:r>
      <w:r>
        <w:rPr>
          <w:color w:val="003CA0"/>
          <w:sz w:val="12"/>
        </w:rPr>
        <w:t xml:space="preserve"> | rel. Maurício Corrêa</w:t>
      </w:r>
    </w:p>
    <w:p>
      <w:pPr>
        <w:ind w:left="288"/>
      </w:pPr>
      <w:r>
        <w:rPr>
          <w:color w:val="1E1E1E"/>
          <w:sz w:val="18"/>
        </w:rPr>
        <w:t>O processo de impeachment dos ministros de Estado, por crimes de responsabilidade autônomos, não conexos com infrações da mesma natureza do presidente da República, ostenta caráter jurisdicional, devendo ser instruído e julgado pelo STF. Inaplicabilidade do disposto nos arts. 51, I, e 52, I, da Carta de 1988 e 14 da Lei 1.079/1950, dado que é prescindível autorização política da Câmara dos Deputados para a sua instauração. Prevalência, na espécie, da natureza criminal desses processos, cuja apuração judicial está sujeita à ação penal pública da competência exclusiva do MPF (CF, art. 129, I). I</w:t>
      </w:r>
    </w:p>
    <w:p>
      <w:pPr>
        <w:ind w:left="288"/>
      </w:pPr>
      <w:r>
        <w:rPr>
          <w:b/>
          <w:color w:val="003CA0"/>
          <w:sz w:val="16"/>
        </w:rPr>
        <w:t>[Pet 1.954, rel. min. Maurício Corrêa, j. 11-9-2002, P, DJ de 1º-8-2003.]</w:t>
      </w:r>
    </w:p>
    <w:p>
      <w:pPr>
        <w:ind w:left="288"/>
      </w:pPr>
      <w:r>
        <w:rPr>
          <w:color w:val="8C8C8C"/>
          <w:sz w:val="12"/>
        </w:rPr>
        <w:t>cf-art-102-inc-I-ali-b</w:t>
      </w:r>
    </w:p>
    <w:p>
      <w:pPr>
        <w:ind w:left="288"/>
      </w:pPr>
      <w:r>
        <w:rPr>
          <w:color w:val="1E1E1E"/>
          <w:sz w:val="18"/>
        </w:rPr>
        <w:t>d) o habeas corpus, sendo paciente qualquer das pessoas referidas nas alíneas anteriores; o mandado de segurança e o habeas data contra atos do Presidente da República, das Mesas da Câmara dos Deputados e do Senado Federal, do Tribunal de Contas da União, do Procurador-Geral da República e do próprio Supremo Tribunal Federal;</w:t>
      </w:r>
    </w:p>
    <w:p>
      <w:pPr>
        <w:ind w:left="144"/>
      </w:pPr>
      <w:r>
        <w:rPr>
          <w:b/>
          <w:color w:val="B45A00"/>
          <w:sz w:val="16"/>
        </w:rPr>
        <w:t>SUMULA</w:t>
      </w:r>
    </w:p>
    <w:p>
      <w:pPr>
        <w:ind w:left="288"/>
      </w:pPr>
      <w:r>
        <w:rPr>
          <w:color w:val="8C8C8C"/>
          <w:sz w:val="12"/>
        </w:rPr>
        <w:t>cf-art-102-inc-I-ali-b</w:t>
      </w:r>
    </w:p>
    <w:p>
      <w:pPr>
        <w:ind w:left="288"/>
      </w:pPr>
      <w:r>
        <w:rPr>
          <w:color w:val="1E1E1E"/>
          <w:sz w:val="18"/>
        </w:rPr>
        <w:t>No mandado de segurança contra a nomeação de magistrado da competência do presidente da república, este é considerado autoridade coatora, ainda que o fundamento da impetração seja nulidade ocorrida em fase anterior do procedimento.</w:t>
      </w:r>
    </w:p>
    <w:p>
      <w:pPr>
        <w:ind w:left="288"/>
      </w:pPr>
      <w:r>
        <w:rPr>
          <w:b/>
          <w:color w:val="003CA0"/>
          <w:sz w:val="16"/>
        </w:rPr>
        <w:t>[Súmula 627.]</w:t>
      </w:r>
    </w:p>
    <w:p>
      <w:pPr>
        <w:ind w:left="288"/>
      </w:pPr>
      <w:r>
        <w:rPr>
          <w:color w:val="8C8C8C"/>
          <w:sz w:val="12"/>
        </w:rPr>
        <w:t>cf-art-102-inc-I-ali-b</w:t>
      </w:r>
    </w:p>
    <w:p>
      <w:pPr>
        <w:ind w:left="288"/>
      </w:pPr>
      <w:r>
        <w:rPr>
          <w:color w:val="1E1E1E"/>
          <w:sz w:val="18"/>
        </w:rPr>
        <w:t>Não compete ao STF conhecer originariamente de mandado de segurança contra atos de outros tribunais.</w:t>
      </w:r>
    </w:p>
    <w:p>
      <w:pPr>
        <w:ind w:left="288"/>
      </w:pPr>
      <w:r>
        <w:rPr>
          <w:b/>
          <w:color w:val="003CA0"/>
          <w:sz w:val="16"/>
        </w:rPr>
        <w:t>[Súmula 624.]</w:t>
      </w:r>
    </w:p>
    <w:p>
      <w:pPr>
        <w:ind w:left="288"/>
      </w:pPr>
      <w:r>
        <w:rPr>
          <w:color w:val="8C8C8C"/>
          <w:sz w:val="12"/>
        </w:rPr>
        <w:t>cf-art-102-inc-I-ali-b</w:t>
      </w:r>
    </w:p>
    <w:p>
      <w:pPr>
        <w:ind w:left="288"/>
      </w:pPr>
      <w:r>
        <w:rPr>
          <w:color w:val="1E1E1E"/>
          <w:sz w:val="18"/>
        </w:rPr>
        <w:t>Praticado o ato por autoridade, no exercício de competência delegada, contra ela cabe o mandado de segurança ou a medida judicial.</w:t>
      </w:r>
    </w:p>
    <w:p>
      <w:pPr>
        <w:ind w:left="288"/>
      </w:pPr>
      <w:r>
        <w:rPr>
          <w:b/>
          <w:color w:val="003CA0"/>
          <w:sz w:val="16"/>
        </w:rPr>
        <w:t>[Súmula 510.]</w:t>
      </w:r>
    </w:p>
    <w:p>
      <w:pPr>
        <w:ind w:left="144"/>
      </w:pPr>
      <w:r>
        <w:rPr>
          <w:b/>
          <w:color w:val="B45A00"/>
          <w:sz w:val="16"/>
        </w:rPr>
        <w:t>JULGADOS CORRELATOS</w:t>
      </w:r>
    </w:p>
    <w:p>
      <w:pPr>
        <w:ind w:left="288"/>
      </w:pPr>
      <w:r>
        <w:rPr>
          <w:color w:val="8C8C8C"/>
          <w:sz w:val="12"/>
        </w:rPr>
        <w:t>cf-art-102-inc-I-ali-b</w:t>
      </w:r>
      <w:r>
        <w:rPr>
          <w:color w:val="003CA0"/>
          <w:sz w:val="12"/>
        </w:rPr>
        <w:t xml:space="preserve"> | MS 34.418</w:t>
      </w:r>
      <w:r>
        <w:rPr>
          <w:color w:val="003CA0"/>
          <w:sz w:val="12"/>
        </w:rPr>
        <w:t xml:space="preserve"> | rel. Rosa Weber</w:t>
      </w:r>
    </w:p>
    <w:p>
      <w:pPr>
        <w:ind w:left="288"/>
      </w:pPr>
      <w:r>
        <w:rPr>
          <w:color w:val="1E1E1E"/>
          <w:sz w:val="18"/>
        </w:rPr>
        <w:t>O exercício da jurisdição do Supremo Tribunal Federal em mandados de segurança originários envolve, necessariamente, ponderação delicada e complexa a respeito das próprias relações entre os Poderes da República – exigindo, em contrapartida, razões de convencimento incontornáveis para fundamentar intervenção judicial nos trabalhos legislativos.</w:t>
        <w:br/>
        <w:t>[MS 34.418, rel. min. Rosa Weber, j. 25-9-2023, P, DJE de 6-10-2023.] Discurso do Presidente da República de ‘aceitação ou facilitação’ da Copa América 2021 no País. Realização eventual dependente da aquiescência e administração de espaços dos Governador</w:t>
      </w:r>
    </w:p>
    <w:p>
      <w:pPr>
        <w:ind w:left="288"/>
      </w:pPr>
      <w:r>
        <w:rPr>
          <w:b/>
          <w:color w:val="003CA0"/>
          <w:sz w:val="16"/>
        </w:rPr>
        <w:t>[MS 28.538, rel. min. Marco Aurélio, j. 23-4-2014, P, DJE de 4-8-2014.]</w:t>
      </w:r>
    </w:p>
    <w:p>
      <w:pPr>
        <w:ind w:left="288"/>
      </w:pPr>
      <w:r>
        <w:rPr>
          <w:color w:val="8C8C8C"/>
          <w:sz w:val="12"/>
        </w:rPr>
        <w:t>cf-art-102-inc-I-ali-b</w:t>
      </w:r>
      <w:r>
        <w:rPr>
          <w:color w:val="003CA0"/>
          <w:sz w:val="12"/>
        </w:rPr>
        <w:t xml:space="preserve"> | MS 30.492</w:t>
      </w:r>
      <w:r>
        <w:rPr>
          <w:color w:val="003CA0"/>
          <w:sz w:val="12"/>
        </w:rPr>
        <w:t xml:space="preserve"> | rel. Celso de Mello</w:t>
      </w:r>
    </w:p>
    <w:p>
      <w:pPr>
        <w:ind w:left="288"/>
      </w:pPr>
      <w:r>
        <w:rPr>
          <w:color w:val="1E1E1E"/>
          <w:sz w:val="18"/>
        </w:rPr>
        <w:t>O STF não dispõe de competência originária para processar e julgar mandado de segurança quando impetrado contra decisão administrativa proferida pelo diretor da Coordenação de Secretariado Parlamentar, no desempenho de competência que lhe foi delegada pela Mesa Diretora da Câmara dos Deputados. Incidência da Súmula 510/STF.</w:t>
      </w:r>
    </w:p>
    <w:p>
      <w:pPr>
        <w:ind w:left="288"/>
      </w:pPr>
      <w:r>
        <w:rPr>
          <w:b/>
          <w:color w:val="003CA0"/>
          <w:sz w:val="16"/>
        </w:rPr>
        <w:t>[MS 30.492 AgR, rel. min. Celso de Mello, j. 27-2-2014, P, DJE de 25-3-2014.]</w:t>
      </w:r>
    </w:p>
    <w:p>
      <w:pPr>
        <w:ind w:left="288"/>
      </w:pPr>
      <w:r>
        <w:rPr>
          <w:color w:val="8C8C8C"/>
          <w:sz w:val="12"/>
        </w:rPr>
        <w:t>cf-art-102-inc-I-ali-b</w:t>
      </w:r>
      <w:r>
        <w:rPr>
          <w:color w:val="003CA0"/>
          <w:sz w:val="12"/>
        </w:rPr>
        <w:t xml:space="preserve"> | MS 28.177</w:t>
      </w:r>
      <w:r>
        <w:rPr>
          <w:color w:val="003CA0"/>
          <w:sz w:val="12"/>
        </w:rPr>
        <w:t xml:space="preserve"> | rel. Marco Aurélio</w:t>
      </w:r>
    </w:p>
    <w:p>
      <w:pPr>
        <w:ind w:left="288"/>
      </w:pPr>
      <w:r>
        <w:rPr>
          <w:color w:val="1E1E1E"/>
          <w:sz w:val="18"/>
        </w:rPr>
        <w:t>Ante a nova lei do mandado de segurança, explicitou-se o cabimento de recurso contra decisão monocrática que implique o deferimento ou o indeferimento da liminar, havendo o Plenário declarado, na apreciação do MS 28.177 MC-AgR/DF, a insubsistência do Verbete 622.</w:t>
      </w:r>
    </w:p>
    <w:p>
      <w:pPr>
        <w:ind w:left="288"/>
      </w:pPr>
      <w:r>
        <w:rPr>
          <w:b/>
          <w:color w:val="003CA0"/>
          <w:sz w:val="16"/>
        </w:rPr>
        <w:t>[MS 25.563 AgR, rel. min. Marco Aurélio, j. 9-12-2010, P, DJE de 10-2-2011.]</w:t>
      </w:r>
    </w:p>
    <w:p>
      <w:pPr>
        <w:ind w:left="288"/>
      </w:pPr>
      <w:r>
        <w:rPr>
          <w:color w:val="8C8C8C"/>
          <w:sz w:val="12"/>
        </w:rPr>
        <w:t>cf-art-102-inc-I-ali-b</w:t>
      </w:r>
      <w:r>
        <w:rPr>
          <w:color w:val="003CA0"/>
          <w:sz w:val="12"/>
        </w:rPr>
        <w:t xml:space="preserve"> | rel. Ricardo Lewandowski</w:t>
      </w:r>
    </w:p>
    <w:p>
      <w:pPr>
        <w:ind w:left="288"/>
      </w:pPr>
      <w:r>
        <w:rPr>
          <w:color w:val="1E1E1E"/>
          <w:sz w:val="18"/>
        </w:rPr>
        <w:t>As informações solicitadas pelo impetrante dizem respeito à remessa, ou não, de ação popular pelo Tribunal de Justiça do Estado de Rondônia e pelo Juízo da Fazenda Pública local a este STF. Não se trata da hipótese que se enquadra nas exigências previstas na alínea d do inciso I do art. 102 da CF (...).</w:t>
      </w:r>
    </w:p>
    <w:p>
      <w:pPr>
        <w:ind w:left="288"/>
      </w:pPr>
      <w:r>
        <w:rPr>
          <w:b/>
          <w:color w:val="003CA0"/>
          <w:sz w:val="16"/>
        </w:rPr>
        <w:t>[HD 82 AgR, rel. min. Ricardo Lewandowski, j. 9-12-2010, P, DJE de 9-2-2011.]</w:t>
      </w:r>
    </w:p>
    <w:p>
      <w:pPr>
        <w:ind w:left="288"/>
      </w:pPr>
      <w:r>
        <w:rPr>
          <w:color w:val="8C8C8C"/>
          <w:sz w:val="12"/>
        </w:rPr>
        <w:t>cf-art-102-inc-I-ali-b</w:t>
      </w:r>
      <w:r>
        <w:rPr>
          <w:color w:val="003CA0"/>
          <w:sz w:val="12"/>
        </w:rPr>
        <w:t xml:space="preserve"> | MS 27.026</w:t>
      </w:r>
      <w:r>
        <w:rPr>
          <w:color w:val="003CA0"/>
          <w:sz w:val="12"/>
        </w:rPr>
        <w:t xml:space="preserve"> | rel. Cármen Lúcia</w:t>
      </w:r>
    </w:p>
    <w:p>
      <w:pPr>
        <w:ind w:left="288"/>
      </w:pPr>
      <w:r>
        <w:rPr>
          <w:color w:val="1E1E1E"/>
          <w:sz w:val="18"/>
        </w:rPr>
        <w:t>No pedido de revisão administrativa da pontuação de títulos obtida pelo impetrante, o CNJ entendeu que nada havia a decidir, porque a questão fora apreciada pelo Tribunal de Justiça de São Paulo. Deliberação negativa do CNJ que não substituiu o ato originalmente questionado. Ausência de abuso ou ilegalidade na decisão do CNJ. Não conhecimento desse pedido por incompetência do STF (...). Impossibilidade de se transformar o STF em instância revisora das decisões administrativas do CNJ. Ausência de direito líquido e certo do impetrante para a oferta de serventias vagas, não constantes no edital.</w:t>
      </w:r>
    </w:p>
    <w:p>
      <w:pPr>
        <w:ind w:left="288"/>
      </w:pPr>
      <w:r>
        <w:rPr>
          <w:b/>
          <w:color w:val="003CA0"/>
          <w:sz w:val="16"/>
        </w:rPr>
        <w:t>[MS 27.026, rel. min. Cármen Lúcia, j. 3-11-2010, P, DJE de 21-2-2011.]</w:t>
      </w:r>
    </w:p>
    <w:p>
      <w:pPr>
        <w:ind w:left="288"/>
      </w:pPr>
      <w:r>
        <w:rPr>
          <w:color w:val="8C8C8C"/>
          <w:sz w:val="12"/>
        </w:rPr>
        <w:t>cf-art-102-inc-I-ali-b</w:t>
      </w:r>
      <w:r>
        <w:rPr>
          <w:color w:val="003CA0"/>
          <w:sz w:val="12"/>
        </w:rPr>
        <w:t xml:space="preserve"> | AP 305</w:t>
      </w:r>
      <w:r>
        <w:rPr>
          <w:color w:val="003CA0"/>
          <w:sz w:val="12"/>
        </w:rPr>
        <w:t xml:space="preserve"> | rel. Celso de Mello</w:t>
      </w:r>
    </w:p>
    <w:p>
      <w:pPr>
        <w:ind w:left="288"/>
      </w:pPr>
      <w:r>
        <w:rPr>
          <w:color w:val="1E1E1E"/>
          <w:sz w:val="18"/>
        </w:rPr>
        <w:t>A questão tratada no presente writ diz respeito ao possível constrangimento ilegal que estaria sofrendo o paciente, que, na condição de deputado federal, teve recebida a exceção da verdade oferecida nos autos da ação penal que tramita perante o Juízo da 2ª Vara Criminal da Comarca de Marília/SP. Inicialmente, entendo pela competência desta Suprema Corte para apreciar e julgar este habeas corpus, considerando o mandato de deputado federal exercido pelo paciente, bem como o fato da exceção da verdade que lhe foi oposta ter sido admitida pelo juízo de origem. Como já decidiu esta Corte, "resultan</w:t>
      </w:r>
    </w:p>
    <w:p>
      <w:pPr>
        <w:ind w:left="288"/>
      </w:pPr>
      <w:r>
        <w:rPr>
          <w:b/>
          <w:color w:val="003CA0"/>
          <w:sz w:val="16"/>
        </w:rPr>
        <w:t>[HC 92.618, rel. min. Ellen Gracie, j. 24-11-2009, 2ª T, DJE de 18-12-2009.]</w:t>
      </w:r>
    </w:p>
    <w:p>
      <w:pPr>
        <w:ind w:left="288"/>
      </w:pPr>
      <w:r>
        <w:rPr>
          <w:color w:val="8C8C8C"/>
          <w:sz w:val="12"/>
        </w:rPr>
        <w:t>cf-art-102-inc-I-ali-b</w:t>
      </w:r>
      <w:r>
        <w:rPr>
          <w:color w:val="003CA0"/>
          <w:sz w:val="12"/>
        </w:rPr>
        <w:t xml:space="preserve"> | MS 26.065</w:t>
      </w:r>
      <w:r>
        <w:rPr>
          <w:color w:val="003CA0"/>
          <w:sz w:val="12"/>
        </w:rPr>
        <w:t xml:space="preserve"> | rel. Ayres Britto</w:t>
      </w:r>
    </w:p>
    <w:p>
      <w:pPr>
        <w:ind w:left="288"/>
      </w:pPr>
      <w:r>
        <w:rPr>
          <w:color w:val="1E1E1E"/>
          <w:sz w:val="18"/>
        </w:rPr>
        <w:t>O STF não tem competência para discutir "denúncias" sobre comportamento de magistrados. Devolução do pedido por ato da presidente da Corte. Inexistência de violação a direito líquido e certo.</w:t>
      </w:r>
    </w:p>
    <w:p>
      <w:pPr>
        <w:ind w:left="288"/>
      </w:pPr>
      <w:r>
        <w:rPr>
          <w:b/>
          <w:color w:val="003CA0"/>
          <w:sz w:val="16"/>
        </w:rPr>
        <w:t>[MS 26.065 ED, rel. min. Ayres Britto, j. 1º-7-2009, P, DJE de 28-8-2009.]</w:t>
      </w:r>
    </w:p>
    <w:p>
      <w:pPr>
        <w:ind w:left="288"/>
      </w:pPr>
      <w:r>
        <w:rPr>
          <w:color w:val="8C8C8C"/>
          <w:sz w:val="12"/>
        </w:rPr>
        <w:t>cf-art-102-inc-I-ali-b</w:t>
      </w:r>
      <w:r>
        <w:rPr>
          <w:color w:val="003CA0"/>
          <w:sz w:val="12"/>
        </w:rPr>
        <w:t xml:space="preserve"> | HC 88.673</w:t>
      </w:r>
      <w:r>
        <w:rPr>
          <w:color w:val="003CA0"/>
          <w:sz w:val="12"/>
        </w:rPr>
        <w:t xml:space="preserve"> | rel. Menezes Direito</w:t>
      </w:r>
    </w:p>
    <w:p>
      <w:pPr>
        <w:ind w:left="288"/>
      </w:pPr>
      <w:r>
        <w:rPr>
          <w:color w:val="1E1E1E"/>
          <w:sz w:val="18"/>
        </w:rPr>
        <w:t>Se o corréu não foi nomeado presidente do Banco Central, embora tenha sido sabatinado e aprovado pelo Senado Federal, apenas respondendo em diversas oportunidades pela presidência, não goza ele de foro por prerrogativa de função previsto na Lei 11.036/2004.</w:t>
      </w:r>
    </w:p>
    <w:p>
      <w:pPr>
        <w:ind w:left="288"/>
      </w:pPr>
      <w:r>
        <w:rPr>
          <w:b/>
          <w:color w:val="003CA0"/>
          <w:sz w:val="16"/>
        </w:rPr>
        <w:t>[HC 88.673, rel. min. Menezes Direito, j. 31-10-2007, P, DJE de 14-3-2007.]</w:t>
      </w:r>
    </w:p>
    <w:p>
      <w:pPr>
        <w:ind w:left="288"/>
      </w:pPr>
      <w:r>
        <w:rPr>
          <w:color w:val="8C8C8C"/>
          <w:sz w:val="12"/>
        </w:rPr>
        <w:t>cf-art-102-inc-I-ali-b</w:t>
      </w:r>
      <w:r>
        <w:rPr>
          <w:color w:val="003CA0"/>
          <w:sz w:val="12"/>
        </w:rPr>
        <w:t xml:space="preserve"> | MS 26.438</w:t>
      </w:r>
      <w:r>
        <w:rPr>
          <w:color w:val="003CA0"/>
          <w:sz w:val="12"/>
        </w:rPr>
        <w:t xml:space="preserve"> | rel. Joaquim Barbosa</w:t>
      </w:r>
    </w:p>
    <w:p>
      <w:pPr>
        <w:ind w:left="288"/>
      </w:pPr>
      <w:r>
        <w:rPr>
          <w:color w:val="1E1E1E"/>
          <w:sz w:val="18"/>
        </w:rPr>
        <w:t>Mandado de segurança. Questão de ordem. Competência originária do STF. Nomeação para vaga em TRT. Lista sêxtupla da seccional da OAB. Precedente do STF em que se constata a existência de conflito federativo resultante de controvérsia entre tribunal de justiça estadual e a OAB sobre formação de lista para nomeação de magistrado pelo quinto constitucional. Inaplicabilidade do precedente ao caso: controvérsia entre órgão e entidade federais. Ainda que a nomeação de magistrados pelo quinto constitucional seja ato complexo, a impetração é dirigida contra ato do TRT. Ilegitimidade passiva do preside</w:t>
      </w:r>
    </w:p>
    <w:p>
      <w:pPr>
        <w:ind w:left="288"/>
      </w:pPr>
      <w:r>
        <w:rPr>
          <w:b/>
          <w:color w:val="003CA0"/>
          <w:sz w:val="16"/>
        </w:rPr>
        <w:t>[MS 26.438 QO, rel. min. Joaquim Barbosa, j. 29-10-2007, P, DJE de 28-3-2008.]</w:t>
      </w:r>
    </w:p>
    <w:p>
      <w:pPr>
        <w:ind w:left="288"/>
      </w:pPr>
      <w:r>
        <w:rPr>
          <w:color w:val="8C8C8C"/>
          <w:sz w:val="12"/>
        </w:rPr>
        <w:t>cf-art-102-inc-I-ali-b</w:t>
      </w:r>
      <w:r>
        <w:rPr>
          <w:color w:val="003CA0"/>
          <w:sz w:val="12"/>
        </w:rPr>
        <w:t xml:space="preserve"> | HC 86.005</w:t>
      </w:r>
      <w:r>
        <w:rPr>
          <w:color w:val="003CA0"/>
          <w:sz w:val="12"/>
        </w:rPr>
        <w:t xml:space="preserve"> | rel. Ellen Gracie</w:t>
      </w:r>
    </w:p>
    <w:p>
      <w:pPr>
        <w:ind w:left="288"/>
      </w:pPr>
      <w:r>
        <w:rPr>
          <w:color w:val="1E1E1E"/>
          <w:sz w:val="18"/>
        </w:rPr>
        <w:t>A competência por prevenção é relativa, estando sujeita à prorrogação, caso precluída a oportunidade de arguição da incompetência. Precedentes. Na hipótese, reconhecida a incidência de preclusão lógica e consumativa, mantém-se a relatoria previamente estabelecida. Agravo regimental improvido.</w:t>
      </w:r>
    </w:p>
    <w:p>
      <w:pPr>
        <w:ind w:left="288"/>
      </w:pPr>
      <w:r>
        <w:rPr>
          <w:b/>
          <w:color w:val="003CA0"/>
          <w:sz w:val="16"/>
        </w:rPr>
        <w:t>[HC 86.005 AgR, rel. min. Ellen Gracie, j. 20-9-2007, P, DJ de 9-11-2007.]</w:t>
      </w:r>
    </w:p>
    <w:p>
      <w:pPr>
        <w:ind w:left="288"/>
      </w:pPr>
      <w:r>
        <w:rPr>
          <w:color w:val="8C8C8C"/>
          <w:sz w:val="12"/>
        </w:rPr>
        <w:t>cf-art-102-inc-I-ali-b</w:t>
      </w:r>
      <w:r>
        <w:rPr>
          <w:color w:val="003CA0"/>
          <w:sz w:val="12"/>
        </w:rPr>
        <w:t xml:space="preserve"> | HC 84.444</w:t>
      </w:r>
      <w:r>
        <w:rPr>
          <w:color w:val="003CA0"/>
          <w:sz w:val="12"/>
        </w:rPr>
        <w:t xml:space="preserve"> | rel. Celso de Mello</w:t>
      </w:r>
    </w:p>
    <w:p>
      <w:pPr>
        <w:ind w:left="288"/>
      </w:pPr>
      <w:r>
        <w:rPr>
          <w:color w:val="1E1E1E"/>
          <w:sz w:val="18"/>
        </w:rPr>
        <w:t>Não cabe, para o Plenário, impetração de habeas corpus contra decisão colegiada de qualquer das Turmas do STF, ainda que resultante do julgamento de outros processos de habeas corpus (Súmula 606/STF) ou proferida em sede de recursos em geral, inclusive aqueles de natureza penal (RTJ 88/108 – RTJ 95/1053 – RTJ 126/175). Precedentes. A jurisprudência prevalecente no STF reconhece possível, no entanto, a impetração de habeas corpus, quando deduzida em face de decisões monocráticas proferidas pelo relator da causa. Precedentes.</w:t>
      </w:r>
    </w:p>
    <w:p>
      <w:pPr>
        <w:ind w:left="288"/>
      </w:pPr>
      <w:r>
        <w:rPr>
          <w:b/>
          <w:color w:val="003CA0"/>
          <w:sz w:val="16"/>
        </w:rPr>
        <w:t>[HC 84.444 AgR, rel. min. Celso de Mello, j. 9-8-2007, P, DJ de 14-9-2007.]</w:t>
      </w:r>
    </w:p>
    <w:p>
      <w:pPr>
        <w:ind w:left="288"/>
      </w:pPr>
      <w:r>
        <w:rPr>
          <w:color w:val="8C8C8C"/>
          <w:sz w:val="12"/>
        </w:rPr>
        <w:t>cf-art-102-inc-I-ali-b</w:t>
      </w:r>
      <w:r>
        <w:rPr>
          <w:color w:val="003CA0"/>
          <w:sz w:val="12"/>
        </w:rPr>
        <w:t xml:space="preserve"> | RCL 6.366</w:t>
      </w:r>
      <w:r>
        <w:rPr>
          <w:color w:val="003CA0"/>
          <w:sz w:val="12"/>
        </w:rPr>
        <w:t xml:space="preserve"> | rel. Cármen Lúcia</w:t>
      </w:r>
    </w:p>
    <w:p>
      <w:pPr>
        <w:ind w:left="288"/>
      </w:pPr>
      <w:r>
        <w:rPr>
          <w:color w:val="1E1E1E"/>
          <w:sz w:val="18"/>
        </w:rPr>
        <w:t>= Rcl 6.366 AgR, rel. min. Cármen Lúcia, j. 5-11-2008, P, DJE de 8-5-2009 Cabimento de mandado de segurança contra ato jurisdicional deste STF passível de recurso. Aplicação da Súmula 267/STF.</w:t>
      </w:r>
    </w:p>
    <w:p>
      <w:pPr>
        <w:ind w:left="288"/>
      </w:pPr>
      <w:r>
        <w:rPr>
          <w:b/>
          <w:color w:val="003CA0"/>
          <w:sz w:val="16"/>
        </w:rPr>
        <w:t>[MS 25.413 AgR, rel. min. Gilmar Mendes, j. 14-6-2007, P, DJ de 14-9-2007.]</w:t>
      </w:r>
    </w:p>
    <w:p>
      <w:pPr>
        <w:ind w:left="288"/>
      </w:pPr>
      <w:r>
        <w:rPr>
          <w:color w:val="8C8C8C"/>
          <w:sz w:val="12"/>
        </w:rPr>
        <w:t>cf-art-102-inc-I-ali-b</w:t>
      </w:r>
      <w:r>
        <w:rPr>
          <w:color w:val="003CA0"/>
          <w:sz w:val="12"/>
        </w:rPr>
        <w:t xml:space="preserve"> | MS 27.371</w:t>
      </w:r>
      <w:r>
        <w:rPr>
          <w:color w:val="003CA0"/>
          <w:sz w:val="12"/>
        </w:rPr>
        <w:t xml:space="preserve"> | rel. Joaquim Barbosa</w:t>
      </w:r>
    </w:p>
    <w:p>
      <w:pPr>
        <w:ind w:left="288"/>
      </w:pPr>
      <w:r>
        <w:rPr>
          <w:color w:val="1E1E1E"/>
          <w:sz w:val="18"/>
        </w:rPr>
        <w:t>Vide MS 27.371 AgR, rel. min. Joaquim Barbosa, j. 1º-7-2009, P, DJE de 21-8-2009 O STF não dispõe de competência originária para processar e julgar mandado de segurança impetrado contra outros tribunais judiciários, ainda que se trate dos Tribunais Superiores da União (TSE, STJ, STM e TST). (...). O ajuizamento do mandado de segurança, ainda que perante órgão judiciário absolutamente incompetente, e desde que impetrado dentro do prazo de 120 dias a que alude o art. 18 da Lei 1.533/1951, impede que se consume a decadência do direito de requerer o writ mandamental. É que este, bem ou mal, consoa</w:t>
      </w:r>
    </w:p>
    <w:p>
      <w:pPr>
        <w:ind w:left="288"/>
      </w:pPr>
      <w:r>
        <w:rPr>
          <w:b/>
          <w:color w:val="003CA0"/>
          <w:sz w:val="16"/>
        </w:rPr>
        <w:t>[MS 26.006 AgR, rel. min. Celso de Mello, j. 2-4-2007, P, DJE de 15-2-2008.]</w:t>
      </w:r>
    </w:p>
    <w:p>
      <w:pPr>
        <w:ind w:left="288"/>
      </w:pPr>
      <w:r>
        <w:rPr>
          <w:color w:val="8C8C8C"/>
          <w:sz w:val="12"/>
        </w:rPr>
        <w:t>cf-art-102-inc-I-ali-b</w:t>
      </w:r>
      <w:r>
        <w:rPr>
          <w:color w:val="003CA0"/>
          <w:sz w:val="12"/>
        </w:rPr>
        <w:t xml:space="preserve"> | MS 27.026</w:t>
      </w:r>
      <w:r>
        <w:rPr>
          <w:color w:val="003CA0"/>
          <w:sz w:val="12"/>
        </w:rPr>
        <w:t xml:space="preserve"> | rel. Cármen Lúcia</w:t>
      </w:r>
    </w:p>
    <w:p>
      <w:pPr>
        <w:ind w:left="288"/>
      </w:pPr>
      <w:r>
        <w:rPr>
          <w:color w:val="1E1E1E"/>
          <w:sz w:val="18"/>
        </w:rPr>
        <w:t>= MS 27.026, rel. min. Cármen Lúcia, j. 3-11-2010, P, DJE de 21-2-2011 Em razão da taxatividade da competência deste Supremo Tribunal em sede de mandado de segurança (alínea d do inciso I do art. 102), é da própria turma recursal a competência para julgar ações mandamentais impetradas contra seus atos. Precedentes. O risco de perecimento do direito justifica a remessa dos autos à Corte competente para o feito.</w:t>
      </w:r>
    </w:p>
    <w:p>
      <w:pPr>
        <w:ind w:left="288"/>
      </w:pPr>
      <w:r>
        <w:rPr>
          <w:b/>
          <w:color w:val="003CA0"/>
          <w:sz w:val="16"/>
        </w:rPr>
        <w:t>[MS 25.087 ED, rel. min. Ayres Britto, j. 21-9-2006, P, DJ de 11-5-2007.]</w:t>
      </w:r>
    </w:p>
    <w:p>
      <w:pPr>
        <w:ind w:left="288"/>
      </w:pPr>
      <w:r>
        <w:rPr>
          <w:color w:val="8C8C8C"/>
          <w:sz w:val="12"/>
        </w:rPr>
        <w:t>cf-art-102-inc-I-ali-b</w:t>
      </w:r>
      <w:r>
        <w:rPr>
          <w:color w:val="003CA0"/>
          <w:sz w:val="12"/>
        </w:rPr>
        <w:t xml:space="preserve"> | AI 666.523</w:t>
      </w:r>
    </w:p>
    <w:p>
      <w:pPr>
        <w:ind w:left="288"/>
      </w:pPr>
      <w:r>
        <w:rPr>
          <w:color w:val="1E1E1E"/>
          <w:sz w:val="18"/>
        </w:rPr>
        <w:t>= AI 666.523 AgR, red. do ac. min. Marco Aurélio, j. 26-10-2010, 1ª T, DJE de 3-12-2010 Mandado de segurança contra ato de ministro do Supremo Tribunal: singularidade do caso concreto, que leva à afirmação de competência, por prevenção, do relator dos MS 25.846 e MS 25.853.</w:t>
      </w:r>
    </w:p>
    <w:p>
      <w:pPr>
        <w:ind w:left="288"/>
      </w:pPr>
      <w:r>
        <w:rPr>
          <w:b/>
          <w:color w:val="003CA0"/>
          <w:sz w:val="16"/>
        </w:rPr>
        <w:t>[MS 25.846 QO, red. do ac. min. Sepúlveda Pertence, j. 8-3-2006, P, DJ de 14-9-2007.]</w:t>
      </w:r>
    </w:p>
    <w:p>
      <w:pPr>
        <w:ind w:left="288"/>
      </w:pPr>
      <w:r>
        <w:rPr>
          <w:color w:val="8C8C8C"/>
          <w:sz w:val="12"/>
        </w:rPr>
        <w:t>cf-art-102-inc-I-ali-b</w:t>
      </w:r>
      <w:r>
        <w:rPr>
          <w:color w:val="003CA0"/>
          <w:sz w:val="12"/>
        </w:rPr>
        <w:t xml:space="preserve"> | MS 24.001</w:t>
      </w:r>
      <w:r>
        <w:rPr>
          <w:color w:val="003CA0"/>
          <w:sz w:val="12"/>
        </w:rPr>
        <w:t xml:space="preserve"> | rel. Eros Grau</w:t>
      </w:r>
    </w:p>
    <w:p>
      <w:pPr>
        <w:ind w:left="288"/>
      </w:pPr>
      <w:r>
        <w:rPr>
          <w:color w:val="1E1E1E"/>
          <w:sz w:val="18"/>
        </w:rPr>
        <w:t>O presidente da 1ª Câmara do TCU é parte legítima para figurar no polo passivo de mandado de segurança quando o ato impugnado reveste-se de caráter impositivo. Precedente (MS 24.001, relator Maurício Corrêa, DJ de 20-5-02).</w:t>
      </w:r>
    </w:p>
    <w:p>
      <w:pPr>
        <w:ind w:left="288"/>
      </w:pPr>
      <w:r>
        <w:rPr>
          <w:b/>
          <w:color w:val="003CA0"/>
          <w:sz w:val="16"/>
        </w:rPr>
        <w:t>[MS 24.997, rel. min. Eros Grau, j. 2-2-2005, P, DJ de 1º-4-2005.]</w:t>
      </w:r>
    </w:p>
    <w:p>
      <w:pPr>
        <w:ind w:left="288"/>
      </w:pPr>
      <w:r>
        <w:rPr>
          <w:color w:val="8C8C8C"/>
          <w:sz w:val="12"/>
        </w:rPr>
        <w:t>cf-art-102-inc-I-ali-b</w:t>
      </w:r>
      <w:r>
        <w:rPr>
          <w:color w:val="003CA0"/>
          <w:sz w:val="12"/>
        </w:rPr>
        <w:t xml:space="preserve"> | MS 25.149</w:t>
      </w:r>
      <w:r>
        <w:rPr>
          <w:color w:val="003CA0"/>
          <w:sz w:val="12"/>
        </w:rPr>
        <w:t xml:space="preserve"> | rel. Celso de Mello</w:t>
      </w:r>
    </w:p>
    <w:p>
      <w:pPr>
        <w:ind w:left="288"/>
      </w:pPr>
      <w:r>
        <w:rPr>
          <w:color w:val="1E1E1E"/>
          <w:sz w:val="18"/>
        </w:rPr>
        <w:t>= MS 25.149, rel. min. Celso de Mello, j. 9-6-2005, P, DJE de 18-9-2009 A atuação do TCU limitou-se à fiscalização de acompanhamento de um procedimento licitatório que já havia sido nulificado pelas autoridades fazendárias. Em outras palavras, o ato do órgão impetrado tão somente ratificou declaração de nulidade previamente emitida. Ainda que se eliminasse o ato do TCU, permaneceria incólume a decretação de nulidade proferida pela unidade gestora e chancelada pela Secretaria da Receita Federal. Inaceitável, sob pena de descaracterização da natureza instrumental do processo, a provocação da ati</w:t>
      </w:r>
    </w:p>
    <w:p>
      <w:pPr>
        <w:ind w:left="288"/>
      </w:pPr>
      <w:r>
        <w:rPr>
          <w:b/>
          <w:color w:val="003CA0"/>
          <w:sz w:val="16"/>
        </w:rPr>
        <w:t>[MS 24.421, red. do ac. min. Ellen Gracie, j. 25-3-2004, P, DJ de 11-10-2007.]</w:t>
      </w:r>
    </w:p>
    <w:p>
      <w:pPr>
        <w:ind w:left="288"/>
      </w:pPr>
      <w:r>
        <w:rPr>
          <w:color w:val="8C8C8C"/>
          <w:sz w:val="12"/>
        </w:rPr>
        <w:t>cf-art-102-inc-I-ali-b</w:t>
      </w:r>
      <w:r>
        <w:rPr>
          <w:color w:val="003CA0"/>
          <w:sz w:val="12"/>
        </w:rPr>
        <w:t xml:space="preserve"> | MS 24.547</w:t>
      </w:r>
      <w:r>
        <w:rPr>
          <w:color w:val="003CA0"/>
          <w:sz w:val="12"/>
        </w:rPr>
        <w:t xml:space="preserve"> | rel. Ellen Gracie</w:t>
      </w:r>
    </w:p>
    <w:p>
      <w:pPr>
        <w:ind w:left="288"/>
      </w:pPr>
      <w:r>
        <w:rPr>
          <w:color w:val="1E1E1E"/>
          <w:sz w:val="18"/>
        </w:rPr>
        <w:t>Inocorrência de litispendência ou conexão entre mandado de segurança impetrado contra ato do sr. presidente da República e outras demandas que atacam defeitos do procedimento administrativo em que se embasou o decreto que declarou a utilidade pública de área rural, para fins de reforma agrária.</w:t>
      </w:r>
    </w:p>
    <w:p>
      <w:pPr>
        <w:ind w:left="288"/>
      </w:pPr>
      <w:r>
        <w:rPr>
          <w:b/>
          <w:color w:val="003CA0"/>
          <w:sz w:val="16"/>
        </w:rPr>
        <w:t>[MS 24.547, rel. min. Ellen Gracie, j. 14-8-2003, P, DJ de 23-4-2004.]</w:t>
      </w:r>
    </w:p>
    <w:p>
      <w:pPr>
        <w:ind w:left="288"/>
      </w:pPr>
      <w:r>
        <w:rPr>
          <w:color w:val="8C8C8C"/>
          <w:sz w:val="12"/>
        </w:rPr>
        <w:t>cf-art-102-inc-I-ali-b</w:t>
      </w:r>
      <w:r>
        <w:rPr>
          <w:color w:val="003CA0"/>
          <w:sz w:val="12"/>
        </w:rPr>
        <w:t xml:space="preserve"> | PET 3.244</w:t>
      </w:r>
      <w:r>
        <w:rPr>
          <w:color w:val="003CA0"/>
          <w:sz w:val="12"/>
        </w:rPr>
        <w:t xml:space="preserve"> | rel. Gilmar Mendes</w:t>
      </w:r>
    </w:p>
    <w:p>
      <w:pPr>
        <w:ind w:left="288"/>
      </w:pPr>
      <w:r>
        <w:rPr>
          <w:color w:val="1E1E1E"/>
          <w:sz w:val="18"/>
        </w:rPr>
        <w:t>= Pet 3.244 AgR, rel. min. Gilmar Mendes, j. 16-9-2009, P, DJE de 19-2-2010 Extradição deferida pelo STF. Processo suspenso, dado que os extraditandos requereram, na forma da Lei 9.474/1997, a condição de refugiados (...). Processando-se, administrativamente, o pedido, impetraram os extraditandos mandado de segurança perante o juízo de primeiro grau. Competência do STF para o processo e julgamento desse mandado de segurança, dado que as questões relacionadas com a extradição são de sua competência, independentemente da qualidade da autoridade apontada coatora, tratando-se de habeas corpus e de</w:t>
      </w:r>
    </w:p>
    <w:p>
      <w:pPr>
        <w:ind w:left="288"/>
      </w:pPr>
      <w:r>
        <w:rPr>
          <w:b/>
          <w:color w:val="003CA0"/>
          <w:sz w:val="16"/>
        </w:rPr>
        <w:t>[Rcl 2.069, rel. min. Carlos Velloso, j. 27-6-2002, P, DJ de 1º-8-2003.]</w:t>
      </w:r>
    </w:p>
    <w:p>
      <w:pPr>
        <w:ind w:left="288"/>
      </w:pPr>
      <w:r>
        <w:rPr>
          <w:color w:val="8C8C8C"/>
          <w:sz w:val="12"/>
        </w:rPr>
        <w:t>cf-art-102-inc-I-ali-b</w:t>
      </w:r>
      <w:r>
        <w:rPr>
          <w:color w:val="003CA0"/>
          <w:sz w:val="12"/>
        </w:rPr>
        <w:t xml:space="preserve"> | MS 24.274</w:t>
      </w:r>
      <w:r>
        <w:rPr>
          <w:color w:val="003CA0"/>
          <w:sz w:val="12"/>
        </w:rPr>
        <w:t xml:space="preserve"> | rel. Celso de Mello</w:t>
      </w:r>
    </w:p>
    <w:p>
      <w:pPr>
        <w:ind w:left="288"/>
      </w:pPr>
      <w:r>
        <w:rPr>
          <w:color w:val="1E1E1E"/>
          <w:sz w:val="18"/>
        </w:rPr>
        <w:t>A jurisprudência do STF – que já proclamou a plena recepção do art. 21, VI, da Loman, pela Constituição de 1988 (RTJ 133/633) – tem enfatizado assistir, aos próprios tribunais, competência, para, em sede originária, processar e julgar os mandados de segurança impetrados contra seus atos ou omissões ou, ainda, contra aqueles emanados de seus respectivos presidentes.</w:t>
      </w:r>
    </w:p>
    <w:p>
      <w:pPr>
        <w:ind w:left="288"/>
      </w:pPr>
      <w:r>
        <w:rPr>
          <w:b/>
          <w:color w:val="003CA0"/>
          <w:sz w:val="16"/>
        </w:rPr>
        <w:t>[MS 24.274 AgR, rel. min. Celso de Mello, j. 25-6-2002, 2ª T, DJ de 11-5-2007.]</w:t>
      </w:r>
    </w:p>
    <w:p>
      <w:pPr>
        <w:ind w:left="288"/>
      </w:pPr>
      <w:r>
        <w:rPr>
          <w:color w:val="8C8C8C"/>
          <w:sz w:val="12"/>
        </w:rPr>
        <w:t>cf-art-102-inc-I-ali-b</w:t>
      </w:r>
      <w:r>
        <w:rPr>
          <w:color w:val="003CA0"/>
          <w:sz w:val="12"/>
        </w:rPr>
        <w:t xml:space="preserve"> | MS 28.857</w:t>
      </w:r>
      <w:r>
        <w:rPr>
          <w:color w:val="003CA0"/>
          <w:sz w:val="12"/>
        </w:rPr>
        <w:t xml:space="preserve"> | rel. Celso de Mello</w:t>
      </w:r>
    </w:p>
    <w:p>
      <w:pPr>
        <w:ind w:left="288"/>
      </w:pPr>
      <w:r>
        <w:rPr>
          <w:color w:val="1E1E1E"/>
          <w:sz w:val="18"/>
        </w:rPr>
        <w:t>= MS 28.857 AgR, rel. min. Celso de Mello, j. 15-12-2010, P, DJE de 15-4-2011 Competência do STF para processar e julgar mandado de segurança contra ato do primeiro secretário da Câmara dos Deputados. Ausência de prova pré-constituída do ato coator. Se o ato do primeiro secretário da Câmara dos Deputados decorre de sua função na Mesa Diretora da Casa Legislativa, deve ser analisado pelo STF, em virtude do disposto no art. 102, I, d, da CF.</w:t>
      </w:r>
    </w:p>
    <w:p>
      <w:pPr>
        <w:ind w:left="288"/>
      </w:pPr>
      <w:r>
        <w:rPr>
          <w:b/>
          <w:color w:val="003CA0"/>
          <w:sz w:val="16"/>
        </w:rPr>
        <w:t>[MS 24.099 AgR, rel. min. Maurício Corrêa, j. 7-3-2002, P, DJ de 2-8-2002.]</w:t>
      </w:r>
    </w:p>
    <w:p>
      <w:pPr>
        <w:ind w:left="288"/>
      </w:pPr>
      <w:r>
        <w:rPr>
          <w:color w:val="8C8C8C"/>
          <w:sz w:val="12"/>
        </w:rPr>
        <w:t>cf-art-102-inc-I-ali-b</w:t>
      </w:r>
      <w:r>
        <w:rPr>
          <w:color w:val="003CA0"/>
          <w:sz w:val="12"/>
        </w:rPr>
        <w:t xml:space="preserve"> | MS 23.977</w:t>
      </w:r>
      <w:r>
        <w:rPr>
          <w:color w:val="003CA0"/>
          <w:sz w:val="12"/>
        </w:rPr>
        <w:t xml:space="preserve"> | rel. Cezar Peluso</w:t>
      </w:r>
    </w:p>
    <w:p>
      <w:pPr>
        <w:ind w:left="288"/>
      </w:pPr>
      <w:r>
        <w:rPr>
          <w:color w:val="1E1E1E"/>
          <w:sz w:val="18"/>
        </w:rPr>
        <w:t>Vide MS 23.977, rel. min. Cezar Peluso, j. 12-5-2010, P, DJE de 27-8-2010 Habeas corpus: cabimento contra decisões colegiadas do próprio STF, restrito àquelas relacionadas a crimes de sua competência originária: inteligência conjugada das alíneas d, parte final, e i, parte final, do art. 102, I, da Constituição: análise e reafirmação da jurisprudência do STF, já enunciada na Súmula 606, que se mantém sob o regime constitucional vigente.</w:t>
      </w:r>
    </w:p>
    <w:p>
      <w:pPr>
        <w:ind w:left="288"/>
      </w:pPr>
      <w:r>
        <w:rPr>
          <w:b/>
          <w:color w:val="003CA0"/>
          <w:sz w:val="16"/>
        </w:rPr>
        <w:t>[HC 80.082 QO, rel. min. Sepúlveda Pertence, j. 16-8-2001, P, DJ de 1º-8-2003.]</w:t>
      </w:r>
    </w:p>
    <w:p>
      <w:pPr>
        <w:ind w:left="288"/>
      </w:pPr>
      <w:r>
        <w:rPr>
          <w:color w:val="8C8C8C"/>
          <w:sz w:val="12"/>
        </w:rPr>
        <w:t>cf-art-102-inc-I-ali-b</w:t>
      </w:r>
      <w:r>
        <w:rPr>
          <w:color w:val="003CA0"/>
          <w:sz w:val="12"/>
        </w:rPr>
        <w:t xml:space="preserve"> | HC 89.672</w:t>
      </w:r>
      <w:r>
        <w:rPr>
          <w:color w:val="003CA0"/>
          <w:sz w:val="12"/>
        </w:rPr>
        <w:t xml:space="preserve"> | rel. Ayres Britto</w:t>
      </w:r>
    </w:p>
    <w:p>
      <w:pPr>
        <w:ind w:left="288"/>
      </w:pPr>
      <w:r>
        <w:rPr>
          <w:color w:val="1E1E1E"/>
          <w:sz w:val="18"/>
        </w:rPr>
        <w:t>= HC 89.672 AgR, rel. min. Ayres Britto, j. 27-6-2007, P, DJ de 26-10-2007 Compete ao STF processar e julgar, em sede originária, mandados de segurança e habeas corpus impetrados contra CPIs constituídas no âmbito do Congresso Nacional ou no de qualquer de suas Casas. É que a CPI, enquanto projeção orgânica do Poder Legislativo da União, nada mais é senão a longa manus do próprio Congresso Nacional ou das Casas que o compõem, sujeitando-se, em consequência, em tema de mandado de segurança ou de habeas corpus, ao controle jurisdicional originário do STF (CF, art. 102, I, d e i).</w:t>
      </w:r>
    </w:p>
    <w:p>
      <w:pPr>
        <w:ind w:left="288"/>
      </w:pPr>
      <w:r>
        <w:rPr>
          <w:b/>
          <w:color w:val="003CA0"/>
          <w:sz w:val="16"/>
        </w:rPr>
        <w:t>[MS 23.452, rel. min. Celso de Mello, j. 16-9-1999, P, DJ de 12-5-2000.]</w:t>
      </w:r>
    </w:p>
    <w:p>
      <w:pPr>
        <w:ind w:left="288"/>
      </w:pPr>
      <w:r>
        <w:rPr>
          <w:color w:val="8C8C8C"/>
          <w:sz w:val="12"/>
        </w:rPr>
        <w:t>cf-art-102-inc-I-ali-b</w:t>
      </w:r>
      <w:r>
        <w:rPr>
          <w:color w:val="003CA0"/>
          <w:sz w:val="12"/>
        </w:rPr>
        <w:t xml:space="preserve"> | MS 22.626</w:t>
      </w:r>
      <w:r>
        <w:rPr>
          <w:color w:val="003CA0"/>
          <w:sz w:val="12"/>
        </w:rPr>
        <w:t xml:space="preserve"> | rel. Celso de Mello</w:t>
      </w:r>
    </w:p>
    <w:p>
      <w:pPr>
        <w:ind w:left="288"/>
      </w:pPr>
      <w:r>
        <w:rPr>
          <w:color w:val="1E1E1E"/>
          <w:sz w:val="18"/>
        </w:rPr>
        <w:t>A jurisprudência do STF – mesmo sob a égide da vigente Constituição – firmou-se no sentido de não admitir, por incabível, mandado de segurança contra atos decisórios de índole jurisdicional proferidos pela Suprema Corte, eis que tais decisões, ainda quando emanadas de ministro relator, somente são suscetíveis de desconstituição mediante utilização dos recursos pertinentes, ou, tratando-se de pronunciamentos de mérito já transitados em julgado, mediante ajuizamento originário da ação rescisória.</w:t>
      </w:r>
    </w:p>
    <w:p>
      <w:pPr>
        <w:ind w:left="288"/>
      </w:pPr>
      <w:r>
        <w:rPr>
          <w:b/>
          <w:color w:val="003CA0"/>
          <w:sz w:val="16"/>
        </w:rPr>
        <w:t>[MS 22.626 AgR, rel. min. Celso de Mello, j. 31-10-1996, P, DJ de 22-11-1996.]</w:t>
      </w:r>
    </w:p>
    <w:p>
      <w:pPr>
        <w:ind w:left="288"/>
      </w:pPr>
      <w:r>
        <w:rPr>
          <w:color w:val="8C8C8C"/>
          <w:sz w:val="12"/>
        </w:rPr>
        <w:t>cf-art-102-inc-I-ali-b</w:t>
      </w:r>
      <w:r>
        <w:rPr>
          <w:color w:val="003CA0"/>
          <w:sz w:val="12"/>
        </w:rPr>
        <w:t xml:space="preserve"> | MS 28.982</w:t>
      </w:r>
      <w:r>
        <w:rPr>
          <w:color w:val="003CA0"/>
          <w:sz w:val="12"/>
        </w:rPr>
        <w:t xml:space="preserve"> | rel. Gilmar Mendes</w:t>
      </w:r>
    </w:p>
    <w:p>
      <w:pPr>
        <w:ind w:left="288"/>
      </w:pPr>
      <w:r>
        <w:rPr>
          <w:color w:val="1E1E1E"/>
          <w:sz w:val="18"/>
        </w:rPr>
        <w:t>= MS 28.982 AgR, rel. min. Gilmar Mendes, j. 16-9-2010, P, DJE de 15-10-2010 O remédio de habeas corpus não constitui instrumento processual adequado à invalidação do procedimento administrativo de expulsão regularmente instaurado e promovido pelo Departamento de Polícia Federal, especialmente se o súdito estrangeiro interessado – a quem se estendeu, de modo pleno, a garantia constitucional do direito de defesa – não invocou, em momento algum, por inocorrentes, quaisquer das causas de inexpulsabilidade previstas em lei. Precedentes.</w:t>
      </w:r>
    </w:p>
    <w:p>
      <w:pPr>
        <w:ind w:left="288"/>
      </w:pPr>
      <w:r>
        <w:rPr>
          <w:b/>
          <w:color w:val="003CA0"/>
          <w:sz w:val="16"/>
        </w:rPr>
        <w:t>[HC 72.851, rel. min. Celso de Mello, j. 25-10-1995, P, DJE de 28-11-2008.]</w:t>
      </w:r>
    </w:p>
    <w:p>
      <w:pPr>
        <w:ind w:left="288"/>
      </w:pPr>
      <w:r>
        <w:rPr>
          <w:color w:val="8C8C8C"/>
          <w:sz w:val="12"/>
        </w:rPr>
        <w:t>cf-art-102-inc-I-ali-b</w:t>
      </w:r>
      <w:r>
        <w:rPr>
          <w:color w:val="003CA0"/>
          <w:sz w:val="12"/>
        </w:rPr>
        <w:t xml:space="preserve"> | HC 92.769</w:t>
      </w:r>
      <w:r>
        <w:rPr>
          <w:color w:val="003CA0"/>
          <w:sz w:val="12"/>
        </w:rPr>
        <w:t xml:space="preserve"> | rel. Celso de Mello</w:t>
      </w:r>
    </w:p>
    <w:p>
      <w:pPr>
        <w:ind w:left="288"/>
      </w:pPr>
      <w:r>
        <w:rPr>
          <w:color w:val="1E1E1E"/>
          <w:sz w:val="18"/>
        </w:rPr>
        <w:t>= HC 92.769, rel. min. Celso de Mello, j. 19-5-2014, dec. monocrática, DJE de 22-5-2014. Competência do STF. Ação civil pública contra presidente da República. Lei 7.347/1985. A competência do STF é de direito estrito e decorre da Constituição, que a restringe aos casos enumerados no art. 102 e incisos. A circunstância de o presidente da República estar sujeito à jurisdição da Corte, para os feitos criminais e mandados de segurança, não desloca para esta o exercício da competência originária em relação às demais ações propostas contra ato da referida autoridade.</w:t>
      </w:r>
    </w:p>
    <w:p>
      <w:pPr>
        <w:ind w:left="288"/>
      </w:pPr>
      <w:r>
        <w:rPr>
          <w:b/>
          <w:color w:val="003CA0"/>
          <w:sz w:val="16"/>
        </w:rPr>
        <w:t>[Pet 693 AgR, rel. min. Ilmar Galvão, j. 12-8-1993, P, DJ de 1º-3-1996.]</w:t>
      </w:r>
    </w:p>
    <w:p>
      <w:pPr>
        <w:ind w:left="288"/>
      </w:pPr>
      <w:r>
        <w:rPr>
          <w:color w:val="8C8C8C"/>
          <w:sz w:val="12"/>
        </w:rPr>
        <w:t>cf-art-102-inc-I-ali-e</w:t>
      </w:r>
      <w:r>
        <w:rPr>
          <w:color w:val="003CA0"/>
          <w:sz w:val="12"/>
        </w:rPr>
        <w:t xml:space="preserve"> | ACO 3.194</w:t>
      </w:r>
      <w:r>
        <w:rPr>
          <w:color w:val="003CA0"/>
          <w:sz w:val="12"/>
        </w:rPr>
        <w:t xml:space="preserve"> | rel. Gilmar Mendes</w:t>
      </w:r>
    </w:p>
    <w:p>
      <w:pPr>
        <w:ind w:left="288"/>
      </w:pPr>
      <w:r>
        <w:rPr>
          <w:color w:val="1E1E1E"/>
          <w:sz w:val="18"/>
        </w:rPr>
        <w:t>(...) as hipóteses de reconhecimento da competência do Supremo Tribunal Federal ostentam interpretação estrita, não abrangendo conflitos entre pessoa física, ainda que na condição de cônsul honorário de Moçambique, e Estados e Municípios, os quais não estão inseridos no rol taxativo da alínea e do inciso I do art. 102 da CF. Em outras palavras, além de o texto constitucional não mencionar os municípios entre as entidades cujos litígios com Estados estrangeiros ou Organismos Internacionais deteriam competência originária nesta Corte, o requerente atua em juízo defendendo direito próprio, o qual</w:t>
      </w:r>
    </w:p>
    <w:p>
      <w:pPr>
        <w:ind w:left="288"/>
      </w:pPr>
      <w:r>
        <w:rPr>
          <w:b/>
          <w:color w:val="003CA0"/>
          <w:sz w:val="16"/>
        </w:rPr>
        <w:t>[ACO 3.194, rel. min. Gilmar Mendes, j. 28-11-2018, dec. monocrática, DJE de 30-11-2018.]</w:t>
      </w:r>
    </w:p>
    <w:p>
      <w:pPr>
        <w:ind w:left="288"/>
      </w:pPr>
      <w:r>
        <w:rPr>
          <w:color w:val="8C8C8C"/>
          <w:sz w:val="12"/>
        </w:rPr>
        <w:t>cf-art-102-inc-I-ali-e</w:t>
      </w:r>
      <w:r>
        <w:rPr>
          <w:color w:val="003CA0"/>
          <w:sz w:val="12"/>
        </w:rPr>
        <w:t xml:space="preserve"> | ACO 709</w:t>
      </w:r>
      <w:r>
        <w:rPr>
          <w:color w:val="003CA0"/>
          <w:sz w:val="12"/>
        </w:rPr>
        <w:t xml:space="preserve"> | rel. Celso de Mello</w:t>
      </w:r>
    </w:p>
    <w:p>
      <w:pPr>
        <w:ind w:left="288"/>
      </w:pPr>
      <w:r>
        <w:rPr>
          <w:color w:val="1E1E1E"/>
          <w:sz w:val="18"/>
        </w:rPr>
        <w:t>Execução judicial contra Estado estrangeiro. Competência originária do STF (CF, art. 102, I, e). Imunidade de jurisdição (imunidade à jurisdição cognitiva) e imunidade de execução (imunidade à jurisdição executiva). O status quaestionis na jurisprudência do STF. (...) Prevalência do entendimento no sentido da impossibilidade jurídica de execução judicial contra Estados estrangeiros, exceto na hipótese de expressa renúncia, por eles, a essa prerrogativa de ordem jurídica.</w:t>
      </w:r>
    </w:p>
    <w:p>
      <w:pPr>
        <w:ind w:left="288"/>
      </w:pPr>
      <w:r>
        <w:rPr>
          <w:b/>
          <w:color w:val="003CA0"/>
          <w:sz w:val="16"/>
        </w:rPr>
        <w:t>[ACO 709, rel. min. Celso de Mello, j. 26-8-2013, dec. monocrática, DJE de 30-8-2013.]</w:t>
      </w:r>
    </w:p>
    <w:p>
      <w:pPr>
        <w:ind w:left="288"/>
      </w:pPr>
      <w:r>
        <w:rPr>
          <w:color w:val="8C8C8C"/>
          <w:sz w:val="12"/>
        </w:rPr>
        <w:t>cf-art-102-inc-I-ali-e</w:t>
      </w:r>
      <w:r>
        <w:rPr>
          <w:color w:val="003CA0"/>
          <w:sz w:val="12"/>
        </w:rPr>
        <w:t xml:space="preserve"> | RCL 2.937</w:t>
      </w:r>
      <w:r>
        <w:rPr>
          <w:color w:val="003CA0"/>
          <w:sz w:val="12"/>
        </w:rPr>
        <w:t xml:space="preserve"> | rel. Marco Aurélio</w:t>
      </w:r>
    </w:p>
    <w:p>
      <w:pPr>
        <w:ind w:left="288"/>
      </w:pPr>
      <w:r>
        <w:rPr>
          <w:color w:val="1E1E1E"/>
          <w:sz w:val="18"/>
        </w:rPr>
        <w:t>Ante o disposto na alínea e do inciso I do art. 102 da CF, cabe ao Supremo processar e julgar originariamente ação civil pública proposta pelo MPF contra a Itaipu Binacional.</w:t>
      </w:r>
    </w:p>
    <w:p>
      <w:pPr>
        <w:ind w:left="288"/>
      </w:pPr>
      <w:r>
        <w:rPr>
          <w:b/>
          <w:color w:val="003CA0"/>
          <w:sz w:val="16"/>
        </w:rPr>
        <w:t>[Rcl 2.937, rel. min. Marco Aurélio, j. 15-12-2011, P, DJE de 16-4-2012.]</w:t>
      </w:r>
    </w:p>
    <w:p>
      <w:pPr>
        <w:ind w:left="288"/>
      </w:pPr>
      <w:r>
        <w:rPr>
          <w:color w:val="8C8C8C"/>
          <w:sz w:val="12"/>
        </w:rPr>
        <w:t>cf-art-102-inc-I-ali-e</w:t>
      </w:r>
      <w:r>
        <w:rPr>
          <w:color w:val="003CA0"/>
          <w:sz w:val="12"/>
        </w:rPr>
        <w:t xml:space="preserve"> | RCL 10.920</w:t>
      </w:r>
      <w:r>
        <w:rPr>
          <w:color w:val="003CA0"/>
          <w:sz w:val="12"/>
        </w:rPr>
        <w:t xml:space="preserve"> | rel. Celso de Mello</w:t>
      </w:r>
    </w:p>
    <w:p>
      <w:pPr>
        <w:ind w:left="288"/>
      </w:pPr>
      <w:r>
        <w:rPr>
          <w:color w:val="1E1E1E"/>
          <w:sz w:val="18"/>
        </w:rPr>
        <w:t>(...) não se pode sustentar que incidiria, na espécie, para efeito de utilização do instrumento processual da reclamação, a regra consubstanciada no art. 102, I, e, da Carta Política, pois (...) a norma constitucional em questão somente terá aplicabilidade, se e quando se tratar de litígio que envolva Estado estrangeiro ou organismo internacional, de um lado, e "a União, o Estado, o Distrito Federal ou Território", de outro. Embora o Município integre a organização político-administrativa da República Federativa do Brasil (CF, art. 1º, c/c art. 18), a mera existência de litígio entre municipal</w:t>
      </w:r>
    </w:p>
    <w:p>
      <w:pPr>
        <w:ind w:left="288"/>
      </w:pPr>
      <w:r>
        <w:rPr>
          <w:b/>
          <w:color w:val="003CA0"/>
          <w:sz w:val="16"/>
        </w:rPr>
        <w:t>[Rcl 10.920 MC, rel. min. Celso de Mello, j. 1º-9-2011, dec. monocrática, DJE de 8-9-2011.]</w:t>
      </w:r>
    </w:p>
    <w:p>
      <w:pPr>
        <w:ind w:left="288"/>
      </w:pPr>
      <w:r>
        <w:rPr>
          <w:color w:val="8C8C8C"/>
          <w:sz w:val="12"/>
        </w:rPr>
        <w:t>cf-art-102-inc-I-ali-e</w:t>
      </w:r>
      <w:r>
        <w:rPr>
          <w:color w:val="003CA0"/>
          <w:sz w:val="12"/>
        </w:rPr>
        <w:t xml:space="preserve"> | ACO 3.194</w:t>
      </w:r>
      <w:r>
        <w:rPr>
          <w:color w:val="003CA0"/>
          <w:sz w:val="12"/>
        </w:rPr>
        <w:t xml:space="preserve"> | rel. Gilmar Mendes</w:t>
      </w:r>
    </w:p>
    <w:p>
      <w:pPr>
        <w:ind w:left="288"/>
      </w:pPr>
      <w:r>
        <w:rPr>
          <w:color w:val="1E1E1E"/>
          <w:sz w:val="18"/>
        </w:rPr>
        <w:t>Vide ACO 3.194, rel. min. Gilmar Mendes, j. 28-11-2018, dec. monocrática, DJE de 30-11-2018 A ação cível originária é procedimento no qual o STF atua como instância originária prestando não só a tutela de conhecimento inicial como a própria prestação jurisdicional executiva, se for o caso, nos termos dos arts. 102, I, e, f e m, da CF e 247 e seguintes do RISTF.</w:t>
      </w:r>
    </w:p>
    <w:p>
      <w:pPr>
        <w:ind w:left="288"/>
      </w:pPr>
      <w:r>
        <w:rPr>
          <w:b/>
          <w:color w:val="003CA0"/>
          <w:sz w:val="16"/>
        </w:rPr>
        <w:t>[RE 626.369 ED-ED, voto da rel. min. Ellen Gracie, j. 1º-3-2011, 2ª T, DJE de 24-3-2011.]</w:t>
      </w:r>
    </w:p>
    <w:p>
      <w:pPr>
        <w:ind w:left="144"/>
      </w:pPr>
      <w:r>
        <w:rPr>
          <w:b/>
          <w:color w:val="B45A00"/>
          <w:sz w:val="16"/>
        </w:rPr>
        <w:t>SUMULA</w:t>
      </w:r>
    </w:p>
    <w:p>
      <w:pPr>
        <w:ind w:left="288"/>
      </w:pPr>
      <w:r>
        <w:rPr>
          <w:color w:val="8C8C8C"/>
          <w:sz w:val="12"/>
        </w:rPr>
        <w:t>cf-art-102-inc-I-ali-f</w:t>
      </w:r>
    </w:p>
    <w:p>
      <w:pPr>
        <w:ind w:left="288"/>
      </w:pPr>
      <w:r>
        <w:rPr>
          <w:color w:val="1E1E1E"/>
          <w:sz w:val="18"/>
        </w:rPr>
        <w:t>As sociedades de economia mista só têm foro na Justiça Federal, quando a União intervém como assistente ou opoente.</w:t>
      </w:r>
    </w:p>
    <w:p>
      <w:pPr>
        <w:ind w:left="288"/>
      </w:pPr>
      <w:r>
        <w:rPr>
          <w:b/>
          <w:color w:val="003CA0"/>
          <w:sz w:val="16"/>
        </w:rPr>
        <w:t>[Súmula 517.]</w:t>
      </w:r>
    </w:p>
    <w:p>
      <w:pPr>
        <w:ind w:left="288"/>
      </w:pPr>
      <w:r>
        <w:rPr>
          <w:color w:val="8C8C8C"/>
          <w:sz w:val="12"/>
        </w:rPr>
        <w:t>cf-art-102-inc-I-ali-f</w:t>
      </w:r>
    </w:p>
    <w:p>
      <w:pPr>
        <w:ind w:left="288"/>
      </w:pPr>
      <w:r>
        <w:rPr>
          <w:color w:val="1E1E1E"/>
          <w:sz w:val="18"/>
        </w:rPr>
        <w:t>A dúvida, suscitada por particular, sobre o direito de tributar, manifestado por dois Estados, não configura litígio da competência originária do STF.</w:t>
      </w:r>
    </w:p>
    <w:p>
      <w:pPr>
        <w:ind w:left="288"/>
      </w:pPr>
      <w:r>
        <w:rPr>
          <w:b/>
          <w:color w:val="003CA0"/>
          <w:sz w:val="16"/>
        </w:rPr>
        <w:t>[Súmula 503.]</w:t>
      </w:r>
    </w:p>
    <w:p>
      <w:pPr>
        <w:ind w:left="288"/>
      </w:pPr>
      <w:r>
        <w:rPr>
          <w:color w:val="8C8C8C"/>
          <w:sz w:val="12"/>
        </w:rPr>
        <w:t>cf-art-102-inc-I-ali-f</w:t>
      </w:r>
      <w:r>
        <w:rPr>
          <w:color w:val="003CA0"/>
          <w:sz w:val="12"/>
        </w:rPr>
        <w:t xml:space="preserve"> | ACO 3.713</w:t>
      </w:r>
      <w:r>
        <w:rPr>
          <w:color w:val="003CA0"/>
          <w:sz w:val="12"/>
        </w:rPr>
        <w:t xml:space="preserve"> | rel. Luiz Fux</w:t>
      </w:r>
    </w:p>
    <w:p>
      <w:pPr>
        <w:ind w:left="288"/>
      </w:pPr>
      <w:r>
        <w:rPr>
          <w:color w:val="1E1E1E"/>
          <w:sz w:val="18"/>
        </w:rPr>
        <w:t>Compete ao Supremo Tribunal Federal, ex vi artigo 102, inciso I, alínea “f”, da Constituição Federal, dirimir controvérsia acerca do alcance da imunidade tributária recíproca do artigo 150, inciso VI, alínea “a”, da Constituição Federal, máxime quanto à sua extensão a empresas públicas e sociedades de economia mista, segundo precedentes plurais da Corte.</w:t>
      </w:r>
    </w:p>
    <w:p>
      <w:pPr>
        <w:ind w:left="288"/>
      </w:pPr>
      <w:r>
        <w:rPr>
          <w:b/>
          <w:color w:val="003CA0"/>
          <w:sz w:val="16"/>
        </w:rPr>
        <w:t>[ACO 3.713 AgR, rel. min. Luiz Fux, j. 17.11.2025, P, DJE de 24.11.2025.]</w:t>
      </w:r>
    </w:p>
    <w:p>
      <w:pPr>
        <w:ind w:left="144"/>
      </w:pPr>
      <w:r>
        <w:rPr>
          <w:b/>
          <w:color w:val="B45A00"/>
          <w:sz w:val="16"/>
        </w:rPr>
        <w:t>JULGADOS CORRELATOS</w:t>
      </w:r>
    </w:p>
    <w:p>
      <w:pPr>
        <w:ind w:left="288"/>
      </w:pPr>
      <w:r>
        <w:rPr>
          <w:color w:val="8C8C8C"/>
          <w:sz w:val="12"/>
        </w:rPr>
        <w:t>cf-art-102-inc-I-ali-f</w:t>
      </w:r>
      <w:r>
        <w:rPr>
          <w:color w:val="003CA0"/>
          <w:sz w:val="12"/>
        </w:rPr>
        <w:t xml:space="preserve"> | ACO 787</w:t>
      </w:r>
      <w:r>
        <w:rPr>
          <w:color w:val="003CA0"/>
          <w:sz w:val="12"/>
        </w:rPr>
        <w:t xml:space="preserve"> | rel. Edson Fachin</w:t>
      </w:r>
    </w:p>
    <w:p>
      <w:pPr>
        <w:ind w:left="288"/>
      </w:pPr>
      <w:r>
        <w:rPr>
          <w:color w:val="1E1E1E"/>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w:t>
      </w:r>
    </w:p>
    <w:p>
      <w:pPr>
        <w:ind w:left="288"/>
      </w:pPr>
      <w:r>
        <w:rPr>
          <w:b/>
          <w:color w:val="003CA0"/>
          <w:sz w:val="16"/>
        </w:rPr>
        <w:t>[ACO 787-AgR, rel. min. Edson Fachin, j. 19-12-2022, P, DJE de 31-1-2023.]</w:t>
      </w:r>
    </w:p>
    <w:p>
      <w:pPr>
        <w:ind w:left="288"/>
      </w:pPr>
      <w:r>
        <w:rPr>
          <w:color w:val="8C8C8C"/>
          <w:sz w:val="12"/>
        </w:rPr>
        <w:t>cf-art-102-inc-I-ali-f</w:t>
      </w:r>
      <w:r>
        <w:rPr>
          <w:color w:val="003CA0"/>
          <w:sz w:val="12"/>
        </w:rPr>
        <w:t xml:space="preserve"> | ACO 3508</w:t>
      </w:r>
    </w:p>
    <w:p>
      <w:pPr>
        <w:ind w:left="288"/>
      </w:pPr>
      <w:r>
        <w:rPr>
          <w:color w:val="1E1E1E"/>
          <w:sz w:val="18"/>
        </w:rPr>
        <w:t xml:space="preserve">Legitimidade do Poder Judiciário para avaliar a alocação de recursos públicos no que diz respeito a ações estatais que servem de anteparo para fruição de direitos constitucionais. Determinação para que a União adote as medidas necessárias à realização do censo demográfico do exercício financeiro seguinte ao da concessão da tutela de urgência (2022). Reconhecimento de que a inércia da Administração Pública no que toca à organização, ao planejamento e à execução do Censo Demográfico do IBGE produzirá graves consequências para a formulação, atualização e acompanhamento de políticas sociais, além </w:t>
      </w:r>
    </w:p>
    <w:p>
      <w:pPr>
        <w:ind w:left="288"/>
      </w:pPr>
      <w:r>
        <w:rPr>
          <w:b/>
          <w:color w:val="003CA0"/>
          <w:sz w:val="16"/>
        </w:rPr>
        <w:t>[ACO 843, redator do acórdão min. Alexandre de Moraes, j. 8-6-2020, P, DJE de 4-11-2020.]</w:t>
      </w:r>
    </w:p>
    <w:p>
      <w:pPr>
        <w:ind w:left="288"/>
      </w:pPr>
      <w:r>
        <w:rPr>
          <w:color w:val="8C8C8C"/>
          <w:sz w:val="12"/>
        </w:rPr>
        <w:t>cf-art-102-inc-I-ali-f</w:t>
      </w:r>
      <w:r>
        <w:rPr>
          <w:color w:val="003CA0"/>
          <w:sz w:val="12"/>
        </w:rPr>
        <w:t xml:space="preserve"> | RCL 4.210</w:t>
      </w:r>
      <w:r>
        <w:rPr>
          <w:color w:val="003CA0"/>
          <w:sz w:val="12"/>
        </w:rPr>
        <w:t xml:space="preserve"> | rel. Ricardo Lewandowski</w:t>
      </w:r>
    </w:p>
    <w:p>
      <w:pPr>
        <w:ind w:left="288"/>
      </w:pPr>
      <w:r>
        <w:rPr>
          <w:color w:val="1E1E1E"/>
          <w:sz w:val="18"/>
        </w:rPr>
        <w:t>Reclamação. Constitucional. Ação Ordinária. Usurpação de competência. Distribuição de gás natural canalizado. Conflito federativo estabelecido entre a União e Estado-membro. Art. 102, I,”f”, da Constituição Federal. Exploração de serviços locais de gás canalizado. Reclamação julgada procedente. Ação ordinária em que se discute a legalidade da Portaria 397/05, editada pela Comissão de Serviços Públicos de Energia – CSPE, agência reguladora do Estado de São Paulo, para disciplinar a distribuição de gás canalizado, incluído o seu fornecimento direto, a partir de gasodutos de transporte, de maneir</w:t>
      </w:r>
    </w:p>
    <w:p>
      <w:pPr>
        <w:ind w:left="288"/>
      </w:pPr>
      <w:r>
        <w:rPr>
          <w:b/>
          <w:color w:val="003CA0"/>
          <w:sz w:val="16"/>
        </w:rPr>
        <w:t>[Rcl 4.210, rel. min. Ricardo Lewandowski, j. em 26-3-2019, 2ª T, DJE de24-5-2019.]</w:t>
      </w:r>
    </w:p>
    <w:p>
      <w:pPr>
        <w:ind w:left="288"/>
      </w:pPr>
      <w:r>
        <w:rPr>
          <w:color w:val="8C8C8C"/>
          <w:sz w:val="12"/>
        </w:rPr>
        <w:t>cf-art-102-inc-I-ali-f</w:t>
      </w:r>
      <w:r>
        <w:rPr>
          <w:color w:val="003CA0"/>
          <w:sz w:val="12"/>
        </w:rPr>
        <w:t xml:space="preserve"> | ACO 2.713</w:t>
      </w:r>
      <w:r>
        <w:rPr>
          <w:color w:val="003CA0"/>
          <w:sz w:val="12"/>
        </w:rPr>
        <w:t xml:space="preserve"> | rel. Celso de Mello</w:t>
      </w:r>
    </w:p>
    <w:p>
      <w:pPr>
        <w:ind w:left="288"/>
      </w:pPr>
      <w:r>
        <w:rPr>
          <w:color w:val="1E1E1E"/>
          <w:sz w:val="18"/>
        </w:rPr>
        <w:t>Litígio referente a bloqueio, realizado por comunidade indígena, em rodovia federal construída em área limítrofe entre os Estados de Roraima e Amazonas. Inocorrência de situação apta a gerar conflito federativo capaz de romper a harmonia e de afetar o convívio institucional no âmbito da federação brasileira. Incompetência do Supremo Tribunal Federal para, originariamente, julgar o processo. Inaplicabilidade, ao caso, da regra inscrita no art. 102, I, f, da Constituição da República. (...) A Constituição da República confere ao Supremo Tribunal Federal a posição eminente de Tribunal da Federaçã</w:t>
      </w:r>
    </w:p>
    <w:p>
      <w:pPr>
        <w:ind w:left="288"/>
      </w:pPr>
      <w:r>
        <w:rPr>
          <w:b/>
          <w:color w:val="003CA0"/>
          <w:sz w:val="16"/>
        </w:rPr>
        <w:t>[ACO 2.713-AgR, rel. min. Celso de Mello, j. 19-11-2018, P, DJE de 27-11-2018.]</w:t>
      </w:r>
    </w:p>
    <w:p>
      <w:pPr>
        <w:ind w:left="288"/>
      </w:pPr>
      <w:r>
        <w:rPr>
          <w:color w:val="8C8C8C"/>
          <w:sz w:val="12"/>
        </w:rPr>
        <w:t>cf-art-102-inc-I-ali-f</w:t>
      </w:r>
      <w:r>
        <w:rPr>
          <w:color w:val="003CA0"/>
          <w:sz w:val="12"/>
        </w:rPr>
        <w:t xml:space="preserve"> | ACO 2.991</w:t>
      </w:r>
      <w:r>
        <w:rPr>
          <w:color w:val="003CA0"/>
          <w:sz w:val="12"/>
        </w:rPr>
        <w:t xml:space="preserve"> | rel. Rosa Weber</w:t>
      </w:r>
    </w:p>
    <w:p>
      <w:pPr>
        <w:ind w:left="288"/>
      </w:pPr>
      <w:r>
        <w:rPr>
          <w:color w:val="1E1E1E"/>
          <w:sz w:val="18"/>
        </w:rPr>
        <w:t>A discussão acerca de ilicitude ou desatendimento a exigências legais ou regulamentares por parte dos órgãos que expediram licenças ambientais para determinado projeto de exploração mineral não traz risco de abalo ao pacto federativo, inapta à configuração do conflito federativo atrativo da competência originária prevista no art. 102, I, f, da CF.</w:t>
      </w:r>
    </w:p>
    <w:p>
      <w:pPr>
        <w:ind w:left="288"/>
      </w:pPr>
      <w:r>
        <w:rPr>
          <w:b/>
          <w:color w:val="003CA0"/>
          <w:sz w:val="16"/>
        </w:rPr>
        <w:t>[ACO 2.991 AgR, rel. min. Rosa Weber, j. 6-10-2017, 1ª T, DJE de 7-11-2017.]</w:t>
      </w:r>
    </w:p>
    <w:p>
      <w:pPr>
        <w:ind w:left="288"/>
      </w:pPr>
      <w:r>
        <w:rPr>
          <w:color w:val="8C8C8C"/>
          <w:sz w:val="12"/>
        </w:rPr>
        <w:t>cf-art-102-inc-I-ali-f</w:t>
      </w:r>
      <w:r>
        <w:rPr>
          <w:color w:val="003CA0"/>
          <w:sz w:val="12"/>
        </w:rPr>
        <w:t xml:space="preserve"> | ACO 2.023</w:t>
      </w:r>
      <w:r>
        <w:rPr>
          <w:color w:val="003CA0"/>
          <w:sz w:val="12"/>
        </w:rPr>
        <w:t xml:space="preserve"> | rel. Rosa Weber</w:t>
      </w:r>
    </w:p>
    <w:p>
      <w:pPr>
        <w:ind w:left="288"/>
      </w:pPr>
      <w:r>
        <w:rPr>
          <w:color w:val="1E1E1E"/>
          <w:sz w:val="18"/>
        </w:rPr>
        <w:t>A discussão acerca de autuação fiscal isolada revela pretensão de natureza meramente patrimonial, inapta à configuração do conflito federativo qualificado atrativo da competência originária prevista no art. 102, I, f, da CF. (...) A possibilidade de inscrição do autor nos cadastros de inadimplentes do governo federal em razão do não pagamento do crédito tributário discutido mostra-se igualmente insuficiente para configurar o conflito federativo qualificado, uma vez que a competência originária desta Suprema Corte se fixa a partir do pedido principal deduzido no feito, e não do pedido acessório</w:t>
      </w:r>
    </w:p>
    <w:p>
      <w:pPr>
        <w:ind w:left="288"/>
      </w:pPr>
      <w:r>
        <w:rPr>
          <w:b/>
          <w:color w:val="003CA0"/>
          <w:sz w:val="16"/>
        </w:rPr>
        <w:t>[ACO 1.062 AgR, rel. min. Ricardo Lewandowski, j. 13-8-2014, P, DJE de 25-8-2014.]</w:t>
      </w:r>
    </w:p>
    <w:p>
      <w:pPr>
        <w:ind w:left="288"/>
      </w:pPr>
      <w:r>
        <w:rPr>
          <w:color w:val="8C8C8C"/>
          <w:sz w:val="12"/>
        </w:rPr>
        <w:t>cf-art-102-inc-I-ali-f</w:t>
      </w:r>
      <w:r>
        <w:rPr>
          <w:color w:val="003CA0"/>
          <w:sz w:val="12"/>
        </w:rPr>
        <w:t xml:space="preserve"> | AC 2.200</w:t>
      </w:r>
      <w:r>
        <w:rPr>
          <w:color w:val="003CA0"/>
          <w:sz w:val="12"/>
        </w:rPr>
        <w:t xml:space="preserve"> | rel. Cármen Lúcia</w:t>
      </w:r>
    </w:p>
    <w:p>
      <w:pPr>
        <w:ind w:left="288"/>
      </w:pPr>
      <w:r>
        <w:rPr>
          <w:color w:val="1E1E1E"/>
          <w:sz w:val="18"/>
        </w:rPr>
        <w:t>Vide AC 2.200 MC-REF, rel. min. Cármen Lúcia, j. 2-2-2009, P, DJE de 27-2-2009 Descabe vislumbrar, em descompasso entre seccional da OAB e presidente de tribunal de justiça, conflito federativo. Impugnado ato administrativo do presidente do tribunal, surge a competência deste último para julgar a impetração.</w:t>
      </w:r>
    </w:p>
    <w:p>
      <w:pPr>
        <w:ind w:left="288"/>
      </w:pPr>
      <w:r>
        <w:rPr>
          <w:b/>
          <w:color w:val="003CA0"/>
          <w:sz w:val="16"/>
        </w:rPr>
        <w:t>[MS 31.396 AgR, rel. min. Marco Aurélio, j. 26-2-2013, 1ª T, DJE de 14-5-2013.]</w:t>
      </w:r>
    </w:p>
    <w:p>
      <w:pPr>
        <w:ind w:left="288"/>
      </w:pPr>
      <w:r>
        <w:rPr>
          <w:color w:val="8C8C8C"/>
          <w:sz w:val="12"/>
        </w:rPr>
        <w:t>cf-art-102-inc-I-ali-f</w:t>
      </w:r>
      <w:r>
        <w:rPr>
          <w:color w:val="003CA0"/>
          <w:sz w:val="12"/>
        </w:rPr>
        <w:t xml:space="preserve"> | RE 626.369</w:t>
      </w:r>
      <w:r>
        <w:rPr>
          <w:color w:val="003CA0"/>
          <w:sz w:val="12"/>
        </w:rPr>
        <w:t xml:space="preserve"> | rel. Ellen Gracie</w:t>
      </w:r>
    </w:p>
    <w:p>
      <w:pPr>
        <w:ind w:left="288"/>
      </w:pPr>
      <w:r>
        <w:rPr>
          <w:color w:val="1E1E1E"/>
          <w:sz w:val="18"/>
        </w:rPr>
        <w:t>A ação cível originária é procedimento no qual o STF atua como instância originária prestando não só a tutela de conhecimento inicial como a própria prestação jurisdicional executiva, se for o caso, nos termos dos arts. 102, I, e, f e m, da CF e 247 e seguintes do RISTF.</w:t>
      </w:r>
    </w:p>
    <w:p>
      <w:pPr>
        <w:ind w:left="288"/>
      </w:pPr>
      <w:r>
        <w:rPr>
          <w:b/>
          <w:color w:val="003CA0"/>
          <w:sz w:val="16"/>
        </w:rPr>
        <w:t>[RE 626.369 ED-ED, voto da rel. min. Ellen Gracie, j. 1º-3-2011, 2ª T, DJE de 24-3-2011.]</w:t>
      </w:r>
    </w:p>
    <w:p>
      <w:pPr>
        <w:ind w:left="288"/>
      </w:pPr>
      <w:r>
        <w:rPr>
          <w:color w:val="8C8C8C"/>
          <w:sz w:val="12"/>
        </w:rPr>
        <w:t>cf-art-102-inc-I-ali-f</w:t>
      </w:r>
      <w:r>
        <w:rPr>
          <w:color w:val="003CA0"/>
          <w:sz w:val="12"/>
        </w:rPr>
        <w:t xml:space="preserve"> | ACO 1.295</w:t>
      </w:r>
      <w:r>
        <w:rPr>
          <w:color w:val="003CA0"/>
          <w:sz w:val="12"/>
        </w:rPr>
        <w:t xml:space="preserve"> | rel. Dias Toffoli</w:t>
      </w:r>
    </w:p>
    <w:p>
      <w:pPr>
        <w:ind w:left="288"/>
      </w:pPr>
      <w:r>
        <w:rPr>
          <w:color w:val="1E1E1E"/>
          <w:sz w:val="18"/>
        </w:rPr>
        <w:t>Diferença entre conflito entre entes federados e conflito federativo: enquanto no primeiro, pelo prisma subjetivo, observa-se a litigância judicial promovida pelos membros da Federação, no segundo, para além da participação desses na lide, a conflituosidade da causa importa em potencial desestabilização do próprio pacto federativo. Há, portanto, distinção de magnitude nas hipóteses aventadas, sendo que o legislador constitucional restringiu a atuação da Corte à última delas, nos moldes fixados no Texto Magno, e não incluiu os litígios e as causas envolvendo Municípios como ensejadores de confl</w:t>
      </w:r>
    </w:p>
    <w:p>
      <w:pPr>
        <w:ind w:left="288"/>
      </w:pPr>
      <w:r>
        <w:rPr>
          <w:b/>
          <w:color w:val="003CA0"/>
          <w:sz w:val="16"/>
        </w:rPr>
        <w:t>[ACO 1.295 AgR-segundo, rel. min. Dias Toffoli, j. 14-10-2010, P, DJE de 2-12-2010.]</w:t>
      </w:r>
    </w:p>
    <w:p>
      <w:pPr>
        <w:ind w:left="288"/>
      </w:pPr>
      <w:r>
        <w:rPr>
          <w:color w:val="8C8C8C"/>
          <w:sz w:val="12"/>
        </w:rPr>
        <w:t>cf-art-102-inc-I-ali-f</w:t>
      </w:r>
      <w:r>
        <w:rPr>
          <w:color w:val="003CA0"/>
          <w:sz w:val="12"/>
        </w:rPr>
        <w:t xml:space="preserve"> | ACO 1.846</w:t>
      </w:r>
      <w:r>
        <w:rPr>
          <w:color w:val="003CA0"/>
          <w:sz w:val="12"/>
        </w:rPr>
        <w:t xml:space="preserve"> | rel. Marco Aurélio</w:t>
      </w:r>
    </w:p>
    <w:p>
      <w:pPr>
        <w:ind w:left="288"/>
      </w:pPr>
      <w:r>
        <w:rPr>
          <w:color w:val="1E1E1E"/>
          <w:sz w:val="18"/>
        </w:rPr>
        <w:t>= ACO 1.846 AgR, rel. min. Marco Aurélio, j. 25-2-2014, 1ª T, DJE de 19-3-2014 O STF, em face da regra de direito estrito consubstanciada no art. 102, I, da Constituição da República (RTJ 171/101-102), não dispõe, por ausência de previsão normativa, de competência para processar e julgar, em sede originária, causas instauradas entre Municípios, de um lado, e a União, autarquias federais e/ou empresas públicas federais, de outro. Em tal hipótese, a competência para apreciar esse litígio pertence à Justiça Federal de primeira instância. Precedentes.</w:t>
      </w:r>
    </w:p>
    <w:p>
      <w:pPr>
        <w:ind w:left="288"/>
      </w:pPr>
      <w:r>
        <w:rPr>
          <w:b/>
          <w:color w:val="003CA0"/>
          <w:sz w:val="16"/>
        </w:rPr>
        <w:t>[ACO 1.364 AgR, rel. min. Celso de Mello, j. 16-9-2009, P, DJE de 6-8-2010.]</w:t>
      </w:r>
    </w:p>
    <w:p>
      <w:pPr>
        <w:ind w:left="288"/>
      </w:pPr>
      <w:r>
        <w:rPr>
          <w:color w:val="8C8C8C"/>
          <w:sz w:val="12"/>
        </w:rPr>
        <w:t>cf-art-102-inc-I-ali-f</w:t>
      </w:r>
      <w:r>
        <w:rPr>
          <w:color w:val="003CA0"/>
          <w:sz w:val="12"/>
        </w:rPr>
        <w:t xml:space="preserve"> | ACO 1.882</w:t>
      </w:r>
      <w:r>
        <w:rPr>
          <w:color w:val="003CA0"/>
          <w:sz w:val="12"/>
        </w:rPr>
        <w:t xml:space="preserve"> | rel. Cármen Lúcia</w:t>
      </w:r>
    </w:p>
    <w:p>
      <w:pPr>
        <w:ind w:left="288"/>
      </w:pPr>
      <w:r>
        <w:rPr>
          <w:color w:val="1E1E1E"/>
          <w:sz w:val="18"/>
        </w:rPr>
        <w:t>= ACO 1.882, rel. min. Cármen Lúcia, j. 7-2-2012, dec. monocrática, DJE de 15-3-2012 = ACO 1.295 AgR-segundo, rel. min. Dias Toffoli, j. 14-10-2010, P, DJE de 2-12-2010 = ACO 1.342 AgR, rel. min. Marco Aurélio, j. 16-6-2010, P, DJE de 8-8-2011 É atribuição do Ministério Público estadual atuar em ação de reparação de dano ao erário, por improbidade administrativa concernente a desvio de recursos do Fundef [Fundo de Manutenção e Desenvolvimento do Ensino Fundamental e de Valorização do Magistério], quando não tenha havido complementação de verbas federais.</w:t>
      </w:r>
    </w:p>
    <w:p>
      <w:pPr>
        <w:ind w:left="288"/>
      </w:pPr>
      <w:r>
        <w:rPr>
          <w:b/>
          <w:color w:val="003CA0"/>
          <w:sz w:val="16"/>
        </w:rPr>
        <w:t>[ACO 1.156, rel. min. Cezar Peluso, j. 1º-7-2009, P, DJE de 12-3-2010.]</w:t>
      </w:r>
    </w:p>
    <w:p>
      <w:pPr>
        <w:ind w:left="288"/>
      </w:pPr>
      <w:r>
        <w:rPr>
          <w:color w:val="8C8C8C"/>
          <w:sz w:val="12"/>
        </w:rPr>
        <w:t>cf-art-102-inc-I-ali-f</w:t>
      </w:r>
      <w:r>
        <w:rPr>
          <w:color w:val="003CA0"/>
          <w:sz w:val="12"/>
        </w:rPr>
        <w:t xml:space="preserve"> | AC 2.200</w:t>
      </w:r>
      <w:r>
        <w:rPr>
          <w:color w:val="003CA0"/>
          <w:sz w:val="12"/>
        </w:rPr>
        <w:t xml:space="preserve"> | rel. Cármen Lúcia</w:t>
      </w:r>
    </w:p>
    <w:p>
      <w:pPr>
        <w:ind w:left="288"/>
      </w:pPr>
      <w:r>
        <w:rPr>
          <w:color w:val="1E1E1E"/>
          <w:sz w:val="18"/>
        </w:rPr>
        <w:t>O STF tem reconhecido a ocorrência de conflito federativo em situações nas quais a União, valendo-se de registros de supostas inadimplências dos Estados no Siafi e no Cadastro de Créditos não quitados do setor público federal (CADIN), impossibilita sejam firmados acordos de cooperação, convênios e operações de crédito entre Estados e entidades federais. O registro da entidade federada por suposta inadimplência nesses cadastros federais pode sujeitá-la a efeitos gravosos, com desdobramentos para a transferência de recursos. Em sede de cognição primária e precária, estão presentes o fumus boni j</w:t>
      </w:r>
    </w:p>
    <w:p>
      <w:pPr>
        <w:ind w:left="288"/>
      </w:pPr>
      <w:r>
        <w:rPr>
          <w:b/>
          <w:color w:val="003CA0"/>
          <w:sz w:val="16"/>
        </w:rPr>
        <w:t>[AC 2.200 MC-REF, rel. min. Cármen Lúcia, j. 2-2-2009, P, DJE de 27-2-2009.]</w:t>
      </w:r>
    </w:p>
    <w:p>
      <w:pPr>
        <w:ind w:left="288"/>
      </w:pPr>
      <w:r>
        <w:rPr>
          <w:color w:val="8C8C8C"/>
          <w:sz w:val="12"/>
        </w:rPr>
        <w:t>cf-art-102-inc-I-ali-f</w:t>
      </w:r>
      <w:r>
        <w:rPr>
          <w:color w:val="003CA0"/>
          <w:sz w:val="12"/>
        </w:rPr>
        <w:t xml:space="preserve"> | AC 2.032</w:t>
      </w:r>
      <w:r>
        <w:rPr>
          <w:color w:val="003CA0"/>
          <w:sz w:val="12"/>
        </w:rPr>
        <w:t xml:space="preserve"> | rel. Celso de Mello</w:t>
      </w:r>
    </w:p>
    <w:p>
      <w:pPr>
        <w:ind w:left="288"/>
      </w:pPr>
      <w:r>
        <w:rPr>
          <w:color w:val="1E1E1E"/>
          <w:sz w:val="18"/>
        </w:rPr>
        <w:t>= AC 2.032 QO, rel. min. Celso de Mello, j. 15-5-2008, P, DJE de 20-3-2009 Vide ACO 1.062 AgR, rel. min. Ricardo Lewandowski, j. 13-8-2014, P, DJE de 25-8-2014 Projeto de integração do rio São Francisco com as bacias hidrográficas do Nordeste Setentrional. Periculum in mora não evidenciado. Como assentado na decisão agravada, a OAB – Seção da Bahia, a Associação de Advogados de Trabalhadores Rurais no Estado da Bahia (AATR), o Grupo Ambientalista da Bahia (GAMBA), o Instituto de Ação Ambiental da Bahia (IAMBA), a Associação Movimento Paulo Jackson – Ética, Justiça e Cidadania, o Centro de Estu</w:t>
      </w:r>
    </w:p>
    <w:p>
      <w:pPr>
        <w:ind w:left="288"/>
      </w:pPr>
      <w:r>
        <w:rPr>
          <w:b/>
          <w:color w:val="003CA0"/>
          <w:sz w:val="16"/>
        </w:rPr>
        <w:t>[ACO 876 MC-AgR, rel. min. Menezes Direito, j. 19-12-2007, P, DJE de 1º-8-2008.]</w:t>
      </w:r>
    </w:p>
    <w:p>
      <w:pPr>
        <w:ind w:left="288"/>
      </w:pPr>
      <w:r>
        <w:rPr>
          <w:color w:val="8C8C8C"/>
          <w:sz w:val="12"/>
        </w:rPr>
        <w:t>cf-art-102-inc-I-ali-f</w:t>
      </w:r>
      <w:r>
        <w:rPr>
          <w:color w:val="003CA0"/>
          <w:sz w:val="12"/>
        </w:rPr>
        <w:t xml:space="preserve"> | ACO 622</w:t>
      </w:r>
    </w:p>
    <w:p>
      <w:pPr>
        <w:ind w:left="288"/>
      </w:pPr>
      <w:r>
        <w:rPr>
          <w:color w:val="1E1E1E"/>
          <w:sz w:val="18"/>
        </w:rPr>
        <w:t>Ação popular. Deslocamento da competência para o STF. Conflito federativo estabelecido entre a União e Estado-membro. (...) Considerando a potencialidade do conflito federativo estabelecido entre a União e Estado-membro, emerge a competência do STF para processar e julgar a ação popular, a teor do que dispõe o art. 102, I, f, da Constituição.</w:t>
      </w:r>
    </w:p>
    <w:p>
      <w:pPr>
        <w:ind w:left="288"/>
      </w:pPr>
      <w:r>
        <w:rPr>
          <w:b/>
          <w:color w:val="003CA0"/>
          <w:sz w:val="16"/>
        </w:rPr>
        <w:t>[ACO 622 QO, red. do ac. min. Ricardo Lewandowski, j. 7-11-2007, P, DJE de 15-2-2008.]</w:t>
      </w:r>
    </w:p>
    <w:p>
      <w:pPr>
        <w:ind w:left="288"/>
      </w:pPr>
      <w:r>
        <w:rPr>
          <w:color w:val="8C8C8C"/>
          <w:sz w:val="12"/>
        </w:rPr>
        <w:t>cf-art-102-inc-I-ali-f</w:t>
      </w:r>
      <w:r>
        <w:rPr>
          <w:color w:val="003CA0"/>
          <w:sz w:val="12"/>
        </w:rPr>
        <w:t xml:space="preserve"> | ACO 1.048</w:t>
      </w:r>
      <w:r>
        <w:rPr>
          <w:color w:val="003CA0"/>
          <w:sz w:val="12"/>
        </w:rPr>
        <w:t xml:space="preserve"> | rel. Celso de Mello</w:t>
      </w:r>
    </w:p>
    <w:p>
      <w:pPr>
        <w:ind w:left="288"/>
      </w:pPr>
      <w:r>
        <w:rPr>
          <w:color w:val="1E1E1E"/>
          <w:sz w:val="18"/>
        </w:rPr>
        <w:t>A Constituição da República confere ao STF  a posição eminente de Tribunal da Federação (CF, art. 102, I, f ), atribuindo, a esta Corte, em tal condição institucional, o poder de dirimir as controvérsias, que, ao irromperem no seio do Estado Federal, culminam, perigosamente, por antagonizar as unidades que compõem a Federação. Essa magna função jurídico-institucional da Suprema Corte impõe-lhe o gravíssimo dever de velar pela intangibilidade do vínculo federativo e de zelar pelo equilíbrio harmonioso das relações políticas entre as pessoas estatais que integram a Federação brasileira. A aplica</w:t>
      </w:r>
    </w:p>
    <w:p>
      <w:pPr>
        <w:ind w:left="288"/>
      </w:pPr>
      <w:r>
        <w:rPr>
          <w:b/>
          <w:color w:val="003CA0"/>
          <w:sz w:val="16"/>
        </w:rPr>
        <w:t>[ACO 1.048 QO, rel. min. Celso de Mello, j. 30-8-2007, P, DJ de 31-10-2007.]</w:t>
      </w:r>
    </w:p>
    <w:p>
      <w:pPr>
        <w:ind w:left="288"/>
      </w:pPr>
      <w:r>
        <w:rPr>
          <w:color w:val="8C8C8C"/>
          <w:sz w:val="12"/>
        </w:rPr>
        <w:t>cf-art-102-inc-I-ali-f</w:t>
      </w:r>
      <w:r>
        <w:rPr>
          <w:color w:val="003CA0"/>
          <w:sz w:val="12"/>
        </w:rPr>
        <w:t xml:space="preserve"> | RE 664.206</w:t>
      </w:r>
      <w:r>
        <w:rPr>
          <w:color w:val="003CA0"/>
          <w:sz w:val="12"/>
        </w:rPr>
        <w:t xml:space="preserve"> | rel. Marco Aurélio</w:t>
      </w:r>
    </w:p>
    <w:p>
      <w:pPr>
        <w:ind w:left="288"/>
      </w:pPr>
      <w:r>
        <w:rPr>
          <w:color w:val="1E1E1E"/>
          <w:sz w:val="18"/>
        </w:rPr>
        <w:t>= RE 664.206 AgR, rel. min. Marco Aurélio, j. 11-12-2012, 1ª T, DJE de 6-2-2012 STF: mandado de segurança: competência originária (CF, art. 102, I, f): inexistência. Não compete ao Supremo Tribunal julgar o mandado de segurança impetrado por entidade privada, que atua em defesa de interesses de membros do Ministério Público estadual contra decisão do Tribunal de Justiça, pela qual se reservou vaga criada naquele Tribunal a representante da classe dos advogados. No caso a OAB figura como litisconsorte passivo, atuando ao lado da autoridade coatora e não contra ela – única hipótese em que se pod</w:t>
      </w:r>
    </w:p>
    <w:p>
      <w:pPr>
        <w:ind w:left="288"/>
      </w:pPr>
      <w:r>
        <w:rPr>
          <w:b/>
          <w:color w:val="003CA0"/>
          <w:sz w:val="16"/>
        </w:rPr>
        <w:t>[MS 26.179 AgR, rel. min. Sepúlveda Pertence, j. 28-3-2007, P, DJ de 13-4-2007.]</w:t>
      </w:r>
    </w:p>
    <w:p>
      <w:pPr>
        <w:ind w:left="288"/>
      </w:pPr>
      <w:r>
        <w:rPr>
          <w:color w:val="8C8C8C"/>
          <w:sz w:val="12"/>
        </w:rPr>
        <w:t>cf-art-102-inc-I-ali-f</w:t>
      </w:r>
      <w:r>
        <w:rPr>
          <w:color w:val="003CA0"/>
          <w:sz w:val="12"/>
        </w:rPr>
        <w:t xml:space="preserve"> | ACO 251</w:t>
      </w:r>
      <w:r>
        <w:rPr>
          <w:color w:val="003CA0"/>
          <w:sz w:val="12"/>
        </w:rPr>
        <w:t xml:space="preserve"> | rel. Marco Aurélio</w:t>
      </w:r>
    </w:p>
    <w:p>
      <w:pPr>
        <w:ind w:left="288"/>
      </w:pPr>
      <w:r>
        <w:rPr>
          <w:color w:val="1E1E1E"/>
          <w:sz w:val="18"/>
        </w:rPr>
        <w:t>A competência prevista na alínea f do inciso I do art. 102 da CF alcança conflito a envolver repetição de indébito pretendida por Estado ante o INSS.</w:t>
      </w:r>
    </w:p>
    <w:p>
      <w:pPr>
        <w:ind w:left="288"/>
      </w:pPr>
      <w:r>
        <w:rPr>
          <w:b/>
          <w:color w:val="003CA0"/>
          <w:sz w:val="16"/>
        </w:rPr>
        <w:t>[ACO 251, rel. min. Marco Aurélio, j. 9-6-2006, P, DJ de 9-6-2006.]</w:t>
      </w:r>
    </w:p>
    <w:p>
      <w:pPr>
        <w:ind w:left="288"/>
      </w:pPr>
      <w:r>
        <w:rPr>
          <w:color w:val="8C8C8C"/>
          <w:sz w:val="12"/>
        </w:rPr>
        <w:t>cf-art-102-inc-I-ali-f</w:t>
      </w:r>
      <w:r>
        <w:rPr>
          <w:color w:val="003CA0"/>
          <w:sz w:val="12"/>
        </w:rPr>
        <w:t xml:space="preserve"> | RCL 2.549</w:t>
      </w:r>
      <w:r>
        <w:rPr>
          <w:color w:val="003CA0"/>
          <w:sz w:val="12"/>
        </w:rPr>
        <w:t xml:space="preserve"> | rel. Joaquim Barbosa</w:t>
      </w:r>
    </w:p>
    <w:p>
      <w:pPr>
        <w:ind w:left="288"/>
      </w:pPr>
      <w:r>
        <w:rPr>
          <w:color w:val="1E1E1E"/>
          <w:sz w:val="18"/>
        </w:rPr>
        <w:t xml:space="preserve">Ação movida por empresa pública estadual (SUAPE – Complexo Industrial Portuário Governador Eraldo Gueiros) contra autarquia federal (Agência Nacional de Transportes Aquaviários – ANTAQ). Pretensão da empresa pública estadual à imediata revisão de outorga para exploração de serviço portuário concedido pela União. Caracterizado o potencial conflito federativo, tendo em vista: (i) o significativo impacto patrimonial a ser suportado pela União ou pelo Estado de Pernambuco, conforme o desfecho da controvérsia; (ii) a relevância federativa da controvérsia, por opor-se à pretensão do Estado-membro a </w:t>
      </w:r>
    </w:p>
    <w:p>
      <w:pPr>
        <w:ind w:left="288"/>
      </w:pPr>
      <w:r>
        <w:rPr>
          <w:b/>
          <w:color w:val="003CA0"/>
          <w:sz w:val="16"/>
        </w:rPr>
        <w:t>[Rcl 2.549, rel. min. Joaquim Barbosa, j. 30-3-2006, P, DJ de 10-8-2006.]</w:t>
      </w:r>
    </w:p>
    <w:p>
      <w:pPr>
        <w:ind w:left="288"/>
      </w:pPr>
      <w:r>
        <w:rPr>
          <w:color w:val="8C8C8C"/>
          <w:sz w:val="12"/>
        </w:rPr>
        <w:t>cf-art-102-inc-I-ali-f</w:t>
      </w:r>
      <w:r>
        <w:rPr>
          <w:color w:val="003CA0"/>
          <w:sz w:val="12"/>
        </w:rPr>
        <w:t xml:space="preserve"> | ACO 593</w:t>
      </w:r>
      <w:r>
        <w:rPr>
          <w:color w:val="003CA0"/>
          <w:sz w:val="12"/>
        </w:rPr>
        <w:t xml:space="preserve"> | rel. Sepúlveda Pertence</w:t>
      </w:r>
    </w:p>
    <w:p>
      <w:pPr>
        <w:ind w:left="288"/>
      </w:pPr>
      <w:r>
        <w:rPr>
          <w:color w:val="1E1E1E"/>
          <w:sz w:val="18"/>
        </w:rPr>
        <w:t xml:space="preserve">Reclamação: procedência: usurpação de competência originária do Supremo Tribunal (CF, art. 102, I, f). Ação civil pública em que o Estado de Minas Gerais, no interesse da proteção ambiental do seu território, pretende impor exigências à atuação do Ibama no licenciamento de obra federal. Projeto de Integração do Rio São Francisco com Bacias Hidrográficas do Nordeste Setentrional: caso típico de existência de "conflito federativo", em que o eventual acolhimento da demanda acarretará reflexos diretos sobre o tempo de implementação ou a própria viabilidade de um projeto de grande vulto do governo </w:t>
      </w:r>
    </w:p>
    <w:p>
      <w:pPr>
        <w:ind w:left="288"/>
      </w:pPr>
      <w:r>
        <w:rPr>
          <w:b/>
          <w:color w:val="003CA0"/>
          <w:sz w:val="16"/>
        </w:rPr>
        <w:t>[Rcl 3.074, rel. min. Sepúlveda Pertence, j. 4-8-2005, P, DJ de 30-9-2005.]</w:t>
      </w:r>
    </w:p>
    <w:p>
      <w:pPr>
        <w:ind w:left="288"/>
      </w:pPr>
      <w:r>
        <w:rPr>
          <w:color w:val="8C8C8C"/>
          <w:sz w:val="12"/>
        </w:rPr>
        <w:t>cf-art-102-inc-I-ali-f</w:t>
      </w:r>
      <w:r>
        <w:rPr>
          <w:color w:val="003CA0"/>
          <w:sz w:val="12"/>
        </w:rPr>
        <w:t xml:space="preserve"> | ACO 684</w:t>
      </w:r>
      <w:r>
        <w:rPr>
          <w:color w:val="003CA0"/>
          <w:sz w:val="12"/>
        </w:rPr>
        <w:t xml:space="preserve"> | rel. Sepúlveda Pertence</w:t>
      </w:r>
    </w:p>
    <w:p>
      <w:pPr>
        <w:ind w:left="288"/>
      </w:pPr>
      <w:r>
        <w:rPr>
          <w:color w:val="1E1E1E"/>
          <w:sz w:val="18"/>
        </w:rPr>
        <w:t>= ACO 684 QO, rel. min. Sepúlveda Pertence, j. 4-8-2005, P, DJ de 30-9-2005 Configurado conflito federativo entre empresa pública que presta serviço público de competência da União e Estado-membro, é competente o STF para o julgamento da ação cível originária, nos termos do disposto no art. 102, I, f, da Constituição.</w:t>
      </w:r>
    </w:p>
    <w:p>
      <w:pPr>
        <w:ind w:left="288"/>
      </w:pPr>
      <w:r>
        <w:rPr>
          <w:b/>
          <w:color w:val="003CA0"/>
          <w:sz w:val="16"/>
        </w:rPr>
        <w:t>[ACO 765 QO, red. do ac. min. Eros Grau, j. 1º-6-2005, P, DJE de 7-11-2008.]</w:t>
      </w:r>
    </w:p>
    <w:p>
      <w:pPr>
        <w:ind w:left="288"/>
      </w:pPr>
      <w:r>
        <w:rPr>
          <w:color w:val="8C8C8C"/>
          <w:sz w:val="12"/>
        </w:rPr>
        <w:t>cf-art-102-inc-I-ali-f</w:t>
      </w:r>
      <w:r>
        <w:rPr>
          <w:color w:val="003CA0"/>
          <w:sz w:val="12"/>
        </w:rPr>
        <w:t xml:space="preserve"> | ACO 803</w:t>
      </w:r>
      <w:r>
        <w:rPr>
          <w:color w:val="003CA0"/>
          <w:sz w:val="12"/>
        </w:rPr>
        <w:t xml:space="preserve"> | rel. Celso de Mello</w:t>
      </w:r>
    </w:p>
    <w:p>
      <w:pPr>
        <w:ind w:left="288"/>
      </w:pPr>
      <w:r>
        <w:rPr>
          <w:color w:val="1E1E1E"/>
          <w:sz w:val="18"/>
        </w:rPr>
        <w:t>= ACO 803 AgR, rel. min. Celso de Mello, j. 26-11-2014, P, DJE de 12-2-2015 Usurpação da competência. Processos judiciais que impugnam a Portaria 820/1998 do Ministério da Justiça. Ato normativo que demarcou a reserva indígena denominada Raposa Serra do Sol, no Estado de Roraima. Caso em que resta evidenciada a existência de litígio federativo em gravidade suficiente para atrair a competência desta Corte de Justiça (alínea f do inciso I do art. 102 da Lei Maior). Cabe ao STF processar e julgar ação popular em que os respectivos autores, com pretensão de resguardar o patrimônio público roraimen</w:t>
      </w:r>
    </w:p>
    <w:p>
      <w:pPr>
        <w:ind w:left="288"/>
      </w:pPr>
      <w:r>
        <w:rPr>
          <w:b/>
          <w:color w:val="003CA0"/>
          <w:sz w:val="16"/>
        </w:rPr>
        <w:t>[Rcl 2.833, rel. min. Ayres Britto, j. 14-4-2005, P, DJ de 5-8-2005.]</w:t>
      </w:r>
    </w:p>
    <w:p>
      <w:pPr>
        <w:ind w:left="288"/>
      </w:pPr>
      <w:r>
        <w:rPr>
          <w:color w:val="8C8C8C"/>
          <w:sz w:val="12"/>
        </w:rPr>
        <w:t>cf-art-102-inc-I-ali-f</w:t>
      </w:r>
      <w:r>
        <w:rPr>
          <w:color w:val="003CA0"/>
          <w:sz w:val="12"/>
        </w:rPr>
        <w:t xml:space="preserve"> | RCL 3.331</w:t>
      </w:r>
      <w:r>
        <w:rPr>
          <w:color w:val="003CA0"/>
          <w:sz w:val="12"/>
        </w:rPr>
        <w:t xml:space="preserve"> | rel. Ayres  Britto</w:t>
      </w:r>
    </w:p>
    <w:p>
      <w:pPr>
        <w:ind w:left="288"/>
      </w:pPr>
      <w:r>
        <w:rPr>
          <w:color w:val="1E1E1E"/>
          <w:sz w:val="18"/>
        </w:rPr>
        <w:t>= Rcl 3.331 e Rcl 3.813, rel. min. Ayres  Britto, j. 28-6-2006, P, DJ de 17-11-2006 Ação cível originária. Competência do STF. Conflito federativo. CPI da Assembleia Legislativa do Estado do Rio de Janeiro. Mandado de segurança impetrado pela Assembleia Legislativa do Estado do Rio de Janeiro contra a recusa, pelo Banco Central do Brasil, em atender pedido de dados protegidos por sigilo bancário. Impetração dirigida ao STF e autuada como ação cível originária, com fundamento no art. 102, f, da CF. Questão de ordem resolvida para declarar competente o STF para julgar a impetração.</w:t>
      </w:r>
    </w:p>
    <w:p>
      <w:pPr>
        <w:ind w:left="288"/>
      </w:pPr>
      <w:r>
        <w:rPr>
          <w:b/>
          <w:color w:val="003CA0"/>
          <w:sz w:val="16"/>
        </w:rPr>
        <w:t>[ACO 730 QO, rel. min. Joaquim Barbosa, j. 26-8-2004, P, DJ de 1º-10-2004.]</w:t>
      </w:r>
    </w:p>
    <w:p>
      <w:pPr>
        <w:ind w:left="288"/>
      </w:pPr>
      <w:r>
        <w:rPr>
          <w:color w:val="8C8C8C"/>
          <w:sz w:val="12"/>
        </w:rPr>
        <w:t>cf-art-102-inc-I-ali-f</w:t>
      </w:r>
      <w:r>
        <w:rPr>
          <w:color w:val="003CA0"/>
          <w:sz w:val="12"/>
        </w:rPr>
        <w:t xml:space="preserve"> | ACO 641</w:t>
      </w:r>
      <w:r>
        <w:rPr>
          <w:color w:val="003CA0"/>
          <w:sz w:val="12"/>
        </w:rPr>
        <w:t xml:space="preserve"> | rel. Celso de Mello</w:t>
      </w:r>
    </w:p>
    <w:p>
      <w:pPr>
        <w:ind w:left="288"/>
      </w:pPr>
      <w:r>
        <w:rPr>
          <w:color w:val="1E1E1E"/>
          <w:sz w:val="18"/>
        </w:rPr>
        <w:t>O STF não dispõe de competência originária para processar e julgar causas instauradas, contra Estado-membro, por iniciativa de autarquia federal, especialmente se esta dispuser de "estrutura regional de representação no território estadual respectivo" (RTJ 133/1059), pois, em tal hipótese, revela-se inaplicável a norma inscrita no art. 102, I, f, da CF, eis que ausente qualquer situação capaz de introduzir instabilidade no equilíbrio federativo ou de ocasionar ruptura da necessária harmonia entre as entidades integrantes do Estado Federal.</w:t>
      </w:r>
    </w:p>
    <w:p>
      <w:pPr>
        <w:ind w:left="288"/>
      </w:pPr>
      <w:r>
        <w:rPr>
          <w:b/>
          <w:color w:val="003CA0"/>
          <w:sz w:val="16"/>
        </w:rPr>
        <w:t>[ACO 641 AgR, rel. min. Celso de Mello, j. 24-4-2003, P, DJ de 3-6-2005.]</w:t>
      </w:r>
    </w:p>
    <w:p>
      <w:pPr>
        <w:ind w:left="288"/>
      </w:pPr>
      <w:r>
        <w:rPr>
          <w:color w:val="8C8C8C"/>
          <w:sz w:val="12"/>
        </w:rPr>
        <w:t>cf-art-102-inc-I-ali-f</w:t>
      </w:r>
      <w:r>
        <w:rPr>
          <w:color w:val="003CA0"/>
          <w:sz w:val="12"/>
        </w:rPr>
        <w:t xml:space="preserve"> | ACO 1.508</w:t>
      </w:r>
      <w:r>
        <w:rPr>
          <w:color w:val="003CA0"/>
          <w:sz w:val="12"/>
        </w:rPr>
        <w:t xml:space="preserve"> | rel. Marco Aurélio</w:t>
      </w:r>
    </w:p>
    <w:p>
      <w:pPr>
        <w:ind w:left="288"/>
      </w:pPr>
      <w:r>
        <w:rPr>
          <w:color w:val="1E1E1E"/>
          <w:sz w:val="18"/>
        </w:rPr>
        <w:t>= ACO 1.508, rel. min. Marco Aurélio, j. 23-3-2012, dec. monocrática, DJE de 30-3-2012 O STF não dispõe de competência originária para processar e julgar causas instauradas, contra Estado-membro, por iniciativa de sociedade de economia mista cujo acionista controlador seja o Distrito Federal, pois, em tal hipótese, revela-se inaplicável a norma inscrita no art. 102, I, f, da CF, eis que ausente qualquer situação capaz de introduzir instabilidade no equilíbrio federativo ou de ocasionar ruptura da necessária harmonia entre as entidades integrantes do Estado Federal. Precedentes.</w:t>
      </w:r>
    </w:p>
    <w:p>
      <w:pPr>
        <w:ind w:left="288"/>
      </w:pPr>
      <w:r>
        <w:rPr>
          <w:b/>
          <w:color w:val="003CA0"/>
          <w:sz w:val="16"/>
        </w:rPr>
        <w:t>[ACO 597 AgR, rel. min. Celso de Mello, j. 3-10-2002, P, DJ de 10-8-2006.]</w:t>
      </w:r>
    </w:p>
    <w:p>
      <w:pPr>
        <w:ind w:left="288"/>
      </w:pPr>
      <w:r>
        <w:rPr>
          <w:color w:val="8C8C8C"/>
          <w:sz w:val="12"/>
        </w:rPr>
        <w:t>cf-art-102-inc-I-ali-f</w:t>
      </w:r>
      <w:r>
        <w:rPr>
          <w:color w:val="003CA0"/>
          <w:sz w:val="12"/>
        </w:rPr>
        <w:t xml:space="preserve"> | MS 23.482</w:t>
      </w:r>
      <w:r>
        <w:rPr>
          <w:color w:val="003CA0"/>
          <w:sz w:val="12"/>
        </w:rPr>
        <w:t xml:space="preserve"> | rel. Ilmar Galvão</w:t>
      </w:r>
    </w:p>
    <w:p>
      <w:pPr>
        <w:ind w:left="288"/>
      </w:pPr>
      <w:r>
        <w:rPr>
          <w:color w:val="1E1E1E"/>
          <w:sz w:val="18"/>
        </w:rPr>
        <w:t>Competência originária do STF. Conflito federativo (art. 102, I, f, da CF). Hipótese excepcional de competência originária do STF, relativa a causas que envolvam possíveis violações ao princípio federativo, o que não ocorre no caso dos autos, em que assembleia legislativa estadual contende com autarquia federal.</w:t>
      </w:r>
    </w:p>
    <w:p>
      <w:pPr>
        <w:ind w:left="288"/>
      </w:pPr>
      <w:r>
        <w:rPr>
          <w:b/>
          <w:color w:val="003CA0"/>
          <w:sz w:val="16"/>
        </w:rPr>
        <w:t>[MS 23.482 QO, rel. min. Ilmar Galvão, j. 20-2-2002, P, DJ de 5-4-2002.]</w:t>
      </w:r>
    </w:p>
    <w:p>
      <w:pPr>
        <w:ind w:left="288"/>
      </w:pPr>
      <w:r>
        <w:rPr>
          <w:color w:val="8C8C8C"/>
          <w:sz w:val="12"/>
        </w:rPr>
        <w:t>cf-art-102-inc-I-ali-f</w:t>
      </w:r>
      <w:r>
        <w:rPr>
          <w:color w:val="003CA0"/>
          <w:sz w:val="12"/>
        </w:rPr>
        <w:t xml:space="preserve"> | ACO 521-1</w:t>
      </w:r>
      <w:r>
        <w:rPr>
          <w:color w:val="003CA0"/>
          <w:sz w:val="12"/>
        </w:rPr>
        <w:t xml:space="preserve"> | rel. Marco Aurélio</w:t>
      </w:r>
    </w:p>
    <w:p>
      <w:pPr>
        <w:ind w:left="288"/>
      </w:pPr>
      <w:r>
        <w:rPr>
          <w:color w:val="1E1E1E"/>
          <w:sz w:val="18"/>
        </w:rPr>
        <w:t>Competência. Causas e conflitos entre a União e os Estados, a União e o Distrito Federal, ou entre uns e outros. Assistência simples. Revelando-se a hipótese como configuradora de assistência simples, descabe cogitar da incidência do disposto na alínea f do inciso I do art. 102 da CF. Precedente: ACO 521-1/PA, relatada pelo ministro Sydney Sanches, DJ de 16-8-1999.</w:t>
      </w:r>
    </w:p>
    <w:p>
      <w:pPr>
        <w:ind w:left="288"/>
      </w:pPr>
      <w:r>
        <w:rPr>
          <w:b/>
          <w:color w:val="003CA0"/>
          <w:sz w:val="16"/>
        </w:rPr>
        <w:t>[ACO 487 QO, rel. min. Marco Aurélio, j. 18-10-2001, P, DJ de 1º-3-2002.]</w:t>
      </w:r>
    </w:p>
    <w:p>
      <w:pPr>
        <w:ind w:left="288"/>
      </w:pPr>
      <w:r>
        <w:rPr>
          <w:color w:val="8C8C8C"/>
          <w:sz w:val="12"/>
        </w:rPr>
        <w:t>cf-art-102-inc-I-ali-f</w:t>
      </w:r>
      <w:r>
        <w:rPr>
          <w:color w:val="003CA0"/>
          <w:sz w:val="12"/>
        </w:rPr>
        <w:t xml:space="preserve"> | ACO 1.405</w:t>
      </w:r>
      <w:r>
        <w:rPr>
          <w:color w:val="003CA0"/>
          <w:sz w:val="12"/>
        </w:rPr>
        <w:t xml:space="preserve"> | rel. Ellen Gracie</w:t>
      </w:r>
    </w:p>
    <w:p>
      <w:pPr>
        <w:ind w:left="288"/>
      </w:pPr>
      <w:r>
        <w:rPr>
          <w:color w:val="1E1E1E"/>
          <w:sz w:val="18"/>
        </w:rPr>
        <w:t>= ACO 1.405 AgR, rel. min. Ellen Gracie, j. 18-8-2010, P, DJE de 3-9-2010 Litígio entre autarquia federal e Estado-membro sobre propriedade de terras devolutas. Questão de ordem. Litígio dessa natureza envolve questão que diz respeito diretamente ao equilíbrio federativo, sendo, portanto, causa que inequivocamente é da competência originária desta Corte na posição de Tribunal da Federação que lhe outorga o art. 102, I, f, da CF.</w:t>
      </w:r>
    </w:p>
    <w:p>
      <w:pPr>
        <w:ind w:left="288"/>
      </w:pPr>
      <w:r>
        <w:rPr>
          <w:b/>
          <w:color w:val="003CA0"/>
          <w:sz w:val="16"/>
        </w:rPr>
        <w:t>[ACO 477 QO, rel. min. Moreira Alves, j. 18-10-1995, P, DJ de 24-11-1995.]</w:t>
      </w:r>
    </w:p>
    <w:p>
      <w:pPr>
        <w:ind w:left="288"/>
      </w:pPr>
      <w:r>
        <w:rPr>
          <w:color w:val="8C8C8C"/>
          <w:sz w:val="12"/>
        </w:rPr>
        <w:t>cf-art-102-inc-I-ali-f</w:t>
      </w:r>
      <w:r>
        <w:rPr>
          <w:color w:val="003CA0"/>
          <w:sz w:val="12"/>
        </w:rPr>
        <w:t xml:space="preserve"> | MS 22.042</w:t>
      </w:r>
      <w:r>
        <w:rPr>
          <w:color w:val="003CA0"/>
          <w:sz w:val="12"/>
        </w:rPr>
        <w:t xml:space="preserve"> | rel. Moreira Alves</w:t>
      </w:r>
    </w:p>
    <w:p>
      <w:pPr>
        <w:ind w:left="288"/>
      </w:pPr>
      <w:r>
        <w:rPr>
          <w:color w:val="1E1E1E"/>
          <w:sz w:val="18"/>
        </w:rPr>
        <w:t>Tendo sido o presente mandado de segurança impetrado, por se tratar de ato complexo, contra o governador e o Tribunal do Estado de Roraima, bem como contra o MPDFT, e versando ele a questão de saber se a competência para a constituição da lista sêxtupla é do impetrante – o Ministério Público desse Estado – ou de um dos impetrados – o MPDFT–, não há dúvida de que, nos termos da impetração da segurança, há causa entre órgão de um Estado-membro e órgão do Distrito Federal, configurando-se, assim, hipótese prevista na competência originária desta Corte (art. 102, I, f, da CF), uma vez que o litígi</w:t>
      </w:r>
    </w:p>
    <w:p>
      <w:pPr>
        <w:ind w:left="288"/>
      </w:pPr>
      <w:r>
        <w:rPr>
          <w:b/>
          <w:color w:val="003CA0"/>
          <w:sz w:val="16"/>
        </w:rPr>
        <w:t>[MS 22.042 QO, rel. min. Moreira Alves, j. 22-2-1995, P, DJ de 24-3-1995.]</w:t>
      </w:r>
    </w:p>
    <w:p>
      <w:pPr>
        <w:ind w:left="288"/>
      </w:pPr>
      <w:r>
        <w:rPr>
          <w:color w:val="8C8C8C"/>
          <w:sz w:val="12"/>
        </w:rPr>
        <w:t>cf-art-102-inc-I-ali-f</w:t>
      </w:r>
      <w:r>
        <w:rPr>
          <w:color w:val="003CA0"/>
          <w:sz w:val="12"/>
        </w:rPr>
        <w:t xml:space="preserve"> | ACO 359</w:t>
      </w:r>
      <w:r>
        <w:rPr>
          <w:color w:val="003CA0"/>
          <w:sz w:val="12"/>
        </w:rPr>
        <w:t xml:space="preserve"> | rel. Celso de Mello</w:t>
      </w:r>
    </w:p>
    <w:p>
      <w:pPr>
        <w:ind w:left="288"/>
      </w:pPr>
      <w:r>
        <w:rPr>
          <w:color w:val="1E1E1E"/>
          <w:sz w:val="18"/>
        </w:rPr>
        <w:t>A jurisprudência do STF, na definição do alcance dessa regra de competência originária da Corte, tem enfatizado o seu caráter de absoluta excepcionalidade, restringindo a sua incidência às hipóteses de litígios cuja potencialidade ofensiva revele-se apta a vulnerar os valores que informam o princípio fundamental que rege, em nosso ordenamento jurídico, o pacto da Federação. Ausente qualquer situação que introduza a instabilidade no equilíbrio federativo ou que ocasione a ruptura da harmonia que deve prevalecer nas relações entre as entidades integrantes do Estado Federal, deixa de incidir, ant</w:t>
      </w:r>
    </w:p>
    <w:p>
      <w:pPr>
        <w:ind w:left="288"/>
      </w:pPr>
      <w:r>
        <w:rPr>
          <w:b/>
          <w:color w:val="003CA0"/>
          <w:sz w:val="16"/>
        </w:rPr>
        <w:t>[ACO 359 QO, rel. min. Celso de Mello, j. 4-8-1993, P, DJ de 11-3-1994.]</w:t>
      </w:r>
    </w:p>
    <w:p>
      <w:pPr>
        <w:ind w:left="288"/>
      </w:pPr>
      <w:r>
        <w:rPr>
          <w:color w:val="8C8C8C"/>
          <w:sz w:val="12"/>
        </w:rPr>
        <w:t>cf-art-102-inc-I-ali-f</w:t>
      </w:r>
      <w:r>
        <w:rPr>
          <w:color w:val="003CA0"/>
          <w:sz w:val="12"/>
        </w:rPr>
        <w:t xml:space="preserve"> | ACO 1.551</w:t>
      </w:r>
      <w:r>
        <w:rPr>
          <w:color w:val="003CA0"/>
          <w:sz w:val="12"/>
        </w:rPr>
        <w:t xml:space="preserve"> | rel. Luiz Fux</w:t>
      </w:r>
    </w:p>
    <w:p>
      <w:pPr>
        <w:ind w:left="288"/>
      </w:pPr>
      <w:r>
        <w:rPr>
          <w:color w:val="1E1E1E"/>
          <w:sz w:val="18"/>
        </w:rPr>
        <w:t>= ACO 1.551 AgR, rel. min. Luiz Fux, j. 29-2-2012, P, DJE de 20-3-2012 Vide ACO 622 QO, red. do ac. min. Ricardo Lewandowski, j. 7-11-2007, P, DJE de 15-2-2008 Ação cívil originária. CF, art. 102, I, f. Competência. Questão de ordem. Segundo inúmeros precedentes da Corte, mantidos no regime constitucional vigente, não compete ao STF processar e julgar, originariamente, ação proposta por autarquia federal contra o Distrito Federal, quando neste, aquela tiver a sua sede. Incompetência do STF. Remessa dos autos ao juízo de origem, que procederá como entender de direito.</w:t>
      </w:r>
    </w:p>
    <w:p>
      <w:pPr>
        <w:ind w:left="288"/>
      </w:pPr>
      <w:r>
        <w:rPr>
          <w:b/>
          <w:color w:val="003CA0"/>
          <w:sz w:val="16"/>
        </w:rPr>
        <w:t>[ACO 406 QO, rel. min. Célio Borja, j. 17-5-1990, P, DJ de 8-6-1990.]</w:t>
      </w:r>
    </w:p>
    <w:p>
      <w:pPr>
        <w:ind w:left="144"/>
      </w:pPr>
      <w:r>
        <w:rPr>
          <w:b/>
          <w:color w:val="B45A00"/>
          <w:sz w:val="16"/>
        </w:rPr>
        <w:t>SUMULA</w:t>
      </w:r>
    </w:p>
    <w:p>
      <w:pPr>
        <w:ind w:left="288"/>
      </w:pPr>
      <w:r>
        <w:rPr>
          <w:color w:val="8C8C8C"/>
          <w:sz w:val="12"/>
        </w:rPr>
        <w:t>cf-art-102-inc-I-ali-g</w:t>
      </w:r>
    </w:p>
    <w:p>
      <w:pPr>
        <w:ind w:left="288"/>
      </w:pPr>
      <w:r>
        <w:rPr>
          <w:color w:val="1E1E1E"/>
          <w:sz w:val="18"/>
        </w:rPr>
        <w:t>Não se conhece de habeas corpus contra omissão de relator de extradição, se fundado em fato ou direito estrangeiro cuja prova não constava dos autos, nem foi ele provocado a respeito.</w:t>
      </w:r>
    </w:p>
    <w:p>
      <w:pPr>
        <w:ind w:left="288"/>
      </w:pPr>
      <w:r>
        <w:rPr>
          <w:b/>
          <w:color w:val="003CA0"/>
          <w:sz w:val="16"/>
        </w:rPr>
        <w:t>[Súmula 692.]</w:t>
      </w:r>
    </w:p>
    <w:p>
      <w:pPr>
        <w:ind w:left="288"/>
      </w:pPr>
      <w:r>
        <w:rPr>
          <w:color w:val="8C8C8C"/>
          <w:sz w:val="12"/>
        </w:rPr>
        <w:t>cf-art-102-inc-I-ali-g</w:t>
      </w:r>
    </w:p>
    <w:p>
      <w:pPr>
        <w:ind w:left="288"/>
      </w:pPr>
      <w:r>
        <w:rPr>
          <w:color w:val="1E1E1E"/>
          <w:sz w:val="18"/>
        </w:rPr>
        <w:t>Não impede a extradição a circunstância de ser o extraditando casado com brasileira ou ter filho brasileiro.</w:t>
      </w:r>
    </w:p>
    <w:p>
      <w:pPr>
        <w:ind w:left="288"/>
      </w:pPr>
      <w:r>
        <w:rPr>
          <w:b/>
          <w:color w:val="003CA0"/>
          <w:sz w:val="16"/>
        </w:rPr>
        <w:t>[Súmula 421.]</w:t>
      </w:r>
    </w:p>
    <w:p>
      <w:pPr>
        <w:ind w:left="288"/>
      </w:pPr>
      <w:r>
        <w:rPr>
          <w:color w:val="8C8C8C"/>
          <w:sz w:val="12"/>
        </w:rPr>
        <w:t>cf-art-102-inc-I-ali-g</w:t>
      </w:r>
    </w:p>
    <w:p>
      <w:pPr>
        <w:ind w:left="288"/>
      </w:pPr>
      <w:r>
        <w:rPr>
          <w:color w:val="1E1E1E"/>
          <w:sz w:val="18"/>
        </w:rPr>
        <w:t>Concede-se liberdade ao extraditando que não for retirado do país no prazo do art. 16 do DL 394, de 28-4-1938.</w:t>
      </w:r>
    </w:p>
    <w:p>
      <w:pPr>
        <w:ind w:left="288"/>
      </w:pPr>
      <w:r>
        <w:rPr>
          <w:b/>
          <w:color w:val="003CA0"/>
          <w:sz w:val="16"/>
        </w:rPr>
        <w:t>[Súmula 367.]</w:t>
      </w:r>
    </w:p>
    <w:p>
      <w:pPr>
        <w:ind w:left="144"/>
      </w:pPr>
      <w:r>
        <w:rPr>
          <w:b/>
          <w:color w:val="B45A00"/>
          <w:sz w:val="16"/>
        </w:rPr>
        <w:t>JULGADOS CORRELATOS</w:t>
      </w:r>
    </w:p>
    <w:p>
      <w:pPr>
        <w:ind w:left="288"/>
      </w:pPr>
      <w:r>
        <w:rPr>
          <w:color w:val="8C8C8C"/>
          <w:sz w:val="12"/>
        </w:rPr>
        <w:t>cf-art-102-inc-I-ali-g</w:t>
      </w:r>
      <w:r>
        <w:rPr>
          <w:color w:val="003CA0"/>
          <w:sz w:val="12"/>
        </w:rPr>
        <w:t xml:space="preserve"> | rel. Celso de Mello</w:t>
      </w:r>
    </w:p>
    <w:p>
      <w:pPr>
        <w:ind w:left="288"/>
      </w:pPr>
      <w:r>
        <w:rPr>
          <w:color w:val="1E1E1E"/>
          <w:sz w:val="18"/>
        </w:rPr>
        <w:t>Possibilidade jurídica da aplicação retroativa dos tratados de extradição (pelo fato de que tais convenções internacionais não tipificam crimes nem cominam penas) a eventos delituosos perpetrados antes de sua celebração ou promulgação. Reconhecimento da legitimidade dessa eficácia retroativa, desde que excepcionalmente prevista no próprio tratado de extradição.</w:t>
      </w:r>
    </w:p>
    <w:p>
      <w:pPr>
        <w:ind w:left="288"/>
      </w:pPr>
      <w:r>
        <w:rPr>
          <w:b/>
          <w:color w:val="003CA0"/>
          <w:sz w:val="16"/>
        </w:rPr>
        <w:t>[PPE 769, rel. min. Celso de Mello, j. 18-2-2016, dec. monocrática, DJE de 24-2-2016.]</w:t>
      </w:r>
    </w:p>
    <w:p>
      <w:pPr>
        <w:ind w:left="288"/>
      </w:pPr>
      <w:r>
        <w:rPr>
          <w:color w:val="8C8C8C"/>
          <w:sz w:val="12"/>
        </w:rPr>
        <w:t>cf-art-102-inc-I-ali-g</w:t>
      </w:r>
      <w:r>
        <w:rPr>
          <w:color w:val="003CA0"/>
          <w:sz w:val="12"/>
        </w:rPr>
        <w:t xml:space="preserve"> | EXT 1.234</w:t>
      </w:r>
      <w:r>
        <w:rPr>
          <w:color w:val="003CA0"/>
          <w:sz w:val="12"/>
        </w:rPr>
        <w:t xml:space="preserve"> | rel. Dias Toffoli</w:t>
      </w:r>
    </w:p>
    <w:p>
      <w:pPr>
        <w:ind w:left="288"/>
      </w:pPr>
      <w:r>
        <w:rPr>
          <w:color w:val="1E1E1E"/>
          <w:sz w:val="18"/>
        </w:rPr>
        <w:t xml:space="preserve">Preliminar de incompetência de órgão fracionário da Corte para julgar pedido de extradição, frente ao comando do art. 83 da Lei 6.815/1980. Não ocorrência. Alteração da competência por edição de emenda regimental que atendeu aos ditames do art. 102, I, g, c/c o art. 96, I, a, da CF. (...) A Emenda Regimental 45/2011 não representa ofensa ao art. 83 da Lei 6.815/1980, uma vez que atendeu aos ditames constitucionais do art. 102, I, g – que fixou, sem qualquer distinção dos seus órgãos de julgamento, a competência do STF para a análise de extradição solicitada por Estado estrangeiro – c/c o art. </w:t>
      </w:r>
    </w:p>
    <w:p>
      <w:pPr>
        <w:ind w:left="288"/>
      </w:pPr>
      <w:r>
        <w:rPr>
          <w:b/>
          <w:color w:val="003CA0"/>
          <w:sz w:val="16"/>
        </w:rPr>
        <w:t>[Ext 1.234 Extn-segunda, rel. min. Dias Toffoli, j. 30-9-2014, 1ª T, DJE de 17-11-2014.]</w:t>
      </w:r>
    </w:p>
    <w:p>
      <w:pPr>
        <w:ind w:left="288"/>
      </w:pPr>
      <w:r>
        <w:rPr>
          <w:color w:val="8C8C8C"/>
          <w:sz w:val="12"/>
        </w:rPr>
        <w:t>cf-art-102-inc-I-ali-g</w:t>
      </w:r>
      <w:r>
        <w:rPr>
          <w:color w:val="003CA0"/>
          <w:sz w:val="12"/>
        </w:rPr>
        <w:t xml:space="preserve"> | RCL 11.243</w:t>
      </w:r>
    </w:p>
    <w:p>
      <w:pPr>
        <w:ind w:left="288"/>
      </w:pPr>
      <w:r>
        <w:rPr>
          <w:color w:val="1E1E1E"/>
          <w:sz w:val="18"/>
        </w:rPr>
        <w:t>O descumprimento do tratado, em tese, gera uma lide entre Estados soberanos, cuja resolução não compete ao STF, que não exerce soberania internacional, máxime para impor a vontade da República italiana ao chefe de Estado brasileiro, cogitando-se de mediação da Corte Internacional de Haia, nos termos do art. 92 da Carta das Nações Unidas de 1945. O sistema "belga" ou "da contenciosidade limitada", adotado pelo Brasil, investe o STF na categoria de órgão juridicamente existente apenas no âmbito do direito interno, devendo, portanto, adstringir-se a examinar a legalidade da extradição; é dizer, s</w:t>
      </w:r>
    </w:p>
    <w:p>
      <w:pPr>
        <w:ind w:left="288"/>
      </w:pPr>
      <w:r>
        <w:rPr>
          <w:b/>
          <w:color w:val="003CA0"/>
          <w:sz w:val="16"/>
        </w:rPr>
        <w:t>[Rcl 11.243, red. do ac. min. Luiz Fux, j. 8-6-2011, P, DJE de 5-10-2011.]</w:t>
      </w:r>
    </w:p>
    <w:p>
      <w:pPr>
        <w:ind w:left="288"/>
      </w:pPr>
      <w:r>
        <w:rPr>
          <w:color w:val="8C8C8C"/>
          <w:sz w:val="12"/>
        </w:rPr>
        <w:t>cf-art-102-inc-I-ali-g</w:t>
      </w:r>
      <w:r>
        <w:rPr>
          <w:color w:val="003CA0"/>
          <w:sz w:val="12"/>
        </w:rPr>
        <w:t xml:space="preserve"> | EXT 1.085</w:t>
      </w:r>
      <w:r>
        <w:rPr>
          <w:color w:val="003CA0"/>
          <w:sz w:val="12"/>
        </w:rPr>
        <w:t xml:space="preserve"> | rel. Cezar Peluso</w:t>
      </w:r>
    </w:p>
    <w:p>
      <w:pPr>
        <w:ind w:left="288"/>
      </w:pPr>
      <w:r>
        <w:rPr>
          <w:color w:val="1E1E1E"/>
          <w:sz w:val="18"/>
        </w:rPr>
        <w:t xml:space="preserve">Como já acentuei, da atribuição prevista no art. 102, I, g, da Constituição da República, deflui, logo, que, enquanto objeto necessário da cognição imanente à competência constitucional reservada à jurisdição desta Corte, lhe toca apreciar, com inteira exclusividade, todas as questões relativas à existência de fatos configuradores de causas intrínsecas de não extradição, assim consideradas as que, não correspondendo a nenhuma das taxativas hipóteses legais de concessão de refúgio, submissas todas a juízo administrativo privativo, mas vinculado, impedem deferimento da extradição solicitada por </w:t>
      </w:r>
    </w:p>
    <w:p>
      <w:pPr>
        <w:ind w:left="288"/>
      </w:pPr>
      <w:r>
        <w:rPr>
          <w:b/>
          <w:color w:val="003CA0"/>
          <w:sz w:val="16"/>
        </w:rPr>
        <w:t>[Ext 1.085, voto do rel. min. Cezar Peluso, j. 16-12-2009, P, DJE de 16-4-2010.]</w:t>
      </w:r>
    </w:p>
    <w:p>
      <w:pPr>
        <w:ind w:left="288"/>
      </w:pPr>
      <w:r>
        <w:rPr>
          <w:color w:val="8C8C8C"/>
          <w:sz w:val="12"/>
        </w:rPr>
        <w:t>cf-art-102-inc-I-ali-g</w:t>
      </w:r>
      <w:r>
        <w:rPr>
          <w:color w:val="003CA0"/>
          <w:sz w:val="12"/>
        </w:rPr>
        <w:t xml:space="preserve"> | EXT 1.121</w:t>
      </w:r>
      <w:r>
        <w:rPr>
          <w:color w:val="003CA0"/>
          <w:sz w:val="12"/>
        </w:rPr>
        <w:t xml:space="preserve"> | rel. Celso de Mello</w:t>
      </w:r>
    </w:p>
    <w:p>
      <w:pPr>
        <w:ind w:left="288"/>
      </w:pPr>
      <w:r>
        <w:rPr>
          <w:color w:val="1E1E1E"/>
          <w:sz w:val="18"/>
        </w:rPr>
        <w:t>A prisão do súdito estrangeiro constitui pressuposto indispensável ao regular processamento da ação de extradição passiva, sendo-lhe inaplicáveis, para efeito de sua válida decretação, os pressupostos e os fundamentos referidos no art. 312 do CPP. A privação cautelar da liberdade individual do extraditando deve perdurar até o julgamento final, pelo STF, do pedido de extradição, vedada, em regra, a adoção de meios alternativos que a substituam, como a prisão domiciliar, a prisão-albergue ou a liberdade vigiada (Lei 6.815/1980, art. 84, parágrafo único). (...) A prisão cautelar, para efeitos ext</w:t>
      </w:r>
    </w:p>
    <w:p>
      <w:pPr>
        <w:ind w:left="288"/>
      </w:pPr>
      <w:r>
        <w:rPr>
          <w:b/>
          <w:color w:val="003CA0"/>
          <w:sz w:val="16"/>
        </w:rPr>
        <w:t>[Ext 1.121 AgR, rel. min. Celso de Mello, j. 4-9-2008, P, DJE de 17-4-2009.]</w:t>
      </w:r>
    </w:p>
    <w:p>
      <w:pPr>
        <w:ind w:left="288"/>
      </w:pPr>
      <w:r>
        <w:rPr>
          <w:color w:val="8C8C8C"/>
          <w:sz w:val="12"/>
        </w:rPr>
        <w:t>cf-art-102-inc-I-ali-g</w:t>
      </w:r>
      <w:r>
        <w:rPr>
          <w:color w:val="003CA0"/>
          <w:sz w:val="12"/>
        </w:rPr>
        <w:t xml:space="preserve"> | EXT 1.035</w:t>
      </w:r>
      <w:r>
        <w:rPr>
          <w:color w:val="003CA0"/>
          <w:sz w:val="12"/>
        </w:rPr>
        <w:t xml:space="preserve"> | rel. Ellen Gracie</w:t>
      </w:r>
    </w:p>
    <w:p>
      <w:pPr>
        <w:ind w:left="288"/>
      </w:pPr>
      <w:r>
        <w:rPr>
          <w:color w:val="1E1E1E"/>
          <w:sz w:val="18"/>
        </w:rPr>
        <w:t>= Ext 1.035 AgR, rel. min. Ellen Gracie, j. 17-12-2009, P, DJE de 26-2-2010 A ação de extradição passiva não confere, ordinariamente, ao STF, qualquer poder de indagação sobre o mérito da pretensão deduzida pelo Estado requerente ou sobre o contexto probatório em que a postulação extradicional se apoia, não cabendo, ainda, a esta Corte Suprema, o exame da negativa de autoria invocada pelo extraditando em sua defesa. Precedentes. Doutrina. O sistema de contenciosidade limitada, que caracteriza o regime jurídico da extradição passiva no direito positivo brasileiro, não permite qualquer indagação</w:t>
      </w:r>
    </w:p>
    <w:p>
      <w:pPr>
        <w:ind w:left="288"/>
      </w:pPr>
      <w:r>
        <w:rPr>
          <w:b/>
          <w:color w:val="003CA0"/>
          <w:sz w:val="16"/>
        </w:rPr>
        <w:t>[Ext 1.082, rel. min. Celso de Mello, j. 19-6-2008, P, DJE de 8-8-2008.]</w:t>
      </w:r>
    </w:p>
    <w:p>
      <w:pPr>
        <w:ind w:left="288"/>
      </w:pPr>
      <w:r>
        <w:rPr>
          <w:color w:val="8C8C8C"/>
          <w:sz w:val="12"/>
        </w:rPr>
        <w:t>cf-art-102-inc-I-ali-g</w:t>
      </w:r>
      <w:r>
        <w:rPr>
          <w:color w:val="003CA0"/>
          <w:sz w:val="12"/>
        </w:rPr>
        <w:t xml:space="preserve"> | EXT 1.121</w:t>
      </w:r>
      <w:r>
        <w:rPr>
          <w:color w:val="003CA0"/>
          <w:sz w:val="12"/>
        </w:rPr>
        <w:t xml:space="preserve"> | rel. Celso de Mello</w:t>
      </w:r>
    </w:p>
    <w:p>
      <w:pPr>
        <w:ind w:left="288"/>
      </w:pPr>
      <w:r>
        <w:rPr>
          <w:color w:val="1E1E1E"/>
          <w:sz w:val="18"/>
        </w:rPr>
        <w:t>= Ext 1.121, rel. min. Celso de Mello, j. 18-12-2009, P, DJE de 25-6-2010 A inexistência de tratado de extradição não impede a formulação e o eventual atendimento do pleito extradicional, desde que o Estado requerente prometa reciprocidade de tratamento ao Brasil, mediante expediente (Nota Verbal) formalmente transmitido por via diplomática. (...) A essencialidade da cooperação internacional na repressão penal aos delitos comuns não exonera o Estado brasileiro – e, em particular, o STF – de velar pelo respeito aos direitos fundamentais do súdito estrangeiro que venha a sofrer, em nosso país, p</w:t>
      </w:r>
    </w:p>
    <w:p>
      <w:pPr>
        <w:ind w:left="288"/>
      </w:pPr>
      <w:r>
        <w:rPr>
          <w:b/>
          <w:color w:val="003CA0"/>
          <w:sz w:val="16"/>
        </w:rPr>
        <w:t>[Ext 1.074, rel. min. Celso de Mello, j. 27-3-2008, P, DJE de 13-6-2008.]</w:t>
      </w:r>
    </w:p>
    <w:p>
      <w:pPr>
        <w:ind w:left="288"/>
      </w:pPr>
      <w:r>
        <w:rPr>
          <w:color w:val="8C8C8C"/>
          <w:sz w:val="12"/>
        </w:rPr>
        <w:t>cf-art-102-inc-I-ali-g</w:t>
      </w:r>
      <w:r>
        <w:rPr>
          <w:color w:val="003CA0"/>
          <w:sz w:val="12"/>
        </w:rPr>
        <w:t xml:space="preserve"> | HC 76.628</w:t>
      </w:r>
      <w:r>
        <w:rPr>
          <w:color w:val="003CA0"/>
          <w:sz w:val="12"/>
        </w:rPr>
        <w:t xml:space="preserve"> | rel. Moreira Alves</w:t>
      </w:r>
    </w:p>
    <w:p>
      <w:pPr>
        <w:ind w:left="288"/>
      </w:pPr>
      <w:r>
        <w:rPr>
          <w:color w:val="1E1E1E"/>
          <w:sz w:val="18"/>
        </w:rPr>
        <w:t>Habeas corpus. Não conhecimento. Precedente da Corte. A Corte assentou que não se conhece de habeas corpus quando se trate de extradição, "que é processo sujeito à jurisdição única desta Corte, mas que não tem por objeto crime sujeito à jurisdição dela em uma única instância" (HC 76.628 QO/DF, Tribunal Pleno, rel. min. Moreira Alves, DJ de 12-6-1998).</w:t>
      </w:r>
    </w:p>
    <w:p>
      <w:pPr>
        <w:ind w:left="288"/>
      </w:pPr>
      <w:r>
        <w:rPr>
          <w:b/>
          <w:color w:val="003CA0"/>
          <w:sz w:val="16"/>
        </w:rPr>
        <w:t>[HC 92.598, red. do ac. min. Menezes Direito, j. 13-12-2007, P, DJE de 1º-8-2008.]</w:t>
      </w:r>
    </w:p>
    <w:p>
      <w:pPr>
        <w:ind w:left="288"/>
      </w:pPr>
      <w:r>
        <w:rPr>
          <w:color w:val="8C8C8C"/>
          <w:sz w:val="12"/>
        </w:rPr>
        <w:t>cf-art-102-inc-I-ali-g</w:t>
      </w:r>
      <w:r>
        <w:rPr>
          <w:color w:val="003CA0"/>
          <w:sz w:val="12"/>
        </w:rPr>
        <w:t xml:space="preserve"> | EXT 932</w:t>
      </w:r>
      <w:r>
        <w:rPr>
          <w:color w:val="003CA0"/>
          <w:sz w:val="12"/>
        </w:rPr>
        <w:t xml:space="preserve"> | rel. Joaquim Barbosa</w:t>
      </w:r>
    </w:p>
    <w:p>
      <w:pPr>
        <w:ind w:left="288"/>
      </w:pPr>
      <w:r>
        <w:rPr>
          <w:color w:val="1E1E1E"/>
          <w:sz w:val="18"/>
        </w:rPr>
        <w:t>Não cabe a esta Corte examinar matéria atinente à eventual inimputabilidade do extraditando, pois no Brasil o processo extradicional se pauta pelo princípio da contenciosidade limitada. Cabe ao Estado requerente a análise sobre aplicação de pena ou medida de segurança ao extraditando.</w:t>
      </w:r>
    </w:p>
    <w:p>
      <w:pPr>
        <w:ind w:left="288"/>
      </w:pPr>
      <w:r>
        <w:rPr>
          <w:b/>
          <w:color w:val="003CA0"/>
          <w:sz w:val="16"/>
        </w:rPr>
        <w:t>[Ext 932, rel. min. Joaquim Barbosa, j. 10-10-2007, P, DJE de 28-3-2008.]</w:t>
      </w:r>
    </w:p>
    <w:p>
      <w:pPr>
        <w:ind w:left="288"/>
      </w:pPr>
      <w:r>
        <w:rPr>
          <w:color w:val="8C8C8C"/>
          <w:sz w:val="12"/>
        </w:rPr>
        <w:t>cf-art-102-inc-I-ali-g</w:t>
      </w:r>
      <w:r>
        <w:rPr>
          <w:color w:val="003CA0"/>
          <w:sz w:val="12"/>
        </w:rPr>
        <w:t xml:space="preserve"> | EXT 1.196</w:t>
      </w:r>
      <w:r>
        <w:rPr>
          <w:color w:val="003CA0"/>
          <w:sz w:val="12"/>
        </w:rPr>
        <w:t xml:space="preserve"> | rel. Dias Toffoli</w:t>
      </w:r>
    </w:p>
    <w:p>
      <w:pPr>
        <w:ind w:left="288"/>
      </w:pPr>
      <w:r>
        <w:rPr>
          <w:color w:val="1E1E1E"/>
          <w:sz w:val="18"/>
        </w:rPr>
        <w:t xml:space="preserve">= Ext 1.196, rel. min. Dias Toffoli, j. 16-6-2011, P, DJE de 26-9-2011 Extradição fundada na promessa de reciprocidade, ante a inexistência de tratado entre o Brasil e o Líbano. Incerteza, quanto ao cumprimento da promessa, gerada pelo texto do art. 30 do Código Penal libanês, segundo o qual "(n)inguém pode ser entregue a um Estado estrangeiro fora dos casos estabelecidos pelas disposições do presente código, se não é por aplicação de um tratado tendo força de lei". Hipótese em que a Missão Diplomática Libanesa, instada a esclarecer o alcance do preceito, permaneceu inerte. Sendo a extradição </w:t>
      </w:r>
    </w:p>
    <w:p>
      <w:pPr>
        <w:ind w:left="288"/>
      </w:pPr>
      <w:r>
        <w:rPr>
          <w:b/>
          <w:color w:val="003CA0"/>
          <w:sz w:val="16"/>
        </w:rPr>
        <w:t>[Ext 1.047, rel. min. Eros Grau, j. 10-10-2007, P, DJ de 14-11-2007.]</w:t>
      </w:r>
    </w:p>
    <w:p>
      <w:pPr>
        <w:ind w:left="288"/>
      </w:pPr>
      <w:r>
        <w:rPr>
          <w:color w:val="8C8C8C"/>
          <w:sz w:val="12"/>
        </w:rPr>
        <w:t>cf-art-102-inc-I-ali-g</w:t>
      </w:r>
      <w:r>
        <w:rPr>
          <w:color w:val="003CA0"/>
          <w:sz w:val="12"/>
        </w:rPr>
        <w:t xml:space="preserve"> | EXT 804</w:t>
      </w:r>
      <w:r>
        <w:rPr>
          <w:color w:val="003CA0"/>
          <w:sz w:val="12"/>
        </w:rPr>
        <w:t xml:space="preserve"> | rel. Celso de Mello</w:t>
      </w:r>
    </w:p>
    <w:p>
      <w:pPr>
        <w:ind w:left="288"/>
      </w:pPr>
      <w:r>
        <w:rPr>
          <w:color w:val="1E1E1E"/>
          <w:sz w:val="18"/>
        </w:rPr>
        <w:t>O Estado estrangeiro pode requerer a desistência da ação de extradição passiva, enquanto ainda não julgada, cabendo, em tal hipótese, ao Plenário do STF ou ao próprio relator da causa, a prática do ato de homologação dessa unilateral declaração de vontade. Se, no entanto, o pedido de extradição já houver sido apreciado e deferido, tornar-se-á lícito, ao Estado estrangeiro, desistir da execução da ordem extradicional, independentemente da existência, ou não, do trânsito em julgado da decisão plenária proferida pelo STF.</w:t>
      </w:r>
    </w:p>
    <w:p>
      <w:pPr>
        <w:ind w:left="288"/>
      </w:pPr>
      <w:r>
        <w:rPr>
          <w:b/>
          <w:color w:val="003CA0"/>
          <w:sz w:val="16"/>
        </w:rPr>
        <w:t>[Ext 804 QO, rel. min. Celso de Mello, j. 5-9-2002, P, DJ de 27-9-2002.]</w:t>
      </w:r>
    </w:p>
    <w:p>
      <w:pPr>
        <w:ind w:left="288"/>
      </w:pPr>
      <w:r>
        <w:rPr>
          <w:color w:val="8C8C8C"/>
          <w:sz w:val="12"/>
        </w:rPr>
        <w:t>cf-art-102-inc-I-ali-g</w:t>
      </w:r>
      <w:r>
        <w:rPr>
          <w:color w:val="003CA0"/>
          <w:sz w:val="12"/>
        </w:rPr>
        <w:t xml:space="preserve"> | EXT 1.098</w:t>
      </w:r>
      <w:r>
        <w:rPr>
          <w:color w:val="003CA0"/>
          <w:sz w:val="12"/>
        </w:rPr>
        <w:t xml:space="preserve"> | rel. Cezar Peluso</w:t>
      </w:r>
    </w:p>
    <w:p>
      <w:pPr>
        <w:ind w:left="288"/>
      </w:pPr>
      <w:r>
        <w:rPr>
          <w:color w:val="1E1E1E"/>
          <w:sz w:val="18"/>
        </w:rPr>
        <w:t>= Ext 1.098 QO, rel. min. Cezar Peluso, j. 24-4-2008, P, DJE de 27-6-2008 Extradição. Impossibilidade da renúncia ao benefício da lei. A concordância do extraditando em retornar ao seu país não dispensa o controle da legalidade do pedido pelo STF.</w:t>
      </w:r>
    </w:p>
    <w:p>
      <w:pPr>
        <w:ind w:left="288"/>
      </w:pPr>
      <w:r>
        <w:rPr>
          <w:b/>
          <w:color w:val="003CA0"/>
          <w:sz w:val="16"/>
        </w:rPr>
        <w:t>[Ext 643, rel. min. Francisco Rezek, j. 19-12-1994, P, DJ de 10-8-1995.]</w:t>
      </w:r>
    </w:p>
    <w:p>
      <w:pPr>
        <w:ind w:left="288"/>
      </w:pPr>
      <w:r>
        <w:rPr>
          <w:color w:val="8C8C8C"/>
          <w:sz w:val="12"/>
        </w:rPr>
        <w:t>cf-art-102-inc-I-ali-g</w:t>
      </w:r>
      <w:r>
        <w:rPr>
          <w:color w:val="003CA0"/>
          <w:sz w:val="12"/>
        </w:rPr>
        <w:t xml:space="preserve"> | EXT 568</w:t>
      </w:r>
      <w:r>
        <w:rPr>
          <w:color w:val="003CA0"/>
          <w:sz w:val="12"/>
        </w:rPr>
        <w:t xml:space="preserve"> | rel. Celso de Mello</w:t>
      </w:r>
    </w:p>
    <w:p>
      <w:pPr>
        <w:ind w:left="288"/>
      </w:pPr>
      <w:r>
        <w:rPr>
          <w:color w:val="1E1E1E"/>
          <w:sz w:val="18"/>
        </w:rPr>
        <w:t>O pedido extradicional, deduzido perante o Estado Brasileiro, constitui – quando instaurada a fase judicial de seu procedimento – ação de índole especial, de caráter constitutivo, que objetiva a formação de título jurídico apto a legitimar o Poder Executivo da União a efetivar, com fundamento em tratado internacional ou em compromisso de reciprocidade, a entrega do súdito reclamado.</w:t>
      </w:r>
    </w:p>
    <w:p>
      <w:pPr>
        <w:ind w:left="288"/>
      </w:pPr>
      <w:r>
        <w:rPr>
          <w:b/>
          <w:color w:val="003CA0"/>
          <w:sz w:val="16"/>
        </w:rPr>
        <w:t>[Ext 568 QO, rel. min. Celso de Mello, j. 22-4-1993, P, DJ de 7-5-1993.]</w:t>
      </w:r>
    </w:p>
    <w:p>
      <w:pPr>
        <w:ind w:left="288"/>
      </w:pPr>
      <w:r>
        <w:rPr>
          <w:color w:val="8C8C8C"/>
          <w:sz w:val="12"/>
        </w:rPr>
        <w:t>cf-art-102-inc-I-ali-h</w:t>
      </w:r>
    </w:p>
    <w:p>
      <w:pPr>
        <w:ind w:left="288"/>
      </w:pPr>
      <w:r>
        <w:rPr>
          <w:color w:val="1E1E1E"/>
          <w:sz w:val="18"/>
        </w:rPr>
        <w:t>i) o habeas corpus, quando o coator for Tribunal Superior ou quando o coator ou o paciente for autoridade ou funcionário cujos atos estejam sujeitos diretamente à jurisdição do Supremo Tribunal Federal, ou se trate de crime sujeito à mesma jurisdição em uma única instância; (Redação da EC 22/1999)</w:t>
      </w:r>
    </w:p>
    <w:p>
      <w:pPr>
        <w:ind w:left="144"/>
      </w:pPr>
      <w:r>
        <w:rPr>
          <w:b/>
          <w:color w:val="B45A00"/>
          <w:sz w:val="16"/>
        </w:rPr>
        <w:t>SUMULA</w:t>
      </w:r>
    </w:p>
    <w:p>
      <w:pPr>
        <w:ind w:left="288"/>
      </w:pPr>
      <w:r>
        <w:rPr>
          <w:color w:val="8C8C8C"/>
          <w:sz w:val="12"/>
        </w:rPr>
        <w:t>cf-art-102-inc-I-ali-h</w:t>
      </w:r>
    </w:p>
    <w:p>
      <w:pPr>
        <w:ind w:left="288"/>
      </w:pPr>
      <w:r>
        <w:rPr>
          <w:color w:val="1E1E1E"/>
          <w:sz w:val="18"/>
        </w:rPr>
        <w:t>Não cabe habeas corpus quando já extinta a pena privativa de liberdade.</w:t>
      </w:r>
    </w:p>
    <w:p>
      <w:pPr>
        <w:ind w:left="288"/>
      </w:pPr>
      <w:r>
        <w:rPr>
          <w:b/>
          <w:color w:val="003CA0"/>
          <w:sz w:val="16"/>
        </w:rPr>
        <w:t>[Súmula 695.]</w:t>
      </w:r>
    </w:p>
    <w:p>
      <w:pPr>
        <w:ind w:left="288"/>
      </w:pPr>
      <w:r>
        <w:rPr>
          <w:color w:val="8C8C8C"/>
          <w:sz w:val="12"/>
        </w:rPr>
        <w:t>cf-art-102-inc-I-ali-h</w:t>
      </w:r>
    </w:p>
    <w:p>
      <w:pPr>
        <w:ind w:left="288"/>
      </w:pPr>
      <w:r>
        <w:rPr>
          <w:color w:val="1E1E1E"/>
          <w:sz w:val="18"/>
        </w:rPr>
        <w:t>Não cabe habeas corpus contra a imposição da pena de exclusão de militar ou de perda de patente ou de função pública.</w:t>
      </w:r>
    </w:p>
    <w:p>
      <w:pPr>
        <w:ind w:left="288"/>
      </w:pPr>
      <w:r>
        <w:rPr>
          <w:b/>
          <w:color w:val="003CA0"/>
          <w:sz w:val="16"/>
        </w:rPr>
        <w:t>[Súmula 694.]</w:t>
      </w:r>
    </w:p>
    <w:p>
      <w:pPr>
        <w:ind w:left="288"/>
      </w:pPr>
      <w:r>
        <w:rPr>
          <w:color w:val="8C8C8C"/>
          <w:sz w:val="12"/>
        </w:rPr>
        <w:t>cf-art-102-inc-I-ali-h</w:t>
      </w:r>
    </w:p>
    <w:p>
      <w:pPr>
        <w:ind w:left="288"/>
      </w:pPr>
      <w:r>
        <w:rPr>
          <w:color w:val="1E1E1E"/>
          <w:sz w:val="18"/>
        </w:rPr>
        <w:t>Não cabe habeas corpus contra decisão condenatória a pena de multa, ou relativo a processo em curso por infração penal a que a pena pecuniária seja a única cominada.</w:t>
      </w:r>
    </w:p>
    <w:p>
      <w:pPr>
        <w:ind w:left="288"/>
      </w:pPr>
      <w:r>
        <w:rPr>
          <w:b/>
          <w:color w:val="003CA0"/>
          <w:sz w:val="16"/>
        </w:rPr>
        <w:t>[Súmula 693.]</w:t>
      </w:r>
    </w:p>
    <w:p>
      <w:pPr>
        <w:ind w:left="288"/>
      </w:pPr>
      <w:r>
        <w:rPr>
          <w:color w:val="8C8C8C"/>
          <w:sz w:val="12"/>
        </w:rPr>
        <w:t>cf-art-102-inc-I-ali-h</w:t>
      </w:r>
    </w:p>
    <w:p>
      <w:pPr>
        <w:ind w:left="288"/>
      </w:pPr>
      <w:r>
        <w:rPr>
          <w:color w:val="1E1E1E"/>
          <w:sz w:val="18"/>
        </w:rPr>
        <w:t>Não compete ao STF conhecer de habeas corpus impetrado contra decisão do relator que, em habeas corpus requerido a tribunal superior, indefere a liminar.</w:t>
      </w:r>
    </w:p>
    <w:p>
      <w:pPr>
        <w:ind w:left="288"/>
      </w:pPr>
      <w:r>
        <w:rPr>
          <w:b/>
          <w:color w:val="003CA0"/>
          <w:sz w:val="16"/>
        </w:rPr>
        <w:t>[Súmula 691.]</w:t>
      </w:r>
    </w:p>
    <w:p>
      <w:pPr>
        <w:ind w:left="288"/>
      </w:pPr>
      <w:r>
        <w:rPr>
          <w:color w:val="8C8C8C"/>
          <w:sz w:val="12"/>
        </w:rPr>
        <w:t>cf-art-102-inc-I-ali-h</w:t>
      </w:r>
    </w:p>
    <w:p>
      <w:pPr>
        <w:ind w:left="288"/>
      </w:pPr>
      <w:r>
        <w:rPr>
          <w:color w:val="1E1E1E"/>
          <w:sz w:val="18"/>
        </w:rPr>
        <w:t>Compete originariamente ao STF o julgamento de habeas corpus contra decisão de turma recursal de juizados especiais criminais.</w:t>
      </w:r>
    </w:p>
    <w:p>
      <w:pPr>
        <w:ind w:left="288"/>
      </w:pPr>
      <w:r>
        <w:rPr>
          <w:b/>
          <w:color w:val="003CA0"/>
          <w:sz w:val="16"/>
        </w:rPr>
        <w:t>[Súmula 690.]</w:t>
      </w:r>
    </w:p>
    <w:p>
      <w:pPr>
        <w:ind w:left="288"/>
      </w:pPr>
      <w:r>
        <w:rPr>
          <w:color w:val="8C8C8C"/>
          <w:sz w:val="12"/>
        </w:rPr>
        <w:t>cf-art-102-inc-I-ali-h</w:t>
      </w:r>
    </w:p>
    <w:p>
      <w:pPr>
        <w:ind w:left="288"/>
      </w:pPr>
      <w:r>
        <w:rPr>
          <w:color w:val="1E1E1E"/>
          <w:sz w:val="18"/>
        </w:rPr>
        <w:t>Não cabe habeas corpus originário para o Tribunal Pleno de decisão de Turma, ou do Plenário, proferida em habeas corpus ou no respectivo recurso.</w:t>
      </w:r>
    </w:p>
    <w:p>
      <w:pPr>
        <w:ind w:left="288"/>
      </w:pPr>
      <w:r>
        <w:rPr>
          <w:b/>
          <w:color w:val="003CA0"/>
          <w:sz w:val="16"/>
        </w:rPr>
        <w:t>[Súmula 606.]</w:t>
      </w:r>
    </w:p>
    <w:p>
      <w:pPr>
        <w:ind w:left="288"/>
      </w:pPr>
      <w:r>
        <w:rPr>
          <w:color w:val="8C8C8C"/>
          <w:sz w:val="12"/>
        </w:rPr>
        <w:t>cf-art-102-inc-I-ali-h</w:t>
      </w:r>
    </w:p>
    <w:p>
      <w:pPr>
        <w:ind w:left="288"/>
      </w:pPr>
      <w:r>
        <w:rPr>
          <w:color w:val="1E1E1E"/>
          <w:sz w:val="18"/>
        </w:rPr>
        <w:t>Não se conhece de recurso de habeas corpus cujo objeto seja resolver sobre o ônus das custas, por não estar mais em causa a liberdade de locomoção.</w:t>
      </w:r>
    </w:p>
    <w:p>
      <w:pPr>
        <w:ind w:left="288"/>
      </w:pPr>
      <w:r>
        <w:rPr>
          <w:b/>
          <w:color w:val="003CA0"/>
          <w:sz w:val="16"/>
        </w:rPr>
        <w:t>[Súmula 395.]</w:t>
      </w:r>
    </w:p>
    <w:p>
      <w:pPr>
        <w:ind w:left="288"/>
      </w:pPr>
      <w:r>
        <w:rPr>
          <w:color w:val="8C8C8C"/>
          <w:sz w:val="12"/>
        </w:rPr>
        <w:t>cf-art-102-inc-I-ali-h</w:t>
      </w:r>
    </w:p>
    <w:p>
      <w:pPr>
        <w:ind w:left="288"/>
      </w:pPr>
      <w:r>
        <w:rPr>
          <w:color w:val="1E1E1E"/>
          <w:sz w:val="18"/>
        </w:rPr>
        <w:t>O assistente do Ministério Público não pode recorrer, extraordinariamente, de decisão concessiva de habeas corpus.</w:t>
      </w:r>
    </w:p>
    <w:p>
      <w:pPr>
        <w:ind w:left="288"/>
      </w:pPr>
      <w:r>
        <w:rPr>
          <w:b/>
          <w:color w:val="003CA0"/>
          <w:sz w:val="16"/>
        </w:rPr>
        <w:t>[Súmula 208.]</w:t>
      </w:r>
    </w:p>
    <w:p>
      <w:pPr>
        <w:ind w:left="144"/>
      </w:pPr>
      <w:r>
        <w:rPr>
          <w:b/>
          <w:color w:val="B45A00"/>
          <w:sz w:val="16"/>
        </w:rPr>
        <w:t>JULGADOS CORRELATOS</w:t>
      </w:r>
    </w:p>
    <w:p>
      <w:pPr>
        <w:ind w:left="288"/>
      </w:pPr>
      <w:r>
        <w:rPr>
          <w:color w:val="8C8C8C"/>
          <w:sz w:val="12"/>
        </w:rPr>
        <w:t>cf-art-102-inc-I-ali-h</w:t>
      </w:r>
      <w:r>
        <w:rPr>
          <w:color w:val="003CA0"/>
          <w:sz w:val="12"/>
        </w:rPr>
        <w:t xml:space="preserve"> | RCL 24.162</w:t>
      </w:r>
      <w:r>
        <w:rPr>
          <w:color w:val="003CA0"/>
          <w:sz w:val="12"/>
        </w:rPr>
        <w:t xml:space="preserve"> | rel. Dias Toffoli</w:t>
      </w:r>
    </w:p>
    <w:p>
      <w:pPr>
        <w:ind w:left="288"/>
      </w:pPr>
      <w:r>
        <w:rPr>
          <w:color w:val="1E1E1E"/>
          <w:sz w:val="18"/>
        </w:rPr>
        <w:t>Ministério Público junto ao Tribunal de Contas. Ilegitimidade ativa. (...) O Parquet especial não detém legitimidade para propor reclamação, uma vez que não se encontra no rol de legitimados do caput do art. 988 do CPC/2015.</w:t>
      </w:r>
    </w:p>
    <w:p>
      <w:pPr>
        <w:ind w:left="288"/>
      </w:pPr>
      <w:r>
        <w:rPr>
          <w:b/>
          <w:color w:val="003CA0"/>
          <w:sz w:val="16"/>
        </w:rPr>
        <w:t>[Rcl 24.162 AgR, rel. min. Dias Toffoli, j. 22-11-2016, 2ª T, DJE de 7-12-2016.]</w:t>
      </w:r>
    </w:p>
    <w:p>
      <w:pPr>
        <w:ind w:left="288"/>
      </w:pPr>
      <w:r>
        <w:rPr>
          <w:color w:val="8C8C8C"/>
          <w:sz w:val="12"/>
        </w:rPr>
        <w:t>cf-art-102-inc-I-ali-h</w:t>
      </w:r>
      <w:r>
        <w:rPr>
          <w:color w:val="003CA0"/>
          <w:sz w:val="12"/>
        </w:rPr>
        <w:t xml:space="preserve"> | HC 115.168</w:t>
      </w:r>
      <w:r>
        <w:rPr>
          <w:color w:val="003CA0"/>
          <w:sz w:val="12"/>
        </w:rPr>
        <w:t xml:space="preserve"> | rel. Marco Aurélio</w:t>
      </w:r>
    </w:p>
    <w:p>
      <w:pPr>
        <w:ind w:left="288"/>
      </w:pPr>
      <w:r>
        <w:rPr>
          <w:color w:val="1E1E1E"/>
          <w:sz w:val="18"/>
        </w:rPr>
        <w:t>Habeas corpus. Substitutivo do recurso ordinário constitucional. Liberdade de locomoção atingida na via direta. Adequação. Sendo objeto do habeas corpus a preservação da liberdade de ir e vir atingida diretamente, porquanto expedido mandado de prisão ou porque, com maior razão, esta já ocorreu, mostra-se adequada a impetração, dando-se alcance maior à garantia versada no art. 5º, LXVIII, da Carta de 1988. Evolução em óptica linear assentada anteriormente.</w:t>
      </w:r>
    </w:p>
    <w:p>
      <w:pPr>
        <w:ind w:left="288"/>
      </w:pPr>
      <w:r>
        <w:rPr>
          <w:b/>
          <w:color w:val="003CA0"/>
          <w:sz w:val="16"/>
        </w:rPr>
        <w:t>[HC 115.168, rel. min. Marco Aurélio, j. 21-5-2013, 1ª T, DJE de 17-6-2013.]</w:t>
      </w:r>
    </w:p>
    <w:p>
      <w:pPr>
        <w:ind w:left="288"/>
      </w:pPr>
      <w:r>
        <w:rPr>
          <w:color w:val="8C8C8C"/>
          <w:sz w:val="12"/>
        </w:rPr>
        <w:t>cf-art-102-inc-I-ali-h</w:t>
      </w:r>
      <w:r>
        <w:rPr>
          <w:color w:val="003CA0"/>
          <w:sz w:val="12"/>
        </w:rPr>
        <w:t xml:space="preserve"> | HC 109.956</w:t>
      </w:r>
      <w:r>
        <w:rPr>
          <w:color w:val="003CA0"/>
          <w:sz w:val="12"/>
        </w:rPr>
        <w:t xml:space="preserve"> | rel. Marco Aurélio</w:t>
      </w:r>
    </w:p>
    <w:p>
      <w:pPr>
        <w:ind w:left="288"/>
      </w:pPr>
      <w:r>
        <w:rPr>
          <w:color w:val="1E1E1E"/>
          <w:sz w:val="18"/>
        </w:rPr>
        <w:t>Vide HC 109.956, rel. min. Marco Aurélio, j. 7-8-2012, 1ª T, DJE de 11-9-2012 Habeas corpus. Julgamento por tribunal superior. Impugnação. A teor do disposto no art. 102, II, a, da CF, contra decisão proferida em processo revelador de habeas corpus, a implicar a não concessão da ordem, cabível é o recurso ordinário. Evolução quanto à admissibilidade do substitutivo do habeas corpus.</w:t>
      </w:r>
    </w:p>
    <w:p>
      <w:pPr>
        <w:ind w:left="288"/>
      </w:pPr>
      <w:r>
        <w:rPr>
          <w:b/>
          <w:color w:val="003CA0"/>
          <w:sz w:val="16"/>
        </w:rPr>
        <w:t>[HC 109.956, rel. min. Marco Aurélio, j. 7-8-2012, 1ª T, DJE de 11-9-2012.]</w:t>
      </w:r>
    </w:p>
    <w:p>
      <w:pPr>
        <w:ind w:left="288"/>
      </w:pPr>
      <w:r>
        <w:rPr>
          <w:color w:val="8C8C8C"/>
          <w:sz w:val="12"/>
        </w:rPr>
        <w:t>cf-art-102-inc-I-ali-h</w:t>
      </w:r>
      <w:r>
        <w:rPr>
          <w:color w:val="003CA0"/>
          <w:sz w:val="12"/>
        </w:rPr>
        <w:t xml:space="preserve"> | HC 110.270</w:t>
      </w:r>
      <w:r>
        <w:rPr>
          <w:color w:val="003CA0"/>
          <w:sz w:val="12"/>
        </w:rPr>
        <w:t xml:space="preserve"> | rel. Gilmar Mendes</w:t>
      </w:r>
    </w:p>
    <w:p>
      <w:pPr>
        <w:ind w:left="288"/>
      </w:pPr>
      <w:r>
        <w:rPr>
          <w:color w:val="1E1E1E"/>
          <w:sz w:val="18"/>
        </w:rPr>
        <w:t>≠ HC 110.270, rel. min. Gilmar Mendes, j. 6-12-2011, 2ª T, DJE de 19-12-2011 Vide HC 119.492 AgR, rel. min. Roberto Barroso, j. 11-3-2014, 1ª T, DJE de 26-3-2014 Vide HC 115.168, rel. min. Marco Aurélio, j. 21-5-2013, 1ª T, DJE de 17-6-2013 O fato de o habeas corpus ser substituto de recurso ordinário não é fundamento suficiente para o não conhecimento do writ. Ordem deferida para que o STJ conheça e julgue o habeas lá impetrado.</w:t>
      </w:r>
    </w:p>
    <w:p>
      <w:pPr>
        <w:ind w:left="288"/>
      </w:pPr>
      <w:r>
        <w:rPr>
          <w:b/>
          <w:color w:val="003CA0"/>
          <w:sz w:val="16"/>
        </w:rPr>
        <w:t>[HC 110.270, rel. min. Gilmar Mendes, j. 6-12-2011, 2ª T, DJE de 19-12-2011.]</w:t>
      </w:r>
    </w:p>
    <w:p>
      <w:pPr>
        <w:ind w:left="288"/>
      </w:pPr>
      <w:r>
        <w:rPr>
          <w:color w:val="8C8C8C"/>
          <w:sz w:val="12"/>
        </w:rPr>
        <w:t>cf-art-102-inc-I-ali-h</w:t>
      </w:r>
      <w:r>
        <w:rPr>
          <w:color w:val="003CA0"/>
          <w:sz w:val="12"/>
        </w:rPr>
        <w:t xml:space="preserve"> | HC 109.956</w:t>
      </w:r>
      <w:r>
        <w:rPr>
          <w:color w:val="003CA0"/>
          <w:sz w:val="12"/>
        </w:rPr>
        <w:t xml:space="preserve"> | rel. Marco Aurélio</w:t>
      </w:r>
    </w:p>
    <w:p>
      <w:pPr>
        <w:ind w:left="288"/>
      </w:pPr>
      <w:r>
        <w:rPr>
          <w:color w:val="1E1E1E"/>
          <w:sz w:val="18"/>
        </w:rPr>
        <w:t>≠ HC 109.956, rel. min. Marco Aurélio, j. 7-8-2012, 1ª T, DJE de 11-9-2012 (...) competência desta Suprema Corte para julgamento do presente habeas corpus. Isso porque a competência da expulsão é exclusiva do presidente da República (Lei 6.815/1980, art. 66), com delegação desses poderes ao ministro de Estado da Justiça, a partir do Decreto 3.447/2000 (art. 1º). O fato de o presidente da República delegar ao ministro de Estado da Justiça, mediante ato administrativo por ele próprio assinado, o exercício da competência legal de expulsão de estrangeiro não implica disposição da própria competênc</w:t>
      </w:r>
    </w:p>
    <w:p>
      <w:pPr>
        <w:ind w:left="288"/>
      </w:pPr>
      <w:r>
        <w:rPr>
          <w:b/>
          <w:color w:val="003CA0"/>
          <w:sz w:val="16"/>
        </w:rPr>
        <w:t>[HC 101.528, voto do rel. min. Dias Toffoli, j. 9-12-2010, P, DJE de 22-3-2011.]</w:t>
      </w:r>
    </w:p>
    <w:p>
      <w:pPr>
        <w:ind w:left="288"/>
      </w:pPr>
      <w:r>
        <w:rPr>
          <w:color w:val="8C8C8C"/>
          <w:sz w:val="12"/>
        </w:rPr>
        <w:t>cf-art-102-inc-I-ali-h</w:t>
      </w:r>
      <w:r>
        <w:rPr>
          <w:color w:val="003CA0"/>
          <w:sz w:val="12"/>
        </w:rPr>
        <w:t xml:space="preserve"> | HC 101.269</w:t>
      </w:r>
      <w:r>
        <w:rPr>
          <w:color w:val="003CA0"/>
          <w:sz w:val="12"/>
        </w:rPr>
        <w:t xml:space="preserve"> | rel. Cármen Lúcia</w:t>
      </w:r>
    </w:p>
    <w:p>
      <w:pPr>
        <w:ind w:left="288"/>
      </w:pPr>
      <w:r>
        <w:rPr>
          <w:color w:val="1E1E1E"/>
          <w:sz w:val="18"/>
        </w:rPr>
        <w:t>Vide HC 101.269, rel. min. Cármen Lúcia, j. 3-8-2010, 1ª T, DJE de 20-8-2010 A competência do STF para julgamento de habeas corpus pressupõe ato de órgão ou autoridade submetida à respectiva jurisdição. Descabe adentrar tema não apreciado no pronunciamento atacado, correndo a concessão de ordem de ofício ao sabor de quadro a revelar ilegalidade a atingir o direito de ir e vir do cidadão.</w:t>
      </w:r>
    </w:p>
    <w:p>
      <w:pPr>
        <w:ind w:left="288"/>
      </w:pPr>
      <w:r>
        <w:rPr>
          <w:b/>
          <w:color w:val="003CA0"/>
          <w:sz w:val="16"/>
        </w:rPr>
        <w:t>[HC 97.101, rel. min. Marco Aurélio, j. 22-6-2010, 1ª T, DJE de 13-8-2010.]</w:t>
      </w:r>
    </w:p>
    <w:p>
      <w:pPr>
        <w:ind w:left="288"/>
      </w:pPr>
      <w:r>
        <w:rPr>
          <w:color w:val="8C8C8C"/>
          <w:sz w:val="12"/>
        </w:rPr>
        <w:t>cf-art-102-inc-I-ali-h</w:t>
      </w:r>
      <w:r>
        <w:rPr>
          <w:color w:val="003CA0"/>
          <w:sz w:val="12"/>
        </w:rPr>
        <w:t xml:space="preserve"> | HC 100.460</w:t>
      </w:r>
      <w:r>
        <w:rPr>
          <w:color w:val="003CA0"/>
          <w:sz w:val="12"/>
        </w:rPr>
        <w:t xml:space="preserve"> | rel. Marco Aurélio</w:t>
      </w:r>
    </w:p>
    <w:p>
      <w:pPr>
        <w:ind w:left="288"/>
      </w:pPr>
      <w:r>
        <w:rPr>
          <w:color w:val="1E1E1E"/>
          <w:sz w:val="18"/>
        </w:rPr>
        <w:t>= HC 100.460, rel. min. Marco Aurélio, j. 3-8-2010, 1ª T, DJE de 20-8-2010 A competência do STF para julgar habeas corpus é determinada constitucionalmente em razão do paciente ou da autoridade coatora (art. 102, I, i, da Constituição da República). No rol constitucionalmente afirmado não se inclui a atribuição do Supremo Tribunal para processar e julgar, originariamente, ação de habeas corpus na qual figurem como autoridades coatoras juiz federal e TRF.</w:t>
      </w:r>
    </w:p>
    <w:p>
      <w:pPr>
        <w:ind w:left="288"/>
      </w:pPr>
      <w:r>
        <w:rPr>
          <w:b/>
          <w:color w:val="003CA0"/>
          <w:sz w:val="16"/>
        </w:rPr>
        <w:t>[HC 102.304, rel. min. Cármen Lúcia, j. 25-5-2010, 1ª T, DJE de 25-5-2011.]</w:t>
      </w:r>
    </w:p>
    <w:p>
      <w:pPr>
        <w:ind w:left="288"/>
      </w:pPr>
      <w:r>
        <w:rPr>
          <w:color w:val="8C8C8C"/>
          <w:sz w:val="12"/>
        </w:rPr>
        <w:t>cf-art-102-inc-I-ali-h</w:t>
      </w:r>
      <w:r>
        <w:rPr>
          <w:color w:val="003CA0"/>
          <w:sz w:val="12"/>
        </w:rPr>
        <w:t xml:space="preserve"> | HC 119.321</w:t>
      </w:r>
      <w:r>
        <w:rPr>
          <w:color w:val="003CA0"/>
          <w:sz w:val="12"/>
        </w:rPr>
        <w:t xml:space="preserve"> | rel. Luiz Fux</w:t>
      </w:r>
    </w:p>
    <w:p>
      <w:pPr>
        <w:ind w:left="288"/>
      </w:pPr>
      <w:r>
        <w:rPr>
          <w:color w:val="1E1E1E"/>
          <w:sz w:val="18"/>
        </w:rPr>
        <w:t>= HC 119.321, rel. min. Luiz Fux, j. 11-3-2014, 1ª T, DJE de 26-3-2014 É firme a jurisprudência deste Supremo Tribunal no sentido de que a mera possibilidade de concessão de habeas corpus de ofício pelo STJ não faz dele autoridade coatora.</w:t>
      </w:r>
    </w:p>
    <w:p>
      <w:pPr>
        <w:ind w:left="288"/>
      </w:pPr>
      <w:r>
        <w:rPr>
          <w:b/>
          <w:color w:val="003CA0"/>
          <w:sz w:val="16"/>
        </w:rPr>
        <w:t>[HC 95.978 AgR, rel. min. Cármen Lúcia, j. 13-10-2009, 1ª T, DJE de 28-5-2010.]</w:t>
      </w:r>
    </w:p>
    <w:p>
      <w:pPr>
        <w:ind w:left="288"/>
      </w:pPr>
      <w:r>
        <w:rPr>
          <w:color w:val="8C8C8C"/>
          <w:sz w:val="12"/>
        </w:rPr>
        <w:t>cf-art-102-inc-I-ali-h</w:t>
      </w:r>
      <w:r>
        <w:rPr>
          <w:color w:val="003CA0"/>
          <w:sz w:val="12"/>
        </w:rPr>
        <w:t xml:space="preserve"> | HC 85.212</w:t>
      </w:r>
      <w:r>
        <w:rPr>
          <w:color w:val="003CA0"/>
          <w:sz w:val="12"/>
        </w:rPr>
        <w:t xml:space="preserve"> | rel. Marco Aurélio</w:t>
      </w:r>
    </w:p>
    <w:p>
      <w:pPr>
        <w:ind w:left="288"/>
      </w:pPr>
      <w:r>
        <w:rPr>
          <w:color w:val="1E1E1E"/>
          <w:sz w:val="18"/>
        </w:rPr>
        <w:t>Vide HC 85.212, rel. min. Marco Aurélio, j. 15-2-2005, 1ª T, DJ de 18-3-2005 Não se admite pedido de habeas corpus idêntico a outro julgado manifestamente improcedente, por decisão monocrática fundada em jurisprudência assente da Corte.</w:t>
      </w:r>
    </w:p>
    <w:p>
      <w:pPr>
        <w:ind w:left="288"/>
      </w:pPr>
      <w:r>
        <w:rPr>
          <w:b/>
          <w:color w:val="003CA0"/>
          <w:sz w:val="16"/>
        </w:rPr>
        <w:t>[HC 100.279 AgR, rel. min. Cezar Peluso, j. 6-10-2009, 2ª T, DJE de 27-11-2009.]</w:t>
      </w:r>
    </w:p>
    <w:p>
      <w:pPr>
        <w:ind w:left="288"/>
      </w:pPr>
      <w:r>
        <w:rPr>
          <w:color w:val="8C8C8C"/>
          <w:sz w:val="12"/>
        </w:rPr>
        <w:t>cf-art-102-inc-I-ali-h</w:t>
      </w:r>
      <w:r>
        <w:rPr>
          <w:color w:val="003CA0"/>
          <w:sz w:val="12"/>
        </w:rPr>
        <w:t xml:space="preserve"> | HC 94.353</w:t>
      </w:r>
      <w:r>
        <w:rPr>
          <w:color w:val="003CA0"/>
          <w:sz w:val="12"/>
        </w:rPr>
        <w:t xml:space="preserve"> | rel. Joaquim Barbosa</w:t>
      </w:r>
    </w:p>
    <w:p>
      <w:pPr>
        <w:ind w:left="288"/>
      </w:pPr>
      <w:r>
        <w:rPr>
          <w:color w:val="1E1E1E"/>
          <w:sz w:val="18"/>
        </w:rPr>
        <w:t>O fato de o habeas corpus impetrado ao TST ter sido extinto sem resolução do mérito impede o conhecimento da presente demanda, a fim de evitar supressão de instância. Por outro lado, estando em vigor o ato judicial apontado como violador da liberdade de locomoção do paciente, e tendo o Tribunal de segundo grau mantido esse ato, impõe-se ao TST o exame da matéria. Assim, como o recurso ordinário interposto à Corte Superior trabalhista não foi admitido na origem, só resta ao paciente o direito de ver apreciado o mérito do habeas corpus impetrado em seu favor ao TST.</w:t>
      </w:r>
    </w:p>
    <w:p>
      <w:pPr>
        <w:ind w:left="288"/>
      </w:pPr>
      <w:r>
        <w:rPr>
          <w:b/>
          <w:color w:val="003CA0"/>
          <w:sz w:val="16"/>
        </w:rPr>
        <w:t>[HC 94.353, rel. min. Joaquim Barbosa, j. 4-8-2009, 2ª T, DJE de 18-9-2009.]</w:t>
      </w:r>
    </w:p>
    <w:p>
      <w:pPr>
        <w:ind w:left="288"/>
      </w:pPr>
      <w:r>
        <w:rPr>
          <w:color w:val="8C8C8C"/>
          <w:sz w:val="12"/>
        </w:rPr>
        <w:t>cf-art-102-inc-I-ali-h</w:t>
      </w:r>
      <w:r>
        <w:rPr>
          <w:color w:val="003CA0"/>
          <w:sz w:val="12"/>
        </w:rPr>
        <w:t xml:space="preserve"> | HC 98.655</w:t>
      </w:r>
      <w:r>
        <w:rPr>
          <w:color w:val="003CA0"/>
          <w:sz w:val="12"/>
        </w:rPr>
        <w:t xml:space="preserve"> | rel. Cármen Lúcia</w:t>
      </w:r>
    </w:p>
    <w:p>
      <w:pPr>
        <w:ind w:left="288"/>
      </w:pPr>
      <w:r>
        <w:rPr>
          <w:color w:val="1E1E1E"/>
          <w:sz w:val="18"/>
        </w:rPr>
        <w:t>A competência do Supremo Tribunal para julgar habeas corpus é determinada constitucionalmente em razão do paciente ou da autoridade coatora (art. 102, I, i, da CF). Nesse rol constitucionalmente afirmado não se inclui a atribuição deste Supremo Tribunal para processar e julgar, originariamente, ação de habeas corpus na qual figurem como autoridades coatoras juiz de direito e tribunal de justiça estadual (...).</w:t>
      </w:r>
    </w:p>
    <w:p>
      <w:pPr>
        <w:ind w:left="288"/>
      </w:pPr>
      <w:r>
        <w:rPr>
          <w:b/>
          <w:color w:val="003CA0"/>
          <w:sz w:val="16"/>
        </w:rPr>
        <w:t>[HC 98.655 AgR, rel. min. Cármen Lúcia, j. 30-6-2009, 1ª T, DJE de 21-8-2009.]</w:t>
      </w:r>
    </w:p>
    <w:p>
      <w:pPr>
        <w:ind w:left="288"/>
      </w:pPr>
      <w:r>
        <w:rPr>
          <w:color w:val="8C8C8C"/>
          <w:sz w:val="12"/>
        </w:rPr>
        <w:t>cf-art-102-inc-I-ali-h</w:t>
      </w:r>
      <w:r>
        <w:rPr>
          <w:color w:val="003CA0"/>
          <w:sz w:val="12"/>
        </w:rPr>
        <w:t xml:space="preserve"> | AI 821.147</w:t>
      </w:r>
      <w:r>
        <w:rPr>
          <w:color w:val="003CA0"/>
          <w:sz w:val="12"/>
        </w:rPr>
        <w:t xml:space="preserve"> | rel. Ricardo Lewandowski</w:t>
      </w:r>
    </w:p>
    <w:p>
      <w:pPr>
        <w:ind w:left="288"/>
      </w:pPr>
      <w:r>
        <w:rPr>
          <w:color w:val="1E1E1E"/>
          <w:sz w:val="18"/>
        </w:rPr>
        <w:t>= AI 821.147 AgR, rel. min. Ricardo Lewandowski, j. 2-12-2010, 1ª T, DJE de 1º-2-2011 A alteração do enquadramento jurídico dos fatos pelo STJ no julgamento de recurso especial não constitui ilegalidade a ensejar a concessão da ordem de ofício.</w:t>
      </w:r>
    </w:p>
    <w:p>
      <w:pPr>
        <w:ind w:left="288"/>
      </w:pPr>
      <w:r>
        <w:rPr>
          <w:b/>
          <w:color w:val="003CA0"/>
          <w:sz w:val="16"/>
        </w:rPr>
        <w:t>[HC 92.922, red. do ac. min. Cármen Lúcia, j. 19-5-2009, 1ª T, DJE de 12-3-2010.]</w:t>
      </w:r>
    </w:p>
    <w:p>
      <w:pPr>
        <w:ind w:left="288"/>
      </w:pPr>
      <w:r>
        <w:rPr>
          <w:color w:val="8C8C8C"/>
          <w:sz w:val="12"/>
        </w:rPr>
        <w:t>cf-art-102-inc-I-ali-h</w:t>
      </w:r>
      <w:r>
        <w:rPr>
          <w:color w:val="003CA0"/>
          <w:sz w:val="12"/>
        </w:rPr>
        <w:t xml:space="preserve"> | HC 96.471</w:t>
      </w:r>
      <w:r>
        <w:rPr>
          <w:color w:val="003CA0"/>
          <w:sz w:val="12"/>
        </w:rPr>
        <w:t xml:space="preserve"> | rel. Ellen Gracie</w:t>
      </w:r>
    </w:p>
    <w:p>
      <w:pPr>
        <w:ind w:left="288"/>
      </w:pPr>
      <w:r>
        <w:rPr>
          <w:color w:val="1E1E1E"/>
          <w:sz w:val="18"/>
        </w:rPr>
        <w:t>A tese jurídica apresentada neste habeas corpus diz respeito a possível constrangimento ilegal praticado pelo STJ na decisão que negou seguimento ao agravo de instrumento interposto pelo Ministério Público do Estado do Rio Grande do Sul contra decisão da Corte estadual que negou seguimento a recurso especial (...). Inicialmente verifico que, no caso em tela, há obstáculo ao conhecimento do presente habeas corpus, pois não houve esgotamento da jurisdição do STJ, eis que o ato impugnado é mera decisão monocrática, e não julgamento colegiado do STJ. Não há notícia acerca da interposição de agravo</w:t>
      </w:r>
    </w:p>
    <w:p>
      <w:pPr>
        <w:ind w:left="288"/>
      </w:pPr>
      <w:r>
        <w:rPr>
          <w:b/>
          <w:color w:val="003CA0"/>
          <w:sz w:val="16"/>
        </w:rPr>
        <w:t>[HC 96.471, rel. min. Ellen Gracie, j. 10-3-2009, 2ª T, DJE de 3-4-2009.]</w:t>
      </w:r>
    </w:p>
    <w:p>
      <w:pPr>
        <w:ind w:left="288"/>
      </w:pPr>
      <w:r>
        <w:rPr>
          <w:color w:val="8C8C8C"/>
          <w:sz w:val="12"/>
        </w:rPr>
        <w:t>cf-art-102-inc-I-ali-h</w:t>
      </w:r>
      <w:r>
        <w:rPr>
          <w:color w:val="003CA0"/>
          <w:sz w:val="12"/>
        </w:rPr>
        <w:t xml:space="preserve"> | HC 121.379</w:t>
      </w:r>
      <w:r>
        <w:rPr>
          <w:color w:val="003CA0"/>
          <w:sz w:val="12"/>
        </w:rPr>
        <w:t xml:space="preserve"> | rel. Luiz Fux</w:t>
      </w:r>
    </w:p>
    <w:p>
      <w:pPr>
        <w:ind w:left="288"/>
      </w:pPr>
      <w:r>
        <w:rPr>
          <w:color w:val="1E1E1E"/>
          <w:sz w:val="18"/>
        </w:rPr>
        <w:t>= HC 121.379, rel. min. Luiz Fux, j. 3-6-2014, 1ª T, DJE de 1º-7-2014 Aplicação analógica da Súmula 606. Precedentes. (...) Não cabe pedido de habeas corpus originário para o Tribunal Pleno, contra ato de ministro ou outro órgão fracionário da Corte.</w:t>
      </w:r>
    </w:p>
    <w:p>
      <w:pPr>
        <w:ind w:left="288"/>
      </w:pPr>
      <w:r>
        <w:rPr>
          <w:b/>
          <w:color w:val="003CA0"/>
          <w:sz w:val="16"/>
        </w:rPr>
        <w:t>[HC 86.548, rel. min. Cezar Peluso, j. 16-10-2008, P, DJE de 19-12-2008.]</w:t>
      </w:r>
    </w:p>
    <w:p>
      <w:pPr>
        <w:ind w:left="288"/>
      </w:pPr>
      <w:r>
        <w:rPr>
          <w:color w:val="8C8C8C"/>
          <w:sz w:val="12"/>
        </w:rPr>
        <w:t>cf-art-102-inc-I-ali-h</w:t>
      </w:r>
      <w:r>
        <w:rPr>
          <w:color w:val="003CA0"/>
          <w:sz w:val="12"/>
        </w:rPr>
        <w:t xml:space="preserve"> | HC 103.193</w:t>
      </w:r>
      <w:r>
        <w:rPr>
          <w:color w:val="003CA0"/>
          <w:sz w:val="12"/>
        </w:rPr>
        <w:t xml:space="preserve"> | rel. Ayres Britto</w:t>
      </w:r>
    </w:p>
    <w:p>
      <w:pPr>
        <w:ind w:left="288"/>
      </w:pPr>
      <w:r>
        <w:rPr>
          <w:color w:val="1E1E1E"/>
          <w:sz w:val="18"/>
        </w:rPr>
        <w:t>= HC 103.193 AgR, rel. min. Ayres Britto, j. 2-3-2011, P, DJE de 11-4-2011 Vide HC 91.352, rel. min. Menezes Direito, j. 28-2-2008, P, DJE de 18-4-2008 Vide HC 84.444 AgR, rel. min. Celso de Mello, j. 9-8-2007, P, DJ de 14-9-2007 Vide HC 80.082 QO, rel. min. Sepúlveda Pertence, j. 16-8-2001, P, DJ de 1º-8-2003 Não cabe habeas corpus quando inexiste ato consubstanciador de constrangimento ilegal imputável a relator de inquérito nesta Corte.</w:t>
      </w:r>
    </w:p>
    <w:p>
      <w:pPr>
        <w:ind w:left="288"/>
      </w:pPr>
      <w:r>
        <w:rPr>
          <w:b/>
          <w:color w:val="003CA0"/>
          <w:sz w:val="16"/>
        </w:rPr>
        <w:t>[HC 93.846, rel. min. Eros Grau, j. 15-5-2008, P, DJE de 29-8-2008.]</w:t>
      </w:r>
    </w:p>
    <w:p>
      <w:pPr>
        <w:ind w:left="288"/>
      </w:pPr>
      <w:r>
        <w:rPr>
          <w:color w:val="8C8C8C"/>
          <w:sz w:val="12"/>
        </w:rPr>
        <w:t>cf-art-102-inc-I-ali-h</w:t>
      </w:r>
      <w:r>
        <w:rPr>
          <w:color w:val="003CA0"/>
          <w:sz w:val="12"/>
        </w:rPr>
        <w:t xml:space="preserve"> | HC 92.664</w:t>
      </w:r>
      <w:r>
        <w:rPr>
          <w:color w:val="003CA0"/>
          <w:sz w:val="12"/>
        </w:rPr>
        <w:t xml:space="preserve"> | rel. Cezar Peluso</w:t>
      </w:r>
    </w:p>
    <w:p>
      <w:pPr>
        <w:ind w:left="288"/>
      </w:pPr>
      <w:r>
        <w:rPr>
          <w:color w:val="1E1E1E"/>
          <w:sz w:val="18"/>
        </w:rPr>
        <w:t>Não se conhece de pedido de habeas corpus que, tendente a anular o processo e cassar prisão preventiva, em extradição, se fundamenta em alegações e teses não submetidas antes ao relator do mesmo processo.</w:t>
      </w:r>
    </w:p>
    <w:p>
      <w:pPr>
        <w:ind w:left="288"/>
      </w:pPr>
      <w:r>
        <w:rPr>
          <w:b/>
          <w:color w:val="003CA0"/>
          <w:sz w:val="16"/>
        </w:rPr>
        <w:t>[HC 92.664 AgR, rel. min. Cezar Peluso, j. 13-12-2007, P, DJE de 15-2-2008.]</w:t>
      </w:r>
    </w:p>
    <w:p>
      <w:pPr>
        <w:ind w:left="288"/>
      </w:pPr>
      <w:r>
        <w:rPr>
          <w:color w:val="8C8C8C"/>
          <w:sz w:val="12"/>
        </w:rPr>
        <w:t>cf-art-102-inc-I-ali-h</w:t>
      </w:r>
      <w:r>
        <w:rPr>
          <w:color w:val="003CA0"/>
          <w:sz w:val="12"/>
        </w:rPr>
        <w:t xml:space="preserve"> | HC 100.397</w:t>
      </w:r>
      <w:r>
        <w:rPr>
          <w:color w:val="003CA0"/>
          <w:sz w:val="12"/>
        </w:rPr>
        <w:t xml:space="preserve"> | rel. Cármen Lúcia</w:t>
      </w:r>
    </w:p>
    <w:p>
      <w:pPr>
        <w:ind w:left="288"/>
      </w:pPr>
      <w:r>
        <w:rPr>
          <w:color w:val="1E1E1E"/>
          <w:sz w:val="18"/>
        </w:rPr>
        <w:t>= HC 100.397, rel. p/ o ac. min. Cármen Lúcia, j. 1º-10-2009, P, DJE de 1º-7-2010 Vide HC 86.548, rel. min. Cezar Peluso, j. 16-10-2008, P, DJE de 19-12-2008 A jurisprudência prevalecente no STF reconhece possível, no entanto, a impetração de habeas corpus, quando deduzida em face de decisões monocráticas proferidas pelo relator da causa. Precedentes.</w:t>
      </w:r>
    </w:p>
    <w:p>
      <w:pPr>
        <w:ind w:left="288"/>
      </w:pPr>
      <w:r>
        <w:rPr>
          <w:b/>
          <w:color w:val="003CA0"/>
          <w:sz w:val="16"/>
        </w:rPr>
        <w:t>[HC 84.444 AgR, rel. min. Celso de Mello, j. 9-8-2007, P, DJ de 14-9-2007.]</w:t>
      </w:r>
    </w:p>
    <w:p>
      <w:pPr>
        <w:ind w:left="288"/>
      </w:pPr>
      <w:r>
        <w:rPr>
          <w:color w:val="8C8C8C"/>
          <w:sz w:val="12"/>
        </w:rPr>
        <w:t>cf-art-102-inc-I-ali-h</w:t>
      </w:r>
      <w:r>
        <w:rPr>
          <w:color w:val="003CA0"/>
          <w:sz w:val="12"/>
        </w:rPr>
        <w:t xml:space="preserve"> | HC 97.229</w:t>
      </w:r>
      <w:r>
        <w:rPr>
          <w:color w:val="003CA0"/>
          <w:sz w:val="12"/>
        </w:rPr>
        <w:t xml:space="preserve"> | rel. Cezar Peluso</w:t>
      </w:r>
    </w:p>
    <w:p>
      <w:pPr>
        <w:ind w:left="288"/>
      </w:pPr>
      <w:r>
        <w:rPr>
          <w:color w:val="1E1E1E"/>
          <w:sz w:val="18"/>
        </w:rPr>
        <w:t>= HC 97.229 AgR, rel. min. Cezar Peluso, j. 19-2-2009, P, DJE de 8-5-2009 Habeas corpus. Tribunal de justiça. Supressão de instância (...). Embora não seja da competência desta Corte o conhecimento de habeas corpus impetrado contra a autoridade apontada como coatora, a gravidade e a urgência da situação, trazida ao STF às vésperas do recesso judiciário, autorizam o conhecimento, de ofício, do constrangimento alegado.</w:t>
      </w:r>
    </w:p>
    <w:p>
      <w:pPr>
        <w:ind w:left="288"/>
      </w:pPr>
      <w:r>
        <w:rPr>
          <w:b/>
          <w:color w:val="003CA0"/>
          <w:sz w:val="16"/>
        </w:rPr>
        <w:t>[HC 90.306, rel. min. Joaquim Barbosa, j. 20-3-2007, 2ª T, DJ de 8-6-2007.]</w:t>
      </w:r>
    </w:p>
    <w:p>
      <w:pPr>
        <w:ind w:left="288"/>
      </w:pPr>
      <w:r>
        <w:rPr>
          <w:color w:val="8C8C8C"/>
          <w:sz w:val="12"/>
        </w:rPr>
        <w:t>cf-art-102-inc-I-ali-h</w:t>
      </w:r>
      <w:r>
        <w:rPr>
          <w:color w:val="003CA0"/>
          <w:sz w:val="12"/>
        </w:rPr>
        <w:t xml:space="preserve"> | HC 86.834</w:t>
      </w:r>
      <w:r>
        <w:rPr>
          <w:color w:val="003CA0"/>
          <w:sz w:val="12"/>
        </w:rPr>
        <w:t xml:space="preserve"> | rel. Marco Aurélio</w:t>
      </w:r>
    </w:p>
    <w:p>
      <w:pPr>
        <w:ind w:left="288"/>
      </w:pPr>
      <w:r>
        <w:rPr>
          <w:color w:val="1E1E1E"/>
          <w:sz w:val="18"/>
        </w:rPr>
        <w:t>Competência. Habeas corpus. Definição. A competência para o julgamento do habeas corpus é definida pelos envolvidos – paciente e impetrante. Competência. Habeas corpus. Ato de turma recursal. Estando os integrantes das turmas recursais dos juizados especiais submetidos, nos crimes comuns e nos de responsabilidade, à jurisdição do tribunal de justiça ou do TRF, incumbe a cada qual, conforme o caso, julgar os habeas impetrados contra ato que tenham praticado. Competência. Habeas corpus. Liminar. Uma vez ocorrida a declinação da competência, cumpre preservar o quadro decisório decorrente do defer</w:t>
      </w:r>
    </w:p>
    <w:p>
      <w:pPr>
        <w:ind w:left="288"/>
      </w:pPr>
      <w:r>
        <w:rPr>
          <w:b/>
          <w:color w:val="003CA0"/>
          <w:sz w:val="16"/>
        </w:rPr>
        <w:t>[HC 86.834, rel. min. Marco Aurélio, j. 23-8-2006, P, DJ de 9-3-2007.]</w:t>
      </w:r>
    </w:p>
    <w:p>
      <w:pPr>
        <w:ind w:left="288"/>
      </w:pPr>
      <w:r>
        <w:rPr>
          <w:color w:val="8C8C8C"/>
          <w:sz w:val="12"/>
        </w:rPr>
        <w:t>cf-art-102-inc-I-ali-h</w:t>
      </w:r>
      <w:r>
        <w:rPr>
          <w:color w:val="003CA0"/>
          <w:sz w:val="12"/>
        </w:rPr>
        <w:t xml:space="preserve"> | HC 85.240</w:t>
      </w:r>
      <w:r>
        <w:rPr>
          <w:color w:val="003CA0"/>
          <w:sz w:val="12"/>
        </w:rPr>
        <w:t xml:space="preserve"> | rel. Ayres Britto</w:t>
      </w:r>
    </w:p>
    <w:p>
      <w:pPr>
        <w:ind w:left="288"/>
      </w:pPr>
      <w:r>
        <w:rPr>
          <w:color w:val="1E1E1E"/>
          <w:sz w:val="18"/>
        </w:rPr>
        <w:t>= HC 85.240, rel. min. Ayres Britto, j. 14-2-2008, P, DJE de 19-9-2008 Habeas corpus. Impetração contra decisão de ministro relator do STJ. Indeferimento de liminar em habeas corpus. Rejeição de proposta de cancelamento da Súmula 691 do Supremo. Conhecimento admitido no caso, com atenuação do alcance do enunciado da súmula. O enunciado da Súmula 691 do Supremo não o impede de, tal seja a hipótese, conhecer de habeas corpus contra decisão do relator que, em habeas corpus requerido ao STJ, indefere liminar.</w:t>
      </w:r>
    </w:p>
    <w:p>
      <w:pPr>
        <w:ind w:left="288"/>
      </w:pPr>
      <w:r>
        <w:rPr>
          <w:b/>
          <w:color w:val="003CA0"/>
          <w:sz w:val="16"/>
        </w:rPr>
        <w:t>[HC 85.185, rel. min. Cezar Peluso, j. 10-8-2005, P, DJ de 1º-9-2006.]</w:t>
      </w:r>
    </w:p>
    <w:p>
      <w:pPr>
        <w:ind w:left="288"/>
      </w:pPr>
      <w:r>
        <w:rPr>
          <w:color w:val="8C8C8C"/>
          <w:sz w:val="12"/>
        </w:rPr>
        <w:t>cf-art-102-inc-I-ali-h</w:t>
      </w:r>
      <w:r>
        <w:rPr>
          <w:color w:val="003CA0"/>
          <w:sz w:val="12"/>
        </w:rPr>
        <w:t xml:space="preserve"> | HC 85.212</w:t>
      </w:r>
      <w:r>
        <w:rPr>
          <w:color w:val="003CA0"/>
          <w:sz w:val="12"/>
        </w:rPr>
        <w:t xml:space="preserve"> | rel. Marco Aurélio</w:t>
      </w:r>
    </w:p>
    <w:p>
      <w:pPr>
        <w:ind w:left="288"/>
      </w:pPr>
      <w:r>
        <w:rPr>
          <w:color w:val="1E1E1E"/>
          <w:sz w:val="18"/>
        </w:rPr>
        <w:t>A competência do STF para julgar habeas corpus, considerado ato do STJ, pressupõe adoção de entendimento por este último, excepcionado o caso de concessão de ofício.</w:t>
      </w:r>
    </w:p>
    <w:p>
      <w:pPr>
        <w:ind w:left="288"/>
      </w:pPr>
      <w:r>
        <w:rPr>
          <w:b/>
          <w:color w:val="003CA0"/>
          <w:sz w:val="16"/>
        </w:rPr>
        <w:t>[HC 85.212, rel. min. Marco Aurélio, j. 15-2-2005, 1ª T, DJ de 18-3-2005.]</w:t>
      </w:r>
    </w:p>
    <w:p>
      <w:pPr>
        <w:ind w:left="288"/>
      </w:pPr>
      <w:r>
        <w:rPr>
          <w:color w:val="8C8C8C"/>
          <w:sz w:val="12"/>
        </w:rPr>
        <w:t>cf-art-102-inc-I-ali-h</w:t>
      </w:r>
      <w:r>
        <w:rPr>
          <w:color w:val="003CA0"/>
          <w:sz w:val="12"/>
        </w:rPr>
        <w:t xml:space="preserve"> | HC 99.212</w:t>
      </w:r>
      <w:r>
        <w:rPr>
          <w:color w:val="003CA0"/>
          <w:sz w:val="12"/>
        </w:rPr>
        <w:t xml:space="preserve"> | rel. Cezar Peluso</w:t>
      </w:r>
    </w:p>
    <w:p>
      <w:pPr>
        <w:ind w:left="288"/>
      </w:pPr>
      <w:r>
        <w:rPr>
          <w:color w:val="1E1E1E"/>
          <w:sz w:val="18"/>
        </w:rPr>
        <w:t>= HC 99.212 AgR, rel. min. Cezar Peluso, j. 25-8-2009, 2ª T, DJE de 16-10-2009 Compete ao STF processar e julgar, originariamente, pedido de habeas corpus, quando impetrado contra o ministro da Justiça, se o writ tiver por objetivo impedir a instauração de processo extradicional contra súdito estrangeiro. É que, em tal hipótese, a eventual concessão da ordem de habeas corpus poderá restringir (ou obstar) o exercício, pelo STF, dos poderes que lhe foram outorgados, com exclusividade, em sede de extradição passiva, pela Carta Política (CF, art. 102, I, g). Consequente inaplicabilidade, à espécie</w:t>
      </w:r>
    </w:p>
    <w:p>
      <w:pPr>
        <w:ind w:left="288"/>
      </w:pPr>
      <w:r>
        <w:rPr>
          <w:b/>
          <w:color w:val="003CA0"/>
          <w:sz w:val="16"/>
        </w:rPr>
        <w:t>[HC 83.113 QO, rel. min. Celso de Mello, j. 26-6-2003, P, DJ de 29-8-2003.]</w:t>
      </w:r>
    </w:p>
    <w:p>
      <w:pPr>
        <w:ind w:left="288"/>
      </w:pPr>
      <w:r>
        <w:rPr>
          <w:color w:val="8C8C8C"/>
          <w:sz w:val="12"/>
        </w:rPr>
        <w:t>cf-art-102-inc-I-ali-h</w:t>
      </w:r>
      <w:r>
        <w:rPr>
          <w:color w:val="003CA0"/>
          <w:sz w:val="12"/>
        </w:rPr>
        <w:t xml:space="preserve"> | HC 80.082</w:t>
      </w:r>
      <w:r>
        <w:rPr>
          <w:color w:val="003CA0"/>
          <w:sz w:val="12"/>
        </w:rPr>
        <w:t xml:space="preserve"> | rel. Sepúlveda Pertence</w:t>
      </w:r>
    </w:p>
    <w:p>
      <w:pPr>
        <w:ind w:left="288"/>
      </w:pPr>
      <w:r>
        <w:rPr>
          <w:color w:val="1E1E1E"/>
          <w:sz w:val="18"/>
        </w:rPr>
        <w:t>Habeas corpus: cabimento contra decisões colegiadas do próprio STF, restrito àquelas relacionadas a crimes de sua competência originária: inteligência conjugada das alíneas d, parte final, e i, parte final, do art. 102, I, da Constituição: análise e reafirmação da jurisprudência do STF, já enunciada na Súmula 606, que se mantém sob o regime constitucional vigente.</w:t>
      </w:r>
    </w:p>
    <w:p>
      <w:pPr>
        <w:ind w:left="288"/>
      </w:pPr>
      <w:r>
        <w:rPr>
          <w:b/>
          <w:color w:val="003CA0"/>
          <w:sz w:val="16"/>
        </w:rPr>
        <w:t>[HC 80.082 QO, rel. min. Sepúlveda Pertence, j. 16-8-2001, P, DJ de 1º-8-2003.]</w:t>
      </w:r>
    </w:p>
    <w:p>
      <w:pPr>
        <w:ind w:left="288"/>
      </w:pPr>
      <w:r>
        <w:rPr>
          <w:color w:val="8C8C8C"/>
          <w:sz w:val="12"/>
        </w:rPr>
        <w:t>cf-art-102-inc-I-ali-h</w:t>
      </w:r>
      <w:r>
        <w:rPr>
          <w:color w:val="003CA0"/>
          <w:sz w:val="12"/>
        </w:rPr>
        <w:t xml:space="preserve"> | HC 89.672</w:t>
      </w:r>
      <w:r>
        <w:rPr>
          <w:color w:val="003CA0"/>
          <w:sz w:val="12"/>
        </w:rPr>
        <w:t xml:space="preserve"> | rel. Ayres Britto</w:t>
      </w:r>
    </w:p>
    <w:p>
      <w:pPr>
        <w:ind w:left="288"/>
      </w:pPr>
      <w:r>
        <w:rPr>
          <w:color w:val="1E1E1E"/>
          <w:sz w:val="18"/>
        </w:rPr>
        <w:t>= HC 89.672 AgR, rel. min. Ayres Britto, j. 27-6-2007, P, DJ de 26-10-2007 Habeas corpus: cabimento, em caráter preventivo, contra ameaça de constrangimento a liberdade de locomoção, materializada na intimação do paciente para depor em CPI, que contém em si a possibilidade de condução coercitiva da testemunha que se recuse a comparecer, como, no caso, se pretende ser direito seu. STF: competência originária: habeas corpus contra ameaça imputada a senador ou deputado federal (CF, art. 102, I, i e c), incluída a que decorra de ato praticado pelo congressista na qualidade de presidente de CPI.</w:t>
      </w:r>
    </w:p>
    <w:p>
      <w:pPr>
        <w:ind w:left="288"/>
      </w:pPr>
      <w:r>
        <w:rPr>
          <w:b/>
          <w:color w:val="003CA0"/>
          <w:sz w:val="16"/>
        </w:rPr>
        <w:t>[HC 71.261, rel. min. Sepúlveda Pertence, j. 11-5-1994, P, DJ de 24-6-1994.]</w:t>
      </w:r>
    </w:p>
    <w:p>
      <w:pPr>
        <w:ind w:left="288"/>
      </w:pPr>
      <w:r>
        <w:rPr>
          <w:color w:val="8C8C8C"/>
          <w:sz w:val="12"/>
        </w:rPr>
        <w:t>cf-art-102-inc-I-ali-h</w:t>
      </w:r>
      <w:r>
        <w:rPr>
          <w:color w:val="003CA0"/>
          <w:sz w:val="12"/>
        </w:rPr>
        <w:t xml:space="preserve"> | MS 1.959</w:t>
      </w:r>
      <w:r>
        <w:rPr>
          <w:color w:val="003CA0"/>
          <w:sz w:val="12"/>
        </w:rPr>
        <w:t xml:space="preserve"> | rel. Paulo Brossard</w:t>
      </w:r>
    </w:p>
    <w:p>
      <w:pPr>
        <w:ind w:left="288"/>
      </w:pPr>
      <w:r>
        <w:rPr>
          <w:color w:val="1E1E1E"/>
          <w:sz w:val="18"/>
        </w:rPr>
        <w:t>Ao Supremo Federal compete exercer, originariamente, o controle jurisdicional sobre atos de CPI que envolvam ilegalidade ou ofensa a direito individual, dado que a ele compete processar e julgar habeas corpus e mandado de segurança contra atos das Mesas da Câmara dos Deputados e do Senado Federal, art. 102, I, i, da CF, e a CPI procede como se fora a Câmara dos Deputados ou o Senado Federal ou o Congresso Nacional. Construção constitucional consagrada, MS 1.959, de 1953, e HC 92.678, de 1953.</w:t>
      </w:r>
    </w:p>
    <w:p>
      <w:pPr>
        <w:ind w:left="288"/>
      </w:pPr>
      <w:r>
        <w:rPr>
          <w:b/>
          <w:color w:val="003CA0"/>
          <w:sz w:val="16"/>
        </w:rPr>
        <w:t>[HC 71.039, rel. min. Paulo Brossard, j. 7-4-1994, P, DJ de 6-12-1996.]</w:t>
      </w:r>
    </w:p>
    <w:p>
      <w:pPr>
        <w:ind w:left="144"/>
      </w:pPr>
      <w:r>
        <w:rPr>
          <w:b/>
          <w:color w:val="B45A00"/>
          <w:sz w:val="16"/>
        </w:rPr>
        <w:t>SUMULA</w:t>
      </w:r>
    </w:p>
    <w:p>
      <w:pPr>
        <w:ind w:left="288"/>
      </w:pPr>
      <w:r>
        <w:rPr>
          <w:color w:val="8C8C8C"/>
          <w:sz w:val="12"/>
        </w:rPr>
        <w:t>cf-art-102-inc-I-ali-j</w:t>
      </w:r>
    </w:p>
    <w:p>
      <w:pPr>
        <w:ind w:left="288"/>
      </w:pPr>
      <w:r>
        <w:rPr>
          <w:color w:val="1E1E1E"/>
          <w:sz w:val="18"/>
        </w:rPr>
        <w:t>Admite-se ação rescisória contra sentença transitada em julgado, ainda que contra ela não se tenham esgotado todos os recursos.</w:t>
        <w:br/>
        <w:t>[Súmula 514.] A competência para a ação rescisória não é do STF, quando a questão federal, apreciada no recurso extraordinário ou no agravo de instrumento, seja diversa da que foi suscitada no pedido rescisório.</w:t>
      </w:r>
    </w:p>
    <w:p>
      <w:pPr>
        <w:ind w:left="288"/>
      </w:pPr>
      <w:r>
        <w:rPr>
          <w:b/>
          <w:color w:val="003CA0"/>
          <w:sz w:val="16"/>
        </w:rPr>
        <w:t>[Súmula 515.]</w:t>
      </w:r>
    </w:p>
    <w:p>
      <w:pPr>
        <w:ind w:left="288"/>
      </w:pPr>
      <w:r>
        <w:rPr>
          <w:color w:val="8C8C8C"/>
          <w:sz w:val="12"/>
        </w:rPr>
        <w:t>cf-art-102-inc-I-ali-j</w:t>
      </w:r>
    </w:p>
    <w:p>
      <w:pPr>
        <w:ind w:left="288"/>
      </w:pPr>
      <w:r>
        <w:rPr>
          <w:color w:val="1E1E1E"/>
          <w:sz w:val="18"/>
        </w:rPr>
        <w:t>Não cabe ação rescisória por ofensa a literal disposição de lei, quando a decisão rescindenda se tiver baseado em texto legal de interpretação controvertida nos tribunais.</w:t>
      </w:r>
    </w:p>
    <w:p>
      <w:pPr>
        <w:ind w:left="288"/>
      </w:pPr>
      <w:r>
        <w:rPr>
          <w:b/>
          <w:color w:val="003CA0"/>
          <w:sz w:val="16"/>
        </w:rPr>
        <w:t>[Súmula 343.]</w:t>
      </w:r>
    </w:p>
    <w:p>
      <w:pPr>
        <w:ind w:left="288"/>
      </w:pPr>
      <w:r>
        <w:rPr>
          <w:color w:val="8C8C8C"/>
          <w:sz w:val="12"/>
        </w:rPr>
        <w:t>cf-art-102-inc-I-ali-j</w:t>
      </w:r>
    </w:p>
    <w:p>
      <w:pPr>
        <w:ind w:left="288"/>
      </w:pPr>
      <w:r>
        <w:rPr>
          <w:color w:val="1E1E1E"/>
          <w:sz w:val="18"/>
        </w:rPr>
        <w:t>É competente o STF para a ação rescisória, quando, embora não tendo conhecido do recurso extraordinário, ou havendo negado provimento ao agravo, tiver apreciado a questão federal controvertida.</w:t>
      </w:r>
    </w:p>
    <w:p>
      <w:pPr>
        <w:ind w:left="288"/>
      </w:pPr>
      <w:r>
        <w:rPr>
          <w:b/>
          <w:color w:val="003CA0"/>
          <w:sz w:val="16"/>
        </w:rPr>
        <w:t>[Súmula 249.]</w:t>
      </w:r>
    </w:p>
    <w:p>
      <w:pPr>
        <w:ind w:left="144"/>
      </w:pPr>
      <w:r>
        <w:rPr>
          <w:b/>
          <w:color w:val="B45A00"/>
          <w:sz w:val="16"/>
        </w:rPr>
        <w:t>REPERCUSSAO GERAL</w:t>
      </w:r>
    </w:p>
    <w:p>
      <w:pPr>
        <w:ind w:left="288"/>
      </w:pPr>
      <w:r>
        <w:rPr>
          <w:color w:val="8C8C8C"/>
          <w:sz w:val="12"/>
        </w:rPr>
        <w:t>cf-art-102-inc-I-ali-j</w:t>
      </w:r>
      <w:r>
        <w:rPr>
          <w:color w:val="003CA0"/>
          <w:sz w:val="12"/>
        </w:rPr>
        <w:t xml:space="preserve"> | RE 574.706</w:t>
      </w:r>
      <w:r>
        <w:rPr>
          <w:color w:val="003CA0"/>
          <w:sz w:val="12"/>
        </w:rPr>
        <w:t xml:space="preserve"> | rel. Luís Roberto Barroso</w:t>
      </w:r>
    </w:p>
    <w:p>
      <w:pPr>
        <w:ind w:left="288"/>
      </w:pPr>
      <w:r>
        <w:rPr>
          <w:color w:val="1E1E1E"/>
          <w:sz w:val="18"/>
        </w:rPr>
        <w:t>“Cabe ação rescisória para adequação de julgado à modulação temporal dos efeitos da tese de repercussão geral fixada no julgamento do RE 574.706 (Tema 69/RG)”.</w:t>
        <w:br/>
        <w:t>[RE 1.489.562 RG, rel. min. Luís Roberto Barroso, j. 18.10.2024, P, DJE de 23.10.2024, Tema 1.338, com mérito julgado.]</w:t>
        <w:br/>
        <w:t xml:space="preserve">Vide RE 574.706, rel. min. Cármen Lúcia, j. 15.03.2017, P, DJE de 02.10.2017, Tema 69, com mérito julgado A jurisprudência do STF tem admitido o cabimento de ação rescisória contra julgados em contrariedade com posterior modulação dos efeitos de tese de repercussão geral em oposição à tese de que haveria incidência da </w:t>
      </w:r>
    </w:p>
    <w:p>
      <w:pPr>
        <w:ind w:left="288"/>
      </w:pPr>
      <w:r>
        <w:rPr>
          <w:b/>
          <w:color w:val="003CA0"/>
          <w:sz w:val="16"/>
        </w:rPr>
        <w:t>[AR 3.096 TP-REF, rel. min. Gilmar Mendes, j. 07.05.2025, P, DJE de 12.06.2025.]</w:t>
      </w:r>
    </w:p>
    <w:p>
      <w:pPr>
        <w:ind w:left="288"/>
      </w:pPr>
      <w:r>
        <w:rPr>
          <w:color w:val="8C8C8C"/>
          <w:sz w:val="12"/>
        </w:rPr>
        <w:t>cf-art-102-inc-I-ali-j</w:t>
      </w:r>
      <w:r>
        <w:rPr>
          <w:color w:val="003CA0"/>
          <w:sz w:val="12"/>
        </w:rPr>
        <w:t xml:space="preserve"> | AR 2.876</w:t>
      </w:r>
      <w:r>
        <w:rPr>
          <w:color w:val="003CA0"/>
          <w:sz w:val="12"/>
        </w:rPr>
        <w:t xml:space="preserve"> | rel. Gilmar Mendes</w:t>
      </w:r>
    </w:p>
    <w:p>
      <w:pPr>
        <w:ind w:left="288"/>
      </w:pPr>
      <w:r>
        <w:rPr>
          <w:color w:val="1E1E1E"/>
          <w:sz w:val="18"/>
        </w:rPr>
        <w:t>“O § 15 do art. 525 e o § 8º do art. 535 do Código de Processo Civil devem ser interpretados conforme à Constituição, com efeitos ex nunc, no seguinte sentido, com a declaração incidental de inconstitucionalidade do § 14 do art. 525 e do § 7º do art. 535: 1. Em cada caso, o Supremo Tribunal Federal poderá definir os efeitos temporais de seus precedentes vinculantes e sua repercussão sobre a coisa julgada, estabelecendo inclusive a extensão da retroação para fins da ação rescisória ou mesmo o seu não cabimento diante do grave risco de lesão à segurança jurídica ou ao interesse social. 2. Na aus</w:t>
      </w:r>
    </w:p>
    <w:p>
      <w:pPr>
        <w:ind w:left="288"/>
      </w:pPr>
      <w:r>
        <w:rPr>
          <w:b/>
          <w:color w:val="003CA0"/>
          <w:sz w:val="16"/>
        </w:rPr>
        <w:t>[AR 2.876 QO, rel. min. Gilmar Mendes, j. 23.04.2025, P, Informativo STF 1.177.]</w:t>
      </w:r>
    </w:p>
    <w:p>
      <w:pPr>
        <w:ind w:left="144"/>
      </w:pPr>
      <w:r>
        <w:rPr>
          <w:b/>
          <w:color w:val="B45A00"/>
          <w:sz w:val="16"/>
        </w:rPr>
        <w:t>JULGADOS CORRELATOS</w:t>
      </w:r>
    </w:p>
    <w:p>
      <w:pPr>
        <w:ind w:left="288"/>
      </w:pPr>
      <w:r>
        <w:rPr>
          <w:color w:val="8C8C8C"/>
          <w:sz w:val="12"/>
        </w:rPr>
        <w:t>cf-art-102-inc-I-ali-j</w:t>
      </w:r>
      <w:r>
        <w:rPr>
          <w:color w:val="003CA0"/>
          <w:sz w:val="12"/>
        </w:rPr>
        <w:t xml:space="preserve"> | AR 2.921</w:t>
      </w:r>
      <w:r>
        <w:rPr>
          <w:color w:val="003CA0"/>
          <w:sz w:val="12"/>
        </w:rPr>
        <w:t xml:space="preserve"> | rel. Alexandre de Moraes</w:t>
      </w:r>
    </w:p>
    <w:p>
      <w:pPr>
        <w:ind w:left="288"/>
      </w:pPr>
      <w:r>
        <w:rPr>
          <w:color w:val="1E1E1E"/>
          <w:sz w:val="18"/>
        </w:rPr>
        <w:t>Ação rescisória em face de decisão proferida em extradição. Cabimento (102, I, “j”, da CF).</w:t>
        <w:br/>
        <w:t>[AR 2.921, rel. min. Alexandre de Moraes, red. do ac. min. Nunes Marques, j. 30-3-2023, P, DJE de 7-6-2023.] O erro de fato que autoriza a ação rescisória é aquele que se verifica quando a decisão leva em consideração fato inexistente nos autos ou desconsidera fato inconteste. Ou seja, o erro de fato ocorre quando existem nos autos elementos que são, por si só, capazes de modificar o resultado do julgamento, mas que não foram considerados, ou quando se leva em consideração fato não constante do processo</w:t>
      </w:r>
    </w:p>
    <w:p>
      <w:pPr>
        <w:ind w:left="288"/>
      </w:pPr>
      <w:r>
        <w:rPr>
          <w:b/>
          <w:color w:val="003CA0"/>
          <w:sz w:val="16"/>
        </w:rPr>
        <w:t>[AR 2.503 AgR, rel. min. Rosa Weber, j. 8-9-2021, P, DJE de 14-9-2021.]</w:t>
      </w:r>
    </w:p>
    <w:p>
      <w:pPr>
        <w:ind w:left="288"/>
      </w:pPr>
      <w:r>
        <w:rPr>
          <w:color w:val="8C8C8C"/>
          <w:sz w:val="12"/>
        </w:rPr>
        <w:t>cf-art-102-inc-I-ali-j</w:t>
      </w:r>
      <w:r>
        <w:rPr>
          <w:color w:val="003CA0"/>
          <w:sz w:val="12"/>
        </w:rPr>
        <w:t xml:space="preserve"> | AR 2.509</w:t>
      </w:r>
      <w:r>
        <w:rPr>
          <w:color w:val="003CA0"/>
          <w:sz w:val="12"/>
        </w:rPr>
        <w:t xml:space="preserve"> | rel. Marco Aurélio</w:t>
      </w:r>
    </w:p>
    <w:p>
      <w:pPr>
        <w:ind w:left="288"/>
      </w:pPr>
      <w:r>
        <w:rPr>
          <w:color w:val="1E1E1E"/>
          <w:sz w:val="18"/>
        </w:rPr>
        <w:t>O termo inicial de prazo de decadência para a propositura da ação rescisória coincide com a data do trânsito em julgado do título rescindendo. Recurso inadequado não tem o efeito de impedir a preclusão.</w:t>
      </w:r>
    </w:p>
    <w:p>
      <w:pPr>
        <w:ind w:left="288"/>
      </w:pPr>
      <w:r>
        <w:rPr>
          <w:b/>
          <w:color w:val="003CA0"/>
          <w:sz w:val="16"/>
        </w:rPr>
        <w:t>[AR 2.509-AgR, rel. min. Marco Aurélio, j. 11-9-2019, P, DJE de 27-9-2019.]</w:t>
      </w:r>
    </w:p>
    <w:p>
      <w:pPr>
        <w:ind w:left="288"/>
      </w:pPr>
      <w:r>
        <w:rPr>
          <w:color w:val="8C8C8C"/>
          <w:sz w:val="12"/>
        </w:rPr>
        <w:t>cf-art-102-inc-I-ali-j</w:t>
      </w:r>
      <w:r>
        <w:rPr>
          <w:color w:val="003CA0"/>
          <w:sz w:val="12"/>
        </w:rPr>
        <w:t xml:space="preserve"> | MS 31.686</w:t>
      </w:r>
      <w:r>
        <w:rPr>
          <w:color w:val="003CA0"/>
          <w:sz w:val="12"/>
        </w:rPr>
        <w:t xml:space="preserve"> | rel. Celso de Mello. Entretanto</w:t>
      </w:r>
    </w:p>
    <w:p>
      <w:pPr>
        <w:ind w:left="288"/>
      </w:pPr>
      <w:r>
        <w:rPr>
          <w:color w:val="1E1E1E"/>
          <w:sz w:val="18"/>
        </w:rPr>
        <w:t xml:space="preserve">A ação rescisória por ofensa a literal dispositivo de lei é inadmissível nas hipóteses em que a decisão rescindenda tiver por fundamento texto legal de interpretação controvertida nos tribunais (Súmula 343/STF). (...) In casu, o que pretende a União é desconstituir decisão proferida pela Segunda Turma deste Tribunal, nos autos do MS 31.686, rel. Min. Celso de Mello. Entretanto, a alegação de que a decisão rescindenda incorreu em manifesta violação a dispositivo de lei não restou demonstrada, notadamente em razão de, à época de sua prolação, ser controvertida a interpretação do Tribunal quanto </w:t>
      </w:r>
    </w:p>
    <w:p>
      <w:pPr>
        <w:ind w:left="288"/>
      </w:pPr>
      <w:r>
        <w:rPr>
          <w:b/>
          <w:color w:val="003CA0"/>
          <w:sz w:val="16"/>
        </w:rPr>
        <w:t>[AR 2.440-AgR, rel. min. Ricardo Lewandowski, j. 19-9-2018, P, DJE de 9-9-2019.]</w:t>
      </w:r>
    </w:p>
    <w:p>
      <w:pPr>
        <w:ind w:left="288"/>
      </w:pPr>
      <w:r>
        <w:rPr>
          <w:color w:val="8C8C8C"/>
          <w:sz w:val="12"/>
        </w:rPr>
        <w:t>cf-art-102-inc-I-ali-j</w:t>
      </w:r>
      <w:r>
        <w:rPr>
          <w:color w:val="003CA0"/>
          <w:sz w:val="12"/>
        </w:rPr>
        <w:t xml:space="preserve"> | AR 1.950</w:t>
      </w:r>
      <w:r>
        <w:rPr>
          <w:color w:val="003CA0"/>
          <w:sz w:val="12"/>
        </w:rPr>
        <w:t xml:space="preserve"> | rel. Cármen Lúcia</w:t>
      </w:r>
    </w:p>
    <w:p>
      <w:pPr>
        <w:ind w:left="288"/>
      </w:pPr>
      <w:r>
        <w:rPr>
          <w:color w:val="1E1E1E"/>
          <w:sz w:val="18"/>
        </w:rPr>
        <w:t>O STF é competente apenas para processar e julgar revisão criminal quando a condenação tiver sido por ele proferida ou mantida no julgamento de ação penal originária, em recurso criminal ordinário ou em recurso extraordinário com conhecimento de mérito.</w:t>
        <w:br/>
        <w:t xml:space="preserve">[RvC 5.448 AgR, rel. min. Cármen Lúcia, j. 17-3-2016, P, DJE de 8-4-2016.] Agravo regimental em ação rescisória. (...) A configuração de ocorrência de erro de fato deve surgir de elementos já constantes dos autos primordiais, cuja falsa percepção pelo magistrado leva à confirmação de realidade inexistente ou à negação de realidade efetivamente </w:t>
      </w:r>
    </w:p>
    <w:p>
      <w:pPr>
        <w:ind w:left="288"/>
      </w:pPr>
      <w:r>
        <w:rPr>
          <w:b/>
          <w:color w:val="003CA0"/>
          <w:sz w:val="16"/>
        </w:rPr>
        <w:t>[AR 1.950 AgR, rel. min. Dias Toffoli, j. 30-4-2014, P, DJE de 20-6-2014.]</w:t>
      </w:r>
    </w:p>
    <w:p>
      <w:pPr>
        <w:ind w:left="288"/>
      </w:pPr>
      <w:r>
        <w:rPr>
          <w:color w:val="8C8C8C"/>
          <w:sz w:val="12"/>
        </w:rPr>
        <w:t>cf-art-102-inc-I-ali-j</w:t>
      </w:r>
      <w:r>
        <w:rPr>
          <w:color w:val="003CA0"/>
          <w:sz w:val="12"/>
        </w:rPr>
        <w:t xml:space="preserve"> | AR 1.561</w:t>
      </w:r>
      <w:r>
        <w:rPr>
          <w:color w:val="003CA0"/>
          <w:sz w:val="12"/>
        </w:rPr>
        <w:t xml:space="preserve"> | rel. Dias Toffoli</w:t>
      </w:r>
    </w:p>
    <w:p>
      <w:pPr>
        <w:ind w:left="288"/>
      </w:pPr>
      <w:r>
        <w:rPr>
          <w:color w:val="1E1E1E"/>
          <w:sz w:val="18"/>
        </w:rPr>
        <w:t>A jurisprudência da Corte tem reconhecido a decadência para a propositura da demanda rescisória quando a demora na efetivação das citações não tenha decorrido da simples movimentação da máquina judiciária.</w:t>
      </w:r>
    </w:p>
    <w:p>
      <w:pPr>
        <w:ind w:left="288"/>
      </w:pPr>
      <w:r>
        <w:rPr>
          <w:b/>
          <w:color w:val="003CA0"/>
          <w:sz w:val="16"/>
        </w:rPr>
        <w:t>[AR 1.561 AgR, rel. min. Dias Toffoli, j. 10-4-2014, P, DJE de 30-5-2014.]</w:t>
      </w:r>
    </w:p>
    <w:p>
      <w:pPr>
        <w:ind w:left="288"/>
      </w:pPr>
      <w:r>
        <w:rPr>
          <w:color w:val="8C8C8C"/>
          <w:sz w:val="12"/>
        </w:rPr>
        <w:t>cf-art-102-inc-I-ali-j</w:t>
      </w:r>
      <w:r>
        <w:rPr>
          <w:color w:val="003CA0"/>
          <w:sz w:val="12"/>
        </w:rPr>
        <w:t xml:space="preserve"> | RE 666.589</w:t>
      </w:r>
      <w:r>
        <w:rPr>
          <w:color w:val="003CA0"/>
          <w:sz w:val="12"/>
        </w:rPr>
        <w:t xml:space="preserve"> | rel. Marco Aurélio</w:t>
      </w:r>
    </w:p>
    <w:p>
      <w:pPr>
        <w:ind w:left="288"/>
      </w:pPr>
      <w:r>
        <w:rPr>
          <w:color w:val="1E1E1E"/>
          <w:sz w:val="18"/>
        </w:rPr>
        <w:t>Coisa julgada. Pronunciamento judicial. Capítulos autônomos. Os capítulos autônomos do pronunciamento judicial precluem no que não atacados por meio de recurso, surgindo, ante o fenômeno, o termo inicial do biênio decadencial para a propositura da rescisória.</w:t>
      </w:r>
    </w:p>
    <w:p>
      <w:pPr>
        <w:ind w:left="288"/>
      </w:pPr>
      <w:r>
        <w:rPr>
          <w:b/>
          <w:color w:val="003CA0"/>
          <w:sz w:val="16"/>
        </w:rPr>
        <w:t>[RE 666.589, rel. min. Marco Aurélio, j. 25-3-2014, 1ª T, DJE de 3-6-2014.]</w:t>
      </w:r>
    </w:p>
    <w:p>
      <w:pPr>
        <w:ind w:left="288"/>
      </w:pPr>
      <w:r>
        <w:rPr>
          <w:color w:val="8C8C8C"/>
          <w:sz w:val="12"/>
        </w:rPr>
        <w:t>cf-art-102-inc-I-ali-j</w:t>
      </w:r>
      <w:r>
        <w:rPr>
          <w:color w:val="003CA0"/>
          <w:sz w:val="12"/>
        </w:rPr>
        <w:t xml:space="preserve"> | AR 1.485</w:t>
      </w:r>
      <w:r>
        <w:rPr>
          <w:color w:val="003CA0"/>
          <w:sz w:val="12"/>
        </w:rPr>
        <w:t xml:space="preserve"> | rel. Dias Toffoli</w:t>
      </w:r>
    </w:p>
    <w:p>
      <w:pPr>
        <w:ind w:left="288"/>
      </w:pPr>
      <w:r>
        <w:rPr>
          <w:color w:val="1E1E1E"/>
          <w:sz w:val="18"/>
        </w:rPr>
        <w:t>Para a formação de capítulos distintos no acórdão rescindendo, relativamente aos litigantes, é imprescindível que se tenha estabelecido naqueles autos originários diferenciação entre os litisconsortes, de modo a restar julgada tal distinção. Não tendo havido delimitação na própria demanda, o acórdão nela proferido atingirá a todos, indistintamente e, por tal razão, a via rescisória exigirá a formação de litisconsórcio passivo entre todos os impetrantes da ação originária.</w:t>
      </w:r>
    </w:p>
    <w:p>
      <w:pPr>
        <w:ind w:left="288"/>
      </w:pPr>
      <w:r>
        <w:rPr>
          <w:b/>
          <w:color w:val="003CA0"/>
          <w:sz w:val="16"/>
        </w:rPr>
        <w:t>[AR 1.485 AgR, rel. min. Dias Toffoli, j. 19-9-2013, P, DJE de 29-10-2013.]</w:t>
      </w:r>
    </w:p>
    <w:p>
      <w:pPr>
        <w:ind w:left="288"/>
      </w:pPr>
      <w:r>
        <w:rPr>
          <w:color w:val="8C8C8C"/>
          <w:sz w:val="12"/>
        </w:rPr>
        <w:t>cf-art-102-inc-I-ali-j</w:t>
      </w:r>
      <w:r>
        <w:rPr>
          <w:color w:val="003CA0"/>
          <w:sz w:val="12"/>
        </w:rPr>
        <w:t xml:space="preserve"> | AR 1.699</w:t>
      </w:r>
      <w:r>
        <w:rPr>
          <w:color w:val="003CA0"/>
          <w:sz w:val="12"/>
        </w:rPr>
        <w:t xml:space="preserve"> | rel. Marco Aurélio</w:t>
      </w:r>
    </w:p>
    <w:p>
      <w:pPr>
        <w:ind w:left="288"/>
      </w:pPr>
      <w:r>
        <w:rPr>
          <w:color w:val="1E1E1E"/>
          <w:sz w:val="18"/>
        </w:rPr>
        <w:t>Vide AR 1.699 AgR, rel. min. Marco Aurélio, j. 23-6-2005, P, DJ de 9-9-2005 (...) a última decisão proferida (...) transitou em julgado em 5-8-2003 (fl. 405) (terça-feira). Iniciou-se, portanto, nesse mesmo dia, o prazo bienal de decadência da ação rescisória, cujo término ocorreu no dia 5-8-2005 (sexta-feira), nos termos do art. 132, § 3º, do CC/2002, segundo o qual "Os prazos de meses e anos expiram no dia de igual número do de início, ou no imediato, se faltar exata correspondência”.</w:t>
      </w:r>
    </w:p>
    <w:p>
      <w:pPr>
        <w:ind w:left="288"/>
      </w:pPr>
      <w:r>
        <w:rPr>
          <w:b/>
          <w:color w:val="003CA0"/>
          <w:sz w:val="16"/>
        </w:rPr>
        <w:t>[AR 1.944 AgR, voto do rel. min. Dias Toffoli, j. 18-11-2010, P, DJE de 14-3-2011.]</w:t>
      </w:r>
    </w:p>
    <w:p>
      <w:pPr>
        <w:ind w:left="288"/>
      </w:pPr>
      <w:r>
        <w:rPr>
          <w:color w:val="8C8C8C"/>
          <w:sz w:val="12"/>
        </w:rPr>
        <w:t>cf-art-102-inc-I-ali-j</w:t>
      </w:r>
      <w:r>
        <w:rPr>
          <w:color w:val="003CA0"/>
          <w:sz w:val="12"/>
        </w:rPr>
        <w:t xml:space="preserve"> | AR 1.412</w:t>
      </w:r>
      <w:r>
        <w:rPr>
          <w:color w:val="003CA0"/>
          <w:sz w:val="12"/>
        </w:rPr>
        <w:t xml:space="preserve"> | rel. Cezar Peluso</w:t>
      </w:r>
    </w:p>
    <w:p>
      <w:pPr>
        <w:ind w:left="288"/>
      </w:pPr>
      <w:r>
        <w:rPr>
          <w:color w:val="1E1E1E"/>
          <w:sz w:val="18"/>
        </w:rPr>
        <w:t>Vide AR 1.412, rel. min. Cezar Peluso, j. 26-3-2009, P, DJE de 26-6-2009 A ação rescisória, por se tratar de demanda de caráter excepcional (uma vez que tem por escopo a desconstituição de decisão já acobertada pelo manto da coisa julgada), há de ser postulada por representante processual devidamente amparado por mandato judicial que lhe confira poderes específicos para tanto. Em se tratando de ação autônoma, o mandato originário não se estende à proposição de ação rescisória. Os efeitos das procurações outorgadas se exaurem com o encerramento definitivo daquele processo. Exigência que não con</w:t>
      </w:r>
    </w:p>
    <w:p>
      <w:pPr>
        <w:ind w:left="288"/>
      </w:pPr>
      <w:r>
        <w:rPr>
          <w:b/>
          <w:color w:val="003CA0"/>
          <w:sz w:val="16"/>
        </w:rPr>
        <w:t>[AR 2.236 ED e AR 2.239 ED, rel. min. Dias Toffoli, j. 23-6-2010, P, DJE de 3-9-2010.]</w:t>
      </w:r>
    </w:p>
    <w:p>
      <w:pPr>
        <w:ind w:left="288"/>
      </w:pPr>
      <w:r>
        <w:rPr>
          <w:color w:val="8C8C8C"/>
          <w:sz w:val="12"/>
        </w:rPr>
        <w:t>cf-art-102-inc-I-ali-j</w:t>
      </w:r>
      <w:r>
        <w:rPr>
          <w:color w:val="003CA0"/>
          <w:sz w:val="12"/>
        </w:rPr>
        <w:t xml:space="preserve"> | AR 2.156</w:t>
      </w:r>
      <w:r>
        <w:rPr>
          <w:color w:val="003CA0"/>
          <w:sz w:val="12"/>
        </w:rPr>
        <w:t xml:space="preserve"> | rel. Ellen Gracie</w:t>
      </w:r>
    </w:p>
    <w:p>
      <w:pPr>
        <w:ind w:left="288"/>
      </w:pPr>
      <w:r>
        <w:rPr>
          <w:color w:val="1E1E1E"/>
          <w:sz w:val="18"/>
        </w:rPr>
        <w:t>= AR 2.156 ED e AR 2.202 ED, rel. min. Ellen Gracie, j. 18-8-2010, P, DJE de 25-10-2010 Deve ser afastada (...) a afirmação de que a análise de violação literal a preceito infraconstitucional implica usurpação da competência do STJ. A ação rescisória possui pressupostos próprios, que não se confundem com os requisitos de admissibilidade dos recursos especial e extraordinário. A competência do Supremo para rescindir seus próprios julgados, por sua vez, decorre expressamente do disposto no art. 102, I, j, da Constituição. Não existe, no caso, óbice processual ao conhecimento do pedido.</w:t>
      </w:r>
    </w:p>
    <w:p>
      <w:pPr>
        <w:ind w:left="288"/>
      </w:pPr>
      <w:r>
        <w:rPr>
          <w:b/>
          <w:color w:val="003CA0"/>
          <w:sz w:val="16"/>
        </w:rPr>
        <w:t>[AR 1.408, voto do rel. min. Eros Grau, j. 16-6-2010, P, DJE de 20-8-2010.]</w:t>
      </w:r>
    </w:p>
    <w:p>
      <w:pPr>
        <w:ind w:left="288"/>
      </w:pPr>
      <w:r>
        <w:rPr>
          <w:color w:val="8C8C8C"/>
          <w:sz w:val="12"/>
        </w:rPr>
        <w:t>cf-art-102-inc-I-ali-j</w:t>
      </w:r>
      <w:r>
        <w:rPr>
          <w:color w:val="003CA0"/>
          <w:sz w:val="12"/>
        </w:rPr>
        <w:t xml:space="preserve"> | RE 463.624</w:t>
      </w:r>
      <w:r>
        <w:rPr>
          <w:color w:val="003CA0"/>
          <w:sz w:val="12"/>
        </w:rPr>
        <w:t xml:space="preserve"> | rel. Joaquim Barbosa</w:t>
      </w:r>
    </w:p>
    <w:p>
      <w:pPr>
        <w:ind w:left="288"/>
      </w:pPr>
      <w:r>
        <w:rPr>
          <w:color w:val="1E1E1E"/>
          <w:sz w:val="18"/>
        </w:rPr>
        <w:t>(...) a indicação expressa do artigo da Constituição, na petição inicial da ação rescisória, é dispensável quando é evidente a invocação do princípio constitucional que fundamenta a pretensão, afastando-se o óbice da Súmula 343 desta Corte.</w:t>
      </w:r>
    </w:p>
    <w:p>
      <w:pPr>
        <w:ind w:left="288"/>
      </w:pPr>
      <w:r>
        <w:rPr>
          <w:b/>
          <w:color w:val="003CA0"/>
          <w:sz w:val="16"/>
        </w:rPr>
        <w:t>[RE 463.624 AgR-ED-ED, rel. min. Joaquim Barbosa, j. 4-8-2009, 2ª T, DJE de 28-8-2009.]</w:t>
      </w:r>
    </w:p>
    <w:p>
      <w:pPr>
        <w:ind w:left="288"/>
      </w:pPr>
      <w:r>
        <w:rPr>
          <w:color w:val="8C8C8C"/>
          <w:sz w:val="12"/>
        </w:rPr>
        <w:t>cf-art-102-inc-I-ali-j</w:t>
      </w:r>
      <w:r>
        <w:rPr>
          <w:color w:val="003CA0"/>
          <w:sz w:val="12"/>
        </w:rPr>
        <w:t xml:space="preserve"> | RE 328.812</w:t>
      </w:r>
      <w:r>
        <w:rPr>
          <w:color w:val="003CA0"/>
          <w:sz w:val="12"/>
        </w:rPr>
        <w:t xml:space="preserve"> | rel. Gilmar Mendes</w:t>
      </w:r>
    </w:p>
    <w:p>
      <w:pPr>
        <w:ind w:left="288"/>
      </w:pPr>
      <w:r>
        <w:rPr>
          <w:color w:val="1E1E1E"/>
          <w:sz w:val="18"/>
        </w:rPr>
        <w:t>= RE 328.812 AgR, rel. min. Gilmar Mendes, j. 10-12-2002, 2ª T, DJ de 11-4-2003 Vide AI 357.834 AgR, rel. min. Celso de Mello, j. 26-6-2002, 2ª T, DJ de 12-4-2002 Há dolo na conduta daquele que, em pedido de homologação de sentença estrangeira, indica para citação do réu endereço no Brasil, tendo conhecimento inequívoco da residência deste no exterior. Hipótese que determina a rescisão do julgado, nos termos do disposto no art. 485, III, do CPC. A autora da rescisória comprovou que não residia no Brasil no período em que julgado o pedido de homologação (1980-1982). As provas juntadas aos autos</w:t>
      </w:r>
    </w:p>
    <w:p>
      <w:pPr>
        <w:ind w:left="288"/>
      </w:pPr>
      <w:r>
        <w:rPr>
          <w:b/>
          <w:color w:val="003CA0"/>
          <w:sz w:val="16"/>
        </w:rPr>
        <w:t>[AR 1.169, rel. min. Eros Grau, j. 3-8-2009, P, DJE de 2-10-2009.]</w:t>
      </w:r>
    </w:p>
    <w:p>
      <w:pPr>
        <w:ind w:left="288"/>
      </w:pPr>
      <w:r>
        <w:rPr>
          <w:color w:val="8C8C8C"/>
          <w:sz w:val="12"/>
        </w:rPr>
        <w:t>cf-art-102-inc-I-ali-j</w:t>
      </w:r>
      <w:r>
        <w:rPr>
          <w:color w:val="003CA0"/>
          <w:sz w:val="12"/>
        </w:rPr>
        <w:t xml:space="preserve"> | AR 1.412</w:t>
      </w:r>
      <w:r>
        <w:rPr>
          <w:color w:val="003CA0"/>
          <w:sz w:val="12"/>
        </w:rPr>
        <w:t xml:space="preserve"> | rel. Cezar Peluso</w:t>
      </w:r>
    </w:p>
    <w:p>
      <w:pPr>
        <w:ind w:left="288"/>
      </w:pPr>
      <w:r>
        <w:rPr>
          <w:color w:val="1E1E1E"/>
          <w:sz w:val="18"/>
        </w:rPr>
        <w:t>O prazo decadencial para propositura de ação rescisória começa a correr da data do trânsito em julgado da sentença rescindenda, incluindo-se-lhe no cômputo o dia do começo, e sua consumação deve ser pronunciada de ofício a qualquer tempo, ainda quando a tenha afastado, sem recurso, decisão anterior.</w:t>
      </w:r>
    </w:p>
    <w:p>
      <w:pPr>
        <w:ind w:left="288"/>
      </w:pPr>
      <w:r>
        <w:rPr>
          <w:b/>
          <w:color w:val="003CA0"/>
          <w:sz w:val="16"/>
        </w:rPr>
        <w:t>[AR 1.412, rel. min. Cezar Peluso, j. 26-3-2009, P, DJE de 26-6-2009.]</w:t>
      </w:r>
    </w:p>
    <w:p>
      <w:pPr>
        <w:ind w:left="288"/>
      </w:pPr>
      <w:r>
        <w:rPr>
          <w:color w:val="8C8C8C"/>
          <w:sz w:val="12"/>
        </w:rPr>
        <w:t>cf-art-102-inc-I-ali-j</w:t>
      </w:r>
      <w:r>
        <w:rPr>
          <w:color w:val="003CA0"/>
          <w:sz w:val="12"/>
        </w:rPr>
        <w:t xml:space="preserve"> | AR 1.472</w:t>
      </w:r>
      <w:r>
        <w:rPr>
          <w:color w:val="003CA0"/>
          <w:sz w:val="12"/>
        </w:rPr>
        <w:t xml:space="preserve"> | rel. Marco Aurélio</w:t>
      </w:r>
    </w:p>
    <w:p>
      <w:pPr>
        <w:ind w:left="288"/>
      </w:pPr>
      <w:r>
        <w:rPr>
          <w:color w:val="1E1E1E"/>
          <w:sz w:val="18"/>
        </w:rPr>
        <w:t>= AR 1.472, rel. min. Marco Aurélio, j. 17-9-2007, P, DJ de 7-12-2007 Vide AR 1.944 AgR, rel. min. Dias Toffoli, j. 18-11-2010, P, DJE de 14-3-2011 A competência originária desta Corte para processar e julgar ações rescisórias cinge-se às ações que impugnam julgados proferidos por órgãos do STF. Inaplicável à espécie a Súmula 505, anotando-se que a ação rescisória não possui natureza de recurso.</w:t>
      </w:r>
    </w:p>
    <w:p>
      <w:pPr>
        <w:ind w:left="288"/>
      </w:pPr>
      <w:r>
        <w:rPr>
          <w:b/>
          <w:color w:val="003CA0"/>
          <w:sz w:val="16"/>
        </w:rPr>
        <w:t>[AR 1.853 AgR, rel. min. Ricardo Lewandowski, j. 25-6-2008, P, DJE de 8-8-2008.]</w:t>
      </w:r>
    </w:p>
    <w:p>
      <w:pPr>
        <w:ind w:left="288"/>
      </w:pPr>
      <w:r>
        <w:rPr>
          <w:color w:val="8C8C8C"/>
          <w:sz w:val="12"/>
        </w:rPr>
        <w:t>cf-art-102-inc-I-ali-j</w:t>
      </w:r>
      <w:r>
        <w:rPr>
          <w:color w:val="003CA0"/>
          <w:sz w:val="12"/>
        </w:rPr>
        <w:t xml:space="preserve"> | PET 3.090</w:t>
      </w:r>
      <w:r>
        <w:rPr>
          <w:color w:val="003CA0"/>
          <w:sz w:val="12"/>
        </w:rPr>
        <w:t xml:space="preserve"> | rel. Cezar Peluso</w:t>
      </w:r>
    </w:p>
    <w:p>
      <w:pPr>
        <w:ind w:left="288"/>
      </w:pPr>
      <w:r>
        <w:rPr>
          <w:color w:val="1E1E1E"/>
          <w:sz w:val="18"/>
        </w:rPr>
        <w:t>= Pet 3.090 AgR, rel. min. Cezar Peluso, j. 4-2-2010, P, DJE de 9-4-2010 Ação rescisória. Matéria constitucional. Inaplicabilidade da Súmula 343/STF. A manutenção de decisões das instâncias ordinárias divergentes da interpretação adotada pelo STF revela-se afrontosa à força normativa da Constituição e ao princípio da máxima efetividade da norma constitucional. Cabe ação rescisória por ofensa à literal disposição constitucional, ainda que a decisão rescindenda tenha-se baseado em interpretação controvertida ou seja anterior à orientação fixada pelo STF.</w:t>
      </w:r>
    </w:p>
    <w:p>
      <w:pPr>
        <w:ind w:left="288"/>
      </w:pPr>
      <w:r>
        <w:rPr>
          <w:b/>
          <w:color w:val="003CA0"/>
          <w:sz w:val="16"/>
        </w:rPr>
        <w:t>[RE 328.812 ED, rel. min. Gilmar Mendes, j. 6-3-2008, P, DJE de 2-5-2008.]</w:t>
      </w:r>
    </w:p>
    <w:p>
      <w:pPr>
        <w:ind w:left="288"/>
      </w:pPr>
      <w:r>
        <w:rPr>
          <w:color w:val="8C8C8C"/>
          <w:sz w:val="12"/>
        </w:rPr>
        <w:t>cf-art-102-inc-I-ali-j</w:t>
      </w:r>
      <w:r>
        <w:rPr>
          <w:color w:val="003CA0"/>
          <w:sz w:val="12"/>
        </w:rPr>
        <w:t xml:space="preserve"> | AI 703.485</w:t>
      </w:r>
      <w:r>
        <w:rPr>
          <w:color w:val="003CA0"/>
          <w:sz w:val="12"/>
        </w:rPr>
        <w:t xml:space="preserve"> | rel. Dias Toffoli</w:t>
      </w:r>
    </w:p>
    <w:p>
      <w:pPr>
        <w:ind w:left="288"/>
      </w:pPr>
      <w:r>
        <w:rPr>
          <w:color w:val="1E1E1E"/>
          <w:sz w:val="18"/>
        </w:rPr>
        <w:t>= AI 703.485 AgR, rel. min. Dias Toffoli, j. 11-12-2012, 1ª T, DJE de 8-2-2012 Vide AI 460.439 AgR, red. do ac. min. Sepúlveda Pertence, j. 17-8-2006, P, DJ de 9-3-2007 Ação rescisória, com fundamento em violação de literal disposição de lei (CPC, art. 485), para rescindir decisão que condenara a autora a recompor perdas do FGTS com os denominados "expurgos inflacionários", liminarmente indeferida, por impossibilidade jurídica do pedido, com fundamento na Súmula 343 (...). Recurso extraordinário fundado na contrariedade aos arts. 5º, II, XXXV e XXXVI; 7º, III; e 22, VI, da CF, nenhum dos quais</w:t>
      </w:r>
    </w:p>
    <w:p>
      <w:pPr>
        <w:ind w:left="288"/>
      </w:pPr>
      <w:r>
        <w:rPr>
          <w:b/>
          <w:color w:val="003CA0"/>
          <w:sz w:val="16"/>
        </w:rPr>
        <w:t>[AI 460.439 AgR, red. do ac. min. Sepúlveda Pertence, j. 17-8-2006, P, DJ de 9-3-2007.]</w:t>
      </w:r>
    </w:p>
    <w:p>
      <w:pPr>
        <w:ind w:left="288"/>
      </w:pPr>
      <w:r>
        <w:rPr>
          <w:color w:val="8C8C8C"/>
          <w:sz w:val="12"/>
        </w:rPr>
        <w:t>cf-art-102-inc-I-ali-j</w:t>
      </w:r>
      <w:r>
        <w:rPr>
          <w:color w:val="003CA0"/>
          <w:sz w:val="12"/>
        </w:rPr>
        <w:t xml:space="preserve"> | RE 328.812</w:t>
      </w:r>
      <w:r>
        <w:rPr>
          <w:color w:val="003CA0"/>
          <w:sz w:val="12"/>
        </w:rPr>
        <w:t xml:space="preserve"> | rel. Gilmar Mendes</w:t>
      </w:r>
    </w:p>
    <w:p>
      <w:pPr>
        <w:ind w:left="288"/>
      </w:pPr>
      <w:r>
        <w:rPr>
          <w:color w:val="1E1E1E"/>
          <w:sz w:val="18"/>
        </w:rPr>
        <w:t>Vide RE 328.812 ED, rel. min. Gilmar Mendes, j. 6-3-2008, P, DJE de 2-5-2008 Não cabe ação rescisória por violação a literal preceito de lei quando a decisão rescindenda está fundada em precedente do Plenário do Tribunal. Precedentes AR 1.761 AgR, rel. min. Sepúlveda Pertence, DJ de 6-5-2005, e AR 1.756 AgR, rel. min. Marco Aurélio, DJ de 10-9-2004.</w:t>
      </w:r>
    </w:p>
    <w:p>
      <w:pPr>
        <w:ind w:left="288"/>
      </w:pPr>
      <w:r>
        <w:rPr>
          <w:b/>
          <w:color w:val="003CA0"/>
          <w:sz w:val="16"/>
        </w:rPr>
        <w:t>[AR 1.686 AgR, rel. min. Eros Grau, j. 23-3-2006, P, DJ de 28-4-2006.]</w:t>
      </w:r>
    </w:p>
    <w:p>
      <w:pPr>
        <w:ind w:left="288"/>
      </w:pPr>
      <w:r>
        <w:rPr>
          <w:color w:val="8C8C8C"/>
          <w:sz w:val="12"/>
        </w:rPr>
        <w:t>cf-art-102-inc-I-ali-j</w:t>
      </w:r>
      <w:r>
        <w:rPr>
          <w:color w:val="003CA0"/>
          <w:sz w:val="12"/>
        </w:rPr>
        <w:t xml:space="preserve"> | AR 1.938</w:t>
      </w:r>
      <w:r>
        <w:rPr>
          <w:color w:val="003CA0"/>
          <w:sz w:val="12"/>
        </w:rPr>
        <w:t xml:space="preserve"> | rel. Cármen Lúcia</w:t>
      </w:r>
    </w:p>
    <w:p>
      <w:pPr>
        <w:ind w:left="288"/>
      </w:pPr>
      <w:r>
        <w:rPr>
          <w:color w:val="1E1E1E"/>
          <w:sz w:val="18"/>
        </w:rPr>
        <w:t>= AR 1.938 AgR, rel. min. Cármen Lúcia, j. 6-2-2013, P, DJE de 27-2-2013 Descabe colar à ação rescisória conceito linear de indivisibilidade. Contando o acórdão rescindendo, sob o ângulo subjetivo, com capítulos distintos, possível é o ajuizamento limitado, desde que não se tenha o envolvimento, no processo que desaguou na decisão, de litisconsórcio necessário.</w:t>
      </w:r>
    </w:p>
    <w:p>
      <w:pPr>
        <w:ind w:left="288"/>
      </w:pPr>
      <w:r>
        <w:rPr>
          <w:b/>
          <w:color w:val="003CA0"/>
          <w:sz w:val="16"/>
        </w:rPr>
        <w:t>[AR 1.699 AgR, rel. min. Marco Aurélio, j. 23-6-2005, P, DJ de 9-9-2005.]</w:t>
      </w:r>
    </w:p>
    <w:p>
      <w:pPr>
        <w:ind w:left="288"/>
      </w:pPr>
      <w:r>
        <w:rPr>
          <w:color w:val="8C8C8C"/>
          <w:sz w:val="12"/>
        </w:rPr>
        <w:t>cf-art-102-inc-I-ali-j</w:t>
      </w:r>
      <w:r>
        <w:rPr>
          <w:color w:val="003CA0"/>
          <w:sz w:val="12"/>
        </w:rPr>
        <w:t xml:space="preserve"> | AR 1.485</w:t>
      </w:r>
      <w:r>
        <w:rPr>
          <w:color w:val="003CA0"/>
          <w:sz w:val="12"/>
        </w:rPr>
        <w:t xml:space="preserve"> | rel. Dias Toffoli</w:t>
      </w:r>
    </w:p>
    <w:p>
      <w:pPr>
        <w:ind w:left="288"/>
      </w:pPr>
      <w:r>
        <w:rPr>
          <w:color w:val="1E1E1E"/>
          <w:sz w:val="18"/>
        </w:rPr>
        <w:t>Vide AR 1.485 AgR, rel. min. Dias Toffoli, j. 19-9-2013, P, DJE de 29-10-2013 Inviável a ação rescisória que se funda em violação literal de lei, se a decisão rescindenda não se pronunciou sobre a norma legal tida por violada por falta de alegação oportuna.</w:t>
      </w:r>
    </w:p>
    <w:p>
      <w:pPr>
        <w:ind w:left="288"/>
      </w:pPr>
      <w:r>
        <w:rPr>
          <w:b/>
          <w:color w:val="003CA0"/>
          <w:sz w:val="16"/>
        </w:rPr>
        <w:t>[AR 1.752 AgR, rel. min. Sepúlveda Pertence, j. 7-4-2005, P, DJ de 20-5-2005.]</w:t>
      </w:r>
    </w:p>
    <w:p>
      <w:pPr>
        <w:ind w:left="288"/>
      </w:pPr>
      <w:r>
        <w:rPr>
          <w:color w:val="8C8C8C"/>
          <w:sz w:val="12"/>
        </w:rPr>
        <w:t>cf-art-102-inc-I-ali-j</w:t>
      </w:r>
      <w:r>
        <w:rPr>
          <w:color w:val="003CA0"/>
          <w:sz w:val="12"/>
        </w:rPr>
        <w:t xml:space="preserve"> | AR 1.668</w:t>
      </w:r>
      <w:r>
        <w:rPr>
          <w:color w:val="003CA0"/>
          <w:sz w:val="12"/>
        </w:rPr>
        <w:t xml:space="preserve"> | rel. Ellen Gracie</w:t>
      </w:r>
    </w:p>
    <w:p>
      <w:pPr>
        <w:ind w:left="288"/>
      </w:pPr>
      <w:r>
        <w:rPr>
          <w:color w:val="1E1E1E"/>
          <w:sz w:val="18"/>
        </w:rPr>
        <w:t>= AR 1.668, rel. min. Ellen Gracie, j. 14-10-2009, P, DJE de 11-12-2009 Por não atacar decisão de mérito, não cabe rescisória (art. 485, caput, do CPC), contra sentença que se limitou a extinguir o processo, pelo reconhecimento da ocorrência de coisa julgada.</w:t>
      </w:r>
    </w:p>
    <w:p>
      <w:pPr>
        <w:ind w:left="288"/>
      </w:pPr>
      <w:r>
        <w:rPr>
          <w:b/>
          <w:color w:val="003CA0"/>
          <w:sz w:val="16"/>
        </w:rPr>
        <w:t>[AR 1.056, rel. min. Octavio Gallotti, j. 26-11-1997, P, DJ de 25-5-2001.]</w:t>
      </w:r>
    </w:p>
    <w:p>
      <w:pPr>
        <w:ind w:left="288"/>
      </w:pPr>
      <w:r>
        <w:rPr>
          <w:color w:val="8C8C8C"/>
          <w:sz w:val="12"/>
        </w:rPr>
        <w:t>cf-art-102-inc-I-ali-j</w:t>
      </w:r>
      <w:r>
        <w:rPr>
          <w:color w:val="003CA0"/>
          <w:sz w:val="12"/>
        </w:rPr>
        <w:t xml:space="preserve"> | AR 1.979</w:t>
      </w:r>
      <w:r>
        <w:rPr>
          <w:color w:val="003CA0"/>
          <w:sz w:val="12"/>
        </w:rPr>
        <w:t xml:space="preserve"> | rel. Dias Toffoli</w:t>
      </w:r>
    </w:p>
    <w:p>
      <w:pPr>
        <w:ind w:left="288"/>
      </w:pPr>
      <w:r>
        <w:rPr>
          <w:color w:val="1E1E1E"/>
          <w:sz w:val="18"/>
        </w:rPr>
        <w:t>= AR 1.979 AgR, rel. min. Dias Toffoli, j. 18-11-2010, P, DJE de 17-3-2011 É cabível ação rescisória contra despacho de relator que nega provimento a agravo de instrumento, desde que tenha sido apreciado o mérito da controvérsia, a despeito do art. 259 do RISTF.</w:t>
      </w:r>
    </w:p>
    <w:p>
      <w:pPr>
        <w:ind w:left="288"/>
      </w:pPr>
      <w:r>
        <w:rPr>
          <w:b/>
          <w:color w:val="003CA0"/>
          <w:sz w:val="16"/>
        </w:rPr>
        <w:t>[AR 1.352 AgR, rel. min. Paulo Brossard, j. 1º-4-1993, P, DJ de 7-5-1993.]</w:t>
      </w:r>
    </w:p>
    <w:p>
      <w:pPr>
        <w:ind w:left="288"/>
      </w:pPr>
      <w:r>
        <w:rPr>
          <w:color w:val="8C8C8C"/>
          <w:sz w:val="12"/>
        </w:rPr>
        <w:t>cf-art-102-inc-I-ali-j</w:t>
      </w:r>
      <w:r>
        <w:rPr>
          <w:color w:val="003CA0"/>
          <w:sz w:val="12"/>
        </w:rPr>
        <w:t xml:space="preserve"> | AR 1.151</w:t>
      </w:r>
      <w:r>
        <w:rPr>
          <w:color w:val="003CA0"/>
          <w:sz w:val="12"/>
        </w:rPr>
        <w:t xml:space="preserve"> | rel. Alfredo Buzaid (RTJ 112/74 e seguintes). Nesse julgamento firmou-se o princípio de que "o STF não pode julgar a ação rescisória</w:t>
      </w:r>
    </w:p>
    <w:p>
      <w:pPr>
        <w:ind w:left="288"/>
      </w:pPr>
      <w:r>
        <w:rPr>
          <w:color w:val="1E1E1E"/>
          <w:sz w:val="18"/>
        </w:rPr>
        <w:t xml:space="preserve">O tribunal local é o único que é competente para julgar ação rescisória cujo objeto é exclusivamente a rescisão de julgado seu. Já o afirmou o Plenário desta Corte, ao julgar a AR 1.151, rel. min. Alfredo Buzaid (RTJ 112/74 e seguintes). Nesse julgamento firmou-se o princípio de que "o STF não pode julgar a ação rescisória, porque o seu objeto não é acórdão da Corte, mas acórdão proferido nos embargos infringentes em segundo grau de jurisdição". No caso, o Tribunal de Justiça do Estado do Paraná, em verdade, se deu por competente, não porque o único acórdão atacado na rescisória seja seu, mas </w:t>
      </w:r>
    </w:p>
    <w:p>
      <w:pPr>
        <w:ind w:left="288"/>
      </w:pPr>
      <w:r>
        <w:rPr>
          <w:b/>
          <w:color w:val="003CA0"/>
          <w:sz w:val="16"/>
        </w:rPr>
        <w:t>[Rcl 366, rel. min. Moreira Alves, j. 20-5-1992, P, DJ de 14-8-1992.]</w:t>
      </w:r>
    </w:p>
    <w:p>
      <w:pPr>
        <w:ind w:left="144"/>
      </w:pPr>
      <w:r>
        <w:rPr>
          <w:b/>
          <w:color w:val="B45A00"/>
          <w:sz w:val="16"/>
        </w:rPr>
        <w:t>SUMULA</w:t>
      </w:r>
    </w:p>
    <w:p>
      <w:pPr>
        <w:ind w:left="288"/>
      </w:pPr>
      <w:r>
        <w:rPr>
          <w:color w:val="8C8C8C"/>
          <w:sz w:val="12"/>
        </w:rPr>
        <w:t>cf-art-102-inc-I-ali-l</w:t>
      </w:r>
    </w:p>
    <w:p>
      <w:pPr>
        <w:ind w:left="288"/>
      </w:pPr>
      <w:r>
        <w:rPr>
          <w:color w:val="1E1E1E"/>
          <w:sz w:val="18"/>
        </w:rPr>
        <w:t>Não cabe reclamação quando já houver transitado em julgado o ato judicial que se alega tenha desrespeitado decisão do STF.</w:t>
      </w:r>
    </w:p>
    <w:p>
      <w:pPr>
        <w:ind w:left="288"/>
      </w:pPr>
      <w:r>
        <w:rPr>
          <w:b/>
          <w:color w:val="003CA0"/>
          <w:sz w:val="16"/>
        </w:rPr>
        <w:t>[Súmula 734.]</w:t>
      </w:r>
    </w:p>
    <w:p>
      <w:pPr>
        <w:ind w:left="288"/>
      </w:pPr>
      <w:r>
        <w:rPr>
          <w:color w:val="8C8C8C"/>
          <w:sz w:val="12"/>
        </w:rPr>
        <w:t>cf-art-102-inc-I-ali-l</w:t>
      </w:r>
    </w:p>
    <w:p>
      <w:pPr>
        <w:ind w:left="288"/>
      </w:pPr>
      <w:r>
        <w:rPr>
          <w:color w:val="1E1E1E"/>
          <w:sz w:val="18"/>
        </w:rPr>
        <w:t>Não há embargos infringentes no processo de reclamação.</w:t>
      </w:r>
    </w:p>
    <w:p>
      <w:pPr>
        <w:ind w:left="288"/>
      </w:pPr>
      <w:r>
        <w:rPr>
          <w:b/>
          <w:color w:val="003CA0"/>
          <w:sz w:val="16"/>
        </w:rPr>
        <w:t>[Súmula 368.]</w:t>
      </w:r>
    </w:p>
    <w:p>
      <w:pPr>
        <w:ind w:left="144"/>
      </w:pPr>
      <w:r>
        <w:rPr>
          <w:b/>
          <w:color w:val="B45A00"/>
          <w:sz w:val="16"/>
        </w:rPr>
        <w:t>CONTROLE CONCENTRADO</w:t>
      </w:r>
    </w:p>
    <w:p>
      <w:pPr>
        <w:ind w:left="288"/>
      </w:pPr>
      <w:r>
        <w:rPr>
          <w:color w:val="8C8C8C"/>
          <w:sz w:val="12"/>
        </w:rPr>
        <w:t>cf-art-102-inc-I-ali-l</w:t>
      </w:r>
      <w:r>
        <w:rPr>
          <w:color w:val="003CA0"/>
          <w:sz w:val="12"/>
        </w:rPr>
        <w:t xml:space="preserve"> | ADI 2.212</w:t>
      </w:r>
      <w:r>
        <w:rPr>
          <w:color w:val="003CA0"/>
          <w:sz w:val="12"/>
        </w:rPr>
        <w:t xml:space="preserve"> | rel. Sepúlveda Pertence</w:t>
      </w:r>
    </w:p>
    <w:p>
      <w:pPr>
        <w:ind w:left="288"/>
      </w:pPr>
      <w:r>
        <w:rPr>
          <w:color w:val="1E1E1E"/>
          <w:sz w:val="18"/>
        </w:rPr>
        <w:t>O STF, ao julgar a ADI 2.212 (...), alterou o entendimento – firmado em período anterior à ordem constitucional vigente (v.g., Rp 1.092, Pleno, Djaci Falcão, RTJ 112/504) – do monopólio da reclamação pelo STF e assentou a adequação do instituto com os preceitos da Constituição de 1988: de acordo com a sua natureza jurídica (situada no âmbito do direito de petição previsto no art. 5º, XXIV, da CF) e com os princípios da simetria (art. 125, caput e § 1º) e da efetividade das decisões judiciais, é permitida a previsão da reclamação na Constituição estadual.</w:t>
      </w:r>
    </w:p>
    <w:p>
      <w:pPr>
        <w:ind w:left="288"/>
      </w:pPr>
      <w:r>
        <w:rPr>
          <w:b/>
          <w:color w:val="003CA0"/>
          <w:sz w:val="16"/>
        </w:rPr>
        <w:t>[ADI 2.480, rel. min. Sepúlveda Pertence, j. 2-4-2007, P, DJ de 15-6-2007.]</w:t>
      </w:r>
    </w:p>
    <w:p>
      <w:pPr>
        <w:ind w:left="144"/>
      </w:pPr>
      <w:r>
        <w:rPr>
          <w:b/>
          <w:color w:val="B45A00"/>
          <w:sz w:val="16"/>
        </w:rPr>
        <w:t>JULGADOS CORRELATOS</w:t>
      </w:r>
    </w:p>
    <w:p>
      <w:pPr>
        <w:ind w:left="288"/>
      </w:pPr>
      <w:r>
        <w:rPr>
          <w:color w:val="8C8C8C"/>
          <w:sz w:val="12"/>
        </w:rPr>
        <w:t>cf-art-102-inc-I-ali-l</w:t>
      </w:r>
      <w:r>
        <w:rPr>
          <w:color w:val="003CA0"/>
          <w:sz w:val="12"/>
        </w:rPr>
        <w:t xml:space="preserve"> | RCL 57.368</w:t>
      </w:r>
      <w:r>
        <w:rPr>
          <w:color w:val="003CA0"/>
          <w:sz w:val="12"/>
        </w:rPr>
        <w:t xml:space="preserve"> | rel. Dias Toffoli</w:t>
      </w:r>
    </w:p>
    <w:p>
      <w:pPr>
        <w:ind w:left="288"/>
      </w:pPr>
      <w:r>
        <w:rPr>
          <w:color w:val="1E1E1E"/>
          <w:sz w:val="18"/>
        </w:rPr>
        <w:t>É inadmissível reclamatória quando “a determinação que se aponta como desrespeitada - despacho proveniente (...) de devolução dos autos em atenção à sistemática da repercussão geral - não possui caráter decisório que legitime o acesso a este Supremo Tribunal pela via augusta da reclamação constitucional” (Rcl nº 35.138/SP).</w:t>
        <w:br/>
        <w:t>[Rcl 57.368 AgR, rel. min. Dias Toffoli, j. 27-3-2023, 1ª T, DJE de 13-4-2023.] O STF tem sido mais flexível na admissão de reclamação em matéria de liberdade de expressão, em razão da persistente vulneração desse direito na cultura brasileira, inclusive por via judicial. A</w:t>
      </w:r>
    </w:p>
    <w:p>
      <w:pPr>
        <w:ind w:left="288"/>
      </w:pPr>
      <w:r>
        <w:rPr>
          <w:b/>
          <w:color w:val="003CA0"/>
          <w:sz w:val="16"/>
        </w:rPr>
        <w:t>[Rcl 26.374 AgR, rel. min. Edson Fachin, j. 30-10-2018, 2ª T, DJE de 9-11-2018.]</w:t>
      </w:r>
    </w:p>
    <w:p>
      <w:pPr>
        <w:ind w:left="288"/>
      </w:pPr>
      <w:r>
        <w:rPr>
          <w:color w:val="8C8C8C"/>
          <w:sz w:val="12"/>
        </w:rPr>
        <w:t>cf-art-102-inc-I-ali-l</w:t>
      </w:r>
      <w:r>
        <w:rPr>
          <w:color w:val="003CA0"/>
          <w:sz w:val="12"/>
        </w:rPr>
        <w:t xml:space="preserve"> | RE 760.931</w:t>
      </w:r>
      <w:r>
        <w:rPr>
          <w:color w:val="003CA0"/>
          <w:sz w:val="12"/>
        </w:rPr>
        <w:t xml:space="preserve"> | rel. Roberto Barroso</w:t>
      </w:r>
    </w:p>
    <w:p>
      <w:pPr>
        <w:ind w:left="288"/>
      </w:pPr>
      <w:r>
        <w:rPr>
          <w:color w:val="1E1E1E"/>
          <w:sz w:val="18"/>
        </w:rPr>
        <w:t>O Supremo Tribunal Federal firmou, no julgamento do RE 760.931, redator para acórdão Min. Luiz Fux, a seguinte tese: “O inadimplemento dos encargos trabalhistas dos empregados do contratado não transfere automaticamente ao Poder Público contratante a responsabilidade pelo seu pagamento, seja em caráter solidário ou subsidiário, nos termos do art. 71, § 1º, da Lei nº 8.666/93" (tema nº 246 da repercussão geral). Em 02.05.2017, data em que publicada a ata do julgamento do RE 760.931, ocorreu a substituição do parâmetro sobre a matéria. A partir de então, tornou-se inviável a propositura de recla</w:t>
      </w:r>
    </w:p>
    <w:p>
      <w:pPr>
        <w:ind w:left="288"/>
      </w:pPr>
      <w:r>
        <w:rPr>
          <w:b/>
          <w:color w:val="003CA0"/>
          <w:sz w:val="16"/>
        </w:rPr>
        <w:t>[Rcl 16.619 AgR, rel. min. Edson Fachin, j. 6-10-2015, 1ª T, DJE de 20-10-2015.]</w:t>
      </w:r>
    </w:p>
    <w:p>
      <w:pPr>
        <w:ind w:left="288"/>
      </w:pPr>
      <w:r>
        <w:rPr>
          <w:color w:val="8C8C8C"/>
          <w:sz w:val="12"/>
        </w:rPr>
        <w:t>cf-art-102-inc-I-ali-l</w:t>
      </w:r>
      <w:r>
        <w:rPr>
          <w:color w:val="003CA0"/>
          <w:sz w:val="12"/>
        </w:rPr>
        <w:t xml:space="preserve"> | RCL 16.418</w:t>
      </w:r>
      <w:r>
        <w:rPr>
          <w:color w:val="003CA0"/>
          <w:sz w:val="12"/>
        </w:rPr>
        <w:t xml:space="preserve"> | rel. Teori Zavascki</w:t>
      </w:r>
    </w:p>
    <w:p>
      <w:pPr>
        <w:ind w:left="288"/>
      </w:pPr>
      <w:r>
        <w:rPr>
          <w:color w:val="1E1E1E"/>
          <w:sz w:val="18"/>
        </w:rPr>
        <w:t>Está consagrada em nosso sistema normativo a orientação no sentido de que, salvo em caso de comprovada má-fé, não é cabível a condenação em honorários em ações de natureza constitucional, que visam tutelar relevantes interesses sociais. Com mais razão esse entendimento se aplica à reclamação, que é ação de natureza constitucional destinada a preservar a competência do próprio STF e para garantia da autoridade de suas decisões.</w:t>
      </w:r>
    </w:p>
    <w:p>
      <w:pPr>
        <w:ind w:left="288"/>
      </w:pPr>
      <w:r>
        <w:rPr>
          <w:b/>
          <w:color w:val="003CA0"/>
          <w:sz w:val="16"/>
        </w:rPr>
        <w:t>[Rcl 16.418 AgR-ED, rel. min. Teori Zavascki, j. 28-5-2014, P, DJE de 18-6-2014.]</w:t>
      </w:r>
    </w:p>
    <w:p>
      <w:pPr>
        <w:ind w:left="288"/>
      </w:pPr>
      <w:r>
        <w:rPr>
          <w:color w:val="8C8C8C"/>
          <w:sz w:val="12"/>
        </w:rPr>
        <w:t>cf-art-102-inc-I-ali-l</w:t>
      </w:r>
      <w:r>
        <w:rPr>
          <w:color w:val="003CA0"/>
          <w:sz w:val="12"/>
        </w:rPr>
        <w:t xml:space="preserve"> | RCL 7.013</w:t>
      </w:r>
      <w:r>
        <w:rPr>
          <w:color w:val="003CA0"/>
          <w:sz w:val="12"/>
        </w:rPr>
        <w:t xml:space="preserve"> | rel. Teori Zavascki</w:t>
      </w:r>
    </w:p>
    <w:p>
      <w:pPr>
        <w:ind w:left="288"/>
      </w:pPr>
      <w:r>
        <w:rPr>
          <w:color w:val="1E1E1E"/>
          <w:sz w:val="18"/>
        </w:rPr>
        <w:t>Não cabe reclamação para impugnar ato de governador que convalida resultado de concurso para progressão funcional, quando editado antes do trânsito em julgado de recurso extraordinário que cassa a segurança anteriormente concedida.</w:t>
      </w:r>
    </w:p>
    <w:p>
      <w:pPr>
        <w:ind w:left="288"/>
      </w:pPr>
      <w:r>
        <w:rPr>
          <w:b/>
          <w:color w:val="003CA0"/>
          <w:sz w:val="16"/>
        </w:rPr>
        <w:t>[Rcl 7.013 AgR, rel. min. Teori Zavascki, j. 14-5-2014, P, DJE de 9-6-2014.]</w:t>
      </w:r>
    </w:p>
    <w:p>
      <w:pPr>
        <w:ind w:left="288"/>
      </w:pPr>
      <w:r>
        <w:rPr>
          <w:color w:val="8C8C8C"/>
          <w:sz w:val="12"/>
        </w:rPr>
        <w:t>cf-art-102-inc-I-ali-l</w:t>
      </w:r>
      <w:r>
        <w:rPr>
          <w:color w:val="003CA0"/>
          <w:sz w:val="12"/>
        </w:rPr>
        <w:t xml:space="preserve"> | RCL 15.316</w:t>
      </w:r>
      <w:r>
        <w:rPr>
          <w:color w:val="003CA0"/>
          <w:sz w:val="12"/>
        </w:rPr>
        <w:t xml:space="preserve"> | rel. Marco Aurélio</w:t>
      </w:r>
    </w:p>
    <w:p>
      <w:pPr>
        <w:ind w:left="288"/>
      </w:pPr>
      <w:r>
        <w:rPr>
          <w:color w:val="1E1E1E"/>
          <w:sz w:val="18"/>
        </w:rPr>
        <w:t>Inicial. Reclamação. Documentos. A inicial deve vir acompanhada de documento essencial, no que indispensável à compreensão da controvérsia.</w:t>
      </w:r>
    </w:p>
    <w:p>
      <w:pPr>
        <w:ind w:left="288"/>
      </w:pPr>
      <w:r>
        <w:rPr>
          <w:b/>
          <w:color w:val="003CA0"/>
          <w:sz w:val="16"/>
        </w:rPr>
        <w:t>[Rcl 15.316 AgR, rel. min. Marco Aurélio, j. 25-2-2014, 1ª T, DJE de 27-3-2014.]</w:t>
      </w:r>
    </w:p>
    <w:p>
      <w:pPr>
        <w:ind w:left="288"/>
      </w:pPr>
      <w:r>
        <w:rPr>
          <w:color w:val="8C8C8C"/>
          <w:sz w:val="12"/>
        </w:rPr>
        <w:t>cf-art-102-inc-I-ali-l</w:t>
      </w:r>
      <w:r>
        <w:rPr>
          <w:color w:val="003CA0"/>
          <w:sz w:val="12"/>
        </w:rPr>
        <w:t xml:space="preserve"> | RCL 15.028</w:t>
      </w:r>
      <w:r>
        <w:rPr>
          <w:color w:val="003CA0"/>
          <w:sz w:val="12"/>
        </w:rPr>
        <w:t xml:space="preserve"> | rel. Celso de Mello</w:t>
      </w:r>
    </w:p>
    <w:p>
      <w:pPr>
        <w:ind w:left="288"/>
      </w:pPr>
      <w:r>
        <w:rPr>
          <w:color w:val="1E1E1E"/>
          <w:sz w:val="18"/>
        </w:rPr>
        <w:t>Entendo (...) que o Ministério Público estadual, quando atua no desempenho de suas prerrogativas institucionais e no âmbito de processos cuja natureza justifique a sua formal participação (quer como órgão agente, quer como órgão interveniente), dispõe, ele próprio, de legitimidade para ajuizar reclamação, em sede originária, perante o STF.</w:t>
      </w:r>
    </w:p>
    <w:p>
      <w:pPr>
        <w:ind w:left="288"/>
      </w:pPr>
      <w:r>
        <w:rPr>
          <w:b/>
          <w:color w:val="003CA0"/>
          <w:sz w:val="16"/>
        </w:rPr>
        <w:t>[Rcl 15.028, rel. min. Celso de Mello, j. 13-2-2014, dec. monocrática, DJE de 18-2-2014.]</w:t>
      </w:r>
    </w:p>
    <w:p>
      <w:pPr>
        <w:ind w:left="288"/>
      </w:pPr>
      <w:r>
        <w:rPr>
          <w:color w:val="8C8C8C"/>
          <w:sz w:val="12"/>
        </w:rPr>
        <w:t>cf-art-102-inc-I-ali-l</w:t>
      </w:r>
      <w:r>
        <w:rPr>
          <w:color w:val="003CA0"/>
          <w:sz w:val="12"/>
        </w:rPr>
        <w:t xml:space="preserve"> | RCL 4.008</w:t>
      </w:r>
      <w:r>
        <w:rPr>
          <w:color w:val="003CA0"/>
          <w:sz w:val="12"/>
        </w:rPr>
        <w:t xml:space="preserve"> | rel. Marco Aurélio</w:t>
      </w:r>
    </w:p>
    <w:p>
      <w:pPr>
        <w:ind w:left="288"/>
      </w:pPr>
      <w:r>
        <w:rPr>
          <w:color w:val="1E1E1E"/>
          <w:sz w:val="18"/>
        </w:rPr>
        <w:t>A reclamação não é meio próprio a fulminar acordo homologado em ação civil pública.</w:t>
      </w:r>
    </w:p>
    <w:p>
      <w:pPr>
        <w:ind w:left="288"/>
      </w:pPr>
      <w:r>
        <w:rPr>
          <w:b/>
          <w:color w:val="003CA0"/>
          <w:sz w:val="16"/>
        </w:rPr>
        <w:t>[Rcl 4.008 AgR, rel. min. Marco Aurélio, j. 17-10-2013, P, DJE de 7-11-2013.]</w:t>
      </w:r>
    </w:p>
    <w:p>
      <w:pPr>
        <w:ind w:left="288"/>
      </w:pPr>
      <w:r>
        <w:rPr>
          <w:color w:val="8C8C8C"/>
          <w:sz w:val="12"/>
        </w:rPr>
        <w:t>cf-art-102-inc-I-ali-l</w:t>
      </w:r>
      <w:r>
        <w:rPr>
          <w:color w:val="003CA0"/>
          <w:sz w:val="12"/>
        </w:rPr>
        <w:t xml:space="preserve"> | RCL 10.090</w:t>
      </w:r>
      <w:r>
        <w:rPr>
          <w:color w:val="003CA0"/>
          <w:sz w:val="12"/>
        </w:rPr>
        <w:t xml:space="preserve"> | rel. Dias Toffoli</w:t>
      </w:r>
    </w:p>
    <w:p>
      <w:pPr>
        <w:ind w:left="288"/>
      </w:pPr>
      <w:r>
        <w:rPr>
          <w:color w:val="1E1E1E"/>
          <w:sz w:val="18"/>
        </w:rPr>
        <w:t>Não é a reclamação constitucional a via adequada para a parte questionar eventual demora na apreciação de recursos interpostos pela via ordinária.</w:t>
      </w:r>
    </w:p>
    <w:p>
      <w:pPr>
        <w:ind w:left="288"/>
      </w:pPr>
      <w:r>
        <w:rPr>
          <w:b/>
          <w:color w:val="003CA0"/>
          <w:sz w:val="16"/>
        </w:rPr>
        <w:t>[Rcl 10.090 AgR, rel. min. Dias Toffoli, j. 19-6-2013, P, DJE de 24-9-2013.]</w:t>
      </w:r>
    </w:p>
    <w:p>
      <w:pPr>
        <w:ind w:left="288"/>
      </w:pPr>
      <w:r>
        <w:rPr>
          <w:color w:val="8C8C8C"/>
          <w:sz w:val="12"/>
        </w:rPr>
        <w:t>cf-art-102-inc-I-ali-l</w:t>
      </w:r>
      <w:r>
        <w:rPr>
          <w:color w:val="003CA0"/>
          <w:sz w:val="12"/>
        </w:rPr>
        <w:t xml:space="preserve"> | RCL 4.374</w:t>
      </w:r>
      <w:r>
        <w:rPr>
          <w:color w:val="003CA0"/>
          <w:sz w:val="12"/>
        </w:rPr>
        <w:t xml:space="preserve"> | rel. Gilmar Mendes</w:t>
      </w:r>
    </w:p>
    <w:p>
      <w:pPr>
        <w:ind w:left="288"/>
      </w:pPr>
      <w:r>
        <w:rPr>
          <w:color w:val="1E1E1E"/>
          <w:sz w:val="18"/>
        </w:rPr>
        <w:t>O STF, no exercício da competência geral de fiscalizar a compatibilidade formal e material de qualquer ato normativo com a Constituição, pode declarar a inconstitucionalidade, incidentalmente, de normas tidas como fundamento da decisão ou do ato que é impugnado na reclamação. Isso decorre da própria competência atribuída ao STF para exercer o denominado controle difuso da constitucionalidade das leis e dos atos normativos. A oportunidade de reapreciação das decisões tomadas em sede de controle abstrato de normas tende a surgir com mais naturalidade e de forma mais recorrente no âmbito das recl</w:t>
      </w:r>
    </w:p>
    <w:p>
      <w:pPr>
        <w:ind w:left="288"/>
      </w:pPr>
      <w:r>
        <w:rPr>
          <w:b/>
          <w:color w:val="003CA0"/>
          <w:sz w:val="16"/>
        </w:rPr>
        <w:t>[Rcl 4.374, rel. min. Gilmar Mendes, j. 18-4-2013, P, DJE de 4-9-2013.]</w:t>
      </w:r>
    </w:p>
    <w:p>
      <w:pPr>
        <w:ind w:left="288"/>
      </w:pPr>
      <w:r>
        <w:rPr>
          <w:color w:val="8C8C8C"/>
          <w:sz w:val="12"/>
        </w:rPr>
        <w:t>cf-art-102-inc-I-ali-l</w:t>
      </w:r>
      <w:r>
        <w:rPr>
          <w:color w:val="003CA0"/>
          <w:sz w:val="12"/>
        </w:rPr>
        <w:t xml:space="preserve"> | RCL 6.360</w:t>
      </w:r>
      <w:r>
        <w:rPr>
          <w:color w:val="003CA0"/>
          <w:sz w:val="12"/>
        </w:rPr>
        <w:t xml:space="preserve"> | rel. Dias Toffoli</w:t>
      </w:r>
    </w:p>
    <w:p>
      <w:pPr>
        <w:ind w:left="288"/>
      </w:pPr>
      <w:r>
        <w:rPr>
          <w:color w:val="1E1E1E"/>
          <w:sz w:val="18"/>
        </w:rPr>
        <w:t>Tendo como objeto o desrespeito a entendimento do STF firmado em sede de controle concentrado de constitucionalidade, portanto dotado de eficácia erga omnes, a reclamação constitucional é submetida a livre distribuição, nos termos do § 1º do art. 70 do RISTF.</w:t>
      </w:r>
    </w:p>
    <w:p>
      <w:pPr>
        <w:ind w:left="288"/>
      </w:pPr>
      <w:r>
        <w:rPr>
          <w:b/>
          <w:color w:val="003CA0"/>
          <w:sz w:val="16"/>
        </w:rPr>
        <w:t>[Rcl 6.360 AgR, rel. min. Dias Toffoli, j. 6-2-2013, P, DJE de 6-3-2013.]</w:t>
      </w:r>
    </w:p>
    <w:p>
      <w:pPr>
        <w:ind w:left="288"/>
      </w:pPr>
      <w:r>
        <w:rPr>
          <w:color w:val="8C8C8C"/>
          <w:sz w:val="12"/>
        </w:rPr>
        <w:t>cf-art-102-inc-I-ali-l</w:t>
      </w:r>
      <w:r>
        <w:rPr>
          <w:color w:val="003CA0"/>
          <w:sz w:val="12"/>
        </w:rPr>
        <w:t xml:space="preserve"> | RCL 4.310</w:t>
      </w:r>
      <w:r>
        <w:rPr>
          <w:color w:val="003CA0"/>
          <w:sz w:val="12"/>
        </w:rPr>
        <w:t xml:space="preserve"> | rel. Dias Toffoli</w:t>
      </w:r>
    </w:p>
    <w:p>
      <w:pPr>
        <w:ind w:left="288"/>
      </w:pPr>
      <w:r>
        <w:rPr>
          <w:color w:val="1E1E1E"/>
          <w:sz w:val="18"/>
        </w:rPr>
        <w:t>Reclamação constitucional ajuizada a fim de resguardar a competência originária desta Suprema Corte para julgar "as causas e os conflitos entre a União e os Estados, a União e o Distrito Federal, ou entre uns e outros, inclusive as respectivas entidades da administração indireta" (art. 102, I, f, da CF/1988). Impossibilidade de transmudar a reclamação constitucional em espécie processual diversa a fim de permitir a análise da existência de fumus boni iuris e do periculum in mora nos autos em que se discute matéria de fundo referente à inscrição do ente federado em cadastros federais de inadimp</w:t>
      </w:r>
    </w:p>
    <w:p>
      <w:pPr>
        <w:ind w:left="288"/>
      </w:pPr>
      <w:r>
        <w:rPr>
          <w:b/>
          <w:color w:val="003CA0"/>
          <w:sz w:val="16"/>
        </w:rPr>
        <w:t>[Rcl 4.310 AgR, rel. min. Dias Toffoli, j. 6-2-2013, P, DJE de 6-3-2013.]</w:t>
      </w:r>
    </w:p>
    <w:p>
      <w:pPr>
        <w:ind w:left="288"/>
      </w:pPr>
      <w:r>
        <w:rPr>
          <w:color w:val="8C8C8C"/>
          <w:sz w:val="12"/>
        </w:rPr>
        <w:t>cf-art-102-inc-I-ali-l</w:t>
      </w:r>
      <w:r>
        <w:rPr>
          <w:color w:val="003CA0"/>
          <w:sz w:val="12"/>
        </w:rPr>
        <w:t xml:space="preserve"> | RCL 6.193</w:t>
      </w:r>
      <w:r>
        <w:rPr>
          <w:color w:val="003CA0"/>
          <w:sz w:val="12"/>
        </w:rPr>
        <w:t xml:space="preserve"> | rel. Dias Toffoli</w:t>
      </w:r>
    </w:p>
    <w:p>
      <w:pPr>
        <w:ind w:left="288"/>
      </w:pPr>
      <w:r>
        <w:rPr>
          <w:color w:val="1E1E1E"/>
          <w:sz w:val="18"/>
        </w:rPr>
        <w:t>= Rcl 6.193 ED, rel. min. Dias Toffoli, j. 6-2-2013, P, DJE de 15-3-2013 É inepta a petição inicial de reclamação que não identifica com precisão quais seriam os atos contrários à autoridade do STF, nem que indique analiticamente como os atos reclamados poderiam violar a autoridade dos precedentes invocados.</w:t>
      </w:r>
    </w:p>
    <w:p>
      <w:pPr>
        <w:ind w:left="288"/>
      </w:pPr>
      <w:r>
        <w:rPr>
          <w:b/>
          <w:color w:val="003CA0"/>
          <w:sz w:val="16"/>
        </w:rPr>
        <w:t>[Rcl 9.732 AgR, rel. min. Joaquim Barbosa, j. 20-6-2012, P, DJE de 8-3-2013.]</w:t>
      </w:r>
    </w:p>
    <w:p>
      <w:pPr>
        <w:ind w:left="288"/>
      </w:pPr>
      <w:r>
        <w:rPr>
          <w:color w:val="8C8C8C"/>
          <w:sz w:val="12"/>
        </w:rPr>
        <w:t>cf-art-102-inc-I-ali-l</w:t>
      </w:r>
      <w:r>
        <w:rPr>
          <w:color w:val="003CA0"/>
          <w:sz w:val="12"/>
        </w:rPr>
        <w:t xml:space="preserve"> | ADI 3.395</w:t>
      </w:r>
      <w:r>
        <w:rPr>
          <w:color w:val="003CA0"/>
          <w:sz w:val="12"/>
        </w:rPr>
        <w:t xml:space="preserve"> | rel. Joaquim Barbosa</w:t>
      </w:r>
    </w:p>
    <w:p>
      <w:pPr>
        <w:ind w:left="288"/>
      </w:pPr>
      <w:r>
        <w:rPr>
          <w:color w:val="1E1E1E"/>
          <w:sz w:val="18"/>
        </w:rPr>
        <w:t>Decisão da Justiça do Trabalho que supostamente desrespeita a decisão deste STF na ADI 3.395 MC. (...) Ante a irrecorribilidade da decisão no âmbito da Justiça do Trabalho, deveria o agravante ter se utilizado da reclamação constitucional quando proferido o primeiro acórdão que tratou do tema relativo à competência para julgar a ação.</w:t>
      </w:r>
    </w:p>
    <w:p>
      <w:pPr>
        <w:ind w:left="288"/>
      </w:pPr>
      <w:r>
        <w:rPr>
          <w:b/>
          <w:color w:val="003CA0"/>
          <w:sz w:val="16"/>
        </w:rPr>
        <w:t>[Rcl 9.892 AgR, rel. min. Joaquim Barbosa, j. 16-5-2012, P, DJE de 4-6-2012.]</w:t>
      </w:r>
    </w:p>
    <w:p>
      <w:pPr>
        <w:ind w:left="288"/>
      </w:pPr>
      <w:r>
        <w:rPr>
          <w:color w:val="8C8C8C"/>
          <w:sz w:val="12"/>
        </w:rPr>
        <w:t>cf-art-102-inc-I-ali-l</w:t>
      </w:r>
      <w:r>
        <w:rPr>
          <w:color w:val="003CA0"/>
          <w:sz w:val="12"/>
        </w:rPr>
        <w:t xml:space="preserve"> | RCL 5.540</w:t>
      </w:r>
      <w:r>
        <w:rPr>
          <w:color w:val="003CA0"/>
          <w:sz w:val="12"/>
        </w:rPr>
        <w:t xml:space="preserve"> | rel. Marco Aurélio</w:t>
      </w:r>
    </w:p>
    <w:p>
      <w:pPr>
        <w:ind w:left="288"/>
      </w:pPr>
      <w:r>
        <w:rPr>
          <w:color w:val="1E1E1E"/>
          <w:sz w:val="18"/>
        </w:rPr>
        <w:t>O implemento de medida acauteladora em reclamação pressupõe a relevância do pedido e o risco de manter-se com plena eficácia o ato atacado.</w:t>
      </w:r>
    </w:p>
    <w:p>
      <w:pPr>
        <w:ind w:left="288"/>
      </w:pPr>
      <w:r>
        <w:rPr>
          <w:b/>
          <w:color w:val="003CA0"/>
          <w:sz w:val="16"/>
        </w:rPr>
        <w:t>[Rcl 5.540 MC-AgR, rel. min. Marco Aurélio, j. 1º-12-2011, P, DJE de 15-2-2012.]</w:t>
      </w:r>
    </w:p>
    <w:p>
      <w:pPr>
        <w:ind w:left="288"/>
      </w:pPr>
      <w:r>
        <w:rPr>
          <w:color w:val="8C8C8C"/>
          <w:sz w:val="12"/>
        </w:rPr>
        <w:t>cf-art-102-inc-I-ali-l</w:t>
      </w:r>
      <w:r>
        <w:rPr>
          <w:color w:val="003CA0"/>
          <w:sz w:val="12"/>
        </w:rPr>
        <w:t xml:space="preserve"> | RCL 10.110</w:t>
      </w:r>
      <w:r>
        <w:rPr>
          <w:color w:val="003CA0"/>
          <w:sz w:val="12"/>
        </w:rPr>
        <w:t xml:space="preserve"> | rel. Ricardo Lewandowski</w:t>
      </w:r>
    </w:p>
    <w:p>
      <w:pPr>
        <w:ind w:left="288"/>
      </w:pPr>
      <w:r>
        <w:rPr>
          <w:color w:val="1E1E1E"/>
          <w:sz w:val="18"/>
        </w:rPr>
        <w:t>A reclamação só pode ser utilizada para as hipóteses constitucionalmente previstas, não sendo meio idôneo para discutir procedimentos ou eventuais nulidades do inquérito policial.</w:t>
      </w:r>
    </w:p>
    <w:p>
      <w:pPr>
        <w:ind w:left="288"/>
      </w:pPr>
      <w:r>
        <w:rPr>
          <w:b/>
          <w:color w:val="003CA0"/>
          <w:sz w:val="16"/>
        </w:rPr>
        <w:t>[Rcl 10.110, rel. min. Ricardo Lewandowski, j. 20-10-2011, P, DJE de 8-11-2011.]</w:t>
      </w:r>
    </w:p>
    <w:p>
      <w:pPr>
        <w:ind w:left="288"/>
      </w:pPr>
      <w:r>
        <w:rPr>
          <w:color w:val="8C8C8C"/>
          <w:sz w:val="12"/>
        </w:rPr>
        <w:t>cf-art-102-inc-I-ali-l</w:t>
      </w:r>
      <w:r>
        <w:rPr>
          <w:color w:val="003CA0"/>
          <w:sz w:val="12"/>
        </w:rPr>
        <w:t xml:space="preserve"> | RCL 2.138</w:t>
      </w:r>
      <w:r>
        <w:rPr>
          <w:color w:val="003CA0"/>
          <w:sz w:val="12"/>
        </w:rPr>
        <w:t xml:space="preserve"> | rel. Cármen Lúcia</w:t>
      </w:r>
    </w:p>
    <w:p>
      <w:pPr>
        <w:ind w:left="288"/>
      </w:pPr>
      <w:r>
        <w:rPr>
          <w:color w:val="1E1E1E"/>
          <w:sz w:val="18"/>
        </w:rPr>
        <w:t>Agravo regimental na reclamação. Prefeito. Ação de improbidade. Alegado descumprimento de decisão que, à época, ainda não havia sido proferida nos autos da Rcl 2.138/DF. Processo subjetivo. Efeitos inter partes. Não cabe reclamação com fundamento em descumprimento de decisão do STF em processo cujo julgamento não foi concluído, ainda que haja maioria de votos proferidos em determinado sentido.</w:t>
      </w:r>
    </w:p>
    <w:p>
      <w:pPr>
        <w:ind w:left="288"/>
      </w:pPr>
      <w:r>
        <w:rPr>
          <w:b/>
          <w:color w:val="003CA0"/>
          <w:sz w:val="16"/>
        </w:rPr>
        <w:t>[Rcl 4.119 AgR, rel. min. Cármen Lúcia, j. 6-10-2011, P, DJE de 28-10-2011.]</w:t>
      </w:r>
    </w:p>
    <w:p>
      <w:pPr>
        <w:ind w:left="288"/>
      </w:pPr>
      <w:r>
        <w:rPr>
          <w:color w:val="8C8C8C"/>
          <w:sz w:val="12"/>
        </w:rPr>
        <w:t>cf-art-102-inc-I-ali-l</w:t>
      </w:r>
      <w:r>
        <w:rPr>
          <w:color w:val="003CA0"/>
          <w:sz w:val="12"/>
        </w:rPr>
        <w:t xml:space="preserve"> | RCL 4.381</w:t>
      </w:r>
      <w:r>
        <w:rPr>
          <w:color w:val="003CA0"/>
          <w:sz w:val="12"/>
        </w:rPr>
        <w:t xml:space="preserve"> | rel. Celso de Mello</w:t>
      </w:r>
    </w:p>
    <w:p>
      <w:pPr>
        <w:ind w:left="288"/>
      </w:pPr>
      <w:r>
        <w:rPr>
          <w:color w:val="1E1E1E"/>
          <w:sz w:val="18"/>
        </w:rPr>
        <w:t>Não cabe reclamação quando utilizada com o objetivo de fazer prevalecer a jurisprudência desta Suprema Corte, em situações nas quais os julgamentos do STF não se revistam de eficácia vinculante, exceto se se tratar de decisão que o STF tenha proferido em processo subjetivo no qual haja intervindo, como sujeito processual, a própria parte reclamante.</w:t>
      </w:r>
    </w:p>
    <w:p>
      <w:pPr>
        <w:ind w:left="288"/>
      </w:pPr>
      <w:r>
        <w:rPr>
          <w:b/>
          <w:color w:val="003CA0"/>
          <w:sz w:val="16"/>
        </w:rPr>
        <w:t>[Rcl 4.381 AgR, rel. min. Celso de Mello, j. 22-6-2011, P, DJE de 5-8-2011.]</w:t>
      </w:r>
    </w:p>
    <w:p>
      <w:pPr>
        <w:ind w:left="288"/>
      </w:pPr>
      <w:r>
        <w:rPr>
          <w:color w:val="8C8C8C"/>
          <w:sz w:val="12"/>
        </w:rPr>
        <w:t>cf-art-102-inc-I-ali-l</w:t>
      </w:r>
      <w:r>
        <w:rPr>
          <w:color w:val="003CA0"/>
          <w:sz w:val="12"/>
        </w:rPr>
        <w:t xml:space="preserve"> | RCL 11.235</w:t>
      </w:r>
      <w:r>
        <w:rPr>
          <w:color w:val="003CA0"/>
          <w:sz w:val="12"/>
        </w:rPr>
        <w:t xml:space="preserve"> | rel. Teori Zavascki</w:t>
      </w:r>
    </w:p>
    <w:p>
      <w:pPr>
        <w:ind w:left="288"/>
      </w:pPr>
      <w:r>
        <w:rPr>
          <w:color w:val="1E1E1E"/>
          <w:sz w:val="18"/>
        </w:rPr>
        <w:t>= Rcl 11.235 AgR, rel. min. Teori Zavascki, j. 18-12-2013, P, DJE de 19-2-2014 A reclamação não é sucedâneo ou substitutivo de recurso próprio para conferir eficácia à jurisdição invocada nos autos de recursos interpostos da decisão de mérito e da decisão em execução provisória.</w:t>
      </w:r>
    </w:p>
    <w:p>
      <w:pPr>
        <w:ind w:left="288"/>
      </w:pPr>
      <w:r>
        <w:rPr>
          <w:b/>
          <w:color w:val="003CA0"/>
          <w:sz w:val="16"/>
        </w:rPr>
        <w:t>[Rcl 6.327 AgR, rel. min. Ricardo Lewandowski, j. 2-3-2011, P, DJE de 1º-4-2011.]</w:t>
      </w:r>
    </w:p>
    <w:p>
      <w:pPr>
        <w:ind w:left="288"/>
      </w:pPr>
      <w:r>
        <w:rPr>
          <w:color w:val="8C8C8C"/>
          <w:sz w:val="12"/>
        </w:rPr>
        <w:t>cf-art-102-inc-I-ali-l</w:t>
      </w:r>
      <w:r>
        <w:rPr>
          <w:color w:val="003CA0"/>
          <w:sz w:val="12"/>
        </w:rPr>
        <w:t xml:space="preserve"> | RCL 7.101</w:t>
      </w:r>
      <w:r>
        <w:rPr>
          <w:color w:val="003CA0"/>
          <w:sz w:val="12"/>
        </w:rPr>
        <w:t xml:space="preserve"> | rel. Cármen Lúcia</w:t>
      </w:r>
    </w:p>
    <w:p>
      <w:pPr>
        <w:ind w:left="288"/>
      </w:pPr>
      <w:r>
        <w:rPr>
          <w:color w:val="1E1E1E"/>
          <w:sz w:val="18"/>
        </w:rPr>
        <w:t>O Supremo Tribunal reconheceu a legitimidade ativa autônoma do Ministério Público estadual para ajuizar reclamação no Supremo Tribunal, sem que se exija a ratificação da inicial pelo PGR.</w:t>
      </w:r>
    </w:p>
    <w:p>
      <w:pPr>
        <w:ind w:left="288"/>
      </w:pPr>
      <w:r>
        <w:rPr>
          <w:b/>
          <w:color w:val="003CA0"/>
          <w:sz w:val="16"/>
        </w:rPr>
        <w:t>[Rcl 7.101, rel. min. Cármen Lúcia, j. 24-2-2011, P, DJE de 9-8-2011.]</w:t>
      </w:r>
    </w:p>
    <w:p>
      <w:pPr>
        <w:ind w:left="288"/>
      </w:pPr>
      <w:r>
        <w:rPr>
          <w:color w:val="8C8C8C"/>
          <w:sz w:val="12"/>
        </w:rPr>
        <w:t>cf-art-102-inc-I-ali-l</w:t>
      </w:r>
      <w:r>
        <w:rPr>
          <w:color w:val="003CA0"/>
          <w:sz w:val="12"/>
        </w:rPr>
        <w:t xml:space="preserve"> | RCL 9.327</w:t>
      </w:r>
      <w:r>
        <w:rPr>
          <w:color w:val="003CA0"/>
          <w:sz w:val="12"/>
        </w:rPr>
        <w:t xml:space="preserve"> | rel. Dias Toffoli</w:t>
      </w:r>
    </w:p>
    <w:p>
      <w:pPr>
        <w:ind w:left="288"/>
      </w:pPr>
      <w:r>
        <w:rPr>
          <w:color w:val="1E1E1E"/>
          <w:sz w:val="18"/>
        </w:rPr>
        <w:t>= Rcl 9.327 AgR, rel. min. Dias Toffoli, j. 23-5-2013, P, DJE de 1º-8-2013 O conhecimento da reclamação constitucional não está condicionado à juntada aos autos de cópia integral da decisão paradigmática desta Suprema Corte tida por desrespeitada.</w:t>
      </w:r>
    </w:p>
    <w:p>
      <w:pPr>
        <w:ind w:left="288"/>
      </w:pPr>
      <w:r>
        <w:rPr>
          <w:b/>
          <w:color w:val="003CA0"/>
          <w:sz w:val="16"/>
        </w:rPr>
        <w:t>[Rcl 10.202 AgR, rel. p/ o ac. min. Dias Toffoli, j. 18-11-2010, P, DJE de 17-5-2011.]</w:t>
      </w:r>
    </w:p>
    <w:p>
      <w:pPr>
        <w:ind w:left="288"/>
      </w:pPr>
      <w:r>
        <w:rPr>
          <w:color w:val="8C8C8C"/>
          <w:sz w:val="12"/>
        </w:rPr>
        <w:t>cf-art-102-inc-I-ali-l</w:t>
      </w:r>
      <w:r>
        <w:rPr>
          <w:color w:val="003CA0"/>
          <w:sz w:val="12"/>
        </w:rPr>
        <w:t xml:space="preserve"> | RCL 9.471</w:t>
      </w:r>
      <w:r>
        <w:rPr>
          <w:color w:val="003CA0"/>
          <w:sz w:val="12"/>
        </w:rPr>
        <w:t xml:space="preserve"> | rel. Gilmar Mendes</w:t>
      </w:r>
    </w:p>
    <w:p>
      <w:pPr>
        <w:ind w:left="288"/>
      </w:pPr>
      <w:r>
        <w:rPr>
          <w:color w:val="1E1E1E"/>
          <w:sz w:val="18"/>
        </w:rPr>
        <w:t>Reclamação em que se impugna decisão do Tribunal de origem que, nos termos do art. 328-A, § 1º, do RISTF, aplica a orientação que o STF adotou em processo paradigma da repercussão geral (...). Inadmissibilidade.</w:t>
      </w:r>
    </w:p>
    <w:p>
      <w:pPr>
        <w:ind w:left="288"/>
      </w:pPr>
      <w:r>
        <w:rPr>
          <w:b/>
          <w:color w:val="003CA0"/>
          <w:sz w:val="16"/>
        </w:rPr>
        <w:t>[Rcl 9.471 AgR, rel. min. Gilmar Mendes, j. 29-6-2010, 2ª T, DJE de 13-8-2010.]</w:t>
      </w:r>
    </w:p>
    <w:p>
      <w:pPr>
        <w:ind w:left="288"/>
      </w:pPr>
      <w:r>
        <w:rPr>
          <w:color w:val="8C8C8C"/>
          <w:sz w:val="12"/>
        </w:rPr>
        <w:t>cf-art-102-inc-I-ali-l</w:t>
      </w:r>
      <w:r>
        <w:rPr>
          <w:color w:val="003CA0"/>
          <w:sz w:val="12"/>
        </w:rPr>
        <w:t xml:space="preserve"> | RCL 9.391</w:t>
      </w:r>
      <w:r>
        <w:rPr>
          <w:color w:val="003CA0"/>
          <w:sz w:val="12"/>
        </w:rPr>
        <w:t xml:space="preserve"> | rel. Ricardo Lewandowski</w:t>
      </w:r>
    </w:p>
    <w:p>
      <w:pPr>
        <w:ind w:left="288"/>
      </w:pPr>
      <w:r>
        <w:rPr>
          <w:color w:val="1E1E1E"/>
          <w:sz w:val="18"/>
        </w:rPr>
        <w:t>= Rcl 9.391 AgR, rel. min. Ricardo Lewandowski, j. 24-3-2011, P, DJE de 11-4-2011 O STF decidiu no sentido do não conhecimento da reclamação que visa a desconstituir, em fase de execução, decisões da Justiça do Trabalho transitadas em julgado.</w:t>
      </w:r>
    </w:p>
    <w:p>
      <w:pPr>
        <w:ind w:left="288"/>
      </w:pPr>
      <w:r>
        <w:rPr>
          <w:b/>
          <w:color w:val="003CA0"/>
          <w:sz w:val="16"/>
        </w:rPr>
        <w:t>[Rcl 671 AgR-ED, rel. min. Eros Grau, j. 17-6-2010, P, DJE de 6-8-2010.]</w:t>
      </w:r>
    </w:p>
    <w:p>
      <w:pPr>
        <w:ind w:left="288"/>
      </w:pPr>
      <w:r>
        <w:rPr>
          <w:color w:val="8C8C8C"/>
          <w:sz w:val="12"/>
        </w:rPr>
        <w:t>cf-art-102-inc-I-ali-l</w:t>
      </w:r>
      <w:r>
        <w:rPr>
          <w:color w:val="003CA0"/>
          <w:sz w:val="12"/>
        </w:rPr>
        <w:t xml:space="preserve"> | RCL 11.306</w:t>
      </w:r>
      <w:r>
        <w:rPr>
          <w:color w:val="003CA0"/>
          <w:sz w:val="12"/>
        </w:rPr>
        <w:t xml:space="preserve"> | rel. Dias Toffoli</w:t>
      </w:r>
    </w:p>
    <w:p>
      <w:pPr>
        <w:ind w:left="288"/>
      </w:pPr>
      <w:r>
        <w:rPr>
          <w:color w:val="1E1E1E"/>
          <w:sz w:val="18"/>
        </w:rPr>
        <w:t>= Rcl 11.306 AgR, rel. min. Dias Toffoli, j. 29-5-2013, P, DJE de 11-9-2013 Reclamação. Desrespeito a acórdão do Supremo. Indispensável é que a parte dispositiva do pronunciamento do Supremo tenha sido inobservada mediante a prática do ato impugnado. Isso não ocorre quando em jogo eleição em Tribunal de Justiça e o que decidido diz respeito a Regimento Interno de TRF.</w:t>
      </w:r>
    </w:p>
    <w:p>
      <w:pPr>
        <w:ind w:left="288"/>
      </w:pPr>
      <w:r>
        <w:rPr>
          <w:b/>
          <w:color w:val="003CA0"/>
          <w:sz w:val="16"/>
        </w:rPr>
        <w:t>[Rcl 9.591 MC-AgR, rel. min. Marco Aurélio, j. 8-4-2010, P, DJE de 14-5-2010.]</w:t>
      </w:r>
    </w:p>
    <w:p>
      <w:pPr>
        <w:ind w:left="288"/>
      </w:pPr>
      <w:r>
        <w:rPr>
          <w:color w:val="8C8C8C"/>
          <w:sz w:val="12"/>
        </w:rPr>
        <w:t>cf-art-102-inc-I-ali-l</w:t>
      </w:r>
      <w:r>
        <w:rPr>
          <w:color w:val="003CA0"/>
          <w:sz w:val="12"/>
        </w:rPr>
        <w:t xml:space="preserve"> | RCL 6.078</w:t>
      </w:r>
      <w:r>
        <w:rPr>
          <w:color w:val="003CA0"/>
          <w:sz w:val="12"/>
        </w:rPr>
        <w:t xml:space="preserve"> | rel. Joaquim Barbosa</w:t>
      </w:r>
    </w:p>
    <w:p>
      <w:pPr>
        <w:ind w:left="288"/>
      </w:pPr>
      <w:r>
        <w:rPr>
          <w:color w:val="1E1E1E"/>
          <w:sz w:val="18"/>
        </w:rPr>
        <w:t>Se o precedente tido por violado foi tomado em julgamento de alcance subjetivo, como se dá no controle difuso e incidental de constitucionalidade, somente é legitimado ao manejo da reclamação as partes que compuseram a relação processual do aresto.</w:t>
      </w:r>
    </w:p>
    <w:p>
      <w:pPr>
        <w:ind w:left="288"/>
      </w:pPr>
      <w:r>
        <w:rPr>
          <w:b/>
          <w:color w:val="003CA0"/>
          <w:sz w:val="16"/>
        </w:rPr>
        <w:t>[Rcl 6.078 AgR, rel. min. Joaquim Barbosa, j. 8-4-2010, P, DJE de 30-4-2010.]</w:t>
      </w:r>
    </w:p>
    <w:p>
      <w:pPr>
        <w:ind w:left="288"/>
      </w:pPr>
      <w:r>
        <w:rPr>
          <w:color w:val="8C8C8C"/>
          <w:sz w:val="12"/>
        </w:rPr>
        <w:t>cf-art-102-inc-I-ali-l</w:t>
      </w:r>
      <w:r>
        <w:rPr>
          <w:color w:val="003CA0"/>
          <w:sz w:val="12"/>
        </w:rPr>
        <w:t xml:space="preserve"> | RCL 4.381</w:t>
      </w:r>
      <w:r>
        <w:rPr>
          <w:color w:val="003CA0"/>
          <w:sz w:val="12"/>
        </w:rPr>
        <w:t xml:space="preserve"> | rel. Celso de Mello</w:t>
      </w:r>
    </w:p>
    <w:p>
      <w:pPr>
        <w:ind w:left="288"/>
      </w:pPr>
      <w:r>
        <w:rPr>
          <w:color w:val="1E1E1E"/>
          <w:sz w:val="18"/>
        </w:rPr>
        <w:t>= Rcl 4.381 AgR, rel. min. Celso de Mello, j. 22-6-2011, P, DJE de 5-8-2011 Vide Rcl 6.079 AgR, rel. min. Cármen Lúcia, j. 16-9-2009, P, DJE de 9-10-2009 A ação constitucional da reclamação não admite pedido de caráter preventivo.</w:t>
      </w:r>
    </w:p>
    <w:p>
      <w:pPr>
        <w:ind w:left="288"/>
      </w:pPr>
      <w:r>
        <w:rPr>
          <w:b/>
          <w:color w:val="003CA0"/>
          <w:sz w:val="16"/>
        </w:rPr>
        <w:t>[Rcl 4.058 AgR, rel. min. Cezar Peluso, j. 17-2-2010, P, DJE de 9-4-2010.]</w:t>
      </w:r>
    </w:p>
    <w:p>
      <w:pPr>
        <w:ind w:left="288"/>
      </w:pPr>
      <w:r>
        <w:rPr>
          <w:color w:val="8C8C8C"/>
          <w:sz w:val="12"/>
        </w:rPr>
        <w:t>cf-art-102-inc-I-ali-l</w:t>
      </w:r>
      <w:r>
        <w:rPr>
          <w:color w:val="003CA0"/>
          <w:sz w:val="12"/>
        </w:rPr>
        <w:t xml:space="preserve"> | RCL 6.449</w:t>
      </w:r>
      <w:r>
        <w:rPr>
          <w:color w:val="003CA0"/>
          <w:sz w:val="12"/>
        </w:rPr>
        <w:t xml:space="preserve"> | rel. Eros Grau</w:t>
      </w:r>
    </w:p>
    <w:p>
      <w:pPr>
        <w:ind w:left="288"/>
      </w:pPr>
      <w:r>
        <w:rPr>
          <w:color w:val="1E1E1E"/>
          <w:sz w:val="18"/>
        </w:rPr>
        <w:t>Inexiste ofensa à autoridade de súmula vinculante quando o ato de que se reclama é anterior à decisão emanada da Corte Suprema.</w:t>
      </w:r>
    </w:p>
    <w:p>
      <w:pPr>
        <w:ind w:left="288"/>
      </w:pPr>
      <w:r>
        <w:rPr>
          <w:b/>
          <w:color w:val="003CA0"/>
          <w:sz w:val="16"/>
        </w:rPr>
        <w:t>[Rcl 6.449 AgR, rel. min. Eros Grau, j. 25-11-2009, P, DJE de 11-12-2009.]</w:t>
      </w:r>
    </w:p>
    <w:p>
      <w:pPr>
        <w:ind w:left="288"/>
      </w:pPr>
      <w:r>
        <w:rPr>
          <w:color w:val="8C8C8C"/>
          <w:sz w:val="12"/>
        </w:rPr>
        <w:t>cf-art-102-inc-I-ali-l</w:t>
      </w:r>
      <w:r>
        <w:rPr>
          <w:color w:val="003CA0"/>
          <w:sz w:val="12"/>
        </w:rPr>
        <w:t xml:space="preserve"> | RCL 8.111</w:t>
      </w:r>
      <w:r>
        <w:rPr>
          <w:color w:val="003CA0"/>
          <w:sz w:val="12"/>
        </w:rPr>
        <w:t xml:space="preserve"> | rel. Cármen Lúcia</w:t>
      </w:r>
    </w:p>
    <w:p>
      <w:pPr>
        <w:ind w:left="288"/>
      </w:pPr>
      <w:r>
        <w:rPr>
          <w:color w:val="1E1E1E"/>
          <w:sz w:val="18"/>
        </w:rPr>
        <w:t>= Rcl 8.111 AgR, rel. min. Cármen Lúcia, j. 2-3-2011, P, DJE de 28-3-2011 Trânsito em julgado no curso do processo da reclamação. Inaplicabilidade da Súmula 734. (...) Admite-se reclamação contra decisão que só transitou em julgado após seu ajuizamento.</w:t>
      </w:r>
    </w:p>
    <w:p>
      <w:pPr>
        <w:ind w:left="288"/>
      </w:pPr>
      <w:r>
        <w:rPr>
          <w:b/>
          <w:color w:val="003CA0"/>
          <w:sz w:val="16"/>
        </w:rPr>
        <w:t>[Rcl 5.821 ED, rel. min. Cezar Peluso, j. 14-10-2009, P, DJE de 26-3-2010.]</w:t>
      </w:r>
    </w:p>
    <w:p>
      <w:pPr>
        <w:ind w:left="288"/>
      </w:pPr>
      <w:r>
        <w:rPr>
          <w:color w:val="8C8C8C"/>
          <w:sz w:val="12"/>
        </w:rPr>
        <w:t>cf-art-102-inc-I-ali-l</w:t>
      </w:r>
      <w:r>
        <w:rPr>
          <w:color w:val="003CA0"/>
          <w:sz w:val="12"/>
        </w:rPr>
        <w:t xml:space="preserve"> | RCL 8.934</w:t>
      </w:r>
      <w:r>
        <w:rPr>
          <w:color w:val="003CA0"/>
          <w:sz w:val="12"/>
        </w:rPr>
        <w:t xml:space="preserve"> | rel. Ricardo Lewandowski</w:t>
      </w:r>
    </w:p>
    <w:p>
      <w:pPr>
        <w:ind w:left="288"/>
      </w:pPr>
      <w:r>
        <w:rPr>
          <w:color w:val="1E1E1E"/>
          <w:sz w:val="18"/>
        </w:rPr>
        <w:t>= Rcl 8.934 ED, rel. min. Ricardo Lewandowski, j. 1º-12-2011, P, DJE de 1º-2-2012 Não cabe reclamação constitucional para questionar violação a súmula do STF destituída de efeito vinculante. Precedentes. As atuais súmulas singelas do STF somente produzirão efeito vinculante após sua confirmação por 2/3 dos ministros da Corte e publicação na imprensa oficial (art. 8º da EC  45/2004).</w:t>
      </w:r>
    </w:p>
    <w:p>
      <w:pPr>
        <w:ind w:left="288"/>
      </w:pPr>
      <w:r>
        <w:rPr>
          <w:b/>
          <w:color w:val="003CA0"/>
          <w:sz w:val="16"/>
        </w:rPr>
        <w:t>[Rcl 3.284 AgR, rel. min. Ayres Britto, j. 1º-7-2009, P, DJE de 28-8-2009.]</w:t>
      </w:r>
    </w:p>
    <w:p>
      <w:pPr>
        <w:ind w:left="288"/>
      </w:pPr>
      <w:r>
        <w:rPr>
          <w:color w:val="8C8C8C"/>
          <w:sz w:val="12"/>
        </w:rPr>
        <w:t>cf-art-102-inc-I-ali-l</w:t>
      </w:r>
      <w:r>
        <w:rPr>
          <w:color w:val="003CA0"/>
          <w:sz w:val="12"/>
        </w:rPr>
        <w:t xml:space="preserve"> | RCL 21.214</w:t>
      </w:r>
      <w:r>
        <w:rPr>
          <w:color w:val="003CA0"/>
          <w:sz w:val="12"/>
        </w:rPr>
        <w:t xml:space="preserve"> | rel. Celso de Mello</w:t>
      </w:r>
    </w:p>
    <w:p>
      <w:pPr>
        <w:ind w:left="288"/>
      </w:pPr>
      <w:r>
        <w:rPr>
          <w:color w:val="1E1E1E"/>
          <w:sz w:val="18"/>
        </w:rPr>
        <w:t>= Rcl 21.214, rel. min. Celso de Mello, j. 18-12-2015, dec. monocrática, DJE de 1º-2-2016 = Rcl 9.344 AgR, rel. min. Dias Toffoli, j. 2-6-2010, P, DJE de 22-10-2010 Vide Rcl 3.084, voto do rel. min. Ricardo Lewandowski, j. 29-4-2009, P, DJE de 1º-7-2009 Questão de ordem. Reclamação. Pedido de desistência. Processo de julgamento colegiado iniciado. Competência do Plenário. Homologação indeferida. Não é admissível o pedido de desistência de feitos cujo julgamento já tenha sido iniciado. Preservação da unicidade do julgamento.</w:t>
      </w:r>
    </w:p>
    <w:p>
      <w:pPr>
        <w:ind w:left="288"/>
      </w:pPr>
      <w:r>
        <w:rPr>
          <w:b/>
          <w:color w:val="003CA0"/>
          <w:sz w:val="16"/>
        </w:rPr>
        <w:t>[Rcl 1.503 QO e Rcl 1.519 QO, rel. min. Ricardo Lewandowski, j. 26-3-2009, P, DJE de 5-6-2009.]</w:t>
      </w:r>
    </w:p>
    <w:p>
      <w:pPr>
        <w:ind w:left="288"/>
      </w:pPr>
      <w:r>
        <w:rPr>
          <w:color w:val="8C8C8C"/>
          <w:sz w:val="12"/>
        </w:rPr>
        <w:t>cf-art-102-inc-I-ali-l</w:t>
      </w:r>
      <w:r>
        <w:rPr>
          <w:color w:val="003CA0"/>
          <w:sz w:val="12"/>
        </w:rPr>
        <w:t xml:space="preserve"> | RCL 5.017</w:t>
      </w:r>
      <w:r>
        <w:rPr>
          <w:color w:val="003CA0"/>
          <w:sz w:val="12"/>
        </w:rPr>
        <w:t xml:space="preserve"> | rel. Cezar Peluso</w:t>
      </w:r>
    </w:p>
    <w:p>
      <w:pPr>
        <w:ind w:left="288"/>
      </w:pPr>
      <w:r>
        <w:rPr>
          <w:color w:val="1E1E1E"/>
          <w:sz w:val="18"/>
        </w:rPr>
        <w:t>Julgado, sem exame do mérito, o processo onde se praticou ato contra o qual foi ajuizada reclamação constitucional, esta considera-se prejudicada, sem subsistência de interesse em recurso nela interposto.</w:t>
      </w:r>
    </w:p>
    <w:p>
      <w:pPr>
        <w:ind w:left="288"/>
      </w:pPr>
      <w:r>
        <w:rPr>
          <w:b/>
          <w:color w:val="003CA0"/>
          <w:sz w:val="16"/>
        </w:rPr>
        <w:t>[Rcl 5.017 AgR, rel. min. Cezar Peluso, j. 27-11-2008, P, DJE de 6-2-2009.]</w:t>
      </w:r>
    </w:p>
    <w:p>
      <w:pPr>
        <w:ind w:left="288"/>
      </w:pPr>
      <w:r>
        <w:rPr>
          <w:color w:val="8C8C8C"/>
          <w:sz w:val="12"/>
        </w:rPr>
        <w:t>cf-art-102-inc-I-ali-l</w:t>
      </w:r>
      <w:r>
        <w:rPr>
          <w:color w:val="003CA0"/>
          <w:sz w:val="12"/>
        </w:rPr>
        <w:t xml:space="preserve"> | RCL 9.450</w:t>
      </w:r>
      <w:r>
        <w:rPr>
          <w:color w:val="003CA0"/>
          <w:sz w:val="12"/>
        </w:rPr>
        <w:t xml:space="preserve"> | rel. Cármen Lúcia</w:t>
      </w:r>
    </w:p>
    <w:p>
      <w:pPr>
        <w:ind w:left="288"/>
      </w:pPr>
      <w:r>
        <w:rPr>
          <w:color w:val="1E1E1E"/>
          <w:sz w:val="18"/>
        </w:rPr>
        <w:t>= Rcl 9.450 AgR, rel. min. Cármen Lúcia, j. 14-10-2010, P, DJE de 3-11-2010 Não cabe reclamação contra demora na cognição de recurso que invoque ofensa a súmula vinculante.</w:t>
      </w:r>
    </w:p>
    <w:p>
      <w:pPr>
        <w:ind w:left="288"/>
      </w:pPr>
      <w:r>
        <w:rPr>
          <w:b/>
          <w:color w:val="003CA0"/>
          <w:sz w:val="16"/>
        </w:rPr>
        <w:t>[Rcl 6.638 AgR, rel. min. Cezar Peluso, j. 18-11-2008, 2ª T, DJE de 5-12-2008.]</w:t>
      </w:r>
    </w:p>
    <w:p>
      <w:pPr>
        <w:ind w:left="288"/>
      </w:pPr>
      <w:r>
        <w:rPr>
          <w:color w:val="8C8C8C"/>
          <w:sz w:val="12"/>
        </w:rPr>
        <w:t>cf-art-102-inc-I-ali-l</w:t>
      </w:r>
      <w:r>
        <w:rPr>
          <w:color w:val="003CA0"/>
          <w:sz w:val="12"/>
        </w:rPr>
        <w:t xml:space="preserve"> | RCL 4.743</w:t>
      </w:r>
      <w:r>
        <w:rPr>
          <w:color w:val="003CA0"/>
          <w:sz w:val="12"/>
        </w:rPr>
        <w:t xml:space="preserve"> | rel. Ellen Gracie</w:t>
      </w:r>
    </w:p>
    <w:p>
      <w:pPr>
        <w:ind w:left="288"/>
      </w:pPr>
      <w:r>
        <w:rPr>
          <w:color w:val="1E1E1E"/>
          <w:sz w:val="18"/>
        </w:rPr>
        <w:t>Agravo regimental foi interposto contra decisão monocrática que considerou não haver interesse processual na reclamação. Ausência de interesse processual diante da prévia declaração de extinção da pena privativa de liberdade cumprida pelo condenado.</w:t>
      </w:r>
    </w:p>
    <w:p>
      <w:pPr>
        <w:ind w:left="288"/>
      </w:pPr>
      <w:r>
        <w:rPr>
          <w:b/>
          <w:color w:val="003CA0"/>
          <w:sz w:val="16"/>
        </w:rPr>
        <w:t>[Rcl 4.743 AgR, rel. min. Ellen Gracie, j. 2-9-2008, 2ª T, DJE de 26-9-2008.]</w:t>
      </w:r>
    </w:p>
    <w:p>
      <w:pPr>
        <w:ind w:left="288"/>
      </w:pPr>
      <w:r>
        <w:rPr>
          <w:color w:val="8C8C8C"/>
          <w:sz w:val="12"/>
        </w:rPr>
        <w:t>cf-art-102-inc-I-ali-l</w:t>
      </w:r>
      <w:r>
        <w:rPr>
          <w:color w:val="003CA0"/>
          <w:sz w:val="12"/>
        </w:rPr>
        <w:t xml:space="preserve"> | RCL 5.411</w:t>
      </w:r>
      <w:r>
        <w:rPr>
          <w:color w:val="003CA0"/>
          <w:sz w:val="12"/>
        </w:rPr>
        <w:t xml:space="preserve"> | rel. Ricardo Lewandowski</w:t>
      </w:r>
    </w:p>
    <w:p>
      <w:pPr>
        <w:ind w:left="288"/>
      </w:pPr>
      <w:r>
        <w:rPr>
          <w:color w:val="1E1E1E"/>
          <w:sz w:val="18"/>
        </w:rPr>
        <w:t>A competência originária do STF não comporta a possibilidade de ser estendida a situações que extravasem os limites fixados pelo rol exaustivo inscrito no art. 102, I, da Constituição.</w:t>
      </w:r>
    </w:p>
    <w:p>
      <w:pPr>
        <w:ind w:left="288"/>
      </w:pPr>
      <w:r>
        <w:rPr>
          <w:b/>
          <w:color w:val="003CA0"/>
          <w:sz w:val="16"/>
        </w:rPr>
        <w:t>[Rcl 5.411 AgR, rel. min. Ricardo Lewandowski, j. 25-6-2008, P, DJE de 15-8-2008.]</w:t>
      </w:r>
    </w:p>
    <w:p>
      <w:pPr>
        <w:ind w:left="288"/>
      </w:pPr>
      <w:r>
        <w:rPr>
          <w:color w:val="8C8C8C"/>
          <w:sz w:val="12"/>
        </w:rPr>
        <w:t>cf-art-102-inc-I-ali-l</w:t>
      </w:r>
      <w:r>
        <w:rPr>
          <w:color w:val="003CA0"/>
          <w:sz w:val="12"/>
        </w:rPr>
        <w:t xml:space="preserve"> | RCL 6.579</w:t>
      </w:r>
      <w:r>
        <w:rPr>
          <w:color w:val="003CA0"/>
          <w:sz w:val="12"/>
        </w:rPr>
        <w:t xml:space="preserve"> | rel. Cármen Lúcia</w:t>
      </w:r>
    </w:p>
    <w:p>
      <w:pPr>
        <w:ind w:left="288"/>
      </w:pPr>
      <w:r>
        <w:rPr>
          <w:color w:val="1E1E1E"/>
          <w:sz w:val="18"/>
        </w:rPr>
        <w:t>= Rcl 6.579 AgR, rel. min. Cármen Lúcia, j. 13-11-2008, P, DJE de 4-12-2009 Não perde objeto a liminar concedida em reclamação que suspendeu os efeitos de decisão monocrática que afrontava o decidido pelo STF se a decisão for ratificada em acórdão.</w:t>
      </w:r>
    </w:p>
    <w:p>
      <w:pPr>
        <w:ind w:left="288"/>
      </w:pPr>
      <w:r>
        <w:rPr>
          <w:b/>
          <w:color w:val="003CA0"/>
          <w:sz w:val="16"/>
        </w:rPr>
        <w:t>[Rcl 4.920 MC-AgR, rel. min. Ricardo Lewandowski, j. 25-6-2008, P, DJE de 15-8-2008.]</w:t>
      </w:r>
    </w:p>
    <w:p>
      <w:pPr>
        <w:ind w:left="288"/>
      </w:pPr>
      <w:r>
        <w:rPr>
          <w:color w:val="8C8C8C"/>
          <w:sz w:val="12"/>
        </w:rPr>
        <w:t>cf-art-102-inc-I-ali-l</w:t>
      </w:r>
      <w:r>
        <w:rPr>
          <w:color w:val="003CA0"/>
          <w:sz w:val="12"/>
        </w:rPr>
        <w:t xml:space="preserve"> | RCL 3.704</w:t>
      </w:r>
      <w:r>
        <w:rPr>
          <w:color w:val="003CA0"/>
          <w:sz w:val="12"/>
        </w:rPr>
        <w:t xml:space="preserve"> | rel. Ricardo Lewandowski</w:t>
      </w:r>
    </w:p>
    <w:p>
      <w:pPr>
        <w:ind w:left="288"/>
      </w:pPr>
      <w:r>
        <w:rPr>
          <w:color w:val="1E1E1E"/>
          <w:sz w:val="18"/>
        </w:rPr>
        <w:t>A prescrição age na ação, enquanto a limitação dos efeitos da declaração de inconstitucionalidade age no próprio direito. Não há usurpação da competência desta Corte pela aplicação da prescrição.</w:t>
      </w:r>
    </w:p>
    <w:p>
      <w:pPr>
        <w:ind w:left="288"/>
      </w:pPr>
      <w:r>
        <w:rPr>
          <w:b/>
          <w:color w:val="003CA0"/>
          <w:sz w:val="16"/>
        </w:rPr>
        <w:t>[Rcl 3.704 AgR, rel. min. Ricardo Lewandowski, j. 25-6-2008, P, DJE de 8-8-2008.]</w:t>
      </w:r>
    </w:p>
    <w:p>
      <w:pPr>
        <w:ind w:left="288"/>
      </w:pPr>
      <w:r>
        <w:rPr>
          <w:color w:val="8C8C8C"/>
          <w:sz w:val="12"/>
        </w:rPr>
        <w:t>cf-art-102-inc-I-ali-l</w:t>
      </w:r>
      <w:r>
        <w:rPr>
          <w:color w:val="003CA0"/>
          <w:sz w:val="12"/>
        </w:rPr>
        <w:t xml:space="preserve"> | RCL 4.364</w:t>
      </w:r>
      <w:r>
        <w:rPr>
          <w:color w:val="003CA0"/>
          <w:sz w:val="12"/>
        </w:rPr>
        <w:t xml:space="preserve"> | rel. Marco Aurélio</w:t>
      </w:r>
    </w:p>
    <w:p>
      <w:pPr>
        <w:ind w:left="288"/>
      </w:pPr>
      <w:r>
        <w:rPr>
          <w:color w:val="1E1E1E"/>
          <w:sz w:val="18"/>
        </w:rPr>
        <w:t>Constando do ato atacado fundamento não versado no acórdão do Supremo, descabe assentar a adequação do pedido.</w:t>
      </w:r>
    </w:p>
    <w:p>
      <w:pPr>
        <w:ind w:left="288"/>
      </w:pPr>
      <w:r>
        <w:rPr>
          <w:b/>
          <w:color w:val="003CA0"/>
          <w:sz w:val="16"/>
        </w:rPr>
        <w:t>[Rcl 4.364 AgR, rel. min. Marco Aurélio, j. 14-5-2008, P, DJE de 20-6-2008.]</w:t>
      </w:r>
    </w:p>
    <w:p>
      <w:pPr>
        <w:ind w:left="288"/>
      </w:pPr>
      <w:r>
        <w:rPr>
          <w:color w:val="8C8C8C"/>
          <w:sz w:val="12"/>
        </w:rPr>
        <w:t>cf-art-102-inc-I-ali-l</w:t>
      </w:r>
      <w:r>
        <w:rPr>
          <w:color w:val="003CA0"/>
          <w:sz w:val="12"/>
        </w:rPr>
        <w:t xml:space="preserve"> | RCL 3.234</w:t>
      </w:r>
      <w:r>
        <w:rPr>
          <w:color w:val="003CA0"/>
          <w:sz w:val="12"/>
        </w:rPr>
        <w:t xml:space="preserve"> | rel. Marco Aurélio</w:t>
      </w:r>
    </w:p>
    <w:p>
      <w:pPr>
        <w:ind w:left="288"/>
      </w:pPr>
      <w:r>
        <w:rPr>
          <w:color w:val="1E1E1E"/>
          <w:sz w:val="18"/>
        </w:rPr>
        <w:t>O pronunciamento formalizado em reclamação beneficia os envolvidos. Descabe sobrepor medidas idênticas, ou seja, formalizar nova reclamação para ter-se a observância do que decidido em reclamação anterior.</w:t>
      </w:r>
    </w:p>
    <w:p>
      <w:pPr>
        <w:ind w:left="288"/>
      </w:pPr>
      <w:r>
        <w:rPr>
          <w:b/>
          <w:color w:val="003CA0"/>
          <w:sz w:val="16"/>
        </w:rPr>
        <w:t>[Rcl 3.234 AgR, rel. min. Marco Aurélio, j. 14-4-2008, P, DJE de 13-6-2008.]</w:t>
      </w:r>
    </w:p>
    <w:p>
      <w:pPr>
        <w:ind w:left="288"/>
      </w:pPr>
      <w:r>
        <w:rPr>
          <w:color w:val="8C8C8C"/>
          <w:sz w:val="12"/>
        </w:rPr>
        <w:t>cf-art-102-inc-I-ali-l</w:t>
      </w:r>
      <w:r>
        <w:rPr>
          <w:color w:val="003CA0"/>
          <w:sz w:val="12"/>
        </w:rPr>
        <w:t xml:space="preserve"> | RCL 6.079</w:t>
      </w:r>
      <w:r>
        <w:rPr>
          <w:color w:val="003CA0"/>
          <w:sz w:val="12"/>
        </w:rPr>
        <w:t xml:space="preserve"> | rel. Cármen Lúcia</w:t>
      </w:r>
    </w:p>
    <w:p>
      <w:pPr>
        <w:ind w:left="288"/>
      </w:pPr>
      <w:r>
        <w:rPr>
          <w:color w:val="1E1E1E"/>
          <w:sz w:val="18"/>
        </w:rPr>
        <w:t>= Rcl 6.079 AgR, rel. min. Cármen Lúcia, j. 16-9-2009, P, DJE de 9-10-2009 A reclamação é instrumento constitucional processual posto no sistema como dupla garantia formal da jurisdição: primeiro, para o jurisdicionado que tenha recebido resposta a pleito formulado judicialmente e que vê a decisão proferida afrontada, fragilizada e despojada de seu vigor e de sua eficácia; segundo, para o STF (art. 102, I,  l, da CF) ou para o STJ (art. 105, I,  f, da CF), que podem ter as suas respectivas competências enfrentadas e menosprezadas por outros órgãos do Poder Judiciário e a autoridade de suas dec</w:t>
      </w:r>
    </w:p>
    <w:p>
      <w:pPr>
        <w:ind w:left="288"/>
      </w:pPr>
      <w:r>
        <w:rPr>
          <w:b/>
          <w:color w:val="003CA0"/>
          <w:sz w:val="16"/>
        </w:rPr>
        <w:t>[Rcl 5.310, voto da rel. min. Cármen Lúcia, j. 3-4-2008, P, DJE de 16-5-2008.]</w:t>
      </w:r>
    </w:p>
    <w:p>
      <w:pPr>
        <w:ind w:left="288"/>
      </w:pPr>
      <w:r>
        <w:rPr>
          <w:color w:val="8C8C8C"/>
          <w:sz w:val="12"/>
        </w:rPr>
        <w:t>cf-art-102-inc-I-ali-l</w:t>
      </w:r>
      <w:r>
        <w:rPr>
          <w:color w:val="003CA0"/>
          <w:sz w:val="12"/>
        </w:rPr>
        <w:t xml:space="preserve"> | RCL 2.121</w:t>
      </w:r>
      <w:r>
        <w:rPr>
          <w:color w:val="003CA0"/>
          <w:sz w:val="12"/>
        </w:rPr>
        <w:t xml:space="preserve"> | rel. Eros Grau</w:t>
      </w:r>
    </w:p>
    <w:p>
      <w:pPr>
        <w:ind w:left="288"/>
      </w:pPr>
      <w:r>
        <w:rPr>
          <w:color w:val="1E1E1E"/>
          <w:sz w:val="18"/>
        </w:rPr>
        <w:t>Tendo sido extinta a ação direta de inconstitucionalidade, dá-se a perda de objeto também da reclamação e, logo, dos agravos regimentais.</w:t>
      </w:r>
    </w:p>
    <w:p>
      <w:pPr>
        <w:ind w:left="288"/>
      </w:pPr>
      <w:r>
        <w:rPr>
          <w:b/>
          <w:color w:val="003CA0"/>
          <w:sz w:val="16"/>
        </w:rPr>
        <w:t>[Rcl 2.121 AgR-AgR, rel. min. Eros Grau, j. 13-2-2008, P, DJE de 19-9-2008.]</w:t>
      </w:r>
    </w:p>
    <w:p>
      <w:pPr>
        <w:ind w:left="288"/>
      </w:pPr>
      <w:r>
        <w:rPr>
          <w:color w:val="8C8C8C"/>
          <w:sz w:val="12"/>
        </w:rPr>
        <w:t>cf-art-102-inc-I-ali-l</w:t>
      </w:r>
      <w:r>
        <w:rPr>
          <w:color w:val="003CA0"/>
          <w:sz w:val="12"/>
        </w:rPr>
        <w:t xml:space="preserve"> | RCL 2.912</w:t>
      </w:r>
      <w:r>
        <w:rPr>
          <w:color w:val="003CA0"/>
          <w:sz w:val="12"/>
        </w:rPr>
        <w:t xml:space="preserve"> | rel. Joaquim Barbosa</w:t>
      </w:r>
    </w:p>
    <w:p>
      <w:pPr>
        <w:ind w:left="288"/>
      </w:pPr>
      <w:r>
        <w:rPr>
          <w:color w:val="1E1E1E"/>
          <w:sz w:val="18"/>
        </w:rPr>
        <w:t>= Rcl 2.912 AgR, rel. min. Joaquim Barbosa, j. 23-9-2009, P, DJE de 6-11-2009 Reclamação. Decisão proferida em sede de agravo de instrumento contra decisão que não admitiu o extraordinário. Existência de decisões contraditórias, ambas com trânsito em julgado, sendo que a proferida nesta Suprema Corte é posterior. Não cabe à autoridade executiva descumprir julgado da Corte Suprema com apoio em interpretação sobre o alcance da coisa julgada envolvendo decisões conflitantes. A existência de tema constitucional relevante deverá ser objeto, se o caso, de atividade jurisdicional de iniciativa na Uni</w:t>
      </w:r>
    </w:p>
    <w:p>
      <w:pPr>
        <w:ind w:left="288"/>
      </w:pPr>
      <w:r>
        <w:rPr>
          <w:b/>
          <w:color w:val="003CA0"/>
          <w:sz w:val="16"/>
        </w:rPr>
        <w:t>[Rcl 5.151, rel. min. Menezes Direito, j. 12-2-2008, 1ª T, DJE de 28-3-2008.]</w:t>
      </w:r>
    </w:p>
    <w:p>
      <w:pPr>
        <w:ind w:left="288"/>
      </w:pPr>
      <w:r>
        <w:rPr>
          <w:color w:val="8C8C8C"/>
          <w:sz w:val="12"/>
        </w:rPr>
        <w:t>cf-art-102-inc-I-ali-l</w:t>
      </w:r>
      <w:r>
        <w:rPr>
          <w:color w:val="003CA0"/>
          <w:sz w:val="12"/>
        </w:rPr>
        <w:t xml:space="preserve"> | RCL 4.785</w:t>
      </w:r>
      <w:r>
        <w:rPr>
          <w:color w:val="003CA0"/>
          <w:sz w:val="12"/>
        </w:rPr>
        <w:t xml:space="preserve"> | rel. Gilmar Mendes</w:t>
      </w:r>
    </w:p>
    <w:p>
      <w:pPr>
        <w:ind w:left="288"/>
      </w:pPr>
      <w:r>
        <w:rPr>
          <w:color w:val="1E1E1E"/>
          <w:sz w:val="18"/>
        </w:rPr>
        <w:t>Não compete ao STF, no âmbito estreito de cognição próprio da reclamação constitucional, analisar a regularidade constitucional e legal das investiduras em cargos efetivos ou comissionados ou das contratações temporárias realizadas pelo poder público.</w:t>
      </w:r>
    </w:p>
    <w:p>
      <w:pPr>
        <w:ind w:left="288"/>
      </w:pPr>
      <w:r>
        <w:rPr>
          <w:b/>
          <w:color w:val="003CA0"/>
          <w:sz w:val="16"/>
        </w:rPr>
        <w:t>[Rcl 4.785 MC-AgR, rel. min. Gilmar Mendes, j. 17-12-2007, P, DJE de 14-3-2008.]</w:t>
      </w:r>
    </w:p>
    <w:p>
      <w:pPr>
        <w:ind w:left="288"/>
      </w:pPr>
      <w:r>
        <w:rPr>
          <w:color w:val="8C8C8C"/>
          <w:sz w:val="12"/>
        </w:rPr>
        <w:t>cf-art-102-inc-I-ali-l</w:t>
      </w:r>
      <w:r>
        <w:rPr>
          <w:color w:val="003CA0"/>
          <w:sz w:val="12"/>
        </w:rPr>
        <w:t xml:space="preserve"> | RCL 5.381</w:t>
      </w:r>
      <w:r>
        <w:rPr>
          <w:color w:val="003CA0"/>
          <w:sz w:val="12"/>
        </w:rPr>
        <w:t xml:space="preserve"> | rel. Ayres Britto</w:t>
      </w:r>
    </w:p>
    <w:p>
      <w:pPr>
        <w:ind w:left="288"/>
      </w:pPr>
      <w:r>
        <w:rPr>
          <w:color w:val="1E1E1E"/>
          <w:sz w:val="18"/>
        </w:rPr>
        <w:t>= Rcl 5.381 ED, rel. min. Ayres Britto, j. 20-5-2009, P, DJE de 21-8-2009 Concurso público para provimento de vagas nos serviços notariais e de registro do Estado de Minas Gerais. Alegação de desrespeito ao julgado desta corte na ADI 3.580/MG, rel. min. Gilmar Mendes. (...) O reclamante que não participou do concurso questionado não tem legitimidade para propor a reclamação (...).</w:t>
      </w:r>
    </w:p>
    <w:p>
      <w:pPr>
        <w:ind w:left="288"/>
      </w:pPr>
      <w:r>
        <w:rPr>
          <w:b/>
          <w:color w:val="003CA0"/>
          <w:sz w:val="16"/>
        </w:rPr>
        <w:t>[Rcl 4.344 AgR, rel. min. Ricardo Lewandowski, j. 22-11-2007, P, DJ de 7-12-2007.]</w:t>
      </w:r>
    </w:p>
    <w:p>
      <w:pPr>
        <w:ind w:left="288"/>
      </w:pPr>
      <w:r>
        <w:rPr>
          <w:color w:val="8C8C8C"/>
          <w:sz w:val="12"/>
        </w:rPr>
        <w:t>cf-art-102-inc-I-ali-l</w:t>
      </w:r>
      <w:r>
        <w:rPr>
          <w:color w:val="003CA0"/>
          <w:sz w:val="12"/>
        </w:rPr>
        <w:t xml:space="preserve"> | RCL 3.458</w:t>
      </w:r>
      <w:r>
        <w:rPr>
          <w:color w:val="003CA0"/>
          <w:sz w:val="12"/>
        </w:rPr>
        <w:t xml:space="preserve"> | rel. Cezar Peluso</w:t>
      </w:r>
    </w:p>
    <w:p>
      <w:pPr>
        <w:ind w:left="288"/>
      </w:pPr>
      <w:r>
        <w:rPr>
          <w:color w:val="1E1E1E"/>
          <w:sz w:val="18"/>
        </w:rPr>
        <w:t>Não se admite reclamação contra decisão que, em ação direta de inconstitucionalidade, indefere, sob qualquer que seja o fundamento, pedido de liminar.</w:t>
      </w:r>
    </w:p>
    <w:p>
      <w:pPr>
        <w:ind w:left="288"/>
      </w:pPr>
      <w:r>
        <w:rPr>
          <w:b/>
          <w:color w:val="003CA0"/>
          <w:sz w:val="16"/>
        </w:rPr>
        <w:t>[Rcl 3.458 AgR, rel. min. Cezar Peluso, j. 29-10-2007, P, DJ de 23-11-2007.]</w:t>
      </w:r>
    </w:p>
    <w:p>
      <w:pPr>
        <w:ind w:left="288"/>
      </w:pPr>
      <w:r>
        <w:rPr>
          <w:color w:val="8C8C8C"/>
          <w:sz w:val="12"/>
        </w:rPr>
        <w:t>cf-art-102-inc-I-ali-l</w:t>
      </w:r>
      <w:r>
        <w:rPr>
          <w:color w:val="003CA0"/>
          <w:sz w:val="12"/>
        </w:rPr>
        <w:t xml:space="preserve"> | RCL 3.267</w:t>
      </w:r>
      <w:r>
        <w:rPr>
          <w:color w:val="003CA0"/>
          <w:sz w:val="12"/>
        </w:rPr>
        <w:t xml:space="preserve"> | rel. Cármen Lúcia</w:t>
      </w:r>
    </w:p>
    <w:p>
      <w:pPr>
        <w:ind w:left="288"/>
      </w:pPr>
      <w:r>
        <w:rPr>
          <w:color w:val="1E1E1E"/>
          <w:sz w:val="18"/>
        </w:rPr>
        <w:t>= Rcl 3.267 AgR, rel. min. Cármen Lúcia, j. 21-10-2009, P, DJE de 20-11-2009 Não é lícito julgar, em reclamação contra decisão ofensiva a liminar concedida em ação direta de inconstitucionalidade, o prejuízo desta, ainda que sob fundamento de revogação ulterior da lei em que se baseou tal antecipação de tutela.</w:t>
      </w:r>
    </w:p>
    <w:p>
      <w:pPr>
        <w:ind w:left="288"/>
      </w:pPr>
      <w:r>
        <w:rPr>
          <w:b/>
          <w:color w:val="003CA0"/>
          <w:sz w:val="16"/>
        </w:rPr>
        <w:t>[Rcl 4.414 MC-AgR, rel. min. Cezar Peluso, j. 6-6-2007, P, DJ de 29-6-2007.]</w:t>
      </w:r>
    </w:p>
    <w:p>
      <w:pPr>
        <w:ind w:left="288"/>
      </w:pPr>
      <w:r>
        <w:rPr>
          <w:color w:val="8C8C8C"/>
          <w:sz w:val="12"/>
        </w:rPr>
        <w:t>cf-art-102-inc-I-ali-l</w:t>
      </w:r>
      <w:r>
        <w:rPr>
          <w:color w:val="003CA0"/>
          <w:sz w:val="12"/>
        </w:rPr>
        <w:t xml:space="preserve"> | RCL 4.733</w:t>
      </w:r>
      <w:r>
        <w:rPr>
          <w:color w:val="003CA0"/>
          <w:sz w:val="12"/>
        </w:rPr>
        <w:t xml:space="preserve"> | rel. Cezar Peluso</w:t>
      </w:r>
    </w:p>
    <w:p>
      <w:pPr>
        <w:ind w:left="288"/>
      </w:pPr>
      <w:r>
        <w:rPr>
          <w:color w:val="1E1E1E"/>
          <w:sz w:val="18"/>
        </w:rPr>
        <w:t>Reclamação não é via própria para avaliar, mediante cognição plena, o acerto, ou não, de decisão judicial que reputa unidade prisional reservada como adequada para recolhimento de advogado com direito a prisão especial.</w:t>
      </w:r>
    </w:p>
    <w:p>
      <w:pPr>
        <w:ind w:left="288"/>
      </w:pPr>
      <w:r>
        <w:rPr>
          <w:b/>
          <w:color w:val="003CA0"/>
          <w:sz w:val="16"/>
        </w:rPr>
        <w:t>[Rcl 4.733, rel. min. Cezar Peluso, j. 7-5-2007, P, DJ de 8-6-2007.]</w:t>
      </w:r>
    </w:p>
    <w:p>
      <w:pPr>
        <w:ind w:left="288"/>
      </w:pPr>
      <w:r>
        <w:rPr>
          <w:color w:val="8C8C8C"/>
          <w:sz w:val="12"/>
        </w:rPr>
        <w:t>cf-art-102-inc-I-ali-l</w:t>
      </w:r>
      <w:r>
        <w:rPr>
          <w:color w:val="003CA0"/>
          <w:sz w:val="12"/>
        </w:rPr>
        <w:t xml:space="preserve"> | RCL 2.600</w:t>
      </w:r>
      <w:r>
        <w:rPr>
          <w:color w:val="003CA0"/>
          <w:sz w:val="12"/>
        </w:rPr>
        <w:t xml:space="preserve"> | rel. Cezar Peluso</w:t>
      </w:r>
    </w:p>
    <w:p>
      <w:pPr>
        <w:ind w:left="288"/>
      </w:pPr>
      <w:r>
        <w:rPr>
          <w:color w:val="1E1E1E"/>
          <w:sz w:val="18"/>
        </w:rPr>
        <w:t>Reputa-se ofensivo à autoridade de sentença de mérito proferida em ação direta de inconstitucionalidade, com efeito ex tunc, o acórdão que, julgando improcedente ação rescisória, adotou entendimento contrário, ainda que na vigência e nos termos de liminar concedida na mesma ação direta de inconstitucionalidade.</w:t>
      </w:r>
    </w:p>
    <w:p>
      <w:pPr>
        <w:ind w:left="288"/>
      </w:pPr>
      <w:r>
        <w:rPr>
          <w:b/>
          <w:color w:val="003CA0"/>
          <w:sz w:val="16"/>
        </w:rPr>
        <w:t>[Rcl 2.600 AgR, rel. min. Cezar Peluso, j. 14-9-2006, P, DJ de 3-8-2007.]</w:t>
      </w:r>
    </w:p>
    <w:p>
      <w:pPr>
        <w:ind w:left="288"/>
      </w:pPr>
      <w:r>
        <w:rPr>
          <w:color w:val="8C8C8C"/>
          <w:sz w:val="12"/>
        </w:rPr>
        <w:t>cf-art-102-inc-I-ali-l</w:t>
      </w:r>
      <w:r>
        <w:rPr>
          <w:color w:val="003CA0"/>
          <w:sz w:val="12"/>
        </w:rPr>
        <w:t xml:space="preserve"> | RCL 3.916</w:t>
      </w:r>
      <w:r>
        <w:rPr>
          <w:color w:val="003CA0"/>
          <w:sz w:val="12"/>
        </w:rPr>
        <w:t xml:space="preserve"> | rel. Ayres Britto</w:t>
      </w:r>
    </w:p>
    <w:p>
      <w:pPr>
        <w:ind w:left="288"/>
      </w:pPr>
      <w:r>
        <w:rPr>
          <w:color w:val="1E1E1E"/>
          <w:sz w:val="18"/>
        </w:rPr>
        <w:t>Não cabe reclamação contra atos decisórios dos ministros ou das Turmas que integram esta Corte Suprema, dado que tais decisões são juridicamente imputados à autoria do próprio Tribunal em sua inteireza.</w:t>
      </w:r>
    </w:p>
    <w:p>
      <w:pPr>
        <w:ind w:left="288"/>
      </w:pPr>
      <w:r>
        <w:rPr>
          <w:b/>
          <w:color w:val="003CA0"/>
          <w:sz w:val="16"/>
        </w:rPr>
        <w:t>[Rcl 3.916 AgR, rel. min. Ayres Britto, j. 12-6-2006, P, DJ de 25-8-2006.]</w:t>
      </w:r>
    </w:p>
    <w:p>
      <w:pPr>
        <w:ind w:left="288"/>
      </w:pPr>
      <w:r>
        <w:rPr>
          <w:color w:val="8C8C8C"/>
          <w:sz w:val="12"/>
        </w:rPr>
        <w:t>cf-art-102-inc-I-ali-l</w:t>
      </w:r>
      <w:r>
        <w:rPr>
          <w:color w:val="003CA0"/>
          <w:sz w:val="12"/>
        </w:rPr>
        <w:t xml:space="preserve"> | RCL 13.996</w:t>
      </w:r>
      <w:r>
        <w:rPr>
          <w:color w:val="003CA0"/>
          <w:sz w:val="12"/>
        </w:rPr>
        <w:t xml:space="preserve"> | rel. Teori Zavascki</w:t>
      </w:r>
    </w:p>
    <w:p>
      <w:pPr>
        <w:ind w:left="288"/>
      </w:pPr>
      <w:r>
        <w:rPr>
          <w:color w:val="1E1E1E"/>
          <w:sz w:val="18"/>
        </w:rPr>
        <w:t>= Rcl 13.996 AgR, rel. min. Teori Zavascki, j. 26-5-2013, P, DJE de 11-6-2013 Não há desrespeito à decisão vinculante do Supremo Tribunal se o paradigma normativo invalidado é diverso do dispositivo legal aplicado ao caso pela autoridade reclamada.</w:t>
      </w:r>
    </w:p>
    <w:p>
      <w:pPr>
        <w:ind w:left="288"/>
      </w:pPr>
      <w:r>
        <w:rPr>
          <w:b/>
          <w:color w:val="003CA0"/>
          <w:sz w:val="16"/>
        </w:rPr>
        <w:t>[Rcl 3.940 AgR, rel. min. Sepúlveda Pertence, j. 23-2-2006, P, DJ de 24-3-2006.]</w:t>
      </w:r>
    </w:p>
    <w:p>
      <w:pPr>
        <w:ind w:left="288"/>
      </w:pPr>
      <w:r>
        <w:rPr>
          <w:color w:val="8C8C8C"/>
          <w:sz w:val="12"/>
        </w:rPr>
        <w:t>cf-art-102-inc-I-ali-l</w:t>
      </w:r>
      <w:r>
        <w:rPr>
          <w:color w:val="003CA0"/>
          <w:sz w:val="12"/>
        </w:rPr>
        <w:t xml:space="preserve"> | RCL 4.129</w:t>
      </w:r>
      <w:r>
        <w:rPr>
          <w:color w:val="003CA0"/>
          <w:sz w:val="12"/>
        </w:rPr>
        <w:t xml:space="preserve"> | rel. Gilmar Mendes</w:t>
      </w:r>
    </w:p>
    <w:p>
      <w:pPr>
        <w:ind w:left="288"/>
      </w:pPr>
      <w:r>
        <w:rPr>
          <w:color w:val="1E1E1E"/>
          <w:sz w:val="18"/>
        </w:rPr>
        <w:t>= Rcl 4.129 AgR, rel. min. Gilmar Mendes, j. 3-6-2009, P, DJE de 7-8-2009 A obrigatoriedade de observância da decisão de liminar, em controle abstrato realizado pelo STF, impõe-se com a publicação da ata da sessão de julgamento no Diário da Justiça. O ajuizamento de reclamação independe tanto da publicação do acórdão cuja autoridade se quer garantir (ADC 4 MC) como de sua juntada.</w:t>
      </w:r>
    </w:p>
    <w:p>
      <w:pPr>
        <w:ind w:left="288"/>
      </w:pPr>
      <w:r>
        <w:rPr>
          <w:b/>
          <w:color w:val="003CA0"/>
          <w:sz w:val="16"/>
        </w:rPr>
        <w:t>[Rcl 1.190 AgR e Rcl 1.197 AgR, rel. p/ o ac. min. Joaquim Barbosa, j. 8-9-2005, P, DJ de 3-2-2006.]</w:t>
      </w:r>
    </w:p>
    <w:p>
      <w:pPr>
        <w:ind w:left="288"/>
      </w:pPr>
      <w:r>
        <w:rPr>
          <w:color w:val="8C8C8C"/>
          <w:sz w:val="12"/>
        </w:rPr>
        <w:t>cf-art-102-inc-I-ali-l</w:t>
      </w:r>
      <w:r>
        <w:rPr>
          <w:color w:val="003CA0"/>
          <w:sz w:val="12"/>
        </w:rPr>
        <w:t xml:space="preserve"> | RCL 3.113</w:t>
      </w:r>
      <w:r>
        <w:rPr>
          <w:color w:val="003CA0"/>
          <w:sz w:val="12"/>
        </w:rPr>
        <w:t xml:space="preserve"> | rel. Dias Toffoli</w:t>
      </w:r>
    </w:p>
    <w:p>
      <w:pPr>
        <w:ind w:left="288"/>
      </w:pPr>
      <w:r>
        <w:rPr>
          <w:color w:val="1E1E1E"/>
          <w:sz w:val="18"/>
        </w:rPr>
        <w:t>= Rcl 3.113 AgR, rel. p/ o ac. min. Dias Toffoli, j. 18-8-2010, P, DJE de 12-11-2010 A reclamação visa preservar a competência do STF e garantir a autoridade de suas decisões, motivo pelo qual a decisão proferida em reclamação não substitui a decisão recorrida como nos recursos, mas apenas cassa o ato atacado. A reclamação tem natureza de remédio processual correcional, de função corregedora.</w:t>
      </w:r>
    </w:p>
    <w:p>
      <w:pPr>
        <w:ind w:left="288"/>
      </w:pPr>
      <w:r>
        <w:rPr>
          <w:b/>
          <w:color w:val="003CA0"/>
          <w:sz w:val="16"/>
        </w:rPr>
        <w:t>[Rcl 872 AgR, rel. p/ o ac. min. Nelson Jobim, j. 9-9-2004, P, DJ de 20-5-2005.]</w:t>
      </w:r>
    </w:p>
    <w:p>
      <w:pPr>
        <w:ind w:left="288"/>
      </w:pPr>
      <w:r>
        <w:rPr>
          <w:color w:val="8C8C8C"/>
          <w:sz w:val="12"/>
        </w:rPr>
        <w:t>cf-art-102-inc-I-ali-l</w:t>
      </w:r>
      <w:r>
        <w:rPr>
          <w:color w:val="003CA0"/>
          <w:sz w:val="12"/>
        </w:rPr>
        <w:t xml:space="preserve"> | RCL 1.880</w:t>
      </w:r>
      <w:r>
        <w:rPr>
          <w:color w:val="003CA0"/>
          <w:sz w:val="12"/>
        </w:rPr>
        <w:t xml:space="preserve"> | rel. Maurício Corrêa</w:t>
      </w:r>
    </w:p>
    <w:p>
      <w:pPr>
        <w:ind w:left="288"/>
      </w:pPr>
      <w:r>
        <w:rPr>
          <w:color w:val="1E1E1E"/>
          <w:sz w:val="18"/>
        </w:rPr>
        <w:t>Reclamação. Reconhecimento de legitimidade ativa ad causam de todos que comprovem prejuízo oriundo de decisões dos órgãos do Poder Judiciário, bem como da administração pública de todos os níveis, contrárias ao julgado do Tribunal. Ampliação do conceito de parte interessada (Lei 8.038/1990, art. 13). Reflexos processuais da eficácia vinculante do acórdão a ser preservado.</w:t>
      </w:r>
    </w:p>
    <w:p>
      <w:pPr>
        <w:ind w:left="288"/>
      </w:pPr>
      <w:r>
        <w:rPr>
          <w:b/>
          <w:color w:val="003CA0"/>
          <w:sz w:val="16"/>
        </w:rPr>
        <w:t>[Rcl 1.880 AgR, rel. min. Maurício Corrêa, j. 7-11-2002, P, DJ de 19-3-2004.]</w:t>
      </w:r>
    </w:p>
    <w:p>
      <w:pPr>
        <w:ind w:left="288"/>
      </w:pPr>
      <w:r>
        <w:rPr>
          <w:color w:val="8C8C8C"/>
          <w:sz w:val="12"/>
        </w:rPr>
        <w:t>cf-art-102-inc-I-ali-l</w:t>
      </w:r>
      <w:r>
        <w:rPr>
          <w:color w:val="003CA0"/>
          <w:sz w:val="12"/>
        </w:rPr>
        <w:t xml:space="preserve"> | RCL 707</w:t>
      </w:r>
      <w:r>
        <w:rPr>
          <w:color w:val="003CA0"/>
          <w:sz w:val="12"/>
        </w:rPr>
        <w:t xml:space="preserve"> | rel. Dias Toffoli</w:t>
      </w:r>
    </w:p>
    <w:p>
      <w:pPr>
        <w:ind w:left="288"/>
      </w:pPr>
      <w:r>
        <w:rPr>
          <w:color w:val="1E1E1E"/>
          <w:sz w:val="18"/>
        </w:rPr>
        <w:t>= Rcl 707 AgR-ED, rel. min. Dias Toffoli, j. 6-2-2013, P, DJE de 6-3-2013 O interessado, uma vez admitido ao processo de reclamação – e observada a fase procedimental em que este se acha –, tem o direito de ser intimado dos atos e termos processuais, assistindo-lhes, ainda, a prerrogativa de fazer sustentação oral, quando do julgamento final da causa.</w:t>
      </w:r>
    </w:p>
    <w:p>
      <w:pPr>
        <w:ind w:left="288"/>
      </w:pPr>
      <w:r>
        <w:rPr>
          <w:b/>
          <w:color w:val="003CA0"/>
          <w:sz w:val="16"/>
        </w:rPr>
        <w:t>[Rcl 449 AgR, rel. min. Celso de Mello, j. 12-12-1996, P, DJ de 21-2-1997.]</w:t>
      </w:r>
    </w:p>
    <w:p>
      <w:pPr>
        <w:ind w:left="288"/>
      </w:pPr>
      <w:r>
        <w:rPr>
          <w:color w:val="8C8C8C"/>
          <w:sz w:val="12"/>
        </w:rPr>
        <w:t>cf-art-102-inc-I-ali-l</w:t>
      </w:r>
      <w:r>
        <w:rPr>
          <w:color w:val="003CA0"/>
          <w:sz w:val="12"/>
        </w:rPr>
        <w:t xml:space="preserve"> | RCL 8.478</w:t>
      </w:r>
      <w:r>
        <w:rPr>
          <w:color w:val="003CA0"/>
          <w:sz w:val="12"/>
        </w:rPr>
        <w:t xml:space="preserve"> | rel. Cármen Lúcia</w:t>
      </w:r>
    </w:p>
    <w:p>
      <w:pPr>
        <w:ind w:left="288"/>
      </w:pPr>
      <w:r>
        <w:rPr>
          <w:color w:val="1E1E1E"/>
          <w:sz w:val="18"/>
        </w:rPr>
        <w:t>= Rcl 8.478 AgR, rel. min. Cármen Lúcia, j. 1º-8-2011, P, DJE de 22-8-2011</w:t>
      </w:r>
    </w:p>
    <w:p>
      <w:pPr>
        <w:ind w:left="288"/>
      </w:pPr>
      <w:r>
        <w:rPr>
          <w:color w:val="8C8C8C"/>
          <w:sz w:val="12"/>
        </w:rPr>
        <w:t>cf-art-102-inc-I-ali-m</w:t>
      </w:r>
      <w:r>
        <w:rPr>
          <w:color w:val="003CA0"/>
          <w:sz w:val="12"/>
        </w:rPr>
        <w:t xml:space="preserve"> | PET 6.076</w:t>
      </w:r>
      <w:r>
        <w:rPr>
          <w:color w:val="003CA0"/>
          <w:sz w:val="12"/>
        </w:rPr>
        <w:t xml:space="preserve"> | rel. Dias Toffoli</w:t>
      </w:r>
    </w:p>
    <w:p>
      <w:pPr>
        <w:ind w:left="288"/>
      </w:pPr>
      <w:r>
        <w:rPr>
          <w:color w:val="1E1E1E"/>
          <w:sz w:val="18"/>
        </w:rPr>
        <w:t>Art. 102, I, m, da CF/1988. Interpretação teleológica. (...) Questão de ordem resolvida no sentido de que não compete originariamente ao STF a execução individual de sentenças genéricas de perfil coletivo, inclusive aquelas proferidas em sede mandamental coletiva, cabendo essa atribuição aos órgãos competentes de primeira instância.</w:t>
        <w:br/>
        <w:t>[Pet 6.076 QO, rel. min. Dias Toffoli, j. 25-4-2017, 2ª T, DJE de 26-5-2017.] A ação cível originária é procedimento no qual o STF atua como instância originária, prestando não só a tutela de conhecimento inicial como a própria prestação jurisdicional executiva, se</w:t>
      </w:r>
    </w:p>
    <w:p>
      <w:pPr>
        <w:ind w:left="288"/>
      </w:pPr>
      <w:r>
        <w:rPr>
          <w:b/>
          <w:color w:val="003CA0"/>
          <w:sz w:val="16"/>
        </w:rPr>
        <w:t>[RE 626.369 ED-ED, voto da rel. min. Ellen Gracie, j. 1º-3-2011, 2ª T, DJE de 24-3-2011.]</w:t>
      </w:r>
    </w:p>
    <w:p>
      <w:pPr>
        <w:ind w:left="288"/>
      </w:pPr>
      <w:r>
        <w:rPr>
          <w:color w:val="8C8C8C"/>
          <w:sz w:val="12"/>
        </w:rPr>
        <w:t>cf-art-102-inc-I-ali-m</w:t>
      </w:r>
    </w:p>
    <w:p>
      <w:pPr>
        <w:ind w:left="288"/>
      </w:pPr>
      <w:r>
        <w:rPr>
          <w:color w:val="1E1E1E"/>
          <w:sz w:val="18"/>
        </w:rPr>
        <w:t>n) a ação em que todos os membros da magistratura sejam direta ou indiretamente interessados, e aquela em que mais da metade dos membros do tribunal de origem estejam impedidos ou sejam direta ou indiretamente interessados;</w:t>
      </w:r>
    </w:p>
    <w:p>
      <w:pPr>
        <w:ind w:left="144"/>
      </w:pPr>
      <w:r>
        <w:rPr>
          <w:b/>
          <w:color w:val="B45A00"/>
          <w:sz w:val="16"/>
        </w:rPr>
        <w:t>SUMULA</w:t>
      </w:r>
    </w:p>
    <w:p>
      <w:pPr>
        <w:ind w:left="288"/>
      </w:pPr>
      <w:r>
        <w:rPr>
          <w:color w:val="8C8C8C"/>
          <w:sz w:val="12"/>
        </w:rPr>
        <w:t>cf-art-102-inc-I-ali-m</w:t>
      </w:r>
    </w:p>
    <w:p>
      <w:pPr>
        <w:ind w:left="288"/>
      </w:pPr>
      <w:r>
        <w:rPr>
          <w:color w:val="1E1E1E"/>
          <w:sz w:val="18"/>
        </w:rPr>
        <w:t>Para fim da competência originária do STF, é de interesse geral da magistratura a questão de saber se, em face da Loman, os juízes têm direito à licença-prêmio.</w:t>
      </w:r>
    </w:p>
    <w:p>
      <w:pPr>
        <w:ind w:left="288"/>
      </w:pPr>
      <w:r>
        <w:rPr>
          <w:b/>
          <w:color w:val="003CA0"/>
          <w:sz w:val="16"/>
        </w:rPr>
        <w:t>[Súmula 731.]</w:t>
      </w:r>
    </w:p>
    <w:p>
      <w:pPr>
        <w:ind w:left="288"/>
      </w:pPr>
      <w:r>
        <w:rPr>
          <w:color w:val="8C8C8C"/>
          <w:sz w:val="12"/>
        </w:rPr>
        <w:t>cf-art-102-inc-I-ali-m</w:t>
      </w:r>
    </w:p>
    <w:p>
      <w:pPr>
        <w:ind w:left="288"/>
      </w:pPr>
      <w:r>
        <w:rPr>
          <w:color w:val="1E1E1E"/>
          <w:sz w:val="18"/>
        </w:rPr>
        <w:t>Não gera por si só a competência originária do STF para conhecer do mandado de segurança com base no art. 102, I, n, da Constituição, dirigir-se o pedido contra deliberação administrativa do tribunal de origem, da qual haja participado a maioria ou a totalidade de seus membros.</w:t>
      </w:r>
    </w:p>
    <w:p>
      <w:pPr>
        <w:ind w:left="288"/>
      </w:pPr>
      <w:r>
        <w:rPr>
          <w:b/>
          <w:color w:val="003CA0"/>
          <w:sz w:val="16"/>
        </w:rPr>
        <w:t>[Súmula 623.]</w:t>
      </w:r>
    </w:p>
    <w:p>
      <w:pPr>
        <w:ind w:left="144"/>
      </w:pPr>
      <w:r>
        <w:rPr>
          <w:b/>
          <w:color w:val="B45A00"/>
          <w:sz w:val="16"/>
        </w:rPr>
        <w:t>REPERCUSSAO GERAL</w:t>
      </w:r>
    </w:p>
    <w:p>
      <w:pPr>
        <w:ind w:left="288"/>
      </w:pPr>
      <w:r>
        <w:rPr>
          <w:color w:val="8C8C8C"/>
          <w:sz w:val="12"/>
        </w:rPr>
        <w:t>cf-art-102-inc-I-ali-m</w:t>
      </w:r>
      <w:r>
        <w:rPr>
          <w:color w:val="003CA0"/>
          <w:sz w:val="12"/>
        </w:rPr>
        <w:t xml:space="preserve"> | RE 1.301.504</w:t>
      </w:r>
      <w:r>
        <w:rPr>
          <w:color w:val="003CA0"/>
          <w:sz w:val="12"/>
        </w:rPr>
        <w:t xml:space="preserve"> | rel. Luiz Fux</w:t>
      </w:r>
    </w:p>
    <w:p>
      <w:pPr>
        <w:ind w:left="288"/>
      </w:pPr>
      <w:r>
        <w:rPr>
          <w:color w:val="1E1E1E"/>
          <w:sz w:val="18"/>
        </w:rPr>
        <w:t>Assentada a incompetência originária do Supremo Tribunal Federal para julgar causa que verse sobre direito, interesse ou vantagem que não sejam exclusivos da magistratura, é infraconstitucional, a ela se aplicando os efeitos da ausência de repercussão geral, a controvérsia relativa ao preenchimento dos requisitos legais para percepção de diárias por magistrados, assim como ao valor efetivamente devido.</w:t>
        <w:br/>
        <w:t>[RE 1.301.504 RG, rel. min. Luiz Fux, j. 30-9-2021, P, DJE de 7-10-2021, Tema 1.173, com repercussão geral negada.]</w:t>
      </w:r>
    </w:p>
    <w:p>
      <w:pPr>
        <w:ind w:left="144"/>
      </w:pPr>
      <w:r>
        <w:rPr>
          <w:b/>
          <w:color w:val="B45A00"/>
          <w:sz w:val="16"/>
        </w:rPr>
        <w:t>JULGADOS CORRELATOS</w:t>
      </w:r>
    </w:p>
    <w:p>
      <w:pPr>
        <w:ind w:left="288"/>
      </w:pPr>
      <w:r>
        <w:rPr>
          <w:color w:val="8C8C8C"/>
          <w:sz w:val="12"/>
        </w:rPr>
        <w:t>cf-art-102-inc-I-ali-m</w:t>
      </w:r>
      <w:r>
        <w:rPr>
          <w:color w:val="003CA0"/>
          <w:sz w:val="12"/>
        </w:rPr>
        <w:t xml:space="preserve"> | AO 2.275</w:t>
      </w:r>
      <w:r>
        <w:rPr>
          <w:color w:val="003CA0"/>
          <w:sz w:val="12"/>
        </w:rPr>
        <w:t xml:space="preserve"> | rel. Luiz Fux</w:t>
      </w:r>
    </w:p>
    <w:p>
      <w:pPr>
        <w:ind w:left="288"/>
      </w:pPr>
      <w:r>
        <w:rPr>
          <w:color w:val="1E1E1E"/>
          <w:sz w:val="18"/>
        </w:rPr>
        <w:t>Denúncia de peculato, lavagem de dinheiro e organização criminosa em face de deputado estadual. Mais da metade dos membros do Tribunal de Justiça do Estado do Rio Grande do Norte impedidos. Competência do STF. CF, art. 102, I, n. (...) O art. 102, I, n, da CF expressa que compete ao STF processar e julgar, originariamente, a ação em que mais da metade dos membros do tribunal de origem estejam impedidos ou sejam direta ou indiretamente interessados.</w:t>
      </w:r>
    </w:p>
    <w:p>
      <w:pPr>
        <w:ind w:left="288"/>
      </w:pPr>
      <w:r>
        <w:rPr>
          <w:b/>
          <w:color w:val="003CA0"/>
          <w:sz w:val="16"/>
        </w:rPr>
        <w:t>[AO 2.275, rel. min. Luiz Fux, j. 23-10-2018, 1ª T, DJE de 28-2-2019.]</w:t>
      </w:r>
    </w:p>
    <w:p>
      <w:pPr>
        <w:ind w:left="288"/>
      </w:pPr>
      <w:r>
        <w:rPr>
          <w:color w:val="8C8C8C"/>
          <w:sz w:val="12"/>
        </w:rPr>
        <w:t>cf-art-102-inc-I-ali-m</w:t>
      </w:r>
      <w:r>
        <w:rPr>
          <w:color w:val="003CA0"/>
          <w:sz w:val="12"/>
        </w:rPr>
        <w:t xml:space="preserve"> | AO 1.569</w:t>
      </w:r>
      <w:r>
        <w:rPr>
          <w:color w:val="003CA0"/>
          <w:sz w:val="12"/>
        </w:rPr>
        <w:t xml:space="preserve"> | rel. Marco Aurélio</w:t>
      </w:r>
    </w:p>
    <w:p>
      <w:pPr>
        <w:ind w:left="288"/>
      </w:pPr>
      <w:r>
        <w:rPr>
          <w:color w:val="1E1E1E"/>
          <w:sz w:val="18"/>
        </w:rPr>
        <w:t>Não é relevante, para a definição da competência para processar e julgar esta ação, que tenha ela sido ajuizada por magistrado estadual, e não federal. Conquanto interpretação literal do art. 102, I, n, da Carta Magna dê a entender "a necessidade de envolvimento de ‘todos os membros da magistratura’ de forma direta ou indireta" para a aplicação da competência originária do STF, deve-se ter em conta que essa disposição normativa constitucional "não possui outro objetivo senão o de deslocar a competência para evitar-se, embora de forma geral, o julgamento da causa por interessados" (AO 1.569 QO,</w:t>
      </w:r>
    </w:p>
    <w:p>
      <w:pPr>
        <w:ind w:left="288"/>
      </w:pPr>
      <w:r>
        <w:rPr>
          <w:b/>
          <w:color w:val="003CA0"/>
          <w:sz w:val="16"/>
        </w:rPr>
        <w:t>[RE 608.847 AgR, red. do ac. min. Teori Zavascki, j. 1º-12-2015, 2ª T, DJE de 18-4-2016.]</w:t>
      </w:r>
    </w:p>
    <w:p>
      <w:pPr>
        <w:ind w:left="288"/>
      </w:pPr>
      <w:r>
        <w:rPr>
          <w:color w:val="8C8C8C"/>
          <w:sz w:val="12"/>
        </w:rPr>
        <w:t>cf-art-102-inc-I-ali-m</w:t>
      </w:r>
      <w:r>
        <w:rPr>
          <w:color w:val="003CA0"/>
          <w:sz w:val="12"/>
        </w:rPr>
        <w:t xml:space="preserve"> | RCL 11.323</w:t>
      </w:r>
    </w:p>
    <w:p>
      <w:pPr>
        <w:ind w:left="288"/>
      </w:pPr>
      <w:r>
        <w:rPr>
          <w:color w:val="1E1E1E"/>
          <w:sz w:val="18"/>
        </w:rPr>
        <w:t>Insere-se na competência do STF (art. 102, I, n, da CF) a ação de mandado de segurança coletivo, impetrado por entidades associativas de magistrados, visando a assegurar alegada prerrogativa da magistratura (art. 33, V, da Loman) de obter a renovação simplificada dos registros de propriedade de armas de defesa pessoal, com dispensa de teste psicológico e de capacidade técnica e da revisão periódica do registro.</w:t>
      </w:r>
    </w:p>
    <w:p>
      <w:pPr>
        <w:ind w:left="288"/>
      </w:pPr>
      <w:r>
        <w:rPr>
          <w:b/>
          <w:color w:val="003CA0"/>
          <w:sz w:val="16"/>
        </w:rPr>
        <w:t>[Rcl 11.323 AgR, red. do ac. min. Teori Zavascki, j. 22-4-2015, P, DJE de 3-8-2015.]</w:t>
      </w:r>
    </w:p>
    <w:p>
      <w:pPr>
        <w:ind w:left="288"/>
      </w:pPr>
      <w:r>
        <w:rPr>
          <w:color w:val="8C8C8C"/>
          <w:sz w:val="12"/>
        </w:rPr>
        <w:t>cf-art-102-inc-I-ali-m</w:t>
      </w:r>
      <w:r>
        <w:rPr>
          <w:color w:val="003CA0"/>
          <w:sz w:val="12"/>
        </w:rPr>
        <w:t xml:space="preserve"> | RCL 16.061</w:t>
      </w:r>
      <w:r>
        <w:rPr>
          <w:color w:val="003CA0"/>
          <w:sz w:val="12"/>
        </w:rPr>
        <w:t xml:space="preserve"> | rel. Teori Zavascki</w:t>
      </w:r>
    </w:p>
    <w:p>
      <w:pPr>
        <w:ind w:left="288"/>
      </w:pPr>
      <w:r>
        <w:rPr>
          <w:color w:val="1E1E1E"/>
          <w:sz w:val="18"/>
        </w:rPr>
        <w:t>"Não fixa competência originária do STF a propositura de ação com peculiaridades que dizem respeito a número restrito de magistrados alegadamente interessados na solução da causa" (Rcl 16.061, Segunda Turma, de minha relatoria, DJE de 6-3-2014). Essa orientação se aplica a demanda em que se pleiteia o pagamento de ajuda de custo a juiz federal em razão de sua posse em domicílio diverso daquele em que residia antes do ingresso na magistratura.</w:t>
      </w:r>
    </w:p>
    <w:p>
      <w:pPr>
        <w:ind w:left="288"/>
      </w:pPr>
      <w:r>
        <w:rPr>
          <w:b/>
          <w:color w:val="003CA0"/>
          <w:sz w:val="16"/>
        </w:rPr>
        <w:t>[ARE 743.103 AgR, rel. min. Teori Zavascki, j. 22-4-2014, 2ª T, DJE de 7-5-2014.]</w:t>
      </w:r>
    </w:p>
    <w:p>
      <w:pPr>
        <w:ind w:left="288"/>
      </w:pPr>
      <w:r>
        <w:rPr>
          <w:color w:val="8C8C8C"/>
          <w:sz w:val="12"/>
        </w:rPr>
        <w:t>cf-art-102-inc-I-ali-m</w:t>
      </w:r>
      <w:r>
        <w:rPr>
          <w:color w:val="003CA0"/>
          <w:sz w:val="12"/>
        </w:rPr>
        <w:t xml:space="preserve"> | ARE 865.138</w:t>
      </w:r>
      <w:r>
        <w:rPr>
          <w:color w:val="003CA0"/>
          <w:sz w:val="12"/>
        </w:rPr>
        <w:t xml:space="preserve"> | rel. Luiz Fux</w:t>
      </w:r>
    </w:p>
    <w:p>
      <w:pPr>
        <w:ind w:left="288"/>
      </w:pPr>
      <w:r>
        <w:rPr>
          <w:color w:val="1E1E1E"/>
          <w:sz w:val="18"/>
        </w:rPr>
        <w:t>= ARE 865.138 AgR, rel. min. Luiz Fux, j. 12-5-2015, 1ª T, DJE de 27-5-2015 Vide AO 467, rel. min. Néri da Silveira, j. 25-6-1997, P, DJ de 3-10-1997 Não fixa competência originária do STF a propositura de ação com peculiaridades que dizem respeito a número restrito de magistrados alegadamente interessados na solução da causa ou que veicula pretensão passível de ser repetida por outras carreiras do serviço público.</w:t>
        <w:br/>
        <w:t>[Rcl 16.597 AgR, rel. min. Teori Zavascki, j. 18-12-2013, P, DJE de 19-2-2014.]</w:t>
        <w:br/>
        <w:t>= AO 2.126, red. do ac. min. Edson Fachin, j. 21-2-2017, 2ª T, DJE de 15-12-2017 O preceito da alínea</w:t>
      </w:r>
    </w:p>
    <w:p>
      <w:pPr>
        <w:ind w:left="288"/>
      </w:pPr>
      <w:r>
        <w:rPr>
          <w:b/>
          <w:color w:val="003CA0"/>
          <w:sz w:val="16"/>
        </w:rPr>
        <w:t>[MS 28.435 AgR, rel. min. Marco Aurélio, j. 13-4-2011, P, DJE de 4-5-2011.]</w:t>
      </w:r>
    </w:p>
    <w:p>
      <w:pPr>
        <w:ind w:left="288"/>
      </w:pPr>
      <w:r>
        <w:rPr>
          <w:color w:val="8C8C8C"/>
          <w:sz w:val="12"/>
        </w:rPr>
        <w:t>cf-art-102-inc-I-ali-m</w:t>
      </w:r>
      <w:r>
        <w:rPr>
          <w:color w:val="003CA0"/>
          <w:sz w:val="12"/>
        </w:rPr>
        <w:t xml:space="preserve"> | AO 1.569</w:t>
      </w:r>
      <w:r>
        <w:rPr>
          <w:color w:val="003CA0"/>
          <w:sz w:val="12"/>
        </w:rPr>
        <w:t xml:space="preserve"> | rel. Marco Aurélio</w:t>
      </w:r>
    </w:p>
    <w:p>
      <w:pPr>
        <w:ind w:left="288"/>
      </w:pPr>
      <w:r>
        <w:rPr>
          <w:color w:val="1E1E1E"/>
          <w:sz w:val="18"/>
        </w:rPr>
        <w:t>A interpretação gramatical do preceito direciona a ter-se a necessidade de envolvimento de "todos os membros da magistratura" de forma direta ou indireta. (...) Dois aspectos (...) devem ser levados em conta na definição da competência. O primeiro deles diz respeito ao fato de, não assentada a competência do Supremo, vir o conflito a ser julgado por igual, na primeira instância, considerados os beneficiários, isso sem perquirir que o próprio titular da vara poderá ser alcançado pela decisão presentes parcelas anteriores e futuras no que venha a requerer permuta. O segundo aspecto refere-se à c</w:t>
      </w:r>
    </w:p>
    <w:p>
      <w:pPr>
        <w:ind w:left="288"/>
      </w:pPr>
      <w:r>
        <w:rPr>
          <w:b/>
          <w:color w:val="003CA0"/>
          <w:sz w:val="16"/>
        </w:rPr>
        <w:t>[AO 1.569 QO, voto do rel. min. Marco Aurélio, j. 24-6-2010, P, DJE de 27-8-2010.]</w:t>
      </w:r>
    </w:p>
    <w:p>
      <w:pPr>
        <w:ind w:left="288"/>
      </w:pPr>
      <w:r>
        <w:rPr>
          <w:color w:val="8C8C8C"/>
          <w:sz w:val="12"/>
        </w:rPr>
        <w:t>cf-art-102-inc-I-ali-m</w:t>
      </w:r>
      <w:r>
        <w:rPr>
          <w:color w:val="003CA0"/>
          <w:sz w:val="12"/>
        </w:rPr>
        <w:t xml:space="preserve"> | RCL 15.858</w:t>
      </w:r>
      <w:r>
        <w:rPr>
          <w:color w:val="003CA0"/>
          <w:sz w:val="12"/>
        </w:rPr>
        <w:t xml:space="preserve"> | rel. Gilmar Mendes</w:t>
      </w:r>
    </w:p>
    <w:p>
      <w:pPr>
        <w:ind w:left="288"/>
      </w:pPr>
      <w:r>
        <w:rPr>
          <w:color w:val="1E1E1E"/>
          <w:sz w:val="18"/>
        </w:rPr>
        <w:t>= Rcl 15.858 AgR, rel. min. Gilmar Mendes, j. 19-11-2013, 2ª T, DJE de 3-12-2013 Mera alegação de imparcialidade de magistrado não é suficiente para deslocar a competência para o STF.</w:t>
      </w:r>
    </w:p>
    <w:p>
      <w:pPr>
        <w:ind w:left="288"/>
      </w:pPr>
      <w:r>
        <w:rPr>
          <w:b/>
          <w:color w:val="003CA0"/>
          <w:sz w:val="16"/>
        </w:rPr>
        <w:t>[AO 1.531 AgR, rel. min. Cármen Lúcia, j. 3-6-2009, P, DJE de 1º-7-2009.]</w:t>
      </w:r>
    </w:p>
    <w:p>
      <w:pPr>
        <w:ind w:left="288"/>
      </w:pPr>
      <w:r>
        <w:rPr>
          <w:color w:val="8C8C8C"/>
          <w:sz w:val="12"/>
        </w:rPr>
        <w:t>cf-art-102-inc-I-ali-m</w:t>
      </w:r>
      <w:r>
        <w:rPr>
          <w:color w:val="003CA0"/>
          <w:sz w:val="12"/>
        </w:rPr>
        <w:t xml:space="preserve"> | AO 1.498</w:t>
      </w:r>
      <w:r>
        <w:rPr>
          <w:color w:val="003CA0"/>
          <w:sz w:val="12"/>
        </w:rPr>
        <w:t xml:space="preserve"> | rel. Eros Grau</w:t>
      </w:r>
    </w:p>
    <w:p>
      <w:pPr>
        <w:ind w:left="288"/>
      </w:pPr>
      <w:r>
        <w:rPr>
          <w:color w:val="1E1E1E"/>
          <w:sz w:val="18"/>
        </w:rPr>
        <w:t>O impedimento e a suspeição que autorizam o julgamento de ação originária pelo STF, nos termos do disposto no art. 102, I, n, in fine, da CF/1988, pressupõem a manifestação expressa dos membros do Tribunal competente, em princípio, para o julgamento da causa.(...) A competência para rever decisão de órgão colegiado atinente à instauração de processo disciplinar contra magistrado é do tribunal cujos membros o compõem, pena de supressão de instância e violação do disposto no art. 21, VI, da Loman (LC 35/1979). A mera alegação de interesse da magistratura na questão, do que decorreria a atribuiçã</w:t>
      </w:r>
    </w:p>
    <w:p>
      <w:pPr>
        <w:ind w:left="288"/>
      </w:pPr>
      <w:r>
        <w:rPr>
          <w:b/>
          <w:color w:val="003CA0"/>
          <w:sz w:val="16"/>
        </w:rPr>
        <w:t>[AO 1.498 AgR, rel. min. Eros Grau, j. 27-11-2008, P, DJE de 6-2-2009.]</w:t>
      </w:r>
    </w:p>
    <w:p>
      <w:pPr>
        <w:ind w:left="288"/>
      </w:pPr>
      <w:r>
        <w:rPr>
          <w:color w:val="8C8C8C"/>
          <w:sz w:val="12"/>
        </w:rPr>
        <w:t>cf-art-102-inc-I-ali-m</w:t>
      </w:r>
      <w:r>
        <w:rPr>
          <w:color w:val="003CA0"/>
          <w:sz w:val="12"/>
        </w:rPr>
        <w:t xml:space="preserve"> | MS 29.342</w:t>
      </w:r>
      <w:r>
        <w:rPr>
          <w:color w:val="003CA0"/>
          <w:sz w:val="12"/>
        </w:rPr>
        <w:t xml:space="preserve"> | rel. Cármen Lúcia</w:t>
      </w:r>
    </w:p>
    <w:p>
      <w:pPr>
        <w:ind w:left="288"/>
      </w:pPr>
      <w:r>
        <w:rPr>
          <w:color w:val="1E1E1E"/>
          <w:sz w:val="18"/>
        </w:rPr>
        <w:t>= MS 29.342 AgR, rel. min. Cármen Lúcia, j. 15-9-2011, P, DJE de 4-10-2011 Vide AO 1.517, rel. min. Ellen Gracie, j. 8-10-2008, P, DJE de 28-11-2008 Ação originária (CF, art. 102, I, n). Competência das Turmas do STF para o exame da causa e de seus incidentes, eis que ausentes, do polo passivo, autoridades diretamente sujeitas à jurisdição da Suprema Corte. Precedentes. Exceção de impedimento/suspeição. Jurisprudência do STF sobre o alcance do art. 102, I, n, da Constituição. Caráter excepcional dessa regra de competência originária. Ampliação da composição do e. Tribunal de Justiça local. Ins</w:t>
      </w:r>
    </w:p>
    <w:p>
      <w:pPr>
        <w:ind w:left="288"/>
      </w:pPr>
      <w:r>
        <w:rPr>
          <w:b/>
          <w:color w:val="003CA0"/>
          <w:sz w:val="16"/>
        </w:rPr>
        <w:t>[AO 1.231 QO, rel. min. Celso de Mello, j. 11-11-2008, 2ª T, DJE de 20-2-2009.]</w:t>
      </w:r>
    </w:p>
    <w:p>
      <w:pPr>
        <w:ind w:left="288"/>
      </w:pPr>
      <w:r>
        <w:rPr>
          <w:color w:val="8C8C8C"/>
          <w:sz w:val="12"/>
        </w:rPr>
        <w:t>cf-art-102-inc-I-ali-m</w:t>
      </w:r>
      <w:r>
        <w:rPr>
          <w:color w:val="003CA0"/>
          <w:sz w:val="12"/>
        </w:rPr>
        <w:t xml:space="preserve"> | AO 1.517</w:t>
      </w:r>
      <w:r>
        <w:rPr>
          <w:color w:val="003CA0"/>
          <w:sz w:val="12"/>
        </w:rPr>
        <w:t xml:space="preserve"> | rel. Ellen Gracie</w:t>
      </w:r>
    </w:p>
    <w:p>
      <w:pPr>
        <w:ind w:left="288"/>
      </w:pPr>
      <w:r>
        <w:rPr>
          <w:color w:val="1E1E1E"/>
          <w:sz w:val="18"/>
        </w:rPr>
        <w:t>A competência prevista no art. 102, I, n, da CF se firma, apenas e tão somente, quando os impedimentos ou as suspeições dos membros do tribunal de origem tenham sido reconhecidos, expressamente, nas exceções correspondentes, pelos próprios magistrados em relação aos quais são invocados; ou quando o STF, ao julgar as exceções, após esses magistrados as terem rejeitado, reconhecer situação configuradora de impedimento ou de suspeição, hipótese em que competirá à Suprema Corte julgar, originariamente, o processo principal. Alegação de impedimento e suspeição dos magistrados que participaram do ju</w:t>
      </w:r>
    </w:p>
    <w:p>
      <w:pPr>
        <w:ind w:left="288"/>
      </w:pPr>
      <w:r>
        <w:rPr>
          <w:b/>
          <w:color w:val="003CA0"/>
          <w:sz w:val="16"/>
        </w:rPr>
        <w:t>[AO 1.517, rel. min. Ellen Gracie, j. 8-10-2008, P, DJE de 28-11-2008.]</w:t>
      </w:r>
    </w:p>
    <w:p>
      <w:pPr>
        <w:ind w:left="288"/>
      </w:pPr>
      <w:r>
        <w:rPr>
          <w:color w:val="8C8C8C"/>
          <w:sz w:val="12"/>
        </w:rPr>
        <w:t>cf-art-102-inc-I-ali-m</w:t>
      </w:r>
      <w:r>
        <w:rPr>
          <w:color w:val="003CA0"/>
          <w:sz w:val="12"/>
        </w:rPr>
        <w:t xml:space="preserve"> | AO 1.498</w:t>
      </w:r>
      <w:r>
        <w:rPr>
          <w:color w:val="003CA0"/>
          <w:sz w:val="12"/>
        </w:rPr>
        <w:t xml:space="preserve"> | rel. Eros Grau</w:t>
      </w:r>
    </w:p>
    <w:p>
      <w:pPr>
        <w:ind w:left="288"/>
      </w:pPr>
      <w:r>
        <w:rPr>
          <w:color w:val="1E1E1E"/>
          <w:sz w:val="18"/>
        </w:rPr>
        <w:t>Vide  AO 1.498 AgR, rel. min. Eros Grau, j. 27-11-2008, P, DJE de 6-2-2009 STF: competência originária: CF, art. 102, I, n: reconhecimento: hipótese em que dos sete desembargadores que integram o Tribunal de Justiça, três deles se declaram impedidos por terem sido arrolados como testemunhas do querelado e outro juiz  afirmou suspeição por motivo de foro íntimo.</w:t>
      </w:r>
    </w:p>
    <w:p>
      <w:pPr>
        <w:ind w:left="288"/>
      </w:pPr>
      <w:r>
        <w:rPr>
          <w:b/>
          <w:color w:val="003CA0"/>
          <w:sz w:val="16"/>
        </w:rPr>
        <w:t>[AO 1.402, rel. min. Sepúlveda Pertence, j. 19-9-2006, 1ª T, DJ de 6-10-2006.]</w:t>
      </w:r>
    </w:p>
    <w:p>
      <w:pPr>
        <w:ind w:left="288"/>
      </w:pPr>
      <w:r>
        <w:rPr>
          <w:color w:val="8C8C8C"/>
          <w:sz w:val="12"/>
        </w:rPr>
        <w:t>cf-art-102-inc-I-ali-m</w:t>
      </w:r>
      <w:r>
        <w:rPr>
          <w:color w:val="003CA0"/>
          <w:sz w:val="12"/>
        </w:rPr>
        <w:t xml:space="preserve"> | AO 587</w:t>
      </w:r>
      <w:r>
        <w:rPr>
          <w:color w:val="003CA0"/>
          <w:sz w:val="12"/>
        </w:rPr>
        <w:t xml:space="preserve"> | rel. Ellen Gracie</w:t>
      </w:r>
    </w:p>
    <w:p>
      <w:pPr>
        <w:ind w:left="288"/>
      </w:pPr>
      <w:r>
        <w:rPr>
          <w:color w:val="1E1E1E"/>
          <w:sz w:val="18"/>
        </w:rPr>
        <w:t>Magistratura. Revisão de vencimentos para equiparação de benefícios. Auxílio-moradia. Inclusão. Questão de ordem. Competência para processar e julgar originariamente "a ação em que todos os membros da magistratura sejam direta ou indiretamente interessados". Art. 102, I, n, da CF. Regra explícita de conformação entre os princípios constitucionais do juízo natural e da imparcialidade. Indispensável garantia de imparcialidade do julgador da causa e, consequentemente, de lisura da decisão judicial a ser proferida. Requisitos para competência originária do STF. O interesse direto ou indireto dever</w:t>
      </w:r>
    </w:p>
    <w:p>
      <w:pPr>
        <w:ind w:left="288"/>
      </w:pPr>
      <w:r>
        <w:rPr>
          <w:b/>
          <w:color w:val="003CA0"/>
          <w:sz w:val="16"/>
        </w:rPr>
        <w:t>[AO 587, rel. min. Ellen Gracie, j. 6-4-2006, P, DJ de 30-6-2006.]</w:t>
      </w:r>
    </w:p>
    <w:p>
      <w:pPr>
        <w:ind w:left="288"/>
      </w:pPr>
      <w:r>
        <w:rPr>
          <w:color w:val="8C8C8C"/>
          <w:sz w:val="12"/>
        </w:rPr>
        <w:t>cf-art-102-inc-I-ali-m</w:t>
      </w:r>
      <w:r>
        <w:rPr>
          <w:color w:val="003CA0"/>
          <w:sz w:val="12"/>
        </w:rPr>
        <w:t xml:space="preserve"> | AO 1.419</w:t>
      </w:r>
      <w:r>
        <w:rPr>
          <w:color w:val="003CA0"/>
          <w:sz w:val="12"/>
        </w:rPr>
        <w:t xml:space="preserve"> | rel. Dias Toffoli</w:t>
      </w:r>
    </w:p>
    <w:p>
      <w:pPr>
        <w:ind w:left="288"/>
      </w:pPr>
      <w:r>
        <w:rPr>
          <w:color w:val="1E1E1E"/>
          <w:sz w:val="18"/>
        </w:rPr>
        <w:t>= AO 1.419 AgR, rel. min. Dias Toffoli, j. 2-6-2010, P, DJE de 22-10-2010 Mandado de segurança impetrado com o objetivo de assegurar, a suplentes de vereador, a investidura no mandato de vereador – "writ mandamental" deduzido em face de ministros do TSE, porque subscritores das Resoluções TSE  21.702/2004 e  21.803/2004. Aplicação do art. 102, I, n, da Constituição. Inadmissibilidade. Possibilidade de julgamento da causa, pelo próprio TSE, em razão da existência, nessa alta Corte, de mecanismo de substituição dos ministros suspeitos ou impedidos. Excepcionalidade da competência originária do S</w:t>
      </w:r>
    </w:p>
    <w:p>
      <w:pPr>
        <w:ind w:left="288"/>
      </w:pPr>
      <w:r>
        <w:rPr>
          <w:b/>
          <w:color w:val="003CA0"/>
          <w:sz w:val="16"/>
        </w:rPr>
        <w:t>[AO 1.135 AgR, rel. min. Celso de Mello, j. 16-6-2005, P, DJ de 24-11-2006.]</w:t>
      </w:r>
    </w:p>
    <w:p>
      <w:pPr>
        <w:ind w:left="288"/>
      </w:pPr>
      <w:r>
        <w:rPr>
          <w:color w:val="8C8C8C"/>
          <w:sz w:val="12"/>
        </w:rPr>
        <w:t>cf-art-102-inc-I-ali-m</w:t>
      </w:r>
      <w:r>
        <w:rPr>
          <w:color w:val="003CA0"/>
          <w:sz w:val="12"/>
        </w:rPr>
        <w:t xml:space="preserve"> | RCL 1.004</w:t>
      </w:r>
      <w:r>
        <w:rPr>
          <w:color w:val="003CA0"/>
          <w:sz w:val="12"/>
        </w:rPr>
        <w:t xml:space="preserve"> | rel. Ilmar Galvão</w:t>
      </w:r>
    </w:p>
    <w:p>
      <w:pPr>
        <w:ind w:left="288"/>
      </w:pPr>
      <w:r>
        <w:rPr>
          <w:color w:val="1E1E1E"/>
          <w:sz w:val="18"/>
        </w:rPr>
        <w:t>Reclamação. Alegada usurpação da competência do STF prevista na alínea n do inciso I do art. 102 da CF. Impedimento da maioria dos membros do tribunal de origem. Impossibilidade da convocação de juízes de direito. Não havendo maioria desimpedida dos membros do tribunal de origem para julgar o mandado de segurança, não é de se admitir a substituição dos suspeitos ou impedidos mediante convocação de juízes de direito de segunda entrância, mas, sim, de deslocar-se a competência para o STF, na forma da alínea n do inciso  I do art. 102 da CF.</w:t>
      </w:r>
    </w:p>
    <w:p>
      <w:pPr>
        <w:ind w:left="288"/>
      </w:pPr>
      <w:r>
        <w:rPr>
          <w:b/>
          <w:color w:val="003CA0"/>
          <w:sz w:val="16"/>
        </w:rPr>
        <w:t>[Rcl 1.004, rel. min. Ilmar Galvão, j. 25-11-1999, P, DJ de 4-2-2000.]</w:t>
      </w:r>
    </w:p>
    <w:p>
      <w:pPr>
        <w:ind w:left="288"/>
      </w:pPr>
      <w:r>
        <w:rPr>
          <w:color w:val="8C8C8C"/>
          <w:sz w:val="12"/>
        </w:rPr>
        <w:t>cf-art-102-inc-I-ali-m</w:t>
      </w:r>
      <w:r>
        <w:rPr>
          <w:color w:val="003CA0"/>
          <w:sz w:val="12"/>
        </w:rPr>
        <w:t xml:space="preserve"> | RCL 1.933</w:t>
      </w:r>
      <w:r>
        <w:rPr>
          <w:color w:val="003CA0"/>
          <w:sz w:val="12"/>
        </w:rPr>
        <w:t xml:space="preserve"> | rel. Celso de Mello</w:t>
      </w:r>
    </w:p>
    <w:p>
      <w:pPr>
        <w:ind w:left="288"/>
      </w:pPr>
      <w:r>
        <w:rPr>
          <w:color w:val="1E1E1E"/>
          <w:sz w:val="18"/>
        </w:rPr>
        <w:t>= Rcl 1.933, rel. min. Celso de Mello, j. 16-5-2002, P, DJ de 28-2-2003 A jurisprudência do STF tem-se orientado no sentido de que a letra n do inciso I do art. 102 da CF, a firmar competência originária do STF para a causa, só se aplica quando a matéria versada na demanda respeita a privativo interesse da magistratura enquanto tal e não quando também interessa a outros servidores.</w:t>
      </w:r>
    </w:p>
    <w:p>
      <w:pPr>
        <w:ind w:left="288"/>
      </w:pPr>
      <w:r>
        <w:rPr>
          <w:b/>
          <w:color w:val="003CA0"/>
          <w:sz w:val="16"/>
        </w:rPr>
        <w:t>[AO 467, rel. min. Néri da Silveira, j. 25-6-1997, P, DJ de 3-10-1997.]</w:t>
      </w:r>
    </w:p>
    <w:p>
      <w:pPr>
        <w:ind w:left="288"/>
      </w:pPr>
      <w:r>
        <w:rPr>
          <w:color w:val="8C8C8C"/>
          <w:sz w:val="12"/>
        </w:rPr>
        <w:t>cf-art-102-inc-I-ali-m</w:t>
      </w:r>
      <w:r>
        <w:rPr>
          <w:color w:val="003CA0"/>
          <w:sz w:val="12"/>
        </w:rPr>
        <w:t xml:space="preserve"> | AI 829.714</w:t>
      </w:r>
      <w:r>
        <w:rPr>
          <w:color w:val="003CA0"/>
          <w:sz w:val="12"/>
        </w:rPr>
        <w:t xml:space="preserve"> | rel. Roberto Barroso</w:t>
      </w:r>
    </w:p>
    <w:p>
      <w:pPr>
        <w:ind w:left="288"/>
      </w:pPr>
      <w:r>
        <w:rPr>
          <w:color w:val="1E1E1E"/>
          <w:sz w:val="18"/>
        </w:rPr>
        <w:t>= AI 829.714 AgR, rel. min. Roberto Barroso, j. 26-11-2013, 1ª T, DJE de 3-2-2014 Vide ARE 743.103 AgR, rel. min. Teori Zavascki, j. 22-4-2014, 2ª T, DJE de 7-5-2014 A competência excepcional conferida pelo art. 102, I, n, da CF a esta Corte não abrange hipóteses – como a presente – de paralisação total dos órgãos de primeiro e de segundo grau do Poder Judiciário de um Estado-membro (...).</w:t>
      </w:r>
    </w:p>
    <w:p>
      <w:pPr>
        <w:ind w:left="288"/>
      </w:pPr>
      <w:r>
        <w:rPr>
          <w:b/>
          <w:color w:val="003CA0"/>
          <w:sz w:val="16"/>
        </w:rPr>
        <w:t>[MS 22.472 QO, rel. min. Moreira Alves, j. 21-3-1996, P, DJ de 23-3-2001.]</w:t>
      </w:r>
    </w:p>
    <w:p>
      <w:pPr>
        <w:ind w:left="288"/>
      </w:pPr>
      <w:r>
        <w:rPr>
          <w:color w:val="8C8C8C"/>
          <w:sz w:val="12"/>
        </w:rPr>
        <w:t>cf-art-102-inc-I-ali-m</w:t>
      </w:r>
      <w:r>
        <w:rPr>
          <w:color w:val="003CA0"/>
          <w:sz w:val="12"/>
        </w:rPr>
        <w:t xml:space="preserve"> | RCL 473</w:t>
      </w:r>
      <w:r>
        <w:rPr>
          <w:color w:val="003CA0"/>
          <w:sz w:val="12"/>
        </w:rPr>
        <w:t xml:space="preserve"> | rel. Néri da Silveira</w:t>
      </w:r>
    </w:p>
    <w:p>
      <w:pPr>
        <w:ind w:left="288"/>
      </w:pPr>
      <w:r>
        <w:rPr>
          <w:color w:val="1E1E1E"/>
          <w:sz w:val="18"/>
        </w:rPr>
        <w:t>Exceção de suspeição de todos ou da maioria dos membros do tribunal não basta para deslocar a competência para o STF, mas apenas para conhecer e julgar da exceção.</w:t>
      </w:r>
    </w:p>
    <w:p>
      <w:pPr>
        <w:ind w:left="288"/>
      </w:pPr>
      <w:r>
        <w:rPr>
          <w:b/>
          <w:color w:val="003CA0"/>
          <w:sz w:val="16"/>
        </w:rPr>
        <w:t>[Rcl 473 AgR, rel. min. Néri da Silveira, j. 16-8-1995, P, DJ de 24-8-2001.]</w:t>
      </w:r>
    </w:p>
    <w:p>
      <w:pPr>
        <w:ind w:left="288"/>
      </w:pPr>
      <w:r>
        <w:rPr>
          <w:color w:val="8C8C8C"/>
          <w:sz w:val="12"/>
        </w:rPr>
        <w:t>cf-art-102-inc-I-ali-m</w:t>
      </w:r>
      <w:r>
        <w:rPr>
          <w:color w:val="003CA0"/>
          <w:sz w:val="12"/>
        </w:rPr>
        <w:t xml:space="preserve"> | AO 1.303</w:t>
      </w:r>
      <w:r>
        <w:rPr>
          <w:color w:val="003CA0"/>
          <w:sz w:val="12"/>
        </w:rPr>
        <w:t xml:space="preserve"> | rel. Joaquim Barbosa</w:t>
      </w:r>
    </w:p>
    <w:p>
      <w:pPr>
        <w:ind w:left="288"/>
      </w:pPr>
      <w:r>
        <w:rPr>
          <w:color w:val="1E1E1E"/>
          <w:sz w:val="18"/>
        </w:rPr>
        <w:t>= AO 1.303 QO, rel. min. Joaquim Barbosa, j. 13-9-2005, 2ª T, DJ de 28-10-2005 Reclamação. Mandado de segurança impetrado por magistrados e funcionários do Judiciário aposentados e pensionistas do mesmo Poder contra atos do Poder Executivo, referentes ao pagamento de proventos e pensões. Inaplicabilidade à espécie do art. 102, I, n, da CF. Não resulta dos pedidos configurada qualquer das hipóteses previstas na alínea n do dispositivo citado, em ordem a determinar-se a competência do STF. "Despesas de Custeio" e "Transferências Correntes". Saber se as despesas com inativos e pensionistas hão de</w:t>
      </w:r>
    </w:p>
    <w:p>
      <w:pPr>
        <w:ind w:left="288"/>
      </w:pPr>
      <w:r>
        <w:rPr>
          <w:b/>
          <w:color w:val="003CA0"/>
          <w:sz w:val="16"/>
        </w:rPr>
        <w:t>[Rcl 446, rel. min. Néri da Silveira, j. 18-5-1995, P, DJ de 4-4-1997.]</w:t>
      </w:r>
    </w:p>
    <w:p>
      <w:pPr>
        <w:ind w:left="288"/>
      </w:pPr>
      <w:r>
        <w:rPr>
          <w:color w:val="8C8C8C"/>
          <w:sz w:val="12"/>
        </w:rPr>
        <w:t>cf-art-102-inc-I-ali-m</w:t>
      </w:r>
      <w:r>
        <w:rPr>
          <w:color w:val="003CA0"/>
          <w:sz w:val="12"/>
        </w:rPr>
        <w:t xml:space="preserve"> | AO 80</w:t>
      </w:r>
    </w:p>
    <w:p>
      <w:pPr>
        <w:ind w:left="288"/>
      </w:pPr>
      <w:r>
        <w:rPr>
          <w:color w:val="1E1E1E"/>
          <w:sz w:val="18"/>
        </w:rPr>
        <w:t>Competência. Prescrição da pretensão punitiva. Verificada a prescrição da pretensão punitiva quanto à ação penal motivadora do deslocamento da competência – alínea n do inciso I do art. 102 da CF –, impõe-se a baixa dos autos à Corte que dela declinou, para que processe e julgue a ação remanescente, no que estranha ao campo de atuação do STF.</w:t>
      </w:r>
    </w:p>
    <w:p>
      <w:pPr>
        <w:ind w:left="288"/>
      </w:pPr>
      <w:r>
        <w:rPr>
          <w:b/>
          <w:color w:val="003CA0"/>
          <w:sz w:val="16"/>
        </w:rPr>
        <w:t>[AO 80, red. do ac. min. Marco Aurélio, j. 4-3-1993, P, DJ de 28-4-1995.]</w:t>
      </w:r>
    </w:p>
    <w:p>
      <w:pPr>
        <w:ind w:left="288"/>
      </w:pPr>
      <w:r>
        <w:rPr>
          <w:color w:val="8C8C8C"/>
          <w:sz w:val="12"/>
        </w:rPr>
        <w:t>cf-art-102-inc-I-ali-m</w:t>
      </w:r>
      <w:r>
        <w:rPr>
          <w:color w:val="003CA0"/>
          <w:sz w:val="12"/>
        </w:rPr>
        <w:t xml:space="preserve"> | AO 58</w:t>
      </w:r>
      <w:r>
        <w:rPr>
          <w:color w:val="003CA0"/>
          <w:sz w:val="12"/>
        </w:rPr>
        <w:t xml:space="preserve"> | rel. Sepúlveda Pertence</w:t>
      </w:r>
    </w:p>
    <w:p>
      <w:pPr>
        <w:ind w:left="288"/>
      </w:pPr>
      <w:r>
        <w:rPr>
          <w:color w:val="1E1E1E"/>
          <w:sz w:val="18"/>
        </w:rPr>
        <w:t>Supremo Tribunal: competência originária: arguição de suspeição de todos os integrantes de TRE, para todo o processo eleitoral: deslocamento da competência originária para o STF, à vista do impedimento da totalidade dos componentes do tribunal regional competente (CF, art. 102, I, n); votos vencidos, incluído o do relator, pela competência do TSE.</w:t>
      </w:r>
    </w:p>
    <w:p>
      <w:pPr>
        <w:ind w:left="288"/>
      </w:pPr>
      <w:r>
        <w:rPr>
          <w:b/>
          <w:color w:val="003CA0"/>
          <w:sz w:val="16"/>
        </w:rPr>
        <w:t>[AO 58 QO, rel. min. Sepúlveda Pertence, j. 5-12-1990, P, DJ de 8-5-1992.]</w:t>
      </w:r>
    </w:p>
    <w:p>
      <w:pPr>
        <w:ind w:left="288"/>
      </w:pPr>
      <w:r>
        <w:rPr>
          <w:color w:val="8C8C8C"/>
          <w:sz w:val="12"/>
        </w:rPr>
        <w:t>cf-art-102-inc-I-ali-o</w:t>
      </w:r>
      <w:r>
        <w:rPr>
          <w:color w:val="003CA0"/>
          <w:sz w:val="12"/>
        </w:rPr>
        <w:t xml:space="preserve"> | rel. Marco Aurélio</w:t>
      </w:r>
    </w:p>
    <w:p>
      <w:pPr>
        <w:ind w:left="288"/>
      </w:pPr>
      <w:r>
        <w:rPr>
          <w:color w:val="1E1E1E"/>
          <w:sz w:val="18"/>
        </w:rPr>
        <w:t>Envolvendo o conflito de competência o TST e tribunal de justiça, incumbe ao Supremo apreciá-lo.</w:t>
        <w:br/>
        <w:t>[CC 7.950, rel. min. Marco Aurélio, j. 14-9-2016, P, DJE de 1º-8-2017.] Em regra, a admissão do conflito de competência com base no art. 115, III, do CPC exige que haja divergência entre juízos diversos quanto à reunião ou separação dos feitos, consoante expressa previsão do dispositivo. Cabível, todavia, por meio de interpretação extensiva do art. 115 do CPC, o acolhimento do incidente, mesmo ausente a apontada divergência, quando se tratar de ações conexas (com possibilidade, portanto, de prolaçã</w:t>
      </w:r>
    </w:p>
    <w:p>
      <w:pPr>
        <w:ind w:left="288"/>
      </w:pPr>
      <w:r>
        <w:rPr>
          <w:b/>
          <w:color w:val="003CA0"/>
          <w:sz w:val="16"/>
        </w:rPr>
        <w:t>[CC 7.575 AgR, rel. min. Cármen Lúcia, j. 6-10-2011, P, DJE de 28-10-2011.]</w:t>
      </w:r>
    </w:p>
    <w:p>
      <w:pPr>
        <w:ind w:left="288"/>
      </w:pPr>
      <w:r>
        <w:rPr>
          <w:color w:val="8C8C8C"/>
          <w:sz w:val="12"/>
        </w:rPr>
        <w:t>cf-art-102-inc-I-ali-o</w:t>
      </w:r>
      <w:r>
        <w:rPr>
          <w:color w:val="003CA0"/>
          <w:sz w:val="12"/>
        </w:rPr>
        <w:t xml:space="preserve"> | rel. Celso de Mello</w:t>
      </w:r>
    </w:p>
    <w:p>
      <w:pPr>
        <w:ind w:left="288"/>
      </w:pPr>
      <w:r>
        <w:rPr>
          <w:color w:val="1E1E1E"/>
          <w:sz w:val="18"/>
        </w:rPr>
        <w:t>Não se revela processualmente possível a instauração de conflito de competência entre o STJ, de um lado, e os tribunais de justiça, de outro, pelo fato – juridicamente relevante – de que o STJ qualifica-se, constitucionalmente, como instância de superposição em relação a tais Cortes judiciárias, exercendo, em face destas, irrecusável competência de derrogação (CF, art. 105, III). (...) A posição de eminência do STJ, no plano da organização constitucional do Poder Judiciário, impede que se configure, entre essa Alta Corte e os tribunais de justiça, qualquer conflito, positivo ou negativo, de co</w:t>
      </w:r>
    </w:p>
    <w:p>
      <w:pPr>
        <w:ind w:left="288"/>
      </w:pPr>
      <w:r>
        <w:rPr>
          <w:b/>
          <w:color w:val="003CA0"/>
          <w:sz w:val="16"/>
        </w:rPr>
        <w:t>[CC 7.594 AgR, rel. min. Celso de Mello, j. 22-6-2011, P, DJE de 29-9-2011.]</w:t>
      </w:r>
    </w:p>
    <w:p>
      <w:pPr>
        <w:ind w:left="288"/>
      </w:pPr>
      <w:r>
        <w:rPr>
          <w:color w:val="8C8C8C"/>
          <w:sz w:val="12"/>
        </w:rPr>
        <w:t>cf-art-102-inc-I-ali-o</w:t>
      </w:r>
      <w:r>
        <w:rPr>
          <w:color w:val="003CA0"/>
          <w:sz w:val="12"/>
        </w:rPr>
        <w:t xml:space="preserve"> | rel. Gilmar Mendes</w:t>
      </w:r>
    </w:p>
    <w:p>
      <w:pPr>
        <w:ind w:left="288"/>
      </w:pPr>
      <w:r>
        <w:rPr>
          <w:color w:val="1E1E1E"/>
          <w:sz w:val="18"/>
        </w:rPr>
        <w:t>Para verificar o conflito positivo suscitado, previsto no inciso I do art. 115 do CPC, pressupõe-se que haja, no mínimo, duas decisões de juízos distintos a invocar competência para apreciar o caso. A autora não se desincumbiu do ônus de apresentá-las, desse modo não restou demonstrado o conflito positivo de competência.</w:t>
      </w:r>
    </w:p>
    <w:p>
      <w:pPr>
        <w:ind w:left="288"/>
      </w:pPr>
      <w:r>
        <w:rPr>
          <w:b/>
          <w:color w:val="003CA0"/>
          <w:sz w:val="16"/>
        </w:rPr>
        <w:t>[CC 7.699 AgR, rel. min. Gilmar Mendes, j. 24-2-2011, P, DJE de 18-3-2011.]</w:t>
      </w:r>
    </w:p>
    <w:p>
      <w:pPr>
        <w:ind w:left="288"/>
      </w:pPr>
      <w:r>
        <w:rPr>
          <w:color w:val="8C8C8C"/>
          <w:sz w:val="12"/>
        </w:rPr>
        <w:t>cf-art-102-inc-I-ali-o</w:t>
      </w:r>
      <w:r>
        <w:rPr>
          <w:color w:val="003CA0"/>
          <w:sz w:val="12"/>
        </w:rPr>
        <w:t xml:space="preserve"> | rel. Eros Grau</w:t>
      </w:r>
    </w:p>
    <w:p>
      <w:pPr>
        <w:ind w:left="288"/>
      </w:pPr>
      <w:r>
        <w:rPr>
          <w:color w:val="1E1E1E"/>
          <w:sz w:val="18"/>
        </w:rPr>
        <w:t>O STF é titular de competência originária para dirimir o conflito entre juízo estadual de primeira instância e o TST, nos termos dispostos no art. 102, I, o, da CF. Apesar de a Constituição não afirmar expressamente a competência do STF para julgar os conflitos de competência entre tribunais superiores e juízes a ele não vinculados, a matéria não deve escapar à análise desta Corte.</w:t>
      </w:r>
    </w:p>
    <w:p>
      <w:pPr>
        <w:ind w:left="288"/>
      </w:pPr>
      <w:r>
        <w:rPr>
          <w:b/>
          <w:color w:val="003CA0"/>
          <w:sz w:val="16"/>
        </w:rPr>
        <w:t>[CC 7.242, voto do rel. min. Eros Grau, j. 18-9-2008, P, DJE de 19-12-2008.]</w:t>
      </w:r>
    </w:p>
    <w:p>
      <w:pPr>
        <w:ind w:left="288"/>
      </w:pPr>
      <w:r>
        <w:rPr>
          <w:color w:val="8C8C8C"/>
          <w:sz w:val="12"/>
        </w:rPr>
        <w:t>cf-art-102-inc-I-ali-o</w:t>
      </w:r>
      <w:r>
        <w:rPr>
          <w:color w:val="003CA0"/>
          <w:sz w:val="12"/>
        </w:rPr>
        <w:t xml:space="preserve"> | rel. Celso de Mello</w:t>
      </w:r>
    </w:p>
    <w:p>
      <w:pPr>
        <w:ind w:left="288"/>
      </w:pPr>
      <w:r>
        <w:rPr>
          <w:color w:val="1E1E1E"/>
          <w:sz w:val="18"/>
        </w:rPr>
        <w:t>Conflito de competência. TST e juiz  federal de primeira instância. Competência originária do STF para dirimir o conflito.</w:t>
      </w:r>
    </w:p>
    <w:p>
      <w:pPr>
        <w:ind w:left="288"/>
      </w:pPr>
      <w:r>
        <w:rPr>
          <w:b/>
          <w:color w:val="003CA0"/>
          <w:sz w:val="16"/>
        </w:rPr>
        <w:t>[CC 7.027, rel. min. Celso de Mello, j. 16-8-1995, P, DJ de 1º-9-1995.]</w:t>
      </w:r>
    </w:p>
    <w:p>
      <w:pPr>
        <w:ind w:left="288"/>
      </w:pPr>
      <w:r>
        <w:rPr>
          <w:color w:val="8C8C8C"/>
          <w:sz w:val="12"/>
        </w:rPr>
        <w:t>cf-art-102-inc-I-ali-o</w:t>
      </w:r>
      <w:r>
        <w:rPr>
          <w:color w:val="003CA0"/>
          <w:sz w:val="12"/>
        </w:rPr>
        <w:t xml:space="preserve"> | rel. Eros Grau</w:t>
      </w:r>
    </w:p>
    <w:p>
      <w:pPr>
        <w:ind w:left="288"/>
      </w:pPr>
      <w:r>
        <w:rPr>
          <w:color w:val="1E1E1E"/>
          <w:sz w:val="18"/>
        </w:rPr>
        <w:t>=  CC 7.545, rel. min. Eros Grau, j. 3-6-2009, P, DJE de 14-8-2009 Conflito de jurisdição ou de atribuição inexistente: dissídio entre TRT e TCU acerca da composição dos proventos de juiz classista: não conhecimento. A divergência sobre a legalidade da inclusão de determinada verba nos proventos de juiz classista – negada pelo ato do TRT, que o aposentou, mas considerada devida pelo TCU – não substantiva conflito de jurisdição, dado que nem o TRT, único órgão judiciário envolvido, pretende exercer jurisdição no procedimento administrativo de aposentadoria de quo; nem conflito de atribuições, c</w:t>
      </w:r>
    </w:p>
    <w:p>
      <w:pPr>
        <w:ind w:left="288"/>
      </w:pPr>
      <w:r>
        <w:rPr>
          <w:b/>
          <w:color w:val="003CA0"/>
          <w:sz w:val="16"/>
        </w:rPr>
        <w:t>[CJ 6.987, rel. min. Sepúlveda Pertence, j. 27-3-1992, P, DJ de 30-4-1992.]</w:t>
      </w:r>
    </w:p>
    <w:p>
      <w:pPr>
        <w:ind w:left="288"/>
      </w:pPr>
      <w:r>
        <w:rPr>
          <w:color w:val="8C8C8C"/>
          <w:sz w:val="12"/>
        </w:rPr>
        <w:t>cf-art-102-inc-I-ali-o</w:t>
      </w:r>
      <w:r>
        <w:rPr>
          <w:color w:val="003CA0"/>
          <w:sz w:val="12"/>
        </w:rPr>
        <w:t xml:space="preserve"> | rel. Marco Aurélio</w:t>
      </w:r>
    </w:p>
    <w:p>
      <w:pPr>
        <w:ind w:left="288"/>
      </w:pPr>
      <w:r>
        <w:rPr>
          <w:color w:val="1E1E1E"/>
          <w:sz w:val="18"/>
        </w:rPr>
        <w:t>= CA 40, rel. min. Marco Aurélio, j. 3-6-1993, P, DJ de 20-8-1993</w:t>
      </w:r>
    </w:p>
    <w:p>
      <w:pPr>
        <w:ind w:left="144"/>
      </w:pPr>
      <w:r>
        <w:rPr>
          <w:b/>
          <w:color w:val="B45A00"/>
          <w:sz w:val="16"/>
        </w:rPr>
        <w:t>CONTROLE CONCENTRADO</w:t>
      </w:r>
    </w:p>
    <w:p>
      <w:pPr>
        <w:ind w:left="288"/>
      </w:pPr>
      <w:r>
        <w:rPr>
          <w:color w:val="8C8C8C"/>
          <w:sz w:val="12"/>
        </w:rPr>
        <w:t>cf-art-102-inc-I-ali-p</w:t>
      </w:r>
      <w:r>
        <w:rPr>
          <w:color w:val="003CA0"/>
          <w:sz w:val="12"/>
        </w:rPr>
        <w:t xml:space="preserve"> | ADI 711</w:t>
      </w:r>
      <w:r>
        <w:rPr>
          <w:color w:val="003CA0"/>
          <w:sz w:val="12"/>
        </w:rPr>
        <w:t xml:space="preserve"> | rel. Néri da Silveira). A declaração de inconstitucionalidade</w:t>
      </w:r>
    </w:p>
    <w:p>
      <w:pPr>
        <w:ind w:left="288"/>
      </w:pPr>
      <w:r>
        <w:rPr>
          <w:color w:val="1E1E1E"/>
          <w:sz w:val="18"/>
        </w:rPr>
        <w:t>Eficácia da medida cautelar deferida em ação direta de inconstitucionalidade. A medida cautelar, em ação direta de inconstitucionalidade, reveste-se, ordinariamente, de eficácia ex nunc, "operando, portanto, a partir do momento em que o STF a defere" (RTJ 124/80). Excepcionalmente, no entanto, a medida cautelar poderá projetar-se com eficácia ex tunc, com repercussão sobre situações pretéritas (RTJ 138/86). A excepcionalidade da eficácia ex tunc impõe que o STF expressamente a determine no acórdão concessivo da medida cautelar. A ausência de determinação expressa importa em outorga de eficácia</w:t>
      </w:r>
    </w:p>
    <w:p>
      <w:pPr>
        <w:ind w:left="288"/>
      </w:pPr>
      <w:r>
        <w:rPr>
          <w:b/>
          <w:color w:val="003CA0"/>
          <w:sz w:val="16"/>
        </w:rPr>
        <w:t>[ADI 1.434 MC, rel. min. Celso de Mello, j. 20-8-1996, P, DJ de 22-11-1996.]</w:t>
      </w:r>
    </w:p>
    <w:p>
      <w:pPr>
        <w:ind w:left="288"/>
      </w:pPr>
      <w:r>
        <w:rPr>
          <w:color w:val="8C8C8C"/>
          <w:sz w:val="12"/>
        </w:rPr>
        <w:t>cf-art-102-inc-I-ali-p</w:t>
      </w:r>
      <w:r>
        <w:rPr>
          <w:color w:val="003CA0"/>
          <w:sz w:val="12"/>
        </w:rPr>
        <w:t xml:space="preserve"> | ADC 18</w:t>
      </w:r>
      <w:r>
        <w:rPr>
          <w:color w:val="003CA0"/>
          <w:sz w:val="12"/>
        </w:rPr>
        <w:t xml:space="preserve"> | rel. Celso de Mello</w:t>
      </w:r>
    </w:p>
    <w:p>
      <w:pPr>
        <w:ind w:left="288"/>
      </w:pPr>
      <w:r>
        <w:rPr>
          <w:color w:val="1E1E1E"/>
          <w:sz w:val="18"/>
        </w:rPr>
        <w:t>= ADC 18 QO3-MC, rel. min. Celso de Mello, j. 25-3-2010, P, DJE de 18-6-2010</w:t>
      </w:r>
    </w:p>
    <w:p>
      <w:pPr>
        <w:ind w:left="144"/>
      </w:pPr>
      <w:r>
        <w:rPr>
          <w:b/>
          <w:color w:val="B45A00"/>
          <w:sz w:val="16"/>
        </w:rPr>
        <w:t>JULGADOS CORRELATOS</w:t>
      </w:r>
    </w:p>
    <w:p>
      <w:pPr>
        <w:ind w:left="288"/>
      </w:pPr>
      <w:r>
        <w:rPr>
          <w:color w:val="8C8C8C"/>
          <w:sz w:val="12"/>
        </w:rPr>
        <w:t>cf-art-102-inc-I-ali-p</w:t>
      </w:r>
      <w:r>
        <w:rPr>
          <w:color w:val="003CA0"/>
          <w:sz w:val="12"/>
        </w:rPr>
        <w:t xml:space="preserve"> | RE 491.152</w:t>
      </w:r>
      <w:r>
        <w:rPr>
          <w:color w:val="003CA0"/>
          <w:sz w:val="12"/>
        </w:rPr>
        <w:t xml:space="preserve"> | rel. Cármen Lúcia</w:t>
      </w:r>
    </w:p>
    <w:p>
      <w:pPr>
        <w:ind w:left="288"/>
      </w:pPr>
      <w:r>
        <w:rPr>
          <w:color w:val="1E1E1E"/>
          <w:sz w:val="18"/>
        </w:rPr>
        <w:t>O julgamento de medida cautelar em ação direta de inconstitucionalidade autoriza o exame dos recursos sobre a controvérsia nela debatida.</w:t>
      </w:r>
    </w:p>
    <w:p>
      <w:pPr>
        <w:ind w:left="288"/>
      </w:pPr>
      <w:r>
        <w:rPr>
          <w:b/>
          <w:color w:val="003CA0"/>
          <w:sz w:val="16"/>
        </w:rPr>
        <w:t>[RE 491.152 AgR, rel. min. Cármen Lúcia, j. 8-9-2009, 1ª T, DJE de 16-10-2009.]</w:t>
      </w:r>
    </w:p>
    <w:p>
      <w:pPr>
        <w:ind w:left="288"/>
      </w:pPr>
      <w:r>
        <w:rPr>
          <w:color w:val="8C8C8C"/>
          <w:sz w:val="12"/>
        </w:rPr>
        <w:t>cf-art-102-inc-I-ali-p</w:t>
      </w:r>
      <w:r>
        <w:rPr>
          <w:color w:val="003CA0"/>
          <w:sz w:val="12"/>
        </w:rPr>
        <w:t xml:space="preserve"> | RE 590.448</w:t>
      </w:r>
      <w:r>
        <w:rPr>
          <w:color w:val="003CA0"/>
          <w:sz w:val="12"/>
        </w:rPr>
        <w:t xml:space="preserve"> | rel. Ayres Britto</w:t>
      </w:r>
    </w:p>
    <w:p>
      <w:pPr>
        <w:ind w:left="288"/>
      </w:pPr>
      <w:r>
        <w:rPr>
          <w:color w:val="1E1E1E"/>
          <w:sz w:val="18"/>
        </w:rPr>
        <w:t>= RE 590.448 AgR, rel. min. Ayres Britto, j. 13-9-2011, 2ª T, DJE de 14-11-2011 A existência de decisão plenária, proferida em sede de controle normativo abstrato, de que tenha resultado o indeferimento do pedido de medida cautelar, não impede que se proceda, desde logo, por meio do controle difuso, ao julgamento de causas em que se deva resolver, incidenter tantum, litígio instaurado em torno de idêntica controvérsia constitucional.</w:t>
      </w:r>
    </w:p>
    <w:p>
      <w:pPr>
        <w:ind w:left="288"/>
      </w:pPr>
      <w:r>
        <w:rPr>
          <w:b/>
          <w:color w:val="003CA0"/>
          <w:sz w:val="16"/>
        </w:rPr>
        <w:t>[AI 687.660 AgR, rel. min. Celso de Mello, j. 19-5-2009, 2ª T, DJE de 26-6-2009.]</w:t>
      </w:r>
    </w:p>
    <w:p>
      <w:pPr>
        <w:ind w:left="288"/>
      </w:pPr>
      <w:r>
        <w:rPr>
          <w:color w:val="8C8C8C"/>
          <w:sz w:val="12"/>
        </w:rPr>
        <w:t>cf-art-102-inc-I-ali-p</w:t>
      </w:r>
      <w:r>
        <w:rPr>
          <w:color w:val="003CA0"/>
          <w:sz w:val="12"/>
        </w:rPr>
        <w:t xml:space="preserve"> | AI 589.182</w:t>
      </w:r>
      <w:r>
        <w:rPr>
          <w:color w:val="003CA0"/>
          <w:sz w:val="12"/>
        </w:rPr>
        <w:t xml:space="preserve"> | rel. Ricardo Lewandowski</w:t>
      </w:r>
    </w:p>
    <w:p>
      <w:pPr>
        <w:ind w:left="288"/>
      </w:pPr>
      <w:r>
        <w:rPr>
          <w:color w:val="1E1E1E"/>
          <w:sz w:val="18"/>
        </w:rPr>
        <w:t>= AI 589.182 AgR, rel. min. Ricardo Lewandowski, j. 15-12-2009, 1ª T, DJE de 5-2-2010 q) o mandado de injunção, quando a elaboração da norma regulamentadora for atribuição do Presidente da República, do Congresso Nacional, da Câmara dos Deputados, do Senado Federal, das Mesas de uma dessas Casas Legislativas, do Tribunal de Contas da União, de um dos Tribunais Superiores, ou do próprio Supremo Tribunal Federal; Nota: As matérias cuja repercussão geral já foi reconhecida ou afastada pelo Plenário do STF estão disponíveis para consulta no sítio do Tribunal (portal.stf.jus.br/jurisprudenciaReperc</w:t>
      </w:r>
    </w:p>
    <w:p>
      <w:pPr>
        <w:ind w:left="144"/>
      </w:pPr>
      <w:r>
        <w:rPr>
          <w:b/>
          <w:color w:val="B45A00"/>
          <w:sz w:val="16"/>
        </w:rPr>
        <w:t>REPERCUSSAO GERAL</w:t>
      </w:r>
    </w:p>
    <w:p>
      <w:pPr>
        <w:ind w:left="288"/>
      </w:pPr>
      <w:r>
        <w:rPr>
          <w:color w:val="8C8C8C"/>
          <w:sz w:val="12"/>
        </w:rPr>
        <w:t>cf-art-102-inc-I-ali-p</w:t>
      </w:r>
      <w:r>
        <w:rPr>
          <w:color w:val="003CA0"/>
          <w:sz w:val="12"/>
        </w:rPr>
        <w:t xml:space="preserve"> | RE 797.905</w:t>
      </w:r>
      <w:r>
        <w:rPr>
          <w:color w:val="003CA0"/>
          <w:sz w:val="12"/>
        </w:rPr>
        <w:t xml:space="preserve"> | rel. Gilmar Mendes</w:t>
      </w:r>
    </w:p>
    <w:p>
      <w:pPr>
        <w:ind w:left="288"/>
      </w:pPr>
      <w:r>
        <w:rPr>
          <w:color w:val="1E1E1E"/>
          <w:sz w:val="18"/>
        </w:rPr>
        <w:t>A omissão referente à edição da lei complementar a que se refere o art. 40, § 4º, da CF/1988 deve ser imputada ao presidente da República e ao Congresso Nacional. Competência para julgar mandado de injunção sobre a referida questão é do STF.</w:t>
      </w:r>
    </w:p>
    <w:p>
      <w:pPr>
        <w:ind w:left="288"/>
      </w:pPr>
      <w:r>
        <w:rPr>
          <w:b/>
          <w:color w:val="003CA0"/>
          <w:sz w:val="16"/>
        </w:rPr>
        <w:t>[RE 797.905 RG, rel. min. Gilmar Mendes, j. 15-5-2014, P, DJE de 29-5-2014, Tema 727, com mérito julgado.]</w:t>
      </w:r>
    </w:p>
    <w:p>
      <w:pPr>
        <w:ind w:left="144"/>
      </w:pPr>
      <w:r>
        <w:rPr>
          <w:b/>
          <w:color w:val="B45A00"/>
          <w:sz w:val="16"/>
        </w:rPr>
        <w:t>JULGADOS CORRELATOS</w:t>
      </w:r>
    </w:p>
    <w:p>
      <w:pPr>
        <w:ind w:left="288"/>
      </w:pPr>
      <w:r>
        <w:rPr>
          <w:color w:val="8C8C8C"/>
          <w:sz w:val="12"/>
        </w:rPr>
        <w:t>cf-art-102-inc-I-ali-p</w:t>
      </w:r>
      <w:r>
        <w:rPr>
          <w:color w:val="003CA0"/>
          <w:sz w:val="12"/>
        </w:rPr>
        <w:t xml:space="preserve"> | MI 6.067</w:t>
      </w:r>
      <w:r>
        <w:rPr>
          <w:color w:val="003CA0"/>
          <w:sz w:val="12"/>
        </w:rPr>
        <w:t xml:space="preserve"> | rel. Gilmar Mendes</w:t>
      </w:r>
    </w:p>
    <w:p>
      <w:pPr>
        <w:ind w:left="288"/>
      </w:pPr>
      <w:r>
        <w:rPr>
          <w:color w:val="1E1E1E"/>
          <w:sz w:val="18"/>
        </w:rPr>
        <w:t>Não cabe mandado de injunção perante o STF cujo objeto seja ausência de norma regulamentadora estadual.</w:t>
      </w:r>
    </w:p>
    <w:p>
      <w:pPr>
        <w:ind w:left="288"/>
      </w:pPr>
      <w:r>
        <w:rPr>
          <w:b/>
          <w:color w:val="003CA0"/>
          <w:sz w:val="16"/>
        </w:rPr>
        <w:t>[MI 6.067 AgR, rel. min. Gilmar Mendes, j. 30-4-2014, P, DJE de 19-5-2014.]</w:t>
      </w:r>
    </w:p>
    <w:p>
      <w:pPr>
        <w:ind w:left="288"/>
      </w:pPr>
      <w:r>
        <w:rPr>
          <w:color w:val="8C8C8C"/>
          <w:sz w:val="12"/>
        </w:rPr>
        <w:t>cf-art-102-inc-I-ali-p</w:t>
      </w:r>
      <w:r>
        <w:rPr>
          <w:color w:val="003CA0"/>
          <w:sz w:val="12"/>
        </w:rPr>
        <w:t xml:space="preserve"> | MI 3.569</w:t>
      </w:r>
      <w:r>
        <w:rPr>
          <w:color w:val="003CA0"/>
          <w:sz w:val="12"/>
        </w:rPr>
        <w:t xml:space="preserve"> | rel. Marco Aurélio</w:t>
      </w:r>
    </w:p>
    <w:p>
      <w:pPr>
        <w:ind w:left="288"/>
      </w:pPr>
      <w:r>
        <w:rPr>
          <w:color w:val="1E1E1E"/>
          <w:sz w:val="18"/>
        </w:rPr>
        <w:t>Versando o mandado de injunção matéria própria a inúmeros pronunciamentos do Plenário, cabe ao relator a atuação direta, julgando-o.</w:t>
      </w:r>
    </w:p>
    <w:p>
      <w:pPr>
        <w:ind w:left="288"/>
      </w:pPr>
      <w:r>
        <w:rPr>
          <w:b/>
          <w:color w:val="003CA0"/>
          <w:sz w:val="16"/>
        </w:rPr>
        <w:t>[MI 3.569 AgR, rel. min. Marco Aurélio, j. 27-2-2014, P, DJE de 21-3-2014.]</w:t>
      </w:r>
    </w:p>
    <w:p>
      <w:pPr>
        <w:ind w:left="288"/>
      </w:pPr>
      <w:r>
        <w:rPr>
          <w:color w:val="8C8C8C"/>
          <w:sz w:val="12"/>
        </w:rPr>
        <w:t>cf-art-102-inc-I-ali-p</w:t>
      </w:r>
      <w:r>
        <w:rPr>
          <w:color w:val="003CA0"/>
          <w:sz w:val="12"/>
        </w:rPr>
        <w:t xml:space="preserve"> | MI 3.983</w:t>
      </w:r>
      <w:r>
        <w:rPr>
          <w:color w:val="003CA0"/>
          <w:sz w:val="12"/>
        </w:rPr>
        <w:t xml:space="preserve"> | rel. Dias Toffoli</w:t>
      </w:r>
    </w:p>
    <w:p>
      <w:pPr>
        <w:ind w:left="288"/>
      </w:pPr>
      <w:r>
        <w:rPr>
          <w:color w:val="1E1E1E"/>
          <w:sz w:val="18"/>
        </w:rPr>
        <w:t>Em sede injuncional, o STF exerce a função de garantir a eficácia da CF, reconhecendo um direito nela previamente definido (...), sem se substituir ao Poder Legislativo, o qual, no momento de edição da norma in abstrato, terá em conta a administração financeira do Estado e as políticas públicas adequadas para uma melhor realização do orçamento, fixando a fonte de custeio e restabelecendo o equilíbrio atuarial do sistema.</w:t>
      </w:r>
    </w:p>
    <w:p>
      <w:pPr>
        <w:ind w:left="288"/>
      </w:pPr>
      <w:r>
        <w:rPr>
          <w:b/>
          <w:color w:val="003CA0"/>
          <w:sz w:val="16"/>
        </w:rPr>
        <w:t>[MI 3.983 AgR, rel. min. Dias Toffoli, j. 19-9-2013, P, DJE de 24-10-2013.]</w:t>
      </w:r>
    </w:p>
    <w:p>
      <w:pPr>
        <w:ind w:left="288"/>
      </w:pPr>
      <w:r>
        <w:rPr>
          <w:color w:val="8C8C8C"/>
          <w:sz w:val="12"/>
        </w:rPr>
        <w:t>cf-art-102-inc-I-ali-p</w:t>
      </w:r>
      <w:r>
        <w:rPr>
          <w:color w:val="003CA0"/>
          <w:sz w:val="12"/>
        </w:rPr>
        <w:t xml:space="preserve"> | MI 624</w:t>
      </w:r>
      <w:r>
        <w:rPr>
          <w:color w:val="003CA0"/>
          <w:sz w:val="12"/>
        </w:rPr>
        <w:t xml:space="preserve"> | rel. Menezes Direito</w:t>
      </w:r>
    </w:p>
    <w:p>
      <w:pPr>
        <w:ind w:left="288"/>
      </w:pPr>
      <w:r>
        <w:rPr>
          <w:color w:val="1E1E1E"/>
          <w:sz w:val="18"/>
        </w:rPr>
        <w:t>Mandado de injunção. Falta de norma tipificando crime de responsabilidade dos magistrados. Inadequação da via eleita. O mandado de injunção exige para sua impetração a falta de norma regulamentadora que torne inviável o exercício de direito subjetivo do impetrante.</w:t>
      </w:r>
    </w:p>
    <w:p>
      <w:pPr>
        <w:ind w:left="288"/>
      </w:pPr>
      <w:r>
        <w:rPr>
          <w:b/>
          <w:color w:val="003CA0"/>
          <w:sz w:val="16"/>
        </w:rPr>
        <w:t>[MI 624, rel. min. Menezes Direito, j. 21-11-2007, P, DJE de 28-3-2008.]</w:t>
      </w:r>
    </w:p>
    <w:p>
      <w:pPr>
        <w:ind w:left="288"/>
      </w:pPr>
      <w:r>
        <w:rPr>
          <w:color w:val="8C8C8C"/>
          <w:sz w:val="12"/>
        </w:rPr>
        <w:t>cf-art-102-inc-I-ali-p</w:t>
      </w:r>
      <w:r>
        <w:rPr>
          <w:color w:val="003CA0"/>
          <w:sz w:val="12"/>
        </w:rPr>
        <w:t xml:space="preserve"> | MI 107</w:t>
      </w:r>
      <w:r>
        <w:rPr>
          <w:color w:val="003CA0"/>
          <w:sz w:val="12"/>
        </w:rPr>
        <w:t xml:space="preserve"> | rel. Moreira Alves</w:t>
      </w:r>
    </w:p>
    <w:p>
      <w:pPr>
        <w:ind w:left="288"/>
      </w:pPr>
      <w:r>
        <w:rPr>
          <w:color w:val="1E1E1E"/>
          <w:sz w:val="18"/>
        </w:rPr>
        <w:t>No julgamento do MI 107/DF, rel. min. Moreira Alves, DJ de 21-9-1990, o Plenário do STF consolidou entendimento que conferiu ao mandado de injunção os seguintes elementos operacionais: i) os direitos constitucionalmente garantidos por meio de mandado de injunção apresentam-se como direitos à expedição de um ato normativo, os quais, via de regra, não poderiam ser diretamente satisfeitos por meio de provimento jurisdicional do STF; ii) a decisão judicial que declara a existência de uma omissão inconstitucional constata, igualmente, a mora do órgão ou poder legiferante, insta-o a editar a norma r</w:t>
      </w:r>
    </w:p>
    <w:p>
      <w:pPr>
        <w:ind w:left="288"/>
      </w:pPr>
      <w:r>
        <w:rPr>
          <w:b/>
          <w:color w:val="003CA0"/>
          <w:sz w:val="16"/>
        </w:rPr>
        <w:t>[MI 708, rel. min. Gilmar Mendes, j. 25-10-2007, P, DJE de 31-10-2008.]</w:t>
      </w:r>
    </w:p>
    <w:p>
      <w:pPr>
        <w:ind w:left="288"/>
      </w:pPr>
      <w:r>
        <w:rPr>
          <w:color w:val="8C8C8C"/>
          <w:sz w:val="12"/>
        </w:rPr>
        <w:t>cf-art-102-inc-I-ali-p</w:t>
      </w:r>
      <w:r>
        <w:rPr>
          <w:color w:val="003CA0"/>
          <w:sz w:val="12"/>
        </w:rPr>
        <w:t xml:space="preserve"> | MI 153</w:t>
      </w:r>
      <w:r>
        <w:rPr>
          <w:color w:val="003CA0"/>
          <w:sz w:val="12"/>
        </w:rPr>
        <w:t xml:space="preserve"> | rel. Paulo Brossard</w:t>
      </w:r>
    </w:p>
    <w:p>
      <w:pPr>
        <w:ind w:left="288"/>
      </w:pPr>
      <w:r>
        <w:rPr>
          <w:color w:val="1E1E1E"/>
          <w:sz w:val="18"/>
        </w:rPr>
        <w:t>Mandado de injunção. Ilegitimidade passiva do presidente do Senado Federal se a iniciativa da lei é da alçada privativa do presidente da República (CF, arts. 37, VIII, e 61, § 1º, II, c).</w:t>
      </w:r>
    </w:p>
    <w:p>
      <w:pPr>
        <w:ind w:left="288"/>
      </w:pPr>
      <w:r>
        <w:rPr>
          <w:b/>
          <w:color w:val="003CA0"/>
          <w:sz w:val="16"/>
        </w:rPr>
        <w:t>[MI 153 AgR, rel. min. Paulo Brossard, j. 14-3-1990, P, DJ de 30-3-1990.]</w:t>
      </w:r>
    </w:p>
    <w:p>
      <w:pPr>
        <w:ind w:left="288"/>
      </w:pPr>
      <w:r>
        <w:rPr>
          <w:color w:val="8C8C8C"/>
          <w:sz w:val="12"/>
        </w:rPr>
        <w:t>cf-art-102-inc-I-ali-p</w:t>
      </w:r>
      <w:r>
        <w:rPr>
          <w:color w:val="003CA0"/>
          <w:sz w:val="12"/>
        </w:rPr>
        <w:t xml:space="preserve"> | MI 157</w:t>
      </w:r>
      <w:r>
        <w:rPr>
          <w:color w:val="003CA0"/>
          <w:sz w:val="12"/>
        </w:rPr>
        <w:t xml:space="preserve"> | rel. Aldir Passarinho</w:t>
      </w:r>
    </w:p>
    <w:p>
      <w:pPr>
        <w:ind w:left="288"/>
      </w:pPr>
      <w:r>
        <w:rPr>
          <w:color w:val="1E1E1E"/>
          <w:sz w:val="18"/>
        </w:rPr>
        <w:t>Mandado de injunção contra o Ministério do Trabalho. Competência. Sendo o mandado de injunção dirigido contra o Ministério do Trabalho, com o objetivo de que o impetrante obtenha registro como entidade sindical, evidencia-se não ser competente o STF para processá-lo e julgá-lo, ante o disposto no art. 102, I,  q, da CF, não lhe cabendo, por isso mesmo, sequer apreciar-se, para o fim em vista, o meio processual utilizado e o adequado. Remessa dos autos ao STJ  para processar e apreciar o pedido, como for de direito.</w:t>
      </w:r>
    </w:p>
    <w:p>
      <w:pPr>
        <w:ind w:left="288"/>
      </w:pPr>
      <w:r>
        <w:rPr>
          <w:b/>
          <w:color w:val="003CA0"/>
          <w:sz w:val="16"/>
        </w:rPr>
        <w:t>[MI 157 QO, rel. min. Aldir Passarinho, j. 21-2-1990, P, DJ  de 20-4-1990.]</w:t>
      </w:r>
    </w:p>
    <w:p>
      <w:pPr>
        <w:ind w:left="144"/>
      </w:pPr>
      <w:r>
        <w:rPr>
          <w:b/>
          <w:color w:val="B45A00"/>
          <w:sz w:val="16"/>
        </w:rPr>
        <w:t>CONTROLE CONCENTRADO</w:t>
      </w:r>
    </w:p>
    <w:p>
      <w:pPr>
        <w:ind w:left="288"/>
      </w:pPr>
      <w:r>
        <w:rPr>
          <w:color w:val="8C8C8C"/>
          <w:sz w:val="12"/>
        </w:rPr>
        <w:t>cf-art-102-inc-I-ali-r</w:t>
      </w:r>
      <w:r>
        <w:rPr>
          <w:color w:val="003CA0"/>
          <w:sz w:val="12"/>
        </w:rPr>
        <w:t xml:space="preserve"> | ADI 4.412</w:t>
      </w:r>
      <w:r>
        <w:rPr>
          <w:color w:val="003CA0"/>
          <w:sz w:val="12"/>
        </w:rPr>
        <w:t xml:space="preserve"> | rel. Gilmar Mendes</w:t>
      </w:r>
    </w:p>
    <w:p>
      <w:pPr>
        <w:ind w:left="288"/>
      </w:pPr>
      <w:r>
        <w:rPr>
          <w:color w:val="1E1E1E"/>
          <w:sz w:val="18"/>
        </w:rPr>
        <w:t>Competência exclusiva do Supremo Tribunal Federal para julgar ações ajuizadas contra atos do CNJ praticados no exercício de suas competências constitucionais.</w:t>
      </w:r>
    </w:p>
    <w:p>
      <w:pPr>
        <w:ind w:left="288"/>
      </w:pPr>
      <w:r>
        <w:rPr>
          <w:b/>
          <w:color w:val="003CA0"/>
          <w:sz w:val="16"/>
        </w:rPr>
        <w:t>[ADI 4.412, rel. min. Gilmar Mendes, j. 18-11-2020, P, DJE de 15-3-2021.]</w:t>
      </w:r>
    </w:p>
    <w:p>
      <w:pPr>
        <w:ind w:left="144"/>
      </w:pPr>
      <w:r>
        <w:rPr>
          <w:b/>
          <w:color w:val="B45A00"/>
          <w:sz w:val="16"/>
        </w:rPr>
        <w:t>JULGADOS CORRELATOS</w:t>
      </w:r>
    </w:p>
    <w:p>
      <w:pPr>
        <w:ind w:left="288"/>
      </w:pPr>
      <w:r>
        <w:rPr>
          <w:color w:val="8C8C8C"/>
          <w:sz w:val="12"/>
        </w:rPr>
        <w:t>cf-art-102-inc-I-ali-r</w:t>
      </w:r>
      <w:r>
        <w:rPr>
          <w:color w:val="003CA0"/>
          <w:sz w:val="12"/>
        </w:rPr>
        <w:t xml:space="preserve"> | MS 37.162</w:t>
      </w:r>
      <w:r>
        <w:rPr>
          <w:color w:val="003CA0"/>
          <w:sz w:val="12"/>
        </w:rPr>
        <w:t xml:space="preserve"> | rel. Rosa Weber</w:t>
      </w:r>
    </w:p>
    <w:p>
      <w:pPr>
        <w:ind w:left="288"/>
      </w:pPr>
      <w:r>
        <w:rPr>
          <w:color w:val="1E1E1E"/>
          <w:sz w:val="18"/>
        </w:rPr>
        <w:t>A jurisprudência do Supremo Tribunal Federal é pacífica no sentido de que a previsão constitucional estabelecida no art. 102, I, r, da Constituição Federal exclui os casos em que a deliberação proferida pelo CNJ ou CNMP, dentro das competências de tais órgãos, resulta na manutenção dos provimentos administrativos oriundos das instâncias fiscalizadas pelos Conselhos.</w:t>
      </w:r>
    </w:p>
    <w:p>
      <w:pPr>
        <w:ind w:left="288"/>
      </w:pPr>
      <w:r>
        <w:rPr>
          <w:b/>
          <w:color w:val="003CA0"/>
          <w:sz w:val="16"/>
        </w:rPr>
        <w:t>[MS 37.162 AgR, rel. min. Rosa Weber, j. 9-11-2021, 1ª T, DJE de 21-2-2022.]</w:t>
      </w:r>
    </w:p>
    <w:p>
      <w:pPr>
        <w:ind w:left="288"/>
      </w:pPr>
      <w:r>
        <w:rPr>
          <w:color w:val="8C8C8C"/>
          <w:sz w:val="12"/>
        </w:rPr>
        <w:t>cf-art-102-inc-I-ali-r</w:t>
      </w:r>
      <w:r>
        <w:rPr>
          <w:color w:val="003CA0"/>
          <w:sz w:val="12"/>
        </w:rPr>
        <w:t xml:space="preserve"> | PET 4.770</w:t>
      </w:r>
      <w:r>
        <w:rPr>
          <w:color w:val="003CA0"/>
          <w:sz w:val="12"/>
        </w:rPr>
        <w:t xml:space="preserve"> | rel. Roberto Barroso</w:t>
      </w:r>
    </w:p>
    <w:p>
      <w:pPr>
        <w:ind w:left="288"/>
      </w:pPr>
      <w:r>
        <w:rPr>
          <w:color w:val="1E1E1E"/>
          <w:sz w:val="18"/>
        </w:rPr>
        <w:t>O art. 102, I, r, CF estabelece a competência do STF para julgar originariamente ‘as ações contra o Conselho Nacional de Justiça e contra o Conselho Nacional do Ministério Público’. A Constituição não discriminou as espécies de ação que seriam da alçada desta Corte, do que se extrai que procurou fixar uma atribuição mais ampla para a análise de tais demandas. Essa leitura é corroborada pelo fato de que, quando pretendeu restringir a competência do Tribunal apenas às ações mandamentais, o constituinte o fez de forma expressa (art. 102, I, d, i e q, CF). Isso não significa, porém, que a Corte de</w:t>
      </w:r>
    </w:p>
    <w:p>
      <w:pPr>
        <w:ind w:left="288"/>
      </w:pPr>
      <w:r>
        <w:rPr>
          <w:b/>
          <w:color w:val="003CA0"/>
          <w:sz w:val="16"/>
        </w:rPr>
        <w:t>[Pet 4.770 AgR, rel. min. Roberto Barroso, j. 18-11-2020, P, DJE de 15-3-2021.]</w:t>
      </w:r>
    </w:p>
    <w:p>
      <w:pPr>
        <w:ind w:left="288"/>
      </w:pPr>
      <w:r>
        <w:rPr>
          <w:color w:val="8C8C8C"/>
          <w:sz w:val="12"/>
        </w:rPr>
        <w:t>cf-art-102-inc-I-ali-r</w:t>
      </w:r>
      <w:r>
        <w:rPr>
          <w:color w:val="003CA0"/>
          <w:sz w:val="12"/>
        </w:rPr>
        <w:t xml:space="preserve"> | RCL 24.563</w:t>
      </w:r>
      <w:r>
        <w:rPr>
          <w:color w:val="003CA0"/>
          <w:sz w:val="12"/>
        </w:rPr>
        <w:t xml:space="preserve"> | rel. Dias Toffoli</w:t>
      </w:r>
    </w:p>
    <w:p>
      <w:pPr>
        <w:ind w:left="288"/>
      </w:pPr>
      <w:r>
        <w:rPr>
          <w:color w:val="1E1E1E"/>
          <w:sz w:val="18"/>
        </w:rPr>
        <w:t>Ausência de competência originária do STF para julgar ação ordinária em que se discutam deliberações do CNJ que atinjam tão somente serventia extrajudicial, porquanto não se referem à atuação-fim do Conselho, incidente, direta e especialmente, sobre membros e órgãos a ele diretamente subordinados.</w:t>
      </w:r>
    </w:p>
    <w:p>
      <w:pPr>
        <w:ind w:left="288"/>
      </w:pPr>
      <w:r>
        <w:rPr>
          <w:b/>
          <w:color w:val="003CA0"/>
          <w:sz w:val="16"/>
        </w:rPr>
        <w:t>[Rcl 24.563 AgR, rel. min. Dias Toffoli, j. 13-12-2016, 2ª T, DJE de 21-2-2017.]</w:t>
      </w:r>
    </w:p>
    <w:p>
      <w:pPr>
        <w:ind w:left="288"/>
      </w:pPr>
      <w:r>
        <w:rPr>
          <w:color w:val="8C8C8C"/>
          <w:sz w:val="12"/>
        </w:rPr>
        <w:t>cf-art-102-inc-I-ali-r</w:t>
      </w:r>
      <w:r>
        <w:rPr>
          <w:color w:val="003CA0"/>
          <w:sz w:val="12"/>
        </w:rPr>
        <w:t xml:space="preserve"> | AO 1.883</w:t>
      </w:r>
      <w:r>
        <w:rPr>
          <w:color w:val="003CA0"/>
          <w:sz w:val="12"/>
        </w:rPr>
        <w:t xml:space="preserve"> | rel. Dias Toffoli</w:t>
      </w:r>
    </w:p>
    <w:p>
      <w:pPr>
        <w:ind w:left="288"/>
      </w:pPr>
      <w:r>
        <w:rPr>
          <w:color w:val="1E1E1E"/>
          <w:sz w:val="18"/>
        </w:rPr>
        <w:t>O CNJ é parte ilegítima para compor o polo passivo de demanda cuja fundamentação questiona apenas ato de tribunal local.</w:t>
      </w:r>
    </w:p>
    <w:p>
      <w:pPr>
        <w:ind w:left="288"/>
      </w:pPr>
      <w:r>
        <w:rPr>
          <w:b/>
          <w:color w:val="003CA0"/>
          <w:sz w:val="16"/>
        </w:rPr>
        <w:t>[AO 1.883 AgR, rel. min. Dias Toffoli, j. 30-4-2014, P, DJE de 3-6-2014.]</w:t>
      </w:r>
    </w:p>
    <w:p>
      <w:pPr>
        <w:ind w:left="288"/>
      </w:pPr>
      <w:r>
        <w:rPr>
          <w:color w:val="8C8C8C"/>
          <w:sz w:val="12"/>
        </w:rPr>
        <w:t>cf-art-102-inc-I-ali-r</w:t>
      </w:r>
      <w:r>
        <w:rPr>
          <w:color w:val="003CA0"/>
          <w:sz w:val="12"/>
        </w:rPr>
        <w:t xml:space="preserve"> | MS 28.133</w:t>
      </w:r>
      <w:r>
        <w:rPr>
          <w:color w:val="003CA0"/>
          <w:sz w:val="12"/>
        </w:rPr>
        <w:t xml:space="preserve"> | rel. Joaquim Barbosa</w:t>
      </w:r>
    </w:p>
    <w:p>
      <w:pPr>
        <w:ind w:left="288"/>
      </w:pPr>
      <w:r>
        <w:rPr>
          <w:color w:val="1E1E1E"/>
          <w:sz w:val="18"/>
        </w:rPr>
        <w:t>O STF não se reduz à singela instância revisora das decisões proferidas pelo CNJ. Em especial, descabe compelir o CNJ a adotar a providência de fundo entendida pela parte interessada como correta, se a decisão impugnada não tiver alterado relações jurídicas ou, de modo ativo, agravado a situação de jurisdicionado. Cabe à parte interessada, que não teve sua pretensão atendida no campo administrativo com uma decisão positiva-ativa, buscar a tutela jurisdicional que, no caso, é alheia à competência originária do STF.</w:t>
      </w:r>
    </w:p>
    <w:p>
      <w:pPr>
        <w:ind w:left="288"/>
      </w:pPr>
      <w:r>
        <w:rPr>
          <w:b/>
          <w:color w:val="003CA0"/>
          <w:sz w:val="16"/>
        </w:rPr>
        <w:t>[MS 28.133 AgR, rel. min. Joaquim Barbosa, j. 24-3-2011, P, DJE de 11-4-2011.]</w:t>
      </w:r>
    </w:p>
    <w:p>
      <w:pPr>
        <w:ind w:left="288"/>
      </w:pPr>
      <w:r>
        <w:rPr>
          <w:color w:val="8C8C8C"/>
          <w:sz w:val="12"/>
        </w:rPr>
        <w:t>cf-art-102-inc-I-ali-r</w:t>
      </w:r>
      <w:r>
        <w:rPr>
          <w:color w:val="003CA0"/>
          <w:sz w:val="12"/>
        </w:rPr>
        <w:t xml:space="preserve"> | MS 28.549</w:t>
      </w:r>
      <w:r>
        <w:rPr>
          <w:color w:val="003CA0"/>
          <w:sz w:val="12"/>
        </w:rPr>
        <w:t xml:space="preserve"> | rel. Dias Toffoli</w:t>
      </w:r>
    </w:p>
    <w:p>
      <w:pPr>
        <w:ind w:left="288"/>
      </w:pPr>
      <w:r>
        <w:rPr>
          <w:color w:val="1E1E1E"/>
          <w:sz w:val="18"/>
        </w:rPr>
        <w:t>= MS 28.549 AgR, rel. min. Dias Toffoli, j. 6-3-2013, P, DJE de 8-4-2013 As decisões do CNJ que não interferem nas esferas de competência dos tribunais ou dos juízes não substituem aquelas decisões por eles proferidas, pelo que não atraem a competência do Supremo Tribunal.</w:t>
      </w:r>
    </w:p>
    <w:p>
      <w:pPr>
        <w:ind w:left="288"/>
      </w:pPr>
      <w:r>
        <w:rPr>
          <w:b/>
          <w:color w:val="003CA0"/>
          <w:sz w:val="16"/>
        </w:rPr>
        <w:t>[MS 29.118 AgR, rel. min. Cármen Lúcia, j. 2-3-2011, P, DJE de 14-4-2011.]</w:t>
      </w:r>
    </w:p>
    <w:p>
      <w:pPr>
        <w:ind w:left="288"/>
      </w:pPr>
      <w:r>
        <w:rPr>
          <w:color w:val="8C8C8C"/>
          <w:sz w:val="12"/>
        </w:rPr>
        <w:t>cf-art-102-inc-I-ali-r</w:t>
      </w:r>
      <w:r>
        <w:rPr>
          <w:color w:val="003CA0"/>
          <w:sz w:val="12"/>
        </w:rPr>
        <w:t xml:space="preserve"> | PET 3.674</w:t>
      </w:r>
      <w:r>
        <w:rPr>
          <w:color w:val="003CA0"/>
          <w:sz w:val="12"/>
        </w:rPr>
        <w:t xml:space="preserve"> | rel. Sepúlveda Pertence</w:t>
      </w:r>
    </w:p>
    <w:p>
      <w:pPr>
        <w:ind w:left="288"/>
      </w:pPr>
      <w:r>
        <w:rPr>
          <w:color w:val="1E1E1E"/>
          <w:sz w:val="18"/>
        </w:rPr>
        <w:t>Competência originária do Supremo Tribunal para as ações contra o CNJ e contra o CNMP (CF, art. 102, I, r, com a redação da EC 45/2004): inteligência: não inclusão da ação popular, ainda quando nela se vise à declaração de nulidade do ato de qualquer um dos conselhos nela referidos. Tratando-se de ação popular, o STF – com as únicas ressalvas da incidência da alínea n  do art. 102, I, da Constituição ou de a lide substantivar conflito entre a União e Estado-membro – jamais admitiu a própria competência originária: ao contrário, a incompetência do Tribunal para processar e julgar a ação popular</w:t>
      </w:r>
    </w:p>
    <w:p>
      <w:pPr>
        <w:ind w:left="288"/>
      </w:pPr>
      <w:r>
        <w:rPr>
          <w:b/>
          <w:color w:val="003CA0"/>
          <w:sz w:val="16"/>
        </w:rPr>
        <w:t>[Pet 3.674 QO, rel. min. Sepúlveda Pertence, j. 4-10-2006, P, DJ de 19-12-2006.]</w:t>
      </w:r>
    </w:p>
    <w:p>
      <w:pPr>
        <w:ind w:left="144"/>
      </w:pPr>
      <w:r>
        <w:rPr>
          <w:b/>
          <w:color w:val="B45A00"/>
          <w:sz w:val="16"/>
        </w:rPr>
        <w:t>SUMULA</w:t>
      </w:r>
    </w:p>
    <w:p>
      <w:pPr>
        <w:ind w:left="288"/>
      </w:pPr>
      <w:r>
        <w:rPr>
          <w:color w:val="8C8C8C"/>
          <w:sz w:val="12"/>
        </w:rPr>
        <w:t>cf-art-102-inc-II-ali-a</w:t>
      </w:r>
    </w:p>
    <w:p>
      <w:pPr>
        <w:ind w:left="288"/>
      </w:pPr>
      <w:r>
        <w:rPr>
          <w:color w:val="1E1E1E"/>
          <w:sz w:val="18"/>
        </w:rPr>
        <w:t>Não compete ao STF conhecer de habeas corpus impetrado contra decisão do relator que, em habeas corpus requerido a tribunal superior, indefere a liminar.</w:t>
      </w:r>
    </w:p>
    <w:p>
      <w:pPr>
        <w:ind w:left="288"/>
      </w:pPr>
      <w:r>
        <w:rPr>
          <w:b/>
          <w:color w:val="003CA0"/>
          <w:sz w:val="16"/>
        </w:rPr>
        <w:t>[Súmula 691.]</w:t>
      </w:r>
    </w:p>
    <w:p>
      <w:pPr>
        <w:ind w:left="144"/>
      </w:pPr>
      <w:r>
        <w:rPr>
          <w:b/>
          <w:color w:val="B45A00"/>
          <w:sz w:val="16"/>
        </w:rPr>
        <w:t>JULGADOS CORRELATOS</w:t>
      </w:r>
    </w:p>
    <w:p>
      <w:pPr>
        <w:ind w:left="288"/>
      </w:pPr>
      <w:r>
        <w:rPr>
          <w:color w:val="8C8C8C"/>
          <w:sz w:val="12"/>
        </w:rPr>
        <w:t>cf-art-102-inc-II-ali-a</w:t>
      </w:r>
      <w:r>
        <w:rPr>
          <w:color w:val="003CA0"/>
          <w:sz w:val="12"/>
        </w:rPr>
        <w:t xml:space="preserve"> | PET 5.297</w:t>
      </w:r>
      <w:r>
        <w:rPr>
          <w:color w:val="003CA0"/>
          <w:sz w:val="12"/>
        </w:rPr>
        <w:t xml:space="preserve"> | rel. Gilmar Mendes</w:t>
      </w:r>
    </w:p>
    <w:p>
      <w:pPr>
        <w:ind w:left="288"/>
      </w:pPr>
      <w:r>
        <w:rPr>
          <w:color w:val="1E1E1E"/>
          <w:sz w:val="18"/>
        </w:rPr>
        <w:t>Não cabimento de recurso ordinário constitucional em sede de execução em mandado de segurança. Rol de hipóteses de cabimento do recurso ordinário, do art. 102, II, a, CF, é taxativo.</w:t>
      </w:r>
    </w:p>
    <w:p>
      <w:pPr>
        <w:ind w:left="288"/>
      </w:pPr>
      <w:r>
        <w:rPr>
          <w:b/>
          <w:color w:val="003CA0"/>
          <w:sz w:val="16"/>
        </w:rPr>
        <w:t>[Pet 5.297 AgR, rel. min. Gilmar Mendes, j. 24-2-2015, 2ª T, DJE de 9-3-2015.]</w:t>
      </w:r>
    </w:p>
    <w:p>
      <w:pPr>
        <w:ind w:left="288"/>
      </w:pPr>
      <w:r>
        <w:rPr>
          <w:color w:val="8C8C8C"/>
          <w:sz w:val="12"/>
        </w:rPr>
        <w:t>cf-art-102-inc-II-ali-a</w:t>
      </w:r>
      <w:r>
        <w:rPr>
          <w:color w:val="003CA0"/>
          <w:sz w:val="12"/>
        </w:rPr>
        <w:t xml:space="preserve"> | HC 109.956</w:t>
      </w:r>
      <w:r>
        <w:rPr>
          <w:color w:val="003CA0"/>
          <w:sz w:val="12"/>
        </w:rPr>
        <w:t xml:space="preserve"> | rel. Marco Aurélio</w:t>
      </w:r>
    </w:p>
    <w:p>
      <w:pPr>
        <w:ind w:left="288"/>
      </w:pPr>
      <w:r>
        <w:rPr>
          <w:color w:val="1E1E1E"/>
          <w:sz w:val="18"/>
        </w:rPr>
        <w:t>Habeas corpus. Julgamento por tribunal superior. Impugnação. A teor do disposto no art. 102, II, a, da CF, contra decisão, proferida em processo revelador de habeas corpus, a implicar a não concessão da ordem, cabível é o recurso ordinário. Evolução quanto à admissibilidade do substitutivo do habeas corpus.</w:t>
      </w:r>
    </w:p>
    <w:p>
      <w:pPr>
        <w:ind w:left="288"/>
      </w:pPr>
      <w:r>
        <w:rPr>
          <w:b/>
          <w:color w:val="003CA0"/>
          <w:sz w:val="16"/>
        </w:rPr>
        <w:t>[HC 109.956, rel. min. Marco Aurélio, j. 7-8-2012, 1ª T, DJE de 11-9-2012.]</w:t>
      </w:r>
    </w:p>
    <w:p>
      <w:pPr>
        <w:ind w:left="288"/>
      </w:pPr>
      <w:r>
        <w:rPr>
          <w:color w:val="8C8C8C"/>
          <w:sz w:val="12"/>
        </w:rPr>
        <w:t>cf-art-102-inc-II-ali-a</w:t>
      </w:r>
      <w:r>
        <w:rPr>
          <w:color w:val="003CA0"/>
          <w:sz w:val="12"/>
        </w:rPr>
        <w:t xml:space="preserve"> | HC 113.281</w:t>
      </w:r>
      <w:r>
        <w:rPr>
          <w:color w:val="003CA0"/>
          <w:sz w:val="12"/>
        </w:rPr>
        <w:t xml:space="preserve"> | rel. Dias Toffoli</w:t>
      </w:r>
    </w:p>
    <w:p>
      <w:pPr>
        <w:ind w:left="288"/>
      </w:pPr>
      <w:r>
        <w:rPr>
          <w:color w:val="1E1E1E"/>
          <w:sz w:val="18"/>
        </w:rPr>
        <w:t>= HC 113.281, rel. min. Dias Toffoli, j. 11-9-2012, 1ª T, DJE de 10-10-2012 Vide HC 115.168, rel. min. Marco Aurélio, j. 21-5-2013, 1ª T, DJE de 17-6-2013 Não se revela admissível, porque inexistente, "recurso ordinário" contra julgamentos emanados do STF. Incidência, na espécie, do princípio da legalidade ou da tipicidade dos recursos. Inaplicabilidade, ao caso, por tratar-se de erro grosseiro, do postulado da fungibilidade recursal.</w:t>
      </w:r>
    </w:p>
    <w:p>
      <w:pPr>
        <w:ind w:left="288"/>
      </w:pPr>
      <w:r>
        <w:rPr>
          <w:b/>
          <w:color w:val="003CA0"/>
          <w:sz w:val="16"/>
        </w:rPr>
        <w:t>[MS 28.857 QO, rel. min. Celso de Mello, j. 14-9-2011, P, DJE de 20-3-2013.]</w:t>
      </w:r>
    </w:p>
    <w:p>
      <w:pPr>
        <w:ind w:left="288"/>
      </w:pPr>
      <w:r>
        <w:rPr>
          <w:color w:val="8C8C8C"/>
          <w:sz w:val="12"/>
        </w:rPr>
        <w:t>cf-art-102-inc-II-ali-a</w:t>
      </w:r>
      <w:r>
        <w:rPr>
          <w:color w:val="003CA0"/>
          <w:sz w:val="12"/>
        </w:rPr>
        <w:t xml:space="preserve"> | MI 2.693</w:t>
      </w:r>
      <w:r>
        <w:rPr>
          <w:color w:val="003CA0"/>
          <w:sz w:val="12"/>
        </w:rPr>
        <w:t xml:space="preserve"> | rel. Teori Zavascki</w:t>
      </w:r>
    </w:p>
    <w:p>
      <w:pPr>
        <w:ind w:left="288"/>
      </w:pPr>
      <w:r>
        <w:rPr>
          <w:color w:val="1E1E1E"/>
          <w:sz w:val="18"/>
        </w:rPr>
        <w:t>= MI 2.693, rel. min. Teori Zavascki, j. 19-6-2013, P, DJE de 13-2-2014. Recurso. Ordinário. Admissibilidade. Interposição contra acórdão que não conheceu de pedido de mandado de segurança. Recurso conhecido. Precedentes. É admissível recurso ordinário contra decisão que não conhece de pedido de mandado de segurança. Mandado de segurança. Impetração contra acórdão do STM. Pedido não conhecido. Motivação de oponibilidade de embargos declaratórios. Inadmissibilidade. Impugnação que argui  ilegalidade da decisão. Inexistência de alegação de vício remediável por embargos. Recurso provido. Se manda</w:t>
      </w:r>
    </w:p>
    <w:p>
      <w:pPr>
        <w:ind w:left="288"/>
      </w:pPr>
      <w:r>
        <w:rPr>
          <w:b/>
          <w:color w:val="003CA0"/>
          <w:sz w:val="16"/>
        </w:rPr>
        <w:t>[RMS 25.424, rel. min. Cezar Peluso, j. 12-8-2008, 2ª T, DJE de 7-11-2008.]</w:t>
      </w:r>
    </w:p>
    <w:p>
      <w:pPr>
        <w:ind w:left="288"/>
      </w:pPr>
      <w:r>
        <w:rPr>
          <w:color w:val="8C8C8C"/>
          <w:sz w:val="12"/>
        </w:rPr>
        <w:t>cf-art-102-inc-II-ali-a</w:t>
      </w:r>
      <w:r>
        <w:rPr>
          <w:color w:val="003CA0"/>
          <w:sz w:val="12"/>
        </w:rPr>
        <w:t xml:space="preserve"> | RMS 26.058</w:t>
      </w:r>
      <w:r>
        <w:rPr>
          <w:color w:val="003CA0"/>
          <w:sz w:val="12"/>
        </w:rPr>
        <w:t xml:space="preserve"> | rel. Sepúlveda Pertence</w:t>
      </w:r>
    </w:p>
    <w:p>
      <w:pPr>
        <w:ind w:left="288"/>
      </w:pPr>
      <w:r>
        <w:rPr>
          <w:color w:val="1E1E1E"/>
          <w:sz w:val="18"/>
        </w:rPr>
        <w:t>Mandado de segurança: recurso ordinário contra decisão de turma recursal: descabimento. A teor do art. 102, II, a, da Constituição, compete ao Supremo Tribunal julgar, em recurso ordinário, o mandado de segurança, quando decidido em única ou última instância pelos tribunais superiores, se denegatória a decisão.</w:t>
      </w:r>
    </w:p>
    <w:p>
      <w:pPr>
        <w:ind w:left="288"/>
      </w:pPr>
      <w:r>
        <w:rPr>
          <w:b/>
          <w:color w:val="003CA0"/>
          <w:sz w:val="16"/>
        </w:rPr>
        <w:t>[RMS 26.058 AgR, rel. min. Sepúlveda Pertence, j. 2-3-2007, 1ª T, DJ de 16-3-2007.]</w:t>
      </w:r>
    </w:p>
    <w:p>
      <w:pPr>
        <w:ind w:left="288"/>
      </w:pPr>
      <w:r>
        <w:rPr>
          <w:color w:val="8C8C8C"/>
          <w:sz w:val="12"/>
        </w:rPr>
        <w:t>cf-art-102-inc-II-ali-a</w:t>
      </w:r>
      <w:r>
        <w:rPr>
          <w:color w:val="003CA0"/>
          <w:sz w:val="12"/>
        </w:rPr>
        <w:t xml:space="preserve"> | HC 87.639</w:t>
      </w:r>
      <w:r>
        <w:rPr>
          <w:color w:val="003CA0"/>
          <w:sz w:val="12"/>
        </w:rPr>
        <w:t xml:space="preserve"> | rel. Sepúlveda Pertence</w:t>
      </w:r>
    </w:p>
    <w:p>
      <w:pPr>
        <w:ind w:left="288"/>
      </w:pPr>
      <w:r>
        <w:rPr>
          <w:color w:val="1E1E1E"/>
          <w:sz w:val="18"/>
        </w:rPr>
        <w:t>Não se sujeita o recurso ordinário de habeas corpus  nem a petição substitutiva dele ao requisito do prequestionamento na decisão impugnada: para o conhecimento deste, basta que a coação seja imputável ao órgão de gradação jurisdicional inferior, o que tanto ocorre quando esse haja examinado e repelido a ilegalidade aventada, quanto se se omite de decidir sobre a alegação do impetrante ou sobre matéria sobre a qual, no âmbito de conhecimento da causa a ele devolvida, se devesse pronunciar de ofício. Precedentes. A omissão sobre um fundamento posto é, em si mesmo, uma coação, e o tribunal super</w:t>
      </w:r>
    </w:p>
    <w:p>
      <w:pPr>
        <w:ind w:left="288"/>
      </w:pPr>
      <w:r>
        <w:rPr>
          <w:b/>
          <w:color w:val="003CA0"/>
          <w:sz w:val="16"/>
        </w:rPr>
        <w:t>[HC 87.639, rel. min. Sepúlveda Pertence, j. 11-4-2006, 1ª T, DJ de 5-5-2006.]</w:t>
      </w:r>
    </w:p>
    <w:p>
      <w:pPr>
        <w:ind w:left="288"/>
      </w:pPr>
      <w:r>
        <w:rPr>
          <w:color w:val="8C8C8C"/>
          <w:sz w:val="12"/>
        </w:rPr>
        <w:t>cf-art-102-inc-II-ali-a</w:t>
      </w:r>
      <w:r>
        <w:rPr>
          <w:color w:val="003CA0"/>
          <w:sz w:val="12"/>
        </w:rPr>
        <w:t xml:space="preserve"> | RHC 87.449</w:t>
      </w:r>
      <w:r>
        <w:rPr>
          <w:color w:val="003CA0"/>
          <w:sz w:val="12"/>
        </w:rPr>
        <w:t xml:space="preserve"> | rel. Celso de Mello</w:t>
      </w:r>
    </w:p>
    <w:p>
      <w:pPr>
        <w:ind w:left="288"/>
      </w:pPr>
      <w:r>
        <w:rPr>
          <w:color w:val="1E1E1E"/>
          <w:sz w:val="18"/>
        </w:rPr>
        <w:t>Não cabe, para o STF, recurso ordinário contra decisão denegatória de habeas corpus proferida por turma recursal vinculada ao sistema dos juizados especiais criminais, eis que tal órgão judiciário não se subsume à noção constitucional de tribunal superior (CF, art. 102, II, a).</w:t>
      </w:r>
    </w:p>
    <w:p>
      <w:pPr>
        <w:ind w:left="288"/>
      </w:pPr>
      <w:r>
        <w:rPr>
          <w:b/>
          <w:color w:val="003CA0"/>
          <w:sz w:val="16"/>
        </w:rPr>
        <w:t>[RHC 87.449, rel. min. Celso de Mello, j. 7-3-2006, 2ª T, DJ de 3-8-2007.]</w:t>
      </w:r>
    </w:p>
    <w:p>
      <w:pPr>
        <w:ind w:left="288"/>
      </w:pPr>
      <w:r>
        <w:rPr>
          <w:color w:val="8C8C8C"/>
          <w:sz w:val="12"/>
        </w:rPr>
        <w:t>cf-art-102-inc-II-ali-a</w:t>
      </w:r>
      <w:r>
        <w:rPr>
          <w:color w:val="003CA0"/>
          <w:sz w:val="12"/>
        </w:rPr>
        <w:t xml:space="preserve"> | HC 85.185</w:t>
      </w:r>
      <w:r>
        <w:rPr>
          <w:color w:val="003CA0"/>
          <w:sz w:val="12"/>
        </w:rPr>
        <w:t xml:space="preserve"> | rel. Cezar Peluso</w:t>
      </w:r>
    </w:p>
    <w:p>
      <w:pPr>
        <w:ind w:left="288"/>
      </w:pPr>
      <w:r>
        <w:rPr>
          <w:color w:val="1E1E1E"/>
          <w:sz w:val="18"/>
        </w:rPr>
        <w:t>A Súmula 691/STF, que não admite habeas corpus impetrado contra decisão do relator que, em habeas corpus  requerido a tribunal superior, indefere liminar, admite, entretanto, abrandamento: diante de flagrante violação à liberdade de locomoção, não pode a Corte Suprema, guardiã maior da Constituição, guardiã maior, portanto, dos direitos e garantias constitucionais, quedar-se inerte. Precedente do STF: HC 85.185/SP, rel. min. Cezar Peluso, Plenário, 10-8-2005. Exame de precedentes da Súmula/STF.</w:t>
      </w:r>
    </w:p>
    <w:p>
      <w:pPr>
        <w:ind w:left="288"/>
      </w:pPr>
      <w:r>
        <w:rPr>
          <w:b/>
          <w:color w:val="003CA0"/>
          <w:sz w:val="16"/>
        </w:rPr>
        <w:t>[HC 86.864 MC, rel. min. Carlos Velloso, j. 20-10-2005, P, DJ de 16-12-2005.]</w:t>
      </w:r>
    </w:p>
    <w:p>
      <w:pPr>
        <w:ind w:left="288"/>
      </w:pPr>
      <w:r>
        <w:rPr>
          <w:color w:val="8C8C8C"/>
          <w:sz w:val="12"/>
        </w:rPr>
        <w:t>cf-art-102-inc-II-ali-a</w:t>
      </w:r>
      <w:r>
        <w:rPr>
          <w:color w:val="003CA0"/>
          <w:sz w:val="12"/>
        </w:rPr>
        <w:t xml:space="preserve"> | HC 84.936</w:t>
      </w:r>
      <w:r>
        <w:rPr>
          <w:color w:val="003CA0"/>
          <w:sz w:val="12"/>
        </w:rPr>
        <w:t xml:space="preserve"> | rel. Cezar Peluso</w:t>
      </w:r>
    </w:p>
    <w:p>
      <w:pPr>
        <w:ind w:left="288"/>
      </w:pPr>
      <w:r>
        <w:rPr>
          <w:color w:val="1E1E1E"/>
          <w:sz w:val="18"/>
        </w:rPr>
        <w:t>Habeas corpus. Inadmissibilidade. Decisão do STJ. Acórdão proferido em agravo regimental contra indeferimento de liminar em habeas corpus. Pedido não conhecido. Aplicação analógica da Súmula 691. Agravo regimental improvido. Não compete ao STF conhecer de pedido de habeas corpus  contra acórdão do STJ  que, em agravo regimental, manteve decisão do relator que indeferiu liminar em habeas corpus.</w:t>
      </w:r>
    </w:p>
    <w:p>
      <w:pPr>
        <w:ind w:left="288"/>
      </w:pPr>
      <w:r>
        <w:rPr>
          <w:b/>
          <w:color w:val="003CA0"/>
          <w:sz w:val="16"/>
        </w:rPr>
        <w:t>[HC 84.936 AgR, rel. min. Cezar Peluso, j. 30-11-2004, 1ª T, DJ de 8-4-2005.]</w:t>
      </w:r>
    </w:p>
    <w:p>
      <w:pPr>
        <w:ind w:left="288"/>
      </w:pPr>
      <w:r>
        <w:rPr>
          <w:color w:val="8C8C8C"/>
          <w:sz w:val="12"/>
        </w:rPr>
        <w:t>cf-art-102-inc-II-ali-a</w:t>
      </w:r>
      <w:r>
        <w:rPr>
          <w:color w:val="003CA0"/>
          <w:sz w:val="12"/>
        </w:rPr>
        <w:t xml:space="preserve"> | RMS 24.309</w:t>
      </w:r>
      <w:r>
        <w:rPr>
          <w:color w:val="003CA0"/>
          <w:sz w:val="12"/>
        </w:rPr>
        <w:t xml:space="preserve"> | rel. Marco Aurélio</w:t>
      </w:r>
    </w:p>
    <w:p>
      <w:pPr>
        <w:ind w:left="288"/>
      </w:pPr>
      <w:r>
        <w:rPr>
          <w:color w:val="1E1E1E"/>
          <w:sz w:val="18"/>
        </w:rPr>
        <w:t>(...) O disposto no § 3º do art. 515 do CPC não se aplica ao recurso ordinário em mandado de segurança, cuja previsão, no tocante à competência, decorre de texto da CF.</w:t>
      </w:r>
    </w:p>
    <w:p>
      <w:pPr>
        <w:ind w:left="288"/>
      </w:pPr>
      <w:r>
        <w:rPr>
          <w:b/>
          <w:color w:val="003CA0"/>
          <w:sz w:val="16"/>
        </w:rPr>
        <w:t>[RMS 24.309 ED, rel. min. Marco Aurélio, j. 17-2-2004, 1ª T, DJ de 30-4-2004.]</w:t>
      </w:r>
    </w:p>
    <w:p>
      <w:pPr>
        <w:ind w:left="288"/>
      </w:pPr>
      <w:r>
        <w:rPr>
          <w:color w:val="8C8C8C"/>
          <w:sz w:val="12"/>
        </w:rPr>
        <w:t>cf-art-102-inc-II-ali-a</w:t>
      </w:r>
      <w:r>
        <w:rPr>
          <w:color w:val="003CA0"/>
          <w:sz w:val="12"/>
        </w:rPr>
        <w:t xml:space="preserve"> | RMS 24.789</w:t>
      </w:r>
      <w:r>
        <w:rPr>
          <w:color w:val="003CA0"/>
          <w:sz w:val="12"/>
        </w:rPr>
        <w:t xml:space="preserve"> | rel. Eros Grau</w:t>
      </w:r>
    </w:p>
    <w:p>
      <w:pPr>
        <w:ind w:left="288"/>
      </w:pPr>
      <w:r>
        <w:rPr>
          <w:color w:val="1E1E1E"/>
          <w:sz w:val="18"/>
        </w:rPr>
        <w:t>= RMS 24.789, rel. min. Eros Grau, j. 26-10-2004, 1ª T, DJ de 26-11-2004 Vide RE 638.057 AgR, rel. min. Ricardo Lewandowski, j. 28-2-2012, 2ª T, DJE de 12-3-2012 Para instaurar-se a competência recursal ordinária do STF (CF, art. 102, II, a), impõe-se que a decisão denegatória do mandado de segurança resulte de julgamento colegiado, proferido, em sede originária, por tribunal superior da União (TSE, STM, TST e STJ). Tratando-se de decisão monocrática, emanada de relator da causa mandamental, torna-se indispensável – para que se viabilize a interposição do recurso ordinário para a Suprema Corte</w:t>
      </w:r>
    </w:p>
    <w:p>
      <w:pPr>
        <w:ind w:left="288"/>
      </w:pPr>
      <w:r>
        <w:rPr>
          <w:b/>
          <w:color w:val="003CA0"/>
          <w:sz w:val="16"/>
        </w:rPr>
        <w:t>[RMS 24.237 QO, rel. min. Celso de Mello, j. 16-4-2002, 2ª T, DJ de 3-5-2002.]</w:t>
      </w:r>
    </w:p>
    <w:p>
      <w:pPr>
        <w:ind w:left="288"/>
      </w:pPr>
      <w:r>
        <w:rPr>
          <w:color w:val="8C8C8C"/>
          <w:sz w:val="12"/>
        </w:rPr>
        <w:t>cf-art-102-inc-II-ali-a</w:t>
      </w:r>
      <w:r>
        <w:rPr>
          <w:color w:val="003CA0"/>
          <w:sz w:val="12"/>
        </w:rPr>
        <w:t xml:space="preserve"> | RMS 30.580</w:t>
      </w:r>
      <w:r>
        <w:rPr>
          <w:color w:val="003CA0"/>
          <w:sz w:val="12"/>
        </w:rPr>
        <w:t xml:space="preserve"> | rel. Joaquim Barbosa</w:t>
      </w:r>
    </w:p>
    <w:p>
      <w:pPr>
        <w:ind w:left="288"/>
      </w:pPr>
      <w:r>
        <w:rPr>
          <w:color w:val="1E1E1E"/>
          <w:sz w:val="18"/>
        </w:rPr>
        <w:t>= RMS 30.580 AgR, rel. min. Joaquim Barbosa, j. 14-2-2012, 2ª T, DJE de 6-3-2012 Recurso. Fungibilidade. CF, art. 102, II, a. Constitucional. Estabilidade provisória. Gravidez. CF, art. 7º, I; ADCT, art. 10, II, b. Conversão do recurso extraordinário em ordinário, tendo em vista a ocorrência da hipótese inscrita no art. 102, II, a, da Constituição.</w:t>
      </w:r>
    </w:p>
    <w:p>
      <w:pPr>
        <w:ind w:left="288"/>
      </w:pPr>
      <w:r>
        <w:rPr>
          <w:b/>
          <w:color w:val="003CA0"/>
          <w:sz w:val="16"/>
        </w:rPr>
        <w:t>[RMS 21.328, rel. min. Carlos Velloso, j. 11-12-2001, 2ª T, DJ de 3-5-2002.]</w:t>
      </w:r>
    </w:p>
    <w:p>
      <w:pPr>
        <w:ind w:left="288"/>
      </w:pPr>
      <w:r>
        <w:rPr>
          <w:color w:val="8C8C8C"/>
          <w:sz w:val="12"/>
        </w:rPr>
        <w:t>cf-art-102-inc-II-ali-a</w:t>
      </w:r>
      <w:r>
        <w:rPr>
          <w:color w:val="003CA0"/>
          <w:sz w:val="12"/>
        </w:rPr>
        <w:t xml:space="preserve"> | RHC 80.429</w:t>
      </w:r>
      <w:r>
        <w:rPr>
          <w:color w:val="003CA0"/>
          <w:sz w:val="12"/>
        </w:rPr>
        <w:t xml:space="preserve"> | rel. Marco Aurélio</w:t>
      </w:r>
    </w:p>
    <w:p>
      <w:pPr>
        <w:ind w:left="288"/>
      </w:pPr>
      <w:r>
        <w:rPr>
          <w:color w:val="1E1E1E"/>
          <w:sz w:val="18"/>
        </w:rPr>
        <w:t>Habeas corpus. Recursos ordinário e constitucional. Envolvendo a espécie acórdão prolatado pelo STJ no julgamento de recurso ordinário constitucional, a medida, rotulada também de recurso ordinário e recurso extraordinário, deve ser tomada como reveladora de habeas corpus originário.</w:t>
      </w:r>
    </w:p>
    <w:p>
      <w:pPr>
        <w:ind w:left="288"/>
      </w:pPr>
      <w:r>
        <w:rPr>
          <w:b/>
          <w:color w:val="003CA0"/>
          <w:sz w:val="16"/>
        </w:rPr>
        <w:t>[RHC 80.429, rel. min. Marco Aurélio, j. 31-10-2000, 2ª T, DJ de 29-8-2003.]</w:t>
      </w:r>
    </w:p>
    <w:p>
      <w:pPr>
        <w:ind w:left="288"/>
      </w:pPr>
      <w:r>
        <w:rPr>
          <w:color w:val="8C8C8C"/>
          <w:sz w:val="12"/>
        </w:rPr>
        <w:t>cf-art-102-inc-II-ali-a</w:t>
      </w:r>
      <w:r>
        <w:rPr>
          <w:color w:val="003CA0"/>
          <w:sz w:val="12"/>
        </w:rPr>
        <w:t xml:space="preserve"> | RMS 21.476</w:t>
      </w:r>
      <w:r>
        <w:rPr>
          <w:color w:val="003CA0"/>
          <w:sz w:val="12"/>
        </w:rPr>
        <w:t xml:space="preserve"> | rel. Celso de Mello</w:t>
      </w:r>
    </w:p>
    <w:p>
      <w:pPr>
        <w:ind w:left="288"/>
      </w:pPr>
      <w:r>
        <w:rPr>
          <w:color w:val="1E1E1E"/>
          <w:sz w:val="18"/>
        </w:rPr>
        <w:t>O prazo de interposição do recurso ordinário constitucional suspende-se ante a superveniência das férias forenses. Findas estas num sábado, o que sobejar desse prazo recursal recomeçará a correr a partir do primeiro dia útil imediatamente subsequente ao termo final das férias (CPC, art. 179).</w:t>
      </w:r>
    </w:p>
    <w:p>
      <w:pPr>
        <w:ind w:left="288"/>
      </w:pPr>
      <w:r>
        <w:rPr>
          <w:b/>
          <w:color w:val="003CA0"/>
          <w:sz w:val="16"/>
        </w:rPr>
        <w:t>[RMS 21.476, rel. min. Celso de Mello, j. 16-6-1992, 2ª T, DJ de 4-9-1992.]</w:t>
      </w:r>
    </w:p>
    <w:p>
      <w:pPr>
        <w:ind w:left="288"/>
      </w:pPr>
      <w:r>
        <w:rPr>
          <w:color w:val="8C8C8C"/>
          <w:sz w:val="12"/>
        </w:rPr>
        <w:t>cf-art-102-inc-II-ali-a</w:t>
      </w:r>
      <w:r>
        <w:rPr>
          <w:color w:val="003CA0"/>
          <w:sz w:val="12"/>
        </w:rPr>
        <w:t xml:space="preserve"> | HC 100.344</w:t>
      </w:r>
      <w:r>
        <w:rPr>
          <w:color w:val="003CA0"/>
          <w:sz w:val="12"/>
        </w:rPr>
        <w:t xml:space="preserve"> | rel. Eros Grau</w:t>
      </w:r>
    </w:p>
    <w:p>
      <w:pPr>
        <w:ind w:left="288"/>
      </w:pPr>
      <w:r>
        <w:rPr>
          <w:color w:val="1E1E1E"/>
          <w:sz w:val="18"/>
        </w:rPr>
        <w:t>Vide HC 100.344, rel. min. Eros Grau, j. 8-9-2009, 2ª T, DJE de 6-11-2009 Mandado de segurança: recurso ordinário constitucional (CF, art. 102, II, a): devolução ao STF, a exemplo da apelação (CPC, 515 e parágrafos), do conhecimento de toda a matéria impugnada, que pode abranger todas as questões suscitadas e discutidas no processo de natureza constitucional ou não e ainda que a sentença não as tenha julgado por inteiro.</w:t>
      </w:r>
    </w:p>
    <w:p>
      <w:pPr>
        <w:ind w:left="288"/>
      </w:pPr>
      <w:r>
        <w:rPr>
          <w:b/>
          <w:color w:val="003CA0"/>
          <w:sz w:val="16"/>
        </w:rPr>
        <w:t>[RMS 20.976, rel. min. Sepúlveda Pertence, j. 7-12-1989, P, DJ de 16-2-1990.]</w:t>
      </w:r>
    </w:p>
    <w:p>
      <w:pPr>
        <w:ind w:left="288"/>
      </w:pPr>
      <w:r>
        <w:rPr>
          <w:color w:val="8C8C8C"/>
          <w:sz w:val="12"/>
        </w:rPr>
        <w:t>cf-art-102-inc-II-ali-b</w:t>
      </w:r>
      <w:r>
        <w:rPr>
          <w:color w:val="003CA0"/>
          <w:sz w:val="12"/>
        </w:rPr>
        <w:t xml:space="preserve"> | EXT 794</w:t>
      </w:r>
      <w:r>
        <w:rPr>
          <w:color w:val="003CA0"/>
          <w:sz w:val="12"/>
        </w:rPr>
        <w:t xml:space="preserve"> | rel. Luiz Fux</w:t>
      </w:r>
    </w:p>
    <w:p>
      <w:pPr>
        <w:ind w:left="288"/>
      </w:pPr>
      <w:r>
        <w:rPr>
          <w:color w:val="1E1E1E"/>
          <w:sz w:val="18"/>
        </w:rPr>
        <w:t>Crimes políticos, para os fins do art. 102, II, b, da CF, são aqueles dirigidos, subjetiva e objetivamente, de modo imediato, contra o Estado como unidade orgânica das instituições políticas e sociais e, por conseguinte, definidos na Lei de Segurança Nacional, presentes as disposições gerais estabelecidas nos arts. 1º e 2º do mesmo diploma legal.</w:t>
        <w:br/>
        <w:t>[RC 1.473, rel. min. Luiz Fux, j. 14-11-2017, 1ª T, DJE de 18-12-2017.] O Plenário do STF decidiu que, para configuração do crime político, previsto no parágrafo único do art. 12 da Lei  7.170/1983, é necessário, além da motivação e os objetivos polít</w:t>
      </w:r>
    </w:p>
    <w:p>
      <w:pPr>
        <w:ind w:left="288"/>
      </w:pPr>
      <w:r>
        <w:rPr>
          <w:b/>
          <w:color w:val="003CA0"/>
          <w:sz w:val="16"/>
        </w:rPr>
        <w:t>[Ext 794, rel. min. Maurício Corrêa, j. 17-12-2001, P, DJ de 24-5-2002.]</w:t>
      </w:r>
    </w:p>
    <w:p>
      <w:pPr>
        <w:ind w:left="288"/>
      </w:pPr>
      <w:r>
        <w:rPr>
          <w:color w:val="8C8C8C"/>
          <w:sz w:val="12"/>
        </w:rPr>
        <w:t>cf-art-102-inc-II-ali-b</w:t>
      </w:r>
      <w:r>
        <w:rPr>
          <w:color w:val="003CA0"/>
          <w:sz w:val="12"/>
        </w:rPr>
        <w:t xml:space="preserve"> | EXT 700</w:t>
      </w:r>
      <w:r>
        <w:rPr>
          <w:color w:val="003CA0"/>
          <w:sz w:val="12"/>
        </w:rPr>
        <w:t xml:space="preserve"> | rel. Octavio Gallotti</w:t>
      </w:r>
    </w:p>
    <w:p>
      <w:pPr>
        <w:ind w:left="288"/>
      </w:pPr>
      <w:r>
        <w:rPr>
          <w:color w:val="1E1E1E"/>
          <w:sz w:val="18"/>
        </w:rPr>
        <w:t>Extraditando acusado de transmitir ao Iraque segredo de Estado do Governo requerente (República Federal da Alemanha), utilizável em projeto de desenvolvimento de armamento nuclear. Crime político puro, cujo conceito compreende não só o cometido contra a segurança interna, como o praticado contra a segurança externa do Estado, a caracterizarem, ambas as hipóteses, a excludente de concessão de extradição.</w:t>
      </w:r>
    </w:p>
    <w:p>
      <w:pPr>
        <w:ind w:left="288"/>
      </w:pPr>
      <w:r>
        <w:rPr>
          <w:b/>
          <w:color w:val="003CA0"/>
          <w:sz w:val="16"/>
        </w:rPr>
        <w:t>[Ext 700, rel. min. Octavio Gallotti, j. 4-3-1998, P, DJ de 5-11-1999.]</w:t>
      </w:r>
    </w:p>
    <w:p>
      <w:pPr>
        <w:ind w:left="144"/>
      </w:pPr>
      <w:r>
        <w:rPr>
          <w:b/>
          <w:color w:val="B45A00"/>
          <w:sz w:val="16"/>
        </w:rPr>
        <w:t>SUMULA</w:t>
      </w:r>
    </w:p>
    <w:p>
      <w:pPr>
        <w:ind w:left="288"/>
      </w:pPr>
      <w:r>
        <w:rPr>
          <w:color w:val="8C8C8C"/>
          <w:sz w:val="12"/>
        </w:rPr>
        <w:t>cf-art-102-inc-III</w:t>
      </w:r>
    </w:p>
    <w:p>
      <w:pPr>
        <w:ind w:left="288"/>
      </w:pPr>
      <w:r>
        <w:rPr>
          <w:color w:val="1E1E1E"/>
          <w:sz w:val="18"/>
        </w:rPr>
        <w:t>Não cabe recurso extraordinário contra acórdão que defere medida liminar.</w:t>
      </w:r>
    </w:p>
    <w:p>
      <w:pPr>
        <w:ind w:left="288"/>
      </w:pPr>
      <w:r>
        <w:rPr>
          <w:b/>
          <w:color w:val="003CA0"/>
          <w:sz w:val="16"/>
        </w:rPr>
        <w:t>[Súmula 735.]</w:t>
      </w:r>
    </w:p>
    <w:p>
      <w:pPr>
        <w:ind w:left="288"/>
      </w:pPr>
      <w:r>
        <w:rPr>
          <w:color w:val="8C8C8C"/>
          <w:sz w:val="12"/>
        </w:rPr>
        <w:t>cf-art-102-inc-III</w:t>
      </w:r>
    </w:p>
    <w:p>
      <w:pPr>
        <w:ind w:left="288"/>
      </w:pPr>
      <w:r>
        <w:rPr>
          <w:color w:val="1E1E1E"/>
          <w:sz w:val="18"/>
        </w:rPr>
        <w:t>Não cabe recurso extraordinário contra decisão proferida no processamento de precatórios.</w:t>
      </w:r>
    </w:p>
    <w:p>
      <w:pPr>
        <w:ind w:left="288"/>
      </w:pPr>
      <w:r>
        <w:rPr>
          <w:b/>
          <w:color w:val="003CA0"/>
          <w:sz w:val="16"/>
        </w:rPr>
        <w:t>[Súmula 733.]</w:t>
      </w:r>
    </w:p>
    <w:p>
      <w:pPr>
        <w:ind w:left="288"/>
      </w:pPr>
      <w:r>
        <w:rPr>
          <w:color w:val="8C8C8C"/>
          <w:sz w:val="12"/>
        </w:rPr>
        <w:t>cf-art-102-inc-III</w:t>
      </w:r>
    </w:p>
    <w:p>
      <w:pPr>
        <w:ind w:left="288"/>
      </w:pPr>
      <w:r>
        <w:rPr>
          <w:color w:val="1E1E1E"/>
          <w:sz w:val="18"/>
        </w:rPr>
        <w:t>É de três dias o prazo para a interposição de recurso extraordinário contra decisão do TSE, contado, quando for o caso, a partir da publicação do acórdão, na própria sessão de julgamento, nos termos do art. 12 da Lei 6.055/1974, que não foi revogado pela Lei 8.950/1994.</w:t>
      </w:r>
    </w:p>
    <w:p>
      <w:pPr>
        <w:ind w:left="288"/>
      </w:pPr>
      <w:r>
        <w:rPr>
          <w:b/>
          <w:color w:val="003CA0"/>
          <w:sz w:val="16"/>
        </w:rPr>
        <w:t>[Súmula 728.]</w:t>
      </w:r>
    </w:p>
    <w:p>
      <w:pPr>
        <w:ind w:left="288"/>
      </w:pPr>
      <w:r>
        <w:rPr>
          <w:color w:val="8C8C8C"/>
          <w:sz w:val="12"/>
        </w:rPr>
        <w:t>cf-art-102-inc-III</w:t>
      </w:r>
    </w:p>
    <w:p>
      <w:pPr>
        <w:ind w:left="288"/>
      </w:pPr>
      <w:r>
        <w:rPr>
          <w:color w:val="1E1E1E"/>
          <w:sz w:val="18"/>
        </w:rPr>
        <w:t>Não pode o magistrado deixar de encaminhar ao STF o agravo de instrumento interposto da decisão que não admite recurso extraordinário, ainda que referente a causa instaurada no âmbito dos juizados especiais.</w:t>
      </w:r>
    </w:p>
    <w:p>
      <w:pPr>
        <w:ind w:left="288"/>
      </w:pPr>
      <w:r>
        <w:rPr>
          <w:b/>
          <w:color w:val="003CA0"/>
          <w:sz w:val="16"/>
        </w:rPr>
        <w:t>[Súmula 727.]</w:t>
      </w:r>
    </w:p>
    <w:p>
      <w:pPr>
        <w:ind w:left="288"/>
      </w:pPr>
      <w:r>
        <w:rPr>
          <w:color w:val="8C8C8C"/>
          <w:sz w:val="12"/>
        </w:rPr>
        <w:t>cf-art-102-inc-III</w:t>
      </w:r>
    </w:p>
    <w:p>
      <w:pPr>
        <w:ind w:left="288"/>
      </w:pPr>
      <w:r>
        <w:rPr>
          <w:color w:val="1E1E1E"/>
          <w:sz w:val="18"/>
        </w:rPr>
        <w:t>É cabível recurso extraordinário contra decisão proferida por juiz de primeiro grau nas causas de alçada, ou por turma recursal de juizado especial cível e criminal.</w:t>
      </w:r>
    </w:p>
    <w:p>
      <w:pPr>
        <w:ind w:left="288"/>
      </w:pPr>
      <w:r>
        <w:rPr>
          <w:b/>
          <w:color w:val="003CA0"/>
          <w:sz w:val="16"/>
        </w:rPr>
        <w:t>[Súmula 640.]</w:t>
      </w:r>
    </w:p>
    <w:p>
      <w:pPr>
        <w:ind w:left="288"/>
      </w:pPr>
      <w:r>
        <w:rPr>
          <w:color w:val="8C8C8C"/>
          <w:sz w:val="12"/>
        </w:rPr>
        <w:t>cf-art-102-inc-III</w:t>
      </w:r>
    </w:p>
    <w:p>
      <w:pPr>
        <w:ind w:left="288"/>
      </w:pPr>
      <w:r>
        <w:rPr>
          <w:color w:val="1E1E1E"/>
          <w:sz w:val="18"/>
        </w:rPr>
        <w:t>Aplica-se a Súmula 288 quando não constarem do traslado do agravo de instrumento as cópias das peças necessárias à verificação da tempestividade do recurso extraordinário não admitido pela decisão agravada.</w:t>
      </w:r>
    </w:p>
    <w:p>
      <w:pPr>
        <w:ind w:left="288"/>
      </w:pPr>
      <w:r>
        <w:rPr>
          <w:b/>
          <w:color w:val="003CA0"/>
          <w:sz w:val="16"/>
        </w:rPr>
        <w:t>[Súmula 639.]</w:t>
      </w:r>
    </w:p>
    <w:p>
      <w:pPr>
        <w:ind w:left="288"/>
      </w:pPr>
      <w:r>
        <w:rPr>
          <w:color w:val="8C8C8C"/>
          <w:sz w:val="12"/>
        </w:rPr>
        <w:t>cf-art-102-inc-III</w:t>
      </w:r>
    </w:p>
    <w:p>
      <w:pPr>
        <w:ind w:left="288"/>
      </w:pPr>
      <w:r>
        <w:rPr>
          <w:color w:val="1E1E1E"/>
          <w:sz w:val="18"/>
        </w:rPr>
        <w:t>A controvérsia sobre a incidência, ou não, de correção monetária em operações de crédito rural é de natureza infraconstitucional, não viabilizando recurso extraordinário.</w:t>
      </w:r>
    </w:p>
    <w:p>
      <w:pPr>
        <w:ind w:left="288"/>
      </w:pPr>
      <w:r>
        <w:rPr>
          <w:b/>
          <w:color w:val="003CA0"/>
          <w:sz w:val="16"/>
        </w:rPr>
        <w:t>[Súmula 638.]</w:t>
      </w:r>
    </w:p>
    <w:p>
      <w:pPr>
        <w:ind w:left="288"/>
      </w:pPr>
      <w:r>
        <w:rPr>
          <w:color w:val="8C8C8C"/>
          <w:sz w:val="12"/>
        </w:rPr>
        <w:t>cf-art-102-inc-III</w:t>
      </w:r>
    </w:p>
    <w:p>
      <w:pPr>
        <w:ind w:left="288"/>
      </w:pPr>
      <w:r>
        <w:rPr>
          <w:color w:val="1E1E1E"/>
          <w:sz w:val="18"/>
        </w:rPr>
        <w:t>Não cabe recurso extraordinário contra acórdão de tribunal de justiça que defere pedido de intervenção estadual em Município.</w:t>
      </w:r>
    </w:p>
    <w:p>
      <w:pPr>
        <w:ind w:left="288"/>
      </w:pPr>
      <w:r>
        <w:rPr>
          <w:b/>
          <w:color w:val="003CA0"/>
          <w:sz w:val="16"/>
        </w:rPr>
        <w:t>[Súmula 637.]</w:t>
      </w:r>
    </w:p>
    <w:p>
      <w:pPr>
        <w:ind w:left="288"/>
      </w:pPr>
      <w:r>
        <w:rPr>
          <w:color w:val="8C8C8C"/>
          <w:sz w:val="12"/>
        </w:rPr>
        <w:t>cf-art-102-inc-III</w:t>
      </w:r>
    </w:p>
    <w:p>
      <w:pPr>
        <w:ind w:left="288"/>
      </w:pPr>
      <w:r>
        <w:rPr>
          <w:color w:val="1E1E1E"/>
          <w:sz w:val="18"/>
        </w:rPr>
        <w:t>Não cabe recurso extraordinário por contrariedade ao princípio constitucional da legalidade, quando a sua verificação pressuponha rever a interpretação dada a normas infraconstitucionais pela decisão recorrida.</w:t>
      </w:r>
    </w:p>
    <w:p>
      <w:pPr>
        <w:ind w:left="288"/>
      </w:pPr>
      <w:r>
        <w:rPr>
          <w:b/>
          <w:color w:val="003CA0"/>
          <w:sz w:val="16"/>
        </w:rPr>
        <w:t>[Súmula 636.]</w:t>
      </w:r>
    </w:p>
    <w:p>
      <w:pPr>
        <w:ind w:left="288"/>
      </w:pPr>
      <w:r>
        <w:rPr>
          <w:color w:val="8C8C8C"/>
          <w:sz w:val="12"/>
        </w:rPr>
        <w:t>cf-art-102-inc-III</w:t>
      </w:r>
    </w:p>
    <w:p>
      <w:pPr>
        <w:ind w:left="288"/>
      </w:pPr>
      <w:r>
        <w:rPr>
          <w:color w:val="1E1E1E"/>
          <w:sz w:val="18"/>
        </w:rPr>
        <w:t>Cabe ao presidente do tribunal de origem decidir o pedido de medida cautelar em recurso extraordinário ainda pendente do seu juízo de admissibilidade.</w:t>
      </w:r>
    </w:p>
    <w:p>
      <w:pPr>
        <w:ind w:left="288"/>
      </w:pPr>
      <w:r>
        <w:rPr>
          <w:b/>
          <w:color w:val="003CA0"/>
          <w:sz w:val="16"/>
        </w:rPr>
        <w:t>[Súmula 635.]</w:t>
      </w:r>
    </w:p>
    <w:p>
      <w:pPr>
        <w:ind w:left="288"/>
      </w:pPr>
      <w:r>
        <w:rPr>
          <w:color w:val="8C8C8C"/>
          <w:sz w:val="12"/>
        </w:rPr>
        <w:t>cf-art-102-inc-III</w:t>
      </w:r>
    </w:p>
    <w:p>
      <w:pPr>
        <w:ind w:left="288"/>
      </w:pPr>
      <w:r>
        <w:rPr>
          <w:color w:val="1E1E1E"/>
          <w:sz w:val="18"/>
        </w:rPr>
        <w:t>Não compete ao STF conceder medida cautelar para dar efeito suspensivo a recurso extraordinário que ainda não foi objeto de juízo de admissibilidade na origem.</w:t>
      </w:r>
    </w:p>
    <w:p>
      <w:pPr>
        <w:ind w:left="288"/>
      </w:pPr>
      <w:r>
        <w:rPr>
          <w:b/>
          <w:color w:val="003CA0"/>
          <w:sz w:val="16"/>
        </w:rPr>
        <w:t>[Súmula 634.]</w:t>
      </w:r>
    </w:p>
    <w:p>
      <w:pPr>
        <w:ind w:left="288"/>
      </w:pPr>
      <w:r>
        <w:rPr>
          <w:color w:val="8C8C8C"/>
          <w:sz w:val="12"/>
        </w:rPr>
        <w:t>cf-art-102-inc-III</w:t>
      </w:r>
    </w:p>
    <w:p>
      <w:pPr>
        <w:ind w:left="288"/>
      </w:pPr>
      <w:r>
        <w:rPr>
          <w:color w:val="1E1E1E"/>
          <w:sz w:val="18"/>
        </w:rPr>
        <w:t>Se a decisão contiver partes autônomas, a admissão parcial, pelo presidente do tribunal a quo, de recurso extraordinário que, sobre qualquer delas se manifestar, não limitará a apreciação de todas pelo STF, independentemente de interposição de agravo de instrumento.</w:t>
      </w:r>
    </w:p>
    <w:p>
      <w:pPr>
        <w:ind w:left="288"/>
      </w:pPr>
      <w:r>
        <w:rPr>
          <w:b/>
          <w:color w:val="003CA0"/>
          <w:sz w:val="16"/>
        </w:rPr>
        <w:t>[Súmula 528.]</w:t>
      </w:r>
    </w:p>
    <w:p>
      <w:pPr>
        <w:ind w:left="288"/>
      </w:pPr>
      <w:r>
        <w:rPr>
          <w:color w:val="8C8C8C"/>
          <w:sz w:val="12"/>
        </w:rPr>
        <w:t>cf-art-102-inc-III</w:t>
      </w:r>
    </w:p>
    <w:p>
      <w:pPr>
        <w:ind w:left="288"/>
      </w:pPr>
      <w:r>
        <w:rPr>
          <w:color w:val="1E1E1E"/>
          <w:sz w:val="18"/>
        </w:rPr>
        <w:t>A decisão que enseja a interposição de recurso ordinário ou extraordinário não é a do plenário, que resolve o incidente de inconstitucionalidade, mas a do órgão (câmaras, grupos ou turmas) que completa o julgamento do feito.</w:t>
      </w:r>
    </w:p>
    <w:p>
      <w:pPr>
        <w:ind w:left="288"/>
      </w:pPr>
      <w:r>
        <w:rPr>
          <w:b/>
          <w:color w:val="003CA0"/>
          <w:sz w:val="16"/>
        </w:rPr>
        <w:t>[Súmula 513.]</w:t>
      </w:r>
    </w:p>
    <w:p>
      <w:pPr>
        <w:ind w:left="288"/>
      </w:pPr>
      <w:r>
        <w:rPr>
          <w:color w:val="8C8C8C"/>
          <w:sz w:val="12"/>
        </w:rPr>
        <w:t>cf-art-102-inc-III</w:t>
      </w:r>
    </w:p>
    <w:p>
      <w:pPr>
        <w:ind w:left="288"/>
      </w:pPr>
      <w:r>
        <w:rPr>
          <w:color w:val="1E1E1E"/>
          <w:sz w:val="18"/>
        </w:rPr>
        <w:t>O STF, conhecendo do recurso extraordinário, julgará a causa, aplicando o direito à espécie.</w:t>
      </w:r>
    </w:p>
    <w:p>
      <w:pPr>
        <w:ind w:left="288"/>
      </w:pPr>
      <w:r>
        <w:rPr>
          <w:b/>
          <w:color w:val="003CA0"/>
          <w:sz w:val="16"/>
        </w:rPr>
        <w:t>[Súmula 456.]</w:t>
      </w:r>
    </w:p>
    <w:p>
      <w:pPr>
        <w:ind w:left="288"/>
      </w:pPr>
      <w:r>
        <w:rPr>
          <w:color w:val="8C8C8C"/>
          <w:sz w:val="12"/>
        </w:rPr>
        <w:t>cf-art-102-inc-III</w:t>
      </w:r>
    </w:p>
    <w:p>
      <w:pPr>
        <w:ind w:left="288"/>
      </w:pPr>
      <w:r>
        <w:rPr>
          <w:color w:val="1E1E1E"/>
          <w:sz w:val="18"/>
        </w:rPr>
        <w:t>Simples interpretação de cláusulas contratuais não dá lugar a recurso extraordinário.</w:t>
      </w:r>
    </w:p>
    <w:p>
      <w:pPr>
        <w:ind w:left="288"/>
      </w:pPr>
      <w:r>
        <w:rPr>
          <w:b/>
          <w:color w:val="003CA0"/>
          <w:sz w:val="16"/>
        </w:rPr>
        <w:t>[Súmula 454.]</w:t>
      </w:r>
    </w:p>
    <w:p>
      <w:pPr>
        <w:ind w:left="288"/>
      </w:pPr>
      <w:r>
        <w:rPr>
          <w:color w:val="8C8C8C"/>
          <w:sz w:val="12"/>
        </w:rPr>
        <w:t>cf-art-102-inc-III</w:t>
      </w:r>
    </w:p>
    <w:p>
      <w:pPr>
        <w:ind w:left="288"/>
      </w:pPr>
      <w:r>
        <w:rPr>
          <w:color w:val="1E1E1E"/>
          <w:sz w:val="18"/>
        </w:rPr>
        <w:t>O ponto omisso da decisão, sobre o qual não foram opostos embargos declaratórios, não pode ser objeto de recurso extraordinário, por faltar o requisito do prequestionamento.</w:t>
      </w:r>
    </w:p>
    <w:p>
      <w:pPr>
        <w:ind w:left="288"/>
      </w:pPr>
      <w:r>
        <w:rPr>
          <w:b/>
          <w:color w:val="003CA0"/>
          <w:sz w:val="16"/>
        </w:rPr>
        <w:t>[Súmula 356.]</w:t>
      </w:r>
    </w:p>
    <w:p>
      <w:pPr>
        <w:ind w:left="288"/>
      </w:pPr>
      <w:r>
        <w:rPr>
          <w:color w:val="8C8C8C"/>
          <w:sz w:val="12"/>
        </w:rPr>
        <w:t>cf-art-102-inc-III</w:t>
      </w:r>
    </w:p>
    <w:p>
      <w:pPr>
        <w:ind w:left="288"/>
      </w:pPr>
      <w:r>
        <w:rPr>
          <w:color w:val="1E1E1E"/>
          <w:sz w:val="18"/>
        </w:rPr>
        <w:t>O provimento do agravo por uma das Turmas do STF, ainda que sem ressalva, não prejudica a questão do cabimento do recurso extraordinário.</w:t>
      </w:r>
    </w:p>
    <w:p>
      <w:pPr>
        <w:ind w:left="288"/>
      </w:pPr>
      <w:r>
        <w:rPr>
          <w:b/>
          <w:color w:val="003CA0"/>
          <w:sz w:val="16"/>
        </w:rPr>
        <w:t>[Súmula 289.]</w:t>
      </w:r>
    </w:p>
    <w:p>
      <w:pPr>
        <w:ind w:left="288"/>
      </w:pPr>
      <w:r>
        <w:rPr>
          <w:color w:val="8C8C8C"/>
          <w:sz w:val="12"/>
        </w:rPr>
        <w:t>cf-art-102-inc-III</w:t>
      </w:r>
    </w:p>
    <w:p>
      <w:pPr>
        <w:ind w:left="288"/>
      </w:pPr>
      <w:r>
        <w:rPr>
          <w:color w:val="1E1E1E"/>
          <w:sz w:val="18"/>
        </w:rPr>
        <w:t>Nega-se provimento ao agravo, quando a deficiência na sua fundamentação, ou na do recurso extraordinário, não permitir a exata compreensão da controvérsia.</w:t>
      </w:r>
    </w:p>
    <w:p>
      <w:pPr>
        <w:ind w:left="288"/>
      </w:pPr>
      <w:r>
        <w:rPr>
          <w:b/>
          <w:color w:val="003CA0"/>
          <w:sz w:val="16"/>
        </w:rPr>
        <w:t>[Súmula 287.]</w:t>
      </w:r>
    </w:p>
    <w:p>
      <w:pPr>
        <w:ind w:left="288"/>
      </w:pPr>
      <w:r>
        <w:rPr>
          <w:color w:val="8C8C8C"/>
          <w:sz w:val="12"/>
        </w:rPr>
        <w:t>cf-art-102-inc-III</w:t>
      </w:r>
    </w:p>
    <w:p>
      <w:pPr>
        <w:ind w:left="288"/>
      </w:pPr>
      <w:r>
        <w:rPr>
          <w:color w:val="1E1E1E"/>
          <w:sz w:val="18"/>
        </w:rPr>
        <w:t>Não se conhece do recurso extraordinário fundado em divergência jurisprudencial, quando a orientação do Plenário do STF já se firmou no mesmo sentido da decisão recorrida.</w:t>
      </w:r>
    </w:p>
    <w:p>
      <w:pPr>
        <w:ind w:left="288"/>
      </w:pPr>
      <w:r>
        <w:rPr>
          <w:b/>
          <w:color w:val="003CA0"/>
          <w:sz w:val="16"/>
        </w:rPr>
        <w:t>[Súmula 286.]</w:t>
      </w:r>
    </w:p>
    <w:p>
      <w:pPr>
        <w:ind w:left="288"/>
      </w:pPr>
      <w:r>
        <w:rPr>
          <w:color w:val="8C8C8C"/>
          <w:sz w:val="12"/>
        </w:rPr>
        <w:t>cf-art-102-inc-III</w:t>
      </w:r>
    </w:p>
    <w:p>
      <w:pPr>
        <w:ind w:left="288"/>
      </w:pPr>
      <w:r>
        <w:rPr>
          <w:color w:val="1E1E1E"/>
          <w:sz w:val="18"/>
        </w:rPr>
        <w:t>É inadmissível o recurso extraordinário, quando a deficiência na sua fundamentação não permitir a exata compreensão da controvérsia.</w:t>
      </w:r>
    </w:p>
    <w:p>
      <w:pPr>
        <w:ind w:left="288"/>
      </w:pPr>
      <w:r>
        <w:rPr>
          <w:b/>
          <w:color w:val="003CA0"/>
          <w:sz w:val="16"/>
        </w:rPr>
        <w:t>[Súmula 284.]</w:t>
      </w:r>
    </w:p>
    <w:p>
      <w:pPr>
        <w:ind w:left="288"/>
      </w:pPr>
      <w:r>
        <w:rPr>
          <w:color w:val="8C8C8C"/>
          <w:sz w:val="12"/>
        </w:rPr>
        <w:t>cf-art-102-inc-III</w:t>
      </w:r>
    </w:p>
    <w:p>
      <w:pPr>
        <w:ind w:left="288"/>
      </w:pPr>
      <w:r>
        <w:rPr>
          <w:color w:val="1E1E1E"/>
          <w:sz w:val="18"/>
        </w:rPr>
        <w:t>É inadmissível o recurso extraordinário, quando a decisão recorrida assenta em mais de um fundamento suficiente e o recurso não abrange todos eles.</w:t>
      </w:r>
    </w:p>
    <w:p>
      <w:pPr>
        <w:ind w:left="288"/>
      </w:pPr>
      <w:r>
        <w:rPr>
          <w:b/>
          <w:color w:val="003CA0"/>
          <w:sz w:val="16"/>
        </w:rPr>
        <w:t>[Súmula 283.]</w:t>
      </w:r>
    </w:p>
    <w:p>
      <w:pPr>
        <w:ind w:left="288"/>
      </w:pPr>
      <w:r>
        <w:rPr>
          <w:color w:val="8C8C8C"/>
          <w:sz w:val="12"/>
        </w:rPr>
        <w:t>cf-art-102-inc-III</w:t>
      </w:r>
    </w:p>
    <w:p>
      <w:pPr>
        <w:ind w:left="288"/>
      </w:pPr>
      <w:r>
        <w:rPr>
          <w:color w:val="1E1E1E"/>
          <w:sz w:val="18"/>
        </w:rPr>
        <w:t>É inadmissível o recurso extraordinário, quando não ventilada, na decisão recorrida, a questão federal suscitada.</w:t>
      </w:r>
    </w:p>
    <w:p>
      <w:pPr>
        <w:ind w:left="288"/>
      </w:pPr>
      <w:r>
        <w:rPr>
          <w:b/>
          <w:color w:val="003CA0"/>
          <w:sz w:val="16"/>
        </w:rPr>
        <w:t>[Súmula 282.]</w:t>
      </w:r>
    </w:p>
    <w:p>
      <w:pPr>
        <w:ind w:left="288"/>
      </w:pPr>
      <w:r>
        <w:rPr>
          <w:color w:val="8C8C8C"/>
          <w:sz w:val="12"/>
        </w:rPr>
        <w:t>cf-art-102-inc-III</w:t>
      </w:r>
    </w:p>
    <w:p>
      <w:pPr>
        <w:ind w:left="288"/>
      </w:pPr>
      <w:r>
        <w:rPr>
          <w:color w:val="1E1E1E"/>
          <w:sz w:val="18"/>
        </w:rPr>
        <w:t>É inadmissível o recurso extraordinário, quando couber na justiça de origem, recurso ordinário da decisão impugnada.</w:t>
      </w:r>
    </w:p>
    <w:p>
      <w:pPr>
        <w:ind w:left="288"/>
      </w:pPr>
      <w:r>
        <w:rPr>
          <w:b/>
          <w:color w:val="003CA0"/>
          <w:sz w:val="16"/>
        </w:rPr>
        <w:t>[Súmula 281.]</w:t>
      </w:r>
    </w:p>
    <w:p>
      <w:pPr>
        <w:ind w:left="288"/>
      </w:pPr>
      <w:r>
        <w:rPr>
          <w:color w:val="8C8C8C"/>
          <w:sz w:val="12"/>
        </w:rPr>
        <w:t>cf-art-102-inc-III</w:t>
      </w:r>
    </w:p>
    <w:p>
      <w:pPr>
        <w:ind w:left="288"/>
      </w:pPr>
      <w:r>
        <w:rPr>
          <w:color w:val="1E1E1E"/>
          <w:sz w:val="18"/>
        </w:rPr>
        <w:t>Por ofensa a direito local não cabe recurso extraordinário.</w:t>
      </w:r>
    </w:p>
    <w:p>
      <w:pPr>
        <w:ind w:left="288"/>
      </w:pPr>
      <w:r>
        <w:rPr>
          <w:b/>
          <w:color w:val="003CA0"/>
          <w:sz w:val="16"/>
        </w:rPr>
        <w:t>[Súmula 280.]</w:t>
      </w:r>
    </w:p>
    <w:p>
      <w:pPr>
        <w:ind w:left="288"/>
      </w:pPr>
      <w:r>
        <w:rPr>
          <w:color w:val="8C8C8C"/>
          <w:sz w:val="12"/>
        </w:rPr>
        <w:t>cf-art-102-inc-III</w:t>
      </w:r>
    </w:p>
    <w:p>
      <w:pPr>
        <w:ind w:left="288"/>
      </w:pPr>
      <w:r>
        <w:rPr>
          <w:color w:val="1E1E1E"/>
          <w:sz w:val="18"/>
        </w:rPr>
        <w:t>Para simples reexame de prova não cabe recurso extraordinário.</w:t>
      </w:r>
    </w:p>
    <w:p>
      <w:pPr>
        <w:ind w:left="288"/>
      </w:pPr>
      <w:r>
        <w:rPr>
          <w:b/>
          <w:color w:val="003CA0"/>
          <w:sz w:val="16"/>
        </w:rPr>
        <w:t>[Súmula 279.]</w:t>
      </w:r>
    </w:p>
    <w:p>
      <w:pPr>
        <w:ind w:left="144"/>
      </w:pPr>
      <w:r>
        <w:rPr>
          <w:b/>
          <w:color w:val="B45A00"/>
          <w:sz w:val="16"/>
        </w:rPr>
        <w:t>REPERCUSSAO GERAL</w:t>
      </w:r>
    </w:p>
    <w:p>
      <w:pPr>
        <w:ind w:left="288"/>
      </w:pPr>
      <w:r>
        <w:rPr>
          <w:color w:val="8C8C8C"/>
          <w:sz w:val="12"/>
        </w:rPr>
        <w:t>cf-art-102-inc-III</w:t>
      </w:r>
      <w:r>
        <w:rPr>
          <w:color w:val="003CA0"/>
          <w:sz w:val="12"/>
        </w:rPr>
        <w:t xml:space="preserve"> | RE 607.447</w:t>
      </w:r>
      <w:r>
        <w:rPr>
          <w:color w:val="003CA0"/>
          <w:sz w:val="12"/>
        </w:rPr>
        <w:t xml:space="preserve"> | rel. Marco Aurélio</w:t>
      </w:r>
    </w:p>
    <w:p>
      <w:pPr>
        <w:ind w:left="288"/>
      </w:pPr>
      <w:r>
        <w:rPr>
          <w:color w:val="1E1E1E"/>
          <w:sz w:val="18"/>
        </w:rPr>
        <w:t>Surge incompatível com a Constituição Federal exigência de depósito prévio como condição de admissibilidade do recurso extraordinário, no que não recepcionada a previsão constante do § 1º do artigo 899 da Consolidação das Leis do Trabalho, sendo inconstitucional a contida na cabeça do artigo 40 da Lei 8.177 e, por arrastamento, no inciso II da Instrução Normativa 3/1993 do Tribunal Superior do Trabalho.</w:t>
      </w:r>
    </w:p>
    <w:p>
      <w:pPr>
        <w:ind w:left="288"/>
      </w:pPr>
      <w:r>
        <w:rPr>
          <w:b/>
          <w:color w:val="003CA0"/>
          <w:sz w:val="16"/>
        </w:rPr>
        <w:t>[RE 607.447, rel. min. Marco Aurélio, j. 22-5-2020, P, DJE de 3-6-2020, Tema 679, com mérito julgado.]</w:t>
      </w:r>
    </w:p>
    <w:p>
      <w:pPr>
        <w:ind w:left="144"/>
      </w:pPr>
      <w:r>
        <w:rPr>
          <w:b/>
          <w:color w:val="B45A00"/>
          <w:sz w:val="16"/>
        </w:rPr>
        <w:t>JULGADOS CORRELATOS</w:t>
      </w:r>
    </w:p>
    <w:p>
      <w:pPr>
        <w:ind w:left="288"/>
      </w:pPr>
      <w:r>
        <w:rPr>
          <w:color w:val="8C8C8C"/>
          <w:sz w:val="12"/>
        </w:rPr>
        <w:t>cf-art-102-inc-III</w:t>
      </w:r>
      <w:r>
        <w:rPr>
          <w:color w:val="003CA0"/>
          <w:sz w:val="12"/>
        </w:rPr>
        <w:t xml:space="preserve"> | AC 4.020</w:t>
      </w:r>
      <w:r>
        <w:rPr>
          <w:color w:val="003CA0"/>
          <w:sz w:val="12"/>
        </w:rPr>
        <w:t xml:space="preserve"> | rel. Edson Fachin</w:t>
      </w:r>
    </w:p>
    <w:p>
      <w:pPr>
        <w:ind w:left="288"/>
      </w:pPr>
      <w:r>
        <w:rPr>
          <w:color w:val="1E1E1E"/>
          <w:sz w:val="18"/>
        </w:rPr>
        <w:t>Em juízo preambular, verifica-se que a hipótese dos autos da ação principal guarda similitude com recurso-paradigma da sistemática da repercussão geral. Logo, há plausibilidade jurídica nas alegações da parte autora da ação cautelar. Constata-se excepcionalidade no presente feito com aptidão para propiciar o deferimento da medida acauteladora pleiteada.</w:t>
      </w:r>
    </w:p>
    <w:p>
      <w:pPr>
        <w:ind w:left="288"/>
      </w:pPr>
      <w:r>
        <w:rPr>
          <w:b/>
          <w:color w:val="003CA0"/>
          <w:sz w:val="16"/>
        </w:rPr>
        <w:t>[AC 4.020 MC-AgR, rel. min. Edson Fachin, j. 23-9-2016, 1ª T, DJE de 6-10-2016.]</w:t>
      </w:r>
    </w:p>
    <w:p>
      <w:pPr>
        <w:ind w:left="288"/>
      </w:pPr>
      <w:r>
        <w:rPr>
          <w:color w:val="8C8C8C"/>
          <w:sz w:val="12"/>
        </w:rPr>
        <w:t>cf-art-102-inc-III</w:t>
      </w:r>
      <w:r>
        <w:rPr>
          <w:color w:val="003CA0"/>
          <w:sz w:val="12"/>
        </w:rPr>
        <w:t xml:space="preserve"> | RE 882.025</w:t>
      </w:r>
      <w:r>
        <w:rPr>
          <w:color w:val="003CA0"/>
          <w:sz w:val="12"/>
        </w:rPr>
        <w:t xml:space="preserve"> | rel. Ricardo Lewandowski</w:t>
      </w:r>
    </w:p>
    <w:p>
      <w:pPr>
        <w:ind w:left="288"/>
      </w:pPr>
      <w:r>
        <w:rPr>
          <w:color w:val="1E1E1E"/>
          <w:sz w:val="18"/>
        </w:rPr>
        <w:t>A jurisprudência desta Corte considera inadmissível o recurso extraordinário interposto contra decisão proferida por turma recursal dos juizados especiais federais antes do julgamento de pedido de uniformização interposto concomitantemente contra essa mesma decisão.</w:t>
      </w:r>
    </w:p>
    <w:p>
      <w:pPr>
        <w:ind w:left="288"/>
      </w:pPr>
      <w:r>
        <w:rPr>
          <w:b/>
          <w:color w:val="003CA0"/>
          <w:sz w:val="16"/>
        </w:rPr>
        <w:t>[RE 882.025 AgR, rel. min. Ricardo Lewandowski, j. 17-6-2015, P, DJE de 10-8-2015.]</w:t>
      </w:r>
    </w:p>
    <w:p>
      <w:pPr>
        <w:ind w:left="288"/>
      </w:pPr>
      <w:r>
        <w:rPr>
          <w:color w:val="8C8C8C"/>
          <w:sz w:val="12"/>
        </w:rPr>
        <w:t>cf-art-102-inc-III</w:t>
      </w:r>
      <w:r>
        <w:rPr>
          <w:color w:val="003CA0"/>
          <w:sz w:val="12"/>
        </w:rPr>
        <w:t xml:space="preserve"> | ARE 739.851</w:t>
      </w:r>
      <w:r>
        <w:rPr>
          <w:color w:val="003CA0"/>
          <w:sz w:val="12"/>
        </w:rPr>
        <w:t xml:space="preserve"> | rel. Teori Zavascki</w:t>
      </w:r>
    </w:p>
    <w:p>
      <w:pPr>
        <w:ind w:left="288"/>
      </w:pPr>
      <w:r>
        <w:rPr>
          <w:color w:val="1E1E1E"/>
          <w:sz w:val="18"/>
        </w:rPr>
        <w:t>A jurisprudência do STF é firme no sentido de que a regra da retenção do recurso extraordinário disposta no art. 542, § 3º, do CPC só pode ser afastada em hipóteses excepcionais, nas quais se mostra irrecusável o processamento do apelo para evitar que o julgamento postergado acarrete o prejuízo do próprio recurso ou a ineficácia do futuro julgamento do mesmo (...).</w:t>
      </w:r>
    </w:p>
    <w:p>
      <w:pPr>
        <w:ind w:left="288"/>
      </w:pPr>
      <w:r>
        <w:rPr>
          <w:b/>
          <w:color w:val="003CA0"/>
          <w:sz w:val="16"/>
        </w:rPr>
        <w:t>[ARE 739.851 AgR, rel. min. Teori Zavascki, j. 29-4-2014, 2ª T, DJE de 13-5-2014.]</w:t>
      </w:r>
    </w:p>
    <w:p>
      <w:pPr>
        <w:ind w:left="288"/>
      </w:pPr>
      <w:r>
        <w:rPr>
          <w:color w:val="8C8C8C"/>
          <w:sz w:val="12"/>
        </w:rPr>
        <w:t>cf-art-102-inc-III</w:t>
      </w:r>
      <w:r>
        <w:rPr>
          <w:color w:val="003CA0"/>
          <w:sz w:val="12"/>
        </w:rPr>
        <w:t xml:space="preserve"> | AC 1.801</w:t>
      </w:r>
      <w:r>
        <w:rPr>
          <w:color w:val="003CA0"/>
          <w:sz w:val="12"/>
        </w:rPr>
        <w:t xml:space="preserve"> | rel. Celso de Mello</w:t>
      </w:r>
    </w:p>
    <w:p>
      <w:pPr>
        <w:ind w:left="288"/>
      </w:pPr>
      <w:r>
        <w:rPr>
          <w:color w:val="1E1E1E"/>
          <w:sz w:val="18"/>
        </w:rPr>
        <w:t>Vide AC 1.801 QO, rel. min. Celso de Mello, j. 16-10-2007, 2ª T, DJE de 13-5-2013 São autônomos os acórdãos proferidos em agravo de instrumento e em recurso de revista, ainda que formalizados em um mesmo documento. A interposição de recurso de embargos (CLT, art. 894) contra o acórdão do recurso de revista não impede a impugnação imediata, por recurso extraordinário, do acórdão relativo ao agravo de instrumento. O julgamento dos embargos pode dar ensejo à interposição de outro extraordinário, sem que disso resulte, por si só, a inviabilidade de qualquer um deles.</w:t>
      </w:r>
    </w:p>
    <w:p>
      <w:pPr>
        <w:ind w:left="288"/>
      </w:pPr>
      <w:r>
        <w:rPr>
          <w:b/>
          <w:color w:val="003CA0"/>
          <w:sz w:val="16"/>
        </w:rPr>
        <w:t>[RE 562.900 AgR, rel. p/ o ac. min. Roberto Barroso, j. 26-11-2013, 1ª T, DJE de 6-2-2014.]</w:t>
      </w:r>
    </w:p>
    <w:p>
      <w:pPr>
        <w:ind w:left="288"/>
      </w:pPr>
      <w:r>
        <w:rPr>
          <w:color w:val="8C8C8C"/>
          <w:sz w:val="12"/>
        </w:rPr>
        <w:t>cf-art-102-inc-III</w:t>
      </w:r>
      <w:r>
        <w:rPr>
          <w:color w:val="003CA0"/>
          <w:sz w:val="12"/>
        </w:rPr>
        <w:t xml:space="preserve"> | RE 740.263</w:t>
      </w:r>
      <w:r>
        <w:rPr>
          <w:color w:val="003CA0"/>
          <w:sz w:val="12"/>
        </w:rPr>
        <w:t xml:space="preserve"> | rel. Marco Aurélio</w:t>
      </w:r>
    </w:p>
    <w:p>
      <w:pPr>
        <w:ind w:left="288"/>
      </w:pPr>
      <w:r>
        <w:rPr>
          <w:color w:val="1E1E1E"/>
          <w:sz w:val="18"/>
        </w:rPr>
        <w:t>O pronunciamento da turma recursal no incidente de uniformização não é impugnável mediante o extraordinário. Este somente se mostra cabível contra a decisão que aprecia o recurso por meio do qual se ataca o ato do juízo.</w:t>
      </w:r>
    </w:p>
    <w:p>
      <w:pPr>
        <w:ind w:left="288"/>
      </w:pPr>
      <w:r>
        <w:rPr>
          <w:b/>
          <w:color w:val="003CA0"/>
          <w:sz w:val="16"/>
        </w:rPr>
        <w:t>[RE 740.263 AgR, rel. min. Marco Aurélio, j. 8-10-2013, 1ª T, DJE de 25-10-2013.]</w:t>
      </w:r>
    </w:p>
    <w:p>
      <w:pPr>
        <w:ind w:left="288"/>
      </w:pPr>
      <w:r>
        <w:rPr>
          <w:color w:val="8C8C8C"/>
          <w:sz w:val="12"/>
        </w:rPr>
        <w:t>cf-art-102-inc-III</w:t>
      </w:r>
      <w:r>
        <w:rPr>
          <w:color w:val="003CA0"/>
          <w:sz w:val="12"/>
        </w:rPr>
        <w:t xml:space="preserve"> | AI 694.299</w:t>
      </w:r>
      <w:r>
        <w:rPr>
          <w:color w:val="003CA0"/>
          <w:sz w:val="12"/>
        </w:rPr>
        <w:t xml:space="preserve"> | rel. Dias Toffoli</w:t>
      </w:r>
    </w:p>
    <w:p>
      <w:pPr>
        <w:ind w:left="288"/>
      </w:pPr>
      <w:r>
        <w:rPr>
          <w:color w:val="1E1E1E"/>
          <w:sz w:val="18"/>
        </w:rPr>
        <w:t>Para que seja admissível recurso extraordinário de ação direta de inconstitucionalidade processada no âmbito do tribunal local, é imprescindível que o parâmetro de controle normativo local corresponda à norma de repetição obrigatória da CF. Inadmissível, em recurso extraordinário, a análise da legislação local. Incidência da Súmula 280 do STF.</w:t>
      </w:r>
    </w:p>
    <w:p>
      <w:pPr>
        <w:ind w:left="288"/>
      </w:pPr>
      <w:r>
        <w:rPr>
          <w:b/>
          <w:color w:val="003CA0"/>
          <w:sz w:val="16"/>
        </w:rPr>
        <w:t>[AI 694.299 AgR, rel. min. Dias Toffoli, j. 13-8-2013, 1ª T, DJE de 17-2-2014.]</w:t>
      </w:r>
    </w:p>
    <w:p>
      <w:pPr>
        <w:ind w:left="288"/>
      </w:pPr>
      <w:r>
        <w:rPr>
          <w:color w:val="8C8C8C"/>
          <w:sz w:val="12"/>
        </w:rPr>
        <w:t>cf-art-102-inc-III</w:t>
      </w:r>
      <w:r>
        <w:rPr>
          <w:color w:val="003CA0"/>
          <w:sz w:val="12"/>
        </w:rPr>
        <w:t xml:space="preserve"> | RCL 383</w:t>
      </w:r>
      <w:r>
        <w:rPr>
          <w:color w:val="003CA0"/>
          <w:sz w:val="12"/>
        </w:rPr>
        <w:t xml:space="preserve"> | rel. Moreira Alves</w:t>
      </w:r>
    </w:p>
    <w:p>
      <w:pPr>
        <w:ind w:left="288"/>
      </w:pPr>
      <w:r>
        <w:rPr>
          <w:color w:val="1E1E1E"/>
          <w:sz w:val="18"/>
        </w:rPr>
        <w:t>Vide Rcl 383, rel. min. Moreira Alves, j. 11-6-1992, P, DJ de 21-5-1993 A jurisprudência do STF firmou-se no sentido de que é incabível recurso extraordinário em face de decisão proferida em procedimento de representação pela perda de graduação de praça, tendo em vista seu caráter meramente administrativo. Com efeito, nos termos do art. 102, III, a, da CF, o recurso extraordinário tem cabimento em face de "causas decididas em única ou última instância" e, portanto, demanda que encerre conteúdo tipicamente jurisdicional, isto é, seja oriundo do exercício de típica função jurisdicional.</w:t>
      </w:r>
    </w:p>
    <w:p>
      <w:pPr>
        <w:ind w:left="288"/>
      </w:pPr>
      <w:r>
        <w:rPr>
          <w:b/>
          <w:color w:val="003CA0"/>
          <w:sz w:val="16"/>
        </w:rPr>
        <w:t>[AI 856.313, rel. min. Luiz Fux, j. 6-8-2012, dec. monocrática, DJE de 13-8-2012.]</w:t>
      </w:r>
    </w:p>
    <w:p>
      <w:pPr>
        <w:ind w:left="288"/>
      </w:pPr>
      <w:r>
        <w:rPr>
          <w:color w:val="8C8C8C"/>
          <w:sz w:val="12"/>
        </w:rPr>
        <w:t>cf-art-102-inc-III</w:t>
      </w:r>
      <w:r>
        <w:rPr>
          <w:color w:val="003CA0"/>
          <w:sz w:val="12"/>
        </w:rPr>
        <w:t xml:space="preserve"> | RE 626.358</w:t>
      </w:r>
      <w:r>
        <w:rPr>
          <w:color w:val="003CA0"/>
          <w:sz w:val="12"/>
        </w:rPr>
        <w:t xml:space="preserve"> | rel. Cezar Peluso</w:t>
      </w:r>
    </w:p>
    <w:p>
      <w:pPr>
        <w:ind w:left="288"/>
      </w:pPr>
      <w:r>
        <w:rPr>
          <w:color w:val="1E1E1E"/>
          <w:sz w:val="18"/>
        </w:rPr>
        <w:t>Recurso. Extraordinário. Prazo. Cômputo. Intercorrência de causa legal de prorrogação. Termo final diferido. Suspensão legal do expediente forense no juízo de origem. Interposição do recurso no termo prorrogado. Prova da causa de prorrogação só juntada em agravo regimental. Admissibilidade. Presunção de boa-fé do recorrente. Tempestividade reconhecida. Mudança de entendimento do Plenário da Corte. (...) Pode a parte fazer eficazmente, perante o Supremo, em agravo regimental, prova de causa local de prorrogação do prazo de interposição e da consequente tempestividade de recurso extraordinário.</w:t>
      </w:r>
    </w:p>
    <w:p>
      <w:pPr>
        <w:ind w:left="288"/>
      </w:pPr>
      <w:r>
        <w:rPr>
          <w:b/>
          <w:color w:val="003CA0"/>
          <w:sz w:val="16"/>
        </w:rPr>
        <w:t>[RE 626.358 AgR, rel. min. Cezar Peluso, j. 22-3-2012, P, DJE de 23-8-2012.]</w:t>
      </w:r>
    </w:p>
    <w:p>
      <w:pPr>
        <w:ind w:left="288"/>
      </w:pPr>
      <w:r>
        <w:rPr>
          <w:color w:val="8C8C8C"/>
          <w:sz w:val="12"/>
        </w:rPr>
        <w:t>cf-art-102-inc-III</w:t>
      </w:r>
      <w:r>
        <w:rPr>
          <w:color w:val="003CA0"/>
          <w:sz w:val="12"/>
        </w:rPr>
        <w:t xml:space="preserve"> | RE 700.529</w:t>
      </w:r>
      <w:r>
        <w:rPr>
          <w:color w:val="003CA0"/>
          <w:sz w:val="12"/>
        </w:rPr>
        <w:t xml:space="preserve"> | rel. Teori Zavascki</w:t>
      </w:r>
    </w:p>
    <w:p>
      <w:pPr>
        <w:ind w:left="288"/>
      </w:pPr>
      <w:r>
        <w:rPr>
          <w:color w:val="1E1E1E"/>
          <w:sz w:val="18"/>
        </w:rPr>
        <w:t>= RE 700.529 AgR-ED, rel. min. Teori Zavascki, j. 10-3-2015, 2ª T, DJE de 24-3-2015 (...) descabe a arguição de inadmissibilidade do recurso extraordinário se a ausência nos autos do acórdão recorrido, ou das respectivas notas taquigráficas, é imputável exclusivamente aos próprios órgãos do Poder Judiciário, como se passa com a figura da "publicação em sessão" em vigor no direito processual eleitoral, segundo o art. 11, § 2º, da LC 64/1990 em conjugação com o art. 8º, caput e parágrafo único, da Resolução/TSE 23.172/2009.</w:t>
      </w:r>
    </w:p>
    <w:p>
      <w:pPr>
        <w:ind w:left="288"/>
      </w:pPr>
      <w:r>
        <w:rPr>
          <w:b/>
          <w:color w:val="003CA0"/>
          <w:sz w:val="16"/>
        </w:rPr>
        <w:t>[RE 636.359 AgR-segundo, rel. min. Luiz Fux, j. 3-11-2011, P, DJE de 25-11-2011.]</w:t>
      </w:r>
    </w:p>
    <w:p>
      <w:pPr>
        <w:ind w:left="288"/>
      </w:pPr>
      <w:r>
        <w:rPr>
          <w:color w:val="8C8C8C"/>
          <w:sz w:val="12"/>
        </w:rPr>
        <w:t>cf-art-102-inc-III</w:t>
      </w:r>
      <w:r>
        <w:rPr>
          <w:color w:val="003CA0"/>
          <w:sz w:val="12"/>
        </w:rPr>
        <w:t xml:space="preserve"> | AI 497.477</w:t>
      </w:r>
      <w:r>
        <w:rPr>
          <w:color w:val="003CA0"/>
          <w:sz w:val="12"/>
        </w:rPr>
        <w:t xml:space="preserve"> | rel. Cezar Peluso). [AI 658.519 AgR-ED</w:t>
      </w:r>
    </w:p>
    <w:p>
      <w:pPr>
        <w:ind w:left="288"/>
      </w:pPr>
      <w:r>
        <w:rPr>
          <w:color w:val="1E1E1E"/>
          <w:sz w:val="18"/>
        </w:rPr>
        <w:t>Conforme entendimento predominante nesta nossa Casa de Justiça, o prazo para recorrer só começa a fluir com a publicação da decisão no órgão oficial, sendo prematuro o recurso que a antecede. Entendimento quebrantado, tão somente, naquelas hipóteses em que a decisão recorrida já está materializada nos autos do processo no momento da interposição do recurso, dela tendo tomado ciência a parte recorrente (AI 497.477 AgR, rel. min. Cezar Peluso).</w:t>
      </w:r>
    </w:p>
    <w:p>
      <w:pPr>
        <w:ind w:left="288"/>
      </w:pPr>
      <w:r>
        <w:rPr>
          <w:b/>
          <w:color w:val="003CA0"/>
          <w:sz w:val="16"/>
        </w:rPr>
        <w:t>[AI 658.519 AgR-ED, rel. min. Ayres Britto, j. 7-6-2011, 2ª T, DJE de 9-9-2011.]</w:t>
      </w:r>
    </w:p>
    <w:p>
      <w:pPr>
        <w:ind w:left="288"/>
      </w:pPr>
      <w:r>
        <w:rPr>
          <w:color w:val="8C8C8C"/>
          <w:sz w:val="12"/>
        </w:rPr>
        <w:t>cf-art-102-inc-III</w:t>
      </w:r>
      <w:r>
        <w:rPr>
          <w:color w:val="003CA0"/>
          <w:sz w:val="12"/>
        </w:rPr>
        <w:t xml:space="preserve"> | RE 510.633</w:t>
      </w:r>
      <w:r>
        <w:rPr>
          <w:color w:val="003CA0"/>
          <w:sz w:val="12"/>
        </w:rPr>
        <w:t xml:space="preserve"> | rel. Marco Aurélio</w:t>
      </w:r>
    </w:p>
    <w:p>
      <w:pPr>
        <w:ind w:left="288"/>
      </w:pPr>
      <w:r>
        <w:rPr>
          <w:color w:val="1E1E1E"/>
          <w:sz w:val="18"/>
        </w:rPr>
        <w:t>Os embargos declaratórios visam ao esclarecimento ou à integração da decisão embargada. A eficácia interruptiva do prazo para interposição de qualquer outro recurso é bilateral. Beneficia quer o embargante, quer o litisconsorte respectivo, quer a parte contrária. Então, de início, surgem dois aspectos relevantes. Em primeiro lugar, há de se perquirir se o extraordinário protocolado tinha, à época, objeto. Em segundo lugar, deve-se considerar o desfecho dos declaratórios, ou seja, o provimento ou o desprovimento ocorrido. No caso, foram desprovidos. Vale dizer: a situação jurídica impugnada med</w:t>
      </w:r>
    </w:p>
    <w:p>
      <w:pPr>
        <w:ind w:left="288"/>
      </w:pPr>
      <w:r>
        <w:rPr>
          <w:b/>
          <w:color w:val="003CA0"/>
          <w:sz w:val="16"/>
        </w:rPr>
        <w:t>[RE 510.633 AgR, voto do rel. min. Marco Aurélio, j. 13-4-2011, 1ª T, DJE de 18-5-2011.]</w:t>
      </w:r>
    </w:p>
    <w:p>
      <w:pPr>
        <w:ind w:left="288"/>
      </w:pPr>
      <w:r>
        <w:rPr>
          <w:color w:val="8C8C8C"/>
          <w:sz w:val="12"/>
        </w:rPr>
        <w:t>cf-art-102-inc-III</w:t>
      </w:r>
      <w:r>
        <w:rPr>
          <w:color w:val="003CA0"/>
          <w:sz w:val="12"/>
        </w:rPr>
        <w:t xml:space="preserve"> | AI 618.232</w:t>
      </w:r>
      <w:r>
        <w:rPr>
          <w:color w:val="003CA0"/>
          <w:sz w:val="12"/>
        </w:rPr>
        <w:t xml:space="preserve"> | rel. Cezar Peluso</w:t>
      </w:r>
    </w:p>
    <w:p>
      <w:pPr>
        <w:ind w:left="288"/>
      </w:pPr>
      <w:r>
        <w:rPr>
          <w:color w:val="1E1E1E"/>
          <w:sz w:val="18"/>
        </w:rPr>
        <w:t>≠ AI 618.232 AgR, rel. min. Cezar Peluso, j. 3-11-2009, 2ª T, DJE de 27-11-2009 Princípio da unicidade recursal. Afastamento. Interposição simultânea dos recursos extraordinário e especial. Preferência no julgamento. Preclusão da decisão do STJ. Ausência de prejuízo ao extraordinário. O fato de o STJ, julgando o recurso especial ou o agravo que tenha sido protocolado visando a imprimir-lhe trânsito, haver decidido sob o ângulo estritamente legal não implica preclusão presente o extraordinário simultaneamente interposto contra o dispositivo do acórdão alicerçado em preceitos constitucionais.</w:t>
      </w:r>
    </w:p>
    <w:p>
      <w:pPr>
        <w:ind w:left="288"/>
      </w:pPr>
      <w:r>
        <w:rPr>
          <w:b/>
          <w:color w:val="003CA0"/>
          <w:sz w:val="16"/>
        </w:rPr>
        <w:t>[RE 505.921 AgR, rel. min. Marco Aurélio, j. 13-4-2011, 1ª T, DJE de 18-5-2011.]</w:t>
      </w:r>
    </w:p>
    <w:p>
      <w:pPr>
        <w:ind w:left="288"/>
      </w:pPr>
      <w:r>
        <w:rPr>
          <w:color w:val="8C8C8C"/>
          <w:sz w:val="12"/>
        </w:rPr>
        <w:t>cf-art-102-inc-III</w:t>
      </w:r>
      <w:r>
        <w:rPr>
          <w:color w:val="003CA0"/>
          <w:sz w:val="12"/>
        </w:rPr>
        <w:t xml:space="preserve"> | RE 495.560</w:t>
      </w:r>
      <w:r>
        <w:rPr>
          <w:color w:val="003CA0"/>
          <w:sz w:val="12"/>
        </w:rPr>
        <w:t xml:space="preserve"> | rel. Marco Aurélio</w:t>
      </w:r>
    </w:p>
    <w:p>
      <w:pPr>
        <w:ind w:left="288"/>
      </w:pPr>
      <w:r>
        <w:rPr>
          <w:color w:val="1E1E1E"/>
          <w:sz w:val="18"/>
        </w:rPr>
        <w:t>Vide RE 495.560 AgR, rel. min. Marco Aurélio, j. 17-3-2009, 1ª T, DJE de 24-4-2009 Impossibilidade de homologação de pedido de desistência da ação ou de renúncia ao direito sobre o qual se funda a ação apresentado após o julgamento do recurso extraordinário, ainda que a decisão não tenha sido publicada.</w:t>
      </w:r>
    </w:p>
    <w:p>
      <w:pPr>
        <w:ind w:left="288"/>
      </w:pPr>
      <w:r>
        <w:rPr>
          <w:b/>
          <w:color w:val="003CA0"/>
          <w:sz w:val="16"/>
        </w:rPr>
        <w:t>[RE 451.289 AgR-AgR, rel. min. Ricardo Lewandowski, j. 22-2-2011, 1ª T, DJE de 15-3-2011.]</w:t>
      </w:r>
    </w:p>
    <w:p>
      <w:pPr>
        <w:ind w:left="288"/>
      </w:pPr>
      <w:r>
        <w:rPr>
          <w:color w:val="8C8C8C"/>
          <w:sz w:val="12"/>
        </w:rPr>
        <w:t>cf-art-102-inc-III</w:t>
      </w:r>
      <w:r>
        <w:rPr>
          <w:color w:val="003CA0"/>
          <w:sz w:val="12"/>
        </w:rPr>
        <w:t xml:space="preserve"> | RE 144.972</w:t>
      </w:r>
      <w:r>
        <w:rPr>
          <w:color w:val="003CA0"/>
          <w:sz w:val="12"/>
        </w:rPr>
        <w:t xml:space="preserve"> | rel. Ilmar Galvão</w:t>
      </w:r>
    </w:p>
    <w:p>
      <w:pPr>
        <w:ind w:left="288"/>
      </w:pPr>
      <w:r>
        <w:rPr>
          <w:color w:val="1E1E1E"/>
          <w:sz w:val="18"/>
        </w:rPr>
        <w:t>Vide RE 144.972 QO, rel. min. Ilmar Galvão, j. 9-5-1995, 1ª T, DJ de 22-9-1995 Inaplicabilidade da Lei 12.322/2010 ao agravo de instrumento formado antes de sua publicação. Irretroatividade da lei processual.</w:t>
      </w:r>
    </w:p>
    <w:p>
      <w:pPr>
        <w:ind w:left="288"/>
      </w:pPr>
      <w:r>
        <w:rPr>
          <w:b/>
          <w:color w:val="003CA0"/>
          <w:sz w:val="16"/>
        </w:rPr>
        <w:t>[AI 828.091 AgR, rel. min. Cármen Lúcia, j. 8-2-2011, 1ª T, DJE de 2-3-2011.]</w:t>
      </w:r>
    </w:p>
    <w:p>
      <w:pPr>
        <w:ind w:left="288"/>
      </w:pPr>
      <w:r>
        <w:rPr>
          <w:color w:val="8C8C8C"/>
          <w:sz w:val="12"/>
        </w:rPr>
        <w:t>cf-art-102-inc-III</w:t>
      </w:r>
      <w:r>
        <w:rPr>
          <w:color w:val="003CA0"/>
          <w:sz w:val="12"/>
        </w:rPr>
        <w:t xml:space="preserve"> | AI 796.721</w:t>
      </w:r>
      <w:r>
        <w:rPr>
          <w:color w:val="003CA0"/>
          <w:sz w:val="12"/>
        </w:rPr>
        <w:t xml:space="preserve"> | rel. Joaquim Barbosa</w:t>
      </w:r>
    </w:p>
    <w:p>
      <w:pPr>
        <w:ind w:left="288"/>
      </w:pPr>
      <w:r>
        <w:rPr>
          <w:color w:val="1E1E1E"/>
          <w:sz w:val="18"/>
        </w:rPr>
        <w:t>= AI 796.721 AgR-ED, rel. min. Joaquim Barbosa, j. 22-11-2011, 2ª T, DJE de 12-12-2011 Nos casos em que foram interpostos simultaneamente recursos especial e extraordinário, ambos inadmitidos, e interpostos agravos de instrumento a fim de processá-los, a corte a quo deve reter o agravo de instrumento no recurso extraordinário e somente enviá-lo ao STF após a decisão definitiva do STJ pelo não provimento do agravo de instrumento ou posteriormente à decisão definitiva do próprio recurso especial.</w:t>
      </w:r>
    </w:p>
    <w:p>
      <w:pPr>
        <w:ind w:left="288"/>
      </w:pPr>
      <w:r>
        <w:rPr>
          <w:b/>
          <w:color w:val="003CA0"/>
          <w:sz w:val="16"/>
        </w:rPr>
        <w:t>[Rcl 9.645 AgR, rel. min. Ricardo Lewandowski, j. 9-12-2010, P, DJE de 9-2-2011.]</w:t>
      </w:r>
    </w:p>
    <w:p>
      <w:pPr>
        <w:ind w:left="288"/>
      </w:pPr>
      <w:r>
        <w:rPr>
          <w:color w:val="8C8C8C"/>
          <w:sz w:val="12"/>
        </w:rPr>
        <w:t>cf-art-102-inc-III</w:t>
      </w:r>
      <w:r>
        <w:rPr>
          <w:color w:val="003CA0"/>
          <w:sz w:val="12"/>
        </w:rPr>
        <w:t xml:space="preserve"> | AI 584.364</w:t>
      </w:r>
      <w:r>
        <w:rPr>
          <w:color w:val="003CA0"/>
          <w:sz w:val="12"/>
        </w:rPr>
        <w:t xml:space="preserve"> | rel. Cármen Lúcia</w:t>
      </w:r>
    </w:p>
    <w:p>
      <w:pPr>
        <w:ind w:left="288"/>
      </w:pPr>
      <w:r>
        <w:rPr>
          <w:color w:val="1E1E1E"/>
          <w:sz w:val="18"/>
        </w:rPr>
        <w:t>Vide AI 584.364 ED, rel. min. Cármen Lúcia, j. 7-4-2009, 1ª T, DJE de 15-5-2009 A concessão de tutela de urgência ao recurso extraordinário pressupõe a verossimilhança da alegação e o risco do transcurso do tempo normalmente necessário ao processamento do recurso e ao julgamento dos pedidos. Isoladamente considerado, o ajuizamento de ação direta de inconstitucionalidade sobre o tema é insuficiente para justificar a concessão de tutela de urgência a todo e qualquer caso.</w:t>
      </w:r>
    </w:p>
    <w:p>
      <w:pPr>
        <w:ind w:left="288"/>
      </w:pPr>
      <w:r>
        <w:rPr>
          <w:b/>
          <w:color w:val="003CA0"/>
          <w:sz w:val="16"/>
        </w:rPr>
        <w:t>[AC 33 MC, rel. min. Marco Aurélio, j. 24-11-2010, P, DJE de 10-2-2011.]</w:t>
      </w:r>
    </w:p>
    <w:p>
      <w:pPr>
        <w:ind w:left="288"/>
      </w:pPr>
      <w:r>
        <w:rPr>
          <w:color w:val="8C8C8C"/>
          <w:sz w:val="12"/>
        </w:rPr>
        <w:t>cf-art-102-inc-III</w:t>
      </w:r>
      <w:r>
        <w:rPr>
          <w:color w:val="003CA0"/>
          <w:sz w:val="12"/>
        </w:rPr>
        <w:t xml:space="preserve"> | AI 564.973</w:t>
      </w:r>
      <w:r>
        <w:rPr>
          <w:color w:val="003CA0"/>
          <w:sz w:val="12"/>
        </w:rPr>
        <w:t xml:space="preserve"> | rel. Dias Toffoli</w:t>
      </w:r>
    </w:p>
    <w:p>
      <w:pPr>
        <w:ind w:left="288"/>
      </w:pPr>
      <w:r>
        <w:rPr>
          <w:color w:val="1E1E1E"/>
          <w:sz w:val="18"/>
        </w:rPr>
        <w:t>Agravo regimental em agravo de instrumento. Matéria criminal. (...) A jurisprudência do STF considera inexistente o agravo regimental subscrito por advogado sem procuração nos autos.</w:t>
      </w:r>
    </w:p>
    <w:p>
      <w:pPr>
        <w:ind w:left="288"/>
      </w:pPr>
      <w:r>
        <w:rPr>
          <w:b/>
          <w:color w:val="003CA0"/>
          <w:sz w:val="16"/>
        </w:rPr>
        <w:t>[AI 564.973 AgR, rel. min Dias Toffoli, j. 9-11-2010, 1ª T, DJE de 22-3-2011.]</w:t>
      </w:r>
    </w:p>
    <w:p>
      <w:pPr>
        <w:ind w:left="288"/>
      </w:pPr>
      <w:r>
        <w:rPr>
          <w:color w:val="8C8C8C"/>
          <w:sz w:val="12"/>
        </w:rPr>
        <w:t>cf-art-102-inc-III</w:t>
      </w:r>
      <w:r>
        <w:rPr>
          <w:color w:val="003CA0"/>
          <w:sz w:val="12"/>
        </w:rPr>
        <w:t xml:space="preserve"> | AI 504.704</w:t>
      </w:r>
      <w:r>
        <w:rPr>
          <w:color w:val="003CA0"/>
          <w:sz w:val="12"/>
        </w:rPr>
        <w:t xml:space="preserve"> | rel. Sepúlveda Pertence</w:t>
      </w:r>
    </w:p>
    <w:p>
      <w:pPr>
        <w:ind w:left="288"/>
      </w:pPr>
      <w:r>
        <w:rPr>
          <w:color w:val="1E1E1E"/>
          <w:sz w:val="18"/>
        </w:rPr>
        <w:t>Vide AI 504.704 AgR, rel. min. Sepúlveda Pertence, j. 22-6-2004, 1ª T, DJ de 25-6-2004 Proferida sentença no processo principal, perdeu o objeto o recurso extraordinário interposto de decisão interlocutória.</w:t>
      </w:r>
    </w:p>
    <w:p>
      <w:pPr>
        <w:ind w:left="288"/>
      </w:pPr>
      <w:r>
        <w:rPr>
          <w:b/>
          <w:color w:val="003CA0"/>
          <w:sz w:val="16"/>
        </w:rPr>
        <w:t>[RE 533.834 AgR, rel. min. Ricardo Lewandowski, j. 9-11-2010, 1ª T, DJE de 30-11-2010.]</w:t>
      </w:r>
    </w:p>
    <w:p>
      <w:pPr>
        <w:ind w:left="288"/>
      </w:pPr>
      <w:r>
        <w:rPr>
          <w:color w:val="8C8C8C"/>
          <w:sz w:val="12"/>
        </w:rPr>
        <w:t>cf-art-102-inc-III</w:t>
      </w:r>
      <w:r>
        <w:rPr>
          <w:color w:val="003CA0"/>
          <w:sz w:val="12"/>
        </w:rPr>
        <w:t xml:space="preserve"> | RE 333.942</w:t>
      </w:r>
      <w:r>
        <w:rPr>
          <w:color w:val="003CA0"/>
          <w:sz w:val="12"/>
        </w:rPr>
        <w:t xml:space="preserve"> | rel. Joaquim Barbosa</w:t>
      </w:r>
    </w:p>
    <w:p>
      <w:pPr>
        <w:ind w:left="288"/>
      </w:pPr>
      <w:r>
        <w:rPr>
          <w:color w:val="1E1E1E"/>
          <w:sz w:val="18"/>
        </w:rPr>
        <w:t>Pendente exame de agravo de instrumento destinado a assegurar o julgamento de recurso especial, interposto simultaneamente ao extraordinário, tudo recomenda que o julgamento do segundo recurso aguarde o julgamento do primeiro (art. 543 do CPC).</w:t>
      </w:r>
    </w:p>
    <w:p>
      <w:pPr>
        <w:ind w:left="288"/>
      </w:pPr>
      <w:r>
        <w:rPr>
          <w:b/>
          <w:color w:val="003CA0"/>
          <w:sz w:val="16"/>
        </w:rPr>
        <w:t>[RE 333.942 ED, rel. min. Joaquim Barbosa, j. 9-11-2010, 1ª T, DJE de 30-11-2010.]</w:t>
      </w:r>
    </w:p>
    <w:p>
      <w:pPr>
        <w:ind w:left="288"/>
      </w:pPr>
      <w:r>
        <w:rPr>
          <w:color w:val="8C8C8C"/>
          <w:sz w:val="12"/>
        </w:rPr>
        <w:t>cf-art-102-inc-III</w:t>
      </w:r>
      <w:r>
        <w:rPr>
          <w:color w:val="003CA0"/>
          <w:sz w:val="12"/>
        </w:rPr>
        <w:t xml:space="preserve"> | AI 550.244</w:t>
      </w:r>
      <w:r>
        <w:rPr>
          <w:color w:val="003CA0"/>
          <w:sz w:val="12"/>
        </w:rPr>
        <w:t xml:space="preserve"> | rel. Marco Aurélio</w:t>
      </w:r>
    </w:p>
    <w:p>
      <w:pPr>
        <w:ind w:left="288"/>
      </w:pPr>
      <w:r>
        <w:rPr>
          <w:color w:val="1E1E1E"/>
          <w:sz w:val="18"/>
        </w:rPr>
        <w:t>Visando os embargos de declaração ao esclarecimento ou à integração da decisão proferida, descabe, a partir do que assentado, exigir o depósito da multa prevista no art. 557, § 2º, do CPC.</w:t>
      </w:r>
    </w:p>
    <w:p>
      <w:pPr>
        <w:ind w:left="288"/>
      </w:pPr>
      <w:r>
        <w:rPr>
          <w:b/>
          <w:color w:val="003CA0"/>
          <w:sz w:val="16"/>
        </w:rPr>
        <w:t>[AI 550.244 AgR-ED, rel. min. Marco Aurélio, j. 9-11-2010, 1ª T, DJE de 29-11-2010.]</w:t>
      </w:r>
    </w:p>
    <w:p>
      <w:pPr>
        <w:ind w:left="288"/>
      </w:pPr>
      <w:r>
        <w:rPr>
          <w:color w:val="8C8C8C"/>
          <w:sz w:val="12"/>
        </w:rPr>
        <w:t>cf-art-102-inc-III</w:t>
      </w:r>
      <w:r>
        <w:rPr>
          <w:color w:val="003CA0"/>
          <w:sz w:val="12"/>
        </w:rPr>
        <w:t xml:space="preserve"> | AI 400.465</w:t>
      </w:r>
      <w:r>
        <w:rPr>
          <w:color w:val="003CA0"/>
          <w:sz w:val="12"/>
        </w:rPr>
        <w:t xml:space="preserve"> | rel. Menezes Direito</w:t>
      </w:r>
    </w:p>
    <w:p>
      <w:pPr>
        <w:ind w:left="288"/>
      </w:pPr>
      <w:r>
        <w:rPr>
          <w:color w:val="1E1E1E"/>
          <w:sz w:val="18"/>
        </w:rPr>
        <w:t>≠  AI 400.465 AgR-ED, rel. min. Menezes Direito, j. 30-10-2007, 1ª T, DJE de 25-4-2008 É inaplicável o princípio da fungibilidade recursal, porquanto o que ficou caracterizado, no caso, foi a deficiência na fundamentação do agravo de instrumento, o qual deveria ter impugnado a decisão que inadmitiu o recurso extraordinário. Em outras palavras, o recorrente interpôs o recurso cabível, porém refutou fundamentos diversos daqueles que lhe incumbia afastar.</w:t>
      </w:r>
    </w:p>
    <w:p>
      <w:pPr>
        <w:ind w:left="288"/>
      </w:pPr>
      <w:r>
        <w:rPr>
          <w:b/>
          <w:color w:val="003CA0"/>
          <w:sz w:val="16"/>
        </w:rPr>
        <w:t>[AI 612.322 AgR, rel. min. Ricardo Lewandowski, j. 19-10-2010, 1ª T, DJE de 10-11-2010.]</w:t>
      </w:r>
    </w:p>
    <w:p>
      <w:pPr>
        <w:ind w:left="288"/>
      </w:pPr>
      <w:r>
        <w:rPr>
          <w:color w:val="8C8C8C"/>
          <w:sz w:val="12"/>
        </w:rPr>
        <w:t>cf-art-102-inc-III</w:t>
      </w:r>
      <w:r>
        <w:rPr>
          <w:color w:val="003CA0"/>
          <w:sz w:val="12"/>
        </w:rPr>
        <w:t xml:space="preserve"> | AI 491.003</w:t>
      </w:r>
      <w:r>
        <w:rPr>
          <w:color w:val="003CA0"/>
          <w:sz w:val="12"/>
        </w:rPr>
        <w:t xml:space="preserve"> | rel. Marco Aurélio</w:t>
      </w:r>
    </w:p>
    <w:p>
      <w:pPr>
        <w:ind w:left="288"/>
      </w:pPr>
      <w:r>
        <w:rPr>
          <w:color w:val="1E1E1E"/>
          <w:sz w:val="18"/>
        </w:rPr>
        <w:t>O Plenário veio a evoluir para interpretar o art. 546 do CPC alcançando situações em que, no agravo regimental, há pronunciamento de mérito quanto a recurso extraordinário julgado pelo relator. O caso agora é diverso. O agravo regimental foi interposto contra ato do relator no exame de agravo de instrumento. Mostra-se, então, inadequado o recurso protocolado.</w:t>
      </w:r>
    </w:p>
    <w:p>
      <w:pPr>
        <w:ind w:left="288"/>
      </w:pPr>
      <w:r>
        <w:rPr>
          <w:b/>
          <w:color w:val="003CA0"/>
          <w:sz w:val="16"/>
        </w:rPr>
        <w:t>[AI 491.003 AgR-ED-EDv-AgR, voto do rel. min. Marco Aurélio, j. 14-10-2010, P, DJE de 3-12-2010.]</w:t>
      </w:r>
    </w:p>
    <w:p>
      <w:pPr>
        <w:ind w:left="288"/>
      </w:pPr>
      <w:r>
        <w:rPr>
          <w:color w:val="8C8C8C"/>
          <w:sz w:val="12"/>
        </w:rPr>
        <w:t>cf-art-102-inc-III</w:t>
      </w:r>
      <w:r>
        <w:rPr>
          <w:color w:val="003CA0"/>
          <w:sz w:val="12"/>
        </w:rPr>
        <w:t xml:space="preserve"> | RE 285.093</w:t>
      </w:r>
      <w:r>
        <w:rPr>
          <w:color w:val="003CA0"/>
          <w:sz w:val="12"/>
        </w:rPr>
        <w:t xml:space="preserve"> | rel. Marco Aurélio</w:t>
      </w:r>
    </w:p>
    <w:p>
      <w:pPr>
        <w:ind w:left="288"/>
      </w:pPr>
      <w:r>
        <w:rPr>
          <w:color w:val="1E1E1E"/>
          <w:sz w:val="18"/>
        </w:rPr>
        <w:t>Vide RE 285.093 AgR-ED-EDv-AgR, rel. p/ o ac. min. Marco Aurélio, j. 26-4-2007, P, DJE de 28-3-2008 A intempestividade dos embargos de declaração opostos a acórdão proferido na origem importa na intempestividade do próprio recurso extraordinário posteriormente interposto. A ausência de manifestação sobre a intempestividade do recurso extraordinário nas contrarrazões não caracteriza preclusão argumentativa, por se tratar de questão de cabimento do recurso, cujo exame é feito de ofício pelo STF.</w:t>
      </w:r>
    </w:p>
    <w:p>
      <w:pPr>
        <w:ind w:left="288"/>
      </w:pPr>
      <w:r>
        <w:rPr>
          <w:b/>
          <w:color w:val="003CA0"/>
          <w:sz w:val="16"/>
        </w:rPr>
        <w:t>[RE 189.619 ED-EDv, rel. min. Cármen Lúcia, j. 15-9-2010, P, DJE de 3-12-2010.]</w:t>
      </w:r>
    </w:p>
    <w:p>
      <w:pPr>
        <w:ind w:left="288"/>
      </w:pPr>
      <w:r>
        <w:rPr>
          <w:color w:val="8C8C8C"/>
          <w:sz w:val="12"/>
        </w:rPr>
        <w:t>cf-art-102-inc-III</w:t>
      </w:r>
      <w:r>
        <w:rPr>
          <w:color w:val="003CA0"/>
          <w:sz w:val="12"/>
        </w:rPr>
        <w:t xml:space="preserve"> | RE 456.689</w:t>
      </w:r>
      <w:r>
        <w:rPr>
          <w:color w:val="003CA0"/>
          <w:sz w:val="12"/>
        </w:rPr>
        <w:t xml:space="preserve"> | rel. Joaquim Barbosa</w:t>
      </w:r>
    </w:p>
    <w:p>
      <w:pPr>
        <w:ind w:left="288"/>
      </w:pPr>
      <w:r>
        <w:rPr>
          <w:color w:val="1E1E1E"/>
          <w:sz w:val="18"/>
        </w:rPr>
        <w:t>Quando se alega error in judicando, ofende a competência recursal extraordinária a devolução dos autos à origem para que ultime o julgamento, mediante apreciação da matéria legal. Primeiramente, porque compete ao STJ dar a última palavra nessa hipótese (art. 105, III, CF/1988). Se não o faz, preclui a matéria ordinária, inviabilizando o conhecimento do recurso extraordinário (Enunciado 283 da Súmula/STF). Em segundo lugar, quando tem por escopo a reforma de julgado inferior, o remédio extraordinário não constitui "recurso de cassação". Por isso, se não houvesse óbices preliminares, seria desta</w:t>
      </w:r>
    </w:p>
    <w:p>
      <w:pPr>
        <w:ind w:left="288"/>
      </w:pPr>
      <w:r>
        <w:rPr>
          <w:b/>
          <w:color w:val="003CA0"/>
          <w:sz w:val="16"/>
        </w:rPr>
        <w:t>RE 456.689 AgR, rel. min. Joaquim Barbosa, j. 31-8-2010, 2ª T, DJE de 1º-10-2010.]</w:t>
      </w:r>
    </w:p>
    <w:p>
      <w:pPr>
        <w:ind w:left="288"/>
      </w:pPr>
      <w:r>
        <w:rPr>
          <w:color w:val="8C8C8C"/>
          <w:sz w:val="12"/>
        </w:rPr>
        <w:t>cf-art-102-inc-III</w:t>
      </w:r>
      <w:r>
        <w:rPr>
          <w:color w:val="003CA0"/>
          <w:sz w:val="12"/>
        </w:rPr>
        <w:t xml:space="preserve"> | PET 4.751</w:t>
      </w:r>
      <w:r>
        <w:rPr>
          <w:color w:val="003CA0"/>
          <w:sz w:val="12"/>
        </w:rPr>
        <w:t xml:space="preserve"> | rel. Marco Aurélio</w:t>
      </w:r>
    </w:p>
    <w:p>
      <w:pPr>
        <w:ind w:left="288"/>
      </w:pPr>
      <w:r>
        <w:rPr>
          <w:color w:val="1E1E1E"/>
          <w:sz w:val="18"/>
        </w:rPr>
        <w:t>O agravo visando à subida de certo recurso que se diz da competência do Supremo há de ser interposto junto ao órgão prolator da decisão atacada, não cabendo, ante erronia, flexibilizar a organicidade do Direito.</w:t>
      </w:r>
    </w:p>
    <w:p>
      <w:pPr>
        <w:ind w:left="288"/>
      </w:pPr>
      <w:r>
        <w:rPr>
          <w:b/>
          <w:color w:val="003CA0"/>
          <w:sz w:val="16"/>
        </w:rPr>
        <w:t>[Pet 4.751 AgR, rel. min. Marco Aurélio, j. 18-8-2010, P, DJE de 24-9-2010.]</w:t>
      </w:r>
    </w:p>
    <w:p>
      <w:pPr>
        <w:ind w:left="288"/>
      </w:pPr>
      <w:r>
        <w:rPr>
          <w:color w:val="8C8C8C"/>
          <w:sz w:val="12"/>
        </w:rPr>
        <w:t>cf-art-102-inc-III</w:t>
      </w:r>
      <w:r>
        <w:rPr>
          <w:color w:val="003CA0"/>
          <w:sz w:val="12"/>
        </w:rPr>
        <w:t xml:space="preserve"> | AI 772.518</w:t>
      </w:r>
      <w:r>
        <w:rPr>
          <w:color w:val="003CA0"/>
          <w:sz w:val="12"/>
        </w:rPr>
        <w:t xml:space="preserve"> | rel. Ricardo Lewandowski</w:t>
      </w:r>
    </w:p>
    <w:p>
      <w:pPr>
        <w:ind w:left="288"/>
      </w:pPr>
      <w:r>
        <w:rPr>
          <w:color w:val="1E1E1E"/>
          <w:sz w:val="18"/>
        </w:rPr>
        <w:t>O exame definitivo da admissibilidade do recurso extraordinário compete ao STF, independente da análise feita na origem.</w:t>
      </w:r>
    </w:p>
    <w:p>
      <w:pPr>
        <w:ind w:left="288"/>
      </w:pPr>
      <w:r>
        <w:rPr>
          <w:b/>
          <w:color w:val="003CA0"/>
          <w:sz w:val="16"/>
        </w:rPr>
        <w:t>[AI 772.518 AgR, rel. min. Ricardo Lewandowski, j. 18-5-2010, 1ª T, DJE de 4-6-2010.]</w:t>
      </w:r>
    </w:p>
    <w:p>
      <w:pPr>
        <w:ind w:left="288"/>
      </w:pPr>
      <w:r>
        <w:rPr>
          <w:color w:val="8C8C8C"/>
          <w:sz w:val="12"/>
        </w:rPr>
        <w:t>cf-art-102-inc-III</w:t>
      </w:r>
      <w:r>
        <w:rPr>
          <w:color w:val="003CA0"/>
          <w:sz w:val="12"/>
        </w:rPr>
        <w:t xml:space="preserve"> | RE 593.156</w:t>
      </w:r>
      <w:r>
        <w:rPr>
          <w:color w:val="003CA0"/>
          <w:sz w:val="12"/>
        </w:rPr>
        <w:t xml:space="preserve"> | rel. Joaquim Barbosa</w:t>
      </w:r>
    </w:p>
    <w:p>
      <w:pPr>
        <w:ind w:left="288"/>
      </w:pPr>
      <w:r>
        <w:rPr>
          <w:color w:val="1E1E1E"/>
          <w:sz w:val="18"/>
        </w:rPr>
        <w:t>= RE 593.156 AgR, rel. min. Joaquim Barbosa, j. 5-10-2010, 2ª T, DJE de 25-10-2010 É indevida a utilização de protocolo integrado nos recursos dirigidos às Cortes Superiores. (...) O sistema de protocolo integrado não se confunde com a entrega de recurso em tribunal diverso, por equívoco do recorrente.</w:t>
      </w:r>
    </w:p>
    <w:p>
      <w:pPr>
        <w:ind w:left="288"/>
      </w:pPr>
      <w:r>
        <w:rPr>
          <w:b/>
          <w:color w:val="003CA0"/>
          <w:sz w:val="16"/>
        </w:rPr>
        <w:t>[RE 217.561 AgR-AgR-ED-ED, rel. min. Eros Grau, j. 20-4-2010, 2ª T, DJE de 14-5-2010.]</w:t>
      </w:r>
    </w:p>
    <w:p>
      <w:pPr>
        <w:ind w:left="288"/>
      </w:pPr>
      <w:r>
        <w:rPr>
          <w:color w:val="8C8C8C"/>
          <w:sz w:val="12"/>
        </w:rPr>
        <w:t>cf-art-102-inc-III</w:t>
      </w:r>
      <w:r>
        <w:rPr>
          <w:color w:val="003CA0"/>
          <w:sz w:val="12"/>
        </w:rPr>
        <w:t xml:space="preserve"> | RE 579.554</w:t>
      </w:r>
      <w:r>
        <w:rPr>
          <w:color w:val="003CA0"/>
          <w:sz w:val="12"/>
        </w:rPr>
        <w:t xml:space="preserve"> | rel. Cármen Lúcia</w:t>
      </w:r>
    </w:p>
    <w:p>
      <w:pPr>
        <w:ind w:left="288"/>
      </w:pPr>
      <w:r>
        <w:rPr>
          <w:color w:val="1E1E1E"/>
          <w:sz w:val="18"/>
        </w:rPr>
        <w:t>A jurisprudência do STF firmou entendimento no sentido da preclusão das questões constitucionais surgidas na decisão de segundo grau que não foram objeto de recurso extraordinário. Assim, somente é possível a interposição de recurso extraordinário contra decisão do STJ quando o tema em questão for novo, surgido na instância superior.</w:t>
      </w:r>
    </w:p>
    <w:p>
      <w:pPr>
        <w:ind w:left="288"/>
      </w:pPr>
      <w:r>
        <w:rPr>
          <w:b/>
          <w:color w:val="003CA0"/>
          <w:sz w:val="16"/>
        </w:rPr>
        <w:t>[RE 579.554 AgR, rel. min. Cármen Lúcia, j. 6-4-2010, 1ª T, DJE de 7-5-2010.]</w:t>
      </w:r>
    </w:p>
    <w:p>
      <w:pPr>
        <w:ind w:left="288"/>
      </w:pPr>
      <w:r>
        <w:rPr>
          <w:color w:val="8C8C8C"/>
          <w:sz w:val="12"/>
        </w:rPr>
        <w:t>cf-art-102-inc-III</w:t>
      </w:r>
      <w:r>
        <w:rPr>
          <w:color w:val="003CA0"/>
          <w:sz w:val="12"/>
        </w:rPr>
        <w:t xml:space="preserve"> | AI 716.397</w:t>
      </w:r>
      <w:r>
        <w:rPr>
          <w:color w:val="003CA0"/>
          <w:sz w:val="12"/>
        </w:rPr>
        <w:t xml:space="preserve"> | rel. Joaquim Barbosa</w:t>
      </w:r>
    </w:p>
    <w:p>
      <w:pPr>
        <w:ind w:left="288"/>
      </w:pPr>
      <w:r>
        <w:rPr>
          <w:color w:val="1E1E1E"/>
          <w:sz w:val="18"/>
        </w:rPr>
        <w:t>= AI 716.397 AgR, rel. min. Joaquim Barbosa, j. 5-10-2010, 2ª T, DJE de 11-11-2010 Somente se justifica o sobrestamento do recurso extraordinário nos casos em que houver a possibilidade de discussão do mérito.</w:t>
      </w:r>
    </w:p>
    <w:p>
      <w:pPr>
        <w:ind w:left="288"/>
      </w:pPr>
      <w:r>
        <w:rPr>
          <w:b/>
          <w:color w:val="003CA0"/>
          <w:sz w:val="16"/>
        </w:rPr>
        <w:t>[AI 680.446 AgR, rel. min. Ellen Gracie, j. 6-4-2010, 2ª T, DJE de 30-4-2010.]</w:t>
      </w:r>
    </w:p>
    <w:p>
      <w:pPr>
        <w:ind w:left="288"/>
      </w:pPr>
      <w:r>
        <w:rPr>
          <w:color w:val="8C8C8C"/>
          <w:sz w:val="12"/>
        </w:rPr>
        <w:t>cf-art-102-inc-III</w:t>
      </w:r>
      <w:r>
        <w:rPr>
          <w:color w:val="003CA0"/>
          <w:sz w:val="12"/>
        </w:rPr>
        <w:t xml:space="preserve"> | AC 2.209</w:t>
      </w:r>
      <w:r>
        <w:rPr>
          <w:color w:val="003CA0"/>
          <w:sz w:val="12"/>
        </w:rPr>
        <w:t xml:space="preserve"> | rel. Joaquim Barbosa</w:t>
      </w:r>
    </w:p>
    <w:p>
      <w:pPr>
        <w:ind w:left="288"/>
      </w:pPr>
      <w:r>
        <w:rPr>
          <w:color w:val="1E1E1E"/>
          <w:sz w:val="18"/>
        </w:rPr>
        <w:t>Em razão da preclusão e da força do trânsito em julgado, somente cabe a propositura e o exame de novos pleitos cautelares se houver substancial modificação do quadro fático-jurídico que justifique a densa probabilidade de conhecimento e provimento do recurso extraordinário. Situação descaracterizada, dada a reiteração dos argumentos apresentados por ocasião do exame da primeira medida liminar pleiteada, cujo resultado parcialmente favorável ao contribuinte não foi objeto de recurso.</w:t>
      </w:r>
    </w:p>
    <w:p>
      <w:pPr>
        <w:ind w:left="288"/>
      </w:pPr>
      <w:r>
        <w:rPr>
          <w:b/>
          <w:color w:val="003CA0"/>
          <w:sz w:val="16"/>
        </w:rPr>
        <w:t>[AC 2.209 AgR, rel. min. Joaquim Barbosa, j. 2-3-2010, 2ª T, DJE de 26-3-2010.]</w:t>
      </w:r>
    </w:p>
    <w:p>
      <w:pPr>
        <w:ind w:left="288"/>
      </w:pPr>
      <w:r>
        <w:rPr>
          <w:color w:val="8C8C8C"/>
          <w:sz w:val="12"/>
        </w:rPr>
        <w:t>cf-art-102-inc-III</w:t>
      </w:r>
      <w:r>
        <w:rPr>
          <w:color w:val="003CA0"/>
          <w:sz w:val="12"/>
        </w:rPr>
        <w:t xml:space="preserve"> | AI 764.914</w:t>
      </w:r>
      <w:r>
        <w:rPr>
          <w:color w:val="003CA0"/>
          <w:sz w:val="12"/>
        </w:rPr>
        <w:t xml:space="preserve"> | rel. Cezar Peluso</w:t>
      </w:r>
    </w:p>
    <w:p>
      <w:pPr>
        <w:ind w:left="288"/>
      </w:pPr>
      <w:r>
        <w:rPr>
          <w:color w:val="1E1E1E"/>
          <w:sz w:val="18"/>
        </w:rPr>
        <w:t>É desnecessária a ratificação de recurso extraordinário interposto em momento anterior à apresentação de embargos declaratórios, pela parte contrária ou por litisconsorte, ao mesmo acórdão.</w:t>
      </w:r>
    </w:p>
    <w:p>
      <w:pPr>
        <w:ind w:left="288"/>
      </w:pPr>
      <w:r>
        <w:rPr>
          <w:b/>
          <w:color w:val="003CA0"/>
          <w:sz w:val="16"/>
        </w:rPr>
        <w:t>[AI 764.914 AgR, rel. min. Cezar Peluso, j. 2-2-2010, 2ª T, DJE de 17-9-2010.]</w:t>
      </w:r>
    </w:p>
    <w:p>
      <w:pPr>
        <w:ind w:left="288"/>
      </w:pPr>
      <w:r>
        <w:rPr>
          <w:color w:val="8C8C8C"/>
          <w:sz w:val="12"/>
        </w:rPr>
        <w:t>cf-art-102-inc-III</w:t>
      </w:r>
      <w:r>
        <w:rPr>
          <w:color w:val="003CA0"/>
          <w:sz w:val="12"/>
        </w:rPr>
        <w:t xml:space="preserve"> | AI 618.232</w:t>
      </w:r>
      <w:r>
        <w:rPr>
          <w:color w:val="003CA0"/>
          <w:sz w:val="12"/>
        </w:rPr>
        <w:t xml:space="preserve"> | rel. Cezar Peluso</w:t>
      </w:r>
    </w:p>
    <w:p>
      <w:pPr>
        <w:ind w:left="288"/>
      </w:pPr>
      <w:r>
        <w:rPr>
          <w:color w:val="1E1E1E"/>
          <w:sz w:val="18"/>
        </w:rPr>
        <w:t>Vide AI 618.232 AgR, rel. min. Cezar Peluso, j. 3-11-2009, 2ª T, DJE de 27-11-2009 Vide AI 748.414 AgR, rel. min. Joaquim Barbosa, j. 6-10-2009, 2ª T, DJE de 29-10-2009 Vide AI 723.265 AgR, rel. min. Eros Grau, j. 11-11-2008, 2ª T, DJE de 28-11-2008 Trata-se de agravo regimental interposto contra decisão que julgou prejudicado o recurso extraordinário, tendo em vista o provimento de recurso especial pelo STJ. O INSS alega que não interpôs recurso especial, mas somente recurso extraordinário, não sendo possível falar em prejudicialidade do recurso. Na origem, a União e o INSS são litisconsortes</w:t>
      </w:r>
    </w:p>
    <w:p>
      <w:pPr>
        <w:ind w:left="288"/>
      </w:pPr>
      <w:r>
        <w:rPr>
          <w:b/>
          <w:color w:val="003CA0"/>
          <w:sz w:val="16"/>
        </w:rPr>
        <w:t>[AI 736.320 ED, voto do rel. min. Gilmar Mendes, j. 16-12-2009, P, DJE de 12-2-2010.]</w:t>
      </w:r>
    </w:p>
    <w:p>
      <w:pPr>
        <w:ind w:left="288"/>
      </w:pPr>
      <w:r>
        <w:rPr>
          <w:color w:val="8C8C8C"/>
          <w:sz w:val="12"/>
        </w:rPr>
        <w:t>cf-art-102-inc-III</w:t>
      </w:r>
      <w:r>
        <w:rPr>
          <w:color w:val="003CA0"/>
          <w:sz w:val="12"/>
        </w:rPr>
        <w:t xml:space="preserve"> | RE 495.560</w:t>
      </w:r>
      <w:r>
        <w:rPr>
          <w:color w:val="003CA0"/>
          <w:sz w:val="12"/>
        </w:rPr>
        <w:t xml:space="preserve"> | rel. Marco Aurélio</w:t>
      </w:r>
    </w:p>
    <w:p>
      <w:pPr>
        <w:ind w:left="288"/>
      </w:pPr>
      <w:r>
        <w:rPr>
          <w:color w:val="1E1E1E"/>
          <w:sz w:val="18"/>
        </w:rPr>
        <w:t>Vide RE 495.560 AgR, rel. min. Marco Aurélio, j. 17-3-2009, 1ª T, DJE de 24-4-2009 Na apreciação do enquadramento do recurso extraordinário em um dos permissivos constitucionais, parte-se da moldura fática delineada pela Corte de origem. Impossível é pretender substituí-la para, a partir de fundamentos diversos, chegar-se a conclusão sobre a ofensa a dispositivo da Lei Básica Federal.</w:t>
      </w:r>
    </w:p>
    <w:p>
      <w:pPr>
        <w:ind w:left="288"/>
      </w:pPr>
      <w:r>
        <w:rPr>
          <w:b/>
          <w:color w:val="003CA0"/>
          <w:sz w:val="16"/>
        </w:rPr>
        <w:t>[AI 582.579 AgR, rel. min. Marco Aurélio, j. 15-12-2009, 1ª T, DJE de 19-3-2010.]</w:t>
      </w:r>
    </w:p>
    <w:p>
      <w:pPr>
        <w:ind w:left="288"/>
      </w:pPr>
      <w:r>
        <w:rPr>
          <w:color w:val="8C8C8C"/>
          <w:sz w:val="12"/>
        </w:rPr>
        <w:t>cf-art-102-inc-III</w:t>
      </w:r>
      <w:r>
        <w:rPr>
          <w:color w:val="003CA0"/>
          <w:sz w:val="12"/>
        </w:rPr>
        <w:t xml:space="preserve"> | RE 348.468</w:t>
      </w:r>
      <w:r>
        <w:rPr>
          <w:color w:val="003CA0"/>
          <w:sz w:val="12"/>
        </w:rPr>
        <w:t xml:space="preserve"> | rel. Gilmar Mendes</w:t>
      </w:r>
    </w:p>
    <w:p>
      <w:pPr>
        <w:ind w:left="288"/>
      </w:pPr>
      <w:r>
        <w:rPr>
          <w:color w:val="1E1E1E"/>
          <w:sz w:val="18"/>
        </w:rPr>
        <w:t>O poder de que dispõe qualquer juiz ou tribunal para deixar de aplicar a lei inconstitucional a determinado processo (...) pressupõe a invalidade da lei e, com isso, a sua nulidade. A faculdade de negar aplicação à lei inconstitucional corresponde ao direito do indivíduo de recusar-se a cumprir a lei inconstitucional, assegurando-se-lhe, em última instância, a possibilidade de interpor recurso extraordinário ao STF contra decisão judicial que se apresente, de alguma forma, em contradição com a Constituição (...). Tanto o poder do juiz de negar aplicação à lei inconstitucional  quanto a faculda</w:t>
      </w:r>
    </w:p>
    <w:p>
      <w:pPr>
        <w:ind w:left="288"/>
      </w:pPr>
      <w:r>
        <w:rPr>
          <w:b/>
          <w:color w:val="003CA0"/>
          <w:sz w:val="16"/>
        </w:rPr>
        <w:t>[RE 348.468, voto do rel. min. Gilmar Mendes, j. 15-12-2009, 2ª T, DJE de 19-2-2010.]</w:t>
      </w:r>
    </w:p>
    <w:p>
      <w:pPr>
        <w:ind w:left="288"/>
      </w:pPr>
      <w:r>
        <w:rPr>
          <w:color w:val="8C8C8C"/>
          <w:sz w:val="12"/>
        </w:rPr>
        <w:t>cf-art-102-inc-III</w:t>
      </w:r>
      <w:r>
        <w:rPr>
          <w:color w:val="003CA0"/>
          <w:sz w:val="12"/>
        </w:rPr>
        <w:t xml:space="preserve"> | AI 731.613</w:t>
      </w:r>
      <w:r>
        <w:rPr>
          <w:color w:val="003CA0"/>
          <w:sz w:val="12"/>
        </w:rPr>
        <w:t xml:space="preserve"> | rel. Celso de Mello</w:t>
      </w:r>
    </w:p>
    <w:p>
      <w:pPr>
        <w:ind w:left="288"/>
      </w:pPr>
      <w:r>
        <w:rPr>
          <w:color w:val="1E1E1E"/>
          <w:sz w:val="18"/>
        </w:rPr>
        <w:t>O princípio da unirrecorribilidade, ressalvadas as hipóteses legais, impede a cumulativa interposição, contra o mesmo ato decisório, de mais de um recurso. O desrespeito ao postulado da singularidade dos recursos torna insuscetíveis de conhecimento os demais recursos, quando interpostos contra a mesma decisão.</w:t>
      </w:r>
    </w:p>
    <w:p>
      <w:pPr>
        <w:ind w:left="288"/>
      </w:pPr>
      <w:r>
        <w:rPr>
          <w:b/>
          <w:color w:val="003CA0"/>
          <w:sz w:val="16"/>
        </w:rPr>
        <w:t>[AI 731.613 AgR, rel. min. Celso de Mello, j. 10-11-2009, 2ª T, DJE de 4-12-2009.]</w:t>
      </w:r>
    </w:p>
    <w:p>
      <w:pPr>
        <w:ind w:left="288"/>
      </w:pPr>
      <w:r>
        <w:rPr>
          <w:color w:val="8C8C8C"/>
          <w:sz w:val="12"/>
        </w:rPr>
        <w:t>cf-art-102-inc-III</w:t>
      </w:r>
      <w:r>
        <w:rPr>
          <w:color w:val="003CA0"/>
          <w:sz w:val="12"/>
        </w:rPr>
        <w:t xml:space="preserve"> | AI 715.215</w:t>
      </w:r>
      <w:r>
        <w:rPr>
          <w:color w:val="003CA0"/>
          <w:sz w:val="12"/>
        </w:rPr>
        <w:t xml:space="preserve"> | rel. Ricardo Lewandowski</w:t>
      </w:r>
    </w:p>
    <w:p>
      <w:pPr>
        <w:ind w:left="288"/>
      </w:pPr>
      <w:r>
        <w:rPr>
          <w:color w:val="1E1E1E"/>
          <w:sz w:val="18"/>
        </w:rPr>
        <w:t>= AI 715.215 AgR, rel. min. Ricardo Lewandowski, j. 24-8-2010, 1ª T, DJE de 24-9-2010 Vide RE 547.244 AgR, rel. min. Eros Grau, j. 3-3-2009, 2ª T, DJE de 27-3-2009 Salvo posterior ratificação, é extemporâneo o recurso extraordinário interposto antes da publicação do acórdão dos embargos de declaração, ainda que o julgamento destes não tenha implicado modificação substancial do teor do julgamento original.</w:t>
      </w:r>
    </w:p>
    <w:p>
      <w:pPr>
        <w:ind w:left="288"/>
      </w:pPr>
      <w:r>
        <w:rPr>
          <w:b/>
          <w:color w:val="003CA0"/>
          <w:sz w:val="16"/>
        </w:rPr>
        <w:t>[AI 618.232 AgR, rel. min. Cezar Peluso, j. 3-11-2009, 2ª T, DJE de 27-11-2009.]</w:t>
      </w:r>
    </w:p>
    <w:p>
      <w:pPr>
        <w:ind w:left="288"/>
      </w:pPr>
      <w:r>
        <w:rPr>
          <w:color w:val="8C8C8C"/>
          <w:sz w:val="12"/>
        </w:rPr>
        <w:t>cf-art-102-inc-III</w:t>
      </w:r>
      <w:r>
        <w:rPr>
          <w:color w:val="003CA0"/>
          <w:sz w:val="12"/>
        </w:rPr>
        <w:t xml:space="preserve"> | AI 761.754</w:t>
      </w:r>
      <w:r>
        <w:rPr>
          <w:color w:val="003CA0"/>
          <w:sz w:val="12"/>
        </w:rPr>
        <w:t xml:space="preserve"> | rel. Ricardo Lewandowski</w:t>
      </w:r>
    </w:p>
    <w:p>
      <w:pPr>
        <w:ind w:left="288"/>
      </w:pPr>
      <w:r>
        <w:rPr>
          <w:color w:val="1E1E1E"/>
          <w:sz w:val="18"/>
        </w:rPr>
        <w:t>= AI 761.754 AgR, rel. min. Ricardo Lewandowski, j. 24-8-2010, 1ª T, DJE de 10-9-2010 Vide AI 764.914 AgR, rel. min. Cezar Peluso, j. 2-2-2010, 2ª T, DJE de 17-9-2010 Vide AI 748.414 AgR, rel. min. Joaquim Barbosa, j. 6-10-2009, 2ª T, DJE de 29-10-2009 Vide AI 723.265 AgR, rel. min. Eros Grau, j. 11-11-2008, 2ª T, DJE de 28-11-2008 O recurso extraordinário é intempestivo, porquanto interposto simultaneamente aos embargos de declaração, sem que se tenha notícia nos autos de sua posterior ratificação. O entendimento desta Corte é no sentido de que o prazo para interposição de recurso se inicia c</w:t>
      </w:r>
    </w:p>
    <w:p>
      <w:pPr>
        <w:ind w:left="288"/>
      </w:pPr>
      <w:r>
        <w:rPr>
          <w:b/>
          <w:color w:val="003CA0"/>
          <w:sz w:val="16"/>
        </w:rPr>
        <w:t>[AI 748.414 AgR, rel. min. Joaquim Barbosa, j. 6-10-2009, 2ª T, DJE de 29-10-2009.]</w:t>
      </w:r>
    </w:p>
    <w:p>
      <w:pPr>
        <w:ind w:left="288"/>
      </w:pPr>
      <w:r>
        <w:rPr>
          <w:color w:val="8C8C8C"/>
          <w:sz w:val="12"/>
        </w:rPr>
        <w:t>cf-art-102-inc-III</w:t>
      </w:r>
      <w:r>
        <w:rPr>
          <w:color w:val="003CA0"/>
          <w:sz w:val="12"/>
        </w:rPr>
        <w:t xml:space="preserve"> | RE 510.633</w:t>
      </w:r>
      <w:r>
        <w:rPr>
          <w:color w:val="003CA0"/>
          <w:sz w:val="12"/>
        </w:rPr>
        <w:t xml:space="preserve"> | rel. Marco Aurélio</w:t>
      </w:r>
    </w:p>
    <w:p>
      <w:pPr>
        <w:ind w:left="288"/>
      </w:pPr>
      <w:r>
        <w:rPr>
          <w:color w:val="1E1E1E"/>
          <w:sz w:val="18"/>
        </w:rPr>
        <w:t xml:space="preserve">≠ RE 510.633 AgR, voto do rel. min. Marco Aurélio, j. 13-4-2011, 1ª T, DJE de 18-5-2011 Vide AI 658.519 AgR-ED, rel. min. Ayres Britto, j. 7-6-2011, 2ª T, DJE de 9-9-2011 Vide AI 764.914 AgR, rel. min. Cezar Peluso, j. 2-2-2010, 2ª T, DJE de 17-9-2010 Vide AI 618.232 AgR, rel. min. Cezar Peluso, j. 3-11-2009, 2ª T, DJE de 27-11-2009 Vide AI 723.265 AgR, rel. min. Eros Grau, j. 11-11-2008, 2ª T, DJE de 28-11-2008 A competência deferida ao relator para, monocraticamente, julgar recurso manifestamente inadmissível, improcedente ou contrário à jurisprudência desta Corte não derroga o princípio da </w:t>
      </w:r>
    </w:p>
    <w:p>
      <w:pPr>
        <w:ind w:left="288"/>
      </w:pPr>
      <w:r>
        <w:rPr>
          <w:b/>
          <w:color w:val="003CA0"/>
          <w:sz w:val="16"/>
        </w:rPr>
        <w:t>[AI 684.893 AgR, rel. min. Ellen Gracie, j. 6-10-2009, 2ª T, DJE de 29-10-2009.]</w:t>
      </w:r>
    </w:p>
    <w:p>
      <w:pPr>
        <w:ind w:left="288"/>
      </w:pPr>
      <w:r>
        <w:rPr>
          <w:color w:val="8C8C8C"/>
          <w:sz w:val="12"/>
        </w:rPr>
        <w:t>cf-art-102-inc-III</w:t>
      </w:r>
      <w:r>
        <w:rPr>
          <w:color w:val="003CA0"/>
          <w:sz w:val="12"/>
        </w:rPr>
        <w:t xml:space="preserve"> | HC 84.486</w:t>
      </w:r>
      <w:r>
        <w:rPr>
          <w:color w:val="003CA0"/>
          <w:sz w:val="12"/>
        </w:rPr>
        <w:t xml:space="preserve"> | rel. Celso de Mello</w:t>
      </w:r>
    </w:p>
    <w:p>
      <w:pPr>
        <w:ind w:left="288"/>
      </w:pPr>
      <w:r>
        <w:rPr>
          <w:color w:val="1E1E1E"/>
          <w:sz w:val="18"/>
        </w:rPr>
        <w:t>Vide HC 84.486 AgR, rel. min. Celso de Mello, j. 1º-6-2010, 2ª T, DJE de 6-8-2010 Vide HC 93.401, rel. min. Ayres Britto, j. 16-9-2008, 1ª T, DJE de 31-10-2008 Ação cautelar. Recurso extraordinário. Empréstimo de eficácia suspensiva. Estando submetido ao Plenário o tema versado no extraordinário, com voto favorável à tese sustentada pela autora, cumpre concluir pela relevância do pedido de empréstimo suspensivo ao extraordinário e do risco de manter-se com eficácia quadro decisório.</w:t>
      </w:r>
    </w:p>
    <w:p>
      <w:pPr>
        <w:ind w:left="288"/>
      </w:pPr>
      <w:r>
        <w:rPr>
          <w:b/>
          <w:color w:val="003CA0"/>
          <w:sz w:val="16"/>
        </w:rPr>
        <w:t>[AC 2.338 MC-REF, rel. min. Marco Aurélio, j. 16-9-2009, P, DJE de 16-10-2009.]</w:t>
      </w:r>
    </w:p>
    <w:p>
      <w:pPr>
        <w:ind w:left="288"/>
      </w:pPr>
      <w:r>
        <w:rPr>
          <w:color w:val="8C8C8C"/>
          <w:sz w:val="12"/>
        </w:rPr>
        <w:t>cf-art-102-inc-III</w:t>
      </w:r>
      <w:r>
        <w:rPr>
          <w:color w:val="003CA0"/>
          <w:sz w:val="12"/>
        </w:rPr>
        <w:t xml:space="preserve"> | AC 1.693</w:t>
      </w:r>
      <w:r>
        <w:rPr>
          <w:color w:val="003CA0"/>
          <w:sz w:val="12"/>
        </w:rPr>
        <w:t xml:space="preserve"> | rel. Gilmar Mendes</w:t>
      </w:r>
    </w:p>
    <w:p>
      <w:pPr>
        <w:ind w:left="288"/>
      </w:pPr>
      <w:r>
        <w:rPr>
          <w:color w:val="1E1E1E"/>
          <w:sz w:val="18"/>
        </w:rPr>
        <w:t>= AC 1.693 QO, rel. min. Gilmar Mendes, j. 26-6-2007, 2ª T, DJ de 24-8-2007 Vide AC 2.277 MC-AgR, rel. min. Joaquim Barbosa, j. 19-5-2009, 2ª T, DJE de 1º-7-2009 A jurisprudência do STF firmou-se no sentido de que o ajuizamento de recurso manifestamente incabível não suspende o prazo para a interposição do recurso extraordinário.</w:t>
      </w:r>
    </w:p>
    <w:p>
      <w:pPr>
        <w:ind w:left="288"/>
      </w:pPr>
      <w:r>
        <w:rPr>
          <w:b/>
          <w:color w:val="003CA0"/>
          <w:sz w:val="16"/>
        </w:rPr>
        <w:t>[AI 749.031 AgR, rel. min. Cármen Lúcia, j. 25-8-2009, 1ª T, DJE de 29-10-2009.]</w:t>
      </w:r>
    </w:p>
    <w:p>
      <w:pPr>
        <w:ind w:left="288"/>
      </w:pPr>
      <w:r>
        <w:rPr>
          <w:color w:val="8C8C8C"/>
          <w:sz w:val="12"/>
        </w:rPr>
        <w:t>cf-art-102-inc-III</w:t>
      </w:r>
      <w:r>
        <w:rPr>
          <w:color w:val="003CA0"/>
          <w:sz w:val="12"/>
        </w:rPr>
        <w:t xml:space="preserve"> | AI 768.560</w:t>
      </w:r>
      <w:r>
        <w:rPr>
          <w:color w:val="003CA0"/>
          <w:sz w:val="12"/>
        </w:rPr>
        <w:t xml:space="preserve"> | rel. Cezar Peluso</w:t>
      </w:r>
    </w:p>
    <w:p>
      <w:pPr>
        <w:ind w:left="288"/>
      </w:pPr>
      <w:r>
        <w:rPr>
          <w:color w:val="1E1E1E"/>
          <w:sz w:val="18"/>
        </w:rPr>
        <w:t>= AI 768.560, rel. min. Cezar Peluso, j. 1º-12-2009, 2ª T, DJE de 18-12-2009 O estado de sucumbência – que reflete situação de maior ou de menor lesividade gerada pela decisão judicial – qualifica-se como pressuposto recursal genérico e comum a todos os recursos, ordinários ou extraordinários, de tal modo que, inocorrendo qualquer gravame causado pelo ato decisório, deixa de existir o interesse de recorrer, cujo reconhecimento, para legitimar a interposição recursal, impõe a cumulativa satisfação, pela parte que recorre, dos requisitos da necessidade e da utilidade do recurso deduzido.</w:t>
      </w:r>
    </w:p>
    <w:p>
      <w:pPr>
        <w:ind w:left="288"/>
      </w:pPr>
      <w:r>
        <w:rPr>
          <w:b/>
          <w:color w:val="003CA0"/>
          <w:sz w:val="16"/>
        </w:rPr>
        <w:t>[RE 599.714 AgR, rel. min. Celso de Mello, j. 25-8-2009, 2ª T, DJE de 18-9-2009.]</w:t>
      </w:r>
    </w:p>
    <w:p>
      <w:pPr>
        <w:ind w:left="288"/>
      </w:pPr>
      <w:r>
        <w:rPr>
          <w:color w:val="8C8C8C"/>
          <w:sz w:val="12"/>
        </w:rPr>
        <w:t>cf-art-102-inc-III</w:t>
      </w:r>
      <w:r>
        <w:rPr>
          <w:color w:val="003CA0"/>
          <w:sz w:val="12"/>
        </w:rPr>
        <w:t xml:space="preserve"> | AI 750.943</w:t>
      </w:r>
      <w:r>
        <w:rPr>
          <w:color w:val="003CA0"/>
          <w:sz w:val="12"/>
        </w:rPr>
        <w:t xml:space="preserve"> | rel. Celso de Mello</w:t>
      </w:r>
    </w:p>
    <w:p>
      <w:pPr>
        <w:ind w:left="288"/>
      </w:pPr>
      <w:r>
        <w:rPr>
          <w:color w:val="1E1E1E"/>
          <w:sz w:val="18"/>
        </w:rPr>
        <w:t>Os prazos recursais são peremptórios e preclusivos (RT 473/200 – RT 504/217 – RT 611/155 – RT 698/209 – RF 251/244). Com o decurso, in albis, do prazo legal, extingue-se, de pleno direito, quanto à parte sucumbente, a faculdade processual de interpor, em tempo legalmente oportuno, o recurso pertinente. A tempestividade – que se qualifica como pressuposto objetivo inerente a qualquer modalidade recursal – constitui matéria de ordem pública, passível, por isso mesmo, de conhecimento ex officio pelos juízes e tribunais. A inobservância desse requisito de ordem temporal, pela parte recorrente, pro</w:t>
      </w:r>
    </w:p>
    <w:p>
      <w:pPr>
        <w:ind w:left="288"/>
      </w:pPr>
      <w:r>
        <w:rPr>
          <w:b/>
          <w:color w:val="003CA0"/>
          <w:sz w:val="16"/>
        </w:rPr>
        <w:t>[AI 750.943 AgR, rel. min. Celso de Mello, j. 25-8-2009, 2ª T, DJE de 18-9-2009.]</w:t>
      </w:r>
    </w:p>
    <w:p>
      <w:pPr>
        <w:ind w:left="288"/>
      </w:pPr>
      <w:r>
        <w:rPr>
          <w:color w:val="8C8C8C"/>
          <w:sz w:val="12"/>
        </w:rPr>
        <w:t>cf-art-102-inc-III</w:t>
      </w:r>
      <w:r>
        <w:rPr>
          <w:color w:val="003CA0"/>
          <w:sz w:val="12"/>
        </w:rPr>
        <w:t xml:space="preserve"> | AI 483.783</w:t>
      </w:r>
      <w:r>
        <w:rPr>
          <w:color w:val="003CA0"/>
          <w:sz w:val="12"/>
        </w:rPr>
        <w:t xml:space="preserve"> | rel. Ellen Gracie</w:t>
      </w:r>
    </w:p>
    <w:p>
      <w:pPr>
        <w:ind w:left="288"/>
      </w:pPr>
      <w:r>
        <w:rPr>
          <w:color w:val="1E1E1E"/>
          <w:sz w:val="18"/>
        </w:rPr>
        <w:t>O processamento do extraordinário é inviável para debater matéria processual relativa a pressuposto de admissibilidade de ação rescisória.</w:t>
      </w:r>
    </w:p>
    <w:p>
      <w:pPr>
        <w:ind w:left="288"/>
      </w:pPr>
      <w:r>
        <w:rPr>
          <w:b/>
          <w:color w:val="003CA0"/>
          <w:sz w:val="16"/>
        </w:rPr>
        <w:t>[AI 483.783 AgR, rel. min. Ellen Gracie, j. 4-8-2009, 2ª T, DJE de 28-8-2009.]</w:t>
      </w:r>
    </w:p>
    <w:p>
      <w:pPr>
        <w:ind w:left="288"/>
      </w:pPr>
      <w:r>
        <w:rPr>
          <w:color w:val="8C8C8C"/>
          <w:sz w:val="12"/>
        </w:rPr>
        <w:t>cf-art-102-inc-III</w:t>
      </w:r>
      <w:r>
        <w:rPr>
          <w:color w:val="003CA0"/>
          <w:sz w:val="12"/>
        </w:rPr>
        <w:t xml:space="preserve"> | AI 825.094</w:t>
      </w:r>
      <w:r>
        <w:rPr>
          <w:color w:val="003CA0"/>
          <w:sz w:val="12"/>
        </w:rPr>
        <w:t xml:space="preserve"> | rel. Ricardo Lewandowski</w:t>
      </w:r>
    </w:p>
    <w:p>
      <w:pPr>
        <w:ind w:left="288"/>
      </w:pPr>
      <w:r>
        <w:rPr>
          <w:color w:val="1E1E1E"/>
          <w:sz w:val="18"/>
        </w:rPr>
        <w:t>= AI 825.094 AgR, rel. min. Ricardo Lewandowski, j. 15-2-2011, 1ª T, DJE de 4-3-2011 Aplicação das Súmulas 634 e 635. Enquanto não admitido o recurso extraordinário, ou provido agravo contra decisão que o não admite, não se instaura a competência do STF para apreciar pedido de tutela cautelar tendente a atribuir efeito suspensivo ao extraordinário.</w:t>
      </w:r>
    </w:p>
    <w:p>
      <w:pPr>
        <w:ind w:left="288"/>
      </w:pPr>
      <w:r>
        <w:rPr>
          <w:b/>
          <w:color w:val="003CA0"/>
          <w:sz w:val="16"/>
        </w:rPr>
        <w:t>[AC 2.240 AgR, rel. min. Cezar Peluso, j. 1º-7-2009, P, DJE de 9-4-2010.]</w:t>
      </w:r>
    </w:p>
    <w:p>
      <w:pPr>
        <w:ind w:left="288"/>
      </w:pPr>
      <w:r>
        <w:rPr>
          <w:color w:val="8C8C8C"/>
          <w:sz w:val="12"/>
        </w:rPr>
        <w:t>cf-art-102-inc-III</w:t>
      </w:r>
      <w:r>
        <w:rPr>
          <w:color w:val="003CA0"/>
          <w:sz w:val="12"/>
        </w:rPr>
        <w:t xml:space="preserve"> | AC 2.751</w:t>
      </w:r>
      <w:r>
        <w:rPr>
          <w:color w:val="003CA0"/>
          <w:sz w:val="12"/>
        </w:rPr>
        <w:t xml:space="preserve"> | rel. Ayres Britto</w:t>
      </w:r>
    </w:p>
    <w:p>
      <w:pPr>
        <w:ind w:left="288"/>
      </w:pPr>
      <w:r>
        <w:rPr>
          <w:color w:val="1E1E1E"/>
          <w:sz w:val="18"/>
        </w:rPr>
        <w:t>= AC 2.751 AgR, rel. min. Ayres Britto, j. 15-2-2011, 2ª T, DJE de 2-3-2011 Vide AC 1.872 AgR, rel. min. Dias Toffoli, j. 6-4-2010, 1ª T, DJE de 30-4-2010 Vide AC 2.177 QO-MC, rel. min. Ellen Gracie, j. 12-11-2008, P, DJE de 20-2-2009 Vide AC 2.168 MC-REF, rel. min. Celso de Mello, j. 4-11-2008, 2ª T, DJE de 19-9-2013 Vide AC 1.810 QO, rel. min. Celso de Mello, j. 16-10-2007, 2ª T, DJ de 31-10-2007 Vide AC 1.770 QO, rel. min. Gilmar Mendes, j. 18-9-2007, 2ª T, DJ de 19-10-2007 Vide AC 1.641 QO, rel. min. Celso de Mello, j. 7-8-2007, 2ª T, DJE de 12-12-2008 Vide AC 510 AgR, rel. min. Cezar Pelu</w:t>
      </w:r>
    </w:p>
    <w:p>
      <w:pPr>
        <w:ind w:left="288"/>
      </w:pPr>
      <w:r>
        <w:rPr>
          <w:b/>
          <w:color w:val="003CA0"/>
          <w:sz w:val="16"/>
        </w:rPr>
        <w:t>[SS 3.652 AgR, SS 3.659 AgR, SS 3.660 AgR, SS 3.696 AgR e SS 3.697 AgR, voto do rel. min. Gilmar Mendes, j. 1º-7-2009, P, DJE de 21-8-2009.]</w:t>
      </w:r>
    </w:p>
    <w:p>
      <w:pPr>
        <w:ind w:left="288"/>
      </w:pPr>
      <w:r>
        <w:rPr>
          <w:color w:val="8C8C8C"/>
          <w:sz w:val="12"/>
        </w:rPr>
        <w:t>cf-art-102-inc-III</w:t>
      </w:r>
      <w:r>
        <w:rPr>
          <w:color w:val="003CA0"/>
          <w:sz w:val="12"/>
        </w:rPr>
        <w:t xml:space="preserve"> | AC 2.277</w:t>
      </w:r>
      <w:r>
        <w:rPr>
          <w:color w:val="003CA0"/>
          <w:sz w:val="12"/>
        </w:rPr>
        <w:t xml:space="preserve"> | rel. Joaquim Barbosa</w:t>
      </w:r>
    </w:p>
    <w:p>
      <w:pPr>
        <w:ind w:left="288"/>
      </w:pPr>
      <w:r>
        <w:rPr>
          <w:color w:val="1E1E1E"/>
          <w:sz w:val="18"/>
        </w:rPr>
        <w:t>A concessão de efeito suspensivo ao recurso extraordinário é medida excepcional, que se justifica pelo risco de ineficácia da prestação jurisdicional e pela densa plausibilidade das teses arregimentadas no recurso.</w:t>
      </w:r>
    </w:p>
    <w:p>
      <w:pPr>
        <w:ind w:left="288"/>
      </w:pPr>
      <w:r>
        <w:rPr>
          <w:b/>
          <w:color w:val="003CA0"/>
          <w:sz w:val="16"/>
        </w:rPr>
        <w:t>[AC 2.277 MC-AgR, rel. min. Joaquim Barbosa, j. 19-5-2009, 2ª T, DJE de 1º-7-2009.]</w:t>
      </w:r>
    </w:p>
    <w:p>
      <w:pPr>
        <w:ind w:left="288"/>
      </w:pPr>
      <w:r>
        <w:rPr>
          <w:color w:val="8C8C8C"/>
          <w:sz w:val="12"/>
        </w:rPr>
        <w:t>cf-art-102-inc-III</w:t>
      </w:r>
      <w:r>
        <w:rPr>
          <w:color w:val="003CA0"/>
          <w:sz w:val="12"/>
        </w:rPr>
        <w:t xml:space="preserve"> | AC 2.902</w:t>
      </w:r>
      <w:r>
        <w:rPr>
          <w:color w:val="003CA0"/>
          <w:sz w:val="12"/>
        </w:rPr>
        <w:t xml:space="preserve"> | rel. Cármen Lúcia</w:t>
      </w:r>
    </w:p>
    <w:p>
      <w:pPr>
        <w:ind w:left="288"/>
      </w:pPr>
      <w:r>
        <w:rPr>
          <w:color w:val="1E1E1E"/>
          <w:sz w:val="18"/>
        </w:rPr>
        <w:t>= AC 2.902 AgR, rel. min. Cármen Lúcia, j. 2-8-2011, 1ª T, DJE de 22-8-2011 Vide AC 1.693 QO, rel. min. Gilmar Mendes, j. 26-6-2007, 2ª T, DJ de 24-8-2007 Compete ao STF o exame da tempestividade do recurso extraordinário.</w:t>
      </w:r>
    </w:p>
    <w:p>
      <w:pPr>
        <w:ind w:left="288"/>
      </w:pPr>
      <w:r>
        <w:rPr>
          <w:b/>
          <w:color w:val="003CA0"/>
          <w:sz w:val="16"/>
        </w:rPr>
        <w:t>[AI 742.754 AgR, rel. min. Cármen Lúcia, j. 19-5-2009, 1ª T, DJE de 26-6-2009.]</w:t>
      </w:r>
    </w:p>
    <w:p>
      <w:pPr>
        <w:ind w:left="288"/>
      </w:pPr>
      <w:r>
        <w:rPr>
          <w:color w:val="8C8C8C"/>
          <w:sz w:val="12"/>
        </w:rPr>
        <w:t>cf-art-102-inc-III</w:t>
      </w:r>
      <w:r>
        <w:rPr>
          <w:color w:val="003CA0"/>
          <w:sz w:val="12"/>
        </w:rPr>
        <w:t xml:space="preserve"> | AI 731.638</w:t>
      </w:r>
      <w:r>
        <w:rPr>
          <w:color w:val="003CA0"/>
          <w:sz w:val="12"/>
        </w:rPr>
        <w:t xml:space="preserve"> | rel. Gilmar Mendes</w:t>
      </w:r>
    </w:p>
    <w:p>
      <w:pPr>
        <w:ind w:left="288"/>
      </w:pPr>
      <w:r>
        <w:rPr>
          <w:color w:val="1E1E1E"/>
          <w:sz w:val="18"/>
        </w:rPr>
        <w:t>= AI 731.638 AgR, rel. min. Gilmar Mendes, j. 2-4-2009, P, DJE de 15-5-2009 Vide AI 778.432 AgR, rel. min. Dias Toffoli, j. 17-8-2010, 1ª T, DJE de 9-11-2010 Interposição simultânea de recurso especial e extraordinário: desnecessidade de aguardar o julgamento do recurso especial quando não são admitidos ambos os recursos.</w:t>
      </w:r>
    </w:p>
    <w:p>
      <w:pPr>
        <w:ind w:left="288"/>
      </w:pPr>
      <w:r>
        <w:rPr>
          <w:b/>
          <w:color w:val="003CA0"/>
          <w:sz w:val="16"/>
        </w:rPr>
        <w:t>[AI 584.364 ED, rel. min. Cármen Lúcia, j. 7-4-2009, 1ª T, DJE de 15-5-2009.]</w:t>
      </w:r>
    </w:p>
    <w:p>
      <w:pPr>
        <w:ind w:left="288"/>
      </w:pPr>
      <w:r>
        <w:rPr>
          <w:color w:val="8C8C8C"/>
          <w:sz w:val="12"/>
        </w:rPr>
        <w:t>cf-art-102-inc-III</w:t>
      </w:r>
      <w:r>
        <w:rPr>
          <w:color w:val="003CA0"/>
          <w:sz w:val="12"/>
        </w:rPr>
        <w:t xml:space="preserve"> | RCL 9.645</w:t>
      </w:r>
      <w:r>
        <w:rPr>
          <w:color w:val="003CA0"/>
          <w:sz w:val="12"/>
        </w:rPr>
        <w:t xml:space="preserve"> | rel. Ricardo Lewandowski</w:t>
      </w:r>
    </w:p>
    <w:p>
      <w:pPr>
        <w:ind w:left="288"/>
      </w:pPr>
      <w:r>
        <w:rPr>
          <w:color w:val="1E1E1E"/>
          <w:sz w:val="18"/>
        </w:rPr>
        <w:t>Vide Rcl 9.645 AgR, rel. min. Ricardo Lewandowski, j. 9-12-2010, P, DJE de 9-2-2011 Vide AI 785.236 AgR, rel. min. Ricardo Lewandowski, j. 1º-6-2010, 1ª T, DJE de 13-8-2010 Recurso. Interposição simultânea do especial e do extraordinário. Prejuízo. Ocorre o prejuízo do extraordinário quando o recorrente haja logrado êxito no julgamento do especial. O Direito é orgânico e dinâmico, sendo certo que, à luz do disposto no art. 512 do CPC, o julgamento proferido pelo Tribunal substituiria a sentença ou a decisão recorrida objeto do recurso.</w:t>
      </w:r>
    </w:p>
    <w:p>
      <w:pPr>
        <w:ind w:left="288"/>
      </w:pPr>
      <w:r>
        <w:rPr>
          <w:b/>
          <w:color w:val="003CA0"/>
          <w:sz w:val="16"/>
        </w:rPr>
        <w:t>[RE 495.560 AgR, rel. min. Marco Aurélio, j. 17-3-2009, 1ª T, DJE de 24-4-2009.]</w:t>
      </w:r>
    </w:p>
    <w:p>
      <w:pPr>
        <w:ind w:left="288"/>
      </w:pPr>
      <w:r>
        <w:rPr>
          <w:color w:val="8C8C8C"/>
          <w:sz w:val="12"/>
        </w:rPr>
        <w:t>cf-art-102-inc-III</w:t>
      </w:r>
      <w:r>
        <w:rPr>
          <w:color w:val="003CA0"/>
          <w:sz w:val="12"/>
        </w:rPr>
        <w:t xml:space="preserve"> | AI 262.581</w:t>
      </w:r>
      <w:r>
        <w:rPr>
          <w:color w:val="003CA0"/>
          <w:sz w:val="12"/>
        </w:rPr>
        <w:t xml:space="preserve"> | rel. Ayres Britto</w:t>
      </w:r>
    </w:p>
    <w:p>
      <w:pPr>
        <w:ind w:left="288"/>
      </w:pPr>
      <w:r>
        <w:rPr>
          <w:color w:val="1E1E1E"/>
          <w:sz w:val="18"/>
        </w:rPr>
        <w:t>= AI 262.581 AgR, rel. min. Ayres Britto, j. 17-8-2010, 2ª T, DJE de 17-9-2010 Vide RE 505.921 AgR, rel. min. Marco Aurélio, j. 13-4-2011, 1ª T, DJE de 18-5-2011 Vide AI 736.320 ED, rel. min. Gilmar Mendes, j. 16-12-2009, P, DJE de 12-2-2010 Vide RE 458.129 AgR, rel. min. Eros Grau, j. 14-8-2007, 2ª T, DJE de 19-10-2007 É intempestivo o recurso extraordinário cuja petição de ratificação foi apresentada fora do prazo recursal.</w:t>
      </w:r>
    </w:p>
    <w:p>
      <w:pPr>
        <w:ind w:left="288"/>
      </w:pPr>
      <w:r>
        <w:rPr>
          <w:b/>
          <w:color w:val="003CA0"/>
          <w:sz w:val="16"/>
        </w:rPr>
        <w:t>[AI 715.299 AgR, rel. min. Menezes Direito, j. 3-3-2009, 1ª T, DJE de 24-4-2009.]</w:t>
      </w:r>
    </w:p>
    <w:p>
      <w:pPr>
        <w:ind w:left="288"/>
      </w:pPr>
      <w:r>
        <w:rPr>
          <w:color w:val="8C8C8C"/>
          <w:sz w:val="12"/>
        </w:rPr>
        <w:t>cf-art-102-inc-III</w:t>
      </w:r>
      <w:r>
        <w:rPr>
          <w:color w:val="003CA0"/>
          <w:sz w:val="12"/>
        </w:rPr>
        <w:t xml:space="preserve"> | RE 343.041</w:t>
      </w:r>
      <w:r>
        <w:rPr>
          <w:color w:val="003CA0"/>
          <w:sz w:val="12"/>
        </w:rPr>
        <w:t xml:space="preserve"> | rel. Dias Toffoli</w:t>
      </w:r>
    </w:p>
    <w:p>
      <w:pPr>
        <w:ind w:left="288"/>
      </w:pPr>
      <w:r>
        <w:rPr>
          <w:color w:val="1E1E1E"/>
          <w:sz w:val="18"/>
        </w:rPr>
        <w:t>= RE 343.041 AgR, rel. min. Dias Toffoli, j. 19-10-2010, 1ª T, DJE de 14-3-2011 Interposição de recurso extraordinário simultaneamente à dos embargos de divergência. Impossibilidade. O princípio da unirrecorribilidade estava expressamente previsto no CPC de 1939 e foi implicitamente acolhido pela legislação processual vigente, em razão da sistemática por ela inaugurada e da cogente observância da regra da adequação dos recursos. Embargos de divergência e recurso extraordinário. Interposição simultânea contra uma mesma decisão. Impossibilidade. Enquanto não apreciados os embargos opostos pela p</w:t>
      </w:r>
    </w:p>
    <w:p>
      <w:pPr>
        <w:ind w:left="288"/>
      </w:pPr>
      <w:r>
        <w:rPr>
          <w:b/>
          <w:color w:val="003CA0"/>
          <w:sz w:val="16"/>
        </w:rPr>
        <w:t>[RE 547.244 AgR, rel. min. Eros Grau, j. 3-3-2009, 2ª T, DJE de 27-3-2009.]</w:t>
      </w:r>
    </w:p>
    <w:p>
      <w:pPr>
        <w:ind w:left="288"/>
      </w:pPr>
      <w:r>
        <w:rPr>
          <w:color w:val="8C8C8C"/>
          <w:sz w:val="12"/>
        </w:rPr>
        <w:t>cf-art-102-inc-III</w:t>
      </w:r>
      <w:r>
        <w:rPr>
          <w:color w:val="003CA0"/>
          <w:sz w:val="12"/>
        </w:rPr>
        <w:t xml:space="preserve"> | ARE 638.106</w:t>
      </w:r>
      <w:r>
        <w:rPr>
          <w:color w:val="003CA0"/>
          <w:sz w:val="12"/>
        </w:rPr>
        <w:t xml:space="preserve"> | rel. Celso de Mello</w:t>
      </w:r>
    </w:p>
    <w:p>
      <w:pPr>
        <w:ind w:left="288"/>
      </w:pPr>
      <w:r>
        <w:rPr>
          <w:color w:val="1E1E1E"/>
          <w:sz w:val="18"/>
        </w:rPr>
        <w:t>= ARE 638.106, rel. min. Celso de Mello, j. 10-3-2014, dec. monocrática, DJE de 18-3-2014 Recurso. Extraordinário. Retido. Inadmissibilidade. Interposição contra decisão que defere medida liminar. (...) Interpretação do art. 542, § 3º, do CPC. Aplicação da Súmula 735. Precedentes. O disposto no art. 542, § 3º, do CPC não pode ser interpretado de modo absoluto, mas não autoriza interposição de recurso extraordinário contra decisão que defere medida liminar.</w:t>
      </w:r>
    </w:p>
    <w:p>
      <w:pPr>
        <w:ind w:left="288"/>
      </w:pPr>
      <w:r>
        <w:rPr>
          <w:b/>
          <w:color w:val="003CA0"/>
          <w:sz w:val="16"/>
        </w:rPr>
        <w:t>[AC 1.745 AgR, rel. min. Cezar Peluso, j. 2-12-2008, 2ª T, DJE de 6-2-2009.]</w:t>
      </w:r>
    </w:p>
    <w:p>
      <w:pPr>
        <w:ind w:left="288"/>
      </w:pPr>
      <w:r>
        <w:rPr>
          <w:color w:val="8C8C8C"/>
          <w:sz w:val="12"/>
        </w:rPr>
        <w:t>cf-art-102-inc-III</w:t>
      </w:r>
      <w:r>
        <w:rPr>
          <w:color w:val="003CA0"/>
          <w:sz w:val="12"/>
        </w:rPr>
        <w:t xml:space="preserve"> | AC 1.843</w:t>
      </w:r>
      <w:r>
        <w:rPr>
          <w:color w:val="003CA0"/>
          <w:sz w:val="12"/>
        </w:rPr>
        <w:t xml:space="preserve"> | rel. Cármen Lúcia</w:t>
      </w:r>
    </w:p>
    <w:p>
      <w:pPr>
        <w:ind w:left="288"/>
      </w:pPr>
      <w:r>
        <w:rPr>
          <w:color w:val="1E1E1E"/>
          <w:sz w:val="18"/>
        </w:rPr>
        <w:t>= AC 1.843 AgR, rel. min. Cármen Lúcia, j. 24-6-2010, P, DJE de 13-8-2010 Vide AI 252.382 AgR, rel. min. Moreira Alves, j. 15-2-2000, 1ª T, DJ de 24-3-2000 Este Tribunal fixou entendimento no sentido de que é extemporâneo o recurso protocolado antes da publicação da decisão agravada, sem posterior ratificação.</w:t>
      </w:r>
    </w:p>
    <w:p>
      <w:pPr>
        <w:ind w:left="288"/>
      </w:pPr>
      <w:r>
        <w:rPr>
          <w:b/>
          <w:color w:val="003CA0"/>
          <w:sz w:val="16"/>
        </w:rPr>
        <w:t>[AI 723.265 AgR, rel. min. Eros Grau, j. 11-11-2008, 2ª T, DJE de 28-11-2008.]</w:t>
      </w:r>
    </w:p>
    <w:p>
      <w:pPr>
        <w:ind w:left="288"/>
      </w:pPr>
      <w:r>
        <w:rPr>
          <w:color w:val="8C8C8C"/>
          <w:sz w:val="12"/>
        </w:rPr>
        <w:t>cf-art-102-inc-III</w:t>
      </w:r>
      <w:r>
        <w:rPr>
          <w:color w:val="003CA0"/>
          <w:sz w:val="12"/>
        </w:rPr>
        <w:t xml:space="preserve"> | AI 764.914</w:t>
      </w:r>
      <w:r>
        <w:rPr>
          <w:color w:val="003CA0"/>
          <w:sz w:val="12"/>
        </w:rPr>
        <w:t xml:space="preserve"> | rel. Cezar Peluso</w:t>
      </w:r>
    </w:p>
    <w:p>
      <w:pPr>
        <w:ind w:left="288"/>
      </w:pPr>
      <w:r>
        <w:rPr>
          <w:color w:val="1E1E1E"/>
          <w:sz w:val="18"/>
        </w:rPr>
        <w:t>Vide AI 764.914 AgR, rel. min. Cezar Peluso, j. 2-2-2010, 2ª T, DJE de 17-9-2010 Vide AI 618.232 AgR, rel. min. Cezar Peluso, j. 3-11-2009, 2ª T, DJE de 27-11-2009 Vide AI 748.414 AgR, rel. min. Joaquim Barbosa, j. 6-10-2009, 2ª T, DJE de 29-10-2009 Quando em questão controvérsia sobre cabimento de recurso da competência de corte diversa, a via excepcional do recurso extraordinário apenas é aberta se no acórdão prolatado constar premissa contrária à CF.</w:t>
      </w:r>
    </w:p>
    <w:p>
      <w:pPr>
        <w:ind w:left="288"/>
      </w:pPr>
      <w:r>
        <w:rPr>
          <w:b/>
          <w:color w:val="003CA0"/>
          <w:sz w:val="16"/>
        </w:rPr>
        <w:t>[AI 678.026 AgR, rel. min. Marco Aurélio, j. 21-10-2008, 1ª T, DJE de 20-2-2009.]</w:t>
      </w:r>
    </w:p>
    <w:p>
      <w:pPr>
        <w:ind w:left="288"/>
      </w:pPr>
      <w:r>
        <w:rPr>
          <w:color w:val="8C8C8C"/>
          <w:sz w:val="12"/>
        </w:rPr>
        <w:t>cf-art-102-inc-III</w:t>
      </w:r>
      <w:r>
        <w:rPr>
          <w:color w:val="003CA0"/>
          <w:sz w:val="12"/>
        </w:rPr>
        <w:t xml:space="preserve"> | RE 557.310</w:t>
      </w:r>
      <w:r>
        <w:rPr>
          <w:color w:val="003CA0"/>
          <w:sz w:val="12"/>
        </w:rPr>
        <w:t xml:space="preserve"> | rel. Ellen Gracie</w:t>
      </w:r>
    </w:p>
    <w:p>
      <w:pPr>
        <w:ind w:left="288"/>
      </w:pPr>
      <w:r>
        <w:rPr>
          <w:color w:val="1E1E1E"/>
          <w:sz w:val="18"/>
        </w:rPr>
        <w:t>= RE 557.310 AgR, rel. min. Ellen Gracie, j. 17-3-2009, 2ª T, DJE de 17-4-2009 A existência de decisões de ministros que determinaram a subida de recursos extraordinários para melhor exame dos feitos sob sua relatoria, que versem sobre a matéria tratada no presente recurso, não vincula outros ministros deste STF nem respalda o sobrestamento deste recurso.</w:t>
      </w:r>
    </w:p>
    <w:p>
      <w:pPr>
        <w:ind w:left="288"/>
      </w:pPr>
      <w:r>
        <w:rPr>
          <w:b/>
          <w:color w:val="003CA0"/>
          <w:sz w:val="16"/>
        </w:rPr>
        <w:t>[AI 664.641 ED, voto da rel. min. Cármen Lúcia, j. 16-9-2008, 1ª T, DJE de 20-2-2009.]</w:t>
      </w:r>
    </w:p>
    <w:p>
      <w:pPr>
        <w:ind w:left="288"/>
      </w:pPr>
      <w:r>
        <w:rPr>
          <w:color w:val="8C8C8C"/>
          <w:sz w:val="12"/>
        </w:rPr>
        <w:t>cf-art-102-inc-III</w:t>
      </w:r>
      <w:r>
        <w:rPr>
          <w:color w:val="003CA0"/>
          <w:sz w:val="12"/>
        </w:rPr>
        <w:t xml:space="preserve"> | RE 499.823</w:t>
      </w:r>
      <w:r>
        <w:rPr>
          <w:color w:val="003CA0"/>
          <w:sz w:val="12"/>
        </w:rPr>
        <w:t xml:space="preserve"> | rel. Eros Grau</w:t>
      </w:r>
    </w:p>
    <w:p>
      <w:pPr>
        <w:ind w:left="288"/>
      </w:pPr>
      <w:r>
        <w:rPr>
          <w:color w:val="1E1E1E"/>
          <w:sz w:val="18"/>
        </w:rPr>
        <w:t>O recurso extraordinário não é via adequada para desconstituir-se a coisa julgada.</w:t>
      </w:r>
    </w:p>
    <w:p>
      <w:pPr>
        <w:ind w:left="288"/>
      </w:pPr>
      <w:r>
        <w:rPr>
          <w:b/>
          <w:color w:val="003CA0"/>
          <w:sz w:val="16"/>
        </w:rPr>
        <w:t>[RE 499.823 AgR, rel. min. Eros Grau, j. 12-8-2008, 2ª T, DJE de 29-8-2008.]</w:t>
      </w:r>
    </w:p>
    <w:p>
      <w:pPr>
        <w:ind w:left="288"/>
      </w:pPr>
      <w:r>
        <w:rPr>
          <w:color w:val="8C8C8C"/>
          <w:sz w:val="12"/>
        </w:rPr>
        <w:t>cf-art-102-inc-III</w:t>
      </w:r>
      <w:r>
        <w:rPr>
          <w:color w:val="003CA0"/>
          <w:sz w:val="12"/>
        </w:rPr>
        <w:t xml:space="preserve"> | AI 589.958</w:t>
      </w:r>
      <w:r>
        <w:rPr>
          <w:color w:val="003CA0"/>
          <w:sz w:val="12"/>
        </w:rPr>
        <w:t xml:space="preserve"> | rel. Cezar Peluso</w:t>
      </w:r>
    </w:p>
    <w:p>
      <w:pPr>
        <w:ind w:left="288"/>
      </w:pPr>
      <w:r>
        <w:rPr>
          <w:color w:val="1E1E1E"/>
          <w:sz w:val="18"/>
        </w:rPr>
        <w:t>Efeito ex nunc. Impossibilidade. Não se aplica o efeito ex nunc a declaração de inconstitucionalidade em processo de controle difuso.</w:t>
      </w:r>
    </w:p>
    <w:p>
      <w:pPr>
        <w:ind w:left="288"/>
      </w:pPr>
      <w:r>
        <w:rPr>
          <w:b/>
          <w:color w:val="003CA0"/>
          <w:sz w:val="16"/>
        </w:rPr>
        <w:t>[AI 589.958 AgR, rel. min. Cezar Peluso, j. 11-12-2007, 2ª T, DJE de 22-2-2008.]</w:t>
      </w:r>
    </w:p>
    <w:p>
      <w:pPr>
        <w:ind w:left="288"/>
      </w:pPr>
      <w:r>
        <w:rPr>
          <w:color w:val="8C8C8C"/>
          <w:sz w:val="12"/>
        </w:rPr>
        <w:t>cf-art-102-inc-III</w:t>
      </w:r>
      <w:r>
        <w:rPr>
          <w:color w:val="003CA0"/>
          <w:sz w:val="12"/>
        </w:rPr>
        <w:t xml:space="preserve"> | AI 748.786</w:t>
      </w:r>
      <w:r>
        <w:rPr>
          <w:color w:val="003CA0"/>
          <w:sz w:val="12"/>
        </w:rPr>
        <w:t xml:space="preserve"> | rel. Eros Grau</w:t>
      </w:r>
    </w:p>
    <w:p>
      <w:pPr>
        <w:ind w:left="288"/>
      </w:pPr>
      <w:r>
        <w:rPr>
          <w:color w:val="1E1E1E"/>
          <w:sz w:val="18"/>
        </w:rPr>
        <w:t xml:space="preserve">= AI 748.786 AgR, rel. min. Eros Grau, j. 18-8-2009, 2ª T, DJE de 11-9-2009 Ação cautelar. Questão de ordem. Pedido de contracautela para revogar o efeito suspensivo concedido pelo Tribunal de origem a recurso extraordinário. Instaurada a jurisdição cautelar deste STF, após a decisão do Tribunal de origem que admite o processamento do recurso extraordinário, cabe a esta Corte reexaminar os pressupostos para a concessão de medidas acautelatórias que visem a assegurar a eficácia de sua decisão final. O STF não fica vinculado à apreciação do fumus boni iuris e do periculum in mora realizada pelo </w:t>
      </w:r>
    </w:p>
    <w:p>
      <w:pPr>
        <w:ind w:left="288"/>
      </w:pPr>
      <w:r>
        <w:rPr>
          <w:b/>
          <w:color w:val="003CA0"/>
          <w:sz w:val="16"/>
        </w:rPr>
        <w:t>[AC 1.775 QO, rel. min. Gilmar Mendes, j. 23-10-2007, 2ª T, DJ de 23-11-2007.]</w:t>
      </w:r>
    </w:p>
    <w:p>
      <w:pPr>
        <w:ind w:left="288"/>
      </w:pPr>
      <w:r>
        <w:rPr>
          <w:color w:val="8C8C8C"/>
          <w:sz w:val="12"/>
        </w:rPr>
        <w:t>cf-art-102-inc-III</w:t>
      </w:r>
      <w:r>
        <w:rPr>
          <w:color w:val="003CA0"/>
          <w:sz w:val="12"/>
        </w:rPr>
        <w:t xml:space="preserve"> | AC 1.801</w:t>
      </w:r>
      <w:r>
        <w:rPr>
          <w:color w:val="003CA0"/>
          <w:sz w:val="12"/>
        </w:rPr>
        <w:t xml:space="preserve"> | rel. Celso de Mello</w:t>
      </w:r>
    </w:p>
    <w:p>
      <w:pPr>
        <w:ind w:left="288"/>
      </w:pPr>
      <w:r>
        <w:rPr>
          <w:color w:val="1E1E1E"/>
          <w:sz w:val="18"/>
        </w:rPr>
        <w:t>Ação cautelar. Recurso extraordinário. Retenção (CPC, art. 542, § 3º, na redação dada pela Lei 9.756/1998). Apelo extremo interposto contra decisão interlocutória. Medida cautelar. Excepcionalidade. Existência de plausibilidade jurídica. Ocorrência, na espécie, de situação configuradora de periculum in mora. Contexto que enseja a outorga excepcional de provimento cautelar. Medida cautelar deferida. Decisão do relator referendada pela Turma.</w:t>
      </w:r>
    </w:p>
    <w:p>
      <w:pPr>
        <w:ind w:left="288"/>
      </w:pPr>
      <w:r>
        <w:rPr>
          <w:b/>
          <w:color w:val="003CA0"/>
          <w:sz w:val="16"/>
        </w:rPr>
        <w:t>[AC 1.801 QO, rel. min. Celso de Mello, j. 16-10-2007, 2ª T, DJE de 13-5-2013.]</w:t>
      </w:r>
    </w:p>
    <w:p>
      <w:pPr>
        <w:ind w:left="288"/>
      </w:pPr>
      <w:r>
        <w:rPr>
          <w:color w:val="8C8C8C"/>
          <w:sz w:val="12"/>
        </w:rPr>
        <w:t>cf-art-102-inc-III</w:t>
      </w:r>
      <w:r>
        <w:rPr>
          <w:color w:val="003CA0"/>
          <w:sz w:val="12"/>
        </w:rPr>
        <w:t xml:space="preserve"> | ARE 739.851</w:t>
      </w:r>
      <w:r>
        <w:rPr>
          <w:color w:val="003CA0"/>
          <w:sz w:val="12"/>
        </w:rPr>
        <w:t xml:space="preserve"> | rel. Teori Zavascki</w:t>
      </w:r>
    </w:p>
    <w:p>
      <w:pPr>
        <w:ind w:left="288"/>
      </w:pPr>
      <w:r>
        <w:rPr>
          <w:color w:val="1E1E1E"/>
          <w:sz w:val="18"/>
        </w:rPr>
        <w:t>Vide ARE 739.851 AgR, rel. min. Teori Zavascki, j. 29-4-2014, 2ª T, DJE de 13-5-2014 Recurso extraordinário que ainda não sofreu juízo de admissibilidade. Acórdão do Tribunal recorrido que versa matéria idêntica à veiculada em causas já preparadas para serem julgadas pelo Plenário do STF. Retardamento, pela Presidência do Tribunal recorrido, da formulação do juízo (positivo ou negativo) de admissibilidade do apelo extremo. Potencialidade danosa resultante dessa omissão processual, agravada pela inércia no exame do pedido de tutela de urgência. Caracterização de dano potencial apto a compromete</w:t>
      </w:r>
    </w:p>
    <w:p>
      <w:pPr>
        <w:ind w:left="288"/>
      </w:pPr>
      <w:r>
        <w:rPr>
          <w:b/>
          <w:color w:val="003CA0"/>
          <w:sz w:val="16"/>
        </w:rPr>
        <w:t>[AC 1.810 QO, rel. min. Celso de Mello, j. 16-10-2007, 2ª T, DJ de 31-10-2007.]</w:t>
      </w:r>
    </w:p>
    <w:p>
      <w:pPr>
        <w:ind w:left="288"/>
      </w:pPr>
      <w:r>
        <w:rPr>
          <w:color w:val="8C8C8C"/>
          <w:sz w:val="12"/>
        </w:rPr>
        <w:t>cf-art-102-inc-III</w:t>
      </w:r>
      <w:r>
        <w:rPr>
          <w:color w:val="003CA0"/>
          <w:sz w:val="12"/>
        </w:rPr>
        <w:t xml:space="preserve"> | AC 2.240</w:t>
      </w:r>
      <w:r>
        <w:rPr>
          <w:color w:val="003CA0"/>
          <w:sz w:val="12"/>
        </w:rPr>
        <w:t xml:space="preserve"> | rel. Cezar Peluso</w:t>
      </w:r>
    </w:p>
    <w:p>
      <w:pPr>
        <w:ind w:left="288"/>
      </w:pPr>
      <w:r>
        <w:rPr>
          <w:color w:val="1E1E1E"/>
          <w:sz w:val="18"/>
        </w:rPr>
        <w:t>Vide AC 2.240 AgR, rel. min. Cezar Peluso, j. 1º-7-2009, P, DJE de 9-4-2010 Questão de ordem em ação cautelar. Efeito suspensivo a recurso extraordinário não admitido pelo tribunal de origem. Agravo de instrumento pendente de julgamento. Medida cautelar concedida para suspender os efeitos do acórdão recorrido. Em situações excepcionais, em que estão patentes a plausibilidade jurídica do pedido – decorrente do fato de a decisão recorrida contrariar jurisprudência ou súmula do STF – e o perigo de dano irreparável ou de difícil reparação a ser consubstanciado pela execução do acórdão recorrido, o</w:t>
      </w:r>
    </w:p>
    <w:p>
      <w:pPr>
        <w:ind w:left="288"/>
      </w:pPr>
      <w:r>
        <w:rPr>
          <w:b/>
          <w:color w:val="003CA0"/>
          <w:sz w:val="16"/>
        </w:rPr>
        <w:t>[AC 1.770 QO, rel. min. Gilmar Mendes, j. 18-9-2007, 2ª T, DJ de 19-10-2007.]</w:t>
      </w:r>
    </w:p>
    <w:p>
      <w:pPr>
        <w:ind w:left="288"/>
      </w:pPr>
      <w:r>
        <w:rPr>
          <w:color w:val="8C8C8C"/>
          <w:sz w:val="12"/>
        </w:rPr>
        <w:t>cf-art-102-inc-III</w:t>
      </w:r>
      <w:r>
        <w:rPr>
          <w:color w:val="003CA0"/>
          <w:sz w:val="12"/>
        </w:rPr>
        <w:t xml:space="preserve"> | AC 2.011</w:t>
      </w:r>
      <w:r>
        <w:rPr>
          <w:color w:val="003CA0"/>
          <w:sz w:val="12"/>
        </w:rPr>
        <w:t xml:space="preserve"> | rel. Ricardo Lewandowski</w:t>
      </w:r>
    </w:p>
    <w:p>
      <w:pPr>
        <w:ind w:left="288"/>
      </w:pPr>
      <w:r>
        <w:rPr>
          <w:color w:val="1E1E1E"/>
          <w:sz w:val="18"/>
        </w:rPr>
        <w:t>=  AC 2.011 MC, rel. min. Ricardo Lewandowski, j. 15-4-2008, 2ª T, DJE de 16-5-2008 Vide AC 1.872 AgR, rel. min. Dias Toffoli, j. 6-4-2010, 1ª T, DJE de 30-4-2010 É possível dar-se provimento a recurso extraordinário, quando a tese constitucional é tratada na peça recursal, ainda que não haja indicação expressa do dispositivo constitucional violado.</w:t>
      </w:r>
    </w:p>
    <w:p>
      <w:pPr>
        <w:ind w:left="288"/>
      </w:pPr>
      <w:r>
        <w:rPr>
          <w:b/>
          <w:color w:val="003CA0"/>
          <w:sz w:val="16"/>
        </w:rPr>
        <w:t>[AI 513.262 AgR-AgR, rel. min. Cezar Peluso, j. 18-9-2007, 2ª T, DJ de 11-10-2007.]</w:t>
      </w:r>
    </w:p>
    <w:p>
      <w:pPr>
        <w:ind w:left="288"/>
      </w:pPr>
      <w:r>
        <w:rPr>
          <w:color w:val="8C8C8C"/>
          <w:sz w:val="12"/>
        </w:rPr>
        <w:t>cf-art-102-inc-III</w:t>
      </w:r>
      <w:r>
        <w:rPr>
          <w:color w:val="003CA0"/>
          <w:sz w:val="12"/>
        </w:rPr>
        <w:t xml:space="preserve"> | RE 570.084</w:t>
      </w:r>
      <w:r>
        <w:rPr>
          <w:color w:val="003CA0"/>
          <w:sz w:val="12"/>
        </w:rPr>
        <w:t xml:space="preserve"> | rel. Cármen Lúcia</w:t>
      </w:r>
    </w:p>
    <w:p>
      <w:pPr>
        <w:ind w:left="288"/>
      </w:pPr>
      <w:r>
        <w:rPr>
          <w:color w:val="1E1E1E"/>
          <w:sz w:val="18"/>
        </w:rPr>
        <w:t>= RE 570.084, rel. min. Cármen Lúcia, j. 26-5-2009, 1ª T, DJE de 1º-7-2009 Ação popular. Contrato de risco entre a Petrobras e a Paulipetro (consórcio "Cesp" e "IPT"). Nulidade reconhecida pelo STJ, em sede de recurso especial. Fundamento central: ofensa ao art. 2º da Lei 4.717/1965. Alegada incompetência absoluta do STJ para apreciar litígio entre a União e o Estado de São Paulo, assim como para julgar matéria constitucional sob reserva do STF. Ausência de prequestionamento; descabimento da alegação. Suposta aplicação do inciso LXXIII do art. 5º da Constituição Republicana de 1988. Inexistênc</w:t>
      </w:r>
    </w:p>
    <w:p>
      <w:pPr>
        <w:ind w:left="288"/>
      </w:pPr>
      <w:r>
        <w:rPr>
          <w:b/>
          <w:color w:val="003CA0"/>
          <w:sz w:val="16"/>
        </w:rPr>
        <w:t>[RE 479.887, rel. min. Ayres Britto, j. 7-8-2007, 1ª T, DJ de 31-10-2007.]</w:t>
      </w:r>
    </w:p>
    <w:p>
      <w:pPr>
        <w:ind w:left="288"/>
      </w:pPr>
      <w:r>
        <w:rPr>
          <w:color w:val="8C8C8C"/>
          <w:sz w:val="12"/>
        </w:rPr>
        <w:t>cf-art-102-inc-III</w:t>
      </w:r>
      <w:r>
        <w:rPr>
          <w:color w:val="003CA0"/>
          <w:sz w:val="12"/>
        </w:rPr>
        <w:t xml:space="preserve"> | RE 509.500</w:t>
      </w:r>
      <w:r>
        <w:rPr>
          <w:color w:val="003CA0"/>
          <w:sz w:val="12"/>
        </w:rPr>
        <w:t xml:space="preserve"> | rel. Sepúlveda Pertence</w:t>
      </w:r>
    </w:p>
    <w:p>
      <w:pPr>
        <w:ind w:left="288"/>
      </w:pPr>
      <w:r>
        <w:rPr>
          <w:color w:val="1E1E1E"/>
          <w:sz w:val="18"/>
        </w:rPr>
        <w:t>Se o STJ, ao julgar o recurso especial, apreciou matéria constitucional e, supostamente, usurpou a competência do Supremo Tribunal, cabia à instituição financeira a interposição de recurso extraordinário contra a decisão.</w:t>
      </w:r>
    </w:p>
    <w:p>
      <w:pPr>
        <w:ind w:left="288"/>
      </w:pPr>
      <w:r>
        <w:rPr>
          <w:b/>
          <w:color w:val="003CA0"/>
          <w:sz w:val="16"/>
        </w:rPr>
        <w:t>[RE 509.500 AgR, rel. min. Sepúlveda Pertence, j. 26-6-2007, 1ª T, DJ de 17-8-2007.]</w:t>
      </w:r>
    </w:p>
    <w:p>
      <w:pPr>
        <w:ind w:left="288"/>
      </w:pPr>
      <w:r>
        <w:rPr>
          <w:color w:val="8C8C8C"/>
          <w:sz w:val="12"/>
        </w:rPr>
        <w:t>cf-art-102-inc-III</w:t>
      </w:r>
      <w:r>
        <w:rPr>
          <w:color w:val="003CA0"/>
          <w:sz w:val="12"/>
        </w:rPr>
        <w:t xml:space="preserve"> | RE 257.834</w:t>
      </w:r>
      <w:r>
        <w:rPr>
          <w:color w:val="003CA0"/>
          <w:sz w:val="12"/>
        </w:rPr>
        <w:t xml:space="preserve"> | rel. Sepúlveda Pertence</w:t>
      </w:r>
    </w:p>
    <w:p>
      <w:pPr>
        <w:ind w:left="288"/>
      </w:pPr>
      <w:r>
        <w:rPr>
          <w:color w:val="1E1E1E"/>
          <w:sz w:val="18"/>
        </w:rPr>
        <w:t>É da jurisprudência do STF que o recurso extraordinário interposto em processo de ação rescisória há de voltar-se contra a fundamentação do acórdão nela proferido e não a da decisão rescindenda.</w:t>
      </w:r>
    </w:p>
    <w:p>
      <w:pPr>
        <w:ind w:left="288"/>
      </w:pPr>
      <w:r>
        <w:rPr>
          <w:b/>
          <w:color w:val="003CA0"/>
          <w:sz w:val="16"/>
        </w:rPr>
        <w:t>[RE 257.834 AgR, rel. min. Sepúlveda Pertence, j. 26-6-2007, 1ª T, DJ de 17-8-2007.]</w:t>
      </w:r>
    </w:p>
    <w:p>
      <w:pPr>
        <w:ind w:left="288"/>
      </w:pPr>
      <w:r>
        <w:rPr>
          <w:color w:val="8C8C8C"/>
          <w:sz w:val="12"/>
        </w:rPr>
        <w:t>cf-art-102-inc-III</w:t>
      </w:r>
      <w:r>
        <w:rPr>
          <w:color w:val="003CA0"/>
          <w:sz w:val="12"/>
        </w:rPr>
        <w:t xml:space="preserve"> | AI 756.135</w:t>
      </w:r>
      <w:r>
        <w:rPr>
          <w:color w:val="003CA0"/>
          <w:sz w:val="12"/>
        </w:rPr>
        <w:t xml:space="preserve"> | rel. Ricardo Lewandowski</w:t>
      </w:r>
    </w:p>
    <w:p>
      <w:pPr>
        <w:ind w:left="288"/>
      </w:pPr>
      <w:r>
        <w:rPr>
          <w:color w:val="1E1E1E"/>
          <w:sz w:val="18"/>
        </w:rPr>
        <w:t>= AI 756.135 AgR, rel. min. Ricardo Lewandowski, j. 19-10-2010, 1ª T, DJE de 16-11-2010 Recurso extraordinário: descabimento: decisão recorrida proferida em ação cautelar inominada, de natureza não definitiva (...) (RE 263.038, Primeira Turma, Pertence, DJ de 28-4-2000).</w:t>
      </w:r>
    </w:p>
    <w:p>
      <w:pPr>
        <w:ind w:left="288"/>
      </w:pPr>
      <w:r>
        <w:rPr>
          <w:b/>
          <w:color w:val="003CA0"/>
          <w:sz w:val="16"/>
        </w:rPr>
        <w:t>[AI 586.906 AgR, rel. min. Sepúlveda Pertence, j. 19-6-2007, 1ª T, DJ de 3-8-2007.]</w:t>
      </w:r>
    </w:p>
    <w:p>
      <w:pPr>
        <w:ind w:left="288"/>
      </w:pPr>
      <w:r>
        <w:rPr>
          <w:color w:val="8C8C8C"/>
          <w:sz w:val="12"/>
        </w:rPr>
        <w:t>cf-art-102-inc-III</w:t>
      </w:r>
      <w:r>
        <w:rPr>
          <w:color w:val="003CA0"/>
          <w:sz w:val="12"/>
        </w:rPr>
        <w:t xml:space="preserve"> | AC 1.114</w:t>
      </w:r>
      <w:r>
        <w:rPr>
          <w:color w:val="003CA0"/>
          <w:sz w:val="12"/>
        </w:rPr>
        <w:t xml:space="preserve"> | rel. Gilmar Mendes</w:t>
      </w:r>
    </w:p>
    <w:p>
      <w:pPr>
        <w:ind w:left="288"/>
      </w:pPr>
      <w:r>
        <w:rPr>
          <w:color w:val="1E1E1E"/>
          <w:sz w:val="18"/>
        </w:rPr>
        <w:t>Consoante precedentes da Corte, a atribuição de efeito suspensivo ou tutela recursal a recurso extraordinário pressupõe a inauguração da jurisdição cautelar da Corte, com o juízo de admissibilidade positivo pelo tribunal de origem ou o provimento do respectivo agravo de instrumento de despacho denegatório. Excepcionalmente, o Tribunal admite a concessão de medidas cautelares em situações extraordinárias, marcadas por inequívoco risco de perecimento, irreversível, do direito alegado (cf., v.g., AC 1.114 AgR, rel. min. Gilmar Mendes, Segunda Turma, DJ de 23-6-2006).</w:t>
      </w:r>
    </w:p>
    <w:p>
      <w:pPr>
        <w:ind w:left="288"/>
      </w:pPr>
      <w:r>
        <w:rPr>
          <w:b/>
          <w:color w:val="003CA0"/>
          <w:sz w:val="16"/>
        </w:rPr>
        <w:t>[AC 1.338 MC-AgR, rel. min. Joaquim Barbosa, j. 12-6-2007, 2ª T, DJE de 20-6-2008.]</w:t>
      </w:r>
    </w:p>
    <w:p>
      <w:pPr>
        <w:ind w:left="288"/>
      </w:pPr>
      <w:r>
        <w:rPr>
          <w:color w:val="8C8C8C"/>
          <w:sz w:val="12"/>
        </w:rPr>
        <w:t>cf-art-102-inc-III</w:t>
      </w:r>
      <w:r>
        <w:rPr>
          <w:color w:val="003CA0"/>
          <w:sz w:val="12"/>
        </w:rPr>
        <w:t xml:space="preserve"> | AC 1.420</w:t>
      </w:r>
      <w:r>
        <w:rPr>
          <w:color w:val="003CA0"/>
          <w:sz w:val="12"/>
        </w:rPr>
        <w:t xml:space="preserve"> | rel. Ellen Gracie</w:t>
      </w:r>
    </w:p>
    <w:p>
      <w:pPr>
        <w:ind w:left="288"/>
      </w:pPr>
      <w:r>
        <w:rPr>
          <w:color w:val="1E1E1E"/>
          <w:sz w:val="18"/>
        </w:rPr>
        <w:t>= AC 1.420 MC-AgR, rel. min. Ellen Gracie, j. 24-6-2008, 2ª T, DJE de 22-8-2008 = AC 2.347 AgR, rel. min. Ricardo Lewandowski, j. 9-6-2009, 1ª T, DJE de 21-8-2009 Preceito constitucional autorizador. Ausência. É de se conhecer do recurso, mesmo havendo erro ou omissão do preceito, da Constituição, em que se fundou o recurso extraordinário – entre os casos previstos no art. 102, III, a, b, c e d, da CF. Isso se dos fundamentos do acórdão recorrido e das razões recursais for possível identificá-lo.</w:t>
      </w:r>
    </w:p>
    <w:p>
      <w:pPr>
        <w:ind w:left="288"/>
      </w:pPr>
      <w:r>
        <w:rPr>
          <w:b/>
          <w:color w:val="003CA0"/>
          <w:sz w:val="16"/>
        </w:rPr>
        <w:t>[AI 630.471 AgR, rel. min. Eros Grau, j. 5-6-2007, 2ª T, DJE de 17-8-2007.]</w:t>
      </w:r>
    </w:p>
    <w:p>
      <w:pPr>
        <w:ind w:left="288"/>
      </w:pPr>
      <w:r>
        <w:rPr>
          <w:color w:val="8C8C8C"/>
          <w:sz w:val="12"/>
        </w:rPr>
        <w:t>cf-art-102-inc-III</w:t>
      </w:r>
      <w:r>
        <w:rPr>
          <w:color w:val="003CA0"/>
          <w:sz w:val="12"/>
        </w:rPr>
        <w:t xml:space="preserve"> | RE 388.846</w:t>
      </w:r>
      <w:r>
        <w:rPr>
          <w:color w:val="003CA0"/>
          <w:sz w:val="12"/>
        </w:rPr>
        <w:t xml:space="preserve"> | rel. Sepúlveda Pertence</w:t>
      </w:r>
    </w:p>
    <w:p>
      <w:pPr>
        <w:ind w:left="288"/>
      </w:pPr>
      <w:r>
        <w:rPr>
          <w:color w:val="1E1E1E"/>
          <w:sz w:val="18"/>
        </w:rPr>
        <w:t>Recurso extraordinário. Juízo de admissibilidade: competência. No recurso extraordinário interposto de decisão de turma recursal dos juizados especiais, compete ao seu próprio presidente – e não ao do tribunal de justiça – o juízo inicial de admissibilidade (cf. RE 388.846 QO, 9-9-2004, Plenário, Marco Aurélio).</w:t>
      </w:r>
    </w:p>
    <w:p>
      <w:pPr>
        <w:ind w:left="288"/>
      </w:pPr>
      <w:r>
        <w:rPr>
          <w:b/>
          <w:color w:val="003CA0"/>
          <w:sz w:val="16"/>
        </w:rPr>
        <w:t>[AI 631.319 ED-AgR, rel. min. Sepúlveda Pertence, j. 15-5-2007, 1ª T, DJ de 8-6-2007.]</w:t>
      </w:r>
    </w:p>
    <w:p>
      <w:pPr>
        <w:ind w:left="288"/>
      </w:pPr>
      <w:r>
        <w:rPr>
          <w:color w:val="8C8C8C"/>
          <w:sz w:val="12"/>
        </w:rPr>
        <w:t>cf-art-102-inc-III</w:t>
      </w:r>
      <w:r>
        <w:rPr>
          <w:color w:val="003CA0"/>
          <w:sz w:val="12"/>
        </w:rPr>
        <w:t xml:space="preserve"> | AI 604.198</w:t>
      </w:r>
      <w:r>
        <w:rPr>
          <w:color w:val="003CA0"/>
          <w:sz w:val="12"/>
        </w:rPr>
        <w:t xml:space="preserve"> | rel. Ayres Britto</w:t>
      </w:r>
    </w:p>
    <w:p>
      <w:pPr>
        <w:ind w:left="288"/>
      </w:pPr>
      <w:r>
        <w:rPr>
          <w:color w:val="1E1E1E"/>
          <w:sz w:val="18"/>
        </w:rPr>
        <w:t>= AI 604.198 AgR, rel. min. Ayres Britto, j. 6-4-2010, 1ª T, DJE de 7-5-2010 Conforme o disposto no art. 546 do CPC, interpretado presente o objetivo da norma, mostram-se cabíveis os embargos de divergência quando o acórdão atacado por meio deles implica pronunciamento quanto a recurso extraordinário. (...) Ante o novo entendimento sobre o alcance do art. 546 do CPC, não subsiste, sendo cancelado, o Verbete 599 da Súmula do Supremo – "São incabíveis embargos de divergência de decisão de Turma, em agravo regimental". (...) Incumbe ao órgão julgador evoluir no entendimento inicialmente adotado t</w:t>
      </w:r>
    </w:p>
    <w:p>
      <w:pPr>
        <w:ind w:left="288"/>
      </w:pPr>
      <w:r>
        <w:rPr>
          <w:b/>
          <w:color w:val="003CA0"/>
          <w:sz w:val="16"/>
        </w:rPr>
        <w:t>[RE 285.093 AgR-ED-EDv-AgR, rel. p/ o ac. min. Marco Aurélio, j. 26-4-2007, P, DJE de 28-3-2008.]</w:t>
      </w:r>
    </w:p>
    <w:p>
      <w:pPr>
        <w:ind w:left="288"/>
      </w:pPr>
      <w:r>
        <w:rPr>
          <w:color w:val="8C8C8C"/>
          <w:sz w:val="12"/>
        </w:rPr>
        <w:t>cf-art-102-inc-III</w:t>
      </w:r>
      <w:r>
        <w:rPr>
          <w:color w:val="003CA0"/>
          <w:sz w:val="12"/>
        </w:rPr>
        <w:t xml:space="preserve"> | AI 491.003</w:t>
      </w:r>
      <w:r>
        <w:rPr>
          <w:color w:val="003CA0"/>
          <w:sz w:val="12"/>
        </w:rPr>
        <w:t xml:space="preserve"> | rel. Marco Aurélio</w:t>
      </w:r>
    </w:p>
    <w:p>
      <w:pPr>
        <w:ind w:left="288"/>
      </w:pPr>
      <w:r>
        <w:rPr>
          <w:color w:val="1E1E1E"/>
          <w:sz w:val="18"/>
        </w:rPr>
        <w:t>Vide AI 491.003 AgR-ED-EDv-AgR, rel. min. Marco Aurélio, j. 14-10-2010, P, DJE de 3-12-2010 Direito. Organicidade e dinâmica. O Direito, especialmente o instrumental, é orgânico e dinâmico, não se podendo voltar a fase ultrapassada. Em sede extraordinária, não se julga matéria pela vez primeira.</w:t>
      </w:r>
    </w:p>
    <w:p>
      <w:pPr>
        <w:ind w:left="288"/>
      </w:pPr>
      <w:r>
        <w:rPr>
          <w:b/>
          <w:color w:val="003CA0"/>
          <w:sz w:val="16"/>
        </w:rPr>
        <w:t>[RE 391.852 AgR, rel. min. Marco Aurélio, j. 3-4-2007, 1ª T, DJ de 18-5-2007.]</w:t>
      </w:r>
    </w:p>
    <w:p>
      <w:pPr>
        <w:ind w:left="288"/>
      </w:pPr>
      <w:r>
        <w:rPr>
          <w:color w:val="8C8C8C"/>
          <w:sz w:val="12"/>
        </w:rPr>
        <w:t>cf-art-102-inc-III</w:t>
      </w:r>
      <w:r>
        <w:rPr>
          <w:color w:val="003CA0"/>
          <w:sz w:val="12"/>
        </w:rPr>
        <w:t xml:space="preserve"> | RE 490.076</w:t>
      </w:r>
      <w:r>
        <w:rPr>
          <w:color w:val="003CA0"/>
          <w:sz w:val="12"/>
        </w:rPr>
        <w:t xml:space="preserve"> | rel. Eros Grau</w:t>
      </w:r>
    </w:p>
    <w:p>
      <w:pPr>
        <w:ind w:left="288"/>
      </w:pPr>
      <w:r>
        <w:rPr>
          <w:color w:val="1E1E1E"/>
          <w:sz w:val="18"/>
        </w:rPr>
        <w:t>Vide RE 490.076 AgR, rel. min. Eros Grau, j. 5-6-2007, 2ª T, DJE de 29-6-2007 A intempestividade dos recursos tanto pode derivar de impugnações prematuras (que se antecipam à publicação dos acórdãos) quanto decorrer de oposições tardias (que se registram após o decurso dos prazos recursais). Em qualquer das duas situações – impugnação prematura ou oposição tardia –, a consequência de ordem processual é uma só: o não conhecimento do recurso, por efeito de sua extemporânea interposição. A jurisprudência do STF tem advertido que a simples notícia do julgamento, além de não dar início à fluência d</w:t>
      </w:r>
    </w:p>
    <w:p>
      <w:pPr>
        <w:ind w:left="288"/>
      </w:pPr>
      <w:r>
        <w:rPr>
          <w:b/>
          <w:color w:val="003CA0"/>
          <w:sz w:val="16"/>
        </w:rPr>
        <w:t>[RE 492.957 AgR, rel. min. Celso de Mello, j. 13-3-2007, 2ª T, DJ de 22-6-2007.]</w:t>
      </w:r>
    </w:p>
    <w:p>
      <w:pPr>
        <w:ind w:left="288"/>
      </w:pPr>
      <w:r>
        <w:rPr>
          <w:color w:val="8C8C8C"/>
          <w:sz w:val="12"/>
        </w:rPr>
        <w:t>cf-art-102-inc-III</w:t>
      </w:r>
      <w:r>
        <w:rPr>
          <w:color w:val="003CA0"/>
          <w:sz w:val="12"/>
        </w:rPr>
        <w:t xml:space="preserve"> | AI 776.095</w:t>
      </w:r>
      <w:r>
        <w:rPr>
          <w:color w:val="003CA0"/>
          <w:sz w:val="12"/>
        </w:rPr>
        <w:t xml:space="preserve"> | rel. Cezar Peluso</w:t>
      </w:r>
    </w:p>
    <w:p>
      <w:pPr>
        <w:ind w:left="288"/>
      </w:pPr>
      <w:r>
        <w:rPr>
          <w:color w:val="1E1E1E"/>
          <w:sz w:val="18"/>
        </w:rPr>
        <w:t>= AI 776.095 AgR, rel. min. Cezar Peluso, j. 1º-12-2010, P, DJE de 1º-2-2011 Vide AI 658.519 AgR-ED, rel. min. Ayres Britto, j. 7-6-2011, 2ª T, DJE de 9-9-2011 A adoção explícita, pelo Tribunal de origem, de tese afastada pelo STF em sede de controle concentrado de constitucionalidade evidencia o debate da matéria constitucional deduzida no extraordinário, atendendo, a mancheias, o requisito do prequestionamento. Não incidência das Súmulas 282 e 356/STF.</w:t>
      </w:r>
    </w:p>
    <w:p>
      <w:pPr>
        <w:ind w:left="288"/>
      </w:pPr>
      <w:r>
        <w:rPr>
          <w:b/>
          <w:color w:val="003CA0"/>
          <w:sz w:val="16"/>
        </w:rPr>
        <w:t>[RE 466.518 AgR, rel. min. Ayres Britto, j. 27-2-2007, 1ª T, DJ de 11-5-2007.]</w:t>
      </w:r>
    </w:p>
    <w:p>
      <w:pPr>
        <w:ind w:left="288"/>
      </w:pPr>
      <w:r>
        <w:rPr>
          <w:color w:val="8C8C8C"/>
          <w:sz w:val="12"/>
        </w:rPr>
        <w:t>cf-art-102-inc-III</w:t>
      </w:r>
      <w:r>
        <w:rPr>
          <w:color w:val="003CA0"/>
          <w:sz w:val="12"/>
        </w:rPr>
        <w:t xml:space="preserve"> | RE 463.948</w:t>
      </w:r>
      <w:r>
        <w:rPr>
          <w:color w:val="003CA0"/>
          <w:sz w:val="12"/>
        </w:rPr>
        <w:t xml:space="preserve"> | rel. Ayres Britto</w:t>
      </w:r>
    </w:p>
    <w:p>
      <w:pPr>
        <w:ind w:left="288"/>
      </w:pPr>
      <w:r>
        <w:rPr>
          <w:color w:val="1E1E1E"/>
          <w:sz w:val="18"/>
        </w:rPr>
        <w:t>A simples referência a um determinado verbete, integrante da jurisprudência sumulada da Corte de origem, não configura o prequestionamento da matéria deduzida em sede de recurso extraordinário. Sobretudo se do aresto recorrido não consta sequer o teor daquele enunciado. Aplicação das Súmulas 282 e 356/STF.</w:t>
      </w:r>
    </w:p>
    <w:p>
      <w:pPr>
        <w:ind w:left="288"/>
      </w:pPr>
      <w:r>
        <w:rPr>
          <w:b/>
          <w:color w:val="003CA0"/>
          <w:sz w:val="16"/>
        </w:rPr>
        <w:t>[RE 463.948 AgR-ED, rel. min. Ayres Britto, j. 6-2-2007, 1ª T, DJ de 11-5-2007.]</w:t>
      </w:r>
    </w:p>
    <w:p>
      <w:pPr>
        <w:ind w:left="288"/>
      </w:pPr>
      <w:r>
        <w:rPr>
          <w:color w:val="8C8C8C"/>
          <w:sz w:val="12"/>
        </w:rPr>
        <w:t>cf-art-102-inc-III</w:t>
      </w:r>
      <w:r>
        <w:rPr>
          <w:color w:val="003CA0"/>
          <w:sz w:val="12"/>
        </w:rPr>
        <w:t xml:space="preserve"> | RE 462.242</w:t>
      </w:r>
      <w:r>
        <w:rPr>
          <w:color w:val="003CA0"/>
          <w:sz w:val="12"/>
        </w:rPr>
        <w:t xml:space="preserve"> | rel. Ayres Britto</w:t>
      </w:r>
    </w:p>
    <w:p>
      <w:pPr>
        <w:ind w:left="288"/>
      </w:pPr>
      <w:r>
        <w:rPr>
          <w:color w:val="1E1E1E"/>
          <w:sz w:val="18"/>
        </w:rPr>
        <w:t>Se o aresto recorrido está assentado em dispositivo de lei declarado inconstitucional pelo STF em ação direta, o julgamento do recurso extraordinário se limita ao afastamento da respectiva premissa e à devolução dos autos à corte de origem, para regular prosseguimento do feito. Isto a fim de que a lide ganhe os contornos legais e fáticos que lhe forem peculiares e para os quais é competente a instância ordinária. Impede-se, assim, eventual supressão de instância, ao tempo em que se resguardam as garantias do devido processo legal e da ampla defesa. Donde a inaplicabilidade da Súmula 456/STF, e</w:t>
      </w:r>
    </w:p>
    <w:p>
      <w:pPr>
        <w:ind w:left="288"/>
      </w:pPr>
      <w:r>
        <w:rPr>
          <w:b/>
          <w:color w:val="003CA0"/>
          <w:sz w:val="16"/>
        </w:rPr>
        <w:t>[RE 462.242 AgR, rel. min. Ayres Britto, j. 14-12-2006, 1ª T, DJ de 13-4-2007.]</w:t>
      </w:r>
    </w:p>
    <w:p>
      <w:pPr>
        <w:ind w:left="288"/>
      </w:pPr>
      <w:r>
        <w:rPr>
          <w:color w:val="8C8C8C"/>
          <w:sz w:val="12"/>
        </w:rPr>
        <w:t>cf-art-102-inc-III</w:t>
      </w:r>
      <w:r>
        <w:rPr>
          <w:color w:val="003CA0"/>
          <w:sz w:val="12"/>
        </w:rPr>
        <w:t xml:space="preserve"> | RCL 3.907</w:t>
      </w:r>
      <w:r>
        <w:rPr>
          <w:color w:val="003CA0"/>
          <w:sz w:val="12"/>
        </w:rPr>
        <w:t xml:space="preserve"> | rel. Marco Aurélio</w:t>
      </w:r>
    </w:p>
    <w:p>
      <w:pPr>
        <w:ind w:left="288"/>
      </w:pPr>
      <w:r>
        <w:rPr>
          <w:color w:val="1E1E1E"/>
          <w:sz w:val="18"/>
        </w:rPr>
        <w:t>A regra é a concentração do ato recursal por meio do extraordinário, correndo à conta da exceção o processamento imediato do recurso interposto, visando ao exame da matéria pelo Supremo, contra decisão interlocutória.</w:t>
      </w:r>
    </w:p>
    <w:p>
      <w:pPr>
        <w:ind w:left="288"/>
      </w:pPr>
      <w:r>
        <w:rPr>
          <w:b/>
          <w:color w:val="003CA0"/>
          <w:sz w:val="16"/>
        </w:rPr>
        <w:t>[Rcl 3.907, rel. min. Marco Aurélio, j. 14-9-2006, P, DJ de 2-2-2007.]</w:t>
      </w:r>
    </w:p>
    <w:p>
      <w:pPr>
        <w:ind w:left="288"/>
      </w:pPr>
      <w:r>
        <w:rPr>
          <w:color w:val="8C8C8C"/>
          <w:sz w:val="12"/>
        </w:rPr>
        <w:t>cf-art-102-inc-III</w:t>
      </w:r>
      <w:r>
        <w:rPr>
          <w:color w:val="003CA0"/>
          <w:sz w:val="12"/>
        </w:rPr>
        <w:t xml:space="preserve"> | RE 454.421</w:t>
      </w:r>
      <w:r>
        <w:rPr>
          <w:color w:val="003CA0"/>
          <w:sz w:val="12"/>
        </w:rPr>
        <w:t xml:space="preserve"> | rel. Ayres Britto</w:t>
      </w:r>
    </w:p>
    <w:p>
      <w:pPr>
        <w:ind w:left="288"/>
      </w:pPr>
      <w:r>
        <w:rPr>
          <w:color w:val="1E1E1E"/>
          <w:sz w:val="18"/>
        </w:rPr>
        <w:t>O recurso extraordinário é cabível contra decisão judicial em sentido material, isto é, contra decisão proferida por órgão do Poder Judiciário no exercício de sua função propriamente jurisdicional. Daí o pressuposto constitucional de cabimento do apelo extremo, expresso na palavra "causa" (inciso III do art. 102 da Lei Maior). Não se conhece, pois, de apelo extremo manejado nos autos de procedimento de natureza administrativa (...). Os sistemas recursais próprios do processo judicial e do processo administrativo não se mesclam e é exatamente esta separação que resguarda os princípios do due pr</w:t>
      </w:r>
    </w:p>
    <w:p>
      <w:pPr>
        <w:ind w:left="288"/>
      </w:pPr>
      <w:r>
        <w:rPr>
          <w:b/>
          <w:color w:val="003CA0"/>
          <w:sz w:val="16"/>
        </w:rPr>
        <w:t>[RE 454.421 AgR, rel. min. Ayres Britto, j. 23-5-2006, 1ª T, DJ de 8-9-2006.]</w:t>
      </w:r>
    </w:p>
    <w:p>
      <w:pPr>
        <w:ind w:left="288"/>
      </w:pPr>
      <w:r>
        <w:rPr>
          <w:color w:val="8C8C8C"/>
          <w:sz w:val="12"/>
        </w:rPr>
        <w:t>cf-art-102-inc-III</w:t>
      </w:r>
      <w:r>
        <w:rPr>
          <w:color w:val="003CA0"/>
          <w:sz w:val="12"/>
        </w:rPr>
        <w:t xml:space="preserve"> | AI 811.709</w:t>
      </w:r>
      <w:r>
        <w:rPr>
          <w:color w:val="003CA0"/>
          <w:sz w:val="12"/>
        </w:rPr>
        <w:t xml:space="preserve"> | rel. Gilmar Mendes</w:t>
      </w:r>
    </w:p>
    <w:p>
      <w:pPr>
        <w:ind w:left="288"/>
      </w:pPr>
      <w:r>
        <w:rPr>
          <w:color w:val="1E1E1E"/>
          <w:sz w:val="18"/>
        </w:rPr>
        <w:t>= AI 811.709 AgR, rel. min. Gilmar Mendes, j. 16-11-2010, 2ª T, DJE de 6-12-2010 = ARE 958.311-AGR, rel. p/ o ac. min. Gilmar Mendes, j. 27-2-2018, 2ª T, 10-10-2018 Fixação de multa por litigância de má-fé pelo STJ ao exercer o juízo de admissibilidade do recurso extraordinário. A multa por litigância de má-fé deve ser imposta por aquele que detém o juízo definitivo de admissibilidade do recurso. O exame da admissibilidade levado a efeito pelos tribunais inferiores tem natureza provisória e deve cingir-se à análise dos pressupostos genéricos e específicos de recorribilidade do extraordinário.</w:t>
      </w:r>
    </w:p>
    <w:p>
      <w:pPr>
        <w:ind w:left="288"/>
      </w:pPr>
      <w:r>
        <w:rPr>
          <w:b/>
          <w:color w:val="003CA0"/>
          <w:sz w:val="16"/>
        </w:rPr>
        <w:t>[AI 414.648 ED-AgR, rel. min. Joaquim Barbosa, j. 21-2-2006, 2ª T, DJ de 23-2-2006.]</w:t>
      </w:r>
    </w:p>
    <w:p>
      <w:pPr>
        <w:ind w:left="288"/>
      </w:pPr>
      <w:r>
        <w:rPr>
          <w:color w:val="8C8C8C"/>
          <w:sz w:val="12"/>
        </w:rPr>
        <w:t>cf-art-102-inc-III</w:t>
      </w:r>
      <w:r>
        <w:rPr>
          <w:color w:val="003CA0"/>
          <w:sz w:val="12"/>
        </w:rPr>
        <w:t xml:space="preserve"> | AI 417.007</w:t>
      </w:r>
      <w:r>
        <w:rPr>
          <w:color w:val="003CA0"/>
          <w:sz w:val="12"/>
        </w:rPr>
        <w:t xml:space="preserve"> | rel. Joaquim Barbosa</w:t>
      </w:r>
    </w:p>
    <w:p>
      <w:pPr>
        <w:ind w:left="288"/>
      </w:pPr>
      <w:r>
        <w:rPr>
          <w:color w:val="1E1E1E"/>
          <w:sz w:val="18"/>
        </w:rPr>
        <w:t>= AI 417.007 ED-AgR, rel. min. Joaquim Barbosa, j. 13-12-2006, 1ª T, DJE de 1º-2-2008 Enquanto se não instaure, mediante provimento ao agravo contra decisão de inadmissibilidade de recurso extraordinário, a competência do STF, a esse não lhe cabe conhecer de ação cautelar para depósito judicial nos autos do mesmo agravo.</w:t>
      </w:r>
    </w:p>
    <w:p>
      <w:pPr>
        <w:ind w:left="288"/>
      </w:pPr>
      <w:r>
        <w:rPr>
          <w:b/>
          <w:color w:val="003CA0"/>
          <w:sz w:val="16"/>
        </w:rPr>
        <w:t>[AC 510 AgR, rel. min. Cezar Peluso, j. 14-2-2006, 1ª T, DJ de 5-5-2006.]</w:t>
      </w:r>
    </w:p>
    <w:p>
      <w:pPr>
        <w:ind w:left="288"/>
      </w:pPr>
      <w:r>
        <w:rPr>
          <w:color w:val="8C8C8C"/>
          <w:sz w:val="12"/>
        </w:rPr>
        <w:t>cf-art-102-inc-III</w:t>
      </w:r>
      <w:r>
        <w:rPr>
          <w:color w:val="003CA0"/>
          <w:sz w:val="12"/>
        </w:rPr>
        <w:t xml:space="preserve"> | AC 2.240</w:t>
      </w:r>
      <w:r>
        <w:rPr>
          <w:color w:val="003CA0"/>
          <w:sz w:val="12"/>
        </w:rPr>
        <w:t xml:space="preserve"> | rel. Cezar Peluso</w:t>
      </w:r>
    </w:p>
    <w:p>
      <w:pPr>
        <w:ind w:left="288"/>
      </w:pPr>
      <w:r>
        <w:rPr>
          <w:color w:val="1E1E1E"/>
          <w:sz w:val="18"/>
        </w:rPr>
        <w:t>Vide AC 2.240 AgR, rel. min. Cezar Peluso, j. 1º-7-2009, P, DJE de 9-4-2010 Recurso extraordinário. Prequestionamento. Configuração. Razão de ser. O prequestionamento não resulta da circunstância de a matéria haver sido arguida pela parte recorrente. A configuração do instituto pressupõe debate e decisão prévios pelo colegiado, ou seja, emissão de juízo sobre o tema. O procedimento tem como escopo o cotejo indispensável a que se diga do enquadramento do recurso extraordinário no permissivo constitucional. Se o Tribunal de origem não adotou entendimento explícito a respeito do fato jurígeno vei</w:t>
      </w:r>
    </w:p>
    <w:p>
      <w:pPr>
        <w:ind w:left="288"/>
      </w:pPr>
      <w:r>
        <w:rPr>
          <w:b/>
          <w:color w:val="003CA0"/>
          <w:sz w:val="16"/>
        </w:rPr>
        <w:t>[RE 262.673, rel. min. Marco Aurélio, j. 11-10-2005, 1ª T, DJ de 24-2-2006.]</w:t>
      </w:r>
    </w:p>
    <w:p>
      <w:pPr>
        <w:ind w:left="288"/>
      </w:pPr>
      <w:r>
        <w:rPr>
          <w:color w:val="8C8C8C"/>
          <w:sz w:val="12"/>
        </w:rPr>
        <w:t>cf-art-102-inc-III</w:t>
      </w:r>
      <w:r>
        <w:rPr>
          <w:color w:val="003CA0"/>
          <w:sz w:val="12"/>
        </w:rPr>
        <w:t xml:space="preserve"> | RE 349.160</w:t>
      </w:r>
      <w:r>
        <w:rPr>
          <w:color w:val="003CA0"/>
          <w:sz w:val="12"/>
        </w:rPr>
        <w:t xml:space="preserve"> | rel. Sepúlveda Pertence</w:t>
      </w:r>
    </w:p>
    <w:p>
      <w:pPr>
        <w:ind w:left="288"/>
      </w:pPr>
      <w:r>
        <w:rPr>
          <w:color w:val="1E1E1E"/>
          <w:sz w:val="18"/>
        </w:rPr>
        <w:t>Recurso extraordinário: prequestionamento: Súmula 356. O que, a teor da Súmula 356, se reputa carente de prequestionamento é o ponto que, indevidamente omitido pelo acórdão, não foi objeto de embargos de declaração; mas, opostos esses, se, não obstante, se recusa o Tribunal a suprir a omissão, por entendê-la inexistente, nada mais se pode exigir da parte, permitindo-se-lhe, de logo, interpor recurso extraordinário sobre a matéria dos embargos de declaração e não sobre a recusa, no julgamento deles, de manifestação sobre ela.</w:t>
      </w:r>
    </w:p>
    <w:p>
      <w:pPr>
        <w:ind w:left="288"/>
      </w:pPr>
      <w:r>
        <w:rPr>
          <w:b/>
          <w:color w:val="003CA0"/>
          <w:sz w:val="16"/>
        </w:rPr>
        <w:t>[RE 349.160, rel. min. Sepúlveda Pertence, j. 11-2-2003, 1ª T, DJ de 14-3-2003.]</w:t>
      </w:r>
    </w:p>
    <w:p>
      <w:pPr>
        <w:ind w:left="288"/>
      </w:pPr>
      <w:r>
        <w:rPr>
          <w:color w:val="8C8C8C"/>
          <w:sz w:val="12"/>
        </w:rPr>
        <w:t>cf-art-102-inc-III</w:t>
      </w:r>
      <w:r>
        <w:rPr>
          <w:color w:val="003CA0"/>
          <w:sz w:val="12"/>
        </w:rPr>
        <w:t xml:space="preserve"> | RE 153.831</w:t>
      </w:r>
      <w:r>
        <w:rPr>
          <w:color w:val="003CA0"/>
          <w:sz w:val="12"/>
        </w:rPr>
        <w:t xml:space="preserve"> | rel. Ellen Gracie</w:t>
      </w:r>
    </w:p>
    <w:p>
      <w:pPr>
        <w:ind w:left="288"/>
      </w:pPr>
      <w:r>
        <w:rPr>
          <w:color w:val="1E1E1E"/>
          <w:sz w:val="18"/>
        </w:rPr>
        <w:t>Recurso extraordinário. Decisão do STJ que inadmite recurso especial. Cabimento. Hipótese excepcional. Admite-se recurso extraordinário contra decisão do STJ que, no exame do cabimento de recurso especial, assenta proposição contrária em tese ao disposto no art. 105, III e alíneas, da CF. Acórdão do STJ que entendeu não caber recurso especial contra acórdão de tribunal de justiça proferido em agravo de instrumento. O termo "causa" empregado no art. 105, III, da Constituição compreende qualquer questão federal resolvida em única ou última instância, pelos tribunais regionais federais ou pelos t</w:t>
      </w:r>
    </w:p>
    <w:p>
      <w:pPr>
        <w:ind w:left="288"/>
      </w:pPr>
      <w:r>
        <w:rPr>
          <w:b/>
          <w:color w:val="003CA0"/>
          <w:sz w:val="16"/>
        </w:rPr>
        <w:t>[RE 153.831, rel. min. Ellen Gracie, j. 3-12-2002, 1ª T, DJ de 14-3-2003.]</w:t>
      </w:r>
    </w:p>
    <w:p>
      <w:pPr>
        <w:ind w:left="288"/>
      </w:pPr>
      <w:r>
        <w:rPr>
          <w:color w:val="8C8C8C"/>
          <w:sz w:val="12"/>
        </w:rPr>
        <w:t>cf-art-102-inc-III</w:t>
      </w:r>
      <w:r>
        <w:rPr>
          <w:color w:val="003CA0"/>
          <w:sz w:val="12"/>
        </w:rPr>
        <w:t xml:space="preserve"> | RE 798.740</w:t>
      </w:r>
      <w:r>
        <w:rPr>
          <w:color w:val="003CA0"/>
          <w:sz w:val="12"/>
        </w:rPr>
        <w:t xml:space="preserve"> | rel. Marco Aurélio</w:t>
      </w:r>
    </w:p>
    <w:p>
      <w:pPr>
        <w:ind w:left="288"/>
      </w:pPr>
      <w:r>
        <w:rPr>
          <w:color w:val="1E1E1E"/>
          <w:sz w:val="18"/>
        </w:rPr>
        <w:t>= RE 798.740 AgR, rel. p/ o ac. min. Marco Aurélio, j. 1º-9-2015, 1ª T, DJE de 17-11-2015 Vide AI 256.382 AgR, rel. min. Celso de Mello, j. 18-6-2002, 2ª T, DJ de 14-2-2003 Mostra-se incabível o recurso extraordinário que tiver por objeto o reexame das premissas concretas em que se assentou o julgamento de recurso especial, efetuado pelo STJ, notadamente naquelas hipóteses em que o acórdão emanado dessa alta Corte judiciária revelar-se plenamente compatível com os pressupostos abstratos de admissibilidade referidos no art. 105, III, da Carta Política. Precedentes. Essa diretriz jurisprudencial</w:t>
      </w:r>
    </w:p>
    <w:p>
      <w:pPr>
        <w:ind w:left="288"/>
      </w:pPr>
      <w:r>
        <w:rPr>
          <w:b/>
          <w:color w:val="003CA0"/>
          <w:sz w:val="16"/>
        </w:rPr>
        <w:t>[AI 256.382 AgR, rel. min. Celso de Mello, j. 18-6-2002, 2ª T, DJ de 14-2-2003.]</w:t>
      </w:r>
    </w:p>
    <w:p>
      <w:pPr>
        <w:ind w:left="288"/>
      </w:pPr>
      <w:r>
        <w:rPr>
          <w:color w:val="8C8C8C"/>
          <w:sz w:val="12"/>
        </w:rPr>
        <w:t>cf-art-102-inc-III</w:t>
      </w:r>
      <w:r>
        <w:rPr>
          <w:color w:val="003CA0"/>
          <w:sz w:val="12"/>
        </w:rPr>
        <w:t xml:space="preserve"> | AI 788.579</w:t>
      </w:r>
      <w:r>
        <w:rPr>
          <w:color w:val="003CA0"/>
          <w:sz w:val="12"/>
        </w:rPr>
        <w:t xml:space="preserve"> | rel. Eros Grau</w:t>
      </w:r>
    </w:p>
    <w:p>
      <w:pPr>
        <w:ind w:left="288"/>
      </w:pPr>
      <w:r>
        <w:rPr>
          <w:color w:val="1E1E1E"/>
          <w:sz w:val="18"/>
        </w:rPr>
        <w:t>= AI 788.579 AgR, rel. min. Eros Grau, j. 4-5-2010, 2ª T, DJE de 28-5-2010 Vide RE 590.099 AgR, rel. min. Cezar Peluso, j. 9-6-2009, 2ª T, DJE de 1º-7-2009 Vide RE 153.831, rel. min. Ellen Gracie, j. 3-12-2002, 1ª T, DJ de 14-3-2003 Em matéria eleitoral, o prazo de interposição do recurso extraordinário é de três dias. A norma legal que define esse prazo recursal (Lei 6.055/1974, art. 12) – por qualificar-se como lex specialis – não foi derrogada pelo art. 508 do CPC, na redação que lhe deu a Lei 8.950/1994. (...) É também de três dias, consoante prescreve o Código Eleitoral (art. 282), o praz</w:t>
      </w:r>
    </w:p>
    <w:p>
      <w:pPr>
        <w:ind w:left="288"/>
      </w:pPr>
      <w:r>
        <w:rPr>
          <w:b/>
          <w:color w:val="003CA0"/>
          <w:sz w:val="16"/>
        </w:rPr>
        <w:t>[AI 371.643 AgR, rel. min. Celso de Mello, j. 18-6-2002, 2ª T, DJ de 11-10-2002.]</w:t>
      </w:r>
    </w:p>
    <w:p>
      <w:pPr>
        <w:ind w:left="288"/>
      </w:pPr>
      <w:r>
        <w:rPr>
          <w:color w:val="8C8C8C"/>
          <w:sz w:val="12"/>
        </w:rPr>
        <w:t>cf-art-102-inc-III</w:t>
      </w:r>
      <w:r>
        <w:rPr>
          <w:color w:val="003CA0"/>
          <w:sz w:val="12"/>
        </w:rPr>
        <w:t xml:space="preserve"> | AI 768.364</w:t>
      </w:r>
      <w:r>
        <w:rPr>
          <w:color w:val="003CA0"/>
          <w:sz w:val="12"/>
        </w:rPr>
        <w:t xml:space="preserve"> | rel. Gilmar Mendes</w:t>
      </w:r>
    </w:p>
    <w:p>
      <w:pPr>
        <w:ind w:left="288"/>
      </w:pPr>
      <w:r>
        <w:rPr>
          <w:color w:val="1E1E1E"/>
          <w:sz w:val="18"/>
        </w:rPr>
        <w:t>= AI 768.364 AgR, rel. min. Gilmar Mendes, j. 16-12-2009, P, DJE de 12-2-2010 Recurso extraordinário. Tempestividade. Autarquia federal. O termo inicial do prazo é a publicação da decisão recorrida na imprensa oficial, e não a intimação pessoal do seu procurador, prerrogativa conferida apenas aos advogados da União e procuradores da Fazenda Nacional.</w:t>
      </w:r>
    </w:p>
    <w:p>
      <w:pPr>
        <w:ind w:left="288"/>
      </w:pPr>
      <w:r>
        <w:rPr>
          <w:b/>
          <w:color w:val="003CA0"/>
          <w:sz w:val="16"/>
        </w:rPr>
        <w:t>[RE 308.282 AgR, rel. min. Ellen Gracie, j. 26-3-2002, 1ª T, DJ de 26-4-2002.]</w:t>
      </w:r>
    </w:p>
    <w:p>
      <w:pPr>
        <w:ind w:left="288"/>
      </w:pPr>
      <w:r>
        <w:rPr>
          <w:color w:val="8C8C8C"/>
          <w:sz w:val="12"/>
        </w:rPr>
        <w:t>cf-art-102-inc-III</w:t>
      </w:r>
      <w:r>
        <w:rPr>
          <w:color w:val="003CA0"/>
          <w:sz w:val="12"/>
        </w:rPr>
        <w:t xml:space="preserve"> | AI 275.637</w:t>
      </w:r>
      <w:r>
        <w:rPr>
          <w:color w:val="003CA0"/>
          <w:sz w:val="12"/>
        </w:rPr>
        <w:t xml:space="preserve"> | rel. Ellen Gracie</w:t>
      </w:r>
    </w:p>
    <w:p>
      <w:pPr>
        <w:ind w:left="288"/>
      </w:pPr>
      <w:r>
        <w:rPr>
          <w:color w:val="1E1E1E"/>
          <w:sz w:val="18"/>
        </w:rPr>
        <w:t>Recurso extraordinário: interposição simultânea com embargos de divergência, contra o mesmo acórdão de Turma do STJ: inexigibilidade de sua ratificação após a decisão do Tribunal a quo que não conheceu dos embargos de divergência: transplante da solução legislativa, do art. 802, § 2º, do CPC de 1939, para a hipótese similar de interposição simultânea do recurso extraordinário e do extinto recurso de revista.</w:t>
      </w:r>
    </w:p>
    <w:p>
      <w:pPr>
        <w:ind w:left="288"/>
      </w:pPr>
      <w:r>
        <w:rPr>
          <w:b/>
          <w:color w:val="003CA0"/>
          <w:sz w:val="16"/>
        </w:rPr>
        <w:t>[AI 275.637 AgR, rel. min. Ellen Gracie, j. 26-6-2001, 1ª T, DJ de 19-12-2001.]</w:t>
      </w:r>
    </w:p>
    <w:p>
      <w:pPr>
        <w:ind w:left="288"/>
      </w:pPr>
      <w:r>
        <w:rPr>
          <w:color w:val="8C8C8C"/>
          <w:sz w:val="12"/>
        </w:rPr>
        <w:t>cf-art-102-inc-III</w:t>
      </w:r>
      <w:r>
        <w:rPr>
          <w:color w:val="003CA0"/>
          <w:sz w:val="12"/>
        </w:rPr>
        <w:t xml:space="preserve"> | RE 205.455</w:t>
      </w:r>
      <w:r>
        <w:rPr>
          <w:color w:val="003CA0"/>
          <w:sz w:val="12"/>
        </w:rPr>
        <w:t xml:space="preserve"> | rel. Sepúlveda Pertence</w:t>
      </w:r>
    </w:p>
    <w:p>
      <w:pPr>
        <w:ind w:left="288"/>
      </w:pPr>
      <w:r>
        <w:rPr>
          <w:color w:val="1E1E1E"/>
          <w:sz w:val="18"/>
        </w:rPr>
        <w:t>Ao atribuir implicitamente aos embargos declaratórios o condão de suprir a falta de prequestionamento, a Súmula 356 pressupõe que a decisão embargada tenha sido omissa a respeito, não cabendo falar em omissão se, como ocorre na espécie no que tange à alegação de cerceamento de defesa, a matéria não houver sido posta anteriormente ao exame do tribunal a quo.</w:t>
      </w:r>
    </w:p>
    <w:p>
      <w:pPr>
        <w:ind w:left="288"/>
      </w:pPr>
      <w:r>
        <w:rPr>
          <w:b/>
          <w:color w:val="003CA0"/>
          <w:sz w:val="16"/>
        </w:rPr>
        <w:t>[RE 205.455, rel. min. Sepúlveda Pertence, j. 18-12-2000, 1ª T, DJ de 6-4-2001.]</w:t>
      </w:r>
    </w:p>
    <w:p>
      <w:pPr>
        <w:ind w:left="288"/>
      </w:pPr>
      <w:r>
        <w:rPr>
          <w:color w:val="8C8C8C"/>
          <w:sz w:val="12"/>
        </w:rPr>
        <w:t>cf-art-102-inc-III</w:t>
      </w:r>
      <w:r>
        <w:rPr>
          <w:color w:val="003CA0"/>
          <w:sz w:val="12"/>
        </w:rPr>
        <w:t xml:space="preserve"> | RE 558.182</w:t>
      </w:r>
      <w:r>
        <w:rPr>
          <w:color w:val="003CA0"/>
          <w:sz w:val="12"/>
        </w:rPr>
        <w:t xml:space="preserve"> | rel. Ellen Gracie</w:t>
      </w:r>
    </w:p>
    <w:p>
      <w:pPr>
        <w:ind w:left="288"/>
      </w:pPr>
      <w:r>
        <w:rPr>
          <w:color w:val="1E1E1E"/>
          <w:sz w:val="18"/>
        </w:rPr>
        <w:t xml:space="preserve">= RE 558.182 AgR, rel. min. Ellen Gracie, j. 20-10-2009, 2ª T, DJE de 13-11-2009 Em se tratando de acórdão que deu provimento a agravo para deferir a liminar pleiteada por entender que havia o fumus boni iuris e o periculum in mora, o que o aresto afirmou, com referência ao primeiro desses requisitos, foi que os fundamentos jurídicos (no caso, constitucionais) do mandado de segurança eram relevantes, o que, evidentemente, não é manifestação conclusiva da procedência deles para ocorrer a hipótese de cabimento do recurso extraordinário pela letra a do inciso I do art. 102 da Constituição (que é </w:t>
      </w:r>
    </w:p>
    <w:p>
      <w:pPr>
        <w:ind w:left="288"/>
      </w:pPr>
      <w:r>
        <w:rPr>
          <w:b/>
          <w:color w:val="003CA0"/>
          <w:sz w:val="16"/>
        </w:rPr>
        <w:t>[AI 252.382 AgR, rel. min. Moreira Alves, j. 15-2-2000, 1ª T, DJ de 24-3-2000.]</w:t>
      </w:r>
    </w:p>
    <w:p>
      <w:pPr>
        <w:ind w:left="288"/>
      </w:pPr>
      <w:r>
        <w:rPr>
          <w:color w:val="8C8C8C"/>
          <w:sz w:val="12"/>
        </w:rPr>
        <w:t>cf-art-102-inc-III</w:t>
      </w:r>
      <w:r>
        <w:rPr>
          <w:color w:val="003CA0"/>
          <w:sz w:val="12"/>
        </w:rPr>
        <w:t xml:space="preserve"> | RE 409.755</w:t>
      </w:r>
      <w:r>
        <w:rPr>
          <w:color w:val="003CA0"/>
          <w:sz w:val="12"/>
        </w:rPr>
        <w:t xml:space="preserve"> | rel. Joaquim Barbosa</w:t>
      </w:r>
    </w:p>
    <w:p>
      <w:pPr>
        <w:ind w:left="288"/>
      </w:pPr>
      <w:r>
        <w:rPr>
          <w:color w:val="1E1E1E"/>
          <w:sz w:val="18"/>
        </w:rPr>
        <w:t>= RE 409.755 AgR, rel. min. Joaquim Barbosa, j. 10-8-2010, 2ª T, DJE de 1º-10-2010 Vide AC 1.745 AgR, rel. min. Cezar Peluso, j. 2-12-2008, 2ª T, DJE de 6-2-2009 Não é lícito à parte recorrente inovar em sua postulação recursal para nela fazer incluir pedido diverso daquele que foi originariamente deduzido quando do ajuizamento da ação perante as instâncias ordinárias. Se o recorrente deixou de formular, em ordem sucessiva, mais de um pedido, como lhe era lícito fazer (CPC, art. 289), a fim de que o juiz conhecesse do posterior (pedido subsidiário), na eventualidade de não poder acolher o ante</w:t>
      </w:r>
    </w:p>
    <w:p>
      <w:pPr>
        <w:ind w:left="288"/>
      </w:pPr>
      <w:r>
        <w:rPr>
          <w:b/>
          <w:color w:val="003CA0"/>
          <w:sz w:val="16"/>
        </w:rPr>
        <w:t>[RE 170.385 AgR, rel. min. Celso de Mello, j. 16-5-1995, 1ª T, DJ de 23-6-1995.]</w:t>
      </w:r>
    </w:p>
    <w:p>
      <w:pPr>
        <w:ind w:left="288"/>
      </w:pPr>
      <w:r>
        <w:rPr>
          <w:color w:val="8C8C8C"/>
          <w:sz w:val="12"/>
        </w:rPr>
        <w:t>cf-art-102-inc-III</w:t>
      </w:r>
      <w:r>
        <w:rPr>
          <w:color w:val="003CA0"/>
          <w:sz w:val="12"/>
        </w:rPr>
        <w:t xml:space="preserve"> | RE 452.294</w:t>
      </w:r>
      <w:r>
        <w:rPr>
          <w:color w:val="003CA0"/>
          <w:sz w:val="12"/>
        </w:rPr>
        <w:t xml:space="preserve"> | rel. Ricardo Lewandowski</w:t>
      </w:r>
    </w:p>
    <w:p>
      <w:pPr>
        <w:ind w:left="288"/>
      </w:pPr>
      <w:r>
        <w:rPr>
          <w:color w:val="1E1E1E"/>
          <w:sz w:val="18"/>
        </w:rPr>
        <w:t>= RE 452.294 AgR, rel. min. Ricardo Lewandowski, j. 1º-6-2010, 1ª T, DJE de 6-8-2010 Desistência parcial do recurso extraordinário manifestada após concluído o julgamento. Desacolhimento. Uma vez proferido o julgamento, a parte não pode alterar o objeto do recurso, desistindo de parte dele e modificando a decisão alcançada. A regra do art. 501 do CPC não pode ser interpretada de forma absoluta, afastando-se qualquer possibilidade de desistência do recurso depois de concluído o julgamento.</w:t>
      </w:r>
    </w:p>
    <w:p>
      <w:pPr>
        <w:ind w:left="288"/>
      </w:pPr>
      <w:r>
        <w:rPr>
          <w:b/>
          <w:color w:val="003CA0"/>
          <w:sz w:val="16"/>
        </w:rPr>
        <w:t>[RE 144.972 QO, rel. min. Ilmar Galvão, j. 9-5-1995, 1ª T, DJ de 22-9-1995.]</w:t>
      </w:r>
    </w:p>
    <w:p>
      <w:pPr>
        <w:ind w:left="288"/>
      </w:pPr>
      <w:r>
        <w:rPr>
          <w:color w:val="8C8C8C"/>
          <w:sz w:val="12"/>
        </w:rPr>
        <w:t>cf-art-102-inc-III</w:t>
      </w:r>
      <w:r>
        <w:rPr>
          <w:color w:val="003CA0"/>
          <w:sz w:val="12"/>
        </w:rPr>
        <w:t xml:space="preserve"> | RE 451.289</w:t>
      </w:r>
      <w:r>
        <w:rPr>
          <w:color w:val="003CA0"/>
          <w:sz w:val="12"/>
        </w:rPr>
        <w:t xml:space="preserve"> | rel. Ricardo Lewandowski</w:t>
      </w:r>
    </w:p>
    <w:p>
      <w:pPr>
        <w:ind w:left="288"/>
      </w:pPr>
      <w:r>
        <w:rPr>
          <w:color w:val="1E1E1E"/>
          <w:sz w:val="18"/>
        </w:rPr>
        <w:t>Vide RE 451.289 AgR-AgR, rel. min. Ricardo Lewandowski, j. 22-2-2011, 1ª T, DJE de 15-3-2011 O recurso extraordinário e o recurso especial são institutos de direito processual constitucional. Essas duas modalidades extraordinárias de impugnação recursal possuem domínios temáticos próprios que lhes foram constitucionalmente reservados. Reservou-se, ao recurso extraordinário, em sua precípua função jurídico-processual, a defesa objetiva da norma constitucional, cabendo, ao STF, nesse contexto, a guarda e a proteção da intangibilidade da ordem jurídica formalmente positivada na CF. O recurso espe</w:t>
      </w:r>
    </w:p>
    <w:p>
      <w:pPr>
        <w:ind w:left="288"/>
      </w:pPr>
      <w:r>
        <w:rPr>
          <w:b/>
          <w:color w:val="003CA0"/>
          <w:sz w:val="16"/>
        </w:rPr>
        <w:t>[AI 162.245 AgR, rel. min. Celso de Mello, j. 30-8-1994, 1ª T, DJ de 24-11-2000.]</w:t>
      </w:r>
    </w:p>
    <w:p>
      <w:pPr>
        <w:ind w:left="288"/>
      </w:pPr>
      <w:r>
        <w:rPr>
          <w:color w:val="8C8C8C"/>
          <w:sz w:val="12"/>
        </w:rPr>
        <w:t>cf-art-102-inc-III</w:t>
      </w:r>
      <w:r>
        <w:rPr>
          <w:color w:val="003CA0"/>
          <w:sz w:val="12"/>
        </w:rPr>
        <w:t xml:space="preserve"> | AI 603.866</w:t>
      </w:r>
      <w:r>
        <w:rPr>
          <w:color w:val="003CA0"/>
          <w:sz w:val="12"/>
        </w:rPr>
        <w:t xml:space="preserve"> | rel. Marco Aurélio</w:t>
      </w:r>
    </w:p>
    <w:p>
      <w:pPr>
        <w:ind w:left="288"/>
      </w:pPr>
      <w:r>
        <w:rPr>
          <w:color w:val="1E1E1E"/>
          <w:sz w:val="18"/>
        </w:rPr>
        <w:t>= AI 603.866 AgR, rel. min. Marco Aurélio, j. 9-6-2009, 1ª T, DJE de 21-8-2009 Vide HC 94.337, rel. min. Cármen Lúcia, j. 3-6-2008, 1ª T, DJE de 31-10-2008 Recurso extraordinário: interposição de decisão do STJ em recurso especial: inadmissibilidade, se a questão constitucional de que se ocupou o acórdão recorrido já fora suscitada e resolvida na decisão de segundo grau e, ademais, constitui fundamento suficiente da decisão da causa. Do sistema constitucional vigente, que prevê o cabimento simultâneo de recurso extraordinário e de recurso especial contra o mesmo acórdão dos tribunais de segund</w:t>
      </w:r>
    </w:p>
    <w:p>
      <w:pPr>
        <w:ind w:left="288"/>
      </w:pPr>
      <w:r>
        <w:rPr>
          <w:b/>
          <w:color w:val="003CA0"/>
          <w:sz w:val="16"/>
        </w:rPr>
        <w:t>[AI 145.589 AgR, rel. min. Sepúlveda Pertence, j. 2-9-1993, P, DJ de 24-6-1994.]</w:t>
      </w:r>
    </w:p>
    <w:p>
      <w:pPr>
        <w:ind w:left="288"/>
      </w:pPr>
      <w:r>
        <w:rPr>
          <w:color w:val="8C8C8C"/>
          <w:sz w:val="12"/>
        </w:rPr>
        <w:t>cf-art-102-inc-III</w:t>
      </w:r>
      <w:r>
        <w:rPr>
          <w:color w:val="003CA0"/>
          <w:sz w:val="12"/>
        </w:rPr>
        <w:t xml:space="preserve"> | AI 463.220</w:t>
      </w:r>
      <w:r>
        <w:rPr>
          <w:color w:val="003CA0"/>
          <w:sz w:val="12"/>
        </w:rPr>
        <w:t xml:space="preserve"> | rel. Ricardo Lewandowski</w:t>
      </w:r>
    </w:p>
    <w:p>
      <w:pPr>
        <w:ind w:left="288"/>
      </w:pPr>
      <w:r>
        <w:rPr>
          <w:color w:val="1E1E1E"/>
          <w:sz w:val="18"/>
        </w:rPr>
        <w:t>= AI 463.220 AgR, rel. min. Ricardo Lewandowski, j. 15-2-2011, 1ª T, DJE de 4-3-2011 Não se aplica ao julgamento do recurso extraordinário, pelo STF, o princípio jura novit curia.</w:t>
      </w:r>
    </w:p>
    <w:p>
      <w:pPr>
        <w:ind w:left="288"/>
      </w:pPr>
      <w:r>
        <w:rPr>
          <w:b/>
          <w:color w:val="003CA0"/>
          <w:sz w:val="16"/>
        </w:rPr>
        <w:t>[AI 141.873 AgR, rel. min. Celso de Mello, j. 6-4-1993, 1ª T, DJ de 7-5-1993.]</w:t>
      </w:r>
    </w:p>
    <w:p>
      <w:pPr>
        <w:ind w:left="288"/>
      </w:pPr>
      <w:r>
        <w:rPr>
          <w:color w:val="8C8C8C"/>
          <w:sz w:val="12"/>
        </w:rPr>
        <w:t>cf-art-102-inc-III</w:t>
      </w:r>
      <w:r>
        <w:rPr>
          <w:color w:val="003CA0"/>
          <w:sz w:val="12"/>
        </w:rPr>
        <w:t xml:space="preserve"> | AI 253.566</w:t>
      </w:r>
      <w:r>
        <w:rPr>
          <w:color w:val="003CA0"/>
          <w:sz w:val="12"/>
        </w:rPr>
        <w:t xml:space="preserve"> | rel. Sepúlveda Pertence</w:t>
      </w:r>
    </w:p>
    <w:p>
      <w:pPr>
        <w:ind w:left="288"/>
      </w:pPr>
      <w:r>
        <w:rPr>
          <w:color w:val="1E1E1E"/>
          <w:sz w:val="18"/>
        </w:rPr>
        <w:t>= AI 253.566 AgR, rel. min. Sepúlveda Pertence, j. 15-2-2000, 1ª T, DJ de 3-3-2000</w:t>
      </w:r>
    </w:p>
    <w:p>
      <w:pPr>
        <w:ind w:left="144"/>
      </w:pPr>
      <w:r>
        <w:rPr>
          <w:b/>
          <w:color w:val="B45A00"/>
          <w:sz w:val="16"/>
        </w:rPr>
        <w:t>SUMULA</w:t>
      </w:r>
    </w:p>
    <w:p>
      <w:pPr>
        <w:ind w:left="288"/>
      </w:pPr>
      <w:r>
        <w:rPr>
          <w:color w:val="8C8C8C"/>
          <w:sz w:val="12"/>
        </w:rPr>
        <w:t>cf-art-102-inc-III-ali-a</w:t>
      </w:r>
    </w:p>
    <w:p>
      <w:pPr>
        <w:ind w:left="288"/>
      </w:pPr>
      <w:r>
        <w:rPr>
          <w:color w:val="1E1E1E"/>
          <w:sz w:val="18"/>
        </w:rPr>
        <w:t>Decisão que deu razoável interpretação à lei, ainda que não seja a melhor, não autoriza recurso extraordinário pela letra a do art. 101, III, da CF.</w:t>
      </w:r>
    </w:p>
    <w:p>
      <w:pPr>
        <w:ind w:left="288"/>
      </w:pPr>
      <w:r>
        <w:rPr>
          <w:b/>
          <w:color w:val="003CA0"/>
          <w:sz w:val="16"/>
        </w:rPr>
        <w:t>[Súmula 400.]</w:t>
      </w:r>
    </w:p>
    <w:p>
      <w:pPr>
        <w:ind w:left="144"/>
      </w:pPr>
      <w:r>
        <w:rPr>
          <w:b/>
          <w:color w:val="B45A00"/>
          <w:sz w:val="16"/>
        </w:rPr>
        <w:t>JULGADOS CORRELATOS</w:t>
      </w:r>
    </w:p>
    <w:p>
      <w:pPr>
        <w:ind w:left="288"/>
      </w:pPr>
      <w:r>
        <w:rPr>
          <w:color w:val="8C8C8C"/>
          <w:sz w:val="12"/>
        </w:rPr>
        <w:t>cf-art-102-inc-III-ali-a</w:t>
      </w:r>
      <w:r>
        <w:rPr>
          <w:color w:val="003CA0"/>
          <w:sz w:val="12"/>
        </w:rPr>
        <w:t xml:space="preserve"> | ARE 688.776</w:t>
      </w:r>
      <w:r>
        <w:rPr>
          <w:color w:val="003CA0"/>
          <w:sz w:val="12"/>
        </w:rPr>
        <w:t xml:space="preserve"> | rel. Dias Toffoli</w:t>
      </w:r>
    </w:p>
    <w:p>
      <w:pPr>
        <w:ind w:left="288"/>
      </w:pPr>
      <w:r>
        <w:rPr>
          <w:color w:val="1E1E1E"/>
          <w:sz w:val="18"/>
        </w:rPr>
        <w:t>A jurisprudência desta Corte é pacífica no sentido de que os embargos de declaração opostos contra decisão em que o Presidente do Tribunal de origem não admite o recurso extraordinário, por serem incabíveis, não suspendem ou interrompem o prazo para a interposição do agravo.</w:t>
        <w:br/>
        <w:t xml:space="preserve">[ARE 688.776-ED e ARE 685.997-ED, rel. min. Dias Toffoli, j. 28-11-2017, 1ª T, DJE de 27-4-2018.] O recurso extraordinário não é mero instrumento de uniformização jurisprudencial. A simples existência de precedente alegadamente favorável à tese da parte interessada é insuficiente, por si, para justificar a interposição do </w:t>
      </w:r>
    </w:p>
    <w:p>
      <w:pPr>
        <w:ind w:left="288"/>
      </w:pPr>
      <w:r>
        <w:rPr>
          <w:b/>
          <w:color w:val="003CA0"/>
          <w:sz w:val="16"/>
        </w:rPr>
        <w:t>[AI 465.014 AgR, rel. min. Marco Aurélio, j. 8-4-2008, 1ª T, DJE de 29-8-2008.]</w:t>
      </w:r>
    </w:p>
    <w:p>
      <w:pPr>
        <w:ind w:left="288"/>
      </w:pPr>
      <w:r>
        <w:rPr>
          <w:color w:val="8C8C8C"/>
          <w:sz w:val="12"/>
        </w:rPr>
        <w:t>cf-art-102-inc-III-ali-a</w:t>
      </w:r>
      <w:r>
        <w:rPr>
          <w:color w:val="003CA0"/>
          <w:sz w:val="12"/>
        </w:rPr>
        <w:t xml:space="preserve"> | RE 200.972</w:t>
      </w:r>
      <w:r>
        <w:rPr>
          <w:color w:val="003CA0"/>
          <w:sz w:val="12"/>
        </w:rPr>
        <w:t xml:space="preserve"> | rel. Marco Aurélio. O pronunciamento explícito do Tribunal de origem</w:t>
      </w:r>
    </w:p>
    <w:p>
      <w:pPr>
        <w:ind w:left="288"/>
      </w:pPr>
      <w:r>
        <w:rPr>
          <w:color w:val="1E1E1E"/>
          <w:sz w:val="18"/>
        </w:rPr>
        <w:t>Acórdão recorrido assentado em dispositivo de lei declarado inconstitucional em sede de controle concentrado. Julgamento imediato da lide. Impossibilidade. Súmula 456/STF. Não aplicabilidade. Matéria devidamente prequestionada. Súmulas 282/STF e 356/STF. Não incidência. Se o aresto recorrido está assentado em dispositivo de lei declarado inconstitucional pelo STF em ação direta, o julgamento do recurso extraordinário se limita ao afastamento da respectiva premissa e à devolução dos autos à Corte de origem, para regular prosseguimento do feito. Isso a fim de que a lide ganhe os contornos legais</w:t>
      </w:r>
    </w:p>
    <w:p>
      <w:pPr>
        <w:ind w:left="288"/>
      </w:pPr>
      <w:r>
        <w:rPr>
          <w:b/>
          <w:color w:val="003CA0"/>
          <w:sz w:val="16"/>
        </w:rPr>
        <w:t>[RE 462.069 AgR, rel. min. Ayres Britto, j. 14-12-2006, 1ª T, DJE de 1º-8-2008.]</w:t>
      </w:r>
    </w:p>
    <w:p>
      <w:pPr>
        <w:ind w:left="288"/>
      </w:pPr>
      <w:r>
        <w:rPr>
          <w:color w:val="8C8C8C"/>
          <w:sz w:val="12"/>
        </w:rPr>
        <w:t>cf-art-102-inc-III-ali-a</w:t>
      </w:r>
      <w:r>
        <w:rPr>
          <w:color w:val="003CA0"/>
          <w:sz w:val="12"/>
        </w:rPr>
        <w:t xml:space="preserve"> | RE 197.917</w:t>
      </w:r>
      <w:r>
        <w:rPr>
          <w:color w:val="003CA0"/>
          <w:sz w:val="12"/>
        </w:rPr>
        <w:t xml:space="preserve"> | rel. Maurício Corrêa (Pleno). Revela-se inaplicável</w:t>
      </w:r>
    </w:p>
    <w:p>
      <w:pPr>
        <w:ind w:left="288"/>
      </w:pPr>
      <w:r>
        <w:rPr>
          <w:color w:val="1E1E1E"/>
          <w:sz w:val="18"/>
        </w:rPr>
        <w:t>Considerações sobre o valor do ato inconstitucional. Os diversos graus de invalidade do ato em conflito com a Constituição: ato inexistente? Ato nulo? Ato anulável (com eficácia ex tunc ou com eficácia ex nunc)? Formulações teóricas. O status quaestionis na jurisprudência do STF. Modulação temporal dos efeitos da decisão de inconstitucionalidade: técnica inaplicável quando se tratar de juízo negativo de recepção de atos pré-constitucionais. A declaração de inconstitucionalidade reveste-se, ordinariamente, de eficácia ex tunc (RTJ 146/461-462 – RTJ 164/506-509), retroagindo ao momento em que ed</w:t>
      </w:r>
    </w:p>
    <w:p>
      <w:pPr>
        <w:ind w:left="288"/>
      </w:pPr>
      <w:r>
        <w:rPr>
          <w:b/>
          <w:color w:val="003CA0"/>
          <w:sz w:val="16"/>
        </w:rPr>
        <w:t>[AI 589.281 AgR, rel. min. Celso de Mello, j. 5-9-2006, 2ª T, DJE de 10-11-2006.]</w:t>
      </w:r>
    </w:p>
    <w:p>
      <w:pPr>
        <w:ind w:left="288"/>
      </w:pPr>
      <w:r>
        <w:rPr>
          <w:color w:val="8C8C8C"/>
          <w:sz w:val="12"/>
        </w:rPr>
        <w:t>cf-art-102-inc-III-ali-a</w:t>
      </w:r>
      <w:r>
        <w:rPr>
          <w:color w:val="003CA0"/>
          <w:sz w:val="12"/>
        </w:rPr>
        <w:t xml:space="preserve"> | AI 532.232</w:t>
      </w:r>
      <w:r>
        <w:rPr>
          <w:color w:val="003CA0"/>
          <w:sz w:val="12"/>
        </w:rPr>
        <w:t xml:space="preserve"> | rel. Joaquim Barbosa</w:t>
      </w:r>
    </w:p>
    <w:p>
      <w:pPr>
        <w:ind w:left="288"/>
      </w:pPr>
      <w:r>
        <w:rPr>
          <w:color w:val="1E1E1E"/>
          <w:sz w:val="18"/>
        </w:rPr>
        <w:t>= AI 532.232 AgR, rel. min. Joaquim Barbosa, j. 30-6-2009, 2ª T, DJE de 14-8-2009 Controle incidente de inconstitucionalidade e o papel do STF. Ainda que não seja essencial à solução do caso concreto, não pode o Tribunal – dado o seu papel de "guarda da Constituição" – se furtar a enfrentar o problema de constitucionalidade suscitado incidentemente (v.g., SE 5.206 AgR; MS 20.505).</w:t>
      </w:r>
    </w:p>
    <w:p>
      <w:pPr>
        <w:ind w:left="288"/>
      </w:pPr>
      <w:r>
        <w:rPr>
          <w:b/>
          <w:color w:val="003CA0"/>
          <w:sz w:val="16"/>
        </w:rPr>
        <w:t>[RE 415.932, rel. min. Sepúlveda Pertence, j. 29-9-2004, P, DJ de 10-11-2006.]</w:t>
      </w:r>
    </w:p>
    <w:p>
      <w:pPr>
        <w:ind w:left="288"/>
      </w:pPr>
      <w:r>
        <w:rPr>
          <w:color w:val="8C8C8C"/>
          <w:sz w:val="12"/>
        </w:rPr>
        <w:t>cf-art-102-inc-III-ali-a</w:t>
      </w:r>
      <w:r>
        <w:rPr>
          <w:color w:val="003CA0"/>
          <w:sz w:val="12"/>
        </w:rPr>
        <w:t xml:space="preserve"> | RE 298.695</w:t>
      </w:r>
      <w:r>
        <w:rPr>
          <w:color w:val="003CA0"/>
          <w:sz w:val="12"/>
        </w:rPr>
        <w:t xml:space="preserve"> | rel. Sepúlveda Pertence</w:t>
      </w:r>
    </w:p>
    <w:p>
      <w:pPr>
        <w:ind w:left="288"/>
      </w:pPr>
      <w:r>
        <w:rPr>
          <w:color w:val="1E1E1E"/>
          <w:sz w:val="18"/>
        </w:rPr>
        <w:t>Recurso extraordinário: letra a: possibilidade de confirmação da decisão recorrida por fundamento constitucional diverso daquele em que se alicerçou o acórdão recorrido e em cuja inaplicabilidade ao caso se baseia o recuso extraordinário: manutenção, lastreada na garantia da irredutibilidade de vencimentos, da conclusão do acórdão recorrido, não obstante fundamentado este na violação do direito adquirido. Recurso extraordinário: letra a: alteração da tradicional orientação jurisprudencial do STF, segundo a qual só se conhece do recurso extraordinário, a, se for para dar-lhe provimento: distinç</w:t>
      </w:r>
    </w:p>
    <w:p>
      <w:pPr>
        <w:ind w:left="288"/>
      </w:pPr>
      <w:r>
        <w:rPr>
          <w:b/>
          <w:color w:val="003CA0"/>
          <w:sz w:val="16"/>
        </w:rPr>
        <w:t>[RE 298.695, rel. min. Sepúlveda Pertence, j. 6-8-2003, P, DJ de 24-10-2003.]</w:t>
      </w:r>
    </w:p>
    <w:p>
      <w:pPr>
        <w:ind w:left="288"/>
      </w:pPr>
      <w:r>
        <w:rPr>
          <w:color w:val="8C8C8C"/>
          <w:sz w:val="12"/>
        </w:rPr>
        <w:t>cf-art-102-inc-III-ali-a</w:t>
      </w:r>
      <w:r>
        <w:rPr>
          <w:color w:val="003CA0"/>
          <w:sz w:val="12"/>
        </w:rPr>
        <w:t xml:space="preserve"> | RCL 438</w:t>
      </w:r>
      <w:r>
        <w:rPr>
          <w:color w:val="003CA0"/>
          <w:sz w:val="12"/>
        </w:rPr>
        <w:t xml:space="preserve"> | rel. Sepúlveda Pertence</w:t>
      </w:r>
    </w:p>
    <w:p>
      <w:pPr>
        <w:ind w:left="288"/>
      </w:pPr>
      <w:r>
        <w:rPr>
          <w:color w:val="1E1E1E"/>
          <w:sz w:val="18"/>
        </w:rPr>
        <w:t>Reclamação: cabimento e procedência contra decisão de juiz presidente de colégio recursal de juizado de pequenas causas, que – a título de dele "não conhecer", porque não previsto na legislação específica de tais juizados – negou processamento e consequente remessa de agravo de instrumento que, interposto da denegação de recurso extraordinário no juízo a quo, é da competência privativa do Supremo Tribunal.</w:t>
      </w:r>
    </w:p>
    <w:p>
      <w:pPr>
        <w:ind w:left="288"/>
      </w:pPr>
      <w:r>
        <w:rPr>
          <w:b/>
          <w:color w:val="003CA0"/>
          <w:sz w:val="16"/>
        </w:rPr>
        <w:t>[Rcl 438, rel. min. Sepúlveda Pertence, j. 26-8-1993, P, DJ de 1º-10-1993.]</w:t>
      </w:r>
    </w:p>
    <w:p>
      <w:pPr>
        <w:ind w:left="288"/>
      </w:pPr>
      <w:r>
        <w:rPr>
          <w:color w:val="8C8C8C"/>
          <w:sz w:val="12"/>
        </w:rPr>
        <w:t>cf-art-102-inc-III-ali-a</w:t>
      </w:r>
      <w:r>
        <w:rPr>
          <w:color w:val="003CA0"/>
          <w:sz w:val="12"/>
        </w:rPr>
        <w:t xml:space="preserve"> | AI 145.680</w:t>
      </w:r>
      <w:r>
        <w:rPr>
          <w:color w:val="003CA0"/>
          <w:sz w:val="12"/>
        </w:rPr>
        <w:t xml:space="preserve"> | rel. Celso de Mello</w:t>
      </w:r>
    </w:p>
    <w:p>
      <w:pPr>
        <w:ind w:left="288"/>
      </w:pPr>
      <w:r>
        <w:rPr>
          <w:color w:val="1E1E1E"/>
          <w:sz w:val="18"/>
        </w:rPr>
        <w:t>Temas de índole constitucional não se expõem, em função da própria natureza de que se revestem, à incidência do enunciado 400 da Súmula do STF. Essa formulação sumular não tem qualquer pertinência e aplicabilidade às causas que veiculem, perante o STF, em sede recursal extraordinária, questões de direito constitucional positivo.</w:t>
      </w:r>
    </w:p>
    <w:p>
      <w:pPr>
        <w:ind w:left="288"/>
      </w:pPr>
      <w:r>
        <w:rPr>
          <w:b/>
          <w:color w:val="003CA0"/>
          <w:sz w:val="16"/>
        </w:rPr>
        <w:t>[AI 145.680 AgR, rel. min. Celso de Mello, j. 13-4-1993, 1ª T, DJ de 30-4-1993.]</w:t>
      </w:r>
    </w:p>
    <w:p>
      <w:pPr>
        <w:ind w:left="288"/>
      </w:pPr>
      <w:r>
        <w:rPr>
          <w:color w:val="8C8C8C"/>
          <w:sz w:val="12"/>
        </w:rPr>
        <w:t>cf-art-102-inc-III-ali-a</w:t>
      </w:r>
      <w:r>
        <w:rPr>
          <w:color w:val="003CA0"/>
          <w:sz w:val="12"/>
        </w:rPr>
        <w:t xml:space="preserve"> | RE 149.478</w:t>
      </w:r>
      <w:r>
        <w:rPr>
          <w:color w:val="003CA0"/>
          <w:sz w:val="12"/>
        </w:rPr>
        <w:t xml:space="preserve"> | rel. Sepúlveda Pertence</w:t>
      </w:r>
    </w:p>
    <w:p>
      <w:pPr>
        <w:ind w:left="288"/>
      </w:pPr>
      <w:r>
        <w:rPr>
          <w:color w:val="1E1E1E"/>
          <w:sz w:val="18"/>
        </w:rPr>
        <w:t>Recurso extraordinário, a: acórdão recorrido de órgão fracionário do tribunal a quo, fundado na afirmação incidente de constitucionalidade da lei discutida, já antes declarada pelo Plenário, em outro processo: hipótese em que, se o acórdão recorrido tem motivação própria, se dispensa a documentação do teor da decisão plenária no mesmo sentido: revisão da jurisprudência anterior. Cuidando-se de declaração incidente de constitucionalidade – e não de inconstitucionalidade – da lei, a competência, quando for o caso, será do órgão parcial a quem couber, segundo as normas gerais aplicáveis, julgar o</w:t>
      </w:r>
    </w:p>
    <w:p>
      <w:pPr>
        <w:ind w:left="288"/>
      </w:pPr>
      <w:r>
        <w:rPr>
          <w:b/>
          <w:color w:val="003CA0"/>
          <w:sz w:val="16"/>
        </w:rPr>
        <w:t>[RE 149.478 AgR, rel. min. Sepúlveda Pertence, j. 24-3-1993, P, DJ de 23-4-1993.]</w:t>
      </w:r>
    </w:p>
    <w:p>
      <w:pPr>
        <w:ind w:left="288"/>
      </w:pPr>
      <w:r>
        <w:rPr>
          <w:color w:val="8C8C8C"/>
          <w:sz w:val="12"/>
        </w:rPr>
        <w:t>cf-art-102-inc-III-ali-a</w:t>
      </w:r>
      <w:r>
        <w:rPr>
          <w:color w:val="003CA0"/>
          <w:sz w:val="12"/>
        </w:rPr>
        <w:t xml:space="preserve"> | RE 142.240</w:t>
      </w:r>
      <w:r>
        <w:rPr>
          <w:color w:val="003CA0"/>
          <w:sz w:val="12"/>
        </w:rPr>
        <w:t xml:space="preserve"> | rel. Marco Aurélio</w:t>
      </w:r>
    </w:p>
    <w:p>
      <w:pPr>
        <w:ind w:left="288"/>
      </w:pPr>
      <w:r>
        <w:rPr>
          <w:color w:val="1E1E1E"/>
          <w:sz w:val="18"/>
        </w:rPr>
        <w:t>Vide RE 142.240 AgR, rel. min. Marco Aurélio, j. 2-6-1992, 2ª T, DJ de 19-6-1992</w:t>
      </w:r>
    </w:p>
    <w:p>
      <w:pPr>
        <w:ind w:left="288"/>
      </w:pPr>
      <w:r>
        <w:rPr>
          <w:color w:val="8C8C8C"/>
          <w:sz w:val="12"/>
        </w:rPr>
        <w:t>cf-art-102-inc-III-ali-b</w:t>
      </w:r>
      <w:r>
        <w:rPr>
          <w:color w:val="003CA0"/>
          <w:sz w:val="12"/>
        </w:rPr>
        <w:t xml:space="preserve"> | AI 744.870</w:t>
      </w:r>
      <w:r>
        <w:rPr>
          <w:color w:val="003CA0"/>
          <w:sz w:val="12"/>
        </w:rPr>
        <w:t xml:space="preserve"> | rel. Marco Aurélio</w:t>
      </w:r>
    </w:p>
    <w:p>
      <w:pPr>
        <w:ind w:left="288"/>
      </w:pPr>
      <w:r>
        <w:rPr>
          <w:color w:val="1E1E1E"/>
          <w:sz w:val="18"/>
        </w:rPr>
        <w:t>Uma vez constatado o descompasso do recurso extraordinário com acórdão impugnado, impõe-se óbice ao respectivo processamento. Isso ocorre quando interposto o recurso pela alínea b do inciso III do art. 102 da Carta Federal e não conste do pronunciamento questionado declaração de inconstitucionalidade de ato normativo abstrato autônomo.</w:t>
      </w:r>
    </w:p>
    <w:p>
      <w:pPr>
        <w:ind w:left="288"/>
      </w:pPr>
      <w:r>
        <w:rPr>
          <w:b/>
          <w:color w:val="003CA0"/>
          <w:sz w:val="16"/>
        </w:rPr>
        <w:t>[AI 744.870 AgR, rel. min. Marco Aurélio, j. 17-8-2010, 1ª T, DJE de 8-10-2010.]</w:t>
      </w:r>
    </w:p>
    <w:p>
      <w:pPr>
        <w:ind w:left="288"/>
      </w:pPr>
      <w:r>
        <w:rPr>
          <w:color w:val="8C8C8C"/>
          <w:sz w:val="12"/>
        </w:rPr>
        <w:t>cf-art-102-inc-III-ali-b</w:t>
      </w:r>
      <w:r>
        <w:rPr>
          <w:color w:val="003CA0"/>
          <w:sz w:val="12"/>
        </w:rPr>
        <w:t xml:space="preserve"> | AI 637.858</w:t>
      </w:r>
      <w:r>
        <w:rPr>
          <w:color w:val="003CA0"/>
          <w:sz w:val="12"/>
        </w:rPr>
        <w:t xml:space="preserve"> | rel. Ayres Britto</w:t>
      </w:r>
    </w:p>
    <w:p>
      <w:pPr>
        <w:ind w:left="288"/>
      </w:pPr>
      <w:r>
        <w:rPr>
          <w:color w:val="1E1E1E"/>
          <w:sz w:val="18"/>
        </w:rPr>
        <w:t>= AI 637.858 AgR, rel. min. Ayres Britto, j. 19-10-2010, 2ª T, DJE de 17-12-2010 Ambas as Turmas deste STF têm firmado orientação no sentido de que não é cabível recurso extraordinário interposto na forma da alínea b, III, do art. 102, da Magna Carta, contra acórdão que decide pela não recepção de lei em face da Constituição em vigor, ante a inocorrência de declaração de inconstitucionalidade. Precedentes: RE 402.287 AgR, rel. min. Carlos Velloso; RE 210.912, rel. min. Sepúlveda Pertence; e RE 250.545 AgR, rel. min. Maurício Corrêa.</w:t>
      </w:r>
    </w:p>
    <w:p>
      <w:pPr>
        <w:ind w:left="288"/>
      </w:pPr>
      <w:r>
        <w:rPr>
          <w:b/>
          <w:color w:val="003CA0"/>
          <w:sz w:val="16"/>
        </w:rPr>
        <w:t>[RE 289.533 AgR, rel. min. Ayres Britto, j. 26-10-2004, 1ª T, DJ de 11-2-2005.]</w:t>
      </w:r>
    </w:p>
    <w:p>
      <w:pPr>
        <w:ind w:left="288"/>
      </w:pPr>
      <w:r>
        <w:rPr>
          <w:color w:val="8C8C8C"/>
          <w:sz w:val="12"/>
        </w:rPr>
        <w:t>cf-art-102-inc-III-ali-b</w:t>
      </w:r>
      <w:r>
        <w:rPr>
          <w:color w:val="003CA0"/>
          <w:sz w:val="12"/>
        </w:rPr>
        <w:t xml:space="preserve"> | RE 231.462</w:t>
      </w:r>
      <w:r>
        <w:rPr>
          <w:color w:val="003CA0"/>
          <w:sz w:val="12"/>
        </w:rPr>
        <w:t xml:space="preserve"> | rel. Sepúlveda Pertence</w:t>
      </w:r>
    </w:p>
    <w:p>
      <w:pPr>
        <w:ind w:left="288"/>
      </w:pPr>
      <w:r>
        <w:rPr>
          <w:color w:val="1E1E1E"/>
          <w:sz w:val="18"/>
        </w:rPr>
        <w:t>O recurso extraordinário, na hipótese do art. 102, III, b, da Constituição, devolve integralmente ao Supremo Tribunal a questão da constitucionalidade da lei federal, negada na decisão recorrida, que pode decidir com base em parâmetro constitucional diverso do invocado nas razões do recorrente.</w:t>
      </w:r>
    </w:p>
    <w:p>
      <w:pPr>
        <w:ind w:left="288"/>
      </w:pPr>
      <w:r>
        <w:rPr>
          <w:b/>
          <w:color w:val="003CA0"/>
          <w:sz w:val="16"/>
        </w:rPr>
        <w:t>[RE 231.462, rel. min. Sepúlveda Pertence, j. 30-3-1999, 1ª T, DJ de 14-5-1999.]</w:t>
      </w:r>
    </w:p>
    <w:p>
      <w:pPr>
        <w:ind w:left="288"/>
      </w:pPr>
      <w:r>
        <w:rPr>
          <w:color w:val="8C8C8C"/>
          <w:sz w:val="12"/>
        </w:rPr>
        <w:t>cf-art-102-inc-III-ali-b</w:t>
      </w:r>
      <w:r>
        <w:rPr>
          <w:color w:val="003CA0"/>
          <w:sz w:val="12"/>
        </w:rPr>
        <w:t xml:space="preserve"> | RE 142.240</w:t>
      </w:r>
      <w:r>
        <w:rPr>
          <w:color w:val="003CA0"/>
          <w:sz w:val="12"/>
        </w:rPr>
        <w:t xml:space="preserve"> | rel. Marco Aurélio</w:t>
      </w:r>
    </w:p>
    <w:p>
      <w:pPr>
        <w:ind w:left="288"/>
      </w:pPr>
      <w:r>
        <w:rPr>
          <w:color w:val="1E1E1E"/>
          <w:sz w:val="18"/>
        </w:rPr>
        <w:t>Recurso extraordinário. Alínea b do inciso III do art. 102 da CF. Formalidade essencial. A admissibilidade no Tribunal a quo e o seguimento no STF de recurso extraordinário que veicule inconformismo contra declaração de inconstitucionalidade de ato normativo pressupõe o conhecimento das razões da declaração da pecha pela Corte de origem. Tratando-se de acórdão prolatado por órgão fracionado, indispensável é que contenha a transcrição do que decidido pelo Plenário ou órgão especial, únicos competentes para o exame e a decisão da matéria. Art. 97 da Lei Básica Federal. A deficiência em tal campo</w:t>
      </w:r>
    </w:p>
    <w:p>
      <w:pPr>
        <w:ind w:left="288"/>
      </w:pPr>
      <w:r>
        <w:rPr>
          <w:b/>
          <w:color w:val="003CA0"/>
          <w:sz w:val="16"/>
        </w:rPr>
        <w:t>[RE 142.240 AgR, rel. min. Marco Aurélio, j. 2-6-1992, 2ª T, DJ de 19-6-1992.]</w:t>
      </w:r>
    </w:p>
    <w:p>
      <w:pPr>
        <w:ind w:left="288"/>
      </w:pPr>
      <w:r>
        <w:rPr>
          <w:color w:val="8C8C8C"/>
          <w:sz w:val="12"/>
        </w:rPr>
        <w:t>cf-art-102-inc-III-ali-b</w:t>
      </w:r>
      <w:r>
        <w:rPr>
          <w:color w:val="003CA0"/>
          <w:sz w:val="12"/>
        </w:rPr>
        <w:t xml:space="preserve"> | RE 453.744</w:t>
      </w:r>
      <w:r>
        <w:rPr>
          <w:color w:val="003CA0"/>
          <w:sz w:val="12"/>
        </w:rPr>
        <w:t xml:space="preserve"> | rel. Cezar Peluso</w:t>
      </w:r>
    </w:p>
    <w:p>
      <w:pPr>
        <w:ind w:left="288"/>
      </w:pPr>
      <w:r>
        <w:rPr>
          <w:color w:val="1E1E1E"/>
          <w:sz w:val="18"/>
        </w:rPr>
        <w:t>= RE 453.744 AgR, rel. min. Cezar Peluso, j. 13-6-2006, 1ª T, DJ de 25-8-2006 Vide RE 149.478 AgR, rel. min. Sepúlveda Pertence, j. 24-3-1993, P, DJ de 23-4-1993 Recurso extraordinário (CF, art. 102, III, b) e recurso especial (art. 105, III, b): distinção. Estado federal: repartição horizontal e repartição vertical de competência (Raul Machado Horta): consequências processuais na distinção entre hipóteses similares, mas distintas, de recurso extraordinário e do recurso especial (CF, arts. 102, III, b e 105, III, b). Questão de ordem: competência para julgar recurso extraordinário, admitido pe</w:t>
      </w:r>
    </w:p>
    <w:p>
      <w:pPr>
        <w:ind w:left="288"/>
      </w:pPr>
      <w:r>
        <w:rPr>
          <w:b/>
          <w:color w:val="003CA0"/>
          <w:sz w:val="16"/>
        </w:rPr>
        <w:t>[RE 117.809 QO, rel. min. Sepúlveda Pertence, j. 14-6-1989, P, DJ de 4-8-1989.]</w:t>
      </w:r>
    </w:p>
    <w:p>
      <w:pPr>
        <w:ind w:left="288"/>
      </w:pPr>
      <w:r>
        <w:rPr>
          <w:color w:val="8C8C8C"/>
          <w:sz w:val="12"/>
        </w:rPr>
        <w:t>cf-art-102-inc-III-ali-c</w:t>
      </w:r>
      <w:r>
        <w:rPr>
          <w:color w:val="003CA0"/>
          <w:sz w:val="12"/>
        </w:rPr>
        <w:t xml:space="preserve"> | RE 569.139</w:t>
      </w:r>
      <w:r>
        <w:rPr>
          <w:color w:val="003CA0"/>
          <w:sz w:val="12"/>
        </w:rPr>
        <w:t xml:space="preserve"> | rel. Ayres Britto</w:t>
      </w:r>
    </w:p>
    <w:p>
      <w:pPr>
        <w:ind w:left="288"/>
      </w:pPr>
      <w:r>
        <w:rPr>
          <w:color w:val="1E1E1E"/>
          <w:sz w:val="18"/>
        </w:rPr>
        <w:t>O TST não julgou válida lei ou ato de governo local contestados ante a Constituição, o que inviabiliza o recurso extraordinário fundamentado na alínea c do inciso III do art. 102 da Carta Magna.</w:t>
      </w:r>
    </w:p>
    <w:p>
      <w:pPr>
        <w:ind w:left="288"/>
      </w:pPr>
      <w:r>
        <w:rPr>
          <w:b/>
          <w:color w:val="003CA0"/>
          <w:sz w:val="16"/>
        </w:rPr>
        <w:t>[RE 569.139 AgR, rel. min. Ayres Britto, j. 19-10-2010, 2ª T, DJE de 14-2-2011.]</w:t>
      </w:r>
    </w:p>
    <w:p>
      <w:pPr>
        <w:ind w:left="288"/>
      </w:pPr>
      <w:r>
        <w:rPr>
          <w:color w:val="8C8C8C"/>
          <w:sz w:val="12"/>
        </w:rPr>
        <w:t>cf-art-102-inc-III-ali-c</w:t>
      </w:r>
      <w:r>
        <w:rPr>
          <w:color w:val="003CA0"/>
          <w:sz w:val="12"/>
        </w:rPr>
        <w:t xml:space="preserve"> | AI 792.964</w:t>
      </w:r>
      <w:r>
        <w:rPr>
          <w:color w:val="003CA0"/>
          <w:sz w:val="12"/>
        </w:rPr>
        <w:t xml:space="preserve"> | rel. Cármen Lúcia</w:t>
      </w:r>
    </w:p>
    <w:p>
      <w:pPr>
        <w:ind w:left="288"/>
      </w:pPr>
      <w:r>
        <w:rPr>
          <w:color w:val="1E1E1E"/>
          <w:sz w:val="18"/>
        </w:rPr>
        <w:t>= AI 792.964 ED, rel. min. Cármen Lúcia, j. 22-2-2011, 1ª T, DJE de 25-3-2011 Reclamação com fundamento na preservação da competência do STF. Ação direta de inconstitucionalidade proposta perante tribunal de justiça na qual se impugna lei municipal sob a alegação de ofensa a dispositivos constitucionais estaduais que reproduzem dispositivos constitucionais federais de observância obrigatória pelos Estados. Eficácia jurídica desses dispositivos constitucionais estaduais. Jurisdição constitucional dos Estados-membros. Admissão da propositura da ação direta de inconstitucionalidade perante o trib</w:t>
      </w:r>
    </w:p>
    <w:p>
      <w:pPr>
        <w:ind w:left="288"/>
      </w:pPr>
      <w:r>
        <w:rPr>
          <w:b/>
          <w:color w:val="003CA0"/>
          <w:sz w:val="16"/>
        </w:rPr>
        <w:t>[Rcl 383, rel. min. Moreira Alves, j. 11-6-1992, P, DJ de 21-5-1993.]</w:t>
      </w:r>
    </w:p>
    <w:p>
      <w:pPr>
        <w:ind w:left="288"/>
      </w:pPr>
      <w:r>
        <w:rPr>
          <w:color w:val="8C8C8C"/>
          <w:sz w:val="12"/>
        </w:rPr>
        <w:t>cf-art-102-inc-III-ali-c</w:t>
      </w:r>
      <w:r>
        <w:rPr>
          <w:color w:val="003CA0"/>
          <w:sz w:val="12"/>
        </w:rPr>
        <w:t xml:space="preserve"> | RCL 12.653</w:t>
      </w:r>
      <w:r>
        <w:rPr>
          <w:color w:val="003CA0"/>
          <w:sz w:val="12"/>
        </w:rPr>
        <w:t xml:space="preserve"> | rel. Gilmar Mendes</w:t>
      </w:r>
    </w:p>
    <w:p>
      <w:pPr>
        <w:ind w:left="288"/>
      </w:pPr>
      <w:r>
        <w:rPr>
          <w:color w:val="1E1E1E"/>
          <w:sz w:val="18"/>
        </w:rPr>
        <w:t>= Rcl 12.653 AgR, rel. min. Gilmar Mendes, j. 20-6-2012, P, DJE de 15-10-2012 Vide AI 694.299 AgR, rel. min. Dias Toffoli, j. 13-8-2013, 1ª T, DJE de 17-2-2014 Vide Rcl 4.329, rel. min. Ayres Britto, j. 17-11-2011, P, DJE de 12-12-2011</w:t>
      </w:r>
    </w:p>
    <w:p>
      <w:pPr>
        <w:ind w:left="288"/>
      </w:pPr>
      <w:r>
        <w:rPr>
          <w:color w:val="8C8C8C"/>
          <w:sz w:val="12"/>
        </w:rPr>
        <w:t>cf-art-102-inc-III-ali-d</w:t>
      </w:r>
      <w:r>
        <w:rPr>
          <w:color w:val="003CA0"/>
          <w:sz w:val="12"/>
        </w:rPr>
        <w:t xml:space="preserve"> | AI 774.514</w:t>
      </w:r>
      <w:r>
        <w:rPr>
          <w:color w:val="003CA0"/>
          <w:sz w:val="12"/>
        </w:rPr>
        <w:t xml:space="preserve"> | rel. Joaquim Barbosa</w:t>
      </w:r>
    </w:p>
    <w:p>
      <w:pPr>
        <w:ind w:left="288"/>
      </w:pPr>
      <w:r>
        <w:rPr>
          <w:color w:val="1E1E1E"/>
          <w:sz w:val="18"/>
        </w:rPr>
        <w:t>(...) o enquadramento do recurso extraordinário na hipótese de cabimento inscrita no art. 102, III, d, exige a demonstração, pelo recorrente, de que a corte de origem, ao julgar válida lei local contestada em face de lei federal, ofendeu o sistema de repartição de competências legislativas estatuído na Constituição.</w:t>
      </w:r>
    </w:p>
    <w:p>
      <w:pPr>
        <w:ind w:left="288"/>
      </w:pPr>
      <w:r>
        <w:rPr>
          <w:b/>
          <w:color w:val="003CA0"/>
          <w:sz w:val="16"/>
        </w:rPr>
        <w:t>[AI 774.514 AgR, rel. min. Joaquim Barbosa, j. 31-8-2010, 2ª T, DJE de 1º-10-2010.]</w:t>
      </w:r>
    </w:p>
    <w:p>
      <w:pPr>
        <w:ind w:left="288"/>
      </w:pPr>
      <w:r>
        <w:rPr>
          <w:color w:val="8C8C8C"/>
          <w:sz w:val="12"/>
        </w:rPr>
        <w:t>cf-art-102-inc-III-ali-d</w:t>
      </w:r>
      <w:r>
        <w:rPr>
          <w:color w:val="003CA0"/>
          <w:sz w:val="12"/>
        </w:rPr>
        <w:t xml:space="preserve"> | RCL 9.702</w:t>
      </w:r>
      <w:r>
        <w:rPr>
          <w:color w:val="003CA0"/>
          <w:sz w:val="12"/>
        </w:rPr>
        <w:t xml:space="preserve"> | rel. Luiz Fux</w:t>
      </w:r>
    </w:p>
    <w:p>
      <w:pPr>
        <w:ind w:left="288"/>
      </w:pPr>
      <w:r>
        <w:rPr>
          <w:color w:val="1E1E1E"/>
          <w:sz w:val="18"/>
        </w:rPr>
        <w:t>= Rcl 9.702 AgR, rel. min. Luiz Fux, j. 3-3-2015, 1ª T, DJE de 18-3-2015 = AI 769.919 AgR-segundo, rel. min. Ricardo Lewandowski, j. 13-9-2011, 2ª T, DJE de 27-9-2011 Competência para análise de recurso em que se discute validade de lei local em face de lei federal. Tanto na época da interposição – CF/1969, como com a alteração constitucional introduzida pela EC 45, compete ao STF a análise da matéria, conforme redação atual do art. 102, III, d, da CF.</w:t>
      </w:r>
    </w:p>
    <w:p>
      <w:pPr>
        <w:ind w:left="288"/>
      </w:pPr>
      <w:r>
        <w:rPr>
          <w:b/>
          <w:color w:val="003CA0"/>
          <w:sz w:val="16"/>
        </w:rPr>
        <w:t>[AI 132.755 QO, red. do ac. min. Dias Toffoli, j. 19-11-2009, P, DJE de 11-6-2010.]</w:t>
      </w:r>
    </w:p>
    <w:p>
      <w:pPr>
        <w:ind w:left="288"/>
      </w:pPr>
      <w:r>
        <w:rPr>
          <w:color w:val="8C8C8C"/>
          <w:sz w:val="12"/>
        </w:rPr>
        <w:t>cf-art-102-inc-III-ali-d</w:t>
      </w:r>
      <w:r>
        <w:rPr>
          <w:color w:val="003CA0"/>
          <w:sz w:val="12"/>
        </w:rPr>
        <w:t xml:space="preserve"> | AI 612.842</w:t>
      </w:r>
      <w:r>
        <w:rPr>
          <w:color w:val="003CA0"/>
          <w:sz w:val="12"/>
        </w:rPr>
        <w:t xml:space="preserve"> | rel. Sepúlveda Pertence</w:t>
      </w:r>
    </w:p>
    <w:p>
      <w:pPr>
        <w:ind w:left="288"/>
      </w:pPr>
      <w:r>
        <w:rPr>
          <w:color w:val="1E1E1E"/>
          <w:sz w:val="18"/>
        </w:rPr>
        <w:t>Servidor público do Estado do Rio Grande do Sul: questão relativa à compatibilidade – ou não – da Lei estadual 10.395/1995 – que concedeu reajuste de vencimentos aos servidores públicos estaduais – com a LC 82/1995 (Lei Camata), que não alcança o plano constitucional: incidência da Súmula 280. Caso anterior à EC 45/2004, que inseriu a alínea d no art. 102, III, da CF.</w:t>
      </w:r>
    </w:p>
    <w:p>
      <w:pPr>
        <w:ind w:left="288"/>
      </w:pPr>
      <w:r>
        <w:rPr>
          <w:b/>
          <w:color w:val="003CA0"/>
          <w:sz w:val="16"/>
        </w:rPr>
        <w:t>[AI 612.842 AgR, rel. min. Sepúlveda Pertence, j. 26-6-2007, 1ª T, DJ de 17-8-2007.]</w:t>
      </w:r>
    </w:p>
    <w:p>
      <w:pPr>
        <w:ind w:left="144"/>
      </w:pPr>
      <w:r>
        <w:rPr>
          <w:b/>
          <w:color w:val="B45A00"/>
          <w:sz w:val="16"/>
        </w:rPr>
        <w:t>CONTROLE CONCENTRADO</w:t>
      </w:r>
    </w:p>
    <w:p>
      <w:pPr>
        <w:ind w:left="288"/>
      </w:pPr>
      <w:r>
        <w:rPr>
          <w:color w:val="8C8C8C"/>
          <w:sz w:val="12"/>
        </w:rPr>
        <w:t>cf-art-102-par-1</w:t>
      </w:r>
      <w:r>
        <w:rPr>
          <w:color w:val="003CA0"/>
          <w:sz w:val="12"/>
        </w:rPr>
        <w:t xml:space="preserve"> | ADPF 378</w:t>
      </w:r>
    </w:p>
    <w:p>
      <w:pPr>
        <w:ind w:left="288"/>
      </w:pPr>
      <w:r>
        <w:rPr>
          <w:color w:val="1E1E1E"/>
          <w:sz w:val="18"/>
        </w:rPr>
        <w:t>A presente ação tem por objeto central analisar a compatibilidade do rito de impeachment de presidente da República previsto na Lei 1.079/1950 com a Constituição de 1988. A ação é cabível, mesmo se considerarmos que requer, indiretamente, a declaração de inconstitucionalidade de norma posterior à Constituição e que pretende superar omissão parcial inconstitucional. Fungibilidade das ações diretas que se prestam a viabilizar o controle de constitucionalidade abstrato e em tese. Atendimento ao requisito da subsidiariedade, tendo em vista que somente a apreciação cumulativa de tais pedidos é capa</w:t>
      </w:r>
    </w:p>
    <w:p>
      <w:pPr>
        <w:ind w:left="288"/>
      </w:pPr>
      <w:r>
        <w:rPr>
          <w:b/>
          <w:color w:val="003CA0"/>
          <w:sz w:val="16"/>
        </w:rPr>
        <w:t>[ADPF 378 MC, red. do ac. min. Roberto Barroso, j. 16-12-2015, P, DJE de 8-3-2016.]</w:t>
      </w:r>
    </w:p>
    <w:p>
      <w:pPr>
        <w:ind w:left="288"/>
      </w:pPr>
      <w:r>
        <w:rPr>
          <w:color w:val="8C8C8C"/>
          <w:sz w:val="12"/>
        </w:rPr>
        <w:t>cf-art-102-par-1</w:t>
      </w:r>
      <w:r>
        <w:rPr>
          <w:color w:val="003CA0"/>
          <w:sz w:val="12"/>
        </w:rPr>
        <w:t xml:space="preserve"> | ADPF 288</w:t>
      </w:r>
      <w:r>
        <w:rPr>
          <w:color w:val="003CA0"/>
          <w:sz w:val="12"/>
        </w:rPr>
        <w:t xml:space="preserve"> | rel. Celso de Mello</w:t>
      </w:r>
    </w:p>
    <w:p>
      <w:pPr>
        <w:ind w:left="288"/>
      </w:pPr>
      <w:r>
        <w:rPr>
          <w:color w:val="1E1E1E"/>
          <w:sz w:val="18"/>
        </w:rPr>
        <w:t>O Plenário do STF (...), ao acentuar que não é função constitucional da arguição de descumprimento de preceito fundamental atuar como instrumento de desconstituição da autoridade da coisa julgada em sentido material, claramente delimitou o âmbito de incidência dessa ação constitucional, pré-excluindo, de seu campo de abrangência, atos jurisdicionais, como o ora referido na petição inicial, desde que impregnados dos atributos que qualificam a res judicata.</w:t>
      </w:r>
    </w:p>
    <w:p>
      <w:pPr>
        <w:ind w:left="288"/>
      </w:pPr>
      <w:r>
        <w:rPr>
          <w:b/>
          <w:color w:val="003CA0"/>
          <w:sz w:val="16"/>
        </w:rPr>
        <w:t>[ADPF 288 MC, rel. min. Celso de Mello, j. 21-10-2013, dec. monocrática, DJE de 25-10-2013.]</w:t>
      </w:r>
    </w:p>
    <w:p>
      <w:pPr>
        <w:ind w:left="288"/>
      </w:pPr>
      <w:r>
        <w:rPr>
          <w:color w:val="8C8C8C"/>
          <w:sz w:val="12"/>
        </w:rPr>
        <w:t>cf-art-102-par-1</w:t>
      </w:r>
      <w:r>
        <w:rPr>
          <w:color w:val="003CA0"/>
          <w:sz w:val="12"/>
        </w:rPr>
        <w:t xml:space="preserve"> | ADPF 81</w:t>
      </w:r>
      <w:r>
        <w:rPr>
          <w:color w:val="003CA0"/>
          <w:sz w:val="12"/>
        </w:rPr>
        <w:t xml:space="preserve"> | rel. Celso de Mello</w:t>
      </w:r>
    </w:p>
    <w:p>
      <w:pPr>
        <w:ind w:left="288"/>
      </w:pPr>
      <w:r>
        <w:rPr>
          <w:color w:val="1E1E1E"/>
          <w:sz w:val="18"/>
        </w:rPr>
        <w:t>= ADPF 81 MC, rel. min. Celso de Mello, j. 27-10-2015, dec. monocrática, DJE de 4-11-2015 A jurisprudência do STF firmou-se no sentido de que a arguição de descumprimento de preceito fundamental é, via de regra, meio inidôneo para processar questões controvertidas derivadas de normas secundárias e de caráter tipicamente regulamentar.</w:t>
      </w:r>
    </w:p>
    <w:p>
      <w:pPr>
        <w:ind w:left="288"/>
      </w:pPr>
      <w:r>
        <w:rPr>
          <w:b/>
          <w:color w:val="003CA0"/>
          <w:sz w:val="16"/>
        </w:rPr>
        <w:t>[ADPF 210 AgR, rel. min. Teori Zavascki, j. 6-6-2013, P, DJE de 21-6-2013.]</w:t>
      </w:r>
    </w:p>
    <w:p>
      <w:pPr>
        <w:ind w:left="288"/>
      </w:pPr>
      <w:r>
        <w:rPr>
          <w:color w:val="8C8C8C"/>
          <w:sz w:val="12"/>
        </w:rPr>
        <w:t>cf-art-102-par-1</w:t>
      </w:r>
      <w:r>
        <w:rPr>
          <w:color w:val="003CA0"/>
          <w:sz w:val="12"/>
        </w:rPr>
        <w:t xml:space="preserve"> | ADPF 181</w:t>
      </w:r>
      <w:r>
        <w:rPr>
          <w:color w:val="003CA0"/>
          <w:sz w:val="12"/>
        </w:rPr>
        <w:t xml:space="preserve"> | rel. Marco Aurélio</w:t>
      </w:r>
    </w:p>
    <w:p>
      <w:pPr>
        <w:ind w:left="288"/>
      </w:pPr>
      <w:r>
        <w:rPr>
          <w:color w:val="1E1E1E"/>
          <w:sz w:val="18"/>
        </w:rPr>
        <w:t>Arguição de descumprimento de preceito fundamental. Pedido liminar. Analogia. Art. 12 da Lei 9.868/1999. (...) Tem-se admitido que algumas regras versadas na Lei 9.868, de 1999, a qual dispõe sobre o processo e julgamento da ação direta de inconstitucionalidade e da ação declaratória de constitucionalidade perante o STF, sejam aplicadas analogicamente ao procedimento previsto para a arguição de descumprimento fundamental. Na espécie, a racionalidade e a organicidade próprias ao Direito direcionam ao julgamento definitivo, no que se homenageia a economia processual.</w:t>
      </w:r>
    </w:p>
    <w:p>
      <w:pPr>
        <w:ind w:left="288"/>
      </w:pPr>
      <w:r>
        <w:rPr>
          <w:b/>
          <w:color w:val="003CA0"/>
          <w:sz w:val="16"/>
        </w:rPr>
        <w:t>[ADPF 181, rel. min. Marco Aurélio, j. 11-6-2012, dec. monocrática, DJE de 22-6-2012.]</w:t>
      </w:r>
    </w:p>
    <w:p>
      <w:pPr>
        <w:ind w:left="288"/>
      </w:pPr>
      <w:r>
        <w:rPr>
          <w:color w:val="8C8C8C"/>
          <w:sz w:val="12"/>
        </w:rPr>
        <w:t>cf-art-102-par-1</w:t>
      </w:r>
      <w:r>
        <w:rPr>
          <w:color w:val="003CA0"/>
          <w:sz w:val="12"/>
        </w:rPr>
        <w:t xml:space="preserve"> | ADI 3.197</w:t>
      </w:r>
      <w:r>
        <w:rPr>
          <w:color w:val="003CA0"/>
          <w:sz w:val="12"/>
        </w:rPr>
        <w:t xml:space="preserve"> | rel. Dias Toffoli</w:t>
      </w:r>
    </w:p>
    <w:p>
      <w:pPr>
        <w:ind w:left="288"/>
      </w:pPr>
      <w:r>
        <w:rPr>
          <w:color w:val="1E1E1E"/>
          <w:sz w:val="18"/>
        </w:rPr>
        <w:t>(...) assento o cabimento desta ação, uma vez que não há outro meio hábil de sanar a lesividade (...). (...) Afasto, igualmente, o argumento de que haveria conexão entre esta arguição de descumprimento de preceito fundamental e a ADI 3.197/RJ, rel. min. Dias Toffoli, por ostentarem ambos os feitos a mesma causa de pedir, qual seja, a inconstitucionalidade do sistema de cotas para negros nas universidades públicas. É que, conforme remansosa jurisprudência desta Corte, as ações de índole abstrata, por definição, não tratam de fatos concretos, razão pela qual nelas não se deve, como regra, cogita</w:t>
      </w:r>
    </w:p>
    <w:p>
      <w:pPr>
        <w:ind w:left="288"/>
      </w:pPr>
      <w:r>
        <w:rPr>
          <w:b/>
          <w:color w:val="003CA0"/>
          <w:sz w:val="16"/>
        </w:rPr>
        <w:t>[ADPF 186, rel. min. Ricardo Lewandowski, j. 26-4-2012, P, DJE de 20-10-2014.]</w:t>
      </w:r>
    </w:p>
    <w:p>
      <w:pPr>
        <w:ind w:left="288"/>
      </w:pPr>
      <w:r>
        <w:rPr>
          <w:color w:val="8C8C8C"/>
          <w:sz w:val="12"/>
        </w:rPr>
        <w:t>cf-art-102-par-1</w:t>
      </w:r>
      <w:r>
        <w:rPr>
          <w:color w:val="003CA0"/>
          <w:sz w:val="12"/>
        </w:rPr>
        <w:t xml:space="preserve"> | ADI 4.180</w:t>
      </w:r>
      <w:r>
        <w:rPr>
          <w:color w:val="003CA0"/>
          <w:sz w:val="12"/>
        </w:rPr>
        <w:t xml:space="preserve"> | rel. Cezar Peluso</w:t>
      </w:r>
    </w:p>
    <w:p>
      <w:pPr>
        <w:ind w:left="288"/>
      </w:pPr>
      <w:r>
        <w:rPr>
          <w:color w:val="1E1E1E"/>
          <w:sz w:val="18"/>
        </w:rPr>
        <w:t>Aplicação do princípio da fungibilidade. (...) É lícito conhecer de ação direta de inconstitucionalidade como arguição de descumprimento de preceito fundamental, quando coexistentes todos os requisitos de admissibilidade desta, em caso de inadmissibilidade daquela.</w:t>
      </w:r>
    </w:p>
    <w:p>
      <w:pPr>
        <w:ind w:left="288"/>
      </w:pPr>
      <w:r>
        <w:rPr>
          <w:b/>
          <w:color w:val="003CA0"/>
          <w:sz w:val="16"/>
        </w:rPr>
        <w:t>[ADI 4.180 MC-REF, rel. min. Cezar Peluso, j. 10-3-2010, P, DJE de 27-8-2010.]</w:t>
      </w:r>
    </w:p>
    <w:p>
      <w:pPr>
        <w:ind w:left="288"/>
      </w:pPr>
      <w:r>
        <w:rPr>
          <w:color w:val="8C8C8C"/>
          <w:sz w:val="12"/>
        </w:rPr>
        <w:t>cf-art-102-par-1</w:t>
      </w:r>
      <w:r>
        <w:rPr>
          <w:color w:val="003CA0"/>
          <w:sz w:val="12"/>
        </w:rPr>
        <w:t xml:space="preserve"> | ADPF 178</w:t>
      </w:r>
      <w:r>
        <w:rPr>
          <w:color w:val="003CA0"/>
          <w:sz w:val="12"/>
        </w:rPr>
        <w:t xml:space="preserve"> | rel. Gilmar Mendes</w:t>
      </w:r>
    </w:p>
    <w:p>
      <w:pPr>
        <w:ind w:left="288"/>
      </w:pPr>
      <w:r>
        <w:rPr>
          <w:color w:val="1E1E1E"/>
          <w:sz w:val="18"/>
        </w:rPr>
        <w:t>Vide ADPF 178, rel. min. Gilmar Mendes, j. 21-7-2009, dec. monocrática, DJE de 5-8-2009 Vide ADPF 72 QO, rel. min. Ellen Gracie, j. 1º-6-2005, P, DJ de 2-12-2005 Constitucionalidade de atos normativos proibitivos da importação de pneus usados. (...) Adequação da arguição pela correta indicação de preceitos fundamentais atingidos, a saber, o direito à saúde, direito ao meio ambiente ecologicamente equilibrado (arts. 196 e 225 da Constituição brasileira) e a busca de desenvolvimento econômico sustentável: princípios constitucionais da livre iniciativa e da liberdade de comércio interpretados e a</w:t>
      </w:r>
    </w:p>
    <w:p>
      <w:pPr>
        <w:ind w:left="288"/>
      </w:pPr>
      <w:r>
        <w:rPr>
          <w:b/>
          <w:color w:val="003CA0"/>
          <w:sz w:val="16"/>
        </w:rPr>
        <w:t>[ADPF 101, rel. min. Cármen Lúcia, j. 24-6-2009, P, DJE de 4-6-2012.]</w:t>
      </w:r>
    </w:p>
    <w:p>
      <w:pPr>
        <w:ind w:left="288"/>
      </w:pPr>
      <w:r>
        <w:rPr>
          <w:color w:val="8C8C8C"/>
          <w:sz w:val="12"/>
        </w:rPr>
        <w:t>cf-art-102-par-1</w:t>
      </w:r>
      <w:r>
        <w:rPr>
          <w:color w:val="003CA0"/>
          <w:sz w:val="12"/>
        </w:rPr>
        <w:t xml:space="preserve"> | ADPF 130</w:t>
      </w:r>
      <w:r>
        <w:rPr>
          <w:color w:val="003CA0"/>
          <w:sz w:val="12"/>
        </w:rPr>
        <w:t xml:space="preserve"> | rel. Ayres Britto</w:t>
      </w:r>
    </w:p>
    <w:p>
      <w:pPr>
        <w:ind w:left="288"/>
      </w:pPr>
      <w:r>
        <w:rPr>
          <w:color w:val="1E1E1E"/>
          <w:sz w:val="18"/>
        </w:rPr>
        <w:t>Não recepção em bloco da Lei 5.250 pela nova ordem constitucional. (...) São de todo imprestáveis as tentativas de conciliação hermenêutica da Lei 5.250/1967 com a Constituição, seja mediante expurgo puro e simples de destacados dispositivos da lei, seja mediante o emprego dessa refinada técnica de controle de constitucionalidade que atende pelo nome de "interpretação conforme a Constituição". A técnica da "interpretação conforme" não pode artificializar ou "forçar a descontaminação" da parte restante do diploma legal interpretado, pena de descabido incursionamento do intérprete em legiferação</w:t>
      </w:r>
    </w:p>
    <w:p>
      <w:pPr>
        <w:ind w:left="288"/>
      </w:pPr>
      <w:r>
        <w:rPr>
          <w:b/>
          <w:color w:val="003CA0"/>
          <w:sz w:val="16"/>
        </w:rPr>
        <w:t>[ADPF 130, rel. min. Ayres Britto, j. 30-4-2009, P, DJE de 6-11-2009.]</w:t>
      </w:r>
    </w:p>
    <w:p>
      <w:pPr>
        <w:ind w:left="288"/>
      </w:pPr>
      <w:r>
        <w:rPr>
          <w:color w:val="8C8C8C"/>
          <w:sz w:val="12"/>
        </w:rPr>
        <w:t>cf-art-102-par-1</w:t>
      </w:r>
      <w:r>
        <w:rPr>
          <w:color w:val="003CA0"/>
          <w:sz w:val="12"/>
        </w:rPr>
        <w:t xml:space="preserve"> | ADPF 144</w:t>
      </w:r>
      <w:r>
        <w:rPr>
          <w:color w:val="003CA0"/>
          <w:sz w:val="12"/>
        </w:rPr>
        <w:t xml:space="preserve"> | rel. Celso de Mello</w:t>
      </w:r>
    </w:p>
    <w:p>
      <w:pPr>
        <w:ind w:left="288"/>
      </w:pPr>
      <w:r>
        <w:rPr>
          <w:color w:val="1E1E1E"/>
          <w:sz w:val="18"/>
        </w:rPr>
        <w:t>Possibilidade de ministros do STF, com assento no TSE, participarem do julgamento da arguição de descumprimento de preceito fundamental. Inocorrência de incompatibilidade processual, ainda que o presidente do TSE haja prestado informações na causa.</w:t>
      </w:r>
    </w:p>
    <w:p>
      <w:pPr>
        <w:ind w:left="288"/>
      </w:pPr>
      <w:r>
        <w:rPr>
          <w:b/>
          <w:color w:val="003CA0"/>
          <w:sz w:val="16"/>
        </w:rPr>
        <w:t>[ADPF 144, rel. min. Celso de Mello, j. 6-8-2008, P, DJE de 26-2-2010.]</w:t>
      </w:r>
    </w:p>
    <w:p>
      <w:pPr>
        <w:ind w:left="288"/>
      </w:pPr>
      <w:r>
        <w:rPr>
          <w:color w:val="8C8C8C"/>
          <w:sz w:val="12"/>
        </w:rPr>
        <w:t>cf-art-102-par-1</w:t>
      </w:r>
      <w:r>
        <w:rPr>
          <w:color w:val="003CA0"/>
          <w:sz w:val="12"/>
        </w:rPr>
        <w:t xml:space="preserve"> | ADPF 83</w:t>
      </w:r>
      <w:r>
        <w:rPr>
          <w:color w:val="003CA0"/>
          <w:sz w:val="12"/>
        </w:rPr>
        <w:t xml:space="preserve"> | rel. Ayres Britto</w:t>
      </w:r>
    </w:p>
    <w:p>
      <w:pPr>
        <w:ind w:left="288"/>
      </w:pPr>
      <w:r>
        <w:rPr>
          <w:color w:val="1E1E1E"/>
          <w:sz w:val="18"/>
        </w:rPr>
        <w:t>Arguição de descumprimento de preceito fundamental. Lei 3.624/1989, do Município de Vitória, que impõe ao poder público municipal a obrigação de cumprir acordo coletivo celebrado com diversas entidades representativas dos servidores públicos municipais. Não conhecimento. O acordo coletivo de trabalho se constituiu em ato jurídico uno para todas as categorias de servidores estatutários do Município de Vitória. Exauridas todas as instâncias, inclusive com manejo de ação rescisória extinta sem resolução do mérito, não cabe à arguição de descumprimento de preceito fundamental cumprir uma função su</w:t>
      </w:r>
    </w:p>
    <w:p>
      <w:pPr>
        <w:ind w:left="288"/>
      </w:pPr>
      <w:r>
        <w:rPr>
          <w:b/>
          <w:color w:val="003CA0"/>
          <w:sz w:val="16"/>
        </w:rPr>
        <w:t>[ADPF 83, rel. min. Ayres Britto, j. 24-4-2008, P, DJE de 1º-8-2008.]</w:t>
      </w:r>
    </w:p>
    <w:p>
      <w:pPr>
        <w:ind w:left="288"/>
      </w:pPr>
      <w:r>
        <w:rPr>
          <w:color w:val="8C8C8C"/>
          <w:sz w:val="12"/>
        </w:rPr>
        <w:t>cf-art-102-par-1</w:t>
      </w:r>
      <w:r>
        <w:rPr>
          <w:color w:val="003CA0"/>
          <w:sz w:val="12"/>
        </w:rPr>
        <w:t xml:space="preserve"> | ADPF 79</w:t>
      </w:r>
      <w:r>
        <w:rPr>
          <w:color w:val="003CA0"/>
          <w:sz w:val="12"/>
        </w:rPr>
        <w:t xml:space="preserve"> | rel. Cezar Peluso</w:t>
      </w:r>
    </w:p>
    <w:p>
      <w:pPr>
        <w:ind w:left="288"/>
      </w:pPr>
      <w:r>
        <w:rPr>
          <w:color w:val="1E1E1E"/>
          <w:sz w:val="18"/>
        </w:rPr>
        <w:t>Liminar concedida. Suspensão de processos e efeitos de sentenças. Servidor público. Professores do Estado de Pernambuco. Elevação de vencimentos com base no princípio da isonomia. Casos recobertos por coisa julgada material ou convalidados por lei superveniente. Exclusão da eficácia da liminar. Agravo provido em parte e referendo parcial, para esse fim. Aplicação do art. 5º, § 3º, in fine, da Lei federal 9.882/1999. Não podem ser alcançados pela eficácia suspensiva de liminar concedida em arguição de descumprimento de preceito fundamental os efeitos de sentenças transitadas em julgado ou conva</w:t>
      </w:r>
    </w:p>
    <w:p>
      <w:pPr>
        <w:ind w:left="288"/>
      </w:pPr>
      <w:r>
        <w:rPr>
          <w:b/>
          <w:color w:val="003CA0"/>
          <w:sz w:val="16"/>
        </w:rPr>
        <w:t>[ADPF 79 AgR, rel. min. Cezar Peluso, j. 18-6-2007, P, DJ de 17-8-2007.]</w:t>
      </w:r>
    </w:p>
    <w:p>
      <w:pPr>
        <w:ind w:left="288"/>
      </w:pPr>
      <w:r>
        <w:rPr>
          <w:color w:val="8C8C8C"/>
          <w:sz w:val="12"/>
        </w:rPr>
        <w:t>cf-art-102-par-1</w:t>
      </w:r>
      <w:r>
        <w:rPr>
          <w:color w:val="003CA0"/>
          <w:sz w:val="12"/>
        </w:rPr>
        <w:t xml:space="preserve"> | ADI 349</w:t>
      </w:r>
      <w:r>
        <w:rPr>
          <w:color w:val="003CA0"/>
          <w:sz w:val="12"/>
        </w:rPr>
        <w:t xml:space="preserve"> | rel. Marco Aurélio. Incidência</w:t>
      </w:r>
    </w:p>
    <w:p>
      <w:pPr>
        <w:ind w:left="288"/>
      </w:pPr>
      <w:r>
        <w:rPr>
          <w:color w:val="1E1E1E"/>
          <w:sz w:val="18"/>
        </w:rPr>
        <w:t>O ato normativo impugnado é passível de controle concentrado de constitucionalidade pela via da ação direta. Precedente: ADI 349, rel. min. Marco Aurélio. Incidência, no caso, do disposto no art. 4º, § 1º, da Lei 9.882/1999; questão de ordem resolvida com o aproveitamento do feito como ação direta de inconstitucionalidade, ante a perfeita satisfação dos requisitos exigidos à sua propositura (legitimidade ativa, objeto, fundamentação e pedido), bem como a relevância da situação trazida aos autos, relativa a conflito entre dois Estados da Federação.</w:t>
      </w:r>
    </w:p>
    <w:p>
      <w:pPr>
        <w:ind w:left="288"/>
      </w:pPr>
      <w:r>
        <w:rPr>
          <w:b/>
          <w:color w:val="003CA0"/>
          <w:sz w:val="16"/>
        </w:rPr>
        <w:t>[ADPF 72 QO, rel. min. Ellen Gracie, j. 1º-6-2005, P, DJ de 2-12-2005.]</w:t>
      </w:r>
    </w:p>
    <w:p>
      <w:pPr>
        <w:ind w:left="288"/>
      </w:pPr>
      <w:r>
        <w:rPr>
          <w:color w:val="8C8C8C"/>
          <w:sz w:val="12"/>
        </w:rPr>
        <w:t>cf-art-102-par-1</w:t>
      </w:r>
      <w:r>
        <w:rPr>
          <w:color w:val="003CA0"/>
          <w:sz w:val="12"/>
        </w:rPr>
        <w:t xml:space="preserve"> | ADPF 11</w:t>
      </w:r>
    </w:p>
    <w:p>
      <w:pPr>
        <w:ind w:left="288"/>
      </w:pPr>
      <w:r>
        <w:rPr>
          <w:color w:val="1E1E1E"/>
          <w:sz w:val="18"/>
        </w:rPr>
        <w:t>Ação proposta por particular. Ausência de legitimidade. Somente podem propor arguição de descumprimento de preceito fundamental os legitimados para a ação direta de inconstitucionalidade (art. 2º, I, da Lei 9.882/1999).</w:t>
      </w:r>
    </w:p>
    <w:p>
      <w:pPr>
        <w:ind w:left="288"/>
      </w:pPr>
      <w:r>
        <w:rPr>
          <w:b/>
          <w:color w:val="003CA0"/>
          <w:sz w:val="16"/>
        </w:rPr>
        <w:t>[ADPF 11 AgR, reld. do ac. min. Gilmar Mendes, j. 18-11-2004, P, DJ de 5-8-2005.]</w:t>
      </w:r>
    </w:p>
    <w:p>
      <w:pPr>
        <w:ind w:left="288"/>
      </w:pPr>
      <w:r>
        <w:rPr>
          <w:color w:val="8C8C8C"/>
          <w:sz w:val="12"/>
        </w:rPr>
        <w:t>cf-art-102-par-1</w:t>
      </w:r>
      <w:r>
        <w:rPr>
          <w:color w:val="003CA0"/>
          <w:sz w:val="12"/>
        </w:rPr>
        <w:t xml:space="preserve"> | ADPF 226</w:t>
      </w:r>
      <w:r>
        <w:rPr>
          <w:color w:val="003CA0"/>
          <w:sz w:val="12"/>
        </w:rPr>
        <w:t xml:space="preserve"> | rel. Marco Aurélio</w:t>
      </w:r>
    </w:p>
    <w:p>
      <w:pPr>
        <w:ind w:left="288"/>
      </w:pPr>
      <w:r>
        <w:rPr>
          <w:color w:val="1E1E1E"/>
          <w:sz w:val="18"/>
        </w:rPr>
        <w:t>= ADPF 226 AgR, rel. min. Marco Aurélio, j. 9-6-2011, P, DJE de 27-6-2011 Arguição de descumprimento de preceito fundamental (ADPF). Medida cautelar. Ato regulamentar. Autarquia estadual. Instituto de Desenvolvimento Econômico-Social do Pará (IDESP). Remuneração de pessoal. Vinculação do quadro de salários ao salário mínimo. Norma não recepcionada pela Constituição de 1988. Afronta ao princípio federativo e ao direito social fundamental ao salário mínimo digno (arts. 7º, IV; 1º; e 18 da Constituição). Medida liminar para impedir o comprometimento da ordem jurídica e das finanças do Estado. Pre</w:t>
      </w:r>
    </w:p>
    <w:p>
      <w:pPr>
        <w:ind w:left="288"/>
      </w:pPr>
      <w:r>
        <w:rPr>
          <w:b/>
          <w:color w:val="003CA0"/>
          <w:sz w:val="16"/>
        </w:rPr>
        <w:t>[ADPF 33 MC, rel. min. Gilmar Mendes, j. 29-10-2003, P, DJ de 6-8-2004.]</w:t>
      </w:r>
    </w:p>
    <w:p>
      <w:pPr>
        <w:ind w:left="288"/>
      </w:pPr>
      <w:r>
        <w:rPr>
          <w:color w:val="8C8C8C"/>
          <w:sz w:val="12"/>
        </w:rPr>
        <w:t>cf-art-102-par-1</w:t>
      </w:r>
      <w:r>
        <w:rPr>
          <w:color w:val="003CA0"/>
          <w:sz w:val="12"/>
        </w:rPr>
        <w:t xml:space="preserve"> | ADPF 210</w:t>
      </w:r>
      <w:r>
        <w:rPr>
          <w:color w:val="003CA0"/>
          <w:sz w:val="12"/>
        </w:rPr>
        <w:t xml:space="preserve"> | rel. Teori Zavascki</w:t>
      </w:r>
    </w:p>
    <w:p>
      <w:pPr>
        <w:ind w:left="288"/>
      </w:pPr>
      <w:r>
        <w:rPr>
          <w:color w:val="1E1E1E"/>
          <w:sz w:val="18"/>
        </w:rPr>
        <w:t>= ADPF 210 AgR, rel. min. Teori Zavascki, j. 6-6-2013, P, DJE de 21-6-2013 Arguição de descumprimento de preceito fundamental: distinção da ação direta de inconstitucionalidade e da ação declaratória de constitucionalidade. O objeto da arguição de descumprimento de preceito fundamental há de ser "ato do poder público" federal, estadual, distrital ou municipal, normativo ou não, sendo, também, cabível a medida judicial "quando for relevante o fundamento da controvérsia sobre lei ou ato normativo federal, estadual ou municipal, incluídos os anteriores à Constituição”.</w:t>
      </w:r>
    </w:p>
    <w:p>
      <w:pPr>
        <w:ind w:left="288"/>
      </w:pPr>
      <w:r>
        <w:rPr>
          <w:b/>
          <w:color w:val="003CA0"/>
          <w:sz w:val="16"/>
        </w:rPr>
        <w:t>[ADPF 1 QO, rel. min. Néri da Silveira, j. 3-2-2000, P, DJ de 7-11-2003.]</w:t>
      </w:r>
    </w:p>
    <w:p>
      <w:pPr>
        <w:ind w:left="288"/>
      </w:pPr>
      <w:r>
        <w:rPr>
          <w:color w:val="8C8C8C"/>
          <w:sz w:val="12"/>
        </w:rPr>
        <w:t>cf-art-102-par-1</w:t>
      </w:r>
    </w:p>
    <w:p>
      <w:pPr>
        <w:ind w:left="288"/>
      </w:pPr>
      <w:r>
        <w:rPr>
          <w:color w:val="1E1E1E"/>
          <w:sz w:val="18"/>
        </w:rPr>
        <w:t>§ 2º As decisões definitivas de mérito, proferidas pelo Supremo Tribunal Federal, nas ações diretas de inconstitucionalidade e nas ações declaratórias de constitucionalidade produzirão eficácia contra todos e efeito vinculante, relativamente aos demais órgãos do Poder Judiciário e à administração pública direta e indireta, nas esferas federal, estadual e municipal. (Redação da EC 45/2004)</w:t>
      </w:r>
    </w:p>
    <w:p>
      <w:pPr>
        <w:ind w:left="288"/>
      </w:pPr>
      <w:r>
        <w:rPr>
          <w:color w:val="8C8C8C"/>
          <w:sz w:val="12"/>
        </w:rPr>
        <w:t>cf-art-102-par-1</w:t>
      </w:r>
      <w:r>
        <w:rPr>
          <w:color w:val="003CA0"/>
          <w:sz w:val="12"/>
        </w:rPr>
        <w:t xml:space="preserve"> | ADI 3.791</w:t>
      </w:r>
      <w:r>
        <w:rPr>
          <w:color w:val="003CA0"/>
          <w:sz w:val="12"/>
        </w:rPr>
        <w:t xml:space="preserve"> | rel. Ayres Britto</w:t>
      </w:r>
    </w:p>
    <w:p>
      <w:pPr>
        <w:ind w:left="288"/>
      </w:pPr>
      <w:r>
        <w:rPr>
          <w:color w:val="1E1E1E"/>
          <w:sz w:val="18"/>
        </w:rPr>
        <w:t>Tendo em conta a natureza alimentar da gratificação e a presunção de boa-fé, a operar em favor dos militares do Distrito Federal, atribui-se à declaração de inconstitucionalidade efeitos prospectivos (ex nunc).</w:t>
      </w:r>
    </w:p>
    <w:p>
      <w:pPr>
        <w:ind w:left="288"/>
      </w:pPr>
      <w:r>
        <w:rPr>
          <w:b/>
          <w:color w:val="003CA0"/>
          <w:sz w:val="16"/>
        </w:rPr>
        <w:t>[ADI 3.791, rel. min. Ayres Britto, j. 16-6-2010, P, DJE de 27-8-2010.]</w:t>
      </w:r>
    </w:p>
    <w:p>
      <w:pPr>
        <w:ind w:left="288"/>
      </w:pPr>
      <w:r>
        <w:rPr>
          <w:color w:val="8C8C8C"/>
          <w:sz w:val="12"/>
        </w:rPr>
        <w:t>cf-art-102-par-1</w:t>
      </w:r>
      <w:r>
        <w:rPr>
          <w:color w:val="003CA0"/>
          <w:sz w:val="12"/>
        </w:rPr>
        <w:t xml:space="preserve"> | ADI 2.903</w:t>
      </w:r>
      <w:r>
        <w:rPr>
          <w:color w:val="003CA0"/>
          <w:sz w:val="12"/>
        </w:rPr>
        <w:t xml:space="preserve"> | rel. Celso de Mello</w:t>
      </w:r>
    </w:p>
    <w:p>
      <w:pPr>
        <w:ind w:left="288"/>
      </w:pPr>
      <w:r>
        <w:rPr>
          <w:color w:val="1E1E1E"/>
          <w:sz w:val="18"/>
        </w:rPr>
        <w:t>A mera instauração do processo de controle normativo abstrato não se reveste, só por si, de efeitos inibitórios das atividades normativas do Poder Legislativo, que não fica impossibilitado, por isso mesmo, de revogar, enquanto pendente a respectiva ação direta, a própria lei objeto de impugnação perante o Supremo Tribunal, podendo, até mesmo, reeditar o diploma anteriormente pronunciado inconstitucional, eis que não se estende, ao Parlamento, a eficácia vinculante que resulta, naturalmente, da própria declaração de inconstitucionalidade proferida em sede concentrada.</w:t>
      </w:r>
    </w:p>
    <w:p>
      <w:pPr>
        <w:ind w:left="288"/>
      </w:pPr>
      <w:r>
        <w:rPr>
          <w:b/>
          <w:color w:val="003CA0"/>
          <w:sz w:val="16"/>
        </w:rPr>
        <w:t>[ADI 2.903, rel. min. Celso de Mello, j. 1º-12-2005, P, DJE de 19-9-2008.]</w:t>
      </w:r>
    </w:p>
    <w:p>
      <w:pPr>
        <w:ind w:left="288"/>
      </w:pPr>
      <w:r>
        <w:rPr>
          <w:color w:val="8C8C8C"/>
          <w:sz w:val="12"/>
        </w:rPr>
        <w:t>cf-art-102-par-1</w:t>
      </w:r>
      <w:r>
        <w:rPr>
          <w:color w:val="003CA0"/>
          <w:sz w:val="12"/>
        </w:rPr>
        <w:t xml:space="preserve"> | ADC 8</w:t>
      </w:r>
      <w:r>
        <w:rPr>
          <w:color w:val="003CA0"/>
          <w:sz w:val="12"/>
        </w:rPr>
        <w:t xml:space="preserve"> | rel. Celso de Mello</w:t>
      </w:r>
    </w:p>
    <w:p>
      <w:pPr>
        <w:ind w:left="288"/>
      </w:pPr>
      <w:r>
        <w:rPr>
          <w:color w:val="1E1E1E"/>
          <w:sz w:val="18"/>
        </w:rPr>
        <w:t>O ajuizamento da ação declaratória de constitucionalidade, que faz instaurar processo objetivo de controle normativo abstrato, supõe a existência de efetiva controvérsia judicial em torno da legitimidade constitucional de determinada lei ou ato normativo federal. Sem a observância desse pressuposto de admissibilidade, torna-se inviável a instauração do processo de fiscalização normativa in abstracto, pois a inexistência de pronunciamentos judiciais antagônicos culminaria por converter a ação declaratória de constitucionalidade em um inadmissível instrumento de consulta sobre a validade constit</w:t>
      </w:r>
    </w:p>
    <w:p>
      <w:pPr>
        <w:ind w:left="288"/>
      </w:pPr>
      <w:r>
        <w:rPr>
          <w:b/>
          <w:color w:val="003CA0"/>
          <w:sz w:val="16"/>
        </w:rPr>
        <w:t>[ADC 8 MC, rel. min. Celso de Mello, j. 13-10-1999, P, DJ de 4-4-2003.]</w:t>
      </w:r>
    </w:p>
    <w:p>
      <w:pPr>
        <w:ind w:left="288"/>
      </w:pPr>
      <w:r>
        <w:rPr>
          <w:color w:val="8C8C8C"/>
          <w:sz w:val="12"/>
        </w:rPr>
        <w:t>cf-art-102-par-1</w:t>
      </w:r>
      <w:r>
        <w:rPr>
          <w:color w:val="003CA0"/>
          <w:sz w:val="12"/>
        </w:rPr>
        <w:t xml:space="preserve"> | ADC 4</w:t>
      </w:r>
      <w:r>
        <w:rPr>
          <w:color w:val="003CA0"/>
          <w:sz w:val="12"/>
        </w:rPr>
        <w:t xml:space="preserve"> | rel. Sydney Sanches</w:t>
      </w:r>
    </w:p>
    <w:p>
      <w:pPr>
        <w:ind w:left="288"/>
      </w:pPr>
      <w:r>
        <w:rPr>
          <w:color w:val="1E1E1E"/>
          <w:sz w:val="18"/>
        </w:rPr>
        <w:t>Ação declaratória de constitucionalidade do art. 1º da Lei 9.494, de 10-9-1997, que disciplina a aplicação da tutela antecipada contra a Fazenda Pública. Medida cautelar: cabimento e espécie, na ação declaratória de constitucionalidade. Requisitos para sua concessão. (...) As decisões definitivas de mérito, proferidas pelo STF, nas ações declaratórias de constitucionalidade de lei ou ato normativo federal, produzem eficácia contra todos e até efeito vinculante, relativamente aos demais órgãos do Poder Judiciário e ao Poder Executivo, nos termos do art. 102, § 2º, da CF. Em ação dessa natureza,</w:t>
      </w:r>
    </w:p>
    <w:p>
      <w:pPr>
        <w:ind w:left="288"/>
      </w:pPr>
      <w:r>
        <w:rPr>
          <w:b/>
          <w:color w:val="003CA0"/>
          <w:sz w:val="16"/>
        </w:rPr>
        <w:t>[ADC 4 MC, rel. min. Sydney Sanches, j. 11-2-1998, P, DJ de 21-5-1999.]</w:t>
      </w:r>
    </w:p>
    <w:p>
      <w:pPr>
        <w:ind w:left="288"/>
      </w:pPr>
      <w:r>
        <w:rPr>
          <w:color w:val="8C8C8C"/>
          <w:sz w:val="12"/>
        </w:rPr>
        <w:t>cf-art-102-par-1</w:t>
      </w:r>
      <w:r>
        <w:rPr>
          <w:color w:val="003CA0"/>
          <w:sz w:val="12"/>
        </w:rPr>
        <w:t xml:space="preserve"> | ADC 1</w:t>
      </w:r>
      <w:r>
        <w:rPr>
          <w:color w:val="003CA0"/>
          <w:sz w:val="12"/>
        </w:rPr>
        <w:t xml:space="preserve"> | rel. Moreira Alves</w:t>
      </w:r>
    </w:p>
    <w:p>
      <w:pPr>
        <w:ind w:left="288"/>
      </w:pPr>
      <w:r>
        <w:rPr>
          <w:color w:val="1E1E1E"/>
          <w:sz w:val="18"/>
        </w:rPr>
        <w:t>A delimitação do objeto da ação declaratória de constitucionalidade não se adstringe aos limites do objeto fixado pelo autor, mas estes estão sujeitos aos lindes da controvérsia judicial que o autor tem que demonstrar.</w:t>
      </w:r>
    </w:p>
    <w:p>
      <w:pPr>
        <w:ind w:left="288"/>
      </w:pPr>
      <w:r>
        <w:rPr>
          <w:b/>
          <w:color w:val="003CA0"/>
          <w:sz w:val="16"/>
        </w:rPr>
        <w:t>[ADC 1, rel. min. Moreira Alves, j. 1º-12-1993, P, DJ de 16-6-1995.]</w:t>
      </w:r>
    </w:p>
    <w:p>
      <w:pPr>
        <w:ind w:left="288"/>
      </w:pPr>
      <w:r>
        <w:rPr>
          <w:color w:val="8C8C8C"/>
          <w:sz w:val="12"/>
        </w:rPr>
        <w:t>cf-art-102-par-1</w:t>
      </w:r>
      <w:r>
        <w:rPr>
          <w:color w:val="003CA0"/>
          <w:sz w:val="12"/>
        </w:rPr>
        <w:t xml:space="preserve"> | ADC 1</w:t>
      </w:r>
      <w:r>
        <w:rPr>
          <w:color w:val="003CA0"/>
          <w:sz w:val="12"/>
        </w:rPr>
        <w:t xml:space="preserve"> | rel. Moreira Alves</w:t>
      </w:r>
    </w:p>
    <w:p>
      <w:pPr>
        <w:ind w:left="288"/>
      </w:pPr>
      <w:r>
        <w:rPr>
          <w:color w:val="1E1E1E"/>
          <w:sz w:val="18"/>
        </w:rPr>
        <w:t>Ação declaratória de constitucionalidade. Incidente de inconstitucionalidade da EC 3/1993, no tocante à instituição dessa ação. Questão de ordem. Tramitação da ação declaratória de constitucionalidade. Incidente que se julga no sentido da constitucionalidade da EC 3, de 1993, no tocante à ação declaratória de constitucionalidade.</w:t>
      </w:r>
    </w:p>
    <w:p>
      <w:pPr>
        <w:ind w:left="288"/>
      </w:pPr>
      <w:r>
        <w:rPr>
          <w:b/>
          <w:color w:val="003CA0"/>
          <w:sz w:val="16"/>
        </w:rPr>
        <w:t>[ADC 1 QO, rel. min. Moreira Alves, j. 27-10-1993, P, DJ de 16-6-1995.]</w:t>
      </w:r>
    </w:p>
    <w:p>
      <w:pPr>
        <w:ind w:left="288"/>
      </w:pPr>
      <w:r>
        <w:rPr>
          <w:color w:val="8C8C8C"/>
          <w:sz w:val="12"/>
        </w:rPr>
        <w:t>cf-art-102-par-1</w:t>
      </w:r>
      <w:r>
        <w:rPr>
          <w:color w:val="003CA0"/>
          <w:sz w:val="12"/>
        </w:rPr>
        <w:t xml:space="preserve"> | RE 1.276.977</w:t>
      </w:r>
      <w:r>
        <w:rPr>
          <w:color w:val="003CA0"/>
          <w:sz w:val="12"/>
        </w:rPr>
        <w:t xml:space="preserve"> | rel. Marco Aurélio</w:t>
      </w:r>
    </w:p>
    <w:p>
      <w:pPr>
        <w:ind w:left="288"/>
      </w:pPr>
      <w:r>
        <w:rPr>
          <w:color w:val="1E1E1E"/>
          <w:sz w:val="18"/>
        </w:rPr>
        <w:t>“1. A declaração de constitucionalidade do art. 3º da Lei n. 9.876/1999 impõe que o dispositivo legal seja observado de forma cogente pelos demais órgãos do Poder Judiciário e pela Administração Pública, em sua interpretação textual, que não permite exceção. O segurado do INSS que se enquadre no dispositivo não pode optar pela regra definitiva prevista no art. 29, I e II, da Lei n. 8.213/1991, independentemente de lhe ser mais favorável. 2. Ficam modulados os efeitos dessa decisão para determinar: a) a irrepetibilidade dos valores percebidos pelos segurados em virtude de decisões judiciais, de</w:t>
      </w:r>
    </w:p>
    <w:p>
      <w:pPr>
        <w:ind w:left="288"/>
      </w:pPr>
      <w:r>
        <w:rPr>
          <w:b/>
          <w:color w:val="003CA0"/>
          <w:sz w:val="16"/>
        </w:rPr>
        <w:t>[RE 1.276.977 ED, rel. min. Marco Aurélio, red. do ac. min. Alexandre de Moraes, j. 25-11-2025, P, Informativo STF 1.200, Tema 1.102, com mérito julgado.]</w:t>
      </w:r>
    </w:p>
    <w:p>
      <w:pPr>
        <w:ind w:left="288"/>
      </w:pPr>
      <w:r>
        <w:rPr>
          <w:color w:val="8C8C8C"/>
          <w:sz w:val="12"/>
        </w:rPr>
        <w:t>cf-art-102-par-1</w:t>
      </w:r>
      <w:r>
        <w:rPr>
          <w:color w:val="003CA0"/>
          <w:sz w:val="12"/>
        </w:rPr>
        <w:t xml:space="preserve"> | ADPF 219</w:t>
      </w:r>
      <w:r>
        <w:rPr>
          <w:color w:val="003CA0"/>
          <w:sz w:val="12"/>
        </w:rPr>
        <w:t xml:space="preserve"> | rel. Luís Roberto Barroso</w:t>
      </w:r>
    </w:p>
    <w:p>
      <w:pPr>
        <w:ind w:left="288"/>
      </w:pPr>
      <w:r>
        <w:rPr>
          <w:color w:val="1E1E1E"/>
          <w:sz w:val="18"/>
        </w:rPr>
        <w:t>“1. É possível exigir da Fazenda Pública a apresentação de documentos e cálculos para o início de cumprimento de sentença nos juizados especiais, nos termos da ADPF 219; 2. É fática a controvérsia sobre a hipossuficiência da parte credora para atribuição à Fazenda Pública do ônus de apresentação de documentos para início de execução de sentença em Juizados Especiais”.</w:t>
      </w:r>
    </w:p>
    <w:p>
      <w:pPr>
        <w:ind w:left="288"/>
      </w:pPr>
      <w:r>
        <w:rPr>
          <w:b/>
          <w:color w:val="003CA0"/>
          <w:sz w:val="16"/>
        </w:rPr>
        <w:t>[RE 1.528.097 RG, rel. min. Luís Roberto Barroso, j. 16.05.2025, P, DJE de 23.05.2025, Tema 1.396, com mérito julgado.]</w:t>
      </w:r>
    </w:p>
    <w:p>
      <w:pPr>
        <w:ind w:left="144"/>
      </w:pPr>
      <w:r>
        <w:rPr>
          <w:b/>
          <w:color w:val="B45A00"/>
          <w:sz w:val="16"/>
        </w:rPr>
        <w:t>JULGADOS CORRELATOS</w:t>
      </w:r>
    </w:p>
    <w:p>
      <w:pPr>
        <w:ind w:left="288"/>
      </w:pPr>
      <w:r>
        <w:rPr>
          <w:color w:val="8C8C8C"/>
          <w:sz w:val="12"/>
        </w:rPr>
        <w:t>cf-art-102-par-1</w:t>
      </w:r>
      <w:r>
        <w:rPr>
          <w:color w:val="003CA0"/>
          <w:sz w:val="12"/>
        </w:rPr>
        <w:t xml:space="preserve"> | RCL 14.156</w:t>
      </w:r>
      <w:r>
        <w:rPr>
          <w:color w:val="003CA0"/>
          <w:sz w:val="12"/>
        </w:rPr>
        <w:t xml:space="preserve"> | rel. Celso de Mello</w:t>
      </w:r>
    </w:p>
    <w:p>
      <w:pPr>
        <w:ind w:left="288"/>
      </w:pPr>
      <w:r>
        <w:rPr>
          <w:color w:val="1E1E1E"/>
          <w:sz w:val="18"/>
        </w:rPr>
        <w:t>Pretendida submissão do processo legislativo ao efeito vinculante que resulta do julgamento, pelo STF, das causas de fiscalização abstrata de constitucionalidade. Inadmissibilidade. Consequente possibilidade de o chefe do Poder Executivo, por meio de sanção (ato impregnado de qualificação constitucional e integrante do próprio processo de formação das leis), converter, em lei, projeto cujo conteúdo estaria em conflito com decisão confirmatória da constitucionalidade de certo diploma legislativo, proferida, em sede de controle abstrato, pela Suprema Corte.</w:t>
      </w:r>
    </w:p>
    <w:p>
      <w:pPr>
        <w:ind w:left="288"/>
      </w:pPr>
      <w:r>
        <w:rPr>
          <w:b/>
          <w:color w:val="003CA0"/>
          <w:sz w:val="16"/>
        </w:rPr>
        <w:t>[Rcl 14.156 AgR, rel. min. Celso de Mello, j. 19-2-2014, P, DJE de 13-5-2014.]</w:t>
      </w:r>
    </w:p>
    <w:p>
      <w:pPr>
        <w:ind w:left="288"/>
      </w:pPr>
      <w:r>
        <w:rPr>
          <w:color w:val="8C8C8C"/>
          <w:sz w:val="12"/>
        </w:rPr>
        <w:t>cf-art-102-par-1</w:t>
      </w:r>
      <w:r>
        <w:rPr>
          <w:color w:val="003CA0"/>
          <w:sz w:val="12"/>
        </w:rPr>
        <w:t xml:space="preserve"> | RCL 13.019</w:t>
      </w:r>
      <w:r>
        <w:rPr>
          <w:color w:val="003CA0"/>
          <w:sz w:val="12"/>
        </w:rPr>
        <w:t xml:space="preserve"> | rel. Celso de Mello</w:t>
      </w:r>
    </w:p>
    <w:p>
      <w:pPr>
        <w:ind w:left="288"/>
      </w:pPr>
      <w:r>
        <w:rPr>
          <w:color w:val="1E1E1E"/>
          <w:sz w:val="18"/>
        </w:rPr>
        <w:t>Vide Rcl 13.019 MC, rel. min. Celso de Mello, j. 8-5-2012, dec. monocrática, DJE de 15-5-2012 Pretendida submissão do Poder Legislativo ao efeito vinculante que resulta do julgamento, pelo STF, dos processos de fiscalização abstrata de constitucionalidade. Inadmissibilidade. Consequente possibilidade de o legislador editar lei de conteúdo idêntico ao de outro diploma legislativo declarado inconstitucional, em sede de controle abstrato, pela Suprema Corte.</w:t>
      </w:r>
    </w:p>
    <w:p>
      <w:pPr>
        <w:ind w:left="288"/>
      </w:pPr>
      <w:r>
        <w:rPr>
          <w:b/>
          <w:color w:val="003CA0"/>
          <w:sz w:val="16"/>
        </w:rPr>
        <w:t>[Rcl 13.019 MC, rel. min. Celso de Mello, j. 8-5-2012, dec. monocrática, DJE de 15-5-2012.]</w:t>
      </w:r>
    </w:p>
    <w:p>
      <w:pPr>
        <w:ind w:left="288"/>
      </w:pPr>
      <w:r>
        <w:rPr>
          <w:color w:val="8C8C8C"/>
          <w:sz w:val="12"/>
        </w:rPr>
        <w:t>cf-art-102-par-1</w:t>
      </w:r>
      <w:r>
        <w:rPr>
          <w:color w:val="003CA0"/>
          <w:sz w:val="12"/>
        </w:rPr>
        <w:t xml:space="preserve"> | RCL 14.156</w:t>
      </w:r>
      <w:r>
        <w:rPr>
          <w:color w:val="003CA0"/>
          <w:sz w:val="12"/>
        </w:rPr>
        <w:t xml:space="preserve"> | rel. Celso de Mello</w:t>
      </w:r>
    </w:p>
    <w:p>
      <w:pPr>
        <w:ind w:left="288"/>
      </w:pPr>
      <w:r>
        <w:rPr>
          <w:color w:val="1E1E1E"/>
          <w:sz w:val="18"/>
        </w:rPr>
        <w:t>Vide Rcl 14.156 AgR, rel. min. Celso de Mello, j. 19-2-2014, P, DJE de 13-5-2014 Em recente julgamento, o Plenário do STF rejeitou a tese da eficácia vinculante dos motivos determinantes das decisões de ações de controle abstrato de constitucionalidade (Rcl 2.475 AgR, julgamento em 2-8-2007).</w:t>
      </w:r>
    </w:p>
    <w:p>
      <w:pPr>
        <w:ind w:left="288"/>
      </w:pPr>
      <w:r>
        <w:rPr>
          <w:b/>
          <w:color w:val="003CA0"/>
          <w:sz w:val="16"/>
        </w:rPr>
        <w:t>[Rcl 2.990 AgR, rel. min. Sepúlveda Pertence, j. 16-8-2007, P, DJ de 14-9-2007.]</w:t>
      </w:r>
    </w:p>
    <w:p>
      <w:pPr>
        <w:ind w:left="288"/>
      </w:pPr>
      <w:r>
        <w:rPr>
          <w:color w:val="8C8C8C"/>
          <w:sz w:val="12"/>
        </w:rPr>
        <w:t>cf-art-102-par-1</w:t>
      </w:r>
      <w:r>
        <w:rPr>
          <w:color w:val="003CA0"/>
          <w:sz w:val="12"/>
        </w:rPr>
        <w:t xml:space="preserve"> | RCL 7.956</w:t>
      </w:r>
      <w:r>
        <w:rPr>
          <w:color w:val="003CA0"/>
          <w:sz w:val="12"/>
        </w:rPr>
        <w:t xml:space="preserve"> | rel. Dias Toffoli</w:t>
      </w:r>
    </w:p>
    <w:p>
      <w:pPr>
        <w:ind w:left="288"/>
      </w:pPr>
      <w:r>
        <w:rPr>
          <w:color w:val="1E1E1E"/>
          <w:sz w:val="18"/>
        </w:rPr>
        <w:t>= Rcl 7.956 AgR, rel. min. Dias Toffoli, j. 19-9-2013, P, DJE de 12-11-2013 Vide RE 203.498 AgR, rel. min. Gilmar Mendes, j. 8-4-2003, 2ª T, DJ de 22-8-2003 A eficácia geral e o efeito vinculante de decisão, proferida pelo STF, em ação direta de constitucionalidade ou de inconstitucionalidade de lei ou ato normativo federal, só atingem os demais órgãos do Poder Judiciário e todos os do Poder Executivo, não alcançando o legislador, que pode editar nova lei com idêntico conteúdo normativo, sem ofender a autoridade daquela decisão.</w:t>
      </w:r>
    </w:p>
    <w:p>
      <w:pPr>
        <w:ind w:left="288"/>
      </w:pPr>
      <w:r>
        <w:rPr>
          <w:b/>
          <w:color w:val="003CA0"/>
          <w:sz w:val="16"/>
        </w:rPr>
        <w:t>[Rcl 2.617 AgR, rel. min. Cezar Peluso, j. 23-2-2005, P, DJ de 20-5-2005.]</w:t>
      </w:r>
    </w:p>
    <w:p>
      <w:pPr>
        <w:ind w:left="288"/>
      </w:pPr>
      <w:r>
        <w:rPr>
          <w:color w:val="8C8C8C"/>
          <w:sz w:val="12"/>
        </w:rPr>
        <w:t>cf-art-102-par-1</w:t>
      </w:r>
      <w:r>
        <w:rPr>
          <w:color w:val="003CA0"/>
          <w:sz w:val="12"/>
        </w:rPr>
        <w:t xml:space="preserve"> | RCL 13.019</w:t>
      </w:r>
      <w:r>
        <w:rPr>
          <w:color w:val="003CA0"/>
          <w:sz w:val="12"/>
        </w:rPr>
        <w:t xml:space="preserve"> | rel. Celso de Mello</w:t>
      </w:r>
    </w:p>
    <w:p>
      <w:pPr>
        <w:ind w:left="288"/>
      </w:pPr>
      <w:r>
        <w:rPr>
          <w:color w:val="1E1E1E"/>
          <w:sz w:val="18"/>
        </w:rPr>
        <w:t xml:space="preserve">= Rcl 13.019 AgR, rel. min. Celso de Mello, j. 19-2-2014, P, DJE de 12-3-2014 As decisões consubstanciadoras de declaração de constitucionalidade ou de inconstitucionalidade, inclusive aquelas que importem em interpretação conforme à Constituição e em declaração parcial de inconstitucionalidade sem redução de texto, quando proferidas pelo STF, em sede de fiscalização normativa abstrata, revestem-se de eficácia contra todos (erga omnes) e possuem efeito vinculante em relação a todos os magistrados e tribunais, bem assim em face da administração pública federal, estadual, distrital e municipal, </w:t>
      </w:r>
    </w:p>
    <w:p>
      <w:pPr>
        <w:ind w:left="288"/>
      </w:pPr>
      <w:r>
        <w:rPr>
          <w:b/>
          <w:color w:val="003CA0"/>
          <w:sz w:val="16"/>
        </w:rPr>
        <w:t>[Rcl 2.143 AgR, rel. min. Celso de Mello, j. 12-3-2003, P, DJ de 6-6-2003.]</w:t>
      </w:r>
    </w:p>
    <w:p>
      <w:pPr>
        <w:ind w:left="288"/>
      </w:pPr>
      <w:r>
        <w:rPr>
          <w:color w:val="8C8C8C"/>
          <w:sz w:val="12"/>
        </w:rPr>
        <w:t>cf-art-102-par-1</w:t>
      </w:r>
      <w:r>
        <w:rPr>
          <w:color w:val="003CA0"/>
          <w:sz w:val="12"/>
        </w:rPr>
        <w:t xml:space="preserve"> | RE 216.259</w:t>
      </w:r>
      <w:r>
        <w:rPr>
          <w:color w:val="003CA0"/>
          <w:sz w:val="12"/>
        </w:rPr>
        <w:t xml:space="preserve"> | rel. Celso de Mello</w:t>
      </w:r>
    </w:p>
    <w:p>
      <w:pPr>
        <w:ind w:left="288"/>
      </w:pPr>
      <w:r>
        <w:rPr>
          <w:color w:val="1E1E1E"/>
          <w:sz w:val="18"/>
        </w:rPr>
        <w:t>A existência de precedente firmado pelo Plenário do STF autoriza o julgamento imediato de causas que versem o mesmo tema (RISTF, art. 101). A declaração de constitucionalidade ou de inconstitucionalidade de lei ou ato normativo, emanada do Plenário do STF, em decisão proferida por maioria qualificada, aplica-se aos novos processos submetidos à apreciação das Turmas ou à deliberação dos juízes que integram a Corte, viabilizando, em consequência, o julgamento imediato de causas que versem o mesmo tema, ainda que o acórdão plenário – que firmou o precedente no leading case – não tenha sido public</w:t>
      </w:r>
    </w:p>
    <w:p>
      <w:pPr>
        <w:ind w:left="288"/>
      </w:pPr>
      <w:r>
        <w:rPr>
          <w:b/>
          <w:color w:val="003CA0"/>
          <w:sz w:val="16"/>
        </w:rPr>
        <w:t>[RE 216.259 AgR, rel. min. Celso de Mello, j. 9-5-2000, 2ª T, DJ de 19-5-2000.]</w:t>
      </w:r>
    </w:p>
    <w:p>
      <w:pPr>
        <w:ind w:left="288"/>
      </w:pPr>
      <w:r>
        <w:rPr>
          <w:color w:val="8C8C8C"/>
          <w:sz w:val="12"/>
        </w:rPr>
        <w:t>cf-art-102-par-1</w:t>
      </w:r>
      <w:r>
        <w:rPr>
          <w:color w:val="003CA0"/>
          <w:sz w:val="12"/>
        </w:rPr>
        <w:t xml:space="preserve"> | RE 524.380</w:t>
      </w:r>
      <w:r>
        <w:rPr>
          <w:color w:val="003CA0"/>
          <w:sz w:val="12"/>
        </w:rPr>
        <w:t xml:space="preserve"> | rel. Dias Toffoli</w:t>
      </w:r>
    </w:p>
    <w:p>
      <w:pPr>
        <w:ind w:left="288"/>
      </w:pPr>
      <w:r>
        <w:rPr>
          <w:color w:val="1E1E1E"/>
          <w:sz w:val="18"/>
        </w:rPr>
        <w:t>= RE 524.380 AgR, rel. min. Dias Toffoli, j. 15-12-2009, 1ª T, DJE de 5-2-2010 O Tribunal, por votação unânime, conheceu do recurso extraordinário e lhe deu provimento para declarar a inconstitucionalidade dos arts. 25, 27 e parágrafos, do Ato das Disposições Transitórias da Lei Orgânica do Município do Rio de Janeiro, de 5-4-1990. (...) E, em questão de ordem levantada pelo presidente (min. Moreira Alves), decidiu que a decisão tomada, como a presente, em recurso extraordinário interposto em ação direta de inconstitucionalidade estadual, tem eficácia erga omnes, por se tratar de controle conc</w:t>
      </w:r>
    </w:p>
    <w:p>
      <w:pPr>
        <w:ind w:left="288"/>
      </w:pPr>
      <w:r>
        <w:rPr>
          <w:b/>
          <w:color w:val="003CA0"/>
          <w:sz w:val="16"/>
        </w:rPr>
        <w:t>[RE 187.142, rel. min. Ilmar Galvão, j. 13-8-1998, P, DJ de 2-10-1998.]</w:t>
      </w:r>
    </w:p>
    <w:p>
      <w:pPr>
        <w:ind w:left="288"/>
      </w:pPr>
      <w:r>
        <w:rPr>
          <w:color w:val="8C8C8C"/>
          <w:sz w:val="12"/>
        </w:rPr>
        <w:t>cf-art-102-par-1</w:t>
      </w:r>
    </w:p>
    <w:p>
      <w:pPr>
        <w:ind w:left="288"/>
      </w:pPr>
      <w:r>
        <w:rPr>
          <w:color w:val="1E1E1E"/>
          <w:sz w:val="18"/>
        </w:rPr>
        <w:t>§ 3º No recurso extraordinário o recorrente deverá demonstrar a repercussão geral das questões constitucionais discutidas no caso, nos termos da lei, a fim de que o Tribunal examine a admissão do recurso, somente podendo recusá-lo pela manifestação de dois terços de seus membros. (Incluído pela EC 45/2004) Nota: As matérias cuja repercussão geral já foi reconhecida ou afastada pelo Plenário do STF estão disponíveis para consulta no sítio do Tribunal (http://www.stf.jus.br/portal/jurisprudenciaRepercussao/pesquisarProcesso.asp)</w:t>
      </w:r>
    </w:p>
    <w:p>
      <w:pPr>
        <w:ind w:left="288"/>
      </w:pPr>
      <w:r>
        <w:rPr>
          <w:color w:val="8C8C8C"/>
          <w:sz w:val="12"/>
        </w:rPr>
        <w:t>cf-art-102-par-1</w:t>
      </w:r>
      <w:r>
        <w:rPr>
          <w:color w:val="003CA0"/>
          <w:sz w:val="12"/>
        </w:rPr>
        <w:t xml:space="preserve"> | RE 1.017.365</w:t>
      </w:r>
      <w:r>
        <w:rPr>
          <w:color w:val="003CA0"/>
          <w:sz w:val="12"/>
        </w:rPr>
        <w:t xml:space="preserve"> | rel. André Mendonça</w:t>
      </w:r>
    </w:p>
    <w:p>
      <w:pPr>
        <w:ind w:left="288"/>
      </w:pPr>
      <w:r>
        <w:rPr>
          <w:color w:val="1E1E1E"/>
          <w:sz w:val="18"/>
        </w:rPr>
        <w:t>“Nos recursos extraordinários apreciados sob a sistemática da repercussão geral, o impedimento restringe-se à etapa da votação referente ao processo subjetivo e à conclusão de julgamento aplicada às partes, porém, não se aplica à fixação e votação da tese constitucional, pois nesta não se discutem situações individuais nem interesses concretos. Ou seja, deve-se participar da integralidade do julgamento concernente ao tema de repercussão geral (incluindo voto, debates e sessões correspondentes), apenas deixando de apresentar voto sobre a causa-piloto (caso concreto)”.</w:t>
        <w:br/>
        <w:t>[RE 1.017.365 QO, rel. min</w:t>
      </w:r>
    </w:p>
    <w:p>
      <w:pPr>
        <w:ind w:left="288"/>
      </w:pPr>
      <w:r>
        <w:rPr>
          <w:b/>
          <w:color w:val="003CA0"/>
          <w:sz w:val="16"/>
        </w:rPr>
        <w:t>[RE 584.247 QO, rel. min. Roberto Barroso, j. 27-10-2016, P, DJE de 2-5-2017.]</w:t>
      </w:r>
    </w:p>
    <w:p>
      <w:pPr>
        <w:ind w:left="288"/>
      </w:pPr>
      <w:r>
        <w:rPr>
          <w:color w:val="8C8C8C"/>
          <w:sz w:val="12"/>
        </w:rPr>
        <w:t>cf-art-102-par-1</w:t>
      </w:r>
      <w:r>
        <w:rPr>
          <w:color w:val="003CA0"/>
          <w:sz w:val="12"/>
        </w:rPr>
        <w:t xml:space="preserve"> | RCL 9.655</w:t>
      </w:r>
      <w:r>
        <w:rPr>
          <w:color w:val="003CA0"/>
          <w:sz w:val="12"/>
        </w:rPr>
        <w:t xml:space="preserve"> | rel. Teori Zavascki</w:t>
      </w:r>
    </w:p>
    <w:p>
      <w:pPr>
        <w:ind w:left="288"/>
      </w:pPr>
      <w:r>
        <w:rPr>
          <w:color w:val="1E1E1E"/>
          <w:sz w:val="18"/>
        </w:rPr>
        <w:t>A conversão de reclamação em agravo regimental, para julgamento na origem, contra decisão que não admite recurso extraordinário por incidência da sistemática da repercussão geral, é admissível apenas para os casos propostos no STF antes de 19-11-2009.</w:t>
      </w:r>
    </w:p>
    <w:p>
      <w:pPr>
        <w:ind w:left="288"/>
      </w:pPr>
      <w:r>
        <w:rPr>
          <w:b/>
          <w:color w:val="003CA0"/>
          <w:sz w:val="16"/>
        </w:rPr>
        <w:t>[Rcl 9.655 AgR, rel. min. Teori Zavascki, j. 27-2-2014, P, DJE de 7-4-2014.]</w:t>
      </w:r>
    </w:p>
    <w:p>
      <w:pPr>
        <w:ind w:left="288"/>
      </w:pPr>
      <w:r>
        <w:rPr>
          <w:color w:val="8C8C8C"/>
          <w:sz w:val="12"/>
        </w:rPr>
        <w:t>cf-art-102-par-1</w:t>
      </w:r>
      <w:r>
        <w:rPr>
          <w:color w:val="003CA0"/>
          <w:sz w:val="12"/>
        </w:rPr>
        <w:t xml:space="preserve"> | RE 659.424</w:t>
      </w:r>
      <w:r>
        <w:rPr>
          <w:color w:val="003CA0"/>
          <w:sz w:val="12"/>
        </w:rPr>
        <w:t xml:space="preserve"> | rel. Celso de Mello</w:t>
      </w:r>
    </w:p>
    <w:p>
      <w:pPr>
        <w:ind w:left="288"/>
      </w:pPr>
      <w:r>
        <w:rPr>
          <w:color w:val="1E1E1E"/>
          <w:sz w:val="18"/>
        </w:rPr>
        <w:t>Amicus curiae. Jurisdição constitucional e legitimidade democrática. O STF como "mediador entre as diferentes forças com legitimação no processo constitucional" (Gilmar Mendes). Possibilidade da intervenção de terceiros, na condição de amicus curiae, em sede de recurso extraordinário com repercussão geral reconhecida. Necessidade, contudo, de preenchimento, pela entidade interessada, do pré-requisito concernente à representatividade adequada. Doutrina. Condição não ostentada por pessoa física ou natural. Consequente inadmissibilidade de seu ingresso, na qualidade de amicus curiae, em recurso e</w:t>
      </w:r>
    </w:p>
    <w:p>
      <w:pPr>
        <w:ind w:left="288"/>
      </w:pPr>
      <w:r>
        <w:rPr>
          <w:b/>
          <w:color w:val="003CA0"/>
          <w:sz w:val="16"/>
        </w:rPr>
        <w:t>[RE 659.424, rel. min. Celso de Mello, j. 9-12-2013, dec. monocrática, DJE de 13-12-2013.]</w:t>
      </w:r>
    </w:p>
    <w:p>
      <w:pPr>
        <w:ind w:left="288"/>
      </w:pPr>
      <w:r>
        <w:rPr>
          <w:color w:val="8C8C8C"/>
          <w:sz w:val="12"/>
        </w:rPr>
        <w:t>cf-art-102-par-1</w:t>
      </w:r>
      <w:r>
        <w:rPr>
          <w:color w:val="003CA0"/>
          <w:sz w:val="12"/>
        </w:rPr>
        <w:t xml:space="preserve"> | RCL 9.540</w:t>
      </w:r>
      <w:r>
        <w:rPr>
          <w:color w:val="003CA0"/>
          <w:sz w:val="12"/>
        </w:rPr>
        <w:t xml:space="preserve"> | rel. Dias Toffoli</w:t>
      </w:r>
    </w:p>
    <w:p>
      <w:pPr>
        <w:ind w:left="288"/>
      </w:pPr>
      <w:r>
        <w:rPr>
          <w:color w:val="1E1E1E"/>
          <w:sz w:val="18"/>
        </w:rPr>
        <w:t>O entendimento da Súmula do STF 727 restou superado com o advento da novel legislação – decorrente da EC 45/2004 – editada com o escopo de disciplinar a exigência de repercussão geral da matéria constitucional suscitada no âmbito do recurso extraordinário, especialmente os arts. 543-A e 543-B do CPC, com a redação dada pela Lei 11.418/2006.</w:t>
      </w:r>
    </w:p>
    <w:p>
      <w:pPr>
        <w:ind w:left="288"/>
      </w:pPr>
      <w:r>
        <w:rPr>
          <w:b/>
          <w:color w:val="003CA0"/>
          <w:sz w:val="16"/>
        </w:rPr>
        <w:t>[Rcl 9.540 AgR, rel. min. Dias Toffoli, j. 19-9-2013, P, DJE de 8-11-2013.]</w:t>
      </w:r>
    </w:p>
    <w:p>
      <w:pPr>
        <w:ind w:left="288"/>
      </w:pPr>
      <w:r>
        <w:rPr>
          <w:color w:val="8C8C8C"/>
          <w:sz w:val="12"/>
        </w:rPr>
        <w:t>cf-art-102-par-1</w:t>
      </w:r>
      <w:r>
        <w:rPr>
          <w:color w:val="003CA0"/>
          <w:sz w:val="12"/>
        </w:rPr>
        <w:t xml:space="preserve"> | RE 676.924</w:t>
      </w:r>
      <w:r>
        <w:rPr>
          <w:color w:val="003CA0"/>
          <w:sz w:val="12"/>
        </w:rPr>
        <w:t xml:space="preserve"> | rel. Ricardo Lewandowski</w:t>
      </w:r>
    </w:p>
    <w:p>
      <w:pPr>
        <w:ind w:left="288"/>
      </w:pPr>
      <w:r>
        <w:rPr>
          <w:color w:val="1E1E1E"/>
          <w:sz w:val="18"/>
        </w:rPr>
        <w:t>Nos termos do art. 324, § 2º, do RISTF, na hipótese em que o relator, ao se manifestar sobre a repercussão geral do tema versado no extraordinário, declare que a matéria tratada no recurso possui caráter infraconstitucional, a ausência de pronunciamento expresso dos ministros desta Corte no Plenário Virtual implica a presunção de manifestação pela ausência de repercussão geral.</w:t>
      </w:r>
    </w:p>
    <w:p>
      <w:pPr>
        <w:ind w:left="288"/>
      </w:pPr>
      <w:r>
        <w:rPr>
          <w:b/>
          <w:color w:val="003CA0"/>
          <w:sz w:val="16"/>
        </w:rPr>
        <w:t>[RE 676.924 RG-ED, rel. min. Ricardo Lewandowski, j. 19-6-2013, P, DJE de 1º-7-2013.]</w:t>
      </w:r>
    </w:p>
    <w:p>
      <w:pPr>
        <w:ind w:left="288"/>
      </w:pPr>
      <w:r>
        <w:rPr>
          <w:color w:val="8C8C8C"/>
          <w:sz w:val="12"/>
        </w:rPr>
        <w:t>cf-art-102-par-1</w:t>
      </w:r>
      <w:r>
        <w:rPr>
          <w:color w:val="003CA0"/>
          <w:sz w:val="12"/>
        </w:rPr>
        <w:t xml:space="preserve"> | RE 593.443</w:t>
      </w:r>
      <w:r>
        <w:rPr>
          <w:color w:val="003CA0"/>
          <w:sz w:val="12"/>
        </w:rPr>
        <w:t xml:space="preserve"> | rel. Dias Toffoli</w:t>
      </w:r>
    </w:p>
    <w:p>
      <w:pPr>
        <w:ind w:left="288"/>
      </w:pPr>
      <w:r>
        <w:rPr>
          <w:color w:val="1E1E1E"/>
          <w:sz w:val="18"/>
        </w:rPr>
        <w:t>Nota: O recurso extraordinário abaixo é o processo paradigma do Tema 154 de repercussão geral. O trecho com o mérito do recurso extraordinário foi inserido no art. 5º, XXXVIII, d, e 129, I, da CF/1988. O trecho selecionado abaixo foi inserido entre os julgados correlatos por não compor o mérito da repercussão geral. Havendo a Corte, por meio de seu Plenário Virtual, reconhecido a repercussão geral do tema constitucional debatido nos autos, deve prosseguir no julgamento de mérito da causa.</w:t>
        <w:br/>
        <w:t>[RE 593.443, red do ac. min. Ricardo Lewandowski, j. 6-6-2013, P, DJE de 22-5-2014.] Não há que se falar n</w:t>
      </w:r>
    </w:p>
    <w:p>
      <w:pPr>
        <w:ind w:left="288"/>
      </w:pPr>
      <w:r>
        <w:rPr>
          <w:b/>
          <w:color w:val="003CA0"/>
          <w:sz w:val="16"/>
        </w:rPr>
        <w:t>[EI 4 AgR, rel. min. Dias Toffoli, j. 23-5-2013, P, DJE de 1º-8-2013.]</w:t>
      </w:r>
    </w:p>
    <w:p>
      <w:pPr>
        <w:ind w:left="288"/>
      </w:pPr>
      <w:r>
        <w:rPr>
          <w:color w:val="8C8C8C"/>
          <w:sz w:val="12"/>
        </w:rPr>
        <w:t>cf-art-102-par-1</w:t>
      </w:r>
      <w:r>
        <w:rPr>
          <w:color w:val="003CA0"/>
          <w:sz w:val="12"/>
        </w:rPr>
        <w:t xml:space="preserve"> | RE 645.057</w:t>
      </w:r>
      <w:r>
        <w:rPr>
          <w:color w:val="003CA0"/>
          <w:sz w:val="12"/>
        </w:rPr>
        <w:t xml:space="preserve"> | rel. Luiz Fux</w:t>
      </w:r>
    </w:p>
    <w:p>
      <w:pPr>
        <w:ind w:left="288"/>
      </w:pPr>
      <w:r>
        <w:rPr>
          <w:color w:val="1E1E1E"/>
          <w:sz w:val="18"/>
        </w:rPr>
        <w:t>A repercussão geral é presumida quando o recurso versar questão cuja repercussão já houver sido reconhecida pelo Tribunal, ou quando impugnar decisão contrária a súmula ou a jurisprudência dominante desta Corte.</w:t>
      </w:r>
    </w:p>
    <w:p>
      <w:pPr>
        <w:ind w:left="288"/>
      </w:pPr>
      <w:r>
        <w:rPr>
          <w:b/>
          <w:color w:val="003CA0"/>
          <w:sz w:val="16"/>
        </w:rPr>
        <w:t>[RE 645.057 AgR, rel. min. Luiz Fux, j. 25-10-2012, 1ª T, DJE de 31-10-2012.]</w:t>
      </w:r>
    </w:p>
    <w:p>
      <w:pPr>
        <w:ind w:left="288"/>
      </w:pPr>
      <w:r>
        <w:rPr>
          <w:color w:val="8C8C8C"/>
          <w:sz w:val="12"/>
        </w:rPr>
        <w:t>cf-art-102-par-1</w:t>
      </w:r>
      <w:r>
        <w:rPr>
          <w:color w:val="003CA0"/>
          <w:sz w:val="12"/>
        </w:rPr>
        <w:t xml:space="preserve"> | ARE 663.637</w:t>
      </w:r>
      <w:r>
        <w:rPr>
          <w:color w:val="003CA0"/>
          <w:sz w:val="12"/>
        </w:rPr>
        <w:t xml:space="preserve"> | rel. Ayres Britto</w:t>
      </w:r>
    </w:p>
    <w:p>
      <w:pPr>
        <w:ind w:left="288"/>
      </w:pPr>
      <w:r>
        <w:rPr>
          <w:color w:val="1E1E1E"/>
          <w:sz w:val="18"/>
        </w:rPr>
        <w:t>Questão de ordem resolvida no sentido de que o reconhecimento, pelo STF, da presença da repercussão geral da questão constitucional em determinado processo não exime os demais recorrentes do dever constitucional e processual de apresentar a preliminar devidamente fundamentada sobre a presença da repercussão geral (§ 3º do art. 102 da Constituição da República e § 2º do art. 543-A do CPC).</w:t>
      </w:r>
    </w:p>
    <w:p>
      <w:pPr>
        <w:ind w:left="288"/>
      </w:pPr>
      <w:r>
        <w:rPr>
          <w:b/>
          <w:color w:val="003CA0"/>
          <w:sz w:val="16"/>
        </w:rPr>
        <w:t>[ARE 663.637 AgR-QO, rel. min. Ayres Britto, j. 12-9-2012, P, DJE de 6-5-2013.]</w:t>
      </w:r>
    </w:p>
    <w:p>
      <w:pPr>
        <w:ind w:left="288"/>
      </w:pPr>
      <w:r>
        <w:rPr>
          <w:color w:val="8C8C8C"/>
          <w:sz w:val="12"/>
        </w:rPr>
        <w:t>cf-art-102-par-1</w:t>
      </w:r>
      <w:r>
        <w:rPr>
          <w:color w:val="003CA0"/>
          <w:sz w:val="12"/>
        </w:rPr>
        <w:t xml:space="preserve"> | RE 569.476</w:t>
      </w:r>
      <w:r>
        <w:rPr>
          <w:color w:val="003CA0"/>
          <w:sz w:val="12"/>
        </w:rPr>
        <w:t xml:space="preserve"> | rel. Ellen Gracie</w:t>
      </w:r>
    </w:p>
    <w:p>
      <w:pPr>
        <w:ind w:left="288"/>
      </w:pPr>
      <w:r>
        <w:rPr>
          <w:color w:val="1E1E1E"/>
          <w:sz w:val="18"/>
        </w:rPr>
        <w:t>Vide RE 569.476 AgR, voto da rel. min. Ellen Gracie, j. 2-4-2008, P, DJE de 25-4-2008 A jurisprudência do STF tem recusado, ordinariamente, a outorga de provimento cautelar pertinente a recurso extraordinário que sofreu, na origem, juízo negativo de admissibilidade. Precedentes. Caberá, no entanto, excepcionalmente, a suspensão cautelar de eficácia do acórdão objeto do recurso extraordinário não admitido, se o agravo de instrumento, deduzido contra a decisão denegatória, insurgir-se em contexto que se revele incompatível com a jurisprudência prevalecente no STF ou, então, se a Corte Suprema ho</w:t>
      </w:r>
    </w:p>
    <w:p>
      <w:pPr>
        <w:ind w:left="288"/>
      </w:pPr>
      <w:r>
        <w:rPr>
          <w:b/>
          <w:color w:val="003CA0"/>
          <w:sz w:val="16"/>
        </w:rPr>
        <w:t>[AC 3.024 MC-REF, rel. min. Celso de Mello, j. 8-11-2011, 2ª T, DJE de 29-11-2011.]</w:t>
      </w:r>
    </w:p>
    <w:p>
      <w:pPr>
        <w:ind w:left="288"/>
      </w:pPr>
      <w:r>
        <w:rPr>
          <w:color w:val="8C8C8C"/>
          <w:sz w:val="12"/>
        </w:rPr>
        <w:t>cf-art-102-par-1</w:t>
      </w:r>
      <w:r>
        <w:rPr>
          <w:color w:val="003CA0"/>
          <w:sz w:val="12"/>
        </w:rPr>
        <w:t xml:space="preserve"> | AC 2.177</w:t>
      </w:r>
      <w:r>
        <w:rPr>
          <w:color w:val="003CA0"/>
          <w:sz w:val="12"/>
        </w:rPr>
        <w:t xml:space="preserve"> | rel. Ellen Gracie</w:t>
      </w:r>
    </w:p>
    <w:p>
      <w:pPr>
        <w:ind w:left="288"/>
      </w:pPr>
      <w:r>
        <w:rPr>
          <w:color w:val="1E1E1E"/>
          <w:sz w:val="18"/>
        </w:rPr>
        <w:t>Vide AC 2.177 QO-MC, rel. min. Ellen Gracie, j. 12-11-2008, P, DJE de 20-2-2009 Vide AC 1.641 QO, rel. min. Celso de Mello, j. 7-8-2007, 2ª T, DJE de 12-12-2008 Vide AC 2.168 MC-REF, rel. min. Celso de Mello, j. 4-11-2008, 2ª T, DJE de 19-9-2013 Incide, na espécie, a norma inscrita no art. 535 do CPC, a viabilizar, em consequência, o acolhimento dos presentes embargos de declaração, na linha de julgamentos sobre tema a cujo respeito sobreveio o reconhecimento da repercussão geral da controvérsia constitucional (...), tal como sucedeu no caso ora em exame. Com efeito, quando proferido o julgame</w:t>
      </w:r>
    </w:p>
    <w:p>
      <w:pPr>
        <w:ind w:left="288"/>
      </w:pPr>
      <w:r>
        <w:rPr>
          <w:b/>
          <w:color w:val="003CA0"/>
          <w:sz w:val="16"/>
        </w:rPr>
        <w:t>[ARE 642.921 AgR-ED, voto do rel. min. Celso de Mello, j. 18-10-2011, 2ª T, DJE de 14-11-2011.]</w:t>
      </w:r>
    </w:p>
    <w:p>
      <w:pPr>
        <w:ind w:left="288"/>
      </w:pPr>
      <w:r>
        <w:rPr>
          <w:color w:val="8C8C8C"/>
          <w:sz w:val="12"/>
        </w:rPr>
        <w:t>cf-art-102-par-1</w:t>
      </w:r>
      <w:r>
        <w:rPr>
          <w:color w:val="003CA0"/>
          <w:sz w:val="12"/>
        </w:rPr>
        <w:t xml:space="preserve"> | RCL 10.793</w:t>
      </w:r>
      <w:r>
        <w:rPr>
          <w:color w:val="003CA0"/>
          <w:sz w:val="12"/>
        </w:rPr>
        <w:t xml:space="preserve"> | rel. Ellen Gracie</w:t>
      </w:r>
    </w:p>
    <w:p>
      <w:pPr>
        <w:ind w:left="288"/>
      </w:pPr>
      <w:r>
        <w:rPr>
          <w:color w:val="1E1E1E"/>
          <w:sz w:val="18"/>
        </w:rPr>
        <w:t>As decisões proferidas pelo Plenário do STF quando do julgamento de recursos extraordinários com repercussão geral vinculam os demais órgãos do Poder Judiciário na solução, por estes, de outros feitos sobre idêntica controvérsia. Cabe aos juízes e desembargadores respeitar a autoridade da decisão do STF tomada em sede de repercussão geral, assegurando racionalidade e eficiência ao Sistema Judiciário e concretizando a certeza jurídica sobre o tema. O legislador não atribuiu ao STF o ônus de fazer aplicar diretamente a cada caso concreto seu entendimento. A Lei 11.418/2006 evita que o STF seja s</w:t>
      </w:r>
    </w:p>
    <w:p>
      <w:pPr>
        <w:ind w:left="288"/>
      </w:pPr>
      <w:r>
        <w:rPr>
          <w:b/>
          <w:color w:val="003CA0"/>
          <w:sz w:val="16"/>
        </w:rPr>
        <w:t>[Rcl 10.793, rel. min. Ellen Gracie, j. 13-4-2011, P, DJE de 6-6-2011.]</w:t>
      </w:r>
    </w:p>
    <w:p>
      <w:pPr>
        <w:ind w:left="288"/>
      </w:pPr>
      <w:r>
        <w:rPr>
          <w:color w:val="8C8C8C"/>
          <w:sz w:val="12"/>
        </w:rPr>
        <w:t>cf-art-102-par-1</w:t>
      </w:r>
      <w:r>
        <w:rPr>
          <w:color w:val="003CA0"/>
          <w:sz w:val="12"/>
        </w:rPr>
        <w:t xml:space="preserve"> | RCL 9.302</w:t>
      </w:r>
      <w:r>
        <w:rPr>
          <w:color w:val="003CA0"/>
          <w:sz w:val="12"/>
        </w:rPr>
        <w:t xml:space="preserve"> | rel. Dias Toffoli</w:t>
      </w:r>
    </w:p>
    <w:p>
      <w:pPr>
        <w:ind w:left="288"/>
      </w:pPr>
      <w:r>
        <w:rPr>
          <w:color w:val="1E1E1E"/>
          <w:sz w:val="18"/>
        </w:rPr>
        <w:t>= Rcl 9.302 AgR, rel. min. Dias Toffoli, j. 11-4-2013, P, DJE de 1º-7-2013 (...) cediça a jurisprudência desta Corte quanto ao não cabimento de quaisquer recursos contra a aplicação da sistemática da repercussão geral por ministro deste Tribunal, diante da inexistência de conteúdo decisório.</w:t>
      </w:r>
    </w:p>
    <w:p>
      <w:pPr>
        <w:ind w:left="288"/>
      </w:pPr>
      <w:r>
        <w:rPr>
          <w:b/>
          <w:color w:val="003CA0"/>
          <w:sz w:val="16"/>
        </w:rPr>
        <w:t>[MS 28.982 AgR, voto do rel. min. Gilmar Mendes, j. 16-9-2010, P, DJE de 15-10-2010.]</w:t>
      </w:r>
    </w:p>
    <w:p>
      <w:pPr>
        <w:ind w:left="288"/>
      </w:pPr>
      <w:r>
        <w:rPr>
          <w:color w:val="8C8C8C"/>
          <w:sz w:val="12"/>
        </w:rPr>
        <w:t>cf-art-102-par-1</w:t>
      </w:r>
      <w:r>
        <w:rPr>
          <w:color w:val="003CA0"/>
          <w:sz w:val="12"/>
        </w:rPr>
        <w:t xml:space="preserve"> | AI 760.358</w:t>
      </w:r>
      <w:r>
        <w:rPr>
          <w:color w:val="003CA0"/>
          <w:sz w:val="12"/>
        </w:rPr>
        <w:t xml:space="preserve"> | rel. Gilmar Mendes</w:t>
      </w:r>
    </w:p>
    <w:p>
      <w:pPr>
        <w:ind w:left="288"/>
      </w:pPr>
      <w:r>
        <w:rPr>
          <w:color w:val="1E1E1E"/>
          <w:sz w:val="18"/>
        </w:rPr>
        <w:t>Vide AI 760.358 QO, rel. min. Gilmar Mendes, j. 19-11-2009, P, DJE de 19-2-2010 (...) o reconhecimento da repercussão geral da matéria de fundo não se estende, pura e simplesmente, a todos os recursos. Se houver fundamento autônomo suficiente para manutenção da decisão recorrida e o recurso não puder revertê-lo, seja por deficiência processual ou por contrariar jurisprudência da Corte, o reconhecimento da repercussão geral da matéria de fundo será irrelevante, por ausência de utilidade (interesse processual – moot judgment).</w:t>
      </w:r>
    </w:p>
    <w:p>
      <w:pPr>
        <w:ind w:left="288"/>
      </w:pPr>
      <w:r>
        <w:rPr>
          <w:b/>
          <w:color w:val="003CA0"/>
          <w:sz w:val="16"/>
        </w:rPr>
        <w:t>[AI 597.912 AgR-ED, rel. min. Joaquim Barbosa, j. 31-8-2010, 2ª T, DJE de 1º-10-2010.]</w:t>
      </w:r>
    </w:p>
    <w:p>
      <w:pPr>
        <w:ind w:left="288"/>
      </w:pPr>
      <w:r>
        <w:rPr>
          <w:color w:val="8C8C8C"/>
          <w:sz w:val="12"/>
        </w:rPr>
        <w:t>cf-art-102-par-1</w:t>
      </w:r>
      <w:r>
        <w:rPr>
          <w:color w:val="003CA0"/>
          <w:sz w:val="12"/>
        </w:rPr>
        <w:t xml:space="preserve"> | AI 770.000</w:t>
      </w:r>
      <w:r>
        <w:rPr>
          <w:color w:val="003CA0"/>
          <w:sz w:val="12"/>
        </w:rPr>
        <w:t xml:space="preserve"> | rel. Marco Aurélio</w:t>
      </w:r>
    </w:p>
    <w:p>
      <w:pPr>
        <w:ind w:left="288"/>
      </w:pPr>
      <w:r>
        <w:rPr>
          <w:color w:val="1E1E1E"/>
          <w:sz w:val="18"/>
        </w:rPr>
        <w:t>Deixando-se de aludir, em capítulo próprio, à repercussão geral do tema controvertido, a teor do § 2º do art. 543-A do CPC, introduzido mediante o art. 2º da Lei 11.418/2006, a sequência do recurso deve ser obstaculizada.</w:t>
      </w:r>
    </w:p>
    <w:p>
      <w:pPr>
        <w:ind w:left="288"/>
      </w:pPr>
      <w:r>
        <w:rPr>
          <w:b/>
          <w:color w:val="003CA0"/>
          <w:sz w:val="16"/>
        </w:rPr>
        <w:t>[AI 770.000 AgR, rel. min. Marco Aurélio, j. 17-8-2010, 1ª T, DJE de 1º-10-2010.]</w:t>
      </w:r>
    </w:p>
    <w:p>
      <w:pPr>
        <w:ind w:left="288"/>
      </w:pPr>
      <w:r>
        <w:rPr>
          <w:color w:val="8C8C8C"/>
          <w:sz w:val="12"/>
        </w:rPr>
        <w:t>cf-art-102-par-1</w:t>
      </w:r>
      <w:r>
        <w:rPr>
          <w:color w:val="003CA0"/>
          <w:sz w:val="12"/>
        </w:rPr>
        <w:t xml:space="preserve"> | AI 728.180</w:t>
      </w:r>
      <w:r>
        <w:rPr>
          <w:color w:val="003CA0"/>
          <w:sz w:val="12"/>
        </w:rPr>
        <w:t xml:space="preserve"> | rel. Joaquim Barbosa</w:t>
      </w:r>
    </w:p>
    <w:p>
      <w:pPr>
        <w:ind w:left="288"/>
      </w:pPr>
      <w:r>
        <w:rPr>
          <w:color w:val="1E1E1E"/>
          <w:sz w:val="18"/>
        </w:rPr>
        <w:t>Nos termos do art. 543-A, § 5º, do CPC e dos arts. 326 e 327 do RISTF, a decisão do STF relativa à inexistência de repercussão geral valerá para todos os casos que versem sobre questão idêntica.</w:t>
      </w:r>
    </w:p>
    <w:p>
      <w:pPr>
        <w:ind w:left="288"/>
      </w:pPr>
      <w:r>
        <w:rPr>
          <w:b/>
          <w:color w:val="003CA0"/>
          <w:sz w:val="16"/>
        </w:rPr>
        <w:t>[AI 728.180 AgR, rel. min. Joaquim Barbosa, j. 10-8-2010, 2ª T, DJE de 1º-10-2010.]</w:t>
      </w:r>
    </w:p>
    <w:p>
      <w:pPr>
        <w:ind w:left="288"/>
      </w:pPr>
      <w:r>
        <w:rPr>
          <w:color w:val="8C8C8C"/>
          <w:sz w:val="12"/>
        </w:rPr>
        <w:t>cf-art-102-par-1</w:t>
      </w:r>
      <w:r>
        <w:rPr>
          <w:color w:val="003CA0"/>
          <w:sz w:val="12"/>
        </w:rPr>
        <w:t xml:space="preserve"> | RE 568.645</w:t>
      </w:r>
      <w:r>
        <w:rPr>
          <w:color w:val="003CA0"/>
          <w:sz w:val="12"/>
        </w:rPr>
        <w:t xml:space="preserve"> | rel. Celso de Mello</w:t>
      </w:r>
    </w:p>
    <w:p>
      <w:pPr>
        <w:ind w:left="288"/>
      </w:pPr>
      <w:r>
        <w:rPr>
          <w:color w:val="1E1E1E"/>
          <w:sz w:val="18"/>
        </w:rPr>
        <w:t>Achando-se a controvérsia submetida ao Plenário do STF e reconhecida, em sede recursal extraordinária (RE 568.645 RG/SP), a existência de questão impregnada de transcendência ou repercussão geral, impõe-se deferir, por identidade de razões, a suspensão cautelar de eficácia de acórdão objeto de apelo extremo em cujo âmbito tenha sido suscitado o mesmo litígio jurídico-constitucional ainda pendente de definição pela Corte Suprema.</w:t>
      </w:r>
    </w:p>
    <w:p>
      <w:pPr>
        <w:ind w:left="288"/>
      </w:pPr>
      <w:r>
        <w:rPr>
          <w:b/>
          <w:color w:val="003CA0"/>
          <w:sz w:val="16"/>
        </w:rPr>
        <w:t>[AC 2.639 MC-REF, rel. min. Celso de Mello, j. 10-8-2010, 2ª T, DJE de 17-9-2010.]</w:t>
      </w:r>
    </w:p>
    <w:p>
      <w:pPr>
        <w:ind w:left="288"/>
      </w:pPr>
      <w:r>
        <w:rPr>
          <w:color w:val="8C8C8C"/>
          <w:sz w:val="12"/>
        </w:rPr>
        <w:t>cf-art-102-par-1</w:t>
      </w:r>
      <w:r>
        <w:rPr>
          <w:color w:val="003CA0"/>
          <w:sz w:val="12"/>
        </w:rPr>
        <w:t xml:space="preserve"> | AC 2.168</w:t>
      </w:r>
      <w:r>
        <w:rPr>
          <w:color w:val="003CA0"/>
          <w:sz w:val="12"/>
        </w:rPr>
        <w:t xml:space="preserve"> | rel. Celso de Mello</w:t>
      </w:r>
    </w:p>
    <w:p>
      <w:pPr>
        <w:ind w:left="288"/>
      </w:pPr>
      <w:r>
        <w:rPr>
          <w:color w:val="1E1E1E"/>
          <w:sz w:val="18"/>
        </w:rPr>
        <w:t>Vide AC 2.168 MC-REF, rel. min. Celso de Mello, j. 4-11-2008, 2ª T, DJE de 19-9-2013 Não é cabível agravo de instrumento da decisão do tribunal de origem que, em cumprimento do disposto no § 3º do art. 543-B do CPC, aplica decisão de mérito do STF em questão de repercussão geral. Ao decretar o prejuízo de recurso ou exercer o juízo de retratação, no processo em que interposto o recurso extraordinário, o tribunal de origem não está exercendo competência do STF, mas atribuição própria, de forma que a remessa dos autos individualmente ao STF apenas se justificará, nos termos da lei, na hipótese e</w:t>
      </w:r>
    </w:p>
    <w:p>
      <w:pPr>
        <w:ind w:left="288"/>
      </w:pPr>
      <w:r>
        <w:rPr>
          <w:b/>
          <w:color w:val="003CA0"/>
          <w:sz w:val="16"/>
        </w:rPr>
        <w:t>[AI 760.358 QO, rel. min. Gilmar Mendes, j. 19-11-2009, P, DJE de 19-2-2010.]</w:t>
      </w:r>
    </w:p>
    <w:p>
      <w:pPr>
        <w:ind w:left="288"/>
      </w:pPr>
      <w:r>
        <w:rPr>
          <w:color w:val="8C8C8C"/>
          <w:sz w:val="12"/>
        </w:rPr>
        <w:t>cf-art-102-par-1</w:t>
      </w:r>
      <w:r>
        <w:rPr>
          <w:color w:val="003CA0"/>
          <w:sz w:val="12"/>
        </w:rPr>
        <w:t xml:space="preserve"> | RCL 15.165</w:t>
      </w:r>
      <w:r>
        <w:rPr>
          <w:color w:val="003CA0"/>
          <w:sz w:val="12"/>
        </w:rPr>
        <w:t xml:space="preserve"> | rel. Teori Zavascki</w:t>
      </w:r>
    </w:p>
    <w:p>
      <w:pPr>
        <w:ind w:left="288"/>
      </w:pPr>
      <w:r>
        <w:rPr>
          <w:color w:val="1E1E1E"/>
          <w:sz w:val="18"/>
        </w:rPr>
        <w:t>= Rcl 15.165 AgR, rel. min. Teori Zavascki, j. 20-3-2013, P, DJE de 26-8-2013 Vide MS 28.982 AgR, voto do rel. min. Gilmar Mendes, j. 16-9-2010, P, DJE de 15-10-2010 (...) ausentes os requisitos de admissibilidade do recurso extraordinário, (...) caberá ao relator negar-lhe seguimento, com evidente prejuízo da existência de repercussão geral, nos termos do art. 323 do RISTF c/c o art. 557 do CPC, pois a repercussão geral é qualidade só concebível em recurso a que não falte condição prévia de admissibilidade.</w:t>
      </w:r>
    </w:p>
    <w:p>
      <w:pPr>
        <w:ind w:left="288"/>
      </w:pPr>
      <w:r>
        <w:rPr>
          <w:b/>
          <w:color w:val="003CA0"/>
          <w:sz w:val="16"/>
        </w:rPr>
        <w:t>[RE 577.838 AgR, voto do rel. min. Cezar Peluso, j. 8-9-2009, 2ª T, DJE de 9-10-2009.]</w:t>
      </w:r>
    </w:p>
    <w:p>
      <w:pPr>
        <w:ind w:left="288"/>
      </w:pPr>
      <w:r>
        <w:rPr>
          <w:color w:val="8C8C8C"/>
          <w:sz w:val="12"/>
        </w:rPr>
        <w:t>cf-art-102-par-1</w:t>
      </w:r>
      <w:r>
        <w:rPr>
          <w:color w:val="003CA0"/>
          <w:sz w:val="12"/>
        </w:rPr>
        <w:t xml:space="preserve"> | AI 755.104</w:t>
      </w:r>
      <w:r>
        <w:rPr>
          <w:color w:val="003CA0"/>
          <w:sz w:val="12"/>
        </w:rPr>
        <w:t xml:space="preserve"> | rel. Joaquim Barbosa</w:t>
      </w:r>
    </w:p>
    <w:p>
      <w:pPr>
        <w:ind w:left="288"/>
      </w:pPr>
      <w:r>
        <w:rPr>
          <w:color w:val="1E1E1E"/>
          <w:sz w:val="18"/>
        </w:rPr>
        <w:t>= AI 755.104 AgR, rel. min. Joaquim Barbosa, j. 31-8-2010, 2ª T, DJE de 1º-10-2010 A interposição de petição em apartado para suprir a exigência de preliminar formal e fundamentada da repercussão geral não é acatada por esta Corte, cumprindo à recorrente apresentá-la na petição de recurso extraordinário. Operou-se, no caso, preclusão consumativa.</w:t>
      </w:r>
    </w:p>
    <w:p>
      <w:pPr>
        <w:ind w:left="288"/>
      </w:pPr>
      <w:r>
        <w:rPr>
          <w:b/>
          <w:color w:val="003CA0"/>
          <w:sz w:val="16"/>
        </w:rPr>
        <w:t>[AI 726.795 AgR, rel. min. Eros Grau, j. 28-4-2009, 2ª T, DJE de 29-5-2009.]</w:t>
      </w:r>
    </w:p>
    <w:p>
      <w:pPr>
        <w:ind w:left="288"/>
      </w:pPr>
      <w:r>
        <w:rPr>
          <w:color w:val="8C8C8C"/>
          <w:sz w:val="12"/>
        </w:rPr>
        <w:t>cf-art-102-par-1</w:t>
      </w:r>
      <w:r>
        <w:rPr>
          <w:color w:val="003CA0"/>
          <w:sz w:val="12"/>
        </w:rPr>
        <w:t xml:space="preserve"> | AI 724.545</w:t>
      </w:r>
      <w:r>
        <w:rPr>
          <w:color w:val="003CA0"/>
          <w:sz w:val="12"/>
        </w:rPr>
        <w:t xml:space="preserve"> | rel. Ricardo Lewandowski</w:t>
      </w:r>
    </w:p>
    <w:p>
      <w:pPr>
        <w:ind w:left="288"/>
      </w:pPr>
      <w:r>
        <w:rPr>
          <w:color w:val="1E1E1E"/>
          <w:sz w:val="18"/>
        </w:rPr>
        <w:t>= AI 724.545 AgR-segundo, rel. min. Ricardo Lewandowski, j. 2-12-2010, 1ª T, DJE de 1º-2-2011 Pedido de concessão de efeito suspensivo e o sobrestamento, na origem, em face do reconhecimento de repercussão geral pelo STF. Arts. 543-B, § 1º, do CPC, e 328-A, do RISTF. Súmulas 634 e 635/STF. Jurisdição cautelar que deve ser prestada pelos tribunais e turmas recursais a quo, inclusive quanto aos recursos admitidos, porém sobrestados na origem. Para a concessão do excepcional efeito suspensivo a recurso extraordinário é necessário o juízo positivo de sua admissibilidade no tribunal de origem, a su</w:t>
      </w:r>
    </w:p>
    <w:p>
      <w:pPr>
        <w:ind w:left="288"/>
      </w:pPr>
      <w:r>
        <w:rPr>
          <w:b/>
          <w:color w:val="003CA0"/>
          <w:sz w:val="16"/>
        </w:rPr>
        <w:t>[AC 2.177 QO-MC, rel. min. Ellen Gracie, j. 12-11-2008, P, DJE de 20-2-2009.]</w:t>
      </w:r>
    </w:p>
    <w:p>
      <w:pPr>
        <w:ind w:left="288"/>
      </w:pPr>
      <w:r>
        <w:rPr>
          <w:color w:val="8C8C8C"/>
          <w:sz w:val="12"/>
        </w:rPr>
        <w:t>cf-art-102-par-1</w:t>
      </w:r>
      <w:r>
        <w:rPr>
          <w:color w:val="003CA0"/>
          <w:sz w:val="12"/>
        </w:rPr>
        <w:t xml:space="preserve"> | AI 764.273</w:t>
      </w:r>
      <w:r>
        <w:rPr>
          <w:color w:val="003CA0"/>
          <w:sz w:val="12"/>
        </w:rPr>
        <w:t xml:space="preserve"> | rel. Cármen Lúcia</w:t>
      </w:r>
    </w:p>
    <w:p>
      <w:pPr>
        <w:ind w:left="288"/>
      </w:pPr>
      <w:r>
        <w:rPr>
          <w:color w:val="1E1E1E"/>
          <w:sz w:val="18"/>
        </w:rPr>
        <w:t>= AI 764.273 AgR, rel. min. Cármen Lúcia, j. 31-8-2010, 1ª T, DJE de 24-9-2010 Vide AC 3.024 MC-REF, rel. min. Celso de Mello, j. 8-11-2011, 2ª T, DJE de 29-11-2011 Vide AC 2.168 MC-REF, rel. min. Celso de Mello, j. 4-11-2008, 2ª T, DJE de 19-9-2013 Ação cautelar. Recurso extraordinário. Sobrestado em decorrência do reconhecimento da existência de repercussão geral de questão constitucional, sem formulação de juízo (positivo ou negativo) de admissibilidade. Indeferimento, pelo Tribunal de origem, do pedido de tutela de urgência. Dano iminente e grave, capaz de comprometer o direito material vi</w:t>
      </w:r>
    </w:p>
    <w:p>
      <w:pPr>
        <w:ind w:left="288"/>
      </w:pPr>
      <w:r>
        <w:rPr>
          <w:b/>
          <w:color w:val="003CA0"/>
          <w:sz w:val="16"/>
        </w:rPr>
        <w:t>[AC 2.168 MC-REF, rel. min. Celso de Mello, j. 4-11-2008, 2ª T, DJE de 19-8-2013.]</w:t>
      </w:r>
    </w:p>
    <w:p>
      <w:pPr>
        <w:ind w:left="288"/>
      </w:pPr>
      <w:r>
        <w:rPr>
          <w:color w:val="8C8C8C"/>
          <w:sz w:val="12"/>
        </w:rPr>
        <w:t>cf-art-102-par-1</w:t>
      </w:r>
      <w:r>
        <w:rPr>
          <w:color w:val="003CA0"/>
          <w:sz w:val="12"/>
        </w:rPr>
        <w:t xml:space="preserve"> | AC 3.024</w:t>
      </w:r>
      <w:r>
        <w:rPr>
          <w:color w:val="003CA0"/>
          <w:sz w:val="12"/>
        </w:rPr>
        <w:t xml:space="preserve"> | rel. Celso de Mello</w:t>
      </w:r>
    </w:p>
    <w:p>
      <w:pPr>
        <w:ind w:left="288"/>
      </w:pPr>
      <w:r>
        <w:rPr>
          <w:color w:val="1E1E1E"/>
          <w:sz w:val="18"/>
        </w:rPr>
        <w:t xml:space="preserve">Vide AC 3.024 MC-REF, rel. min. Celso de Mello, j. 8-11-2011, 2ª T, DJE de 29-11-2011 Vide AC 2.639 MC-REF, rel. min. Celso de Mello, j. 10-8-2010, 2ª T, DJE de 17-9-2010 Vide AC 2.177 QO-MC, rel. min. Ellen Gracie, j. 12-11-2008, P, DJE de 20-2-2009 Nota: O recurso extraordinário abaixo é o processo paradigma do Tema 96 de repercussão geral. O trecho com o mérito do recurso extraordinário foi inserido no art. 100, caput e § 12, da CF/1988. O trecho selecionado abaixo foi inserido entre os julgados correlatos por não compor o mérito da repercussão geral. Procedimentos de implantação do regime </w:t>
      </w:r>
    </w:p>
    <w:p>
      <w:pPr>
        <w:ind w:left="288"/>
      </w:pPr>
      <w:r>
        <w:rPr>
          <w:b/>
          <w:color w:val="003CA0"/>
          <w:sz w:val="16"/>
        </w:rPr>
        <w:t>[RE 579.431 QO, rel. min. Ellen Gracie, j. 11-6-2008, P, DJE de 24-10-2008.]</w:t>
      </w:r>
    </w:p>
    <w:p>
      <w:pPr>
        <w:ind w:left="288"/>
      </w:pPr>
      <w:r>
        <w:rPr>
          <w:color w:val="8C8C8C"/>
          <w:sz w:val="12"/>
        </w:rPr>
        <w:t>cf-art-102-par-1</w:t>
      </w:r>
      <w:r>
        <w:rPr>
          <w:color w:val="003CA0"/>
          <w:sz w:val="12"/>
        </w:rPr>
        <w:t xml:space="preserve"> | AI 715.423</w:t>
      </w:r>
      <w:r>
        <w:rPr>
          <w:color w:val="003CA0"/>
          <w:sz w:val="12"/>
        </w:rPr>
        <w:t xml:space="preserve"> | rel. Ellen Gracie</w:t>
      </w:r>
    </w:p>
    <w:p>
      <w:pPr>
        <w:ind w:left="288"/>
      </w:pPr>
      <w:r>
        <w:rPr>
          <w:color w:val="1E1E1E"/>
          <w:sz w:val="18"/>
        </w:rPr>
        <w:t>Reconhecida, pelo STF, a relevância de determinada controvérsia constitucional, aplicam-se, igualmente, aos recursos extraordinários anteriores à adoção da sistemática da repercussão geral, os mecanismos previstos nos §§ 1º e 3º do art. 543-B do CPC. Expressa ressalva, nessa hipótese, quanto à inaplicabilidade do teor do § 2º desse mesmo artigo (previsão legal da automática inadmissão de recursos), por não ser possível exigir a presença de requisitos de admissibilidade implantados em momento posterior à interposição do recurso. Segunda questão de ordem resolvida no sentido de autorizar os trib</w:t>
      </w:r>
    </w:p>
    <w:p>
      <w:pPr>
        <w:ind w:left="288"/>
      </w:pPr>
      <w:r>
        <w:rPr>
          <w:b/>
          <w:color w:val="003CA0"/>
          <w:sz w:val="16"/>
        </w:rPr>
        <w:t>[AI 715.423 QO, rel. min. Ellen Gracie, j. 11-6-2008, P, DJE de 5-9-2008.]</w:t>
      </w:r>
    </w:p>
    <w:p>
      <w:pPr>
        <w:ind w:left="288"/>
      </w:pPr>
      <w:r>
        <w:rPr>
          <w:color w:val="8C8C8C"/>
          <w:sz w:val="12"/>
        </w:rPr>
        <w:t>cf-art-102-par-1</w:t>
      </w:r>
      <w:r>
        <w:rPr>
          <w:color w:val="003CA0"/>
          <w:sz w:val="12"/>
        </w:rPr>
        <w:t xml:space="preserve"> | AI 812.645</w:t>
      </w:r>
      <w:r>
        <w:rPr>
          <w:color w:val="003CA0"/>
          <w:sz w:val="12"/>
        </w:rPr>
        <w:t xml:space="preserve"> | rel. Cármen Lúcia</w:t>
      </w:r>
    </w:p>
    <w:p>
      <w:pPr>
        <w:ind w:left="288"/>
      </w:pPr>
      <w:r>
        <w:rPr>
          <w:color w:val="1E1E1E"/>
          <w:sz w:val="18"/>
        </w:rPr>
        <w:t>= AI 812.645 AgR, rel. min. Cármen Lúcia, j. 15-2-2011, 1ª T, DJE de 9-3-2011 A recorrente não apresentou preliminar formal e fundamentada, no recurso extraordinário, da repercussão geral das questões constitucionais debatidas no caso, não tendo sido observado o disposto no art. 543-A, § 2º, do CPC, introduzido pela Lei 11.418/2006. O STF fixou entendimento no sentido da exigência da demonstração formal e fundamentada no recurso extraordinário da repercussão geral das questões constitucionais discutidas quando a intimação do acórdão recorrido tenha ocorrido a partir de 3-5-2007, data da public</w:t>
      </w:r>
    </w:p>
    <w:p>
      <w:pPr>
        <w:ind w:left="288"/>
      </w:pPr>
      <w:r>
        <w:rPr>
          <w:b/>
          <w:color w:val="003CA0"/>
          <w:sz w:val="16"/>
        </w:rPr>
        <w:t>[AI 672.738 AgR, rel. min. Eros Grau, j. 26-2-2008, 2ª T, DJE de 28-3-2008.]</w:t>
      </w:r>
    </w:p>
    <w:p>
      <w:pPr>
        <w:ind w:left="288"/>
      </w:pPr>
      <w:r>
        <w:rPr>
          <w:color w:val="8C8C8C"/>
          <w:sz w:val="12"/>
        </w:rPr>
        <w:t>cf-art-102-par-1</w:t>
      </w:r>
      <w:r>
        <w:rPr>
          <w:color w:val="003CA0"/>
          <w:sz w:val="12"/>
        </w:rPr>
        <w:t xml:space="preserve"> | AI 766.054</w:t>
      </w:r>
      <w:r>
        <w:rPr>
          <w:color w:val="003CA0"/>
          <w:sz w:val="12"/>
        </w:rPr>
        <w:t xml:space="preserve"> | rel. Dias Toffoli</w:t>
      </w:r>
    </w:p>
    <w:p>
      <w:pPr>
        <w:ind w:left="288"/>
      </w:pPr>
      <w:r>
        <w:rPr>
          <w:color w:val="1E1E1E"/>
          <w:sz w:val="18"/>
        </w:rPr>
        <w:t>= AI 766.054 AgR-segundo, rel. min. Dias Toffoli, j. 24-8-2010, 1ª T, DJE de 22-11-2010 Vide ARE 663.637 QO-AgR, rel. min. Ayres Britto, j. 12-9-2012, P, DJE de 6-5-2013 Vide AI 770.000 AgR, rel. min. Marco Aurélio, j. 17-8-2010, 1ª T, DJE de 1º-10-2010 Vide ARE 996.895-ED-ED-AgR, red. p o acórdão min. Dias Toffoli, j. em 27-3-2018, 2a.T, DJE de 14-8-2019 A jurisprudência do STF, ordinariamente, tem recusado concessão de medida cautelar pertinente a recurso extraordinário que sofreu, na origem, juízo negativo de admissibilidade. Precedentes. Cabe, no entanto, excepcionalmente, a suspensão caut</w:t>
      </w:r>
    </w:p>
    <w:p>
      <w:pPr>
        <w:ind w:left="288"/>
      </w:pPr>
      <w:r>
        <w:rPr>
          <w:b/>
          <w:color w:val="003CA0"/>
          <w:sz w:val="16"/>
        </w:rPr>
        <w:t>[AC 1.641 QO, rel. min. Celso de Mello, j. 7-8-2007, 2ª T, DJE de 12-12-2008.]</w:t>
      </w:r>
    </w:p>
    <w:p>
      <w:pPr>
        <w:ind w:left="288"/>
      </w:pPr>
      <w:r>
        <w:rPr>
          <w:color w:val="8C8C8C"/>
          <w:sz w:val="12"/>
        </w:rPr>
        <w:t>cf-art-102-par-1</w:t>
      </w:r>
      <w:r>
        <w:rPr>
          <w:color w:val="003CA0"/>
          <w:sz w:val="12"/>
        </w:rPr>
        <w:t xml:space="preserve"> | AC 3.024</w:t>
      </w:r>
      <w:r>
        <w:rPr>
          <w:color w:val="003CA0"/>
          <w:sz w:val="12"/>
        </w:rPr>
        <w:t xml:space="preserve"> | rel. Celso de Mello</w:t>
      </w:r>
    </w:p>
    <w:p>
      <w:pPr>
        <w:ind w:left="288"/>
      </w:pPr>
      <w:r>
        <w:rPr>
          <w:color w:val="1E1E1E"/>
          <w:sz w:val="18"/>
        </w:rPr>
        <w:t>Vide AC 3.024 MC-REF, rel. min. Celso de Mello, j. 8-11-2011, 2ª T, DJE de 29-11-2011 O requisito constitucional da repercussão geral (CF, art. 102, § 3º, red. EC 45/2004), com a regulamentação da Lei 11.418/2006 e as normas regimentais necessárias à sua execução, aplica-se aos recursos extraordinários em geral, e, em consequência, às causas criminais.</w:t>
      </w:r>
    </w:p>
    <w:p>
      <w:pPr>
        <w:ind w:left="288"/>
      </w:pPr>
      <w:r>
        <w:rPr>
          <w:b/>
          <w:color w:val="003CA0"/>
          <w:sz w:val="16"/>
        </w:rPr>
        <w:t>[AI 664.567 QO, rel. min. Sepúlveda Pertence, j. 18-6-2007, P, DJ de 6-9-2007.]</w:t>
      </w:r>
    </w:p>
    <w:p>
      <w:pPr>
        <w:ind w:left="288"/>
      </w:pPr>
      <w:r>
        <w:rPr>
          <w:color w:val="8C8C8C"/>
          <w:sz w:val="12"/>
        </w:rPr>
        <w:t>cf-art-102-par-1</w:t>
      </w:r>
      <w:r>
        <w:rPr>
          <w:color w:val="003CA0"/>
          <w:sz w:val="12"/>
        </w:rPr>
        <w:t xml:space="preserve"> | AI 761.081</w:t>
      </w:r>
      <w:r>
        <w:rPr>
          <w:color w:val="003CA0"/>
          <w:sz w:val="12"/>
        </w:rPr>
        <w:t xml:space="preserve"> | rel. Dias Toffoli</w:t>
      </w:r>
    </w:p>
    <w:p>
      <w:pPr>
        <w:ind w:left="288"/>
      </w:pPr>
      <w:r>
        <w:rPr>
          <w:color w:val="1E1E1E"/>
          <w:sz w:val="18"/>
        </w:rPr>
        <w:t>= AI 761.081 AgR, rel. min. Dias Toffoli, j. 8-2-2011, 1ª T, DJE de 29-3-2011</w:t>
      </w:r>
    </w:p>
    <w:p>
      <w:pPr>
        <w:ind w:left="720"/>
      </w:pPr>
      <w:r>
        <w:rPr>
          <w:color w:val="003366"/>
          <w:sz w:val="18"/>
        </w:rPr>
        <w:t>I – processar e julgar, originariamente:</w:t>
      </w:r>
    </w:p>
    <w:p>
      <w:pPr>
        <w:ind w:left="1008"/>
      </w:pPr>
      <w:r>
        <w:rPr>
          <w:color w:val="003366"/>
          <w:sz w:val="18"/>
        </w:rPr>
        <w:t>a) a ação direta de inconstitucionalidade de lei ou ato normativo federal ou est</w:t>
      </w:r>
    </w:p>
    <w:p>
      <w:pPr>
        <w:ind w:left="1008"/>
      </w:pPr>
      <w:r>
        <w:rPr>
          <w:color w:val="003366"/>
          <w:sz w:val="18"/>
        </w:rPr>
        <w:t>b) nas infrações penais comuns, o Presidente da República, o Vice-Presidente, os</w:t>
      </w:r>
    </w:p>
    <w:p>
      <w:pPr>
        <w:ind w:left="1008"/>
      </w:pPr>
      <w:r>
        <w:rPr>
          <w:color w:val="003366"/>
          <w:sz w:val="18"/>
        </w:rPr>
        <w:t>c) nas infrações penais comuns e nos crimes de responsabilidade, os Ministros de</w:t>
      </w:r>
    </w:p>
    <w:p>
      <w:pPr>
        <w:ind w:left="1008"/>
      </w:pPr>
      <w:r>
        <w:rPr>
          <w:color w:val="003366"/>
          <w:sz w:val="18"/>
        </w:rPr>
        <w:t>d) o habeas corpus, sendo paciente qualquer das pessoas referidas nas alíneas an</w:t>
      </w:r>
    </w:p>
    <w:p>
      <w:pPr>
        <w:ind w:left="1008"/>
      </w:pPr>
      <w:r>
        <w:rPr>
          <w:color w:val="003366"/>
          <w:sz w:val="18"/>
        </w:rPr>
        <w:t>e) o litígio entre Estado estrangeiro ou organismo internacional e a União, o Es</w:t>
      </w:r>
    </w:p>
    <w:p>
      <w:pPr>
        <w:ind w:left="1008"/>
      </w:pPr>
      <w:r>
        <w:rPr>
          <w:color w:val="003366"/>
          <w:sz w:val="18"/>
        </w:rPr>
        <w:t>f) as causas e os conflitos entre a União e os Estados, a União e o Distrito Fed</w:t>
      </w:r>
    </w:p>
    <w:p>
      <w:pPr>
        <w:ind w:left="1008"/>
      </w:pPr>
      <w:r>
        <w:rPr>
          <w:color w:val="003366"/>
          <w:sz w:val="18"/>
        </w:rPr>
        <w:t>g) a extradição solicitada por Estado estrangeiro;</w:t>
      </w:r>
    </w:p>
    <w:p>
      <w:pPr>
        <w:ind w:left="1008"/>
      </w:pPr>
      <w:r>
        <w:rPr>
          <w:color w:val="003366"/>
          <w:sz w:val="18"/>
        </w:rPr>
        <w:t>h) (Revogado pela Emenda Constitucional nº 45, de 2004)</w:t>
      </w:r>
    </w:p>
    <w:p>
      <w:pPr>
        <w:ind w:left="1008"/>
      </w:pPr>
      <w:r>
        <w:rPr>
          <w:color w:val="003366"/>
          <w:sz w:val="18"/>
        </w:rPr>
        <w:t xml:space="preserve">i) o habeas corpus, quando o coator for Tribunal Superior ou quando o coator ou </w:t>
      </w:r>
    </w:p>
    <w:p>
      <w:pPr>
        <w:ind w:left="1008"/>
      </w:pPr>
      <w:r>
        <w:rPr>
          <w:color w:val="003366"/>
          <w:sz w:val="18"/>
        </w:rPr>
        <w:t>j) a revisão criminal e a ação rescisória de seus julgados;</w:t>
      </w:r>
    </w:p>
    <w:p>
      <w:pPr>
        <w:ind w:left="1008"/>
      </w:pPr>
      <w:r>
        <w:rPr>
          <w:color w:val="003366"/>
          <w:sz w:val="18"/>
        </w:rPr>
        <w:t>l) a reclamação para a preservação de sua competência e garantia da autoridade d</w:t>
      </w:r>
    </w:p>
    <w:p>
      <w:pPr>
        <w:ind w:left="1008"/>
      </w:pPr>
      <w:r>
        <w:rPr>
          <w:color w:val="003366"/>
          <w:sz w:val="18"/>
        </w:rPr>
        <w:t xml:space="preserve">m) a execução de sentença nas causas de sua competência originária, facultada a </w:t>
      </w:r>
    </w:p>
    <w:p>
      <w:pPr>
        <w:ind w:left="1008"/>
      </w:pPr>
      <w:r>
        <w:rPr>
          <w:color w:val="003366"/>
          <w:sz w:val="18"/>
        </w:rPr>
        <w:t xml:space="preserve">n) a ação em que todos os membros da magistratura sejam direta ou indiretamente </w:t>
      </w:r>
    </w:p>
    <w:p>
      <w:pPr>
        <w:ind w:left="1008"/>
      </w:pPr>
      <w:r>
        <w:rPr>
          <w:color w:val="003366"/>
          <w:sz w:val="18"/>
        </w:rPr>
        <w:t xml:space="preserve">o) os conflitos de competência entre o Superior Tribunal de Justiça e quaisquer </w:t>
      </w:r>
    </w:p>
    <w:p>
      <w:pPr>
        <w:ind w:left="1008"/>
      </w:pPr>
      <w:r>
        <w:rPr>
          <w:color w:val="003366"/>
          <w:sz w:val="18"/>
        </w:rPr>
        <w:t>p) o pedido de medida cautelar das ações diretas de inconstitucionalidade;</w:t>
      </w:r>
    </w:p>
    <w:p>
      <w:pPr>
        <w:ind w:left="1008"/>
      </w:pPr>
      <w:r>
        <w:rPr>
          <w:color w:val="003366"/>
          <w:sz w:val="18"/>
        </w:rPr>
        <w:t>q) o mandado de injunção, quando a elaboração da norma regulamentadora for atrib</w:t>
      </w:r>
    </w:p>
    <w:p>
      <w:pPr>
        <w:ind w:left="1008"/>
      </w:pPr>
      <w:r>
        <w:rPr>
          <w:color w:val="003366"/>
          <w:sz w:val="18"/>
        </w:rPr>
        <w:t>r) as ações contra o Conselho Nacional de Justiça e contra o Conselho Nacional d</w:t>
      </w:r>
    </w:p>
    <w:p>
      <w:pPr>
        <w:ind w:left="720"/>
      </w:pPr>
      <w:r>
        <w:rPr>
          <w:color w:val="003366"/>
          <w:sz w:val="18"/>
        </w:rPr>
        <w:t>II – julgar, em recurso ordinário:</w:t>
      </w:r>
    </w:p>
    <w:p>
      <w:pPr>
        <w:ind w:left="1008"/>
      </w:pPr>
      <w:r>
        <w:rPr>
          <w:color w:val="003366"/>
          <w:sz w:val="18"/>
        </w:rPr>
        <w:t>a) o habeas corpus, o mandado de segurança, o habeas data e o mandado de injunçã</w:t>
      </w:r>
    </w:p>
    <w:p>
      <w:pPr>
        <w:ind w:left="1008"/>
      </w:pPr>
      <w:r>
        <w:rPr>
          <w:color w:val="003366"/>
          <w:sz w:val="18"/>
        </w:rPr>
        <w:t>b) o crime político;</w:t>
      </w:r>
    </w:p>
    <w:p>
      <w:pPr>
        <w:ind w:left="720"/>
      </w:pPr>
      <w:r>
        <w:rPr>
          <w:color w:val="003366"/>
          <w:sz w:val="18"/>
        </w:rPr>
        <w:t>III – julgar, mediante recurso extraordinário, as causas decididas em única ou ú</w:t>
      </w:r>
    </w:p>
    <w:p>
      <w:pPr>
        <w:ind w:left="1008"/>
      </w:pPr>
      <w:r>
        <w:rPr>
          <w:color w:val="003366"/>
          <w:sz w:val="18"/>
        </w:rPr>
        <w:t>a) contrariar dispositivo desta Constituição;</w:t>
      </w:r>
    </w:p>
    <w:p>
      <w:pPr>
        <w:ind w:left="1008"/>
      </w:pPr>
      <w:r>
        <w:rPr>
          <w:color w:val="003366"/>
          <w:sz w:val="18"/>
        </w:rPr>
        <w:t>b) declarar a inconstitucionalidade de tratado ou lei federal;</w:t>
      </w:r>
    </w:p>
    <w:p>
      <w:pPr>
        <w:ind w:left="1008"/>
      </w:pPr>
      <w:r>
        <w:rPr>
          <w:color w:val="003366"/>
          <w:sz w:val="18"/>
        </w:rPr>
        <w:t>c) julgar válida lei ou ato de governo local contestado em face desta Constituiç</w:t>
      </w:r>
    </w:p>
    <w:p>
      <w:pPr>
        <w:ind w:left="1008"/>
      </w:pPr>
      <w:r>
        <w:rPr>
          <w:color w:val="003366"/>
          <w:sz w:val="18"/>
        </w:rPr>
        <w:t>d) julgar válida lei local contestada em face de lei federal. (Incluída pela Eme</w:t>
      </w:r>
    </w:p>
    <w:p>
      <w:pPr>
        <w:ind w:left="432"/>
      </w:pPr>
      <w:r>
        <w:rPr>
          <w:color w:val="003366"/>
          <w:sz w:val="18"/>
        </w:rPr>
        <w:t>§ 1 º A argüição de descumprimento de preceito fundamental, decorrente desta Con</w:t>
      </w:r>
    </w:p>
    <w:p>
      <w:pPr>
        <w:ind w:left="432"/>
      </w:pPr>
      <w:r>
        <w:rPr>
          <w:color w:val="003366"/>
          <w:sz w:val="18"/>
        </w:rPr>
        <w:t>§ 2 As decisões definitivas de mérito, proferidas pelo Supremo Tribunal Federal,</w:t>
      </w:r>
    </w:p>
    <w:p>
      <w:pPr>
        <w:ind w:left="432"/>
      </w:pPr>
      <w:r>
        <w:rPr>
          <w:color w:val="003366"/>
          <w:sz w:val="18"/>
        </w:rPr>
        <w:t>§ 3 No recurso extraordinário o recorrente deverá demonstrar a repercussão geral</w:t>
      </w:r>
    </w:p>
    <w:p>
      <w:r>
        <w:rPr>
          <w:b/>
          <w:color w:val="003366"/>
          <w:sz w:val="20"/>
        </w:rPr>
        <w:t>Art. 103 Podem propor a ação direta de inconstitucionalidade e a ação declaratór</w:t>
      </w:r>
      <w:r>
        <w:rPr>
          <w:color w:val="8C8C8C"/>
          <w:sz w:val="14"/>
        </w:rPr>
        <w:t xml:space="preserve">  [114 decisoes]</w:t>
      </w:r>
    </w:p>
    <w:p>
      <w:pPr>
        <w:ind w:left="144"/>
      </w:pPr>
      <w:r>
        <w:rPr>
          <w:b/>
          <w:color w:val="B45A00"/>
          <w:sz w:val="16"/>
        </w:rPr>
        <w:t>CONTROLE CONCENTRADO</w:t>
      </w:r>
    </w:p>
    <w:p>
      <w:pPr>
        <w:ind w:left="288"/>
      </w:pPr>
      <w:r>
        <w:rPr>
          <w:color w:val="8C8C8C"/>
          <w:sz w:val="12"/>
        </w:rPr>
        <w:t>cf-art-103</w:t>
      </w:r>
      <w:r>
        <w:rPr>
          <w:color w:val="003CA0"/>
          <w:sz w:val="12"/>
        </w:rPr>
        <w:t xml:space="preserve"> | ADI 4.654</w:t>
      </w:r>
      <w:r>
        <w:rPr>
          <w:color w:val="003CA0"/>
          <w:sz w:val="12"/>
        </w:rPr>
        <w:t xml:space="preserve"> | rel. Gilmar Mendes</w:t>
      </w:r>
    </w:p>
    <w:p>
      <w:pPr>
        <w:ind w:left="288"/>
      </w:pPr>
      <w:r>
        <w:rPr>
          <w:color w:val="1E1E1E"/>
          <w:sz w:val="18"/>
        </w:rPr>
        <w:t>(...) os Municípios não figuram no rol de entidades legitimadas para a propositura de ação direta de inconstitucionalidade perante esta Corte previsto nos arts. 103 da Constituição e 2º da Lei 9.868/1999.</w:t>
      </w:r>
    </w:p>
    <w:p>
      <w:pPr>
        <w:ind w:left="288"/>
      </w:pPr>
      <w:r>
        <w:rPr>
          <w:b/>
          <w:color w:val="003CA0"/>
          <w:sz w:val="16"/>
        </w:rPr>
        <w:t>[ADI 4.654, rel. min. Gilmar Mendes, j. 28-11-2011, dec. monocrática, DJE de 2-12-2011.]</w:t>
      </w:r>
    </w:p>
    <w:p>
      <w:pPr>
        <w:ind w:left="288"/>
      </w:pPr>
      <w:r>
        <w:rPr>
          <w:color w:val="8C8C8C"/>
          <w:sz w:val="12"/>
        </w:rPr>
        <w:t>cf-art-103</w:t>
      </w:r>
      <w:r>
        <w:rPr>
          <w:color w:val="003CA0"/>
          <w:sz w:val="12"/>
        </w:rPr>
        <w:t xml:space="preserve"> | ADPF 148</w:t>
      </w:r>
      <w:r>
        <w:rPr>
          <w:color w:val="003CA0"/>
          <w:sz w:val="12"/>
        </w:rPr>
        <w:t xml:space="preserve"> | rel. Cezar Peluso</w:t>
      </w:r>
    </w:p>
    <w:p>
      <w:pPr>
        <w:ind w:left="288"/>
      </w:pPr>
      <w:r>
        <w:rPr>
          <w:color w:val="1E1E1E"/>
          <w:sz w:val="18"/>
        </w:rPr>
        <w:t>Legitimidade. Ativa. Inexistência. Arguição por descumprimento de preceito fundamental (ADPF). Prefeito municipal. Autor não legitimado para ação direta de inconstitucionalidade. Ilegitimidade reconhecida. Negativa de seguimento ao pedido. Recurso, ademais, impertinente. Agravo improvido. Aplicação do art. 2º, I, da Lei federal 9.882/1999. Precedentes. Quem não tem legitimidade para propor ação direta de inconstitucionalidade não a tem para arguição de descumprimento de preceito fundamental.</w:t>
      </w:r>
    </w:p>
    <w:p>
      <w:pPr>
        <w:ind w:left="288"/>
      </w:pPr>
      <w:r>
        <w:rPr>
          <w:b/>
          <w:color w:val="003CA0"/>
          <w:sz w:val="16"/>
        </w:rPr>
        <w:t>[ADPF 148 AgR, rel. min. Cezar Peluso, j. 3-12-2008, P, DJE de 6-2-2009.]</w:t>
      </w:r>
    </w:p>
    <w:p>
      <w:pPr>
        <w:ind w:left="288"/>
      </w:pPr>
      <w:r>
        <w:rPr>
          <w:color w:val="8C8C8C"/>
          <w:sz w:val="12"/>
        </w:rPr>
        <w:t>cf-art-103</w:t>
      </w:r>
      <w:r>
        <w:rPr>
          <w:color w:val="003CA0"/>
          <w:sz w:val="12"/>
        </w:rPr>
        <w:t xml:space="preserve"> | ADPF 75</w:t>
      </w:r>
      <w:r>
        <w:rPr>
          <w:color w:val="003CA0"/>
          <w:sz w:val="12"/>
        </w:rPr>
        <w:t xml:space="preserve"> | rel. Ricardo Lewandowski</w:t>
      </w:r>
    </w:p>
    <w:p>
      <w:pPr>
        <w:ind w:left="288"/>
      </w:pPr>
      <w:r>
        <w:rPr>
          <w:color w:val="1E1E1E"/>
          <w:sz w:val="18"/>
        </w:rPr>
        <w:t>Os legitimados para propor arguição de descumprimento de preceito fundamental se encontram definidos, em numerus clausus, no art. 103 da Constituição da República, nos termos do disposto no art. 2º, I, da Lei 9.882/1999. Impossibilidade de ampliação do rol exaustivo inscrito na CF. Idoneidade da decisão de não conhecimento da arguição de descumprimento de preceito fundamental.</w:t>
      </w:r>
    </w:p>
    <w:p>
      <w:pPr>
        <w:ind w:left="288"/>
      </w:pPr>
      <w:r>
        <w:rPr>
          <w:b/>
          <w:color w:val="003CA0"/>
          <w:sz w:val="16"/>
        </w:rPr>
        <w:t>[ADPF 75 AgR, rel. min. Ricardo Lewandowski, j. 3-5-2006, P, DJ de 2-6-2006.]</w:t>
      </w:r>
    </w:p>
    <w:p>
      <w:pPr>
        <w:ind w:left="288"/>
      </w:pPr>
      <w:r>
        <w:rPr>
          <w:color w:val="8C8C8C"/>
          <w:sz w:val="12"/>
        </w:rPr>
        <w:t>cf-art-103</w:t>
      </w:r>
      <w:r>
        <w:rPr>
          <w:color w:val="003CA0"/>
          <w:sz w:val="12"/>
        </w:rPr>
        <w:t xml:space="preserve"> | ADI 1.105</w:t>
      </w:r>
      <w:r>
        <w:rPr>
          <w:color w:val="003CA0"/>
          <w:sz w:val="12"/>
        </w:rPr>
        <w:t xml:space="preserve"> | rel. Maurício Corrêa</w:t>
      </w:r>
    </w:p>
    <w:p>
      <w:pPr>
        <w:ind w:left="288"/>
      </w:pPr>
      <w:r>
        <w:rPr>
          <w:color w:val="1E1E1E"/>
          <w:sz w:val="18"/>
        </w:rPr>
        <w:t>Recurso interposto por terceiro prejudicado. Não cabimento. Precedentes. Embargos de declaração opostos pela OAB. Legitimidade. Questão de ordem resolvida no sentido de que é incabível a interposição de qualquer espécie de recurso por quem, embora legitimado para a propositura da ação direta, nela não figure como requerente ou requerido.</w:t>
      </w:r>
    </w:p>
    <w:p>
      <w:pPr>
        <w:ind w:left="288"/>
      </w:pPr>
      <w:r>
        <w:rPr>
          <w:b/>
          <w:color w:val="003CA0"/>
          <w:sz w:val="16"/>
        </w:rPr>
        <w:t>[ADI 1.105 MC-ED-QO, rel. min. Maurício Corrêa, j. 23-8-2001, P, DJ de 16-11-2001.]</w:t>
      </w:r>
    </w:p>
    <w:p>
      <w:pPr>
        <w:ind w:left="288"/>
      </w:pPr>
      <w:r>
        <w:rPr>
          <w:color w:val="8C8C8C"/>
          <w:sz w:val="12"/>
        </w:rPr>
        <w:t>cf-art-103</w:t>
      </w:r>
      <w:r>
        <w:rPr>
          <w:color w:val="003CA0"/>
          <w:sz w:val="12"/>
        </w:rPr>
        <w:t xml:space="preserve"> | ADI 1.105</w:t>
      </w:r>
      <w:r>
        <w:rPr>
          <w:color w:val="003CA0"/>
          <w:sz w:val="12"/>
        </w:rPr>
        <w:t xml:space="preserve"> | rel. Ricardo Lewandowski</w:t>
      </w:r>
    </w:p>
    <w:p>
      <w:pPr>
        <w:ind w:left="288"/>
      </w:pPr>
      <w:r>
        <w:rPr>
          <w:color w:val="1E1E1E"/>
          <w:sz w:val="18"/>
        </w:rPr>
        <w:t>= ADI 1.105 ED-segundos, rel. min. Ricardo Lewandowski, j. 1º-8-2011, P, DJE de 30-8-2011 Ação direta de inconstitucionalidade. Processo de caráter objetivo. Inclusão de entidade privada no polo passivo da relação processual. Inadmissibilidade. (...) Não se discutem situações individuais no âmbito do controle abstrato de normas, precisamente em face do caráter objetivo de que se reveste o processo de fiscalização concentrada de constitucionalidade. O círculo de sujeitos processuais legitimados a intervir na ação direta de inconstitucionalidade revela-se extremamente limitado, pois nela só pode</w:t>
      </w:r>
    </w:p>
    <w:p>
      <w:pPr>
        <w:ind w:left="288"/>
      </w:pPr>
      <w:r>
        <w:rPr>
          <w:b/>
          <w:color w:val="003CA0"/>
          <w:sz w:val="16"/>
        </w:rPr>
        <w:t>[ADI 1.254 AgR, rel. min. Celso de Mello, j. 14-8-1996, P, DJ de 19-9-1997.]</w:t>
      </w:r>
    </w:p>
    <w:p>
      <w:pPr>
        <w:ind w:left="288"/>
      </w:pPr>
      <w:r>
        <w:rPr>
          <w:color w:val="8C8C8C"/>
          <w:sz w:val="12"/>
        </w:rPr>
        <w:t>cf-art-103</w:t>
      </w:r>
      <w:r>
        <w:rPr>
          <w:color w:val="003CA0"/>
          <w:sz w:val="12"/>
        </w:rPr>
        <w:t xml:space="preserve"> | ADI 387</w:t>
      </w:r>
      <w:r>
        <w:rPr>
          <w:color w:val="003CA0"/>
          <w:sz w:val="12"/>
        </w:rPr>
        <w:t xml:space="preserve"> | rel. Celso de Mello</w:t>
      </w:r>
    </w:p>
    <w:p>
      <w:pPr>
        <w:ind w:left="288"/>
      </w:pPr>
      <w:r>
        <w:rPr>
          <w:color w:val="1E1E1E"/>
          <w:sz w:val="18"/>
        </w:rPr>
        <w:t>O princípio da indisponibilidade, que rege o processo de controle concentrado de constitucionalidade, impede a desistência da ação direta já ajuizada. O art. 169, § 1º, do RISTF-80, que veda ao PGR essa desistência, aplica-se, extensivamente, a todas as autoridades e órgãos legitimados pela Constituição de 1988 para a instauração do controle concentrado de constitucionalidade (art. 103).</w:t>
      </w:r>
    </w:p>
    <w:p>
      <w:pPr>
        <w:ind w:left="288"/>
      </w:pPr>
      <w:r>
        <w:rPr>
          <w:b/>
          <w:color w:val="003CA0"/>
          <w:sz w:val="16"/>
        </w:rPr>
        <w:t>[ADI 387 MC, rel. min. Celso de Mello, j. 1º-3-1991, P, DJ de 11-10-1991.]</w:t>
      </w:r>
    </w:p>
    <w:p>
      <w:pPr>
        <w:ind w:left="144"/>
      </w:pPr>
      <w:r>
        <w:rPr>
          <w:b/>
          <w:color w:val="B45A00"/>
          <w:sz w:val="16"/>
        </w:rPr>
        <w:t>JULGADOS CORRELATOS</w:t>
      </w:r>
    </w:p>
    <w:p>
      <w:pPr>
        <w:ind w:left="288"/>
      </w:pPr>
      <w:r>
        <w:rPr>
          <w:color w:val="8C8C8C"/>
          <w:sz w:val="12"/>
        </w:rPr>
        <w:t>cf-art-103</w:t>
      </w:r>
      <w:r>
        <w:rPr>
          <w:color w:val="003CA0"/>
          <w:sz w:val="12"/>
        </w:rPr>
        <w:t xml:space="preserve"> | ACO 3.061</w:t>
      </w:r>
      <w:r>
        <w:rPr>
          <w:color w:val="003CA0"/>
          <w:sz w:val="12"/>
        </w:rPr>
        <w:t xml:space="preserve"> | rel. Roberto Barroso</w:t>
      </w:r>
    </w:p>
    <w:p>
      <w:pPr>
        <w:ind w:left="288"/>
      </w:pPr>
      <w:r>
        <w:rPr>
          <w:color w:val="1E1E1E"/>
          <w:sz w:val="18"/>
        </w:rPr>
        <w:t xml:space="preserve">Ação cível originária. Ilegitimidade ativa da DPU. (...) Ação cível originária ajuizada pela Defensoria Pública em face da União e dos Estados-membros, objetivando a extensão, a todos os servidores civis e militares mortos no exercício da função, de indenização por morte/acidente em serviço prevista na Lei 11.473/2007. O pedido de extensão da indenização assegurada apenas aos vitimados em ações da Força Nacional de Segurança Pública, com fundamento no princípio da isonomia, caracteriza alegação de inconstitucionalidade por omissão parcial da norma. A Defensoria Pública, no entanto, nos termos </w:t>
      </w:r>
    </w:p>
    <w:p>
      <w:pPr>
        <w:ind w:left="288"/>
      </w:pPr>
      <w:r>
        <w:rPr>
          <w:b/>
          <w:color w:val="003CA0"/>
          <w:sz w:val="16"/>
        </w:rPr>
        <w:t>[ACO 3.061 AgR, rel. min. Roberto Barroso, j. 11-9-2018, 1ª T, DJE de 10-12-2018.]</w:t>
      </w:r>
    </w:p>
    <w:p>
      <w:pPr>
        <w:ind w:left="144"/>
      </w:pPr>
      <w:r>
        <w:rPr>
          <w:b/>
          <w:color w:val="B45A00"/>
          <w:sz w:val="16"/>
        </w:rPr>
        <w:t>CONTROLE CONCENTRADO</w:t>
      </w:r>
    </w:p>
    <w:p>
      <w:pPr>
        <w:ind w:left="288"/>
      </w:pPr>
      <w:r>
        <w:rPr>
          <w:color w:val="8C8C8C"/>
          <w:sz w:val="12"/>
        </w:rPr>
        <w:t>cf-art-103-inc-IV</w:t>
      </w:r>
      <w:r>
        <w:rPr>
          <w:color w:val="003CA0"/>
          <w:sz w:val="12"/>
        </w:rPr>
        <w:t xml:space="preserve"> | ADI 3.756</w:t>
      </w:r>
      <w:r>
        <w:rPr>
          <w:color w:val="003CA0"/>
          <w:sz w:val="12"/>
        </w:rPr>
        <w:t xml:space="preserve"> | rel. Ayres Britto</w:t>
      </w:r>
    </w:p>
    <w:p>
      <w:pPr>
        <w:ind w:left="288"/>
      </w:pPr>
      <w:r>
        <w:rPr>
          <w:color w:val="1E1E1E"/>
          <w:sz w:val="18"/>
        </w:rPr>
        <w:t>É de se reconhecer a legitimidade ativa ad causam da Câmara Legislativa do Distrito Federal, dado que a presente impugnação tem por alvo dispositivos da LC 101/2000. Dispositivos que versam, justamente, sobre a aplicação dos limites globais das despesas com pessoal do Poder Legislativo distrital.</w:t>
      </w:r>
    </w:p>
    <w:p>
      <w:pPr>
        <w:ind w:left="288"/>
      </w:pPr>
      <w:r>
        <w:rPr>
          <w:b/>
          <w:color w:val="003CA0"/>
          <w:sz w:val="16"/>
        </w:rPr>
        <w:t>[ADI 3.756, rel. min. Ayres Britto, j. 21-6-2007, P, DJ de 19-10-2007.]</w:t>
      </w:r>
    </w:p>
    <w:p>
      <w:pPr>
        <w:ind w:left="288"/>
      </w:pPr>
      <w:r>
        <w:rPr>
          <w:color w:val="8C8C8C"/>
          <w:sz w:val="12"/>
        </w:rPr>
        <w:t>cf-art-103-inc-IV</w:t>
      </w:r>
      <w:r>
        <w:rPr>
          <w:color w:val="003CA0"/>
          <w:sz w:val="12"/>
        </w:rPr>
        <w:t xml:space="preserve"> | ADI 3.682</w:t>
      </w:r>
      <w:r>
        <w:rPr>
          <w:color w:val="003CA0"/>
          <w:sz w:val="12"/>
        </w:rPr>
        <w:t xml:space="preserve"> | rel. Gilmar Mendes</w:t>
      </w:r>
    </w:p>
    <w:p>
      <w:pPr>
        <w:ind w:left="288"/>
      </w:pPr>
      <w:r>
        <w:rPr>
          <w:color w:val="1E1E1E"/>
          <w:sz w:val="18"/>
        </w:rPr>
        <w:t>O art. 102 da Constituição, que contém o elenco das competências do STF, não contempla a ação direta por omissão, limitando-se a mencionar a ação direta de inconstitucionalidade de lei ou ato normativo federal ou estadual e a ação declaratória de constitucionalidade de lei ou ato normativo federal (art. 102, I, a, com redação da EC 3/1993). No art. 103, caput, fixam-se os entes ou órgãos legitimados a propor a ação direta de inconstitucionalidade. Parece evidente que essa disposição refere-se à ação direta de inconstitucionalidade de lei ou ato normativo estadual ou federal, prevista no art. 1</w:t>
      </w:r>
    </w:p>
    <w:p>
      <w:pPr>
        <w:ind w:left="288"/>
      </w:pPr>
      <w:r>
        <w:rPr>
          <w:b/>
          <w:color w:val="003CA0"/>
          <w:sz w:val="16"/>
        </w:rPr>
        <w:t>[ADI 3.682, voto do rel. min. Gilmar Mendes, j. 9-5-2007, P, DJ de 6-9-2007.]</w:t>
      </w:r>
    </w:p>
    <w:p>
      <w:pPr>
        <w:ind w:left="288"/>
      </w:pPr>
      <w:r>
        <w:rPr>
          <w:color w:val="8C8C8C"/>
          <w:sz w:val="12"/>
        </w:rPr>
        <w:t>cf-art-103-inc-IV</w:t>
      </w:r>
      <w:r>
        <w:rPr>
          <w:color w:val="003CA0"/>
          <w:sz w:val="12"/>
        </w:rPr>
        <w:t xml:space="preserve"> | ADI 1.507</w:t>
      </w:r>
      <w:r>
        <w:rPr>
          <w:color w:val="003CA0"/>
          <w:sz w:val="12"/>
        </w:rPr>
        <w:t xml:space="preserve"> | rel. Carlos Velloso</w:t>
      </w:r>
    </w:p>
    <w:p>
      <w:pPr>
        <w:ind w:left="288"/>
      </w:pPr>
      <w:r>
        <w:rPr>
          <w:color w:val="1E1E1E"/>
          <w:sz w:val="18"/>
        </w:rPr>
        <w:t>A legitimidade ativa da confederação sindical, entidade de classe de âmbito nacional, mesas das assembleias legislativas e governadores, para a ação direta de inconstitucionalidade, vincula-se ao objeto da ação, pelo que deve haver pertinência da norma impugnada com os objetivos do autor da ação. (...) Inocorrência, no caso, de pertinência das normas impugnadas com os objetivos da entidade de classe autora da ação direta).</w:t>
      </w:r>
    </w:p>
    <w:p>
      <w:pPr>
        <w:ind w:left="288"/>
      </w:pPr>
      <w:r>
        <w:rPr>
          <w:b/>
          <w:color w:val="003CA0"/>
          <w:sz w:val="16"/>
        </w:rPr>
        <w:t>[ADI 1.507 MC-AgR, rel. min. Carlos Velloso, j. 3-2-1997, P, DJ de 6-6-1997.]</w:t>
      </w:r>
    </w:p>
    <w:p>
      <w:pPr>
        <w:ind w:left="144"/>
      </w:pPr>
      <w:r>
        <w:rPr>
          <w:b/>
          <w:color w:val="B45A00"/>
          <w:sz w:val="16"/>
        </w:rPr>
        <w:t>JULGADOS CORRELATOS</w:t>
      </w:r>
    </w:p>
    <w:p>
      <w:pPr>
        <w:ind w:left="288"/>
      </w:pPr>
      <w:r>
        <w:rPr>
          <w:color w:val="8C8C8C"/>
          <w:sz w:val="12"/>
        </w:rPr>
        <w:t>cf-art-103-inc-IV</w:t>
      </w:r>
      <w:r>
        <w:rPr>
          <w:color w:val="003CA0"/>
          <w:sz w:val="12"/>
        </w:rPr>
        <w:t xml:space="preserve"> | RE 950.570</w:t>
      </w:r>
      <w:r>
        <w:rPr>
          <w:color w:val="003CA0"/>
          <w:sz w:val="12"/>
        </w:rPr>
        <w:t xml:space="preserve"> | rel. Edson Fachin</w:t>
      </w:r>
    </w:p>
    <w:p>
      <w:pPr>
        <w:ind w:left="288"/>
      </w:pPr>
      <w:r>
        <w:rPr>
          <w:color w:val="1E1E1E"/>
          <w:sz w:val="18"/>
        </w:rPr>
        <w:t>A legitimidade ativa para a propositura da ação direta de inconstitucionalidade, bem como dos recursos dela decorrentes, nos termos da CF (art. 103, III, da CF) e, por simetria, pela Constituição estadual (art. 90, II, da Constituição do Estado de São Paulo), pertence à Mesa da Câmara Municipal.</w:t>
        <w:br/>
        <w:t>[RE 950.570 AgR, rel. min. Edson Fachin, j. 1º-9-2017, 2ª T, DJE de 29-7-2017.]</w:t>
      </w:r>
    </w:p>
    <w:p>
      <w:pPr>
        <w:ind w:left="288"/>
      </w:pPr>
      <w:r>
        <w:rPr>
          <w:color w:val="8C8C8C"/>
          <w:sz w:val="12"/>
        </w:rPr>
        <w:t>cf-art-103-inc-V</w:t>
      </w:r>
      <w:r>
        <w:rPr>
          <w:color w:val="003CA0"/>
          <w:sz w:val="12"/>
        </w:rPr>
        <w:t xml:space="preserve"> | ADI 5.297</w:t>
      </w:r>
      <w:r>
        <w:rPr>
          <w:color w:val="003CA0"/>
          <w:sz w:val="12"/>
        </w:rPr>
        <w:t xml:space="preserve"> | rel. Luiz Fux</w:t>
      </w:r>
    </w:p>
    <w:p>
      <w:pPr>
        <w:ind w:left="288"/>
      </w:pPr>
      <w:r>
        <w:rPr>
          <w:color w:val="1E1E1E"/>
          <w:sz w:val="18"/>
        </w:rPr>
        <w:t>Decreto nº 5.194, de 11 de fevereiro de 2015, do Estado do Tocantins. Suspensão dos efeitos financeiros da Lei Estadual nº 2.853, de 9 de abril de 2014. Vedação ao chefe do poder executivo de expedir decreto para suspender a eficácia de ato normativo hierarquicamente superior. (...) Vigente a lei, é legítimo ao Executivo impugná-la perante o Poder Judiciário estadual ou perante o Supremo Tribunal Federal, no exercício de sua legitimidade para deflagrar o processo de controle concentrado de constitucionalidade (art. 103, V, da CRFB/88), que se dá de forma repressiva e na via judicial.</w:t>
      </w:r>
    </w:p>
    <w:p>
      <w:pPr>
        <w:ind w:left="288"/>
      </w:pPr>
      <w:r>
        <w:rPr>
          <w:b/>
          <w:color w:val="003CA0"/>
          <w:sz w:val="16"/>
        </w:rPr>
        <w:t>[ADI 5.297, rel. min. Luiz Fux, j. 14.08.2025, P, DJE de 04.12.2025.]</w:t>
      </w:r>
    </w:p>
    <w:p>
      <w:pPr>
        <w:ind w:left="144"/>
      </w:pPr>
      <w:r>
        <w:rPr>
          <w:b/>
          <w:color w:val="B45A00"/>
          <w:sz w:val="16"/>
        </w:rPr>
        <w:t>CONTROLE CONCENTRADO</w:t>
      </w:r>
    </w:p>
    <w:p>
      <w:pPr>
        <w:ind w:left="288"/>
      </w:pPr>
      <w:r>
        <w:rPr>
          <w:color w:val="8C8C8C"/>
          <w:sz w:val="12"/>
        </w:rPr>
        <w:t>cf-art-103-inc-V</w:t>
      </w:r>
      <w:r>
        <w:rPr>
          <w:color w:val="003CA0"/>
          <w:sz w:val="12"/>
        </w:rPr>
        <w:t xml:space="preserve"> | ADI 6.728</w:t>
      </w:r>
      <w:r>
        <w:rPr>
          <w:color w:val="003CA0"/>
          <w:sz w:val="12"/>
        </w:rPr>
        <w:t xml:space="preserve"> | rel. Edson Fachin</w:t>
      </w:r>
    </w:p>
    <w:p>
      <w:pPr>
        <w:ind w:left="288"/>
      </w:pPr>
      <w:r>
        <w:rPr>
          <w:color w:val="1E1E1E"/>
          <w:sz w:val="18"/>
        </w:rPr>
        <w:t>O afastamento cautelar de cargo de Governador de Estado, suspendendo o exercício das funções públicas respectivas, implica a ilegitimidade para a propositura de ação direta de inconstitucionalidade, na forma do art. 103, V, da Constituição da República.</w:t>
      </w:r>
    </w:p>
    <w:p>
      <w:pPr>
        <w:ind w:left="288"/>
      </w:pPr>
      <w:r>
        <w:rPr>
          <w:b/>
          <w:color w:val="003CA0"/>
          <w:sz w:val="16"/>
        </w:rPr>
        <w:t>[ADI 6.728 AgR, rel. min. Edson Fachin, j. 3-5-2021, P, DJE de 14-5-2021.]</w:t>
      </w:r>
    </w:p>
    <w:p>
      <w:pPr>
        <w:ind w:left="288"/>
      </w:pPr>
      <w:r>
        <w:rPr>
          <w:color w:val="8C8C8C"/>
          <w:sz w:val="12"/>
        </w:rPr>
        <w:t>cf-art-103-inc-V</w:t>
      </w:r>
      <w:r>
        <w:rPr>
          <w:color w:val="003CA0"/>
          <w:sz w:val="12"/>
        </w:rPr>
        <w:t xml:space="preserve"> | ADI 5.084</w:t>
      </w:r>
      <w:r>
        <w:rPr>
          <w:color w:val="003CA0"/>
          <w:sz w:val="12"/>
        </w:rPr>
        <w:t xml:space="preserve"> | rel. Rosa Weber</w:t>
      </w:r>
    </w:p>
    <w:p>
      <w:pPr>
        <w:ind w:left="288"/>
      </w:pPr>
      <w:r>
        <w:rPr>
          <w:color w:val="1E1E1E"/>
          <w:sz w:val="18"/>
        </w:rPr>
        <w:t>(...) na hipótese de ação direta proposta por autoridade cuja legitimação ativa tem supedâneo no art. 103, V, da Carta Política, cabe ao próprio Governador de Estado ou do Distrito Federal subscrever a petição inicial, sendo-lhe facultado fazê-lo isoladamente ou em conjunto com o Procurador-Geral do Estado ou advogado habilitado.</w:t>
      </w:r>
    </w:p>
    <w:p>
      <w:pPr>
        <w:ind w:left="288"/>
      </w:pPr>
      <w:r>
        <w:rPr>
          <w:b/>
          <w:color w:val="003CA0"/>
          <w:sz w:val="16"/>
        </w:rPr>
        <w:t>[ADI 5.084, rel. min. Rosa Weber, decisão monocrática, j. 20-2-2014, DJE de 25-2-2014.]</w:t>
      </w:r>
    </w:p>
    <w:p>
      <w:pPr>
        <w:ind w:left="288"/>
      </w:pPr>
      <w:r>
        <w:rPr>
          <w:color w:val="8C8C8C"/>
          <w:sz w:val="12"/>
        </w:rPr>
        <w:t>cf-art-103-inc-V</w:t>
      </w:r>
      <w:r>
        <w:rPr>
          <w:color w:val="003CA0"/>
          <w:sz w:val="12"/>
        </w:rPr>
        <w:t xml:space="preserve"> | ADI 2.906</w:t>
      </w:r>
      <w:r>
        <w:rPr>
          <w:color w:val="003CA0"/>
          <w:sz w:val="12"/>
        </w:rPr>
        <w:t xml:space="preserve"> | rel. Marco Aurélio</w:t>
      </w:r>
    </w:p>
    <w:p>
      <w:pPr>
        <w:ind w:left="288"/>
      </w:pPr>
      <w:r>
        <w:rPr>
          <w:color w:val="1E1E1E"/>
          <w:sz w:val="18"/>
        </w:rPr>
        <w:t>Descabe confundir a legitimidade para a propositura da ação direta de inconstitucionalidade com a capacidade postulatória. Quanto ao governador do Estado, cuja assinatura é dispensável na inicial, tem-na o procurador-geral do Estado.</w:t>
      </w:r>
    </w:p>
    <w:p>
      <w:pPr>
        <w:ind w:left="288"/>
      </w:pPr>
      <w:r>
        <w:rPr>
          <w:b/>
          <w:color w:val="003CA0"/>
          <w:sz w:val="16"/>
        </w:rPr>
        <w:t>[ADI 2.906, rel. min. Marco Aurélio, j. 1º-6-2011, P, DJE de 29-6-2011.]</w:t>
      </w:r>
    </w:p>
    <w:p>
      <w:pPr>
        <w:ind w:left="288"/>
      </w:pPr>
      <w:r>
        <w:rPr>
          <w:color w:val="8C8C8C"/>
          <w:sz w:val="12"/>
        </w:rPr>
        <w:t>cf-art-103-inc-V</w:t>
      </w:r>
      <w:r>
        <w:rPr>
          <w:color w:val="003CA0"/>
          <w:sz w:val="12"/>
        </w:rPr>
        <w:t xml:space="preserve"> | ADI 2.728</w:t>
      </w:r>
      <w:r>
        <w:rPr>
          <w:color w:val="003CA0"/>
          <w:sz w:val="12"/>
        </w:rPr>
        <w:t xml:space="preserve"> | rel. Marco Aurélio</w:t>
      </w:r>
    </w:p>
    <w:p>
      <w:pPr>
        <w:ind w:left="288"/>
      </w:pPr>
      <w:r>
        <w:rPr>
          <w:color w:val="1E1E1E"/>
          <w:sz w:val="18"/>
        </w:rPr>
        <w:t>A representação processual do governador do Estado no processo objetivo se faz por meio de credenciamento de advogado, descabendo colar a pessoalidade considerado aquele que, à época, era o chefe do Poder Executivo. Representação processual. Processo objetivo. Governador do Estado. Atua o legitimado para ação direta de inconstitucionalidade quer mediante advogado especialmente credenciado, quer via procurador do Estado, sendo dispensável, neste último caso, a juntada de instrumento de mandato.</w:t>
      </w:r>
    </w:p>
    <w:p>
      <w:pPr>
        <w:ind w:left="288"/>
      </w:pPr>
      <w:r>
        <w:rPr>
          <w:b/>
          <w:color w:val="003CA0"/>
          <w:sz w:val="16"/>
        </w:rPr>
        <w:t>[ADI 2.728 ED, rel. min. Marco Aurélio, j. 19-10-2006, P, DJ de 5-10-2007.]</w:t>
      </w:r>
    </w:p>
    <w:p>
      <w:pPr>
        <w:ind w:left="288"/>
      </w:pPr>
      <w:r>
        <w:rPr>
          <w:color w:val="8C8C8C"/>
          <w:sz w:val="12"/>
        </w:rPr>
        <w:t>cf-art-103-inc-V</w:t>
      </w:r>
      <w:r>
        <w:rPr>
          <w:color w:val="003CA0"/>
          <w:sz w:val="12"/>
        </w:rPr>
        <w:t xml:space="preserve"> | ADI 3.013</w:t>
      </w:r>
      <w:r>
        <w:rPr>
          <w:color w:val="003CA0"/>
          <w:sz w:val="12"/>
        </w:rPr>
        <w:t xml:space="preserve"> | rel. Ellen Gracie</w:t>
      </w:r>
    </w:p>
    <w:p>
      <w:pPr>
        <w:ind w:left="288"/>
      </w:pPr>
      <w:r>
        <w:rPr>
          <w:color w:val="1E1E1E"/>
          <w:sz w:val="18"/>
        </w:rPr>
        <w:t>Os Estados-membros da Federação não estão no rol dos legitimados a agir como sujeitos processuais em sede de controle concentrado de constitucionalidade, sendo indevida, no modelo de processo objetivo, a intervenção de terceiros subjetivamente interessados no feito.</w:t>
      </w:r>
    </w:p>
    <w:p>
      <w:pPr>
        <w:ind w:left="288"/>
      </w:pPr>
      <w:r>
        <w:rPr>
          <w:b/>
          <w:color w:val="003CA0"/>
          <w:sz w:val="16"/>
        </w:rPr>
        <w:t>[ADI 3.013 ED-AgR, rel. min. Ellen Gracie, j. 31-5-2006, P, DJ de 4-8-2006.]</w:t>
      </w:r>
    </w:p>
    <w:p>
      <w:pPr>
        <w:ind w:left="288"/>
      </w:pPr>
      <w:r>
        <w:rPr>
          <w:color w:val="8C8C8C"/>
          <w:sz w:val="12"/>
        </w:rPr>
        <w:t>cf-art-103-inc-V</w:t>
      </w:r>
      <w:r>
        <w:rPr>
          <w:color w:val="003CA0"/>
          <w:sz w:val="12"/>
        </w:rPr>
        <w:t xml:space="preserve"> | ADI 2.656</w:t>
      </w:r>
      <w:r>
        <w:rPr>
          <w:color w:val="003CA0"/>
          <w:sz w:val="12"/>
        </w:rPr>
        <w:t xml:space="preserve"> | rel. Maurício Corrêa</w:t>
      </w:r>
    </w:p>
    <w:p>
      <w:pPr>
        <w:ind w:left="288"/>
      </w:pPr>
      <w:r>
        <w:rPr>
          <w:color w:val="1E1E1E"/>
          <w:sz w:val="18"/>
        </w:rPr>
        <w:t>Lei editada pelo Governo do Estado de São Paulo. Ação direta de inconstitucionalidade proposta pelo governador do Estado de Goiás. Amianto crisotila. Restrições à sua comercialização imposta pela legislação paulista, com evidentes reflexos na economia de Goiás, Estado onde está localizada a maior reserva natural do minério. Legitimidade ativa do governador de Goiás para iniciar o processo de controle concentrado de constitucionalidade e pertinência temática.</w:t>
      </w:r>
    </w:p>
    <w:p>
      <w:pPr>
        <w:ind w:left="288"/>
      </w:pPr>
      <w:r>
        <w:rPr>
          <w:b/>
          <w:color w:val="003CA0"/>
          <w:sz w:val="16"/>
        </w:rPr>
        <w:t>[ADI 2.656, rel. min. Maurício Corrêa, j. 8-5-2003, P, DJ de 1º-8-2003.]</w:t>
      </w:r>
    </w:p>
    <w:p>
      <w:pPr>
        <w:ind w:left="288"/>
      </w:pPr>
      <w:r>
        <w:rPr>
          <w:color w:val="8C8C8C"/>
          <w:sz w:val="12"/>
        </w:rPr>
        <w:t>cf-art-103-inc-V</w:t>
      </w:r>
      <w:r>
        <w:rPr>
          <w:color w:val="003CA0"/>
          <w:sz w:val="12"/>
        </w:rPr>
        <w:t xml:space="preserve"> | ADI 2.130</w:t>
      </w:r>
      <w:r>
        <w:rPr>
          <w:color w:val="003CA0"/>
          <w:sz w:val="12"/>
        </w:rPr>
        <w:t xml:space="preserve"> | rel. Celso de Mello</w:t>
      </w:r>
    </w:p>
    <w:p>
      <w:pPr>
        <w:ind w:left="288"/>
      </w:pPr>
      <w:r>
        <w:rPr>
          <w:color w:val="1E1E1E"/>
          <w:sz w:val="18"/>
        </w:rPr>
        <w:t>O Estado-membro não possui legitimidade para recorrer em sede de controle normativo abstrato. O Estado-membro não dispõe de legitimidade para interpor recurso em sede de controle normativo abstrato, ainda que a ação direta de inconstitucionalidade tenha sido ajuizada pelo respectivo governador, a quem assiste a prerrogativa legal de recorrer contra as decisões proferidas pelo relator da causa (Lei 9.868/1999, art. 4º, parágrafo único) ou, excepcionalmente, contra aquelas emanadas do próprio Plenário do STF (Lei 9.868/1999, art. 26).</w:t>
      </w:r>
    </w:p>
    <w:p>
      <w:pPr>
        <w:ind w:left="288"/>
      </w:pPr>
      <w:r>
        <w:rPr>
          <w:b/>
          <w:color w:val="003CA0"/>
          <w:sz w:val="16"/>
        </w:rPr>
        <w:t>[ADI 2.130 AgR, rel. min. Celso de Mello, j. 3-10-2001, P, DJ de 14-12-2001.]</w:t>
      </w:r>
    </w:p>
    <w:p>
      <w:pPr>
        <w:ind w:left="288"/>
      </w:pPr>
      <w:r>
        <w:rPr>
          <w:color w:val="8C8C8C"/>
          <w:sz w:val="12"/>
        </w:rPr>
        <w:t>cf-art-103-inc-V</w:t>
      </w:r>
      <w:r>
        <w:rPr>
          <w:color w:val="003CA0"/>
          <w:sz w:val="12"/>
        </w:rPr>
        <w:t xml:space="preserve"> | RE 658.375</w:t>
      </w:r>
      <w:r>
        <w:rPr>
          <w:color w:val="003CA0"/>
          <w:sz w:val="12"/>
        </w:rPr>
        <w:t xml:space="preserve"> | rel. Celso de Mello</w:t>
      </w:r>
    </w:p>
    <w:p>
      <w:pPr>
        <w:ind w:left="288"/>
      </w:pPr>
      <w:r>
        <w:rPr>
          <w:color w:val="1E1E1E"/>
          <w:sz w:val="18"/>
        </w:rPr>
        <w:t>= RE 658.375 AgR, rel. min. Celso de Mello, j. 25-3-2014, 2ª T, DJE de 24-4-2014 Ação direta de inconstitucionalidade. Legitimidade ativa. Impossibilidade de o governador do Estado, que já figura como órgão requerido, passar à condição de litisconsorte ativo. Medida cautelar não requerida pelo autor. Pedido ulteriormente formulado pelo sujeito passivo da relação processual. Impossibilidade.</w:t>
      </w:r>
    </w:p>
    <w:p>
      <w:pPr>
        <w:ind w:left="288"/>
      </w:pPr>
      <w:r>
        <w:rPr>
          <w:b/>
          <w:color w:val="003CA0"/>
          <w:sz w:val="16"/>
        </w:rPr>
        <w:t>[ADI 807 QO, rel. min. Celso de Mello, j. 27-5-1993, P, DJ de 11-6-1993.]</w:t>
      </w:r>
    </w:p>
    <w:p>
      <w:pPr>
        <w:ind w:left="288"/>
      </w:pPr>
      <w:r>
        <w:rPr>
          <w:color w:val="8C8C8C"/>
          <w:sz w:val="12"/>
        </w:rPr>
        <w:t>cf-art-103-inc-VIII</w:t>
      </w:r>
      <w:r>
        <w:rPr>
          <w:color w:val="003CA0"/>
          <w:sz w:val="12"/>
        </w:rPr>
        <w:t xml:space="preserve"> | ADI 2.618</w:t>
      </w:r>
      <w:r>
        <w:rPr>
          <w:color w:val="003CA0"/>
          <w:sz w:val="12"/>
        </w:rPr>
        <w:t xml:space="preserve"> | rel. Gilmar Mendes</w:t>
      </w:r>
    </w:p>
    <w:p>
      <w:pPr>
        <w:ind w:left="288"/>
      </w:pPr>
      <w:r>
        <w:rPr>
          <w:color w:val="1E1E1E"/>
          <w:sz w:val="18"/>
        </w:rPr>
        <w:t>Partido político. Legitimidade ativa. Aferição no momento da sua propositura. Perda superveniente de representação parlamentar. Não desqualificação para permanecer no polo ativo da relação processual. Objetividade e indisponibilidade da ação.</w:t>
      </w:r>
    </w:p>
    <w:p>
      <w:pPr>
        <w:ind w:left="288"/>
      </w:pPr>
      <w:r>
        <w:rPr>
          <w:b/>
          <w:color w:val="003CA0"/>
          <w:sz w:val="16"/>
        </w:rPr>
        <w:t>[ADI 2.618 AgR-AgR, rel. min. Gilmar Mendes, j. 12-8-2004, P, DJ de 31-3-2006.]</w:t>
      </w:r>
    </w:p>
    <w:p>
      <w:pPr>
        <w:ind w:left="288"/>
      </w:pPr>
      <w:r>
        <w:rPr>
          <w:color w:val="8C8C8C"/>
          <w:sz w:val="12"/>
        </w:rPr>
        <w:t>cf-art-103-inc-VIII</w:t>
      </w:r>
      <w:r>
        <w:rPr>
          <w:color w:val="003CA0"/>
          <w:sz w:val="12"/>
        </w:rPr>
        <w:t xml:space="preserve"> | ADI 2.427</w:t>
      </w:r>
      <w:r>
        <w:rPr>
          <w:color w:val="003CA0"/>
          <w:sz w:val="12"/>
        </w:rPr>
        <w:t xml:space="preserve"> | rel. Eros Grau</w:t>
      </w:r>
    </w:p>
    <w:p>
      <w:pPr>
        <w:ind w:left="288"/>
      </w:pPr>
      <w:r>
        <w:rPr>
          <w:color w:val="1E1E1E"/>
          <w:sz w:val="18"/>
        </w:rPr>
        <w:t>= ADI 2.427, rel. min. Eros Grau, j. 30-8-2006, P, DJ de 10-11-2006 Legitimidade de agremiação partidária com representação no Congresso Nacional para deflagrar o processo de controle de constitucionalidade em tese. Inteligência do art. 103, VIII, da Magna Lei. Requisito da pertinência temática antecipadamente satisfeito pelo requerente.</w:t>
      </w:r>
    </w:p>
    <w:p>
      <w:pPr>
        <w:ind w:left="288"/>
      </w:pPr>
      <w:r>
        <w:rPr>
          <w:b/>
          <w:color w:val="003CA0"/>
          <w:sz w:val="16"/>
        </w:rPr>
        <w:t>[ADI 3.059 MC, rel. min. Ayres Britto, j. 15-4-2004, P, DJ de 20-8-2004.]</w:t>
      </w:r>
    </w:p>
    <w:p>
      <w:pPr>
        <w:ind w:left="288"/>
      </w:pPr>
      <w:r>
        <w:rPr>
          <w:color w:val="8C8C8C"/>
          <w:sz w:val="12"/>
        </w:rPr>
        <w:t>cf-art-103-inc-VIII</w:t>
      </w:r>
      <w:r>
        <w:rPr>
          <w:color w:val="003CA0"/>
          <w:sz w:val="12"/>
        </w:rPr>
        <w:t xml:space="preserve"> | ADI 1.528</w:t>
      </w:r>
      <w:r>
        <w:rPr>
          <w:color w:val="003CA0"/>
          <w:sz w:val="12"/>
        </w:rPr>
        <w:t xml:space="preserve"> | rel. Ellen Gracie</w:t>
      </w:r>
    </w:p>
    <w:p>
      <w:pPr>
        <w:ind w:left="288"/>
      </w:pPr>
      <w:r>
        <w:rPr>
          <w:color w:val="1E1E1E"/>
          <w:sz w:val="18"/>
        </w:rPr>
        <w:t>Ilegitimidade ativa ad causam de diretório regional ou executiva regional. Firmou a jurisprudência desta Corte o entendimento de que o partido político, para ajuizar ação direta de inconstitucionalidade perante o STF, deve estar representado por seu diretório nacional, ainda que o ato impugnado tenha sua amplitude normativa limitada ao Estado ou Município do qual se originou.</w:t>
      </w:r>
    </w:p>
    <w:p>
      <w:pPr>
        <w:ind w:left="288"/>
      </w:pPr>
      <w:r>
        <w:rPr>
          <w:b/>
          <w:color w:val="003CA0"/>
          <w:sz w:val="16"/>
        </w:rPr>
        <w:t>[ADI 1.528 QO, rel. min. Ellen Gracie, j. 24-5-2000, P, DJ de 23-8-2002.]</w:t>
      </w:r>
    </w:p>
    <w:p>
      <w:pPr>
        <w:ind w:left="288"/>
      </w:pPr>
      <w:r>
        <w:rPr>
          <w:color w:val="8C8C8C"/>
          <w:sz w:val="12"/>
        </w:rPr>
        <w:t>cf-art-103-inc-VIII</w:t>
      </w:r>
      <w:r>
        <w:rPr>
          <w:color w:val="003CA0"/>
          <w:sz w:val="12"/>
        </w:rPr>
        <w:t xml:space="preserve"> | ADI 1.407</w:t>
      </w:r>
      <w:r>
        <w:rPr>
          <w:color w:val="003CA0"/>
          <w:sz w:val="12"/>
        </w:rPr>
        <w:t xml:space="preserve"> | rel. Celso de Mello</w:t>
      </w:r>
    </w:p>
    <w:p>
      <w:pPr>
        <w:ind w:left="288"/>
      </w:pPr>
      <w:r>
        <w:rPr>
          <w:color w:val="1E1E1E"/>
          <w:sz w:val="18"/>
        </w:rPr>
        <w:t>Partido político. Ação direta. Legitimidade ativa. Inexigibilidade do vínculo de pertinência temática. Os partidos políticos, desde que possuam representação no Congresso Nacional, podem, em sede de controle abstrato, arguir, perante o STF, a inconstitucionalidade de atos normativos federais, estaduais ou distritais, independentemente de seu conteúdo material, eis que não incide sobre as agremiações partidárias a restrição jurisprudencial derivada do vínculo de pertinência temática.</w:t>
      </w:r>
    </w:p>
    <w:p>
      <w:pPr>
        <w:ind w:left="288"/>
      </w:pPr>
      <w:r>
        <w:rPr>
          <w:b/>
          <w:color w:val="003CA0"/>
          <w:sz w:val="16"/>
        </w:rPr>
        <w:t>[ADI 1.407 MC, rel. min. Celso de Mello, j. 7-3-1996, P, DJ de 24-11-2000.]</w:t>
      </w:r>
    </w:p>
    <w:p>
      <w:pPr>
        <w:ind w:left="288"/>
      </w:pPr>
      <w:r>
        <w:rPr>
          <w:color w:val="8C8C8C"/>
          <w:sz w:val="12"/>
        </w:rPr>
        <w:t>cf-art-103-inc-VIII</w:t>
      </w:r>
      <w:r>
        <w:rPr>
          <w:color w:val="003CA0"/>
          <w:sz w:val="12"/>
        </w:rPr>
        <w:t xml:space="preserve"> | ADI 779</w:t>
      </w:r>
      <w:r>
        <w:rPr>
          <w:color w:val="003CA0"/>
          <w:sz w:val="12"/>
        </w:rPr>
        <w:t xml:space="preserve"> | rel. Celso de Mello</w:t>
      </w:r>
    </w:p>
    <w:p>
      <w:pPr>
        <w:ind w:left="288"/>
      </w:pPr>
      <w:r>
        <w:rPr>
          <w:color w:val="1E1E1E"/>
          <w:sz w:val="18"/>
        </w:rPr>
        <w:t>A representação partidária perante o STF, nas ações diretas, constitui prerrogativa jurídico-processual do diretório nacional do partido político, que é – ressalvada deliberação em contrário dos estatutos partidários – o órgão de direção e de ação dessas entidades no plano nacional.</w:t>
      </w:r>
    </w:p>
    <w:p>
      <w:pPr>
        <w:ind w:left="288"/>
      </w:pPr>
      <w:r>
        <w:rPr>
          <w:b/>
          <w:color w:val="003CA0"/>
          <w:sz w:val="16"/>
        </w:rPr>
        <w:t>[ADI 779 AgR, rel. min. Celso de Mello, j. 8-10-1992, P, DJ de 11-3-1994.]</w:t>
      </w:r>
    </w:p>
    <w:p>
      <w:pPr>
        <w:ind w:left="288"/>
      </w:pPr>
      <w:r>
        <w:rPr>
          <w:color w:val="8C8C8C"/>
          <w:sz w:val="12"/>
        </w:rPr>
        <w:t>cf-art-103-inc-IX</w:t>
      </w:r>
      <w:r>
        <w:rPr>
          <w:color w:val="003CA0"/>
          <w:sz w:val="12"/>
        </w:rPr>
        <w:t xml:space="preserve"> | ADI 7.761</w:t>
      </w:r>
      <w:r>
        <w:rPr>
          <w:color w:val="003CA0"/>
          <w:sz w:val="12"/>
        </w:rPr>
        <w:t xml:space="preserve"> | rel. Flávio Dino</w:t>
      </w:r>
    </w:p>
    <w:p>
      <w:pPr>
        <w:ind w:left="288"/>
      </w:pPr>
      <w:r>
        <w:rPr>
          <w:color w:val="1E1E1E"/>
          <w:sz w:val="18"/>
        </w:rPr>
        <w:t>Para a satisfação do requisito da espacialidade, não se mostra suficiente a participação da entidade em convenções nacionais, audiências públicas ou fóruns de debate, porquanto é da natureza desses eventos reunir debatedores — nacionais e estrangeiros — oriundos de regiões diversas e de setores distintos, tais como docentes, pesquisadores, educadores, empreendedores e agentes públicos e privados. A presença desses profissionais nas discussões, entretanto, não estabelece, por si só, qualquer vínculo institucional com o Estado em que o evento é realizado. A simples dispersão geográfica de associ</w:t>
      </w:r>
    </w:p>
    <w:p>
      <w:pPr>
        <w:ind w:left="288"/>
      </w:pPr>
      <w:r>
        <w:rPr>
          <w:b/>
          <w:color w:val="003CA0"/>
          <w:sz w:val="16"/>
        </w:rPr>
        <w:t>[ADPF 1.277 AgR, rel. min. Flávio Dino, j. 16-12-2025, P, DJE de 19-1-2026.]</w:t>
      </w:r>
    </w:p>
    <w:p>
      <w:pPr>
        <w:ind w:left="288"/>
      </w:pPr>
      <w:r>
        <w:rPr>
          <w:color w:val="8C8C8C"/>
          <w:sz w:val="12"/>
        </w:rPr>
        <w:t>cf-art-103-inc-IX</w:t>
      </w:r>
      <w:r>
        <w:rPr>
          <w:color w:val="003CA0"/>
          <w:sz w:val="12"/>
        </w:rPr>
        <w:t xml:space="preserve"> | ADPF 264</w:t>
      </w:r>
      <w:r>
        <w:rPr>
          <w:color w:val="003CA0"/>
          <w:sz w:val="12"/>
        </w:rPr>
        <w:t xml:space="preserve"> | rel. Dias Toffoli</w:t>
      </w:r>
    </w:p>
    <w:p>
      <w:pPr>
        <w:ind w:left="288"/>
      </w:pPr>
      <w:r>
        <w:rPr>
          <w:color w:val="1E1E1E"/>
          <w:sz w:val="18"/>
        </w:rPr>
        <w:t>Os conselhos de fiscalização profissional têm como função precípua o controle e a fiscalização do exercício das profissões regulamentadas, exercendo, portanto, poder de polícia, atividade típica de Estado, razão pela qual detêm personalidade jurídica de direito público, na forma de autarquias. Sendo assim, tais conselhos não se ajustam à noção de entidade de classe, expressão que designa tão somente aquelas entidades vocacionadas à defesa dos interesses dos membros da respectiva categoria ou classe de profissionais.</w:t>
      </w:r>
    </w:p>
    <w:p>
      <w:pPr>
        <w:ind w:left="288"/>
      </w:pPr>
      <w:r>
        <w:rPr>
          <w:b/>
          <w:color w:val="003CA0"/>
          <w:sz w:val="16"/>
        </w:rPr>
        <w:t>[ADPF 264 AgR, rel. min. Dias Toffoli, j. 18-12-2014, P, DJE de 25-2-2015.]</w:t>
      </w:r>
    </w:p>
    <w:p>
      <w:pPr>
        <w:ind w:left="288"/>
      </w:pPr>
      <w:r>
        <w:rPr>
          <w:color w:val="8C8C8C"/>
          <w:sz w:val="12"/>
        </w:rPr>
        <w:t>cf-art-103-inc-IX</w:t>
      </w:r>
      <w:r>
        <w:rPr>
          <w:color w:val="003CA0"/>
          <w:sz w:val="12"/>
        </w:rPr>
        <w:t xml:space="preserve"> | ADI 4.701</w:t>
      </w:r>
      <w:r>
        <w:rPr>
          <w:color w:val="003CA0"/>
          <w:sz w:val="12"/>
        </w:rPr>
        <w:t xml:space="preserve"> | rel. Roberto Barroso</w:t>
      </w:r>
    </w:p>
    <w:p>
      <w:pPr>
        <w:ind w:left="288"/>
      </w:pPr>
      <w:r>
        <w:rPr>
          <w:color w:val="1E1E1E"/>
          <w:sz w:val="18"/>
        </w:rPr>
        <w:t>Ação direta de inconstitucionalidade. Lei estadual que fixa prazos máximos, segundo a faixa etária dos usuários, para a autorização de exames pelas operadoras de plano de saúde. Encontra-se caracterizado o direito de propositura. Os associados da requerente estão unidos pela comunhão de interesses em relação a um objeto específico (prestação do serviço de assistência suplementar à saúde na modalidade autogestão). Esse elemento caracteriza a unidade de propósito na representação associativa, afastando a excessiva generalidade que, segundo esta Corte, impediria o conhecimento da ação.</w:t>
      </w:r>
    </w:p>
    <w:p>
      <w:pPr>
        <w:ind w:left="288"/>
      </w:pPr>
      <w:r>
        <w:rPr>
          <w:b/>
          <w:color w:val="003CA0"/>
          <w:sz w:val="16"/>
        </w:rPr>
        <w:t>[ADI 4.701, rel. min. Roberto Barroso, j. 13-8-2014, P, DJE de 25-8-2014.]</w:t>
      </w:r>
    </w:p>
    <w:p>
      <w:pPr>
        <w:ind w:left="288"/>
      </w:pPr>
      <w:r>
        <w:rPr>
          <w:color w:val="8C8C8C"/>
          <w:sz w:val="12"/>
        </w:rPr>
        <w:t>cf-art-103-inc-IX</w:t>
      </w:r>
      <w:r>
        <w:rPr>
          <w:color w:val="003CA0"/>
          <w:sz w:val="12"/>
        </w:rPr>
        <w:t xml:space="preserve"> | ADI 4.029</w:t>
      </w:r>
      <w:r>
        <w:rPr>
          <w:color w:val="003CA0"/>
          <w:sz w:val="12"/>
        </w:rPr>
        <w:t xml:space="preserve"> | rel. Luiz Fux</w:t>
      </w:r>
    </w:p>
    <w:p>
      <w:pPr>
        <w:ind w:left="288"/>
      </w:pPr>
      <w:r>
        <w:rPr>
          <w:color w:val="1E1E1E"/>
          <w:sz w:val="18"/>
        </w:rPr>
        <w:t>Ação direta de inconstitucionalidade. Lei federal 11.516/2007. Criação do Instituto Chico Mendes de Conservação da Biodiversidade. Legitimidade da Associação Nacional dos Servidores do Ibama. (...) A democracia participativa delineada pela Carta de 1988 se baseia na generalização e profusão das vias de participação dos cidadãos nos provimentos estatais, por isso que é de se conjurar uma exegese demasiadamente restritiva do conceito de "entidade de classe de âmbito nacional" previsto no art. 103, IX, da CRFB. A participação da sociedade civil organizada nos processos de controle abstrato de con</w:t>
      </w:r>
    </w:p>
    <w:p>
      <w:pPr>
        <w:ind w:left="288"/>
      </w:pPr>
      <w:r>
        <w:rPr>
          <w:b/>
          <w:color w:val="003CA0"/>
          <w:sz w:val="16"/>
        </w:rPr>
        <w:t>[ADI 4.029, rel. min. Luiz Fux, j. 8-3-2012, P, DJE de 27-6-2012.]</w:t>
      </w:r>
    </w:p>
    <w:p>
      <w:pPr>
        <w:ind w:left="288"/>
      </w:pPr>
      <w:r>
        <w:rPr>
          <w:color w:val="8C8C8C"/>
          <w:sz w:val="12"/>
        </w:rPr>
        <w:t>cf-art-103-inc-IX</w:t>
      </w:r>
      <w:r>
        <w:rPr>
          <w:color w:val="003CA0"/>
          <w:sz w:val="12"/>
        </w:rPr>
        <w:t xml:space="preserve"> | ADI 4.224</w:t>
      </w:r>
      <w:r>
        <w:rPr>
          <w:color w:val="003CA0"/>
          <w:sz w:val="12"/>
        </w:rPr>
        <w:t xml:space="preserve"> | rel. Dias Toffoli</w:t>
      </w:r>
    </w:p>
    <w:p>
      <w:pPr>
        <w:ind w:left="288"/>
      </w:pPr>
      <w:r>
        <w:rPr>
          <w:color w:val="1E1E1E"/>
          <w:sz w:val="18"/>
        </w:rPr>
        <w:t>União Geral dos Trabalhadores (UGT). (...) Mantida a decisão de reconhecimento da inaptidão da agravante para instaurar controle abstrato de normas, visto não se amoldar à hipótese de legitimação prevista no art. 103, IX, "parte inicial", da CF. Muito embora ocorrido o reconhecimento formal das centrais sindicais com a edição da Lei 11.648/2008, a norma não teve o condão de equipará-las às confederações, de modo a sobrelevá-las a um patamar hierárquico superior na estrutura sindical. Ao contrário, criou-se um modelo paralelo de representação, figurando as centrais sindicais como patrocinadoras</w:t>
      </w:r>
    </w:p>
    <w:p>
      <w:pPr>
        <w:ind w:left="288"/>
      </w:pPr>
      <w:r>
        <w:rPr>
          <w:b/>
          <w:color w:val="003CA0"/>
          <w:sz w:val="16"/>
        </w:rPr>
        <w:t>[ADI 4.224 AgR, rel. min. Dias Toffoli, j. 1º-8-2011, P, DJE de 8-9-2011.]</w:t>
      </w:r>
    </w:p>
    <w:p>
      <w:pPr>
        <w:ind w:left="288"/>
      </w:pPr>
      <w:r>
        <w:rPr>
          <w:color w:val="8C8C8C"/>
          <w:sz w:val="12"/>
        </w:rPr>
        <w:t>cf-art-103-inc-IX</w:t>
      </w:r>
      <w:r>
        <w:rPr>
          <w:color w:val="003CA0"/>
          <w:sz w:val="12"/>
        </w:rPr>
        <w:t xml:space="preserve"> | ADI 4.462</w:t>
      </w:r>
      <w:r>
        <w:rPr>
          <w:color w:val="003CA0"/>
          <w:sz w:val="12"/>
        </w:rPr>
        <w:t xml:space="preserve"> | rel. Cármen Lúcia</w:t>
      </w:r>
    </w:p>
    <w:p>
      <w:pPr>
        <w:ind w:left="288"/>
      </w:pPr>
      <w:r>
        <w:rPr>
          <w:color w:val="1E1E1E"/>
          <w:sz w:val="18"/>
        </w:rPr>
        <w:t>A Associação Nacional dos Magistrados Estaduais (ANAMAGES) não tem legitimidade para propor ação direta de inconstitucionalidade contra norma de interesse de toda a magistratura. É legítima, todavia, para a propositura de ação direta contra norma de interesse da magistratura de determinado Estado-membro da Federação.</w:t>
      </w:r>
    </w:p>
    <w:p>
      <w:pPr>
        <w:ind w:left="288"/>
      </w:pPr>
      <w:r>
        <w:rPr>
          <w:b/>
          <w:color w:val="003CA0"/>
          <w:sz w:val="16"/>
        </w:rPr>
        <w:t>[ADI 4.462 MC, rel. min. Cármen Lúcia, j. 29-6-2011, P, DJE de 16-11-2011.]</w:t>
      </w:r>
    </w:p>
    <w:p>
      <w:pPr>
        <w:ind w:left="288"/>
      </w:pPr>
      <w:r>
        <w:rPr>
          <w:color w:val="8C8C8C"/>
          <w:sz w:val="12"/>
        </w:rPr>
        <w:t>cf-art-103-inc-IX</w:t>
      </w:r>
      <w:r>
        <w:rPr>
          <w:color w:val="003CA0"/>
          <w:sz w:val="12"/>
        </w:rPr>
        <w:t xml:space="preserve"> | ADI 1.804</w:t>
      </w:r>
      <w:r>
        <w:rPr>
          <w:color w:val="003CA0"/>
          <w:sz w:val="12"/>
        </w:rPr>
        <w:t xml:space="preserve"> | rel. Dias Toffoli</w:t>
      </w:r>
    </w:p>
    <w:p>
      <w:pPr>
        <w:ind w:left="288"/>
      </w:pPr>
      <w:r>
        <w:rPr>
          <w:color w:val="1E1E1E"/>
          <w:sz w:val="18"/>
        </w:rPr>
        <w:t>Caracterização da Abimaq como entidade de classe de âmbito nacional. O novo estatuto social prevê que a associação é composta apenas por entidades singulares de natureza empresarial, com classe econômica bem definida, não mais restando caracterizada a heterogeneidade de sua composição, que impedira o conhecimento da ADI 1.804/RS. Prova, nos autos, da composição associativa ampla, estando presente a associação em mais de nove Estados da Federação. Cumprimento da exigência da pertinência temática, ante a existência de correlação entre o objeto do pedido de declaração de inconstitucionalidade e o</w:t>
      </w:r>
    </w:p>
    <w:p>
      <w:pPr>
        <w:ind w:left="288"/>
      </w:pPr>
      <w:r>
        <w:rPr>
          <w:b/>
          <w:color w:val="003CA0"/>
          <w:sz w:val="16"/>
        </w:rPr>
        <w:t>[ADI 3.702, rel. min. Dias Toffoli, j. 1º-6-2011, P, DJE de 30-8-2011.]</w:t>
      </w:r>
    </w:p>
    <w:p>
      <w:pPr>
        <w:ind w:left="288"/>
      </w:pPr>
      <w:r>
        <w:rPr>
          <w:color w:val="8C8C8C"/>
          <w:sz w:val="12"/>
        </w:rPr>
        <w:t>cf-art-103-inc-IX</w:t>
      </w:r>
      <w:r>
        <w:rPr>
          <w:color w:val="003CA0"/>
          <w:sz w:val="12"/>
        </w:rPr>
        <w:t xml:space="preserve"> | ADI 3.413</w:t>
      </w:r>
      <w:r>
        <w:rPr>
          <w:color w:val="003CA0"/>
          <w:sz w:val="12"/>
        </w:rPr>
        <w:t xml:space="preserve"> | rel. Marco Aurélio</w:t>
      </w:r>
    </w:p>
    <w:p>
      <w:pPr>
        <w:ind w:left="288"/>
      </w:pPr>
      <w:r>
        <w:rPr>
          <w:color w:val="1E1E1E"/>
          <w:sz w:val="18"/>
        </w:rPr>
        <w:t>O fato de a associação requerente congregar diversos segmentos existentes no mercado não a descredencia para a propositura da ação direta de inconstitucionalidade – evolução da jurisprudência. (...) Surge a pertinência temática, presente ajuizamento de ação direta de inconstitucionalidade por associação, quando esta congrega setor econômico que é alcançado, em termos de tributo, pela norma atacada.</w:t>
      </w:r>
    </w:p>
    <w:p>
      <w:pPr>
        <w:ind w:left="288"/>
      </w:pPr>
      <w:r>
        <w:rPr>
          <w:b/>
          <w:color w:val="003CA0"/>
          <w:sz w:val="16"/>
        </w:rPr>
        <w:t>[ADI 3.413, rel. min. Marco Aurélio, j. 1º-6-2011, P, DJE de 1º-8-2011.]</w:t>
      </w:r>
    </w:p>
    <w:p>
      <w:pPr>
        <w:ind w:left="288"/>
      </w:pPr>
      <w:r>
        <w:rPr>
          <w:color w:val="8C8C8C"/>
          <w:sz w:val="12"/>
        </w:rPr>
        <w:t>cf-art-103-inc-IX</w:t>
      </w:r>
      <w:r>
        <w:rPr>
          <w:color w:val="003CA0"/>
          <w:sz w:val="12"/>
        </w:rPr>
        <w:t xml:space="preserve"> | ADI 3.617</w:t>
      </w:r>
      <w:r>
        <w:rPr>
          <w:color w:val="003CA0"/>
          <w:sz w:val="12"/>
        </w:rPr>
        <w:t xml:space="preserve"> | rel. Cezar Peluso</w:t>
      </w:r>
    </w:p>
    <w:p>
      <w:pPr>
        <w:ind w:left="288"/>
      </w:pPr>
      <w:r>
        <w:rPr>
          <w:color w:val="1E1E1E"/>
          <w:sz w:val="18"/>
        </w:rPr>
        <w:t>Carece de legitimação para propor ação direta de inconstitucionalidade a entidade de classe que, embora de âmbito estatutário nacional, não tenha representação em, pelo menos, nove Estados da Federação, nem represente toda a categoria profissional, cujos interesses pretenda tutelar.</w:t>
      </w:r>
    </w:p>
    <w:p>
      <w:pPr>
        <w:ind w:left="288"/>
      </w:pPr>
      <w:r>
        <w:rPr>
          <w:b/>
          <w:color w:val="003CA0"/>
          <w:sz w:val="16"/>
        </w:rPr>
        <w:t>[ADI 3.617 AgR, rel. min. Cezar Peluso, j. 25-5-2011, P, DJE de 1º-7-2011.]</w:t>
      </w:r>
    </w:p>
    <w:p>
      <w:pPr>
        <w:ind w:left="288"/>
      </w:pPr>
      <w:r>
        <w:rPr>
          <w:color w:val="8C8C8C"/>
          <w:sz w:val="12"/>
        </w:rPr>
        <w:t>cf-art-103-inc-IX</w:t>
      </w:r>
      <w:r>
        <w:rPr>
          <w:color w:val="003CA0"/>
          <w:sz w:val="12"/>
        </w:rPr>
        <w:t xml:space="preserve"> | ADI 4.230</w:t>
      </w:r>
      <w:r>
        <w:rPr>
          <w:color w:val="003CA0"/>
          <w:sz w:val="12"/>
        </w:rPr>
        <w:t xml:space="preserve"> | rel. Dias Toffoli</w:t>
      </w:r>
    </w:p>
    <w:p>
      <w:pPr>
        <w:ind w:left="288"/>
      </w:pPr>
      <w:r>
        <w:rPr>
          <w:color w:val="1E1E1E"/>
          <w:sz w:val="18"/>
        </w:rPr>
        <w:t>= ADI 4.230 AgR, rel. min. Dias Toffoli, j. 1º-8-2011, P, DJE de 14-9-2011 A Associação dos Delegados de Polícia do Brasil tem legitimidade para a propositura da ação direta, pois constitui entidade de classe de âmbito nacional, congregadora de "todos os delegados de polícia de carreira do País, para defesa de suas prerrogativas, direitos e interesses" (inciso IX do art. 103 da CF).</w:t>
      </w:r>
    </w:p>
    <w:p>
      <w:pPr>
        <w:ind w:left="288"/>
      </w:pPr>
      <w:r>
        <w:rPr>
          <w:b/>
          <w:color w:val="003CA0"/>
          <w:sz w:val="16"/>
        </w:rPr>
        <w:t>[ADI 3.288, rel. min. Ayres Britto, j. 13-10-2010, P, DJE de 24-2-2011.]</w:t>
      </w:r>
    </w:p>
    <w:p>
      <w:pPr>
        <w:ind w:left="288"/>
      </w:pPr>
      <w:r>
        <w:rPr>
          <w:color w:val="8C8C8C"/>
          <w:sz w:val="12"/>
        </w:rPr>
        <w:t>cf-art-103-inc-IX</w:t>
      </w:r>
      <w:r>
        <w:rPr>
          <w:color w:val="003CA0"/>
          <w:sz w:val="12"/>
        </w:rPr>
        <w:t xml:space="preserve"> | ADI 3.469</w:t>
      </w:r>
      <w:r>
        <w:rPr>
          <w:color w:val="003CA0"/>
          <w:sz w:val="12"/>
        </w:rPr>
        <w:t xml:space="preserve"> | rel. Gilmar Mendes</w:t>
      </w:r>
    </w:p>
    <w:p>
      <w:pPr>
        <w:ind w:left="288"/>
      </w:pPr>
      <w:r>
        <w:rPr>
          <w:color w:val="1E1E1E"/>
          <w:sz w:val="18"/>
        </w:rPr>
        <w:t>=  ADI 3.469, rel. min. Gilmar Mendes, j. 16-9-2010, P, DJE de 28-2-2011 (...) o âmbito temático da presente arguição de descumprimento de preceito fundamental, que impugna – além da "interpretação judicial dada pelo TSE ao texto do § 9º do art. 14 da CF, com a redação dada pela EC de revisão 4/1994" (...) – também a LC 64/1990, especificamente no ponto em que esta exige, para efeito de reconhecimento de inelegibilidade, trânsito em julgado para determinadas decisões (art. 1º, I, d, e e h, e art. 15), ou, então, que acolhe ressalva alegadamente descaracterizadora da situação de inelegibilidade</w:t>
      </w:r>
    </w:p>
    <w:p>
      <w:pPr>
        <w:ind w:left="288"/>
      </w:pPr>
      <w:r>
        <w:rPr>
          <w:b/>
          <w:color w:val="003CA0"/>
          <w:sz w:val="16"/>
        </w:rPr>
        <w:t>[ADPF 144, voto do rel. min. Celso de Mello, j. 6-8-2008, P, DJE de 26-2-2010.]</w:t>
      </w:r>
    </w:p>
    <w:p>
      <w:pPr>
        <w:ind w:left="288"/>
      </w:pPr>
      <w:r>
        <w:rPr>
          <w:color w:val="8C8C8C"/>
          <w:sz w:val="12"/>
        </w:rPr>
        <w:t>cf-art-103-inc-IX</w:t>
      </w:r>
      <w:r>
        <w:rPr>
          <w:color w:val="003CA0"/>
          <w:sz w:val="12"/>
        </w:rPr>
        <w:t xml:space="preserve"> | ADI 1.336</w:t>
      </w:r>
      <w:r>
        <w:rPr>
          <w:color w:val="003CA0"/>
          <w:sz w:val="12"/>
        </w:rPr>
        <w:t xml:space="preserve"> | rel. Cármen Lúcia</w:t>
      </w:r>
    </w:p>
    <w:p>
      <w:pPr>
        <w:ind w:left="288"/>
      </w:pPr>
      <w:r>
        <w:rPr>
          <w:color w:val="1E1E1E"/>
          <w:sz w:val="18"/>
        </w:rPr>
        <w:t>A associação embargante apresenta, após o julgamento da ação direta de inconstitucionalidade que dela não conheceu em face de sua ilegitimidade ativa, seu novo estatuto social para, diante da nova composição de seu quadro associativo, superar a ilegitimidade originária. Impossibilidade de se apreciar a alegada legitimidade em razão de sua nova configuração em momento posterior ao julgamento da presente ação direta de inconstitucionalidade.</w:t>
      </w:r>
    </w:p>
    <w:p>
      <w:pPr>
        <w:ind w:left="288"/>
      </w:pPr>
      <w:r>
        <w:rPr>
          <w:b/>
          <w:color w:val="003CA0"/>
          <w:sz w:val="16"/>
        </w:rPr>
        <w:t>[ADI 1.336 ED-ED, rel. min. Cármen Lúcia, j. 9-8-2006, P, DJ de 18-5-2007.]</w:t>
      </w:r>
    </w:p>
    <w:p>
      <w:pPr>
        <w:ind w:left="288"/>
      </w:pPr>
      <w:r>
        <w:rPr>
          <w:color w:val="8C8C8C"/>
          <w:sz w:val="12"/>
        </w:rPr>
        <w:t>cf-art-103-inc-IX</w:t>
      </w:r>
      <w:r>
        <w:rPr>
          <w:color w:val="003CA0"/>
          <w:sz w:val="12"/>
        </w:rPr>
        <w:t xml:space="preserve"> | ADI 2.903</w:t>
      </w:r>
      <w:r>
        <w:rPr>
          <w:color w:val="003CA0"/>
          <w:sz w:val="12"/>
        </w:rPr>
        <w:t xml:space="preserve"> | rel. Celso de Mello</w:t>
      </w:r>
    </w:p>
    <w:p>
      <w:pPr>
        <w:ind w:left="288"/>
      </w:pPr>
      <w:r>
        <w:rPr>
          <w:color w:val="1E1E1E"/>
          <w:sz w:val="18"/>
        </w:rPr>
        <w:t>A Associação Nacional dos Defensores Públicos (ANADEP) dispõe de legitimidade ativa ad causam para fazer instaurar processo de controle normativo abstrato em face de atos estatais, como a legislação pertinente à Defensoria Pública, cujo conteúdo guarde relação de pertinência temática com as finalidades institucionais dessa entidade de classe de âmbito nacional.</w:t>
      </w:r>
    </w:p>
    <w:p>
      <w:pPr>
        <w:ind w:left="288"/>
      </w:pPr>
      <w:r>
        <w:rPr>
          <w:b/>
          <w:color w:val="003CA0"/>
          <w:sz w:val="16"/>
        </w:rPr>
        <w:t>[ADI 2.903, rel. min. Celso de Mello, j. 1º-12-2005, P, DJE de 19-9-2008.]</w:t>
      </w:r>
    </w:p>
    <w:p>
      <w:pPr>
        <w:ind w:left="288"/>
      </w:pPr>
      <w:r>
        <w:rPr>
          <w:color w:val="8C8C8C"/>
          <w:sz w:val="12"/>
        </w:rPr>
        <w:t>cf-art-103-inc-IX</w:t>
      </w:r>
      <w:r>
        <w:rPr>
          <w:color w:val="003CA0"/>
          <w:sz w:val="12"/>
        </w:rPr>
        <w:t xml:space="preserve"> | ADI 920</w:t>
      </w:r>
      <w:r>
        <w:rPr>
          <w:color w:val="003CA0"/>
          <w:sz w:val="12"/>
        </w:rPr>
        <w:t xml:space="preserve"> | rel. Francisco Rezek</w:t>
      </w:r>
    </w:p>
    <w:p>
      <w:pPr>
        <w:ind w:left="288"/>
      </w:pPr>
      <w:r>
        <w:rPr>
          <w:color w:val="1E1E1E"/>
          <w:sz w:val="18"/>
        </w:rPr>
        <w:t>A agravante busca demonstrar sua legitimidade ativa mesclando indevidamente duas das hipóteses de legitimação previstas no art. 103 da CF. Porém, sua inequívoca natureza sindical a exclui, peremptoriamente, das demais categorias de associação de âmbito nacional. Precedentes: ADI 920 MC, rel. min. Francisco Rezek, DJ de 11-4-1997, ADI 1.149 AgR, rel. min. Ilmar Galvão, DJ de 6-10-1995, ADI 275, rel. min. Moreira Alves, DJ de 22-2-1991 e ADI 378, rel. min. Sydney Sanches, DJ de 19-2-1993. Não se tratando de confederação sindical organizada na forma da lei, mas de entidade sindical de segundo gra</w:t>
      </w:r>
    </w:p>
    <w:p>
      <w:pPr>
        <w:ind w:left="288"/>
      </w:pPr>
      <w:r>
        <w:rPr>
          <w:b/>
          <w:color w:val="003CA0"/>
          <w:sz w:val="16"/>
        </w:rPr>
        <w:t>[ADI 3.506 AgR, rel. min. Ellen Gracie, j. 8-9-2005, P, DJ de 30-9-2005.]</w:t>
      </w:r>
    </w:p>
    <w:p>
      <w:pPr>
        <w:ind w:left="288"/>
      </w:pPr>
      <w:r>
        <w:rPr>
          <w:color w:val="8C8C8C"/>
          <w:sz w:val="12"/>
        </w:rPr>
        <w:t>cf-art-103-inc-IX</w:t>
      </w:r>
      <w:r>
        <w:rPr>
          <w:color w:val="003CA0"/>
          <w:sz w:val="12"/>
        </w:rPr>
        <w:t xml:space="preserve"> | ADI 4.361</w:t>
      </w:r>
      <w:r>
        <w:rPr>
          <w:color w:val="003CA0"/>
          <w:sz w:val="12"/>
        </w:rPr>
        <w:t xml:space="preserve"> | rel. Luiz Fux</w:t>
      </w:r>
    </w:p>
    <w:p>
      <w:pPr>
        <w:ind w:left="288"/>
      </w:pPr>
      <w:r>
        <w:rPr>
          <w:color w:val="1E1E1E"/>
          <w:sz w:val="18"/>
        </w:rPr>
        <w:t>= ADI 4.361 AgR, rel. min. Luiz Fux, j. 1º-12-2011, P, DJE de 1º-2-2012 Ação direta de inconstitucionalidade. Ausência de legitimidade ativa de central sindical (CUT).</w:t>
      </w:r>
    </w:p>
    <w:p>
      <w:pPr>
        <w:ind w:left="288"/>
      </w:pPr>
      <w:r>
        <w:rPr>
          <w:b/>
          <w:color w:val="003CA0"/>
          <w:sz w:val="16"/>
        </w:rPr>
        <w:t>[ADI 1.442, rel. min. Celso de Mello, j. 3-11-2004, P, DJ de 29-4-2005.]</w:t>
      </w:r>
    </w:p>
    <w:p>
      <w:pPr>
        <w:ind w:left="288"/>
      </w:pPr>
      <w:r>
        <w:rPr>
          <w:color w:val="8C8C8C"/>
          <w:sz w:val="12"/>
        </w:rPr>
        <w:t>cf-art-103-inc-IX</w:t>
      </w:r>
      <w:r>
        <w:rPr>
          <w:color w:val="003CA0"/>
          <w:sz w:val="12"/>
        </w:rPr>
        <w:t xml:space="preserve"> | ADI 3.153</w:t>
      </w:r>
      <w:r>
        <w:rPr>
          <w:color w:val="003CA0"/>
          <w:sz w:val="12"/>
        </w:rPr>
        <w:t xml:space="preserve"> | rel. Sepúlveda Pertence</w:t>
      </w:r>
    </w:p>
    <w:p>
      <w:pPr>
        <w:ind w:left="288"/>
      </w:pPr>
      <w:r>
        <w:rPr>
          <w:color w:val="1E1E1E"/>
          <w:sz w:val="18"/>
        </w:rPr>
        <w:t xml:space="preserve">Ação direta de inconstitucionalidade: legitimação ativa: "entidade de classe de âmbito nacional": compreensão da "associação de associações" de classe: revisão da jurisprudência do Supremo Tribunal. O conceito de entidade de classe é dado pelo objetivo institucional classista, pouco importando que a eles diretamente se filiem os membros da respectiva categoria social ou agremiações que os congreguem, com a mesma finalidade, em âmbito territorial mais restrito. É entidade de classe de âmbito nacional – como tal legitimada à propositura da ação direta de inconstitucionalidade (CF, art. 103, IX) </w:t>
      </w:r>
    </w:p>
    <w:p>
      <w:pPr>
        <w:ind w:left="288"/>
      </w:pPr>
      <w:r>
        <w:rPr>
          <w:b/>
          <w:color w:val="003CA0"/>
          <w:sz w:val="16"/>
        </w:rPr>
        <w:t>[ADI 3.153 AgR, rel. min. Sepúlveda Pertence, j. 12-8-2004, P, DJ de 9-9-2005.]</w:t>
      </w:r>
    </w:p>
    <w:p>
      <w:pPr>
        <w:ind w:left="288"/>
      </w:pPr>
      <w:r>
        <w:rPr>
          <w:color w:val="8C8C8C"/>
          <w:sz w:val="12"/>
        </w:rPr>
        <w:t>cf-art-103-inc-IX</w:t>
      </w:r>
      <w:r>
        <w:rPr>
          <w:color w:val="003CA0"/>
          <w:sz w:val="12"/>
        </w:rPr>
        <w:t xml:space="preserve"> | ADI 2.797</w:t>
      </w:r>
      <w:r>
        <w:rPr>
          <w:color w:val="003CA0"/>
          <w:sz w:val="12"/>
        </w:rPr>
        <w:t xml:space="preserve"> | rel. Sepúlveda Pertence</w:t>
      </w:r>
    </w:p>
    <w:p>
      <w:pPr>
        <w:ind w:left="288"/>
      </w:pPr>
      <w:r>
        <w:rPr>
          <w:color w:val="1E1E1E"/>
          <w:sz w:val="18"/>
        </w:rPr>
        <w:t>= ADI 2.797 e ADI 2.860, rel. min. Sepúlveda Pertence, j. 15-9-2005, P, DJ de 19-12-2006 Transformação de cargos de assistente jurídico da AGU em advogado da união. (...) Preliminar de ilegitimidade ativa ad causam afastada por tratar-se a associação requerente de uma entidade representativa de uma categoria cujas atribuições receberam um tratamento constitucional específico, elevadas à qualidade de essenciais à Justiça.</w:t>
      </w:r>
    </w:p>
    <w:p>
      <w:pPr>
        <w:ind w:left="288"/>
      </w:pPr>
      <w:r>
        <w:rPr>
          <w:b/>
          <w:color w:val="003CA0"/>
          <w:sz w:val="16"/>
        </w:rPr>
        <w:t>[ADI 2.713, rel. min. Ellen Gracie, j. 18-12-2002, P, DJ de 7-3-2003.]</w:t>
      </w:r>
    </w:p>
    <w:p>
      <w:pPr>
        <w:ind w:left="288"/>
      </w:pPr>
      <w:r>
        <w:rPr>
          <w:color w:val="8C8C8C"/>
          <w:sz w:val="12"/>
        </w:rPr>
        <w:t>cf-art-103-inc-IX</w:t>
      </w:r>
      <w:r>
        <w:rPr>
          <w:color w:val="003CA0"/>
          <w:sz w:val="12"/>
        </w:rPr>
        <w:t xml:space="preserve"> | ADI 1.875</w:t>
      </w:r>
      <w:r>
        <w:rPr>
          <w:color w:val="003CA0"/>
          <w:sz w:val="12"/>
        </w:rPr>
        <w:t xml:space="preserve"> | rel. Celso de Mello</w:t>
      </w:r>
    </w:p>
    <w:p>
      <w:pPr>
        <w:ind w:left="288"/>
      </w:pPr>
      <w:r>
        <w:rPr>
          <w:color w:val="1E1E1E"/>
          <w:sz w:val="18"/>
        </w:rPr>
        <w:t>Ação direta de inconstitucionalidade. Legitimidade ativa ad causam. CF/1988, art. 103. Rol taxativo. Entidade de classe. Representação institucional de mera fração de determinada categoria funcional. Descaracterização da autora como entidade de classe. Ação direta não conhecida. (...) A Constituição da República, ao disciplinar o tema concernente a quem pode ativar, mediante ação direta, a jurisdição constitucional concentrada do STF, ampliou, significativamente, o rol – sempre taxativo – dos que dispõem da titularidade de agir em sede de controle normativo abstrato. Não se qualificam como ent</w:t>
      </w:r>
    </w:p>
    <w:p>
      <w:pPr>
        <w:ind w:left="288"/>
      </w:pPr>
      <w:r>
        <w:rPr>
          <w:b/>
          <w:color w:val="003CA0"/>
          <w:sz w:val="16"/>
        </w:rPr>
        <w:t>[ADI 1.875 AgR, rel. min. Celso de Mello, j. 20-6-2001, P, DJE de 12-12-2008.]</w:t>
      </w:r>
    </w:p>
    <w:p>
      <w:pPr>
        <w:ind w:left="288"/>
      </w:pPr>
      <w:r>
        <w:rPr>
          <w:color w:val="8C8C8C"/>
          <w:sz w:val="12"/>
        </w:rPr>
        <w:t>cf-art-103-inc-IX</w:t>
      </w:r>
      <w:r>
        <w:rPr>
          <w:color w:val="003CA0"/>
          <w:sz w:val="12"/>
        </w:rPr>
        <w:t xml:space="preserve"> | ADI 4.473</w:t>
      </w:r>
      <w:r>
        <w:rPr>
          <w:color w:val="003CA0"/>
          <w:sz w:val="12"/>
        </w:rPr>
        <w:t xml:space="preserve"> | rel. Dias Toffoli</w:t>
      </w:r>
    </w:p>
    <w:p>
      <w:pPr>
        <w:ind w:left="288"/>
      </w:pPr>
      <w:r>
        <w:rPr>
          <w:color w:val="1E1E1E"/>
          <w:sz w:val="18"/>
        </w:rPr>
        <w:t>= ADI 4.473 AgR, rel. min. Dias Toffoli, j. 20-6-2012, P, DJE de 1º-8-2012 A associação de classe, de âmbito nacional, há de comprovar a pertinência temática, ou seja, o interesse considerado o respectivo estatuto e a norma que se pretenda fulminada.</w:t>
      </w:r>
    </w:p>
    <w:p>
      <w:pPr>
        <w:ind w:left="288"/>
      </w:pPr>
      <w:r>
        <w:rPr>
          <w:b/>
          <w:color w:val="003CA0"/>
          <w:sz w:val="16"/>
        </w:rPr>
        <w:t>[ADI 1.873, rel. min. Marco Aurélio, j. 2-9-1998, P, DJ de 19-9-2003.]</w:t>
      </w:r>
    </w:p>
    <w:p>
      <w:pPr>
        <w:ind w:left="288"/>
      </w:pPr>
      <w:r>
        <w:rPr>
          <w:color w:val="8C8C8C"/>
          <w:sz w:val="12"/>
        </w:rPr>
        <w:t>cf-art-103-inc-IX</w:t>
      </w:r>
      <w:r>
        <w:rPr>
          <w:color w:val="003CA0"/>
          <w:sz w:val="12"/>
        </w:rPr>
        <w:t xml:space="preserve"> | ADI 1.565</w:t>
      </w:r>
      <w:r>
        <w:rPr>
          <w:color w:val="003CA0"/>
          <w:sz w:val="12"/>
        </w:rPr>
        <w:t xml:space="preserve"> | rel. Néri da Silveira</w:t>
      </w:r>
    </w:p>
    <w:p>
      <w:pPr>
        <w:ind w:left="288"/>
      </w:pPr>
      <w:r>
        <w:rPr>
          <w:color w:val="1E1E1E"/>
          <w:sz w:val="18"/>
        </w:rPr>
        <w:t>Ausência de comprovação do registro do estatuto como entidade sindical superior no Ministério do Trabalho, em data posterior à alteração dos estatutos, conforme determinado por despacho. Ação direta de inconstitucionalidade não conhecida por ausência de legitimidade ativa ad causam da entidade autora.</w:t>
      </w:r>
    </w:p>
    <w:p>
      <w:pPr>
        <w:ind w:left="288"/>
      </w:pPr>
      <w:r>
        <w:rPr>
          <w:b/>
          <w:color w:val="003CA0"/>
          <w:sz w:val="16"/>
        </w:rPr>
        <w:t>[ADI 1.565, rel. min. Néri da Silveira, j. 23-10-1997, P, DJ de 17-12-1999.]</w:t>
      </w:r>
    </w:p>
    <w:p>
      <w:pPr>
        <w:ind w:left="288"/>
      </w:pPr>
      <w:r>
        <w:rPr>
          <w:color w:val="8C8C8C"/>
          <w:sz w:val="12"/>
        </w:rPr>
        <w:t>cf-art-103-inc-IX</w:t>
      </w:r>
      <w:r>
        <w:rPr>
          <w:color w:val="003CA0"/>
          <w:sz w:val="12"/>
        </w:rPr>
        <w:t xml:space="preserve"> | ADI 5.034</w:t>
      </w:r>
      <w:r>
        <w:rPr>
          <w:color w:val="003CA0"/>
          <w:sz w:val="12"/>
        </w:rPr>
        <w:t xml:space="preserve"> | rel. Celso de Mello</w:t>
      </w:r>
    </w:p>
    <w:p>
      <w:pPr>
        <w:ind w:left="288"/>
      </w:pPr>
      <w:r>
        <w:rPr>
          <w:color w:val="1E1E1E"/>
          <w:sz w:val="18"/>
        </w:rPr>
        <w:t>= ADI 5.034 AgR, rel. min. Celso de Mello, j. 1º-8-2014, P, DJE de 3-9-2014 Cumpre reconhecer, desde logo, que a presente ação direta foi ajuizada pela Confederação Nacional do Transporte e pela Confederação Nacional da Indústria, que constituem entidades sindicais de grau superior, com regular existência jurídica desde 1954 (CNT) e 1938 (CNI), respectivamente, satisfazendo, em consequência, a regra inscrita no art. 103, IX, da Carta Política, que atribui legitimidade ativa às confederações sindicais para a instauração do controle abstrato de constitucionalidade.</w:t>
      </w:r>
    </w:p>
    <w:p>
      <w:pPr>
        <w:ind w:left="288"/>
      </w:pPr>
      <w:r>
        <w:rPr>
          <w:b/>
          <w:color w:val="003CA0"/>
          <w:sz w:val="16"/>
        </w:rPr>
        <w:t>[ADI 1.480 MC, rel. min. Celso de Mello, j. 4-9-1997, P, DJ de 18-5-2001.]</w:t>
      </w:r>
    </w:p>
    <w:p>
      <w:pPr>
        <w:ind w:left="288"/>
      </w:pPr>
      <w:r>
        <w:rPr>
          <w:color w:val="8C8C8C"/>
          <w:sz w:val="12"/>
        </w:rPr>
        <w:t>cf-art-103-inc-IX</w:t>
      </w:r>
      <w:r>
        <w:rPr>
          <w:color w:val="003CA0"/>
          <w:sz w:val="12"/>
        </w:rPr>
        <w:t xml:space="preserve"> | ADI 1.114</w:t>
      </w:r>
      <w:r>
        <w:rPr>
          <w:color w:val="003CA0"/>
          <w:sz w:val="12"/>
        </w:rPr>
        <w:t xml:space="preserve"> | rel. Ilmar Galvão) proposta pela mesma Confederação Nacional dos Trabalhadores Metalúrgicos (CNTM)</w:t>
      </w:r>
    </w:p>
    <w:p>
      <w:pPr>
        <w:ind w:left="288"/>
      </w:pPr>
      <w:r>
        <w:rPr>
          <w:color w:val="1E1E1E"/>
          <w:sz w:val="18"/>
        </w:rPr>
        <w:t>Recentemente, em 31-8-1994, o Plenário desta Corte, ao julgar pedido de liminar, na ADI 1.114 (rel. min. Ilmar Galvão) proposta pela mesma Confederação Nacional dos Trabalhadores Metalúrgicos (CNTM), em que essa arguia a inconstitucionalidade do art. 21 da Lei 8.906/1994 ("art. 21. Nas causas em que for parte o empregador, ou pessoa por este representada, os honorários de sucumbência são devidos aos advogados empregados"), não conheceu da ação, por entender que não ocorria o requisito da pertinência objetiva, uma vez que a circunstância de a referida confederação contar eventualmente com advog</w:t>
      </w:r>
    </w:p>
    <w:p>
      <w:pPr>
        <w:ind w:left="288"/>
      </w:pPr>
      <w:r>
        <w:rPr>
          <w:b/>
          <w:color w:val="003CA0"/>
          <w:sz w:val="16"/>
        </w:rPr>
        <w:t>[ADI 1.123 MC, rel. min. Moreira Alves, j. 1º-2-1995, P, DJ de 17-3-1995.]</w:t>
      </w:r>
    </w:p>
    <w:p>
      <w:pPr>
        <w:ind w:left="288"/>
      </w:pPr>
      <w:r>
        <w:rPr>
          <w:color w:val="8C8C8C"/>
          <w:sz w:val="12"/>
        </w:rPr>
        <w:t>cf-art-103-inc-IX</w:t>
      </w:r>
      <w:r>
        <w:rPr>
          <w:color w:val="003CA0"/>
          <w:sz w:val="12"/>
        </w:rPr>
        <w:t xml:space="preserve"> | ADI 1.194</w:t>
      </w:r>
      <w:r>
        <w:rPr>
          <w:color w:val="003CA0"/>
          <w:sz w:val="12"/>
        </w:rPr>
        <w:t xml:space="preserve"> | rel. Celso de Mello</w:t>
      </w:r>
    </w:p>
    <w:p>
      <w:pPr>
        <w:ind w:left="288"/>
      </w:pPr>
      <w:r>
        <w:rPr>
          <w:color w:val="1E1E1E"/>
          <w:sz w:val="18"/>
        </w:rPr>
        <w:t>= ADI 1.194, red. do ac. min. Cármen Lúcia, j. 20-5-2009, P, DJE de 11-9-2009 Ação direta de inconstitucionalidade. Confederação dos Servidores Públicos do Brasil (CSPB). Ausência de legitimidade ativa ad causam por falta de pertinência temática. Insuficiência, para tal efeito, da mera existência de interesse de caráter econômico-financeiro. Hipótese de incognoscibilidade. Ação direta não conhecida.</w:t>
      </w:r>
    </w:p>
    <w:p>
      <w:pPr>
        <w:ind w:left="288"/>
      </w:pPr>
      <w:r>
        <w:rPr>
          <w:b/>
          <w:color w:val="003CA0"/>
          <w:sz w:val="16"/>
        </w:rPr>
        <w:t>[ADI 1.157 MC, rel. min. Celso de Mello, j. 1º-12-1994, P, DJ de 17-11-2006.]</w:t>
      </w:r>
    </w:p>
    <w:p>
      <w:pPr>
        <w:ind w:left="288"/>
      </w:pPr>
      <w:r>
        <w:rPr>
          <w:color w:val="8C8C8C"/>
          <w:sz w:val="12"/>
        </w:rPr>
        <w:t>cf-art-103-inc-IX</w:t>
      </w:r>
      <w:r>
        <w:rPr>
          <w:color w:val="003CA0"/>
          <w:sz w:val="12"/>
        </w:rPr>
        <w:t xml:space="preserve"> | ADI 433</w:t>
      </w:r>
      <w:r>
        <w:rPr>
          <w:color w:val="003CA0"/>
          <w:sz w:val="12"/>
        </w:rPr>
        <w:t xml:space="preserve"> | rel. Néri da Silveira</w:t>
      </w:r>
    </w:p>
    <w:p>
      <w:pPr>
        <w:ind w:left="288"/>
      </w:pPr>
      <w:r>
        <w:rPr>
          <w:color w:val="1E1E1E"/>
          <w:sz w:val="18"/>
        </w:rPr>
        <w:t>Preliminarmente, não tenho como legitimadas à ação as federações sindicais autoras (Federação Nacional dos Estivadores, Federação Nacional do Conferentes e Consertadores de Carga e Descarga Vigias Portuários – Trabalhadores de Bloco e Arrumadores, e Federação dos Portuários). Cuida-se de entidades sindicais que não atendem ao requisito do inciso IX do art. 103 da Constituição, porque seu nível não é de confederação sindical. São entidades sindicais de segundo grau. Nesse sentido, as decisões do Plenário na ADI 433/DF, ADI 853-6/DF e ADI 868-4/DF.</w:t>
      </w:r>
    </w:p>
    <w:p>
      <w:pPr>
        <w:ind w:left="288"/>
      </w:pPr>
      <w:r>
        <w:rPr>
          <w:b/>
          <w:color w:val="003CA0"/>
          <w:sz w:val="16"/>
        </w:rPr>
        <w:t>[ADI 929 MC, voto do rel. min. Néri da Silveira, j. 13-10-1993, P, DJ de 20-6-1997.]</w:t>
      </w:r>
    </w:p>
    <w:p>
      <w:pPr>
        <w:ind w:left="288"/>
      </w:pPr>
      <w:r>
        <w:rPr>
          <w:color w:val="8C8C8C"/>
          <w:sz w:val="12"/>
        </w:rPr>
        <w:t>cf-art-103-inc-IX</w:t>
      </w:r>
      <w:r>
        <w:rPr>
          <w:color w:val="003CA0"/>
          <w:sz w:val="12"/>
        </w:rPr>
        <w:t xml:space="preserve"> | ADI 4.224</w:t>
      </w:r>
      <w:r>
        <w:rPr>
          <w:color w:val="003CA0"/>
          <w:sz w:val="12"/>
        </w:rPr>
        <w:t xml:space="preserve"> | rel. Dias Toffoli</w:t>
      </w:r>
    </w:p>
    <w:p>
      <w:pPr>
        <w:ind w:left="288"/>
      </w:pPr>
      <w:r>
        <w:rPr>
          <w:color w:val="1E1E1E"/>
          <w:sz w:val="18"/>
        </w:rPr>
        <w:t>= ADI 4.224 AgR, rel. min. Dias Toffoli, j. 1º-8-2011, P, DJE de 8-9-2011</w:t>
      </w:r>
    </w:p>
    <w:p>
      <w:pPr>
        <w:ind w:left="288"/>
      </w:pPr>
      <w:r>
        <w:rPr>
          <w:color w:val="8C8C8C"/>
          <w:sz w:val="12"/>
        </w:rPr>
        <w:t>cf-art-103-par-1</w:t>
      </w:r>
      <w:r>
        <w:rPr>
          <w:color w:val="003CA0"/>
          <w:sz w:val="12"/>
        </w:rPr>
        <w:t xml:space="preserve"> | ADI 55</w:t>
      </w:r>
      <w:r>
        <w:rPr>
          <w:color w:val="003CA0"/>
          <w:sz w:val="12"/>
        </w:rPr>
        <w:t xml:space="preserve"> | rel. Octavio Gallotti</w:t>
      </w:r>
    </w:p>
    <w:p>
      <w:pPr>
        <w:ind w:left="288"/>
      </w:pPr>
      <w:r>
        <w:rPr>
          <w:color w:val="1E1E1E"/>
          <w:sz w:val="18"/>
        </w:rPr>
        <w:t>(...) o Tribunal decidiu, por unanimidade, que nos julgamentos das ações diretas de inconstitucionalidade não está impedido o ministro que na condição de ministro de Estado, haja referendado a lei ou o ato normativo objeto da ação. Também por unanimidade o Tribunal decidiu que está impedido nas ações diretas de inconstitucionalidade o ministro que, na condição de PGR, haja recusado representação para ajuizar ação direta de inconstitucionalidade.</w:t>
      </w:r>
    </w:p>
    <w:p>
      <w:pPr>
        <w:ind w:left="288"/>
      </w:pPr>
      <w:r>
        <w:rPr>
          <w:b/>
          <w:color w:val="003CA0"/>
          <w:sz w:val="16"/>
        </w:rPr>
        <w:t>[ADI 55 MC-QO, rel. min. Octavio Gallotti, j. 31-5-1989, P, DJ de 16-3-1990.]</w:t>
      </w:r>
    </w:p>
    <w:p>
      <w:pPr>
        <w:ind w:left="144"/>
      </w:pPr>
      <w:r>
        <w:rPr>
          <w:b/>
          <w:color w:val="B45A00"/>
          <w:sz w:val="16"/>
        </w:rPr>
        <w:t>JULGADOS CORRELATOS</w:t>
      </w:r>
    </w:p>
    <w:p>
      <w:pPr>
        <w:ind w:left="288"/>
      </w:pPr>
      <w:r>
        <w:rPr>
          <w:color w:val="8C8C8C"/>
          <w:sz w:val="12"/>
        </w:rPr>
        <w:t>cf-art-103-par-1</w:t>
      </w:r>
      <w:r>
        <w:rPr>
          <w:color w:val="003CA0"/>
          <w:sz w:val="12"/>
        </w:rPr>
        <w:t xml:space="preserve"> | RCL 4.453</w:t>
      </w:r>
      <w:r>
        <w:rPr>
          <w:color w:val="003CA0"/>
          <w:sz w:val="12"/>
        </w:rPr>
        <w:t xml:space="preserve"> | rel. Ellen Gracie</w:t>
      </w:r>
    </w:p>
    <w:p>
      <w:pPr>
        <w:ind w:left="288"/>
      </w:pPr>
      <w:r>
        <w:rPr>
          <w:color w:val="1E1E1E"/>
          <w:sz w:val="18"/>
        </w:rPr>
        <w:t>Ausência de legitimidade do MPT para atuar perante a Suprema Corte. Atribuição privativa do PGR. (...) Incumbe ao PGR exercer as funções do Ministério Público junto ao STF, nos termos do art. 46 da LC 75/1993. Existência de precedentes do Tribunal em casos análogos. O exercício das atribuições do MPT se circunscreve aos órgãos da Justiça do Trabalho, consoante se infere dos arts. 83, 90, 107 e 110 da LC 75/1993.</w:t>
      </w:r>
    </w:p>
    <w:p>
      <w:pPr>
        <w:ind w:left="288"/>
      </w:pPr>
      <w:r>
        <w:rPr>
          <w:b/>
          <w:color w:val="003CA0"/>
          <w:sz w:val="16"/>
        </w:rPr>
        <w:t>[Rcl 4.453 MC-AgR-AgR e Rcl 4.801 MC-AgR, rel. min. Ellen Gracie, j. 4-3-2009, P, DJE de 27-3-2009.]</w:t>
      </w:r>
    </w:p>
    <w:p>
      <w:pPr>
        <w:ind w:left="288"/>
      </w:pPr>
      <w:r>
        <w:rPr>
          <w:color w:val="8C8C8C"/>
          <w:sz w:val="12"/>
        </w:rPr>
        <w:t>cf-art-103-par-1</w:t>
      </w:r>
      <w:r>
        <w:rPr>
          <w:color w:val="003CA0"/>
          <w:sz w:val="12"/>
        </w:rPr>
        <w:t xml:space="preserve"> | RCL 7.318</w:t>
      </w:r>
      <w:r>
        <w:rPr>
          <w:color w:val="003CA0"/>
          <w:sz w:val="12"/>
        </w:rPr>
        <w:t xml:space="preserve"> | rel. Dias Toffoli</w:t>
      </w:r>
    </w:p>
    <w:p>
      <w:pPr>
        <w:ind w:left="288"/>
      </w:pPr>
      <w:r>
        <w:rPr>
          <w:color w:val="1E1E1E"/>
          <w:sz w:val="18"/>
        </w:rPr>
        <w:t>= Rcl 7.318 AgR, rel. min. Dias Toffoli, j. 23-5-2012, P, DJE de 26-10-2012 Vide Rcl 7.101, rel. min. Cármen Lúcia, j. 24-2-2011, P, DJE de 9-8-2011 PGR. Audição. O preceito inserto no § 1º do art. 103 da CF há de merecer interpretação teleológica. Visa ao conhecimento da matéria pelo Ministério Público, não implicando, necessariamente, seja-lhe enviado automaticamente todo e qualquer processo. O pronunciamento do órgão pode ocorrer na assentada em que apreciado o recurso.</w:t>
      </w:r>
    </w:p>
    <w:p>
      <w:pPr>
        <w:ind w:left="288"/>
      </w:pPr>
      <w:r>
        <w:rPr>
          <w:b/>
          <w:color w:val="003CA0"/>
          <w:sz w:val="16"/>
        </w:rPr>
        <w:t>[AI 158.725 AgR-ED, rel. min. Marco Aurélio, j. 18-12-1995, 2ª T, DJ de 8-3-1996.]</w:t>
      </w:r>
    </w:p>
    <w:p>
      <w:pPr>
        <w:ind w:left="288"/>
      </w:pPr>
      <w:r>
        <w:rPr>
          <w:color w:val="8C8C8C"/>
          <w:sz w:val="12"/>
        </w:rPr>
        <w:t>cf-art-103-par-2</w:t>
      </w:r>
      <w:r>
        <w:rPr>
          <w:color w:val="003CA0"/>
          <w:sz w:val="12"/>
        </w:rPr>
        <w:t xml:space="preserve"> | ADI 1.458</w:t>
      </w:r>
      <w:r>
        <w:rPr>
          <w:color w:val="003CA0"/>
          <w:sz w:val="12"/>
        </w:rPr>
        <w:t xml:space="preserve"> | rel. Celso de Mello</w:t>
      </w:r>
    </w:p>
    <w:p>
      <w:pPr>
        <w:ind w:left="288"/>
      </w:pPr>
      <w:r>
        <w:rPr>
          <w:color w:val="1E1E1E"/>
          <w:sz w:val="18"/>
        </w:rPr>
        <w:t>O desrespeito à Constituição tanto pode ocorrer mediante ação estatal quanto mediante inércia governamental. A situação de inconstitucionalidade pode derivar de um comportamento ativo do poder público, que age ou edita normas em desacordo com o que dispõe a Constituição, ofendendo-lhe, assim, os preceitos e os princípios que nela se acham consignados. Essa conduta estatal, que importa em um facere (atuação positiva), gera a inconstitucionalidade por ação. Se o Estado deixar de adotar as medidas necessárias à realização concreta dos preceitos da Constituição, em ordem a torná-los efetivos, oper</w:t>
      </w:r>
    </w:p>
    <w:p>
      <w:pPr>
        <w:ind w:left="288"/>
      </w:pPr>
      <w:r>
        <w:rPr>
          <w:b/>
          <w:color w:val="003CA0"/>
          <w:sz w:val="16"/>
        </w:rPr>
        <w:t>[ADI 1.458 MC, rel. min. Celso de Mello, j. 23-5-1996, P, DJ de 29-9-1996.]</w:t>
      </w:r>
    </w:p>
    <w:p>
      <w:pPr>
        <w:ind w:left="288"/>
      </w:pPr>
      <w:r>
        <w:rPr>
          <w:color w:val="8C8C8C"/>
          <w:sz w:val="12"/>
        </w:rPr>
        <w:t>cf-art-103-par-2</w:t>
      </w:r>
      <w:r>
        <w:rPr>
          <w:color w:val="003CA0"/>
          <w:sz w:val="12"/>
        </w:rPr>
        <w:t xml:space="preserve"> | ADI 267</w:t>
      </w:r>
      <w:r>
        <w:rPr>
          <w:color w:val="003CA0"/>
          <w:sz w:val="12"/>
        </w:rPr>
        <w:t xml:space="preserve"> | rel. Celso de Mello</w:t>
      </w:r>
    </w:p>
    <w:p>
      <w:pPr>
        <w:ind w:left="288"/>
      </w:pPr>
      <w:r>
        <w:rPr>
          <w:color w:val="1E1E1E"/>
          <w:sz w:val="18"/>
        </w:rPr>
        <w:t>Inconstitucionalidade por omissão. Bancada paulista na Câmara Federal. Elevação imediata para setenta deputados federais. Função do STF no controle concentrado de constitucionalidade. Sua atuação como legislador negativo. CF (art. 45, § 1º). Regra que não é autoaplicável. Mora constitucional. Impossibilidade de elevação automática da representação parlamentar.</w:t>
      </w:r>
    </w:p>
    <w:p>
      <w:pPr>
        <w:ind w:left="288"/>
      </w:pPr>
      <w:r>
        <w:rPr>
          <w:b/>
          <w:color w:val="003CA0"/>
          <w:sz w:val="16"/>
        </w:rPr>
        <w:t>[ADI 267 MC, rel. min. Celso de Mello, j. 25-10-1990, P, DJ de 19-5-1995.]</w:t>
      </w:r>
    </w:p>
    <w:p>
      <w:pPr>
        <w:ind w:left="288"/>
      </w:pPr>
      <w:r>
        <w:rPr>
          <w:color w:val="8C8C8C"/>
          <w:sz w:val="12"/>
        </w:rPr>
        <w:t>cf-art-103-par-2</w:t>
      </w:r>
      <w:r>
        <w:rPr>
          <w:color w:val="003CA0"/>
          <w:sz w:val="12"/>
        </w:rPr>
        <w:t xml:space="preserve"> | ADI 23</w:t>
      </w:r>
      <w:r>
        <w:rPr>
          <w:color w:val="003CA0"/>
          <w:sz w:val="12"/>
        </w:rPr>
        <w:t xml:space="preserve"> | rel. Sydney Sanches</w:t>
      </w:r>
    </w:p>
    <w:p>
      <w:pPr>
        <w:ind w:left="288"/>
      </w:pPr>
      <w:r>
        <w:rPr>
          <w:color w:val="1E1E1E"/>
          <w:sz w:val="18"/>
        </w:rPr>
        <w:t>A audiência do advogado-geral da União, prevista no art. 103, § 3º, da CF de 1988, é necessária na ação direta de inconstitucionalidade, em tese, de norma legal, ou ato normativo (já existentes), para se manifestar sobre o ato ou texto impugnado. Não, porém, na ação direta de inconstitucionalidade por omissão, prevista no § 2º do mesmo dispositivo, pois nesta se pressupõe, exatamente, a inexistência de norma ou ato normativo.</w:t>
      </w:r>
    </w:p>
    <w:p>
      <w:pPr>
        <w:ind w:left="288"/>
      </w:pPr>
      <w:r>
        <w:rPr>
          <w:b/>
          <w:color w:val="003CA0"/>
          <w:sz w:val="16"/>
        </w:rPr>
        <w:t>[ADI 23 QO, rel. min. Sydney Sanches, j. 4-8-1989, P, DJ de 1º-9-1989.]</w:t>
      </w:r>
    </w:p>
    <w:p>
      <w:pPr>
        <w:ind w:left="288"/>
      </w:pPr>
      <w:r>
        <w:rPr>
          <w:color w:val="8C8C8C"/>
          <w:sz w:val="12"/>
        </w:rPr>
        <w:t>cf-art-103-par-2</w:t>
      </w:r>
      <w:r>
        <w:rPr>
          <w:color w:val="003CA0"/>
          <w:sz w:val="12"/>
        </w:rPr>
        <w:t xml:space="preserve"> | RE 485.087</w:t>
      </w:r>
      <w:r>
        <w:rPr>
          <w:color w:val="003CA0"/>
          <w:sz w:val="12"/>
        </w:rPr>
        <w:t xml:space="preserve"> | rel. Cármen Lúcia</w:t>
      </w:r>
    </w:p>
    <w:p>
      <w:pPr>
        <w:ind w:left="288"/>
      </w:pPr>
      <w:r>
        <w:rPr>
          <w:color w:val="1E1E1E"/>
          <w:sz w:val="18"/>
        </w:rPr>
        <w:t>Não sendo possível, pela via do controle abstrato, obrigar o ente público a tomar providências legislativas necessárias para prover omissão declarada inconstitucional – na espécie, o encaminhamento de projeto de lei de revisão geral anual dos vencimentos dos servidores públicos –, com mais razão não poderia fazê-lo o Poder Judiciário, por via oblíqua, no controle concreto de constitucionalidade, deferindo pedido de indenização para recompor perdas salariais em face da inflação.</w:t>
      </w:r>
    </w:p>
    <w:p>
      <w:pPr>
        <w:ind w:left="288"/>
      </w:pPr>
      <w:r>
        <w:rPr>
          <w:b/>
          <w:color w:val="003CA0"/>
          <w:sz w:val="16"/>
        </w:rPr>
        <w:t>[RE 485.087 AgR, rel. min. Cármen Lúcia, j. 21-11-2006, 1ª T, DJ de 7-12-2006.]</w:t>
      </w:r>
    </w:p>
    <w:p>
      <w:pPr>
        <w:ind w:left="288"/>
      </w:pPr>
      <w:r>
        <w:rPr>
          <w:color w:val="8C8C8C"/>
          <w:sz w:val="12"/>
        </w:rPr>
        <w:t>cf-art-103-par-2</w:t>
      </w:r>
      <w:r>
        <w:rPr>
          <w:color w:val="003CA0"/>
          <w:sz w:val="12"/>
        </w:rPr>
        <w:t xml:space="preserve"> | RCL 1.017</w:t>
      </w:r>
      <w:r>
        <w:rPr>
          <w:color w:val="003CA0"/>
          <w:sz w:val="12"/>
        </w:rPr>
        <w:t xml:space="preserve"> | rel. Sepúlveda Pertence</w:t>
      </w:r>
    </w:p>
    <w:p>
      <w:pPr>
        <w:ind w:left="288"/>
      </w:pPr>
      <w:r>
        <w:rPr>
          <w:color w:val="1E1E1E"/>
          <w:sz w:val="18"/>
        </w:rPr>
        <w:t>Reclamação: usurpação da competência do STF (CF, art. 102, I, l): ação popular que, pela causa de pedir e pelo pedido de provimento mandamental formulado, configura hipótese reservada à ação direta de inconstitucionalidade por omissão de medidas administrativas, de privativa competência originária do Supremo Tribunal: procedência.</w:t>
      </w:r>
    </w:p>
    <w:p>
      <w:pPr>
        <w:ind w:left="288"/>
      </w:pPr>
      <w:r>
        <w:rPr>
          <w:b/>
          <w:color w:val="003CA0"/>
          <w:sz w:val="16"/>
        </w:rPr>
        <w:t>[Rcl 1.017, rel. min. Sepúlveda Pertence, j. 7-4-2005, P, DJ de 3-6-2005.]</w:t>
      </w:r>
    </w:p>
    <w:p>
      <w:pPr>
        <w:ind w:left="288"/>
      </w:pPr>
      <w:r>
        <w:rPr>
          <w:color w:val="8C8C8C"/>
          <w:sz w:val="12"/>
        </w:rPr>
        <w:t>cf-art-103-par-2</w:t>
      </w:r>
      <w:r>
        <w:rPr>
          <w:color w:val="003CA0"/>
          <w:sz w:val="12"/>
        </w:rPr>
        <w:t xml:space="preserve"> | AO 1.725</w:t>
      </w:r>
      <w:r>
        <w:rPr>
          <w:color w:val="003CA0"/>
          <w:sz w:val="12"/>
        </w:rPr>
        <w:t xml:space="preserve"> | rel. Luiz Fux</w:t>
      </w:r>
    </w:p>
    <w:p>
      <w:pPr>
        <w:ind w:left="288"/>
      </w:pPr>
      <w:r>
        <w:rPr>
          <w:color w:val="1E1E1E"/>
          <w:sz w:val="18"/>
        </w:rPr>
        <w:t>Vide AO 1.725 AgR, rel. min. Luiz Fux, j. 24-2-2015, 1ª T, DJE de 11-3-2015 Impossibilidade jurídica do pedido de conversão do mandado de injunção em ação direta de inconstitucionalidade por omissão.</w:t>
      </w:r>
    </w:p>
    <w:p>
      <w:pPr>
        <w:ind w:left="288"/>
      </w:pPr>
      <w:r>
        <w:rPr>
          <w:b/>
          <w:color w:val="003CA0"/>
          <w:sz w:val="16"/>
        </w:rPr>
        <w:t>[MI 395 QO, rel. min. Moreira Alves, j. 27-5-1992, P, DJ de 11-9-1992.]</w:t>
      </w:r>
    </w:p>
    <w:p>
      <w:pPr>
        <w:ind w:left="144"/>
      </w:pPr>
      <w:r>
        <w:rPr>
          <w:b/>
          <w:color w:val="B45A00"/>
          <w:sz w:val="16"/>
        </w:rPr>
        <w:t>CONTROLE CONCENTRADO</w:t>
      </w:r>
    </w:p>
    <w:p>
      <w:pPr>
        <w:ind w:left="288"/>
      </w:pPr>
      <w:r>
        <w:rPr>
          <w:color w:val="8C8C8C"/>
          <w:sz w:val="12"/>
        </w:rPr>
        <w:t>cf-art-103-par-3</w:t>
      </w:r>
      <w:r>
        <w:rPr>
          <w:color w:val="003CA0"/>
          <w:sz w:val="12"/>
        </w:rPr>
        <w:t xml:space="preserve"> | ADI 4.983</w:t>
      </w:r>
      <w:r>
        <w:rPr>
          <w:color w:val="003CA0"/>
          <w:sz w:val="12"/>
        </w:rPr>
        <w:t xml:space="preserve"> | rel. Marco Aurélio</w:t>
      </w:r>
    </w:p>
    <w:p>
      <w:pPr>
        <w:ind w:left="288"/>
      </w:pPr>
      <w:r>
        <w:rPr>
          <w:color w:val="1E1E1E"/>
          <w:sz w:val="18"/>
        </w:rPr>
        <w:t>Consoante dispõe a norma imperativa do § 3º do art. 103 do Diploma Maior, incumbe ao advogado-geral da União a defesa do ato ou texto impugnado na ação direta de inconstitucionalidade, não lhe cabendo emissão de simples parecer, a ponto de vir a concluir pela pecha de inconstitucionalidade.</w:t>
        <w:br/>
        <w:t xml:space="preserve">[ADI 4.983, rel. min. Marco Aurélio, j. 6-10-2016, P, DJE de 27-4-2017.] O múnus a que se refere o imperativo constitucional (CF, art. 103, § 3º) deve ser entendido com temperamentos. O advogado-geral da União não está obrigado a defender tese jurídica se sobre ela esta Corte já fixou entendimento pela sua </w:t>
      </w:r>
    </w:p>
    <w:p>
      <w:pPr>
        <w:ind w:left="288"/>
      </w:pPr>
      <w:r>
        <w:rPr>
          <w:b/>
          <w:color w:val="003CA0"/>
          <w:sz w:val="16"/>
        </w:rPr>
        <w:t>[ADI 1.616, rel. min. Maurício Corrêa, j. 24-5-2001, P, DJ de 24-8-2001.]</w:t>
      </w:r>
    </w:p>
    <w:p>
      <w:pPr>
        <w:ind w:left="288"/>
      </w:pPr>
      <w:r>
        <w:rPr>
          <w:color w:val="8C8C8C"/>
          <w:sz w:val="12"/>
        </w:rPr>
        <w:t>cf-art-103-par-3</w:t>
      </w:r>
      <w:r>
        <w:rPr>
          <w:color w:val="003CA0"/>
          <w:sz w:val="12"/>
        </w:rPr>
        <w:t xml:space="preserve"> | ADI 3.916</w:t>
      </w:r>
      <w:r>
        <w:rPr>
          <w:color w:val="003CA0"/>
          <w:sz w:val="12"/>
        </w:rPr>
        <w:t xml:space="preserve"> | rel. Eros Grau</w:t>
      </w:r>
    </w:p>
    <w:p>
      <w:pPr>
        <w:ind w:left="288"/>
      </w:pPr>
      <w:r>
        <w:rPr>
          <w:color w:val="1E1E1E"/>
          <w:sz w:val="18"/>
        </w:rPr>
        <w:t>Vide ADI 3.916, rel. min. Eros Grau, j. 3-2-2010, P, DJE de 14-5-2010 A função processual do advogado-geral da União, nos processos de controle de constitucionalidade por via de ação, é eminentemente defensiva. Ocupa, dentro da estrutura formal desse processo objetivo, a posição de órgão agente, posto que lhe não compete opinar e nem exercer a função fiscalizadora já atribuída ao PGR. Atuando como verdadeiro curador (defensor legis) das normas infraconstitucionais, inclusive daquelas de origem estadual, e velando pela preservação de sua presunção de constitucionalidade e de sua integridade e v</w:t>
      </w:r>
    </w:p>
    <w:p>
      <w:pPr>
        <w:ind w:left="288"/>
      </w:pPr>
      <w:r>
        <w:rPr>
          <w:b/>
          <w:color w:val="003CA0"/>
          <w:sz w:val="16"/>
        </w:rPr>
        <w:t>[ADI 1.254 AgR, rel. min. Celso de Mello, j. 14-8-1996, P, DJ de 19-9-1997.]</w:t>
      </w:r>
    </w:p>
    <w:p>
      <w:pPr>
        <w:ind w:left="288"/>
      </w:pPr>
      <w:r>
        <w:rPr>
          <w:color w:val="8C8C8C"/>
          <w:sz w:val="12"/>
        </w:rPr>
        <w:t>cf-art-103-par-3</w:t>
      </w:r>
      <w:r>
        <w:rPr>
          <w:color w:val="003CA0"/>
          <w:sz w:val="12"/>
        </w:rPr>
        <w:t xml:space="preserve"> | ADI 3.413</w:t>
      </w:r>
      <w:r>
        <w:rPr>
          <w:color w:val="003CA0"/>
          <w:sz w:val="12"/>
        </w:rPr>
        <w:t xml:space="preserve"> | rel. Marco Aurélio</w:t>
      </w:r>
    </w:p>
    <w:p>
      <w:pPr>
        <w:ind w:left="288"/>
      </w:pPr>
      <w:r>
        <w:rPr>
          <w:color w:val="1E1E1E"/>
          <w:sz w:val="18"/>
        </w:rPr>
        <w:t>= ADI 3.413, rel. min. Marco Aurélio, j. 1º-6-2011, P, DJE de 1º-8-2011</w:t>
      </w:r>
    </w:p>
    <w:p>
      <w:pPr>
        <w:ind w:left="288"/>
      </w:pPr>
      <w:r>
        <w:rPr>
          <w:color w:val="8C8C8C"/>
          <w:sz w:val="12"/>
        </w:rPr>
        <w:t>cf-art-103-par-4</w:t>
      </w:r>
    </w:p>
    <w:p>
      <w:pPr>
        <w:ind w:left="288"/>
      </w:pPr>
      <w:r>
        <w:rPr>
          <w:color w:val="1E1E1E"/>
          <w:sz w:val="18"/>
        </w:rPr>
        <w:t>Art. 103-A. O Supremo Tribunal Federal poderá, de ofício ou por provocação, mediante decisão de dois terços dos seus membros, após reiteradas decisões sobre matéria constitucional, aprovar súmula que, a partir de sua publicação na imprensa oficial, terá efeito vinculante em relação aos demais órgãos do Poder Judiciário e à administração pública direta e indireta, nas esferas federal, estadual e municipal, bem como proceder à sua revisão ou cancelamento, na forma estabelecida em lei. (Incluído pela EC 45/2004)</w:t>
      </w:r>
    </w:p>
    <w:p>
      <w:pPr>
        <w:ind w:left="288"/>
      </w:pPr>
      <w:r>
        <w:rPr>
          <w:color w:val="8C8C8C"/>
          <w:sz w:val="12"/>
        </w:rPr>
        <w:t>cf-art-103-par-4</w:t>
      </w:r>
      <w:r>
        <w:rPr>
          <w:color w:val="003CA0"/>
          <w:sz w:val="12"/>
        </w:rPr>
        <w:t xml:space="preserve"> | ADPF 147</w:t>
      </w:r>
      <w:r>
        <w:rPr>
          <w:color w:val="003CA0"/>
          <w:sz w:val="12"/>
        </w:rPr>
        <w:t xml:space="preserve"> | rel. Cármen Lúcia</w:t>
      </w:r>
    </w:p>
    <w:p>
      <w:pPr>
        <w:ind w:left="288"/>
      </w:pPr>
      <w:r>
        <w:rPr>
          <w:color w:val="1E1E1E"/>
          <w:sz w:val="18"/>
        </w:rPr>
        <w:t>A arguição de descumprimento de preceito fundamental não é a via adequada para se obter a interpretação, a revisão ou o cancelamento de súmula vinculante.</w:t>
      </w:r>
    </w:p>
    <w:p>
      <w:pPr>
        <w:ind w:left="288"/>
      </w:pPr>
      <w:r>
        <w:rPr>
          <w:b/>
          <w:color w:val="003CA0"/>
          <w:sz w:val="16"/>
        </w:rPr>
        <w:t>[ADPF 147 AgR, rel. min. Cármen Lúcia, j. 24-3-2011, P, DJE de 8-4-2011.]</w:t>
      </w:r>
    </w:p>
    <w:p>
      <w:pPr>
        <w:ind w:left="288"/>
      </w:pPr>
      <w:r>
        <w:rPr>
          <w:color w:val="8C8C8C"/>
          <w:sz w:val="12"/>
        </w:rPr>
        <w:t>cf-art-103-par-4</w:t>
      </w:r>
      <w:r>
        <w:rPr>
          <w:color w:val="003CA0"/>
          <w:sz w:val="12"/>
        </w:rPr>
        <w:t xml:space="preserve"> | ADPF 80</w:t>
      </w:r>
      <w:r>
        <w:rPr>
          <w:color w:val="003CA0"/>
          <w:sz w:val="12"/>
        </w:rPr>
        <w:t xml:space="preserve"> | rel. Eros Grau</w:t>
      </w:r>
    </w:p>
    <w:p>
      <w:pPr>
        <w:ind w:left="288"/>
      </w:pPr>
      <w:r>
        <w:rPr>
          <w:color w:val="1E1E1E"/>
          <w:sz w:val="18"/>
        </w:rPr>
        <w:t>Vide ADPF 80 AgR, rel. min. Eros Grau, j. 12-6-2006, P, DJ de 10-8-2006</w:t>
      </w:r>
    </w:p>
    <w:p>
      <w:pPr>
        <w:ind w:left="144"/>
      </w:pPr>
      <w:r>
        <w:rPr>
          <w:b/>
          <w:color w:val="B45A00"/>
          <w:sz w:val="16"/>
        </w:rPr>
        <w:t>JULGADOS CORRELATOS</w:t>
      </w:r>
    </w:p>
    <w:p>
      <w:pPr>
        <w:ind w:left="288"/>
      </w:pPr>
      <w:r>
        <w:rPr>
          <w:color w:val="8C8C8C"/>
          <w:sz w:val="12"/>
        </w:rPr>
        <w:t>cf-art-103-par-4</w:t>
      </w:r>
      <w:r>
        <w:rPr>
          <w:color w:val="003CA0"/>
          <w:sz w:val="12"/>
        </w:rPr>
        <w:t xml:space="preserve"> | RCL 10.707</w:t>
      </w:r>
      <w:r>
        <w:rPr>
          <w:color w:val="003CA0"/>
          <w:sz w:val="12"/>
        </w:rPr>
        <w:t xml:space="preserve"> | rel. Celso de Mello</w:t>
      </w:r>
    </w:p>
    <w:p>
      <w:pPr>
        <w:ind w:left="288"/>
      </w:pPr>
      <w:r>
        <w:rPr>
          <w:color w:val="1E1E1E"/>
          <w:sz w:val="18"/>
        </w:rPr>
        <w:t>A súmula (...) (excetuada aquela de perfil vinculante), ao contrário das notas que tipificam o ato normativo, não se reveste de compulsoriedade na sua observância externa nem de cogência na sua aplicação por terceiros. A súmula comum, na realidade, configura mero instrumento formal de exteriorização interpretativa de uma dada orientação jurisprudencial. A súmula comum, portanto, tendo em vista a tese jurisprudencial não vinculante que nela se acha consagrada, encerra, apenas, um resultado paradigmático para decisões futuras. A jurisprudência compendiada na formulação sumular, desse modo, não s</w:t>
      </w:r>
    </w:p>
    <w:p>
      <w:pPr>
        <w:ind w:left="288"/>
      </w:pPr>
      <w:r>
        <w:rPr>
          <w:b/>
          <w:color w:val="003CA0"/>
          <w:sz w:val="16"/>
        </w:rPr>
        <w:t>[Rcl 10.707 AgR, voto do rel. min. Celso de Mello, j. 28-5-2014, P, DJE de 30-10-2014.]</w:t>
      </w:r>
    </w:p>
    <w:p>
      <w:pPr>
        <w:ind w:left="288"/>
      </w:pPr>
      <w:r>
        <w:rPr>
          <w:color w:val="8C8C8C"/>
          <w:sz w:val="12"/>
        </w:rPr>
        <w:t>cf-art-103-par-4</w:t>
      </w:r>
      <w:r>
        <w:rPr>
          <w:color w:val="003CA0"/>
          <w:sz w:val="12"/>
        </w:rPr>
        <w:t xml:space="preserve"> | RCL 21.214</w:t>
      </w:r>
      <w:r>
        <w:rPr>
          <w:color w:val="003CA0"/>
          <w:sz w:val="12"/>
        </w:rPr>
        <w:t xml:space="preserve"> | rel. Celso de Mello</w:t>
      </w:r>
    </w:p>
    <w:p>
      <w:pPr>
        <w:ind w:left="288"/>
      </w:pPr>
      <w:r>
        <w:rPr>
          <w:color w:val="1E1E1E"/>
          <w:sz w:val="18"/>
        </w:rPr>
        <w:t>= Rcl 21.214, rel. min. Celso de Mello, j. 18-12-2015, dec. monocrática, DJE de 1º-2-2016 Com efeito, a tese de que o julgamento dos recursos interpostos contra decisões proferidas antes da edição da súmula não deve obrigatoriamente observar o enunciado sumular (após sua publicação na imprensa oficial), data vênia, não se mostra em consonância com o disposto no art. 103-A, caput, da CF, que impõe o efeito vinculante a todos os órgãos do Poder Judiciário, a partir da publicação da súmula na imprensa oficial.</w:t>
      </w:r>
    </w:p>
    <w:p>
      <w:pPr>
        <w:ind w:left="288"/>
      </w:pPr>
      <w:r>
        <w:rPr>
          <w:b/>
          <w:color w:val="003CA0"/>
          <w:sz w:val="16"/>
        </w:rPr>
        <w:t>[Rcl 6.541 e Rcl 6.856, rel. min. Ellen Gracie, j. 25-6-2009, P, DJE de 4-9-2009.]</w:t>
      </w:r>
    </w:p>
    <w:p>
      <w:pPr>
        <w:ind w:left="288"/>
      </w:pPr>
      <w:r>
        <w:rPr>
          <w:color w:val="8C8C8C"/>
          <w:sz w:val="12"/>
        </w:rPr>
        <w:t>cf-art-103-par-4</w:t>
      </w:r>
      <w:r>
        <w:rPr>
          <w:color w:val="003CA0"/>
          <w:sz w:val="12"/>
        </w:rPr>
        <w:t xml:space="preserve"> | RCL 7.101</w:t>
      </w:r>
      <w:r>
        <w:rPr>
          <w:color w:val="003CA0"/>
          <w:sz w:val="12"/>
        </w:rPr>
        <w:t xml:space="preserve"> | rel. Cármen Lúcia</w:t>
      </w:r>
    </w:p>
    <w:p>
      <w:pPr>
        <w:ind w:left="288"/>
      </w:pPr>
      <w:r>
        <w:rPr>
          <w:color w:val="1E1E1E"/>
          <w:sz w:val="18"/>
        </w:rPr>
        <w:t>= Rcl 7.101, rel. min. Cármen Lúcia, j. 24-2-2011, P, DJE de 9-8-2011 A Lei 11.417/2006 define os legitimados para a edição, revisão e cancelamento de enunciado de súmula vinculante (art. 3º). O rito estabelecido nesse texto normativo não prevê a impugnação dos enunciados mediante recurso extraordinário.</w:t>
      </w:r>
    </w:p>
    <w:p>
      <w:pPr>
        <w:ind w:left="288"/>
      </w:pPr>
      <w:r>
        <w:rPr>
          <w:b/>
          <w:color w:val="003CA0"/>
          <w:sz w:val="16"/>
        </w:rPr>
        <w:t>[Pet 4.556 AgR, rel. min. Eros Grau, j. 25-6-2009, P, DJE de 21-8-2009.]</w:t>
      </w:r>
    </w:p>
    <w:p>
      <w:pPr>
        <w:ind w:left="288"/>
      </w:pPr>
      <w:r>
        <w:rPr>
          <w:color w:val="8C8C8C"/>
          <w:sz w:val="12"/>
        </w:rPr>
        <w:t>cf-art-103-par-4</w:t>
      </w:r>
    </w:p>
    <w:p>
      <w:pPr>
        <w:ind w:left="288"/>
      </w:pPr>
      <w:r>
        <w:rPr>
          <w:color w:val="1E1E1E"/>
          <w:sz w:val="18"/>
        </w:rPr>
        <w:t>§ 1º A súmula terá por objetivo a validade, a interpretação e a eficácia de normas determinadas, acerca das quais haja controvérsia atual entre órgãos judiciários ou entre esses e a administração pública que acarrete grave insegurança jurídica e relevante multiplicação de processos sobre questão idêntica. (Incluído pela EC 45/2004)</w:t>
      </w:r>
    </w:p>
    <w:p>
      <w:pPr>
        <w:ind w:left="288"/>
      </w:pPr>
      <w:r>
        <w:rPr>
          <w:color w:val="8C8C8C"/>
          <w:sz w:val="12"/>
        </w:rPr>
        <w:t>cf-art-103-par-2</w:t>
      </w:r>
      <w:r>
        <w:rPr>
          <w:color w:val="003CA0"/>
          <w:sz w:val="12"/>
        </w:rPr>
        <w:t xml:space="preserve"> | MS 31.697</w:t>
      </w:r>
      <w:r>
        <w:rPr>
          <w:color w:val="003CA0"/>
          <w:sz w:val="12"/>
        </w:rPr>
        <w:t xml:space="preserve"> | rel. Dias Toffoli</w:t>
      </w:r>
    </w:p>
    <w:p>
      <w:pPr>
        <w:ind w:left="288"/>
      </w:pPr>
      <w:r>
        <w:rPr>
          <w:color w:val="1E1E1E"/>
          <w:sz w:val="18"/>
        </w:rPr>
        <w:t>Competência do CNMP para promover a fiscalização dos princípios constitucionais da administração pública, consagrados no art. 37, caput, da CF, entre eles o princípio da moralidade, que rege a vedação ao nepotismo. É inexequível a precisão dos interesses públicos e privados envolvidos, ressalvando-se, ademais, a obrigatoriedade de o poder público pautar seus atos pelo respeito aos princípios da administração pública, em especial, no caso dos autos, aos da legalidade e da impessoalidade (art. 37, caput, da CF/1988). A edição de atos regulamentares ou vinculantes por autoridade competente para a</w:t>
      </w:r>
    </w:p>
    <w:p>
      <w:pPr>
        <w:ind w:left="288"/>
      </w:pPr>
      <w:r>
        <w:rPr>
          <w:b/>
          <w:color w:val="003CA0"/>
          <w:sz w:val="16"/>
        </w:rPr>
        <w:t>[MS 31.697, rel. min. Dias Toffoli, j. 11-3-2014, 1ª T, DJE de 2-4-2014.]</w:t>
      </w:r>
    </w:p>
    <w:p>
      <w:pPr>
        <w:ind w:left="288"/>
      </w:pPr>
      <w:r>
        <w:rPr>
          <w:color w:val="8C8C8C"/>
          <w:sz w:val="12"/>
        </w:rPr>
        <w:t>cf-art-103-par-2</w:t>
      </w:r>
    </w:p>
    <w:p>
      <w:pPr>
        <w:ind w:left="288"/>
      </w:pPr>
      <w:r>
        <w:rPr>
          <w:color w:val="1E1E1E"/>
          <w:sz w:val="18"/>
        </w:rPr>
        <w:t>§ 3º Do ato administrativo ou decisão judicial que contrariar a súmula aplicável ou que indevidamente a aplicar, caberá reclamação ao Supremo Tribunal Federal que, julgando-a procedente, anulará o ato administrativo ou cassará a decisão judicial reclamada, e determinará que outra seja proferida com ou sem a aplicação da súmula, conforme o caso. (Incluído pela EC 45/2004)</w:t>
      </w:r>
    </w:p>
    <w:p>
      <w:pPr>
        <w:ind w:left="144"/>
      </w:pPr>
      <w:r>
        <w:rPr>
          <w:b/>
          <w:color w:val="B45A00"/>
          <w:sz w:val="16"/>
        </w:rPr>
        <w:t>REPERCUSSAO GERAL</w:t>
      </w:r>
    </w:p>
    <w:p>
      <w:pPr>
        <w:ind w:left="288"/>
      </w:pPr>
      <w:r>
        <w:rPr>
          <w:color w:val="8C8C8C"/>
          <w:sz w:val="12"/>
        </w:rPr>
        <w:t>cf-art-103-par-2</w:t>
      </w:r>
      <w:r>
        <w:rPr>
          <w:color w:val="003CA0"/>
          <w:sz w:val="12"/>
        </w:rPr>
        <w:t xml:space="preserve"> | RE 1.116.485</w:t>
      </w:r>
      <w:r>
        <w:rPr>
          <w:color w:val="003CA0"/>
          <w:sz w:val="12"/>
        </w:rPr>
        <w:t xml:space="preserve"> | rel. Luiz Fux</w:t>
      </w:r>
    </w:p>
    <w:p>
      <w:pPr>
        <w:ind w:left="288"/>
      </w:pPr>
      <w:r>
        <w:rPr>
          <w:color w:val="1E1E1E"/>
          <w:sz w:val="18"/>
        </w:rPr>
        <w:t>A revogação ou modificação do ato normativo em que se fundou a edição de enunciado de súmula vinculante acarreta, em regra, a necessidade de sua revisão ou cancelamento pelo Supremo Tribunal Federal, conforme o caso (...).</w:t>
        <w:br/>
        <w:t>[RE 1.116.485, rel. min. Luiz Fux, j. 1º-3-2023, P, DJE de 24-4-2023, Tema 477, com mérito julgado]</w:t>
      </w:r>
    </w:p>
    <w:p>
      <w:pPr>
        <w:ind w:left="144"/>
      </w:pPr>
      <w:r>
        <w:rPr>
          <w:b/>
          <w:color w:val="B45A00"/>
          <w:sz w:val="16"/>
        </w:rPr>
        <w:t>JULGADOS CORRELATOS</w:t>
      </w:r>
    </w:p>
    <w:p>
      <w:pPr>
        <w:ind w:left="288"/>
      </w:pPr>
      <w:r>
        <w:rPr>
          <w:color w:val="8C8C8C"/>
          <w:sz w:val="12"/>
        </w:rPr>
        <w:t>cf-art-103-par-2</w:t>
      </w:r>
      <w:r>
        <w:rPr>
          <w:color w:val="003CA0"/>
          <w:sz w:val="12"/>
        </w:rPr>
        <w:t xml:space="preserve"> | RCL 14.343</w:t>
      </w:r>
      <w:r>
        <w:rPr>
          <w:color w:val="003CA0"/>
          <w:sz w:val="12"/>
        </w:rPr>
        <w:t xml:space="preserve"> | rel. Teori Zavascki</w:t>
      </w:r>
    </w:p>
    <w:p>
      <w:pPr>
        <w:ind w:left="288"/>
      </w:pPr>
      <w:r>
        <w:rPr>
          <w:color w:val="1E1E1E"/>
          <w:sz w:val="18"/>
        </w:rPr>
        <w:t>Não se admite reclamação contra omissão da administração pública, sob fundamento de ofensa a súmula vinculante, quando não demonstrado o esgotamento das vias administrativas, conforme disposto no art. 7º, § 1º, da Lei 11.417/2006.</w:t>
      </w:r>
    </w:p>
    <w:p>
      <w:pPr>
        <w:ind w:left="288"/>
      </w:pPr>
      <w:r>
        <w:rPr>
          <w:b/>
          <w:color w:val="003CA0"/>
          <w:sz w:val="16"/>
        </w:rPr>
        <w:t>[Rcl 14.343 AgR, rel. min. Teori Zavascki, j. 27-2-2014, P, DJE de 28-3-2014.]</w:t>
      </w:r>
    </w:p>
    <w:p>
      <w:pPr>
        <w:ind w:left="288"/>
      </w:pPr>
      <w:r>
        <w:rPr>
          <w:color w:val="8C8C8C"/>
          <w:sz w:val="12"/>
        </w:rPr>
        <w:t>cf-art-103-par-2</w:t>
      </w:r>
      <w:r>
        <w:rPr>
          <w:color w:val="003CA0"/>
          <w:sz w:val="12"/>
        </w:rPr>
        <w:t xml:space="preserve"> | RCL 6.449</w:t>
      </w:r>
      <w:r>
        <w:rPr>
          <w:color w:val="003CA0"/>
          <w:sz w:val="12"/>
        </w:rPr>
        <w:t xml:space="preserve"> | rel. Eros Grau</w:t>
      </w:r>
    </w:p>
    <w:p>
      <w:pPr>
        <w:ind w:left="288"/>
      </w:pPr>
      <w:r>
        <w:rPr>
          <w:color w:val="1E1E1E"/>
          <w:sz w:val="18"/>
        </w:rPr>
        <w:t>Inexiste ofensa à autoridade de súmula vinculante quando o ato de que se reclama é anterior à decisão emanada da Corte Suprema.</w:t>
      </w:r>
    </w:p>
    <w:p>
      <w:pPr>
        <w:ind w:left="288"/>
      </w:pPr>
      <w:r>
        <w:rPr>
          <w:b/>
          <w:color w:val="003CA0"/>
          <w:sz w:val="16"/>
        </w:rPr>
        <w:t>[Rcl 6.449 AgR, rel. min. Eros Grau, j. 25-11-2009, P, DJE de 11-12-2009.]</w:t>
      </w:r>
    </w:p>
    <w:p>
      <w:pPr>
        <w:ind w:left="288"/>
      </w:pPr>
      <w:r>
        <w:rPr>
          <w:color w:val="8C8C8C"/>
          <w:sz w:val="12"/>
        </w:rPr>
        <w:t>cf-art-103-par-2</w:t>
      </w:r>
      <w:r>
        <w:rPr>
          <w:color w:val="003CA0"/>
          <w:sz w:val="12"/>
        </w:rPr>
        <w:t xml:space="preserve"> | RCL 8.111</w:t>
      </w:r>
      <w:r>
        <w:rPr>
          <w:color w:val="003CA0"/>
          <w:sz w:val="12"/>
        </w:rPr>
        <w:t xml:space="preserve"> | rel. Cármen Lúcia</w:t>
      </w:r>
    </w:p>
    <w:p>
      <w:pPr>
        <w:ind w:left="288"/>
      </w:pPr>
      <w:r>
        <w:rPr>
          <w:color w:val="1E1E1E"/>
          <w:sz w:val="18"/>
        </w:rPr>
        <w:t>= Rcl 8.111 AgR, rel. min. Cármen Lúcia, j. 2-3-2011, P, DJE de 28-3-2011 Vide Rcl 3.939, rel. min. Marco Aurélio, j. 14-4-2008, P, DJE de 23-5-2008</w:t>
      </w:r>
    </w:p>
    <w:p>
      <w:pPr>
        <w:ind w:left="144"/>
      </w:pPr>
      <w:r>
        <w:rPr>
          <w:b/>
          <w:color w:val="B45A00"/>
          <w:sz w:val="16"/>
        </w:rPr>
        <w:t>SUMULA VINCULANTE</w:t>
      </w:r>
    </w:p>
    <w:p>
      <w:pPr>
        <w:ind w:left="288"/>
      </w:pPr>
      <w:r>
        <w:rPr>
          <w:color w:val="8C8C8C"/>
          <w:sz w:val="12"/>
        </w:rPr>
        <w:t>cf-art-103-par-2</w:t>
      </w:r>
      <w:r>
        <w:rPr>
          <w:color w:val="003CA0"/>
          <w:sz w:val="12"/>
        </w:rPr>
        <w:t xml:space="preserve"> | RCL 3.979</w:t>
      </w:r>
      <w:r>
        <w:rPr>
          <w:color w:val="003CA0"/>
          <w:sz w:val="12"/>
        </w:rPr>
        <w:t xml:space="preserve"> | rel. Gilmar Mendes</w:t>
      </w:r>
    </w:p>
    <w:p>
      <w:pPr>
        <w:ind w:left="288"/>
      </w:pPr>
      <w:r>
        <w:rPr>
          <w:b/>
          <w:color w:val="003CA0"/>
          <w:sz w:val="16"/>
        </w:rPr>
        <w:t>[Rcl 3.979 AgR, rel. min. Gilmar Mendes, j. 3-5-2006, P, DJ de 2-6-2006.]</w:t>
      </w:r>
    </w:p>
    <w:p>
      <w:pPr>
        <w:ind w:left="288"/>
      </w:pPr>
      <w:r>
        <w:rPr>
          <w:color w:val="8C8C8C"/>
          <w:sz w:val="12"/>
        </w:rPr>
        <w:t>cf-art-103-par-2</w:t>
      </w:r>
      <w:r>
        <w:rPr>
          <w:color w:val="003CA0"/>
          <w:sz w:val="12"/>
        </w:rPr>
        <w:t xml:space="preserve"> | RCL 10.707</w:t>
      </w:r>
      <w:r>
        <w:rPr>
          <w:color w:val="003CA0"/>
          <w:sz w:val="12"/>
        </w:rPr>
        <w:t xml:space="preserve"> | rel. Celso de Mello</w:t>
      </w:r>
    </w:p>
    <w:p>
      <w:pPr>
        <w:ind w:left="288"/>
      </w:pPr>
      <w:r>
        <w:rPr>
          <w:color w:val="1E1E1E"/>
          <w:sz w:val="18"/>
        </w:rPr>
        <w:t>= Rcl 10.707 AgR, rel. min. Celso de Mello, j. 28-5-2014, P, DJE de 30-10-2014 Art. 103-B - O Conselho Nacional de Justiça compõe-se de 15 (quinze) membros com mandato de 2 (dois) anos, admitida 1 (uma) recondução, sendo: (Redação da EC 61/2009)</w:t>
      </w:r>
    </w:p>
    <w:p>
      <w:pPr>
        <w:ind w:left="144"/>
      </w:pPr>
      <w:r>
        <w:rPr>
          <w:b/>
          <w:color w:val="B45A00"/>
          <w:sz w:val="16"/>
        </w:rPr>
        <w:t>CONTROLE CONCENTRADO</w:t>
      </w:r>
    </w:p>
    <w:p>
      <w:pPr>
        <w:ind w:left="288"/>
      </w:pPr>
      <w:r>
        <w:rPr>
          <w:color w:val="8C8C8C"/>
          <w:sz w:val="12"/>
        </w:rPr>
        <w:t>cf-art-103-par-2</w:t>
      </w:r>
      <w:r>
        <w:rPr>
          <w:color w:val="003CA0"/>
          <w:sz w:val="12"/>
        </w:rPr>
        <w:t xml:space="preserve"> | ADI 3.367</w:t>
      </w:r>
      <w:r>
        <w:rPr>
          <w:color w:val="003CA0"/>
          <w:sz w:val="12"/>
        </w:rPr>
        <w:t xml:space="preserve"> | rel. Cezar Peluso</w:t>
      </w:r>
    </w:p>
    <w:p>
      <w:pPr>
        <w:ind w:left="288"/>
      </w:pPr>
      <w:r>
        <w:rPr>
          <w:color w:val="1E1E1E"/>
          <w:sz w:val="18"/>
        </w:rPr>
        <w:t>Ação direta. EC 45/2004. Poder Judiciário. CNJ. Instituição e disciplina. Natureza meramente administrativa. Órgão interno de controle administrativo, financeiro e disciplinar da magistratura. Constitucionalidade reconhecida. Separação e independência dos Poderes. História, significado e alcance concreto do princípio. Ofensa a cláusula constitucional imutável (cláusula pétrea). Inexistência. Subsistência do núcleo político do princípio, mediante preservação da função jurisdicional, típica do Judiciário, e das condições materiais do seu exercício imparcial e independente. Precedentes e Súmula 6</w:t>
      </w:r>
    </w:p>
    <w:p>
      <w:pPr>
        <w:ind w:left="288"/>
      </w:pPr>
      <w:r>
        <w:rPr>
          <w:b/>
          <w:color w:val="003CA0"/>
          <w:sz w:val="16"/>
        </w:rPr>
        <w:t>[ADI 3.367, rel. min. Cezar Peluso, j. 13-4-2005, P, DJ de 22-9-2006.]</w:t>
      </w:r>
    </w:p>
    <w:p>
      <w:pPr>
        <w:ind w:left="144"/>
      </w:pPr>
      <w:r>
        <w:rPr>
          <w:b/>
          <w:color w:val="B45A00"/>
          <w:sz w:val="16"/>
        </w:rPr>
        <w:t>JULGADOS CORRELATOS</w:t>
      </w:r>
    </w:p>
    <w:p>
      <w:pPr>
        <w:ind w:left="288"/>
      </w:pPr>
      <w:r>
        <w:rPr>
          <w:color w:val="8C8C8C"/>
          <w:sz w:val="12"/>
        </w:rPr>
        <w:t>cf-art-103-par-2</w:t>
      </w:r>
      <w:r>
        <w:rPr>
          <w:color w:val="003CA0"/>
          <w:sz w:val="12"/>
        </w:rPr>
        <w:t xml:space="preserve"> | MS 25.962</w:t>
      </w:r>
      <w:r>
        <w:rPr>
          <w:color w:val="003CA0"/>
          <w:sz w:val="12"/>
        </w:rPr>
        <w:t xml:space="preserve"> | rel. Marco Aurélio</w:t>
      </w:r>
    </w:p>
    <w:p>
      <w:pPr>
        <w:ind w:left="288"/>
      </w:pPr>
      <w:r>
        <w:rPr>
          <w:color w:val="1E1E1E"/>
          <w:sz w:val="18"/>
        </w:rPr>
        <w:t>(...) consigno que não procede o inconformismo quanto ao fato de o CNJ ter passado a existir com a EC 45/2004 e o edital do concurso haver sido veiculado em data anterior. É que, na mencionada emenda, somente ficou estabelecido o prazo de instalalção do citado Conselho, e não o termo inicial da ação fiscalizadora no campo administrativo considerados os atos dos tribunais em geral – exceto, evidentemente, os do Supremo no que a esse incumbe o crivo quanto a essa atuação.</w:t>
      </w:r>
    </w:p>
    <w:p>
      <w:pPr>
        <w:ind w:left="288"/>
      </w:pPr>
      <w:r>
        <w:rPr>
          <w:b/>
          <w:color w:val="003CA0"/>
          <w:sz w:val="16"/>
        </w:rPr>
        <w:t>[MS 25.962, voto do rel. min. Marco Aurélio, j. 23-10-2008, P, DJE de 20-3-2009.]</w:t>
      </w:r>
    </w:p>
    <w:p>
      <w:pPr>
        <w:ind w:left="288"/>
      </w:pPr>
      <w:r>
        <w:rPr>
          <w:color w:val="8C8C8C"/>
          <w:sz w:val="12"/>
        </w:rPr>
        <w:t>cf-art-103-par-2-inc-IX</w:t>
      </w:r>
    </w:p>
    <w:p>
      <w:pPr>
        <w:ind w:left="288"/>
      </w:pPr>
      <w:r>
        <w:rPr>
          <w:color w:val="1E1E1E"/>
          <w:sz w:val="18"/>
        </w:rPr>
        <w:t>X - um membro do Ministério Público da União, indicado pelo Procurador-Geral da República; (Incluído pela EC 45/2004) XI - um membro do Ministério Público estadual, escolhido pelo Procurador-Geral da República dentre os nomes indicados pelo órgão competente de cada instituição estadual; (Incluído pela EC 45/2004) XII - dois advogados, indicados pelo Conselho Federal da Ordem dos Advogados do Brasil; (Incluído pela EC 45/2004) XIII - dois cidadãos, de notável saber jurídico e reputação ilibada, indicados um pela Câmara dos Deputados e outro pelo Senado Federal. (Incluído pela EC 45/2004)</w:t>
      </w:r>
    </w:p>
    <w:p>
      <w:pPr>
        <w:ind w:left="288"/>
      </w:pPr>
      <w:r>
        <w:rPr>
          <w:color w:val="8C8C8C"/>
          <w:sz w:val="12"/>
        </w:rPr>
        <w:t>cf-art-103-par-1</w:t>
      </w:r>
      <w:r>
        <w:rPr>
          <w:color w:val="003CA0"/>
          <w:sz w:val="12"/>
        </w:rPr>
        <w:t xml:space="preserve"> | MS 28.003</w:t>
      </w:r>
    </w:p>
    <w:p>
      <w:pPr>
        <w:ind w:left="288"/>
      </w:pPr>
      <w:r>
        <w:rPr>
          <w:color w:val="1E1E1E"/>
          <w:sz w:val="18"/>
        </w:rPr>
        <w:t>A competência exclusiva, indelegável e absoluta para presidir a sessão do CNJ fixou-se, a partir do advento da EC 61/2009, na pessoa do presidente ou, na sua ausência, do vice-presidente do STF, nos termos do disposto no art. 103-B, § 1º, da Constituição de 1988. Ressalva do redator do acórdão que reconheceu a impossibilidade de, mesmo antes do advento da EC 61, uma sessão do CNJ ser presidida por conselheiro não oriundo do STF, decidindo, quanto ao ponto, pela necessidade de modulação temporal. In casu, a sessão do CNJ que determinou a instauração de processo administrativo disciplinar em fac</w:t>
      </w:r>
    </w:p>
    <w:p>
      <w:pPr>
        <w:ind w:left="288"/>
      </w:pPr>
      <w:r>
        <w:rPr>
          <w:b/>
          <w:color w:val="003CA0"/>
          <w:sz w:val="16"/>
        </w:rPr>
        <w:t>[MS 28.003, red. do ac. min. Luiz Fux, j. 8-2-2012, P, DJE de 31-5-2012.]</w:t>
      </w:r>
    </w:p>
    <w:p>
      <w:pPr>
        <w:ind w:left="288"/>
      </w:pPr>
      <w:r>
        <w:rPr>
          <w:color w:val="8C8C8C"/>
          <w:sz w:val="12"/>
        </w:rPr>
        <w:t>cf-art-103-par-1</w:t>
      </w:r>
      <w:r>
        <w:rPr>
          <w:color w:val="003CA0"/>
          <w:sz w:val="12"/>
        </w:rPr>
        <w:t xml:space="preserve"> | MS 25.938</w:t>
      </w:r>
      <w:r>
        <w:rPr>
          <w:color w:val="003CA0"/>
          <w:sz w:val="12"/>
        </w:rPr>
        <w:t xml:space="preserve"> | rel. Cármen Lúcia</w:t>
      </w:r>
    </w:p>
    <w:p>
      <w:pPr>
        <w:ind w:left="288"/>
      </w:pPr>
      <w:r>
        <w:rPr>
          <w:color w:val="1E1E1E"/>
          <w:sz w:val="18"/>
        </w:rPr>
        <w:t>Preliminarmente, o Tribunal assentou que não há impedimento do presidente do CNJ, que fez a publicação da decisão, mesmo que tivesse participado eventualmente da própria sessão que deu ensejo à prática do ato.</w:t>
      </w:r>
    </w:p>
    <w:p>
      <w:pPr>
        <w:ind w:left="288"/>
      </w:pPr>
      <w:r>
        <w:rPr>
          <w:b/>
          <w:color w:val="003CA0"/>
          <w:sz w:val="16"/>
        </w:rPr>
        <w:t>[MS 25.938, rel. min. Cármen Lúcia, j. 24-4-2008, P, DJE de 12-9-2008.]</w:t>
      </w:r>
    </w:p>
    <w:p>
      <w:pPr>
        <w:ind w:left="288"/>
      </w:pPr>
      <w:r>
        <w:rPr>
          <w:color w:val="8C8C8C"/>
          <w:sz w:val="12"/>
        </w:rPr>
        <w:t>cf-art-103-par-2</w:t>
      </w:r>
      <w:r>
        <w:rPr>
          <w:color w:val="003CA0"/>
          <w:sz w:val="12"/>
        </w:rPr>
        <w:t xml:space="preserve"> | MS 25.393</w:t>
      </w:r>
      <w:r>
        <w:rPr>
          <w:color w:val="003CA0"/>
          <w:sz w:val="12"/>
        </w:rPr>
        <w:t xml:space="preserve"> | rel. Marco Aurélio</w:t>
      </w:r>
    </w:p>
    <w:p>
      <w:pPr>
        <w:ind w:left="288"/>
      </w:pPr>
      <w:r>
        <w:rPr>
          <w:color w:val="1E1E1E"/>
          <w:sz w:val="18"/>
        </w:rPr>
        <w:t>Descabe cogitar de direito subjetivo à escolha para compor o CNJ.</w:t>
      </w:r>
    </w:p>
    <w:p>
      <w:pPr>
        <w:ind w:left="288"/>
      </w:pPr>
      <w:r>
        <w:rPr>
          <w:b/>
          <w:color w:val="003CA0"/>
          <w:sz w:val="16"/>
        </w:rPr>
        <w:t>[MS 25.393 AgR, rel. min. Marco Aurélio, j. 2-4-2009, P, DJE de 8-5-2009.]</w:t>
      </w:r>
    </w:p>
    <w:p>
      <w:pPr>
        <w:ind w:left="144"/>
      </w:pPr>
      <w:r>
        <w:rPr>
          <w:b/>
          <w:color w:val="B45A00"/>
          <w:sz w:val="16"/>
        </w:rPr>
        <w:t>CONTROLE CONCENTRADO</w:t>
      </w:r>
    </w:p>
    <w:p>
      <w:pPr>
        <w:ind w:left="288"/>
      </w:pPr>
      <w:r>
        <w:rPr>
          <w:color w:val="8C8C8C"/>
          <w:sz w:val="12"/>
        </w:rPr>
        <w:t>cf-art-103-par-4</w:t>
      </w:r>
      <w:r>
        <w:rPr>
          <w:color w:val="003CA0"/>
          <w:sz w:val="12"/>
        </w:rPr>
        <w:t xml:space="preserve"> | ADI 4.638</w:t>
      </w:r>
      <w:r>
        <w:rPr>
          <w:color w:val="003CA0"/>
          <w:sz w:val="12"/>
        </w:rPr>
        <w:t xml:space="preserve"> | rel. Marco Aurélio</w:t>
      </w:r>
    </w:p>
    <w:p>
      <w:pPr>
        <w:ind w:left="288"/>
      </w:pPr>
      <w:r>
        <w:rPr>
          <w:color w:val="1E1E1E"/>
          <w:sz w:val="18"/>
        </w:rPr>
        <w:t>A previsão de equiparação do Conselho Nacional de Justiça e do Conselho da Justiça Federal aos tribunais não ofende a Constituição, uma vez que representa mera técnica redacional legislativa, não tendo aptidão de emprestar caráter jurisdicional a esses órgãos.</w:t>
        <w:br/>
        <w:t>[ADI 4.638, rel. min. Marco Aurélio, red. do ac. Roberto Barroso, j. 3-7-2023, P, DJE de 15-8-2023.] Ato Regimental 5, de 10-11-2006, do TJDFT, sobre o regime de férias dos membros daquele Tribunal e dos juízes a ele vinculados, pelo qual os magistrados indicados "gozarão as férias do ano de 2007 nos períodos de 2 a 31 de janeiro e 2 a 3</w:t>
      </w:r>
    </w:p>
    <w:p>
      <w:pPr>
        <w:ind w:left="288"/>
      </w:pPr>
      <w:r>
        <w:rPr>
          <w:b/>
          <w:color w:val="003CA0"/>
          <w:sz w:val="16"/>
        </w:rPr>
        <w:t>[ADI 3.823 MC, rel. min. Cármen Lúcia, j. 6-12-2006, P, DJ de 23-11-2007.]</w:t>
      </w:r>
    </w:p>
    <w:p>
      <w:pPr>
        <w:ind w:left="288"/>
      </w:pPr>
      <w:r>
        <w:rPr>
          <w:color w:val="8C8C8C"/>
          <w:sz w:val="12"/>
        </w:rPr>
        <w:t>cf-art-103-par-4</w:t>
      </w:r>
      <w:r>
        <w:rPr>
          <w:color w:val="003CA0"/>
          <w:sz w:val="12"/>
        </w:rPr>
        <w:t xml:space="preserve"> | MS 38.971</w:t>
      </w:r>
      <w:r>
        <w:rPr>
          <w:color w:val="003CA0"/>
          <w:sz w:val="12"/>
        </w:rPr>
        <w:t xml:space="preserve"> | rel. Nunes Marques</w:t>
      </w:r>
    </w:p>
    <w:p>
      <w:pPr>
        <w:ind w:left="288"/>
      </w:pPr>
      <w:r>
        <w:rPr>
          <w:color w:val="1E1E1E"/>
          <w:sz w:val="18"/>
        </w:rPr>
        <w:t>A criação de grupo de heteroidentificação no âmbito de comissão de concurso público para a magistratura, em desacordo com as normas legais vigentes, a validar a inscrição de candidato autodeclarado pardo, pode ser impugnada perante o CNJ. É legítima a decisão do relator do procedimento de controle administrativo no CNJ que implicou a criação de grupo de heteroidentificação e ofereceu ao candidato a possibilidade de se submeter à avaliação, considerada especialmente a proximidade da data da posse. No caso concreto, não houve acréscimo de etapa do concurso, mas estrita observância de normas lega</w:t>
      </w:r>
    </w:p>
    <w:p>
      <w:pPr>
        <w:ind w:left="288"/>
      </w:pPr>
      <w:r>
        <w:rPr>
          <w:b/>
          <w:color w:val="003CA0"/>
          <w:sz w:val="16"/>
        </w:rPr>
        <w:t>[MS 38.971, rel. min. Nunes Marques, j. 03.06.2025, P, DJE de 23.06.2025.]</w:t>
      </w:r>
    </w:p>
    <w:p>
      <w:pPr>
        <w:ind w:left="144"/>
      </w:pPr>
      <w:r>
        <w:rPr>
          <w:b/>
          <w:color w:val="B45A00"/>
          <w:sz w:val="16"/>
        </w:rPr>
        <w:t>JULGADOS CORRELATOS</w:t>
      </w:r>
    </w:p>
    <w:p>
      <w:pPr>
        <w:ind w:left="288"/>
      </w:pPr>
      <w:r>
        <w:rPr>
          <w:color w:val="8C8C8C"/>
          <w:sz w:val="12"/>
        </w:rPr>
        <w:t>cf-art-103-par-4</w:t>
      </w:r>
      <w:r>
        <w:rPr>
          <w:color w:val="003CA0"/>
          <w:sz w:val="12"/>
        </w:rPr>
        <w:t xml:space="preserve"> | MS 31.667</w:t>
      </w:r>
      <w:r>
        <w:rPr>
          <w:color w:val="003CA0"/>
          <w:sz w:val="12"/>
        </w:rPr>
        <w:t xml:space="preserve"> | rel. Dias Toffoli</w:t>
      </w:r>
    </w:p>
    <w:p>
      <w:pPr>
        <w:ind w:left="288"/>
      </w:pPr>
      <w:r>
        <w:rPr>
          <w:color w:val="1E1E1E"/>
          <w:sz w:val="18"/>
        </w:rPr>
        <w:t>Não viola a autonomia dos tribunais locais deliberação do CNJ que determina aos tribunais de justiça (que informaram a existência de legislação estadual com previsão de majoração do percentual de férias referido no art. 7º, XVII, da CF/88) que enviem projeto de lei tendente a adequação da legislação local ao regramento uniforme de âmbito nacional, pois não há no caso reserva de iniciativa da matéria aos tribunais locais; ao contrário, os direitos da magistratura, dentre os quais o direito ao abono de férias, são matéria de regramento nacional uniforme.</w:t>
      </w:r>
    </w:p>
    <w:p>
      <w:pPr>
        <w:ind w:left="288"/>
      </w:pPr>
      <w:r>
        <w:rPr>
          <w:b/>
          <w:color w:val="003CA0"/>
          <w:sz w:val="16"/>
        </w:rPr>
        <w:t>[MS 31.667 AgR, rel. min. Dias Toffoli, j. 11-9-2018, 2ª T, DJE de 23-11-2018.]</w:t>
      </w:r>
    </w:p>
    <w:p>
      <w:pPr>
        <w:ind w:left="288"/>
      </w:pPr>
      <w:r>
        <w:rPr>
          <w:color w:val="8C8C8C"/>
          <w:sz w:val="12"/>
        </w:rPr>
        <w:t>cf-art-103-par-4</w:t>
      </w:r>
      <w:r>
        <w:rPr>
          <w:color w:val="003CA0"/>
          <w:sz w:val="12"/>
        </w:rPr>
        <w:t xml:space="preserve"> | MS 27.935</w:t>
      </w:r>
      <w:r>
        <w:rPr>
          <w:color w:val="003CA0"/>
          <w:sz w:val="12"/>
        </w:rPr>
        <w:t xml:space="preserve"> | rel. Edson Fachin</w:t>
      </w:r>
    </w:p>
    <w:p>
      <w:pPr>
        <w:ind w:left="288"/>
      </w:pPr>
      <w:r>
        <w:rPr>
          <w:color w:val="1E1E1E"/>
          <w:sz w:val="18"/>
        </w:rPr>
        <w:t>Não é vedado ao CNJ controlar a atuação administrativa de tribunal de justiça local que, respaldado em lei estadual, se distancie da interpretação dada pelo STF aos preceitos constitucionais e legais que regem a matéria. (...) A deliberação do CNJ que deixa de aplicar lei estadual anterior à Constituição que conflite com o regime remuneratório da magistratura regulado pelo art. 39, § 4º, da Constituição e com a Loman decorre do exercício direto da competência que lhe foi constitucionalmente atribuída, de zelar pela legalidade da atuação administrativa de membros e órgãos do Poder Judiciário, n</w:t>
      </w:r>
    </w:p>
    <w:p>
      <w:pPr>
        <w:ind w:left="288"/>
      </w:pPr>
      <w:r>
        <w:rPr>
          <w:b/>
          <w:color w:val="003CA0"/>
          <w:sz w:val="16"/>
        </w:rPr>
        <w:t>[MS 27.935 AgR, rel. min. Edson Fachin, j. 21-8-2017, 1ª T, DJE de 20-9-2017.]</w:t>
      </w:r>
    </w:p>
    <w:p>
      <w:pPr>
        <w:ind w:left="288"/>
      </w:pPr>
      <w:r>
        <w:rPr>
          <w:color w:val="8C8C8C"/>
          <w:sz w:val="12"/>
        </w:rPr>
        <w:t>cf-art-103-par-4</w:t>
      </w:r>
      <w:r>
        <w:rPr>
          <w:color w:val="003CA0"/>
          <w:sz w:val="12"/>
        </w:rPr>
        <w:t xml:space="preserve"> | MS 28.513</w:t>
      </w:r>
      <w:r>
        <w:rPr>
          <w:color w:val="003CA0"/>
          <w:sz w:val="12"/>
        </w:rPr>
        <w:t xml:space="preserve"> | rel. Teori Zavascki</w:t>
      </w:r>
    </w:p>
    <w:p>
      <w:pPr>
        <w:ind w:left="288"/>
      </w:pPr>
      <w:r>
        <w:rPr>
          <w:color w:val="1E1E1E"/>
          <w:sz w:val="18"/>
        </w:rPr>
        <w:t>É regular a designação de juiz auxiliar, seja ele originário do Judiciário estadual ou federal, para a condução de sindicância, por delegação do corregedor-nacional de justiça, ainda que o investigado seja magistrado federal.</w:t>
        <w:br/>
        <w:t>[MS 28.513, rel. min. Teori Zavascki, j. 15-9-2015, 2ª T, DJE de 28-9-2015.] O CNJ não dispõe, constitucionalmente, de competência para deliberar sobre situações que alcancem ou que atinjam resoluções e manifestações volitivas emanadas de órgãos e autoridades vinculados a outros Poderes do Estado e, por isso mesmo, absolutamente estranhos ao âmbito de atribuições instituc</w:t>
      </w:r>
    </w:p>
    <w:p>
      <w:pPr>
        <w:ind w:left="288"/>
      </w:pPr>
      <w:r>
        <w:rPr>
          <w:b/>
          <w:color w:val="003CA0"/>
          <w:sz w:val="16"/>
        </w:rPr>
        <w:t>[MS 27.033 AgR, rel. min. Celso de Mello, j. 30-6-2015, 2ª T, DJE de 27-10-2015.]</w:t>
      </w:r>
    </w:p>
    <w:p>
      <w:pPr>
        <w:ind w:left="288"/>
      </w:pPr>
      <w:r>
        <w:rPr>
          <w:color w:val="8C8C8C"/>
          <w:sz w:val="12"/>
        </w:rPr>
        <w:t>cf-art-103-par-4</w:t>
      </w:r>
      <w:r>
        <w:rPr>
          <w:color w:val="003CA0"/>
          <w:sz w:val="12"/>
        </w:rPr>
        <w:t xml:space="preserve"> | MS 30.600</w:t>
      </w:r>
      <w:r>
        <w:rPr>
          <w:color w:val="003CA0"/>
          <w:sz w:val="12"/>
        </w:rPr>
        <w:t xml:space="preserve"> | rel. Marco Aurélio</w:t>
      </w:r>
    </w:p>
    <w:p>
      <w:pPr>
        <w:ind w:left="288"/>
      </w:pPr>
      <w:r>
        <w:rPr>
          <w:color w:val="1E1E1E"/>
          <w:sz w:val="18"/>
        </w:rPr>
        <w:t>O CNJ tem atribuição administrativa, envolvendo esta última a promoção de magistrado. (...) O interregno para a sessão em que apreciado o nome de juiz visando preencher cargo de desembargador, por antiguidade, consubstancia formalidade essencial à valia do ato. O desrespeito enseja a glosa administrativa do CNJ.</w:t>
      </w:r>
    </w:p>
    <w:p>
      <w:pPr>
        <w:ind w:left="288"/>
      </w:pPr>
      <w:r>
        <w:rPr>
          <w:b/>
          <w:color w:val="003CA0"/>
          <w:sz w:val="16"/>
        </w:rPr>
        <w:t>[MS 30.600, rel. min. Marco Aurélio, j. 5-8-2014, 1ª T, DJE de 10-9-2014.]</w:t>
      </w:r>
    </w:p>
    <w:p>
      <w:pPr>
        <w:ind w:left="288"/>
      </w:pPr>
      <w:r>
        <w:rPr>
          <w:color w:val="8C8C8C"/>
          <w:sz w:val="12"/>
        </w:rPr>
        <w:t>cf-art-103-par-4</w:t>
      </w:r>
      <w:r>
        <w:rPr>
          <w:color w:val="003CA0"/>
          <w:sz w:val="12"/>
        </w:rPr>
        <w:t xml:space="preserve"> | MS 32.582</w:t>
      </w:r>
      <w:r>
        <w:rPr>
          <w:color w:val="003CA0"/>
          <w:sz w:val="12"/>
        </w:rPr>
        <w:t xml:space="preserve"> | rel. Celso de Mello</w:t>
      </w:r>
    </w:p>
    <w:p>
      <w:pPr>
        <w:ind w:left="288"/>
      </w:pPr>
      <w:r>
        <w:rPr>
          <w:color w:val="1E1E1E"/>
          <w:sz w:val="18"/>
        </w:rPr>
        <w:t xml:space="preserve">CNJ. Processo legislativo instaurado por iniciativa de tribunal de justiça. Suposta eiva de inconstitucionalidade. Impossibilidade de o CNJ, sob alegação de "aparente vício do projeto original", impor, cautelarmente, ao presidente do tribunal de justiça, que se abstenha de cumprir o diploma legislativo editado. Limitações que incidem sobre a competência do CNJ (CF, art. 103-B, § 4º). (...) A instauração do processo legislativo como ato de caráter eminentemente político e de extração essencialmente constitucional. Doutrina. A questão do controle de constitucionalidade pelo CNJ. Reconhecimento, </w:t>
      </w:r>
    </w:p>
    <w:p>
      <w:pPr>
        <w:ind w:left="288"/>
      </w:pPr>
      <w:r>
        <w:rPr>
          <w:b/>
          <w:color w:val="003CA0"/>
          <w:sz w:val="16"/>
        </w:rPr>
        <w:t>[MS 32.582 MC, rel. min. Celso de Mello, j. 3-2-2014, dec. monocrática, DJE de 11-2-2014.]</w:t>
      </w:r>
    </w:p>
    <w:p>
      <w:pPr>
        <w:ind w:left="288"/>
      </w:pPr>
      <w:r>
        <w:rPr>
          <w:color w:val="8C8C8C"/>
          <w:sz w:val="12"/>
        </w:rPr>
        <w:t>cf-art-103-par-4</w:t>
      </w:r>
      <w:r>
        <w:rPr>
          <w:color w:val="003CA0"/>
          <w:sz w:val="12"/>
        </w:rPr>
        <w:t xml:space="preserve"> | MS 32.865</w:t>
      </w:r>
      <w:r>
        <w:rPr>
          <w:color w:val="003CA0"/>
          <w:sz w:val="12"/>
        </w:rPr>
        <w:t xml:space="preserve"> | rel. Celso de Mello</w:t>
      </w:r>
    </w:p>
    <w:p>
      <w:pPr>
        <w:ind w:left="288"/>
      </w:pPr>
      <w:r>
        <w:rPr>
          <w:color w:val="1E1E1E"/>
          <w:sz w:val="18"/>
        </w:rPr>
        <w:t>= MS 32.865 MC, rel. min. Celso de Mello, j. 2-6-2014, dec. monocrática, DJE de 5-6-2014 As provas obtidas em razão de diligências deflagradas na esfera criminal podem ser utilizadas em Processo Administrativo Disciplinar (PAD), uma vez submetidas ao contraditório, posto estratégia conducente à duração razoável do processo, sem conjuração das cláusulas pétreas dos processos administrativo e judicial. A instauração de um PAD prescinde de prévia sindicância, quando o objeto da apuração encontra-se elucidado à luz de outros elementos lícitos de convicção. A competência originária do CNJ resulta d</w:t>
      </w:r>
    </w:p>
    <w:p>
      <w:pPr>
        <w:ind w:left="288"/>
      </w:pPr>
      <w:r>
        <w:rPr>
          <w:b/>
          <w:color w:val="003CA0"/>
          <w:sz w:val="16"/>
        </w:rPr>
        <w:t>[MS 28.003, red. do ac. min. Luiz Fux, j. 8-2-2012, P, DJE de 31-5-2012.]</w:t>
        <w:br/>
        <w:t>= MS 30.361 AgR, rel. min. Rosa Weber, j. 29-8-2017, 1ª T, 1-2-2018</w:t>
      </w:r>
    </w:p>
    <w:p>
      <w:pPr>
        <w:ind w:left="288"/>
      </w:pPr>
      <w:r>
        <w:rPr>
          <w:color w:val="8C8C8C"/>
          <w:sz w:val="12"/>
        </w:rPr>
        <w:t>cf-art-103-par-4</w:t>
      </w:r>
      <w:r>
        <w:rPr>
          <w:color w:val="003CA0"/>
          <w:sz w:val="12"/>
        </w:rPr>
        <w:t xml:space="preserve"> | ADI 3.367</w:t>
      </w:r>
      <w:r>
        <w:rPr>
          <w:color w:val="003CA0"/>
          <w:sz w:val="12"/>
        </w:rPr>
        <w:t xml:space="preserve"> | rel. Celso de Mello</w:t>
      </w:r>
    </w:p>
    <w:p>
      <w:pPr>
        <w:ind w:left="288"/>
      </w:pPr>
      <w:r>
        <w:rPr>
          <w:color w:val="1E1E1E"/>
          <w:sz w:val="18"/>
        </w:rPr>
        <w:t>O CNJ, embora integrando a estrutura constitucional do Poder Judiciário como órgão interno de controle administrativo, financeiro e disciplinar da magistratura – excluídos, no entanto, do alcance de referida competência, o próprio STF e seus ministros (ADI 3.367/DF) –, qualifica-se como instituição de caráter eminentemente administrativo, não dispondo de atribuições funcionais que lhe permitam, quer colegialmente, quer mediante atuação monocrática de seus conselheiros ou, ainda, do corregedor nacional de justiça, fiscalizar, reexaminar e suspender os efeitos decorrentes de atos de conteúdo jur</w:t>
      </w:r>
    </w:p>
    <w:p>
      <w:pPr>
        <w:ind w:left="288"/>
      </w:pPr>
      <w:r>
        <w:rPr>
          <w:b/>
          <w:color w:val="003CA0"/>
          <w:sz w:val="16"/>
        </w:rPr>
        <w:t>[MS 28.611 MC-AgR, rel. min. Celso de Mello, j. 14-10-2010, P, DJE de 1º-4-2011.]</w:t>
      </w:r>
    </w:p>
    <w:p>
      <w:pPr>
        <w:ind w:left="288"/>
      </w:pPr>
      <w:r>
        <w:rPr>
          <w:color w:val="8C8C8C"/>
          <w:sz w:val="12"/>
        </w:rPr>
        <w:t>cf-art-103-par-4</w:t>
      </w:r>
      <w:r>
        <w:rPr>
          <w:color w:val="003CA0"/>
          <w:sz w:val="12"/>
        </w:rPr>
        <w:t xml:space="preserve"> | MS 29.744</w:t>
      </w:r>
      <w:r>
        <w:rPr>
          <w:color w:val="003CA0"/>
          <w:sz w:val="12"/>
        </w:rPr>
        <w:t xml:space="preserve"> | rel. Gilmar Mendes</w:t>
      </w:r>
    </w:p>
    <w:p>
      <w:pPr>
        <w:ind w:left="288"/>
      </w:pPr>
      <w:r>
        <w:rPr>
          <w:color w:val="1E1E1E"/>
          <w:sz w:val="18"/>
        </w:rPr>
        <w:t>= MS 29.744 AgR, rel. min. Gilmar Mendes, j. 29-6-2011, P, DJE de 4-10-2011 Vide MS 27.708, rel. min. Marco Aurélio, j. 29-10-2009, P, DJE de 21-5-2010 Detendo o CNJ atribuições simplesmente administrativas, revela-se imprópria declaração a alcançar acordo judicial.</w:t>
      </w:r>
    </w:p>
    <w:p>
      <w:pPr>
        <w:ind w:left="288"/>
      </w:pPr>
      <w:r>
        <w:rPr>
          <w:b/>
          <w:color w:val="003CA0"/>
          <w:sz w:val="16"/>
        </w:rPr>
        <w:t>[MS 27.708, rel. min. Marco Aurélio, j. 29-10-2009, P, DJE de 21-5-2010.]</w:t>
      </w:r>
    </w:p>
    <w:p>
      <w:pPr>
        <w:ind w:left="288"/>
      </w:pPr>
      <w:r>
        <w:rPr>
          <w:color w:val="8C8C8C"/>
          <w:sz w:val="12"/>
        </w:rPr>
        <w:t>cf-art-103-par-4</w:t>
      </w:r>
      <w:r>
        <w:rPr>
          <w:color w:val="003CA0"/>
          <w:sz w:val="12"/>
        </w:rPr>
        <w:t xml:space="preserve"> | MS 28.611</w:t>
      </w:r>
      <w:r>
        <w:rPr>
          <w:color w:val="003CA0"/>
          <w:sz w:val="12"/>
        </w:rPr>
        <w:t xml:space="preserve"> | rel. Celso de Mello</w:t>
      </w:r>
    </w:p>
    <w:p>
      <w:pPr>
        <w:ind w:left="288"/>
      </w:pPr>
      <w:r>
        <w:rPr>
          <w:color w:val="1E1E1E"/>
          <w:sz w:val="18"/>
        </w:rPr>
        <w:t>Vide MS 28.611 MC-AgR, rel. min. Celso de Mello, j. 14-10-2010, P, DJE de 1º-4-2011 I - zelar pela autonomia do Poder Judiciário e pelo cumprimento do Estatuto da Magistratura, podendo expedir atos regulamentares, no âmbito de sua competência, ou recomendar providências; (Incluído pela EC 45/2004)</w:t>
      </w:r>
    </w:p>
    <w:p>
      <w:pPr>
        <w:ind w:left="144"/>
      </w:pPr>
      <w:r>
        <w:rPr>
          <w:b/>
          <w:color w:val="B45A00"/>
          <w:sz w:val="16"/>
        </w:rPr>
        <w:t>CONTROLE CONCENTRADO</w:t>
      </w:r>
    </w:p>
    <w:p>
      <w:pPr>
        <w:ind w:left="288"/>
      </w:pPr>
      <w:r>
        <w:rPr>
          <w:color w:val="8C8C8C"/>
          <w:sz w:val="12"/>
        </w:rPr>
        <w:t>cf-art-103-par-4</w:t>
      </w:r>
      <w:r>
        <w:rPr>
          <w:color w:val="003CA0"/>
          <w:sz w:val="12"/>
        </w:rPr>
        <w:t xml:space="preserve"> | ADI 6.324</w:t>
      </w:r>
      <w:r>
        <w:rPr>
          <w:color w:val="003CA0"/>
          <w:sz w:val="12"/>
        </w:rPr>
        <w:t xml:space="preserve"> | rel. Roberto Barroso</w:t>
      </w:r>
    </w:p>
    <w:p>
      <w:pPr>
        <w:ind w:left="288"/>
      </w:pPr>
      <w:r>
        <w:rPr>
          <w:color w:val="1E1E1E"/>
          <w:sz w:val="18"/>
        </w:rPr>
        <w:t>A competência constitucional do Conselho Nacional de Justiça (CF/1988, art. 103-B, § 4º, I) engloba a atuação em políticas públicas dos tribunais para tratamento adequado dos conflitos jurídicos. A conciliação e a mediação são formas efetivas de lidar com litígios e com o acesso a direitos, e sua regulamentação institucional para o Poder Judiciário brasileiro é condizente com o princípio da eficiência (CF/1988, art. 37, caput). (...) “É constitucional a disposição do Conselho Nacional de Justiça que prevê a facultatividade da representação por advogado ou defensor público nos Centros Judiciári</w:t>
      </w:r>
    </w:p>
    <w:p>
      <w:pPr>
        <w:ind w:left="144"/>
      </w:pPr>
      <w:r>
        <w:rPr>
          <w:b/>
          <w:color w:val="B45A00"/>
          <w:sz w:val="16"/>
        </w:rPr>
        <w:t>JULGADOS CORRELATOS</w:t>
      </w:r>
    </w:p>
    <w:p>
      <w:pPr>
        <w:ind w:left="288"/>
      </w:pPr>
      <w:r>
        <w:rPr>
          <w:color w:val="8C8C8C"/>
          <w:sz w:val="12"/>
        </w:rPr>
        <w:t>cf-art-103-par-4</w:t>
      </w:r>
      <w:r>
        <w:rPr>
          <w:color w:val="003CA0"/>
          <w:sz w:val="12"/>
        </w:rPr>
        <w:t xml:space="preserve"> | MS 27.621</w:t>
      </w:r>
    </w:p>
    <w:p>
      <w:pPr>
        <w:ind w:left="288"/>
      </w:pPr>
      <w:r>
        <w:rPr>
          <w:color w:val="1E1E1E"/>
          <w:sz w:val="18"/>
        </w:rPr>
        <w:t>O art. 103-B da Constituição da República, introduzido pela EC 45/2004, dispõe que o CNJ é órgão com atribuições exclusivamente administrativas e correicionais, ainda que, estruturalmente, integre o Poder Judiciário. No exercício de suas atribuições administrativas, encontra-se o poder de "expedir atos regulamentares". Esses, por sua vez, são atos de comando abstrato que dirigem aos seus destinatários comandos e obrigações, desde que inseridos na esfera de competência do órgão. O CNJ pode, no lídimo exercício de suas funções, regulamentar condutas e impor a toda a magistratura nacional o cumpr</w:t>
      </w:r>
    </w:p>
    <w:p>
      <w:pPr>
        <w:ind w:left="288"/>
      </w:pPr>
      <w:r>
        <w:rPr>
          <w:b/>
          <w:color w:val="003CA0"/>
          <w:sz w:val="16"/>
        </w:rPr>
        <w:t>[MS 27.621, red. do ac. min. Ricardo Lewandowski, j. 7-12-2011, P, DJE de 11-5-2012.]</w:t>
      </w:r>
    </w:p>
    <w:p>
      <w:pPr>
        <w:ind w:left="288"/>
      </w:pPr>
      <w:r>
        <w:rPr>
          <w:color w:val="8C8C8C"/>
          <w:sz w:val="12"/>
        </w:rPr>
        <w:t>cf-art-103-par-4</w:t>
      </w:r>
    </w:p>
    <w:p>
      <w:pPr>
        <w:ind w:left="288"/>
      </w:pPr>
      <w:r>
        <w:rPr>
          <w:color w:val="1E1E1E"/>
          <w:sz w:val="18"/>
        </w:rPr>
        <w:t>II - zelar pela observância do art. 37 e apreciar, de ofício ou mediante provocação, a legalidade dos atos administrativos praticados por membros ou órgãos do Poder Judiciário, podendo desconstituí-los, revê-los ou fixar prazo para que se adotem as providências necessárias ao exato cumprimento da lei, sem prejuízo da competência do Tribunal de Contas da União; (Incluído pela EC 45/2004)</w:t>
      </w:r>
    </w:p>
    <w:p>
      <w:pPr>
        <w:ind w:left="144"/>
      </w:pPr>
      <w:r>
        <w:rPr>
          <w:b/>
          <w:color w:val="B45A00"/>
          <w:sz w:val="16"/>
        </w:rPr>
        <w:t>CONTROLE CONCENTRADO</w:t>
      </w:r>
    </w:p>
    <w:p>
      <w:pPr>
        <w:ind w:left="288"/>
      </w:pPr>
      <w:r>
        <w:rPr>
          <w:color w:val="8C8C8C"/>
          <w:sz w:val="12"/>
        </w:rPr>
        <w:t>cf-art-103-par-4</w:t>
      </w:r>
      <w:r>
        <w:rPr>
          <w:color w:val="003CA0"/>
          <w:sz w:val="12"/>
        </w:rPr>
        <w:t xml:space="preserve"> | ADC 12</w:t>
      </w:r>
      <w:r>
        <w:rPr>
          <w:color w:val="003CA0"/>
          <w:sz w:val="12"/>
        </w:rPr>
        <w:t xml:space="preserve"> | rel. Ayres Britto</w:t>
      </w:r>
    </w:p>
    <w:p>
      <w:pPr>
        <w:ind w:left="288"/>
      </w:pPr>
      <w:r>
        <w:rPr>
          <w:color w:val="1E1E1E"/>
          <w:sz w:val="18"/>
        </w:rPr>
        <w:t xml:space="preserve">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 estranho ao Poder Judiciário (art. 92, CF) e não está a submeter esse Poder à autoridade de nenhum </w:t>
      </w:r>
    </w:p>
    <w:p>
      <w:pPr>
        <w:ind w:left="288"/>
      </w:pPr>
      <w:r>
        <w:rPr>
          <w:b/>
          <w:color w:val="003CA0"/>
          <w:sz w:val="16"/>
        </w:rPr>
        <w:t>[ADC 12, rel. min. Ayres Britto, j. 20-8-2008, P, DJE de 18-12-2009.]</w:t>
      </w:r>
    </w:p>
    <w:p>
      <w:pPr>
        <w:ind w:left="144"/>
      </w:pPr>
      <w:r>
        <w:rPr>
          <w:b/>
          <w:color w:val="B45A00"/>
          <w:sz w:val="16"/>
        </w:rPr>
        <w:t>JULGADOS CORRELATOS</w:t>
      </w:r>
    </w:p>
    <w:p>
      <w:pPr>
        <w:ind w:left="288"/>
      </w:pPr>
      <w:r>
        <w:rPr>
          <w:color w:val="8C8C8C"/>
          <w:sz w:val="12"/>
        </w:rPr>
        <w:t>cf-art-103-par-4</w:t>
      </w:r>
      <w:r>
        <w:rPr>
          <w:color w:val="003CA0"/>
          <w:sz w:val="12"/>
        </w:rPr>
        <w:t xml:space="preserve"> | MS 28.112</w:t>
      </w:r>
      <w:r>
        <w:rPr>
          <w:color w:val="003CA0"/>
          <w:sz w:val="12"/>
        </w:rPr>
        <w:t xml:space="preserve"> | rel. Cármen Lúcia</w:t>
      </w:r>
    </w:p>
    <w:p>
      <w:pPr>
        <w:ind w:left="288"/>
      </w:pPr>
      <w:r>
        <w:rPr>
          <w:color w:val="1E1E1E"/>
          <w:sz w:val="18"/>
        </w:rPr>
        <w:t>Lei 8.223/2007 da Paraíba. Criação legal de cargos em comissão no Tribunal de Justiça estadual (...): assistentes administrativos. Ato do CNJ. Exoneração determinada. (...) Atuação do órgão de controle administrativo, financeiro e disciplinar da magistratura nacional nos limites da respectiva competência, afastando a validade dos atos administrativos e a aplicação de lei estadual na qual embasados e reputada pelo CNJ contrária à regra constitucional de ingresso no serviço público por concurso público, pela ausência dos requisitos caracterizadores do cargo comissionado. Insere-se entre as compe</w:t>
      </w:r>
    </w:p>
    <w:p>
      <w:pPr>
        <w:ind w:left="288"/>
      </w:pPr>
      <w:r>
        <w:rPr>
          <w:b/>
          <w:color w:val="003CA0"/>
          <w:sz w:val="16"/>
        </w:rPr>
        <w:t>[MS 33.455, rel. min. Gilmar Mendes, j. 15-9-2015, 2ª T, DJE de 1º-2-2016.]</w:t>
      </w:r>
    </w:p>
    <w:p>
      <w:pPr>
        <w:ind w:left="288"/>
      </w:pPr>
      <w:r>
        <w:rPr>
          <w:color w:val="8C8C8C"/>
          <w:sz w:val="12"/>
        </w:rPr>
        <w:t>cf-art-103-par-4</w:t>
      </w:r>
      <w:r>
        <w:rPr>
          <w:color w:val="003CA0"/>
          <w:sz w:val="12"/>
        </w:rPr>
        <w:t xml:space="preserve"> | MS 27.165</w:t>
      </w:r>
      <w:r>
        <w:rPr>
          <w:color w:val="003CA0"/>
          <w:sz w:val="12"/>
        </w:rPr>
        <w:t xml:space="preserve"> | rel. Joaquim Barbosa</w:t>
      </w:r>
    </w:p>
    <w:p>
      <w:pPr>
        <w:ind w:left="288"/>
      </w:pPr>
      <w:r>
        <w:rPr>
          <w:color w:val="1E1E1E"/>
          <w:sz w:val="18"/>
        </w:rPr>
        <w:t>Vide MS 27.165, rel. min. Joaquim Barbosa, j. 18-12-2008, P, DJE de 6-3-2009 Qualquer pessoa é parte legítima para representar ilegalidades perante o CNJ. Apuração que é de interesse público.</w:t>
        <w:br/>
        <w:t xml:space="preserve">[MS 28.620, rel. min. Dias Toffoli, j. 23-9-2014, 1ª T, DJE de 8-10-2014.] Mandado de segurança cujo objeto é decisão do CNJ em PCA [procedimento de controle administrativo] em que definida a possibilidade de o candidato cumular a pontuação prevista no edital para cada rubrica de títulos, desde que respeitado, no somatório geral, o teto de dois pontos. Em análise um concurso determinado, com seu edital – </w:t>
      </w:r>
    </w:p>
    <w:p>
      <w:pPr>
        <w:ind w:left="288"/>
      </w:pPr>
      <w:r>
        <w:rPr>
          <w:b/>
          <w:color w:val="003CA0"/>
          <w:sz w:val="16"/>
        </w:rPr>
        <w:t>[MS 28.290, MS 28.330, MS 28.375 e MS 28.477, rel. min. Rosa Weber, j. 4-12-2013, P, DJE de 9-5-2014.]</w:t>
      </w:r>
    </w:p>
    <w:p>
      <w:pPr>
        <w:ind w:left="288"/>
      </w:pPr>
      <w:r>
        <w:rPr>
          <w:color w:val="8C8C8C"/>
          <w:sz w:val="12"/>
        </w:rPr>
        <w:t>cf-art-103-par-4</w:t>
      </w:r>
      <w:r>
        <w:rPr>
          <w:color w:val="003CA0"/>
          <w:sz w:val="12"/>
        </w:rPr>
        <w:t xml:space="preserve"> | MS 28.872</w:t>
      </w:r>
      <w:r>
        <w:rPr>
          <w:color w:val="003CA0"/>
          <w:sz w:val="12"/>
        </w:rPr>
        <w:t xml:space="preserve"> | rel. Ricardo Lewandowski</w:t>
      </w:r>
    </w:p>
    <w:p>
      <w:pPr>
        <w:ind w:left="288"/>
      </w:pPr>
      <w:r>
        <w:rPr>
          <w:color w:val="1E1E1E"/>
          <w:sz w:val="18"/>
        </w:rPr>
        <w:t>O CNJ, embora seja órgão do Poder Judiciário, nos termos do art. 103-B, § 4º, II, da CF, possui, tão somente, atribuições de natureza administrativa e, nesse sentido, não lhe é permitido apreciar a constitucionalidade dos atos administrativos, mas somente sua legalidade.</w:t>
      </w:r>
    </w:p>
    <w:p>
      <w:pPr>
        <w:ind w:left="288"/>
      </w:pPr>
      <w:r>
        <w:rPr>
          <w:b/>
          <w:color w:val="003CA0"/>
          <w:sz w:val="16"/>
        </w:rPr>
        <w:t>[MS 28.872 AgR, rel. min. Ricardo Lewandowski, j. 24-2-2011, P, DJE de 18-3-2011.]</w:t>
      </w:r>
    </w:p>
    <w:p>
      <w:pPr>
        <w:ind w:left="288"/>
      </w:pPr>
      <w:r>
        <w:rPr>
          <w:color w:val="8C8C8C"/>
          <w:sz w:val="12"/>
        </w:rPr>
        <w:t>cf-art-103-par-4</w:t>
      </w:r>
      <w:r>
        <w:rPr>
          <w:color w:val="003CA0"/>
          <w:sz w:val="12"/>
        </w:rPr>
        <w:t xml:space="preserve"> | MS 26.163</w:t>
      </w:r>
      <w:r>
        <w:rPr>
          <w:color w:val="003CA0"/>
          <w:sz w:val="12"/>
        </w:rPr>
        <w:t xml:space="preserve"> | rel. Cármen Lúcia</w:t>
      </w:r>
    </w:p>
    <w:p>
      <w:pPr>
        <w:ind w:left="288"/>
      </w:pPr>
      <w:r>
        <w:rPr>
          <w:color w:val="1E1E1E"/>
          <w:sz w:val="18"/>
        </w:rPr>
        <w:t>O CNJ tem legitimidade para fiscalizar, inclusive de ofício, os atos administrativos praticados por órgãos do Poder Judiciário (MS 26.163, rel. min. Cármen Lúcia, DJE de 4-9-2008). Após a publicação do edital e no curso do certame, só se admite a alteração das regras do concurso se houver modificação na legislação que disciplina a respectiva carreira. Precedentes (RE 318.106, rel. min. Ellen Gracie, DJ de 18-11-2005).</w:t>
      </w:r>
    </w:p>
    <w:p>
      <w:pPr>
        <w:ind w:left="288"/>
      </w:pPr>
      <w:r>
        <w:rPr>
          <w:b/>
          <w:color w:val="003CA0"/>
          <w:sz w:val="16"/>
        </w:rPr>
        <w:t>[MS 27.165, rel. min. Joaquim Barbosa, j. 18-12-2008, P, DJE de 6-3-2009.]</w:t>
      </w:r>
    </w:p>
    <w:p>
      <w:pPr>
        <w:ind w:left="288"/>
      </w:pPr>
      <w:r>
        <w:rPr>
          <w:color w:val="8C8C8C"/>
          <w:sz w:val="12"/>
        </w:rPr>
        <w:t>cf-art-103-par-4</w:t>
      </w:r>
      <w:r>
        <w:rPr>
          <w:color w:val="003CA0"/>
          <w:sz w:val="12"/>
        </w:rPr>
        <w:t xml:space="preserve"> | MS 33.455</w:t>
      </w:r>
      <w:r>
        <w:rPr>
          <w:color w:val="003CA0"/>
          <w:sz w:val="12"/>
        </w:rPr>
        <w:t xml:space="preserve"> | rel. Gilmar Mendes</w:t>
      </w:r>
    </w:p>
    <w:p>
      <w:pPr>
        <w:ind w:left="288"/>
      </w:pPr>
      <w:r>
        <w:rPr>
          <w:color w:val="1E1E1E"/>
          <w:sz w:val="18"/>
        </w:rPr>
        <w:t>Vide MS 33.455, rel. min. Gilmar Mendes, j. 15-9-2015, 2ª T, DJE de 1º-2-2016 Mandado de segurança. Concurso público para a magistratura do Estado do Amapá. Anulação. Legitimidade do CNJ para fiscalizar de ofício os atos administrativos praticados por órgãos do Poder Judiciário. (...) Os arts. 95 e 97 do Regimento Interno do CNJ autorizam-lhe instaurar, de ofício, procedimento administrativo para fiscalização de atos praticados por órgãos do Poder Judiciário.</w:t>
      </w:r>
    </w:p>
    <w:p>
      <w:pPr>
        <w:ind w:left="288"/>
      </w:pPr>
      <w:r>
        <w:rPr>
          <w:b/>
          <w:color w:val="003CA0"/>
          <w:sz w:val="16"/>
        </w:rPr>
        <w:t>[MS 26.163, rel. min. Cármen Lúcia, j. 24-4-2008, P, DJE de 5-9-2008.]</w:t>
      </w:r>
    </w:p>
    <w:p>
      <w:pPr>
        <w:ind w:left="288"/>
      </w:pPr>
      <w:r>
        <w:rPr>
          <w:color w:val="8C8C8C"/>
          <w:sz w:val="12"/>
        </w:rPr>
        <w:t>cf-art-103-par-4</w:t>
      </w:r>
      <w:r>
        <w:rPr>
          <w:color w:val="003CA0"/>
          <w:sz w:val="12"/>
        </w:rPr>
        <w:t xml:space="preserve"> | MS 26.284</w:t>
      </w:r>
      <w:r>
        <w:rPr>
          <w:color w:val="003CA0"/>
          <w:sz w:val="12"/>
        </w:rPr>
        <w:t xml:space="preserve"> | rel. Menezes Direito</w:t>
      </w:r>
    </w:p>
    <w:p>
      <w:pPr>
        <w:ind w:left="288"/>
      </w:pPr>
      <w:r>
        <w:rPr>
          <w:color w:val="1E1E1E"/>
          <w:sz w:val="18"/>
        </w:rPr>
        <w:t>Manifestamente impertinente a alegação de que o PCA 143, instaurado no CNJ, teria tratado da anulação de decisão judicial e não de ato com caráter administrativo. O ato impugnado perante o CNJ tem natureza administrativa, relativo à homologação de concurso público, matéria afeta à administração do Tribunal. Trata-se do exercício do controle administrativo dos próprios atos do Judiciário. A decisão do CNJ, devidamente fundamentada, esclareceu que houve a revisão individual das provas e que apenas duas candidatas obtiveram acréscimo em suas notas, concluindo pela ilegalidade no arredondamento fe</w:t>
      </w:r>
    </w:p>
    <w:p>
      <w:pPr>
        <w:ind w:left="288"/>
      </w:pPr>
      <w:r>
        <w:rPr>
          <w:b/>
          <w:color w:val="003CA0"/>
          <w:sz w:val="16"/>
        </w:rPr>
        <w:t>[MS 26.284, rel. min. Menezes Direito, j. 31-3-2008, P, DJE de 13-6-2008.]</w:t>
      </w:r>
    </w:p>
    <w:p>
      <w:pPr>
        <w:ind w:left="288"/>
      </w:pPr>
      <w:r>
        <w:rPr>
          <w:color w:val="8C8C8C"/>
          <w:sz w:val="12"/>
        </w:rPr>
        <w:t>cf-art-103-par-4</w:t>
      </w:r>
      <w:r>
        <w:rPr>
          <w:color w:val="003CA0"/>
          <w:sz w:val="12"/>
        </w:rPr>
        <w:t xml:space="preserve"> | MS 26.302</w:t>
      </w:r>
      <w:r>
        <w:rPr>
          <w:color w:val="003CA0"/>
          <w:sz w:val="12"/>
        </w:rPr>
        <w:t xml:space="preserve"> | rel. Cármen Lúcia</w:t>
      </w:r>
    </w:p>
    <w:p>
      <w:pPr>
        <w:ind w:left="288"/>
      </w:pPr>
      <w:r>
        <w:rPr>
          <w:color w:val="1E1E1E"/>
          <w:sz w:val="18"/>
        </w:rPr>
        <w:t>= MS 26.302 AgR, rel. min. Cármen Lúcia, j. 17-11-2011, P, DJE de 13-12-2011 III - receber e conhecer das reclamações contra membros ou órgãos do Poder Judiciário, inclusive contra seus serviços auxiliares, serventias e órgãos prestadores de serviços notariais e de registro que atuem por delegação do poder público ou oficializados, sem prejuízo da competência disciplinar e correicional dos tribunais, podendo avocar processos disciplinares em curso, determinar a remoção ou a disponibilidade e aplicar outras sanções administrativas, assegurada ampla defesa; (Redação da EC 103/2019)</w:t>
      </w:r>
    </w:p>
    <w:p>
      <w:pPr>
        <w:ind w:left="288"/>
      </w:pPr>
      <w:r>
        <w:rPr>
          <w:color w:val="8C8C8C"/>
          <w:sz w:val="12"/>
        </w:rPr>
        <w:t>cf-art-103-par-4</w:t>
      </w:r>
      <w:r>
        <w:rPr>
          <w:color w:val="003CA0"/>
          <w:sz w:val="12"/>
        </w:rPr>
        <w:t xml:space="preserve"> | AO 2.702</w:t>
      </w:r>
      <w:r>
        <w:rPr>
          <w:color w:val="003CA0"/>
          <w:sz w:val="12"/>
        </w:rPr>
        <w:t xml:space="preserve"> | rel. Alexandre de Moraes</w:t>
      </w:r>
    </w:p>
    <w:p>
      <w:pPr>
        <w:ind w:left="288"/>
      </w:pPr>
      <w:r>
        <w:rPr>
          <w:color w:val="1E1E1E"/>
          <w:sz w:val="18"/>
        </w:rPr>
        <w:t>Serventia extrajudicial. Interinidade. Vedação ao nepotismo. Atuação do CNJ conforme suas prerrogativas constitucionais. (...) O Conselho Nacional de Justiça agiu no estrito âmbito de suas atribuições constitucionais, com destaque para a fiscalização do serviço notarial e de registro (arts. 103-B, § 4º, I e III, e 236, § 1º, da CF/88), ao proibir a prática do nepotismo no desempenho destes serviços em período de interinidade, dando concretude aos princípios constitucionais que informam a administração Pública. (...) A atividade desempenhada em caráter de interinidade, a despeito de iniciada po</w:t>
      </w:r>
    </w:p>
    <w:p>
      <w:pPr>
        <w:ind w:left="288"/>
      </w:pPr>
      <w:r>
        <w:rPr>
          <w:b/>
          <w:color w:val="003CA0"/>
          <w:sz w:val="16"/>
        </w:rPr>
        <w:t>[AO 2.702 AgR, rel. min. Alexandre de Moraes, j. 14-11-2022, 1ª T, DJE de 17-11-2022.]</w:t>
      </w:r>
    </w:p>
    <w:p>
      <w:pPr>
        <w:ind w:left="288"/>
      </w:pPr>
      <w:r>
        <w:rPr>
          <w:color w:val="8C8C8C"/>
          <w:sz w:val="12"/>
        </w:rPr>
        <w:t>cf-art-103-par-4-inc-V</w:t>
      </w:r>
      <w:r>
        <w:rPr>
          <w:color w:val="003CA0"/>
          <w:sz w:val="12"/>
        </w:rPr>
        <w:t xml:space="preserve"> | AO 2.650</w:t>
      </w:r>
      <w:r>
        <w:rPr>
          <w:color w:val="003CA0"/>
          <w:sz w:val="12"/>
        </w:rPr>
        <w:t xml:space="preserve"> | rel. Rosa Weber</w:t>
      </w:r>
    </w:p>
    <w:p>
      <w:pPr>
        <w:ind w:left="288"/>
      </w:pPr>
      <w:r>
        <w:rPr>
          <w:color w:val="1E1E1E"/>
          <w:sz w:val="18"/>
        </w:rPr>
        <w:t>É valida a publicação no DJE para efeito de intimação e ciência inequívoca do resultado do processo administrativo envolvendo magistrado na Corte local, inexistindo regra que exija a dupla intimação (do advogado, via da DJE, e do magistrado, pessoalmente) para iniciar a contagem do prazo de decadência do Pedido de Revisão Disciplinar previsto no art. 103-B, § 4º, V, da CF.</w:t>
      </w:r>
    </w:p>
    <w:p>
      <w:pPr>
        <w:ind w:left="288"/>
      </w:pPr>
      <w:r>
        <w:rPr>
          <w:b/>
          <w:color w:val="003CA0"/>
          <w:sz w:val="16"/>
        </w:rPr>
        <w:t>[AO 2.650, rel. min. Rosa Weber, j. 22-8-2022, 1ª T, DJE de 25-8-2022.]</w:t>
      </w:r>
    </w:p>
    <w:p>
      <w:pPr>
        <w:ind w:left="288"/>
      </w:pPr>
      <w:r>
        <w:rPr>
          <w:color w:val="8C8C8C"/>
          <w:sz w:val="12"/>
        </w:rPr>
        <w:t>cf-art-103-par-4-inc-V</w:t>
      </w:r>
      <w:r>
        <w:rPr>
          <w:color w:val="003CA0"/>
          <w:sz w:val="12"/>
        </w:rPr>
        <w:t xml:space="preserve"> | MS 34.685</w:t>
      </w:r>
      <w:r>
        <w:rPr>
          <w:color w:val="003CA0"/>
          <w:sz w:val="12"/>
        </w:rPr>
        <w:t xml:space="preserve"> | rel. Dias Toffoli</w:t>
      </w:r>
    </w:p>
    <w:p>
      <w:pPr>
        <w:ind w:left="288"/>
      </w:pPr>
      <w:r>
        <w:rPr>
          <w:color w:val="1E1E1E"/>
          <w:sz w:val="18"/>
        </w:rPr>
        <w:t>O STF assentou que o CNJ possui atribuição correicional originária e autônoma, não se tratando de atuação subsidiária frente aos órgãos de correição local, mas sim de competência concorrente, de modo que seu exercício não se submete a condicionantes. (...) A atuação do Conselho Nacional de Justiça, no caso, decorreu do exercício de competência correicional originária, não revisional. Inaplicável, assim, o parâmetro temporal inserto no art. 103-B, § 4º, inciso V, da Constituição Federal (“rever, de ofício ou mediante provocação, os processos disciplinares de juízes e membros de tribunais julgad</w:t>
      </w:r>
    </w:p>
    <w:p>
      <w:pPr>
        <w:ind w:left="288"/>
      </w:pPr>
      <w:r>
        <w:rPr>
          <w:b/>
          <w:color w:val="003CA0"/>
          <w:sz w:val="16"/>
        </w:rPr>
        <w:t>[MS 34.685 AgR, rel. min. Dias Toffoli, j. 28-11-2017, 2ª T, DJE de 23-3-2018.]</w:t>
      </w:r>
    </w:p>
    <w:p>
      <w:pPr>
        <w:ind w:left="288"/>
      </w:pPr>
      <w:r>
        <w:rPr>
          <w:color w:val="8C8C8C"/>
          <w:sz w:val="12"/>
        </w:rPr>
        <w:t>cf-art-103-par-4-inc-V</w:t>
      </w:r>
      <w:r>
        <w:rPr>
          <w:color w:val="003CA0"/>
          <w:sz w:val="12"/>
        </w:rPr>
        <w:t xml:space="preserve"> | MS 28.127</w:t>
      </w:r>
      <w:r>
        <w:rPr>
          <w:color w:val="003CA0"/>
          <w:sz w:val="12"/>
        </w:rPr>
        <w:t xml:space="preserve"> | rel. Dias Toffoli</w:t>
      </w:r>
    </w:p>
    <w:p>
      <w:pPr>
        <w:ind w:left="288"/>
      </w:pPr>
      <w:r>
        <w:rPr>
          <w:color w:val="1E1E1E"/>
          <w:sz w:val="18"/>
        </w:rPr>
        <w:t>Compete ao Plenário do CNJ instaurar, de ofício, processo de revisão disciplinar (art. 86 do RICNJ), consistindo o posterior despacho do corregedor nacional de justiça mera execução material da decisão administrativa. O julgamento pelo Plenário do CNJ ocorreu em data anterior ao decurso do prazo disposto no inciso V do § 4º do art. 103-B da CF, razão pela qual não se configura a decadência do direito do poder público de instaurar o procedimento. A instauração de ofício foi motivada nos elementos do processo disciplinar objeto da revisão, os quais eram de conhecimento do impetrante, uma vez que</w:t>
      </w:r>
    </w:p>
    <w:p>
      <w:pPr>
        <w:ind w:left="288"/>
      </w:pPr>
      <w:r>
        <w:rPr>
          <w:b/>
          <w:color w:val="003CA0"/>
          <w:sz w:val="16"/>
        </w:rPr>
        <w:t>[MS 26.540, rel. min. Cármen Lúcia, j. 24-6-2014, 2ª T, DJE de 1º-8-2014.]</w:t>
      </w:r>
    </w:p>
    <w:p>
      <w:pPr>
        <w:ind w:left="288"/>
      </w:pPr>
      <w:r>
        <w:rPr>
          <w:color w:val="8C8C8C"/>
          <w:sz w:val="12"/>
        </w:rPr>
        <w:t>cf-art-103-par-4-inc-V</w:t>
      </w:r>
      <w:r>
        <w:rPr>
          <w:color w:val="003CA0"/>
          <w:sz w:val="12"/>
        </w:rPr>
        <w:t xml:space="preserve"> | MS 27.767</w:t>
      </w:r>
      <w:r>
        <w:rPr>
          <w:color w:val="003CA0"/>
          <w:sz w:val="12"/>
        </w:rPr>
        <w:t xml:space="preserve"> | rel. Ricardo Lewandowski</w:t>
      </w:r>
    </w:p>
    <w:p>
      <w:pPr>
        <w:ind w:left="288"/>
      </w:pPr>
      <w:r>
        <w:rPr>
          <w:color w:val="1E1E1E"/>
          <w:sz w:val="18"/>
        </w:rPr>
        <w:t>O pedido de revisão disciplinar para o CNJ deve ser feito até um ano após o julgamento do processo disciplinar pelo respectivo tribunal, nos termos do art. 103-B, § 4º, V, da Constituição. Dessa forma, esgotado tal prazo só restará ao interessado socorrer-se da via judicial para discutir a punição que lhe foi aplicada.</w:t>
      </w:r>
    </w:p>
    <w:p>
      <w:pPr>
        <w:ind w:left="288"/>
      </w:pPr>
      <w:r>
        <w:rPr>
          <w:b/>
          <w:color w:val="003CA0"/>
          <w:sz w:val="16"/>
        </w:rPr>
        <w:t>[MS 27.767 AgR, rel. min. Ricardo Lewandowski, j. 23-3-2011, P, DJE de 8-4-2011.]</w:t>
      </w:r>
    </w:p>
    <w:p>
      <w:pPr>
        <w:ind w:left="288"/>
      </w:pPr>
      <w:r>
        <w:rPr>
          <w:color w:val="8C8C8C"/>
          <w:sz w:val="12"/>
        </w:rPr>
        <w:t>cf-art-103-par-4-inc-VI</w:t>
      </w:r>
    </w:p>
    <w:p>
      <w:pPr>
        <w:ind w:left="288"/>
      </w:pPr>
      <w:r>
        <w:rPr>
          <w:color w:val="1E1E1E"/>
          <w:sz w:val="18"/>
        </w:rPr>
        <w:t>VII - elaborar relatório anual, propondo as providências que julgar necessárias, sobre a situação do Poder Judiciário no País e as atividades do Conselho, o qual deve integrar mensagem do Presidente do Supremo Tribunal Federal a ser remetida ao Congresso Nacional, por ocasião da abertura da sessão legislativa. (Incluído pela EC 45/2004)</w:t>
      </w:r>
    </w:p>
    <w:p>
      <w:pPr>
        <w:ind w:left="144"/>
      </w:pPr>
      <w:r>
        <w:rPr>
          <w:b/>
          <w:color w:val="B45A00"/>
          <w:sz w:val="16"/>
        </w:rPr>
        <w:t>CONTROLE CONCENTRADO</w:t>
      </w:r>
    </w:p>
    <w:p>
      <w:pPr>
        <w:ind w:left="288"/>
      </w:pPr>
      <w:r>
        <w:rPr>
          <w:color w:val="8C8C8C"/>
          <w:sz w:val="12"/>
        </w:rPr>
        <w:t>cf-art-103-par-5</w:t>
      </w:r>
      <w:r>
        <w:rPr>
          <w:color w:val="003CA0"/>
          <w:sz w:val="12"/>
        </w:rPr>
        <w:t xml:space="preserve"> | ADI 4.709</w:t>
      </w:r>
      <w:r>
        <w:rPr>
          <w:color w:val="003CA0"/>
          <w:sz w:val="12"/>
        </w:rPr>
        <w:t xml:space="preserve"> | rel. Rosa Weber</w:t>
      </w:r>
    </w:p>
    <w:p>
      <w:pPr>
        <w:ind w:left="288"/>
      </w:pPr>
      <w:r>
        <w:rPr>
          <w:color w:val="1E1E1E"/>
          <w:sz w:val="18"/>
        </w:rPr>
        <w:t xml:space="preserve">Art. 8º, V, do Regimento Interno do Conselho Nacional de Justiça. Atribuições do Corregedor Nacional de Justiça. Requisição de dados sigilosos em processos ou procedimentos administrativos de sua Competência. (...) Corregedoria Nacional de Justiça é órgão destacado, pela Constituição Federal, na arquitetura do CNJ e do controle interno do Poder Judiciário e da magistratura nacional. O arranjo institucional permite perceber atribuições próprias que visam a densificar o papel constitucional de concretização dos valores republicanos, o que afasta a alegação de inconstitucionalidade na atribuição </w:t>
      </w:r>
    </w:p>
    <w:p>
      <w:pPr>
        <w:ind w:left="288"/>
      </w:pPr>
      <w:r>
        <w:rPr>
          <w:b/>
          <w:color w:val="003CA0"/>
          <w:sz w:val="16"/>
        </w:rPr>
        <w:t>[ADI 4.709, rel. min. Rosa Weber, j. 30-5-2022, P, DJE de 9-6-2022.]</w:t>
      </w:r>
    </w:p>
    <w:p>
      <w:pPr>
        <w:ind w:left="144"/>
      </w:pPr>
      <w:r>
        <w:rPr>
          <w:b/>
          <w:color w:val="B45A00"/>
          <w:sz w:val="16"/>
        </w:rPr>
        <w:t>JULGADOS CORRELATOS</w:t>
      </w:r>
    </w:p>
    <w:p>
      <w:pPr>
        <w:ind w:left="288"/>
      </w:pPr>
      <w:r>
        <w:rPr>
          <w:color w:val="8C8C8C"/>
          <w:sz w:val="12"/>
        </w:rPr>
        <w:t>cf-art-103-par-6</w:t>
      </w:r>
      <w:r>
        <w:rPr>
          <w:color w:val="003CA0"/>
          <w:sz w:val="12"/>
        </w:rPr>
        <w:t xml:space="preserve"> | MS 25.879</w:t>
      </w:r>
      <w:r>
        <w:rPr>
          <w:color w:val="003CA0"/>
          <w:sz w:val="12"/>
        </w:rPr>
        <w:t xml:space="preserve"> | rel. Sepúlveda Pertence</w:t>
      </w:r>
    </w:p>
    <w:p>
      <w:pPr>
        <w:ind w:left="288"/>
      </w:pPr>
      <w:r>
        <w:rPr>
          <w:color w:val="1E1E1E"/>
          <w:sz w:val="18"/>
        </w:rPr>
        <w:t>Ainda que disponha o art. 103-B, § 6º, da CF que "junto ao Conselho oficiarão o PGR e o presidente do Conselho Federal da OAB", a ausência destes às sessões do Conselho não importa em nulidade das mesmas.</w:t>
      </w:r>
    </w:p>
    <w:p>
      <w:pPr>
        <w:ind w:left="288"/>
      </w:pPr>
      <w:r>
        <w:rPr>
          <w:b/>
          <w:color w:val="003CA0"/>
          <w:sz w:val="16"/>
        </w:rPr>
        <w:t>[MS 25.879 AgR, rel. min. Sepúlveda Pertence, j. 23-8-2006, P, DJ de 8-9-2006.]</w:t>
      </w:r>
    </w:p>
    <w:p>
      <w:pPr>
        <w:ind w:left="288"/>
      </w:pPr>
      <w:r>
        <w:rPr>
          <w:color w:val="8C8C8C"/>
          <w:sz w:val="12"/>
        </w:rPr>
        <w:t>cf-art-103-par-6</w:t>
      </w:r>
    </w:p>
    <w:p>
      <w:pPr>
        <w:ind w:left="288"/>
      </w:pPr>
      <w:r>
        <w:rPr>
          <w:color w:val="1E1E1E"/>
          <w:sz w:val="18"/>
        </w:rPr>
        <w:t>§ 7º A União, inclusive no Distrito Federal e nos Territórios, criará ouvidorias de justiça, competentes para receber reclamações e denúncias de qualquer interessado contra membros ou órgãos do Poder Judiciário, ou contra seus serviços auxiliares, representando diretamente ao Conselho Nacional de Justiça. (Incluído pela EC 45/2004) Seção III Do Superior Tribunal de Justiça SUMÁRIO</w:t>
      </w:r>
    </w:p>
    <w:p>
      <w:pPr>
        <w:ind w:left="720"/>
      </w:pPr>
      <w:r>
        <w:rPr>
          <w:color w:val="003366"/>
          <w:sz w:val="18"/>
        </w:rPr>
        <w:t>I – o Presidente da República;</w:t>
      </w:r>
    </w:p>
    <w:p>
      <w:pPr>
        <w:ind w:left="720"/>
      </w:pPr>
      <w:r>
        <w:rPr>
          <w:color w:val="003366"/>
          <w:sz w:val="18"/>
        </w:rPr>
        <w:t>II – a Mesa do Senado Federal;</w:t>
      </w:r>
    </w:p>
    <w:p>
      <w:pPr>
        <w:ind w:left="720"/>
      </w:pPr>
      <w:r>
        <w:rPr>
          <w:color w:val="003366"/>
          <w:sz w:val="18"/>
        </w:rPr>
        <w:t>III – a Mesa da Câmara dos Deputados;</w:t>
      </w:r>
    </w:p>
    <w:p>
      <w:pPr>
        <w:ind w:left="720"/>
      </w:pPr>
      <w:r>
        <w:rPr>
          <w:color w:val="003366"/>
          <w:sz w:val="18"/>
        </w:rPr>
        <w:t>IV – a Mesa de Assembléia Legislativa ou da Câmara Legislativa do Distrito Feder</w:t>
      </w:r>
    </w:p>
    <w:p>
      <w:pPr>
        <w:ind w:left="720"/>
      </w:pPr>
      <w:r>
        <w:rPr>
          <w:color w:val="003366"/>
          <w:sz w:val="18"/>
        </w:rPr>
        <w:t>V – o Governador de Estado ou do Distrito Federal; (Redação dada pela Emenda Con</w:t>
      </w:r>
    </w:p>
    <w:p>
      <w:pPr>
        <w:ind w:left="720"/>
      </w:pPr>
      <w:r>
        <w:rPr>
          <w:color w:val="003366"/>
          <w:sz w:val="18"/>
        </w:rPr>
        <w:t>VI – o Procurador-Geral da República;</w:t>
      </w:r>
    </w:p>
    <w:p>
      <w:pPr>
        <w:ind w:left="720"/>
      </w:pPr>
      <w:r>
        <w:rPr>
          <w:color w:val="003366"/>
          <w:sz w:val="18"/>
        </w:rPr>
        <w:t>VII – o Conselho Federal da Ordem dos Advogados do Brasil;</w:t>
      </w:r>
    </w:p>
    <w:p>
      <w:pPr>
        <w:ind w:left="720"/>
      </w:pPr>
      <w:r>
        <w:rPr>
          <w:color w:val="003366"/>
          <w:sz w:val="18"/>
        </w:rPr>
        <w:t>VIII – partido político com representação no Congresso Nacional;</w:t>
      </w:r>
    </w:p>
    <w:p>
      <w:pPr>
        <w:ind w:left="720"/>
      </w:pPr>
      <w:r>
        <w:rPr>
          <w:color w:val="003366"/>
          <w:sz w:val="18"/>
        </w:rPr>
        <w:t>IX – confederação sindical ou entidade de classe de âmbito nacional.</w:t>
      </w:r>
    </w:p>
    <w:p>
      <w:pPr>
        <w:ind w:left="432"/>
      </w:pPr>
      <w:r>
        <w:rPr>
          <w:color w:val="003366"/>
          <w:sz w:val="18"/>
        </w:rPr>
        <w:t>§ 1 O Procurador-Geral da República deverá ser previamente ouvido nas ações de i</w:t>
      </w:r>
    </w:p>
    <w:p>
      <w:pPr>
        <w:ind w:left="432"/>
      </w:pPr>
      <w:r>
        <w:rPr>
          <w:color w:val="003366"/>
          <w:sz w:val="18"/>
        </w:rPr>
        <w:t xml:space="preserve">§ 2 Declarada a inconstitucionalidade por omissão de medida para tornar efetiva </w:t>
      </w:r>
    </w:p>
    <w:p>
      <w:pPr>
        <w:ind w:left="432"/>
      </w:pPr>
      <w:r>
        <w:rPr>
          <w:color w:val="003366"/>
          <w:sz w:val="18"/>
        </w:rPr>
        <w:t>§ 3 Quando o Supremo Tribunal Federal apreciar a inconstitucionalidade, em tese,</w:t>
      </w:r>
    </w:p>
    <w:p>
      <w:pPr>
        <w:ind w:left="432"/>
      </w:pPr>
      <w:r>
        <w:rPr>
          <w:color w:val="003366"/>
          <w:sz w:val="18"/>
        </w:rPr>
        <w:t>§ 4 º (Revogado pela Emenda Constitucional nº 45, de 2004)</w:t>
      </w:r>
    </w:p>
    <w:p>
      <w:r>
        <w:rPr>
          <w:b/>
          <w:color w:val="003366"/>
          <w:sz w:val="20"/>
        </w:rPr>
        <w:t>Art. 103 A. O Supremo Tribunal Federal poderá, de ofício ou por provocação, medi</w:t>
      </w:r>
      <w:r>
        <w:rPr>
          <w:color w:val="8C8C8C"/>
          <w:sz w:val="14"/>
        </w:rPr>
        <w:t xml:space="preserve">  [114 decisoes]</w:t>
      </w:r>
    </w:p>
    <w:p>
      <w:pPr>
        <w:ind w:left="144"/>
      </w:pPr>
      <w:r>
        <w:rPr>
          <w:b/>
          <w:color w:val="B45A00"/>
          <w:sz w:val="16"/>
        </w:rPr>
        <w:t>CONTROLE CONCENTRADO</w:t>
      </w:r>
    </w:p>
    <w:p>
      <w:pPr>
        <w:ind w:left="288"/>
      </w:pPr>
      <w:r>
        <w:rPr>
          <w:color w:val="8C8C8C"/>
          <w:sz w:val="12"/>
        </w:rPr>
        <w:t>cf-art-103</w:t>
      </w:r>
      <w:r>
        <w:rPr>
          <w:color w:val="003CA0"/>
          <w:sz w:val="12"/>
        </w:rPr>
        <w:t xml:space="preserve"> | ADI 4.654</w:t>
      </w:r>
      <w:r>
        <w:rPr>
          <w:color w:val="003CA0"/>
          <w:sz w:val="12"/>
        </w:rPr>
        <w:t xml:space="preserve"> | rel. Gilmar Mendes</w:t>
      </w:r>
    </w:p>
    <w:p>
      <w:pPr>
        <w:ind w:left="288"/>
      </w:pPr>
      <w:r>
        <w:rPr>
          <w:color w:val="1E1E1E"/>
          <w:sz w:val="18"/>
        </w:rPr>
        <w:t>(...) os Municípios não figuram no rol de entidades legitimadas para a propositura de ação direta de inconstitucionalidade perante esta Corte previsto nos arts. 103 da Constituição e 2º da Lei 9.868/1999.</w:t>
      </w:r>
    </w:p>
    <w:p>
      <w:pPr>
        <w:ind w:left="288"/>
      </w:pPr>
      <w:r>
        <w:rPr>
          <w:b/>
          <w:color w:val="003CA0"/>
          <w:sz w:val="16"/>
        </w:rPr>
        <w:t>[ADI 4.654, rel. min. Gilmar Mendes, j. 28-11-2011, dec. monocrática, DJE de 2-12-2011.]</w:t>
      </w:r>
    </w:p>
    <w:p>
      <w:pPr>
        <w:ind w:left="288"/>
      </w:pPr>
      <w:r>
        <w:rPr>
          <w:color w:val="8C8C8C"/>
          <w:sz w:val="12"/>
        </w:rPr>
        <w:t>cf-art-103</w:t>
      </w:r>
      <w:r>
        <w:rPr>
          <w:color w:val="003CA0"/>
          <w:sz w:val="12"/>
        </w:rPr>
        <w:t xml:space="preserve"> | ADPF 148</w:t>
      </w:r>
      <w:r>
        <w:rPr>
          <w:color w:val="003CA0"/>
          <w:sz w:val="12"/>
        </w:rPr>
        <w:t xml:space="preserve"> | rel. Cezar Peluso</w:t>
      </w:r>
    </w:p>
    <w:p>
      <w:pPr>
        <w:ind w:left="288"/>
      </w:pPr>
      <w:r>
        <w:rPr>
          <w:color w:val="1E1E1E"/>
          <w:sz w:val="18"/>
        </w:rPr>
        <w:t>Legitimidade. Ativa. Inexistência. Arguição por descumprimento de preceito fundamental (ADPF). Prefeito municipal. Autor não legitimado para ação direta de inconstitucionalidade. Ilegitimidade reconhecida. Negativa de seguimento ao pedido. Recurso, ademais, impertinente. Agravo improvido. Aplicação do art. 2º, I, da Lei federal 9.882/1999. Precedentes. Quem não tem legitimidade para propor ação direta de inconstitucionalidade não a tem para arguição de descumprimento de preceito fundamental.</w:t>
      </w:r>
    </w:p>
    <w:p>
      <w:pPr>
        <w:ind w:left="288"/>
      </w:pPr>
      <w:r>
        <w:rPr>
          <w:b/>
          <w:color w:val="003CA0"/>
          <w:sz w:val="16"/>
        </w:rPr>
        <w:t>[ADPF 148 AgR, rel. min. Cezar Peluso, j. 3-12-2008, P, DJE de 6-2-2009.]</w:t>
      </w:r>
    </w:p>
    <w:p>
      <w:pPr>
        <w:ind w:left="288"/>
      </w:pPr>
      <w:r>
        <w:rPr>
          <w:color w:val="8C8C8C"/>
          <w:sz w:val="12"/>
        </w:rPr>
        <w:t>cf-art-103</w:t>
      </w:r>
      <w:r>
        <w:rPr>
          <w:color w:val="003CA0"/>
          <w:sz w:val="12"/>
        </w:rPr>
        <w:t xml:space="preserve"> | ADPF 75</w:t>
      </w:r>
      <w:r>
        <w:rPr>
          <w:color w:val="003CA0"/>
          <w:sz w:val="12"/>
        </w:rPr>
        <w:t xml:space="preserve"> | rel. Ricardo Lewandowski</w:t>
      </w:r>
    </w:p>
    <w:p>
      <w:pPr>
        <w:ind w:left="288"/>
      </w:pPr>
      <w:r>
        <w:rPr>
          <w:color w:val="1E1E1E"/>
          <w:sz w:val="18"/>
        </w:rPr>
        <w:t>Os legitimados para propor arguição de descumprimento de preceito fundamental se encontram definidos, em numerus clausus, no art. 103 da Constituição da República, nos termos do disposto no art. 2º, I, da Lei 9.882/1999. Impossibilidade de ampliação do rol exaustivo inscrito na CF. Idoneidade da decisão de não conhecimento da arguição de descumprimento de preceito fundamental.</w:t>
      </w:r>
    </w:p>
    <w:p>
      <w:pPr>
        <w:ind w:left="288"/>
      </w:pPr>
      <w:r>
        <w:rPr>
          <w:b/>
          <w:color w:val="003CA0"/>
          <w:sz w:val="16"/>
        </w:rPr>
        <w:t>[ADPF 75 AgR, rel. min. Ricardo Lewandowski, j. 3-5-2006, P, DJ de 2-6-2006.]</w:t>
      </w:r>
    </w:p>
    <w:p>
      <w:pPr>
        <w:ind w:left="288"/>
      </w:pPr>
      <w:r>
        <w:rPr>
          <w:color w:val="8C8C8C"/>
          <w:sz w:val="12"/>
        </w:rPr>
        <w:t>cf-art-103</w:t>
      </w:r>
      <w:r>
        <w:rPr>
          <w:color w:val="003CA0"/>
          <w:sz w:val="12"/>
        </w:rPr>
        <w:t xml:space="preserve"> | ADI 1.105</w:t>
      </w:r>
      <w:r>
        <w:rPr>
          <w:color w:val="003CA0"/>
          <w:sz w:val="12"/>
        </w:rPr>
        <w:t xml:space="preserve"> | rel. Maurício Corrêa</w:t>
      </w:r>
    </w:p>
    <w:p>
      <w:pPr>
        <w:ind w:left="288"/>
      </w:pPr>
      <w:r>
        <w:rPr>
          <w:color w:val="1E1E1E"/>
          <w:sz w:val="18"/>
        </w:rPr>
        <w:t>Recurso interposto por terceiro prejudicado. Não cabimento. Precedentes. Embargos de declaração opostos pela OAB. Legitimidade. Questão de ordem resolvida no sentido de que é incabível a interposição de qualquer espécie de recurso por quem, embora legitimado para a propositura da ação direta, nela não figure como requerente ou requerido.</w:t>
      </w:r>
    </w:p>
    <w:p>
      <w:pPr>
        <w:ind w:left="288"/>
      </w:pPr>
      <w:r>
        <w:rPr>
          <w:b/>
          <w:color w:val="003CA0"/>
          <w:sz w:val="16"/>
        </w:rPr>
        <w:t>[ADI 1.105 MC-ED-QO, rel. min. Maurício Corrêa, j. 23-8-2001, P, DJ de 16-11-2001.]</w:t>
      </w:r>
    </w:p>
    <w:p>
      <w:pPr>
        <w:ind w:left="288"/>
      </w:pPr>
      <w:r>
        <w:rPr>
          <w:color w:val="8C8C8C"/>
          <w:sz w:val="12"/>
        </w:rPr>
        <w:t>cf-art-103</w:t>
      </w:r>
      <w:r>
        <w:rPr>
          <w:color w:val="003CA0"/>
          <w:sz w:val="12"/>
        </w:rPr>
        <w:t xml:space="preserve"> | ADI 1.105</w:t>
      </w:r>
      <w:r>
        <w:rPr>
          <w:color w:val="003CA0"/>
          <w:sz w:val="12"/>
        </w:rPr>
        <w:t xml:space="preserve"> | rel. Ricardo Lewandowski</w:t>
      </w:r>
    </w:p>
    <w:p>
      <w:pPr>
        <w:ind w:left="288"/>
      </w:pPr>
      <w:r>
        <w:rPr>
          <w:color w:val="1E1E1E"/>
          <w:sz w:val="18"/>
        </w:rPr>
        <w:t>= ADI 1.105 ED-segundos, rel. min. Ricardo Lewandowski, j. 1º-8-2011, P, DJE de 30-8-2011 Ação direta de inconstitucionalidade. Processo de caráter objetivo. Inclusão de entidade privada no polo passivo da relação processual. Inadmissibilidade. (...) Não se discutem situações individuais no âmbito do controle abstrato de normas, precisamente em face do caráter objetivo de que se reveste o processo de fiscalização concentrada de constitucionalidade. O círculo de sujeitos processuais legitimados a intervir na ação direta de inconstitucionalidade revela-se extremamente limitado, pois nela só pode</w:t>
      </w:r>
    </w:p>
    <w:p>
      <w:pPr>
        <w:ind w:left="288"/>
      </w:pPr>
      <w:r>
        <w:rPr>
          <w:b/>
          <w:color w:val="003CA0"/>
          <w:sz w:val="16"/>
        </w:rPr>
        <w:t>[ADI 1.254 AgR, rel. min. Celso de Mello, j. 14-8-1996, P, DJ de 19-9-1997.]</w:t>
      </w:r>
    </w:p>
    <w:p>
      <w:pPr>
        <w:ind w:left="288"/>
      </w:pPr>
      <w:r>
        <w:rPr>
          <w:color w:val="8C8C8C"/>
          <w:sz w:val="12"/>
        </w:rPr>
        <w:t>cf-art-103</w:t>
      </w:r>
      <w:r>
        <w:rPr>
          <w:color w:val="003CA0"/>
          <w:sz w:val="12"/>
        </w:rPr>
        <w:t xml:space="preserve"> | ADI 387</w:t>
      </w:r>
      <w:r>
        <w:rPr>
          <w:color w:val="003CA0"/>
          <w:sz w:val="12"/>
        </w:rPr>
        <w:t xml:space="preserve"> | rel. Celso de Mello</w:t>
      </w:r>
    </w:p>
    <w:p>
      <w:pPr>
        <w:ind w:left="288"/>
      </w:pPr>
      <w:r>
        <w:rPr>
          <w:color w:val="1E1E1E"/>
          <w:sz w:val="18"/>
        </w:rPr>
        <w:t>O princípio da indisponibilidade, que rege o processo de controle concentrado de constitucionalidade, impede a desistência da ação direta já ajuizada. O art. 169, § 1º, do RISTF-80, que veda ao PGR essa desistência, aplica-se, extensivamente, a todas as autoridades e órgãos legitimados pela Constituição de 1988 para a instauração do controle concentrado de constitucionalidade (art. 103).</w:t>
      </w:r>
    </w:p>
    <w:p>
      <w:pPr>
        <w:ind w:left="288"/>
      </w:pPr>
      <w:r>
        <w:rPr>
          <w:b/>
          <w:color w:val="003CA0"/>
          <w:sz w:val="16"/>
        </w:rPr>
        <w:t>[ADI 387 MC, rel. min. Celso de Mello, j. 1º-3-1991, P, DJ de 11-10-1991.]</w:t>
      </w:r>
    </w:p>
    <w:p>
      <w:pPr>
        <w:ind w:left="144"/>
      </w:pPr>
      <w:r>
        <w:rPr>
          <w:b/>
          <w:color w:val="B45A00"/>
          <w:sz w:val="16"/>
        </w:rPr>
        <w:t>JULGADOS CORRELATOS</w:t>
      </w:r>
    </w:p>
    <w:p>
      <w:pPr>
        <w:ind w:left="288"/>
      </w:pPr>
      <w:r>
        <w:rPr>
          <w:color w:val="8C8C8C"/>
          <w:sz w:val="12"/>
        </w:rPr>
        <w:t>cf-art-103</w:t>
      </w:r>
      <w:r>
        <w:rPr>
          <w:color w:val="003CA0"/>
          <w:sz w:val="12"/>
        </w:rPr>
        <w:t xml:space="preserve"> | ACO 3.061</w:t>
      </w:r>
      <w:r>
        <w:rPr>
          <w:color w:val="003CA0"/>
          <w:sz w:val="12"/>
        </w:rPr>
        <w:t xml:space="preserve"> | rel. Roberto Barroso</w:t>
      </w:r>
    </w:p>
    <w:p>
      <w:pPr>
        <w:ind w:left="288"/>
      </w:pPr>
      <w:r>
        <w:rPr>
          <w:color w:val="1E1E1E"/>
          <w:sz w:val="18"/>
        </w:rPr>
        <w:t xml:space="preserve">Ação cível originária. Ilegitimidade ativa da DPU. (...) Ação cível originária ajuizada pela Defensoria Pública em face da União e dos Estados-membros, objetivando a extensão, a todos os servidores civis e militares mortos no exercício da função, de indenização por morte/acidente em serviço prevista na Lei 11.473/2007. O pedido de extensão da indenização assegurada apenas aos vitimados em ações da Força Nacional de Segurança Pública, com fundamento no princípio da isonomia, caracteriza alegação de inconstitucionalidade por omissão parcial da norma. A Defensoria Pública, no entanto, nos termos </w:t>
      </w:r>
    </w:p>
    <w:p>
      <w:pPr>
        <w:ind w:left="288"/>
      </w:pPr>
      <w:r>
        <w:rPr>
          <w:b/>
          <w:color w:val="003CA0"/>
          <w:sz w:val="16"/>
        </w:rPr>
        <w:t>[ACO 3.061 AgR, rel. min. Roberto Barroso, j. 11-9-2018, 1ª T, DJE de 10-12-2018.]</w:t>
      </w:r>
    </w:p>
    <w:p>
      <w:pPr>
        <w:ind w:left="144"/>
      </w:pPr>
      <w:r>
        <w:rPr>
          <w:b/>
          <w:color w:val="B45A00"/>
          <w:sz w:val="16"/>
        </w:rPr>
        <w:t>CONTROLE CONCENTRADO</w:t>
      </w:r>
    </w:p>
    <w:p>
      <w:pPr>
        <w:ind w:left="288"/>
      </w:pPr>
      <w:r>
        <w:rPr>
          <w:color w:val="8C8C8C"/>
          <w:sz w:val="12"/>
        </w:rPr>
        <w:t>cf-art-103-inc-IV</w:t>
      </w:r>
      <w:r>
        <w:rPr>
          <w:color w:val="003CA0"/>
          <w:sz w:val="12"/>
        </w:rPr>
        <w:t xml:space="preserve"> | ADI 3.756</w:t>
      </w:r>
      <w:r>
        <w:rPr>
          <w:color w:val="003CA0"/>
          <w:sz w:val="12"/>
        </w:rPr>
        <w:t xml:space="preserve"> | rel. Ayres Britto</w:t>
      </w:r>
    </w:p>
    <w:p>
      <w:pPr>
        <w:ind w:left="288"/>
      </w:pPr>
      <w:r>
        <w:rPr>
          <w:color w:val="1E1E1E"/>
          <w:sz w:val="18"/>
        </w:rPr>
        <w:t>É de se reconhecer a legitimidade ativa ad causam da Câmara Legislativa do Distrito Federal, dado que a presente impugnação tem por alvo dispositivos da LC 101/2000. Dispositivos que versam, justamente, sobre a aplicação dos limites globais das despesas com pessoal do Poder Legislativo distrital.</w:t>
      </w:r>
    </w:p>
    <w:p>
      <w:pPr>
        <w:ind w:left="288"/>
      </w:pPr>
      <w:r>
        <w:rPr>
          <w:b/>
          <w:color w:val="003CA0"/>
          <w:sz w:val="16"/>
        </w:rPr>
        <w:t>[ADI 3.756, rel. min. Ayres Britto, j. 21-6-2007, P, DJ de 19-10-2007.]</w:t>
      </w:r>
    </w:p>
    <w:p>
      <w:pPr>
        <w:ind w:left="288"/>
      </w:pPr>
      <w:r>
        <w:rPr>
          <w:color w:val="8C8C8C"/>
          <w:sz w:val="12"/>
        </w:rPr>
        <w:t>cf-art-103-inc-IV</w:t>
      </w:r>
      <w:r>
        <w:rPr>
          <w:color w:val="003CA0"/>
          <w:sz w:val="12"/>
        </w:rPr>
        <w:t xml:space="preserve"> | ADI 3.682</w:t>
      </w:r>
      <w:r>
        <w:rPr>
          <w:color w:val="003CA0"/>
          <w:sz w:val="12"/>
        </w:rPr>
        <w:t xml:space="preserve"> | rel. Gilmar Mendes</w:t>
      </w:r>
    </w:p>
    <w:p>
      <w:pPr>
        <w:ind w:left="288"/>
      </w:pPr>
      <w:r>
        <w:rPr>
          <w:color w:val="1E1E1E"/>
          <w:sz w:val="18"/>
        </w:rPr>
        <w:t>O art. 102 da Constituição, que contém o elenco das competências do STF, não contempla a ação direta por omissão, limitando-se a mencionar a ação direta de inconstitucionalidade de lei ou ato normativo federal ou estadual e a ação declaratória de constitucionalidade de lei ou ato normativo federal (art. 102, I, a, com redação da EC 3/1993). No art. 103, caput, fixam-se os entes ou órgãos legitimados a propor a ação direta de inconstitucionalidade. Parece evidente que essa disposição refere-se à ação direta de inconstitucionalidade de lei ou ato normativo estadual ou federal, prevista no art. 1</w:t>
      </w:r>
    </w:p>
    <w:p>
      <w:pPr>
        <w:ind w:left="288"/>
      </w:pPr>
      <w:r>
        <w:rPr>
          <w:b/>
          <w:color w:val="003CA0"/>
          <w:sz w:val="16"/>
        </w:rPr>
        <w:t>[ADI 3.682, voto do rel. min. Gilmar Mendes, j. 9-5-2007, P, DJ de 6-9-2007.]</w:t>
      </w:r>
    </w:p>
    <w:p>
      <w:pPr>
        <w:ind w:left="288"/>
      </w:pPr>
      <w:r>
        <w:rPr>
          <w:color w:val="8C8C8C"/>
          <w:sz w:val="12"/>
        </w:rPr>
        <w:t>cf-art-103-inc-IV</w:t>
      </w:r>
      <w:r>
        <w:rPr>
          <w:color w:val="003CA0"/>
          <w:sz w:val="12"/>
        </w:rPr>
        <w:t xml:space="preserve"> | ADI 1.507</w:t>
      </w:r>
      <w:r>
        <w:rPr>
          <w:color w:val="003CA0"/>
          <w:sz w:val="12"/>
        </w:rPr>
        <w:t xml:space="preserve"> | rel. Carlos Velloso</w:t>
      </w:r>
    </w:p>
    <w:p>
      <w:pPr>
        <w:ind w:left="288"/>
      </w:pPr>
      <w:r>
        <w:rPr>
          <w:color w:val="1E1E1E"/>
          <w:sz w:val="18"/>
        </w:rPr>
        <w:t>A legitimidade ativa da confederação sindical, entidade de classe de âmbito nacional, mesas das assembleias legislativas e governadores, para a ação direta de inconstitucionalidade, vincula-se ao objeto da ação, pelo que deve haver pertinência da norma impugnada com os objetivos do autor da ação. (...) Inocorrência, no caso, de pertinência das normas impugnadas com os objetivos da entidade de classe autora da ação direta).</w:t>
      </w:r>
    </w:p>
    <w:p>
      <w:pPr>
        <w:ind w:left="288"/>
      </w:pPr>
      <w:r>
        <w:rPr>
          <w:b/>
          <w:color w:val="003CA0"/>
          <w:sz w:val="16"/>
        </w:rPr>
        <w:t>[ADI 1.507 MC-AgR, rel. min. Carlos Velloso, j. 3-2-1997, P, DJ de 6-6-1997.]</w:t>
      </w:r>
    </w:p>
    <w:p>
      <w:pPr>
        <w:ind w:left="144"/>
      </w:pPr>
      <w:r>
        <w:rPr>
          <w:b/>
          <w:color w:val="B45A00"/>
          <w:sz w:val="16"/>
        </w:rPr>
        <w:t>JULGADOS CORRELATOS</w:t>
      </w:r>
    </w:p>
    <w:p>
      <w:pPr>
        <w:ind w:left="288"/>
      </w:pPr>
      <w:r>
        <w:rPr>
          <w:color w:val="8C8C8C"/>
          <w:sz w:val="12"/>
        </w:rPr>
        <w:t>cf-art-103-inc-IV</w:t>
      </w:r>
      <w:r>
        <w:rPr>
          <w:color w:val="003CA0"/>
          <w:sz w:val="12"/>
        </w:rPr>
        <w:t xml:space="preserve"> | RE 950.570</w:t>
      </w:r>
      <w:r>
        <w:rPr>
          <w:color w:val="003CA0"/>
          <w:sz w:val="12"/>
        </w:rPr>
        <w:t xml:space="preserve"> | rel. Edson Fachin</w:t>
      </w:r>
    </w:p>
    <w:p>
      <w:pPr>
        <w:ind w:left="288"/>
      </w:pPr>
      <w:r>
        <w:rPr>
          <w:color w:val="1E1E1E"/>
          <w:sz w:val="18"/>
        </w:rPr>
        <w:t>A legitimidade ativa para a propositura da ação direta de inconstitucionalidade, bem como dos recursos dela decorrentes, nos termos da CF (art. 103, III, da CF) e, por simetria, pela Constituição estadual (art. 90, II, da Constituição do Estado de São Paulo), pertence à Mesa da Câmara Municipal.</w:t>
        <w:br/>
        <w:t>[RE 950.570 AgR, rel. min. Edson Fachin, j. 1º-9-2017, 2ª T, DJE de 29-7-2017.]</w:t>
      </w:r>
    </w:p>
    <w:p>
      <w:pPr>
        <w:ind w:left="288"/>
      </w:pPr>
      <w:r>
        <w:rPr>
          <w:color w:val="8C8C8C"/>
          <w:sz w:val="12"/>
        </w:rPr>
        <w:t>cf-art-103-inc-V</w:t>
      </w:r>
      <w:r>
        <w:rPr>
          <w:color w:val="003CA0"/>
          <w:sz w:val="12"/>
        </w:rPr>
        <w:t xml:space="preserve"> | ADI 5.297</w:t>
      </w:r>
      <w:r>
        <w:rPr>
          <w:color w:val="003CA0"/>
          <w:sz w:val="12"/>
        </w:rPr>
        <w:t xml:space="preserve"> | rel. Luiz Fux</w:t>
      </w:r>
    </w:p>
    <w:p>
      <w:pPr>
        <w:ind w:left="288"/>
      </w:pPr>
      <w:r>
        <w:rPr>
          <w:color w:val="1E1E1E"/>
          <w:sz w:val="18"/>
        </w:rPr>
        <w:t>Decreto nº 5.194, de 11 de fevereiro de 2015, do Estado do Tocantins. Suspensão dos efeitos financeiros da Lei Estadual nº 2.853, de 9 de abril de 2014. Vedação ao chefe do poder executivo de expedir decreto para suspender a eficácia de ato normativo hierarquicamente superior. (...) Vigente a lei, é legítimo ao Executivo impugná-la perante o Poder Judiciário estadual ou perante o Supremo Tribunal Federal, no exercício de sua legitimidade para deflagrar o processo de controle concentrado de constitucionalidade (art. 103, V, da CRFB/88), que se dá de forma repressiva e na via judicial.</w:t>
      </w:r>
    </w:p>
    <w:p>
      <w:pPr>
        <w:ind w:left="288"/>
      </w:pPr>
      <w:r>
        <w:rPr>
          <w:b/>
          <w:color w:val="003CA0"/>
          <w:sz w:val="16"/>
        </w:rPr>
        <w:t>[ADI 5.297, rel. min. Luiz Fux, j. 14.08.2025, P, DJE de 04.12.2025.]</w:t>
      </w:r>
    </w:p>
    <w:p>
      <w:pPr>
        <w:ind w:left="144"/>
      </w:pPr>
      <w:r>
        <w:rPr>
          <w:b/>
          <w:color w:val="B45A00"/>
          <w:sz w:val="16"/>
        </w:rPr>
        <w:t>CONTROLE CONCENTRADO</w:t>
      </w:r>
    </w:p>
    <w:p>
      <w:pPr>
        <w:ind w:left="288"/>
      </w:pPr>
      <w:r>
        <w:rPr>
          <w:color w:val="8C8C8C"/>
          <w:sz w:val="12"/>
        </w:rPr>
        <w:t>cf-art-103-inc-V</w:t>
      </w:r>
      <w:r>
        <w:rPr>
          <w:color w:val="003CA0"/>
          <w:sz w:val="12"/>
        </w:rPr>
        <w:t xml:space="preserve"> | ADI 6.728</w:t>
      </w:r>
      <w:r>
        <w:rPr>
          <w:color w:val="003CA0"/>
          <w:sz w:val="12"/>
        </w:rPr>
        <w:t xml:space="preserve"> | rel. Edson Fachin</w:t>
      </w:r>
    </w:p>
    <w:p>
      <w:pPr>
        <w:ind w:left="288"/>
      </w:pPr>
      <w:r>
        <w:rPr>
          <w:color w:val="1E1E1E"/>
          <w:sz w:val="18"/>
        </w:rPr>
        <w:t>O afastamento cautelar de cargo de Governador de Estado, suspendendo o exercício das funções públicas respectivas, implica a ilegitimidade para a propositura de ação direta de inconstitucionalidade, na forma do art. 103, V, da Constituição da República.</w:t>
      </w:r>
    </w:p>
    <w:p>
      <w:pPr>
        <w:ind w:left="288"/>
      </w:pPr>
      <w:r>
        <w:rPr>
          <w:b/>
          <w:color w:val="003CA0"/>
          <w:sz w:val="16"/>
        </w:rPr>
        <w:t>[ADI 6.728 AgR, rel. min. Edson Fachin, j. 3-5-2021, P, DJE de 14-5-2021.]</w:t>
      </w:r>
    </w:p>
    <w:p>
      <w:pPr>
        <w:ind w:left="288"/>
      </w:pPr>
      <w:r>
        <w:rPr>
          <w:color w:val="8C8C8C"/>
          <w:sz w:val="12"/>
        </w:rPr>
        <w:t>cf-art-103-inc-V</w:t>
      </w:r>
      <w:r>
        <w:rPr>
          <w:color w:val="003CA0"/>
          <w:sz w:val="12"/>
        </w:rPr>
        <w:t xml:space="preserve"> | ADI 5.084</w:t>
      </w:r>
      <w:r>
        <w:rPr>
          <w:color w:val="003CA0"/>
          <w:sz w:val="12"/>
        </w:rPr>
        <w:t xml:space="preserve"> | rel. Rosa Weber</w:t>
      </w:r>
    </w:p>
    <w:p>
      <w:pPr>
        <w:ind w:left="288"/>
      </w:pPr>
      <w:r>
        <w:rPr>
          <w:color w:val="1E1E1E"/>
          <w:sz w:val="18"/>
        </w:rPr>
        <w:t>(...) na hipótese de ação direta proposta por autoridade cuja legitimação ativa tem supedâneo no art. 103, V, da Carta Política, cabe ao próprio Governador de Estado ou do Distrito Federal subscrever a petição inicial, sendo-lhe facultado fazê-lo isoladamente ou em conjunto com o Procurador-Geral do Estado ou advogado habilitado.</w:t>
      </w:r>
    </w:p>
    <w:p>
      <w:pPr>
        <w:ind w:left="288"/>
      </w:pPr>
      <w:r>
        <w:rPr>
          <w:b/>
          <w:color w:val="003CA0"/>
          <w:sz w:val="16"/>
        </w:rPr>
        <w:t>[ADI 5.084, rel. min. Rosa Weber, decisão monocrática, j. 20-2-2014, DJE de 25-2-2014.]</w:t>
      </w:r>
    </w:p>
    <w:p>
      <w:pPr>
        <w:ind w:left="288"/>
      </w:pPr>
      <w:r>
        <w:rPr>
          <w:color w:val="8C8C8C"/>
          <w:sz w:val="12"/>
        </w:rPr>
        <w:t>cf-art-103-inc-V</w:t>
      </w:r>
      <w:r>
        <w:rPr>
          <w:color w:val="003CA0"/>
          <w:sz w:val="12"/>
        </w:rPr>
        <w:t xml:space="preserve"> | ADI 2.906</w:t>
      </w:r>
      <w:r>
        <w:rPr>
          <w:color w:val="003CA0"/>
          <w:sz w:val="12"/>
        </w:rPr>
        <w:t xml:space="preserve"> | rel. Marco Aurélio</w:t>
      </w:r>
    </w:p>
    <w:p>
      <w:pPr>
        <w:ind w:left="288"/>
      </w:pPr>
      <w:r>
        <w:rPr>
          <w:color w:val="1E1E1E"/>
          <w:sz w:val="18"/>
        </w:rPr>
        <w:t>Descabe confundir a legitimidade para a propositura da ação direta de inconstitucionalidade com a capacidade postulatória. Quanto ao governador do Estado, cuja assinatura é dispensável na inicial, tem-na o procurador-geral do Estado.</w:t>
      </w:r>
    </w:p>
    <w:p>
      <w:pPr>
        <w:ind w:left="288"/>
      </w:pPr>
      <w:r>
        <w:rPr>
          <w:b/>
          <w:color w:val="003CA0"/>
          <w:sz w:val="16"/>
        </w:rPr>
        <w:t>[ADI 2.906, rel. min. Marco Aurélio, j. 1º-6-2011, P, DJE de 29-6-2011.]</w:t>
      </w:r>
    </w:p>
    <w:p>
      <w:pPr>
        <w:ind w:left="288"/>
      </w:pPr>
      <w:r>
        <w:rPr>
          <w:color w:val="8C8C8C"/>
          <w:sz w:val="12"/>
        </w:rPr>
        <w:t>cf-art-103-inc-V</w:t>
      </w:r>
      <w:r>
        <w:rPr>
          <w:color w:val="003CA0"/>
          <w:sz w:val="12"/>
        </w:rPr>
        <w:t xml:space="preserve"> | ADI 2.728</w:t>
      </w:r>
      <w:r>
        <w:rPr>
          <w:color w:val="003CA0"/>
          <w:sz w:val="12"/>
        </w:rPr>
        <w:t xml:space="preserve"> | rel. Marco Aurélio</w:t>
      </w:r>
    </w:p>
    <w:p>
      <w:pPr>
        <w:ind w:left="288"/>
      </w:pPr>
      <w:r>
        <w:rPr>
          <w:color w:val="1E1E1E"/>
          <w:sz w:val="18"/>
        </w:rPr>
        <w:t>A representação processual do governador do Estado no processo objetivo se faz por meio de credenciamento de advogado, descabendo colar a pessoalidade considerado aquele que, à época, era o chefe do Poder Executivo. Representação processual. Processo objetivo. Governador do Estado. Atua o legitimado para ação direta de inconstitucionalidade quer mediante advogado especialmente credenciado, quer via procurador do Estado, sendo dispensável, neste último caso, a juntada de instrumento de mandato.</w:t>
      </w:r>
    </w:p>
    <w:p>
      <w:pPr>
        <w:ind w:left="288"/>
      </w:pPr>
      <w:r>
        <w:rPr>
          <w:b/>
          <w:color w:val="003CA0"/>
          <w:sz w:val="16"/>
        </w:rPr>
        <w:t>[ADI 2.728 ED, rel. min. Marco Aurélio, j. 19-10-2006, P, DJ de 5-10-2007.]</w:t>
      </w:r>
    </w:p>
    <w:p>
      <w:pPr>
        <w:ind w:left="288"/>
      </w:pPr>
      <w:r>
        <w:rPr>
          <w:color w:val="8C8C8C"/>
          <w:sz w:val="12"/>
        </w:rPr>
        <w:t>cf-art-103-inc-V</w:t>
      </w:r>
      <w:r>
        <w:rPr>
          <w:color w:val="003CA0"/>
          <w:sz w:val="12"/>
        </w:rPr>
        <w:t xml:space="preserve"> | ADI 3.013</w:t>
      </w:r>
      <w:r>
        <w:rPr>
          <w:color w:val="003CA0"/>
          <w:sz w:val="12"/>
        </w:rPr>
        <w:t xml:space="preserve"> | rel. Ellen Gracie</w:t>
      </w:r>
    </w:p>
    <w:p>
      <w:pPr>
        <w:ind w:left="288"/>
      </w:pPr>
      <w:r>
        <w:rPr>
          <w:color w:val="1E1E1E"/>
          <w:sz w:val="18"/>
        </w:rPr>
        <w:t>Os Estados-membros da Federação não estão no rol dos legitimados a agir como sujeitos processuais em sede de controle concentrado de constitucionalidade, sendo indevida, no modelo de processo objetivo, a intervenção de terceiros subjetivamente interessados no feito.</w:t>
      </w:r>
    </w:p>
    <w:p>
      <w:pPr>
        <w:ind w:left="288"/>
      </w:pPr>
      <w:r>
        <w:rPr>
          <w:b/>
          <w:color w:val="003CA0"/>
          <w:sz w:val="16"/>
        </w:rPr>
        <w:t>[ADI 3.013 ED-AgR, rel. min. Ellen Gracie, j. 31-5-2006, P, DJ de 4-8-2006.]</w:t>
      </w:r>
    </w:p>
    <w:p>
      <w:pPr>
        <w:ind w:left="288"/>
      </w:pPr>
      <w:r>
        <w:rPr>
          <w:color w:val="8C8C8C"/>
          <w:sz w:val="12"/>
        </w:rPr>
        <w:t>cf-art-103-inc-V</w:t>
      </w:r>
      <w:r>
        <w:rPr>
          <w:color w:val="003CA0"/>
          <w:sz w:val="12"/>
        </w:rPr>
        <w:t xml:space="preserve"> | ADI 2.656</w:t>
      </w:r>
      <w:r>
        <w:rPr>
          <w:color w:val="003CA0"/>
          <w:sz w:val="12"/>
        </w:rPr>
        <w:t xml:space="preserve"> | rel. Maurício Corrêa</w:t>
      </w:r>
    </w:p>
    <w:p>
      <w:pPr>
        <w:ind w:left="288"/>
      </w:pPr>
      <w:r>
        <w:rPr>
          <w:color w:val="1E1E1E"/>
          <w:sz w:val="18"/>
        </w:rPr>
        <w:t>Lei editada pelo Governo do Estado de São Paulo. Ação direta de inconstitucionalidade proposta pelo governador do Estado de Goiás. Amianto crisotila. Restrições à sua comercialização imposta pela legislação paulista, com evidentes reflexos na economia de Goiás, Estado onde está localizada a maior reserva natural do minério. Legitimidade ativa do governador de Goiás para iniciar o processo de controle concentrado de constitucionalidade e pertinência temática.</w:t>
      </w:r>
    </w:p>
    <w:p>
      <w:pPr>
        <w:ind w:left="288"/>
      </w:pPr>
      <w:r>
        <w:rPr>
          <w:b/>
          <w:color w:val="003CA0"/>
          <w:sz w:val="16"/>
        </w:rPr>
        <w:t>[ADI 2.656, rel. min. Maurício Corrêa, j. 8-5-2003, P, DJ de 1º-8-2003.]</w:t>
      </w:r>
    </w:p>
    <w:p>
      <w:pPr>
        <w:ind w:left="288"/>
      </w:pPr>
      <w:r>
        <w:rPr>
          <w:color w:val="8C8C8C"/>
          <w:sz w:val="12"/>
        </w:rPr>
        <w:t>cf-art-103-inc-V</w:t>
      </w:r>
      <w:r>
        <w:rPr>
          <w:color w:val="003CA0"/>
          <w:sz w:val="12"/>
        </w:rPr>
        <w:t xml:space="preserve"> | ADI 2.130</w:t>
      </w:r>
      <w:r>
        <w:rPr>
          <w:color w:val="003CA0"/>
          <w:sz w:val="12"/>
        </w:rPr>
        <w:t xml:space="preserve"> | rel. Celso de Mello</w:t>
      </w:r>
    </w:p>
    <w:p>
      <w:pPr>
        <w:ind w:left="288"/>
      </w:pPr>
      <w:r>
        <w:rPr>
          <w:color w:val="1E1E1E"/>
          <w:sz w:val="18"/>
        </w:rPr>
        <w:t>O Estado-membro não possui legitimidade para recorrer em sede de controle normativo abstrato. O Estado-membro não dispõe de legitimidade para interpor recurso em sede de controle normativo abstrato, ainda que a ação direta de inconstitucionalidade tenha sido ajuizada pelo respectivo governador, a quem assiste a prerrogativa legal de recorrer contra as decisões proferidas pelo relator da causa (Lei 9.868/1999, art. 4º, parágrafo único) ou, excepcionalmente, contra aquelas emanadas do próprio Plenário do STF (Lei 9.868/1999, art. 26).</w:t>
      </w:r>
    </w:p>
    <w:p>
      <w:pPr>
        <w:ind w:left="288"/>
      </w:pPr>
      <w:r>
        <w:rPr>
          <w:b/>
          <w:color w:val="003CA0"/>
          <w:sz w:val="16"/>
        </w:rPr>
        <w:t>[ADI 2.130 AgR, rel. min. Celso de Mello, j. 3-10-2001, P, DJ de 14-12-2001.]</w:t>
      </w:r>
    </w:p>
    <w:p>
      <w:pPr>
        <w:ind w:left="288"/>
      </w:pPr>
      <w:r>
        <w:rPr>
          <w:color w:val="8C8C8C"/>
          <w:sz w:val="12"/>
        </w:rPr>
        <w:t>cf-art-103-inc-V</w:t>
      </w:r>
      <w:r>
        <w:rPr>
          <w:color w:val="003CA0"/>
          <w:sz w:val="12"/>
        </w:rPr>
        <w:t xml:space="preserve"> | RE 658.375</w:t>
      </w:r>
      <w:r>
        <w:rPr>
          <w:color w:val="003CA0"/>
          <w:sz w:val="12"/>
        </w:rPr>
        <w:t xml:space="preserve"> | rel. Celso de Mello</w:t>
      </w:r>
    </w:p>
    <w:p>
      <w:pPr>
        <w:ind w:left="288"/>
      </w:pPr>
      <w:r>
        <w:rPr>
          <w:color w:val="1E1E1E"/>
          <w:sz w:val="18"/>
        </w:rPr>
        <w:t>= RE 658.375 AgR, rel. min. Celso de Mello, j. 25-3-2014, 2ª T, DJE de 24-4-2014 Ação direta de inconstitucionalidade. Legitimidade ativa. Impossibilidade de o governador do Estado, que já figura como órgão requerido, passar à condição de litisconsorte ativo. Medida cautelar não requerida pelo autor. Pedido ulteriormente formulado pelo sujeito passivo da relação processual. Impossibilidade.</w:t>
      </w:r>
    </w:p>
    <w:p>
      <w:pPr>
        <w:ind w:left="288"/>
      </w:pPr>
      <w:r>
        <w:rPr>
          <w:b/>
          <w:color w:val="003CA0"/>
          <w:sz w:val="16"/>
        </w:rPr>
        <w:t>[ADI 807 QO, rel. min. Celso de Mello, j. 27-5-1993, P, DJ de 11-6-1993.]</w:t>
      </w:r>
    </w:p>
    <w:p>
      <w:pPr>
        <w:ind w:left="288"/>
      </w:pPr>
      <w:r>
        <w:rPr>
          <w:color w:val="8C8C8C"/>
          <w:sz w:val="12"/>
        </w:rPr>
        <w:t>cf-art-103-inc-VIII</w:t>
      </w:r>
      <w:r>
        <w:rPr>
          <w:color w:val="003CA0"/>
          <w:sz w:val="12"/>
        </w:rPr>
        <w:t xml:space="preserve"> | ADI 2.618</w:t>
      </w:r>
      <w:r>
        <w:rPr>
          <w:color w:val="003CA0"/>
          <w:sz w:val="12"/>
        </w:rPr>
        <w:t xml:space="preserve"> | rel. Gilmar Mendes</w:t>
      </w:r>
    </w:p>
    <w:p>
      <w:pPr>
        <w:ind w:left="288"/>
      </w:pPr>
      <w:r>
        <w:rPr>
          <w:color w:val="1E1E1E"/>
          <w:sz w:val="18"/>
        </w:rPr>
        <w:t>Partido político. Legitimidade ativa. Aferição no momento da sua propositura. Perda superveniente de representação parlamentar. Não desqualificação para permanecer no polo ativo da relação processual. Objetividade e indisponibilidade da ação.</w:t>
      </w:r>
    </w:p>
    <w:p>
      <w:pPr>
        <w:ind w:left="288"/>
      </w:pPr>
      <w:r>
        <w:rPr>
          <w:b/>
          <w:color w:val="003CA0"/>
          <w:sz w:val="16"/>
        </w:rPr>
        <w:t>[ADI 2.618 AgR-AgR, rel. min. Gilmar Mendes, j. 12-8-2004, P, DJ de 31-3-2006.]</w:t>
      </w:r>
    </w:p>
    <w:p>
      <w:pPr>
        <w:ind w:left="288"/>
      </w:pPr>
      <w:r>
        <w:rPr>
          <w:color w:val="8C8C8C"/>
          <w:sz w:val="12"/>
        </w:rPr>
        <w:t>cf-art-103-inc-VIII</w:t>
      </w:r>
      <w:r>
        <w:rPr>
          <w:color w:val="003CA0"/>
          <w:sz w:val="12"/>
        </w:rPr>
        <w:t xml:space="preserve"> | ADI 2.427</w:t>
      </w:r>
      <w:r>
        <w:rPr>
          <w:color w:val="003CA0"/>
          <w:sz w:val="12"/>
        </w:rPr>
        <w:t xml:space="preserve"> | rel. Eros Grau</w:t>
      </w:r>
    </w:p>
    <w:p>
      <w:pPr>
        <w:ind w:left="288"/>
      </w:pPr>
      <w:r>
        <w:rPr>
          <w:color w:val="1E1E1E"/>
          <w:sz w:val="18"/>
        </w:rPr>
        <w:t>= ADI 2.427, rel. min. Eros Grau, j. 30-8-2006, P, DJ de 10-11-2006 Legitimidade de agremiação partidária com representação no Congresso Nacional para deflagrar o processo de controle de constitucionalidade em tese. Inteligência do art. 103, VIII, da Magna Lei. Requisito da pertinência temática antecipadamente satisfeito pelo requerente.</w:t>
      </w:r>
    </w:p>
    <w:p>
      <w:pPr>
        <w:ind w:left="288"/>
      </w:pPr>
      <w:r>
        <w:rPr>
          <w:b/>
          <w:color w:val="003CA0"/>
          <w:sz w:val="16"/>
        </w:rPr>
        <w:t>[ADI 3.059 MC, rel. min. Ayres Britto, j. 15-4-2004, P, DJ de 20-8-2004.]</w:t>
      </w:r>
    </w:p>
    <w:p>
      <w:pPr>
        <w:ind w:left="288"/>
      </w:pPr>
      <w:r>
        <w:rPr>
          <w:color w:val="8C8C8C"/>
          <w:sz w:val="12"/>
        </w:rPr>
        <w:t>cf-art-103-inc-VIII</w:t>
      </w:r>
      <w:r>
        <w:rPr>
          <w:color w:val="003CA0"/>
          <w:sz w:val="12"/>
        </w:rPr>
        <w:t xml:space="preserve"> | ADI 1.528</w:t>
      </w:r>
      <w:r>
        <w:rPr>
          <w:color w:val="003CA0"/>
          <w:sz w:val="12"/>
        </w:rPr>
        <w:t xml:space="preserve"> | rel. Ellen Gracie</w:t>
      </w:r>
    </w:p>
    <w:p>
      <w:pPr>
        <w:ind w:left="288"/>
      </w:pPr>
      <w:r>
        <w:rPr>
          <w:color w:val="1E1E1E"/>
          <w:sz w:val="18"/>
        </w:rPr>
        <w:t>Ilegitimidade ativa ad causam de diretório regional ou executiva regional. Firmou a jurisprudência desta Corte o entendimento de que o partido político, para ajuizar ação direta de inconstitucionalidade perante o STF, deve estar representado por seu diretório nacional, ainda que o ato impugnado tenha sua amplitude normativa limitada ao Estado ou Município do qual se originou.</w:t>
      </w:r>
    </w:p>
    <w:p>
      <w:pPr>
        <w:ind w:left="288"/>
      </w:pPr>
      <w:r>
        <w:rPr>
          <w:b/>
          <w:color w:val="003CA0"/>
          <w:sz w:val="16"/>
        </w:rPr>
        <w:t>[ADI 1.528 QO, rel. min. Ellen Gracie, j. 24-5-2000, P, DJ de 23-8-2002.]</w:t>
      </w:r>
    </w:p>
    <w:p>
      <w:pPr>
        <w:ind w:left="288"/>
      </w:pPr>
      <w:r>
        <w:rPr>
          <w:color w:val="8C8C8C"/>
          <w:sz w:val="12"/>
        </w:rPr>
        <w:t>cf-art-103-inc-VIII</w:t>
      </w:r>
      <w:r>
        <w:rPr>
          <w:color w:val="003CA0"/>
          <w:sz w:val="12"/>
        </w:rPr>
        <w:t xml:space="preserve"> | ADI 1.407</w:t>
      </w:r>
      <w:r>
        <w:rPr>
          <w:color w:val="003CA0"/>
          <w:sz w:val="12"/>
        </w:rPr>
        <w:t xml:space="preserve"> | rel. Celso de Mello</w:t>
      </w:r>
    </w:p>
    <w:p>
      <w:pPr>
        <w:ind w:left="288"/>
      </w:pPr>
      <w:r>
        <w:rPr>
          <w:color w:val="1E1E1E"/>
          <w:sz w:val="18"/>
        </w:rPr>
        <w:t>Partido político. Ação direta. Legitimidade ativa. Inexigibilidade do vínculo de pertinência temática. Os partidos políticos, desde que possuam representação no Congresso Nacional, podem, em sede de controle abstrato, arguir, perante o STF, a inconstitucionalidade de atos normativos federais, estaduais ou distritais, independentemente de seu conteúdo material, eis que não incide sobre as agremiações partidárias a restrição jurisprudencial derivada do vínculo de pertinência temática.</w:t>
      </w:r>
    </w:p>
    <w:p>
      <w:pPr>
        <w:ind w:left="288"/>
      </w:pPr>
      <w:r>
        <w:rPr>
          <w:b/>
          <w:color w:val="003CA0"/>
          <w:sz w:val="16"/>
        </w:rPr>
        <w:t>[ADI 1.407 MC, rel. min. Celso de Mello, j. 7-3-1996, P, DJ de 24-11-2000.]</w:t>
      </w:r>
    </w:p>
    <w:p>
      <w:pPr>
        <w:ind w:left="288"/>
      </w:pPr>
      <w:r>
        <w:rPr>
          <w:color w:val="8C8C8C"/>
          <w:sz w:val="12"/>
        </w:rPr>
        <w:t>cf-art-103-inc-VIII</w:t>
      </w:r>
      <w:r>
        <w:rPr>
          <w:color w:val="003CA0"/>
          <w:sz w:val="12"/>
        </w:rPr>
        <w:t xml:space="preserve"> | ADI 779</w:t>
      </w:r>
      <w:r>
        <w:rPr>
          <w:color w:val="003CA0"/>
          <w:sz w:val="12"/>
        </w:rPr>
        <w:t xml:space="preserve"> | rel. Celso de Mello</w:t>
      </w:r>
    </w:p>
    <w:p>
      <w:pPr>
        <w:ind w:left="288"/>
      </w:pPr>
      <w:r>
        <w:rPr>
          <w:color w:val="1E1E1E"/>
          <w:sz w:val="18"/>
        </w:rPr>
        <w:t>A representação partidária perante o STF, nas ações diretas, constitui prerrogativa jurídico-processual do diretório nacional do partido político, que é – ressalvada deliberação em contrário dos estatutos partidários – o órgão de direção e de ação dessas entidades no plano nacional.</w:t>
      </w:r>
    </w:p>
    <w:p>
      <w:pPr>
        <w:ind w:left="288"/>
      </w:pPr>
      <w:r>
        <w:rPr>
          <w:b/>
          <w:color w:val="003CA0"/>
          <w:sz w:val="16"/>
        </w:rPr>
        <w:t>[ADI 779 AgR, rel. min. Celso de Mello, j. 8-10-1992, P, DJ de 11-3-1994.]</w:t>
      </w:r>
    </w:p>
    <w:p>
      <w:pPr>
        <w:ind w:left="288"/>
      </w:pPr>
      <w:r>
        <w:rPr>
          <w:color w:val="8C8C8C"/>
          <w:sz w:val="12"/>
        </w:rPr>
        <w:t>cf-art-103-inc-IX</w:t>
      </w:r>
      <w:r>
        <w:rPr>
          <w:color w:val="003CA0"/>
          <w:sz w:val="12"/>
        </w:rPr>
        <w:t xml:space="preserve"> | ADI 7.761</w:t>
      </w:r>
      <w:r>
        <w:rPr>
          <w:color w:val="003CA0"/>
          <w:sz w:val="12"/>
        </w:rPr>
        <w:t xml:space="preserve"> | rel. Flávio Dino</w:t>
      </w:r>
    </w:p>
    <w:p>
      <w:pPr>
        <w:ind w:left="288"/>
      </w:pPr>
      <w:r>
        <w:rPr>
          <w:color w:val="1E1E1E"/>
          <w:sz w:val="18"/>
        </w:rPr>
        <w:t>Para a satisfação do requisito da espacialidade, não se mostra suficiente a participação da entidade em convenções nacionais, audiências públicas ou fóruns de debate, porquanto é da natureza desses eventos reunir debatedores — nacionais e estrangeiros — oriundos de regiões diversas e de setores distintos, tais como docentes, pesquisadores, educadores, empreendedores e agentes públicos e privados. A presença desses profissionais nas discussões, entretanto, não estabelece, por si só, qualquer vínculo institucional com o Estado em que o evento é realizado. A simples dispersão geográfica de associ</w:t>
      </w:r>
    </w:p>
    <w:p>
      <w:pPr>
        <w:ind w:left="288"/>
      </w:pPr>
      <w:r>
        <w:rPr>
          <w:b/>
          <w:color w:val="003CA0"/>
          <w:sz w:val="16"/>
        </w:rPr>
        <w:t>[ADPF 1.277 AgR, rel. min. Flávio Dino, j. 16-12-2025, P, DJE de 19-1-2026.]</w:t>
      </w:r>
    </w:p>
    <w:p>
      <w:pPr>
        <w:ind w:left="288"/>
      </w:pPr>
      <w:r>
        <w:rPr>
          <w:color w:val="8C8C8C"/>
          <w:sz w:val="12"/>
        </w:rPr>
        <w:t>cf-art-103-inc-IX</w:t>
      </w:r>
      <w:r>
        <w:rPr>
          <w:color w:val="003CA0"/>
          <w:sz w:val="12"/>
        </w:rPr>
        <w:t xml:space="preserve"> | ADPF 264</w:t>
      </w:r>
      <w:r>
        <w:rPr>
          <w:color w:val="003CA0"/>
          <w:sz w:val="12"/>
        </w:rPr>
        <w:t xml:space="preserve"> | rel. Dias Toffoli</w:t>
      </w:r>
    </w:p>
    <w:p>
      <w:pPr>
        <w:ind w:left="288"/>
      </w:pPr>
      <w:r>
        <w:rPr>
          <w:color w:val="1E1E1E"/>
          <w:sz w:val="18"/>
        </w:rPr>
        <w:t>Os conselhos de fiscalização profissional têm como função precípua o controle e a fiscalização do exercício das profissões regulamentadas, exercendo, portanto, poder de polícia, atividade típica de Estado, razão pela qual detêm personalidade jurídica de direito público, na forma de autarquias. Sendo assim, tais conselhos não se ajustam à noção de entidade de classe, expressão que designa tão somente aquelas entidades vocacionadas à defesa dos interesses dos membros da respectiva categoria ou classe de profissionais.</w:t>
      </w:r>
    </w:p>
    <w:p>
      <w:pPr>
        <w:ind w:left="288"/>
      </w:pPr>
      <w:r>
        <w:rPr>
          <w:b/>
          <w:color w:val="003CA0"/>
          <w:sz w:val="16"/>
        </w:rPr>
        <w:t>[ADPF 264 AgR, rel. min. Dias Toffoli, j. 18-12-2014, P, DJE de 25-2-2015.]</w:t>
      </w:r>
    </w:p>
    <w:p>
      <w:pPr>
        <w:ind w:left="288"/>
      </w:pPr>
      <w:r>
        <w:rPr>
          <w:color w:val="8C8C8C"/>
          <w:sz w:val="12"/>
        </w:rPr>
        <w:t>cf-art-103-inc-IX</w:t>
      </w:r>
      <w:r>
        <w:rPr>
          <w:color w:val="003CA0"/>
          <w:sz w:val="12"/>
        </w:rPr>
        <w:t xml:space="preserve"> | ADI 4.701</w:t>
      </w:r>
      <w:r>
        <w:rPr>
          <w:color w:val="003CA0"/>
          <w:sz w:val="12"/>
        </w:rPr>
        <w:t xml:space="preserve"> | rel. Roberto Barroso</w:t>
      </w:r>
    </w:p>
    <w:p>
      <w:pPr>
        <w:ind w:left="288"/>
      </w:pPr>
      <w:r>
        <w:rPr>
          <w:color w:val="1E1E1E"/>
          <w:sz w:val="18"/>
        </w:rPr>
        <w:t>Ação direta de inconstitucionalidade. Lei estadual que fixa prazos máximos, segundo a faixa etária dos usuários, para a autorização de exames pelas operadoras de plano de saúde. Encontra-se caracterizado o direito de propositura. Os associados da requerente estão unidos pela comunhão de interesses em relação a um objeto específico (prestação do serviço de assistência suplementar à saúde na modalidade autogestão). Esse elemento caracteriza a unidade de propósito na representação associativa, afastando a excessiva generalidade que, segundo esta Corte, impediria o conhecimento da ação.</w:t>
      </w:r>
    </w:p>
    <w:p>
      <w:pPr>
        <w:ind w:left="288"/>
      </w:pPr>
      <w:r>
        <w:rPr>
          <w:b/>
          <w:color w:val="003CA0"/>
          <w:sz w:val="16"/>
        </w:rPr>
        <w:t>[ADI 4.701, rel. min. Roberto Barroso, j. 13-8-2014, P, DJE de 25-8-2014.]</w:t>
      </w:r>
    </w:p>
    <w:p>
      <w:pPr>
        <w:ind w:left="288"/>
      </w:pPr>
      <w:r>
        <w:rPr>
          <w:color w:val="8C8C8C"/>
          <w:sz w:val="12"/>
        </w:rPr>
        <w:t>cf-art-103-inc-IX</w:t>
      </w:r>
      <w:r>
        <w:rPr>
          <w:color w:val="003CA0"/>
          <w:sz w:val="12"/>
        </w:rPr>
        <w:t xml:space="preserve"> | ADI 4.029</w:t>
      </w:r>
      <w:r>
        <w:rPr>
          <w:color w:val="003CA0"/>
          <w:sz w:val="12"/>
        </w:rPr>
        <w:t xml:space="preserve"> | rel. Luiz Fux</w:t>
      </w:r>
    </w:p>
    <w:p>
      <w:pPr>
        <w:ind w:left="288"/>
      </w:pPr>
      <w:r>
        <w:rPr>
          <w:color w:val="1E1E1E"/>
          <w:sz w:val="18"/>
        </w:rPr>
        <w:t>Ação direta de inconstitucionalidade. Lei federal 11.516/2007. Criação do Instituto Chico Mendes de Conservação da Biodiversidade. Legitimidade da Associação Nacional dos Servidores do Ibama. (...) A democracia participativa delineada pela Carta de 1988 se baseia na generalização e profusão das vias de participação dos cidadãos nos provimentos estatais, por isso que é de se conjurar uma exegese demasiadamente restritiva do conceito de "entidade de classe de âmbito nacional" previsto no art. 103, IX, da CRFB. A participação da sociedade civil organizada nos processos de controle abstrato de con</w:t>
      </w:r>
    </w:p>
    <w:p>
      <w:pPr>
        <w:ind w:left="288"/>
      </w:pPr>
      <w:r>
        <w:rPr>
          <w:b/>
          <w:color w:val="003CA0"/>
          <w:sz w:val="16"/>
        </w:rPr>
        <w:t>[ADI 4.029, rel. min. Luiz Fux, j. 8-3-2012, P, DJE de 27-6-2012.]</w:t>
      </w:r>
    </w:p>
    <w:p>
      <w:pPr>
        <w:ind w:left="288"/>
      </w:pPr>
      <w:r>
        <w:rPr>
          <w:color w:val="8C8C8C"/>
          <w:sz w:val="12"/>
        </w:rPr>
        <w:t>cf-art-103-inc-IX</w:t>
      </w:r>
      <w:r>
        <w:rPr>
          <w:color w:val="003CA0"/>
          <w:sz w:val="12"/>
        </w:rPr>
        <w:t xml:space="preserve"> | ADI 4.224</w:t>
      </w:r>
      <w:r>
        <w:rPr>
          <w:color w:val="003CA0"/>
          <w:sz w:val="12"/>
        </w:rPr>
        <w:t xml:space="preserve"> | rel. Dias Toffoli</w:t>
      </w:r>
    </w:p>
    <w:p>
      <w:pPr>
        <w:ind w:left="288"/>
      </w:pPr>
      <w:r>
        <w:rPr>
          <w:color w:val="1E1E1E"/>
          <w:sz w:val="18"/>
        </w:rPr>
        <w:t>União Geral dos Trabalhadores (UGT). (...) Mantida a decisão de reconhecimento da inaptidão da agravante para instaurar controle abstrato de normas, visto não se amoldar à hipótese de legitimação prevista no art. 103, IX, "parte inicial", da CF. Muito embora ocorrido o reconhecimento formal das centrais sindicais com a edição da Lei 11.648/2008, a norma não teve o condão de equipará-las às confederações, de modo a sobrelevá-las a um patamar hierárquico superior na estrutura sindical. Ao contrário, criou-se um modelo paralelo de representação, figurando as centrais sindicais como patrocinadoras</w:t>
      </w:r>
    </w:p>
    <w:p>
      <w:pPr>
        <w:ind w:left="288"/>
      </w:pPr>
      <w:r>
        <w:rPr>
          <w:b/>
          <w:color w:val="003CA0"/>
          <w:sz w:val="16"/>
        </w:rPr>
        <w:t>[ADI 4.224 AgR, rel. min. Dias Toffoli, j. 1º-8-2011, P, DJE de 8-9-2011.]</w:t>
      </w:r>
    </w:p>
    <w:p>
      <w:pPr>
        <w:ind w:left="288"/>
      </w:pPr>
      <w:r>
        <w:rPr>
          <w:color w:val="8C8C8C"/>
          <w:sz w:val="12"/>
        </w:rPr>
        <w:t>cf-art-103-inc-IX</w:t>
      </w:r>
      <w:r>
        <w:rPr>
          <w:color w:val="003CA0"/>
          <w:sz w:val="12"/>
        </w:rPr>
        <w:t xml:space="preserve"> | ADI 4.462</w:t>
      </w:r>
      <w:r>
        <w:rPr>
          <w:color w:val="003CA0"/>
          <w:sz w:val="12"/>
        </w:rPr>
        <w:t xml:space="preserve"> | rel. Cármen Lúcia</w:t>
      </w:r>
    </w:p>
    <w:p>
      <w:pPr>
        <w:ind w:left="288"/>
      </w:pPr>
      <w:r>
        <w:rPr>
          <w:color w:val="1E1E1E"/>
          <w:sz w:val="18"/>
        </w:rPr>
        <w:t>A Associação Nacional dos Magistrados Estaduais (ANAMAGES) não tem legitimidade para propor ação direta de inconstitucionalidade contra norma de interesse de toda a magistratura. É legítima, todavia, para a propositura de ação direta contra norma de interesse da magistratura de determinado Estado-membro da Federação.</w:t>
      </w:r>
    </w:p>
    <w:p>
      <w:pPr>
        <w:ind w:left="288"/>
      </w:pPr>
      <w:r>
        <w:rPr>
          <w:b/>
          <w:color w:val="003CA0"/>
          <w:sz w:val="16"/>
        </w:rPr>
        <w:t>[ADI 4.462 MC, rel. min. Cármen Lúcia, j. 29-6-2011, P, DJE de 16-11-2011.]</w:t>
      </w:r>
    </w:p>
    <w:p>
      <w:pPr>
        <w:ind w:left="288"/>
      </w:pPr>
      <w:r>
        <w:rPr>
          <w:color w:val="8C8C8C"/>
          <w:sz w:val="12"/>
        </w:rPr>
        <w:t>cf-art-103-inc-IX</w:t>
      </w:r>
      <w:r>
        <w:rPr>
          <w:color w:val="003CA0"/>
          <w:sz w:val="12"/>
        </w:rPr>
        <w:t xml:space="preserve"> | ADI 1.804</w:t>
      </w:r>
      <w:r>
        <w:rPr>
          <w:color w:val="003CA0"/>
          <w:sz w:val="12"/>
        </w:rPr>
        <w:t xml:space="preserve"> | rel. Dias Toffoli</w:t>
      </w:r>
    </w:p>
    <w:p>
      <w:pPr>
        <w:ind w:left="288"/>
      </w:pPr>
      <w:r>
        <w:rPr>
          <w:color w:val="1E1E1E"/>
          <w:sz w:val="18"/>
        </w:rPr>
        <w:t>Caracterização da Abimaq como entidade de classe de âmbito nacional. O novo estatuto social prevê que a associação é composta apenas por entidades singulares de natureza empresarial, com classe econômica bem definida, não mais restando caracterizada a heterogeneidade de sua composição, que impedira o conhecimento da ADI 1.804/RS. Prova, nos autos, da composição associativa ampla, estando presente a associação em mais de nove Estados da Federação. Cumprimento da exigência da pertinência temática, ante a existência de correlação entre o objeto do pedido de declaração de inconstitucionalidade e o</w:t>
      </w:r>
    </w:p>
    <w:p>
      <w:pPr>
        <w:ind w:left="288"/>
      </w:pPr>
      <w:r>
        <w:rPr>
          <w:b/>
          <w:color w:val="003CA0"/>
          <w:sz w:val="16"/>
        </w:rPr>
        <w:t>[ADI 3.702, rel. min. Dias Toffoli, j. 1º-6-2011, P, DJE de 30-8-2011.]</w:t>
      </w:r>
    </w:p>
    <w:p>
      <w:pPr>
        <w:ind w:left="288"/>
      </w:pPr>
      <w:r>
        <w:rPr>
          <w:color w:val="8C8C8C"/>
          <w:sz w:val="12"/>
        </w:rPr>
        <w:t>cf-art-103-inc-IX</w:t>
      </w:r>
      <w:r>
        <w:rPr>
          <w:color w:val="003CA0"/>
          <w:sz w:val="12"/>
        </w:rPr>
        <w:t xml:space="preserve"> | ADI 3.413</w:t>
      </w:r>
      <w:r>
        <w:rPr>
          <w:color w:val="003CA0"/>
          <w:sz w:val="12"/>
        </w:rPr>
        <w:t xml:space="preserve"> | rel. Marco Aurélio</w:t>
      </w:r>
    </w:p>
    <w:p>
      <w:pPr>
        <w:ind w:left="288"/>
      </w:pPr>
      <w:r>
        <w:rPr>
          <w:color w:val="1E1E1E"/>
          <w:sz w:val="18"/>
        </w:rPr>
        <w:t>O fato de a associação requerente congregar diversos segmentos existentes no mercado não a descredencia para a propositura da ação direta de inconstitucionalidade – evolução da jurisprudência. (...) Surge a pertinência temática, presente ajuizamento de ação direta de inconstitucionalidade por associação, quando esta congrega setor econômico que é alcançado, em termos de tributo, pela norma atacada.</w:t>
      </w:r>
    </w:p>
    <w:p>
      <w:pPr>
        <w:ind w:left="288"/>
      </w:pPr>
      <w:r>
        <w:rPr>
          <w:b/>
          <w:color w:val="003CA0"/>
          <w:sz w:val="16"/>
        </w:rPr>
        <w:t>[ADI 3.413, rel. min. Marco Aurélio, j. 1º-6-2011, P, DJE de 1º-8-2011.]</w:t>
      </w:r>
    </w:p>
    <w:p>
      <w:pPr>
        <w:ind w:left="288"/>
      </w:pPr>
      <w:r>
        <w:rPr>
          <w:color w:val="8C8C8C"/>
          <w:sz w:val="12"/>
        </w:rPr>
        <w:t>cf-art-103-inc-IX</w:t>
      </w:r>
      <w:r>
        <w:rPr>
          <w:color w:val="003CA0"/>
          <w:sz w:val="12"/>
        </w:rPr>
        <w:t xml:space="preserve"> | ADI 3.617</w:t>
      </w:r>
      <w:r>
        <w:rPr>
          <w:color w:val="003CA0"/>
          <w:sz w:val="12"/>
        </w:rPr>
        <w:t xml:space="preserve"> | rel. Cezar Peluso</w:t>
      </w:r>
    </w:p>
    <w:p>
      <w:pPr>
        <w:ind w:left="288"/>
      </w:pPr>
      <w:r>
        <w:rPr>
          <w:color w:val="1E1E1E"/>
          <w:sz w:val="18"/>
        </w:rPr>
        <w:t>Carece de legitimação para propor ação direta de inconstitucionalidade a entidade de classe que, embora de âmbito estatutário nacional, não tenha representação em, pelo menos, nove Estados da Federação, nem represente toda a categoria profissional, cujos interesses pretenda tutelar.</w:t>
      </w:r>
    </w:p>
    <w:p>
      <w:pPr>
        <w:ind w:left="288"/>
      </w:pPr>
      <w:r>
        <w:rPr>
          <w:b/>
          <w:color w:val="003CA0"/>
          <w:sz w:val="16"/>
        </w:rPr>
        <w:t>[ADI 3.617 AgR, rel. min. Cezar Peluso, j. 25-5-2011, P, DJE de 1º-7-2011.]</w:t>
      </w:r>
    </w:p>
    <w:p>
      <w:pPr>
        <w:ind w:left="288"/>
      </w:pPr>
      <w:r>
        <w:rPr>
          <w:color w:val="8C8C8C"/>
          <w:sz w:val="12"/>
        </w:rPr>
        <w:t>cf-art-103-inc-IX</w:t>
      </w:r>
      <w:r>
        <w:rPr>
          <w:color w:val="003CA0"/>
          <w:sz w:val="12"/>
        </w:rPr>
        <w:t xml:space="preserve"> | ADI 4.230</w:t>
      </w:r>
      <w:r>
        <w:rPr>
          <w:color w:val="003CA0"/>
          <w:sz w:val="12"/>
        </w:rPr>
        <w:t xml:space="preserve"> | rel. Dias Toffoli</w:t>
      </w:r>
    </w:p>
    <w:p>
      <w:pPr>
        <w:ind w:left="288"/>
      </w:pPr>
      <w:r>
        <w:rPr>
          <w:color w:val="1E1E1E"/>
          <w:sz w:val="18"/>
        </w:rPr>
        <w:t>= ADI 4.230 AgR, rel. min. Dias Toffoli, j. 1º-8-2011, P, DJE de 14-9-2011 A Associação dos Delegados de Polícia do Brasil tem legitimidade para a propositura da ação direta, pois constitui entidade de classe de âmbito nacional, congregadora de "todos os delegados de polícia de carreira do País, para defesa de suas prerrogativas, direitos e interesses" (inciso IX do art. 103 da CF).</w:t>
      </w:r>
    </w:p>
    <w:p>
      <w:pPr>
        <w:ind w:left="288"/>
      </w:pPr>
      <w:r>
        <w:rPr>
          <w:b/>
          <w:color w:val="003CA0"/>
          <w:sz w:val="16"/>
        </w:rPr>
        <w:t>[ADI 3.288, rel. min. Ayres Britto, j. 13-10-2010, P, DJE de 24-2-2011.]</w:t>
      </w:r>
    </w:p>
    <w:p>
      <w:pPr>
        <w:ind w:left="288"/>
      </w:pPr>
      <w:r>
        <w:rPr>
          <w:color w:val="8C8C8C"/>
          <w:sz w:val="12"/>
        </w:rPr>
        <w:t>cf-art-103-inc-IX</w:t>
      </w:r>
      <w:r>
        <w:rPr>
          <w:color w:val="003CA0"/>
          <w:sz w:val="12"/>
        </w:rPr>
        <w:t xml:space="preserve"> | ADI 3.469</w:t>
      </w:r>
      <w:r>
        <w:rPr>
          <w:color w:val="003CA0"/>
          <w:sz w:val="12"/>
        </w:rPr>
        <w:t xml:space="preserve"> | rel. Gilmar Mendes</w:t>
      </w:r>
    </w:p>
    <w:p>
      <w:pPr>
        <w:ind w:left="288"/>
      </w:pPr>
      <w:r>
        <w:rPr>
          <w:color w:val="1E1E1E"/>
          <w:sz w:val="18"/>
        </w:rPr>
        <w:t>=  ADI 3.469, rel. min. Gilmar Mendes, j. 16-9-2010, P, DJE de 28-2-2011 (...) o âmbito temático da presente arguição de descumprimento de preceito fundamental, que impugna – além da "interpretação judicial dada pelo TSE ao texto do § 9º do art. 14 da CF, com a redação dada pela EC de revisão 4/1994" (...) – também a LC 64/1990, especificamente no ponto em que esta exige, para efeito de reconhecimento de inelegibilidade, trânsito em julgado para determinadas decisões (art. 1º, I, d, e e h, e art. 15), ou, então, que acolhe ressalva alegadamente descaracterizadora da situação de inelegibilidade</w:t>
      </w:r>
    </w:p>
    <w:p>
      <w:pPr>
        <w:ind w:left="288"/>
      </w:pPr>
      <w:r>
        <w:rPr>
          <w:b/>
          <w:color w:val="003CA0"/>
          <w:sz w:val="16"/>
        </w:rPr>
        <w:t>[ADPF 144, voto do rel. min. Celso de Mello, j. 6-8-2008, P, DJE de 26-2-2010.]</w:t>
      </w:r>
    </w:p>
    <w:p>
      <w:pPr>
        <w:ind w:left="288"/>
      </w:pPr>
      <w:r>
        <w:rPr>
          <w:color w:val="8C8C8C"/>
          <w:sz w:val="12"/>
        </w:rPr>
        <w:t>cf-art-103-inc-IX</w:t>
      </w:r>
      <w:r>
        <w:rPr>
          <w:color w:val="003CA0"/>
          <w:sz w:val="12"/>
        </w:rPr>
        <w:t xml:space="preserve"> | ADI 1.336</w:t>
      </w:r>
      <w:r>
        <w:rPr>
          <w:color w:val="003CA0"/>
          <w:sz w:val="12"/>
        </w:rPr>
        <w:t xml:space="preserve"> | rel. Cármen Lúcia</w:t>
      </w:r>
    </w:p>
    <w:p>
      <w:pPr>
        <w:ind w:left="288"/>
      </w:pPr>
      <w:r>
        <w:rPr>
          <w:color w:val="1E1E1E"/>
          <w:sz w:val="18"/>
        </w:rPr>
        <w:t>A associação embargante apresenta, após o julgamento da ação direta de inconstitucionalidade que dela não conheceu em face de sua ilegitimidade ativa, seu novo estatuto social para, diante da nova composição de seu quadro associativo, superar a ilegitimidade originária. Impossibilidade de se apreciar a alegada legitimidade em razão de sua nova configuração em momento posterior ao julgamento da presente ação direta de inconstitucionalidade.</w:t>
      </w:r>
    </w:p>
    <w:p>
      <w:pPr>
        <w:ind w:left="288"/>
      </w:pPr>
      <w:r>
        <w:rPr>
          <w:b/>
          <w:color w:val="003CA0"/>
          <w:sz w:val="16"/>
        </w:rPr>
        <w:t>[ADI 1.336 ED-ED, rel. min. Cármen Lúcia, j. 9-8-2006, P, DJ de 18-5-2007.]</w:t>
      </w:r>
    </w:p>
    <w:p>
      <w:pPr>
        <w:ind w:left="288"/>
      </w:pPr>
      <w:r>
        <w:rPr>
          <w:color w:val="8C8C8C"/>
          <w:sz w:val="12"/>
        </w:rPr>
        <w:t>cf-art-103-inc-IX</w:t>
      </w:r>
      <w:r>
        <w:rPr>
          <w:color w:val="003CA0"/>
          <w:sz w:val="12"/>
        </w:rPr>
        <w:t xml:space="preserve"> | ADI 2.903</w:t>
      </w:r>
      <w:r>
        <w:rPr>
          <w:color w:val="003CA0"/>
          <w:sz w:val="12"/>
        </w:rPr>
        <w:t xml:space="preserve"> | rel. Celso de Mello</w:t>
      </w:r>
    </w:p>
    <w:p>
      <w:pPr>
        <w:ind w:left="288"/>
      </w:pPr>
      <w:r>
        <w:rPr>
          <w:color w:val="1E1E1E"/>
          <w:sz w:val="18"/>
        </w:rPr>
        <w:t>A Associação Nacional dos Defensores Públicos (ANADEP) dispõe de legitimidade ativa ad causam para fazer instaurar processo de controle normativo abstrato em face de atos estatais, como a legislação pertinente à Defensoria Pública, cujo conteúdo guarde relação de pertinência temática com as finalidades institucionais dessa entidade de classe de âmbito nacional.</w:t>
      </w:r>
    </w:p>
    <w:p>
      <w:pPr>
        <w:ind w:left="288"/>
      </w:pPr>
      <w:r>
        <w:rPr>
          <w:b/>
          <w:color w:val="003CA0"/>
          <w:sz w:val="16"/>
        </w:rPr>
        <w:t>[ADI 2.903, rel. min. Celso de Mello, j. 1º-12-2005, P, DJE de 19-9-2008.]</w:t>
      </w:r>
    </w:p>
    <w:p>
      <w:pPr>
        <w:ind w:left="288"/>
      </w:pPr>
      <w:r>
        <w:rPr>
          <w:color w:val="8C8C8C"/>
          <w:sz w:val="12"/>
        </w:rPr>
        <w:t>cf-art-103-inc-IX</w:t>
      </w:r>
      <w:r>
        <w:rPr>
          <w:color w:val="003CA0"/>
          <w:sz w:val="12"/>
        </w:rPr>
        <w:t xml:space="preserve"> | ADI 920</w:t>
      </w:r>
      <w:r>
        <w:rPr>
          <w:color w:val="003CA0"/>
          <w:sz w:val="12"/>
        </w:rPr>
        <w:t xml:space="preserve"> | rel. Francisco Rezek</w:t>
      </w:r>
    </w:p>
    <w:p>
      <w:pPr>
        <w:ind w:left="288"/>
      </w:pPr>
      <w:r>
        <w:rPr>
          <w:color w:val="1E1E1E"/>
          <w:sz w:val="18"/>
        </w:rPr>
        <w:t>A agravante busca demonstrar sua legitimidade ativa mesclando indevidamente duas das hipóteses de legitimação previstas no art. 103 da CF. Porém, sua inequívoca natureza sindical a exclui, peremptoriamente, das demais categorias de associação de âmbito nacional. Precedentes: ADI 920 MC, rel. min. Francisco Rezek, DJ de 11-4-1997, ADI 1.149 AgR, rel. min. Ilmar Galvão, DJ de 6-10-1995, ADI 275, rel. min. Moreira Alves, DJ de 22-2-1991 e ADI 378, rel. min. Sydney Sanches, DJ de 19-2-1993. Não se tratando de confederação sindical organizada na forma da lei, mas de entidade sindical de segundo gra</w:t>
      </w:r>
    </w:p>
    <w:p>
      <w:pPr>
        <w:ind w:left="288"/>
      </w:pPr>
      <w:r>
        <w:rPr>
          <w:b/>
          <w:color w:val="003CA0"/>
          <w:sz w:val="16"/>
        </w:rPr>
        <w:t>[ADI 3.506 AgR, rel. min. Ellen Gracie, j. 8-9-2005, P, DJ de 30-9-2005.]</w:t>
      </w:r>
    </w:p>
    <w:p>
      <w:pPr>
        <w:ind w:left="288"/>
      </w:pPr>
      <w:r>
        <w:rPr>
          <w:color w:val="8C8C8C"/>
          <w:sz w:val="12"/>
        </w:rPr>
        <w:t>cf-art-103-inc-IX</w:t>
      </w:r>
      <w:r>
        <w:rPr>
          <w:color w:val="003CA0"/>
          <w:sz w:val="12"/>
        </w:rPr>
        <w:t xml:space="preserve"> | ADI 4.361</w:t>
      </w:r>
      <w:r>
        <w:rPr>
          <w:color w:val="003CA0"/>
          <w:sz w:val="12"/>
        </w:rPr>
        <w:t xml:space="preserve"> | rel. Luiz Fux</w:t>
      </w:r>
    </w:p>
    <w:p>
      <w:pPr>
        <w:ind w:left="288"/>
      </w:pPr>
      <w:r>
        <w:rPr>
          <w:color w:val="1E1E1E"/>
          <w:sz w:val="18"/>
        </w:rPr>
        <w:t>= ADI 4.361 AgR, rel. min. Luiz Fux, j. 1º-12-2011, P, DJE de 1º-2-2012 Ação direta de inconstitucionalidade. Ausência de legitimidade ativa de central sindical (CUT).</w:t>
      </w:r>
    </w:p>
    <w:p>
      <w:pPr>
        <w:ind w:left="288"/>
      </w:pPr>
      <w:r>
        <w:rPr>
          <w:b/>
          <w:color w:val="003CA0"/>
          <w:sz w:val="16"/>
        </w:rPr>
        <w:t>[ADI 1.442, rel. min. Celso de Mello, j. 3-11-2004, P, DJ de 29-4-2005.]</w:t>
      </w:r>
    </w:p>
    <w:p>
      <w:pPr>
        <w:ind w:left="288"/>
      </w:pPr>
      <w:r>
        <w:rPr>
          <w:color w:val="8C8C8C"/>
          <w:sz w:val="12"/>
        </w:rPr>
        <w:t>cf-art-103-inc-IX</w:t>
      </w:r>
      <w:r>
        <w:rPr>
          <w:color w:val="003CA0"/>
          <w:sz w:val="12"/>
        </w:rPr>
        <w:t xml:space="preserve"> | ADI 3.153</w:t>
      </w:r>
      <w:r>
        <w:rPr>
          <w:color w:val="003CA0"/>
          <w:sz w:val="12"/>
        </w:rPr>
        <w:t xml:space="preserve"> | rel. Sepúlveda Pertence</w:t>
      </w:r>
    </w:p>
    <w:p>
      <w:pPr>
        <w:ind w:left="288"/>
      </w:pPr>
      <w:r>
        <w:rPr>
          <w:color w:val="1E1E1E"/>
          <w:sz w:val="18"/>
        </w:rPr>
        <w:t xml:space="preserve">Ação direta de inconstitucionalidade: legitimação ativa: "entidade de classe de âmbito nacional": compreensão da "associação de associações" de classe: revisão da jurisprudência do Supremo Tribunal. O conceito de entidade de classe é dado pelo objetivo institucional classista, pouco importando que a eles diretamente se filiem os membros da respectiva categoria social ou agremiações que os congreguem, com a mesma finalidade, em âmbito territorial mais restrito. É entidade de classe de âmbito nacional – como tal legitimada à propositura da ação direta de inconstitucionalidade (CF, art. 103, IX) </w:t>
      </w:r>
    </w:p>
    <w:p>
      <w:pPr>
        <w:ind w:left="288"/>
      </w:pPr>
      <w:r>
        <w:rPr>
          <w:b/>
          <w:color w:val="003CA0"/>
          <w:sz w:val="16"/>
        </w:rPr>
        <w:t>[ADI 3.153 AgR, rel. min. Sepúlveda Pertence, j. 12-8-2004, P, DJ de 9-9-2005.]</w:t>
      </w:r>
    </w:p>
    <w:p>
      <w:pPr>
        <w:ind w:left="288"/>
      </w:pPr>
      <w:r>
        <w:rPr>
          <w:color w:val="8C8C8C"/>
          <w:sz w:val="12"/>
        </w:rPr>
        <w:t>cf-art-103-inc-IX</w:t>
      </w:r>
      <w:r>
        <w:rPr>
          <w:color w:val="003CA0"/>
          <w:sz w:val="12"/>
        </w:rPr>
        <w:t xml:space="preserve"> | ADI 2.797</w:t>
      </w:r>
      <w:r>
        <w:rPr>
          <w:color w:val="003CA0"/>
          <w:sz w:val="12"/>
        </w:rPr>
        <w:t xml:space="preserve"> | rel. Sepúlveda Pertence</w:t>
      </w:r>
    </w:p>
    <w:p>
      <w:pPr>
        <w:ind w:left="288"/>
      </w:pPr>
      <w:r>
        <w:rPr>
          <w:color w:val="1E1E1E"/>
          <w:sz w:val="18"/>
        </w:rPr>
        <w:t>= ADI 2.797 e ADI 2.860, rel. min. Sepúlveda Pertence, j. 15-9-2005, P, DJ de 19-12-2006 Transformação de cargos de assistente jurídico da AGU em advogado da união. (...) Preliminar de ilegitimidade ativa ad causam afastada por tratar-se a associação requerente de uma entidade representativa de uma categoria cujas atribuições receberam um tratamento constitucional específico, elevadas à qualidade de essenciais à Justiça.</w:t>
      </w:r>
    </w:p>
    <w:p>
      <w:pPr>
        <w:ind w:left="288"/>
      </w:pPr>
      <w:r>
        <w:rPr>
          <w:b/>
          <w:color w:val="003CA0"/>
          <w:sz w:val="16"/>
        </w:rPr>
        <w:t>[ADI 2.713, rel. min. Ellen Gracie, j. 18-12-2002, P, DJ de 7-3-2003.]</w:t>
      </w:r>
    </w:p>
    <w:p>
      <w:pPr>
        <w:ind w:left="288"/>
      </w:pPr>
      <w:r>
        <w:rPr>
          <w:color w:val="8C8C8C"/>
          <w:sz w:val="12"/>
        </w:rPr>
        <w:t>cf-art-103-inc-IX</w:t>
      </w:r>
      <w:r>
        <w:rPr>
          <w:color w:val="003CA0"/>
          <w:sz w:val="12"/>
        </w:rPr>
        <w:t xml:space="preserve"> | ADI 1.875</w:t>
      </w:r>
      <w:r>
        <w:rPr>
          <w:color w:val="003CA0"/>
          <w:sz w:val="12"/>
        </w:rPr>
        <w:t xml:space="preserve"> | rel. Celso de Mello</w:t>
      </w:r>
    </w:p>
    <w:p>
      <w:pPr>
        <w:ind w:left="288"/>
      </w:pPr>
      <w:r>
        <w:rPr>
          <w:color w:val="1E1E1E"/>
          <w:sz w:val="18"/>
        </w:rPr>
        <w:t>Ação direta de inconstitucionalidade. Legitimidade ativa ad causam. CF/1988, art. 103. Rol taxativo. Entidade de classe. Representação institucional de mera fração de determinada categoria funcional. Descaracterização da autora como entidade de classe. Ação direta não conhecida. (...) A Constituição da República, ao disciplinar o tema concernente a quem pode ativar, mediante ação direta, a jurisdição constitucional concentrada do STF, ampliou, significativamente, o rol – sempre taxativo – dos que dispõem da titularidade de agir em sede de controle normativo abstrato. Não se qualificam como ent</w:t>
      </w:r>
    </w:p>
    <w:p>
      <w:pPr>
        <w:ind w:left="288"/>
      </w:pPr>
      <w:r>
        <w:rPr>
          <w:b/>
          <w:color w:val="003CA0"/>
          <w:sz w:val="16"/>
        </w:rPr>
        <w:t>[ADI 1.875 AgR, rel. min. Celso de Mello, j. 20-6-2001, P, DJE de 12-12-2008.]</w:t>
      </w:r>
    </w:p>
    <w:p>
      <w:pPr>
        <w:ind w:left="288"/>
      </w:pPr>
      <w:r>
        <w:rPr>
          <w:color w:val="8C8C8C"/>
          <w:sz w:val="12"/>
        </w:rPr>
        <w:t>cf-art-103-inc-IX</w:t>
      </w:r>
      <w:r>
        <w:rPr>
          <w:color w:val="003CA0"/>
          <w:sz w:val="12"/>
        </w:rPr>
        <w:t xml:space="preserve"> | ADI 4.473</w:t>
      </w:r>
      <w:r>
        <w:rPr>
          <w:color w:val="003CA0"/>
          <w:sz w:val="12"/>
        </w:rPr>
        <w:t xml:space="preserve"> | rel. Dias Toffoli</w:t>
      </w:r>
    </w:p>
    <w:p>
      <w:pPr>
        <w:ind w:left="288"/>
      </w:pPr>
      <w:r>
        <w:rPr>
          <w:color w:val="1E1E1E"/>
          <w:sz w:val="18"/>
        </w:rPr>
        <w:t>= ADI 4.473 AgR, rel. min. Dias Toffoli, j. 20-6-2012, P, DJE de 1º-8-2012 A associação de classe, de âmbito nacional, há de comprovar a pertinência temática, ou seja, o interesse considerado o respectivo estatuto e a norma que se pretenda fulminada.</w:t>
      </w:r>
    </w:p>
    <w:p>
      <w:pPr>
        <w:ind w:left="288"/>
      </w:pPr>
      <w:r>
        <w:rPr>
          <w:b/>
          <w:color w:val="003CA0"/>
          <w:sz w:val="16"/>
        </w:rPr>
        <w:t>[ADI 1.873, rel. min. Marco Aurélio, j. 2-9-1998, P, DJ de 19-9-2003.]</w:t>
      </w:r>
    </w:p>
    <w:p>
      <w:pPr>
        <w:ind w:left="288"/>
      </w:pPr>
      <w:r>
        <w:rPr>
          <w:color w:val="8C8C8C"/>
          <w:sz w:val="12"/>
        </w:rPr>
        <w:t>cf-art-103-inc-IX</w:t>
      </w:r>
      <w:r>
        <w:rPr>
          <w:color w:val="003CA0"/>
          <w:sz w:val="12"/>
        </w:rPr>
        <w:t xml:space="preserve"> | ADI 1.565</w:t>
      </w:r>
      <w:r>
        <w:rPr>
          <w:color w:val="003CA0"/>
          <w:sz w:val="12"/>
        </w:rPr>
        <w:t xml:space="preserve"> | rel. Néri da Silveira</w:t>
      </w:r>
    </w:p>
    <w:p>
      <w:pPr>
        <w:ind w:left="288"/>
      </w:pPr>
      <w:r>
        <w:rPr>
          <w:color w:val="1E1E1E"/>
          <w:sz w:val="18"/>
        </w:rPr>
        <w:t>Ausência de comprovação do registro do estatuto como entidade sindical superior no Ministério do Trabalho, em data posterior à alteração dos estatutos, conforme determinado por despacho. Ação direta de inconstitucionalidade não conhecida por ausência de legitimidade ativa ad causam da entidade autora.</w:t>
      </w:r>
    </w:p>
    <w:p>
      <w:pPr>
        <w:ind w:left="288"/>
      </w:pPr>
      <w:r>
        <w:rPr>
          <w:b/>
          <w:color w:val="003CA0"/>
          <w:sz w:val="16"/>
        </w:rPr>
        <w:t>[ADI 1.565, rel. min. Néri da Silveira, j. 23-10-1997, P, DJ de 17-12-1999.]</w:t>
      </w:r>
    </w:p>
    <w:p>
      <w:pPr>
        <w:ind w:left="288"/>
      </w:pPr>
      <w:r>
        <w:rPr>
          <w:color w:val="8C8C8C"/>
          <w:sz w:val="12"/>
        </w:rPr>
        <w:t>cf-art-103-inc-IX</w:t>
      </w:r>
      <w:r>
        <w:rPr>
          <w:color w:val="003CA0"/>
          <w:sz w:val="12"/>
        </w:rPr>
        <w:t xml:space="preserve"> | ADI 5.034</w:t>
      </w:r>
      <w:r>
        <w:rPr>
          <w:color w:val="003CA0"/>
          <w:sz w:val="12"/>
        </w:rPr>
        <w:t xml:space="preserve"> | rel. Celso de Mello</w:t>
      </w:r>
    </w:p>
    <w:p>
      <w:pPr>
        <w:ind w:left="288"/>
      </w:pPr>
      <w:r>
        <w:rPr>
          <w:color w:val="1E1E1E"/>
          <w:sz w:val="18"/>
        </w:rPr>
        <w:t>= ADI 5.034 AgR, rel. min. Celso de Mello, j. 1º-8-2014, P, DJE de 3-9-2014 Cumpre reconhecer, desde logo, que a presente ação direta foi ajuizada pela Confederação Nacional do Transporte e pela Confederação Nacional da Indústria, que constituem entidades sindicais de grau superior, com regular existência jurídica desde 1954 (CNT) e 1938 (CNI), respectivamente, satisfazendo, em consequência, a regra inscrita no art. 103, IX, da Carta Política, que atribui legitimidade ativa às confederações sindicais para a instauração do controle abstrato de constitucionalidade.</w:t>
      </w:r>
    </w:p>
    <w:p>
      <w:pPr>
        <w:ind w:left="288"/>
      </w:pPr>
      <w:r>
        <w:rPr>
          <w:b/>
          <w:color w:val="003CA0"/>
          <w:sz w:val="16"/>
        </w:rPr>
        <w:t>[ADI 1.480 MC, rel. min. Celso de Mello, j. 4-9-1997, P, DJ de 18-5-2001.]</w:t>
      </w:r>
    </w:p>
    <w:p>
      <w:pPr>
        <w:ind w:left="288"/>
      </w:pPr>
      <w:r>
        <w:rPr>
          <w:color w:val="8C8C8C"/>
          <w:sz w:val="12"/>
        </w:rPr>
        <w:t>cf-art-103-inc-IX</w:t>
      </w:r>
      <w:r>
        <w:rPr>
          <w:color w:val="003CA0"/>
          <w:sz w:val="12"/>
        </w:rPr>
        <w:t xml:space="preserve"> | ADI 1.114</w:t>
      </w:r>
      <w:r>
        <w:rPr>
          <w:color w:val="003CA0"/>
          <w:sz w:val="12"/>
        </w:rPr>
        <w:t xml:space="preserve"> | rel. Ilmar Galvão) proposta pela mesma Confederação Nacional dos Trabalhadores Metalúrgicos (CNTM)</w:t>
      </w:r>
    </w:p>
    <w:p>
      <w:pPr>
        <w:ind w:left="288"/>
      </w:pPr>
      <w:r>
        <w:rPr>
          <w:color w:val="1E1E1E"/>
          <w:sz w:val="18"/>
        </w:rPr>
        <w:t>Recentemente, em 31-8-1994, o Plenário desta Corte, ao julgar pedido de liminar, na ADI 1.114 (rel. min. Ilmar Galvão) proposta pela mesma Confederação Nacional dos Trabalhadores Metalúrgicos (CNTM), em que essa arguia a inconstitucionalidade do art. 21 da Lei 8.906/1994 ("art. 21. Nas causas em que for parte o empregador, ou pessoa por este representada, os honorários de sucumbência são devidos aos advogados empregados"), não conheceu da ação, por entender que não ocorria o requisito da pertinência objetiva, uma vez que a circunstância de a referida confederação contar eventualmente com advog</w:t>
      </w:r>
    </w:p>
    <w:p>
      <w:pPr>
        <w:ind w:left="288"/>
      </w:pPr>
      <w:r>
        <w:rPr>
          <w:b/>
          <w:color w:val="003CA0"/>
          <w:sz w:val="16"/>
        </w:rPr>
        <w:t>[ADI 1.123 MC, rel. min. Moreira Alves, j. 1º-2-1995, P, DJ de 17-3-1995.]</w:t>
      </w:r>
    </w:p>
    <w:p>
      <w:pPr>
        <w:ind w:left="288"/>
      </w:pPr>
      <w:r>
        <w:rPr>
          <w:color w:val="8C8C8C"/>
          <w:sz w:val="12"/>
        </w:rPr>
        <w:t>cf-art-103-inc-IX</w:t>
      </w:r>
      <w:r>
        <w:rPr>
          <w:color w:val="003CA0"/>
          <w:sz w:val="12"/>
        </w:rPr>
        <w:t xml:space="preserve"> | ADI 1.194</w:t>
      </w:r>
      <w:r>
        <w:rPr>
          <w:color w:val="003CA0"/>
          <w:sz w:val="12"/>
        </w:rPr>
        <w:t xml:space="preserve"> | rel. Celso de Mello</w:t>
      </w:r>
    </w:p>
    <w:p>
      <w:pPr>
        <w:ind w:left="288"/>
      </w:pPr>
      <w:r>
        <w:rPr>
          <w:color w:val="1E1E1E"/>
          <w:sz w:val="18"/>
        </w:rPr>
        <w:t>= ADI 1.194, red. do ac. min. Cármen Lúcia, j. 20-5-2009, P, DJE de 11-9-2009 Ação direta de inconstitucionalidade. Confederação dos Servidores Públicos do Brasil (CSPB). Ausência de legitimidade ativa ad causam por falta de pertinência temática. Insuficiência, para tal efeito, da mera existência de interesse de caráter econômico-financeiro. Hipótese de incognoscibilidade. Ação direta não conhecida.</w:t>
      </w:r>
    </w:p>
    <w:p>
      <w:pPr>
        <w:ind w:left="288"/>
      </w:pPr>
      <w:r>
        <w:rPr>
          <w:b/>
          <w:color w:val="003CA0"/>
          <w:sz w:val="16"/>
        </w:rPr>
        <w:t>[ADI 1.157 MC, rel. min. Celso de Mello, j. 1º-12-1994, P, DJ de 17-11-2006.]</w:t>
      </w:r>
    </w:p>
    <w:p>
      <w:pPr>
        <w:ind w:left="288"/>
      </w:pPr>
      <w:r>
        <w:rPr>
          <w:color w:val="8C8C8C"/>
          <w:sz w:val="12"/>
        </w:rPr>
        <w:t>cf-art-103-inc-IX</w:t>
      </w:r>
      <w:r>
        <w:rPr>
          <w:color w:val="003CA0"/>
          <w:sz w:val="12"/>
        </w:rPr>
        <w:t xml:space="preserve"> | ADI 433</w:t>
      </w:r>
      <w:r>
        <w:rPr>
          <w:color w:val="003CA0"/>
          <w:sz w:val="12"/>
        </w:rPr>
        <w:t xml:space="preserve"> | rel. Néri da Silveira</w:t>
      </w:r>
    </w:p>
    <w:p>
      <w:pPr>
        <w:ind w:left="288"/>
      </w:pPr>
      <w:r>
        <w:rPr>
          <w:color w:val="1E1E1E"/>
          <w:sz w:val="18"/>
        </w:rPr>
        <w:t>Preliminarmente, não tenho como legitimadas à ação as federações sindicais autoras (Federação Nacional dos Estivadores, Federação Nacional do Conferentes e Consertadores de Carga e Descarga Vigias Portuários – Trabalhadores de Bloco e Arrumadores, e Federação dos Portuários). Cuida-se de entidades sindicais que não atendem ao requisito do inciso IX do art. 103 da Constituição, porque seu nível não é de confederação sindical. São entidades sindicais de segundo grau. Nesse sentido, as decisões do Plenário na ADI 433/DF, ADI 853-6/DF e ADI 868-4/DF.</w:t>
      </w:r>
    </w:p>
    <w:p>
      <w:pPr>
        <w:ind w:left="288"/>
      </w:pPr>
      <w:r>
        <w:rPr>
          <w:b/>
          <w:color w:val="003CA0"/>
          <w:sz w:val="16"/>
        </w:rPr>
        <w:t>[ADI 929 MC, voto do rel. min. Néri da Silveira, j. 13-10-1993, P, DJ de 20-6-1997.]</w:t>
      </w:r>
    </w:p>
    <w:p>
      <w:pPr>
        <w:ind w:left="288"/>
      </w:pPr>
      <w:r>
        <w:rPr>
          <w:color w:val="8C8C8C"/>
          <w:sz w:val="12"/>
        </w:rPr>
        <w:t>cf-art-103-inc-IX</w:t>
      </w:r>
      <w:r>
        <w:rPr>
          <w:color w:val="003CA0"/>
          <w:sz w:val="12"/>
        </w:rPr>
        <w:t xml:space="preserve"> | ADI 4.224</w:t>
      </w:r>
      <w:r>
        <w:rPr>
          <w:color w:val="003CA0"/>
          <w:sz w:val="12"/>
        </w:rPr>
        <w:t xml:space="preserve"> | rel. Dias Toffoli</w:t>
      </w:r>
    </w:p>
    <w:p>
      <w:pPr>
        <w:ind w:left="288"/>
      </w:pPr>
      <w:r>
        <w:rPr>
          <w:color w:val="1E1E1E"/>
          <w:sz w:val="18"/>
        </w:rPr>
        <w:t>= ADI 4.224 AgR, rel. min. Dias Toffoli, j. 1º-8-2011, P, DJE de 8-9-2011</w:t>
      </w:r>
    </w:p>
    <w:p>
      <w:pPr>
        <w:ind w:left="288"/>
      </w:pPr>
      <w:r>
        <w:rPr>
          <w:color w:val="8C8C8C"/>
          <w:sz w:val="12"/>
        </w:rPr>
        <w:t>cf-art-103-par-1</w:t>
      </w:r>
      <w:r>
        <w:rPr>
          <w:color w:val="003CA0"/>
          <w:sz w:val="12"/>
        </w:rPr>
        <w:t xml:space="preserve"> | ADI 55</w:t>
      </w:r>
      <w:r>
        <w:rPr>
          <w:color w:val="003CA0"/>
          <w:sz w:val="12"/>
        </w:rPr>
        <w:t xml:space="preserve"> | rel. Octavio Gallotti</w:t>
      </w:r>
    </w:p>
    <w:p>
      <w:pPr>
        <w:ind w:left="288"/>
      </w:pPr>
      <w:r>
        <w:rPr>
          <w:color w:val="1E1E1E"/>
          <w:sz w:val="18"/>
        </w:rPr>
        <w:t>(...) o Tribunal decidiu, por unanimidade, que nos julgamentos das ações diretas de inconstitucionalidade não está impedido o ministro que na condição de ministro de Estado, haja referendado a lei ou o ato normativo objeto da ação. Também por unanimidade o Tribunal decidiu que está impedido nas ações diretas de inconstitucionalidade o ministro que, na condição de PGR, haja recusado representação para ajuizar ação direta de inconstitucionalidade.</w:t>
      </w:r>
    </w:p>
    <w:p>
      <w:pPr>
        <w:ind w:left="288"/>
      </w:pPr>
      <w:r>
        <w:rPr>
          <w:b/>
          <w:color w:val="003CA0"/>
          <w:sz w:val="16"/>
        </w:rPr>
        <w:t>[ADI 55 MC-QO, rel. min. Octavio Gallotti, j. 31-5-1989, P, DJ de 16-3-1990.]</w:t>
      </w:r>
    </w:p>
    <w:p>
      <w:pPr>
        <w:ind w:left="144"/>
      </w:pPr>
      <w:r>
        <w:rPr>
          <w:b/>
          <w:color w:val="B45A00"/>
          <w:sz w:val="16"/>
        </w:rPr>
        <w:t>JULGADOS CORRELATOS</w:t>
      </w:r>
    </w:p>
    <w:p>
      <w:pPr>
        <w:ind w:left="288"/>
      </w:pPr>
      <w:r>
        <w:rPr>
          <w:color w:val="8C8C8C"/>
          <w:sz w:val="12"/>
        </w:rPr>
        <w:t>cf-art-103-par-1</w:t>
      </w:r>
      <w:r>
        <w:rPr>
          <w:color w:val="003CA0"/>
          <w:sz w:val="12"/>
        </w:rPr>
        <w:t xml:space="preserve"> | RCL 4.453</w:t>
      </w:r>
      <w:r>
        <w:rPr>
          <w:color w:val="003CA0"/>
          <w:sz w:val="12"/>
        </w:rPr>
        <w:t xml:space="preserve"> | rel. Ellen Gracie</w:t>
      </w:r>
    </w:p>
    <w:p>
      <w:pPr>
        <w:ind w:left="288"/>
      </w:pPr>
      <w:r>
        <w:rPr>
          <w:color w:val="1E1E1E"/>
          <w:sz w:val="18"/>
        </w:rPr>
        <w:t>Ausência de legitimidade do MPT para atuar perante a Suprema Corte. Atribuição privativa do PGR. (...) Incumbe ao PGR exercer as funções do Ministério Público junto ao STF, nos termos do art. 46 da LC 75/1993. Existência de precedentes do Tribunal em casos análogos. O exercício das atribuições do MPT se circunscreve aos órgãos da Justiça do Trabalho, consoante se infere dos arts. 83, 90, 107 e 110 da LC 75/1993.</w:t>
      </w:r>
    </w:p>
    <w:p>
      <w:pPr>
        <w:ind w:left="288"/>
      </w:pPr>
      <w:r>
        <w:rPr>
          <w:b/>
          <w:color w:val="003CA0"/>
          <w:sz w:val="16"/>
        </w:rPr>
        <w:t>[Rcl 4.453 MC-AgR-AgR e Rcl 4.801 MC-AgR, rel. min. Ellen Gracie, j. 4-3-2009, P, DJE de 27-3-2009.]</w:t>
      </w:r>
    </w:p>
    <w:p>
      <w:pPr>
        <w:ind w:left="288"/>
      </w:pPr>
      <w:r>
        <w:rPr>
          <w:color w:val="8C8C8C"/>
          <w:sz w:val="12"/>
        </w:rPr>
        <w:t>cf-art-103-par-1</w:t>
      </w:r>
      <w:r>
        <w:rPr>
          <w:color w:val="003CA0"/>
          <w:sz w:val="12"/>
        </w:rPr>
        <w:t xml:space="preserve"> | RCL 7.318</w:t>
      </w:r>
      <w:r>
        <w:rPr>
          <w:color w:val="003CA0"/>
          <w:sz w:val="12"/>
        </w:rPr>
        <w:t xml:space="preserve"> | rel. Dias Toffoli</w:t>
      </w:r>
    </w:p>
    <w:p>
      <w:pPr>
        <w:ind w:left="288"/>
      </w:pPr>
      <w:r>
        <w:rPr>
          <w:color w:val="1E1E1E"/>
          <w:sz w:val="18"/>
        </w:rPr>
        <w:t>= Rcl 7.318 AgR, rel. min. Dias Toffoli, j. 23-5-2012, P, DJE de 26-10-2012 Vide Rcl 7.101, rel. min. Cármen Lúcia, j. 24-2-2011, P, DJE de 9-8-2011 PGR. Audição. O preceito inserto no § 1º do art. 103 da CF há de merecer interpretação teleológica. Visa ao conhecimento da matéria pelo Ministério Público, não implicando, necessariamente, seja-lhe enviado automaticamente todo e qualquer processo. O pronunciamento do órgão pode ocorrer na assentada em que apreciado o recurso.</w:t>
      </w:r>
    </w:p>
    <w:p>
      <w:pPr>
        <w:ind w:left="288"/>
      </w:pPr>
      <w:r>
        <w:rPr>
          <w:b/>
          <w:color w:val="003CA0"/>
          <w:sz w:val="16"/>
        </w:rPr>
        <w:t>[AI 158.725 AgR-ED, rel. min. Marco Aurélio, j. 18-12-1995, 2ª T, DJ de 8-3-1996.]</w:t>
      </w:r>
    </w:p>
    <w:p>
      <w:pPr>
        <w:ind w:left="288"/>
      </w:pPr>
      <w:r>
        <w:rPr>
          <w:color w:val="8C8C8C"/>
          <w:sz w:val="12"/>
        </w:rPr>
        <w:t>cf-art-103-par-2</w:t>
      </w:r>
      <w:r>
        <w:rPr>
          <w:color w:val="003CA0"/>
          <w:sz w:val="12"/>
        </w:rPr>
        <w:t xml:space="preserve"> | ADI 1.458</w:t>
      </w:r>
      <w:r>
        <w:rPr>
          <w:color w:val="003CA0"/>
          <w:sz w:val="12"/>
        </w:rPr>
        <w:t xml:space="preserve"> | rel. Celso de Mello</w:t>
      </w:r>
    </w:p>
    <w:p>
      <w:pPr>
        <w:ind w:left="288"/>
      </w:pPr>
      <w:r>
        <w:rPr>
          <w:color w:val="1E1E1E"/>
          <w:sz w:val="18"/>
        </w:rPr>
        <w:t>O desrespeito à Constituição tanto pode ocorrer mediante ação estatal quanto mediante inércia governamental. A situação de inconstitucionalidade pode derivar de um comportamento ativo do poder público, que age ou edita normas em desacordo com o que dispõe a Constituição, ofendendo-lhe, assim, os preceitos e os princípios que nela se acham consignados. Essa conduta estatal, que importa em um facere (atuação positiva), gera a inconstitucionalidade por ação. Se o Estado deixar de adotar as medidas necessárias à realização concreta dos preceitos da Constituição, em ordem a torná-los efetivos, oper</w:t>
      </w:r>
    </w:p>
    <w:p>
      <w:pPr>
        <w:ind w:left="288"/>
      </w:pPr>
      <w:r>
        <w:rPr>
          <w:b/>
          <w:color w:val="003CA0"/>
          <w:sz w:val="16"/>
        </w:rPr>
        <w:t>[ADI 1.458 MC, rel. min. Celso de Mello, j. 23-5-1996, P, DJ de 29-9-1996.]</w:t>
      </w:r>
    </w:p>
    <w:p>
      <w:pPr>
        <w:ind w:left="288"/>
      </w:pPr>
      <w:r>
        <w:rPr>
          <w:color w:val="8C8C8C"/>
          <w:sz w:val="12"/>
        </w:rPr>
        <w:t>cf-art-103-par-2</w:t>
      </w:r>
      <w:r>
        <w:rPr>
          <w:color w:val="003CA0"/>
          <w:sz w:val="12"/>
        </w:rPr>
        <w:t xml:space="preserve"> | ADI 267</w:t>
      </w:r>
      <w:r>
        <w:rPr>
          <w:color w:val="003CA0"/>
          <w:sz w:val="12"/>
        </w:rPr>
        <w:t xml:space="preserve"> | rel. Celso de Mello</w:t>
      </w:r>
    </w:p>
    <w:p>
      <w:pPr>
        <w:ind w:left="288"/>
      </w:pPr>
      <w:r>
        <w:rPr>
          <w:color w:val="1E1E1E"/>
          <w:sz w:val="18"/>
        </w:rPr>
        <w:t>Inconstitucionalidade por omissão. Bancada paulista na Câmara Federal. Elevação imediata para setenta deputados federais. Função do STF no controle concentrado de constitucionalidade. Sua atuação como legislador negativo. CF (art. 45, § 1º). Regra que não é autoaplicável. Mora constitucional. Impossibilidade de elevação automática da representação parlamentar.</w:t>
      </w:r>
    </w:p>
    <w:p>
      <w:pPr>
        <w:ind w:left="288"/>
      </w:pPr>
      <w:r>
        <w:rPr>
          <w:b/>
          <w:color w:val="003CA0"/>
          <w:sz w:val="16"/>
        </w:rPr>
        <w:t>[ADI 267 MC, rel. min. Celso de Mello, j. 25-10-1990, P, DJ de 19-5-1995.]</w:t>
      </w:r>
    </w:p>
    <w:p>
      <w:pPr>
        <w:ind w:left="288"/>
      </w:pPr>
      <w:r>
        <w:rPr>
          <w:color w:val="8C8C8C"/>
          <w:sz w:val="12"/>
        </w:rPr>
        <w:t>cf-art-103-par-2</w:t>
      </w:r>
      <w:r>
        <w:rPr>
          <w:color w:val="003CA0"/>
          <w:sz w:val="12"/>
        </w:rPr>
        <w:t xml:space="preserve"> | ADI 23</w:t>
      </w:r>
      <w:r>
        <w:rPr>
          <w:color w:val="003CA0"/>
          <w:sz w:val="12"/>
        </w:rPr>
        <w:t xml:space="preserve"> | rel. Sydney Sanches</w:t>
      </w:r>
    </w:p>
    <w:p>
      <w:pPr>
        <w:ind w:left="288"/>
      </w:pPr>
      <w:r>
        <w:rPr>
          <w:color w:val="1E1E1E"/>
          <w:sz w:val="18"/>
        </w:rPr>
        <w:t>A audiência do advogado-geral da União, prevista no art. 103, § 3º, da CF de 1988, é necessária na ação direta de inconstitucionalidade, em tese, de norma legal, ou ato normativo (já existentes), para se manifestar sobre o ato ou texto impugnado. Não, porém, na ação direta de inconstitucionalidade por omissão, prevista no § 2º do mesmo dispositivo, pois nesta se pressupõe, exatamente, a inexistência de norma ou ato normativo.</w:t>
      </w:r>
    </w:p>
    <w:p>
      <w:pPr>
        <w:ind w:left="288"/>
      </w:pPr>
      <w:r>
        <w:rPr>
          <w:b/>
          <w:color w:val="003CA0"/>
          <w:sz w:val="16"/>
        </w:rPr>
        <w:t>[ADI 23 QO, rel. min. Sydney Sanches, j. 4-8-1989, P, DJ de 1º-9-1989.]</w:t>
      </w:r>
    </w:p>
    <w:p>
      <w:pPr>
        <w:ind w:left="288"/>
      </w:pPr>
      <w:r>
        <w:rPr>
          <w:color w:val="8C8C8C"/>
          <w:sz w:val="12"/>
        </w:rPr>
        <w:t>cf-art-103-par-2</w:t>
      </w:r>
      <w:r>
        <w:rPr>
          <w:color w:val="003CA0"/>
          <w:sz w:val="12"/>
        </w:rPr>
        <w:t xml:space="preserve"> | RE 485.087</w:t>
      </w:r>
      <w:r>
        <w:rPr>
          <w:color w:val="003CA0"/>
          <w:sz w:val="12"/>
        </w:rPr>
        <w:t xml:space="preserve"> | rel. Cármen Lúcia</w:t>
      </w:r>
    </w:p>
    <w:p>
      <w:pPr>
        <w:ind w:left="288"/>
      </w:pPr>
      <w:r>
        <w:rPr>
          <w:color w:val="1E1E1E"/>
          <w:sz w:val="18"/>
        </w:rPr>
        <w:t>Não sendo possível, pela via do controle abstrato, obrigar o ente público a tomar providências legislativas necessárias para prover omissão declarada inconstitucional – na espécie, o encaminhamento de projeto de lei de revisão geral anual dos vencimentos dos servidores públicos –, com mais razão não poderia fazê-lo o Poder Judiciário, por via oblíqua, no controle concreto de constitucionalidade, deferindo pedido de indenização para recompor perdas salariais em face da inflação.</w:t>
      </w:r>
    </w:p>
    <w:p>
      <w:pPr>
        <w:ind w:left="288"/>
      </w:pPr>
      <w:r>
        <w:rPr>
          <w:b/>
          <w:color w:val="003CA0"/>
          <w:sz w:val="16"/>
        </w:rPr>
        <w:t>[RE 485.087 AgR, rel. min. Cármen Lúcia, j. 21-11-2006, 1ª T, DJ de 7-12-2006.]</w:t>
      </w:r>
    </w:p>
    <w:p>
      <w:pPr>
        <w:ind w:left="288"/>
      </w:pPr>
      <w:r>
        <w:rPr>
          <w:color w:val="8C8C8C"/>
          <w:sz w:val="12"/>
        </w:rPr>
        <w:t>cf-art-103-par-2</w:t>
      </w:r>
      <w:r>
        <w:rPr>
          <w:color w:val="003CA0"/>
          <w:sz w:val="12"/>
        </w:rPr>
        <w:t xml:space="preserve"> | RCL 1.017</w:t>
      </w:r>
      <w:r>
        <w:rPr>
          <w:color w:val="003CA0"/>
          <w:sz w:val="12"/>
        </w:rPr>
        <w:t xml:space="preserve"> | rel. Sepúlveda Pertence</w:t>
      </w:r>
    </w:p>
    <w:p>
      <w:pPr>
        <w:ind w:left="288"/>
      </w:pPr>
      <w:r>
        <w:rPr>
          <w:color w:val="1E1E1E"/>
          <w:sz w:val="18"/>
        </w:rPr>
        <w:t>Reclamação: usurpação da competência do STF (CF, art. 102, I, l): ação popular que, pela causa de pedir e pelo pedido de provimento mandamental formulado, configura hipótese reservada à ação direta de inconstitucionalidade por omissão de medidas administrativas, de privativa competência originária do Supremo Tribunal: procedência.</w:t>
      </w:r>
    </w:p>
    <w:p>
      <w:pPr>
        <w:ind w:left="288"/>
      </w:pPr>
      <w:r>
        <w:rPr>
          <w:b/>
          <w:color w:val="003CA0"/>
          <w:sz w:val="16"/>
        </w:rPr>
        <w:t>[Rcl 1.017, rel. min. Sepúlveda Pertence, j. 7-4-2005, P, DJ de 3-6-2005.]</w:t>
      </w:r>
    </w:p>
    <w:p>
      <w:pPr>
        <w:ind w:left="288"/>
      </w:pPr>
      <w:r>
        <w:rPr>
          <w:color w:val="8C8C8C"/>
          <w:sz w:val="12"/>
        </w:rPr>
        <w:t>cf-art-103-par-2</w:t>
      </w:r>
      <w:r>
        <w:rPr>
          <w:color w:val="003CA0"/>
          <w:sz w:val="12"/>
        </w:rPr>
        <w:t xml:space="preserve"> | AO 1.725</w:t>
      </w:r>
      <w:r>
        <w:rPr>
          <w:color w:val="003CA0"/>
          <w:sz w:val="12"/>
        </w:rPr>
        <w:t xml:space="preserve"> | rel. Luiz Fux</w:t>
      </w:r>
    </w:p>
    <w:p>
      <w:pPr>
        <w:ind w:left="288"/>
      </w:pPr>
      <w:r>
        <w:rPr>
          <w:color w:val="1E1E1E"/>
          <w:sz w:val="18"/>
        </w:rPr>
        <w:t>Vide AO 1.725 AgR, rel. min. Luiz Fux, j. 24-2-2015, 1ª T, DJE de 11-3-2015 Impossibilidade jurídica do pedido de conversão do mandado de injunção em ação direta de inconstitucionalidade por omissão.</w:t>
      </w:r>
    </w:p>
    <w:p>
      <w:pPr>
        <w:ind w:left="288"/>
      </w:pPr>
      <w:r>
        <w:rPr>
          <w:b/>
          <w:color w:val="003CA0"/>
          <w:sz w:val="16"/>
        </w:rPr>
        <w:t>[MI 395 QO, rel. min. Moreira Alves, j. 27-5-1992, P, DJ de 11-9-1992.]</w:t>
      </w:r>
    </w:p>
    <w:p>
      <w:pPr>
        <w:ind w:left="144"/>
      </w:pPr>
      <w:r>
        <w:rPr>
          <w:b/>
          <w:color w:val="B45A00"/>
          <w:sz w:val="16"/>
        </w:rPr>
        <w:t>CONTROLE CONCENTRADO</w:t>
      </w:r>
    </w:p>
    <w:p>
      <w:pPr>
        <w:ind w:left="288"/>
      </w:pPr>
      <w:r>
        <w:rPr>
          <w:color w:val="8C8C8C"/>
          <w:sz w:val="12"/>
        </w:rPr>
        <w:t>cf-art-103-par-3</w:t>
      </w:r>
      <w:r>
        <w:rPr>
          <w:color w:val="003CA0"/>
          <w:sz w:val="12"/>
        </w:rPr>
        <w:t xml:space="preserve"> | ADI 4.983</w:t>
      </w:r>
      <w:r>
        <w:rPr>
          <w:color w:val="003CA0"/>
          <w:sz w:val="12"/>
        </w:rPr>
        <w:t xml:space="preserve"> | rel. Marco Aurélio</w:t>
      </w:r>
    </w:p>
    <w:p>
      <w:pPr>
        <w:ind w:left="288"/>
      </w:pPr>
      <w:r>
        <w:rPr>
          <w:color w:val="1E1E1E"/>
          <w:sz w:val="18"/>
        </w:rPr>
        <w:t>Consoante dispõe a norma imperativa do § 3º do art. 103 do Diploma Maior, incumbe ao advogado-geral da União a defesa do ato ou texto impugnado na ação direta de inconstitucionalidade, não lhe cabendo emissão de simples parecer, a ponto de vir a concluir pela pecha de inconstitucionalidade.</w:t>
        <w:br/>
        <w:t xml:space="preserve">[ADI 4.983, rel. min. Marco Aurélio, j. 6-10-2016, P, DJE de 27-4-2017.] O múnus a que se refere o imperativo constitucional (CF, art. 103, § 3º) deve ser entendido com temperamentos. O advogado-geral da União não está obrigado a defender tese jurídica se sobre ela esta Corte já fixou entendimento pela sua </w:t>
      </w:r>
    </w:p>
    <w:p>
      <w:pPr>
        <w:ind w:left="288"/>
      </w:pPr>
      <w:r>
        <w:rPr>
          <w:b/>
          <w:color w:val="003CA0"/>
          <w:sz w:val="16"/>
        </w:rPr>
        <w:t>[ADI 1.616, rel. min. Maurício Corrêa, j. 24-5-2001, P, DJ de 24-8-2001.]</w:t>
      </w:r>
    </w:p>
    <w:p>
      <w:pPr>
        <w:ind w:left="288"/>
      </w:pPr>
      <w:r>
        <w:rPr>
          <w:color w:val="8C8C8C"/>
          <w:sz w:val="12"/>
        </w:rPr>
        <w:t>cf-art-103-par-3</w:t>
      </w:r>
      <w:r>
        <w:rPr>
          <w:color w:val="003CA0"/>
          <w:sz w:val="12"/>
        </w:rPr>
        <w:t xml:space="preserve"> | ADI 3.916</w:t>
      </w:r>
      <w:r>
        <w:rPr>
          <w:color w:val="003CA0"/>
          <w:sz w:val="12"/>
        </w:rPr>
        <w:t xml:space="preserve"> | rel. Eros Grau</w:t>
      </w:r>
    </w:p>
    <w:p>
      <w:pPr>
        <w:ind w:left="288"/>
      </w:pPr>
      <w:r>
        <w:rPr>
          <w:color w:val="1E1E1E"/>
          <w:sz w:val="18"/>
        </w:rPr>
        <w:t>Vide ADI 3.916, rel. min. Eros Grau, j. 3-2-2010, P, DJE de 14-5-2010 A função processual do advogado-geral da União, nos processos de controle de constitucionalidade por via de ação, é eminentemente defensiva. Ocupa, dentro da estrutura formal desse processo objetivo, a posição de órgão agente, posto que lhe não compete opinar e nem exercer a função fiscalizadora já atribuída ao PGR. Atuando como verdadeiro curador (defensor legis) das normas infraconstitucionais, inclusive daquelas de origem estadual, e velando pela preservação de sua presunção de constitucionalidade e de sua integridade e v</w:t>
      </w:r>
    </w:p>
    <w:p>
      <w:pPr>
        <w:ind w:left="288"/>
      </w:pPr>
      <w:r>
        <w:rPr>
          <w:b/>
          <w:color w:val="003CA0"/>
          <w:sz w:val="16"/>
        </w:rPr>
        <w:t>[ADI 1.254 AgR, rel. min. Celso de Mello, j. 14-8-1996, P, DJ de 19-9-1997.]</w:t>
      </w:r>
    </w:p>
    <w:p>
      <w:pPr>
        <w:ind w:left="288"/>
      </w:pPr>
      <w:r>
        <w:rPr>
          <w:color w:val="8C8C8C"/>
          <w:sz w:val="12"/>
        </w:rPr>
        <w:t>cf-art-103-par-3</w:t>
      </w:r>
      <w:r>
        <w:rPr>
          <w:color w:val="003CA0"/>
          <w:sz w:val="12"/>
        </w:rPr>
        <w:t xml:space="preserve"> | ADI 3.413</w:t>
      </w:r>
      <w:r>
        <w:rPr>
          <w:color w:val="003CA0"/>
          <w:sz w:val="12"/>
        </w:rPr>
        <w:t xml:space="preserve"> | rel. Marco Aurélio</w:t>
      </w:r>
    </w:p>
    <w:p>
      <w:pPr>
        <w:ind w:left="288"/>
      </w:pPr>
      <w:r>
        <w:rPr>
          <w:color w:val="1E1E1E"/>
          <w:sz w:val="18"/>
        </w:rPr>
        <w:t>= ADI 3.413, rel. min. Marco Aurélio, j. 1º-6-2011, P, DJE de 1º-8-2011</w:t>
      </w:r>
    </w:p>
    <w:p>
      <w:pPr>
        <w:ind w:left="288"/>
      </w:pPr>
      <w:r>
        <w:rPr>
          <w:color w:val="8C8C8C"/>
          <w:sz w:val="12"/>
        </w:rPr>
        <w:t>cf-art-103-par-4</w:t>
      </w:r>
    </w:p>
    <w:p>
      <w:pPr>
        <w:ind w:left="288"/>
      </w:pPr>
      <w:r>
        <w:rPr>
          <w:color w:val="1E1E1E"/>
          <w:sz w:val="18"/>
        </w:rPr>
        <w:t>Art. 103-A. O Supremo Tribunal Federal poderá, de ofício ou por provocação, mediante decisão de dois terços dos seus membros, após reiteradas decisões sobre matéria constitucional, aprovar súmula que, a partir de sua publicação na imprensa oficial, terá efeito vinculante em relação aos demais órgãos do Poder Judiciário e à administração pública direta e indireta, nas esferas federal, estadual e municipal, bem como proceder à sua revisão ou cancelamento, na forma estabelecida em lei. (Incluído pela EC 45/2004)</w:t>
      </w:r>
    </w:p>
    <w:p>
      <w:pPr>
        <w:ind w:left="288"/>
      </w:pPr>
      <w:r>
        <w:rPr>
          <w:color w:val="8C8C8C"/>
          <w:sz w:val="12"/>
        </w:rPr>
        <w:t>cf-art-103-par-4</w:t>
      </w:r>
      <w:r>
        <w:rPr>
          <w:color w:val="003CA0"/>
          <w:sz w:val="12"/>
        </w:rPr>
        <w:t xml:space="preserve"> | ADPF 147</w:t>
      </w:r>
      <w:r>
        <w:rPr>
          <w:color w:val="003CA0"/>
          <w:sz w:val="12"/>
        </w:rPr>
        <w:t xml:space="preserve"> | rel. Cármen Lúcia</w:t>
      </w:r>
    </w:p>
    <w:p>
      <w:pPr>
        <w:ind w:left="288"/>
      </w:pPr>
      <w:r>
        <w:rPr>
          <w:color w:val="1E1E1E"/>
          <w:sz w:val="18"/>
        </w:rPr>
        <w:t>A arguição de descumprimento de preceito fundamental não é a via adequada para se obter a interpretação, a revisão ou o cancelamento de súmula vinculante.</w:t>
      </w:r>
    </w:p>
    <w:p>
      <w:pPr>
        <w:ind w:left="288"/>
      </w:pPr>
      <w:r>
        <w:rPr>
          <w:b/>
          <w:color w:val="003CA0"/>
          <w:sz w:val="16"/>
        </w:rPr>
        <w:t>[ADPF 147 AgR, rel. min. Cármen Lúcia, j. 24-3-2011, P, DJE de 8-4-2011.]</w:t>
      </w:r>
    </w:p>
    <w:p>
      <w:pPr>
        <w:ind w:left="288"/>
      </w:pPr>
      <w:r>
        <w:rPr>
          <w:color w:val="8C8C8C"/>
          <w:sz w:val="12"/>
        </w:rPr>
        <w:t>cf-art-103-par-4</w:t>
      </w:r>
      <w:r>
        <w:rPr>
          <w:color w:val="003CA0"/>
          <w:sz w:val="12"/>
        </w:rPr>
        <w:t xml:space="preserve"> | ADPF 80</w:t>
      </w:r>
      <w:r>
        <w:rPr>
          <w:color w:val="003CA0"/>
          <w:sz w:val="12"/>
        </w:rPr>
        <w:t xml:space="preserve"> | rel. Eros Grau</w:t>
      </w:r>
    </w:p>
    <w:p>
      <w:pPr>
        <w:ind w:left="288"/>
      </w:pPr>
      <w:r>
        <w:rPr>
          <w:color w:val="1E1E1E"/>
          <w:sz w:val="18"/>
        </w:rPr>
        <w:t>Vide ADPF 80 AgR, rel. min. Eros Grau, j. 12-6-2006, P, DJ de 10-8-2006</w:t>
      </w:r>
    </w:p>
    <w:p>
      <w:pPr>
        <w:ind w:left="144"/>
      </w:pPr>
      <w:r>
        <w:rPr>
          <w:b/>
          <w:color w:val="B45A00"/>
          <w:sz w:val="16"/>
        </w:rPr>
        <w:t>JULGADOS CORRELATOS</w:t>
      </w:r>
    </w:p>
    <w:p>
      <w:pPr>
        <w:ind w:left="288"/>
      </w:pPr>
      <w:r>
        <w:rPr>
          <w:color w:val="8C8C8C"/>
          <w:sz w:val="12"/>
        </w:rPr>
        <w:t>cf-art-103-par-4</w:t>
      </w:r>
      <w:r>
        <w:rPr>
          <w:color w:val="003CA0"/>
          <w:sz w:val="12"/>
        </w:rPr>
        <w:t xml:space="preserve"> | RCL 10.707</w:t>
      </w:r>
      <w:r>
        <w:rPr>
          <w:color w:val="003CA0"/>
          <w:sz w:val="12"/>
        </w:rPr>
        <w:t xml:space="preserve"> | rel. Celso de Mello</w:t>
      </w:r>
    </w:p>
    <w:p>
      <w:pPr>
        <w:ind w:left="288"/>
      </w:pPr>
      <w:r>
        <w:rPr>
          <w:color w:val="1E1E1E"/>
          <w:sz w:val="18"/>
        </w:rPr>
        <w:t>A súmula (...) (excetuada aquela de perfil vinculante), ao contrário das notas que tipificam o ato normativo, não se reveste de compulsoriedade na sua observância externa nem de cogência na sua aplicação por terceiros. A súmula comum, na realidade, configura mero instrumento formal de exteriorização interpretativa de uma dada orientação jurisprudencial. A súmula comum, portanto, tendo em vista a tese jurisprudencial não vinculante que nela se acha consagrada, encerra, apenas, um resultado paradigmático para decisões futuras. A jurisprudência compendiada na formulação sumular, desse modo, não s</w:t>
      </w:r>
    </w:p>
    <w:p>
      <w:pPr>
        <w:ind w:left="288"/>
      </w:pPr>
      <w:r>
        <w:rPr>
          <w:b/>
          <w:color w:val="003CA0"/>
          <w:sz w:val="16"/>
        </w:rPr>
        <w:t>[Rcl 10.707 AgR, voto do rel. min. Celso de Mello, j. 28-5-2014, P, DJE de 30-10-2014.]</w:t>
      </w:r>
    </w:p>
    <w:p>
      <w:pPr>
        <w:ind w:left="288"/>
      </w:pPr>
      <w:r>
        <w:rPr>
          <w:color w:val="8C8C8C"/>
          <w:sz w:val="12"/>
        </w:rPr>
        <w:t>cf-art-103-par-4</w:t>
      </w:r>
      <w:r>
        <w:rPr>
          <w:color w:val="003CA0"/>
          <w:sz w:val="12"/>
        </w:rPr>
        <w:t xml:space="preserve"> | RCL 21.214</w:t>
      </w:r>
      <w:r>
        <w:rPr>
          <w:color w:val="003CA0"/>
          <w:sz w:val="12"/>
        </w:rPr>
        <w:t xml:space="preserve"> | rel. Celso de Mello</w:t>
      </w:r>
    </w:p>
    <w:p>
      <w:pPr>
        <w:ind w:left="288"/>
      </w:pPr>
      <w:r>
        <w:rPr>
          <w:color w:val="1E1E1E"/>
          <w:sz w:val="18"/>
        </w:rPr>
        <w:t>= Rcl 21.214, rel. min. Celso de Mello, j. 18-12-2015, dec. monocrática, DJE de 1º-2-2016 Com efeito, a tese de que o julgamento dos recursos interpostos contra decisões proferidas antes da edição da súmula não deve obrigatoriamente observar o enunciado sumular (após sua publicação na imprensa oficial), data vênia, não se mostra em consonância com o disposto no art. 103-A, caput, da CF, que impõe o efeito vinculante a todos os órgãos do Poder Judiciário, a partir da publicação da súmula na imprensa oficial.</w:t>
      </w:r>
    </w:p>
    <w:p>
      <w:pPr>
        <w:ind w:left="288"/>
      </w:pPr>
      <w:r>
        <w:rPr>
          <w:b/>
          <w:color w:val="003CA0"/>
          <w:sz w:val="16"/>
        </w:rPr>
        <w:t>[Rcl 6.541 e Rcl 6.856, rel. min. Ellen Gracie, j. 25-6-2009, P, DJE de 4-9-2009.]</w:t>
      </w:r>
    </w:p>
    <w:p>
      <w:pPr>
        <w:ind w:left="288"/>
      </w:pPr>
      <w:r>
        <w:rPr>
          <w:color w:val="8C8C8C"/>
          <w:sz w:val="12"/>
        </w:rPr>
        <w:t>cf-art-103-par-4</w:t>
      </w:r>
      <w:r>
        <w:rPr>
          <w:color w:val="003CA0"/>
          <w:sz w:val="12"/>
        </w:rPr>
        <w:t xml:space="preserve"> | RCL 7.101</w:t>
      </w:r>
      <w:r>
        <w:rPr>
          <w:color w:val="003CA0"/>
          <w:sz w:val="12"/>
        </w:rPr>
        <w:t xml:space="preserve"> | rel. Cármen Lúcia</w:t>
      </w:r>
    </w:p>
    <w:p>
      <w:pPr>
        <w:ind w:left="288"/>
      </w:pPr>
      <w:r>
        <w:rPr>
          <w:color w:val="1E1E1E"/>
          <w:sz w:val="18"/>
        </w:rPr>
        <w:t>= Rcl 7.101, rel. min. Cármen Lúcia, j. 24-2-2011, P, DJE de 9-8-2011 A Lei 11.417/2006 define os legitimados para a edição, revisão e cancelamento de enunciado de súmula vinculante (art. 3º). O rito estabelecido nesse texto normativo não prevê a impugnação dos enunciados mediante recurso extraordinário.</w:t>
      </w:r>
    </w:p>
    <w:p>
      <w:pPr>
        <w:ind w:left="288"/>
      </w:pPr>
      <w:r>
        <w:rPr>
          <w:b/>
          <w:color w:val="003CA0"/>
          <w:sz w:val="16"/>
        </w:rPr>
        <w:t>[Pet 4.556 AgR, rel. min. Eros Grau, j. 25-6-2009, P, DJE de 21-8-2009.]</w:t>
      </w:r>
    </w:p>
    <w:p>
      <w:pPr>
        <w:ind w:left="288"/>
      </w:pPr>
      <w:r>
        <w:rPr>
          <w:color w:val="8C8C8C"/>
          <w:sz w:val="12"/>
        </w:rPr>
        <w:t>cf-art-103-par-4</w:t>
      </w:r>
    </w:p>
    <w:p>
      <w:pPr>
        <w:ind w:left="288"/>
      </w:pPr>
      <w:r>
        <w:rPr>
          <w:color w:val="1E1E1E"/>
          <w:sz w:val="18"/>
        </w:rPr>
        <w:t>§ 1º A súmula terá por objetivo a validade, a interpretação e a eficácia de normas determinadas, acerca das quais haja controvérsia atual entre órgãos judiciários ou entre esses e a administração pública que acarrete grave insegurança jurídica e relevante multiplicação de processos sobre questão idêntica. (Incluído pela EC 45/2004)</w:t>
      </w:r>
    </w:p>
    <w:p>
      <w:pPr>
        <w:ind w:left="288"/>
      </w:pPr>
      <w:r>
        <w:rPr>
          <w:color w:val="8C8C8C"/>
          <w:sz w:val="12"/>
        </w:rPr>
        <w:t>cf-art-103-par-2</w:t>
      </w:r>
      <w:r>
        <w:rPr>
          <w:color w:val="003CA0"/>
          <w:sz w:val="12"/>
        </w:rPr>
        <w:t xml:space="preserve"> | MS 31.697</w:t>
      </w:r>
      <w:r>
        <w:rPr>
          <w:color w:val="003CA0"/>
          <w:sz w:val="12"/>
        </w:rPr>
        <w:t xml:space="preserve"> | rel. Dias Toffoli</w:t>
      </w:r>
    </w:p>
    <w:p>
      <w:pPr>
        <w:ind w:left="288"/>
      </w:pPr>
      <w:r>
        <w:rPr>
          <w:color w:val="1E1E1E"/>
          <w:sz w:val="18"/>
        </w:rPr>
        <w:t>Competência do CNMP para promover a fiscalização dos princípios constitucionais da administração pública, consagrados no art. 37, caput, da CF, entre eles o princípio da moralidade, que rege a vedação ao nepotismo. É inexequível a precisão dos interesses públicos e privados envolvidos, ressalvando-se, ademais, a obrigatoriedade de o poder público pautar seus atos pelo respeito aos princípios da administração pública, em especial, no caso dos autos, aos da legalidade e da impessoalidade (art. 37, caput, da CF/1988). A edição de atos regulamentares ou vinculantes por autoridade competente para a</w:t>
      </w:r>
    </w:p>
    <w:p>
      <w:pPr>
        <w:ind w:left="288"/>
      </w:pPr>
      <w:r>
        <w:rPr>
          <w:b/>
          <w:color w:val="003CA0"/>
          <w:sz w:val="16"/>
        </w:rPr>
        <w:t>[MS 31.697, rel. min. Dias Toffoli, j. 11-3-2014, 1ª T, DJE de 2-4-2014.]</w:t>
      </w:r>
    </w:p>
    <w:p>
      <w:pPr>
        <w:ind w:left="288"/>
      </w:pPr>
      <w:r>
        <w:rPr>
          <w:color w:val="8C8C8C"/>
          <w:sz w:val="12"/>
        </w:rPr>
        <w:t>cf-art-103-par-2</w:t>
      </w:r>
    </w:p>
    <w:p>
      <w:pPr>
        <w:ind w:left="288"/>
      </w:pPr>
      <w:r>
        <w:rPr>
          <w:color w:val="1E1E1E"/>
          <w:sz w:val="18"/>
        </w:rPr>
        <w:t>§ 3º Do ato administrativo ou decisão judicial que contrariar a súmula aplicável ou que indevidamente a aplicar, caberá reclamação ao Supremo Tribunal Federal que, julgando-a procedente, anulará o ato administrativo ou cassará a decisão judicial reclamada, e determinará que outra seja proferida com ou sem a aplicação da súmula, conforme o caso. (Incluído pela EC 45/2004)</w:t>
      </w:r>
    </w:p>
    <w:p>
      <w:pPr>
        <w:ind w:left="144"/>
      </w:pPr>
      <w:r>
        <w:rPr>
          <w:b/>
          <w:color w:val="B45A00"/>
          <w:sz w:val="16"/>
        </w:rPr>
        <w:t>REPERCUSSAO GERAL</w:t>
      </w:r>
    </w:p>
    <w:p>
      <w:pPr>
        <w:ind w:left="288"/>
      </w:pPr>
      <w:r>
        <w:rPr>
          <w:color w:val="8C8C8C"/>
          <w:sz w:val="12"/>
        </w:rPr>
        <w:t>cf-art-103-par-2</w:t>
      </w:r>
      <w:r>
        <w:rPr>
          <w:color w:val="003CA0"/>
          <w:sz w:val="12"/>
        </w:rPr>
        <w:t xml:space="preserve"> | RE 1.116.485</w:t>
      </w:r>
      <w:r>
        <w:rPr>
          <w:color w:val="003CA0"/>
          <w:sz w:val="12"/>
        </w:rPr>
        <w:t xml:space="preserve"> | rel. Luiz Fux</w:t>
      </w:r>
    </w:p>
    <w:p>
      <w:pPr>
        <w:ind w:left="288"/>
      </w:pPr>
      <w:r>
        <w:rPr>
          <w:color w:val="1E1E1E"/>
          <w:sz w:val="18"/>
        </w:rPr>
        <w:t>A revogação ou modificação do ato normativo em que se fundou a edição de enunciado de súmula vinculante acarreta, em regra, a necessidade de sua revisão ou cancelamento pelo Supremo Tribunal Federal, conforme o caso (...).</w:t>
        <w:br/>
        <w:t>[RE 1.116.485, rel. min. Luiz Fux, j. 1º-3-2023, P, DJE de 24-4-2023, Tema 477, com mérito julgado]</w:t>
      </w:r>
    </w:p>
    <w:p>
      <w:pPr>
        <w:ind w:left="144"/>
      </w:pPr>
      <w:r>
        <w:rPr>
          <w:b/>
          <w:color w:val="B45A00"/>
          <w:sz w:val="16"/>
        </w:rPr>
        <w:t>JULGADOS CORRELATOS</w:t>
      </w:r>
    </w:p>
    <w:p>
      <w:pPr>
        <w:ind w:left="288"/>
      </w:pPr>
      <w:r>
        <w:rPr>
          <w:color w:val="8C8C8C"/>
          <w:sz w:val="12"/>
        </w:rPr>
        <w:t>cf-art-103-par-2</w:t>
      </w:r>
      <w:r>
        <w:rPr>
          <w:color w:val="003CA0"/>
          <w:sz w:val="12"/>
        </w:rPr>
        <w:t xml:space="preserve"> | RCL 14.343</w:t>
      </w:r>
      <w:r>
        <w:rPr>
          <w:color w:val="003CA0"/>
          <w:sz w:val="12"/>
        </w:rPr>
        <w:t xml:space="preserve"> | rel. Teori Zavascki</w:t>
      </w:r>
    </w:p>
    <w:p>
      <w:pPr>
        <w:ind w:left="288"/>
      </w:pPr>
      <w:r>
        <w:rPr>
          <w:color w:val="1E1E1E"/>
          <w:sz w:val="18"/>
        </w:rPr>
        <w:t>Não se admite reclamação contra omissão da administração pública, sob fundamento de ofensa a súmula vinculante, quando não demonstrado o esgotamento das vias administrativas, conforme disposto no art. 7º, § 1º, da Lei 11.417/2006.</w:t>
      </w:r>
    </w:p>
    <w:p>
      <w:pPr>
        <w:ind w:left="288"/>
      </w:pPr>
      <w:r>
        <w:rPr>
          <w:b/>
          <w:color w:val="003CA0"/>
          <w:sz w:val="16"/>
        </w:rPr>
        <w:t>[Rcl 14.343 AgR, rel. min. Teori Zavascki, j. 27-2-2014, P, DJE de 28-3-2014.]</w:t>
      </w:r>
    </w:p>
    <w:p>
      <w:pPr>
        <w:ind w:left="288"/>
      </w:pPr>
      <w:r>
        <w:rPr>
          <w:color w:val="8C8C8C"/>
          <w:sz w:val="12"/>
        </w:rPr>
        <w:t>cf-art-103-par-2</w:t>
      </w:r>
      <w:r>
        <w:rPr>
          <w:color w:val="003CA0"/>
          <w:sz w:val="12"/>
        </w:rPr>
        <w:t xml:space="preserve"> | RCL 6.449</w:t>
      </w:r>
      <w:r>
        <w:rPr>
          <w:color w:val="003CA0"/>
          <w:sz w:val="12"/>
        </w:rPr>
        <w:t xml:space="preserve"> | rel. Eros Grau</w:t>
      </w:r>
    </w:p>
    <w:p>
      <w:pPr>
        <w:ind w:left="288"/>
      </w:pPr>
      <w:r>
        <w:rPr>
          <w:color w:val="1E1E1E"/>
          <w:sz w:val="18"/>
        </w:rPr>
        <w:t>Inexiste ofensa à autoridade de súmula vinculante quando o ato de que se reclama é anterior à decisão emanada da Corte Suprema.</w:t>
      </w:r>
    </w:p>
    <w:p>
      <w:pPr>
        <w:ind w:left="288"/>
      </w:pPr>
      <w:r>
        <w:rPr>
          <w:b/>
          <w:color w:val="003CA0"/>
          <w:sz w:val="16"/>
        </w:rPr>
        <w:t>[Rcl 6.449 AgR, rel. min. Eros Grau, j. 25-11-2009, P, DJE de 11-12-2009.]</w:t>
      </w:r>
    </w:p>
    <w:p>
      <w:pPr>
        <w:ind w:left="288"/>
      </w:pPr>
      <w:r>
        <w:rPr>
          <w:color w:val="8C8C8C"/>
          <w:sz w:val="12"/>
        </w:rPr>
        <w:t>cf-art-103-par-2</w:t>
      </w:r>
      <w:r>
        <w:rPr>
          <w:color w:val="003CA0"/>
          <w:sz w:val="12"/>
        </w:rPr>
        <w:t xml:space="preserve"> | RCL 8.111</w:t>
      </w:r>
      <w:r>
        <w:rPr>
          <w:color w:val="003CA0"/>
          <w:sz w:val="12"/>
        </w:rPr>
        <w:t xml:space="preserve"> | rel. Cármen Lúcia</w:t>
      </w:r>
    </w:p>
    <w:p>
      <w:pPr>
        <w:ind w:left="288"/>
      </w:pPr>
      <w:r>
        <w:rPr>
          <w:color w:val="1E1E1E"/>
          <w:sz w:val="18"/>
        </w:rPr>
        <w:t>= Rcl 8.111 AgR, rel. min. Cármen Lúcia, j. 2-3-2011, P, DJE de 28-3-2011 Vide Rcl 3.939, rel. min. Marco Aurélio, j. 14-4-2008, P, DJE de 23-5-2008</w:t>
      </w:r>
    </w:p>
    <w:p>
      <w:pPr>
        <w:ind w:left="144"/>
      </w:pPr>
      <w:r>
        <w:rPr>
          <w:b/>
          <w:color w:val="B45A00"/>
          <w:sz w:val="16"/>
        </w:rPr>
        <w:t>SUMULA VINCULANTE</w:t>
      </w:r>
    </w:p>
    <w:p>
      <w:pPr>
        <w:ind w:left="288"/>
      </w:pPr>
      <w:r>
        <w:rPr>
          <w:color w:val="8C8C8C"/>
          <w:sz w:val="12"/>
        </w:rPr>
        <w:t>cf-art-103-par-2</w:t>
      </w:r>
      <w:r>
        <w:rPr>
          <w:color w:val="003CA0"/>
          <w:sz w:val="12"/>
        </w:rPr>
        <w:t xml:space="preserve"> | RCL 3.979</w:t>
      </w:r>
      <w:r>
        <w:rPr>
          <w:color w:val="003CA0"/>
          <w:sz w:val="12"/>
        </w:rPr>
        <w:t xml:space="preserve"> | rel. Gilmar Mendes</w:t>
      </w:r>
    </w:p>
    <w:p>
      <w:pPr>
        <w:ind w:left="288"/>
      </w:pPr>
      <w:r>
        <w:rPr>
          <w:b/>
          <w:color w:val="003CA0"/>
          <w:sz w:val="16"/>
        </w:rPr>
        <w:t>[Rcl 3.979 AgR, rel. min. Gilmar Mendes, j. 3-5-2006, P, DJ de 2-6-2006.]</w:t>
      </w:r>
    </w:p>
    <w:p>
      <w:pPr>
        <w:ind w:left="288"/>
      </w:pPr>
      <w:r>
        <w:rPr>
          <w:color w:val="8C8C8C"/>
          <w:sz w:val="12"/>
        </w:rPr>
        <w:t>cf-art-103-par-2</w:t>
      </w:r>
      <w:r>
        <w:rPr>
          <w:color w:val="003CA0"/>
          <w:sz w:val="12"/>
        </w:rPr>
        <w:t xml:space="preserve"> | RCL 10.707</w:t>
      </w:r>
      <w:r>
        <w:rPr>
          <w:color w:val="003CA0"/>
          <w:sz w:val="12"/>
        </w:rPr>
        <w:t xml:space="preserve"> | rel. Celso de Mello</w:t>
      </w:r>
    </w:p>
    <w:p>
      <w:pPr>
        <w:ind w:left="288"/>
      </w:pPr>
      <w:r>
        <w:rPr>
          <w:color w:val="1E1E1E"/>
          <w:sz w:val="18"/>
        </w:rPr>
        <w:t>= Rcl 10.707 AgR, rel. min. Celso de Mello, j. 28-5-2014, P, DJE de 30-10-2014 Art. 103-B - O Conselho Nacional de Justiça compõe-se de 15 (quinze) membros com mandato de 2 (dois) anos, admitida 1 (uma) recondução, sendo: (Redação da EC 61/2009)</w:t>
      </w:r>
    </w:p>
    <w:p>
      <w:pPr>
        <w:ind w:left="144"/>
      </w:pPr>
      <w:r>
        <w:rPr>
          <w:b/>
          <w:color w:val="B45A00"/>
          <w:sz w:val="16"/>
        </w:rPr>
        <w:t>CONTROLE CONCENTRADO</w:t>
      </w:r>
    </w:p>
    <w:p>
      <w:pPr>
        <w:ind w:left="288"/>
      </w:pPr>
      <w:r>
        <w:rPr>
          <w:color w:val="8C8C8C"/>
          <w:sz w:val="12"/>
        </w:rPr>
        <w:t>cf-art-103-par-2</w:t>
      </w:r>
      <w:r>
        <w:rPr>
          <w:color w:val="003CA0"/>
          <w:sz w:val="12"/>
        </w:rPr>
        <w:t xml:space="preserve"> | ADI 3.367</w:t>
      </w:r>
      <w:r>
        <w:rPr>
          <w:color w:val="003CA0"/>
          <w:sz w:val="12"/>
        </w:rPr>
        <w:t xml:space="preserve"> | rel. Cezar Peluso</w:t>
      </w:r>
    </w:p>
    <w:p>
      <w:pPr>
        <w:ind w:left="288"/>
      </w:pPr>
      <w:r>
        <w:rPr>
          <w:color w:val="1E1E1E"/>
          <w:sz w:val="18"/>
        </w:rPr>
        <w:t>Ação direta. EC 45/2004. Poder Judiciário. CNJ. Instituição e disciplina. Natureza meramente administrativa. Órgão interno de controle administrativo, financeiro e disciplinar da magistratura. Constitucionalidade reconhecida. Separação e independência dos Poderes. História, significado e alcance concreto do princípio. Ofensa a cláusula constitucional imutável (cláusula pétrea). Inexistência. Subsistência do núcleo político do princípio, mediante preservação da função jurisdicional, típica do Judiciário, e das condições materiais do seu exercício imparcial e independente. Precedentes e Súmula 6</w:t>
      </w:r>
    </w:p>
    <w:p>
      <w:pPr>
        <w:ind w:left="288"/>
      </w:pPr>
      <w:r>
        <w:rPr>
          <w:b/>
          <w:color w:val="003CA0"/>
          <w:sz w:val="16"/>
        </w:rPr>
        <w:t>[ADI 3.367, rel. min. Cezar Peluso, j. 13-4-2005, P, DJ de 22-9-2006.]</w:t>
      </w:r>
    </w:p>
    <w:p>
      <w:pPr>
        <w:ind w:left="144"/>
      </w:pPr>
      <w:r>
        <w:rPr>
          <w:b/>
          <w:color w:val="B45A00"/>
          <w:sz w:val="16"/>
        </w:rPr>
        <w:t>JULGADOS CORRELATOS</w:t>
      </w:r>
    </w:p>
    <w:p>
      <w:pPr>
        <w:ind w:left="288"/>
      </w:pPr>
      <w:r>
        <w:rPr>
          <w:color w:val="8C8C8C"/>
          <w:sz w:val="12"/>
        </w:rPr>
        <w:t>cf-art-103-par-2</w:t>
      </w:r>
      <w:r>
        <w:rPr>
          <w:color w:val="003CA0"/>
          <w:sz w:val="12"/>
        </w:rPr>
        <w:t xml:space="preserve"> | MS 25.962</w:t>
      </w:r>
      <w:r>
        <w:rPr>
          <w:color w:val="003CA0"/>
          <w:sz w:val="12"/>
        </w:rPr>
        <w:t xml:space="preserve"> | rel. Marco Aurélio</w:t>
      </w:r>
    </w:p>
    <w:p>
      <w:pPr>
        <w:ind w:left="288"/>
      </w:pPr>
      <w:r>
        <w:rPr>
          <w:color w:val="1E1E1E"/>
          <w:sz w:val="18"/>
        </w:rPr>
        <w:t>(...) consigno que não procede o inconformismo quanto ao fato de o CNJ ter passado a existir com a EC 45/2004 e o edital do concurso haver sido veiculado em data anterior. É que, na mencionada emenda, somente ficou estabelecido o prazo de instalalção do citado Conselho, e não o termo inicial da ação fiscalizadora no campo administrativo considerados os atos dos tribunais em geral – exceto, evidentemente, os do Supremo no que a esse incumbe o crivo quanto a essa atuação.</w:t>
      </w:r>
    </w:p>
    <w:p>
      <w:pPr>
        <w:ind w:left="288"/>
      </w:pPr>
      <w:r>
        <w:rPr>
          <w:b/>
          <w:color w:val="003CA0"/>
          <w:sz w:val="16"/>
        </w:rPr>
        <w:t>[MS 25.962, voto do rel. min. Marco Aurélio, j. 23-10-2008, P, DJE de 20-3-2009.]</w:t>
      </w:r>
    </w:p>
    <w:p>
      <w:pPr>
        <w:ind w:left="288"/>
      </w:pPr>
      <w:r>
        <w:rPr>
          <w:color w:val="8C8C8C"/>
          <w:sz w:val="12"/>
        </w:rPr>
        <w:t>cf-art-103-par-2-inc-IX</w:t>
      </w:r>
    </w:p>
    <w:p>
      <w:pPr>
        <w:ind w:left="288"/>
      </w:pPr>
      <w:r>
        <w:rPr>
          <w:color w:val="1E1E1E"/>
          <w:sz w:val="18"/>
        </w:rPr>
        <w:t>X - um membro do Ministério Público da União, indicado pelo Procurador-Geral da República; (Incluído pela EC 45/2004) XI - um membro do Ministério Público estadual, escolhido pelo Procurador-Geral da República dentre os nomes indicados pelo órgão competente de cada instituição estadual; (Incluído pela EC 45/2004) XII - dois advogados, indicados pelo Conselho Federal da Ordem dos Advogados do Brasil; (Incluído pela EC 45/2004) XIII - dois cidadãos, de notável saber jurídico e reputação ilibada, indicados um pela Câmara dos Deputados e outro pelo Senado Federal. (Incluído pela EC 45/2004)</w:t>
      </w:r>
    </w:p>
    <w:p>
      <w:pPr>
        <w:ind w:left="288"/>
      </w:pPr>
      <w:r>
        <w:rPr>
          <w:color w:val="8C8C8C"/>
          <w:sz w:val="12"/>
        </w:rPr>
        <w:t>cf-art-103-par-1</w:t>
      </w:r>
      <w:r>
        <w:rPr>
          <w:color w:val="003CA0"/>
          <w:sz w:val="12"/>
        </w:rPr>
        <w:t xml:space="preserve"> | MS 28.003</w:t>
      </w:r>
    </w:p>
    <w:p>
      <w:pPr>
        <w:ind w:left="288"/>
      </w:pPr>
      <w:r>
        <w:rPr>
          <w:color w:val="1E1E1E"/>
          <w:sz w:val="18"/>
        </w:rPr>
        <w:t>A competência exclusiva, indelegável e absoluta para presidir a sessão do CNJ fixou-se, a partir do advento da EC 61/2009, na pessoa do presidente ou, na sua ausência, do vice-presidente do STF, nos termos do disposto no art. 103-B, § 1º, da Constituição de 1988. Ressalva do redator do acórdão que reconheceu a impossibilidade de, mesmo antes do advento da EC 61, uma sessão do CNJ ser presidida por conselheiro não oriundo do STF, decidindo, quanto ao ponto, pela necessidade de modulação temporal. In casu, a sessão do CNJ que determinou a instauração de processo administrativo disciplinar em fac</w:t>
      </w:r>
    </w:p>
    <w:p>
      <w:pPr>
        <w:ind w:left="288"/>
      </w:pPr>
      <w:r>
        <w:rPr>
          <w:b/>
          <w:color w:val="003CA0"/>
          <w:sz w:val="16"/>
        </w:rPr>
        <w:t>[MS 28.003, red. do ac. min. Luiz Fux, j. 8-2-2012, P, DJE de 31-5-2012.]</w:t>
      </w:r>
    </w:p>
    <w:p>
      <w:pPr>
        <w:ind w:left="288"/>
      </w:pPr>
      <w:r>
        <w:rPr>
          <w:color w:val="8C8C8C"/>
          <w:sz w:val="12"/>
        </w:rPr>
        <w:t>cf-art-103-par-1</w:t>
      </w:r>
      <w:r>
        <w:rPr>
          <w:color w:val="003CA0"/>
          <w:sz w:val="12"/>
        </w:rPr>
        <w:t xml:space="preserve"> | MS 25.938</w:t>
      </w:r>
      <w:r>
        <w:rPr>
          <w:color w:val="003CA0"/>
          <w:sz w:val="12"/>
        </w:rPr>
        <w:t xml:space="preserve"> | rel. Cármen Lúcia</w:t>
      </w:r>
    </w:p>
    <w:p>
      <w:pPr>
        <w:ind w:left="288"/>
      </w:pPr>
      <w:r>
        <w:rPr>
          <w:color w:val="1E1E1E"/>
          <w:sz w:val="18"/>
        </w:rPr>
        <w:t>Preliminarmente, o Tribunal assentou que não há impedimento do presidente do CNJ, que fez a publicação da decisão, mesmo que tivesse participado eventualmente da própria sessão que deu ensejo à prática do ato.</w:t>
      </w:r>
    </w:p>
    <w:p>
      <w:pPr>
        <w:ind w:left="288"/>
      </w:pPr>
      <w:r>
        <w:rPr>
          <w:b/>
          <w:color w:val="003CA0"/>
          <w:sz w:val="16"/>
        </w:rPr>
        <w:t>[MS 25.938, rel. min. Cármen Lúcia, j. 24-4-2008, P, DJE de 12-9-2008.]</w:t>
      </w:r>
    </w:p>
    <w:p>
      <w:pPr>
        <w:ind w:left="288"/>
      </w:pPr>
      <w:r>
        <w:rPr>
          <w:color w:val="8C8C8C"/>
          <w:sz w:val="12"/>
        </w:rPr>
        <w:t>cf-art-103-par-2</w:t>
      </w:r>
      <w:r>
        <w:rPr>
          <w:color w:val="003CA0"/>
          <w:sz w:val="12"/>
        </w:rPr>
        <w:t xml:space="preserve"> | MS 25.393</w:t>
      </w:r>
      <w:r>
        <w:rPr>
          <w:color w:val="003CA0"/>
          <w:sz w:val="12"/>
        </w:rPr>
        <w:t xml:space="preserve"> | rel. Marco Aurélio</w:t>
      </w:r>
    </w:p>
    <w:p>
      <w:pPr>
        <w:ind w:left="288"/>
      </w:pPr>
      <w:r>
        <w:rPr>
          <w:color w:val="1E1E1E"/>
          <w:sz w:val="18"/>
        </w:rPr>
        <w:t>Descabe cogitar de direito subjetivo à escolha para compor o CNJ.</w:t>
      </w:r>
    </w:p>
    <w:p>
      <w:pPr>
        <w:ind w:left="288"/>
      </w:pPr>
      <w:r>
        <w:rPr>
          <w:b/>
          <w:color w:val="003CA0"/>
          <w:sz w:val="16"/>
        </w:rPr>
        <w:t>[MS 25.393 AgR, rel. min. Marco Aurélio, j. 2-4-2009, P, DJE de 8-5-2009.]</w:t>
      </w:r>
    </w:p>
    <w:p>
      <w:pPr>
        <w:ind w:left="144"/>
      </w:pPr>
      <w:r>
        <w:rPr>
          <w:b/>
          <w:color w:val="B45A00"/>
          <w:sz w:val="16"/>
        </w:rPr>
        <w:t>CONTROLE CONCENTRADO</w:t>
      </w:r>
    </w:p>
    <w:p>
      <w:pPr>
        <w:ind w:left="288"/>
      </w:pPr>
      <w:r>
        <w:rPr>
          <w:color w:val="8C8C8C"/>
          <w:sz w:val="12"/>
        </w:rPr>
        <w:t>cf-art-103-par-4</w:t>
      </w:r>
      <w:r>
        <w:rPr>
          <w:color w:val="003CA0"/>
          <w:sz w:val="12"/>
        </w:rPr>
        <w:t xml:space="preserve"> | ADI 4.638</w:t>
      </w:r>
      <w:r>
        <w:rPr>
          <w:color w:val="003CA0"/>
          <w:sz w:val="12"/>
        </w:rPr>
        <w:t xml:space="preserve"> | rel. Marco Aurélio</w:t>
      </w:r>
    </w:p>
    <w:p>
      <w:pPr>
        <w:ind w:left="288"/>
      </w:pPr>
      <w:r>
        <w:rPr>
          <w:color w:val="1E1E1E"/>
          <w:sz w:val="18"/>
        </w:rPr>
        <w:t>A previsão de equiparação do Conselho Nacional de Justiça e do Conselho da Justiça Federal aos tribunais não ofende a Constituição, uma vez que representa mera técnica redacional legislativa, não tendo aptidão de emprestar caráter jurisdicional a esses órgãos.</w:t>
        <w:br/>
        <w:t>[ADI 4.638, rel. min. Marco Aurélio, red. do ac. Roberto Barroso, j. 3-7-2023, P, DJE de 15-8-2023.] Ato Regimental 5, de 10-11-2006, do TJDFT, sobre o regime de férias dos membros daquele Tribunal e dos juízes a ele vinculados, pelo qual os magistrados indicados "gozarão as férias do ano de 2007 nos períodos de 2 a 31 de janeiro e 2 a 3</w:t>
      </w:r>
    </w:p>
    <w:p>
      <w:pPr>
        <w:ind w:left="288"/>
      </w:pPr>
      <w:r>
        <w:rPr>
          <w:b/>
          <w:color w:val="003CA0"/>
          <w:sz w:val="16"/>
        </w:rPr>
        <w:t>[ADI 3.823 MC, rel. min. Cármen Lúcia, j. 6-12-2006, P, DJ de 23-11-2007.]</w:t>
      </w:r>
    </w:p>
    <w:p>
      <w:pPr>
        <w:ind w:left="288"/>
      </w:pPr>
      <w:r>
        <w:rPr>
          <w:color w:val="8C8C8C"/>
          <w:sz w:val="12"/>
        </w:rPr>
        <w:t>cf-art-103-par-4</w:t>
      </w:r>
      <w:r>
        <w:rPr>
          <w:color w:val="003CA0"/>
          <w:sz w:val="12"/>
        </w:rPr>
        <w:t xml:space="preserve"> | MS 38.971</w:t>
      </w:r>
      <w:r>
        <w:rPr>
          <w:color w:val="003CA0"/>
          <w:sz w:val="12"/>
        </w:rPr>
        <w:t xml:space="preserve"> | rel. Nunes Marques</w:t>
      </w:r>
    </w:p>
    <w:p>
      <w:pPr>
        <w:ind w:left="288"/>
      </w:pPr>
      <w:r>
        <w:rPr>
          <w:color w:val="1E1E1E"/>
          <w:sz w:val="18"/>
        </w:rPr>
        <w:t>A criação de grupo de heteroidentificação no âmbito de comissão de concurso público para a magistratura, em desacordo com as normas legais vigentes, a validar a inscrição de candidato autodeclarado pardo, pode ser impugnada perante o CNJ. É legítima a decisão do relator do procedimento de controle administrativo no CNJ que implicou a criação de grupo de heteroidentificação e ofereceu ao candidato a possibilidade de se submeter à avaliação, considerada especialmente a proximidade da data da posse. No caso concreto, não houve acréscimo de etapa do concurso, mas estrita observância de normas lega</w:t>
      </w:r>
    </w:p>
    <w:p>
      <w:pPr>
        <w:ind w:left="288"/>
      </w:pPr>
      <w:r>
        <w:rPr>
          <w:b/>
          <w:color w:val="003CA0"/>
          <w:sz w:val="16"/>
        </w:rPr>
        <w:t>[MS 38.971, rel. min. Nunes Marques, j. 03.06.2025, P, DJE de 23.06.2025.]</w:t>
      </w:r>
    </w:p>
    <w:p>
      <w:pPr>
        <w:ind w:left="144"/>
      </w:pPr>
      <w:r>
        <w:rPr>
          <w:b/>
          <w:color w:val="B45A00"/>
          <w:sz w:val="16"/>
        </w:rPr>
        <w:t>JULGADOS CORRELATOS</w:t>
      </w:r>
    </w:p>
    <w:p>
      <w:pPr>
        <w:ind w:left="288"/>
      </w:pPr>
      <w:r>
        <w:rPr>
          <w:color w:val="8C8C8C"/>
          <w:sz w:val="12"/>
        </w:rPr>
        <w:t>cf-art-103-par-4</w:t>
      </w:r>
      <w:r>
        <w:rPr>
          <w:color w:val="003CA0"/>
          <w:sz w:val="12"/>
        </w:rPr>
        <w:t xml:space="preserve"> | MS 31.667</w:t>
      </w:r>
      <w:r>
        <w:rPr>
          <w:color w:val="003CA0"/>
          <w:sz w:val="12"/>
        </w:rPr>
        <w:t xml:space="preserve"> | rel. Dias Toffoli</w:t>
      </w:r>
    </w:p>
    <w:p>
      <w:pPr>
        <w:ind w:left="288"/>
      </w:pPr>
      <w:r>
        <w:rPr>
          <w:color w:val="1E1E1E"/>
          <w:sz w:val="18"/>
        </w:rPr>
        <w:t>Não viola a autonomia dos tribunais locais deliberação do CNJ que determina aos tribunais de justiça (que informaram a existência de legislação estadual com previsão de majoração do percentual de férias referido no art. 7º, XVII, da CF/88) que enviem projeto de lei tendente a adequação da legislação local ao regramento uniforme de âmbito nacional, pois não há no caso reserva de iniciativa da matéria aos tribunais locais; ao contrário, os direitos da magistratura, dentre os quais o direito ao abono de férias, são matéria de regramento nacional uniforme.</w:t>
      </w:r>
    </w:p>
    <w:p>
      <w:pPr>
        <w:ind w:left="288"/>
      </w:pPr>
      <w:r>
        <w:rPr>
          <w:b/>
          <w:color w:val="003CA0"/>
          <w:sz w:val="16"/>
        </w:rPr>
        <w:t>[MS 31.667 AgR, rel. min. Dias Toffoli, j. 11-9-2018, 2ª T, DJE de 23-11-2018.]</w:t>
      </w:r>
    </w:p>
    <w:p>
      <w:pPr>
        <w:ind w:left="288"/>
      </w:pPr>
      <w:r>
        <w:rPr>
          <w:color w:val="8C8C8C"/>
          <w:sz w:val="12"/>
        </w:rPr>
        <w:t>cf-art-103-par-4</w:t>
      </w:r>
      <w:r>
        <w:rPr>
          <w:color w:val="003CA0"/>
          <w:sz w:val="12"/>
        </w:rPr>
        <w:t xml:space="preserve"> | MS 27.935</w:t>
      </w:r>
      <w:r>
        <w:rPr>
          <w:color w:val="003CA0"/>
          <w:sz w:val="12"/>
        </w:rPr>
        <w:t xml:space="preserve"> | rel. Edson Fachin</w:t>
      </w:r>
    </w:p>
    <w:p>
      <w:pPr>
        <w:ind w:left="288"/>
      </w:pPr>
      <w:r>
        <w:rPr>
          <w:color w:val="1E1E1E"/>
          <w:sz w:val="18"/>
        </w:rPr>
        <w:t>Não é vedado ao CNJ controlar a atuação administrativa de tribunal de justiça local que, respaldado em lei estadual, se distancie da interpretação dada pelo STF aos preceitos constitucionais e legais que regem a matéria. (...) A deliberação do CNJ que deixa de aplicar lei estadual anterior à Constituição que conflite com o regime remuneratório da magistratura regulado pelo art. 39, § 4º, da Constituição e com a Loman decorre do exercício direto da competência que lhe foi constitucionalmente atribuída, de zelar pela legalidade da atuação administrativa de membros e órgãos do Poder Judiciário, n</w:t>
      </w:r>
    </w:p>
    <w:p>
      <w:pPr>
        <w:ind w:left="288"/>
      </w:pPr>
      <w:r>
        <w:rPr>
          <w:b/>
          <w:color w:val="003CA0"/>
          <w:sz w:val="16"/>
        </w:rPr>
        <w:t>[MS 27.935 AgR, rel. min. Edson Fachin, j. 21-8-2017, 1ª T, DJE de 20-9-2017.]</w:t>
      </w:r>
    </w:p>
    <w:p>
      <w:pPr>
        <w:ind w:left="288"/>
      </w:pPr>
      <w:r>
        <w:rPr>
          <w:color w:val="8C8C8C"/>
          <w:sz w:val="12"/>
        </w:rPr>
        <w:t>cf-art-103-par-4</w:t>
      </w:r>
      <w:r>
        <w:rPr>
          <w:color w:val="003CA0"/>
          <w:sz w:val="12"/>
        </w:rPr>
        <w:t xml:space="preserve"> | MS 28.513</w:t>
      </w:r>
      <w:r>
        <w:rPr>
          <w:color w:val="003CA0"/>
          <w:sz w:val="12"/>
        </w:rPr>
        <w:t xml:space="preserve"> | rel. Teori Zavascki</w:t>
      </w:r>
    </w:p>
    <w:p>
      <w:pPr>
        <w:ind w:left="288"/>
      </w:pPr>
      <w:r>
        <w:rPr>
          <w:color w:val="1E1E1E"/>
          <w:sz w:val="18"/>
        </w:rPr>
        <w:t>É regular a designação de juiz auxiliar, seja ele originário do Judiciário estadual ou federal, para a condução de sindicância, por delegação do corregedor-nacional de justiça, ainda que o investigado seja magistrado federal.</w:t>
        <w:br/>
        <w:t>[MS 28.513, rel. min. Teori Zavascki, j. 15-9-2015, 2ª T, DJE de 28-9-2015.] O CNJ não dispõe, constitucionalmente, de competência para deliberar sobre situações que alcancem ou que atinjam resoluções e manifestações volitivas emanadas de órgãos e autoridades vinculados a outros Poderes do Estado e, por isso mesmo, absolutamente estranhos ao âmbito de atribuições instituc</w:t>
      </w:r>
    </w:p>
    <w:p>
      <w:pPr>
        <w:ind w:left="288"/>
      </w:pPr>
      <w:r>
        <w:rPr>
          <w:b/>
          <w:color w:val="003CA0"/>
          <w:sz w:val="16"/>
        </w:rPr>
        <w:t>[MS 27.033 AgR, rel. min. Celso de Mello, j. 30-6-2015, 2ª T, DJE de 27-10-2015.]</w:t>
      </w:r>
    </w:p>
    <w:p>
      <w:pPr>
        <w:ind w:left="288"/>
      </w:pPr>
      <w:r>
        <w:rPr>
          <w:color w:val="8C8C8C"/>
          <w:sz w:val="12"/>
        </w:rPr>
        <w:t>cf-art-103-par-4</w:t>
      </w:r>
      <w:r>
        <w:rPr>
          <w:color w:val="003CA0"/>
          <w:sz w:val="12"/>
        </w:rPr>
        <w:t xml:space="preserve"> | MS 30.600</w:t>
      </w:r>
      <w:r>
        <w:rPr>
          <w:color w:val="003CA0"/>
          <w:sz w:val="12"/>
        </w:rPr>
        <w:t xml:space="preserve"> | rel. Marco Aurélio</w:t>
      </w:r>
    </w:p>
    <w:p>
      <w:pPr>
        <w:ind w:left="288"/>
      </w:pPr>
      <w:r>
        <w:rPr>
          <w:color w:val="1E1E1E"/>
          <w:sz w:val="18"/>
        </w:rPr>
        <w:t>O CNJ tem atribuição administrativa, envolvendo esta última a promoção de magistrado. (...) O interregno para a sessão em que apreciado o nome de juiz visando preencher cargo de desembargador, por antiguidade, consubstancia formalidade essencial à valia do ato. O desrespeito enseja a glosa administrativa do CNJ.</w:t>
      </w:r>
    </w:p>
    <w:p>
      <w:pPr>
        <w:ind w:left="288"/>
      </w:pPr>
      <w:r>
        <w:rPr>
          <w:b/>
          <w:color w:val="003CA0"/>
          <w:sz w:val="16"/>
        </w:rPr>
        <w:t>[MS 30.600, rel. min. Marco Aurélio, j. 5-8-2014, 1ª T, DJE de 10-9-2014.]</w:t>
      </w:r>
    </w:p>
    <w:p>
      <w:pPr>
        <w:ind w:left="288"/>
      </w:pPr>
      <w:r>
        <w:rPr>
          <w:color w:val="8C8C8C"/>
          <w:sz w:val="12"/>
        </w:rPr>
        <w:t>cf-art-103-par-4</w:t>
      </w:r>
      <w:r>
        <w:rPr>
          <w:color w:val="003CA0"/>
          <w:sz w:val="12"/>
        </w:rPr>
        <w:t xml:space="preserve"> | MS 32.582</w:t>
      </w:r>
      <w:r>
        <w:rPr>
          <w:color w:val="003CA0"/>
          <w:sz w:val="12"/>
        </w:rPr>
        <w:t xml:space="preserve"> | rel. Celso de Mello</w:t>
      </w:r>
    </w:p>
    <w:p>
      <w:pPr>
        <w:ind w:left="288"/>
      </w:pPr>
      <w:r>
        <w:rPr>
          <w:color w:val="1E1E1E"/>
          <w:sz w:val="18"/>
        </w:rPr>
        <w:t xml:space="preserve">CNJ. Processo legislativo instaurado por iniciativa de tribunal de justiça. Suposta eiva de inconstitucionalidade. Impossibilidade de o CNJ, sob alegação de "aparente vício do projeto original", impor, cautelarmente, ao presidente do tribunal de justiça, que se abstenha de cumprir o diploma legislativo editado. Limitações que incidem sobre a competência do CNJ (CF, art. 103-B, § 4º). (...) A instauração do processo legislativo como ato de caráter eminentemente político e de extração essencialmente constitucional. Doutrina. A questão do controle de constitucionalidade pelo CNJ. Reconhecimento, </w:t>
      </w:r>
    </w:p>
    <w:p>
      <w:pPr>
        <w:ind w:left="288"/>
      </w:pPr>
      <w:r>
        <w:rPr>
          <w:b/>
          <w:color w:val="003CA0"/>
          <w:sz w:val="16"/>
        </w:rPr>
        <w:t>[MS 32.582 MC, rel. min. Celso de Mello, j. 3-2-2014, dec. monocrática, DJE de 11-2-2014.]</w:t>
      </w:r>
    </w:p>
    <w:p>
      <w:pPr>
        <w:ind w:left="288"/>
      </w:pPr>
      <w:r>
        <w:rPr>
          <w:color w:val="8C8C8C"/>
          <w:sz w:val="12"/>
        </w:rPr>
        <w:t>cf-art-103-par-4</w:t>
      </w:r>
      <w:r>
        <w:rPr>
          <w:color w:val="003CA0"/>
          <w:sz w:val="12"/>
        </w:rPr>
        <w:t xml:space="preserve"> | MS 32.865</w:t>
      </w:r>
      <w:r>
        <w:rPr>
          <w:color w:val="003CA0"/>
          <w:sz w:val="12"/>
        </w:rPr>
        <w:t xml:space="preserve"> | rel. Celso de Mello</w:t>
      </w:r>
    </w:p>
    <w:p>
      <w:pPr>
        <w:ind w:left="288"/>
      </w:pPr>
      <w:r>
        <w:rPr>
          <w:color w:val="1E1E1E"/>
          <w:sz w:val="18"/>
        </w:rPr>
        <w:t>= MS 32.865 MC, rel. min. Celso de Mello, j. 2-6-2014, dec. monocrática, DJE de 5-6-2014 As provas obtidas em razão de diligências deflagradas na esfera criminal podem ser utilizadas em Processo Administrativo Disciplinar (PAD), uma vez submetidas ao contraditório, posto estratégia conducente à duração razoável do processo, sem conjuração das cláusulas pétreas dos processos administrativo e judicial. A instauração de um PAD prescinde de prévia sindicância, quando o objeto da apuração encontra-se elucidado à luz de outros elementos lícitos de convicção. A competência originária do CNJ resulta d</w:t>
      </w:r>
    </w:p>
    <w:p>
      <w:pPr>
        <w:ind w:left="288"/>
      </w:pPr>
      <w:r>
        <w:rPr>
          <w:b/>
          <w:color w:val="003CA0"/>
          <w:sz w:val="16"/>
        </w:rPr>
        <w:t>[MS 28.003, red. do ac. min. Luiz Fux, j. 8-2-2012, P, DJE de 31-5-2012.]</w:t>
        <w:br/>
        <w:t>= MS 30.361 AgR, rel. min. Rosa Weber, j. 29-8-2017, 1ª T, 1-2-2018</w:t>
      </w:r>
    </w:p>
    <w:p>
      <w:pPr>
        <w:ind w:left="288"/>
      </w:pPr>
      <w:r>
        <w:rPr>
          <w:color w:val="8C8C8C"/>
          <w:sz w:val="12"/>
        </w:rPr>
        <w:t>cf-art-103-par-4</w:t>
      </w:r>
      <w:r>
        <w:rPr>
          <w:color w:val="003CA0"/>
          <w:sz w:val="12"/>
        </w:rPr>
        <w:t xml:space="preserve"> | ADI 3.367</w:t>
      </w:r>
      <w:r>
        <w:rPr>
          <w:color w:val="003CA0"/>
          <w:sz w:val="12"/>
        </w:rPr>
        <w:t xml:space="preserve"> | rel. Celso de Mello</w:t>
      </w:r>
    </w:p>
    <w:p>
      <w:pPr>
        <w:ind w:left="288"/>
      </w:pPr>
      <w:r>
        <w:rPr>
          <w:color w:val="1E1E1E"/>
          <w:sz w:val="18"/>
        </w:rPr>
        <w:t>O CNJ, embora integrando a estrutura constitucional do Poder Judiciário como órgão interno de controle administrativo, financeiro e disciplinar da magistratura – excluídos, no entanto, do alcance de referida competência, o próprio STF e seus ministros (ADI 3.367/DF) –, qualifica-se como instituição de caráter eminentemente administrativo, não dispondo de atribuições funcionais que lhe permitam, quer colegialmente, quer mediante atuação monocrática de seus conselheiros ou, ainda, do corregedor nacional de justiça, fiscalizar, reexaminar e suspender os efeitos decorrentes de atos de conteúdo jur</w:t>
      </w:r>
    </w:p>
    <w:p>
      <w:pPr>
        <w:ind w:left="288"/>
      </w:pPr>
      <w:r>
        <w:rPr>
          <w:b/>
          <w:color w:val="003CA0"/>
          <w:sz w:val="16"/>
        </w:rPr>
        <w:t>[MS 28.611 MC-AgR, rel. min. Celso de Mello, j. 14-10-2010, P, DJE de 1º-4-2011.]</w:t>
      </w:r>
    </w:p>
    <w:p>
      <w:pPr>
        <w:ind w:left="288"/>
      </w:pPr>
      <w:r>
        <w:rPr>
          <w:color w:val="8C8C8C"/>
          <w:sz w:val="12"/>
        </w:rPr>
        <w:t>cf-art-103-par-4</w:t>
      </w:r>
      <w:r>
        <w:rPr>
          <w:color w:val="003CA0"/>
          <w:sz w:val="12"/>
        </w:rPr>
        <w:t xml:space="preserve"> | MS 29.744</w:t>
      </w:r>
      <w:r>
        <w:rPr>
          <w:color w:val="003CA0"/>
          <w:sz w:val="12"/>
        </w:rPr>
        <w:t xml:space="preserve"> | rel. Gilmar Mendes</w:t>
      </w:r>
    </w:p>
    <w:p>
      <w:pPr>
        <w:ind w:left="288"/>
      </w:pPr>
      <w:r>
        <w:rPr>
          <w:color w:val="1E1E1E"/>
          <w:sz w:val="18"/>
        </w:rPr>
        <w:t>= MS 29.744 AgR, rel. min. Gilmar Mendes, j. 29-6-2011, P, DJE de 4-10-2011 Vide MS 27.708, rel. min. Marco Aurélio, j. 29-10-2009, P, DJE de 21-5-2010 Detendo o CNJ atribuições simplesmente administrativas, revela-se imprópria declaração a alcançar acordo judicial.</w:t>
      </w:r>
    </w:p>
    <w:p>
      <w:pPr>
        <w:ind w:left="288"/>
      </w:pPr>
      <w:r>
        <w:rPr>
          <w:b/>
          <w:color w:val="003CA0"/>
          <w:sz w:val="16"/>
        </w:rPr>
        <w:t>[MS 27.708, rel. min. Marco Aurélio, j. 29-10-2009, P, DJE de 21-5-2010.]</w:t>
      </w:r>
    </w:p>
    <w:p>
      <w:pPr>
        <w:ind w:left="288"/>
      </w:pPr>
      <w:r>
        <w:rPr>
          <w:color w:val="8C8C8C"/>
          <w:sz w:val="12"/>
        </w:rPr>
        <w:t>cf-art-103-par-4</w:t>
      </w:r>
      <w:r>
        <w:rPr>
          <w:color w:val="003CA0"/>
          <w:sz w:val="12"/>
        </w:rPr>
        <w:t xml:space="preserve"> | MS 28.611</w:t>
      </w:r>
      <w:r>
        <w:rPr>
          <w:color w:val="003CA0"/>
          <w:sz w:val="12"/>
        </w:rPr>
        <w:t xml:space="preserve"> | rel. Celso de Mello</w:t>
      </w:r>
    </w:p>
    <w:p>
      <w:pPr>
        <w:ind w:left="288"/>
      </w:pPr>
      <w:r>
        <w:rPr>
          <w:color w:val="1E1E1E"/>
          <w:sz w:val="18"/>
        </w:rPr>
        <w:t>Vide MS 28.611 MC-AgR, rel. min. Celso de Mello, j. 14-10-2010, P, DJE de 1º-4-2011 I - zelar pela autonomia do Poder Judiciário e pelo cumprimento do Estatuto da Magistratura, podendo expedir atos regulamentares, no âmbito de sua competência, ou recomendar providências; (Incluído pela EC 45/2004)</w:t>
      </w:r>
    </w:p>
    <w:p>
      <w:pPr>
        <w:ind w:left="144"/>
      </w:pPr>
      <w:r>
        <w:rPr>
          <w:b/>
          <w:color w:val="B45A00"/>
          <w:sz w:val="16"/>
        </w:rPr>
        <w:t>CONTROLE CONCENTRADO</w:t>
      </w:r>
    </w:p>
    <w:p>
      <w:pPr>
        <w:ind w:left="288"/>
      </w:pPr>
      <w:r>
        <w:rPr>
          <w:color w:val="8C8C8C"/>
          <w:sz w:val="12"/>
        </w:rPr>
        <w:t>cf-art-103-par-4</w:t>
      </w:r>
      <w:r>
        <w:rPr>
          <w:color w:val="003CA0"/>
          <w:sz w:val="12"/>
        </w:rPr>
        <w:t xml:space="preserve"> | ADI 6.324</w:t>
      </w:r>
      <w:r>
        <w:rPr>
          <w:color w:val="003CA0"/>
          <w:sz w:val="12"/>
        </w:rPr>
        <w:t xml:space="preserve"> | rel. Roberto Barroso</w:t>
      </w:r>
    </w:p>
    <w:p>
      <w:pPr>
        <w:ind w:left="288"/>
      </w:pPr>
      <w:r>
        <w:rPr>
          <w:color w:val="1E1E1E"/>
          <w:sz w:val="18"/>
        </w:rPr>
        <w:t>A competência constitucional do Conselho Nacional de Justiça (CF/1988, art. 103-B, § 4º, I) engloba a atuação em políticas públicas dos tribunais para tratamento adequado dos conflitos jurídicos. A conciliação e a mediação são formas efetivas de lidar com litígios e com o acesso a direitos, e sua regulamentação institucional para o Poder Judiciário brasileiro é condizente com o princípio da eficiência (CF/1988, art. 37, caput). (...) “É constitucional a disposição do Conselho Nacional de Justiça que prevê a facultatividade da representação por advogado ou defensor público nos Centros Judiciári</w:t>
      </w:r>
    </w:p>
    <w:p>
      <w:pPr>
        <w:ind w:left="144"/>
      </w:pPr>
      <w:r>
        <w:rPr>
          <w:b/>
          <w:color w:val="B45A00"/>
          <w:sz w:val="16"/>
        </w:rPr>
        <w:t>JULGADOS CORRELATOS</w:t>
      </w:r>
    </w:p>
    <w:p>
      <w:pPr>
        <w:ind w:left="288"/>
      </w:pPr>
      <w:r>
        <w:rPr>
          <w:color w:val="8C8C8C"/>
          <w:sz w:val="12"/>
        </w:rPr>
        <w:t>cf-art-103-par-4</w:t>
      </w:r>
      <w:r>
        <w:rPr>
          <w:color w:val="003CA0"/>
          <w:sz w:val="12"/>
        </w:rPr>
        <w:t xml:space="preserve"> | MS 27.621</w:t>
      </w:r>
    </w:p>
    <w:p>
      <w:pPr>
        <w:ind w:left="288"/>
      </w:pPr>
      <w:r>
        <w:rPr>
          <w:color w:val="1E1E1E"/>
          <w:sz w:val="18"/>
        </w:rPr>
        <w:t>O art. 103-B da Constituição da República, introduzido pela EC 45/2004, dispõe que o CNJ é órgão com atribuições exclusivamente administrativas e correicionais, ainda que, estruturalmente, integre o Poder Judiciário. No exercício de suas atribuições administrativas, encontra-se o poder de "expedir atos regulamentares". Esses, por sua vez, são atos de comando abstrato que dirigem aos seus destinatários comandos e obrigações, desde que inseridos na esfera de competência do órgão. O CNJ pode, no lídimo exercício de suas funções, regulamentar condutas e impor a toda a magistratura nacional o cumpr</w:t>
      </w:r>
    </w:p>
    <w:p>
      <w:pPr>
        <w:ind w:left="288"/>
      </w:pPr>
      <w:r>
        <w:rPr>
          <w:b/>
          <w:color w:val="003CA0"/>
          <w:sz w:val="16"/>
        </w:rPr>
        <w:t>[MS 27.621, red. do ac. min. Ricardo Lewandowski, j. 7-12-2011, P, DJE de 11-5-2012.]</w:t>
      </w:r>
    </w:p>
    <w:p>
      <w:pPr>
        <w:ind w:left="288"/>
      </w:pPr>
      <w:r>
        <w:rPr>
          <w:color w:val="8C8C8C"/>
          <w:sz w:val="12"/>
        </w:rPr>
        <w:t>cf-art-103-par-4</w:t>
      </w:r>
    </w:p>
    <w:p>
      <w:pPr>
        <w:ind w:left="288"/>
      </w:pPr>
      <w:r>
        <w:rPr>
          <w:color w:val="1E1E1E"/>
          <w:sz w:val="18"/>
        </w:rPr>
        <w:t>II - zelar pela observância do art. 37 e apreciar, de ofício ou mediante provocação, a legalidade dos atos administrativos praticados por membros ou órgãos do Poder Judiciário, podendo desconstituí-los, revê-los ou fixar prazo para que se adotem as providências necessárias ao exato cumprimento da lei, sem prejuízo da competência do Tribunal de Contas da União; (Incluído pela EC 45/2004)</w:t>
      </w:r>
    </w:p>
    <w:p>
      <w:pPr>
        <w:ind w:left="144"/>
      </w:pPr>
      <w:r>
        <w:rPr>
          <w:b/>
          <w:color w:val="B45A00"/>
          <w:sz w:val="16"/>
        </w:rPr>
        <w:t>CONTROLE CONCENTRADO</w:t>
      </w:r>
    </w:p>
    <w:p>
      <w:pPr>
        <w:ind w:left="288"/>
      </w:pPr>
      <w:r>
        <w:rPr>
          <w:color w:val="8C8C8C"/>
          <w:sz w:val="12"/>
        </w:rPr>
        <w:t>cf-art-103-par-4</w:t>
      </w:r>
      <w:r>
        <w:rPr>
          <w:color w:val="003CA0"/>
          <w:sz w:val="12"/>
        </w:rPr>
        <w:t xml:space="preserve"> | ADC 12</w:t>
      </w:r>
      <w:r>
        <w:rPr>
          <w:color w:val="003CA0"/>
          <w:sz w:val="12"/>
        </w:rPr>
        <w:t xml:space="preserve"> | rel. Ayres Britto</w:t>
      </w:r>
    </w:p>
    <w:p>
      <w:pPr>
        <w:ind w:left="288"/>
      </w:pPr>
      <w:r>
        <w:rPr>
          <w:color w:val="1E1E1E"/>
          <w:sz w:val="18"/>
        </w:rPr>
        <w:t xml:space="preserve">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 estranho ao Poder Judiciário (art. 92, CF) e não está a submeter esse Poder à autoridade de nenhum </w:t>
      </w:r>
    </w:p>
    <w:p>
      <w:pPr>
        <w:ind w:left="288"/>
      </w:pPr>
      <w:r>
        <w:rPr>
          <w:b/>
          <w:color w:val="003CA0"/>
          <w:sz w:val="16"/>
        </w:rPr>
        <w:t>[ADC 12, rel. min. Ayres Britto, j. 20-8-2008, P, DJE de 18-12-2009.]</w:t>
      </w:r>
    </w:p>
    <w:p>
      <w:pPr>
        <w:ind w:left="144"/>
      </w:pPr>
      <w:r>
        <w:rPr>
          <w:b/>
          <w:color w:val="B45A00"/>
          <w:sz w:val="16"/>
        </w:rPr>
        <w:t>JULGADOS CORRELATOS</w:t>
      </w:r>
    </w:p>
    <w:p>
      <w:pPr>
        <w:ind w:left="288"/>
      </w:pPr>
      <w:r>
        <w:rPr>
          <w:color w:val="8C8C8C"/>
          <w:sz w:val="12"/>
        </w:rPr>
        <w:t>cf-art-103-par-4</w:t>
      </w:r>
      <w:r>
        <w:rPr>
          <w:color w:val="003CA0"/>
          <w:sz w:val="12"/>
        </w:rPr>
        <w:t xml:space="preserve"> | MS 28.112</w:t>
      </w:r>
      <w:r>
        <w:rPr>
          <w:color w:val="003CA0"/>
          <w:sz w:val="12"/>
        </w:rPr>
        <w:t xml:space="preserve"> | rel. Cármen Lúcia</w:t>
      </w:r>
    </w:p>
    <w:p>
      <w:pPr>
        <w:ind w:left="288"/>
      </w:pPr>
      <w:r>
        <w:rPr>
          <w:color w:val="1E1E1E"/>
          <w:sz w:val="18"/>
        </w:rPr>
        <w:t>Lei 8.223/2007 da Paraíba. Criação legal de cargos em comissão no Tribunal de Justiça estadual (...): assistentes administrativos. Ato do CNJ. Exoneração determinada. (...) Atuação do órgão de controle administrativo, financeiro e disciplinar da magistratura nacional nos limites da respectiva competência, afastando a validade dos atos administrativos e a aplicação de lei estadual na qual embasados e reputada pelo CNJ contrária à regra constitucional de ingresso no serviço público por concurso público, pela ausência dos requisitos caracterizadores do cargo comissionado. Insere-se entre as compe</w:t>
      </w:r>
    </w:p>
    <w:p>
      <w:pPr>
        <w:ind w:left="288"/>
      </w:pPr>
      <w:r>
        <w:rPr>
          <w:b/>
          <w:color w:val="003CA0"/>
          <w:sz w:val="16"/>
        </w:rPr>
        <w:t>[MS 33.455, rel. min. Gilmar Mendes, j. 15-9-2015, 2ª T, DJE de 1º-2-2016.]</w:t>
      </w:r>
    </w:p>
    <w:p>
      <w:pPr>
        <w:ind w:left="288"/>
      </w:pPr>
      <w:r>
        <w:rPr>
          <w:color w:val="8C8C8C"/>
          <w:sz w:val="12"/>
        </w:rPr>
        <w:t>cf-art-103-par-4</w:t>
      </w:r>
      <w:r>
        <w:rPr>
          <w:color w:val="003CA0"/>
          <w:sz w:val="12"/>
        </w:rPr>
        <w:t xml:space="preserve"> | MS 27.165</w:t>
      </w:r>
      <w:r>
        <w:rPr>
          <w:color w:val="003CA0"/>
          <w:sz w:val="12"/>
        </w:rPr>
        <w:t xml:space="preserve"> | rel. Joaquim Barbosa</w:t>
      </w:r>
    </w:p>
    <w:p>
      <w:pPr>
        <w:ind w:left="288"/>
      </w:pPr>
      <w:r>
        <w:rPr>
          <w:color w:val="1E1E1E"/>
          <w:sz w:val="18"/>
        </w:rPr>
        <w:t>Vide MS 27.165, rel. min. Joaquim Barbosa, j. 18-12-2008, P, DJE de 6-3-2009 Qualquer pessoa é parte legítima para representar ilegalidades perante o CNJ. Apuração que é de interesse público.</w:t>
        <w:br/>
        <w:t xml:space="preserve">[MS 28.620, rel. min. Dias Toffoli, j. 23-9-2014, 1ª T, DJE de 8-10-2014.] Mandado de segurança cujo objeto é decisão do CNJ em PCA [procedimento de controle administrativo] em que definida a possibilidade de o candidato cumular a pontuação prevista no edital para cada rubrica de títulos, desde que respeitado, no somatório geral, o teto de dois pontos. Em análise um concurso determinado, com seu edital – </w:t>
      </w:r>
    </w:p>
    <w:p>
      <w:pPr>
        <w:ind w:left="288"/>
      </w:pPr>
      <w:r>
        <w:rPr>
          <w:b/>
          <w:color w:val="003CA0"/>
          <w:sz w:val="16"/>
        </w:rPr>
        <w:t>[MS 28.290, MS 28.330, MS 28.375 e MS 28.477, rel. min. Rosa Weber, j. 4-12-2013, P, DJE de 9-5-2014.]</w:t>
      </w:r>
    </w:p>
    <w:p>
      <w:pPr>
        <w:ind w:left="288"/>
      </w:pPr>
      <w:r>
        <w:rPr>
          <w:color w:val="8C8C8C"/>
          <w:sz w:val="12"/>
        </w:rPr>
        <w:t>cf-art-103-par-4</w:t>
      </w:r>
      <w:r>
        <w:rPr>
          <w:color w:val="003CA0"/>
          <w:sz w:val="12"/>
        </w:rPr>
        <w:t xml:space="preserve"> | MS 28.872</w:t>
      </w:r>
      <w:r>
        <w:rPr>
          <w:color w:val="003CA0"/>
          <w:sz w:val="12"/>
        </w:rPr>
        <w:t xml:space="preserve"> | rel. Ricardo Lewandowski</w:t>
      </w:r>
    </w:p>
    <w:p>
      <w:pPr>
        <w:ind w:left="288"/>
      </w:pPr>
      <w:r>
        <w:rPr>
          <w:color w:val="1E1E1E"/>
          <w:sz w:val="18"/>
        </w:rPr>
        <w:t>O CNJ, embora seja órgão do Poder Judiciário, nos termos do art. 103-B, § 4º, II, da CF, possui, tão somente, atribuições de natureza administrativa e, nesse sentido, não lhe é permitido apreciar a constitucionalidade dos atos administrativos, mas somente sua legalidade.</w:t>
      </w:r>
    </w:p>
    <w:p>
      <w:pPr>
        <w:ind w:left="288"/>
      </w:pPr>
      <w:r>
        <w:rPr>
          <w:b/>
          <w:color w:val="003CA0"/>
          <w:sz w:val="16"/>
        </w:rPr>
        <w:t>[MS 28.872 AgR, rel. min. Ricardo Lewandowski, j. 24-2-2011, P, DJE de 18-3-2011.]</w:t>
      </w:r>
    </w:p>
    <w:p>
      <w:pPr>
        <w:ind w:left="288"/>
      </w:pPr>
      <w:r>
        <w:rPr>
          <w:color w:val="8C8C8C"/>
          <w:sz w:val="12"/>
        </w:rPr>
        <w:t>cf-art-103-par-4</w:t>
      </w:r>
      <w:r>
        <w:rPr>
          <w:color w:val="003CA0"/>
          <w:sz w:val="12"/>
        </w:rPr>
        <w:t xml:space="preserve"> | MS 26.163</w:t>
      </w:r>
      <w:r>
        <w:rPr>
          <w:color w:val="003CA0"/>
          <w:sz w:val="12"/>
        </w:rPr>
        <w:t xml:space="preserve"> | rel. Cármen Lúcia</w:t>
      </w:r>
    </w:p>
    <w:p>
      <w:pPr>
        <w:ind w:left="288"/>
      </w:pPr>
      <w:r>
        <w:rPr>
          <w:color w:val="1E1E1E"/>
          <w:sz w:val="18"/>
        </w:rPr>
        <w:t>O CNJ tem legitimidade para fiscalizar, inclusive de ofício, os atos administrativos praticados por órgãos do Poder Judiciário (MS 26.163, rel. min. Cármen Lúcia, DJE de 4-9-2008). Após a publicação do edital e no curso do certame, só se admite a alteração das regras do concurso se houver modificação na legislação que disciplina a respectiva carreira. Precedentes (RE 318.106, rel. min. Ellen Gracie, DJ de 18-11-2005).</w:t>
      </w:r>
    </w:p>
    <w:p>
      <w:pPr>
        <w:ind w:left="288"/>
      </w:pPr>
      <w:r>
        <w:rPr>
          <w:b/>
          <w:color w:val="003CA0"/>
          <w:sz w:val="16"/>
        </w:rPr>
        <w:t>[MS 27.165, rel. min. Joaquim Barbosa, j. 18-12-2008, P, DJE de 6-3-2009.]</w:t>
      </w:r>
    </w:p>
    <w:p>
      <w:pPr>
        <w:ind w:left="288"/>
      </w:pPr>
      <w:r>
        <w:rPr>
          <w:color w:val="8C8C8C"/>
          <w:sz w:val="12"/>
        </w:rPr>
        <w:t>cf-art-103-par-4</w:t>
      </w:r>
      <w:r>
        <w:rPr>
          <w:color w:val="003CA0"/>
          <w:sz w:val="12"/>
        </w:rPr>
        <w:t xml:space="preserve"> | MS 33.455</w:t>
      </w:r>
      <w:r>
        <w:rPr>
          <w:color w:val="003CA0"/>
          <w:sz w:val="12"/>
        </w:rPr>
        <w:t xml:space="preserve"> | rel. Gilmar Mendes</w:t>
      </w:r>
    </w:p>
    <w:p>
      <w:pPr>
        <w:ind w:left="288"/>
      </w:pPr>
      <w:r>
        <w:rPr>
          <w:color w:val="1E1E1E"/>
          <w:sz w:val="18"/>
        </w:rPr>
        <w:t>Vide MS 33.455, rel. min. Gilmar Mendes, j. 15-9-2015, 2ª T, DJE de 1º-2-2016 Mandado de segurança. Concurso público para a magistratura do Estado do Amapá. Anulação. Legitimidade do CNJ para fiscalizar de ofício os atos administrativos praticados por órgãos do Poder Judiciário. (...) Os arts. 95 e 97 do Regimento Interno do CNJ autorizam-lhe instaurar, de ofício, procedimento administrativo para fiscalização de atos praticados por órgãos do Poder Judiciário.</w:t>
      </w:r>
    </w:p>
    <w:p>
      <w:pPr>
        <w:ind w:left="288"/>
      </w:pPr>
      <w:r>
        <w:rPr>
          <w:b/>
          <w:color w:val="003CA0"/>
          <w:sz w:val="16"/>
        </w:rPr>
        <w:t>[MS 26.163, rel. min. Cármen Lúcia, j. 24-4-2008, P, DJE de 5-9-2008.]</w:t>
      </w:r>
    </w:p>
    <w:p>
      <w:pPr>
        <w:ind w:left="288"/>
      </w:pPr>
      <w:r>
        <w:rPr>
          <w:color w:val="8C8C8C"/>
          <w:sz w:val="12"/>
        </w:rPr>
        <w:t>cf-art-103-par-4</w:t>
      </w:r>
      <w:r>
        <w:rPr>
          <w:color w:val="003CA0"/>
          <w:sz w:val="12"/>
        </w:rPr>
        <w:t xml:space="preserve"> | MS 26.284</w:t>
      </w:r>
      <w:r>
        <w:rPr>
          <w:color w:val="003CA0"/>
          <w:sz w:val="12"/>
        </w:rPr>
        <w:t xml:space="preserve"> | rel. Menezes Direito</w:t>
      </w:r>
    </w:p>
    <w:p>
      <w:pPr>
        <w:ind w:left="288"/>
      </w:pPr>
      <w:r>
        <w:rPr>
          <w:color w:val="1E1E1E"/>
          <w:sz w:val="18"/>
        </w:rPr>
        <w:t>Manifestamente impertinente a alegação de que o PCA 143, instaurado no CNJ, teria tratado da anulação de decisão judicial e não de ato com caráter administrativo. O ato impugnado perante o CNJ tem natureza administrativa, relativo à homologação de concurso público, matéria afeta à administração do Tribunal. Trata-se do exercício do controle administrativo dos próprios atos do Judiciário. A decisão do CNJ, devidamente fundamentada, esclareceu que houve a revisão individual das provas e que apenas duas candidatas obtiveram acréscimo em suas notas, concluindo pela ilegalidade no arredondamento fe</w:t>
      </w:r>
    </w:p>
    <w:p>
      <w:pPr>
        <w:ind w:left="288"/>
      </w:pPr>
      <w:r>
        <w:rPr>
          <w:b/>
          <w:color w:val="003CA0"/>
          <w:sz w:val="16"/>
        </w:rPr>
        <w:t>[MS 26.284, rel. min. Menezes Direito, j. 31-3-2008, P, DJE de 13-6-2008.]</w:t>
      </w:r>
    </w:p>
    <w:p>
      <w:pPr>
        <w:ind w:left="288"/>
      </w:pPr>
      <w:r>
        <w:rPr>
          <w:color w:val="8C8C8C"/>
          <w:sz w:val="12"/>
        </w:rPr>
        <w:t>cf-art-103-par-4</w:t>
      </w:r>
      <w:r>
        <w:rPr>
          <w:color w:val="003CA0"/>
          <w:sz w:val="12"/>
        </w:rPr>
        <w:t xml:space="preserve"> | MS 26.302</w:t>
      </w:r>
      <w:r>
        <w:rPr>
          <w:color w:val="003CA0"/>
          <w:sz w:val="12"/>
        </w:rPr>
        <w:t xml:space="preserve"> | rel. Cármen Lúcia</w:t>
      </w:r>
    </w:p>
    <w:p>
      <w:pPr>
        <w:ind w:left="288"/>
      </w:pPr>
      <w:r>
        <w:rPr>
          <w:color w:val="1E1E1E"/>
          <w:sz w:val="18"/>
        </w:rPr>
        <w:t>= MS 26.302 AgR, rel. min. Cármen Lúcia, j. 17-11-2011, P, DJE de 13-12-2011 III - receber e conhecer das reclamações contra membros ou órgãos do Poder Judiciário, inclusive contra seus serviços auxiliares, serventias e órgãos prestadores de serviços notariais e de registro que atuem por delegação do poder público ou oficializados, sem prejuízo da competência disciplinar e correicional dos tribunais, podendo avocar processos disciplinares em curso, determinar a remoção ou a disponibilidade e aplicar outras sanções administrativas, assegurada ampla defesa; (Redação da EC 103/2019)</w:t>
      </w:r>
    </w:p>
    <w:p>
      <w:pPr>
        <w:ind w:left="288"/>
      </w:pPr>
      <w:r>
        <w:rPr>
          <w:color w:val="8C8C8C"/>
          <w:sz w:val="12"/>
        </w:rPr>
        <w:t>cf-art-103-par-4</w:t>
      </w:r>
      <w:r>
        <w:rPr>
          <w:color w:val="003CA0"/>
          <w:sz w:val="12"/>
        </w:rPr>
        <w:t xml:space="preserve"> | AO 2.702</w:t>
      </w:r>
      <w:r>
        <w:rPr>
          <w:color w:val="003CA0"/>
          <w:sz w:val="12"/>
        </w:rPr>
        <w:t xml:space="preserve"> | rel. Alexandre de Moraes</w:t>
      </w:r>
    </w:p>
    <w:p>
      <w:pPr>
        <w:ind w:left="288"/>
      </w:pPr>
      <w:r>
        <w:rPr>
          <w:color w:val="1E1E1E"/>
          <w:sz w:val="18"/>
        </w:rPr>
        <w:t>Serventia extrajudicial. Interinidade. Vedação ao nepotismo. Atuação do CNJ conforme suas prerrogativas constitucionais. (...) O Conselho Nacional de Justiça agiu no estrito âmbito de suas atribuições constitucionais, com destaque para a fiscalização do serviço notarial e de registro (arts. 103-B, § 4º, I e III, e 236, § 1º, da CF/88), ao proibir a prática do nepotismo no desempenho destes serviços em período de interinidade, dando concretude aos princípios constitucionais que informam a administração Pública. (...) A atividade desempenhada em caráter de interinidade, a despeito de iniciada po</w:t>
      </w:r>
    </w:p>
    <w:p>
      <w:pPr>
        <w:ind w:left="288"/>
      </w:pPr>
      <w:r>
        <w:rPr>
          <w:b/>
          <w:color w:val="003CA0"/>
          <w:sz w:val="16"/>
        </w:rPr>
        <w:t>[AO 2.702 AgR, rel. min. Alexandre de Moraes, j. 14-11-2022, 1ª T, DJE de 17-11-2022.]</w:t>
      </w:r>
    </w:p>
    <w:p>
      <w:pPr>
        <w:ind w:left="288"/>
      </w:pPr>
      <w:r>
        <w:rPr>
          <w:color w:val="8C8C8C"/>
          <w:sz w:val="12"/>
        </w:rPr>
        <w:t>cf-art-103-par-4-inc-V</w:t>
      </w:r>
      <w:r>
        <w:rPr>
          <w:color w:val="003CA0"/>
          <w:sz w:val="12"/>
        </w:rPr>
        <w:t xml:space="preserve"> | AO 2.650</w:t>
      </w:r>
      <w:r>
        <w:rPr>
          <w:color w:val="003CA0"/>
          <w:sz w:val="12"/>
        </w:rPr>
        <w:t xml:space="preserve"> | rel. Rosa Weber</w:t>
      </w:r>
    </w:p>
    <w:p>
      <w:pPr>
        <w:ind w:left="288"/>
      </w:pPr>
      <w:r>
        <w:rPr>
          <w:color w:val="1E1E1E"/>
          <w:sz w:val="18"/>
        </w:rPr>
        <w:t>É valida a publicação no DJE para efeito de intimação e ciência inequívoca do resultado do processo administrativo envolvendo magistrado na Corte local, inexistindo regra que exija a dupla intimação (do advogado, via da DJE, e do magistrado, pessoalmente) para iniciar a contagem do prazo de decadência do Pedido de Revisão Disciplinar previsto no art. 103-B, § 4º, V, da CF.</w:t>
      </w:r>
    </w:p>
    <w:p>
      <w:pPr>
        <w:ind w:left="288"/>
      </w:pPr>
      <w:r>
        <w:rPr>
          <w:b/>
          <w:color w:val="003CA0"/>
          <w:sz w:val="16"/>
        </w:rPr>
        <w:t>[AO 2.650, rel. min. Rosa Weber, j. 22-8-2022, 1ª T, DJE de 25-8-2022.]</w:t>
      </w:r>
    </w:p>
    <w:p>
      <w:pPr>
        <w:ind w:left="288"/>
      </w:pPr>
      <w:r>
        <w:rPr>
          <w:color w:val="8C8C8C"/>
          <w:sz w:val="12"/>
        </w:rPr>
        <w:t>cf-art-103-par-4-inc-V</w:t>
      </w:r>
      <w:r>
        <w:rPr>
          <w:color w:val="003CA0"/>
          <w:sz w:val="12"/>
        </w:rPr>
        <w:t xml:space="preserve"> | MS 34.685</w:t>
      </w:r>
      <w:r>
        <w:rPr>
          <w:color w:val="003CA0"/>
          <w:sz w:val="12"/>
        </w:rPr>
        <w:t xml:space="preserve"> | rel. Dias Toffoli</w:t>
      </w:r>
    </w:p>
    <w:p>
      <w:pPr>
        <w:ind w:left="288"/>
      </w:pPr>
      <w:r>
        <w:rPr>
          <w:color w:val="1E1E1E"/>
          <w:sz w:val="18"/>
        </w:rPr>
        <w:t>O STF assentou que o CNJ possui atribuição correicional originária e autônoma, não se tratando de atuação subsidiária frente aos órgãos de correição local, mas sim de competência concorrente, de modo que seu exercício não se submete a condicionantes. (...) A atuação do Conselho Nacional de Justiça, no caso, decorreu do exercício de competência correicional originária, não revisional. Inaplicável, assim, o parâmetro temporal inserto no art. 103-B, § 4º, inciso V, da Constituição Federal (“rever, de ofício ou mediante provocação, os processos disciplinares de juízes e membros de tribunais julgad</w:t>
      </w:r>
    </w:p>
    <w:p>
      <w:pPr>
        <w:ind w:left="288"/>
      </w:pPr>
      <w:r>
        <w:rPr>
          <w:b/>
          <w:color w:val="003CA0"/>
          <w:sz w:val="16"/>
        </w:rPr>
        <w:t>[MS 34.685 AgR, rel. min. Dias Toffoli, j. 28-11-2017, 2ª T, DJE de 23-3-2018.]</w:t>
      </w:r>
    </w:p>
    <w:p>
      <w:pPr>
        <w:ind w:left="288"/>
      </w:pPr>
      <w:r>
        <w:rPr>
          <w:color w:val="8C8C8C"/>
          <w:sz w:val="12"/>
        </w:rPr>
        <w:t>cf-art-103-par-4-inc-V</w:t>
      </w:r>
      <w:r>
        <w:rPr>
          <w:color w:val="003CA0"/>
          <w:sz w:val="12"/>
        </w:rPr>
        <w:t xml:space="preserve"> | MS 28.127</w:t>
      </w:r>
      <w:r>
        <w:rPr>
          <w:color w:val="003CA0"/>
          <w:sz w:val="12"/>
        </w:rPr>
        <w:t xml:space="preserve"> | rel. Dias Toffoli</w:t>
      </w:r>
    </w:p>
    <w:p>
      <w:pPr>
        <w:ind w:left="288"/>
      </w:pPr>
      <w:r>
        <w:rPr>
          <w:color w:val="1E1E1E"/>
          <w:sz w:val="18"/>
        </w:rPr>
        <w:t>Compete ao Plenário do CNJ instaurar, de ofício, processo de revisão disciplinar (art. 86 do RICNJ), consistindo o posterior despacho do corregedor nacional de justiça mera execução material da decisão administrativa. O julgamento pelo Plenário do CNJ ocorreu em data anterior ao decurso do prazo disposto no inciso V do § 4º do art. 103-B da CF, razão pela qual não se configura a decadência do direito do poder público de instaurar o procedimento. A instauração de ofício foi motivada nos elementos do processo disciplinar objeto da revisão, os quais eram de conhecimento do impetrante, uma vez que</w:t>
      </w:r>
    </w:p>
    <w:p>
      <w:pPr>
        <w:ind w:left="288"/>
      </w:pPr>
      <w:r>
        <w:rPr>
          <w:b/>
          <w:color w:val="003CA0"/>
          <w:sz w:val="16"/>
        </w:rPr>
        <w:t>[MS 26.540, rel. min. Cármen Lúcia, j. 24-6-2014, 2ª T, DJE de 1º-8-2014.]</w:t>
      </w:r>
    </w:p>
    <w:p>
      <w:pPr>
        <w:ind w:left="288"/>
      </w:pPr>
      <w:r>
        <w:rPr>
          <w:color w:val="8C8C8C"/>
          <w:sz w:val="12"/>
        </w:rPr>
        <w:t>cf-art-103-par-4-inc-V</w:t>
      </w:r>
      <w:r>
        <w:rPr>
          <w:color w:val="003CA0"/>
          <w:sz w:val="12"/>
        </w:rPr>
        <w:t xml:space="preserve"> | MS 27.767</w:t>
      </w:r>
      <w:r>
        <w:rPr>
          <w:color w:val="003CA0"/>
          <w:sz w:val="12"/>
        </w:rPr>
        <w:t xml:space="preserve"> | rel. Ricardo Lewandowski</w:t>
      </w:r>
    </w:p>
    <w:p>
      <w:pPr>
        <w:ind w:left="288"/>
      </w:pPr>
      <w:r>
        <w:rPr>
          <w:color w:val="1E1E1E"/>
          <w:sz w:val="18"/>
        </w:rPr>
        <w:t>O pedido de revisão disciplinar para o CNJ deve ser feito até um ano após o julgamento do processo disciplinar pelo respectivo tribunal, nos termos do art. 103-B, § 4º, V, da Constituição. Dessa forma, esgotado tal prazo só restará ao interessado socorrer-se da via judicial para discutir a punição que lhe foi aplicada.</w:t>
      </w:r>
    </w:p>
    <w:p>
      <w:pPr>
        <w:ind w:left="288"/>
      </w:pPr>
      <w:r>
        <w:rPr>
          <w:b/>
          <w:color w:val="003CA0"/>
          <w:sz w:val="16"/>
        </w:rPr>
        <w:t>[MS 27.767 AgR, rel. min. Ricardo Lewandowski, j. 23-3-2011, P, DJE de 8-4-2011.]</w:t>
      </w:r>
    </w:p>
    <w:p>
      <w:pPr>
        <w:ind w:left="288"/>
      </w:pPr>
      <w:r>
        <w:rPr>
          <w:color w:val="8C8C8C"/>
          <w:sz w:val="12"/>
        </w:rPr>
        <w:t>cf-art-103-par-4-inc-VI</w:t>
      </w:r>
    </w:p>
    <w:p>
      <w:pPr>
        <w:ind w:left="288"/>
      </w:pPr>
      <w:r>
        <w:rPr>
          <w:color w:val="1E1E1E"/>
          <w:sz w:val="18"/>
        </w:rPr>
        <w:t>VII - elaborar relatório anual, propondo as providências que julgar necessárias, sobre a situação do Poder Judiciário no País e as atividades do Conselho, o qual deve integrar mensagem do Presidente do Supremo Tribunal Federal a ser remetida ao Congresso Nacional, por ocasião da abertura da sessão legislativa. (Incluído pela EC 45/2004)</w:t>
      </w:r>
    </w:p>
    <w:p>
      <w:pPr>
        <w:ind w:left="144"/>
      </w:pPr>
      <w:r>
        <w:rPr>
          <w:b/>
          <w:color w:val="B45A00"/>
          <w:sz w:val="16"/>
        </w:rPr>
        <w:t>CONTROLE CONCENTRADO</w:t>
      </w:r>
    </w:p>
    <w:p>
      <w:pPr>
        <w:ind w:left="288"/>
      </w:pPr>
      <w:r>
        <w:rPr>
          <w:color w:val="8C8C8C"/>
          <w:sz w:val="12"/>
        </w:rPr>
        <w:t>cf-art-103-par-5</w:t>
      </w:r>
      <w:r>
        <w:rPr>
          <w:color w:val="003CA0"/>
          <w:sz w:val="12"/>
        </w:rPr>
        <w:t xml:space="preserve"> | ADI 4.709</w:t>
      </w:r>
      <w:r>
        <w:rPr>
          <w:color w:val="003CA0"/>
          <w:sz w:val="12"/>
        </w:rPr>
        <w:t xml:space="preserve"> | rel. Rosa Weber</w:t>
      </w:r>
    </w:p>
    <w:p>
      <w:pPr>
        <w:ind w:left="288"/>
      </w:pPr>
      <w:r>
        <w:rPr>
          <w:color w:val="1E1E1E"/>
          <w:sz w:val="18"/>
        </w:rPr>
        <w:t xml:space="preserve">Art. 8º, V, do Regimento Interno do Conselho Nacional de Justiça. Atribuições do Corregedor Nacional de Justiça. Requisição de dados sigilosos em processos ou procedimentos administrativos de sua Competência. (...) Corregedoria Nacional de Justiça é órgão destacado, pela Constituição Federal, na arquitetura do CNJ e do controle interno do Poder Judiciário e da magistratura nacional. O arranjo institucional permite perceber atribuições próprias que visam a densificar o papel constitucional de concretização dos valores republicanos, o que afasta a alegação de inconstitucionalidade na atribuição </w:t>
      </w:r>
    </w:p>
    <w:p>
      <w:pPr>
        <w:ind w:left="288"/>
      </w:pPr>
      <w:r>
        <w:rPr>
          <w:b/>
          <w:color w:val="003CA0"/>
          <w:sz w:val="16"/>
        </w:rPr>
        <w:t>[ADI 4.709, rel. min. Rosa Weber, j. 30-5-2022, P, DJE de 9-6-2022.]</w:t>
      </w:r>
    </w:p>
    <w:p>
      <w:pPr>
        <w:ind w:left="144"/>
      </w:pPr>
      <w:r>
        <w:rPr>
          <w:b/>
          <w:color w:val="B45A00"/>
          <w:sz w:val="16"/>
        </w:rPr>
        <w:t>JULGADOS CORRELATOS</w:t>
      </w:r>
    </w:p>
    <w:p>
      <w:pPr>
        <w:ind w:left="288"/>
      </w:pPr>
      <w:r>
        <w:rPr>
          <w:color w:val="8C8C8C"/>
          <w:sz w:val="12"/>
        </w:rPr>
        <w:t>cf-art-103-par-6</w:t>
      </w:r>
      <w:r>
        <w:rPr>
          <w:color w:val="003CA0"/>
          <w:sz w:val="12"/>
        </w:rPr>
        <w:t xml:space="preserve"> | MS 25.879</w:t>
      </w:r>
      <w:r>
        <w:rPr>
          <w:color w:val="003CA0"/>
          <w:sz w:val="12"/>
        </w:rPr>
        <w:t xml:space="preserve"> | rel. Sepúlveda Pertence</w:t>
      </w:r>
    </w:p>
    <w:p>
      <w:pPr>
        <w:ind w:left="288"/>
      </w:pPr>
      <w:r>
        <w:rPr>
          <w:color w:val="1E1E1E"/>
          <w:sz w:val="18"/>
        </w:rPr>
        <w:t>Ainda que disponha o art. 103-B, § 6º, da CF que "junto ao Conselho oficiarão o PGR e o presidente do Conselho Federal da OAB", a ausência destes às sessões do Conselho não importa em nulidade das mesmas.</w:t>
      </w:r>
    </w:p>
    <w:p>
      <w:pPr>
        <w:ind w:left="288"/>
      </w:pPr>
      <w:r>
        <w:rPr>
          <w:b/>
          <w:color w:val="003CA0"/>
          <w:sz w:val="16"/>
        </w:rPr>
        <w:t>[MS 25.879 AgR, rel. min. Sepúlveda Pertence, j. 23-8-2006, P, DJ de 8-9-2006.]</w:t>
      </w:r>
    </w:p>
    <w:p>
      <w:pPr>
        <w:ind w:left="288"/>
      </w:pPr>
      <w:r>
        <w:rPr>
          <w:color w:val="8C8C8C"/>
          <w:sz w:val="12"/>
        </w:rPr>
        <w:t>cf-art-103-par-6</w:t>
      </w:r>
    </w:p>
    <w:p>
      <w:pPr>
        <w:ind w:left="288"/>
      </w:pPr>
      <w:r>
        <w:rPr>
          <w:color w:val="1E1E1E"/>
          <w:sz w:val="18"/>
        </w:rPr>
        <w:t>§ 7º A União, inclusive no Distrito Federal e nos Territórios, criará ouvidorias de justiça, competentes para receber reclamações e denúncias de qualquer interessado contra membros ou órgãos do Poder Judiciário, ou contra seus serviços auxiliares, representando diretamente ao Conselho Nacional de Justiça. (Incluído pela EC 45/2004) Seção III Do Superior Tribunal de Justiça SUMÁRIO</w:t>
      </w:r>
    </w:p>
    <w:p>
      <w:pPr>
        <w:ind w:left="432"/>
      </w:pPr>
      <w:r>
        <w:rPr>
          <w:color w:val="003366"/>
          <w:sz w:val="18"/>
        </w:rPr>
        <w:t>§ 1 A súmula terá por objetivo a validade, a interpretação e a eficácia de norma</w:t>
      </w:r>
    </w:p>
    <w:p>
      <w:pPr>
        <w:ind w:left="432"/>
      </w:pPr>
      <w:r>
        <w:rPr>
          <w:color w:val="003366"/>
          <w:sz w:val="18"/>
        </w:rPr>
        <w:t xml:space="preserve">§ 2 Sem prejuízo do que vier a ser estabelecido em lei, a aprovação, revisão ou </w:t>
      </w:r>
    </w:p>
    <w:p>
      <w:pPr>
        <w:ind w:left="432"/>
      </w:pPr>
      <w:r>
        <w:rPr>
          <w:color w:val="003366"/>
          <w:sz w:val="18"/>
        </w:rPr>
        <w:t xml:space="preserve">§ 3 Do ato administrativo ou decisão judicial que contrariar a súmula aplicável </w:t>
      </w:r>
    </w:p>
    <w:p>
      <w:r>
        <w:rPr>
          <w:b/>
          <w:color w:val="003366"/>
          <w:sz w:val="20"/>
        </w:rPr>
        <w:t xml:space="preserve">Art. 103 B. O Conselho Nacional de Justiça compõe-se de 15 (quinze) membros com </w:t>
      </w:r>
      <w:r>
        <w:rPr>
          <w:color w:val="8C8C8C"/>
          <w:sz w:val="14"/>
        </w:rPr>
        <w:t xml:space="preserve">  [114 decisoes]</w:t>
      </w:r>
    </w:p>
    <w:p>
      <w:pPr>
        <w:ind w:left="144"/>
      </w:pPr>
      <w:r>
        <w:rPr>
          <w:b/>
          <w:color w:val="B45A00"/>
          <w:sz w:val="16"/>
        </w:rPr>
        <w:t>CONTROLE CONCENTRADO</w:t>
      </w:r>
    </w:p>
    <w:p>
      <w:pPr>
        <w:ind w:left="288"/>
      </w:pPr>
      <w:r>
        <w:rPr>
          <w:color w:val="8C8C8C"/>
          <w:sz w:val="12"/>
        </w:rPr>
        <w:t>cf-art-103</w:t>
      </w:r>
      <w:r>
        <w:rPr>
          <w:color w:val="003CA0"/>
          <w:sz w:val="12"/>
        </w:rPr>
        <w:t xml:space="preserve"> | ADI 4.654</w:t>
      </w:r>
      <w:r>
        <w:rPr>
          <w:color w:val="003CA0"/>
          <w:sz w:val="12"/>
        </w:rPr>
        <w:t xml:space="preserve"> | rel. Gilmar Mendes</w:t>
      </w:r>
    </w:p>
    <w:p>
      <w:pPr>
        <w:ind w:left="288"/>
      </w:pPr>
      <w:r>
        <w:rPr>
          <w:color w:val="1E1E1E"/>
          <w:sz w:val="18"/>
        </w:rPr>
        <w:t>(...) os Municípios não figuram no rol de entidades legitimadas para a propositura de ação direta de inconstitucionalidade perante esta Corte previsto nos arts. 103 da Constituição e 2º da Lei 9.868/1999.</w:t>
      </w:r>
    </w:p>
    <w:p>
      <w:pPr>
        <w:ind w:left="288"/>
      </w:pPr>
      <w:r>
        <w:rPr>
          <w:b/>
          <w:color w:val="003CA0"/>
          <w:sz w:val="16"/>
        </w:rPr>
        <w:t>[ADI 4.654, rel. min. Gilmar Mendes, j. 28-11-2011, dec. monocrática, DJE de 2-12-2011.]</w:t>
      </w:r>
    </w:p>
    <w:p>
      <w:pPr>
        <w:ind w:left="288"/>
      </w:pPr>
      <w:r>
        <w:rPr>
          <w:color w:val="8C8C8C"/>
          <w:sz w:val="12"/>
        </w:rPr>
        <w:t>cf-art-103</w:t>
      </w:r>
      <w:r>
        <w:rPr>
          <w:color w:val="003CA0"/>
          <w:sz w:val="12"/>
        </w:rPr>
        <w:t xml:space="preserve"> | ADPF 148</w:t>
      </w:r>
      <w:r>
        <w:rPr>
          <w:color w:val="003CA0"/>
          <w:sz w:val="12"/>
        </w:rPr>
        <w:t xml:space="preserve"> | rel. Cezar Peluso</w:t>
      </w:r>
    </w:p>
    <w:p>
      <w:pPr>
        <w:ind w:left="288"/>
      </w:pPr>
      <w:r>
        <w:rPr>
          <w:color w:val="1E1E1E"/>
          <w:sz w:val="18"/>
        </w:rPr>
        <w:t>Legitimidade. Ativa. Inexistência. Arguição por descumprimento de preceito fundamental (ADPF). Prefeito municipal. Autor não legitimado para ação direta de inconstitucionalidade. Ilegitimidade reconhecida. Negativa de seguimento ao pedido. Recurso, ademais, impertinente. Agravo improvido. Aplicação do art. 2º, I, da Lei federal 9.882/1999. Precedentes. Quem não tem legitimidade para propor ação direta de inconstitucionalidade não a tem para arguição de descumprimento de preceito fundamental.</w:t>
      </w:r>
    </w:p>
    <w:p>
      <w:pPr>
        <w:ind w:left="288"/>
      </w:pPr>
      <w:r>
        <w:rPr>
          <w:b/>
          <w:color w:val="003CA0"/>
          <w:sz w:val="16"/>
        </w:rPr>
        <w:t>[ADPF 148 AgR, rel. min. Cezar Peluso, j. 3-12-2008, P, DJE de 6-2-2009.]</w:t>
      </w:r>
    </w:p>
    <w:p>
      <w:pPr>
        <w:ind w:left="288"/>
      </w:pPr>
      <w:r>
        <w:rPr>
          <w:color w:val="8C8C8C"/>
          <w:sz w:val="12"/>
        </w:rPr>
        <w:t>cf-art-103</w:t>
      </w:r>
      <w:r>
        <w:rPr>
          <w:color w:val="003CA0"/>
          <w:sz w:val="12"/>
        </w:rPr>
        <w:t xml:space="preserve"> | ADPF 75</w:t>
      </w:r>
      <w:r>
        <w:rPr>
          <w:color w:val="003CA0"/>
          <w:sz w:val="12"/>
        </w:rPr>
        <w:t xml:space="preserve"> | rel. Ricardo Lewandowski</w:t>
      </w:r>
    </w:p>
    <w:p>
      <w:pPr>
        <w:ind w:left="288"/>
      </w:pPr>
      <w:r>
        <w:rPr>
          <w:color w:val="1E1E1E"/>
          <w:sz w:val="18"/>
        </w:rPr>
        <w:t>Os legitimados para propor arguição de descumprimento de preceito fundamental se encontram definidos, em numerus clausus, no art. 103 da Constituição da República, nos termos do disposto no art. 2º, I, da Lei 9.882/1999. Impossibilidade de ampliação do rol exaustivo inscrito na CF. Idoneidade da decisão de não conhecimento da arguição de descumprimento de preceito fundamental.</w:t>
      </w:r>
    </w:p>
    <w:p>
      <w:pPr>
        <w:ind w:left="288"/>
      </w:pPr>
      <w:r>
        <w:rPr>
          <w:b/>
          <w:color w:val="003CA0"/>
          <w:sz w:val="16"/>
        </w:rPr>
        <w:t>[ADPF 75 AgR, rel. min. Ricardo Lewandowski, j. 3-5-2006, P, DJ de 2-6-2006.]</w:t>
      </w:r>
    </w:p>
    <w:p>
      <w:pPr>
        <w:ind w:left="288"/>
      </w:pPr>
      <w:r>
        <w:rPr>
          <w:color w:val="8C8C8C"/>
          <w:sz w:val="12"/>
        </w:rPr>
        <w:t>cf-art-103</w:t>
      </w:r>
      <w:r>
        <w:rPr>
          <w:color w:val="003CA0"/>
          <w:sz w:val="12"/>
        </w:rPr>
        <w:t xml:space="preserve"> | ADI 1.105</w:t>
      </w:r>
      <w:r>
        <w:rPr>
          <w:color w:val="003CA0"/>
          <w:sz w:val="12"/>
        </w:rPr>
        <w:t xml:space="preserve"> | rel. Maurício Corrêa</w:t>
      </w:r>
    </w:p>
    <w:p>
      <w:pPr>
        <w:ind w:left="288"/>
      </w:pPr>
      <w:r>
        <w:rPr>
          <w:color w:val="1E1E1E"/>
          <w:sz w:val="18"/>
        </w:rPr>
        <w:t>Recurso interposto por terceiro prejudicado. Não cabimento. Precedentes. Embargos de declaração opostos pela OAB. Legitimidade. Questão de ordem resolvida no sentido de que é incabível a interposição de qualquer espécie de recurso por quem, embora legitimado para a propositura da ação direta, nela não figure como requerente ou requerido.</w:t>
      </w:r>
    </w:p>
    <w:p>
      <w:pPr>
        <w:ind w:left="288"/>
      </w:pPr>
      <w:r>
        <w:rPr>
          <w:b/>
          <w:color w:val="003CA0"/>
          <w:sz w:val="16"/>
        </w:rPr>
        <w:t>[ADI 1.105 MC-ED-QO, rel. min. Maurício Corrêa, j. 23-8-2001, P, DJ de 16-11-2001.]</w:t>
      </w:r>
    </w:p>
    <w:p>
      <w:pPr>
        <w:ind w:left="288"/>
      </w:pPr>
      <w:r>
        <w:rPr>
          <w:color w:val="8C8C8C"/>
          <w:sz w:val="12"/>
        </w:rPr>
        <w:t>cf-art-103</w:t>
      </w:r>
      <w:r>
        <w:rPr>
          <w:color w:val="003CA0"/>
          <w:sz w:val="12"/>
        </w:rPr>
        <w:t xml:space="preserve"> | ADI 1.105</w:t>
      </w:r>
      <w:r>
        <w:rPr>
          <w:color w:val="003CA0"/>
          <w:sz w:val="12"/>
        </w:rPr>
        <w:t xml:space="preserve"> | rel. Ricardo Lewandowski</w:t>
      </w:r>
    </w:p>
    <w:p>
      <w:pPr>
        <w:ind w:left="288"/>
      </w:pPr>
      <w:r>
        <w:rPr>
          <w:color w:val="1E1E1E"/>
          <w:sz w:val="18"/>
        </w:rPr>
        <w:t>= ADI 1.105 ED-segundos, rel. min. Ricardo Lewandowski, j. 1º-8-2011, P, DJE de 30-8-2011 Ação direta de inconstitucionalidade. Processo de caráter objetivo. Inclusão de entidade privada no polo passivo da relação processual. Inadmissibilidade. (...) Não se discutem situações individuais no âmbito do controle abstrato de normas, precisamente em face do caráter objetivo de que se reveste o processo de fiscalização concentrada de constitucionalidade. O círculo de sujeitos processuais legitimados a intervir na ação direta de inconstitucionalidade revela-se extremamente limitado, pois nela só pode</w:t>
      </w:r>
    </w:p>
    <w:p>
      <w:pPr>
        <w:ind w:left="288"/>
      </w:pPr>
      <w:r>
        <w:rPr>
          <w:b/>
          <w:color w:val="003CA0"/>
          <w:sz w:val="16"/>
        </w:rPr>
        <w:t>[ADI 1.254 AgR, rel. min. Celso de Mello, j. 14-8-1996, P, DJ de 19-9-1997.]</w:t>
      </w:r>
    </w:p>
    <w:p>
      <w:pPr>
        <w:ind w:left="288"/>
      </w:pPr>
      <w:r>
        <w:rPr>
          <w:color w:val="8C8C8C"/>
          <w:sz w:val="12"/>
        </w:rPr>
        <w:t>cf-art-103</w:t>
      </w:r>
      <w:r>
        <w:rPr>
          <w:color w:val="003CA0"/>
          <w:sz w:val="12"/>
        </w:rPr>
        <w:t xml:space="preserve"> | ADI 387</w:t>
      </w:r>
      <w:r>
        <w:rPr>
          <w:color w:val="003CA0"/>
          <w:sz w:val="12"/>
        </w:rPr>
        <w:t xml:space="preserve"> | rel. Celso de Mello</w:t>
      </w:r>
    </w:p>
    <w:p>
      <w:pPr>
        <w:ind w:left="288"/>
      </w:pPr>
      <w:r>
        <w:rPr>
          <w:color w:val="1E1E1E"/>
          <w:sz w:val="18"/>
        </w:rPr>
        <w:t>O princípio da indisponibilidade, que rege o processo de controle concentrado de constitucionalidade, impede a desistência da ação direta já ajuizada. O art. 169, § 1º, do RISTF-80, que veda ao PGR essa desistência, aplica-se, extensivamente, a todas as autoridades e órgãos legitimados pela Constituição de 1988 para a instauração do controle concentrado de constitucionalidade (art. 103).</w:t>
      </w:r>
    </w:p>
    <w:p>
      <w:pPr>
        <w:ind w:left="288"/>
      </w:pPr>
      <w:r>
        <w:rPr>
          <w:b/>
          <w:color w:val="003CA0"/>
          <w:sz w:val="16"/>
        </w:rPr>
        <w:t>[ADI 387 MC, rel. min. Celso de Mello, j. 1º-3-1991, P, DJ de 11-10-1991.]</w:t>
      </w:r>
    </w:p>
    <w:p>
      <w:pPr>
        <w:ind w:left="144"/>
      </w:pPr>
      <w:r>
        <w:rPr>
          <w:b/>
          <w:color w:val="B45A00"/>
          <w:sz w:val="16"/>
        </w:rPr>
        <w:t>JULGADOS CORRELATOS</w:t>
      </w:r>
    </w:p>
    <w:p>
      <w:pPr>
        <w:ind w:left="288"/>
      </w:pPr>
      <w:r>
        <w:rPr>
          <w:color w:val="8C8C8C"/>
          <w:sz w:val="12"/>
        </w:rPr>
        <w:t>cf-art-103</w:t>
      </w:r>
      <w:r>
        <w:rPr>
          <w:color w:val="003CA0"/>
          <w:sz w:val="12"/>
        </w:rPr>
        <w:t xml:space="preserve"> | ACO 3.061</w:t>
      </w:r>
      <w:r>
        <w:rPr>
          <w:color w:val="003CA0"/>
          <w:sz w:val="12"/>
        </w:rPr>
        <w:t xml:space="preserve"> | rel. Roberto Barroso</w:t>
      </w:r>
    </w:p>
    <w:p>
      <w:pPr>
        <w:ind w:left="288"/>
      </w:pPr>
      <w:r>
        <w:rPr>
          <w:color w:val="1E1E1E"/>
          <w:sz w:val="18"/>
        </w:rPr>
        <w:t xml:space="preserve">Ação cível originária. Ilegitimidade ativa da DPU. (...) Ação cível originária ajuizada pela Defensoria Pública em face da União e dos Estados-membros, objetivando a extensão, a todos os servidores civis e militares mortos no exercício da função, de indenização por morte/acidente em serviço prevista na Lei 11.473/2007. O pedido de extensão da indenização assegurada apenas aos vitimados em ações da Força Nacional de Segurança Pública, com fundamento no princípio da isonomia, caracteriza alegação de inconstitucionalidade por omissão parcial da norma. A Defensoria Pública, no entanto, nos termos </w:t>
      </w:r>
    </w:p>
    <w:p>
      <w:pPr>
        <w:ind w:left="288"/>
      </w:pPr>
      <w:r>
        <w:rPr>
          <w:b/>
          <w:color w:val="003CA0"/>
          <w:sz w:val="16"/>
        </w:rPr>
        <w:t>[ACO 3.061 AgR, rel. min. Roberto Barroso, j. 11-9-2018, 1ª T, DJE de 10-12-2018.]</w:t>
      </w:r>
    </w:p>
    <w:p>
      <w:pPr>
        <w:ind w:left="144"/>
      </w:pPr>
      <w:r>
        <w:rPr>
          <w:b/>
          <w:color w:val="B45A00"/>
          <w:sz w:val="16"/>
        </w:rPr>
        <w:t>CONTROLE CONCENTRADO</w:t>
      </w:r>
    </w:p>
    <w:p>
      <w:pPr>
        <w:ind w:left="288"/>
      </w:pPr>
      <w:r>
        <w:rPr>
          <w:color w:val="8C8C8C"/>
          <w:sz w:val="12"/>
        </w:rPr>
        <w:t>cf-art-103-inc-IV</w:t>
      </w:r>
      <w:r>
        <w:rPr>
          <w:color w:val="003CA0"/>
          <w:sz w:val="12"/>
        </w:rPr>
        <w:t xml:space="preserve"> | ADI 3.756</w:t>
      </w:r>
      <w:r>
        <w:rPr>
          <w:color w:val="003CA0"/>
          <w:sz w:val="12"/>
        </w:rPr>
        <w:t xml:space="preserve"> | rel. Ayres Britto</w:t>
      </w:r>
    </w:p>
    <w:p>
      <w:pPr>
        <w:ind w:left="288"/>
      </w:pPr>
      <w:r>
        <w:rPr>
          <w:color w:val="1E1E1E"/>
          <w:sz w:val="18"/>
        </w:rPr>
        <w:t>É de se reconhecer a legitimidade ativa ad causam da Câmara Legislativa do Distrito Federal, dado que a presente impugnação tem por alvo dispositivos da LC 101/2000. Dispositivos que versam, justamente, sobre a aplicação dos limites globais das despesas com pessoal do Poder Legislativo distrital.</w:t>
      </w:r>
    </w:p>
    <w:p>
      <w:pPr>
        <w:ind w:left="288"/>
      </w:pPr>
      <w:r>
        <w:rPr>
          <w:b/>
          <w:color w:val="003CA0"/>
          <w:sz w:val="16"/>
        </w:rPr>
        <w:t>[ADI 3.756, rel. min. Ayres Britto, j. 21-6-2007, P, DJ de 19-10-2007.]</w:t>
      </w:r>
    </w:p>
    <w:p>
      <w:pPr>
        <w:ind w:left="288"/>
      </w:pPr>
      <w:r>
        <w:rPr>
          <w:color w:val="8C8C8C"/>
          <w:sz w:val="12"/>
        </w:rPr>
        <w:t>cf-art-103-inc-IV</w:t>
      </w:r>
      <w:r>
        <w:rPr>
          <w:color w:val="003CA0"/>
          <w:sz w:val="12"/>
        </w:rPr>
        <w:t xml:space="preserve"> | ADI 3.682</w:t>
      </w:r>
      <w:r>
        <w:rPr>
          <w:color w:val="003CA0"/>
          <w:sz w:val="12"/>
        </w:rPr>
        <w:t xml:space="preserve"> | rel. Gilmar Mendes</w:t>
      </w:r>
    </w:p>
    <w:p>
      <w:pPr>
        <w:ind w:left="288"/>
      </w:pPr>
      <w:r>
        <w:rPr>
          <w:color w:val="1E1E1E"/>
          <w:sz w:val="18"/>
        </w:rPr>
        <w:t>O art. 102 da Constituição, que contém o elenco das competências do STF, não contempla a ação direta por omissão, limitando-se a mencionar a ação direta de inconstitucionalidade de lei ou ato normativo federal ou estadual e a ação declaratória de constitucionalidade de lei ou ato normativo federal (art. 102, I, a, com redação da EC 3/1993). No art. 103, caput, fixam-se os entes ou órgãos legitimados a propor a ação direta de inconstitucionalidade. Parece evidente que essa disposição refere-se à ação direta de inconstitucionalidade de lei ou ato normativo estadual ou federal, prevista no art. 1</w:t>
      </w:r>
    </w:p>
    <w:p>
      <w:pPr>
        <w:ind w:left="288"/>
      </w:pPr>
      <w:r>
        <w:rPr>
          <w:b/>
          <w:color w:val="003CA0"/>
          <w:sz w:val="16"/>
        </w:rPr>
        <w:t>[ADI 3.682, voto do rel. min. Gilmar Mendes, j. 9-5-2007, P, DJ de 6-9-2007.]</w:t>
      </w:r>
    </w:p>
    <w:p>
      <w:pPr>
        <w:ind w:left="288"/>
      </w:pPr>
      <w:r>
        <w:rPr>
          <w:color w:val="8C8C8C"/>
          <w:sz w:val="12"/>
        </w:rPr>
        <w:t>cf-art-103-inc-IV</w:t>
      </w:r>
      <w:r>
        <w:rPr>
          <w:color w:val="003CA0"/>
          <w:sz w:val="12"/>
        </w:rPr>
        <w:t xml:space="preserve"> | ADI 1.507</w:t>
      </w:r>
      <w:r>
        <w:rPr>
          <w:color w:val="003CA0"/>
          <w:sz w:val="12"/>
        </w:rPr>
        <w:t xml:space="preserve"> | rel. Carlos Velloso</w:t>
      </w:r>
    </w:p>
    <w:p>
      <w:pPr>
        <w:ind w:left="288"/>
      </w:pPr>
      <w:r>
        <w:rPr>
          <w:color w:val="1E1E1E"/>
          <w:sz w:val="18"/>
        </w:rPr>
        <w:t>A legitimidade ativa da confederação sindical, entidade de classe de âmbito nacional, mesas das assembleias legislativas e governadores, para a ação direta de inconstitucionalidade, vincula-se ao objeto da ação, pelo que deve haver pertinência da norma impugnada com os objetivos do autor da ação. (...) Inocorrência, no caso, de pertinência das normas impugnadas com os objetivos da entidade de classe autora da ação direta).</w:t>
      </w:r>
    </w:p>
    <w:p>
      <w:pPr>
        <w:ind w:left="288"/>
      </w:pPr>
      <w:r>
        <w:rPr>
          <w:b/>
          <w:color w:val="003CA0"/>
          <w:sz w:val="16"/>
        </w:rPr>
        <w:t>[ADI 1.507 MC-AgR, rel. min. Carlos Velloso, j. 3-2-1997, P, DJ de 6-6-1997.]</w:t>
      </w:r>
    </w:p>
    <w:p>
      <w:pPr>
        <w:ind w:left="144"/>
      </w:pPr>
      <w:r>
        <w:rPr>
          <w:b/>
          <w:color w:val="B45A00"/>
          <w:sz w:val="16"/>
        </w:rPr>
        <w:t>JULGADOS CORRELATOS</w:t>
      </w:r>
    </w:p>
    <w:p>
      <w:pPr>
        <w:ind w:left="288"/>
      </w:pPr>
      <w:r>
        <w:rPr>
          <w:color w:val="8C8C8C"/>
          <w:sz w:val="12"/>
        </w:rPr>
        <w:t>cf-art-103-inc-IV</w:t>
      </w:r>
      <w:r>
        <w:rPr>
          <w:color w:val="003CA0"/>
          <w:sz w:val="12"/>
        </w:rPr>
        <w:t xml:space="preserve"> | RE 950.570</w:t>
      </w:r>
      <w:r>
        <w:rPr>
          <w:color w:val="003CA0"/>
          <w:sz w:val="12"/>
        </w:rPr>
        <w:t xml:space="preserve"> | rel. Edson Fachin</w:t>
      </w:r>
    </w:p>
    <w:p>
      <w:pPr>
        <w:ind w:left="288"/>
      </w:pPr>
      <w:r>
        <w:rPr>
          <w:color w:val="1E1E1E"/>
          <w:sz w:val="18"/>
        </w:rPr>
        <w:t>A legitimidade ativa para a propositura da ação direta de inconstitucionalidade, bem como dos recursos dela decorrentes, nos termos da CF (art. 103, III, da CF) e, por simetria, pela Constituição estadual (art. 90, II, da Constituição do Estado de São Paulo), pertence à Mesa da Câmara Municipal.</w:t>
        <w:br/>
        <w:t>[RE 950.570 AgR, rel. min. Edson Fachin, j. 1º-9-2017, 2ª T, DJE de 29-7-2017.]</w:t>
      </w:r>
    </w:p>
    <w:p>
      <w:pPr>
        <w:ind w:left="288"/>
      </w:pPr>
      <w:r>
        <w:rPr>
          <w:color w:val="8C8C8C"/>
          <w:sz w:val="12"/>
        </w:rPr>
        <w:t>cf-art-103-inc-V</w:t>
      </w:r>
      <w:r>
        <w:rPr>
          <w:color w:val="003CA0"/>
          <w:sz w:val="12"/>
        </w:rPr>
        <w:t xml:space="preserve"> | ADI 5.297</w:t>
      </w:r>
      <w:r>
        <w:rPr>
          <w:color w:val="003CA0"/>
          <w:sz w:val="12"/>
        </w:rPr>
        <w:t xml:space="preserve"> | rel. Luiz Fux</w:t>
      </w:r>
    </w:p>
    <w:p>
      <w:pPr>
        <w:ind w:left="288"/>
      </w:pPr>
      <w:r>
        <w:rPr>
          <w:color w:val="1E1E1E"/>
          <w:sz w:val="18"/>
        </w:rPr>
        <w:t>Decreto nº 5.194, de 11 de fevereiro de 2015, do Estado do Tocantins. Suspensão dos efeitos financeiros da Lei Estadual nº 2.853, de 9 de abril de 2014. Vedação ao chefe do poder executivo de expedir decreto para suspender a eficácia de ato normativo hierarquicamente superior. (...) Vigente a lei, é legítimo ao Executivo impugná-la perante o Poder Judiciário estadual ou perante o Supremo Tribunal Federal, no exercício de sua legitimidade para deflagrar o processo de controle concentrado de constitucionalidade (art. 103, V, da CRFB/88), que se dá de forma repressiva e na via judicial.</w:t>
      </w:r>
    </w:p>
    <w:p>
      <w:pPr>
        <w:ind w:left="288"/>
      </w:pPr>
      <w:r>
        <w:rPr>
          <w:b/>
          <w:color w:val="003CA0"/>
          <w:sz w:val="16"/>
        </w:rPr>
        <w:t>[ADI 5.297, rel. min. Luiz Fux, j. 14.08.2025, P, DJE de 04.12.2025.]</w:t>
      </w:r>
    </w:p>
    <w:p>
      <w:pPr>
        <w:ind w:left="144"/>
      </w:pPr>
      <w:r>
        <w:rPr>
          <w:b/>
          <w:color w:val="B45A00"/>
          <w:sz w:val="16"/>
        </w:rPr>
        <w:t>CONTROLE CONCENTRADO</w:t>
      </w:r>
    </w:p>
    <w:p>
      <w:pPr>
        <w:ind w:left="288"/>
      </w:pPr>
      <w:r>
        <w:rPr>
          <w:color w:val="8C8C8C"/>
          <w:sz w:val="12"/>
        </w:rPr>
        <w:t>cf-art-103-inc-V</w:t>
      </w:r>
      <w:r>
        <w:rPr>
          <w:color w:val="003CA0"/>
          <w:sz w:val="12"/>
        </w:rPr>
        <w:t xml:space="preserve"> | ADI 6.728</w:t>
      </w:r>
      <w:r>
        <w:rPr>
          <w:color w:val="003CA0"/>
          <w:sz w:val="12"/>
        </w:rPr>
        <w:t xml:space="preserve"> | rel. Edson Fachin</w:t>
      </w:r>
    </w:p>
    <w:p>
      <w:pPr>
        <w:ind w:left="288"/>
      </w:pPr>
      <w:r>
        <w:rPr>
          <w:color w:val="1E1E1E"/>
          <w:sz w:val="18"/>
        </w:rPr>
        <w:t>O afastamento cautelar de cargo de Governador de Estado, suspendendo o exercício das funções públicas respectivas, implica a ilegitimidade para a propositura de ação direta de inconstitucionalidade, na forma do art. 103, V, da Constituição da República.</w:t>
      </w:r>
    </w:p>
    <w:p>
      <w:pPr>
        <w:ind w:left="288"/>
      </w:pPr>
      <w:r>
        <w:rPr>
          <w:b/>
          <w:color w:val="003CA0"/>
          <w:sz w:val="16"/>
        </w:rPr>
        <w:t>[ADI 6.728 AgR, rel. min. Edson Fachin, j. 3-5-2021, P, DJE de 14-5-2021.]</w:t>
      </w:r>
    </w:p>
    <w:p>
      <w:pPr>
        <w:ind w:left="288"/>
      </w:pPr>
      <w:r>
        <w:rPr>
          <w:color w:val="8C8C8C"/>
          <w:sz w:val="12"/>
        </w:rPr>
        <w:t>cf-art-103-inc-V</w:t>
      </w:r>
      <w:r>
        <w:rPr>
          <w:color w:val="003CA0"/>
          <w:sz w:val="12"/>
        </w:rPr>
        <w:t xml:space="preserve"> | ADI 5.084</w:t>
      </w:r>
      <w:r>
        <w:rPr>
          <w:color w:val="003CA0"/>
          <w:sz w:val="12"/>
        </w:rPr>
        <w:t xml:space="preserve"> | rel. Rosa Weber</w:t>
      </w:r>
    </w:p>
    <w:p>
      <w:pPr>
        <w:ind w:left="288"/>
      </w:pPr>
      <w:r>
        <w:rPr>
          <w:color w:val="1E1E1E"/>
          <w:sz w:val="18"/>
        </w:rPr>
        <w:t>(...) na hipótese de ação direta proposta por autoridade cuja legitimação ativa tem supedâneo no art. 103, V, da Carta Política, cabe ao próprio Governador de Estado ou do Distrito Federal subscrever a petição inicial, sendo-lhe facultado fazê-lo isoladamente ou em conjunto com o Procurador-Geral do Estado ou advogado habilitado.</w:t>
      </w:r>
    </w:p>
    <w:p>
      <w:pPr>
        <w:ind w:left="288"/>
      </w:pPr>
      <w:r>
        <w:rPr>
          <w:b/>
          <w:color w:val="003CA0"/>
          <w:sz w:val="16"/>
        </w:rPr>
        <w:t>[ADI 5.084, rel. min. Rosa Weber, decisão monocrática, j. 20-2-2014, DJE de 25-2-2014.]</w:t>
      </w:r>
    </w:p>
    <w:p>
      <w:pPr>
        <w:ind w:left="288"/>
      </w:pPr>
      <w:r>
        <w:rPr>
          <w:color w:val="8C8C8C"/>
          <w:sz w:val="12"/>
        </w:rPr>
        <w:t>cf-art-103-inc-V</w:t>
      </w:r>
      <w:r>
        <w:rPr>
          <w:color w:val="003CA0"/>
          <w:sz w:val="12"/>
        </w:rPr>
        <w:t xml:space="preserve"> | ADI 2.906</w:t>
      </w:r>
      <w:r>
        <w:rPr>
          <w:color w:val="003CA0"/>
          <w:sz w:val="12"/>
        </w:rPr>
        <w:t xml:space="preserve"> | rel. Marco Aurélio</w:t>
      </w:r>
    </w:p>
    <w:p>
      <w:pPr>
        <w:ind w:left="288"/>
      </w:pPr>
      <w:r>
        <w:rPr>
          <w:color w:val="1E1E1E"/>
          <w:sz w:val="18"/>
        </w:rPr>
        <w:t>Descabe confundir a legitimidade para a propositura da ação direta de inconstitucionalidade com a capacidade postulatória. Quanto ao governador do Estado, cuja assinatura é dispensável na inicial, tem-na o procurador-geral do Estado.</w:t>
      </w:r>
    </w:p>
    <w:p>
      <w:pPr>
        <w:ind w:left="288"/>
      </w:pPr>
      <w:r>
        <w:rPr>
          <w:b/>
          <w:color w:val="003CA0"/>
          <w:sz w:val="16"/>
        </w:rPr>
        <w:t>[ADI 2.906, rel. min. Marco Aurélio, j. 1º-6-2011, P, DJE de 29-6-2011.]</w:t>
      </w:r>
    </w:p>
    <w:p>
      <w:pPr>
        <w:ind w:left="288"/>
      </w:pPr>
      <w:r>
        <w:rPr>
          <w:color w:val="8C8C8C"/>
          <w:sz w:val="12"/>
        </w:rPr>
        <w:t>cf-art-103-inc-V</w:t>
      </w:r>
      <w:r>
        <w:rPr>
          <w:color w:val="003CA0"/>
          <w:sz w:val="12"/>
        </w:rPr>
        <w:t xml:space="preserve"> | ADI 2.728</w:t>
      </w:r>
      <w:r>
        <w:rPr>
          <w:color w:val="003CA0"/>
          <w:sz w:val="12"/>
        </w:rPr>
        <w:t xml:space="preserve"> | rel. Marco Aurélio</w:t>
      </w:r>
    </w:p>
    <w:p>
      <w:pPr>
        <w:ind w:left="288"/>
      </w:pPr>
      <w:r>
        <w:rPr>
          <w:color w:val="1E1E1E"/>
          <w:sz w:val="18"/>
        </w:rPr>
        <w:t>A representação processual do governador do Estado no processo objetivo se faz por meio de credenciamento de advogado, descabendo colar a pessoalidade considerado aquele que, à época, era o chefe do Poder Executivo. Representação processual. Processo objetivo. Governador do Estado. Atua o legitimado para ação direta de inconstitucionalidade quer mediante advogado especialmente credenciado, quer via procurador do Estado, sendo dispensável, neste último caso, a juntada de instrumento de mandato.</w:t>
      </w:r>
    </w:p>
    <w:p>
      <w:pPr>
        <w:ind w:left="288"/>
      </w:pPr>
      <w:r>
        <w:rPr>
          <w:b/>
          <w:color w:val="003CA0"/>
          <w:sz w:val="16"/>
        </w:rPr>
        <w:t>[ADI 2.728 ED, rel. min. Marco Aurélio, j. 19-10-2006, P, DJ de 5-10-2007.]</w:t>
      </w:r>
    </w:p>
    <w:p>
      <w:pPr>
        <w:ind w:left="288"/>
      </w:pPr>
      <w:r>
        <w:rPr>
          <w:color w:val="8C8C8C"/>
          <w:sz w:val="12"/>
        </w:rPr>
        <w:t>cf-art-103-inc-V</w:t>
      </w:r>
      <w:r>
        <w:rPr>
          <w:color w:val="003CA0"/>
          <w:sz w:val="12"/>
        </w:rPr>
        <w:t xml:space="preserve"> | ADI 3.013</w:t>
      </w:r>
      <w:r>
        <w:rPr>
          <w:color w:val="003CA0"/>
          <w:sz w:val="12"/>
        </w:rPr>
        <w:t xml:space="preserve"> | rel. Ellen Gracie</w:t>
      </w:r>
    </w:p>
    <w:p>
      <w:pPr>
        <w:ind w:left="288"/>
      </w:pPr>
      <w:r>
        <w:rPr>
          <w:color w:val="1E1E1E"/>
          <w:sz w:val="18"/>
        </w:rPr>
        <w:t>Os Estados-membros da Federação não estão no rol dos legitimados a agir como sujeitos processuais em sede de controle concentrado de constitucionalidade, sendo indevida, no modelo de processo objetivo, a intervenção de terceiros subjetivamente interessados no feito.</w:t>
      </w:r>
    </w:p>
    <w:p>
      <w:pPr>
        <w:ind w:left="288"/>
      </w:pPr>
      <w:r>
        <w:rPr>
          <w:b/>
          <w:color w:val="003CA0"/>
          <w:sz w:val="16"/>
        </w:rPr>
        <w:t>[ADI 3.013 ED-AgR, rel. min. Ellen Gracie, j. 31-5-2006, P, DJ de 4-8-2006.]</w:t>
      </w:r>
    </w:p>
    <w:p>
      <w:pPr>
        <w:ind w:left="288"/>
      </w:pPr>
      <w:r>
        <w:rPr>
          <w:color w:val="8C8C8C"/>
          <w:sz w:val="12"/>
        </w:rPr>
        <w:t>cf-art-103-inc-V</w:t>
      </w:r>
      <w:r>
        <w:rPr>
          <w:color w:val="003CA0"/>
          <w:sz w:val="12"/>
        </w:rPr>
        <w:t xml:space="preserve"> | ADI 2.656</w:t>
      </w:r>
      <w:r>
        <w:rPr>
          <w:color w:val="003CA0"/>
          <w:sz w:val="12"/>
        </w:rPr>
        <w:t xml:space="preserve"> | rel. Maurício Corrêa</w:t>
      </w:r>
    </w:p>
    <w:p>
      <w:pPr>
        <w:ind w:left="288"/>
      </w:pPr>
      <w:r>
        <w:rPr>
          <w:color w:val="1E1E1E"/>
          <w:sz w:val="18"/>
        </w:rPr>
        <w:t>Lei editada pelo Governo do Estado de São Paulo. Ação direta de inconstitucionalidade proposta pelo governador do Estado de Goiás. Amianto crisotila. Restrições à sua comercialização imposta pela legislação paulista, com evidentes reflexos na economia de Goiás, Estado onde está localizada a maior reserva natural do minério. Legitimidade ativa do governador de Goiás para iniciar o processo de controle concentrado de constitucionalidade e pertinência temática.</w:t>
      </w:r>
    </w:p>
    <w:p>
      <w:pPr>
        <w:ind w:left="288"/>
      </w:pPr>
      <w:r>
        <w:rPr>
          <w:b/>
          <w:color w:val="003CA0"/>
          <w:sz w:val="16"/>
        </w:rPr>
        <w:t>[ADI 2.656, rel. min. Maurício Corrêa, j. 8-5-2003, P, DJ de 1º-8-2003.]</w:t>
      </w:r>
    </w:p>
    <w:p>
      <w:pPr>
        <w:ind w:left="288"/>
      </w:pPr>
      <w:r>
        <w:rPr>
          <w:color w:val="8C8C8C"/>
          <w:sz w:val="12"/>
        </w:rPr>
        <w:t>cf-art-103-inc-V</w:t>
      </w:r>
      <w:r>
        <w:rPr>
          <w:color w:val="003CA0"/>
          <w:sz w:val="12"/>
        </w:rPr>
        <w:t xml:space="preserve"> | ADI 2.130</w:t>
      </w:r>
      <w:r>
        <w:rPr>
          <w:color w:val="003CA0"/>
          <w:sz w:val="12"/>
        </w:rPr>
        <w:t xml:space="preserve"> | rel. Celso de Mello</w:t>
      </w:r>
    </w:p>
    <w:p>
      <w:pPr>
        <w:ind w:left="288"/>
      </w:pPr>
      <w:r>
        <w:rPr>
          <w:color w:val="1E1E1E"/>
          <w:sz w:val="18"/>
        </w:rPr>
        <w:t>O Estado-membro não possui legitimidade para recorrer em sede de controle normativo abstrato. O Estado-membro não dispõe de legitimidade para interpor recurso em sede de controle normativo abstrato, ainda que a ação direta de inconstitucionalidade tenha sido ajuizada pelo respectivo governador, a quem assiste a prerrogativa legal de recorrer contra as decisões proferidas pelo relator da causa (Lei 9.868/1999, art. 4º, parágrafo único) ou, excepcionalmente, contra aquelas emanadas do próprio Plenário do STF (Lei 9.868/1999, art. 26).</w:t>
      </w:r>
    </w:p>
    <w:p>
      <w:pPr>
        <w:ind w:left="288"/>
      </w:pPr>
      <w:r>
        <w:rPr>
          <w:b/>
          <w:color w:val="003CA0"/>
          <w:sz w:val="16"/>
        </w:rPr>
        <w:t>[ADI 2.130 AgR, rel. min. Celso de Mello, j. 3-10-2001, P, DJ de 14-12-2001.]</w:t>
      </w:r>
    </w:p>
    <w:p>
      <w:pPr>
        <w:ind w:left="288"/>
      </w:pPr>
      <w:r>
        <w:rPr>
          <w:color w:val="8C8C8C"/>
          <w:sz w:val="12"/>
        </w:rPr>
        <w:t>cf-art-103-inc-V</w:t>
      </w:r>
      <w:r>
        <w:rPr>
          <w:color w:val="003CA0"/>
          <w:sz w:val="12"/>
        </w:rPr>
        <w:t xml:space="preserve"> | RE 658.375</w:t>
      </w:r>
      <w:r>
        <w:rPr>
          <w:color w:val="003CA0"/>
          <w:sz w:val="12"/>
        </w:rPr>
        <w:t xml:space="preserve"> | rel. Celso de Mello</w:t>
      </w:r>
    </w:p>
    <w:p>
      <w:pPr>
        <w:ind w:left="288"/>
      </w:pPr>
      <w:r>
        <w:rPr>
          <w:color w:val="1E1E1E"/>
          <w:sz w:val="18"/>
        </w:rPr>
        <w:t>= RE 658.375 AgR, rel. min. Celso de Mello, j. 25-3-2014, 2ª T, DJE de 24-4-2014 Ação direta de inconstitucionalidade. Legitimidade ativa. Impossibilidade de o governador do Estado, que já figura como órgão requerido, passar à condição de litisconsorte ativo. Medida cautelar não requerida pelo autor. Pedido ulteriormente formulado pelo sujeito passivo da relação processual. Impossibilidade.</w:t>
      </w:r>
    </w:p>
    <w:p>
      <w:pPr>
        <w:ind w:left="288"/>
      </w:pPr>
      <w:r>
        <w:rPr>
          <w:b/>
          <w:color w:val="003CA0"/>
          <w:sz w:val="16"/>
        </w:rPr>
        <w:t>[ADI 807 QO, rel. min. Celso de Mello, j. 27-5-1993, P, DJ de 11-6-1993.]</w:t>
      </w:r>
    </w:p>
    <w:p>
      <w:pPr>
        <w:ind w:left="288"/>
      </w:pPr>
      <w:r>
        <w:rPr>
          <w:color w:val="8C8C8C"/>
          <w:sz w:val="12"/>
        </w:rPr>
        <w:t>cf-art-103-inc-VIII</w:t>
      </w:r>
      <w:r>
        <w:rPr>
          <w:color w:val="003CA0"/>
          <w:sz w:val="12"/>
        </w:rPr>
        <w:t xml:space="preserve"> | ADI 2.618</w:t>
      </w:r>
      <w:r>
        <w:rPr>
          <w:color w:val="003CA0"/>
          <w:sz w:val="12"/>
        </w:rPr>
        <w:t xml:space="preserve"> | rel. Gilmar Mendes</w:t>
      </w:r>
    </w:p>
    <w:p>
      <w:pPr>
        <w:ind w:left="288"/>
      </w:pPr>
      <w:r>
        <w:rPr>
          <w:color w:val="1E1E1E"/>
          <w:sz w:val="18"/>
        </w:rPr>
        <w:t>Partido político. Legitimidade ativa. Aferição no momento da sua propositura. Perda superveniente de representação parlamentar. Não desqualificação para permanecer no polo ativo da relação processual. Objetividade e indisponibilidade da ação.</w:t>
      </w:r>
    </w:p>
    <w:p>
      <w:pPr>
        <w:ind w:left="288"/>
      </w:pPr>
      <w:r>
        <w:rPr>
          <w:b/>
          <w:color w:val="003CA0"/>
          <w:sz w:val="16"/>
        </w:rPr>
        <w:t>[ADI 2.618 AgR-AgR, rel. min. Gilmar Mendes, j. 12-8-2004, P, DJ de 31-3-2006.]</w:t>
      </w:r>
    </w:p>
    <w:p>
      <w:pPr>
        <w:ind w:left="288"/>
      </w:pPr>
      <w:r>
        <w:rPr>
          <w:color w:val="8C8C8C"/>
          <w:sz w:val="12"/>
        </w:rPr>
        <w:t>cf-art-103-inc-VIII</w:t>
      </w:r>
      <w:r>
        <w:rPr>
          <w:color w:val="003CA0"/>
          <w:sz w:val="12"/>
        </w:rPr>
        <w:t xml:space="preserve"> | ADI 2.427</w:t>
      </w:r>
      <w:r>
        <w:rPr>
          <w:color w:val="003CA0"/>
          <w:sz w:val="12"/>
        </w:rPr>
        <w:t xml:space="preserve"> | rel. Eros Grau</w:t>
      </w:r>
    </w:p>
    <w:p>
      <w:pPr>
        <w:ind w:left="288"/>
      </w:pPr>
      <w:r>
        <w:rPr>
          <w:color w:val="1E1E1E"/>
          <w:sz w:val="18"/>
        </w:rPr>
        <w:t>= ADI 2.427, rel. min. Eros Grau, j. 30-8-2006, P, DJ de 10-11-2006 Legitimidade de agremiação partidária com representação no Congresso Nacional para deflagrar o processo de controle de constitucionalidade em tese. Inteligência do art. 103, VIII, da Magna Lei. Requisito da pertinência temática antecipadamente satisfeito pelo requerente.</w:t>
      </w:r>
    </w:p>
    <w:p>
      <w:pPr>
        <w:ind w:left="288"/>
      </w:pPr>
      <w:r>
        <w:rPr>
          <w:b/>
          <w:color w:val="003CA0"/>
          <w:sz w:val="16"/>
        </w:rPr>
        <w:t>[ADI 3.059 MC, rel. min. Ayres Britto, j. 15-4-2004, P, DJ de 20-8-2004.]</w:t>
      </w:r>
    </w:p>
    <w:p>
      <w:pPr>
        <w:ind w:left="288"/>
      </w:pPr>
      <w:r>
        <w:rPr>
          <w:color w:val="8C8C8C"/>
          <w:sz w:val="12"/>
        </w:rPr>
        <w:t>cf-art-103-inc-VIII</w:t>
      </w:r>
      <w:r>
        <w:rPr>
          <w:color w:val="003CA0"/>
          <w:sz w:val="12"/>
        </w:rPr>
        <w:t xml:space="preserve"> | ADI 1.528</w:t>
      </w:r>
      <w:r>
        <w:rPr>
          <w:color w:val="003CA0"/>
          <w:sz w:val="12"/>
        </w:rPr>
        <w:t xml:space="preserve"> | rel. Ellen Gracie</w:t>
      </w:r>
    </w:p>
    <w:p>
      <w:pPr>
        <w:ind w:left="288"/>
      </w:pPr>
      <w:r>
        <w:rPr>
          <w:color w:val="1E1E1E"/>
          <w:sz w:val="18"/>
        </w:rPr>
        <w:t>Ilegitimidade ativa ad causam de diretório regional ou executiva regional. Firmou a jurisprudência desta Corte o entendimento de que o partido político, para ajuizar ação direta de inconstitucionalidade perante o STF, deve estar representado por seu diretório nacional, ainda que o ato impugnado tenha sua amplitude normativa limitada ao Estado ou Município do qual se originou.</w:t>
      </w:r>
    </w:p>
    <w:p>
      <w:pPr>
        <w:ind w:left="288"/>
      </w:pPr>
      <w:r>
        <w:rPr>
          <w:b/>
          <w:color w:val="003CA0"/>
          <w:sz w:val="16"/>
        </w:rPr>
        <w:t>[ADI 1.528 QO, rel. min. Ellen Gracie, j. 24-5-2000, P, DJ de 23-8-2002.]</w:t>
      </w:r>
    </w:p>
    <w:p>
      <w:pPr>
        <w:ind w:left="288"/>
      </w:pPr>
      <w:r>
        <w:rPr>
          <w:color w:val="8C8C8C"/>
          <w:sz w:val="12"/>
        </w:rPr>
        <w:t>cf-art-103-inc-VIII</w:t>
      </w:r>
      <w:r>
        <w:rPr>
          <w:color w:val="003CA0"/>
          <w:sz w:val="12"/>
        </w:rPr>
        <w:t xml:space="preserve"> | ADI 1.407</w:t>
      </w:r>
      <w:r>
        <w:rPr>
          <w:color w:val="003CA0"/>
          <w:sz w:val="12"/>
        </w:rPr>
        <w:t xml:space="preserve"> | rel. Celso de Mello</w:t>
      </w:r>
    </w:p>
    <w:p>
      <w:pPr>
        <w:ind w:left="288"/>
      </w:pPr>
      <w:r>
        <w:rPr>
          <w:color w:val="1E1E1E"/>
          <w:sz w:val="18"/>
        </w:rPr>
        <w:t>Partido político. Ação direta. Legitimidade ativa. Inexigibilidade do vínculo de pertinência temática. Os partidos políticos, desde que possuam representação no Congresso Nacional, podem, em sede de controle abstrato, arguir, perante o STF, a inconstitucionalidade de atos normativos federais, estaduais ou distritais, independentemente de seu conteúdo material, eis que não incide sobre as agremiações partidárias a restrição jurisprudencial derivada do vínculo de pertinência temática.</w:t>
      </w:r>
    </w:p>
    <w:p>
      <w:pPr>
        <w:ind w:left="288"/>
      </w:pPr>
      <w:r>
        <w:rPr>
          <w:b/>
          <w:color w:val="003CA0"/>
          <w:sz w:val="16"/>
        </w:rPr>
        <w:t>[ADI 1.407 MC, rel. min. Celso de Mello, j. 7-3-1996, P, DJ de 24-11-2000.]</w:t>
      </w:r>
    </w:p>
    <w:p>
      <w:pPr>
        <w:ind w:left="288"/>
      </w:pPr>
      <w:r>
        <w:rPr>
          <w:color w:val="8C8C8C"/>
          <w:sz w:val="12"/>
        </w:rPr>
        <w:t>cf-art-103-inc-VIII</w:t>
      </w:r>
      <w:r>
        <w:rPr>
          <w:color w:val="003CA0"/>
          <w:sz w:val="12"/>
        </w:rPr>
        <w:t xml:space="preserve"> | ADI 779</w:t>
      </w:r>
      <w:r>
        <w:rPr>
          <w:color w:val="003CA0"/>
          <w:sz w:val="12"/>
        </w:rPr>
        <w:t xml:space="preserve"> | rel. Celso de Mello</w:t>
      </w:r>
    </w:p>
    <w:p>
      <w:pPr>
        <w:ind w:left="288"/>
      </w:pPr>
      <w:r>
        <w:rPr>
          <w:color w:val="1E1E1E"/>
          <w:sz w:val="18"/>
        </w:rPr>
        <w:t>A representação partidária perante o STF, nas ações diretas, constitui prerrogativa jurídico-processual do diretório nacional do partido político, que é – ressalvada deliberação em contrário dos estatutos partidários – o órgão de direção e de ação dessas entidades no plano nacional.</w:t>
      </w:r>
    </w:p>
    <w:p>
      <w:pPr>
        <w:ind w:left="288"/>
      </w:pPr>
      <w:r>
        <w:rPr>
          <w:b/>
          <w:color w:val="003CA0"/>
          <w:sz w:val="16"/>
        </w:rPr>
        <w:t>[ADI 779 AgR, rel. min. Celso de Mello, j. 8-10-1992, P, DJ de 11-3-1994.]</w:t>
      </w:r>
    </w:p>
    <w:p>
      <w:pPr>
        <w:ind w:left="288"/>
      </w:pPr>
      <w:r>
        <w:rPr>
          <w:color w:val="8C8C8C"/>
          <w:sz w:val="12"/>
        </w:rPr>
        <w:t>cf-art-103-inc-IX</w:t>
      </w:r>
      <w:r>
        <w:rPr>
          <w:color w:val="003CA0"/>
          <w:sz w:val="12"/>
        </w:rPr>
        <w:t xml:space="preserve"> | ADI 7.761</w:t>
      </w:r>
      <w:r>
        <w:rPr>
          <w:color w:val="003CA0"/>
          <w:sz w:val="12"/>
        </w:rPr>
        <w:t xml:space="preserve"> | rel. Flávio Dino</w:t>
      </w:r>
    </w:p>
    <w:p>
      <w:pPr>
        <w:ind w:left="288"/>
      </w:pPr>
      <w:r>
        <w:rPr>
          <w:color w:val="1E1E1E"/>
          <w:sz w:val="18"/>
        </w:rPr>
        <w:t>Para a satisfação do requisito da espacialidade, não se mostra suficiente a participação da entidade em convenções nacionais, audiências públicas ou fóruns de debate, porquanto é da natureza desses eventos reunir debatedores — nacionais e estrangeiros — oriundos de regiões diversas e de setores distintos, tais como docentes, pesquisadores, educadores, empreendedores e agentes públicos e privados. A presença desses profissionais nas discussões, entretanto, não estabelece, por si só, qualquer vínculo institucional com o Estado em que o evento é realizado. A simples dispersão geográfica de associ</w:t>
      </w:r>
    </w:p>
    <w:p>
      <w:pPr>
        <w:ind w:left="288"/>
      </w:pPr>
      <w:r>
        <w:rPr>
          <w:b/>
          <w:color w:val="003CA0"/>
          <w:sz w:val="16"/>
        </w:rPr>
        <w:t>[ADPF 1.277 AgR, rel. min. Flávio Dino, j. 16-12-2025, P, DJE de 19-1-2026.]</w:t>
      </w:r>
    </w:p>
    <w:p>
      <w:pPr>
        <w:ind w:left="288"/>
      </w:pPr>
      <w:r>
        <w:rPr>
          <w:color w:val="8C8C8C"/>
          <w:sz w:val="12"/>
        </w:rPr>
        <w:t>cf-art-103-inc-IX</w:t>
      </w:r>
      <w:r>
        <w:rPr>
          <w:color w:val="003CA0"/>
          <w:sz w:val="12"/>
        </w:rPr>
        <w:t xml:space="preserve"> | ADPF 264</w:t>
      </w:r>
      <w:r>
        <w:rPr>
          <w:color w:val="003CA0"/>
          <w:sz w:val="12"/>
        </w:rPr>
        <w:t xml:space="preserve"> | rel. Dias Toffoli</w:t>
      </w:r>
    </w:p>
    <w:p>
      <w:pPr>
        <w:ind w:left="288"/>
      </w:pPr>
      <w:r>
        <w:rPr>
          <w:color w:val="1E1E1E"/>
          <w:sz w:val="18"/>
        </w:rPr>
        <w:t>Os conselhos de fiscalização profissional têm como função precípua o controle e a fiscalização do exercício das profissões regulamentadas, exercendo, portanto, poder de polícia, atividade típica de Estado, razão pela qual detêm personalidade jurídica de direito público, na forma de autarquias. Sendo assim, tais conselhos não se ajustam à noção de entidade de classe, expressão que designa tão somente aquelas entidades vocacionadas à defesa dos interesses dos membros da respectiva categoria ou classe de profissionais.</w:t>
      </w:r>
    </w:p>
    <w:p>
      <w:pPr>
        <w:ind w:left="288"/>
      </w:pPr>
      <w:r>
        <w:rPr>
          <w:b/>
          <w:color w:val="003CA0"/>
          <w:sz w:val="16"/>
        </w:rPr>
        <w:t>[ADPF 264 AgR, rel. min. Dias Toffoli, j. 18-12-2014, P, DJE de 25-2-2015.]</w:t>
      </w:r>
    </w:p>
    <w:p>
      <w:pPr>
        <w:ind w:left="288"/>
      </w:pPr>
      <w:r>
        <w:rPr>
          <w:color w:val="8C8C8C"/>
          <w:sz w:val="12"/>
        </w:rPr>
        <w:t>cf-art-103-inc-IX</w:t>
      </w:r>
      <w:r>
        <w:rPr>
          <w:color w:val="003CA0"/>
          <w:sz w:val="12"/>
        </w:rPr>
        <w:t xml:space="preserve"> | ADI 4.701</w:t>
      </w:r>
      <w:r>
        <w:rPr>
          <w:color w:val="003CA0"/>
          <w:sz w:val="12"/>
        </w:rPr>
        <w:t xml:space="preserve"> | rel. Roberto Barroso</w:t>
      </w:r>
    </w:p>
    <w:p>
      <w:pPr>
        <w:ind w:left="288"/>
      </w:pPr>
      <w:r>
        <w:rPr>
          <w:color w:val="1E1E1E"/>
          <w:sz w:val="18"/>
        </w:rPr>
        <w:t>Ação direta de inconstitucionalidade. Lei estadual que fixa prazos máximos, segundo a faixa etária dos usuários, para a autorização de exames pelas operadoras de plano de saúde. Encontra-se caracterizado o direito de propositura. Os associados da requerente estão unidos pela comunhão de interesses em relação a um objeto específico (prestação do serviço de assistência suplementar à saúde na modalidade autogestão). Esse elemento caracteriza a unidade de propósito na representação associativa, afastando a excessiva generalidade que, segundo esta Corte, impediria o conhecimento da ação.</w:t>
      </w:r>
    </w:p>
    <w:p>
      <w:pPr>
        <w:ind w:left="288"/>
      </w:pPr>
      <w:r>
        <w:rPr>
          <w:b/>
          <w:color w:val="003CA0"/>
          <w:sz w:val="16"/>
        </w:rPr>
        <w:t>[ADI 4.701, rel. min. Roberto Barroso, j. 13-8-2014, P, DJE de 25-8-2014.]</w:t>
      </w:r>
    </w:p>
    <w:p>
      <w:pPr>
        <w:ind w:left="288"/>
      </w:pPr>
      <w:r>
        <w:rPr>
          <w:color w:val="8C8C8C"/>
          <w:sz w:val="12"/>
        </w:rPr>
        <w:t>cf-art-103-inc-IX</w:t>
      </w:r>
      <w:r>
        <w:rPr>
          <w:color w:val="003CA0"/>
          <w:sz w:val="12"/>
        </w:rPr>
        <w:t xml:space="preserve"> | ADI 4.029</w:t>
      </w:r>
      <w:r>
        <w:rPr>
          <w:color w:val="003CA0"/>
          <w:sz w:val="12"/>
        </w:rPr>
        <w:t xml:space="preserve"> | rel. Luiz Fux</w:t>
      </w:r>
    </w:p>
    <w:p>
      <w:pPr>
        <w:ind w:left="288"/>
      </w:pPr>
      <w:r>
        <w:rPr>
          <w:color w:val="1E1E1E"/>
          <w:sz w:val="18"/>
        </w:rPr>
        <w:t>Ação direta de inconstitucionalidade. Lei federal 11.516/2007. Criação do Instituto Chico Mendes de Conservação da Biodiversidade. Legitimidade da Associação Nacional dos Servidores do Ibama. (...) A democracia participativa delineada pela Carta de 1988 se baseia na generalização e profusão das vias de participação dos cidadãos nos provimentos estatais, por isso que é de se conjurar uma exegese demasiadamente restritiva do conceito de "entidade de classe de âmbito nacional" previsto no art. 103, IX, da CRFB. A participação da sociedade civil organizada nos processos de controle abstrato de con</w:t>
      </w:r>
    </w:p>
    <w:p>
      <w:pPr>
        <w:ind w:left="288"/>
      </w:pPr>
      <w:r>
        <w:rPr>
          <w:b/>
          <w:color w:val="003CA0"/>
          <w:sz w:val="16"/>
        </w:rPr>
        <w:t>[ADI 4.029, rel. min. Luiz Fux, j. 8-3-2012, P, DJE de 27-6-2012.]</w:t>
      </w:r>
    </w:p>
    <w:p>
      <w:pPr>
        <w:ind w:left="288"/>
      </w:pPr>
      <w:r>
        <w:rPr>
          <w:color w:val="8C8C8C"/>
          <w:sz w:val="12"/>
        </w:rPr>
        <w:t>cf-art-103-inc-IX</w:t>
      </w:r>
      <w:r>
        <w:rPr>
          <w:color w:val="003CA0"/>
          <w:sz w:val="12"/>
        </w:rPr>
        <w:t xml:space="preserve"> | ADI 4.224</w:t>
      </w:r>
      <w:r>
        <w:rPr>
          <w:color w:val="003CA0"/>
          <w:sz w:val="12"/>
        </w:rPr>
        <w:t xml:space="preserve"> | rel. Dias Toffoli</w:t>
      </w:r>
    </w:p>
    <w:p>
      <w:pPr>
        <w:ind w:left="288"/>
      </w:pPr>
      <w:r>
        <w:rPr>
          <w:color w:val="1E1E1E"/>
          <w:sz w:val="18"/>
        </w:rPr>
        <w:t>União Geral dos Trabalhadores (UGT). (...) Mantida a decisão de reconhecimento da inaptidão da agravante para instaurar controle abstrato de normas, visto não se amoldar à hipótese de legitimação prevista no art. 103, IX, "parte inicial", da CF. Muito embora ocorrido o reconhecimento formal das centrais sindicais com a edição da Lei 11.648/2008, a norma não teve o condão de equipará-las às confederações, de modo a sobrelevá-las a um patamar hierárquico superior na estrutura sindical. Ao contrário, criou-se um modelo paralelo de representação, figurando as centrais sindicais como patrocinadoras</w:t>
      </w:r>
    </w:p>
    <w:p>
      <w:pPr>
        <w:ind w:left="288"/>
      </w:pPr>
      <w:r>
        <w:rPr>
          <w:b/>
          <w:color w:val="003CA0"/>
          <w:sz w:val="16"/>
        </w:rPr>
        <w:t>[ADI 4.224 AgR, rel. min. Dias Toffoli, j. 1º-8-2011, P, DJE de 8-9-2011.]</w:t>
      </w:r>
    </w:p>
    <w:p>
      <w:pPr>
        <w:ind w:left="288"/>
      </w:pPr>
      <w:r>
        <w:rPr>
          <w:color w:val="8C8C8C"/>
          <w:sz w:val="12"/>
        </w:rPr>
        <w:t>cf-art-103-inc-IX</w:t>
      </w:r>
      <w:r>
        <w:rPr>
          <w:color w:val="003CA0"/>
          <w:sz w:val="12"/>
        </w:rPr>
        <w:t xml:space="preserve"> | ADI 4.462</w:t>
      </w:r>
      <w:r>
        <w:rPr>
          <w:color w:val="003CA0"/>
          <w:sz w:val="12"/>
        </w:rPr>
        <w:t xml:space="preserve"> | rel. Cármen Lúcia</w:t>
      </w:r>
    </w:p>
    <w:p>
      <w:pPr>
        <w:ind w:left="288"/>
      </w:pPr>
      <w:r>
        <w:rPr>
          <w:color w:val="1E1E1E"/>
          <w:sz w:val="18"/>
        </w:rPr>
        <w:t>A Associação Nacional dos Magistrados Estaduais (ANAMAGES) não tem legitimidade para propor ação direta de inconstitucionalidade contra norma de interesse de toda a magistratura. É legítima, todavia, para a propositura de ação direta contra norma de interesse da magistratura de determinado Estado-membro da Federação.</w:t>
      </w:r>
    </w:p>
    <w:p>
      <w:pPr>
        <w:ind w:left="288"/>
      </w:pPr>
      <w:r>
        <w:rPr>
          <w:b/>
          <w:color w:val="003CA0"/>
          <w:sz w:val="16"/>
        </w:rPr>
        <w:t>[ADI 4.462 MC, rel. min. Cármen Lúcia, j. 29-6-2011, P, DJE de 16-11-2011.]</w:t>
      </w:r>
    </w:p>
    <w:p>
      <w:pPr>
        <w:ind w:left="288"/>
      </w:pPr>
      <w:r>
        <w:rPr>
          <w:color w:val="8C8C8C"/>
          <w:sz w:val="12"/>
        </w:rPr>
        <w:t>cf-art-103-inc-IX</w:t>
      </w:r>
      <w:r>
        <w:rPr>
          <w:color w:val="003CA0"/>
          <w:sz w:val="12"/>
        </w:rPr>
        <w:t xml:space="preserve"> | ADI 1.804</w:t>
      </w:r>
      <w:r>
        <w:rPr>
          <w:color w:val="003CA0"/>
          <w:sz w:val="12"/>
        </w:rPr>
        <w:t xml:space="preserve"> | rel. Dias Toffoli</w:t>
      </w:r>
    </w:p>
    <w:p>
      <w:pPr>
        <w:ind w:left="288"/>
      </w:pPr>
      <w:r>
        <w:rPr>
          <w:color w:val="1E1E1E"/>
          <w:sz w:val="18"/>
        </w:rPr>
        <w:t>Caracterização da Abimaq como entidade de classe de âmbito nacional. O novo estatuto social prevê que a associação é composta apenas por entidades singulares de natureza empresarial, com classe econômica bem definida, não mais restando caracterizada a heterogeneidade de sua composição, que impedira o conhecimento da ADI 1.804/RS. Prova, nos autos, da composição associativa ampla, estando presente a associação em mais de nove Estados da Federação. Cumprimento da exigência da pertinência temática, ante a existência de correlação entre o objeto do pedido de declaração de inconstitucionalidade e o</w:t>
      </w:r>
    </w:p>
    <w:p>
      <w:pPr>
        <w:ind w:left="288"/>
      </w:pPr>
      <w:r>
        <w:rPr>
          <w:b/>
          <w:color w:val="003CA0"/>
          <w:sz w:val="16"/>
        </w:rPr>
        <w:t>[ADI 3.702, rel. min. Dias Toffoli, j. 1º-6-2011, P, DJE de 30-8-2011.]</w:t>
      </w:r>
    </w:p>
    <w:p>
      <w:pPr>
        <w:ind w:left="288"/>
      </w:pPr>
      <w:r>
        <w:rPr>
          <w:color w:val="8C8C8C"/>
          <w:sz w:val="12"/>
        </w:rPr>
        <w:t>cf-art-103-inc-IX</w:t>
      </w:r>
      <w:r>
        <w:rPr>
          <w:color w:val="003CA0"/>
          <w:sz w:val="12"/>
        </w:rPr>
        <w:t xml:space="preserve"> | ADI 3.413</w:t>
      </w:r>
      <w:r>
        <w:rPr>
          <w:color w:val="003CA0"/>
          <w:sz w:val="12"/>
        </w:rPr>
        <w:t xml:space="preserve"> | rel. Marco Aurélio</w:t>
      </w:r>
    </w:p>
    <w:p>
      <w:pPr>
        <w:ind w:left="288"/>
      </w:pPr>
      <w:r>
        <w:rPr>
          <w:color w:val="1E1E1E"/>
          <w:sz w:val="18"/>
        </w:rPr>
        <w:t>O fato de a associação requerente congregar diversos segmentos existentes no mercado não a descredencia para a propositura da ação direta de inconstitucionalidade – evolução da jurisprudência. (...) Surge a pertinência temática, presente ajuizamento de ação direta de inconstitucionalidade por associação, quando esta congrega setor econômico que é alcançado, em termos de tributo, pela norma atacada.</w:t>
      </w:r>
    </w:p>
    <w:p>
      <w:pPr>
        <w:ind w:left="288"/>
      </w:pPr>
      <w:r>
        <w:rPr>
          <w:b/>
          <w:color w:val="003CA0"/>
          <w:sz w:val="16"/>
        </w:rPr>
        <w:t>[ADI 3.413, rel. min. Marco Aurélio, j. 1º-6-2011, P, DJE de 1º-8-2011.]</w:t>
      </w:r>
    </w:p>
    <w:p>
      <w:pPr>
        <w:ind w:left="288"/>
      </w:pPr>
      <w:r>
        <w:rPr>
          <w:color w:val="8C8C8C"/>
          <w:sz w:val="12"/>
        </w:rPr>
        <w:t>cf-art-103-inc-IX</w:t>
      </w:r>
      <w:r>
        <w:rPr>
          <w:color w:val="003CA0"/>
          <w:sz w:val="12"/>
        </w:rPr>
        <w:t xml:space="preserve"> | ADI 3.617</w:t>
      </w:r>
      <w:r>
        <w:rPr>
          <w:color w:val="003CA0"/>
          <w:sz w:val="12"/>
        </w:rPr>
        <w:t xml:space="preserve"> | rel. Cezar Peluso</w:t>
      </w:r>
    </w:p>
    <w:p>
      <w:pPr>
        <w:ind w:left="288"/>
      </w:pPr>
      <w:r>
        <w:rPr>
          <w:color w:val="1E1E1E"/>
          <w:sz w:val="18"/>
        </w:rPr>
        <w:t>Carece de legitimação para propor ação direta de inconstitucionalidade a entidade de classe que, embora de âmbito estatutário nacional, não tenha representação em, pelo menos, nove Estados da Federação, nem represente toda a categoria profissional, cujos interesses pretenda tutelar.</w:t>
      </w:r>
    </w:p>
    <w:p>
      <w:pPr>
        <w:ind w:left="288"/>
      </w:pPr>
      <w:r>
        <w:rPr>
          <w:b/>
          <w:color w:val="003CA0"/>
          <w:sz w:val="16"/>
        </w:rPr>
        <w:t>[ADI 3.617 AgR, rel. min. Cezar Peluso, j. 25-5-2011, P, DJE de 1º-7-2011.]</w:t>
      </w:r>
    </w:p>
    <w:p>
      <w:pPr>
        <w:ind w:left="288"/>
      </w:pPr>
      <w:r>
        <w:rPr>
          <w:color w:val="8C8C8C"/>
          <w:sz w:val="12"/>
        </w:rPr>
        <w:t>cf-art-103-inc-IX</w:t>
      </w:r>
      <w:r>
        <w:rPr>
          <w:color w:val="003CA0"/>
          <w:sz w:val="12"/>
        </w:rPr>
        <w:t xml:space="preserve"> | ADI 4.230</w:t>
      </w:r>
      <w:r>
        <w:rPr>
          <w:color w:val="003CA0"/>
          <w:sz w:val="12"/>
        </w:rPr>
        <w:t xml:space="preserve"> | rel. Dias Toffoli</w:t>
      </w:r>
    </w:p>
    <w:p>
      <w:pPr>
        <w:ind w:left="288"/>
      </w:pPr>
      <w:r>
        <w:rPr>
          <w:color w:val="1E1E1E"/>
          <w:sz w:val="18"/>
        </w:rPr>
        <w:t>= ADI 4.230 AgR, rel. min. Dias Toffoli, j. 1º-8-2011, P, DJE de 14-9-2011 A Associação dos Delegados de Polícia do Brasil tem legitimidade para a propositura da ação direta, pois constitui entidade de classe de âmbito nacional, congregadora de "todos os delegados de polícia de carreira do País, para defesa de suas prerrogativas, direitos e interesses" (inciso IX do art. 103 da CF).</w:t>
      </w:r>
    </w:p>
    <w:p>
      <w:pPr>
        <w:ind w:left="288"/>
      </w:pPr>
      <w:r>
        <w:rPr>
          <w:b/>
          <w:color w:val="003CA0"/>
          <w:sz w:val="16"/>
        </w:rPr>
        <w:t>[ADI 3.288, rel. min. Ayres Britto, j. 13-10-2010, P, DJE de 24-2-2011.]</w:t>
      </w:r>
    </w:p>
    <w:p>
      <w:pPr>
        <w:ind w:left="288"/>
      </w:pPr>
      <w:r>
        <w:rPr>
          <w:color w:val="8C8C8C"/>
          <w:sz w:val="12"/>
        </w:rPr>
        <w:t>cf-art-103-inc-IX</w:t>
      </w:r>
      <w:r>
        <w:rPr>
          <w:color w:val="003CA0"/>
          <w:sz w:val="12"/>
        </w:rPr>
        <w:t xml:space="preserve"> | ADI 3.469</w:t>
      </w:r>
      <w:r>
        <w:rPr>
          <w:color w:val="003CA0"/>
          <w:sz w:val="12"/>
        </w:rPr>
        <w:t xml:space="preserve"> | rel. Gilmar Mendes</w:t>
      </w:r>
    </w:p>
    <w:p>
      <w:pPr>
        <w:ind w:left="288"/>
      </w:pPr>
      <w:r>
        <w:rPr>
          <w:color w:val="1E1E1E"/>
          <w:sz w:val="18"/>
        </w:rPr>
        <w:t>=  ADI 3.469, rel. min. Gilmar Mendes, j. 16-9-2010, P, DJE de 28-2-2011 (...) o âmbito temático da presente arguição de descumprimento de preceito fundamental, que impugna – além da "interpretação judicial dada pelo TSE ao texto do § 9º do art. 14 da CF, com a redação dada pela EC de revisão 4/1994" (...) – também a LC 64/1990, especificamente no ponto em que esta exige, para efeito de reconhecimento de inelegibilidade, trânsito em julgado para determinadas decisões (art. 1º, I, d, e e h, e art. 15), ou, então, que acolhe ressalva alegadamente descaracterizadora da situação de inelegibilidade</w:t>
      </w:r>
    </w:p>
    <w:p>
      <w:pPr>
        <w:ind w:left="288"/>
      </w:pPr>
      <w:r>
        <w:rPr>
          <w:b/>
          <w:color w:val="003CA0"/>
          <w:sz w:val="16"/>
        </w:rPr>
        <w:t>[ADPF 144, voto do rel. min. Celso de Mello, j. 6-8-2008, P, DJE de 26-2-2010.]</w:t>
      </w:r>
    </w:p>
    <w:p>
      <w:pPr>
        <w:ind w:left="288"/>
      </w:pPr>
      <w:r>
        <w:rPr>
          <w:color w:val="8C8C8C"/>
          <w:sz w:val="12"/>
        </w:rPr>
        <w:t>cf-art-103-inc-IX</w:t>
      </w:r>
      <w:r>
        <w:rPr>
          <w:color w:val="003CA0"/>
          <w:sz w:val="12"/>
        </w:rPr>
        <w:t xml:space="preserve"> | ADI 1.336</w:t>
      </w:r>
      <w:r>
        <w:rPr>
          <w:color w:val="003CA0"/>
          <w:sz w:val="12"/>
        </w:rPr>
        <w:t xml:space="preserve"> | rel. Cármen Lúcia</w:t>
      </w:r>
    </w:p>
    <w:p>
      <w:pPr>
        <w:ind w:left="288"/>
      </w:pPr>
      <w:r>
        <w:rPr>
          <w:color w:val="1E1E1E"/>
          <w:sz w:val="18"/>
        </w:rPr>
        <w:t>A associação embargante apresenta, após o julgamento da ação direta de inconstitucionalidade que dela não conheceu em face de sua ilegitimidade ativa, seu novo estatuto social para, diante da nova composição de seu quadro associativo, superar a ilegitimidade originária. Impossibilidade de se apreciar a alegada legitimidade em razão de sua nova configuração em momento posterior ao julgamento da presente ação direta de inconstitucionalidade.</w:t>
      </w:r>
    </w:p>
    <w:p>
      <w:pPr>
        <w:ind w:left="288"/>
      </w:pPr>
      <w:r>
        <w:rPr>
          <w:b/>
          <w:color w:val="003CA0"/>
          <w:sz w:val="16"/>
        </w:rPr>
        <w:t>[ADI 1.336 ED-ED, rel. min. Cármen Lúcia, j. 9-8-2006, P, DJ de 18-5-2007.]</w:t>
      </w:r>
    </w:p>
    <w:p>
      <w:pPr>
        <w:ind w:left="288"/>
      </w:pPr>
      <w:r>
        <w:rPr>
          <w:color w:val="8C8C8C"/>
          <w:sz w:val="12"/>
        </w:rPr>
        <w:t>cf-art-103-inc-IX</w:t>
      </w:r>
      <w:r>
        <w:rPr>
          <w:color w:val="003CA0"/>
          <w:sz w:val="12"/>
        </w:rPr>
        <w:t xml:space="preserve"> | ADI 2.903</w:t>
      </w:r>
      <w:r>
        <w:rPr>
          <w:color w:val="003CA0"/>
          <w:sz w:val="12"/>
        </w:rPr>
        <w:t xml:space="preserve"> | rel. Celso de Mello</w:t>
      </w:r>
    </w:p>
    <w:p>
      <w:pPr>
        <w:ind w:left="288"/>
      </w:pPr>
      <w:r>
        <w:rPr>
          <w:color w:val="1E1E1E"/>
          <w:sz w:val="18"/>
        </w:rPr>
        <w:t>A Associação Nacional dos Defensores Públicos (ANADEP) dispõe de legitimidade ativa ad causam para fazer instaurar processo de controle normativo abstrato em face de atos estatais, como a legislação pertinente à Defensoria Pública, cujo conteúdo guarde relação de pertinência temática com as finalidades institucionais dessa entidade de classe de âmbito nacional.</w:t>
      </w:r>
    </w:p>
    <w:p>
      <w:pPr>
        <w:ind w:left="288"/>
      </w:pPr>
      <w:r>
        <w:rPr>
          <w:b/>
          <w:color w:val="003CA0"/>
          <w:sz w:val="16"/>
        </w:rPr>
        <w:t>[ADI 2.903, rel. min. Celso de Mello, j. 1º-12-2005, P, DJE de 19-9-2008.]</w:t>
      </w:r>
    </w:p>
    <w:p>
      <w:pPr>
        <w:ind w:left="288"/>
      </w:pPr>
      <w:r>
        <w:rPr>
          <w:color w:val="8C8C8C"/>
          <w:sz w:val="12"/>
        </w:rPr>
        <w:t>cf-art-103-inc-IX</w:t>
      </w:r>
      <w:r>
        <w:rPr>
          <w:color w:val="003CA0"/>
          <w:sz w:val="12"/>
        </w:rPr>
        <w:t xml:space="preserve"> | ADI 920</w:t>
      </w:r>
      <w:r>
        <w:rPr>
          <w:color w:val="003CA0"/>
          <w:sz w:val="12"/>
        </w:rPr>
        <w:t xml:space="preserve"> | rel. Francisco Rezek</w:t>
      </w:r>
    </w:p>
    <w:p>
      <w:pPr>
        <w:ind w:left="288"/>
      </w:pPr>
      <w:r>
        <w:rPr>
          <w:color w:val="1E1E1E"/>
          <w:sz w:val="18"/>
        </w:rPr>
        <w:t>A agravante busca demonstrar sua legitimidade ativa mesclando indevidamente duas das hipóteses de legitimação previstas no art. 103 da CF. Porém, sua inequívoca natureza sindical a exclui, peremptoriamente, das demais categorias de associação de âmbito nacional. Precedentes: ADI 920 MC, rel. min. Francisco Rezek, DJ de 11-4-1997, ADI 1.149 AgR, rel. min. Ilmar Galvão, DJ de 6-10-1995, ADI 275, rel. min. Moreira Alves, DJ de 22-2-1991 e ADI 378, rel. min. Sydney Sanches, DJ de 19-2-1993. Não se tratando de confederação sindical organizada na forma da lei, mas de entidade sindical de segundo gra</w:t>
      </w:r>
    </w:p>
    <w:p>
      <w:pPr>
        <w:ind w:left="288"/>
      </w:pPr>
      <w:r>
        <w:rPr>
          <w:b/>
          <w:color w:val="003CA0"/>
          <w:sz w:val="16"/>
        </w:rPr>
        <w:t>[ADI 3.506 AgR, rel. min. Ellen Gracie, j. 8-9-2005, P, DJ de 30-9-2005.]</w:t>
      </w:r>
    </w:p>
    <w:p>
      <w:pPr>
        <w:ind w:left="288"/>
      </w:pPr>
      <w:r>
        <w:rPr>
          <w:color w:val="8C8C8C"/>
          <w:sz w:val="12"/>
        </w:rPr>
        <w:t>cf-art-103-inc-IX</w:t>
      </w:r>
      <w:r>
        <w:rPr>
          <w:color w:val="003CA0"/>
          <w:sz w:val="12"/>
        </w:rPr>
        <w:t xml:space="preserve"> | ADI 4.361</w:t>
      </w:r>
      <w:r>
        <w:rPr>
          <w:color w:val="003CA0"/>
          <w:sz w:val="12"/>
        </w:rPr>
        <w:t xml:space="preserve"> | rel. Luiz Fux</w:t>
      </w:r>
    </w:p>
    <w:p>
      <w:pPr>
        <w:ind w:left="288"/>
      </w:pPr>
      <w:r>
        <w:rPr>
          <w:color w:val="1E1E1E"/>
          <w:sz w:val="18"/>
        </w:rPr>
        <w:t>= ADI 4.361 AgR, rel. min. Luiz Fux, j. 1º-12-2011, P, DJE de 1º-2-2012 Ação direta de inconstitucionalidade. Ausência de legitimidade ativa de central sindical (CUT).</w:t>
      </w:r>
    </w:p>
    <w:p>
      <w:pPr>
        <w:ind w:left="288"/>
      </w:pPr>
      <w:r>
        <w:rPr>
          <w:b/>
          <w:color w:val="003CA0"/>
          <w:sz w:val="16"/>
        </w:rPr>
        <w:t>[ADI 1.442, rel. min. Celso de Mello, j. 3-11-2004, P, DJ de 29-4-2005.]</w:t>
      </w:r>
    </w:p>
    <w:p>
      <w:pPr>
        <w:ind w:left="288"/>
      </w:pPr>
      <w:r>
        <w:rPr>
          <w:color w:val="8C8C8C"/>
          <w:sz w:val="12"/>
        </w:rPr>
        <w:t>cf-art-103-inc-IX</w:t>
      </w:r>
      <w:r>
        <w:rPr>
          <w:color w:val="003CA0"/>
          <w:sz w:val="12"/>
        </w:rPr>
        <w:t xml:space="preserve"> | ADI 3.153</w:t>
      </w:r>
      <w:r>
        <w:rPr>
          <w:color w:val="003CA0"/>
          <w:sz w:val="12"/>
        </w:rPr>
        <w:t xml:space="preserve"> | rel. Sepúlveda Pertence</w:t>
      </w:r>
    </w:p>
    <w:p>
      <w:pPr>
        <w:ind w:left="288"/>
      </w:pPr>
      <w:r>
        <w:rPr>
          <w:color w:val="1E1E1E"/>
          <w:sz w:val="18"/>
        </w:rPr>
        <w:t xml:space="preserve">Ação direta de inconstitucionalidade: legitimação ativa: "entidade de classe de âmbito nacional": compreensão da "associação de associações" de classe: revisão da jurisprudência do Supremo Tribunal. O conceito de entidade de classe é dado pelo objetivo institucional classista, pouco importando que a eles diretamente se filiem os membros da respectiva categoria social ou agremiações que os congreguem, com a mesma finalidade, em âmbito territorial mais restrito. É entidade de classe de âmbito nacional – como tal legitimada à propositura da ação direta de inconstitucionalidade (CF, art. 103, IX) </w:t>
      </w:r>
    </w:p>
    <w:p>
      <w:pPr>
        <w:ind w:left="288"/>
      </w:pPr>
      <w:r>
        <w:rPr>
          <w:b/>
          <w:color w:val="003CA0"/>
          <w:sz w:val="16"/>
        </w:rPr>
        <w:t>[ADI 3.153 AgR, rel. min. Sepúlveda Pertence, j. 12-8-2004, P, DJ de 9-9-2005.]</w:t>
      </w:r>
    </w:p>
    <w:p>
      <w:pPr>
        <w:ind w:left="288"/>
      </w:pPr>
      <w:r>
        <w:rPr>
          <w:color w:val="8C8C8C"/>
          <w:sz w:val="12"/>
        </w:rPr>
        <w:t>cf-art-103-inc-IX</w:t>
      </w:r>
      <w:r>
        <w:rPr>
          <w:color w:val="003CA0"/>
          <w:sz w:val="12"/>
        </w:rPr>
        <w:t xml:space="preserve"> | ADI 2.797</w:t>
      </w:r>
      <w:r>
        <w:rPr>
          <w:color w:val="003CA0"/>
          <w:sz w:val="12"/>
        </w:rPr>
        <w:t xml:space="preserve"> | rel. Sepúlveda Pertence</w:t>
      </w:r>
    </w:p>
    <w:p>
      <w:pPr>
        <w:ind w:left="288"/>
      </w:pPr>
      <w:r>
        <w:rPr>
          <w:color w:val="1E1E1E"/>
          <w:sz w:val="18"/>
        </w:rPr>
        <w:t>= ADI 2.797 e ADI 2.860, rel. min. Sepúlveda Pertence, j. 15-9-2005, P, DJ de 19-12-2006 Transformação de cargos de assistente jurídico da AGU em advogado da união. (...) Preliminar de ilegitimidade ativa ad causam afastada por tratar-se a associação requerente de uma entidade representativa de uma categoria cujas atribuições receberam um tratamento constitucional específico, elevadas à qualidade de essenciais à Justiça.</w:t>
      </w:r>
    </w:p>
    <w:p>
      <w:pPr>
        <w:ind w:left="288"/>
      </w:pPr>
      <w:r>
        <w:rPr>
          <w:b/>
          <w:color w:val="003CA0"/>
          <w:sz w:val="16"/>
        </w:rPr>
        <w:t>[ADI 2.713, rel. min. Ellen Gracie, j. 18-12-2002, P, DJ de 7-3-2003.]</w:t>
      </w:r>
    </w:p>
    <w:p>
      <w:pPr>
        <w:ind w:left="288"/>
      </w:pPr>
      <w:r>
        <w:rPr>
          <w:color w:val="8C8C8C"/>
          <w:sz w:val="12"/>
        </w:rPr>
        <w:t>cf-art-103-inc-IX</w:t>
      </w:r>
      <w:r>
        <w:rPr>
          <w:color w:val="003CA0"/>
          <w:sz w:val="12"/>
        </w:rPr>
        <w:t xml:space="preserve"> | ADI 1.875</w:t>
      </w:r>
      <w:r>
        <w:rPr>
          <w:color w:val="003CA0"/>
          <w:sz w:val="12"/>
        </w:rPr>
        <w:t xml:space="preserve"> | rel. Celso de Mello</w:t>
      </w:r>
    </w:p>
    <w:p>
      <w:pPr>
        <w:ind w:left="288"/>
      </w:pPr>
      <w:r>
        <w:rPr>
          <w:color w:val="1E1E1E"/>
          <w:sz w:val="18"/>
        </w:rPr>
        <w:t>Ação direta de inconstitucionalidade. Legitimidade ativa ad causam. CF/1988, art. 103. Rol taxativo. Entidade de classe. Representação institucional de mera fração de determinada categoria funcional. Descaracterização da autora como entidade de classe. Ação direta não conhecida. (...) A Constituição da República, ao disciplinar o tema concernente a quem pode ativar, mediante ação direta, a jurisdição constitucional concentrada do STF, ampliou, significativamente, o rol – sempre taxativo – dos que dispõem da titularidade de agir em sede de controle normativo abstrato. Não se qualificam como ent</w:t>
      </w:r>
    </w:p>
    <w:p>
      <w:pPr>
        <w:ind w:left="288"/>
      </w:pPr>
      <w:r>
        <w:rPr>
          <w:b/>
          <w:color w:val="003CA0"/>
          <w:sz w:val="16"/>
        </w:rPr>
        <w:t>[ADI 1.875 AgR, rel. min. Celso de Mello, j. 20-6-2001, P, DJE de 12-12-2008.]</w:t>
      </w:r>
    </w:p>
    <w:p>
      <w:pPr>
        <w:ind w:left="288"/>
      </w:pPr>
      <w:r>
        <w:rPr>
          <w:color w:val="8C8C8C"/>
          <w:sz w:val="12"/>
        </w:rPr>
        <w:t>cf-art-103-inc-IX</w:t>
      </w:r>
      <w:r>
        <w:rPr>
          <w:color w:val="003CA0"/>
          <w:sz w:val="12"/>
        </w:rPr>
        <w:t xml:space="preserve"> | ADI 4.473</w:t>
      </w:r>
      <w:r>
        <w:rPr>
          <w:color w:val="003CA0"/>
          <w:sz w:val="12"/>
        </w:rPr>
        <w:t xml:space="preserve"> | rel. Dias Toffoli</w:t>
      </w:r>
    </w:p>
    <w:p>
      <w:pPr>
        <w:ind w:left="288"/>
      </w:pPr>
      <w:r>
        <w:rPr>
          <w:color w:val="1E1E1E"/>
          <w:sz w:val="18"/>
        </w:rPr>
        <w:t>= ADI 4.473 AgR, rel. min. Dias Toffoli, j. 20-6-2012, P, DJE de 1º-8-2012 A associação de classe, de âmbito nacional, há de comprovar a pertinência temática, ou seja, o interesse considerado o respectivo estatuto e a norma que se pretenda fulminada.</w:t>
      </w:r>
    </w:p>
    <w:p>
      <w:pPr>
        <w:ind w:left="288"/>
      </w:pPr>
      <w:r>
        <w:rPr>
          <w:b/>
          <w:color w:val="003CA0"/>
          <w:sz w:val="16"/>
        </w:rPr>
        <w:t>[ADI 1.873, rel. min. Marco Aurélio, j. 2-9-1998, P, DJ de 19-9-2003.]</w:t>
      </w:r>
    </w:p>
    <w:p>
      <w:pPr>
        <w:ind w:left="288"/>
      </w:pPr>
      <w:r>
        <w:rPr>
          <w:color w:val="8C8C8C"/>
          <w:sz w:val="12"/>
        </w:rPr>
        <w:t>cf-art-103-inc-IX</w:t>
      </w:r>
      <w:r>
        <w:rPr>
          <w:color w:val="003CA0"/>
          <w:sz w:val="12"/>
        </w:rPr>
        <w:t xml:space="preserve"> | ADI 1.565</w:t>
      </w:r>
      <w:r>
        <w:rPr>
          <w:color w:val="003CA0"/>
          <w:sz w:val="12"/>
        </w:rPr>
        <w:t xml:space="preserve"> | rel. Néri da Silveira</w:t>
      </w:r>
    </w:p>
    <w:p>
      <w:pPr>
        <w:ind w:left="288"/>
      </w:pPr>
      <w:r>
        <w:rPr>
          <w:color w:val="1E1E1E"/>
          <w:sz w:val="18"/>
        </w:rPr>
        <w:t>Ausência de comprovação do registro do estatuto como entidade sindical superior no Ministério do Trabalho, em data posterior à alteração dos estatutos, conforme determinado por despacho. Ação direta de inconstitucionalidade não conhecida por ausência de legitimidade ativa ad causam da entidade autora.</w:t>
      </w:r>
    </w:p>
    <w:p>
      <w:pPr>
        <w:ind w:left="288"/>
      </w:pPr>
      <w:r>
        <w:rPr>
          <w:b/>
          <w:color w:val="003CA0"/>
          <w:sz w:val="16"/>
        </w:rPr>
        <w:t>[ADI 1.565, rel. min. Néri da Silveira, j. 23-10-1997, P, DJ de 17-12-1999.]</w:t>
      </w:r>
    </w:p>
    <w:p>
      <w:pPr>
        <w:ind w:left="288"/>
      </w:pPr>
      <w:r>
        <w:rPr>
          <w:color w:val="8C8C8C"/>
          <w:sz w:val="12"/>
        </w:rPr>
        <w:t>cf-art-103-inc-IX</w:t>
      </w:r>
      <w:r>
        <w:rPr>
          <w:color w:val="003CA0"/>
          <w:sz w:val="12"/>
        </w:rPr>
        <w:t xml:space="preserve"> | ADI 5.034</w:t>
      </w:r>
      <w:r>
        <w:rPr>
          <w:color w:val="003CA0"/>
          <w:sz w:val="12"/>
        </w:rPr>
        <w:t xml:space="preserve"> | rel. Celso de Mello</w:t>
      </w:r>
    </w:p>
    <w:p>
      <w:pPr>
        <w:ind w:left="288"/>
      </w:pPr>
      <w:r>
        <w:rPr>
          <w:color w:val="1E1E1E"/>
          <w:sz w:val="18"/>
        </w:rPr>
        <w:t>= ADI 5.034 AgR, rel. min. Celso de Mello, j. 1º-8-2014, P, DJE de 3-9-2014 Cumpre reconhecer, desde logo, que a presente ação direta foi ajuizada pela Confederação Nacional do Transporte e pela Confederação Nacional da Indústria, que constituem entidades sindicais de grau superior, com regular existência jurídica desde 1954 (CNT) e 1938 (CNI), respectivamente, satisfazendo, em consequência, a regra inscrita no art. 103, IX, da Carta Política, que atribui legitimidade ativa às confederações sindicais para a instauração do controle abstrato de constitucionalidade.</w:t>
      </w:r>
    </w:p>
    <w:p>
      <w:pPr>
        <w:ind w:left="288"/>
      </w:pPr>
      <w:r>
        <w:rPr>
          <w:b/>
          <w:color w:val="003CA0"/>
          <w:sz w:val="16"/>
        </w:rPr>
        <w:t>[ADI 1.480 MC, rel. min. Celso de Mello, j. 4-9-1997, P, DJ de 18-5-2001.]</w:t>
      </w:r>
    </w:p>
    <w:p>
      <w:pPr>
        <w:ind w:left="288"/>
      </w:pPr>
      <w:r>
        <w:rPr>
          <w:color w:val="8C8C8C"/>
          <w:sz w:val="12"/>
        </w:rPr>
        <w:t>cf-art-103-inc-IX</w:t>
      </w:r>
      <w:r>
        <w:rPr>
          <w:color w:val="003CA0"/>
          <w:sz w:val="12"/>
        </w:rPr>
        <w:t xml:space="preserve"> | ADI 1.114</w:t>
      </w:r>
      <w:r>
        <w:rPr>
          <w:color w:val="003CA0"/>
          <w:sz w:val="12"/>
        </w:rPr>
        <w:t xml:space="preserve"> | rel. Ilmar Galvão) proposta pela mesma Confederação Nacional dos Trabalhadores Metalúrgicos (CNTM)</w:t>
      </w:r>
    </w:p>
    <w:p>
      <w:pPr>
        <w:ind w:left="288"/>
      </w:pPr>
      <w:r>
        <w:rPr>
          <w:color w:val="1E1E1E"/>
          <w:sz w:val="18"/>
        </w:rPr>
        <w:t>Recentemente, em 31-8-1994, o Plenário desta Corte, ao julgar pedido de liminar, na ADI 1.114 (rel. min. Ilmar Galvão) proposta pela mesma Confederação Nacional dos Trabalhadores Metalúrgicos (CNTM), em que essa arguia a inconstitucionalidade do art. 21 da Lei 8.906/1994 ("art. 21. Nas causas em que for parte o empregador, ou pessoa por este representada, os honorários de sucumbência são devidos aos advogados empregados"), não conheceu da ação, por entender que não ocorria o requisito da pertinência objetiva, uma vez que a circunstância de a referida confederação contar eventualmente com advog</w:t>
      </w:r>
    </w:p>
    <w:p>
      <w:pPr>
        <w:ind w:left="288"/>
      </w:pPr>
      <w:r>
        <w:rPr>
          <w:b/>
          <w:color w:val="003CA0"/>
          <w:sz w:val="16"/>
        </w:rPr>
        <w:t>[ADI 1.123 MC, rel. min. Moreira Alves, j. 1º-2-1995, P, DJ de 17-3-1995.]</w:t>
      </w:r>
    </w:p>
    <w:p>
      <w:pPr>
        <w:ind w:left="288"/>
      </w:pPr>
      <w:r>
        <w:rPr>
          <w:color w:val="8C8C8C"/>
          <w:sz w:val="12"/>
        </w:rPr>
        <w:t>cf-art-103-inc-IX</w:t>
      </w:r>
      <w:r>
        <w:rPr>
          <w:color w:val="003CA0"/>
          <w:sz w:val="12"/>
        </w:rPr>
        <w:t xml:space="preserve"> | ADI 1.194</w:t>
      </w:r>
      <w:r>
        <w:rPr>
          <w:color w:val="003CA0"/>
          <w:sz w:val="12"/>
        </w:rPr>
        <w:t xml:space="preserve"> | rel. Celso de Mello</w:t>
      </w:r>
    </w:p>
    <w:p>
      <w:pPr>
        <w:ind w:left="288"/>
      </w:pPr>
      <w:r>
        <w:rPr>
          <w:color w:val="1E1E1E"/>
          <w:sz w:val="18"/>
        </w:rPr>
        <w:t>= ADI 1.194, red. do ac. min. Cármen Lúcia, j. 20-5-2009, P, DJE de 11-9-2009 Ação direta de inconstitucionalidade. Confederação dos Servidores Públicos do Brasil (CSPB). Ausência de legitimidade ativa ad causam por falta de pertinência temática. Insuficiência, para tal efeito, da mera existência de interesse de caráter econômico-financeiro. Hipótese de incognoscibilidade. Ação direta não conhecida.</w:t>
      </w:r>
    </w:p>
    <w:p>
      <w:pPr>
        <w:ind w:left="288"/>
      </w:pPr>
      <w:r>
        <w:rPr>
          <w:b/>
          <w:color w:val="003CA0"/>
          <w:sz w:val="16"/>
        </w:rPr>
        <w:t>[ADI 1.157 MC, rel. min. Celso de Mello, j. 1º-12-1994, P, DJ de 17-11-2006.]</w:t>
      </w:r>
    </w:p>
    <w:p>
      <w:pPr>
        <w:ind w:left="288"/>
      </w:pPr>
      <w:r>
        <w:rPr>
          <w:color w:val="8C8C8C"/>
          <w:sz w:val="12"/>
        </w:rPr>
        <w:t>cf-art-103-inc-IX</w:t>
      </w:r>
      <w:r>
        <w:rPr>
          <w:color w:val="003CA0"/>
          <w:sz w:val="12"/>
        </w:rPr>
        <w:t xml:space="preserve"> | ADI 433</w:t>
      </w:r>
      <w:r>
        <w:rPr>
          <w:color w:val="003CA0"/>
          <w:sz w:val="12"/>
        </w:rPr>
        <w:t xml:space="preserve"> | rel. Néri da Silveira</w:t>
      </w:r>
    </w:p>
    <w:p>
      <w:pPr>
        <w:ind w:left="288"/>
      </w:pPr>
      <w:r>
        <w:rPr>
          <w:color w:val="1E1E1E"/>
          <w:sz w:val="18"/>
        </w:rPr>
        <w:t>Preliminarmente, não tenho como legitimadas à ação as federações sindicais autoras (Federação Nacional dos Estivadores, Federação Nacional do Conferentes e Consertadores de Carga e Descarga Vigias Portuários – Trabalhadores de Bloco e Arrumadores, e Federação dos Portuários). Cuida-se de entidades sindicais que não atendem ao requisito do inciso IX do art. 103 da Constituição, porque seu nível não é de confederação sindical. São entidades sindicais de segundo grau. Nesse sentido, as decisões do Plenário na ADI 433/DF, ADI 853-6/DF e ADI 868-4/DF.</w:t>
      </w:r>
    </w:p>
    <w:p>
      <w:pPr>
        <w:ind w:left="288"/>
      </w:pPr>
      <w:r>
        <w:rPr>
          <w:b/>
          <w:color w:val="003CA0"/>
          <w:sz w:val="16"/>
        </w:rPr>
        <w:t>[ADI 929 MC, voto do rel. min. Néri da Silveira, j. 13-10-1993, P, DJ de 20-6-1997.]</w:t>
      </w:r>
    </w:p>
    <w:p>
      <w:pPr>
        <w:ind w:left="288"/>
      </w:pPr>
      <w:r>
        <w:rPr>
          <w:color w:val="8C8C8C"/>
          <w:sz w:val="12"/>
        </w:rPr>
        <w:t>cf-art-103-inc-IX</w:t>
      </w:r>
      <w:r>
        <w:rPr>
          <w:color w:val="003CA0"/>
          <w:sz w:val="12"/>
        </w:rPr>
        <w:t xml:space="preserve"> | ADI 4.224</w:t>
      </w:r>
      <w:r>
        <w:rPr>
          <w:color w:val="003CA0"/>
          <w:sz w:val="12"/>
        </w:rPr>
        <w:t xml:space="preserve"> | rel. Dias Toffoli</w:t>
      </w:r>
    </w:p>
    <w:p>
      <w:pPr>
        <w:ind w:left="288"/>
      </w:pPr>
      <w:r>
        <w:rPr>
          <w:color w:val="1E1E1E"/>
          <w:sz w:val="18"/>
        </w:rPr>
        <w:t>= ADI 4.224 AgR, rel. min. Dias Toffoli, j. 1º-8-2011, P, DJE de 8-9-2011</w:t>
      </w:r>
    </w:p>
    <w:p>
      <w:pPr>
        <w:ind w:left="288"/>
      </w:pPr>
      <w:r>
        <w:rPr>
          <w:color w:val="8C8C8C"/>
          <w:sz w:val="12"/>
        </w:rPr>
        <w:t>cf-art-103-par-1</w:t>
      </w:r>
      <w:r>
        <w:rPr>
          <w:color w:val="003CA0"/>
          <w:sz w:val="12"/>
        </w:rPr>
        <w:t xml:space="preserve"> | ADI 55</w:t>
      </w:r>
      <w:r>
        <w:rPr>
          <w:color w:val="003CA0"/>
          <w:sz w:val="12"/>
        </w:rPr>
        <w:t xml:space="preserve"> | rel. Octavio Gallotti</w:t>
      </w:r>
    </w:p>
    <w:p>
      <w:pPr>
        <w:ind w:left="288"/>
      </w:pPr>
      <w:r>
        <w:rPr>
          <w:color w:val="1E1E1E"/>
          <w:sz w:val="18"/>
        </w:rPr>
        <w:t>(...) o Tribunal decidiu, por unanimidade, que nos julgamentos das ações diretas de inconstitucionalidade não está impedido o ministro que na condição de ministro de Estado, haja referendado a lei ou o ato normativo objeto da ação. Também por unanimidade o Tribunal decidiu que está impedido nas ações diretas de inconstitucionalidade o ministro que, na condição de PGR, haja recusado representação para ajuizar ação direta de inconstitucionalidade.</w:t>
      </w:r>
    </w:p>
    <w:p>
      <w:pPr>
        <w:ind w:left="288"/>
      </w:pPr>
      <w:r>
        <w:rPr>
          <w:b/>
          <w:color w:val="003CA0"/>
          <w:sz w:val="16"/>
        </w:rPr>
        <w:t>[ADI 55 MC-QO, rel. min. Octavio Gallotti, j. 31-5-1989, P, DJ de 16-3-1990.]</w:t>
      </w:r>
    </w:p>
    <w:p>
      <w:pPr>
        <w:ind w:left="144"/>
      </w:pPr>
      <w:r>
        <w:rPr>
          <w:b/>
          <w:color w:val="B45A00"/>
          <w:sz w:val="16"/>
        </w:rPr>
        <w:t>JULGADOS CORRELATOS</w:t>
      </w:r>
    </w:p>
    <w:p>
      <w:pPr>
        <w:ind w:left="288"/>
      </w:pPr>
      <w:r>
        <w:rPr>
          <w:color w:val="8C8C8C"/>
          <w:sz w:val="12"/>
        </w:rPr>
        <w:t>cf-art-103-par-1</w:t>
      </w:r>
      <w:r>
        <w:rPr>
          <w:color w:val="003CA0"/>
          <w:sz w:val="12"/>
        </w:rPr>
        <w:t xml:space="preserve"> | RCL 4.453</w:t>
      </w:r>
      <w:r>
        <w:rPr>
          <w:color w:val="003CA0"/>
          <w:sz w:val="12"/>
        </w:rPr>
        <w:t xml:space="preserve"> | rel. Ellen Gracie</w:t>
      </w:r>
    </w:p>
    <w:p>
      <w:pPr>
        <w:ind w:left="288"/>
      </w:pPr>
      <w:r>
        <w:rPr>
          <w:color w:val="1E1E1E"/>
          <w:sz w:val="18"/>
        </w:rPr>
        <w:t>Ausência de legitimidade do MPT para atuar perante a Suprema Corte. Atribuição privativa do PGR. (...) Incumbe ao PGR exercer as funções do Ministério Público junto ao STF, nos termos do art. 46 da LC 75/1993. Existência de precedentes do Tribunal em casos análogos. O exercício das atribuições do MPT se circunscreve aos órgãos da Justiça do Trabalho, consoante se infere dos arts. 83, 90, 107 e 110 da LC 75/1993.</w:t>
      </w:r>
    </w:p>
    <w:p>
      <w:pPr>
        <w:ind w:left="288"/>
      </w:pPr>
      <w:r>
        <w:rPr>
          <w:b/>
          <w:color w:val="003CA0"/>
          <w:sz w:val="16"/>
        </w:rPr>
        <w:t>[Rcl 4.453 MC-AgR-AgR e Rcl 4.801 MC-AgR, rel. min. Ellen Gracie, j. 4-3-2009, P, DJE de 27-3-2009.]</w:t>
      </w:r>
    </w:p>
    <w:p>
      <w:pPr>
        <w:ind w:left="288"/>
      </w:pPr>
      <w:r>
        <w:rPr>
          <w:color w:val="8C8C8C"/>
          <w:sz w:val="12"/>
        </w:rPr>
        <w:t>cf-art-103-par-1</w:t>
      </w:r>
      <w:r>
        <w:rPr>
          <w:color w:val="003CA0"/>
          <w:sz w:val="12"/>
        </w:rPr>
        <w:t xml:space="preserve"> | RCL 7.318</w:t>
      </w:r>
      <w:r>
        <w:rPr>
          <w:color w:val="003CA0"/>
          <w:sz w:val="12"/>
        </w:rPr>
        <w:t xml:space="preserve"> | rel. Dias Toffoli</w:t>
      </w:r>
    </w:p>
    <w:p>
      <w:pPr>
        <w:ind w:left="288"/>
      </w:pPr>
      <w:r>
        <w:rPr>
          <w:color w:val="1E1E1E"/>
          <w:sz w:val="18"/>
        </w:rPr>
        <w:t>= Rcl 7.318 AgR, rel. min. Dias Toffoli, j. 23-5-2012, P, DJE de 26-10-2012 Vide Rcl 7.101, rel. min. Cármen Lúcia, j. 24-2-2011, P, DJE de 9-8-2011 PGR. Audição. O preceito inserto no § 1º do art. 103 da CF há de merecer interpretação teleológica. Visa ao conhecimento da matéria pelo Ministério Público, não implicando, necessariamente, seja-lhe enviado automaticamente todo e qualquer processo. O pronunciamento do órgão pode ocorrer na assentada em que apreciado o recurso.</w:t>
      </w:r>
    </w:p>
    <w:p>
      <w:pPr>
        <w:ind w:left="288"/>
      </w:pPr>
      <w:r>
        <w:rPr>
          <w:b/>
          <w:color w:val="003CA0"/>
          <w:sz w:val="16"/>
        </w:rPr>
        <w:t>[AI 158.725 AgR-ED, rel. min. Marco Aurélio, j. 18-12-1995, 2ª T, DJ de 8-3-1996.]</w:t>
      </w:r>
    </w:p>
    <w:p>
      <w:pPr>
        <w:ind w:left="288"/>
      </w:pPr>
      <w:r>
        <w:rPr>
          <w:color w:val="8C8C8C"/>
          <w:sz w:val="12"/>
        </w:rPr>
        <w:t>cf-art-103-par-2</w:t>
      </w:r>
      <w:r>
        <w:rPr>
          <w:color w:val="003CA0"/>
          <w:sz w:val="12"/>
        </w:rPr>
        <w:t xml:space="preserve"> | ADI 1.458</w:t>
      </w:r>
      <w:r>
        <w:rPr>
          <w:color w:val="003CA0"/>
          <w:sz w:val="12"/>
        </w:rPr>
        <w:t xml:space="preserve"> | rel. Celso de Mello</w:t>
      </w:r>
    </w:p>
    <w:p>
      <w:pPr>
        <w:ind w:left="288"/>
      </w:pPr>
      <w:r>
        <w:rPr>
          <w:color w:val="1E1E1E"/>
          <w:sz w:val="18"/>
        </w:rPr>
        <w:t>O desrespeito à Constituição tanto pode ocorrer mediante ação estatal quanto mediante inércia governamental. A situação de inconstitucionalidade pode derivar de um comportamento ativo do poder público, que age ou edita normas em desacordo com o que dispõe a Constituição, ofendendo-lhe, assim, os preceitos e os princípios que nela se acham consignados. Essa conduta estatal, que importa em um facere (atuação positiva), gera a inconstitucionalidade por ação. Se o Estado deixar de adotar as medidas necessárias à realização concreta dos preceitos da Constituição, em ordem a torná-los efetivos, oper</w:t>
      </w:r>
    </w:p>
    <w:p>
      <w:pPr>
        <w:ind w:left="288"/>
      </w:pPr>
      <w:r>
        <w:rPr>
          <w:b/>
          <w:color w:val="003CA0"/>
          <w:sz w:val="16"/>
        </w:rPr>
        <w:t>[ADI 1.458 MC, rel. min. Celso de Mello, j. 23-5-1996, P, DJ de 29-9-1996.]</w:t>
      </w:r>
    </w:p>
    <w:p>
      <w:pPr>
        <w:ind w:left="288"/>
      </w:pPr>
      <w:r>
        <w:rPr>
          <w:color w:val="8C8C8C"/>
          <w:sz w:val="12"/>
        </w:rPr>
        <w:t>cf-art-103-par-2</w:t>
      </w:r>
      <w:r>
        <w:rPr>
          <w:color w:val="003CA0"/>
          <w:sz w:val="12"/>
        </w:rPr>
        <w:t xml:space="preserve"> | ADI 267</w:t>
      </w:r>
      <w:r>
        <w:rPr>
          <w:color w:val="003CA0"/>
          <w:sz w:val="12"/>
        </w:rPr>
        <w:t xml:space="preserve"> | rel. Celso de Mello</w:t>
      </w:r>
    </w:p>
    <w:p>
      <w:pPr>
        <w:ind w:left="288"/>
      </w:pPr>
      <w:r>
        <w:rPr>
          <w:color w:val="1E1E1E"/>
          <w:sz w:val="18"/>
        </w:rPr>
        <w:t>Inconstitucionalidade por omissão. Bancada paulista na Câmara Federal. Elevação imediata para setenta deputados federais. Função do STF no controle concentrado de constitucionalidade. Sua atuação como legislador negativo. CF (art. 45, § 1º). Regra que não é autoaplicável. Mora constitucional. Impossibilidade de elevação automática da representação parlamentar.</w:t>
      </w:r>
    </w:p>
    <w:p>
      <w:pPr>
        <w:ind w:left="288"/>
      </w:pPr>
      <w:r>
        <w:rPr>
          <w:b/>
          <w:color w:val="003CA0"/>
          <w:sz w:val="16"/>
        </w:rPr>
        <w:t>[ADI 267 MC, rel. min. Celso de Mello, j. 25-10-1990, P, DJ de 19-5-1995.]</w:t>
      </w:r>
    </w:p>
    <w:p>
      <w:pPr>
        <w:ind w:left="288"/>
      </w:pPr>
      <w:r>
        <w:rPr>
          <w:color w:val="8C8C8C"/>
          <w:sz w:val="12"/>
        </w:rPr>
        <w:t>cf-art-103-par-2</w:t>
      </w:r>
      <w:r>
        <w:rPr>
          <w:color w:val="003CA0"/>
          <w:sz w:val="12"/>
        </w:rPr>
        <w:t xml:space="preserve"> | ADI 23</w:t>
      </w:r>
      <w:r>
        <w:rPr>
          <w:color w:val="003CA0"/>
          <w:sz w:val="12"/>
        </w:rPr>
        <w:t xml:space="preserve"> | rel. Sydney Sanches</w:t>
      </w:r>
    </w:p>
    <w:p>
      <w:pPr>
        <w:ind w:left="288"/>
      </w:pPr>
      <w:r>
        <w:rPr>
          <w:color w:val="1E1E1E"/>
          <w:sz w:val="18"/>
        </w:rPr>
        <w:t>A audiência do advogado-geral da União, prevista no art. 103, § 3º, da CF de 1988, é necessária na ação direta de inconstitucionalidade, em tese, de norma legal, ou ato normativo (já existentes), para se manifestar sobre o ato ou texto impugnado. Não, porém, na ação direta de inconstitucionalidade por omissão, prevista no § 2º do mesmo dispositivo, pois nesta se pressupõe, exatamente, a inexistência de norma ou ato normativo.</w:t>
      </w:r>
    </w:p>
    <w:p>
      <w:pPr>
        <w:ind w:left="288"/>
      </w:pPr>
      <w:r>
        <w:rPr>
          <w:b/>
          <w:color w:val="003CA0"/>
          <w:sz w:val="16"/>
        </w:rPr>
        <w:t>[ADI 23 QO, rel. min. Sydney Sanches, j. 4-8-1989, P, DJ de 1º-9-1989.]</w:t>
      </w:r>
    </w:p>
    <w:p>
      <w:pPr>
        <w:ind w:left="288"/>
      </w:pPr>
      <w:r>
        <w:rPr>
          <w:color w:val="8C8C8C"/>
          <w:sz w:val="12"/>
        </w:rPr>
        <w:t>cf-art-103-par-2</w:t>
      </w:r>
      <w:r>
        <w:rPr>
          <w:color w:val="003CA0"/>
          <w:sz w:val="12"/>
        </w:rPr>
        <w:t xml:space="preserve"> | RE 485.087</w:t>
      </w:r>
      <w:r>
        <w:rPr>
          <w:color w:val="003CA0"/>
          <w:sz w:val="12"/>
        </w:rPr>
        <w:t xml:space="preserve"> | rel. Cármen Lúcia</w:t>
      </w:r>
    </w:p>
    <w:p>
      <w:pPr>
        <w:ind w:left="288"/>
      </w:pPr>
      <w:r>
        <w:rPr>
          <w:color w:val="1E1E1E"/>
          <w:sz w:val="18"/>
        </w:rPr>
        <w:t>Não sendo possível, pela via do controle abstrato, obrigar o ente público a tomar providências legislativas necessárias para prover omissão declarada inconstitucional – na espécie, o encaminhamento de projeto de lei de revisão geral anual dos vencimentos dos servidores públicos –, com mais razão não poderia fazê-lo o Poder Judiciário, por via oblíqua, no controle concreto de constitucionalidade, deferindo pedido de indenização para recompor perdas salariais em face da inflação.</w:t>
      </w:r>
    </w:p>
    <w:p>
      <w:pPr>
        <w:ind w:left="288"/>
      </w:pPr>
      <w:r>
        <w:rPr>
          <w:b/>
          <w:color w:val="003CA0"/>
          <w:sz w:val="16"/>
        </w:rPr>
        <w:t>[RE 485.087 AgR, rel. min. Cármen Lúcia, j. 21-11-2006, 1ª T, DJ de 7-12-2006.]</w:t>
      </w:r>
    </w:p>
    <w:p>
      <w:pPr>
        <w:ind w:left="288"/>
      </w:pPr>
      <w:r>
        <w:rPr>
          <w:color w:val="8C8C8C"/>
          <w:sz w:val="12"/>
        </w:rPr>
        <w:t>cf-art-103-par-2</w:t>
      </w:r>
      <w:r>
        <w:rPr>
          <w:color w:val="003CA0"/>
          <w:sz w:val="12"/>
        </w:rPr>
        <w:t xml:space="preserve"> | RCL 1.017</w:t>
      </w:r>
      <w:r>
        <w:rPr>
          <w:color w:val="003CA0"/>
          <w:sz w:val="12"/>
        </w:rPr>
        <w:t xml:space="preserve"> | rel. Sepúlveda Pertence</w:t>
      </w:r>
    </w:p>
    <w:p>
      <w:pPr>
        <w:ind w:left="288"/>
      </w:pPr>
      <w:r>
        <w:rPr>
          <w:color w:val="1E1E1E"/>
          <w:sz w:val="18"/>
        </w:rPr>
        <w:t>Reclamação: usurpação da competência do STF (CF, art. 102, I, l): ação popular que, pela causa de pedir e pelo pedido de provimento mandamental formulado, configura hipótese reservada à ação direta de inconstitucionalidade por omissão de medidas administrativas, de privativa competência originária do Supremo Tribunal: procedência.</w:t>
      </w:r>
    </w:p>
    <w:p>
      <w:pPr>
        <w:ind w:left="288"/>
      </w:pPr>
      <w:r>
        <w:rPr>
          <w:b/>
          <w:color w:val="003CA0"/>
          <w:sz w:val="16"/>
        </w:rPr>
        <w:t>[Rcl 1.017, rel. min. Sepúlveda Pertence, j. 7-4-2005, P, DJ de 3-6-2005.]</w:t>
      </w:r>
    </w:p>
    <w:p>
      <w:pPr>
        <w:ind w:left="288"/>
      </w:pPr>
      <w:r>
        <w:rPr>
          <w:color w:val="8C8C8C"/>
          <w:sz w:val="12"/>
        </w:rPr>
        <w:t>cf-art-103-par-2</w:t>
      </w:r>
      <w:r>
        <w:rPr>
          <w:color w:val="003CA0"/>
          <w:sz w:val="12"/>
        </w:rPr>
        <w:t xml:space="preserve"> | AO 1.725</w:t>
      </w:r>
      <w:r>
        <w:rPr>
          <w:color w:val="003CA0"/>
          <w:sz w:val="12"/>
        </w:rPr>
        <w:t xml:space="preserve"> | rel. Luiz Fux</w:t>
      </w:r>
    </w:p>
    <w:p>
      <w:pPr>
        <w:ind w:left="288"/>
      </w:pPr>
      <w:r>
        <w:rPr>
          <w:color w:val="1E1E1E"/>
          <w:sz w:val="18"/>
        </w:rPr>
        <w:t>Vide AO 1.725 AgR, rel. min. Luiz Fux, j. 24-2-2015, 1ª T, DJE de 11-3-2015 Impossibilidade jurídica do pedido de conversão do mandado de injunção em ação direta de inconstitucionalidade por omissão.</w:t>
      </w:r>
    </w:p>
    <w:p>
      <w:pPr>
        <w:ind w:left="288"/>
      </w:pPr>
      <w:r>
        <w:rPr>
          <w:b/>
          <w:color w:val="003CA0"/>
          <w:sz w:val="16"/>
        </w:rPr>
        <w:t>[MI 395 QO, rel. min. Moreira Alves, j. 27-5-1992, P, DJ de 11-9-1992.]</w:t>
      </w:r>
    </w:p>
    <w:p>
      <w:pPr>
        <w:ind w:left="144"/>
      </w:pPr>
      <w:r>
        <w:rPr>
          <w:b/>
          <w:color w:val="B45A00"/>
          <w:sz w:val="16"/>
        </w:rPr>
        <w:t>CONTROLE CONCENTRADO</w:t>
      </w:r>
    </w:p>
    <w:p>
      <w:pPr>
        <w:ind w:left="288"/>
      </w:pPr>
      <w:r>
        <w:rPr>
          <w:color w:val="8C8C8C"/>
          <w:sz w:val="12"/>
        </w:rPr>
        <w:t>cf-art-103-par-3</w:t>
      </w:r>
      <w:r>
        <w:rPr>
          <w:color w:val="003CA0"/>
          <w:sz w:val="12"/>
        </w:rPr>
        <w:t xml:space="preserve"> | ADI 4.983</w:t>
      </w:r>
      <w:r>
        <w:rPr>
          <w:color w:val="003CA0"/>
          <w:sz w:val="12"/>
        </w:rPr>
        <w:t xml:space="preserve"> | rel. Marco Aurélio</w:t>
      </w:r>
    </w:p>
    <w:p>
      <w:pPr>
        <w:ind w:left="288"/>
      </w:pPr>
      <w:r>
        <w:rPr>
          <w:color w:val="1E1E1E"/>
          <w:sz w:val="18"/>
        </w:rPr>
        <w:t>Consoante dispõe a norma imperativa do § 3º do art. 103 do Diploma Maior, incumbe ao advogado-geral da União a defesa do ato ou texto impugnado na ação direta de inconstitucionalidade, não lhe cabendo emissão de simples parecer, a ponto de vir a concluir pela pecha de inconstitucionalidade.</w:t>
        <w:br/>
        <w:t xml:space="preserve">[ADI 4.983, rel. min. Marco Aurélio, j. 6-10-2016, P, DJE de 27-4-2017.] O múnus a que se refere o imperativo constitucional (CF, art. 103, § 3º) deve ser entendido com temperamentos. O advogado-geral da União não está obrigado a defender tese jurídica se sobre ela esta Corte já fixou entendimento pela sua </w:t>
      </w:r>
    </w:p>
    <w:p>
      <w:pPr>
        <w:ind w:left="288"/>
      </w:pPr>
      <w:r>
        <w:rPr>
          <w:b/>
          <w:color w:val="003CA0"/>
          <w:sz w:val="16"/>
        </w:rPr>
        <w:t>[ADI 1.616, rel. min. Maurício Corrêa, j. 24-5-2001, P, DJ de 24-8-2001.]</w:t>
      </w:r>
    </w:p>
    <w:p>
      <w:pPr>
        <w:ind w:left="288"/>
      </w:pPr>
      <w:r>
        <w:rPr>
          <w:color w:val="8C8C8C"/>
          <w:sz w:val="12"/>
        </w:rPr>
        <w:t>cf-art-103-par-3</w:t>
      </w:r>
      <w:r>
        <w:rPr>
          <w:color w:val="003CA0"/>
          <w:sz w:val="12"/>
        </w:rPr>
        <w:t xml:space="preserve"> | ADI 3.916</w:t>
      </w:r>
      <w:r>
        <w:rPr>
          <w:color w:val="003CA0"/>
          <w:sz w:val="12"/>
        </w:rPr>
        <w:t xml:space="preserve"> | rel. Eros Grau</w:t>
      </w:r>
    </w:p>
    <w:p>
      <w:pPr>
        <w:ind w:left="288"/>
      </w:pPr>
      <w:r>
        <w:rPr>
          <w:color w:val="1E1E1E"/>
          <w:sz w:val="18"/>
        </w:rPr>
        <w:t>Vide ADI 3.916, rel. min. Eros Grau, j. 3-2-2010, P, DJE de 14-5-2010 A função processual do advogado-geral da União, nos processos de controle de constitucionalidade por via de ação, é eminentemente defensiva. Ocupa, dentro da estrutura formal desse processo objetivo, a posição de órgão agente, posto que lhe não compete opinar e nem exercer a função fiscalizadora já atribuída ao PGR. Atuando como verdadeiro curador (defensor legis) das normas infraconstitucionais, inclusive daquelas de origem estadual, e velando pela preservação de sua presunção de constitucionalidade e de sua integridade e v</w:t>
      </w:r>
    </w:p>
    <w:p>
      <w:pPr>
        <w:ind w:left="288"/>
      </w:pPr>
      <w:r>
        <w:rPr>
          <w:b/>
          <w:color w:val="003CA0"/>
          <w:sz w:val="16"/>
        </w:rPr>
        <w:t>[ADI 1.254 AgR, rel. min. Celso de Mello, j. 14-8-1996, P, DJ de 19-9-1997.]</w:t>
      </w:r>
    </w:p>
    <w:p>
      <w:pPr>
        <w:ind w:left="288"/>
      </w:pPr>
      <w:r>
        <w:rPr>
          <w:color w:val="8C8C8C"/>
          <w:sz w:val="12"/>
        </w:rPr>
        <w:t>cf-art-103-par-3</w:t>
      </w:r>
      <w:r>
        <w:rPr>
          <w:color w:val="003CA0"/>
          <w:sz w:val="12"/>
        </w:rPr>
        <w:t xml:space="preserve"> | ADI 3.413</w:t>
      </w:r>
      <w:r>
        <w:rPr>
          <w:color w:val="003CA0"/>
          <w:sz w:val="12"/>
        </w:rPr>
        <w:t xml:space="preserve"> | rel. Marco Aurélio</w:t>
      </w:r>
    </w:p>
    <w:p>
      <w:pPr>
        <w:ind w:left="288"/>
      </w:pPr>
      <w:r>
        <w:rPr>
          <w:color w:val="1E1E1E"/>
          <w:sz w:val="18"/>
        </w:rPr>
        <w:t>= ADI 3.413, rel. min. Marco Aurélio, j. 1º-6-2011, P, DJE de 1º-8-2011</w:t>
      </w:r>
    </w:p>
    <w:p>
      <w:pPr>
        <w:ind w:left="288"/>
      </w:pPr>
      <w:r>
        <w:rPr>
          <w:color w:val="8C8C8C"/>
          <w:sz w:val="12"/>
        </w:rPr>
        <w:t>cf-art-103-par-4</w:t>
      </w:r>
    </w:p>
    <w:p>
      <w:pPr>
        <w:ind w:left="288"/>
      </w:pPr>
      <w:r>
        <w:rPr>
          <w:color w:val="1E1E1E"/>
          <w:sz w:val="18"/>
        </w:rPr>
        <w:t>Art. 103-A. O Supremo Tribunal Federal poderá, de ofício ou por provocação, mediante decisão de dois terços dos seus membros, após reiteradas decisões sobre matéria constitucional, aprovar súmula que, a partir de sua publicação na imprensa oficial, terá efeito vinculante em relação aos demais órgãos do Poder Judiciário e à administração pública direta e indireta, nas esferas federal, estadual e municipal, bem como proceder à sua revisão ou cancelamento, na forma estabelecida em lei. (Incluído pela EC 45/2004)</w:t>
      </w:r>
    </w:p>
    <w:p>
      <w:pPr>
        <w:ind w:left="288"/>
      </w:pPr>
      <w:r>
        <w:rPr>
          <w:color w:val="8C8C8C"/>
          <w:sz w:val="12"/>
        </w:rPr>
        <w:t>cf-art-103-par-4</w:t>
      </w:r>
      <w:r>
        <w:rPr>
          <w:color w:val="003CA0"/>
          <w:sz w:val="12"/>
        </w:rPr>
        <w:t xml:space="preserve"> | ADPF 147</w:t>
      </w:r>
      <w:r>
        <w:rPr>
          <w:color w:val="003CA0"/>
          <w:sz w:val="12"/>
        </w:rPr>
        <w:t xml:space="preserve"> | rel. Cármen Lúcia</w:t>
      </w:r>
    </w:p>
    <w:p>
      <w:pPr>
        <w:ind w:left="288"/>
      </w:pPr>
      <w:r>
        <w:rPr>
          <w:color w:val="1E1E1E"/>
          <w:sz w:val="18"/>
        </w:rPr>
        <w:t>A arguição de descumprimento de preceito fundamental não é a via adequada para se obter a interpretação, a revisão ou o cancelamento de súmula vinculante.</w:t>
      </w:r>
    </w:p>
    <w:p>
      <w:pPr>
        <w:ind w:left="288"/>
      </w:pPr>
      <w:r>
        <w:rPr>
          <w:b/>
          <w:color w:val="003CA0"/>
          <w:sz w:val="16"/>
        </w:rPr>
        <w:t>[ADPF 147 AgR, rel. min. Cármen Lúcia, j. 24-3-2011, P, DJE de 8-4-2011.]</w:t>
      </w:r>
    </w:p>
    <w:p>
      <w:pPr>
        <w:ind w:left="288"/>
      </w:pPr>
      <w:r>
        <w:rPr>
          <w:color w:val="8C8C8C"/>
          <w:sz w:val="12"/>
        </w:rPr>
        <w:t>cf-art-103-par-4</w:t>
      </w:r>
      <w:r>
        <w:rPr>
          <w:color w:val="003CA0"/>
          <w:sz w:val="12"/>
        </w:rPr>
        <w:t xml:space="preserve"> | ADPF 80</w:t>
      </w:r>
      <w:r>
        <w:rPr>
          <w:color w:val="003CA0"/>
          <w:sz w:val="12"/>
        </w:rPr>
        <w:t xml:space="preserve"> | rel. Eros Grau</w:t>
      </w:r>
    </w:p>
    <w:p>
      <w:pPr>
        <w:ind w:left="288"/>
      </w:pPr>
      <w:r>
        <w:rPr>
          <w:color w:val="1E1E1E"/>
          <w:sz w:val="18"/>
        </w:rPr>
        <w:t>Vide ADPF 80 AgR, rel. min. Eros Grau, j. 12-6-2006, P, DJ de 10-8-2006</w:t>
      </w:r>
    </w:p>
    <w:p>
      <w:pPr>
        <w:ind w:left="144"/>
      </w:pPr>
      <w:r>
        <w:rPr>
          <w:b/>
          <w:color w:val="B45A00"/>
          <w:sz w:val="16"/>
        </w:rPr>
        <w:t>JULGADOS CORRELATOS</w:t>
      </w:r>
    </w:p>
    <w:p>
      <w:pPr>
        <w:ind w:left="288"/>
      </w:pPr>
      <w:r>
        <w:rPr>
          <w:color w:val="8C8C8C"/>
          <w:sz w:val="12"/>
        </w:rPr>
        <w:t>cf-art-103-par-4</w:t>
      </w:r>
      <w:r>
        <w:rPr>
          <w:color w:val="003CA0"/>
          <w:sz w:val="12"/>
        </w:rPr>
        <w:t xml:space="preserve"> | RCL 10.707</w:t>
      </w:r>
      <w:r>
        <w:rPr>
          <w:color w:val="003CA0"/>
          <w:sz w:val="12"/>
        </w:rPr>
        <w:t xml:space="preserve"> | rel. Celso de Mello</w:t>
      </w:r>
    </w:p>
    <w:p>
      <w:pPr>
        <w:ind w:left="288"/>
      </w:pPr>
      <w:r>
        <w:rPr>
          <w:color w:val="1E1E1E"/>
          <w:sz w:val="18"/>
        </w:rPr>
        <w:t>A súmula (...) (excetuada aquela de perfil vinculante), ao contrário das notas que tipificam o ato normativo, não se reveste de compulsoriedade na sua observância externa nem de cogência na sua aplicação por terceiros. A súmula comum, na realidade, configura mero instrumento formal de exteriorização interpretativa de uma dada orientação jurisprudencial. A súmula comum, portanto, tendo em vista a tese jurisprudencial não vinculante que nela se acha consagrada, encerra, apenas, um resultado paradigmático para decisões futuras. A jurisprudência compendiada na formulação sumular, desse modo, não s</w:t>
      </w:r>
    </w:p>
    <w:p>
      <w:pPr>
        <w:ind w:left="288"/>
      </w:pPr>
      <w:r>
        <w:rPr>
          <w:b/>
          <w:color w:val="003CA0"/>
          <w:sz w:val="16"/>
        </w:rPr>
        <w:t>[Rcl 10.707 AgR, voto do rel. min. Celso de Mello, j. 28-5-2014, P, DJE de 30-10-2014.]</w:t>
      </w:r>
    </w:p>
    <w:p>
      <w:pPr>
        <w:ind w:left="288"/>
      </w:pPr>
      <w:r>
        <w:rPr>
          <w:color w:val="8C8C8C"/>
          <w:sz w:val="12"/>
        </w:rPr>
        <w:t>cf-art-103-par-4</w:t>
      </w:r>
      <w:r>
        <w:rPr>
          <w:color w:val="003CA0"/>
          <w:sz w:val="12"/>
        </w:rPr>
        <w:t xml:space="preserve"> | RCL 21.214</w:t>
      </w:r>
      <w:r>
        <w:rPr>
          <w:color w:val="003CA0"/>
          <w:sz w:val="12"/>
        </w:rPr>
        <w:t xml:space="preserve"> | rel. Celso de Mello</w:t>
      </w:r>
    </w:p>
    <w:p>
      <w:pPr>
        <w:ind w:left="288"/>
      </w:pPr>
      <w:r>
        <w:rPr>
          <w:color w:val="1E1E1E"/>
          <w:sz w:val="18"/>
        </w:rPr>
        <w:t>= Rcl 21.214, rel. min. Celso de Mello, j. 18-12-2015, dec. monocrática, DJE de 1º-2-2016 Com efeito, a tese de que o julgamento dos recursos interpostos contra decisões proferidas antes da edição da súmula não deve obrigatoriamente observar o enunciado sumular (após sua publicação na imprensa oficial), data vênia, não se mostra em consonância com o disposto no art. 103-A, caput, da CF, que impõe o efeito vinculante a todos os órgãos do Poder Judiciário, a partir da publicação da súmula na imprensa oficial.</w:t>
      </w:r>
    </w:p>
    <w:p>
      <w:pPr>
        <w:ind w:left="288"/>
      </w:pPr>
      <w:r>
        <w:rPr>
          <w:b/>
          <w:color w:val="003CA0"/>
          <w:sz w:val="16"/>
        </w:rPr>
        <w:t>[Rcl 6.541 e Rcl 6.856, rel. min. Ellen Gracie, j. 25-6-2009, P, DJE de 4-9-2009.]</w:t>
      </w:r>
    </w:p>
    <w:p>
      <w:pPr>
        <w:ind w:left="288"/>
      </w:pPr>
      <w:r>
        <w:rPr>
          <w:color w:val="8C8C8C"/>
          <w:sz w:val="12"/>
        </w:rPr>
        <w:t>cf-art-103-par-4</w:t>
      </w:r>
      <w:r>
        <w:rPr>
          <w:color w:val="003CA0"/>
          <w:sz w:val="12"/>
        </w:rPr>
        <w:t xml:space="preserve"> | RCL 7.101</w:t>
      </w:r>
      <w:r>
        <w:rPr>
          <w:color w:val="003CA0"/>
          <w:sz w:val="12"/>
        </w:rPr>
        <w:t xml:space="preserve"> | rel. Cármen Lúcia</w:t>
      </w:r>
    </w:p>
    <w:p>
      <w:pPr>
        <w:ind w:left="288"/>
      </w:pPr>
      <w:r>
        <w:rPr>
          <w:color w:val="1E1E1E"/>
          <w:sz w:val="18"/>
        </w:rPr>
        <w:t>= Rcl 7.101, rel. min. Cármen Lúcia, j. 24-2-2011, P, DJE de 9-8-2011 A Lei 11.417/2006 define os legitimados para a edição, revisão e cancelamento de enunciado de súmula vinculante (art. 3º). O rito estabelecido nesse texto normativo não prevê a impugnação dos enunciados mediante recurso extraordinário.</w:t>
      </w:r>
    </w:p>
    <w:p>
      <w:pPr>
        <w:ind w:left="288"/>
      </w:pPr>
      <w:r>
        <w:rPr>
          <w:b/>
          <w:color w:val="003CA0"/>
          <w:sz w:val="16"/>
        </w:rPr>
        <w:t>[Pet 4.556 AgR, rel. min. Eros Grau, j. 25-6-2009, P, DJE de 21-8-2009.]</w:t>
      </w:r>
    </w:p>
    <w:p>
      <w:pPr>
        <w:ind w:left="288"/>
      </w:pPr>
      <w:r>
        <w:rPr>
          <w:color w:val="8C8C8C"/>
          <w:sz w:val="12"/>
        </w:rPr>
        <w:t>cf-art-103-par-4</w:t>
      </w:r>
    </w:p>
    <w:p>
      <w:pPr>
        <w:ind w:left="288"/>
      </w:pPr>
      <w:r>
        <w:rPr>
          <w:color w:val="1E1E1E"/>
          <w:sz w:val="18"/>
        </w:rPr>
        <w:t>§ 1º A súmula terá por objetivo a validade, a interpretação e a eficácia de normas determinadas, acerca das quais haja controvérsia atual entre órgãos judiciários ou entre esses e a administração pública que acarrete grave insegurança jurídica e relevante multiplicação de processos sobre questão idêntica. (Incluído pela EC 45/2004)</w:t>
      </w:r>
    </w:p>
    <w:p>
      <w:pPr>
        <w:ind w:left="288"/>
      </w:pPr>
      <w:r>
        <w:rPr>
          <w:color w:val="8C8C8C"/>
          <w:sz w:val="12"/>
        </w:rPr>
        <w:t>cf-art-103-par-2</w:t>
      </w:r>
      <w:r>
        <w:rPr>
          <w:color w:val="003CA0"/>
          <w:sz w:val="12"/>
        </w:rPr>
        <w:t xml:space="preserve"> | MS 31.697</w:t>
      </w:r>
      <w:r>
        <w:rPr>
          <w:color w:val="003CA0"/>
          <w:sz w:val="12"/>
        </w:rPr>
        <w:t xml:space="preserve"> | rel. Dias Toffoli</w:t>
      </w:r>
    </w:p>
    <w:p>
      <w:pPr>
        <w:ind w:left="288"/>
      </w:pPr>
      <w:r>
        <w:rPr>
          <w:color w:val="1E1E1E"/>
          <w:sz w:val="18"/>
        </w:rPr>
        <w:t>Competência do CNMP para promover a fiscalização dos princípios constitucionais da administração pública, consagrados no art. 37, caput, da CF, entre eles o princípio da moralidade, que rege a vedação ao nepotismo. É inexequível a precisão dos interesses públicos e privados envolvidos, ressalvando-se, ademais, a obrigatoriedade de o poder público pautar seus atos pelo respeito aos princípios da administração pública, em especial, no caso dos autos, aos da legalidade e da impessoalidade (art. 37, caput, da CF/1988). A edição de atos regulamentares ou vinculantes por autoridade competente para a</w:t>
      </w:r>
    </w:p>
    <w:p>
      <w:pPr>
        <w:ind w:left="288"/>
      </w:pPr>
      <w:r>
        <w:rPr>
          <w:b/>
          <w:color w:val="003CA0"/>
          <w:sz w:val="16"/>
        </w:rPr>
        <w:t>[MS 31.697, rel. min. Dias Toffoli, j. 11-3-2014, 1ª T, DJE de 2-4-2014.]</w:t>
      </w:r>
    </w:p>
    <w:p>
      <w:pPr>
        <w:ind w:left="288"/>
      </w:pPr>
      <w:r>
        <w:rPr>
          <w:color w:val="8C8C8C"/>
          <w:sz w:val="12"/>
        </w:rPr>
        <w:t>cf-art-103-par-2</w:t>
      </w:r>
    </w:p>
    <w:p>
      <w:pPr>
        <w:ind w:left="288"/>
      </w:pPr>
      <w:r>
        <w:rPr>
          <w:color w:val="1E1E1E"/>
          <w:sz w:val="18"/>
        </w:rPr>
        <w:t>§ 3º Do ato administrativo ou decisão judicial que contrariar a súmula aplicável ou que indevidamente a aplicar, caberá reclamação ao Supremo Tribunal Federal que, julgando-a procedente, anulará o ato administrativo ou cassará a decisão judicial reclamada, e determinará que outra seja proferida com ou sem a aplicação da súmula, conforme o caso. (Incluído pela EC 45/2004)</w:t>
      </w:r>
    </w:p>
    <w:p>
      <w:pPr>
        <w:ind w:left="144"/>
      </w:pPr>
      <w:r>
        <w:rPr>
          <w:b/>
          <w:color w:val="B45A00"/>
          <w:sz w:val="16"/>
        </w:rPr>
        <w:t>REPERCUSSAO GERAL</w:t>
      </w:r>
    </w:p>
    <w:p>
      <w:pPr>
        <w:ind w:left="288"/>
      </w:pPr>
      <w:r>
        <w:rPr>
          <w:color w:val="8C8C8C"/>
          <w:sz w:val="12"/>
        </w:rPr>
        <w:t>cf-art-103-par-2</w:t>
      </w:r>
      <w:r>
        <w:rPr>
          <w:color w:val="003CA0"/>
          <w:sz w:val="12"/>
        </w:rPr>
        <w:t xml:space="preserve"> | RE 1.116.485</w:t>
      </w:r>
      <w:r>
        <w:rPr>
          <w:color w:val="003CA0"/>
          <w:sz w:val="12"/>
        </w:rPr>
        <w:t xml:space="preserve"> | rel. Luiz Fux</w:t>
      </w:r>
    </w:p>
    <w:p>
      <w:pPr>
        <w:ind w:left="288"/>
      </w:pPr>
      <w:r>
        <w:rPr>
          <w:color w:val="1E1E1E"/>
          <w:sz w:val="18"/>
        </w:rPr>
        <w:t>A revogação ou modificação do ato normativo em que se fundou a edição de enunciado de súmula vinculante acarreta, em regra, a necessidade de sua revisão ou cancelamento pelo Supremo Tribunal Federal, conforme o caso (...).</w:t>
        <w:br/>
        <w:t>[RE 1.116.485, rel. min. Luiz Fux, j. 1º-3-2023, P, DJE de 24-4-2023, Tema 477, com mérito julgado]</w:t>
      </w:r>
    </w:p>
    <w:p>
      <w:pPr>
        <w:ind w:left="144"/>
      </w:pPr>
      <w:r>
        <w:rPr>
          <w:b/>
          <w:color w:val="B45A00"/>
          <w:sz w:val="16"/>
        </w:rPr>
        <w:t>JULGADOS CORRELATOS</w:t>
      </w:r>
    </w:p>
    <w:p>
      <w:pPr>
        <w:ind w:left="288"/>
      </w:pPr>
      <w:r>
        <w:rPr>
          <w:color w:val="8C8C8C"/>
          <w:sz w:val="12"/>
        </w:rPr>
        <w:t>cf-art-103-par-2</w:t>
      </w:r>
      <w:r>
        <w:rPr>
          <w:color w:val="003CA0"/>
          <w:sz w:val="12"/>
        </w:rPr>
        <w:t xml:space="preserve"> | RCL 14.343</w:t>
      </w:r>
      <w:r>
        <w:rPr>
          <w:color w:val="003CA0"/>
          <w:sz w:val="12"/>
        </w:rPr>
        <w:t xml:space="preserve"> | rel. Teori Zavascki</w:t>
      </w:r>
    </w:p>
    <w:p>
      <w:pPr>
        <w:ind w:left="288"/>
      </w:pPr>
      <w:r>
        <w:rPr>
          <w:color w:val="1E1E1E"/>
          <w:sz w:val="18"/>
        </w:rPr>
        <w:t>Não se admite reclamação contra omissão da administração pública, sob fundamento de ofensa a súmula vinculante, quando não demonstrado o esgotamento das vias administrativas, conforme disposto no art. 7º, § 1º, da Lei 11.417/2006.</w:t>
      </w:r>
    </w:p>
    <w:p>
      <w:pPr>
        <w:ind w:left="288"/>
      </w:pPr>
      <w:r>
        <w:rPr>
          <w:b/>
          <w:color w:val="003CA0"/>
          <w:sz w:val="16"/>
        </w:rPr>
        <w:t>[Rcl 14.343 AgR, rel. min. Teori Zavascki, j. 27-2-2014, P, DJE de 28-3-2014.]</w:t>
      </w:r>
    </w:p>
    <w:p>
      <w:pPr>
        <w:ind w:left="288"/>
      </w:pPr>
      <w:r>
        <w:rPr>
          <w:color w:val="8C8C8C"/>
          <w:sz w:val="12"/>
        </w:rPr>
        <w:t>cf-art-103-par-2</w:t>
      </w:r>
      <w:r>
        <w:rPr>
          <w:color w:val="003CA0"/>
          <w:sz w:val="12"/>
        </w:rPr>
        <w:t xml:space="preserve"> | RCL 6.449</w:t>
      </w:r>
      <w:r>
        <w:rPr>
          <w:color w:val="003CA0"/>
          <w:sz w:val="12"/>
        </w:rPr>
        <w:t xml:space="preserve"> | rel. Eros Grau</w:t>
      </w:r>
    </w:p>
    <w:p>
      <w:pPr>
        <w:ind w:left="288"/>
      </w:pPr>
      <w:r>
        <w:rPr>
          <w:color w:val="1E1E1E"/>
          <w:sz w:val="18"/>
        </w:rPr>
        <w:t>Inexiste ofensa à autoridade de súmula vinculante quando o ato de que se reclama é anterior à decisão emanada da Corte Suprema.</w:t>
      </w:r>
    </w:p>
    <w:p>
      <w:pPr>
        <w:ind w:left="288"/>
      </w:pPr>
      <w:r>
        <w:rPr>
          <w:b/>
          <w:color w:val="003CA0"/>
          <w:sz w:val="16"/>
        </w:rPr>
        <w:t>[Rcl 6.449 AgR, rel. min. Eros Grau, j. 25-11-2009, P, DJE de 11-12-2009.]</w:t>
      </w:r>
    </w:p>
    <w:p>
      <w:pPr>
        <w:ind w:left="288"/>
      </w:pPr>
      <w:r>
        <w:rPr>
          <w:color w:val="8C8C8C"/>
          <w:sz w:val="12"/>
        </w:rPr>
        <w:t>cf-art-103-par-2</w:t>
      </w:r>
      <w:r>
        <w:rPr>
          <w:color w:val="003CA0"/>
          <w:sz w:val="12"/>
        </w:rPr>
        <w:t xml:space="preserve"> | RCL 8.111</w:t>
      </w:r>
      <w:r>
        <w:rPr>
          <w:color w:val="003CA0"/>
          <w:sz w:val="12"/>
        </w:rPr>
        <w:t xml:space="preserve"> | rel. Cármen Lúcia</w:t>
      </w:r>
    </w:p>
    <w:p>
      <w:pPr>
        <w:ind w:left="288"/>
      </w:pPr>
      <w:r>
        <w:rPr>
          <w:color w:val="1E1E1E"/>
          <w:sz w:val="18"/>
        </w:rPr>
        <w:t>= Rcl 8.111 AgR, rel. min. Cármen Lúcia, j. 2-3-2011, P, DJE de 28-3-2011 Vide Rcl 3.939, rel. min. Marco Aurélio, j. 14-4-2008, P, DJE de 23-5-2008</w:t>
      </w:r>
    </w:p>
    <w:p>
      <w:pPr>
        <w:ind w:left="144"/>
      </w:pPr>
      <w:r>
        <w:rPr>
          <w:b/>
          <w:color w:val="B45A00"/>
          <w:sz w:val="16"/>
        </w:rPr>
        <w:t>SUMULA VINCULANTE</w:t>
      </w:r>
    </w:p>
    <w:p>
      <w:pPr>
        <w:ind w:left="288"/>
      </w:pPr>
      <w:r>
        <w:rPr>
          <w:color w:val="8C8C8C"/>
          <w:sz w:val="12"/>
        </w:rPr>
        <w:t>cf-art-103-par-2</w:t>
      </w:r>
      <w:r>
        <w:rPr>
          <w:color w:val="003CA0"/>
          <w:sz w:val="12"/>
        </w:rPr>
        <w:t xml:space="preserve"> | RCL 3.979</w:t>
      </w:r>
      <w:r>
        <w:rPr>
          <w:color w:val="003CA0"/>
          <w:sz w:val="12"/>
        </w:rPr>
        <w:t xml:space="preserve"> | rel. Gilmar Mendes</w:t>
      </w:r>
    </w:p>
    <w:p>
      <w:pPr>
        <w:ind w:left="288"/>
      </w:pPr>
      <w:r>
        <w:rPr>
          <w:b/>
          <w:color w:val="003CA0"/>
          <w:sz w:val="16"/>
        </w:rPr>
        <w:t>[Rcl 3.979 AgR, rel. min. Gilmar Mendes, j. 3-5-2006, P, DJ de 2-6-2006.]</w:t>
      </w:r>
    </w:p>
    <w:p>
      <w:pPr>
        <w:ind w:left="288"/>
      </w:pPr>
      <w:r>
        <w:rPr>
          <w:color w:val="8C8C8C"/>
          <w:sz w:val="12"/>
        </w:rPr>
        <w:t>cf-art-103-par-2</w:t>
      </w:r>
      <w:r>
        <w:rPr>
          <w:color w:val="003CA0"/>
          <w:sz w:val="12"/>
        </w:rPr>
        <w:t xml:space="preserve"> | RCL 10.707</w:t>
      </w:r>
      <w:r>
        <w:rPr>
          <w:color w:val="003CA0"/>
          <w:sz w:val="12"/>
        </w:rPr>
        <w:t xml:space="preserve"> | rel. Celso de Mello</w:t>
      </w:r>
    </w:p>
    <w:p>
      <w:pPr>
        <w:ind w:left="288"/>
      </w:pPr>
      <w:r>
        <w:rPr>
          <w:color w:val="1E1E1E"/>
          <w:sz w:val="18"/>
        </w:rPr>
        <w:t>= Rcl 10.707 AgR, rel. min. Celso de Mello, j. 28-5-2014, P, DJE de 30-10-2014 Art. 103-B - O Conselho Nacional de Justiça compõe-se de 15 (quinze) membros com mandato de 2 (dois) anos, admitida 1 (uma) recondução, sendo: (Redação da EC 61/2009)</w:t>
      </w:r>
    </w:p>
    <w:p>
      <w:pPr>
        <w:ind w:left="144"/>
      </w:pPr>
      <w:r>
        <w:rPr>
          <w:b/>
          <w:color w:val="B45A00"/>
          <w:sz w:val="16"/>
        </w:rPr>
        <w:t>CONTROLE CONCENTRADO</w:t>
      </w:r>
    </w:p>
    <w:p>
      <w:pPr>
        <w:ind w:left="288"/>
      </w:pPr>
      <w:r>
        <w:rPr>
          <w:color w:val="8C8C8C"/>
          <w:sz w:val="12"/>
        </w:rPr>
        <w:t>cf-art-103-par-2</w:t>
      </w:r>
      <w:r>
        <w:rPr>
          <w:color w:val="003CA0"/>
          <w:sz w:val="12"/>
        </w:rPr>
        <w:t xml:space="preserve"> | ADI 3.367</w:t>
      </w:r>
      <w:r>
        <w:rPr>
          <w:color w:val="003CA0"/>
          <w:sz w:val="12"/>
        </w:rPr>
        <w:t xml:space="preserve"> | rel. Cezar Peluso</w:t>
      </w:r>
    </w:p>
    <w:p>
      <w:pPr>
        <w:ind w:left="288"/>
      </w:pPr>
      <w:r>
        <w:rPr>
          <w:color w:val="1E1E1E"/>
          <w:sz w:val="18"/>
        </w:rPr>
        <w:t>Ação direta. EC 45/2004. Poder Judiciário. CNJ. Instituição e disciplina. Natureza meramente administrativa. Órgão interno de controle administrativo, financeiro e disciplinar da magistratura. Constitucionalidade reconhecida. Separação e independência dos Poderes. História, significado e alcance concreto do princípio. Ofensa a cláusula constitucional imutável (cláusula pétrea). Inexistência. Subsistência do núcleo político do princípio, mediante preservação da função jurisdicional, típica do Judiciário, e das condições materiais do seu exercício imparcial e independente. Precedentes e Súmula 6</w:t>
      </w:r>
    </w:p>
    <w:p>
      <w:pPr>
        <w:ind w:left="288"/>
      </w:pPr>
      <w:r>
        <w:rPr>
          <w:b/>
          <w:color w:val="003CA0"/>
          <w:sz w:val="16"/>
        </w:rPr>
        <w:t>[ADI 3.367, rel. min. Cezar Peluso, j. 13-4-2005, P, DJ de 22-9-2006.]</w:t>
      </w:r>
    </w:p>
    <w:p>
      <w:pPr>
        <w:ind w:left="144"/>
      </w:pPr>
      <w:r>
        <w:rPr>
          <w:b/>
          <w:color w:val="B45A00"/>
          <w:sz w:val="16"/>
        </w:rPr>
        <w:t>JULGADOS CORRELATOS</w:t>
      </w:r>
    </w:p>
    <w:p>
      <w:pPr>
        <w:ind w:left="288"/>
      </w:pPr>
      <w:r>
        <w:rPr>
          <w:color w:val="8C8C8C"/>
          <w:sz w:val="12"/>
        </w:rPr>
        <w:t>cf-art-103-par-2</w:t>
      </w:r>
      <w:r>
        <w:rPr>
          <w:color w:val="003CA0"/>
          <w:sz w:val="12"/>
        </w:rPr>
        <w:t xml:space="preserve"> | MS 25.962</w:t>
      </w:r>
      <w:r>
        <w:rPr>
          <w:color w:val="003CA0"/>
          <w:sz w:val="12"/>
        </w:rPr>
        <w:t xml:space="preserve"> | rel. Marco Aurélio</w:t>
      </w:r>
    </w:p>
    <w:p>
      <w:pPr>
        <w:ind w:left="288"/>
      </w:pPr>
      <w:r>
        <w:rPr>
          <w:color w:val="1E1E1E"/>
          <w:sz w:val="18"/>
        </w:rPr>
        <w:t>(...) consigno que não procede o inconformismo quanto ao fato de o CNJ ter passado a existir com a EC 45/2004 e o edital do concurso haver sido veiculado em data anterior. É que, na mencionada emenda, somente ficou estabelecido o prazo de instalalção do citado Conselho, e não o termo inicial da ação fiscalizadora no campo administrativo considerados os atos dos tribunais em geral – exceto, evidentemente, os do Supremo no que a esse incumbe o crivo quanto a essa atuação.</w:t>
      </w:r>
    </w:p>
    <w:p>
      <w:pPr>
        <w:ind w:left="288"/>
      </w:pPr>
      <w:r>
        <w:rPr>
          <w:b/>
          <w:color w:val="003CA0"/>
          <w:sz w:val="16"/>
        </w:rPr>
        <w:t>[MS 25.962, voto do rel. min. Marco Aurélio, j. 23-10-2008, P, DJE de 20-3-2009.]</w:t>
      </w:r>
    </w:p>
    <w:p>
      <w:pPr>
        <w:ind w:left="288"/>
      </w:pPr>
      <w:r>
        <w:rPr>
          <w:color w:val="8C8C8C"/>
          <w:sz w:val="12"/>
        </w:rPr>
        <w:t>cf-art-103-par-2-inc-IX</w:t>
      </w:r>
    </w:p>
    <w:p>
      <w:pPr>
        <w:ind w:left="288"/>
      </w:pPr>
      <w:r>
        <w:rPr>
          <w:color w:val="1E1E1E"/>
          <w:sz w:val="18"/>
        </w:rPr>
        <w:t>X - um membro do Ministério Público da União, indicado pelo Procurador-Geral da República; (Incluído pela EC 45/2004) XI - um membro do Ministério Público estadual, escolhido pelo Procurador-Geral da República dentre os nomes indicados pelo órgão competente de cada instituição estadual; (Incluído pela EC 45/2004) XII - dois advogados, indicados pelo Conselho Federal da Ordem dos Advogados do Brasil; (Incluído pela EC 45/2004) XIII - dois cidadãos, de notável saber jurídico e reputação ilibada, indicados um pela Câmara dos Deputados e outro pelo Senado Federal. (Incluído pela EC 45/2004)</w:t>
      </w:r>
    </w:p>
    <w:p>
      <w:pPr>
        <w:ind w:left="288"/>
      </w:pPr>
      <w:r>
        <w:rPr>
          <w:color w:val="8C8C8C"/>
          <w:sz w:val="12"/>
        </w:rPr>
        <w:t>cf-art-103-par-1</w:t>
      </w:r>
      <w:r>
        <w:rPr>
          <w:color w:val="003CA0"/>
          <w:sz w:val="12"/>
        </w:rPr>
        <w:t xml:space="preserve"> | MS 28.003</w:t>
      </w:r>
    </w:p>
    <w:p>
      <w:pPr>
        <w:ind w:left="288"/>
      </w:pPr>
      <w:r>
        <w:rPr>
          <w:color w:val="1E1E1E"/>
          <w:sz w:val="18"/>
        </w:rPr>
        <w:t>A competência exclusiva, indelegável e absoluta para presidir a sessão do CNJ fixou-se, a partir do advento da EC 61/2009, na pessoa do presidente ou, na sua ausência, do vice-presidente do STF, nos termos do disposto no art. 103-B, § 1º, da Constituição de 1988. Ressalva do redator do acórdão que reconheceu a impossibilidade de, mesmo antes do advento da EC 61, uma sessão do CNJ ser presidida por conselheiro não oriundo do STF, decidindo, quanto ao ponto, pela necessidade de modulação temporal. In casu, a sessão do CNJ que determinou a instauração de processo administrativo disciplinar em fac</w:t>
      </w:r>
    </w:p>
    <w:p>
      <w:pPr>
        <w:ind w:left="288"/>
      </w:pPr>
      <w:r>
        <w:rPr>
          <w:b/>
          <w:color w:val="003CA0"/>
          <w:sz w:val="16"/>
        </w:rPr>
        <w:t>[MS 28.003, red. do ac. min. Luiz Fux, j. 8-2-2012, P, DJE de 31-5-2012.]</w:t>
      </w:r>
    </w:p>
    <w:p>
      <w:pPr>
        <w:ind w:left="288"/>
      </w:pPr>
      <w:r>
        <w:rPr>
          <w:color w:val="8C8C8C"/>
          <w:sz w:val="12"/>
        </w:rPr>
        <w:t>cf-art-103-par-1</w:t>
      </w:r>
      <w:r>
        <w:rPr>
          <w:color w:val="003CA0"/>
          <w:sz w:val="12"/>
        </w:rPr>
        <w:t xml:space="preserve"> | MS 25.938</w:t>
      </w:r>
      <w:r>
        <w:rPr>
          <w:color w:val="003CA0"/>
          <w:sz w:val="12"/>
        </w:rPr>
        <w:t xml:space="preserve"> | rel. Cármen Lúcia</w:t>
      </w:r>
    </w:p>
    <w:p>
      <w:pPr>
        <w:ind w:left="288"/>
      </w:pPr>
      <w:r>
        <w:rPr>
          <w:color w:val="1E1E1E"/>
          <w:sz w:val="18"/>
        </w:rPr>
        <w:t>Preliminarmente, o Tribunal assentou que não há impedimento do presidente do CNJ, que fez a publicação da decisão, mesmo que tivesse participado eventualmente da própria sessão que deu ensejo à prática do ato.</w:t>
      </w:r>
    </w:p>
    <w:p>
      <w:pPr>
        <w:ind w:left="288"/>
      </w:pPr>
      <w:r>
        <w:rPr>
          <w:b/>
          <w:color w:val="003CA0"/>
          <w:sz w:val="16"/>
        </w:rPr>
        <w:t>[MS 25.938, rel. min. Cármen Lúcia, j. 24-4-2008, P, DJE de 12-9-2008.]</w:t>
      </w:r>
    </w:p>
    <w:p>
      <w:pPr>
        <w:ind w:left="288"/>
      </w:pPr>
      <w:r>
        <w:rPr>
          <w:color w:val="8C8C8C"/>
          <w:sz w:val="12"/>
        </w:rPr>
        <w:t>cf-art-103-par-2</w:t>
      </w:r>
      <w:r>
        <w:rPr>
          <w:color w:val="003CA0"/>
          <w:sz w:val="12"/>
        </w:rPr>
        <w:t xml:space="preserve"> | MS 25.393</w:t>
      </w:r>
      <w:r>
        <w:rPr>
          <w:color w:val="003CA0"/>
          <w:sz w:val="12"/>
        </w:rPr>
        <w:t xml:space="preserve"> | rel. Marco Aurélio</w:t>
      </w:r>
    </w:p>
    <w:p>
      <w:pPr>
        <w:ind w:left="288"/>
      </w:pPr>
      <w:r>
        <w:rPr>
          <w:color w:val="1E1E1E"/>
          <w:sz w:val="18"/>
        </w:rPr>
        <w:t>Descabe cogitar de direito subjetivo à escolha para compor o CNJ.</w:t>
      </w:r>
    </w:p>
    <w:p>
      <w:pPr>
        <w:ind w:left="288"/>
      </w:pPr>
      <w:r>
        <w:rPr>
          <w:b/>
          <w:color w:val="003CA0"/>
          <w:sz w:val="16"/>
        </w:rPr>
        <w:t>[MS 25.393 AgR, rel. min. Marco Aurélio, j. 2-4-2009, P, DJE de 8-5-2009.]</w:t>
      </w:r>
    </w:p>
    <w:p>
      <w:pPr>
        <w:ind w:left="144"/>
      </w:pPr>
      <w:r>
        <w:rPr>
          <w:b/>
          <w:color w:val="B45A00"/>
          <w:sz w:val="16"/>
        </w:rPr>
        <w:t>CONTROLE CONCENTRADO</w:t>
      </w:r>
    </w:p>
    <w:p>
      <w:pPr>
        <w:ind w:left="288"/>
      </w:pPr>
      <w:r>
        <w:rPr>
          <w:color w:val="8C8C8C"/>
          <w:sz w:val="12"/>
        </w:rPr>
        <w:t>cf-art-103-par-4</w:t>
      </w:r>
      <w:r>
        <w:rPr>
          <w:color w:val="003CA0"/>
          <w:sz w:val="12"/>
        </w:rPr>
        <w:t xml:space="preserve"> | ADI 4.638</w:t>
      </w:r>
      <w:r>
        <w:rPr>
          <w:color w:val="003CA0"/>
          <w:sz w:val="12"/>
        </w:rPr>
        <w:t xml:space="preserve"> | rel. Marco Aurélio</w:t>
      </w:r>
    </w:p>
    <w:p>
      <w:pPr>
        <w:ind w:left="288"/>
      </w:pPr>
      <w:r>
        <w:rPr>
          <w:color w:val="1E1E1E"/>
          <w:sz w:val="18"/>
        </w:rPr>
        <w:t>A previsão de equiparação do Conselho Nacional de Justiça e do Conselho da Justiça Federal aos tribunais não ofende a Constituição, uma vez que representa mera técnica redacional legislativa, não tendo aptidão de emprestar caráter jurisdicional a esses órgãos.</w:t>
        <w:br/>
        <w:t>[ADI 4.638, rel. min. Marco Aurélio, red. do ac. Roberto Barroso, j. 3-7-2023, P, DJE de 15-8-2023.] Ato Regimental 5, de 10-11-2006, do TJDFT, sobre o regime de férias dos membros daquele Tribunal e dos juízes a ele vinculados, pelo qual os magistrados indicados "gozarão as férias do ano de 2007 nos períodos de 2 a 31 de janeiro e 2 a 3</w:t>
      </w:r>
    </w:p>
    <w:p>
      <w:pPr>
        <w:ind w:left="288"/>
      </w:pPr>
      <w:r>
        <w:rPr>
          <w:b/>
          <w:color w:val="003CA0"/>
          <w:sz w:val="16"/>
        </w:rPr>
        <w:t>[ADI 3.823 MC, rel. min. Cármen Lúcia, j. 6-12-2006, P, DJ de 23-11-2007.]</w:t>
      </w:r>
    </w:p>
    <w:p>
      <w:pPr>
        <w:ind w:left="288"/>
      </w:pPr>
      <w:r>
        <w:rPr>
          <w:color w:val="8C8C8C"/>
          <w:sz w:val="12"/>
        </w:rPr>
        <w:t>cf-art-103-par-4</w:t>
      </w:r>
      <w:r>
        <w:rPr>
          <w:color w:val="003CA0"/>
          <w:sz w:val="12"/>
        </w:rPr>
        <w:t xml:space="preserve"> | MS 38.971</w:t>
      </w:r>
      <w:r>
        <w:rPr>
          <w:color w:val="003CA0"/>
          <w:sz w:val="12"/>
        </w:rPr>
        <w:t xml:space="preserve"> | rel. Nunes Marques</w:t>
      </w:r>
    </w:p>
    <w:p>
      <w:pPr>
        <w:ind w:left="288"/>
      </w:pPr>
      <w:r>
        <w:rPr>
          <w:color w:val="1E1E1E"/>
          <w:sz w:val="18"/>
        </w:rPr>
        <w:t>A criação de grupo de heteroidentificação no âmbito de comissão de concurso público para a magistratura, em desacordo com as normas legais vigentes, a validar a inscrição de candidato autodeclarado pardo, pode ser impugnada perante o CNJ. É legítima a decisão do relator do procedimento de controle administrativo no CNJ que implicou a criação de grupo de heteroidentificação e ofereceu ao candidato a possibilidade de se submeter à avaliação, considerada especialmente a proximidade da data da posse. No caso concreto, não houve acréscimo de etapa do concurso, mas estrita observância de normas lega</w:t>
      </w:r>
    </w:p>
    <w:p>
      <w:pPr>
        <w:ind w:left="288"/>
      </w:pPr>
      <w:r>
        <w:rPr>
          <w:b/>
          <w:color w:val="003CA0"/>
          <w:sz w:val="16"/>
        </w:rPr>
        <w:t>[MS 38.971, rel. min. Nunes Marques, j. 03.06.2025, P, DJE de 23.06.2025.]</w:t>
      </w:r>
    </w:p>
    <w:p>
      <w:pPr>
        <w:ind w:left="144"/>
      </w:pPr>
      <w:r>
        <w:rPr>
          <w:b/>
          <w:color w:val="B45A00"/>
          <w:sz w:val="16"/>
        </w:rPr>
        <w:t>JULGADOS CORRELATOS</w:t>
      </w:r>
    </w:p>
    <w:p>
      <w:pPr>
        <w:ind w:left="288"/>
      </w:pPr>
      <w:r>
        <w:rPr>
          <w:color w:val="8C8C8C"/>
          <w:sz w:val="12"/>
        </w:rPr>
        <w:t>cf-art-103-par-4</w:t>
      </w:r>
      <w:r>
        <w:rPr>
          <w:color w:val="003CA0"/>
          <w:sz w:val="12"/>
        </w:rPr>
        <w:t xml:space="preserve"> | MS 31.667</w:t>
      </w:r>
      <w:r>
        <w:rPr>
          <w:color w:val="003CA0"/>
          <w:sz w:val="12"/>
        </w:rPr>
        <w:t xml:space="preserve"> | rel. Dias Toffoli</w:t>
      </w:r>
    </w:p>
    <w:p>
      <w:pPr>
        <w:ind w:left="288"/>
      </w:pPr>
      <w:r>
        <w:rPr>
          <w:color w:val="1E1E1E"/>
          <w:sz w:val="18"/>
        </w:rPr>
        <w:t>Não viola a autonomia dos tribunais locais deliberação do CNJ que determina aos tribunais de justiça (que informaram a existência de legislação estadual com previsão de majoração do percentual de férias referido no art. 7º, XVII, da CF/88) que enviem projeto de lei tendente a adequação da legislação local ao regramento uniforme de âmbito nacional, pois não há no caso reserva de iniciativa da matéria aos tribunais locais; ao contrário, os direitos da magistratura, dentre os quais o direito ao abono de férias, são matéria de regramento nacional uniforme.</w:t>
      </w:r>
    </w:p>
    <w:p>
      <w:pPr>
        <w:ind w:left="288"/>
      </w:pPr>
      <w:r>
        <w:rPr>
          <w:b/>
          <w:color w:val="003CA0"/>
          <w:sz w:val="16"/>
        </w:rPr>
        <w:t>[MS 31.667 AgR, rel. min. Dias Toffoli, j. 11-9-2018, 2ª T, DJE de 23-11-2018.]</w:t>
      </w:r>
    </w:p>
    <w:p>
      <w:pPr>
        <w:ind w:left="288"/>
      </w:pPr>
      <w:r>
        <w:rPr>
          <w:color w:val="8C8C8C"/>
          <w:sz w:val="12"/>
        </w:rPr>
        <w:t>cf-art-103-par-4</w:t>
      </w:r>
      <w:r>
        <w:rPr>
          <w:color w:val="003CA0"/>
          <w:sz w:val="12"/>
        </w:rPr>
        <w:t xml:space="preserve"> | MS 27.935</w:t>
      </w:r>
      <w:r>
        <w:rPr>
          <w:color w:val="003CA0"/>
          <w:sz w:val="12"/>
        </w:rPr>
        <w:t xml:space="preserve"> | rel. Edson Fachin</w:t>
      </w:r>
    </w:p>
    <w:p>
      <w:pPr>
        <w:ind w:left="288"/>
      </w:pPr>
      <w:r>
        <w:rPr>
          <w:color w:val="1E1E1E"/>
          <w:sz w:val="18"/>
        </w:rPr>
        <w:t>Não é vedado ao CNJ controlar a atuação administrativa de tribunal de justiça local que, respaldado em lei estadual, se distancie da interpretação dada pelo STF aos preceitos constitucionais e legais que regem a matéria. (...) A deliberação do CNJ que deixa de aplicar lei estadual anterior à Constituição que conflite com o regime remuneratório da magistratura regulado pelo art. 39, § 4º, da Constituição e com a Loman decorre do exercício direto da competência que lhe foi constitucionalmente atribuída, de zelar pela legalidade da atuação administrativa de membros e órgãos do Poder Judiciário, n</w:t>
      </w:r>
    </w:p>
    <w:p>
      <w:pPr>
        <w:ind w:left="288"/>
      </w:pPr>
      <w:r>
        <w:rPr>
          <w:b/>
          <w:color w:val="003CA0"/>
          <w:sz w:val="16"/>
        </w:rPr>
        <w:t>[MS 27.935 AgR, rel. min. Edson Fachin, j. 21-8-2017, 1ª T, DJE de 20-9-2017.]</w:t>
      </w:r>
    </w:p>
    <w:p>
      <w:pPr>
        <w:ind w:left="288"/>
      </w:pPr>
      <w:r>
        <w:rPr>
          <w:color w:val="8C8C8C"/>
          <w:sz w:val="12"/>
        </w:rPr>
        <w:t>cf-art-103-par-4</w:t>
      </w:r>
      <w:r>
        <w:rPr>
          <w:color w:val="003CA0"/>
          <w:sz w:val="12"/>
        </w:rPr>
        <w:t xml:space="preserve"> | MS 28.513</w:t>
      </w:r>
      <w:r>
        <w:rPr>
          <w:color w:val="003CA0"/>
          <w:sz w:val="12"/>
        </w:rPr>
        <w:t xml:space="preserve"> | rel. Teori Zavascki</w:t>
      </w:r>
    </w:p>
    <w:p>
      <w:pPr>
        <w:ind w:left="288"/>
      </w:pPr>
      <w:r>
        <w:rPr>
          <w:color w:val="1E1E1E"/>
          <w:sz w:val="18"/>
        </w:rPr>
        <w:t>É regular a designação de juiz auxiliar, seja ele originário do Judiciário estadual ou federal, para a condução de sindicância, por delegação do corregedor-nacional de justiça, ainda que o investigado seja magistrado federal.</w:t>
        <w:br/>
        <w:t>[MS 28.513, rel. min. Teori Zavascki, j. 15-9-2015, 2ª T, DJE de 28-9-2015.] O CNJ não dispõe, constitucionalmente, de competência para deliberar sobre situações que alcancem ou que atinjam resoluções e manifestações volitivas emanadas de órgãos e autoridades vinculados a outros Poderes do Estado e, por isso mesmo, absolutamente estranhos ao âmbito de atribuições instituc</w:t>
      </w:r>
    </w:p>
    <w:p>
      <w:pPr>
        <w:ind w:left="288"/>
      </w:pPr>
      <w:r>
        <w:rPr>
          <w:b/>
          <w:color w:val="003CA0"/>
          <w:sz w:val="16"/>
        </w:rPr>
        <w:t>[MS 27.033 AgR, rel. min. Celso de Mello, j. 30-6-2015, 2ª T, DJE de 27-10-2015.]</w:t>
      </w:r>
    </w:p>
    <w:p>
      <w:pPr>
        <w:ind w:left="288"/>
      </w:pPr>
      <w:r>
        <w:rPr>
          <w:color w:val="8C8C8C"/>
          <w:sz w:val="12"/>
        </w:rPr>
        <w:t>cf-art-103-par-4</w:t>
      </w:r>
      <w:r>
        <w:rPr>
          <w:color w:val="003CA0"/>
          <w:sz w:val="12"/>
        </w:rPr>
        <w:t xml:space="preserve"> | MS 30.600</w:t>
      </w:r>
      <w:r>
        <w:rPr>
          <w:color w:val="003CA0"/>
          <w:sz w:val="12"/>
        </w:rPr>
        <w:t xml:space="preserve"> | rel. Marco Aurélio</w:t>
      </w:r>
    </w:p>
    <w:p>
      <w:pPr>
        <w:ind w:left="288"/>
      </w:pPr>
      <w:r>
        <w:rPr>
          <w:color w:val="1E1E1E"/>
          <w:sz w:val="18"/>
        </w:rPr>
        <w:t>O CNJ tem atribuição administrativa, envolvendo esta última a promoção de magistrado. (...) O interregno para a sessão em que apreciado o nome de juiz visando preencher cargo de desembargador, por antiguidade, consubstancia formalidade essencial à valia do ato. O desrespeito enseja a glosa administrativa do CNJ.</w:t>
      </w:r>
    </w:p>
    <w:p>
      <w:pPr>
        <w:ind w:left="288"/>
      </w:pPr>
      <w:r>
        <w:rPr>
          <w:b/>
          <w:color w:val="003CA0"/>
          <w:sz w:val="16"/>
        </w:rPr>
        <w:t>[MS 30.600, rel. min. Marco Aurélio, j. 5-8-2014, 1ª T, DJE de 10-9-2014.]</w:t>
      </w:r>
    </w:p>
    <w:p>
      <w:pPr>
        <w:ind w:left="288"/>
      </w:pPr>
      <w:r>
        <w:rPr>
          <w:color w:val="8C8C8C"/>
          <w:sz w:val="12"/>
        </w:rPr>
        <w:t>cf-art-103-par-4</w:t>
      </w:r>
      <w:r>
        <w:rPr>
          <w:color w:val="003CA0"/>
          <w:sz w:val="12"/>
        </w:rPr>
        <w:t xml:space="preserve"> | MS 32.582</w:t>
      </w:r>
      <w:r>
        <w:rPr>
          <w:color w:val="003CA0"/>
          <w:sz w:val="12"/>
        </w:rPr>
        <w:t xml:space="preserve"> | rel. Celso de Mello</w:t>
      </w:r>
    </w:p>
    <w:p>
      <w:pPr>
        <w:ind w:left="288"/>
      </w:pPr>
      <w:r>
        <w:rPr>
          <w:color w:val="1E1E1E"/>
          <w:sz w:val="18"/>
        </w:rPr>
        <w:t xml:space="preserve">CNJ. Processo legislativo instaurado por iniciativa de tribunal de justiça. Suposta eiva de inconstitucionalidade. Impossibilidade de o CNJ, sob alegação de "aparente vício do projeto original", impor, cautelarmente, ao presidente do tribunal de justiça, que se abstenha de cumprir o diploma legislativo editado. Limitações que incidem sobre a competência do CNJ (CF, art. 103-B, § 4º). (...) A instauração do processo legislativo como ato de caráter eminentemente político e de extração essencialmente constitucional. Doutrina. A questão do controle de constitucionalidade pelo CNJ. Reconhecimento, </w:t>
      </w:r>
    </w:p>
    <w:p>
      <w:pPr>
        <w:ind w:left="288"/>
      </w:pPr>
      <w:r>
        <w:rPr>
          <w:b/>
          <w:color w:val="003CA0"/>
          <w:sz w:val="16"/>
        </w:rPr>
        <w:t>[MS 32.582 MC, rel. min. Celso de Mello, j. 3-2-2014, dec. monocrática, DJE de 11-2-2014.]</w:t>
      </w:r>
    </w:p>
    <w:p>
      <w:pPr>
        <w:ind w:left="288"/>
      </w:pPr>
      <w:r>
        <w:rPr>
          <w:color w:val="8C8C8C"/>
          <w:sz w:val="12"/>
        </w:rPr>
        <w:t>cf-art-103-par-4</w:t>
      </w:r>
      <w:r>
        <w:rPr>
          <w:color w:val="003CA0"/>
          <w:sz w:val="12"/>
        </w:rPr>
        <w:t xml:space="preserve"> | MS 32.865</w:t>
      </w:r>
      <w:r>
        <w:rPr>
          <w:color w:val="003CA0"/>
          <w:sz w:val="12"/>
        </w:rPr>
        <w:t xml:space="preserve"> | rel. Celso de Mello</w:t>
      </w:r>
    </w:p>
    <w:p>
      <w:pPr>
        <w:ind w:left="288"/>
      </w:pPr>
      <w:r>
        <w:rPr>
          <w:color w:val="1E1E1E"/>
          <w:sz w:val="18"/>
        </w:rPr>
        <w:t>= MS 32.865 MC, rel. min. Celso de Mello, j. 2-6-2014, dec. monocrática, DJE de 5-6-2014 As provas obtidas em razão de diligências deflagradas na esfera criminal podem ser utilizadas em Processo Administrativo Disciplinar (PAD), uma vez submetidas ao contraditório, posto estratégia conducente à duração razoável do processo, sem conjuração das cláusulas pétreas dos processos administrativo e judicial. A instauração de um PAD prescinde de prévia sindicância, quando o objeto da apuração encontra-se elucidado à luz de outros elementos lícitos de convicção. A competência originária do CNJ resulta d</w:t>
      </w:r>
    </w:p>
    <w:p>
      <w:pPr>
        <w:ind w:left="288"/>
      </w:pPr>
      <w:r>
        <w:rPr>
          <w:b/>
          <w:color w:val="003CA0"/>
          <w:sz w:val="16"/>
        </w:rPr>
        <w:t>[MS 28.003, red. do ac. min. Luiz Fux, j. 8-2-2012, P, DJE de 31-5-2012.]</w:t>
        <w:br/>
        <w:t>= MS 30.361 AgR, rel. min. Rosa Weber, j. 29-8-2017, 1ª T, 1-2-2018</w:t>
      </w:r>
    </w:p>
    <w:p>
      <w:pPr>
        <w:ind w:left="288"/>
      </w:pPr>
      <w:r>
        <w:rPr>
          <w:color w:val="8C8C8C"/>
          <w:sz w:val="12"/>
        </w:rPr>
        <w:t>cf-art-103-par-4</w:t>
      </w:r>
      <w:r>
        <w:rPr>
          <w:color w:val="003CA0"/>
          <w:sz w:val="12"/>
        </w:rPr>
        <w:t xml:space="preserve"> | ADI 3.367</w:t>
      </w:r>
      <w:r>
        <w:rPr>
          <w:color w:val="003CA0"/>
          <w:sz w:val="12"/>
        </w:rPr>
        <w:t xml:space="preserve"> | rel. Celso de Mello</w:t>
      </w:r>
    </w:p>
    <w:p>
      <w:pPr>
        <w:ind w:left="288"/>
      </w:pPr>
      <w:r>
        <w:rPr>
          <w:color w:val="1E1E1E"/>
          <w:sz w:val="18"/>
        </w:rPr>
        <w:t>O CNJ, embora integrando a estrutura constitucional do Poder Judiciário como órgão interno de controle administrativo, financeiro e disciplinar da magistratura – excluídos, no entanto, do alcance de referida competência, o próprio STF e seus ministros (ADI 3.367/DF) –, qualifica-se como instituição de caráter eminentemente administrativo, não dispondo de atribuições funcionais que lhe permitam, quer colegialmente, quer mediante atuação monocrática de seus conselheiros ou, ainda, do corregedor nacional de justiça, fiscalizar, reexaminar e suspender os efeitos decorrentes de atos de conteúdo jur</w:t>
      </w:r>
    </w:p>
    <w:p>
      <w:pPr>
        <w:ind w:left="288"/>
      </w:pPr>
      <w:r>
        <w:rPr>
          <w:b/>
          <w:color w:val="003CA0"/>
          <w:sz w:val="16"/>
        </w:rPr>
        <w:t>[MS 28.611 MC-AgR, rel. min. Celso de Mello, j. 14-10-2010, P, DJE de 1º-4-2011.]</w:t>
      </w:r>
    </w:p>
    <w:p>
      <w:pPr>
        <w:ind w:left="288"/>
      </w:pPr>
      <w:r>
        <w:rPr>
          <w:color w:val="8C8C8C"/>
          <w:sz w:val="12"/>
        </w:rPr>
        <w:t>cf-art-103-par-4</w:t>
      </w:r>
      <w:r>
        <w:rPr>
          <w:color w:val="003CA0"/>
          <w:sz w:val="12"/>
        </w:rPr>
        <w:t xml:space="preserve"> | MS 29.744</w:t>
      </w:r>
      <w:r>
        <w:rPr>
          <w:color w:val="003CA0"/>
          <w:sz w:val="12"/>
        </w:rPr>
        <w:t xml:space="preserve"> | rel. Gilmar Mendes</w:t>
      </w:r>
    </w:p>
    <w:p>
      <w:pPr>
        <w:ind w:left="288"/>
      </w:pPr>
      <w:r>
        <w:rPr>
          <w:color w:val="1E1E1E"/>
          <w:sz w:val="18"/>
        </w:rPr>
        <w:t>= MS 29.744 AgR, rel. min. Gilmar Mendes, j. 29-6-2011, P, DJE de 4-10-2011 Vide MS 27.708, rel. min. Marco Aurélio, j. 29-10-2009, P, DJE de 21-5-2010 Detendo o CNJ atribuições simplesmente administrativas, revela-se imprópria declaração a alcançar acordo judicial.</w:t>
      </w:r>
    </w:p>
    <w:p>
      <w:pPr>
        <w:ind w:left="288"/>
      </w:pPr>
      <w:r>
        <w:rPr>
          <w:b/>
          <w:color w:val="003CA0"/>
          <w:sz w:val="16"/>
        </w:rPr>
        <w:t>[MS 27.708, rel. min. Marco Aurélio, j. 29-10-2009, P, DJE de 21-5-2010.]</w:t>
      </w:r>
    </w:p>
    <w:p>
      <w:pPr>
        <w:ind w:left="288"/>
      </w:pPr>
      <w:r>
        <w:rPr>
          <w:color w:val="8C8C8C"/>
          <w:sz w:val="12"/>
        </w:rPr>
        <w:t>cf-art-103-par-4</w:t>
      </w:r>
      <w:r>
        <w:rPr>
          <w:color w:val="003CA0"/>
          <w:sz w:val="12"/>
        </w:rPr>
        <w:t xml:space="preserve"> | MS 28.611</w:t>
      </w:r>
      <w:r>
        <w:rPr>
          <w:color w:val="003CA0"/>
          <w:sz w:val="12"/>
        </w:rPr>
        <w:t xml:space="preserve"> | rel. Celso de Mello</w:t>
      </w:r>
    </w:p>
    <w:p>
      <w:pPr>
        <w:ind w:left="288"/>
      </w:pPr>
      <w:r>
        <w:rPr>
          <w:color w:val="1E1E1E"/>
          <w:sz w:val="18"/>
        </w:rPr>
        <w:t>Vide MS 28.611 MC-AgR, rel. min. Celso de Mello, j. 14-10-2010, P, DJE de 1º-4-2011 I - zelar pela autonomia do Poder Judiciário e pelo cumprimento do Estatuto da Magistratura, podendo expedir atos regulamentares, no âmbito de sua competência, ou recomendar providências; (Incluído pela EC 45/2004)</w:t>
      </w:r>
    </w:p>
    <w:p>
      <w:pPr>
        <w:ind w:left="144"/>
      </w:pPr>
      <w:r>
        <w:rPr>
          <w:b/>
          <w:color w:val="B45A00"/>
          <w:sz w:val="16"/>
        </w:rPr>
        <w:t>CONTROLE CONCENTRADO</w:t>
      </w:r>
    </w:p>
    <w:p>
      <w:pPr>
        <w:ind w:left="288"/>
      </w:pPr>
      <w:r>
        <w:rPr>
          <w:color w:val="8C8C8C"/>
          <w:sz w:val="12"/>
        </w:rPr>
        <w:t>cf-art-103-par-4</w:t>
      </w:r>
      <w:r>
        <w:rPr>
          <w:color w:val="003CA0"/>
          <w:sz w:val="12"/>
        </w:rPr>
        <w:t xml:space="preserve"> | ADI 6.324</w:t>
      </w:r>
      <w:r>
        <w:rPr>
          <w:color w:val="003CA0"/>
          <w:sz w:val="12"/>
        </w:rPr>
        <w:t xml:space="preserve"> | rel. Roberto Barroso</w:t>
      </w:r>
    </w:p>
    <w:p>
      <w:pPr>
        <w:ind w:left="288"/>
      </w:pPr>
      <w:r>
        <w:rPr>
          <w:color w:val="1E1E1E"/>
          <w:sz w:val="18"/>
        </w:rPr>
        <w:t>A competência constitucional do Conselho Nacional de Justiça (CF/1988, art. 103-B, § 4º, I) engloba a atuação em políticas públicas dos tribunais para tratamento adequado dos conflitos jurídicos. A conciliação e a mediação são formas efetivas de lidar com litígios e com o acesso a direitos, e sua regulamentação institucional para o Poder Judiciário brasileiro é condizente com o princípio da eficiência (CF/1988, art. 37, caput). (...) “É constitucional a disposição do Conselho Nacional de Justiça que prevê a facultatividade da representação por advogado ou defensor público nos Centros Judiciári</w:t>
      </w:r>
    </w:p>
    <w:p>
      <w:pPr>
        <w:ind w:left="144"/>
      </w:pPr>
      <w:r>
        <w:rPr>
          <w:b/>
          <w:color w:val="B45A00"/>
          <w:sz w:val="16"/>
        </w:rPr>
        <w:t>JULGADOS CORRELATOS</w:t>
      </w:r>
    </w:p>
    <w:p>
      <w:pPr>
        <w:ind w:left="288"/>
      </w:pPr>
      <w:r>
        <w:rPr>
          <w:color w:val="8C8C8C"/>
          <w:sz w:val="12"/>
        </w:rPr>
        <w:t>cf-art-103-par-4</w:t>
      </w:r>
      <w:r>
        <w:rPr>
          <w:color w:val="003CA0"/>
          <w:sz w:val="12"/>
        </w:rPr>
        <w:t xml:space="preserve"> | MS 27.621</w:t>
      </w:r>
    </w:p>
    <w:p>
      <w:pPr>
        <w:ind w:left="288"/>
      </w:pPr>
      <w:r>
        <w:rPr>
          <w:color w:val="1E1E1E"/>
          <w:sz w:val="18"/>
        </w:rPr>
        <w:t>O art. 103-B da Constituição da República, introduzido pela EC 45/2004, dispõe que o CNJ é órgão com atribuições exclusivamente administrativas e correicionais, ainda que, estruturalmente, integre o Poder Judiciário. No exercício de suas atribuições administrativas, encontra-se o poder de "expedir atos regulamentares". Esses, por sua vez, são atos de comando abstrato que dirigem aos seus destinatários comandos e obrigações, desde que inseridos na esfera de competência do órgão. O CNJ pode, no lídimo exercício de suas funções, regulamentar condutas e impor a toda a magistratura nacional o cumpr</w:t>
      </w:r>
    </w:p>
    <w:p>
      <w:pPr>
        <w:ind w:left="288"/>
      </w:pPr>
      <w:r>
        <w:rPr>
          <w:b/>
          <w:color w:val="003CA0"/>
          <w:sz w:val="16"/>
        </w:rPr>
        <w:t>[MS 27.621, red. do ac. min. Ricardo Lewandowski, j. 7-12-2011, P, DJE de 11-5-2012.]</w:t>
      </w:r>
    </w:p>
    <w:p>
      <w:pPr>
        <w:ind w:left="288"/>
      </w:pPr>
      <w:r>
        <w:rPr>
          <w:color w:val="8C8C8C"/>
          <w:sz w:val="12"/>
        </w:rPr>
        <w:t>cf-art-103-par-4</w:t>
      </w:r>
    </w:p>
    <w:p>
      <w:pPr>
        <w:ind w:left="288"/>
      </w:pPr>
      <w:r>
        <w:rPr>
          <w:color w:val="1E1E1E"/>
          <w:sz w:val="18"/>
        </w:rPr>
        <w:t>II - zelar pela observância do art. 37 e apreciar, de ofício ou mediante provocação, a legalidade dos atos administrativos praticados por membros ou órgãos do Poder Judiciário, podendo desconstituí-los, revê-los ou fixar prazo para que se adotem as providências necessárias ao exato cumprimento da lei, sem prejuízo da competência do Tribunal de Contas da União; (Incluído pela EC 45/2004)</w:t>
      </w:r>
    </w:p>
    <w:p>
      <w:pPr>
        <w:ind w:left="144"/>
      </w:pPr>
      <w:r>
        <w:rPr>
          <w:b/>
          <w:color w:val="B45A00"/>
          <w:sz w:val="16"/>
        </w:rPr>
        <w:t>CONTROLE CONCENTRADO</w:t>
      </w:r>
    </w:p>
    <w:p>
      <w:pPr>
        <w:ind w:left="288"/>
      </w:pPr>
      <w:r>
        <w:rPr>
          <w:color w:val="8C8C8C"/>
          <w:sz w:val="12"/>
        </w:rPr>
        <w:t>cf-art-103-par-4</w:t>
      </w:r>
      <w:r>
        <w:rPr>
          <w:color w:val="003CA0"/>
          <w:sz w:val="12"/>
        </w:rPr>
        <w:t xml:space="preserve"> | ADC 12</w:t>
      </w:r>
      <w:r>
        <w:rPr>
          <w:color w:val="003CA0"/>
          <w:sz w:val="12"/>
        </w:rPr>
        <w:t xml:space="preserve"> | rel. Ayres Britto</w:t>
      </w:r>
    </w:p>
    <w:p>
      <w:pPr>
        <w:ind w:left="288"/>
      </w:pPr>
      <w:r>
        <w:rPr>
          <w:color w:val="1E1E1E"/>
          <w:sz w:val="18"/>
        </w:rPr>
        <w:t xml:space="preserve">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 estranho ao Poder Judiciário (art. 92, CF) e não está a submeter esse Poder à autoridade de nenhum </w:t>
      </w:r>
    </w:p>
    <w:p>
      <w:pPr>
        <w:ind w:left="288"/>
      </w:pPr>
      <w:r>
        <w:rPr>
          <w:b/>
          <w:color w:val="003CA0"/>
          <w:sz w:val="16"/>
        </w:rPr>
        <w:t>[ADC 12, rel. min. Ayres Britto, j. 20-8-2008, P, DJE de 18-12-2009.]</w:t>
      </w:r>
    </w:p>
    <w:p>
      <w:pPr>
        <w:ind w:left="144"/>
      </w:pPr>
      <w:r>
        <w:rPr>
          <w:b/>
          <w:color w:val="B45A00"/>
          <w:sz w:val="16"/>
        </w:rPr>
        <w:t>JULGADOS CORRELATOS</w:t>
      </w:r>
    </w:p>
    <w:p>
      <w:pPr>
        <w:ind w:left="288"/>
      </w:pPr>
      <w:r>
        <w:rPr>
          <w:color w:val="8C8C8C"/>
          <w:sz w:val="12"/>
        </w:rPr>
        <w:t>cf-art-103-par-4</w:t>
      </w:r>
      <w:r>
        <w:rPr>
          <w:color w:val="003CA0"/>
          <w:sz w:val="12"/>
        </w:rPr>
        <w:t xml:space="preserve"> | MS 28.112</w:t>
      </w:r>
      <w:r>
        <w:rPr>
          <w:color w:val="003CA0"/>
          <w:sz w:val="12"/>
        </w:rPr>
        <w:t xml:space="preserve"> | rel. Cármen Lúcia</w:t>
      </w:r>
    </w:p>
    <w:p>
      <w:pPr>
        <w:ind w:left="288"/>
      </w:pPr>
      <w:r>
        <w:rPr>
          <w:color w:val="1E1E1E"/>
          <w:sz w:val="18"/>
        </w:rPr>
        <w:t>Lei 8.223/2007 da Paraíba. Criação legal de cargos em comissão no Tribunal de Justiça estadual (...): assistentes administrativos. Ato do CNJ. Exoneração determinada. (...) Atuação do órgão de controle administrativo, financeiro e disciplinar da magistratura nacional nos limites da respectiva competência, afastando a validade dos atos administrativos e a aplicação de lei estadual na qual embasados e reputada pelo CNJ contrária à regra constitucional de ingresso no serviço público por concurso público, pela ausência dos requisitos caracterizadores do cargo comissionado. Insere-se entre as compe</w:t>
      </w:r>
    </w:p>
    <w:p>
      <w:pPr>
        <w:ind w:left="288"/>
      </w:pPr>
      <w:r>
        <w:rPr>
          <w:b/>
          <w:color w:val="003CA0"/>
          <w:sz w:val="16"/>
        </w:rPr>
        <w:t>[MS 33.455, rel. min. Gilmar Mendes, j. 15-9-2015, 2ª T, DJE de 1º-2-2016.]</w:t>
      </w:r>
    </w:p>
    <w:p>
      <w:pPr>
        <w:ind w:left="288"/>
      </w:pPr>
      <w:r>
        <w:rPr>
          <w:color w:val="8C8C8C"/>
          <w:sz w:val="12"/>
        </w:rPr>
        <w:t>cf-art-103-par-4</w:t>
      </w:r>
      <w:r>
        <w:rPr>
          <w:color w:val="003CA0"/>
          <w:sz w:val="12"/>
        </w:rPr>
        <w:t xml:space="preserve"> | MS 27.165</w:t>
      </w:r>
      <w:r>
        <w:rPr>
          <w:color w:val="003CA0"/>
          <w:sz w:val="12"/>
        </w:rPr>
        <w:t xml:space="preserve"> | rel. Joaquim Barbosa</w:t>
      </w:r>
    </w:p>
    <w:p>
      <w:pPr>
        <w:ind w:left="288"/>
      </w:pPr>
      <w:r>
        <w:rPr>
          <w:color w:val="1E1E1E"/>
          <w:sz w:val="18"/>
        </w:rPr>
        <w:t>Vide MS 27.165, rel. min. Joaquim Barbosa, j. 18-12-2008, P, DJE de 6-3-2009 Qualquer pessoa é parte legítima para representar ilegalidades perante o CNJ. Apuração que é de interesse público.</w:t>
        <w:br/>
        <w:t xml:space="preserve">[MS 28.620, rel. min. Dias Toffoli, j. 23-9-2014, 1ª T, DJE de 8-10-2014.] Mandado de segurança cujo objeto é decisão do CNJ em PCA [procedimento de controle administrativo] em que definida a possibilidade de o candidato cumular a pontuação prevista no edital para cada rubrica de títulos, desde que respeitado, no somatório geral, o teto de dois pontos. Em análise um concurso determinado, com seu edital – </w:t>
      </w:r>
    </w:p>
    <w:p>
      <w:pPr>
        <w:ind w:left="288"/>
      </w:pPr>
      <w:r>
        <w:rPr>
          <w:b/>
          <w:color w:val="003CA0"/>
          <w:sz w:val="16"/>
        </w:rPr>
        <w:t>[MS 28.290, MS 28.330, MS 28.375 e MS 28.477, rel. min. Rosa Weber, j. 4-12-2013, P, DJE de 9-5-2014.]</w:t>
      </w:r>
    </w:p>
    <w:p>
      <w:pPr>
        <w:ind w:left="288"/>
      </w:pPr>
      <w:r>
        <w:rPr>
          <w:color w:val="8C8C8C"/>
          <w:sz w:val="12"/>
        </w:rPr>
        <w:t>cf-art-103-par-4</w:t>
      </w:r>
      <w:r>
        <w:rPr>
          <w:color w:val="003CA0"/>
          <w:sz w:val="12"/>
        </w:rPr>
        <w:t xml:space="preserve"> | MS 28.872</w:t>
      </w:r>
      <w:r>
        <w:rPr>
          <w:color w:val="003CA0"/>
          <w:sz w:val="12"/>
        </w:rPr>
        <w:t xml:space="preserve"> | rel. Ricardo Lewandowski</w:t>
      </w:r>
    </w:p>
    <w:p>
      <w:pPr>
        <w:ind w:left="288"/>
      </w:pPr>
      <w:r>
        <w:rPr>
          <w:color w:val="1E1E1E"/>
          <w:sz w:val="18"/>
        </w:rPr>
        <w:t>O CNJ, embora seja órgão do Poder Judiciário, nos termos do art. 103-B, § 4º, II, da CF, possui, tão somente, atribuições de natureza administrativa e, nesse sentido, não lhe é permitido apreciar a constitucionalidade dos atos administrativos, mas somente sua legalidade.</w:t>
      </w:r>
    </w:p>
    <w:p>
      <w:pPr>
        <w:ind w:left="288"/>
      </w:pPr>
      <w:r>
        <w:rPr>
          <w:b/>
          <w:color w:val="003CA0"/>
          <w:sz w:val="16"/>
        </w:rPr>
        <w:t>[MS 28.872 AgR, rel. min. Ricardo Lewandowski, j. 24-2-2011, P, DJE de 18-3-2011.]</w:t>
      </w:r>
    </w:p>
    <w:p>
      <w:pPr>
        <w:ind w:left="288"/>
      </w:pPr>
      <w:r>
        <w:rPr>
          <w:color w:val="8C8C8C"/>
          <w:sz w:val="12"/>
        </w:rPr>
        <w:t>cf-art-103-par-4</w:t>
      </w:r>
      <w:r>
        <w:rPr>
          <w:color w:val="003CA0"/>
          <w:sz w:val="12"/>
        </w:rPr>
        <w:t xml:space="preserve"> | MS 26.163</w:t>
      </w:r>
      <w:r>
        <w:rPr>
          <w:color w:val="003CA0"/>
          <w:sz w:val="12"/>
        </w:rPr>
        <w:t xml:space="preserve"> | rel. Cármen Lúcia</w:t>
      </w:r>
    </w:p>
    <w:p>
      <w:pPr>
        <w:ind w:left="288"/>
      </w:pPr>
      <w:r>
        <w:rPr>
          <w:color w:val="1E1E1E"/>
          <w:sz w:val="18"/>
        </w:rPr>
        <w:t>O CNJ tem legitimidade para fiscalizar, inclusive de ofício, os atos administrativos praticados por órgãos do Poder Judiciário (MS 26.163, rel. min. Cármen Lúcia, DJE de 4-9-2008). Após a publicação do edital e no curso do certame, só se admite a alteração das regras do concurso se houver modificação na legislação que disciplina a respectiva carreira. Precedentes (RE 318.106, rel. min. Ellen Gracie, DJ de 18-11-2005).</w:t>
      </w:r>
    </w:p>
    <w:p>
      <w:pPr>
        <w:ind w:left="288"/>
      </w:pPr>
      <w:r>
        <w:rPr>
          <w:b/>
          <w:color w:val="003CA0"/>
          <w:sz w:val="16"/>
        </w:rPr>
        <w:t>[MS 27.165, rel. min. Joaquim Barbosa, j. 18-12-2008, P, DJE de 6-3-2009.]</w:t>
      </w:r>
    </w:p>
    <w:p>
      <w:pPr>
        <w:ind w:left="288"/>
      </w:pPr>
      <w:r>
        <w:rPr>
          <w:color w:val="8C8C8C"/>
          <w:sz w:val="12"/>
        </w:rPr>
        <w:t>cf-art-103-par-4</w:t>
      </w:r>
      <w:r>
        <w:rPr>
          <w:color w:val="003CA0"/>
          <w:sz w:val="12"/>
        </w:rPr>
        <w:t xml:space="preserve"> | MS 33.455</w:t>
      </w:r>
      <w:r>
        <w:rPr>
          <w:color w:val="003CA0"/>
          <w:sz w:val="12"/>
        </w:rPr>
        <w:t xml:space="preserve"> | rel. Gilmar Mendes</w:t>
      </w:r>
    </w:p>
    <w:p>
      <w:pPr>
        <w:ind w:left="288"/>
      </w:pPr>
      <w:r>
        <w:rPr>
          <w:color w:val="1E1E1E"/>
          <w:sz w:val="18"/>
        </w:rPr>
        <w:t>Vide MS 33.455, rel. min. Gilmar Mendes, j. 15-9-2015, 2ª T, DJE de 1º-2-2016 Mandado de segurança. Concurso público para a magistratura do Estado do Amapá. Anulação. Legitimidade do CNJ para fiscalizar de ofício os atos administrativos praticados por órgãos do Poder Judiciário. (...) Os arts. 95 e 97 do Regimento Interno do CNJ autorizam-lhe instaurar, de ofício, procedimento administrativo para fiscalização de atos praticados por órgãos do Poder Judiciário.</w:t>
      </w:r>
    </w:p>
    <w:p>
      <w:pPr>
        <w:ind w:left="288"/>
      </w:pPr>
      <w:r>
        <w:rPr>
          <w:b/>
          <w:color w:val="003CA0"/>
          <w:sz w:val="16"/>
        </w:rPr>
        <w:t>[MS 26.163, rel. min. Cármen Lúcia, j. 24-4-2008, P, DJE de 5-9-2008.]</w:t>
      </w:r>
    </w:p>
    <w:p>
      <w:pPr>
        <w:ind w:left="288"/>
      </w:pPr>
      <w:r>
        <w:rPr>
          <w:color w:val="8C8C8C"/>
          <w:sz w:val="12"/>
        </w:rPr>
        <w:t>cf-art-103-par-4</w:t>
      </w:r>
      <w:r>
        <w:rPr>
          <w:color w:val="003CA0"/>
          <w:sz w:val="12"/>
        </w:rPr>
        <w:t xml:space="preserve"> | MS 26.284</w:t>
      </w:r>
      <w:r>
        <w:rPr>
          <w:color w:val="003CA0"/>
          <w:sz w:val="12"/>
        </w:rPr>
        <w:t xml:space="preserve"> | rel. Menezes Direito</w:t>
      </w:r>
    </w:p>
    <w:p>
      <w:pPr>
        <w:ind w:left="288"/>
      </w:pPr>
      <w:r>
        <w:rPr>
          <w:color w:val="1E1E1E"/>
          <w:sz w:val="18"/>
        </w:rPr>
        <w:t>Manifestamente impertinente a alegação de que o PCA 143, instaurado no CNJ, teria tratado da anulação de decisão judicial e não de ato com caráter administrativo. O ato impugnado perante o CNJ tem natureza administrativa, relativo à homologação de concurso público, matéria afeta à administração do Tribunal. Trata-se do exercício do controle administrativo dos próprios atos do Judiciário. A decisão do CNJ, devidamente fundamentada, esclareceu que houve a revisão individual das provas e que apenas duas candidatas obtiveram acréscimo em suas notas, concluindo pela ilegalidade no arredondamento fe</w:t>
      </w:r>
    </w:p>
    <w:p>
      <w:pPr>
        <w:ind w:left="288"/>
      </w:pPr>
      <w:r>
        <w:rPr>
          <w:b/>
          <w:color w:val="003CA0"/>
          <w:sz w:val="16"/>
        </w:rPr>
        <w:t>[MS 26.284, rel. min. Menezes Direito, j. 31-3-2008, P, DJE de 13-6-2008.]</w:t>
      </w:r>
    </w:p>
    <w:p>
      <w:pPr>
        <w:ind w:left="288"/>
      </w:pPr>
      <w:r>
        <w:rPr>
          <w:color w:val="8C8C8C"/>
          <w:sz w:val="12"/>
        </w:rPr>
        <w:t>cf-art-103-par-4</w:t>
      </w:r>
      <w:r>
        <w:rPr>
          <w:color w:val="003CA0"/>
          <w:sz w:val="12"/>
        </w:rPr>
        <w:t xml:space="preserve"> | MS 26.302</w:t>
      </w:r>
      <w:r>
        <w:rPr>
          <w:color w:val="003CA0"/>
          <w:sz w:val="12"/>
        </w:rPr>
        <w:t xml:space="preserve"> | rel. Cármen Lúcia</w:t>
      </w:r>
    </w:p>
    <w:p>
      <w:pPr>
        <w:ind w:left="288"/>
      </w:pPr>
      <w:r>
        <w:rPr>
          <w:color w:val="1E1E1E"/>
          <w:sz w:val="18"/>
        </w:rPr>
        <w:t>= MS 26.302 AgR, rel. min. Cármen Lúcia, j. 17-11-2011, P, DJE de 13-12-2011 III - receber e conhecer das reclamações contra membros ou órgãos do Poder Judiciário, inclusive contra seus serviços auxiliares, serventias e órgãos prestadores de serviços notariais e de registro que atuem por delegação do poder público ou oficializados, sem prejuízo da competência disciplinar e correicional dos tribunais, podendo avocar processos disciplinares em curso, determinar a remoção ou a disponibilidade e aplicar outras sanções administrativas, assegurada ampla defesa; (Redação da EC 103/2019)</w:t>
      </w:r>
    </w:p>
    <w:p>
      <w:pPr>
        <w:ind w:left="288"/>
      </w:pPr>
      <w:r>
        <w:rPr>
          <w:color w:val="8C8C8C"/>
          <w:sz w:val="12"/>
        </w:rPr>
        <w:t>cf-art-103-par-4</w:t>
      </w:r>
      <w:r>
        <w:rPr>
          <w:color w:val="003CA0"/>
          <w:sz w:val="12"/>
        </w:rPr>
        <w:t xml:space="preserve"> | AO 2.702</w:t>
      </w:r>
      <w:r>
        <w:rPr>
          <w:color w:val="003CA0"/>
          <w:sz w:val="12"/>
        </w:rPr>
        <w:t xml:space="preserve"> | rel. Alexandre de Moraes</w:t>
      </w:r>
    </w:p>
    <w:p>
      <w:pPr>
        <w:ind w:left="288"/>
      </w:pPr>
      <w:r>
        <w:rPr>
          <w:color w:val="1E1E1E"/>
          <w:sz w:val="18"/>
        </w:rPr>
        <w:t>Serventia extrajudicial. Interinidade. Vedação ao nepotismo. Atuação do CNJ conforme suas prerrogativas constitucionais. (...) O Conselho Nacional de Justiça agiu no estrito âmbito de suas atribuições constitucionais, com destaque para a fiscalização do serviço notarial e de registro (arts. 103-B, § 4º, I e III, e 236, § 1º, da CF/88), ao proibir a prática do nepotismo no desempenho destes serviços em período de interinidade, dando concretude aos princípios constitucionais que informam a administração Pública. (...) A atividade desempenhada em caráter de interinidade, a despeito de iniciada po</w:t>
      </w:r>
    </w:p>
    <w:p>
      <w:pPr>
        <w:ind w:left="288"/>
      </w:pPr>
      <w:r>
        <w:rPr>
          <w:b/>
          <w:color w:val="003CA0"/>
          <w:sz w:val="16"/>
        </w:rPr>
        <w:t>[AO 2.702 AgR, rel. min. Alexandre de Moraes, j. 14-11-2022, 1ª T, DJE de 17-11-2022.]</w:t>
      </w:r>
    </w:p>
    <w:p>
      <w:pPr>
        <w:ind w:left="288"/>
      </w:pPr>
      <w:r>
        <w:rPr>
          <w:color w:val="8C8C8C"/>
          <w:sz w:val="12"/>
        </w:rPr>
        <w:t>cf-art-103-par-4-inc-V</w:t>
      </w:r>
      <w:r>
        <w:rPr>
          <w:color w:val="003CA0"/>
          <w:sz w:val="12"/>
        </w:rPr>
        <w:t xml:space="preserve"> | AO 2.650</w:t>
      </w:r>
      <w:r>
        <w:rPr>
          <w:color w:val="003CA0"/>
          <w:sz w:val="12"/>
        </w:rPr>
        <w:t xml:space="preserve"> | rel. Rosa Weber</w:t>
      </w:r>
    </w:p>
    <w:p>
      <w:pPr>
        <w:ind w:left="288"/>
      </w:pPr>
      <w:r>
        <w:rPr>
          <w:color w:val="1E1E1E"/>
          <w:sz w:val="18"/>
        </w:rPr>
        <w:t>É valida a publicação no DJE para efeito de intimação e ciência inequívoca do resultado do processo administrativo envolvendo magistrado na Corte local, inexistindo regra que exija a dupla intimação (do advogado, via da DJE, e do magistrado, pessoalmente) para iniciar a contagem do prazo de decadência do Pedido de Revisão Disciplinar previsto no art. 103-B, § 4º, V, da CF.</w:t>
      </w:r>
    </w:p>
    <w:p>
      <w:pPr>
        <w:ind w:left="288"/>
      </w:pPr>
      <w:r>
        <w:rPr>
          <w:b/>
          <w:color w:val="003CA0"/>
          <w:sz w:val="16"/>
        </w:rPr>
        <w:t>[AO 2.650, rel. min. Rosa Weber, j. 22-8-2022, 1ª T, DJE de 25-8-2022.]</w:t>
      </w:r>
    </w:p>
    <w:p>
      <w:pPr>
        <w:ind w:left="288"/>
      </w:pPr>
      <w:r>
        <w:rPr>
          <w:color w:val="8C8C8C"/>
          <w:sz w:val="12"/>
        </w:rPr>
        <w:t>cf-art-103-par-4-inc-V</w:t>
      </w:r>
      <w:r>
        <w:rPr>
          <w:color w:val="003CA0"/>
          <w:sz w:val="12"/>
        </w:rPr>
        <w:t xml:space="preserve"> | MS 34.685</w:t>
      </w:r>
      <w:r>
        <w:rPr>
          <w:color w:val="003CA0"/>
          <w:sz w:val="12"/>
        </w:rPr>
        <w:t xml:space="preserve"> | rel. Dias Toffoli</w:t>
      </w:r>
    </w:p>
    <w:p>
      <w:pPr>
        <w:ind w:left="288"/>
      </w:pPr>
      <w:r>
        <w:rPr>
          <w:color w:val="1E1E1E"/>
          <w:sz w:val="18"/>
        </w:rPr>
        <w:t>O STF assentou que o CNJ possui atribuição correicional originária e autônoma, não se tratando de atuação subsidiária frente aos órgãos de correição local, mas sim de competência concorrente, de modo que seu exercício não se submete a condicionantes. (...) A atuação do Conselho Nacional de Justiça, no caso, decorreu do exercício de competência correicional originária, não revisional. Inaplicável, assim, o parâmetro temporal inserto no art. 103-B, § 4º, inciso V, da Constituição Federal (“rever, de ofício ou mediante provocação, os processos disciplinares de juízes e membros de tribunais julgad</w:t>
      </w:r>
    </w:p>
    <w:p>
      <w:pPr>
        <w:ind w:left="288"/>
      </w:pPr>
      <w:r>
        <w:rPr>
          <w:b/>
          <w:color w:val="003CA0"/>
          <w:sz w:val="16"/>
        </w:rPr>
        <w:t>[MS 34.685 AgR, rel. min. Dias Toffoli, j. 28-11-2017, 2ª T, DJE de 23-3-2018.]</w:t>
      </w:r>
    </w:p>
    <w:p>
      <w:pPr>
        <w:ind w:left="288"/>
      </w:pPr>
      <w:r>
        <w:rPr>
          <w:color w:val="8C8C8C"/>
          <w:sz w:val="12"/>
        </w:rPr>
        <w:t>cf-art-103-par-4-inc-V</w:t>
      </w:r>
      <w:r>
        <w:rPr>
          <w:color w:val="003CA0"/>
          <w:sz w:val="12"/>
        </w:rPr>
        <w:t xml:space="preserve"> | MS 28.127</w:t>
      </w:r>
      <w:r>
        <w:rPr>
          <w:color w:val="003CA0"/>
          <w:sz w:val="12"/>
        </w:rPr>
        <w:t xml:space="preserve"> | rel. Dias Toffoli</w:t>
      </w:r>
    </w:p>
    <w:p>
      <w:pPr>
        <w:ind w:left="288"/>
      </w:pPr>
      <w:r>
        <w:rPr>
          <w:color w:val="1E1E1E"/>
          <w:sz w:val="18"/>
        </w:rPr>
        <w:t>Compete ao Plenário do CNJ instaurar, de ofício, processo de revisão disciplinar (art. 86 do RICNJ), consistindo o posterior despacho do corregedor nacional de justiça mera execução material da decisão administrativa. O julgamento pelo Plenário do CNJ ocorreu em data anterior ao decurso do prazo disposto no inciso V do § 4º do art. 103-B da CF, razão pela qual não se configura a decadência do direito do poder público de instaurar o procedimento. A instauração de ofício foi motivada nos elementos do processo disciplinar objeto da revisão, os quais eram de conhecimento do impetrante, uma vez que</w:t>
      </w:r>
    </w:p>
    <w:p>
      <w:pPr>
        <w:ind w:left="288"/>
      </w:pPr>
      <w:r>
        <w:rPr>
          <w:b/>
          <w:color w:val="003CA0"/>
          <w:sz w:val="16"/>
        </w:rPr>
        <w:t>[MS 26.540, rel. min. Cármen Lúcia, j. 24-6-2014, 2ª T, DJE de 1º-8-2014.]</w:t>
      </w:r>
    </w:p>
    <w:p>
      <w:pPr>
        <w:ind w:left="288"/>
      </w:pPr>
      <w:r>
        <w:rPr>
          <w:color w:val="8C8C8C"/>
          <w:sz w:val="12"/>
        </w:rPr>
        <w:t>cf-art-103-par-4-inc-V</w:t>
      </w:r>
      <w:r>
        <w:rPr>
          <w:color w:val="003CA0"/>
          <w:sz w:val="12"/>
        </w:rPr>
        <w:t xml:space="preserve"> | MS 27.767</w:t>
      </w:r>
      <w:r>
        <w:rPr>
          <w:color w:val="003CA0"/>
          <w:sz w:val="12"/>
        </w:rPr>
        <w:t xml:space="preserve"> | rel. Ricardo Lewandowski</w:t>
      </w:r>
    </w:p>
    <w:p>
      <w:pPr>
        <w:ind w:left="288"/>
      </w:pPr>
      <w:r>
        <w:rPr>
          <w:color w:val="1E1E1E"/>
          <w:sz w:val="18"/>
        </w:rPr>
        <w:t>O pedido de revisão disciplinar para o CNJ deve ser feito até um ano após o julgamento do processo disciplinar pelo respectivo tribunal, nos termos do art. 103-B, § 4º, V, da Constituição. Dessa forma, esgotado tal prazo só restará ao interessado socorrer-se da via judicial para discutir a punição que lhe foi aplicada.</w:t>
      </w:r>
    </w:p>
    <w:p>
      <w:pPr>
        <w:ind w:left="288"/>
      </w:pPr>
      <w:r>
        <w:rPr>
          <w:b/>
          <w:color w:val="003CA0"/>
          <w:sz w:val="16"/>
        </w:rPr>
        <w:t>[MS 27.767 AgR, rel. min. Ricardo Lewandowski, j. 23-3-2011, P, DJE de 8-4-2011.]</w:t>
      </w:r>
    </w:p>
    <w:p>
      <w:pPr>
        <w:ind w:left="288"/>
      </w:pPr>
      <w:r>
        <w:rPr>
          <w:color w:val="8C8C8C"/>
          <w:sz w:val="12"/>
        </w:rPr>
        <w:t>cf-art-103-par-4-inc-VI</w:t>
      </w:r>
    </w:p>
    <w:p>
      <w:pPr>
        <w:ind w:left="288"/>
      </w:pPr>
      <w:r>
        <w:rPr>
          <w:color w:val="1E1E1E"/>
          <w:sz w:val="18"/>
        </w:rPr>
        <w:t>VII - elaborar relatório anual, propondo as providências que julgar necessárias, sobre a situação do Poder Judiciário no País e as atividades do Conselho, o qual deve integrar mensagem do Presidente do Supremo Tribunal Federal a ser remetida ao Congresso Nacional, por ocasião da abertura da sessão legislativa. (Incluído pela EC 45/2004)</w:t>
      </w:r>
    </w:p>
    <w:p>
      <w:pPr>
        <w:ind w:left="144"/>
      </w:pPr>
      <w:r>
        <w:rPr>
          <w:b/>
          <w:color w:val="B45A00"/>
          <w:sz w:val="16"/>
        </w:rPr>
        <w:t>CONTROLE CONCENTRADO</w:t>
      </w:r>
    </w:p>
    <w:p>
      <w:pPr>
        <w:ind w:left="288"/>
      </w:pPr>
      <w:r>
        <w:rPr>
          <w:color w:val="8C8C8C"/>
          <w:sz w:val="12"/>
        </w:rPr>
        <w:t>cf-art-103-par-5</w:t>
      </w:r>
      <w:r>
        <w:rPr>
          <w:color w:val="003CA0"/>
          <w:sz w:val="12"/>
        </w:rPr>
        <w:t xml:space="preserve"> | ADI 4.709</w:t>
      </w:r>
      <w:r>
        <w:rPr>
          <w:color w:val="003CA0"/>
          <w:sz w:val="12"/>
        </w:rPr>
        <w:t xml:space="preserve"> | rel. Rosa Weber</w:t>
      </w:r>
    </w:p>
    <w:p>
      <w:pPr>
        <w:ind w:left="288"/>
      </w:pPr>
      <w:r>
        <w:rPr>
          <w:color w:val="1E1E1E"/>
          <w:sz w:val="18"/>
        </w:rPr>
        <w:t xml:space="preserve">Art. 8º, V, do Regimento Interno do Conselho Nacional de Justiça. Atribuições do Corregedor Nacional de Justiça. Requisição de dados sigilosos em processos ou procedimentos administrativos de sua Competência. (...) Corregedoria Nacional de Justiça é órgão destacado, pela Constituição Federal, na arquitetura do CNJ e do controle interno do Poder Judiciário e da magistratura nacional. O arranjo institucional permite perceber atribuições próprias que visam a densificar o papel constitucional de concretização dos valores republicanos, o que afasta a alegação de inconstitucionalidade na atribuição </w:t>
      </w:r>
    </w:p>
    <w:p>
      <w:pPr>
        <w:ind w:left="288"/>
      </w:pPr>
      <w:r>
        <w:rPr>
          <w:b/>
          <w:color w:val="003CA0"/>
          <w:sz w:val="16"/>
        </w:rPr>
        <w:t>[ADI 4.709, rel. min. Rosa Weber, j. 30-5-2022, P, DJE de 9-6-2022.]</w:t>
      </w:r>
    </w:p>
    <w:p>
      <w:pPr>
        <w:ind w:left="144"/>
      </w:pPr>
      <w:r>
        <w:rPr>
          <w:b/>
          <w:color w:val="B45A00"/>
          <w:sz w:val="16"/>
        </w:rPr>
        <w:t>JULGADOS CORRELATOS</w:t>
      </w:r>
    </w:p>
    <w:p>
      <w:pPr>
        <w:ind w:left="288"/>
      </w:pPr>
      <w:r>
        <w:rPr>
          <w:color w:val="8C8C8C"/>
          <w:sz w:val="12"/>
        </w:rPr>
        <w:t>cf-art-103-par-6</w:t>
      </w:r>
      <w:r>
        <w:rPr>
          <w:color w:val="003CA0"/>
          <w:sz w:val="12"/>
        </w:rPr>
        <w:t xml:space="preserve"> | MS 25.879</w:t>
      </w:r>
      <w:r>
        <w:rPr>
          <w:color w:val="003CA0"/>
          <w:sz w:val="12"/>
        </w:rPr>
        <w:t xml:space="preserve"> | rel. Sepúlveda Pertence</w:t>
      </w:r>
    </w:p>
    <w:p>
      <w:pPr>
        <w:ind w:left="288"/>
      </w:pPr>
      <w:r>
        <w:rPr>
          <w:color w:val="1E1E1E"/>
          <w:sz w:val="18"/>
        </w:rPr>
        <w:t>Ainda que disponha o art. 103-B, § 6º, da CF que "junto ao Conselho oficiarão o PGR e o presidente do Conselho Federal da OAB", a ausência destes às sessões do Conselho não importa em nulidade das mesmas.</w:t>
      </w:r>
    </w:p>
    <w:p>
      <w:pPr>
        <w:ind w:left="288"/>
      </w:pPr>
      <w:r>
        <w:rPr>
          <w:b/>
          <w:color w:val="003CA0"/>
          <w:sz w:val="16"/>
        </w:rPr>
        <w:t>[MS 25.879 AgR, rel. min. Sepúlveda Pertence, j. 23-8-2006, P, DJ de 8-9-2006.]</w:t>
      </w:r>
    </w:p>
    <w:p>
      <w:pPr>
        <w:ind w:left="288"/>
      </w:pPr>
      <w:r>
        <w:rPr>
          <w:color w:val="8C8C8C"/>
          <w:sz w:val="12"/>
        </w:rPr>
        <w:t>cf-art-103-par-6</w:t>
      </w:r>
    </w:p>
    <w:p>
      <w:pPr>
        <w:ind w:left="288"/>
      </w:pPr>
      <w:r>
        <w:rPr>
          <w:color w:val="1E1E1E"/>
          <w:sz w:val="18"/>
        </w:rPr>
        <w:t>§ 7º A União, inclusive no Distrito Federal e nos Territórios, criará ouvidorias de justiça, competentes para receber reclamações e denúncias de qualquer interessado contra membros ou órgãos do Poder Judiciário, ou contra seus serviços auxiliares, representando diretamente ao Conselho Nacional de Justiça. (Incluído pela EC 45/2004) Seção III Do Superior Tribunal de Justiça SUMÁRIO</w:t>
      </w:r>
    </w:p>
    <w:p>
      <w:pPr>
        <w:ind w:left="720"/>
      </w:pPr>
      <w:r>
        <w:rPr>
          <w:color w:val="003366"/>
          <w:sz w:val="18"/>
        </w:rPr>
        <w:t>I – o Presidente do Supremo Tribunal Federal; (Redação dada pela Emenda Constitu</w:t>
      </w:r>
    </w:p>
    <w:p>
      <w:pPr>
        <w:ind w:left="432"/>
      </w:pPr>
      <w:r>
        <w:rPr>
          <w:color w:val="003366"/>
          <w:sz w:val="18"/>
        </w:rPr>
        <w:t>§ 1 O Conselho será presidido pelo Presidente do Supremo Tribunal Federal e, nas</w:t>
      </w:r>
    </w:p>
    <w:p>
      <w:pPr>
        <w:ind w:left="432"/>
      </w:pPr>
      <w:r>
        <w:rPr>
          <w:color w:val="003366"/>
          <w:sz w:val="18"/>
        </w:rPr>
        <w:t>§ 2 Os demais membros do Conselho serão nomeados pelo Presidente da República, d</w:t>
      </w:r>
    </w:p>
    <w:p>
      <w:pPr>
        <w:ind w:left="432"/>
      </w:pPr>
      <w:r>
        <w:rPr>
          <w:color w:val="003366"/>
          <w:sz w:val="18"/>
        </w:rPr>
        <w:t xml:space="preserve">§ 3 Não efetuadas, no prazo legal, as indicações previstas neste artigo, caberá </w:t>
      </w:r>
    </w:p>
    <w:p>
      <w:pPr>
        <w:ind w:left="432"/>
      </w:pPr>
      <w:r>
        <w:rPr>
          <w:color w:val="003366"/>
          <w:sz w:val="18"/>
        </w:rPr>
        <w:t>§ 4 Compete ao Conselho o controle da atuação administrativa e financeira do Pod</w:t>
      </w:r>
    </w:p>
    <w:p>
      <w:pPr>
        <w:ind w:left="720"/>
      </w:pPr>
      <w:r>
        <w:rPr>
          <w:color w:val="003366"/>
          <w:sz w:val="18"/>
        </w:rPr>
        <w:t>I – zelar pela autonomia do Poder Judiciário e pelo cumprimento do Estatuto da M</w:t>
      </w:r>
    </w:p>
    <w:p>
      <w:pPr>
        <w:ind w:left="720"/>
      </w:pPr>
      <w:r>
        <w:rPr>
          <w:color w:val="003366"/>
          <w:sz w:val="18"/>
        </w:rPr>
        <w:t>II – zelar pela observância do art. 37 e apreciar, de ofício ou mediante provoca</w:t>
      </w:r>
    </w:p>
    <w:p>
      <w:pPr>
        <w:ind w:left="720"/>
      </w:pPr>
      <w:r>
        <w:rPr>
          <w:color w:val="003366"/>
          <w:sz w:val="18"/>
        </w:rPr>
        <w:t>III – receber e conhecer das reclamações contra membros ou órgãos do Poder Judic</w:t>
      </w:r>
    </w:p>
    <w:p>
      <w:pPr>
        <w:ind w:left="432"/>
      </w:pPr>
      <w:r>
        <w:rPr>
          <w:color w:val="003366"/>
          <w:sz w:val="18"/>
        </w:rPr>
        <w:t>§ 5 O Ministro do Superior Tribunal de Justiça exercerá a função de Ministro-Cor</w:t>
      </w:r>
    </w:p>
    <w:p>
      <w:pPr>
        <w:ind w:left="432"/>
      </w:pPr>
      <w:r>
        <w:rPr>
          <w:color w:val="003366"/>
          <w:sz w:val="18"/>
        </w:rPr>
        <w:t>§ 6 Junto ao Conselho oficiarão o Procurador-Geral da República e o Presidente d</w:t>
      </w:r>
    </w:p>
    <w:p>
      <w:pPr>
        <w:ind w:left="432"/>
      </w:pPr>
      <w:r>
        <w:rPr>
          <w:color w:val="003366"/>
          <w:sz w:val="18"/>
        </w:rPr>
        <w:t xml:space="preserve">§ 7 A União, inclusive no Distrito Federal e nos Territórios, criará ouvidorias </w:t>
      </w:r>
    </w:p>
    <w:p>
      <w:pPr>
        <w:pStyle w:val="Heading3"/>
      </w:pPr>
      <w:r>
        <w:rPr>
          <w:color w:val="003366"/>
        </w:rPr>
        <w:t>Seção III - DO SUPERIOR TRIBUNAL DE JUSTIÇA</w:t>
      </w:r>
    </w:p>
    <w:p>
      <w:r>
        <w:rPr>
          <w:b/>
          <w:color w:val="003366"/>
          <w:sz w:val="20"/>
        </w:rPr>
        <w:t>Art. 104 O Superior Tribunal de Justiça compõe-se de, no mínimo, trinta e três M</w:t>
      </w:r>
      <w:r>
        <w:rPr>
          <w:color w:val="8C8C8C"/>
          <w:sz w:val="14"/>
        </w:rPr>
        <w:t xml:space="preserve">  [4 decisoes]</w:t>
      </w:r>
    </w:p>
    <w:p>
      <w:pPr>
        <w:ind w:left="288"/>
      </w:pPr>
      <w:r>
        <w:rPr>
          <w:color w:val="8C8C8C"/>
          <w:sz w:val="12"/>
        </w:rPr>
        <w:t>cf-art-104</w:t>
      </w:r>
    </w:p>
    <w:p>
      <w:pPr>
        <w:ind w:left="288"/>
      </w:pPr>
      <w:r>
        <w:rPr>
          <w:color w:val="1E1E1E"/>
          <w:sz w:val="18"/>
        </w:rPr>
        <w:t>Os Ministros do Superior Tribunal de Justiça serão nomeados pelo Presidente da República, dentre brasileiros com mais de trinta e cinco e menos de setenta anos de idade, de notável saber jurídico e reputação ilibada, depois de aprovada a escolha pela maioria absoluta do Senado Federal, sendo: (Redação dada pela EC n. 122/22)</w:t>
      </w:r>
    </w:p>
    <w:p>
      <w:pPr>
        <w:ind w:left="144"/>
      </w:pPr>
      <w:r>
        <w:rPr>
          <w:b/>
          <w:color w:val="B45A00"/>
          <w:sz w:val="16"/>
        </w:rPr>
        <w:t>CONTROLE CONCENTRADO</w:t>
      </w:r>
    </w:p>
    <w:p>
      <w:pPr>
        <w:ind w:left="288"/>
      </w:pPr>
      <w:r>
        <w:rPr>
          <w:color w:val="8C8C8C"/>
          <w:sz w:val="12"/>
        </w:rPr>
        <w:t>cf-art-104-inc-I</w:t>
      </w:r>
      <w:r>
        <w:rPr>
          <w:color w:val="003CA0"/>
          <w:sz w:val="12"/>
        </w:rPr>
        <w:t xml:space="preserve"> | ADI 4.078</w:t>
      </w:r>
    </w:p>
    <w:p>
      <w:pPr>
        <w:ind w:left="288"/>
      </w:pPr>
      <w:r>
        <w:rPr>
          <w:color w:val="1E1E1E"/>
          <w:sz w:val="18"/>
        </w:rPr>
        <w:t>O inciso I do art. 1º da Lei 7.746/1989 repete o inciso I do parágrafo único do art. 104 da Constituição da República. Impossibilidade de se declarar a inconstitucionalidade da norma sem correspondente declaração de inconstitucionalidade do dispositivo constitucional. A Constituição da República conferiu ao STJ discricionariedade para, entre os indicados nas listas, escolher magistrados dos tribunais regionais federais e dos tribunais de justiça independentemente da categoria pela qual neles tenha ingressado. A vedação aos magistrados egressos da advocacia ou do Ministério Público de se candid</w:t>
      </w:r>
    </w:p>
    <w:p>
      <w:pPr>
        <w:ind w:left="288"/>
      </w:pPr>
      <w:r>
        <w:rPr>
          <w:b/>
          <w:color w:val="003CA0"/>
          <w:sz w:val="16"/>
        </w:rPr>
        <w:t>[ADI 4.078, red. do ac. min. Cármen Lúcia, j. 10-11-2011, P, DJE de 13-4-2012.]</w:t>
      </w:r>
    </w:p>
    <w:p>
      <w:pPr>
        <w:ind w:left="288"/>
      </w:pPr>
      <w:r>
        <w:rPr>
          <w:color w:val="8C8C8C"/>
          <w:sz w:val="12"/>
        </w:rPr>
        <w:t>cf-art-104-inc-I</w:t>
      </w:r>
      <w:r>
        <w:rPr>
          <w:color w:val="003CA0"/>
          <w:sz w:val="12"/>
        </w:rPr>
        <w:t xml:space="preserve"> | MS 23.445</w:t>
      </w:r>
      <w:r>
        <w:rPr>
          <w:color w:val="003CA0"/>
          <w:sz w:val="12"/>
        </w:rPr>
        <w:t xml:space="preserve"> | rel. Néri da Silveira</w:t>
      </w:r>
    </w:p>
    <w:p>
      <w:pPr>
        <w:ind w:left="288"/>
      </w:pPr>
      <w:r>
        <w:rPr>
          <w:color w:val="1E1E1E"/>
          <w:sz w:val="18"/>
        </w:rPr>
        <w:t>= MS 23.445, rel. min. Néri da Silveira, j. 18-11-1999, P, DJ de 17-3-2000</w:t>
      </w:r>
    </w:p>
    <w:p>
      <w:pPr>
        <w:ind w:left="144"/>
      </w:pPr>
      <w:r>
        <w:rPr>
          <w:b/>
          <w:color w:val="B45A00"/>
          <w:sz w:val="16"/>
        </w:rPr>
        <w:t>JULGADOS CORRELATOS</w:t>
      </w:r>
    </w:p>
    <w:p>
      <w:pPr>
        <w:ind w:left="288"/>
      </w:pPr>
      <w:r>
        <w:rPr>
          <w:color w:val="8C8C8C"/>
          <w:sz w:val="12"/>
        </w:rPr>
        <w:t>cf-art-104-inc-II</w:t>
      </w:r>
      <w:r>
        <w:rPr>
          <w:color w:val="003CA0"/>
          <w:sz w:val="12"/>
        </w:rPr>
        <w:t xml:space="preserve"> | RMS 27.920</w:t>
      </w:r>
      <w:r>
        <w:rPr>
          <w:color w:val="003CA0"/>
          <w:sz w:val="12"/>
        </w:rPr>
        <w:t xml:space="preserve"> | rel. Eros Grau</w:t>
      </w:r>
    </w:p>
    <w:p>
      <w:pPr>
        <w:ind w:left="288"/>
      </w:pPr>
      <w:r>
        <w:rPr>
          <w:color w:val="1E1E1E"/>
          <w:sz w:val="18"/>
        </w:rPr>
        <w:t xml:space="preserve">A Constituição determina que um terço dos ministros do STJ seja nomeado entre "advogados e membros do Ministério Público Federal, Estadual, do Distrito Federal e Territórios, alternadamente, indicados na forma do art. 94". A elaboração da lista tríplice pelo STJ compreende a ponderação de dois requisitos a serem preenchidos pelos advogados incluíveis na terça parte de que se cuida (notório saber jurídico e reputação ilibada) e a verificação de um fato (mais de dez anos de efetiva atividade profissional). Concomitantemente, a escolha de três nomes tirados da lista sêxtupla indicada pela OAB. O </w:t>
      </w:r>
    </w:p>
    <w:p>
      <w:pPr>
        <w:ind w:left="288"/>
      </w:pPr>
      <w:r>
        <w:rPr>
          <w:b/>
          <w:color w:val="003CA0"/>
          <w:sz w:val="16"/>
        </w:rPr>
        <w:t>[RMS 27.920, rel. min. Eros Grau, j. 6-10-2009, 2ª T, DJE de 4-12-2009.]</w:t>
      </w:r>
    </w:p>
    <w:p>
      <w:pPr>
        <w:ind w:left="720"/>
      </w:pPr>
      <w:r>
        <w:rPr>
          <w:color w:val="003366"/>
          <w:sz w:val="18"/>
        </w:rPr>
        <w:t>I – um terço dentre juízes dos Tribunais Regionais Federais e um terço dentre de</w:t>
      </w:r>
    </w:p>
    <w:p>
      <w:pPr>
        <w:ind w:left="720"/>
      </w:pPr>
      <w:r>
        <w:rPr>
          <w:color w:val="003366"/>
          <w:sz w:val="18"/>
        </w:rPr>
        <w:t>II – um terço, em partes iguais, dentre advogados e membros do Ministério Públic</w:t>
      </w:r>
    </w:p>
    <w:p>
      <w:r>
        <w:rPr>
          <w:b/>
          <w:color w:val="003366"/>
          <w:sz w:val="20"/>
        </w:rPr>
        <w:t>Art. 105 Compete ao Superior Tribunal de Justiça:</w:t>
      </w:r>
      <w:r>
        <w:rPr>
          <w:color w:val="8C8C8C"/>
          <w:sz w:val="14"/>
        </w:rPr>
        <w:t xml:space="preserve">  [85 decisoes]</w:t>
      </w:r>
    </w:p>
    <w:p>
      <w:pPr>
        <w:ind w:left="144"/>
      </w:pPr>
      <w:r>
        <w:rPr>
          <w:b/>
          <w:color w:val="B45A00"/>
          <w:sz w:val="16"/>
        </w:rPr>
        <w:t>REPERCUSSAO GERAL</w:t>
      </w:r>
    </w:p>
    <w:p>
      <w:pPr>
        <w:ind w:left="288"/>
      </w:pPr>
      <w:r>
        <w:rPr>
          <w:color w:val="8C8C8C"/>
          <w:sz w:val="12"/>
        </w:rPr>
        <w:t>cf-art-105</w:t>
      </w:r>
      <w:r>
        <w:rPr>
          <w:color w:val="003CA0"/>
          <w:sz w:val="12"/>
        </w:rPr>
        <w:t xml:space="preserve"> | RE 1.331.654</w:t>
      </w:r>
      <w:r>
        <w:rPr>
          <w:color w:val="003CA0"/>
          <w:sz w:val="12"/>
        </w:rPr>
        <w:t xml:space="preserve"> | rel. Luiz Fux</w:t>
      </w:r>
    </w:p>
    <w:p>
      <w:pPr>
        <w:ind w:left="288"/>
      </w:pPr>
      <w:r>
        <w:rPr>
          <w:color w:val="1E1E1E"/>
          <w:sz w:val="18"/>
        </w:rPr>
        <w:t>É infraconstitucional, a ela se aplicando os efeitos da ausência de repercussão geral, a controvérsia relativa à modulação dos efeitos de decisão proferida pelo Superior Tribunal de Justiça que, em julgamento de sua competência, definiu o termo inicial da contagem de prazo da prescrição intercorrente da pretensão executória.</w:t>
      </w:r>
    </w:p>
    <w:p>
      <w:pPr>
        <w:ind w:left="288"/>
      </w:pPr>
      <w:r>
        <w:rPr>
          <w:b/>
          <w:color w:val="003CA0"/>
          <w:sz w:val="16"/>
        </w:rPr>
        <w:t>[RE 1.331.654 RG, rel. min. Luiz Fux, j. 26-8-2021, P, DJE de 3-9-2021, Tema 1.162, com repercussão geral negada.]</w:t>
      </w:r>
    </w:p>
    <w:p>
      <w:pPr>
        <w:ind w:left="144"/>
      </w:pPr>
      <w:r>
        <w:rPr>
          <w:b/>
          <w:color w:val="B45A00"/>
          <w:sz w:val="16"/>
        </w:rPr>
        <w:t>JULGADOS CORRELATOS</w:t>
      </w:r>
    </w:p>
    <w:p>
      <w:pPr>
        <w:ind w:left="288"/>
      </w:pPr>
      <w:r>
        <w:rPr>
          <w:color w:val="8C8C8C"/>
          <w:sz w:val="12"/>
        </w:rPr>
        <w:t>cf-art-105</w:t>
      </w:r>
      <w:r>
        <w:rPr>
          <w:color w:val="003CA0"/>
          <w:sz w:val="12"/>
        </w:rPr>
        <w:t xml:space="preserve"> | HC 93.652</w:t>
      </w:r>
      <w:r>
        <w:rPr>
          <w:color w:val="003CA0"/>
          <w:sz w:val="12"/>
        </w:rPr>
        <w:t xml:space="preserve"> | rel. Ricardo Lewandowski</w:t>
      </w:r>
    </w:p>
    <w:p>
      <w:pPr>
        <w:ind w:left="288"/>
      </w:pPr>
      <w:r>
        <w:rPr>
          <w:color w:val="1E1E1E"/>
          <w:sz w:val="18"/>
        </w:rPr>
        <w:t>Tribunal do júri. Competência. Alteração de lei estadual por resolução do tribunal de justiça. (...) A ação de habeas corpus é adequada para questionar afronta a quaisquer direitos que tenham a liberdade de locomoção como condição ou suporte de seu exercício. A alteração da competência entre tribunais populares por resolução de tribunal de justiça, em possível afronta ao princípio do juízo natural da causa, deve ser apreciada pelo STJ.</w:t>
      </w:r>
    </w:p>
    <w:p>
      <w:pPr>
        <w:ind w:left="288"/>
      </w:pPr>
      <w:r>
        <w:rPr>
          <w:b/>
          <w:color w:val="003CA0"/>
          <w:sz w:val="16"/>
        </w:rPr>
        <w:t>[HC 93.652, rel. min. Ricardo Lewandowski, j. 22-4-2008, 1ª T, DJE de 6-6-2008.]</w:t>
      </w:r>
    </w:p>
    <w:p>
      <w:pPr>
        <w:ind w:left="288"/>
      </w:pPr>
      <w:r>
        <w:rPr>
          <w:color w:val="8C8C8C"/>
          <w:sz w:val="12"/>
        </w:rPr>
        <w:t>cf-art-105</w:t>
      </w:r>
      <w:r>
        <w:rPr>
          <w:color w:val="003CA0"/>
          <w:sz w:val="12"/>
        </w:rPr>
        <w:t xml:space="preserve"> | RMS 22.111</w:t>
      </w:r>
      <w:r>
        <w:rPr>
          <w:color w:val="003CA0"/>
          <w:sz w:val="12"/>
        </w:rPr>
        <w:t xml:space="preserve"> | rel. Sydney Sanches</w:t>
      </w:r>
    </w:p>
    <w:p>
      <w:pPr>
        <w:ind w:left="288"/>
      </w:pPr>
      <w:r>
        <w:rPr>
          <w:color w:val="1E1E1E"/>
          <w:sz w:val="18"/>
        </w:rPr>
        <w:t>Embora o art. 105 da CF atribua competências originárias e recursais ao STJ, nem todas, necessariamente, hão de ser exercitadas pelo Plenário ou pela Corte Especial, de que trata o inciso XI do art. 93. O mesmo ocorre, aliás, com as competências originais e recursais do STF (art. 102, I, II e III, da CF e RISTF). É que a própria Constituição, no art. 96, I, a, em norma autoaplicável, estabelece caber, exclusivamente, aos tribunais, "elaborar seus regimentos internos, dispondo sobre a competência e o funcionamento dos respectivos órgãos jurisdicionais".</w:t>
      </w:r>
    </w:p>
    <w:p>
      <w:pPr>
        <w:ind w:left="288"/>
      </w:pPr>
      <w:r>
        <w:rPr>
          <w:b/>
          <w:color w:val="003CA0"/>
          <w:sz w:val="16"/>
        </w:rPr>
        <w:t>[RMS 22.111, rel. min. Sydney Sanches, j. 14-11-1996, P, DJ de 13-6-1997.]</w:t>
      </w:r>
    </w:p>
    <w:p>
      <w:pPr>
        <w:ind w:left="288"/>
      </w:pPr>
      <w:r>
        <w:rPr>
          <w:color w:val="8C8C8C"/>
          <w:sz w:val="12"/>
        </w:rPr>
        <w:t>cf-art-105-inc-I</w:t>
      </w:r>
      <w:r>
        <w:rPr>
          <w:color w:val="003CA0"/>
          <w:sz w:val="12"/>
        </w:rPr>
        <w:t xml:space="preserve"> | ADI 4.190</w:t>
      </w:r>
      <w:r>
        <w:rPr>
          <w:color w:val="003CA0"/>
          <w:sz w:val="12"/>
        </w:rPr>
        <w:t xml:space="preserve"> | rel. Nunes Marques</w:t>
      </w:r>
    </w:p>
    <w:p>
      <w:pPr>
        <w:ind w:left="288"/>
      </w:pPr>
      <w:r>
        <w:rPr>
          <w:color w:val="1E1E1E"/>
          <w:sz w:val="18"/>
        </w:rPr>
        <w:t>a) nos crimes comuns, os Governadores dos Estados e do Distrito Federal, e, nestes e nos de responsabilidade, os desembargadores dos Tribunais de Justiça dos Estados e do Distrito Federal, os membros dos Tribunais de Contas dos Estados e do Distrito Federal, os dos Tribunais Regionais Federais, dos Tribunais Regionais Eleitorais e do Trabalho, os membros dos Conselhos ou Tribunais de Contas dos Municípios e os do Ministério Público da União que oficiem perante tribunais; As normas infirmadas, ao submeterem os Conselheiros do TCE-RJ ao julgamento da Assembleia Legislativa, afrontam a competênci</w:t>
      </w:r>
    </w:p>
    <w:p>
      <w:pPr>
        <w:ind w:left="288"/>
      </w:pPr>
      <w:r>
        <w:rPr>
          <w:b/>
          <w:color w:val="003CA0"/>
          <w:sz w:val="16"/>
        </w:rPr>
        <w:t>[ADI 4.190, rel. min. Nunes Marques, j. 24.02.2025, P, DJE de 11.03.2025.]</w:t>
      </w:r>
    </w:p>
    <w:p>
      <w:pPr>
        <w:ind w:left="144"/>
      </w:pPr>
      <w:r>
        <w:rPr>
          <w:b/>
          <w:color w:val="B45A00"/>
          <w:sz w:val="16"/>
        </w:rPr>
        <w:t>CONTROLE CONCENTRADO</w:t>
      </w:r>
    </w:p>
    <w:p>
      <w:pPr>
        <w:ind w:left="288"/>
      </w:pPr>
      <w:r>
        <w:rPr>
          <w:color w:val="8C8C8C"/>
          <w:sz w:val="12"/>
        </w:rPr>
        <w:t>cf-art-105-inc-I</w:t>
      </w:r>
      <w:r>
        <w:rPr>
          <w:color w:val="003CA0"/>
          <w:sz w:val="12"/>
        </w:rPr>
        <w:t xml:space="preserve"> | ADI 5.540</w:t>
      </w:r>
      <w:r>
        <w:rPr>
          <w:color w:val="003CA0"/>
          <w:sz w:val="12"/>
        </w:rPr>
        <w:t xml:space="preserve"> | rel. Edson Fachin</w:t>
      </w:r>
    </w:p>
    <w:p>
      <w:pPr>
        <w:ind w:left="288"/>
      </w:pPr>
      <w:r>
        <w:rPr>
          <w:color w:val="1E1E1E"/>
          <w:sz w:val="18"/>
        </w:rPr>
        <w:t>Não há fundamento normativo-constitucional expresso que faculte aos Estados possuírem em suas Constituições estaduais a exigência de autorização prévia da Assembleia Legislativa para o processamento e julgamento de Governador por crime comum perante o Superior Tribunal de Justiça. A regra do art. 51, I, CRFB, prevista de forma expressa apenas para o Presidente da República, não comporta interpretação extensiva aos Governadores de Estado, visto que excepciona a regra geral que estabelece a ausência de condição de procedibilidade política para o processamento de ação penal pública. A exigência d</w:t>
      </w:r>
    </w:p>
    <w:p>
      <w:pPr>
        <w:ind w:left="144"/>
      </w:pPr>
      <w:r>
        <w:rPr>
          <w:b/>
          <w:color w:val="B45A00"/>
          <w:sz w:val="16"/>
        </w:rPr>
        <w:t>REPERCUSSAO GERAL</w:t>
      </w:r>
    </w:p>
    <w:p>
      <w:pPr>
        <w:ind w:left="288"/>
      </w:pPr>
      <w:r>
        <w:rPr>
          <w:color w:val="8C8C8C"/>
          <w:sz w:val="12"/>
        </w:rPr>
        <w:t>cf-art-105-inc-I</w:t>
      </w:r>
      <w:r>
        <w:rPr>
          <w:color w:val="003CA0"/>
          <w:sz w:val="12"/>
        </w:rPr>
        <w:t xml:space="preserve"> | RE 549.560</w:t>
      </w:r>
      <w:r>
        <w:rPr>
          <w:color w:val="003CA0"/>
          <w:sz w:val="12"/>
        </w:rPr>
        <w:t xml:space="preserve"> | rel. Ricardo Lewandowski</w:t>
      </w:r>
    </w:p>
    <w:p>
      <w:pPr>
        <w:ind w:left="288"/>
      </w:pPr>
      <w:r>
        <w:rPr>
          <w:color w:val="1E1E1E"/>
          <w:sz w:val="18"/>
        </w:rPr>
        <w:t>A aposentadoria do magistrado, ainda que voluntária, transfere a competência para processamento e julgamento de eventual ilícito penal para o primeiro grau de jurisdição.</w:t>
        <w:br/>
        <w:t>[RE 549.560, rel. min. Ricardo Lewandowski, j. 22-3-2012, P, DJE de 30-5-2014, Tema 453.]</w:t>
      </w:r>
    </w:p>
    <w:p>
      <w:pPr>
        <w:ind w:left="144"/>
      </w:pPr>
      <w:r>
        <w:rPr>
          <w:b/>
          <w:color w:val="B45A00"/>
          <w:sz w:val="16"/>
        </w:rPr>
        <w:t>JULGADOS CORRELATOS</w:t>
      </w:r>
    </w:p>
    <w:p>
      <w:pPr>
        <w:ind w:left="288"/>
      </w:pPr>
      <w:r>
        <w:rPr>
          <w:color w:val="8C8C8C"/>
          <w:sz w:val="12"/>
        </w:rPr>
        <w:t>cf-art-105-inc-I</w:t>
      </w:r>
      <w:r>
        <w:rPr>
          <w:color w:val="003CA0"/>
          <w:sz w:val="12"/>
        </w:rPr>
        <w:t xml:space="preserve"> | INQ 2.718</w:t>
      </w:r>
      <w:r>
        <w:rPr>
          <w:color w:val="003CA0"/>
          <w:sz w:val="12"/>
        </w:rPr>
        <w:t xml:space="preserve"> | rel. Ricardo Lewandowski</w:t>
      </w:r>
    </w:p>
    <w:p>
      <w:pPr>
        <w:ind w:left="288"/>
      </w:pPr>
      <w:r>
        <w:rPr>
          <w:color w:val="1E1E1E"/>
          <w:sz w:val="18"/>
        </w:rPr>
        <w:t>Senador e governador de Estado. (...) Conforme precedentes do STF, salvo casos excepcionais, é de ser desmembrado o inquérito policial de modo a que o feito, nesta Corte, prossiga apenas em relação àqueles que possuem o foro constitucional. Desmembrado o feito, resta prejudicada questão de ordem que aventava acerca da necessidade de prévia manifestação da assembleia legislativa para o recebimento da denúncia em face de governador de Estado.</w:t>
      </w:r>
    </w:p>
    <w:p>
      <w:pPr>
        <w:ind w:left="288"/>
      </w:pPr>
      <w:r>
        <w:rPr>
          <w:b/>
          <w:color w:val="003CA0"/>
          <w:sz w:val="16"/>
        </w:rPr>
        <w:t>[Inq 2.718 QO, rel. min. Ricardo Lewandowski, j. 20-8-2009, P, DJE de 27-11-2009.]</w:t>
      </w:r>
    </w:p>
    <w:p>
      <w:pPr>
        <w:ind w:left="288"/>
      </w:pPr>
      <w:r>
        <w:rPr>
          <w:color w:val="8C8C8C"/>
          <w:sz w:val="12"/>
        </w:rPr>
        <w:t>cf-art-105-inc-I</w:t>
      </w:r>
      <w:r>
        <w:rPr>
          <w:color w:val="003CA0"/>
          <w:sz w:val="12"/>
        </w:rPr>
        <w:t xml:space="preserve"> | HC 92.893</w:t>
      </w:r>
      <w:r>
        <w:rPr>
          <w:color w:val="003CA0"/>
          <w:sz w:val="12"/>
        </w:rPr>
        <w:t xml:space="preserve"> | rel. Ricardo Lewandowski</w:t>
      </w:r>
    </w:p>
    <w:p>
      <w:pPr>
        <w:ind w:left="288"/>
      </w:pPr>
      <w:r>
        <w:rPr>
          <w:color w:val="1E1E1E"/>
          <w:sz w:val="18"/>
        </w:rPr>
        <w:t xml:space="preserve">O cerne da questão em debate neste writ consiste em saber se está ou não impedido o magistrado que, tendo presidido o inquérito, tornou-se, posteriormente, prevento para atuar como relator da ação penal. (...) Em se tratando de processos penais originários, que tramitam no STJ e no STF, regulados pela Lei 8.038/1990, de acordo com o seu art. 2º, parágrafo único, "o relator escolhido, na forma regimental (...) terá as atribuições que a legislação processual confere aos juízes singulares". Entre essas atribuições encontra-se, exatamente, a de presidir o andamento do inquérito. (...) Quer dizer, </w:t>
      </w:r>
    </w:p>
    <w:p>
      <w:pPr>
        <w:ind w:left="288"/>
      </w:pPr>
      <w:r>
        <w:rPr>
          <w:b/>
          <w:color w:val="003CA0"/>
          <w:sz w:val="16"/>
        </w:rPr>
        <w:t>[HC 92.893, voto do rel. min. Ricardo Lewandowski, j. 2-10-2008, P, DJE de 12-12-2008.]</w:t>
      </w:r>
    </w:p>
    <w:p>
      <w:pPr>
        <w:ind w:left="288"/>
      </w:pPr>
      <w:r>
        <w:rPr>
          <w:color w:val="8C8C8C"/>
          <w:sz w:val="12"/>
        </w:rPr>
        <w:t>cf-art-105-inc-I</w:t>
      </w:r>
      <w:r>
        <w:rPr>
          <w:color w:val="003CA0"/>
          <w:sz w:val="12"/>
        </w:rPr>
        <w:t xml:space="preserve"> | HC 94.278</w:t>
      </w:r>
      <w:r>
        <w:rPr>
          <w:color w:val="003CA0"/>
          <w:sz w:val="12"/>
        </w:rPr>
        <w:t xml:space="preserve"> | rel. Menezes Direito</w:t>
      </w:r>
    </w:p>
    <w:p>
      <w:pPr>
        <w:ind w:left="288"/>
      </w:pPr>
      <w:r>
        <w:rPr>
          <w:color w:val="1E1E1E"/>
          <w:sz w:val="18"/>
        </w:rPr>
        <w:t>Inquérito judicial. STJ. Investigado com prerrogativa de foro naquela Corte. Interpretação do art. 33, parágrafo único, da Loman. Trancamento. Ausência de constrangimento ilegal. Precedentes. A remessa dos autos do inquérito ao STJ deu-se por estrito cumprimento à regra de competência originária, prevista na CF (art. 105, I, a), em virtude da suposta participação do paciente, juiz federal do TRF 3ª Região, nos fatos investigados, não sendo necessária a deliberação prévia da Corte Especial daquele Superior Tribunal, cabendo ao relator dirigir o inquérito.</w:t>
      </w:r>
    </w:p>
    <w:p>
      <w:pPr>
        <w:ind w:left="288"/>
      </w:pPr>
      <w:r>
        <w:rPr>
          <w:b/>
          <w:color w:val="003CA0"/>
          <w:sz w:val="16"/>
        </w:rPr>
        <w:t>[HC 94.278, rel. min. Menezes Direito, j. 25-9-2008, P, DJE de 28-11-2008.]</w:t>
      </w:r>
    </w:p>
    <w:p>
      <w:pPr>
        <w:ind w:left="288"/>
      </w:pPr>
      <w:r>
        <w:rPr>
          <w:color w:val="8C8C8C"/>
          <w:sz w:val="12"/>
        </w:rPr>
        <w:t>cf-art-105-inc-I</w:t>
      </w:r>
      <w:r>
        <w:rPr>
          <w:color w:val="003CA0"/>
          <w:sz w:val="12"/>
        </w:rPr>
        <w:t xml:space="preserve"> | HC 89.056</w:t>
      </w:r>
      <w:r>
        <w:rPr>
          <w:color w:val="003CA0"/>
          <w:sz w:val="12"/>
        </w:rPr>
        <w:t xml:space="preserve"> | rel. Marco Aurélio</w:t>
      </w:r>
    </w:p>
    <w:p>
      <w:pPr>
        <w:ind w:left="288"/>
      </w:pPr>
      <w:r>
        <w:rPr>
          <w:color w:val="1E1E1E"/>
          <w:sz w:val="18"/>
        </w:rPr>
        <w:t>Competência. Prerrogativa de foro. Natureza da disciplina. A competência por prerrogativa de foro é de Direito estrito, não se podendo, considerada conexão ou continência, estendê-la a ponto de alcançar inquérito ou ação penal relativos a cidadão comum.</w:t>
      </w:r>
    </w:p>
    <w:p>
      <w:pPr>
        <w:ind w:left="288"/>
      </w:pPr>
      <w:r>
        <w:rPr>
          <w:b/>
          <w:color w:val="003CA0"/>
          <w:sz w:val="16"/>
        </w:rPr>
        <w:t>[HC 89.056, rel. min. Marco Aurélio, j. 12-8-2008, 1ª T, DJE de 3-10-2008.]</w:t>
      </w:r>
    </w:p>
    <w:p>
      <w:pPr>
        <w:ind w:left="288"/>
      </w:pPr>
      <w:r>
        <w:rPr>
          <w:color w:val="8C8C8C"/>
          <w:sz w:val="12"/>
        </w:rPr>
        <w:t>cf-art-105-inc-I</w:t>
      </w:r>
      <w:r>
        <w:rPr>
          <w:color w:val="003CA0"/>
          <w:sz w:val="12"/>
        </w:rPr>
        <w:t xml:space="preserve"> | HC 91.224</w:t>
      </w:r>
    </w:p>
    <w:p>
      <w:pPr>
        <w:ind w:left="288"/>
      </w:pPr>
      <w:r>
        <w:rPr>
          <w:color w:val="1E1E1E"/>
          <w:sz w:val="18"/>
        </w:rPr>
        <w:t>Foro especial. Impetração contra decisão de desmembramento de inquérito que manteve o paciente sob a jurisdição do STF por conexão. Inexistência de afronta ao princípio do juiz natural: Súmula 704 do STF. Falta de interesse de agir: não ocorrência.</w:t>
      </w:r>
    </w:p>
    <w:p>
      <w:pPr>
        <w:ind w:left="288"/>
      </w:pPr>
      <w:r>
        <w:rPr>
          <w:b/>
          <w:color w:val="003CA0"/>
          <w:sz w:val="16"/>
        </w:rPr>
        <w:t>[HC 91.224, red. do ac. min. Cármen Lúcia, j. 15-10-2007, P, DJE de 16-5-2008.]</w:t>
      </w:r>
    </w:p>
    <w:p>
      <w:pPr>
        <w:ind w:left="288"/>
      </w:pPr>
      <w:r>
        <w:rPr>
          <w:color w:val="8C8C8C"/>
          <w:sz w:val="12"/>
        </w:rPr>
        <w:t>cf-art-105-inc-I</w:t>
      </w:r>
      <w:r>
        <w:rPr>
          <w:color w:val="003CA0"/>
          <w:sz w:val="12"/>
        </w:rPr>
        <w:t xml:space="preserve"> | INQ 2.718</w:t>
      </w:r>
      <w:r>
        <w:rPr>
          <w:color w:val="003CA0"/>
          <w:sz w:val="12"/>
        </w:rPr>
        <w:t xml:space="preserve"> | rel. Ricardo Lewandowski</w:t>
      </w:r>
    </w:p>
    <w:p>
      <w:pPr>
        <w:ind w:left="288"/>
      </w:pPr>
      <w:r>
        <w:rPr>
          <w:color w:val="1E1E1E"/>
          <w:sz w:val="18"/>
        </w:rPr>
        <w:t>Vide Inq 2.718 QO, rel. min. Ricardo Lewandowski, j. 20-8-2009, P, DJE de 27-11-2009 Vide Inq 2.424, rel. min. Cezar Peluso, j. 26-11-2008, P, DJE de 26-3-2010 Não viola as garantias do juiz natural e da ampla defesa, elementares do devido processo legal, a atração, por conexão ou continência, do processo do corréu ao foro por prerrogativa de função de um dos denunciados, a qual é irrenunciável.</w:t>
      </w:r>
    </w:p>
    <w:p>
      <w:pPr>
        <w:ind w:left="288"/>
      </w:pPr>
      <w:r>
        <w:rPr>
          <w:b/>
          <w:color w:val="003CA0"/>
          <w:sz w:val="16"/>
        </w:rPr>
        <w:t>[HC 91.437, rel. min. Cezar Peluso, j. 4-9-2007, 2ª T, DJ de 19-10-2007.]</w:t>
      </w:r>
    </w:p>
    <w:p>
      <w:pPr>
        <w:ind w:left="288"/>
      </w:pPr>
      <w:r>
        <w:rPr>
          <w:color w:val="8C8C8C"/>
          <w:sz w:val="12"/>
        </w:rPr>
        <w:t>cf-art-105-inc-I</w:t>
      </w:r>
      <w:r>
        <w:rPr>
          <w:color w:val="003CA0"/>
          <w:sz w:val="12"/>
        </w:rPr>
        <w:t xml:space="preserve"> | HC 89.417</w:t>
      </w:r>
      <w:r>
        <w:rPr>
          <w:color w:val="003CA0"/>
          <w:sz w:val="12"/>
        </w:rPr>
        <w:t xml:space="preserve"> | rel. Cármen Lúcia</w:t>
      </w:r>
    </w:p>
    <w:p>
      <w:pPr>
        <w:ind w:left="288"/>
      </w:pPr>
      <w:r>
        <w:rPr>
          <w:color w:val="1E1E1E"/>
          <w:sz w:val="18"/>
        </w:rPr>
        <w:t>= HC 89.417, rel. min. Cármen Lúcia, j. 22-8-2006, 1ª T, DJ de 15-12-2006 Competência. Prerrogativa de foro. Perpetuação. Art. 84, § 1º, do CPP. Alcance. Na dicção da ilustrada maioria, vencido o relator, a previsão do art. 84, § 1º, do CPP não alcança fatos a envolver governador de Estado (...).</w:t>
      </w:r>
    </w:p>
    <w:p>
      <w:pPr>
        <w:ind w:left="288"/>
      </w:pPr>
      <w:r>
        <w:rPr>
          <w:b/>
          <w:color w:val="003CA0"/>
          <w:sz w:val="16"/>
        </w:rPr>
        <w:t>[HC 85.675 QO, rel. min. Marco Aurélio, j. 17-5-2005, 1ª T, DJ de 19-8-2005.]</w:t>
      </w:r>
    </w:p>
    <w:p>
      <w:pPr>
        <w:ind w:left="288"/>
      </w:pPr>
      <w:r>
        <w:rPr>
          <w:color w:val="8C8C8C"/>
          <w:sz w:val="12"/>
        </w:rPr>
        <w:t>cf-art-105-inc-I</w:t>
      </w:r>
      <w:r>
        <w:rPr>
          <w:color w:val="003CA0"/>
          <w:sz w:val="12"/>
        </w:rPr>
        <w:t xml:space="preserve"> | HC 84.301</w:t>
      </w:r>
      <w:r>
        <w:rPr>
          <w:color w:val="003CA0"/>
          <w:sz w:val="12"/>
        </w:rPr>
        <w:t xml:space="preserve"> | rel. Joaquim Barbosa</w:t>
      </w:r>
    </w:p>
    <w:p>
      <w:pPr>
        <w:ind w:left="288"/>
      </w:pPr>
      <w:r>
        <w:rPr>
          <w:color w:val="1E1E1E"/>
          <w:sz w:val="18"/>
        </w:rPr>
        <w:t>Incompetência absoluta do TRF 3ª Região para julgar os fatos imputados ao paciente, dada a suposta participação de subprocurador da República, o que determinaria a competência do STJ (art. 105, I, a, da Constituição). Ainda não houve o oferecimento de denúncia contra o subprocurador da República, de modo que não há como deslocar a competência para o STJ.</w:t>
      </w:r>
    </w:p>
    <w:p>
      <w:pPr>
        <w:ind w:left="288"/>
      </w:pPr>
      <w:r>
        <w:rPr>
          <w:b/>
          <w:color w:val="003CA0"/>
          <w:sz w:val="16"/>
        </w:rPr>
        <w:t>[HC 84.301, rel. min. Joaquim Barbosa, j. 9-11-2004, 2ª T, DJ de 24-3-2006.]</w:t>
      </w:r>
    </w:p>
    <w:p>
      <w:pPr>
        <w:ind w:left="288"/>
      </w:pPr>
      <w:r>
        <w:rPr>
          <w:color w:val="8C8C8C"/>
          <w:sz w:val="12"/>
        </w:rPr>
        <w:t>cf-art-105-inc-I</w:t>
      </w:r>
      <w:r>
        <w:rPr>
          <w:color w:val="003CA0"/>
          <w:sz w:val="12"/>
        </w:rPr>
        <w:t xml:space="preserve"> | MS 23.554</w:t>
      </w:r>
      <w:r>
        <w:rPr>
          <w:color w:val="003CA0"/>
          <w:sz w:val="12"/>
        </w:rPr>
        <w:t xml:space="preserve"> | rel. Ilmar Galvão</w:t>
      </w:r>
    </w:p>
    <w:p>
      <w:pPr>
        <w:ind w:left="288"/>
      </w:pPr>
      <w:r>
        <w:rPr>
          <w:color w:val="1E1E1E"/>
          <w:sz w:val="18"/>
        </w:rPr>
        <w:t>Ato de CPI que determinou a quebra dos sigilos bancário, fiscal e de registro de dados telefônicos do impetrante. Alegada incompetência do órgão para investigar conselheiro de tribunal de contas. Improcedência da preliminar de incompetência, dado não se configurar, no caso, a hipótese prevista no art. 105, I, a, da Constituição, qual seja, de processamento e julgamento de crime comum atribuído a integrante de órgão público da espécie em causa.</w:t>
      </w:r>
    </w:p>
    <w:p>
      <w:pPr>
        <w:ind w:left="288"/>
      </w:pPr>
      <w:r>
        <w:rPr>
          <w:b/>
          <w:color w:val="003CA0"/>
          <w:sz w:val="16"/>
        </w:rPr>
        <w:t>[MS 23.554, rel. min. Ilmar Galvão, j. 29-11-2000, P, DJ de 23-2-2001.]</w:t>
      </w:r>
    </w:p>
    <w:p>
      <w:pPr>
        <w:ind w:left="288"/>
      </w:pPr>
      <w:r>
        <w:rPr>
          <w:color w:val="8C8C8C"/>
          <w:sz w:val="12"/>
        </w:rPr>
        <w:t>cf-art-105-inc-I</w:t>
      </w:r>
      <w:r>
        <w:rPr>
          <w:color w:val="003CA0"/>
          <w:sz w:val="12"/>
        </w:rPr>
        <w:t xml:space="preserve"> | HC 79.212</w:t>
      </w:r>
      <w:r>
        <w:rPr>
          <w:color w:val="003CA0"/>
          <w:sz w:val="12"/>
        </w:rPr>
        <w:t xml:space="preserve"> | rel. Marco Aurélio</w:t>
      </w:r>
    </w:p>
    <w:p>
      <w:pPr>
        <w:ind w:left="288"/>
      </w:pPr>
      <w:r>
        <w:rPr>
          <w:color w:val="1E1E1E"/>
          <w:sz w:val="18"/>
        </w:rPr>
        <w:t>A competência do tribunal do júri para o julgamento dos crimes dolosos contra a vida é mitigada pela própria Carta da República, no que prevista prerrogativa de foro, tendo em conta a dignidade de certos cargos e a relevância destes para o Estado. Simetria a ser observada, visto que o Diploma Maior local rege o tema em harmonia com a Carta Federal, no que esta revela a competência do STJ para julgar, nos crimes comuns, os membros do Ministério Público junto ao TCU.</w:t>
      </w:r>
    </w:p>
    <w:p>
      <w:pPr>
        <w:ind w:left="288"/>
      </w:pPr>
      <w:r>
        <w:rPr>
          <w:b/>
          <w:color w:val="003CA0"/>
          <w:sz w:val="16"/>
        </w:rPr>
        <w:t>[HC 79.212, rel. min. Marco Aurélio, j. 29-6-1999, 2ª T, DJ de 7-9-1999.]</w:t>
      </w:r>
    </w:p>
    <w:p>
      <w:pPr>
        <w:ind w:left="288"/>
      </w:pPr>
      <w:r>
        <w:rPr>
          <w:color w:val="8C8C8C"/>
          <w:sz w:val="12"/>
        </w:rPr>
        <w:t>cf-art-105-inc-I</w:t>
      </w:r>
      <w:r>
        <w:rPr>
          <w:color w:val="003CA0"/>
          <w:sz w:val="12"/>
        </w:rPr>
        <w:t xml:space="preserve"> | HC 73.801</w:t>
      </w:r>
      <w:r>
        <w:rPr>
          <w:color w:val="003CA0"/>
          <w:sz w:val="12"/>
        </w:rPr>
        <w:t xml:space="preserve"> | rel. Celso de Mello</w:t>
      </w:r>
    </w:p>
    <w:p>
      <w:pPr>
        <w:ind w:left="288"/>
      </w:pPr>
      <w:r>
        <w:rPr>
          <w:color w:val="1E1E1E"/>
          <w:sz w:val="18"/>
        </w:rPr>
        <w:t>Os membros do MPU, que atuam perante quaisquer tribunais judiciários, estão sujeitos à jurisdição penal originária do STJ (CF, art. 105, I, a, in fine), a quem compete processá-los e julgá-los nos ilícitos penais comuns, ressalvada a prerrogativa de foro do PGR, que tem, no STF, o seu juiz natural. (CF, art. 102, I, b). A superveniente investidura do membro do MPU, em cargo ou em função por ele efetivamente exercido perante tribunais, tem a virtude de deslocar, ope constitutionis, para o STJ, a competência originária para o respectivo processo penal condenatório, ainda que a suposta prática de</w:t>
      </w:r>
    </w:p>
    <w:p>
      <w:pPr>
        <w:ind w:left="288"/>
      </w:pPr>
      <w:r>
        <w:rPr>
          <w:b/>
          <w:color w:val="003CA0"/>
          <w:sz w:val="16"/>
        </w:rPr>
        <w:t>[HC 73.801, rel. min. Celso de Mello, j. 25-6-1996, 1ª T, DJ de 27-6-1997.]</w:t>
      </w:r>
    </w:p>
    <w:p>
      <w:pPr>
        <w:ind w:left="288"/>
      </w:pPr>
      <w:r>
        <w:rPr>
          <w:color w:val="8C8C8C"/>
          <w:sz w:val="12"/>
        </w:rPr>
        <w:t>cf-art-105-inc-I</w:t>
      </w:r>
      <w:r>
        <w:rPr>
          <w:color w:val="003CA0"/>
          <w:sz w:val="12"/>
        </w:rPr>
        <w:t xml:space="preserve"> | RHC 84.184</w:t>
      </w:r>
      <w:r>
        <w:rPr>
          <w:color w:val="003CA0"/>
          <w:sz w:val="12"/>
        </w:rPr>
        <w:t xml:space="preserve"> | rel. Cezar Peluso</w:t>
      </w:r>
    </w:p>
    <w:p>
      <w:pPr>
        <w:ind w:left="288"/>
      </w:pPr>
      <w:r>
        <w:rPr>
          <w:color w:val="1E1E1E"/>
          <w:sz w:val="18"/>
        </w:rPr>
        <w:t>= RHC 84.184, rel. min. Cezar Peluso, j. 6-6-2006, 1ª T, DJ de 25-8-2006 A expressão "crime comum", na linguagem constitucional, é usada em contraposição aos impropriamente chamados crimes de responsabilidade, cuja sanção é política, e abrange, por conseguinte, todo e qualquer delito, entre outros, os crimes eleitorais. Jurisprudência antiga e harmônica do STF. Competência originária do STJ para processar e julgar governador de Estado acusado da prática de crime comum, Constituição, art. 105, I, a.</w:t>
      </w:r>
    </w:p>
    <w:p>
      <w:pPr>
        <w:ind w:left="288"/>
      </w:pPr>
      <w:r>
        <w:rPr>
          <w:b/>
          <w:color w:val="003CA0"/>
          <w:sz w:val="16"/>
        </w:rPr>
        <w:t>[CJ 6.971, rel. min. Paulo Brossard, j. 30-10-1991, P, DJ de 21-2-1992.]</w:t>
      </w:r>
    </w:p>
    <w:p>
      <w:pPr>
        <w:ind w:left="288"/>
      </w:pPr>
      <w:r>
        <w:rPr>
          <w:color w:val="8C8C8C"/>
          <w:sz w:val="12"/>
        </w:rPr>
        <w:t>cf-art-105-inc-I-ali-b</w:t>
      </w:r>
      <w:r>
        <w:rPr>
          <w:color w:val="003CA0"/>
          <w:sz w:val="12"/>
        </w:rPr>
        <w:t xml:space="preserve"> | RMS 40.429</w:t>
      </w:r>
      <w:r>
        <w:rPr>
          <w:color w:val="003CA0"/>
          <w:sz w:val="12"/>
        </w:rPr>
        <w:t xml:space="preserve"> | rel. Gilmar Mendes</w:t>
      </w:r>
    </w:p>
    <w:p>
      <w:pPr>
        <w:ind w:left="288"/>
      </w:pPr>
      <w:r>
        <w:rPr>
          <w:color w:val="1E1E1E"/>
          <w:sz w:val="18"/>
        </w:rPr>
        <w:t>A Constituição Federal, em seu artigo 105, inciso I, alínea "b", estabelece taxativamente as autoridades cujos atos o Superior Tribunal de Justiça é competente para processar e julgar em mandado de segurança, não incluindo atos do Ministro Corregedor-Geral, no exercício da Presidência da Turma Nacional de Uniformização.</w:t>
      </w:r>
    </w:p>
    <w:p>
      <w:pPr>
        <w:ind w:left="288"/>
      </w:pPr>
      <w:r>
        <w:rPr>
          <w:b/>
          <w:color w:val="003CA0"/>
          <w:sz w:val="16"/>
        </w:rPr>
        <w:t>[RMS 40.429 ED, rel. min. Gilmar Mendes, j. 29.09.2025, 2ª T, DJE de 01.10.2025.]</w:t>
      </w:r>
    </w:p>
    <w:p>
      <w:pPr>
        <w:ind w:left="288"/>
      </w:pPr>
      <w:r>
        <w:rPr>
          <w:color w:val="8C8C8C"/>
          <w:sz w:val="12"/>
        </w:rPr>
        <w:t>cf-art-105-inc-I-ali-b</w:t>
      </w:r>
      <w:r>
        <w:rPr>
          <w:color w:val="003CA0"/>
          <w:sz w:val="12"/>
        </w:rPr>
        <w:t xml:space="preserve"> | RCL 10.707</w:t>
      </w:r>
      <w:r>
        <w:rPr>
          <w:color w:val="003CA0"/>
          <w:sz w:val="12"/>
        </w:rPr>
        <w:t xml:space="preserve"> | rel. Celso de Mello</w:t>
      </w:r>
    </w:p>
    <w:p>
      <w:pPr>
        <w:ind w:left="288"/>
      </w:pPr>
      <w:r>
        <w:rPr>
          <w:color w:val="1E1E1E"/>
          <w:sz w:val="18"/>
        </w:rPr>
        <w:t xml:space="preserve">Mostra-se irrecusável concluir, desse modo, que a Terceira Seção do E. STJ atuou, no processo mandamental em referência, dentro dos estritos limites de sua própria competência, sem que se possa atribuir, portanto, a essa colenda Corte judiciária, ora apontada como reclamada, a prática de ato usurpador da competência do STF. Na realidade, o ora interessado ajuizou ação de mandado de segurança, perante o STJ, porque nela apontado, como autoridade coatora, o ministro da Justiça, em decorrência de ato compreendido em suas atribuições como agente político auxiliar do presidente da República. (...) </w:t>
      </w:r>
    </w:p>
    <w:p>
      <w:pPr>
        <w:ind w:left="288"/>
      </w:pPr>
      <w:r>
        <w:rPr>
          <w:b/>
          <w:color w:val="003CA0"/>
          <w:sz w:val="16"/>
        </w:rPr>
        <w:t>[Rcl 10.707 AgR, voto do rel. min. Celso de Mello, j. 28-5-2014, P, DJE de 30-10-2014.]</w:t>
      </w:r>
    </w:p>
    <w:p>
      <w:pPr>
        <w:ind w:left="288"/>
      </w:pPr>
      <w:r>
        <w:rPr>
          <w:color w:val="8C8C8C"/>
          <w:sz w:val="12"/>
        </w:rPr>
        <w:t>cf-art-105-inc-I-ali-b</w:t>
      </w:r>
      <w:r>
        <w:rPr>
          <w:color w:val="003CA0"/>
          <w:sz w:val="12"/>
        </w:rPr>
        <w:t xml:space="preserve"> | RMS 26.413</w:t>
      </w:r>
      <w:r>
        <w:rPr>
          <w:color w:val="003CA0"/>
          <w:sz w:val="12"/>
        </w:rPr>
        <w:t xml:space="preserve"> | rel. Cármen Lúcia</w:t>
      </w:r>
    </w:p>
    <w:p>
      <w:pPr>
        <w:ind w:left="288"/>
      </w:pPr>
      <w:r>
        <w:rPr>
          <w:color w:val="1E1E1E"/>
          <w:sz w:val="18"/>
        </w:rPr>
        <w:t>Incompetência do STJ para processar e julgar ato dos presidentes do Superior Tribunal de Justiça Desportiva e da Confederação Brasileira de Futebol. O rol do art. 105, I, b, da Constituição da República é taxativo e não admite interpretação extensiva.</w:t>
      </w:r>
    </w:p>
    <w:p>
      <w:pPr>
        <w:ind w:left="288"/>
      </w:pPr>
      <w:r>
        <w:rPr>
          <w:b/>
          <w:color w:val="003CA0"/>
          <w:sz w:val="16"/>
        </w:rPr>
        <w:t>[RMS 26.413 AgR, rel. min. Cármen Lúcia, j. 26-4-2011, 1ª T, DJE de 24-5-2011.]</w:t>
      </w:r>
    </w:p>
    <w:p>
      <w:pPr>
        <w:ind w:left="288"/>
      </w:pPr>
      <w:r>
        <w:rPr>
          <w:color w:val="8C8C8C"/>
          <w:sz w:val="12"/>
        </w:rPr>
        <w:t>cf-art-105-inc-I-ali-b</w:t>
      </w:r>
      <w:r>
        <w:rPr>
          <w:color w:val="003CA0"/>
          <w:sz w:val="12"/>
        </w:rPr>
        <w:t xml:space="preserve"> | HC 99.010</w:t>
      </w:r>
      <w:r>
        <w:rPr>
          <w:color w:val="003CA0"/>
          <w:sz w:val="12"/>
        </w:rPr>
        <w:t xml:space="preserve"> | rel. Eros Grau</w:t>
      </w:r>
    </w:p>
    <w:p>
      <w:pPr>
        <w:ind w:left="288"/>
      </w:pPr>
      <w:r>
        <w:rPr>
          <w:color w:val="1E1E1E"/>
          <w:sz w:val="18"/>
        </w:rPr>
        <w:t>A competência originária do STJ para julgar mandado de segurança está definida, numerus clausus, no art. 105, I, b, da Constituição do Brasil. O STJ não é competente para julgar mandado de segurança impetrado contra atos de outros tribunais ou dos seus respectivos órgãos.</w:t>
      </w:r>
    </w:p>
    <w:p>
      <w:pPr>
        <w:ind w:left="288"/>
      </w:pPr>
      <w:r>
        <w:rPr>
          <w:b/>
          <w:color w:val="003CA0"/>
          <w:sz w:val="16"/>
        </w:rPr>
        <w:t>[HC 99.010, rel. min. Eros Grau, j. 15-9-2009, 2ª T, DJE de 6-11-2009.]</w:t>
      </w:r>
    </w:p>
    <w:p>
      <w:pPr>
        <w:ind w:left="288"/>
      </w:pPr>
      <w:r>
        <w:rPr>
          <w:color w:val="8C8C8C"/>
          <w:sz w:val="12"/>
        </w:rPr>
        <w:t>cf-art-105-inc-I-ali-b</w:t>
      </w:r>
      <w:r>
        <w:rPr>
          <w:color w:val="003CA0"/>
          <w:sz w:val="12"/>
        </w:rPr>
        <w:t xml:space="preserve"> | RMS 26.369</w:t>
      </w:r>
    </w:p>
    <w:p>
      <w:pPr>
        <w:ind w:left="288"/>
      </w:pPr>
      <w:r>
        <w:rPr>
          <w:color w:val="1E1E1E"/>
          <w:sz w:val="18"/>
        </w:rPr>
        <w:t>Ministro de Estado não é autoridade competente para determinar a expedição de diploma, tendo a universidade autonomia específica para a prática desse ato. Desqualificada a autoridade apontada como coatora, ministro de Estado da Educação, determina-se a remessa dos autos ao tribunal competente para julgar o mandado de segurança com relação às outras autoridades apontadas como coatoras.</w:t>
      </w:r>
    </w:p>
    <w:p>
      <w:pPr>
        <w:ind w:left="288"/>
      </w:pPr>
      <w:r>
        <w:rPr>
          <w:b/>
          <w:color w:val="003CA0"/>
          <w:sz w:val="16"/>
        </w:rPr>
        <w:t>[RMS 26.369, red. do ac. min. Menezes Direito, j. 9-9-2008, 1ª T, DJE de 19-12-2008.]</w:t>
      </w:r>
    </w:p>
    <w:p>
      <w:pPr>
        <w:ind w:left="288"/>
      </w:pPr>
      <w:r>
        <w:rPr>
          <w:color w:val="8C8C8C"/>
          <w:sz w:val="12"/>
        </w:rPr>
        <w:t>cf-art-105-inc-I-ali-b</w:t>
      </w:r>
      <w:r>
        <w:rPr>
          <w:color w:val="003CA0"/>
          <w:sz w:val="12"/>
        </w:rPr>
        <w:t xml:space="preserve"> | RMS 25.479</w:t>
      </w:r>
      <w:r>
        <w:rPr>
          <w:color w:val="003CA0"/>
          <w:sz w:val="12"/>
        </w:rPr>
        <w:t xml:space="preserve"> | rel. Joaquim Barbosa</w:t>
      </w:r>
    </w:p>
    <w:p>
      <w:pPr>
        <w:ind w:left="288"/>
      </w:pPr>
      <w:r>
        <w:rPr>
          <w:color w:val="1E1E1E"/>
          <w:sz w:val="18"/>
        </w:rPr>
        <w:t>O STJ é incompetente para julgar ato do Conselho Superior da AGU.</w:t>
      </w:r>
    </w:p>
    <w:p>
      <w:pPr>
        <w:ind w:left="288"/>
      </w:pPr>
      <w:r>
        <w:rPr>
          <w:b/>
          <w:color w:val="003CA0"/>
          <w:sz w:val="16"/>
        </w:rPr>
        <w:t>[RMS 25.479, rel. min. Joaquim Barbosa, j. 20-9-2005, 2ª T, DJ de 25-11-2005.]</w:t>
      </w:r>
    </w:p>
    <w:p>
      <w:pPr>
        <w:ind w:left="288"/>
      </w:pPr>
      <w:r>
        <w:rPr>
          <w:color w:val="8C8C8C"/>
          <w:sz w:val="12"/>
        </w:rPr>
        <w:t>cf-art-105-inc-I-ali-b</w:t>
      </w:r>
      <w:r>
        <w:rPr>
          <w:color w:val="003CA0"/>
          <w:sz w:val="12"/>
        </w:rPr>
        <w:t xml:space="preserve"> | MS 20.969</w:t>
      </w:r>
      <w:r>
        <w:rPr>
          <w:color w:val="003CA0"/>
          <w:sz w:val="12"/>
        </w:rPr>
        <w:t xml:space="preserve"> | rel. Carlos Velloso</w:t>
      </w:r>
    </w:p>
    <w:p>
      <w:pPr>
        <w:ind w:left="288"/>
      </w:pPr>
      <w:r>
        <w:rPr>
          <w:color w:val="1E1E1E"/>
          <w:sz w:val="18"/>
        </w:rPr>
        <w:t>A Constituição e a Loman desejam que os mandados de segurança impetrados contra atos de tribunal sejam resolvidos, originariamente, no âmbito do próprio tribunal, com os recursos cabíveis. (CF, art. 102, I, d; art. 105, I, b; art. 108, I, c; Loman, art. 21, VI).</w:t>
      </w:r>
    </w:p>
    <w:p>
      <w:pPr>
        <w:ind w:left="288"/>
      </w:pPr>
      <w:r>
        <w:rPr>
          <w:b/>
          <w:color w:val="003CA0"/>
          <w:sz w:val="16"/>
        </w:rPr>
        <w:t>[MS 20.969 AgR, rel. min. Carlos Velloso, j. 9-8-1990, P, DJ de 31-8-1990.]</w:t>
      </w:r>
    </w:p>
    <w:p>
      <w:pPr>
        <w:ind w:left="288"/>
      </w:pPr>
      <w:r>
        <w:rPr>
          <w:color w:val="8C8C8C"/>
          <w:sz w:val="12"/>
        </w:rPr>
        <w:t>cf-art-105-inc-I-ali-b</w:t>
      </w:r>
      <w:r>
        <w:rPr>
          <w:color w:val="003CA0"/>
          <w:sz w:val="12"/>
        </w:rPr>
        <w:t xml:space="preserve"> | rel. Aldir Passarinho</w:t>
      </w:r>
    </w:p>
    <w:p>
      <w:pPr>
        <w:ind w:left="288"/>
      </w:pPr>
      <w:r>
        <w:rPr>
          <w:color w:val="1E1E1E"/>
          <w:sz w:val="18"/>
        </w:rPr>
        <w:t>Tendo em vista o disposto no art. 105, I, b, da nova Carta Política, a competência para julgar habeas data requerido contra o Serviço Nacional de Informações, cujo titular possui o status de ministro de Estado e contra o ministro da Marinha e do STJ.</w:t>
      </w:r>
    </w:p>
    <w:p>
      <w:pPr>
        <w:ind w:left="288"/>
      </w:pPr>
      <w:r>
        <w:rPr>
          <w:b/>
          <w:color w:val="003CA0"/>
          <w:sz w:val="16"/>
        </w:rPr>
        <w:t>[HD 18 QO, rel. min. Aldir Passarinho, j. 27-4-1989, P, DJ de 9-6-1989.]</w:t>
      </w:r>
    </w:p>
    <w:p>
      <w:pPr>
        <w:ind w:left="288"/>
      </w:pPr>
      <w:r>
        <w:rPr>
          <w:color w:val="8C8C8C"/>
          <w:sz w:val="12"/>
        </w:rPr>
        <w:t>cf-art-105-inc-I-ali-b</w:t>
      </w:r>
    </w:p>
    <w:p>
      <w:pPr>
        <w:ind w:left="288"/>
      </w:pPr>
      <w:r>
        <w:rPr>
          <w:color w:val="1E1E1E"/>
          <w:sz w:val="18"/>
        </w:rPr>
        <w:t>c) os habeas corpus, quando o coator ou paciente for qualquer das pessoas mencionadas na alínea a, ou quando o coator for tribunal sujeito à sua jurisdição, Ministro de Estado ou Comandante da Marinha, do Exército ou da Aeronáutica, ressalvada a competência da Justiça Eleitoral; (Redação da EC 23/1999)</w:t>
      </w:r>
    </w:p>
    <w:p>
      <w:pPr>
        <w:ind w:left="144"/>
      </w:pPr>
      <w:r>
        <w:rPr>
          <w:b/>
          <w:color w:val="B45A00"/>
          <w:sz w:val="16"/>
        </w:rPr>
        <w:t>CONTROLE CONCENTRADO</w:t>
      </w:r>
    </w:p>
    <w:p>
      <w:pPr>
        <w:ind w:left="288"/>
      </w:pPr>
      <w:r>
        <w:rPr>
          <w:color w:val="8C8C8C"/>
          <w:sz w:val="12"/>
        </w:rPr>
        <w:t>cf-art-105-inc-I-ali-b</w:t>
      </w:r>
      <w:r>
        <w:rPr>
          <w:color w:val="003CA0"/>
          <w:sz w:val="12"/>
        </w:rPr>
        <w:t xml:space="preserve"> | ADI 5.278</w:t>
      </w:r>
      <w:r>
        <w:rPr>
          <w:color w:val="003CA0"/>
          <w:sz w:val="12"/>
        </w:rPr>
        <w:t xml:space="preserve"> | rel. Gilmar Mendes</w:t>
      </w:r>
    </w:p>
    <w:p>
      <w:pPr>
        <w:ind w:left="288"/>
      </w:pPr>
      <w:r>
        <w:rPr>
          <w:color w:val="1E1E1E"/>
          <w:sz w:val="18"/>
        </w:rPr>
        <w:t>A Constituição Federal atribui ao Superior Tribunal de Justiça a competência para processar e julgar a ação de habeas corpus quando o coator for desembargador do Tribunal de Justiça do Distrito Federal, membro do Tribunal de Contas do Distrito Federal e membro do Ministério Público da União que oficie perante tribunais. O dispositivo impugnado atribui ao TJDFT a competência para julgar ações de habeas corpus que, por disposição constitucional, são da competência do STJ. Ação julgada procedente para declarar a inconstitucionalidade parcial, sem redução do texto, ao art. 8º, I, c e d, da Lei 11.</w:t>
      </w:r>
    </w:p>
    <w:p>
      <w:pPr>
        <w:ind w:left="144"/>
      </w:pPr>
      <w:r>
        <w:rPr>
          <w:b/>
          <w:color w:val="B45A00"/>
          <w:sz w:val="16"/>
        </w:rPr>
        <w:t>JULGADOS CORRELATOS</w:t>
      </w:r>
    </w:p>
    <w:p>
      <w:pPr>
        <w:ind w:left="288"/>
      </w:pPr>
      <w:r>
        <w:rPr>
          <w:color w:val="8C8C8C"/>
          <w:sz w:val="12"/>
        </w:rPr>
        <w:t>cf-art-105-inc-I-ali-b</w:t>
      </w:r>
      <w:r>
        <w:rPr>
          <w:color w:val="003CA0"/>
          <w:sz w:val="12"/>
        </w:rPr>
        <w:t xml:space="preserve"> | HC 85.702</w:t>
      </w:r>
      <w:r>
        <w:rPr>
          <w:color w:val="003CA0"/>
          <w:sz w:val="12"/>
        </w:rPr>
        <w:t xml:space="preserve"> | rel. Sepúlveda Pertence). [RHC 110.709</w:t>
      </w:r>
    </w:p>
    <w:p>
      <w:pPr>
        <w:ind w:left="288"/>
      </w:pPr>
      <w:r>
        <w:rPr>
          <w:color w:val="1E1E1E"/>
          <w:sz w:val="18"/>
        </w:rPr>
        <w:t>Não se pode estabelecer, como uma espécie de condição processual para o conhecimento do habeas corpus ajuizado no STJ, a prévia interposição de recurso especial contra o acórdão proferido pelo tribunal de segundo grau, em sede de apelação. Condição processual essa que não ressai do art. 105 da CF de 1988, no sentido de que é da competência da Casa Superior de Justiça processar e julgar, originariamente, "os habeas corpus, quando o coator ou paciente for qualquer das pessoas mencionadas na alínea a, ou quando o coator for tribunal sujeito à sua jurisdição, ministro de Estado ou comandante da Ma</w:t>
      </w:r>
    </w:p>
    <w:p>
      <w:pPr>
        <w:ind w:left="288"/>
      </w:pPr>
      <w:r>
        <w:rPr>
          <w:b/>
          <w:color w:val="003CA0"/>
          <w:sz w:val="16"/>
        </w:rPr>
        <w:t>[RHC 110.709, rel. min. Ayres Britto, j. 6-12-2011, 2ª T, DJE de 18-5-2012.]</w:t>
      </w:r>
    </w:p>
    <w:p>
      <w:pPr>
        <w:ind w:left="288"/>
      </w:pPr>
      <w:r>
        <w:rPr>
          <w:color w:val="8C8C8C"/>
          <w:sz w:val="12"/>
        </w:rPr>
        <w:t>cf-art-105-inc-I-ali-b</w:t>
      </w:r>
      <w:r>
        <w:rPr>
          <w:color w:val="003CA0"/>
          <w:sz w:val="12"/>
        </w:rPr>
        <w:t xml:space="preserve"> | RHC 110.710</w:t>
      </w:r>
      <w:r>
        <w:rPr>
          <w:color w:val="003CA0"/>
          <w:sz w:val="12"/>
        </w:rPr>
        <w:t xml:space="preserve"> | rel. Luiz Fux</w:t>
      </w:r>
    </w:p>
    <w:p>
      <w:pPr>
        <w:ind w:left="288"/>
      </w:pPr>
      <w:r>
        <w:rPr>
          <w:color w:val="1E1E1E"/>
          <w:sz w:val="18"/>
        </w:rPr>
        <w:t>= RHC 110.710, rel. min. Luiz Fux, j. 4-9-2012, 1ª T, DJE de 28-9-2012 A competência do STJ para julgar habeas corpus é determinada constitucionalmente em razão do paciente ou da autoridade coatora (art. 105, I, c, da CF). Nesse rol constitucionalmente afirmado, não se inclui a atribuição daquele Superior Tribunal para processar e julgar, originariamente, ação de habeas corpus na qual figure como autoridade coatora juiz de direito.</w:t>
      </w:r>
    </w:p>
    <w:p>
      <w:pPr>
        <w:ind w:left="288"/>
      </w:pPr>
      <w:r>
        <w:rPr>
          <w:b/>
          <w:color w:val="003CA0"/>
          <w:sz w:val="16"/>
        </w:rPr>
        <w:t>[HC 94.067, rel. min. Cármen Lúcia, j. 28-10-2008, 1ª T, DJE de 13-3-2009.]</w:t>
      </w:r>
    </w:p>
    <w:p>
      <w:pPr>
        <w:ind w:left="288"/>
      </w:pPr>
      <w:r>
        <w:rPr>
          <w:color w:val="8C8C8C"/>
          <w:sz w:val="12"/>
        </w:rPr>
        <w:t>cf-art-105-inc-I-ali-b</w:t>
      </w:r>
      <w:r>
        <w:rPr>
          <w:color w:val="003CA0"/>
          <w:sz w:val="12"/>
        </w:rPr>
        <w:t xml:space="preserve"> | HC 77.626</w:t>
      </w:r>
      <w:r>
        <w:rPr>
          <w:color w:val="003CA0"/>
          <w:sz w:val="12"/>
        </w:rPr>
        <w:t xml:space="preserve"> | rel. Marco Aurélio</w:t>
      </w:r>
    </w:p>
    <w:p>
      <w:pPr>
        <w:ind w:left="288"/>
      </w:pPr>
      <w:r>
        <w:rPr>
          <w:color w:val="1E1E1E"/>
          <w:sz w:val="18"/>
        </w:rPr>
        <w:t>A EC 22/1999 excepcionou a regra segundo a qual define a competência para julgamento de habeas a qualificação dos envolvidos. Embora os integrantes dos tribunais de alçada, como juízes estaduais, estejam submetidos, nos crimes comuns e de responsabilidade, à jurisdição do tribunal de justiça local, cumpre ao STJ processar e julgar os habeas impetrados contra os atos por eles praticados.</w:t>
      </w:r>
    </w:p>
    <w:p>
      <w:pPr>
        <w:ind w:left="288"/>
      </w:pPr>
      <w:r>
        <w:rPr>
          <w:b/>
          <w:color w:val="003CA0"/>
          <w:sz w:val="16"/>
        </w:rPr>
        <w:t>[HC 77.626, rel. min. Marco Aurélio, j. 30-3-1999, 2ª T, DJ de 25-6-1999.]</w:t>
      </w:r>
    </w:p>
    <w:p>
      <w:pPr>
        <w:ind w:left="288"/>
      </w:pPr>
      <w:r>
        <w:rPr>
          <w:color w:val="8C8C8C"/>
          <w:sz w:val="12"/>
        </w:rPr>
        <w:t>cf-art-105-inc-I-ali-b</w:t>
      </w:r>
      <w:r>
        <w:rPr>
          <w:color w:val="003CA0"/>
          <w:sz w:val="12"/>
        </w:rPr>
        <w:t xml:space="preserve"> | HC 78.416</w:t>
      </w:r>
      <w:r>
        <w:rPr>
          <w:color w:val="003CA0"/>
          <w:sz w:val="12"/>
        </w:rPr>
        <w:t xml:space="preserve"> | rel. Maurício Corrêa</w:t>
      </w:r>
    </w:p>
    <w:p>
      <w:pPr>
        <w:ind w:left="288"/>
      </w:pPr>
      <w:r>
        <w:rPr>
          <w:color w:val="1E1E1E"/>
          <w:sz w:val="18"/>
        </w:rPr>
        <w:t>O STJ é competente para processar e julgar, originariamente, o habeas corpus quando o ato de coação emana de decisão colegiada dos demais tribunais do País, ressalvada a competência do TSE (art. 105, I, c, da Constituição, com a redação dada pelo art. 3º da EC 22, de 1999) e a do STM (art. 124, parágrafo único, da Constituição).</w:t>
      </w:r>
    </w:p>
    <w:p>
      <w:pPr>
        <w:ind w:left="288"/>
      </w:pPr>
      <w:r>
        <w:rPr>
          <w:b/>
          <w:color w:val="003CA0"/>
          <w:sz w:val="16"/>
        </w:rPr>
        <w:t>[HC 78.416 QO, rel. min. Maurício Corrêa, j. 22-3-1999, 2ª T, DJ de 18-5-2001.]</w:t>
      </w:r>
    </w:p>
    <w:p>
      <w:pPr>
        <w:ind w:left="288"/>
      </w:pPr>
      <w:r>
        <w:rPr>
          <w:color w:val="8C8C8C"/>
          <w:sz w:val="12"/>
        </w:rPr>
        <w:t>cf-art-105-inc-I-ali-b</w:t>
      </w:r>
    </w:p>
    <w:p>
      <w:pPr>
        <w:ind w:left="288"/>
      </w:pPr>
      <w:r>
        <w:rPr>
          <w:color w:val="1E1E1E"/>
          <w:sz w:val="18"/>
        </w:rPr>
        <w:t>d) os conflitos de competência entre quaisquer tribunais, ressalvado o disposto no art. 102, I, o, bem como entre tribunal e juízes a ele não vinculados e entre juízes vinculados a tribunais diversos;</w:t>
      </w:r>
    </w:p>
    <w:p>
      <w:pPr>
        <w:ind w:left="288"/>
      </w:pPr>
      <w:r>
        <w:rPr>
          <w:color w:val="8C8C8C"/>
          <w:sz w:val="12"/>
        </w:rPr>
        <w:t>cf-art-105-inc-I-ali-b</w:t>
      </w:r>
      <w:r>
        <w:rPr>
          <w:color w:val="003CA0"/>
          <w:sz w:val="12"/>
        </w:rPr>
        <w:t xml:space="preserve"> | rel. Celso de Mello</w:t>
      </w:r>
    </w:p>
    <w:p>
      <w:pPr>
        <w:ind w:left="288"/>
      </w:pPr>
      <w:r>
        <w:rPr>
          <w:color w:val="1E1E1E"/>
          <w:sz w:val="18"/>
        </w:rPr>
        <w:t>Falece, ao STF, atribuição jurisdicional para dirimir, em caráter originário, conflitos de competência, quando instaurados entre turma recursal integrante do sistema de juizados especiais e qualquer dos tribunais locais (quer se cuide do tribunal de justiça, quer se trate dos tribunais de alçada, onde houver). Nessa específica hipótese, assiste, ao STJ, poder para apreciar, originariamente, tais conflitos de competência (CF, art. 105, I, d).</w:t>
      </w:r>
    </w:p>
    <w:p>
      <w:pPr>
        <w:ind w:left="288"/>
      </w:pPr>
      <w:r>
        <w:rPr>
          <w:b/>
          <w:color w:val="003CA0"/>
          <w:sz w:val="16"/>
        </w:rPr>
        <w:t>[CC 7.090, rel. min. Celso de Mello, j. 11-9-2002, P, DJ de 5-9-2003.]</w:t>
      </w:r>
    </w:p>
    <w:p>
      <w:pPr>
        <w:ind w:left="288"/>
      </w:pPr>
      <w:r>
        <w:rPr>
          <w:color w:val="8C8C8C"/>
          <w:sz w:val="12"/>
        </w:rPr>
        <w:t>cf-art-105-inc-I-ali-b</w:t>
      </w:r>
      <w:r>
        <w:rPr>
          <w:color w:val="003CA0"/>
          <w:sz w:val="12"/>
        </w:rPr>
        <w:t xml:space="preserve"> | rel. Marco Aurélio</w:t>
      </w:r>
    </w:p>
    <w:p>
      <w:pPr>
        <w:ind w:left="288"/>
      </w:pPr>
      <w:r>
        <w:rPr>
          <w:color w:val="1E1E1E"/>
          <w:sz w:val="18"/>
        </w:rPr>
        <w:t>Conflito de competência. Justiça Federal Militar de primeira instância e Justiça Federal de primeira instância. Afastamento. Na dicção da ilustrada maioria, (...) compete ao STJ, e não ao STF, dirimir o conflito, enquanto não envolvido o STM.</w:t>
      </w:r>
    </w:p>
    <w:p>
      <w:pPr>
        <w:ind w:left="288"/>
      </w:pPr>
      <w:r>
        <w:rPr>
          <w:b/>
          <w:color w:val="003CA0"/>
          <w:sz w:val="16"/>
        </w:rPr>
        <w:t>[CC 7.087, rel. min. Marco Aurélio, j. 3-5-2000, P, DJ de 31-8-2001.]</w:t>
      </w:r>
    </w:p>
    <w:p>
      <w:pPr>
        <w:ind w:left="288"/>
      </w:pPr>
      <w:r>
        <w:rPr>
          <w:color w:val="8C8C8C"/>
          <w:sz w:val="12"/>
        </w:rPr>
        <w:t>cf-art-105-inc-I-ali-b</w:t>
      </w:r>
      <w:r>
        <w:rPr>
          <w:color w:val="003CA0"/>
          <w:sz w:val="12"/>
        </w:rPr>
        <w:t xml:space="preserve"> | RE 200.695</w:t>
      </w:r>
      <w:r>
        <w:rPr>
          <w:color w:val="003CA0"/>
          <w:sz w:val="12"/>
        </w:rPr>
        <w:t xml:space="preserve"> | rel. Néri da Silveira</w:t>
      </w:r>
    </w:p>
    <w:p>
      <w:pPr>
        <w:ind w:left="288"/>
      </w:pPr>
      <w:r>
        <w:rPr>
          <w:color w:val="1E1E1E"/>
          <w:sz w:val="18"/>
        </w:rPr>
        <w:t>Estado da Federação que possui tribunal de justiça militar. Conflito de jurisdição entre auditor militar e juiz de direito. Compete, nesse caso, ao STJ dirimir o conflito, a teor do art. 105, I, d, da Constituição, porque se trata de dissídio entre juízes sujeitos a tribunais diversos. Somente nos Estados onde não houver tribunal de justiça militar os auditores militares estaduais ficam sujeitos ao tribunal de justiça do Estado, a quem caberá julgar conflito de jurisdição entre esses magistrados e os juízes de direito.</w:t>
      </w:r>
    </w:p>
    <w:p>
      <w:pPr>
        <w:ind w:left="288"/>
      </w:pPr>
      <w:r>
        <w:rPr>
          <w:b/>
          <w:color w:val="003CA0"/>
          <w:sz w:val="16"/>
        </w:rPr>
        <w:t>[RE 200.695, rel. min. Néri da Silveira, j. 17-9-1996, 2ª T, DJ de 21-5-1997.]</w:t>
      </w:r>
    </w:p>
    <w:p>
      <w:pPr>
        <w:ind w:left="288"/>
      </w:pPr>
      <w:r>
        <w:rPr>
          <w:color w:val="8C8C8C"/>
          <w:sz w:val="12"/>
        </w:rPr>
        <w:t>cf-art-105-inc-I-ali-b</w:t>
      </w:r>
      <w:r>
        <w:rPr>
          <w:color w:val="003CA0"/>
          <w:sz w:val="12"/>
        </w:rPr>
        <w:t xml:space="preserve"> | rel. Celso de Mello</w:t>
      </w:r>
    </w:p>
    <w:p>
      <w:pPr>
        <w:ind w:left="288"/>
      </w:pPr>
      <w:r>
        <w:rPr>
          <w:color w:val="1E1E1E"/>
          <w:sz w:val="18"/>
        </w:rPr>
        <w:t>O STF, dentro do sistema normativo consagrado pela Carta da República, não se apresenta investido de atribuição jurisdicional para, em sede originária, dirimir conflito de competência instaurado entre órgãos da Justiça do Trabalho situados no primeiro e no segundo graus de jurisdição (JCJ [juntas de conciliação e julgamento] e TRTs), de um lado, e o tribunal de justiça dos Estados-membros, de outro. A competência para dirimir esse conflito pertence, originariamente, ao STJ (CF, art. 105, I, d).</w:t>
      </w:r>
    </w:p>
    <w:p>
      <w:pPr>
        <w:ind w:left="288"/>
      </w:pPr>
      <w:r>
        <w:rPr>
          <w:b/>
          <w:color w:val="003CA0"/>
          <w:sz w:val="16"/>
        </w:rPr>
        <w:t>[CC 7.035, rel. min. Celso de Mello, j. 20-9-1995, P, DJ de 6-10-1995.]</w:t>
      </w:r>
    </w:p>
    <w:p>
      <w:pPr>
        <w:ind w:left="144"/>
      </w:pPr>
      <w:r>
        <w:rPr>
          <w:b/>
          <w:color w:val="B45A00"/>
          <w:sz w:val="16"/>
        </w:rPr>
        <w:t>REPERCUSSAO GERAL</w:t>
      </w:r>
    </w:p>
    <w:p>
      <w:pPr>
        <w:ind w:left="288"/>
      </w:pPr>
      <w:r>
        <w:rPr>
          <w:color w:val="8C8C8C"/>
          <w:sz w:val="12"/>
        </w:rPr>
        <w:t>cf-art-105-inc-I-ali-f</w:t>
      </w:r>
      <w:r>
        <w:rPr>
          <w:color w:val="003CA0"/>
          <w:sz w:val="12"/>
        </w:rPr>
        <w:t xml:space="preserve"> | RE 571.572</w:t>
      </w:r>
      <w:r>
        <w:rPr>
          <w:color w:val="003CA0"/>
          <w:sz w:val="12"/>
        </w:rPr>
        <w:t xml:space="preserve"> | rel. Ellen Gracie</w:t>
      </w:r>
    </w:p>
    <w:p>
      <w:pPr>
        <w:ind w:left="288"/>
      </w:pPr>
      <w:r>
        <w:rPr>
          <w:color w:val="1E1E1E"/>
          <w:sz w:val="18"/>
        </w:rPr>
        <w:t>(...) cabimento, em caráter excepcional, da reclamação prevista no art. 105, I, f, da CF, para fazer prevalecer, até a criação da turma de uniformização dos juizados especiais estaduais, a jurisprudência do STJ na interpretação da legislação infraconstitucional.</w:t>
        <w:br/>
        <w:t>[RE 571.572 ED, rel. min. Ellen Gracie, j. 26-8-2009, P, DJE de 27-11-2009, Tema 17, com mérito julgado.]</w:t>
      </w:r>
    </w:p>
    <w:p>
      <w:pPr>
        <w:ind w:left="144"/>
      </w:pPr>
      <w:r>
        <w:rPr>
          <w:b/>
          <w:color w:val="B45A00"/>
          <w:sz w:val="16"/>
        </w:rPr>
        <w:t>JULGADOS CORRELATOS</w:t>
      </w:r>
    </w:p>
    <w:p>
      <w:pPr>
        <w:ind w:left="288"/>
      </w:pPr>
      <w:r>
        <w:rPr>
          <w:color w:val="8C8C8C"/>
          <w:sz w:val="12"/>
        </w:rPr>
        <w:t>cf-art-105-inc-I-ali-f</w:t>
      </w:r>
      <w:r>
        <w:rPr>
          <w:color w:val="003CA0"/>
          <w:sz w:val="12"/>
        </w:rPr>
        <w:t xml:space="preserve"> | RE 333.942</w:t>
      </w:r>
      <w:r>
        <w:rPr>
          <w:color w:val="003CA0"/>
          <w:sz w:val="12"/>
        </w:rPr>
        <w:t xml:space="preserve"> | rel. Joaquim Barbosa</w:t>
      </w:r>
    </w:p>
    <w:p>
      <w:pPr>
        <w:ind w:left="288"/>
      </w:pPr>
      <w:r>
        <w:rPr>
          <w:color w:val="1E1E1E"/>
          <w:sz w:val="18"/>
        </w:rPr>
        <w:t>A competência para examinar medida tendente a combater suposta usurpação de competência para julgar o agravo de instrumento ou o recurso especial é do STJ (art. 105, I, f, da Constituição), sem prejuízo de outras medidas legais cabíveis que a parte poderia tomar, perante os juízos competentes, para corrigir a situação que tem por lesiva ao seu direito à jurisdição especial.</w:t>
      </w:r>
    </w:p>
    <w:p>
      <w:pPr>
        <w:ind w:left="288"/>
      </w:pPr>
      <w:r>
        <w:rPr>
          <w:b/>
          <w:color w:val="003CA0"/>
          <w:sz w:val="16"/>
        </w:rPr>
        <w:t>[RE 333.942 ED, rel. min. Joaquim Barbosa, j. 9-11-2010, 1ª T, DJE de 30-11-2010.]</w:t>
      </w:r>
    </w:p>
    <w:p>
      <w:pPr>
        <w:ind w:left="288"/>
      </w:pPr>
      <w:r>
        <w:rPr>
          <w:color w:val="8C8C8C"/>
          <w:sz w:val="12"/>
        </w:rPr>
        <w:t>cf-art-105-inc-I-ali-f</w:t>
      </w:r>
      <w:r>
        <w:rPr>
          <w:color w:val="003CA0"/>
          <w:sz w:val="12"/>
        </w:rPr>
        <w:t xml:space="preserve"> | RHC 7.812</w:t>
      </w:r>
      <w:r>
        <w:rPr>
          <w:color w:val="003CA0"/>
          <w:sz w:val="12"/>
        </w:rPr>
        <w:t xml:space="preserve"> | rel. Sydney Sanches</w:t>
      </w:r>
    </w:p>
    <w:p>
      <w:pPr>
        <w:ind w:left="288"/>
      </w:pPr>
      <w:r>
        <w:rPr>
          <w:color w:val="1E1E1E"/>
          <w:sz w:val="18"/>
        </w:rPr>
        <w:t>O impetrante, entre outras coisas, alega que ainda não foi cumprida a decisão do STJ, que, ao negar provimento ao RHC 7.812, de ofício concedeu habeas corpus ao paciente, para que esse fosse recolhido a quartel ou prisão especial (por ser advogado). Nesse ponto, a impetração não pode ser conhecida, eis que, para o descumprimento de decisão do STJ, cabe reclamação para aquela mesma Corte, e não habeas corpus para o STF (...).</w:t>
      </w:r>
    </w:p>
    <w:p>
      <w:pPr>
        <w:ind w:left="288"/>
      </w:pPr>
      <w:r>
        <w:rPr>
          <w:b/>
          <w:color w:val="003CA0"/>
          <w:sz w:val="16"/>
        </w:rPr>
        <w:t>[HC 78.199, rel. min. Sydney Sanches, j. 1º-6-1999, 1ª T, DJ de 1º-10-1999.]</w:t>
      </w:r>
    </w:p>
    <w:p>
      <w:pPr>
        <w:ind w:left="288"/>
      </w:pPr>
      <w:r>
        <w:rPr>
          <w:color w:val="8C8C8C"/>
          <w:sz w:val="12"/>
        </w:rPr>
        <w:t>cf-art-105-inc-I-ali-f</w:t>
      </w:r>
      <w:r>
        <w:rPr>
          <w:color w:val="003CA0"/>
          <w:sz w:val="12"/>
        </w:rPr>
        <w:t xml:space="preserve"> | RCL 330</w:t>
      </w:r>
      <w:r>
        <w:rPr>
          <w:color w:val="003CA0"/>
          <w:sz w:val="12"/>
        </w:rPr>
        <w:t xml:space="preserve"> | rel. Néri da Silveira</w:t>
      </w:r>
    </w:p>
    <w:p>
      <w:pPr>
        <w:ind w:left="288"/>
      </w:pPr>
      <w:r>
        <w:rPr>
          <w:color w:val="1E1E1E"/>
          <w:sz w:val="18"/>
        </w:rPr>
        <w:t>Suspensão de efeitos de liminar ou mandado de segurança. Fundamentando-se a impetração na matéria infraconstitucional, compete ao presidente do STJ julgar pedido de suspensão de efeitos de liminar ou de decisão concessiva de segurança, proferida, em única ou última instância, pelos tribunais regionais federais ou pelos tribunais dos Estados e Distrito Federal. Lei 8.038/1990, art. 25. Compete, em consequência, também, ao STJ, julgar reclamação, ut art. 105, I, f, da Constituição, contra qualquer das cortes referidas, quando se alega usurpação de competência, que lhe cabe, para suspender limina</w:t>
      </w:r>
    </w:p>
    <w:p>
      <w:pPr>
        <w:ind w:left="288"/>
      </w:pPr>
      <w:r>
        <w:rPr>
          <w:b/>
          <w:color w:val="003CA0"/>
          <w:sz w:val="16"/>
        </w:rPr>
        <w:t>[Rcl 330, rel. min. Néri da Silveira, j. 6-3-1991, P, DJ de 29-11-1991.]</w:t>
      </w:r>
    </w:p>
    <w:p>
      <w:pPr>
        <w:ind w:left="288"/>
      </w:pPr>
      <w:r>
        <w:rPr>
          <w:color w:val="8C8C8C"/>
          <w:sz w:val="12"/>
        </w:rPr>
        <w:t>cf-art-105-inc-I-ali-f</w:t>
      </w:r>
    </w:p>
    <w:p>
      <w:pPr>
        <w:ind w:left="288"/>
      </w:pPr>
      <w:r>
        <w:rPr>
          <w:color w:val="1E1E1E"/>
          <w:sz w:val="18"/>
        </w:rPr>
        <w:t>g) os conflitos de atribuições entre autoridades administrativas e judiciárias da União, ou entre autoridades judiciárias de um Estado e administrativas de outro ou do Distrito Federal, ou entre as deste e da União;</w:t>
      </w:r>
    </w:p>
    <w:p>
      <w:pPr>
        <w:ind w:left="288"/>
      </w:pPr>
      <w:r>
        <w:rPr>
          <w:color w:val="8C8C8C"/>
          <w:sz w:val="12"/>
        </w:rPr>
        <w:t>cf-art-105-inc-I-ali-f</w:t>
      </w:r>
      <w:r>
        <w:rPr>
          <w:color w:val="003CA0"/>
          <w:sz w:val="12"/>
        </w:rPr>
        <w:t xml:space="preserve"> | AI 234.073</w:t>
      </w:r>
      <w:r>
        <w:rPr>
          <w:color w:val="003CA0"/>
          <w:sz w:val="12"/>
        </w:rPr>
        <w:t xml:space="preserve"> | rel. Néri da Silveira</w:t>
      </w:r>
    </w:p>
    <w:p>
      <w:pPr>
        <w:ind w:left="288"/>
      </w:pPr>
      <w:r>
        <w:rPr>
          <w:color w:val="1E1E1E"/>
          <w:sz w:val="18"/>
        </w:rPr>
        <w:t>Compete ao STJ processar e julgar, originariamente, nos termos do art. 105, I, g, da CF: "os conflitos de atribuições entre autoridades administrativas e judiciárias da União, ou entre autoridades judiciárias de um Estado e administrativas de outro ou do Distrito Federal, ou entre as deste e da União". Na hipótese, observa-se que o conflito de atribuições se trava entre autoridades administrativas, em que figuram como suscitantes o superintendente e o corregedor da polícia federal e, como suscitados, representantes do MPF. Não se trata, portanto, de nenhuma das hipóteses mencionadas no referid</w:t>
      </w:r>
    </w:p>
    <w:p>
      <w:pPr>
        <w:ind w:left="288"/>
      </w:pPr>
      <w:r>
        <w:rPr>
          <w:b/>
          <w:color w:val="003CA0"/>
          <w:sz w:val="16"/>
        </w:rPr>
        <w:t>[AI 234.073 AgR, voto do rel. min. Néri da Silveira, j. 28-3-2000, 2ª T, DJ de 28-4-2000.]</w:t>
      </w:r>
    </w:p>
    <w:p>
      <w:pPr>
        <w:ind w:left="288"/>
      </w:pPr>
      <w:r>
        <w:rPr>
          <w:color w:val="8C8C8C"/>
          <w:sz w:val="12"/>
        </w:rPr>
        <w:t>cf-art-105-inc-I-ali-f</w:t>
      </w:r>
    </w:p>
    <w:p>
      <w:pPr>
        <w:ind w:left="288"/>
      </w:pPr>
      <w:r>
        <w:rPr>
          <w:color w:val="1E1E1E"/>
          <w:sz w:val="18"/>
        </w:rPr>
        <w:t>h) o mandado de injunção, quando a elaboração da norma regulamentadora for atribuição de órgão, entidade ou autoridade federal, da administração direta ou indireta, excetuados os casos de competência do Supremo Tribunal Federal e dos órgãos da Justiça Militar, da Justiça Eleitoral, da Justiça do Trabalho e da Justiça Federal;</w:t>
      </w:r>
    </w:p>
    <w:p>
      <w:pPr>
        <w:ind w:left="288"/>
      </w:pPr>
      <w:r>
        <w:rPr>
          <w:color w:val="8C8C8C"/>
          <w:sz w:val="12"/>
        </w:rPr>
        <w:t>cf-art-105-inc-I-ali-f</w:t>
      </w:r>
      <w:r>
        <w:rPr>
          <w:color w:val="003CA0"/>
          <w:sz w:val="12"/>
        </w:rPr>
        <w:t xml:space="preserve"> | MI 571</w:t>
      </w:r>
      <w:r>
        <w:rPr>
          <w:color w:val="003CA0"/>
          <w:sz w:val="12"/>
        </w:rPr>
        <w:t xml:space="preserve"> | rel. Sepúlveda Pertence</w:t>
      </w:r>
    </w:p>
    <w:p>
      <w:pPr>
        <w:ind w:left="288"/>
      </w:pPr>
      <w:r>
        <w:rPr>
          <w:color w:val="1E1E1E"/>
          <w:sz w:val="18"/>
        </w:rPr>
        <w:t>Mandado de injunção: omissão normativa imputada a autarquia federal (Banco Central do Brasil): competência originária do juiz federal e não do Supremo Tribunal nem do STJ: inteligência da ressalva final do art. 105, I, h, da Constituição.</w:t>
      </w:r>
    </w:p>
    <w:p>
      <w:pPr>
        <w:ind w:left="288"/>
      </w:pPr>
      <w:r>
        <w:rPr>
          <w:b/>
          <w:color w:val="003CA0"/>
          <w:sz w:val="16"/>
        </w:rPr>
        <w:t>[MI 571 QO, rel. min. Sepúlveda Pertence, j. 8-10-1998, P, DJ de 20-11-1998.]</w:t>
      </w:r>
    </w:p>
    <w:p>
      <w:pPr>
        <w:ind w:left="288"/>
      </w:pPr>
      <w:r>
        <w:rPr>
          <w:color w:val="8C8C8C"/>
          <w:sz w:val="12"/>
        </w:rPr>
        <w:t>cf-art-105-inc-I-ali-f</w:t>
      </w:r>
      <w:r>
        <w:rPr>
          <w:color w:val="003CA0"/>
          <w:sz w:val="12"/>
        </w:rPr>
        <w:t xml:space="preserve"> | MI 414</w:t>
      </w:r>
      <w:r>
        <w:rPr>
          <w:color w:val="003CA0"/>
          <w:sz w:val="12"/>
        </w:rPr>
        <w:t xml:space="preserve"> | rel. Néri da Silveira</w:t>
      </w:r>
    </w:p>
    <w:p>
      <w:pPr>
        <w:ind w:left="288"/>
      </w:pPr>
      <w:r>
        <w:rPr>
          <w:color w:val="1E1E1E"/>
          <w:sz w:val="18"/>
        </w:rPr>
        <w:t>Mandado de injunção. Ministro de Estado. Competência do STJ (Constituição, art. 105, I, h). É inviável substituir, no polo passivo da relação processual, quer do mandado de injunção, quer do mandado de segurança, a autoridade impetrada que o requerente indicou na inicial. Se se entender a hipótese como mandado de segurança, diante dos termos em que se deduz a inicial, ainda aí, a competência seria do STJ (Constituição, art. 105, I, b). Não conhecimento do pedido pelo STF, determinando-se a remessa dos autos ao STJ.</w:t>
      </w:r>
    </w:p>
    <w:p>
      <w:pPr>
        <w:ind w:left="288"/>
      </w:pPr>
      <w:r>
        <w:rPr>
          <w:b/>
          <w:color w:val="003CA0"/>
          <w:sz w:val="16"/>
        </w:rPr>
        <w:t>[MI 414, rel. min. Néri da Silveira, j. 25-3-1994, P, DJ de 6-5-1994.]</w:t>
      </w:r>
    </w:p>
    <w:p>
      <w:pPr>
        <w:ind w:left="288"/>
      </w:pPr>
      <w:r>
        <w:rPr>
          <w:color w:val="8C8C8C"/>
          <w:sz w:val="12"/>
        </w:rPr>
        <w:t>cf-art-105-inc-I-ali-f</w:t>
      </w:r>
      <w:r>
        <w:rPr>
          <w:color w:val="003CA0"/>
          <w:sz w:val="12"/>
        </w:rPr>
        <w:t xml:space="preserve"> | MI 32</w:t>
      </w:r>
      <w:r>
        <w:rPr>
          <w:color w:val="003CA0"/>
          <w:sz w:val="12"/>
        </w:rPr>
        <w:t xml:space="preserve"> | rel. Octavio Gallotti</w:t>
      </w:r>
    </w:p>
    <w:p>
      <w:pPr>
        <w:ind w:left="288"/>
      </w:pPr>
      <w:r>
        <w:rPr>
          <w:color w:val="1E1E1E"/>
          <w:sz w:val="18"/>
        </w:rPr>
        <w:t>Mandado de injunção por falta de norma regulamentadora que haveria de constar do Regimento do Tribunal de Justiça do Distrito Federal. Sendo esse um órgão ou autoridade federal (Constituição, art. 21, III) compete, originariamente, ao STJ (art. 105, I, h) o julgamento do pedido.</w:t>
      </w:r>
    </w:p>
    <w:p>
      <w:pPr>
        <w:ind w:left="288"/>
      </w:pPr>
      <w:r>
        <w:rPr>
          <w:b/>
          <w:color w:val="003CA0"/>
          <w:sz w:val="16"/>
        </w:rPr>
        <w:t>[MI 32, rel. min. Octavio Gallotti, j. 7-11-1990, P, DJ de 7-12-1990.]</w:t>
      </w:r>
    </w:p>
    <w:p>
      <w:pPr>
        <w:ind w:left="288"/>
      </w:pPr>
      <w:r>
        <w:rPr>
          <w:color w:val="8C8C8C"/>
          <w:sz w:val="12"/>
        </w:rPr>
        <w:t>cf-art-105-inc-I-ali-f</w:t>
      </w:r>
      <w:r>
        <w:rPr>
          <w:color w:val="003CA0"/>
          <w:sz w:val="12"/>
        </w:rPr>
        <w:t xml:space="preserve"> | MI 158</w:t>
      </w:r>
      <w:r>
        <w:rPr>
          <w:color w:val="003CA0"/>
          <w:sz w:val="12"/>
        </w:rPr>
        <w:t xml:space="preserve"> | rel. Aldir Passarinho</w:t>
      </w:r>
    </w:p>
    <w:p>
      <w:pPr>
        <w:ind w:left="288"/>
      </w:pPr>
      <w:r>
        <w:rPr>
          <w:color w:val="1E1E1E"/>
          <w:sz w:val="18"/>
        </w:rPr>
        <w:t>Sendo o mandado de injunção requerido contra o DNOCS [Departamento Nacional de Obras contra as Secas], e não contra qualquer das pessoas ou entidades constantes da letra g do item I do art. 102 da CF, a competência para processá-lo e julgá-lo não é do STF. Encaminhamento dos autos ao STJ, em face do disposto no art. 105, I, a, também da CF, para apreciá-lo, como couber, tendo em vista não haver qualquer norma regulamentadora para definir a competência, quanto a mandados de injunção, da Justiça Militar, da Justiça Eleitoral, da Justiça do Trabalho e da Justiça Federal.</w:t>
      </w:r>
    </w:p>
    <w:p>
      <w:pPr>
        <w:ind w:left="288"/>
      </w:pPr>
      <w:r>
        <w:rPr>
          <w:b/>
          <w:color w:val="003CA0"/>
          <w:sz w:val="16"/>
        </w:rPr>
        <w:t>[MI 158 QO, rel. min. Aldir Passarinho, j. 5-10-1989, P, DJ de 10-11-1989.]</w:t>
      </w:r>
    </w:p>
    <w:p>
      <w:pPr>
        <w:ind w:left="288"/>
      </w:pPr>
      <w:r>
        <w:rPr>
          <w:color w:val="8C8C8C"/>
          <w:sz w:val="12"/>
        </w:rPr>
        <w:t>cf-art-105-inc-I-ali-i</w:t>
      </w:r>
      <w:r>
        <w:rPr>
          <w:color w:val="003CA0"/>
          <w:sz w:val="12"/>
        </w:rPr>
        <w:t xml:space="preserve"> | HC 239.238</w:t>
      </w:r>
      <w:r>
        <w:rPr>
          <w:color w:val="003CA0"/>
          <w:sz w:val="12"/>
        </w:rPr>
        <w:t xml:space="preserve"> | rel. Luiz Fux</w:t>
      </w:r>
    </w:p>
    <w:p>
      <w:pPr>
        <w:ind w:left="288"/>
      </w:pPr>
      <w:r>
        <w:rPr>
          <w:color w:val="1E1E1E"/>
          <w:sz w:val="18"/>
        </w:rPr>
        <w:t>A transferência de execução de pena, instrumento de cooperação internacional em matéria penal, encontra disciplina na Lei de Migração (Lei 13.445/2017), cujo artigo 100 estabelece os seguintes pressupostos: (i) o condenado em território estrangeiro for nacional ou tiver residência habitual ou vínculo pessoal no Brasil; (ii) a sentença tiver transitado em julgado; (iii) a duração da condenação a cumprir ou que restar para cumprir for de, pelo menos, 1 (um) ano, na data de apresentação do pedido ao Estado da condenação; (iv) o fato que originou a condenação constituir infração penal perante a le</w:t>
      </w:r>
    </w:p>
    <w:p>
      <w:pPr>
        <w:ind w:left="288"/>
      </w:pPr>
      <w:r>
        <w:rPr>
          <w:b/>
          <w:color w:val="003CA0"/>
          <w:sz w:val="16"/>
        </w:rPr>
        <w:t>[HC 239.238, rel. min. Luiz Fux, j. 27.11.2024, P, DJE de 30.05.2025.]</w:t>
      </w:r>
    </w:p>
    <w:p>
      <w:pPr>
        <w:ind w:left="288"/>
      </w:pPr>
      <w:r>
        <w:rPr>
          <w:color w:val="8C8C8C"/>
          <w:sz w:val="12"/>
        </w:rPr>
        <w:t>cf-art-105-inc-I-ali-i</w:t>
      </w:r>
      <w:r>
        <w:rPr>
          <w:color w:val="003CA0"/>
          <w:sz w:val="12"/>
        </w:rPr>
        <w:t xml:space="preserve"> | RE 634.595</w:t>
      </w:r>
      <w:r>
        <w:rPr>
          <w:color w:val="003CA0"/>
          <w:sz w:val="12"/>
        </w:rPr>
        <w:t xml:space="preserve"> | rel. Dias Toffoli</w:t>
      </w:r>
    </w:p>
    <w:p>
      <w:pPr>
        <w:ind w:left="288"/>
      </w:pPr>
      <w:r>
        <w:rPr>
          <w:color w:val="1E1E1E"/>
          <w:sz w:val="18"/>
        </w:rPr>
        <w:t>O art. 21, § 1º, do Regimento Interno do Supremo Tribunal Federal é compatível com o disposto no art. 932, inciso VIII, da novel legislação processual civil. 3. Possibilidade de concessão de exequatur de Carta Rogatória, para fins de citação do agravante, por meio de decisão monocrática do relator da causa no Superior Tribunal de Justiça, em homenagem aos princípios da cooperação e da celeridade processual. 4. Decisão oportunamente ratificada pela Corte Especial do Superior Tribunal de Justiça, em observância ao princípio da colegialidade.</w:t>
      </w:r>
    </w:p>
    <w:p>
      <w:pPr>
        <w:ind w:left="288"/>
      </w:pPr>
      <w:r>
        <w:rPr>
          <w:b/>
          <w:color w:val="003CA0"/>
          <w:sz w:val="16"/>
        </w:rPr>
        <w:t>[RE 634.595, rel. min. Dias Toffoli, j. 3-4-2018, P, DJE de 12-6-2019.]</w:t>
      </w:r>
    </w:p>
    <w:p>
      <w:pPr>
        <w:ind w:left="288"/>
      </w:pPr>
      <w:r>
        <w:rPr>
          <w:color w:val="8C8C8C"/>
          <w:sz w:val="12"/>
        </w:rPr>
        <w:t>cf-art-105-inc-I-ali-i</w:t>
      </w:r>
      <w:r>
        <w:rPr>
          <w:color w:val="003CA0"/>
          <w:sz w:val="12"/>
        </w:rPr>
        <w:t xml:space="preserve"> | ARE 1.026.162</w:t>
      </w:r>
      <w:r>
        <w:rPr>
          <w:color w:val="003CA0"/>
          <w:sz w:val="12"/>
        </w:rPr>
        <w:t xml:space="preserve"> | rel. Marco Aurélio</w:t>
      </w:r>
    </w:p>
    <w:p>
      <w:pPr>
        <w:ind w:left="288"/>
      </w:pPr>
      <w:r>
        <w:rPr>
          <w:color w:val="1E1E1E"/>
          <w:sz w:val="18"/>
        </w:rPr>
        <w:t>Uma vez homologada a sentença estrangeira, a conversão do valor dela constante, em moeda estrangeira para a nacional, há de fazer-se na data do pagamento, não se tendo nessa conclusão, pacificada no STJ, maltrato a texto constitucional.</w:t>
      </w:r>
    </w:p>
    <w:p>
      <w:pPr>
        <w:ind w:left="288"/>
      </w:pPr>
      <w:r>
        <w:rPr>
          <w:b/>
          <w:color w:val="003CA0"/>
          <w:sz w:val="16"/>
        </w:rPr>
        <w:t>[ARE 1.026.162 AgR, rel. min. Marco Aurélio, j. 2-5-2017, P, DJE de 7-6-2017.]</w:t>
      </w:r>
    </w:p>
    <w:p>
      <w:pPr>
        <w:ind w:left="288"/>
      </w:pPr>
      <w:r>
        <w:rPr>
          <w:color w:val="8C8C8C"/>
          <w:sz w:val="12"/>
        </w:rPr>
        <w:t>cf-art-105-inc-I-ali-i</w:t>
      </w:r>
      <w:r>
        <w:rPr>
          <w:color w:val="003CA0"/>
          <w:sz w:val="12"/>
        </w:rPr>
        <w:t xml:space="preserve"> | RE 598.770</w:t>
      </w:r>
      <w:r>
        <w:rPr>
          <w:color w:val="003CA0"/>
          <w:sz w:val="12"/>
        </w:rPr>
        <w:t xml:space="preserve"> | rel. Marco Aurélio</w:t>
      </w:r>
    </w:p>
    <w:p>
      <w:pPr>
        <w:ind w:left="288"/>
      </w:pPr>
      <w:r>
        <w:rPr>
          <w:color w:val="1E1E1E"/>
          <w:sz w:val="18"/>
        </w:rPr>
        <w:t xml:space="preserve">A EC 45/2004 transferiu do STF para o STJ a competência para homologar sentenças estrangeiras. Considerando que um dos principais objetivos da reforma do Judiciário foi promover a celeridade processual, seria um contrassenso imaginar que ela teria transformado esta Corte em uma nova instância nessa matéria, tornando ainda mais longo e complexo o processo. Por isso, embora possível em tese, a interposição de recurso extraordinário contra esses acórdãos do STJ deve ser examinada com rigor e cautela. Somente se pode admitir o recurso quando demonstrada, clara e fundamentadamente, a existência de </w:t>
      </w:r>
    </w:p>
    <w:p>
      <w:pPr>
        <w:ind w:left="288"/>
      </w:pPr>
      <w:r>
        <w:rPr>
          <w:b/>
          <w:color w:val="003CA0"/>
          <w:sz w:val="16"/>
        </w:rPr>
        <w:t>[RE 598.770, rel. min. Marco Aurélio, j. 12-2-2014, P, DJE de 12-6-2014.]</w:t>
      </w:r>
    </w:p>
    <w:p>
      <w:pPr>
        <w:ind w:left="288"/>
      </w:pPr>
      <w:r>
        <w:rPr>
          <w:color w:val="8C8C8C"/>
          <w:sz w:val="12"/>
        </w:rPr>
        <w:t>cf-art-105-inc-I-ali-i</w:t>
      </w:r>
      <w:r>
        <w:rPr>
          <w:color w:val="003CA0"/>
          <w:sz w:val="12"/>
        </w:rPr>
        <w:t xml:space="preserve"> | HC 87.759</w:t>
      </w:r>
      <w:r>
        <w:rPr>
          <w:color w:val="003CA0"/>
          <w:sz w:val="12"/>
        </w:rPr>
        <w:t xml:space="preserve"> | rel. Marco Aurélio</w:t>
      </w:r>
    </w:p>
    <w:p>
      <w:pPr>
        <w:ind w:left="288"/>
      </w:pPr>
      <w:r>
        <w:rPr>
          <w:color w:val="1E1E1E"/>
          <w:sz w:val="18"/>
        </w:rPr>
        <w:t>Uma vez constatada omissão no julgamento verificado, presente tratado de cooperação em matéria penal firmado pelo Brasil e pela República Italiana – integrado à ordem jurídica nacional –, impõe-se o provimento dos embargos de declaração, muito embora sem o alcance da eficácia modificativa, reconhecendo-se que o Ministério Público italiano possui legitimidade para expedir carta rogatória.</w:t>
      </w:r>
    </w:p>
    <w:p>
      <w:pPr>
        <w:ind w:left="288"/>
      </w:pPr>
      <w:r>
        <w:rPr>
          <w:b/>
          <w:color w:val="003CA0"/>
          <w:sz w:val="16"/>
        </w:rPr>
        <w:t>[HC 87.759 ED, rel. min. Marco Aurélio, j. 13-12-2011, 1ª T, DJE de 14-3-2012.]</w:t>
      </w:r>
    </w:p>
    <w:p>
      <w:pPr>
        <w:ind w:left="288"/>
      </w:pPr>
      <w:r>
        <w:rPr>
          <w:color w:val="8C8C8C"/>
          <w:sz w:val="12"/>
        </w:rPr>
        <w:t>cf-art-105-inc-I-ali-i</w:t>
      </w:r>
      <w:r>
        <w:rPr>
          <w:color w:val="003CA0"/>
          <w:sz w:val="12"/>
        </w:rPr>
        <w:t xml:space="preserve"> | RE 634.595</w:t>
      </w:r>
      <w:r>
        <w:rPr>
          <w:color w:val="003CA0"/>
          <w:sz w:val="12"/>
        </w:rPr>
        <w:t xml:space="preserve"> | rel. Dias Toffoli</w:t>
      </w:r>
    </w:p>
    <w:p>
      <w:pPr>
        <w:ind w:left="288"/>
      </w:pPr>
      <w:r>
        <w:rPr>
          <w:color w:val="1E1E1E"/>
          <w:sz w:val="18"/>
        </w:rPr>
        <w:t>Vide RE 634.595, rel. min. Dias Toffoli, j. 3-4-2018, P, DJE 20-4-21 Vide HC 87.759, rel. min. Marco Aurélio, j. 26-2-2008, 1ª T, DJE de 18-4-2008 Sentença ou ato de juízo estrangeiro. Bens. Sequestro e expropriação. Execução no território brasileiro. Formalidade essencial. A teor do disposto no art. 105, I, i, da CF e presente o art. 15 da Lei de Introdução ao Código Civil brasileiro, ato de juízo estrangeiro a implicar constrição deve ser examinado pelo STJ. Descabe apresentá-lo diretamente a juízo federal, objetivando o implemento. A atuação deste último, conforme o art. 109, X, da Carta da</w:t>
      </w:r>
    </w:p>
    <w:p>
      <w:pPr>
        <w:ind w:left="288"/>
      </w:pPr>
      <w:r>
        <w:rPr>
          <w:b/>
          <w:color w:val="003CA0"/>
          <w:sz w:val="16"/>
        </w:rPr>
        <w:t>[HC 105.905, rel. min. Marco Aurélio, j. 11-10-2011, 1ª T, DJE de 17-11-2011.]</w:t>
      </w:r>
    </w:p>
    <w:p>
      <w:pPr>
        <w:ind w:left="288"/>
      </w:pPr>
      <w:r>
        <w:rPr>
          <w:color w:val="8C8C8C"/>
          <w:sz w:val="12"/>
        </w:rPr>
        <w:t>cf-art-105-inc-I-ali-i</w:t>
      </w:r>
      <w:r>
        <w:rPr>
          <w:color w:val="003CA0"/>
          <w:sz w:val="12"/>
        </w:rPr>
        <w:t xml:space="preserve"> | AR 1.169</w:t>
      </w:r>
      <w:r>
        <w:rPr>
          <w:color w:val="003CA0"/>
          <w:sz w:val="12"/>
        </w:rPr>
        <w:t xml:space="preserve"> | rel. Eros Grau</w:t>
      </w:r>
    </w:p>
    <w:p>
      <w:pPr>
        <w:ind w:left="288"/>
      </w:pPr>
      <w:r>
        <w:rPr>
          <w:color w:val="1E1E1E"/>
          <w:sz w:val="18"/>
        </w:rPr>
        <w:t>Há dolo na conduta daquele que, em pedido de homologação de sentença estrangeira, indica para citação do réu endereço no Brasil, tendo conhecimento inequívoco da residência deste no exterior. Hipótese que determina a rescisão do julgado, nos termos do disposto no art. 485, III, do CPC. A autora da rescisória comprovou que não residia no Brasil no período em que julgado o pedido de homologação (1980-1982). As provas juntadas aos autos demonstraram que o ora réu tinha conhecimento inequívoco de que a autora residia nos Estados Unidos da América desde 1977. Não obstante, ao requerer homologação d</w:t>
      </w:r>
    </w:p>
    <w:p>
      <w:pPr>
        <w:ind w:left="288"/>
      </w:pPr>
      <w:r>
        <w:rPr>
          <w:b/>
          <w:color w:val="003CA0"/>
          <w:sz w:val="16"/>
        </w:rPr>
        <w:t>[AR 1.169, rel. min. Eros Grau, j. 3-8-2009, P, DJE de 2-10-2009.]</w:t>
      </w:r>
    </w:p>
    <w:p>
      <w:pPr>
        <w:ind w:left="288"/>
      </w:pPr>
      <w:r>
        <w:rPr>
          <w:color w:val="8C8C8C"/>
          <w:sz w:val="12"/>
        </w:rPr>
        <w:t>cf-art-105-inc-I-ali-i</w:t>
      </w:r>
      <w:r>
        <w:rPr>
          <w:color w:val="003CA0"/>
          <w:sz w:val="12"/>
        </w:rPr>
        <w:t xml:space="preserve"> | HC 89.171</w:t>
      </w:r>
    </w:p>
    <w:p>
      <w:pPr>
        <w:ind w:left="288"/>
      </w:pPr>
      <w:r>
        <w:rPr>
          <w:color w:val="1E1E1E"/>
          <w:sz w:val="18"/>
        </w:rPr>
        <w:t>Há precedentes desta Suprema Corte validando a disciplina da Resolução 9 do STJ, em que se assentou ser legítima, em carta rogatória, a realização de diligência sem a prévia audiência e sem a presença do réu da ação penal, quando essas possam frustrar o resultado da diligência, isso sem prejuízo da possibilidade do que se chama de exercício pleno do direito de defesa diferido, através de embargos, cabendo agravo regimental da decisão desses embargos. O deferimento do exequatur com a possibilidade da realização de medidas de investigação que se fizerem necessárias não caracteriza uma cláusula e</w:t>
      </w:r>
    </w:p>
    <w:p>
      <w:pPr>
        <w:ind w:left="288"/>
      </w:pPr>
      <w:r>
        <w:rPr>
          <w:b/>
          <w:color w:val="003CA0"/>
          <w:sz w:val="16"/>
        </w:rPr>
        <w:t>[HC 89.171, red. do ac. min. Menezes Direito, j. 24-3-2009, 1ª T, DJE de 8-5-2009.]</w:t>
      </w:r>
    </w:p>
    <w:p>
      <w:pPr>
        <w:ind w:left="288"/>
      </w:pPr>
      <w:r>
        <w:rPr>
          <w:color w:val="8C8C8C"/>
          <w:sz w:val="12"/>
        </w:rPr>
        <w:t>cf-art-105-inc-I-ali-i</w:t>
      </w:r>
      <w:r>
        <w:rPr>
          <w:color w:val="003CA0"/>
          <w:sz w:val="12"/>
        </w:rPr>
        <w:t xml:space="preserve"> | HC 87.759</w:t>
      </w:r>
      <w:r>
        <w:rPr>
          <w:color w:val="003CA0"/>
          <w:sz w:val="12"/>
        </w:rPr>
        <w:t xml:space="preserve"> | rel. Marco Aurélio</w:t>
      </w:r>
    </w:p>
    <w:p>
      <w:pPr>
        <w:ind w:left="288"/>
      </w:pPr>
      <w:r>
        <w:rPr>
          <w:color w:val="1E1E1E"/>
          <w:sz w:val="18"/>
        </w:rPr>
        <w:t>Carta rogatória. Concessão de exequatur. Reserva de colegiado. Conforme a alínea i do inciso I do art. 105 da CF, cumpre a órgão colegiado do STJ a concessão de exequatur a cartas rogatórias. Carta rogatória. Objeto ilícito. A carta rogatória deve ter objeto lícito considerada a legislação pátria. Descabe a concessão de exequatur quando vise a colher depoimento, como testemunha, de corréu.</w:t>
      </w:r>
    </w:p>
    <w:p>
      <w:pPr>
        <w:ind w:left="288"/>
      </w:pPr>
      <w:r>
        <w:rPr>
          <w:b/>
          <w:color w:val="003CA0"/>
          <w:sz w:val="16"/>
        </w:rPr>
        <w:t>[HC 87.759, rel. min. Marco Aurélio, j. 26-2-2008, 1ª T, DJE de 18-4-2008.]</w:t>
      </w:r>
    </w:p>
    <w:p>
      <w:pPr>
        <w:ind w:left="288"/>
      </w:pPr>
      <w:r>
        <w:rPr>
          <w:color w:val="8C8C8C"/>
          <w:sz w:val="12"/>
        </w:rPr>
        <w:t>cf-art-105-inc-I-ali-i</w:t>
      </w:r>
      <w:r>
        <w:rPr>
          <w:color w:val="003CA0"/>
          <w:sz w:val="12"/>
        </w:rPr>
        <w:t xml:space="preserve"> | HC 87.759</w:t>
      </w:r>
      <w:r>
        <w:rPr>
          <w:color w:val="003CA0"/>
          <w:sz w:val="12"/>
        </w:rPr>
        <w:t xml:space="preserve"> | rel. Marco Aurélio</w:t>
      </w:r>
    </w:p>
    <w:p>
      <w:pPr>
        <w:ind w:left="288"/>
      </w:pPr>
      <w:r>
        <w:rPr>
          <w:color w:val="1E1E1E"/>
          <w:sz w:val="18"/>
        </w:rPr>
        <w:t>Vide HC 87.759 ED, rel. min. Marco Aurélio, j. 13-12-2011, 1ª T, DJE de 14-3-2012</w:t>
      </w:r>
    </w:p>
    <w:p>
      <w:pPr>
        <w:ind w:left="288"/>
      </w:pPr>
      <w:r>
        <w:rPr>
          <w:color w:val="8C8C8C"/>
          <w:sz w:val="12"/>
        </w:rPr>
        <w:t>cf-art-105-inc-II-ali-a</w:t>
      </w:r>
      <w:r>
        <w:rPr>
          <w:color w:val="003CA0"/>
          <w:sz w:val="12"/>
        </w:rPr>
        <w:t xml:space="preserve"> | HC 78.897</w:t>
      </w:r>
      <w:r>
        <w:rPr>
          <w:color w:val="003CA0"/>
          <w:sz w:val="12"/>
        </w:rPr>
        <w:t xml:space="preserve"> | rel. Nelson Jobim</w:t>
      </w:r>
    </w:p>
    <w:p>
      <w:pPr>
        <w:ind w:left="288"/>
      </w:pPr>
      <w:r>
        <w:rPr>
          <w:color w:val="1E1E1E"/>
          <w:sz w:val="18"/>
        </w:rPr>
        <w:t>A distinção feita por este Tribunal entre habeas corpus originário e habeas corpus substitutivo tem a ver, única e exclusivamente, com o exame da competência para processar e julgar o pedido. O uso alternativo de um ou de outro, ainda que permitido, não pode implicar em livre escolha do juízo por parte do impetrante, fraudando a competência recursal atribuída pela Constituição ao STJ (CF, art. 105, II, a) e a competência originária deste Tribunal (CF, art. 102, I, i), na redação original. Tratando-se de habeas corpus, exaurido o seu exame pelo STJ, resta ao impetrante, como última instância, v</w:t>
      </w:r>
    </w:p>
    <w:p>
      <w:pPr>
        <w:ind w:left="288"/>
      </w:pPr>
      <w:r>
        <w:rPr>
          <w:b/>
          <w:color w:val="003CA0"/>
          <w:sz w:val="16"/>
        </w:rPr>
        <w:t>[HC 78.897 QO, rel. min. Nelson Jobim, j. 9-6-1999, P, DJ de 20-2-2004.]</w:t>
      </w:r>
    </w:p>
    <w:p>
      <w:pPr>
        <w:ind w:left="288"/>
      </w:pPr>
      <w:r>
        <w:rPr>
          <w:color w:val="8C8C8C"/>
          <w:sz w:val="12"/>
        </w:rPr>
        <w:t>cf-art-105-inc-II-ali-b</w:t>
      </w:r>
      <w:r>
        <w:rPr>
          <w:color w:val="003CA0"/>
          <w:sz w:val="12"/>
        </w:rPr>
        <w:t xml:space="preserve"> | RE 638.057</w:t>
      </w:r>
      <w:r>
        <w:rPr>
          <w:color w:val="003CA0"/>
          <w:sz w:val="12"/>
        </w:rPr>
        <w:t xml:space="preserve"> | rel. Ricardo Lewandowski</w:t>
      </w:r>
    </w:p>
    <w:p>
      <w:pPr>
        <w:ind w:left="288"/>
      </w:pPr>
      <w:r>
        <w:rPr>
          <w:color w:val="1E1E1E"/>
          <w:sz w:val="18"/>
        </w:rPr>
        <w:t>Nos termos do art. 105, II, b, da Constituição, inviável à instância recursal, no julgamento de recurso ordinário em mandado de segurança, superar preliminar de não cabimento da ação e enfrentar, de imediato, questão de mérito não analisada pela instância competente para o julgamento originário do writ.</w:t>
      </w:r>
    </w:p>
    <w:p>
      <w:pPr>
        <w:ind w:left="288"/>
      </w:pPr>
      <w:r>
        <w:rPr>
          <w:b/>
          <w:color w:val="003CA0"/>
          <w:sz w:val="16"/>
        </w:rPr>
        <w:t>[RE 638.057 AgR, rel. min. Ricardo Lewandowski, j. 28-2-2012, 2ª T, DJE de 12-3-2012.]</w:t>
      </w:r>
    </w:p>
    <w:p>
      <w:pPr>
        <w:ind w:left="288"/>
      </w:pPr>
      <w:r>
        <w:rPr>
          <w:color w:val="8C8C8C"/>
          <w:sz w:val="12"/>
        </w:rPr>
        <w:t>cf-art-105-inc-II-ali-b</w:t>
      </w:r>
      <w:r>
        <w:rPr>
          <w:color w:val="003CA0"/>
          <w:sz w:val="12"/>
        </w:rPr>
        <w:t xml:space="preserve"> | RMS 24.309</w:t>
      </w:r>
      <w:r>
        <w:rPr>
          <w:color w:val="003CA0"/>
          <w:sz w:val="12"/>
        </w:rPr>
        <w:t xml:space="preserve"> | rel. Marco Aurélio</w:t>
      </w:r>
    </w:p>
    <w:p>
      <w:pPr>
        <w:ind w:left="288"/>
      </w:pPr>
      <w:r>
        <w:rPr>
          <w:color w:val="1E1E1E"/>
          <w:sz w:val="18"/>
        </w:rPr>
        <w:t>Vide RMS 24.309 ED, rel. min. Marco Aurélio, j. 17-2-2004, 1ª T, DJ de 30-4-2004 Decisão denegatória de mandado de segurança proferida originariamente por tribunal estadual. Recurso ordinário. (...) Pedido alternativo de conversão do extraordinário. Tendo sido a segurança denegada originariamente pelo Tribunal de Justiça estadual, cabível era o recurso ordinário. A interposição de recurso extraordinário, mesmo que a causa esteja adstrita a questões constitucionais, é inadmissível e configura evidente erro grosseiro. Incabível a postulação alternativa de conversão do recurso extraordinário em o</w:t>
      </w:r>
    </w:p>
    <w:p>
      <w:pPr>
        <w:ind w:left="288"/>
      </w:pPr>
      <w:r>
        <w:rPr>
          <w:b/>
          <w:color w:val="003CA0"/>
          <w:sz w:val="16"/>
        </w:rPr>
        <w:t>[AI 145.553 AgR, rel. min. Ilmar Galvão, j. 9-2-1993, 1ª T, DJ de 26-2-1993.]</w:t>
      </w:r>
    </w:p>
    <w:p>
      <w:pPr>
        <w:ind w:left="288"/>
      </w:pPr>
      <w:r>
        <w:rPr>
          <w:color w:val="8C8C8C"/>
          <w:sz w:val="12"/>
        </w:rPr>
        <w:t>cf-art-105-inc-II-ali-b</w:t>
      </w:r>
      <w:r>
        <w:rPr>
          <w:color w:val="003CA0"/>
          <w:sz w:val="12"/>
        </w:rPr>
        <w:t xml:space="preserve"> | AI 767.657</w:t>
      </w:r>
      <w:r>
        <w:rPr>
          <w:color w:val="003CA0"/>
          <w:sz w:val="12"/>
        </w:rPr>
        <w:t xml:space="preserve"> | rel. Joaquim Barbosa</w:t>
      </w:r>
    </w:p>
    <w:p>
      <w:pPr>
        <w:ind w:left="288"/>
      </w:pPr>
      <w:r>
        <w:rPr>
          <w:color w:val="1E1E1E"/>
          <w:sz w:val="18"/>
        </w:rPr>
        <w:t>= AI 767.657 AgR, rel. min. Joaquim Barbosa, j. 31-8-2010, 2ª T, DJE de 1º-10-2010</w:t>
      </w:r>
    </w:p>
    <w:p>
      <w:pPr>
        <w:ind w:left="288"/>
      </w:pPr>
      <w:r>
        <w:rPr>
          <w:color w:val="8C8C8C"/>
          <w:sz w:val="12"/>
        </w:rPr>
        <w:t>cf-art-105-inc-II-ali-c</w:t>
      </w:r>
    </w:p>
    <w:p>
      <w:pPr>
        <w:ind w:left="288"/>
      </w:pPr>
      <w:r>
        <w:rPr>
          <w:color w:val="1E1E1E"/>
          <w:sz w:val="18"/>
        </w:rPr>
        <w:t>III - julgar, em recurso especial, as causas decididas, em única ou última instância, pelos Tribunais Regionais Federais ou pelos tribunais dos Estados, do Distrito Federal e Territórios, quando a decisão recorrida:</w:t>
      </w:r>
    </w:p>
    <w:p>
      <w:pPr>
        <w:ind w:left="288"/>
      </w:pPr>
      <w:r>
        <w:rPr>
          <w:color w:val="8C8C8C"/>
          <w:sz w:val="12"/>
        </w:rPr>
        <w:t>cf-art-105-inc-II-ali-c</w:t>
      </w:r>
      <w:r>
        <w:rPr>
          <w:color w:val="003CA0"/>
          <w:sz w:val="12"/>
        </w:rPr>
        <w:t xml:space="preserve"> | RCL 8.163</w:t>
      </w:r>
      <w:r>
        <w:rPr>
          <w:color w:val="003CA0"/>
          <w:sz w:val="12"/>
        </w:rPr>
        <w:t xml:space="preserve"> | rel. Ricardo Lewandowski</w:t>
      </w:r>
    </w:p>
    <w:p>
      <w:pPr>
        <w:ind w:left="288"/>
      </w:pPr>
      <w:r>
        <w:rPr>
          <w:color w:val="1E1E1E"/>
          <w:sz w:val="18"/>
        </w:rPr>
        <w:t>O STJ, ao negar seguimento ao recurso especial com fundamento constitucional, exerceu o chamado controle difuso de constitucionalidade, que é possibilitado a todos os órgãos judiciais indistintamente. Em tais casos, só haverá usurpação de competência do STF se da decisão da corte de origem foram interpostos, simultaneamente, recursos especial e extraordinário.</w:t>
      </w:r>
    </w:p>
    <w:p>
      <w:pPr>
        <w:ind w:left="288"/>
      </w:pPr>
      <w:r>
        <w:rPr>
          <w:b/>
          <w:color w:val="003CA0"/>
          <w:sz w:val="16"/>
        </w:rPr>
        <w:t>[Rcl 8.163 AgR, rel. min. Ricardo Lewandowski, j. 3-11-2011, P, DJE de 28-11-2011.]</w:t>
      </w:r>
    </w:p>
    <w:p>
      <w:pPr>
        <w:ind w:left="288"/>
      </w:pPr>
      <w:r>
        <w:rPr>
          <w:color w:val="8C8C8C"/>
          <w:sz w:val="12"/>
        </w:rPr>
        <w:t>cf-art-105-inc-II-ali-c</w:t>
      </w:r>
      <w:r>
        <w:rPr>
          <w:color w:val="003CA0"/>
          <w:sz w:val="12"/>
        </w:rPr>
        <w:t xml:space="preserve"> | RCL 6.882</w:t>
      </w:r>
      <w:r>
        <w:rPr>
          <w:color w:val="003CA0"/>
          <w:sz w:val="12"/>
        </w:rPr>
        <w:t xml:space="preserve"> | rel. Cármen Lúcia</w:t>
      </w:r>
    </w:p>
    <w:p>
      <w:pPr>
        <w:ind w:left="288"/>
      </w:pPr>
      <w:r>
        <w:rPr>
          <w:color w:val="1E1E1E"/>
          <w:sz w:val="18"/>
        </w:rPr>
        <w:t>O reconhecimento de repercussão geral no recurso extraordinário (...) não significa que o STJ está impedido de julgar, observando os limites de sua competência, o recurso especial interposto simultaneamente ao recurso extraordinário.</w:t>
      </w:r>
    </w:p>
    <w:p>
      <w:pPr>
        <w:ind w:left="288"/>
      </w:pPr>
      <w:r>
        <w:rPr>
          <w:b/>
          <w:color w:val="003CA0"/>
          <w:sz w:val="16"/>
        </w:rPr>
        <w:t>[Rcl 6.882 AgR, rel. min. Cármen Lúcia, j. 24-3-2011, P, DJE de 12-4-2011.]</w:t>
      </w:r>
    </w:p>
    <w:p>
      <w:pPr>
        <w:ind w:left="288"/>
      </w:pPr>
      <w:r>
        <w:rPr>
          <w:color w:val="8C8C8C"/>
          <w:sz w:val="12"/>
        </w:rPr>
        <w:t>cf-art-105-inc-II-ali-c</w:t>
      </w:r>
      <w:r>
        <w:rPr>
          <w:color w:val="003CA0"/>
          <w:sz w:val="12"/>
        </w:rPr>
        <w:t xml:space="preserve"> | RE 235.802</w:t>
      </w:r>
      <w:r>
        <w:rPr>
          <w:color w:val="003CA0"/>
          <w:sz w:val="12"/>
        </w:rPr>
        <w:t xml:space="preserve"> | rel. Joaquim Barbosa</w:t>
      </w:r>
    </w:p>
    <w:p>
      <w:pPr>
        <w:ind w:left="288"/>
      </w:pPr>
      <w:r>
        <w:rPr>
          <w:color w:val="1E1E1E"/>
          <w:sz w:val="18"/>
        </w:rPr>
        <w:t>A limitação da questão legal a ser devolvida para análise do STJ decorre exclusivamente do fato de ter havido a desistência do recurso extraordinário interposto pelo ora embargante contra o acórdão do Tribunal de Justiça, não havendo que se falar em usurpação de competência.</w:t>
      </w:r>
    </w:p>
    <w:p>
      <w:pPr>
        <w:ind w:left="288"/>
      </w:pPr>
      <w:r>
        <w:rPr>
          <w:b/>
          <w:color w:val="003CA0"/>
          <w:sz w:val="16"/>
        </w:rPr>
        <w:t>[RE 235.802 ED-ED, rel. min. Joaquim Barbosa, j. 9-11-2010, 1ª T, DJE de 30-11-2010.]</w:t>
      </w:r>
    </w:p>
    <w:p>
      <w:pPr>
        <w:ind w:left="288"/>
      </w:pPr>
      <w:r>
        <w:rPr>
          <w:color w:val="8C8C8C"/>
          <w:sz w:val="12"/>
        </w:rPr>
        <w:t>cf-art-105-inc-II-ali-c</w:t>
      </w:r>
      <w:r>
        <w:rPr>
          <w:color w:val="003CA0"/>
          <w:sz w:val="12"/>
        </w:rPr>
        <w:t xml:space="preserve"> | HC 69.522</w:t>
      </w:r>
      <w:r>
        <w:rPr>
          <w:color w:val="003CA0"/>
          <w:sz w:val="12"/>
        </w:rPr>
        <w:t xml:space="preserve"> | rel. Eros Grau</w:t>
      </w:r>
    </w:p>
    <w:p>
      <w:pPr>
        <w:ind w:left="288"/>
      </w:pPr>
      <w:r>
        <w:rPr>
          <w:color w:val="1E1E1E"/>
          <w:sz w:val="18"/>
        </w:rPr>
        <w:t>Decisão que negou seguimento a recurso especial por intempestivo. Recurso tempestivo porquanto ante a superveniência do recesso forense o último dia do prazo foi prorrogado para o primeiro dia útil subsequente, 7-1-2008. Esta Corte decidiu, no julgamento do HC 69.522/GO, min. Marco Aurélio, que a regra do art. 798 do CPP pressupõe quadro de normalidade, o funcionamento regular da Justiça. Daí afirmar-se que "tratando-se de férias coletivas ocorre o fenômeno da suspensão”.</w:t>
      </w:r>
    </w:p>
    <w:p>
      <w:pPr>
        <w:ind w:left="288"/>
      </w:pPr>
      <w:r>
        <w:rPr>
          <w:b/>
          <w:color w:val="003CA0"/>
          <w:sz w:val="16"/>
        </w:rPr>
        <w:t>[HC 100.344, rel. min. Eros Grau, j. 8-9-2009, 2ª T, DJE de 6-11-2009.]</w:t>
      </w:r>
    </w:p>
    <w:p>
      <w:pPr>
        <w:ind w:left="288"/>
      </w:pPr>
      <w:r>
        <w:rPr>
          <w:color w:val="8C8C8C"/>
          <w:sz w:val="12"/>
        </w:rPr>
        <w:t>cf-art-105-inc-II-ali-c</w:t>
      </w:r>
      <w:r>
        <w:rPr>
          <w:color w:val="003CA0"/>
          <w:sz w:val="12"/>
        </w:rPr>
        <w:t xml:space="preserve"> | HC 99.206</w:t>
      </w:r>
      <w:r>
        <w:rPr>
          <w:color w:val="003CA0"/>
          <w:sz w:val="12"/>
        </w:rPr>
        <w:t xml:space="preserve"> | rel. Cármen Lúcia</w:t>
      </w:r>
    </w:p>
    <w:p>
      <w:pPr>
        <w:ind w:left="288"/>
      </w:pPr>
      <w:r>
        <w:rPr>
          <w:color w:val="1E1E1E"/>
          <w:sz w:val="18"/>
        </w:rPr>
        <w:t>= HC 99.206, rel. min. Cármen Lúcia, j. 10-8-2010, 1ª T, DJE de 11-2-2011 Vide RMS 21.476, rel. min. Celso de Mello, j. 16-6-1992, 1ª T, DJ de 4-9-1992 Ação popular. Contrato de risco entre a Petrobras e a Paulipetro (consórcio "Cesp" e "IPT"). Nulidade reconhecida pelo STJ, em sede de recurso especial. Fundamento central: ofensa ao art. 2º da Lei 4.717/1965. Alegada incompetência absoluta do STJ para apreciar litígio entre a União e o Estado de São Paulo, assim como para julgar matéria constitucional sob reserva do STF. Ausência de prequestionamento; descabimento da alegação. Suposta aplicaçã</w:t>
      </w:r>
    </w:p>
    <w:p>
      <w:pPr>
        <w:ind w:left="288"/>
      </w:pPr>
      <w:r>
        <w:rPr>
          <w:b/>
          <w:color w:val="003CA0"/>
          <w:sz w:val="16"/>
        </w:rPr>
        <w:t>[RE 479.887, rel. min. Ayres Britto, j. 7-8-2007, 1ª T, DJ de 31-10-2007.]</w:t>
      </w:r>
    </w:p>
    <w:p>
      <w:pPr>
        <w:ind w:left="288"/>
      </w:pPr>
      <w:r>
        <w:rPr>
          <w:color w:val="8C8C8C"/>
          <w:sz w:val="12"/>
        </w:rPr>
        <w:t>cf-art-105-inc-II-ali-c</w:t>
      </w:r>
      <w:r>
        <w:rPr>
          <w:color w:val="003CA0"/>
          <w:sz w:val="12"/>
        </w:rPr>
        <w:t xml:space="preserve"> | AI 442.654</w:t>
      </w:r>
      <w:r>
        <w:rPr>
          <w:color w:val="003CA0"/>
          <w:sz w:val="12"/>
        </w:rPr>
        <w:t xml:space="preserve"> | rel. Celso de Mello</w:t>
      </w:r>
    </w:p>
    <w:p>
      <w:pPr>
        <w:ind w:left="288"/>
      </w:pPr>
      <w:r>
        <w:rPr>
          <w:color w:val="1E1E1E"/>
          <w:sz w:val="18"/>
        </w:rPr>
        <w:t>A jurisprudência do STF firmou entendimento no sentido de que a discussão em torno dos requisitos de admissibilidade do recurso especial, dirigido ao STJ, não viabiliza o acesso à via recursal extraordinária, por tratar-se de tema de caráter eminentemente infraconstitucional, exceto se o julgamento emanado dessa Alta Corte judiciária apoiar-se em premissas que conflitem, diretamente, com o que dispõe o art. 105, III, da Carta Política.</w:t>
      </w:r>
    </w:p>
    <w:p>
      <w:pPr>
        <w:ind w:left="288"/>
      </w:pPr>
      <w:r>
        <w:rPr>
          <w:b/>
          <w:color w:val="003CA0"/>
          <w:sz w:val="16"/>
        </w:rPr>
        <w:t>[AI 442.654 AgR, rel. min. Celso de Mello, j. 23-3-2004, 2ª T, DJ de 11-6-2004.]</w:t>
      </w:r>
    </w:p>
    <w:p>
      <w:pPr>
        <w:ind w:left="288"/>
      </w:pPr>
      <w:r>
        <w:rPr>
          <w:color w:val="8C8C8C"/>
          <w:sz w:val="12"/>
        </w:rPr>
        <w:t>cf-art-105-inc-II-ali-c</w:t>
      </w:r>
      <w:r>
        <w:rPr>
          <w:color w:val="003CA0"/>
          <w:sz w:val="12"/>
        </w:rPr>
        <w:t xml:space="preserve"> | AI 741.876</w:t>
      </w:r>
      <w:r>
        <w:rPr>
          <w:color w:val="003CA0"/>
          <w:sz w:val="12"/>
        </w:rPr>
        <w:t xml:space="preserve"> | rel. Joaquim Barbosa</w:t>
      </w:r>
    </w:p>
    <w:p>
      <w:pPr>
        <w:ind w:left="288"/>
      </w:pPr>
      <w:r>
        <w:rPr>
          <w:color w:val="1E1E1E"/>
          <w:sz w:val="18"/>
        </w:rPr>
        <w:t>= AI 741.876 AgR, rel. min. Joaquim Barbosa, j. 14-4-2009, 2ª T, DJE de 5-6-2009 O termo "causa" empregado no art. 105, III, da Constituição compreende qualquer questão federal resolvida em única ou última instância, pelos tribunais regionais federais ou pelos tribunais dos Estados, Distrito Federal e Territórios, ainda que mediante decisão interlocutória.</w:t>
      </w:r>
    </w:p>
    <w:p>
      <w:pPr>
        <w:ind w:left="288"/>
      </w:pPr>
      <w:r>
        <w:rPr>
          <w:b/>
          <w:color w:val="003CA0"/>
          <w:sz w:val="16"/>
        </w:rPr>
        <w:t>[RE 153.831, rel. min. Ellen Gracie, j. 3-12-2002, 1ª T, DJ de 14-3-2003.]</w:t>
      </w:r>
    </w:p>
    <w:p>
      <w:pPr>
        <w:ind w:left="288"/>
      </w:pPr>
      <w:r>
        <w:rPr>
          <w:color w:val="8C8C8C"/>
          <w:sz w:val="12"/>
        </w:rPr>
        <w:t>cf-art-105-inc-II-ali-c</w:t>
      </w:r>
      <w:r>
        <w:rPr>
          <w:color w:val="003CA0"/>
          <w:sz w:val="12"/>
        </w:rPr>
        <w:t xml:space="preserve"> | RE 208.775.</w:t>
      </w:r>
      <w:r>
        <w:rPr>
          <w:color w:val="003CA0"/>
          <w:sz w:val="12"/>
        </w:rPr>
        <w:t xml:space="preserve"> | rel. Ellen Gracie</w:t>
      </w:r>
    </w:p>
    <w:p>
      <w:pPr>
        <w:ind w:left="288"/>
      </w:pPr>
      <w:r>
        <w:rPr>
          <w:color w:val="1E1E1E"/>
          <w:sz w:val="18"/>
        </w:rPr>
        <w:t>Viola o art. 105, III, da Constituição, o acórdão do STJ que mantém a atualização monetária questionada, reduzindo, contudo, o índice de correção, sem que tal questão tenha sido anteriormente ventilada pelas instâncias inferiores. Precedente: RE 208.775.</w:t>
      </w:r>
    </w:p>
    <w:p>
      <w:pPr>
        <w:ind w:left="288"/>
      </w:pPr>
      <w:r>
        <w:rPr>
          <w:b/>
          <w:color w:val="003CA0"/>
          <w:sz w:val="16"/>
        </w:rPr>
        <w:t>[RE 211.685, rel. min. Ellen Gracie, j. 11-9-2001, 1ª T, DJ de 11-10-2001.]</w:t>
      </w:r>
    </w:p>
    <w:p>
      <w:pPr>
        <w:ind w:left="288"/>
      </w:pPr>
      <w:r>
        <w:rPr>
          <w:color w:val="8C8C8C"/>
          <w:sz w:val="12"/>
        </w:rPr>
        <w:t>cf-art-105-inc-II-ali-c</w:t>
      </w:r>
      <w:r>
        <w:rPr>
          <w:color w:val="003CA0"/>
          <w:sz w:val="12"/>
        </w:rPr>
        <w:t xml:space="preserve"> | AI 217.753</w:t>
      </w:r>
      <w:r>
        <w:rPr>
          <w:color w:val="003CA0"/>
          <w:sz w:val="12"/>
        </w:rPr>
        <w:t xml:space="preserve"> | rel. Marco Aurélio</w:t>
      </w:r>
    </w:p>
    <w:p>
      <w:pPr>
        <w:ind w:left="288"/>
      </w:pPr>
      <w:r>
        <w:rPr>
          <w:color w:val="1E1E1E"/>
          <w:sz w:val="18"/>
        </w:rPr>
        <w:t>O STJ, uma vez ultrapassada a barreira de conhecimento do recurso especial, julga a lide, cabendo-lhe, como ocorre em relação a todo e qualquer órgão investido do ofício judicante, o controle difuso de constitucionalidade. (...) Deixando o órgão de examinar questão versada pela parte, isso após conhecido recurso com o qual se defrontou, verifica-se o vício de procedimento e, portanto, a abertura de via à arguição pertinente.</w:t>
      </w:r>
    </w:p>
    <w:p>
      <w:pPr>
        <w:ind w:left="288"/>
      </w:pPr>
      <w:r>
        <w:rPr>
          <w:b/>
          <w:color w:val="003CA0"/>
          <w:sz w:val="16"/>
        </w:rPr>
        <w:t>[AI 217.753 AgR, rel. min. Marco Aurélio, j. 1º-12-1998, 2ª T, DJ de 23-4-1999.]</w:t>
      </w:r>
    </w:p>
    <w:p>
      <w:pPr>
        <w:ind w:left="288"/>
      </w:pPr>
      <w:r>
        <w:rPr>
          <w:color w:val="8C8C8C"/>
          <w:sz w:val="12"/>
        </w:rPr>
        <w:t>cf-art-105-inc-II-ali-c</w:t>
      </w:r>
      <w:r>
        <w:rPr>
          <w:color w:val="003CA0"/>
          <w:sz w:val="12"/>
        </w:rPr>
        <w:t xml:space="preserve"> | RCL 6.882</w:t>
      </w:r>
      <w:r>
        <w:rPr>
          <w:color w:val="003CA0"/>
          <w:sz w:val="12"/>
        </w:rPr>
        <w:t xml:space="preserve"> | rel. Cármen Lúcia</w:t>
      </w:r>
    </w:p>
    <w:p>
      <w:pPr>
        <w:ind w:left="288"/>
      </w:pPr>
      <w:r>
        <w:rPr>
          <w:color w:val="1E1E1E"/>
          <w:sz w:val="18"/>
        </w:rPr>
        <w:t>= Rcl 6.882 AgR, rel. min. Cármen Lúcia, j. 24-3-2011, P, DJE de 12-4-2011 Improcedência das alegações de que não é cabível recurso especial contra decisão de tribunal que, em única instância, julga improcedente a denúncia em face da resposta escrita, não só por ser irrecorrível tal decisão em virtude do disposto no art. 557 c/c o art. 559 do CPP, mas também por não estar, nesse caso, caracterizada a "causa", que é pressuposto de admissibilidade do recurso especial (inciso III do art. 105 da CF).</w:t>
      </w:r>
    </w:p>
    <w:p>
      <w:pPr>
        <w:ind w:left="288"/>
      </w:pPr>
      <w:r>
        <w:rPr>
          <w:b/>
          <w:color w:val="003CA0"/>
          <w:sz w:val="16"/>
        </w:rPr>
        <w:t>[HC 77.404, rel. min. Moreira Alves, j. 1º-9-1998, 1ª T, DJ de 23-10-1998.]</w:t>
      </w:r>
    </w:p>
    <w:p>
      <w:pPr>
        <w:ind w:left="288"/>
      </w:pPr>
      <w:r>
        <w:rPr>
          <w:color w:val="8C8C8C"/>
          <w:sz w:val="12"/>
        </w:rPr>
        <w:t>cf-art-105-inc-II-ali-c</w:t>
      </w:r>
      <w:r>
        <w:rPr>
          <w:color w:val="003CA0"/>
          <w:sz w:val="12"/>
        </w:rPr>
        <w:t xml:space="preserve"> | RE 190.104</w:t>
      </w:r>
      <w:r>
        <w:rPr>
          <w:color w:val="003CA0"/>
          <w:sz w:val="12"/>
        </w:rPr>
        <w:t xml:space="preserve"> | rel. Néri da Silveira</w:t>
      </w:r>
    </w:p>
    <w:p>
      <w:pPr>
        <w:ind w:left="288"/>
      </w:pPr>
      <w:r>
        <w:rPr>
          <w:color w:val="1E1E1E"/>
          <w:sz w:val="18"/>
        </w:rPr>
        <w:t xml:space="preserve">Limites do recurso extraordinário, para o STF, contra acórdão em recurso especial, do STJ, em face do sistema da CF (arts. 102, III, a, b e c, e 105, III, a, b e c). Definida a área de competência de ambas as Cortes, certo está que o STF, pela competência excepcional e incontrastável prevista no caput do art. 102 da Lei Magna, enquanto guarda da Constituição, pode, em princípio, conhecer de recurso extraordinário também de decisão proferida pelo STJ, quer no exercício da competência originária, quer de competência recursal ordinária, quer em recurso especial (CF, art. 105, I, II e III), desde </w:t>
      </w:r>
    </w:p>
    <w:p>
      <w:pPr>
        <w:ind w:left="288"/>
      </w:pPr>
      <w:r>
        <w:rPr>
          <w:b/>
          <w:color w:val="003CA0"/>
          <w:sz w:val="16"/>
        </w:rPr>
        <w:t>[RE 190.104, rel. min. Néri da Silveira, j. 25-6-1996, 2ª T, DJ de 14-11-1997.]</w:t>
      </w:r>
    </w:p>
    <w:p>
      <w:pPr>
        <w:ind w:left="288"/>
      </w:pPr>
      <w:r>
        <w:rPr>
          <w:color w:val="8C8C8C"/>
          <w:sz w:val="12"/>
        </w:rPr>
        <w:t>cf-art-105-inc-II-ali-c</w:t>
      </w:r>
      <w:r>
        <w:rPr>
          <w:color w:val="003CA0"/>
          <w:sz w:val="12"/>
        </w:rPr>
        <w:t xml:space="preserve"> | AI 135.632</w:t>
      </w:r>
      <w:r>
        <w:rPr>
          <w:color w:val="003CA0"/>
          <w:sz w:val="12"/>
        </w:rPr>
        <w:t xml:space="preserve"> | rel. Celso de Mello</w:t>
      </w:r>
    </w:p>
    <w:p>
      <w:pPr>
        <w:ind w:left="288"/>
      </w:pPr>
      <w:r>
        <w:rPr>
          <w:color w:val="1E1E1E"/>
          <w:sz w:val="18"/>
        </w:rPr>
        <w:t>Desdobramento do recurso extraordinário em recurso especial. Impossibilidade. Revela-se inviável o desdobramento de um recurso, que, por perda de objeto motivada pela celebração de acordo na esfera administrativa, tornou-se, ipso facto, prejudicado, circunstância esta que afeta o encaminhamento, ao STJ, de um recurso irremediavelmente desprovido de objeto.</w:t>
      </w:r>
    </w:p>
    <w:p>
      <w:pPr>
        <w:ind w:left="288"/>
      </w:pPr>
      <w:r>
        <w:rPr>
          <w:b/>
          <w:color w:val="003CA0"/>
          <w:sz w:val="16"/>
        </w:rPr>
        <w:t>[AI 135.632 AgR, rel. min. Celso de Mello, j. 10-10-1995, 1ª T, DJ de 3-9-1999.]</w:t>
      </w:r>
    </w:p>
    <w:p>
      <w:pPr>
        <w:ind w:left="288"/>
      </w:pPr>
      <w:r>
        <w:rPr>
          <w:color w:val="8C8C8C"/>
          <w:sz w:val="12"/>
        </w:rPr>
        <w:t>cf-art-105-inc-II-ali-c</w:t>
      </w:r>
      <w:r>
        <w:rPr>
          <w:color w:val="003CA0"/>
          <w:sz w:val="12"/>
        </w:rPr>
        <w:t xml:space="preserve"> | AI 162.245</w:t>
      </w:r>
      <w:r>
        <w:rPr>
          <w:color w:val="003CA0"/>
          <w:sz w:val="12"/>
        </w:rPr>
        <w:t xml:space="preserve"> | rel. Celso de Mello</w:t>
      </w:r>
    </w:p>
    <w:p>
      <w:pPr>
        <w:ind w:left="288"/>
      </w:pPr>
      <w:r>
        <w:rPr>
          <w:color w:val="1E1E1E"/>
          <w:sz w:val="18"/>
        </w:rPr>
        <w:t>O recurso especial, por sua vez, está vocacionado, no campo de sua específica atuação temática, à tutela do direito objetivo infraconstitucional da União. A sua apreciação jurisdicional compete ao STJ, que detém, ope constitutionis, a qualidade de guardião do direito federal comum. O legislador constituinte, ao criar o STJ, atribuiu-lhe, dentre outras eminentes funções de índole jurisdicional, a prerrogativa de uniformizar a interpretação das leis e das normas infraconstitucionais emanadas da União Federal (CF, art. 105, III, c). Refoge, assim, ao domínio temático do recurso especial, o dissíd</w:t>
      </w:r>
    </w:p>
    <w:p>
      <w:pPr>
        <w:ind w:left="288"/>
      </w:pPr>
      <w:r>
        <w:rPr>
          <w:b/>
          <w:color w:val="003CA0"/>
          <w:sz w:val="16"/>
        </w:rPr>
        <w:t>[AI 162.245 AgR, rel. min. Celso de Mello, j. 30-8-1994, 1ª T, DJ de 24-11-2000.]</w:t>
      </w:r>
    </w:p>
    <w:p>
      <w:pPr>
        <w:ind w:left="288"/>
      </w:pPr>
      <w:r>
        <w:rPr>
          <w:color w:val="8C8C8C"/>
          <w:sz w:val="12"/>
        </w:rPr>
        <w:t>cf-art-105-inc-II-ali-c</w:t>
      </w:r>
      <w:r>
        <w:rPr>
          <w:color w:val="003CA0"/>
          <w:sz w:val="12"/>
        </w:rPr>
        <w:t xml:space="preserve"> | AI 603.866</w:t>
      </w:r>
      <w:r>
        <w:rPr>
          <w:color w:val="003CA0"/>
          <w:sz w:val="12"/>
        </w:rPr>
        <w:t xml:space="preserve"> | rel. Marco Aurélio</w:t>
      </w:r>
    </w:p>
    <w:p>
      <w:pPr>
        <w:ind w:left="288"/>
      </w:pPr>
      <w:r>
        <w:rPr>
          <w:color w:val="1E1E1E"/>
          <w:sz w:val="18"/>
        </w:rPr>
        <w:t>= AI 603.866 AgR, rel. min. Marco Aurélio, j. 9-6-2009, 1ª T, DJE de 21-8-2009 Vide HC 94.337, rel. min. Cármen Lúcia, j. 3-6-2008, 1ª T, DJE de 31-10-2008 É inadmissível o recurso especial se a decisão recorrida contém fundamento constitucional suficiente e não tiver sido interposto o recurso extraordinário simultâneo.</w:t>
      </w:r>
    </w:p>
    <w:p>
      <w:pPr>
        <w:ind w:left="288"/>
      </w:pPr>
      <w:r>
        <w:rPr>
          <w:b/>
          <w:color w:val="003CA0"/>
          <w:sz w:val="16"/>
        </w:rPr>
        <w:t>[AI 155.895 AgR, rel. min. Sepúlveda Pertence, j. 30-11-1993, 1ª T, DJ de 20-5-1994.]</w:t>
      </w:r>
    </w:p>
    <w:p>
      <w:pPr>
        <w:ind w:left="288"/>
      </w:pPr>
      <w:r>
        <w:rPr>
          <w:color w:val="8C8C8C"/>
          <w:sz w:val="12"/>
        </w:rPr>
        <w:t>cf-art-105-inc-II-ali-a</w:t>
      </w:r>
      <w:r>
        <w:rPr>
          <w:color w:val="003CA0"/>
          <w:sz w:val="12"/>
        </w:rPr>
        <w:t xml:space="preserve"> | RE 602.422</w:t>
      </w:r>
      <w:r>
        <w:rPr>
          <w:color w:val="003CA0"/>
          <w:sz w:val="12"/>
        </w:rPr>
        <w:t xml:space="preserve"> | rel. Eros Grau</w:t>
      </w:r>
    </w:p>
    <w:p>
      <w:pPr>
        <w:ind w:left="288"/>
      </w:pPr>
      <w:r>
        <w:rPr>
          <w:color w:val="1E1E1E"/>
          <w:sz w:val="18"/>
        </w:rPr>
        <w:t>CPMF. Isenção. Tratado internacional. (...) Competência do STJ para o julgamento da matéria sob exame, princípio da reciprocidade de tratamento prevista em acordo internacional (art. 105, III, a, da Constituição do Brasil).</w:t>
      </w:r>
    </w:p>
    <w:p>
      <w:pPr>
        <w:ind w:left="288"/>
      </w:pPr>
      <w:r>
        <w:rPr>
          <w:b/>
          <w:color w:val="003CA0"/>
          <w:sz w:val="16"/>
        </w:rPr>
        <w:t>[RE 602.422 AgR, rel. min. Eros Grau, j. 9-2-2010, 2ª T, DJE de 12-3-2010.]</w:t>
      </w:r>
    </w:p>
    <w:p>
      <w:pPr>
        <w:ind w:left="288"/>
      </w:pPr>
      <w:r>
        <w:rPr>
          <w:color w:val="8C8C8C"/>
          <w:sz w:val="12"/>
        </w:rPr>
        <w:t>cf-art-105-inc-II-ali-b</w:t>
      </w:r>
      <w:r>
        <w:rPr>
          <w:color w:val="003CA0"/>
          <w:sz w:val="12"/>
        </w:rPr>
        <w:t xml:space="preserve"> | RE 117.809</w:t>
      </w:r>
      <w:r>
        <w:rPr>
          <w:color w:val="003CA0"/>
          <w:sz w:val="12"/>
        </w:rPr>
        <w:t xml:space="preserve"> | rel. Sepúlveda Pertence</w:t>
      </w:r>
    </w:p>
    <w:p>
      <w:pPr>
        <w:ind w:left="288"/>
      </w:pPr>
      <w:r>
        <w:rPr>
          <w:color w:val="1E1E1E"/>
          <w:sz w:val="18"/>
        </w:rPr>
        <w:t>Nem sempre a discussão de validade de lei ou ato de governo local em face de lei federal se resolve numa questão constitucional de invasão de competência, podendo reduzir-se à interpretação da lei federal e da lei ou ato local para saber de sua recíproca compatibilidade. Se, entre uma lei federal e uma lei estadual ou municipal, a decisão optar pela aplicação da última por entender que a norma central regulou matéria de competência local, é evidente que a terá considerado inconstitucional, o que basta à admissão do recurso extraordinário pela letra b do art. 102, III, da Constituição. Ao recur</w:t>
      </w:r>
    </w:p>
    <w:p>
      <w:pPr>
        <w:ind w:left="288"/>
      </w:pPr>
      <w:r>
        <w:rPr>
          <w:b/>
          <w:color w:val="003CA0"/>
          <w:sz w:val="16"/>
        </w:rPr>
        <w:t>[RE 117.809 QO, rel. min. Sepúlveda Pertence, j. 14-6-1989, P, DJ de 4-8-1989.]</w:t>
      </w:r>
    </w:p>
    <w:p>
      <w:pPr>
        <w:ind w:left="288"/>
      </w:pPr>
      <w:r>
        <w:rPr>
          <w:color w:val="8C8C8C"/>
          <w:sz w:val="12"/>
        </w:rPr>
        <w:t>cf-art-105-inc-II-ali-c</w:t>
      </w:r>
      <w:r>
        <w:rPr>
          <w:color w:val="003CA0"/>
          <w:sz w:val="12"/>
        </w:rPr>
        <w:t xml:space="preserve"> | HC 89.958</w:t>
      </w:r>
      <w:r>
        <w:rPr>
          <w:color w:val="003CA0"/>
          <w:sz w:val="12"/>
        </w:rPr>
        <w:t xml:space="preserve"> | rel. Sepúlveda Pertence</w:t>
      </w:r>
    </w:p>
    <w:p>
      <w:pPr>
        <w:ind w:left="288"/>
      </w:pPr>
      <w:r>
        <w:rPr>
          <w:color w:val="1E1E1E"/>
          <w:sz w:val="18"/>
        </w:rPr>
        <w:t>O cabimento ou não, em concreto, do recurso especial é questão que se esgota no âmbito da jurisdição do STJ, sendo inadmissível a sua revisão em recurso extraordinário, que se limita às questões constitucionais decididas em única ou última instância: precedentes. A situação é diversa, contudo, quando se trata de habeas corpus que, tendo âmbito de cognição mais abrangente, permite rever questões jurídicas decididas contra o réu no julgamento do recurso especial, ainda que fundado em dissídio jurisprudencial: precedentes. A jurisprudência do Supremo Tribunal é no sentido de que a "ementa do acór</w:t>
      </w:r>
    </w:p>
    <w:p>
      <w:pPr>
        <w:ind w:left="288"/>
      </w:pPr>
      <w:r>
        <w:rPr>
          <w:b/>
          <w:color w:val="003CA0"/>
          <w:sz w:val="16"/>
        </w:rPr>
        <w:t>[HC 94.337, rel. min. Cármen Lúcia, j. 3-6-2008, 1ª T, DJE de 31-10-2008.]</w:t>
      </w:r>
    </w:p>
    <w:p>
      <w:pPr>
        <w:ind w:left="288"/>
      </w:pPr>
      <w:r>
        <w:rPr>
          <w:color w:val="8C8C8C"/>
          <w:sz w:val="12"/>
        </w:rPr>
        <w:t>cf-art-105-par-1</w:t>
      </w:r>
    </w:p>
    <w:p>
      <w:pPr>
        <w:ind w:left="288"/>
      </w:pPr>
      <w:r>
        <w:rPr>
          <w:color w:val="1E1E1E"/>
          <w:sz w:val="18"/>
        </w:rPr>
        <w:t>I - a Escola Nacional de Formação e Aperfeiçoamento de Magistrados, cabendo-lhe, dentre outras funções, regulamentar os cursos oficiais para o ingresso e promoção na carreira; (Incluído pela EC 45/2004) II - o Conselho da Justiça Federal, cabendo-lhe exercer, na forma da lei, a supervisão administrativa e orçamentária da Justiça Federal de primeiro e segundo graus, como órgão central do sistema e com poderes correicionais, cujas decisões terão caráter vinculante. (Incluído pela EC 45/2004)</w:t>
      </w:r>
    </w:p>
    <w:p>
      <w:pPr>
        <w:ind w:left="144"/>
      </w:pPr>
      <w:r>
        <w:rPr>
          <w:b/>
          <w:color w:val="B45A00"/>
          <w:sz w:val="16"/>
        </w:rPr>
        <w:t>CONTROLE CONCENTRADO</w:t>
      </w:r>
    </w:p>
    <w:p>
      <w:pPr>
        <w:ind w:left="288"/>
      </w:pPr>
      <w:r>
        <w:rPr>
          <w:color w:val="8C8C8C"/>
          <w:sz w:val="12"/>
        </w:rPr>
        <w:t>cf-art-105-par-1</w:t>
      </w:r>
      <w:r>
        <w:rPr>
          <w:color w:val="003CA0"/>
          <w:sz w:val="12"/>
        </w:rPr>
        <w:t xml:space="preserve"> | ADI 4.638</w:t>
      </w:r>
      <w:r>
        <w:rPr>
          <w:color w:val="003CA0"/>
          <w:sz w:val="12"/>
        </w:rPr>
        <w:t xml:space="preserve"> | rel. Marco Aurélio</w:t>
      </w:r>
    </w:p>
    <w:p>
      <w:pPr>
        <w:ind w:left="288"/>
      </w:pPr>
      <w:r>
        <w:rPr>
          <w:color w:val="1E1E1E"/>
          <w:sz w:val="18"/>
        </w:rPr>
        <w:t>A previsão de equiparação do Conselho Nacional de Justiça e do Conselho da Justiça Federal aos tribunais não ofende a Constituição, uma vez que representa mera técnica redacional legislativa, não tendo aptidão de emprestar caráter jurisdicional a esses órgãos.</w:t>
        <w:br/>
        <w:t>[ADI 4.638, rel. min. Marco Aurélio, red. do ac. Roberto Barroso, j. 3-7-2023, P, DJE de 15-8-2023.]</w:t>
      </w:r>
    </w:p>
    <w:p>
      <w:pPr>
        <w:ind w:left="288"/>
      </w:pPr>
      <w:r>
        <w:rPr>
          <w:color w:val="8C8C8C"/>
          <w:sz w:val="12"/>
        </w:rPr>
        <w:t>cf-art-105-par-1</w:t>
      </w:r>
      <w:r>
        <w:rPr>
          <w:color w:val="003CA0"/>
          <w:sz w:val="12"/>
        </w:rPr>
        <w:t xml:space="preserve"> | ADI 4.638</w:t>
      </w:r>
      <w:r>
        <w:rPr>
          <w:color w:val="003CA0"/>
          <w:sz w:val="12"/>
        </w:rPr>
        <w:t xml:space="preserve"> | rel. Marco Aurélio). O texto constitucional estabelece expressamente poderes correcionais a este Conselho</w:t>
      </w:r>
    </w:p>
    <w:p>
      <w:pPr>
        <w:ind w:left="288"/>
      </w:pPr>
      <w:r>
        <w:rPr>
          <w:color w:val="1E1E1E"/>
          <w:sz w:val="18"/>
        </w:rPr>
        <w:t>Não procede a alegação de inconstitucionalidade material, ao argumento de que restaria ao Conselho da Justiça Federal somente competência disciplinar em face dos servidores, e não dos magistrados. Com o advento da EC 45/2004, a competência correcional do Poder Judiciário federal passou a ser compartilhada entre as corregedorias dos tribunais, o CNJ, e o CJF (ADI 4.638-MC-Ref, Rel. Min. Marco Aurélio). O texto constitucional estabelece expressamente poderes correcionais a este Conselho, cujas decisões possuem caráter vinculante (art. 105, parágrafo único, II). Ao assim dispor, a Constituição nã</w:t>
      </w:r>
    </w:p>
    <w:p>
      <w:pPr>
        <w:ind w:left="288"/>
      </w:pPr>
      <w:r>
        <w:rPr>
          <w:b/>
          <w:color w:val="003CA0"/>
          <w:sz w:val="16"/>
        </w:rPr>
        <w:t>[ADI 4.610, rel. min. Roberto Barroso, j. 11-11-2019, P, DJE de 18-12-2019.]</w:t>
      </w:r>
    </w:p>
    <w:p>
      <w:pPr>
        <w:ind w:left="288"/>
      </w:pPr>
      <w:r>
        <w:rPr>
          <w:color w:val="8C8C8C"/>
          <w:sz w:val="12"/>
        </w:rPr>
        <w:t>cf-art-105-par-1</w:t>
      </w:r>
      <w:r>
        <w:rPr>
          <w:color w:val="003CA0"/>
          <w:sz w:val="12"/>
        </w:rPr>
        <w:t xml:space="preserve"> | ADI 3.126</w:t>
      </w:r>
      <w:r>
        <w:rPr>
          <w:color w:val="003CA0"/>
          <w:sz w:val="12"/>
        </w:rPr>
        <w:t xml:space="preserve"> | rel. Gilmar Mendes</w:t>
      </w:r>
    </w:p>
    <w:p>
      <w:pPr>
        <w:ind w:left="288"/>
      </w:pPr>
      <w:r>
        <w:rPr>
          <w:color w:val="1E1E1E"/>
          <w:sz w:val="18"/>
        </w:rPr>
        <w:t>Ação direta de inconstitucionalidade ajuizada contra a Resolução 336, de 2003, do presidente do CJF, que dispõe sobre o acúmulo do exercício da magistratura com o exercício do magistério, no âmbito da Justiça Federal de primeiro e segundo graus. Alegação no sentido de que a matéria em análise já encontra tratamento na CF (art. 95, parágrafo único, I), e caso comportasse regulamentação, esta deveria vir sob a forma de lei complementar, no próprio Estatuto da Magistratura. Suposta incompetência do CJF para editar o referido ato, porquanto fora de suas atribuições definidas no art. 105, parágrafo</w:t>
      </w:r>
    </w:p>
    <w:p>
      <w:pPr>
        <w:ind w:left="288"/>
      </w:pPr>
      <w:r>
        <w:rPr>
          <w:b/>
          <w:color w:val="003CA0"/>
          <w:sz w:val="16"/>
        </w:rPr>
        <w:t>[ADI 3.126 MC, rel. min. Gilmar Mendes, j. 17-2-2005, P, DJ de 6-5-2005.]</w:t>
      </w:r>
    </w:p>
    <w:p>
      <w:pPr>
        <w:ind w:left="288"/>
      </w:pPr>
      <w:r>
        <w:rPr>
          <w:color w:val="8C8C8C"/>
          <w:sz w:val="12"/>
        </w:rPr>
        <w:t>cf-art-105-par-1</w:t>
      </w:r>
    </w:p>
    <w:p>
      <w:pPr>
        <w:ind w:left="288"/>
      </w:pPr>
      <w:r>
        <w:rPr>
          <w:color w:val="1E1E1E"/>
          <w:sz w:val="18"/>
        </w:rPr>
        <w:t>Seção IV Dos Tribunais Regionais Federais e dos juízes Federais SUMÁRIO</w:t>
      </w:r>
    </w:p>
    <w:p>
      <w:pPr>
        <w:ind w:left="720"/>
      </w:pPr>
      <w:r>
        <w:rPr>
          <w:color w:val="003366"/>
          <w:sz w:val="18"/>
        </w:rPr>
        <w:t>I – processar e julgar, originariamente:</w:t>
      </w:r>
    </w:p>
    <w:p>
      <w:pPr>
        <w:ind w:left="1008"/>
      </w:pPr>
      <w:r>
        <w:rPr>
          <w:color w:val="003366"/>
          <w:sz w:val="18"/>
        </w:rPr>
        <w:t>a) nos crimes comuns, os Governadores dos Estados e do Distrito Federal, e, nest</w:t>
      </w:r>
    </w:p>
    <w:p>
      <w:pPr>
        <w:ind w:left="1008"/>
      </w:pPr>
      <w:r>
        <w:rPr>
          <w:color w:val="003366"/>
          <w:sz w:val="18"/>
        </w:rPr>
        <w:t>b) os mandados de segurança e os habeas data contra ato de Ministro de Estado, d</w:t>
      </w:r>
    </w:p>
    <w:p>
      <w:pPr>
        <w:ind w:left="1008"/>
      </w:pPr>
      <w:r>
        <w:rPr>
          <w:color w:val="003366"/>
          <w:sz w:val="18"/>
        </w:rPr>
        <w:t>c) os habeas corpus, quando o coator ou paciente for qualquer das pessoas mencio</w:t>
      </w:r>
    </w:p>
    <w:p>
      <w:pPr>
        <w:ind w:left="1008"/>
      </w:pPr>
      <w:r>
        <w:rPr>
          <w:color w:val="003366"/>
          <w:sz w:val="18"/>
        </w:rPr>
        <w:t xml:space="preserve">d) os conflitos de competência entre quaisquer tribunais, ressalvado o disposto </w:t>
      </w:r>
    </w:p>
    <w:p>
      <w:pPr>
        <w:ind w:left="1008"/>
      </w:pPr>
      <w:r>
        <w:rPr>
          <w:color w:val="003366"/>
          <w:sz w:val="18"/>
        </w:rPr>
        <w:t>e) as revisões criminais e as ações rescisórias de seus julgados;</w:t>
      </w:r>
    </w:p>
    <w:p>
      <w:pPr>
        <w:ind w:left="1008"/>
      </w:pPr>
      <w:r>
        <w:rPr>
          <w:color w:val="003366"/>
          <w:sz w:val="18"/>
        </w:rPr>
        <w:t>f) a reclamação para a preservação de sua competência e garantia da autoridade d</w:t>
      </w:r>
    </w:p>
    <w:p>
      <w:pPr>
        <w:ind w:left="1008"/>
      </w:pPr>
      <w:r>
        <w:rPr>
          <w:color w:val="003366"/>
          <w:sz w:val="18"/>
        </w:rPr>
        <w:t>g) os conflitos de atribuições entre autoridades administrativas e judiciárias d</w:t>
      </w:r>
    </w:p>
    <w:p>
      <w:pPr>
        <w:ind w:left="1008"/>
      </w:pPr>
      <w:r>
        <w:rPr>
          <w:color w:val="003366"/>
          <w:sz w:val="18"/>
        </w:rPr>
        <w:t>h) o mandado de injunção, quando a elaboração da norma regulamentadora for atrib</w:t>
      </w:r>
    </w:p>
    <w:p>
      <w:pPr>
        <w:ind w:left="1008"/>
      </w:pPr>
      <w:r>
        <w:rPr>
          <w:color w:val="003366"/>
          <w:sz w:val="18"/>
        </w:rPr>
        <w:t xml:space="preserve">i) a homologação de sentenças estrangeiras e a concessão de exequatur às cartas </w:t>
      </w:r>
    </w:p>
    <w:p>
      <w:pPr>
        <w:ind w:left="1008"/>
      </w:pPr>
      <w:r>
        <w:rPr>
          <w:color w:val="003366"/>
          <w:sz w:val="18"/>
        </w:rPr>
        <w:t>j) os conflitos entre entes federativos, ou entre estes e o Comitê Gestor do Imp</w:t>
      </w:r>
    </w:p>
    <w:p>
      <w:pPr>
        <w:ind w:left="720"/>
      </w:pPr>
      <w:r>
        <w:rPr>
          <w:color w:val="003366"/>
          <w:sz w:val="18"/>
        </w:rPr>
        <w:t>II – julgar, em recurso ordinário:</w:t>
      </w:r>
    </w:p>
    <w:p>
      <w:pPr>
        <w:ind w:left="1008"/>
      </w:pPr>
      <w:r>
        <w:rPr>
          <w:color w:val="003366"/>
          <w:sz w:val="18"/>
        </w:rPr>
        <w:t>a) os habeas corpus decididos em única ou última instância pelos Tribunais Regio</w:t>
      </w:r>
    </w:p>
    <w:p>
      <w:pPr>
        <w:ind w:left="1008"/>
      </w:pPr>
      <w:r>
        <w:rPr>
          <w:color w:val="003366"/>
          <w:sz w:val="18"/>
        </w:rPr>
        <w:t>b) os mandados de segurança decididos em única instância pelos Tribunais Regiona</w:t>
      </w:r>
    </w:p>
    <w:p>
      <w:pPr>
        <w:ind w:left="1008"/>
      </w:pPr>
      <w:r>
        <w:rPr>
          <w:color w:val="003366"/>
          <w:sz w:val="18"/>
        </w:rPr>
        <w:t xml:space="preserve">c) as causas em que forem partes Estado estrangeiro ou organismo internacional, </w:t>
      </w:r>
    </w:p>
    <w:p>
      <w:pPr>
        <w:ind w:left="720"/>
      </w:pPr>
      <w:r>
        <w:rPr>
          <w:color w:val="003366"/>
          <w:sz w:val="18"/>
        </w:rPr>
        <w:t>III – julgar, em recurso especial, as causas decididas, em única ou última instâ</w:t>
      </w:r>
    </w:p>
    <w:p>
      <w:pPr>
        <w:ind w:left="1008"/>
      </w:pPr>
      <w:r>
        <w:rPr>
          <w:color w:val="003366"/>
          <w:sz w:val="18"/>
        </w:rPr>
        <w:t>a) contrariar tratado ou lei federal, ou negar-lhes vigência;</w:t>
      </w:r>
    </w:p>
    <w:p>
      <w:pPr>
        <w:ind w:left="1008"/>
      </w:pPr>
      <w:r>
        <w:rPr>
          <w:color w:val="003366"/>
          <w:sz w:val="18"/>
        </w:rPr>
        <w:t>b) julgar válido ato de governo local contestado em face de lei federal; (Redaçã</w:t>
      </w:r>
    </w:p>
    <w:p>
      <w:pPr>
        <w:ind w:left="1008"/>
      </w:pPr>
      <w:r>
        <w:rPr>
          <w:color w:val="003366"/>
          <w:sz w:val="18"/>
        </w:rPr>
        <w:t>c) der a lei federal interpretação divergente da que lhe haja atribuído outro tr</w:t>
      </w:r>
    </w:p>
    <w:p>
      <w:pPr>
        <w:ind w:left="432"/>
      </w:pPr>
      <w:r>
        <w:rPr>
          <w:color w:val="003366"/>
          <w:sz w:val="18"/>
        </w:rPr>
        <w:t>§ 1 Funcionarão junto ao Superior Tribunal de Justiça:</w:t>
      </w:r>
    </w:p>
    <w:p>
      <w:pPr>
        <w:ind w:left="720"/>
      </w:pPr>
      <w:r>
        <w:rPr>
          <w:color w:val="003366"/>
          <w:sz w:val="18"/>
        </w:rPr>
        <w:t>I – a Escola Nacional de Formação e Aperfeiçoamento de Magistrados, cabendo-lhe,</w:t>
      </w:r>
    </w:p>
    <w:p>
      <w:pPr>
        <w:ind w:left="720"/>
      </w:pPr>
      <w:r>
        <w:rPr>
          <w:color w:val="003366"/>
          <w:sz w:val="18"/>
        </w:rPr>
        <w:t>II – o Conselho da Justiça Federal, cabendo-lhe exercer, na forma da lei, a supe</w:t>
      </w:r>
    </w:p>
    <w:p>
      <w:pPr>
        <w:ind w:left="432"/>
      </w:pPr>
      <w:r>
        <w:rPr>
          <w:color w:val="003366"/>
          <w:sz w:val="18"/>
        </w:rPr>
        <w:t xml:space="preserve">§ 2 No recurso especial, o recorrente deve demonstrar a relevância das questões </w:t>
      </w:r>
    </w:p>
    <w:p>
      <w:pPr>
        <w:ind w:left="432"/>
      </w:pPr>
      <w:r>
        <w:rPr>
          <w:color w:val="003366"/>
          <w:sz w:val="18"/>
        </w:rPr>
        <w:t>§ 3 Haverá a relevância de que trata o § 2º deste artigo nos seguintes casos: (I</w:t>
      </w:r>
    </w:p>
    <w:p>
      <w:pPr>
        <w:ind w:left="720"/>
      </w:pPr>
      <w:r>
        <w:rPr>
          <w:color w:val="003366"/>
          <w:sz w:val="18"/>
        </w:rPr>
        <w:t>I – ações penais; (Incluído pela Emenda Constitucional nº 125, de 2022)</w:t>
      </w:r>
    </w:p>
    <w:p>
      <w:pPr>
        <w:ind w:left="720"/>
      </w:pPr>
      <w:r>
        <w:rPr>
          <w:color w:val="003366"/>
          <w:sz w:val="18"/>
        </w:rPr>
        <w:t>II – ações de improbidade administrativa; (Incluído pela Emenda Constitucional n</w:t>
      </w:r>
    </w:p>
    <w:p>
      <w:pPr>
        <w:ind w:left="720"/>
      </w:pPr>
      <w:r>
        <w:rPr>
          <w:color w:val="003366"/>
          <w:sz w:val="18"/>
        </w:rPr>
        <w:t>III – ações cujo valor da causa ultrapasse 500 (quinhentos) salários mínimos; (I</w:t>
      </w:r>
    </w:p>
    <w:p>
      <w:pPr>
        <w:ind w:left="720"/>
      </w:pPr>
      <w:r>
        <w:rPr>
          <w:color w:val="003366"/>
          <w:sz w:val="18"/>
        </w:rPr>
        <w:t>IV – ações que possam gerar inelegibilidade; (Incluído pela Emenda Constituciona</w:t>
      </w:r>
    </w:p>
    <w:p>
      <w:pPr>
        <w:ind w:left="720"/>
      </w:pPr>
      <w:r>
        <w:rPr>
          <w:color w:val="003366"/>
          <w:sz w:val="18"/>
        </w:rPr>
        <w:t xml:space="preserve">V – hipóteses em que o acórdão recorrido contrariar jurisprudência dominante do </w:t>
      </w:r>
    </w:p>
    <w:p>
      <w:pPr>
        <w:ind w:left="720"/>
      </w:pPr>
      <w:r>
        <w:rPr>
          <w:color w:val="003366"/>
          <w:sz w:val="18"/>
        </w:rPr>
        <w:t xml:space="preserve">VI – outras hipóteses previstas em lei. (Incluído pela Emenda Constitucional nº </w:t>
      </w:r>
    </w:p>
    <w:p>
      <w:pPr>
        <w:pStyle w:val="Heading3"/>
      </w:pPr>
      <w:r>
        <w:rPr>
          <w:color w:val="003366"/>
        </w:rPr>
        <w:t>Seção IV - DOS TRIBUNAIS REGIONAIS FEDERAIS E DOS JUÍZES FEDERAIS</w:t>
      </w:r>
    </w:p>
    <w:p>
      <w:r>
        <w:rPr>
          <w:b/>
          <w:color w:val="003366"/>
          <w:sz w:val="20"/>
        </w:rPr>
        <w:t>Art. 106 São órgãos da Justiça Federal:</w:t>
      </w:r>
    </w:p>
    <w:p>
      <w:pPr>
        <w:ind w:left="720"/>
      </w:pPr>
      <w:r>
        <w:rPr>
          <w:color w:val="003366"/>
          <w:sz w:val="18"/>
        </w:rPr>
        <w:t>I – os Tribunais Regionais Federais;</w:t>
      </w:r>
    </w:p>
    <w:p>
      <w:pPr>
        <w:ind w:left="720"/>
      </w:pPr>
      <w:r>
        <w:rPr>
          <w:color w:val="003366"/>
          <w:sz w:val="18"/>
        </w:rPr>
        <w:t>II – os Juízes Federais.</w:t>
      </w:r>
    </w:p>
    <w:p>
      <w:r>
        <w:rPr>
          <w:b/>
          <w:color w:val="003366"/>
          <w:sz w:val="20"/>
        </w:rPr>
        <w:t xml:space="preserve">Art. 107 Os Tribunais Regionais Federais compõem-se de, no mínimo, sete juízes, </w:t>
      </w:r>
      <w:r>
        <w:rPr>
          <w:color w:val="8C8C8C"/>
          <w:sz w:val="14"/>
        </w:rPr>
        <w:t xml:space="preserve">  [6 decisoes]</w:t>
      </w:r>
    </w:p>
    <w:p>
      <w:pPr>
        <w:ind w:left="144"/>
      </w:pPr>
      <w:r>
        <w:rPr>
          <w:b/>
          <w:color w:val="B45A00"/>
          <w:sz w:val="16"/>
        </w:rPr>
        <w:t>JULGADOS CORRELATOS</w:t>
      </w:r>
    </w:p>
    <w:p>
      <w:pPr>
        <w:ind w:left="288"/>
      </w:pPr>
      <w:r>
        <w:rPr>
          <w:color w:val="8C8C8C"/>
          <w:sz w:val="12"/>
        </w:rPr>
        <w:t>cf-art-107</w:t>
      </w:r>
      <w:r>
        <w:rPr>
          <w:color w:val="003CA0"/>
          <w:sz w:val="12"/>
        </w:rPr>
        <w:t xml:space="preserve"> | MS 33.939</w:t>
      </w:r>
      <w:r>
        <w:rPr>
          <w:color w:val="003CA0"/>
          <w:sz w:val="12"/>
        </w:rPr>
        <w:t xml:space="preserve"> | rel. Luiz Fux</w:t>
      </w:r>
    </w:p>
    <w:p>
      <w:pPr>
        <w:ind w:left="288"/>
      </w:pPr>
      <w:r>
        <w:rPr>
          <w:color w:val="1E1E1E"/>
          <w:sz w:val="18"/>
        </w:rPr>
        <w:t>A interpretação lógico-sistemática dos arts. 93 e 107 da Constituição da República impõe ser inaplicável o limite etário de 65 anos aos magistrados de carreira, restringindo-o, apenas, aos candidatos oriundos do quinto constitucional, mercê de exercerem cargo isolado. Deveras, eventual imposição de idade máxima para eleição à vaga proveniente de aposentadoria por antiguidade de TRF constituiria verdadeira limitação à garantia da progressão na carreira de magistrado.</w:t>
      </w:r>
    </w:p>
    <w:p>
      <w:pPr>
        <w:ind w:left="288"/>
      </w:pPr>
      <w:r>
        <w:rPr>
          <w:b/>
          <w:color w:val="003CA0"/>
          <w:sz w:val="16"/>
        </w:rPr>
        <w:t>[MS 33.939 AgR, rel. min. Luiz Fux, j. 13-4-2018, P, DJE de 21-5-2018.]</w:t>
      </w:r>
    </w:p>
    <w:p>
      <w:pPr>
        <w:ind w:left="288"/>
      </w:pPr>
      <w:r>
        <w:rPr>
          <w:color w:val="8C8C8C"/>
          <w:sz w:val="12"/>
        </w:rPr>
        <w:t>cf-art-107</w:t>
      </w:r>
      <w:r>
        <w:rPr>
          <w:color w:val="003CA0"/>
          <w:sz w:val="12"/>
        </w:rPr>
        <w:t xml:space="preserve"> | MS 30.585</w:t>
      </w:r>
      <w:r>
        <w:rPr>
          <w:color w:val="003CA0"/>
          <w:sz w:val="12"/>
        </w:rPr>
        <w:t xml:space="preserve"> | rel. Ricardo Lewandowski</w:t>
      </w:r>
    </w:p>
    <w:p>
      <w:pPr>
        <w:ind w:left="288"/>
      </w:pPr>
      <w:r>
        <w:rPr>
          <w:color w:val="1E1E1E"/>
          <w:sz w:val="18"/>
        </w:rPr>
        <w:t>Mandado de segurança. 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inciso III do mencionado dispositivo que não altera tal entendimento. (...) O art</w:t>
      </w:r>
    </w:p>
    <w:p>
      <w:pPr>
        <w:ind w:left="288"/>
      </w:pPr>
      <w:r>
        <w:rPr>
          <w:b/>
          <w:color w:val="003CA0"/>
          <w:sz w:val="16"/>
        </w:rPr>
        <w:t>[MS 30.585, rel. min. Ricardo Lewandowski, j. 12-9-2012, P, DJE de 28-11-2012.]</w:t>
      </w:r>
    </w:p>
    <w:p>
      <w:pPr>
        <w:ind w:left="288"/>
      </w:pPr>
      <w:r>
        <w:rPr>
          <w:color w:val="8C8C8C"/>
          <w:sz w:val="12"/>
        </w:rPr>
        <w:t>cf-art-107-inc-I</w:t>
      </w:r>
      <w:r>
        <w:rPr>
          <w:color w:val="003CA0"/>
          <w:sz w:val="12"/>
        </w:rPr>
        <w:t xml:space="preserve"> | MS 20.597</w:t>
      </w:r>
      <w:r>
        <w:rPr>
          <w:color w:val="003CA0"/>
          <w:sz w:val="12"/>
        </w:rPr>
        <w:t xml:space="preserve"> | rel. Carlos Velloso</w:t>
      </w:r>
    </w:p>
    <w:p>
      <w:pPr>
        <w:ind w:left="288"/>
      </w:pPr>
      <w:r>
        <w:rPr>
          <w:color w:val="1E1E1E"/>
          <w:sz w:val="18"/>
        </w:rPr>
        <w:t>TRF. Composição. Quinto constitucional. Número par de juízes. CF, art. 94 e art. 107, I. Loman, LC 35/1979, art. 100, § 2º. Nomeação de juiz do quinto constitucional: ato complexo de cuja formação participam o tribunal e o presidente da República: competência originária do STF. (...) A norma do § 2º do art. 100 da Loman, LC 35/1979, é aplicável quando, ocorrendo vaga a ser preenchida pelo quinto constitucional, uma das classes se acha em inferioridade na composição do tribunal. No preenchimento, então, dessa vaga, inverter-se-á a situação: a classe que se achava em inferioridade passa a ter si</w:t>
      </w:r>
    </w:p>
    <w:p>
      <w:pPr>
        <w:ind w:left="288"/>
      </w:pPr>
      <w:r>
        <w:rPr>
          <w:b/>
          <w:color w:val="003CA0"/>
          <w:sz w:val="16"/>
        </w:rPr>
        <w:t>[MS 23.972, rel. min. Carlos Velloso, j. 12-9-2001, P, DJ de 29-8-2001.]</w:t>
      </w:r>
    </w:p>
    <w:p>
      <w:pPr>
        <w:ind w:left="288"/>
      </w:pPr>
      <w:r>
        <w:rPr>
          <w:color w:val="8C8C8C"/>
          <w:sz w:val="12"/>
        </w:rPr>
        <w:t>cf-art-107-inc-II</w:t>
      </w:r>
      <w:r>
        <w:rPr>
          <w:color w:val="003CA0"/>
          <w:sz w:val="12"/>
        </w:rPr>
        <w:t xml:space="preserve"> | MS 24.575</w:t>
      </w:r>
      <w:r>
        <w:rPr>
          <w:color w:val="003CA0"/>
          <w:sz w:val="12"/>
        </w:rPr>
        <w:t xml:space="preserve"> | rel. Eros Grau</w:t>
      </w:r>
    </w:p>
    <w:p>
      <w:pPr>
        <w:ind w:left="288"/>
      </w:pPr>
      <w:r>
        <w:rPr>
          <w:color w:val="1E1E1E"/>
          <w:sz w:val="18"/>
        </w:rPr>
        <w:t>A nomeação de juiz para os cargos de desembargador dos tribunais federais, pelo critério de merecimento, é ato administrativo complexo, para o qual concorrem atos de vontade dos membros do tribunal de origem, que compõem a lista tríplice a partir da quinta parte dos juízes com dois anos de judicatura na mesma entrância, e do presidente da República, que procede à escolha a partir do rol previamente determinado. A lista tríplice elaborada pelo tribunal deve obedecer aos dois requisitos previstos no art. 93, II, b, da Constituição do Brasil (redação anterior à EC 45/2004).</w:t>
      </w:r>
    </w:p>
    <w:p>
      <w:pPr>
        <w:ind w:left="288"/>
      </w:pPr>
      <w:r>
        <w:rPr>
          <w:b/>
          <w:color w:val="003CA0"/>
          <w:sz w:val="16"/>
        </w:rPr>
        <w:t>[MS 24.575, rel. min. Eros Grau, j. 15-12-2004, P, DJ de 4-3-2005.]</w:t>
      </w:r>
    </w:p>
    <w:p>
      <w:pPr>
        <w:ind w:left="288"/>
      </w:pPr>
      <w:r>
        <w:rPr>
          <w:color w:val="8C8C8C"/>
          <w:sz w:val="12"/>
        </w:rPr>
        <w:t>cf-art-107-inc-II</w:t>
      </w:r>
      <w:r>
        <w:rPr>
          <w:color w:val="003CA0"/>
          <w:sz w:val="12"/>
        </w:rPr>
        <w:t xml:space="preserve"> | MS 21.631</w:t>
      </w:r>
      <w:r>
        <w:rPr>
          <w:color w:val="003CA0"/>
          <w:sz w:val="12"/>
        </w:rPr>
        <w:t xml:space="preserve"> | rel. Ilmar Galvão</w:t>
      </w:r>
    </w:p>
    <w:p>
      <w:pPr>
        <w:ind w:left="288"/>
      </w:pPr>
      <w:r>
        <w:rPr>
          <w:color w:val="1E1E1E"/>
          <w:sz w:val="18"/>
        </w:rPr>
        <w:t>Inaplicabilidade da regra do art. 93, II, b, da CF à promoção de juízes federais, sujeita que está ela a um único requisito – implemento de cinco anos de exercício –, conforme disposto no art. 107, II, da mesma Carta, norma especial em cujo favor, por isso mesmo, se resolve o aparente conflito existente entre os dois dispositivos. Mesmo porque, havendo a Justiça Federal sido organizada sem entrâncias, considerados de um mesmo grau todas as seções judiciárias distribuídas pelas unidades federadas, não resta espaço para falar-se na exigência de dois anos de exercício na mesma entrância, nem, con</w:t>
      </w:r>
    </w:p>
    <w:p>
      <w:pPr>
        <w:ind w:left="288"/>
      </w:pPr>
      <w:r>
        <w:rPr>
          <w:b/>
          <w:color w:val="003CA0"/>
          <w:sz w:val="16"/>
        </w:rPr>
        <w:t>[MS 21.631, rel. min. Ilmar Galvão, j. 9-6-1993, P, DJ de 4-8-2000.]</w:t>
      </w:r>
    </w:p>
    <w:p>
      <w:pPr>
        <w:ind w:left="288"/>
      </w:pPr>
      <w:r>
        <w:rPr>
          <w:color w:val="8C8C8C"/>
          <w:sz w:val="12"/>
        </w:rPr>
        <w:t>cf-art-107-inc-II</w:t>
      </w:r>
      <w:r>
        <w:rPr>
          <w:color w:val="003CA0"/>
          <w:sz w:val="12"/>
        </w:rPr>
        <w:t xml:space="preserve"> | MS 27.164</w:t>
      </w:r>
      <w:r>
        <w:rPr>
          <w:color w:val="003CA0"/>
          <w:sz w:val="12"/>
        </w:rPr>
        <w:t xml:space="preserve"> | rel. Ayres Britto</w:t>
      </w:r>
    </w:p>
    <w:p>
      <w:pPr>
        <w:ind w:left="288"/>
      </w:pPr>
      <w:r>
        <w:rPr>
          <w:color w:val="1E1E1E"/>
          <w:sz w:val="18"/>
        </w:rPr>
        <w:t>= MS 27.164 AgR, rel. min. Ayres Britto, j. 16-12-2010, P, DJE de 2-3-2011</w:t>
      </w:r>
    </w:p>
    <w:p>
      <w:pPr>
        <w:ind w:left="720"/>
      </w:pPr>
      <w:r>
        <w:rPr>
          <w:color w:val="003366"/>
          <w:sz w:val="18"/>
        </w:rPr>
        <w:t>I – um quinto dentre advogados com mais de dez anos de efetiva atividade profiss</w:t>
      </w:r>
    </w:p>
    <w:p>
      <w:pPr>
        <w:ind w:left="720"/>
      </w:pPr>
      <w:r>
        <w:rPr>
          <w:color w:val="003366"/>
          <w:sz w:val="18"/>
        </w:rPr>
        <w:t>II – os demais, mediante promoção de juízes federais com mais de cinco anos de e</w:t>
      </w:r>
    </w:p>
    <w:p>
      <w:pPr>
        <w:ind w:left="432"/>
      </w:pPr>
      <w:r>
        <w:rPr>
          <w:color w:val="003366"/>
          <w:sz w:val="18"/>
        </w:rPr>
        <w:t xml:space="preserve">§ 1 A lei disciplinará a remoção ou a permuta de juízes dos Tribunais Regionais </w:t>
      </w:r>
    </w:p>
    <w:p>
      <w:pPr>
        <w:ind w:left="432"/>
      </w:pPr>
      <w:r>
        <w:rPr>
          <w:color w:val="003366"/>
          <w:sz w:val="18"/>
        </w:rPr>
        <w:t>§ 2 Os Tribunais Regionais Federais instalarão a justiça itinerante, com a reali</w:t>
      </w:r>
    </w:p>
    <w:p>
      <w:pPr>
        <w:ind w:left="432"/>
      </w:pPr>
      <w:r>
        <w:rPr>
          <w:color w:val="003366"/>
          <w:sz w:val="18"/>
        </w:rPr>
        <w:t>§ 3 Os Tribunais Regionais Federais poderão funcionar descentralizadamente, cons</w:t>
      </w:r>
    </w:p>
    <w:p>
      <w:r>
        <w:rPr>
          <w:b/>
          <w:color w:val="003366"/>
          <w:sz w:val="20"/>
        </w:rPr>
        <w:t>Art. 108 Compete aos Tribunais Regionais Federais:</w:t>
      </w:r>
      <w:r>
        <w:rPr>
          <w:color w:val="8C8C8C"/>
          <w:sz w:val="14"/>
        </w:rPr>
        <w:t xml:space="preserve">  [14 decisoes]</w:t>
      </w:r>
    </w:p>
    <w:p>
      <w:pPr>
        <w:ind w:left="144"/>
      </w:pPr>
      <w:r>
        <w:rPr>
          <w:b/>
          <w:color w:val="B45A00"/>
          <w:sz w:val="16"/>
        </w:rPr>
        <w:t>JULGADOS CORRELATOS</w:t>
      </w:r>
    </w:p>
    <w:p>
      <w:pPr>
        <w:ind w:left="288"/>
      </w:pPr>
      <w:r>
        <w:rPr>
          <w:color w:val="8C8C8C"/>
          <w:sz w:val="12"/>
        </w:rPr>
        <w:t>cf-art-108-inc-I</w:t>
      </w:r>
      <w:r>
        <w:rPr>
          <w:color w:val="003CA0"/>
          <w:sz w:val="12"/>
        </w:rPr>
        <w:t xml:space="preserve"> | HC 91.266</w:t>
      </w:r>
      <w:r>
        <w:rPr>
          <w:color w:val="003CA0"/>
          <w:sz w:val="12"/>
        </w:rPr>
        <w:t xml:space="preserve"> | rel. Cezar Peluso</w:t>
      </w:r>
    </w:p>
    <w:p>
      <w:pPr>
        <w:ind w:left="288"/>
      </w:pPr>
      <w:r>
        <w:rPr>
          <w:color w:val="1E1E1E"/>
          <w:sz w:val="18"/>
        </w:rPr>
        <w:t>O TRF é competente para processar e julgar ação penal em que se imputa a deputado estadual a prática de crimes conexos a delitos de competência da Justiça Federal.</w:t>
      </w:r>
    </w:p>
    <w:p>
      <w:pPr>
        <w:ind w:left="288"/>
      </w:pPr>
      <w:r>
        <w:rPr>
          <w:b/>
          <w:color w:val="003CA0"/>
          <w:sz w:val="16"/>
        </w:rPr>
        <w:t>[HC 91.266, rel. min. Cezar Peluso, j. 2-3-2010, 2ª T, DJE de 23-4-2010.]</w:t>
      </w:r>
    </w:p>
    <w:p>
      <w:pPr>
        <w:ind w:left="288"/>
      </w:pPr>
      <w:r>
        <w:rPr>
          <w:color w:val="8C8C8C"/>
          <w:sz w:val="12"/>
        </w:rPr>
        <w:t>cf-art-108-inc-I</w:t>
      </w:r>
      <w:r>
        <w:rPr>
          <w:color w:val="003CA0"/>
          <w:sz w:val="12"/>
        </w:rPr>
        <w:t xml:space="preserve"> | HC 80.612</w:t>
      </w:r>
      <w:r>
        <w:rPr>
          <w:color w:val="003CA0"/>
          <w:sz w:val="12"/>
        </w:rPr>
        <w:t xml:space="preserve"> | rel. Sydney Sanches</w:t>
      </w:r>
    </w:p>
    <w:p>
      <w:pPr>
        <w:ind w:left="288"/>
      </w:pPr>
      <w:r>
        <w:rPr>
          <w:color w:val="1E1E1E"/>
          <w:sz w:val="18"/>
        </w:rPr>
        <w:t>= HC 80.612, rel. min. Sydney Sanches, j. 13-2-2001, 1ª T, DJ de 4-5-2001 Procedimentos administrativos criminais instaurados para apurar supostos desvios de verbas do SUS. Verbas federais sujeitas à fiscalização do TCU. Nítido interesse da União, a teor do art. 109, IV, da CF. Envolvimento do secretário de Saúde do Estado do Piauí, a atrair a competência do TRF 1ª Região, bem assim a atribuição da Procuradoria Regional da República.</w:t>
      </w:r>
    </w:p>
    <w:p>
      <w:pPr>
        <w:ind w:left="288"/>
      </w:pPr>
      <w:r>
        <w:rPr>
          <w:b/>
          <w:color w:val="003CA0"/>
          <w:sz w:val="16"/>
        </w:rPr>
        <w:t>[RHC 98.564, rel. min. Eros Grau, j. 15-9-2009, 2ª T, DJE de 6-11-2009.]</w:t>
      </w:r>
    </w:p>
    <w:p>
      <w:pPr>
        <w:ind w:left="288"/>
      </w:pPr>
      <w:r>
        <w:rPr>
          <w:color w:val="8C8C8C"/>
          <w:sz w:val="12"/>
        </w:rPr>
        <w:t>cf-art-108-inc-I</w:t>
      </w:r>
    </w:p>
    <w:p>
      <w:pPr>
        <w:ind w:left="288"/>
      </w:pPr>
      <w:r>
        <w:rPr>
          <w:color w:val="1E1E1E"/>
          <w:sz w:val="18"/>
        </w:rPr>
        <w:t>a) os juízes federais da área de sua jurisdição, incluídos os da Justiça Militar e da Justiça do Trabalho, nos crimes comuns e de responsabilidade, e os membros do Ministério Público da União, ressalvada a competência da Justiça Eleitoral;</w:t>
      </w:r>
    </w:p>
    <w:p>
      <w:pPr>
        <w:ind w:left="288"/>
      </w:pPr>
      <w:r>
        <w:rPr>
          <w:color w:val="8C8C8C"/>
          <w:sz w:val="12"/>
        </w:rPr>
        <w:t>cf-art-108-inc-I</w:t>
      </w:r>
      <w:r>
        <w:rPr>
          <w:color w:val="003CA0"/>
          <w:sz w:val="12"/>
        </w:rPr>
        <w:t xml:space="preserve"> | AI 858.269</w:t>
      </w:r>
      <w:r>
        <w:rPr>
          <w:color w:val="003CA0"/>
          <w:sz w:val="12"/>
        </w:rPr>
        <w:t xml:space="preserve"> | rel. Rosa Weber</w:t>
      </w:r>
    </w:p>
    <w:p>
      <w:pPr>
        <w:ind w:left="288"/>
      </w:pPr>
      <w:r>
        <w:rPr>
          <w:color w:val="1E1E1E"/>
          <w:sz w:val="18"/>
        </w:rPr>
        <w:t>Compete aos tribunais regionais federais processar e julgar, originariamente, os juízes federais da área de sua jurisdição (art. 108, I, da CF/1988). O afastamento temporário ou provisório do magistrado não importa a perda do foro por prerrogativa de função.</w:t>
      </w:r>
    </w:p>
    <w:p>
      <w:pPr>
        <w:ind w:left="288"/>
      </w:pPr>
      <w:r>
        <w:rPr>
          <w:b/>
          <w:color w:val="003CA0"/>
          <w:sz w:val="16"/>
        </w:rPr>
        <w:t>[AI 858.269 AgR-segundo, rel. min. Rosa Weber, j. 4-4-2018, 1ª T, DJE de 17-4-2018.]</w:t>
      </w:r>
    </w:p>
    <w:p>
      <w:pPr>
        <w:ind w:left="288"/>
      </w:pPr>
      <w:r>
        <w:rPr>
          <w:color w:val="8C8C8C"/>
          <w:sz w:val="12"/>
        </w:rPr>
        <w:t>cf-art-108-inc-I</w:t>
      </w:r>
      <w:r>
        <w:rPr>
          <w:color w:val="003CA0"/>
          <w:sz w:val="12"/>
        </w:rPr>
        <w:t xml:space="preserve"> | PET 7.063</w:t>
      </w:r>
    </w:p>
    <w:p>
      <w:pPr>
        <w:ind w:left="288"/>
      </w:pPr>
      <w:r>
        <w:rPr>
          <w:color w:val="1E1E1E"/>
          <w:sz w:val="18"/>
        </w:rPr>
        <w:t>Nos termos do art. 108, I, da Constituição, compete aos tribunais regionais federais processar e julgar, originariamente, os membros do Ministério Público da União, ressalvada a competência da Justiça Eleitoral. Com base nesse dispositivo, que traz hipótese de competência por prerrogativa de foro, o relator original, ministro Edson Fachin, determinou a remessa dos autos ao TRF 3. Ocorre que, diversamente dos juízes federais, os procuradores da república não estão vinculados necessariamente a um dos tribunais regionais federais. Na época dos fatos, o requerente (...) atuava como procurador da R</w:t>
      </w:r>
    </w:p>
    <w:p>
      <w:pPr>
        <w:ind w:left="288"/>
      </w:pPr>
      <w:r>
        <w:rPr>
          <w:b/>
          <w:color w:val="003CA0"/>
          <w:sz w:val="16"/>
        </w:rPr>
        <w:t>[Pet 7.063, red. do ac. min. Ricardo Lewandowski, j. 1º-8-2017, 2ª T, DJE de 6-2-2018.]</w:t>
      </w:r>
    </w:p>
    <w:p>
      <w:pPr>
        <w:ind w:left="288"/>
      </w:pPr>
      <w:r>
        <w:rPr>
          <w:color w:val="8C8C8C"/>
          <w:sz w:val="12"/>
        </w:rPr>
        <w:t>cf-art-108-inc-I</w:t>
      </w:r>
      <w:r>
        <w:rPr>
          <w:color w:val="003CA0"/>
          <w:sz w:val="12"/>
        </w:rPr>
        <w:t xml:space="preserve"> | RMS 27.872</w:t>
      </w:r>
      <w:r>
        <w:rPr>
          <w:color w:val="003CA0"/>
          <w:sz w:val="12"/>
        </w:rPr>
        <w:t xml:space="preserve"> | rel. Ellen Gracie</w:t>
      </w:r>
    </w:p>
    <w:p>
      <w:pPr>
        <w:ind w:left="288"/>
      </w:pPr>
      <w:r>
        <w:rPr>
          <w:color w:val="1E1E1E"/>
          <w:sz w:val="18"/>
        </w:rPr>
        <w:t>O presente recurso ordinário em mandado de segurança visa ao reconhecimento da incompetência do STM para determinar o trancamento de inquérito policial militar instaurado por requisição do MPM. O MPM integra o MPU, nos termos do disposto no art. 128, I, c, da CF, sendo que compete ao TRF processar e julgar os membros do MPU (art. 108, I, a, CF). (...) Recurso provido.</w:t>
      </w:r>
    </w:p>
    <w:p>
      <w:pPr>
        <w:ind w:left="288"/>
      </w:pPr>
      <w:r>
        <w:rPr>
          <w:b/>
          <w:color w:val="003CA0"/>
          <w:sz w:val="16"/>
        </w:rPr>
        <w:t>[RMS 27.872, rel. min. Ellen Gracie, j. 2-3-2010, 2ª T, DJE de 19-3-2010.]</w:t>
      </w:r>
    </w:p>
    <w:p>
      <w:pPr>
        <w:ind w:left="288"/>
      </w:pPr>
      <w:r>
        <w:rPr>
          <w:color w:val="8C8C8C"/>
          <w:sz w:val="12"/>
        </w:rPr>
        <w:t>cf-art-108-inc-I</w:t>
      </w:r>
      <w:r>
        <w:rPr>
          <w:color w:val="003CA0"/>
          <w:sz w:val="12"/>
        </w:rPr>
        <w:t xml:space="preserve"> | RE 377.356</w:t>
      </w:r>
      <w:r>
        <w:rPr>
          <w:color w:val="003CA0"/>
          <w:sz w:val="12"/>
        </w:rPr>
        <w:t xml:space="preserve"> | rel. Cezar Peluso</w:t>
      </w:r>
    </w:p>
    <w:p>
      <w:pPr>
        <w:ind w:left="288"/>
      </w:pPr>
      <w:r>
        <w:rPr>
          <w:color w:val="1E1E1E"/>
          <w:sz w:val="18"/>
        </w:rPr>
        <w:t>Habeas corpus. Inquérito policial. Requisição por procurador da República. Membro do MPU. Incompetência do juízo estadual. Feito da competência do TRF 3ª Região. Conflito aparente de normas entre o art. 96, III, e o art. 108, I, a, c/c o art. 128, I, d, todos da CF. Aplicação do princípio da especialidade. Precedentes. Recurso provido. Não cabe a juízo da Justiça estadual, mas a TRF, conhecer de pedido de habeas corpus contra ato de membro do MPF.</w:t>
      </w:r>
    </w:p>
    <w:p>
      <w:pPr>
        <w:ind w:left="288"/>
      </w:pPr>
      <w:r>
        <w:rPr>
          <w:b/>
          <w:color w:val="003CA0"/>
          <w:sz w:val="16"/>
        </w:rPr>
        <w:t>[RE 377.356, rel. min. Cezar Peluso, j. 7-10-2008, 2ª T, DJE de 28-11-2008.]</w:t>
      </w:r>
    </w:p>
    <w:p>
      <w:pPr>
        <w:ind w:left="288"/>
      </w:pPr>
      <w:r>
        <w:rPr>
          <w:color w:val="8C8C8C"/>
          <w:sz w:val="12"/>
        </w:rPr>
        <w:t>cf-art-108-inc-I</w:t>
      </w:r>
      <w:r>
        <w:rPr>
          <w:color w:val="003CA0"/>
          <w:sz w:val="12"/>
        </w:rPr>
        <w:t xml:space="preserve"> | HC 86.834</w:t>
      </w:r>
      <w:r>
        <w:rPr>
          <w:color w:val="003CA0"/>
          <w:sz w:val="12"/>
        </w:rPr>
        <w:t xml:space="preserve"> | rel. Marco Aurélio</w:t>
      </w:r>
    </w:p>
    <w:p>
      <w:pPr>
        <w:ind w:left="288"/>
      </w:pPr>
      <w:r>
        <w:rPr>
          <w:color w:val="1E1E1E"/>
          <w:sz w:val="18"/>
        </w:rPr>
        <w:t>A competência para o julgamento do habeas corpus é definida pelos envolvidos – paciente e impetrante. (...) Estando os integrantes das turmas recursais dos juizados especiais submetidos, nos crimes comuns e nos de responsabilidade, à jurisdição do tribunal de justiça ou do TRF, incumbe a cada qual, conforme o caso, julgar os habeas impetrados contra ato que tenham praticado. (...) Uma vez ocorrida a declinação da competência, cumpre preservar o quadro decisório decorrente do deferimento de medida acauteladora, ficando a manutenção, ou não, a critério do órgão competente.</w:t>
        <w:br/>
        <w:t xml:space="preserve">[HC 86.834, rel. min. </w:t>
      </w:r>
    </w:p>
    <w:p>
      <w:pPr>
        <w:ind w:left="288"/>
      </w:pPr>
      <w:r>
        <w:rPr>
          <w:b/>
          <w:color w:val="003CA0"/>
          <w:sz w:val="16"/>
        </w:rPr>
        <w:t>[RE 315.010, rel. min. Néri da Silveira, j. 8-4-2002, 2ª T, DJ de 31-5-2002.]</w:t>
      </w:r>
    </w:p>
    <w:p>
      <w:pPr>
        <w:ind w:left="288"/>
      </w:pPr>
      <w:r>
        <w:rPr>
          <w:color w:val="8C8C8C"/>
          <w:sz w:val="12"/>
        </w:rPr>
        <w:t>cf-art-108-inc-I</w:t>
      </w:r>
      <w:r>
        <w:rPr>
          <w:color w:val="003CA0"/>
          <w:sz w:val="12"/>
        </w:rPr>
        <w:t xml:space="preserve"> | RE 467.923</w:t>
      </w:r>
      <w:r>
        <w:rPr>
          <w:color w:val="003CA0"/>
          <w:sz w:val="12"/>
        </w:rPr>
        <w:t xml:space="preserve"> | rel. Cezar Peluso</w:t>
      </w:r>
    </w:p>
    <w:p>
      <w:pPr>
        <w:ind w:left="288"/>
      </w:pPr>
      <w:r>
        <w:rPr>
          <w:color w:val="1E1E1E"/>
          <w:sz w:val="18"/>
        </w:rPr>
        <w:t>= RE 467.923, rel. min. Cezar Peluso, j. 18-4-2006, 1ª T, DJ de 4-8-2006</w:t>
      </w:r>
    </w:p>
    <w:p>
      <w:pPr>
        <w:ind w:left="144"/>
      </w:pPr>
      <w:r>
        <w:rPr>
          <w:b/>
          <w:color w:val="B45A00"/>
          <w:sz w:val="16"/>
        </w:rPr>
        <w:t>REPERCUSSAO GERAL</w:t>
      </w:r>
    </w:p>
    <w:p>
      <w:pPr>
        <w:ind w:left="288"/>
      </w:pPr>
      <w:r>
        <w:rPr>
          <w:color w:val="8C8C8C"/>
          <w:sz w:val="12"/>
        </w:rPr>
        <w:t>cf-art-108-inc-I-ali-b</w:t>
      </w:r>
      <w:r>
        <w:rPr>
          <w:color w:val="003CA0"/>
          <w:sz w:val="12"/>
        </w:rPr>
        <w:t xml:space="preserve"> | RE 598.650</w:t>
      </w:r>
      <w:r>
        <w:rPr>
          <w:color w:val="003CA0"/>
          <w:sz w:val="12"/>
        </w:rPr>
        <w:t xml:space="preserve"> | rel. Marco Aurélio</w:t>
      </w:r>
    </w:p>
    <w:p>
      <w:pPr>
        <w:ind w:left="288"/>
      </w:pPr>
      <w:r>
        <w:rPr>
          <w:color w:val="1E1E1E"/>
          <w:sz w:val="18"/>
        </w:rPr>
        <w:t>Compete ao Tribunal Regional Federal processar ação rescisória proposta pela União com o objetivo de desconstituir sentença transitada em julgado proferida por juiz estadual, quando afeta interesses de órgão federal.</w:t>
      </w:r>
    </w:p>
    <w:p>
      <w:pPr>
        <w:ind w:left="288"/>
      </w:pPr>
      <w:r>
        <w:rPr>
          <w:b/>
          <w:color w:val="003CA0"/>
          <w:sz w:val="16"/>
        </w:rPr>
        <w:t>[RE 598.650, rel. min. Marco Aurélio, red. do ac. min. Alexandre de Moraes j. 11-10-2021, P, DJE de 4-11-2021, Tema 775, com mérito julgado.]</w:t>
      </w:r>
    </w:p>
    <w:p>
      <w:pPr>
        <w:ind w:left="144"/>
      </w:pPr>
      <w:r>
        <w:rPr>
          <w:b/>
          <w:color w:val="B45A00"/>
          <w:sz w:val="16"/>
        </w:rPr>
        <w:t>JULGADOS CORRELATOS</w:t>
      </w:r>
    </w:p>
    <w:p>
      <w:pPr>
        <w:ind w:left="288"/>
      </w:pPr>
      <w:r>
        <w:rPr>
          <w:color w:val="8C8C8C"/>
          <w:sz w:val="12"/>
        </w:rPr>
        <w:t>cf-art-108-inc-I-ali-c</w:t>
      </w:r>
      <w:r>
        <w:rPr>
          <w:color w:val="003CA0"/>
          <w:sz w:val="12"/>
        </w:rPr>
        <w:t xml:space="preserve"> | RE 176.881</w:t>
      </w:r>
    </w:p>
    <w:p>
      <w:pPr>
        <w:ind w:left="288"/>
      </w:pPr>
      <w:r>
        <w:rPr>
          <w:color w:val="1E1E1E"/>
          <w:sz w:val="18"/>
        </w:rPr>
        <w:t>Mandado de segurança impetrado por autarquia federal contra ato de juiz de direito. Competência. Em princípio, qualquer ação proposta pelos entes relacionados no inciso I do art. 109 da Constituição é de competência da Justiça Federal. Tratando-se, entretanto, de mandado de segurança, que, em nosso sistema jurídico-processual, se rege também pelo princípio da hierarquia, prevê o inciso VIII do mesmo dispositivo a competência dos tribunais federais, obviamente, em razão do respectivo grau hierárquico. Em relação aos juízes federais, a competência é dos tribunais regionais federais (art. 108, I,</w:t>
      </w:r>
    </w:p>
    <w:p>
      <w:pPr>
        <w:ind w:left="288"/>
      </w:pPr>
      <w:r>
        <w:rPr>
          <w:b/>
          <w:color w:val="003CA0"/>
          <w:sz w:val="16"/>
        </w:rPr>
        <w:t>[RE 176.881, red. do ac. min. Ilmar Galvão, j. 13-3-1997, P, DJE de 6-3-1998.]</w:t>
      </w:r>
    </w:p>
    <w:p>
      <w:pPr>
        <w:ind w:left="288"/>
      </w:pPr>
      <w:r>
        <w:rPr>
          <w:color w:val="8C8C8C"/>
          <w:sz w:val="12"/>
        </w:rPr>
        <w:t>cf-art-108-inc-I-ali-d</w:t>
      </w:r>
      <w:r>
        <w:rPr>
          <w:color w:val="003CA0"/>
          <w:sz w:val="12"/>
        </w:rPr>
        <w:t xml:space="preserve"> | HC 68.687</w:t>
      </w:r>
      <w:r>
        <w:rPr>
          <w:color w:val="003CA0"/>
          <w:sz w:val="12"/>
        </w:rPr>
        <w:t xml:space="preserve"> | rel. Sepúlveda Pertence</w:t>
      </w:r>
    </w:p>
    <w:p>
      <w:pPr>
        <w:ind w:left="288"/>
      </w:pPr>
      <w:r>
        <w:rPr>
          <w:color w:val="1E1E1E"/>
          <w:sz w:val="18"/>
        </w:rPr>
        <w:t>(...) quando se imputa coação a juiz do Trabalho de primeiro grau, compete ao TRF o seu julgamento, dado que a Justiça do Trabalho não possui competência criminal (v.g., CC 6.979, 15-8-1991, Velloso, RTJ 111/794; HC 68.687, Segunda Turma, 20-8-1991, Velloso, DJ de 4-10-1991).</w:t>
      </w:r>
    </w:p>
    <w:p>
      <w:pPr>
        <w:ind w:left="288"/>
      </w:pPr>
      <w:r>
        <w:rPr>
          <w:b/>
          <w:color w:val="003CA0"/>
          <w:sz w:val="16"/>
        </w:rPr>
        <w:t>[HC 85.096, rel. min. Sepúlveda Pertence, j. 28-6-2005, 1ª T, DJ de 14-10-2005.]</w:t>
      </w:r>
    </w:p>
    <w:p>
      <w:pPr>
        <w:ind w:left="144"/>
      </w:pPr>
      <w:r>
        <w:rPr>
          <w:b/>
          <w:color w:val="B45A00"/>
          <w:sz w:val="16"/>
        </w:rPr>
        <w:t>REPERCUSSAO GERAL</w:t>
      </w:r>
    </w:p>
    <w:p>
      <w:pPr>
        <w:ind w:left="288"/>
      </w:pPr>
      <w:r>
        <w:rPr>
          <w:color w:val="8C8C8C"/>
          <w:sz w:val="12"/>
        </w:rPr>
        <w:t>cf-art-108-inc-I-ali-e</w:t>
      </w:r>
      <w:r>
        <w:rPr>
          <w:color w:val="003CA0"/>
          <w:sz w:val="12"/>
        </w:rPr>
        <w:t xml:space="preserve"> | RE 590.409</w:t>
      </w:r>
      <w:r>
        <w:rPr>
          <w:color w:val="003CA0"/>
          <w:sz w:val="12"/>
        </w:rPr>
        <w:t xml:space="preserve"> | rel. Ricardo Lewandowski</w:t>
      </w:r>
    </w:p>
    <w:p>
      <w:pPr>
        <w:ind w:left="288"/>
      </w:pPr>
      <w:r>
        <w:rPr>
          <w:color w:val="1E1E1E"/>
          <w:sz w:val="18"/>
        </w:rPr>
        <w:t>Os juízes de primeira instância, tal como aqueles que integram os juizados especiais, estão vinculados ao respectivo TRF, ao qual cabe dirimir os conflitos de competência que surjam entre eles.</w:t>
        <w:br/>
        <w:t>[RE 590.409, rel. min. Ricardo Lewandowski, j. 26-8-2009, P, DJE de 29-10-2009, Tema 128, com mérito julgado.]</w:t>
      </w:r>
    </w:p>
    <w:p>
      <w:pPr>
        <w:ind w:left="288"/>
      </w:pPr>
      <w:r>
        <w:rPr>
          <w:color w:val="8C8C8C"/>
          <w:sz w:val="12"/>
        </w:rPr>
        <w:t>cf-art-108-inc-II</w:t>
      </w:r>
      <w:r>
        <w:rPr>
          <w:color w:val="003CA0"/>
          <w:sz w:val="12"/>
        </w:rPr>
        <w:t xml:space="preserve"> | RE 598.650</w:t>
      </w:r>
      <w:r>
        <w:rPr>
          <w:color w:val="003CA0"/>
          <w:sz w:val="12"/>
        </w:rPr>
        <w:t xml:space="preserve"> | rel. Marco Aurélio</w:t>
      </w:r>
    </w:p>
    <w:p>
      <w:pPr>
        <w:ind w:left="288"/>
      </w:pPr>
      <w:r>
        <w:rPr>
          <w:color w:val="1E1E1E"/>
          <w:sz w:val="18"/>
        </w:rPr>
        <w:t>Compete ao Tribunal Regional Federal processar ação rescisória proposta pela União com o objetivo de desconstituir sentença transitada em julgado proferida por juiz estadual, quando afeta interesses de órgão federal.</w:t>
      </w:r>
    </w:p>
    <w:p>
      <w:pPr>
        <w:ind w:left="288"/>
      </w:pPr>
      <w:r>
        <w:rPr>
          <w:b/>
          <w:color w:val="003CA0"/>
          <w:sz w:val="16"/>
        </w:rPr>
        <w:t>[RE 598.650, rel. min. Marco Aurélio, red. do ac. min. Alexandre de Moraes j. 11-10-2021, P, DJE de 4-11-2021, Tema 775, com mérito julgado.]</w:t>
      </w:r>
    </w:p>
    <w:p>
      <w:pPr>
        <w:ind w:left="720"/>
      </w:pPr>
      <w:r>
        <w:rPr>
          <w:color w:val="003366"/>
          <w:sz w:val="18"/>
        </w:rPr>
        <w:t>I – processar e julgar, originariamente:</w:t>
      </w:r>
    </w:p>
    <w:p>
      <w:pPr>
        <w:ind w:left="1008"/>
      </w:pPr>
      <w:r>
        <w:rPr>
          <w:color w:val="003366"/>
          <w:sz w:val="18"/>
        </w:rPr>
        <w:t>a) os juízes federais da área de sua jurisdição, incluídos os da Justiça Militar</w:t>
      </w:r>
    </w:p>
    <w:p>
      <w:pPr>
        <w:ind w:left="1008"/>
      </w:pPr>
      <w:r>
        <w:rPr>
          <w:color w:val="003366"/>
          <w:sz w:val="18"/>
        </w:rPr>
        <w:t>b) as revisões criminais e as ações rescisórias de julgados seus ou dos juízes f</w:t>
      </w:r>
    </w:p>
    <w:p>
      <w:pPr>
        <w:ind w:left="1008"/>
      </w:pPr>
      <w:r>
        <w:rPr>
          <w:color w:val="003366"/>
          <w:sz w:val="18"/>
        </w:rPr>
        <w:t>c) os mandados de segurança e os habeas data contra ato do próprio Tribunal ou d</w:t>
      </w:r>
    </w:p>
    <w:p>
      <w:pPr>
        <w:ind w:left="1008"/>
      </w:pPr>
      <w:r>
        <w:rPr>
          <w:color w:val="003366"/>
          <w:sz w:val="18"/>
        </w:rPr>
        <w:t>d) os habeas corpus, quando a autoridade coatora for juiz federal;</w:t>
      </w:r>
    </w:p>
    <w:p>
      <w:pPr>
        <w:ind w:left="1008"/>
      </w:pPr>
      <w:r>
        <w:rPr>
          <w:color w:val="003366"/>
          <w:sz w:val="18"/>
        </w:rPr>
        <w:t>e) os conflitos de competência entre juízes federais vinculados ao Tribunal;</w:t>
      </w:r>
    </w:p>
    <w:p>
      <w:pPr>
        <w:ind w:left="720"/>
      </w:pPr>
      <w:r>
        <w:rPr>
          <w:color w:val="003366"/>
          <w:sz w:val="18"/>
        </w:rPr>
        <w:t>II – julgar, em grau de recurso, as causas decididas pelos juízes federais e pel</w:t>
      </w:r>
    </w:p>
    <w:p>
      <w:r>
        <w:rPr>
          <w:b/>
          <w:color w:val="003366"/>
          <w:sz w:val="20"/>
        </w:rPr>
        <w:t>Art. 109 Aos juízes federais compete processar e julgar:</w:t>
      </w:r>
      <w:r>
        <w:rPr>
          <w:color w:val="8C8C8C"/>
          <w:sz w:val="14"/>
        </w:rPr>
        <w:t xml:space="preserve">  [122 decisoes]</w:t>
      </w:r>
    </w:p>
    <w:p>
      <w:pPr>
        <w:ind w:left="144"/>
      </w:pPr>
      <w:r>
        <w:rPr>
          <w:b/>
          <w:color w:val="B45A00"/>
          <w:sz w:val="16"/>
        </w:rPr>
        <w:t>CONTROLE CONCENTRADO</w:t>
      </w:r>
    </w:p>
    <w:p>
      <w:pPr>
        <w:ind w:left="288"/>
      </w:pPr>
      <w:r>
        <w:rPr>
          <w:color w:val="8C8C8C"/>
          <w:sz w:val="12"/>
        </w:rPr>
        <w:t>cf-art-109</w:t>
      </w:r>
      <w:r>
        <w:rPr>
          <w:color w:val="003CA0"/>
          <w:sz w:val="12"/>
        </w:rPr>
        <w:t xml:space="preserve"> | ADI 2.473</w:t>
      </w:r>
      <w:r>
        <w:rPr>
          <w:color w:val="003CA0"/>
          <w:sz w:val="12"/>
        </w:rPr>
        <w:t xml:space="preserve"> | rel. Néri da Silveira</w:t>
      </w:r>
    </w:p>
    <w:p>
      <w:pPr>
        <w:ind w:left="288"/>
      </w:pPr>
      <w:r>
        <w:rPr>
          <w:color w:val="1E1E1E"/>
          <w:sz w:val="18"/>
        </w:rPr>
        <w:t>Competência da Justiça Federal definida na Constituição, não cabendo a lei ordinária e, menos ainda, a medida provisória sobre ela dispor.</w:t>
      </w:r>
    </w:p>
    <w:p>
      <w:pPr>
        <w:ind w:left="288"/>
      </w:pPr>
      <w:r>
        <w:rPr>
          <w:b/>
          <w:color w:val="003CA0"/>
          <w:sz w:val="16"/>
        </w:rPr>
        <w:t>[ADI 2.473 MC, rel. min. Néri da Silveira, j. 13-9-2001, P, DJ de 7-11-2003.]</w:t>
      </w:r>
    </w:p>
    <w:p>
      <w:pPr>
        <w:ind w:left="144"/>
      </w:pPr>
      <w:r>
        <w:rPr>
          <w:b/>
          <w:color w:val="B45A00"/>
          <w:sz w:val="16"/>
        </w:rPr>
        <w:t>REPERCUSSAO GERAL</w:t>
      </w:r>
    </w:p>
    <w:p>
      <w:pPr>
        <w:ind w:left="288"/>
      </w:pPr>
      <w:r>
        <w:rPr>
          <w:color w:val="8C8C8C"/>
          <w:sz w:val="12"/>
        </w:rPr>
        <w:t>cf-art-109</w:t>
      </w:r>
      <w:r>
        <w:rPr>
          <w:color w:val="003CA0"/>
          <w:sz w:val="12"/>
        </w:rPr>
        <w:t xml:space="preserve"> | RE 1.265.549</w:t>
      </w:r>
      <w:r>
        <w:rPr>
          <w:color w:val="003CA0"/>
          <w:sz w:val="12"/>
        </w:rPr>
        <w:t xml:space="preserve"> | rel. Dias Toffoli</w:t>
      </w:r>
    </w:p>
    <w:p>
      <w:pPr>
        <w:ind w:left="288"/>
      </w:pPr>
      <w:r>
        <w:rPr>
          <w:color w:val="1E1E1E"/>
          <w:sz w:val="18"/>
        </w:rPr>
        <w:t>Compete à Justiça comum processar e julgar causas sobre complementação de aposentadoria instituída por lei cujo pagamento seja, originariamente ou por sucessão, da responsabilidade da Administração Pública direta ou indireta, por derivar essa responsabilidade de relação jurídico-administrativa.</w:t>
        <w:br/>
        <w:t>[RE 1.265.549, rel. min. Dias Toffoli, j. 4-6-2020, P, DJE de 19-6-2020, Tema 1.092, com mérito julgado e reafirmação de jurisprudência.] Compete à Justiça comum o julgamento de conflito a envolver a incidência de contribuição previdenciária sobre complementação de proventos de aposentadoria.</w:t>
        <w:br/>
        <w:t>[RE 594.43</w:t>
      </w:r>
    </w:p>
    <w:p>
      <w:pPr>
        <w:ind w:left="288"/>
      </w:pPr>
      <w:r>
        <w:rPr>
          <w:b/>
          <w:color w:val="003CA0"/>
          <w:sz w:val="16"/>
        </w:rPr>
        <w:t>[RE 586.453, red. do ac. min. Dias Toffoli, voto da min. Ellen Gracie, j. 20-2-2013, P, DJE de 6-6-2013, Tema 190, com mérito julgado.]</w:t>
      </w:r>
    </w:p>
    <w:p>
      <w:pPr>
        <w:ind w:left="144"/>
      </w:pPr>
      <w:r>
        <w:rPr>
          <w:b/>
          <w:color w:val="B45A00"/>
          <w:sz w:val="16"/>
        </w:rPr>
        <w:t>JULGADOS CORRELATOS</w:t>
      </w:r>
    </w:p>
    <w:p>
      <w:pPr>
        <w:ind w:left="288"/>
      </w:pPr>
      <w:r>
        <w:rPr>
          <w:color w:val="8C8C8C"/>
          <w:sz w:val="12"/>
        </w:rPr>
        <w:t>cf-art-109</w:t>
      </w:r>
      <w:r>
        <w:rPr>
          <w:color w:val="003CA0"/>
          <w:sz w:val="12"/>
        </w:rPr>
        <w:t xml:space="preserve"> | rel. Marco Aurélio</w:t>
      </w:r>
    </w:p>
    <w:p>
      <w:pPr>
        <w:ind w:left="288"/>
      </w:pPr>
      <w:r>
        <w:rPr>
          <w:color w:val="1E1E1E"/>
          <w:sz w:val="18"/>
        </w:rPr>
        <w:t>Cabe ao juízo da vara federal com atuação no domicílio do impetrante julgar mandado de segurança mediante o qual se insurge contra ato do procurador regional eleitoral destituindo-o da função de promotor eleitoral.</w:t>
      </w:r>
    </w:p>
    <w:p>
      <w:pPr>
        <w:ind w:left="288"/>
      </w:pPr>
      <w:r>
        <w:rPr>
          <w:b/>
          <w:color w:val="003CA0"/>
          <w:sz w:val="16"/>
        </w:rPr>
        <w:t>[CC 7.698, rel. min. Marco Aurélio, j. 13-5-2014, 1ª T, DJE de 26-5-2014.]</w:t>
      </w:r>
    </w:p>
    <w:p>
      <w:pPr>
        <w:ind w:left="288"/>
      </w:pPr>
      <w:r>
        <w:rPr>
          <w:color w:val="8C8C8C"/>
          <w:sz w:val="12"/>
        </w:rPr>
        <w:t>cf-art-109</w:t>
      </w:r>
      <w:r>
        <w:rPr>
          <w:color w:val="003CA0"/>
          <w:sz w:val="12"/>
        </w:rPr>
        <w:t xml:space="preserve"> | RHC 97.226</w:t>
      </w:r>
      <w:r>
        <w:rPr>
          <w:color w:val="003CA0"/>
          <w:sz w:val="12"/>
        </w:rPr>
        <w:t xml:space="preserve"> | rel. Luiz Fux</w:t>
      </w:r>
    </w:p>
    <w:p>
      <w:pPr>
        <w:ind w:left="288"/>
      </w:pPr>
      <w:r>
        <w:rPr>
          <w:color w:val="1E1E1E"/>
          <w:sz w:val="18"/>
        </w:rPr>
        <w:t>Inquérito policial. Investigação. Ex-prefeito municipal. Desvio de verbas públicas. Competência da Justiça Federal. Interesse da União. Ausência de comprovação. (...) A competência da Justiça Federal depende, para a sua fixação, de comprovação do interesse da União no feito.</w:t>
      </w:r>
    </w:p>
    <w:p>
      <w:pPr>
        <w:ind w:left="288"/>
      </w:pPr>
      <w:r>
        <w:rPr>
          <w:b/>
          <w:color w:val="003CA0"/>
          <w:sz w:val="16"/>
        </w:rPr>
        <w:t>[RHC 97.226 AgR, rel. min. Luiz Fux, j. 6-9-2011, 1ª T, DJE de 30-9-2011.]</w:t>
      </w:r>
    </w:p>
    <w:p>
      <w:pPr>
        <w:ind w:left="288"/>
      </w:pPr>
      <w:r>
        <w:rPr>
          <w:color w:val="8C8C8C"/>
          <w:sz w:val="12"/>
        </w:rPr>
        <w:t>cf-art-109</w:t>
      </w:r>
      <w:r>
        <w:rPr>
          <w:color w:val="003CA0"/>
          <w:sz w:val="12"/>
        </w:rPr>
        <w:t xml:space="preserve"> | RHC 96.713</w:t>
      </w:r>
      <w:r>
        <w:rPr>
          <w:color w:val="003CA0"/>
          <w:sz w:val="12"/>
        </w:rPr>
        <w:t xml:space="preserve"> | rel. Joaquim Barbosa</w:t>
      </w:r>
    </w:p>
    <w:p>
      <w:pPr>
        <w:ind w:left="288"/>
      </w:pPr>
      <w:r>
        <w:rPr>
          <w:color w:val="1E1E1E"/>
          <w:sz w:val="18"/>
        </w:rPr>
        <w:t>Na hipótese de concurso de infrações penais de jurisdições originárias diversas, a competência da Justiça Federal para uma delas atrai, por conexão ou continência, a competência para o julgamento das demais.</w:t>
      </w:r>
    </w:p>
    <w:p>
      <w:pPr>
        <w:ind w:left="288"/>
      </w:pPr>
      <w:r>
        <w:rPr>
          <w:b/>
          <w:color w:val="003CA0"/>
          <w:sz w:val="16"/>
        </w:rPr>
        <w:t>[RHC 96.713, rel. min. Joaquim Barbosa, j. 7-12-2010, 2ª T, DJE de 1º-2-2011.]</w:t>
      </w:r>
    </w:p>
    <w:p>
      <w:pPr>
        <w:ind w:left="288"/>
      </w:pPr>
      <w:r>
        <w:rPr>
          <w:color w:val="8C8C8C"/>
          <w:sz w:val="12"/>
        </w:rPr>
        <w:t>cf-art-109</w:t>
      </w:r>
      <w:r>
        <w:rPr>
          <w:color w:val="003CA0"/>
          <w:sz w:val="12"/>
        </w:rPr>
        <w:t xml:space="preserve"> | RE 446.908</w:t>
      </w:r>
      <w:r>
        <w:rPr>
          <w:color w:val="003CA0"/>
          <w:sz w:val="12"/>
        </w:rPr>
        <w:t xml:space="preserve"> | rel. Menezes Direito</w:t>
      </w:r>
    </w:p>
    <w:p>
      <w:pPr>
        <w:ind w:left="288"/>
      </w:pPr>
      <w:r>
        <w:rPr>
          <w:color w:val="1E1E1E"/>
          <w:sz w:val="18"/>
        </w:rPr>
        <w:t>Os crimes contra o Sistema Financeiro Nacional, previstos na Lei 7.492/1986, devem ser processados e julgados na Justiça Federal.</w:t>
      </w:r>
    </w:p>
    <w:p>
      <w:pPr>
        <w:ind w:left="288"/>
      </w:pPr>
      <w:r>
        <w:rPr>
          <w:b/>
          <w:color w:val="003CA0"/>
          <w:sz w:val="16"/>
        </w:rPr>
        <w:t>[RE 446.908, rel. min. Menezes Direito, j. 2-9-2008, 1ª T, DJE de 21-11-2008.]</w:t>
      </w:r>
    </w:p>
    <w:p>
      <w:pPr>
        <w:ind w:left="288"/>
      </w:pPr>
      <w:r>
        <w:rPr>
          <w:color w:val="8C8C8C"/>
          <w:sz w:val="12"/>
        </w:rPr>
        <w:t>cf-art-109</w:t>
      </w:r>
      <w:r>
        <w:rPr>
          <w:color w:val="003CA0"/>
          <w:sz w:val="12"/>
        </w:rPr>
        <w:t xml:space="preserve"> | MI 571</w:t>
      </w:r>
      <w:r>
        <w:rPr>
          <w:color w:val="003CA0"/>
          <w:sz w:val="12"/>
        </w:rPr>
        <w:t xml:space="preserve"> | rel. Sepúlveda Pertence</w:t>
      </w:r>
    </w:p>
    <w:p>
      <w:pPr>
        <w:ind w:left="288"/>
      </w:pPr>
      <w:r>
        <w:rPr>
          <w:color w:val="1E1E1E"/>
          <w:sz w:val="18"/>
        </w:rPr>
        <w:t>Mandado de injunção: omissão normativa imputada a autarquia federal (Banco Central do Brasil): competência originária do juiz federal e não do Supremo Tribunal nem do STJ: inteligência da ressalva final do art. 105, I, h, da Constituição.</w:t>
      </w:r>
    </w:p>
    <w:p>
      <w:pPr>
        <w:ind w:left="288"/>
      </w:pPr>
      <w:r>
        <w:rPr>
          <w:b/>
          <w:color w:val="003CA0"/>
          <w:sz w:val="16"/>
        </w:rPr>
        <w:t>[MI 571 QO, rel. min. Sepúlveda Pertence, j. 8-10-1998, P, DJ de 20-11-1998.]</w:t>
      </w:r>
    </w:p>
    <w:p>
      <w:pPr>
        <w:ind w:left="288"/>
      </w:pPr>
      <w:r>
        <w:rPr>
          <w:color w:val="8C8C8C"/>
          <w:sz w:val="12"/>
        </w:rPr>
        <w:t>cf-art-109</w:t>
      </w:r>
    </w:p>
    <w:p>
      <w:pPr>
        <w:ind w:left="288"/>
      </w:pPr>
      <w:r>
        <w:rPr>
          <w:color w:val="1E1E1E"/>
          <w:sz w:val="18"/>
        </w:rPr>
        <w:t>I - as causas em que a União, entidade autárquica ou empresa pública federal forem interessadas na condição de autoras, rés, assistentes ou oponentes, exceto as de falência, as de acidentes de trabalho e as sujeitas à Justiça Eleitoral e à Justiça do Trabalho;</w:t>
      </w:r>
    </w:p>
    <w:p>
      <w:pPr>
        <w:ind w:left="144"/>
      </w:pPr>
      <w:r>
        <w:rPr>
          <w:b/>
          <w:color w:val="B45A00"/>
          <w:sz w:val="16"/>
        </w:rPr>
        <w:t>SUMULA VINCULANTE</w:t>
      </w:r>
    </w:p>
    <w:p>
      <w:pPr>
        <w:ind w:left="288"/>
      </w:pPr>
      <w:r>
        <w:rPr>
          <w:color w:val="8C8C8C"/>
          <w:sz w:val="12"/>
        </w:rPr>
        <w:t>cf-art-109</w:t>
      </w:r>
    </w:p>
    <w:p>
      <w:pPr>
        <w:ind w:left="288"/>
      </w:pPr>
      <w:r>
        <w:rPr>
          <w:color w:val="1E1E1E"/>
          <w:sz w:val="18"/>
        </w:rPr>
        <w:t>Compete à Justiça estadual julgar causas entre consumidor e concessionária de serviço público de telefonia, quando a Anatel [Agência Nacional de Telecomunicações] não seja litisconsorte passiva necessária, assistente, nem opoente.</w:t>
      </w:r>
    </w:p>
    <w:p>
      <w:pPr>
        <w:ind w:left="288"/>
      </w:pPr>
      <w:r>
        <w:rPr>
          <w:b/>
          <w:color w:val="003CA0"/>
          <w:sz w:val="16"/>
        </w:rPr>
        <w:t>[Súmula Vinculante 27.]</w:t>
      </w:r>
    </w:p>
    <w:p>
      <w:pPr>
        <w:ind w:left="288"/>
      </w:pPr>
      <w:r>
        <w:rPr>
          <w:color w:val="8C8C8C"/>
          <w:sz w:val="12"/>
        </w:rPr>
        <w:t>cf-art-109</w:t>
      </w:r>
    </w:p>
    <w:p>
      <w:pPr>
        <w:ind w:left="288"/>
      </w:pPr>
      <w:r>
        <w:rPr>
          <w:color w:val="1E1E1E"/>
          <w:sz w:val="18"/>
        </w:rPr>
        <w:t>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EC 45/2004.</w:t>
      </w:r>
    </w:p>
    <w:p>
      <w:pPr>
        <w:ind w:left="288"/>
      </w:pPr>
      <w:r>
        <w:rPr>
          <w:b/>
          <w:color w:val="003CA0"/>
          <w:sz w:val="16"/>
        </w:rPr>
        <w:t>[Súmula Vinculante 22.]</w:t>
      </w:r>
    </w:p>
    <w:p>
      <w:pPr>
        <w:ind w:left="144"/>
      </w:pPr>
      <w:r>
        <w:rPr>
          <w:b/>
          <w:color w:val="B45A00"/>
          <w:sz w:val="16"/>
        </w:rPr>
        <w:t>SUMULA</w:t>
      </w:r>
    </w:p>
    <w:p>
      <w:pPr>
        <w:ind w:left="288"/>
      </w:pPr>
      <w:r>
        <w:rPr>
          <w:color w:val="8C8C8C"/>
          <w:sz w:val="12"/>
        </w:rPr>
        <w:t>cf-art-109</w:t>
      </w:r>
    </w:p>
    <w:p>
      <w:pPr>
        <w:ind w:left="288"/>
      </w:pPr>
      <w:r>
        <w:rPr>
          <w:color w:val="1E1E1E"/>
          <w:sz w:val="18"/>
        </w:rPr>
        <w:t>É competente a Justiça comum para julgar as causas em que é parte sociedade de economia mista.</w:t>
      </w:r>
    </w:p>
    <w:p>
      <w:pPr>
        <w:ind w:left="288"/>
      </w:pPr>
      <w:r>
        <w:rPr>
          <w:b/>
          <w:color w:val="003CA0"/>
          <w:sz w:val="16"/>
        </w:rPr>
        <w:t>[Súmula 556.]</w:t>
      </w:r>
    </w:p>
    <w:p>
      <w:pPr>
        <w:ind w:left="288"/>
      </w:pPr>
      <w:r>
        <w:rPr>
          <w:color w:val="8C8C8C"/>
          <w:sz w:val="12"/>
        </w:rPr>
        <w:t>cf-art-109</w:t>
      </w:r>
    </w:p>
    <w:p>
      <w:pPr>
        <w:ind w:left="288"/>
      </w:pPr>
      <w:r>
        <w:rPr>
          <w:color w:val="1E1E1E"/>
          <w:sz w:val="18"/>
        </w:rPr>
        <w:t>As sociedades de economia mista só têm foro na Justiça Federal, quando a União intervém como assistente ou opoente.</w:t>
      </w:r>
    </w:p>
    <w:p>
      <w:pPr>
        <w:ind w:left="288"/>
      </w:pPr>
      <w:r>
        <w:rPr>
          <w:b/>
          <w:color w:val="003CA0"/>
          <w:sz w:val="16"/>
        </w:rPr>
        <w:t>[Súmula 517.]</w:t>
      </w:r>
    </w:p>
    <w:p>
      <w:pPr>
        <w:ind w:left="288"/>
      </w:pPr>
      <w:r>
        <w:rPr>
          <w:color w:val="8C8C8C"/>
          <w:sz w:val="12"/>
        </w:rPr>
        <w:t>cf-art-109</w:t>
      </w:r>
    </w:p>
    <w:p>
      <w:pPr>
        <w:ind w:left="288"/>
      </w:pPr>
      <w:r>
        <w:rPr>
          <w:color w:val="1E1E1E"/>
          <w:sz w:val="18"/>
        </w:rPr>
        <w:t>Compete à Justiça Federal, em ambas as instâncias, processar e julgar as causas entre autarquias federais e entidades públicas locais, inclusive mandados de segurança, ressalvada a ação fiscal, nos termos da CF de 1967, art. 119, § 3º.</w:t>
      </w:r>
    </w:p>
    <w:p>
      <w:pPr>
        <w:ind w:left="288"/>
      </w:pPr>
      <w:r>
        <w:rPr>
          <w:b/>
          <w:color w:val="003CA0"/>
          <w:sz w:val="16"/>
        </w:rPr>
        <w:t>[Súmula 511.]</w:t>
      </w:r>
    </w:p>
    <w:p>
      <w:pPr>
        <w:ind w:left="288"/>
      </w:pPr>
      <w:r>
        <w:rPr>
          <w:color w:val="8C8C8C"/>
          <w:sz w:val="12"/>
        </w:rPr>
        <w:t>cf-art-109</w:t>
      </w:r>
    </w:p>
    <w:p>
      <w:pPr>
        <w:ind w:left="288"/>
      </w:pPr>
      <w:r>
        <w:rPr>
          <w:color w:val="1E1E1E"/>
          <w:sz w:val="18"/>
        </w:rPr>
        <w:t>Compete à Justiça estadual, em ambas as instâncias, processar e julgar as causas em que for parte o Banco do Brasil S.A.</w:t>
      </w:r>
    </w:p>
    <w:p>
      <w:pPr>
        <w:ind w:left="288"/>
      </w:pPr>
      <w:r>
        <w:rPr>
          <w:b/>
          <w:color w:val="003CA0"/>
          <w:sz w:val="16"/>
        </w:rPr>
        <w:t>[Súmula 508.]</w:t>
      </w:r>
    </w:p>
    <w:p>
      <w:pPr>
        <w:ind w:left="288"/>
      </w:pPr>
      <w:r>
        <w:rPr>
          <w:color w:val="8C8C8C"/>
          <w:sz w:val="12"/>
        </w:rPr>
        <w:t>cf-art-109</w:t>
      </w:r>
    </w:p>
    <w:p>
      <w:pPr>
        <w:ind w:left="288"/>
      </w:pPr>
      <w:r>
        <w:rPr>
          <w:color w:val="1E1E1E"/>
          <w:sz w:val="18"/>
        </w:rPr>
        <w:t>Compete à Justiça ordinária estadual o processo e o julgamento, em ambas as instâncias, das causas de acidente do trabalho, ainda que promovidas contra a União, suas autarquias, empresas públicas ou sociedades de economia mista.</w:t>
      </w:r>
    </w:p>
    <w:p>
      <w:pPr>
        <w:ind w:left="288"/>
      </w:pPr>
      <w:r>
        <w:rPr>
          <w:b/>
          <w:color w:val="003CA0"/>
          <w:sz w:val="16"/>
        </w:rPr>
        <w:t>[Súmula 501.]</w:t>
      </w:r>
    </w:p>
    <w:p>
      <w:pPr>
        <w:ind w:left="288"/>
      </w:pPr>
      <w:r>
        <w:rPr>
          <w:color w:val="8C8C8C"/>
          <w:sz w:val="12"/>
        </w:rPr>
        <w:t>cf-art-109</w:t>
      </w:r>
    </w:p>
    <w:p>
      <w:pPr>
        <w:ind w:left="288"/>
      </w:pPr>
      <w:r>
        <w:rPr>
          <w:color w:val="1E1E1E"/>
          <w:sz w:val="18"/>
        </w:rPr>
        <w:t>É competente para a ação de acidente do trabalho a Justiça Cível comum, inclusive em segunda instância, ainda que seja parte autarquia seguradora.</w:t>
      </w:r>
    </w:p>
    <w:p>
      <w:pPr>
        <w:ind w:left="288"/>
      </w:pPr>
      <w:r>
        <w:rPr>
          <w:b/>
          <w:color w:val="003CA0"/>
          <w:sz w:val="16"/>
        </w:rPr>
        <w:t>[Súmula 235.]</w:t>
      </w:r>
    </w:p>
    <w:p>
      <w:pPr>
        <w:ind w:left="288"/>
      </w:pPr>
      <w:r>
        <w:rPr>
          <w:color w:val="8C8C8C"/>
          <w:sz w:val="12"/>
        </w:rPr>
        <w:t>cf-art-109</w:t>
      </w:r>
      <w:r>
        <w:rPr>
          <w:color w:val="003CA0"/>
          <w:sz w:val="12"/>
        </w:rPr>
        <w:t xml:space="preserve"> | RE 1.520.468</w:t>
      </w:r>
      <w:r>
        <w:rPr>
          <w:color w:val="003CA0"/>
          <w:sz w:val="12"/>
        </w:rPr>
        <w:t xml:space="preserve"> | rel. Flávio Dino</w:t>
      </w:r>
    </w:p>
    <w:p>
      <w:pPr>
        <w:ind w:left="288"/>
      </w:pPr>
      <w:r>
        <w:rPr>
          <w:color w:val="1E1E1E"/>
          <w:sz w:val="18"/>
        </w:rPr>
        <w:t>“1) Compete ao juízo estadual, no exercício da jurisdição criminal, especialmente aquele responsável pela aplicação da Lei nº 11.340/2006 (Lei Maria da Penha), fixar a medida protetiva prevista no art. 9º, § 2º, II, da referida lei, inclusive quanto à requisição de pagamento de prestação pecuniária em favor da vítima afastada do local de trabalho, ainda que o cumprimento material da decisão fique sob o encargo do INSS e do empregador; 2) Nos termos do que dispõe o art. 109, I, da Constituição Federal, compete à Justiça Federal processar e julgar as ações regressivas que, com fundamento no art.</w:t>
      </w:r>
    </w:p>
    <w:p>
      <w:pPr>
        <w:ind w:left="288"/>
      </w:pPr>
      <w:r>
        <w:rPr>
          <w:b/>
          <w:color w:val="003CA0"/>
          <w:sz w:val="16"/>
        </w:rPr>
        <w:t>[RE 1.520.468, rel. min. Flávio Dino, j. 16-12-2025, P, DJE de 3-2-2026, Tema 1.370, com mérito julgado.]</w:t>
      </w:r>
    </w:p>
    <w:p>
      <w:pPr>
        <w:ind w:left="288"/>
      </w:pPr>
      <w:r>
        <w:rPr>
          <w:color w:val="8C8C8C"/>
          <w:sz w:val="12"/>
        </w:rPr>
        <w:t>cf-art-109</w:t>
      </w:r>
      <w:r>
        <w:rPr>
          <w:color w:val="003CA0"/>
          <w:sz w:val="12"/>
        </w:rPr>
        <w:t xml:space="preserve"> | RE 1.550.234</w:t>
      </w:r>
      <w:r>
        <w:rPr>
          <w:color w:val="003CA0"/>
          <w:sz w:val="12"/>
        </w:rPr>
        <w:t xml:space="preserve"> | rel. Luís Roberto Barroso</w:t>
      </w:r>
    </w:p>
    <w:p>
      <w:pPr>
        <w:ind w:left="288"/>
      </w:pPr>
      <w:r>
        <w:rPr>
          <w:color w:val="1E1E1E"/>
          <w:sz w:val="18"/>
        </w:rPr>
        <w:t>“É infraconstitucional e fática a controvérsia sobre a competência da Justiça Federal para processo e julgamento de ações possessórias ajuizadas por concessionária de serviço público ferroviário, nas quais a União e as suas entidades de administração indireta manifestaram desinteresse no processo”.</w:t>
      </w:r>
    </w:p>
    <w:p>
      <w:pPr>
        <w:ind w:left="288"/>
      </w:pPr>
      <w:r>
        <w:rPr>
          <w:b/>
          <w:color w:val="003CA0"/>
          <w:sz w:val="16"/>
        </w:rPr>
        <w:t>[RE 1.550.234 RG, rel. min. Luís Roberto Barroso, j. 06.06.2025, P, DJE de 24.06.2025, Tema 1.405, com repercussão geral negada.]</w:t>
      </w:r>
    </w:p>
    <w:p>
      <w:pPr>
        <w:ind w:left="288"/>
      </w:pPr>
      <w:r>
        <w:rPr>
          <w:color w:val="8C8C8C"/>
          <w:sz w:val="12"/>
        </w:rPr>
        <w:t>cf-art-109</w:t>
      </w:r>
      <w:r>
        <w:rPr>
          <w:color w:val="003CA0"/>
          <w:sz w:val="12"/>
        </w:rPr>
        <w:t xml:space="preserve"> | STA 175</w:t>
      </w:r>
      <w:r>
        <w:rPr>
          <w:color w:val="003CA0"/>
          <w:sz w:val="12"/>
        </w:rPr>
        <w:t xml:space="preserve"> | rel. Gilmar Mendes</w:t>
      </w:r>
    </w:p>
    <w:p>
      <w:pPr>
        <w:ind w:left="288"/>
      </w:pPr>
      <w:r>
        <w:rPr>
          <w:color w:val="1E1E1E"/>
          <w:sz w:val="18"/>
        </w:rPr>
        <w:t>“I. Competência 1) Para fins de fixação de competência, as demandas relativas a medicamentos não incorporados na política pública do SUS e medicamentos oncológicos, ambos com registro na ANVISA, tramitarão perante a Justiça Federal, nos termos do art. 109, I, da Constituição Federal, quando o valor do tratamento anual específico do fármaco ou do princípio ativo, com base no Preço Máximo de Venda do Governo (PMVG situado na alíquota zero), divulgado pela Câmara de Regulação do Mercado de Medicamentos (CMED - Lei 10.742/2003), for igual ou superior ao valor de 210 salários mínimos, na forma do a</w:t>
      </w:r>
    </w:p>
    <w:p>
      <w:pPr>
        <w:ind w:left="288"/>
      </w:pPr>
      <w:r>
        <w:rPr>
          <w:b/>
          <w:color w:val="003CA0"/>
          <w:sz w:val="16"/>
        </w:rPr>
        <w:t>[RE 1.366.243 ED, rel. min. Gilmar Mendes, j. 16.12.2024, P, DJE de 5.2.2025, Tema 1.234, com mérito julgado.]</w:t>
      </w:r>
    </w:p>
    <w:p>
      <w:pPr>
        <w:ind w:left="288"/>
      </w:pPr>
      <w:r>
        <w:rPr>
          <w:color w:val="8C8C8C"/>
          <w:sz w:val="12"/>
        </w:rPr>
        <w:t>cf-art-109</w:t>
      </w:r>
      <w:r>
        <w:rPr>
          <w:color w:val="003CA0"/>
          <w:sz w:val="12"/>
        </w:rPr>
        <w:t xml:space="preserve"> | RE 598.650</w:t>
      </w:r>
      <w:r>
        <w:rPr>
          <w:color w:val="003CA0"/>
          <w:sz w:val="12"/>
        </w:rPr>
        <w:t xml:space="preserve"> | rel. Marco Aurélio</w:t>
      </w:r>
    </w:p>
    <w:p>
      <w:pPr>
        <w:ind w:left="288"/>
      </w:pPr>
      <w:r>
        <w:rPr>
          <w:color w:val="1E1E1E"/>
          <w:sz w:val="18"/>
        </w:rPr>
        <w:t>Compete ao Tribunal Regional Federal processar ação rescisória proposta pela União com o objetivo de desconstituir sentença transitada em julgado proferida por juiz estadual, quando afeta interesses de órgão federal.</w:t>
      </w:r>
    </w:p>
    <w:p>
      <w:pPr>
        <w:ind w:left="288"/>
      </w:pPr>
      <w:r>
        <w:rPr>
          <w:b/>
          <w:color w:val="003CA0"/>
          <w:sz w:val="16"/>
        </w:rPr>
        <w:t>[RE 598.650, rel. min. Marco Aurélio, red. do ac. min. Alexandre de Moraes j. 11-10-2021, P, DJE de 4-11-2021, Tema 775, com mérito julgado.]</w:t>
      </w:r>
    </w:p>
    <w:p>
      <w:pPr>
        <w:ind w:left="288"/>
      </w:pPr>
      <w:r>
        <w:rPr>
          <w:color w:val="8C8C8C"/>
          <w:sz w:val="12"/>
        </w:rPr>
        <w:t>cf-art-109</w:t>
      </w:r>
      <w:r>
        <w:rPr>
          <w:color w:val="003CA0"/>
          <w:sz w:val="12"/>
        </w:rPr>
        <w:t xml:space="preserve"> | RE 678.162</w:t>
      </w:r>
      <w:r>
        <w:rPr>
          <w:color w:val="003CA0"/>
          <w:sz w:val="12"/>
        </w:rPr>
        <w:t xml:space="preserve"> | rel. Gilmar Mendes</w:t>
      </w:r>
    </w:p>
    <w:p>
      <w:pPr>
        <w:ind w:left="288"/>
      </w:pPr>
      <w:r>
        <w:rPr>
          <w:color w:val="1E1E1E"/>
          <w:sz w:val="18"/>
        </w:rPr>
        <w:t>A insolvência civil está entre as exceções da parte final do artigo 109, I, da Constituição da República, para fins de definição da competência da Justiça Federal.</w:t>
        <w:br/>
        <w:t>[RE 678.162, red. do ac. min. Edson Fachin, j. 29-3-2021, P, DJE de 13-5-2021, Tema 859, com mérito julgado.] 1) Considerando que, a partir da MP 513/2010 (que originou a Lei 12.409/2011 e suas alterações posteriores, MP 633/2013 e Lei 13.000/2014), a CEF passou a ser administradora do FCVS, é aplicável o art. 1º da MP 513/2010 aos processos em trâmite na data de sua entrada em vigor (26-11-2010): 1.1.) sem sentença de mérito (na fa</w:t>
      </w:r>
    </w:p>
    <w:p>
      <w:pPr>
        <w:ind w:left="288"/>
      </w:pPr>
      <w:r>
        <w:rPr>
          <w:b/>
          <w:color w:val="003CA0"/>
          <w:sz w:val="16"/>
        </w:rPr>
        <w:t>[RE 827.996, voto do rel. min. Gilmar Mendes, j. 29-6-2020, P, DJE de 21-8-2020, Tema 1.011, com mérito julgado]</w:t>
      </w:r>
    </w:p>
    <w:p>
      <w:pPr>
        <w:ind w:left="288"/>
      </w:pPr>
      <w:r>
        <w:rPr>
          <w:color w:val="8C8C8C"/>
          <w:sz w:val="12"/>
        </w:rPr>
        <w:t>cf-art-109</w:t>
      </w:r>
      <w:r>
        <w:rPr>
          <w:color w:val="003CA0"/>
          <w:sz w:val="12"/>
        </w:rPr>
        <w:t xml:space="preserve"> | RE 960.429</w:t>
      </w:r>
      <w:r>
        <w:rPr>
          <w:color w:val="003CA0"/>
          <w:sz w:val="12"/>
        </w:rPr>
        <w:t xml:space="preserve"> | rel. Gilmar Mendes</w:t>
      </w:r>
    </w:p>
    <w:p>
      <w:pPr>
        <w:ind w:left="288"/>
      </w:pPr>
      <w:r>
        <w:rPr>
          <w:color w:val="1E1E1E"/>
          <w:sz w:val="18"/>
        </w:rPr>
        <w:t>Compete à Justiça comum processar e julgar controvérsias relacionadas à fase pré-contratual de seleção e de admissão de pessoal e eventual nulidade do certame em face da Administração Pública, direta e indireta, nas hipóteses em que adotado o regime celetista de contratação de pessoal.</w:t>
      </w:r>
    </w:p>
    <w:p>
      <w:pPr>
        <w:ind w:left="288"/>
      </w:pPr>
      <w:r>
        <w:rPr>
          <w:b/>
          <w:color w:val="003CA0"/>
          <w:sz w:val="16"/>
        </w:rPr>
        <w:t>[RE 960.429, rel. min. Gilmar Mendes, j. 5-3-2020, P, DJE de 24-6-2020, Tema 992, com mérito julgado.]</w:t>
      </w:r>
    </w:p>
    <w:p>
      <w:pPr>
        <w:ind w:left="288"/>
      </w:pPr>
      <w:r>
        <w:rPr>
          <w:color w:val="8C8C8C"/>
          <w:sz w:val="12"/>
        </w:rPr>
        <w:t>cf-art-109</w:t>
      </w:r>
      <w:r>
        <w:rPr>
          <w:color w:val="003CA0"/>
          <w:sz w:val="12"/>
        </w:rPr>
        <w:t xml:space="preserve"> | RE 595.332</w:t>
      </w:r>
      <w:r>
        <w:rPr>
          <w:color w:val="003CA0"/>
          <w:sz w:val="12"/>
        </w:rPr>
        <w:t xml:space="preserve"> | rel. Marco Aurélio</w:t>
      </w:r>
    </w:p>
    <w:p>
      <w:pPr>
        <w:ind w:left="288"/>
      </w:pPr>
      <w:r>
        <w:rPr>
          <w:color w:val="1E1E1E"/>
          <w:sz w:val="18"/>
        </w:rPr>
        <w:t>Ante a natureza jurídica de autarquia corporativista, cumpre à Justiça Federal, a teor do disposto no art. 109,  I, da Carta da República, processar e julgar ações em que figure na relação processual quer o Conselho Federal da OAB, quer seccional.</w:t>
      </w:r>
    </w:p>
    <w:p>
      <w:pPr>
        <w:ind w:left="288"/>
      </w:pPr>
      <w:r>
        <w:rPr>
          <w:b/>
          <w:color w:val="003CA0"/>
          <w:sz w:val="16"/>
        </w:rPr>
        <w:t>[RE 595.332, rel. min. Marco Aurélio, j. 31-8-2016, P, DJE de 23-6-2017, Tema 258, com mérito julgado.]</w:t>
      </w:r>
    </w:p>
    <w:p>
      <w:pPr>
        <w:ind w:left="288"/>
      </w:pPr>
      <w:r>
        <w:rPr>
          <w:color w:val="8C8C8C"/>
          <w:sz w:val="12"/>
        </w:rPr>
        <w:t>cf-art-109</w:t>
      </w:r>
      <w:r>
        <w:rPr>
          <w:color w:val="003CA0"/>
          <w:sz w:val="12"/>
        </w:rPr>
        <w:t xml:space="preserve"> | RE 571.572</w:t>
      </w:r>
      <w:r>
        <w:rPr>
          <w:color w:val="003CA0"/>
          <w:sz w:val="12"/>
        </w:rPr>
        <w:t xml:space="preserve"> | rel. Gilmar Mendes</w:t>
      </w:r>
    </w:p>
    <w:p>
      <w:pPr>
        <w:ind w:left="288"/>
      </w:pPr>
      <w:r>
        <w:rPr>
          <w:color w:val="1E1E1E"/>
          <w:sz w:val="18"/>
        </w:rPr>
        <w:t>Telefonia. Cobrança de pulsos além da franquia. (...) Por não figurar na relação jurídica de consumo, a Agência Nacional de Telecomunicações (ANATEL) carece de legitimidade para compor o polo passivo de ação movida pelo particular, usuário do serviço de telefonia móvel, contra a concessionária. Ausente participação da autarquia federal, sob qualquer das hipóteses previstas no art. 109, I, da Constituição, a competência é da Justiça estadual. Em se tratando de demanda que se resolve pela análise de matéria exclusivamente de direito, a dispensar instrução complexa, cabível seu processamento no j</w:t>
      </w:r>
    </w:p>
    <w:p>
      <w:pPr>
        <w:ind w:left="288"/>
      </w:pPr>
      <w:r>
        <w:rPr>
          <w:b/>
          <w:color w:val="003CA0"/>
          <w:sz w:val="16"/>
        </w:rPr>
        <w:t>[ARE 1.549.574 AgR, rel. min. Nunes Marques, j. 25.08.2025, 2ª T, DJE de 03.10.2025.]</w:t>
      </w:r>
    </w:p>
    <w:p>
      <w:pPr>
        <w:ind w:left="144"/>
      </w:pPr>
      <w:r>
        <w:rPr>
          <w:b/>
          <w:color w:val="B45A00"/>
          <w:sz w:val="16"/>
        </w:rPr>
        <w:t>JULGADOS CORRELATOS</w:t>
      </w:r>
    </w:p>
    <w:p>
      <w:pPr>
        <w:ind w:left="288"/>
      </w:pPr>
      <w:r>
        <w:rPr>
          <w:color w:val="8C8C8C"/>
          <w:sz w:val="12"/>
        </w:rPr>
        <w:t>cf-art-109</w:t>
      </w:r>
      <w:r>
        <w:rPr>
          <w:color w:val="003CA0"/>
          <w:sz w:val="12"/>
        </w:rPr>
        <w:t xml:space="preserve"> | RE 874.538</w:t>
      </w:r>
      <w:r>
        <w:rPr>
          <w:color w:val="003CA0"/>
          <w:sz w:val="12"/>
        </w:rPr>
        <w:t xml:space="preserve"> | rel. Marco Aurélio</w:t>
      </w:r>
    </w:p>
    <w:p>
      <w:pPr>
        <w:ind w:left="288"/>
      </w:pPr>
      <w:r>
        <w:rPr>
          <w:color w:val="1E1E1E"/>
          <w:sz w:val="18"/>
        </w:rPr>
        <w:t>A cláusula constitucional reveladora da responsabilidade de manter a polícia do Distrito Federal não implica a obrigatoriedade da União relativamente aos servidores do Distrito Federal. Manter é alocar recursos e não atrai a legitimidade da União para, ante pretensão dos servidores, vir a responder por ações propostas, como disposto no art. 21, XIV, da Carta de 1988.</w:t>
      </w:r>
    </w:p>
    <w:p>
      <w:pPr>
        <w:ind w:left="288"/>
      </w:pPr>
      <w:r>
        <w:rPr>
          <w:b/>
          <w:color w:val="003CA0"/>
          <w:sz w:val="16"/>
        </w:rPr>
        <w:t>[RE 874.538 AgR, rel. min. Marco Aurélio, j. 29-3-2016, 1ª T, DJE de 29-4-2016.]</w:t>
      </w:r>
    </w:p>
    <w:p>
      <w:pPr>
        <w:ind w:left="288"/>
      </w:pPr>
      <w:r>
        <w:rPr>
          <w:color w:val="8C8C8C"/>
          <w:sz w:val="12"/>
        </w:rPr>
        <w:t>cf-art-109</w:t>
      </w:r>
      <w:r>
        <w:rPr>
          <w:color w:val="003CA0"/>
          <w:sz w:val="12"/>
        </w:rPr>
        <w:t xml:space="preserve"> | RE 698.440</w:t>
      </w:r>
      <w:r>
        <w:rPr>
          <w:color w:val="003CA0"/>
          <w:sz w:val="12"/>
        </w:rPr>
        <w:t xml:space="preserve"> | rel. Luiz Fux</w:t>
      </w:r>
    </w:p>
    <w:p>
      <w:pPr>
        <w:ind w:left="288"/>
      </w:pPr>
      <w:r>
        <w:rPr>
          <w:color w:val="1E1E1E"/>
          <w:sz w:val="18"/>
        </w:rPr>
        <w:t>Demora na expedição de diploma de conclusão de curso superior em instituição privada de ensino. Competência da Justiça Federal (art. 109, I, da CF). Existência de interesse da União. (...) As instituições de ensino superior, ainda que privadas, integram o Sistema Federal de Ensino, nos termos do que determina a Lei de Diretrizes e Bases da Educação (Lei 9.394/1996). (...) a Faculdade Vizinhança Vale do Iguaçu integra o Sistema Federal de Educação, patente é a existência de interesse da União, razão pela qual a competência para julgar e processar o feito é da Justiça Federal.</w:t>
      </w:r>
    </w:p>
    <w:p>
      <w:pPr>
        <w:ind w:left="288"/>
      </w:pPr>
      <w:r>
        <w:rPr>
          <w:b/>
          <w:color w:val="003CA0"/>
          <w:sz w:val="16"/>
        </w:rPr>
        <w:t>[RE 698.440 AgR, rel. min. Luiz Fux, j. 18-9-2012, 1ª T, DJE de 2-10-2012.]</w:t>
      </w:r>
    </w:p>
    <w:p>
      <w:pPr>
        <w:ind w:left="288"/>
      </w:pPr>
      <w:r>
        <w:rPr>
          <w:color w:val="8C8C8C"/>
          <w:sz w:val="12"/>
        </w:rPr>
        <w:t>cf-art-109</w:t>
      </w:r>
      <w:r>
        <w:rPr>
          <w:color w:val="003CA0"/>
          <w:sz w:val="12"/>
        </w:rPr>
        <w:t xml:space="preserve"> | ARE 754.849</w:t>
      </w:r>
      <w:r>
        <w:rPr>
          <w:color w:val="003CA0"/>
          <w:sz w:val="12"/>
        </w:rPr>
        <w:t xml:space="preserve"> | rel. Dias Toffoli</w:t>
      </w:r>
    </w:p>
    <w:p>
      <w:pPr>
        <w:ind w:left="288"/>
      </w:pPr>
      <w:r>
        <w:rPr>
          <w:color w:val="1E1E1E"/>
          <w:sz w:val="18"/>
        </w:rPr>
        <w:t>= ARE 754.849 AgR, rel. min. Dias Toffoli, j. 14-4-2015, 2ª T, DJE de 27-5-2015 (...) a jurisprudência desta Casa tem conferido interpretação estrita à competência insculpida na alínea r do inciso I do art. 102 da Carta Política, vinculando-a às hipóteses em que o CNJ, órgão do Poder Judiciário, teria personalidade judiciária para figurar no polo passivo da lide – mandados de segurança, habeas corpus, habeas data. Nas ações ordinárias ajuizadas contra a União – ente dotado de personalidade jurídica –, ainda que envolvendo discussão acerca de ato emanado do CNJ, a competência é da Justiça Feder</w:t>
      </w:r>
    </w:p>
    <w:p>
      <w:pPr>
        <w:ind w:left="288"/>
      </w:pPr>
      <w:r>
        <w:rPr>
          <w:b/>
          <w:color w:val="003CA0"/>
          <w:sz w:val="16"/>
        </w:rPr>
        <w:t>[AO 1.718, rel. min. Rosa Weber, j. 30-3-2012, dec. monocrática, DJE de 23-5-2012.]</w:t>
      </w:r>
    </w:p>
    <w:p>
      <w:pPr>
        <w:ind w:left="288"/>
      </w:pPr>
      <w:r>
        <w:rPr>
          <w:color w:val="8C8C8C"/>
          <w:sz w:val="12"/>
        </w:rPr>
        <w:t>cf-art-109</w:t>
      </w:r>
      <w:r>
        <w:rPr>
          <w:color w:val="003CA0"/>
          <w:sz w:val="12"/>
        </w:rPr>
        <w:t xml:space="preserve"> | RE 385.274</w:t>
      </w:r>
      <w:r>
        <w:rPr>
          <w:color w:val="003CA0"/>
          <w:sz w:val="12"/>
        </w:rPr>
        <w:t xml:space="preserve"> | rel. Marco Aurélio</w:t>
      </w:r>
    </w:p>
    <w:p>
      <w:pPr>
        <w:ind w:left="288"/>
      </w:pPr>
      <w:r>
        <w:rPr>
          <w:color w:val="1E1E1E"/>
          <w:sz w:val="18"/>
        </w:rPr>
        <w:t>(...) A simples possibilidade de ação em curso no juízo federal repercutir no resultado de certa lide em que figuram pessoas naturais e pessoa jurídica de direito privado não incluída no rol exaustivo do preceito constitucional não é suficiente à modificação da competência.</w:t>
      </w:r>
    </w:p>
    <w:p>
      <w:pPr>
        <w:ind w:left="288"/>
      </w:pPr>
      <w:r>
        <w:rPr>
          <w:b/>
          <w:color w:val="003CA0"/>
          <w:sz w:val="16"/>
        </w:rPr>
        <w:t>[RE 385.274, rel. min. Marco Aurélio, j. 10-5-2011, 1ª T, DJE de 8-6-2011.]</w:t>
      </w:r>
    </w:p>
    <w:p>
      <w:pPr>
        <w:ind w:left="288"/>
      </w:pPr>
      <w:r>
        <w:rPr>
          <w:color w:val="8C8C8C"/>
          <w:sz w:val="12"/>
        </w:rPr>
        <w:t>cf-art-109</w:t>
      </w:r>
      <w:r>
        <w:rPr>
          <w:color w:val="003CA0"/>
          <w:sz w:val="12"/>
        </w:rPr>
        <w:t xml:space="preserve"> | RCL 4.803</w:t>
      </w:r>
      <w:r>
        <w:rPr>
          <w:color w:val="003CA0"/>
          <w:sz w:val="12"/>
        </w:rPr>
        <w:t xml:space="preserve"> | rel. Dias Toffoli</w:t>
      </w:r>
    </w:p>
    <w:p>
      <w:pPr>
        <w:ind w:left="288"/>
      </w:pPr>
      <w:r>
        <w:rPr>
          <w:color w:val="1E1E1E"/>
          <w:sz w:val="18"/>
        </w:rPr>
        <w:t>A Ferrovia Paulista S.A. (FEPASA) foi incorporada pela Rede Ferroviária Federal S.A. (RFFSA), a qual, posteriormente, foi extinta, nos termos da Lei 11.483/2007, tendo sido sucedida pela União. Intervindo a União no feito, a teor do art. 109, I, da CF, é de se deslocar a competência para a Justiça Federal.</w:t>
      </w:r>
    </w:p>
    <w:p>
      <w:pPr>
        <w:ind w:left="288"/>
      </w:pPr>
      <w:r>
        <w:rPr>
          <w:b/>
          <w:color w:val="003CA0"/>
          <w:sz w:val="16"/>
        </w:rPr>
        <w:t>[Rcl 4.803 ED, rel. min. Dias Toffoli, j. 24-2-2011, P, DJE de 25-5-2011.]</w:t>
      </w:r>
    </w:p>
    <w:p>
      <w:pPr>
        <w:ind w:left="288"/>
      </w:pPr>
      <w:r>
        <w:rPr>
          <w:color w:val="8C8C8C"/>
          <w:sz w:val="12"/>
        </w:rPr>
        <w:t>cf-art-109</w:t>
      </w:r>
      <w:r>
        <w:rPr>
          <w:color w:val="003CA0"/>
          <w:sz w:val="12"/>
        </w:rPr>
        <w:t xml:space="preserve"> | ACO 1.281</w:t>
      </w:r>
      <w:r>
        <w:rPr>
          <w:color w:val="003CA0"/>
          <w:sz w:val="12"/>
        </w:rPr>
        <w:t xml:space="preserve"> | rel. Cármen Lúcia</w:t>
      </w:r>
    </w:p>
    <w:p>
      <w:pPr>
        <w:ind w:left="288"/>
      </w:pPr>
      <w:r>
        <w:rPr>
          <w:color w:val="1E1E1E"/>
          <w:sz w:val="18"/>
        </w:rPr>
        <w:t>Caracterizado o interesse da União na apuração de eventuais desvirtuamentos na execução do Programa Nacional de Fortalecimento da Agricultura Familiar (PRONAF), nos termos do art. 109, I, da CF, há que se reconhecer competência da Justiça Federal, instância na qual o MPF desempenha suas relevantes atribuições.</w:t>
      </w:r>
    </w:p>
    <w:p>
      <w:pPr>
        <w:ind w:left="288"/>
      </w:pPr>
      <w:r>
        <w:rPr>
          <w:b/>
          <w:color w:val="003CA0"/>
          <w:sz w:val="16"/>
        </w:rPr>
        <w:t>[ACO 1.281, voto da rel. min. Cármen Lúcia, j. 13-10-2010, P, DJE de 14-12-2010.]</w:t>
      </w:r>
    </w:p>
    <w:p>
      <w:pPr>
        <w:ind w:left="288"/>
      </w:pPr>
      <w:r>
        <w:rPr>
          <w:color w:val="8C8C8C"/>
          <w:sz w:val="12"/>
        </w:rPr>
        <w:t>cf-art-109</w:t>
      </w:r>
      <w:r>
        <w:rPr>
          <w:color w:val="003CA0"/>
          <w:sz w:val="12"/>
        </w:rPr>
        <w:t xml:space="preserve"> | RE 545.199</w:t>
      </w:r>
      <w:r>
        <w:rPr>
          <w:color w:val="003CA0"/>
          <w:sz w:val="12"/>
        </w:rPr>
        <w:t xml:space="preserve"> | rel. Ellen Gracie</w:t>
      </w:r>
    </w:p>
    <w:p>
      <w:pPr>
        <w:ind w:left="288"/>
      </w:pPr>
      <w:r>
        <w:rPr>
          <w:color w:val="1E1E1E"/>
          <w:sz w:val="18"/>
        </w:rPr>
        <w:t>O STF firmou sua jurisprudência no sentido de que, quando o INSS figurar como parte ou tiver interesse na matéria, a competência é da Justiça Federal.</w:t>
      </w:r>
    </w:p>
    <w:p>
      <w:pPr>
        <w:ind w:left="288"/>
      </w:pPr>
      <w:r>
        <w:rPr>
          <w:b/>
          <w:color w:val="003CA0"/>
          <w:sz w:val="16"/>
        </w:rPr>
        <w:t>[RE 545.199 AgR, rel. min. Ellen Gracie, j. 24-11-2009, 2ª T, DJE de 18-12-2009.]</w:t>
      </w:r>
    </w:p>
    <w:p>
      <w:pPr>
        <w:ind w:left="288"/>
      </w:pPr>
      <w:r>
        <w:rPr>
          <w:color w:val="8C8C8C"/>
          <w:sz w:val="12"/>
        </w:rPr>
        <w:t>cf-art-109</w:t>
      </w:r>
      <w:r>
        <w:rPr>
          <w:color w:val="003CA0"/>
          <w:sz w:val="12"/>
        </w:rPr>
        <w:t xml:space="preserve"> | RE 461.005</w:t>
      </w:r>
      <w:r>
        <w:rPr>
          <w:color w:val="003CA0"/>
          <w:sz w:val="12"/>
        </w:rPr>
        <w:t xml:space="preserve"> | rel. Ricardo Lewandowski</w:t>
      </w:r>
    </w:p>
    <w:p>
      <w:pPr>
        <w:ind w:left="288"/>
      </w:pPr>
      <w:r>
        <w:rPr>
          <w:color w:val="1E1E1E"/>
          <w:sz w:val="18"/>
        </w:rPr>
        <w:t>Vide RE 461.005, rel. min. Ricardo Lewandowski, j. 8-4-2008, 1ª T, DJE de 9-5-2008 Ação ordinária de reparação de danos. Empresa pública federal. Competência. Art. 109, I, da CF. Competência da Justiça Federal para processar e julgar ação de reparação de danos proposta por mutuário contra a Caixa Econômica Federal.</w:t>
      </w:r>
    </w:p>
    <w:p>
      <w:pPr>
        <w:ind w:left="288"/>
      </w:pPr>
      <w:r>
        <w:rPr>
          <w:b/>
          <w:color w:val="003CA0"/>
          <w:sz w:val="16"/>
        </w:rPr>
        <w:t>[RE 555.395 AgR, rel. min. Eros Grau, j. 10-2-2009, 2ª T, DJE de 13-3-2009.]</w:t>
      </w:r>
    </w:p>
    <w:p>
      <w:pPr>
        <w:ind w:left="288"/>
      </w:pPr>
      <w:r>
        <w:rPr>
          <w:color w:val="8C8C8C"/>
          <w:sz w:val="12"/>
        </w:rPr>
        <w:t>cf-art-109</w:t>
      </w:r>
      <w:r>
        <w:rPr>
          <w:color w:val="003CA0"/>
          <w:sz w:val="12"/>
        </w:rPr>
        <w:t xml:space="preserve"> | AI 577.142</w:t>
      </w:r>
      <w:r>
        <w:rPr>
          <w:color w:val="003CA0"/>
          <w:sz w:val="12"/>
        </w:rPr>
        <w:t xml:space="preserve"> | rel. Gilmar Mendes</w:t>
      </w:r>
    </w:p>
    <w:p>
      <w:pPr>
        <w:ind w:left="288"/>
      </w:pPr>
      <w:r>
        <w:rPr>
          <w:color w:val="1E1E1E"/>
          <w:sz w:val="18"/>
        </w:rPr>
        <w:t>Imposto de renda. União. Interesse na causa. Ausência. Capacidade tributária ativa. Estados-membros.</w:t>
      </w:r>
    </w:p>
    <w:p>
      <w:pPr>
        <w:ind w:left="288"/>
      </w:pPr>
      <w:r>
        <w:rPr>
          <w:b/>
          <w:color w:val="003CA0"/>
          <w:sz w:val="16"/>
        </w:rPr>
        <w:t>[AI 577.142 AgR, rel. min. Gilmar Mendes, j. 30-9-2008, 2ª T, DJE de 21-11-2008.]</w:t>
      </w:r>
    </w:p>
    <w:p>
      <w:pPr>
        <w:ind w:left="288"/>
      </w:pPr>
      <w:r>
        <w:rPr>
          <w:color w:val="8C8C8C"/>
          <w:sz w:val="12"/>
        </w:rPr>
        <w:t>cf-art-109</w:t>
      </w:r>
      <w:r>
        <w:rPr>
          <w:color w:val="003CA0"/>
          <w:sz w:val="12"/>
        </w:rPr>
        <w:t xml:space="preserve"> | RE 344.133</w:t>
      </w:r>
      <w:r>
        <w:rPr>
          <w:color w:val="003CA0"/>
          <w:sz w:val="12"/>
        </w:rPr>
        <w:t xml:space="preserve"> | rel. Marco Aurélio</w:t>
      </w:r>
    </w:p>
    <w:p>
      <w:pPr>
        <w:ind w:left="288"/>
      </w:pPr>
      <w:r>
        <w:rPr>
          <w:color w:val="1E1E1E"/>
          <w:sz w:val="18"/>
        </w:rPr>
        <w:t>Sob o ângulo da incompetência da Justiça comum, não há a alegada ofensa ao inciso I do art. 109 da CF. Define-se a competência pelas balizas da ação proposta. A inicial revela que, em momento algum, foi acionada a Universidade Federal Rural de Pernambuco. O cidadão (...), o recorrido, propôs ação indenizatória por danos morais contra o cidadão (...). Na espécie, pouco importa que o ato praticado por este último o tenha sido considerada certa qualificação profissional, a integração a órgão público federal.</w:t>
      </w:r>
    </w:p>
    <w:p>
      <w:pPr>
        <w:ind w:left="288"/>
      </w:pPr>
      <w:r>
        <w:rPr>
          <w:b/>
          <w:color w:val="003CA0"/>
          <w:sz w:val="16"/>
        </w:rPr>
        <w:t>[RE 344.133, voto do rel. min. Marco Aurélio, j. 9-9-2008, 1ª T, DJE de 14-11-2008.]</w:t>
      </w:r>
    </w:p>
    <w:p>
      <w:pPr>
        <w:ind w:left="288"/>
      </w:pPr>
      <w:r>
        <w:rPr>
          <w:color w:val="8C8C8C"/>
          <w:sz w:val="12"/>
        </w:rPr>
        <w:t>cf-art-109</w:t>
      </w:r>
      <w:r>
        <w:rPr>
          <w:color w:val="003CA0"/>
          <w:sz w:val="12"/>
        </w:rPr>
        <w:t xml:space="preserve"> | ADI 3.395</w:t>
      </w:r>
    </w:p>
    <w:p>
      <w:pPr>
        <w:ind w:left="288"/>
      </w:pPr>
      <w:r>
        <w:rPr>
          <w:color w:val="1E1E1E"/>
          <w:sz w:val="18"/>
        </w:rPr>
        <w:t>Servidores públicos. Regime temporário. Justiça do Trabalho. Incompetência. No julgamento da ADI 3.395 MC/DF, este Supremo Tribunal suspendeu toda e qualquer interpretação do inciso I do art. 114 da CF (na redação da EC 45/2004) que inserisse, na competência da Justiça do Trabalho, a apreciação de causas instauradas entre o poder público e seus servidores, a ele vinculados por típica relação de ordem estatutária ou de caráter jurídico-administrativo. As contratações temporárias para suprir os serviços públicos estão no âmbito de relação jurídico-administrativa, sendo competente para dirimir os</w:t>
      </w:r>
    </w:p>
    <w:p>
      <w:pPr>
        <w:ind w:left="288"/>
      </w:pPr>
      <w:r>
        <w:rPr>
          <w:b/>
          <w:color w:val="003CA0"/>
          <w:sz w:val="16"/>
        </w:rPr>
        <w:t>[Rcl 4.872, red. do ac. min. Menezes Direito, j. 21-8-2008, P, DJE de 7-11-2008.]</w:t>
      </w:r>
    </w:p>
    <w:p>
      <w:pPr>
        <w:ind w:left="288"/>
      </w:pPr>
      <w:r>
        <w:rPr>
          <w:color w:val="8C8C8C"/>
          <w:sz w:val="12"/>
        </w:rPr>
        <w:t>cf-art-109</w:t>
      </w:r>
      <w:r>
        <w:rPr>
          <w:color w:val="003CA0"/>
          <w:sz w:val="12"/>
        </w:rPr>
        <w:t xml:space="preserve"> | RE 461.005</w:t>
      </w:r>
      <w:r>
        <w:rPr>
          <w:color w:val="003CA0"/>
          <w:sz w:val="12"/>
        </w:rPr>
        <w:t xml:space="preserve"> | rel. Ricardo Lewandowski</w:t>
      </w:r>
    </w:p>
    <w:p>
      <w:pPr>
        <w:ind w:left="288"/>
      </w:pPr>
      <w:r>
        <w:rPr>
          <w:color w:val="1E1E1E"/>
          <w:sz w:val="18"/>
        </w:rPr>
        <w:t>Tratando-se de matéria de interesse do INSS, qual seja, a possibilidade ou não de acumulação de proventos da aposentadoria com o auxílio suplementar, a matéria refoge à competência da Justiça comum. Questão que não se enquadra na ressalva do art. 109, I, da CF, visto que não cuida exclusivamente de acidente do trabalho. Reconhecida a competência da Justiça Federal para julgar o feito.</w:t>
      </w:r>
    </w:p>
    <w:p>
      <w:pPr>
        <w:ind w:left="288"/>
      </w:pPr>
      <w:r>
        <w:rPr>
          <w:b/>
          <w:color w:val="003CA0"/>
          <w:sz w:val="16"/>
        </w:rPr>
        <w:t>[RE 461.005, rel. min. Ricardo Lewandowski, j. 8-4-2008, 1ª T, DJE de 9-5-2008.]</w:t>
      </w:r>
    </w:p>
    <w:p>
      <w:pPr>
        <w:ind w:left="288"/>
      </w:pPr>
      <w:r>
        <w:rPr>
          <w:color w:val="8C8C8C"/>
          <w:sz w:val="12"/>
        </w:rPr>
        <w:t>cf-art-109</w:t>
      </w:r>
      <w:r>
        <w:rPr>
          <w:color w:val="003CA0"/>
          <w:sz w:val="12"/>
        </w:rPr>
        <w:t xml:space="preserve"> | AI 609.855</w:t>
      </w:r>
      <w:r>
        <w:rPr>
          <w:color w:val="003CA0"/>
          <w:sz w:val="12"/>
        </w:rPr>
        <w:t xml:space="preserve"> | rel. Sepúlveda Pertence</w:t>
      </w:r>
    </w:p>
    <w:p>
      <w:pPr>
        <w:ind w:left="288"/>
      </w:pPr>
      <w:r>
        <w:rPr>
          <w:color w:val="1E1E1E"/>
          <w:sz w:val="18"/>
        </w:rPr>
        <w:t>Justiça Federal: competência para o exame dos reflexos de decisão trabalhista no período posterior à transformação do regime jurídico celetista para o estatutário. Precedentes. É da jurisprudência do Supremo Tribunal que a mudança do regime jurídico celetista para o estatutário acarreta a extinção do contrato de trabalho. A eventual extensão dos efeitos de decisão proferida pela Justiça do Trabalho – que é referente a questões do regime celetista – para período posterior à vigência do regime estatutário, onde não mais há relação de trabalho regida pela CLT, deve ser examinada pela Justiça Fede</w:t>
      </w:r>
    </w:p>
    <w:p>
      <w:pPr>
        <w:ind w:left="288"/>
      </w:pPr>
      <w:r>
        <w:rPr>
          <w:b/>
          <w:color w:val="003CA0"/>
          <w:sz w:val="16"/>
        </w:rPr>
        <w:t>[AI 609.855 AgR-ED, rel. min. Sepúlveda Pertence, j. 25-6-2007, 1ª T, DJ de 31-8-2007.]</w:t>
        <w:br/>
        <w:t>Vide ARE 1.001.075 RG, rel. min. Gilmar Mendes, j. 8-12-2016, P, DJE de 1º-2-2017, Tema 928</w:t>
      </w:r>
    </w:p>
    <w:p>
      <w:pPr>
        <w:ind w:left="288"/>
      </w:pPr>
      <w:r>
        <w:rPr>
          <w:color w:val="8C8C8C"/>
          <w:sz w:val="12"/>
        </w:rPr>
        <w:t>cf-art-109</w:t>
      </w:r>
      <w:r>
        <w:rPr>
          <w:color w:val="003CA0"/>
          <w:sz w:val="12"/>
        </w:rPr>
        <w:t xml:space="preserve"> | ADI 3.395.</w:t>
      </w:r>
      <w:r>
        <w:rPr>
          <w:color w:val="003CA0"/>
          <w:sz w:val="12"/>
        </w:rPr>
        <w:t xml:space="preserve"> | rel. Cármen Lúcia</w:t>
      </w:r>
    </w:p>
    <w:p>
      <w:pPr>
        <w:ind w:left="288"/>
      </w:pPr>
      <w:r>
        <w:rPr>
          <w:color w:val="1E1E1E"/>
          <w:sz w:val="18"/>
        </w:rPr>
        <w:t>Reclamação. Contrato temporário. Regime jurídico administrativo. Descumprimento da ADI 3.395. Competência da Justiça Federal. Contrato firmado entre a Anatel [Agência Nacional de Telecomunição] e a interessada tem natureza jurídica temporária e submete-se ao regime jurídico administrativo, nos moldes da Lei 8.745/1993; do inciso XXIII do art. 19 da Lei 9.472/1997 e do Decreto 2.424/1997. Incompetência da Justiça Trabalhista para o processamento e o julgamento das causas que envolvam o poder público e servidores que lhe sejam vinculados por relação jurídico-administrativa. Precedentes. Reclamaç</w:t>
      </w:r>
    </w:p>
    <w:p>
      <w:pPr>
        <w:ind w:left="288"/>
      </w:pPr>
      <w:r>
        <w:rPr>
          <w:b/>
          <w:color w:val="003CA0"/>
          <w:sz w:val="16"/>
        </w:rPr>
        <w:t>[Rcl 4.762, rel. min. Cármen Lúcia, j. 2-3-2007, 1ª T, DJ de 23-3-2007.]</w:t>
      </w:r>
    </w:p>
    <w:p>
      <w:pPr>
        <w:ind w:left="288"/>
      </w:pPr>
      <w:r>
        <w:rPr>
          <w:color w:val="8C8C8C"/>
          <w:sz w:val="12"/>
        </w:rPr>
        <w:t>cf-art-109</w:t>
      </w:r>
      <w:r>
        <w:rPr>
          <w:color w:val="003CA0"/>
          <w:sz w:val="12"/>
        </w:rPr>
        <w:t xml:space="preserve"> | RCL 5.171</w:t>
      </w:r>
      <w:r>
        <w:rPr>
          <w:color w:val="003CA0"/>
          <w:sz w:val="12"/>
        </w:rPr>
        <w:t xml:space="preserve"> | rel. Cármen Lúcia</w:t>
      </w:r>
    </w:p>
    <w:p>
      <w:pPr>
        <w:ind w:left="288"/>
      </w:pPr>
      <w:r>
        <w:rPr>
          <w:color w:val="1E1E1E"/>
          <w:sz w:val="18"/>
        </w:rPr>
        <w:t>= Rcl 5.171, rel. min. Cármen Lúcia, j. 21-8-2008, P, DJE de 3-10-2008 Sobre a competência, está pacificado o entendimento de que não havendo interesse jurídico da União Federal no feito, como no presente caso, em se tratando de empresa concessionária de serviço público e particular, a competência é da Justiça estadual, v.g., AI 388.982 AgR, 1º-10-2002, Segunda Turma, Velloso; e RE 210.148, 5-5-1998, Primeira Turma, Gallotti.</w:t>
      </w:r>
    </w:p>
    <w:p>
      <w:pPr>
        <w:ind w:left="288"/>
      </w:pPr>
      <w:r>
        <w:rPr>
          <w:b/>
          <w:color w:val="003CA0"/>
          <w:sz w:val="16"/>
        </w:rPr>
        <w:t>[AI 607.035 AgR, voto do rel. min. Sepúlveda Pertence, j. 12-12-2006, 1ª T, DJ de 9-2-2007.]</w:t>
      </w:r>
    </w:p>
    <w:p>
      <w:pPr>
        <w:ind w:left="288"/>
      </w:pPr>
      <w:r>
        <w:rPr>
          <w:color w:val="8C8C8C"/>
          <w:sz w:val="12"/>
        </w:rPr>
        <w:t>cf-art-109</w:t>
      </w:r>
      <w:r>
        <w:rPr>
          <w:color w:val="003CA0"/>
          <w:sz w:val="12"/>
        </w:rPr>
        <w:t xml:space="preserve"> | AI 775.333</w:t>
      </w:r>
      <w:r>
        <w:rPr>
          <w:color w:val="003CA0"/>
          <w:sz w:val="12"/>
        </w:rPr>
        <w:t xml:space="preserve"> | rel. Ricardo Lewandowski</w:t>
      </w:r>
    </w:p>
    <w:p>
      <w:pPr>
        <w:ind w:left="288"/>
      </w:pPr>
      <w:r>
        <w:rPr>
          <w:color w:val="1E1E1E"/>
          <w:sz w:val="18"/>
        </w:rPr>
        <w:t>= AI 775.333 AgR, rel. min. Ricardo Lewandowski, j. 8-2-2011, 1ª T, DJE de 10-3-2011 Competência da Justiça estadual. Sebrae [Serviço Brasileiro de Apoio às Micro e Pequenas Empresas]. Personalidade de entidade privada. Precedente da Primeira Turma.</w:t>
      </w:r>
    </w:p>
    <w:p>
      <w:pPr>
        <w:ind w:left="288"/>
      </w:pPr>
      <w:r>
        <w:rPr>
          <w:b/>
          <w:color w:val="003CA0"/>
          <w:sz w:val="16"/>
        </w:rPr>
        <w:t>[RE 414.375, rel. min. Gilmar Mendes, j. 31-10-2006, 2ª T, DJ de 1º-12-2006.]</w:t>
      </w:r>
    </w:p>
    <w:p>
      <w:pPr>
        <w:ind w:left="288"/>
      </w:pPr>
      <w:r>
        <w:rPr>
          <w:color w:val="8C8C8C"/>
          <w:sz w:val="12"/>
        </w:rPr>
        <w:t>cf-art-109</w:t>
      </w:r>
      <w:r>
        <w:rPr>
          <w:color w:val="003CA0"/>
          <w:sz w:val="12"/>
        </w:rPr>
        <w:t xml:space="preserve"> | RE 366.168</w:t>
      </w:r>
      <w:r>
        <w:rPr>
          <w:color w:val="003CA0"/>
          <w:sz w:val="12"/>
        </w:rPr>
        <w:t xml:space="preserve"> | rel. Sepúlveda Pertence</w:t>
      </w:r>
    </w:p>
    <w:p>
      <w:pPr>
        <w:ind w:left="288"/>
      </w:pPr>
      <w:r>
        <w:rPr>
          <w:color w:val="1E1E1E"/>
          <w:sz w:val="18"/>
        </w:rPr>
        <w:t>= RE 366.168, rel. min. Sepúlveda Pertence, j. 3-2-2004, 1ª T, DJ de 14-5-2004 A circunstância de o paciente, simples motorista da polícia federal, utilizar-se de apetrechos subtraídos da instituição, para a prática do crime de extorsão mediante sequestro, não atrai a competência da Justiça Federal, porquanto não há ofensa a bens, serviços ou interesse da União. Situação diversa é a que respeita ao delito de peculato, pelo qual, aliás, o paciente foi condenado.</w:t>
      </w:r>
    </w:p>
    <w:p>
      <w:pPr>
        <w:ind w:left="288"/>
      </w:pPr>
      <w:r>
        <w:rPr>
          <w:b/>
          <w:color w:val="003CA0"/>
          <w:sz w:val="16"/>
        </w:rPr>
        <w:t>[HC 87.376, rel. min. Eros Grau, j. 7-3-2006, 1ª T, DJ de 24-3-2006.]</w:t>
      </w:r>
    </w:p>
    <w:p>
      <w:pPr>
        <w:ind w:left="288"/>
      </w:pPr>
      <w:r>
        <w:rPr>
          <w:color w:val="8C8C8C"/>
          <w:sz w:val="12"/>
        </w:rPr>
        <w:t>cf-art-109</w:t>
      </w:r>
      <w:r>
        <w:rPr>
          <w:color w:val="003CA0"/>
          <w:sz w:val="12"/>
        </w:rPr>
        <w:t xml:space="preserve"> | rel. Ayres Britto</w:t>
      </w:r>
    </w:p>
    <w:p>
      <w:pPr>
        <w:ind w:left="288"/>
      </w:pPr>
      <w:r>
        <w:rPr>
          <w:color w:val="1E1E1E"/>
          <w:sz w:val="18"/>
        </w:rPr>
        <w:t xml:space="preserve">Numa primeira interpretação do inciso I do art. 109 da Carta de Outubro, o STF entendeu que as ações de indenização por danos morais e patrimoniais decorrentes de acidente do trabalho, ainda que movidas pelo empregado contra seu (ex-)empregador, eram da competência da Justiça comum dos Estados-membros. Revisando a matéria, porém, o Plenário concluiu que a Lei Republicana de 1988 conferiu tal competência à Justiça do Trabalho. Seja porque o art. 114, já em sua redação originária, assim deixava transparecer, seja porque aquela primeira interpretação do mencionado inciso I do art. 109 estava, em </w:t>
      </w:r>
    </w:p>
    <w:p>
      <w:pPr>
        <w:ind w:left="288"/>
      </w:pPr>
      <w:r>
        <w:rPr>
          <w:b/>
          <w:color w:val="003CA0"/>
          <w:sz w:val="16"/>
        </w:rPr>
        <w:t>[CC 7.204, rel. min. Ayres Britto, j. 29-6-2005, P, DJ de 9-12-2005.]</w:t>
      </w:r>
    </w:p>
    <w:p>
      <w:pPr>
        <w:ind w:left="288"/>
      </w:pPr>
      <w:r>
        <w:rPr>
          <w:color w:val="8C8C8C"/>
          <w:sz w:val="12"/>
        </w:rPr>
        <w:t>cf-art-109</w:t>
      </w:r>
      <w:r>
        <w:rPr>
          <w:color w:val="003CA0"/>
          <w:sz w:val="12"/>
        </w:rPr>
        <w:t xml:space="preserve"> | RE 144.880</w:t>
      </w:r>
      <w:r>
        <w:rPr>
          <w:color w:val="003CA0"/>
          <w:sz w:val="12"/>
        </w:rPr>
        <w:t xml:space="preserve"> | rel. Eros Grau</w:t>
      </w:r>
    </w:p>
    <w:p>
      <w:pPr>
        <w:ind w:left="288"/>
      </w:pPr>
      <w:r>
        <w:rPr>
          <w:color w:val="1E1E1E"/>
          <w:sz w:val="18"/>
        </w:rPr>
        <w:t>= CC 7.545, rel. min. Eros Grau, j. 3-6-2009, P, DJE de 14-8-2009 A competência para processar e julgar recurso interposto pela União Federal, contra decisão de magistrado estadual, no exercício da jurisdição local, que não reconheceu a existência de interesse federal na causa e nem determinou a remessa do respectivo processo à Justiça Federal, pertence ao TRF (órgão judiciário de segundo grau da Justiça Federal comum), a quem incumbe examinar o recurso e, se for o caso, invalidar o ato decisório que se apresenta eivado de nulidade, por incompetência absoluta de seu prolator. Precedentes.</w:t>
      </w:r>
    </w:p>
    <w:p>
      <w:pPr>
        <w:ind w:left="288"/>
      </w:pPr>
      <w:r>
        <w:rPr>
          <w:b/>
          <w:color w:val="003CA0"/>
          <w:sz w:val="16"/>
        </w:rPr>
        <w:t>[RE 144.880, rel. min. Celso de Mello, j. 31-10-2000, 1ª T, DJ de 2-3-2001.]</w:t>
      </w:r>
    </w:p>
    <w:p>
      <w:pPr>
        <w:ind w:left="288"/>
      </w:pPr>
      <w:r>
        <w:rPr>
          <w:color w:val="8C8C8C"/>
          <w:sz w:val="12"/>
        </w:rPr>
        <w:t>cf-art-109</w:t>
      </w:r>
      <w:r>
        <w:rPr>
          <w:color w:val="003CA0"/>
          <w:sz w:val="12"/>
        </w:rPr>
        <w:t xml:space="preserve"> | AI 789.492</w:t>
      </w:r>
      <w:r>
        <w:rPr>
          <w:color w:val="003CA0"/>
          <w:sz w:val="12"/>
        </w:rPr>
        <w:t xml:space="preserve"> | rel. Ellen Gracie</w:t>
      </w:r>
    </w:p>
    <w:p>
      <w:pPr>
        <w:ind w:left="288"/>
      </w:pPr>
      <w:r>
        <w:rPr>
          <w:color w:val="1E1E1E"/>
          <w:sz w:val="18"/>
        </w:rPr>
        <w:t xml:space="preserve">= AI 789.492 AgR, rel. min. Ellen Gracie, j. 17-8-2010, 2ª T, DJE de 3-9-2010 O dispositivo contido na parte final do § 3º do art. 109 da Constituição é dirigido ao legislador ordinário, autorizando-o a atribuir competência (rectius jurisdição) ao juízo estadual do foro do domicílio da outra parte ou do lugar do ato ou fato que deu origem à demanda, desde que não seja sede de varas da Justiça Federal, para causas específicas dentre as previstas no inciso I do referido art. 109. (...) Considerando que o juiz federal também tem competência territorial e funcional sobre o local de qualquer dano, </w:t>
      </w:r>
    </w:p>
    <w:p>
      <w:pPr>
        <w:ind w:left="288"/>
      </w:pPr>
      <w:r>
        <w:rPr>
          <w:b/>
          <w:color w:val="003CA0"/>
          <w:sz w:val="16"/>
        </w:rPr>
        <w:t>[RE 228.955, rel. min. Ilmar Galvão, j. 10-2-2000, P, DJ de 24-3-2000.]</w:t>
      </w:r>
    </w:p>
    <w:p>
      <w:pPr>
        <w:ind w:left="288"/>
      </w:pPr>
      <w:r>
        <w:rPr>
          <w:color w:val="8C8C8C"/>
          <w:sz w:val="12"/>
        </w:rPr>
        <w:t>cf-art-109</w:t>
      </w:r>
      <w:r>
        <w:rPr>
          <w:color w:val="003CA0"/>
          <w:sz w:val="12"/>
        </w:rPr>
        <w:t xml:space="preserve"> | RE 172.708</w:t>
      </w:r>
      <w:r>
        <w:rPr>
          <w:color w:val="003CA0"/>
          <w:sz w:val="12"/>
        </w:rPr>
        <w:t xml:space="preserve"> | rel. Moreira Alves</w:t>
      </w:r>
    </w:p>
    <w:p>
      <w:pPr>
        <w:ind w:left="288"/>
      </w:pPr>
      <w:r>
        <w:rPr>
          <w:color w:val="1E1E1E"/>
          <w:sz w:val="18"/>
        </w:rPr>
        <w:t>Sendo ratione personae a competência prevista no art. 109, I, da Constituição, e não integrando a União a presente vistoria ad perpetuam rei memoriam na qualidade de autora, ré, assistente ou opoente, inexiste ofensa ao citado dispositivo constitucional, porquanto a simples alegação da existência de interesse da União feita pela ora recorrente não desloca, só por isso, a competência para a Justiça Federal.</w:t>
      </w:r>
    </w:p>
    <w:p>
      <w:pPr>
        <w:ind w:left="288"/>
      </w:pPr>
      <w:r>
        <w:rPr>
          <w:b/>
          <w:color w:val="003CA0"/>
          <w:sz w:val="16"/>
        </w:rPr>
        <w:t>[RE 172.708, rel. min. Moreira Alves, j. 28-9-1999, 1ª T, DJ de 12-11-1999.]</w:t>
      </w:r>
    </w:p>
    <w:p>
      <w:pPr>
        <w:ind w:left="288"/>
      </w:pPr>
      <w:r>
        <w:rPr>
          <w:color w:val="8C8C8C"/>
          <w:sz w:val="12"/>
        </w:rPr>
        <w:t>cf-art-109</w:t>
      </w:r>
      <w:r>
        <w:rPr>
          <w:color w:val="003CA0"/>
          <w:sz w:val="12"/>
        </w:rPr>
        <w:t xml:space="preserve"> | AI 814.728</w:t>
      </w:r>
      <w:r>
        <w:rPr>
          <w:color w:val="003CA0"/>
          <w:sz w:val="12"/>
        </w:rPr>
        <w:t xml:space="preserve"> | rel. Ricardo Lewandowski</w:t>
      </w:r>
    </w:p>
    <w:p>
      <w:pPr>
        <w:ind w:left="288"/>
      </w:pPr>
      <w:r>
        <w:rPr>
          <w:color w:val="1E1E1E"/>
          <w:sz w:val="18"/>
        </w:rPr>
        <w:t>= AI 814.728 AgR, rel. min. Ricardo Lewandowski, j. 8-2-2011, 1ª T, DJE de 10-3-2011 A Fundação Nacional do Índio (FUNAI) constitui pessoa jurídica de direito público interno. (...) Tratando-se de entidade autárquica instituída pela União Federal, torna-se evidente que, nas causas contra ela instauradas, incide, de maneira plena, a regra constitucional de competência da Justiça Federal inscrita no art. 109, I, da Carta Política.</w:t>
      </w:r>
    </w:p>
    <w:p>
      <w:pPr>
        <w:ind w:left="288"/>
      </w:pPr>
      <w:r>
        <w:rPr>
          <w:b/>
          <w:color w:val="003CA0"/>
          <w:sz w:val="16"/>
        </w:rPr>
        <w:t>[RE 183.188, rel. min. Celso de Mello, j. 10-12-1996, 1ª T, DJ de 14-2-1997.]</w:t>
      </w:r>
    </w:p>
    <w:p>
      <w:pPr>
        <w:ind w:left="288"/>
      </w:pPr>
      <w:r>
        <w:rPr>
          <w:color w:val="8C8C8C"/>
          <w:sz w:val="12"/>
        </w:rPr>
        <w:t>cf-art-109</w:t>
      </w:r>
      <w:r>
        <w:rPr>
          <w:color w:val="003CA0"/>
          <w:sz w:val="12"/>
        </w:rPr>
        <w:t xml:space="preserve"> | HC 71.247</w:t>
      </w:r>
      <w:r>
        <w:rPr>
          <w:color w:val="003CA0"/>
          <w:sz w:val="12"/>
        </w:rPr>
        <w:t xml:space="preserve"> | rel. Celso de Mello</w:t>
      </w:r>
    </w:p>
    <w:p>
      <w:pPr>
        <w:ind w:left="288"/>
      </w:pPr>
      <w:r>
        <w:rPr>
          <w:color w:val="1E1E1E"/>
          <w:sz w:val="18"/>
        </w:rPr>
        <w:t>Os delitos cometidos contra o patrimônio da Caixa Econômica Federal – que é empresa pública da União – submetem-se à competência penal da Justiça Federal comum ou ordinária. Trata-se de competência estabelecida ratione personae pela Constituição da República. O Poder Judiciário do Estado-membro, em consequência, é absolutamente incompetente para processar e julgar crime de roubo praticado contra a Caixa Econômica Federal.</w:t>
      </w:r>
    </w:p>
    <w:p>
      <w:pPr>
        <w:ind w:left="288"/>
      </w:pPr>
      <w:r>
        <w:rPr>
          <w:b/>
          <w:color w:val="003CA0"/>
          <w:sz w:val="16"/>
        </w:rPr>
        <w:t>[HC 71.247, rel. min. Celso de Mello, j. 29-11-1994, 1ª T, DJE de 23-5-2008.]</w:t>
      </w:r>
    </w:p>
    <w:p>
      <w:pPr>
        <w:ind w:left="288"/>
      </w:pPr>
      <w:r>
        <w:rPr>
          <w:color w:val="8C8C8C"/>
          <w:sz w:val="12"/>
        </w:rPr>
        <w:t>cf-art-109-inc-II</w:t>
      </w:r>
      <w:r>
        <w:rPr>
          <w:color w:val="003CA0"/>
          <w:sz w:val="12"/>
        </w:rPr>
        <w:t xml:space="preserve"> | RCL 10.920</w:t>
      </w:r>
      <w:r>
        <w:rPr>
          <w:color w:val="003CA0"/>
          <w:sz w:val="12"/>
        </w:rPr>
        <w:t xml:space="preserve"> | rel. Celso de Mello</w:t>
      </w:r>
    </w:p>
    <w:p>
      <w:pPr>
        <w:ind w:left="288"/>
      </w:pPr>
      <w:r>
        <w:rPr>
          <w:color w:val="1E1E1E"/>
          <w:sz w:val="18"/>
        </w:rPr>
        <w:t>(...) inocorre, nos processos ora indicados, qualquer situação configuradora de usurpação da competência do STF, eis que as causas instauradas entre Estado estrangeiro, de um lado, e Municípios brasileiros, de outro, não se incluem na esfera de competência originária desta Suprema Corte, subsumindo-se, antes, ao âmbito das atribuições jurisdicionais dos magistrados federais de primeiro grau, consoante prescreve, em regra explícita de competência, a própria Constituição da República (CF, art. 109, II).</w:t>
      </w:r>
    </w:p>
    <w:p>
      <w:pPr>
        <w:ind w:left="288"/>
      </w:pPr>
      <w:r>
        <w:rPr>
          <w:b/>
          <w:color w:val="003CA0"/>
          <w:sz w:val="16"/>
        </w:rPr>
        <w:t>[Rcl 10.920 MC, rel. min. Celso de Mello, j. 1º-9-2011, dec. monocrática, DJE de 8-9-2011.]</w:t>
      </w:r>
    </w:p>
    <w:p>
      <w:pPr>
        <w:ind w:left="288"/>
      </w:pPr>
      <w:r>
        <w:rPr>
          <w:color w:val="8C8C8C"/>
          <w:sz w:val="12"/>
        </w:rPr>
        <w:t>cf-art-109-inc-III</w:t>
      </w:r>
    </w:p>
    <w:p>
      <w:pPr>
        <w:ind w:left="288"/>
      </w:pPr>
      <w:r>
        <w:rPr>
          <w:color w:val="1E1E1E"/>
          <w:sz w:val="18"/>
        </w:rPr>
        <w:t>IV - os crimes políticos e as infrações penais praticadas em detrimento de bens, serviços ou interesse da União ou de suas entidades autárquicas ou empresas públicas, excluídas as contravenções e ressalvada a competência da Justiça Militar e da Justiça Eleitoral;</w:t>
      </w:r>
    </w:p>
    <w:p>
      <w:pPr>
        <w:ind w:left="144"/>
      </w:pPr>
      <w:r>
        <w:rPr>
          <w:b/>
          <w:color w:val="B45A00"/>
          <w:sz w:val="16"/>
        </w:rPr>
        <w:t>REPERCUSSAO GERAL</w:t>
      </w:r>
    </w:p>
    <w:p>
      <w:pPr>
        <w:ind w:left="288"/>
      </w:pPr>
      <w:r>
        <w:rPr>
          <w:color w:val="8C8C8C"/>
          <w:sz w:val="12"/>
        </w:rPr>
        <w:t>cf-art-109-inc-III</w:t>
      </w:r>
      <w:r>
        <w:rPr>
          <w:color w:val="003CA0"/>
          <w:sz w:val="12"/>
        </w:rPr>
        <w:t xml:space="preserve"> | RE 835.558</w:t>
      </w:r>
      <w:r>
        <w:rPr>
          <w:color w:val="003CA0"/>
          <w:sz w:val="12"/>
        </w:rPr>
        <w:t xml:space="preserve"> | rel. Luiz Fux</w:t>
      </w:r>
    </w:p>
    <w:p>
      <w:pPr>
        <w:ind w:left="288"/>
      </w:pPr>
      <w:r>
        <w:rPr>
          <w:color w:val="1E1E1E"/>
          <w:sz w:val="18"/>
        </w:rPr>
        <w:t>Atrai a competência da Justiça Federal a natureza transnacional do delito ambiental de exportação de animais silvestres, nos termos do art. 109, IV, da CF/1988.</w:t>
        <w:br/>
        <w:t>[RE 835.558, rel. min. Luiz Fux, j. 9-2-2017, P, DJE de 8-8-2017, Tema 648, com mérito julgado.] A jurisprudência do STF, firmada no Tema nº 648 da Repercussão Geral (RE nº 835.558/SP), estabelece que a competência da Justiça Federal para julgar crimes ambientais depende da presença de interesse direto e específico da União ou da transnacionalidade da conduta delituosa. A mera inclusão de espécie vegetal em lista oficial de ameaçadas d</w:t>
      </w:r>
    </w:p>
    <w:p>
      <w:pPr>
        <w:ind w:left="288"/>
      </w:pPr>
      <w:r>
        <w:rPr>
          <w:b/>
          <w:color w:val="003CA0"/>
          <w:sz w:val="16"/>
        </w:rPr>
        <w:t>[HC 261.398 AgR, rel. min. André Mendonça, j. 13.10.2025, 2ª T, DJE de 28.10.2025.]</w:t>
      </w:r>
    </w:p>
    <w:p>
      <w:pPr>
        <w:ind w:left="144"/>
      </w:pPr>
      <w:r>
        <w:rPr>
          <w:b/>
          <w:color w:val="B45A00"/>
          <w:sz w:val="16"/>
        </w:rPr>
        <w:t>JULGADOS CORRELATOS</w:t>
      </w:r>
    </w:p>
    <w:p>
      <w:pPr>
        <w:ind w:left="288"/>
      </w:pPr>
      <w:r>
        <w:rPr>
          <w:color w:val="8C8C8C"/>
          <w:sz w:val="12"/>
        </w:rPr>
        <w:t>cf-art-109-inc-III</w:t>
      </w:r>
      <w:r>
        <w:rPr>
          <w:color w:val="003CA0"/>
          <w:sz w:val="12"/>
        </w:rPr>
        <w:t xml:space="preserve"> | HC 105.461</w:t>
      </w:r>
      <w:r>
        <w:rPr>
          <w:color w:val="003CA0"/>
          <w:sz w:val="12"/>
        </w:rPr>
        <w:t xml:space="preserve"> | rel. Marco Aurélio</w:t>
      </w:r>
    </w:p>
    <w:p>
      <w:pPr>
        <w:ind w:left="288"/>
      </w:pPr>
      <w:r>
        <w:rPr>
          <w:color w:val="1E1E1E"/>
          <w:sz w:val="18"/>
        </w:rPr>
        <w:t>O cometimento de crime por brasileiro no exterior, por si só, não atrai a competência da Justiça Federal, sendo neutra, para tal fim, a prática de atos preparatórios no território nacional.</w:t>
      </w:r>
    </w:p>
    <w:p>
      <w:pPr>
        <w:ind w:left="288"/>
      </w:pPr>
      <w:r>
        <w:rPr>
          <w:b/>
          <w:color w:val="003CA0"/>
          <w:sz w:val="16"/>
        </w:rPr>
        <w:t>[HC 105.461, rel. min. Marco Aurélio, j. 29-3-2016, 1ª T, DJE de 2-8-2016.]</w:t>
      </w:r>
    </w:p>
    <w:p>
      <w:pPr>
        <w:ind w:left="288"/>
      </w:pPr>
      <w:r>
        <w:rPr>
          <w:color w:val="8C8C8C"/>
          <w:sz w:val="12"/>
        </w:rPr>
        <w:t>cf-art-109-inc-III</w:t>
      </w:r>
      <w:r>
        <w:rPr>
          <w:color w:val="003CA0"/>
          <w:sz w:val="12"/>
        </w:rPr>
        <w:t xml:space="preserve"> | HC 83.113</w:t>
      </w:r>
      <w:r>
        <w:rPr>
          <w:color w:val="003CA0"/>
          <w:sz w:val="12"/>
        </w:rPr>
        <w:t xml:space="preserve"> | rel. Celso de Mello</w:t>
      </w:r>
    </w:p>
    <w:p>
      <w:pPr>
        <w:ind w:left="288"/>
      </w:pPr>
      <w:r>
        <w:rPr>
          <w:color w:val="1E1E1E"/>
          <w:sz w:val="18"/>
        </w:rPr>
        <w:t>Vide HC 83.113 QO, voto do rel. min. Celso de Mello, j. 26-6-2003, P, DJ de 29-8-2003 Competência. Homicídio qualificado. Formação de quadrilha. Crime praticado para evitar que a vítima prestasse depoimento no Conselho de Defesa dos Direitos da Pessoa Humana. Órgão vinculado ao Ministério da Justiça. Interesse da União comprovado. Competência da Justiça Federal.</w:t>
      </w:r>
    </w:p>
    <w:p>
      <w:pPr>
        <w:ind w:left="288"/>
      </w:pPr>
      <w:r>
        <w:rPr>
          <w:b/>
          <w:color w:val="003CA0"/>
          <w:sz w:val="16"/>
        </w:rPr>
        <w:t>[HC 107.156, rel. min. Cármen Lúcia, j. 8-5-2012, 1ª T, DJE de 1º-8-2012.]</w:t>
      </w:r>
    </w:p>
    <w:p>
      <w:pPr>
        <w:ind w:left="288"/>
      </w:pPr>
      <w:r>
        <w:rPr>
          <w:color w:val="8C8C8C"/>
          <w:sz w:val="12"/>
        </w:rPr>
        <w:t>cf-art-109-inc-III</w:t>
      </w:r>
      <w:r>
        <w:rPr>
          <w:color w:val="003CA0"/>
          <w:sz w:val="12"/>
        </w:rPr>
        <w:t xml:space="preserve"> | HC 93.938</w:t>
      </w:r>
      <w:r>
        <w:rPr>
          <w:color w:val="003CA0"/>
          <w:sz w:val="12"/>
        </w:rPr>
        <w:t xml:space="preserve"> | rel. Luiz Fux</w:t>
      </w:r>
    </w:p>
    <w:p>
      <w:pPr>
        <w:ind w:left="288"/>
      </w:pPr>
      <w:r>
        <w:rPr>
          <w:color w:val="1E1E1E"/>
          <w:sz w:val="18"/>
        </w:rPr>
        <w:t>Falsificação de documento público, falsidade ideológica e uso de documento falso. Diploma e certificado de conclusão de curso superior em instituição privada de ensino falsos. Apresentação para fins de obtenção de registro profissional no Conselho Regional de Administração (CRA). Competência da Justiça Federal. (...) O uso de documento falso de instituição privada de ensino superior, com o fato de apresentá-lo ao órgão de fiscalização profissional federal, é delito cognoscível pela Justiça Federal, que ostenta, para o caso concreto, competência absoluta. (...) Considerando que o diploma falsif</w:t>
      </w:r>
    </w:p>
    <w:p>
      <w:pPr>
        <w:ind w:left="288"/>
      </w:pPr>
      <w:r>
        <w:rPr>
          <w:b/>
          <w:color w:val="003CA0"/>
          <w:sz w:val="16"/>
        </w:rPr>
        <w:t>[HC 93.938, rel. min. Luiz Fux, j. 25-10-2011, 1ª T, DJE de 23-11-2011.]</w:t>
      </w:r>
    </w:p>
    <w:p>
      <w:pPr>
        <w:ind w:left="288"/>
      </w:pPr>
      <w:r>
        <w:rPr>
          <w:color w:val="8C8C8C"/>
          <w:sz w:val="12"/>
        </w:rPr>
        <w:t>cf-art-109-inc-III</w:t>
      </w:r>
      <w:r>
        <w:rPr>
          <w:color w:val="003CA0"/>
          <w:sz w:val="12"/>
        </w:rPr>
        <w:t xml:space="preserve"> | ACO 979</w:t>
      </w:r>
      <w:r>
        <w:rPr>
          <w:color w:val="003CA0"/>
          <w:sz w:val="12"/>
        </w:rPr>
        <w:t xml:space="preserve"> | rel. Ellen Gracie</w:t>
      </w:r>
    </w:p>
    <w:p>
      <w:pPr>
        <w:ind w:left="288"/>
      </w:pPr>
      <w:r>
        <w:rPr>
          <w:color w:val="1E1E1E"/>
          <w:sz w:val="18"/>
        </w:rPr>
        <w:t>A presença de sociedade de economia mista em procedimento investigatório não acarreta, por si só, na presunção de violação de interesse, econômico ou jurídico, da União. Para adequada definição de atribuições entre o MPF e o Ministério Público estadual impõe-se, em conformidade com o art. 109, I e IV, da CF, a adequada delimitação da natureza cível ou criminal da matéria envolvida.</w:t>
      </w:r>
    </w:p>
    <w:p>
      <w:pPr>
        <w:ind w:left="288"/>
      </w:pPr>
      <w:r>
        <w:rPr>
          <w:b/>
          <w:color w:val="003CA0"/>
          <w:sz w:val="16"/>
        </w:rPr>
        <w:t>[ACO 979, rel. min. Ellen Gracie, j. 4-8-2011, P, DJE de 23-8-2011.]</w:t>
      </w:r>
    </w:p>
    <w:p>
      <w:pPr>
        <w:ind w:left="288"/>
      </w:pPr>
      <w:r>
        <w:rPr>
          <w:color w:val="8C8C8C"/>
          <w:sz w:val="12"/>
        </w:rPr>
        <w:t>cf-art-109-inc-III</w:t>
      </w:r>
      <w:r>
        <w:rPr>
          <w:color w:val="003CA0"/>
          <w:sz w:val="12"/>
        </w:rPr>
        <w:t xml:space="preserve"> | RE 605.609</w:t>
      </w:r>
      <w:r>
        <w:rPr>
          <w:color w:val="003CA0"/>
          <w:sz w:val="12"/>
        </w:rPr>
        <w:t xml:space="preserve"> | rel. Cármen Lúcia</w:t>
      </w:r>
    </w:p>
    <w:p>
      <w:pPr>
        <w:ind w:left="288"/>
      </w:pPr>
      <w:r>
        <w:rPr>
          <w:color w:val="1E1E1E"/>
          <w:sz w:val="18"/>
        </w:rPr>
        <w:t>(...) a jurisprudência do STF assentou que compete à Justiça Federal o julgamento de crimes relativos a desvio ou à apropriação de verba federal destinada à realização de serviços de competência privativa da União ou de competência comum da União e do ente beneficiário ou de verba cuja utilização se submeta à fiscalização por órgão federal.</w:t>
      </w:r>
    </w:p>
    <w:p>
      <w:pPr>
        <w:ind w:left="288"/>
      </w:pPr>
      <w:r>
        <w:rPr>
          <w:b/>
          <w:color w:val="003CA0"/>
          <w:sz w:val="16"/>
        </w:rPr>
        <w:t>[RE 605.609 AgR, rel. min. Cármen Lúcia, j. 2-12-2010, 1ª T, DJE de 1º-2-2011.]</w:t>
      </w:r>
    </w:p>
    <w:p>
      <w:pPr>
        <w:ind w:left="288"/>
      </w:pPr>
      <w:r>
        <w:rPr>
          <w:color w:val="8C8C8C"/>
          <w:sz w:val="12"/>
        </w:rPr>
        <w:t>cf-art-109-inc-III</w:t>
      </w:r>
      <w:r>
        <w:rPr>
          <w:color w:val="003CA0"/>
          <w:sz w:val="12"/>
        </w:rPr>
        <w:t xml:space="preserve"> | HC 90.174</w:t>
      </w:r>
      <w:r>
        <w:rPr>
          <w:color w:val="003CA0"/>
          <w:sz w:val="12"/>
        </w:rPr>
        <w:t xml:space="preserve"> | rel. Menezes Direito</w:t>
      </w:r>
    </w:p>
    <w:p>
      <w:pPr>
        <w:ind w:left="288"/>
      </w:pPr>
      <w:r>
        <w:rPr>
          <w:color w:val="1E1E1E"/>
          <w:sz w:val="18"/>
        </w:rPr>
        <w:t>Vide HC 90.174, rel. p/ o ac. min. Menezes Direito, j. 4-12-2007, 1ª T, DJE de 14-3-2008 Vide HC 81.994, rel. min. Ilmar Galvão, j. 6-8-2002, 1ª T, DJ de 27-9-2002 Vide RE 196.982, rel. min. Néri da Silveira, j. 20-2-1997, P, DJ de 27-6-1997 Injúria contra militar da União. (...) Cabe ao juízo competente aferir a existência da manifestação de vontade da ofendida no sentido de autorizar a persecutio criminis. E, sendo a suposta ofendida militar da União, compete ao juízo federal comum o julgamento do feito.</w:t>
      </w:r>
    </w:p>
    <w:p>
      <w:pPr>
        <w:ind w:left="288"/>
      </w:pPr>
      <w:r>
        <w:rPr>
          <w:b/>
          <w:color w:val="003CA0"/>
          <w:sz w:val="16"/>
        </w:rPr>
        <w:t>[HC 100.588, rel. min. Ellen Gracie, j. 14-9-2010, 2ª T, DJE de 1º-10-2010.]</w:t>
      </w:r>
    </w:p>
    <w:p>
      <w:pPr>
        <w:ind w:left="288"/>
      </w:pPr>
      <w:r>
        <w:rPr>
          <w:color w:val="8C8C8C"/>
          <w:sz w:val="12"/>
        </w:rPr>
        <w:t>cf-art-109-inc-III</w:t>
      </w:r>
      <w:r>
        <w:rPr>
          <w:color w:val="003CA0"/>
          <w:sz w:val="12"/>
        </w:rPr>
        <w:t xml:space="preserve"> | RE 454.740</w:t>
      </w:r>
      <w:r>
        <w:rPr>
          <w:color w:val="003CA0"/>
          <w:sz w:val="12"/>
        </w:rPr>
        <w:t xml:space="preserve"> | rel. Marco Aurélio</w:t>
      </w:r>
    </w:p>
    <w:p>
      <w:pPr>
        <w:ind w:left="288"/>
      </w:pPr>
      <w:r>
        <w:rPr>
          <w:color w:val="1E1E1E"/>
          <w:sz w:val="18"/>
        </w:rPr>
        <w:t>Vê-se que veio a ser potencializado o interesse da população local em detrimento do fato de a poluição alcançar bem público federal. Pouco importa que se tenha chegado também ao comprometimento de açude, córregos e riacho. Prevalece a circunstância de o dano apontado haver ocorrido em rio que, pelo teor do inciso III do art. 20 da CF, consubstancia bem da União (...). Esse preceito e a premissa fática constante do acórdão impugnado mediante o extraordinário atraem a incidência do inciso IV do art. 109 da Carta da República (...).</w:t>
      </w:r>
    </w:p>
    <w:p>
      <w:pPr>
        <w:ind w:left="288"/>
      </w:pPr>
      <w:r>
        <w:rPr>
          <w:b/>
          <w:color w:val="003CA0"/>
          <w:sz w:val="16"/>
        </w:rPr>
        <w:t>[RE 454.740, voto do rel. min. Marco Aurélio, j. 28-4-2009, 1ª T, DJE de 7-8-2009.]</w:t>
      </w:r>
    </w:p>
    <w:p>
      <w:pPr>
        <w:ind w:left="288"/>
      </w:pPr>
      <w:r>
        <w:rPr>
          <w:color w:val="8C8C8C"/>
          <w:sz w:val="12"/>
        </w:rPr>
        <w:t>cf-art-109-inc-III</w:t>
      </w:r>
      <w:r>
        <w:rPr>
          <w:color w:val="003CA0"/>
          <w:sz w:val="12"/>
        </w:rPr>
        <w:t xml:space="preserve"> | RE 473.033</w:t>
      </w:r>
      <w:r>
        <w:rPr>
          <w:color w:val="003CA0"/>
          <w:sz w:val="12"/>
        </w:rPr>
        <w:t xml:space="preserve"> | rel. Cezar Peluso</w:t>
      </w:r>
    </w:p>
    <w:p>
      <w:pPr>
        <w:ind w:left="288"/>
      </w:pPr>
      <w:r>
        <w:rPr>
          <w:color w:val="1E1E1E"/>
          <w:sz w:val="18"/>
        </w:rPr>
        <w:t>Crime de roubo. Subtração de bens em poder de carteiro, no exercício de suas funções. Servidor efetivo da Empresa Brasileira de Correios e Telégrafos. Violência contra servidor do quadro de empresa pública federal. Lesão material direta e específica a serviço e a bem da União. Ação penal da competência da Justiça Federal. Revisão criminal julgada procedente. Processo anulado. Recurso extraordinário improvido. Inteligência do art. 157 do CP, c/c o art. 109, IV, da CF. É da competência da Justiça Federal, o processo de ação penal por crime de roubo de objetos em poder de servidor efetivo da Empr</w:t>
      </w:r>
    </w:p>
    <w:p>
      <w:pPr>
        <w:ind w:left="288"/>
      </w:pPr>
      <w:r>
        <w:rPr>
          <w:b/>
          <w:color w:val="003CA0"/>
          <w:sz w:val="16"/>
        </w:rPr>
        <w:t>[RE 473.033, rel. min. Cezar Peluso, j. 11-11-2008, 2ª T, DJE de 5-12-2008.]</w:t>
      </w:r>
    </w:p>
    <w:p>
      <w:pPr>
        <w:ind w:left="288"/>
      </w:pPr>
      <w:r>
        <w:rPr>
          <w:color w:val="8C8C8C"/>
          <w:sz w:val="12"/>
        </w:rPr>
        <w:t>cf-art-109-inc-III</w:t>
      </w:r>
      <w:r>
        <w:rPr>
          <w:color w:val="003CA0"/>
          <w:sz w:val="12"/>
        </w:rPr>
        <w:t xml:space="preserve"> | HC 97.690</w:t>
      </w:r>
      <w:r>
        <w:rPr>
          <w:color w:val="003CA0"/>
          <w:sz w:val="12"/>
        </w:rPr>
        <w:t xml:space="preserve"> | rel. Ricardo Lewandowski</w:t>
      </w:r>
    </w:p>
    <w:p>
      <w:pPr>
        <w:ind w:left="288"/>
      </w:pPr>
      <w:r>
        <w:rPr>
          <w:color w:val="1E1E1E"/>
          <w:sz w:val="18"/>
        </w:rPr>
        <w:t>= HC 97.690, rel. min. Ricardo Lewandowski, j. 6-10-2009, 1ª T, DJE de 23-10-2009 Esta Corte já teve oportunidade de apreciar matéria semelhante, relacionada a possível fraude à licitação envolvendo verbas federais, sujeitas à fiscalização pelo TCU. Tratava-se de possível fraude em licitações com desvio de verbas provenientes do Fundef [Fundo de Manutenção e Desenvolvimento do Ensino Fundamental e de Valorização do Magistério], do FNDE [Fundo Nacional de Desenvolvimento da Educação] e do FPM [Fundo de Participação dos Municípios], em que se reconheceu interesse da União a ser preservado, evide</w:t>
      </w:r>
    </w:p>
    <w:p>
      <w:pPr>
        <w:ind w:left="288"/>
      </w:pPr>
      <w:r>
        <w:rPr>
          <w:b/>
          <w:color w:val="003CA0"/>
          <w:sz w:val="16"/>
        </w:rPr>
        <w:t>[RE 464.621, rel. min. Ellen Gracie, j. 14-10-2008, 2ª T, DJE de 21-11-2008.]</w:t>
      </w:r>
    </w:p>
    <w:p>
      <w:pPr>
        <w:ind w:left="288"/>
      </w:pPr>
      <w:r>
        <w:rPr>
          <w:color w:val="8C8C8C"/>
          <w:sz w:val="12"/>
        </w:rPr>
        <w:t>cf-art-109-inc-III</w:t>
      </w:r>
      <w:r>
        <w:rPr>
          <w:color w:val="003CA0"/>
          <w:sz w:val="12"/>
        </w:rPr>
        <w:t xml:space="preserve"> | HC 100.772</w:t>
      </w:r>
      <w:r>
        <w:rPr>
          <w:color w:val="003CA0"/>
          <w:sz w:val="12"/>
        </w:rPr>
        <w:t xml:space="preserve"> | rel. Gilmar Mendes</w:t>
      </w:r>
    </w:p>
    <w:p>
      <w:pPr>
        <w:ind w:left="288"/>
      </w:pPr>
      <w:r>
        <w:rPr>
          <w:color w:val="1E1E1E"/>
          <w:sz w:val="18"/>
        </w:rPr>
        <w:t>= HC 100.772, rel. min. Gilmar Mendes, j. 22-11-2011, 2ª T, DJE de 6-2-2012 Servidora da Justiça do Trabalho (...) manifestou desprestígio à função pública exercida pelo magistrado, revelando nexo causal entre a conduta e a condição de juiz do trabalho da suposta vítima. Em tese, houve infração penal praticada em detrimento do interesse da União (CF, art. 109, IV), a atrair a competência da Justiça Federal.</w:t>
      </w:r>
    </w:p>
    <w:p>
      <w:pPr>
        <w:ind w:left="288"/>
      </w:pPr>
      <w:r>
        <w:rPr>
          <w:b/>
          <w:color w:val="003CA0"/>
          <w:sz w:val="16"/>
        </w:rPr>
        <w:t>[ACO 1.179, rel. min. Ellen Gracie, j. 11-9-2008, P, DJE de 31-10-2008.]</w:t>
      </w:r>
    </w:p>
    <w:p>
      <w:pPr>
        <w:ind w:left="288"/>
      </w:pPr>
      <w:r>
        <w:rPr>
          <w:color w:val="8C8C8C"/>
          <w:sz w:val="12"/>
        </w:rPr>
        <w:t>cf-art-109-inc-III</w:t>
      </w:r>
      <w:r>
        <w:rPr>
          <w:color w:val="003CA0"/>
          <w:sz w:val="12"/>
        </w:rPr>
        <w:t xml:space="preserve"> | ACO 1.179</w:t>
      </w:r>
      <w:r>
        <w:rPr>
          <w:color w:val="003CA0"/>
          <w:sz w:val="12"/>
        </w:rPr>
        <w:t xml:space="preserve"> | rel. Ellen Gracie</w:t>
      </w:r>
    </w:p>
    <w:p>
      <w:pPr>
        <w:ind w:left="288"/>
      </w:pPr>
      <w:r>
        <w:rPr>
          <w:color w:val="1E1E1E"/>
          <w:sz w:val="18"/>
        </w:rPr>
        <w:t>Vide ACO 1.179 ED, rel. min. Ellen Gracie, j. 4-8-2011, P, DJE de 13-10-2011 É de competência da Justiça estadual processar e julgar agente público estadual acusado de prática de delito de que trata o art. 89 da Lei 8.666/1993, não sendo suficiente para atrair a competência da Justiça Federal a existência de repasse de verbas em decorrência de convênio da União com Estado-membro.</w:t>
      </w:r>
    </w:p>
    <w:p>
      <w:pPr>
        <w:ind w:left="288"/>
      </w:pPr>
      <w:r>
        <w:rPr>
          <w:b/>
          <w:color w:val="003CA0"/>
          <w:sz w:val="16"/>
        </w:rPr>
        <w:t>[HC 90.174, rel. p/ o ac. min. Menezes Direito, j. 4-12-2007, 1ª T, DJE de 14-3-2008.]</w:t>
      </w:r>
    </w:p>
    <w:p>
      <w:pPr>
        <w:ind w:left="288"/>
      </w:pPr>
      <w:r>
        <w:rPr>
          <w:color w:val="8C8C8C"/>
          <w:sz w:val="12"/>
        </w:rPr>
        <w:t>cf-art-109-inc-III</w:t>
      </w:r>
      <w:r>
        <w:rPr>
          <w:color w:val="003CA0"/>
          <w:sz w:val="12"/>
        </w:rPr>
        <w:t xml:space="preserve"> | AI 837.201</w:t>
      </w:r>
      <w:r>
        <w:rPr>
          <w:color w:val="003CA0"/>
          <w:sz w:val="12"/>
        </w:rPr>
        <w:t xml:space="preserve"> | rel. Ricardo Lewandowski</w:t>
      </w:r>
    </w:p>
    <w:p>
      <w:pPr>
        <w:ind w:left="288"/>
      </w:pPr>
      <w:r>
        <w:rPr>
          <w:color w:val="1E1E1E"/>
          <w:sz w:val="18"/>
        </w:rPr>
        <w:t>= AI 837.201 AgR-segundo, rel. min. Ricardo Lewandowski, j. 26-11-2013, 2ª T, DJE de 9-12-2013 Vide RE 605.609 AgR, rel. min. Cármen Lúcia, j. 2-12-2010, 1ª T, DJE de 1º-2-2011 Competência: Justiça estadual: processo por crime contra a ordem econômica previsto no art. 1º da Lei 8.176/1991 (venda de combustível adulterado); inexistência de lesão à atividade de fiscalização atribuída à Agência Nacional do Petróleo (ANP) e, portanto, ausente interesse direto e específico da União: não incidência do art. 109, IV, da CF. Regra geral os crimes contra a ordem econômica são da competência da Justiça c</w:t>
      </w:r>
    </w:p>
    <w:p>
      <w:pPr>
        <w:ind w:left="288"/>
      </w:pPr>
      <w:r>
        <w:rPr>
          <w:b/>
          <w:color w:val="003CA0"/>
          <w:sz w:val="16"/>
        </w:rPr>
        <w:t>[RE 502.915, rel. min. Sepúlveda Pertence, j. 13-2-2007, 1ª T, DJ de 27-4-2007.]</w:t>
      </w:r>
    </w:p>
    <w:p>
      <w:pPr>
        <w:ind w:left="288"/>
      </w:pPr>
      <w:r>
        <w:rPr>
          <w:color w:val="8C8C8C"/>
          <w:sz w:val="12"/>
        </w:rPr>
        <w:t>cf-art-109-inc-III</w:t>
      </w:r>
      <w:r>
        <w:rPr>
          <w:color w:val="003CA0"/>
          <w:sz w:val="12"/>
        </w:rPr>
        <w:t xml:space="preserve"> | RE 454.737</w:t>
      </w:r>
      <w:r>
        <w:rPr>
          <w:color w:val="003CA0"/>
          <w:sz w:val="12"/>
        </w:rPr>
        <w:t xml:space="preserve"> | rel. Cezar Peluso</w:t>
      </w:r>
    </w:p>
    <w:p>
      <w:pPr>
        <w:ind w:left="288"/>
      </w:pPr>
      <w:r>
        <w:rPr>
          <w:color w:val="1E1E1E"/>
          <w:sz w:val="18"/>
        </w:rPr>
        <w:t xml:space="preserve">= RE 454.737, rel. min. Cezar Peluso, j. 18-9-2008, P, DJE de 21-11-2008 Habeas corpus. Falsificação de documento público – certidão negativa de débito do INSS – e uso do mesmo junto a banco privado para renovação de financiamento. Falsificação que, por si só, configura infração penal praticada contra interesse da União. Competência da Justiça Federal. Ordem concedida. A jurisprudência desta Corte, para fixar a competência em casos semelhantes, analisa a questão sob a perspectiva do sujeito passivo do delito. Sendo o sujeito passivo o particular, consequentemente a competência será da Justiça </w:t>
      </w:r>
    </w:p>
    <w:p>
      <w:pPr>
        <w:ind w:left="288"/>
      </w:pPr>
      <w:r>
        <w:rPr>
          <w:b/>
          <w:color w:val="003CA0"/>
          <w:sz w:val="16"/>
        </w:rPr>
        <w:t>[HC 85.773, rel. min. Joaquim Barbosa, j. 17-10-2006, 2ª T, DJ de 27-4-2007.]</w:t>
      </w:r>
    </w:p>
    <w:p>
      <w:pPr>
        <w:ind w:left="288"/>
      </w:pPr>
      <w:r>
        <w:rPr>
          <w:color w:val="8C8C8C"/>
          <w:sz w:val="12"/>
        </w:rPr>
        <w:t>cf-art-109-inc-III</w:t>
      </w:r>
      <w:r>
        <w:rPr>
          <w:color w:val="003CA0"/>
          <w:sz w:val="12"/>
        </w:rPr>
        <w:t xml:space="preserve"> | RE 446.938</w:t>
      </w:r>
      <w:r>
        <w:rPr>
          <w:color w:val="003CA0"/>
          <w:sz w:val="12"/>
        </w:rPr>
        <w:t xml:space="preserve"> | rel. Marco Aurélio</w:t>
      </w:r>
    </w:p>
    <w:p>
      <w:pPr>
        <w:ind w:left="288"/>
      </w:pPr>
      <w:r>
        <w:rPr>
          <w:color w:val="1E1E1E"/>
          <w:sz w:val="18"/>
        </w:rPr>
        <w:t>= RE 446.938, rel. min. Marco Aurélio, j. 26-5-2009, 1ª T, DJE de 19-6-2009 = RE 560.944, rel. min. Ellen Gracie, j. 26-8-2008, 2ª T, DJE de 19-9-2008 Competência criminal. Conflito. Crime praticado por silvícolas, contra outro índio, no interior de reserva indígena. Disputa sobre direitos indígenas como motivação do delito. Inexistência. Feito da competência da Justiça comum. Recurso improvido. Votos vencidos. Precedentes. Exame. Inteligência do art. 109, IV e XI, da CF. A competência penal da Justiça Federal, objeto do alcance do disposto no art. 109, XI, da CF, só se desata quando a acusaçã</w:t>
      </w:r>
    </w:p>
    <w:p>
      <w:pPr>
        <w:ind w:left="288"/>
      </w:pPr>
      <w:r>
        <w:rPr>
          <w:b/>
          <w:color w:val="003CA0"/>
          <w:sz w:val="16"/>
        </w:rPr>
        <w:t>[RE 419.528, red; do ac. min. Cezar Peluso, j. 3-8-2006, P, DJ de 9-3-2007.]</w:t>
      </w:r>
    </w:p>
    <w:p>
      <w:pPr>
        <w:ind w:left="288"/>
      </w:pPr>
      <w:r>
        <w:rPr>
          <w:color w:val="8C8C8C"/>
          <w:sz w:val="12"/>
        </w:rPr>
        <w:t>cf-art-109-inc-III</w:t>
      </w:r>
      <w:r>
        <w:rPr>
          <w:color w:val="003CA0"/>
          <w:sz w:val="12"/>
        </w:rPr>
        <w:t xml:space="preserve"> | AI 794.447</w:t>
      </w:r>
      <w:r>
        <w:rPr>
          <w:color w:val="003CA0"/>
          <w:sz w:val="12"/>
        </w:rPr>
        <w:t xml:space="preserve"> | rel. Marco Aurélio</w:t>
      </w:r>
    </w:p>
    <w:p>
      <w:pPr>
        <w:ind w:left="288"/>
      </w:pPr>
      <w:r>
        <w:rPr>
          <w:color w:val="1E1E1E"/>
          <w:sz w:val="18"/>
        </w:rPr>
        <w:t>= AI 794.447 AgR, rel. min. Marco Aurélio, j. 24-9-2013, 1ª T, DJE de 21-11-2013 Habeas corpus. Impetração originária, perante o STF, por membro de primeira instância do MPDFT. Legitimidade ativa reconhecida. (...) O postulado do juiz natural como direito fundamental oponível ao Estado. Prerrogativa constitucional que assegura ao acusado o direito de ver-se processado e julgado perante órgão judiciário investido de competência para a apreciação do litígio penal. Reconhecimento de que a Justiça Federal é absolutamente competente para processar e julgar as causas que se refiram a práticas alegad</w:t>
      </w:r>
    </w:p>
    <w:p>
      <w:pPr>
        <w:ind w:left="288"/>
      </w:pPr>
      <w:r>
        <w:rPr>
          <w:b/>
          <w:color w:val="003CA0"/>
          <w:sz w:val="16"/>
        </w:rPr>
        <w:t>[HC 84.279, rel. min. Celso de Mello, j. 4-4-2006, 2ª T, DJE de 6-2-2014.]</w:t>
      </w:r>
    </w:p>
    <w:p>
      <w:pPr>
        <w:ind w:left="288"/>
      </w:pPr>
      <w:r>
        <w:rPr>
          <w:color w:val="8C8C8C"/>
          <w:sz w:val="12"/>
        </w:rPr>
        <w:t>cf-art-109-inc-III</w:t>
      </w:r>
      <w:r>
        <w:rPr>
          <w:color w:val="003CA0"/>
          <w:sz w:val="12"/>
        </w:rPr>
        <w:t xml:space="preserve"> | HC 84.103</w:t>
      </w:r>
      <w:r>
        <w:rPr>
          <w:color w:val="003CA0"/>
          <w:sz w:val="12"/>
        </w:rPr>
        <w:t xml:space="preserve"> | rel. Gilmar Mendes</w:t>
      </w:r>
    </w:p>
    <w:p>
      <w:pPr>
        <w:ind w:left="288"/>
      </w:pPr>
      <w:r>
        <w:rPr>
          <w:color w:val="1E1E1E"/>
          <w:sz w:val="18"/>
        </w:rPr>
        <w:t>Parcelamento irregular de terras da União. Competência. Justiça Federal. (...) Comprovado que a gleba pertence ao patrimônio da União, incide a regra prevista no art. 109, IV, da CF, sendo competência da Justiça Federal julgar e processar a ação penal proposta para apurar parcelamento irregular de terras. Precedentes do Pleno (HC 84.103).</w:t>
      </w:r>
    </w:p>
    <w:p>
      <w:pPr>
        <w:ind w:left="288"/>
      </w:pPr>
      <w:r>
        <w:rPr>
          <w:b/>
          <w:color w:val="003CA0"/>
          <w:sz w:val="16"/>
        </w:rPr>
        <w:t>[RHC 86.081, rel. min. Gilmar Mendes, j. 25-10-2005, 2ª T, DJ de 18-11-2005.]</w:t>
      </w:r>
    </w:p>
    <w:p>
      <w:pPr>
        <w:ind w:left="288"/>
      </w:pPr>
      <w:r>
        <w:rPr>
          <w:color w:val="8C8C8C"/>
          <w:sz w:val="12"/>
        </w:rPr>
        <w:t>cf-art-109-inc-III</w:t>
      </w:r>
      <w:r>
        <w:rPr>
          <w:color w:val="003CA0"/>
          <w:sz w:val="12"/>
        </w:rPr>
        <w:t xml:space="preserve"> | HC 84.533</w:t>
      </w:r>
      <w:r>
        <w:rPr>
          <w:color w:val="003CA0"/>
          <w:sz w:val="12"/>
        </w:rPr>
        <w:t xml:space="preserve"> | rel. Celso de Mello</w:t>
      </w:r>
    </w:p>
    <w:p>
      <w:pPr>
        <w:ind w:left="288"/>
      </w:pPr>
      <w:r>
        <w:rPr>
          <w:color w:val="1E1E1E"/>
          <w:sz w:val="18"/>
        </w:rPr>
        <w:t>O uso dos papéis falsificados, quando praticado pelo próprio autor da falsificação, configura post factum não punível, mero exaurimento do crimen falsi, respondendo o falsário, em tal hipótese, pelo delito de falsificação de documento público (CP, art. 297) ou, conforme o caso, pelo crime de falsificação de documento particular (CP, art. 298). Doutrina. Precedentes (STF). Reconhecimento, na espécie, da competência do Poder Judiciário local, eis que inocorrente, quanto ao delito de falsificação documental, qualquer das situações a que se refere o inciso IV do art. 109 da Constituição da Repúbli</w:t>
      </w:r>
    </w:p>
    <w:p>
      <w:pPr>
        <w:ind w:left="288"/>
      </w:pPr>
      <w:r>
        <w:rPr>
          <w:b/>
          <w:color w:val="003CA0"/>
          <w:sz w:val="16"/>
        </w:rPr>
        <w:t>[HC 84.533, rel. min. Celso de Mello, j. 14-9-2004, 2ª T, DJ de 30-6-2006.]</w:t>
      </w:r>
    </w:p>
    <w:p>
      <w:pPr>
        <w:ind w:left="288"/>
      </w:pPr>
      <w:r>
        <w:rPr>
          <w:color w:val="8C8C8C"/>
          <w:sz w:val="12"/>
        </w:rPr>
        <w:t>cf-art-109-inc-III</w:t>
      </w:r>
      <w:r>
        <w:rPr>
          <w:color w:val="003CA0"/>
          <w:sz w:val="12"/>
        </w:rPr>
        <w:t xml:space="preserve"> | HC 68.895</w:t>
      </w:r>
      <w:r>
        <w:rPr>
          <w:color w:val="003CA0"/>
          <w:sz w:val="12"/>
        </w:rPr>
        <w:t xml:space="preserve"> | rel. Sepúlveda Pertence</w:t>
      </w:r>
    </w:p>
    <w:p>
      <w:pPr>
        <w:ind w:left="288"/>
      </w:pPr>
      <w:r>
        <w:rPr>
          <w:color w:val="1E1E1E"/>
          <w:sz w:val="18"/>
        </w:rPr>
        <w:t>É da jurisprudência desta Corte que, em regra, os crimes praticados em detrimento da Caixa Econômica Federal, por ser esta empresa pública federal, devem ser processados e julgados pela Justiça Federal – CF, art. 109, IV (v.g., HC 68.895, Celso de Mello, Primeira Turma, DJ de 21-2-1992; 71.027, Ilmar Galvão, Primeira Turma, DJ de 9-9-1994; HC 70.541, Sydney Sanches, Primeira Turma, DJ de 18-3-1994), regra geral da qual o presente caso não constitui exceção.</w:t>
      </w:r>
    </w:p>
    <w:p>
      <w:pPr>
        <w:ind w:left="288"/>
      </w:pPr>
      <w:r>
        <w:rPr>
          <w:b/>
          <w:color w:val="003CA0"/>
          <w:sz w:val="16"/>
        </w:rPr>
        <w:t>[RE 332.597 AgR, rel. min. Sepúlveda Pertence, j. 20-4-2004, 1ª T, DJ de 28-5-2004.]</w:t>
      </w:r>
    </w:p>
    <w:p>
      <w:pPr>
        <w:ind w:left="288"/>
      </w:pPr>
      <w:r>
        <w:rPr>
          <w:color w:val="8C8C8C"/>
          <w:sz w:val="12"/>
        </w:rPr>
        <w:t>cf-art-109-inc-III</w:t>
      </w:r>
      <w:r>
        <w:rPr>
          <w:color w:val="003CA0"/>
          <w:sz w:val="12"/>
        </w:rPr>
        <w:t xml:space="preserve"> | RE 366.168</w:t>
      </w:r>
      <w:r>
        <w:rPr>
          <w:color w:val="003CA0"/>
          <w:sz w:val="12"/>
        </w:rPr>
        <w:t xml:space="preserve"> | rel. Sepúlveda Pertence</w:t>
      </w:r>
    </w:p>
    <w:p>
      <w:pPr>
        <w:ind w:left="288"/>
      </w:pPr>
      <w:r>
        <w:rPr>
          <w:color w:val="1E1E1E"/>
          <w:sz w:val="18"/>
        </w:rPr>
        <w:t>O Sebrae [Serviço Brasileiro de Apoio às Micro e Pequenas Empresas] não corresponde à noção constitucional de autarquia, que, para começar, há de ser criada por lei específica (CF, art. 37, XIX) e não na forma de sociedade civil, com personalidade de direito privado, como é o caso do recorrido. Por isso, o disposto no art. 20, f, da Lei 4.717/1965, Lei de Ação Popular (LAP), para não se chocar com a Constituição, há de ter o seu alcance reduzido: não transforma em autarquia as entidades de direito privado que recebam e apliquem contribuições parafiscais, mas, simplesmente, as inclui no rol daq</w:t>
      </w:r>
    </w:p>
    <w:p>
      <w:pPr>
        <w:ind w:left="288"/>
      </w:pPr>
      <w:r>
        <w:rPr>
          <w:b/>
          <w:color w:val="003CA0"/>
          <w:sz w:val="16"/>
        </w:rPr>
        <w:t>[RE 366.168, rel. min. Sepúlveda Pertence, j. 3-2-2004, 1ª T, DJ de 14-5-2004.]</w:t>
      </w:r>
    </w:p>
    <w:p>
      <w:pPr>
        <w:ind w:left="288"/>
      </w:pPr>
      <w:r>
        <w:rPr>
          <w:color w:val="8C8C8C"/>
          <w:sz w:val="12"/>
        </w:rPr>
        <w:t>cf-art-109-inc-III</w:t>
      </w:r>
      <w:r>
        <w:rPr>
          <w:color w:val="003CA0"/>
          <w:sz w:val="12"/>
        </w:rPr>
        <w:t xml:space="preserve"> | HC 83.113</w:t>
      </w:r>
      <w:r>
        <w:rPr>
          <w:color w:val="003CA0"/>
          <w:sz w:val="12"/>
        </w:rPr>
        <w:t xml:space="preserve"> | rel. Djaci Falcão</w:t>
      </w:r>
    </w:p>
    <w:p>
      <w:pPr>
        <w:ind w:left="288"/>
      </w:pPr>
      <w:r>
        <w:rPr>
          <w:color w:val="1E1E1E"/>
          <w:sz w:val="18"/>
        </w:rPr>
        <w:t xml:space="preserve">(...) a existência de obstáculo à extradição da ora paciente, por efeito de sua nacionalidade brasileira originária, não compromete a possibilidade, seja com fundamento no art. 7º, II, b, do CP brasileiro, seja com apoio no art. IV, n. 1, do Tratado de Extradição Brasil/Portugal, de aplicar-se, a fatos delituosos alegadamente cometidos no exterior, a cláusula da extraterritorialidade da lei penal brasileira (extraterritorialidade condicionada, no caso, à observância dos requisitos fixados no art. 7º, § 2º, do CP brasileiro), hipótese em que a competência penal, para os fins referidos, será do </w:t>
      </w:r>
    </w:p>
    <w:p>
      <w:pPr>
        <w:ind w:left="288"/>
      </w:pPr>
      <w:r>
        <w:rPr>
          <w:b/>
          <w:color w:val="003CA0"/>
          <w:sz w:val="16"/>
        </w:rPr>
        <w:t>[HC 83.113 QO, voto do rel. min. Celso de Mello, j. 26-6-2003, P, DJ de 29-8-2003.]</w:t>
      </w:r>
    </w:p>
    <w:p>
      <w:pPr>
        <w:ind w:left="288"/>
      </w:pPr>
      <w:r>
        <w:rPr>
          <w:color w:val="8C8C8C"/>
          <w:sz w:val="12"/>
        </w:rPr>
        <w:t>cf-art-109-inc-III</w:t>
      </w:r>
      <w:r>
        <w:rPr>
          <w:color w:val="003CA0"/>
          <w:sz w:val="12"/>
        </w:rPr>
        <w:t xml:space="preserve"> | HC 105.461</w:t>
      </w:r>
      <w:r>
        <w:rPr>
          <w:color w:val="003CA0"/>
          <w:sz w:val="12"/>
        </w:rPr>
        <w:t xml:space="preserve"> | rel. Marco Aurélio</w:t>
      </w:r>
    </w:p>
    <w:p>
      <w:pPr>
        <w:ind w:left="288"/>
      </w:pPr>
      <w:r>
        <w:rPr>
          <w:color w:val="1E1E1E"/>
          <w:sz w:val="18"/>
        </w:rPr>
        <w:t>Vide HC 105.461, rel. min. Marco Aurélio, j. 29-3-2016, 1ª T, DJE de 2-8-2016 Habeas corpus. Crime previsto no art. 46, parágrafo único, da Lei 9.605, de 1998 (Lei de Crimes Ambientais). Competência da Justiça comum. Denúncia oferecida pelo MPF perante a Justiça Federal com base em auto de infração expedido pelo Ibama. A atividade de fiscalização ambiental exercida pelo Ibama, ainda que relativa ao cumprimento do art. 46 da Lei de Crimes Ambientais, configura interesse genérico, mediato ou indireto da União, para os fins do art. 109, IV, da Constituição. A presença de interesse direto e especí</w:t>
      </w:r>
    </w:p>
    <w:p>
      <w:pPr>
        <w:ind w:left="288"/>
      </w:pPr>
      <w:r>
        <w:rPr>
          <w:b/>
          <w:color w:val="003CA0"/>
          <w:sz w:val="16"/>
        </w:rPr>
        <w:t>[HC 81.916, rel. min. Gilmar Mendes, j. 17-9-2002, 2ª T, DJ de 11-10-2002.]</w:t>
      </w:r>
    </w:p>
    <w:p>
      <w:pPr>
        <w:ind w:left="288"/>
      </w:pPr>
      <w:r>
        <w:rPr>
          <w:color w:val="8C8C8C"/>
          <w:sz w:val="12"/>
        </w:rPr>
        <w:t>cf-art-109-inc-III</w:t>
      </w:r>
      <w:r>
        <w:rPr>
          <w:color w:val="003CA0"/>
          <w:sz w:val="12"/>
        </w:rPr>
        <w:t xml:space="preserve"> | RE 598.524</w:t>
      </w:r>
      <w:r>
        <w:rPr>
          <w:color w:val="003CA0"/>
          <w:sz w:val="12"/>
        </w:rPr>
        <w:t xml:space="preserve"> | rel. Marco Aurélio</w:t>
      </w:r>
    </w:p>
    <w:p>
      <w:pPr>
        <w:ind w:left="288"/>
      </w:pPr>
      <w:r>
        <w:rPr>
          <w:color w:val="1E1E1E"/>
          <w:sz w:val="18"/>
        </w:rPr>
        <w:t>= RE 598.524 AgR, rel. min. Marco Aurélio, j. 21-6-2011, 1ª T, DJE de 17-8-2011 O tema relativo à incompetência da Justiça Federal para julgar os crimes de estelionato e falsidade de documentos, em detrimento de empresa pública federal, pode ser examinado de ofício, ante a possibilidade de ocorrer nulidade. O estelionato e a falsidade de documentos quando cometidos em detrimento de empresa pública federal são da competência da Justiça Federal. Precedentes. O silêncio da defesa, ante a declaração de prevenção do juiz federal para julgar referidos crimes, leva à preclusão da matéria.</w:t>
      </w:r>
    </w:p>
    <w:p>
      <w:pPr>
        <w:ind w:left="288"/>
      </w:pPr>
      <w:r>
        <w:rPr>
          <w:b/>
          <w:color w:val="003CA0"/>
          <w:sz w:val="16"/>
        </w:rPr>
        <w:t>[RHC 82.059, rel. min. Nelson Jobim, j. 3-9-2002, 2ª T, DJ de 25-10-2002.]</w:t>
      </w:r>
    </w:p>
    <w:p>
      <w:pPr>
        <w:ind w:left="288"/>
      </w:pPr>
      <w:r>
        <w:rPr>
          <w:color w:val="8C8C8C"/>
          <w:sz w:val="12"/>
        </w:rPr>
        <w:t>cf-art-109-inc-III</w:t>
      </w:r>
      <w:r>
        <w:rPr>
          <w:color w:val="003CA0"/>
          <w:sz w:val="12"/>
        </w:rPr>
        <w:t xml:space="preserve"> | HC 81.994</w:t>
      </w:r>
      <w:r>
        <w:rPr>
          <w:color w:val="003CA0"/>
          <w:sz w:val="12"/>
        </w:rPr>
        <w:t xml:space="preserve"> | rel. Ilmar Galvão</w:t>
      </w:r>
    </w:p>
    <w:p>
      <w:pPr>
        <w:ind w:left="288"/>
      </w:pPr>
      <w:r>
        <w:rPr>
          <w:color w:val="1E1E1E"/>
          <w:sz w:val="18"/>
        </w:rPr>
        <w:t>Hipótese em que a execução do convênio foi submetida à fiscalização do Ministério da Ação Social e do TCU, circunstância suficiente para demonstrar o interesse da União no bom e regular emprego dos recursos objeto do repasse e, consequentemente, o acerto da aplicação, ao caso, da norma constitucional de competência sob enfoque.</w:t>
      </w:r>
    </w:p>
    <w:p>
      <w:pPr>
        <w:ind w:left="288"/>
      </w:pPr>
      <w:r>
        <w:rPr>
          <w:b/>
          <w:color w:val="003CA0"/>
          <w:sz w:val="16"/>
        </w:rPr>
        <w:t>[HC 81.994, rel. min. Ilmar Galvão, j. 6-8-2002, 1ª T, DJ de 27-9-2002.]</w:t>
      </w:r>
    </w:p>
    <w:p>
      <w:pPr>
        <w:ind w:left="288"/>
      </w:pPr>
      <w:r>
        <w:rPr>
          <w:color w:val="8C8C8C"/>
          <w:sz w:val="12"/>
        </w:rPr>
        <w:t>cf-art-109-inc-III</w:t>
      </w:r>
      <w:r>
        <w:rPr>
          <w:color w:val="003CA0"/>
          <w:sz w:val="12"/>
        </w:rPr>
        <w:t xml:space="preserve"> | RHC 79.331</w:t>
      </w:r>
      <w:r>
        <w:rPr>
          <w:color w:val="003CA0"/>
          <w:sz w:val="12"/>
        </w:rPr>
        <w:t xml:space="preserve"> | rel. Celso de Mello</w:t>
      </w:r>
    </w:p>
    <w:p>
      <w:pPr>
        <w:ind w:left="288"/>
      </w:pPr>
      <w:r>
        <w:rPr>
          <w:color w:val="1E1E1E"/>
          <w:sz w:val="18"/>
        </w:rPr>
        <w:t>A competência penal da Justiça Federal comum, que possui extração constitucional, reveste-se de caráter absoluto, está sujeita a regime de direito estrito e apenas deixa de incidir naquelas hipóteses taxativamente indicadas no texto da própria Carta Política: (...) O comportamento delituoso de quem usa documento falso, em qualquer processo judiciário federal, faz instaurar situação de potencialidade danosa, apta a comprometer a integridade, a segurança, a confiabilidade, a regularidade e a legitimidade de um dos serviços essenciais mais importantes prestados pela União Federal: o serviço de ad</w:t>
      </w:r>
    </w:p>
    <w:p>
      <w:pPr>
        <w:ind w:left="288"/>
      </w:pPr>
      <w:r>
        <w:rPr>
          <w:b/>
          <w:color w:val="003CA0"/>
          <w:sz w:val="16"/>
        </w:rPr>
        <w:t>[RHC 79.331, rel. min. Celso de Mello, j. 24-8-1999, 2ª T, DJ de 29-10-1999.]</w:t>
      </w:r>
    </w:p>
    <w:p>
      <w:pPr>
        <w:ind w:left="288"/>
      </w:pPr>
      <w:r>
        <w:rPr>
          <w:color w:val="8C8C8C"/>
          <w:sz w:val="12"/>
        </w:rPr>
        <w:t>cf-art-109-inc-III</w:t>
      </w:r>
      <w:r>
        <w:rPr>
          <w:color w:val="003CA0"/>
          <w:sz w:val="12"/>
        </w:rPr>
        <w:t xml:space="preserve"> | EXT 700</w:t>
      </w:r>
      <w:r>
        <w:rPr>
          <w:color w:val="003CA0"/>
          <w:sz w:val="12"/>
        </w:rPr>
        <w:t xml:space="preserve"> | rel. Octavio Gallotti</w:t>
      </w:r>
    </w:p>
    <w:p>
      <w:pPr>
        <w:ind w:left="288"/>
      </w:pPr>
      <w:r>
        <w:rPr>
          <w:color w:val="1E1E1E"/>
          <w:sz w:val="18"/>
        </w:rPr>
        <w:t>Extraditando acusado de transmitir ao Iraque segredo de Estado do Governo requerente (República Federal da Alemanha), utilizável em projeto de desenvolvimento de armamento nuclear. Crime político puro, cujo conceito compreende não só o cometido contra a segurança interna, como o praticado contra a segurança externa do Estado, a caracterizarem, ambas as hipóteses, a excludente de concessão de extradição.</w:t>
      </w:r>
    </w:p>
    <w:p>
      <w:pPr>
        <w:ind w:left="288"/>
      </w:pPr>
      <w:r>
        <w:rPr>
          <w:b/>
          <w:color w:val="003CA0"/>
          <w:sz w:val="16"/>
        </w:rPr>
        <w:t>[Ext 700, rel. min. Octavio Gallotti, j. 4-3-1998, P, DJ de 5-11-1999.]</w:t>
      </w:r>
    </w:p>
    <w:p>
      <w:pPr>
        <w:ind w:left="288"/>
      </w:pPr>
      <w:r>
        <w:rPr>
          <w:color w:val="8C8C8C"/>
          <w:sz w:val="12"/>
        </w:rPr>
        <w:t>cf-art-109-inc-III</w:t>
      </w:r>
      <w:r>
        <w:rPr>
          <w:color w:val="003CA0"/>
          <w:sz w:val="12"/>
        </w:rPr>
        <w:t xml:space="preserve"> | RE 196.982</w:t>
      </w:r>
      <w:r>
        <w:rPr>
          <w:color w:val="003CA0"/>
          <w:sz w:val="12"/>
        </w:rPr>
        <w:t xml:space="preserve"> | rel. Néri da Silveira</w:t>
      </w:r>
    </w:p>
    <w:p>
      <w:pPr>
        <w:ind w:left="288"/>
      </w:pPr>
      <w:r>
        <w:rPr>
          <w:color w:val="1E1E1E"/>
          <w:sz w:val="18"/>
        </w:rPr>
        <w:t>A competência originária para o processo e julgamento de crime resultante de desvio, em repartição estadual, de recursos oriundos do SUS, é da Justiça Federal, a teor do art. 109, IV, da Constituição. Além do interesse inequívoco da União Federal, na espécie, em se cogitando de recursos repassados ao Estado, os crimes, no caso, são também em detrimento de serviços federais, pois a estes incumbe não só a distribuição dos recursos, mas ainda a supervisão de sua regular aplicação, inclusive com auditorias no plano dos Estados.</w:t>
      </w:r>
    </w:p>
    <w:p>
      <w:pPr>
        <w:ind w:left="288"/>
      </w:pPr>
      <w:r>
        <w:rPr>
          <w:b/>
          <w:color w:val="003CA0"/>
          <w:sz w:val="16"/>
        </w:rPr>
        <w:t>[RE 196.982, rel. min. Néri da Silveira, j. 20-2-1997, P, DJ de 27-6-1997.]</w:t>
      </w:r>
    </w:p>
    <w:p>
      <w:pPr>
        <w:ind w:left="288"/>
      </w:pPr>
      <w:r>
        <w:rPr>
          <w:color w:val="8C8C8C"/>
          <w:sz w:val="12"/>
        </w:rPr>
        <w:t>cf-art-109-inc-III</w:t>
      </w:r>
      <w:r>
        <w:rPr>
          <w:color w:val="003CA0"/>
          <w:sz w:val="12"/>
        </w:rPr>
        <w:t xml:space="preserve"> | RHC 98.564</w:t>
      </w:r>
      <w:r>
        <w:rPr>
          <w:color w:val="003CA0"/>
          <w:sz w:val="12"/>
        </w:rPr>
        <w:t xml:space="preserve"> | rel. Eros Grau</w:t>
      </w:r>
    </w:p>
    <w:p>
      <w:pPr>
        <w:ind w:left="288"/>
      </w:pPr>
      <w:r>
        <w:rPr>
          <w:color w:val="1E1E1E"/>
          <w:sz w:val="18"/>
        </w:rPr>
        <w:t>= RHC 98.564, rel. min. Eros Grau, j. 15-9-2009, 2ª T, DJE de 6-11-2009 Não havendo a Constituição definido o crime político, ao Supremo cabe, em face da conceituação da legislação ordinária vigente, dizer se os delitos pelos quais se pede a extradição, constituem infração de natureza política ou não, tendo em vista o sistema da principalidade ou da preponderância.</w:t>
      </w:r>
    </w:p>
    <w:p>
      <w:pPr>
        <w:ind w:left="288"/>
      </w:pPr>
      <w:r>
        <w:rPr>
          <w:b/>
          <w:color w:val="003CA0"/>
          <w:sz w:val="16"/>
        </w:rPr>
        <w:t>[Ext. 615, rel. min. Paulo Brossard, j. 19-10-1994, P, DJ de 5-12-1994.]</w:t>
      </w:r>
    </w:p>
    <w:p>
      <w:pPr>
        <w:ind w:left="288"/>
      </w:pPr>
      <w:r>
        <w:rPr>
          <w:color w:val="8C8C8C"/>
          <w:sz w:val="12"/>
        </w:rPr>
        <w:t>cf-art-109-inc-III</w:t>
      </w:r>
      <w:r>
        <w:rPr>
          <w:color w:val="003CA0"/>
          <w:sz w:val="12"/>
        </w:rPr>
        <w:t xml:space="preserve"> | RE 159.350</w:t>
      </w:r>
      <w:r>
        <w:rPr>
          <w:color w:val="003CA0"/>
          <w:sz w:val="12"/>
        </w:rPr>
        <w:t xml:space="preserve"> | rel. Paulo Brossard</w:t>
      </w:r>
    </w:p>
    <w:p>
      <w:pPr>
        <w:ind w:left="288"/>
      </w:pPr>
      <w:r>
        <w:rPr>
          <w:color w:val="1E1E1E"/>
          <w:sz w:val="18"/>
        </w:rPr>
        <w:t>Competência da Justiça Federal se cometido perante a Justiça do Trabalho – art. 109, IV, CF. O legislador ao incluir o crime de patrocínio infiel no capítulo dos Crimes Contra a Administração da Justiça deixou caracterizado o funcionamento regular da Justiça como o bem jurídico precipuamente custodiado, sem embargo, do bem particular também agredido. Se a suposta ação delituosa, por ter ocorrido em uma reclamação trabalhista, atingiu a Justiça do Trabalho, que é federal, à Justiça Federal cabe processar e julgar a referida ação penal.</w:t>
      </w:r>
    </w:p>
    <w:p>
      <w:pPr>
        <w:ind w:left="288"/>
      </w:pPr>
      <w:r>
        <w:rPr>
          <w:b/>
          <w:color w:val="003CA0"/>
          <w:sz w:val="16"/>
        </w:rPr>
        <w:t>[RE 159.350, rel. min. Paulo Brossard, j. 24-8-1993, 2ª T, DJ de 12-11-1993.]</w:t>
      </w:r>
    </w:p>
    <w:p>
      <w:pPr>
        <w:ind w:left="144"/>
      </w:pPr>
      <w:r>
        <w:rPr>
          <w:b/>
          <w:color w:val="B45A00"/>
          <w:sz w:val="16"/>
        </w:rPr>
        <w:t>SUMULA</w:t>
      </w:r>
    </w:p>
    <w:p>
      <w:pPr>
        <w:ind w:left="288"/>
      </w:pPr>
      <w:r>
        <w:rPr>
          <w:color w:val="8C8C8C"/>
          <w:sz w:val="12"/>
        </w:rPr>
        <w:t>cf-art-109-inc-V</w:t>
      </w:r>
    </w:p>
    <w:p>
      <w:pPr>
        <w:ind w:left="288"/>
      </w:pPr>
      <w:r>
        <w:rPr>
          <w:color w:val="1E1E1E"/>
          <w:sz w:val="18"/>
        </w:rPr>
        <w:t>Salvo ocorrência de tráfico com o exterior, quando, então, a competência será da Justiça Federal, compete à Justiça dos Estados o processo e o julgamento dos crimes relativos a entorpecentes.</w:t>
      </w:r>
    </w:p>
    <w:p>
      <w:pPr>
        <w:ind w:left="288"/>
      </w:pPr>
      <w:r>
        <w:rPr>
          <w:b/>
          <w:color w:val="003CA0"/>
          <w:sz w:val="16"/>
        </w:rPr>
        <w:t>[Súmula 522.]</w:t>
      </w:r>
    </w:p>
    <w:p>
      <w:pPr>
        <w:ind w:left="144"/>
      </w:pPr>
      <w:r>
        <w:rPr>
          <w:b/>
          <w:color w:val="B45A00"/>
          <w:sz w:val="16"/>
        </w:rPr>
        <w:t>REPERCUSSAO GERAL</w:t>
      </w:r>
    </w:p>
    <w:p>
      <w:pPr>
        <w:ind w:left="288"/>
      </w:pPr>
      <w:r>
        <w:rPr>
          <w:color w:val="8C8C8C"/>
          <w:sz w:val="12"/>
        </w:rPr>
        <w:t>cf-art-109-inc-V</w:t>
      </w:r>
      <w:r>
        <w:rPr>
          <w:color w:val="003CA0"/>
          <w:sz w:val="12"/>
        </w:rPr>
        <w:t xml:space="preserve"> | RE 702.362</w:t>
      </w:r>
      <w:r>
        <w:rPr>
          <w:color w:val="003CA0"/>
          <w:sz w:val="12"/>
        </w:rPr>
        <w:t xml:space="preserve"> | rel. Luiz Fux</w:t>
      </w:r>
    </w:p>
    <w:p>
      <w:pPr>
        <w:ind w:left="288"/>
      </w:pPr>
      <w:r>
        <w:rPr>
          <w:color w:val="1E1E1E"/>
          <w:sz w:val="18"/>
        </w:rPr>
        <w:t>“Compete à Justiça Federal processar e julgar o crime de violação de direito autoral de caráter transnacional”.</w:t>
        <w:br/>
        <w:t>[RE 702.362, rel. min. Luiz Fux, j. 19.12.2023, P, DJE de 15.03.2024, Tema 580, com mérito julgado.] Reconhecida a obscuridade apontada nos embargos, a tese referente ao Tema 393 da repercussão geral passa a ter a seguinte redação: Compete à Justiça Federal processar e julgar os crimes consistentes em disponibilizar ou adquirir material pornográfico, acessível transnacionalmente, envolvendo criança ou adolescente, quando praticados por meio da rede mundial de computadores (arts. 241,</w:t>
      </w:r>
    </w:p>
    <w:p>
      <w:pPr>
        <w:ind w:left="144"/>
      </w:pPr>
      <w:r>
        <w:rPr>
          <w:b/>
          <w:color w:val="B45A00"/>
          <w:sz w:val="16"/>
        </w:rPr>
        <w:t>JULGADOS CORRELATOS</w:t>
      </w:r>
    </w:p>
    <w:p>
      <w:pPr>
        <w:ind w:left="288"/>
      </w:pPr>
      <w:r>
        <w:rPr>
          <w:color w:val="8C8C8C"/>
          <w:sz w:val="12"/>
        </w:rPr>
        <w:t>cf-art-109-inc-V</w:t>
      </w:r>
      <w:r>
        <w:rPr>
          <w:color w:val="003CA0"/>
          <w:sz w:val="12"/>
        </w:rPr>
        <w:t xml:space="preserve"> | RE 626.510</w:t>
      </w:r>
      <w:r>
        <w:rPr>
          <w:color w:val="003CA0"/>
          <w:sz w:val="12"/>
        </w:rPr>
        <w:t xml:space="preserve"> | rel. Dias Toffoli</w:t>
      </w:r>
    </w:p>
    <w:p>
      <w:pPr>
        <w:ind w:left="288"/>
      </w:pPr>
      <w:r>
        <w:rPr>
          <w:color w:val="1E1E1E"/>
          <w:sz w:val="18"/>
        </w:rPr>
        <w:t>Divulgação e publicação de música com suposto conteúdo de preconceito racial por meio da rede mundial de computadores. Competência da Justiça Federal. Artigo 109, inciso V, da CF. (...) Nos crimes cometidos mediante divulgação ou publicação de dados proibidos por meio da rede mundial de computadores, o requisito da transnacionalidade do delito infere-se da própria potencialidade de abrangência de sítios virtuais de amplo acesso.</w:t>
      </w:r>
    </w:p>
    <w:p>
      <w:pPr>
        <w:ind w:left="288"/>
      </w:pPr>
      <w:r>
        <w:rPr>
          <w:b/>
          <w:color w:val="003CA0"/>
          <w:sz w:val="16"/>
        </w:rPr>
        <w:t>[RE 626.510-AgR-ED, rel. min. Dias Toffoli, j. 28-8-2018, 2ª T, DJE de 22-10-2018.]</w:t>
        <w:br/>
        <w:t>Vide RE 628.624, red. do ac. min. Edson Fachin, j. 29-10-2015, P, DJE de 6-4-2016, Tema 393, com mérito julgado</w:t>
        <w:br/>
        <w:t>Vide RE 628.624 ED, rel. min. Edson Fachin, j. 18-8-20</w:t>
      </w:r>
    </w:p>
    <w:p>
      <w:pPr>
        <w:ind w:left="288"/>
      </w:pPr>
      <w:r>
        <w:rPr>
          <w:color w:val="8C8C8C"/>
          <w:sz w:val="12"/>
        </w:rPr>
        <w:t>cf-art-109-inc-V</w:t>
      </w:r>
      <w:r>
        <w:rPr>
          <w:color w:val="003CA0"/>
          <w:sz w:val="12"/>
        </w:rPr>
        <w:t xml:space="preserve"> | HC 103.945</w:t>
      </w:r>
      <w:r>
        <w:rPr>
          <w:color w:val="003CA0"/>
          <w:sz w:val="12"/>
        </w:rPr>
        <w:t xml:space="preserve"> | rel. Dias Toffoli</w:t>
      </w:r>
    </w:p>
    <w:p>
      <w:pPr>
        <w:ind w:left="288"/>
      </w:pPr>
      <w:r>
        <w:rPr>
          <w:color w:val="1E1E1E"/>
          <w:sz w:val="18"/>
        </w:rPr>
        <w:t>Compete à Justiça Federal o julgamento dos crimes de tráfico internacional de drogas. Entretanto, nem o simples fato de alguns corréus serem estrangeiros nem a eventual origem externa da droga são motivos suficientes para o deslocamento da competência para a Justiça Federal.</w:t>
      </w:r>
    </w:p>
    <w:p>
      <w:pPr>
        <w:ind w:left="288"/>
      </w:pPr>
      <w:r>
        <w:rPr>
          <w:b/>
          <w:color w:val="003CA0"/>
          <w:sz w:val="16"/>
        </w:rPr>
        <w:t>[HC 103.945, rel. min. Dias Toffoli, j. 26-4-2011, 1ª T, DJE de 6-6-2011.]</w:t>
      </w:r>
    </w:p>
    <w:p>
      <w:pPr>
        <w:ind w:left="288"/>
      </w:pPr>
      <w:r>
        <w:rPr>
          <w:color w:val="8C8C8C"/>
          <w:sz w:val="12"/>
        </w:rPr>
        <w:t>cf-art-109-inc-V</w:t>
      </w:r>
      <w:r>
        <w:rPr>
          <w:color w:val="003CA0"/>
          <w:sz w:val="12"/>
        </w:rPr>
        <w:t xml:space="preserve"> | HC 102.497</w:t>
      </w:r>
      <w:r>
        <w:rPr>
          <w:color w:val="003CA0"/>
          <w:sz w:val="12"/>
        </w:rPr>
        <w:t xml:space="preserve"> | rel. Ayres Britto</w:t>
      </w:r>
    </w:p>
    <w:p>
      <w:pPr>
        <w:ind w:left="288"/>
      </w:pPr>
      <w:r>
        <w:rPr>
          <w:color w:val="1E1E1E"/>
          <w:sz w:val="18"/>
        </w:rPr>
        <w:t xml:space="preserve">Os autos revelam a presença de fortes indícios quanto à destinação do entorpecente apreendido em poder do paciente. Isso porque as "circunstâncias da abordagem do acusado, o bilhete de passagem aérea emitido em nome de (...), com destino a Lima, no Peru, encontrado em sua mala, juntamente com o entorpecente, bem com as declarações por ele prestadas, no sentido de que estivera recentemente no exterior e que novamente iria viajar para o estrangeiro, constituem indícios da internacionalidade do delito de tráfico de entorpecentes, a fixar a competência da Justiça Federal para processar e julgar o </w:t>
      </w:r>
    </w:p>
    <w:p>
      <w:pPr>
        <w:ind w:left="288"/>
      </w:pPr>
      <w:r>
        <w:rPr>
          <w:b/>
          <w:color w:val="003CA0"/>
          <w:sz w:val="16"/>
        </w:rPr>
        <w:t>[HC 102.497, rel. min. Ayres Britto, j. 10-8-2010, 1ª T, DJE de 10-9-2010.]</w:t>
      </w:r>
    </w:p>
    <w:p>
      <w:pPr>
        <w:ind w:left="288"/>
      </w:pPr>
      <w:r>
        <w:rPr>
          <w:color w:val="8C8C8C"/>
          <w:sz w:val="12"/>
        </w:rPr>
        <w:t>cf-art-109-inc-V</w:t>
      </w:r>
      <w:r>
        <w:rPr>
          <w:color w:val="003CA0"/>
          <w:sz w:val="12"/>
        </w:rPr>
        <w:t xml:space="preserve"> | HC 89.437</w:t>
      </w:r>
      <w:r>
        <w:rPr>
          <w:color w:val="003CA0"/>
          <w:sz w:val="12"/>
        </w:rPr>
        <w:t xml:space="preserve"> | rel. Ricardo Lewandowski</w:t>
      </w:r>
    </w:p>
    <w:p>
      <w:pPr>
        <w:ind w:left="288"/>
      </w:pPr>
      <w:r>
        <w:rPr>
          <w:color w:val="1E1E1E"/>
          <w:sz w:val="18"/>
        </w:rPr>
        <w:t>Evidenciado o caráter internacional do tráfico de drogas e identificada a conexão dos crimes, compete à Justiça Federal o processamento e julgamento dos feitos.</w:t>
      </w:r>
    </w:p>
    <w:p>
      <w:pPr>
        <w:ind w:left="288"/>
      </w:pPr>
      <w:r>
        <w:rPr>
          <w:b/>
          <w:color w:val="003CA0"/>
          <w:sz w:val="16"/>
        </w:rPr>
        <w:t>[HC 89.437, rel. min. Ricardo Lewandowski, j. 5-6-2007, 1ª T, DJ de 22-6-2007.]</w:t>
      </w:r>
    </w:p>
    <w:p>
      <w:pPr>
        <w:ind w:left="288"/>
      </w:pPr>
      <w:r>
        <w:rPr>
          <w:color w:val="8C8C8C"/>
          <w:sz w:val="12"/>
        </w:rPr>
        <w:t>cf-art-109-inc-V</w:t>
      </w:r>
      <w:r>
        <w:rPr>
          <w:color w:val="003CA0"/>
          <w:sz w:val="12"/>
        </w:rPr>
        <w:t xml:space="preserve"> | HC 86.289</w:t>
      </w:r>
      <w:r>
        <w:rPr>
          <w:color w:val="003CA0"/>
          <w:sz w:val="12"/>
        </w:rPr>
        <w:t xml:space="preserve"> | rel. Ricardo Lewandowski</w:t>
      </w:r>
    </w:p>
    <w:p>
      <w:pPr>
        <w:ind w:left="288"/>
      </w:pPr>
      <w:r>
        <w:rPr>
          <w:color w:val="1E1E1E"/>
          <w:sz w:val="18"/>
        </w:rPr>
        <w:t>Compete à Justiça Federal processar e julgar os crimes cuja consumação se deu em território estrangeiro (art. 109, V, CF). O crime tipificado no art. 241 do ECA, consubstanciado na divulgação ou publicação, pela internet, de fotografias pornográficas ou de cenas de sexo explícito envolvendo crianças ou adolescentes, cujo acesso se deu além das fronteiras nacionais, atrai a competência da Justiça Federal para o seu processamento e julgamento.</w:t>
      </w:r>
    </w:p>
    <w:p>
      <w:pPr>
        <w:ind w:left="288"/>
      </w:pPr>
      <w:r>
        <w:rPr>
          <w:b/>
          <w:color w:val="003CA0"/>
          <w:sz w:val="16"/>
        </w:rPr>
        <w:t>[HC 86.289, rel. min. Ricardo Lewandowski, j. 6-6-2006, 1ª T, DJ de 20-10-2006.]</w:t>
      </w:r>
    </w:p>
    <w:p>
      <w:pPr>
        <w:ind w:left="288"/>
      </w:pPr>
      <w:r>
        <w:rPr>
          <w:color w:val="8C8C8C"/>
          <w:sz w:val="12"/>
        </w:rPr>
        <w:t>cf-art-109-inc-V</w:t>
      </w:r>
      <w:r>
        <w:rPr>
          <w:color w:val="003CA0"/>
          <w:sz w:val="12"/>
        </w:rPr>
        <w:t xml:space="preserve"> | rel. Marco Aurélio</w:t>
      </w:r>
    </w:p>
    <w:p>
      <w:pPr>
        <w:ind w:left="288"/>
      </w:pPr>
      <w:r>
        <w:rPr>
          <w:color w:val="1E1E1E"/>
          <w:sz w:val="18"/>
        </w:rPr>
        <w:t>Na dicção da ilustrada maioria, entendimento em relação ao qual divergi, na companhia do ministro Ilmar Galvão, estando ausente, na ocasião, justificadamente, o min. Celso de Mello, compete ao STJ, e não ao STF, dirimir o conflito, enquanto não envolvido o STM. (...) A competência para dirimir o conflito é do STF, ante o fato de, em curso as ações penais alicerçadas nos mesmos dados, o STM haver conhecido e indeferido habeas corpus, versando sobre a custódia, impetrado contra ato do juízo da circunscrição militar. (...) A ressalva constitucional da competência da Jurisdição Especializada Milit</w:t>
      </w:r>
    </w:p>
    <w:p>
      <w:pPr>
        <w:ind w:left="288"/>
      </w:pPr>
      <w:r>
        <w:rPr>
          <w:b/>
          <w:color w:val="003CA0"/>
          <w:sz w:val="16"/>
        </w:rPr>
        <w:t>[CC 7.087, rel. min. Marco Aurélio, j. 3-5-2000, P, DJ de 31-8-2001.]</w:t>
      </w:r>
    </w:p>
    <w:p>
      <w:pPr>
        <w:ind w:left="288"/>
      </w:pPr>
      <w:r>
        <w:rPr>
          <w:color w:val="8C8C8C"/>
          <w:sz w:val="12"/>
        </w:rPr>
        <w:t>cf-art-109-inc-V</w:t>
      </w:r>
      <w:r>
        <w:rPr>
          <w:color w:val="003CA0"/>
          <w:sz w:val="12"/>
        </w:rPr>
        <w:t xml:space="preserve"> | HC 76.288</w:t>
      </w:r>
      <w:r>
        <w:rPr>
          <w:color w:val="003CA0"/>
          <w:sz w:val="12"/>
        </w:rPr>
        <w:t xml:space="preserve"> | rel. Sepúlveda Pertence</w:t>
      </w:r>
    </w:p>
    <w:p>
      <w:pPr>
        <w:ind w:left="288"/>
      </w:pPr>
      <w:r>
        <w:rPr>
          <w:color w:val="1E1E1E"/>
          <w:sz w:val="18"/>
        </w:rPr>
        <w:t>Na linha da orientação firmada no CJ 4.067, da qual proveio a Súmula 522 e o vigente art. 109, V, CF, ao caráter internacional do tráfico de entorpecentes, a ditar a competência da Justiça Federal, não é necessário que à circunstância objetiva de estender-se o fato, na sua prática ou em função dos resultados reais ou pretendidos, a mais de um país, se some a cooperação de agentes situados em territórios nacionais diversos.</w:t>
      </w:r>
    </w:p>
    <w:p>
      <w:pPr>
        <w:ind w:left="288"/>
      </w:pPr>
      <w:r>
        <w:rPr>
          <w:b/>
          <w:color w:val="003CA0"/>
          <w:sz w:val="16"/>
        </w:rPr>
        <w:t>[HC 76.288, rel. min. Sepúlveda Pertence, j. 2-12-1997, 1ª T, DJ de 6-2-1998.]</w:t>
      </w:r>
    </w:p>
    <w:p>
      <w:pPr>
        <w:ind w:left="288"/>
      </w:pPr>
      <w:r>
        <w:rPr>
          <w:color w:val="8C8C8C"/>
          <w:sz w:val="12"/>
        </w:rPr>
        <w:t>cf-art-109-inc-V</w:t>
      </w:r>
      <w:r>
        <w:rPr>
          <w:color w:val="003CA0"/>
          <w:sz w:val="12"/>
        </w:rPr>
        <w:t xml:space="preserve"> | HC 74.479</w:t>
      </w:r>
      <w:r>
        <w:rPr>
          <w:color w:val="003CA0"/>
          <w:sz w:val="12"/>
        </w:rPr>
        <w:t xml:space="preserve"> | rel. Carlos Velloso</w:t>
      </w:r>
    </w:p>
    <w:p>
      <w:pPr>
        <w:ind w:left="288"/>
      </w:pPr>
      <w:r>
        <w:rPr>
          <w:color w:val="1E1E1E"/>
          <w:sz w:val="18"/>
        </w:rPr>
        <w:t>Tráfico de entorpecentes. Tráfico interno. Lei 6.368/1976, art. 12. Competência. Súmula 522/STF. Tráfico interno de entorpecentes: competência da Justiça comum estadual.</w:t>
      </w:r>
    </w:p>
    <w:p>
      <w:pPr>
        <w:ind w:left="288"/>
      </w:pPr>
      <w:r>
        <w:rPr>
          <w:b/>
          <w:color w:val="003CA0"/>
          <w:sz w:val="16"/>
        </w:rPr>
        <w:t>[HC 74.479, rel. min. Carlos Velloso, j. 13-12-1996, 2ª T, DJ de 28-2-1997.]</w:t>
      </w:r>
    </w:p>
    <w:p>
      <w:pPr>
        <w:ind w:left="144"/>
      </w:pPr>
      <w:r>
        <w:rPr>
          <w:b/>
          <w:color w:val="B45A00"/>
          <w:sz w:val="16"/>
        </w:rPr>
        <w:t>CONTROLE CONCENTRADO</w:t>
      </w:r>
    </w:p>
    <w:p>
      <w:pPr>
        <w:ind w:left="288"/>
      </w:pPr>
      <w:r>
        <w:rPr>
          <w:color w:val="8C8C8C"/>
          <w:sz w:val="12"/>
        </w:rPr>
        <w:t>cf-art-109-inc-V</w:t>
      </w:r>
      <w:r>
        <w:rPr>
          <w:color w:val="003CA0"/>
          <w:sz w:val="12"/>
        </w:rPr>
        <w:t xml:space="preserve"> | ADI 3.486</w:t>
      </w:r>
      <w:r>
        <w:rPr>
          <w:color w:val="003CA0"/>
          <w:sz w:val="12"/>
        </w:rPr>
        <w:t xml:space="preserve"> | rel. Dias Toffoli</w:t>
      </w:r>
    </w:p>
    <w:p>
      <w:pPr>
        <w:ind w:left="288"/>
      </w:pPr>
      <w:r>
        <w:rPr>
          <w:color w:val="1E1E1E"/>
          <w:sz w:val="18"/>
        </w:rPr>
        <w:t>Artigo 1º da Emenda Constitucional nº 45/04. Inserção do inciso V-A e do § 5º ao art. 109 da Constituição Federal. Incidente de deslocamento de competência. (...) A fórmula escolhida pelo poder reformador para o transporte à Justiça Federal dos feitos em que haja violação grave dos direitos humanos foi o incidente de deslocamento, e não a previsão de uma competência geral e aberta. A criação do instituto representa a adoção de mecanismo de equacionamento jurídico da problemática da ineficiência do aparato estatal de repressão às graves violações dos direitos humanos, tendo presente, especialme</w:t>
      </w:r>
    </w:p>
    <w:p>
      <w:pPr>
        <w:ind w:left="144"/>
      </w:pPr>
      <w:r>
        <w:rPr>
          <w:b/>
          <w:color w:val="B45A00"/>
          <w:sz w:val="16"/>
        </w:rPr>
        <w:t>JULGADOS CORRELATOS</w:t>
      </w:r>
    </w:p>
    <w:p>
      <w:pPr>
        <w:ind w:left="288"/>
      </w:pPr>
      <w:r>
        <w:rPr>
          <w:color w:val="8C8C8C"/>
          <w:sz w:val="12"/>
        </w:rPr>
        <w:t>cf-art-109-inc-VI</w:t>
      </w:r>
      <w:r>
        <w:rPr>
          <w:color w:val="003CA0"/>
          <w:sz w:val="12"/>
        </w:rPr>
        <w:t xml:space="preserve"> | RE 599.943</w:t>
      </w:r>
      <w:r>
        <w:rPr>
          <w:color w:val="003CA0"/>
          <w:sz w:val="12"/>
        </w:rPr>
        <w:t xml:space="preserve"> | rel. Cármen Lúcia</w:t>
      </w:r>
    </w:p>
    <w:p>
      <w:pPr>
        <w:ind w:left="288"/>
      </w:pPr>
      <w:r>
        <w:rPr>
          <w:color w:val="1E1E1E"/>
          <w:sz w:val="18"/>
        </w:rPr>
        <w:t>Delitos de greve e crimes contra a organização do trabalho (arts. 197 a 207 do CP) que causem prejuízo à ordem pública, econômica ou social e ao trabalho coletivo: competência da Justiça Federal.</w:t>
      </w:r>
    </w:p>
    <w:p>
      <w:pPr>
        <w:ind w:left="288"/>
      </w:pPr>
      <w:r>
        <w:rPr>
          <w:b/>
          <w:color w:val="003CA0"/>
          <w:sz w:val="16"/>
        </w:rPr>
        <w:t>[RE 599.943 AgR, rel. min. Cármen Lúcia, j. 2-12-2010, 2ª T, DJE de 1º-2-2011.]</w:t>
      </w:r>
    </w:p>
    <w:p>
      <w:pPr>
        <w:ind w:left="288"/>
      </w:pPr>
      <w:r>
        <w:rPr>
          <w:color w:val="8C8C8C"/>
          <w:sz w:val="12"/>
        </w:rPr>
        <w:t>cf-art-109-inc-VI</w:t>
      </w:r>
      <w:r>
        <w:rPr>
          <w:color w:val="003CA0"/>
          <w:sz w:val="12"/>
        </w:rPr>
        <w:t xml:space="preserve"> | RE 511.849</w:t>
      </w:r>
      <w:r>
        <w:rPr>
          <w:color w:val="003CA0"/>
          <w:sz w:val="12"/>
        </w:rPr>
        <w:t xml:space="preserve"> | rel. Roberto Barroso</w:t>
      </w:r>
    </w:p>
    <w:p>
      <w:pPr>
        <w:ind w:left="288"/>
      </w:pPr>
      <w:r>
        <w:rPr>
          <w:color w:val="1E1E1E"/>
          <w:sz w:val="18"/>
        </w:rPr>
        <w:t>= RE 511.849 AgR, rel. min. Roberto Barroso, j. 4-2-2014, 1ª T, DJE de 20-2-2014 Crimes contra o Sistema Financeiro Nacional praticados em Curitiba/PR e São Paulo. Definição da competência entre a Justiça Federal de Curitiba/PR e a Justiça Federal de São Paulo. Crime de gestão fraudulenta de instituição financeira (...), praticado em São Paulo, para o qual a pena é maior que as cominadas aos demais delitos. Definição da competência pelo critério qualitativo (...). Competência da Justiça Federal de São Paulo.</w:t>
      </w:r>
    </w:p>
    <w:p>
      <w:pPr>
        <w:ind w:left="288"/>
      </w:pPr>
      <w:r>
        <w:rPr>
          <w:b/>
          <w:color w:val="003CA0"/>
          <w:sz w:val="16"/>
        </w:rPr>
        <w:t>[HC 85.796, rel. min. Eros Grau, j. 4-8-2009, 2ª T, DJE de 29-10-2009.]</w:t>
      </w:r>
    </w:p>
    <w:p>
      <w:pPr>
        <w:ind w:left="288"/>
      </w:pPr>
      <w:r>
        <w:rPr>
          <w:color w:val="8C8C8C"/>
          <w:sz w:val="12"/>
        </w:rPr>
        <w:t>cf-art-109-inc-VI</w:t>
      </w:r>
      <w:r>
        <w:rPr>
          <w:color w:val="003CA0"/>
          <w:sz w:val="12"/>
        </w:rPr>
        <w:t xml:space="preserve"> | RE 588.332</w:t>
      </w:r>
      <w:r>
        <w:rPr>
          <w:color w:val="003CA0"/>
          <w:sz w:val="12"/>
        </w:rPr>
        <w:t xml:space="preserve"> | rel. Ellen Gracie</w:t>
      </w:r>
    </w:p>
    <w:p>
      <w:pPr>
        <w:ind w:left="288"/>
      </w:pPr>
      <w:r>
        <w:rPr>
          <w:color w:val="1E1E1E"/>
          <w:sz w:val="18"/>
        </w:rPr>
        <w:t>O fato, por si só, de a lesão corporal descrita na denúncia ser decorrente de acidente de trabalho não é suficiente para transferir para a Justiça Federal o processamento e julgamento da ação penal. Não se pode considerar o delito descrito na denúncia como sendo crime contra a organização do trabalho, visto que esta espécie delitiva somente se configura quando há ofensa ao sistema de órgãos e instituições destinados a preservar coletivamente o trabalho.</w:t>
      </w:r>
    </w:p>
    <w:p>
      <w:pPr>
        <w:ind w:left="288"/>
      </w:pPr>
      <w:r>
        <w:rPr>
          <w:b/>
          <w:color w:val="003CA0"/>
          <w:sz w:val="16"/>
        </w:rPr>
        <w:t>[RE 588.332, rel. min. Ellen Gracie, j. 31-3-2009, 2ª T, DJE de 24-4-2009.]</w:t>
      </w:r>
    </w:p>
    <w:p>
      <w:pPr>
        <w:ind w:left="144"/>
      </w:pPr>
      <w:r>
        <w:rPr>
          <w:b/>
          <w:color w:val="B45A00"/>
          <w:sz w:val="16"/>
        </w:rPr>
        <w:t>REPERCUSSAO GERAL</w:t>
      </w:r>
    </w:p>
    <w:p>
      <w:pPr>
        <w:ind w:left="288"/>
      </w:pPr>
      <w:r>
        <w:rPr>
          <w:color w:val="8C8C8C"/>
          <w:sz w:val="12"/>
        </w:rPr>
        <w:t>cf-art-109-inc-VI</w:t>
      </w:r>
      <w:r>
        <w:rPr>
          <w:color w:val="003CA0"/>
          <w:sz w:val="12"/>
        </w:rPr>
        <w:t xml:space="preserve"> | RE 511.853</w:t>
      </w:r>
      <w:r>
        <w:rPr>
          <w:color w:val="003CA0"/>
          <w:sz w:val="12"/>
        </w:rPr>
        <w:t xml:space="preserve"> | rel. Ellen Gracie</w:t>
      </w:r>
    </w:p>
    <w:p>
      <w:pPr>
        <w:ind w:left="288"/>
      </w:pPr>
      <w:r>
        <w:rPr>
          <w:b/>
          <w:color w:val="003CA0"/>
          <w:sz w:val="16"/>
        </w:rPr>
        <w:t>[RE 511.853 AgR, rel. min. Ellen Gracie, j. 14-10-2008, 2ª T, DJE de 14-11-2008.]</w:t>
      </w:r>
    </w:p>
    <w:p>
      <w:pPr>
        <w:ind w:left="288"/>
      </w:pPr>
      <w:r>
        <w:rPr>
          <w:color w:val="8C8C8C"/>
          <w:sz w:val="12"/>
        </w:rPr>
        <w:t>cf-art-109-inc-VI</w:t>
      </w:r>
      <w:r>
        <w:rPr>
          <w:color w:val="003CA0"/>
          <w:sz w:val="12"/>
        </w:rPr>
        <w:t xml:space="preserve"> | RHC 90.532</w:t>
      </w:r>
      <w:r>
        <w:rPr>
          <w:color w:val="003CA0"/>
          <w:sz w:val="12"/>
        </w:rPr>
        <w:t xml:space="preserve"> | rel. Joaquim Barbosa</w:t>
      </w:r>
    </w:p>
    <w:p>
      <w:pPr>
        <w:ind w:left="288"/>
      </w:pPr>
      <w:r>
        <w:rPr>
          <w:color w:val="1E1E1E"/>
          <w:sz w:val="18"/>
        </w:rPr>
        <w:t>Entendimento do STF, ademais, no sentido de que os crimes contra a organização do trabalho são da competência da Justiça Federal.</w:t>
      </w:r>
    </w:p>
    <w:p>
      <w:pPr>
        <w:ind w:left="288"/>
      </w:pPr>
      <w:r>
        <w:rPr>
          <w:b/>
          <w:color w:val="003CA0"/>
          <w:sz w:val="16"/>
        </w:rPr>
        <w:t>[RHC 90.532, rel. min. Joaquim Barbosa, j. 1º-7-2008, P, DJE de 15-5-2009.]</w:t>
      </w:r>
    </w:p>
    <w:p>
      <w:pPr>
        <w:ind w:left="288"/>
      </w:pPr>
      <w:r>
        <w:rPr>
          <w:color w:val="8C8C8C"/>
          <w:sz w:val="12"/>
        </w:rPr>
        <w:t>cf-art-109-inc-VI</w:t>
      </w:r>
      <w:r>
        <w:rPr>
          <w:color w:val="003CA0"/>
          <w:sz w:val="12"/>
        </w:rPr>
        <w:t xml:space="preserve"> | RE 166.943</w:t>
      </w:r>
      <w:r>
        <w:rPr>
          <w:color w:val="003CA0"/>
          <w:sz w:val="12"/>
        </w:rPr>
        <w:t xml:space="preserve"> | rel. Sepúlveda Pertence</w:t>
      </w:r>
    </w:p>
    <w:p>
      <w:pPr>
        <w:ind w:left="288"/>
      </w:pPr>
      <w:r>
        <w:rPr>
          <w:color w:val="1E1E1E"/>
          <w:sz w:val="18"/>
        </w:rPr>
        <w:t>Competência: Justiça estadual: processo por crime contra a ordem econômica previsto no art. 1º da Lei 8.176/1991 (venda de combustível adulterado); inexistência de lesão à atividade de fiscalização atribuída à Agência Nacional do Petróleo (ANP) e, portanto, ausente interesse direto e específico da União: não incidência do art. 109, IV, da CF. Regra geral, os crimes contra a ordem econômica são da competência da Justiça comum, e, no caso, como a Lei 8.176/1991 não especifica a competência para o processo e julgamento do fato que o recorrido supostamente teria praticado, não há se cogitar de inc</w:t>
      </w:r>
    </w:p>
    <w:p>
      <w:pPr>
        <w:ind w:left="288"/>
      </w:pPr>
      <w:r>
        <w:rPr>
          <w:b/>
          <w:color w:val="003CA0"/>
          <w:sz w:val="16"/>
        </w:rPr>
        <w:t>[RE 502.915, rel. min. Sepúlveda Pertence, j. 13-2-2007, 1ª T, DJ de 27-4-2007.]</w:t>
      </w:r>
    </w:p>
    <w:p>
      <w:pPr>
        <w:ind w:left="288"/>
      </w:pPr>
      <w:r>
        <w:rPr>
          <w:color w:val="8C8C8C"/>
          <w:sz w:val="12"/>
        </w:rPr>
        <w:t>cf-art-109-inc-VI</w:t>
      </w:r>
      <w:r>
        <w:rPr>
          <w:color w:val="003CA0"/>
          <w:sz w:val="12"/>
        </w:rPr>
        <w:t xml:space="preserve"> | RE 454.737</w:t>
      </w:r>
      <w:r>
        <w:rPr>
          <w:color w:val="003CA0"/>
          <w:sz w:val="12"/>
        </w:rPr>
        <w:t xml:space="preserve"> | rel. Cezar Peluso</w:t>
      </w:r>
    </w:p>
    <w:p>
      <w:pPr>
        <w:ind w:left="288"/>
      </w:pPr>
      <w:r>
        <w:rPr>
          <w:color w:val="1E1E1E"/>
          <w:sz w:val="18"/>
        </w:rPr>
        <w:t>= RE 454.737, rel. min. Cezar Peluso, j. 18-9-2008, P, DJE de 21-11-2008 A existência de trabalhadores a laborar sob escolta, alguns acorrentados, em situação de total violação da liberdade e da autodeterminação de cada um, configura crime contra a organização do trabalho. Quaisquer condutas que possam ser tidas como violadoras não somente do sistema de órgãos e instituições com atribuições para proteger os direitos e deveres dos trabalhadores, mas também dos próprios trabalhadores, atingindo-os em esferas que lhes são mais caras, em que a Constituição lhes confere proteção máxima, são enquadr</w:t>
      </w:r>
    </w:p>
    <w:p>
      <w:pPr>
        <w:ind w:left="288"/>
      </w:pPr>
      <w:r>
        <w:rPr>
          <w:b/>
          <w:color w:val="003CA0"/>
          <w:sz w:val="16"/>
        </w:rPr>
        <w:t>[RE 398.041, rel. min. Joaquim Barbosa, j. 30-11-2006, P, DJE de 19-12-2008.]</w:t>
      </w:r>
    </w:p>
    <w:p>
      <w:pPr>
        <w:ind w:left="288"/>
      </w:pPr>
      <w:r>
        <w:rPr>
          <w:color w:val="8C8C8C"/>
          <w:sz w:val="12"/>
        </w:rPr>
        <w:t>cf-art-109-inc-VI</w:t>
      </w:r>
      <w:r>
        <w:rPr>
          <w:color w:val="003CA0"/>
          <w:sz w:val="12"/>
        </w:rPr>
        <w:t xml:space="preserve"> | RE 459.510</w:t>
      </w:r>
      <w:r>
        <w:rPr>
          <w:color w:val="003CA0"/>
          <w:sz w:val="12"/>
        </w:rPr>
        <w:t xml:space="preserve"> | rel. Marco Aurélio</w:t>
      </w:r>
    </w:p>
    <w:p>
      <w:pPr>
        <w:ind w:left="288"/>
      </w:pPr>
      <w:r>
        <w:rPr>
          <w:color w:val="1E1E1E"/>
          <w:sz w:val="18"/>
        </w:rPr>
        <w:t>= RE 459.510, red. do ac. min. Dias Toffoli, j. 26-11-2015, P, DJE de 12-4-2016 = RE 525.203 AgR, rel. min. Marco Aurélio, j. 18-4-2012, dec. monocrática, DJE de 7-5-2012</w:t>
      </w:r>
    </w:p>
    <w:p>
      <w:pPr>
        <w:ind w:left="288"/>
      </w:pPr>
      <w:r>
        <w:rPr>
          <w:color w:val="8C8C8C"/>
          <w:sz w:val="12"/>
        </w:rPr>
        <w:t>cf-art-109-inc-VII</w:t>
      </w:r>
      <w:r>
        <w:rPr>
          <w:color w:val="003CA0"/>
          <w:sz w:val="12"/>
        </w:rPr>
        <w:t xml:space="preserve"> | ARE 1.547.351</w:t>
      </w:r>
      <w:r>
        <w:rPr>
          <w:color w:val="003CA0"/>
          <w:sz w:val="12"/>
        </w:rPr>
        <w:t xml:space="preserve"> | rel. Alexandre de Moraes</w:t>
      </w:r>
    </w:p>
    <w:p>
      <w:pPr>
        <w:ind w:left="288"/>
      </w:pPr>
      <w:r>
        <w:rPr>
          <w:color w:val="1E1E1E"/>
          <w:sz w:val="18"/>
        </w:rPr>
        <w:t>A competência da Justiça Militar da União limita-se ao processo e julgamento de crimes militares, não abrangendo ações relativas a infrações disciplinares (CF, art. 124), razão pela qual compete à Justiça Federal o controle judicial sobre punições disciplinares de militares federais (CF, art. 109, VII).</w:t>
      </w:r>
    </w:p>
    <w:p>
      <w:pPr>
        <w:ind w:left="288"/>
      </w:pPr>
      <w:r>
        <w:rPr>
          <w:b/>
          <w:color w:val="003CA0"/>
          <w:sz w:val="16"/>
        </w:rPr>
        <w:t>[ARE 1.547.351 AgR, rel. min. Alexandre de Moraes, j. 06.10.2025, 1ª T, DJE de 10.10.2025.]</w:t>
      </w:r>
    </w:p>
    <w:p>
      <w:pPr>
        <w:ind w:left="288"/>
      </w:pPr>
      <w:r>
        <w:rPr>
          <w:color w:val="8C8C8C"/>
          <w:sz w:val="12"/>
        </w:rPr>
        <w:t>cf-art-109-inc-VIII</w:t>
      </w:r>
      <w:r>
        <w:rPr>
          <w:color w:val="003CA0"/>
          <w:sz w:val="12"/>
        </w:rPr>
        <w:t xml:space="preserve"> | RE 726.035</w:t>
      </w:r>
      <w:r>
        <w:rPr>
          <w:color w:val="003CA0"/>
          <w:sz w:val="12"/>
        </w:rPr>
        <w:t xml:space="preserve"> | rel. Luiz Fux</w:t>
      </w:r>
    </w:p>
    <w:p>
      <w:pPr>
        <w:ind w:left="288"/>
      </w:pPr>
      <w:r>
        <w:rPr>
          <w:color w:val="1E1E1E"/>
          <w:sz w:val="18"/>
        </w:rPr>
        <w:t>(...) sendo a sociedade de economia mista pessoa jurídica de direito privado, ela, na execução de atos de delegação por parte da União, se apresenta, inegavelmente, para efeitos de mandado de segurança, como autoridade federal. Sistematicamente, não há como se olvidar não ser competente, em tais casos, a Justiça Federal.</w:t>
        <w:br/>
        <w:t>[RE 726.035 RG, voto do rel. min. Luiz Fux, j. 24-4-2014, P, DJE de 5-5-2014, Tema 722, com mérito julgado.]</w:t>
      </w:r>
    </w:p>
    <w:p>
      <w:pPr>
        <w:ind w:left="144"/>
      </w:pPr>
      <w:r>
        <w:rPr>
          <w:b/>
          <w:color w:val="B45A00"/>
          <w:sz w:val="16"/>
        </w:rPr>
        <w:t>JULGADOS CORRELATOS</w:t>
      </w:r>
    </w:p>
    <w:p>
      <w:pPr>
        <w:ind w:left="288"/>
      </w:pPr>
      <w:r>
        <w:rPr>
          <w:color w:val="8C8C8C"/>
          <w:sz w:val="12"/>
        </w:rPr>
        <w:t>cf-art-109-inc-VIII</w:t>
      </w:r>
      <w:r>
        <w:rPr>
          <w:color w:val="003CA0"/>
          <w:sz w:val="12"/>
        </w:rPr>
        <w:t xml:space="preserve"> | MS 23.977</w:t>
      </w:r>
      <w:r>
        <w:rPr>
          <w:color w:val="003CA0"/>
          <w:sz w:val="12"/>
        </w:rPr>
        <w:t xml:space="preserve"> | rel. Cezar Peluso</w:t>
      </w:r>
    </w:p>
    <w:p>
      <w:pPr>
        <w:ind w:left="288"/>
      </w:pPr>
      <w:r>
        <w:rPr>
          <w:color w:val="1E1E1E"/>
          <w:sz w:val="18"/>
        </w:rPr>
        <w:t>Não compete ao Supremo, mas à Justiça Federal, conhecer de mandado de segurança impetrado contra ato, omissivo ou comissivo, praticado, não pela Mesa, mas pelo presidente da Câmara dos Deputados.</w:t>
      </w:r>
    </w:p>
    <w:p>
      <w:pPr>
        <w:ind w:left="288"/>
      </w:pPr>
      <w:r>
        <w:rPr>
          <w:b/>
          <w:color w:val="003CA0"/>
          <w:sz w:val="16"/>
        </w:rPr>
        <w:t>[MS 23.977, rel. min. Cezar Peluso, j. 12-5-2010, P, DJE de 27-8-2010.]</w:t>
      </w:r>
    </w:p>
    <w:p>
      <w:pPr>
        <w:ind w:left="288"/>
      </w:pPr>
      <w:r>
        <w:rPr>
          <w:color w:val="8C8C8C"/>
          <w:sz w:val="12"/>
        </w:rPr>
        <w:t>cf-art-109-inc-VIII</w:t>
      </w:r>
      <w:r>
        <w:rPr>
          <w:color w:val="003CA0"/>
          <w:sz w:val="12"/>
        </w:rPr>
        <w:t xml:space="preserve"> | MS 24.099</w:t>
      </w:r>
      <w:r>
        <w:rPr>
          <w:color w:val="003CA0"/>
          <w:sz w:val="12"/>
        </w:rPr>
        <w:t xml:space="preserve"> | rel. Maurício Corrêa</w:t>
      </w:r>
    </w:p>
    <w:p>
      <w:pPr>
        <w:ind w:left="288"/>
      </w:pPr>
      <w:r>
        <w:rPr>
          <w:color w:val="1E1E1E"/>
          <w:sz w:val="18"/>
        </w:rPr>
        <w:t>Vide MS 24.099 AgR, rel. min. Maurício Corrêa, j. 7-3-2002, P, DJ de 2-8-2002 Juntas comerciais. Órgãos administrativamente subordinados ao Estado, mas tecnicamente à autoridade federal, como elementos do sistema nacional dos Serviços de Registro do Comércio. Consequente competência da Justiça Federal para o julgamento de mandado de segurança contra ato do presidente da junta, compreendido em sua atividade-fim.</w:t>
      </w:r>
    </w:p>
    <w:p>
      <w:pPr>
        <w:ind w:left="288"/>
      </w:pPr>
      <w:r>
        <w:rPr>
          <w:b/>
          <w:color w:val="003CA0"/>
          <w:sz w:val="16"/>
        </w:rPr>
        <w:t>[RE 199.793, rel. min. Octavio Gallotti, j. 4-4-2000, 1ª T, DJ de 18-8-2000.]</w:t>
      </w:r>
    </w:p>
    <w:p>
      <w:pPr>
        <w:ind w:left="288"/>
      </w:pPr>
      <w:r>
        <w:rPr>
          <w:color w:val="8C8C8C"/>
          <w:sz w:val="12"/>
        </w:rPr>
        <w:t>cf-art-109-inc-IX</w:t>
      </w:r>
      <w:r>
        <w:rPr>
          <w:color w:val="003CA0"/>
          <w:sz w:val="12"/>
        </w:rPr>
        <w:t xml:space="preserve"> | RE 463.500</w:t>
      </w:r>
    </w:p>
    <w:p>
      <w:pPr>
        <w:ind w:left="288"/>
      </w:pPr>
      <w:r>
        <w:rPr>
          <w:color w:val="1E1E1E"/>
          <w:sz w:val="18"/>
        </w:rPr>
        <w:t>Competência. Justiça Federal versus Justiça comum. Droga. Transporte aéreo. Apreensão no solo. O fato de a droga haver sido transportada por via aérea não ocasiona, por si só, a competência da Justiça Federal. Prevalece, sob tal ângulo, o local em que apreendida.</w:t>
      </w:r>
    </w:p>
    <w:p>
      <w:pPr>
        <w:ind w:left="288"/>
      </w:pPr>
      <w:r>
        <w:rPr>
          <w:b/>
          <w:color w:val="003CA0"/>
          <w:sz w:val="16"/>
        </w:rPr>
        <w:t>[RE 463.500, red. do ac. min. Marco Aurélio, j. 4-12-2007, 1ª T, DJE de 23-5-2008.]</w:t>
      </w:r>
    </w:p>
    <w:p>
      <w:pPr>
        <w:ind w:left="288"/>
      </w:pPr>
      <w:r>
        <w:rPr>
          <w:color w:val="8C8C8C"/>
          <w:sz w:val="12"/>
        </w:rPr>
        <w:t>cf-art-109-inc-IX</w:t>
      </w:r>
      <w:r>
        <w:rPr>
          <w:color w:val="003CA0"/>
          <w:sz w:val="12"/>
        </w:rPr>
        <w:t xml:space="preserve"> | RHC 86.998</w:t>
      </w:r>
    </w:p>
    <w:p>
      <w:pPr>
        <w:ind w:left="288"/>
      </w:pPr>
      <w:r>
        <w:rPr>
          <w:color w:val="1E1E1E"/>
          <w:sz w:val="18"/>
        </w:rPr>
        <w:t>É da Justiça Federal a competência para processar e julgar crime praticado a bordo de aeronave (art. 109, IX, da CF), pouco importando se esta encontra-se em ar ou em terra e, ainda, quem seja o sujeito passivo do delito. Precedentes. Onde a Constituição não distingue, não compete ao intérprete distinguir.</w:t>
      </w:r>
    </w:p>
    <w:p>
      <w:pPr>
        <w:ind w:left="288"/>
      </w:pPr>
      <w:r>
        <w:rPr>
          <w:b/>
          <w:color w:val="003CA0"/>
          <w:sz w:val="16"/>
        </w:rPr>
        <w:t>[RHC 86.998, red. do ac. min. Cármen Lúcia, j. 13-2-2007, 1ª T, DJ de 27-4-2007.]</w:t>
      </w:r>
    </w:p>
    <w:p>
      <w:pPr>
        <w:ind w:left="288"/>
      </w:pPr>
      <w:r>
        <w:rPr>
          <w:color w:val="8C8C8C"/>
          <w:sz w:val="12"/>
        </w:rPr>
        <w:t>cf-art-109-inc-IX</w:t>
      </w:r>
      <w:r>
        <w:rPr>
          <w:color w:val="003CA0"/>
          <w:sz w:val="12"/>
        </w:rPr>
        <w:t xml:space="preserve"> | HC 70.627</w:t>
      </w:r>
      <w:r>
        <w:rPr>
          <w:color w:val="003CA0"/>
          <w:sz w:val="12"/>
        </w:rPr>
        <w:t xml:space="preserve"> | rel. Sepúlveda Pertence</w:t>
      </w:r>
    </w:p>
    <w:p>
      <w:pPr>
        <w:ind w:left="288"/>
      </w:pPr>
      <w:r>
        <w:rPr>
          <w:color w:val="1E1E1E"/>
          <w:sz w:val="18"/>
        </w:rPr>
        <w:t>Competência para o processo de crime de tráfico internacional de entorpecente apreendido no interior de aeronave que pousou em Município que não é sede de vara da Justiça Federal: alegada competência da Justiça estadual (art. 27 da Lei 6.368/1976): nulidade relativa: preclusão: precedente. Conforme o decidido no HC 70.627, Primeira Turma, Sydney Sanches, DJ de 18-11-1994, é federal a jurisdição exercida por juiz estadual na hipótese do art. 27 da Lei 6.368/1976. Corrobora a tese o disposto no art. 108, II, da Constituição, segundo o qual cabe aos tribunais regionais federais "julgar, em grau d</w:t>
      </w:r>
    </w:p>
    <w:p>
      <w:pPr>
        <w:ind w:left="288"/>
      </w:pPr>
      <w:r>
        <w:rPr>
          <w:b/>
          <w:color w:val="003CA0"/>
          <w:sz w:val="16"/>
        </w:rPr>
        <w:t>[HC 85.059, rel. min. Sepúlveda Pertence, j. 22-2-2005, 1ª T, DJ de 29-4-2005.]</w:t>
      </w:r>
    </w:p>
    <w:p>
      <w:pPr>
        <w:ind w:left="288"/>
      </w:pPr>
      <w:r>
        <w:rPr>
          <w:color w:val="8C8C8C"/>
          <w:sz w:val="12"/>
        </w:rPr>
        <w:t>cf-art-109-inc-IX</w:t>
      </w:r>
    </w:p>
    <w:p>
      <w:pPr>
        <w:ind w:left="288"/>
      </w:pPr>
      <w:r>
        <w:rPr>
          <w:color w:val="1E1E1E"/>
          <w:sz w:val="18"/>
        </w:rPr>
        <w:t>X - os crimes de ingresso ou permanência irregular de estrangeiro, a execução de carta rogatória, após o exequatur, e de sentença estrangeira, após a homologação, as causas referentes à nacionalidade, inclusive a respectiva opção, e à naturalização;</w:t>
      </w:r>
    </w:p>
    <w:p>
      <w:pPr>
        <w:ind w:left="288"/>
      </w:pPr>
      <w:r>
        <w:rPr>
          <w:color w:val="8C8C8C"/>
          <w:sz w:val="12"/>
        </w:rPr>
        <w:t>cf-art-109-inc-XI</w:t>
      </w:r>
      <w:r>
        <w:rPr>
          <w:color w:val="003CA0"/>
          <w:sz w:val="12"/>
        </w:rPr>
        <w:t xml:space="preserve"> | RE 1.237.128</w:t>
      </w:r>
      <w:r>
        <w:rPr>
          <w:color w:val="003CA0"/>
          <w:sz w:val="12"/>
        </w:rPr>
        <w:t xml:space="preserve"> | rel. Edson Fachin</w:t>
      </w:r>
    </w:p>
    <w:p>
      <w:pPr>
        <w:ind w:left="288"/>
      </w:pPr>
      <w:r>
        <w:rPr>
          <w:color w:val="1E1E1E"/>
          <w:sz w:val="18"/>
        </w:rPr>
        <w:t>Nas ações de destituição de poder familiar que envolvam criança indígena, concernentes, portanto, ao direito à autoidentidade e ao etnodesenvolvimento, sobressai o interesse processual da FUNAI no deslinde da controvérsia, a firmar a competência da Justiça Federal para processar e julgar o feito.</w:t>
      </w:r>
    </w:p>
    <w:p>
      <w:pPr>
        <w:ind w:left="288"/>
      </w:pPr>
      <w:r>
        <w:rPr>
          <w:b/>
          <w:color w:val="003CA0"/>
          <w:sz w:val="16"/>
        </w:rPr>
        <w:t>[RE 1.237.128, rel. min. Edson Fachin, j. 06.10.2025, 2ª T, DJE de 20.10.2025.]</w:t>
      </w:r>
    </w:p>
    <w:p>
      <w:pPr>
        <w:ind w:left="288"/>
      </w:pPr>
      <w:r>
        <w:rPr>
          <w:color w:val="8C8C8C"/>
          <w:sz w:val="12"/>
        </w:rPr>
        <w:t>cf-art-109-inc-XI</w:t>
      </w:r>
      <w:r>
        <w:rPr>
          <w:color w:val="003CA0"/>
          <w:sz w:val="12"/>
        </w:rPr>
        <w:t xml:space="preserve"> | HC 91.313</w:t>
      </w:r>
      <w:r>
        <w:rPr>
          <w:color w:val="003CA0"/>
          <w:sz w:val="12"/>
        </w:rPr>
        <w:t xml:space="preserve"> | rel. Ellen Gracie</w:t>
      </w:r>
    </w:p>
    <w:p>
      <w:pPr>
        <w:ind w:left="288"/>
      </w:pPr>
      <w:r>
        <w:rPr>
          <w:color w:val="1E1E1E"/>
          <w:sz w:val="18"/>
        </w:rPr>
        <w:t>Nulidade do processo. Competência da Justiça Federal. Art. 109, XI, CF. (...) A competência da Justiça Federal em relação aos direitos indígenas não se restringe às hipóteses de disputa de terras, eis que os direitos contemplados no art. 231 da CF são muito mais extensos. O fato de os acusados terem se utilizado da condição étnica das vítimas para a prática das condutas delituosas representa afronta direta à cultura da comunidade indígena.</w:t>
      </w:r>
    </w:p>
    <w:p>
      <w:pPr>
        <w:ind w:left="288"/>
      </w:pPr>
      <w:r>
        <w:rPr>
          <w:b/>
          <w:color w:val="003CA0"/>
          <w:sz w:val="16"/>
        </w:rPr>
        <w:t>[HC 91.313, rel. min. Ellen Gracie, j. 2-9-2008, 2ª T, DJE de 26-9-2008.]</w:t>
      </w:r>
    </w:p>
    <w:p>
      <w:pPr>
        <w:ind w:left="288"/>
      </w:pPr>
      <w:r>
        <w:rPr>
          <w:color w:val="8C8C8C"/>
          <w:sz w:val="12"/>
        </w:rPr>
        <w:t>cf-art-109-inc-XI</w:t>
      </w:r>
      <w:r>
        <w:rPr>
          <w:color w:val="003CA0"/>
          <w:sz w:val="12"/>
        </w:rPr>
        <w:t xml:space="preserve"> | HC 79.530</w:t>
      </w:r>
      <w:r>
        <w:rPr>
          <w:color w:val="003CA0"/>
          <w:sz w:val="12"/>
        </w:rPr>
        <w:t xml:space="preserve"> | rel. Ilmar Galvão</w:t>
      </w:r>
    </w:p>
    <w:p>
      <w:pPr>
        <w:ind w:left="288"/>
      </w:pPr>
      <w:r>
        <w:rPr>
          <w:color w:val="1E1E1E"/>
          <w:sz w:val="18"/>
        </w:rPr>
        <w:t>Quanto à alegação de incompetência da Justiça Federal para processar e julgar a ação penal instaurada na origem, cabe esclarecer que os pacientes foram pronunciados pela suposta participação em crimes cometidos em desfavor de indígenas. Menção à evolução jurisprudencial do STF acerca do tema da competência da Justiça comum estadual ou da Justiça Federal para a apreciação e julgamento de causas envolvendo silvícolas. Precedentes: HC 79.530/PA, rel. min. Ilmar Galvão, Primeira Turma, unânime, DJ de 25-2-2000; HC 81.827/MT, rel. min. Maurício Corrêa, Segunda Turma, unânime, DJ de 23-8-2002; RE 41</w:t>
      </w:r>
    </w:p>
    <w:p>
      <w:pPr>
        <w:ind w:left="288"/>
      </w:pPr>
      <w:r>
        <w:rPr>
          <w:b/>
          <w:color w:val="003CA0"/>
          <w:sz w:val="16"/>
        </w:rPr>
        <w:t>[HC 91.121, rel. min. Gilmar Mendes, j. 6-11-2007, 2ª T, DJE de 28-3-2008.]</w:t>
      </w:r>
    </w:p>
    <w:p>
      <w:pPr>
        <w:ind w:left="288"/>
      </w:pPr>
      <w:r>
        <w:rPr>
          <w:color w:val="8C8C8C"/>
          <w:sz w:val="12"/>
        </w:rPr>
        <w:t>cf-art-109-inc-XI</w:t>
      </w:r>
      <w:r>
        <w:rPr>
          <w:color w:val="003CA0"/>
          <w:sz w:val="12"/>
        </w:rPr>
        <w:t xml:space="preserve"> | RHC 85.737</w:t>
      </w:r>
      <w:r>
        <w:rPr>
          <w:color w:val="003CA0"/>
          <w:sz w:val="12"/>
        </w:rPr>
        <w:t xml:space="preserve"> | rel. Joaquim Barbosa</w:t>
      </w:r>
    </w:p>
    <w:p>
      <w:pPr>
        <w:ind w:left="288"/>
      </w:pPr>
      <w:r>
        <w:rPr>
          <w:color w:val="1E1E1E"/>
          <w:sz w:val="18"/>
        </w:rPr>
        <w:t>Recurso ordinário em habeas corpus. Disputa de terras indígenas. Crime patrimonial. Julgamento. Justiça estadual. Competência. (...) O deslocamento da competência para a Justiça Federal somente ocorre quando o processo versar sobre questões diretamente ligadas à cultura indígena e ao direito sobre suas terras, ou quando envolvidos interesses da União. Tratando-se de suposta ofensa a bens semoventes de propriedade particular, não há ofensa a bem jurídico penal que demande a incidência das regras constitucionais que determinam a competência da Justiça Federal.</w:t>
      </w:r>
    </w:p>
    <w:p>
      <w:pPr>
        <w:ind w:left="288"/>
      </w:pPr>
      <w:r>
        <w:rPr>
          <w:b/>
          <w:color w:val="003CA0"/>
          <w:sz w:val="16"/>
        </w:rPr>
        <w:t>[RHC 85.737, rel. min. Joaquim Barbosa, j. 12-12-2006, 2ª T, DJ de 30-11-2007.]</w:t>
      </w:r>
    </w:p>
    <w:p>
      <w:pPr>
        <w:ind w:left="288"/>
      </w:pPr>
      <w:r>
        <w:rPr>
          <w:color w:val="8C8C8C"/>
          <w:sz w:val="12"/>
        </w:rPr>
        <w:t>cf-art-109-inc-XI</w:t>
      </w:r>
      <w:r>
        <w:rPr>
          <w:color w:val="003CA0"/>
          <w:sz w:val="12"/>
        </w:rPr>
        <w:t xml:space="preserve"> | RE 419.528</w:t>
      </w:r>
    </w:p>
    <w:p>
      <w:pPr>
        <w:ind w:left="288"/>
      </w:pPr>
      <w:r>
        <w:rPr>
          <w:color w:val="1E1E1E"/>
          <w:sz w:val="18"/>
        </w:rPr>
        <w:t>Competência criminal. Conflito. Crime praticado por silvícolas, contra outro índio, no interior de reserva indígena. Disputa sobre direitos indígenas como motivação do delito. Inexistência. Feito da competência da Justiça comum. Recurso improvido. Votos vencidos. Precedentes. Exame. Inteligência do art. 109, IV e XI, da CF. A competência penal da Justiça Federal, objeto do alcance do disposto no art. 109, XI, da CF, só se desata quando a acusação seja de genocídio, ou quando, na ocasião ou motivação de outro delito de que seja índio o agente ou a vítima, tenha havido disputa sobre direitos ind</w:t>
      </w:r>
    </w:p>
    <w:p>
      <w:pPr>
        <w:ind w:left="288"/>
      </w:pPr>
      <w:r>
        <w:rPr>
          <w:b/>
          <w:color w:val="003CA0"/>
          <w:sz w:val="16"/>
        </w:rPr>
        <w:t>[RE 419.528, red. do ac. min. Cezar Peluso, j. 3-8-2006, P, DJ de 9-3-2007.]</w:t>
      </w:r>
    </w:p>
    <w:p>
      <w:pPr>
        <w:ind w:left="288"/>
      </w:pPr>
      <w:r>
        <w:rPr>
          <w:color w:val="8C8C8C"/>
          <w:sz w:val="12"/>
        </w:rPr>
        <w:t>cf-art-109-inc-XI</w:t>
      </w:r>
      <w:r>
        <w:rPr>
          <w:color w:val="003CA0"/>
          <w:sz w:val="12"/>
        </w:rPr>
        <w:t xml:space="preserve"> | AI 794.447</w:t>
      </w:r>
      <w:r>
        <w:rPr>
          <w:color w:val="003CA0"/>
          <w:sz w:val="12"/>
        </w:rPr>
        <w:t xml:space="preserve"> | rel. Marco Aurélio</w:t>
      </w:r>
    </w:p>
    <w:p>
      <w:pPr>
        <w:ind w:left="288"/>
      </w:pPr>
      <w:r>
        <w:rPr>
          <w:color w:val="1E1E1E"/>
          <w:sz w:val="18"/>
        </w:rPr>
        <w:t>= AI 794.447 AgR, rel. min. Marco Aurélio, j. 24-9-2013, 1ª T, DJE de 21-11-2013 Não configurando os crimes praticados por índio, ou contra índio, "disputa sobre direitos indígenas" (art. 109, XI, da CF) nem, tampouco, "infrações penais praticadas em detrimento de bens, serviços ou interesse da União ou de suas entidades autárquicas ou empresas públicas" (inciso IV ib.), é da competência da Justiça estadual o seu processamento e julgamento. É de natureza civil, e não criminal (cf. arts. 7º e 8º da Lei 6.001/1973 e art. 6º, parágrafo único, do CC/1916), a tutela que a Carta Federal, no caput do</w:t>
      </w:r>
    </w:p>
    <w:p>
      <w:pPr>
        <w:ind w:left="288"/>
      </w:pPr>
      <w:r>
        <w:rPr>
          <w:b/>
          <w:color w:val="003CA0"/>
          <w:sz w:val="16"/>
        </w:rPr>
        <w:t>[HC 79.530, rel. min. Ilmar Galvão, j. 16-12-1999, 1ª T, DJ de 25-2-2000.]</w:t>
      </w:r>
    </w:p>
    <w:p>
      <w:pPr>
        <w:ind w:left="144"/>
      </w:pPr>
      <w:r>
        <w:rPr>
          <w:b/>
          <w:color w:val="B45A00"/>
          <w:sz w:val="16"/>
        </w:rPr>
        <w:t>CONTROLE CONCENTRADO</w:t>
      </w:r>
    </w:p>
    <w:p>
      <w:pPr>
        <w:ind w:left="288"/>
      </w:pPr>
      <w:r>
        <w:rPr>
          <w:color w:val="8C8C8C"/>
          <w:sz w:val="12"/>
        </w:rPr>
        <w:t>cf-art-109-par-1</w:t>
      </w:r>
      <w:r>
        <w:rPr>
          <w:color w:val="003CA0"/>
          <w:sz w:val="12"/>
        </w:rPr>
        <w:t xml:space="preserve"> | ADI 1.094</w:t>
      </w:r>
      <w:r>
        <w:rPr>
          <w:color w:val="003CA0"/>
          <w:sz w:val="12"/>
        </w:rPr>
        <w:t xml:space="preserve"> | rel. Carlos Velloso</w:t>
      </w:r>
    </w:p>
    <w:p>
      <w:pPr>
        <w:ind w:left="288"/>
      </w:pPr>
      <w:r>
        <w:rPr>
          <w:color w:val="1E1E1E"/>
          <w:sz w:val="18"/>
        </w:rPr>
        <w:t>Ordem econômica: infrações. Conselho Administrativo da Defesa Econômica (CADE). Abusos do poder econômico: repressão. Lei 8.884, de 11-6-1994. Suspensão cautelar da eficácia dos incisos I e II do art. 24 e as expressões "do Distrito Federal" e "à escolha do Cade", inscritas no art. 64 da Lei 8.884, de 11-6-1994.</w:t>
      </w:r>
    </w:p>
    <w:p>
      <w:pPr>
        <w:ind w:left="288"/>
      </w:pPr>
      <w:r>
        <w:rPr>
          <w:b/>
          <w:color w:val="003CA0"/>
          <w:sz w:val="16"/>
        </w:rPr>
        <w:t>[ADI 1.094 MC, rel. min. Carlos Velloso, j. 21-9-1995, P, DJ de 20-4-2001.]</w:t>
      </w:r>
    </w:p>
    <w:p>
      <w:pPr>
        <w:ind w:left="288"/>
      </w:pPr>
      <w:r>
        <w:rPr>
          <w:color w:val="8C8C8C"/>
          <w:sz w:val="12"/>
        </w:rPr>
        <w:t>cf-art-109-par-2</w:t>
      </w:r>
      <w:r>
        <w:rPr>
          <w:color w:val="003CA0"/>
          <w:sz w:val="12"/>
        </w:rPr>
        <w:t xml:space="preserve"> | RE 1.429.083</w:t>
      </w:r>
      <w:r>
        <w:rPr>
          <w:color w:val="003CA0"/>
          <w:sz w:val="12"/>
        </w:rPr>
        <w:t xml:space="preserve"> | rel. Alexandre de Moraes</w:t>
      </w:r>
    </w:p>
    <w:p>
      <w:pPr>
        <w:ind w:left="288"/>
      </w:pPr>
      <w:r>
        <w:rPr>
          <w:color w:val="1E1E1E"/>
          <w:sz w:val="18"/>
        </w:rPr>
        <w:t>“O art. 3º, § 3º, da Lei 10.259/2001, é compatível com a Constituição Federal, devendo ser interpretado no sentido de que a competência absoluta dos juizados especiais federais se restringe ao valor da causa, havendo a faculdade de escolha do foro pelo demandante na forma do art. 109, §2º, da CF/88”.</w:t>
      </w:r>
    </w:p>
    <w:p>
      <w:pPr>
        <w:ind w:left="288"/>
      </w:pPr>
      <w:r>
        <w:rPr>
          <w:b/>
          <w:color w:val="003CA0"/>
          <w:sz w:val="16"/>
        </w:rPr>
        <w:t>[RE 1.429.083, rel. min. Alexandre de Moraes, j. 25.08.2025, P, DJE de 08.09.2025, Tema 1.277, com mérito julgado.]</w:t>
      </w:r>
    </w:p>
    <w:p>
      <w:pPr>
        <w:ind w:left="144"/>
      </w:pPr>
      <w:r>
        <w:rPr>
          <w:b/>
          <w:color w:val="B45A00"/>
          <w:sz w:val="16"/>
        </w:rPr>
        <w:t>REPERCUSSAO GERAL</w:t>
      </w:r>
    </w:p>
    <w:p>
      <w:pPr>
        <w:ind w:left="288"/>
      </w:pPr>
      <w:r>
        <w:rPr>
          <w:color w:val="8C8C8C"/>
          <w:sz w:val="12"/>
        </w:rPr>
        <w:t>cf-art-109-par-2</w:t>
      </w:r>
      <w:r>
        <w:rPr>
          <w:color w:val="003CA0"/>
          <w:sz w:val="12"/>
        </w:rPr>
        <w:t xml:space="preserve"> | RE 627.709</w:t>
      </w:r>
      <w:r>
        <w:rPr>
          <w:color w:val="003CA0"/>
          <w:sz w:val="12"/>
        </w:rPr>
        <w:t xml:space="preserve"> | rel. Ricardo Lewandowski</w:t>
      </w:r>
    </w:p>
    <w:p>
      <w:pPr>
        <w:ind w:left="288"/>
      </w:pPr>
      <w:r>
        <w:rPr>
          <w:color w:val="1E1E1E"/>
          <w:sz w:val="18"/>
        </w:rPr>
        <w:t>A pretendida fixação do foro competente com base no art. 100, IV, a, do CPC nas ações propostas contra as autarquias federais resultaria na concessão de vantagem processual não estabelecida para a União, ente maior, que possui foro privilegiado limitado pelo referido dispositivo constitucional. A jurisprudência do STF tem decidido pela incidência do disposto no art. 109, § 2º, da CF às autarquias federais.</w:t>
        <w:br/>
        <w:t>[RE 627.709, rel. min. Ricardo Lewandowski, j. 20-8-2014, P, DJE de 30-10-2014, Tema 374, com mérito julgado.]</w:t>
      </w:r>
    </w:p>
    <w:p>
      <w:pPr>
        <w:ind w:left="144"/>
      </w:pPr>
      <w:r>
        <w:rPr>
          <w:b/>
          <w:color w:val="B45A00"/>
          <w:sz w:val="16"/>
        </w:rPr>
        <w:t>JULGADOS CORRELATOS</w:t>
      </w:r>
    </w:p>
    <w:p>
      <w:pPr>
        <w:ind w:left="288"/>
      </w:pPr>
      <w:r>
        <w:rPr>
          <w:color w:val="8C8C8C"/>
          <w:sz w:val="12"/>
        </w:rPr>
        <w:t>cf-art-109-par-2</w:t>
      </w:r>
      <w:r>
        <w:rPr>
          <w:color w:val="003CA0"/>
          <w:sz w:val="12"/>
        </w:rPr>
        <w:t xml:space="preserve"> | RE 676.925</w:t>
      </w:r>
      <w:r>
        <w:rPr>
          <w:color w:val="003CA0"/>
          <w:sz w:val="12"/>
        </w:rPr>
        <w:t xml:space="preserve"> | rel. Luiz Fux</w:t>
      </w:r>
    </w:p>
    <w:p>
      <w:pPr>
        <w:ind w:left="288"/>
      </w:pPr>
      <w:r>
        <w:rPr>
          <w:color w:val="1E1E1E"/>
          <w:sz w:val="18"/>
        </w:rPr>
        <w:t>Nada obstante existir universidade habilitada para o registro do diploma no foro de domicílio da autora, a pretensão foi deduzida em face da ré, sediada em território sob a competência do TRF da 4ª Região. O fato que deu origem à demanda, negativa da universidade estadual em registrar o diploma, ocorreu em Londrina/PR, Seção Judiciária do TRF 4ª Região. Por conseguinte, a regra de competência prevista no art. 109, § 2º, da CF encontra-se preservada (...). Não há falar, portanto, em violação do art. 109, § 2º, da CF, que prevê que as causas contra a União podem ser ajuizadas na Seção Judiciária</w:t>
      </w:r>
    </w:p>
    <w:p>
      <w:pPr>
        <w:ind w:left="288"/>
      </w:pPr>
      <w:r>
        <w:rPr>
          <w:b/>
          <w:color w:val="003CA0"/>
          <w:sz w:val="16"/>
        </w:rPr>
        <w:t>[RE 676.925, voto do rel. min. Luiz Fux, j. 22-6-2012, 1ª T, DJE de 21-6-2012.]</w:t>
      </w:r>
    </w:p>
    <w:p>
      <w:pPr>
        <w:ind w:left="288"/>
      </w:pPr>
      <w:r>
        <w:rPr>
          <w:color w:val="8C8C8C"/>
          <w:sz w:val="12"/>
        </w:rPr>
        <w:t>cf-art-109-par-2</w:t>
      </w:r>
      <w:r>
        <w:rPr>
          <w:color w:val="003CA0"/>
          <w:sz w:val="12"/>
        </w:rPr>
        <w:t xml:space="preserve"> | RE 459.322</w:t>
      </w:r>
      <w:r>
        <w:rPr>
          <w:color w:val="003CA0"/>
          <w:sz w:val="12"/>
        </w:rPr>
        <w:t xml:space="preserve"> | rel. Marco Aurélio</w:t>
      </w:r>
    </w:p>
    <w:p>
      <w:pPr>
        <w:ind w:left="288"/>
      </w:pPr>
      <w:r>
        <w:rPr>
          <w:color w:val="1E1E1E"/>
          <w:sz w:val="18"/>
        </w:rPr>
        <w:t>O rol de situações contempladas no § 2º do art. 109 da Carta Federal, a ensejar a escolha pelo autor de ação contra a União, é exaustivo. Descabe conclusão que não se afine com o que previsto constitucionalmente – por exemplo, a possibilidade de a ação ser ajuizada na capital do Estado.</w:t>
      </w:r>
    </w:p>
    <w:p>
      <w:pPr>
        <w:ind w:left="288"/>
      </w:pPr>
      <w:r>
        <w:rPr>
          <w:b/>
          <w:color w:val="003CA0"/>
          <w:sz w:val="16"/>
        </w:rPr>
        <w:t>[RE 459.322, rel. min. Marco Aurélio, j. 22-9-2009, 1ª T, DJE de 18-12-2009.]</w:t>
      </w:r>
    </w:p>
    <w:p>
      <w:pPr>
        <w:ind w:left="288"/>
      </w:pPr>
      <w:r>
        <w:rPr>
          <w:color w:val="8C8C8C"/>
          <w:sz w:val="12"/>
        </w:rPr>
        <w:t>cf-art-109-par-2</w:t>
      </w:r>
      <w:r>
        <w:rPr>
          <w:color w:val="003CA0"/>
          <w:sz w:val="12"/>
        </w:rPr>
        <w:t xml:space="preserve"> | RE 234.059</w:t>
      </w:r>
      <w:r>
        <w:rPr>
          <w:color w:val="003CA0"/>
          <w:sz w:val="12"/>
        </w:rPr>
        <w:t xml:space="preserve"> | rel. Menezes Direito</w:t>
      </w:r>
    </w:p>
    <w:p>
      <w:pPr>
        <w:ind w:left="288"/>
      </w:pPr>
      <w:r>
        <w:rPr>
          <w:color w:val="1E1E1E"/>
          <w:sz w:val="18"/>
        </w:rPr>
        <w:t>O art. 109, § 2º, da CF não impede a formação de litisconsórcio ativo de autores domiciliados em Estados-membros diversos daquele em que ajuizada a causa. Aos litisconsortes é facultada a opção pela propositura da ação em qualquer das possibilidades previstas no dispositivo constitucional.</w:t>
      </w:r>
    </w:p>
    <w:p>
      <w:pPr>
        <w:ind w:left="288"/>
      </w:pPr>
      <w:r>
        <w:rPr>
          <w:b/>
          <w:color w:val="003CA0"/>
          <w:sz w:val="16"/>
        </w:rPr>
        <w:t>[RE 234.059, rel. min. Menezes Direito, j. 2-9-2008, P, DJE de 21-11-2008.]</w:t>
      </w:r>
    </w:p>
    <w:p>
      <w:pPr>
        <w:ind w:left="288"/>
      </w:pPr>
      <w:r>
        <w:rPr>
          <w:color w:val="8C8C8C"/>
          <w:sz w:val="12"/>
        </w:rPr>
        <w:t>cf-art-109-par-2</w:t>
      </w:r>
      <w:r>
        <w:rPr>
          <w:color w:val="003CA0"/>
          <w:sz w:val="12"/>
        </w:rPr>
        <w:t xml:space="preserve"> | RE 403.622</w:t>
      </w:r>
      <w:r>
        <w:rPr>
          <w:color w:val="003CA0"/>
          <w:sz w:val="12"/>
        </w:rPr>
        <w:t xml:space="preserve"> | rel. Teori Zavascki</w:t>
      </w:r>
    </w:p>
    <w:p>
      <w:pPr>
        <w:ind w:left="288"/>
      </w:pPr>
      <w:r>
        <w:rPr>
          <w:color w:val="1E1E1E"/>
          <w:sz w:val="18"/>
        </w:rPr>
        <w:t>= RE 403.622 AgR, rel. min. Teori Zavascki, j. 11-6-2013, 2ª T, DJE de 26-6-2013 = RE 644.655 AgR, rel. min. Roberto Barroso, j. 16-9-2016, 1ª T, DJE de 6-10-2016 Ação judicial contra a União Federal. Competência. Autor domiciliado em cidade do interior. Possibilidade de sua proposição também na capital do Estado. Faculdade que lhe foi conferida pelo art. 109, § 2º, da Constituição da República. Consequência: remessa dos autos ao juízo da 12ª Vara Federal de Porto Alegre, foro eleito pela recorrente.</w:t>
      </w:r>
    </w:p>
    <w:p>
      <w:pPr>
        <w:ind w:left="288"/>
      </w:pPr>
      <w:r>
        <w:rPr>
          <w:b/>
          <w:color w:val="003CA0"/>
          <w:sz w:val="16"/>
        </w:rPr>
        <w:t>[RE 233.990, rel. min. Maurício Corrêa, j. 23-10-2001, 2ª T, DJ de 1º-3-2002.]</w:t>
      </w:r>
    </w:p>
    <w:p>
      <w:pPr>
        <w:ind w:left="288"/>
      </w:pPr>
      <w:r>
        <w:rPr>
          <w:color w:val="8C8C8C"/>
          <w:sz w:val="12"/>
        </w:rPr>
        <w:t>cf-art-109-par-2</w:t>
      </w:r>
      <w:r>
        <w:rPr>
          <w:color w:val="003CA0"/>
          <w:sz w:val="12"/>
        </w:rPr>
        <w:t xml:space="preserve"> | RE 852.521</w:t>
      </w:r>
      <w:r>
        <w:rPr>
          <w:color w:val="003CA0"/>
          <w:sz w:val="12"/>
        </w:rPr>
        <w:t xml:space="preserve"> | rel. Teori Zavascki</w:t>
      </w:r>
    </w:p>
    <w:p>
      <w:pPr>
        <w:ind w:left="288"/>
      </w:pPr>
      <w:r>
        <w:rPr>
          <w:color w:val="1E1E1E"/>
          <w:sz w:val="18"/>
        </w:rPr>
        <w:t>= RE 852.521 AgR, rel. min. Teori Zavascki, j. 28-4-2015, 2ª T, DJE de 12-5-2015 = RE 641.449 AgR, rel. min. Dias Toffoli, j. 8-5-2012, 1ª T, DJE de 31-5-2012</w:t>
      </w:r>
    </w:p>
    <w:p>
      <w:pPr>
        <w:ind w:left="144"/>
      </w:pPr>
      <w:r>
        <w:rPr>
          <w:b/>
          <w:color w:val="B45A00"/>
          <w:sz w:val="16"/>
        </w:rPr>
        <w:t>REPERCUSSAO GERAL</w:t>
      </w:r>
    </w:p>
    <w:p>
      <w:pPr>
        <w:ind w:left="288"/>
      </w:pPr>
      <w:r>
        <w:rPr>
          <w:color w:val="8C8C8C"/>
          <w:sz w:val="12"/>
        </w:rPr>
        <w:t>cf-art-109-par-3</w:t>
      </w:r>
      <w:r>
        <w:rPr>
          <w:color w:val="003CA0"/>
          <w:sz w:val="12"/>
        </w:rPr>
        <w:t xml:space="preserve"> | RE 860.508</w:t>
      </w:r>
      <w:r>
        <w:rPr>
          <w:color w:val="003CA0"/>
          <w:sz w:val="12"/>
        </w:rPr>
        <w:t xml:space="preserve"> | rel. Marco Aurélio</w:t>
      </w:r>
    </w:p>
    <w:p>
      <w:pPr>
        <w:ind w:left="288"/>
      </w:pPr>
      <w:r>
        <w:rPr>
          <w:color w:val="1E1E1E"/>
          <w:sz w:val="18"/>
        </w:rPr>
        <w:t>A competência prevista no § 3º do artigo 109 da Constituição Federal, da Justiça comum, pressupõe inexistência de Vara Federal na Comarca do domicílio do segurado.</w:t>
      </w:r>
    </w:p>
    <w:p>
      <w:pPr>
        <w:ind w:left="288"/>
      </w:pPr>
      <w:r>
        <w:rPr>
          <w:b/>
          <w:color w:val="003CA0"/>
          <w:sz w:val="16"/>
        </w:rPr>
        <w:t>[RE 860.508, rel. min. Marco Aurélio, j. 8-3-2021, P, DJE de 23-3-2021, Tema 820, com mérito julgado.]</w:t>
      </w:r>
    </w:p>
    <w:p>
      <w:pPr>
        <w:ind w:left="288"/>
      </w:pPr>
      <w:r>
        <w:rPr>
          <w:color w:val="8C8C8C"/>
          <w:sz w:val="12"/>
        </w:rPr>
        <w:t>cf-art-109-par-4</w:t>
      </w:r>
    </w:p>
    <w:p>
      <w:pPr>
        <w:ind w:left="288"/>
      </w:pPr>
      <w:r>
        <w:rPr>
          <w:color w:val="1E1E1E"/>
          <w:sz w:val="18"/>
        </w:rPr>
        <w:t>§ 5º Nas hipóteses de grave violação de direitos humanos, o Procurador-Geral da República, com a finalidade de assegurar o cumprimento de obrigações decorrentes de tratados internacionais de direitos humanos dos quais o Brasil seja parte, poderá suscitar, perante o Superior Tribunal de Justiça, em qualquer fase do inquérito ou processo, incidente de deslocamento de competência para a Justiça Federal. (Incluído pela EC 45/2004)</w:t>
      </w:r>
    </w:p>
    <w:p>
      <w:pPr>
        <w:ind w:left="144"/>
      </w:pPr>
      <w:r>
        <w:rPr>
          <w:b/>
          <w:color w:val="B45A00"/>
          <w:sz w:val="16"/>
        </w:rPr>
        <w:t>CONTROLE CONCENTRADO</w:t>
      </w:r>
    </w:p>
    <w:p>
      <w:pPr>
        <w:ind w:left="288"/>
      </w:pPr>
      <w:r>
        <w:rPr>
          <w:color w:val="8C8C8C"/>
          <w:sz w:val="12"/>
        </w:rPr>
        <w:t>cf-art-109-par-4</w:t>
      </w:r>
      <w:r>
        <w:rPr>
          <w:color w:val="003CA0"/>
          <w:sz w:val="12"/>
        </w:rPr>
        <w:t xml:space="preserve"> | ADI 3.486</w:t>
      </w:r>
      <w:r>
        <w:rPr>
          <w:color w:val="003CA0"/>
          <w:sz w:val="12"/>
        </w:rPr>
        <w:t xml:space="preserve"> | rel. Dias Toffoli</w:t>
      </w:r>
    </w:p>
    <w:p>
      <w:pPr>
        <w:ind w:left="288"/>
      </w:pPr>
      <w:r>
        <w:rPr>
          <w:color w:val="1E1E1E"/>
          <w:sz w:val="18"/>
        </w:rPr>
        <w:t>Artigo 1º da Emenda Constitucional nº 45/04. Inserção do inciso V-A e do § 5º ao art. 109 da Constituição Federal. Incidente de deslocamento de competência. (...) A fórmula escolhida pelo poder reformador para o transporte à Justiça Federal dos feitos em que haja violação grave dos direitos humanos foi o incidente de deslocamento, e não a previsão de uma competência geral e aberta. A criação do instituto representa a adoção de mecanismo de equacionamento jurídico da problemática da ineficiência do aparato estatal de repressão às graves violações dos direitos humanos, tendo presente, especialme</w:t>
      </w:r>
    </w:p>
    <w:p>
      <w:pPr>
        <w:ind w:left="720"/>
      </w:pPr>
      <w:r>
        <w:rPr>
          <w:color w:val="003366"/>
          <w:sz w:val="18"/>
        </w:rPr>
        <w:t>I – as causas em que a União, entidade autárquica ou empresa pública federal for</w:t>
      </w:r>
    </w:p>
    <w:p>
      <w:pPr>
        <w:ind w:left="720"/>
      </w:pPr>
      <w:r>
        <w:rPr>
          <w:color w:val="003366"/>
          <w:sz w:val="18"/>
        </w:rPr>
        <w:t>II – as causas entre Estado estrangeiro ou organismo internacional e Município o</w:t>
      </w:r>
    </w:p>
    <w:p>
      <w:pPr>
        <w:ind w:left="720"/>
      </w:pPr>
      <w:r>
        <w:rPr>
          <w:color w:val="003366"/>
          <w:sz w:val="18"/>
        </w:rPr>
        <w:t xml:space="preserve">III – as causas fundadas em tratado ou contrato da União com Estado estrangeiro </w:t>
      </w:r>
    </w:p>
    <w:p>
      <w:pPr>
        <w:ind w:left="720"/>
      </w:pPr>
      <w:r>
        <w:rPr>
          <w:color w:val="003366"/>
          <w:sz w:val="18"/>
        </w:rPr>
        <w:t>IV – os crimes políticos e as infrações penais praticadas em detrimento de bens,</w:t>
      </w:r>
    </w:p>
    <w:p>
      <w:pPr>
        <w:ind w:left="720"/>
      </w:pPr>
      <w:r>
        <w:rPr>
          <w:color w:val="003366"/>
          <w:sz w:val="18"/>
        </w:rPr>
        <w:t xml:space="preserve">V – os crimes previstos em tratado ou convenção internacional, quando, iniciada </w:t>
      </w:r>
    </w:p>
    <w:p>
      <w:pPr>
        <w:ind w:left="720"/>
      </w:pPr>
      <w:r>
        <w:rPr>
          <w:color w:val="003366"/>
          <w:sz w:val="18"/>
        </w:rPr>
        <w:t>V – A as causas relativas a direitos humanos a que se refere o § 5º deste artigo</w:t>
      </w:r>
    </w:p>
    <w:p>
      <w:pPr>
        <w:ind w:left="720"/>
      </w:pPr>
      <w:r>
        <w:rPr>
          <w:color w:val="003366"/>
          <w:sz w:val="18"/>
        </w:rPr>
        <w:t>VI – os crimes contra a organização do trabalho e, nos casos determinados por le</w:t>
      </w:r>
    </w:p>
    <w:p>
      <w:pPr>
        <w:ind w:left="720"/>
      </w:pPr>
      <w:r>
        <w:rPr>
          <w:color w:val="003366"/>
          <w:sz w:val="18"/>
        </w:rPr>
        <w:t>VII – os habeas corpus, em matéria criminal de sua competência ou quando o const</w:t>
      </w:r>
    </w:p>
    <w:p>
      <w:pPr>
        <w:ind w:left="720"/>
      </w:pPr>
      <w:r>
        <w:rPr>
          <w:color w:val="003366"/>
          <w:sz w:val="18"/>
        </w:rPr>
        <w:t>VIII – os mandados de segurança e os habeas data contra ato de autoridade federa</w:t>
      </w:r>
    </w:p>
    <w:p>
      <w:pPr>
        <w:ind w:left="720"/>
      </w:pPr>
      <w:r>
        <w:rPr>
          <w:color w:val="003366"/>
          <w:sz w:val="18"/>
        </w:rPr>
        <w:t>IX – os crimes cometidos a bordo de navios ou aeronaves, ressalvada a competênci</w:t>
      </w:r>
    </w:p>
    <w:p>
      <w:pPr>
        <w:ind w:left="720"/>
      </w:pPr>
      <w:r>
        <w:rPr>
          <w:color w:val="003366"/>
          <w:sz w:val="18"/>
        </w:rPr>
        <w:t>X – os crimes de ingresso ou permanência irregular de estrangeiro, a execução de</w:t>
      </w:r>
    </w:p>
    <w:p>
      <w:pPr>
        <w:ind w:left="720"/>
      </w:pPr>
      <w:r>
        <w:rPr>
          <w:color w:val="003366"/>
          <w:sz w:val="18"/>
        </w:rPr>
        <w:t>XI – a disputa sobre direitos indígenas.</w:t>
      </w:r>
    </w:p>
    <w:p>
      <w:pPr>
        <w:ind w:left="432"/>
      </w:pPr>
      <w:r>
        <w:rPr>
          <w:color w:val="003366"/>
          <w:sz w:val="18"/>
        </w:rPr>
        <w:t xml:space="preserve">§ 1 As causas em que a União for autora serão aforadas na seção judiciária onde </w:t>
      </w:r>
    </w:p>
    <w:p>
      <w:pPr>
        <w:ind w:left="432"/>
      </w:pPr>
      <w:r>
        <w:rPr>
          <w:color w:val="003366"/>
          <w:sz w:val="18"/>
        </w:rPr>
        <w:t>§ 2 As causas intentadas contra a União poderão ser aforadas na seção judiciária</w:t>
      </w:r>
    </w:p>
    <w:p>
      <w:pPr>
        <w:ind w:left="432"/>
      </w:pPr>
      <w:r>
        <w:rPr>
          <w:color w:val="003366"/>
          <w:sz w:val="18"/>
        </w:rPr>
        <w:t xml:space="preserve">§ 3 Lei poderá autorizar que as causas de competência da Justiça Federal em que </w:t>
      </w:r>
    </w:p>
    <w:p>
      <w:pPr>
        <w:ind w:left="432"/>
      </w:pPr>
      <w:r>
        <w:rPr>
          <w:color w:val="003366"/>
          <w:sz w:val="18"/>
        </w:rPr>
        <w:t>§ 4 Na hipótese do parágrafo anterior, o recurso cabível será sempre para o Trib</w:t>
      </w:r>
    </w:p>
    <w:p>
      <w:pPr>
        <w:ind w:left="432"/>
      </w:pPr>
      <w:r>
        <w:rPr>
          <w:color w:val="003366"/>
          <w:sz w:val="18"/>
        </w:rPr>
        <w:t>§ 5 Nas hipóteses de grave violação de direitos humanos, o Procurador-Geral da R</w:t>
      </w:r>
    </w:p>
    <w:p>
      <w:r>
        <w:rPr>
          <w:b/>
          <w:color w:val="003366"/>
          <w:sz w:val="20"/>
        </w:rPr>
        <w:t>Art. 110 Cada Estado, bem como o Distrito Federal, constituirá uma seção judiciá</w:t>
      </w:r>
      <w:r>
        <w:rPr>
          <w:color w:val="8C8C8C"/>
          <w:sz w:val="14"/>
        </w:rPr>
        <w:t xml:space="preserve">  [1 decisoes]</w:t>
      </w:r>
    </w:p>
    <w:p>
      <w:pPr>
        <w:ind w:left="288"/>
      </w:pPr>
      <w:r>
        <w:rPr>
          <w:color w:val="8C8C8C"/>
          <w:sz w:val="12"/>
        </w:rPr>
        <w:t>cf-art-110-par-unico</w:t>
      </w:r>
    </w:p>
    <w:p>
      <w:pPr>
        <w:ind w:left="288"/>
      </w:pPr>
      <w:r>
        <w:rPr>
          <w:color w:val="1E1E1E"/>
          <w:sz w:val="18"/>
        </w:rPr>
        <w:t>Seção V Do Tribunal Superior do Trabalho, dos Tribunais Regionais do Trabalho e dos Juízes do Trabalho (Redação da EC 92/2016) SUMÁRIO</w:t>
      </w:r>
    </w:p>
    <w:p>
      <w:r>
        <w:rPr>
          <w:b/>
          <w:color w:val="003366"/>
          <w:sz w:val="20"/>
        </w:rPr>
        <w:t>Art. 111 São órgãos da Justiça do Trabalho:</w:t>
      </w:r>
      <w:r>
        <w:rPr>
          <w:color w:val="8C8C8C"/>
          <w:sz w:val="14"/>
        </w:rPr>
        <w:t xml:space="preserve">  [5 decisoes]</w:t>
      </w:r>
    </w:p>
    <w:p>
      <w:pPr>
        <w:ind w:left="288"/>
      </w:pPr>
      <w:r>
        <w:rPr>
          <w:color w:val="8C8C8C"/>
          <w:sz w:val="12"/>
        </w:rPr>
        <w:t>cf-art-111-par-3</w:t>
      </w:r>
    </w:p>
    <w:p>
      <w:pPr>
        <w:ind w:left="288"/>
      </w:pPr>
      <w:r>
        <w:rPr>
          <w:color w:val="1E1E1E"/>
          <w:sz w:val="18"/>
        </w:rPr>
        <w:t>Art. 111-A. O Tribunal Superior do Trabalho compõe-se de vinte e sete Ministros, escolhidos dentre brasileiros com mais de trinta e cinco e menos de setenta anos de idade, de notável saber jurídico e reputação ilibada, nomeados pelo Presidente da República após aprovação pela maioria absoluta do Senado Federal, sendo: (Redação dada pela EC n. 122/22) I - um quinto dentre advogados com mais de dez anos de efetiva atividade profissional e membros do Ministério Público do Trabalho com mais de dez anos de efetivo exercício, observado o disposto no art. 94; (Incluído pela EC 45/2004)</w:t>
      </w:r>
    </w:p>
    <w:p>
      <w:pPr>
        <w:ind w:left="144"/>
      </w:pPr>
      <w:r>
        <w:rPr>
          <w:b/>
          <w:color w:val="B45A00"/>
          <w:sz w:val="16"/>
        </w:rPr>
        <w:t>JULGADOS CORRELATOS</w:t>
      </w:r>
    </w:p>
    <w:p>
      <w:pPr>
        <w:ind w:left="288"/>
      </w:pPr>
      <w:r>
        <w:rPr>
          <w:color w:val="8C8C8C"/>
          <w:sz w:val="12"/>
        </w:rPr>
        <w:t>cf-art-111-par-1</w:t>
      </w:r>
      <w:r>
        <w:rPr>
          <w:color w:val="003CA0"/>
          <w:sz w:val="12"/>
        </w:rPr>
        <w:t xml:space="preserve"> | RE 405.031</w:t>
      </w:r>
      <w:r>
        <w:rPr>
          <w:color w:val="003CA0"/>
          <w:sz w:val="12"/>
        </w:rPr>
        <w:t xml:space="preserve"> | rel. Marco Aurélio</w:t>
      </w:r>
    </w:p>
    <w:p>
      <w:pPr>
        <w:ind w:left="288"/>
      </w:pPr>
      <w:r>
        <w:rPr>
          <w:color w:val="1E1E1E"/>
          <w:sz w:val="18"/>
        </w:rPr>
        <w:t>No tocante ao cabimento da reclamação no processo trabalhista, observem que, de há muito, o Supremo assentou a necessidade de esse instrumento estar previsto em lei no sentido formal e material, não cabendo criá-lo por meio de regimento interno. (...) Realmente, não se pode cogitar de disciplina em regimento interno, porquanto a reclamação ganha contornos de verdadeiro recurso, mostrando-se inserida, portanto, conforme ressaltado pelo Supremo, no direito constitucional de petição. Cumpre, no âmbito federal, ao Congresso Nacional dispor a respeito, ainda que o faça, ante a origem da regência do</w:t>
      </w:r>
    </w:p>
    <w:p>
      <w:pPr>
        <w:ind w:left="288"/>
      </w:pPr>
      <w:r>
        <w:rPr>
          <w:b/>
          <w:color w:val="003CA0"/>
          <w:sz w:val="16"/>
        </w:rPr>
        <w:t>[RE 405.031, voto do rel. min. Marco Aurélio, j. 15-10-2008, P, DJE de 17-4-2009.]</w:t>
      </w:r>
    </w:p>
    <w:p>
      <w:pPr>
        <w:ind w:left="288"/>
      </w:pPr>
      <w:r>
        <w:rPr>
          <w:color w:val="8C8C8C"/>
          <w:sz w:val="12"/>
        </w:rPr>
        <w:t>cf-art-111-par-1</w:t>
      </w:r>
      <w:r>
        <w:rPr>
          <w:color w:val="003CA0"/>
          <w:sz w:val="12"/>
        </w:rPr>
        <w:t xml:space="preserve"> | MS 25.191</w:t>
      </w:r>
      <w:r>
        <w:rPr>
          <w:color w:val="003CA0"/>
          <w:sz w:val="12"/>
        </w:rPr>
        <w:t xml:space="preserve"> | rel. Cármen Lúcia</w:t>
      </w:r>
    </w:p>
    <w:p>
      <w:pPr>
        <w:ind w:left="288"/>
      </w:pPr>
      <w:r>
        <w:rPr>
          <w:color w:val="1E1E1E"/>
          <w:sz w:val="18"/>
        </w:rPr>
        <w:t>Mandado de segurança. Aposentadoria compulsória de magistrado trabalhista. Competência do TST para instaurar processo administrativo disciplinar contra magistrado trabalhista. Inocorrência de prescrição administrativa. Inexistência de nulidade da sindicância e do processo administrativo. Precedentes. Impossibilidade de dilação probatória em mandado de segurança. Segurança denegada. Competência do TST para julgar processo disciplinar do impetrante decorrente da falta de quorum do TRT 14ª Região. Precedentes. A Loman não estabelece regras de prescrição da pretensão punitiva por faltas disciplina</w:t>
      </w:r>
    </w:p>
    <w:p>
      <w:pPr>
        <w:ind w:left="288"/>
      </w:pPr>
      <w:r>
        <w:rPr>
          <w:b/>
          <w:color w:val="003CA0"/>
          <w:sz w:val="16"/>
        </w:rPr>
        <w:t>[MS 25.191, rel. min. Cármen Lúcia, j. 19-11-2007, P, DJ de 14-12-2007.]</w:t>
      </w:r>
    </w:p>
    <w:p>
      <w:pPr>
        <w:ind w:left="288"/>
      </w:pPr>
      <w:r>
        <w:rPr>
          <w:color w:val="8C8C8C"/>
          <w:sz w:val="12"/>
        </w:rPr>
        <w:t>cf-art-111-par-1</w:t>
      </w:r>
      <w:r>
        <w:rPr>
          <w:color w:val="003CA0"/>
          <w:sz w:val="12"/>
        </w:rPr>
        <w:t xml:space="preserve"> | AI 176.277</w:t>
      </w:r>
      <w:r>
        <w:rPr>
          <w:color w:val="003CA0"/>
          <w:sz w:val="12"/>
        </w:rPr>
        <w:t xml:space="preserve"> | rel. Moreira Alves</w:t>
      </w:r>
    </w:p>
    <w:p>
      <w:pPr>
        <w:ind w:left="288"/>
      </w:pPr>
      <w:r>
        <w:rPr>
          <w:color w:val="1E1E1E"/>
          <w:sz w:val="18"/>
        </w:rPr>
        <w:t>A Lei 7.701/1988, ao outorgar competência à Seção de Dissídios Individuais do TST para julgar, em última instância, no âmbito trabalhista, os embargos em que se alegue violação literal a dispositivo da CF, não alçou esse órgão ao mesmo plano do STF, para que se possa sustentar que a atribuição dessa competência é inconstitucional por concorrer com a competência da Suprema Corte.</w:t>
      </w:r>
    </w:p>
    <w:p>
      <w:pPr>
        <w:ind w:left="288"/>
      </w:pPr>
      <w:r>
        <w:rPr>
          <w:b/>
          <w:color w:val="003CA0"/>
          <w:sz w:val="16"/>
        </w:rPr>
        <w:t>[AI 176.277 AgR, rel. min. Moreira Alves, j. 18-12-1995, 1ª T, DJ de 12-4-1996.]</w:t>
      </w:r>
    </w:p>
    <w:p>
      <w:pPr>
        <w:ind w:left="288"/>
      </w:pPr>
      <w:r>
        <w:rPr>
          <w:color w:val="8C8C8C"/>
          <w:sz w:val="12"/>
        </w:rPr>
        <w:t>cf-art-111-par-2</w:t>
      </w:r>
    </w:p>
    <w:p>
      <w:pPr>
        <w:ind w:left="288"/>
      </w:pPr>
      <w:r>
        <w:rPr>
          <w:color w:val="1E1E1E"/>
          <w:sz w:val="18"/>
        </w:rPr>
        <w:t>I - a Escola Nacional de Formação e Aperfeiçoamento de Magistrados do Trabalho, cabendo-lhe, dentre outras funções, regulamentar os cursos oficiais para o ingresso e promoção na carreira; (Incluído pela EC 45/2004) II - o Conselho Superior da Justiça do Trabalho, cabendo-lhe exercer, na forma da lei, a supervisão administrativa, orçamentária, financeira e patrimonial da Justiça do Trabalho de primeiro e segundo graus, como órgão central do sistema, cujas decisões terão efeito vinculante. (Incluído pela EC 45/2004)</w:t>
      </w:r>
    </w:p>
    <w:p>
      <w:pPr>
        <w:ind w:left="720"/>
      </w:pPr>
      <w:r>
        <w:rPr>
          <w:color w:val="003366"/>
          <w:sz w:val="18"/>
        </w:rPr>
        <w:t>I – o Tribunal Superior do Trabalho;</w:t>
      </w:r>
    </w:p>
    <w:p>
      <w:pPr>
        <w:ind w:left="720"/>
      </w:pPr>
      <w:r>
        <w:rPr>
          <w:color w:val="003366"/>
          <w:sz w:val="18"/>
        </w:rPr>
        <w:t>II – os Tribunais Regionais do Trabalho;</w:t>
      </w:r>
    </w:p>
    <w:p>
      <w:pPr>
        <w:ind w:left="720"/>
      </w:pPr>
      <w:r>
        <w:rPr>
          <w:color w:val="003366"/>
          <w:sz w:val="18"/>
        </w:rPr>
        <w:t>III – Juizes do Trabalho. (Redação dada pela Emenda Constitucional nº 24, de 199</w:t>
      </w:r>
    </w:p>
    <w:p>
      <w:r>
        <w:rPr>
          <w:b/>
          <w:color w:val="003366"/>
          <w:sz w:val="20"/>
        </w:rPr>
        <w:t>Art. 111 A. O Tribunal Superior do Trabalho compõe-se de vinte e sete Ministros,</w:t>
      </w:r>
      <w:r>
        <w:rPr>
          <w:color w:val="8C8C8C"/>
          <w:sz w:val="14"/>
        </w:rPr>
        <w:t xml:space="preserve">  [5 decisoes]</w:t>
      </w:r>
    </w:p>
    <w:p>
      <w:pPr>
        <w:ind w:left="288"/>
      </w:pPr>
      <w:r>
        <w:rPr>
          <w:color w:val="8C8C8C"/>
          <w:sz w:val="12"/>
        </w:rPr>
        <w:t>cf-art-111-par-3</w:t>
      </w:r>
    </w:p>
    <w:p>
      <w:pPr>
        <w:ind w:left="288"/>
      </w:pPr>
      <w:r>
        <w:rPr>
          <w:color w:val="1E1E1E"/>
          <w:sz w:val="18"/>
        </w:rPr>
        <w:t>Art. 111-A. O Tribunal Superior do Trabalho compõe-se de vinte e sete Ministros, escolhidos dentre brasileiros com mais de trinta e cinco e menos de setenta anos de idade, de notável saber jurídico e reputação ilibada, nomeados pelo Presidente da República após aprovação pela maioria absoluta do Senado Federal, sendo: (Redação dada pela EC n. 122/22) I - um quinto dentre advogados com mais de dez anos de efetiva atividade profissional e membros do Ministério Público do Trabalho com mais de dez anos de efetivo exercício, observado o disposto no art. 94; (Incluído pela EC 45/2004)</w:t>
      </w:r>
    </w:p>
    <w:p>
      <w:pPr>
        <w:ind w:left="144"/>
      </w:pPr>
      <w:r>
        <w:rPr>
          <w:b/>
          <w:color w:val="B45A00"/>
          <w:sz w:val="16"/>
        </w:rPr>
        <w:t>JULGADOS CORRELATOS</w:t>
      </w:r>
    </w:p>
    <w:p>
      <w:pPr>
        <w:ind w:left="288"/>
      </w:pPr>
      <w:r>
        <w:rPr>
          <w:color w:val="8C8C8C"/>
          <w:sz w:val="12"/>
        </w:rPr>
        <w:t>cf-art-111-par-1</w:t>
      </w:r>
      <w:r>
        <w:rPr>
          <w:color w:val="003CA0"/>
          <w:sz w:val="12"/>
        </w:rPr>
        <w:t xml:space="preserve"> | RE 405.031</w:t>
      </w:r>
      <w:r>
        <w:rPr>
          <w:color w:val="003CA0"/>
          <w:sz w:val="12"/>
        </w:rPr>
        <w:t xml:space="preserve"> | rel. Marco Aurélio</w:t>
      </w:r>
    </w:p>
    <w:p>
      <w:pPr>
        <w:ind w:left="288"/>
      </w:pPr>
      <w:r>
        <w:rPr>
          <w:color w:val="1E1E1E"/>
          <w:sz w:val="18"/>
        </w:rPr>
        <w:t>No tocante ao cabimento da reclamação no processo trabalhista, observem que, de há muito, o Supremo assentou a necessidade de esse instrumento estar previsto em lei no sentido formal e material, não cabendo criá-lo por meio de regimento interno. (...) Realmente, não se pode cogitar de disciplina em regimento interno, porquanto a reclamação ganha contornos de verdadeiro recurso, mostrando-se inserida, portanto, conforme ressaltado pelo Supremo, no direito constitucional de petição. Cumpre, no âmbito federal, ao Congresso Nacional dispor a respeito, ainda que o faça, ante a origem da regência do</w:t>
      </w:r>
    </w:p>
    <w:p>
      <w:pPr>
        <w:ind w:left="288"/>
      </w:pPr>
      <w:r>
        <w:rPr>
          <w:b/>
          <w:color w:val="003CA0"/>
          <w:sz w:val="16"/>
        </w:rPr>
        <w:t>[RE 405.031, voto do rel. min. Marco Aurélio, j. 15-10-2008, P, DJE de 17-4-2009.]</w:t>
      </w:r>
    </w:p>
    <w:p>
      <w:pPr>
        <w:ind w:left="288"/>
      </w:pPr>
      <w:r>
        <w:rPr>
          <w:color w:val="8C8C8C"/>
          <w:sz w:val="12"/>
        </w:rPr>
        <w:t>cf-art-111-par-1</w:t>
      </w:r>
      <w:r>
        <w:rPr>
          <w:color w:val="003CA0"/>
          <w:sz w:val="12"/>
        </w:rPr>
        <w:t xml:space="preserve"> | MS 25.191</w:t>
      </w:r>
      <w:r>
        <w:rPr>
          <w:color w:val="003CA0"/>
          <w:sz w:val="12"/>
        </w:rPr>
        <w:t xml:space="preserve"> | rel. Cármen Lúcia</w:t>
      </w:r>
    </w:p>
    <w:p>
      <w:pPr>
        <w:ind w:left="288"/>
      </w:pPr>
      <w:r>
        <w:rPr>
          <w:color w:val="1E1E1E"/>
          <w:sz w:val="18"/>
        </w:rPr>
        <w:t>Mandado de segurança. Aposentadoria compulsória de magistrado trabalhista. Competência do TST para instaurar processo administrativo disciplinar contra magistrado trabalhista. Inocorrência de prescrição administrativa. Inexistência de nulidade da sindicância e do processo administrativo. Precedentes. Impossibilidade de dilação probatória em mandado de segurança. Segurança denegada. Competência do TST para julgar processo disciplinar do impetrante decorrente da falta de quorum do TRT 14ª Região. Precedentes. A Loman não estabelece regras de prescrição da pretensão punitiva por faltas disciplina</w:t>
      </w:r>
    </w:p>
    <w:p>
      <w:pPr>
        <w:ind w:left="288"/>
      </w:pPr>
      <w:r>
        <w:rPr>
          <w:b/>
          <w:color w:val="003CA0"/>
          <w:sz w:val="16"/>
        </w:rPr>
        <w:t>[MS 25.191, rel. min. Cármen Lúcia, j. 19-11-2007, P, DJ de 14-12-2007.]</w:t>
      </w:r>
    </w:p>
    <w:p>
      <w:pPr>
        <w:ind w:left="288"/>
      </w:pPr>
      <w:r>
        <w:rPr>
          <w:color w:val="8C8C8C"/>
          <w:sz w:val="12"/>
        </w:rPr>
        <w:t>cf-art-111-par-1</w:t>
      </w:r>
      <w:r>
        <w:rPr>
          <w:color w:val="003CA0"/>
          <w:sz w:val="12"/>
        </w:rPr>
        <w:t xml:space="preserve"> | AI 176.277</w:t>
      </w:r>
      <w:r>
        <w:rPr>
          <w:color w:val="003CA0"/>
          <w:sz w:val="12"/>
        </w:rPr>
        <w:t xml:space="preserve"> | rel. Moreira Alves</w:t>
      </w:r>
    </w:p>
    <w:p>
      <w:pPr>
        <w:ind w:left="288"/>
      </w:pPr>
      <w:r>
        <w:rPr>
          <w:color w:val="1E1E1E"/>
          <w:sz w:val="18"/>
        </w:rPr>
        <w:t>A Lei 7.701/1988, ao outorgar competência à Seção de Dissídios Individuais do TST para julgar, em última instância, no âmbito trabalhista, os embargos em que se alegue violação literal a dispositivo da CF, não alçou esse órgão ao mesmo plano do STF, para que se possa sustentar que a atribuição dessa competência é inconstitucional por concorrer com a competência da Suprema Corte.</w:t>
      </w:r>
    </w:p>
    <w:p>
      <w:pPr>
        <w:ind w:left="288"/>
      </w:pPr>
      <w:r>
        <w:rPr>
          <w:b/>
          <w:color w:val="003CA0"/>
          <w:sz w:val="16"/>
        </w:rPr>
        <w:t>[AI 176.277 AgR, rel. min. Moreira Alves, j. 18-12-1995, 1ª T, DJ de 12-4-1996.]</w:t>
      </w:r>
    </w:p>
    <w:p>
      <w:pPr>
        <w:ind w:left="288"/>
      </w:pPr>
      <w:r>
        <w:rPr>
          <w:color w:val="8C8C8C"/>
          <w:sz w:val="12"/>
        </w:rPr>
        <w:t>cf-art-111-par-2</w:t>
      </w:r>
    </w:p>
    <w:p>
      <w:pPr>
        <w:ind w:left="288"/>
      </w:pPr>
      <w:r>
        <w:rPr>
          <w:color w:val="1E1E1E"/>
          <w:sz w:val="18"/>
        </w:rPr>
        <w:t>I - a Escola Nacional de Formação e Aperfeiçoamento de Magistrados do Trabalho, cabendo-lhe, dentre outras funções, regulamentar os cursos oficiais para o ingresso e promoção na carreira; (Incluído pela EC 45/2004) II - o Conselho Superior da Justiça do Trabalho, cabendo-lhe exercer, na forma da lei, a supervisão administrativa, orçamentária, financeira e patrimonial da Justiça do Trabalho de primeiro e segundo graus, como órgão central do sistema, cujas decisões terão efeito vinculante. (Incluído pela EC 45/2004)</w:t>
      </w:r>
    </w:p>
    <w:p>
      <w:pPr>
        <w:ind w:left="432"/>
      </w:pPr>
      <w:r>
        <w:rPr>
          <w:color w:val="003366"/>
          <w:sz w:val="18"/>
        </w:rPr>
        <w:t>§ 1 A lei disporá sobre a competência do Tribunal Superior do Trabalho. (Incluíd</w:t>
      </w:r>
    </w:p>
    <w:p>
      <w:pPr>
        <w:ind w:left="432"/>
      </w:pPr>
      <w:r>
        <w:rPr>
          <w:color w:val="003366"/>
          <w:sz w:val="18"/>
        </w:rPr>
        <w:t>§ 2 Funcionarão junto ao Tribunal Superior do Trabalho: (Incluído pela Emenda Co</w:t>
      </w:r>
    </w:p>
    <w:p>
      <w:pPr>
        <w:ind w:left="432"/>
      </w:pPr>
      <w:r>
        <w:rPr>
          <w:color w:val="003366"/>
          <w:sz w:val="18"/>
        </w:rPr>
        <w:t>§ 3 Compete ao Tribunal Superior do Trabalho processar e julgar, originariamente</w:t>
      </w:r>
    </w:p>
    <w:p>
      <w:r>
        <w:rPr>
          <w:b/>
          <w:color w:val="003366"/>
          <w:sz w:val="20"/>
        </w:rPr>
        <w:t>Art. 112 A lei criará varas da Justiça do Trabalho, podendo, nas comarcas não ab</w:t>
      </w:r>
    </w:p>
    <w:p>
      <w:r>
        <w:rPr>
          <w:b/>
          <w:color w:val="003366"/>
          <w:sz w:val="20"/>
        </w:rPr>
        <w:t>Art. 113 A lei disporá sobre a constituição, investidura, jurisdição, competênci</w:t>
      </w:r>
      <w:r>
        <w:rPr>
          <w:color w:val="8C8C8C"/>
          <w:sz w:val="14"/>
        </w:rPr>
        <w:t xml:space="preserve">  [3 decisoes]</w:t>
      </w:r>
    </w:p>
    <w:p>
      <w:pPr>
        <w:ind w:left="144"/>
      </w:pPr>
      <w:r>
        <w:rPr>
          <w:b/>
          <w:color w:val="B45A00"/>
          <w:sz w:val="16"/>
        </w:rPr>
        <w:t>SUMULA</w:t>
      </w:r>
    </w:p>
    <w:p>
      <w:pPr>
        <w:ind w:left="288"/>
      </w:pPr>
      <w:r>
        <w:rPr>
          <w:color w:val="8C8C8C"/>
          <w:sz w:val="12"/>
        </w:rPr>
        <w:t>cf-art-113</w:t>
      </w:r>
    </w:p>
    <w:p>
      <w:pPr>
        <w:ind w:left="288"/>
      </w:pPr>
      <w:r>
        <w:rPr>
          <w:color w:val="1E1E1E"/>
          <w:sz w:val="18"/>
        </w:rPr>
        <w:t>Integrante de lista de candidatos a determinada vaga da composição de tribunal é parte legítima para impugnar a validade da nomeação de concorrente.</w:t>
      </w:r>
    </w:p>
    <w:p>
      <w:pPr>
        <w:ind w:left="288"/>
      </w:pPr>
      <w:r>
        <w:rPr>
          <w:b/>
          <w:color w:val="003CA0"/>
          <w:sz w:val="16"/>
        </w:rPr>
        <w:t>[Súmula 628.]</w:t>
      </w:r>
    </w:p>
    <w:p>
      <w:pPr>
        <w:ind w:left="144"/>
      </w:pPr>
      <w:r>
        <w:rPr>
          <w:b/>
          <w:color w:val="B45A00"/>
          <w:sz w:val="16"/>
        </w:rPr>
        <w:t>CONTROLE CONCENTRADO</w:t>
      </w:r>
    </w:p>
    <w:p>
      <w:pPr>
        <w:ind w:left="288"/>
      </w:pPr>
      <w:r>
        <w:rPr>
          <w:color w:val="8C8C8C"/>
          <w:sz w:val="12"/>
        </w:rPr>
        <w:t>cf-art-113</w:t>
      </w:r>
      <w:r>
        <w:rPr>
          <w:color w:val="003CA0"/>
          <w:sz w:val="12"/>
        </w:rPr>
        <w:t xml:space="preserve"> | ADI 2.527</w:t>
      </w:r>
      <w:r>
        <w:rPr>
          <w:color w:val="003CA0"/>
          <w:sz w:val="12"/>
        </w:rPr>
        <w:t xml:space="preserve"> | rel. Ellen Gracie</w:t>
      </w:r>
    </w:p>
    <w:p>
      <w:pPr>
        <w:ind w:left="288"/>
      </w:pPr>
      <w:r>
        <w:rPr>
          <w:color w:val="1E1E1E"/>
          <w:sz w:val="18"/>
        </w:rPr>
        <w:t>A introdução, no art. 6º da Lei 9.469/1997, de dispositivo que afasta, no caso de transação ou acordo, a possibilidade do pagamento dos honorários devidos ao advogado da parte contrária, ainda que fruto de condenação transitada em julgado, choca-se, aparentemente, com a garantia insculpida no art. 5º, XXXVI, da Constituição, por desconsiderar a coisa julgada, além de afrontar a garantia de isonomia da parte obrigada a negociar despida de uma parcela significativa de seu poder de barganha, correspondente à verba honorária.</w:t>
      </w:r>
    </w:p>
    <w:p>
      <w:pPr>
        <w:ind w:left="288"/>
      </w:pPr>
      <w:r>
        <w:rPr>
          <w:b/>
          <w:color w:val="003CA0"/>
          <w:sz w:val="16"/>
        </w:rPr>
        <w:t>[ADI 2.527 MC, rel. min. Ellen Gracie, j. 16-8-2007, P, DJ de 23-11-2007.]</w:t>
      </w:r>
    </w:p>
    <w:p>
      <w:pPr>
        <w:ind w:left="144"/>
      </w:pPr>
      <w:r>
        <w:rPr>
          <w:b/>
          <w:color w:val="B45A00"/>
          <w:sz w:val="16"/>
        </w:rPr>
        <w:t>JULGADOS CORRELATOS</w:t>
      </w:r>
    </w:p>
    <w:p>
      <w:pPr>
        <w:ind w:left="288"/>
      </w:pPr>
      <w:r>
        <w:rPr>
          <w:color w:val="8C8C8C"/>
          <w:sz w:val="12"/>
        </w:rPr>
        <w:t>cf-art-113</w:t>
      </w:r>
      <w:r>
        <w:rPr>
          <w:color w:val="003CA0"/>
          <w:sz w:val="12"/>
        </w:rPr>
        <w:t xml:space="preserve"> | RCL 1.993</w:t>
      </w:r>
      <w:r>
        <w:rPr>
          <w:color w:val="003CA0"/>
          <w:sz w:val="12"/>
        </w:rPr>
        <w:t xml:space="preserve"> | rel. Eros Grau</w:t>
      </w:r>
    </w:p>
    <w:p>
      <w:pPr>
        <w:ind w:left="288"/>
      </w:pPr>
      <w:r>
        <w:rPr>
          <w:color w:val="1E1E1E"/>
          <w:sz w:val="18"/>
        </w:rPr>
        <w:t>Agravo regimental. Decisão concernente à perda do objeto da reclamação. Mandato dos juízes classistas expirado. Agravo regimental visando ao cumprimento integral da liminar concedida. Pagamento de proventos devidos. Exercício do mandato classista. Reforma do ato que julgou prejudicado o pedido. Seguimento à reclamação. Processamento da reclamação para resguardar os efeitos da liminar concedida. Decisão liminar que visava a assegurar o exercício dos mandatos de juiz classista temporário do TRT 5ª Região àqueles cuja nomeação e investidura foram anteriores à promulgação da EC 24/1999. Agravo reg</w:t>
      </w:r>
    </w:p>
    <w:p>
      <w:pPr>
        <w:ind w:left="288"/>
      </w:pPr>
      <w:r>
        <w:rPr>
          <w:b/>
          <w:color w:val="003CA0"/>
          <w:sz w:val="16"/>
        </w:rPr>
        <w:t>[Rcl 1.993 AgR, rel. min. Eros Grau, j. 28-3-2007, P, DJ de 8-6-2007.]</w:t>
      </w:r>
    </w:p>
    <w:p>
      <w:r>
        <w:rPr>
          <w:b/>
          <w:color w:val="003366"/>
          <w:sz w:val="20"/>
        </w:rPr>
        <w:t>Art. 114 Compete à Justiça do Trabalho processar e julgar: (Redação dada pela Em</w:t>
      </w:r>
      <w:r>
        <w:rPr>
          <w:color w:val="8C8C8C"/>
          <w:sz w:val="14"/>
        </w:rPr>
        <w:t xml:space="preserve">  [54 decisoes]</w:t>
      </w:r>
    </w:p>
    <w:p>
      <w:pPr>
        <w:ind w:left="144"/>
      </w:pPr>
      <w:r>
        <w:rPr>
          <w:b/>
          <w:color w:val="B45A00"/>
          <w:sz w:val="16"/>
        </w:rPr>
        <w:t>CONTROLE CONCENTRADO</w:t>
      </w:r>
    </w:p>
    <w:p>
      <w:pPr>
        <w:ind w:left="288"/>
      </w:pPr>
      <w:r>
        <w:rPr>
          <w:color w:val="8C8C8C"/>
          <w:sz w:val="12"/>
        </w:rPr>
        <w:t>cf-art-114</w:t>
      </w:r>
      <w:r>
        <w:rPr>
          <w:color w:val="003CA0"/>
          <w:sz w:val="12"/>
        </w:rPr>
        <w:t xml:space="preserve"> | ADI 3.684</w:t>
      </w:r>
      <w:r>
        <w:rPr>
          <w:color w:val="003CA0"/>
          <w:sz w:val="12"/>
        </w:rPr>
        <w:t xml:space="preserve"> | rel. Gilmar Mendes</w:t>
      </w:r>
    </w:p>
    <w:p>
      <w:pPr>
        <w:ind w:left="288"/>
      </w:pPr>
      <w:r>
        <w:rPr>
          <w:color w:val="1E1E1E"/>
          <w:sz w:val="18"/>
        </w:rPr>
        <w:t>Interpretação conforme ao disposto no art. 114, I, IV e IX, da Constituição da República, de modo a afastar a competência da Justiça do Trabalho para processar e julgar ações penais.</w:t>
      </w:r>
    </w:p>
    <w:p>
      <w:pPr>
        <w:ind w:left="288"/>
      </w:pPr>
      <w:r>
        <w:rPr>
          <w:b/>
          <w:color w:val="003CA0"/>
          <w:sz w:val="16"/>
        </w:rPr>
        <w:t>[ADI 3.684, rel. min. Gilmar Mendes, j. 11-5-2020, P, DJE de 1º-6-2020.]</w:t>
      </w:r>
    </w:p>
    <w:p>
      <w:pPr>
        <w:ind w:left="288"/>
      </w:pPr>
      <w:r>
        <w:rPr>
          <w:color w:val="8C8C8C"/>
          <w:sz w:val="12"/>
        </w:rPr>
        <w:t>cf-art-114</w:t>
      </w:r>
      <w:r>
        <w:rPr>
          <w:color w:val="003CA0"/>
          <w:sz w:val="12"/>
        </w:rPr>
        <w:t xml:space="preserve"> | ARE 1.532.603</w:t>
      </w:r>
      <w:r>
        <w:rPr>
          <w:color w:val="003CA0"/>
          <w:sz w:val="12"/>
        </w:rPr>
        <w:t xml:space="preserve"> | rel. Gilmar Mendes</w:t>
      </w:r>
    </w:p>
    <w:p>
      <w:pPr>
        <w:ind w:left="288"/>
      </w:pPr>
      <w:r>
        <w:rPr>
          <w:color w:val="1E1E1E"/>
          <w:sz w:val="18"/>
        </w:rPr>
        <w:t>Competência e ônus da prova nos processos que discutem a existência de fraude no contrato civil/comercial de prestação de serviços; e a licitude da contratação de pessoa jurídica ou trabalhador autônomo para essa finalidade.</w:t>
      </w:r>
    </w:p>
    <w:p>
      <w:pPr>
        <w:ind w:left="288"/>
      </w:pPr>
      <w:r>
        <w:rPr>
          <w:b/>
          <w:color w:val="003CA0"/>
          <w:sz w:val="16"/>
        </w:rPr>
        <w:t>[ARE 1.532.603 RG, rel. min. Gilmar Mendes, j. 11.04.2025, P, DJE de 24.04.2025, Tema 1.389, com mérito pendente.]</w:t>
      </w:r>
    </w:p>
    <w:p>
      <w:pPr>
        <w:ind w:left="144"/>
      </w:pPr>
      <w:r>
        <w:rPr>
          <w:b/>
          <w:color w:val="B45A00"/>
          <w:sz w:val="16"/>
        </w:rPr>
        <w:t>REPERCUSSAO GERAL</w:t>
      </w:r>
    </w:p>
    <w:p>
      <w:pPr>
        <w:ind w:left="288"/>
      </w:pPr>
      <w:r>
        <w:rPr>
          <w:color w:val="8C8C8C"/>
          <w:sz w:val="12"/>
        </w:rPr>
        <w:t>cf-art-114</w:t>
      </w:r>
      <w:r>
        <w:rPr>
          <w:color w:val="003CA0"/>
          <w:sz w:val="12"/>
        </w:rPr>
        <w:t xml:space="preserve"> | RE 1.034.840</w:t>
      </w:r>
      <w:r>
        <w:rPr>
          <w:color w:val="003CA0"/>
          <w:sz w:val="12"/>
        </w:rPr>
        <w:t xml:space="preserve"> | rel. Luiz Fux</w:t>
      </w:r>
    </w:p>
    <w:p>
      <w:pPr>
        <w:ind w:left="288"/>
      </w:pPr>
      <w:r>
        <w:rPr>
          <w:color w:val="1E1E1E"/>
          <w:sz w:val="18"/>
        </w:rPr>
        <w:t>O organismo internacional que tenha garantida a imunidade de jurisdição em tratado firmado pelo Brasil e internalizado na ordem jurídica brasileira não pode ser demandado em juízo, salvo em caso de renúncia expressa a essa imunidade.</w:t>
        <w:br/>
        <w:t>[RE 1.034.840 RG, rel. min. Luiz Fux, j. 1º-6-2017, P, DJE de 30-6-2017, Tema 947, com mérito julgado.]</w:t>
        <w:br/>
        <w:t>Vide RE 222.368 AgR, rel. min. Celso de Mello, j. 30-4-2002, 2ª T, DJ de 14-2-2003</w:t>
        <w:br/>
        <w:t>Vide ACi 9.696, rel. min. Sydney Sanches, j. 31-5-1989, P, DJ de 12-10-1990</w:t>
      </w:r>
    </w:p>
    <w:p>
      <w:pPr>
        <w:ind w:left="144"/>
      </w:pPr>
      <w:r>
        <w:rPr>
          <w:b/>
          <w:color w:val="B45A00"/>
          <w:sz w:val="16"/>
        </w:rPr>
        <w:t>JULGADOS CORRELATOS</w:t>
      </w:r>
    </w:p>
    <w:p>
      <w:pPr>
        <w:ind w:left="288"/>
      </w:pPr>
      <w:r>
        <w:rPr>
          <w:color w:val="8C8C8C"/>
          <w:sz w:val="12"/>
        </w:rPr>
        <w:t>cf-art-114</w:t>
      </w:r>
      <w:r>
        <w:rPr>
          <w:color w:val="003CA0"/>
          <w:sz w:val="12"/>
        </w:rPr>
        <w:t xml:space="preserve"> | RE 1.090.128</w:t>
      </w:r>
      <w:r>
        <w:rPr>
          <w:color w:val="003CA0"/>
          <w:sz w:val="12"/>
        </w:rPr>
        <w:t xml:space="preserve"> | rel. Celso de Mello</w:t>
      </w:r>
    </w:p>
    <w:p>
      <w:pPr>
        <w:ind w:left="288"/>
      </w:pPr>
      <w:r>
        <w:rPr>
          <w:color w:val="1E1E1E"/>
          <w:sz w:val="18"/>
        </w:rPr>
        <w:t>(...) compete à Justiça do Trabalho julgar ação civil pública na qual se discute questões relativas à saúde, à higiene e à segurança do trabalho.</w:t>
      </w:r>
    </w:p>
    <w:p>
      <w:pPr>
        <w:ind w:left="288"/>
      </w:pPr>
      <w:r>
        <w:rPr>
          <w:b/>
          <w:color w:val="003CA0"/>
          <w:sz w:val="16"/>
        </w:rPr>
        <w:t>[RE 1.090.128 AgR, rel. min. Celso de Mello, j. 23-3-2018, 2ª T, DJE de 18-4-2018.]</w:t>
      </w:r>
    </w:p>
    <w:p>
      <w:pPr>
        <w:ind w:left="288"/>
      </w:pPr>
      <w:r>
        <w:rPr>
          <w:color w:val="8C8C8C"/>
          <w:sz w:val="12"/>
        </w:rPr>
        <w:t>cf-art-114</w:t>
      </w:r>
      <w:r>
        <w:rPr>
          <w:color w:val="003CA0"/>
          <w:sz w:val="12"/>
        </w:rPr>
        <w:t xml:space="preserve"> | rel. Ayres Britto</w:t>
      </w:r>
    </w:p>
    <w:p>
      <w:pPr>
        <w:ind w:left="288"/>
      </w:pPr>
      <w:r>
        <w:rPr>
          <w:color w:val="1E1E1E"/>
          <w:sz w:val="18"/>
        </w:rPr>
        <w:t>(...) o Plenário decidiu, por maioria, que o marco temporal da competência da Justiça Trabalhista é o advento da EC 45/2004. Emenda que explicitou a competência da Justiça Laboral na matéria em apreço. A nova orientação alcança os processos em trâmite pela Justiça comum estadual, desde que pendentes de julgamento de mérito. É dizer: as ações que tramitam perante a Justiça comum dos Estados, com sentença de mérito anterior à promulgação da EC 45/2004, lá continuam até o trânsito em julgado e correspondente execução. Quanto àquelas cujo mérito ainda não foi apreciado, hão de ser remetidas à Just</w:t>
      </w:r>
    </w:p>
    <w:p>
      <w:pPr>
        <w:ind w:left="288"/>
      </w:pPr>
      <w:r>
        <w:rPr>
          <w:b/>
          <w:color w:val="003CA0"/>
          <w:sz w:val="16"/>
        </w:rPr>
        <w:t>[CC 7.204, rel. min. Ayres Britto, j. 29-6-2005, P, DJ de 9-12-2005.]</w:t>
      </w:r>
    </w:p>
    <w:p>
      <w:pPr>
        <w:ind w:left="288"/>
      </w:pPr>
      <w:r>
        <w:rPr>
          <w:color w:val="8C8C8C"/>
          <w:sz w:val="12"/>
        </w:rPr>
        <w:t>cf-art-114</w:t>
      </w:r>
      <w:r>
        <w:rPr>
          <w:color w:val="003CA0"/>
          <w:sz w:val="12"/>
        </w:rPr>
        <w:t xml:space="preserve"> | rel. Gilmar Mendes</w:t>
      </w:r>
    </w:p>
    <w:p>
      <w:pPr>
        <w:ind w:left="288"/>
      </w:pPr>
      <w:r>
        <w:rPr>
          <w:color w:val="1E1E1E"/>
          <w:sz w:val="18"/>
        </w:rPr>
        <w:t>Contrato por tempo determinado para atender a necessidade temporária de excepcional interesse público. Típica demanda trabalhista contra pessoa jurídica de direito público. Competência da Justiça do Trabalho. Art. 114 da Constituição. Precedentes.</w:t>
      </w:r>
    </w:p>
    <w:p>
      <w:pPr>
        <w:ind w:left="288"/>
      </w:pPr>
      <w:r>
        <w:rPr>
          <w:b/>
          <w:color w:val="003CA0"/>
          <w:sz w:val="16"/>
        </w:rPr>
        <w:t>[CC 7.128, rel. min. Gilmar Mendes, j. 2-2-2005, P, DJ de 1º-4-2005.]</w:t>
      </w:r>
    </w:p>
    <w:p>
      <w:pPr>
        <w:ind w:left="288"/>
      </w:pPr>
      <w:r>
        <w:rPr>
          <w:color w:val="8C8C8C"/>
          <w:sz w:val="12"/>
        </w:rPr>
        <w:t>cf-art-114</w:t>
      </w:r>
      <w:r>
        <w:rPr>
          <w:color w:val="003CA0"/>
          <w:sz w:val="12"/>
        </w:rPr>
        <w:t xml:space="preserve"> | RE 222.368</w:t>
      </w:r>
      <w:r>
        <w:rPr>
          <w:color w:val="003CA0"/>
          <w:sz w:val="12"/>
        </w:rPr>
        <w:t xml:space="preserve"> | rel. Celso de Mello</w:t>
      </w:r>
    </w:p>
    <w:p>
      <w:pPr>
        <w:ind w:left="288"/>
      </w:pPr>
      <w:r>
        <w:rPr>
          <w:color w:val="1E1E1E"/>
          <w:sz w:val="18"/>
        </w:rPr>
        <w:t>Os Estados estrangeiros não dispõem de imunidade de jurisdição, perante o Poder Judiciário brasileiro, nas causas de natureza trabalhista, pois essa prerrogativa de direito internacional público tem caráter meramente relativo. Privilégios diplomáticos não podem ser invocados, em processos trabalhistas, para coonestar o enriquecimento sem causa de Estados estrangeiros, em inaceitável detrimento de trabalhadores residentes em território brasileiro, sob pena de essa prática consagrar censurável desvio ético-jurídico, incompatível com o princípio da boa-fé e inconciliável com os grandes postulados</w:t>
      </w:r>
    </w:p>
    <w:p>
      <w:pPr>
        <w:ind w:left="288"/>
      </w:pPr>
      <w:r>
        <w:rPr>
          <w:b/>
          <w:color w:val="003CA0"/>
          <w:sz w:val="16"/>
        </w:rPr>
        <w:t>[RE 222.368 AgR, rel. min. Celso de Mello, j. 30-4-2002, 2ª T, DJ de 14-2-2003.]</w:t>
        <w:br/>
        <w:t>Vide RE 1.034.840 RG, rel. min. Luiz Fux, j. 1º-6-2017, P, DJE de 30-6-2017, Tema 947</w:t>
      </w:r>
    </w:p>
    <w:p>
      <w:pPr>
        <w:ind w:left="288"/>
      </w:pPr>
      <w:r>
        <w:rPr>
          <w:color w:val="8C8C8C"/>
          <w:sz w:val="12"/>
        </w:rPr>
        <w:t>cf-art-114</w:t>
      </w:r>
      <w:r>
        <w:rPr>
          <w:color w:val="003CA0"/>
          <w:sz w:val="12"/>
        </w:rPr>
        <w:t xml:space="preserve"> | RE 206.220</w:t>
      </w:r>
      <w:r>
        <w:rPr>
          <w:color w:val="003CA0"/>
          <w:sz w:val="12"/>
        </w:rPr>
        <w:t xml:space="preserve"> | rel. Marco Aurélio</w:t>
      </w:r>
    </w:p>
    <w:p>
      <w:pPr>
        <w:ind w:left="288"/>
      </w:pPr>
      <w:r>
        <w:rPr>
          <w:color w:val="1E1E1E"/>
          <w:sz w:val="18"/>
        </w:rPr>
        <w:t>Tendo a ação civil pública como causas de pedir disposições trabalhistas e pedidos voltados à preservação do meio ambiente do trabalho e, portanto, aos interesses dos empregados, a competência para julgá-la é da Justiça do Trabalho.</w:t>
      </w:r>
    </w:p>
    <w:p>
      <w:pPr>
        <w:ind w:left="288"/>
      </w:pPr>
      <w:r>
        <w:rPr>
          <w:b/>
          <w:color w:val="003CA0"/>
          <w:sz w:val="16"/>
        </w:rPr>
        <w:t>[RE 206.220, rel. min. Marco Aurélio, j. 16-3-1999, 2ª T, DJ de 17-9-1999.]</w:t>
      </w:r>
    </w:p>
    <w:p>
      <w:pPr>
        <w:ind w:left="288"/>
      </w:pPr>
      <w:r>
        <w:rPr>
          <w:color w:val="8C8C8C"/>
          <w:sz w:val="12"/>
        </w:rPr>
        <w:t>cf-art-114</w:t>
      </w:r>
      <w:r>
        <w:rPr>
          <w:color w:val="003CA0"/>
          <w:sz w:val="12"/>
        </w:rPr>
        <w:t xml:space="preserve"> | RE 234.715</w:t>
      </w:r>
      <w:r>
        <w:rPr>
          <w:color w:val="003CA0"/>
          <w:sz w:val="12"/>
        </w:rPr>
        <w:t xml:space="preserve"> | rel. Ilmar Galvão</w:t>
      </w:r>
    </w:p>
    <w:p>
      <w:pPr>
        <w:ind w:left="288"/>
      </w:pPr>
      <w:r>
        <w:rPr>
          <w:color w:val="1E1E1E"/>
          <w:sz w:val="18"/>
        </w:rPr>
        <w:t>Fixada pelas instâncias trabalhistas, a partir dos elementos fáticos, a premissa de que o contrato celebrado tem natureza trabalhista, regido pela CLT, não há como se ter por afrontada a norma inserta no art. 114 da Carta Magna, que determina ser da competência da Justiça do Trabalho a apreciação de ações decorrentes de relações de trabalho.</w:t>
      </w:r>
    </w:p>
    <w:p>
      <w:pPr>
        <w:ind w:left="288"/>
      </w:pPr>
      <w:r>
        <w:rPr>
          <w:b/>
          <w:color w:val="003CA0"/>
          <w:sz w:val="16"/>
        </w:rPr>
        <w:t>[RE 234.715, rel. min. Ilmar Galvão, j. 15-12-1998, 1ª T, DJ de 25-6-1999.]</w:t>
      </w:r>
    </w:p>
    <w:p>
      <w:pPr>
        <w:ind w:left="288"/>
      </w:pPr>
      <w:r>
        <w:rPr>
          <w:color w:val="8C8C8C"/>
          <w:sz w:val="12"/>
        </w:rPr>
        <w:t>cf-art-114</w:t>
      </w:r>
      <w:r>
        <w:rPr>
          <w:color w:val="003CA0"/>
          <w:sz w:val="12"/>
        </w:rPr>
        <w:t xml:space="preserve"> | rel. Célio Borja</w:t>
      </w:r>
    </w:p>
    <w:p>
      <w:pPr>
        <w:ind w:left="288"/>
      </w:pPr>
      <w:r>
        <w:rPr>
          <w:color w:val="1E1E1E"/>
          <w:sz w:val="18"/>
        </w:rPr>
        <w:t>À determinação da competência da Justiça do Trabalho não importa que dependa a solução da lide de questões de direito civil, mas sim, no caso, que a promessa de contrato, cujo alegado conteúdo é o fundamento do pedido, tenha sido feita em razão da relação de emprego, inserindo-se no contrato de trabalho.</w:t>
      </w:r>
    </w:p>
    <w:p>
      <w:pPr>
        <w:ind w:left="288"/>
      </w:pPr>
      <w:r>
        <w:rPr>
          <w:b/>
          <w:color w:val="003CA0"/>
          <w:sz w:val="16"/>
        </w:rPr>
        <w:t>[CJ 6.959, rel. min. Célio Borja, j. 23-5-1990, P, DJ de 22-2-1991.]</w:t>
      </w:r>
    </w:p>
    <w:p>
      <w:pPr>
        <w:ind w:left="288"/>
      </w:pPr>
      <w:r>
        <w:rPr>
          <w:color w:val="8C8C8C"/>
          <w:sz w:val="12"/>
        </w:rPr>
        <w:t>cf-art-114</w:t>
      </w:r>
      <w:r>
        <w:rPr>
          <w:color w:val="003CA0"/>
          <w:sz w:val="12"/>
        </w:rPr>
        <w:t xml:space="preserve"> | RE 503.278</w:t>
      </w:r>
      <w:r>
        <w:rPr>
          <w:color w:val="003CA0"/>
          <w:sz w:val="12"/>
        </w:rPr>
        <w:t xml:space="preserve"> | rel. Ayres Britto</w:t>
      </w:r>
    </w:p>
    <w:p>
      <w:pPr>
        <w:ind w:left="288"/>
      </w:pPr>
      <w:r>
        <w:rPr>
          <w:color w:val="1E1E1E"/>
          <w:sz w:val="18"/>
        </w:rPr>
        <w:t>= RE 503.278 AgR, rel. min. Ayres Britto, j. 26-4-2007, 1ª T, DJ de 3-8-2007 Estado estrangeiro. Imunidade judiciária. Causa trabalhista. Não há imunidade de jurisdição para o Estado estrangeiro, em causa de natureza trabalhista. Em princípio, esta deve ser processada e julgada pela Justiça do Trabalho, se ajuizada depois do advento da CF/1988 (art. 114). Na hipótese, porém, permanece a competência da Justiça Federal, em face do disposto no § 10 do art. 27 do ADCT da CF/1988, c/c o art. 125, II, da EC 1/1969. Recurso ordinário conhecido e provido pelo STF para se afastar a imunidade de jurisdi</w:t>
      </w:r>
    </w:p>
    <w:p>
      <w:pPr>
        <w:ind w:left="144"/>
      </w:pPr>
      <w:r>
        <w:rPr>
          <w:b/>
          <w:color w:val="B45A00"/>
          <w:sz w:val="16"/>
        </w:rPr>
        <w:t>SUMULA</w:t>
      </w:r>
    </w:p>
    <w:p>
      <w:pPr>
        <w:ind w:left="288"/>
      </w:pPr>
      <w:r>
        <w:rPr>
          <w:color w:val="8C8C8C"/>
          <w:sz w:val="12"/>
        </w:rPr>
        <w:t>cf-art-114</w:t>
      </w:r>
    </w:p>
    <w:p>
      <w:pPr>
        <w:ind w:left="288"/>
      </w:pPr>
      <w:r>
        <w:rPr>
          <w:color w:val="1E1E1E"/>
          <w:sz w:val="18"/>
        </w:rPr>
        <w:t>Compete à Justiça do Trabalho julgar as ações que tenham como causa de pedir o descumprimento de normas trabalhistas relativas à segurança, higiene e saúde dos trabalhadores.</w:t>
      </w:r>
    </w:p>
    <w:p>
      <w:pPr>
        <w:ind w:left="288"/>
      </w:pPr>
      <w:r>
        <w:rPr>
          <w:b/>
          <w:color w:val="003CA0"/>
          <w:sz w:val="16"/>
        </w:rPr>
        <w:t>[Súmula 736.]</w:t>
      </w:r>
    </w:p>
    <w:p>
      <w:pPr>
        <w:ind w:left="144"/>
      </w:pPr>
      <w:r>
        <w:rPr>
          <w:b/>
          <w:color w:val="B45A00"/>
          <w:sz w:val="16"/>
        </w:rPr>
        <w:t>CONTROLE CONCENTRADO</w:t>
      </w:r>
    </w:p>
    <w:p>
      <w:pPr>
        <w:ind w:left="288"/>
      </w:pPr>
      <w:r>
        <w:rPr>
          <w:color w:val="8C8C8C"/>
          <w:sz w:val="12"/>
        </w:rPr>
        <w:t>cf-art-114</w:t>
      </w:r>
      <w:r>
        <w:rPr>
          <w:color w:val="003CA0"/>
          <w:sz w:val="12"/>
        </w:rPr>
        <w:t xml:space="preserve"> | ADI 3.395</w:t>
      </w:r>
      <w:r>
        <w:rPr>
          <w:color w:val="003CA0"/>
          <w:sz w:val="12"/>
        </w:rPr>
        <w:t xml:space="preserve"> | rel. Alexandre de Moraes</w:t>
      </w:r>
    </w:p>
    <w:p>
      <w:pPr>
        <w:ind w:left="288"/>
      </w:pPr>
      <w:r>
        <w:rPr>
          <w:color w:val="1E1E1E"/>
          <w:sz w:val="18"/>
        </w:rPr>
        <w:t>A interpretação adequadamente constitucional da expressão ‘relação do trabalho’ deve excluir os vínculos de natureza jurídico-estatutária, em razão do que a competência da Justiça do Trabalho não alcança as ações judiciais entre o Poder Público e seus servidores.</w:t>
      </w:r>
    </w:p>
    <w:p>
      <w:pPr>
        <w:ind w:left="288"/>
      </w:pPr>
      <w:r>
        <w:rPr>
          <w:b/>
          <w:color w:val="003CA0"/>
          <w:sz w:val="16"/>
        </w:rPr>
        <w:t>[ADI 3.395, rel. min. Alexandre de Moraes, j. 15-4-2020, P, DJE de 1º-7-2020.]</w:t>
      </w:r>
    </w:p>
    <w:p>
      <w:pPr>
        <w:ind w:left="144"/>
      </w:pPr>
      <w:r>
        <w:rPr>
          <w:b/>
          <w:color w:val="B45A00"/>
          <w:sz w:val="16"/>
        </w:rPr>
        <w:t>REPERCUSSAO GERAL</w:t>
      </w:r>
    </w:p>
    <w:p>
      <w:pPr>
        <w:ind w:left="288"/>
      </w:pPr>
      <w:r>
        <w:rPr>
          <w:color w:val="8C8C8C"/>
          <w:sz w:val="12"/>
        </w:rPr>
        <w:t>cf-art-114</w:t>
      </w:r>
      <w:r>
        <w:rPr>
          <w:color w:val="003CA0"/>
          <w:sz w:val="12"/>
        </w:rPr>
        <w:t xml:space="preserve"> | RE 1.288.440</w:t>
      </w:r>
      <w:r>
        <w:rPr>
          <w:color w:val="003CA0"/>
          <w:sz w:val="12"/>
        </w:rPr>
        <w:t xml:space="preserve"> | rel. Roberto Barroso</w:t>
      </w:r>
    </w:p>
    <w:p>
      <w:pPr>
        <w:ind w:left="288"/>
      </w:pPr>
      <w:r>
        <w:rPr>
          <w:color w:val="1E1E1E"/>
          <w:sz w:val="18"/>
        </w:rPr>
        <w:t>Tratando-se de parcela de natureza administrativa, a Justiça Comum é o ramo do Poder Judiciário que tem expertise para apreciar a questão. Nesses casos, embora o vínculo com o Poder Público seja de natureza celetista, a causa de pedir e o pedido da ação não se fundamentam na legislação trabalhista, mas em norma estatutária, cuja apreciação – consoante já decidido por esta Corte ao interpretar o art. 114, I, da Constituição – não compõe a esfera de competência da Justiça do Trabalho. (...) A Justiça Comum é competente para julgar ação ajuizada por servidor celetista contra o Poder Público, em q</w:t>
      </w:r>
    </w:p>
    <w:p>
      <w:pPr>
        <w:ind w:left="288"/>
      </w:pPr>
      <w:r>
        <w:rPr>
          <w:b/>
          <w:color w:val="003CA0"/>
          <w:sz w:val="16"/>
        </w:rPr>
        <w:t>[ARE 1.001.075 RG, rel. min. Gilmar Mendes, j. 8-12-2016, P, DJE de 1º-2-2017, Tema 928, com mérito julgado.]</w:t>
        <w:br/>
        <w:t>Vide AI 609.855 AgR-ED, rel. min. Sepúlveda Pertence, j. 25-6-2007, 1ª T, DJ de 31-8-2007</w:t>
      </w:r>
    </w:p>
    <w:p>
      <w:pPr>
        <w:ind w:left="288"/>
      </w:pPr>
      <w:r>
        <w:rPr>
          <w:color w:val="8C8C8C"/>
          <w:sz w:val="12"/>
        </w:rPr>
        <w:t>cf-art-114</w:t>
      </w:r>
      <w:r>
        <w:rPr>
          <w:color w:val="003CA0"/>
          <w:sz w:val="12"/>
        </w:rPr>
        <w:t xml:space="preserve"> | ARE 906.491</w:t>
      </w:r>
      <w:r>
        <w:rPr>
          <w:color w:val="003CA0"/>
          <w:sz w:val="12"/>
        </w:rPr>
        <w:t xml:space="preserve"> | rel. Teori Zavascki</w:t>
      </w:r>
    </w:p>
    <w:p>
      <w:pPr>
        <w:ind w:left="288"/>
      </w:pPr>
      <w:r>
        <w:rPr>
          <w:color w:val="1E1E1E"/>
          <w:sz w:val="18"/>
        </w:rPr>
        <w:t>Em regime de repercussão geral, fica reafirmada a jurisprudência do STF no sentido de ser da competência da Justiça do Trabalho processar e julgar demandas visando a obter prestações de natureza trabalhista, ajuizadas contra órgãos da administração pública por servidores que ingressaram em seus quadros, sem concurso público, antes do advento da CF/1988, sob regime da CLT.</w:t>
        <w:br/>
        <w:t>[ARE 906.491 RG, rel. min. Teori Zavascki, j. 1º-10-2015, P, DJE de 7-10-2015, Tema 853, com mérito julgado.] Ação de cobrança de honorários advocatícios. Verbas arbitradas em favor da recorrida em razão de sua atuação como d</w:t>
      </w:r>
    </w:p>
    <w:p>
      <w:pPr>
        <w:ind w:left="288"/>
      </w:pPr>
      <w:r>
        <w:rPr>
          <w:b/>
          <w:color w:val="003CA0"/>
          <w:sz w:val="16"/>
        </w:rPr>
        <w:t>[RE 607.520, rel. min. Dias Toffoli, j. 25-5-2011, P, DJE de 21-6-2011, Tema 305, com mérito julgado.]</w:t>
      </w:r>
    </w:p>
    <w:p>
      <w:pPr>
        <w:ind w:left="288"/>
      </w:pPr>
      <w:r>
        <w:rPr>
          <w:color w:val="8C8C8C"/>
          <w:sz w:val="12"/>
        </w:rPr>
        <w:t>cf-art-114</w:t>
      </w:r>
      <w:r>
        <w:rPr>
          <w:color w:val="003CA0"/>
          <w:sz w:val="12"/>
        </w:rPr>
        <w:t xml:space="preserve"> | RE 573.202</w:t>
      </w:r>
      <w:r>
        <w:rPr>
          <w:color w:val="003CA0"/>
          <w:sz w:val="12"/>
        </w:rPr>
        <w:t xml:space="preserve"> | rel. Ricardo Lewandowski</w:t>
      </w:r>
    </w:p>
    <w:p>
      <w:pPr>
        <w:ind w:left="288"/>
      </w:pPr>
      <w:r>
        <w:rPr>
          <w:color w:val="1E1E1E"/>
          <w:sz w:val="18"/>
        </w:rPr>
        <w:t>Compete à Justiça comum processar e julgar causas instauradas entre o poder público e seus servidores submetidos a regime especial disciplinado por lei local editada antes da Constituição Republicana de 1988, com fundamento no art. 106 da Constituição de 1967, na redação que lhe deu a EC 1/1969, ou no art. 37, IX, da Constituição de 1988.</w:t>
        <w:br/>
        <w:t>[RE 573.202, rel. min. Ricardo Lewandowski, j. 21-8-2008, P, DJE de 5-12-2008, Tema 43, com mérito julgado.]</w:t>
      </w:r>
    </w:p>
    <w:p>
      <w:pPr>
        <w:ind w:left="144"/>
      </w:pPr>
      <w:r>
        <w:rPr>
          <w:b/>
          <w:color w:val="B45A00"/>
          <w:sz w:val="16"/>
        </w:rPr>
        <w:t>JULGADOS CORRELATOS</w:t>
      </w:r>
    </w:p>
    <w:p>
      <w:pPr>
        <w:ind w:left="288"/>
      </w:pPr>
      <w:r>
        <w:rPr>
          <w:color w:val="8C8C8C"/>
          <w:sz w:val="12"/>
        </w:rPr>
        <w:t>cf-art-114</w:t>
      </w:r>
      <w:r>
        <w:rPr>
          <w:color w:val="003CA0"/>
          <w:sz w:val="12"/>
        </w:rPr>
        <w:t xml:space="preserve"> | RE 1.015.362</w:t>
      </w:r>
      <w:r>
        <w:rPr>
          <w:color w:val="003CA0"/>
          <w:sz w:val="12"/>
        </w:rPr>
        <w:t xml:space="preserve"> | rel. Edson Fachin</w:t>
      </w:r>
    </w:p>
    <w:p>
      <w:pPr>
        <w:ind w:left="288"/>
      </w:pPr>
      <w:r>
        <w:rPr>
          <w:color w:val="1E1E1E"/>
          <w:sz w:val="18"/>
        </w:rPr>
        <w:t>(...) compete à Justiça do Trabalho dirimir as controvérsias instauradas entre pessoas jurídicas de direito privado integrantes da administração indireta e seus empregados, cuja relação é regida pela CLT, compreendendo, inclusive, a fase pré-contratual.</w:t>
        <w:br/>
        <w:t>[RE 1.015.362 AgR, rel. min. Edson Fachin, j. 12-5-2017, P, DJE de 29-5-2017.] A definição da competência decorre da ação ajuizada. Tendo como causa de pedir relação jurídica regida pela CLT e pleito de reconhecimento do direito a verbas nela previstas, cabe à Justiça do Trabalho julgá-la.</w:t>
        <w:br/>
        <w:t>[CC 7.950, rel. min. Marco Aurélio, j. 14-9-2016, P, DJ</w:t>
      </w:r>
    </w:p>
    <w:p>
      <w:pPr>
        <w:ind w:left="288"/>
      </w:pPr>
      <w:r>
        <w:rPr>
          <w:b/>
          <w:color w:val="003CA0"/>
          <w:sz w:val="16"/>
        </w:rPr>
        <w:t>[Rcl 16.025 AgR, voto do rel. min. Marco Aurélio, j. 10-12-2013, 1ª T, DJE de 3-2-2014.]</w:t>
      </w:r>
    </w:p>
    <w:p>
      <w:pPr>
        <w:ind w:left="288"/>
      </w:pPr>
      <w:r>
        <w:rPr>
          <w:color w:val="8C8C8C"/>
          <w:sz w:val="12"/>
        </w:rPr>
        <w:t>cf-art-114</w:t>
      </w:r>
      <w:r>
        <w:rPr>
          <w:color w:val="003CA0"/>
          <w:sz w:val="12"/>
        </w:rPr>
        <w:t xml:space="preserve"> | RCL 5.248</w:t>
      </w:r>
      <w:r>
        <w:rPr>
          <w:color w:val="003CA0"/>
          <w:sz w:val="12"/>
        </w:rPr>
        <w:t xml:space="preserve"> | rel. Menezes Direito</w:t>
      </w:r>
    </w:p>
    <w:p>
      <w:pPr>
        <w:ind w:left="288"/>
      </w:pPr>
      <w:r>
        <w:rPr>
          <w:color w:val="1E1E1E"/>
          <w:sz w:val="18"/>
        </w:rPr>
        <w:t>Vide Rcl 5.248 MC-AgR, rel. min. Menezes Direito, j. 22-11-2007, P, DJ de 14-12-2007 Vide ADI 3.395 MC, rel. min. Cezar Peluso, j. 5-4-2006, P, DJ de 10-11-2006 A jurisprudência do STF também tem firme entendimento de que as ações de complementação de benefícios previdenciários movidas contra a União por servidores da extinta RFFSA [Rede Ferroviária Federal S.A.] devem ser processadas perante a Justiça comum. Inaplicabilidade ao caso da modulação de efeitos determinada quando do julgamento do 586.453 RG/SE, porque não se cuida de ação ajuizada contra entidade de previdência privada.</w:t>
      </w:r>
    </w:p>
    <w:p>
      <w:pPr>
        <w:ind w:left="288"/>
      </w:pPr>
      <w:r>
        <w:rPr>
          <w:b/>
          <w:color w:val="003CA0"/>
          <w:sz w:val="16"/>
        </w:rPr>
        <w:t>[ARE 665.744 AgR, rel. min. Dias Toffoli, j. 5-11-2013, 1ª T, DJE de 5-11-2013.]</w:t>
      </w:r>
    </w:p>
    <w:p>
      <w:pPr>
        <w:ind w:left="288"/>
      </w:pPr>
      <w:r>
        <w:rPr>
          <w:color w:val="8C8C8C"/>
          <w:sz w:val="12"/>
        </w:rPr>
        <w:t>cf-art-114</w:t>
      </w:r>
      <w:r>
        <w:rPr>
          <w:color w:val="003CA0"/>
          <w:sz w:val="12"/>
        </w:rPr>
        <w:t xml:space="preserve"> | ADI 3.395</w:t>
      </w:r>
      <w:r>
        <w:rPr>
          <w:color w:val="003CA0"/>
          <w:sz w:val="12"/>
        </w:rPr>
        <w:t xml:space="preserve"> | rel. Ayres Britto</w:t>
      </w:r>
    </w:p>
    <w:p>
      <w:pPr>
        <w:ind w:left="288"/>
      </w:pPr>
      <w:r>
        <w:rPr>
          <w:color w:val="1E1E1E"/>
          <w:sz w:val="18"/>
        </w:rPr>
        <w:t>Os interessados são prestadores de serviço, contratados pela administração pública, após processo licitatório. Não são servidores públicos nem pleiteiam verba de natureza trabalhista. Inexistente afronta ao acórdão do STF na ADI 3.395 MC.</w:t>
      </w:r>
    </w:p>
    <w:p>
      <w:pPr>
        <w:ind w:left="288"/>
      </w:pPr>
      <w:r>
        <w:rPr>
          <w:b/>
          <w:color w:val="003CA0"/>
          <w:sz w:val="16"/>
        </w:rPr>
        <w:t>[Rcl 4.761, rel. min. Ayres Britto, j. 20-5-2009, P, DJE de 7-8-2009.]</w:t>
      </w:r>
    </w:p>
    <w:p>
      <w:pPr>
        <w:ind w:left="288"/>
      </w:pPr>
      <w:r>
        <w:rPr>
          <w:color w:val="8C8C8C"/>
          <w:sz w:val="12"/>
        </w:rPr>
        <w:t>cf-art-114</w:t>
      </w:r>
      <w:r>
        <w:rPr>
          <w:color w:val="003CA0"/>
          <w:sz w:val="12"/>
        </w:rPr>
        <w:t xml:space="preserve"> | RCL 4.319</w:t>
      </w:r>
      <w:r>
        <w:rPr>
          <w:color w:val="003CA0"/>
          <w:sz w:val="12"/>
        </w:rPr>
        <w:t xml:space="preserve"> | rel. Dias Toffoli</w:t>
      </w:r>
    </w:p>
    <w:p>
      <w:pPr>
        <w:ind w:left="288"/>
      </w:pPr>
      <w:r>
        <w:rPr>
          <w:color w:val="1E1E1E"/>
          <w:sz w:val="18"/>
        </w:rPr>
        <w:t>= Rcl 4.319 AgR, rel. min. Dias Toffoli, j. 24-6-2010, P, DJE de 25-10-2010 A existência de pedido de condenação do ente local ao pagamento do FGTS não torna a Justiça do Trabalho competente para o exame da ação.</w:t>
      </w:r>
    </w:p>
    <w:p>
      <w:pPr>
        <w:ind w:left="288"/>
      </w:pPr>
      <w:r>
        <w:rPr>
          <w:b/>
          <w:color w:val="003CA0"/>
          <w:sz w:val="16"/>
        </w:rPr>
        <w:t>[Rcl 7.039 AgR, rel. min. Cármen Lúcia, j. 2-4-2009, P, DJE de 8-5-2009.]</w:t>
      </w:r>
    </w:p>
    <w:p>
      <w:pPr>
        <w:ind w:left="288"/>
      </w:pPr>
      <w:r>
        <w:rPr>
          <w:color w:val="8C8C8C"/>
          <w:sz w:val="12"/>
        </w:rPr>
        <w:t>cf-art-114</w:t>
      </w:r>
      <w:r>
        <w:rPr>
          <w:color w:val="003CA0"/>
          <w:sz w:val="12"/>
        </w:rPr>
        <w:t xml:space="preserve"> | RCL 5.954</w:t>
      </w:r>
      <w:r>
        <w:rPr>
          <w:color w:val="003CA0"/>
          <w:sz w:val="12"/>
        </w:rPr>
        <w:t xml:space="preserve"> | rel. Dias Toffoli</w:t>
      </w:r>
    </w:p>
    <w:p>
      <w:pPr>
        <w:ind w:left="288"/>
      </w:pPr>
      <w:r>
        <w:rPr>
          <w:color w:val="1E1E1E"/>
          <w:sz w:val="18"/>
        </w:rPr>
        <w:t>= Rcl 5.954, rel. min. Dias Toffoli, j. 2-6-2010, P, DJE de 22-10-2010 Servidores públicos. Regime temporário. Justiça do Trabalho. Incompetência. No julgamento da ADI 3.395 MC/DF, este Supremo Tribunal suspendeu toda e qualquer interpretação do inciso I do art. 114 da CF (na redação da EC 45/2004) que inserisse, na competência da Justiça do Trabalho, a apreciação de causas instauradas entre o poder público e seus servidores, a ele vinculados por típica relação de ordem estatutária ou de caráter jurídico-administrativo. As contratações temporárias para suprir os serviços públicos estão no âmbi</w:t>
      </w:r>
    </w:p>
    <w:p>
      <w:pPr>
        <w:ind w:left="288"/>
      </w:pPr>
      <w:r>
        <w:rPr>
          <w:b/>
          <w:color w:val="003CA0"/>
          <w:sz w:val="16"/>
        </w:rPr>
        <w:t>[Rcl 4.872, red. do ac. min. Menezes Direito, j. 21-8-2008, P, DJE de 7-11-2008.]</w:t>
      </w:r>
    </w:p>
    <w:p>
      <w:pPr>
        <w:ind w:left="288"/>
      </w:pPr>
      <w:r>
        <w:rPr>
          <w:color w:val="8C8C8C"/>
          <w:sz w:val="12"/>
        </w:rPr>
        <w:t>cf-art-114</w:t>
      </w:r>
      <w:r>
        <w:rPr>
          <w:color w:val="003CA0"/>
          <w:sz w:val="12"/>
        </w:rPr>
        <w:t xml:space="preserve"> | RCL 7.126</w:t>
      </w:r>
      <w:r>
        <w:rPr>
          <w:color w:val="003CA0"/>
          <w:sz w:val="12"/>
        </w:rPr>
        <w:t xml:space="preserve"> | rel. Joaquim Barbosa</w:t>
      </w:r>
    </w:p>
    <w:p>
      <w:pPr>
        <w:ind w:left="288"/>
      </w:pPr>
      <w:r>
        <w:rPr>
          <w:color w:val="1E1E1E"/>
          <w:sz w:val="18"/>
        </w:rPr>
        <w:t>= Rcl 7.126 AgR, rel. min. Joaquim Barbosa, j. 20-6-2012, P, DJE de 1º-8-2012 Vide Rcl 5.954, rel. min. Dias Toffoli, j. 2-6-2010, P, DJE de 22-10-2010 Vide Rcl 7.039 AgR, rel. min. Cármen Lúcia, j. 2-4-2009, P, DJE de 8-5-2009 (...) Justiça comum é competente para julgar a reintegração de servidor público, mesmo que tenha sido regido pela CLT, demitido antes do advento do Regime Jurídico Único.</w:t>
      </w:r>
    </w:p>
    <w:p>
      <w:pPr>
        <w:ind w:left="288"/>
      </w:pPr>
      <w:r>
        <w:rPr>
          <w:b/>
          <w:color w:val="003CA0"/>
          <w:sz w:val="16"/>
        </w:rPr>
        <w:t>[RE 507.153 AgR, rel. min. Eros Grau, j. 3-6-2008, 2ª T, DJE de 20-6-2008.]</w:t>
      </w:r>
    </w:p>
    <w:p>
      <w:pPr>
        <w:ind w:left="288"/>
      </w:pPr>
      <w:r>
        <w:rPr>
          <w:color w:val="8C8C8C"/>
          <w:sz w:val="12"/>
        </w:rPr>
        <w:t>cf-art-114</w:t>
      </w:r>
      <w:r>
        <w:rPr>
          <w:color w:val="003CA0"/>
          <w:sz w:val="12"/>
        </w:rPr>
        <w:t xml:space="preserve"> | ADI 3.395</w:t>
      </w:r>
      <w:r>
        <w:rPr>
          <w:color w:val="003CA0"/>
          <w:sz w:val="12"/>
        </w:rPr>
        <w:t xml:space="preserve"> | rel. Menezes Direito</w:t>
      </w:r>
    </w:p>
    <w:p>
      <w:pPr>
        <w:ind w:left="288"/>
      </w:pPr>
      <w:r>
        <w:rPr>
          <w:color w:val="1E1E1E"/>
          <w:sz w:val="18"/>
        </w:rPr>
        <w:t>(...) decisão proferida na ADI 3.395/DF, em que houve deferimento de liminar para que as ações envolvendo o poder público e seus servidores estatutários fossem processadas perante a Justiça comum, excluída outra interpretação ao art. 114, I, da CF, com a redação da EC 45/2004. A decisão reclamada nestes autos trata de aspecto acerca do qual não houve expresso enfrentamento na referida ação direta de inconstitucionalidade, qual seja, o processamento da execução de sentença trabalhista, considerando-se que a arguição de incompetência afrontaria a coisa julgada.</w:t>
      </w:r>
    </w:p>
    <w:p>
      <w:pPr>
        <w:ind w:left="288"/>
      </w:pPr>
      <w:r>
        <w:rPr>
          <w:b/>
          <w:color w:val="003CA0"/>
          <w:sz w:val="16"/>
        </w:rPr>
        <w:t>[Rcl 5.566 MC-AgR, rel. min. Menezes Direito, j. 10-4-2008, P, DJE de 23-5-2008.]</w:t>
      </w:r>
    </w:p>
    <w:p>
      <w:pPr>
        <w:ind w:left="288"/>
      </w:pPr>
      <w:r>
        <w:rPr>
          <w:color w:val="8C8C8C"/>
          <w:sz w:val="12"/>
        </w:rPr>
        <w:t>cf-art-114</w:t>
      </w:r>
      <w:r>
        <w:rPr>
          <w:color w:val="003CA0"/>
          <w:sz w:val="12"/>
        </w:rPr>
        <w:t xml:space="preserve"> | RCL 5.569</w:t>
      </w:r>
      <w:r>
        <w:rPr>
          <w:color w:val="003CA0"/>
          <w:sz w:val="12"/>
        </w:rPr>
        <w:t xml:space="preserve"> | rel. Eros Grau</w:t>
      </w:r>
    </w:p>
    <w:p>
      <w:pPr>
        <w:ind w:left="288"/>
      </w:pPr>
      <w:r>
        <w:rPr>
          <w:color w:val="1E1E1E"/>
          <w:sz w:val="18"/>
        </w:rPr>
        <w:t>= Rcl 5.569 AgR, rel. min. Eros Grau, j. 25-11-2009, P, DJE de 11-12-2009 O disposto no art. 114, I, da CF não abrange as causas instauradas entre o poder público e servidor que lhe seja vinculado por relação jurídico-estatutária, entendida esta como a relação de cunho jurídico-administrativo originada de investidura em cargo efetivo ou em cargo em comissão. Tais premissas são suficientes para que este STF, em sede de reclamação, verifique se determinado ato judicial confirmador da competência da Justiça do Trabalho afronta sua decisão cautelar proferida na ADI 3.395/DF. A investidura do servi</w:t>
      </w:r>
    </w:p>
    <w:p>
      <w:pPr>
        <w:ind w:left="288"/>
      </w:pPr>
      <w:r>
        <w:rPr>
          <w:b/>
          <w:color w:val="003CA0"/>
          <w:sz w:val="16"/>
        </w:rPr>
        <w:t>[Rcl 4.785 MC-AgR e Rcl 4.990 MC-AgR, rel. min. Gilmar Mendes, j. 17-12-2007, P, DJE de 14-3-2008.]</w:t>
      </w:r>
    </w:p>
    <w:p>
      <w:pPr>
        <w:ind w:left="288"/>
      </w:pPr>
      <w:r>
        <w:rPr>
          <w:color w:val="8C8C8C"/>
          <w:sz w:val="12"/>
        </w:rPr>
        <w:t>cf-art-114</w:t>
      </w:r>
      <w:r>
        <w:rPr>
          <w:color w:val="003CA0"/>
          <w:sz w:val="12"/>
        </w:rPr>
        <w:t xml:space="preserve"> | RCL 8.197</w:t>
      </w:r>
      <w:r>
        <w:rPr>
          <w:color w:val="003CA0"/>
          <w:sz w:val="12"/>
        </w:rPr>
        <w:t xml:space="preserve"> | rel. Dias Toffoli</w:t>
      </w:r>
    </w:p>
    <w:p>
      <w:pPr>
        <w:ind w:left="288"/>
      </w:pPr>
      <w:r>
        <w:rPr>
          <w:color w:val="1E1E1E"/>
          <w:sz w:val="18"/>
        </w:rPr>
        <w:t>= Rcl 8.197 AgR, rel. min. Dias Toffoli, j. 17-2-2010, P, DJE de 16-4-2010 Vide Rcl 5.954, rel. min. Dias Toffoli, j. 2-6-2010, P, DJE de 22-10-2010 Vide Rcl 7.039 AgR, rel. min. Cármen Lúcia, j. 2-4-2009, P, DJE de 8-5-2009 Justiça Federal: competência para o exame dos reflexos de decisão trabalhista no período posterior à transformação do regime jurídico celetista para o estatutário. Precedentes. É da jurisprudência do Supremo Tribunal que a mudança do regime jurídico celetista para o estatutário acarreta a extinção do contrato de trabalho. A eventual extensão dos efeitos de decisão proferid</w:t>
      </w:r>
    </w:p>
    <w:p>
      <w:pPr>
        <w:ind w:left="288"/>
      </w:pPr>
      <w:r>
        <w:rPr>
          <w:b/>
          <w:color w:val="003CA0"/>
          <w:sz w:val="16"/>
        </w:rPr>
        <w:t>[AI 609.855 AgR-ED, rel. min. Sepúlveda Pertence, j. 25-6-2007, 1ª T, DJ de 31-8-2007.]</w:t>
      </w:r>
    </w:p>
    <w:p>
      <w:pPr>
        <w:ind w:left="288"/>
      </w:pPr>
      <w:r>
        <w:rPr>
          <w:color w:val="8C8C8C"/>
          <w:sz w:val="12"/>
        </w:rPr>
        <w:t>cf-art-114</w:t>
      </w:r>
      <w:r>
        <w:rPr>
          <w:color w:val="003CA0"/>
          <w:sz w:val="12"/>
        </w:rPr>
        <w:t xml:space="preserve"> | ARE 1.001.075</w:t>
      </w:r>
      <w:r>
        <w:rPr>
          <w:color w:val="003CA0"/>
          <w:sz w:val="12"/>
        </w:rPr>
        <w:t xml:space="preserve"> | rel. Gilmar Mendes</w:t>
      </w:r>
    </w:p>
    <w:p>
      <w:pPr>
        <w:ind w:left="288"/>
      </w:pPr>
      <w:r>
        <w:rPr>
          <w:color w:val="1E1E1E"/>
          <w:sz w:val="18"/>
        </w:rPr>
        <w:t>Vide ARE 1.001.075 RG, rel. min. Gilmar Mendes, j. 8-12-2016, P, DJE de 1º-2-2017, Tema 928</w:t>
      </w:r>
    </w:p>
    <w:p>
      <w:pPr>
        <w:ind w:left="144"/>
      </w:pPr>
      <w:r>
        <w:rPr>
          <w:b/>
          <w:color w:val="B45A00"/>
          <w:sz w:val="16"/>
        </w:rPr>
        <w:t>SUMULA VINCULANTE</w:t>
      </w:r>
    </w:p>
    <w:p>
      <w:pPr>
        <w:ind w:left="288"/>
      </w:pPr>
      <w:r>
        <w:rPr>
          <w:color w:val="8C8C8C"/>
          <w:sz w:val="12"/>
        </w:rPr>
        <w:t>cf-art-114-inc-II</w:t>
      </w:r>
    </w:p>
    <w:p>
      <w:pPr>
        <w:ind w:left="288"/>
      </w:pPr>
      <w:r>
        <w:rPr>
          <w:color w:val="1E1E1E"/>
          <w:sz w:val="18"/>
        </w:rPr>
        <w:t>A Justiça do Trabalho é competente para processar e julgar ação possessória ajuizada em decorrência do exercício do direito de greve pelos trabalhadores da iniciativa privada.</w:t>
      </w:r>
    </w:p>
    <w:p>
      <w:pPr>
        <w:ind w:left="288"/>
      </w:pPr>
      <w:r>
        <w:rPr>
          <w:b/>
          <w:color w:val="003CA0"/>
          <w:sz w:val="16"/>
        </w:rPr>
        <w:t>[Súmula Vinculante 23.]</w:t>
      </w:r>
    </w:p>
    <w:p>
      <w:pPr>
        <w:ind w:left="144"/>
      </w:pPr>
      <w:r>
        <w:rPr>
          <w:b/>
          <w:color w:val="B45A00"/>
          <w:sz w:val="16"/>
        </w:rPr>
        <w:t>REPERCUSSAO GERAL</w:t>
      </w:r>
    </w:p>
    <w:p>
      <w:pPr>
        <w:ind w:left="288"/>
      </w:pPr>
      <w:r>
        <w:rPr>
          <w:color w:val="8C8C8C"/>
          <w:sz w:val="12"/>
        </w:rPr>
        <w:t>cf-art-114-inc-II</w:t>
      </w:r>
      <w:r>
        <w:rPr>
          <w:color w:val="003CA0"/>
          <w:sz w:val="12"/>
        </w:rPr>
        <w:t xml:space="preserve"> | RE 846.854</w:t>
      </w:r>
    </w:p>
    <w:p>
      <w:pPr>
        <w:ind w:left="288"/>
      </w:pPr>
      <w:r>
        <w:rPr>
          <w:color w:val="1E1E1E"/>
          <w:sz w:val="18"/>
        </w:rPr>
        <w:t>Justiça Comum Federal ou Estadual é competente para julgar a abusividade de greve de servidores públicos celetistas da administração direta, autarquias e fundações de direito público.</w:t>
      </w:r>
    </w:p>
    <w:p>
      <w:pPr>
        <w:ind w:left="288"/>
      </w:pPr>
      <w:r>
        <w:rPr>
          <w:b/>
          <w:color w:val="003CA0"/>
          <w:sz w:val="16"/>
        </w:rPr>
        <w:t>[RE 846.854, red. do ac. min. Alexandre de Moraes, j. 1º-8-2017, P, DJE de 7-2-2018, Tema 544, com mérito julgado.]</w:t>
      </w:r>
    </w:p>
    <w:p>
      <w:pPr>
        <w:ind w:left="288"/>
      </w:pPr>
      <w:r>
        <w:rPr>
          <w:color w:val="8C8C8C"/>
          <w:sz w:val="12"/>
        </w:rPr>
        <w:t>cf-art-114-inc-II</w:t>
      </w:r>
      <w:r>
        <w:rPr>
          <w:color w:val="003CA0"/>
          <w:sz w:val="12"/>
        </w:rPr>
        <w:t xml:space="preserve"> | RE 579.648</w:t>
      </w:r>
    </w:p>
    <w:p>
      <w:pPr>
        <w:ind w:left="288"/>
      </w:pPr>
      <w:r>
        <w:rPr>
          <w:color w:val="1E1E1E"/>
          <w:sz w:val="18"/>
        </w:rPr>
        <w:t>O exercício do direito de greve respeita a relação de emprego, pelo que a EC 45/2003 incluiu, expressamente, na competência da Justiça do Trabalho conhecer e julgar as ações dele decorrentes (art. 114, II, da Constituição da República).</w:t>
      </w:r>
    </w:p>
    <w:p>
      <w:pPr>
        <w:ind w:left="288"/>
      </w:pPr>
      <w:r>
        <w:rPr>
          <w:b/>
          <w:color w:val="003CA0"/>
          <w:sz w:val="16"/>
        </w:rPr>
        <w:t>[RE 579.648, red. do ac. min. Cármen Lúcia, j. 10-9-2008, P, DJE de 6-3-2009, Tema 74, com mérito julgado.]</w:t>
      </w:r>
    </w:p>
    <w:p>
      <w:pPr>
        <w:ind w:left="288"/>
      </w:pPr>
      <w:r>
        <w:rPr>
          <w:color w:val="8C8C8C"/>
          <w:sz w:val="12"/>
        </w:rPr>
        <w:t>cf-art-114-inc-III</w:t>
      </w:r>
      <w:r>
        <w:rPr>
          <w:color w:val="003CA0"/>
          <w:sz w:val="12"/>
        </w:rPr>
        <w:t xml:space="preserve"> | RE 1.089.282</w:t>
      </w:r>
      <w:r>
        <w:rPr>
          <w:color w:val="003CA0"/>
          <w:sz w:val="12"/>
        </w:rPr>
        <w:t xml:space="preserve"> | rel. Gilmar Mendes</w:t>
      </w:r>
    </w:p>
    <w:p>
      <w:pPr>
        <w:ind w:left="288"/>
      </w:pPr>
      <w:r>
        <w:rPr>
          <w:color w:val="1E1E1E"/>
          <w:sz w:val="18"/>
        </w:rPr>
        <w:t>(...) não se inserem na competência da Justiça do Trabalho as ações cujo objeto seja a cobrança de contribuição sindical dos servidores estatutários. (...) ‘Compete à Justiça comum processar e julgar demandas em que se discute o recolhimento e o repasse de contribuição sindical de servidores públicos regidos pelo regime estatutário’.</w:t>
      </w:r>
    </w:p>
    <w:p>
      <w:pPr>
        <w:ind w:left="288"/>
      </w:pPr>
      <w:r>
        <w:rPr>
          <w:b/>
          <w:color w:val="003CA0"/>
          <w:sz w:val="16"/>
        </w:rPr>
        <w:t>[RE 1.089.282, rel. min. Gilmar Mendes, j. 7-12-2020, P, DJE de 4-2-2021, Tema 994, com mérito julgado.]</w:t>
      </w:r>
    </w:p>
    <w:p>
      <w:pPr>
        <w:ind w:left="288"/>
      </w:pPr>
      <w:r>
        <w:rPr>
          <w:color w:val="8C8C8C"/>
          <w:sz w:val="12"/>
        </w:rPr>
        <w:t>cf-art-114-inc-III</w:t>
      </w:r>
      <w:r>
        <w:rPr>
          <w:color w:val="003CA0"/>
          <w:sz w:val="12"/>
        </w:rPr>
        <w:t xml:space="preserve"> | rel. André Mendonça</w:t>
      </w:r>
    </w:p>
    <w:p>
      <w:pPr>
        <w:ind w:left="288"/>
      </w:pPr>
      <w:r>
        <w:rPr>
          <w:color w:val="1E1E1E"/>
          <w:sz w:val="18"/>
        </w:rPr>
        <w:t>A jurisprudência do Supremo Tribunal Federal firmou entendimento no sentido de que compete à Justiça do Trabalho processar e julgar demandas que envolvam representação sindical e a cobrança de valores por sindicatos de seus representados, ainda que a matéria envolva honorários advocatícios.</w:t>
      </w:r>
    </w:p>
    <w:p>
      <w:pPr>
        <w:ind w:left="288"/>
      </w:pPr>
      <w:r>
        <w:rPr>
          <w:b/>
          <w:color w:val="003CA0"/>
          <w:sz w:val="16"/>
        </w:rPr>
        <w:t>[CC 8.211 AgR, rel. min. André Mendonça, j. 2-12-2025, P, DJE de 12-2-2026.]</w:t>
      </w:r>
    </w:p>
    <w:p>
      <w:pPr>
        <w:ind w:left="144"/>
      </w:pPr>
      <w:r>
        <w:rPr>
          <w:b/>
          <w:color w:val="B45A00"/>
          <w:sz w:val="16"/>
        </w:rPr>
        <w:t>JULGADOS CORRELATOS</w:t>
      </w:r>
    </w:p>
    <w:p>
      <w:pPr>
        <w:ind w:left="288"/>
      </w:pPr>
      <w:r>
        <w:rPr>
          <w:color w:val="8C8C8C"/>
          <w:sz w:val="12"/>
        </w:rPr>
        <w:t>cf-art-114-inc-III</w:t>
      </w:r>
      <w:r>
        <w:rPr>
          <w:color w:val="003CA0"/>
          <w:sz w:val="12"/>
        </w:rPr>
        <w:t xml:space="preserve"> | ARE 1.166.932</w:t>
      </w:r>
      <w:r>
        <w:rPr>
          <w:color w:val="003CA0"/>
          <w:sz w:val="12"/>
        </w:rPr>
        <w:t xml:space="preserve"> | rel. Nunes Marques</w:t>
      </w:r>
    </w:p>
    <w:p>
      <w:pPr>
        <w:ind w:left="288"/>
      </w:pPr>
      <w:r>
        <w:rPr>
          <w:color w:val="1E1E1E"/>
          <w:sz w:val="18"/>
        </w:rPr>
        <w:t>A Emenda Constitucional n. 45/2004, ao alterar a redação do art. 114, III, da Constituição Federal, atribuiu à Justiça do Trabalho competência para processar e julgar “as ações sobre representação sindical, entre sindicatos, entre sindicatos e trabalhadores, e entre sindicatos e empregadores”, incluídas as causas que tratam da demora do Ministério do Trabalho em apreciar o pedido de registro sindical.</w:t>
        <w:br/>
        <w:t>[ARE 1.166.932 AgR, rel. min. Nunes Marques, j. 3-7-2023, 2ª T, DJE de 21-8-2023.] Conflito negativo de competência. STJ. TST. Contribuição sindical. EC 45/2004. A discussão relativa à legitimida</w:t>
      </w:r>
    </w:p>
    <w:p>
      <w:pPr>
        <w:ind w:left="288"/>
      </w:pPr>
      <w:r>
        <w:rPr>
          <w:b/>
          <w:color w:val="003CA0"/>
          <w:sz w:val="16"/>
        </w:rPr>
        <w:t>[RE 476.890 AgR, rel. min. Cezar Peluso, j. 30-10-2007, 2ª T, DJ de 30-11-2007.]</w:t>
      </w:r>
    </w:p>
    <w:p>
      <w:pPr>
        <w:ind w:left="288"/>
      </w:pPr>
      <w:r>
        <w:rPr>
          <w:color w:val="8C8C8C"/>
          <w:sz w:val="12"/>
        </w:rPr>
        <w:t>cf-art-114-inc-III</w:t>
      </w:r>
      <w:r>
        <w:rPr>
          <w:color w:val="003CA0"/>
          <w:sz w:val="12"/>
        </w:rPr>
        <w:t xml:space="preserve"> | rel. Marco Aurélio</w:t>
      </w:r>
    </w:p>
    <w:p>
      <w:pPr>
        <w:ind w:left="288"/>
      </w:pPr>
      <w:r>
        <w:rPr>
          <w:color w:val="1E1E1E"/>
          <w:sz w:val="18"/>
        </w:rPr>
        <w:t xml:space="preserve">Ante o disposto no art. 1º da Lei 8.984/1995, à Justiça do Trabalho já competia julgar ação de sindicato de categoria econômica contra empregador, visando à contribuição assistencial estabelecida em contrato coletivo. (...) A competência da Justiça do Trabalho para processar e julgar ações sobre representação sindical, entre sindicatos, entre sindicatos e trabalhadores e entre sindicatos e empregadores – inciso III do art. 114 da CF, com a redação da Emenda 45, de 2004 –, abrange demandas propostas por sindicato de categoria econômica contra empregador, objetivando o reconhecimento do direito </w:t>
      </w:r>
    </w:p>
    <w:p>
      <w:pPr>
        <w:ind w:left="288"/>
      </w:pPr>
      <w:r>
        <w:rPr>
          <w:b/>
          <w:color w:val="003CA0"/>
          <w:sz w:val="16"/>
        </w:rPr>
        <w:t>[CC 7.221, rel. min. Marco Aurélio, j. 1º-7-2006, P, DJ de 25-8-2006.]</w:t>
      </w:r>
    </w:p>
    <w:p>
      <w:pPr>
        <w:ind w:left="288"/>
      </w:pPr>
      <w:r>
        <w:rPr>
          <w:color w:val="8C8C8C"/>
          <w:sz w:val="12"/>
        </w:rPr>
        <w:t>cf-art-114-inc-III</w:t>
      </w:r>
      <w:r>
        <w:rPr>
          <w:color w:val="003CA0"/>
          <w:sz w:val="12"/>
        </w:rPr>
        <w:t xml:space="preserve"> | RE 500.049</w:t>
      </w:r>
      <w:r>
        <w:rPr>
          <w:color w:val="003CA0"/>
          <w:sz w:val="12"/>
        </w:rPr>
        <w:t xml:space="preserve"> | rel. Luiz Fux</w:t>
      </w:r>
    </w:p>
    <w:p>
      <w:pPr>
        <w:ind w:left="288"/>
      </w:pPr>
      <w:r>
        <w:rPr>
          <w:color w:val="1E1E1E"/>
          <w:sz w:val="18"/>
        </w:rPr>
        <w:t>= RE 500.049, rel. min. Luiz Fux, j. 15-3-2012, dec. monocrática, DJE de 23-3-2012</w:t>
      </w:r>
    </w:p>
    <w:p>
      <w:pPr>
        <w:ind w:left="288"/>
      </w:pPr>
      <w:r>
        <w:rPr>
          <w:color w:val="8C8C8C"/>
          <w:sz w:val="12"/>
        </w:rPr>
        <w:t>cf-art-114-inc-V</w:t>
      </w:r>
      <w:r>
        <w:rPr>
          <w:color w:val="003CA0"/>
          <w:sz w:val="12"/>
        </w:rPr>
        <w:t xml:space="preserve"> | rel. Celso de Mello</w:t>
      </w:r>
    </w:p>
    <w:p>
      <w:pPr>
        <w:ind w:left="288"/>
      </w:pPr>
      <w:r>
        <w:rPr>
          <w:color w:val="1E1E1E"/>
          <w:sz w:val="18"/>
        </w:rPr>
        <w:t>Incumbe ao TRT o poder de dirimir conflito de competência que se registre entre vara do trabalho e magistrado estadual investido de jurisdição trabalhista (CF, art. 112, in fine), pois, em tal situação, ambos os órgãos judiciários estão vinculados, em sede recursal, à competência do respectivo TRT.</w:t>
      </w:r>
    </w:p>
    <w:p>
      <w:pPr>
        <w:ind w:left="288"/>
      </w:pPr>
      <w:r>
        <w:rPr>
          <w:b/>
          <w:color w:val="003CA0"/>
          <w:sz w:val="16"/>
        </w:rPr>
        <w:t>[CC 7.080, rel. min. Celso de Mello, j. 4-10-2001, P, DJ de 24-11-2006.]</w:t>
      </w:r>
    </w:p>
    <w:p>
      <w:pPr>
        <w:ind w:left="288"/>
      </w:pPr>
      <w:r>
        <w:rPr>
          <w:color w:val="8C8C8C"/>
          <w:sz w:val="12"/>
        </w:rPr>
        <w:t>cf-art-114-inc-V</w:t>
      </w:r>
      <w:r>
        <w:rPr>
          <w:color w:val="003CA0"/>
          <w:sz w:val="12"/>
        </w:rPr>
        <w:t xml:space="preserve"> | rel. Maurício Corrêa</w:t>
      </w:r>
    </w:p>
    <w:p>
      <w:pPr>
        <w:ind w:left="288"/>
      </w:pPr>
      <w:r>
        <w:rPr>
          <w:color w:val="1E1E1E"/>
          <w:sz w:val="18"/>
        </w:rPr>
        <w:t>Conflito de competência. TRT e STJ. Vara do trabalho e juiz de direito investido na jurisdição trabalhista. Hipótese de conflito entre vara do trabalho e juiz de direito no exercício de funções específicas da Justiça Trabalhista. O STJ, em face da Súmula 180, dele não conheceu, determinando a remessa dos autos ao TRT, que suscitou novo conflito perante esta Corte. Ocorrência de legitimidade do TRT, com fundamento da alínea o do inciso I do art. 102 da CF. Competente o TRT para decidir conflito de competência, verificado na respectiva região, entre vara do trabalho e juiz de direito investido n</w:t>
      </w:r>
    </w:p>
    <w:p>
      <w:pPr>
        <w:ind w:left="288"/>
      </w:pPr>
      <w:r>
        <w:rPr>
          <w:b/>
          <w:color w:val="003CA0"/>
          <w:sz w:val="16"/>
        </w:rPr>
        <w:t>[CC 7.076, rel. min. Maurício Corrêa, j. 3-10-2001, P, DJ de 8-2-2002.]</w:t>
      </w:r>
    </w:p>
    <w:p>
      <w:pPr>
        <w:ind w:left="288"/>
      </w:pPr>
      <w:r>
        <w:rPr>
          <w:color w:val="8C8C8C"/>
          <w:sz w:val="12"/>
        </w:rPr>
        <w:t>cf-art-114-inc-V</w:t>
      </w:r>
      <w:r>
        <w:rPr>
          <w:color w:val="003CA0"/>
          <w:sz w:val="12"/>
        </w:rPr>
        <w:t xml:space="preserve"> | rel. Carlos Velloso</w:t>
      </w:r>
    </w:p>
    <w:p>
      <w:pPr>
        <w:ind w:left="288"/>
      </w:pPr>
      <w:r>
        <w:rPr>
          <w:color w:val="1E1E1E"/>
          <w:sz w:val="18"/>
        </w:rPr>
        <w:t>Conflito de competência. STJ: juiz de direito investido de jurisdição trabalhista versus junta de conciliação e julgamento. Conflito de competência entre juiz de direito investido de jurisdição trabalhista e juiz do trabalho. Competência do TRT para dirimir o conflito.</w:t>
      </w:r>
    </w:p>
    <w:p>
      <w:pPr>
        <w:ind w:left="288"/>
      </w:pPr>
      <w:r>
        <w:rPr>
          <w:b/>
          <w:color w:val="003CA0"/>
          <w:sz w:val="16"/>
        </w:rPr>
        <w:t>[CC 7.061, rel. min. Carlos Velloso, j. 3-10-2001, P, DJ de 31-10-2001.]</w:t>
      </w:r>
    </w:p>
    <w:p>
      <w:pPr>
        <w:ind w:left="144"/>
      </w:pPr>
      <w:r>
        <w:rPr>
          <w:b/>
          <w:color w:val="B45A00"/>
          <w:sz w:val="16"/>
        </w:rPr>
        <w:t>SUMULA VINCULANTE</w:t>
      </w:r>
    </w:p>
    <w:p>
      <w:pPr>
        <w:ind w:left="288"/>
      </w:pPr>
      <w:r>
        <w:rPr>
          <w:color w:val="8C8C8C"/>
          <w:sz w:val="12"/>
        </w:rPr>
        <w:t>cf-art-114-inc-VI</w:t>
      </w:r>
    </w:p>
    <w:p>
      <w:pPr>
        <w:ind w:left="288"/>
      </w:pPr>
      <w:r>
        <w:rPr>
          <w:color w:val="1E1E1E"/>
          <w:sz w:val="18"/>
        </w:rPr>
        <w:t>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EC 45/2004.</w:t>
      </w:r>
    </w:p>
    <w:p>
      <w:pPr>
        <w:ind w:left="288"/>
      </w:pPr>
      <w:r>
        <w:rPr>
          <w:b/>
          <w:color w:val="003CA0"/>
          <w:sz w:val="16"/>
        </w:rPr>
        <w:t>[Súmula Vinculante 22.]</w:t>
      </w:r>
    </w:p>
    <w:p>
      <w:pPr>
        <w:ind w:left="144"/>
      </w:pPr>
      <w:r>
        <w:rPr>
          <w:b/>
          <w:color w:val="B45A00"/>
          <w:sz w:val="16"/>
        </w:rPr>
        <w:t>CONTROLE CONCENTRADO</w:t>
      </w:r>
    </w:p>
    <w:p>
      <w:pPr>
        <w:ind w:left="288"/>
      </w:pPr>
      <w:r>
        <w:rPr>
          <w:color w:val="8C8C8C"/>
          <w:sz w:val="12"/>
        </w:rPr>
        <w:t>cf-art-114-inc-VI</w:t>
      </w:r>
      <w:r>
        <w:rPr>
          <w:color w:val="003CA0"/>
          <w:sz w:val="12"/>
        </w:rPr>
        <w:t xml:space="preserve"> | ADI 6.050</w:t>
      </w:r>
      <w:r>
        <w:rPr>
          <w:color w:val="003CA0"/>
          <w:sz w:val="12"/>
        </w:rPr>
        <w:t xml:space="preserve"> | rel. Gilmar Mendes</w:t>
      </w:r>
    </w:p>
    <w:p>
      <w:pPr>
        <w:ind w:left="288"/>
      </w:pPr>
      <w:r>
        <w:rPr>
          <w:color w:val="1E1E1E"/>
          <w:sz w:val="18"/>
        </w:rPr>
        <w:t>Parâmetros para a fixação do quantum indenizatório dos danos extrapatrimoniais. (...) As redações conferidas aos art. 223-A e 223- B, da CLT, não excluem o direito à reparação por dano moral indireto ou dano em ricochete no âmbito das relações de trabalho, a ser apreciado nos termos da legislação civil; (...) Os critérios de quantificação de reparação por dano extrapatrimonial previstos no art. 223-G, caput e §1º, da CLT deverão ser observados pelo julgador como critérios orientativos de fundamentação da decisão judicial. É constitucional, porém, o arbitramento judicial do dano em valores supe</w:t>
      </w:r>
    </w:p>
    <w:p>
      <w:pPr>
        <w:ind w:left="144"/>
      </w:pPr>
      <w:r>
        <w:rPr>
          <w:b/>
          <w:color w:val="B45A00"/>
          <w:sz w:val="16"/>
        </w:rPr>
        <w:t>REPERCUSSAO GERAL</w:t>
      </w:r>
    </w:p>
    <w:p>
      <w:pPr>
        <w:ind w:left="288"/>
      </w:pPr>
      <w:r>
        <w:rPr>
          <w:color w:val="8C8C8C"/>
          <w:sz w:val="12"/>
        </w:rPr>
        <w:t>cf-art-114-inc-VI</w:t>
      </w:r>
      <w:r>
        <w:rPr>
          <w:color w:val="003CA0"/>
          <w:sz w:val="12"/>
        </w:rPr>
        <w:t xml:space="preserve"> | RE 600.091</w:t>
      </w:r>
      <w:r>
        <w:rPr>
          <w:color w:val="003CA0"/>
          <w:sz w:val="12"/>
        </w:rPr>
        <w:t xml:space="preserve"> | rel. Dias Toffoli</w:t>
      </w:r>
    </w:p>
    <w:p>
      <w:pPr>
        <w:ind w:left="288"/>
      </w:pPr>
      <w:r>
        <w:rPr>
          <w:color w:val="1E1E1E"/>
          <w:sz w:val="18"/>
        </w:rPr>
        <w:t>Ação de indenização decorrente de danos sofridos em acidente de trabalho. Demanda diretamente decorrente de relação de trabalho, sendo irrelevante, para fins de fixação da competência, o fato de ter sido ajuizada por sucessores do trabalhador falecido. Aplicação da norma do art. 114,  VI, da CF, com a redação que a ela foi dada pela EC 45/2004. Reconhecimento da competência da Justiça Federal do Trabalho para o processamento do feito.</w:t>
        <w:br/>
        <w:t>[RE 600.091, rel. min. Dias Toffoli, j. 25-5-2011, P, DJE de 15-8-2011, Tema 242, com mérito julgado.]</w:t>
        <w:br/>
        <w:t>= CC 7.545, rel. min. Eros Grau, j. 3-6-2009, P, DJE de 14</w:t>
      </w:r>
    </w:p>
    <w:p>
      <w:pPr>
        <w:ind w:left="144"/>
      </w:pPr>
      <w:r>
        <w:rPr>
          <w:b/>
          <w:color w:val="B45A00"/>
          <w:sz w:val="16"/>
        </w:rPr>
        <w:t>JULGADOS CORRELATOS</w:t>
      </w:r>
    </w:p>
    <w:p>
      <w:pPr>
        <w:ind w:left="288"/>
      </w:pPr>
      <w:r>
        <w:rPr>
          <w:color w:val="8C8C8C"/>
          <w:sz w:val="12"/>
        </w:rPr>
        <w:t>cf-art-114-inc-VI</w:t>
      </w:r>
      <w:r>
        <w:rPr>
          <w:color w:val="003CA0"/>
          <w:sz w:val="12"/>
        </w:rPr>
        <w:t xml:space="preserve"> | RE 504.374</w:t>
      </w:r>
      <w:r>
        <w:rPr>
          <w:color w:val="003CA0"/>
          <w:sz w:val="12"/>
        </w:rPr>
        <w:t xml:space="preserve"> | rel. Ayres Britto</w:t>
      </w:r>
    </w:p>
    <w:p>
      <w:pPr>
        <w:ind w:left="288"/>
      </w:pPr>
      <w:r>
        <w:rPr>
          <w:color w:val="1E1E1E"/>
          <w:sz w:val="18"/>
        </w:rPr>
        <w:t>Compete à Justiça do Trabalho apreciar e julgar pedido de indenização por danos morais e patrimoniais, decorrentes de acidente do trabalho, nos termos da redação originária do art. 114 c/c o inciso I do art. 109 da Lei Maior. As ações em trâmite na Justiça comum estadual e com sentença de mérito anterior à promulgação da EC 45/2004 lá continuam até o trânsito em julgado e correspondente execução. Quanto àquelas cujo mérito ainda não fora apreciado, devem ser remetidas à Justiça laboral, no estado em que se encontram, com total aproveitamento dos atos já praticados.</w:t>
      </w:r>
    </w:p>
    <w:p>
      <w:pPr>
        <w:ind w:left="288"/>
      </w:pPr>
      <w:r>
        <w:rPr>
          <w:b/>
          <w:color w:val="003CA0"/>
          <w:sz w:val="16"/>
        </w:rPr>
        <w:t>[RE 504.374 AgR, rel. min. Ayres Britto, j. 27-2-2007, 1ª T, DJ de 11-5-2007.]</w:t>
      </w:r>
    </w:p>
    <w:p>
      <w:pPr>
        <w:ind w:left="288"/>
      </w:pPr>
      <w:r>
        <w:rPr>
          <w:color w:val="8C8C8C"/>
          <w:sz w:val="12"/>
        </w:rPr>
        <w:t>cf-art-114-inc-VI</w:t>
      </w:r>
      <w:r>
        <w:rPr>
          <w:color w:val="003CA0"/>
          <w:sz w:val="12"/>
        </w:rPr>
        <w:t xml:space="preserve"> | RE 563.495</w:t>
      </w:r>
      <w:r>
        <w:rPr>
          <w:color w:val="003CA0"/>
          <w:sz w:val="12"/>
        </w:rPr>
        <w:t xml:space="preserve"> | rel. Gilmar Mendes</w:t>
      </w:r>
    </w:p>
    <w:p>
      <w:pPr>
        <w:ind w:left="288"/>
      </w:pPr>
      <w:r>
        <w:rPr>
          <w:color w:val="1E1E1E"/>
          <w:sz w:val="18"/>
        </w:rPr>
        <w:t>= RE 563.495 AgR, rel. min. Gilmar Mendes, j. 1º-2-2011, 2ª T, DJE de 17-2-2011 Competência. Ação de indenização. Dano moral. Acidente do trabalho. Fato histórico único. Unidade de convicção. Feito da competência da Justiça comum. Inteligência do art. 114, VI, da CF (...). É da competência da Justiça comum a ação de indenização por dano moral, quando o fato também qualifique acidente do trabalho.</w:t>
      </w:r>
    </w:p>
    <w:p>
      <w:pPr>
        <w:ind w:left="288"/>
      </w:pPr>
      <w:r>
        <w:rPr>
          <w:b/>
          <w:color w:val="003CA0"/>
          <w:sz w:val="16"/>
        </w:rPr>
        <w:t>[RE 438.639, red. do ac. min. Cezar Peluso, j. 9-3-2005, P, DJE de 6-3-2009.]</w:t>
      </w:r>
    </w:p>
    <w:p>
      <w:pPr>
        <w:ind w:left="288"/>
      </w:pPr>
      <w:r>
        <w:rPr>
          <w:color w:val="8C8C8C"/>
          <w:sz w:val="12"/>
        </w:rPr>
        <w:t>cf-art-114-inc-VI</w:t>
      </w:r>
      <w:r>
        <w:rPr>
          <w:color w:val="003CA0"/>
          <w:sz w:val="12"/>
        </w:rPr>
        <w:t xml:space="preserve"> | RE 394.943</w:t>
      </w:r>
      <w:r>
        <w:rPr>
          <w:color w:val="003CA0"/>
          <w:sz w:val="12"/>
        </w:rPr>
        <w:t xml:space="preserve"> | rel. Eros Grau</w:t>
      </w:r>
    </w:p>
    <w:p>
      <w:pPr>
        <w:ind w:left="288"/>
      </w:pPr>
      <w:r>
        <w:rPr>
          <w:color w:val="1E1E1E"/>
          <w:sz w:val="18"/>
        </w:rPr>
        <w:t>= RE 394.943, rel. min. Eros Grau, j. 1º-2-2005, 1ª T, DJ de 13-5-2005 Ação por dano moral decorrente de relação de emprego. Competência da Justiça Trabalhista.</w:t>
      </w:r>
    </w:p>
    <w:p>
      <w:pPr>
        <w:ind w:left="288"/>
      </w:pPr>
      <w:r>
        <w:rPr>
          <w:b/>
          <w:color w:val="003CA0"/>
          <w:sz w:val="16"/>
        </w:rPr>
        <w:t>[AI 483.710 ED, rel. min. Gilmar Mendes, j. 18-5-2004, 2ª T, DJ de 11-6-2004.]</w:t>
      </w:r>
    </w:p>
    <w:p>
      <w:pPr>
        <w:ind w:left="144"/>
      </w:pPr>
      <w:r>
        <w:rPr>
          <w:b/>
          <w:color w:val="B45A00"/>
          <w:sz w:val="16"/>
        </w:rPr>
        <w:t>SUMULA VINCULANTE</w:t>
      </w:r>
    </w:p>
    <w:p>
      <w:pPr>
        <w:ind w:left="288"/>
      </w:pPr>
      <w:r>
        <w:rPr>
          <w:color w:val="8C8C8C"/>
          <w:sz w:val="12"/>
        </w:rPr>
        <w:t>cf-art-114-inc-VIII</w:t>
      </w:r>
    </w:p>
    <w:p>
      <w:pPr>
        <w:ind w:left="288"/>
      </w:pPr>
      <w:r>
        <w:rPr>
          <w:color w:val="1E1E1E"/>
          <w:sz w:val="18"/>
        </w:rPr>
        <w:t>A competência da Justiça do Trabalho prevista no art. 114, VIII, da CF alcança a execução de ofício das contribuições previdenciárias relativas ao objeto da condenação constante das sentenças que proferir e acordos por ela homologados.</w:t>
      </w:r>
    </w:p>
    <w:p>
      <w:pPr>
        <w:ind w:left="288"/>
      </w:pPr>
      <w:r>
        <w:rPr>
          <w:b/>
          <w:color w:val="003CA0"/>
          <w:sz w:val="16"/>
        </w:rPr>
        <w:t>[Súmula Vinculante 53.]</w:t>
      </w:r>
    </w:p>
    <w:p>
      <w:pPr>
        <w:ind w:left="144"/>
      </w:pPr>
      <w:r>
        <w:rPr>
          <w:b/>
          <w:color w:val="B45A00"/>
          <w:sz w:val="16"/>
        </w:rPr>
        <w:t>REPERCUSSAO GERAL</w:t>
      </w:r>
    </w:p>
    <w:p>
      <w:pPr>
        <w:ind w:left="288"/>
      </w:pPr>
      <w:r>
        <w:rPr>
          <w:color w:val="8C8C8C"/>
          <w:sz w:val="12"/>
        </w:rPr>
        <w:t>cf-art-114-inc-VIII</w:t>
      </w:r>
      <w:r>
        <w:rPr>
          <w:color w:val="003CA0"/>
          <w:sz w:val="12"/>
        </w:rPr>
        <w:t xml:space="preserve"> | RE 595.326</w:t>
      </w:r>
      <w:r>
        <w:rPr>
          <w:color w:val="003CA0"/>
          <w:sz w:val="12"/>
        </w:rPr>
        <w:t xml:space="preserve"> | rel. Marco Aurélio</w:t>
      </w:r>
    </w:p>
    <w:p>
      <w:pPr>
        <w:ind w:left="288"/>
      </w:pPr>
      <w:r>
        <w:rPr>
          <w:color w:val="1E1E1E"/>
          <w:sz w:val="18"/>
        </w:rPr>
        <w:t>A Justiça do Trabalho é competente para executar, de ofício, as contribuições previstas no artigo 195, incisos I, alínea a, e II, da Carta da República, relativamente a títulos executivos judiciais por si formalizados em data anterior à promulgação da Emenda Constitucional 20/1998.</w:t>
      </w:r>
    </w:p>
    <w:p>
      <w:pPr>
        <w:ind w:left="288"/>
      </w:pPr>
      <w:r>
        <w:rPr>
          <w:b/>
          <w:color w:val="003CA0"/>
          <w:sz w:val="16"/>
        </w:rPr>
        <w:t>[RE 595.326, rel. min. Marco Aurélio, j. 24-8-2020, P, DJE de 17-9-2020, Tema 505, com mérito julgado.]</w:t>
      </w:r>
    </w:p>
    <w:p>
      <w:pPr>
        <w:ind w:left="288"/>
      </w:pPr>
      <w:r>
        <w:rPr>
          <w:color w:val="8C8C8C"/>
          <w:sz w:val="12"/>
        </w:rPr>
        <w:t>cf-art-114-inc-VIII</w:t>
      </w:r>
      <w:r>
        <w:rPr>
          <w:color w:val="003CA0"/>
          <w:sz w:val="12"/>
        </w:rPr>
        <w:t xml:space="preserve"> | RE 569.056</w:t>
      </w:r>
      <w:r>
        <w:rPr>
          <w:color w:val="003CA0"/>
          <w:sz w:val="12"/>
        </w:rPr>
        <w:t xml:space="preserve"> | rel. Menezes Direito</w:t>
      </w:r>
    </w:p>
    <w:p>
      <w:pPr>
        <w:ind w:left="288"/>
      </w:pPr>
      <w:r>
        <w:rPr>
          <w:color w:val="1E1E1E"/>
          <w:sz w:val="18"/>
        </w:rPr>
        <w:t>A competência da Justiça do Trabalho prevista no art. 114, VIII, da CF alcança apenas a execução das contribuições previdenciárias relativas ao objeto da condenação constante das sentenças que proferir.</w:t>
      </w:r>
    </w:p>
    <w:p>
      <w:pPr>
        <w:ind w:left="288"/>
      </w:pPr>
      <w:r>
        <w:rPr>
          <w:b/>
          <w:color w:val="003CA0"/>
          <w:sz w:val="16"/>
        </w:rPr>
        <w:t>[RE 569.056, rel. min. Menezes Direito, j. 11-9-2008, P, DJE de 12-12-2008, Tema 36, com mérito julgado.]</w:t>
      </w:r>
    </w:p>
    <w:p>
      <w:pPr>
        <w:ind w:left="144"/>
      </w:pPr>
      <w:r>
        <w:rPr>
          <w:b/>
          <w:color w:val="B45A00"/>
          <w:sz w:val="16"/>
        </w:rPr>
        <w:t>JULGADOS CORRELATOS</w:t>
      </w:r>
    </w:p>
    <w:p>
      <w:pPr>
        <w:ind w:left="288"/>
      </w:pPr>
      <w:r>
        <w:rPr>
          <w:color w:val="8C8C8C"/>
          <w:sz w:val="12"/>
        </w:rPr>
        <w:t>cf-art-114-inc-VIII</w:t>
      </w:r>
      <w:r>
        <w:rPr>
          <w:color w:val="003CA0"/>
          <w:sz w:val="12"/>
        </w:rPr>
        <w:t xml:space="preserve"> | AC 1.109</w:t>
      </w:r>
      <w:r>
        <w:rPr>
          <w:color w:val="003CA0"/>
          <w:sz w:val="12"/>
        </w:rPr>
        <w:t xml:space="preserve"> | rel. Celso de Mello</w:t>
      </w:r>
    </w:p>
    <w:p>
      <w:pPr>
        <w:ind w:left="288"/>
      </w:pPr>
      <w:r>
        <w:rPr>
          <w:color w:val="1E1E1E"/>
          <w:sz w:val="18"/>
        </w:rPr>
        <w:t>Recursos extraordinários. Medida cautelar incidental. Competência da Justiça do Trabalho para declarar a natureza de verbas fixadas em acordo trabalhista. Matéria pendente de julgamento pelo Plenário do STF (AC 1.109/SP). Pretendida suspensão de exigibilidade de débito previdenciário contestado pela instituição financeira interessada. Cumulativa ocorrência dos requisitos concernentes à plausibilidade jurídica e ao periculum in mora. Outorga de eficácia suspensiva a recursos extraordinários, que, interpostos pela parte requerente, já foram admitidos pela Presidência do Tribunal recorrido. Decis</w:t>
      </w:r>
    </w:p>
    <w:p>
      <w:pPr>
        <w:ind w:left="288"/>
      </w:pPr>
      <w:r>
        <w:rPr>
          <w:b/>
          <w:color w:val="003CA0"/>
          <w:sz w:val="16"/>
        </w:rPr>
        <w:t>[AC 1.556 MC-QO, rel. min. Celso de Mello, j. 6-3-2007, 2ª T, DJ de 23-3-2007.]</w:t>
      </w:r>
    </w:p>
    <w:p>
      <w:pPr>
        <w:ind w:left="144"/>
      </w:pPr>
      <w:r>
        <w:rPr>
          <w:b/>
          <w:color w:val="B45A00"/>
          <w:sz w:val="16"/>
        </w:rPr>
        <w:t>REPERCUSSAO GERAL</w:t>
      </w:r>
    </w:p>
    <w:p>
      <w:pPr>
        <w:ind w:left="288"/>
      </w:pPr>
      <w:r>
        <w:rPr>
          <w:color w:val="8C8C8C"/>
          <w:sz w:val="12"/>
        </w:rPr>
        <w:t>cf-art-114-inc-IX</w:t>
      </w:r>
      <w:r>
        <w:rPr>
          <w:color w:val="003CA0"/>
          <w:sz w:val="12"/>
        </w:rPr>
        <w:t xml:space="preserve"> | RE 583.955</w:t>
      </w:r>
      <w:r>
        <w:rPr>
          <w:color w:val="003CA0"/>
          <w:sz w:val="12"/>
        </w:rPr>
        <w:t xml:space="preserve"> | rel. Ricardo Lewandowski</w:t>
      </w:r>
    </w:p>
    <w:p>
      <w:pPr>
        <w:ind w:left="288"/>
      </w:pPr>
      <w:r>
        <w:rPr>
          <w:color w:val="1E1E1E"/>
          <w:sz w:val="18"/>
        </w:rPr>
        <w:t>A questão central debatida no presente recurso consiste em saber qual o juízo competente para processar e julgar a execução dos créditos trabalhistas no caso de empresa em fase de recuperação judicial. (...) A opção do legislador infraconstitucional foi manter o regime anterior de execução dos créditos trabalhistas pelo juízo universal da falência, sem prejuízo da competência da Justiça Laboral quanto ao julgamento do processo de conhecimento.</w:t>
        <w:br/>
        <w:t>[RE 583.955, rel. min. Ricardo Lewandowski, j. 28-5-2009, P, DJE de 28-8-2009, Tema 90, com mérito julgado.]</w:t>
      </w:r>
    </w:p>
    <w:p>
      <w:pPr>
        <w:ind w:left="144"/>
      </w:pPr>
      <w:r>
        <w:rPr>
          <w:b/>
          <w:color w:val="B45A00"/>
          <w:sz w:val="16"/>
        </w:rPr>
        <w:t>JULGADOS CORRELATOS</w:t>
      </w:r>
    </w:p>
    <w:p>
      <w:pPr>
        <w:ind w:left="288"/>
      </w:pPr>
      <w:r>
        <w:rPr>
          <w:color w:val="8C8C8C"/>
          <w:sz w:val="12"/>
        </w:rPr>
        <w:t>cf-art-114-inc-IX</w:t>
      </w:r>
      <w:r>
        <w:rPr>
          <w:color w:val="003CA0"/>
          <w:sz w:val="12"/>
        </w:rPr>
        <w:t xml:space="preserve"> | ARE 696.411</w:t>
      </w:r>
      <w:r>
        <w:rPr>
          <w:color w:val="003CA0"/>
          <w:sz w:val="12"/>
        </w:rPr>
        <w:t xml:space="preserve"> | rel. Dias Toffoli</w:t>
      </w:r>
    </w:p>
    <w:p>
      <w:pPr>
        <w:ind w:left="288"/>
      </w:pPr>
      <w:r>
        <w:rPr>
          <w:color w:val="1E1E1E"/>
          <w:sz w:val="18"/>
        </w:rPr>
        <w:t>A Justiça do Trabalho é competente para determinar o recolhimento dos tributos incidentes sobre as parcelas tributáveis decorrentes da condenação, o que inclui a definição das verbas que compõem a base de cálculo do imposto de renda.</w:t>
      </w:r>
    </w:p>
    <w:p>
      <w:pPr>
        <w:ind w:left="288"/>
      </w:pPr>
      <w:r>
        <w:rPr>
          <w:b/>
          <w:color w:val="003CA0"/>
          <w:sz w:val="16"/>
        </w:rPr>
        <w:t>[ARE 696.411 AgR, rel. min. Dias Toffoli, j. 26-5-2015, 2ª T, DJE de 19-6-2015.]</w:t>
      </w:r>
    </w:p>
    <w:p>
      <w:pPr>
        <w:ind w:left="288"/>
      </w:pPr>
      <w:r>
        <w:rPr>
          <w:color w:val="8C8C8C"/>
          <w:sz w:val="12"/>
        </w:rPr>
        <w:t>cf-art-114-par-1</w:t>
      </w:r>
    </w:p>
    <w:p>
      <w:pPr>
        <w:ind w:left="288"/>
      </w:pPr>
      <w:r>
        <w:rPr>
          <w:color w:val="1E1E1E"/>
          <w:sz w:val="18"/>
        </w:rPr>
        <w:t>§ 2º Recusando-se qualquer das partes à negociação coletiva ou à arbitragem, é facultado às mesmas, de comum acordo, ajuizar dissídio coletivo de natureza econômica, podendo a Justiça do Trabalho decidir o conflito, respeitadas as disposições mínimas legais de proteção ao trabalho, bem como as convencionadas anteriormente. (Redação da EC 45/2004)</w:t>
      </w:r>
    </w:p>
    <w:p>
      <w:pPr>
        <w:ind w:left="144"/>
      </w:pPr>
      <w:r>
        <w:rPr>
          <w:b/>
          <w:color w:val="B45A00"/>
          <w:sz w:val="16"/>
        </w:rPr>
        <w:t>CONTROLE CONCENTRADO</w:t>
      </w:r>
    </w:p>
    <w:p>
      <w:pPr>
        <w:ind w:left="288"/>
      </w:pPr>
      <w:r>
        <w:rPr>
          <w:color w:val="8C8C8C"/>
          <w:sz w:val="12"/>
        </w:rPr>
        <w:t>cf-art-114-par-1</w:t>
      </w:r>
      <w:r>
        <w:rPr>
          <w:color w:val="003CA0"/>
          <w:sz w:val="12"/>
        </w:rPr>
        <w:t xml:space="preserve"> | ADI 4.364</w:t>
      </w:r>
      <w:r>
        <w:rPr>
          <w:color w:val="003CA0"/>
          <w:sz w:val="12"/>
        </w:rPr>
        <w:t xml:space="preserve"> | rel. Dias Toffoli</w:t>
      </w:r>
    </w:p>
    <w:p>
      <w:pPr>
        <w:ind w:left="288"/>
      </w:pPr>
      <w:r>
        <w:rPr>
          <w:color w:val="1E1E1E"/>
          <w:sz w:val="18"/>
        </w:rPr>
        <w:t>Não viola o poder normativo da Justiça do Trabalho (art. 114, § 2º, da Lei Maior) o fato de a lei estadual não ter excluído dos seus efeitos a hipótese de piso salarial determinado em dissídio coletivo. A lei atuou nos exatos contornos da autorização conferida pela delegação legislativa.</w:t>
      </w:r>
    </w:p>
    <w:p>
      <w:pPr>
        <w:ind w:left="288"/>
      </w:pPr>
      <w:r>
        <w:rPr>
          <w:b/>
          <w:color w:val="003CA0"/>
          <w:sz w:val="16"/>
        </w:rPr>
        <w:t>[ADI 4.364, rel. min. Dias Toffoli, j. 2-3-2011, P, DJE de 16-5-2011.]</w:t>
      </w:r>
    </w:p>
    <w:p>
      <w:pPr>
        <w:ind w:left="144"/>
      </w:pPr>
      <w:r>
        <w:rPr>
          <w:b/>
          <w:color w:val="B45A00"/>
          <w:sz w:val="16"/>
        </w:rPr>
        <w:t>REPERCUSSAO GERAL</w:t>
      </w:r>
    </w:p>
    <w:p>
      <w:pPr>
        <w:ind w:left="288"/>
      </w:pPr>
      <w:r>
        <w:rPr>
          <w:color w:val="8C8C8C"/>
          <w:sz w:val="12"/>
        </w:rPr>
        <w:t>cf-art-114-par-1</w:t>
      </w:r>
      <w:r>
        <w:rPr>
          <w:color w:val="003CA0"/>
          <w:sz w:val="12"/>
        </w:rPr>
        <w:t xml:space="preserve"> | RE 1.002.295</w:t>
      </w:r>
    </w:p>
    <w:p>
      <w:pPr>
        <w:ind w:left="288"/>
      </w:pPr>
      <w:r>
        <w:rPr>
          <w:color w:val="1E1E1E"/>
          <w:sz w:val="18"/>
        </w:rPr>
        <w:t>É constitucional a exigência de comum acordo entre as partes para ajuizamento de dissídio coletivo de natureza econômica, conforme o artigo 114, § 2º, da Constituição Federal, na redação dada pela Emenda Constitucional 45/2004.</w:t>
      </w:r>
    </w:p>
    <w:p>
      <w:pPr>
        <w:ind w:left="288"/>
      </w:pPr>
      <w:r>
        <w:rPr>
          <w:b/>
          <w:color w:val="003CA0"/>
          <w:sz w:val="16"/>
        </w:rPr>
        <w:t>[RE 1.002.295, red. do ac. min. Alexandre de Morae , j. 22-9-2020, P, DJE de 13-10-2020, Tema 841, com mérito julgado.]</w:t>
      </w:r>
    </w:p>
    <w:p>
      <w:pPr>
        <w:ind w:left="144"/>
      </w:pPr>
      <w:r>
        <w:rPr>
          <w:b/>
          <w:color w:val="B45A00"/>
          <w:sz w:val="16"/>
        </w:rPr>
        <w:t>JULGADOS CORRELATOS</w:t>
      </w:r>
    </w:p>
    <w:p>
      <w:pPr>
        <w:ind w:left="288"/>
      </w:pPr>
      <w:r>
        <w:rPr>
          <w:color w:val="8C8C8C"/>
          <w:sz w:val="12"/>
        </w:rPr>
        <w:t>cf-art-114-par-1</w:t>
      </w:r>
      <w:r>
        <w:rPr>
          <w:color w:val="003CA0"/>
          <w:sz w:val="12"/>
        </w:rPr>
        <w:t xml:space="preserve"> | RE 114.836</w:t>
      </w:r>
      <w:r>
        <w:rPr>
          <w:color w:val="003CA0"/>
          <w:sz w:val="12"/>
        </w:rPr>
        <w:t xml:space="preserve"> | rel. Maurício Corrêa</w:t>
      </w:r>
    </w:p>
    <w:p>
      <w:pPr>
        <w:ind w:left="288"/>
      </w:pPr>
      <w:r>
        <w:rPr>
          <w:color w:val="1E1E1E"/>
          <w:sz w:val="18"/>
        </w:rPr>
        <w:t>Dissídio coletivo. Ausência de previsão legal para cláusulas deferidas. Poder normativo da Justiça do Trabalho: limites na lei. A jurisprudência da Corte é no sentido de que as cláusulas deferidas em sentença normativa proferida em dissídio coletivo só podem ser impostas se encontrarem suporte na lei.</w:t>
      </w:r>
    </w:p>
    <w:p>
      <w:pPr>
        <w:ind w:left="288"/>
      </w:pPr>
      <w:r>
        <w:rPr>
          <w:b/>
          <w:color w:val="003CA0"/>
          <w:sz w:val="16"/>
        </w:rPr>
        <w:t>[RE 114.836, rel. min. Maurício Corrêa, j. 1º-12-1997, 2ª T, DJ de 6-3-1998.]</w:t>
      </w:r>
    </w:p>
    <w:p>
      <w:pPr>
        <w:ind w:left="144"/>
      </w:pPr>
      <w:r>
        <w:rPr>
          <w:b/>
          <w:color w:val="B45A00"/>
          <w:sz w:val="16"/>
        </w:rPr>
        <w:t>CONTROLE CONCENTRADO</w:t>
      </w:r>
    </w:p>
    <w:p>
      <w:pPr>
        <w:ind w:left="288"/>
      </w:pPr>
      <w:r>
        <w:rPr>
          <w:color w:val="8C8C8C"/>
          <w:sz w:val="12"/>
        </w:rPr>
        <w:t>cf-art-114-par-3</w:t>
      </w:r>
      <w:r>
        <w:rPr>
          <w:color w:val="003CA0"/>
          <w:sz w:val="12"/>
        </w:rPr>
        <w:t xml:space="preserve"> | ADI 3.432</w:t>
      </w:r>
      <w:r>
        <w:rPr>
          <w:color w:val="003CA0"/>
          <w:sz w:val="12"/>
        </w:rPr>
        <w:t xml:space="preserve"> | rel. Gilmar Mendes</w:t>
      </w:r>
    </w:p>
    <w:p>
      <w:pPr>
        <w:ind w:left="288"/>
      </w:pPr>
      <w:r>
        <w:rPr>
          <w:color w:val="1E1E1E"/>
          <w:sz w:val="18"/>
        </w:rPr>
        <w:t>Art. 1º, da Emenda Constitucional 45/2004, na parte em que deu nova redação ao art. 114, §§ 2º e 3º, da Constituição Federal. (...) Legitimidade do MPT para ajuizar Dissídio Coletivo em caso de greve em atividade essencial. Ofensa aos artigos 5º, XXXV, LV e LXXVIII, e 60, § 4º, IV, da Constituição Federal. Inocorrência. Condição da ação estabelecida pela Constituição. Estímulo às formas alternativas de resolução de conflito.</w:t>
      </w:r>
    </w:p>
    <w:p>
      <w:pPr>
        <w:ind w:left="288"/>
      </w:pPr>
      <w:r>
        <w:rPr>
          <w:b/>
          <w:color w:val="003CA0"/>
          <w:sz w:val="16"/>
        </w:rPr>
        <w:t>[ADI 3.432, rel. min. Gilmar Mendes, j. 29-5-2020, P, DJE de 26-6-2020.]</w:t>
      </w:r>
    </w:p>
    <w:p>
      <w:pPr>
        <w:ind w:left="432"/>
      </w:pPr>
      <w:r>
        <w:rPr>
          <w:color w:val="003366"/>
          <w:sz w:val="18"/>
        </w:rPr>
        <w:t>§ 1 Frustrada a negociação coletiva, as partes poderão eleger árbitros.</w:t>
      </w:r>
    </w:p>
    <w:p>
      <w:pPr>
        <w:ind w:left="432"/>
      </w:pPr>
      <w:r>
        <w:rPr>
          <w:color w:val="003366"/>
          <w:sz w:val="18"/>
        </w:rPr>
        <w:t>§ 2 Recusando-se qualquer das partes à negociação coletiva ou à arbitragem, é fa</w:t>
      </w:r>
    </w:p>
    <w:p>
      <w:pPr>
        <w:ind w:left="432"/>
      </w:pPr>
      <w:r>
        <w:rPr>
          <w:color w:val="003366"/>
          <w:sz w:val="18"/>
        </w:rPr>
        <w:t>§ 3 Em caso de greve em atividade essencial, com possibilidade de lesão do inter</w:t>
      </w:r>
    </w:p>
    <w:p>
      <w:r>
        <w:rPr>
          <w:b/>
          <w:color w:val="003366"/>
          <w:sz w:val="20"/>
        </w:rPr>
        <w:t>Art. 115 Os Tribunais Regionais do Trabalho compõem-se de, no mínimo, sete juíze</w:t>
      </w:r>
      <w:r>
        <w:rPr>
          <w:color w:val="8C8C8C"/>
          <w:sz w:val="14"/>
        </w:rPr>
        <w:t xml:space="preserve">  [6 decisoes]</w:t>
      </w:r>
    </w:p>
    <w:p>
      <w:pPr>
        <w:ind w:left="144"/>
      </w:pPr>
      <w:r>
        <w:rPr>
          <w:b/>
          <w:color w:val="B45A00"/>
          <w:sz w:val="16"/>
        </w:rPr>
        <w:t>JULGADOS CORRELATOS</w:t>
      </w:r>
    </w:p>
    <w:p>
      <w:pPr>
        <w:ind w:left="288"/>
      </w:pPr>
      <w:r>
        <w:rPr>
          <w:color w:val="8C8C8C"/>
          <w:sz w:val="12"/>
        </w:rPr>
        <w:t>cf-art-115</w:t>
      </w:r>
      <w:r>
        <w:rPr>
          <w:color w:val="003CA0"/>
          <w:sz w:val="12"/>
        </w:rPr>
        <w:t xml:space="preserve"> | RCL 10.707</w:t>
      </w:r>
      <w:r>
        <w:rPr>
          <w:color w:val="003CA0"/>
          <w:sz w:val="12"/>
        </w:rPr>
        <w:t xml:space="preserve"> | rel. Celso de Mello</w:t>
      </w:r>
    </w:p>
    <w:p>
      <w:pPr>
        <w:ind w:left="288"/>
      </w:pPr>
      <w:r>
        <w:rPr>
          <w:color w:val="1E1E1E"/>
          <w:sz w:val="18"/>
        </w:rPr>
        <w:t>Juiz. Investidura em TRT (CF, art. 115). Ato subjetivamente complexo. Ciclo de formação. Possibilidade de controle jurisdicional em cada momento de seu iter formativo.</w:t>
      </w:r>
    </w:p>
    <w:p>
      <w:pPr>
        <w:ind w:left="288"/>
      </w:pPr>
      <w:r>
        <w:rPr>
          <w:b/>
          <w:color w:val="003CA0"/>
          <w:sz w:val="16"/>
        </w:rPr>
        <w:t>[Rcl 10.707 AgR, rel. min. Celso de Mello, j. 28-5-2014, P, DJE de 30-10-2014.]</w:t>
      </w:r>
    </w:p>
    <w:p>
      <w:pPr>
        <w:ind w:left="288"/>
      </w:pPr>
      <w:r>
        <w:rPr>
          <w:color w:val="8C8C8C"/>
          <w:sz w:val="12"/>
        </w:rPr>
        <w:t>cf-art-115</w:t>
      </w:r>
      <w:r>
        <w:rPr>
          <w:color w:val="003CA0"/>
          <w:sz w:val="12"/>
        </w:rPr>
        <w:t xml:space="preserve"> | MS 21.632-8</w:t>
      </w:r>
      <w:r>
        <w:rPr>
          <w:color w:val="003CA0"/>
          <w:sz w:val="12"/>
        </w:rPr>
        <w:t xml:space="preserve"> | rel. Sepúlveda Pertence</w:t>
      </w:r>
    </w:p>
    <w:p>
      <w:pPr>
        <w:ind w:left="288"/>
      </w:pPr>
      <w:r>
        <w:rPr>
          <w:color w:val="1E1E1E"/>
          <w:sz w:val="18"/>
        </w:rPr>
        <w:t>Mandado de segurança: autoridade coatora: legitimação do presidente da República para responder, em caráter preventivo, à impetração fundada na inconstitucionalidade da lista tríplice organizada pelo tribunal para a promoção de juízes. Precedente (MS 21.632-8/DF, Plenário, 12-5-1993, Pertence, DJ de 6-8-1993). Composição de lista tríplice para preenchimento de vaga de juiz do TRT 12ª Região/SC: incontroversa utilização de critérios objetivos, devidamente especificados, que demonstram a não equiparação entre os candidatos; ausência, ademais, de direito da impetrante de fazer prevalecer sua anti</w:t>
      </w:r>
    </w:p>
    <w:p>
      <w:pPr>
        <w:ind w:left="288"/>
      </w:pPr>
      <w:r>
        <w:rPr>
          <w:b/>
          <w:color w:val="003CA0"/>
          <w:sz w:val="16"/>
        </w:rPr>
        <w:t>[MS 25.979 AgR, rel. min. Sepúlveda Pertence, j. 2-8-2006, P, DJ de 18-8-2006.]</w:t>
      </w:r>
    </w:p>
    <w:p>
      <w:pPr>
        <w:ind w:left="288"/>
      </w:pPr>
      <w:r>
        <w:rPr>
          <w:color w:val="8C8C8C"/>
          <w:sz w:val="12"/>
        </w:rPr>
        <w:t>cf-art-115</w:t>
      </w:r>
      <w:r>
        <w:rPr>
          <w:color w:val="003CA0"/>
          <w:sz w:val="12"/>
        </w:rPr>
        <w:t xml:space="preserve"> | MS 23.769</w:t>
      </w:r>
      <w:r>
        <w:rPr>
          <w:color w:val="003CA0"/>
          <w:sz w:val="12"/>
        </w:rPr>
        <w:t xml:space="preserve"> | rel. Ellen Gracie</w:t>
      </w:r>
    </w:p>
    <w:p>
      <w:pPr>
        <w:ind w:left="288"/>
      </w:pPr>
      <w:r>
        <w:rPr>
          <w:color w:val="1E1E1E"/>
          <w:sz w:val="18"/>
        </w:rPr>
        <w:t>Não procede a pretensão da impetrante de aplicar aos tribunais regionais do trabalho a regra especial de proporcionalidade estatuída pelo § 1º do art. 111 da Constituição, alusiva ao TST.</w:t>
      </w:r>
    </w:p>
    <w:p>
      <w:pPr>
        <w:ind w:left="288"/>
      </w:pPr>
      <w:r>
        <w:rPr>
          <w:b/>
          <w:color w:val="003CA0"/>
          <w:sz w:val="16"/>
        </w:rPr>
        <w:t>[MS 23.769, rel. min. Ellen Gracie, j. 3-4-2002, P, DJ de 30-4-2004.]</w:t>
      </w:r>
    </w:p>
    <w:p>
      <w:pPr>
        <w:ind w:left="288"/>
      </w:pPr>
      <w:r>
        <w:rPr>
          <w:color w:val="8C8C8C"/>
          <w:sz w:val="12"/>
        </w:rPr>
        <w:t>cf-art-115</w:t>
      </w:r>
      <w:r>
        <w:rPr>
          <w:color w:val="003CA0"/>
          <w:sz w:val="12"/>
        </w:rPr>
        <w:t xml:space="preserve"> | ADI 1.289</w:t>
      </w:r>
      <w:r>
        <w:rPr>
          <w:color w:val="003CA0"/>
          <w:sz w:val="12"/>
        </w:rPr>
        <w:t xml:space="preserve"> | rel. Gilmar Mendes</w:t>
      </w:r>
    </w:p>
    <w:p>
      <w:pPr>
        <w:ind w:left="288"/>
      </w:pPr>
      <w:r>
        <w:rPr>
          <w:color w:val="1E1E1E"/>
          <w:sz w:val="18"/>
        </w:rPr>
        <w:t xml:space="preserve">I - um quinto dentre advogados com mais de dez anos de efetiva atividade profissional e membros do Ministério Público do Trabalho com mais de dez anos de efetivo exercício, observado o disposto no art. 94; (Redação da EC 45/2004) Embargos infringentes. Cabimento, na hipótese de recurso interposto antes da vigência da Lei 9.868, de 10-11-1999. Cargos vagos de juízes do TRT. Composição de lista. Requisitos dos arts. 94 e 115 da Constituição: quinto constitucional e lista sêxtupla. Ato normativo que menos se distancia do sistema constitucional, ao assegurar aos órgãos participantes do processo a </w:t>
      </w:r>
    </w:p>
    <w:p>
      <w:pPr>
        <w:ind w:left="288"/>
      </w:pPr>
      <w:r>
        <w:rPr>
          <w:b/>
          <w:color w:val="003CA0"/>
          <w:sz w:val="16"/>
        </w:rPr>
        <w:t>[ADI 1.289 EI, rel. min. Gilmar Mendes, j. 3-4-2003, P, DJ de 27-2-2004.]</w:t>
      </w:r>
    </w:p>
    <w:p>
      <w:pPr>
        <w:ind w:left="288"/>
      </w:pPr>
      <w:r>
        <w:rPr>
          <w:color w:val="8C8C8C"/>
          <w:sz w:val="12"/>
        </w:rPr>
        <w:t>cf-art-115</w:t>
      </w:r>
      <w:r>
        <w:rPr>
          <w:color w:val="003CA0"/>
          <w:sz w:val="12"/>
        </w:rPr>
        <w:t xml:space="preserve"> | MS 27.244</w:t>
      </w:r>
      <w:r>
        <w:rPr>
          <w:color w:val="003CA0"/>
          <w:sz w:val="12"/>
        </w:rPr>
        <w:t xml:space="preserve"> | rel. Joaquim Barbosa</w:t>
      </w:r>
    </w:p>
    <w:p>
      <w:pPr>
        <w:ind w:left="288"/>
      </w:pPr>
      <w:r>
        <w:rPr>
          <w:color w:val="1E1E1E"/>
          <w:sz w:val="18"/>
        </w:rPr>
        <w:t>Estando o presidente da República de posse de lista tríplice destinada ao preenchimento de vaga de magistrado de TRT, podendo nomear, a qualquer momento, aquele que vai ocupar o cargo vago, configura-se a competência desta Corte para o julgamento do mandado de segurança que impugna o processo de escolha dos integrantes da lista, nos termos da jurisprudência do STF, consolidada na Súmula 627 desta Corte.</w:t>
      </w:r>
    </w:p>
    <w:p>
      <w:pPr>
        <w:ind w:left="288"/>
      </w:pPr>
      <w:r>
        <w:rPr>
          <w:b/>
          <w:color w:val="003CA0"/>
          <w:sz w:val="16"/>
        </w:rPr>
        <w:t>[MS 27.244 QO, rel. min. Joaquim Barbosa, j. 13-5-2009, P, DJE de 19-3-2010.]</w:t>
      </w:r>
    </w:p>
    <w:p>
      <w:pPr>
        <w:ind w:left="288"/>
      </w:pPr>
      <w:r>
        <w:rPr>
          <w:color w:val="8C8C8C"/>
          <w:sz w:val="12"/>
        </w:rPr>
        <w:t>cf-art-115-inc-II</w:t>
      </w:r>
      <w:r>
        <w:rPr>
          <w:color w:val="003CA0"/>
          <w:sz w:val="12"/>
        </w:rPr>
        <w:t xml:space="preserve"> | MS 24.575</w:t>
      </w:r>
      <w:r>
        <w:rPr>
          <w:color w:val="003CA0"/>
          <w:sz w:val="12"/>
        </w:rPr>
        <w:t xml:space="preserve"> | rel. Eros Grau</w:t>
      </w:r>
    </w:p>
    <w:p>
      <w:pPr>
        <w:ind w:left="288"/>
      </w:pPr>
      <w:r>
        <w:rPr>
          <w:color w:val="1E1E1E"/>
          <w:sz w:val="18"/>
        </w:rPr>
        <w:t>A nomeação de juiz para os cargos de desembargador dos tribunais federais, pelo critério de merecimento, é ato administrativo complexo, para o qual concorrem atos de vontade dos membros do tribunal de origem – que compõem a lista tríplice a partir da quinta parte dos juízes com dois anos de judicatura na mesma entrância – e do presidente da República, que procede à escolha a partir do rol previamente determinado. A lista tríplice elaborada pelo tribunal deve obedecer aos dois requisitos previstos no art. 93, II, b, da Constituição do Brasil (redação anterior à EC 45/2004) (...).</w:t>
      </w:r>
    </w:p>
    <w:p>
      <w:pPr>
        <w:ind w:left="288"/>
      </w:pPr>
      <w:r>
        <w:rPr>
          <w:b/>
          <w:color w:val="003CA0"/>
          <w:sz w:val="16"/>
        </w:rPr>
        <w:t>[MS 24.575, rel. min. Eros Grau, j. 15-12-2004, P, DJ de 4-3-2005.]</w:t>
      </w:r>
    </w:p>
    <w:p>
      <w:pPr>
        <w:ind w:left="432"/>
      </w:pPr>
      <w:r>
        <w:rPr>
          <w:color w:val="003366"/>
          <w:sz w:val="18"/>
        </w:rPr>
        <w:t>§ 1 Os Tribunais Regionais do Trabalho instalarão a justiça itinerante, com a re</w:t>
      </w:r>
    </w:p>
    <w:p>
      <w:pPr>
        <w:ind w:left="432"/>
      </w:pPr>
      <w:r>
        <w:rPr>
          <w:color w:val="003366"/>
          <w:sz w:val="18"/>
        </w:rPr>
        <w:t>§ 2 Os Tribunais Regionais do Trabalho poderão funcionar descentralizadamente, c</w:t>
      </w:r>
    </w:p>
    <w:p>
      <w:r>
        <w:rPr>
          <w:b/>
          <w:color w:val="003366"/>
          <w:sz w:val="20"/>
        </w:rPr>
        <w:t>Art. 116 Nas Varas do Trabalho, a jurisdição será exercida por um juiz singular.</w:t>
      </w:r>
    </w:p>
    <w:p>
      <w:r>
        <w:rPr>
          <w:b/>
          <w:color w:val="003366"/>
          <w:sz w:val="20"/>
        </w:rPr>
        <w:t>Art. 117 e Parágrafo único. (Revogados pela Emenda Constitucional nº 24, de 1999</w:t>
      </w:r>
      <w:r>
        <w:rPr>
          <w:color w:val="8C8C8C"/>
          <w:sz w:val="14"/>
        </w:rPr>
        <w:t xml:space="preserve">  [1 decisoes]</w:t>
      </w:r>
    </w:p>
    <w:p>
      <w:pPr>
        <w:ind w:left="288"/>
      </w:pPr>
      <w:r>
        <w:rPr>
          <w:color w:val="8C8C8C"/>
          <w:sz w:val="12"/>
        </w:rPr>
        <w:t>cf-art-117</w:t>
      </w:r>
    </w:p>
    <w:p>
      <w:pPr>
        <w:ind w:left="288"/>
      </w:pPr>
      <w:r>
        <w:rPr>
          <w:color w:val="1E1E1E"/>
          <w:sz w:val="18"/>
        </w:rPr>
        <w:t>Seção VI Dos Tribunais e Juízes Eleitorais SUMÁRIO</w:t>
      </w:r>
    </w:p>
    <w:p>
      <w:pPr>
        <w:pStyle w:val="Heading3"/>
      </w:pPr>
      <w:r>
        <w:rPr>
          <w:color w:val="003366"/>
        </w:rPr>
        <w:t>Seção VI - DOS TRIBUNAIS E JUÍZES ELEITORAIS</w:t>
      </w:r>
    </w:p>
    <w:p>
      <w:r>
        <w:rPr>
          <w:b/>
          <w:color w:val="003366"/>
          <w:sz w:val="20"/>
        </w:rPr>
        <w:t>Art. 118 São órgãos da Justiça Eleitoral:</w:t>
      </w:r>
    </w:p>
    <w:p>
      <w:pPr>
        <w:ind w:left="720"/>
      </w:pPr>
      <w:r>
        <w:rPr>
          <w:color w:val="003366"/>
          <w:sz w:val="18"/>
        </w:rPr>
        <w:t>I – o Tribunal Superior Eleitoral;</w:t>
      </w:r>
    </w:p>
    <w:p>
      <w:pPr>
        <w:ind w:left="720"/>
      </w:pPr>
      <w:r>
        <w:rPr>
          <w:color w:val="003366"/>
          <w:sz w:val="18"/>
        </w:rPr>
        <w:t>II – os Tribunais Regionais Eleitorais;</w:t>
      </w:r>
    </w:p>
    <w:p>
      <w:pPr>
        <w:ind w:left="720"/>
      </w:pPr>
      <w:r>
        <w:rPr>
          <w:color w:val="003366"/>
          <w:sz w:val="18"/>
        </w:rPr>
        <w:t>III – os Juízes Eleitorais;</w:t>
      </w:r>
    </w:p>
    <w:p>
      <w:pPr>
        <w:ind w:left="720"/>
      </w:pPr>
      <w:r>
        <w:rPr>
          <w:color w:val="003366"/>
          <w:sz w:val="18"/>
        </w:rPr>
        <w:t>IV – as Juntas Eleitorais.</w:t>
      </w:r>
    </w:p>
    <w:p>
      <w:r>
        <w:rPr>
          <w:b/>
          <w:color w:val="003366"/>
          <w:sz w:val="20"/>
        </w:rPr>
        <w:t xml:space="preserve">Art. 119 O Tribunal Superior Eleitoral compor-se-á, no mínimo, de sete membros, </w:t>
      </w:r>
    </w:p>
    <w:p>
      <w:pPr>
        <w:ind w:left="720"/>
      </w:pPr>
      <w:r>
        <w:rPr>
          <w:color w:val="003366"/>
          <w:sz w:val="18"/>
        </w:rPr>
        <w:t>I – mediante eleição, pelo voto secreto:</w:t>
      </w:r>
    </w:p>
    <w:p>
      <w:pPr>
        <w:ind w:left="1008"/>
      </w:pPr>
      <w:r>
        <w:rPr>
          <w:color w:val="003366"/>
          <w:sz w:val="18"/>
        </w:rPr>
        <w:t>a) três juízes dentre os Ministros do Supremo Tribunal Federal;</w:t>
      </w:r>
    </w:p>
    <w:p>
      <w:pPr>
        <w:ind w:left="1008"/>
      </w:pPr>
      <w:r>
        <w:rPr>
          <w:color w:val="003366"/>
          <w:sz w:val="18"/>
        </w:rPr>
        <w:t>b) dois juízes dentre os Ministros do Superior Tribunal de Justiça;</w:t>
      </w:r>
    </w:p>
    <w:p>
      <w:pPr>
        <w:ind w:left="720"/>
      </w:pPr>
      <w:r>
        <w:rPr>
          <w:color w:val="003366"/>
          <w:sz w:val="18"/>
        </w:rPr>
        <w:t xml:space="preserve">II – por nomeação do Presidente da República, dois juízes dentre seis advogados </w:t>
      </w:r>
    </w:p>
    <w:p>
      <w:r>
        <w:rPr>
          <w:b/>
          <w:color w:val="003366"/>
          <w:sz w:val="20"/>
        </w:rPr>
        <w:t>Art. 120 Haverá um Tribunal Regional Eleitoral na Capital de cada Estado e no Di</w:t>
      </w:r>
      <w:r>
        <w:rPr>
          <w:color w:val="8C8C8C"/>
          <w:sz w:val="14"/>
        </w:rPr>
        <w:t xml:space="preserve">  [5 decisoes]</w:t>
      </w:r>
    </w:p>
    <w:p>
      <w:pPr>
        <w:ind w:left="288"/>
      </w:pPr>
      <w:r>
        <w:rPr>
          <w:color w:val="8C8C8C"/>
          <w:sz w:val="12"/>
        </w:rPr>
        <w:t>cf-art-120-par-1-inc-I-ali-b</w:t>
      </w:r>
    </w:p>
    <w:p>
      <w:pPr>
        <w:ind w:left="288"/>
      </w:pPr>
      <w:r>
        <w:rPr>
          <w:color w:val="1E1E1E"/>
          <w:sz w:val="18"/>
        </w:rPr>
        <w:t>II - de um juiz do Tribunal Regional Federal com sede na Capital do Estado ou no Distrito Federal, ou, não havendo, de juiz federal, escolhido, em qualquer caso, pelo Tribunal Regional Federal respectivo;</w:t>
      </w:r>
    </w:p>
    <w:p>
      <w:pPr>
        <w:ind w:left="144"/>
      </w:pPr>
      <w:r>
        <w:rPr>
          <w:b/>
          <w:color w:val="B45A00"/>
          <w:sz w:val="16"/>
        </w:rPr>
        <w:t>JULGADOS CORRELATOS</w:t>
      </w:r>
    </w:p>
    <w:p>
      <w:pPr>
        <w:ind w:left="288"/>
      </w:pPr>
      <w:r>
        <w:rPr>
          <w:color w:val="8C8C8C"/>
          <w:sz w:val="12"/>
        </w:rPr>
        <w:t>cf-art-120-par-1-inc-III</w:t>
      </w:r>
      <w:r>
        <w:rPr>
          <w:color w:val="003CA0"/>
          <w:sz w:val="12"/>
        </w:rPr>
        <w:t xml:space="preserve"> | RMS 24.334</w:t>
      </w:r>
      <w:r>
        <w:rPr>
          <w:color w:val="003CA0"/>
          <w:sz w:val="12"/>
        </w:rPr>
        <w:t xml:space="preserve"> | rel. Gilmar Mendes</w:t>
      </w:r>
    </w:p>
    <w:p>
      <w:pPr>
        <w:ind w:left="288"/>
      </w:pPr>
      <w:r>
        <w:rPr>
          <w:color w:val="1E1E1E"/>
          <w:sz w:val="18"/>
        </w:rPr>
        <w:t>Matéria eleitoral. Organização do Poder Judiciário. Preenchimento de vaga de juiz substituto da classe dos advogados. Regra geral. Art. 94, CF. Prazo de dez anos de exercício da atividade profissional. TRE. Art. 120, § 1º, III, CF. Encaminhamento de lista tríplice. A Constituição silenciou-se, tão somente, em relação aos advogados indicados para a Justiça Eleitoral. Nada há, porém, no âmbito dessa Justiça, que possa justificar disciplina diferente na espécie. Omissão constitucional que não se converte em "silêncio eloquente".</w:t>
      </w:r>
    </w:p>
    <w:p>
      <w:pPr>
        <w:ind w:left="288"/>
      </w:pPr>
      <w:r>
        <w:rPr>
          <w:b/>
          <w:color w:val="003CA0"/>
          <w:sz w:val="16"/>
        </w:rPr>
        <w:t>[RMS 24.334, rel. min. Gilmar Mendes, j. 31-5-2005, 2ª T, DJ de 26-8-2005.]</w:t>
      </w:r>
    </w:p>
    <w:p>
      <w:pPr>
        <w:ind w:left="288"/>
      </w:pPr>
      <w:r>
        <w:rPr>
          <w:color w:val="8C8C8C"/>
          <w:sz w:val="12"/>
        </w:rPr>
        <w:t>cf-art-120-par-1-inc-III</w:t>
      </w:r>
      <w:r>
        <w:rPr>
          <w:color w:val="003CA0"/>
          <w:sz w:val="12"/>
        </w:rPr>
        <w:t xml:space="preserve"> | RMS 24.232</w:t>
      </w:r>
      <w:r>
        <w:rPr>
          <w:color w:val="003CA0"/>
          <w:sz w:val="12"/>
        </w:rPr>
        <w:t xml:space="preserve"> | rel. Joaquim Barbosa</w:t>
      </w:r>
    </w:p>
    <w:p>
      <w:pPr>
        <w:ind w:left="288"/>
      </w:pPr>
      <w:r>
        <w:rPr>
          <w:color w:val="1E1E1E"/>
          <w:sz w:val="18"/>
        </w:rPr>
        <w:t>= RMS 24.232, rel. min. Joaquim Barbosa, j. 29-11-2005, 2ª T, DJ de 26-5-2006 Composição de tribunal regional. Lista tríplice que encaminha para vaga de advogado o nome de magistrado aposentado, inscrito na OAB. Exclusão do mesmo pelo TSE – art. 25, § 2º, do Código Eleitoral. A Lei 7.191/1994 não revogou o § 2º do art. 25 do Código Eleitoral, com a redação dada pela Lei 4.961/1966. O dispositivo foi recepcionado pela CF. Impugnação procedente para manter a decisão do tribunal. A análise da instituição, Justiça Eleitoral, parte de um determinado princípio e de um determinado espírito informador</w:t>
      </w:r>
    </w:p>
    <w:p>
      <w:pPr>
        <w:ind w:left="288"/>
      </w:pPr>
      <w:r>
        <w:rPr>
          <w:b/>
          <w:color w:val="003CA0"/>
          <w:sz w:val="16"/>
        </w:rPr>
        <w:t>[RMS 23.123, rel. min. Nelson Jobim, j. 15-12-1999, P, DJ de 12-3-2004.]</w:t>
      </w:r>
    </w:p>
    <w:p>
      <w:pPr>
        <w:ind w:left="288"/>
      </w:pPr>
      <w:r>
        <w:rPr>
          <w:color w:val="8C8C8C"/>
          <w:sz w:val="12"/>
        </w:rPr>
        <w:t>cf-art-120-par-1-inc-III</w:t>
      </w:r>
      <w:r>
        <w:rPr>
          <w:color w:val="003CA0"/>
          <w:sz w:val="12"/>
        </w:rPr>
        <w:t xml:space="preserve"> | MS 21.073</w:t>
      </w:r>
      <w:r>
        <w:rPr>
          <w:color w:val="003CA0"/>
          <w:sz w:val="12"/>
        </w:rPr>
        <w:t xml:space="preserve"> | rel. Paulo Brossard</w:t>
      </w:r>
    </w:p>
    <w:p>
      <w:pPr>
        <w:ind w:left="288"/>
      </w:pPr>
      <w:r>
        <w:rPr>
          <w:color w:val="1E1E1E"/>
          <w:sz w:val="18"/>
        </w:rPr>
        <w:t>TRE. Composição. Vaga reservada à classe dos advogados. Participação da OAB no procedimento de indicação. Direito inexistente. Indicação, em lista tríplice, pelo tribunal de justiça. Art. 120, § 1º, III, CF.</w:t>
      </w:r>
    </w:p>
    <w:p>
      <w:pPr>
        <w:ind w:left="288"/>
      </w:pPr>
      <w:r>
        <w:rPr>
          <w:b/>
          <w:color w:val="003CA0"/>
          <w:sz w:val="16"/>
        </w:rPr>
        <w:t>[MS 21.073, rel. min. Paulo Brossard, j. 24-11-1990, P, DJ de 20-9-1991.]</w:t>
      </w:r>
    </w:p>
    <w:p>
      <w:pPr>
        <w:ind w:left="288"/>
      </w:pPr>
      <w:r>
        <w:rPr>
          <w:color w:val="8C8C8C"/>
          <w:sz w:val="12"/>
        </w:rPr>
        <w:t>cf-art-120-par-1-inc-III</w:t>
      </w:r>
      <w:r>
        <w:rPr>
          <w:color w:val="003CA0"/>
          <w:sz w:val="12"/>
        </w:rPr>
        <w:t xml:space="preserve"> | MS 21.060</w:t>
      </w:r>
      <w:r>
        <w:rPr>
          <w:color w:val="003CA0"/>
          <w:sz w:val="12"/>
        </w:rPr>
        <w:t xml:space="preserve"> | rel. Sydney Sanches</w:t>
      </w:r>
    </w:p>
    <w:p>
      <w:pPr>
        <w:ind w:left="288"/>
      </w:pPr>
      <w:r>
        <w:rPr>
          <w:color w:val="1E1E1E"/>
          <w:sz w:val="18"/>
        </w:rPr>
        <w:t>= MS 21.060, rel. min. Sydney Sanches, j. 19-6-1991, P, DJ de 23-8-1991</w:t>
      </w:r>
    </w:p>
    <w:p>
      <w:pPr>
        <w:ind w:left="432"/>
      </w:pPr>
      <w:r>
        <w:rPr>
          <w:color w:val="003366"/>
          <w:sz w:val="18"/>
        </w:rPr>
        <w:t>§ 1 Os Tribunais Regionais Eleitorais compor-se-ão:</w:t>
      </w:r>
    </w:p>
    <w:p>
      <w:pPr>
        <w:ind w:left="720"/>
      </w:pPr>
      <w:r>
        <w:rPr>
          <w:color w:val="003366"/>
          <w:sz w:val="18"/>
        </w:rPr>
        <w:t>I – mediante eleição, pelo voto secreto:</w:t>
      </w:r>
    </w:p>
    <w:p>
      <w:pPr>
        <w:ind w:left="1008"/>
      </w:pPr>
      <w:r>
        <w:rPr>
          <w:color w:val="003366"/>
          <w:sz w:val="18"/>
        </w:rPr>
        <w:t>a) de dois juízes dentre os desembargadores do Tribunal de Justiça;</w:t>
      </w:r>
    </w:p>
    <w:p>
      <w:pPr>
        <w:ind w:left="1008"/>
      </w:pPr>
      <w:r>
        <w:rPr>
          <w:color w:val="003366"/>
          <w:sz w:val="18"/>
        </w:rPr>
        <w:t>b) de dois juízes, dentre juízes de direito, escolhidos pelo Tribunal de Justiça</w:t>
      </w:r>
    </w:p>
    <w:p>
      <w:pPr>
        <w:ind w:left="720"/>
      </w:pPr>
      <w:r>
        <w:rPr>
          <w:color w:val="003366"/>
          <w:sz w:val="18"/>
        </w:rPr>
        <w:t>II – de um juiz do Tribunal Regional Federal com sede na Capital do Estado ou no</w:t>
      </w:r>
    </w:p>
    <w:p>
      <w:pPr>
        <w:ind w:left="720"/>
      </w:pPr>
      <w:r>
        <w:rPr>
          <w:color w:val="003366"/>
          <w:sz w:val="18"/>
        </w:rPr>
        <w:t>III – por nomeação, pelo Presidente da República, de dois juízes dentre seis adv</w:t>
      </w:r>
    </w:p>
    <w:p>
      <w:pPr>
        <w:ind w:left="432"/>
      </w:pPr>
      <w:r>
        <w:rPr>
          <w:color w:val="003366"/>
          <w:sz w:val="18"/>
        </w:rPr>
        <w:t>§ 2 O Tribunal Regional Eleitoral elegerá seu Presidente e o Vice-Presidente- de</w:t>
      </w:r>
    </w:p>
    <w:p>
      <w:r>
        <w:rPr>
          <w:b/>
          <w:color w:val="003366"/>
          <w:sz w:val="20"/>
        </w:rPr>
        <w:t>Art. 121 Lei complementar disporá sobre a organização e competência dos tribunai</w:t>
      </w:r>
      <w:r>
        <w:rPr>
          <w:color w:val="8C8C8C"/>
          <w:sz w:val="14"/>
        </w:rPr>
        <w:t xml:space="preserve">  [21 decisoes]</w:t>
      </w:r>
    </w:p>
    <w:p>
      <w:pPr>
        <w:ind w:left="144"/>
      </w:pPr>
      <w:r>
        <w:rPr>
          <w:b/>
          <w:color w:val="B45A00"/>
          <w:sz w:val="16"/>
        </w:rPr>
        <w:t>CONTROLE CONCENTRADO</w:t>
      </w:r>
    </w:p>
    <w:p>
      <w:pPr>
        <w:ind w:left="288"/>
      </w:pPr>
      <w:r>
        <w:rPr>
          <w:color w:val="8C8C8C"/>
          <w:sz w:val="12"/>
        </w:rPr>
        <w:t>cf-art-121</w:t>
      </w:r>
      <w:r>
        <w:rPr>
          <w:color w:val="003CA0"/>
          <w:sz w:val="12"/>
        </w:rPr>
        <w:t xml:space="preserve"> | ADI 5.507</w:t>
      </w:r>
      <w:r>
        <w:rPr>
          <w:color w:val="003CA0"/>
          <w:sz w:val="12"/>
        </w:rPr>
        <w:t xml:space="preserve"> | rel. Dias Toffoli</w:t>
      </w:r>
    </w:p>
    <w:p>
      <w:pPr>
        <w:ind w:left="288"/>
      </w:pPr>
      <w:r>
        <w:rPr>
          <w:color w:val="1E1E1E"/>
          <w:sz w:val="18"/>
        </w:rPr>
        <w:t>A inserção do art. 96-B ao texto da Lei nº 9.504/97 teve como principal objetivo reproduzir entendimento que se consolidou na jurisprudência do Tribunal Superior Eleitoral, a fim de determinar a reunião de ações eleitorais que versem sobre o mesmo fato, confirmando a celeridade da Justiça Eleitoral e reforçando a segurança jurídica, já que evita decisões contraditórias proferidas em juízos diversos. Não se verifica, na espécie, inconstitucionalidade formal por ofensa ao art. 121 do Texto Maior, porquanto o referido dispositivo exige a edição de lei complementar apenas para dispor sobre a organ</w:t>
      </w:r>
    </w:p>
    <w:p>
      <w:pPr>
        <w:ind w:left="288"/>
      </w:pPr>
      <w:r>
        <w:rPr>
          <w:b/>
          <w:color w:val="003CA0"/>
          <w:sz w:val="16"/>
        </w:rPr>
        <w:t>[ADI 5.507, rel. min. Dias Toffoli, j. 5-9-2022, P, DJE de 3-10-2022.]</w:t>
      </w:r>
    </w:p>
    <w:p>
      <w:pPr>
        <w:ind w:left="288"/>
      </w:pPr>
      <w:r>
        <w:rPr>
          <w:color w:val="8C8C8C"/>
          <w:sz w:val="12"/>
        </w:rPr>
        <w:t>cf-art-121</w:t>
      </w:r>
      <w:r>
        <w:rPr>
          <w:color w:val="003CA0"/>
          <w:sz w:val="12"/>
        </w:rPr>
        <w:t xml:space="preserve"> | ADI 4.984</w:t>
      </w:r>
      <w:r>
        <w:rPr>
          <w:color w:val="003CA0"/>
          <w:sz w:val="12"/>
        </w:rPr>
        <w:t xml:space="preserve"> | rel. Alexandre de Moraes</w:t>
      </w:r>
    </w:p>
    <w:p>
      <w:pPr>
        <w:ind w:left="288"/>
      </w:pPr>
      <w:r>
        <w:rPr>
          <w:color w:val="1E1E1E"/>
          <w:sz w:val="18"/>
        </w:rPr>
        <w:t>Os Estados-membros são incompetentes para designar obrigações para a Justiça Eleitoral, que integra a Justiça Federal.</w:t>
        <w:br/>
        <w:t>[ADI 4.984, rel. min. Alexandre de Moraes, j. 12-4-2018, P, DJE de 25-4-2018.] Ação rescisória eleitoral (LC 86, de 14-5-1996, que acrescentou a alínea j ao inciso I do art. 22 do Código Eleitoral). (…) Não ofende a CF a instituição de uma ação rescisória eleitoral, como prevista na alínea j do inciso I do art. 22 do Código Eleitoral (Lei 4.737, de 15-7-1965), acrescentada pelo art. 1º da LC 86, de 14-5-1996. São inconstitucionais, porém, as expressões "possibilitando-se o exe</w:t>
      </w:r>
    </w:p>
    <w:p>
      <w:pPr>
        <w:ind w:left="144"/>
      </w:pPr>
      <w:r>
        <w:rPr>
          <w:b/>
          <w:color w:val="B45A00"/>
          <w:sz w:val="16"/>
        </w:rPr>
        <w:t>JULGADOS CORRELATOS</w:t>
      </w:r>
    </w:p>
    <w:p>
      <w:pPr>
        <w:ind w:left="288"/>
      </w:pPr>
      <w:r>
        <w:rPr>
          <w:color w:val="8C8C8C"/>
          <w:sz w:val="12"/>
        </w:rPr>
        <w:t>cf-art-121</w:t>
      </w:r>
      <w:r>
        <w:rPr>
          <w:color w:val="003CA0"/>
          <w:sz w:val="12"/>
        </w:rPr>
        <w:t xml:space="preserve"> | MS 34.777</w:t>
      </w:r>
      <w:r>
        <w:rPr>
          <w:color w:val="003CA0"/>
          <w:sz w:val="12"/>
        </w:rPr>
        <w:t xml:space="preserve"> | rel. Luiz Fux</w:t>
      </w:r>
    </w:p>
    <w:p>
      <w:pPr>
        <w:ind w:left="288"/>
      </w:pPr>
      <w:r>
        <w:rPr>
          <w:color w:val="1E1E1E"/>
          <w:sz w:val="18"/>
        </w:rPr>
        <w:t>(...) a perda do direito de precedência na hipótese de vagas de suplência reclama a conclusão de processo judicial específico para afastar eventual justa causa e a consequente ilegitimidade do ato, sendo competência exclusiva da Justiça Eleitoral, e não do presidente da Câmara dos Deputados.</w:t>
      </w:r>
    </w:p>
    <w:p>
      <w:pPr>
        <w:ind w:left="288"/>
      </w:pPr>
      <w:r>
        <w:rPr>
          <w:b/>
          <w:color w:val="003CA0"/>
          <w:sz w:val="16"/>
        </w:rPr>
        <w:t>[MS 34.777 AgR, rel. min. Luiz Fux, j. 20-2-2018, P, DJE de 6-3-2018.]</w:t>
      </w:r>
    </w:p>
    <w:p>
      <w:pPr>
        <w:ind w:left="288"/>
      </w:pPr>
      <w:r>
        <w:rPr>
          <w:color w:val="8C8C8C"/>
          <w:sz w:val="12"/>
        </w:rPr>
        <w:t>cf-art-121</w:t>
      </w:r>
      <w:r>
        <w:rPr>
          <w:color w:val="003CA0"/>
          <w:sz w:val="12"/>
        </w:rPr>
        <w:t xml:space="preserve"> | INQ 3.357</w:t>
      </w:r>
      <w:r>
        <w:rPr>
          <w:color w:val="003CA0"/>
          <w:sz w:val="12"/>
        </w:rPr>
        <w:t xml:space="preserve"> | rel. Celso de Mello</w:t>
      </w:r>
    </w:p>
    <w:p>
      <w:pPr>
        <w:ind w:left="288"/>
      </w:pPr>
      <w:r>
        <w:rPr>
          <w:color w:val="1E1E1E"/>
          <w:sz w:val="18"/>
        </w:rPr>
        <w:t>(...) a competência penal originária do TRE para processar e julgar, nos crimes eleitorais, agentes públicos que detêm, em razão de seu ofício, prerrogativa de foro perante o tribunal de justiça estadual (como os deputados estaduais e os prefeitos municipais, p. ex.) tem sido reconhecida por esta Suprema Corte, na linha da diretriz consagrada na Súmula 702/STF.</w:t>
      </w:r>
    </w:p>
    <w:p>
      <w:pPr>
        <w:ind w:left="288"/>
      </w:pPr>
      <w:r>
        <w:rPr>
          <w:b/>
          <w:color w:val="003CA0"/>
          <w:sz w:val="16"/>
        </w:rPr>
        <w:t>[Inq 3.357, rel. min. Celso de Mello, j. 25-3-2014, dec. monocrática, DJE de 22-4-2014.]</w:t>
      </w:r>
    </w:p>
    <w:p>
      <w:pPr>
        <w:ind w:left="288"/>
      </w:pPr>
      <w:r>
        <w:rPr>
          <w:color w:val="8C8C8C"/>
          <w:sz w:val="12"/>
        </w:rPr>
        <w:t>cf-art-121</w:t>
      </w:r>
      <w:r>
        <w:rPr>
          <w:color w:val="003CA0"/>
          <w:sz w:val="12"/>
        </w:rPr>
        <w:t xml:space="preserve"> | MS 26.604</w:t>
      </w:r>
      <w:r>
        <w:rPr>
          <w:color w:val="003CA0"/>
          <w:sz w:val="12"/>
        </w:rPr>
        <w:t xml:space="preserve"> | rel. Cármen Lúcia</w:t>
      </w:r>
    </w:p>
    <w:p>
      <w:pPr>
        <w:ind w:left="288"/>
      </w:pPr>
      <w:r>
        <w:rPr>
          <w:color w:val="1E1E1E"/>
          <w:sz w:val="18"/>
        </w:rPr>
        <w:t>Mandado de segurança contra ato do presidente da Câmara dos Deputados. Vacância dos cargos de deputado federal dos litisconsortes passivos, deputados federais eleitos pelo partido impetrante e transferidos, por vontade própria, para outra agremiação no curso do mandato. (...) Resposta do TSE a consulta eleitoral não tem natureza jurisdicional nem efeito vinculante. Mandado de segurança impetrado contra ato concreto praticado pelo presidente da Câmara dos Deputados, sem relação de dependência necessária com a resposta à Consulta 1.398 do TSE. O Código Eleitoral, recepcionado como lei material c</w:t>
      </w:r>
    </w:p>
    <w:p>
      <w:pPr>
        <w:ind w:left="288"/>
      </w:pPr>
      <w:r>
        <w:rPr>
          <w:b/>
          <w:color w:val="003CA0"/>
          <w:sz w:val="16"/>
        </w:rPr>
        <w:t>[MS 26.604, rel. min. Cármen Lúcia, j. 4-10-2007, P, DJE de 3-10-2008.]</w:t>
      </w:r>
    </w:p>
    <w:p>
      <w:pPr>
        <w:ind w:left="288"/>
      </w:pPr>
      <w:r>
        <w:rPr>
          <w:color w:val="8C8C8C"/>
          <w:sz w:val="12"/>
        </w:rPr>
        <w:t>cf-art-121</w:t>
      </w:r>
      <w:r>
        <w:rPr>
          <w:color w:val="003CA0"/>
          <w:sz w:val="12"/>
        </w:rPr>
        <w:t xml:space="preserve"> | RE 398.042</w:t>
      </w:r>
      <w:r>
        <w:rPr>
          <w:color w:val="003CA0"/>
          <w:sz w:val="12"/>
        </w:rPr>
        <w:t xml:space="preserve"> | rel. Sepúlveda Pertence</w:t>
      </w:r>
    </w:p>
    <w:p>
      <w:pPr>
        <w:ind w:left="288"/>
      </w:pPr>
      <w:r>
        <w:rPr>
          <w:color w:val="1E1E1E"/>
          <w:sz w:val="18"/>
        </w:rPr>
        <w:t>Firme a jurisprudência do Supremo Tribunal no sentido de que a única ressalva à competência por prerrogativa de função do tribunal de justiça para julgar juízes estaduais, nos crimes comuns e de responsabilidade, é a competência da Justiça Eleitoral. Precedentes.</w:t>
      </w:r>
    </w:p>
    <w:p>
      <w:pPr>
        <w:ind w:left="288"/>
      </w:pPr>
      <w:r>
        <w:rPr>
          <w:b/>
          <w:color w:val="003CA0"/>
          <w:sz w:val="16"/>
        </w:rPr>
        <w:t>[RE 398.042, rel. min. Sepúlveda Pertence, j. 2-12-2003, 1ª T, DJ de 6-2-2004.]</w:t>
      </w:r>
    </w:p>
    <w:p>
      <w:pPr>
        <w:ind w:left="288"/>
      </w:pPr>
      <w:r>
        <w:rPr>
          <w:color w:val="8C8C8C"/>
          <w:sz w:val="12"/>
        </w:rPr>
        <w:t>cf-art-121</w:t>
      </w:r>
      <w:r>
        <w:rPr>
          <w:color w:val="003CA0"/>
          <w:sz w:val="12"/>
        </w:rPr>
        <w:t xml:space="preserve"> | RMS 23.244</w:t>
      </w:r>
      <w:r>
        <w:rPr>
          <w:color w:val="003CA0"/>
          <w:sz w:val="12"/>
        </w:rPr>
        <w:t xml:space="preserve"> | rel. Moreira Alves</w:t>
      </w:r>
    </w:p>
    <w:p>
      <w:pPr>
        <w:ind w:left="288"/>
      </w:pPr>
      <w:r>
        <w:rPr>
          <w:color w:val="1E1E1E"/>
          <w:sz w:val="18"/>
        </w:rPr>
        <w:t>Em si mesmo conflito entre órgãos do mesmo partido político não constitui matéria eleitoral para caracterizar a competência da Justiça especializada, a menos que possa configurar hipótese em que ele tenha ingerência direta no processo eleitoral, o que, no caso, não ocorre, não se configurando tal hipótese, como pretende o parecer da PGR, pela simples circunstância de a dissolução do diretório partidário estadual, que, se existente, participa da escolha dos candidatos aos mandatos regionais, se ter verificado em ano eleitoral.</w:t>
      </w:r>
    </w:p>
    <w:p>
      <w:pPr>
        <w:ind w:left="288"/>
      </w:pPr>
      <w:r>
        <w:rPr>
          <w:b/>
          <w:color w:val="003CA0"/>
          <w:sz w:val="16"/>
        </w:rPr>
        <w:t>[RMS 23.244, rel. min. Moreira Alves, j. 6-4-1999, 1ª T, DJ de 28-5-1999.]</w:t>
      </w:r>
    </w:p>
    <w:p>
      <w:pPr>
        <w:ind w:left="288"/>
      </w:pPr>
      <w:r>
        <w:rPr>
          <w:color w:val="8C8C8C"/>
          <w:sz w:val="12"/>
        </w:rPr>
        <w:t>cf-art-121</w:t>
      </w:r>
      <w:r>
        <w:rPr>
          <w:color w:val="003CA0"/>
          <w:sz w:val="12"/>
        </w:rPr>
        <w:t xml:space="preserve"> | MS 22.087</w:t>
      </w:r>
      <w:r>
        <w:rPr>
          <w:color w:val="003CA0"/>
          <w:sz w:val="12"/>
        </w:rPr>
        <w:t xml:space="preserve"> | rel. Carlos Velloso</w:t>
      </w:r>
    </w:p>
    <w:p>
      <w:pPr>
        <w:ind w:left="288"/>
      </w:pPr>
      <w:r>
        <w:rPr>
          <w:color w:val="1E1E1E"/>
          <w:sz w:val="18"/>
        </w:rPr>
        <w:t>Inclusão em lista para remessa ao órgão da Justiça Eleitoral do nome do administrador público que teve suas contas rejeitadas pelo TCU, além de lhe ser aplicada a pena de multa. Inocorrência de dupla punição, dado que a inclusão do nome do administrador público na lista não configura punição. Inelegibilidade não constitui pena. Possibilidade, portanto, de aplicação da lei de inelegibilidade, LC 64/1990, a fatos ocorridos anteriormente a sua vigência. À Justiça Eleitoral compete formular juízo de valor a respeito das irregularidades apontadas pelo Tribunal de Contas, vale dizer, se as irregular</w:t>
      </w:r>
    </w:p>
    <w:p>
      <w:pPr>
        <w:ind w:left="288"/>
      </w:pPr>
      <w:r>
        <w:rPr>
          <w:b/>
          <w:color w:val="003CA0"/>
          <w:sz w:val="16"/>
        </w:rPr>
        <w:t>[MS 22.087, rel. min. Carlos Velloso, j. 28-3-1996, P, DJ de 10-5-1996.]</w:t>
      </w:r>
    </w:p>
    <w:p>
      <w:pPr>
        <w:ind w:left="288"/>
      </w:pPr>
      <w:r>
        <w:rPr>
          <w:color w:val="8C8C8C"/>
          <w:sz w:val="12"/>
        </w:rPr>
        <w:t>cf-art-121</w:t>
      </w:r>
      <w:r>
        <w:rPr>
          <w:color w:val="003CA0"/>
          <w:sz w:val="12"/>
        </w:rPr>
        <w:t xml:space="preserve"> | MS 24.991</w:t>
      </w:r>
      <w:r>
        <w:rPr>
          <w:color w:val="003CA0"/>
          <w:sz w:val="12"/>
        </w:rPr>
        <w:t xml:space="preserve"> | rel. Gilmar Mendes</w:t>
      </w:r>
    </w:p>
    <w:p>
      <w:pPr>
        <w:ind w:left="288"/>
      </w:pPr>
      <w:r>
        <w:rPr>
          <w:color w:val="1E1E1E"/>
          <w:sz w:val="18"/>
        </w:rPr>
        <w:t>= MS 24.991, rel. min. Gilmar Mendes, j. 22-6-2006, P, DJ de 22-6-2006 Dirigida a arguição de suspeição à maioria dos juízes efetivos do TRE, por fundamentos comuns a todos os exceptos, desloca-se para o STF a competência originária para processar e julgar a própria exceção e não apenas o agravo regimental da decisão do relator, na Corte de origem, que liminarmente a rejeitara: incidente, em tal hipótese, o art. 102, I, n, CF, não cabe declinar da competência questionada para o TSE, ainda que, em recurso pendente e de sua competência, se tenha preliminarmente alegado a suspeição objeto da exce</w:t>
      </w:r>
    </w:p>
    <w:p>
      <w:pPr>
        <w:ind w:left="288"/>
      </w:pPr>
      <w:r>
        <w:rPr>
          <w:b/>
          <w:color w:val="003CA0"/>
          <w:sz w:val="16"/>
        </w:rPr>
        <w:t>[AO 202 QO, rel. min. Sepúlveda Pertence, j. 3-11-1993, P, DJ de 11-3-1994.]</w:t>
      </w:r>
    </w:p>
    <w:p>
      <w:pPr>
        <w:ind w:left="144"/>
      </w:pPr>
      <w:r>
        <w:rPr>
          <w:b/>
          <w:color w:val="B45A00"/>
          <w:sz w:val="16"/>
        </w:rPr>
        <w:t>CONTROLE CONCENTRADO</w:t>
      </w:r>
    </w:p>
    <w:p>
      <w:pPr>
        <w:ind w:left="288"/>
      </w:pPr>
      <w:r>
        <w:rPr>
          <w:color w:val="8C8C8C"/>
          <w:sz w:val="12"/>
        </w:rPr>
        <w:t>cf-art-121-par-2</w:t>
      </w:r>
      <w:r>
        <w:rPr>
          <w:color w:val="003CA0"/>
          <w:sz w:val="12"/>
        </w:rPr>
        <w:t xml:space="preserve"> | ADI 2.993</w:t>
      </w:r>
      <w:r>
        <w:rPr>
          <w:color w:val="003CA0"/>
          <w:sz w:val="12"/>
        </w:rPr>
        <w:t xml:space="preserve"> | rel. Carlos Velloso</w:t>
      </w:r>
    </w:p>
    <w:p>
      <w:pPr>
        <w:ind w:left="288"/>
      </w:pPr>
      <w:r>
        <w:rPr>
          <w:color w:val="1E1E1E"/>
          <w:sz w:val="18"/>
        </w:rPr>
        <w:t>O parágrafo único do art. 5º da Resolução 615/2002 do TRE/MG estabelece que nenhum juiz poderá voltar a integrar o Tribunal na mesma classe ou em classe diversa, por dois biênios consecutivos. Inconstitucionalidade: a norma proíbe quando a Constituição faculta ao juiz servir por dois biênios consecutivos. CF, art. 121, § 2º. Ademais, não cabe ao TRE a escolha dos seus juízes. Essa escolha cabe ao tribunal de justiça, mediante eleição, pelo voto secreto: CF, art. 120, § 1º, I, a e b, II e III. A norma regimental do TRE condiciona, pois, ao tribunal incumbido da escolha, certo que a Constituição</w:t>
      </w:r>
    </w:p>
    <w:p>
      <w:pPr>
        <w:ind w:left="288"/>
      </w:pPr>
      <w:r>
        <w:rPr>
          <w:b/>
          <w:color w:val="003CA0"/>
          <w:sz w:val="16"/>
        </w:rPr>
        <w:t>[ADI 2.993, rel. min. Carlos Velloso, j. 10-12-2003, P, DJ de 12-3-2004.]</w:t>
      </w:r>
    </w:p>
    <w:p>
      <w:pPr>
        <w:ind w:left="288"/>
      </w:pPr>
      <w:r>
        <w:rPr>
          <w:color w:val="8C8C8C"/>
          <w:sz w:val="12"/>
        </w:rPr>
        <w:t>cf-art-121-par-2</w:t>
      </w:r>
      <w:r>
        <w:rPr>
          <w:color w:val="003CA0"/>
          <w:sz w:val="12"/>
        </w:rPr>
        <w:t xml:space="preserve"> | RCL 4.587</w:t>
      </w:r>
      <w:r>
        <w:rPr>
          <w:color w:val="003CA0"/>
          <w:sz w:val="12"/>
        </w:rPr>
        <w:t xml:space="preserve"> | rel. Sepúlveda Pertence</w:t>
      </w:r>
    </w:p>
    <w:p>
      <w:pPr>
        <w:ind w:left="288"/>
      </w:pPr>
      <w:r>
        <w:rPr>
          <w:color w:val="1E1E1E"/>
          <w:sz w:val="18"/>
        </w:rPr>
        <w:t>= Rcl 4.587, rel. min. Sepúlveda Pertence, j. 19-12-2006, P, DJ de 23-3-2007</w:t>
      </w:r>
    </w:p>
    <w:p>
      <w:pPr>
        <w:ind w:left="144"/>
      </w:pPr>
      <w:r>
        <w:rPr>
          <w:b/>
          <w:color w:val="B45A00"/>
          <w:sz w:val="16"/>
        </w:rPr>
        <w:t>JULGADOS CORRELATOS</w:t>
      </w:r>
    </w:p>
    <w:p>
      <w:pPr>
        <w:ind w:left="288"/>
      </w:pPr>
      <w:r>
        <w:rPr>
          <w:color w:val="8C8C8C"/>
          <w:sz w:val="12"/>
        </w:rPr>
        <w:t>cf-art-121-par-3</w:t>
      </w:r>
      <w:r>
        <w:rPr>
          <w:color w:val="003CA0"/>
          <w:sz w:val="12"/>
        </w:rPr>
        <w:t xml:space="preserve"> | AI 164.491</w:t>
      </w:r>
      <w:r>
        <w:rPr>
          <w:color w:val="003CA0"/>
          <w:sz w:val="12"/>
        </w:rPr>
        <w:t xml:space="preserve"> | rel. Sydney Sanches</w:t>
      </w:r>
    </w:p>
    <w:p>
      <w:pPr>
        <w:ind w:left="288"/>
      </w:pPr>
      <w:r>
        <w:rPr>
          <w:color w:val="1E1E1E"/>
          <w:sz w:val="18"/>
        </w:rPr>
        <w:t>Contra acórdão de TRE somente cabe recurso para o TSE, mesmo que nele se discuta matéria constitucional. É o que se extrai do disposto no art. 121, caput, e seu § 4º, I, da CF de 1988, e nos arts. 22, II, e 276, I e II, do Código Eleitoral (Lei 4.737, de 15-7-1965). No âmbito da Justiça Eleitoral, somente os acórdãos do TSE é que podem ser impugnados, perante o STF, em recurso extraordinário (arts. 121, § 3º, e 102, III, a, b e c, da CF).</w:t>
      </w:r>
    </w:p>
    <w:p>
      <w:pPr>
        <w:ind w:left="288"/>
      </w:pPr>
      <w:r>
        <w:rPr>
          <w:b/>
          <w:color w:val="003CA0"/>
          <w:sz w:val="16"/>
        </w:rPr>
        <w:t>[AI 164.491 AgR, rel. min. Sydney Sanches, j. 18-12-1995, 1ª T, DJ de 22-3-1996.]</w:t>
      </w:r>
    </w:p>
    <w:p>
      <w:pPr>
        <w:ind w:left="288"/>
      </w:pPr>
      <w:r>
        <w:rPr>
          <w:color w:val="8C8C8C"/>
          <w:sz w:val="12"/>
        </w:rPr>
        <w:t>cf-art-121-par-4</w:t>
      </w:r>
      <w:r>
        <w:rPr>
          <w:color w:val="003CA0"/>
          <w:sz w:val="12"/>
        </w:rPr>
        <w:t xml:space="preserve"> | AI 477.243</w:t>
      </w:r>
      <w:r>
        <w:rPr>
          <w:color w:val="003CA0"/>
          <w:sz w:val="12"/>
        </w:rPr>
        <w:t xml:space="preserve"> | rel. Marco Aurélio</w:t>
      </w:r>
    </w:p>
    <w:p>
      <w:pPr>
        <w:ind w:left="288"/>
      </w:pPr>
      <w:r>
        <w:rPr>
          <w:color w:val="1E1E1E"/>
          <w:sz w:val="18"/>
        </w:rPr>
        <w:t>O acesso a esta Corte, considerada decisão proferida pela jurisdição cível ou penal eleitoral, pressupõe o esgotamento dos recursos em tal âmbito. Pronunciamento de TRE não é passível de impugnação simultânea mediante os recursos especial, para o TSE, e extraordinário, para o Supremo.</w:t>
      </w:r>
    </w:p>
    <w:p>
      <w:pPr>
        <w:ind w:left="288"/>
      </w:pPr>
      <w:r>
        <w:rPr>
          <w:b/>
          <w:color w:val="003CA0"/>
          <w:sz w:val="16"/>
        </w:rPr>
        <w:t>[AI 477.243 AgR, rel. min. Marco Aurélio, j. 30-6-2009, 1ª T, DJE de 28-8-2009.]</w:t>
      </w:r>
    </w:p>
    <w:p>
      <w:pPr>
        <w:ind w:left="288"/>
      </w:pPr>
      <w:r>
        <w:rPr>
          <w:color w:val="8C8C8C"/>
          <w:sz w:val="12"/>
        </w:rPr>
        <w:t>cf-art-121-par-4</w:t>
      </w:r>
      <w:r>
        <w:rPr>
          <w:color w:val="003CA0"/>
          <w:sz w:val="12"/>
        </w:rPr>
        <w:t xml:space="preserve"> | HC 88.769</w:t>
      </w:r>
      <w:r>
        <w:rPr>
          <w:color w:val="003CA0"/>
          <w:sz w:val="12"/>
        </w:rPr>
        <w:t xml:space="preserve"> | rel. Ellen Gracie</w:t>
      </w:r>
    </w:p>
    <w:p>
      <w:pPr>
        <w:ind w:left="288"/>
      </w:pPr>
      <w:r>
        <w:rPr>
          <w:color w:val="1E1E1E"/>
          <w:sz w:val="18"/>
        </w:rPr>
        <w:t>De acordo com a estrutura da Justiça Eleitoral brasileira, é competente o TSE para conhecer e julgar habeas corpus impetrado contra ato supostamente ilegal ou abusivo, perpetrado por qualquer dos órgãos fracionários do TRE, no caso, a Presidência da Corte regional. O STF, em algumas oportunidades, já assentou a orientação acerca da competência do TSE para processar e julgar habeas corpus quando a autoridade apontada como coatora for o presidente do TSE (...) ou quando o ato coator consistir em decisão condenatória do TRE (...), nos termos do art. 121, § 4º, da CF, e art. 22, I, e, do Código El</w:t>
      </w:r>
    </w:p>
    <w:p>
      <w:pPr>
        <w:ind w:left="288"/>
      </w:pPr>
      <w:r>
        <w:rPr>
          <w:b/>
          <w:color w:val="003CA0"/>
          <w:sz w:val="16"/>
        </w:rPr>
        <w:t>[HC 88.769, rel. min. Ellen Gracie, j. 9-9-2008, 2ª T, DJE de 26-9-2008.]</w:t>
      </w:r>
    </w:p>
    <w:p>
      <w:pPr>
        <w:ind w:left="288"/>
      </w:pPr>
      <w:r>
        <w:rPr>
          <w:color w:val="8C8C8C"/>
          <w:sz w:val="12"/>
        </w:rPr>
        <w:t>cf-art-121-par-4</w:t>
      </w:r>
      <w:r>
        <w:rPr>
          <w:color w:val="003CA0"/>
          <w:sz w:val="12"/>
        </w:rPr>
        <w:t xml:space="preserve"> | RE 247.416</w:t>
      </w:r>
      <w:r>
        <w:rPr>
          <w:color w:val="003CA0"/>
          <w:sz w:val="12"/>
        </w:rPr>
        <w:t xml:space="preserve"> | rel. Celso de Mello</w:t>
      </w:r>
    </w:p>
    <w:p>
      <w:pPr>
        <w:ind w:left="288"/>
      </w:pPr>
      <w:r>
        <w:rPr>
          <w:color w:val="1E1E1E"/>
          <w:sz w:val="18"/>
        </w:rPr>
        <w:t>O STF – reputando essencial impedir que a interposição sucessiva de recursos, destituídos de fundamento juridicamente idôneo, culmine por gerar inaceitável procrastinação do encerramento da causa – tem admitido, em caráter excepcional, notadamente quando se tratar de processos eleitorais, que se proceda ao imediato cumprimento da decisão recorrida, independentemente da publicação de acórdão e de eventual oposição ulterior de embargos de declaração. Precedentes.</w:t>
      </w:r>
    </w:p>
    <w:p>
      <w:pPr>
        <w:ind w:left="288"/>
      </w:pPr>
      <w:r>
        <w:rPr>
          <w:b/>
          <w:color w:val="003CA0"/>
          <w:sz w:val="16"/>
        </w:rPr>
        <w:t>[RE 247.416 EDv-ED-AgR, rel. min. Celso de Mello, j. 29-6-2000, P, DJ de 24-11-2000.]</w:t>
      </w:r>
    </w:p>
    <w:p>
      <w:pPr>
        <w:ind w:left="288"/>
      </w:pPr>
      <w:r>
        <w:rPr>
          <w:color w:val="8C8C8C"/>
          <w:sz w:val="12"/>
        </w:rPr>
        <w:t>cf-art-121-par-4</w:t>
      </w:r>
      <w:r>
        <w:rPr>
          <w:color w:val="003CA0"/>
          <w:sz w:val="12"/>
        </w:rPr>
        <w:t xml:space="preserve"> | AI 260.266</w:t>
      </w:r>
      <w:r>
        <w:rPr>
          <w:color w:val="003CA0"/>
          <w:sz w:val="12"/>
        </w:rPr>
        <w:t xml:space="preserve"> | rel. Sepúlveda Pertence</w:t>
      </w:r>
    </w:p>
    <w:p>
      <w:pPr>
        <w:ind w:left="288"/>
      </w:pPr>
      <w:r>
        <w:rPr>
          <w:color w:val="1E1E1E"/>
          <w:sz w:val="18"/>
        </w:rPr>
        <w:t>= AI 260.266 AgR-ED-ED, rel. min. Sepúlveda Pertence, j. 15-5-2000, 1ª T, DJ de 16-6-2000 = RE 179.502 ED-terceiro, rel. min. Moreira Alves, j. 7-12-1995, P, DJ de 8-9-2000</w:t>
      </w:r>
    </w:p>
    <w:p>
      <w:pPr>
        <w:ind w:left="288"/>
      </w:pPr>
      <w:r>
        <w:rPr>
          <w:color w:val="8C8C8C"/>
          <w:sz w:val="12"/>
        </w:rPr>
        <w:t>cf-art-121-par-4-inc-I</w:t>
      </w:r>
      <w:r>
        <w:rPr>
          <w:color w:val="003CA0"/>
          <w:sz w:val="12"/>
        </w:rPr>
        <w:t xml:space="preserve"> | AI 164.491</w:t>
      </w:r>
      <w:r>
        <w:rPr>
          <w:color w:val="003CA0"/>
          <w:sz w:val="12"/>
        </w:rPr>
        <w:t xml:space="preserve"> | rel. Sydney Sanches</w:t>
      </w:r>
    </w:p>
    <w:p>
      <w:pPr>
        <w:ind w:left="288"/>
      </w:pPr>
      <w:r>
        <w:rPr>
          <w:color w:val="1E1E1E"/>
          <w:sz w:val="18"/>
        </w:rPr>
        <w:t>Contra acórdão de TRE somente cabe recurso para o TSE, mesmo que nele se discuta matéria constitucional. É o que se extrai do disposto no art. 121, caput, e seu § 4º, I, da CF de 1988, e nos arts. 22, II, e 276, I e II, do Código Eleitoral (Lei 4.737, de 15-7-1965). No âmbito da Justiça Eleitoral, somente os acórdãos do TSE é que podem ser impugnados, perante o STF, em recurso extraordinário (arts. 121, § 3º, e 102, III, a, b e c, da CF).</w:t>
      </w:r>
    </w:p>
    <w:p>
      <w:pPr>
        <w:ind w:left="288"/>
      </w:pPr>
      <w:r>
        <w:rPr>
          <w:b/>
          <w:color w:val="003CA0"/>
          <w:sz w:val="16"/>
        </w:rPr>
        <w:t>[AI 164.491 AgR, rel. min. Sydney Sanches, j. 18-12-1995, 1ª T, DJ de 22-3-1996.]</w:t>
      </w:r>
    </w:p>
    <w:p>
      <w:pPr>
        <w:ind w:left="144"/>
      </w:pPr>
      <w:r>
        <w:rPr>
          <w:b/>
          <w:color w:val="B45A00"/>
          <w:sz w:val="16"/>
        </w:rPr>
        <w:t>CONTROLE CONCENTRADO</w:t>
      </w:r>
    </w:p>
    <w:p>
      <w:pPr>
        <w:ind w:left="288"/>
      </w:pPr>
      <w:r>
        <w:rPr>
          <w:color w:val="8C8C8C"/>
          <w:sz w:val="12"/>
        </w:rPr>
        <w:t>cf-art-121-par-4-inc-III</w:t>
      </w:r>
      <w:r>
        <w:rPr>
          <w:color w:val="003CA0"/>
          <w:sz w:val="12"/>
        </w:rPr>
        <w:t xml:space="preserve"> | ADPF 167</w:t>
      </w:r>
      <w:r>
        <w:rPr>
          <w:color w:val="003CA0"/>
          <w:sz w:val="12"/>
        </w:rPr>
        <w:t xml:space="preserve"> | rel. Luiz Fux</w:t>
      </w:r>
    </w:p>
    <w:p>
      <w:pPr>
        <w:ind w:left="288"/>
      </w:pPr>
      <w:r>
        <w:rPr>
          <w:color w:val="1E1E1E"/>
          <w:sz w:val="18"/>
        </w:rPr>
        <w:t xml:space="preserve">O Tribunal Superior Eleitoral é o órgão competente para julgar os Recursos Contra a Expedição de Diploma (RCED) nas eleições presidenciais e gerais (federais e estaduais). O Recurso Contra a Expedição de Diploma (RCED) é demanda por meio da qual se objetiva a cassação ou denegação do diploma do eleito ante a alegação de inelegibilidade de cunho infraconstitucional superveniente ao requerimento de registro da candidatura, inelegibilidade de natureza constitucional ou ausência de condições de elegibilidade, ex vi do art. 262 do Código Eleitoral, na redação conferida pela Lei 12.891/2013. O art. </w:t>
      </w:r>
    </w:p>
    <w:p>
      <w:pPr>
        <w:ind w:left="144"/>
      </w:pPr>
      <w:r>
        <w:rPr>
          <w:b/>
          <w:color w:val="B45A00"/>
          <w:sz w:val="16"/>
        </w:rPr>
        <w:t>JULGADOS CORRELATOS</w:t>
      </w:r>
    </w:p>
    <w:p>
      <w:pPr>
        <w:ind w:left="288"/>
      </w:pPr>
      <w:r>
        <w:rPr>
          <w:color w:val="8C8C8C"/>
          <w:sz w:val="12"/>
        </w:rPr>
        <w:t>cf-art-121-par-4-inc-IV</w:t>
      </w:r>
      <w:r>
        <w:rPr>
          <w:color w:val="003CA0"/>
          <w:sz w:val="12"/>
        </w:rPr>
        <w:t xml:space="preserve"> | AP 933</w:t>
      </w:r>
      <w:r>
        <w:rPr>
          <w:color w:val="003CA0"/>
          <w:sz w:val="12"/>
        </w:rPr>
        <w:t xml:space="preserve"> | rel. Dias Toffoli</w:t>
      </w:r>
    </w:p>
    <w:p>
      <w:pPr>
        <w:ind w:left="288"/>
      </w:pPr>
      <w:r>
        <w:rPr>
          <w:color w:val="1E1E1E"/>
          <w:sz w:val="18"/>
        </w:rPr>
        <w:t>Procedimento instituído pela Lei 11.719/2008, que alterou o CPP. Aplicação em matéria eleitoral, em primeiro grau de jurisdição. Admissibilidade. (...) Crime eleitoral. Imputação a prefeito. Foro, por prerrogativa de função, junto ao TRE. Competência dessa Corte para supervisionar as investigações. Súmula 702 do STF. Apuração criminal em primeiro grau de jurisdição, com indiciamento do prefeito. Inadmissibilidade. Usurpação de competência caracterizada. Impossibilidade de os elementos colhidos nesse inquérito servirem de substrato probatório válido para embasar a denúncia contra o titular de p</w:t>
      </w:r>
    </w:p>
    <w:p>
      <w:pPr>
        <w:ind w:left="288"/>
      </w:pPr>
      <w:r>
        <w:rPr>
          <w:b/>
          <w:color w:val="003CA0"/>
          <w:sz w:val="16"/>
        </w:rPr>
        <w:t>[AP 933 QO, rel. min. Dias Toffoli, j. 6-10-2015, 2ª T, DJE de 3-2-2016.]</w:t>
      </w:r>
    </w:p>
    <w:p>
      <w:pPr>
        <w:ind w:left="288"/>
      </w:pPr>
      <w:r>
        <w:rPr>
          <w:color w:val="8C8C8C"/>
          <w:sz w:val="12"/>
        </w:rPr>
        <w:t>cf-art-121-par-4-inc-V</w:t>
      </w:r>
      <w:r>
        <w:rPr>
          <w:color w:val="003CA0"/>
          <w:sz w:val="12"/>
        </w:rPr>
        <w:t xml:space="preserve"> | HC 107.795</w:t>
      </w:r>
      <w:r>
        <w:rPr>
          <w:color w:val="003CA0"/>
          <w:sz w:val="12"/>
        </w:rPr>
        <w:t xml:space="preserve"> | rel. Celso de Mello</w:t>
      </w:r>
    </w:p>
    <w:p>
      <w:pPr>
        <w:ind w:left="288"/>
      </w:pPr>
      <w:r>
        <w:rPr>
          <w:color w:val="1E1E1E"/>
          <w:sz w:val="18"/>
        </w:rPr>
        <w:t>Crime eleitoral. Procedimento penal definido pelo próprio Código Eleitoral (lex specialis). Pretendida observância do novo iter procedimental estabelecido pela reforma processual penal de 2008, que introduziu alterações no CPP (lex generalis). (...) Nova ordem ritual que, por revelar-se mais favorável ao acusado (CPP, arts. 396 e 396-A, na redação dada pela Lei 11.719/2008), deveria reger o procedimento penal, não obstante disciplinado em legislação especial, nos casos de crime eleitoral. Plausibilidade jurídica dessa postulação. (...) a previsão do contraditório prévio a que se referem os art</w:t>
      </w:r>
    </w:p>
    <w:p>
      <w:pPr>
        <w:ind w:left="288"/>
      </w:pPr>
      <w:r>
        <w:rPr>
          <w:b/>
          <w:color w:val="003CA0"/>
          <w:sz w:val="16"/>
        </w:rPr>
        <w:t>[HC 107.795 MC, rel. min. Celso de Mello, j. 28-10-2011, dec. monocrática, DJE de 7-11-2011.]</w:t>
      </w:r>
    </w:p>
    <w:p>
      <w:pPr>
        <w:ind w:left="288"/>
      </w:pPr>
      <w:r>
        <w:rPr>
          <w:color w:val="8C8C8C"/>
          <w:sz w:val="12"/>
        </w:rPr>
        <w:t>cf-art-121-par-4-inc-V</w:t>
      </w:r>
    </w:p>
    <w:p>
      <w:pPr>
        <w:ind w:left="288"/>
      </w:pPr>
      <w:r>
        <w:rPr>
          <w:color w:val="1E1E1E"/>
          <w:sz w:val="18"/>
        </w:rPr>
        <w:t>Seção VII Dos Tribunais e Juízes Militares SUMÁRIO</w:t>
      </w:r>
    </w:p>
    <w:p>
      <w:pPr>
        <w:ind w:left="432"/>
      </w:pPr>
      <w:r>
        <w:rPr>
          <w:color w:val="003366"/>
          <w:sz w:val="18"/>
        </w:rPr>
        <w:t>§ 1 Os membros dos tribunais, os juízes de direito e os integrantes das juntas e</w:t>
      </w:r>
    </w:p>
    <w:p>
      <w:pPr>
        <w:ind w:left="432"/>
      </w:pPr>
      <w:r>
        <w:rPr>
          <w:color w:val="003366"/>
          <w:sz w:val="18"/>
        </w:rPr>
        <w:t>§ 2 Os juízes dos tribunais eleitorais, salvo motivo justificado, servirão por d</w:t>
      </w:r>
    </w:p>
    <w:p>
      <w:pPr>
        <w:ind w:left="432"/>
      </w:pPr>
      <w:r>
        <w:rPr>
          <w:color w:val="003366"/>
          <w:sz w:val="18"/>
        </w:rPr>
        <w:t>§ 3 São irrecorríveis as decisões do Tribunal Superior Eleitoral, salvo as que c</w:t>
      </w:r>
    </w:p>
    <w:p>
      <w:pPr>
        <w:ind w:left="432"/>
      </w:pPr>
      <w:r>
        <w:rPr>
          <w:color w:val="003366"/>
          <w:sz w:val="18"/>
        </w:rPr>
        <w:t>§ 4 Das decisões dos Tribunais Regionais Eleitorais somente caberá recurso quand</w:t>
      </w:r>
    </w:p>
    <w:p>
      <w:pPr>
        <w:ind w:left="720"/>
      </w:pPr>
      <w:r>
        <w:rPr>
          <w:color w:val="003366"/>
          <w:sz w:val="18"/>
        </w:rPr>
        <w:t>I – forem proferidas contra disposição expressa desta Constituição ou de lei;</w:t>
      </w:r>
    </w:p>
    <w:p>
      <w:pPr>
        <w:ind w:left="720"/>
      </w:pPr>
      <w:r>
        <w:rPr>
          <w:color w:val="003366"/>
          <w:sz w:val="18"/>
        </w:rPr>
        <w:t>II – ocorrer divergência na interpretação de lei entre dois ou mais tribunais el</w:t>
      </w:r>
    </w:p>
    <w:p>
      <w:pPr>
        <w:ind w:left="720"/>
      </w:pPr>
      <w:r>
        <w:rPr>
          <w:color w:val="003366"/>
          <w:sz w:val="18"/>
        </w:rPr>
        <w:t>III – versarem sobre inelegibilidade ou expedição de diplomas nas eleições feder</w:t>
      </w:r>
    </w:p>
    <w:p>
      <w:pPr>
        <w:ind w:left="720"/>
      </w:pPr>
      <w:r>
        <w:rPr>
          <w:color w:val="003366"/>
          <w:sz w:val="18"/>
        </w:rPr>
        <w:t>IV – anularem diplomas ou decretarem a perda de mandatos eletivos federais ou es</w:t>
      </w:r>
    </w:p>
    <w:p>
      <w:pPr>
        <w:ind w:left="720"/>
      </w:pPr>
      <w:r>
        <w:rPr>
          <w:color w:val="003366"/>
          <w:sz w:val="18"/>
        </w:rPr>
        <w:t>V – denegarem habeas corpus, mandado de segurança, habeas data ou mandado de inj</w:t>
      </w:r>
    </w:p>
    <w:p>
      <w:pPr>
        <w:pStyle w:val="Heading3"/>
      </w:pPr>
      <w:r>
        <w:rPr>
          <w:color w:val="003366"/>
        </w:rPr>
        <w:t>Seção VII - DOS TRIBUNAIS E JUÍZES MILITARES</w:t>
      </w:r>
    </w:p>
    <w:p>
      <w:r>
        <w:rPr>
          <w:b/>
          <w:color w:val="003366"/>
          <w:sz w:val="20"/>
        </w:rPr>
        <w:t>Art. 122 São órgãos da Justiça Militar:</w:t>
      </w:r>
      <w:r>
        <w:rPr>
          <w:color w:val="8C8C8C"/>
          <w:sz w:val="14"/>
        </w:rPr>
        <w:t xml:space="preserve">  [2 decisoes]</w:t>
      </w:r>
    </w:p>
    <w:p>
      <w:pPr>
        <w:ind w:left="144"/>
      </w:pPr>
      <w:r>
        <w:rPr>
          <w:b/>
          <w:color w:val="B45A00"/>
          <w:sz w:val="16"/>
        </w:rPr>
        <w:t>CONTROLE CONCENTRADO</w:t>
      </w:r>
    </w:p>
    <w:p>
      <w:pPr>
        <w:ind w:left="288"/>
      </w:pPr>
      <w:r>
        <w:rPr>
          <w:color w:val="8C8C8C"/>
          <w:sz w:val="12"/>
        </w:rPr>
        <w:t>cf-art-122-inc-II</w:t>
      </w:r>
      <w:r>
        <w:rPr>
          <w:color w:val="003CA0"/>
          <w:sz w:val="12"/>
        </w:rPr>
        <w:t xml:space="preserve"> | ADI 4.360</w:t>
      </w:r>
      <w:r>
        <w:rPr>
          <w:color w:val="003CA0"/>
          <w:sz w:val="12"/>
        </w:rPr>
        <w:t xml:space="preserve"> | rel. Edson Fachin</w:t>
      </w:r>
    </w:p>
    <w:p>
      <w:pPr>
        <w:ind w:left="288"/>
      </w:pPr>
      <w:r>
        <w:rPr>
          <w:color w:val="1E1E1E"/>
          <w:sz w:val="18"/>
        </w:rPr>
        <w:t xml:space="preserve">O art. 122, II, da CRFB, ao condicionar a existência de Tribunais e Juízes Militares à instituição por lei, revela-se como norma constitucional de eficácia jurídica limitada de princípio institutivo facultativa, conforme a clássica classificação de José Afonso da Silva. Embora se trate de norma topologicamente referente à Justiça Militar da União, trata-se também de norma de reprodução obrigatória, de modo que a existência ou não dos Tribunais Militares, ainda que previstos na Constituição Estadual, depende também da instituição (no caso, recepcão) por lei de iniciativa do Tribunal de Justiça </w:t>
      </w:r>
    </w:p>
    <w:p>
      <w:pPr>
        <w:ind w:left="144"/>
      </w:pPr>
      <w:r>
        <w:rPr>
          <w:b/>
          <w:color w:val="B45A00"/>
          <w:sz w:val="16"/>
        </w:rPr>
        <w:t>JULGADOS CORRELATOS</w:t>
      </w:r>
    </w:p>
    <w:p>
      <w:pPr>
        <w:ind w:left="288"/>
      </w:pPr>
      <w:r>
        <w:rPr>
          <w:color w:val="8C8C8C"/>
          <w:sz w:val="12"/>
        </w:rPr>
        <w:t>cf-art-122-inc-II</w:t>
      </w:r>
      <w:r>
        <w:rPr>
          <w:color w:val="003CA0"/>
          <w:sz w:val="12"/>
        </w:rPr>
        <w:t xml:space="preserve"> | HC 67.931</w:t>
      </w:r>
      <w:r>
        <w:rPr>
          <w:color w:val="003CA0"/>
          <w:sz w:val="12"/>
        </w:rPr>
        <w:t xml:space="preserve"> | rel. Moreira Alves</w:t>
      </w:r>
    </w:p>
    <w:p>
      <w:pPr>
        <w:ind w:left="288"/>
      </w:pPr>
      <w:r>
        <w:rPr>
          <w:color w:val="1E1E1E"/>
          <w:sz w:val="18"/>
        </w:rPr>
        <w:t>Não é incompatível com a atual Constituição a composição, por um capitão e por dois oficiais de menor posto, dos conselhos de justiça nos corpos, formações e estabelecimentos militares. A legislação ordinária anterior, portanto, não foi derrogada, nesse ponto, pela Constituição em vigor.</w:t>
      </w:r>
    </w:p>
    <w:p>
      <w:pPr>
        <w:ind w:left="288"/>
      </w:pPr>
      <w:r>
        <w:rPr>
          <w:b/>
          <w:color w:val="003CA0"/>
          <w:sz w:val="16"/>
        </w:rPr>
        <w:t>[HC 67.931, rel. min. Moreira Alves, j. 18-4-1990, P, DJ de 31-8-1990.]</w:t>
      </w:r>
    </w:p>
    <w:p>
      <w:pPr>
        <w:ind w:left="720"/>
      </w:pPr>
      <w:r>
        <w:rPr>
          <w:color w:val="003366"/>
          <w:sz w:val="18"/>
        </w:rPr>
        <w:t>I – o Superior Tribunal Militar;</w:t>
      </w:r>
    </w:p>
    <w:p>
      <w:pPr>
        <w:ind w:left="720"/>
      </w:pPr>
      <w:r>
        <w:rPr>
          <w:color w:val="003366"/>
          <w:sz w:val="18"/>
        </w:rPr>
        <w:t>II – os Tribunais e Juízes Militares instituídos por lei.</w:t>
      </w:r>
    </w:p>
    <w:p>
      <w:r>
        <w:rPr>
          <w:b/>
          <w:color w:val="003366"/>
          <w:sz w:val="20"/>
        </w:rPr>
        <w:t>Art. 123 O Superior Tribunal Militar compor-se-á de quinze Ministros vitalícios,</w:t>
      </w:r>
      <w:r>
        <w:rPr>
          <w:color w:val="8C8C8C"/>
          <w:sz w:val="14"/>
        </w:rPr>
        <w:t xml:space="preserve">  [3 decisoes]</w:t>
      </w:r>
    </w:p>
    <w:p>
      <w:pPr>
        <w:ind w:left="144"/>
      </w:pPr>
      <w:r>
        <w:rPr>
          <w:b/>
          <w:color w:val="B45A00"/>
          <w:sz w:val="16"/>
        </w:rPr>
        <w:t>JULGADOS CORRELATOS</w:t>
      </w:r>
    </w:p>
    <w:p>
      <w:pPr>
        <w:ind w:left="288"/>
      </w:pPr>
      <w:r>
        <w:rPr>
          <w:color w:val="8C8C8C"/>
          <w:sz w:val="12"/>
        </w:rPr>
        <w:t>cf-art-123</w:t>
      </w:r>
      <w:r>
        <w:rPr>
          <w:color w:val="003CA0"/>
          <w:sz w:val="12"/>
        </w:rPr>
        <w:t xml:space="preserve"> | MS 20.930</w:t>
      </w:r>
      <w:r>
        <w:rPr>
          <w:color w:val="003CA0"/>
          <w:sz w:val="12"/>
        </w:rPr>
        <w:t xml:space="preserve"> | rel. Carlos Madeira</w:t>
      </w:r>
    </w:p>
    <w:p>
      <w:pPr>
        <w:ind w:left="288"/>
      </w:pPr>
      <w:r>
        <w:rPr>
          <w:color w:val="1E1E1E"/>
          <w:sz w:val="18"/>
        </w:rPr>
        <w:t>Para a investidura no cargo de ministro do STM, não é invocável a norma do art. 93, IV, da Constituição, que limita em 65 anos a idade do nomeado, pois tal norma tem por escopo estabelecer o tempo mínimo do exercício da judicatura para efeito de aposentadoria facultativa aos trinta anos. O art. 123 da Carta não reproduz a norma, em relação ao STM.</w:t>
      </w:r>
    </w:p>
    <w:p>
      <w:pPr>
        <w:ind w:left="288"/>
      </w:pPr>
      <w:r>
        <w:rPr>
          <w:b/>
          <w:color w:val="003CA0"/>
          <w:sz w:val="16"/>
        </w:rPr>
        <w:t>[MS 20.930, rel. min. Carlos Madeira, j. 29-6-1989, P, DJ de 28-6-1991.]</w:t>
      </w:r>
    </w:p>
    <w:p>
      <w:pPr>
        <w:ind w:left="288"/>
      </w:pPr>
      <w:r>
        <w:rPr>
          <w:color w:val="8C8C8C"/>
          <w:sz w:val="12"/>
        </w:rPr>
        <w:t>cf-art-123-par-unico-inc-I</w:t>
      </w:r>
      <w:r>
        <w:rPr>
          <w:color w:val="003CA0"/>
          <w:sz w:val="12"/>
        </w:rPr>
        <w:t xml:space="preserve"> | MS 20.930</w:t>
      </w:r>
      <w:r>
        <w:rPr>
          <w:color w:val="003CA0"/>
          <w:sz w:val="12"/>
        </w:rPr>
        <w:t xml:space="preserve"> | rel. Carlos Madeira</w:t>
      </w:r>
    </w:p>
    <w:p>
      <w:pPr>
        <w:ind w:left="288"/>
      </w:pPr>
      <w:r>
        <w:rPr>
          <w:color w:val="1E1E1E"/>
          <w:sz w:val="18"/>
        </w:rPr>
        <w:t>O art. 123 da Constituição dá ensejo a que se admita como efetiva atividade profissional o exercício da advocacia tal como previsto no art. 71 do Estatuto da Ordem dos Advogados, não cabendo restringi-la à advocacia forense. Por outro lado, a efetiva atividade profissional, de que cuida a Constituição, não pode ser concebida como exercício do qual não seja permitido o afastamento eventual do advogado, ainda que para investir-se em cargo ou função pública temporários.</w:t>
      </w:r>
    </w:p>
    <w:p>
      <w:pPr>
        <w:ind w:left="288"/>
      </w:pPr>
      <w:r>
        <w:rPr>
          <w:b/>
          <w:color w:val="003CA0"/>
          <w:sz w:val="16"/>
        </w:rPr>
        <w:t>[MS 20.930, rel. min. Carlos Madeira, j. 29-6-1989, P, DJ de 28-6-1991.]</w:t>
      </w:r>
    </w:p>
    <w:p>
      <w:pPr>
        <w:ind w:left="288"/>
      </w:pPr>
      <w:r>
        <w:rPr>
          <w:color w:val="8C8C8C"/>
          <w:sz w:val="12"/>
        </w:rPr>
        <w:t>cf-art-123-par-unico-inc-II</w:t>
      </w:r>
      <w:r>
        <w:rPr>
          <w:color w:val="003CA0"/>
          <w:sz w:val="12"/>
        </w:rPr>
        <w:t xml:space="preserve"> | MS 23.138</w:t>
      </w:r>
      <w:r>
        <w:rPr>
          <w:color w:val="003CA0"/>
          <w:sz w:val="12"/>
        </w:rPr>
        <w:t xml:space="preserve"> | rel. Marco Aurélio</w:t>
      </w:r>
    </w:p>
    <w:p>
      <w:pPr>
        <w:ind w:left="288"/>
      </w:pPr>
      <w:r>
        <w:rPr>
          <w:color w:val="1E1E1E"/>
          <w:sz w:val="18"/>
        </w:rPr>
        <w:t>A dualidade de composição prevista no art. 123 da CF – militares oficiais generais da ativa no posto mais elevado e civis – é conducente a ter-se como inconstitucional a indicação de oficial da reserva para ocupar vaga destinada a civil, sendo irrelevante o fato de o escolhido manter dupla qualificação – militar reformado na patente de coronel e advogado.</w:t>
      </w:r>
    </w:p>
    <w:p>
      <w:pPr>
        <w:ind w:left="288"/>
      </w:pPr>
      <w:r>
        <w:rPr>
          <w:b/>
          <w:color w:val="003CA0"/>
          <w:sz w:val="16"/>
        </w:rPr>
        <w:t>[MS 23.138, rel. min. Marco Aurélio, j. 11-11-1999, P, DJ de 19-4-2002.]</w:t>
      </w:r>
    </w:p>
    <w:p>
      <w:pPr>
        <w:ind w:left="720"/>
      </w:pPr>
      <w:r>
        <w:rPr>
          <w:color w:val="003366"/>
          <w:sz w:val="18"/>
        </w:rPr>
        <w:t xml:space="preserve">I – três dentre advogados de notório saber jurídico e conduta ilibada, com mais </w:t>
      </w:r>
    </w:p>
    <w:p>
      <w:pPr>
        <w:ind w:left="720"/>
      </w:pPr>
      <w:r>
        <w:rPr>
          <w:color w:val="003366"/>
          <w:sz w:val="18"/>
        </w:rPr>
        <w:t>II – dois, por escolha paritária, dentre juízes auditores e membros do Ministéri</w:t>
      </w:r>
    </w:p>
    <w:p>
      <w:r>
        <w:rPr>
          <w:b/>
          <w:color w:val="003366"/>
          <w:sz w:val="20"/>
        </w:rPr>
        <w:t>Art. 124 à Justiça Militar compete processar e julgar os crimes militares defini</w:t>
      </w:r>
      <w:r>
        <w:rPr>
          <w:color w:val="8C8C8C"/>
          <w:sz w:val="14"/>
        </w:rPr>
        <w:t xml:space="preserve">  [19 decisoes]</w:t>
      </w:r>
    </w:p>
    <w:p>
      <w:pPr>
        <w:ind w:left="288"/>
      </w:pPr>
      <w:r>
        <w:rPr>
          <w:color w:val="8C8C8C"/>
          <w:sz w:val="12"/>
        </w:rPr>
        <w:t>cf-art-124</w:t>
      </w:r>
      <w:r>
        <w:rPr>
          <w:color w:val="003CA0"/>
          <w:sz w:val="12"/>
        </w:rPr>
        <w:t xml:space="preserve"> | ARE 1.547.351</w:t>
      </w:r>
      <w:r>
        <w:rPr>
          <w:color w:val="003CA0"/>
          <w:sz w:val="12"/>
        </w:rPr>
        <w:t xml:space="preserve"> | rel. Alexandre de Moraes</w:t>
      </w:r>
    </w:p>
    <w:p>
      <w:pPr>
        <w:ind w:left="288"/>
      </w:pPr>
      <w:r>
        <w:rPr>
          <w:color w:val="1E1E1E"/>
          <w:sz w:val="18"/>
        </w:rPr>
        <w:t>A competência da Justiça Militar da União limita-se ao processo e julgamento de crimes militares, não abrangendo ações relativas a infrações disciplinares (CF, art. 124), razão pela qual compete à Justiça Federal o controle judicial sobre punições disciplinares de militares federais (CF, art. 109, VII).</w:t>
      </w:r>
    </w:p>
    <w:p>
      <w:pPr>
        <w:ind w:left="288"/>
      </w:pPr>
      <w:r>
        <w:rPr>
          <w:b/>
          <w:color w:val="003CA0"/>
          <w:sz w:val="16"/>
        </w:rPr>
        <w:t>[ARE 1.547.351 AgR, rel. min. Alexandre de Moraes, j. 06.10.2025, 1ª T, DJE de 10.10.2025.]</w:t>
      </w:r>
    </w:p>
    <w:p>
      <w:pPr>
        <w:ind w:left="144"/>
      </w:pPr>
      <w:r>
        <w:rPr>
          <w:b/>
          <w:color w:val="B45A00"/>
          <w:sz w:val="16"/>
        </w:rPr>
        <w:t>JULGADOS CORRELATOS</w:t>
      </w:r>
    </w:p>
    <w:p>
      <w:pPr>
        <w:ind w:left="288"/>
      </w:pPr>
      <w:r>
        <w:rPr>
          <w:color w:val="8C8C8C"/>
          <w:sz w:val="12"/>
        </w:rPr>
        <w:t>cf-art-124</w:t>
      </w:r>
      <w:r>
        <w:rPr>
          <w:color w:val="003CA0"/>
          <w:sz w:val="12"/>
        </w:rPr>
        <w:t xml:space="preserve"> | AP 528</w:t>
      </w:r>
      <w:r>
        <w:rPr>
          <w:color w:val="003CA0"/>
          <w:sz w:val="12"/>
        </w:rPr>
        <w:t xml:space="preserve"> | rel. Ricardo Lewandowski</w:t>
      </w:r>
    </w:p>
    <w:p>
      <w:pPr>
        <w:ind w:left="288"/>
      </w:pPr>
      <w:r>
        <w:rPr>
          <w:color w:val="1E1E1E"/>
          <w:sz w:val="18"/>
        </w:rPr>
        <w:t xml:space="preserve">O art. 400 do CPP, com a redação dada pela Lei 11.719/2008, fixou o interrogatório do réu como ato derradeiro da instrução penal, prestigiando a máxima efetividade das garantias constitucionais do contraditório e da ampla defesa (CRFB, art. 5º, LV), dimensões elementares do devido processo legal (CRFB, art. 5º, LIV) e cânones essenciais do Estado Democrático de Direito (CRFB, art. 1º, caput), por isso que a nova regra do CPP comum também deve ser observada no processo penal militar, em detrimento da norma específica prevista no art. 302 do DL 1.002/1969, conforme precedente firmado pelo Pleno </w:t>
      </w:r>
    </w:p>
    <w:p>
      <w:pPr>
        <w:ind w:left="288"/>
      </w:pPr>
      <w:r>
        <w:rPr>
          <w:b/>
          <w:color w:val="003CA0"/>
          <w:sz w:val="16"/>
        </w:rPr>
        <w:t>[RHC 119.188, rel. min. Luiz Fux, j. 1º-10-2013, 1ª T, DJE de 23-10-2013.]</w:t>
      </w:r>
    </w:p>
    <w:p>
      <w:pPr>
        <w:ind w:left="288"/>
      </w:pPr>
      <w:r>
        <w:rPr>
          <w:color w:val="8C8C8C"/>
          <w:sz w:val="12"/>
        </w:rPr>
        <w:t>cf-art-124</w:t>
      </w:r>
      <w:r>
        <w:rPr>
          <w:color w:val="003CA0"/>
          <w:sz w:val="12"/>
        </w:rPr>
        <w:t xml:space="preserve"> | AP 528</w:t>
      </w:r>
      <w:r>
        <w:rPr>
          <w:color w:val="003CA0"/>
          <w:sz w:val="12"/>
        </w:rPr>
        <w:t xml:space="preserve"> | rel. Ricardo Lewandowski</w:t>
      </w:r>
    </w:p>
    <w:p>
      <w:pPr>
        <w:ind w:left="288"/>
      </w:pPr>
      <w:r>
        <w:rPr>
          <w:color w:val="1E1E1E"/>
          <w:sz w:val="18"/>
        </w:rPr>
        <w:t>Vide AP 528 AgR, rel. min. Ricardo Lewandowski, j. 24-3-2011, P, DJE de 8-6-2011 O paciente foi denunciado pela prática de delito do art. 315 do CPM, classificado como crime militar em sentido impróprio – aqueles que, embora previstos na legislação penal comum, também estão tipificados no CPM por afetarem diretamente bens jurídicos das Forças Armadas (art. 9º, III, a, do CPM). É competente, portanto, para processar e julgar o paciente a Justiça Castrense, por força do art. 124 da CF.</w:t>
      </w:r>
    </w:p>
    <w:p>
      <w:pPr>
        <w:ind w:left="288"/>
      </w:pPr>
      <w:r>
        <w:rPr>
          <w:b/>
          <w:color w:val="003CA0"/>
          <w:sz w:val="16"/>
        </w:rPr>
        <w:t>[HC 98.526, rel. min. Ricardo Lewandowski, j. 29-6-2010, 1ª T, DJE de 20-8-2010.]</w:t>
      </w:r>
    </w:p>
    <w:p>
      <w:pPr>
        <w:ind w:left="288"/>
      </w:pPr>
      <w:r>
        <w:rPr>
          <w:color w:val="8C8C8C"/>
          <w:sz w:val="12"/>
        </w:rPr>
        <w:t>cf-art-124</w:t>
      </w:r>
      <w:r>
        <w:rPr>
          <w:color w:val="003CA0"/>
          <w:sz w:val="12"/>
        </w:rPr>
        <w:t xml:space="preserve"> | HC 91.505</w:t>
      </w:r>
      <w:r>
        <w:rPr>
          <w:color w:val="003CA0"/>
          <w:sz w:val="12"/>
        </w:rPr>
        <w:t xml:space="preserve"> | rel. Ellen Gracie</w:t>
      </w:r>
    </w:p>
    <w:p>
      <w:pPr>
        <w:ind w:left="288"/>
      </w:pPr>
      <w:r>
        <w:rPr>
          <w:color w:val="1E1E1E"/>
          <w:sz w:val="18"/>
        </w:rPr>
        <w:t>Crime militar. Causa processada perante a Justiça estadual. Suspensão condicional do processo. Aceitação. Benefício não revogado. Instauração de nova ação penal na Justiça Castrense, pelo mesmo fato. Inadmissibilidade. Preclusão consumada. Habeas corpus concedido.</w:t>
      </w:r>
    </w:p>
    <w:p>
      <w:pPr>
        <w:ind w:left="288"/>
      </w:pPr>
      <w:r>
        <w:rPr>
          <w:b/>
          <w:color w:val="003CA0"/>
          <w:sz w:val="16"/>
        </w:rPr>
        <w:t>[HC 91.505, rel. min. Ellen Gracie, j. 24-6-2008, 2ª T, DJE de 22-8-2008.]</w:t>
      </w:r>
    </w:p>
    <w:p>
      <w:pPr>
        <w:ind w:left="288"/>
      </w:pPr>
      <w:r>
        <w:rPr>
          <w:color w:val="8C8C8C"/>
          <w:sz w:val="12"/>
        </w:rPr>
        <w:t>cf-art-124</w:t>
      </w:r>
      <w:r>
        <w:rPr>
          <w:color w:val="003CA0"/>
          <w:sz w:val="12"/>
        </w:rPr>
        <w:t xml:space="preserve"> | RMS 26.975</w:t>
      </w:r>
      <w:r>
        <w:rPr>
          <w:color w:val="003CA0"/>
          <w:sz w:val="12"/>
        </w:rPr>
        <w:t xml:space="preserve"> | rel. Eros Grau</w:t>
      </w:r>
    </w:p>
    <w:p>
      <w:pPr>
        <w:ind w:left="288"/>
      </w:pPr>
      <w:r>
        <w:rPr>
          <w:color w:val="1E1E1E"/>
          <w:sz w:val="18"/>
        </w:rPr>
        <w:t>Penal militar. Estatuto da OAB. (...) Injúria e difamação. (...) Ofensa a autoridades militares federais, proferidas na discussão da causa. Competência da Justiça Militar (...).</w:t>
      </w:r>
    </w:p>
    <w:p>
      <w:pPr>
        <w:ind w:left="288"/>
      </w:pPr>
      <w:r>
        <w:rPr>
          <w:b/>
          <w:color w:val="003CA0"/>
          <w:sz w:val="16"/>
        </w:rPr>
        <w:t>[RMS 26.975, rel. min. Eros Grau, j. 1º-4-2008, 2ª T, DJE de 15-8-2008.]</w:t>
      </w:r>
    </w:p>
    <w:p>
      <w:pPr>
        <w:ind w:left="288"/>
      </w:pPr>
      <w:r>
        <w:rPr>
          <w:color w:val="8C8C8C"/>
          <w:sz w:val="12"/>
        </w:rPr>
        <w:t>cf-art-124</w:t>
      </w:r>
      <w:r>
        <w:rPr>
          <w:color w:val="003CA0"/>
          <w:sz w:val="12"/>
        </w:rPr>
        <w:t xml:space="preserve"> | HC 92.912</w:t>
      </w:r>
      <w:r>
        <w:rPr>
          <w:color w:val="003CA0"/>
          <w:sz w:val="12"/>
        </w:rPr>
        <w:t xml:space="preserve"> | rel. Cármen Lúcia</w:t>
      </w:r>
    </w:p>
    <w:p>
      <w:pPr>
        <w:ind w:left="288"/>
      </w:pPr>
      <w:r>
        <w:rPr>
          <w:color w:val="1E1E1E"/>
          <w:sz w:val="18"/>
        </w:rPr>
        <w:t>A jurisprudência do STF firmou entendimento no sentido de que, por não estar inserido no CPM, o crime de abuso de autoridade seria da competência da Justiça comum (...).</w:t>
      </w:r>
    </w:p>
    <w:p>
      <w:pPr>
        <w:ind w:left="288"/>
      </w:pPr>
      <w:r>
        <w:rPr>
          <w:b/>
          <w:color w:val="003CA0"/>
          <w:sz w:val="16"/>
        </w:rPr>
        <w:t>[HC 92.912, rel. min. Cármen Lúcia, j. 20-11-2007, 1ª T, DJ de 19-12-2007.]</w:t>
      </w:r>
    </w:p>
    <w:p>
      <w:pPr>
        <w:ind w:left="288"/>
      </w:pPr>
      <w:r>
        <w:rPr>
          <w:color w:val="8C8C8C"/>
          <w:sz w:val="12"/>
        </w:rPr>
        <w:t>cf-art-124</w:t>
      </w:r>
      <w:r>
        <w:rPr>
          <w:color w:val="003CA0"/>
          <w:sz w:val="12"/>
        </w:rPr>
        <w:t xml:space="preserve"> | ARE 660.498</w:t>
      </w:r>
      <w:r>
        <w:rPr>
          <w:color w:val="003CA0"/>
          <w:sz w:val="12"/>
        </w:rPr>
        <w:t xml:space="preserve"> | rel. Luiz Fux</w:t>
      </w:r>
    </w:p>
    <w:p>
      <w:pPr>
        <w:ind w:left="288"/>
      </w:pPr>
      <w:r>
        <w:rPr>
          <w:color w:val="1E1E1E"/>
          <w:sz w:val="18"/>
        </w:rPr>
        <w:t>= ARE 660.498, rel. min. Luiz Fux, j. 14-3-2012, dec. monocrática, DJE de 19-3-2012 A tese da incompetência da Justiça Castrense – pelo fato de o agente ser civil – já foi rechaçada pelo STF no julgamento do HC 75.783, com base nas letras a e d do inciso III do art. 9º do CPM.</w:t>
      </w:r>
    </w:p>
    <w:p>
      <w:pPr>
        <w:ind w:left="288"/>
      </w:pPr>
      <w:r>
        <w:rPr>
          <w:b/>
          <w:color w:val="003CA0"/>
          <w:sz w:val="16"/>
        </w:rPr>
        <w:t>[RMS 26.315, rel. min. Ayres Britto, j. 23-10-2007, 1ª T, DJ de 7-12-2007.]</w:t>
      </w:r>
    </w:p>
    <w:p>
      <w:pPr>
        <w:ind w:left="288"/>
      </w:pPr>
      <w:r>
        <w:rPr>
          <w:color w:val="8C8C8C"/>
          <w:sz w:val="12"/>
        </w:rPr>
        <w:t>cf-art-124</w:t>
      </w:r>
      <w:r>
        <w:rPr>
          <w:color w:val="003CA0"/>
          <w:sz w:val="12"/>
        </w:rPr>
        <w:t xml:space="preserve"> | RHC 86.805</w:t>
      </w:r>
      <w:r>
        <w:rPr>
          <w:color w:val="003CA0"/>
          <w:sz w:val="12"/>
        </w:rPr>
        <w:t xml:space="preserve"> | rel. Ayres Britto</w:t>
      </w:r>
    </w:p>
    <w:p>
      <w:pPr>
        <w:ind w:left="288"/>
      </w:pPr>
      <w:r>
        <w:rPr>
          <w:color w:val="1E1E1E"/>
          <w:sz w:val="18"/>
        </w:rPr>
        <w:t>Alegação do MPF de que o processo do paciente pelo crime de estupro, perante a vara da auditoria militar, configura caso de incompetência absoluta do juízo. Instituída a Justiça Militar no Estado de Rondônia, ao juiz auditor militar foi conferida, por lei, ambivalência funcional. Pelo que não há irregularidade no julgamento do feito pelo juiz que atua ora como auditor, integrando o Conselho da Justiça Militar, ora como juiz de direito de uma determinada vara.</w:t>
      </w:r>
    </w:p>
    <w:p>
      <w:pPr>
        <w:ind w:left="288"/>
      </w:pPr>
      <w:r>
        <w:rPr>
          <w:b/>
          <w:color w:val="003CA0"/>
          <w:sz w:val="16"/>
        </w:rPr>
        <w:t>[RHC 86.805, rel. min. Ayres Britto, j. 21-2-2006, 1ª T, DJ de 30-6-2006.]</w:t>
      </w:r>
    </w:p>
    <w:p>
      <w:pPr>
        <w:ind w:left="288"/>
      </w:pPr>
      <w:r>
        <w:rPr>
          <w:color w:val="8C8C8C"/>
          <w:sz w:val="12"/>
        </w:rPr>
        <w:t>cf-art-124</w:t>
      </w:r>
      <w:r>
        <w:rPr>
          <w:color w:val="003CA0"/>
          <w:sz w:val="12"/>
        </w:rPr>
        <w:t xml:space="preserve"> | HC 85.720</w:t>
      </w:r>
      <w:r>
        <w:rPr>
          <w:color w:val="003CA0"/>
          <w:sz w:val="12"/>
        </w:rPr>
        <w:t xml:space="preserve"> | rel. Sepúlveda Pertence</w:t>
      </w:r>
    </w:p>
    <w:p>
      <w:pPr>
        <w:ind w:left="288"/>
      </w:pPr>
      <w:r>
        <w:rPr>
          <w:color w:val="1E1E1E"/>
          <w:sz w:val="18"/>
        </w:rPr>
        <w:t>= HC 85.720, rel. min. Sepúlveda Pertence, j. 14-6-2006, P, DJ de 2-2-2007 Crime militar em sentido impróprio. Infração penal praticada por militar fora de serviço contra policial militar em situação de atividade. Incompetência da Justiça Militar. (...) Os crimes de resistência, lesões corporais leves e desacato qualificam-se como delitos militares em sentido impróprio. (...) A questão da competência penal da Justiça Militar da União e a necessária observância, pelos órgãos judiciários castrenses, do princípio constitucional do juiz natural. (...) O postulado do juiz natural representa garanti</w:t>
      </w:r>
    </w:p>
    <w:p>
      <w:pPr>
        <w:ind w:left="288"/>
      </w:pPr>
      <w:r>
        <w:rPr>
          <w:b/>
          <w:color w:val="003CA0"/>
          <w:sz w:val="16"/>
        </w:rPr>
        <w:t>[HC 83.003, rel. min. Celso de Mello, j. 16-8-2005, 2ª T, DJE de 25-4-2008.]</w:t>
      </w:r>
    </w:p>
    <w:p>
      <w:pPr>
        <w:ind w:left="288"/>
      </w:pPr>
      <w:r>
        <w:rPr>
          <w:color w:val="8C8C8C"/>
          <w:sz w:val="12"/>
        </w:rPr>
        <w:t>cf-art-124</w:t>
      </w:r>
      <w:r>
        <w:rPr>
          <w:color w:val="003CA0"/>
          <w:sz w:val="12"/>
        </w:rPr>
        <w:t xml:space="preserve"> | RHC 96.814</w:t>
      </w:r>
      <w:r>
        <w:rPr>
          <w:color w:val="003CA0"/>
          <w:sz w:val="12"/>
        </w:rPr>
        <w:t xml:space="preserve"> | rel. Eros Grau</w:t>
      </w:r>
    </w:p>
    <w:p>
      <w:pPr>
        <w:ind w:left="288"/>
      </w:pPr>
      <w:r>
        <w:rPr>
          <w:color w:val="1E1E1E"/>
          <w:sz w:val="18"/>
        </w:rPr>
        <w:t>= RHC 96.814, rel. min. Eros Grau, j. 12-5-2009, 2ª T, DJE de 7-8-2009 Arquivamento de inquérito policial militar, por inexistência de crime militar. Correição parcial requerida pelo juiz-auditor corregedor da Justiça Militar da União. Alegação de ocorrência de crime de tortura. Crime comum. Incompetência da Justiça Militar. Inteligência do art. 124 da CF.</w:t>
      </w:r>
    </w:p>
    <w:p>
      <w:pPr>
        <w:ind w:left="288"/>
      </w:pPr>
      <w:r>
        <w:rPr>
          <w:b/>
          <w:color w:val="003CA0"/>
          <w:sz w:val="16"/>
        </w:rPr>
        <w:t>[RE 407.721, rel. min. Gilmar Mendes, j. 16-11-2004, 2ª T, DJ de 3-12-2004.]</w:t>
      </w:r>
    </w:p>
    <w:p>
      <w:pPr>
        <w:ind w:left="288"/>
      </w:pPr>
      <w:r>
        <w:rPr>
          <w:color w:val="8C8C8C"/>
          <w:sz w:val="12"/>
        </w:rPr>
        <w:t>cf-art-124</w:t>
      </w:r>
      <w:r>
        <w:rPr>
          <w:color w:val="003CA0"/>
          <w:sz w:val="12"/>
        </w:rPr>
        <w:t xml:space="preserve"> | rel. Marco Aurélio</w:t>
      </w:r>
    </w:p>
    <w:p>
      <w:pPr>
        <w:ind w:left="288"/>
      </w:pPr>
      <w:r>
        <w:rPr>
          <w:color w:val="1E1E1E"/>
          <w:sz w:val="18"/>
        </w:rPr>
        <w:t>A atividade, desenvolvida por militar, de policiamento naval, exsurge como subsidiária, administrativa, não atraindo a incidência do disposto na alínea d do inciso III do art. 9º do CPM. A competência da Justiça Militar, em face da configuração de crime de idêntica natureza, pressupõe prática contra militar em função que lhe seja própria. Competência da Justiça Federal – stricto sensu.</w:t>
      </w:r>
    </w:p>
    <w:p>
      <w:pPr>
        <w:ind w:left="288"/>
      </w:pPr>
      <w:r>
        <w:rPr>
          <w:b/>
          <w:color w:val="003CA0"/>
          <w:sz w:val="16"/>
        </w:rPr>
        <w:t>[CC 7.030, rel. min. Marco Aurélio, j. 2-5-1996, P, DJ de 31-5-1996.]</w:t>
      </w:r>
    </w:p>
    <w:p>
      <w:pPr>
        <w:ind w:left="288"/>
      </w:pPr>
      <w:r>
        <w:rPr>
          <w:color w:val="8C8C8C"/>
          <w:sz w:val="12"/>
        </w:rPr>
        <w:t>cf-art-124</w:t>
      </w:r>
      <w:r>
        <w:rPr>
          <w:color w:val="003CA0"/>
          <w:sz w:val="12"/>
        </w:rPr>
        <w:t xml:space="preserve"> | HC 72.022</w:t>
      </w:r>
      <w:r>
        <w:rPr>
          <w:color w:val="003CA0"/>
          <w:sz w:val="12"/>
        </w:rPr>
        <w:t xml:space="preserve"> | rel. Néri da Silveira</w:t>
      </w:r>
    </w:p>
    <w:p>
      <w:pPr>
        <w:ind w:left="288"/>
      </w:pPr>
      <w:r>
        <w:rPr>
          <w:color w:val="1E1E1E"/>
          <w:sz w:val="18"/>
        </w:rPr>
        <w:t>Os crimes militares situam-se no campo da exceção. As normas em que previstos são exaustivas. Jungidos ao princípio constitucional da reserva legal – inciso XXXIX do art. 5º da Carta de 1988 –, hão de estar tipificados em dispositivo próprio, a merecer interpretação estrita. Competência. Homicídio. Agente: militar da reserva. Vítima: policial militar em serviço. Ainda que em serviço a vítima – policial militar, e não militar propriamente dito – a competência é da Justiça comum. Interpretação sistemática e teológica dos preceitos constitucionais e legais regedores da espécie.</w:t>
      </w:r>
    </w:p>
    <w:p>
      <w:pPr>
        <w:ind w:left="288"/>
      </w:pPr>
      <w:r>
        <w:rPr>
          <w:b/>
          <w:color w:val="003CA0"/>
          <w:sz w:val="16"/>
        </w:rPr>
        <w:t>[HC 72.022, rel. min. Néri da Silveira, j. 9-2-1995, P, DJ de 28-4-1995.]</w:t>
      </w:r>
    </w:p>
    <w:p>
      <w:pPr>
        <w:ind w:left="288"/>
      </w:pPr>
      <w:r>
        <w:rPr>
          <w:color w:val="8C8C8C"/>
          <w:sz w:val="12"/>
        </w:rPr>
        <w:t>cf-art-124-par-unico</w:t>
      </w:r>
      <w:r>
        <w:rPr>
          <w:color w:val="003CA0"/>
          <w:sz w:val="12"/>
        </w:rPr>
        <w:t xml:space="preserve"> | HC 110.286</w:t>
      </w:r>
    </w:p>
    <w:p>
      <w:pPr>
        <w:ind w:left="288"/>
      </w:pPr>
      <w:r>
        <w:rPr>
          <w:color w:val="1E1E1E"/>
          <w:sz w:val="18"/>
        </w:rPr>
        <w:t>Competência. Homicídio. Agente militar. Inexistente qualquer elemento configurador, a teor do disposto no art. 9º do CPM, de crime militar, a competência é da Justiça comum, do tribunal do júri.</w:t>
      </w:r>
    </w:p>
    <w:p>
      <w:pPr>
        <w:ind w:left="288"/>
      </w:pPr>
      <w:r>
        <w:rPr>
          <w:b/>
          <w:color w:val="003CA0"/>
          <w:sz w:val="16"/>
        </w:rPr>
        <w:t>[HC 110.286, red. do ac. min. Marco Aurélio, j. 14-2-2012, 1ª T, DJE de 29-3-2012.]</w:t>
      </w:r>
    </w:p>
    <w:p>
      <w:pPr>
        <w:ind w:left="288"/>
      </w:pPr>
      <w:r>
        <w:rPr>
          <w:color w:val="8C8C8C"/>
          <w:sz w:val="12"/>
        </w:rPr>
        <w:t>cf-art-124-par-unico</w:t>
      </w:r>
      <w:r>
        <w:rPr>
          <w:color w:val="003CA0"/>
          <w:sz w:val="12"/>
        </w:rPr>
        <w:t xml:space="preserve"> | HC 99.541</w:t>
      </w:r>
      <w:r>
        <w:rPr>
          <w:color w:val="003CA0"/>
          <w:sz w:val="12"/>
        </w:rPr>
        <w:t xml:space="preserve"> | rel. Luiz Fux</w:t>
      </w:r>
    </w:p>
    <w:p>
      <w:pPr>
        <w:ind w:left="288"/>
      </w:pPr>
      <w:r>
        <w:rPr>
          <w:color w:val="1E1E1E"/>
          <w:sz w:val="18"/>
        </w:rPr>
        <w:t>Vide HC 99.541, rel. min. Luiz Fux, j. 10-5-2011, 1ª T, DJE de 25-5-2011 A questão da posse de entorpecente por militar em recinto castrense não é de quantidade, nem mesmo do tipo de droga que se conseguiu apreender. O problema é de qualidade da relação jurídica entre o particularizado portador da substância entorpecente e a instituição castrense de que ele fazia parte, no instante em que flagrado com a posse da droga em pleno recinto sob administração militar. A tipologia de relação jurídica em ambiente castrense é incompatível com a figura da insignificância penal, pois, independentemente da</w:t>
      </w:r>
    </w:p>
    <w:p>
      <w:pPr>
        <w:ind w:left="288"/>
      </w:pPr>
      <w:r>
        <w:rPr>
          <w:b/>
          <w:color w:val="003CA0"/>
          <w:sz w:val="16"/>
        </w:rPr>
        <w:t>[HC 103.684, rel. min. Ayres Britto, j. 21-10-2010, P, DJE de 13-4-2011.]</w:t>
      </w:r>
    </w:p>
    <w:p>
      <w:pPr>
        <w:ind w:left="288"/>
      </w:pPr>
      <w:r>
        <w:rPr>
          <w:color w:val="8C8C8C"/>
          <w:sz w:val="12"/>
        </w:rPr>
        <w:t>cf-art-124-par-unico</w:t>
      </w:r>
      <w:r>
        <w:rPr>
          <w:color w:val="003CA0"/>
          <w:sz w:val="12"/>
        </w:rPr>
        <w:t xml:space="preserve"> | HC 91.003</w:t>
      </w:r>
      <w:r>
        <w:rPr>
          <w:color w:val="003CA0"/>
          <w:sz w:val="12"/>
        </w:rPr>
        <w:t xml:space="preserve"> | rel. Cármen Lúcia</w:t>
      </w:r>
    </w:p>
    <w:p>
      <w:pPr>
        <w:ind w:left="288"/>
      </w:pPr>
      <w:r>
        <w:rPr>
          <w:color w:val="1E1E1E"/>
          <w:sz w:val="18"/>
        </w:rPr>
        <w:t>A jurisprudência do STF é no sentido de ser constitucional o julgamento dos crimes dolosos contra a vida de militar em serviço pela Justiça Castrense, sem a submissão destes crimes ao tribunal do júri, nos termos do art. 9º, III, d, do CPM.</w:t>
      </w:r>
    </w:p>
    <w:p>
      <w:pPr>
        <w:ind w:left="288"/>
      </w:pPr>
      <w:r>
        <w:rPr>
          <w:b/>
          <w:color w:val="003CA0"/>
          <w:sz w:val="16"/>
        </w:rPr>
        <w:t>[HC 91.003, rel. min. Cármen Lúcia, j. 22-5-2007, 1ª T, DJ de 3-8-2007.]</w:t>
      </w:r>
    </w:p>
    <w:p>
      <w:pPr>
        <w:ind w:left="288"/>
      </w:pPr>
      <w:r>
        <w:rPr>
          <w:color w:val="8C8C8C"/>
          <w:sz w:val="12"/>
        </w:rPr>
        <w:t>cf-art-124-par-unico</w:t>
      </w:r>
      <w:r>
        <w:rPr>
          <w:color w:val="003CA0"/>
          <w:sz w:val="12"/>
        </w:rPr>
        <w:t xml:space="preserve"> | HC 90.729</w:t>
      </w:r>
      <w:r>
        <w:rPr>
          <w:color w:val="003CA0"/>
          <w:sz w:val="12"/>
        </w:rPr>
        <w:t xml:space="preserve"> | rel. Sepúlveda Pertence</w:t>
      </w:r>
    </w:p>
    <w:p>
      <w:pPr>
        <w:ind w:left="288"/>
      </w:pPr>
      <w:r>
        <w:rPr>
          <w:color w:val="1E1E1E"/>
          <w:sz w:val="18"/>
        </w:rPr>
        <w:t>Crime de roubo em concurso com o de abandono de posto, praticado por militar, em horário de serviço e com arma da corporação, mas que, tendo antes abandonado o posto, não se encontrava no exercício de atividade militar: incompetência da Justiça Militar para conhecer do crime de roubo, uma vez revogado o art. 9º, II, f. CPM (Lei 9.299/1996). Deferimento da ordem, para, mantida a condenação por abandono de posto (CPM, art. 195), cassar o acórdão impugnado no ponto em que condenou o paciente por infração do art. 242, § 2º, do CPM e determinar o retorno dos autos do Proc. 491/2003 à 1ª Vara Crimin</w:t>
      </w:r>
    </w:p>
    <w:p>
      <w:pPr>
        <w:ind w:left="288"/>
      </w:pPr>
      <w:r>
        <w:rPr>
          <w:b/>
          <w:color w:val="003CA0"/>
          <w:sz w:val="16"/>
        </w:rPr>
        <w:t>[HC 90.729, rel. min. Sepúlveda Pertence, j. 27-3-2007, 1ª T, DJ de 27-4-2007.]</w:t>
      </w:r>
    </w:p>
    <w:p>
      <w:pPr>
        <w:ind w:left="288"/>
      </w:pPr>
      <w:r>
        <w:rPr>
          <w:color w:val="8C8C8C"/>
          <w:sz w:val="12"/>
        </w:rPr>
        <w:t>cf-art-124-par-unico</w:t>
      </w:r>
      <w:r>
        <w:rPr>
          <w:color w:val="003CA0"/>
          <w:sz w:val="12"/>
        </w:rPr>
        <w:t xml:space="preserve"> | HC 91.658</w:t>
      </w:r>
      <w:r>
        <w:rPr>
          <w:color w:val="003CA0"/>
          <w:sz w:val="12"/>
        </w:rPr>
        <w:t xml:space="preserve"> | rel. Cezar Peluso</w:t>
      </w:r>
    </w:p>
    <w:p>
      <w:pPr>
        <w:ind w:left="288"/>
      </w:pPr>
      <w:r>
        <w:rPr>
          <w:color w:val="1E1E1E"/>
          <w:sz w:val="18"/>
        </w:rPr>
        <w:t>= HC 91.658, rel. min. Cezar Peluso, j. 10-3-2009, 2ª T, DJE de 22-5-2009 Compete ao Conselho Permanente de Justiça Militar o processo e julgamento respectivos, em primeiro grau de jurisdição, e, em segundo, ao tribunal de justiça do Estado, quando não houver, na unidade da Federação, tribunal de justiça militar (arts. 125, caput, e 3º da CF e art. 85 da Constituição do Estado do Maranhão). Não é, pois, do STM a competência para o julgamento da apelação nesse caso (art. 124, parágrafo único, da CF e art. 40, X, b, da Lei de Organização Judiciária Militar, DL 1.003, de 21-10-1969).</w:t>
      </w:r>
    </w:p>
    <w:p>
      <w:pPr>
        <w:ind w:left="288"/>
      </w:pPr>
      <w:r>
        <w:rPr>
          <w:b/>
          <w:color w:val="003CA0"/>
          <w:sz w:val="16"/>
        </w:rPr>
        <w:t>[HC 73.676, rel. min. Sydney Sanches, j. 2-4-1996, 1ª T, DJ de 17-5-1996.]</w:t>
      </w:r>
    </w:p>
    <w:p>
      <w:pPr>
        <w:ind w:left="288"/>
      </w:pPr>
      <w:r>
        <w:rPr>
          <w:color w:val="8C8C8C"/>
          <w:sz w:val="12"/>
        </w:rPr>
        <w:t>cf-art-124-par-unico</w:t>
      </w:r>
      <w:r>
        <w:rPr>
          <w:color w:val="003CA0"/>
          <w:sz w:val="12"/>
        </w:rPr>
        <w:t xml:space="preserve"> | RE 122.706</w:t>
      </w:r>
      <w:r>
        <w:rPr>
          <w:color w:val="003CA0"/>
          <w:sz w:val="12"/>
        </w:rPr>
        <w:t xml:space="preserve"> | rel. Sepúlveda Pertence</w:t>
      </w:r>
    </w:p>
    <w:p>
      <w:pPr>
        <w:ind w:left="288"/>
      </w:pPr>
      <w:r>
        <w:rPr>
          <w:color w:val="1E1E1E"/>
          <w:sz w:val="18"/>
        </w:rPr>
        <w:t>A Justiça Militar não comporta a inclusão, na sua estrutura, de um júri, para o fim de julgar os crimes dolosos contra a vida. CF/1967, art. 127; art. 153, § 18. CF/1988, art. 5º, XXXVIII; art. 124, parágrafo único.</w:t>
      </w:r>
    </w:p>
    <w:p>
      <w:pPr>
        <w:ind w:left="288"/>
      </w:pPr>
      <w:r>
        <w:rPr>
          <w:b/>
          <w:color w:val="003CA0"/>
          <w:sz w:val="16"/>
        </w:rPr>
        <w:t>[RE 122.706, rel. min. Sepúlveda Pertence, j. 21-11-1990, P, DJ de 3-4-1992.]</w:t>
      </w:r>
    </w:p>
    <w:p>
      <w:pPr>
        <w:ind w:left="288"/>
      </w:pPr>
      <w:r>
        <w:rPr>
          <w:color w:val="8C8C8C"/>
          <w:sz w:val="12"/>
        </w:rPr>
        <w:t>cf-art-124-par-unico</w:t>
      </w:r>
      <w:r>
        <w:rPr>
          <w:color w:val="003CA0"/>
          <w:sz w:val="12"/>
        </w:rPr>
        <w:t xml:space="preserve"> | HC 103.812</w:t>
      </w:r>
    </w:p>
    <w:p>
      <w:pPr>
        <w:ind w:left="288"/>
      </w:pPr>
      <w:r>
        <w:rPr>
          <w:color w:val="1E1E1E"/>
          <w:sz w:val="18"/>
        </w:rPr>
        <w:t>= HC 103.812, red. do ac. min. Luiz Fux, j. 29-11-2011, 1ª T, DJE de 17-2-2012 Seção VIII Dos Tribunais e Juízes dos Estados SUMÁRIO</w:t>
      </w:r>
    </w:p>
    <w:p>
      <w:pPr>
        <w:pStyle w:val="Heading3"/>
      </w:pPr>
      <w:r>
        <w:rPr>
          <w:color w:val="003366"/>
        </w:rPr>
        <w:t>Seção VIII - DOS TRIBUNAIS E JUÍZES DOS ESTADOS</w:t>
      </w:r>
    </w:p>
    <w:p>
      <w:r>
        <w:rPr>
          <w:b/>
          <w:color w:val="003366"/>
          <w:sz w:val="20"/>
        </w:rPr>
        <w:t>Art. 125 Os Estados organizarão sua Justiça, observados os princípios estabeleci</w:t>
      </w:r>
      <w:r>
        <w:rPr>
          <w:color w:val="8C8C8C"/>
          <w:sz w:val="14"/>
        </w:rPr>
        <w:t xml:space="preserve">  [56 decisoes]</w:t>
      </w:r>
    </w:p>
    <w:p>
      <w:pPr>
        <w:ind w:left="144"/>
      </w:pPr>
      <w:r>
        <w:rPr>
          <w:b/>
          <w:color w:val="B45A00"/>
          <w:sz w:val="16"/>
        </w:rPr>
        <w:t>CONTROLE CONCENTRADO</w:t>
      </w:r>
    </w:p>
    <w:p>
      <w:pPr>
        <w:ind w:left="288"/>
      </w:pPr>
      <w:r>
        <w:rPr>
          <w:color w:val="8C8C8C"/>
          <w:sz w:val="12"/>
        </w:rPr>
        <w:t>cf-art-125</w:t>
      </w:r>
      <w:r>
        <w:rPr>
          <w:color w:val="003CA0"/>
          <w:sz w:val="12"/>
        </w:rPr>
        <w:t xml:space="preserve"> | ADI 4.414</w:t>
      </w:r>
      <w:r>
        <w:rPr>
          <w:color w:val="003CA0"/>
          <w:sz w:val="12"/>
        </w:rPr>
        <w:t xml:space="preserve"> | rel. Luiz Fux</w:t>
      </w:r>
    </w:p>
    <w:p>
      <w:pPr>
        <w:ind w:left="288"/>
      </w:pPr>
      <w:r>
        <w:rPr>
          <w:color w:val="1E1E1E"/>
          <w:sz w:val="18"/>
        </w:rPr>
        <w:t>Criação, por lei estadual, de varas especializadas em delitos praticados por organizações criminosas. (...) Os delitos cometidos por organizações criminosas podem submeter-se ao juízo especializado criado por lei estadual, porquanto o tema é de organização judiciária, prevista em lei editada no âmbito da competência dos Estados-membros (art. 125 da CRFB). (...) A lei estadual que cria vara especializada em razão da matéria pode, de forma objetiva e abstrata, impedir a redistribuição dos processos em curso, através de norma procedimental (art. 24, XI, da CRFB), que se afigura necessária para pr</w:t>
      </w:r>
    </w:p>
    <w:p>
      <w:pPr>
        <w:ind w:left="288"/>
      </w:pPr>
      <w:r>
        <w:rPr>
          <w:b/>
          <w:color w:val="003CA0"/>
          <w:sz w:val="16"/>
        </w:rPr>
        <w:t>[ADI 4.414, rel. min. Luiz Fux, j. 31-5-2012, P, DJE de 17-6-2013.]</w:t>
      </w:r>
    </w:p>
    <w:p>
      <w:pPr>
        <w:ind w:left="288"/>
      </w:pPr>
      <w:r>
        <w:rPr>
          <w:color w:val="8C8C8C"/>
          <w:sz w:val="12"/>
        </w:rPr>
        <w:t>cf-art-125</w:t>
      </w:r>
      <w:r>
        <w:rPr>
          <w:color w:val="003CA0"/>
          <w:sz w:val="12"/>
        </w:rPr>
        <w:t xml:space="preserve"> | ADC 12</w:t>
      </w:r>
      <w:r>
        <w:rPr>
          <w:color w:val="003CA0"/>
          <w:sz w:val="12"/>
        </w:rPr>
        <w:t xml:space="preserve"> | rel. Ayres Britto</w:t>
      </w:r>
    </w:p>
    <w:p>
      <w:pPr>
        <w:ind w:left="288"/>
      </w:pPr>
      <w:r>
        <w:rPr>
          <w:color w:val="1E1E1E"/>
          <w:sz w:val="18"/>
        </w:rPr>
        <w:t>O Poder Judiciário tem uma singular compostura de âmbito nacional, perfeitamente compatibilizada com o caráter estadualizado de uma parte dele. Ademais, o art. 125 da Lei Magna defere aos Estados a competência de organizar a sua própria Justiça, mas não é menos certo que esse mesmo art. 125, caput, junge essa organização aos princípios "estabelecidos" por ela, Carta Maior, neles incluídos os constantes do art. 37, cabeça.</w:t>
      </w:r>
    </w:p>
    <w:p>
      <w:pPr>
        <w:ind w:left="288"/>
      </w:pPr>
      <w:r>
        <w:rPr>
          <w:b/>
          <w:color w:val="003CA0"/>
          <w:sz w:val="16"/>
        </w:rPr>
        <w:t>[ADC 12, rel. min. Ayres Britto, j. 20-8-2008, P, DJE de 18-12-2009.]</w:t>
      </w:r>
    </w:p>
    <w:p>
      <w:pPr>
        <w:ind w:left="144"/>
      </w:pPr>
      <w:r>
        <w:rPr>
          <w:b/>
          <w:color w:val="B45A00"/>
          <w:sz w:val="16"/>
        </w:rPr>
        <w:t>SUMULA VINCULANTE</w:t>
      </w:r>
    </w:p>
    <w:p>
      <w:pPr>
        <w:ind w:left="288"/>
      </w:pPr>
      <w:r>
        <w:rPr>
          <w:color w:val="8C8C8C"/>
          <w:sz w:val="12"/>
        </w:rPr>
        <w:t>cf-art-125-par-1</w:t>
      </w:r>
    </w:p>
    <w:p>
      <w:pPr>
        <w:ind w:left="288"/>
      </w:pPr>
      <w:r>
        <w:rPr>
          <w:color w:val="1E1E1E"/>
          <w:sz w:val="18"/>
        </w:rPr>
        <w:t>A competência constitucional do tribunal do júri prevalece sobre o foro por prerrogativa de função estabelecido exclusivamente pela Constituição estadual.</w:t>
      </w:r>
    </w:p>
    <w:p>
      <w:pPr>
        <w:ind w:left="288"/>
      </w:pPr>
      <w:r>
        <w:rPr>
          <w:b/>
          <w:color w:val="003CA0"/>
          <w:sz w:val="16"/>
        </w:rPr>
        <w:t>[Súmula Vinculante 45.]</w:t>
      </w:r>
    </w:p>
    <w:p>
      <w:pPr>
        <w:ind w:left="288"/>
      </w:pPr>
      <w:r>
        <w:rPr>
          <w:color w:val="8C8C8C"/>
          <w:sz w:val="12"/>
        </w:rPr>
        <w:t>cf-art-125-par-1</w:t>
      </w:r>
    </w:p>
    <w:p>
      <w:pPr>
        <w:ind w:left="288"/>
      </w:pPr>
      <w:r>
        <w:rPr>
          <w:color w:val="1E1E1E"/>
          <w:sz w:val="18"/>
        </w:rPr>
        <w:t>Compete à Justiça estadual julgar causas entre consumidor e concessionária de serviço público de telefonia, quando a Anatel [Agência Nacional de Telecomunicação] não seja litisconsorte passiva necessária, assistente nem opoente.</w:t>
      </w:r>
    </w:p>
    <w:p>
      <w:pPr>
        <w:ind w:left="288"/>
      </w:pPr>
      <w:r>
        <w:rPr>
          <w:b/>
          <w:color w:val="003CA0"/>
          <w:sz w:val="16"/>
        </w:rPr>
        <w:t>[Súmula Vinculante 27.]</w:t>
      </w:r>
    </w:p>
    <w:p>
      <w:pPr>
        <w:ind w:left="144"/>
      </w:pPr>
      <w:r>
        <w:rPr>
          <w:b/>
          <w:color w:val="B45A00"/>
          <w:sz w:val="16"/>
        </w:rPr>
        <w:t>SUMULA</w:t>
      </w:r>
    </w:p>
    <w:p>
      <w:pPr>
        <w:ind w:left="288"/>
      </w:pPr>
      <w:r>
        <w:rPr>
          <w:color w:val="8C8C8C"/>
          <w:sz w:val="12"/>
        </w:rPr>
        <w:t>cf-art-125-par-1</w:t>
      </w:r>
    </w:p>
    <w:p>
      <w:pPr>
        <w:ind w:left="288"/>
      </w:pPr>
      <w:r>
        <w:rPr>
          <w:color w:val="1E1E1E"/>
          <w:sz w:val="18"/>
        </w:rPr>
        <w:t>A competência constitucional do tribunal do júri prevalece sobre o foro por prerrogativa de função estabelecido exclusivamente pela Constituição estadual.</w:t>
      </w:r>
    </w:p>
    <w:p>
      <w:pPr>
        <w:ind w:left="288"/>
      </w:pPr>
      <w:r>
        <w:rPr>
          <w:b/>
          <w:color w:val="003CA0"/>
          <w:sz w:val="16"/>
        </w:rPr>
        <w:t>[Súmula 721.]</w:t>
      </w:r>
    </w:p>
    <w:p>
      <w:pPr>
        <w:ind w:left="288"/>
      </w:pPr>
      <w:r>
        <w:rPr>
          <w:color w:val="8C8C8C"/>
          <w:sz w:val="12"/>
        </w:rPr>
        <w:t>cf-art-125-par-1</w:t>
      </w:r>
    </w:p>
    <w:p>
      <w:pPr>
        <w:ind w:left="288"/>
      </w:pPr>
      <w:r>
        <w:rPr>
          <w:color w:val="1E1E1E"/>
          <w:sz w:val="18"/>
        </w:rPr>
        <w:t>É competente a Justiça comum para julgar as causas em que é parte sociedade de economia mista.</w:t>
      </w:r>
    </w:p>
    <w:p>
      <w:pPr>
        <w:ind w:left="288"/>
      </w:pPr>
      <w:r>
        <w:rPr>
          <w:b/>
          <w:color w:val="003CA0"/>
          <w:sz w:val="16"/>
        </w:rPr>
        <w:t>[Súmula 556.]</w:t>
      </w:r>
    </w:p>
    <w:p>
      <w:pPr>
        <w:ind w:left="288"/>
      </w:pPr>
      <w:r>
        <w:rPr>
          <w:color w:val="8C8C8C"/>
          <w:sz w:val="12"/>
        </w:rPr>
        <w:t>cf-art-125-par-1</w:t>
      </w:r>
    </w:p>
    <w:p>
      <w:pPr>
        <w:ind w:left="288"/>
      </w:pPr>
      <w:r>
        <w:rPr>
          <w:color w:val="1E1E1E"/>
          <w:sz w:val="18"/>
        </w:rPr>
        <w:t>As sociedades de economia mista só têm foro na Justiça Federal, quando a União intervém como assistente ou opoente.</w:t>
      </w:r>
    </w:p>
    <w:p>
      <w:pPr>
        <w:ind w:left="288"/>
      </w:pPr>
      <w:r>
        <w:rPr>
          <w:b/>
          <w:color w:val="003CA0"/>
          <w:sz w:val="16"/>
        </w:rPr>
        <w:t>[Súmula 517.]</w:t>
      </w:r>
    </w:p>
    <w:p>
      <w:pPr>
        <w:ind w:left="288"/>
      </w:pPr>
      <w:r>
        <w:rPr>
          <w:color w:val="8C8C8C"/>
          <w:sz w:val="12"/>
        </w:rPr>
        <w:t>cf-art-125-par-1</w:t>
      </w:r>
    </w:p>
    <w:p>
      <w:pPr>
        <w:ind w:left="288"/>
      </w:pPr>
      <w:r>
        <w:rPr>
          <w:color w:val="1E1E1E"/>
          <w:sz w:val="18"/>
        </w:rPr>
        <w:t>O Serviço Social da Indústria (SESI) está sujeito à jurisdição da Justiça estadual.</w:t>
      </w:r>
    </w:p>
    <w:p>
      <w:pPr>
        <w:ind w:left="288"/>
      </w:pPr>
      <w:r>
        <w:rPr>
          <w:b/>
          <w:color w:val="003CA0"/>
          <w:sz w:val="16"/>
        </w:rPr>
        <w:t>[Súmula 516.]</w:t>
      </w:r>
    </w:p>
    <w:p>
      <w:pPr>
        <w:ind w:left="288"/>
      </w:pPr>
      <w:r>
        <w:rPr>
          <w:color w:val="8C8C8C"/>
          <w:sz w:val="12"/>
        </w:rPr>
        <w:t>cf-art-125-par-1</w:t>
      </w:r>
    </w:p>
    <w:p>
      <w:pPr>
        <w:ind w:left="288"/>
      </w:pPr>
      <w:r>
        <w:rPr>
          <w:color w:val="1E1E1E"/>
          <w:sz w:val="18"/>
        </w:rPr>
        <w:t>Compete à Justiça estadual, em ambas as instâncias, processar e julgar as causas em que for parte o Banco do Brasil S.A.</w:t>
      </w:r>
    </w:p>
    <w:p>
      <w:pPr>
        <w:ind w:left="288"/>
      </w:pPr>
      <w:r>
        <w:rPr>
          <w:b/>
          <w:color w:val="003CA0"/>
          <w:sz w:val="16"/>
        </w:rPr>
        <w:t>[Súmula 508.]</w:t>
      </w:r>
    </w:p>
    <w:p>
      <w:pPr>
        <w:ind w:left="144"/>
      </w:pPr>
      <w:r>
        <w:rPr>
          <w:b/>
          <w:color w:val="B45A00"/>
          <w:sz w:val="16"/>
        </w:rPr>
        <w:t>CONTROLE CONCENTRADO</w:t>
      </w:r>
    </w:p>
    <w:p>
      <w:pPr>
        <w:ind w:left="288"/>
      </w:pPr>
      <w:r>
        <w:rPr>
          <w:color w:val="8C8C8C"/>
          <w:sz w:val="12"/>
        </w:rPr>
        <w:t>cf-art-125-par-1</w:t>
      </w:r>
      <w:r>
        <w:rPr>
          <w:color w:val="003CA0"/>
          <w:sz w:val="12"/>
        </w:rPr>
        <w:t xml:space="preserve"> | ADI 3.294</w:t>
      </w:r>
      <w:r>
        <w:rPr>
          <w:color w:val="003CA0"/>
          <w:sz w:val="12"/>
        </w:rPr>
        <w:t xml:space="preserve"> | rel. Dias Toffoli</w:t>
      </w:r>
    </w:p>
    <w:p>
      <w:pPr>
        <w:ind w:left="288"/>
      </w:pPr>
      <w:r>
        <w:rPr>
          <w:color w:val="1E1E1E"/>
          <w:sz w:val="18"/>
        </w:rPr>
        <w:t xml:space="preserve">É possível extrair do art. 125 da Constituição a faculdade atribuída aos estados-membros de fixarem o elenco de autoridades que devem ser processadas originalmente nos respectivos tribunais de justiça. As hipóteses de foro por prerrogativa de função já previstas na Carta Federal – as quais asseguram a alguns agentes políticos o julgamento por tribunal de justiça, tais como, o prefeito municipal (art. 29, X), os juízes estaduais e os membros do ministério público (art. 96, III) – não são taxativas, de modo que o constituinte estadual está legitimado a fixar outras hipóteses. (...) Os ocupantes </w:t>
      </w:r>
    </w:p>
    <w:p>
      <w:pPr>
        <w:ind w:left="288"/>
      </w:pPr>
      <w:r>
        <w:rPr>
          <w:b/>
          <w:color w:val="003CA0"/>
          <w:sz w:val="16"/>
        </w:rPr>
        <w:t>[ADI 3.294, rel. min. Dias Toffoli, j. 22-3-2021, P, DJE de 26-5-2021.]</w:t>
      </w:r>
    </w:p>
    <w:p>
      <w:pPr>
        <w:ind w:left="288"/>
      </w:pPr>
      <w:r>
        <w:rPr>
          <w:color w:val="8C8C8C"/>
          <w:sz w:val="12"/>
        </w:rPr>
        <w:t>cf-art-125-par-1</w:t>
      </w:r>
      <w:r>
        <w:rPr>
          <w:color w:val="003CA0"/>
          <w:sz w:val="12"/>
        </w:rPr>
        <w:t xml:space="preserve"> | ADI 5.681</w:t>
      </w:r>
    </w:p>
    <w:p>
      <w:pPr>
        <w:ind w:left="288"/>
      </w:pPr>
      <w:r>
        <w:rPr>
          <w:color w:val="1E1E1E"/>
          <w:sz w:val="18"/>
        </w:rPr>
        <w:t>Ação direta de inconstitucionalidade. Resolução n. 14/2008 do Tribunal de Justiça do Espírito Santo. Desanexação de serventias extrajudiciais por resolução do tribunal de justiça. Descumprimento da exigência constitucional de lei formal. Disciplina sobre organização judiciária. Al d do inc. II do art. 96 e § 1º do art. 125 da Constituição da República. Ação julgada procedente. Modulação dos efeitos do julgado.</w:t>
      </w:r>
    </w:p>
    <w:p>
      <w:pPr>
        <w:ind w:left="288"/>
      </w:pPr>
      <w:r>
        <w:rPr>
          <w:b/>
          <w:color w:val="003CA0"/>
          <w:sz w:val="16"/>
        </w:rPr>
        <w:t>[ADI 5.681, rel.. min. Cármen Lúcia, j. 23-11-2020, P, DJE de 3-12-2020.]</w:t>
      </w:r>
    </w:p>
    <w:p>
      <w:pPr>
        <w:ind w:left="288"/>
      </w:pPr>
      <w:r>
        <w:rPr>
          <w:color w:val="8C8C8C"/>
          <w:sz w:val="12"/>
        </w:rPr>
        <w:t>cf-art-125-par-1</w:t>
      </w:r>
      <w:r>
        <w:rPr>
          <w:color w:val="003CA0"/>
          <w:sz w:val="12"/>
        </w:rPr>
        <w:t xml:space="preserve"> | ADI 2.553</w:t>
      </w:r>
      <w:r>
        <w:rPr>
          <w:color w:val="003CA0"/>
          <w:sz w:val="12"/>
        </w:rPr>
        <w:t xml:space="preserve"> | rel. Alexandre de Moraes</w:t>
      </w:r>
    </w:p>
    <w:p>
      <w:pPr>
        <w:ind w:left="288"/>
      </w:pPr>
      <w:r>
        <w:rPr>
          <w:color w:val="1E1E1E"/>
          <w:sz w:val="18"/>
        </w:rPr>
        <w:t>Competência por prerrogativa de função. Constituição Estadual que estende foro criminal por prerrogativa de função a procuradores de estado, procuradores da assembleia legislativa, defensores públicos e delegados de polícia. impossibilidade de extensão das hipóteses defendidas pelo legislador Constituinte Federal. (...) Impossibilidade de a Constituição Estadual, de forma discricionária, estender o chamado foro por prerrogativa de função Impossibilidade de a Constituição Estadual, de forma discricionária, estender o chamado foro por prerrogativa de função.</w:t>
      </w:r>
    </w:p>
    <w:p>
      <w:pPr>
        <w:ind w:left="288"/>
      </w:pPr>
      <w:r>
        <w:rPr>
          <w:b/>
          <w:color w:val="003CA0"/>
          <w:sz w:val="16"/>
        </w:rPr>
        <w:t>[ADI 2.553, rel. min. Alexandre de Moraes, j. 15.5.2019, P, DJE de 17.8.2020.]</w:t>
      </w:r>
    </w:p>
    <w:p>
      <w:pPr>
        <w:ind w:left="288"/>
      </w:pPr>
      <w:r>
        <w:rPr>
          <w:color w:val="8C8C8C"/>
          <w:sz w:val="12"/>
        </w:rPr>
        <w:t>cf-art-125-par-1</w:t>
      </w:r>
      <w:r>
        <w:rPr>
          <w:color w:val="003CA0"/>
          <w:sz w:val="12"/>
        </w:rPr>
        <w:t xml:space="preserve"> | ADI 5.326</w:t>
      </w:r>
      <w:r>
        <w:rPr>
          <w:color w:val="003CA0"/>
          <w:sz w:val="12"/>
        </w:rPr>
        <w:t xml:space="preserve"> | rel. Marco Aurélio</w:t>
      </w:r>
    </w:p>
    <w:p>
      <w:pPr>
        <w:ind w:left="288"/>
      </w:pPr>
      <w:r>
        <w:rPr>
          <w:color w:val="1E1E1E"/>
          <w:sz w:val="18"/>
        </w:rPr>
        <w:t>Ausente controvérsia a envolver relação de trabalho, compete ao Juízo da Infância e da Juventude, inserido no âmbito da Justiça Comum, apreciar, no campo da jurisdição voluntária, pedido de autorização visando a participação de crianças e adolescentes em eventos de caráter artístico.</w:t>
        <w:br/>
        <w:t>[ADI 5.326 MC, rel. min. Marco Aurélio, j. 27-9-2018, P, DJE de 20-3-2020.] É inconstitucional disposição que atribui iniciativa do governador para lei de organização judiciária.</w:t>
      </w:r>
    </w:p>
    <w:p>
      <w:pPr>
        <w:ind w:left="288"/>
      </w:pPr>
      <w:r>
        <w:rPr>
          <w:b/>
          <w:color w:val="003CA0"/>
          <w:sz w:val="16"/>
        </w:rPr>
        <w:t>[ADI 197, rel. min. Gilmar Mendes, j. 3-4-2014, P, DJE de 22-5-2014.]</w:t>
      </w:r>
    </w:p>
    <w:p>
      <w:pPr>
        <w:ind w:left="288"/>
      </w:pPr>
      <w:r>
        <w:rPr>
          <w:color w:val="8C8C8C"/>
          <w:sz w:val="12"/>
        </w:rPr>
        <w:t>cf-art-125-par-1</w:t>
      </w:r>
      <w:r>
        <w:rPr>
          <w:color w:val="003CA0"/>
          <w:sz w:val="12"/>
        </w:rPr>
        <w:t xml:space="preserve"> | ADC 19</w:t>
      </w:r>
      <w:r>
        <w:rPr>
          <w:color w:val="003CA0"/>
          <w:sz w:val="12"/>
        </w:rPr>
        <w:t xml:space="preserve"> | rel. Marco Aurélio</w:t>
      </w:r>
    </w:p>
    <w:p>
      <w:pPr>
        <w:ind w:left="288"/>
      </w:pPr>
      <w:r>
        <w:rPr>
          <w:color w:val="1E1E1E"/>
          <w:sz w:val="18"/>
        </w:rPr>
        <w:t>O art. 33 da Lei 11.340/2006, no que revela a conveniência de criação dos juizados de violência doméstica e familiar contra a mulher, não implica usurpação da competência normativa dos Estados quanto à própria organização judiciária.</w:t>
      </w:r>
    </w:p>
    <w:p>
      <w:pPr>
        <w:ind w:left="288"/>
      </w:pPr>
      <w:r>
        <w:rPr>
          <w:b/>
          <w:color w:val="003CA0"/>
          <w:sz w:val="16"/>
        </w:rPr>
        <w:t>[ADC 19, rel. min. Marco Aurélio, j. 9-2-2012, P, DJE de 29-4-2014.]</w:t>
      </w:r>
    </w:p>
    <w:p>
      <w:pPr>
        <w:ind w:left="288"/>
      </w:pPr>
      <w:r>
        <w:rPr>
          <w:color w:val="8C8C8C"/>
          <w:sz w:val="12"/>
        </w:rPr>
        <w:t>cf-art-125-par-1</w:t>
      </w:r>
      <w:r>
        <w:rPr>
          <w:color w:val="003CA0"/>
          <w:sz w:val="12"/>
        </w:rPr>
        <w:t xml:space="preserve"> | ADI 2.415</w:t>
      </w:r>
      <w:r>
        <w:rPr>
          <w:color w:val="003CA0"/>
          <w:sz w:val="12"/>
        </w:rPr>
        <w:t xml:space="preserve"> | rel. Ayres Britto</w:t>
      </w:r>
    </w:p>
    <w:p>
      <w:pPr>
        <w:ind w:left="288"/>
      </w:pPr>
      <w:r>
        <w:rPr>
          <w:color w:val="1E1E1E"/>
          <w:sz w:val="18"/>
        </w:rPr>
        <w:t>As serventias extrajudiciais se compõem de um feixe de competências públicas, embora exercidas em regime de delegação a pessoa privada. Competências que fazem de tais serventias uma instância de formalização de atos de criação, preservação, modificação, transformação e extinção de direitos e obrigações. Se esse feixe de competências públicas investe as serventias extrajudiciais em parcela do poder estatal idônea à colocação de terceiros numa condição de servil acatamento, a modificação dessas competências estatais (criação, extinção, acumulação e desacumulação de unidades) somente é de ser rea</w:t>
      </w:r>
    </w:p>
    <w:p>
      <w:pPr>
        <w:ind w:left="288"/>
      </w:pPr>
      <w:r>
        <w:rPr>
          <w:b/>
          <w:color w:val="003CA0"/>
          <w:sz w:val="16"/>
        </w:rPr>
        <w:t>[ADI 2.415, rel. min. Ayres Britto, j. 10-11-2011, P, DJE de 9-2-2012.]</w:t>
      </w:r>
    </w:p>
    <w:p>
      <w:pPr>
        <w:ind w:left="288"/>
      </w:pPr>
      <w:r>
        <w:rPr>
          <w:color w:val="8C8C8C"/>
          <w:sz w:val="12"/>
        </w:rPr>
        <w:t>cf-art-125-par-1</w:t>
      </w:r>
      <w:r>
        <w:rPr>
          <w:color w:val="003CA0"/>
          <w:sz w:val="12"/>
        </w:rPr>
        <w:t xml:space="preserve"> | ADI 4.657</w:t>
      </w:r>
      <w:r>
        <w:rPr>
          <w:color w:val="003CA0"/>
          <w:sz w:val="12"/>
        </w:rPr>
        <w:t xml:space="preserve"> | rel. Marco Aurélio</w:t>
      </w:r>
    </w:p>
    <w:p>
      <w:pPr>
        <w:ind w:left="288"/>
      </w:pPr>
      <w:r>
        <w:rPr>
          <w:color w:val="1E1E1E"/>
          <w:sz w:val="18"/>
        </w:rPr>
        <w:t>= ADI 4.657 MC, rel. min. Marco Aurélio, j. 29-2-2012, P, DJE de 25-4-2012 Vide ADI 4.453 MC, rel. min. Cármen Lúcia, j. 29-6-2011, P, DJE de 24-8-2011 Vide ADI 4.140, rel. min. Ellen Gracie, j. 27-11-2008, P, DJE de 20-9-2009 Medida cautelar em ação direta de inconstitucionalidade. Resolução 291/2010 do Tribunal de Justiça de Pernambuco. (...) Plausível é a alegação de que a transformação de serventias extrajudiciais depende de edição de lei formal de iniciativa privativa do Poder Judiciário.</w:t>
      </w:r>
    </w:p>
    <w:p>
      <w:pPr>
        <w:ind w:left="288"/>
      </w:pPr>
      <w:r>
        <w:rPr>
          <w:b/>
          <w:color w:val="003CA0"/>
          <w:sz w:val="16"/>
        </w:rPr>
        <w:t>[ADI 4.453 MC, rel. min. Cármen Lúcia, j. 29-6-2011, P, DJE de 24-8-2011.]</w:t>
      </w:r>
    </w:p>
    <w:p>
      <w:pPr>
        <w:ind w:left="288"/>
      </w:pPr>
      <w:r>
        <w:rPr>
          <w:color w:val="8C8C8C"/>
          <w:sz w:val="12"/>
        </w:rPr>
        <w:t>cf-art-125-par-1</w:t>
      </w:r>
      <w:r>
        <w:rPr>
          <w:color w:val="003CA0"/>
          <w:sz w:val="12"/>
        </w:rPr>
        <w:t xml:space="preserve"> | ADI 2.415</w:t>
      </w:r>
      <w:r>
        <w:rPr>
          <w:color w:val="003CA0"/>
          <w:sz w:val="12"/>
        </w:rPr>
        <w:t xml:space="preserve"> | rel. Ayres Britto</w:t>
      </w:r>
    </w:p>
    <w:p>
      <w:pPr>
        <w:ind w:left="288"/>
      </w:pPr>
      <w:r>
        <w:rPr>
          <w:color w:val="1E1E1E"/>
          <w:sz w:val="18"/>
        </w:rPr>
        <w:t>Vide ADI 2.415, rel. min. Ayres Britto, j. 10-11-2011, P, DJE de 9-2-2012 Compete à Constituição do Estado definir as atribuições do tribunal de justiça, nos termos do art. 125, § 1º, da Constituição da República. Essa competência não pode ser transferida ao legislador infraconstitucional. Ação julgada procedente para excluir da norma do art. 108, VII, b, da Constituição do Ceará a expressão "e de quaisquer outras autoridades a estas equiparadas na forma da lei".</w:t>
      </w:r>
    </w:p>
    <w:p>
      <w:pPr>
        <w:ind w:left="288"/>
      </w:pPr>
      <w:r>
        <w:rPr>
          <w:b/>
          <w:color w:val="003CA0"/>
          <w:sz w:val="16"/>
        </w:rPr>
        <w:t>[ADI 3.140, rel. min. Cármen Lúcia, j. 10-5-2007, P, DJ de 29-6-2007.]</w:t>
      </w:r>
    </w:p>
    <w:p>
      <w:pPr>
        <w:ind w:left="288"/>
      </w:pPr>
      <w:r>
        <w:rPr>
          <w:color w:val="8C8C8C"/>
          <w:sz w:val="12"/>
        </w:rPr>
        <w:t>cf-art-125-par-1</w:t>
      </w:r>
      <w:r>
        <w:rPr>
          <w:color w:val="003CA0"/>
          <w:sz w:val="12"/>
        </w:rPr>
        <w:t xml:space="preserve"> | HC 103.803</w:t>
      </w:r>
      <w:r>
        <w:rPr>
          <w:color w:val="003CA0"/>
          <w:sz w:val="12"/>
        </w:rPr>
        <w:t xml:space="preserve"> | rel. Teori Zavascki</w:t>
      </w:r>
    </w:p>
    <w:p>
      <w:pPr>
        <w:ind w:left="288"/>
      </w:pPr>
      <w:r>
        <w:rPr>
          <w:color w:val="1E1E1E"/>
          <w:sz w:val="18"/>
        </w:rPr>
        <w:t>= HC 103.803, rel. min. Teori Zavascki, j. 1º-7-2014, P, DJE de 6-10-2014</w:t>
      </w:r>
    </w:p>
    <w:p>
      <w:pPr>
        <w:ind w:left="144"/>
      </w:pPr>
      <w:r>
        <w:rPr>
          <w:b/>
          <w:color w:val="B45A00"/>
          <w:sz w:val="16"/>
        </w:rPr>
        <w:t>REPERCUSSAO GERAL</w:t>
      </w:r>
    </w:p>
    <w:p>
      <w:pPr>
        <w:ind w:left="288"/>
      </w:pPr>
      <w:r>
        <w:rPr>
          <w:color w:val="8C8C8C"/>
          <w:sz w:val="12"/>
        </w:rPr>
        <w:t>cf-art-125-par-1</w:t>
      </w:r>
      <w:r>
        <w:rPr>
          <w:color w:val="003CA0"/>
          <w:sz w:val="12"/>
        </w:rPr>
        <w:t xml:space="preserve"> | RE 606.003</w:t>
      </w:r>
    </w:p>
    <w:p>
      <w:pPr>
        <w:ind w:left="288"/>
      </w:pPr>
      <w:r>
        <w:rPr>
          <w:color w:val="1E1E1E"/>
          <w:sz w:val="18"/>
        </w:rPr>
        <w:t>Preenchidos os requisitos dispostos na Lei 4.886/65, compete à Justiça Comum o julgamento de processos envolvendo relação jurídica entre representante e representada comerciais, uma vez que não há relação de trabalho entre as partes.</w:t>
      </w:r>
    </w:p>
    <w:p>
      <w:pPr>
        <w:ind w:left="288"/>
      </w:pPr>
      <w:r>
        <w:rPr>
          <w:b/>
          <w:color w:val="003CA0"/>
          <w:sz w:val="16"/>
        </w:rPr>
        <w:t>[RE 606.003, red. do ac. min. Roberto Barroso, j. 28-9-2020, P, DJE de 14-10-2020, Tema 550, com mérito julgado.]</w:t>
      </w:r>
    </w:p>
    <w:p>
      <w:pPr>
        <w:ind w:left="288"/>
      </w:pPr>
      <w:r>
        <w:rPr>
          <w:color w:val="8C8C8C"/>
          <w:sz w:val="12"/>
        </w:rPr>
        <w:t>cf-art-125-par-1</w:t>
      </w:r>
      <w:r>
        <w:rPr>
          <w:color w:val="003CA0"/>
          <w:sz w:val="12"/>
        </w:rPr>
        <w:t xml:space="preserve"> | RE 1.265.549</w:t>
      </w:r>
      <w:r>
        <w:rPr>
          <w:color w:val="003CA0"/>
          <w:sz w:val="12"/>
        </w:rPr>
        <w:t xml:space="preserve"> | rel. Dias Toffoli</w:t>
      </w:r>
    </w:p>
    <w:p>
      <w:pPr>
        <w:ind w:left="288"/>
      </w:pPr>
      <w:r>
        <w:rPr>
          <w:color w:val="1E1E1E"/>
          <w:sz w:val="18"/>
        </w:rPr>
        <w:t>Compete à Justiça comum processar e julgar causas sobre complementação de aposentadoria instituída por lei cujo pagamento seja, originariamente ou por sucessão, da responsabilidade da Administração Pública direta ou indireta, por derivar essa responsabilidade de relação jurídico-administrativa.</w:t>
        <w:br/>
        <w:t>[RE 1.265.549, rel. min. Dias Toffoli, j. 4-6-2020, P, DJE de 19-6-2020, Tema 1.092, com mérito julgado e reafirmação de jurisprudência.] Compete à Justiça comum o julgamento de conflito a envolver a incidência de contribuição previdenciária sobre complementação de proventos de aposentadoria.</w:t>
      </w:r>
    </w:p>
    <w:p>
      <w:pPr>
        <w:ind w:left="288"/>
      </w:pPr>
      <w:r>
        <w:rPr>
          <w:b/>
          <w:color w:val="003CA0"/>
          <w:sz w:val="16"/>
        </w:rPr>
        <w:t>[RE 594.435, rel. min. Marco Aurélio, j. 24-5-2018, P, DJE de 3-9-2018, Tema 149, com mérito julgado.]</w:t>
      </w:r>
    </w:p>
    <w:p>
      <w:pPr>
        <w:ind w:left="288"/>
      </w:pPr>
      <w:r>
        <w:rPr>
          <w:color w:val="8C8C8C"/>
          <w:sz w:val="12"/>
        </w:rPr>
        <w:t>cf-art-125-par-1</w:t>
      </w:r>
      <w:r>
        <w:rPr>
          <w:color w:val="003CA0"/>
          <w:sz w:val="12"/>
        </w:rPr>
        <w:t xml:space="preserve"> | RE 586.453</w:t>
      </w:r>
    </w:p>
    <w:p>
      <w:pPr>
        <w:ind w:left="288"/>
      </w:pPr>
      <w:r>
        <w:rPr>
          <w:color w:val="1E1E1E"/>
          <w:sz w:val="18"/>
        </w:rPr>
        <w:t>Essa definição de competência da Justiça comum ou do Trabalho para julgar causas que tratem da complementação de aposentadoria paga por entidade fechada de previdência privada tem gerado grandes divergências na jurisprudência deste Supremo Tribunal. (...) No presente caso, a complementação de aposentadoria teve como origem um contrato de trabalho já extinto.(...) compete à Justiça comum o julgamento da presente causa, tendo em vista a inexistência de relação trabalhista entre o beneficiário e a entidade fechada de previdência complementar. O surgimento de eventual controvérsia terá natureza cí</w:t>
      </w:r>
    </w:p>
    <w:p>
      <w:pPr>
        <w:ind w:left="288"/>
      </w:pPr>
      <w:r>
        <w:rPr>
          <w:b/>
          <w:color w:val="003CA0"/>
          <w:sz w:val="16"/>
        </w:rPr>
        <w:t>[RE 586.453, red. do ac. min. Dias Toffoli, voto da min. Ellen Gracie, j. 20-2-2013, P, DJE de 6-6-2013, Tema 190, com mérito julgado.]</w:t>
      </w:r>
    </w:p>
    <w:p>
      <w:pPr>
        <w:ind w:left="288"/>
      </w:pPr>
      <w:r>
        <w:rPr>
          <w:color w:val="8C8C8C"/>
          <w:sz w:val="12"/>
        </w:rPr>
        <w:t>cf-art-125-par-1</w:t>
      </w:r>
      <w:r>
        <w:rPr>
          <w:color w:val="003CA0"/>
          <w:sz w:val="12"/>
        </w:rPr>
        <w:t xml:space="preserve"> | RE 571.572</w:t>
      </w:r>
      <w:r>
        <w:rPr>
          <w:color w:val="003CA0"/>
          <w:sz w:val="12"/>
        </w:rPr>
        <w:t xml:space="preserve"> | rel. Gilmar Mendes</w:t>
      </w:r>
    </w:p>
    <w:p>
      <w:pPr>
        <w:ind w:left="288"/>
      </w:pPr>
      <w:r>
        <w:rPr>
          <w:color w:val="1E1E1E"/>
          <w:sz w:val="18"/>
        </w:rPr>
        <w:t>Telefonia. Cobrança de pulsos além da franquia. (...) Por não figurar na relação jurídica de consumo, a Agência Nacional de Telecomunicações (ANATEL) carece de legitimidade para compor o polo passivo de ação movida pelo particular, usuário do serviço de telefonia móvel, contra a concessionária. Ausente participação da autarquia federal, sob qualquer das hipóteses previstas no art. 109, I, da Constituição, a competência é da Justiça estadual. Em se tratando de demanda que se resolve pela análise de matéria exclusivamente de direito, a dispensar instrução complexa, cabível seu processamento no j</w:t>
      </w:r>
    </w:p>
    <w:p>
      <w:pPr>
        <w:ind w:left="288"/>
      </w:pPr>
      <w:r>
        <w:rPr>
          <w:b/>
          <w:color w:val="003CA0"/>
          <w:sz w:val="16"/>
        </w:rPr>
        <w:t>[RE 571.572, rel. min. Gilmar Mendes, j. 8-10-2008, P, DJE de 13-2-2009, Tema 17, com mérito julgado.]</w:t>
      </w:r>
    </w:p>
    <w:p>
      <w:pPr>
        <w:ind w:left="144"/>
      </w:pPr>
      <w:r>
        <w:rPr>
          <w:b/>
          <w:color w:val="B45A00"/>
          <w:sz w:val="16"/>
        </w:rPr>
        <w:t>JULGADOS CORRELATOS</w:t>
      </w:r>
    </w:p>
    <w:p>
      <w:pPr>
        <w:ind w:left="288"/>
      </w:pPr>
      <w:r>
        <w:rPr>
          <w:color w:val="8C8C8C"/>
          <w:sz w:val="12"/>
        </w:rPr>
        <w:t>cf-art-125-par-1</w:t>
      </w:r>
      <w:r>
        <w:rPr>
          <w:color w:val="003CA0"/>
          <w:sz w:val="12"/>
        </w:rPr>
        <w:t xml:space="preserve"> | ADC 48</w:t>
      </w:r>
    </w:p>
    <w:p>
      <w:pPr>
        <w:ind w:left="288"/>
      </w:pPr>
      <w:r>
        <w:rPr>
          <w:color w:val="1E1E1E"/>
          <w:sz w:val="18"/>
        </w:rPr>
        <w:t>No julgamento da ADC 48, o Ministro Relator Roberto Barroso consignou em seu voto que a Lei 11.442/2007 disciplina, entre outras questões, a relação comercial, de natureza civil, existente entre os agentes do setor, permitindo a contratação de autônomos para a realização do Transporte Rodoviário de Cargas (TRC) sem a configuração de vínculo de emprego. As relações envolvendo a incidência da Lei 11.442/2007 possuem natureza jurídica comercial, motivo pelo qual devem ser analisadas pela justiça comum, e não pela justiça do trabalho, ainda que em discussão alegação de fraude à legislação trabalhi</w:t>
      </w:r>
    </w:p>
    <w:p>
      <w:pPr>
        <w:ind w:left="288"/>
      </w:pPr>
      <w:r>
        <w:rPr>
          <w:b/>
          <w:color w:val="003CA0"/>
          <w:sz w:val="16"/>
        </w:rPr>
        <w:t>[Rcl 48.944 AgR, red. do ac. min. Alexandre de Moraes, j. 6-12-2021, 1ª T, DJE de 10-3-2022.]</w:t>
      </w:r>
    </w:p>
    <w:p>
      <w:pPr>
        <w:ind w:left="288"/>
      </w:pPr>
      <w:r>
        <w:rPr>
          <w:color w:val="8C8C8C"/>
          <w:sz w:val="12"/>
        </w:rPr>
        <w:t>cf-art-125-par-1</w:t>
      </w:r>
      <w:r>
        <w:rPr>
          <w:color w:val="003CA0"/>
          <w:sz w:val="12"/>
        </w:rPr>
        <w:t xml:space="preserve"> | MS 32.865</w:t>
      </w:r>
      <w:r>
        <w:rPr>
          <w:color w:val="003CA0"/>
          <w:sz w:val="12"/>
        </w:rPr>
        <w:t xml:space="preserve"> | rel. Celso de Mello</w:t>
      </w:r>
    </w:p>
    <w:p>
      <w:pPr>
        <w:ind w:left="288"/>
      </w:pPr>
      <w:r>
        <w:rPr>
          <w:color w:val="1E1E1E"/>
          <w:sz w:val="18"/>
        </w:rPr>
        <w:t>(...) a alegação dos impetrantes, fundada em substanciosas razões de ordem constitucional, de que a deliberação do CNJ, proferida no PCA [Procedimento de Controle Administrativo] (...), instaurado por iniciativa do Conselho Seccional da OAB/RJ, teria transgredido a autonomia institucional do e. Tribunal de Justiça do Rio de Janeiro (CF, arts. 96 e 99) e vulnerado a competência legislativa estadual para dispor sobre organização judiciária do Estado-membro (CF, art. 125, § 1º). (...) o CNJ, não obstante a sua condição de órgão central do sistema judiciário de controle interno da atividade admini</w:t>
      </w:r>
    </w:p>
    <w:p>
      <w:pPr>
        <w:ind w:left="288"/>
      </w:pPr>
      <w:r>
        <w:rPr>
          <w:b/>
          <w:color w:val="003CA0"/>
          <w:sz w:val="16"/>
        </w:rPr>
        <w:t>[MS 32.865 MC, rel. min. Celso de Mello, j. 2-6-2014, dec. monocrática, DJE de 5-6-2014.]</w:t>
      </w:r>
    </w:p>
    <w:p>
      <w:pPr>
        <w:ind w:left="288"/>
      </w:pPr>
      <w:r>
        <w:rPr>
          <w:color w:val="8C8C8C"/>
          <w:sz w:val="12"/>
        </w:rPr>
        <w:t>cf-art-125-par-1</w:t>
      </w:r>
      <w:r>
        <w:rPr>
          <w:color w:val="003CA0"/>
          <w:sz w:val="12"/>
        </w:rPr>
        <w:t xml:space="preserve"> | HC 121.283</w:t>
      </w:r>
      <w:r>
        <w:rPr>
          <w:color w:val="003CA0"/>
          <w:sz w:val="12"/>
        </w:rPr>
        <w:t xml:space="preserve"> | rel. Roberto Barroso</w:t>
      </w:r>
    </w:p>
    <w:p>
      <w:pPr>
        <w:ind w:left="288"/>
      </w:pPr>
      <w:r>
        <w:rPr>
          <w:color w:val="1E1E1E"/>
          <w:sz w:val="18"/>
        </w:rPr>
        <w:t>É da Justiça estadual a competência para processar e julgar o crime de incitação à discriminação racial por meio da internet cometido contra pessoas determinadas e cujo resultado não ultrapassou as fronteiras territoriais brasileiras.</w:t>
      </w:r>
    </w:p>
    <w:p>
      <w:pPr>
        <w:ind w:left="288"/>
      </w:pPr>
      <w:r>
        <w:rPr>
          <w:b/>
          <w:color w:val="003CA0"/>
          <w:sz w:val="16"/>
        </w:rPr>
        <w:t>[HC 121.283, rel. min. Roberto Barroso, j. 29-4-2014, 1ª T, DJE de 14-5-2014.]</w:t>
      </w:r>
    </w:p>
    <w:p>
      <w:pPr>
        <w:ind w:left="288"/>
      </w:pPr>
      <w:r>
        <w:rPr>
          <w:color w:val="8C8C8C"/>
          <w:sz w:val="12"/>
        </w:rPr>
        <w:t>cf-art-125-par-1</w:t>
      </w:r>
      <w:r>
        <w:rPr>
          <w:color w:val="003CA0"/>
          <w:sz w:val="12"/>
        </w:rPr>
        <w:t xml:space="preserve"> | RE 232.982</w:t>
      </w:r>
      <w:r>
        <w:rPr>
          <w:color w:val="003CA0"/>
          <w:sz w:val="12"/>
        </w:rPr>
        <w:t xml:space="preserve"> | rel. Joaquim Barbosa</w:t>
      </w:r>
    </w:p>
    <w:p>
      <w:pPr>
        <w:ind w:left="288"/>
      </w:pPr>
      <w:r>
        <w:rPr>
          <w:color w:val="1E1E1E"/>
          <w:sz w:val="18"/>
        </w:rPr>
        <w:t>As duas Turmas desta Corte, analisando recursos da ora agravante, concluíram ser da competência da Justiça comum o julgamento do mandado de segurança que alega estabilidade prevista no art. 19 do ADCT. Precedentes: RE 232.982 AgR; AI 239.048 AgR; entre outros.</w:t>
      </w:r>
    </w:p>
    <w:p>
      <w:pPr>
        <w:ind w:left="288"/>
      </w:pPr>
      <w:r>
        <w:rPr>
          <w:b/>
          <w:color w:val="003CA0"/>
          <w:sz w:val="16"/>
        </w:rPr>
        <w:t>[RE 235.011 AgR, rel. min. Joaquim Barbosa, j. 14-9-2010, 2ª T, DJE de 8-10-2010.]</w:t>
      </w:r>
    </w:p>
    <w:p>
      <w:pPr>
        <w:ind w:left="288"/>
      </w:pPr>
      <w:r>
        <w:rPr>
          <w:color w:val="8C8C8C"/>
          <w:sz w:val="12"/>
        </w:rPr>
        <w:t>cf-art-125-par-1</w:t>
      </w:r>
      <w:r>
        <w:rPr>
          <w:color w:val="003CA0"/>
          <w:sz w:val="12"/>
        </w:rPr>
        <w:t xml:space="preserve"> | RE 464.935</w:t>
      </w:r>
      <w:r>
        <w:rPr>
          <w:color w:val="003CA0"/>
          <w:sz w:val="12"/>
        </w:rPr>
        <w:t xml:space="preserve"> | rel. Cezar Peluso</w:t>
      </w:r>
    </w:p>
    <w:p>
      <w:pPr>
        <w:ind w:left="288"/>
      </w:pPr>
      <w:r>
        <w:rPr>
          <w:color w:val="1E1E1E"/>
          <w:sz w:val="18"/>
        </w:rPr>
        <w:t>Competência criminal. (...) Inteligência dos arts. 22, I, e 125, § 1º, da CF. Não afronta a Constituição da República a norma de Constituição estadual que, disciplinando competência originária do tribunal de justiça, lhe atribui para processar e julgar vereador.</w:t>
      </w:r>
    </w:p>
    <w:p>
      <w:pPr>
        <w:ind w:left="288"/>
      </w:pPr>
      <w:r>
        <w:rPr>
          <w:b/>
          <w:color w:val="003CA0"/>
          <w:sz w:val="16"/>
        </w:rPr>
        <w:t>[RE 464.935, rel. min. Cezar Peluso, j. 3-6-2008, 2ª T, DJE de 27-6-2008.]</w:t>
      </w:r>
    </w:p>
    <w:p>
      <w:pPr>
        <w:ind w:left="288"/>
      </w:pPr>
      <w:r>
        <w:rPr>
          <w:color w:val="8C8C8C"/>
          <w:sz w:val="12"/>
        </w:rPr>
        <w:t>cf-art-125-par-1</w:t>
      </w:r>
      <w:r>
        <w:rPr>
          <w:color w:val="003CA0"/>
          <w:sz w:val="12"/>
        </w:rPr>
        <w:t xml:space="preserve"> | RE 237.098</w:t>
      </w:r>
      <w:r>
        <w:rPr>
          <w:color w:val="003CA0"/>
          <w:sz w:val="12"/>
        </w:rPr>
        <w:t xml:space="preserve"> | rel. Ilmar Galvão</w:t>
      </w:r>
    </w:p>
    <w:p>
      <w:pPr>
        <w:ind w:left="288"/>
      </w:pPr>
      <w:r>
        <w:rPr>
          <w:color w:val="1E1E1E"/>
          <w:sz w:val="18"/>
        </w:rPr>
        <w:t>A jurisprudência do STF já se firmou no sentido de que compete à Justiça comum dirimir demanda proposta por antigos ferroviários e pensionistas de empresas incorporadas à Fepasa [Ferrovia Paulista S.A.], buscando a retificação do cálculo de seus proventos ou pensões.</w:t>
      </w:r>
    </w:p>
    <w:p>
      <w:pPr>
        <w:ind w:left="288"/>
      </w:pPr>
      <w:r>
        <w:rPr>
          <w:b/>
          <w:color w:val="003CA0"/>
          <w:sz w:val="16"/>
        </w:rPr>
        <w:t>[RE 237.098 AgR, rel. min. Ilmar Galvão, j. 7-5-2002, 1ª T, DJ de 2-8-2002.]</w:t>
      </w:r>
    </w:p>
    <w:p>
      <w:pPr>
        <w:ind w:left="288"/>
      </w:pPr>
      <w:r>
        <w:rPr>
          <w:color w:val="8C8C8C"/>
          <w:sz w:val="12"/>
        </w:rPr>
        <w:t>cf-art-125-par-1</w:t>
      </w:r>
      <w:r>
        <w:rPr>
          <w:color w:val="003CA0"/>
          <w:sz w:val="12"/>
        </w:rPr>
        <w:t xml:space="preserve"> | RCL 4.803</w:t>
      </w:r>
      <w:r>
        <w:rPr>
          <w:color w:val="003CA0"/>
          <w:sz w:val="12"/>
        </w:rPr>
        <w:t xml:space="preserve"> | rel. Dias Toffoli</w:t>
      </w:r>
    </w:p>
    <w:p>
      <w:pPr>
        <w:ind w:left="288"/>
      </w:pPr>
      <w:r>
        <w:rPr>
          <w:color w:val="1E1E1E"/>
          <w:sz w:val="18"/>
        </w:rPr>
        <w:t>= Rcl 4.803, rel. min. Dias Toffoli, j. 2-6-2010, P, DJE de 22-10-2010 Vide AI 732.170 AgR, rel. min. Ricardo Lewandowski, j. 28-10-2008, 1ª T, DJE de 21-11-2008 Competência. Art. 102, I, f, da CF de 1988. Ação cível entre sociedades de economia mista da administração indireta federal e estadual. Justiça comum. Foro de eleição. Tratando-se de ação ordinária de cobrança, movida por sociedade de economia mista, integrante da administração indireta federal (Furnas – Centrais Elétricas S.A.), contra sociedade de economia mista da administração indireta estadual (Cia. Energética de São Paulo – CESP</w:t>
      </w:r>
    </w:p>
    <w:p>
      <w:pPr>
        <w:ind w:left="288"/>
      </w:pPr>
      <w:r>
        <w:rPr>
          <w:b/>
          <w:color w:val="003CA0"/>
          <w:sz w:val="16"/>
        </w:rPr>
        <w:t>[ACO 396 QO, rel. min. Sydney Sanches, j. 28-3-1990, P, DJ de 27-4-1990.]</w:t>
      </w:r>
    </w:p>
    <w:p>
      <w:pPr>
        <w:ind w:left="144"/>
      </w:pPr>
      <w:r>
        <w:rPr>
          <w:b/>
          <w:color w:val="B45A00"/>
          <w:sz w:val="16"/>
        </w:rPr>
        <w:t>CONTROLE CONCENTRADO</w:t>
      </w:r>
    </w:p>
    <w:p>
      <w:pPr>
        <w:ind w:left="288"/>
      </w:pPr>
      <w:r>
        <w:rPr>
          <w:color w:val="8C8C8C"/>
          <w:sz w:val="12"/>
        </w:rPr>
        <w:t>cf-art-125-par-2</w:t>
      </w:r>
      <w:r>
        <w:rPr>
          <w:color w:val="003CA0"/>
          <w:sz w:val="12"/>
        </w:rPr>
        <w:t xml:space="preserve"> | ADI 558</w:t>
      </w:r>
      <w:r>
        <w:rPr>
          <w:color w:val="003CA0"/>
          <w:sz w:val="12"/>
        </w:rPr>
        <w:t xml:space="preserve"> | rel. Cármen Lúcia</w:t>
      </w:r>
    </w:p>
    <w:p>
      <w:pPr>
        <w:ind w:left="288"/>
      </w:pPr>
      <w:r>
        <w:rPr>
          <w:color w:val="1E1E1E"/>
          <w:sz w:val="18"/>
        </w:rPr>
        <w:t>No § 2º do art. 125 da Constituição da República se veda seja atribuída a um único órgão a legitimidade para a representação de inconstitucionalidade de leis ou atos normativos estaduais ou municipais em face da Constituição Estadual. Os Estados detêm autonomia para ampliar os legitimados para além do previsto no art. 103 da Constituição da República. Não ofende os art. 132 e 134 da Constituição da República a atribuição ao Procurador-Geral do Estado, ao Defensor Público Geral do Estado, à Comissão Permanente da Assembleia Legislativa e aos membros da Assembleia Legislativa para ajuizarem ação</w:t>
      </w:r>
    </w:p>
    <w:p>
      <w:pPr>
        <w:ind w:left="288"/>
      </w:pPr>
      <w:r>
        <w:rPr>
          <w:b/>
          <w:color w:val="003CA0"/>
          <w:sz w:val="16"/>
        </w:rPr>
        <w:t>[ADI 558, rel. min. Cármen Lúcia, j. 19-4-2021, P, DJE de 22-9-2021.]</w:t>
      </w:r>
    </w:p>
    <w:p>
      <w:pPr>
        <w:ind w:left="288"/>
      </w:pPr>
      <w:r>
        <w:rPr>
          <w:color w:val="8C8C8C"/>
          <w:sz w:val="12"/>
        </w:rPr>
        <w:t>cf-art-125-par-2</w:t>
      </w:r>
      <w:r>
        <w:rPr>
          <w:color w:val="003CA0"/>
          <w:sz w:val="12"/>
        </w:rPr>
        <w:t xml:space="preserve"> | ADI 119</w:t>
      </w:r>
      <w:r>
        <w:rPr>
          <w:color w:val="003CA0"/>
          <w:sz w:val="12"/>
        </w:rPr>
        <w:t xml:space="preserve"> | rel. Dias Toffoli</w:t>
      </w:r>
    </w:p>
    <w:p>
      <w:pPr>
        <w:ind w:left="288"/>
      </w:pPr>
      <w:r>
        <w:rPr>
          <w:color w:val="1E1E1E"/>
          <w:sz w:val="18"/>
        </w:rPr>
        <w:t>Não é inconstitucional norma da Constituição do Estado que atribui ao procurador da assembleia legislativa ou, alternativamente, ao procurador-geral do Estado, a incumbência de defender a constitucionalidade de ato normativo estadual questionado em controle abstrato de constitucionalidade na esfera de competência do tribunal de justiça. Previsão que não afronta a CF, já que ausente o dever de simetria para com o modelo federal, que impõe apenas a pluralidade de legitimados para a propositura da ação (art. 125, § 2º, CF/1988). Ausência de ofensa ao art. 132 da Carta Política, que fixa a exclusi</w:t>
      </w:r>
    </w:p>
    <w:p>
      <w:pPr>
        <w:ind w:left="288"/>
      </w:pPr>
      <w:r>
        <w:rPr>
          <w:b/>
          <w:color w:val="003CA0"/>
          <w:sz w:val="16"/>
        </w:rPr>
        <w:t>[ADI 119, rel. min. Dias Toffoli, j. 19-2-2014, P, DJE de 28-3-2014.]</w:t>
      </w:r>
    </w:p>
    <w:p>
      <w:pPr>
        <w:ind w:left="288"/>
      </w:pPr>
      <w:r>
        <w:rPr>
          <w:color w:val="8C8C8C"/>
          <w:sz w:val="12"/>
        </w:rPr>
        <w:t>cf-art-125-par-2</w:t>
      </w:r>
      <w:r>
        <w:rPr>
          <w:color w:val="003CA0"/>
          <w:sz w:val="12"/>
        </w:rPr>
        <w:t xml:space="preserve"> | ADI 347</w:t>
      </w:r>
      <w:r>
        <w:rPr>
          <w:color w:val="003CA0"/>
          <w:sz w:val="12"/>
        </w:rPr>
        <w:t xml:space="preserve"> | rel. Joaquim Barbosa</w:t>
      </w:r>
    </w:p>
    <w:p>
      <w:pPr>
        <w:ind w:left="288"/>
      </w:pPr>
      <w:r>
        <w:rPr>
          <w:color w:val="1E1E1E"/>
          <w:sz w:val="18"/>
        </w:rPr>
        <w:t>É pacífica a jurisprudência do STF, antes e depois de 1988, no sentido de que não cabe a tribunais de justiça estaduais exercer o controle de constitucionalidade de leis e demais atos normativos municipais em face da CF.</w:t>
      </w:r>
    </w:p>
    <w:p>
      <w:pPr>
        <w:ind w:left="288"/>
      </w:pPr>
      <w:r>
        <w:rPr>
          <w:b/>
          <w:color w:val="003CA0"/>
          <w:sz w:val="16"/>
        </w:rPr>
        <w:t>[ADI 347, rel. min. Joaquim Barbosa, j. 20-10-2006, P, DJ de 20-9-2006.]</w:t>
      </w:r>
    </w:p>
    <w:p>
      <w:pPr>
        <w:ind w:left="288"/>
      </w:pPr>
      <w:r>
        <w:rPr>
          <w:color w:val="8C8C8C"/>
          <w:sz w:val="12"/>
        </w:rPr>
        <w:t>cf-art-125-par-2</w:t>
      </w:r>
      <w:r>
        <w:rPr>
          <w:color w:val="003CA0"/>
          <w:sz w:val="12"/>
        </w:rPr>
        <w:t xml:space="preserve"> | RCL 16.431</w:t>
      </w:r>
      <w:r>
        <w:rPr>
          <w:color w:val="003CA0"/>
          <w:sz w:val="12"/>
        </w:rPr>
        <w:t xml:space="preserve"> | rel. Celso de Mello</w:t>
      </w:r>
    </w:p>
    <w:p>
      <w:pPr>
        <w:ind w:left="288"/>
      </w:pPr>
      <w:r>
        <w:rPr>
          <w:color w:val="1E1E1E"/>
          <w:sz w:val="18"/>
        </w:rPr>
        <w:t>= Rcl 16.431 MC, rel. min. Celso de Mello, j. 23-10-2013, dec. monocrática, DJE de 25-10-2013 Em se tratando de lei municipal, o controle de constitucionalidade se faz pelo sistema difuso – e não concentrado –, ou seja, apenas no julgamento de casos concretos, com eficácia inter partes, e não erga omnes, quando confrontado o ato normativo local com a CF. O controle de constitucionalidade concentrado, nesse caso, somente será possível, em face da Constituição dos Estados, se ocorrente a hipótese prevista no § 2º do art. 125 da CF.</w:t>
      </w:r>
    </w:p>
    <w:p>
      <w:pPr>
        <w:ind w:left="288"/>
      </w:pPr>
      <w:r>
        <w:rPr>
          <w:b/>
          <w:color w:val="003CA0"/>
          <w:sz w:val="16"/>
        </w:rPr>
        <w:t>[ADI 209, rel. min. Sydney Sanches, j. 20-5-1998, P, DJ de 11-9-1998.]</w:t>
      </w:r>
    </w:p>
    <w:p>
      <w:pPr>
        <w:ind w:left="288"/>
      </w:pPr>
      <w:r>
        <w:rPr>
          <w:color w:val="8C8C8C"/>
          <w:sz w:val="12"/>
        </w:rPr>
        <w:t>cf-art-125-par-2</w:t>
      </w:r>
      <w:r>
        <w:rPr>
          <w:color w:val="003CA0"/>
          <w:sz w:val="12"/>
        </w:rPr>
        <w:t xml:space="preserve"> | ADI 5.089</w:t>
      </w:r>
      <w:r>
        <w:rPr>
          <w:color w:val="003CA0"/>
          <w:sz w:val="12"/>
        </w:rPr>
        <w:t xml:space="preserve"> | rel. Celso de Mello</w:t>
      </w:r>
    </w:p>
    <w:p>
      <w:pPr>
        <w:ind w:left="288"/>
      </w:pPr>
      <w:r>
        <w:rPr>
          <w:color w:val="1E1E1E"/>
          <w:sz w:val="18"/>
        </w:rPr>
        <w:t>= ADI 5.089 AgR, rel. min. Celso de Mello, j. 16-10-2014, P, DJE de 6-2-2015</w:t>
      </w:r>
    </w:p>
    <w:p>
      <w:pPr>
        <w:ind w:left="144"/>
      </w:pPr>
      <w:r>
        <w:rPr>
          <w:b/>
          <w:color w:val="B45A00"/>
          <w:sz w:val="16"/>
        </w:rPr>
        <w:t>REPERCUSSAO GERAL</w:t>
      </w:r>
    </w:p>
    <w:p>
      <w:pPr>
        <w:ind w:left="288"/>
      </w:pPr>
      <w:r>
        <w:rPr>
          <w:color w:val="8C8C8C"/>
          <w:sz w:val="12"/>
        </w:rPr>
        <w:t>cf-art-125-par-2</w:t>
      </w:r>
      <w:r>
        <w:rPr>
          <w:color w:val="003CA0"/>
          <w:sz w:val="12"/>
        </w:rPr>
        <w:t xml:space="preserve"> | RE 650.898</w:t>
      </w:r>
      <w:r>
        <w:rPr>
          <w:color w:val="003CA0"/>
          <w:sz w:val="12"/>
        </w:rPr>
        <w:t xml:space="preserve"> | rel. Ricardo Lewandowski</w:t>
      </w:r>
    </w:p>
    <w:p>
      <w:pPr>
        <w:ind w:left="288"/>
      </w:pPr>
      <w:r>
        <w:rPr>
          <w:color w:val="1E1E1E"/>
          <w:sz w:val="18"/>
        </w:rPr>
        <w:t>Tribunais de justiça podem exercer controle abstrato de constitucionalidade de leis municipais utilizando como parâmetro normas da CF, desde que se trate de normas de reprodução obrigatória pelos Estados.</w:t>
        <w:br/>
        <w:t>[RE 650.898, red. do ac. min. Roberto Barroso, j. 1º-2-2017, P, DJE de 24-8-2017, Tema 484, com mérito julgado.] Antes de adentrar no mérito da questão aqui debatida, anoto que, muito embora não tenha o constituinte incluído o Distrito Federal no art. 125, § 2º, que atribui competência aos tribunais de justiça dos Estados para instituir a representação de inconstitucionalidade em face das Con</w:t>
      </w:r>
    </w:p>
    <w:p>
      <w:pPr>
        <w:ind w:left="288"/>
      </w:pPr>
      <w:r>
        <w:rPr>
          <w:b/>
          <w:color w:val="003CA0"/>
          <w:sz w:val="16"/>
        </w:rPr>
        <w:t>[ARE 873.804 AgR-segundo-ED-EDv-AgR, rel. min. Cármen Lúcia, j. 13-10-2022, P, DJE de 14.2.2023.]</w:t>
      </w:r>
    </w:p>
    <w:p>
      <w:pPr>
        <w:ind w:left="288"/>
      </w:pPr>
      <w:r>
        <w:rPr>
          <w:color w:val="8C8C8C"/>
          <w:sz w:val="12"/>
        </w:rPr>
        <w:t>cf-art-125-par-2</w:t>
      </w:r>
      <w:r>
        <w:rPr>
          <w:color w:val="003CA0"/>
          <w:sz w:val="12"/>
        </w:rPr>
        <w:t xml:space="preserve"> | RE 599.633</w:t>
      </w:r>
      <w:r>
        <w:rPr>
          <w:color w:val="003CA0"/>
          <w:sz w:val="12"/>
        </w:rPr>
        <w:t xml:space="preserve"> | rel. Eros Grau</w:t>
      </w:r>
    </w:p>
    <w:p>
      <w:pPr>
        <w:ind w:left="288"/>
      </w:pPr>
      <w:r>
        <w:rPr>
          <w:color w:val="1E1E1E"/>
          <w:sz w:val="18"/>
        </w:rPr>
        <w:t>O art. 125, § 2º, da Constituição do Brasil estabelece caber aos Estados instituir a representação de inconstitucionalidade das leis ou atos normativos estaduais ou municipais em face da Constituição estadual, circunstância que leva à conclusão de que o controle de constitucionalidade estadual – com exceção apenas da interposição de recurso extraordinário por violação de norma de repetição obrigatória da Constituição do Brasil – encerra-se no âmbito da jurisdição dos tribunais de justiça locais.</w:t>
      </w:r>
    </w:p>
    <w:p>
      <w:pPr>
        <w:ind w:left="288"/>
      </w:pPr>
      <w:r>
        <w:rPr>
          <w:b/>
          <w:color w:val="003CA0"/>
          <w:sz w:val="16"/>
        </w:rPr>
        <w:t>[RE 599.633 AgR, rel. min. Eros Grau, j. 23-11-2009, dec. monocrática, DJE de 11-12-2009.]</w:t>
      </w:r>
    </w:p>
    <w:p>
      <w:pPr>
        <w:ind w:left="288"/>
      </w:pPr>
      <w:r>
        <w:rPr>
          <w:color w:val="8C8C8C"/>
          <w:sz w:val="12"/>
        </w:rPr>
        <w:t>cf-art-125-par-2</w:t>
      </w:r>
      <w:r>
        <w:rPr>
          <w:color w:val="003CA0"/>
          <w:sz w:val="12"/>
        </w:rPr>
        <w:t xml:space="preserve"> | RE 598.016</w:t>
      </w:r>
      <w:r>
        <w:rPr>
          <w:color w:val="003CA0"/>
          <w:sz w:val="12"/>
        </w:rPr>
        <w:t xml:space="preserve"> | rel. Eros Grau</w:t>
      </w:r>
    </w:p>
    <w:p>
      <w:pPr>
        <w:ind w:left="288"/>
      </w:pPr>
      <w:r>
        <w:rPr>
          <w:color w:val="1E1E1E"/>
          <w:sz w:val="18"/>
        </w:rPr>
        <w:t>A omissão da Constituição estadual não constitui óbice a que o tribunal de justiça local julgue a ação direta de inconstitucionalidade contra lei municipal que cria cargos em comissão em confronto com o art. 37, V, da Constituição do Brasil, norma de reprodução obrigatória.</w:t>
      </w:r>
    </w:p>
    <w:p>
      <w:pPr>
        <w:ind w:left="288"/>
      </w:pPr>
      <w:r>
        <w:rPr>
          <w:b/>
          <w:color w:val="003CA0"/>
          <w:sz w:val="16"/>
        </w:rPr>
        <w:t>[RE 598.016 AgR, rel. min. Eros Grau, j. 20-10-2009, 2ª T, DJE de 13-11-2009.]</w:t>
      </w:r>
    </w:p>
    <w:p>
      <w:pPr>
        <w:ind w:left="288"/>
      </w:pPr>
      <w:r>
        <w:rPr>
          <w:color w:val="8C8C8C"/>
          <w:sz w:val="12"/>
        </w:rPr>
        <w:t>cf-art-125-par-2</w:t>
      </w:r>
      <w:r>
        <w:rPr>
          <w:color w:val="003CA0"/>
          <w:sz w:val="12"/>
        </w:rPr>
        <w:t xml:space="preserve"> | ADI 2.137</w:t>
      </w:r>
      <w:r>
        <w:rPr>
          <w:color w:val="003CA0"/>
          <w:sz w:val="12"/>
        </w:rPr>
        <w:t xml:space="preserve"> | rel. Sepúlveda Pertence</w:t>
      </w:r>
    </w:p>
    <w:p>
      <w:pPr>
        <w:ind w:left="288"/>
      </w:pPr>
      <w:r>
        <w:rPr>
          <w:color w:val="1E1E1E"/>
          <w:sz w:val="18"/>
        </w:rPr>
        <w:t>Admissibilidade da ação direta de inconstitucionalidade perante o TJDFT. Leis distritais 3.747, 3.753, 3.759 e 3.760. Alteração da destinação de lotes urbanos. Alegação de violação do disposto no art. 125, § 2º, da Constituição do Brasil. Improcedência. A alegação de que os atos impugnados seriam dotados de efeito concreto, em razão de não possuírem conteúdo normativo capaz de afetar toda a coletividade, não procede. Esta Corte definiu que "a determinabilidade dos destinatários da norma não se confunde com a sua individualização, que, esta, sim, poderia convertê-lo em ato de efeitos concretos,</w:t>
      </w:r>
    </w:p>
    <w:p>
      <w:pPr>
        <w:ind w:left="288"/>
      </w:pPr>
      <w:r>
        <w:rPr>
          <w:b/>
          <w:color w:val="003CA0"/>
          <w:sz w:val="16"/>
        </w:rPr>
        <w:t>[RE 543.024 AgR, rel. min. Eros Grau, j. 19-8-2008, 2ª T, DJE de 12-9-2008.]</w:t>
      </w:r>
    </w:p>
    <w:p>
      <w:pPr>
        <w:ind w:left="288"/>
      </w:pPr>
      <w:r>
        <w:rPr>
          <w:color w:val="8C8C8C"/>
          <w:sz w:val="12"/>
        </w:rPr>
        <w:t>cf-art-125-par-2</w:t>
      </w:r>
      <w:r>
        <w:rPr>
          <w:color w:val="003CA0"/>
          <w:sz w:val="12"/>
        </w:rPr>
        <w:t xml:space="preserve"> | RE 422.591</w:t>
      </w:r>
      <w:r>
        <w:rPr>
          <w:color w:val="003CA0"/>
          <w:sz w:val="12"/>
        </w:rPr>
        <w:t xml:space="preserve"> | rel. Dias Toffoli</w:t>
      </w:r>
    </w:p>
    <w:p>
      <w:pPr>
        <w:ind w:left="288"/>
      </w:pPr>
      <w:r>
        <w:rPr>
          <w:color w:val="1E1E1E"/>
          <w:sz w:val="18"/>
        </w:rPr>
        <w:t>= RE 422.591, rel. min. Dias Toffoli, j. 1º-12-2010, P, DJE de 11-3-2011 § 3º A lei estadual poderá criar, mediante proposta do Tribunal de Justiça, a Justiça Militar estadual, constituída, em primeiro grau, pelos juízes de direito e pelos Conselhos de Justiça e, em segundo grau, pelo próprio Tribunal de Justiça, ou por Tribunal de Justiça Militar nos Estados em que o efetivo militar seja superior a vinte mil integrantes. (Redação da EC 45/2004)</w:t>
      </w:r>
    </w:p>
    <w:p>
      <w:pPr>
        <w:ind w:left="144"/>
      </w:pPr>
      <w:r>
        <w:rPr>
          <w:b/>
          <w:color w:val="B45A00"/>
          <w:sz w:val="16"/>
        </w:rPr>
        <w:t>CONTROLE CONCENTRADO</w:t>
      </w:r>
    </w:p>
    <w:p>
      <w:pPr>
        <w:ind w:left="288"/>
      </w:pPr>
      <w:r>
        <w:rPr>
          <w:color w:val="8C8C8C"/>
          <w:sz w:val="12"/>
        </w:rPr>
        <w:t>cf-art-125-par-2</w:t>
      </w:r>
      <w:r>
        <w:rPr>
          <w:color w:val="003CA0"/>
          <w:sz w:val="12"/>
        </w:rPr>
        <w:t xml:space="preserve"> | ADI 1.218</w:t>
      </w:r>
      <w:r>
        <w:rPr>
          <w:color w:val="003CA0"/>
          <w:sz w:val="12"/>
        </w:rPr>
        <w:t xml:space="preserve"> | rel. Maurício Corrêa</w:t>
      </w:r>
    </w:p>
    <w:p>
      <w:pPr>
        <w:ind w:left="288"/>
      </w:pPr>
      <w:r>
        <w:rPr>
          <w:color w:val="1E1E1E"/>
          <w:sz w:val="18"/>
        </w:rPr>
        <w:t>A competência em razão da matéria é definida pela Lei de Organização Judiciária, salvo a do tribunal do júri (CPC, art. 91, e CPP, art. 74). Criação da Vara de Auditoria Militar a ser provida por juiz de direito, que durante o exercício da função fica com a denominação de auditor militar estadual, sendo-lhe facultado voltar a exercer o cargo primitivo. A lei estadual pode conferir ao juiz, enquanto no desempenho das funções próprias da Vara de Auditoria Militar, outras atribuições, como a de cumprir cartas precatórias da Justiça Penal comum.</w:t>
      </w:r>
    </w:p>
    <w:p>
      <w:pPr>
        <w:ind w:left="288"/>
      </w:pPr>
      <w:r>
        <w:rPr>
          <w:b/>
          <w:color w:val="003CA0"/>
          <w:sz w:val="16"/>
        </w:rPr>
        <w:t>[ADI 1.218, rel. min. Maurício Corrêa, j. 5-9-2002, P, DJ de 8-11-2002.]</w:t>
      </w:r>
    </w:p>
    <w:p>
      <w:pPr>
        <w:ind w:left="288"/>
      </w:pPr>
      <w:r>
        <w:rPr>
          <w:color w:val="8C8C8C"/>
          <w:sz w:val="12"/>
        </w:rPr>
        <w:t>cf-art-125-par-2</w:t>
      </w:r>
      <w:r>
        <w:rPr>
          <w:color w:val="003CA0"/>
          <w:sz w:val="12"/>
        </w:rPr>
        <w:t xml:space="preserve"> | RHC 85.025</w:t>
      </w:r>
      <w:r>
        <w:rPr>
          <w:color w:val="003CA0"/>
          <w:sz w:val="12"/>
        </w:rPr>
        <w:t xml:space="preserve"> | rel. Sepúlveda Pertence</w:t>
      </w:r>
    </w:p>
    <w:p>
      <w:pPr>
        <w:ind w:left="288"/>
      </w:pPr>
      <w:r>
        <w:rPr>
          <w:color w:val="1E1E1E"/>
          <w:sz w:val="18"/>
        </w:rPr>
        <w:t>= RHC 85.025, rel. min. Sepúlveda Pertence, j. 8-3-2005, 1ª T, DJ de 10-11-2006 Inconstitucionalidade formal, porque, pelo disposto no art. 125, § 3º, da CF, há expressa reserva constitucional federal em favor da lei ordinária estadual, de iniciativa exclusiva do tribunal de justiça, para criação da Justiça Militar estadual, e, sendo certo que, competindo a essa lei ordinária a criação dessa Justiça a ela também compete a sua organização e a sua extinção, não pode a Carta Magna estadual criar, ou manter a criação já existente, organizar ou extinguir a Justiça Militar estadual.</w:t>
      </w:r>
    </w:p>
    <w:p>
      <w:pPr>
        <w:ind w:left="288"/>
      </w:pPr>
      <w:r>
        <w:rPr>
          <w:b/>
          <w:color w:val="003CA0"/>
          <w:sz w:val="16"/>
        </w:rPr>
        <w:t>[ADI 725, rel. min. Moreira Alves, j. 15-12-1997, P, DJ de 4-9-1998.]</w:t>
      </w:r>
    </w:p>
    <w:p>
      <w:pPr>
        <w:ind w:left="288"/>
      </w:pPr>
      <w:r>
        <w:rPr>
          <w:color w:val="8C8C8C"/>
          <w:sz w:val="12"/>
        </w:rPr>
        <w:t>cf-art-125-par-2</w:t>
      </w:r>
      <w:r>
        <w:rPr>
          <w:color w:val="003CA0"/>
          <w:sz w:val="12"/>
        </w:rPr>
        <w:t xml:space="preserve"> | ADI 471</w:t>
      </w:r>
      <w:r>
        <w:rPr>
          <w:color w:val="003CA0"/>
          <w:sz w:val="12"/>
        </w:rPr>
        <w:t xml:space="preserve"> | rel. Eros Grau</w:t>
      </w:r>
    </w:p>
    <w:p>
      <w:pPr>
        <w:ind w:left="288"/>
      </w:pPr>
      <w:r>
        <w:rPr>
          <w:color w:val="1E1E1E"/>
          <w:sz w:val="18"/>
        </w:rPr>
        <w:t>= ADI 471, rel. min. Eros Grau, j. 3-4-2008, P, DJE de 29-8-2008</w:t>
      </w:r>
    </w:p>
    <w:p>
      <w:pPr>
        <w:ind w:left="144"/>
      </w:pPr>
      <w:r>
        <w:rPr>
          <w:b/>
          <w:color w:val="B45A00"/>
          <w:sz w:val="16"/>
        </w:rPr>
        <w:t>JULGADOS CORRELATOS</w:t>
      </w:r>
    </w:p>
    <w:p>
      <w:pPr>
        <w:ind w:left="288"/>
      </w:pPr>
      <w:r>
        <w:rPr>
          <w:color w:val="8C8C8C"/>
          <w:sz w:val="12"/>
        </w:rPr>
        <w:t>cf-art-125-par-2</w:t>
      </w:r>
      <w:r>
        <w:rPr>
          <w:color w:val="003CA0"/>
          <w:sz w:val="12"/>
        </w:rPr>
        <w:t xml:space="preserve"> | rel. Maurício Corrêa</w:t>
      </w:r>
    </w:p>
    <w:p>
      <w:pPr>
        <w:ind w:left="288"/>
      </w:pPr>
      <w:r>
        <w:rPr>
          <w:color w:val="1E1E1E"/>
          <w:sz w:val="18"/>
        </w:rPr>
        <w:t>O art. 146 do CPPM, que prevê o julgamento pelo STM de recurso interposto pelo Parquet em arguição de incompetência, aplica-se exclusivamente aos processos em curso perante a Justiça Militar federal. O julgamento de tais recursos, quando interpostos em processos sujeitos à Justiça Militar estadual, são da competência do tribunal de justiça, ou do tribunal de justiça militar estadual quando existente na unidade federada (art. 125 da Constituição).</w:t>
      </w:r>
    </w:p>
    <w:p>
      <w:pPr>
        <w:ind w:left="288"/>
      </w:pPr>
      <w:r>
        <w:rPr>
          <w:b/>
          <w:color w:val="003CA0"/>
          <w:sz w:val="16"/>
        </w:rPr>
        <w:t>[CC 7.086, rel. min. Maurício Corrêa, j. 13-9-2000, P, DJ de 27-10-2000.]</w:t>
      </w:r>
    </w:p>
    <w:p>
      <w:pPr>
        <w:ind w:left="288"/>
      </w:pPr>
      <w:r>
        <w:rPr>
          <w:color w:val="8C8C8C"/>
          <w:sz w:val="12"/>
        </w:rPr>
        <w:t>cf-art-125-par-2</w:t>
      </w:r>
    </w:p>
    <w:p>
      <w:pPr>
        <w:ind w:left="288"/>
      </w:pPr>
      <w:r>
        <w:rPr>
          <w:color w:val="1E1E1E"/>
          <w:sz w:val="18"/>
        </w:rPr>
        <w:t>§ 4º Compete à Justiça Militar estadual processar e julgar os militares dos Estados, nos crimes militares definidos em lei e as ações judiciais contra atos disciplinares militares, ressalvada a competência do júri quando a vítima for civil, cabendo ao tribunal competente decidir sobre a perda do posto e da patente dos oficiais e da graduação das praças. (Redação da EC 45/2004)</w:t>
      </w:r>
    </w:p>
    <w:p>
      <w:pPr>
        <w:ind w:left="144"/>
      </w:pPr>
      <w:r>
        <w:rPr>
          <w:b/>
          <w:color w:val="B45A00"/>
          <w:sz w:val="16"/>
        </w:rPr>
        <w:t>SUMULA</w:t>
      </w:r>
    </w:p>
    <w:p>
      <w:pPr>
        <w:ind w:left="288"/>
      </w:pPr>
      <w:r>
        <w:rPr>
          <w:color w:val="8C8C8C"/>
          <w:sz w:val="12"/>
        </w:rPr>
        <w:t>cf-art-125-par-2</w:t>
      </w:r>
    </w:p>
    <w:p>
      <w:pPr>
        <w:ind w:left="288"/>
      </w:pPr>
      <w:r>
        <w:rPr>
          <w:color w:val="1E1E1E"/>
          <w:sz w:val="18"/>
        </w:rPr>
        <w:t>O art. 125, § 4º, da Constituição não impede a perda da graduação de militar mediante procedimento administrativo.</w:t>
      </w:r>
    </w:p>
    <w:p>
      <w:pPr>
        <w:ind w:left="288"/>
      </w:pPr>
      <w:r>
        <w:rPr>
          <w:b/>
          <w:color w:val="003CA0"/>
          <w:sz w:val="16"/>
        </w:rPr>
        <w:t>[Súmula 673.]</w:t>
      </w:r>
    </w:p>
    <w:p>
      <w:pPr>
        <w:ind w:left="144"/>
      </w:pPr>
      <w:r>
        <w:rPr>
          <w:b/>
          <w:color w:val="B45A00"/>
          <w:sz w:val="16"/>
        </w:rPr>
        <w:t>REPERCUSSAO GERAL</w:t>
      </w:r>
    </w:p>
    <w:p>
      <w:pPr>
        <w:ind w:left="288"/>
      </w:pPr>
      <w:r>
        <w:rPr>
          <w:color w:val="8C8C8C"/>
          <w:sz w:val="12"/>
        </w:rPr>
        <w:t>cf-art-125-par-2</w:t>
      </w:r>
      <w:r>
        <w:rPr>
          <w:color w:val="003CA0"/>
          <w:sz w:val="12"/>
        </w:rPr>
        <w:t xml:space="preserve"> | ARE 1.320.744</w:t>
      </w:r>
      <w:r>
        <w:rPr>
          <w:color w:val="003CA0"/>
          <w:sz w:val="12"/>
        </w:rPr>
        <w:t xml:space="preserve"> | rel. Alexandre de Moraes</w:t>
      </w:r>
    </w:p>
    <w:p>
      <w:pPr>
        <w:ind w:left="288"/>
      </w:pPr>
      <w:r>
        <w:rPr>
          <w:color w:val="1E1E1E"/>
          <w:sz w:val="18"/>
        </w:rPr>
        <w:t>"1) A perda da graduação da praça pode ser declarada como efeito secundário da sentença condenatória pela prática de crime militar ou comum, nos termos do art. 102 do Código Penal Militar e do art. 92, I, "b", do Código Penal, respectivamente. 2) Nos termos do artigo 125, §4º, da Constituição Federal, o Tribunal de Justiça Militar, onde houver, ou o Tribunal de Justiça são competentes para decidir, em processo autônomo decorrente de representação do Ministério Público, sobre a perda do posto e da patente dos oficiais e da graduação das praças que teve contra si uma sentença condenatória, indep</w:t>
      </w:r>
    </w:p>
    <w:p>
      <w:pPr>
        <w:ind w:left="288"/>
      </w:pPr>
      <w:r>
        <w:rPr>
          <w:b/>
          <w:color w:val="003CA0"/>
          <w:sz w:val="16"/>
        </w:rPr>
        <w:t>[ARE 691.306 RG, voto do rel. min. Cezar Peluso, j. 23-8-2012, P, DJE de 11-9-2012, Tema 565, com mérito julgado.]</w:t>
      </w:r>
    </w:p>
    <w:p>
      <w:pPr>
        <w:ind w:left="288"/>
      </w:pPr>
      <w:r>
        <w:rPr>
          <w:color w:val="8C8C8C"/>
          <w:sz w:val="12"/>
        </w:rPr>
        <w:t>cf-art-125-par-2</w:t>
      </w:r>
      <w:r>
        <w:rPr>
          <w:color w:val="003CA0"/>
          <w:sz w:val="12"/>
        </w:rPr>
        <w:t xml:space="preserve"> | MS 21.545</w:t>
      </w:r>
      <w:r>
        <w:rPr>
          <w:color w:val="003CA0"/>
          <w:sz w:val="12"/>
        </w:rPr>
        <w:t xml:space="preserve"> | rel. Moreira Alves</w:t>
      </w:r>
    </w:p>
    <w:p>
      <w:pPr>
        <w:ind w:left="288"/>
      </w:pPr>
      <w:r>
        <w:rPr>
          <w:color w:val="1E1E1E"/>
          <w:sz w:val="18"/>
        </w:rPr>
        <w:t>Vide MS 21.545, rel. min. Moreira Alves, j. 11-3-1993, P, DJ de 2-4-1993</w:t>
      </w:r>
    </w:p>
    <w:p>
      <w:pPr>
        <w:ind w:left="144"/>
      </w:pPr>
      <w:r>
        <w:rPr>
          <w:b/>
          <w:color w:val="B45A00"/>
          <w:sz w:val="16"/>
        </w:rPr>
        <w:t>JULGADOS CORRELATOS</w:t>
      </w:r>
    </w:p>
    <w:p>
      <w:pPr>
        <w:ind w:left="288"/>
      </w:pPr>
      <w:r>
        <w:rPr>
          <w:color w:val="8C8C8C"/>
          <w:sz w:val="12"/>
        </w:rPr>
        <w:t>cf-art-125-par-2</w:t>
      </w:r>
      <w:r>
        <w:rPr>
          <w:color w:val="003CA0"/>
          <w:sz w:val="12"/>
        </w:rPr>
        <w:t xml:space="preserve"> | RE 872.778</w:t>
      </w:r>
      <w:r>
        <w:rPr>
          <w:color w:val="003CA0"/>
          <w:sz w:val="12"/>
        </w:rPr>
        <w:t xml:space="preserve"> | rel. Dias Toffoli</w:t>
      </w:r>
    </w:p>
    <w:p>
      <w:pPr>
        <w:ind w:left="288"/>
      </w:pPr>
      <w:r>
        <w:rPr>
          <w:color w:val="1E1E1E"/>
          <w:sz w:val="18"/>
        </w:rPr>
        <w:t>A jurisprudência da Corte é no sentido de que a EC 45/2004, ao dar nova redação ao § 4º do art. 125 da CF, ampliou o âmbito de atuação da Justiça Militar estadual, atribuindo-lhe competência para processar e julgar as ações judiciais ajuizadas contra atos disciplinares militares. No caso o pedido de indenização por danos morais está intimamente ligado com o ato disciplinar aplicado. Assim, configurada a competência da Justiça Militar para sua apreciação.</w:t>
      </w:r>
    </w:p>
    <w:p>
      <w:pPr>
        <w:ind w:left="288"/>
      </w:pPr>
      <w:r>
        <w:rPr>
          <w:b/>
          <w:color w:val="003CA0"/>
          <w:sz w:val="16"/>
        </w:rPr>
        <w:t>[RE 872.778 AgR, rel. min. Dias Toffoli, j. 29-6-2018, 2ª T, DJE de 24-8-2018.]</w:t>
      </w:r>
    </w:p>
    <w:p>
      <w:pPr>
        <w:ind w:left="288"/>
      </w:pPr>
      <w:r>
        <w:rPr>
          <w:color w:val="8C8C8C"/>
          <w:sz w:val="12"/>
        </w:rPr>
        <w:t>cf-art-125-par-2</w:t>
      </w:r>
      <w:r>
        <w:rPr>
          <w:color w:val="003CA0"/>
          <w:sz w:val="12"/>
        </w:rPr>
        <w:t xml:space="preserve"> | AI 769.637</w:t>
      </w:r>
      <w:r>
        <w:rPr>
          <w:color w:val="003CA0"/>
          <w:sz w:val="12"/>
        </w:rPr>
        <w:t xml:space="preserve"> | rel. Joaquim Barbosa</w:t>
      </w:r>
    </w:p>
    <w:p>
      <w:pPr>
        <w:ind w:left="288"/>
      </w:pPr>
      <w:r>
        <w:rPr>
          <w:color w:val="1E1E1E"/>
          <w:sz w:val="18"/>
        </w:rPr>
        <w:t>Em se tratando de condenação de oficial da polícia militar pela prática do crime de tortura, sendo crime comum, a competência para decretar a perda do oficialato, como efeito da condenação, é da Justiça comum. O disposto no art. 125, § 4º, da CF refere-se à competência da Justiça Militar para decidir sobre a perda do posto e da patente dos oficiais e da graduação das praças quando se tratar de crimes militares definidos em lei.</w:t>
      </w:r>
    </w:p>
    <w:p>
      <w:pPr>
        <w:ind w:left="288"/>
      </w:pPr>
      <w:r>
        <w:rPr>
          <w:b/>
          <w:color w:val="003CA0"/>
          <w:sz w:val="16"/>
        </w:rPr>
        <w:t>[AI 769.637 AgR, rel. min. Joaquim Barbosa, j. 20-3-2012, 2ª T, DJE de 22-5-2012.]</w:t>
      </w:r>
    </w:p>
    <w:p>
      <w:pPr>
        <w:ind w:left="288"/>
      </w:pPr>
      <w:r>
        <w:rPr>
          <w:color w:val="8C8C8C"/>
          <w:sz w:val="12"/>
        </w:rPr>
        <w:t>cf-art-125-par-2</w:t>
      </w:r>
      <w:r>
        <w:rPr>
          <w:color w:val="003CA0"/>
          <w:sz w:val="12"/>
        </w:rPr>
        <w:t xml:space="preserve"> | AI 769.637</w:t>
      </w:r>
      <w:r>
        <w:rPr>
          <w:color w:val="003CA0"/>
          <w:sz w:val="12"/>
        </w:rPr>
        <w:t xml:space="preserve"> | rel. Celso de Mello</w:t>
      </w:r>
    </w:p>
    <w:p>
      <w:pPr>
        <w:ind w:left="288"/>
      </w:pPr>
      <w:r>
        <w:rPr>
          <w:color w:val="1E1E1E"/>
          <w:sz w:val="18"/>
        </w:rPr>
        <w:t>= AI 769.637 AgR-ED-ED, rel. min. Celso de Mello, j. 25-6-2013, 2ª T, DJE de 16-10-2013 Crime de desacato contra militar das forças armadas. (...) A jurisprudência deste Supremo Tribunal é firme no sentido de que a competência para processar e julgar policial militar acusado de cometer crime militar contra membro das Forças Armadas é da Justiça Militar estadual, mormente quando o paciente, pelo que se tem na denúncia, quis manifestamente menosprezar a vítima, oficial das Forças Armadas, em razão da função por ela ocupada, humilhando-a diante de outros militares federais e estaduais.</w:t>
      </w:r>
    </w:p>
    <w:p>
      <w:pPr>
        <w:ind w:left="288"/>
      </w:pPr>
      <w:r>
        <w:rPr>
          <w:b/>
          <w:color w:val="003CA0"/>
          <w:sz w:val="16"/>
        </w:rPr>
        <w:t>[HC 105.844, rel. min. Cármen Lúcia, j. 21-6-2011, 1ª T, DJE de 18-8-2011.]</w:t>
      </w:r>
    </w:p>
    <w:p>
      <w:pPr>
        <w:ind w:left="288"/>
      </w:pPr>
      <w:r>
        <w:rPr>
          <w:color w:val="8C8C8C"/>
          <w:sz w:val="12"/>
        </w:rPr>
        <w:t>cf-art-125-par-2</w:t>
      </w:r>
      <w:r>
        <w:rPr>
          <w:color w:val="003CA0"/>
          <w:sz w:val="12"/>
        </w:rPr>
        <w:t xml:space="preserve"> | RE 199.600</w:t>
      </w:r>
      <w:r>
        <w:rPr>
          <w:color w:val="003CA0"/>
          <w:sz w:val="12"/>
        </w:rPr>
        <w:t xml:space="preserve"> | rel. Moreira Alves</w:t>
      </w:r>
    </w:p>
    <w:p>
      <w:pPr>
        <w:ind w:left="288"/>
      </w:pPr>
      <w:r>
        <w:rPr>
          <w:color w:val="1E1E1E"/>
          <w:sz w:val="18"/>
        </w:rPr>
        <w:t>Esta Corte já firmou o entendimento de que a perda de graduação de praça da polícia militar, como sanção disciplinar administrativa, não se dá por meio de julgamento da Justiça Militar estadual, mas mediante processo administrativo na própria corporação, assegurando-se direito de defesa e o contraditório (assim, a título exemplificativo nos RE 199.600, RE 197.649 e RE 223.744).</w:t>
      </w:r>
    </w:p>
    <w:p>
      <w:pPr>
        <w:ind w:left="288"/>
      </w:pPr>
      <w:r>
        <w:rPr>
          <w:b/>
          <w:color w:val="003CA0"/>
          <w:sz w:val="16"/>
        </w:rPr>
        <w:t>[RE 206.971, rel. min. Moreira Alves, j. 18-4-2000, 1ª T, DJ de 9-6-2000.]</w:t>
      </w:r>
    </w:p>
    <w:p>
      <w:pPr>
        <w:ind w:left="288"/>
      </w:pPr>
      <w:r>
        <w:rPr>
          <w:color w:val="8C8C8C"/>
          <w:sz w:val="12"/>
        </w:rPr>
        <w:t>cf-art-125-par-2</w:t>
      </w:r>
      <w:r>
        <w:rPr>
          <w:color w:val="003CA0"/>
          <w:sz w:val="12"/>
        </w:rPr>
        <w:t xml:space="preserve"> | RE 447.859</w:t>
      </w:r>
      <w:r>
        <w:rPr>
          <w:color w:val="003CA0"/>
          <w:sz w:val="12"/>
        </w:rPr>
        <w:t xml:space="preserve"> | rel. Marco Aurélio</w:t>
      </w:r>
    </w:p>
    <w:p>
      <w:pPr>
        <w:ind w:left="288"/>
      </w:pPr>
      <w:r>
        <w:rPr>
          <w:color w:val="1E1E1E"/>
          <w:sz w:val="18"/>
        </w:rPr>
        <w:t xml:space="preserve">= RE 447.859, rel. min. Marco Aurélio, j. 21-5-2015, P, DJE de 20-8-2015 A Justiça Militar estadual não dispõe de competência penal para processar e julgar civil que tenha sido denunciado pela prática de crime contra a polícia mlitar do Estado. Qualquer tentativa de submeter os réus civis a procedimentos penais-persecutórios instaurados perante órgãos da Justiça Militar estadual representa, no contexto de nosso sistema jurídico, clara violação ao princípio constitucional do juiz natural (CF, art. 5º, LIII). A CF, ao definir a competência penal da Justiça Militar dos Estados-membros, delimitou </w:t>
      </w:r>
    </w:p>
    <w:p>
      <w:pPr>
        <w:ind w:left="288"/>
      </w:pPr>
      <w:r>
        <w:rPr>
          <w:b/>
          <w:color w:val="003CA0"/>
          <w:sz w:val="16"/>
        </w:rPr>
        <w:t>[HC 70.604, rel. min. Celso de Mello, j. 10-5-1994, 1ª T, DJ de 1º-7-1994.]</w:t>
      </w:r>
    </w:p>
    <w:p>
      <w:pPr>
        <w:ind w:left="288"/>
      </w:pPr>
      <w:r>
        <w:rPr>
          <w:color w:val="8C8C8C"/>
          <w:sz w:val="12"/>
        </w:rPr>
        <w:t>cf-art-125-par-2</w:t>
      </w:r>
    </w:p>
    <w:p>
      <w:pPr>
        <w:ind w:left="288"/>
      </w:pPr>
      <w:r>
        <w:rPr>
          <w:color w:val="1E1E1E"/>
          <w:sz w:val="18"/>
        </w:rPr>
        <w:t>§ 5º Compete aos juízes de direito do juízo militar processar e julgar, singularmente, os crimes militares cometidos contra civis e as ações judiciais contra atos disciplinares militares, cabendo ao Conselho de Justiça, sob a presidência de juiz de direito, processar e julgar os demais crimes militares. (Incluído pela EC 45/2004)</w:t>
      </w:r>
    </w:p>
    <w:p>
      <w:pPr>
        <w:ind w:left="288"/>
      </w:pPr>
      <w:r>
        <w:rPr>
          <w:color w:val="8C8C8C"/>
          <w:sz w:val="12"/>
        </w:rPr>
        <w:t>cf-art-125-par-2</w:t>
      </w:r>
      <w:r>
        <w:rPr>
          <w:color w:val="003CA0"/>
          <w:sz w:val="12"/>
        </w:rPr>
        <w:t xml:space="preserve"> | ARE 807.649</w:t>
      </w:r>
      <w:r>
        <w:rPr>
          <w:color w:val="003CA0"/>
          <w:sz w:val="12"/>
        </w:rPr>
        <w:t xml:space="preserve"> | rel. Dias Toffoli</w:t>
      </w:r>
    </w:p>
    <w:p>
      <w:pPr>
        <w:ind w:left="288"/>
      </w:pPr>
      <w:r>
        <w:rPr>
          <w:color w:val="1E1E1E"/>
          <w:sz w:val="18"/>
        </w:rPr>
        <w:t>O art. 125, § 5º, da CF contém exigência de que as demandas que tenham por objeto ato disciplinar cometido por militar sejam julgadas em primeiro grau por juiz de direito, não fazendo, entretanto, nenhuma menção acerca dos julgamentos colegiados de tais demandas.</w:t>
      </w:r>
    </w:p>
    <w:p>
      <w:pPr>
        <w:ind w:left="288"/>
      </w:pPr>
      <w:r>
        <w:rPr>
          <w:b/>
          <w:color w:val="003CA0"/>
          <w:sz w:val="16"/>
        </w:rPr>
        <w:t>[ARE 807.649 AgR, rel. min. Dias Toffoli, j. 2-9-2014, 1ª T, DJE de 9-10-2014.]</w:t>
      </w:r>
    </w:p>
    <w:p>
      <w:pPr>
        <w:ind w:left="288"/>
      </w:pPr>
      <w:r>
        <w:rPr>
          <w:color w:val="8C8C8C"/>
          <w:sz w:val="12"/>
        </w:rPr>
        <w:t>cf-art-125-par-2</w:t>
      </w:r>
      <w:r>
        <w:rPr>
          <w:color w:val="003CA0"/>
          <w:sz w:val="12"/>
        </w:rPr>
        <w:t xml:space="preserve"> | RE 552.790</w:t>
      </w:r>
      <w:r>
        <w:rPr>
          <w:color w:val="003CA0"/>
          <w:sz w:val="12"/>
        </w:rPr>
        <w:t xml:space="preserve"> | rel. Marco Aurélio</w:t>
      </w:r>
    </w:p>
    <w:p>
      <w:pPr>
        <w:ind w:left="288"/>
      </w:pPr>
      <w:r>
        <w:rPr>
          <w:color w:val="1E1E1E"/>
          <w:sz w:val="18"/>
        </w:rPr>
        <w:t>A competência prevista no § 5º do art. 125 da CF sobre a atuação do juízo militar presentes ações judiciais contra atos disciplinares militares apanha questões ligadas não só ao mérito do ato como também a aspectos formais.</w:t>
      </w:r>
    </w:p>
    <w:p>
      <w:pPr>
        <w:ind w:left="288"/>
      </w:pPr>
      <w:r>
        <w:rPr>
          <w:b/>
          <w:color w:val="003CA0"/>
          <w:sz w:val="16"/>
        </w:rPr>
        <w:t>[RE 552.790 AgR, rel. min. Marco Aurélio, j. 8-10-2013, 1ª T, DJE de 4-11-2013.]</w:t>
      </w:r>
    </w:p>
    <w:p>
      <w:pPr>
        <w:ind w:left="288"/>
      </w:pPr>
      <w:r>
        <w:rPr>
          <w:color w:val="8C8C8C"/>
          <w:sz w:val="12"/>
        </w:rPr>
        <w:t>cf-art-125-par-2</w:t>
      </w:r>
      <w:r>
        <w:rPr>
          <w:color w:val="003CA0"/>
          <w:sz w:val="12"/>
        </w:rPr>
        <w:t xml:space="preserve"> | HC 93.076</w:t>
      </w:r>
      <w:r>
        <w:rPr>
          <w:color w:val="003CA0"/>
          <w:sz w:val="12"/>
        </w:rPr>
        <w:t xml:space="preserve"> | rel. Celso de Mello</w:t>
      </w:r>
    </w:p>
    <w:p>
      <w:pPr>
        <w:ind w:left="288"/>
      </w:pPr>
      <w:r>
        <w:rPr>
          <w:color w:val="1E1E1E"/>
          <w:sz w:val="18"/>
        </w:rPr>
        <w:t>Crime militar cometido por policial militar contra civil. Juiz de direito do juízo militar estadual (CF, art. 125, § 5º, acrescido pela EC 45/2004). Competência monocrática do magistrado togado. Ausência de previsão, no CPPM, de rito procedimental referente ao juízo singular. Aplicação subsidiária da legislação processual penal comum (CPPM, art. 3º, a). Legitimidade.</w:t>
      </w:r>
    </w:p>
    <w:p>
      <w:pPr>
        <w:ind w:left="288"/>
      </w:pPr>
      <w:r>
        <w:rPr>
          <w:b/>
          <w:color w:val="003CA0"/>
          <w:sz w:val="16"/>
        </w:rPr>
        <w:t>[HC 93.076, rel. min. Celso de Mello, j. 26-8-2008, 2ª T, DJE de 30-10-2014.]</w:t>
      </w:r>
    </w:p>
    <w:p>
      <w:pPr>
        <w:ind w:left="432"/>
      </w:pPr>
      <w:r>
        <w:rPr>
          <w:color w:val="003366"/>
          <w:sz w:val="18"/>
        </w:rPr>
        <w:t>§ 1 A competência dos tribunais será definida na Constituição do Estado, sendo a</w:t>
      </w:r>
    </w:p>
    <w:p>
      <w:pPr>
        <w:ind w:left="432"/>
      </w:pPr>
      <w:r>
        <w:rPr>
          <w:color w:val="003366"/>
          <w:sz w:val="18"/>
        </w:rPr>
        <w:t xml:space="preserve">§ 2 Cabe aos Estados a instituição de representação de inconstitucionalidade de </w:t>
      </w:r>
    </w:p>
    <w:p>
      <w:pPr>
        <w:ind w:left="432"/>
      </w:pPr>
      <w:r>
        <w:rPr>
          <w:color w:val="003366"/>
          <w:sz w:val="18"/>
        </w:rPr>
        <w:t>§ 3 A lei estadual poderá criar, mediante proposta do Tribunal de Justiça, a Jus</w:t>
      </w:r>
    </w:p>
    <w:p>
      <w:pPr>
        <w:ind w:left="432"/>
      </w:pPr>
      <w:r>
        <w:rPr>
          <w:color w:val="003366"/>
          <w:sz w:val="18"/>
        </w:rPr>
        <w:t>§ 4 Compete à Justiça Militar estadual processar e julgar os militares dos Estad</w:t>
      </w:r>
    </w:p>
    <w:p>
      <w:pPr>
        <w:ind w:left="432"/>
      </w:pPr>
      <w:r>
        <w:rPr>
          <w:color w:val="003366"/>
          <w:sz w:val="18"/>
        </w:rPr>
        <w:t>§ 5 Compete aos juízes de direito do juízo militar processar e julgar, singularm</w:t>
      </w:r>
    </w:p>
    <w:p>
      <w:pPr>
        <w:ind w:left="432"/>
      </w:pPr>
      <w:r>
        <w:rPr>
          <w:color w:val="003366"/>
          <w:sz w:val="18"/>
        </w:rPr>
        <w:t>§ 6 O Tribunal de Justiça poderá funcionar descentralizadamente, constituindo Câ</w:t>
      </w:r>
    </w:p>
    <w:p>
      <w:pPr>
        <w:ind w:left="432"/>
      </w:pPr>
      <w:r>
        <w:rPr>
          <w:color w:val="003366"/>
          <w:sz w:val="18"/>
        </w:rPr>
        <w:t>§ 7 O Tribunal de Justiça instalará a justiça itinerante, com a realização de au</w:t>
      </w:r>
    </w:p>
    <w:p>
      <w:r>
        <w:rPr>
          <w:b/>
          <w:color w:val="003366"/>
          <w:sz w:val="20"/>
        </w:rPr>
        <w:t>Art. 126 Para dirimir conflitos fundiários, o Tribunal de Justiça proporá a cria</w:t>
      </w:r>
      <w:r>
        <w:rPr>
          <w:color w:val="8C8C8C"/>
          <w:sz w:val="14"/>
        </w:rPr>
        <w:t xml:space="preserve">  [3 decisoes]</w:t>
      </w:r>
    </w:p>
    <w:p>
      <w:pPr>
        <w:ind w:left="144"/>
      </w:pPr>
      <w:r>
        <w:rPr>
          <w:b/>
          <w:color w:val="B45A00"/>
          <w:sz w:val="16"/>
        </w:rPr>
        <w:t>CONTROLE CONCENTRADO</w:t>
      </w:r>
    </w:p>
    <w:p>
      <w:pPr>
        <w:ind w:left="288"/>
      </w:pPr>
      <w:r>
        <w:rPr>
          <w:color w:val="8C8C8C"/>
          <w:sz w:val="12"/>
        </w:rPr>
        <w:t>cf-art-126</w:t>
      </w:r>
      <w:r>
        <w:rPr>
          <w:color w:val="003CA0"/>
          <w:sz w:val="12"/>
        </w:rPr>
        <w:t xml:space="preserve"> | ADI 3.433</w:t>
      </w:r>
      <w:r>
        <w:rPr>
          <w:color w:val="003CA0"/>
          <w:sz w:val="12"/>
        </w:rPr>
        <w:t xml:space="preserve"> | rel. Edson Fachin</w:t>
      </w:r>
    </w:p>
    <w:p>
      <w:pPr>
        <w:ind w:left="288"/>
      </w:pPr>
      <w:r>
        <w:rPr>
          <w:color w:val="1E1E1E"/>
          <w:sz w:val="18"/>
        </w:rPr>
        <w:t>Disposições contidas no art. 3º da Lei Complementar nº 14/93 do Estado do Pará, que tratam da criação e da competência das varas de direito agrário, minerário e ambiental. (...) A Emenda Constitucional 45/04, ao substituir a expressão ‘designará juízes de entrância especial’, contida no caput do art. 126 do texto constitucional, por ‘proporá a criação de varas especializadas’, apenas aperfeiçoou tecnicamente a redação do mencionado dispositivo, preservando, contudo, em essência, o teor específico da norma. Assim, a determinação aos tribunais de justiça para observarem a especialização dos juíz</w:t>
      </w:r>
    </w:p>
    <w:p>
      <w:pPr>
        <w:ind w:left="288"/>
      </w:pPr>
      <w:r>
        <w:rPr>
          <w:b/>
          <w:color w:val="003CA0"/>
          <w:sz w:val="16"/>
        </w:rPr>
        <w:t>[ADI 3.433, rel. min. Edson Fachin, j. 4-10-2021, P, DJE de 3-2-2022.]</w:t>
      </w:r>
    </w:p>
    <w:p>
      <w:pPr>
        <w:ind w:left="144"/>
      </w:pPr>
      <w:r>
        <w:rPr>
          <w:b/>
          <w:color w:val="B45A00"/>
          <w:sz w:val="16"/>
        </w:rPr>
        <w:t>JULGADOS CORRELATOS</w:t>
      </w:r>
    </w:p>
    <w:p>
      <w:pPr>
        <w:ind w:left="288"/>
      </w:pPr>
      <w:r>
        <w:rPr>
          <w:color w:val="8C8C8C"/>
          <w:sz w:val="12"/>
        </w:rPr>
        <w:t>cf-art-126</w:t>
      </w:r>
      <w:r>
        <w:rPr>
          <w:color w:val="003CA0"/>
          <w:sz w:val="12"/>
        </w:rPr>
        <w:t xml:space="preserve"> | MS 30.547</w:t>
      </w:r>
      <w:r>
        <w:rPr>
          <w:color w:val="003CA0"/>
          <w:sz w:val="12"/>
        </w:rPr>
        <w:t xml:space="preserve"> | rel. Cármen Lúcia</w:t>
      </w:r>
    </w:p>
    <w:p>
      <w:pPr>
        <w:ind w:left="288"/>
      </w:pPr>
      <w:r>
        <w:rPr>
          <w:color w:val="1E1E1E"/>
          <w:sz w:val="18"/>
        </w:rPr>
        <w:t>Tribunal de Justiça de Mato Grosso. Criação de vara especializada (provimento 4/2008). Concentração de ações judiciais sobre questões agrárias em vara especializada (resolução 7/2008). Conselho nacional de justiça: preservação da competência territorial dos juízos das comarcas do interior do estado, conforme critérios dos arts. 94 e 95 do Código de Processo Civil. (...) Na Constituição de 1988 se conferiu aos tribunais estaduais competência para definir a atribuição para ações sobre conflitos fundiários por seus órgãos jurisdicionais (art. 126), sem exigir ação em que se discute questão agrári</w:t>
      </w:r>
    </w:p>
    <w:p>
      <w:pPr>
        <w:ind w:left="288"/>
      </w:pPr>
      <w:r>
        <w:rPr>
          <w:b/>
          <w:color w:val="003CA0"/>
          <w:sz w:val="16"/>
        </w:rPr>
        <w:t>[MS 30.547, rel.min. Cármen Lúcia, j. 18-10-2019, P, DJE de 7-2-2020.]</w:t>
      </w:r>
    </w:p>
    <w:p>
      <w:pPr>
        <w:ind w:left="288"/>
      </w:pPr>
      <w:r>
        <w:rPr>
          <w:color w:val="8C8C8C"/>
          <w:sz w:val="12"/>
        </w:rPr>
        <w:t>cf-art-126-par-unico</w:t>
      </w:r>
    </w:p>
    <w:p>
      <w:pPr>
        <w:ind w:left="288"/>
      </w:pPr>
      <w:r>
        <w:rPr>
          <w:color w:val="1E1E1E"/>
          <w:sz w:val="18"/>
        </w:rPr>
        <w:t>CAPÍTULO IV Das Funções Essenciais à Justiça (Redação da EC 80/2014) SUMÁRIO Seção I Do Ministério Público SUMÁRIO</w:t>
      </w:r>
    </w:p>
    <w:p>
      <w:pPr>
        <w:pStyle w:val="Heading2"/>
      </w:pPr>
      <w:r>
        <w:rPr>
          <w:color w:val="003366"/>
        </w:rPr>
        <w:t>CAPÍTULO IV - DAS FUNÇÕES ESSENCIAIS À JUSTIÇA</w:t>
      </w:r>
    </w:p>
    <w:p>
      <w:pPr>
        <w:pStyle w:val="Heading3"/>
      </w:pPr>
      <w:r>
        <w:rPr>
          <w:color w:val="003366"/>
        </w:rPr>
        <w:t>Seção I - DO MINISTÉRIO PÚBLICO</w:t>
      </w:r>
    </w:p>
    <w:p>
      <w:r>
        <w:rPr>
          <w:b/>
          <w:color w:val="003366"/>
          <w:sz w:val="20"/>
        </w:rPr>
        <w:t>Art. 127 O Ministério Público é instituição permanente, essencial à função juris</w:t>
      </w:r>
      <w:r>
        <w:rPr>
          <w:color w:val="8C8C8C"/>
          <w:sz w:val="14"/>
        </w:rPr>
        <w:t xml:space="preserve">  [36 decisoes]</w:t>
      </w:r>
    </w:p>
    <w:p>
      <w:pPr>
        <w:ind w:left="144"/>
      </w:pPr>
      <w:r>
        <w:rPr>
          <w:b/>
          <w:color w:val="B45A00"/>
          <w:sz w:val="16"/>
        </w:rPr>
        <w:t>CONTROLE CONCENTRADO</w:t>
      </w:r>
    </w:p>
    <w:p>
      <w:pPr>
        <w:ind w:left="288"/>
      </w:pPr>
      <w:r>
        <w:rPr>
          <w:color w:val="8C8C8C"/>
          <w:sz w:val="12"/>
        </w:rPr>
        <w:t>cf-art-127</w:t>
      </w:r>
      <w:r>
        <w:rPr>
          <w:color w:val="003CA0"/>
          <w:sz w:val="12"/>
        </w:rPr>
        <w:t xml:space="preserve"> | ADI 4.768</w:t>
      </w:r>
      <w:r>
        <w:rPr>
          <w:color w:val="003CA0"/>
          <w:sz w:val="12"/>
        </w:rPr>
        <w:t xml:space="preserve"> | rel. Cármen Lúcia</w:t>
      </w:r>
    </w:p>
    <w:p>
      <w:pPr>
        <w:ind w:left="288"/>
      </w:pPr>
      <w:r>
        <w:rPr>
          <w:color w:val="1E1E1E"/>
          <w:sz w:val="18"/>
        </w:rPr>
        <w:t>Prerrogativa dos membros do Ministério Público de se apresentar no mesmo plano e à direita dos magistrados nas audiências e sessões de julgamento. Inexistência de afronta aos princípios da isonomia, do devido processo legal, da ampla defesa e do contraditório ou comprometimento da paridade de armas entre defesa e acusação. Perfil institucional do Ministério Público na defesa da ordem jurídica, do regime democrático e dos interesses sociais e individuais indisponíveis (art. 127 da Constituição da República). Proteção do interesse público. Incindibilidade das funções de fiscal da lei e parte pro</w:t>
      </w:r>
    </w:p>
    <w:p>
      <w:pPr>
        <w:ind w:left="288"/>
      </w:pPr>
      <w:r>
        <w:rPr>
          <w:b/>
          <w:color w:val="003CA0"/>
          <w:sz w:val="16"/>
        </w:rPr>
        <w:t>[ADI 5.507, rel. min. Dias Toffoli, j. 5-9-2022, P, DJE de 3-10-2022.]</w:t>
      </w:r>
    </w:p>
    <w:p>
      <w:pPr>
        <w:ind w:left="288"/>
      </w:pPr>
      <w:r>
        <w:rPr>
          <w:color w:val="8C8C8C"/>
          <w:sz w:val="12"/>
        </w:rPr>
        <w:t>cf-art-127</w:t>
      </w:r>
      <w:r>
        <w:rPr>
          <w:color w:val="003CA0"/>
          <w:sz w:val="12"/>
        </w:rPr>
        <w:t xml:space="preserve"> | ADI 4.714</w:t>
      </w:r>
      <w:r>
        <w:rPr>
          <w:color w:val="003CA0"/>
          <w:sz w:val="12"/>
        </w:rPr>
        <w:t xml:space="preserve"> | rel. Cármen Lúcia</w:t>
      </w:r>
    </w:p>
    <w:p>
      <w:pPr>
        <w:ind w:left="288"/>
      </w:pPr>
      <w:r>
        <w:rPr>
          <w:color w:val="1E1E1E"/>
          <w:sz w:val="18"/>
        </w:rPr>
        <w:t>Arts. 7º, 8º, 9º e 10 da Lei 9.419/2010, do Rio Grande do Norte. Fundo de reaparelhamento do Ministério Público – FRMP, composto em parte por recursos provenientes da cobrança efetuada em procedimentos extrajudiciais, serviços notariais e de registro. Atribuição do ministério público de fiscalização do devido recolhimento da taxa. (...) As atribuições conferidas ao Ministério Público do Rio Grande do Norte pelos arts. 7º, 8º, 9º e 10 da Lei estadual 9.419/2010 são atividades de fiscalização tributária típicas das Secretarias de Estado de Fazenda, não se relacionando diretamente com as finalida</w:t>
      </w:r>
    </w:p>
    <w:p>
      <w:pPr>
        <w:ind w:left="288"/>
      </w:pPr>
      <w:r>
        <w:rPr>
          <w:b/>
          <w:color w:val="003CA0"/>
          <w:sz w:val="16"/>
        </w:rPr>
        <w:t>[ADI 4.714, rel. min. Cármen Lúcia, j. 29-11-2019, P, DJE de 3-2-2020.]</w:t>
      </w:r>
    </w:p>
    <w:p>
      <w:pPr>
        <w:ind w:left="288"/>
      </w:pPr>
      <w:r>
        <w:rPr>
          <w:color w:val="8C8C8C"/>
          <w:sz w:val="12"/>
        </w:rPr>
        <w:t>cf-art-127</w:t>
      </w:r>
      <w:r>
        <w:rPr>
          <w:color w:val="003CA0"/>
          <w:sz w:val="12"/>
        </w:rPr>
        <w:t xml:space="preserve"> | ADI 4.617</w:t>
      </w:r>
      <w:r>
        <w:rPr>
          <w:color w:val="003CA0"/>
          <w:sz w:val="12"/>
        </w:rPr>
        <w:t xml:space="preserve"> | rel. Luiz Fux</w:t>
      </w:r>
    </w:p>
    <w:p>
      <w:pPr>
        <w:ind w:left="288"/>
      </w:pPr>
      <w:r>
        <w:rPr>
          <w:color w:val="1E1E1E"/>
          <w:sz w:val="18"/>
        </w:rPr>
        <w:t>Propaganda partidária irregular. (...) A legitimidade do Ministério Público para a defesa da ordem jurídica, do regime democrático e dos interesses sociais indisponíveis, não pode ser verberada, máxime diante da normativa constitucional insculpida nos arts. 127 e 129 da Constituição. (...) A representação de que trata o art. 45, § 3º, da Lei 9.096/1995 pode ser ajuizada por partido político ou pelo Ministério Público, mercê da incidência do art. 22, caput, da LC 64/1990 (...).</w:t>
      </w:r>
    </w:p>
    <w:p>
      <w:pPr>
        <w:ind w:left="288"/>
      </w:pPr>
      <w:r>
        <w:rPr>
          <w:b/>
          <w:color w:val="003CA0"/>
          <w:sz w:val="16"/>
        </w:rPr>
        <w:t>[ADI 4.617, rel. min. Luiz Fux, j. 19-6-2013, P, DJE de 12-2-2014.]</w:t>
      </w:r>
    </w:p>
    <w:p>
      <w:pPr>
        <w:ind w:left="288"/>
      </w:pPr>
      <w:r>
        <w:rPr>
          <w:color w:val="8C8C8C"/>
          <w:sz w:val="12"/>
        </w:rPr>
        <w:t>cf-art-127</w:t>
      </w:r>
      <w:r>
        <w:rPr>
          <w:color w:val="003CA0"/>
          <w:sz w:val="12"/>
        </w:rPr>
        <w:t xml:space="preserve"> | ADI 3.028</w:t>
      </w:r>
    </w:p>
    <w:p>
      <w:pPr>
        <w:ind w:left="288"/>
      </w:pPr>
      <w:r>
        <w:rPr>
          <w:color w:val="1E1E1E"/>
          <w:sz w:val="18"/>
        </w:rPr>
        <w:t>O produto da arrecadação de taxa de polícia sobre as atividades notariais e de registro não está restrito ao reaparelhamento do Poder Judiciário, mas ao aperfeiçoamento da jurisdição. E o Ministério Público é aparelho genuinamente estatal ou de existência necessária, unidade de serviço que se inscreve no rol daquelas que desempenham função essencial à jurisdição (art. 127, caput, da CF/1988). Logo, bem aparelhar o Ministério Público é servir ao desígnio constitucional de aperfeiçoar a própria jurisdição como atividade básica do Estado e função específica do Poder Judiciário.</w:t>
      </w:r>
    </w:p>
    <w:p>
      <w:pPr>
        <w:ind w:left="288"/>
      </w:pPr>
      <w:r>
        <w:rPr>
          <w:b/>
          <w:color w:val="003CA0"/>
          <w:sz w:val="16"/>
        </w:rPr>
        <w:t>[ADI 3.028, red. do ac. min. Ayres Britto, j. 26-5-2010, P, DJE de 1º-7-2010.]</w:t>
      </w:r>
    </w:p>
    <w:p>
      <w:pPr>
        <w:ind w:left="288"/>
      </w:pPr>
      <w:r>
        <w:rPr>
          <w:color w:val="8C8C8C"/>
          <w:sz w:val="12"/>
        </w:rPr>
        <w:t>cf-art-127</w:t>
      </w:r>
      <w:r>
        <w:rPr>
          <w:color w:val="003CA0"/>
          <w:sz w:val="12"/>
        </w:rPr>
        <w:t xml:space="preserve"> | ARE 1.524.619</w:t>
      </w:r>
      <w:r>
        <w:rPr>
          <w:color w:val="003CA0"/>
          <w:sz w:val="12"/>
        </w:rPr>
        <w:t xml:space="preserve"> | rel. Alexandre de Moraes</w:t>
      </w:r>
    </w:p>
    <w:p>
      <w:pPr>
        <w:ind w:left="288"/>
      </w:pPr>
      <w:r>
        <w:rPr>
          <w:color w:val="1E1E1E"/>
          <w:sz w:val="18"/>
        </w:rPr>
        <w:t>O Ministério Público é instituição permanente, essencial à função jurisdicional do Estado, incumbindo-lhe a defesa da ordem jurídica, do regime democrático e dos interesses sociais e individuais indisponíveis, não sendo possível sua condenação ao pagamento de despesas processuais e honorários de sucumbência, sob pena de ferimento à sua independência e autonomia.</w:t>
      </w:r>
    </w:p>
    <w:p>
      <w:pPr>
        <w:ind w:left="288"/>
      </w:pPr>
      <w:r>
        <w:rPr>
          <w:b/>
          <w:color w:val="003CA0"/>
          <w:sz w:val="16"/>
        </w:rPr>
        <w:t>[ARE 1.524.619 RG, rel. min. Alexandre de Moraes, j. 14.03.2025, P, DJE de 27.03.2025, Tema 1.382, com mérito pendente.]</w:t>
      </w:r>
    </w:p>
    <w:p>
      <w:pPr>
        <w:ind w:left="144"/>
      </w:pPr>
      <w:r>
        <w:rPr>
          <w:b/>
          <w:color w:val="B45A00"/>
          <w:sz w:val="16"/>
        </w:rPr>
        <w:t>REPERCUSSAO GERAL</w:t>
      </w:r>
    </w:p>
    <w:p>
      <w:pPr>
        <w:ind w:left="288"/>
      </w:pPr>
      <w:r>
        <w:rPr>
          <w:color w:val="8C8C8C"/>
          <w:sz w:val="12"/>
        </w:rPr>
        <w:t>cf-art-127</w:t>
      </w:r>
      <w:r>
        <w:rPr>
          <w:color w:val="003CA0"/>
          <w:sz w:val="12"/>
        </w:rPr>
        <w:t xml:space="preserve"> | RE 985.392</w:t>
      </w:r>
      <w:r>
        <w:rPr>
          <w:color w:val="003CA0"/>
          <w:sz w:val="12"/>
        </w:rPr>
        <w:t xml:space="preserve"> | rel. Gilmar Mendes</w:t>
      </w:r>
    </w:p>
    <w:p>
      <w:pPr>
        <w:ind w:left="288"/>
      </w:pPr>
      <w:r>
        <w:rPr>
          <w:color w:val="1E1E1E"/>
          <w:sz w:val="18"/>
        </w:rPr>
        <w:t>Os Ministérios Públicos dos Estados e do Distrito Federal têm legitimidade para propor e atuar em recursos e meios de impugnação de decisões judiciais em trâmite no STF e no STJ, oriundos de processos de sua atribuição, sem prejuízo da atuação do MPF.</w:t>
        <w:br/>
        <w:t>[RE 985.392, rel. min. Gilmar Mendes, j. 26-5-2017, P, DJE de 10-11-2017, Tema 946, com mérito julgado.] Considerada a natureza e a finalidade do seguro obrigatório Danos Pessoais Causados por Veículos Automotores de Via Terrestre (DPVAT)(...) o STF considerou que sua tutela se revestia de interesse social qualificado, autorizando, por isso mesmo</w:t>
      </w:r>
    </w:p>
    <w:p>
      <w:pPr>
        <w:ind w:left="288"/>
      </w:pPr>
      <w:r>
        <w:rPr>
          <w:b/>
          <w:color w:val="003CA0"/>
          <w:sz w:val="16"/>
        </w:rPr>
        <w:t>[ARE 728.188, rel. min. Ricardo Lewandowski, j. 18-12-2013, P, DJE de 12-8-2014, Tema 680, com mérito julgado.]</w:t>
      </w:r>
    </w:p>
    <w:p>
      <w:pPr>
        <w:ind w:left="144"/>
      </w:pPr>
      <w:r>
        <w:rPr>
          <w:b/>
          <w:color w:val="B45A00"/>
          <w:sz w:val="16"/>
        </w:rPr>
        <w:t>JULGADOS CORRELATOS</w:t>
      </w:r>
    </w:p>
    <w:p>
      <w:pPr>
        <w:ind w:left="288"/>
      </w:pPr>
      <w:r>
        <w:rPr>
          <w:color w:val="8C8C8C"/>
          <w:sz w:val="12"/>
        </w:rPr>
        <w:t>cf-art-127</w:t>
      </w:r>
      <w:r>
        <w:rPr>
          <w:color w:val="003CA0"/>
          <w:sz w:val="12"/>
        </w:rPr>
        <w:t xml:space="preserve"> | RE 571.969</w:t>
      </w:r>
      <w:r>
        <w:rPr>
          <w:color w:val="003CA0"/>
          <w:sz w:val="12"/>
        </w:rPr>
        <w:t xml:space="preserve"> | rel. Cármen Lúcia</w:t>
      </w:r>
    </w:p>
    <w:p>
      <w:pPr>
        <w:ind w:left="288"/>
      </w:pPr>
      <w:r>
        <w:rPr>
          <w:color w:val="1E1E1E"/>
          <w:sz w:val="18"/>
        </w:rPr>
        <w:t>Legitimidade do Ministério Público para interpor recurso extraordinário, como custos legis (§ 2º do art. 499 do CPC), harmoniza-se com as funções institucionais previstas nos arts. 127 e 129 da Constituição da República.</w:t>
      </w:r>
    </w:p>
    <w:p>
      <w:pPr>
        <w:ind w:left="288"/>
      </w:pPr>
      <w:r>
        <w:rPr>
          <w:b/>
          <w:color w:val="003CA0"/>
          <w:sz w:val="16"/>
        </w:rPr>
        <w:t>[RE 571.969, rel. min. Cármen Lúcia, j. 12-3-2014, P, DJE de 18-9-2014.]</w:t>
      </w:r>
    </w:p>
    <w:p>
      <w:pPr>
        <w:ind w:left="288"/>
      </w:pPr>
      <w:r>
        <w:rPr>
          <w:color w:val="8C8C8C"/>
          <w:sz w:val="12"/>
        </w:rPr>
        <w:t>cf-art-127</w:t>
      </w:r>
      <w:r>
        <w:rPr>
          <w:color w:val="003CA0"/>
          <w:sz w:val="12"/>
        </w:rPr>
        <w:t xml:space="preserve"> | RE 496.718</w:t>
      </w:r>
    </w:p>
    <w:p>
      <w:pPr>
        <w:ind w:left="288"/>
      </w:pPr>
      <w:r>
        <w:rPr>
          <w:color w:val="1E1E1E"/>
          <w:sz w:val="18"/>
        </w:rPr>
        <w:t>Ministério Público. Legitimidade ativa. Medida judicial para internação compulsória de pessoa vítima de alcoolismo. Ausência. O Ministério Público não tem legitimidade ativa ad causam para requerer a internação compulsória, para tratamento de saúde, de pessoa vítima de alcoolismo. Existindo defensoria pública organizada, tem ela competência para atuar nesses casos.</w:t>
      </w:r>
    </w:p>
    <w:p>
      <w:pPr>
        <w:ind w:left="288"/>
      </w:pPr>
      <w:r>
        <w:rPr>
          <w:b/>
          <w:color w:val="003CA0"/>
          <w:sz w:val="16"/>
        </w:rPr>
        <w:t>[RE 496.718, red. do ac. min. Menezes Direito, j. 12-8-2008, 1ª T, DJE de 31-10-2008.]</w:t>
      </w:r>
    </w:p>
    <w:p>
      <w:pPr>
        <w:ind w:left="288"/>
      </w:pPr>
      <w:r>
        <w:rPr>
          <w:color w:val="8C8C8C"/>
          <w:sz w:val="12"/>
        </w:rPr>
        <w:t>cf-art-127</w:t>
      </w:r>
      <w:r>
        <w:rPr>
          <w:color w:val="003CA0"/>
          <w:sz w:val="12"/>
        </w:rPr>
        <w:t xml:space="preserve"> | HC 91.024</w:t>
      </w:r>
      <w:r>
        <w:rPr>
          <w:color w:val="003CA0"/>
          <w:sz w:val="12"/>
        </w:rPr>
        <w:t xml:space="preserve"> | rel. Ellen Gracie</w:t>
      </w:r>
    </w:p>
    <w:p>
      <w:pPr>
        <w:ind w:left="288"/>
      </w:pPr>
      <w:r>
        <w:rPr>
          <w:color w:val="1E1E1E"/>
          <w:sz w:val="18"/>
        </w:rPr>
        <w:t>Reconhece-se ao Ministério Público a faculdade de impetrar habeas corpus e mandado de segurança, além de requerer a correição parcial (...). A legitimidade do Ministério Público para impetrar habeas corpus tem fundamento na incumbência da defesa da ordem jurídica e dos interesses individuais indisponíveis (...), e o Ministério Público tem legitimidade para impetrar habeas corpus quando envolvido o princípio do juiz natural (...).</w:t>
      </w:r>
    </w:p>
    <w:p>
      <w:pPr>
        <w:ind w:left="288"/>
      </w:pPr>
      <w:r>
        <w:rPr>
          <w:b/>
          <w:color w:val="003CA0"/>
          <w:sz w:val="16"/>
        </w:rPr>
        <w:t>[HC 91.024, rel. min. Ellen Gracie, j. 5-8-2008, 2ª T, DJE de 22-8-2008.]</w:t>
      </w:r>
    </w:p>
    <w:p>
      <w:pPr>
        <w:ind w:left="288"/>
      </w:pPr>
      <w:r>
        <w:rPr>
          <w:color w:val="8C8C8C"/>
          <w:sz w:val="12"/>
        </w:rPr>
        <w:t>cf-art-127</w:t>
      </w:r>
      <w:r>
        <w:rPr>
          <w:color w:val="003CA0"/>
          <w:sz w:val="12"/>
        </w:rPr>
        <w:t xml:space="preserve"> | RE 472.489</w:t>
      </w:r>
      <w:r>
        <w:rPr>
          <w:color w:val="003CA0"/>
          <w:sz w:val="12"/>
        </w:rPr>
        <w:t xml:space="preserve"> | rel. Celso de Mello</w:t>
      </w:r>
    </w:p>
    <w:p>
      <w:pPr>
        <w:ind w:left="288"/>
      </w:pPr>
      <w:r>
        <w:rPr>
          <w:color w:val="1E1E1E"/>
          <w:sz w:val="18"/>
        </w:rPr>
        <w:t>O Ministério Público tem legitimidade ativa para a defesa, em juízo, dos direitos e interesses individuais homogêneos, quando impregnados de relevante natureza social, como sucede com o direito de petição e o direito de obtenção de certidão em repartições públicas.</w:t>
      </w:r>
    </w:p>
    <w:p>
      <w:pPr>
        <w:ind w:left="288"/>
      </w:pPr>
      <w:r>
        <w:rPr>
          <w:b/>
          <w:color w:val="003CA0"/>
          <w:sz w:val="16"/>
        </w:rPr>
        <w:t>[RE 472.489 AgR, rel. min. Celso de Mello, j. 29-4-2008, 2ª T, DJE de 29-8-2008.]</w:t>
      </w:r>
    </w:p>
    <w:p>
      <w:pPr>
        <w:ind w:left="288"/>
      </w:pPr>
      <w:r>
        <w:rPr>
          <w:color w:val="8C8C8C"/>
          <w:sz w:val="12"/>
        </w:rPr>
        <w:t>cf-art-127</w:t>
      </w:r>
      <w:r>
        <w:rPr>
          <w:color w:val="003CA0"/>
          <w:sz w:val="12"/>
        </w:rPr>
        <w:t xml:space="preserve"> | AI 516.419</w:t>
      </w:r>
      <w:r>
        <w:rPr>
          <w:color w:val="003CA0"/>
          <w:sz w:val="12"/>
        </w:rPr>
        <w:t xml:space="preserve"> | rel. Gilmar Mendes</w:t>
      </w:r>
    </w:p>
    <w:p>
      <w:pPr>
        <w:ind w:left="288"/>
      </w:pPr>
      <w:r>
        <w:rPr>
          <w:color w:val="1E1E1E"/>
          <w:sz w:val="18"/>
        </w:rPr>
        <w:t>=  AI 516.419 AgR, rel. min. Gilmar Mendes, j. 16-11-2010, 2ª T, DJE de 30-11-2010 Ação civil pública promovida pelo Ministério Público contra Município para o fim de compeli-lo a incluir, no orçamento seguinte, percentual que completaria o mínimo de 25% de aplicação no ensino. CF, art. 212. Legitimidade ativa do Ministério Público e adequação da ação civil pública, dado que esta tem por objeto interesse social indisponível (CF, art. 6º, arts. 205 e seguintes, art. 212), de relevância notável, pelo qual o Ministério Público pode pugnar (CF, art. 127, art. 129, III).</w:t>
      </w:r>
    </w:p>
    <w:p>
      <w:pPr>
        <w:ind w:left="288"/>
      </w:pPr>
      <w:r>
        <w:rPr>
          <w:b/>
          <w:color w:val="003CA0"/>
          <w:sz w:val="16"/>
        </w:rPr>
        <w:t>[RE 190.938, red. do ac. min. Gilmar Mendes, j. 14-3-2006, 2ª T, DJE de 22-5-2009.]</w:t>
      </w:r>
    </w:p>
    <w:p>
      <w:pPr>
        <w:ind w:left="288"/>
      </w:pPr>
      <w:r>
        <w:rPr>
          <w:color w:val="8C8C8C"/>
          <w:sz w:val="12"/>
        </w:rPr>
        <w:t>cf-art-127</w:t>
      </w:r>
      <w:r>
        <w:rPr>
          <w:color w:val="003CA0"/>
          <w:sz w:val="12"/>
        </w:rPr>
        <w:t xml:space="preserve"> | RE 163.231</w:t>
      </w:r>
      <w:r>
        <w:rPr>
          <w:color w:val="003CA0"/>
          <w:sz w:val="12"/>
        </w:rPr>
        <w:t xml:space="preserve"> | rel. Maurício Corrêa</w:t>
      </w:r>
    </w:p>
    <w:p>
      <w:pPr>
        <w:ind w:left="288"/>
      </w:pPr>
      <w:r>
        <w:rPr>
          <w:color w:val="1E1E1E"/>
          <w:sz w:val="18"/>
        </w:rPr>
        <w:t>A CF confere relevo ao Ministério Público como instituição permanente, essencial à função jurisdicional do Estado, incumbindo-lhe a defesa da ordem jurídica, do regime democrático e dos interesses sociais e individuais indisponíveis (CF, art. 127). (...) Cuidando-se de tema ligado à educação, amparada constitucionalmente como dever do Estado e obrigação de todos (CF, art. 205), está o Ministério Público investido da capacidade postulatória, patente a legitimidade ad causam, quando o bem que se busca resguardar se insere na órbita dos interesses coletivos, em segmento de extrema delicadeza e de</w:t>
      </w:r>
    </w:p>
    <w:p>
      <w:pPr>
        <w:ind w:left="288"/>
      </w:pPr>
      <w:r>
        <w:rPr>
          <w:b/>
          <w:color w:val="003CA0"/>
          <w:sz w:val="16"/>
        </w:rPr>
        <w:t>[RE 163.231, rel. min. Maurício Corrêa, j. 26-2-1997, P, DJ de 29-6-2001.]</w:t>
      </w:r>
    </w:p>
    <w:p>
      <w:pPr>
        <w:ind w:left="288"/>
      </w:pPr>
      <w:r>
        <w:rPr>
          <w:color w:val="8C8C8C"/>
          <w:sz w:val="12"/>
        </w:rPr>
        <w:t>cf-art-127</w:t>
      </w:r>
      <w:r>
        <w:rPr>
          <w:color w:val="003CA0"/>
          <w:sz w:val="12"/>
        </w:rPr>
        <w:t xml:space="preserve"> | AI 606.235</w:t>
      </w:r>
      <w:r>
        <w:rPr>
          <w:color w:val="003CA0"/>
          <w:sz w:val="12"/>
        </w:rPr>
        <w:t xml:space="preserve"> | rel. Joaquim Barbosa</w:t>
      </w:r>
    </w:p>
    <w:p>
      <w:pPr>
        <w:ind w:left="288"/>
      </w:pPr>
      <w:r>
        <w:rPr>
          <w:color w:val="1E1E1E"/>
          <w:sz w:val="18"/>
        </w:rPr>
        <w:t>= AI 606.235 AgR, rel. min. Joaquim Barbosa, j. 5-6-2012, 2ª T, DJE de 22-6-2012 O Ministério Público dispõe de legitimidade ativa ad causam para ajuizar, em favor de terceiros, a ação penal de habeas corpus. O remédio processual do habeas corpus não pode ser utilizado como instrumento de tutela dos direitos do Estado. Esse writ constitucional há de ser visto e interpretado em função de sua específica destinação tutelar: a salvaguarda do estado de liberdade do paciente. A impetração do habeas corpus, com desvio de sua finalidade jurídico-constitucional, objetivando satisfazer, ainda que por vi</w:t>
      </w:r>
    </w:p>
    <w:p>
      <w:pPr>
        <w:ind w:left="288"/>
      </w:pPr>
      <w:r>
        <w:rPr>
          <w:b/>
          <w:color w:val="003CA0"/>
          <w:sz w:val="16"/>
        </w:rPr>
        <w:t>[HC 69.889 diligência, rel. min. Celso de Mello, j. 2-2-1993, 1ª T, DJ de 1º-7-1993.]</w:t>
      </w:r>
    </w:p>
    <w:p>
      <w:pPr>
        <w:ind w:left="288"/>
      </w:pPr>
      <w:r>
        <w:rPr>
          <w:color w:val="8C8C8C"/>
          <w:sz w:val="12"/>
        </w:rPr>
        <w:t>cf-art-127</w:t>
      </w:r>
      <w:r>
        <w:rPr>
          <w:color w:val="003CA0"/>
          <w:sz w:val="12"/>
        </w:rPr>
        <w:t xml:space="preserve"> | HC 75.347</w:t>
      </w:r>
      <w:r>
        <w:rPr>
          <w:color w:val="003CA0"/>
          <w:sz w:val="12"/>
        </w:rPr>
        <w:t xml:space="preserve"> | rel. Carlos Velloso</w:t>
      </w:r>
    </w:p>
    <w:p>
      <w:pPr>
        <w:ind w:left="288"/>
      </w:pPr>
      <w:r>
        <w:rPr>
          <w:color w:val="1E1E1E"/>
          <w:sz w:val="18"/>
        </w:rPr>
        <w:t>= HC 75.347, rel. min. Carlos Velloso, j. 3-12-1997, 1ª T, DJ de 6-3-1998</w:t>
      </w:r>
    </w:p>
    <w:p>
      <w:pPr>
        <w:ind w:left="144"/>
      </w:pPr>
      <w:r>
        <w:rPr>
          <w:b/>
          <w:color w:val="B45A00"/>
          <w:sz w:val="16"/>
        </w:rPr>
        <w:t>CONTROLE CONCENTRADO</w:t>
      </w:r>
    </w:p>
    <w:p>
      <w:pPr>
        <w:ind w:left="288"/>
      </w:pPr>
      <w:r>
        <w:rPr>
          <w:color w:val="8C8C8C"/>
          <w:sz w:val="12"/>
        </w:rPr>
        <w:t>cf-art-127-par-1</w:t>
      </w:r>
      <w:r>
        <w:rPr>
          <w:color w:val="003CA0"/>
          <w:sz w:val="12"/>
        </w:rPr>
        <w:t xml:space="preserve"> | ADI 7.192</w:t>
      </w:r>
      <w:r>
        <w:rPr>
          <w:color w:val="003CA0"/>
          <w:sz w:val="12"/>
        </w:rPr>
        <w:t xml:space="preserve"> | rel. Luiz Fux</w:t>
      </w:r>
    </w:p>
    <w:p>
      <w:pPr>
        <w:ind w:left="288"/>
      </w:pPr>
      <w:r>
        <w:rPr>
          <w:color w:val="1E1E1E"/>
          <w:sz w:val="18"/>
        </w:rPr>
        <w:t>O artigo 21, § 1º, da Lei n. 14.344/2022, prevê que a autoridade policial poderá requisitar ao Ministério Público a propositura de ação cautelar de antecipação de produção de prova nas causas que envolvam violência contra a criança e o adolescente. A tutela penal de crianças e adolescentes deve levar em consideração o aspecto informacional, isto é, a origem da notícia de atos lesivos às autoridades competentes. A controvérsia reside no emprego do termo “requisitar”, usualmente interpretado como “determinar”. Questiona-se, assim, a possibilidade de a lei prever que a autoridade policial pode de</w:t>
      </w:r>
    </w:p>
    <w:p>
      <w:pPr>
        <w:ind w:left="288"/>
      </w:pPr>
      <w:r>
        <w:rPr>
          <w:b/>
          <w:color w:val="003CA0"/>
          <w:sz w:val="16"/>
        </w:rPr>
        <w:t>[ADPF 482, rel. min. Alexandre de Moraes, j. 3-3-2020, P, DJE de 12-3-2020.]</w:t>
      </w:r>
    </w:p>
    <w:p>
      <w:pPr>
        <w:ind w:left="288"/>
      </w:pPr>
      <w:r>
        <w:rPr>
          <w:color w:val="8C8C8C"/>
          <w:sz w:val="12"/>
        </w:rPr>
        <w:t>cf-art-127-par-1</w:t>
      </w:r>
      <w:r>
        <w:rPr>
          <w:color w:val="003CA0"/>
          <w:sz w:val="12"/>
        </w:rPr>
        <w:t xml:space="preserve"> | ADI 5.434</w:t>
      </w:r>
    </w:p>
    <w:p>
      <w:pPr>
        <w:ind w:left="288"/>
      </w:pPr>
      <w:r>
        <w:rPr>
          <w:color w:val="1E1E1E"/>
          <w:sz w:val="18"/>
        </w:rPr>
        <w:t>Os limites do princípio da independência funcional do Ministério Público, art. 127, § 1º, CRFB, encontram-se circunscritos pelo respeito à Constituição da República e às leis. (...) O Conselho Nacional do Ministério Público age dentro dos limites constitucionais ao editar resolução para esclarecer que deve ser referendada, pelo órgão de revisão competente, a decisão do membro do Parquet que conclui, após a instauração do inquérito civil ou do respectivo procedimento preparatório, ser este ou aquele de atribuição de outro ramo do Ministério Público. Regramento que se insere na ambiência da estr</w:t>
      </w:r>
    </w:p>
    <w:p>
      <w:pPr>
        <w:ind w:left="144"/>
      </w:pPr>
      <w:r>
        <w:rPr>
          <w:b/>
          <w:color w:val="B45A00"/>
          <w:sz w:val="16"/>
        </w:rPr>
        <w:t>JULGADOS CORRELATOS</w:t>
      </w:r>
    </w:p>
    <w:p>
      <w:pPr>
        <w:ind w:left="288"/>
      </w:pPr>
      <w:r>
        <w:rPr>
          <w:color w:val="8C8C8C"/>
          <w:sz w:val="12"/>
        </w:rPr>
        <w:t>cf-art-127-par-1</w:t>
      </w:r>
      <w:r>
        <w:rPr>
          <w:color w:val="003CA0"/>
          <w:sz w:val="12"/>
        </w:rPr>
        <w:t xml:space="preserve"> | PET 4.863</w:t>
      </w:r>
      <w:r>
        <w:rPr>
          <w:color w:val="003CA0"/>
          <w:sz w:val="12"/>
        </w:rPr>
        <w:t xml:space="preserve"> | rel. Marco Aurélio</w:t>
      </w:r>
    </w:p>
    <w:p>
      <w:pPr>
        <w:ind w:left="288"/>
      </w:pPr>
      <w:r>
        <w:rPr>
          <w:color w:val="1E1E1E"/>
          <w:sz w:val="18"/>
        </w:rPr>
        <w:t>Tratando-se de divergência interna entre órgãos do Ministério Público, instituição que a Carta da República subordina aos princípios institucionais da unidade e da indivisibilidade (CF, art. 127, § 1º), cumpre ao próprio Ministério Público identificar e afirmar as atribuições investigativas de cada um dos seus órgãos em face do caso concreto, devendo prevalecer, à luz do princípio federativo, a manifestação do procurador-geral da República.</w:t>
        <w:br/>
        <w:t>[Pet 4.863, rel. min. Marco Aurélio, j. 19-5-2016, P, DJE de 16-5-2017.] A pretensão de um órgão do Ministério Público não vincula os demais, garantindo-se</w:t>
      </w:r>
    </w:p>
    <w:p>
      <w:pPr>
        <w:ind w:left="288"/>
      </w:pPr>
      <w:r>
        <w:rPr>
          <w:b/>
          <w:color w:val="003CA0"/>
          <w:sz w:val="16"/>
        </w:rPr>
        <w:t>[ARE 725.491 AgR, rel. min. Luiz Fux, j. 26-5-2015, 1ª T, DJE de 15-6-2015.]</w:t>
      </w:r>
    </w:p>
    <w:p>
      <w:pPr>
        <w:ind w:left="288"/>
      </w:pPr>
      <w:r>
        <w:rPr>
          <w:color w:val="8C8C8C"/>
          <w:sz w:val="12"/>
        </w:rPr>
        <w:t>cf-art-127-par-1</w:t>
      </w:r>
      <w:r>
        <w:rPr>
          <w:color w:val="003CA0"/>
          <w:sz w:val="12"/>
        </w:rPr>
        <w:t xml:space="preserve"> | HC 103.038</w:t>
      </w:r>
      <w:r>
        <w:rPr>
          <w:color w:val="003CA0"/>
          <w:sz w:val="12"/>
        </w:rPr>
        <w:t xml:space="preserve"> | rel. Joaquim Barbosa</w:t>
      </w:r>
    </w:p>
    <w:p>
      <w:pPr>
        <w:ind w:left="288"/>
      </w:pPr>
      <w:r>
        <w:rPr>
          <w:color w:val="1E1E1E"/>
          <w:sz w:val="18"/>
        </w:rPr>
        <w:t>Violação do princípio do promotor natural. Inocorrência. (...) No caso, a designação prévia e motivada de um promotor para atuar na sessão de julgamento do Tribunal do Júri da Comarca de Santa Izabel do Pará se deu em virtude de justificada solicitação do promotor titular daquela localidade, tudo em estrita observância aos arts. 10, IX, f, parte final, e 24, ambos da Lei 8.625/1993. Ademais, o promotor designado já havia atuado no feito quando do exercício de suas atribuições na Promotoria de Justiça da referida Comarca.</w:t>
      </w:r>
    </w:p>
    <w:p>
      <w:pPr>
        <w:ind w:left="288"/>
      </w:pPr>
      <w:r>
        <w:rPr>
          <w:b/>
          <w:color w:val="003CA0"/>
          <w:sz w:val="16"/>
        </w:rPr>
        <w:t>[HC 103.038, rel. min. Joaquim Barbosa, j. 11-10-2011, 2ª T, DJE de 27-10-2011.]</w:t>
      </w:r>
    </w:p>
    <w:p>
      <w:pPr>
        <w:ind w:left="288"/>
      </w:pPr>
      <w:r>
        <w:rPr>
          <w:color w:val="8C8C8C"/>
          <w:sz w:val="12"/>
        </w:rPr>
        <w:t>cf-art-127-par-1</w:t>
      </w:r>
      <w:r>
        <w:rPr>
          <w:color w:val="003CA0"/>
          <w:sz w:val="12"/>
        </w:rPr>
        <w:t xml:space="preserve"> | RCL 7.101</w:t>
      </w:r>
      <w:r>
        <w:rPr>
          <w:color w:val="003CA0"/>
          <w:sz w:val="12"/>
        </w:rPr>
        <w:t xml:space="preserve"> | rel. Cármen Lúcia</w:t>
      </w:r>
    </w:p>
    <w:p>
      <w:pPr>
        <w:ind w:left="288"/>
      </w:pPr>
      <w:r>
        <w:rPr>
          <w:color w:val="1E1E1E"/>
          <w:sz w:val="18"/>
        </w:rPr>
        <w:t>O Supremo Tribunal reconheceu a legitimidade ativa autônoma do Ministério Público estadual para ajuizar reclamação no Supremo Tribunal, sem que se exija a ratificação da inicial pelo PGR.</w:t>
      </w:r>
    </w:p>
    <w:p>
      <w:pPr>
        <w:ind w:left="288"/>
      </w:pPr>
      <w:r>
        <w:rPr>
          <w:b/>
          <w:color w:val="003CA0"/>
          <w:sz w:val="16"/>
        </w:rPr>
        <w:t>[Rcl 7.101, rel. min. Cármen Lúcia, j. 24-2-2011, P, DJE de 9-8-2011.]</w:t>
      </w:r>
    </w:p>
    <w:p>
      <w:pPr>
        <w:ind w:left="288"/>
      </w:pPr>
      <w:r>
        <w:rPr>
          <w:color w:val="8C8C8C"/>
          <w:sz w:val="12"/>
        </w:rPr>
        <w:t>cf-art-127-par-1</w:t>
      </w:r>
      <w:r>
        <w:rPr>
          <w:color w:val="003CA0"/>
          <w:sz w:val="12"/>
        </w:rPr>
        <w:t xml:space="preserve"> | RCL 9.327</w:t>
      </w:r>
      <w:r>
        <w:rPr>
          <w:color w:val="003CA0"/>
          <w:sz w:val="12"/>
        </w:rPr>
        <w:t xml:space="preserve"> | rel. Dias Toffoli</w:t>
      </w:r>
    </w:p>
    <w:p>
      <w:pPr>
        <w:ind w:left="288"/>
      </w:pPr>
      <w:r>
        <w:rPr>
          <w:color w:val="1E1E1E"/>
          <w:sz w:val="18"/>
        </w:rPr>
        <w:t>= Rcl 9.327 AgR, rel. min. Dias Toffoli, j. 23-5-2013, P, DJE de 1º-8-2013 Nenhuma afronta ao princípio do promotor natural há no pedido de arquivamento dos autos do inquérito policial por um promotor de justiça e na oferta da denúncia por outro, indicado pelo procurador-geral de justiça, após o juízo local ter considerado improcedente o pedido de arquivamento.</w:t>
      </w:r>
    </w:p>
    <w:p>
      <w:pPr>
        <w:ind w:left="288"/>
      </w:pPr>
      <w:r>
        <w:rPr>
          <w:b/>
          <w:color w:val="003CA0"/>
          <w:sz w:val="16"/>
        </w:rPr>
        <w:t>[HC 92.885, rel. min. Cármen Lúcia, j. 29-4-2008, 1ª T, DJE de 20-6-2008.]</w:t>
      </w:r>
    </w:p>
    <w:p>
      <w:pPr>
        <w:ind w:left="288"/>
      </w:pPr>
      <w:r>
        <w:rPr>
          <w:color w:val="8C8C8C"/>
          <w:sz w:val="12"/>
        </w:rPr>
        <w:t>cf-art-127-par-1</w:t>
      </w:r>
      <w:r>
        <w:rPr>
          <w:color w:val="003CA0"/>
          <w:sz w:val="12"/>
        </w:rPr>
        <w:t xml:space="preserve"> | HC 85.137</w:t>
      </w:r>
      <w:r>
        <w:rPr>
          <w:color w:val="003CA0"/>
          <w:sz w:val="12"/>
        </w:rPr>
        <w:t xml:space="preserve"> | rel. Cezar Peluso</w:t>
      </w:r>
    </w:p>
    <w:p>
      <w:pPr>
        <w:ind w:left="288"/>
      </w:pPr>
      <w:r>
        <w:rPr>
          <w:color w:val="1E1E1E"/>
          <w:sz w:val="18"/>
        </w:rPr>
        <w:t>O ato processual de oferecimento da denúncia, praticado, em foro incompetente, por um representante, prescinde, para ser válido e eficaz, de ratificação por outro do mesmo grau funcional e do mesmo Ministério Público, apenas lotado em foro diverso e competente, porque o foi em nome da instituição, que é una e indivisível.</w:t>
      </w:r>
    </w:p>
    <w:p>
      <w:pPr>
        <w:ind w:left="288"/>
      </w:pPr>
      <w:r>
        <w:rPr>
          <w:b/>
          <w:color w:val="003CA0"/>
          <w:sz w:val="16"/>
        </w:rPr>
        <w:t>[HC 85.137, rel. min. Cezar Peluso, j. 13-9-2005, 1ª T, DJ de 28-10-2005.]</w:t>
      </w:r>
    </w:p>
    <w:p>
      <w:pPr>
        <w:ind w:left="288"/>
      </w:pPr>
      <w:r>
        <w:rPr>
          <w:color w:val="8C8C8C"/>
          <w:sz w:val="12"/>
        </w:rPr>
        <w:t>cf-art-127-par-1</w:t>
      </w:r>
      <w:r>
        <w:rPr>
          <w:color w:val="003CA0"/>
          <w:sz w:val="12"/>
        </w:rPr>
        <w:t xml:space="preserve"> | INQ 2.028</w:t>
      </w:r>
      <w:r>
        <w:rPr>
          <w:color w:val="003CA0"/>
          <w:sz w:val="12"/>
        </w:rPr>
        <w:t xml:space="preserve"> | rel. Joaquim Barbosa</w:t>
      </w:r>
    </w:p>
    <w:p>
      <w:pPr>
        <w:ind w:left="288"/>
      </w:pPr>
      <w:r>
        <w:rPr>
          <w:color w:val="1E1E1E"/>
          <w:sz w:val="18"/>
        </w:rPr>
        <w:t>À luz de copiosa jurisprudência do STF, no caso de inquérito para apuração de conduta típica em que a competência originária seja da Corte, o pedido de arquivamento pelo PGR não pode ser recusado. Na hipótese dos autos, o PGR requerera, inicialmente, o arquivamento dos autos, tendo seu sucessor oferecido a respectiva denúncia sem que houvessem surgido novas provas. Na organização do Ministério Público, vicissitudes e desavenças internas, manifestadas por divergências entre os sucessivos ocupantes de sua chefia, não podem afetar a unicidade da instituição. A promoção primeira de arquivamento pe</w:t>
      </w:r>
    </w:p>
    <w:p>
      <w:pPr>
        <w:ind w:left="288"/>
      </w:pPr>
      <w:r>
        <w:rPr>
          <w:b/>
          <w:color w:val="003CA0"/>
          <w:sz w:val="16"/>
        </w:rPr>
        <w:t>[Inq 2.028, rel. min. Joaquim Barbosa, j. 28-4-2004, P, DJ de 16-12-2005.]</w:t>
      </w:r>
    </w:p>
    <w:p>
      <w:pPr>
        <w:ind w:left="288"/>
      </w:pPr>
      <w:r>
        <w:rPr>
          <w:color w:val="8C8C8C"/>
          <w:sz w:val="12"/>
        </w:rPr>
        <w:t>cf-art-127-par-1</w:t>
      </w:r>
      <w:r>
        <w:rPr>
          <w:color w:val="003CA0"/>
          <w:sz w:val="12"/>
        </w:rPr>
        <w:t xml:space="preserve"> | HC 67.759</w:t>
      </w:r>
      <w:r>
        <w:rPr>
          <w:color w:val="003CA0"/>
          <w:sz w:val="12"/>
        </w:rPr>
        <w:t xml:space="preserve"> | rel. Celso de Mello</w:t>
      </w:r>
    </w:p>
    <w:p>
      <w:pPr>
        <w:ind w:left="288"/>
      </w:pPr>
      <w:r>
        <w:rPr>
          <w:color w:val="1E1E1E"/>
          <w:sz w:val="18"/>
        </w:rPr>
        <w:t>O postulado do promotor natural, que se revela imanente ao sistema constitucional brasileiro, repele, a partir da vedação de designações casuísticas efetuadas pela chefia da instituição, a figura do acusador de exceção. Esse princípio consagra uma garantia de ordem jurídica, destinada tanto a proteger o membro do Ministério Público, na medida em que lhe assegura o exercício pleno e independente do seu ofício, quanto a tutelar a própria coletividade, a quem se reconhece o direito de ver atuando, em quaisquer causas, apenas o promotor cuja intervenção se justifique a partir de critérios abstrato</w:t>
      </w:r>
    </w:p>
    <w:p>
      <w:pPr>
        <w:ind w:left="288"/>
      </w:pPr>
      <w:r>
        <w:rPr>
          <w:b/>
          <w:color w:val="003CA0"/>
          <w:sz w:val="16"/>
        </w:rPr>
        <w:t>[HC 67.759, rel. min. Celso de Mello, j. 6-8-1992, P, DJ de 1º-7-1993.]</w:t>
      </w:r>
    </w:p>
    <w:p>
      <w:pPr>
        <w:ind w:left="288"/>
      </w:pPr>
      <w:r>
        <w:rPr>
          <w:color w:val="8C8C8C"/>
          <w:sz w:val="12"/>
        </w:rPr>
        <w:t>cf-art-127-par-1</w:t>
      </w:r>
      <w:r>
        <w:rPr>
          <w:color w:val="003CA0"/>
          <w:sz w:val="12"/>
        </w:rPr>
        <w:t xml:space="preserve"> | HC 103.038</w:t>
      </w:r>
      <w:r>
        <w:rPr>
          <w:color w:val="003CA0"/>
          <w:sz w:val="12"/>
        </w:rPr>
        <w:t xml:space="preserve"> | rel. Joaquim Barbosa</w:t>
      </w:r>
    </w:p>
    <w:p>
      <w:pPr>
        <w:ind w:left="288"/>
      </w:pPr>
      <w:r>
        <w:rPr>
          <w:color w:val="1E1E1E"/>
          <w:sz w:val="18"/>
        </w:rPr>
        <w:t>= HC 103.038, rel. min. Joaquim Barbosa, j. 11-10-2011, 2ª T, DJE de 27-10-2011 § 2º Ao Ministério Público é assegurada autonomia funcional e administrativa, podendo, observado o disposto no art. 169, propor ao Poder Legislativo a criação e extinção de seus cargos e serviços auxiliares, provendo-os por concurso público de provas ou de provas e títulos, a política remuneratória e os planos de carreira; a lei disporá sobre sua organização e funcionamento. (Redação da EC 19/1998) (...) o art. 3º da Lei nº 14.591, de 25 de maio de 2023, inserido por emenda parlamentar, ao veicular a exigência de n</w:t>
      </w:r>
    </w:p>
    <w:p>
      <w:pPr>
        <w:ind w:left="288"/>
      </w:pPr>
      <w:r>
        <w:rPr>
          <w:b/>
          <w:color w:val="003CA0"/>
          <w:sz w:val="16"/>
        </w:rPr>
        <w:t>[ADI 7.710, rel. min. Dias Toffoli, j. 26.05.2025, P, DJE de 04.06.2025.]</w:t>
      </w:r>
    </w:p>
    <w:p>
      <w:pPr>
        <w:ind w:left="144"/>
      </w:pPr>
      <w:r>
        <w:rPr>
          <w:b/>
          <w:color w:val="B45A00"/>
          <w:sz w:val="16"/>
        </w:rPr>
        <w:t>CONTROLE CONCENTRADO</w:t>
      </w:r>
    </w:p>
    <w:p>
      <w:pPr>
        <w:ind w:left="288"/>
      </w:pPr>
      <w:r>
        <w:rPr>
          <w:color w:val="8C8C8C"/>
          <w:sz w:val="12"/>
        </w:rPr>
        <w:t>cf-art-127-par-1</w:t>
      </w:r>
      <w:r>
        <w:rPr>
          <w:color w:val="003CA0"/>
          <w:sz w:val="12"/>
        </w:rPr>
        <w:t xml:space="preserve"> | ADI 7.192</w:t>
      </w:r>
      <w:r>
        <w:rPr>
          <w:color w:val="003CA0"/>
          <w:sz w:val="12"/>
        </w:rPr>
        <w:t xml:space="preserve"> | rel. Luiz Fux</w:t>
      </w:r>
    </w:p>
    <w:p>
      <w:pPr>
        <w:ind w:left="288"/>
      </w:pPr>
      <w:r>
        <w:rPr>
          <w:color w:val="1E1E1E"/>
          <w:sz w:val="18"/>
        </w:rPr>
        <w:t>O artigo 21, § 1º, da Lei n. 14.344/2022, prevê que a autoridade policial poderá requisitar ao Ministério Público a propositura de ação cautelar de antecipação de produção de prova nas causas que envolvam violência contra a criança e o adolescente. A tutela penal de crianças e adolescentes deve levar em consideração o aspecto informacional, isto é, a origem da notícia de atos lesivos às autoridades competentes. A controvérsia reside no emprego do termo “requisitar”, usualmente interpretado como “determinar”. Questiona-se, assim, a possibilidade de a lei prever que a autoridade policial pode de</w:t>
      </w:r>
    </w:p>
    <w:p>
      <w:pPr>
        <w:ind w:left="288"/>
      </w:pPr>
      <w:r>
        <w:rPr>
          <w:b/>
          <w:color w:val="003CA0"/>
          <w:sz w:val="16"/>
        </w:rPr>
        <w:t>[ADI 2.874, rel. min. Marco Aurélio, j. 28-8-2003, P, DJ de 3-10-2003.]</w:t>
      </w:r>
    </w:p>
    <w:p>
      <w:pPr>
        <w:ind w:left="288"/>
      </w:pPr>
      <w:r>
        <w:rPr>
          <w:color w:val="8C8C8C"/>
          <w:sz w:val="12"/>
        </w:rPr>
        <w:t>cf-art-127-par-1</w:t>
      </w:r>
      <w:r>
        <w:rPr>
          <w:color w:val="003CA0"/>
          <w:sz w:val="12"/>
        </w:rPr>
        <w:t xml:space="preserve"> | ADI 2.513</w:t>
      </w:r>
      <w:r>
        <w:rPr>
          <w:color w:val="003CA0"/>
          <w:sz w:val="12"/>
        </w:rPr>
        <w:t xml:space="preserve"> | rel. Celso de Mello</w:t>
      </w:r>
    </w:p>
    <w:p>
      <w:pPr>
        <w:ind w:left="288"/>
      </w:pPr>
      <w:r>
        <w:rPr>
          <w:color w:val="1E1E1E"/>
          <w:sz w:val="18"/>
        </w:rPr>
        <w:t>A alta relevância jurídico-constitucional do Ministério Público – qualificada pela outorga, em seu favor, da prerrogativa da autonomia administrativa, financeira e orçamentária – mostra-se tão expressiva, que essa instituição, embora sujeita à fiscalização externa do Poder Legislativo, com o auxílio do respectivo tribunal de contas, dispõe de uma esfera própria de atuação administrativa, livre da ingerência de órgãos do Poder Executivo, aos quais falece, por isso mesmo, competência para sustar ato do procurador-geral de justiça praticado com apoio na autonomia conferida ao Parquet. A outorga c</w:t>
      </w:r>
    </w:p>
    <w:p>
      <w:pPr>
        <w:ind w:left="288"/>
      </w:pPr>
      <w:r>
        <w:rPr>
          <w:b/>
          <w:color w:val="003CA0"/>
          <w:sz w:val="16"/>
        </w:rPr>
        <w:t>[ADI 2.513 MC, rel. min. Celso de Mello, j. 3-4-2002, P, DJE de 15-3-2011.]</w:t>
      </w:r>
    </w:p>
    <w:p>
      <w:pPr>
        <w:ind w:left="288"/>
      </w:pPr>
      <w:r>
        <w:rPr>
          <w:color w:val="8C8C8C"/>
          <w:sz w:val="12"/>
        </w:rPr>
        <w:t>cf-art-127-par-1</w:t>
      </w:r>
      <w:r>
        <w:rPr>
          <w:color w:val="003CA0"/>
          <w:sz w:val="12"/>
        </w:rPr>
        <w:t xml:space="preserve"> | ADI 63</w:t>
      </w:r>
      <w:r>
        <w:rPr>
          <w:color w:val="003CA0"/>
          <w:sz w:val="12"/>
        </w:rPr>
        <w:t xml:space="preserve"> | rel. Ilmar Galvão</w:t>
      </w:r>
    </w:p>
    <w:p>
      <w:pPr>
        <w:ind w:left="288"/>
      </w:pPr>
      <w:r>
        <w:rPr>
          <w:color w:val="1E1E1E"/>
          <w:sz w:val="18"/>
        </w:rPr>
        <w:t>Na competência reconhecida ao Ministério Público pelo art. 127, § 2º, da CF, para propor ao Poder Legislativo a criação e extinção de cargos e serviços auxiliares, compreende-se a de propor a fixação dos respectivos vencimentos, bem como a sua revisão.</w:t>
      </w:r>
    </w:p>
    <w:p>
      <w:pPr>
        <w:ind w:left="288"/>
      </w:pPr>
      <w:r>
        <w:rPr>
          <w:b/>
          <w:color w:val="003CA0"/>
          <w:sz w:val="16"/>
        </w:rPr>
        <w:t>[ADI 63, rel. min. Ilmar Galvão, j. 13-10-1993, P, DJ de 27-5-1994.]</w:t>
      </w:r>
    </w:p>
    <w:p>
      <w:pPr>
        <w:ind w:left="144"/>
      </w:pPr>
      <w:r>
        <w:rPr>
          <w:b/>
          <w:color w:val="B45A00"/>
          <w:sz w:val="16"/>
        </w:rPr>
        <w:t>JULGADOS CORRELATOS</w:t>
      </w:r>
    </w:p>
    <w:p>
      <w:pPr>
        <w:ind w:left="288"/>
      </w:pPr>
      <w:r>
        <w:rPr>
          <w:color w:val="8C8C8C"/>
          <w:sz w:val="12"/>
        </w:rPr>
        <w:t>cf-art-127-par-1</w:t>
      </w:r>
      <w:r>
        <w:rPr>
          <w:color w:val="003CA0"/>
          <w:sz w:val="12"/>
        </w:rPr>
        <w:t xml:space="preserve"> | ACO 1.936</w:t>
      </w:r>
      <w:r>
        <w:rPr>
          <w:color w:val="003CA0"/>
          <w:sz w:val="12"/>
        </w:rPr>
        <w:t xml:space="preserve"> | rel. Luiz Fux</w:t>
      </w:r>
    </w:p>
    <w:p>
      <w:pPr>
        <w:ind w:left="288"/>
      </w:pPr>
      <w:r>
        <w:rPr>
          <w:color w:val="1E1E1E"/>
          <w:sz w:val="18"/>
        </w:rPr>
        <w:t>O Ministério Público, embora não detenha personalidade jurídica própria, é órgão vocacionado à preservação dos valores constitucionais, dotado de autonomia financeira, administrativa e institucional que lhe conferem a capacidade ativa para a tutela da sociedade e de seus próprios interesses em juízo, sendo descabida a atuação da União em defesa dessa instituição.</w:t>
      </w:r>
    </w:p>
    <w:p>
      <w:pPr>
        <w:ind w:left="288"/>
      </w:pPr>
      <w:r>
        <w:rPr>
          <w:b/>
          <w:color w:val="003CA0"/>
          <w:sz w:val="16"/>
        </w:rPr>
        <w:t>[ACO 1.936 AgR, rel. min. Luiz Fux, j. 28-4-2015, 1ª T, DJE de 27-5-2015.]</w:t>
      </w:r>
    </w:p>
    <w:p>
      <w:pPr>
        <w:ind w:left="288"/>
      </w:pPr>
      <w:r>
        <w:rPr>
          <w:color w:val="8C8C8C"/>
          <w:sz w:val="12"/>
        </w:rPr>
        <w:t>cf-art-127-par-1</w:t>
      </w:r>
      <w:r>
        <w:rPr>
          <w:color w:val="003CA0"/>
          <w:sz w:val="12"/>
        </w:rPr>
        <w:t xml:space="preserve"> | AR 1.958</w:t>
      </w:r>
      <w:r>
        <w:rPr>
          <w:color w:val="003CA0"/>
          <w:sz w:val="12"/>
        </w:rPr>
        <w:t xml:space="preserve"> | rel. Dias Toffoli</w:t>
      </w:r>
    </w:p>
    <w:p>
      <w:pPr>
        <w:ind w:left="288"/>
      </w:pPr>
      <w:r>
        <w:rPr>
          <w:color w:val="1E1E1E"/>
          <w:sz w:val="18"/>
        </w:rPr>
        <w:t>Não configura ilegalidade a atuação do Ministério Público, por um lado, como fiscal da lei, expressando-se dentro da independência de suas funções (art. 1º, parágrafo único, da Lei 8.625/1993), e, por outro lado, como réu da ação rescisória.</w:t>
      </w:r>
    </w:p>
    <w:p>
      <w:pPr>
        <w:ind w:left="288"/>
      </w:pPr>
      <w:r>
        <w:rPr>
          <w:b/>
          <w:color w:val="003CA0"/>
          <w:sz w:val="16"/>
        </w:rPr>
        <w:t>[AR 1.958 AgR-segundo, rel. min. Dias Toffoli, j. 10-4-2014, P, DJE de 30-5-2014.]</w:t>
      </w:r>
    </w:p>
    <w:p>
      <w:pPr>
        <w:ind w:left="288"/>
      </w:pPr>
      <w:r>
        <w:rPr>
          <w:color w:val="8C8C8C"/>
          <w:sz w:val="12"/>
        </w:rPr>
        <w:t>cf-art-127-par-1</w:t>
      </w:r>
      <w:r>
        <w:rPr>
          <w:color w:val="003CA0"/>
          <w:sz w:val="12"/>
        </w:rPr>
        <w:t xml:space="preserve"> | MS 30.717</w:t>
      </w:r>
      <w:r>
        <w:rPr>
          <w:color w:val="003CA0"/>
          <w:sz w:val="12"/>
        </w:rPr>
        <w:t xml:space="preserve"> | rel. Ricardo Lewandowski</w:t>
      </w:r>
    </w:p>
    <w:p>
      <w:pPr>
        <w:ind w:left="288"/>
      </w:pPr>
      <w:r>
        <w:rPr>
          <w:color w:val="1E1E1E"/>
          <w:sz w:val="18"/>
        </w:rPr>
        <w:t>Percebimento de gratificação. Ausência de legitimidade do Ministério Público do Estado do Rio Grande do Sul para atacar ato do CNMP. Defesa das suas atribuições funcionais não caracterizada. Direito individual dos membros da instituição que compõem o Órgão Especial e o Conselho Superior, cuja defesa compete exclusivamente a estes. (...) A legitimidade do Ministério Público para interpor mandado de segurança na qualidade de órgão público despersonalizado deve ser restrito à defesa de sua atuação funcional e de suas atribuições institucionais. (...) No caso, trata-se de direito individual dos me</w:t>
      </w:r>
    </w:p>
    <w:p>
      <w:pPr>
        <w:ind w:left="288"/>
      </w:pPr>
      <w:r>
        <w:rPr>
          <w:b/>
          <w:color w:val="003CA0"/>
          <w:sz w:val="16"/>
        </w:rPr>
        <w:t>[MS 30.717 AgR, rel. min. Ricardo Lewandowski, j. 27-9-2011, 2ª T, DJE de 11-10-2011.]</w:t>
      </w:r>
    </w:p>
    <w:p>
      <w:pPr>
        <w:ind w:left="288"/>
      </w:pPr>
      <w:r>
        <w:rPr>
          <w:color w:val="8C8C8C"/>
          <w:sz w:val="12"/>
        </w:rPr>
        <w:t>cf-art-127-par-1</w:t>
      </w:r>
      <w:r>
        <w:rPr>
          <w:color w:val="003CA0"/>
          <w:sz w:val="12"/>
        </w:rPr>
        <w:t xml:space="preserve"> | MS 21.239</w:t>
      </w:r>
      <w:r>
        <w:rPr>
          <w:color w:val="003CA0"/>
          <w:sz w:val="12"/>
        </w:rPr>
        <w:t xml:space="preserve"> | rel. Sepúlveda Pertence</w:t>
      </w:r>
    </w:p>
    <w:p>
      <w:pPr>
        <w:ind w:left="288"/>
      </w:pPr>
      <w:r>
        <w:rPr>
          <w:color w:val="1E1E1E"/>
          <w:sz w:val="18"/>
        </w:rPr>
        <w:t>Mandado de segurança: legitimação ativa do PGR para impugnar atos do presidente da República que entende praticados com usurpação de sua própria competência constitucional e ofensivos da autonomia do Ministério Público: análise doutrinária e reafirmação da jurisprudência. A legitimidade ad causam no mandado de segurança pressupõe que o impetrante se afirme titular de um direito subjetivo próprio, violado ou ameaçado por ato de autoridade; no entanto, segundo assentado pela doutrina mais autorizada (cf. Jellinek, Malberg, Duguit, Dabin, Santi Romano), entre os direitos públicos subjetivos, incl</w:t>
      </w:r>
    </w:p>
    <w:p>
      <w:pPr>
        <w:ind w:left="288"/>
      </w:pPr>
      <w:r>
        <w:rPr>
          <w:b/>
          <w:color w:val="003CA0"/>
          <w:sz w:val="16"/>
        </w:rPr>
        <w:t>[MS 21.239, rel. min. Sepúlveda Pertence, j. 5-6-1991, P, DJ de 23-4-1993.]</w:t>
      </w:r>
    </w:p>
    <w:p>
      <w:pPr>
        <w:ind w:left="144"/>
      </w:pPr>
      <w:r>
        <w:rPr>
          <w:b/>
          <w:color w:val="B45A00"/>
          <w:sz w:val="16"/>
        </w:rPr>
        <w:t>CONTROLE CONCENTRADO</w:t>
      </w:r>
    </w:p>
    <w:p>
      <w:pPr>
        <w:ind w:left="288"/>
      </w:pPr>
      <w:r>
        <w:rPr>
          <w:color w:val="8C8C8C"/>
          <w:sz w:val="12"/>
        </w:rPr>
        <w:t>cf-art-127-par-3</w:t>
      </w:r>
      <w:r>
        <w:rPr>
          <w:color w:val="003CA0"/>
          <w:sz w:val="12"/>
        </w:rPr>
        <w:t xml:space="preserve"> | ADI 7.073</w:t>
      </w:r>
      <w:r>
        <w:rPr>
          <w:color w:val="003CA0"/>
          <w:sz w:val="12"/>
        </w:rPr>
        <w:t xml:space="preserve"> | rel. André Mendonça</w:t>
      </w:r>
    </w:p>
    <w:p>
      <w:pPr>
        <w:ind w:left="288"/>
      </w:pPr>
      <w:r>
        <w:rPr>
          <w:color w:val="1E1E1E"/>
          <w:sz w:val="18"/>
        </w:rPr>
        <w:t>O regime constitucional pertinente à autonomia financeira do Ministério Público equipara-se às prerrogativas institucionais do Poder Judiciário. Conforme o art. 99, § 1º, da Constituição da República, os limites balizadores das propostas orçamentárias dos Poderes e órgãos autônomos presentes na Lei de Diretrizes Orçamentárias devem ser estipulados conjuntamente. Assim, é direito subjetivo público do Ministério Público a participação efetiva no ciclo orçamentário. É inconstitucional a limitação de despesas da folha complementar do Ministério Público do Estado do Ceará em percentual da despesa a</w:t>
      </w:r>
    </w:p>
    <w:p>
      <w:pPr>
        <w:ind w:left="288"/>
      </w:pPr>
      <w:r>
        <w:rPr>
          <w:b/>
          <w:color w:val="003CA0"/>
          <w:sz w:val="16"/>
        </w:rPr>
        <w:t>[ADI 7.073, rel. min. André Mendonça, j. 26-9-2022, P, DJE de 24-10-2022.]</w:t>
      </w:r>
    </w:p>
    <w:p>
      <w:pPr>
        <w:ind w:left="288"/>
      </w:pPr>
      <w:r>
        <w:rPr>
          <w:color w:val="8C8C8C"/>
          <w:sz w:val="12"/>
        </w:rPr>
        <w:t>cf-art-127-par-3</w:t>
      </w:r>
      <w:r>
        <w:rPr>
          <w:color w:val="003CA0"/>
          <w:sz w:val="12"/>
        </w:rPr>
        <w:t xml:space="preserve"> | ADI 4.356</w:t>
      </w:r>
      <w:r>
        <w:rPr>
          <w:color w:val="003CA0"/>
          <w:sz w:val="12"/>
        </w:rPr>
        <w:t xml:space="preserve"> | rel. Dias Toffoli</w:t>
      </w:r>
    </w:p>
    <w:p>
      <w:pPr>
        <w:ind w:left="288"/>
      </w:pPr>
      <w:r>
        <w:rPr>
          <w:color w:val="1E1E1E"/>
          <w:sz w:val="18"/>
        </w:rPr>
        <w:t>Conquanto a Conamp [Associação Nacional dos Membros do Ministério Público] tenha impugnado todo o art. 6º da Lei estadual 14.506/2009, o referido dispositivo limita a execução orçamentária não apenas em relação aos órgãos do Ministério Público, mas também em relação aos Poderes estatais (Executivo, Legislativo e Judiciário), os quais são alheios à sua atividade de representação. Todos os fundamentos apresentados pela requerente para demonstrar a suposta inconstitucionalidade restringem-se ao Ministério Público, não alcançando os demais destinatários. Conhecimento parcial da ação. O diploma nor</w:t>
      </w:r>
    </w:p>
    <w:p>
      <w:pPr>
        <w:ind w:left="288"/>
      </w:pPr>
      <w:r>
        <w:rPr>
          <w:b/>
          <w:color w:val="003CA0"/>
          <w:sz w:val="16"/>
        </w:rPr>
        <w:t>[ADI 4.356, rel. min. Dias Toffoli, j. 9-2-2011, P, DJE de 12-5-2011.]</w:t>
      </w:r>
    </w:p>
    <w:p>
      <w:pPr>
        <w:ind w:left="288"/>
      </w:pPr>
      <w:r>
        <w:rPr>
          <w:color w:val="8C8C8C"/>
          <w:sz w:val="12"/>
        </w:rPr>
        <w:t>cf-art-127-par-3</w:t>
      </w:r>
      <w:r>
        <w:rPr>
          <w:color w:val="003CA0"/>
          <w:sz w:val="12"/>
        </w:rPr>
        <w:t xml:space="preserve"> | ADI 4.426</w:t>
      </w:r>
      <w:r>
        <w:rPr>
          <w:color w:val="003CA0"/>
          <w:sz w:val="12"/>
        </w:rPr>
        <w:t xml:space="preserve"> | rel. Dias Toffoli</w:t>
      </w:r>
    </w:p>
    <w:p>
      <w:pPr>
        <w:ind w:left="288"/>
      </w:pPr>
      <w:r>
        <w:rPr>
          <w:color w:val="1E1E1E"/>
          <w:sz w:val="18"/>
        </w:rPr>
        <w:t>Vide ADI 4.426, rel. min. Dias Toffoli, j. 9-2-2011, P, DJE de 18-5-2011 O reconhecimento da autonomia financeira em favor do Ministério Público, estabelecido em sede de legislação infraconstitucional, não parece traduzir situação configuradora de ilegitimidade constitucional, na medida em que se revela uma das dimensões da própria autonomia institucional do Parquet. Não obstante a autonomia institucional que foi conferida ao Ministério Público pela Carta Política, permanece na esfera exclusiva do Poder Executivo a competência para instaurar o processo de formação das leis orçamentárias em ger</w:t>
      </w:r>
    </w:p>
    <w:p>
      <w:pPr>
        <w:ind w:left="288"/>
      </w:pPr>
      <w:r>
        <w:rPr>
          <w:b/>
          <w:color w:val="003CA0"/>
          <w:sz w:val="16"/>
        </w:rPr>
        <w:t>[ADI 514 MC, rel. min. Celso de Mello, j. 13-6-1991, P, DJ de 18-3-1994.]</w:t>
      </w:r>
    </w:p>
    <w:p>
      <w:pPr>
        <w:ind w:left="288"/>
      </w:pPr>
      <w:r>
        <w:rPr>
          <w:color w:val="8C8C8C"/>
          <w:sz w:val="12"/>
        </w:rPr>
        <w:t>cf-art-127-par-3</w:t>
      </w:r>
    </w:p>
    <w:p>
      <w:pPr>
        <w:ind w:left="288"/>
      </w:pPr>
      <w:r>
        <w:rPr>
          <w:color w:val="1E1E1E"/>
          <w:sz w:val="18"/>
        </w:rPr>
        <w:t>§ 4º Se o Ministério Público não encaminhar a respectiva proposta orçamentária dentro do prazo estabelecido na lei de diretrizes orçamentárias, o Poder Executivo considerará, para fins de consolidação da proposta orçamentária anual, os valores aprovados na lei orçamentária vigente, ajustados de acordo com os limites estipulados na forma do § 3º. (Incluído pela EC 45/2004)</w:t>
      </w:r>
    </w:p>
    <w:p>
      <w:pPr>
        <w:ind w:left="288"/>
      </w:pPr>
      <w:r>
        <w:rPr>
          <w:color w:val="8C8C8C"/>
          <w:sz w:val="12"/>
        </w:rPr>
        <w:t>cf-art-127-par-5</w:t>
      </w:r>
    </w:p>
    <w:p>
      <w:pPr>
        <w:ind w:left="288"/>
      </w:pPr>
      <w:r>
        <w:rPr>
          <w:color w:val="1E1E1E"/>
          <w:sz w:val="18"/>
        </w:rPr>
        <w:t>§ 6º Durante a execução orçamentária do exercício, não poderá haver a realização de despesas ou a assunção de obrigações que extrapolem os limites estabelecidos na lei de diretrizes orçamentárias, exceto se previamente autorizadas, mediante a abertura de créditos suplementares ou especiais. (Incluído pela EC 45/2004)</w:t>
      </w:r>
    </w:p>
    <w:p>
      <w:pPr>
        <w:ind w:left="432"/>
      </w:pPr>
      <w:r>
        <w:rPr>
          <w:color w:val="003366"/>
          <w:sz w:val="18"/>
        </w:rPr>
        <w:t>§ 1 São princípios institucionais do Ministério Público a unidade, a indivisibil</w:t>
      </w:r>
    </w:p>
    <w:p>
      <w:pPr>
        <w:ind w:left="432"/>
      </w:pPr>
      <w:r>
        <w:rPr>
          <w:color w:val="003366"/>
          <w:sz w:val="18"/>
        </w:rPr>
        <w:t>§ 2 Ao Ministério Público é assegurada autonomia funcional e administrativa, pod</w:t>
      </w:r>
    </w:p>
    <w:p>
      <w:pPr>
        <w:ind w:left="432"/>
      </w:pPr>
      <w:r>
        <w:rPr>
          <w:color w:val="003366"/>
          <w:sz w:val="18"/>
        </w:rPr>
        <w:t xml:space="preserve">§ 3 O Ministério Público elaborará sua proposta orçamentária dentro dos limites </w:t>
      </w:r>
    </w:p>
    <w:p>
      <w:pPr>
        <w:ind w:left="432"/>
      </w:pPr>
      <w:r>
        <w:rPr>
          <w:color w:val="003366"/>
          <w:sz w:val="18"/>
        </w:rPr>
        <w:t>§ 4 Se o Ministério Público não encaminhar a respectiva proposta orçamentária de</w:t>
      </w:r>
    </w:p>
    <w:p>
      <w:pPr>
        <w:ind w:left="432"/>
      </w:pPr>
      <w:r>
        <w:rPr>
          <w:color w:val="003366"/>
          <w:sz w:val="18"/>
        </w:rPr>
        <w:t>§ 5 Se a proposta orçamentária de que trata este artigo for encaminhada em desac</w:t>
      </w:r>
    </w:p>
    <w:p>
      <w:pPr>
        <w:ind w:left="432"/>
      </w:pPr>
      <w:r>
        <w:rPr>
          <w:color w:val="003366"/>
          <w:sz w:val="18"/>
        </w:rPr>
        <w:t xml:space="preserve">§ 6 Durante a execução orçamentária do exercício, não poderá haver a realização </w:t>
      </w:r>
    </w:p>
    <w:p>
      <w:r>
        <w:rPr>
          <w:b/>
          <w:color w:val="003366"/>
          <w:sz w:val="20"/>
        </w:rPr>
        <w:t>Art. 128 O Ministério Público abrange:</w:t>
      </w:r>
      <w:r>
        <w:rPr>
          <w:color w:val="8C8C8C"/>
          <w:sz w:val="14"/>
        </w:rPr>
        <w:t xml:space="preserve">  [56 decisoes]</w:t>
      </w:r>
    </w:p>
    <w:p>
      <w:pPr>
        <w:ind w:left="144"/>
      </w:pPr>
      <w:r>
        <w:rPr>
          <w:b/>
          <w:color w:val="B45A00"/>
          <w:sz w:val="16"/>
        </w:rPr>
        <w:t>JULGADOS CORRELATOS</w:t>
      </w:r>
    </w:p>
    <w:p>
      <w:pPr>
        <w:ind w:left="288"/>
      </w:pPr>
      <w:r>
        <w:rPr>
          <w:color w:val="8C8C8C"/>
          <w:sz w:val="12"/>
        </w:rPr>
        <w:t>cf-art-128</w:t>
      </w:r>
      <w:r>
        <w:rPr>
          <w:color w:val="003CA0"/>
          <w:sz w:val="12"/>
        </w:rPr>
        <w:t xml:space="preserve"> | MS 26.690</w:t>
      </w:r>
      <w:r>
        <w:rPr>
          <w:color w:val="003CA0"/>
          <w:sz w:val="12"/>
        </w:rPr>
        <w:t xml:space="preserve"> | rel. Eros Grau</w:t>
      </w:r>
    </w:p>
    <w:p>
      <w:pPr>
        <w:ind w:left="288"/>
      </w:pPr>
      <w:r>
        <w:rPr>
          <w:color w:val="1E1E1E"/>
          <w:sz w:val="18"/>
        </w:rPr>
        <w:t>O Ministério Público nacional é uno (art. 128, I e II, da CF), compondo-se do MPU e dos Ministérios Públicos dos Estados. No exercício das atribuições previstas nos arts. 109, § 3º, da Constituição, e 78 e 79 da LC 75/1993, o Ministério Público estadual cumpre papel do MPF. A circunstância de a impetrante, promotora de Justiça no Estado do Paraná, exercer funções delegadas do MPF e concomitantemente ser tida como inapta para habilitar-se em concurso público para o provimento de cargos de procurador da República é expressiva de contradição injustificável. (...) Segurança concedida.</w:t>
      </w:r>
    </w:p>
    <w:p>
      <w:pPr>
        <w:ind w:left="288"/>
      </w:pPr>
      <w:r>
        <w:rPr>
          <w:b/>
          <w:color w:val="003CA0"/>
          <w:sz w:val="16"/>
        </w:rPr>
        <w:t>[MS 26.690, rel. min. Eros Grau, j. 3-9-2008, P, DJE de 19-12-2008.]</w:t>
      </w:r>
    </w:p>
    <w:p>
      <w:pPr>
        <w:ind w:left="144"/>
      </w:pPr>
      <w:r>
        <w:rPr>
          <w:b/>
          <w:color w:val="B45A00"/>
          <w:sz w:val="16"/>
        </w:rPr>
        <w:t>CONTROLE CONCENTRADO</w:t>
      </w:r>
    </w:p>
    <w:p>
      <w:pPr>
        <w:ind w:left="288"/>
      </w:pPr>
      <w:r>
        <w:rPr>
          <w:color w:val="8C8C8C"/>
          <w:sz w:val="12"/>
        </w:rPr>
        <w:t>cf-art-128-inc-I</w:t>
      </w:r>
      <w:r>
        <w:rPr>
          <w:color w:val="003CA0"/>
          <w:sz w:val="12"/>
        </w:rPr>
        <w:t xml:space="preserve"> | ADI 789</w:t>
      </w:r>
      <w:r>
        <w:rPr>
          <w:color w:val="003CA0"/>
          <w:sz w:val="12"/>
        </w:rPr>
        <w:t xml:space="preserve"> | rel. Celso de Mello</w:t>
      </w:r>
    </w:p>
    <w:p>
      <w:pPr>
        <w:ind w:left="288"/>
      </w:pPr>
      <w:r>
        <w:rPr>
          <w:color w:val="1E1E1E"/>
          <w:sz w:val="18"/>
        </w:rPr>
        <w:t>Ministério Público junto ao TCU. Instituição que não integra o MPU. Taxatividade do rol inscrito no art. 128, I, da Constituição (...). O Ministério Público que atua perante o TCU qualifica-se como órgão de extração constitucional, eis que a sua existência jurídica resulta de expressa previsão normativa constante da Carta Política (art. 73, § 2º, I, e art. 130), sendo indiferente, para efeito de sua configuração jurídico-institucional, a circunstância de não constar do rol taxativo inscrito no art. 128, I, da Constituição, que define a estrutura orgânica do MPU.</w:t>
      </w:r>
    </w:p>
    <w:p>
      <w:pPr>
        <w:ind w:left="288"/>
      </w:pPr>
      <w:r>
        <w:rPr>
          <w:b/>
          <w:color w:val="003CA0"/>
          <w:sz w:val="16"/>
        </w:rPr>
        <w:t>[ADI 789, rel. min. Celso de Mello, j. 26-5-1994, P, DJ de 19-12-1994.]</w:t>
      </w:r>
    </w:p>
    <w:p>
      <w:pPr>
        <w:ind w:left="144"/>
      </w:pPr>
      <w:r>
        <w:rPr>
          <w:b/>
          <w:color w:val="B45A00"/>
          <w:sz w:val="16"/>
        </w:rPr>
        <w:t>JULGADOS CORRELATOS</w:t>
      </w:r>
    </w:p>
    <w:p>
      <w:pPr>
        <w:ind w:left="288"/>
      </w:pPr>
      <w:r>
        <w:rPr>
          <w:color w:val="8C8C8C"/>
          <w:sz w:val="12"/>
        </w:rPr>
        <w:t>cf-art-128-inc-I-ali-b</w:t>
      </w:r>
      <w:r>
        <w:rPr>
          <w:color w:val="003CA0"/>
          <w:sz w:val="12"/>
        </w:rPr>
        <w:t xml:space="preserve"> | RCL 4.453</w:t>
      </w:r>
      <w:r>
        <w:rPr>
          <w:color w:val="003CA0"/>
          <w:sz w:val="12"/>
        </w:rPr>
        <w:t xml:space="preserve"> | rel. Ellen Gracie</w:t>
      </w:r>
    </w:p>
    <w:p>
      <w:pPr>
        <w:ind w:left="288"/>
      </w:pPr>
      <w:r>
        <w:rPr>
          <w:color w:val="1E1E1E"/>
          <w:sz w:val="18"/>
        </w:rPr>
        <w:t>Ausência de legitimidade do MPT para atuar perante a Suprema Corte. Atribuição privativa do PGR. (...) Incumbe ao PGR exercer as funções do Ministério Público junto ao STF, nos termos do art. 46 da LC 75/1993. Existência de precedentes do Tribunal em casos análogos. O exercício das atribuições do MPT se circunscreve aos órgãos da Justiça do Trabalho, consoante se infere dos arts. 83, 90, 107 e 110 da LC 75/1993.</w:t>
      </w:r>
    </w:p>
    <w:p>
      <w:pPr>
        <w:ind w:left="288"/>
      </w:pPr>
      <w:r>
        <w:rPr>
          <w:b/>
          <w:color w:val="003CA0"/>
          <w:sz w:val="16"/>
        </w:rPr>
        <w:t>[Rcl 4.453 MC-AgR-AgR e Rcl 4.801 MC-AgR, rel. min. Ellen Gracie, j. 4-3-2009, P, DJE de 27-3-2009.]</w:t>
      </w:r>
    </w:p>
    <w:p>
      <w:pPr>
        <w:ind w:left="288"/>
      </w:pPr>
      <w:r>
        <w:rPr>
          <w:color w:val="8C8C8C"/>
          <w:sz w:val="12"/>
        </w:rPr>
        <w:t>cf-art-128-inc-I-ali-b</w:t>
      </w:r>
      <w:r>
        <w:rPr>
          <w:color w:val="003CA0"/>
          <w:sz w:val="12"/>
        </w:rPr>
        <w:t xml:space="preserve"> | RCL 7.318</w:t>
      </w:r>
      <w:r>
        <w:rPr>
          <w:color w:val="003CA0"/>
          <w:sz w:val="12"/>
        </w:rPr>
        <w:t xml:space="preserve"> | rel. Dias Toffoli</w:t>
      </w:r>
    </w:p>
    <w:p>
      <w:pPr>
        <w:ind w:left="288"/>
      </w:pPr>
      <w:r>
        <w:rPr>
          <w:color w:val="1E1E1E"/>
          <w:sz w:val="18"/>
        </w:rPr>
        <w:t>= Rcl 7.318 AgR, rel. min. Dias Toffoli, j. 23-5-2012, P, DJE de 26-10-2012 Vide Rcl 7.101, rel. min. Cármen Lúcia, j. 24-2-2011, P, DJE de 9-8-2011 A unidade do MPU, sob a chefia do PGR, permite pôr em dúvida a subsistência mesma do próprio cargo de procurador-geral da Justiça do Trabalho, por isso negada expressamente por quatro dentre os oito votos vencedores, para os quais, "compete (...), ao PGR, exercer, de modo autônomo e em caráter indisponível e irrenunciável, o poder monocrático de direção, administração e representação do MPT, cuja prática se revela incompartilhável com qualquer out</w:t>
      </w:r>
    </w:p>
    <w:p>
      <w:pPr>
        <w:ind w:left="288"/>
      </w:pPr>
      <w:r>
        <w:rPr>
          <w:b/>
          <w:color w:val="003CA0"/>
          <w:sz w:val="16"/>
        </w:rPr>
        <w:t>[MS 21.239, rel. min. Sepúlveda Pertence, j. 5-6-1991, P, DJ de 23-4-1993.]</w:t>
      </w:r>
    </w:p>
    <w:p>
      <w:pPr>
        <w:ind w:left="288"/>
      </w:pPr>
      <w:r>
        <w:rPr>
          <w:color w:val="8C8C8C"/>
          <w:sz w:val="12"/>
        </w:rPr>
        <w:t>cf-art-128-inc-I-ali-c</w:t>
      </w:r>
      <w:r>
        <w:rPr>
          <w:color w:val="003CA0"/>
          <w:sz w:val="12"/>
        </w:rPr>
        <w:t xml:space="preserve"> | HC 94.809</w:t>
      </w:r>
      <w:r>
        <w:rPr>
          <w:color w:val="003CA0"/>
          <w:sz w:val="12"/>
        </w:rPr>
        <w:t xml:space="preserve"> | rel. Celso de Mello</w:t>
      </w:r>
    </w:p>
    <w:p>
      <w:pPr>
        <w:ind w:left="288"/>
      </w:pPr>
      <w:r>
        <w:rPr>
          <w:color w:val="1E1E1E"/>
          <w:sz w:val="18"/>
        </w:rPr>
        <w:t>O representante do MPM de primeira instância dispõe de legitimidade ativa para impetrar habeas corpus, originariamente, perante o STF, especialmente para impugnar decisões emanadas do STM.</w:t>
      </w:r>
    </w:p>
    <w:p>
      <w:pPr>
        <w:ind w:left="288"/>
      </w:pPr>
      <w:r>
        <w:rPr>
          <w:b/>
          <w:color w:val="003CA0"/>
          <w:sz w:val="16"/>
        </w:rPr>
        <w:t>[HC 94.809, rel. min. Celso de Mello, j. 12-8-2008, 2ª T, DJE de 24-10-2008.]</w:t>
      </w:r>
    </w:p>
    <w:p>
      <w:pPr>
        <w:ind w:left="144"/>
      </w:pPr>
      <w:r>
        <w:rPr>
          <w:b/>
          <w:color w:val="B45A00"/>
          <w:sz w:val="16"/>
        </w:rPr>
        <w:t>CONTROLE CONCENTRADO</w:t>
      </w:r>
    </w:p>
    <w:p>
      <w:pPr>
        <w:ind w:left="288"/>
      </w:pPr>
      <w:r>
        <w:rPr>
          <w:color w:val="8C8C8C"/>
          <w:sz w:val="12"/>
        </w:rPr>
        <w:t>cf-art-128-inc-I-ali-d</w:t>
      </w:r>
      <w:r>
        <w:rPr>
          <w:color w:val="003CA0"/>
          <w:sz w:val="12"/>
        </w:rPr>
        <w:t xml:space="preserve"> | ADI 6.247</w:t>
      </w:r>
      <w:r>
        <w:rPr>
          <w:color w:val="003CA0"/>
          <w:sz w:val="12"/>
        </w:rPr>
        <w:t xml:space="preserve"> | rel. Dias Toffoli</w:t>
      </w:r>
    </w:p>
    <w:p>
      <w:pPr>
        <w:ind w:left="288"/>
      </w:pPr>
      <w:r>
        <w:rPr>
          <w:color w:val="1E1E1E"/>
          <w:sz w:val="18"/>
        </w:rPr>
        <w:t>Não há dúvidas de que o constituinte originário quis o MPDFT como instituição federal e assegurou seu desiderato tanto ao estabelecer a estrutura orgânica do Ministério Público da União quanto ao repartir as competências entre os entes federativos. Assim, não há como se cogitar haver paralelismo entre a sistemática de nomeação dos procuradores-gerais de justiça dos ministérios públicos estaduais e a do procurador-geral de justiça do MPDFT, sob pena de se admitir uma distorção disfuncional do desenho organizacional do Ministério Público do Distrito Federal, que é órgão federal pertencente à est</w:t>
      </w:r>
    </w:p>
    <w:p>
      <w:pPr>
        <w:ind w:left="144"/>
      </w:pPr>
      <w:r>
        <w:rPr>
          <w:b/>
          <w:color w:val="B45A00"/>
          <w:sz w:val="16"/>
        </w:rPr>
        <w:t>JULGADOS CORRELATOS</w:t>
      </w:r>
    </w:p>
    <w:p>
      <w:pPr>
        <w:ind w:left="288"/>
      </w:pPr>
      <w:r>
        <w:rPr>
          <w:color w:val="8C8C8C"/>
          <w:sz w:val="12"/>
        </w:rPr>
        <w:t>cf-art-128-inc-I-ali-d</w:t>
      </w:r>
      <w:r>
        <w:rPr>
          <w:color w:val="003CA0"/>
          <w:sz w:val="12"/>
        </w:rPr>
        <w:t xml:space="preserve"> | MS 22.492</w:t>
      </w:r>
      <w:r>
        <w:rPr>
          <w:color w:val="003CA0"/>
          <w:sz w:val="12"/>
        </w:rPr>
        <w:t xml:space="preserve"> | rel. Carlos Velloso</w:t>
      </w:r>
    </w:p>
    <w:p>
      <w:pPr>
        <w:ind w:left="288"/>
      </w:pPr>
      <w:r>
        <w:rPr>
          <w:color w:val="1E1E1E"/>
          <w:sz w:val="18"/>
        </w:rPr>
        <w:t>Promotor de justiça que ingressou no Ministério Público dos Territórios mediante concurso público. Extinto o Território, foi ele posto em disponibilidade. Seu aproveitamento em cargo igual no MPDFT: legitimidade, por isso que a CF/1988, art. 128, I, d, unificou num só ramo o MPDFT. O aproveitamento, ademais, encontra apoio na CF, art. 41, § 3º, na Lei 8.112/1990, art. 30, aplicável ex vi do disposto no art. 287 da LC 75/1993.</w:t>
      </w:r>
    </w:p>
    <w:p>
      <w:pPr>
        <w:ind w:left="288"/>
      </w:pPr>
      <w:r>
        <w:rPr>
          <w:b/>
          <w:color w:val="003CA0"/>
          <w:sz w:val="16"/>
        </w:rPr>
        <w:t>[MS 22.492, rel. min. Carlos Velloso, j. 28-4-2003, P, DJ de 20-6-2003.]</w:t>
      </w:r>
    </w:p>
    <w:p>
      <w:pPr>
        <w:ind w:left="288"/>
      </w:pPr>
      <w:r>
        <w:rPr>
          <w:color w:val="8C8C8C"/>
          <w:sz w:val="12"/>
        </w:rPr>
        <w:t>cf-art-128-inc-II</w:t>
      </w:r>
      <w:r>
        <w:rPr>
          <w:color w:val="003CA0"/>
          <w:sz w:val="12"/>
        </w:rPr>
        <w:t xml:space="preserve"> | RCL 7.101</w:t>
      </w:r>
      <w:r>
        <w:rPr>
          <w:color w:val="003CA0"/>
          <w:sz w:val="12"/>
        </w:rPr>
        <w:t xml:space="preserve"> | rel. Cármen Lúcia</w:t>
      </w:r>
    </w:p>
    <w:p>
      <w:pPr>
        <w:ind w:left="288"/>
      </w:pPr>
      <w:r>
        <w:rPr>
          <w:color w:val="1E1E1E"/>
          <w:sz w:val="18"/>
        </w:rPr>
        <w:t>O Supremo Tribunal reconheceu a legitimidade ativa autônoma do Ministério Público estadual para ajuizar reclamação no Supremo Tribunal, sem que se exija a ratificação da inicial pelo PGR.</w:t>
      </w:r>
    </w:p>
    <w:p>
      <w:pPr>
        <w:ind w:left="288"/>
      </w:pPr>
      <w:r>
        <w:rPr>
          <w:b/>
          <w:color w:val="003CA0"/>
          <w:sz w:val="16"/>
        </w:rPr>
        <w:t>[Rcl 7.101, rel. min. Cármen Lúcia, j. 24-2-2011, P, DJE de 9-8-2011.]</w:t>
      </w:r>
    </w:p>
    <w:p>
      <w:pPr>
        <w:ind w:left="288"/>
      </w:pPr>
      <w:r>
        <w:rPr>
          <w:color w:val="8C8C8C"/>
          <w:sz w:val="12"/>
        </w:rPr>
        <w:t>cf-art-128-inc-II</w:t>
      </w:r>
      <w:r>
        <w:rPr>
          <w:color w:val="003CA0"/>
          <w:sz w:val="12"/>
        </w:rPr>
        <w:t xml:space="preserve"> | RCL 9.327</w:t>
      </w:r>
      <w:r>
        <w:rPr>
          <w:color w:val="003CA0"/>
          <w:sz w:val="12"/>
        </w:rPr>
        <w:t xml:space="preserve"> | rel. Dias Toffoli</w:t>
      </w:r>
    </w:p>
    <w:p>
      <w:pPr>
        <w:ind w:left="288"/>
      </w:pPr>
      <w:r>
        <w:rPr>
          <w:color w:val="1E1E1E"/>
          <w:sz w:val="18"/>
        </w:rPr>
        <w:t>= Rcl 9.327 AgR, rel. min. Dias Toffoli, j. 23-5-2013, P, DJE de 1º-8-2013 É da atribuição do Ministério Público estadual analisar inquérito por crime contra a ordem econômica e emitir a respeito opinio delicti, promovendo, ou não, ação penal, se não há violação a bens, interesses ou serviços da União.</w:t>
      </w:r>
    </w:p>
    <w:p>
      <w:pPr>
        <w:ind w:left="288"/>
      </w:pPr>
      <w:r>
        <w:rPr>
          <w:b/>
          <w:color w:val="003CA0"/>
          <w:sz w:val="16"/>
        </w:rPr>
        <w:t>[ACO 1.058, rel. min. Cezar Peluso, j. 14-4-2008, P, DJE de 23-5-2008.]</w:t>
      </w:r>
    </w:p>
    <w:p>
      <w:pPr>
        <w:ind w:left="288"/>
      </w:pPr>
      <w:r>
        <w:rPr>
          <w:color w:val="8C8C8C"/>
          <w:sz w:val="12"/>
        </w:rPr>
        <w:t>cf-art-128-inc-II</w:t>
      </w:r>
      <w:r>
        <w:rPr>
          <w:color w:val="003CA0"/>
          <w:sz w:val="12"/>
        </w:rPr>
        <w:t xml:space="preserve"> | ACO 1.445</w:t>
      </w:r>
      <w:r>
        <w:rPr>
          <w:color w:val="003CA0"/>
          <w:sz w:val="12"/>
        </w:rPr>
        <w:t xml:space="preserve"> | rel. Marco Aurélio</w:t>
      </w:r>
    </w:p>
    <w:p>
      <w:pPr>
        <w:ind w:left="288"/>
      </w:pPr>
      <w:r>
        <w:rPr>
          <w:color w:val="1E1E1E"/>
          <w:sz w:val="18"/>
        </w:rPr>
        <w:t>Vide ACO 1.445, rel. min. Marco Aurélio, j. 11-5-2011, P, DJE de 25-5-2011 § 1º O Ministério Público da União tem por chefe o Procurador-Geral da República, nomeado pelo Presidente da República dentre integrantes da carreira, maiores de trinta e cinco anos, após a aprovação de seu nome pela maioria absoluta dos membros do Senado Federal, para mandato de dois anos, permitida a recondução.</w:t>
      </w:r>
    </w:p>
    <w:p>
      <w:pPr>
        <w:ind w:left="288"/>
      </w:pPr>
      <w:r>
        <w:rPr>
          <w:color w:val="8C8C8C"/>
          <w:sz w:val="12"/>
        </w:rPr>
        <w:t>cf-art-128-inc-II</w:t>
      </w:r>
      <w:r>
        <w:rPr>
          <w:color w:val="003CA0"/>
          <w:sz w:val="12"/>
        </w:rPr>
        <w:t xml:space="preserve"> | MS 25.125</w:t>
      </w:r>
      <w:r>
        <w:rPr>
          <w:color w:val="003CA0"/>
          <w:sz w:val="12"/>
        </w:rPr>
        <w:t xml:space="preserve"> | rel. Dias Toffoli</w:t>
      </w:r>
    </w:p>
    <w:p>
      <w:pPr>
        <w:ind w:left="288"/>
      </w:pPr>
      <w:r>
        <w:rPr>
          <w:color w:val="1E1E1E"/>
          <w:sz w:val="18"/>
        </w:rPr>
        <w:t>O ato praticado pela procuradora-geral da Justiça Militar, ratificado pelo Conselho de Assessoramento Superior do MPF, legitima o PGR, presidente do referido Conselho Superior, a atuar no polo passivo do mandamus.</w:t>
      </w:r>
    </w:p>
    <w:p>
      <w:pPr>
        <w:ind w:left="288"/>
      </w:pPr>
      <w:r>
        <w:rPr>
          <w:b/>
          <w:color w:val="003CA0"/>
          <w:sz w:val="16"/>
        </w:rPr>
        <w:t>[MS 25.125, rel. min. Dias Toffoli, j. 28-8-2012, 1ª T, DJE de 21-9-2012.]</w:t>
      </w:r>
    </w:p>
    <w:p>
      <w:pPr>
        <w:ind w:left="288"/>
      </w:pPr>
      <w:r>
        <w:rPr>
          <w:color w:val="8C8C8C"/>
          <w:sz w:val="12"/>
        </w:rPr>
        <w:t>cf-art-128-inc-II</w:t>
      </w:r>
      <w:r>
        <w:rPr>
          <w:color w:val="003CA0"/>
          <w:sz w:val="12"/>
        </w:rPr>
        <w:t xml:space="preserve"> | HC 84.630</w:t>
      </w:r>
      <w:r>
        <w:rPr>
          <w:color w:val="003CA0"/>
          <w:sz w:val="12"/>
        </w:rPr>
        <w:t xml:space="preserve"> | rel. Sepúlveda Pertence</w:t>
      </w:r>
    </w:p>
    <w:p>
      <w:pPr>
        <w:ind w:left="288"/>
      </w:pPr>
      <w:r>
        <w:rPr>
          <w:color w:val="1E1E1E"/>
          <w:sz w:val="18"/>
        </w:rPr>
        <w:t>Ação penal da competência originária do STJ: Ministério Público: legitimidade ad processum para subscrever a denúncia do PGR: possibilidade de delegação a subprocurador-geral da República. LC 75/1993 (Lei Orgânica do Ministério Público da União), arts. 48, II, parágrafo único: validade. Válida e vigente a disposição legal que atribui ao procurador-geral a propositura das ações penais da competência originária do STJ, não há como cogitar, em relação a elas, de distribuição, cujo pressuposto é a pluralidade de órgãos com idêntica competência material: nelas o procurador-geral é, por definição le</w:t>
      </w:r>
    </w:p>
    <w:p>
      <w:pPr>
        <w:ind w:left="288"/>
      </w:pPr>
      <w:r>
        <w:rPr>
          <w:b/>
          <w:color w:val="003CA0"/>
          <w:sz w:val="16"/>
        </w:rPr>
        <w:t>[HC 84.630, rel. min. Sepúlveda Pertence, j. 15-12-2005, 1ª T, DJ de 25-8-2006.]</w:t>
      </w:r>
    </w:p>
    <w:p>
      <w:pPr>
        <w:ind w:left="288"/>
      </w:pPr>
      <w:r>
        <w:rPr>
          <w:color w:val="8C8C8C"/>
          <w:sz w:val="12"/>
        </w:rPr>
        <w:t>cf-art-128-inc-II</w:t>
      </w:r>
      <w:r>
        <w:rPr>
          <w:color w:val="003CA0"/>
          <w:sz w:val="12"/>
        </w:rPr>
        <w:t xml:space="preserve"> | ADI 2.913</w:t>
      </w:r>
      <w:r>
        <w:rPr>
          <w:color w:val="003CA0"/>
          <w:sz w:val="12"/>
        </w:rPr>
        <w:t xml:space="preserve"> | rel. Sepúlveda Pertence</w:t>
      </w:r>
    </w:p>
    <w:p>
      <w:pPr>
        <w:ind w:left="288"/>
      </w:pPr>
      <w:r>
        <w:rPr>
          <w:color w:val="1E1E1E"/>
          <w:sz w:val="18"/>
        </w:rPr>
        <w:t xml:space="preserve">= ADI 2.913, red. do ac. min. Cármen Lúcia, j. 20-5-2009, P, DJE de 24-6-2011 MPU: nulidade da nomeação, em comissão, pelo presidente da República, de procurador-geral da Justiça do Trabalho. A unidade do MPU, sob a chefia do PGR, permite pôr em dúvida a subsistência mesma do próprio cargo de procurador-geral da Justiça do Trabalho, por isso negada expressamente por quatro dentre os oito votos vencedores, para os quais, "compete (...), ao PGR, exercer, de modo autônomo e em caráter indisponível e irrenunciável, o poder monocrático de direção, administração e representação do MPT, cuja prática </w:t>
      </w:r>
    </w:p>
    <w:p>
      <w:pPr>
        <w:ind w:left="288"/>
      </w:pPr>
      <w:r>
        <w:rPr>
          <w:b/>
          <w:color w:val="003CA0"/>
          <w:sz w:val="16"/>
        </w:rPr>
        <w:t>[MS 21.239, rel. min. Sepúlveda Pertence, j. 5-6-1991, P, DJ de 23-4-1993.]</w:t>
      </w:r>
    </w:p>
    <w:p>
      <w:pPr>
        <w:ind w:left="288"/>
      </w:pPr>
      <w:r>
        <w:rPr>
          <w:color w:val="8C8C8C"/>
          <w:sz w:val="12"/>
        </w:rPr>
        <w:t>cf-art-128-par-2</w:t>
      </w:r>
    </w:p>
    <w:p>
      <w:pPr>
        <w:ind w:left="288"/>
      </w:pPr>
      <w:r>
        <w:rPr>
          <w:color w:val="1E1E1E"/>
          <w:sz w:val="18"/>
        </w:rPr>
        <w:t>§ 3º Os Ministérios Públicos dos Estados e o do Distrito Federal e Territórios formarão lista tríplice dentre integrantes da carreira, na forma da lei respectiva, para escolha de seu Procurador-Geral, que será nomeado pelo Chefe do Poder Executivo, para mandato de dois anos, permitida uma recondução.</w:t>
      </w:r>
    </w:p>
    <w:p>
      <w:pPr>
        <w:ind w:left="144"/>
      </w:pPr>
      <w:r>
        <w:rPr>
          <w:b/>
          <w:color w:val="B45A00"/>
          <w:sz w:val="16"/>
        </w:rPr>
        <w:t>CONTROLE CONCENTRADO</w:t>
      </w:r>
    </w:p>
    <w:p>
      <w:pPr>
        <w:ind w:left="288"/>
      </w:pPr>
      <w:r>
        <w:rPr>
          <w:color w:val="8C8C8C"/>
          <w:sz w:val="12"/>
        </w:rPr>
        <w:t>cf-art-128-par-2</w:t>
      </w:r>
      <w:r>
        <w:rPr>
          <w:color w:val="003CA0"/>
          <w:sz w:val="12"/>
        </w:rPr>
        <w:t xml:space="preserve"> | ADI 6.551</w:t>
      </w:r>
      <w:r>
        <w:rPr>
          <w:color w:val="003CA0"/>
          <w:sz w:val="12"/>
        </w:rPr>
        <w:t xml:space="preserve"> | rel. Dias Toffoli</w:t>
      </w:r>
    </w:p>
    <w:p>
      <w:pPr>
        <w:ind w:left="288"/>
      </w:pPr>
      <w:r>
        <w:rPr>
          <w:color w:val="1E1E1E"/>
          <w:sz w:val="18"/>
        </w:rPr>
        <w:t>O art. 128, § 3º, da Constituição e o art. 9º da Lei Orgânica Nacional do Ministério Público indicam que a formação da lista tríplice se dará na forma da lei respectiva, em referência às leis complementares que organizam o Ministério Público da União e de cada estado-membro, cuja iniciativa foi facultada ao procurador-geral de justiça (art. 125, § 5º, CF/88). É válida a estipulação de critérios adicionais à composição da lista tríplice para a escolha do chefe do Ministério Público estadual, desde que a eleição se dê entre membros da carreira, nos termos do art. 128, § 3º. (...) Na espécie, não</w:t>
      </w:r>
    </w:p>
    <w:p>
      <w:pPr>
        <w:ind w:left="288"/>
      </w:pPr>
      <w:r>
        <w:rPr>
          <w:b/>
          <w:color w:val="003CA0"/>
          <w:sz w:val="16"/>
        </w:rPr>
        <w:t>[ADI 5.171, rel. min. Luiz Fux, j. 30-8-2019, P, DJE de 10-12-2019.]</w:t>
      </w:r>
    </w:p>
    <w:p>
      <w:pPr>
        <w:ind w:left="288"/>
      </w:pPr>
      <w:r>
        <w:rPr>
          <w:color w:val="8C8C8C"/>
          <w:sz w:val="12"/>
        </w:rPr>
        <w:t>cf-art-128-par-2</w:t>
      </w:r>
      <w:r>
        <w:rPr>
          <w:color w:val="003CA0"/>
          <w:sz w:val="12"/>
        </w:rPr>
        <w:t xml:space="preserve"> | ADI 5.700</w:t>
      </w:r>
      <w:r>
        <w:rPr>
          <w:color w:val="003CA0"/>
          <w:sz w:val="12"/>
        </w:rPr>
        <w:t xml:space="preserve"> | rel. Alexandre de Moraes</w:t>
      </w:r>
    </w:p>
    <w:p>
      <w:pPr>
        <w:ind w:left="288"/>
      </w:pPr>
      <w:r>
        <w:rPr>
          <w:color w:val="1E1E1E"/>
          <w:sz w:val="18"/>
        </w:rPr>
        <w:t xml:space="preserve">O modo de investidura do Procurador-Geral de Justiça constitui garantia de independência e autogoverno, visando à proteção da Sociedade e à defesa intransigente do regime democrático e exige, para sua regulamentação, a edição de lei complementar estadual de iniciativa da própria Instituição (CF, art. 128, § 5º). A Constituição Federal consagrou os requisitos básicos para a escolha do Procurador-Geral de Justiça, bem como a existência de mandato por tempo certo, impossibilitando sua demissão ad nutum, garantindo-lhe a imparcialidade necessária para o pleno exercício da autonomia administrativa </w:t>
      </w:r>
    </w:p>
    <w:p>
      <w:pPr>
        <w:ind w:left="288"/>
      </w:pPr>
      <w:r>
        <w:rPr>
          <w:b/>
          <w:color w:val="003CA0"/>
          <w:sz w:val="16"/>
        </w:rPr>
        <w:t>[ADI 5.700, rel. min. Alexandre de Moraes, j. 23-8-2019, P, DJE de 9-9-2019.]</w:t>
      </w:r>
    </w:p>
    <w:p>
      <w:pPr>
        <w:ind w:left="288"/>
      </w:pPr>
      <w:r>
        <w:rPr>
          <w:color w:val="8C8C8C"/>
          <w:sz w:val="12"/>
        </w:rPr>
        <w:t>cf-art-128-par-2</w:t>
      </w:r>
      <w:r>
        <w:rPr>
          <w:color w:val="003CA0"/>
          <w:sz w:val="12"/>
        </w:rPr>
        <w:t xml:space="preserve"> | ADI 2.622</w:t>
      </w:r>
      <w:r>
        <w:rPr>
          <w:color w:val="003CA0"/>
          <w:sz w:val="12"/>
        </w:rPr>
        <w:t xml:space="preserve"> | rel. Cezar Peluso</w:t>
      </w:r>
    </w:p>
    <w:p>
      <w:pPr>
        <w:ind w:left="288"/>
      </w:pPr>
      <w:r>
        <w:rPr>
          <w:color w:val="1E1E1E"/>
          <w:sz w:val="18"/>
        </w:rPr>
        <w:t>Se norma de Constituição estadual, ao prever recondução ao cargo de procurador-geral do Ministério Público, não a limita, deve ser interpretada como permissão para uma única recondução.</w:t>
      </w:r>
    </w:p>
    <w:p>
      <w:pPr>
        <w:ind w:left="288"/>
      </w:pPr>
      <w:r>
        <w:rPr>
          <w:b/>
          <w:color w:val="003CA0"/>
          <w:sz w:val="16"/>
        </w:rPr>
        <w:t>[ADI 2.622, rel. min. Cezar Peluso, j. 10-11-2011, P, DJE de 16-2-2012.]</w:t>
      </w:r>
    </w:p>
    <w:p>
      <w:pPr>
        <w:ind w:left="288"/>
      </w:pPr>
      <w:r>
        <w:rPr>
          <w:color w:val="8C8C8C"/>
          <w:sz w:val="12"/>
        </w:rPr>
        <w:t>cf-art-128-par-2</w:t>
      </w:r>
      <w:r>
        <w:rPr>
          <w:color w:val="003CA0"/>
          <w:sz w:val="12"/>
        </w:rPr>
        <w:t xml:space="preserve"> | ADI 452</w:t>
      </w:r>
      <w:r>
        <w:rPr>
          <w:color w:val="003CA0"/>
          <w:sz w:val="12"/>
        </w:rPr>
        <w:t xml:space="preserve"> | rel. Maurício Corrêa</w:t>
      </w:r>
    </w:p>
    <w:p>
      <w:pPr>
        <w:ind w:left="288"/>
      </w:pPr>
      <w:r>
        <w:rPr>
          <w:color w:val="1E1E1E"/>
          <w:sz w:val="18"/>
        </w:rPr>
        <w:t>A escolha do PGR deve ser aprovada pelo Senado (CF, art. 128, § 1º). A nomeação do procurador-geral de Justiça dos Estados não está sujeita à aprovação da assembleia legislativa. Compete ao governador nomeá-lo dentre lista tríplice composta de integrantes da carreira (CF, art. 128, § 3º). Não aplicação do princípio da simetria.</w:t>
      </w:r>
    </w:p>
    <w:p>
      <w:pPr>
        <w:ind w:left="288"/>
      </w:pPr>
      <w:r>
        <w:rPr>
          <w:b/>
          <w:color w:val="003CA0"/>
          <w:sz w:val="16"/>
        </w:rPr>
        <w:t>[ADI 452, rel. min. Maurício Corrêa, j. 28-8-2002, P, DJ de 31-10-2002.]</w:t>
      </w:r>
    </w:p>
    <w:p>
      <w:pPr>
        <w:ind w:left="288"/>
      </w:pPr>
      <w:r>
        <w:rPr>
          <w:color w:val="8C8C8C"/>
          <w:sz w:val="12"/>
        </w:rPr>
        <w:t>cf-art-128-par-2</w:t>
      </w:r>
      <w:r>
        <w:rPr>
          <w:color w:val="003CA0"/>
          <w:sz w:val="12"/>
        </w:rPr>
        <w:t xml:space="preserve"> | ADI 3.727</w:t>
      </w:r>
      <w:r>
        <w:rPr>
          <w:color w:val="003CA0"/>
          <w:sz w:val="12"/>
        </w:rPr>
        <w:t xml:space="preserve"> | rel. Ayres Britto</w:t>
      </w:r>
    </w:p>
    <w:p>
      <w:pPr>
        <w:ind w:left="288"/>
      </w:pPr>
      <w:r>
        <w:rPr>
          <w:color w:val="1E1E1E"/>
          <w:sz w:val="18"/>
        </w:rPr>
        <w:t>= ADI 3.727, rel. min. Ayres Britto, j. 12-5-2010, P, DJE de 11-6-2010 Ministério Público dos Estados: procurador-geral de Justiça: nomeação a termo por dois anos (Constituição, art. 128, § 3º): é inconstitucional a previsão em lei estadual de que, vago o cargo de procurador-geral no curso do biênio, o provimento se faça para completar o período interrompido e não para iniciar outro de dois anos: implicações da previsão de que a nomeação se faça sempre para o tempo certo de um biênio com a mecânica das garantias da independência do chefe do Ministério Público: ação direta julgada procedente.</w:t>
      </w:r>
    </w:p>
    <w:p>
      <w:pPr>
        <w:ind w:left="288"/>
      </w:pPr>
      <w:r>
        <w:rPr>
          <w:b/>
          <w:color w:val="003CA0"/>
          <w:sz w:val="16"/>
        </w:rPr>
        <w:t>[ADI 1.783, rel. min. Sepúlveda Pertence, j. 11-10-2001, P, DJ de 16-11-2001.]</w:t>
      </w:r>
    </w:p>
    <w:p>
      <w:pPr>
        <w:ind w:left="288"/>
      </w:pPr>
      <w:r>
        <w:rPr>
          <w:color w:val="8C8C8C"/>
          <w:sz w:val="12"/>
        </w:rPr>
        <w:t>cf-art-128-par-4</w:t>
      </w:r>
      <w:r>
        <w:rPr>
          <w:color w:val="003CA0"/>
          <w:sz w:val="12"/>
        </w:rPr>
        <w:t xml:space="preserve"> | ADI 2.436</w:t>
      </w:r>
      <w:r>
        <w:rPr>
          <w:color w:val="003CA0"/>
          <w:sz w:val="12"/>
        </w:rPr>
        <w:t xml:space="preserve"> | rel. Moreira Alves</w:t>
      </w:r>
    </w:p>
    <w:p>
      <w:pPr>
        <w:ind w:left="288"/>
      </w:pPr>
      <w:r>
        <w:rPr>
          <w:color w:val="1E1E1E"/>
          <w:sz w:val="18"/>
        </w:rPr>
        <w:t>Basta, para se ter como relevante a fundamentação jurídica desta arguição de inconstitucionalidade, a circunstância formal de que o § 4º do art. 128 da Carta Magna em sua parte final remete à lei complementar a disciplina da forma pela qual se dará a destituição dos procuradores-gerais nos Estados e no Distrito Federal e Territórios, tendo-se firmado a jurisprudência desta Corte no sentido de que, quando a Constituição exige lei complementar para disciplinar determinada matéria, essa disciplina só pode ser feita por essa modalidade normativa.</w:t>
      </w:r>
    </w:p>
    <w:p>
      <w:pPr>
        <w:ind w:left="288"/>
      </w:pPr>
      <w:r>
        <w:rPr>
          <w:b/>
          <w:color w:val="003CA0"/>
          <w:sz w:val="16"/>
        </w:rPr>
        <w:t>[ADI 2.436 MC, rel. min. Moreira Alves, j. 30-5-2001, P, DJ de 9-5-2003.]</w:t>
      </w:r>
    </w:p>
    <w:p>
      <w:pPr>
        <w:ind w:left="288"/>
      </w:pPr>
      <w:r>
        <w:rPr>
          <w:color w:val="8C8C8C"/>
          <w:sz w:val="12"/>
        </w:rPr>
        <w:t>cf-art-128-par-4</w:t>
      </w:r>
      <w:r>
        <w:rPr>
          <w:color w:val="003CA0"/>
          <w:sz w:val="12"/>
        </w:rPr>
        <w:t xml:space="preserve"> | ADI 2.622</w:t>
      </w:r>
      <w:r>
        <w:rPr>
          <w:color w:val="003CA0"/>
          <w:sz w:val="12"/>
        </w:rPr>
        <w:t xml:space="preserve"> | rel. Sydney Sanches</w:t>
      </w:r>
    </w:p>
    <w:p>
      <w:pPr>
        <w:ind w:left="288"/>
      </w:pPr>
      <w:r>
        <w:rPr>
          <w:color w:val="1E1E1E"/>
          <w:sz w:val="18"/>
        </w:rPr>
        <w:t>= ADI 2.622 MC, rel. min. Sydney Sanches, j. 8-8-2002, P, DJ de 21-2-2003</w:t>
      </w:r>
    </w:p>
    <w:p>
      <w:pPr>
        <w:ind w:left="288"/>
      </w:pPr>
      <w:r>
        <w:rPr>
          <w:color w:val="8C8C8C"/>
          <w:sz w:val="12"/>
        </w:rPr>
        <w:t>cf-art-128-par-5</w:t>
      </w:r>
      <w:r>
        <w:rPr>
          <w:color w:val="003CA0"/>
          <w:sz w:val="12"/>
        </w:rPr>
        <w:t xml:space="preserve"> | ADI 7.289</w:t>
      </w:r>
      <w:r>
        <w:rPr>
          <w:color w:val="003CA0"/>
          <w:sz w:val="12"/>
        </w:rPr>
        <w:t xml:space="preserve"> | rel. André Mendonça</w:t>
      </w:r>
    </w:p>
    <w:p>
      <w:pPr>
        <w:ind w:left="288"/>
      </w:pPr>
      <w:r>
        <w:rPr>
          <w:color w:val="1E1E1E"/>
          <w:sz w:val="18"/>
        </w:rPr>
        <w:t>A Lei nº 8.625/1993 (LONMP) disciplina os critérios de promoção e remoção dos membros do Ministério Público, sem prever o maior tempo “na Administração Pública estadual, federal, municipal” como critério de desempate, razão pela qual a norma estadual impugnada extrapola os limites da competência legislativa dos estados, incorrendo em inconstitucionalidade formal. O critério de maior tempo “na Administração Pública estadual, federal, municipal” para fins de desempate na promoção de membros do Ministério Público cria distinção indevida entre candidatos com tempo equivalente na carreira, afrontan</w:t>
      </w:r>
    </w:p>
    <w:p>
      <w:pPr>
        <w:ind w:left="288"/>
      </w:pPr>
      <w:r>
        <w:rPr>
          <w:b/>
          <w:color w:val="003CA0"/>
          <w:sz w:val="16"/>
        </w:rPr>
        <w:t>[ADI 7.289, rel. min. André Mendonça, j. 07.05.2025, P, DJE de 19.05.2025.]</w:t>
      </w:r>
    </w:p>
    <w:p>
      <w:pPr>
        <w:ind w:left="288"/>
      </w:pPr>
      <w:r>
        <w:rPr>
          <w:color w:val="8C8C8C"/>
          <w:sz w:val="12"/>
        </w:rPr>
        <w:t>cf-art-128-par-5</w:t>
      </w:r>
      <w:r>
        <w:rPr>
          <w:color w:val="003CA0"/>
          <w:sz w:val="12"/>
        </w:rPr>
        <w:t xml:space="preserve"> | ADI 7.739</w:t>
      </w:r>
      <w:r>
        <w:rPr>
          <w:color w:val="003CA0"/>
          <w:sz w:val="12"/>
        </w:rPr>
        <w:t xml:space="preserve"> | rel. Cármen Lúcia</w:t>
      </w:r>
    </w:p>
    <w:p>
      <w:pPr>
        <w:ind w:left="288"/>
      </w:pPr>
      <w:r>
        <w:rPr>
          <w:color w:val="1E1E1E"/>
          <w:sz w:val="18"/>
        </w:rPr>
        <w:t>Ministério público. Incs. I, II e IV do art. 3º da Lei n. 11.372/2006, que regulamentam o § 1º do art. 130-a da Constituição da República. Vedação aos membros do Ministério Público durante o exercício do mandato no Conselho Nacional do Ministério Público. (...) As disposições relativas à organização, às atribuições e ao estatuto dos Ministérios Públicos devem ser estabelecidas em estrita observância à reserva de lei complementar prevista no § 5º do art. 128 da Constituição da República. É formalmente inconstitucional a norma impugnada, pois versa sobre matéria reservada a lei complementar.</w:t>
      </w:r>
    </w:p>
    <w:p>
      <w:pPr>
        <w:ind w:left="288"/>
      </w:pPr>
      <w:r>
        <w:rPr>
          <w:b/>
          <w:color w:val="003CA0"/>
          <w:sz w:val="16"/>
        </w:rPr>
        <w:t>[ADI 7.739, rel. min. Cármen Lúcia, j. 19.03.2025, P, DJE de 14.05.2025.]</w:t>
      </w:r>
    </w:p>
    <w:p>
      <w:pPr>
        <w:ind w:left="288"/>
      </w:pPr>
      <w:r>
        <w:rPr>
          <w:color w:val="8C8C8C"/>
          <w:sz w:val="12"/>
        </w:rPr>
        <w:t>cf-art-128-par-5</w:t>
      </w:r>
      <w:r>
        <w:rPr>
          <w:color w:val="003CA0"/>
          <w:sz w:val="12"/>
        </w:rPr>
        <w:t xml:space="preserve"> | ADI 6.780</w:t>
      </w:r>
      <w:r>
        <w:rPr>
          <w:color w:val="003CA0"/>
          <w:sz w:val="12"/>
        </w:rPr>
        <w:t xml:space="preserve"> | rel. Nunes Marques</w:t>
      </w:r>
    </w:p>
    <w:p>
      <w:pPr>
        <w:ind w:left="288"/>
      </w:pPr>
      <w:r>
        <w:rPr>
          <w:color w:val="1E1E1E"/>
          <w:sz w:val="18"/>
        </w:rPr>
        <w:t>Lei complementar estadual. Permuta nacional entre membros dos Ministérios Públicos Estaduais e do Distrito Federal e Territórios. Federalismo. Autonomia dos estados-membros. Inexistência de carreira única. (...) O caráter nacional do Ministério Público, considerado o regramento de observância obrigatória por todos os seus órgãos – Ministérios Públicos da União, dos Estados e do Distrito Federal – e respectivos membros, não se confunde com a existência de um único Ministério Público dos Estados, pois isso configuraria violação da forma federativa adotada pelo constituinte originário e da autono</w:t>
      </w:r>
    </w:p>
    <w:p>
      <w:pPr>
        <w:ind w:left="288"/>
      </w:pPr>
      <w:r>
        <w:rPr>
          <w:b/>
          <w:color w:val="003CA0"/>
          <w:sz w:val="16"/>
        </w:rPr>
        <w:t>[ADI 5.351, rel. min. Cármen Lúcia, j. 18-6-2021, P, DJE 20-8-2021.]</w:t>
      </w:r>
    </w:p>
    <w:p>
      <w:pPr>
        <w:ind w:left="288"/>
      </w:pPr>
      <w:r>
        <w:rPr>
          <w:color w:val="8C8C8C"/>
          <w:sz w:val="12"/>
        </w:rPr>
        <w:t>cf-art-128-par-5</w:t>
      </w:r>
      <w:r>
        <w:rPr>
          <w:color w:val="003CA0"/>
          <w:sz w:val="12"/>
        </w:rPr>
        <w:t xml:space="preserve"> | ADI 5.505</w:t>
      </w:r>
      <w:r>
        <w:rPr>
          <w:color w:val="003CA0"/>
          <w:sz w:val="12"/>
        </w:rPr>
        <w:t xml:space="preserve"> | rel. Luiz Fux</w:t>
      </w:r>
    </w:p>
    <w:p>
      <w:pPr>
        <w:ind w:left="288"/>
      </w:pPr>
      <w:r>
        <w:rPr>
          <w:color w:val="1E1E1E"/>
          <w:sz w:val="18"/>
        </w:rPr>
        <w:t>A Lei federal 8.625/1993 (Lei Orgânica Nacional do Ministério Público - LONMP) não pormenoriza a atuação dos Procuradores-Gerais de Justiça e dos Procuradores de Justiça em sede recursal e, por expressa dicção do caput de seu artigo 29, o rol de atribuições dos Procuradores-Gerais de Justiça não é exaustivo, de modo que as leis orgânicas dos Ministérios Públicos estaduais podem, validamente, ampliar ou densificar tais atribuições.</w:t>
      </w:r>
    </w:p>
    <w:p>
      <w:pPr>
        <w:ind w:left="288"/>
      </w:pPr>
      <w:r>
        <w:rPr>
          <w:b/>
          <w:color w:val="003CA0"/>
          <w:sz w:val="16"/>
        </w:rPr>
        <w:t>[ADI 5.505, rel. min. Luiz Fux, j. 15-4-2020, P, DJE de 30-4-2020.]</w:t>
      </w:r>
    </w:p>
    <w:p>
      <w:pPr>
        <w:ind w:left="288"/>
      </w:pPr>
      <w:r>
        <w:rPr>
          <w:color w:val="8C8C8C"/>
          <w:sz w:val="12"/>
        </w:rPr>
        <w:t>cf-art-128-par-5</w:t>
      </w:r>
      <w:r>
        <w:rPr>
          <w:color w:val="003CA0"/>
          <w:sz w:val="12"/>
        </w:rPr>
        <w:t xml:space="preserve"> | ADI 4.142</w:t>
      </w:r>
      <w:r>
        <w:rPr>
          <w:color w:val="003CA0"/>
          <w:sz w:val="12"/>
        </w:rPr>
        <w:t xml:space="preserve"> | rel. Roberto Barroso</w:t>
      </w:r>
    </w:p>
    <w:p>
      <w:pPr>
        <w:ind w:left="288"/>
      </w:pPr>
      <w:r>
        <w:rPr>
          <w:color w:val="1E1E1E"/>
          <w:sz w:val="18"/>
        </w:rPr>
        <w:t>Extrai-se da interpretação do art. 128, § 5º, da Constituição, que cabe ao chefe de cada Ministério Público a iniciativa de lei complementar estadual que disponha sobre organização, atribuições e estatuto de cada instituição individualmente considerada, desde que observados os regramentos gerais definidos pela Lei Orgânica Nacional do Ministério Público. Na esfera estadual coexistem dois regimes de organização: (i) o da Lei Orgânica Nacional (Lei nº 8.625/1993), que fixa as normas gerais; e (ii) o da Lei Orgânica do Estado, que delimita, em lei complementar de iniciativa do Procurador-Geral de</w:t>
      </w:r>
    </w:p>
    <w:p>
      <w:pPr>
        <w:ind w:left="288"/>
      </w:pPr>
      <w:r>
        <w:rPr>
          <w:b/>
          <w:color w:val="003CA0"/>
          <w:sz w:val="16"/>
        </w:rPr>
        <w:t>[ADI 4.142, rel. min. Roberto Barroso, j. 20-12-2019, P, DJE de 26-2-2020.]</w:t>
      </w:r>
    </w:p>
    <w:p>
      <w:pPr>
        <w:ind w:left="288"/>
      </w:pPr>
      <w:r>
        <w:rPr>
          <w:color w:val="8C8C8C"/>
          <w:sz w:val="12"/>
        </w:rPr>
        <w:t>cf-art-128-par-5</w:t>
      </w:r>
      <w:r>
        <w:rPr>
          <w:color w:val="003CA0"/>
          <w:sz w:val="12"/>
        </w:rPr>
        <w:t xml:space="preserve"> | ADI 5.171</w:t>
      </w:r>
      <w:r>
        <w:rPr>
          <w:color w:val="003CA0"/>
          <w:sz w:val="12"/>
        </w:rPr>
        <w:t xml:space="preserve"> | rel. Luiz Fux</w:t>
      </w:r>
    </w:p>
    <w:p>
      <w:pPr>
        <w:ind w:left="288"/>
      </w:pPr>
      <w:r>
        <w:rPr>
          <w:color w:val="1E1E1E"/>
          <w:sz w:val="18"/>
        </w:rPr>
        <w:t>O Ministério Público é o titular da iniciativa de projeto de lei que organiza, institui atribuições e estabelece a estrutura da carreira, dispondo também sobre a forma de eleição, de composição da lista tríplice e de escolha do Procurador-Geral de Justiça, na forma do artigo 128, §§ 3º e 5º, da Constituição Federal, observados os limites traçados pelo texto constitucional e pela legislação orgânica nacional (Lei 8.625/1993). A Emenda Constitucional 48/2014 à Constituição do Estado do Amapá revela-se formalmente inconstitucional: (i) por tratar de matéria relativa à alteração do estatuto jurídi</w:t>
      </w:r>
    </w:p>
    <w:p>
      <w:pPr>
        <w:ind w:left="288"/>
      </w:pPr>
      <w:r>
        <w:rPr>
          <w:b/>
          <w:color w:val="003CA0"/>
          <w:sz w:val="16"/>
        </w:rPr>
        <w:t>[ADI 5.171, rel. min. Luiz Fux, j. 30-8-2019, P, DJE de 10-12-2019.]</w:t>
      </w:r>
    </w:p>
    <w:p>
      <w:pPr>
        <w:ind w:left="288"/>
      </w:pPr>
      <w:r>
        <w:rPr>
          <w:color w:val="8C8C8C"/>
          <w:sz w:val="12"/>
        </w:rPr>
        <w:t>cf-art-128-par-5</w:t>
      </w:r>
      <w:r>
        <w:rPr>
          <w:color w:val="003CA0"/>
          <w:sz w:val="12"/>
        </w:rPr>
        <w:t xml:space="preserve"> | ADI 5.700</w:t>
      </w:r>
      <w:r>
        <w:rPr>
          <w:color w:val="003CA0"/>
          <w:sz w:val="12"/>
        </w:rPr>
        <w:t xml:space="preserve"> | rel. Alexandre de Moraes</w:t>
      </w:r>
    </w:p>
    <w:p>
      <w:pPr>
        <w:ind w:left="288"/>
      </w:pPr>
      <w:r>
        <w:rPr>
          <w:color w:val="1E1E1E"/>
          <w:sz w:val="18"/>
        </w:rPr>
        <w:t xml:space="preserve">O modo de investidura do Procurador-Geral de Justiça constitui garantia de independência e autogoverno, visando à proteção da Sociedade e à defesa intransigente do regime democrático e exige, para sua regulamentação, a edição de lei complementar estadual de iniciativa da própria Instituição (CF, art. 128, § 5º). A Constituição Federal consagrou os requisitos básicos para a escolha do Procurador-Geral de Justiça, bem como a existência de mandato por tempo certo, impossibilitando sua demissão ad nutum, garantindo-lhe a imparcialidade necessária para o pleno exercício da autonomia administrativa </w:t>
      </w:r>
    </w:p>
    <w:p>
      <w:pPr>
        <w:ind w:left="288"/>
      </w:pPr>
      <w:r>
        <w:rPr>
          <w:b/>
          <w:color w:val="003CA0"/>
          <w:sz w:val="16"/>
        </w:rPr>
        <w:t>[ADI 5.700, rel. min. Alexandre de Moraes, j. 23-8-2019, P, DJE de 9-9-2019.]</w:t>
      </w:r>
    </w:p>
    <w:p>
      <w:pPr>
        <w:ind w:left="288"/>
      </w:pPr>
      <w:r>
        <w:rPr>
          <w:color w:val="8C8C8C"/>
          <w:sz w:val="12"/>
        </w:rPr>
        <w:t>cf-art-128-par-5</w:t>
      </w:r>
      <w:r>
        <w:rPr>
          <w:color w:val="003CA0"/>
          <w:sz w:val="12"/>
        </w:rPr>
        <w:t xml:space="preserve"> | ADI 4.807</w:t>
      </w:r>
      <w:r>
        <w:rPr>
          <w:color w:val="003CA0"/>
          <w:sz w:val="12"/>
        </w:rPr>
        <w:t xml:space="preserve"> | rel. Carmén Lúcia</w:t>
      </w:r>
    </w:p>
    <w:p>
      <w:pPr>
        <w:ind w:left="288"/>
      </w:pPr>
      <w:r>
        <w:rPr>
          <w:color w:val="1E1E1E"/>
          <w:sz w:val="18"/>
        </w:rPr>
        <w:t>Pelo art. 128, § 5º, da Constituição da República os procuradores-gerais têm a iniciativa das leis complementares estaduais que versam sobre a organização, as atribuições e o estatuto dos Ministérios Públicos. A possibilidade de iniciar e deliberar a Assembleia Legislativa, por maioria absoluta, sobre destituição do Procurador-Geral de Justiça (...) contraria os princípios da independência e autonomia do Ministério Público.</w:t>
      </w:r>
    </w:p>
    <w:p>
      <w:pPr>
        <w:ind w:left="288"/>
      </w:pPr>
      <w:r>
        <w:rPr>
          <w:b/>
          <w:color w:val="003CA0"/>
          <w:sz w:val="16"/>
        </w:rPr>
        <w:t>[ADI 4.807 e ADI 4.808, rel. min. Carmén Lúcia, j. 1º-8-2018, P, DJE de 21-5-2019.]</w:t>
      </w:r>
    </w:p>
    <w:p>
      <w:pPr>
        <w:ind w:left="288"/>
      </w:pPr>
      <w:r>
        <w:rPr>
          <w:color w:val="8C8C8C"/>
          <w:sz w:val="12"/>
        </w:rPr>
        <w:t>cf-art-128-par-5</w:t>
      </w:r>
      <w:r>
        <w:rPr>
          <w:color w:val="003CA0"/>
          <w:sz w:val="12"/>
        </w:rPr>
        <w:t xml:space="preserve"> | ADI 3.802</w:t>
      </w:r>
      <w:r>
        <w:rPr>
          <w:color w:val="003CA0"/>
          <w:sz w:val="12"/>
        </w:rPr>
        <w:t xml:space="preserve"> | rel. Dias Toffoli</w:t>
      </w:r>
    </w:p>
    <w:p>
      <w:pPr>
        <w:ind w:left="288"/>
      </w:pPr>
      <w:r>
        <w:rPr>
          <w:color w:val="1E1E1E"/>
          <w:sz w:val="18"/>
        </w:rPr>
        <w:t>Detém o PGR, de acordo com o art. 128, § 5º, da CF, a prerrogativa, ao lado daquela já atribuída ao chefe do Poder Executivo (art. 61, § 1º, II, d, CF), de iniciativa dos projetos legislativos que versem sobre a organização e as atribuições do Ministério Público Eleitoral, do qual é chefe, atuando como seu procurador-geral. Tratando-se de atribuição do MPF (arts. 72 e 78), nada mais natural que as regras de designação dos membros do Ministério Público para desempenhar as funções junto à Justiça Eleitoral sejam disciplinadas na legislação que dispõe, exatamente, sobre a organização, as atribuiç</w:t>
      </w:r>
    </w:p>
    <w:p>
      <w:pPr>
        <w:ind w:left="288"/>
      </w:pPr>
      <w:r>
        <w:rPr>
          <w:b/>
          <w:color w:val="003CA0"/>
          <w:sz w:val="16"/>
        </w:rPr>
        <w:t>[ADI 3.802, rel. min. Dias Toffoli, j. 10-3-2016, P, DJE de 14-11-2016.]</w:t>
      </w:r>
    </w:p>
    <w:p>
      <w:pPr>
        <w:ind w:left="288"/>
      </w:pPr>
      <w:r>
        <w:rPr>
          <w:color w:val="8C8C8C"/>
          <w:sz w:val="12"/>
        </w:rPr>
        <w:t>cf-art-128-par-5</w:t>
      </w:r>
      <w:r>
        <w:rPr>
          <w:color w:val="003CA0"/>
          <w:sz w:val="12"/>
        </w:rPr>
        <w:t xml:space="preserve"> | ADI 932</w:t>
      </w:r>
      <w:r>
        <w:rPr>
          <w:color w:val="003CA0"/>
          <w:sz w:val="12"/>
        </w:rPr>
        <w:t xml:space="preserve"> | rel. Ricardo Lewandowski</w:t>
      </w:r>
    </w:p>
    <w:p>
      <w:pPr>
        <w:ind w:left="288"/>
      </w:pPr>
      <w:r>
        <w:rPr>
          <w:color w:val="1E1E1E"/>
          <w:sz w:val="18"/>
        </w:rPr>
        <w:t>Dispositivo de lei estadual que apenas altera denominação de cargo ou estabelece prazo para reorganização interna da carreira do Ministério Público não afronta o art. 22 da CF. Não há qualquer inconstitucionalidade em dispositivo que revoga uma atribuição inconstitucional conferida ao Parquet, como a curadoria no processo civil de réu revel ou preso. Embora o art. 18 da LC 667/1991 tenha sido derrogado pelo art. 114 da LC 734/1993, o Tribunal recebeu a manifestação do Conselho Federal da OAB como aditamento à inicial, superando a preliminar de prejudicialidade, para conhecer da ação direta qua</w:t>
      </w:r>
    </w:p>
    <w:p>
      <w:pPr>
        <w:ind w:left="288"/>
      </w:pPr>
      <w:r>
        <w:rPr>
          <w:b/>
          <w:color w:val="003CA0"/>
          <w:sz w:val="16"/>
        </w:rPr>
        <w:t>[ADI 932, rel. min. Ricardo Lewandowski, j. 17-12-2010, P, DJE de 9-5-2011.]</w:t>
      </w:r>
    </w:p>
    <w:p>
      <w:pPr>
        <w:ind w:left="288"/>
      </w:pPr>
      <w:r>
        <w:rPr>
          <w:color w:val="8C8C8C"/>
          <w:sz w:val="12"/>
        </w:rPr>
        <w:t>cf-art-128-par-5</w:t>
      </w:r>
      <w:r>
        <w:rPr>
          <w:color w:val="003CA0"/>
          <w:sz w:val="12"/>
        </w:rPr>
        <w:t xml:space="preserve"> | ADI 1.916</w:t>
      </w:r>
      <w:r>
        <w:rPr>
          <w:color w:val="003CA0"/>
          <w:sz w:val="12"/>
        </w:rPr>
        <w:t xml:space="preserve"> | rel. Eros Grau</w:t>
      </w:r>
    </w:p>
    <w:p>
      <w:pPr>
        <w:ind w:left="288"/>
      </w:pPr>
      <w:r>
        <w:rPr>
          <w:color w:val="1E1E1E"/>
          <w:sz w:val="18"/>
        </w:rPr>
        <w:t>Competência exclusiva do procurador-geral de Justiça do Estado de Mato Grosso do Sul para propor a ação civil pública contra autoridades estaduais específicas. A legitimação para propositura da ação civil pública – nos termos do art. 129,  III, da Constituição do Brasil – é do Ministério Público, instituição una e indivisível. O disposto no art. 30, X, da LC 72/1994, estabelece quem, entre os integrantes daquela instituição, conduzirá o inquérito civil e a ação civil pública quando a responsabilidade for decorrente de ato praticado, em razão de suas funções, por determinadas autoridades estadu</w:t>
      </w:r>
    </w:p>
    <w:p>
      <w:pPr>
        <w:ind w:left="288"/>
      </w:pPr>
      <w:r>
        <w:rPr>
          <w:b/>
          <w:color w:val="003CA0"/>
          <w:sz w:val="16"/>
        </w:rPr>
        <w:t>[ADI 1.916, rel. min. Eros Grau, j. 14-4-2010, P, DJE de 18-6-2010.]</w:t>
      </w:r>
    </w:p>
    <w:p>
      <w:pPr>
        <w:ind w:left="288"/>
      </w:pPr>
      <w:r>
        <w:rPr>
          <w:color w:val="8C8C8C"/>
          <w:sz w:val="12"/>
        </w:rPr>
        <w:t>cf-art-128-par-5</w:t>
      </w:r>
      <w:r>
        <w:rPr>
          <w:color w:val="003CA0"/>
          <w:sz w:val="12"/>
        </w:rPr>
        <w:t xml:space="preserve"> | ADI 4.075</w:t>
      </w:r>
      <w:r>
        <w:rPr>
          <w:color w:val="003CA0"/>
          <w:sz w:val="12"/>
        </w:rPr>
        <w:t xml:space="preserve"> | rel. Joaquim Barbosa</w:t>
      </w:r>
    </w:p>
    <w:p>
      <w:pPr>
        <w:ind w:left="288"/>
      </w:pPr>
      <w:r>
        <w:rPr>
          <w:color w:val="1E1E1E"/>
          <w:sz w:val="18"/>
        </w:rPr>
        <w:t>Ação direta de inconstitucionalidade. Medida cautelar. Lei complementar estadual. Iniciativa do Ministério Público estadual. Emenda parlamentar. Aumento de despesa. Inconstitucionalidade formal. Fumus boni iuris e pericullum in mora. Cautelar deferida. A jurisprudência desta Corte firmou-se no sentido de que gera inconstitucionalidade formal a emenda parlamentar a projeto de lei de iniciativa do Ministério Público estadual que importa aumento de despesa. Precedentes.</w:t>
      </w:r>
    </w:p>
    <w:p>
      <w:pPr>
        <w:ind w:left="288"/>
      </w:pPr>
      <w:r>
        <w:rPr>
          <w:b/>
          <w:color w:val="003CA0"/>
          <w:sz w:val="16"/>
        </w:rPr>
        <w:t>[ADI 4.075 MC, rel. min. Joaquim Barbosa, j. 4-6-2008, P, DJE de 20-6-2008.]</w:t>
      </w:r>
    </w:p>
    <w:p>
      <w:pPr>
        <w:ind w:left="288"/>
      </w:pPr>
      <w:r>
        <w:rPr>
          <w:color w:val="8C8C8C"/>
          <w:sz w:val="12"/>
        </w:rPr>
        <w:t>cf-art-128-par-5</w:t>
      </w:r>
      <w:r>
        <w:rPr>
          <w:color w:val="003CA0"/>
          <w:sz w:val="12"/>
        </w:rPr>
        <w:t xml:space="preserve"> | ADI 4.062</w:t>
      </w:r>
      <w:r>
        <w:rPr>
          <w:color w:val="003CA0"/>
          <w:sz w:val="12"/>
        </w:rPr>
        <w:t xml:space="preserve"> | rel. Joaquim Barbosa</w:t>
      </w:r>
    </w:p>
    <w:p>
      <w:pPr>
        <w:ind w:left="288"/>
      </w:pPr>
      <w:r>
        <w:rPr>
          <w:color w:val="1E1E1E"/>
          <w:sz w:val="18"/>
        </w:rPr>
        <w:t>= ADI 4.062 MC, rel. min. Joaquim Barbosa, j. 4-6-2008, P, DJE de 20-6-2008 O art. 128, § 5º, da Constituição não substantiva reserva absoluta a lei complementar para conferir atribuições ao Ministério Público ou a cada um dos seus ramos, na União ou nos Estados-membros. A tese restritiva é elidida pelo art. 129 da Constituição, que, depois de enumerar uma série de "funções institucionais do Ministério Público", admite que a elas se acresçam a de "exercer outras funções que lhe forem conferidas, desde que compatíveis com sua finalidade, sendo-lhe vedada a representação judicial e a consultoria</w:t>
      </w:r>
    </w:p>
    <w:p>
      <w:pPr>
        <w:ind w:left="288"/>
      </w:pPr>
      <w:r>
        <w:rPr>
          <w:b/>
          <w:color w:val="003CA0"/>
          <w:sz w:val="16"/>
        </w:rPr>
        <w:t>[ADI 2.794, rel. min. Sepúlveda Pertence, j. 14-12-2006, P, DJ de 30-3-2007.]</w:t>
      </w:r>
    </w:p>
    <w:p>
      <w:pPr>
        <w:ind w:left="288"/>
      </w:pPr>
      <w:r>
        <w:rPr>
          <w:color w:val="8C8C8C"/>
          <w:sz w:val="12"/>
        </w:rPr>
        <w:t>cf-art-128-par-5</w:t>
      </w:r>
      <w:r>
        <w:rPr>
          <w:color w:val="003CA0"/>
          <w:sz w:val="12"/>
        </w:rPr>
        <w:t xml:space="preserve"> | ADI 852</w:t>
      </w:r>
      <w:r>
        <w:rPr>
          <w:color w:val="003CA0"/>
          <w:sz w:val="12"/>
        </w:rPr>
        <w:t xml:space="preserve"> | rel. Ilmar Galvão</w:t>
      </w:r>
    </w:p>
    <w:p>
      <w:pPr>
        <w:ind w:left="288"/>
      </w:pPr>
      <w:r>
        <w:rPr>
          <w:color w:val="1E1E1E"/>
          <w:sz w:val="18"/>
        </w:rPr>
        <w:t>A atribuição, exclusivamente ao chefe do Poder Executivo estadual, da iniciativa do projeto de Lei Orgânica do Ministério Público, por sua vez, configura violação ao art. 128, § 5º, da CF, que faculta tal prerrogativa aos procuradores-gerais de Justiça.</w:t>
      </w:r>
    </w:p>
    <w:p>
      <w:pPr>
        <w:ind w:left="288"/>
      </w:pPr>
      <w:r>
        <w:rPr>
          <w:b/>
          <w:color w:val="003CA0"/>
          <w:sz w:val="16"/>
        </w:rPr>
        <w:t>[ADI 852, rel. min. Ilmar Galvão, j. 29-8-2002, P, DJ de 18-10-2002.]</w:t>
      </w:r>
    </w:p>
    <w:p>
      <w:pPr>
        <w:ind w:left="288"/>
      </w:pPr>
      <w:r>
        <w:rPr>
          <w:color w:val="8C8C8C"/>
          <w:sz w:val="12"/>
        </w:rPr>
        <w:t>cf-art-128-par-5</w:t>
      </w:r>
      <w:r>
        <w:rPr>
          <w:color w:val="003CA0"/>
          <w:sz w:val="12"/>
        </w:rPr>
        <w:t xml:space="preserve"> | ADI 1.138</w:t>
      </w:r>
      <w:r>
        <w:rPr>
          <w:color w:val="003CA0"/>
          <w:sz w:val="12"/>
        </w:rPr>
        <w:t xml:space="preserve"> | rel. Ilmar Galvão</w:t>
      </w:r>
    </w:p>
    <w:p>
      <w:pPr>
        <w:ind w:left="288"/>
      </w:pPr>
      <w:r>
        <w:rPr>
          <w:color w:val="1E1E1E"/>
          <w:sz w:val="18"/>
        </w:rPr>
        <w:t>Impropriedade do meio empregado para regulamentação do controle externo da atividade policial pelo Ministério Público, reservada pela Constituição à lei complementar da União e dos Estados (art. 128, § 5º), circunstância que reforça a plausibilidade da tese da arguida inconstitucionalidade formal do referido ato e evidencia a conveniência da pronta suspensão da eficácia dos dispositivos impugnados, em prol da harmonia funcional dos órgãos envolvidos.</w:t>
      </w:r>
    </w:p>
    <w:p>
      <w:pPr>
        <w:ind w:left="288"/>
      </w:pPr>
      <w:r>
        <w:rPr>
          <w:b/>
          <w:color w:val="003CA0"/>
          <w:sz w:val="16"/>
        </w:rPr>
        <w:t>[ADI 1.138 MC, rel. min. Ilmar Galvão, j. 8-3-1995, P, DJ de 16-2-1996.]</w:t>
      </w:r>
    </w:p>
    <w:p>
      <w:pPr>
        <w:ind w:left="288"/>
      </w:pPr>
      <w:r>
        <w:rPr>
          <w:color w:val="8C8C8C"/>
          <w:sz w:val="12"/>
        </w:rPr>
        <w:t>cf-art-128-par-5</w:t>
      </w:r>
      <w:r>
        <w:rPr>
          <w:color w:val="003CA0"/>
          <w:sz w:val="12"/>
        </w:rPr>
        <w:t xml:space="preserve"> | ADI 789</w:t>
      </w:r>
      <w:r>
        <w:rPr>
          <w:color w:val="003CA0"/>
          <w:sz w:val="12"/>
        </w:rPr>
        <w:t xml:space="preserve"> | rel. Celso de Mello</w:t>
      </w:r>
    </w:p>
    <w:p>
      <w:pPr>
        <w:ind w:left="288"/>
      </w:pPr>
      <w:r>
        <w:rPr>
          <w:color w:val="1E1E1E"/>
          <w:sz w:val="18"/>
        </w:rPr>
        <w:t>Só cabe lei complementar, no sistema de direito positivo brasileiro, quando formalmente reclamada a sua edição por norma constitucional explícita. A especificidade do Ministério Público que atua perante o TCU, e cuja existência se projeta num domínio institucional absolutamente diverso daquele em que se insere o MPU, faz com que a regulação de sua organização, a discriminação de suas atribuições e a definição de seu estatuto sejam passíveis de veiculação mediante simples lei ordinária, eis que a edição de lei complementar é reclamada, no que concerne ao Parquet, tão somente para a disciplinaçã</w:t>
      </w:r>
    </w:p>
    <w:p>
      <w:pPr>
        <w:ind w:left="288"/>
      </w:pPr>
      <w:r>
        <w:rPr>
          <w:b/>
          <w:color w:val="003CA0"/>
          <w:sz w:val="16"/>
        </w:rPr>
        <w:t>[ADI 789, rel. min. Celso de Mello, j. 26-5-1994, P, DJ de 19-12-1994.]</w:t>
      </w:r>
    </w:p>
    <w:p>
      <w:pPr>
        <w:ind w:left="288"/>
      </w:pPr>
      <w:r>
        <w:rPr>
          <w:color w:val="8C8C8C"/>
          <w:sz w:val="12"/>
        </w:rPr>
        <w:t>cf-art-128-par-5</w:t>
      </w:r>
      <w:r>
        <w:rPr>
          <w:color w:val="003CA0"/>
          <w:sz w:val="12"/>
        </w:rPr>
        <w:t xml:space="preserve"> | ADI 2.010</w:t>
      </w:r>
      <w:r>
        <w:rPr>
          <w:color w:val="003CA0"/>
          <w:sz w:val="12"/>
        </w:rPr>
        <w:t xml:space="preserve"> | rel. Celso de Mello</w:t>
      </w:r>
    </w:p>
    <w:p>
      <w:pPr>
        <w:ind w:left="288"/>
      </w:pPr>
      <w:r>
        <w:rPr>
          <w:color w:val="1E1E1E"/>
          <w:sz w:val="18"/>
        </w:rPr>
        <w:t>= ADI 2.010 MC, rel. min. Celso de Mello, j. 30-9-1999, P, DJ de 12-4-2002 = ADI 2.028 MC, rel. min. Moreira Alves, j. 11-11-1999, P, DJ de 16-6-2000</w:t>
      </w:r>
    </w:p>
    <w:p>
      <w:pPr>
        <w:ind w:left="144"/>
      </w:pPr>
      <w:r>
        <w:rPr>
          <w:b/>
          <w:color w:val="B45A00"/>
          <w:sz w:val="16"/>
        </w:rPr>
        <w:t>JULGADOS CORRELATOS</w:t>
      </w:r>
    </w:p>
    <w:p>
      <w:pPr>
        <w:ind w:left="288"/>
      </w:pPr>
      <w:r>
        <w:rPr>
          <w:color w:val="8C8C8C"/>
          <w:sz w:val="12"/>
        </w:rPr>
        <w:t>cf-art-128-par-5</w:t>
      </w:r>
      <w:r>
        <w:rPr>
          <w:color w:val="003CA0"/>
          <w:sz w:val="12"/>
        </w:rPr>
        <w:t xml:space="preserve"> | MS 34.472</w:t>
      </w:r>
      <w:r>
        <w:rPr>
          <w:color w:val="003CA0"/>
          <w:sz w:val="12"/>
        </w:rPr>
        <w:t xml:space="preserve"> | rel. Dias Toffoli</w:t>
      </w:r>
    </w:p>
    <w:p>
      <w:pPr>
        <w:ind w:left="288"/>
      </w:pPr>
      <w:r>
        <w:rPr>
          <w:color w:val="1E1E1E"/>
          <w:sz w:val="18"/>
        </w:rPr>
        <w:t>Não compete ao CNMP ou ao Colégio de Procuradores de Justiça "revisar ato do procurador-geral, no âmbito de seu dever-poder de gestão e administração de sua unidade ministerial, que não desborde os limites da legalidade, proporcionalidade e moralidade". Inexistência de garantia constitucional ao duplo grau de jurisdição na seara administrativa. (...) Não há obrigatoriedade de previsão de recurso administrativo para revisão de decisão de autoridade, máxime quando se trata de decisão prolatada no exercício de competência discricionária e exclusiva do agente público. Não há previsão de recurso ad</w:t>
      </w:r>
    </w:p>
    <w:p>
      <w:pPr>
        <w:ind w:left="288"/>
      </w:pPr>
      <w:r>
        <w:rPr>
          <w:color w:val="8C8C8C"/>
          <w:sz w:val="12"/>
        </w:rPr>
        <w:t>cf-art-128-par-5-inc-I-ali-a</w:t>
      </w:r>
      <w:r>
        <w:rPr>
          <w:color w:val="003CA0"/>
          <w:sz w:val="12"/>
        </w:rPr>
        <w:t xml:space="preserve"> | RE 1.571.686</w:t>
      </w:r>
      <w:r>
        <w:rPr>
          <w:color w:val="003CA0"/>
          <w:sz w:val="12"/>
        </w:rPr>
        <w:t xml:space="preserve"> | rel. Alexandre de Moraes</w:t>
      </w:r>
    </w:p>
    <w:p>
      <w:pPr>
        <w:ind w:left="288"/>
      </w:pPr>
      <w:r>
        <w:rPr>
          <w:color w:val="1E1E1E"/>
          <w:sz w:val="18"/>
        </w:rPr>
        <w:t>A regra prevista no art. 128, §5º, I, da Constituição Federal deve ser lida no sentido de exigir, para a perda do cargo de membro do Ministério Público, após o vitaliciamento, apenas o trânsito em julgado da ação civil específica de perda do cargo, ainda que decorra da prática de fato criminoso. O art. 38, § 1º, I da Lei 8.625/1993 e o art. 157, I, da Lei Complementar 734/1993, do Estado de São Paulo, estabelecem a prática de crime incompatível com o exercício como uma das hipóteses para perda do cargo, o que pode ser reconhecido pelo juízo cível competente para conhecimento da ação proposta c</w:t>
      </w:r>
    </w:p>
    <w:p>
      <w:pPr>
        <w:ind w:left="288"/>
      </w:pPr>
      <w:r>
        <w:rPr>
          <w:b/>
          <w:color w:val="003CA0"/>
          <w:sz w:val="16"/>
        </w:rPr>
        <w:t>[RE 1.571.686 AgR, rel. min. Alexandre de Moraes, j. 18-2-2026, 1ª T, DJE de 25-2-2026.]</w:t>
      </w:r>
    </w:p>
    <w:p>
      <w:pPr>
        <w:ind w:left="288"/>
      </w:pPr>
      <w:r>
        <w:rPr>
          <w:color w:val="8C8C8C"/>
          <w:sz w:val="12"/>
        </w:rPr>
        <w:t>cf-art-128-par-5-inc-I-ali-a</w:t>
      </w:r>
      <w:r>
        <w:rPr>
          <w:color w:val="003CA0"/>
          <w:sz w:val="12"/>
        </w:rPr>
        <w:t xml:space="preserve"> | MS 31.523</w:t>
      </w:r>
      <w:r>
        <w:rPr>
          <w:color w:val="003CA0"/>
          <w:sz w:val="12"/>
        </w:rPr>
        <w:t xml:space="preserve"> | rel. Celso de Mello</w:t>
      </w:r>
    </w:p>
    <w:p>
      <w:pPr>
        <w:ind w:left="288"/>
      </w:pPr>
      <w:r>
        <w:rPr>
          <w:color w:val="1E1E1E"/>
          <w:sz w:val="18"/>
        </w:rPr>
        <w:t>Conselho Nacional do Ministério Público. Órgão constitucional de perfil estritamente administrativo. Consequente impossibilidade jurídica de impor aos integrantes do Ministério Público da União e dos estados-membros, que gozam do predicamento constitucional da vitaliciedade (CF, art. 128, § 5º, inciso I, a), a sanção de perda do cargo. A vitaliciedade como garantia de independência funcional assegurada ao membro do Ministério Público.</w:t>
      </w:r>
    </w:p>
    <w:p>
      <w:pPr>
        <w:ind w:left="288"/>
      </w:pPr>
      <w:r>
        <w:rPr>
          <w:b/>
          <w:color w:val="003CA0"/>
          <w:sz w:val="16"/>
        </w:rPr>
        <w:t>[MS 31.523 AgR, rel. min. Celso de Mello, j. 3-10-2020, 2ª T, DJE de 8-10-2020.]</w:t>
      </w:r>
    </w:p>
    <w:p>
      <w:pPr>
        <w:ind w:left="288"/>
      </w:pPr>
      <w:r>
        <w:rPr>
          <w:color w:val="8C8C8C"/>
          <w:sz w:val="12"/>
        </w:rPr>
        <w:t>cf-art-128-par-5-inc-I-ali-a</w:t>
      </w:r>
      <w:r>
        <w:rPr>
          <w:color w:val="003CA0"/>
          <w:sz w:val="12"/>
        </w:rPr>
        <w:t xml:space="preserve"> | MS 30.493</w:t>
      </w:r>
    </w:p>
    <w:p>
      <w:pPr>
        <w:ind w:left="288"/>
      </w:pPr>
      <w:r>
        <w:rPr>
          <w:color w:val="1E1E1E"/>
          <w:sz w:val="18"/>
        </w:rPr>
        <w:t>Os membros do Ministério Público Federal possuem garantias constitucionalmente previstas, dentre elas a irredutibilidade de subsídio (artigo 128, I, c) e a vitaliciedade, só sendo possível a perda do cargo em virtude de sentença judicial transitada em julgado (artigo 128, I, a), contudo, não se pode interpretar essas garantias isoladamente, conjugando-as às demais normas constitucionalmente fixadas, dentre elas o princípio da moralidade. Assim, não é inconstitucional o disposto no artigo 208, parágrafo único, da LC 75/1993, ao prever a perda dos vencimentos e demais vantagens do cargo em razão</w:t>
      </w:r>
    </w:p>
    <w:p>
      <w:pPr>
        <w:ind w:left="288"/>
      </w:pPr>
      <w:r>
        <w:rPr>
          <w:b/>
          <w:color w:val="003CA0"/>
          <w:sz w:val="16"/>
        </w:rPr>
        <w:t>[MS 30.493, red. do ac. min. Edson Fachin, j. 16-6-2020, P, DJE de 21-9-2020.]</w:t>
      </w:r>
    </w:p>
    <w:p>
      <w:pPr>
        <w:ind w:left="288"/>
      </w:pPr>
      <w:r>
        <w:rPr>
          <w:color w:val="8C8C8C"/>
          <w:sz w:val="12"/>
        </w:rPr>
        <w:t>cf-art-128-par-5-inc-I-ali-a</w:t>
      </w:r>
      <w:r>
        <w:rPr>
          <w:color w:val="003CA0"/>
          <w:sz w:val="12"/>
        </w:rPr>
        <w:t xml:space="preserve"> | MS 23.441</w:t>
      </w:r>
    </w:p>
    <w:p>
      <w:pPr>
        <w:ind w:left="288"/>
      </w:pPr>
      <w:r>
        <w:rPr>
          <w:color w:val="1E1E1E"/>
          <w:sz w:val="18"/>
        </w:rPr>
        <w:t>Trata-se de mandado de segurança, com pedido de medida liminar, impetrado pela procuradora do trabalho (...), contra ato do PGR, que a exonerou do cargo, em consequência de sua não aprovação em estágio probatório, após decisão do Conselho Superior do MPT nesse sentido. (...) o ato do PGR impugnado neste mandado de segurança não sobrevive ao crivo jurisdicional, por qualquer um dos três fundamentos levantados pela defesa da impetrante. Trata-se de ato ilegal, em primeiro lugar, por não ter observado o dispositivo da lei complementar que prevê como consequência do inquérito administrativo a aber</w:t>
      </w:r>
    </w:p>
    <w:p>
      <w:pPr>
        <w:ind w:left="288"/>
      </w:pPr>
      <w:r>
        <w:rPr>
          <w:b/>
          <w:color w:val="003CA0"/>
          <w:sz w:val="16"/>
        </w:rPr>
        <w:t>[MS 23.441, voto do red. do ac. min. Joaquim Barbosa, j. 27-11-2008, P, DJE de 6-11-2009.]</w:t>
      </w:r>
    </w:p>
    <w:p>
      <w:pPr>
        <w:ind w:left="288"/>
      </w:pPr>
      <w:r>
        <w:rPr>
          <w:color w:val="8C8C8C"/>
          <w:sz w:val="12"/>
        </w:rPr>
        <w:t>cf-art-128-par-5-inc-I-ali-a</w:t>
      </w:r>
    </w:p>
    <w:p>
      <w:pPr>
        <w:ind w:left="288"/>
      </w:pPr>
      <w:r>
        <w:rPr>
          <w:color w:val="1E1E1E"/>
          <w:sz w:val="18"/>
        </w:rPr>
        <w:t>b) inamovibilidade, salvo por motivo de interesse público, mediante decisão do órgão colegiado competente do Ministério Público, pelo voto da maioria absoluta de seus membros, assegurada ampla defesa; (Redação da EC 45/2004)</w:t>
      </w:r>
    </w:p>
    <w:p>
      <w:pPr>
        <w:ind w:left="144"/>
      </w:pPr>
      <w:r>
        <w:rPr>
          <w:b/>
          <w:color w:val="B45A00"/>
          <w:sz w:val="16"/>
        </w:rPr>
        <w:t>CONTROLE CONCENTRADO</w:t>
      </w:r>
    </w:p>
    <w:p>
      <w:pPr>
        <w:ind w:left="288"/>
      </w:pPr>
      <w:r>
        <w:rPr>
          <w:color w:val="8C8C8C"/>
          <w:sz w:val="12"/>
        </w:rPr>
        <w:t>cf-art-128-par-5-inc-I-ali-a</w:t>
      </w:r>
      <w:r>
        <w:rPr>
          <w:color w:val="003CA0"/>
          <w:sz w:val="12"/>
        </w:rPr>
        <w:t xml:space="preserve"> | ADI 5.052</w:t>
      </w:r>
      <w:r>
        <w:rPr>
          <w:color w:val="003CA0"/>
          <w:sz w:val="12"/>
        </w:rPr>
        <w:t xml:space="preserve"> | rel. Gilmar Mendes</w:t>
      </w:r>
    </w:p>
    <w:p>
      <w:pPr>
        <w:ind w:left="288"/>
      </w:pPr>
      <w:r>
        <w:rPr>
          <w:color w:val="1E1E1E"/>
          <w:sz w:val="18"/>
        </w:rPr>
        <w:t>O deslocamento de membros das carreiras do Ministério Público da União para outro ofício, sem retorno à origem, mediante designações e redesignações bienais encerra aptidão para movimentações casuísticas, em possível afronta à garantia da inamovibilidade.</w:t>
        <w:br/>
        <w:t>[ADI 5.052, rel. min. Gilmar Mendes, j. 23-5-2022, P, DJE de 19-9-2022.]</w:t>
      </w:r>
    </w:p>
    <w:p>
      <w:pPr>
        <w:ind w:left="144"/>
      </w:pPr>
      <w:r>
        <w:rPr>
          <w:b/>
          <w:color w:val="B45A00"/>
          <w:sz w:val="16"/>
        </w:rPr>
        <w:t>JULGADOS CORRELATOS</w:t>
      </w:r>
    </w:p>
    <w:p>
      <w:pPr>
        <w:ind w:left="288"/>
      </w:pPr>
      <w:r>
        <w:rPr>
          <w:color w:val="8C8C8C"/>
          <w:sz w:val="12"/>
        </w:rPr>
        <w:t>cf-art-128-par-5-inc-I-ali-a</w:t>
      </w:r>
      <w:r>
        <w:rPr>
          <w:color w:val="003CA0"/>
          <w:sz w:val="12"/>
        </w:rPr>
        <w:t xml:space="preserve"> | RE 150.447</w:t>
      </w:r>
      <w:r>
        <w:rPr>
          <w:color w:val="003CA0"/>
          <w:sz w:val="12"/>
        </w:rPr>
        <w:t xml:space="preserve"> | rel. Ilmar Galvão</w:t>
      </w:r>
    </w:p>
    <w:p>
      <w:pPr>
        <w:ind w:left="288"/>
      </w:pPr>
      <w:r>
        <w:rPr>
          <w:color w:val="1E1E1E"/>
          <w:sz w:val="18"/>
        </w:rPr>
        <w:t>Os membros do MPDFT têm assegurada a garantia da inamovibilidade, de forma expressa, desde 1946 (CF/1946, art. 127; CF/1967, art. 138, § 1º; EC 1/1969, art. 95, § 1º; CF/1988, art. 128, § 5º, I, b). A LC 75/1993, na esteira do que já haviam disposto a Lei 3.754/1960 (art. 42, § 3º) e a Lei 7.567/1986 (art. 31), definiu os ofícios, nas promotorias de justiça, como "unidades de lotação" do MPDFT, tornando desnecessária a criação de cargos, tida pelo acórdão recorrido como pressuposto da aplicação da garantia sob enfoque, nessa unidade federada. Ato administrativo que, por destoar dessa orientaçã</w:t>
      </w:r>
    </w:p>
    <w:p>
      <w:pPr>
        <w:ind w:left="288"/>
      </w:pPr>
      <w:r>
        <w:rPr>
          <w:b/>
          <w:color w:val="003CA0"/>
          <w:sz w:val="16"/>
        </w:rPr>
        <w:t>[RE 150.447, rel. min. Ilmar Galvão, j. 13-5-1997, 1ª T, DJ de 15-8-1997.]</w:t>
      </w:r>
    </w:p>
    <w:p>
      <w:pPr>
        <w:ind w:left="144"/>
      </w:pPr>
      <w:r>
        <w:rPr>
          <w:b/>
          <w:color w:val="B45A00"/>
          <w:sz w:val="16"/>
        </w:rPr>
        <w:t>CONTROLE CONCENTRADO</w:t>
      </w:r>
    </w:p>
    <w:p>
      <w:pPr>
        <w:ind w:left="288"/>
      </w:pPr>
      <w:r>
        <w:rPr>
          <w:color w:val="8C8C8C"/>
          <w:sz w:val="12"/>
        </w:rPr>
        <w:t>cf-art-128-par-5-inc-I-ali-c</w:t>
      </w:r>
      <w:r>
        <w:rPr>
          <w:color w:val="003CA0"/>
          <w:sz w:val="12"/>
        </w:rPr>
        <w:t xml:space="preserve"> | ADPF 127</w:t>
      </w:r>
      <w:r>
        <w:rPr>
          <w:color w:val="003CA0"/>
          <w:sz w:val="12"/>
        </w:rPr>
        <w:t xml:space="preserve"> | rel. Dias Toffoli</w:t>
      </w:r>
    </w:p>
    <w:p>
      <w:pPr>
        <w:ind w:left="288"/>
      </w:pPr>
      <w:r>
        <w:rPr>
          <w:color w:val="1E1E1E"/>
          <w:sz w:val="18"/>
        </w:rPr>
        <w:t xml:space="preserve">A remuneração dos servidores públicos em geral e, do mesmo modo hoje, os subsídios dos procuradores-gerais de justiça e do estado (art. 135 e art. 128, § 5º, inciso I, c, da CF/88) devem ser fixados por intermédio de lei específica, na forma do art. 37, inciso X, da Constituição Federal, na redação dada pela Emenda Constitucional 19/98. A partir da referida emenda, nos termos do art. 28, § 2º, da Constituição, a fixação da política remuneratória dos agentes políticos do Poder Executivo estadual passou a depender de lei de iniciativa da Assembleia Legislativa, permitindo a realização de sanção </w:t>
      </w:r>
    </w:p>
    <w:p>
      <w:pPr>
        <w:ind w:left="288"/>
      </w:pPr>
      <w:r>
        <w:rPr>
          <w:b/>
          <w:color w:val="003CA0"/>
          <w:sz w:val="16"/>
        </w:rPr>
        <w:t>[ADPF 127, rel. min. Dias Toffoli, j. 29-11-2021, P, DJE de 15-2-2022.]</w:t>
      </w:r>
    </w:p>
    <w:p>
      <w:pPr>
        <w:ind w:left="144"/>
      </w:pPr>
      <w:r>
        <w:rPr>
          <w:b/>
          <w:color w:val="B45A00"/>
          <w:sz w:val="16"/>
        </w:rPr>
        <w:t>JULGADOS CORRELATOS</w:t>
      </w:r>
    </w:p>
    <w:p>
      <w:pPr>
        <w:ind w:left="288"/>
      </w:pPr>
      <w:r>
        <w:rPr>
          <w:color w:val="8C8C8C"/>
          <w:sz w:val="12"/>
        </w:rPr>
        <w:t>cf-art-128-par-5-inc-I-ali-c</w:t>
      </w:r>
      <w:r>
        <w:rPr>
          <w:color w:val="003CA0"/>
          <w:sz w:val="12"/>
        </w:rPr>
        <w:t xml:space="preserve"> | MS 30.493</w:t>
      </w:r>
    </w:p>
    <w:p>
      <w:pPr>
        <w:ind w:left="288"/>
      </w:pPr>
      <w:r>
        <w:rPr>
          <w:color w:val="1E1E1E"/>
          <w:sz w:val="18"/>
        </w:rPr>
        <w:t>Os membros do Ministério Público Federal possuem garantias constitucionalmente previstas, dentre elas a irredutibilidade de subsídio (artigo 128, I, c) e a vitaliciedade, só sendo possível a perda do cargo em virtude de sentença judicial transitada em julgado (artigo 128, I, a), contudo, não se pode interpretar essas garantias isoladamente, conjugando-as às demais normas constitucionalmente fixadas, dentre elas o princípio da moralidade. Assim, não é inconstitucional o disposto no artigo 208, parágrafo único, da LC 75/1993, ao prever a perda dos vencimentos e demais vantagens do cargo em razão</w:t>
      </w:r>
    </w:p>
    <w:p>
      <w:pPr>
        <w:ind w:left="288"/>
      </w:pPr>
      <w:r>
        <w:rPr>
          <w:b/>
          <w:color w:val="003CA0"/>
          <w:sz w:val="16"/>
        </w:rPr>
        <w:t>[MS 30.493, red. do ac. min. Edson Fachin, j. 16-6-2020, P, DJE de 21-9-2020.]</w:t>
      </w:r>
    </w:p>
    <w:p>
      <w:pPr>
        <w:ind w:left="288"/>
      </w:pPr>
      <w:r>
        <w:rPr>
          <w:color w:val="8C8C8C"/>
          <w:sz w:val="12"/>
        </w:rPr>
        <w:t>cf-art-128-par-5-inc-II-ali-a</w:t>
      </w:r>
      <w:r>
        <w:rPr>
          <w:color w:val="003CA0"/>
          <w:sz w:val="12"/>
        </w:rPr>
        <w:t xml:space="preserve"> | ARE 1.524.619</w:t>
      </w:r>
      <w:r>
        <w:rPr>
          <w:color w:val="003CA0"/>
          <w:sz w:val="12"/>
        </w:rPr>
        <w:t xml:space="preserve"> | rel. Alexandre de Moraes</w:t>
      </w:r>
    </w:p>
    <w:p>
      <w:pPr>
        <w:ind w:left="288"/>
      </w:pPr>
      <w:r>
        <w:rPr>
          <w:color w:val="1E1E1E"/>
          <w:sz w:val="18"/>
        </w:rPr>
        <w:t>O Ministério Público é instituição permanente, essencial à função jurisdicional do Estado, incumbindo-lhe a defesa da ordem jurídica, do regime democrático e dos interesses sociais e individuais indisponíveis, não sendo possível sua condenação ao pagamento de despesas processuais e honorários de sucumbência, sob pena de ferimento à sua independência e autonomia.</w:t>
      </w:r>
    </w:p>
    <w:p>
      <w:pPr>
        <w:ind w:left="288"/>
      </w:pPr>
      <w:r>
        <w:rPr>
          <w:b/>
          <w:color w:val="003CA0"/>
          <w:sz w:val="16"/>
        </w:rPr>
        <w:t>[ARE 1.524.619 RG, rel. min. Alexandre de Moraes, j. 14.03.2025, P, DJE de 27.03.2025, Tema 1.382, com mérito pendente.]</w:t>
      </w:r>
    </w:p>
    <w:p>
      <w:pPr>
        <w:ind w:left="288"/>
      </w:pPr>
      <w:r>
        <w:rPr>
          <w:color w:val="8C8C8C"/>
          <w:sz w:val="12"/>
        </w:rPr>
        <w:t>cf-art-128-par-5-inc-II-ali-a</w:t>
      </w:r>
      <w:r>
        <w:rPr>
          <w:color w:val="003CA0"/>
          <w:sz w:val="12"/>
        </w:rPr>
        <w:t xml:space="preserve"> | RE 428.324</w:t>
      </w:r>
      <w:r>
        <w:rPr>
          <w:color w:val="003CA0"/>
          <w:sz w:val="12"/>
        </w:rPr>
        <w:t xml:space="preserve"> | rel. Marco Aurélio</w:t>
      </w:r>
    </w:p>
    <w:p>
      <w:pPr>
        <w:ind w:left="288"/>
      </w:pPr>
      <w:r>
        <w:rPr>
          <w:color w:val="1E1E1E"/>
          <w:sz w:val="18"/>
        </w:rPr>
        <w:t>Observem a norma do art. 128, § 5º, II, da CF. Revela ser vedado a membro do Ministério Público receber, a qualquer título e sob qualquer pretexto, honorários, percentagens ou custas processuais. Em momento algum, o dispositivo prevê o direito de a Fazenda Pública ver recolhidos aos respectivos cofres os honorários advocatícios devidos pela parte vencida em ação civil pública julgada procedente.</w:t>
      </w:r>
    </w:p>
    <w:p>
      <w:pPr>
        <w:ind w:left="288"/>
      </w:pPr>
      <w:r>
        <w:rPr>
          <w:b/>
          <w:color w:val="003CA0"/>
          <w:sz w:val="16"/>
        </w:rPr>
        <w:t>[RE 428.324, voto do rel. min. Marco Aurélio, j. 15-9-2009, 1ª T, DJE de 6-11-2009.]</w:t>
      </w:r>
    </w:p>
    <w:p>
      <w:pPr>
        <w:ind w:left="288"/>
      </w:pPr>
      <w:r>
        <w:rPr>
          <w:color w:val="8C8C8C"/>
          <w:sz w:val="12"/>
        </w:rPr>
        <w:t>cf-art-128-par-5-inc-II-ali-b</w:t>
      </w:r>
      <w:r>
        <w:rPr>
          <w:color w:val="003CA0"/>
          <w:sz w:val="12"/>
        </w:rPr>
        <w:t xml:space="preserve"> | HC 76.671</w:t>
      </w:r>
      <w:r>
        <w:rPr>
          <w:color w:val="003CA0"/>
          <w:sz w:val="12"/>
        </w:rPr>
        <w:t xml:space="preserve"> | rel. Néri da Silveira</w:t>
      </w:r>
    </w:p>
    <w:p>
      <w:pPr>
        <w:ind w:left="288"/>
      </w:pPr>
      <w:r>
        <w:rPr>
          <w:color w:val="1E1E1E"/>
          <w:sz w:val="18"/>
        </w:rPr>
        <w:t>Nas ações penais originárias, a defesa preliminar (Lei 8.038/1990, art. 4º) é atividade privativa dos advogados. Os membros do Ministério Público estão impedidos de exercer advocacia, mesmo em causa própria. São atividades incompatíveis (Lei 8.906/1994, art. 28).</w:t>
      </w:r>
    </w:p>
    <w:p>
      <w:pPr>
        <w:ind w:left="288"/>
      </w:pPr>
      <w:r>
        <w:rPr>
          <w:b/>
          <w:color w:val="003CA0"/>
          <w:sz w:val="16"/>
        </w:rPr>
        <w:t>[HC 76.671, rel. min. Néri da Silveira, j. 9-6-1998, 2ª T, DJ de 10-8-2000.]</w:t>
      </w:r>
    </w:p>
    <w:p>
      <w:pPr>
        <w:ind w:left="144"/>
      </w:pPr>
      <w:r>
        <w:rPr>
          <w:b/>
          <w:color w:val="B45A00"/>
          <w:sz w:val="16"/>
        </w:rPr>
        <w:t>CONTROLE CONCENTRADO</w:t>
      </w:r>
    </w:p>
    <w:p>
      <w:pPr>
        <w:ind w:left="288"/>
      </w:pPr>
      <w:r>
        <w:rPr>
          <w:color w:val="8C8C8C"/>
          <w:sz w:val="12"/>
        </w:rPr>
        <w:t>cf-art-128-par-5-inc-II-ali-d</w:t>
      </w:r>
      <w:r>
        <w:rPr>
          <w:color w:val="003CA0"/>
          <w:sz w:val="12"/>
        </w:rPr>
        <w:t xml:space="preserve"> | ADI 2.612</w:t>
      </w:r>
      <w:r>
        <w:rPr>
          <w:color w:val="003CA0"/>
          <w:sz w:val="12"/>
        </w:rPr>
        <w:t xml:space="preserve"> | rel. Rosa Weber</w:t>
      </w:r>
    </w:p>
    <w:p>
      <w:pPr>
        <w:ind w:left="288"/>
      </w:pPr>
      <w:r>
        <w:rPr>
          <w:color w:val="1E1E1E"/>
          <w:sz w:val="18"/>
        </w:rPr>
        <w:t>(...) Interpretação jurídica firmada no âmbito desta Corte Suprema no sentido de que os membros do Ministério Público que ingressaram nos seus quadros antes da vigência da Constituição Federal de 1988 e realizaram a opção nos termos do artigo 29, § 3º, mantiveram a prerrogativa do exercício de cargos e funções estranhos à própria carreira. A autorização conferida pelo art. 75 da LONMP é clara ao restringir a sua aplicação ao "membro do Ministério Público que tenha exercido a opção de que trata o art. 29, § 3º, do Ato das Disposições Constitucionais Transitórias". Inviabilidade de membro do Min</w:t>
      </w:r>
    </w:p>
    <w:p>
      <w:pPr>
        <w:ind w:left="288"/>
      </w:pPr>
      <w:r>
        <w:rPr>
          <w:b/>
          <w:color w:val="003CA0"/>
          <w:sz w:val="16"/>
        </w:rPr>
        <w:t>[ADI 2.612, rel. min. Rosa Weber, j. 23-11-2020, P, DJE de 3-12-2020.]</w:t>
      </w:r>
    </w:p>
    <w:p>
      <w:pPr>
        <w:ind w:left="288"/>
      </w:pPr>
      <w:r>
        <w:rPr>
          <w:color w:val="8C8C8C"/>
          <w:sz w:val="12"/>
        </w:rPr>
        <w:t>cf-art-128-par-5-inc-II-ali-d</w:t>
      </w:r>
      <w:r>
        <w:rPr>
          <w:color w:val="003CA0"/>
          <w:sz w:val="12"/>
        </w:rPr>
        <w:t xml:space="preserve"> | ADI 2.622</w:t>
      </w:r>
      <w:r>
        <w:rPr>
          <w:color w:val="003CA0"/>
          <w:sz w:val="12"/>
        </w:rPr>
        <w:t xml:space="preserve"> | rel. Cezar Peluso</w:t>
      </w:r>
    </w:p>
    <w:p>
      <w:pPr>
        <w:ind w:left="288"/>
      </w:pPr>
      <w:r>
        <w:rPr>
          <w:color w:val="1E1E1E"/>
          <w:sz w:val="18"/>
        </w:rPr>
        <w:t>Não pode norma de constituição estadual proibir nomeação de membro do Ministério Público para cargo de confiança que integre a administração da própria instituição.</w:t>
      </w:r>
    </w:p>
    <w:p>
      <w:pPr>
        <w:ind w:left="288"/>
      </w:pPr>
      <w:r>
        <w:rPr>
          <w:b/>
          <w:color w:val="003CA0"/>
          <w:sz w:val="16"/>
        </w:rPr>
        <w:t>[ADI 2.622, rel. min. Cezar Peluso, j. 10-11-2011, P, DJE de 16-2-2012.]</w:t>
      </w:r>
    </w:p>
    <w:p>
      <w:pPr>
        <w:ind w:left="288"/>
      </w:pPr>
      <w:r>
        <w:rPr>
          <w:color w:val="8C8C8C"/>
          <w:sz w:val="12"/>
        </w:rPr>
        <w:t>cf-art-128-par-5-inc-II-ali-d</w:t>
      </w:r>
      <w:r>
        <w:rPr>
          <w:color w:val="003CA0"/>
          <w:sz w:val="12"/>
        </w:rPr>
        <w:t xml:space="preserve"> | ADI 3.574</w:t>
      </w:r>
      <w:r>
        <w:rPr>
          <w:color w:val="003CA0"/>
          <w:sz w:val="12"/>
        </w:rPr>
        <w:t xml:space="preserve"> | rel. Ricardo Lewandowski</w:t>
      </w:r>
    </w:p>
    <w:p>
      <w:pPr>
        <w:ind w:left="288"/>
      </w:pPr>
      <w:r>
        <w:rPr>
          <w:color w:val="1E1E1E"/>
          <w:sz w:val="18"/>
        </w:rPr>
        <w:t>Ministério Público estadual. Exercício de outra função. (...) O afastamento de membro do Parquet para exercer outra função pública viabiliza-se apenas nas hipóteses de ocupação de cargos na administração superior do próprio Ministério Público. Os cargos de ministro, secretário de Estado ou do Distrito Federal, secretário de Município da Capital ou chefe de missão diplomática não dizem respeito à administração do Ministério Público, ensejando, inclusive, se efetivamente exercidos, indesejável vínculo de subordinação de seus ocupantes com o Executivo.</w:t>
      </w:r>
    </w:p>
    <w:p>
      <w:pPr>
        <w:ind w:left="288"/>
      </w:pPr>
      <w:r>
        <w:rPr>
          <w:b/>
          <w:color w:val="003CA0"/>
          <w:sz w:val="16"/>
        </w:rPr>
        <w:t>[ADI 3.574, rel. min. Ricardo Lewandowski, j. 16-5-2007, P, DJ de 1º-6-2007.]</w:t>
      </w:r>
    </w:p>
    <w:p>
      <w:pPr>
        <w:ind w:left="288"/>
      </w:pPr>
      <w:r>
        <w:rPr>
          <w:color w:val="8C8C8C"/>
          <w:sz w:val="12"/>
        </w:rPr>
        <w:t>cf-art-128-par-5-inc-II-ali-d</w:t>
      </w:r>
      <w:r>
        <w:rPr>
          <w:color w:val="003CA0"/>
          <w:sz w:val="12"/>
        </w:rPr>
        <w:t xml:space="preserve"> | ADPF 388</w:t>
      </w:r>
      <w:r>
        <w:rPr>
          <w:color w:val="003CA0"/>
          <w:sz w:val="12"/>
        </w:rPr>
        <w:t xml:space="preserve"> | rel. Gilmar Mendes</w:t>
      </w:r>
    </w:p>
    <w:p>
      <w:pPr>
        <w:ind w:left="288"/>
      </w:pPr>
      <w:r>
        <w:rPr>
          <w:color w:val="1E1E1E"/>
          <w:sz w:val="18"/>
        </w:rPr>
        <w:t>= ADPF 388, rel. min. Gilmar Mendes, j. 9-3-2016, P, DJE de 1º-8-2016 = MS 26.595, rel. min. Cármen Lúcia, j. 7-4-2010, P, DJE de 11-6-2010 = ADI 2.534 MC, rel. min. Maurício Corrêa, j. 15-8-2002, P, DJ de 13-6-2003</w:t>
      </w:r>
    </w:p>
    <w:p>
      <w:pPr>
        <w:ind w:left="144"/>
      </w:pPr>
      <w:r>
        <w:rPr>
          <w:b/>
          <w:color w:val="B45A00"/>
          <w:sz w:val="16"/>
        </w:rPr>
        <w:t>REPERCUSSAO GERAL</w:t>
      </w:r>
    </w:p>
    <w:p>
      <w:pPr>
        <w:ind w:left="288"/>
      </w:pPr>
      <w:r>
        <w:rPr>
          <w:color w:val="8C8C8C"/>
          <w:sz w:val="12"/>
        </w:rPr>
        <w:t>cf-art-128-par-5-inc-II-ali-e</w:t>
      </w:r>
      <w:r>
        <w:rPr>
          <w:color w:val="003CA0"/>
          <w:sz w:val="12"/>
        </w:rPr>
        <w:t xml:space="preserve"> | RE 597.994</w:t>
      </w:r>
    </w:p>
    <w:p>
      <w:pPr>
        <w:ind w:left="288"/>
      </w:pPr>
      <w:r>
        <w:rPr>
          <w:color w:val="1E1E1E"/>
          <w:sz w:val="18"/>
        </w:rPr>
        <w:t xml:space="preserve">Não há, efetivamente, direito adquirido do membro do Ministério Público a candidatar-se ao exercício de novo mandado político. </w:t>
        <w:br/>
        <w:t>[RE 597.994, red. do ac. min. Eros Grau, j. 4-6-2009, P, DJE de 28-8-2009, Tema 172, com mérito julgado.]</w:t>
      </w:r>
    </w:p>
    <w:p>
      <w:pPr>
        <w:ind w:left="720"/>
      </w:pPr>
      <w:r>
        <w:rPr>
          <w:color w:val="003366"/>
          <w:sz w:val="18"/>
        </w:rPr>
        <w:t>I – o Ministério Público da União, que compreende:</w:t>
      </w:r>
    </w:p>
    <w:p>
      <w:pPr>
        <w:ind w:left="1008"/>
      </w:pPr>
      <w:r>
        <w:rPr>
          <w:color w:val="003366"/>
          <w:sz w:val="18"/>
        </w:rPr>
        <w:t>a) o Ministério Público Federal;</w:t>
      </w:r>
    </w:p>
    <w:p>
      <w:pPr>
        <w:ind w:left="1008"/>
      </w:pPr>
      <w:r>
        <w:rPr>
          <w:color w:val="003366"/>
          <w:sz w:val="18"/>
        </w:rPr>
        <w:t>b) o Ministério Público do Trabalho;</w:t>
      </w:r>
    </w:p>
    <w:p>
      <w:pPr>
        <w:ind w:left="1008"/>
      </w:pPr>
      <w:r>
        <w:rPr>
          <w:color w:val="003366"/>
          <w:sz w:val="18"/>
        </w:rPr>
        <w:t>c) o Ministério Público Militar;</w:t>
      </w:r>
    </w:p>
    <w:p>
      <w:pPr>
        <w:ind w:left="1008"/>
      </w:pPr>
      <w:r>
        <w:rPr>
          <w:color w:val="003366"/>
          <w:sz w:val="18"/>
        </w:rPr>
        <w:t>d) o Ministério Público do Distrito Federal e Territórios;</w:t>
      </w:r>
    </w:p>
    <w:p>
      <w:pPr>
        <w:ind w:left="720"/>
      </w:pPr>
      <w:r>
        <w:rPr>
          <w:color w:val="003366"/>
          <w:sz w:val="18"/>
        </w:rPr>
        <w:t>II – os Ministérios Públicos dos Estados.</w:t>
      </w:r>
    </w:p>
    <w:p>
      <w:pPr>
        <w:ind w:left="432"/>
      </w:pPr>
      <w:r>
        <w:rPr>
          <w:color w:val="003366"/>
          <w:sz w:val="18"/>
        </w:rPr>
        <w:t>§ 1 O Ministério Público da União tem por chefe o Procurador-Geral da República,</w:t>
      </w:r>
    </w:p>
    <w:p>
      <w:pPr>
        <w:ind w:left="432"/>
      </w:pPr>
      <w:r>
        <w:rPr>
          <w:color w:val="003366"/>
          <w:sz w:val="18"/>
        </w:rPr>
        <w:t>§ 2 A destituição do Procurador-Geral da República, por iniciativa do Presidente</w:t>
      </w:r>
    </w:p>
    <w:p>
      <w:pPr>
        <w:ind w:left="432"/>
      </w:pPr>
      <w:r>
        <w:rPr>
          <w:color w:val="003366"/>
          <w:sz w:val="18"/>
        </w:rPr>
        <w:t>§ 3 Os Ministérios Públicos dos Estados e o do Distrito Federal e Territórios fo</w:t>
      </w:r>
    </w:p>
    <w:p>
      <w:pPr>
        <w:ind w:left="432"/>
      </w:pPr>
      <w:r>
        <w:rPr>
          <w:color w:val="003366"/>
          <w:sz w:val="18"/>
        </w:rPr>
        <w:t>§ 4 Os Procuradores-Gerais nos Estados e no Distrito Federal e Territórios poder</w:t>
      </w:r>
    </w:p>
    <w:p>
      <w:pPr>
        <w:ind w:left="432"/>
      </w:pPr>
      <w:r>
        <w:rPr>
          <w:color w:val="003366"/>
          <w:sz w:val="18"/>
        </w:rPr>
        <w:t xml:space="preserve">§ 5 Leis complementares da União e dos Estados, cuja iniciativa é facultada aos </w:t>
      </w:r>
    </w:p>
    <w:p>
      <w:pPr>
        <w:ind w:left="720"/>
      </w:pPr>
      <w:r>
        <w:rPr>
          <w:color w:val="003366"/>
          <w:sz w:val="18"/>
        </w:rPr>
        <w:t>I – as seguintes garantias:</w:t>
      </w:r>
    </w:p>
    <w:p>
      <w:pPr>
        <w:ind w:left="1008"/>
      </w:pPr>
      <w:r>
        <w:rPr>
          <w:color w:val="003366"/>
          <w:sz w:val="18"/>
        </w:rPr>
        <w:t xml:space="preserve">a) vitaliciedade, após dois anos de exercício, não podendo perder o cargo senão </w:t>
      </w:r>
    </w:p>
    <w:p>
      <w:pPr>
        <w:ind w:left="1008"/>
      </w:pPr>
      <w:r>
        <w:rPr>
          <w:color w:val="003366"/>
          <w:sz w:val="18"/>
        </w:rPr>
        <w:t>b) inamovibilidade, salvo por motivo de interesse público, mediante decisão do ó</w:t>
      </w:r>
    </w:p>
    <w:p>
      <w:pPr>
        <w:ind w:left="1008"/>
      </w:pPr>
      <w:r>
        <w:rPr>
          <w:color w:val="003366"/>
          <w:sz w:val="18"/>
        </w:rPr>
        <w:t xml:space="preserve">c) irredutibilidade de subsídio, fixado na forma do art. 39, § 4º, e ressalvado </w:t>
      </w:r>
    </w:p>
    <w:p>
      <w:pPr>
        <w:ind w:left="720"/>
      </w:pPr>
      <w:r>
        <w:rPr>
          <w:color w:val="003366"/>
          <w:sz w:val="18"/>
        </w:rPr>
        <w:t>II – as seguintes vedações:</w:t>
      </w:r>
    </w:p>
    <w:p>
      <w:pPr>
        <w:ind w:left="1008"/>
      </w:pPr>
      <w:r>
        <w:rPr>
          <w:color w:val="003366"/>
          <w:sz w:val="18"/>
        </w:rPr>
        <w:t xml:space="preserve">a) receber, a qualquer título e sob qualquer pretexto, honorários, percentagens </w:t>
      </w:r>
    </w:p>
    <w:p>
      <w:pPr>
        <w:ind w:left="1008"/>
      </w:pPr>
      <w:r>
        <w:rPr>
          <w:color w:val="003366"/>
          <w:sz w:val="18"/>
        </w:rPr>
        <w:t>b) exercer a advocacia;</w:t>
      </w:r>
    </w:p>
    <w:p>
      <w:pPr>
        <w:ind w:left="1008"/>
      </w:pPr>
      <w:r>
        <w:rPr>
          <w:color w:val="003366"/>
          <w:sz w:val="18"/>
        </w:rPr>
        <w:t>c) participar de sociedade comercial, na forma da lei;</w:t>
      </w:r>
    </w:p>
    <w:p>
      <w:pPr>
        <w:ind w:left="1008"/>
      </w:pPr>
      <w:r>
        <w:rPr>
          <w:color w:val="003366"/>
          <w:sz w:val="18"/>
        </w:rPr>
        <w:t>d) exercer, ainda que em disponibilidade, qualquer outra função pública, salvo u</w:t>
      </w:r>
    </w:p>
    <w:p>
      <w:pPr>
        <w:ind w:left="1008"/>
      </w:pPr>
      <w:r>
        <w:rPr>
          <w:color w:val="003366"/>
          <w:sz w:val="18"/>
        </w:rPr>
        <w:t>e) exercer atividade político-partidária; (Redação dada pela Emenda Constitucion</w:t>
      </w:r>
    </w:p>
    <w:p>
      <w:pPr>
        <w:ind w:left="1008"/>
      </w:pPr>
      <w:r>
        <w:rPr>
          <w:color w:val="003366"/>
          <w:sz w:val="18"/>
        </w:rPr>
        <w:t xml:space="preserve">f) receber, a qualquer título ou pretexto, auxílios ou contribuições de pessoas </w:t>
      </w:r>
    </w:p>
    <w:p>
      <w:pPr>
        <w:ind w:left="432"/>
      </w:pPr>
      <w:r>
        <w:rPr>
          <w:color w:val="003366"/>
          <w:sz w:val="18"/>
        </w:rPr>
        <w:t>§ 6 Aplica-se aos membros do Ministério Público o disposto no art. 95, parágrafo</w:t>
      </w:r>
    </w:p>
    <w:p>
      <w:r>
        <w:rPr>
          <w:b/>
          <w:color w:val="003366"/>
          <w:sz w:val="20"/>
        </w:rPr>
        <w:t>Art. 129 São funções institucionais do Ministério Público:</w:t>
      </w:r>
      <w:r>
        <w:rPr>
          <w:color w:val="8C8C8C"/>
          <w:sz w:val="14"/>
        </w:rPr>
        <w:t xml:space="preserve">  [98 decisoes]</w:t>
      </w:r>
    </w:p>
    <w:p>
      <w:pPr>
        <w:ind w:left="144"/>
      </w:pPr>
      <w:r>
        <w:rPr>
          <w:b/>
          <w:color w:val="B45A00"/>
          <w:sz w:val="16"/>
        </w:rPr>
        <w:t>CONTROLE CONCENTRADO</w:t>
      </w:r>
    </w:p>
    <w:p>
      <w:pPr>
        <w:ind w:left="288"/>
      </w:pPr>
      <w:r>
        <w:rPr>
          <w:color w:val="8C8C8C"/>
          <w:sz w:val="12"/>
        </w:rPr>
        <w:t>cf-art-129</w:t>
      </w:r>
      <w:r>
        <w:rPr>
          <w:color w:val="003CA0"/>
          <w:sz w:val="12"/>
        </w:rPr>
        <w:t xml:space="preserve"> | ADI 3.041</w:t>
      </w:r>
      <w:r>
        <w:rPr>
          <w:color w:val="003CA0"/>
          <w:sz w:val="12"/>
        </w:rPr>
        <w:t xml:space="preserve"> | rel. Ricardo Lewandowski</w:t>
      </w:r>
    </w:p>
    <w:p>
      <w:pPr>
        <w:ind w:left="288"/>
      </w:pPr>
      <w:r>
        <w:rPr>
          <w:color w:val="1E1E1E"/>
          <w:sz w:val="18"/>
        </w:rPr>
        <w:t>Ação direta de inconstitucionalidade. Arts. 2º, 3º e 4º da Lei 11.727/2002 do Estado do Rio Grande do Sul, que dispõe sobre "a prioridade, nos procedimentos a serem adotados pelo Ministério Público, Tribunal de Contas e por outros órgãos a respeito das conclusões das comissões parlamentares de inquérito". (...) Quanto ao art. 3º da lei, que determina prioridade de apreciação nos procedimentos decorrentes de CPIs, verifico a existência de inúmeros outros processos que demandam urgência em razão dos direitos fundamentais que se encontram em jogo. As Leis federais 1.533/1951 e 9.507/1994 prioriza</w:t>
      </w:r>
    </w:p>
    <w:p>
      <w:pPr>
        <w:ind w:left="288"/>
      </w:pPr>
      <w:r>
        <w:rPr>
          <w:b/>
          <w:color w:val="003CA0"/>
          <w:sz w:val="16"/>
        </w:rPr>
        <w:t>[ADI 3.041, rel. min. Ricardo Lewandowski, j. 10-11-2011, P, DJE de 1º-2-2012.]</w:t>
      </w:r>
    </w:p>
    <w:p>
      <w:pPr>
        <w:ind w:left="288"/>
      </w:pPr>
      <w:r>
        <w:rPr>
          <w:color w:val="8C8C8C"/>
          <w:sz w:val="12"/>
        </w:rPr>
        <w:t>cf-art-129</w:t>
      </w:r>
      <w:r>
        <w:rPr>
          <w:color w:val="003CA0"/>
          <w:sz w:val="12"/>
        </w:rPr>
        <w:t xml:space="preserve"> | RE 1.537.165</w:t>
      </w:r>
      <w:r>
        <w:rPr>
          <w:color w:val="003CA0"/>
          <w:sz w:val="12"/>
        </w:rPr>
        <w:t xml:space="preserve"> | rel. Luís Roberto Barroso</w:t>
      </w:r>
    </w:p>
    <w:p>
      <w:pPr>
        <w:ind w:left="288"/>
      </w:pPr>
      <w:r>
        <w:rPr>
          <w:color w:val="1E1E1E"/>
          <w:sz w:val="18"/>
        </w:rPr>
        <w:t>Provas obtidas pelo Ministério Público por requisição de relatórios de inteligência financeira ou de procedimentos fiscalizatórios da Receita, sem autorização judicial e/ou sem a prévia instauração de procedimento de investigação formal.</w:t>
      </w:r>
    </w:p>
    <w:p>
      <w:pPr>
        <w:ind w:left="288"/>
      </w:pPr>
      <w:r>
        <w:rPr>
          <w:b/>
          <w:color w:val="003CA0"/>
          <w:sz w:val="16"/>
        </w:rPr>
        <w:t>[RE 1.537.165 RG, rel. min. Luís Roberto Barroso, j. 06.06.2025, P, DJE de 24.06.2025, Tema 1.404, com mérito pendente.]</w:t>
      </w:r>
    </w:p>
    <w:p>
      <w:pPr>
        <w:ind w:left="144"/>
      </w:pPr>
      <w:r>
        <w:rPr>
          <w:b/>
          <w:color w:val="B45A00"/>
          <w:sz w:val="16"/>
        </w:rPr>
        <w:t>JULGADOS CORRELATOS</w:t>
      </w:r>
    </w:p>
    <w:p>
      <w:pPr>
        <w:ind w:left="288"/>
      </w:pPr>
      <w:r>
        <w:rPr>
          <w:color w:val="8C8C8C"/>
          <w:sz w:val="12"/>
        </w:rPr>
        <w:t>cf-art-129</w:t>
      </w:r>
      <w:r>
        <w:rPr>
          <w:color w:val="003CA0"/>
          <w:sz w:val="12"/>
        </w:rPr>
        <w:t xml:space="preserve"> | RE 571.969</w:t>
      </w:r>
      <w:r>
        <w:rPr>
          <w:color w:val="003CA0"/>
          <w:sz w:val="12"/>
        </w:rPr>
        <w:t xml:space="preserve"> | rel. Cármen Lúcia</w:t>
      </w:r>
    </w:p>
    <w:p>
      <w:pPr>
        <w:ind w:left="288"/>
      </w:pPr>
      <w:r>
        <w:rPr>
          <w:color w:val="1E1E1E"/>
          <w:sz w:val="18"/>
        </w:rPr>
        <w:t>Legitimidade do Ministério Público para interpor recurso extraordinário, como custos legis (§ 2º do art. 499 do CPC), harmoniza-se com as funções institucionais previstas nos arts. 127 e 129 da Constituição da República.</w:t>
      </w:r>
    </w:p>
    <w:p>
      <w:pPr>
        <w:ind w:left="288"/>
      </w:pPr>
      <w:r>
        <w:rPr>
          <w:b/>
          <w:color w:val="003CA0"/>
          <w:sz w:val="16"/>
        </w:rPr>
        <w:t>[RE 571.969, rel. min. Cármen Lúcia, j. 12-3-2014, P, DJE de 18-9-2014.]</w:t>
      </w:r>
    </w:p>
    <w:p>
      <w:pPr>
        <w:ind w:left="144"/>
      </w:pPr>
      <w:r>
        <w:rPr>
          <w:b/>
          <w:color w:val="B45A00"/>
          <w:sz w:val="16"/>
        </w:rPr>
        <w:t>REPERCUSSAO GERAL</w:t>
      </w:r>
    </w:p>
    <w:p>
      <w:pPr>
        <w:ind w:left="288"/>
      </w:pPr>
      <w:r>
        <w:rPr>
          <w:color w:val="8C8C8C"/>
          <w:sz w:val="12"/>
        </w:rPr>
        <w:t>cf-art-129-inc-I</w:t>
      </w:r>
      <w:r>
        <w:rPr>
          <w:color w:val="003CA0"/>
          <w:sz w:val="12"/>
        </w:rPr>
        <w:t xml:space="preserve"> | RE 593.443</w:t>
      </w:r>
    </w:p>
    <w:p>
      <w:pPr>
        <w:ind w:left="288"/>
      </w:pPr>
      <w:r>
        <w:rPr>
          <w:color w:val="1E1E1E"/>
          <w:sz w:val="18"/>
        </w:rPr>
        <w:t>Decisão judicial de rejeição de denúncia, impronúncia de réu, de absolvição sumária ou de trancamento de ação penal por falta de justa causa não viola a cláusula constitucional de monopólio do poder de iniciativa do Ministério Público em matéria de persecução penal e tampouco transgride o postulado do juiz natural nos procedimentos penais inerentes ao tribunal do júri.</w:t>
        <w:br/>
        <w:t>[RE 593.443, red. do ac. min. Ricardo Lewandowski, j. 6-6-2013, P, DJE de 22-5-2014, Tema 154, com mérito julgado.]</w:t>
      </w:r>
    </w:p>
    <w:p>
      <w:pPr>
        <w:ind w:left="144"/>
      </w:pPr>
      <w:r>
        <w:rPr>
          <w:b/>
          <w:color w:val="B45A00"/>
          <w:sz w:val="16"/>
        </w:rPr>
        <w:t>JULGADOS CORRELATOS</w:t>
      </w:r>
    </w:p>
    <w:p>
      <w:pPr>
        <w:ind w:left="288"/>
      </w:pPr>
      <w:r>
        <w:rPr>
          <w:color w:val="8C8C8C"/>
          <w:sz w:val="12"/>
        </w:rPr>
        <w:t>cf-art-129-inc-I</w:t>
      </w:r>
      <w:r>
        <w:rPr>
          <w:color w:val="003CA0"/>
          <w:sz w:val="12"/>
        </w:rPr>
        <w:t xml:space="preserve"> | HC 102.085</w:t>
      </w:r>
      <w:r>
        <w:rPr>
          <w:color w:val="003CA0"/>
          <w:sz w:val="12"/>
        </w:rPr>
        <w:t xml:space="preserve"> | rel. Cármen Lúcia</w:t>
      </w:r>
    </w:p>
    <w:p>
      <w:pPr>
        <w:ind w:left="288"/>
      </w:pPr>
      <w:r>
        <w:rPr>
          <w:color w:val="1E1E1E"/>
          <w:sz w:val="18"/>
        </w:rPr>
        <w:t>A assistente de acusação tem legitimidade para recorrer da decisão que absolve o réu nos casos em que o Ministério Público não interpõe recurso. Aplicação da Súmula 210/STF: "O assistente do Ministério Público pode recorrer, inclusive extraordinariamente, na ação penal, nos casos dos arts. 584, § 1º, e 598 do CPP". A manifestação do promotor de justiça, em alegações finais, pela absolvição da paciente e, em seu parecer, pelo não conhecimento do recurso não altera nem anula o direito da assistente de acusação recorrer da sentença absolutória.</w:t>
      </w:r>
    </w:p>
    <w:p>
      <w:pPr>
        <w:ind w:left="288"/>
      </w:pPr>
      <w:r>
        <w:rPr>
          <w:b/>
          <w:color w:val="003CA0"/>
          <w:sz w:val="16"/>
        </w:rPr>
        <w:t>[HC 102.085, rel. min. Cármen Lúcia, j. 10-6-2010, P, DJE de 27-8-2010.]</w:t>
      </w:r>
    </w:p>
    <w:p>
      <w:pPr>
        <w:ind w:left="288"/>
      </w:pPr>
      <w:r>
        <w:rPr>
          <w:color w:val="8C8C8C"/>
          <w:sz w:val="12"/>
        </w:rPr>
        <w:t>cf-art-129-inc-I</w:t>
      </w:r>
      <w:r>
        <w:rPr>
          <w:color w:val="003CA0"/>
          <w:sz w:val="12"/>
        </w:rPr>
        <w:t xml:space="preserve"> | PET 1.030</w:t>
      </w:r>
      <w:r>
        <w:rPr>
          <w:color w:val="003CA0"/>
          <w:sz w:val="12"/>
        </w:rPr>
        <w:t xml:space="preserve"> | rel. Ilmar Galvão</w:t>
      </w:r>
    </w:p>
    <w:p>
      <w:pPr>
        <w:ind w:left="288"/>
      </w:pPr>
      <w:r>
        <w:rPr>
          <w:color w:val="1E1E1E"/>
          <w:sz w:val="18"/>
        </w:rPr>
        <w:t>Vide Pet 1.030, rel. min. Ilmar Galvão, j. 24-4-1996, P, DJ de 1º-7-1996 O pedido de remessa de cópias ao PGR, para oferecimento de denúncia contra o presidente da República nestes autos, é manifestamente improcedente, visto que o autor da inicial já é a autoridade com atribuição para o oferecimento da acusação. Ademais, o pedido de que este Tribunal determine que o PGR denuncie o presidente é juridicamente impossível.</w:t>
      </w:r>
    </w:p>
    <w:p>
      <w:pPr>
        <w:ind w:left="288"/>
      </w:pPr>
      <w:r>
        <w:rPr>
          <w:b/>
          <w:color w:val="003CA0"/>
          <w:sz w:val="16"/>
        </w:rPr>
        <w:t>[AP 470 QO-quinta, rel. min. Joaquim Barbosa, j. 8-4-2010, P, DJE de 3-9-2010.]</w:t>
      </w:r>
    </w:p>
    <w:p>
      <w:pPr>
        <w:ind w:left="288"/>
      </w:pPr>
      <w:r>
        <w:rPr>
          <w:color w:val="8C8C8C"/>
          <w:sz w:val="12"/>
        </w:rPr>
        <w:t>cf-art-129-inc-I</w:t>
      </w:r>
      <w:r>
        <w:rPr>
          <w:color w:val="003CA0"/>
          <w:sz w:val="12"/>
        </w:rPr>
        <w:t xml:space="preserve"> | HC 98.237</w:t>
      </w:r>
      <w:r>
        <w:rPr>
          <w:color w:val="003CA0"/>
          <w:sz w:val="12"/>
        </w:rPr>
        <w:t xml:space="preserve"> | rel. Celso de Mello</w:t>
      </w:r>
    </w:p>
    <w:p>
      <w:pPr>
        <w:ind w:left="288"/>
      </w:pPr>
      <w:r>
        <w:rPr>
          <w:color w:val="1E1E1E"/>
          <w:sz w:val="18"/>
        </w:rPr>
        <w:t>Representação e denúncia: limitação material que resulta do fato objeto da delação postulatória. O fato que constitui objeto da representação oferecida pelo ofendido (ou, quando for o caso, por seu representante legal) traduz limitação material ao poder persecutório do Ministério Público, que não poderá, agindo ultra vires, proceder a uma indevida ampliação objetiva da delatio criminis postulatória, para, desse modo, incluir, na denúncia, outros delitos cuja perseguibilidade, embora dependente de representação, não foi nesta pleiteada por aquele que a formulou. Precedentes. A existência de div</w:t>
      </w:r>
    </w:p>
    <w:p>
      <w:pPr>
        <w:ind w:left="288"/>
      </w:pPr>
      <w:r>
        <w:rPr>
          <w:b/>
          <w:color w:val="003CA0"/>
          <w:sz w:val="16"/>
        </w:rPr>
        <w:t>[HC 98.237, rel. min. Celso de Mello, j. 15-12-2009, 2ª T, DJE de 6-8-2010.]</w:t>
      </w:r>
    </w:p>
    <w:p>
      <w:pPr>
        <w:ind w:left="288"/>
      </w:pPr>
      <w:r>
        <w:rPr>
          <w:color w:val="8C8C8C"/>
          <w:sz w:val="12"/>
        </w:rPr>
        <w:t>cf-art-129-inc-I</w:t>
      </w:r>
      <w:r>
        <w:rPr>
          <w:color w:val="003CA0"/>
          <w:sz w:val="12"/>
        </w:rPr>
        <w:t xml:space="preserve"> | RHC 81.750</w:t>
      </w:r>
      <w:r>
        <w:rPr>
          <w:color w:val="003CA0"/>
          <w:sz w:val="12"/>
        </w:rPr>
        <w:t xml:space="preserve"> | rel. Celso de Mello</w:t>
      </w:r>
    </w:p>
    <w:p>
      <w:pPr>
        <w:ind w:left="288"/>
      </w:pPr>
      <w:r>
        <w:rPr>
          <w:color w:val="1E1E1E"/>
          <w:sz w:val="18"/>
        </w:rPr>
        <w:t>Vide RHC 81.750, rel. min. Celso de Mello, j. 12-11-2002, 2ª T, DJ de 10-8-2007 Possibilidade de investigação pelo Ministério Público. Delitos praticados por policiais. (...) A presente impetração visa ao trancamento de ação penal movida em face dos pacientes, sob a alegação de falta de justa causa e de ilicitude da denúncia por estar amparada em depoimentos colhidos pelo Ministério Público. (...) É perfeitamente possível que o órgão do Ministério Público promova a colheita de determinados elementos de prova que demonstrem a existência da autoria e da materialidade de determinado delito. Tal c</w:t>
      </w:r>
    </w:p>
    <w:p>
      <w:pPr>
        <w:ind w:left="288"/>
      </w:pPr>
      <w:r>
        <w:rPr>
          <w:b/>
          <w:color w:val="003CA0"/>
          <w:sz w:val="16"/>
        </w:rPr>
        <w:t>[HC 91.661, rel. min. Ellen Gracie, j. 10-3-2009, 2ª T, DJE de 3-4-2009.]</w:t>
      </w:r>
    </w:p>
    <w:p>
      <w:pPr>
        <w:ind w:left="288"/>
      </w:pPr>
      <w:r>
        <w:rPr>
          <w:color w:val="8C8C8C"/>
          <w:sz w:val="12"/>
        </w:rPr>
        <w:t>cf-art-129-inc-I</w:t>
      </w:r>
      <w:r>
        <w:rPr>
          <w:color w:val="003CA0"/>
          <w:sz w:val="12"/>
        </w:rPr>
        <w:t xml:space="preserve"> | HC 93.930</w:t>
      </w:r>
      <w:r>
        <w:rPr>
          <w:color w:val="003CA0"/>
          <w:sz w:val="12"/>
        </w:rPr>
        <w:t xml:space="preserve"> | rel. Gilmar Mendes</w:t>
      </w:r>
    </w:p>
    <w:p>
      <w:pPr>
        <w:ind w:left="288"/>
      </w:pPr>
      <w:r>
        <w:rPr>
          <w:color w:val="1E1E1E"/>
          <w:sz w:val="18"/>
        </w:rPr>
        <w:t>= HC 93.930, rel. min. Gilmar Mendes, j. 7-12-2010, 2ª T, DJE de 3-2-2011 Capitulação do fato. Autoridade policial. Tipificação provisória. Ministério Público. Atribuições constitucionais. Ofensa ao art. 129, I, da CF/1988. Inexistência. A definição da competência para julgamento do crime, com base na tipificação provisória conferida ao fato pela autoridade policial, não enseja supressão das atribuições funcionais do Parquet. Fica resguardada a competência do Ministério Público de dar ao fato a capitulação que achar de direito quando ofertar a denúncia. Se a denúncia contemplar crimes diversos</w:t>
      </w:r>
    </w:p>
    <w:p>
      <w:pPr>
        <w:ind w:left="288"/>
      </w:pPr>
      <w:r>
        <w:rPr>
          <w:b/>
          <w:color w:val="003CA0"/>
          <w:sz w:val="16"/>
        </w:rPr>
        <w:t>[RE 497.170, rel. min. Ricardo Lewandowski, j. 13-5-2008, 1ª T, DJE de 6-6-2008.]</w:t>
      </w:r>
    </w:p>
    <w:p>
      <w:pPr>
        <w:ind w:left="288"/>
      </w:pPr>
      <w:r>
        <w:rPr>
          <w:color w:val="8C8C8C"/>
          <w:sz w:val="12"/>
        </w:rPr>
        <w:t>cf-art-129-inc-I</w:t>
      </w:r>
      <w:r>
        <w:rPr>
          <w:color w:val="003CA0"/>
          <w:sz w:val="12"/>
        </w:rPr>
        <w:t xml:space="preserve"> | INQ 2.341</w:t>
      </w:r>
      <w:r>
        <w:rPr>
          <w:color w:val="003CA0"/>
          <w:sz w:val="12"/>
        </w:rPr>
        <w:t xml:space="preserve"> | rel. Gilmar Mendes</w:t>
      </w:r>
    </w:p>
    <w:p>
      <w:pPr>
        <w:ind w:left="288"/>
      </w:pPr>
      <w:r>
        <w:rPr>
          <w:color w:val="1E1E1E"/>
          <w:sz w:val="18"/>
        </w:rPr>
        <w:t>A jurisprudência do STF assevera que o pronunciamento de arquivamento, em regra, deve ser acolhido sem que se questione ou se entre no mérito da avaliação deduzida pelo titular da ação penal. Precedentes (...). Esses julgados ressalvam, contudo, duas hipóteses em que a determinação judicial do arquivamento possa gerar coisa julgada material, a saber: prescrição da pretensão punitiva e atipicidade da conduta.</w:t>
      </w:r>
    </w:p>
    <w:p>
      <w:pPr>
        <w:ind w:left="288"/>
      </w:pPr>
      <w:r>
        <w:rPr>
          <w:b/>
          <w:color w:val="003CA0"/>
          <w:sz w:val="16"/>
        </w:rPr>
        <w:t>[Inq 2.341 QO, rel. min. Gilmar Mendes, j. 28-6-2007, P, DJ de 17-8-2007.]</w:t>
      </w:r>
    </w:p>
    <w:p>
      <w:pPr>
        <w:ind w:left="288"/>
      </w:pPr>
      <w:r>
        <w:rPr>
          <w:color w:val="8C8C8C"/>
          <w:sz w:val="12"/>
        </w:rPr>
        <w:t>cf-art-129-inc-I</w:t>
      </w:r>
      <w:r>
        <w:rPr>
          <w:color w:val="003CA0"/>
          <w:sz w:val="12"/>
        </w:rPr>
        <w:t xml:space="preserve"> | PET 3.927</w:t>
      </w:r>
      <w:r>
        <w:rPr>
          <w:color w:val="003CA0"/>
          <w:sz w:val="12"/>
        </w:rPr>
        <w:t xml:space="preserve"> | rel. Gilmar Mendes</w:t>
      </w:r>
    </w:p>
    <w:p>
      <w:pPr>
        <w:ind w:left="288"/>
      </w:pPr>
      <w:r>
        <w:rPr>
          <w:color w:val="1E1E1E"/>
          <w:sz w:val="18"/>
        </w:rPr>
        <w:t>= Pet 3.927, rel. min. Gilmar Mendes, j. 12-6-2008, P, DJE de 17-10-2008 Nos crimes contra os costumes, uma vez caracterizada a pobreza da vítima, a ação penal passa a ser pública condicionada à representação, tendo o Ministério Público legitimidade para oferecer a denúncia. Inteligência do art. 225, § 1º, do CP. Não afasta tal titularidade o fato de a vítima ter à sua disposição a Defensoria Pública estruturada e aparelhada. Opção do legislador, ao excepcionar a regra geral contida no art. 32 do CPP e possibilitar a disponibilidade da ação penal, tão somente, até o oferecimento da denúncia.</w:t>
      </w:r>
    </w:p>
    <w:p>
      <w:pPr>
        <w:ind w:left="288"/>
      </w:pPr>
      <w:r>
        <w:rPr>
          <w:b/>
          <w:color w:val="003CA0"/>
          <w:sz w:val="16"/>
        </w:rPr>
        <w:t>[RHC 88.143, rel. min. Joaquim Barbosa, j. 24-4-2007, 2ª T, DJ de 8-6-2007.]</w:t>
      </w:r>
    </w:p>
    <w:p>
      <w:pPr>
        <w:ind w:left="288"/>
      </w:pPr>
      <w:r>
        <w:rPr>
          <w:color w:val="8C8C8C"/>
          <w:sz w:val="12"/>
        </w:rPr>
        <w:t>cf-art-129-inc-I</w:t>
      </w:r>
      <w:r>
        <w:rPr>
          <w:color w:val="003CA0"/>
          <w:sz w:val="12"/>
        </w:rPr>
        <w:t xml:space="preserve"> | HC 75.343</w:t>
      </w:r>
      <w:r>
        <w:rPr>
          <w:color w:val="003CA0"/>
          <w:sz w:val="12"/>
        </w:rPr>
        <w:t xml:space="preserve"> | rel. Sepúlveda Pertence</w:t>
      </w:r>
    </w:p>
    <w:p>
      <w:pPr>
        <w:ind w:left="288"/>
      </w:pPr>
      <w:r>
        <w:rPr>
          <w:color w:val="1E1E1E"/>
          <w:sz w:val="18"/>
        </w:rPr>
        <w:t>Transação penal homologada em audiência realizada sem a presença do Ministério Público. Nulidade. Violação do art. 129, I, da CF. É da jurisprudência do STF – que a fundamentação do leading case da Súmula 696 evidencia: HC 75.343, 12-11-1997, Pertence, RTJ 177/1293 – que a imprescindibilidade do assentimento do Ministério Público, quer à suspensão condicional do processo, quer à transação penal, está conectada estreitamente à titularidade da ação penal pública, que a Constituição lhe confiou privativamente (CF, art. 129, I). Daí que a transação penal – bem como a suspensão condicional do proce</w:t>
      </w:r>
    </w:p>
    <w:p>
      <w:pPr>
        <w:ind w:left="288"/>
      </w:pPr>
      <w:r>
        <w:rPr>
          <w:b/>
          <w:color w:val="003CA0"/>
          <w:sz w:val="16"/>
        </w:rPr>
        <w:t>[RE 468.161, rel. min. Sepúlveda Pertence, j. 14-3-2006, 1ª T, DJ de 31-3-2006.]</w:t>
      </w:r>
    </w:p>
    <w:p>
      <w:pPr>
        <w:ind w:left="288"/>
      </w:pPr>
      <w:r>
        <w:rPr>
          <w:color w:val="8C8C8C"/>
          <w:sz w:val="12"/>
        </w:rPr>
        <w:t>cf-art-129-inc-I</w:t>
      </w:r>
      <w:r>
        <w:rPr>
          <w:color w:val="003CA0"/>
          <w:sz w:val="12"/>
        </w:rPr>
        <w:t xml:space="preserve"> | HC 129.346</w:t>
      </w:r>
      <w:r>
        <w:rPr>
          <w:color w:val="003CA0"/>
          <w:sz w:val="12"/>
        </w:rPr>
        <w:t xml:space="preserve"> | rel. Dias Toffoli</w:t>
      </w:r>
    </w:p>
    <w:p>
      <w:pPr>
        <w:ind w:left="288"/>
      </w:pPr>
      <w:r>
        <w:rPr>
          <w:color w:val="1E1E1E"/>
          <w:sz w:val="18"/>
        </w:rPr>
        <w:t xml:space="preserve">= HC 129.346, rel. min. Dias Toffoli, j. 5-4-2016, 2ª T, DJE de 11-5-2016 Há de se distinguir no processo penal duas formas de atuação do Ministério Público. A primeira como dominus litis e outra como custos legis. O promotor de justiça agiu como titular da ação penal ao oferecer denúncia e contrarrazões à apelação aviada. Já no Tribunal de Justiça do Estado de Minas Gerais e no STJ atuaram o procurador de justiça e o subprocurador-geral da República como fiscais da lei. Não há contraditório a ser assegurado após a manifestação ministerial, pois não houve ato de parte, e sim do fiscal da lei. </w:t>
      </w:r>
    </w:p>
    <w:p>
      <w:pPr>
        <w:ind w:left="288"/>
      </w:pPr>
      <w:r>
        <w:rPr>
          <w:b/>
          <w:color w:val="003CA0"/>
          <w:sz w:val="16"/>
        </w:rPr>
        <w:t>[HC 81.436, voto do rel. min. Néri da Silveira, j. 11-12-2001, 2ª T, DJ de 22-2-2002.]</w:t>
      </w:r>
    </w:p>
    <w:p>
      <w:pPr>
        <w:ind w:left="288"/>
      </w:pPr>
      <w:r>
        <w:rPr>
          <w:color w:val="8C8C8C"/>
          <w:sz w:val="12"/>
        </w:rPr>
        <w:t>cf-art-129-inc-I</w:t>
      </w:r>
      <w:r>
        <w:rPr>
          <w:color w:val="003CA0"/>
          <w:sz w:val="12"/>
        </w:rPr>
        <w:t xml:space="preserve"> | RHC 107.584</w:t>
      </w:r>
      <w:r>
        <w:rPr>
          <w:color w:val="003CA0"/>
          <w:sz w:val="12"/>
        </w:rPr>
        <w:t xml:space="preserve"> | rel. Luiz Fux</w:t>
      </w:r>
    </w:p>
    <w:p>
      <w:pPr>
        <w:ind w:left="288"/>
      </w:pPr>
      <w:r>
        <w:rPr>
          <w:color w:val="1E1E1E"/>
          <w:sz w:val="18"/>
        </w:rPr>
        <w:t>= RHC 107.584, rel. min. Luiz Fux, j. 14-6-2011, 1ª T, DJE de 28-9-2011 O Ministério Público não tem competência para promover inquérito administrativo em relação à conduta de servidores públicos; nem competência para produzir inquérito penal sob o argumento de que tem possibilidade de expedir notificações nos procedimentos administrativos; pode propor ação penal sem o inquérito policial, desde que disponha de elementos suficientes.</w:t>
      </w:r>
    </w:p>
    <w:p>
      <w:pPr>
        <w:ind w:left="288"/>
      </w:pPr>
      <w:r>
        <w:rPr>
          <w:b/>
          <w:color w:val="003CA0"/>
          <w:sz w:val="16"/>
        </w:rPr>
        <w:t>[RE 233.072, rel. p/ o ac. min. Nelson Jobim, j. 18-5-1999, 2ª T, DJ de 3-5-2002.]</w:t>
      </w:r>
    </w:p>
    <w:p>
      <w:pPr>
        <w:ind w:left="288"/>
      </w:pPr>
      <w:r>
        <w:rPr>
          <w:color w:val="8C8C8C"/>
          <w:sz w:val="12"/>
        </w:rPr>
        <w:t>cf-art-129-inc-I</w:t>
      </w:r>
      <w:r>
        <w:rPr>
          <w:color w:val="003CA0"/>
          <w:sz w:val="12"/>
        </w:rPr>
        <w:t xml:space="preserve"> | HC 68.739</w:t>
      </w:r>
      <w:r>
        <w:rPr>
          <w:color w:val="003CA0"/>
          <w:sz w:val="12"/>
        </w:rPr>
        <w:t xml:space="preserve"> | rel. Sepúlveda Pertence</w:t>
      </w:r>
    </w:p>
    <w:p>
      <w:pPr>
        <w:ind w:left="288"/>
      </w:pPr>
      <w:r>
        <w:rPr>
          <w:color w:val="1E1E1E"/>
          <w:sz w:val="18"/>
        </w:rPr>
        <w:t>Correição parcial (CPPM, art. 498): compatibilidade com o art. 129, I, CF, que outorgou legitimação privativa ao Ministério Público para a ação penal pública (HC 68.739, 1º-10-1991, Pertence, RTJ 138/524).</w:t>
      </w:r>
    </w:p>
    <w:p>
      <w:pPr>
        <w:ind w:left="288"/>
      </w:pPr>
      <w:r>
        <w:rPr>
          <w:b/>
          <w:color w:val="003CA0"/>
          <w:sz w:val="16"/>
        </w:rPr>
        <w:t>[HC 78.309, rel. min. Sepúlveda Pertence, j. 2-2-1999, 1ª T, DJ de 26-3-1999.]</w:t>
      </w:r>
    </w:p>
    <w:p>
      <w:pPr>
        <w:ind w:left="288"/>
      </w:pPr>
      <w:r>
        <w:rPr>
          <w:color w:val="8C8C8C"/>
          <w:sz w:val="12"/>
        </w:rPr>
        <w:t>cf-art-129-inc-I</w:t>
      </w:r>
      <w:r>
        <w:rPr>
          <w:color w:val="003CA0"/>
          <w:sz w:val="12"/>
        </w:rPr>
        <w:t xml:space="preserve"> | HC 109.047</w:t>
      </w:r>
      <w:r>
        <w:rPr>
          <w:color w:val="003CA0"/>
          <w:sz w:val="12"/>
        </w:rPr>
        <w:t xml:space="preserve"> | rel. Cármen Lúcia</w:t>
      </w:r>
    </w:p>
    <w:p>
      <w:pPr>
        <w:ind w:left="288"/>
      </w:pPr>
      <w:r>
        <w:rPr>
          <w:color w:val="1E1E1E"/>
          <w:sz w:val="18"/>
        </w:rPr>
        <w:t>= HC 109.047, rel. min. Cármen Lúcia, j. 12-11-2013, 2ª T, DJE de 20-11-2013 Recurso ordinário de habeas corpus. O art. 83 da Lei 9.430/1996 não estabelece condição de procedibilidade para a instauração da ação penal pública pelo Ministério Público, que pode antes mesmo de encerrada a instância administrativa, que é autônoma, propor a ação penal com relação aos crimes a que ele alude.</w:t>
      </w:r>
    </w:p>
    <w:p>
      <w:pPr>
        <w:ind w:left="288"/>
      </w:pPr>
      <w:r>
        <w:rPr>
          <w:b/>
          <w:color w:val="003CA0"/>
          <w:sz w:val="16"/>
        </w:rPr>
        <w:t>[RHC 77.258, rel. min. Moreira Alves, j. 23-6-1998, 1ª T, DJ de 3-9-1999.]</w:t>
      </w:r>
    </w:p>
    <w:p>
      <w:pPr>
        <w:ind w:left="288"/>
      </w:pPr>
      <w:r>
        <w:rPr>
          <w:color w:val="8C8C8C"/>
          <w:sz w:val="12"/>
        </w:rPr>
        <w:t>cf-art-129-inc-I</w:t>
      </w:r>
      <w:r>
        <w:rPr>
          <w:color w:val="003CA0"/>
          <w:sz w:val="12"/>
        </w:rPr>
        <w:t xml:space="preserve"> | RE 222.283</w:t>
      </w:r>
      <w:r>
        <w:rPr>
          <w:color w:val="003CA0"/>
          <w:sz w:val="12"/>
        </w:rPr>
        <w:t xml:space="preserve"> | rel. Octavio Gallotti</w:t>
      </w:r>
    </w:p>
    <w:p>
      <w:pPr>
        <w:ind w:left="288"/>
      </w:pPr>
      <w:r>
        <w:rPr>
          <w:color w:val="1E1E1E"/>
          <w:sz w:val="18"/>
        </w:rPr>
        <w:t>Contraria o disposto no art. 129, I, da CF a decisão judicial, que em fase anterior à própria demanda, cerceia a titularidade do Ministério Público, definindo, em caráter terminativo, a competência do juízo, só perante o qual poderá ser promovida a ação penal.</w:t>
      </w:r>
    </w:p>
    <w:p>
      <w:pPr>
        <w:ind w:left="288"/>
      </w:pPr>
      <w:r>
        <w:rPr>
          <w:b/>
          <w:color w:val="003CA0"/>
          <w:sz w:val="16"/>
        </w:rPr>
        <w:t>[RE 222.283, rel. min. Octavio Gallotti, j. 24-3-1998, 1ª T, DJ de 8-5-1998.]</w:t>
      </w:r>
    </w:p>
    <w:p>
      <w:pPr>
        <w:ind w:left="288"/>
      </w:pPr>
      <w:r>
        <w:rPr>
          <w:color w:val="8C8C8C"/>
          <w:sz w:val="12"/>
        </w:rPr>
        <w:t>cf-art-129-inc-I</w:t>
      </w:r>
      <w:r>
        <w:rPr>
          <w:color w:val="003CA0"/>
          <w:sz w:val="12"/>
        </w:rPr>
        <w:t xml:space="preserve"> | HC 67.931-5</w:t>
      </w:r>
      <w:r>
        <w:rPr>
          <w:color w:val="003CA0"/>
          <w:sz w:val="12"/>
        </w:rPr>
        <w:t xml:space="preserve"> | rel. Carlos Velloso</w:t>
      </w:r>
    </w:p>
    <w:p>
      <w:pPr>
        <w:ind w:left="288"/>
      </w:pPr>
      <w:r>
        <w:rPr>
          <w:color w:val="1E1E1E"/>
          <w:sz w:val="18"/>
        </w:rPr>
        <w:t>A ação penal pública é privativa do Ministério Público (CF, art. 129, I), admitida apenas a exceção inscrita no art. 5º, LIX, da Lei Maior. As disposições legais, que instituíam outras exceções, foram revogadas pela Constituição, porque não recepcionadas por esta. STF, Pleno, HC 67.931-5/RS. O processo das contravenções penais somente pode ter início mediante denúncia do Ministério Público. Revogação dos arts. 26 e 531, CPP, porque não recepcionados pela CF/1988, art. 129, I.</w:t>
      </w:r>
    </w:p>
    <w:p>
      <w:pPr>
        <w:ind w:left="288"/>
      </w:pPr>
      <w:r>
        <w:rPr>
          <w:b/>
          <w:color w:val="003CA0"/>
          <w:sz w:val="16"/>
        </w:rPr>
        <w:t>[RE 134.515, rel. min. Carlos Velloso, j. 13-8-1991, 2ª T, DJ de 13-9-1991.]</w:t>
      </w:r>
    </w:p>
    <w:p>
      <w:pPr>
        <w:ind w:left="288"/>
      </w:pPr>
      <w:r>
        <w:rPr>
          <w:color w:val="8C8C8C"/>
          <w:sz w:val="12"/>
        </w:rPr>
        <w:t>cf-art-129-inc-I</w:t>
      </w:r>
      <w:r>
        <w:rPr>
          <w:color w:val="003CA0"/>
          <w:sz w:val="12"/>
        </w:rPr>
        <w:t xml:space="preserve"> | HC 72.073</w:t>
      </w:r>
      <w:r>
        <w:rPr>
          <w:color w:val="003CA0"/>
          <w:sz w:val="12"/>
        </w:rPr>
        <w:t xml:space="preserve"> | rel. Carlos Velloso</w:t>
      </w:r>
    </w:p>
    <w:p>
      <w:pPr>
        <w:ind w:left="288"/>
      </w:pPr>
      <w:r>
        <w:rPr>
          <w:color w:val="1E1E1E"/>
          <w:sz w:val="18"/>
        </w:rPr>
        <w:t>= HC 72.073, rel. min. Carlos Velloso, j. 2-4-1996, 2ª T, DJ de 17-5-1996 Ação penal pública: titularidade privativa do Ministério Público (CF, art. 129, I): compatibilidade com o art. 598 do CPP, que legitima o ofendido ou seu sucessor (CPP, art. 31) para apelar, quando não o tenha feito o Ministério Público. O direito de recorrer, que nasce no processo – embora condicionado ao exercício e instrumentalmente conexo ao direito de ação, que preexiste ao processo – a ele não se pode reduzir, sem abstração das diferenças substanciais que os distinguem. Em si mesma, a titularidade privativa da ação</w:t>
      </w:r>
    </w:p>
    <w:p>
      <w:pPr>
        <w:ind w:left="288"/>
      </w:pPr>
      <w:r>
        <w:rPr>
          <w:b/>
          <w:color w:val="003CA0"/>
          <w:sz w:val="16"/>
        </w:rPr>
        <w:t>[HC 68.413, rel. min. Sepúlveda Pertence, j. 22-5-1991, P, DJ de 18-10-1991.]</w:t>
      </w:r>
    </w:p>
    <w:p>
      <w:pPr>
        <w:ind w:left="288"/>
      </w:pPr>
      <w:r>
        <w:rPr>
          <w:color w:val="8C8C8C"/>
          <w:sz w:val="12"/>
        </w:rPr>
        <w:t>cf-art-129-inc-I</w:t>
      </w:r>
      <w:r>
        <w:rPr>
          <w:color w:val="003CA0"/>
          <w:sz w:val="12"/>
        </w:rPr>
        <w:t xml:space="preserve"> | HC 68.242</w:t>
      </w:r>
      <w:r>
        <w:rPr>
          <w:color w:val="003CA0"/>
          <w:sz w:val="12"/>
        </w:rPr>
        <w:t xml:space="preserve"> | rel. Celso de Mello</w:t>
      </w:r>
    </w:p>
    <w:p>
      <w:pPr>
        <w:ind w:left="288"/>
      </w:pPr>
      <w:r>
        <w:rPr>
          <w:color w:val="1E1E1E"/>
          <w:sz w:val="18"/>
        </w:rPr>
        <w:t>O Ministério Público, nas ações penais públicas condicionadas, não está vinculado à qualificação jurídica dos fatos constantes da representação ou da requisição de que lhe haja sido dirigida. A vinculação do Ministério Público à definição jurídica que o representante ou requisitante tenha dado aos fatos é nenhuma. A formação da opinio delicti compete, exclusivamente, ao Ministério Público, em cujas funções institucionais se insere, por consciente opção do legislador constituinte, o próprio monopólio da ação penal pública (CF, art. 129, I). Dessa posição de autonomia jurídica do Ministério Públ</w:t>
      </w:r>
    </w:p>
    <w:p>
      <w:pPr>
        <w:ind w:left="288"/>
      </w:pPr>
      <w:r>
        <w:rPr>
          <w:b/>
          <w:color w:val="003CA0"/>
          <w:sz w:val="16"/>
        </w:rPr>
        <w:t>[HC 68.242, rel. min. Celso de Mello, j. 6-11-1990, 1ª T, DJ de 15-3-1991.]</w:t>
      </w:r>
    </w:p>
    <w:p>
      <w:pPr>
        <w:ind w:left="288"/>
      </w:pPr>
      <w:r>
        <w:rPr>
          <w:color w:val="8C8C8C"/>
          <w:sz w:val="12"/>
        </w:rPr>
        <w:t>cf-art-129-inc-I</w:t>
      </w:r>
      <w:r>
        <w:rPr>
          <w:color w:val="003CA0"/>
          <w:sz w:val="12"/>
        </w:rPr>
        <w:t xml:space="preserve"> | HC 67.931.</w:t>
      </w:r>
      <w:r>
        <w:rPr>
          <w:color w:val="003CA0"/>
          <w:sz w:val="12"/>
        </w:rPr>
        <w:t xml:space="preserve"> | rel. Sepúlveda Pertence</w:t>
      </w:r>
    </w:p>
    <w:p>
      <w:pPr>
        <w:ind w:left="288"/>
      </w:pPr>
      <w:r>
        <w:rPr>
          <w:color w:val="1E1E1E"/>
          <w:sz w:val="18"/>
        </w:rPr>
        <w:t>Ministério Público: privatividade da ação penal pública (CF, art. 129, I): incompatibilidade com os procedimentos especiais por crime de deserção, no ponto em que prescindem da denúncia (CPPM, art. 451 e seguintes): precedente HC 67.931.</w:t>
      </w:r>
    </w:p>
    <w:p>
      <w:pPr>
        <w:ind w:left="288"/>
      </w:pPr>
      <w:r>
        <w:rPr>
          <w:b/>
          <w:color w:val="003CA0"/>
          <w:sz w:val="16"/>
        </w:rPr>
        <w:t>[HC 68.204, rel. min. Sepúlveda Pertence, j. 30-10-1990, 1ª T, DJ de 23-11-1990.]</w:t>
      </w:r>
    </w:p>
    <w:p>
      <w:pPr>
        <w:ind w:left="288"/>
      </w:pPr>
      <w:r>
        <w:rPr>
          <w:color w:val="8C8C8C"/>
          <w:sz w:val="12"/>
        </w:rPr>
        <w:t>cf-art-129-inc-II</w:t>
      </w:r>
      <w:r>
        <w:rPr>
          <w:color w:val="003CA0"/>
          <w:sz w:val="12"/>
        </w:rPr>
        <w:t xml:space="preserve"> | AC 2.836</w:t>
      </w:r>
      <w:r>
        <w:rPr>
          <w:color w:val="003CA0"/>
          <w:sz w:val="12"/>
        </w:rPr>
        <w:t xml:space="preserve"> | rel. Ayres Britto</w:t>
      </w:r>
    </w:p>
    <w:p>
      <w:pPr>
        <w:ind w:left="288"/>
      </w:pPr>
      <w:r>
        <w:rPr>
          <w:color w:val="1E1E1E"/>
          <w:sz w:val="18"/>
        </w:rPr>
        <w:t>Constitucionalmente qualificada como direito fundamental de dupla face (direito social e individual indisponível), a saúde é tema que se insere no âmbito de legitimação do Ministério Público para a propositura de ação em sua defesa.</w:t>
      </w:r>
    </w:p>
    <w:p>
      <w:pPr>
        <w:ind w:left="288"/>
      </w:pPr>
      <w:r>
        <w:rPr>
          <w:b/>
          <w:color w:val="003CA0"/>
          <w:sz w:val="16"/>
        </w:rPr>
        <w:t>[AC 2.836 MC-QO, rel. min. Ayres Britto, j. 27-3-2012, 2ª T, DJE de 26-6-2012.]</w:t>
      </w:r>
    </w:p>
    <w:p>
      <w:pPr>
        <w:ind w:left="288"/>
      </w:pPr>
      <w:r>
        <w:rPr>
          <w:color w:val="8C8C8C"/>
          <w:sz w:val="12"/>
        </w:rPr>
        <w:t>cf-art-129-inc-II</w:t>
      </w:r>
      <w:r>
        <w:rPr>
          <w:color w:val="003CA0"/>
          <w:sz w:val="12"/>
        </w:rPr>
        <w:t xml:space="preserve"> | AI 759.543</w:t>
      </w:r>
      <w:r>
        <w:rPr>
          <w:color w:val="003CA0"/>
          <w:sz w:val="12"/>
        </w:rPr>
        <w:t xml:space="preserve"> | rel. Celso de Mello</w:t>
      </w:r>
    </w:p>
    <w:p>
      <w:pPr>
        <w:ind w:left="288"/>
      </w:pPr>
      <w:r>
        <w:rPr>
          <w:color w:val="1E1E1E"/>
          <w:sz w:val="18"/>
        </w:rPr>
        <w:t xml:space="preserve">= AI 759.543 AgR, rel. min. Celso de Mello, j. 17-12-2013, 2ª T, DJE de 12-2-2014 Legitimidade do órgão ministerial público para promover as medidas necessárias à efetivação de todos os direitos assegurados pela Constituição, inclusive o controle externo da atividade policial (incisos II e VII do art. 129 da CF/1988). Tanto que a Constituição da República habilitou o Ministério Público a sair em defesa da ordem jurídica. Pelo que é da sua natureza mesma investigar fatos, documentos e pessoas. Noutros termos: não se tolera, sob a Magna Carta de 1988, condicionar ao exclusivo impulso da polícia </w:t>
      </w:r>
    </w:p>
    <w:p>
      <w:pPr>
        <w:ind w:left="288"/>
      </w:pPr>
      <w:r>
        <w:rPr>
          <w:b/>
          <w:color w:val="003CA0"/>
          <w:sz w:val="16"/>
        </w:rPr>
        <w:t>[HC 97.969, rel. min. Ayres Britto, j. 1º-2-2011, 2ª T, DJE de 23-5-2011.]</w:t>
      </w:r>
    </w:p>
    <w:p>
      <w:pPr>
        <w:ind w:left="288"/>
      </w:pPr>
      <w:r>
        <w:rPr>
          <w:color w:val="8C8C8C"/>
          <w:sz w:val="12"/>
        </w:rPr>
        <w:t>cf-art-129-inc-II</w:t>
      </w:r>
      <w:r>
        <w:rPr>
          <w:color w:val="003CA0"/>
          <w:sz w:val="12"/>
        </w:rPr>
        <w:t xml:space="preserve"> | RE 407.902</w:t>
      </w:r>
      <w:r>
        <w:rPr>
          <w:color w:val="003CA0"/>
          <w:sz w:val="12"/>
        </w:rPr>
        <w:t xml:space="preserve"> | rel. Marco Aurélio</w:t>
      </w:r>
    </w:p>
    <w:p>
      <w:pPr>
        <w:ind w:left="288"/>
      </w:pPr>
      <w:r>
        <w:rPr>
          <w:color w:val="1E1E1E"/>
          <w:sz w:val="18"/>
        </w:rPr>
        <w:t>O Ministério Público é parte legítima para ingressar em juízo com ação civil pública visando a compelir o Estado a fornecer medicamento indispensável à saúde de pessoa individualizada.</w:t>
      </w:r>
    </w:p>
    <w:p>
      <w:pPr>
        <w:ind w:left="288"/>
      </w:pPr>
      <w:r>
        <w:rPr>
          <w:b/>
          <w:color w:val="003CA0"/>
          <w:sz w:val="16"/>
        </w:rPr>
        <w:t>[RE 407.902, rel. min. Marco Aurélio, j. 26-5-2009, 1ª T, DJE de 28-8-2009.]</w:t>
      </w:r>
    </w:p>
    <w:p>
      <w:pPr>
        <w:ind w:left="288"/>
      </w:pPr>
      <w:r>
        <w:rPr>
          <w:color w:val="8C8C8C"/>
          <w:sz w:val="12"/>
        </w:rPr>
        <w:t>cf-art-129-inc-II</w:t>
      </w:r>
      <w:r>
        <w:rPr>
          <w:color w:val="003CA0"/>
          <w:sz w:val="12"/>
        </w:rPr>
        <w:t xml:space="preserve"> | RE 648.410</w:t>
      </w:r>
      <w:r>
        <w:rPr>
          <w:color w:val="003CA0"/>
          <w:sz w:val="12"/>
        </w:rPr>
        <w:t xml:space="preserve"> | rel. Cármen Lúcia</w:t>
      </w:r>
    </w:p>
    <w:p>
      <w:pPr>
        <w:ind w:left="288"/>
      </w:pPr>
      <w:r>
        <w:rPr>
          <w:color w:val="1E1E1E"/>
          <w:sz w:val="18"/>
        </w:rPr>
        <w:t>= RE 648.410 AgR, rel. min. Cármen Lúcia, j. 14-2-2012, 1ª T, DJE de 14-3-2012</w:t>
      </w:r>
    </w:p>
    <w:p>
      <w:pPr>
        <w:ind w:left="144"/>
      </w:pPr>
      <w:r>
        <w:rPr>
          <w:b/>
          <w:color w:val="B45A00"/>
          <w:sz w:val="16"/>
        </w:rPr>
        <w:t>SUMULA</w:t>
      </w:r>
    </w:p>
    <w:p>
      <w:pPr>
        <w:ind w:left="288"/>
      </w:pPr>
      <w:r>
        <w:rPr>
          <w:color w:val="8C8C8C"/>
          <w:sz w:val="12"/>
        </w:rPr>
        <w:t>cf-art-129-inc-III</w:t>
      </w:r>
    </w:p>
    <w:p>
      <w:pPr>
        <w:ind w:left="288"/>
      </w:pPr>
      <w:r>
        <w:rPr>
          <w:color w:val="1E1E1E"/>
          <w:sz w:val="18"/>
        </w:rPr>
        <w:t>O Ministério Público tem legitimidade para promover ação civil pública cujo fundamento seja a ilegalidade de reajuste de mensalidade escolares.</w:t>
      </w:r>
    </w:p>
    <w:p>
      <w:pPr>
        <w:ind w:left="288"/>
      </w:pPr>
      <w:r>
        <w:rPr>
          <w:b/>
          <w:color w:val="003CA0"/>
          <w:sz w:val="16"/>
        </w:rPr>
        <w:t>[Súmula 643.]</w:t>
      </w:r>
    </w:p>
    <w:p>
      <w:pPr>
        <w:ind w:left="288"/>
      </w:pPr>
      <w:r>
        <w:rPr>
          <w:color w:val="8C8C8C"/>
          <w:sz w:val="12"/>
        </w:rPr>
        <w:t>cf-art-129-inc-III</w:t>
      </w:r>
      <w:r>
        <w:rPr>
          <w:color w:val="003CA0"/>
          <w:sz w:val="12"/>
        </w:rPr>
        <w:t xml:space="preserve"> | ADI 7.580</w:t>
      </w:r>
      <w:r>
        <w:rPr>
          <w:color w:val="003CA0"/>
          <w:sz w:val="12"/>
        </w:rPr>
        <w:t xml:space="preserve"> | rel. Gilmar Mendes</w:t>
      </w:r>
    </w:p>
    <w:p>
      <w:pPr>
        <w:ind w:left="288"/>
      </w:pPr>
      <w:r>
        <w:rPr>
          <w:color w:val="1E1E1E"/>
          <w:sz w:val="18"/>
        </w:rPr>
        <w:t>Seja considerando que os direitos envolvidos nos assuntos referentes às entidades desportivas e à prática do desporto no país são de natureza difusa ou coletiva, seja considerando que os direitos em questão possuiriam caráter individual homogêneo, não se pode descaracterizar, a priori, a legitimidade do Ministério Público para ajuizamento de ações civis públicas. (...) A legitimidade do Ministério Público para atuar em assuntos referentes às entidades desportivas e à prática do desporto mostra-se ainda mais salutar no que se refere à esfera extrajudicial, tendo em vista que as medidas dessa na</w:t>
      </w:r>
    </w:p>
    <w:p>
      <w:pPr>
        <w:ind w:left="288"/>
      </w:pPr>
      <w:r>
        <w:rPr>
          <w:b/>
          <w:color w:val="003CA0"/>
          <w:sz w:val="16"/>
        </w:rPr>
        <w:t>[ADI 7.580 MC-REF, rel. min. Gilmar Mendes, j. 12.08.2025, P, DJE de 22.10.2025.]</w:t>
      </w:r>
    </w:p>
    <w:p>
      <w:pPr>
        <w:ind w:left="144"/>
      </w:pPr>
      <w:r>
        <w:rPr>
          <w:b/>
          <w:color w:val="B45A00"/>
          <w:sz w:val="16"/>
        </w:rPr>
        <w:t>REPERCUSSAO GERAL</w:t>
      </w:r>
    </w:p>
    <w:p>
      <w:pPr>
        <w:ind w:left="288"/>
      </w:pPr>
      <w:r>
        <w:rPr>
          <w:color w:val="8C8C8C"/>
          <w:sz w:val="12"/>
        </w:rPr>
        <w:t>cf-art-129-inc-III</w:t>
      </w:r>
      <w:r>
        <w:rPr>
          <w:color w:val="003CA0"/>
          <w:sz w:val="12"/>
        </w:rPr>
        <w:t xml:space="preserve"> | RE 1.010.819</w:t>
      </w:r>
    </w:p>
    <w:p>
      <w:pPr>
        <w:ind w:left="288"/>
      </w:pPr>
      <w:r>
        <w:rPr>
          <w:color w:val="1E1E1E"/>
          <w:sz w:val="18"/>
        </w:rPr>
        <w:t>O trânsito em julgado de sentença condenatória proferida em sede de ação desapropriatória não obsta a propositura de Ação Civil Pública em defesa do patrimônio público, para discutir a dominialidade do bem expropriado, ainda que já se tenha expirado o prazo para a Ação Rescisória.</w:t>
      </w:r>
    </w:p>
    <w:p>
      <w:pPr>
        <w:ind w:left="288"/>
      </w:pPr>
      <w:r>
        <w:rPr>
          <w:b/>
          <w:color w:val="003CA0"/>
          <w:sz w:val="16"/>
        </w:rPr>
        <w:t>[RE 1.010.819, red. do ac. min. Alexandre de Moraes, j. 26-5-2021, P, DJE de 29-9-2021, Tema 858, com mérito julgado.]</w:t>
      </w:r>
    </w:p>
    <w:p>
      <w:pPr>
        <w:ind w:left="288"/>
      </w:pPr>
      <w:r>
        <w:rPr>
          <w:color w:val="8C8C8C"/>
          <w:sz w:val="12"/>
        </w:rPr>
        <w:t>cf-art-129-inc-III</w:t>
      </w:r>
      <w:r>
        <w:rPr>
          <w:color w:val="003CA0"/>
          <w:sz w:val="12"/>
        </w:rPr>
        <w:t xml:space="preserve"> | RE 1.101.937</w:t>
      </w:r>
      <w:r>
        <w:rPr>
          <w:color w:val="003CA0"/>
          <w:sz w:val="12"/>
        </w:rPr>
        <w:t xml:space="preserve"> | rel. Alexandre de Moraes</w:t>
      </w:r>
    </w:p>
    <w:p>
      <w:pPr>
        <w:ind w:left="288"/>
      </w:pPr>
      <w:r>
        <w:rPr>
          <w:color w:val="1E1E1E"/>
          <w:sz w:val="18"/>
        </w:rPr>
        <w:t>I - É inconstitucional a redação do art. 16 da Lei 7.347/1985, alterada pela Lei 9.494/1997, sendo repristinada sua redação original. II - Em se tratando de ação civil pública de efeitos nacionais ou regionais, a competência deve observar o art. 93, II, da Lei 8.078/1990 (Código de Defesa do Consumidor). III - Ajuizadas múltiplas ações civis públicas de âmbito nacional ou regional e fixada a competência nos termos do item II, firma-se a prevenção do juízo que primeiro conheceu de uma delas, para o julgamento de todas as demandas conexas.</w:t>
      </w:r>
    </w:p>
    <w:p>
      <w:pPr>
        <w:ind w:left="288"/>
      </w:pPr>
      <w:r>
        <w:rPr>
          <w:b/>
          <w:color w:val="003CA0"/>
          <w:sz w:val="16"/>
        </w:rPr>
        <w:t>[RE 1.101.937, rel. min. Alexandre de Moraes, j. 4-3-2021, P. DJE de 14-6-2021, Tema 1.075, com mérito julgado.]</w:t>
      </w:r>
    </w:p>
    <w:p>
      <w:pPr>
        <w:ind w:left="288"/>
      </w:pPr>
      <w:r>
        <w:rPr>
          <w:color w:val="8C8C8C"/>
          <w:sz w:val="12"/>
        </w:rPr>
        <w:t>cf-art-129-inc-III</w:t>
      </w:r>
      <w:r>
        <w:rPr>
          <w:color w:val="003CA0"/>
          <w:sz w:val="12"/>
        </w:rPr>
        <w:t xml:space="preserve"> | RE 643.978</w:t>
      </w:r>
      <w:r>
        <w:rPr>
          <w:color w:val="003CA0"/>
          <w:sz w:val="12"/>
        </w:rPr>
        <w:t xml:space="preserve"> | rel. Alexandre de Moraes</w:t>
      </w:r>
    </w:p>
    <w:p>
      <w:pPr>
        <w:ind w:left="288"/>
      </w:pPr>
      <w:r>
        <w:rPr>
          <w:color w:val="1E1E1E"/>
          <w:sz w:val="18"/>
        </w:rPr>
        <w:t>(...) o Ministério Público tem legitimidade para a propositura de ação civil pública em defesa de direitos sociais relacionados ao FGTS.</w:t>
      </w:r>
    </w:p>
    <w:p>
      <w:pPr>
        <w:ind w:left="288"/>
      </w:pPr>
      <w:r>
        <w:rPr>
          <w:b/>
          <w:color w:val="003CA0"/>
          <w:sz w:val="16"/>
        </w:rPr>
        <w:t>[RE 643.978, rel. min. Alexandre de Moraes, j. 9-10-2019, P, DJE de 25-10-2019, Tema 850, com mérito em julgado.]</w:t>
      </w:r>
    </w:p>
    <w:p>
      <w:pPr>
        <w:ind w:left="288"/>
      </w:pPr>
      <w:r>
        <w:rPr>
          <w:color w:val="8C8C8C"/>
          <w:sz w:val="12"/>
        </w:rPr>
        <w:t>cf-art-129-inc-III</w:t>
      </w:r>
      <w:r>
        <w:rPr>
          <w:color w:val="003CA0"/>
          <w:sz w:val="12"/>
        </w:rPr>
        <w:t xml:space="preserve"> | RE 409.356</w:t>
      </w:r>
      <w:r>
        <w:rPr>
          <w:color w:val="003CA0"/>
          <w:sz w:val="12"/>
        </w:rPr>
        <w:t xml:space="preserve"> | rel. Luiz Fux</w:t>
      </w:r>
    </w:p>
    <w:p>
      <w:pPr>
        <w:ind w:left="288"/>
      </w:pPr>
      <w:r>
        <w:rPr>
          <w:color w:val="1E1E1E"/>
          <w:sz w:val="18"/>
        </w:rPr>
        <w:t>O Ministério Público tem legitimidade para ajuizar Ação Civil Pública que vise anular ato administrativo de aposentadoria que importe em lesão patrimônio público.</w:t>
        <w:br/>
        <w:t>[RE 409.356, rel. min. Luiz Fux, j. 25-10-2018, P, DJE de 29-7-2020, Tema 561, com mérito em julgado.] O Ministério Público possui legitimidade para ajuizar ação civil pública com objetivo de compelir entes federados a entregarem medicamentos a portadores de certa doença.</w:t>
      </w:r>
    </w:p>
    <w:p>
      <w:pPr>
        <w:ind w:left="288"/>
      </w:pPr>
      <w:r>
        <w:rPr>
          <w:b/>
          <w:color w:val="003CA0"/>
          <w:sz w:val="16"/>
        </w:rPr>
        <w:t>[RE 605.533, rel. min. Marco Aurélio, j. 15-8-2018, P, DJE de 12-2-2020.]</w:t>
      </w:r>
    </w:p>
    <w:p>
      <w:pPr>
        <w:ind w:left="288"/>
      </w:pPr>
      <w:r>
        <w:rPr>
          <w:color w:val="8C8C8C"/>
          <w:sz w:val="12"/>
        </w:rPr>
        <w:t>cf-art-129-inc-III</w:t>
      </w:r>
      <w:r>
        <w:rPr>
          <w:color w:val="003CA0"/>
          <w:sz w:val="12"/>
        </w:rPr>
        <w:t xml:space="preserve"> | ARE 823.347</w:t>
      </w:r>
      <w:r>
        <w:rPr>
          <w:color w:val="003CA0"/>
          <w:sz w:val="12"/>
        </w:rPr>
        <w:t xml:space="preserve"> | rel. Gilmar Mendes</w:t>
      </w:r>
    </w:p>
    <w:p>
      <w:pPr>
        <w:ind w:left="288"/>
      </w:pPr>
      <w:r>
        <w:rPr>
          <w:color w:val="1E1E1E"/>
          <w:sz w:val="18"/>
        </w:rPr>
        <w:t>A questão constitucional discutida nos autos é a possibilidade de execução das decisões de condenação patrimonial proferidas pelos tribunais de contas por iniciativa do Ministério Público, atuante ou não junto às cortes de contas, seja federal, seja estadual. (...) a jurisprudência pacificada do STF firmou-se no sentido de que a referida ação de execução pode ser proposta tão somente pelo ente público beneficiário da condenação imposta pelos tribunais de contas. (...) Por conseguinte, é ausente a legitimidade ativa do Parquet.</w:t>
      </w:r>
    </w:p>
    <w:p>
      <w:pPr>
        <w:ind w:left="288"/>
      </w:pPr>
      <w:r>
        <w:rPr>
          <w:b/>
          <w:color w:val="003CA0"/>
          <w:sz w:val="16"/>
        </w:rPr>
        <w:t>[ARE 823.347 RG, voto do rel. min. Gilmar Mendes, j. 2-10-2014, P, DJE de 28-10-2014, Tema 768, com mérito em julgado.]</w:t>
      </w:r>
    </w:p>
    <w:p>
      <w:pPr>
        <w:ind w:left="288"/>
      </w:pPr>
      <w:r>
        <w:rPr>
          <w:color w:val="8C8C8C"/>
          <w:sz w:val="12"/>
        </w:rPr>
        <w:t>cf-art-129-inc-III</w:t>
      </w:r>
      <w:r>
        <w:rPr>
          <w:color w:val="003CA0"/>
          <w:sz w:val="12"/>
        </w:rPr>
        <w:t xml:space="preserve"> | ARE 694.294</w:t>
      </w:r>
      <w:r>
        <w:rPr>
          <w:color w:val="003CA0"/>
          <w:sz w:val="12"/>
        </w:rPr>
        <w:t xml:space="preserve"> | rel. Luiz Fux</w:t>
      </w:r>
    </w:p>
    <w:p>
      <w:pPr>
        <w:ind w:left="288"/>
      </w:pPr>
      <w:r>
        <w:rPr>
          <w:color w:val="1E1E1E"/>
          <w:sz w:val="18"/>
        </w:rPr>
        <w:t>Ilegitimidade ativa ad causam do Ministério Público para, em ação civil pública, deduzir pretensão relativa à matéria tributária. Reafirmação da jurisprudência da Corte.</w:t>
        <w:br/>
        <w:t>[ARE 694.294 RG, rel. min. Luiz Fux, j. 25-4-2013, P, DJE de 17-5-2013, Tema 645, com mérito em julgado.] O Termo de Acordo de Regime Especial (TARE) não diz  respeito apenas a interesses individuais, mas alcança interesses metaindividuais, pois o ajuste pode, em tese, ser lesivo ao patrimônio público. (...) O Parquet tem legitimidade para propor ação civil pública com o objetivo de anular o Tare, em face da legitimação ad cau</w:t>
      </w:r>
    </w:p>
    <w:p>
      <w:pPr>
        <w:ind w:left="144"/>
      </w:pPr>
      <w:r>
        <w:rPr>
          <w:b/>
          <w:color w:val="B45A00"/>
          <w:sz w:val="16"/>
        </w:rPr>
        <w:t>JULGADOS CORRELATOS</w:t>
      </w:r>
    </w:p>
    <w:p>
      <w:pPr>
        <w:ind w:left="288"/>
      </w:pPr>
      <w:r>
        <w:rPr>
          <w:color w:val="8C8C8C"/>
          <w:sz w:val="12"/>
        </w:rPr>
        <w:t>cf-art-129-inc-III</w:t>
      </w:r>
      <w:r>
        <w:rPr>
          <w:color w:val="003CA0"/>
          <w:sz w:val="12"/>
        </w:rPr>
        <w:t xml:space="preserve"> | RE 1.409.154</w:t>
      </w:r>
      <w:r>
        <w:rPr>
          <w:color w:val="003CA0"/>
          <w:sz w:val="12"/>
        </w:rPr>
        <w:t xml:space="preserve"> | rel. André Mendonça</w:t>
      </w:r>
    </w:p>
    <w:p>
      <w:pPr>
        <w:ind w:left="288"/>
      </w:pPr>
      <w:r>
        <w:rPr>
          <w:color w:val="1E1E1E"/>
          <w:sz w:val="18"/>
        </w:rPr>
        <w:t>“1. O Ministério Público possui legitimidade para propor ação civil pública na defesa do patrimônio público na hipótese em que busca o ressarcimento por danos causados a empresa pública na condição de patrocinadora de entidade fechada de previdência complementar. 2. A legitimidade ministerial não é indiscriminada, sob pena de converter o Parquet em substituto processual em ação de cobrança, exigindo-se que a argumentação do órgão na causa de pedir verse sobre um ato dotado de interesse difuso e coletivo que importe em grave lesão a patrimônio público. 3. O Ministério Público não detém legitimi</w:t>
      </w:r>
    </w:p>
    <w:p>
      <w:pPr>
        <w:ind w:left="288"/>
      </w:pPr>
      <w:r>
        <w:rPr>
          <w:b/>
          <w:color w:val="003CA0"/>
          <w:sz w:val="16"/>
        </w:rPr>
        <w:t>[MS 26.969, rel. min. Luiz Fux, j. 18-11-2014, 1ª T, DJE de 12-12-2014.]</w:t>
      </w:r>
    </w:p>
    <w:p>
      <w:pPr>
        <w:ind w:left="288"/>
      </w:pPr>
      <w:r>
        <w:rPr>
          <w:color w:val="8C8C8C"/>
          <w:sz w:val="12"/>
        </w:rPr>
        <w:t>cf-art-129-inc-III</w:t>
      </w:r>
      <w:r>
        <w:rPr>
          <w:color w:val="003CA0"/>
          <w:sz w:val="12"/>
        </w:rPr>
        <w:t xml:space="preserve"> | AI 698.478</w:t>
      </w:r>
      <w:r>
        <w:rPr>
          <w:color w:val="003CA0"/>
          <w:sz w:val="12"/>
        </w:rPr>
        <w:t xml:space="preserve"> | rel. Joaquim Barbosa</w:t>
      </w:r>
    </w:p>
    <w:p>
      <w:pPr>
        <w:ind w:left="288"/>
      </w:pPr>
      <w:r>
        <w:rPr>
          <w:color w:val="1E1E1E"/>
          <w:sz w:val="18"/>
        </w:rPr>
        <w:t>Esta Corte (...) reconheceu a legitimidade do Ministério Público para ajuizar ação civil pública em defesa de menores.</w:t>
      </w:r>
    </w:p>
    <w:p>
      <w:pPr>
        <w:ind w:left="288"/>
      </w:pPr>
      <w:r>
        <w:rPr>
          <w:b/>
          <w:color w:val="003CA0"/>
          <w:sz w:val="16"/>
        </w:rPr>
        <w:t>[AI 698.478, rel. min. Joaquim Barbosa, j. 18-5-2012, dec. monocrática, DJE de 28-5-2012.]</w:t>
      </w:r>
    </w:p>
    <w:p>
      <w:pPr>
        <w:ind w:left="288"/>
      </w:pPr>
      <w:r>
        <w:rPr>
          <w:color w:val="8C8C8C"/>
          <w:sz w:val="12"/>
        </w:rPr>
        <w:t>cf-art-129-inc-III</w:t>
      </w:r>
      <w:r>
        <w:rPr>
          <w:color w:val="003CA0"/>
          <w:sz w:val="12"/>
        </w:rPr>
        <w:t xml:space="preserve"> | RE 603.025</w:t>
      </w:r>
      <w:r>
        <w:rPr>
          <w:color w:val="003CA0"/>
          <w:sz w:val="12"/>
        </w:rPr>
        <w:t xml:space="preserve"> | rel. Luiz Fux</w:t>
      </w:r>
    </w:p>
    <w:p>
      <w:pPr>
        <w:ind w:left="288"/>
      </w:pPr>
      <w:r>
        <w:rPr>
          <w:color w:val="1E1E1E"/>
          <w:sz w:val="18"/>
        </w:rPr>
        <w:t>O recebimento de verbas a maior, por servidores públicos federais, não legitima o Ministério Público ao ajuizamento de ação civil visando à devolução das verbas ao erário. A iniciativa cabe ao próprio titular do crédito, ao ente público, na defesa de seu patrimônio, situação em que o Ministério Público atua como custus legis.</w:t>
      </w:r>
    </w:p>
    <w:p>
      <w:pPr>
        <w:ind w:left="288"/>
      </w:pPr>
      <w:r>
        <w:rPr>
          <w:b/>
          <w:color w:val="003CA0"/>
          <w:sz w:val="16"/>
        </w:rPr>
        <w:t>[RE 603.025, rel. min. Luiz Fux, j. 29-3-2012, dec. monocrática, DJE de 10-4-2012.]</w:t>
      </w:r>
    </w:p>
    <w:p>
      <w:pPr>
        <w:ind w:left="288"/>
      </w:pPr>
      <w:r>
        <w:rPr>
          <w:color w:val="8C8C8C"/>
          <w:sz w:val="12"/>
        </w:rPr>
        <w:t>cf-art-129-inc-III</w:t>
      </w:r>
      <w:r>
        <w:rPr>
          <w:color w:val="003CA0"/>
          <w:sz w:val="12"/>
        </w:rPr>
        <w:t xml:space="preserve"> | RE 223.037</w:t>
      </w:r>
      <w:r>
        <w:rPr>
          <w:color w:val="003CA0"/>
          <w:sz w:val="12"/>
        </w:rPr>
        <w:t xml:space="preserve"> | rel. Maurício Corrêa</w:t>
      </w:r>
    </w:p>
    <w:p>
      <w:pPr>
        <w:ind w:left="288"/>
      </w:pPr>
      <w:r>
        <w:rPr>
          <w:color w:val="1E1E1E"/>
          <w:sz w:val="18"/>
        </w:rPr>
        <w:t>Vide RE 223.037, rel. min. Maurício Corrêa, j. 2-5-2002, P, DJ de 2-8-2002 Concurso. Isenção de taxa de inscrição de candidatos carentes. Ação civil pública. Legitimidade ativa ad causam do MPF. (...) A legitimação do Ministério Público para o ajuizamento de ação civil pública não se restringe à defesa dos direitos difusos e coletivos, mas também abarca a defesa dos direitos individuais homogêneos, máxime quando presente o interesse social.</w:t>
      </w:r>
    </w:p>
    <w:p>
      <w:pPr>
        <w:ind w:left="288"/>
      </w:pPr>
      <w:r>
        <w:rPr>
          <w:b/>
          <w:color w:val="003CA0"/>
          <w:sz w:val="16"/>
        </w:rPr>
        <w:t>[AI 737.104 AgR, rel. min. Luiz Fux, j. 25-10-2011, 1ª T, DJE de 17-11-2011.]</w:t>
      </w:r>
    </w:p>
    <w:p>
      <w:pPr>
        <w:ind w:left="288"/>
      </w:pPr>
      <w:r>
        <w:rPr>
          <w:color w:val="8C8C8C"/>
          <w:sz w:val="12"/>
        </w:rPr>
        <w:t>cf-art-129-inc-III</w:t>
      </w:r>
      <w:r>
        <w:rPr>
          <w:color w:val="003CA0"/>
          <w:sz w:val="12"/>
        </w:rPr>
        <w:t xml:space="preserve"> | RE 607.949</w:t>
      </w:r>
      <w:r>
        <w:rPr>
          <w:color w:val="003CA0"/>
          <w:sz w:val="12"/>
        </w:rPr>
        <w:t xml:space="preserve"> | rel. Cármen Lúcia</w:t>
      </w:r>
    </w:p>
    <w:p>
      <w:pPr>
        <w:ind w:left="288"/>
      </w:pPr>
      <w:r>
        <w:rPr>
          <w:color w:val="1E1E1E"/>
          <w:sz w:val="18"/>
        </w:rPr>
        <w:t>= RE 607.949 AgR, rel. min. Cármen Lúcia, j. 8-4-2014, 2ª T, DJE de 15-5-2014 Esta Corte fixou orientação no sentido de que o Ministério Público é parte legítima para questionar, em sede de ação civil pública, a validade de benefício fiscal concedido pelo Estado a determinada empresa.</w:t>
        <w:br/>
        <w:t>[RE 586.705 AgR, rel. min. Ricardo Lewandowski, j. 23-8-2011, 2ª T, DJE de 8-9-2011.]</w:t>
        <w:br/>
        <w:t>Vide RE 576.155, rel. min. Ricardo Lewandowski, j. 12-8-2010, P, DJE de 1º-2-2011, Tema 56 Se, contudo, o ajuizamento da ação civil pública visar, não à apreciação da validade constitucional de lei em tese, mas objetivar o julga</w:t>
      </w:r>
    </w:p>
    <w:p>
      <w:pPr>
        <w:ind w:left="288"/>
      </w:pPr>
      <w:r>
        <w:rPr>
          <w:b/>
          <w:color w:val="003CA0"/>
          <w:sz w:val="16"/>
        </w:rPr>
        <w:t>[RE 411.156, rel. min. Celso de Mello, j. 19-11-2009, dec. monocrática, DJE de 3-12-2009.]</w:t>
      </w:r>
    </w:p>
    <w:p>
      <w:pPr>
        <w:ind w:left="288"/>
      </w:pPr>
      <w:r>
        <w:rPr>
          <w:color w:val="8C8C8C"/>
          <w:sz w:val="12"/>
        </w:rPr>
        <w:t>cf-art-129-inc-III</w:t>
      </w:r>
      <w:r>
        <w:rPr>
          <w:color w:val="003CA0"/>
          <w:sz w:val="12"/>
        </w:rPr>
        <w:t xml:space="preserve"> | RE 233.585</w:t>
      </w:r>
      <w:r>
        <w:rPr>
          <w:color w:val="003CA0"/>
          <w:sz w:val="12"/>
        </w:rPr>
        <w:t xml:space="preserve"> | rel. Celso de Mello</w:t>
      </w:r>
    </w:p>
    <w:p>
      <w:pPr>
        <w:ind w:left="288"/>
      </w:pPr>
      <w:r>
        <w:rPr>
          <w:color w:val="1E1E1E"/>
          <w:sz w:val="18"/>
        </w:rPr>
        <w:t>Mesmo, porém, que se reconheça legítima a possibilidade de o Ministério Público sujeitar-se, excepcionalmente, em sede de ação civil pública, aos ônus da sucumbência, o que me parece extremamente razoável em face dos parâmetros éticos que regem a atividade dos sujeitos processuais e que repelem a figura do improbus litigator (...), ainda assim impor-se-á a necessária demonstração de que o representante do Parquet, procedendo de maneira abusiva, agiu com "comprovada má-fé" (...).</w:t>
      </w:r>
    </w:p>
    <w:p>
      <w:pPr>
        <w:ind w:left="288"/>
      </w:pPr>
      <w:r>
        <w:rPr>
          <w:b/>
          <w:color w:val="003CA0"/>
          <w:sz w:val="16"/>
        </w:rPr>
        <w:t>[RE 233.585, rel. min. Celso de Mello, j. 9-9-2009, dec. monocrática, DJE de 28-9-2009.]</w:t>
      </w:r>
    </w:p>
    <w:p>
      <w:pPr>
        <w:ind w:left="288"/>
      </w:pPr>
      <w:r>
        <w:rPr>
          <w:color w:val="8C8C8C"/>
          <w:sz w:val="12"/>
        </w:rPr>
        <w:t>cf-art-129-inc-III</w:t>
      </w:r>
      <w:r>
        <w:rPr>
          <w:color w:val="003CA0"/>
          <w:sz w:val="12"/>
        </w:rPr>
        <w:t xml:space="preserve"> | ACO 1.233</w:t>
      </w:r>
      <w:r>
        <w:rPr>
          <w:color w:val="003CA0"/>
          <w:sz w:val="12"/>
        </w:rPr>
        <w:t xml:space="preserve"> | rel. Menezes Direito</w:t>
      </w:r>
    </w:p>
    <w:p>
      <w:pPr>
        <w:ind w:left="288"/>
      </w:pPr>
      <w:r>
        <w:rPr>
          <w:color w:val="1E1E1E"/>
          <w:sz w:val="18"/>
        </w:rPr>
        <w:t>Ação cível originária. Conflito de atribuição. MPF. Ministério Público estadual. (...) A investigação envolve possíveis atos de improbidade administrativa cometidos por agentes públicos no âmbito da sociedade de economia mista federal, no tocante à falta de definição de prazos em contratos de permissão de uso e à utilização de critérios subjetivos para a prorrogação de contratos. A situação descrita não se enquadra nas hipóteses de defesa do patrimônio nacional ou dos direitos constitucionais do cidadão, previstas na LC 75/1993 e capazes de justificar a atuação do MPF.</w:t>
      </w:r>
    </w:p>
    <w:p>
      <w:pPr>
        <w:ind w:left="288"/>
      </w:pPr>
      <w:r>
        <w:rPr>
          <w:b/>
          <w:color w:val="003CA0"/>
          <w:sz w:val="16"/>
        </w:rPr>
        <w:t>[ACO 1.233 AgR, rel. min. Menezes Direito, j. 15-4-2009, P, DJE de 28-8-2009.]</w:t>
      </w:r>
    </w:p>
    <w:p>
      <w:pPr>
        <w:ind w:left="288"/>
      </w:pPr>
      <w:r>
        <w:rPr>
          <w:color w:val="8C8C8C"/>
          <w:sz w:val="12"/>
        </w:rPr>
        <w:t>cf-art-129-inc-III</w:t>
      </w:r>
      <w:r>
        <w:rPr>
          <w:color w:val="003CA0"/>
          <w:sz w:val="12"/>
        </w:rPr>
        <w:t xml:space="preserve"> | ACO 1.673</w:t>
      </w:r>
      <w:r>
        <w:rPr>
          <w:color w:val="003CA0"/>
          <w:sz w:val="12"/>
        </w:rPr>
        <w:t xml:space="preserve"> | rel. Dias Toffoli</w:t>
      </w:r>
    </w:p>
    <w:p>
      <w:pPr>
        <w:ind w:left="288"/>
      </w:pPr>
      <w:r>
        <w:rPr>
          <w:color w:val="1E1E1E"/>
          <w:sz w:val="18"/>
        </w:rPr>
        <w:t>= ACO 1.673, rel. min. Dias Toffoli, j. 11-6-2012, dec. monocrática, DJE de 14-6-2012 Instauração de inquérito civil público. Mesmos fatos investigados em inquérito que tramita no STF. Usurpação de competência. Inocorrência das hipóteses previstas no RISTF. Reclamação julgada improcedente. Inquérito civil público instaurado pelo Ministério Público do Estado de Minas Gerais que pretende apurar eventual dano ao erário estadual, relacionado a atividades de empresas e pessoas detentoras de contrato com o governo estadual. A afirmação de que o Ministério Público do Estado de Minas Gerais estaria in</w:t>
      </w:r>
    </w:p>
    <w:p>
      <w:pPr>
        <w:ind w:left="288"/>
      </w:pPr>
      <w:r>
        <w:rPr>
          <w:b/>
          <w:color w:val="003CA0"/>
          <w:sz w:val="16"/>
        </w:rPr>
        <w:t>[Rcl 4.963, rel. min. Joaquim Barbosa, j. 4-9-2008, P, DJE de 10-10-2008.]</w:t>
      </w:r>
    </w:p>
    <w:p>
      <w:pPr>
        <w:ind w:left="288"/>
      </w:pPr>
      <w:r>
        <w:rPr>
          <w:color w:val="8C8C8C"/>
          <w:sz w:val="12"/>
        </w:rPr>
        <w:t>cf-art-129-inc-III</w:t>
      </w:r>
      <w:r>
        <w:rPr>
          <w:color w:val="003CA0"/>
          <w:sz w:val="12"/>
        </w:rPr>
        <w:t xml:space="preserve"> | RE 464.893</w:t>
      </w:r>
      <w:r>
        <w:rPr>
          <w:color w:val="003CA0"/>
          <w:sz w:val="12"/>
        </w:rPr>
        <w:t xml:space="preserve"> | rel. Joaquim Barbosa</w:t>
      </w:r>
    </w:p>
    <w:p>
      <w:pPr>
        <w:ind w:left="288"/>
      </w:pPr>
      <w:r>
        <w:rPr>
          <w:color w:val="1E1E1E"/>
          <w:sz w:val="18"/>
        </w:rPr>
        <w:t>Ministério Público. Oferecimento de denúncia com base em inquérito civil público. Viabilidade. Recurso desprovido. Denúncia oferecida com base em elementos colhidos no bojo de inquérito civil público destinado à apuração de danos ao meio ambiente. Viabilidade. O Ministério Público pode oferecer denúncia independentemente de investigação policial, desde que possua os elementos mínimos de convicção quanto à materialidade e aos indícios de autoria, como no caso (art. 46, § 1º, do CPP).</w:t>
      </w:r>
    </w:p>
    <w:p>
      <w:pPr>
        <w:ind w:left="288"/>
      </w:pPr>
      <w:r>
        <w:rPr>
          <w:b/>
          <w:color w:val="003CA0"/>
          <w:sz w:val="16"/>
        </w:rPr>
        <w:t>[RE 464.893, rel. min. Joaquim Barbosa, j. 20-5-2008, 2ª T, DJE de 1º-8-2008.]</w:t>
      </w:r>
    </w:p>
    <w:p>
      <w:pPr>
        <w:ind w:left="288"/>
      </w:pPr>
      <w:r>
        <w:rPr>
          <w:color w:val="8C8C8C"/>
          <w:sz w:val="12"/>
        </w:rPr>
        <w:t>cf-art-129-inc-III</w:t>
      </w:r>
      <w:r>
        <w:rPr>
          <w:color w:val="003CA0"/>
          <w:sz w:val="12"/>
        </w:rPr>
        <w:t xml:space="preserve"> | RE 470.135</w:t>
      </w:r>
      <w:r>
        <w:rPr>
          <w:color w:val="003CA0"/>
          <w:sz w:val="12"/>
        </w:rPr>
        <w:t xml:space="preserve"> | rel. Cezar Peluso</w:t>
      </w:r>
    </w:p>
    <w:p>
      <w:pPr>
        <w:ind w:left="288"/>
      </w:pPr>
      <w:r>
        <w:rPr>
          <w:color w:val="1E1E1E"/>
          <w:sz w:val="18"/>
        </w:rPr>
        <w:t>Legitimidade para a causa. Ativa. Caracterização. Ministério Público. Ação civil pública. Demanda sobre contratos de financiamento firmados no âmbito do Sistema Financeiro da Habitação (SFH). Tutela de direitos ou interesses individuais homogêneos. Matéria de alto relevo social. Pertinência ao perfil institucional do Ministério Público. Inteligência dos arts. 127 e 129, III e IX, da CF. Precedentes. O Ministério Público tem legitimação para ação civil pública em tutela de interesses individuais homogêneos dotados de alto relevo social, como os de mutuários em contratos de financiamento pelo SF</w:t>
      </w:r>
    </w:p>
    <w:p>
      <w:pPr>
        <w:ind w:left="288"/>
      </w:pPr>
      <w:r>
        <w:rPr>
          <w:b/>
          <w:color w:val="003CA0"/>
          <w:sz w:val="16"/>
        </w:rPr>
        <w:t>[RE 470.135 AgR-ED, rel. min. Cezar Peluso, j. 22-5-2007, 2ª T, DJ de 29-6-2007.]</w:t>
      </w:r>
    </w:p>
    <w:p>
      <w:pPr>
        <w:ind w:left="288"/>
      </w:pPr>
      <w:r>
        <w:rPr>
          <w:color w:val="8C8C8C"/>
          <w:sz w:val="12"/>
        </w:rPr>
        <w:t>cf-art-129-inc-III</w:t>
      </w:r>
      <w:r>
        <w:rPr>
          <w:color w:val="003CA0"/>
          <w:sz w:val="12"/>
        </w:rPr>
        <w:t xml:space="preserve"> | AI 637.853</w:t>
      </w:r>
      <w:r>
        <w:rPr>
          <w:color w:val="003CA0"/>
          <w:sz w:val="12"/>
        </w:rPr>
        <w:t xml:space="preserve"> | rel. Joaquim Barbosa</w:t>
      </w:r>
    </w:p>
    <w:p>
      <w:pPr>
        <w:ind w:left="288"/>
      </w:pPr>
      <w:r>
        <w:rPr>
          <w:color w:val="1E1E1E"/>
          <w:sz w:val="18"/>
        </w:rPr>
        <w:t>= AI 637.853 AgR, rel. min. Joaquim Barbosa, j. 28-8-2012, 2ª T, DJE de 17-9-2012 O Ministério Público é parte legítima na propositura de ação civil pública para questionar relação de consumo resultante de ajuste a envolver cartão de crédito.</w:t>
      </w:r>
    </w:p>
    <w:p>
      <w:pPr>
        <w:ind w:left="288"/>
      </w:pPr>
      <w:r>
        <w:rPr>
          <w:b/>
          <w:color w:val="003CA0"/>
          <w:sz w:val="16"/>
        </w:rPr>
        <w:t>[RE 441.318, rel. min. Marco Aurélio, j. 25-10-2005, 1ª T, DJ de 24-2-2006.]</w:t>
      </w:r>
    </w:p>
    <w:p>
      <w:pPr>
        <w:ind w:left="288"/>
      </w:pPr>
      <w:r>
        <w:rPr>
          <w:color w:val="8C8C8C"/>
          <w:sz w:val="12"/>
        </w:rPr>
        <w:t>cf-art-129-inc-III</w:t>
      </w:r>
      <w:r>
        <w:rPr>
          <w:color w:val="003CA0"/>
          <w:sz w:val="12"/>
        </w:rPr>
        <w:t xml:space="preserve"> | RE 244.217</w:t>
      </w:r>
      <w:r>
        <w:rPr>
          <w:color w:val="003CA0"/>
          <w:sz w:val="12"/>
        </w:rPr>
        <w:t xml:space="preserve"> | rel. Eros Grau</w:t>
      </w:r>
    </w:p>
    <w:p>
      <w:pPr>
        <w:ind w:left="288"/>
      </w:pPr>
      <w:r>
        <w:rPr>
          <w:color w:val="1E1E1E"/>
          <w:sz w:val="18"/>
        </w:rPr>
        <w:t>O Ministério Público tem legitimidade ativa para propor ação civil pública com o objetivo de evitar lesão ao patrimônio público decorrente de contratação de serviço hospitalar privado sem procedimento licitatório.</w:t>
      </w:r>
    </w:p>
    <w:p>
      <w:pPr>
        <w:ind w:left="288"/>
      </w:pPr>
      <w:r>
        <w:rPr>
          <w:b/>
          <w:color w:val="003CA0"/>
          <w:sz w:val="16"/>
        </w:rPr>
        <w:t>[RE 244.217 AgR, rel. min. Eros Grau, j. 25-10-2005, 1ª T, DJ de 25-11-2005.]</w:t>
      </w:r>
    </w:p>
    <w:p>
      <w:pPr>
        <w:ind w:left="288"/>
      </w:pPr>
      <w:r>
        <w:rPr>
          <w:color w:val="8C8C8C"/>
          <w:sz w:val="12"/>
        </w:rPr>
        <w:t>cf-art-129-inc-III</w:t>
      </w:r>
      <w:r>
        <w:rPr>
          <w:color w:val="003CA0"/>
          <w:sz w:val="12"/>
        </w:rPr>
        <w:t xml:space="preserve"> | RE 262.134</w:t>
      </w:r>
      <w:r>
        <w:rPr>
          <w:color w:val="003CA0"/>
          <w:sz w:val="12"/>
        </w:rPr>
        <w:t xml:space="preserve"> | rel. Celso de Mello</w:t>
      </w:r>
    </w:p>
    <w:p>
      <w:pPr>
        <w:ind w:left="288"/>
      </w:pPr>
      <w:r>
        <w:rPr>
          <w:color w:val="1E1E1E"/>
          <w:sz w:val="18"/>
        </w:rPr>
        <w:t>= RE 262.134 AgR, rel. min. Celso de Mello, j. 12-12-2006, 2ª T, DJ de 2-2-2007 = AI 383.919 AgR, rel. min. Sepúlveda Pertence, j. 19-2-2003, 1ª T, DJ de 11-4-2003 O Ministério Público é parte legítima para propor ação civil pública voltada a infirmar preço de passagem em transporte coletivo.</w:t>
      </w:r>
    </w:p>
    <w:p>
      <w:pPr>
        <w:ind w:left="288"/>
      </w:pPr>
      <w:r>
        <w:rPr>
          <w:b/>
          <w:color w:val="003CA0"/>
          <w:sz w:val="16"/>
        </w:rPr>
        <w:t>[RE 379.495, rel. min. Marco Aurélio, j. 11-10-2005, 1ª T, DJ de 20-4-2006.]</w:t>
      </w:r>
    </w:p>
    <w:p>
      <w:pPr>
        <w:ind w:left="288"/>
      </w:pPr>
      <w:r>
        <w:rPr>
          <w:color w:val="8C8C8C"/>
          <w:sz w:val="12"/>
        </w:rPr>
        <w:t>cf-art-129-inc-III</w:t>
      </w:r>
      <w:r>
        <w:rPr>
          <w:color w:val="003CA0"/>
          <w:sz w:val="12"/>
        </w:rPr>
        <w:t xml:space="preserve"> | RE 228.177</w:t>
      </w:r>
      <w:r>
        <w:rPr>
          <w:color w:val="003CA0"/>
          <w:sz w:val="12"/>
        </w:rPr>
        <w:t xml:space="preserve"> | rel. Gilmar Mendes</w:t>
      </w:r>
    </w:p>
    <w:p>
      <w:pPr>
        <w:ind w:left="288"/>
      </w:pPr>
      <w:r>
        <w:rPr>
          <w:color w:val="1E1E1E"/>
          <w:sz w:val="18"/>
        </w:rPr>
        <w:t>= RE 228.177, rel. min. Gilmar Mendes, j. 17-11-2009, 2ª T, DJE de 5-3-2010 Acórdão que rejeitou embargos infringentes, assentando que ação civil pública trabalhista não é o meio adequado para a defesa de interesses que não possuem natureza coletiva. Alegação de ofensa ao disposto no art. 129, III, da CF. A LC 75/1993 conferiu ao MPT legitimidade ativa, no campo da defesa dos interesses difusos e coletivos, no âmbito trabalhista.</w:t>
      </w:r>
    </w:p>
    <w:p>
      <w:pPr>
        <w:ind w:left="288"/>
      </w:pPr>
      <w:r>
        <w:rPr>
          <w:b/>
          <w:color w:val="003CA0"/>
          <w:sz w:val="16"/>
        </w:rPr>
        <w:t>[RE 213.015, rel. min. Néri da Silveira, j. 8-4-2002, 2ª T, DJ de 24-5-2002.]</w:t>
      </w:r>
    </w:p>
    <w:p>
      <w:pPr>
        <w:ind w:left="288"/>
      </w:pPr>
      <w:r>
        <w:rPr>
          <w:color w:val="8C8C8C"/>
          <w:sz w:val="12"/>
        </w:rPr>
        <w:t>cf-art-129-inc-III</w:t>
      </w:r>
      <w:r>
        <w:rPr>
          <w:color w:val="003CA0"/>
          <w:sz w:val="12"/>
        </w:rPr>
        <w:t xml:space="preserve"> | ARE 788.319</w:t>
      </w:r>
      <w:r>
        <w:rPr>
          <w:color w:val="003CA0"/>
          <w:sz w:val="12"/>
        </w:rPr>
        <w:t xml:space="preserve"> | rel. Roberto Barroso</w:t>
      </w:r>
    </w:p>
    <w:p>
      <w:pPr>
        <w:ind w:left="288"/>
      </w:pPr>
      <w:r>
        <w:rPr>
          <w:color w:val="1E1E1E"/>
          <w:sz w:val="18"/>
        </w:rPr>
        <w:t xml:space="preserve">= ARE 788.319 AgR, rel. min. Roberto Barroso, j. 14-4-2015, 1ª T, DJE de 7-5-2015 Ação civil pública para proteção do patrimônio público. art. 129, III, da CF. Legitimação extraordinária conferida ao órgão pelo dispositivo constitucional em referência, hipótese em que age como substituto processual de toda a coletividade e, consequentemente, na defesa de autêntico interesse difuso, habilitação que, de resto, não impede a iniciativa do próprio ente público na defesa de seu patrimônio, caso em que o Ministério Público intervirá como fiscal da lei, pena de nulidade da ação (art. 17, § 4º, da Lei </w:t>
      </w:r>
    </w:p>
    <w:p>
      <w:pPr>
        <w:ind w:left="288"/>
      </w:pPr>
      <w:r>
        <w:rPr>
          <w:b/>
          <w:color w:val="003CA0"/>
          <w:sz w:val="16"/>
        </w:rPr>
        <w:t>[RE 208.790, rel. min. Ilmar Galvão, j. 27-9-2000, P, DJ de 15-12-2000.]</w:t>
      </w:r>
    </w:p>
    <w:p>
      <w:pPr>
        <w:ind w:left="288"/>
      </w:pPr>
      <w:r>
        <w:rPr>
          <w:color w:val="8C8C8C"/>
          <w:sz w:val="12"/>
        </w:rPr>
        <w:t>cf-art-129-inc-III</w:t>
      </w:r>
      <w:r>
        <w:rPr>
          <w:color w:val="003CA0"/>
          <w:sz w:val="12"/>
        </w:rPr>
        <w:t xml:space="preserve"> | RE 225.777</w:t>
      </w:r>
      <w:r>
        <w:rPr>
          <w:color w:val="003CA0"/>
          <w:sz w:val="12"/>
        </w:rPr>
        <w:t xml:space="preserve"> | rel. Ilmar Galvão</w:t>
      </w:r>
    </w:p>
    <w:p>
      <w:pPr>
        <w:ind w:left="288"/>
      </w:pPr>
      <w:r>
        <w:rPr>
          <w:color w:val="1E1E1E"/>
          <w:sz w:val="18"/>
        </w:rPr>
        <w:t>= RE 225.777, red. do ac. min. Dias Toffoli, j. 24-2-2011, P, DJE de 29-8-2011 Ministério Público. Ação civil pública. Taxa de iluminação pública do Município de Rio Novo/MG. Exigibilidade impugnada por meio de ação pública, sob alegação de inconstitucionalidade. Acórdão que concluiu pelo seu não cabimento, sob invocação dos arts. 102, I, a, e 125, § 2º, da Constituição. Ausência de legitimação do Ministério Público para ações da espécie, por não configurada, no caso, a hipótese de interesses difusos, como tais considerados os pertencentes concomitantemente a todos e a cada um dos membros da s</w:t>
      </w:r>
    </w:p>
    <w:p>
      <w:pPr>
        <w:ind w:left="288"/>
      </w:pPr>
      <w:r>
        <w:rPr>
          <w:b/>
          <w:color w:val="003CA0"/>
          <w:sz w:val="16"/>
        </w:rPr>
        <w:t>[RE 213.631, rel. min. Ilmar Galvão, j. 9-12-1999, P, DJ de 7-4-2000.]</w:t>
      </w:r>
    </w:p>
    <w:p>
      <w:pPr>
        <w:ind w:left="288"/>
      </w:pPr>
      <w:r>
        <w:rPr>
          <w:color w:val="8C8C8C"/>
          <w:sz w:val="12"/>
        </w:rPr>
        <w:t>cf-art-129-inc-III</w:t>
      </w:r>
      <w:r>
        <w:rPr>
          <w:color w:val="003CA0"/>
          <w:sz w:val="12"/>
        </w:rPr>
        <w:t xml:space="preserve"> | RE 166.776</w:t>
      </w:r>
      <w:r>
        <w:rPr>
          <w:color w:val="003CA0"/>
          <w:sz w:val="12"/>
        </w:rPr>
        <w:t xml:space="preserve"> | rel. Maurício Corrêa</w:t>
      </w:r>
    </w:p>
    <w:p>
      <w:pPr>
        <w:ind w:left="288"/>
      </w:pPr>
      <w:r>
        <w:rPr>
          <w:color w:val="1E1E1E"/>
          <w:sz w:val="18"/>
        </w:rPr>
        <w:t>A legitimidade do Ministério Público para fiscalizar os atos de instituição financeira perdura enquanto couber ao Banco Central do Brasil, por intermédio de liquidante, a responsabilidade pela administração da entidade liquidanda. Exaurido o regime de intervenção extrajudicial, cessa também a legitimidade ad causam do Parquet, quer como custos legis, quer na condição de autor, visto que a empresa retoma a autogestão de seus negócios.</w:t>
      </w:r>
    </w:p>
    <w:p>
      <w:pPr>
        <w:ind w:left="288"/>
      </w:pPr>
      <w:r>
        <w:rPr>
          <w:b/>
          <w:color w:val="003CA0"/>
          <w:sz w:val="16"/>
        </w:rPr>
        <w:t>[RE 166.776, rel. min. Maurício Corrêa, j. 2-3-1999, 2ª T, DJ de 4-6-1999.]</w:t>
      </w:r>
    </w:p>
    <w:p>
      <w:pPr>
        <w:ind w:left="288"/>
      </w:pPr>
      <w:r>
        <w:rPr>
          <w:color w:val="8C8C8C"/>
          <w:sz w:val="12"/>
        </w:rPr>
        <w:t>cf-art-129-inc-III</w:t>
      </w:r>
      <w:r>
        <w:rPr>
          <w:color w:val="003CA0"/>
          <w:sz w:val="12"/>
        </w:rPr>
        <w:t xml:space="preserve"> | ARE 640.544</w:t>
      </w:r>
      <w:r>
        <w:rPr>
          <w:color w:val="003CA0"/>
          <w:sz w:val="12"/>
        </w:rPr>
        <w:t xml:space="preserve"> | rel. Ricardo Lewandowski</w:t>
      </w:r>
    </w:p>
    <w:p>
      <w:pPr>
        <w:ind w:left="288"/>
      </w:pPr>
      <w:r>
        <w:rPr>
          <w:color w:val="1E1E1E"/>
          <w:sz w:val="18"/>
        </w:rPr>
        <w:t>= ARE 640.544 AgR, rel. min. Ricardo Lewandowski, j. 7-5-2013, 2ª T, DJE de 22-5-2013 = AI 576.892 AgR, rel. min. Cármen Lúcia, j. 20-10-2009, 1ª T, DJE de 20-11-2009</w:t>
      </w:r>
    </w:p>
    <w:p>
      <w:pPr>
        <w:ind w:left="288"/>
      </w:pPr>
      <w:r>
        <w:rPr>
          <w:color w:val="8C8C8C"/>
          <w:sz w:val="12"/>
        </w:rPr>
        <w:t>cf-art-129-inc-VI</w:t>
      </w:r>
      <w:r>
        <w:rPr>
          <w:color w:val="003CA0"/>
          <w:sz w:val="12"/>
        </w:rPr>
        <w:t xml:space="preserve"> | MS 21.729</w:t>
      </w:r>
      <w:r>
        <w:rPr>
          <w:color w:val="003CA0"/>
          <w:sz w:val="12"/>
        </w:rPr>
        <w:t xml:space="preserve"> | rel. Néri da Silveira</w:t>
      </w:r>
    </w:p>
    <w:p>
      <w:pPr>
        <w:ind w:left="288"/>
      </w:pPr>
      <w:r>
        <w:rPr>
          <w:color w:val="1E1E1E"/>
          <w:sz w:val="18"/>
        </w:rPr>
        <w:t>O poder de investigação do Estado é dirigido a coibir atividades afrontosas à ordem jurídica e a garantia do sigilo bancário não se estende às atividades ilícitas. A ordem jurídica confere explicitamente poderes amplos de investigação ao Ministério Público – art. 129, VI e VIII, da CF, e art. 8º, II e IV, e § 2º, da LC 75/1993. Não cabe ao Banco do Brasil negar ao Ministério Público informações sobre nomes de beneficiários de empréstimos concedidos pela instituição, com recursos subsidiados pelo erário federal, sob invocação do sigilo bancário, em se tratando de requisição de informações e doc</w:t>
      </w:r>
    </w:p>
    <w:p>
      <w:pPr>
        <w:ind w:left="288"/>
      </w:pPr>
      <w:r>
        <w:rPr>
          <w:b/>
          <w:color w:val="003CA0"/>
          <w:sz w:val="16"/>
        </w:rPr>
        <w:t>[MS 21.729, rel. p/ o ac. min. Néri da Silveira, j. 5-10-1995, P, DJ de 19-10-2001.]</w:t>
      </w:r>
    </w:p>
    <w:p>
      <w:pPr>
        <w:ind w:left="288"/>
      </w:pPr>
      <w:r>
        <w:rPr>
          <w:color w:val="8C8C8C"/>
          <w:sz w:val="12"/>
        </w:rPr>
        <w:t>cf-art-129-inc-VII</w:t>
      </w:r>
      <w:r>
        <w:rPr>
          <w:color w:val="003CA0"/>
          <w:sz w:val="12"/>
        </w:rPr>
        <w:t xml:space="preserve"> | ADPF 635</w:t>
      </w:r>
      <w:r>
        <w:rPr>
          <w:color w:val="003CA0"/>
          <w:sz w:val="12"/>
        </w:rPr>
        <w:t xml:space="preserve"> | rel. Edson Fachin</w:t>
      </w:r>
    </w:p>
    <w:p>
      <w:pPr>
        <w:ind w:left="288"/>
      </w:pPr>
      <w:r>
        <w:rPr>
          <w:color w:val="1E1E1E"/>
          <w:sz w:val="18"/>
        </w:rPr>
        <w:t>Determinações complementares decorrentes da função institucional de controle externo da atividade policial pelo Ministério Público (art. 129, VII, CRFB). Um relatório detalhado produzido ao término de cada operação dos agentes de segurança pública é exigência de accountability da atuação estatal, devendo seu detalhamento ser dado por meio de protocolos próprios do Ministério Público do Estado do Rio de Janeiro. (...) Investigação direta e viabilização do exercício da função institucional de controle externo da atividade policial pelo Ministério Público (art. 129, VII, CRFB). O reconhecimento d</w:t>
      </w:r>
    </w:p>
    <w:p>
      <w:pPr>
        <w:ind w:left="288"/>
      </w:pPr>
      <w:r>
        <w:rPr>
          <w:b/>
          <w:color w:val="003CA0"/>
          <w:sz w:val="16"/>
        </w:rPr>
        <w:t>[ADPF 635, rel. min. Edson Fachin, j. 03.04.2025, P, DJE de 22.05.2025.]</w:t>
      </w:r>
    </w:p>
    <w:p>
      <w:pPr>
        <w:ind w:left="144"/>
      </w:pPr>
      <w:r>
        <w:rPr>
          <w:b/>
          <w:color w:val="B45A00"/>
          <w:sz w:val="16"/>
        </w:rPr>
        <w:t>CONTROLE CONCENTRADO</w:t>
      </w:r>
    </w:p>
    <w:p>
      <w:pPr>
        <w:ind w:left="288"/>
      </w:pPr>
      <w:r>
        <w:rPr>
          <w:color w:val="8C8C8C"/>
          <w:sz w:val="12"/>
        </w:rPr>
        <w:t>cf-art-129-inc-VII</w:t>
      </w:r>
      <w:r>
        <w:rPr>
          <w:color w:val="003CA0"/>
          <w:sz w:val="12"/>
        </w:rPr>
        <w:t xml:space="preserve"> | ADI 7.192</w:t>
      </w:r>
      <w:r>
        <w:rPr>
          <w:color w:val="003CA0"/>
          <w:sz w:val="12"/>
        </w:rPr>
        <w:t xml:space="preserve"> | rel. Luiz Fux</w:t>
      </w:r>
    </w:p>
    <w:p>
      <w:pPr>
        <w:ind w:left="288"/>
      </w:pPr>
      <w:r>
        <w:rPr>
          <w:color w:val="1E1E1E"/>
          <w:sz w:val="18"/>
        </w:rPr>
        <w:t>O artigo 21, § 1º, da Lei n. 14.344/2022, prevê que a autoridade policial poderá requisitar ao Ministério Público a propositura de ação cautelar de antecipação de produção de prova nas causas que envolvam violência contra a criança e o adolescente. A tutela penal de crianças e adolescentes deve levar em consideração o aspecto informacional, isto é, a origem da notícia de atos lesivos às autoridades competentes. A controvérsia reside no emprego do termo “requisitar”, usualmente interpretado como “determinar”. Questiona-se, assim, a possibilidade de a lei prever que a autoridade policial pode de</w:t>
      </w:r>
    </w:p>
    <w:p>
      <w:pPr>
        <w:ind w:left="144"/>
      </w:pPr>
      <w:r>
        <w:rPr>
          <w:b/>
          <w:color w:val="B45A00"/>
          <w:sz w:val="16"/>
        </w:rPr>
        <w:t>JULGADOS CORRELATOS</w:t>
      </w:r>
    </w:p>
    <w:p>
      <w:pPr>
        <w:ind w:left="288"/>
      </w:pPr>
      <w:r>
        <w:rPr>
          <w:color w:val="8C8C8C"/>
          <w:sz w:val="12"/>
        </w:rPr>
        <w:t>cf-art-129-inc-VII</w:t>
      </w:r>
      <w:r>
        <w:rPr>
          <w:color w:val="003CA0"/>
          <w:sz w:val="12"/>
        </w:rPr>
        <w:t xml:space="preserve"> | ARE 1.477.981</w:t>
      </w:r>
      <w:r>
        <w:rPr>
          <w:color w:val="003CA0"/>
          <w:sz w:val="12"/>
        </w:rPr>
        <w:t xml:space="preserve"> | rel. Alexandre de Moraes</w:t>
      </w:r>
    </w:p>
    <w:p>
      <w:pPr>
        <w:ind w:left="288"/>
      </w:pPr>
      <w:r>
        <w:rPr>
          <w:color w:val="1E1E1E"/>
          <w:sz w:val="18"/>
        </w:rPr>
        <w:t>Atribuições do Ministério Público Federal. Controle externo da atividade policial. Art. 129, VII, da Constituição Federal. Possibilidade de acesso à informação sobre quantitativo de agentes e delegados em determinada unidade policial.</w:t>
        <w:br/>
        <w:t>[ARE 1.477.981 AgR, rel. min. Alexandre de Moraes, j. 13.05.2024, 1ª T, DJE de 20.05.2024.] A CF de 1988, ao regrar as competências do Ministério Público, o fez sob a técnica do reforço normativo. Isso porque o controle externo da atividade policial engloba a atuação supridora e complementar do órgão ministerial no campo da investigação criminal. Controle naquilo</w:t>
      </w:r>
    </w:p>
    <w:p>
      <w:pPr>
        <w:ind w:left="288"/>
      </w:pPr>
      <w:r>
        <w:rPr>
          <w:b/>
          <w:color w:val="003CA0"/>
          <w:sz w:val="16"/>
        </w:rPr>
        <w:t>[HC 97.969, rel. min. Ayres Britto, j. 1º-2-2011, 2ª T, DJE de 23-5-2011.]</w:t>
      </w:r>
    </w:p>
    <w:p>
      <w:pPr>
        <w:ind w:left="288"/>
      </w:pPr>
      <w:r>
        <w:rPr>
          <w:color w:val="8C8C8C"/>
          <w:sz w:val="12"/>
        </w:rPr>
        <w:t>cf-art-129-inc-VII</w:t>
      </w:r>
      <w:r>
        <w:rPr>
          <w:color w:val="003CA0"/>
          <w:sz w:val="12"/>
        </w:rPr>
        <w:t xml:space="preserve"> | HC 89.837</w:t>
      </w:r>
      <w:r>
        <w:rPr>
          <w:color w:val="003CA0"/>
          <w:sz w:val="12"/>
        </w:rPr>
        <w:t xml:space="preserve"> | rel. Celso de Mello</w:t>
      </w:r>
    </w:p>
    <w:p>
      <w:pPr>
        <w:ind w:left="288"/>
      </w:pPr>
      <w:r>
        <w:rPr>
          <w:color w:val="1E1E1E"/>
          <w:sz w:val="18"/>
        </w:rPr>
        <w:t>O poder de investigar compõe, em sede penal, o complexo de funções institucionais do Ministério Público, que dispõe, na condição de dominus litis e, também, como expressão de sua competência para exercer o controle externo da atividade policial, da atribuição de fazer instaurar, ainda que em caráter subsidiário, mas por autoridade própria e sob sua direção, procedimentos de investigação penal destinados a viabilizar a obtenção de dados informativos, de subsídios probatórios e de elementos de convicção que lhe permitam formar a opinio delicti, em ordem a propiciar eventual ajuizamento da ação p</w:t>
      </w:r>
    </w:p>
    <w:p>
      <w:pPr>
        <w:ind w:left="288"/>
      </w:pPr>
      <w:r>
        <w:rPr>
          <w:b/>
          <w:color w:val="003CA0"/>
          <w:sz w:val="16"/>
        </w:rPr>
        <w:t>[HC 89.837, rel. min. Celso de Mello, j. 20-10-2009, 2ª T, DJE de 20-11-2009.]</w:t>
      </w:r>
    </w:p>
    <w:p>
      <w:pPr>
        <w:ind w:left="288"/>
      </w:pPr>
      <w:r>
        <w:rPr>
          <w:color w:val="8C8C8C"/>
          <w:sz w:val="12"/>
        </w:rPr>
        <w:t>cf-art-129-inc-VII</w:t>
      </w:r>
      <w:r>
        <w:rPr>
          <w:color w:val="003CA0"/>
          <w:sz w:val="12"/>
        </w:rPr>
        <w:t xml:space="preserve"> | RHC 118.636</w:t>
      </w:r>
      <w:r>
        <w:rPr>
          <w:color w:val="003CA0"/>
          <w:sz w:val="12"/>
        </w:rPr>
        <w:t xml:space="preserve"> | rel. Celso de Mello</w:t>
      </w:r>
    </w:p>
    <w:p>
      <w:pPr>
        <w:ind w:left="288"/>
      </w:pPr>
      <w:r>
        <w:rPr>
          <w:color w:val="1E1E1E"/>
          <w:sz w:val="18"/>
        </w:rPr>
        <w:t>= RHC 118.636 AgR, rel. min. Celso de Mello, j. 26-8-2014, 2ª T, DJE de 10-9-2014 O fato de o promotor de justiça que ofereceu a denúncia contra os pacientes ter acompanhado a lavratura do auto de prisão em flagrante e demais atos processuais não induz a qualquer ilegalidade ou nulidade do inquérito e da consequente ação penal promovida, o que, aliás, é perfeitamente justificável em razão do que disposto no art. 129, VII, da CF.</w:t>
      </w:r>
    </w:p>
    <w:p>
      <w:pPr>
        <w:ind w:left="288"/>
      </w:pPr>
      <w:r>
        <w:rPr>
          <w:b/>
          <w:color w:val="003CA0"/>
          <w:sz w:val="16"/>
        </w:rPr>
        <w:t>[HC 89.746, rel. min. Cármen Lúcia, j. 12-12-2006, 1ª T, DJ de 9-2-2007.]</w:t>
      </w:r>
    </w:p>
    <w:p>
      <w:pPr>
        <w:ind w:left="144"/>
      </w:pPr>
      <w:r>
        <w:rPr>
          <w:b/>
          <w:color w:val="B45A00"/>
          <w:sz w:val="16"/>
        </w:rPr>
        <w:t>SUMULA</w:t>
      </w:r>
    </w:p>
    <w:p>
      <w:pPr>
        <w:ind w:left="288"/>
      </w:pPr>
      <w:r>
        <w:rPr>
          <w:color w:val="8C8C8C"/>
          <w:sz w:val="12"/>
        </w:rPr>
        <w:t>cf-art-129-inc-VIII</w:t>
      </w:r>
    </w:p>
    <w:p>
      <w:pPr>
        <w:ind w:left="288"/>
      </w:pPr>
      <w:r>
        <w:rPr>
          <w:color w:val="1E1E1E"/>
          <w:sz w:val="18"/>
        </w:rPr>
        <w:t>Arquivado o inquérito policial, por despacho do juiz, a requerimento do promotor de justiça, não pode a ação penal ser iniciada, sem novas provas.</w:t>
      </w:r>
    </w:p>
    <w:p>
      <w:pPr>
        <w:ind w:left="288"/>
      </w:pPr>
      <w:r>
        <w:rPr>
          <w:b/>
          <w:color w:val="003CA0"/>
          <w:sz w:val="16"/>
        </w:rPr>
        <w:t>[Súmula 524.]</w:t>
      </w:r>
    </w:p>
    <w:p>
      <w:pPr>
        <w:ind w:left="288"/>
      </w:pPr>
      <w:r>
        <w:rPr>
          <w:color w:val="8C8C8C"/>
          <w:sz w:val="12"/>
        </w:rPr>
        <w:t>cf-art-129-inc-VIII</w:t>
      </w:r>
      <w:r>
        <w:rPr>
          <w:color w:val="003CA0"/>
          <w:sz w:val="12"/>
        </w:rPr>
        <w:t xml:space="preserve"> | ADI 5.104</w:t>
      </w:r>
      <w:r>
        <w:rPr>
          <w:color w:val="003CA0"/>
          <w:sz w:val="12"/>
        </w:rPr>
        <w:t xml:space="preserve"> | rel. Roberto Barroso</w:t>
      </w:r>
    </w:p>
    <w:p>
      <w:pPr>
        <w:ind w:left="288"/>
      </w:pPr>
      <w:r>
        <w:rPr>
          <w:color w:val="1E1E1E"/>
          <w:sz w:val="18"/>
        </w:rPr>
        <w:t>Resolução 23.396/2013 do TSE. Instituição de controle jurisdicional genérico e prévio à instauração de inquéritos policiais. Sistema acusatório e papel institucional do Ministério Público. (...) Forte plausibilidade na alegação de inconstitucionalidade do art. 8º da Resolução 23.396/2013. Ao condicionar a instauração de inquérito policial eleitoral a uma autorização do Poder Judiciário, a resolução questionada institui modalidade de controle judicial prévio sobre a condução das investigações, em aparente violação ao núcleo essencial do princípio acusatório.</w:t>
        <w:br/>
        <w:t>[ADI 5.104 MC, rel. min. Roberto Bar</w:t>
      </w:r>
    </w:p>
    <w:p>
      <w:pPr>
        <w:ind w:left="288"/>
      </w:pPr>
      <w:r>
        <w:rPr>
          <w:b/>
          <w:color w:val="003CA0"/>
          <w:sz w:val="16"/>
        </w:rPr>
        <w:t>[ADI 1.571 MC, voto do rel. min. Néri da Silveira, j. 20-3-1997, P, DJ de 25-9-1998.]</w:t>
      </w:r>
    </w:p>
    <w:p>
      <w:pPr>
        <w:ind w:left="144"/>
      </w:pPr>
      <w:r>
        <w:rPr>
          <w:b/>
          <w:color w:val="B45A00"/>
          <w:sz w:val="16"/>
        </w:rPr>
        <w:t>JULGADOS CORRELATOS</w:t>
      </w:r>
    </w:p>
    <w:p>
      <w:pPr>
        <w:ind w:left="288"/>
      </w:pPr>
      <w:r>
        <w:rPr>
          <w:color w:val="8C8C8C"/>
          <w:sz w:val="12"/>
        </w:rPr>
        <w:t>cf-art-129-inc-VIII</w:t>
      </w:r>
      <w:r>
        <w:rPr>
          <w:color w:val="003CA0"/>
          <w:sz w:val="12"/>
        </w:rPr>
        <w:t xml:space="preserve"> | RE 535.478</w:t>
      </w:r>
      <w:r>
        <w:rPr>
          <w:color w:val="003CA0"/>
          <w:sz w:val="12"/>
        </w:rPr>
        <w:t xml:space="preserve"> | rel. Ellen Gracie</w:t>
      </w:r>
    </w:p>
    <w:p>
      <w:pPr>
        <w:ind w:left="288"/>
      </w:pPr>
      <w:r>
        <w:rPr>
          <w:color w:val="1E1E1E"/>
          <w:sz w:val="18"/>
        </w:rPr>
        <w:t>As questões de suposta violação ao devido processo legal, ao princípio da legalidade, ao direito de intimidade e privacidade e ao princípio da presunção de inocência têm natureza infraconstitucional e, em razão disso, revelam-se insuscetíveis de conhecimento em sede de recurso extraordinário. (...) Remanesce a questão afeta à possibilidade de o Ministério Público promover procedimento administrativo de cunho investigatório e o possível malferimento da norma contida no art. 144, § 1º, I e IV, da CF. No caso concreto, tal debate se mostra irrelevante, eis que houve instauração de inquérito polic</w:t>
      </w:r>
    </w:p>
    <w:p>
      <w:pPr>
        <w:ind w:left="288"/>
      </w:pPr>
      <w:r>
        <w:rPr>
          <w:b/>
          <w:color w:val="003CA0"/>
          <w:sz w:val="16"/>
        </w:rPr>
        <w:t>[RE 535.478, rel. min. Ellen Gracie, j. 28-10-2008, 2ª T, DJE de 21-11-2008.]</w:t>
      </w:r>
    </w:p>
    <w:p>
      <w:pPr>
        <w:ind w:left="288"/>
      </w:pPr>
      <w:r>
        <w:rPr>
          <w:color w:val="8C8C8C"/>
          <w:sz w:val="12"/>
        </w:rPr>
        <w:t>cf-art-129-inc-VIII</w:t>
      </w:r>
      <w:r>
        <w:rPr>
          <w:color w:val="003CA0"/>
          <w:sz w:val="12"/>
        </w:rPr>
        <w:t xml:space="preserve"> | HC 93.224</w:t>
      </w:r>
      <w:r>
        <w:rPr>
          <w:color w:val="003CA0"/>
          <w:sz w:val="12"/>
        </w:rPr>
        <w:t xml:space="preserve"> | rel. Eros Grau</w:t>
      </w:r>
    </w:p>
    <w:p>
      <w:pPr>
        <w:ind w:left="288"/>
      </w:pPr>
      <w:r>
        <w:rPr>
          <w:color w:val="1E1E1E"/>
          <w:sz w:val="18"/>
        </w:rPr>
        <w:t>Membro do Ministério Público estadual. Art. 18, parágrafo único, da LC 73/1995 e art. 41, parágrafo único, da Lei 8.625/1993. Investigação conduzida pelo Parquet. Legalidade. (...) Está na peça acusatória que o paciente ordenou – verbo nuclear do tipo relativo ao delito de abuso de poder – que o delegado de polícia mantivesse, abusivamente, a prisão de pessoas, conduzindo-as à delegacia policial, sem flagrante delito ou ordem fundamentada da autoridade judiciária competente. Sendo o paciente membro do Ministério Público estadual, a investigação pelo seu envolvimento em suposta prática de crime</w:t>
      </w:r>
    </w:p>
    <w:p>
      <w:pPr>
        <w:ind w:left="288"/>
      </w:pPr>
      <w:r>
        <w:rPr>
          <w:b/>
          <w:color w:val="003CA0"/>
          <w:sz w:val="16"/>
        </w:rPr>
        <w:t>[HC 93.224, rel. min. Eros Grau, j. 13-5-2008, 2ª T, DJE de 5-9-2008.]</w:t>
      </w:r>
    </w:p>
    <w:p>
      <w:pPr>
        <w:ind w:left="288"/>
      </w:pPr>
      <w:r>
        <w:rPr>
          <w:color w:val="8C8C8C"/>
          <w:sz w:val="12"/>
        </w:rPr>
        <w:t>cf-art-129-inc-VIII</w:t>
      </w:r>
      <w:r>
        <w:rPr>
          <w:color w:val="003CA0"/>
          <w:sz w:val="12"/>
        </w:rPr>
        <w:t xml:space="preserve"> | INQ 1.957</w:t>
      </w:r>
      <w:r>
        <w:rPr>
          <w:color w:val="003CA0"/>
          <w:sz w:val="12"/>
        </w:rPr>
        <w:t xml:space="preserve"> | rel. Carlos Velloso</w:t>
      </w:r>
    </w:p>
    <w:p>
      <w:pPr>
        <w:ind w:left="288"/>
      </w:pPr>
      <w:r>
        <w:rPr>
          <w:color w:val="1E1E1E"/>
          <w:sz w:val="18"/>
        </w:rPr>
        <w:t>A instauração de inquérito policial não é imprescindível à propositura da ação penal pública, podendo o Ministério Público valer-se de outros elementos de prova para formar sua convicção. Não há impedimento para que o agente do Ministério Público efetue a colheita de determinados depoimentos, quando, tendo conhecimento fático do indício de autoria e da materialidade do crime, tiver notícia, diretamente, de algum fato que merecesse ser elucidado.</w:t>
      </w:r>
    </w:p>
    <w:p>
      <w:pPr>
        <w:ind w:left="288"/>
      </w:pPr>
      <w:r>
        <w:rPr>
          <w:b/>
          <w:color w:val="003CA0"/>
          <w:sz w:val="16"/>
        </w:rPr>
        <w:t>[Inq 1.957, rel. min. Carlos Velloso, j. 11-5-2005, P, DJ de 11-11-2005.]</w:t>
      </w:r>
    </w:p>
    <w:p>
      <w:pPr>
        <w:ind w:left="288"/>
      </w:pPr>
      <w:r>
        <w:rPr>
          <w:color w:val="8C8C8C"/>
          <w:sz w:val="12"/>
        </w:rPr>
        <w:t>cf-art-129-inc-VIII</w:t>
      </w:r>
      <w:r>
        <w:rPr>
          <w:color w:val="003CA0"/>
          <w:sz w:val="12"/>
        </w:rPr>
        <w:t xml:space="preserve"> | HC 83.463</w:t>
      </w:r>
      <w:r>
        <w:rPr>
          <w:color w:val="003CA0"/>
          <w:sz w:val="12"/>
        </w:rPr>
        <w:t xml:space="preserve"> | rel. Carlos Velloso</w:t>
      </w:r>
    </w:p>
    <w:p>
      <w:pPr>
        <w:ind w:left="288"/>
      </w:pPr>
      <w:r>
        <w:rPr>
          <w:color w:val="1E1E1E"/>
          <w:sz w:val="18"/>
        </w:rPr>
        <w:t>=HC 83.463, rel. min. Carlos Velloso, j. 16-3-2004, 1ª T, DJ de 4-6-2004 A CF dotou o Ministério Público do poder de requisitar diligências investigatórias e a instauração de inquérito policial (CF, art. 129, VIII). A norma constitucional não contemplou a possibilidade de o Parquet realizar e presidir inquérito policial. Não cabe, portanto, aos seus membros inquirir diretamente pessoas suspeitas de autoria de crime, mas requisitar diligência nesse sentido à autoridade policial. Precedentes.</w:t>
      </w:r>
    </w:p>
    <w:p>
      <w:pPr>
        <w:ind w:left="288"/>
      </w:pPr>
      <w:r>
        <w:rPr>
          <w:b/>
          <w:color w:val="003CA0"/>
          <w:sz w:val="16"/>
        </w:rPr>
        <w:t>[RHC 81.326, rel. min. Nelson Jobim, j. 6-5-2003, 2ª T, DJ de 1º-8-2003.]</w:t>
      </w:r>
    </w:p>
    <w:p>
      <w:pPr>
        <w:ind w:left="288"/>
      </w:pPr>
      <w:r>
        <w:rPr>
          <w:color w:val="8C8C8C"/>
          <w:sz w:val="12"/>
        </w:rPr>
        <w:t>cf-art-129-inc-VIII</w:t>
      </w:r>
      <w:r>
        <w:rPr>
          <w:color w:val="003CA0"/>
          <w:sz w:val="12"/>
        </w:rPr>
        <w:t xml:space="preserve"> | RE 215.301</w:t>
      </w:r>
      <w:r>
        <w:rPr>
          <w:color w:val="003CA0"/>
          <w:sz w:val="12"/>
        </w:rPr>
        <w:t xml:space="preserve"> | rel. Carlos Velloso</w:t>
      </w:r>
    </w:p>
    <w:p>
      <w:pPr>
        <w:ind w:left="288"/>
      </w:pPr>
      <w:r>
        <w:rPr>
          <w:color w:val="1E1E1E"/>
          <w:sz w:val="18"/>
        </w:rPr>
        <w:t>A norma inscrita no inciso VIII do art. 129 da CF não autoriza ao Ministério Público, sem a interferência da autoridade judiciária, quebrar o sigilo bancário de alguém. Se se tem presente que o sigilo bancário é espécie de direito à privacidade, que a CF consagra, art. 5º, X, somente autorização expressa da Constituição legitimaria o Ministério Público a promover, diretamente e sem a intervenção da autoridade judiciária, a quebra do sigilo bancário de qualquer pessoa.</w:t>
      </w:r>
    </w:p>
    <w:p>
      <w:pPr>
        <w:ind w:left="288"/>
      </w:pPr>
      <w:r>
        <w:rPr>
          <w:b/>
          <w:color w:val="003CA0"/>
          <w:sz w:val="16"/>
        </w:rPr>
        <w:t>[RE 215.301, rel. min. Carlos Velloso, j. 13-4-1999, 2ª T, DJ de 28-5-1999.]</w:t>
      </w:r>
    </w:p>
    <w:p>
      <w:pPr>
        <w:ind w:left="288"/>
      </w:pPr>
      <w:r>
        <w:rPr>
          <w:color w:val="8C8C8C"/>
          <w:sz w:val="12"/>
        </w:rPr>
        <w:t>cf-art-129-inc-VIII</w:t>
      </w:r>
      <w:r>
        <w:rPr>
          <w:color w:val="003CA0"/>
          <w:sz w:val="12"/>
        </w:rPr>
        <w:t xml:space="preserve"> | MS 21.729</w:t>
      </w:r>
    </w:p>
    <w:p>
      <w:pPr>
        <w:ind w:left="288"/>
      </w:pPr>
      <w:r>
        <w:rPr>
          <w:color w:val="1E1E1E"/>
          <w:sz w:val="18"/>
        </w:rPr>
        <w:t>O poder de investigação do Estado é dirigido a coibir atividades afrontosas à ordem jurídica e a garantia do sigilo bancário não se estende às atividades ilícitas. A ordem jurídica confere explicitamente poderes amplos de investigação ao Ministério Público – art. 129, VI, VIII, da CF, e art. 8º, II e IV, e § 2º, da LC 75/1993. Não cabe ao Banco do Brasil negar ao Ministério Público informações sobre nomes de beneficiários de empréstimos concedidos pela instituição, com recursos subsidiados pelo erário federal, sob invocação do sigilo bancário, em se tratando de requisição de informações e docu</w:t>
      </w:r>
    </w:p>
    <w:p>
      <w:pPr>
        <w:ind w:left="288"/>
      </w:pPr>
      <w:r>
        <w:rPr>
          <w:b/>
          <w:color w:val="003CA0"/>
          <w:sz w:val="16"/>
        </w:rPr>
        <w:t>[MS 21.729, red. do ac. min. Néri da Silveira, j. 5-10-1995, P, DJ de 19-10-2001.]</w:t>
      </w:r>
    </w:p>
    <w:p>
      <w:pPr>
        <w:ind w:left="144"/>
      </w:pPr>
      <w:r>
        <w:rPr>
          <w:b/>
          <w:color w:val="B45A00"/>
          <w:sz w:val="16"/>
        </w:rPr>
        <w:t>CONTROLE CONCENTRADO</w:t>
      </w:r>
    </w:p>
    <w:p>
      <w:pPr>
        <w:ind w:left="288"/>
      </w:pPr>
      <w:r>
        <w:rPr>
          <w:color w:val="8C8C8C"/>
          <w:sz w:val="12"/>
        </w:rPr>
        <w:t>cf-art-129-inc-IX</w:t>
      </w:r>
      <w:r>
        <w:rPr>
          <w:color w:val="003CA0"/>
          <w:sz w:val="12"/>
        </w:rPr>
        <w:t xml:space="preserve"> | ADI 5.667</w:t>
      </w:r>
      <w:r>
        <w:rPr>
          <w:color w:val="003CA0"/>
          <w:sz w:val="12"/>
        </w:rPr>
        <w:t xml:space="preserve"> | rel. Nunes Marques</w:t>
      </w:r>
    </w:p>
    <w:p>
      <w:pPr>
        <w:ind w:left="288"/>
      </w:pPr>
      <w:r>
        <w:rPr>
          <w:color w:val="1E1E1E"/>
          <w:sz w:val="18"/>
        </w:rPr>
        <w:t>policial-judiciário. (...) O processo judicial consiste em, principalmente, olhar e reconstruir o passado para que o juiz possa julgar um ou mais fatos já ocorridos. (...) As investigações do Cenipa obedecem a lógica diversa. Enquanto o foco da investigação realizada pelas polícias civil e federal e pelo Ministério Público é o passado, considerada a busca por apurar responsabilidades e atribuir sanções em virtude de condutas pretéritas, a investigação feita pelo Cenipa, conquanto também colha provas e evidências das mais diversas, tem os olhos voltados para o futuro, dada a a intenção de evita</w:t>
      </w:r>
    </w:p>
    <w:p>
      <w:pPr>
        <w:ind w:left="288"/>
      </w:pPr>
      <w:r>
        <w:rPr>
          <w:b/>
          <w:color w:val="003CA0"/>
          <w:sz w:val="16"/>
        </w:rPr>
        <w:t>[ADI 3.841, voto do rel. min. Gilmar Mendes, j. 16-6-2020, P, DJE de 6-7-2020.]</w:t>
      </w:r>
    </w:p>
    <w:p>
      <w:pPr>
        <w:ind w:left="288"/>
      </w:pPr>
      <w:r>
        <w:rPr>
          <w:color w:val="8C8C8C"/>
          <w:sz w:val="12"/>
        </w:rPr>
        <w:t>cf-art-129-inc-IX</w:t>
      </w:r>
      <w:r>
        <w:rPr>
          <w:color w:val="003CA0"/>
          <w:sz w:val="12"/>
        </w:rPr>
        <w:t xml:space="preserve"> | ADI 3.463</w:t>
      </w:r>
      <w:r>
        <w:rPr>
          <w:color w:val="003CA0"/>
          <w:sz w:val="12"/>
        </w:rPr>
        <w:t xml:space="preserve"> | rel. Ayres Britto</w:t>
      </w:r>
    </w:p>
    <w:p>
      <w:pPr>
        <w:ind w:left="288"/>
      </w:pPr>
      <w:r>
        <w:rPr>
          <w:color w:val="1E1E1E"/>
          <w:sz w:val="18"/>
        </w:rPr>
        <w:t>O rol de atribuições conferidas ao Ministério Público pelo art. 129 da CF não constitui numerus clausus. O inciso IX do mesmo artigo permite ao Ministério Público "exercer outras funções que lhe forem conferidas, desde que compatíveis com sua finalidade, sendo-lhe vedada a representação judicial e a consultoria jurídica de entidades públicas". O art. 51 do Ato das Disposições Transitórias da Constituição do Estado do Rio de Janeiro não confere competência ao Ministério Público fluminense, mas apenas cria o Conselho Estadual de Defesa da Criança e do Adolescente, garantindo a possibilidade de p</w:t>
      </w:r>
    </w:p>
    <w:p>
      <w:pPr>
        <w:ind w:left="288"/>
      </w:pPr>
      <w:r>
        <w:rPr>
          <w:b/>
          <w:color w:val="003CA0"/>
          <w:sz w:val="16"/>
        </w:rPr>
        <w:t>[ADI 3.463, rel. min. Ayres Britto, j. 27-10-2011, P, DJE de 6-6-2012.]</w:t>
      </w:r>
    </w:p>
    <w:p>
      <w:pPr>
        <w:ind w:left="288"/>
      </w:pPr>
      <w:r>
        <w:rPr>
          <w:color w:val="8C8C8C"/>
          <w:sz w:val="12"/>
        </w:rPr>
        <w:t>cf-art-129-inc-IX</w:t>
      </w:r>
      <w:r>
        <w:rPr>
          <w:color w:val="003CA0"/>
          <w:sz w:val="12"/>
        </w:rPr>
        <w:t xml:space="preserve"> | ADI 1.852</w:t>
      </w:r>
      <w:r>
        <w:rPr>
          <w:color w:val="003CA0"/>
          <w:sz w:val="12"/>
        </w:rPr>
        <w:t xml:space="preserve"> | rel. Carlos Velloso</w:t>
      </w:r>
    </w:p>
    <w:p>
      <w:pPr>
        <w:ind w:left="288"/>
      </w:pPr>
      <w:r>
        <w:rPr>
          <w:color w:val="1E1E1E"/>
          <w:sz w:val="18"/>
        </w:rPr>
        <w:t>A atribuição conferida ao MPT, no art. 83, IV, da LC 75/1993 – propor as ações coletivas para a declaração de nulidade de cláusula de contrato, acordo coletivo ou convenção coletiva que viole as liberdades individuais ou coletivas ou os direitos individuais indisponíveis dos trabalhadores – compatibiliza-se com o que dispõe a CF no art. 128, § 5º, e art. 129, IX.</w:t>
      </w:r>
    </w:p>
    <w:p>
      <w:pPr>
        <w:ind w:left="288"/>
      </w:pPr>
      <w:r>
        <w:rPr>
          <w:b/>
          <w:color w:val="003CA0"/>
          <w:sz w:val="16"/>
        </w:rPr>
        <w:t>[ADI 1.852, rel. min. Carlos Velloso, j. 21-8-2002, P, DJ de 21-11-2003.]</w:t>
      </w:r>
    </w:p>
    <w:p>
      <w:pPr>
        <w:ind w:left="144"/>
      </w:pPr>
      <w:r>
        <w:rPr>
          <w:b/>
          <w:color w:val="B45A00"/>
          <w:sz w:val="16"/>
        </w:rPr>
        <w:t>REPERCUSSAO GERAL</w:t>
      </w:r>
    </w:p>
    <w:p>
      <w:pPr>
        <w:ind w:left="288"/>
      </w:pPr>
      <w:r>
        <w:rPr>
          <w:color w:val="8C8C8C"/>
          <w:sz w:val="12"/>
        </w:rPr>
        <w:t>cf-art-129-inc-IX</w:t>
      </w:r>
      <w:r>
        <w:rPr>
          <w:color w:val="003CA0"/>
          <w:sz w:val="12"/>
        </w:rPr>
        <w:t xml:space="preserve"> | RE 593.727</w:t>
      </w:r>
    </w:p>
    <w:p>
      <w:pPr>
        <w:ind w:left="288"/>
      </w:pPr>
      <w:r>
        <w:rPr>
          <w:color w:val="1E1E1E"/>
          <w:sz w:val="18"/>
        </w:rPr>
        <w:t>O Ministério Público dispõe de competência para promover, por autoridade própria, e por prazo razoável, investigações de natureza penal, desde que respeitados os direitos e garantias que assistem a qualquer indiciado ou a qualquer pessoa sob investigação do Estado, observadas, sempre, por seus agentes, as hipóteses de reserva constitucional de jurisdição e, também, as prerrogativas profissionais de que se acham investidos, em nosso país, os advogados (Lei 8.906/1994, art. 7º, notadamente os incisos I, II, III, XI, XIII, XIV e XIX), sem prejuízo da possibilidade – sempre presente no Estado Demo</w:t>
      </w:r>
    </w:p>
    <w:p>
      <w:pPr>
        <w:ind w:left="144"/>
      </w:pPr>
      <w:r>
        <w:rPr>
          <w:b/>
          <w:color w:val="B45A00"/>
          <w:sz w:val="16"/>
        </w:rPr>
        <w:t>JULGADOS CORRELATOS</w:t>
      </w:r>
    </w:p>
    <w:p>
      <w:pPr>
        <w:ind w:left="288"/>
      </w:pPr>
      <w:r>
        <w:rPr>
          <w:color w:val="8C8C8C"/>
          <w:sz w:val="12"/>
        </w:rPr>
        <w:t>cf-art-129-inc-IX</w:t>
      </w:r>
      <w:r>
        <w:rPr>
          <w:color w:val="003CA0"/>
          <w:sz w:val="12"/>
        </w:rPr>
        <w:t xml:space="preserve"> | RE 135.328</w:t>
      </w:r>
      <w:r>
        <w:rPr>
          <w:color w:val="003CA0"/>
          <w:sz w:val="12"/>
        </w:rPr>
        <w:t xml:space="preserve"> | rel. Sepúlveda Pertence</w:t>
      </w:r>
    </w:p>
    <w:p>
      <w:pPr>
        <w:ind w:left="288"/>
      </w:pPr>
      <w:r>
        <w:rPr>
          <w:color w:val="1E1E1E"/>
          <w:sz w:val="18"/>
        </w:rPr>
        <w:t>Ministério Público: legitimação para promoção, no juízo cível, do ressarcimento do dano resultante de crime, pobre o titular do direito à reparação: CPP, art. 68, ainda constitucional (cf. RE 135.328): processo de inconstitucionalização das leis. A alternativa radical da jurisdição constitucional ortodoxa entre a constitucionalidade plena e a declaração de inconstitucionalidade ou revogação por inconstitucionalidade da lei com fulminante eficácia ex tunc faz abstração da evidência de que a implementação de uma nova ordem constitucional não é um fato instantâneo, mas um processo, no qual a poss</w:t>
      </w:r>
    </w:p>
    <w:p>
      <w:pPr>
        <w:ind w:left="288"/>
      </w:pPr>
      <w:r>
        <w:rPr>
          <w:b/>
          <w:color w:val="003CA0"/>
          <w:sz w:val="16"/>
        </w:rPr>
        <w:t>[RE 147.776, rel. min. Sepúlveda Pertence, j. 19-5-1998, 1ª T, DJ de 19-6-1998.]</w:t>
      </w:r>
    </w:p>
    <w:p>
      <w:pPr>
        <w:ind w:left="288"/>
      </w:pPr>
      <w:r>
        <w:rPr>
          <w:color w:val="8C8C8C"/>
          <w:sz w:val="12"/>
        </w:rPr>
        <w:t>cf-art-129-inc-IX</w:t>
      </w:r>
      <w:r>
        <w:rPr>
          <w:color w:val="003CA0"/>
          <w:sz w:val="12"/>
        </w:rPr>
        <w:t xml:space="preserve"> | RE 341.717</w:t>
      </w:r>
      <w:r>
        <w:rPr>
          <w:color w:val="003CA0"/>
          <w:sz w:val="12"/>
        </w:rPr>
        <w:t xml:space="preserve"> | rel. Celso de Mello</w:t>
      </w:r>
    </w:p>
    <w:p>
      <w:pPr>
        <w:ind w:left="288"/>
      </w:pPr>
      <w:r>
        <w:rPr>
          <w:color w:val="1E1E1E"/>
          <w:sz w:val="18"/>
        </w:rPr>
        <w:t>= RE 341.717 AgR, rel. min. Celso de Mello, j. 5-8-2003, 2ª T, DJE de 5-3-2010</w:t>
      </w:r>
    </w:p>
    <w:p>
      <w:pPr>
        <w:ind w:left="144"/>
      </w:pPr>
      <w:r>
        <w:rPr>
          <w:b/>
          <w:color w:val="B45A00"/>
          <w:sz w:val="16"/>
        </w:rPr>
        <w:t>CONTROLE CONCENTRADO</w:t>
      </w:r>
    </w:p>
    <w:p>
      <w:pPr>
        <w:ind w:left="288"/>
      </w:pPr>
      <w:r>
        <w:rPr>
          <w:color w:val="8C8C8C"/>
          <w:sz w:val="12"/>
        </w:rPr>
        <w:t>cf-art-129-par-1</w:t>
      </w:r>
      <w:r>
        <w:rPr>
          <w:color w:val="003CA0"/>
          <w:sz w:val="12"/>
        </w:rPr>
        <w:t xml:space="preserve"> | ADI 7.042</w:t>
      </w:r>
      <w:r>
        <w:rPr>
          <w:color w:val="003CA0"/>
          <w:sz w:val="12"/>
        </w:rPr>
        <w:t xml:space="preserve"> | rel. Alexandre de Moraes</w:t>
      </w:r>
    </w:p>
    <w:p>
      <w:pPr>
        <w:ind w:left="288"/>
      </w:pPr>
      <w:r>
        <w:rPr>
          <w:color w:val="1E1E1E"/>
          <w:sz w:val="18"/>
        </w:rPr>
        <w:t>Vedação constitucional à previsão de legitimidade exclusiva do Ministério Público para a propositura da ação por ato de improbidade administrativa, nos termos do artigo 129, §1º da Constituição Federal e, consequentemente, para oferecimento do acordo de não persecução civil. A legitimidade da Fazenda Pública para o ajuizamento de ações por improbidade administrativa é ordinária, já que ela atua na defesa de seu próprio patrimônio público, que abarca a reserva moral e ética da Administração Pública brasileira. (...) A legitimidade para firmar acordo de não persecução civil no contexto do combat</w:t>
      </w:r>
    </w:p>
    <w:p>
      <w:pPr>
        <w:ind w:left="288"/>
      </w:pPr>
      <w:r>
        <w:rPr>
          <w:color w:val="8C8C8C"/>
          <w:sz w:val="12"/>
        </w:rPr>
        <w:t>cf-art-129-par-2</w:t>
      </w:r>
      <w:r>
        <w:rPr>
          <w:color w:val="003CA0"/>
          <w:sz w:val="12"/>
        </w:rPr>
        <w:t xml:space="preserve"> | ADI 3.783</w:t>
      </w:r>
      <w:r>
        <w:rPr>
          <w:color w:val="003CA0"/>
          <w:sz w:val="12"/>
        </w:rPr>
        <w:t xml:space="preserve"> | rel. Gilmar Mendes</w:t>
      </w:r>
    </w:p>
    <w:p>
      <w:pPr>
        <w:ind w:left="288"/>
      </w:pPr>
      <w:r>
        <w:rPr>
          <w:color w:val="1E1E1E"/>
          <w:sz w:val="18"/>
        </w:rPr>
        <w:t xml:space="preserve">O auxílio-moradia constitui vantagem remuneratória de caráter indenizatório. Portanto, é devido apenas em virtude da prestação das atividades institucionais em local distinto, enquanto essas durarem. Como decorre da própria lógica do sistema remuneratório, o auxílio-moradia visa ressarcir os custos e reparar os danos porventura causados pelo deslocamento do servidor público para outros locais que não o de sua residência habitual. Dessa forma, parece lógico que tal vantagem seja deferida apenas àqueles servidores em plena atividade, que se encontrem nessa específica situação, e apenas enquanto </w:t>
      </w:r>
    </w:p>
    <w:p>
      <w:pPr>
        <w:ind w:left="288"/>
      </w:pPr>
      <w:r>
        <w:rPr>
          <w:b/>
          <w:color w:val="003CA0"/>
          <w:sz w:val="16"/>
        </w:rPr>
        <w:t>[ADI 3.783, rel. min. Gilmar Mendes, j. 17-3-2011, P, DJE de 6-6-2011.]</w:t>
      </w:r>
    </w:p>
    <w:p>
      <w:pPr>
        <w:ind w:left="288"/>
      </w:pPr>
      <w:r>
        <w:rPr>
          <w:color w:val="8C8C8C"/>
          <w:sz w:val="12"/>
        </w:rPr>
        <w:t>cf-art-129-par-2</w:t>
      </w:r>
      <w:r>
        <w:rPr>
          <w:color w:val="003CA0"/>
          <w:sz w:val="12"/>
        </w:rPr>
        <w:t xml:space="preserve"> | MS 28.135</w:t>
      </w:r>
      <w:r>
        <w:rPr>
          <w:color w:val="003CA0"/>
          <w:sz w:val="12"/>
        </w:rPr>
        <w:t xml:space="preserve"> | rel. Ellen Gracie</w:t>
      </w:r>
    </w:p>
    <w:p>
      <w:pPr>
        <w:ind w:left="288"/>
      </w:pPr>
      <w:r>
        <w:rPr>
          <w:color w:val="1E1E1E"/>
          <w:sz w:val="18"/>
        </w:rPr>
        <w:t>Vide MS 28.135 MC, rel. min. Ellen Gracie, dec. monocrática proferida pelo min. Celso de Mello no exercício da Presidência, j. 17-7-2009, DJE de 5-8-2009</w:t>
      </w:r>
    </w:p>
    <w:p>
      <w:pPr>
        <w:ind w:left="144"/>
      </w:pPr>
      <w:r>
        <w:rPr>
          <w:b/>
          <w:color w:val="B45A00"/>
          <w:sz w:val="16"/>
        </w:rPr>
        <w:t>JULGADOS CORRELATOS</w:t>
      </w:r>
    </w:p>
    <w:p>
      <w:pPr>
        <w:ind w:left="288"/>
      </w:pPr>
      <w:r>
        <w:rPr>
          <w:color w:val="8C8C8C"/>
          <w:sz w:val="12"/>
        </w:rPr>
        <w:t>cf-art-129-par-2</w:t>
      </w:r>
      <w:r>
        <w:rPr>
          <w:color w:val="003CA0"/>
          <w:sz w:val="12"/>
        </w:rPr>
        <w:t xml:space="preserve"> | MS 26.415</w:t>
      </w:r>
    </w:p>
    <w:p>
      <w:pPr>
        <w:ind w:left="288"/>
      </w:pPr>
      <w:r>
        <w:rPr>
          <w:color w:val="1E1E1E"/>
          <w:sz w:val="18"/>
        </w:rPr>
        <w:t>Ministério Público Federal. Auxílio-moradia. Localidades com condições de moradia particularmente difíceis ou onerosas. Art. 227, VIII, da LC 75/1983. Limitação temporal imposta pelo Procurador-Geral da República. Legitimidade da atuação. Razoabilidade.</w:t>
      </w:r>
    </w:p>
    <w:p>
      <w:pPr>
        <w:ind w:left="288"/>
      </w:pPr>
      <w:r>
        <w:rPr>
          <w:b/>
          <w:color w:val="003CA0"/>
          <w:sz w:val="16"/>
        </w:rPr>
        <w:t>[MS 26.415, red. do ac. min. Gilmar Mendes, j. 17-3-2020, 2ª T, DJE de 29-7-2020.]</w:t>
      </w:r>
    </w:p>
    <w:p>
      <w:pPr>
        <w:ind w:left="288"/>
      </w:pPr>
      <w:r>
        <w:rPr>
          <w:color w:val="8C8C8C"/>
          <w:sz w:val="12"/>
        </w:rPr>
        <w:t>cf-art-129-par-2</w:t>
      </w:r>
      <w:r>
        <w:rPr>
          <w:color w:val="003CA0"/>
          <w:sz w:val="12"/>
        </w:rPr>
        <w:t xml:space="preserve"> | AO 1.773</w:t>
      </w:r>
      <w:r>
        <w:rPr>
          <w:color w:val="003CA0"/>
          <w:sz w:val="12"/>
        </w:rPr>
        <w:t xml:space="preserve"> | rel. Luiz Fux</w:t>
      </w:r>
    </w:p>
    <w:p>
      <w:pPr>
        <w:ind w:left="288"/>
      </w:pPr>
      <w:r>
        <w:rPr>
          <w:color w:val="1E1E1E"/>
          <w:sz w:val="18"/>
        </w:rPr>
        <w:t>Magistratura e Ministério Público. Simetria constitucional entre carreiras. Ajuda de custo para fins de moradia. Art. 65, II, da LOMAN (LC nº 35/79). Art. 227, VII, da Lei Complementar nº 75/1993 e art. 50, II, da Lei nº 8.625/1993. Extensão aos membros do MP. Necessidade de garantia de um padrão simétrico entre as carreiras de Estado. Modificações no contexto fático-jurídico. Novo cenário orçamentário. Promulgação de leis que garantem a recomposição parcial da inflação de 16,38% nos subsídios dos membros do STF e do Procurador-geral da República. Lei n.º 13.752/2018 e Lei n.º 13.753/2018. Nov</w:t>
      </w:r>
    </w:p>
    <w:p>
      <w:pPr>
        <w:ind w:left="288"/>
      </w:pPr>
      <w:r>
        <w:rPr>
          <w:b/>
          <w:color w:val="003CA0"/>
          <w:sz w:val="16"/>
        </w:rPr>
        <w:t>[AO 1.773, rel. min. Luiz Fux, j. 26-11-2018, dec. monocrática, DJE de 28-11-2018.]</w:t>
      </w:r>
    </w:p>
    <w:p>
      <w:pPr>
        <w:ind w:left="288"/>
      </w:pPr>
      <w:r>
        <w:rPr>
          <w:color w:val="8C8C8C"/>
          <w:sz w:val="12"/>
        </w:rPr>
        <w:t>cf-art-129-par-2</w:t>
      </w:r>
      <w:r>
        <w:rPr>
          <w:color w:val="003CA0"/>
          <w:sz w:val="12"/>
        </w:rPr>
        <w:t xml:space="preserve"> | MS 25.838</w:t>
      </w:r>
      <w:r>
        <w:rPr>
          <w:color w:val="003CA0"/>
          <w:sz w:val="12"/>
        </w:rPr>
        <w:t xml:space="preserve"> | rel. Teori Zavascki</w:t>
      </w:r>
    </w:p>
    <w:p>
      <w:pPr>
        <w:ind w:left="288"/>
      </w:pPr>
      <w:r>
        <w:rPr>
          <w:color w:val="1E1E1E"/>
          <w:sz w:val="18"/>
        </w:rPr>
        <w:t>(...) a Portaria/PGR 495/1995 extrapolou os limites do art. 227, VIII, da LC 75/1993. Esse comando normativo é claro ao estabelecer o direito ao auxílio-moradia apenas aos membros do MPU lotados "em local em cujas condições de moradia sejam particularmente difíceis ou onerosas", delegando ao PGR apenas a atribuição para definir os locais cuja lotação ensejaria o pagamento do benefício. Ao contrário do que argumenta a impetrante, o dispositivo legal não prevê a possibilidade de que ato do chefe do MPU estabeleça outros casos de concessão de auxílio-moradia. A "promoção com deslocamento" para as</w:t>
      </w:r>
    </w:p>
    <w:p>
      <w:pPr>
        <w:ind w:left="288"/>
      </w:pPr>
      <w:r>
        <w:rPr>
          <w:b/>
          <w:color w:val="003CA0"/>
          <w:sz w:val="16"/>
        </w:rPr>
        <w:t>[MS 25.838, voto do rel. min. Teori Zavascki, j. 29-9-2015, 2ª T, DJE de 13-10-2015.]</w:t>
      </w:r>
    </w:p>
    <w:p>
      <w:pPr>
        <w:ind w:left="288"/>
      </w:pPr>
      <w:r>
        <w:rPr>
          <w:color w:val="8C8C8C"/>
          <w:sz w:val="12"/>
        </w:rPr>
        <w:t>cf-art-129-par-2</w:t>
      </w:r>
      <w:r>
        <w:rPr>
          <w:color w:val="003CA0"/>
          <w:sz w:val="12"/>
        </w:rPr>
        <w:t xml:space="preserve"> | ADI 6.799</w:t>
      </w:r>
      <w:r>
        <w:rPr>
          <w:color w:val="003CA0"/>
          <w:sz w:val="12"/>
        </w:rPr>
        <w:t xml:space="preserve"> | rel. Cristiano Zanin</w:t>
      </w:r>
    </w:p>
    <w:p>
      <w:pPr>
        <w:ind w:left="288"/>
      </w:pPr>
      <w:r>
        <w:rPr>
          <w:color w:val="1E1E1E"/>
          <w:sz w:val="18"/>
        </w:rPr>
        <w:t>§ 3º O ingresso na carreira do Ministério Público far-se-á mediante concurso público de provas e títulos, assegurada a participação da Ordem dos Advogados do Brasil em sua realização, exigindo-se do bacharel em direito, no mínimo, três anos de atividade jurídica e observando-se, nas nomeações, a ordem de classificação. (Redação da EC 45/2004) “É inconstitucional lei estadual que fixa idade máxima para ingresso na carreira do Ministério Público, sem a necessária vinculação à natureza das atribuições do cargo”.</w:t>
      </w:r>
    </w:p>
    <w:p>
      <w:pPr>
        <w:ind w:left="288"/>
      </w:pPr>
      <w:r>
        <w:rPr>
          <w:b/>
          <w:color w:val="003CA0"/>
          <w:sz w:val="16"/>
        </w:rPr>
        <w:t>[ADI 6.799, rel. min. Cristiano Zanin, j. 26.05.2025, P, DJE de 04.06.2025.]</w:t>
      </w:r>
    </w:p>
    <w:p>
      <w:pPr>
        <w:ind w:left="144"/>
      </w:pPr>
      <w:r>
        <w:rPr>
          <w:b/>
          <w:color w:val="B45A00"/>
          <w:sz w:val="16"/>
        </w:rPr>
        <w:t>CONTROLE CONCENTRADO</w:t>
      </w:r>
    </w:p>
    <w:p>
      <w:pPr>
        <w:ind w:left="288"/>
      </w:pPr>
      <w:r>
        <w:rPr>
          <w:color w:val="8C8C8C"/>
          <w:sz w:val="12"/>
        </w:rPr>
        <w:t>cf-art-129-par-2</w:t>
      </w:r>
      <w:r>
        <w:rPr>
          <w:color w:val="003CA0"/>
          <w:sz w:val="12"/>
        </w:rPr>
        <w:t xml:space="preserve"> | ADI 2.611</w:t>
      </w:r>
      <w:r>
        <w:rPr>
          <w:color w:val="003CA0"/>
          <w:sz w:val="12"/>
        </w:rPr>
        <w:t xml:space="preserve"> | rel. Rosa Weber</w:t>
      </w:r>
    </w:p>
    <w:p>
      <w:pPr>
        <w:ind w:left="288"/>
      </w:pPr>
      <w:r>
        <w:rPr>
          <w:color w:val="1E1E1E"/>
          <w:sz w:val="18"/>
        </w:rPr>
        <w:t>Prevê o artigo 67 da LONMP que ‘a reversão dar-se-á na entrância em que se aposentou o membro do Ministério Público, em vaga a ser provida pelo critério de merecimento, observados os requisitos legais’. A reversão é forma de provimento derivado por reingresso, que pressupõe a prévia aprovação em concurso público com posterior aposentadoria: é especificamente voltada ao servidor inativo. A LONMP previu um singular instituto administrativo de provimento de cargo público com observância dos requisitos legais. Permanece a sua natureza de ato vinculado. Ausência de inconstitucionalidade.</w:t>
      </w:r>
    </w:p>
    <w:p>
      <w:pPr>
        <w:ind w:left="288"/>
      </w:pPr>
      <w:r>
        <w:rPr>
          <w:b/>
          <w:color w:val="003CA0"/>
          <w:sz w:val="16"/>
        </w:rPr>
        <w:t>[ADI 2.611, rel. min. Rosa Weber, j. 7-12-2020, P, DJE de 18-1-2021.]</w:t>
      </w:r>
    </w:p>
    <w:p>
      <w:pPr>
        <w:ind w:left="288"/>
      </w:pPr>
      <w:r>
        <w:rPr>
          <w:color w:val="8C8C8C"/>
          <w:sz w:val="12"/>
        </w:rPr>
        <w:t>cf-art-129-par-2</w:t>
      </w:r>
      <w:r>
        <w:rPr>
          <w:color w:val="003CA0"/>
          <w:sz w:val="12"/>
        </w:rPr>
        <w:t xml:space="preserve"> | ADI 4.219</w:t>
      </w:r>
    </w:p>
    <w:p>
      <w:pPr>
        <w:ind w:left="288"/>
      </w:pPr>
      <w:r>
        <w:rPr>
          <w:color w:val="1E1E1E"/>
          <w:sz w:val="18"/>
        </w:rPr>
        <w:t>Concurso público. Prática forense. 129, §3º da Constituição da República. Atividade jurídica. Inexistência de hierarquia entre saberes práticos e teóricos. Possibilidade de comprovação do triênio constitucional com cursos de pós-graduação. (...) O sintagma “atividade jurídica”, constante do art. 129, §3º, da Constituição da República, não estabelece hierarquia entre as formas prática e teórica de aquisição de conhecimento, exigindo apenas atividade que suceda o curso de direito e o pressuponha como condição de possibilidade. Em sua função regulamentadora, o Conselho Nacional do Ministério Públ</w:t>
      </w:r>
    </w:p>
    <w:p>
      <w:pPr>
        <w:ind w:left="288"/>
      </w:pPr>
      <w:r>
        <w:rPr>
          <w:b/>
          <w:color w:val="003CA0"/>
          <w:sz w:val="16"/>
        </w:rPr>
        <w:t>[ADI 4.219, red. do ac. min. Edson Fachin, j. 5-8-2020, P, DJE de 29-9-2020.]</w:t>
      </w:r>
    </w:p>
    <w:p>
      <w:pPr>
        <w:ind w:left="288"/>
      </w:pPr>
      <w:r>
        <w:rPr>
          <w:color w:val="8C8C8C"/>
          <w:sz w:val="12"/>
        </w:rPr>
        <w:t>cf-art-129-par-2</w:t>
      </w:r>
      <w:r>
        <w:rPr>
          <w:color w:val="003CA0"/>
          <w:sz w:val="12"/>
        </w:rPr>
        <w:t xml:space="preserve"> | ADI 2.958</w:t>
      </w:r>
      <w:r>
        <w:rPr>
          <w:color w:val="003CA0"/>
          <w:sz w:val="12"/>
        </w:rPr>
        <w:t xml:space="preserve"> | rel. Gilmar Mendes</w:t>
      </w:r>
    </w:p>
    <w:p>
      <w:pPr>
        <w:ind w:left="288"/>
      </w:pPr>
      <w:r>
        <w:rPr>
          <w:color w:val="1E1E1E"/>
          <w:sz w:val="18"/>
        </w:rPr>
        <w:t>Provimento 6/2000 da Corregedoria Geral de Justiça do Estado de Santa Catarina. Faculdade de nomeação, pelo juiz da comarca, de bacharel em direito alheio aos quadros do Ministério Público, para funcionar como órgão acusatório penal. Impossibilidade. Ofende o princípio do promotor natural e a exclusividade da promoção da ação penal pública pelo Ministério Público a designação de particular como promotor ad hoc.</w:t>
      </w:r>
    </w:p>
    <w:p>
      <w:pPr>
        <w:ind w:left="288"/>
      </w:pPr>
      <w:r>
        <w:rPr>
          <w:b/>
          <w:color w:val="003CA0"/>
          <w:sz w:val="16"/>
        </w:rPr>
        <w:t>[ADI 2.958, rel. min. Gilmar Mendes, j. 27-9-2019, P, DJE de 16-10-2019.]</w:t>
      </w:r>
    </w:p>
    <w:p>
      <w:pPr>
        <w:ind w:left="288"/>
      </w:pPr>
      <w:r>
        <w:rPr>
          <w:color w:val="8C8C8C"/>
          <w:sz w:val="12"/>
        </w:rPr>
        <w:t>cf-art-129-par-2</w:t>
      </w:r>
      <w:r>
        <w:rPr>
          <w:color w:val="003CA0"/>
          <w:sz w:val="12"/>
        </w:rPr>
        <w:t xml:space="preserve"> | ADI 3.460</w:t>
      </w:r>
      <w:r>
        <w:rPr>
          <w:color w:val="003CA0"/>
          <w:sz w:val="12"/>
        </w:rPr>
        <w:t xml:space="preserve"> | rel. Ayres Britto</w:t>
      </w:r>
    </w:p>
    <w:p>
      <w:pPr>
        <w:ind w:left="288"/>
      </w:pPr>
      <w:r>
        <w:rPr>
          <w:color w:val="1E1E1E"/>
          <w:sz w:val="18"/>
        </w:rPr>
        <w:t>Constitucional. Ação direta de inconstitucionalidade. Art. 7º, caput e parágrafo único, da Resolução 35/2002, com a redação dada pelo art. 1º da Resolução 55/2004, do Conselho Superior do MPDFT. A norma impugnada veio atender ao objetivo da EC 45/2004 de recrutar, com mais rígidos critérios de seletividade técnico-profissional, os pretendentes à carreira ministerial pública. Os três anos de atividade jurídica contam-se da data da conclusão do curso de Direito e o fraseado "atividade jurídica" é significante de atividade para cujo desempenho se faz imprescindível a conclusão de curso de bachare</w:t>
      </w:r>
    </w:p>
    <w:p>
      <w:pPr>
        <w:ind w:left="144"/>
      </w:pPr>
      <w:r>
        <w:rPr>
          <w:b/>
          <w:color w:val="B45A00"/>
          <w:sz w:val="16"/>
        </w:rPr>
        <w:t>JULGADOS CORRELATOS</w:t>
      </w:r>
    </w:p>
    <w:p>
      <w:pPr>
        <w:ind w:left="288"/>
      </w:pPr>
      <w:r>
        <w:rPr>
          <w:color w:val="8C8C8C"/>
          <w:sz w:val="12"/>
        </w:rPr>
        <w:t>cf-art-129-par-2</w:t>
      </w:r>
      <w:r>
        <w:rPr>
          <w:color w:val="003CA0"/>
          <w:sz w:val="12"/>
        </w:rPr>
        <w:t xml:space="preserve"> | MS 27.601</w:t>
      </w:r>
      <w:r>
        <w:rPr>
          <w:color w:val="003CA0"/>
          <w:sz w:val="12"/>
        </w:rPr>
        <w:t xml:space="preserve"> | rel. Marco Aurélio</w:t>
      </w:r>
    </w:p>
    <w:p>
      <w:pPr>
        <w:ind w:left="288"/>
      </w:pPr>
      <w:r>
        <w:rPr>
          <w:color w:val="1E1E1E"/>
          <w:sz w:val="18"/>
        </w:rPr>
        <w:t>Concurso. Atividade jurídica. Especificidade. Art. 129, § 3º, da CF. Alcance. A expressão "três anos de atividade jurídica", contida no art. 129 da CF, não encerra vinculação a atividade privativa de bacharel em direito.</w:t>
      </w:r>
    </w:p>
    <w:p>
      <w:pPr>
        <w:ind w:left="288"/>
      </w:pPr>
      <w:r>
        <w:rPr>
          <w:b/>
          <w:color w:val="003CA0"/>
          <w:sz w:val="16"/>
        </w:rPr>
        <w:t>[MS 27.601, rel. min. Marco Aurélio, j. 22-9-2015, 1ª T, DJE de 17-11-2015.]</w:t>
      </w:r>
    </w:p>
    <w:p>
      <w:pPr>
        <w:ind w:left="288"/>
      </w:pPr>
      <w:r>
        <w:rPr>
          <w:color w:val="8C8C8C"/>
          <w:sz w:val="12"/>
        </w:rPr>
        <w:t>cf-art-129-par-2</w:t>
      </w:r>
      <w:r>
        <w:rPr>
          <w:color w:val="003CA0"/>
          <w:sz w:val="12"/>
        </w:rPr>
        <w:t xml:space="preserve"> | MS 32.176</w:t>
      </w:r>
      <w:r>
        <w:rPr>
          <w:color w:val="003CA0"/>
          <w:sz w:val="12"/>
        </w:rPr>
        <w:t xml:space="preserve"> | rel. Dias Toffoli</w:t>
      </w:r>
    </w:p>
    <w:p>
      <w:pPr>
        <w:ind w:left="288"/>
      </w:pPr>
      <w:r>
        <w:rPr>
          <w:color w:val="1E1E1E"/>
          <w:sz w:val="18"/>
        </w:rPr>
        <w:t>A competência de órgãos internos do Ministério Público do Estado do Ceará se restringe ao controle de legalidade de concurso público, ficando resguardada a competência da comissão do concurso, integrada por representante da OAB, para decidir quanto ao conteúdo da prova e ao mérito das questões.</w:t>
      </w:r>
    </w:p>
    <w:p>
      <w:pPr>
        <w:ind w:left="288"/>
      </w:pPr>
      <w:r>
        <w:rPr>
          <w:b/>
          <w:color w:val="003CA0"/>
          <w:sz w:val="16"/>
        </w:rPr>
        <w:t>[MS 32.176, rel. min. Dias Toffoli, j. 18-3-2014, 1ª T, DJE de 14-4-2014.]</w:t>
      </w:r>
    </w:p>
    <w:p>
      <w:pPr>
        <w:ind w:left="288"/>
      </w:pPr>
      <w:r>
        <w:rPr>
          <w:color w:val="8C8C8C"/>
          <w:sz w:val="12"/>
        </w:rPr>
        <w:t>cf-art-129-par-2</w:t>
      </w:r>
      <w:r>
        <w:rPr>
          <w:color w:val="003CA0"/>
          <w:sz w:val="12"/>
        </w:rPr>
        <w:t xml:space="preserve"> | ADI 3.460</w:t>
      </w:r>
      <w:r>
        <w:rPr>
          <w:color w:val="003CA0"/>
          <w:sz w:val="12"/>
        </w:rPr>
        <w:t xml:space="preserve"> | rel. Carlos Britto (DJ de 15-6-2007)</w:t>
      </w:r>
    </w:p>
    <w:p>
      <w:pPr>
        <w:ind w:left="288"/>
      </w:pPr>
      <w:r>
        <w:rPr>
          <w:color w:val="1E1E1E"/>
          <w:sz w:val="18"/>
        </w:rPr>
        <w:t>Comprovação de atividade jurídica para o concurso do MPF. Peculiaridades do caso. A interpretação do art. 129, § 3º, da Constituição foi claramente estabelecida pela Suprema Corte no julgamento da ADI 3.460, rel. min. Carlos Britto (DJ de 15-6-2007), de acordo com o qual (i) os três anos de atividade jurídica pressupõem a conclusão do curso de bacharelado em Direito e (ii) a comprovação desse requisito deve ocorrer na data da inscrição no concurso e não em momento posterior. O ato coator tomou como termo inicial da atividade jurídica do impetrante a sua inscrição na OAB, o que é correto, porqu</w:t>
      </w:r>
    </w:p>
    <w:p>
      <w:pPr>
        <w:ind w:left="288"/>
      </w:pPr>
      <w:r>
        <w:rPr>
          <w:b/>
          <w:color w:val="003CA0"/>
          <w:sz w:val="16"/>
        </w:rPr>
        <w:t>[MS 26.681, rel. min. Menezes Direito, j. 26-11-2008, P, DJE de 17-4-2009.]</w:t>
      </w:r>
    </w:p>
    <w:p>
      <w:pPr>
        <w:ind w:left="288"/>
      </w:pPr>
      <w:r>
        <w:rPr>
          <w:color w:val="8C8C8C"/>
          <w:sz w:val="12"/>
        </w:rPr>
        <w:t>cf-art-129-par-2</w:t>
      </w:r>
      <w:r>
        <w:rPr>
          <w:color w:val="003CA0"/>
          <w:sz w:val="12"/>
        </w:rPr>
        <w:t xml:space="preserve"> | MS 27.604</w:t>
      </w:r>
      <w:r>
        <w:rPr>
          <w:color w:val="003CA0"/>
          <w:sz w:val="12"/>
        </w:rPr>
        <w:t xml:space="preserve"> | rel. Ayres Britto</w:t>
      </w:r>
    </w:p>
    <w:p>
      <w:pPr>
        <w:ind w:left="288"/>
      </w:pPr>
      <w:r>
        <w:rPr>
          <w:color w:val="1E1E1E"/>
          <w:sz w:val="18"/>
        </w:rPr>
        <w:t xml:space="preserve">= MS 27.604, rel. min. Ayres Britto, j. 6-10-2010, P, DJE de 9-2-2011 Vide ADI 3.460, rel. min. Ayres Britto, j. 31-8-2006, P, DJ de 15-6-2007 A ausência de regras de transição para disciplinar situações fáticas não abrangidas pelo novo regime jurídico instituído por emenda constitucional demanda a análise de cada caso concreto à luz do direito enquanto totalidade. O Ministério Público nacional é uno (art. 128, I e II, da CF), compondo-se do MPU e dos Ministérios Públicos dos Estados. (...) A circunstância de a impetrante, promotora de justiça no Estado do Paraná, exercer funções delegadas do </w:t>
      </w:r>
    </w:p>
    <w:p>
      <w:pPr>
        <w:ind w:left="288"/>
      </w:pPr>
      <w:r>
        <w:rPr>
          <w:b/>
          <w:color w:val="003CA0"/>
          <w:sz w:val="16"/>
        </w:rPr>
        <w:t>[MS 26.690, rel. min. Eros Grau, j. 3-9-2008, P, DJE de 19-12-2008.]</w:t>
      </w:r>
    </w:p>
    <w:p>
      <w:pPr>
        <w:ind w:left="288"/>
      </w:pPr>
      <w:r>
        <w:rPr>
          <w:color w:val="8C8C8C"/>
          <w:sz w:val="12"/>
        </w:rPr>
        <w:t>cf-art-129-par-2</w:t>
      </w:r>
      <w:r>
        <w:rPr>
          <w:color w:val="003CA0"/>
          <w:sz w:val="12"/>
        </w:rPr>
        <w:t xml:space="preserve"> | MS 26.682</w:t>
      </w:r>
      <w:r>
        <w:rPr>
          <w:color w:val="003CA0"/>
          <w:sz w:val="12"/>
        </w:rPr>
        <w:t xml:space="preserve"> | rel. Cezar Peluso</w:t>
      </w:r>
    </w:p>
    <w:p>
      <w:pPr>
        <w:ind w:left="288"/>
      </w:pPr>
      <w:r>
        <w:rPr>
          <w:color w:val="1E1E1E"/>
          <w:sz w:val="18"/>
        </w:rPr>
        <w:t>Servidor público. Concurso público. Cargo público. MPF. Requisito de tempo de atividade jurídica na condição de bacharel em Direito. Contagem da data de conclusão do curso, não da colação de grau. Cômputo do tempo de curso de pós-graduação na área jurídica. Aplicação do art. 1º, parágrafo único, da Resolução 4/2006 do CNMP. Escola da Magistratura do RJ. Direito líquido e certo reconhecido. Liminar confirmada. Concessão de mandado de segurança. Precedente. Inteligência do art. 129, § 3º, da CF. Os três anos de atividade jurídica exigidos ao candidato para inscrição definitiva em concurso de ing</w:t>
      </w:r>
    </w:p>
    <w:p>
      <w:pPr>
        <w:ind w:left="288"/>
      </w:pPr>
      <w:r>
        <w:rPr>
          <w:b/>
          <w:color w:val="003CA0"/>
          <w:sz w:val="16"/>
        </w:rPr>
        <w:t>[MS 26.682, rel. min. Cezar Peluso, j. 15-5-2008, P, DJE de 27-6-2008.]</w:t>
      </w:r>
    </w:p>
    <w:p>
      <w:pPr>
        <w:ind w:left="288"/>
      </w:pPr>
      <w:r>
        <w:rPr>
          <w:color w:val="8C8C8C"/>
          <w:sz w:val="12"/>
        </w:rPr>
        <w:t>cf-art-129-par-2</w:t>
      </w:r>
      <w:r>
        <w:rPr>
          <w:color w:val="003CA0"/>
          <w:sz w:val="12"/>
        </w:rPr>
        <w:t xml:space="preserve"> | MS 27.158</w:t>
      </w:r>
      <w:r>
        <w:rPr>
          <w:color w:val="003CA0"/>
          <w:sz w:val="12"/>
        </w:rPr>
        <w:t xml:space="preserve"> | rel. Gilmar Mendes</w:t>
      </w:r>
    </w:p>
    <w:p>
      <w:pPr>
        <w:ind w:left="288"/>
      </w:pPr>
      <w:r>
        <w:rPr>
          <w:color w:val="1E1E1E"/>
          <w:sz w:val="18"/>
        </w:rPr>
        <w:t>Violação do princípio da igualdade: decisões monocráticas divergentes no âmbito do STF. Ato do PGR que cancelou a inscrição preliminar do impetrante no 24º concurso público para provimento de cargos de procurador da República. Não preenchimento da exigência de prática jurídica em cargo ocupado exclusivamente por bacharel em Direito. Entendimento ainda não consolidado por esta Corte. Ausência dos requisitos autorizadores da medida liminar.</w:t>
      </w:r>
    </w:p>
    <w:p>
      <w:pPr>
        <w:ind w:left="288"/>
      </w:pPr>
      <w:r>
        <w:rPr>
          <w:b/>
          <w:color w:val="003CA0"/>
          <w:sz w:val="16"/>
        </w:rPr>
        <w:t>[MS 27.158 MC-QO, rel. min. Gilmar Mendes, j. 21-2-2008, P, DJE de 2-5-2008.]</w:t>
      </w:r>
    </w:p>
    <w:p>
      <w:pPr>
        <w:ind w:left="288"/>
      </w:pPr>
      <w:r>
        <w:rPr>
          <w:color w:val="8C8C8C"/>
          <w:sz w:val="12"/>
        </w:rPr>
        <w:t>cf-art-129-par-2</w:t>
      </w:r>
      <w:r>
        <w:rPr>
          <w:color w:val="003CA0"/>
          <w:sz w:val="12"/>
        </w:rPr>
        <w:t xml:space="preserve"> | ADI 3.460</w:t>
      </w:r>
      <w:r>
        <w:rPr>
          <w:color w:val="003CA0"/>
          <w:sz w:val="12"/>
        </w:rPr>
        <w:t xml:space="preserve"> | rel. Ayres Britto</w:t>
      </w:r>
    </w:p>
    <w:p>
      <w:pPr>
        <w:ind w:left="288"/>
      </w:pPr>
      <w:r>
        <w:rPr>
          <w:color w:val="1E1E1E"/>
          <w:sz w:val="18"/>
        </w:rPr>
        <w:t>Vide ADI 3.460, rel. min. Ayres Britto, j. 31-8-2006, P, DJ de 15-6-2007 O art. 187 da LC 75/1993 exige dois anos de bacharelado em Direito como requisito para inscrição em concurso público para ingresso na carreira do MPU. Impugnado na ADI 1.040, esse dispositivo foi considerado compatível com a CF. O juiz de primeiro grau afastou a referida exigência, sob a alegação de que a superveniência da EC 45/2004 retirou a eficácia da decisão proferida por este STF na ADI 1.040. A mencionada EC 45/2004 não fez cessar a eficácia da decisão prolatada na ADI 1.040, pois, ao estabelecer a exigência de trê</w:t>
      </w:r>
    </w:p>
    <w:p>
      <w:pPr>
        <w:ind w:left="288"/>
      </w:pPr>
      <w:r>
        <w:rPr>
          <w:b/>
          <w:color w:val="003CA0"/>
          <w:sz w:val="16"/>
        </w:rPr>
        <w:t>[Rcl 3.932, rel. min. Ayres Britto, j. 21-11-2007, P, DJE de 9-10-2009.]</w:t>
      </w:r>
    </w:p>
    <w:p>
      <w:pPr>
        <w:ind w:left="288"/>
      </w:pPr>
      <w:r>
        <w:rPr>
          <w:color w:val="8C8C8C"/>
          <w:sz w:val="12"/>
        </w:rPr>
        <w:t>cf-art-129-par-4</w:t>
      </w:r>
      <w:r>
        <w:rPr>
          <w:color w:val="003CA0"/>
          <w:sz w:val="12"/>
        </w:rPr>
        <w:t xml:space="preserve"> | ADI 7.289</w:t>
      </w:r>
      <w:r>
        <w:rPr>
          <w:color w:val="003CA0"/>
          <w:sz w:val="12"/>
        </w:rPr>
        <w:t xml:space="preserve"> | rel. André Mendonça</w:t>
      </w:r>
    </w:p>
    <w:p>
      <w:pPr>
        <w:ind w:left="288"/>
      </w:pPr>
      <w:r>
        <w:rPr>
          <w:color w:val="1E1E1E"/>
          <w:sz w:val="18"/>
        </w:rPr>
        <w:t>A Lei nº 8.625/1993 (LONMP) disciplina os critérios de promoção e remoção dos membros do Ministério Público, sem prever o maior tempo “na Administração Pública estadual, federal, municipal” como critério de desempate, razão pela qual a norma estadual impugnada extrapola os limites da competência legislativa dos estados, incorrendo em inconstitucionalidade formal. O critério de maior tempo “na Administração Pública estadual, federal, municipal” para fins de desempate na promoção de membros do Ministério Público cria distinção indevida entre candidatos com tempo equivalente na carreira, afrontan</w:t>
      </w:r>
    </w:p>
    <w:p>
      <w:pPr>
        <w:ind w:left="288"/>
      </w:pPr>
      <w:r>
        <w:rPr>
          <w:b/>
          <w:color w:val="003CA0"/>
          <w:sz w:val="16"/>
        </w:rPr>
        <w:t>[ADI 7.289, rel. min. André Mendonça, j. 07.05.2025, P, DJE de 19.05.2025.]</w:t>
      </w:r>
    </w:p>
    <w:p>
      <w:pPr>
        <w:ind w:left="144"/>
      </w:pPr>
      <w:r>
        <w:rPr>
          <w:b/>
          <w:color w:val="B45A00"/>
          <w:sz w:val="16"/>
        </w:rPr>
        <w:t>CONTROLE CONCENTRADO</w:t>
      </w:r>
    </w:p>
    <w:p>
      <w:pPr>
        <w:ind w:left="288"/>
      </w:pPr>
      <w:r>
        <w:rPr>
          <w:color w:val="8C8C8C"/>
          <w:sz w:val="12"/>
        </w:rPr>
        <w:t>cf-art-129-par-4</w:t>
      </w:r>
      <w:r>
        <w:rPr>
          <w:color w:val="003CA0"/>
          <w:sz w:val="12"/>
        </w:rPr>
        <w:t xml:space="preserve"> | ADI 7.286</w:t>
      </w:r>
      <w:r>
        <w:rPr>
          <w:color w:val="003CA0"/>
          <w:sz w:val="12"/>
        </w:rPr>
        <w:t xml:space="preserve"> | rel. Cármen Lúcia</w:t>
      </w:r>
    </w:p>
    <w:p>
      <w:pPr>
        <w:ind w:left="288"/>
      </w:pPr>
      <w:r>
        <w:rPr>
          <w:color w:val="1E1E1E"/>
          <w:sz w:val="18"/>
        </w:rPr>
        <w:t>Als. c e d do § 2º do art. 122 da Lei Complementar n. 11/1996, da Bahia. Critérios de desempate na promoção e remoção de membro do Ministério Público Estadual por antiguidade. Inobservância dos critérios estabelecidos na Lei Orgânica do Ministério Público. Impossibilidade de reconhecimento do número de filhos ou do tempo de serviço público.</w:t>
        <w:br/>
        <w:t>[ADI 7.286, rel. min. Cármen Lúcia, j. 13-6-2023, P, DJE de 20-6-2023.] A Lei Orgânica do Ministério Público do Estado de Goiás previu a figura da remoção interna, como procedimento anterior à remoção tratada nos art. 62 e 63 da LONMP, estabelecendo critéri</w:t>
      </w:r>
    </w:p>
    <w:p>
      <w:pPr>
        <w:ind w:left="288"/>
      </w:pPr>
      <w:r>
        <w:rPr>
          <w:b/>
          <w:color w:val="003CA0"/>
          <w:sz w:val="16"/>
        </w:rPr>
        <w:t>[ADI 5.490, rel. min. Cármen Lúcia, j. 20-11-2019, P, DJE de 9-12-2019.]</w:t>
      </w:r>
    </w:p>
    <w:p>
      <w:pPr>
        <w:ind w:left="288"/>
      </w:pPr>
      <w:r>
        <w:rPr>
          <w:color w:val="8C8C8C"/>
          <w:sz w:val="12"/>
        </w:rPr>
        <w:t>cf-art-129-par-4</w:t>
      </w:r>
      <w:r>
        <w:rPr>
          <w:color w:val="003CA0"/>
          <w:sz w:val="12"/>
        </w:rPr>
        <w:t xml:space="preserve"> | ADI 1.283</w:t>
      </w:r>
      <w:r>
        <w:rPr>
          <w:color w:val="003CA0"/>
          <w:sz w:val="12"/>
        </w:rPr>
        <w:t xml:space="preserve"> | rel. Roberto Barroso</w:t>
      </w:r>
    </w:p>
    <w:p>
      <w:pPr>
        <w:ind w:left="288"/>
      </w:pPr>
      <w:r>
        <w:rPr>
          <w:color w:val="1E1E1E"/>
          <w:sz w:val="18"/>
        </w:rPr>
        <w:t>Lei Orgânica Nacional do Ministério Público. Regra particular e transitória sobre remoção. Constitucionalidade. Lei que determinou a criação, no prazo de um ano da sua promulgação, de cargos correspondentes a funções não atribuídas aos cargos existentes na estrutura do Ministério Público, e que estabeleceu a preferência dos promotores que já desempenhassem tais funções para fins de preenchimento dos novos cargos, por meio dos pertinentes concursos de remoção (Lei 8.652/1993, art. 76). A remoção é instituto diverso da promoção. Descabimento da pretensão de aplicação obrigatória dos mesmos crité</w:t>
      </w:r>
    </w:p>
    <w:p>
      <w:pPr>
        <w:ind w:left="288"/>
      </w:pPr>
      <w:r>
        <w:rPr>
          <w:b/>
          <w:color w:val="003CA0"/>
          <w:sz w:val="16"/>
        </w:rPr>
        <w:t>[ADI 1.283, rel. min. Roberto Barroso, j. 19-12-2018, P, DJE de 25-2-2019.]</w:t>
      </w:r>
    </w:p>
    <w:p>
      <w:pPr>
        <w:ind w:left="288"/>
      </w:pPr>
      <w:r>
        <w:rPr>
          <w:color w:val="8C8C8C"/>
          <w:sz w:val="12"/>
        </w:rPr>
        <w:t>cf-art-129-par-4</w:t>
      </w:r>
      <w:r>
        <w:rPr>
          <w:color w:val="003CA0"/>
          <w:sz w:val="12"/>
        </w:rPr>
        <w:t xml:space="preserve"> | ADI 3.220</w:t>
      </w:r>
      <w:r>
        <w:rPr>
          <w:color w:val="003CA0"/>
          <w:sz w:val="12"/>
        </w:rPr>
        <w:t xml:space="preserve"> | rel. Ayres Britto</w:t>
      </w:r>
    </w:p>
    <w:p>
      <w:pPr>
        <w:ind w:left="288"/>
      </w:pPr>
      <w:r>
        <w:rPr>
          <w:color w:val="1E1E1E"/>
          <w:sz w:val="18"/>
        </w:rPr>
        <w:t>Conquanto a LC 102/2004, ao alterar a Lei Orgânica do Ministério Público do Estado do Paraná, tenha suprimido a exigência de os procuradores de justiça residirem na sede da procuradoria-geral de justiça, não se afigura que tal supressão possa conduzir ao juízo de inconstitucionalidade do diploma legal sob censura, porquanto a referida exigência já se faz presente no âmago da CF de 1988.</w:t>
      </w:r>
    </w:p>
    <w:p>
      <w:pPr>
        <w:ind w:left="288"/>
      </w:pPr>
      <w:r>
        <w:rPr>
          <w:b/>
          <w:color w:val="003CA0"/>
          <w:sz w:val="16"/>
        </w:rPr>
        <w:t>[ADI 3.220 MC, rel. min. Ayres Britto, j. 10-3-2005, P, DJ de 6-5-2005.]</w:t>
      </w:r>
    </w:p>
    <w:p>
      <w:pPr>
        <w:ind w:left="288"/>
      </w:pPr>
      <w:r>
        <w:rPr>
          <w:color w:val="8C8C8C"/>
          <w:sz w:val="12"/>
        </w:rPr>
        <w:t>cf-art-129-par-4</w:t>
      </w:r>
      <w:r>
        <w:rPr>
          <w:color w:val="003CA0"/>
          <w:sz w:val="12"/>
        </w:rPr>
        <w:t xml:space="preserve"> | ADI 994</w:t>
      </w:r>
      <w:r>
        <w:rPr>
          <w:color w:val="003CA0"/>
          <w:sz w:val="12"/>
        </w:rPr>
        <w:t xml:space="preserve"> | rel. Néri da Silveira</w:t>
      </w:r>
    </w:p>
    <w:p>
      <w:pPr>
        <w:ind w:left="288"/>
      </w:pPr>
      <w:r>
        <w:rPr>
          <w:color w:val="1E1E1E"/>
          <w:sz w:val="18"/>
        </w:rPr>
        <w:t>LC 75, de 20-5-1993, que dispõe sobre a organização, as atribuições e o estatuto do MPU, art. 231, § 3º. Aposentadoria ao membro do Ministério Público do sexo feminino, com proventos proporcionais, aos 25 anos de serviço. Alegação de ofensa ao art. 129, § 4º, c/c o art. 93, VI, ambos da CF. De referência à Magistratura e ao Ministério Público, há regime de aposentadoria voluntária, de explícito, previsto na Constituição (arts. 93, VI, e 129, § 4º). Não se contempla, aí, aposentadoria facultativa, com proventos proporcionais. A aposentadoria voluntária, aos trinta anos de serviço, para a magist</w:t>
      </w:r>
    </w:p>
    <w:p>
      <w:pPr>
        <w:ind w:left="288"/>
      </w:pPr>
      <w:r>
        <w:rPr>
          <w:b/>
          <w:color w:val="003CA0"/>
          <w:sz w:val="16"/>
        </w:rPr>
        <w:t>[ADI 994, rel. min. Néri da Silveira, j. 20-5-1993, P, DJ de 19-9-2003.]</w:t>
      </w:r>
    </w:p>
    <w:p>
      <w:pPr>
        <w:ind w:left="144"/>
      </w:pPr>
      <w:r>
        <w:rPr>
          <w:b/>
          <w:color w:val="B45A00"/>
          <w:sz w:val="16"/>
        </w:rPr>
        <w:t>JULGADOS CORRELATOS</w:t>
      </w:r>
    </w:p>
    <w:p>
      <w:pPr>
        <w:ind w:left="288"/>
      </w:pPr>
      <w:r>
        <w:rPr>
          <w:color w:val="8C8C8C"/>
          <w:sz w:val="12"/>
        </w:rPr>
        <w:t>cf-art-129-par-4</w:t>
      </w:r>
      <w:r>
        <w:rPr>
          <w:color w:val="003CA0"/>
          <w:sz w:val="12"/>
        </w:rPr>
        <w:t xml:space="preserve"> | MS 25.125</w:t>
      </w:r>
      <w:r>
        <w:rPr>
          <w:color w:val="003CA0"/>
          <w:sz w:val="12"/>
        </w:rPr>
        <w:t xml:space="preserve"> | rel. Dias Toffoli</w:t>
      </w:r>
    </w:p>
    <w:p>
      <w:pPr>
        <w:ind w:left="288"/>
      </w:pPr>
      <w:r>
        <w:rPr>
          <w:color w:val="1E1E1E"/>
          <w:sz w:val="18"/>
        </w:rPr>
        <w:t>Promoção por antiguidade. Decisão da procuradora-geral de Justiça Militar. Ratificação pelo Conselho de Assessoramento Superior do MPF. (...) Legislação omissa em relação ao fato de a promoção por antiguidade preceder à remoção, ou vice-versa. Necessária vinculação da administração pública às permissões legais, ante o princípio da legalidade. Procedimento adotado pelo MPU em casos semelhantes, fundamentado em regulamentação do Conselho Superior. Princípio da igualdade de tratamento jurídico. Inexistência de ato ilegal que assegure direito líquido e certo.</w:t>
      </w:r>
    </w:p>
    <w:p>
      <w:pPr>
        <w:ind w:left="288"/>
      </w:pPr>
      <w:r>
        <w:rPr>
          <w:b/>
          <w:color w:val="003CA0"/>
          <w:sz w:val="16"/>
        </w:rPr>
        <w:t>[MS 25.125, rel. min. Dias Toffoli, j. 28-8-2012, 1ª T, DJE de 21-9-2012.]</w:t>
      </w:r>
    </w:p>
    <w:p>
      <w:pPr>
        <w:ind w:left="288"/>
      </w:pPr>
      <w:r>
        <w:rPr>
          <w:color w:val="8C8C8C"/>
          <w:sz w:val="12"/>
        </w:rPr>
        <w:t>cf-art-129-par-4</w:t>
      </w:r>
      <w:r>
        <w:rPr>
          <w:color w:val="003CA0"/>
          <w:sz w:val="12"/>
        </w:rPr>
        <w:t xml:space="preserve"> | MS 26.264</w:t>
      </w:r>
      <w:r>
        <w:rPr>
          <w:color w:val="003CA0"/>
          <w:sz w:val="12"/>
        </w:rPr>
        <w:t xml:space="preserve"> | rel. Marco Aurélio</w:t>
      </w:r>
    </w:p>
    <w:p>
      <w:pPr>
        <w:ind w:left="288"/>
      </w:pPr>
      <w:r>
        <w:rPr>
          <w:color w:val="1E1E1E"/>
          <w:sz w:val="18"/>
        </w:rPr>
        <w:t>Surge harmônica com o arcabouço normativo e com a razoabilidade regra editada pelo Conselho Superior do MPF prevendo que, persistindo o empate no terceiro escrutínio, a lista tríplice será integrada pelo membro mais antigo envolvido no impasse, não sendo aplicável a norma do art. 56, § 1º, da LC 75/1993. (...) Há de fazer-se considerado o perfil profissional dos candidatos, aferindo-se o merecimento de cada qual.</w:t>
      </w:r>
    </w:p>
    <w:p>
      <w:pPr>
        <w:ind w:left="288"/>
      </w:pPr>
      <w:r>
        <w:rPr>
          <w:b/>
          <w:color w:val="003CA0"/>
          <w:sz w:val="16"/>
        </w:rPr>
        <w:t>[MS 26.264, rel. min. Marco Aurélio, j. 21-5-2007, P, DJ de 5-10-2007.]</w:t>
      </w:r>
    </w:p>
    <w:p>
      <w:pPr>
        <w:ind w:left="288"/>
      </w:pPr>
      <w:r>
        <w:rPr>
          <w:color w:val="8C8C8C"/>
          <w:sz w:val="12"/>
        </w:rPr>
        <w:t>cf-art-129-par-5</w:t>
      </w:r>
      <w:r>
        <w:rPr>
          <w:color w:val="003CA0"/>
          <w:sz w:val="12"/>
        </w:rPr>
        <w:t xml:space="preserve"> | AI 707.988</w:t>
      </w:r>
      <w:r>
        <w:rPr>
          <w:color w:val="003CA0"/>
          <w:sz w:val="12"/>
        </w:rPr>
        <w:t xml:space="preserve"> | rel. Cármen Lúcia</w:t>
      </w:r>
    </w:p>
    <w:p>
      <w:pPr>
        <w:ind w:left="288"/>
      </w:pPr>
      <w:r>
        <w:rPr>
          <w:color w:val="1E1E1E"/>
          <w:sz w:val="18"/>
        </w:rPr>
        <w:t>Agravo regimental no agravo de instrumento. Diversas formas de intimação do Ministério Público: considera-se a que primeiro ocorreu. Intempestividade: agravo regimental do qual não se conhece. A intimação pessoal do Ministério Público pode ocorrer por mandado ou pela entrega dos autos devidamente formalizada no setor administrativo do Ministério Público, sendo que, para efeitos de comprovação da tempestividade do recurso, admite-se, excepcionalmente, a "aposição do ciente". Ocorrendo a intimação pessoal por diversas formas, há de ser considerada, para a contagem dos prazos recursais, a que oco</w:t>
      </w:r>
    </w:p>
    <w:p>
      <w:pPr>
        <w:ind w:left="288"/>
      </w:pPr>
      <w:r>
        <w:rPr>
          <w:b/>
          <w:color w:val="003CA0"/>
          <w:sz w:val="16"/>
        </w:rPr>
        <w:t>[AI 707.988 AgR, rel. min. Cármen Lúcia, j. 12-8-2008, 1ª T, DJE de 19-9-2008.]</w:t>
      </w:r>
    </w:p>
    <w:p>
      <w:pPr>
        <w:ind w:left="288"/>
      </w:pPr>
      <w:r>
        <w:rPr>
          <w:color w:val="8C8C8C"/>
          <w:sz w:val="12"/>
        </w:rPr>
        <w:t>cf-art-129-par-5</w:t>
      </w:r>
      <w:r>
        <w:rPr>
          <w:color w:val="003CA0"/>
          <w:sz w:val="12"/>
        </w:rPr>
        <w:t xml:space="preserve"> | HC 99.540</w:t>
      </w:r>
      <w:r>
        <w:rPr>
          <w:color w:val="003CA0"/>
          <w:sz w:val="12"/>
        </w:rPr>
        <w:t xml:space="preserve"> | rel. Ellen Gracie</w:t>
      </w:r>
    </w:p>
    <w:p>
      <w:pPr>
        <w:ind w:left="288"/>
      </w:pPr>
      <w:r>
        <w:rPr>
          <w:color w:val="1E1E1E"/>
          <w:sz w:val="18"/>
        </w:rPr>
        <w:t>Vide HC 99.540, rel. min. Ellen Gracie, j. 4-5-2010, 2ª T, DJE de 21-5-2010 Vide HC 83.255, rel. min. Marco Aurélio, j. 5-11-2003, P, DJ de 12-3-2004</w:t>
      </w:r>
    </w:p>
    <w:p>
      <w:pPr>
        <w:ind w:left="720"/>
      </w:pPr>
      <w:r>
        <w:rPr>
          <w:color w:val="003366"/>
          <w:sz w:val="18"/>
        </w:rPr>
        <w:t>I – promover, privativamente, a ação penal pública, na forma da lei;</w:t>
      </w:r>
    </w:p>
    <w:p>
      <w:pPr>
        <w:ind w:left="720"/>
      </w:pPr>
      <w:r>
        <w:rPr>
          <w:color w:val="003366"/>
          <w:sz w:val="18"/>
        </w:rPr>
        <w:t>II – zelar pelo efetivo respeito dos Poderes Públicos e dos serviços de relevânc</w:t>
      </w:r>
    </w:p>
    <w:p>
      <w:pPr>
        <w:ind w:left="720"/>
      </w:pPr>
      <w:r>
        <w:rPr>
          <w:color w:val="003366"/>
          <w:sz w:val="18"/>
        </w:rPr>
        <w:t>III – promover o inquérito civil e a ação civil pública, para a proteção do patr</w:t>
      </w:r>
    </w:p>
    <w:p>
      <w:pPr>
        <w:ind w:left="720"/>
      </w:pPr>
      <w:r>
        <w:rPr>
          <w:color w:val="003366"/>
          <w:sz w:val="18"/>
        </w:rPr>
        <w:t>IV – promover a ação de inconstitucionalidade ou representação para fins de inte</w:t>
      </w:r>
    </w:p>
    <w:p>
      <w:pPr>
        <w:ind w:left="720"/>
      </w:pPr>
      <w:r>
        <w:rPr>
          <w:color w:val="003366"/>
          <w:sz w:val="18"/>
        </w:rPr>
        <w:t>V – defender judicialmente os direitos e interesses das populações indígenas;</w:t>
      </w:r>
    </w:p>
    <w:p>
      <w:pPr>
        <w:ind w:left="720"/>
      </w:pPr>
      <w:r>
        <w:rPr>
          <w:color w:val="003366"/>
          <w:sz w:val="18"/>
        </w:rPr>
        <w:t xml:space="preserve">VI – expedir notificações nos procedimentos administrativos de sua competência, </w:t>
      </w:r>
    </w:p>
    <w:p>
      <w:pPr>
        <w:ind w:left="720"/>
      </w:pPr>
      <w:r>
        <w:rPr>
          <w:color w:val="003366"/>
          <w:sz w:val="18"/>
        </w:rPr>
        <w:t>VII – exercer o controle externo da atividade policial, na forma da lei compleme</w:t>
      </w:r>
    </w:p>
    <w:p>
      <w:pPr>
        <w:ind w:left="720"/>
      </w:pPr>
      <w:r>
        <w:rPr>
          <w:color w:val="003366"/>
          <w:sz w:val="18"/>
        </w:rPr>
        <w:t>VIII – requisitar diligências investigatórias e a instauração de inquérito polic</w:t>
      </w:r>
    </w:p>
    <w:p>
      <w:pPr>
        <w:ind w:left="720"/>
      </w:pPr>
      <w:r>
        <w:rPr>
          <w:color w:val="003366"/>
          <w:sz w:val="18"/>
        </w:rPr>
        <w:t xml:space="preserve">IX – exercer outras funções que lhe forem conferidas, desde que compatíveis com </w:t>
      </w:r>
    </w:p>
    <w:p>
      <w:pPr>
        <w:ind w:left="432"/>
      </w:pPr>
      <w:r>
        <w:rPr>
          <w:color w:val="003366"/>
          <w:sz w:val="18"/>
        </w:rPr>
        <w:t>§ 1 A legitimação do Ministério Público para as ações civis previstas neste arti</w:t>
      </w:r>
    </w:p>
    <w:p>
      <w:pPr>
        <w:ind w:left="432"/>
      </w:pPr>
      <w:r>
        <w:rPr>
          <w:color w:val="003366"/>
          <w:sz w:val="18"/>
        </w:rPr>
        <w:t>§ 2 As funções do Ministério Público só podem ser exercidas por integrantes da c</w:t>
      </w:r>
    </w:p>
    <w:p>
      <w:pPr>
        <w:ind w:left="432"/>
      </w:pPr>
      <w:r>
        <w:rPr>
          <w:color w:val="003366"/>
          <w:sz w:val="18"/>
        </w:rPr>
        <w:t>§ 3 O ingresso na carreira do Ministério Público far-se-á mediante concurso públ</w:t>
      </w:r>
    </w:p>
    <w:p>
      <w:pPr>
        <w:ind w:left="432"/>
      </w:pPr>
      <w:r>
        <w:rPr>
          <w:color w:val="003366"/>
          <w:sz w:val="18"/>
        </w:rPr>
        <w:t>§ 4 Aplica-se ao Ministério Público, no que couber, o disposto no art. 93. (Reda</w:t>
      </w:r>
    </w:p>
    <w:p>
      <w:pPr>
        <w:ind w:left="432"/>
      </w:pPr>
      <w:r>
        <w:rPr>
          <w:color w:val="003366"/>
          <w:sz w:val="18"/>
        </w:rPr>
        <w:t>§ 5 A distribuição de processos no Ministério Público será imediata. (Incluído p</w:t>
      </w:r>
    </w:p>
    <w:p>
      <w:r>
        <w:rPr>
          <w:b/>
          <w:color w:val="003366"/>
          <w:sz w:val="20"/>
        </w:rPr>
        <w:t>Art. 130 Aos membros do Ministério Público junto aos Tribunais de Contas aplicam</w:t>
      </w:r>
      <w:r>
        <w:rPr>
          <w:color w:val="8C8C8C"/>
          <w:sz w:val="14"/>
        </w:rPr>
        <w:t xml:space="preserve">  [28 decisoes]</w:t>
      </w:r>
    </w:p>
    <w:p>
      <w:pPr>
        <w:ind w:left="288"/>
      </w:pPr>
      <w:r>
        <w:rPr>
          <w:color w:val="8C8C8C"/>
          <w:sz w:val="12"/>
        </w:rPr>
        <w:t>cf-art-130</w:t>
      </w:r>
      <w:r>
        <w:rPr>
          <w:color w:val="003CA0"/>
          <w:sz w:val="12"/>
        </w:rPr>
        <w:t xml:space="preserve"> | ADI 5.254</w:t>
      </w:r>
      <w:r>
        <w:rPr>
          <w:color w:val="003CA0"/>
          <w:sz w:val="12"/>
        </w:rPr>
        <w:t xml:space="preserve"> | rel. Luís Roberto Barroso</w:t>
      </w:r>
    </w:p>
    <w:p>
      <w:pPr>
        <w:ind w:left="288"/>
      </w:pPr>
      <w:r>
        <w:rPr>
          <w:color w:val="1E1E1E"/>
          <w:sz w:val="18"/>
        </w:rPr>
        <w:t>“É inconstitucional, por violação aos arts. 130 e 75 da CF/1988, norma estadual que confere autonomia administrativa e orçamentária ao Ministério Público Estadual junto ao Tribunal de Contas, garantida a independência funcional de seus membros e os meios necessários para o desempenho da função”.</w:t>
      </w:r>
    </w:p>
    <w:p>
      <w:pPr>
        <w:ind w:left="288"/>
      </w:pPr>
      <w:r>
        <w:rPr>
          <w:b/>
          <w:color w:val="003CA0"/>
          <w:sz w:val="16"/>
        </w:rPr>
        <w:t>[ADI 5.254, rel. min. Luís Roberto Barroso, j. 21.08.2024, P, DJE de 05.08.2025.]</w:t>
      </w:r>
    </w:p>
    <w:p>
      <w:pPr>
        <w:ind w:left="144"/>
      </w:pPr>
      <w:r>
        <w:rPr>
          <w:b/>
          <w:color w:val="B45A00"/>
          <w:sz w:val="16"/>
        </w:rPr>
        <w:t>CONTROLE CONCENTRADO</w:t>
      </w:r>
    </w:p>
    <w:p>
      <w:pPr>
        <w:ind w:left="288"/>
      </w:pPr>
      <w:r>
        <w:rPr>
          <w:color w:val="8C8C8C"/>
          <w:sz w:val="12"/>
        </w:rPr>
        <w:t>cf-art-130</w:t>
      </w:r>
      <w:r>
        <w:rPr>
          <w:color w:val="003CA0"/>
          <w:sz w:val="12"/>
        </w:rPr>
        <w:t xml:space="preserve"> | ADI 5.692</w:t>
      </w:r>
      <w:r>
        <w:rPr>
          <w:color w:val="003CA0"/>
          <w:sz w:val="12"/>
        </w:rPr>
        <w:t xml:space="preserve"> | rel. Rosa Weber</w:t>
      </w:r>
    </w:p>
    <w:p>
      <w:pPr>
        <w:ind w:left="288"/>
      </w:pPr>
      <w:r>
        <w:rPr>
          <w:color w:val="1E1E1E"/>
          <w:sz w:val="18"/>
        </w:rPr>
        <w:t>Esta Casa encerrou controvérsia jurídico-constitucional, de modo a consagrar, de forma definitiva, a integração do Ministério Público especial à intimidade estrutural do Tribunal de Contas, ou seja, o Parquet de Contas está intrinsecamente vinculado ao próprio Tribunal de Contas perante o qual oficia. (...) O termo investidura inscrito no art. 130 da Constituição Federal faz referência à forma como o membro do Parquet de Contas ingressa na carreira, estabelecendo o vínculo jurídico-administrativo originário com a Instituição. (...) Cabe aos Estados-membros, no desempenho de sua autonomia polít</w:t>
      </w:r>
    </w:p>
    <w:p>
      <w:pPr>
        <w:ind w:left="288"/>
      </w:pPr>
      <w:r>
        <w:rPr>
          <w:b/>
          <w:color w:val="003CA0"/>
          <w:sz w:val="16"/>
        </w:rPr>
        <w:t>[ADI 328, rel. min. Ricardo Lewandowski, j. 2-2-2009, P, DJE de 6-3-2009.]</w:t>
      </w:r>
    </w:p>
    <w:p>
      <w:pPr>
        <w:ind w:left="288"/>
      </w:pPr>
      <w:r>
        <w:rPr>
          <w:color w:val="8C8C8C"/>
          <w:sz w:val="12"/>
        </w:rPr>
        <w:t>cf-art-130</w:t>
      </w:r>
      <w:r>
        <w:rPr>
          <w:color w:val="003CA0"/>
          <w:sz w:val="12"/>
        </w:rPr>
        <w:t xml:space="preserve"> | ADI 789</w:t>
      </w:r>
      <w:r>
        <w:rPr>
          <w:color w:val="003CA0"/>
          <w:sz w:val="12"/>
        </w:rPr>
        <w:t xml:space="preserve"> | rel. Ricardo Lewandowski</w:t>
      </w:r>
    </w:p>
    <w:p>
      <w:pPr>
        <w:ind w:left="288"/>
      </w:pPr>
      <w:r>
        <w:rPr>
          <w:color w:val="1E1E1E"/>
          <w:sz w:val="18"/>
        </w:rPr>
        <w:t>Segundo precedente do STF (ADI 789/DF), os procuradores das cortes de contas são ligados administrativamente a elas, sem qualquer vínculo com o Ministério Público comum. Além de violar os arts. 73, § 2º,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pPr>
        <w:ind w:left="288"/>
      </w:pPr>
      <w:r>
        <w:rPr>
          <w:b/>
          <w:color w:val="003CA0"/>
          <w:sz w:val="16"/>
        </w:rPr>
        <w:t>[ADI 3.315, rel. min. Ricardo Lewandowski, j. 6-3-2008, P, DJE de 11-4-2008.]</w:t>
      </w:r>
    </w:p>
    <w:p>
      <w:pPr>
        <w:ind w:left="288"/>
      </w:pPr>
      <w:r>
        <w:rPr>
          <w:color w:val="8C8C8C"/>
          <w:sz w:val="12"/>
        </w:rPr>
        <w:t>cf-art-130</w:t>
      </w:r>
      <w:r>
        <w:rPr>
          <w:color w:val="003CA0"/>
          <w:sz w:val="12"/>
        </w:rPr>
        <w:t xml:space="preserve"> | ADI 2.378</w:t>
      </w:r>
      <w:r>
        <w:rPr>
          <w:color w:val="003CA0"/>
          <w:sz w:val="12"/>
        </w:rPr>
        <w:t xml:space="preserve"> | rel. Maurício Corrêa</w:t>
      </w:r>
    </w:p>
    <w:p>
      <w:pPr>
        <w:ind w:left="288"/>
      </w:pPr>
      <w:r>
        <w:rPr>
          <w:color w:val="1E1E1E"/>
          <w:sz w:val="18"/>
        </w:rPr>
        <w:t>A cláusula de garantia inscrita no art. 130 da Constituição – que não outorgou ao Ministério Público especial as mesmas prerrogativas e atributos de autonomia conferidos ao Ministério Público comum – não se reveste de conteúdo orgânico-institucional. Acha-se vocacionada, no âmbito de sua destinação tutelar, a proteger, unicamente, os membros do Ministério Público especial no relevante desempenho de suas funções perante os tribunais de contas. Esse preceito da Lei Fundamental da República – que se projeta em uma dimensão de caráter estritamente subjetivo e pessoal – submete os integrantes do Mi</w:t>
      </w:r>
    </w:p>
    <w:p>
      <w:pPr>
        <w:ind w:left="288"/>
      </w:pPr>
      <w:r>
        <w:rPr>
          <w:b/>
          <w:color w:val="003CA0"/>
          <w:sz w:val="16"/>
        </w:rPr>
        <w:t>[ADI 2.378, rel. min. Maurício Corrêa, j. 19-5-2004, P, DJ de 6-9-2007.]</w:t>
      </w:r>
    </w:p>
    <w:p>
      <w:pPr>
        <w:ind w:left="288"/>
      </w:pPr>
      <w:r>
        <w:rPr>
          <w:color w:val="8C8C8C"/>
          <w:sz w:val="12"/>
        </w:rPr>
        <w:t>cf-art-130</w:t>
      </w:r>
      <w:r>
        <w:rPr>
          <w:color w:val="003CA0"/>
          <w:sz w:val="12"/>
        </w:rPr>
        <w:t xml:space="preserve"> | ADI 1.791</w:t>
      </w:r>
      <w:r>
        <w:rPr>
          <w:color w:val="003CA0"/>
          <w:sz w:val="12"/>
        </w:rPr>
        <w:t xml:space="preserve"> | rel. Sydney Sanches</w:t>
      </w:r>
    </w:p>
    <w:p>
      <w:pPr>
        <w:ind w:left="288"/>
      </w:pPr>
      <w:r>
        <w:rPr>
          <w:color w:val="1E1E1E"/>
          <w:sz w:val="18"/>
        </w:rPr>
        <w:t>(...) em se tratando de investidura no cargo de procurador-geral, no Ministério Público junto ao Tribunal de Contas do Estado, ela há de observar, também, o disposto no § 3º do art. 128 c/c o art. 130, competindo à própria instituição a formação de lista tríplice para sua escolha, depois, por nomeação pelo chefe do Poder Executivo, para mandato de dois anos, permitida uma recondução.</w:t>
      </w:r>
    </w:p>
    <w:p>
      <w:pPr>
        <w:ind w:left="288"/>
      </w:pPr>
      <w:r>
        <w:rPr>
          <w:b/>
          <w:color w:val="003CA0"/>
          <w:sz w:val="16"/>
        </w:rPr>
        <w:t>[ADI 1.791 MC, rel. min. Sydney Sanches, j. 23-4-1998, P, DJ de 11-9-1998.]</w:t>
      </w:r>
    </w:p>
    <w:p>
      <w:pPr>
        <w:ind w:left="144"/>
      </w:pPr>
      <w:r>
        <w:rPr>
          <w:b/>
          <w:color w:val="B45A00"/>
          <w:sz w:val="16"/>
        </w:rPr>
        <w:t>JULGADOS CORRELATOS</w:t>
      </w:r>
    </w:p>
    <w:p>
      <w:pPr>
        <w:ind w:left="288"/>
      </w:pPr>
      <w:r>
        <w:rPr>
          <w:color w:val="8C8C8C"/>
          <w:sz w:val="12"/>
        </w:rPr>
        <w:t>cf-art-130</w:t>
      </w:r>
      <w:r>
        <w:rPr>
          <w:color w:val="003CA0"/>
          <w:sz w:val="12"/>
        </w:rPr>
        <w:t xml:space="preserve"> | ADI 328</w:t>
      </w:r>
      <w:r>
        <w:rPr>
          <w:color w:val="003CA0"/>
          <w:sz w:val="12"/>
        </w:rPr>
        <w:t xml:space="preserve"> | rel. Marco Aurélio</w:t>
      </w:r>
    </w:p>
    <w:p>
      <w:pPr>
        <w:ind w:left="288"/>
      </w:pPr>
      <w:r>
        <w:rPr>
          <w:color w:val="1E1E1E"/>
          <w:sz w:val="18"/>
        </w:rPr>
        <w:t>Cumpre observar, na chefia do Ministério Público especial junto ao Tribunal de Contas do Estado de Santa Catarina, a composição do órgão, conforme decidido na ADI 328 (...). A cadeira reservada ao Ministério Público, no Tribunal de Contas, há de ser preenchida por integrante da categoria especial (...).</w:t>
      </w:r>
    </w:p>
    <w:p>
      <w:pPr>
        <w:ind w:left="288"/>
      </w:pPr>
      <w:r>
        <w:rPr>
          <w:b/>
          <w:color w:val="003CA0"/>
          <w:sz w:val="16"/>
        </w:rPr>
        <w:t>[Rcl 14.282 AgR-ED, rel. min. Marco Aurélio, j. 28-8-2014, P, DJE de 1º-10-2014.]</w:t>
      </w:r>
    </w:p>
    <w:p>
      <w:pPr>
        <w:ind w:left="288"/>
      </w:pPr>
      <w:r>
        <w:rPr>
          <w:color w:val="8C8C8C"/>
          <w:sz w:val="12"/>
        </w:rPr>
        <w:t>cf-art-130</w:t>
      </w:r>
      <w:r>
        <w:rPr>
          <w:color w:val="003CA0"/>
          <w:sz w:val="12"/>
        </w:rPr>
        <w:t xml:space="preserve"> | MS 27.339</w:t>
      </w:r>
      <w:r>
        <w:rPr>
          <w:color w:val="003CA0"/>
          <w:sz w:val="12"/>
        </w:rPr>
        <w:t xml:space="preserve"> | rel. Menezes Direito</w:t>
      </w:r>
    </w:p>
    <w:p>
      <w:pPr>
        <w:ind w:left="288"/>
      </w:pPr>
      <w:r>
        <w:rPr>
          <w:color w:val="1E1E1E"/>
          <w:sz w:val="18"/>
        </w:rPr>
        <w:t>Está assente na jurisprudência deste STF que o Ministério Público junto ao Tribunal de Contas possui fisionomia institucional própria, que não se confunde com a do Ministério Público comum, sejam os dos Estados, seja o da União, o que impede a atuação, ainda que transitória, de procuradores de justiça nos Tribunais de Contas (...). Escorreita a decisão do CNMP que determinou o imediato retorno de dois procuradores de justiça, que oficiavam perante o Tribunal de Contas do Estado do Rio Grande do Sul, às suas funções próprias no Ministério Público estadual, não sendo oponíveis os princípios da s</w:t>
      </w:r>
    </w:p>
    <w:p>
      <w:pPr>
        <w:ind w:left="288"/>
      </w:pPr>
      <w:r>
        <w:rPr>
          <w:b/>
          <w:color w:val="003CA0"/>
          <w:sz w:val="16"/>
        </w:rPr>
        <w:t>[MS 27.339, rel. min. Menezes Direito, j. 2-2-2009, P, DJE de 6-3-2009.]</w:t>
      </w:r>
    </w:p>
    <w:p>
      <w:pPr>
        <w:ind w:left="288"/>
      </w:pPr>
      <w:r>
        <w:rPr>
          <w:color w:val="8C8C8C"/>
          <w:sz w:val="12"/>
        </w:rPr>
        <w:t>cf-art-130</w:t>
      </w:r>
      <w:r>
        <w:rPr>
          <w:color w:val="003CA0"/>
          <w:sz w:val="12"/>
        </w:rPr>
        <w:t xml:space="preserve"> | ADI 3.307</w:t>
      </w:r>
      <w:r>
        <w:rPr>
          <w:color w:val="003CA0"/>
          <w:sz w:val="12"/>
        </w:rPr>
        <w:t xml:space="preserve"> | rel. Cármen Lúcia</w:t>
      </w:r>
    </w:p>
    <w:p>
      <w:pPr>
        <w:ind w:left="288"/>
      </w:pPr>
      <w:r>
        <w:rPr>
          <w:color w:val="1E1E1E"/>
          <w:sz w:val="18"/>
        </w:rPr>
        <w:t>= ADI 3.307, rel. min. Cármen Lúcia, j. 2-2-2009, P, DJE de 29-5-2009 Ato do TCU, que indeferiu pedido de encaminhamento do nome do impetrante ao presidente da República, para fins de nomeação no cargo de procurador do Ministério Público, junto ao TCU. Liminar deferida. O procurador-geral é nomeado não para cargo efetivo que integre a carreira, pois esta se compõe apenas dos cargos de procurador e subprocurador-geral. Incabível, no caso, a alegação de que nova vaga surgiu na carreira com a nomeação de um dos membros da carreira em foco ao cargo de procurador-geral junto ao TCU. Mandado de segu</w:t>
      </w:r>
    </w:p>
    <w:p>
      <w:pPr>
        <w:ind w:left="288"/>
      </w:pPr>
      <w:r>
        <w:rPr>
          <w:b/>
          <w:color w:val="003CA0"/>
          <w:sz w:val="16"/>
        </w:rPr>
        <w:t>[MS 23.247, rel. min. Néri da Silveira, j. 22-4-2002, P, DJ de 14-6-2002.]</w:t>
      </w:r>
    </w:p>
    <w:p>
      <w:pPr>
        <w:ind w:left="288"/>
      </w:pPr>
      <w:r>
        <w:rPr>
          <w:color w:val="8C8C8C"/>
          <w:sz w:val="12"/>
        </w:rPr>
        <w:t>cf-art-130</w:t>
      </w:r>
    </w:p>
    <w:p>
      <w:pPr>
        <w:ind w:left="288"/>
      </w:pPr>
      <w:r>
        <w:rPr>
          <w:color w:val="1E1E1E"/>
          <w:sz w:val="18"/>
        </w:rPr>
        <w:t>Art. 130-A. O Conselho Nacional do Ministério Público compõe-se de quatorze membros nomeados pelo Presidente da República, depois de aprovada a escolha pela maioria absoluta do Senado Federal, para um mandato de dois anos, admitida uma recondução, sendo: (Incluído pela EC 45/2004)</w:t>
      </w:r>
    </w:p>
    <w:p>
      <w:pPr>
        <w:ind w:left="144"/>
      </w:pPr>
      <w:r>
        <w:rPr>
          <w:b/>
          <w:color w:val="B45A00"/>
          <w:sz w:val="16"/>
        </w:rPr>
        <w:t>CONTROLE CONCENTRADO</w:t>
      </w:r>
    </w:p>
    <w:p>
      <w:pPr>
        <w:ind w:left="288"/>
      </w:pPr>
      <w:r>
        <w:rPr>
          <w:color w:val="8C8C8C"/>
          <w:sz w:val="12"/>
        </w:rPr>
        <w:t>cf-art-130</w:t>
      </w:r>
      <w:r>
        <w:rPr>
          <w:color w:val="003CA0"/>
          <w:sz w:val="12"/>
        </w:rPr>
        <w:t xml:space="preserve"> | ADI 3.472</w:t>
      </w:r>
      <w:r>
        <w:rPr>
          <w:color w:val="003CA0"/>
          <w:sz w:val="12"/>
        </w:rPr>
        <w:t xml:space="preserve"> | rel. Sepúlveda Pertence</w:t>
      </w:r>
    </w:p>
    <w:p>
      <w:pPr>
        <w:ind w:left="288"/>
      </w:pPr>
      <w:r>
        <w:rPr>
          <w:color w:val="1E1E1E"/>
          <w:sz w:val="18"/>
        </w:rPr>
        <w:t>CNMP: composição inicial (EC 45/2004, art. 5º, § 1º): densa plausibilidade da arguição de inconstitucionalidade de norma atributiva de competência transitória para a hipótese de não se efetivarem a tempo, na forma do texto permanente, as indicações ou escolhas dos membros do CNMP, por inobservância do processo legislativo previsto no § 2º do art. 60 da Constituição da República, dada a patente subversão do conteúdo da proposição aprovada pela Câmara dos Deputados, por força de emenda que lhe impôs o Senado, e afinal se enxertou no texto promulgado.</w:t>
      </w:r>
    </w:p>
    <w:p>
      <w:pPr>
        <w:ind w:left="288"/>
      </w:pPr>
      <w:r>
        <w:rPr>
          <w:b/>
          <w:color w:val="003CA0"/>
          <w:sz w:val="16"/>
        </w:rPr>
        <w:t>[ADI 3.472 MC, rel. min. Sepúlveda Pertence, j. 28-4-2005, P, DJ de 24-6-2005.]</w:t>
      </w:r>
    </w:p>
    <w:p>
      <w:pPr>
        <w:ind w:left="288"/>
      </w:pPr>
      <w:r>
        <w:rPr>
          <w:color w:val="8C8C8C"/>
          <w:sz w:val="12"/>
        </w:rPr>
        <w:t>cf-art-130-inc-V</w:t>
      </w:r>
    </w:p>
    <w:p>
      <w:pPr>
        <w:ind w:left="288"/>
      </w:pPr>
      <w:r>
        <w:rPr>
          <w:color w:val="1E1E1E"/>
          <w:sz w:val="18"/>
        </w:rPr>
        <w:t>VI - dois cidadãos de notável saber jurídico e reputação ilibada, indicados um pela Câmara dos Deputados e outro pelo Senado Federal. (Incluído pela EC 45/2004)</w:t>
      </w:r>
    </w:p>
    <w:p>
      <w:pPr>
        <w:ind w:left="288"/>
      </w:pPr>
      <w:r>
        <w:rPr>
          <w:color w:val="8C8C8C"/>
          <w:sz w:val="12"/>
        </w:rPr>
        <w:t>cf-art-130-par-1</w:t>
      </w:r>
      <w:r>
        <w:rPr>
          <w:color w:val="003CA0"/>
          <w:sz w:val="12"/>
        </w:rPr>
        <w:t xml:space="preserve"> | ADI 7.739</w:t>
      </w:r>
      <w:r>
        <w:rPr>
          <w:color w:val="003CA0"/>
          <w:sz w:val="12"/>
        </w:rPr>
        <w:t xml:space="preserve"> | rel. Cármen Lúcia</w:t>
      </w:r>
    </w:p>
    <w:p>
      <w:pPr>
        <w:ind w:left="288"/>
      </w:pPr>
      <w:r>
        <w:rPr>
          <w:color w:val="1E1E1E"/>
          <w:sz w:val="18"/>
        </w:rPr>
        <w:t>Ministério público. Incs. I, II e IV do art. 3º da Lei n. 11.372/2006, que regulamentam o § 1º do art. 130-a da Constituição da República. Vedação aos membros do Ministério Público durante o exercício do mandato no Conselho Nacional do Ministério Público. (...) As disposições relativas à organização, às atribuições e ao estatuto dos Ministérios Públicos devem ser estabelecidas em estrita observância à reserva de lei complementar prevista no § 5º do art. 128 da Constituição da República. É formalmente inconstitucional a norma impugnada, pois versa sobre matéria reservada a lei complementar.</w:t>
      </w:r>
    </w:p>
    <w:p>
      <w:pPr>
        <w:ind w:left="288"/>
      </w:pPr>
      <w:r>
        <w:rPr>
          <w:b/>
          <w:color w:val="003CA0"/>
          <w:sz w:val="16"/>
        </w:rPr>
        <w:t>[ADI 7.739, rel. min. Cármen Lúcia, j. 19.03.2025, P, DJE de 14.05.2025.]</w:t>
      </w:r>
    </w:p>
    <w:p>
      <w:pPr>
        <w:ind w:left="288"/>
      </w:pPr>
      <w:r>
        <w:rPr>
          <w:color w:val="8C8C8C"/>
          <w:sz w:val="12"/>
        </w:rPr>
        <w:t>cf-art-130-par-2-inc-I</w:t>
      </w:r>
      <w:r>
        <w:rPr>
          <w:color w:val="003CA0"/>
          <w:sz w:val="12"/>
        </w:rPr>
        <w:t xml:space="preserve"> | ADI 5.454</w:t>
      </w:r>
      <w:r>
        <w:rPr>
          <w:color w:val="003CA0"/>
          <w:sz w:val="12"/>
        </w:rPr>
        <w:t xml:space="preserve"> | rel. Alexandre de Moraes</w:t>
      </w:r>
    </w:p>
    <w:p>
      <w:pPr>
        <w:ind w:left="288"/>
      </w:pPr>
      <w:r>
        <w:rPr>
          <w:color w:val="1E1E1E"/>
          <w:sz w:val="18"/>
        </w:rPr>
        <w:t>O Conselho Nacional do Ministério Público (CNMP) possui capacidade para a expedição de atos normativos autônomos (CF, art. 130-A, § 2º, I), desde que o conteúdo disciplinado na norma editada se insira no seu âmbito de atribuições constitucionais.</w:t>
      </w:r>
    </w:p>
    <w:p>
      <w:pPr>
        <w:ind w:left="288"/>
      </w:pPr>
      <w:r>
        <w:rPr>
          <w:b/>
          <w:color w:val="003CA0"/>
          <w:sz w:val="16"/>
        </w:rPr>
        <w:t>[ADI 5.454, rel. min. Alexandre de Moraes, j. 15-4-2020, P, DJE de 20-5-2020.]</w:t>
      </w:r>
    </w:p>
    <w:p>
      <w:pPr>
        <w:ind w:left="288"/>
      </w:pPr>
      <w:r>
        <w:rPr>
          <w:color w:val="8C8C8C"/>
          <w:sz w:val="12"/>
        </w:rPr>
        <w:t>cf-art-130-par-2-inc-I</w:t>
      </w:r>
      <w:r>
        <w:rPr>
          <w:color w:val="003CA0"/>
          <w:sz w:val="12"/>
        </w:rPr>
        <w:t xml:space="preserve"> | ADI 4.263</w:t>
      </w:r>
      <w:r>
        <w:rPr>
          <w:color w:val="003CA0"/>
          <w:sz w:val="12"/>
        </w:rPr>
        <w:t xml:space="preserve"> | rel. Roberto Barroso</w:t>
      </w:r>
    </w:p>
    <w:p>
      <w:pPr>
        <w:ind w:left="288"/>
      </w:pPr>
      <w:r>
        <w:rPr>
          <w:color w:val="1E1E1E"/>
          <w:sz w:val="18"/>
        </w:rPr>
        <w:t>Interceptação telefônica. Resolução editada pelo CNMP no exercício de sua competência constitucional, em caráter geral e abstrato, não constitui ato normativo secundário. (...) Breves considerações sobre interceptações telefônicas: fundamentação das decisões, prorrogações e transcrições. O ato impugnado insere-se na competência do CNMP de disciplinar os deveres funcionais dos membros do Ministério Público, entre os quais o dever de sigilo, e de zelar pela observância dos princípios previstos no art. 37 da Constituição, aí incluído o princípio da eficiência. Ausência de violação à reserva de le</w:t>
      </w:r>
    </w:p>
    <w:p>
      <w:pPr>
        <w:ind w:left="288"/>
      </w:pPr>
      <w:r>
        <w:rPr>
          <w:b/>
          <w:color w:val="003CA0"/>
          <w:sz w:val="16"/>
        </w:rPr>
        <w:t>[Pet 4.891, red. do ac. min. Alexandre de Moraes, j. 16-6-2020, P, DJE de 6-8-2020.]</w:t>
      </w:r>
    </w:p>
    <w:p>
      <w:pPr>
        <w:ind w:left="144"/>
      </w:pPr>
      <w:r>
        <w:rPr>
          <w:b/>
          <w:color w:val="B45A00"/>
          <w:sz w:val="16"/>
        </w:rPr>
        <w:t>JULGADOS CORRELATOS</w:t>
      </w:r>
    </w:p>
    <w:p>
      <w:pPr>
        <w:ind w:left="288"/>
      </w:pPr>
      <w:r>
        <w:rPr>
          <w:color w:val="8C8C8C"/>
          <w:sz w:val="12"/>
        </w:rPr>
        <w:t>cf-art-130-par-2-inc-I</w:t>
      </w:r>
      <w:r>
        <w:rPr>
          <w:color w:val="003CA0"/>
          <w:sz w:val="12"/>
        </w:rPr>
        <w:t xml:space="preserve"> | ACO 843</w:t>
      </w:r>
    </w:p>
    <w:p>
      <w:pPr>
        <w:ind w:left="288"/>
      </w:pPr>
      <w:r>
        <w:rPr>
          <w:color w:val="1E1E1E"/>
          <w:sz w:val="18"/>
        </w:rPr>
        <w:t>EC 45/2004 e interpretação sistemática da Constituição Federal. A solução de conflitos de atribuições entre ramos diversos dos Ministérios Públicos pelo CNMP, nos termos do artigo 130-A, § 2º, e incisos I e II, da Constituição Federal e no exercício do controle da atuação administrativa do Parquet, é a mais adequada, pois reforça o mandamento constitucional que lhe atribuiu o controle da legalidade das ações administrativas dos membros e órgãos dos diversos ramos ministeriais, sem ingressar ou ferir a independência funcional.</w:t>
      </w:r>
    </w:p>
    <w:p>
      <w:pPr>
        <w:ind w:left="288"/>
      </w:pPr>
      <w:r>
        <w:rPr>
          <w:b/>
          <w:color w:val="003CA0"/>
          <w:sz w:val="16"/>
        </w:rPr>
        <w:t>[ACO 843, red. do ac. min. Alexandre de Moraes, j. 8-6-2020, P, DJE de 4-11-2020.]</w:t>
      </w:r>
    </w:p>
    <w:p>
      <w:pPr>
        <w:ind w:left="288"/>
      </w:pPr>
      <w:r>
        <w:rPr>
          <w:color w:val="8C8C8C"/>
          <w:sz w:val="12"/>
        </w:rPr>
        <w:t>cf-art-130-par-2-inc-I</w:t>
      </w:r>
      <w:r>
        <w:rPr>
          <w:color w:val="003CA0"/>
          <w:sz w:val="12"/>
        </w:rPr>
        <w:t xml:space="preserve"> | MS 28.408</w:t>
      </w:r>
      <w:r>
        <w:rPr>
          <w:color w:val="003CA0"/>
          <w:sz w:val="12"/>
        </w:rPr>
        <w:t xml:space="preserve"> | rel. Cármen Lúcia</w:t>
      </w:r>
    </w:p>
    <w:p>
      <w:pPr>
        <w:ind w:left="288"/>
      </w:pPr>
      <w:r>
        <w:rPr>
          <w:color w:val="1E1E1E"/>
          <w:sz w:val="18"/>
        </w:rPr>
        <w:t>Mandado de segurança. Representação para preservação da autonomia do Ministério Público. Competência do CNMP estabelecida no art. 130-A, I, § 2º, da Constituição da República. Segurança denegada. A independência funcional garantida ao impetrante pelo art. 127, § 1º, da Constituição da República não é irrestrita, pois o membro do Ministério Público deve respeito à Constituição da República e às leis. Compete ao CNMP zelar pela autonomia funcional do Ministério Público, conforme dispõe o inc. I do § 2º do art. 130-A da Constituição da República.</w:t>
      </w:r>
    </w:p>
    <w:p>
      <w:pPr>
        <w:ind w:left="288"/>
      </w:pPr>
      <w:r>
        <w:rPr>
          <w:b/>
          <w:color w:val="003CA0"/>
          <w:sz w:val="16"/>
        </w:rPr>
        <w:t>[MS 28.408, rel. min. Cármen Lúcia, j. 18-3-2014, 2ª T, DJE de 13-6-2014.]</w:t>
      </w:r>
    </w:p>
    <w:p>
      <w:pPr>
        <w:ind w:left="288"/>
      </w:pPr>
      <w:r>
        <w:rPr>
          <w:color w:val="8C8C8C"/>
          <w:sz w:val="12"/>
        </w:rPr>
        <w:t>cf-art-130-par-2-inc-I</w:t>
      </w:r>
      <w:r>
        <w:rPr>
          <w:color w:val="003CA0"/>
          <w:sz w:val="12"/>
        </w:rPr>
        <w:t xml:space="preserve"> | ADI 4.263</w:t>
      </w:r>
      <w:r>
        <w:rPr>
          <w:color w:val="003CA0"/>
          <w:sz w:val="12"/>
        </w:rPr>
        <w:t xml:space="preserve"> | rel. Roberto Barroso</w:t>
      </w:r>
    </w:p>
    <w:p>
      <w:pPr>
        <w:ind w:left="288"/>
      </w:pPr>
      <w:r>
        <w:rPr>
          <w:color w:val="1E1E1E"/>
          <w:sz w:val="18"/>
        </w:rPr>
        <w:t xml:space="preserve">II - zelar pela observância do art. 37 e apreciar, de ofício ou mediante provocação, a legalidade dos atos administrativos praticados por membros ou órgãos do Ministério Público da União e dos Estados, podendo desconstituí-los, revê-los ou fixar prazo para que se adotem as providências necessárias ao exato cumprimento da lei, sem prejuízo da competência dos Tribunais de Contas; (Incluído pela EC 45/2004) O Supremo Tribunal Federal já decidiu que o conteúdo da resolução impugnada se insere na competência do CNMP para disciplinar os deveres funcionais dos membros do Ministério Público, entre os </w:t>
      </w:r>
    </w:p>
    <w:p>
      <w:pPr>
        <w:ind w:left="288"/>
      </w:pPr>
      <w:r>
        <w:rPr>
          <w:b/>
          <w:color w:val="003CA0"/>
          <w:sz w:val="16"/>
        </w:rPr>
        <w:t>[ADI 5.315, rel. min. Roberto Barroso, j. 25-8-2023, P, DJE de 07.11.2023.]</w:t>
      </w:r>
    </w:p>
    <w:p>
      <w:pPr>
        <w:ind w:left="288"/>
      </w:pPr>
      <w:r>
        <w:rPr>
          <w:color w:val="8C8C8C"/>
          <w:sz w:val="12"/>
        </w:rPr>
        <w:t>cf-art-130-par-2-inc-I</w:t>
      </w:r>
      <w:r>
        <w:rPr>
          <w:color w:val="003CA0"/>
          <w:sz w:val="12"/>
        </w:rPr>
        <w:t xml:space="preserve"> | ADI 5.454</w:t>
      </w:r>
      <w:r>
        <w:rPr>
          <w:color w:val="003CA0"/>
          <w:sz w:val="12"/>
        </w:rPr>
        <w:t xml:space="preserve"> | rel. Alexandre de Moraes</w:t>
      </w:r>
    </w:p>
    <w:p>
      <w:pPr>
        <w:ind w:left="288"/>
      </w:pPr>
      <w:r>
        <w:rPr>
          <w:color w:val="1E1E1E"/>
          <w:sz w:val="18"/>
        </w:rPr>
        <w:t>Resolução 27/2008 do Conselho Nacional do Ministério Público (CNMP). Exercício legítimo de suas atribuições constitucionais. Vedação ao exercício da advocacia por parte dos servidores do Ministério Público dos Estados e da União. (...) A Resolução 27/2008 do CNMP tem por objetivo assegurar a observância dos princípios constitucionais da isonomia, da moralidade e da eficiência no Ministério Público, estando, portanto, abrangida pelo escopo de atuação do CNMP (CF, art. 130-A, § 2º, II).</w:t>
        <w:br/>
        <w:t>[ADI 5.454, rel. min. Alexandre de Moraes, j. 15-4-2020, P, DJE de 20-5-2020.] Interceptação telefônica. Resol</w:t>
      </w:r>
    </w:p>
    <w:p>
      <w:pPr>
        <w:ind w:left="288"/>
      </w:pPr>
      <w:r>
        <w:rPr>
          <w:color w:val="8C8C8C"/>
          <w:sz w:val="12"/>
        </w:rPr>
        <w:t>cf-art-130-par-2-inc-I</w:t>
      </w:r>
      <w:r>
        <w:rPr>
          <w:color w:val="003CA0"/>
          <w:sz w:val="12"/>
        </w:rPr>
        <w:t xml:space="preserve"> | MS 31.523</w:t>
      </w:r>
      <w:r>
        <w:rPr>
          <w:color w:val="003CA0"/>
          <w:sz w:val="12"/>
        </w:rPr>
        <w:t xml:space="preserve"> | rel. Celso de Mello</w:t>
      </w:r>
    </w:p>
    <w:p>
      <w:pPr>
        <w:ind w:left="288"/>
      </w:pPr>
      <w:r>
        <w:rPr>
          <w:color w:val="1E1E1E"/>
          <w:sz w:val="18"/>
        </w:rPr>
        <w:t>Conselho Nacional do Ministério Público. Órgão constitucional de perfil estritamente administrativo. Consequente impossibilidade jurídica de impor aos integrantes do Ministério Público da União e dos estados-membros, que gozam do predicamento constitucional da vitaliciedade (CF, art. 128, § 5º, inciso I, a), a sanção de perda do cargo. A vitaliciedade como garantia de independência funcional assegurada ao membro do Ministério Público.</w:t>
      </w:r>
    </w:p>
    <w:p>
      <w:pPr>
        <w:ind w:left="288"/>
      </w:pPr>
      <w:r>
        <w:rPr>
          <w:b/>
          <w:color w:val="003CA0"/>
          <w:sz w:val="16"/>
        </w:rPr>
        <w:t>[MS 31.523 AgR, rel. min. Celso de Mello, j. 3-10-2020, 2ª T, DJE de 8-10-2020.]</w:t>
      </w:r>
    </w:p>
    <w:p>
      <w:pPr>
        <w:ind w:left="288"/>
      </w:pPr>
      <w:r>
        <w:rPr>
          <w:color w:val="8C8C8C"/>
          <w:sz w:val="12"/>
        </w:rPr>
        <w:t>cf-art-130-par-2-inc-I</w:t>
      </w:r>
      <w:r>
        <w:rPr>
          <w:color w:val="003CA0"/>
          <w:sz w:val="12"/>
        </w:rPr>
        <w:t xml:space="preserve"> | PET 4.891</w:t>
      </w:r>
    </w:p>
    <w:p>
      <w:pPr>
        <w:ind w:left="288"/>
      </w:pPr>
      <w:r>
        <w:rPr>
          <w:color w:val="1E1E1E"/>
          <w:sz w:val="18"/>
        </w:rPr>
        <w:t>Os membros do Ministério Público integram um só órgão sob a direção única de um só Procurador-Geral, ressalvando-se, porém, que só existem unidade e indivisibilidade dentro de cada Ministério Público, inexistindo qualquer relação de hierarquia entre o Ministério Público Federal e os dos Estados, entre o de um Estado e o de outro, ou entre os diversos ramos do Ministério Público da União. EC 45/2004 e interpretação sistemática da Constituição Federal. A solução de conflitos de atribuições entre ramos diversos dos Ministérios Públicos pelo CNMP, nos termos do artigo 130-A, § 2º, e incisos I e II</w:t>
      </w:r>
    </w:p>
    <w:p>
      <w:pPr>
        <w:ind w:left="288"/>
      </w:pPr>
      <w:r>
        <w:rPr>
          <w:b/>
          <w:color w:val="003CA0"/>
          <w:sz w:val="16"/>
        </w:rPr>
        <w:t>[Pet 4.891, red. do ac. min. Alexandre de Moraes, j. 16-6-2020, P, DJE de 6-8-2020.]</w:t>
      </w:r>
    </w:p>
    <w:p>
      <w:pPr>
        <w:ind w:left="288"/>
      </w:pPr>
      <w:r>
        <w:rPr>
          <w:color w:val="8C8C8C"/>
          <w:sz w:val="12"/>
        </w:rPr>
        <w:t>cf-art-130-par-2-inc-I</w:t>
      </w:r>
      <w:r>
        <w:rPr>
          <w:color w:val="003CA0"/>
          <w:sz w:val="12"/>
        </w:rPr>
        <w:t xml:space="preserve"> | ACO 843</w:t>
      </w:r>
    </w:p>
    <w:p>
      <w:pPr>
        <w:ind w:left="288"/>
      </w:pPr>
      <w:r>
        <w:rPr>
          <w:color w:val="1E1E1E"/>
          <w:sz w:val="18"/>
        </w:rPr>
        <w:t>EC 45/2004 e interpretação sistemática da Constituição Federal. A solução de conflitos de atribuições entre ramos diversos dos Ministérios Públicos pelo CNMP, nos termos do artigo 130-A, § 2º, e incisos I e II, da Constituição Federal e no exercício do controle da atuação administrativa do Parquet, é a mais adequada, pois reforça o mandamento constitucional que lhe atribuiu o controle da legalidade das ações administrativas dos membros e órgãos dos diversos ramos ministeriais, sem ingressar ou ferir a independência funcional.</w:t>
      </w:r>
    </w:p>
    <w:p>
      <w:pPr>
        <w:ind w:left="288"/>
      </w:pPr>
      <w:r>
        <w:rPr>
          <w:b/>
          <w:color w:val="003CA0"/>
          <w:sz w:val="16"/>
        </w:rPr>
        <w:t>[ACO 843, red. do ac. min. Alexandre de Moraes, j. 8-6-2020, P, DJE de 4-11-2020.]</w:t>
      </w:r>
    </w:p>
    <w:p>
      <w:pPr>
        <w:ind w:left="288"/>
      </w:pPr>
      <w:r>
        <w:rPr>
          <w:color w:val="8C8C8C"/>
          <w:sz w:val="12"/>
        </w:rPr>
        <w:t>cf-art-130-par-2-inc-I</w:t>
      </w:r>
      <w:r>
        <w:rPr>
          <w:color w:val="003CA0"/>
          <w:sz w:val="12"/>
        </w:rPr>
        <w:t xml:space="preserve"> | MS 27.744</w:t>
      </w:r>
      <w:r>
        <w:rPr>
          <w:color w:val="003CA0"/>
          <w:sz w:val="12"/>
        </w:rPr>
        <w:t xml:space="preserve"> | rel. Luiz Fux</w:t>
      </w:r>
    </w:p>
    <w:p>
      <w:pPr>
        <w:ind w:left="288"/>
      </w:pPr>
      <w:r>
        <w:rPr>
          <w:color w:val="1E1E1E"/>
          <w:sz w:val="18"/>
        </w:rPr>
        <w:t>O CNMP não ostenta competência para efetuar controle de constitucionalidade de lei, posto consabido tratar-se de órgão de natureza administrativa, cuja atribuição adstringe-se ao controle da legitimidade dos atos administrativos praticados por membros ou órgãos do Ministério Público federal e estadual (...).</w:t>
      </w:r>
    </w:p>
    <w:p>
      <w:pPr>
        <w:ind w:left="288"/>
      </w:pPr>
      <w:r>
        <w:rPr>
          <w:b/>
          <w:color w:val="003CA0"/>
          <w:sz w:val="16"/>
        </w:rPr>
        <w:t>[MS 27.744, rel. min. Luiz Fux, j. 6-5-2014, 1ª T, DJE de 8-6-2015.]</w:t>
      </w:r>
    </w:p>
    <w:p>
      <w:pPr>
        <w:ind w:left="288"/>
      </w:pPr>
      <w:r>
        <w:rPr>
          <w:color w:val="8C8C8C"/>
          <w:sz w:val="12"/>
        </w:rPr>
        <w:t>cf-art-130-par-2-inc-I</w:t>
      </w:r>
      <w:r>
        <w:rPr>
          <w:color w:val="003CA0"/>
          <w:sz w:val="12"/>
        </w:rPr>
        <w:t xml:space="preserve"> | MS 28.028</w:t>
      </w:r>
      <w:r>
        <w:rPr>
          <w:color w:val="003CA0"/>
          <w:sz w:val="12"/>
        </w:rPr>
        <w:t xml:space="preserve"> | rel. Cármen Lúcia</w:t>
      </w:r>
    </w:p>
    <w:p>
      <w:pPr>
        <w:ind w:left="288"/>
      </w:pPr>
      <w:r>
        <w:rPr>
          <w:color w:val="1E1E1E"/>
          <w:sz w:val="18"/>
        </w:rPr>
        <w:t>CNMP. Anulação de ato do Conselho Superior do Ministério Público do Estado do Espírito Santo em termo de ajustamento de conduta. Atividade-fim do Ministério Público estadual. Interferência na autonomia administrativa e na independência funcional do Conselho Superior do Ministério Público no Espírito Santo. Mandado de segurança concedido.</w:t>
      </w:r>
    </w:p>
    <w:p>
      <w:pPr>
        <w:ind w:left="288"/>
      </w:pPr>
      <w:r>
        <w:rPr>
          <w:b/>
          <w:color w:val="003CA0"/>
          <w:sz w:val="16"/>
        </w:rPr>
        <w:t>[MS 28.028, rel. min. Cármen Lúcia, j. 30-10-2012, 2ª T, DJE de 7-6-2013.]</w:t>
      </w:r>
    </w:p>
    <w:p>
      <w:pPr>
        <w:ind w:left="288"/>
      </w:pPr>
      <w:r>
        <w:rPr>
          <w:color w:val="8C8C8C"/>
          <w:sz w:val="12"/>
        </w:rPr>
        <w:t>cf-art-130-par-2-inc-I</w:t>
      </w:r>
    </w:p>
    <w:p>
      <w:pPr>
        <w:ind w:left="288"/>
      </w:pPr>
      <w:r>
        <w:rPr>
          <w:color w:val="1E1E1E"/>
          <w:sz w:val="18"/>
        </w:rPr>
        <w:t>III - receber e conhecer das reclamações contra membros ou órgãos do Ministério Público da União ou dos Estados, inclusive contra seus serviços auxiliares, sem prejuízo da competência disciplinar e correicional da instituição, podendo avocar processos disciplinares em curso, determinar a remoção ou a disponibilidade e aplicar outras sanções administrativas, assegurada ampla defesa; (Redação da EC 103/2019)</w:t>
      </w:r>
    </w:p>
    <w:p>
      <w:pPr>
        <w:ind w:left="288"/>
      </w:pPr>
      <w:r>
        <w:rPr>
          <w:color w:val="8C8C8C"/>
          <w:sz w:val="12"/>
        </w:rPr>
        <w:t>cf-art-130-par-2-inc-I</w:t>
      </w:r>
      <w:r>
        <w:rPr>
          <w:color w:val="003CA0"/>
          <w:sz w:val="12"/>
        </w:rPr>
        <w:t xml:space="preserve"> | MS 30.493</w:t>
      </w:r>
    </w:p>
    <w:p>
      <w:pPr>
        <w:ind w:left="288"/>
      </w:pPr>
      <w:r>
        <w:rPr>
          <w:color w:val="1E1E1E"/>
          <w:sz w:val="18"/>
        </w:rPr>
        <w:t>A competência do Conselho Nacional do Ministério Público para a aplicação de sanções disciplinares, inclusive a penalidade de demissão, está prevista pelo artigo 130-A, §2º, inciso III da Constituição da República, ficando a eficácia dessa sanção submetida ao ajuizamento de ação cível para a perda do cargo pela Procuradoria-Geral da República.</w:t>
      </w:r>
    </w:p>
    <w:p>
      <w:pPr>
        <w:ind w:left="288"/>
      </w:pPr>
      <w:r>
        <w:rPr>
          <w:b/>
          <w:color w:val="003CA0"/>
          <w:sz w:val="16"/>
        </w:rPr>
        <w:t>[MS 30.493, red. do ac. min. Edson Fachin, j. 16-6-2020, P, DJE de 21-9-2020.]</w:t>
      </w:r>
    </w:p>
    <w:p>
      <w:pPr>
        <w:ind w:left="288"/>
      </w:pPr>
      <w:r>
        <w:rPr>
          <w:color w:val="8C8C8C"/>
          <w:sz w:val="12"/>
        </w:rPr>
        <w:t>cf-art-130-par-2-inc-IV</w:t>
      </w:r>
      <w:r>
        <w:rPr>
          <w:color w:val="003CA0"/>
          <w:sz w:val="12"/>
        </w:rPr>
        <w:t xml:space="preserve"> | MS 35.461</w:t>
      </w:r>
      <w:r>
        <w:rPr>
          <w:color w:val="003CA0"/>
          <w:sz w:val="12"/>
        </w:rPr>
        <w:t xml:space="preserve"> | rel. Edson Fachin</w:t>
      </w:r>
    </w:p>
    <w:p>
      <w:pPr>
        <w:ind w:left="288"/>
      </w:pPr>
      <w:r>
        <w:rPr>
          <w:color w:val="1E1E1E"/>
          <w:sz w:val="18"/>
        </w:rPr>
        <w:t>O prazo para a instauração do processo revisional no CNMP não tem como termo inicial a data da instauração do processo administrativo disciplinar na corregedoria estadual, mas a data do seu julgamento, conforme se infere da Constituição da República, art. 130-A, § 2º, IV.</w:t>
        <w:br/>
        <w:t>[MS 35.461 ED-AgR, rel. min. Edson Fachin, j. 9-5-2023, 2ª T, DJE de 16-5-2023.] O constituinte, ao erigir o CNMP como órgão de controle externo do Ministério Público, atribuiu-lhe, expressamente, competência revisional ampla, de sorte que não há vinculação à aplicação da penalidade ou à gradação da sanção imputada pelo órgão</w:t>
      </w:r>
    </w:p>
    <w:p>
      <w:pPr>
        <w:ind w:left="288"/>
      </w:pPr>
      <w:r>
        <w:rPr>
          <w:b/>
          <w:color w:val="003CA0"/>
          <w:sz w:val="16"/>
        </w:rPr>
        <w:t>[MS 28.827, rel. min. Cármen Lúcia, j. 28-8-2012, 1ª T, DJE de 9-10-2012.]</w:t>
      </w:r>
    </w:p>
    <w:p>
      <w:pPr>
        <w:ind w:left="288"/>
      </w:pPr>
      <w:r>
        <w:rPr>
          <w:color w:val="8C8C8C"/>
          <w:sz w:val="12"/>
        </w:rPr>
        <w:t>cf-art-130-par-2-inc-IV</w:t>
      </w:r>
    </w:p>
    <w:p>
      <w:pPr>
        <w:ind w:left="288"/>
      </w:pPr>
      <w:r>
        <w:rPr>
          <w:color w:val="1E1E1E"/>
          <w:sz w:val="18"/>
        </w:rPr>
        <w:t>V - elaborar relatório anual, propondo as providências que julgar necessárias sobre a situação do Ministério Público no País e as atividades do Conselho, o qual deve integrar a mensagem prevista no art. 84, XI. (Incluído pela EC 45/2004)</w:t>
      </w:r>
    </w:p>
    <w:p>
      <w:pPr>
        <w:ind w:left="288"/>
      </w:pPr>
      <w:r>
        <w:rPr>
          <w:color w:val="8C8C8C"/>
          <w:sz w:val="12"/>
        </w:rPr>
        <w:t>cf-art-130-par-4</w:t>
      </w:r>
    </w:p>
    <w:p>
      <w:pPr>
        <w:ind w:left="288"/>
      </w:pPr>
      <w:r>
        <w:rPr>
          <w:color w:val="1E1E1E"/>
          <w:sz w:val="18"/>
        </w:rPr>
        <w:t>§ 5º Leis da União e dos Estados criarão ouvidorias do Ministério Público, competentes para receber reclamações e denúncias de qualquer interessado contra membros ou órgãos do Ministério Público, inclusive contra seus serviços auxiliares, representando diretamente ao Conselho Nacional do Ministério Público. (Incluído pela EC 45/2004) Seção II Da Advocacia Pública (Redação da EC 19/1998) SUMÁRIO</w:t>
      </w:r>
    </w:p>
    <w:p>
      <w:r>
        <w:rPr>
          <w:b/>
          <w:color w:val="003366"/>
          <w:sz w:val="20"/>
        </w:rPr>
        <w:t>Art. 130 A. O Conselho Nacional do Ministério Público compõe-se de quatorze memb</w:t>
      </w:r>
      <w:r>
        <w:rPr>
          <w:color w:val="8C8C8C"/>
          <w:sz w:val="14"/>
        </w:rPr>
        <w:t xml:space="preserve">  [28 decisoes]</w:t>
      </w:r>
    </w:p>
    <w:p>
      <w:pPr>
        <w:ind w:left="288"/>
      </w:pPr>
      <w:r>
        <w:rPr>
          <w:color w:val="8C8C8C"/>
          <w:sz w:val="12"/>
        </w:rPr>
        <w:t>cf-art-130</w:t>
      </w:r>
      <w:r>
        <w:rPr>
          <w:color w:val="003CA0"/>
          <w:sz w:val="12"/>
        </w:rPr>
        <w:t xml:space="preserve"> | ADI 5.254</w:t>
      </w:r>
      <w:r>
        <w:rPr>
          <w:color w:val="003CA0"/>
          <w:sz w:val="12"/>
        </w:rPr>
        <w:t xml:space="preserve"> | rel. Luís Roberto Barroso</w:t>
      </w:r>
    </w:p>
    <w:p>
      <w:pPr>
        <w:ind w:left="288"/>
      </w:pPr>
      <w:r>
        <w:rPr>
          <w:color w:val="1E1E1E"/>
          <w:sz w:val="18"/>
        </w:rPr>
        <w:t>“É inconstitucional, por violação aos arts. 130 e 75 da CF/1988, norma estadual que confere autonomia administrativa e orçamentária ao Ministério Público Estadual junto ao Tribunal de Contas, garantida a independência funcional de seus membros e os meios necessários para o desempenho da função”.</w:t>
      </w:r>
    </w:p>
    <w:p>
      <w:pPr>
        <w:ind w:left="288"/>
      </w:pPr>
      <w:r>
        <w:rPr>
          <w:b/>
          <w:color w:val="003CA0"/>
          <w:sz w:val="16"/>
        </w:rPr>
        <w:t>[ADI 5.254, rel. min. Luís Roberto Barroso, j. 21.08.2024, P, DJE de 05.08.2025.]</w:t>
      </w:r>
    </w:p>
    <w:p>
      <w:pPr>
        <w:ind w:left="144"/>
      </w:pPr>
      <w:r>
        <w:rPr>
          <w:b/>
          <w:color w:val="B45A00"/>
          <w:sz w:val="16"/>
        </w:rPr>
        <w:t>CONTROLE CONCENTRADO</w:t>
      </w:r>
    </w:p>
    <w:p>
      <w:pPr>
        <w:ind w:left="288"/>
      </w:pPr>
      <w:r>
        <w:rPr>
          <w:color w:val="8C8C8C"/>
          <w:sz w:val="12"/>
        </w:rPr>
        <w:t>cf-art-130</w:t>
      </w:r>
      <w:r>
        <w:rPr>
          <w:color w:val="003CA0"/>
          <w:sz w:val="12"/>
        </w:rPr>
        <w:t xml:space="preserve"> | ADI 5.692</w:t>
      </w:r>
      <w:r>
        <w:rPr>
          <w:color w:val="003CA0"/>
          <w:sz w:val="12"/>
        </w:rPr>
        <w:t xml:space="preserve"> | rel. Rosa Weber</w:t>
      </w:r>
    </w:p>
    <w:p>
      <w:pPr>
        <w:ind w:left="288"/>
      </w:pPr>
      <w:r>
        <w:rPr>
          <w:color w:val="1E1E1E"/>
          <w:sz w:val="18"/>
        </w:rPr>
        <w:t>Esta Casa encerrou controvérsia jurídico-constitucional, de modo a consagrar, de forma definitiva, a integração do Ministério Público especial à intimidade estrutural do Tribunal de Contas, ou seja, o Parquet de Contas está intrinsecamente vinculado ao próprio Tribunal de Contas perante o qual oficia. (...) O termo investidura inscrito no art. 130 da Constituição Federal faz referência à forma como o membro do Parquet de Contas ingressa na carreira, estabelecendo o vínculo jurídico-administrativo originário com a Instituição. (...) Cabe aos Estados-membros, no desempenho de sua autonomia polít</w:t>
      </w:r>
    </w:p>
    <w:p>
      <w:pPr>
        <w:ind w:left="288"/>
      </w:pPr>
      <w:r>
        <w:rPr>
          <w:b/>
          <w:color w:val="003CA0"/>
          <w:sz w:val="16"/>
        </w:rPr>
        <w:t>[ADI 328, rel. min. Ricardo Lewandowski, j. 2-2-2009, P, DJE de 6-3-2009.]</w:t>
      </w:r>
    </w:p>
    <w:p>
      <w:pPr>
        <w:ind w:left="288"/>
      </w:pPr>
      <w:r>
        <w:rPr>
          <w:color w:val="8C8C8C"/>
          <w:sz w:val="12"/>
        </w:rPr>
        <w:t>cf-art-130</w:t>
      </w:r>
      <w:r>
        <w:rPr>
          <w:color w:val="003CA0"/>
          <w:sz w:val="12"/>
        </w:rPr>
        <w:t xml:space="preserve"> | ADI 789</w:t>
      </w:r>
      <w:r>
        <w:rPr>
          <w:color w:val="003CA0"/>
          <w:sz w:val="12"/>
        </w:rPr>
        <w:t xml:space="preserve"> | rel. Ricardo Lewandowski</w:t>
      </w:r>
    </w:p>
    <w:p>
      <w:pPr>
        <w:ind w:left="288"/>
      </w:pPr>
      <w:r>
        <w:rPr>
          <w:color w:val="1E1E1E"/>
          <w:sz w:val="18"/>
        </w:rPr>
        <w:t>Segundo precedente do STF (ADI 789/DF), os procuradores das cortes de contas são ligados administrativamente a elas, sem qualquer vínculo com o Ministério Público comum. Além de violar os arts. 73, § 2º,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pPr>
        <w:ind w:left="288"/>
      </w:pPr>
      <w:r>
        <w:rPr>
          <w:b/>
          <w:color w:val="003CA0"/>
          <w:sz w:val="16"/>
        </w:rPr>
        <w:t>[ADI 3.315, rel. min. Ricardo Lewandowski, j. 6-3-2008, P, DJE de 11-4-2008.]</w:t>
      </w:r>
    </w:p>
    <w:p>
      <w:pPr>
        <w:ind w:left="288"/>
      </w:pPr>
      <w:r>
        <w:rPr>
          <w:color w:val="8C8C8C"/>
          <w:sz w:val="12"/>
        </w:rPr>
        <w:t>cf-art-130</w:t>
      </w:r>
      <w:r>
        <w:rPr>
          <w:color w:val="003CA0"/>
          <w:sz w:val="12"/>
        </w:rPr>
        <w:t xml:space="preserve"> | ADI 2.378</w:t>
      </w:r>
      <w:r>
        <w:rPr>
          <w:color w:val="003CA0"/>
          <w:sz w:val="12"/>
        </w:rPr>
        <w:t xml:space="preserve"> | rel. Maurício Corrêa</w:t>
      </w:r>
    </w:p>
    <w:p>
      <w:pPr>
        <w:ind w:left="288"/>
      </w:pPr>
      <w:r>
        <w:rPr>
          <w:color w:val="1E1E1E"/>
          <w:sz w:val="18"/>
        </w:rPr>
        <w:t>A cláusula de garantia inscrita no art. 130 da Constituição – que não outorgou ao Ministério Público especial as mesmas prerrogativas e atributos de autonomia conferidos ao Ministério Público comum – não se reveste de conteúdo orgânico-institucional. Acha-se vocacionada, no âmbito de sua destinação tutelar, a proteger, unicamente, os membros do Ministério Público especial no relevante desempenho de suas funções perante os tribunais de contas. Esse preceito da Lei Fundamental da República – que se projeta em uma dimensão de caráter estritamente subjetivo e pessoal – submete os integrantes do Mi</w:t>
      </w:r>
    </w:p>
    <w:p>
      <w:pPr>
        <w:ind w:left="288"/>
      </w:pPr>
      <w:r>
        <w:rPr>
          <w:b/>
          <w:color w:val="003CA0"/>
          <w:sz w:val="16"/>
        </w:rPr>
        <w:t>[ADI 2.378, rel. min. Maurício Corrêa, j. 19-5-2004, P, DJ de 6-9-2007.]</w:t>
      </w:r>
    </w:p>
    <w:p>
      <w:pPr>
        <w:ind w:left="288"/>
      </w:pPr>
      <w:r>
        <w:rPr>
          <w:color w:val="8C8C8C"/>
          <w:sz w:val="12"/>
        </w:rPr>
        <w:t>cf-art-130</w:t>
      </w:r>
      <w:r>
        <w:rPr>
          <w:color w:val="003CA0"/>
          <w:sz w:val="12"/>
        </w:rPr>
        <w:t xml:space="preserve"> | ADI 1.791</w:t>
      </w:r>
      <w:r>
        <w:rPr>
          <w:color w:val="003CA0"/>
          <w:sz w:val="12"/>
        </w:rPr>
        <w:t xml:space="preserve"> | rel. Sydney Sanches</w:t>
      </w:r>
    </w:p>
    <w:p>
      <w:pPr>
        <w:ind w:left="288"/>
      </w:pPr>
      <w:r>
        <w:rPr>
          <w:color w:val="1E1E1E"/>
          <w:sz w:val="18"/>
        </w:rPr>
        <w:t>(...) em se tratando de investidura no cargo de procurador-geral, no Ministério Público junto ao Tribunal de Contas do Estado, ela há de observar, também, o disposto no § 3º do art. 128 c/c o art. 130, competindo à própria instituição a formação de lista tríplice para sua escolha, depois, por nomeação pelo chefe do Poder Executivo, para mandato de dois anos, permitida uma recondução.</w:t>
      </w:r>
    </w:p>
    <w:p>
      <w:pPr>
        <w:ind w:left="288"/>
      </w:pPr>
      <w:r>
        <w:rPr>
          <w:b/>
          <w:color w:val="003CA0"/>
          <w:sz w:val="16"/>
        </w:rPr>
        <w:t>[ADI 1.791 MC, rel. min. Sydney Sanches, j. 23-4-1998, P, DJ de 11-9-1998.]</w:t>
      </w:r>
    </w:p>
    <w:p>
      <w:pPr>
        <w:ind w:left="144"/>
      </w:pPr>
      <w:r>
        <w:rPr>
          <w:b/>
          <w:color w:val="B45A00"/>
          <w:sz w:val="16"/>
        </w:rPr>
        <w:t>JULGADOS CORRELATOS</w:t>
      </w:r>
    </w:p>
    <w:p>
      <w:pPr>
        <w:ind w:left="288"/>
      </w:pPr>
      <w:r>
        <w:rPr>
          <w:color w:val="8C8C8C"/>
          <w:sz w:val="12"/>
        </w:rPr>
        <w:t>cf-art-130</w:t>
      </w:r>
      <w:r>
        <w:rPr>
          <w:color w:val="003CA0"/>
          <w:sz w:val="12"/>
        </w:rPr>
        <w:t xml:space="preserve"> | ADI 328</w:t>
      </w:r>
      <w:r>
        <w:rPr>
          <w:color w:val="003CA0"/>
          <w:sz w:val="12"/>
        </w:rPr>
        <w:t xml:space="preserve"> | rel. Marco Aurélio</w:t>
      </w:r>
    </w:p>
    <w:p>
      <w:pPr>
        <w:ind w:left="288"/>
      </w:pPr>
      <w:r>
        <w:rPr>
          <w:color w:val="1E1E1E"/>
          <w:sz w:val="18"/>
        </w:rPr>
        <w:t>Cumpre observar, na chefia do Ministério Público especial junto ao Tribunal de Contas do Estado de Santa Catarina, a composição do órgão, conforme decidido na ADI 328 (...). A cadeira reservada ao Ministério Público, no Tribunal de Contas, há de ser preenchida por integrante da categoria especial (...).</w:t>
      </w:r>
    </w:p>
    <w:p>
      <w:pPr>
        <w:ind w:left="288"/>
      </w:pPr>
      <w:r>
        <w:rPr>
          <w:b/>
          <w:color w:val="003CA0"/>
          <w:sz w:val="16"/>
        </w:rPr>
        <w:t>[Rcl 14.282 AgR-ED, rel. min. Marco Aurélio, j. 28-8-2014, P, DJE de 1º-10-2014.]</w:t>
      </w:r>
    </w:p>
    <w:p>
      <w:pPr>
        <w:ind w:left="288"/>
      </w:pPr>
      <w:r>
        <w:rPr>
          <w:color w:val="8C8C8C"/>
          <w:sz w:val="12"/>
        </w:rPr>
        <w:t>cf-art-130</w:t>
      </w:r>
      <w:r>
        <w:rPr>
          <w:color w:val="003CA0"/>
          <w:sz w:val="12"/>
        </w:rPr>
        <w:t xml:space="preserve"> | MS 27.339</w:t>
      </w:r>
      <w:r>
        <w:rPr>
          <w:color w:val="003CA0"/>
          <w:sz w:val="12"/>
        </w:rPr>
        <w:t xml:space="preserve"> | rel. Menezes Direito</w:t>
      </w:r>
    </w:p>
    <w:p>
      <w:pPr>
        <w:ind w:left="288"/>
      </w:pPr>
      <w:r>
        <w:rPr>
          <w:color w:val="1E1E1E"/>
          <w:sz w:val="18"/>
        </w:rPr>
        <w:t>Está assente na jurisprudência deste STF que o Ministério Público junto ao Tribunal de Contas possui fisionomia institucional própria, que não se confunde com a do Ministério Público comum, sejam os dos Estados, seja o da União, o que impede a atuação, ainda que transitória, de procuradores de justiça nos Tribunais de Contas (...). Escorreita a decisão do CNMP que determinou o imediato retorno de dois procuradores de justiça, que oficiavam perante o Tribunal de Contas do Estado do Rio Grande do Sul, às suas funções próprias no Ministério Público estadual, não sendo oponíveis os princípios da s</w:t>
      </w:r>
    </w:p>
    <w:p>
      <w:pPr>
        <w:ind w:left="288"/>
      </w:pPr>
      <w:r>
        <w:rPr>
          <w:b/>
          <w:color w:val="003CA0"/>
          <w:sz w:val="16"/>
        </w:rPr>
        <w:t>[MS 27.339, rel. min. Menezes Direito, j. 2-2-2009, P, DJE de 6-3-2009.]</w:t>
      </w:r>
    </w:p>
    <w:p>
      <w:pPr>
        <w:ind w:left="288"/>
      </w:pPr>
      <w:r>
        <w:rPr>
          <w:color w:val="8C8C8C"/>
          <w:sz w:val="12"/>
        </w:rPr>
        <w:t>cf-art-130</w:t>
      </w:r>
      <w:r>
        <w:rPr>
          <w:color w:val="003CA0"/>
          <w:sz w:val="12"/>
        </w:rPr>
        <w:t xml:space="preserve"> | ADI 3.307</w:t>
      </w:r>
      <w:r>
        <w:rPr>
          <w:color w:val="003CA0"/>
          <w:sz w:val="12"/>
        </w:rPr>
        <w:t xml:space="preserve"> | rel. Cármen Lúcia</w:t>
      </w:r>
    </w:p>
    <w:p>
      <w:pPr>
        <w:ind w:left="288"/>
      </w:pPr>
      <w:r>
        <w:rPr>
          <w:color w:val="1E1E1E"/>
          <w:sz w:val="18"/>
        </w:rPr>
        <w:t>= ADI 3.307, rel. min. Cármen Lúcia, j. 2-2-2009, P, DJE de 29-5-2009 Ato do TCU, que indeferiu pedido de encaminhamento do nome do impetrante ao presidente da República, para fins de nomeação no cargo de procurador do Ministério Público, junto ao TCU. Liminar deferida. O procurador-geral é nomeado não para cargo efetivo que integre a carreira, pois esta se compõe apenas dos cargos de procurador e subprocurador-geral. Incabível, no caso, a alegação de que nova vaga surgiu na carreira com a nomeação de um dos membros da carreira em foco ao cargo de procurador-geral junto ao TCU. Mandado de segu</w:t>
      </w:r>
    </w:p>
    <w:p>
      <w:pPr>
        <w:ind w:left="288"/>
      </w:pPr>
      <w:r>
        <w:rPr>
          <w:b/>
          <w:color w:val="003CA0"/>
          <w:sz w:val="16"/>
        </w:rPr>
        <w:t>[MS 23.247, rel. min. Néri da Silveira, j. 22-4-2002, P, DJ de 14-6-2002.]</w:t>
      </w:r>
    </w:p>
    <w:p>
      <w:pPr>
        <w:ind w:left="288"/>
      </w:pPr>
      <w:r>
        <w:rPr>
          <w:color w:val="8C8C8C"/>
          <w:sz w:val="12"/>
        </w:rPr>
        <w:t>cf-art-130</w:t>
      </w:r>
    </w:p>
    <w:p>
      <w:pPr>
        <w:ind w:left="288"/>
      </w:pPr>
      <w:r>
        <w:rPr>
          <w:color w:val="1E1E1E"/>
          <w:sz w:val="18"/>
        </w:rPr>
        <w:t>Art. 130-A. O Conselho Nacional do Ministério Público compõe-se de quatorze membros nomeados pelo Presidente da República, depois de aprovada a escolha pela maioria absoluta do Senado Federal, para um mandato de dois anos, admitida uma recondução, sendo: (Incluído pela EC 45/2004)</w:t>
      </w:r>
    </w:p>
    <w:p>
      <w:pPr>
        <w:ind w:left="144"/>
      </w:pPr>
      <w:r>
        <w:rPr>
          <w:b/>
          <w:color w:val="B45A00"/>
          <w:sz w:val="16"/>
        </w:rPr>
        <w:t>CONTROLE CONCENTRADO</w:t>
      </w:r>
    </w:p>
    <w:p>
      <w:pPr>
        <w:ind w:left="288"/>
      </w:pPr>
      <w:r>
        <w:rPr>
          <w:color w:val="8C8C8C"/>
          <w:sz w:val="12"/>
        </w:rPr>
        <w:t>cf-art-130</w:t>
      </w:r>
      <w:r>
        <w:rPr>
          <w:color w:val="003CA0"/>
          <w:sz w:val="12"/>
        </w:rPr>
        <w:t xml:space="preserve"> | ADI 3.472</w:t>
      </w:r>
      <w:r>
        <w:rPr>
          <w:color w:val="003CA0"/>
          <w:sz w:val="12"/>
        </w:rPr>
        <w:t xml:space="preserve"> | rel. Sepúlveda Pertence</w:t>
      </w:r>
    </w:p>
    <w:p>
      <w:pPr>
        <w:ind w:left="288"/>
      </w:pPr>
      <w:r>
        <w:rPr>
          <w:color w:val="1E1E1E"/>
          <w:sz w:val="18"/>
        </w:rPr>
        <w:t>CNMP: composição inicial (EC 45/2004, art. 5º, § 1º): densa plausibilidade da arguição de inconstitucionalidade de norma atributiva de competência transitória para a hipótese de não se efetivarem a tempo, na forma do texto permanente, as indicações ou escolhas dos membros do CNMP, por inobservância do processo legislativo previsto no § 2º do art. 60 da Constituição da República, dada a patente subversão do conteúdo da proposição aprovada pela Câmara dos Deputados, por força de emenda que lhe impôs o Senado, e afinal se enxertou no texto promulgado.</w:t>
      </w:r>
    </w:p>
    <w:p>
      <w:pPr>
        <w:ind w:left="288"/>
      </w:pPr>
      <w:r>
        <w:rPr>
          <w:b/>
          <w:color w:val="003CA0"/>
          <w:sz w:val="16"/>
        </w:rPr>
        <w:t>[ADI 3.472 MC, rel. min. Sepúlveda Pertence, j. 28-4-2005, P, DJ de 24-6-2005.]</w:t>
      </w:r>
    </w:p>
    <w:p>
      <w:pPr>
        <w:ind w:left="288"/>
      </w:pPr>
      <w:r>
        <w:rPr>
          <w:color w:val="8C8C8C"/>
          <w:sz w:val="12"/>
        </w:rPr>
        <w:t>cf-art-130-inc-V</w:t>
      </w:r>
    </w:p>
    <w:p>
      <w:pPr>
        <w:ind w:left="288"/>
      </w:pPr>
      <w:r>
        <w:rPr>
          <w:color w:val="1E1E1E"/>
          <w:sz w:val="18"/>
        </w:rPr>
        <w:t>VI - dois cidadãos de notável saber jurídico e reputação ilibada, indicados um pela Câmara dos Deputados e outro pelo Senado Federal. (Incluído pela EC 45/2004)</w:t>
      </w:r>
    </w:p>
    <w:p>
      <w:pPr>
        <w:ind w:left="288"/>
      </w:pPr>
      <w:r>
        <w:rPr>
          <w:color w:val="8C8C8C"/>
          <w:sz w:val="12"/>
        </w:rPr>
        <w:t>cf-art-130-par-1</w:t>
      </w:r>
      <w:r>
        <w:rPr>
          <w:color w:val="003CA0"/>
          <w:sz w:val="12"/>
        </w:rPr>
        <w:t xml:space="preserve"> | ADI 7.739</w:t>
      </w:r>
      <w:r>
        <w:rPr>
          <w:color w:val="003CA0"/>
          <w:sz w:val="12"/>
        </w:rPr>
        <w:t xml:space="preserve"> | rel. Cármen Lúcia</w:t>
      </w:r>
    </w:p>
    <w:p>
      <w:pPr>
        <w:ind w:left="288"/>
      </w:pPr>
      <w:r>
        <w:rPr>
          <w:color w:val="1E1E1E"/>
          <w:sz w:val="18"/>
        </w:rPr>
        <w:t>Ministério público. Incs. I, II e IV do art. 3º da Lei n. 11.372/2006, que regulamentam o § 1º do art. 130-a da Constituição da República. Vedação aos membros do Ministério Público durante o exercício do mandato no Conselho Nacional do Ministério Público. (...) As disposições relativas à organização, às atribuições e ao estatuto dos Ministérios Públicos devem ser estabelecidas em estrita observância à reserva de lei complementar prevista no § 5º do art. 128 da Constituição da República. É formalmente inconstitucional a norma impugnada, pois versa sobre matéria reservada a lei complementar.</w:t>
      </w:r>
    </w:p>
    <w:p>
      <w:pPr>
        <w:ind w:left="288"/>
      </w:pPr>
      <w:r>
        <w:rPr>
          <w:b/>
          <w:color w:val="003CA0"/>
          <w:sz w:val="16"/>
        </w:rPr>
        <w:t>[ADI 7.739, rel. min. Cármen Lúcia, j. 19.03.2025, P, DJE de 14.05.2025.]</w:t>
      </w:r>
    </w:p>
    <w:p>
      <w:pPr>
        <w:ind w:left="288"/>
      </w:pPr>
      <w:r>
        <w:rPr>
          <w:color w:val="8C8C8C"/>
          <w:sz w:val="12"/>
        </w:rPr>
        <w:t>cf-art-130-par-2-inc-I</w:t>
      </w:r>
      <w:r>
        <w:rPr>
          <w:color w:val="003CA0"/>
          <w:sz w:val="12"/>
        </w:rPr>
        <w:t xml:space="preserve"> | ADI 5.454</w:t>
      </w:r>
      <w:r>
        <w:rPr>
          <w:color w:val="003CA0"/>
          <w:sz w:val="12"/>
        </w:rPr>
        <w:t xml:space="preserve"> | rel. Alexandre de Moraes</w:t>
      </w:r>
    </w:p>
    <w:p>
      <w:pPr>
        <w:ind w:left="288"/>
      </w:pPr>
      <w:r>
        <w:rPr>
          <w:color w:val="1E1E1E"/>
          <w:sz w:val="18"/>
        </w:rPr>
        <w:t>O Conselho Nacional do Ministério Público (CNMP) possui capacidade para a expedição de atos normativos autônomos (CF, art. 130-A, § 2º, I), desde que o conteúdo disciplinado na norma editada se insira no seu âmbito de atribuições constitucionais.</w:t>
      </w:r>
    </w:p>
    <w:p>
      <w:pPr>
        <w:ind w:left="288"/>
      </w:pPr>
      <w:r>
        <w:rPr>
          <w:b/>
          <w:color w:val="003CA0"/>
          <w:sz w:val="16"/>
        </w:rPr>
        <w:t>[ADI 5.454, rel. min. Alexandre de Moraes, j. 15-4-2020, P, DJE de 20-5-2020.]</w:t>
      </w:r>
    </w:p>
    <w:p>
      <w:pPr>
        <w:ind w:left="288"/>
      </w:pPr>
      <w:r>
        <w:rPr>
          <w:color w:val="8C8C8C"/>
          <w:sz w:val="12"/>
        </w:rPr>
        <w:t>cf-art-130-par-2-inc-I</w:t>
      </w:r>
      <w:r>
        <w:rPr>
          <w:color w:val="003CA0"/>
          <w:sz w:val="12"/>
        </w:rPr>
        <w:t xml:space="preserve"> | ADI 4.263</w:t>
      </w:r>
      <w:r>
        <w:rPr>
          <w:color w:val="003CA0"/>
          <w:sz w:val="12"/>
        </w:rPr>
        <w:t xml:space="preserve"> | rel. Roberto Barroso</w:t>
      </w:r>
    </w:p>
    <w:p>
      <w:pPr>
        <w:ind w:left="288"/>
      </w:pPr>
      <w:r>
        <w:rPr>
          <w:color w:val="1E1E1E"/>
          <w:sz w:val="18"/>
        </w:rPr>
        <w:t>Interceptação telefônica. Resolução editada pelo CNMP no exercício de sua competência constitucional, em caráter geral e abstrato, não constitui ato normativo secundário. (...) Breves considerações sobre interceptações telefônicas: fundamentação das decisões, prorrogações e transcrições. O ato impugnado insere-se na competência do CNMP de disciplinar os deveres funcionais dos membros do Ministério Público, entre os quais o dever de sigilo, e de zelar pela observância dos princípios previstos no art. 37 da Constituição, aí incluído o princípio da eficiência. Ausência de violação à reserva de le</w:t>
      </w:r>
    </w:p>
    <w:p>
      <w:pPr>
        <w:ind w:left="288"/>
      </w:pPr>
      <w:r>
        <w:rPr>
          <w:b/>
          <w:color w:val="003CA0"/>
          <w:sz w:val="16"/>
        </w:rPr>
        <w:t>[Pet 4.891, red. do ac. min. Alexandre de Moraes, j. 16-6-2020, P, DJE de 6-8-2020.]</w:t>
      </w:r>
    </w:p>
    <w:p>
      <w:pPr>
        <w:ind w:left="144"/>
      </w:pPr>
      <w:r>
        <w:rPr>
          <w:b/>
          <w:color w:val="B45A00"/>
          <w:sz w:val="16"/>
        </w:rPr>
        <w:t>JULGADOS CORRELATOS</w:t>
      </w:r>
    </w:p>
    <w:p>
      <w:pPr>
        <w:ind w:left="288"/>
      </w:pPr>
      <w:r>
        <w:rPr>
          <w:color w:val="8C8C8C"/>
          <w:sz w:val="12"/>
        </w:rPr>
        <w:t>cf-art-130-par-2-inc-I</w:t>
      </w:r>
      <w:r>
        <w:rPr>
          <w:color w:val="003CA0"/>
          <w:sz w:val="12"/>
        </w:rPr>
        <w:t xml:space="preserve"> | ACO 843</w:t>
      </w:r>
    </w:p>
    <w:p>
      <w:pPr>
        <w:ind w:left="288"/>
      </w:pPr>
      <w:r>
        <w:rPr>
          <w:color w:val="1E1E1E"/>
          <w:sz w:val="18"/>
        </w:rPr>
        <w:t>EC 45/2004 e interpretação sistemática da Constituição Federal. A solução de conflitos de atribuições entre ramos diversos dos Ministérios Públicos pelo CNMP, nos termos do artigo 130-A, § 2º, e incisos I e II, da Constituição Federal e no exercício do controle da atuação administrativa do Parquet, é a mais adequada, pois reforça o mandamento constitucional que lhe atribuiu o controle da legalidade das ações administrativas dos membros e órgãos dos diversos ramos ministeriais, sem ingressar ou ferir a independência funcional.</w:t>
      </w:r>
    </w:p>
    <w:p>
      <w:pPr>
        <w:ind w:left="288"/>
      </w:pPr>
      <w:r>
        <w:rPr>
          <w:b/>
          <w:color w:val="003CA0"/>
          <w:sz w:val="16"/>
        </w:rPr>
        <w:t>[ACO 843, red. do ac. min. Alexandre de Moraes, j. 8-6-2020, P, DJE de 4-11-2020.]</w:t>
      </w:r>
    </w:p>
    <w:p>
      <w:pPr>
        <w:ind w:left="288"/>
      </w:pPr>
      <w:r>
        <w:rPr>
          <w:color w:val="8C8C8C"/>
          <w:sz w:val="12"/>
        </w:rPr>
        <w:t>cf-art-130-par-2-inc-I</w:t>
      </w:r>
      <w:r>
        <w:rPr>
          <w:color w:val="003CA0"/>
          <w:sz w:val="12"/>
        </w:rPr>
        <w:t xml:space="preserve"> | MS 28.408</w:t>
      </w:r>
      <w:r>
        <w:rPr>
          <w:color w:val="003CA0"/>
          <w:sz w:val="12"/>
        </w:rPr>
        <w:t xml:space="preserve"> | rel. Cármen Lúcia</w:t>
      </w:r>
    </w:p>
    <w:p>
      <w:pPr>
        <w:ind w:left="288"/>
      </w:pPr>
      <w:r>
        <w:rPr>
          <w:color w:val="1E1E1E"/>
          <w:sz w:val="18"/>
        </w:rPr>
        <w:t>Mandado de segurança. Representação para preservação da autonomia do Ministério Público. Competência do CNMP estabelecida no art. 130-A, I, § 2º, da Constituição da República. Segurança denegada. A independência funcional garantida ao impetrante pelo art. 127, § 1º, da Constituição da República não é irrestrita, pois o membro do Ministério Público deve respeito à Constituição da República e às leis. Compete ao CNMP zelar pela autonomia funcional do Ministério Público, conforme dispõe o inc. I do § 2º do art. 130-A da Constituição da República.</w:t>
      </w:r>
    </w:p>
    <w:p>
      <w:pPr>
        <w:ind w:left="288"/>
      </w:pPr>
      <w:r>
        <w:rPr>
          <w:b/>
          <w:color w:val="003CA0"/>
          <w:sz w:val="16"/>
        </w:rPr>
        <w:t>[MS 28.408, rel. min. Cármen Lúcia, j. 18-3-2014, 2ª T, DJE de 13-6-2014.]</w:t>
      </w:r>
    </w:p>
    <w:p>
      <w:pPr>
        <w:ind w:left="288"/>
      </w:pPr>
      <w:r>
        <w:rPr>
          <w:color w:val="8C8C8C"/>
          <w:sz w:val="12"/>
        </w:rPr>
        <w:t>cf-art-130-par-2-inc-I</w:t>
      </w:r>
      <w:r>
        <w:rPr>
          <w:color w:val="003CA0"/>
          <w:sz w:val="12"/>
        </w:rPr>
        <w:t xml:space="preserve"> | ADI 4.263</w:t>
      </w:r>
      <w:r>
        <w:rPr>
          <w:color w:val="003CA0"/>
          <w:sz w:val="12"/>
        </w:rPr>
        <w:t xml:space="preserve"> | rel. Roberto Barroso</w:t>
      </w:r>
    </w:p>
    <w:p>
      <w:pPr>
        <w:ind w:left="288"/>
      </w:pPr>
      <w:r>
        <w:rPr>
          <w:color w:val="1E1E1E"/>
          <w:sz w:val="18"/>
        </w:rPr>
        <w:t xml:space="preserve">II - zelar pela observância do art. 37 e apreciar, de ofício ou mediante provocação, a legalidade dos atos administrativos praticados por membros ou órgãos do Ministério Público da União e dos Estados, podendo desconstituí-los, revê-los ou fixar prazo para que se adotem as providências necessárias ao exato cumprimento da lei, sem prejuízo da competência dos Tribunais de Contas; (Incluído pela EC 45/2004) O Supremo Tribunal Federal já decidiu que o conteúdo da resolução impugnada se insere na competência do CNMP para disciplinar os deveres funcionais dos membros do Ministério Público, entre os </w:t>
      </w:r>
    </w:p>
    <w:p>
      <w:pPr>
        <w:ind w:left="288"/>
      </w:pPr>
      <w:r>
        <w:rPr>
          <w:b/>
          <w:color w:val="003CA0"/>
          <w:sz w:val="16"/>
        </w:rPr>
        <w:t>[ADI 5.315, rel. min. Roberto Barroso, j. 25-8-2023, P, DJE de 07.11.2023.]</w:t>
      </w:r>
    </w:p>
    <w:p>
      <w:pPr>
        <w:ind w:left="288"/>
      </w:pPr>
      <w:r>
        <w:rPr>
          <w:color w:val="8C8C8C"/>
          <w:sz w:val="12"/>
        </w:rPr>
        <w:t>cf-art-130-par-2-inc-I</w:t>
      </w:r>
      <w:r>
        <w:rPr>
          <w:color w:val="003CA0"/>
          <w:sz w:val="12"/>
        </w:rPr>
        <w:t xml:space="preserve"> | ADI 5.454</w:t>
      </w:r>
      <w:r>
        <w:rPr>
          <w:color w:val="003CA0"/>
          <w:sz w:val="12"/>
        </w:rPr>
        <w:t xml:space="preserve"> | rel. Alexandre de Moraes</w:t>
      </w:r>
    </w:p>
    <w:p>
      <w:pPr>
        <w:ind w:left="288"/>
      </w:pPr>
      <w:r>
        <w:rPr>
          <w:color w:val="1E1E1E"/>
          <w:sz w:val="18"/>
        </w:rPr>
        <w:t>Resolução 27/2008 do Conselho Nacional do Ministério Público (CNMP). Exercício legítimo de suas atribuições constitucionais. Vedação ao exercício da advocacia por parte dos servidores do Ministério Público dos Estados e da União. (...) A Resolução 27/2008 do CNMP tem por objetivo assegurar a observância dos princípios constitucionais da isonomia, da moralidade e da eficiência no Ministério Público, estando, portanto, abrangida pelo escopo de atuação do CNMP (CF, art. 130-A, § 2º, II).</w:t>
        <w:br/>
        <w:t>[ADI 5.454, rel. min. Alexandre de Moraes, j. 15-4-2020, P, DJE de 20-5-2020.] Interceptação telefônica. Resol</w:t>
      </w:r>
    </w:p>
    <w:p>
      <w:pPr>
        <w:ind w:left="288"/>
      </w:pPr>
      <w:r>
        <w:rPr>
          <w:color w:val="8C8C8C"/>
          <w:sz w:val="12"/>
        </w:rPr>
        <w:t>cf-art-130-par-2-inc-I</w:t>
      </w:r>
      <w:r>
        <w:rPr>
          <w:color w:val="003CA0"/>
          <w:sz w:val="12"/>
        </w:rPr>
        <w:t xml:space="preserve"> | MS 31.523</w:t>
      </w:r>
      <w:r>
        <w:rPr>
          <w:color w:val="003CA0"/>
          <w:sz w:val="12"/>
        </w:rPr>
        <w:t xml:space="preserve"> | rel. Celso de Mello</w:t>
      </w:r>
    </w:p>
    <w:p>
      <w:pPr>
        <w:ind w:left="288"/>
      </w:pPr>
      <w:r>
        <w:rPr>
          <w:color w:val="1E1E1E"/>
          <w:sz w:val="18"/>
        </w:rPr>
        <w:t>Conselho Nacional do Ministério Público. Órgão constitucional de perfil estritamente administrativo. Consequente impossibilidade jurídica de impor aos integrantes do Ministério Público da União e dos estados-membros, que gozam do predicamento constitucional da vitaliciedade (CF, art. 128, § 5º, inciso I, a), a sanção de perda do cargo. A vitaliciedade como garantia de independência funcional assegurada ao membro do Ministério Público.</w:t>
      </w:r>
    </w:p>
    <w:p>
      <w:pPr>
        <w:ind w:left="288"/>
      </w:pPr>
      <w:r>
        <w:rPr>
          <w:b/>
          <w:color w:val="003CA0"/>
          <w:sz w:val="16"/>
        </w:rPr>
        <w:t>[MS 31.523 AgR, rel. min. Celso de Mello, j. 3-10-2020, 2ª T, DJE de 8-10-2020.]</w:t>
      </w:r>
    </w:p>
    <w:p>
      <w:pPr>
        <w:ind w:left="288"/>
      </w:pPr>
      <w:r>
        <w:rPr>
          <w:color w:val="8C8C8C"/>
          <w:sz w:val="12"/>
        </w:rPr>
        <w:t>cf-art-130-par-2-inc-I</w:t>
      </w:r>
      <w:r>
        <w:rPr>
          <w:color w:val="003CA0"/>
          <w:sz w:val="12"/>
        </w:rPr>
        <w:t xml:space="preserve"> | PET 4.891</w:t>
      </w:r>
    </w:p>
    <w:p>
      <w:pPr>
        <w:ind w:left="288"/>
      </w:pPr>
      <w:r>
        <w:rPr>
          <w:color w:val="1E1E1E"/>
          <w:sz w:val="18"/>
        </w:rPr>
        <w:t>Os membros do Ministério Público integram um só órgão sob a direção única de um só Procurador-Geral, ressalvando-se, porém, que só existem unidade e indivisibilidade dentro de cada Ministério Público, inexistindo qualquer relação de hierarquia entre o Ministério Público Federal e os dos Estados, entre o de um Estado e o de outro, ou entre os diversos ramos do Ministério Público da União. EC 45/2004 e interpretação sistemática da Constituição Federal. A solução de conflitos de atribuições entre ramos diversos dos Ministérios Públicos pelo CNMP, nos termos do artigo 130-A, § 2º, e incisos I e II</w:t>
      </w:r>
    </w:p>
    <w:p>
      <w:pPr>
        <w:ind w:left="288"/>
      </w:pPr>
      <w:r>
        <w:rPr>
          <w:b/>
          <w:color w:val="003CA0"/>
          <w:sz w:val="16"/>
        </w:rPr>
        <w:t>[Pet 4.891, red. do ac. min. Alexandre de Moraes, j. 16-6-2020, P, DJE de 6-8-2020.]</w:t>
      </w:r>
    </w:p>
    <w:p>
      <w:pPr>
        <w:ind w:left="288"/>
      </w:pPr>
      <w:r>
        <w:rPr>
          <w:color w:val="8C8C8C"/>
          <w:sz w:val="12"/>
        </w:rPr>
        <w:t>cf-art-130-par-2-inc-I</w:t>
      </w:r>
      <w:r>
        <w:rPr>
          <w:color w:val="003CA0"/>
          <w:sz w:val="12"/>
        </w:rPr>
        <w:t xml:space="preserve"> | ACO 843</w:t>
      </w:r>
    </w:p>
    <w:p>
      <w:pPr>
        <w:ind w:left="288"/>
      </w:pPr>
      <w:r>
        <w:rPr>
          <w:color w:val="1E1E1E"/>
          <w:sz w:val="18"/>
        </w:rPr>
        <w:t>EC 45/2004 e interpretação sistemática da Constituição Federal. A solução de conflitos de atribuições entre ramos diversos dos Ministérios Públicos pelo CNMP, nos termos do artigo 130-A, § 2º, e incisos I e II, da Constituição Federal e no exercício do controle da atuação administrativa do Parquet, é a mais adequada, pois reforça o mandamento constitucional que lhe atribuiu o controle da legalidade das ações administrativas dos membros e órgãos dos diversos ramos ministeriais, sem ingressar ou ferir a independência funcional.</w:t>
      </w:r>
    </w:p>
    <w:p>
      <w:pPr>
        <w:ind w:left="288"/>
      </w:pPr>
      <w:r>
        <w:rPr>
          <w:b/>
          <w:color w:val="003CA0"/>
          <w:sz w:val="16"/>
        </w:rPr>
        <w:t>[ACO 843, red. do ac. min. Alexandre de Moraes, j. 8-6-2020, P, DJE de 4-11-2020.]</w:t>
      </w:r>
    </w:p>
    <w:p>
      <w:pPr>
        <w:ind w:left="288"/>
      </w:pPr>
      <w:r>
        <w:rPr>
          <w:color w:val="8C8C8C"/>
          <w:sz w:val="12"/>
        </w:rPr>
        <w:t>cf-art-130-par-2-inc-I</w:t>
      </w:r>
      <w:r>
        <w:rPr>
          <w:color w:val="003CA0"/>
          <w:sz w:val="12"/>
        </w:rPr>
        <w:t xml:space="preserve"> | MS 27.744</w:t>
      </w:r>
      <w:r>
        <w:rPr>
          <w:color w:val="003CA0"/>
          <w:sz w:val="12"/>
        </w:rPr>
        <w:t xml:space="preserve"> | rel. Luiz Fux</w:t>
      </w:r>
    </w:p>
    <w:p>
      <w:pPr>
        <w:ind w:left="288"/>
      </w:pPr>
      <w:r>
        <w:rPr>
          <w:color w:val="1E1E1E"/>
          <w:sz w:val="18"/>
        </w:rPr>
        <w:t>O CNMP não ostenta competência para efetuar controle de constitucionalidade de lei, posto consabido tratar-se de órgão de natureza administrativa, cuja atribuição adstringe-se ao controle da legitimidade dos atos administrativos praticados por membros ou órgãos do Ministério Público federal e estadual (...).</w:t>
      </w:r>
    </w:p>
    <w:p>
      <w:pPr>
        <w:ind w:left="288"/>
      </w:pPr>
      <w:r>
        <w:rPr>
          <w:b/>
          <w:color w:val="003CA0"/>
          <w:sz w:val="16"/>
        </w:rPr>
        <w:t>[MS 27.744, rel. min. Luiz Fux, j. 6-5-2014, 1ª T, DJE de 8-6-2015.]</w:t>
      </w:r>
    </w:p>
    <w:p>
      <w:pPr>
        <w:ind w:left="288"/>
      </w:pPr>
      <w:r>
        <w:rPr>
          <w:color w:val="8C8C8C"/>
          <w:sz w:val="12"/>
        </w:rPr>
        <w:t>cf-art-130-par-2-inc-I</w:t>
      </w:r>
      <w:r>
        <w:rPr>
          <w:color w:val="003CA0"/>
          <w:sz w:val="12"/>
        </w:rPr>
        <w:t xml:space="preserve"> | MS 28.028</w:t>
      </w:r>
      <w:r>
        <w:rPr>
          <w:color w:val="003CA0"/>
          <w:sz w:val="12"/>
        </w:rPr>
        <w:t xml:space="preserve"> | rel. Cármen Lúcia</w:t>
      </w:r>
    </w:p>
    <w:p>
      <w:pPr>
        <w:ind w:left="288"/>
      </w:pPr>
      <w:r>
        <w:rPr>
          <w:color w:val="1E1E1E"/>
          <w:sz w:val="18"/>
        </w:rPr>
        <w:t>CNMP. Anulação de ato do Conselho Superior do Ministério Público do Estado do Espírito Santo em termo de ajustamento de conduta. Atividade-fim do Ministério Público estadual. Interferência na autonomia administrativa e na independência funcional do Conselho Superior do Ministério Público no Espírito Santo. Mandado de segurança concedido.</w:t>
      </w:r>
    </w:p>
    <w:p>
      <w:pPr>
        <w:ind w:left="288"/>
      </w:pPr>
      <w:r>
        <w:rPr>
          <w:b/>
          <w:color w:val="003CA0"/>
          <w:sz w:val="16"/>
        </w:rPr>
        <w:t>[MS 28.028, rel. min. Cármen Lúcia, j. 30-10-2012, 2ª T, DJE de 7-6-2013.]</w:t>
      </w:r>
    </w:p>
    <w:p>
      <w:pPr>
        <w:ind w:left="288"/>
      </w:pPr>
      <w:r>
        <w:rPr>
          <w:color w:val="8C8C8C"/>
          <w:sz w:val="12"/>
        </w:rPr>
        <w:t>cf-art-130-par-2-inc-I</w:t>
      </w:r>
    </w:p>
    <w:p>
      <w:pPr>
        <w:ind w:left="288"/>
      </w:pPr>
      <w:r>
        <w:rPr>
          <w:color w:val="1E1E1E"/>
          <w:sz w:val="18"/>
        </w:rPr>
        <w:t>III - receber e conhecer das reclamações contra membros ou órgãos do Ministério Público da União ou dos Estados, inclusive contra seus serviços auxiliares, sem prejuízo da competência disciplinar e correicional da instituição, podendo avocar processos disciplinares em curso, determinar a remoção ou a disponibilidade e aplicar outras sanções administrativas, assegurada ampla defesa; (Redação da EC 103/2019)</w:t>
      </w:r>
    </w:p>
    <w:p>
      <w:pPr>
        <w:ind w:left="288"/>
      </w:pPr>
      <w:r>
        <w:rPr>
          <w:color w:val="8C8C8C"/>
          <w:sz w:val="12"/>
        </w:rPr>
        <w:t>cf-art-130-par-2-inc-I</w:t>
      </w:r>
      <w:r>
        <w:rPr>
          <w:color w:val="003CA0"/>
          <w:sz w:val="12"/>
        </w:rPr>
        <w:t xml:space="preserve"> | MS 30.493</w:t>
      </w:r>
    </w:p>
    <w:p>
      <w:pPr>
        <w:ind w:left="288"/>
      </w:pPr>
      <w:r>
        <w:rPr>
          <w:color w:val="1E1E1E"/>
          <w:sz w:val="18"/>
        </w:rPr>
        <w:t>A competência do Conselho Nacional do Ministério Público para a aplicação de sanções disciplinares, inclusive a penalidade de demissão, está prevista pelo artigo 130-A, §2º, inciso III da Constituição da República, ficando a eficácia dessa sanção submetida ao ajuizamento de ação cível para a perda do cargo pela Procuradoria-Geral da República.</w:t>
      </w:r>
    </w:p>
    <w:p>
      <w:pPr>
        <w:ind w:left="288"/>
      </w:pPr>
      <w:r>
        <w:rPr>
          <w:b/>
          <w:color w:val="003CA0"/>
          <w:sz w:val="16"/>
        </w:rPr>
        <w:t>[MS 30.493, red. do ac. min. Edson Fachin, j. 16-6-2020, P, DJE de 21-9-2020.]</w:t>
      </w:r>
    </w:p>
    <w:p>
      <w:pPr>
        <w:ind w:left="288"/>
      </w:pPr>
      <w:r>
        <w:rPr>
          <w:color w:val="8C8C8C"/>
          <w:sz w:val="12"/>
        </w:rPr>
        <w:t>cf-art-130-par-2-inc-IV</w:t>
      </w:r>
      <w:r>
        <w:rPr>
          <w:color w:val="003CA0"/>
          <w:sz w:val="12"/>
        </w:rPr>
        <w:t xml:space="preserve"> | MS 35.461</w:t>
      </w:r>
      <w:r>
        <w:rPr>
          <w:color w:val="003CA0"/>
          <w:sz w:val="12"/>
        </w:rPr>
        <w:t xml:space="preserve"> | rel. Edson Fachin</w:t>
      </w:r>
    </w:p>
    <w:p>
      <w:pPr>
        <w:ind w:left="288"/>
      </w:pPr>
      <w:r>
        <w:rPr>
          <w:color w:val="1E1E1E"/>
          <w:sz w:val="18"/>
        </w:rPr>
        <w:t>O prazo para a instauração do processo revisional no CNMP não tem como termo inicial a data da instauração do processo administrativo disciplinar na corregedoria estadual, mas a data do seu julgamento, conforme se infere da Constituição da República, art. 130-A, § 2º, IV.</w:t>
        <w:br/>
        <w:t>[MS 35.461 ED-AgR, rel. min. Edson Fachin, j. 9-5-2023, 2ª T, DJE de 16-5-2023.] O constituinte, ao erigir o CNMP como órgão de controle externo do Ministério Público, atribuiu-lhe, expressamente, competência revisional ampla, de sorte que não há vinculação à aplicação da penalidade ou à gradação da sanção imputada pelo órgão</w:t>
      </w:r>
    </w:p>
    <w:p>
      <w:pPr>
        <w:ind w:left="288"/>
      </w:pPr>
      <w:r>
        <w:rPr>
          <w:b/>
          <w:color w:val="003CA0"/>
          <w:sz w:val="16"/>
        </w:rPr>
        <w:t>[MS 28.827, rel. min. Cármen Lúcia, j. 28-8-2012, 1ª T, DJE de 9-10-2012.]</w:t>
      </w:r>
    </w:p>
    <w:p>
      <w:pPr>
        <w:ind w:left="288"/>
      </w:pPr>
      <w:r>
        <w:rPr>
          <w:color w:val="8C8C8C"/>
          <w:sz w:val="12"/>
        </w:rPr>
        <w:t>cf-art-130-par-2-inc-IV</w:t>
      </w:r>
    </w:p>
    <w:p>
      <w:pPr>
        <w:ind w:left="288"/>
      </w:pPr>
      <w:r>
        <w:rPr>
          <w:color w:val="1E1E1E"/>
          <w:sz w:val="18"/>
        </w:rPr>
        <w:t>V - elaborar relatório anual, propondo as providências que julgar necessárias sobre a situação do Ministério Público no País e as atividades do Conselho, o qual deve integrar a mensagem prevista no art. 84, XI. (Incluído pela EC 45/2004)</w:t>
      </w:r>
    </w:p>
    <w:p>
      <w:pPr>
        <w:ind w:left="288"/>
      </w:pPr>
      <w:r>
        <w:rPr>
          <w:color w:val="8C8C8C"/>
          <w:sz w:val="12"/>
        </w:rPr>
        <w:t>cf-art-130-par-4</w:t>
      </w:r>
    </w:p>
    <w:p>
      <w:pPr>
        <w:ind w:left="288"/>
      </w:pPr>
      <w:r>
        <w:rPr>
          <w:color w:val="1E1E1E"/>
          <w:sz w:val="18"/>
        </w:rPr>
        <w:t>§ 5º Leis da União e dos Estados criarão ouvidorias do Ministério Público, competentes para receber reclamações e denúncias de qualquer interessado contra membros ou órgãos do Ministério Público, inclusive contra seus serviços auxiliares, representando diretamente ao Conselho Nacional do Ministério Público. (Incluído pela EC 45/2004) Seção II Da Advocacia Pública (Redação da EC 19/1998) SUMÁRIO</w:t>
      </w:r>
    </w:p>
    <w:p>
      <w:pPr>
        <w:ind w:left="432"/>
      </w:pPr>
      <w:r>
        <w:rPr>
          <w:color w:val="003366"/>
          <w:sz w:val="18"/>
        </w:rPr>
        <w:t xml:space="preserve">§ 1 Os membros do Conselho oriundos do Ministério Público serão indicados pelos </w:t>
      </w:r>
    </w:p>
    <w:p>
      <w:pPr>
        <w:ind w:left="432"/>
      </w:pPr>
      <w:r>
        <w:rPr>
          <w:color w:val="003366"/>
          <w:sz w:val="18"/>
        </w:rPr>
        <w:t>§ 2 Compete ao Conselho Nacional do Ministério Público o controle da atuação adm</w:t>
      </w:r>
    </w:p>
    <w:p>
      <w:pPr>
        <w:ind w:left="720"/>
      </w:pPr>
      <w:r>
        <w:rPr>
          <w:color w:val="003366"/>
          <w:sz w:val="18"/>
        </w:rPr>
        <w:t xml:space="preserve">III – receber e conhecer das reclamações contra membros ou órgãos do Ministério </w:t>
      </w:r>
    </w:p>
    <w:p>
      <w:pPr>
        <w:ind w:left="432"/>
      </w:pPr>
      <w:r>
        <w:rPr>
          <w:color w:val="003366"/>
          <w:sz w:val="18"/>
        </w:rPr>
        <w:t xml:space="preserve">§ 3 O Conselho escolherá, em votação secreta, um Corregedor nacional, dentre os </w:t>
      </w:r>
    </w:p>
    <w:p>
      <w:pPr>
        <w:ind w:left="432"/>
      </w:pPr>
      <w:r>
        <w:rPr>
          <w:color w:val="003366"/>
          <w:sz w:val="18"/>
        </w:rPr>
        <w:t>§ 4 O Presidente do Conselho Federal da Ordem dos Advogados do Brasil oficiará j</w:t>
      </w:r>
    </w:p>
    <w:p>
      <w:pPr>
        <w:ind w:left="432"/>
      </w:pPr>
      <w:r>
        <w:rPr>
          <w:color w:val="003366"/>
          <w:sz w:val="18"/>
        </w:rPr>
        <w:t>§ 5 Leis da União e dos Estados criarão ouvidorias do Ministério Público, compet</w:t>
      </w:r>
    </w:p>
    <w:p>
      <w:pPr>
        <w:pStyle w:val="Heading3"/>
      </w:pPr>
      <w:r>
        <w:rPr>
          <w:color w:val="003366"/>
        </w:rPr>
        <w:t>Seção II - DA ADVOCACIA PÚBLICA</w:t>
      </w:r>
    </w:p>
    <w:p>
      <w:r>
        <w:rPr>
          <w:b/>
          <w:color w:val="003366"/>
          <w:sz w:val="20"/>
        </w:rPr>
        <w:t xml:space="preserve">Art. 131 A Advocacia-Geral da União é a instituição que, diretamente ou através </w:t>
      </w:r>
      <w:r>
        <w:rPr>
          <w:color w:val="8C8C8C"/>
          <w:sz w:val="14"/>
        </w:rPr>
        <w:t xml:space="preserve">  [18 decisoes]</w:t>
      </w:r>
    </w:p>
    <w:p>
      <w:pPr>
        <w:ind w:left="144"/>
      </w:pPr>
      <w:r>
        <w:rPr>
          <w:b/>
          <w:color w:val="B45A00"/>
          <w:sz w:val="16"/>
        </w:rPr>
        <w:t>SUMULA</w:t>
      </w:r>
    </w:p>
    <w:p>
      <w:pPr>
        <w:ind w:left="288"/>
      </w:pPr>
      <w:r>
        <w:rPr>
          <w:color w:val="8C8C8C"/>
          <w:sz w:val="12"/>
        </w:rPr>
        <w:t>cf-art-131</w:t>
      </w:r>
    </w:p>
    <w:p>
      <w:pPr>
        <w:ind w:left="288"/>
      </w:pPr>
      <w:r>
        <w:rPr>
          <w:color w:val="1E1E1E"/>
          <w:sz w:val="18"/>
        </w:rPr>
        <w:t>Ao titular do cargo de procurador de autarquia não se exige a apresentação de instrumento de mandato para representá-la em juízo.</w:t>
      </w:r>
    </w:p>
    <w:p>
      <w:pPr>
        <w:ind w:left="288"/>
      </w:pPr>
      <w:r>
        <w:rPr>
          <w:b/>
          <w:color w:val="003CA0"/>
          <w:sz w:val="16"/>
        </w:rPr>
        <w:t>[Súmula 644.]</w:t>
      </w:r>
    </w:p>
    <w:p>
      <w:pPr>
        <w:ind w:left="288"/>
      </w:pPr>
      <w:r>
        <w:rPr>
          <w:color w:val="8C8C8C"/>
          <w:sz w:val="12"/>
        </w:rPr>
        <w:t>cf-art-131</w:t>
      </w:r>
      <w:r>
        <w:rPr>
          <w:color w:val="003CA0"/>
          <w:sz w:val="12"/>
        </w:rPr>
        <w:t xml:space="preserve"> | ADI 5.603</w:t>
      </w:r>
      <w:r>
        <w:rPr>
          <w:color w:val="003CA0"/>
          <w:sz w:val="12"/>
        </w:rPr>
        <w:t xml:space="preserve"> | rel. Nunes Marques</w:t>
      </w:r>
    </w:p>
    <w:p>
      <w:pPr>
        <w:ind w:left="288"/>
      </w:pPr>
      <w:r>
        <w:rPr>
          <w:color w:val="1E1E1E"/>
          <w:sz w:val="18"/>
        </w:rPr>
        <w:t>Defensoria Pública da União. Representação judicial e extrajudicial. Atribuição do Defensor Público-Geral. Art. 8º, II, LC 80/1994. (...) A ideia de a capacidade de ser parte derivar necessariamente da personificação jurídica tem sido abrandada, tanto pela doutrina quanto na jurisprudência, para permitir que órgãos públicos de estatura constitucional, em determinadas circunstâncias, possam litigar para defender suas prerrogativas institucionais. A missão constitucional outorgada à Advocacia-Geral da União para representar a União e seus órgãos judicial e extrajudicialmente (art. 131, CF) não i</w:t>
      </w:r>
    </w:p>
    <w:p>
      <w:pPr>
        <w:ind w:left="288"/>
      </w:pPr>
      <w:r>
        <w:rPr>
          <w:b/>
          <w:color w:val="003CA0"/>
          <w:sz w:val="16"/>
        </w:rPr>
        <w:t>[ADI 5.603, rel. min. Nunes Marques, red. do ac. min. Alexandre de Moraes, j. 13.10.2025, P, DJE de 13.11.2025.]</w:t>
      </w:r>
    </w:p>
    <w:p>
      <w:pPr>
        <w:ind w:left="144"/>
      </w:pPr>
      <w:r>
        <w:rPr>
          <w:b/>
          <w:color w:val="B45A00"/>
          <w:sz w:val="16"/>
        </w:rPr>
        <w:t>CONTROLE CONCENTRADO</w:t>
      </w:r>
    </w:p>
    <w:p>
      <w:pPr>
        <w:ind w:left="288"/>
      </w:pPr>
      <w:r>
        <w:rPr>
          <w:color w:val="8C8C8C"/>
          <w:sz w:val="12"/>
        </w:rPr>
        <w:t>cf-art-131</w:t>
      </w:r>
      <w:r>
        <w:rPr>
          <w:color w:val="003CA0"/>
          <w:sz w:val="12"/>
        </w:rPr>
        <w:t xml:space="preserve"> | ADI 6.331</w:t>
      </w:r>
      <w:r>
        <w:rPr>
          <w:color w:val="003CA0"/>
          <w:sz w:val="12"/>
        </w:rPr>
        <w:t xml:space="preserve"> | rel. Luiz Fux</w:t>
      </w:r>
    </w:p>
    <w:p>
      <w:pPr>
        <w:ind w:left="288"/>
      </w:pPr>
      <w:r>
        <w:rPr>
          <w:color w:val="1E1E1E"/>
          <w:sz w:val="18"/>
        </w:rPr>
        <w:t>A instituição de Procuradorias municipais depende da escolha política autônoma de cada município, no exercício da prerrogativa de sua auto-organização. É inconstitucional a interpretação de norma estadual que conduza à obrigatoriedade de implementação de Procuradorias municipais, eis que inexiste norma constitucional de reprodução obrigatória que vincule o poder legislativo municipal à criação de órgãos próprios de advocacia pública. É materialmente inconstitucional dispositivo de Constituição Estadual que estabeleça a possibilidade de contratação direta e genérica de serviços de representação</w:t>
      </w:r>
    </w:p>
    <w:p>
      <w:pPr>
        <w:ind w:left="288"/>
      </w:pPr>
      <w:r>
        <w:rPr>
          <w:b/>
          <w:color w:val="003CA0"/>
          <w:sz w:val="16"/>
        </w:rPr>
        <w:t>[ADI 2.820, rel. min. Roberto Barroso, j. 13-6-2023, P, DJE de 13-7-2023.]</w:t>
      </w:r>
    </w:p>
    <w:p>
      <w:pPr>
        <w:ind w:left="144"/>
      </w:pPr>
      <w:r>
        <w:rPr>
          <w:b/>
          <w:color w:val="B45A00"/>
          <w:sz w:val="16"/>
        </w:rPr>
        <w:t>REPERCUSSAO GERAL</w:t>
      </w:r>
    </w:p>
    <w:p>
      <w:pPr>
        <w:ind w:left="288"/>
      </w:pPr>
      <w:r>
        <w:rPr>
          <w:color w:val="8C8C8C"/>
          <w:sz w:val="12"/>
        </w:rPr>
        <w:t>cf-art-131</w:t>
      </w:r>
      <w:r>
        <w:rPr>
          <w:color w:val="003CA0"/>
          <w:sz w:val="12"/>
        </w:rPr>
        <w:t xml:space="preserve"> | RE 929.886</w:t>
      </w:r>
      <w:r>
        <w:rPr>
          <w:color w:val="003CA0"/>
          <w:sz w:val="12"/>
        </w:rPr>
        <w:t xml:space="preserve"> | rel. Dias Toffoli</w:t>
      </w:r>
    </w:p>
    <w:p>
      <w:pPr>
        <w:ind w:left="288"/>
      </w:pPr>
      <w:r>
        <w:rPr>
          <w:color w:val="1E1E1E"/>
          <w:sz w:val="18"/>
        </w:rPr>
        <w:t>Os Advogados da União não possuem direito a férias de 60 (sessenta) dias, nos termos da legislação constitucional e infraconstitucional vigentes.</w:t>
      </w:r>
    </w:p>
    <w:p>
      <w:pPr>
        <w:ind w:left="288"/>
      </w:pPr>
      <w:r>
        <w:rPr>
          <w:b/>
          <w:color w:val="003CA0"/>
          <w:sz w:val="16"/>
        </w:rPr>
        <w:t>[RE 929.886, rel. min. Dias Toffoli, j. 5-9-2022, P, DJE de 3-10-2022, Tema 1.063, com mérito julgado.]</w:t>
        <w:br/>
        <w:t>Vide RE 594.481, rel. min. Roberto Barroso, j. 20-4-2020, P, DJE de 1º-6-2020, Tema 109, com mérito julgado.</w:t>
      </w:r>
    </w:p>
    <w:p>
      <w:pPr>
        <w:ind w:left="288"/>
      </w:pPr>
      <w:r>
        <w:rPr>
          <w:color w:val="8C8C8C"/>
          <w:sz w:val="12"/>
        </w:rPr>
        <w:t>cf-art-131</w:t>
      </w:r>
      <w:r>
        <w:rPr>
          <w:color w:val="003CA0"/>
          <w:sz w:val="12"/>
        </w:rPr>
        <w:t xml:space="preserve"> | RE 594.481</w:t>
      </w:r>
      <w:r>
        <w:rPr>
          <w:color w:val="003CA0"/>
          <w:sz w:val="12"/>
        </w:rPr>
        <w:t xml:space="preserve"> | rel. Roberto Barroso</w:t>
      </w:r>
    </w:p>
    <w:p>
      <w:pPr>
        <w:ind w:left="288"/>
      </w:pPr>
      <w:r>
        <w:rPr>
          <w:color w:val="1E1E1E"/>
          <w:sz w:val="18"/>
        </w:rPr>
        <w:t>Os Procuradores da Fazenda Nacional não possuem direito a férias de 60 (sessenta) dias, nos termos da legislação constitucional e infraconstitucional vigentes.</w:t>
      </w:r>
    </w:p>
    <w:p>
      <w:pPr>
        <w:ind w:left="288"/>
      </w:pPr>
      <w:r>
        <w:rPr>
          <w:b/>
          <w:color w:val="003CA0"/>
          <w:sz w:val="16"/>
        </w:rPr>
        <w:t>[RE 594.481, rel. min. Roberto Barroso, j. 20-4-2020, P, DJE de 1º-6-2020, Tema 1090, com mérito julgado.]</w:t>
      </w:r>
    </w:p>
    <w:p>
      <w:pPr>
        <w:ind w:left="288"/>
      </w:pPr>
      <w:r>
        <w:rPr>
          <w:color w:val="8C8C8C"/>
          <w:sz w:val="12"/>
        </w:rPr>
        <w:t>cf-art-131</w:t>
      </w:r>
      <w:r>
        <w:rPr>
          <w:color w:val="003CA0"/>
          <w:sz w:val="12"/>
        </w:rPr>
        <w:t xml:space="preserve"> | RE 929.886</w:t>
      </w:r>
      <w:r>
        <w:rPr>
          <w:color w:val="003CA0"/>
          <w:sz w:val="12"/>
        </w:rPr>
        <w:t xml:space="preserve"> | rel. Dias Toffoli</w:t>
      </w:r>
    </w:p>
    <w:p>
      <w:pPr>
        <w:ind w:left="288"/>
      </w:pPr>
      <w:r>
        <w:rPr>
          <w:color w:val="1E1E1E"/>
          <w:sz w:val="18"/>
        </w:rPr>
        <w:t>Vide RE 929.886, rel. min. Dias Toffoli, j. 5-9-2022, P, DJE de 3-10-2022, Tema 1.063, com mérito julgado. Procuradores federais. Pretendida concessão de férias de sessenta dias e consectários legais. Art. 1º da Lei 2.123/1952 e art. 17, parágrafo único, da Lei 4.069/1962. Disposições normativas recepcionadas com status de lei ordinária. Possibilidade de revogação pelo art. 18 da Lei 9.527/1997. Interpretação do art. 131, caput, da Constituição da República. A Procuradoria-Geral Federal, apesar de manter vinculação, não se caracteriza como órgão da AGU.</w:t>
        <w:br/>
        <w:t xml:space="preserve">[RE 602.381, rel. min. Cármen Lúcia, j. </w:t>
      </w:r>
    </w:p>
    <w:p>
      <w:pPr>
        <w:ind w:left="144"/>
      </w:pPr>
      <w:r>
        <w:rPr>
          <w:b/>
          <w:color w:val="B45A00"/>
          <w:sz w:val="16"/>
        </w:rPr>
        <w:t>JULGADOS CORRELATOS</w:t>
      </w:r>
    </w:p>
    <w:p>
      <w:pPr>
        <w:ind w:left="288"/>
      </w:pPr>
      <w:r>
        <w:rPr>
          <w:color w:val="8C8C8C"/>
          <w:sz w:val="12"/>
        </w:rPr>
        <w:t>cf-art-131</w:t>
      </w:r>
      <w:r>
        <w:rPr>
          <w:color w:val="003CA0"/>
          <w:sz w:val="12"/>
        </w:rPr>
        <w:t xml:space="preserve"> | AO 1.757</w:t>
      </w:r>
      <w:r>
        <w:rPr>
          <w:color w:val="003CA0"/>
          <w:sz w:val="12"/>
        </w:rPr>
        <w:t xml:space="preserve"> | rel. Marco Aurélio</w:t>
      </w:r>
    </w:p>
    <w:p>
      <w:pPr>
        <w:ind w:left="288"/>
      </w:pPr>
      <w:r>
        <w:rPr>
          <w:color w:val="1E1E1E"/>
          <w:sz w:val="18"/>
        </w:rPr>
        <w:t>Representação processual. Pessoa jurídica de direito público. União. Instrumento de mandato. Dispensa. Uma vez subscrito o ato por detentor do cargo de advogado da União, dispensável é a apresentação de instrumento de mandato, da procuração.</w:t>
      </w:r>
    </w:p>
    <w:p>
      <w:pPr>
        <w:ind w:left="288"/>
      </w:pPr>
      <w:r>
        <w:rPr>
          <w:b/>
          <w:color w:val="003CA0"/>
          <w:sz w:val="16"/>
        </w:rPr>
        <w:t>[AO 1.757, rel. min. Marco Aurélio, j. 3-12-2013, 1ª T, DJE de 19-12-2013.]</w:t>
      </w:r>
    </w:p>
    <w:p>
      <w:pPr>
        <w:ind w:left="288"/>
      </w:pPr>
      <w:r>
        <w:rPr>
          <w:color w:val="8C8C8C"/>
          <w:sz w:val="12"/>
        </w:rPr>
        <w:t>cf-art-131</w:t>
      </w:r>
      <w:r>
        <w:rPr>
          <w:color w:val="003CA0"/>
          <w:sz w:val="12"/>
        </w:rPr>
        <w:t xml:space="preserve"> | RMS 31.042</w:t>
      </w:r>
      <w:r>
        <w:rPr>
          <w:color w:val="003CA0"/>
          <w:sz w:val="12"/>
        </w:rPr>
        <w:t xml:space="preserve"> | rel. Marco Aurélio</w:t>
      </w:r>
    </w:p>
    <w:p>
      <w:pPr>
        <w:ind w:left="288"/>
      </w:pPr>
      <w:r>
        <w:rPr>
          <w:color w:val="1E1E1E"/>
          <w:sz w:val="18"/>
        </w:rPr>
        <w:t>A alegação de "ilegitimidade" – em termos técnicos, de incompetência – do advogado-geral da União substituto para subscrever a portaria interministerial (...) revela-se insubsistente. Como se sabe, uma das modalidades de convalidação do ato administrativo é a ratificação pela autoridade competente para praticá-lo. Sendo conjunta a assinatura – figuram como autores tanto o advogado-geral da União quanto o ministro da Justiça –, nenhuma questão remanesce no tocante à validade ou à eficácia do ato, porquanto inequívoca a competência deste último para instaurar o procedimento de revisão de atos ad</w:t>
      </w:r>
    </w:p>
    <w:p>
      <w:pPr>
        <w:ind w:left="288"/>
      </w:pPr>
      <w:r>
        <w:rPr>
          <w:b/>
          <w:color w:val="003CA0"/>
          <w:sz w:val="16"/>
        </w:rPr>
        <w:t>[RMS 31.042, voto do rel. min. Marco Aurélio, j. 13-3-2012, 1ª T, DJE de 2-4-2012.]</w:t>
      </w:r>
    </w:p>
    <w:p>
      <w:pPr>
        <w:ind w:left="288"/>
      </w:pPr>
      <w:r>
        <w:rPr>
          <w:color w:val="8C8C8C"/>
          <w:sz w:val="12"/>
        </w:rPr>
        <w:t>cf-art-131</w:t>
      </w:r>
      <w:r>
        <w:rPr>
          <w:color w:val="003CA0"/>
          <w:sz w:val="12"/>
        </w:rPr>
        <w:t xml:space="preserve"> | ADI 2.652</w:t>
      </w:r>
      <w:r>
        <w:rPr>
          <w:color w:val="003CA0"/>
          <w:sz w:val="12"/>
        </w:rPr>
        <w:t xml:space="preserve"> | rel. Cármen Lúcia</w:t>
      </w:r>
    </w:p>
    <w:p>
      <w:pPr>
        <w:ind w:left="288"/>
      </w:pPr>
      <w:r>
        <w:rPr>
          <w:color w:val="1E1E1E"/>
          <w:sz w:val="18"/>
        </w:rPr>
        <w:t>Reclamação. (...) Descumprimento da ADI 2.652/DF. Os procuradores federais estão incluídos na ressalva do parágrafo único do art. 14 do CPC, não sendo possível, assim, fixar-lhes multa em razão de descumprimento do dever disposto no art. 14, V, do CPC. Sem discutir o acerto ou desacerto da condenação por litigância de má-fé – prevista no art. 17, V, do CPC –, imposta pela autoridade reclamada, tem-se que a condenação pessoal do procurador do INSS ao pagamento de multa processual é inadequada porque, no caso vertente, ele não figura como parte ou interveniente na ação.</w:t>
      </w:r>
    </w:p>
    <w:p>
      <w:pPr>
        <w:ind w:left="288"/>
      </w:pPr>
      <w:r>
        <w:rPr>
          <w:b/>
          <w:color w:val="003CA0"/>
          <w:sz w:val="16"/>
        </w:rPr>
        <w:t>[Rcl 5.133 e Rcl 7.181, rel. min. Cármen Lúcia, j. 20-5-2009, P, DJE de 21-8-2009.]</w:t>
      </w:r>
    </w:p>
    <w:p>
      <w:pPr>
        <w:ind w:left="288"/>
      </w:pPr>
      <w:r>
        <w:rPr>
          <w:color w:val="8C8C8C"/>
          <w:sz w:val="12"/>
        </w:rPr>
        <w:t>cf-art-131</w:t>
      </w:r>
      <w:r>
        <w:rPr>
          <w:color w:val="003CA0"/>
          <w:sz w:val="12"/>
        </w:rPr>
        <w:t xml:space="preserve"> | RMS 24.789</w:t>
      </w:r>
      <w:r>
        <w:rPr>
          <w:color w:val="003CA0"/>
          <w:sz w:val="12"/>
        </w:rPr>
        <w:t xml:space="preserve"> | rel. Eros Grau). [RMS 26.615</w:t>
      </w:r>
    </w:p>
    <w:p>
      <w:pPr>
        <w:ind w:left="288"/>
      </w:pPr>
      <w:r>
        <w:rPr>
          <w:color w:val="1E1E1E"/>
          <w:sz w:val="18"/>
        </w:rPr>
        <w:t>Procurador federal. Remuneração. Supressão de Vantagem Pessoal Nominalmente Identificada (VPNI). Impetração contra o advogado-geral da União e o ministro do Planejamento, Orçamento e Gestão. Ilegitimidade. Desprovimento do recurso. A responsabilidade pela folha de pagamento dos servidores públicos federais não se insere nas competências legalmente conferidas às autoridades impetradas, que, no caso, não praticaram nenhum ato lesivo ao alegado direito do recorrente. "Inaplicabilidade do art. 515, § 3º, do CPC – inserido no capítulo da apelação – aos casos de recurso ordinário em mandado de segur</w:t>
      </w:r>
    </w:p>
    <w:p>
      <w:pPr>
        <w:ind w:left="288"/>
      </w:pPr>
      <w:r>
        <w:rPr>
          <w:b/>
          <w:color w:val="003CA0"/>
          <w:sz w:val="16"/>
        </w:rPr>
        <w:t>[RMS 26.615, rel. min. Ayres Britto, j. 20-5-2008, 1ª T, DJE de 31-10-2008.]</w:t>
      </w:r>
    </w:p>
    <w:p>
      <w:pPr>
        <w:ind w:left="288"/>
      </w:pPr>
      <w:r>
        <w:rPr>
          <w:color w:val="8C8C8C"/>
          <w:sz w:val="12"/>
        </w:rPr>
        <w:t>cf-art-131</w:t>
      </w:r>
      <w:r>
        <w:rPr>
          <w:color w:val="003CA0"/>
          <w:sz w:val="12"/>
        </w:rPr>
        <w:t xml:space="preserve"> | MS 24.584</w:t>
      </w:r>
      <w:r>
        <w:rPr>
          <w:color w:val="003CA0"/>
          <w:sz w:val="12"/>
        </w:rPr>
        <w:t xml:space="preserve"> | rel. Marco Aurélio</w:t>
      </w:r>
    </w:p>
    <w:p>
      <w:pPr>
        <w:ind w:left="288"/>
      </w:pPr>
      <w:r>
        <w:rPr>
          <w:color w:val="1E1E1E"/>
          <w:sz w:val="18"/>
        </w:rPr>
        <w:t>Advogado público. Responsabilidade. (...) Prevendo o art. 38 da Lei 8.666/1993 que a manifestação da assessoria jurídica quanto a editais de licitação, contratos, acordos, convênios e ajustes não se limita a simples opinião, alcançando a aprovação, ou não, descabe a recusa à convocação do TCU para serem prestados esclarecimentos.</w:t>
      </w:r>
    </w:p>
    <w:p>
      <w:pPr>
        <w:ind w:left="288"/>
      </w:pPr>
      <w:r>
        <w:rPr>
          <w:b/>
          <w:color w:val="003CA0"/>
          <w:sz w:val="16"/>
        </w:rPr>
        <w:t>[MS 24.584, rel. min. Marco Aurélio, j. 9-8-2007, P, DJE de 20-6-2008.]</w:t>
      </w:r>
    </w:p>
    <w:p>
      <w:pPr>
        <w:ind w:left="288"/>
      </w:pPr>
      <w:r>
        <w:rPr>
          <w:color w:val="8C8C8C"/>
          <w:sz w:val="12"/>
        </w:rPr>
        <w:t>cf-art-131</w:t>
      </w:r>
      <w:r>
        <w:rPr>
          <w:color w:val="003CA0"/>
          <w:sz w:val="12"/>
        </w:rPr>
        <w:t xml:space="preserve"> | MS 24.631</w:t>
      </w:r>
      <w:r>
        <w:rPr>
          <w:color w:val="003CA0"/>
          <w:sz w:val="12"/>
        </w:rPr>
        <w:t xml:space="preserve"> | rel. Joaquim Barbosa</w:t>
      </w:r>
    </w:p>
    <w:p>
      <w:pPr>
        <w:ind w:left="288"/>
      </w:pPr>
      <w:r>
        <w:rPr>
          <w:color w:val="1E1E1E"/>
          <w:sz w:val="18"/>
        </w:rPr>
        <w:t>Controle externo. Auditoria pelo TCU. Responsabilidade de procurador de autarquia por emissão de parecer técnico-jurídico de natureza opinativa. Segurança deferida. Repercussões da natureza jurídico-administrativa do parecer jurídico: (i) quando a consulta é facultativa, a autoridade não se vincula ao parecer proferido, sendo que seu poder de decisão não se altera pela manifestação do órgão consultivo; (ii) quando a consulta é obrigatória, a autoridade administrativa se vincula a emitir o ato tal como submetido à consultoria, com parecer favorável ou contrário, e se pretender praticar ato de f</w:t>
      </w:r>
    </w:p>
    <w:p>
      <w:pPr>
        <w:ind w:left="288"/>
      </w:pPr>
      <w:r>
        <w:rPr>
          <w:b/>
          <w:color w:val="003CA0"/>
          <w:sz w:val="16"/>
        </w:rPr>
        <w:t>[MS 24.631, rel. min. Joaquim Barbosa, j. 9-8-2007, P, DJ de 1º-2-2008.]</w:t>
      </w:r>
    </w:p>
    <w:p>
      <w:pPr>
        <w:ind w:left="288"/>
      </w:pPr>
      <w:r>
        <w:rPr>
          <w:color w:val="8C8C8C"/>
          <w:sz w:val="12"/>
        </w:rPr>
        <w:t>cf-art-131</w:t>
      </w:r>
      <w:r>
        <w:rPr>
          <w:color w:val="003CA0"/>
          <w:sz w:val="12"/>
        </w:rPr>
        <w:t xml:space="preserve"> | RE 121.856</w:t>
      </w:r>
      <w:r>
        <w:rPr>
          <w:color w:val="003CA0"/>
          <w:sz w:val="12"/>
        </w:rPr>
        <w:t xml:space="preserve"> | rel. Paulo Brossard</w:t>
      </w:r>
    </w:p>
    <w:p>
      <w:pPr>
        <w:ind w:left="288"/>
      </w:pPr>
      <w:r>
        <w:rPr>
          <w:color w:val="1E1E1E"/>
          <w:sz w:val="18"/>
        </w:rPr>
        <w:t>Representação judicial do Estado e das suas autarquias. A representação judicial do Estado, por seus procuradores, decorre de lei. Por essa razão, dispensa-se a juntada de instrumento de mandato em autos de processo judicial. A representação judicial das autarquias, por seus advogados, decorre de mandato outorgado por seu diretor, que detém essa representação, sendo obrigatória a juntada de seu instrumento em autos de processo judicial, sob pena de serem considerados inexistentes os atos praticados (art. 37, parágrafo único, do CPC; art. 70, § 1º e § 2º, do Estatuto da OAB – Lei 4.215/1963). O</w:t>
      </w:r>
    </w:p>
    <w:p>
      <w:pPr>
        <w:ind w:left="288"/>
      </w:pPr>
      <w:r>
        <w:rPr>
          <w:b/>
          <w:color w:val="003CA0"/>
          <w:sz w:val="16"/>
        </w:rPr>
        <w:t>[RE 121.856 ED, rel. min. Paulo Brossard, j. 24-4-1990, 2ª T, DJ de 11-5-1990.]</w:t>
      </w:r>
    </w:p>
    <w:p>
      <w:pPr>
        <w:ind w:left="144"/>
      </w:pPr>
      <w:r>
        <w:rPr>
          <w:b/>
          <w:color w:val="B45A00"/>
          <w:sz w:val="16"/>
        </w:rPr>
        <w:t>CONTROLE CONCENTRADO</w:t>
      </w:r>
    </w:p>
    <w:p>
      <w:pPr>
        <w:ind w:left="288"/>
      </w:pPr>
      <w:r>
        <w:rPr>
          <w:color w:val="8C8C8C"/>
          <w:sz w:val="12"/>
        </w:rPr>
        <w:t>cf-art-131-par-1</w:t>
      </w:r>
      <w:r>
        <w:rPr>
          <w:color w:val="003CA0"/>
          <w:sz w:val="12"/>
        </w:rPr>
        <w:t xml:space="preserve"> | ADI 3.056</w:t>
      </w:r>
      <w:r>
        <w:rPr>
          <w:color w:val="003CA0"/>
          <w:sz w:val="12"/>
        </w:rPr>
        <w:t xml:space="preserve"> | rel. Nunes Marques</w:t>
      </w:r>
    </w:p>
    <w:p>
      <w:pPr>
        <w:ind w:left="288"/>
      </w:pPr>
      <w:r>
        <w:rPr>
          <w:color w:val="1E1E1E"/>
          <w:sz w:val="18"/>
        </w:rPr>
        <w:t>A regra estabelecida no art. 131, § 1º, da CF/1988 para a escolha do Advogado-Geral da União não é aplicável aos Estados-membros por simetria. Assim, os demais entes públicos podem editar normas que fixem requisitos diversos para a escolha de seus Procuradores-Gerais.</w:t>
        <w:br/>
        <w:t>[ADI 3.056, rel. min. Nunes Marques, red. do ac. min. Luís Roberto Barroso, j. 25-9-2023, P, DJE de 13-10-2023.] A Constituição do Estado do Mato Grosso, ao condicionar a destituição do procurador-geral do Estado à autorização da assembleia legislativa, ofende o disposto no art. 84, XXV, e art. 131, § 1º, da CF/1988. Compete ao c</w:t>
      </w:r>
    </w:p>
    <w:p>
      <w:pPr>
        <w:ind w:left="288"/>
      </w:pPr>
      <w:r>
        <w:rPr>
          <w:color w:val="8C8C8C"/>
          <w:sz w:val="12"/>
        </w:rPr>
        <w:t>cf-art-131-par-2</w:t>
      </w:r>
      <w:r>
        <w:rPr>
          <w:color w:val="003CA0"/>
          <w:sz w:val="12"/>
        </w:rPr>
        <w:t xml:space="preserve"> | ADI 1.591</w:t>
      </w:r>
      <w:r>
        <w:rPr>
          <w:color w:val="003CA0"/>
          <w:sz w:val="12"/>
        </w:rPr>
        <w:t xml:space="preserve"> | rel. Octavio Gallotti. [ADI 2.713</w:t>
      </w:r>
    </w:p>
    <w:p>
      <w:pPr>
        <w:ind w:left="288"/>
      </w:pPr>
      <w:r>
        <w:rPr>
          <w:color w:val="1E1E1E"/>
          <w:sz w:val="18"/>
        </w:rPr>
        <w:t>Ação direta de inconstitucionalidade. Art. 11 e parágrafos da MP 43, de 25-6-2002, convertida na Lei 10.549, de 13-11-2002. Transformação de cargos de assistente jurídico da AGU em cargos de advogado da União. (...) Rejeição (...) da alegação de violação ao princípio do concurso público (CF, arts. 37, II, e 131, § 2º). É que a análise do regime normativo das carreiras da AGU em exame aponta para uma racionalização, no âmbito da AGU, do desempenho de seu papel constitucional por meio de uma completa identidade substancial entre os cargos em exame, verificada a compatibilidade funcional e remune</w:t>
      </w:r>
    </w:p>
    <w:p>
      <w:pPr>
        <w:ind w:left="288"/>
      </w:pPr>
      <w:r>
        <w:rPr>
          <w:b/>
          <w:color w:val="003CA0"/>
          <w:sz w:val="16"/>
        </w:rPr>
        <w:t>[ADI 2.713, rel. min. Ellen Gracie, j. 18-12-2002, P, DJ de 7-3-2003.]</w:t>
      </w:r>
    </w:p>
    <w:p>
      <w:pPr>
        <w:ind w:left="144"/>
      </w:pPr>
      <w:r>
        <w:rPr>
          <w:b/>
          <w:color w:val="B45A00"/>
          <w:sz w:val="16"/>
        </w:rPr>
        <w:t>JULGADOS CORRELATOS</w:t>
      </w:r>
    </w:p>
    <w:p>
      <w:pPr>
        <w:ind w:left="288"/>
      </w:pPr>
      <w:r>
        <w:rPr>
          <w:color w:val="8C8C8C"/>
          <w:sz w:val="12"/>
        </w:rPr>
        <w:t>cf-art-131-par-3</w:t>
      </w:r>
      <w:r>
        <w:rPr>
          <w:color w:val="003CA0"/>
          <w:sz w:val="12"/>
        </w:rPr>
        <w:t xml:space="preserve"> | RE 193.326</w:t>
      </w:r>
      <w:r>
        <w:rPr>
          <w:color w:val="003CA0"/>
          <w:sz w:val="12"/>
        </w:rPr>
        <w:t xml:space="preserve"> | rel. Carlos Velloso</w:t>
      </w:r>
    </w:p>
    <w:p>
      <w:pPr>
        <w:ind w:left="288"/>
      </w:pPr>
      <w:r>
        <w:rPr>
          <w:color w:val="1E1E1E"/>
          <w:sz w:val="18"/>
        </w:rPr>
        <w:t>Tem base na Constituição, § 5º do art. 29, ADCT, a delegação da Procuradoria-Geral da Fazenda Nacional à Procuradoria do Incra, para promover a cobrança, mediante execução fiscal, de débitos fiscais da União.</w:t>
      </w:r>
    </w:p>
    <w:p>
      <w:pPr>
        <w:ind w:left="288"/>
      </w:pPr>
      <w:r>
        <w:rPr>
          <w:b/>
          <w:color w:val="003CA0"/>
          <w:sz w:val="16"/>
        </w:rPr>
        <w:t>[RE 193.326, rel. min. Carlos Velloso, j. 25-3-1997, 2ª T, DJ de 23-5-1997.]</w:t>
      </w:r>
    </w:p>
    <w:p>
      <w:pPr>
        <w:ind w:left="288"/>
      </w:pPr>
      <w:r>
        <w:rPr>
          <w:color w:val="8C8C8C"/>
          <w:sz w:val="12"/>
        </w:rPr>
        <w:t>cf-art-131-par-3</w:t>
      </w:r>
      <w:r>
        <w:rPr>
          <w:color w:val="003CA0"/>
          <w:sz w:val="12"/>
        </w:rPr>
        <w:t xml:space="preserve"> | RE 163.581</w:t>
      </w:r>
      <w:r>
        <w:rPr>
          <w:color w:val="003CA0"/>
          <w:sz w:val="12"/>
        </w:rPr>
        <w:t xml:space="preserve"> | rel. Marco Aurélio</w:t>
      </w:r>
    </w:p>
    <w:p>
      <w:pPr>
        <w:ind w:left="288"/>
      </w:pPr>
      <w:r>
        <w:rPr>
          <w:color w:val="1E1E1E"/>
          <w:sz w:val="18"/>
        </w:rPr>
        <w:t>Em se tratando de condenação da Fazenda Nacional a satisfazer honorários advocatícios, cumpre sopesar o grau de zelo do profissional, o lugar da prestação do serviço, a natureza e importância da causa, o trabalho realizado e o tempo exigido. Inexistência de obstáculo legal à fixação, considerados tais critérios, na base de dez por cento do valor da causa.</w:t>
      </w:r>
    </w:p>
    <w:p>
      <w:pPr>
        <w:ind w:left="288"/>
      </w:pPr>
      <w:r>
        <w:rPr>
          <w:b/>
          <w:color w:val="003CA0"/>
          <w:sz w:val="16"/>
        </w:rPr>
        <w:t>[RE 163.581 ED, rel. min. Marco Aurélio, j. 11-3-1996, 2ª T, DJ de 10-5-1996.]</w:t>
      </w:r>
    </w:p>
    <w:p>
      <w:pPr>
        <w:ind w:left="288"/>
      </w:pPr>
      <w:r>
        <w:rPr>
          <w:color w:val="8C8C8C"/>
          <w:sz w:val="12"/>
        </w:rPr>
        <w:t>cf-art-131-par-3</w:t>
      </w:r>
      <w:r>
        <w:rPr>
          <w:color w:val="003CA0"/>
          <w:sz w:val="12"/>
        </w:rPr>
        <w:t xml:space="preserve"> | AO 1.394</w:t>
      </w:r>
      <w:r>
        <w:rPr>
          <w:color w:val="003CA0"/>
          <w:sz w:val="12"/>
        </w:rPr>
        <w:t xml:space="preserve"> | rel. Luiz Fux</w:t>
      </w:r>
    </w:p>
    <w:p>
      <w:pPr>
        <w:ind w:left="288"/>
      </w:pPr>
      <w:r>
        <w:rPr>
          <w:color w:val="1E1E1E"/>
          <w:sz w:val="18"/>
        </w:rPr>
        <w:t>= AO 1.394 AgR-AgR, rel. min. Luiz Fux, j. 7-4-2015, 1ª T, DJE de 22-4-2015</w:t>
      </w:r>
    </w:p>
    <w:p>
      <w:pPr>
        <w:ind w:left="432"/>
      </w:pPr>
      <w:r>
        <w:rPr>
          <w:color w:val="003366"/>
          <w:sz w:val="18"/>
        </w:rPr>
        <w:t>§ 1 A Advocacia-Geral da União tem por chefe o Advogado-Geral da União, de livre</w:t>
      </w:r>
    </w:p>
    <w:p>
      <w:pPr>
        <w:ind w:left="432"/>
      </w:pPr>
      <w:r>
        <w:rPr>
          <w:color w:val="003366"/>
          <w:sz w:val="18"/>
        </w:rPr>
        <w:t>§ 2 O ingresso nas classes iniciais das carreiras da instituição de que trata es</w:t>
      </w:r>
    </w:p>
    <w:p>
      <w:pPr>
        <w:ind w:left="432"/>
      </w:pPr>
      <w:r>
        <w:rPr>
          <w:color w:val="003366"/>
          <w:sz w:val="18"/>
        </w:rPr>
        <w:t>§ 3 Na execução da dívida ativa de natureza tributária, a representação da União</w:t>
      </w:r>
    </w:p>
    <w:p>
      <w:r>
        <w:rPr>
          <w:b/>
          <w:color w:val="003366"/>
          <w:sz w:val="20"/>
        </w:rPr>
        <w:t>Art. 132 Os Procuradores dos Estados e do Distrito Federal, organizados em carre</w:t>
      </w:r>
      <w:r>
        <w:rPr>
          <w:color w:val="8C8C8C"/>
          <w:sz w:val="14"/>
        </w:rPr>
        <w:t xml:space="preserve">  [19 decisoes]</w:t>
      </w:r>
    </w:p>
    <w:p>
      <w:pPr>
        <w:ind w:left="288"/>
      </w:pPr>
      <w:r>
        <w:rPr>
          <w:color w:val="8C8C8C"/>
          <w:sz w:val="12"/>
        </w:rPr>
        <w:t>cf-art-132</w:t>
      </w:r>
      <w:r>
        <w:rPr>
          <w:color w:val="003CA0"/>
          <w:sz w:val="12"/>
        </w:rPr>
        <w:t xml:space="preserve"> | ADI 4.843</w:t>
      </w:r>
      <w:r>
        <w:rPr>
          <w:color w:val="003CA0"/>
          <w:sz w:val="12"/>
        </w:rPr>
        <w:t xml:space="preserve"> | rel. Nunes Marques</w:t>
      </w:r>
    </w:p>
    <w:p>
      <w:pPr>
        <w:ind w:left="288"/>
      </w:pPr>
      <w:r>
        <w:rPr>
          <w:color w:val="1E1E1E"/>
          <w:sz w:val="18"/>
        </w:rPr>
        <w:t>É inconstitucional disposição normativa que confere a titular de cargo em comissão de assessoria jurídica pertencente aos quadros do Executivo e não provido por Procurador do Estado a produção de informações em mandado de segurança em que a autoridade apontada como coatora seja da respectiva Secretaria. Atividade de consultoria jurídica e representação judicial da autoridade coatora privativa de advogado público. Possibilidade de fornecimento, pela própria autoridade coatora, de subsídios atinentes à matéria da demanda. Parte das atribuições do Coordenador de Assessoria Técnico-Normativa e Con</w:t>
      </w:r>
    </w:p>
    <w:p>
      <w:pPr>
        <w:ind w:left="288"/>
      </w:pPr>
      <w:r>
        <w:rPr>
          <w:b/>
          <w:color w:val="003CA0"/>
          <w:sz w:val="16"/>
        </w:rPr>
        <w:t>[ADI 4.843, rel. min. Nunes Marques, j. 24.02.2025, P, DJE de 11.03.2025.]</w:t>
      </w:r>
    </w:p>
    <w:p>
      <w:pPr>
        <w:ind w:left="144"/>
      </w:pPr>
      <w:r>
        <w:rPr>
          <w:b/>
          <w:color w:val="B45A00"/>
          <w:sz w:val="16"/>
        </w:rPr>
        <w:t>CONTROLE CONCENTRADO</w:t>
      </w:r>
    </w:p>
    <w:p>
      <w:pPr>
        <w:ind w:left="288"/>
      </w:pPr>
      <w:r>
        <w:rPr>
          <w:color w:val="8C8C8C"/>
          <w:sz w:val="12"/>
        </w:rPr>
        <w:t>cf-art-132</w:t>
      </w:r>
      <w:r>
        <w:rPr>
          <w:color w:val="003CA0"/>
          <w:sz w:val="12"/>
        </w:rPr>
        <w:t xml:space="preserve"> | ADI 6.331</w:t>
      </w:r>
      <w:r>
        <w:rPr>
          <w:color w:val="003CA0"/>
          <w:sz w:val="12"/>
        </w:rPr>
        <w:t xml:space="preserve"> | rel. Luiz Fux</w:t>
      </w:r>
    </w:p>
    <w:p>
      <w:pPr>
        <w:ind w:left="288"/>
      </w:pPr>
      <w:r>
        <w:rPr>
          <w:color w:val="1E1E1E"/>
          <w:sz w:val="18"/>
        </w:rPr>
        <w:t>A instituição de Procuradorias municipais depende da escolha política autônoma de cada município, no exercício da prerrogativa de sua auto-organização. É inconstitucional a interpretação de norma estadual que conduza à obrigatoriedade de implementação de Procuradorias municipais, eis que inexiste norma constitucional de reprodução obrigatória que vincule o poder legislativo municipal à criação de órgãos próprios de advocacia pública. É materialmente inconstitucional dispositivo de Constituição Estadual que estabeleça a possibilidade de contratação direta e genérica de serviços de representação</w:t>
      </w:r>
    </w:p>
    <w:p>
      <w:pPr>
        <w:ind w:left="288"/>
      </w:pPr>
      <w:r>
        <w:rPr>
          <w:b/>
          <w:color w:val="003CA0"/>
          <w:sz w:val="16"/>
        </w:rPr>
        <w:t>[ADI 3.536, rel. min. Alexandre de Moraes, j. 2-10-2019, P, DJE de 4-12-2019.]</w:t>
      </w:r>
    </w:p>
    <w:p>
      <w:pPr>
        <w:ind w:left="288"/>
      </w:pPr>
      <w:r>
        <w:rPr>
          <w:color w:val="8C8C8C"/>
          <w:sz w:val="12"/>
        </w:rPr>
        <w:t>cf-art-132</w:t>
      </w:r>
      <w:r>
        <w:rPr>
          <w:color w:val="003CA0"/>
          <w:sz w:val="12"/>
        </w:rPr>
        <w:t xml:space="preserve"> | ADI 5.541</w:t>
      </w:r>
      <w:r>
        <w:rPr>
          <w:color w:val="003CA0"/>
          <w:sz w:val="12"/>
        </w:rPr>
        <w:t xml:space="preserve"> | rel. Edson Fachin</w:t>
      </w:r>
    </w:p>
    <w:p>
      <w:pPr>
        <w:ind w:left="288"/>
      </w:pPr>
      <w:r>
        <w:rPr>
          <w:color w:val="1E1E1E"/>
          <w:sz w:val="18"/>
        </w:rPr>
        <w:t>A alteração promovida pelo art. 1º da Lei Complementar do Estado de Minas Gerais 114/2010 ao art. 3º, § 4º, da Lei Complementar 81/2004, retira o caráter privativo das competências de Procuradores do Estado junto às assessorias jurídicas da Administração Direta e Procuradorias das autarquias e fundações estaduais, violando a determinação do art. 132 da Constituição da República, conforme precedentes desta Corte.</w:t>
      </w:r>
    </w:p>
    <w:p>
      <w:pPr>
        <w:ind w:left="288"/>
      </w:pPr>
      <w:r>
        <w:rPr>
          <w:b/>
          <w:color w:val="003CA0"/>
          <w:sz w:val="16"/>
        </w:rPr>
        <w:t>[ADI 5.541, rel. min. Edson Fachin, j. 27-9-2019, P, DJE de 15-10-2019.]</w:t>
      </w:r>
    </w:p>
    <w:p>
      <w:pPr>
        <w:ind w:left="288"/>
      </w:pPr>
      <w:r>
        <w:rPr>
          <w:color w:val="8C8C8C"/>
          <w:sz w:val="12"/>
        </w:rPr>
        <w:t>cf-art-132</w:t>
      </w:r>
      <w:r>
        <w:rPr>
          <w:color w:val="003CA0"/>
          <w:sz w:val="12"/>
        </w:rPr>
        <w:t xml:space="preserve"> | ADI 1.246</w:t>
      </w:r>
      <w:r>
        <w:rPr>
          <w:color w:val="003CA0"/>
          <w:sz w:val="12"/>
        </w:rPr>
        <w:t xml:space="preserve"> | rel. Roberto Barroso</w:t>
      </w:r>
    </w:p>
    <w:p>
      <w:pPr>
        <w:ind w:left="288"/>
      </w:pPr>
      <w:r>
        <w:rPr>
          <w:color w:val="1E1E1E"/>
          <w:sz w:val="18"/>
        </w:rPr>
        <w:t>A Procuradoria-Geral do Estado é o órgão constitucional e permanente ao qual se confiou o exercício da advocacia (representação judicial e consultoria jurídica) do Estado-membro (CF/88, art. 132). A parcialidade é inerente às suas funções, sendo, por isso, inadequado cogitar-se independência funcional, nos moldes da Magistratura, do Ministério Público ou da Defensoria Pública (CF/88, art. 95, II; art. 128, § 5º, I, b; e art. 134, § 1º). A garantia da inamovibilidade é instrumental à independência funcional, sendo, dessa forma, insuscetível de extensão a uma carreira cujas funções podem envolve</w:t>
      </w:r>
    </w:p>
    <w:p>
      <w:pPr>
        <w:ind w:left="288"/>
      </w:pPr>
      <w:r>
        <w:rPr>
          <w:b/>
          <w:color w:val="003CA0"/>
          <w:sz w:val="16"/>
        </w:rPr>
        <w:t>[ADI 1.246, rel. min. Roberto Barroso, j. 11-4-2019, P, DJE de 23-5-2019.]</w:t>
      </w:r>
    </w:p>
    <w:p>
      <w:pPr>
        <w:ind w:left="288"/>
      </w:pPr>
      <w:r>
        <w:rPr>
          <w:color w:val="8C8C8C"/>
          <w:sz w:val="12"/>
        </w:rPr>
        <w:t>cf-art-132</w:t>
      </w:r>
      <w:r>
        <w:rPr>
          <w:color w:val="003CA0"/>
          <w:sz w:val="12"/>
        </w:rPr>
        <w:t xml:space="preserve"> | ADI 4.449</w:t>
      </w:r>
      <w:r>
        <w:rPr>
          <w:color w:val="003CA0"/>
          <w:sz w:val="12"/>
        </w:rPr>
        <w:t xml:space="preserve"> | rel. Marco Aurélio</w:t>
      </w:r>
    </w:p>
    <w:p>
      <w:pPr>
        <w:ind w:left="288"/>
      </w:pPr>
      <w:r>
        <w:rPr>
          <w:color w:val="1E1E1E"/>
          <w:sz w:val="18"/>
        </w:rPr>
        <w:t>Ante o princípio da unicidade orgânica das Procuradorias estaduais – artigo 132 da Constituição Federal –, surge inconstitucional restrição, considerada manifestação do poder constituinte derivado local, do âmbito de atuação dos Procuradores do Estado à defesa e assessoramento jurídico dos órgãos da Administração direta mediante a ‘constitucionalização’ de carreiras de Procurador Autárquico e de Advogado de Fundação à margem da estrutura da Procuradoria-Geral do Estado, ressalvada regra excepcional contida no artigo 69 do Ato da Disposições Constitucionais Transitórias.</w:t>
      </w:r>
    </w:p>
    <w:p>
      <w:pPr>
        <w:ind w:left="288"/>
      </w:pPr>
      <w:r>
        <w:rPr>
          <w:b/>
          <w:color w:val="003CA0"/>
          <w:sz w:val="16"/>
        </w:rPr>
        <w:t>[ADI 4.449, rel. min. Marco Aurélio, j. 28-3-2019, P, DJE de 1º-8-2019.]</w:t>
      </w:r>
    </w:p>
    <w:p>
      <w:pPr>
        <w:ind w:left="288"/>
      </w:pPr>
      <w:r>
        <w:rPr>
          <w:color w:val="8C8C8C"/>
          <w:sz w:val="12"/>
        </w:rPr>
        <w:t>cf-art-132</w:t>
      </w:r>
      <w:r>
        <w:rPr>
          <w:color w:val="003CA0"/>
          <w:sz w:val="12"/>
        </w:rPr>
        <w:t xml:space="preserve"> | ADI 5.215</w:t>
      </w:r>
      <w:r>
        <w:rPr>
          <w:color w:val="003CA0"/>
          <w:sz w:val="12"/>
        </w:rPr>
        <w:t xml:space="preserve"> | rel. Roberto Barroso</w:t>
      </w:r>
    </w:p>
    <w:p>
      <w:pPr>
        <w:ind w:left="288"/>
      </w:pPr>
      <w:r>
        <w:rPr>
          <w:color w:val="1E1E1E"/>
          <w:sz w:val="18"/>
        </w:rPr>
        <w:t>(...) as universidades estaduais também podem criar e organizar procuradorias jurídicas, em razão de sua autonomia didático-científica, administrativa, financeira e patrimonial (art. 207, caput, CF/88). Tais órgãos jurídicos exercem um papel fundamental na defesa dos interesses das universidades, inclusive em face dos próprios Estados-membros que as constituíram. Portanto, em razão da autonomia universitária e seguindo a lógica da jurisprudência do Supremo Tribunal Federal na matéria, a existência dessas procuradorias não viola o art. 132 da Constituição.</w:t>
      </w:r>
    </w:p>
    <w:p>
      <w:pPr>
        <w:ind w:left="288"/>
      </w:pPr>
      <w:r>
        <w:rPr>
          <w:b/>
          <w:color w:val="003CA0"/>
          <w:sz w:val="16"/>
        </w:rPr>
        <w:t>[ADI 5.215, rel. min. Roberto Barroso, j. 28-3-2019, P, DJE de 1º-8-2019.]</w:t>
      </w:r>
    </w:p>
    <w:p>
      <w:pPr>
        <w:ind w:left="288"/>
      </w:pPr>
      <w:r>
        <w:rPr>
          <w:color w:val="8C8C8C"/>
          <w:sz w:val="12"/>
        </w:rPr>
        <w:t>cf-art-132</w:t>
      </w:r>
      <w:r>
        <w:rPr>
          <w:color w:val="003CA0"/>
          <w:sz w:val="12"/>
        </w:rPr>
        <w:t xml:space="preserve"> | ADI 175</w:t>
      </w:r>
      <w:r>
        <w:rPr>
          <w:color w:val="003CA0"/>
          <w:sz w:val="12"/>
        </w:rPr>
        <w:t xml:space="preserve"> | rel. Octavio Gallotti</w:t>
      </w:r>
    </w:p>
    <w:p>
      <w:pPr>
        <w:ind w:left="288"/>
      </w:pPr>
      <w:r>
        <w:rPr>
          <w:color w:val="1E1E1E"/>
          <w:sz w:val="18"/>
        </w:rPr>
        <w:t xml:space="preserve">O Plenário desta Corte, no julgamento definitivo da ADI 175/PR, rel. min. Octavio Gallotti, declarou a constitucionalidade do art. 56 e parágrafos do ADCT do Estado do Paraná, de 5-10-1989, que autorizou a permanência, em carreiras especiais criadas por lei, dos que já ocupavam com estabilidade, naquele momento, cargos e empregos públicos de advogados, assessores e assistentes jurídicos, para o exercício do assessoramento jurídico nos Poderes Executivo, Legislativo e Judiciário e da representação judicial das autarquias e fundações públicas. Os diplomas legais ora impugnados, ao reunirem numa </w:t>
      </w:r>
    </w:p>
    <w:p>
      <w:pPr>
        <w:ind w:left="288"/>
      </w:pPr>
      <w:r>
        <w:rPr>
          <w:b/>
          <w:color w:val="003CA0"/>
          <w:sz w:val="16"/>
        </w:rPr>
        <w:t>[ADI 484, red. do ac. min. Ricardo Lewandowski, j. 10-11-2011, P, DJE de 1º-2-2012.]</w:t>
      </w:r>
    </w:p>
    <w:p>
      <w:pPr>
        <w:ind w:left="288"/>
      </w:pPr>
      <w:r>
        <w:rPr>
          <w:color w:val="8C8C8C"/>
          <w:sz w:val="12"/>
        </w:rPr>
        <w:t>cf-art-132</w:t>
      </w:r>
      <w:r>
        <w:rPr>
          <w:color w:val="003CA0"/>
          <w:sz w:val="12"/>
        </w:rPr>
        <w:t xml:space="preserve"> | ADI 4.261</w:t>
      </w:r>
      <w:r>
        <w:rPr>
          <w:color w:val="003CA0"/>
          <w:sz w:val="12"/>
        </w:rPr>
        <w:t xml:space="preserve"> | rel. Ayres Britto</w:t>
      </w:r>
    </w:p>
    <w:p>
      <w:pPr>
        <w:ind w:left="288"/>
      </w:pPr>
      <w:r>
        <w:rPr>
          <w:color w:val="1E1E1E"/>
          <w:sz w:val="18"/>
        </w:rPr>
        <w:t>A atividade de assessoramento jurídico do Poder Executivo dos Estados é de ser exercida por procuradores organizados em carreira, cujo ingresso depende de concurso público de provas e títulos, com a participação da OAB em todas as suas fases, nos termos do art. 132 da CF. Preceito que se destina à configuração da necessária qualificação técnica e independência funcional desses especiais agentes públicos. É inconstitucional norma estadual que autoriza a ocupante de cargo em comissão o desempenho das atribuições de assessoramento jurídico, no âmbito do Poder Executivo. Precedentes.</w:t>
      </w:r>
    </w:p>
    <w:p>
      <w:pPr>
        <w:ind w:left="288"/>
      </w:pPr>
      <w:r>
        <w:rPr>
          <w:b/>
          <w:color w:val="003CA0"/>
          <w:sz w:val="16"/>
        </w:rPr>
        <w:t>[ADI 4.261, rel. min. Ayres Britto, j. 2-8-2010, P, DJE de 20-8-2010.]</w:t>
      </w:r>
    </w:p>
    <w:p>
      <w:pPr>
        <w:ind w:left="288"/>
      </w:pPr>
      <w:r>
        <w:rPr>
          <w:color w:val="8C8C8C"/>
          <w:sz w:val="12"/>
        </w:rPr>
        <w:t>cf-art-132</w:t>
      </w:r>
      <w:r>
        <w:rPr>
          <w:color w:val="003CA0"/>
          <w:sz w:val="12"/>
        </w:rPr>
        <w:t xml:space="preserve"> | ADI 291</w:t>
      </w:r>
      <w:r>
        <w:rPr>
          <w:color w:val="003CA0"/>
          <w:sz w:val="12"/>
        </w:rPr>
        <w:t xml:space="preserve"> | rel. Joaquim Barbosa</w:t>
      </w:r>
    </w:p>
    <w:p>
      <w:pPr>
        <w:ind w:left="288"/>
      </w:pPr>
      <w:r>
        <w:rPr>
          <w:color w:val="1E1E1E"/>
          <w:sz w:val="18"/>
        </w:rPr>
        <w:t>O cargo de procurador-geral do Estado é de livre nomeação e exoneração pelo governador do Estado, que pode escolher o procurador-geral entre membros da carreira ou não.</w:t>
      </w:r>
    </w:p>
    <w:p>
      <w:pPr>
        <w:ind w:left="288"/>
      </w:pPr>
      <w:r>
        <w:rPr>
          <w:b/>
          <w:color w:val="003CA0"/>
          <w:sz w:val="16"/>
        </w:rPr>
        <w:t>[ADI 291, rel. min. Joaquim Barbosa, j. 7-4-2010, P, DJE de 10-9-2010.]</w:t>
      </w:r>
    </w:p>
    <w:p>
      <w:pPr>
        <w:ind w:left="288"/>
      </w:pPr>
      <w:r>
        <w:rPr>
          <w:color w:val="8C8C8C"/>
          <w:sz w:val="12"/>
        </w:rPr>
        <w:t>cf-art-132</w:t>
      </w:r>
      <w:r>
        <w:rPr>
          <w:color w:val="003CA0"/>
          <w:sz w:val="12"/>
        </w:rPr>
        <w:t xml:space="preserve"> | ADI 2.682</w:t>
      </w:r>
      <w:r>
        <w:rPr>
          <w:color w:val="003CA0"/>
          <w:sz w:val="12"/>
        </w:rPr>
        <w:t xml:space="preserve"> | rel. Gilmar Mendes</w:t>
      </w:r>
    </w:p>
    <w:p>
      <w:pPr>
        <w:ind w:left="288"/>
      </w:pPr>
      <w:r>
        <w:rPr>
          <w:color w:val="1E1E1E"/>
          <w:sz w:val="18"/>
        </w:rPr>
        <w:t>= ADI 2.682, rel. min. Gilmar Mendes, j. 12-2-2009, P, DJE de 19-6-2009 ≠ ADI 2.581, red. do ac. min. Marco Aurélio, j. 16-8-2007, P, DJE de 15-8-2008 Mostra-se harmônico com a CF preceito da Carta estadual prevendo a escolha do procurador-geral do Estado entre os integrantes da carreira.</w:t>
      </w:r>
    </w:p>
    <w:p>
      <w:pPr>
        <w:ind w:left="288"/>
      </w:pPr>
      <w:r>
        <w:rPr>
          <w:b/>
          <w:color w:val="003CA0"/>
          <w:sz w:val="16"/>
        </w:rPr>
        <w:t>[ADI 2.581, red. do ac. min. Marco Aurélio, j. 16-8-2007, P, DJE de 15-8-2008.]</w:t>
      </w:r>
    </w:p>
    <w:p>
      <w:pPr>
        <w:ind w:left="288"/>
      </w:pPr>
      <w:r>
        <w:rPr>
          <w:color w:val="8C8C8C"/>
          <w:sz w:val="12"/>
        </w:rPr>
        <w:t>cf-art-132</w:t>
      </w:r>
      <w:r>
        <w:rPr>
          <w:color w:val="003CA0"/>
          <w:sz w:val="12"/>
        </w:rPr>
        <w:t xml:space="preserve"> | ADI 291</w:t>
      </w:r>
      <w:r>
        <w:rPr>
          <w:color w:val="003CA0"/>
          <w:sz w:val="12"/>
        </w:rPr>
        <w:t xml:space="preserve"> | rel. Joaquim Barbosa</w:t>
      </w:r>
    </w:p>
    <w:p>
      <w:pPr>
        <w:ind w:left="288"/>
      </w:pPr>
      <w:r>
        <w:rPr>
          <w:color w:val="1E1E1E"/>
          <w:sz w:val="18"/>
        </w:rPr>
        <w:t>≠ ADI 291, rel. min. Joaquim Barbosa, j. 7-4-2010, P, DJE de 10-9-2010 A estruturação da Procuradoria do Poder Legislativo distrital está, inegavelmente, na esfera de competência privativa da Câmara Legislativa do Distrito Federal. Inconsistência da alegação de vício formal por usurpação de iniciativa do governador. A Procuradoria-Geral do Distrito Federal é a responsável pelo desempenho da atividade jurídica consultiva e contenciosa exercida na defesa dos interesses da pessoa jurídica de direito público Distrito Federal. Não obstante, a jurisprudência desta Corte reconhece a ocorrência de sit</w:t>
      </w:r>
    </w:p>
    <w:p>
      <w:pPr>
        <w:ind w:left="288"/>
      </w:pPr>
      <w:r>
        <w:rPr>
          <w:b/>
          <w:color w:val="003CA0"/>
          <w:sz w:val="16"/>
        </w:rPr>
        <w:t>[ADI 1.557, rel. min. Ellen Gracie, j. 31-3-2004, P, DJ de 18-6-2004.]</w:t>
      </w:r>
    </w:p>
    <w:p>
      <w:pPr>
        <w:ind w:left="288"/>
      </w:pPr>
      <w:r>
        <w:rPr>
          <w:color w:val="8C8C8C"/>
          <w:sz w:val="12"/>
        </w:rPr>
        <w:t>cf-art-132</w:t>
      </w:r>
      <w:r>
        <w:rPr>
          <w:color w:val="003CA0"/>
          <w:sz w:val="12"/>
        </w:rPr>
        <w:t xml:space="preserve"> | ADI 94</w:t>
      </w:r>
      <w:r>
        <w:rPr>
          <w:color w:val="003CA0"/>
          <w:sz w:val="12"/>
        </w:rPr>
        <w:t xml:space="preserve"> | rel. Gilmar Mendes</w:t>
      </w:r>
    </w:p>
    <w:p>
      <w:pPr>
        <w:ind w:left="288"/>
      </w:pPr>
      <w:r>
        <w:rPr>
          <w:color w:val="1E1E1E"/>
          <w:sz w:val="18"/>
        </w:rPr>
        <w:t>= ADI 94, rel. min. Gilmar Mendes, j. 7-12-2011, P, DJE de 16-12-2011 Ação direta de inconstitucionalidade. Arts. 135, I, e 138, caput e § 3º, da Constituição do Estado da Paraíba. Autonomia institucional da Procuradoria-Geral do Estado. Requisitos para a nomeação do procurador-geral, do procurador-geral adjunto e do procurador-corregedor. O inciso I do mencionado art. 135, ao atribuir autonomia funcional, administrativa e financeira à Procuradoria paraibana, desvirtua a configuração jurídica fixada pelo texto constitucional federal para as procuradorias estaduais, desrespeitando o art. 132 da</w:t>
      </w:r>
    </w:p>
    <w:p>
      <w:pPr>
        <w:ind w:left="288"/>
      </w:pPr>
      <w:r>
        <w:rPr>
          <w:b/>
          <w:color w:val="003CA0"/>
          <w:sz w:val="16"/>
        </w:rPr>
        <w:t>[ADI 217, rel. min. Ilmar Galvão, j. 25-8-2002, P, DJ de 13-9-2002.]</w:t>
      </w:r>
    </w:p>
    <w:p>
      <w:pPr>
        <w:ind w:left="288"/>
      </w:pPr>
      <w:r>
        <w:rPr>
          <w:color w:val="8C8C8C"/>
          <w:sz w:val="12"/>
        </w:rPr>
        <w:t>cf-art-132</w:t>
      </w:r>
      <w:r>
        <w:rPr>
          <w:color w:val="003CA0"/>
          <w:sz w:val="12"/>
        </w:rPr>
        <w:t xml:space="preserve"> | ADI 291</w:t>
      </w:r>
      <w:r>
        <w:rPr>
          <w:color w:val="003CA0"/>
          <w:sz w:val="12"/>
        </w:rPr>
        <w:t xml:space="preserve"> | rel. Joaquim Barbosa</w:t>
      </w:r>
    </w:p>
    <w:p>
      <w:pPr>
        <w:ind w:left="288"/>
      </w:pPr>
      <w:r>
        <w:rPr>
          <w:color w:val="1E1E1E"/>
          <w:sz w:val="18"/>
        </w:rPr>
        <w:t>= ADI 291, rel. min. Joaquim Barbosa, j. 7-4-2010, P, DJE de 10-9-2010</w:t>
      </w:r>
    </w:p>
    <w:p>
      <w:pPr>
        <w:ind w:left="144"/>
      </w:pPr>
      <w:r>
        <w:rPr>
          <w:b/>
          <w:color w:val="B45A00"/>
          <w:sz w:val="16"/>
        </w:rPr>
        <w:t>REPERCUSSAO GERAL</w:t>
      </w:r>
    </w:p>
    <w:p>
      <w:pPr>
        <w:ind w:left="288"/>
      </w:pPr>
      <w:r>
        <w:rPr>
          <w:color w:val="8C8C8C"/>
          <w:sz w:val="12"/>
        </w:rPr>
        <w:t>cf-art-132</w:t>
      </w:r>
      <w:r>
        <w:rPr>
          <w:color w:val="003CA0"/>
          <w:sz w:val="12"/>
        </w:rPr>
        <w:t xml:space="preserve"> | RE 663.696</w:t>
      </w:r>
      <w:r>
        <w:rPr>
          <w:color w:val="003CA0"/>
          <w:sz w:val="12"/>
        </w:rPr>
        <w:t xml:space="preserve"> | rel. Luiz Fux</w:t>
      </w:r>
    </w:p>
    <w:p>
      <w:pPr>
        <w:ind w:left="288"/>
      </w:pPr>
      <w:r>
        <w:rPr>
          <w:color w:val="1E1E1E"/>
          <w:sz w:val="18"/>
        </w:rPr>
        <w:t>A expressão ‘Procuradores’, contida na parte final do inciso XI do art. 37 da Constituição da República, compreende os Procuradores Municipais, uma vez que estes se inserem nas funções essenciais à Justiça, estando, portanto, submetidos ao teto de noventa inteiros e vinte e cinco centésimos por cento do subsídio mensal, em espécie, dos Ministros do Supremo Tribunal Federal.</w:t>
      </w:r>
    </w:p>
    <w:p>
      <w:pPr>
        <w:ind w:left="288"/>
      </w:pPr>
      <w:r>
        <w:rPr>
          <w:b/>
          <w:color w:val="003CA0"/>
          <w:sz w:val="16"/>
        </w:rPr>
        <w:t>[RE 663.696, rel. min. Luiz Fux, j. 28 -2-2019, P, DJE de 22-8-2019, Tema 510, com mérito julgado.]</w:t>
      </w:r>
    </w:p>
    <w:p>
      <w:pPr>
        <w:ind w:left="288"/>
      </w:pPr>
      <w:r>
        <w:rPr>
          <w:color w:val="8C8C8C"/>
          <w:sz w:val="12"/>
        </w:rPr>
        <w:t>cf-art-132</w:t>
      </w:r>
      <w:r>
        <w:rPr>
          <w:color w:val="003CA0"/>
          <w:sz w:val="12"/>
        </w:rPr>
        <w:t xml:space="preserve"> | ARE 646.761</w:t>
      </w:r>
      <w:r>
        <w:rPr>
          <w:color w:val="003CA0"/>
          <w:sz w:val="12"/>
        </w:rPr>
        <w:t xml:space="preserve"> | rel. Gilmar Mendes</w:t>
      </w:r>
    </w:p>
    <w:p>
      <w:pPr>
        <w:ind w:left="288"/>
      </w:pPr>
      <w:r>
        <w:rPr>
          <w:color w:val="1E1E1E"/>
          <w:sz w:val="18"/>
        </w:rPr>
        <w:t>Procurador de Estado. Vedações estatutárias para exercício de cargo público. Advocacia fora das atribuições funcionais. Liberdade de conformação do poder constituinte derivado.</w:t>
      </w:r>
    </w:p>
    <w:p>
      <w:pPr>
        <w:ind w:left="288"/>
      </w:pPr>
      <w:r>
        <w:rPr>
          <w:b/>
          <w:color w:val="003CA0"/>
          <w:sz w:val="16"/>
        </w:rPr>
        <w:t>[ARE 646.761 AgR, rel. min. Gilmar Mendes, j. 29-10-2013, 2ª T, DJE de 25-11-2013, com mérito julgado.]</w:t>
      </w:r>
    </w:p>
    <w:p>
      <w:pPr>
        <w:ind w:left="144"/>
      </w:pPr>
      <w:r>
        <w:rPr>
          <w:b/>
          <w:color w:val="B45A00"/>
          <w:sz w:val="16"/>
        </w:rPr>
        <w:t>JULGADOS CORRELATOS</w:t>
      </w:r>
    </w:p>
    <w:p>
      <w:pPr>
        <w:ind w:left="288"/>
      </w:pPr>
      <w:r>
        <w:rPr>
          <w:color w:val="8C8C8C"/>
          <w:sz w:val="12"/>
        </w:rPr>
        <w:t>cf-art-132</w:t>
      </w:r>
      <w:r>
        <w:rPr>
          <w:color w:val="003CA0"/>
          <w:sz w:val="12"/>
        </w:rPr>
        <w:t xml:space="preserve"> | RE 446.800</w:t>
      </w:r>
      <w:r>
        <w:rPr>
          <w:color w:val="003CA0"/>
          <w:sz w:val="12"/>
        </w:rPr>
        <w:t xml:space="preserve"> | rel. Cármen Lúcia</w:t>
      </w:r>
    </w:p>
    <w:p>
      <w:pPr>
        <w:ind w:left="288"/>
      </w:pPr>
      <w:r>
        <w:rPr>
          <w:color w:val="1E1E1E"/>
          <w:sz w:val="18"/>
        </w:rPr>
        <w:t>O procurador-geral do Estado exerce as atribuições, mutatis mutandis, do advogado-geral da União, inclusive no que se refere à função de representar judicialmente o ente federativo a que está vinculado. Assim, não há que se falar em ausência de legitimidade do procurador-geral do Estado, independentemente de ser membro da carreira, na representação judicial do Estado.</w:t>
      </w:r>
    </w:p>
    <w:p>
      <w:pPr>
        <w:ind w:left="288"/>
      </w:pPr>
      <w:r>
        <w:rPr>
          <w:b/>
          <w:color w:val="003CA0"/>
          <w:sz w:val="16"/>
        </w:rPr>
        <w:t>[RE 446.800 ED, voto da rel. min. Cármen Lúcia, j. 8-9-2009, 1ª T, DJE de 2-10-2009.]</w:t>
      </w:r>
    </w:p>
    <w:p>
      <w:pPr>
        <w:ind w:left="288"/>
      </w:pPr>
      <w:r>
        <w:rPr>
          <w:color w:val="8C8C8C"/>
          <w:sz w:val="12"/>
        </w:rPr>
        <w:t>cf-art-132</w:t>
      </w:r>
      <w:r>
        <w:rPr>
          <w:color w:val="003CA0"/>
          <w:sz w:val="12"/>
        </w:rPr>
        <w:t xml:space="preserve"> | RE 192.553</w:t>
      </w:r>
      <w:r>
        <w:rPr>
          <w:color w:val="003CA0"/>
          <w:sz w:val="12"/>
        </w:rPr>
        <w:t xml:space="preserve"> | rel. Marco Aurélio</w:t>
      </w:r>
    </w:p>
    <w:p>
      <w:pPr>
        <w:ind w:left="288"/>
      </w:pPr>
      <w:r>
        <w:rPr>
          <w:color w:val="1E1E1E"/>
          <w:sz w:val="18"/>
        </w:rPr>
        <w:t>O princípio da razoabilidade, a direcionar no sentido da presunção do que normalmente ocorre, afasta a exigência, como ônus processual, da prova da qualidade de procurador do Estado por quem assim se apresenta e subscreve ato processual. O mandato é legal e decorre do disposto nos arts. 12 e 132, respectivamente do CPC e da CF.</w:t>
      </w:r>
    </w:p>
    <w:p>
      <w:pPr>
        <w:ind w:left="288"/>
      </w:pPr>
      <w:r>
        <w:rPr>
          <w:b/>
          <w:color w:val="003CA0"/>
          <w:sz w:val="16"/>
        </w:rPr>
        <w:t>[RE 192.553, rel. min. Marco Aurélio, j. 15-12-1998, 2ª T, DJ de 16-4-1999.]</w:t>
      </w:r>
    </w:p>
    <w:p>
      <w:pPr>
        <w:ind w:left="288"/>
      </w:pPr>
      <w:r>
        <w:rPr>
          <w:color w:val="8C8C8C"/>
          <w:sz w:val="12"/>
        </w:rPr>
        <w:t>cf-art-132</w:t>
      </w:r>
      <w:r>
        <w:rPr>
          <w:color w:val="003CA0"/>
          <w:sz w:val="12"/>
        </w:rPr>
        <w:t xml:space="preserve"> | PET 409</w:t>
      </w:r>
    </w:p>
    <w:p>
      <w:pPr>
        <w:ind w:left="288"/>
      </w:pPr>
      <w:r>
        <w:rPr>
          <w:color w:val="1E1E1E"/>
          <w:sz w:val="18"/>
        </w:rPr>
        <w:t>Representação judicial não excludente da Constituição de mandatário ad judicia para causa específica. Ao conferir aos procuradores dos Estados e do Distrito Federal a sua representação judicial, o art. 132 da Constituição veicula norma de organização administrativa, sem tolher a capacidade de tais entidades federativas para conferir mandato ad judicia a outros advogados para causas especiais.</w:t>
      </w:r>
    </w:p>
    <w:p>
      <w:pPr>
        <w:ind w:left="288"/>
      </w:pPr>
      <w:r>
        <w:rPr>
          <w:b/>
          <w:color w:val="003CA0"/>
          <w:sz w:val="16"/>
        </w:rPr>
        <w:t>[Pet 409 AgR, red do ac. min. Sepúlveda Pertence, j. 18-4-1990, P, DJ de 29-6-1990.]</w:t>
      </w:r>
    </w:p>
    <w:p>
      <w:pPr>
        <w:ind w:left="288"/>
      </w:pPr>
      <w:r>
        <w:rPr>
          <w:color w:val="8C8C8C"/>
          <w:sz w:val="12"/>
        </w:rPr>
        <w:t>cf-art-132</w:t>
      </w:r>
    </w:p>
    <w:p>
      <w:pPr>
        <w:ind w:left="288"/>
      </w:pPr>
      <w:r>
        <w:rPr>
          <w:color w:val="1E1E1E"/>
          <w:sz w:val="18"/>
        </w:rPr>
        <w:t>Parágrafo único. Aos procuradores referidos neste artigo é assegurada estabilidade após três anos de efetivo exercício, mediante avaliação de desempenho perante os órgãos próprios, após relatório circunstanciado das corregedorias. (Redação da EC 19/1998) Seção III Da Advocacia (Redação da EC 80/2014) SUMÁRIO</w:t>
      </w:r>
    </w:p>
    <w:p>
      <w:pPr>
        <w:pStyle w:val="Heading3"/>
      </w:pPr>
      <w:r>
        <w:rPr>
          <w:color w:val="003366"/>
        </w:rPr>
        <w:t>Seção III - Da Advocacia</w:t>
      </w:r>
    </w:p>
    <w:p>
      <w:r>
        <w:rPr>
          <w:b/>
          <w:color w:val="003366"/>
          <w:sz w:val="20"/>
        </w:rPr>
        <w:t>Art. 133 O advogado é indispensável à administração da justiça, sendo inviolável</w:t>
      </w:r>
      <w:r>
        <w:rPr>
          <w:color w:val="8C8C8C"/>
          <w:sz w:val="14"/>
        </w:rPr>
        <w:t xml:space="preserve">  [32 decisoes]</w:t>
      </w:r>
    </w:p>
    <w:p>
      <w:pPr>
        <w:ind w:left="144"/>
      </w:pPr>
      <w:r>
        <w:rPr>
          <w:b/>
          <w:color w:val="B45A00"/>
          <w:sz w:val="16"/>
        </w:rPr>
        <w:t>SUMULA VINCULANTE</w:t>
      </w:r>
    </w:p>
    <w:p>
      <w:pPr>
        <w:ind w:left="288"/>
      </w:pPr>
      <w:r>
        <w:rPr>
          <w:color w:val="8C8C8C"/>
          <w:sz w:val="12"/>
        </w:rPr>
        <w:t>cf-art-133</w:t>
      </w:r>
    </w:p>
    <w:p>
      <w:pPr>
        <w:ind w:left="288"/>
      </w:pPr>
      <w:r>
        <w:rPr>
          <w:color w:val="1E1E1E"/>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144"/>
      </w:pPr>
      <w:r>
        <w:rPr>
          <w:b/>
          <w:color w:val="B45A00"/>
          <w:sz w:val="16"/>
        </w:rPr>
        <w:t>CONTROLE CONCENTRADO</w:t>
      </w:r>
    </w:p>
    <w:p>
      <w:pPr>
        <w:ind w:left="288"/>
      </w:pPr>
      <w:r>
        <w:rPr>
          <w:color w:val="8C8C8C"/>
          <w:sz w:val="12"/>
        </w:rPr>
        <w:t>cf-art-133</w:t>
      </w:r>
      <w:r>
        <w:rPr>
          <w:color w:val="003CA0"/>
          <w:sz w:val="12"/>
        </w:rPr>
        <w:t xml:space="preserve"> | ADPF 591</w:t>
      </w:r>
      <w:r>
        <w:rPr>
          <w:color w:val="003CA0"/>
          <w:sz w:val="12"/>
        </w:rPr>
        <w:t xml:space="preserve"> | rel. Cristiano Zanin</w:t>
      </w:r>
    </w:p>
    <w:p>
      <w:pPr>
        <w:ind w:left="288"/>
      </w:pPr>
      <w:r>
        <w:rPr>
          <w:color w:val="1E1E1E"/>
          <w:sz w:val="18"/>
        </w:rPr>
        <w:t>Lei n. 5.478/1968. Dispositivos que dispensam a assistência de advogado na audiência inicial da ação de alimentos. Situação excepcional com fundamento no acesso à justiça e na essencialidade da obrigação alimentícia. () Na ação de alimento, o comparecimento a Juízo sem a assistência de advogado é medida assecuratória do direito do alimentando. A medida é prévia à instauração da lide e fundamentada na urgência da pretensão deduzida. Nas fases processuais subsequentes, a lei exige a presença de profissional habilitado.</w:t>
        <w:br/>
        <w:t>[ADPF 591, rel. min. Cristiano Zanin, j. 19.08.2024, P, DJE de 28.08.2024.]</w:t>
      </w:r>
    </w:p>
    <w:p>
      <w:pPr>
        <w:ind w:left="288"/>
      </w:pPr>
      <w:r>
        <w:rPr>
          <w:color w:val="8C8C8C"/>
          <w:sz w:val="12"/>
        </w:rPr>
        <w:t>cf-art-133</w:t>
      </w:r>
      <w:r>
        <w:rPr>
          <w:color w:val="003CA0"/>
          <w:sz w:val="12"/>
        </w:rPr>
        <w:t xml:space="preserve"> | ADI 1.194</w:t>
      </w:r>
    </w:p>
    <w:p>
      <w:pPr>
        <w:ind w:left="288"/>
      </w:pPr>
      <w:r>
        <w:rPr>
          <w:color w:val="1E1E1E"/>
          <w:sz w:val="18"/>
        </w:rPr>
        <w:t>Estatuto da OAB. (...) O art. 21 e seu parágrafo único da Lei 8.906/1994 devem ser interpretados no sentido da preservação da liberdade contratual quanto à destinação dos honorários de sucumbência fixados judicialmente. Pela interpretação conforme conferida ao art. 21 e seu parágrafo único, declara-se inconstitucional o § 3º do art. 24 da Lei 8.906/1994, segundo o qual "é nula qualquer disposição, cláusula, regulamento ou convenção individual ou coletiva que retire do advogado o direito ao recebimento dos honorários de sucumbência".</w:t>
      </w:r>
    </w:p>
    <w:p>
      <w:pPr>
        <w:ind w:left="288"/>
      </w:pPr>
      <w:r>
        <w:rPr>
          <w:b/>
          <w:color w:val="003CA0"/>
          <w:sz w:val="16"/>
        </w:rPr>
        <w:t>[ADI 1.194, red. do ac. min. Cármen Lúcia, j. 20-5-2009, P, DJE de 11-9-2009.]</w:t>
      </w:r>
    </w:p>
    <w:p>
      <w:pPr>
        <w:ind w:left="288"/>
      </w:pPr>
      <w:r>
        <w:rPr>
          <w:color w:val="8C8C8C"/>
          <w:sz w:val="12"/>
        </w:rPr>
        <w:t>cf-art-133</w:t>
      </w:r>
      <w:r>
        <w:rPr>
          <w:color w:val="003CA0"/>
          <w:sz w:val="12"/>
        </w:rPr>
        <w:t xml:space="preserve"> | ADI 2.527</w:t>
      </w:r>
      <w:r>
        <w:rPr>
          <w:color w:val="003CA0"/>
          <w:sz w:val="12"/>
        </w:rPr>
        <w:t xml:space="preserve"> | rel. Ellen Gracie</w:t>
      </w:r>
    </w:p>
    <w:p>
      <w:pPr>
        <w:ind w:left="288"/>
      </w:pPr>
      <w:r>
        <w:rPr>
          <w:color w:val="1E1E1E"/>
          <w:sz w:val="18"/>
        </w:rPr>
        <w:t>A introdução, no art. 6º da Lei 9.469/1997, de dispositivo que afasta, no caso de transação ou acordo, a possibilidade do pagamento dos honorários devidos ao advogado da parte contrária, ainda que fruto de condenação transitada em julgado, choca-se, aparentemente, com a garantia insculpida no art. 5º, XXXVI, da Constituição, por desconsiderar a coisa julgada, além de afrontar a garantia de isonomia da parte obrigada a negociar despida de uma parcela significativa de seu poder de barganha, correspondente à verba honorária.</w:t>
      </w:r>
    </w:p>
    <w:p>
      <w:pPr>
        <w:ind w:left="288"/>
      </w:pPr>
      <w:r>
        <w:rPr>
          <w:b/>
          <w:color w:val="003CA0"/>
          <w:sz w:val="16"/>
        </w:rPr>
        <w:t>[ADI 2.527 MC, rel. min. Ellen Gracie, j. 16-8-2007, P, DJ de 23-11-2007.]</w:t>
      </w:r>
    </w:p>
    <w:p>
      <w:pPr>
        <w:ind w:left="288"/>
      </w:pPr>
      <w:r>
        <w:rPr>
          <w:color w:val="8C8C8C"/>
          <w:sz w:val="12"/>
        </w:rPr>
        <w:t>cf-art-133</w:t>
      </w:r>
      <w:r>
        <w:rPr>
          <w:color w:val="003CA0"/>
          <w:sz w:val="12"/>
        </w:rPr>
        <w:t xml:space="preserve"> | RE 221.019</w:t>
      </w:r>
      <w:r>
        <w:rPr>
          <w:color w:val="003CA0"/>
          <w:sz w:val="12"/>
        </w:rPr>
        <w:t xml:space="preserve"> | rel. Cezar Peluso</w:t>
      </w:r>
    </w:p>
    <w:p>
      <w:pPr>
        <w:ind w:left="288"/>
      </w:pPr>
      <w:r>
        <w:rPr>
          <w:color w:val="1E1E1E"/>
          <w:sz w:val="18"/>
        </w:rPr>
        <w:t>= RE 221.019 ED, rel. min. Cezar Peluso, j. 14-10-2008, 2ª T, DJE de 21-11-2008 Ação direta de inconstitucionalidade. Juizados especiais federais. Lei 10.259/2001, art. 10. Dispensabilidade de advogado nas causas cíveis. Imprescindibilidade da presença de advogado nas causas criminais. Aplicação subsidiária da Lei 9.099/1995. Interpretação conforme a Constituição. (...) Interpretação conforme, para excluir do âmbito de incidência do art. 10 da Lei 10.259/2001 os feitos de competência dos juizados especiais criminais da Justiça Federal.</w:t>
      </w:r>
    </w:p>
    <w:p>
      <w:pPr>
        <w:ind w:left="288"/>
      </w:pPr>
      <w:r>
        <w:rPr>
          <w:b/>
          <w:color w:val="003CA0"/>
          <w:sz w:val="16"/>
        </w:rPr>
        <w:t>[ADI 3.168, rel. min. Joaquim Barbosa, j. 8-6-2006, P, DJ de 3-8-2007.]</w:t>
      </w:r>
    </w:p>
    <w:p>
      <w:pPr>
        <w:ind w:left="288"/>
      </w:pPr>
      <w:r>
        <w:rPr>
          <w:color w:val="8C8C8C"/>
          <w:sz w:val="12"/>
        </w:rPr>
        <w:t>cf-art-133</w:t>
      </w:r>
      <w:r>
        <w:rPr>
          <w:color w:val="003CA0"/>
          <w:sz w:val="12"/>
        </w:rPr>
        <w:t xml:space="preserve"> | AI 461.490</w:t>
      </w:r>
      <w:r>
        <w:rPr>
          <w:color w:val="003CA0"/>
          <w:sz w:val="12"/>
        </w:rPr>
        <w:t xml:space="preserve"> | rel. Ellen Gracie</w:t>
      </w:r>
    </w:p>
    <w:p>
      <w:pPr>
        <w:ind w:left="288"/>
      </w:pPr>
      <w:r>
        <w:rPr>
          <w:color w:val="1E1E1E"/>
          <w:sz w:val="18"/>
        </w:rPr>
        <w:t>= AI 461.490 ED, rel. min. Ellen Gracie, j. 23-6-2009, 2ª T, DJE de 7-8-2009 Ação direta de inconstitucionalidade. Lei 8.906, de 4 de julho de 1994. Estatuto da Advocacia e a OAB. Dispositivos impugnados pela AMB [Associação dos Magistrados Brasileiros]. (...) O advogado é indispensável à administração da Justiça. Sua presença, contudo, pode ser dispensada em certos atos jurisdicionais. A imunidade profissional é indispensável para que o advogado possa exercer condigna e amplamente seu múnus público. A inviolabilidade do escritório ou do local de trabalho é consectário da inviolabilidade asseg</w:t>
      </w:r>
    </w:p>
    <w:p>
      <w:pPr>
        <w:ind w:left="288"/>
      </w:pPr>
      <w:r>
        <w:rPr>
          <w:b/>
          <w:color w:val="003CA0"/>
          <w:sz w:val="16"/>
        </w:rPr>
        <w:t>[ADI 1.127, red. do ac. min. Ricardo Lewandowski, j. 17-5-2006, P, DJE de 11-6-2010.]</w:t>
      </w:r>
    </w:p>
    <w:p>
      <w:pPr>
        <w:ind w:left="288"/>
      </w:pPr>
      <w:r>
        <w:rPr>
          <w:color w:val="8C8C8C"/>
          <w:sz w:val="12"/>
        </w:rPr>
        <w:t>cf-art-133</w:t>
      </w:r>
      <w:r>
        <w:rPr>
          <w:color w:val="003CA0"/>
          <w:sz w:val="12"/>
        </w:rPr>
        <w:t xml:space="preserve"> | RCL 19.286</w:t>
      </w:r>
      <w:r>
        <w:rPr>
          <w:color w:val="003CA0"/>
          <w:sz w:val="12"/>
        </w:rPr>
        <w:t xml:space="preserve"> | rel. Celso de Mello</w:t>
      </w:r>
    </w:p>
    <w:p>
      <w:pPr>
        <w:ind w:left="288"/>
      </w:pPr>
      <w:r>
        <w:rPr>
          <w:color w:val="1E1E1E"/>
          <w:sz w:val="18"/>
        </w:rPr>
        <w:t>Vide Rcl 19.286 AgR, rel. min. Celso de Mello, j. 24-3-2015, 2ª T, DJE de 2-6-2015 Vide Rcl 4.535, rel. min. Sepúlveda Pertence, j. 7-5-2007, P, DJ de 15-6-2007 “1. O art. 6º, inciso I, da Lei 12.514/2011, que limita o valor da anuidade aos diversos Conselhos Profissionais, não se aplica à Ordem dos Advogados do Brasil. 2. A fixação e cobrança das contribuições anuais de advogados são regidas especificamente pelo Estatuto da OAB (Lei nº 8.906/94), pois a Ordem dos Advogados do Brasil possui finalidade institucional, além das corporativas, uma vez que a advocacia é indispensável à administração</w:t>
      </w:r>
    </w:p>
    <w:p>
      <w:pPr>
        <w:ind w:left="288"/>
      </w:pPr>
      <w:r>
        <w:rPr>
          <w:b/>
          <w:color w:val="003CA0"/>
          <w:sz w:val="16"/>
        </w:rPr>
        <w:t>[RE 1.336.047, rel. min. Alexandre de Moraes, j.18-2-2026, P, DJE de 2-3-2026, Tema 1.180, com mérito julgado.]</w:t>
      </w:r>
    </w:p>
    <w:p>
      <w:pPr>
        <w:ind w:left="144"/>
      </w:pPr>
      <w:r>
        <w:rPr>
          <w:b/>
          <w:color w:val="B45A00"/>
          <w:sz w:val="16"/>
        </w:rPr>
        <w:t>REPERCUSSAO GERAL</w:t>
      </w:r>
    </w:p>
    <w:p>
      <w:pPr>
        <w:ind w:left="288"/>
      </w:pPr>
      <w:r>
        <w:rPr>
          <w:color w:val="8C8C8C"/>
          <w:sz w:val="12"/>
        </w:rPr>
        <w:t>cf-art-133</w:t>
      </w:r>
      <w:r>
        <w:rPr>
          <w:color w:val="003CA0"/>
          <w:sz w:val="12"/>
        </w:rPr>
        <w:t xml:space="preserve"> | RE 603.583</w:t>
      </w:r>
      <w:r>
        <w:rPr>
          <w:color w:val="003CA0"/>
          <w:sz w:val="12"/>
        </w:rPr>
        <w:t xml:space="preserve"> | rel. Marco Aurélio</w:t>
      </w:r>
    </w:p>
    <w:p>
      <w:pPr>
        <w:ind w:left="288"/>
      </w:pPr>
      <w:r>
        <w:rPr>
          <w:color w:val="1E1E1E"/>
          <w:sz w:val="18"/>
        </w:rPr>
        <w:t>Alcança-se a qualificação de bacharel em direito mediante conclusão do curso respectivo e colação de grau. (...) O Exame de Ordem (...) mostra-se consentâneo com a CF, que remete às qualificações previstas em lei.</w:t>
      </w:r>
    </w:p>
    <w:p>
      <w:pPr>
        <w:ind w:left="288"/>
      </w:pPr>
      <w:r>
        <w:rPr>
          <w:b/>
          <w:color w:val="003CA0"/>
          <w:sz w:val="16"/>
        </w:rPr>
        <w:t>[RE 603.583, rel. min. Marco Aurélio, j. 26-10-2011, P, DJE de 25-5-2012, Tema 241, com mérito em julgado.]</w:t>
      </w:r>
    </w:p>
    <w:p>
      <w:pPr>
        <w:ind w:left="288"/>
      </w:pPr>
      <w:r>
        <w:rPr>
          <w:color w:val="8C8C8C"/>
          <w:sz w:val="12"/>
        </w:rPr>
        <w:t>cf-art-133</w:t>
      </w:r>
      <w:r>
        <w:rPr>
          <w:color w:val="003CA0"/>
          <w:sz w:val="12"/>
        </w:rPr>
        <w:t xml:space="preserve"> | HC 174.061</w:t>
      </w:r>
      <w:r>
        <w:rPr>
          <w:color w:val="003CA0"/>
          <w:sz w:val="12"/>
        </w:rPr>
        <w:t xml:space="preserve"> | rel. Gilmar Mendes</w:t>
      </w:r>
    </w:p>
    <w:p>
      <w:pPr>
        <w:ind w:left="288"/>
      </w:pPr>
      <w:r>
        <w:rPr>
          <w:color w:val="1E1E1E"/>
          <w:sz w:val="18"/>
        </w:rPr>
        <w:t xml:space="preserve">A jurisprudência do STF já decidiu pela impossibilidade de instauração de procedimento investigativo para apurar o montante recebido a título de honorários em virtude do legítimo exercício do direito de defesa na esfera criminal, sob pena de indevida restrição à inviolabilidade do advogado e à sua prerrogativa ao sigilo profissional, nos termos estabelecidos pelo art. 133 da Constituição Federal e pelo arts. 2º; 7º, XIX; 34, VII, da Lei Federal 8.906/1994. As recomendações e notas interpretativas do Grupo de Ação Financeira (GAFI) da Organização para a Cooperação e o Desenvolvimento Econômico </w:t>
      </w:r>
    </w:p>
    <w:p>
      <w:pPr>
        <w:ind w:left="288"/>
      </w:pPr>
      <w:r>
        <w:rPr>
          <w:b/>
          <w:color w:val="003CA0"/>
          <w:sz w:val="16"/>
        </w:rPr>
        <w:t>[HC 174.061 MC-AgR, rel. min. Gilmar Mendes, j. 26-11-2025, 2ª T, DJE de 27-2-2026.]</w:t>
      </w:r>
    </w:p>
    <w:p>
      <w:pPr>
        <w:ind w:left="144"/>
      </w:pPr>
      <w:r>
        <w:rPr>
          <w:b/>
          <w:color w:val="B45A00"/>
          <w:sz w:val="16"/>
        </w:rPr>
        <w:t>JULGADOS CORRELATOS</w:t>
      </w:r>
    </w:p>
    <w:p>
      <w:pPr>
        <w:ind w:left="288"/>
      </w:pPr>
      <w:r>
        <w:rPr>
          <w:color w:val="8C8C8C"/>
          <w:sz w:val="12"/>
        </w:rPr>
        <w:t>cf-art-133</w:t>
      </w:r>
      <w:r>
        <w:rPr>
          <w:color w:val="003CA0"/>
          <w:sz w:val="12"/>
        </w:rPr>
        <w:t xml:space="preserve"> | INQ 4.074</w:t>
      </w:r>
    </w:p>
    <w:p>
      <w:pPr>
        <w:ind w:left="288"/>
      </w:pPr>
      <w:r>
        <w:rPr>
          <w:color w:val="1E1E1E"/>
          <w:sz w:val="18"/>
        </w:rPr>
        <w:t>(...) a inviolabilidade profissional do advogado não é absoluta (...), de modo que o próprio Estatuto da OAB (Lei 8.906/1994) permite que a autoridade judiciária competente, em decisão motivada, decrete a quebra da prerrogativa (art. 7º, § 6º, da Lei 8.906/1994). A vedação constante da parte final do referido dispositivo não se estende "a clientes do advogado averiguado que estejam sendo formalmente investigados como seus participes ou co-autores pela prática do mesmo crime que deu causa a quebra da inviolabilidade" (art. 7º, § 7º, da Lei 8.906/1994).</w:t>
      </w:r>
    </w:p>
    <w:p>
      <w:pPr>
        <w:ind w:left="288"/>
      </w:pPr>
      <w:r>
        <w:rPr>
          <w:b/>
          <w:color w:val="003CA0"/>
          <w:sz w:val="16"/>
        </w:rPr>
        <w:t>[Inq 4.074, red. do ac. min. Dias Toffoli, j. 14-8-2018, 2ª T, DJE de 17-10-2018.]</w:t>
      </w:r>
    </w:p>
    <w:p>
      <w:pPr>
        <w:ind w:left="288"/>
      </w:pPr>
      <w:r>
        <w:rPr>
          <w:color w:val="8C8C8C"/>
          <w:sz w:val="12"/>
        </w:rPr>
        <w:t>cf-art-133</w:t>
      </w:r>
      <w:r>
        <w:rPr>
          <w:color w:val="003CA0"/>
          <w:sz w:val="12"/>
        </w:rPr>
        <w:t xml:space="preserve"> | RHC 119.900</w:t>
      </w:r>
      <w:r>
        <w:rPr>
          <w:color w:val="003CA0"/>
          <w:sz w:val="12"/>
        </w:rPr>
        <w:t xml:space="preserve"> | rel. Teori Zavascki</w:t>
      </w:r>
    </w:p>
    <w:p>
      <w:pPr>
        <w:ind w:left="288"/>
      </w:pPr>
      <w:r>
        <w:rPr>
          <w:color w:val="1E1E1E"/>
          <w:sz w:val="18"/>
        </w:rPr>
        <w:t>Nos termos do art. 4º da Lei 8.906/1994, são nulos todos os atos privativos de advogado praticados por pessoa não inscrita na OAB.</w:t>
      </w:r>
    </w:p>
    <w:p>
      <w:pPr>
        <w:ind w:left="288"/>
      </w:pPr>
      <w:r>
        <w:rPr>
          <w:b/>
          <w:color w:val="003CA0"/>
          <w:sz w:val="16"/>
        </w:rPr>
        <w:t>[RHC 119.900, rel. min. Teori Zavascki, j. 5-5-2015, 2ª T, DJE de 20-5-2015.]</w:t>
      </w:r>
    </w:p>
    <w:p>
      <w:pPr>
        <w:ind w:left="288"/>
      </w:pPr>
      <w:r>
        <w:rPr>
          <w:color w:val="8C8C8C"/>
          <w:sz w:val="12"/>
        </w:rPr>
        <w:t>cf-art-133</w:t>
      </w:r>
      <w:r>
        <w:rPr>
          <w:color w:val="003CA0"/>
          <w:sz w:val="12"/>
        </w:rPr>
        <w:t xml:space="preserve"> | HC 85.717</w:t>
      </w:r>
      <w:r>
        <w:rPr>
          <w:color w:val="003CA0"/>
          <w:sz w:val="12"/>
        </w:rPr>
        <w:t xml:space="preserve"> | rel. Celso de Mello</w:t>
      </w:r>
    </w:p>
    <w:p>
      <w:pPr>
        <w:ind w:left="288"/>
      </w:pPr>
      <w:r>
        <w:rPr>
          <w:color w:val="1E1E1E"/>
          <w:sz w:val="18"/>
        </w:rPr>
        <w:t>Vide HC 85.717, rel. min. Celso de Mello, j. 9-10-2007, 1ª T, DJE de 14-6-2013 Advogado. Prisão cautelar. Recolhimento a "sala de estado-maior" até o trânsito em julgado da sentença condenatória. Estatuto da advocacia (art. 7º, V). Ausência, no local do recolhimento prisional, de dependência que se qualifique como "sala de estado-maior". Hipótese em que a existência de vaga especial na unidade penitenciária, desde que provida de "instalações e comodidades condignas" e localizada em área separada dos demais detentos, atende à exigência da Lei 8.906/1994 (art. 7º, V, in fine).</w:t>
      </w:r>
    </w:p>
    <w:p>
      <w:pPr>
        <w:ind w:left="288"/>
      </w:pPr>
      <w:r>
        <w:rPr>
          <w:b/>
          <w:color w:val="003CA0"/>
          <w:sz w:val="16"/>
        </w:rPr>
        <w:t>[Rcl 19.286 AgR, rel. min. Celso de Mello, j. 24-3-2015, 2ª T, DJE de 2-6-2015.]</w:t>
      </w:r>
    </w:p>
    <w:p>
      <w:pPr>
        <w:ind w:left="288"/>
      </w:pPr>
      <w:r>
        <w:rPr>
          <w:color w:val="8C8C8C"/>
          <w:sz w:val="12"/>
        </w:rPr>
        <w:t>cf-art-133</w:t>
      </w:r>
      <w:r>
        <w:rPr>
          <w:color w:val="003CA0"/>
          <w:sz w:val="12"/>
        </w:rPr>
        <w:t xml:space="preserve"> | ADI 1.127</w:t>
      </w:r>
      <w:r>
        <w:rPr>
          <w:color w:val="003CA0"/>
          <w:sz w:val="12"/>
        </w:rPr>
        <w:t xml:space="preserve"> | rel. Marco Aurélio</w:t>
      </w:r>
    </w:p>
    <w:p>
      <w:pPr>
        <w:ind w:left="288"/>
      </w:pPr>
      <w:r>
        <w:rPr>
          <w:color w:val="1E1E1E"/>
          <w:sz w:val="18"/>
        </w:rPr>
        <w:t>Vide ADI 1.127, red. do ac. min. Ricardo Lewandowski, j. 17-5-2006, P, DJE de 11-6-2010 INSS. Atendimento. Advogado. Descabe impor aos advogados, no mister da profissão, a obtenção de ficha de atendimento. A formalidade não se coaduna sequer com o direito dos cidadãos em geral de serem atendidos pelo Estado de imediato, sem submeter-se à peregrinação verificada costumeiramente em se tratando do instituto.</w:t>
      </w:r>
    </w:p>
    <w:p>
      <w:pPr>
        <w:ind w:left="288"/>
      </w:pPr>
      <w:r>
        <w:rPr>
          <w:b/>
          <w:color w:val="003CA0"/>
          <w:sz w:val="16"/>
        </w:rPr>
        <w:t>[RE 277.065, rel. min. Marco Aurélio, j. 8-4-2014, 1ª T, DJE de 13-5-2014.]</w:t>
      </w:r>
    </w:p>
    <w:p>
      <w:pPr>
        <w:ind w:left="288"/>
      </w:pPr>
      <w:r>
        <w:rPr>
          <w:color w:val="8C8C8C"/>
          <w:sz w:val="12"/>
        </w:rPr>
        <w:t>cf-art-133</w:t>
      </w:r>
      <w:r>
        <w:rPr>
          <w:color w:val="003CA0"/>
          <w:sz w:val="12"/>
        </w:rPr>
        <w:t xml:space="preserve"> | RHC 104.270</w:t>
      </w:r>
      <w:r>
        <w:rPr>
          <w:color w:val="003CA0"/>
          <w:sz w:val="12"/>
        </w:rPr>
        <w:t xml:space="preserve"> | rel. Celso de Mello</w:t>
      </w:r>
    </w:p>
    <w:p>
      <w:pPr>
        <w:ind w:left="288"/>
      </w:pPr>
      <w:r>
        <w:rPr>
          <w:color w:val="1E1E1E"/>
          <w:sz w:val="18"/>
        </w:rPr>
        <w:t>São nulos de pleno direito os atos processuais, que, privativos de advogado, venham a ser praticados por quem não dispõe de capacidade postulatória, assim considerado aquele cuja inscrição na OAB se acha suspensa (Lei 8.906/1994, art. 4º, parágrafo único).</w:t>
      </w:r>
    </w:p>
    <w:p>
      <w:pPr>
        <w:ind w:left="288"/>
      </w:pPr>
      <w:r>
        <w:rPr>
          <w:b/>
          <w:color w:val="003CA0"/>
          <w:sz w:val="16"/>
        </w:rPr>
        <w:t>[RHC 104.270 QO, rel. min. Celso de Mello, j. 6-9-2011, 2ª T, DJE de 7-12-2011.]</w:t>
      </w:r>
    </w:p>
    <w:p>
      <w:pPr>
        <w:ind w:left="288"/>
      </w:pPr>
      <w:r>
        <w:rPr>
          <w:color w:val="8C8C8C"/>
          <w:sz w:val="12"/>
        </w:rPr>
        <w:t>cf-art-133</w:t>
      </w:r>
      <w:r>
        <w:rPr>
          <w:color w:val="003CA0"/>
          <w:sz w:val="12"/>
        </w:rPr>
        <w:t xml:space="preserve"> | INQ 544</w:t>
      </w:r>
      <w:r>
        <w:rPr>
          <w:color w:val="003CA0"/>
          <w:sz w:val="12"/>
        </w:rPr>
        <w:t xml:space="preserve"> | rel. Gilmar Mendes</w:t>
      </w:r>
    </w:p>
    <w:p>
      <w:pPr>
        <w:ind w:left="288"/>
      </w:pPr>
      <w:r>
        <w:rPr>
          <w:color w:val="1E1E1E"/>
          <w:sz w:val="18"/>
        </w:rPr>
        <w:t>O sigilo profissional constitucionalmente determinado não exclui a possibilidade de cumprimento de mandado de busca e apreensão em escritório de advocacia. O local de trabalho do advogado, desde que este seja investigado, pode ser alvo de busca e apreensão, observando-se os limites impostos pela autoridade judicial. Tratando-se de local onde existem documentos que dizem respeito a outros sujeitos não investigados, é indispensável a especificação do âmbito de abrangência da medida, que não poderá ser executada sobre a esfera de direitos de não investigados. Equívoco quanto à indicação do escrit</w:t>
      </w:r>
    </w:p>
    <w:p>
      <w:pPr>
        <w:ind w:left="288"/>
      </w:pPr>
      <w:r>
        <w:rPr>
          <w:b/>
          <w:color w:val="003CA0"/>
          <w:sz w:val="16"/>
        </w:rPr>
        <w:t>[HC 91.610, rel. min. Gilmar Mendes, j. 8-6-2010, 2ª T, DJE de 22-10-2010.]</w:t>
      </w:r>
    </w:p>
    <w:p>
      <w:pPr>
        <w:ind w:left="288"/>
      </w:pPr>
      <w:r>
        <w:rPr>
          <w:color w:val="8C8C8C"/>
          <w:sz w:val="12"/>
        </w:rPr>
        <w:t>cf-art-133</w:t>
      </w:r>
      <w:r>
        <w:rPr>
          <w:color w:val="003CA0"/>
          <w:sz w:val="12"/>
        </w:rPr>
        <w:t xml:space="preserve"> | RCL 7.592</w:t>
      </w:r>
      <w:r>
        <w:rPr>
          <w:color w:val="003CA0"/>
          <w:sz w:val="12"/>
        </w:rPr>
        <w:t xml:space="preserve"> | rel. Cármen Lúcia</w:t>
      </w:r>
    </w:p>
    <w:p>
      <w:pPr>
        <w:ind w:left="288"/>
      </w:pPr>
      <w:r>
        <w:rPr>
          <w:color w:val="1E1E1E"/>
          <w:sz w:val="18"/>
        </w:rPr>
        <w:t>A eventualidade da relação jurídica estabelecida entre a administração e o advogado dativo não permite seja este considerado servidor público.</w:t>
      </w:r>
    </w:p>
    <w:p>
      <w:pPr>
        <w:ind w:left="288"/>
      </w:pPr>
      <w:r>
        <w:rPr>
          <w:b/>
          <w:color w:val="003CA0"/>
          <w:sz w:val="16"/>
        </w:rPr>
        <w:t>[Rcl 7.592, rel. min. Cármen Lúcia, j. 27-5-2010, P,  DJE de 18-6-2010.]</w:t>
      </w:r>
    </w:p>
    <w:p>
      <w:pPr>
        <w:ind w:left="288"/>
      </w:pPr>
      <w:r>
        <w:rPr>
          <w:color w:val="8C8C8C"/>
          <w:sz w:val="12"/>
        </w:rPr>
        <w:t>cf-art-133</w:t>
      </w:r>
      <w:r>
        <w:rPr>
          <w:color w:val="003CA0"/>
          <w:sz w:val="12"/>
        </w:rPr>
        <w:t xml:space="preserve"> | RCL 4.319</w:t>
      </w:r>
      <w:r>
        <w:rPr>
          <w:color w:val="003CA0"/>
          <w:sz w:val="12"/>
        </w:rPr>
        <w:t xml:space="preserve"> | rel. Dias Toffoli</w:t>
      </w:r>
    </w:p>
    <w:p>
      <w:pPr>
        <w:ind w:left="288"/>
      </w:pPr>
      <w:r>
        <w:rPr>
          <w:color w:val="1E1E1E"/>
          <w:sz w:val="18"/>
        </w:rPr>
        <w:t>= Rcl 4.319 AgR, rel. min. Dias Toffoli, j. 24-6-2010, P, DJE de 25-10-2010 Os atos praticados pelo advogado no patrocínio técnico da causa, respeitados os limites deontológicos que regem a sua atuação como profissional do Direito e que guardem relação de estrita pertinência com o objeto do litígio, ainda que expressem críticas duras, veementes e severas, mesmo se dirigidas ao magistrado, não podem ser qualificados como transgressões ao patrimônio moral de qualquer dos sujeitos processuais, eis que o animus defendendi importa em descaracterização do elemento subjetivo inerente aos crimes contr</w:t>
      </w:r>
    </w:p>
    <w:p>
      <w:pPr>
        <w:ind w:left="288"/>
      </w:pPr>
      <w:r>
        <w:rPr>
          <w:b/>
          <w:color w:val="003CA0"/>
          <w:sz w:val="16"/>
        </w:rPr>
        <w:t>[HC 98.237, rel. min. Celso de Mello, j. 15-12-2009, 2ª T, DJE de 6-8-2010.]</w:t>
      </w:r>
    </w:p>
    <w:p>
      <w:pPr>
        <w:ind w:left="288"/>
      </w:pPr>
      <w:r>
        <w:rPr>
          <w:color w:val="8C8C8C"/>
          <w:sz w:val="12"/>
        </w:rPr>
        <w:t>cf-art-133</w:t>
      </w:r>
      <w:r>
        <w:rPr>
          <w:color w:val="003CA0"/>
          <w:sz w:val="12"/>
        </w:rPr>
        <w:t xml:space="preserve"> | RHC 81.750</w:t>
      </w:r>
      <w:r>
        <w:rPr>
          <w:color w:val="003CA0"/>
          <w:sz w:val="12"/>
        </w:rPr>
        <w:t xml:space="preserve"> | rel. Celso de Mello</w:t>
      </w:r>
    </w:p>
    <w:p>
      <w:pPr>
        <w:ind w:left="288"/>
      </w:pPr>
      <w:r>
        <w:rPr>
          <w:color w:val="1E1E1E"/>
          <w:sz w:val="18"/>
        </w:rPr>
        <w:t xml:space="preserve">Vide RHC 81.750, rel. min. Celso de Mello, j. 12-11-2002, 2ª T, DJ de 10-8-2007 O réu tem o direito de escolher o seu próprio defensor. Essa liberdade de escolha traduz, no plano da persecutio criminis, específica projeção do postulado da amplitude de defesa proclamado pela Constituição. Cumpre ao magistrado processante, em não sendo possível ao defensor constituído assumir ou prosseguir no patrocínio da causa penal, ordenar a intimação do réu para que este, querendo, escolha outro advogado. Antes de realizada essa intimação – ou enquanto não exaurido o prazo nela assinalado – não é lícito ao </w:t>
      </w:r>
    </w:p>
    <w:p>
      <w:pPr>
        <w:ind w:left="288"/>
      </w:pPr>
      <w:r>
        <w:rPr>
          <w:b/>
          <w:color w:val="003CA0"/>
          <w:sz w:val="16"/>
        </w:rPr>
        <w:t>[HC 96.905, rel. min. Celso de Mello, j. 25-8-2009, 2ª T, DJE de 3-10-2011.]</w:t>
      </w:r>
    </w:p>
    <w:p>
      <w:pPr>
        <w:ind w:left="288"/>
      </w:pPr>
      <w:r>
        <w:rPr>
          <w:color w:val="8C8C8C"/>
          <w:sz w:val="12"/>
        </w:rPr>
        <w:t>cf-art-133</w:t>
      </w:r>
      <w:r>
        <w:rPr>
          <w:color w:val="003CA0"/>
          <w:sz w:val="12"/>
        </w:rPr>
        <w:t xml:space="preserve"> | AO 1.531</w:t>
      </w:r>
      <w:r>
        <w:rPr>
          <w:color w:val="003CA0"/>
          <w:sz w:val="12"/>
        </w:rPr>
        <w:t xml:space="preserve"> | rel. Cármen Lúcia</w:t>
      </w:r>
    </w:p>
    <w:p>
      <w:pPr>
        <w:ind w:left="288"/>
      </w:pPr>
      <w:r>
        <w:rPr>
          <w:color w:val="1E1E1E"/>
          <w:sz w:val="18"/>
        </w:rPr>
        <w:t>A Constituição da República estabeleceu que o acesso à justiça e o direito de petição são direitos fundamentais (art. 5º,  XXXIV,  a, e XXXV), porém esses não garantem a quem não tenha capacidade postulatória litigar em juízo, ou seja, é vedado o exercício do direito de ação sem a presença de um advogado, considerado "indispensável à administração da Justiça" (art. 133 da Constituição da República e art. 1º da Lei 8.906/1994), com as ressalvas legais. (...) Incluem-se, ainda, no rol das exceções, as ações protocoladas nos juizados especiais cíveis, nas causas de valor até vinte salários mínimo</w:t>
      </w:r>
    </w:p>
    <w:p>
      <w:pPr>
        <w:ind w:left="288"/>
      </w:pPr>
      <w:r>
        <w:rPr>
          <w:b/>
          <w:color w:val="003CA0"/>
          <w:sz w:val="16"/>
        </w:rPr>
        <w:t>[AO 1.531 AgR, voto da rel. min. Cármen Lúcia, j. 3-6-2009, P, DJE de 1º-7-2009.]</w:t>
      </w:r>
    </w:p>
    <w:p>
      <w:pPr>
        <w:ind w:left="288"/>
      </w:pPr>
      <w:r>
        <w:rPr>
          <w:color w:val="8C8C8C"/>
          <w:sz w:val="12"/>
        </w:rPr>
        <w:t>cf-art-133</w:t>
      </w:r>
      <w:r>
        <w:rPr>
          <w:color w:val="003CA0"/>
          <w:sz w:val="12"/>
        </w:rPr>
        <w:t xml:space="preserve"> | INQ 2.424</w:t>
      </w:r>
      <w:r>
        <w:rPr>
          <w:color w:val="003CA0"/>
          <w:sz w:val="12"/>
        </w:rPr>
        <w:t xml:space="preserve"> | rel. Cezar Peluso</w:t>
      </w:r>
    </w:p>
    <w:p>
      <w:pPr>
        <w:ind w:left="288"/>
      </w:pPr>
      <w:r>
        <w:rPr>
          <w:color w:val="1E1E1E"/>
          <w:sz w:val="18"/>
        </w:rPr>
        <w:t xml:space="preserve">Escuta ambiental e exploração de local. Captação de sinais óticos e acústicos. Escritório de advocacia. Ingresso da autoridade policial, no período noturno, para instalação de equipamento. Medidas autorizadas por decisão judicial. Invasão de domicílio. Não caracterização. (...) Inteligência do art. 5º, X e XI, da CF; art. 150, § 4º, III, do CP; e art. 7º, II, da Lei 8.906/1994. (...) Não opera a inviolabilidade do escritório de advocacia, quando o próprio advogado seja suspeito da prática de crime, sobretudo concebido e consumado no âmbito desse local de trabalho, sob pretexto de exercício da </w:t>
      </w:r>
    </w:p>
    <w:p>
      <w:pPr>
        <w:ind w:left="288"/>
      </w:pPr>
      <w:r>
        <w:rPr>
          <w:b/>
          <w:color w:val="003CA0"/>
          <w:sz w:val="16"/>
        </w:rPr>
        <w:t>[Inq 2.424, rel. min. Cezar Peluso, j. 26-11-2008, P, DJE de 26-3-2010.]</w:t>
      </w:r>
    </w:p>
    <w:p>
      <w:pPr>
        <w:ind w:left="288"/>
      </w:pPr>
      <w:r>
        <w:rPr>
          <w:color w:val="8C8C8C"/>
          <w:sz w:val="12"/>
        </w:rPr>
        <w:t>cf-art-133</w:t>
      </w:r>
      <w:r>
        <w:rPr>
          <w:color w:val="003CA0"/>
          <w:sz w:val="12"/>
        </w:rPr>
        <w:t xml:space="preserve"> | ADI 1.127</w:t>
      </w:r>
      <w:r>
        <w:rPr>
          <w:color w:val="003CA0"/>
          <w:sz w:val="12"/>
        </w:rPr>
        <w:t xml:space="preserve"> | rel. Sepúlveda Pertence). A questão referente à existência de grades nas dependências da sala de estado-maior onde o reclamante se encontra recolhido</w:t>
      </w:r>
    </w:p>
    <w:p>
      <w:pPr>
        <w:ind w:left="288"/>
      </w:pPr>
      <w:r>
        <w:rPr>
          <w:color w:val="1E1E1E"/>
          <w:sz w:val="18"/>
        </w:rPr>
        <w:t>Prerrogativa de prisão em sala de estado-maior. Avaliação do caso concreto. Prisão em batalhão de polícia militar. Improcedência. A reclamação tem como objeto possível descumprimento do disposto no art. 7º, V, da Lei 8.906/1994, norma cuja constitucionalidade foi reconhecida no julgamento da ADI 1.127/DF por esta Corte. O tema referente ao recolhimento de advogado em sala de estado-maior, até o trânsito em julgado da sentença penal condenatória, envolve a própria definição da noção de sala de estado-maior. Em precedente desta Corte, considerou-se que se trata de "compartimento de qualquer unid</w:t>
      </w:r>
    </w:p>
    <w:p>
      <w:pPr>
        <w:ind w:left="288"/>
      </w:pPr>
      <w:r>
        <w:rPr>
          <w:b/>
          <w:color w:val="003CA0"/>
          <w:sz w:val="16"/>
        </w:rPr>
        <w:t>[Rcl 6.387, rel. min. Ellen Gracie, j. 23-10-2008, P, DJE de 21-11-2008.]</w:t>
      </w:r>
    </w:p>
    <w:p>
      <w:pPr>
        <w:ind w:left="288"/>
      </w:pPr>
      <w:r>
        <w:rPr>
          <w:color w:val="8C8C8C"/>
          <w:sz w:val="12"/>
        </w:rPr>
        <w:t>cf-art-133</w:t>
      </w:r>
      <w:r>
        <w:rPr>
          <w:color w:val="003CA0"/>
          <w:sz w:val="12"/>
        </w:rPr>
        <w:t xml:space="preserve"> | ADI 1.127</w:t>
      </w:r>
      <w:r>
        <w:rPr>
          <w:color w:val="003CA0"/>
          <w:sz w:val="12"/>
        </w:rPr>
        <w:t xml:space="preserve"> | rel. Joaquim Barbosa</w:t>
      </w:r>
    </w:p>
    <w:p>
      <w:pPr>
        <w:ind w:left="288"/>
      </w:pPr>
      <w:r>
        <w:rPr>
          <w:color w:val="1E1E1E"/>
          <w:sz w:val="18"/>
        </w:rPr>
        <w:t>Vide ADI 1.127, red. do ac. min. Ricardo Lewandowski, j. 17-5-2006, P, DJE de 11-6-2010 A proibição de depor diz respeito ao conteúdo da confidência de que o advogado teve conhecimento para exercer o múnus para o qual foi contratado, não sendo este o caso dos autos. Os fatos que interessam à presente ação penal já foram objeto de ampla investigação, e a própria testemunha – que ora recusa-se a depor – já prestou esclarecimentos sobre os mesmos na fase inquisitorial, perante a autoridade policial. Assim, os fatos não estão protegidos pelo segredo profissional. Ausente a proibição de depor previ</w:t>
      </w:r>
    </w:p>
    <w:p>
      <w:pPr>
        <w:ind w:left="288"/>
      </w:pPr>
      <w:r>
        <w:rPr>
          <w:b/>
          <w:color w:val="003CA0"/>
          <w:sz w:val="16"/>
        </w:rPr>
        <w:t>[AP 470 QO-QO, rel. min. Joaquim Barbosa, j. 22-10-2008, P, DJE de 30-4-2009.]</w:t>
      </w:r>
    </w:p>
    <w:p>
      <w:pPr>
        <w:ind w:left="288"/>
      </w:pPr>
      <w:r>
        <w:rPr>
          <w:color w:val="8C8C8C"/>
          <w:sz w:val="12"/>
        </w:rPr>
        <w:t>cf-art-133</w:t>
      </w:r>
      <w:r>
        <w:rPr>
          <w:color w:val="003CA0"/>
          <w:sz w:val="12"/>
        </w:rPr>
        <w:t xml:space="preserve"> | RE 459.131</w:t>
      </w:r>
      <w:r>
        <w:rPr>
          <w:color w:val="003CA0"/>
          <w:sz w:val="12"/>
        </w:rPr>
        <w:t xml:space="preserve"> | rel. Ricardo Lewandowski</w:t>
      </w:r>
    </w:p>
    <w:p>
      <w:pPr>
        <w:ind w:left="288"/>
      </w:pPr>
      <w:r>
        <w:rPr>
          <w:color w:val="1E1E1E"/>
          <w:sz w:val="18"/>
        </w:rPr>
        <w:t>Processo penal. Interrogatório. Assistência técnica. A exigência de defesa técnica para observância do devido processo legal impõe a presença do profissional da advocacia na audiência de interrogatório do acusado. Não bastasse o disposto no art. 261 do CPP, a Lei 10.792/2003 explicitou a formalidade de cunho nitidamente constitucional – art. 5º, LV, da CF.</w:t>
      </w:r>
    </w:p>
    <w:p>
      <w:pPr>
        <w:ind w:left="288"/>
      </w:pPr>
      <w:r>
        <w:rPr>
          <w:b/>
          <w:color w:val="003CA0"/>
          <w:sz w:val="16"/>
        </w:rPr>
        <w:t>[RE 459.131, rel. min. Ricardo Lewandowski, j. 12-8-2008, 1ª T, DJE de 12-9-2008.]</w:t>
      </w:r>
    </w:p>
    <w:p>
      <w:pPr>
        <w:ind w:left="288"/>
      </w:pPr>
      <w:r>
        <w:rPr>
          <w:color w:val="8C8C8C"/>
          <w:sz w:val="12"/>
        </w:rPr>
        <w:t>cf-art-133</w:t>
      </w:r>
      <w:r>
        <w:rPr>
          <w:color w:val="003CA0"/>
          <w:sz w:val="12"/>
        </w:rPr>
        <w:t xml:space="preserve"> | HC 102.019</w:t>
      </w:r>
      <w:r>
        <w:rPr>
          <w:color w:val="003CA0"/>
          <w:sz w:val="12"/>
        </w:rPr>
        <w:t xml:space="preserve"> | rel. Ricardo Lewandowski</w:t>
      </w:r>
    </w:p>
    <w:p>
      <w:pPr>
        <w:ind w:left="288"/>
      </w:pPr>
      <w:r>
        <w:rPr>
          <w:color w:val="1E1E1E"/>
          <w:sz w:val="18"/>
        </w:rPr>
        <w:t>Vide HC 102.019, rel. min. Ricardo Lewandowski, j. 17-8-2010, 1ª T, DJE de 22-10-2010 A jurisprudência do STF consolidou o entendimento segundo o qual o réu que ostente status profissional de advogado tem direito público subjetivo à prisão especial até o trânsito em julgado da condenação. (...) O juízo de origem, em nenhum momento, criou dificuldades à efetivação do direito da paciente à prisão especial. A decisão agravada ateve-se às circunstâncias do caso e apontou que o direito à prisão especial cessa com o trânsito em julgado da condenação penal. Diante da confirmação do trânsito em julgad</w:t>
      </w:r>
    </w:p>
    <w:p>
      <w:pPr>
        <w:ind w:left="288"/>
      </w:pPr>
      <w:r>
        <w:rPr>
          <w:b/>
          <w:color w:val="003CA0"/>
          <w:sz w:val="16"/>
        </w:rPr>
        <w:t>[HC 82.850 AgR, rel. min. Gilmar Mendes, j. 11-9-2007, 2ª T, DJ de 28-9-2007.]</w:t>
      </w:r>
    </w:p>
    <w:p>
      <w:pPr>
        <w:ind w:left="288"/>
      </w:pPr>
      <w:r>
        <w:rPr>
          <w:color w:val="8C8C8C"/>
          <w:sz w:val="12"/>
        </w:rPr>
        <w:t>cf-art-133</w:t>
      </w:r>
      <w:r>
        <w:rPr>
          <w:color w:val="003CA0"/>
          <w:sz w:val="12"/>
        </w:rPr>
        <w:t xml:space="preserve"> | MS 25.917</w:t>
      </w:r>
      <w:r>
        <w:rPr>
          <w:color w:val="003CA0"/>
          <w:sz w:val="12"/>
        </w:rPr>
        <w:t xml:space="preserve"> | rel. Gilmar Mendes</w:t>
      </w:r>
    </w:p>
    <w:p>
      <w:pPr>
        <w:ind w:left="288"/>
      </w:pPr>
      <w:r>
        <w:rPr>
          <w:color w:val="1E1E1E"/>
          <w:sz w:val="18"/>
        </w:rPr>
        <w:t>Tal como ocorre no processo penal, no processo administrativo-parlamentar por quebra de decoro parlamentar, o acompanhamento dos atos e termos do processo é função ordinária do profissional da advocacia, no exercício da representação do seu cliente, quando atua no sentido de constituir espécie de defesa técnica. A ausência pessoal do acusado, salvo se a legislação aplicável à espécie assim expressamente o exigisse, não compromete o exercício daquela função pelo profissional da advocacia, razão pela qual neste fato não se caracteriza qualquer espécie de infração aos direitos processuais constit</w:t>
      </w:r>
    </w:p>
    <w:p>
      <w:pPr>
        <w:ind w:left="288"/>
      </w:pPr>
      <w:r>
        <w:rPr>
          <w:b/>
          <w:color w:val="003CA0"/>
          <w:sz w:val="16"/>
        </w:rPr>
        <w:t>[MS 25.917, rel. min. Gilmar Mendes, j. 1º-6-2006, P, DJ de 1º-9-2006.]</w:t>
      </w:r>
    </w:p>
    <w:p>
      <w:pPr>
        <w:ind w:left="288"/>
      </w:pPr>
      <w:r>
        <w:rPr>
          <w:color w:val="8C8C8C"/>
          <w:sz w:val="12"/>
        </w:rPr>
        <w:t>cf-art-133</w:t>
      </w:r>
      <w:r>
        <w:rPr>
          <w:color w:val="003CA0"/>
          <w:sz w:val="12"/>
        </w:rPr>
        <w:t xml:space="preserve"> | AI 207.197</w:t>
      </w:r>
      <w:r>
        <w:rPr>
          <w:color w:val="003CA0"/>
          <w:sz w:val="12"/>
        </w:rPr>
        <w:t xml:space="preserve"> | rel. Carlos Velloso</w:t>
      </w:r>
    </w:p>
    <w:p>
      <w:pPr>
        <w:ind w:left="288"/>
      </w:pPr>
      <w:r>
        <w:rPr>
          <w:color w:val="1E1E1E"/>
          <w:sz w:val="18"/>
        </w:rPr>
        <w:t>A tomada de contas é procedimento administrativo, certo que a extensão da garantia do contraditório (CF, art. 5º, LV) aos procedimentos administrativos não exige a adoção da normatividade própria do processo judicial, em que é indispensável a atuação do advogado: AI 207.197 AgR/PR, min. Octavio Gallotti, DJ de 5-6-1998; RE 244.027 AgR/SP, min. Ellen Gracie, DJ de 28-6-2002.</w:t>
      </w:r>
    </w:p>
    <w:p>
      <w:pPr>
        <w:ind w:left="288"/>
      </w:pPr>
      <w:r>
        <w:rPr>
          <w:b/>
          <w:color w:val="003CA0"/>
          <w:sz w:val="16"/>
        </w:rPr>
        <w:t>[MS 24.961, rel. min. Carlos Velloso, j. 24-11-2004, P, DJ de 4-3-2005.]</w:t>
      </w:r>
    </w:p>
    <w:p>
      <w:pPr>
        <w:ind w:left="288"/>
      </w:pPr>
      <w:r>
        <w:rPr>
          <w:color w:val="8C8C8C"/>
          <w:sz w:val="12"/>
        </w:rPr>
        <w:t>cf-art-133</w:t>
      </w:r>
      <w:r>
        <w:rPr>
          <w:color w:val="003CA0"/>
          <w:sz w:val="12"/>
        </w:rPr>
        <w:t xml:space="preserve"> | MS 25.643</w:t>
      </w:r>
      <w:r>
        <w:rPr>
          <w:color w:val="003CA0"/>
          <w:sz w:val="12"/>
        </w:rPr>
        <w:t xml:space="preserve"> | rel. Ricardo Lewandowski</w:t>
      </w:r>
    </w:p>
    <w:p>
      <w:pPr>
        <w:ind w:left="288"/>
      </w:pPr>
      <w:r>
        <w:rPr>
          <w:color w:val="1E1E1E"/>
          <w:sz w:val="18"/>
        </w:rPr>
        <w:t>= MS 25.643, rel. min. Ricardo Lewandowski, j. 2-8-2011, 1ª T, DJE de 26-8-2011 Crime contra a honra. Prática atribuída a advogado. Protesto por ele manifestado, em termos objetivos e serenos, contra magistrado. Intangibilidade profissional do advogado. Caráter relativo. Liquidez dos fatos. Animus narrandi. Exercício legítimo, na espécie, do direito de crítica, que assiste aos advogados em geral. (...) A proclamação constitucional da inviolabilidade do advogado, por seus atos e manifestações no exercício da profissão, traduz significativa garantia do exercício pleno dos relevantes encargos com</w:t>
      </w:r>
    </w:p>
    <w:p>
      <w:pPr>
        <w:ind w:left="288"/>
      </w:pPr>
      <w:r>
        <w:rPr>
          <w:b/>
          <w:color w:val="003CA0"/>
          <w:sz w:val="16"/>
        </w:rPr>
        <w:t>[RHC 81.750, rel. min. Celso de Mello, j. 12-11-2002, 2ª T, DJ de 10-8-2007.]</w:t>
      </w:r>
    </w:p>
    <w:p>
      <w:pPr>
        <w:ind w:left="288"/>
      </w:pPr>
      <w:r>
        <w:rPr>
          <w:color w:val="8C8C8C"/>
          <w:sz w:val="12"/>
        </w:rPr>
        <w:t>cf-art-133</w:t>
      </w:r>
      <w:r>
        <w:rPr>
          <w:color w:val="003CA0"/>
          <w:sz w:val="12"/>
        </w:rPr>
        <w:t xml:space="preserve"> | HC 104.385</w:t>
      </w:r>
      <w:r>
        <w:rPr>
          <w:color w:val="003CA0"/>
          <w:sz w:val="12"/>
        </w:rPr>
        <w:t xml:space="preserve"> | rel. Celso de Mello</w:t>
      </w:r>
    </w:p>
    <w:p>
      <w:pPr>
        <w:ind w:left="288"/>
      </w:pPr>
      <w:r>
        <w:rPr>
          <w:color w:val="1E1E1E"/>
          <w:sz w:val="18"/>
        </w:rPr>
        <w:t xml:space="preserve">= HC 104.385, red. do ac. min. Ricardo Lewandowski, j. 28-6-2011, 1ª T, DJE de 25-8-2011 Vide HC 98.237, rel. min. Celso de Mello, j. 15-12-2009, 2ª T, DJE de 6-8-2010 Advogado que instrui testemunha a prestar depoimento inverídico nos autos de reclamação trabalhista. Conduta que contribuiu moralmente para o crime, fazendo nascer no agente a vontade delitiva. Art. 29 do CP. Possibilidade de coautoria. Relevância do objeto jurídico tutelado pelo art. 342 do CP: a administração da justiça, no tocante à veracidade das provas e ao prestígio e seriedade da sua coleta. Relevância robustecida quando </w:t>
      </w:r>
    </w:p>
    <w:p>
      <w:pPr>
        <w:ind w:left="288"/>
      </w:pPr>
      <w:r>
        <w:rPr>
          <w:b/>
          <w:color w:val="003CA0"/>
          <w:sz w:val="16"/>
        </w:rPr>
        <w:t>[RHC 81.327, rel. min. Ellen Gracie, j. 11-12-2001, 1ª T, DJ de 5-4-2002.]</w:t>
      </w:r>
    </w:p>
    <w:p>
      <w:pPr>
        <w:ind w:left="288"/>
      </w:pPr>
      <w:r>
        <w:rPr>
          <w:color w:val="8C8C8C"/>
          <w:sz w:val="12"/>
        </w:rPr>
        <w:t>cf-art-133</w:t>
      </w:r>
      <w:r>
        <w:rPr>
          <w:color w:val="003CA0"/>
          <w:sz w:val="12"/>
        </w:rPr>
        <w:t xml:space="preserve"> | RHC 80.429</w:t>
      </w:r>
      <w:r>
        <w:rPr>
          <w:color w:val="003CA0"/>
          <w:sz w:val="12"/>
        </w:rPr>
        <w:t xml:space="preserve"> | rel. Marco Aurélio</w:t>
      </w:r>
    </w:p>
    <w:p>
      <w:pPr>
        <w:ind w:left="288"/>
      </w:pPr>
      <w:r>
        <w:rPr>
          <w:color w:val="1E1E1E"/>
          <w:sz w:val="18"/>
        </w:rPr>
        <w:t>Limitando-se o profissional da advocacia a formalizar, perante a corregedoria, representação contra magistrado, sem posterior divulgação do teor da medida, exerce prerrogativa alcançada pela norma do § 2º do art. 7º da Lei  8.906/1994 (Estatuto da Advocacia) e do art. 133 da CF, não havendo justa causa a respaldar persecução criminal.</w:t>
      </w:r>
    </w:p>
    <w:p>
      <w:pPr>
        <w:ind w:left="288"/>
      </w:pPr>
      <w:r>
        <w:rPr>
          <w:b/>
          <w:color w:val="003CA0"/>
          <w:sz w:val="16"/>
        </w:rPr>
        <w:t>[RHC 80.429, rel. min. Marco Aurélio, j. 31-10-2000, P, DJ de 29-8-2003.]</w:t>
      </w:r>
    </w:p>
    <w:p>
      <w:pPr>
        <w:ind w:left="288"/>
      </w:pPr>
      <w:r>
        <w:rPr>
          <w:color w:val="8C8C8C"/>
          <w:sz w:val="12"/>
        </w:rPr>
        <w:t>cf-art-133</w:t>
      </w:r>
      <w:r>
        <w:rPr>
          <w:color w:val="003CA0"/>
          <w:sz w:val="12"/>
        </w:rPr>
        <w:t xml:space="preserve"> | HC 74.309</w:t>
      </w:r>
      <w:r>
        <w:rPr>
          <w:color w:val="003CA0"/>
          <w:sz w:val="12"/>
        </w:rPr>
        <w:t xml:space="preserve"> | rel. Celso de Mello</w:t>
      </w:r>
    </w:p>
    <w:p>
      <w:pPr>
        <w:ind w:left="288"/>
      </w:pPr>
      <w:r>
        <w:rPr>
          <w:color w:val="1E1E1E"/>
          <w:sz w:val="18"/>
        </w:rPr>
        <w:t xml:space="preserve">Revisão criminal. Ajuizada pelo próprio condenado. Cognoscibilidade. Capacidade postulatória outorgada pelo art. 623 do CPP. Pedido deferido. O STF, ao interpretar o art. 133 da CF, reconheceu a indispensabilidade da intervenção do advogado como princípio de índole institucional, cujo valor, no entanto, não é absoluto em si mesmo, mas condicionado, em seu alcance e conteúdo, pelos limites impostos pela lei, consoante estabelecido pela própria Carta Política. Precedentes. O art. 623 do CPP – que confere capacidade postulatória ao próprio condenado para formular o pedido revisional – foi objeto </w:t>
      </w:r>
    </w:p>
    <w:p>
      <w:pPr>
        <w:ind w:left="288"/>
      </w:pPr>
      <w:r>
        <w:rPr>
          <w:b/>
          <w:color w:val="003CA0"/>
          <w:sz w:val="16"/>
        </w:rPr>
        <w:t>[HC 74.309, rel. min. Celso de Mello, j. 12-11-1996, 1ª T, DJE de 23-5-2008.]</w:t>
      </w:r>
    </w:p>
    <w:p>
      <w:pPr>
        <w:ind w:left="288"/>
      </w:pPr>
      <w:r>
        <w:rPr>
          <w:color w:val="8C8C8C"/>
          <w:sz w:val="12"/>
        </w:rPr>
        <w:t>cf-art-133</w:t>
      </w:r>
      <w:r>
        <w:rPr>
          <w:color w:val="003CA0"/>
          <w:sz w:val="12"/>
        </w:rPr>
        <w:t xml:space="preserve"> | HC 70.600</w:t>
      </w:r>
      <w:r>
        <w:rPr>
          <w:color w:val="003CA0"/>
          <w:sz w:val="12"/>
        </w:rPr>
        <w:t xml:space="preserve"> | rel. Celso de Mello</w:t>
      </w:r>
    </w:p>
    <w:p>
      <w:pPr>
        <w:ind w:left="288"/>
      </w:pPr>
      <w:r>
        <w:rPr>
          <w:color w:val="1E1E1E"/>
          <w:sz w:val="18"/>
        </w:rPr>
        <w:t>A colidência de teses defensivas é apenas invocável, como causa nullitatis, nas hipóteses em que, comprovado o efetivo prejuízo aos direitos dos réus, a defesa destes vem a ser confiada a um só defensor dativo, eis que – consoante adverte a jurisprudência do STF – "Não se configura a nulidade, se o defensor único foi livremente constituído pelos próprios acusados" (RTJ 58/858 – RTJ 59/360 – 69/52 – RTJ 88/481 – RTJ 110/95). A indisponibilidade do direito de defesa – que traduz prerrogativa jurídica de extração constitucional – impõe ao magistrado processante o dever de velar, incondicionalment</w:t>
      </w:r>
    </w:p>
    <w:p>
      <w:pPr>
        <w:ind w:left="288"/>
      </w:pPr>
      <w:r>
        <w:rPr>
          <w:b/>
          <w:color w:val="003CA0"/>
          <w:sz w:val="16"/>
        </w:rPr>
        <w:t>[HC 70.600, rel. min. Celso de Mello, j. 19-4-1994, 1ª T, DJE de 21-8-2009.]</w:t>
      </w:r>
    </w:p>
    <w:p>
      <w:pPr>
        <w:ind w:left="288"/>
      </w:pPr>
      <w:r>
        <w:rPr>
          <w:color w:val="8C8C8C"/>
          <w:sz w:val="12"/>
        </w:rPr>
        <w:t>cf-art-133</w:t>
      </w:r>
      <w:r>
        <w:rPr>
          <w:color w:val="003CA0"/>
          <w:sz w:val="12"/>
        </w:rPr>
        <w:t xml:space="preserve"> | HC 99.485</w:t>
      </w:r>
      <w:r>
        <w:rPr>
          <w:color w:val="003CA0"/>
          <w:sz w:val="12"/>
        </w:rPr>
        <w:t xml:space="preserve"> | rel. Cármen Lúcia</w:t>
      </w:r>
    </w:p>
    <w:p>
      <w:pPr>
        <w:ind w:left="288"/>
      </w:pPr>
      <w:r>
        <w:rPr>
          <w:color w:val="1E1E1E"/>
          <w:sz w:val="18"/>
        </w:rPr>
        <w:t>= HC 99.485, rel. min. Cármen Lúcia, j. 9-11-2010, 1ª T, DJE de 25-11-2010</w:t>
      </w:r>
    </w:p>
    <w:p>
      <w:pPr>
        <w:pStyle w:val="Heading3"/>
      </w:pPr>
      <w:r>
        <w:rPr>
          <w:color w:val="003366"/>
        </w:rPr>
        <w:t>Seção IV - Da Defensoria Pública</w:t>
      </w:r>
    </w:p>
    <w:p>
      <w:r>
        <w:rPr>
          <w:b/>
          <w:color w:val="003366"/>
          <w:sz w:val="20"/>
        </w:rPr>
        <w:t>Art. 134 A Defensoria Pública é instituição permanente, essencial à função juris</w:t>
      </w:r>
      <w:r>
        <w:rPr>
          <w:color w:val="8C8C8C"/>
          <w:sz w:val="14"/>
        </w:rPr>
        <w:t xml:space="preserve">  [32 decisoes]</w:t>
      </w:r>
    </w:p>
    <w:p>
      <w:pPr>
        <w:ind w:left="144"/>
      </w:pPr>
      <w:r>
        <w:rPr>
          <w:b/>
          <w:color w:val="B45A00"/>
          <w:sz w:val="16"/>
        </w:rPr>
        <w:t>SUMULA VINCULANTE</w:t>
      </w:r>
    </w:p>
    <w:p>
      <w:pPr>
        <w:ind w:left="288"/>
      </w:pPr>
      <w:r>
        <w:rPr>
          <w:color w:val="8C8C8C"/>
          <w:sz w:val="12"/>
        </w:rPr>
        <w:t>cf-art-134</w:t>
      </w:r>
    </w:p>
    <w:p>
      <w:pPr>
        <w:ind w:left="288"/>
      </w:pPr>
      <w:r>
        <w:rPr>
          <w:color w:val="1E1E1E"/>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288"/>
      </w:pPr>
      <w:r>
        <w:rPr>
          <w:color w:val="8C8C8C"/>
          <w:sz w:val="12"/>
        </w:rPr>
        <w:t>cf-art-134</w:t>
      </w:r>
      <w:r>
        <w:rPr>
          <w:color w:val="003CA0"/>
          <w:sz w:val="12"/>
        </w:rPr>
        <w:t xml:space="preserve"> | ADI 5.603</w:t>
      </w:r>
      <w:r>
        <w:rPr>
          <w:color w:val="003CA0"/>
          <w:sz w:val="12"/>
        </w:rPr>
        <w:t xml:space="preserve"> | rel. Nunes Marques</w:t>
      </w:r>
    </w:p>
    <w:p>
      <w:pPr>
        <w:ind w:left="288"/>
      </w:pPr>
      <w:r>
        <w:rPr>
          <w:color w:val="1E1E1E"/>
          <w:sz w:val="18"/>
        </w:rPr>
        <w:t>Defensoria Pública da União. Representação judicial e extrajudicial. Atribuição do Defensor Público-Geral. Art. 8º, II, LC 80/1994. (...) A ideia de a capacidade de ser parte derivar necessariamente da personificação jurídica tem sido abrandada, tanto pela doutrina quanto na jurisprudência, para permitir que órgãos públicos de estatura constitucional, em determinadas circunstâncias, possam litigar para defender suas prerrogativas institucionais. A missão constitucional outorgada à Advocacia-Geral da União para representar a União e seus órgãos judicial e extrajudicialmente (art. 131, CF) não i</w:t>
      </w:r>
    </w:p>
    <w:p>
      <w:pPr>
        <w:ind w:left="288"/>
      </w:pPr>
      <w:r>
        <w:rPr>
          <w:b/>
          <w:color w:val="003CA0"/>
          <w:sz w:val="16"/>
        </w:rPr>
        <w:t>[ADI 5.603, rel. min. Nunes Marques, red. do ac. min. Alexandre de Moraes, j. 13.10.2025, P, DJE de 13.11.2025.]</w:t>
      </w:r>
    </w:p>
    <w:p>
      <w:pPr>
        <w:ind w:left="144"/>
      </w:pPr>
      <w:r>
        <w:rPr>
          <w:b/>
          <w:color w:val="B45A00"/>
          <w:sz w:val="16"/>
        </w:rPr>
        <w:t>CONTROLE CONCENTRADO</w:t>
      </w:r>
    </w:p>
    <w:p>
      <w:pPr>
        <w:ind w:left="288"/>
      </w:pPr>
      <w:r>
        <w:rPr>
          <w:color w:val="8C8C8C"/>
          <w:sz w:val="12"/>
        </w:rPr>
        <w:t>cf-art-134</w:t>
      </w:r>
      <w:r>
        <w:rPr>
          <w:color w:val="003CA0"/>
          <w:sz w:val="12"/>
        </w:rPr>
        <w:t xml:space="preserve"> | ADI 6.864</w:t>
      </w:r>
      <w:r>
        <w:rPr>
          <w:color w:val="003CA0"/>
          <w:sz w:val="12"/>
        </w:rPr>
        <w:t xml:space="preserve"> | rel. Rosa Weber</w:t>
      </w:r>
    </w:p>
    <w:p>
      <w:pPr>
        <w:ind w:left="288"/>
      </w:pPr>
      <w:r>
        <w:rPr>
          <w:color w:val="1E1E1E"/>
          <w:sz w:val="18"/>
        </w:rPr>
        <w:t>O novo perfil institucional da Defensoria Pública implicou sua dissociação das funções da advocacia privada. A alocação topográfica normativa desenhada na Constituição Federal para cada um desses atores confirma a desigualação institucional. Refuta-se a equiparação da Defensoria Pública à Advocacia privada frente às finalidades institucionais da primeira na promoção do acesso à justiça, da redução das desigualdades e do fomento à cidadania de ter direitos, que afastam o caráter exclusivo de proteção de interesses individuais do assistido. A arquitetura constitucional da Defensoria Pública, com</w:t>
      </w:r>
    </w:p>
    <w:p>
      <w:pPr>
        <w:ind w:left="288"/>
      </w:pPr>
      <w:r>
        <w:rPr>
          <w:b/>
          <w:color w:val="003CA0"/>
          <w:sz w:val="16"/>
        </w:rPr>
        <w:t>[ADI 6.864, rel. min. Rosa Weber, j. 28-3-2022, P, DJE de 09-5-2022.]</w:t>
      </w:r>
    </w:p>
    <w:p>
      <w:pPr>
        <w:ind w:left="288"/>
      </w:pPr>
      <w:r>
        <w:rPr>
          <w:color w:val="8C8C8C"/>
          <w:sz w:val="12"/>
        </w:rPr>
        <w:t>cf-art-134</w:t>
      </w:r>
      <w:r>
        <w:rPr>
          <w:color w:val="003CA0"/>
          <w:sz w:val="12"/>
        </w:rPr>
        <w:t xml:space="preserve"> | ADI 6.875</w:t>
      </w:r>
      <w:r>
        <w:rPr>
          <w:color w:val="003CA0"/>
          <w:sz w:val="12"/>
        </w:rPr>
        <w:t xml:space="preserve"> | rel. Alexandre de Moraes</w:t>
      </w:r>
    </w:p>
    <w:p>
      <w:pPr>
        <w:ind w:left="288"/>
      </w:pPr>
      <w:r>
        <w:rPr>
          <w:color w:val="1E1E1E"/>
          <w:sz w:val="18"/>
        </w:rPr>
        <w:t>Lei estadual que confere à Defensoria Pública a prerrogativa de requisitar de qualquer autoridade pública e de seus agentes certidões, exames, perícias, vistorias, diligências, processos, documentos, informações, esclarecimentos e demais providências necessárias ao exercício de suas atribuições. Previsão legal que atende aos parâmetros de adequação, razoabilidade e proporcionalidade, e que tem por finalidade garantir o exercício efetivo das funções constitucionais da instituição. Aplicação da teoria dos poderes implícitos – inherent powers –, com o reconhecimento de competências genéricas impl</w:t>
      </w:r>
    </w:p>
    <w:p>
      <w:pPr>
        <w:ind w:left="288"/>
      </w:pPr>
      <w:r>
        <w:rPr>
          <w:b/>
          <w:color w:val="003CA0"/>
          <w:sz w:val="16"/>
        </w:rPr>
        <w:t>[ADI 6.875, rel. min. Alexandre de Moraes, j. 21-2-2022, P, DJE de 17-3-2022.]</w:t>
      </w:r>
    </w:p>
    <w:p>
      <w:pPr>
        <w:ind w:left="288"/>
      </w:pPr>
      <w:r>
        <w:rPr>
          <w:color w:val="8C8C8C"/>
          <w:sz w:val="12"/>
        </w:rPr>
        <w:t>cf-art-134</w:t>
      </w:r>
      <w:r>
        <w:rPr>
          <w:color w:val="003CA0"/>
          <w:sz w:val="12"/>
        </w:rPr>
        <w:t xml:space="preserve"> | ADI 4.636</w:t>
      </w:r>
      <w:r>
        <w:rPr>
          <w:color w:val="003CA0"/>
          <w:sz w:val="12"/>
        </w:rPr>
        <w:t xml:space="preserve"> | rel. Gilmar Mendes</w:t>
      </w:r>
    </w:p>
    <w:p>
      <w:pPr>
        <w:ind w:left="288"/>
      </w:pPr>
      <w:r>
        <w:rPr>
          <w:color w:val="1E1E1E"/>
          <w:sz w:val="18"/>
        </w:rPr>
        <w:t>(...) constitui função constitucional da Defensoria Pública, instituição autônoma e com regime próprio, atender aos necessitados, assim consideradas as pessoas, físicas e jurídicas, que comprovem insuficiência de recursos, na forma da lei, cabendo à lei complementar de regência dispor sobre os requisitos para o exercício do cargo de defensor público, o que torna constitucional a previsão de que sua capacidade postulatória decorre da nomeação e posse no cargo. Ante o exposto, julgo improcedente a ação direta de inconstitucionalidade. Confiro ainda interpretação conforme à Constituição ao art. 3</w:t>
      </w:r>
    </w:p>
    <w:p>
      <w:pPr>
        <w:ind w:left="288"/>
      </w:pPr>
      <w:r>
        <w:rPr>
          <w:b/>
          <w:color w:val="003CA0"/>
          <w:sz w:val="16"/>
        </w:rPr>
        <w:t>[ADI 4.636, voto do rel. min. Gilmar Mendes, j. 4-11-2021, P, DJE de 10-2-2022.]</w:t>
      </w:r>
    </w:p>
    <w:p>
      <w:pPr>
        <w:ind w:left="288"/>
      </w:pPr>
      <w:r>
        <w:rPr>
          <w:color w:val="8C8C8C"/>
          <w:sz w:val="12"/>
        </w:rPr>
        <w:t>cf-art-134</w:t>
      </w:r>
      <w:r>
        <w:rPr>
          <w:color w:val="003CA0"/>
          <w:sz w:val="12"/>
        </w:rPr>
        <w:t xml:space="preserve"> | ADO 2</w:t>
      </w:r>
      <w:r>
        <w:rPr>
          <w:color w:val="003CA0"/>
          <w:sz w:val="12"/>
        </w:rPr>
        <w:t xml:space="preserve"> | rel. Luiz Fux</w:t>
      </w:r>
    </w:p>
    <w:p>
      <w:pPr>
        <w:ind w:left="288"/>
      </w:pPr>
      <w:r>
        <w:rPr>
          <w:color w:val="1E1E1E"/>
          <w:sz w:val="18"/>
        </w:rPr>
        <w:t>A relação entre a atuação da Defensoria Pública e a defesa do Estado Democrático de Direito, ademais, deflui da interpretação sistemático-teleológica das cláusulas da inafastabilidade da jurisdição e do devido processo legal em sua acepção substancial, eis que, por meio da Defensoria Pública, reafirma-se a centralidade da pessoa humana na ordem jurídico-constitucional contemporânea, deixando-se claro que todo ser humano é digno de obter o amparo do ordenamento jurídico brasileiro.</w:t>
      </w:r>
    </w:p>
    <w:p>
      <w:pPr>
        <w:ind w:left="288"/>
      </w:pPr>
      <w:r>
        <w:rPr>
          <w:b/>
          <w:color w:val="003CA0"/>
          <w:sz w:val="16"/>
        </w:rPr>
        <w:t>[ADO 2, rel. min. Luiz Fux, j. 15-4-2020, P, DJE de 30-4-2020.]</w:t>
      </w:r>
    </w:p>
    <w:p>
      <w:pPr>
        <w:ind w:left="288"/>
      </w:pPr>
      <w:r>
        <w:rPr>
          <w:color w:val="8C8C8C"/>
          <w:sz w:val="12"/>
        </w:rPr>
        <w:t>cf-art-134</w:t>
      </w:r>
      <w:r>
        <w:rPr>
          <w:color w:val="003CA0"/>
          <w:sz w:val="12"/>
        </w:rPr>
        <w:t xml:space="preserve"> | ADI 3.943</w:t>
      </w:r>
      <w:r>
        <w:rPr>
          <w:color w:val="003CA0"/>
          <w:sz w:val="12"/>
        </w:rPr>
        <w:t xml:space="preserve"> | rel. Cármen Lúcia</w:t>
      </w:r>
    </w:p>
    <w:p>
      <w:pPr>
        <w:ind w:left="288"/>
      </w:pPr>
      <w:r>
        <w:rPr>
          <w:color w:val="1E1E1E"/>
          <w:sz w:val="18"/>
        </w:rPr>
        <w:t>Legitimidade ativa da Defensoria Pública para ajuizar ação civil pública (art. 5º, II, da Lei 7.347/1985, alterado pelo art. 2º da Lei 11.448/2007). Tutela de interesses transindividuais (coletivos stricto sensu e difusos) e individuais homogêneos. Defensoria pública: instituição essencial à função jurisdicional. Acesso à justiça. Necessitado: definição segundo princípios hermenêuticos garantidores da força normativa da constituição e da máxima efetividade das normas constitucionais: art. 5º, XXXV, LXXIV, LXXVIII, da Constituição da República. Inexistência de norma de exclusividade do Ministér</w:t>
      </w:r>
    </w:p>
    <w:p>
      <w:pPr>
        <w:ind w:left="288"/>
      </w:pPr>
      <w:r>
        <w:rPr>
          <w:b/>
          <w:color w:val="003CA0"/>
          <w:sz w:val="16"/>
        </w:rPr>
        <w:t>[ADI 3.943, rel. min. Cármen Lúcia, j. 7-5-2015, P, DJE de 6-8-2015.]</w:t>
      </w:r>
    </w:p>
    <w:p>
      <w:pPr>
        <w:ind w:left="288"/>
      </w:pPr>
      <w:r>
        <w:rPr>
          <w:color w:val="8C8C8C"/>
          <w:sz w:val="12"/>
        </w:rPr>
        <w:t>cf-art-134</w:t>
      </w:r>
      <w:r>
        <w:rPr>
          <w:color w:val="003CA0"/>
          <w:sz w:val="12"/>
        </w:rPr>
        <w:t xml:space="preserve"> | RE 733.433</w:t>
      </w:r>
      <w:r>
        <w:rPr>
          <w:color w:val="003CA0"/>
          <w:sz w:val="12"/>
        </w:rPr>
        <w:t xml:space="preserve"> | rel. Dias Toffoli</w:t>
      </w:r>
    </w:p>
    <w:p>
      <w:pPr>
        <w:ind w:left="288"/>
      </w:pPr>
      <w:r>
        <w:rPr>
          <w:color w:val="1E1E1E"/>
          <w:sz w:val="18"/>
        </w:rPr>
        <w:t xml:space="preserve">= RE 733.433, rel. min. Dias Toffoli, j. 4-11-2015, P, DJE de 7-4-2016, Tema 607 Art. 104 da Constituição do Estado de Santa Catarina. LC estadual 155/1997. Convênio com a seccional da Ordem dos Advogados do Brasil (OAB/SC) para prestação de serviço de "defensoria pública dativa". Inexistência, no Estado de Santa Catarina, de órgão estatal destinado à orientação jurídica e à defesa dos necessitados. Situação institucional que configura severo ataque à dignidade do ser humano. Violação do inciso LXXIV do art. 5º e do art. 134, caput, da redação originária da Constituição de 1988. Ações diretas </w:t>
      </w:r>
    </w:p>
    <w:p>
      <w:pPr>
        <w:ind w:left="288"/>
      </w:pPr>
      <w:r>
        <w:rPr>
          <w:b/>
          <w:color w:val="003CA0"/>
          <w:sz w:val="16"/>
        </w:rPr>
        <w:t>[ADI 3.892 e ADI 4.270, rel. min. Joaquim Barbosa, j. 14-3-2012, P, DJE de 25-9-2012.]</w:t>
      </w:r>
    </w:p>
    <w:p>
      <w:pPr>
        <w:ind w:left="288"/>
      </w:pPr>
      <w:r>
        <w:rPr>
          <w:color w:val="8C8C8C"/>
          <w:sz w:val="12"/>
        </w:rPr>
        <w:t>cf-art-134</w:t>
      </w:r>
      <w:r>
        <w:rPr>
          <w:color w:val="003CA0"/>
          <w:sz w:val="12"/>
        </w:rPr>
        <w:t xml:space="preserve"> | ARE 767.615</w:t>
      </w:r>
      <w:r>
        <w:rPr>
          <w:color w:val="003CA0"/>
          <w:sz w:val="12"/>
        </w:rPr>
        <w:t xml:space="preserve"> | rel. Cármen Lúcia</w:t>
      </w:r>
    </w:p>
    <w:p>
      <w:pPr>
        <w:ind w:left="288"/>
      </w:pPr>
      <w:r>
        <w:rPr>
          <w:color w:val="1E1E1E"/>
          <w:sz w:val="18"/>
        </w:rPr>
        <w:t>Vide ARE 767.615 AgR, rel. min. Cármen Lúcia, j. 5-11-2013, 2ª T, DJE de 11-11-2013 Lei 8.742, de 30-11-2005, do Estado do Rio Grande do Norte, que "dispõe sobre a contratação temporária de advogados para o exercício da função de defensor público, no âmbito da Defensoria Pública do Estado". A Defensoria Pública se revela como instrumento de democratização do acesso às instâncias judiciárias, de modo a efetivar o valor constitucional da universalização da justiça (inciso XXXV do art. 5º da CF/1988). Por desempenhar, com exclusividade, um mister estatal genuíno e essencial à jurisdição, a Defens</w:t>
      </w:r>
    </w:p>
    <w:p>
      <w:pPr>
        <w:ind w:left="288"/>
      </w:pPr>
      <w:r>
        <w:rPr>
          <w:b/>
          <w:color w:val="003CA0"/>
          <w:sz w:val="16"/>
        </w:rPr>
        <w:t>[ADI 3.700, rel. min. Ayres Britto, j. 15-10-2008, P, DJE de 6-3-2009.]</w:t>
      </w:r>
    </w:p>
    <w:p>
      <w:pPr>
        <w:ind w:left="288"/>
      </w:pPr>
      <w:r>
        <w:rPr>
          <w:color w:val="8C8C8C"/>
          <w:sz w:val="12"/>
        </w:rPr>
        <w:t>cf-art-134</w:t>
      </w:r>
      <w:r>
        <w:rPr>
          <w:color w:val="003CA0"/>
          <w:sz w:val="12"/>
        </w:rPr>
        <w:t xml:space="preserve"> | ADI 2.903</w:t>
      </w:r>
      <w:r>
        <w:rPr>
          <w:color w:val="003CA0"/>
          <w:sz w:val="12"/>
        </w:rPr>
        <w:t xml:space="preserve"> | rel. Celso de Mello</w:t>
      </w:r>
    </w:p>
    <w:p>
      <w:pPr>
        <w:ind w:left="288"/>
      </w:pPr>
      <w:r>
        <w:rPr>
          <w:color w:val="1E1E1E"/>
          <w:sz w:val="18"/>
        </w:rPr>
        <w:t xml:space="preserve">A Defensoria Pública, enquanto instituição permanente, essencial à função jurisdicional do Estado, qualifica-se como instrumento de concretização dos direitos e das liberdades de que são titulares as pessoas carentes e necessitadas. É por essa razão que a Defensoria Pública não pode (e não deve) ser tratada de modo inconsequente pelo poder público, pois a proteção jurisdicional de milhões de pessoas – carentes e desassistidas –, que sofrem inaceitável processo de exclusão jurídica e social, depende da adequada organização e da efetiva institucionalização desse órgão do Estado. De nada valerão </w:t>
      </w:r>
    </w:p>
    <w:p>
      <w:pPr>
        <w:ind w:left="288"/>
      </w:pPr>
      <w:r>
        <w:rPr>
          <w:b/>
          <w:color w:val="003CA0"/>
          <w:sz w:val="16"/>
        </w:rPr>
        <w:t>[ADI 2.903, rel. min. Celso de Mello, j. 1º-12-2005, P, DJE de 19-9-2008.]</w:t>
      </w:r>
    </w:p>
    <w:p>
      <w:pPr>
        <w:ind w:left="288"/>
      </w:pPr>
      <w:r>
        <w:rPr>
          <w:color w:val="8C8C8C"/>
          <w:sz w:val="12"/>
        </w:rPr>
        <w:t>cf-art-134</w:t>
      </w:r>
      <w:r>
        <w:rPr>
          <w:color w:val="003CA0"/>
          <w:sz w:val="12"/>
        </w:rPr>
        <w:t xml:space="preserve"> | ADI 3.022</w:t>
      </w:r>
      <w:r>
        <w:rPr>
          <w:color w:val="003CA0"/>
          <w:sz w:val="12"/>
        </w:rPr>
        <w:t xml:space="preserve"> | rel. Joaquim Barbosa</w:t>
      </w:r>
    </w:p>
    <w:p>
      <w:pPr>
        <w:ind w:left="288"/>
      </w:pPr>
      <w:r>
        <w:rPr>
          <w:color w:val="1E1E1E"/>
          <w:sz w:val="18"/>
        </w:rPr>
        <w:t>Norma estadual que atribui à Defensoria Pública do Estado a defesa judicial de servidores públicos estaduais processados civil ou criminalmente em razão do regular exercício do cargo extrapola o modelo da CF (art. 134), o qual restringe as atribuições da Defensoria Pública à assistência jurídica a que se refere o art. 5º, LXXIV.</w:t>
      </w:r>
    </w:p>
    <w:p>
      <w:pPr>
        <w:ind w:left="288"/>
      </w:pPr>
      <w:r>
        <w:rPr>
          <w:b/>
          <w:color w:val="003CA0"/>
          <w:sz w:val="16"/>
        </w:rPr>
        <w:t>[ADI 3.022, rel. min. Joaquim Barbosa, j. 2-8-2004, P, DJ de 4-3-2005.]</w:t>
      </w:r>
    </w:p>
    <w:p>
      <w:pPr>
        <w:ind w:left="144"/>
      </w:pPr>
      <w:r>
        <w:rPr>
          <w:b/>
          <w:color w:val="B45A00"/>
          <w:sz w:val="16"/>
        </w:rPr>
        <w:t>REPERCUSSAO GERAL</w:t>
      </w:r>
    </w:p>
    <w:p>
      <w:pPr>
        <w:ind w:left="288"/>
      </w:pPr>
      <w:r>
        <w:rPr>
          <w:color w:val="8C8C8C"/>
          <w:sz w:val="12"/>
        </w:rPr>
        <w:t>cf-art-134</w:t>
      </w:r>
      <w:r>
        <w:rPr>
          <w:color w:val="003CA0"/>
          <w:sz w:val="12"/>
        </w:rPr>
        <w:t xml:space="preserve"> | RE 1.140.005</w:t>
      </w:r>
      <w:r>
        <w:rPr>
          <w:color w:val="003CA0"/>
          <w:sz w:val="12"/>
        </w:rPr>
        <w:t xml:space="preserve"> | rel. Roberto Barroso</w:t>
      </w:r>
    </w:p>
    <w:p>
      <w:pPr>
        <w:ind w:left="288"/>
      </w:pPr>
      <w:r>
        <w:rPr>
          <w:color w:val="1E1E1E"/>
          <w:sz w:val="18"/>
        </w:rPr>
        <w:t>“1. É devido o pagamento de honorários sucumbenciais à Defensoria Pública, quando representa parte vencedora em demanda ajuizada contra qualquer ente público, inclusive aquele que integra; 2. O valor recebido a título de honorários sucumbenciais deve ser destinado, exclusivamente, ao aparelhamento das Defensorias Públicas, vedado o seu rateio entre os membros da instituição”.</w:t>
        <w:br/>
        <w:t>[RE 1.140.005, rel. min. Roberto Barroso, j. 26-6-2023, P, DJE de 16-8-2023, Tema 1.002, com mérito julgado.] (...) a Defensoria Pública tem legitimidade para a propositura de ação civil pública que vise a promover a tute</w:t>
      </w:r>
    </w:p>
    <w:p>
      <w:pPr>
        <w:ind w:left="288"/>
      </w:pPr>
      <w:r>
        <w:rPr>
          <w:b/>
          <w:color w:val="003CA0"/>
          <w:sz w:val="16"/>
        </w:rPr>
        <w:t>[ARE 1.514.053 AgR, rel. min. Flávio Dino, red. do ac. min. Alexandre de Moraes, j. 06.08.2025, 1ª T, DJE de 01.10.2025.]</w:t>
      </w:r>
    </w:p>
    <w:p>
      <w:pPr>
        <w:ind w:left="144"/>
      </w:pPr>
      <w:r>
        <w:rPr>
          <w:b/>
          <w:color w:val="B45A00"/>
          <w:sz w:val="16"/>
        </w:rPr>
        <w:t>JULGADOS CORRELATOS</w:t>
      </w:r>
    </w:p>
    <w:p>
      <w:pPr>
        <w:ind w:left="288"/>
      </w:pPr>
      <w:r>
        <w:rPr>
          <w:color w:val="8C8C8C"/>
          <w:sz w:val="12"/>
        </w:rPr>
        <w:t>cf-art-134</w:t>
      </w:r>
      <w:r>
        <w:rPr>
          <w:color w:val="003CA0"/>
          <w:sz w:val="12"/>
        </w:rPr>
        <w:t xml:space="preserve"> | HC 230.677</w:t>
      </w:r>
      <w:r>
        <w:rPr>
          <w:color w:val="003CA0"/>
          <w:sz w:val="12"/>
        </w:rPr>
        <w:t xml:space="preserve"> | rel. André Mendonça</w:t>
      </w:r>
    </w:p>
    <w:p>
      <w:pPr>
        <w:ind w:left="288"/>
      </w:pPr>
      <w:r>
        <w:rPr>
          <w:color w:val="1E1E1E"/>
          <w:sz w:val="18"/>
        </w:rPr>
        <w:t>A jurisprudência desta Suprema Corte é no sentido de que a intimação da Defensoria Pública da União se aperfeiçoa com a remessa dos autos à instituição. A intimação pessoal da Defensoria Pública da União, por meio eletrônico, é a regra nos Tribunais Superiores e, além de não perder o seu caráter pessoal, propicia uma maior agilidade nas comunicações dirigidas à instituição e, por conseguinte, celeridade processual. Nos termos do art. 3º do Código de Processo Penal, admite-se a aplicação analógica de regras contidas no Código de Processo Civil no âmbito processual penal.</w:t>
        <w:br/>
        <w:t>[HC 230.677 AgR, rel. m</w:t>
      </w:r>
    </w:p>
    <w:p>
      <w:pPr>
        <w:ind w:left="288"/>
      </w:pPr>
      <w:r>
        <w:rPr>
          <w:b/>
          <w:color w:val="003CA0"/>
          <w:sz w:val="16"/>
        </w:rPr>
        <w:t>[ACO 3.061 AgR, rel. min. Roberto Barroso, j. 11-9-2018, 1ª T, DJE de 10-12-2018.]</w:t>
      </w:r>
    </w:p>
    <w:p>
      <w:pPr>
        <w:ind w:left="288"/>
      </w:pPr>
      <w:r>
        <w:rPr>
          <w:color w:val="8C8C8C"/>
          <w:sz w:val="12"/>
        </w:rPr>
        <w:t>cf-art-134</w:t>
      </w:r>
      <w:r>
        <w:rPr>
          <w:color w:val="003CA0"/>
          <w:sz w:val="12"/>
        </w:rPr>
        <w:t xml:space="preserve"> | HC 121.682</w:t>
      </w:r>
      <w:r>
        <w:rPr>
          <w:color w:val="003CA0"/>
          <w:sz w:val="12"/>
        </w:rPr>
        <w:t xml:space="preserve"> | rel. Dias Toffoli</w:t>
      </w:r>
    </w:p>
    <w:p>
      <w:pPr>
        <w:ind w:left="288"/>
      </w:pPr>
      <w:r>
        <w:rPr>
          <w:color w:val="1E1E1E"/>
          <w:sz w:val="18"/>
        </w:rPr>
        <w:t>É nula, por violação dos princípios do contraditório e da ampla defesa, a audiência de instrução realizada sem a presença da Defensoria Pública, não intimada pessoalmente para o ato, máxime quando a prova acusatória nela colhida tiver embasado a condenação do paciente. A atuação da Defensoria Pública, instituição essencial à função jurisdicional do Estado (art. 134, CF), não pode ser considerada fungível com a desempenhada por qualquer defensor ad hoc, sendo mister zelar pelo respeito a suas prerrogativas institucionais.</w:t>
      </w:r>
    </w:p>
    <w:p>
      <w:pPr>
        <w:ind w:left="288"/>
      </w:pPr>
      <w:r>
        <w:rPr>
          <w:b/>
          <w:color w:val="003CA0"/>
          <w:sz w:val="16"/>
        </w:rPr>
        <w:t>[HC 121.682, rel. min. Dias Toffoli, j. 30-9-2014, 1ª T, DJE de 17-11-2014.]</w:t>
      </w:r>
    </w:p>
    <w:p>
      <w:pPr>
        <w:ind w:left="288"/>
      </w:pPr>
      <w:r>
        <w:rPr>
          <w:color w:val="8C8C8C"/>
          <w:sz w:val="12"/>
        </w:rPr>
        <w:t>cf-art-134</w:t>
      </w:r>
      <w:r>
        <w:rPr>
          <w:color w:val="003CA0"/>
          <w:sz w:val="12"/>
        </w:rPr>
        <w:t xml:space="preserve"> | HC 125.270</w:t>
      </w:r>
      <w:r>
        <w:rPr>
          <w:color w:val="003CA0"/>
          <w:sz w:val="12"/>
        </w:rPr>
        <w:t xml:space="preserve"> | rel. Teori Zavascki</w:t>
      </w:r>
    </w:p>
    <w:p>
      <w:pPr>
        <w:ind w:left="288"/>
      </w:pPr>
      <w:r>
        <w:rPr>
          <w:color w:val="1E1E1E"/>
          <w:sz w:val="18"/>
        </w:rPr>
        <w:t>= HC 125.270, rel. min. Teori Zavascki, j. 23-6-2015, 2ª T, DJE de 3-8-2015 Defensoria Pública. Implantação. Omissão estatal que compromete e frustra direitos fundamentais de pessoas necessitadas. Situação constitucionalmente intolerável. O reconhecimento, em favor de populações carentes e desassistidas, postas à margem do sistema jurídico, do "direito a ter direitos" como pressuposto de acesso aos demais direitos, liberdades e garantias. Intervenção jurisdicional concretizadora de programa constitucional destinado a viabilizar o acesso dos necessitados à orientação jurídica integral e à assis</w:t>
      </w:r>
    </w:p>
    <w:p>
      <w:pPr>
        <w:ind w:left="288"/>
      </w:pPr>
      <w:r>
        <w:rPr>
          <w:b/>
          <w:color w:val="003CA0"/>
          <w:sz w:val="16"/>
        </w:rPr>
        <w:t>[AI 598.212 ED, rel. min. Celso de Mello, j. 25-3-2014, 2ª T, DJE de 24-4-2014.]</w:t>
      </w:r>
    </w:p>
    <w:p>
      <w:pPr>
        <w:ind w:left="288"/>
      </w:pPr>
      <w:r>
        <w:rPr>
          <w:color w:val="8C8C8C"/>
          <w:sz w:val="12"/>
        </w:rPr>
        <w:t>cf-art-134</w:t>
      </w:r>
      <w:r>
        <w:rPr>
          <w:color w:val="003CA0"/>
          <w:sz w:val="12"/>
        </w:rPr>
        <w:t xml:space="preserve"> | AI 616.896</w:t>
      </w:r>
      <w:r>
        <w:rPr>
          <w:color w:val="003CA0"/>
          <w:sz w:val="12"/>
        </w:rPr>
        <w:t xml:space="preserve"> | rel. Gilmar Mendes</w:t>
      </w:r>
    </w:p>
    <w:p>
      <w:pPr>
        <w:ind w:left="288"/>
      </w:pPr>
      <w:r>
        <w:rPr>
          <w:color w:val="1E1E1E"/>
          <w:sz w:val="18"/>
        </w:rPr>
        <w:t>A representação processual pela Defensoria Pública, in casu, Defensoria Pública da União, faz-se por defensor público integrante de seu quadro funcional, independentemente de mandato, ressalvados os casos nos quais a lei exija poderes especiais, consoante dispõe o art. 128, XI, da LC 80/1994.</w:t>
      </w:r>
    </w:p>
    <w:p>
      <w:pPr>
        <w:ind w:left="288"/>
      </w:pPr>
      <w:r>
        <w:rPr>
          <w:b/>
          <w:color w:val="003CA0"/>
          <w:sz w:val="16"/>
        </w:rPr>
        <w:t>[AI 616.896 AgR, voto do rel. min. Gilmar Mendes, j. 14-6-2011, 2ª T, DJE de 29-6-2011.]</w:t>
      </w:r>
    </w:p>
    <w:p>
      <w:pPr>
        <w:ind w:left="288"/>
      </w:pPr>
      <w:r>
        <w:rPr>
          <w:color w:val="8C8C8C"/>
          <w:sz w:val="12"/>
        </w:rPr>
        <w:t>cf-art-134</w:t>
      </w:r>
      <w:r>
        <w:rPr>
          <w:color w:val="003CA0"/>
          <w:sz w:val="12"/>
        </w:rPr>
        <w:t xml:space="preserve"> | HC 99.540</w:t>
      </w:r>
      <w:r>
        <w:rPr>
          <w:color w:val="003CA0"/>
          <w:sz w:val="12"/>
        </w:rPr>
        <w:t xml:space="preserve"> | rel. Ellen Gracie</w:t>
      </w:r>
    </w:p>
    <w:p>
      <w:pPr>
        <w:ind w:left="288"/>
      </w:pPr>
      <w:r>
        <w:rPr>
          <w:color w:val="1E1E1E"/>
          <w:sz w:val="18"/>
        </w:rPr>
        <w:t>Intimação pessoal do defensor público. Ofício encaminhado ao defensor público-geral e recebido por servidor do órgão. Intimação pessoal configurada. (...) Configura-se razoável, para fins de intimação pessoal, proceder-se à inequívoca ciência da Defensoria Pública, por intermédio de ofício ou mandado, devidamente recebido, competindo à instituição organizar a atuação de seus membros, sob pena de burocratizar o processo, em total desrespeito à efetividade e celeridade da Justiça. Aplica-se, por analogia, o entendimento desta Corte segundo o qual a entrega de processo em setor administrativo, fo</w:t>
      </w:r>
    </w:p>
    <w:p>
      <w:pPr>
        <w:ind w:left="288"/>
      </w:pPr>
      <w:r>
        <w:rPr>
          <w:b/>
          <w:color w:val="003CA0"/>
          <w:sz w:val="16"/>
        </w:rPr>
        <w:t>[HC 99.540, rel. min. Ellen Gracie, j. 4-5-2010, 2ª T, DJE de 21-5-2010.]</w:t>
      </w:r>
    </w:p>
    <w:p>
      <w:pPr>
        <w:ind w:left="288"/>
      </w:pPr>
      <w:r>
        <w:rPr>
          <w:color w:val="8C8C8C"/>
          <w:sz w:val="12"/>
        </w:rPr>
        <w:t>cf-art-134</w:t>
      </w:r>
      <w:r>
        <w:rPr>
          <w:color w:val="003CA0"/>
          <w:sz w:val="12"/>
        </w:rPr>
        <w:t xml:space="preserve"> | AP 458</w:t>
      </w:r>
      <w:r>
        <w:rPr>
          <w:color w:val="003CA0"/>
          <w:sz w:val="12"/>
        </w:rPr>
        <w:t xml:space="preserve"> | rel. Joaquim Barbosa</w:t>
      </w:r>
    </w:p>
    <w:p>
      <w:pPr>
        <w:ind w:left="288"/>
      </w:pPr>
      <w:r>
        <w:rPr>
          <w:color w:val="1E1E1E"/>
          <w:sz w:val="18"/>
        </w:rPr>
        <w:t>Vide AP 458 petição avulsa-AgR, rel. min. Joaquim Barbosa, j. 12-3-2009, P, DJE de 29-10-2009 Vide AI 707.988 AgR, rel. min. Cármen Lúcia, j. 12-8-2008, 1ª T, DJE de 19-9-2008 Vide HC 83.255, rel. min. Marco Aurélio, j. 5-11-2003, P, DJ de 12-3-2004 Não é nulo o julgamento de apelação sem a intimação pessoal de defensor dativo, nos casos anteriores à entrada em vigor da Lei 9.271/1996.</w:t>
      </w:r>
    </w:p>
    <w:p>
      <w:pPr>
        <w:ind w:left="288"/>
      </w:pPr>
      <w:r>
        <w:rPr>
          <w:b/>
          <w:color w:val="003CA0"/>
          <w:sz w:val="16"/>
        </w:rPr>
        <w:t>[RHC 88.512, rel. min. Cezar Peluso, j. 9-3-2010, 2ª T, DJE de 23-4-2010.]</w:t>
      </w:r>
    </w:p>
    <w:p>
      <w:pPr>
        <w:ind w:left="288"/>
      </w:pPr>
      <w:r>
        <w:rPr>
          <w:color w:val="8C8C8C"/>
          <w:sz w:val="12"/>
        </w:rPr>
        <w:t>cf-art-134</w:t>
      </w:r>
      <w:r>
        <w:rPr>
          <w:color w:val="003CA0"/>
          <w:sz w:val="12"/>
        </w:rPr>
        <w:t xml:space="preserve"> | HC 105.500</w:t>
      </w:r>
      <w:r>
        <w:rPr>
          <w:color w:val="003CA0"/>
          <w:sz w:val="12"/>
        </w:rPr>
        <w:t xml:space="preserve"> | rel. Dias Toffoli</w:t>
      </w:r>
    </w:p>
    <w:p>
      <w:pPr>
        <w:ind w:left="288"/>
      </w:pPr>
      <w:r>
        <w:rPr>
          <w:color w:val="1E1E1E"/>
          <w:sz w:val="18"/>
        </w:rPr>
        <w:t>= HC 105.500, rel. min. Dias Toffoli, j. 22-5-2012, 1ª T, DJE de 14-6-2012 Ministério Público. Legitimidade ativa. Medida judicial para internação compulsória de pessoa vítima de alcoolismo. Ausência. O Ministério Público não tem legitimidade ativa ad causam para requerer a internação compulsória, para tratamento de saúde, de pessoa vítima de alcoolismo. Existindo Defensoria Pública organizada, tem ela competência para atuar nesses casos.</w:t>
      </w:r>
    </w:p>
    <w:p>
      <w:pPr>
        <w:ind w:left="288"/>
      </w:pPr>
      <w:r>
        <w:rPr>
          <w:b/>
          <w:color w:val="003CA0"/>
          <w:sz w:val="16"/>
        </w:rPr>
        <w:t>[RE 496.718, red. do ac. min. Menezes Direito, j. 12-8-2008, 1ª T, DJE de 31-10-2008.]</w:t>
      </w:r>
    </w:p>
    <w:p>
      <w:pPr>
        <w:ind w:left="288"/>
      </w:pPr>
      <w:r>
        <w:rPr>
          <w:color w:val="8C8C8C"/>
          <w:sz w:val="12"/>
        </w:rPr>
        <w:t>cf-art-134</w:t>
      </w:r>
      <w:r>
        <w:rPr>
          <w:color w:val="003CA0"/>
          <w:sz w:val="12"/>
        </w:rPr>
        <w:t xml:space="preserve"> | HC 81.019</w:t>
      </w:r>
      <w:r>
        <w:rPr>
          <w:color w:val="003CA0"/>
          <w:sz w:val="12"/>
        </w:rPr>
        <w:t xml:space="preserve"> | rel. Celso de Mello</w:t>
      </w:r>
    </w:p>
    <w:p>
      <w:pPr>
        <w:ind w:left="288"/>
      </w:pPr>
      <w:r>
        <w:rPr>
          <w:color w:val="1E1E1E"/>
          <w:sz w:val="18"/>
        </w:rPr>
        <w:t>O legislador, tendo presentes razões de ordem material e estrutural que oneram o desempenho, pelo defensor público, dos relevantes encargos que se inserem na esfera de suas atribuições institucionais, estabeleceu mecanismos compensatórios destinados a viabilizar, em plenitude, o exercício das funções cometidas a esse agente estatal, outorgando-lhe, em consequência, (a) a prerrogativa de receber, pessoalmente, a intimação de todos os atos do processo e (b) o benefício de dispor da contagem em dobro dos prazos processuais (Lei 1.060/1950, art. 5º, § 5º, na redação dada pela Lei 7.871/1989, c/c a</w:t>
      </w:r>
    </w:p>
    <w:p>
      <w:pPr>
        <w:ind w:left="288"/>
      </w:pPr>
      <w:r>
        <w:rPr>
          <w:b/>
          <w:color w:val="003CA0"/>
          <w:sz w:val="16"/>
        </w:rPr>
        <w:t>[HC 81.019, rel. min. Celso de Mello, j. 23-10-2001, 2ª T, DJE de 23-10-2009.]</w:t>
      </w:r>
    </w:p>
    <w:p>
      <w:pPr>
        <w:ind w:left="288"/>
      </w:pPr>
      <w:r>
        <w:rPr>
          <w:color w:val="8C8C8C"/>
          <w:sz w:val="12"/>
        </w:rPr>
        <w:t>cf-art-134</w:t>
      </w:r>
      <w:r>
        <w:rPr>
          <w:color w:val="003CA0"/>
          <w:sz w:val="12"/>
        </w:rPr>
        <w:t xml:space="preserve"> | HC 72.204</w:t>
      </w:r>
      <w:r>
        <w:rPr>
          <w:color w:val="003CA0"/>
          <w:sz w:val="12"/>
        </w:rPr>
        <w:t xml:space="preserve"> | rel. Celso de Mello</w:t>
      </w:r>
    </w:p>
    <w:p>
      <w:pPr>
        <w:ind w:left="288"/>
      </w:pPr>
      <w:r>
        <w:rPr>
          <w:color w:val="1E1E1E"/>
          <w:sz w:val="18"/>
        </w:rPr>
        <w:t>Vide HC 72.204, rel. min. Celso de Mello, j. 15-8-1995, 1ª T, DJ de 24-8-2007 Vide HC 89.176, rel. min. Gilmar Mendes, j. 22-8-2006, 2ª T, DJ de 22-9-2006 § 1º Lei complementar organizará a Defensoria Pública da União e do Distrito Federal e dos Territórios e prescreverá normas gerais para sua organização nos Estados, em cargos de carreira, providos, na classe inicial, mediante concurso público de provas e títulos, assegurada a seus integrantes a garantia da inamovibilidade e vedado o exercício da advocacia fora das atribuições institucionais. (Renumerado pela EC 45/2004) O § 1º do art. 134 da</w:t>
      </w:r>
    </w:p>
    <w:p>
      <w:pPr>
        <w:ind w:left="288"/>
      </w:pPr>
      <w:r>
        <w:rPr>
          <w:b/>
          <w:color w:val="003CA0"/>
          <w:sz w:val="16"/>
        </w:rPr>
        <w:t>[ADI 5.662, rel. min. Nunes Marques, j. 9-12-2025, P, DJE de 26-1-2026.]</w:t>
      </w:r>
    </w:p>
    <w:p>
      <w:pPr>
        <w:ind w:left="144"/>
      </w:pPr>
      <w:r>
        <w:rPr>
          <w:b/>
          <w:color w:val="B45A00"/>
          <w:sz w:val="16"/>
        </w:rPr>
        <w:t>CONTROLE CONCENTRADO</w:t>
      </w:r>
    </w:p>
    <w:p>
      <w:pPr>
        <w:ind w:left="288"/>
      </w:pPr>
      <w:r>
        <w:rPr>
          <w:color w:val="8C8C8C"/>
          <w:sz w:val="12"/>
        </w:rPr>
        <w:t>cf-art-134</w:t>
      </w:r>
      <w:r>
        <w:rPr>
          <w:color w:val="003CA0"/>
          <w:sz w:val="12"/>
        </w:rPr>
        <w:t xml:space="preserve"> | ADI 7.305</w:t>
      </w:r>
      <w:r>
        <w:rPr>
          <w:color w:val="003CA0"/>
          <w:sz w:val="12"/>
        </w:rPr>
        <w:t xml:space="preserve"> | rel. Gilmar Mendes</w:t>
      </w:r>
    </w:p>
    <w:p>
      <w:pPr>
        <w:ind w:left="288"/>
      </w:pPr>
      <w:r>
        <w:rPr>
          <w:color w:val="1E1E1E"/>
          <w:sz w:val="18"/>
        </w:rPr>
        <w:t>A LC n° 80/94 não permite a utilização de tempo anterior ao ingresso na carreira para fins de desempate entre aqueles que estejam concorrendo à promoção por antiguidade. Critério inidôneo.</w:t>
        <w:br/>
        <w:t>[ADI 7.305, rel. min. Gilmar Mendes, j. 15-8-2023, P, DJE de 23-8-2023.] Ação direta de inconstitucionalidade. Defensor público estadual: garantias e prerrogativas. (...) Não contraria a Constituição da República o direito de os defensores públicos se comunicarem pessoal e reservadamente com seus assistidos, mesmo os que estiverem presos, detidos ou incomunicáveis, e o de terem livre acesso e trânsito aos es</w:t>
      </w:r>
    </w:p>
    <w:p>
      <w:pPr>
        <w:ind w:left="288"/>
      </w:pPr>
      <w:r>
        <w:rPr>
          <w:b/>
          <w:color w:val="003CA0"/>
          <w:sz w:val="16"/>
        </w:rPr>
        <w:t>[ADI 3.819, rel. min. Eros Grau, j. 24-10-2007, P, DJE de 28-3-2008.]</w:t>
      </w:r>
    </w:p>
    <w:p>
      <w:pPr>
        <w:ind w:left="288"/>
      </w:pPr>
      <w:r>
        <w:rPr>
          <w:color w:val="8C8C8C"/>
          <w:sz w:val="12"/>
        </w:rPr>
        <w:t>cf-art-134</w:t>
      </w:r>
      <w:r>
        <w:rPr>
          <w:color w:val="003CA0"/>
          <w:sz w:val="12"/>
        </w:rPr>
        <w:t xml:space="preserve"> | RCL 16.950</w:t>
      </w:r>
      <w:r>
        <w:rPr>
          <w:color w:val="003CA0"/>
          <w:sz w:val="12"/>
        </w:rPr>
        <w:t xml:space="preserve"> | rel. Cármen Lúcia</w:t>
      </w:r>
    </w:p>
    <w:p>
      <w:pPr>
        <w:ind w:left="288"/>
      </w:pPr>
      <w:r>
        <w:rPr>
          <w:color w:val="1E1E1E"/>
          <w:sz w:val="18"/>
        </w:rPr>
        <w:t>= Rcl 16.950, rel. min. Cármen Lúcia, j. 1º-12-2015, 2ª T, DJE de 18-12-2015 O § 1º do art. 134 da Constituição do Brasil repudia o desempenho, pelos membros da Defensoria Pública, de atividades próprias da advocacia privada. Improcede o argumento de que o exercício da advocacia pelos defensores públicos somente seria vedado após a fixação dos subsídios aplicáveis às carreiras típicas de Estado. Os §§ 1º e 2º do art. 134 da Constituição do Brasil veiculam regras atinentes à estruturação das defensorias públicas, que o legislador ordinário não pode ignorar. Pedido julgado procedente para declar</w:t>
      </w:r>
    </w:p>
    <w:p>
      <w:pPr>
        <w:ind w:left="288"/>
      </w:pPr>
      <w:r>
        <w:rPr>
          <w:b/>
          <w:color w:val="003CA0"/>
          <w:sz w:val="16"/>
        </w:rPr>
        <w:t>[ADI 3.043, rel. min. Eros Grau, j. 26-4-2006, P, DJ de 27-10-2006.]</w:t>
      </w:r>
    </w:p>
    <w:p>
      <w:pPr>
        <w:ind w:left="288"/>
      </w:pPr>
      <w:r>
        <w:rPr>
          <w:color w:val="8C8C8C"/>
          <w:sz w:val="12"/>
        </w:rPr>
        <w:t>cf-art-134</w:t>
      </w:r>
      <w:r>
        <w:rPr>
          <w:color w:val="003CA0"/>
          <w:sz w:val="12"/>
        </w:rPr>
        <w:t xml:space="preserve"> | ADI 2.903</w:t>
      </w:r>
      <w:r>
        <w:rPr>
          <w:color w:val="003CA0"/>
          <w:sz w:val="12"/>
        </w:rPr>
        <w:t xml:space="preserve"> | rel. Celso de Mello</w:t>
      </w:r>
    </w:p>
    <w:p>
      <w:pPr>
        <w:ind w:left="288"/>
      </w:pPr>
      <w:r>
        <w:rPr>
          <w:color w:val="1E1E1E"/>
          <w:sz w:val="18"/>
        </w:rPr>
        <w:t>É inconstitucional lei complementar estadual, que, ao fixar critérios destinados a definir a escolha do defensor público-geral do Estado e demais agentes integrantes da administração superior da defensoria pública local, não observa as normas de caráter geral, institutivas da legislação fundamental ou de princípios, prévia e validamente estipuladas em lei complementar nacional que a União Federal fez editar com apoio no legítimo exercício de sua competência concorrente. (...). A mera equiparação de altos servidores públicos estaduais, como o defensor público-geral do Estado, a secretário de Es</w:t>
      </w:r>
    </w:p>
    <w:p>
      <w:pPr>
        <w:ind w:left="288"/>
      </w:pPr>
      <w:r>
        <w:rPr>
          <w:b/>
          <w:color w:val="003CA0"/>
          <w:sz w:val="16"/>
        </w:rPr>
        <w:t>[ADI 2.903, rel. min. Celso de Mello, j. 1º-12-2005, P, DJE de 19-9-2008.]</w:t>
      </w:r>
    </w:p>
    <w:p>
      <w:pPr>
        <w:ind w:left="144"/>
      </w:pPr>
      <w:r>
        <w:rPr>
          <w:b/>
          <w:color w:val="B45A00"/>
          <w:sz w:val="16"/>
        </w:rPr>
        <w:t>REPERCUSSAO GERAL</w:t>
      </w:r>
    </w:p>
    <w:p>
      <w:pPr>
        <w:ind w:left="288"/>
      </w:pPr>
      <w:r>
        <w:rPr>
          <w:color w:val="8C8C8C"/>
          <w:sz w:val="12"/>
        </w:rPr>
        <w:t>cf-art-134</w:t>
      </w:r>
      <w:r>
        <w:rPr>
          <w:color w:val="003CA0"/>
          <w:sz w:val="12"/>
        </w:rPr>
        <w:t xml:space="preserve"> | RE 1.240.999</w:t>
      </w:r>
      <w:r>
        <w:rPr>
          <w:color w:val="003CA0"/>
          <w:sz w:val="12"/>
        </w:rPr>
        <w:t xml:space="preserve"> | rel. Alexandre de Moraes</w:t>
      </w:r>
    </w:p>
    <w:p>
      <w:pPr>
        <w:ind w:left="288"/>
      </w:pPr>
      <w:r>
        <w:rPr>
          <w:color w:val="1E1E1E"/>
          <w:sz w:val="18"/>
        </w:rPr>
        <w:t>É inconstitucional a exigência de inscrição do Defensor Público nos quadros da Ordem dos Advogados do Brasil.</w:t>
      </w:r>
    </w:p>
    <w:p>
      <w:pPr>
        <w:ind w:left="288"/>
      </w:pPr>
      <w:r>
        <w:rPr>
          <w:b/>
          <w:color w:val="003CA0"/>
          <w:sz w:val="16"/>
        </w:rPr>
        <w:t>[RE 1.240.999, rel. min. Alexandre de Moraes, j. 4-11-2021, P, DJE de 17-12-2022, Tema 1.074, com mérito julgado.]</w:t>
      </w:r>
    </w:p>
    <w:p>
      <w:pPr>
        <w:ind w:left="144"/>
      </w:pPr>
      <w:r>
        <w:rPr>
          <w:b/>
          <w:color w:val="B45A00"/>
          <w:sz w:val="16"/>
        </w:rPr>
        <w:t>JULGADOS CORRELATOS</w:t>
      </w:r>
    </w:p>
    <w:p>
      <w:pPr>
        <w:ind w:left="288"/>
      </w:pPr>
      <w:r>
        <w:rPr>
          <w:color w:val="8C8C8C"/>
          <w:sz w:val="12"/>
        </w:rPr>
        <w:t>cf-art-134</w:t>
      </w:r>
      <w:r>
        <w:rPr>
          <w:color w:val="003CA0"/>
          <w:sz w:val="12"/>
        </w:rPr>
        <w:t xml:space="preserve"> | HC 92.399</w:t>
      </w:r>
      <w:r>
        <w:rPr>
          <w:color w:val="003CA0"/>
          <w:sz w:val="12"/>
        </w:rPr>
        <w:t xml:space="preserve"> | rel. Ayres Britto</w:t>
      </w:r>
    </w:p>
    <w:p>
      <w:pPr>
        <w:ind w:left="288"/>
      </w:pPr>
      <w:r>
        <w:rPr>
          <w:color w:val="1E1E1E"/>
          <w:sz w:val="18"/>
        </w:rPr>
        <w:t>A Defensoria Pública do Estado do Rio Grande do Sul, responsável pela defesa do paciente desde a primeira instância, foi intimada da inclusão do recurso especial na pauta de julgamento do STJ. Intimação que atendeu a pedido expresso do órgão defensivo estadual. Donde inexistir ofensa à prerrogativa de intimação pessoal do defensor público. Até porque o art. 106 da LC 80/1994 afasta eventual tentativa de conferir à Defensoria Pública da União a exclusividade de atuação no STJ.</w:t>
      </w:r>
    </w:p>
    <w:p>
      <w:pPr>
        <w:ind w:left="288"/>
      </w:pPr>
      <w:r>
        <w:rPr>
          <w:b/>
          <w:color w:val="003CA0"/>
          <w:sz w:val="16"/>
        </w:rPr>
        <w:t>[HC 92.399, rel. min. Ayres Britto, j. 29-6-2010, 1ª T, DJE de 27-8-2010.]</w:t>
      </w:r>
    </w:p>
    <w:p>
      <w:pPr>
        <w:ind w:left="288"/>
      </w:pPr>
      <w:r>
        <w:rPr>
          <w:color w:val="8C8C8C"/>
          <w:sz w:val="12"/>
        </w:rPr>
        <w:t>cf-art-134</w:t>
      </w:r>
      <w:r>
        <w:rPr>
          <w:color w:val="003CA0"/>
          <w:sz w:val="12"/>
        </w:rPr>
        <w:t xml:space="preserve"> | RE 341.717</w:t>
      </w:r>
      <w:r>
        <w:rPr>
          <w:color w:val="003CA0"/>
          <w:sz w:val="12"/>
        </w:rPr>
        <w:t xml:space="preserve"> | rel. Celso de Mello</w:t>
      </w:r>
    </w:p>
    <w:p>
      <w:pPr>
        <w:ind w:left="288"/>
      </w:pPr>
      <w:r>
        <w:rPr>
          <w:color w:val="1E1E1E"/>
          <w:sz w:val="18"/>
        </w:rPr>
        <w:t>Ministério Público. Ação civil ex delicto. CPP, art. 68. Norma ainda constitucional. Estágio intermediário, de caráter transitório, entre a situação de constitucionalidade e o estado de inconstitucionalidade. A questão das situações constitucionais imperfeitas. Subsistência, no Estado de São Paulo, do art. 68 do CPP, até que seja instituída e regularmente organizada a Defensoria Pública local.</w:t>
      </w:r>
    </w:p>
    <w:p>
      <w:pPr>
        <w:ind w:left="288"/>
      </w:pPr>
      <w:r>
        <w:rPr>
          <w:b/>
          <w:color w:val="003CA0"/>
          <w:sz w:val="16"/>
        </w:rPr>
        <w:t>[RE 341.717 AgR, rel. min. Celso de Mello, j. 5-8-2003, 2ª T, DJE de 5-3-2010.]</w:t>
      </w:r>
    </w:p>
    <w:p>
      <w:pPr>
        <w:ind w:left="288"/>
      </w:pPr>
      <w:r>
        <w:rPr>
          <w:color w:val="8C8C8C"/>
          <w:sz w:val="12"/>
        </w:rPr>
        <w:t>cf-art-134-par-2</w:t>
      </w:r>
      <w:r>
        <w:rPr>
          <w:color w:val="003CA0"/>
          <w:sz w:val="12"/>
        </w:rPr>
        <w:t xml:space="preserve"> | ADI 5.662</w:t>
      </w:r>
      <w:r>
        <w:rPr>
          <w:color w:val="003CA0"/>
          <w:sz w:val="12"/>
        </w:rPr>
        <w:t xml:space="preserve"> | rel. Nunes Marques</w:t>
      </w:r>
    </w:p>
    <w:p>
      <w:pPr>
        <w:ind w:left="288"/>
      </w:pPr>
      <w:r>
        <w:rPr>
          <w:color w:val="1E1E1E"/>
          <w:sz w:val="18"/>
        </w:rPr>
        <w:t>O condicionamento à autorização prévia do Governador, das atividades residuais do Centro de Estudos Jurídicos da Defensoria Pública do Estado do Acre, agora intitulado Escola Superior da Defensoria Pública do Estado do Acre (ESDPAC), é incompatível com a autonomia administrativa e funcional das Defensorias Públicas preconizadas no art. 134, § 2º, da CF/1988, incluído pela EC n. 45/2004.</w:t>
      </w:r>
    </w:p>
    <w:p>
      <w:pPr>
        <w:ind w:left="288"/>
      </w:pPr>
      <w:r>
        <w:rPr>
          <w:b/>
          <w:color w:val="003CA0"/>
          <w:sz w:val="16"/>
        </w:rPr>
        <w:t>[ADI 5.662, rel. min. Nunes Marques, j. 9-12-2025, P, DJE de 26-1-2026.]</w:t>
      </w:r>
    </w:p>
    <w:p>
      <w:pPr>
        <w:ind w:left="288"/>
      </w:pPr>
      <w:r>
        <w:rPr>
          <w:color w:val="8C8C8C"/>
          <w:sz w:val="12"/>
        </w:rPr>
        <w:t>cf-art-134-par-2</w:t>
      </w:r>
      <w:r>
        <w:rPr>
          <w:color w:val="003CA0"/>
          <w:sz w:val="12"/>
        </w:rPr>
        <w:t xml:space="preserve"> | ADI 5.644</w:t>
      </w:r>
      <w:r>
        <w:rPr>
          <w:color w:val="003CA0"/>
          <w:sz w:val="12"/>
        </w:rPr>
        <w:t xml:space="preserve"> | rel. Edson Fachin</w:t>
      </w:r>
    </w:p>
    <w:p>
      <w:pPr>
        <w:ind w:left="288"/>
      </w:pPr>
      <w:r>
        <w:rPr>
          <w:color w:val="1E1E1E"/>
          <w:sz w:val="18"/>
        </w:rPr>
        <w:t>A lei 1297/2017 do Estado de São Paulo, ao destinar 40% das receitas que compõem o FAJ à prestação de assistência jurídica suplementar, na prática, está a vincular parcela significativa do orçamento da Defensoria estadual à celebração de convênios com advogados dativos. Ao fixar parcela do orçamento para uma finalidade específica, a lei em questão implica em clara interferência na gestão da instituição, cuja autonomia está garantida por previsão constitucional. A lei 1297/2017, de iniciativa do Poder Executivo, restringiu de forma drástica a autonomia orçamentária da instituição, e em consequê</w:t>
      </w:r>
    </w:p>
    <w:p>
      <w:pPr>
        <w:ind w:left="288"/>
      </w:pPr>
      <w:r>
        <w:rPr>
          <w:b/>
          <w:color w:val="003CA0"/>
          <w:sz w:val="16"/>
        </w:rPr>
        <w:t>[ADI 5.644, rel. min. Edson Fachin, j. 19.03.2025, P, DJE de 06.06.2025.]</w:t>
      </w:r>
    </w:p>
    <w:p>
      <w:pPr>
        <w:ind w:left="144"/>
      </w:pPr>
      <w:r>
        <w:rPr>
          <w:b/>
          <w:color w:val="B45A00"/>
          <w:sz w:val="16"/>
        </w:rPr>
        <w:t>CONTROLE CONCENTRADO</w:t>
      </w:r>
    </w:p>
    <w:p>
      <w:pPr>
        <w:ind w:left="288"/>
      </w:pPr>
      <w:r>
        <w:rPr>
          <w:color w:val="8C8C8C"/>
          <w:sz w:val="12"/>
        </w:rPr>
        <w:t>cf-art-134-par-2</w:t>
      </w:r>
      <w:r>
        <w:rPr>
          <w:color w:val="003CA0"/>
          <w:sz w:val="12"/>
        </w:rPr>
        <w:t xml:space="preserve"> | ADI 5.217</w:t>
      </w:r>
      <w:r>
        <w:rPr>
          <w:color w:val="003CA0"/>
          <w:sz w:val="12"/>
        </w:rPr>
        <w:t xml:space="preserve"> | rel. Nunes Marques</w:t>
      </w:r>
    </w:p>
    <w:p>
      <w:pPr>
        <w:ind w:left="288"/>
      </w:pPr>
      <w:r>
        <w:rPr>
          <w:color w:val="1E1E1E"/>
          <w:sz w:val="18"/>
        </w:rPr>
        <w:t>É reservada à Defensoria Pública a iniciativa para instaurar processo legislativo que venha a dispor sobre sua estrutura e organização, sendo vedado ao Governador do Estado apresentar projeto de lei que vise à alteração da Lei Orgânica da instituição.</w:t>
        <w:br/>
        <w:t>[ADI 5.217, rel. min. Nunes Marques, j. 22-8-2023, P, DJE de 28-9-2023.] Nos termos do art. 134, § 2º, da CF, não é dado ao chefe do Poder Executivo estadual, de forma unilateral, reduzir a proposta orçamentária da defensoria pública quando essa é compatível com a LDO. Caberia ao governador do Estado incorporar ao PLOA a proposta nos exatos termo</w:t>
      </w:r>
    </w:p>
    <w:p>
      <w:pPr>
        <w:ind w:left="288"/>
      </w:pPr>
      <w:r>
        <w:rPr>
          <w:b/>
          <w:color w:val="003CA0"/>
          <w:sz w:val="16"/>
        </w:rPr>
        <w:t>[ADI 4.163, rel. min. Cezar Peluso, j. 29-2-2012, P, DJE de 1º-3-2013.]</w:t>
      </w:r>
    </w:p>
    <w:p>
      <w:pPr>
        <w:ind w:left="288"/>
      </w:pPr>
      <w:r>
        <w:rPr>
          <w:color w:val="8C8C8C"/>
          <w:sz w:val="12"/>
        </w:rPr>
        <w:t>cf-art-134-par-2</w:t>
      </w:r>
      <w:r>
        <w:rPr>
          <w:color w:val="003CA0"/>
          <w:sz w:val="12"/>
        </w:rPr>
        <w:t xml:space="preserve"> | ADI 3.569</w:t>
      </w:r>
      <w:r>
        <w:rPr>
          <w:color w:val="003CA0"/>
          <w:sz w:val="12"/>
        </w:rPr>
        <w:t xml:space="preserve"> | rel. Sepúlveda Pertence</w:t>
      </w:r>
    </w:p>
    <w:p>
      <w:pPr>
        <w:ind w:left="288"/>
      </w:pPr>
      <w:r>
        <w:rPr>
          <w:color w:val="1E1E1E"/>
          <w:sz w:val="18"/>
        </w:rPr>
        <w:t>A EC 45/2004 outorgou expressamente autonomia funcional e administrativa às defensorias públicas estaduais, além da iniciativa para a propositura de seus orçamentos (art. 134, § 2º): donde, ser inconstitucional a norma local que estabelece a vinculação da Defensoria Pública a Secretaria de Estado. A norma de autonomia inscrita no art. 134, § 2º, da CF pela EC 45/2004 é de eficácia plena e aplicabilidade imediata, dado ser a Defensoria Pública um instrumento de efetivação dos direitos humanos.</w:t>
      </w:r>
    </w:p>
    <w:p>
      <w:pPr>
        <w:ind w:left="288"/>
      </w:pPr>
      <w:r>
        <w:rPr>
          <w:b/>
          <w:color w:val="003CA0"/>
          <w:sz w:val="16"/>
        </w:rPr>
        <w:t>[ADI 3.569, rel. min. Sepúlveda Pertence, j. 2-4-2007, P, DJ de 11-5-2007.]</w:t>
      </w:r>
    </w:p>
    <w:p>
      <w:pPr>
        <w:ind w:left="288"/>
      </w:pPr>
      <w:r>
        <w:rPr>
          <w:color w:val="8C8C8C"/>
          <w:sz w:val="12"/>
        </w:rPr>
        <w:t>cf-art-134-par-2</w:t>
      </w:r>
      <w:r>
        <w:rPr>
          <w:color w:val="003CA0"/>
          <w:sz w:val="12"/>
        </w:rPr>
        <w:t xml:space="preserve"> | ADI 4.056</w:t>
      </w:r>
      <w:r>
        <w:rPr>
          <w:color w:val="003CA0"/>
          <w:sz w:val="12"/>
        </w:rPr>
        <w:t xml:space="preserve"> | rel. Ricardo Lewandowski</w:t>
      </w:r>
    </w:p>
    <w:p>
      <w:pPr>
        <w:ind w:left="288"/>
      </w:pPr>
      <w:r>
        <w:rPr>
          <w:color w:val="1E1E1E"/>
          <w:sz w:val="18"/>
        </w:rPr>
        <w:t>= ADI 4.056, rel. min. Ricardo Lewandowski, j. 7-3-2012, P, DJE de 1º-8-2012 Ofende a autonomia administrativa Defensoria Pública a decisão Judicial que determina a realização de plantões ininterruptos de 24 horas em delegacias de polícia.</w:t>
      </w:r>
    </w:p>
    <w:p>
      <w:pPr>
        <w:ind w:left="288"/>
      </w:pPr>
      <w:r>
        <w:rPr>
          <w:b/>
          <w:color w:val="003CA0"/>
          <w:sz w:val="16"/>
        </w:rPr>
        <w:t>[ARE 1.506.005 AgR, rel. min. Cármen Lúcia, red. do ac. min. Cristiano Zanin, j. 07.10.2024, 1ª T, DJE de 17.10.2024.]</w:t>
      </w:r>
    </w:p>
    <w:p>
      <w:pPr>
        <w:ind w:left="432"/>
      </w:pPr>
      <w:r>
        <w:rPr>
          <w:color w:val="003366"/>
          <w:sz w:val="18"/>
        </w:rPr>
        <w:t>§ 1 Lei complementar organizará a Defensoria Pública da União e do Distrito Fede</w:t>
      </w:r>
    </w:p>
    <w:p>
      <w:pPr>
        <w:ind w:left="432"/>
      </w:pPr>
      <w:r>
        <w:rPr>
          <w:color w:val="003366"/>
          <w:sz w:val="18"/>
        </w:rPr>
        <w:t>§ 2 Às Defensorias Públicas Estaduais são asseguradas autonomia funcional e admi</w:t>
      </w:r>
    </w:p>
    <w:p>
      <w:pPr>
        <w:ind w:left="432"/>
      </w:pPr>
      <w:r>
        <w:rPr>
          <w:color w:val="003366"/>
          <w:sz w:val="18"/>
        </w:rPr>
        <w:t xml:space="preserve">§ 3 Aplica-se o disposto no § 2º às Defensorias Públicas da União e do Distrito </w:t>
      </w:r>
    </w:p>
    <w:p>
      <w:pPr>
        <w:ind w:left="432"/>
      </w:pPr>
      <w:r>
        <w:rPr>
          <w:color w:val="003366"/>
          <w:sz w:val="18"/>
        </w:rPr>
        <w:t>§ 4 São princípios institucionais da Defensoria Pública a unidade, a indivisibil</w:t>
      </w:r>
    </w:p>
    <w:p>
      <w:r>
        <w:rPr>
          <w:b/>
          <w:color w:val="003366"/>
          <w:sz w:val="20"/>
        </w:rPr>
        <w:t>Art. 135 Os servidores integrantes das carreiras disciplinadas nas Seções II e I</w:t>
      </w:r>
      <w:r>
        <w:rPr>
          <w:color w:val="8C8C8C"/>
          <w:sz w:val="14"/>
        </w:rPr>
        <w:t xml:space="preserve">  [34 decisoes]</w:t>
      </w:r>
    </w:p>
    <w:p>
      <w:pPr>
        <w:ind w:left="144"/>
      </w:pPr>
      <w:r>
        <w:rPr>
          <w:b/>
          <w:color w:val="B45A00"/>
          <w:sz w:val="16"/>
        </w:rPr>
        <w:t>CONTROLE CONCENTRADO</w:t>
      </w:r>
    </w:p>
    <w:p>
      <w:pPr>
        <w:ind w:left="288"/>
      </w:pPr>
      <w:r>
        <w:rPr>
          <w:color w:val="8C8C8C"/>
          <w:sz w:val="12"/>
        </w:rPr>
        <w:t>cf-art-135</w:t>
      </w:r>
      <w:r>
        <w:rPr>
          <w:color w:val="003CA0"/>
          <w:sz w:val="12"/>
        </w:rPr>
        <w:t xml:space="preserve"> | ADI 6.160</w:t>
      </w:r>
      <w:r>
        <w:rPr>
          <w:color w:val="003CA0"/>
          <w:sz w:val="12"/>
        </w:rPr>
        <w:t xml:space="preserve"> | rel. Rosa Weber</w:t>
      </w:r>
    </w:p>
    <w:p>
      <w:pPr>
        <w:ind w:left="288"/>
      </w:pPr>
      <w:r>
        <w:rPr>
          <w:color w:val="1E1E1E"/>
          <w:sz w:val="18"/>
        </w:rPr>
        <w:t>Os honorários de sucumbência constituem vantagem de natureza remuneratória por serviços prestados com eficiência no desempenho da função pública. O art. 135 da Constituição Federal, ao estabelecer que a remuneração dos procuradores estaduais se dá mediante subsídio, é compatível com o regramento constitucional referente à Advocacia Pública, uma vez que a Constituição Federal não institui incompatibilidade relevante que justifique vedação ao recebimento de honorários por advogados públicos, à exceção da Magistratura (art. 95, parágrafo único, II, CRFB) e do Ministério Público (art. 128, § 5º, I</w:t>
      </w:r>
    </w:p>
    <w:p>
      <w:pPr>
        <w:ind w:left="288"/>
      </w:pPr>
      <w:r>
        <w:rPr>
          <w:b/>
          <w:color w:val="003CA0"/>
          <w:sz w:val="16"/>
        </w:rPr>
        <w:t>[ADI 6.160, rel. min. Rosa Weber, j. 20-10-2020, P, DJE de 29-10-2020.]</w:t>
      </w:r>
    </w:p>
    <w:p>
      <w:pPr>
        <w:ind w:left="288"/>
      </w:pPr>
      <w:r>
        <w:rPr>
          <w:color w:val="8C8C8C"/>
          <w:sz w:val="12"/>
        </w:rPr>
        <w:t>cf-art-135</w:t>
      </w:r>
      <w:r>
        <w:rPr>
          <w:color w:val="003CA0"/>
          <w:sz w:val="12"/>
        </w:rPr>
        <w:t xml:space="preserve"> | ADI 171-0</w:t>
      </w:r>
      <w:r>
        <w:rPr>
          <w:color w:val="003CA0"/>
          <w:sz w:val="12"/>
        </w:rPr>
        <w:t xml:space="preserve"> | rel. Néri da Silveira</w:t>
      </w:r>
    </w:p>
    <w:p>
      <w:pPr>
        <w:ind w:left="288"/>
      </w:pPr>
      <w:r>
        <w:rPr>
          <w:color w:val="1E1E1E"/>
          <w:sz w:val="18"/>
        </w:rPr>
        <w:t>O STF assentou, no julgamento das ADI 171-0/MG, ADI 138-8/RJ e ADI 456-4/600/PB, que as carreiras jurídicas a que se refere o art. 135 da Constituição são as de procurador de Estado e defensor público. Por força do art. 241 da CF, aos delegados de polícia de carreira aplica-se o princípio do art. 39, § 1º, correspondente às carreiras disciplinadas no art. 135, da Lei Magna federal, ou seja, as carreiras de procurador de Estado e de defensor público. Não é, em consequência, inconstitucional a lei estadual que ordena, precisamente, a aplicação do princípio da isonomia (CF, art. 39, § 1º), em fav</w:t>
      </w:r>
    </w:p>
    <w:p>
      <w:pPr>
        <w:ind w:left="288"/>
      </w:pPr>
      <w:r>
        <w:rPr>
          <w:b/>
          <w:color w:val="003CA0"/>
          <w:sz w:val="16"/>
        </w:rPr>
        <w:t>[ADI 761, rel. min. Néri da Silveira, j. 30-9-1993, P, DJ de 1º-7-1994.]</w:t>
      </w:r>
    </w:p>
    <w:p>
      <w:pPr>
        <w:ind w:left="288"/>
      </w:pPr>
      <w:r>
        <w:rPr>
          <w:color w:val="8C8C8C"/>
          <w:sz w:val="12"/>
        </w:rPr>
        <w:t>cf-art-135</w:t>
      </w:r>
      <w:r>
        <w:rPr>
          <w:color w:val="003CA0"/>
          <w:sz w:val="12"/>
        </w:rPr>
        <w:t xml:space="preserve"> | ADI 171</w:t>
      </w:r>
    </w:p>
    <w:p>
      <w:pPr>
        <w:ind w:left="288"/>
      </w:pPr>
      <w:r>
        <w:rPr>
          <w:color w:val="1E1E1E"/>
          <w:sz w:val="18"/>
        </w:rPr>
        <w:t>Recusa do entendimento de que o sentido do art. 135 da CF não seria o de vincular reciprocamente a remuneração das diferentes carreiras a que alude, mas apenas o de explicitar que a cada uma delas se aplica o art. 39, § 1º: sendo certo que os princípios e regras constitucionais gerais atinentes aos servidores públicos, incluído o da isonomia do art. 39, § 1º, se aplicam, salvo disposição em contrário, às carreiras especiais previstas na própria Constituição, a interpretação proposta, além de reduzir a nada o sentido do art. 135, contraria a significação inequívoca que lhe advém da conjugação c</w:t>
      </w:r>
    </w:p>
    <w:p>
      <w:pPr>
        <w:ind w:left="288"/>
      </w:pPr>
      <w:r>
        <w:rPr>
          <w:b/>
          <w:color w:val="003CA0"/>
          <w:sz w:val="16"/>
        </w:rPr>
        <w:t>[ADI 171, red. do ac. min. Sepúlveda Pertence, j. 15-4-1993, P, DJ de 3-6-1994.]</w:t>
      </w:r>
    </w:p>
    <w:p>
      <w:pPr>
        <w:ind w:left="288"/>
      </w:pPr>
      <w:r>
        <w:rPr>
          <w:color w:val="8C8C8C"/>
          <w:sz w:val="12"/>
        </w:rPr>
        <w:t>cf-art-135</w:t>
      </w:r>
      <w:r>
        <w:rPr>
          <w:color w:val="003CA0"/>
          <w:sz w:val="12"/>
        </w:rPr>
        <w:t xml:space="preserve"> | AI 527.811</w:t>
      </w:r>
      <w:r>
        <w:rPr>
          <w:color w:val="003CA0"/>
          <w:sz w:val="12"/>
        </w:rPr>
        <w:t xml:space="preserve"> | rel. Dias Toffoli</w:t>
      </w:r>
    </w:p>
    <w:p>
      <w:pPr>
        <w:ind w:left="288"/>
      </w:pPr>
      <w:r>
        <w:rPr>
          <w:color w:val="1E1E1E"/>
          <w:sz w:val="18"/>
        </w:rPr>
        <w:t>= AI 527.811 AgR, rel. min. Dias Toffoli, j. 13-3-2012, 1ª T, DJE de 25-4-2012</w:t>
      </w:r>
    </w:p>
    <w:p>
      <w:pPr>
        <w:ind w:left="144"/>
      </w:pPr>
      <w:r>
        <w:rPr>
          <w:b/>
          <w:color w:val="B45A00"/>
          <w:sz w:val="16"/>
        </w:rPr>
        <w:t>JULGADOS CORRELATOS</w:t>
      </w:r>
    </w:p>
    <w:p>
      <w:pPr>
        <w:ind w:left="288"/>
      </w:pPr>
      <w:r>
        <w:rPr>
          <w:color w:val="8C8C8C"/>
          <w:sz w:val="12"/>
        </w:rPr>
        <w:t>cf-art-135</w:t>
      </w:r>
      <w:r>
        <w:rPr>
          <w:color w:val="003CA0"/>
          <w:sz w:val="12"/>
        </w:rPr>
        <w:t xml:space="preserve"> | AI 180.652</w:t>
      </w:r>
      <w:r>
        <w:rPr>
          <w:color w:val="003CA0"/>
          <w:sz w:val="12"/>
        </w:rPr>
        <w:t xml:space="preserve"> | rel. Marco Aurélio</w:t>
      </w:r>
    </w:p>
    <w:p>
      <w:pPr>
        <w:ind w:left="288"/>
      </w:pPr>
      <w:r>
        <w:rPr>
          <w:color w:val="1E1E1E"/>
          <w:sz w:val="18"/>
        </w:rPr>
        <w:t>Por força do art. 135 da CF, tem-se como reconhecida a semelhança indispensável à isonomia entre as carreiras jurídicas. Exsurge harmônica com a Carta Política da República lei complementar estadual mediante a qual implementou-se a isonomia, consideradas as carreiras de delegado de polícia e de procurador do Estado.</w:t>
      </w:r>
    </w:p>
    <w:p>
      <w:pPr>
        <w:ind w:left="288"/>
      </w:pPr>
      <w:r>
        <w:rPr>
          <w:b/>
          <w:color w:val="003CA0"/>
          <w:sz w:val="16"/>
        </w:rPr>
        <w:t>[AI 180.652 AgR, rel. min. Marco Aurélio, j. 4-3-1997, 2ª T, DJ de 16-5-1997.]</w:t>
      </w:r>
    </w:p>
    <w:p>
      <w:pPr>
        <w:ind w:left="288"/>
      </w:pPr>
      <w:r>
        <w:rPr>
          <w:color w:val="8C8C8C"/>
          <w:sz w:val="12"/>
        </w:rPr>
        <w:t>cf-art-135</w:t>
      </w:r>
    </w:p>
    <w:p>
      <w:pPr>
        <w:ind w:left="288"/>
      </w:pPr>
      <w:r>
        <w:rPr>
          <w:color w:val="1E1E1E"/>
          <w:sz w:val="18"/>
        </w:rPr>
        <w:t>Seção IV Da Defensoria Pública (Redação da EC 80/2014) SUMÁRIO XVIII - decretar o estado de calamidade pública de âmbito nacional previsto nos arts. 167-B, 167-C, 167-D, 167-E, 167-F e 167-G desta Constituição. (Incluído pela EC n. 109/2021) XXVIII - propor ao Congresso Nacional a decretação do estado de calamidade pública de âmbito nacional previsto nos arts. 167-B, 167-C, 167-D, 167-E, 167-F e 167-G desta Constituição. (Incluído pela EC n. 109/2021)</w:t>
      </w:r>
    </w:p>
    <w:p>
      <w:pPr>
        <w:ind w:left="288"/>
      </w:pPr>
      <w:r>
        <w:rPr>
          <w:color w:val="8C8C8C"/>
          <w:sz w:val="12"/>
        </w:rPr>
        <w:t>cf-art-135-inc-II</w:t>
      </w:r>
    </w:p>
    <w:p>
      <w:pPr>
        <w:ind w:left="288"/>
      </w:pPr>
      <w:r>
        <w:rPr>
          <w:color w:val="1E1E1E"/>
          <w:sz w:val="18"/>
        </w:rPr>
        <w:t>VIII-B - a permuta de magistrados de comarca de igual entrância, quando for o caso, e dentro do mesmo segmento de justiça, inclusive entre os juízes de segundo grau, vinculados a diferentes tribunais, na esfera da justiça estadual, federal ou do trabalho, atenderá, no que couber, ao disposto nas alíneas "a", "b", "c" e "e" do inciso II do caput deste artigo e no art. 94 desta Constituição; (Incluído pela EC n. 130/2023) Parágrafo único. Nos Tribunais de Justiça compostos de mais de 170 (cento e setenta) desembargadores em efetivo exercício, a eleição para os cargos diretivos, de que trata a al</w:t>
      </w:r>
    </w:p>
    <w:p>
      <w:pPr>
        <w:ind w:left="144"/>
      </w:pPr>
      <w:r>
        <w:rPr>
          <w:b/>
          <w:color w:val="B45A00"/>
          <w:sz w:val="16"/>
        </w:rPr>
        <w:t>REPERCUSSAO GERAL</w:t>
      </w:r>
    </w:p>
    <w:p>
      <w:pPr>
        <w:ind w:left="288"/>
      </w:pPr>
      <w:r>
        <w:rPr>
          <w:color w:val="8C8C8C"/>
          <w:sz w:val="12"/>
        </w:rPr>
        <w:t>cf-art-135-par-8</w:t>
      </w:r>
      <w:r>
        <w:rPr>
          <w:color w:val="003CA0"/>
          <w:sz w:val="12"/>
        </w:rPr>
        <w:t xml:space="preserve"> | ARE 1.491.413</w:t>
      </w:r>
      <w:r>
        <w:rPr>
          <w:color w:val="003CA0"/>
          <w:sz w:val="12"/>
        </w:rPr>
        <w:t xml:space="preserve"> | rel. Luís Roberto Barroso</w:t>
      </w:r>
    </w:p>
    <w:p>
      <w:pPr>
        <w:ind w:left="288"/>
      </w:pPr>
      <w:r>
        <w:rPr>
          <w:color w:val="1E1E1E"/>
          <w:sz w:val="18"/>
        </w:rPr>
        <w:t>“1. É vedada a expedição de precatórios complementares ou suplementares de valor pago, salvo nas hipóteses de erro material, inexatidão aritmética ou substituição de índices aplicáveis por força de alteração normativa; 2. A verificação de enquadramento nas hipóteses admitidas de complementação ou suplementação de precatório pressupõe o reexame de matéria fático-probatória”.</w:t>
        <w:br/>
        <w:t>[ARE 1.491.413 RG, rel. min. Luís Roberto Barroso, j. 26.11.2024, P, DJE de 29.11.2024, Tema 1.360, com mérito julgado.] “A execução de créditos individuais e divisíveis decorrentes de título judicial coletivo, promovida po</w:t>
      </w:r>
    </w:p>
    <w:p>
      <w:pPr>
        <w:ind w:left="288"/>
      </w:pPr>
      <w:r>
        <w:rPr>
          <w:b/>
          <w:color w:val="003CA0"/>
          <w:sz w:val="16"/>
        </w:rPr>
        <w:t>[RE 1.491.569 RG, rel. min. Luís Roberto Barroso, j. 23.08.2024, P, DJE de 27.08.2024, Tema 1.317, com mérito julgado.]</w:t>
      </w:r>
    </w:p>
    <w:p>
      <w:pPr>
        <w:ind w:left="288"/>
      </w:pPr>
      <w:r>
        <w:rPr>
          <w:color w:val="8C8C8C"/>
          <w:sz w:val="12"/>
        </w:rPr>
        <w:t>cf-art-135-par-8</w:t>
      </w:r>
      <w:r>
        <w:rPr>
          <w:color w:val="003CA0"/>
          <w:sz w:val="12"/>
        </w:rPr>
        <w:t xml:space="preserve"> | RE 1.309.081</w:t>
      </w:r>
      <w:r>
        <w:rPr>
          <w:color w:val="003CA0"/>
          <w:sz w:val="12"/>
        </w:rPr>
        <w:t xml:space="preserve"> | rel. Luiz Fux</w:t>
      </w:r>
    </w:p>
    <w:p>
      <w:pPr>
        <w:ind w:left="288"/>
      </w:pPr>
      <w:r>
        <w:rPr>
          <w:color w:val="1E1E1E"/>
          <w:sz w:val="18"/>
        </w:rPr>
        <w:t>“Os honorários advocatícios constituem crédito único e indivisível, de modo que o fracionamento da execução de honorários advocatícios sucumbenciais fixados em ação coletiva contra a Fazenda Pública, proporcionalmente às execuções individuais de cada beneficiário, viola o § 8º do artigo 100 da Constituição Federal.”</w:t>
      </w:r>
    </w:p>
    <w:p>
      <w:pPr>
        <w:ind w:left="288"/>
      </w:pPr>
      <w:r>
        <w:rPr>
          <w:b/>
          <w:color w:val="003CA0"/>
          <w:sz w:val="16"/>
        </w:rPr>
        <w:t>[RE 1.309.081 RG, rel. min. Luiz Fux, j. 06.05.2021, P, DJE de 18.06.2021, Tema 1.142, com mérito julgado.]</w:t>
      </w:r>
    </w:p>
    <w:p>
      <w:pPr>
        <w:ind w:left="288"/>
      </w:pPr>
      <w:r>
        <w:rPr>
          <w:color w:val="8C8C8C"/>
          <w:sz w:val="12"/>
        </w:rPr>
        <w:t>cf-art-135-par-8</w:t>
      </w:r>
      <w:r>
        <w:rPr>
          <w:color w:val="003CA0"/>
          <w:sz w:val="12"/>
        </w:rPr>
        <w:t xml:space="preserve"> | RE 1.205.530</w:t>
      </w:r>
      <w:r>
        <w:rPr>
          <w:color w:val="003CA0"/>
          <w:sz w:val="12"/>
        </w:rPr>
        <w:t xml:space="preserve"> | rel. Marco Aurélio</w:t>
      </w:r>
    </w:p>
    <w:p>
      <w:pPr>
        <w:ind w:left="288"/>
      </w:pPr>
      <w:r>
        <w:rPr>
          <w:color w:val="1E1E1E"/>
          <w:sz w:val="18"/>
        </w:rPr>
        <w:t>Surge constitucional expedição de precatório ou requisição de pequeno valor para pagamento da parte incontroversa e autônoma do pronunciamento judicial transitada em julgado, observada a importância total executada para efeitos de dimensionamento como obrigação de pequeno valor.</w:t>
        <w:br/>
        <w:t>[RE 1.205.530, voto do rel. min. Marco Aurélio, j. 8-6-2020, P, DJE de 1º-7-2020, Tema 28, com mérito julgado.] Não viola o art. 100, § 8º, da CF a execução individual de sentença condenatória genérica proferida contra a Fazenda Pública em ação coletiva visando à tutela de direitos individuais homogêneos.</w:t>
      </w:r>
    </w:p>
    <w:p>
      <w:pPr>
        <w:ind w:left="288"/>
      </w:pPr>
      <w:r>
        <w:rPr>
          <w:b/>
          <w:color w:val="003CA0"/>
          <w:sz w:val="16"/>
        </w:rPr>
        <w:t>[ARE 925.754 RG, rel. min. Teori Zavascki, j. 17-12-2015, P, DJE de 3-2-2016, Tema 873, com mérito julgado.]</w:t>
        <w:br/>
        <w:t>Vide RE 568.645, rel. min. Cármen Lúcia, j. 24-9-2014, P, DJE de 13-11-2014, Tema 148, com mérito julgado</w:t>
      </w:r>
    </w:p>
    <w:p>
      <w:pPr>
        <w:ind w:left="288"/>
      </w:pPr>
      <w:r>
        <w:rPr>
          <w:color w:val="8C8C8C"/>
          <w:sz w:val="12"/>
        </w:rPr>
        <w:t>cf-art-135-par-8</w:t>
      </w:r>
      <w:r>
        <w:rPr>
          <w:color w:val="003CA0"/>
          <w:sz w:val="12"/>
        </w:rPr>
        <w:t xml:space="preserve"> | RE 564.132</w:t>
      </w:r>
      <w:r>
        <w:rPr>
          <w:color w:val="003CA0"/>
          <w:sz w:val="12"/>
        </w:rPr>
        <w:t xml:space="preserve"> | rel. Cármen Lúcia</w:t>
      </w:r>
    </w:p>
    <w:p>
      <w:pPr>
        <w:ind w:left="288"/>
      </w:pPr>
      <w:r>
        <w:rPr>
          <w:color w:val="1E1E1E"/>
          <w:sz w:val="18"/>
        </w:rPr>
        <w:t>Alegado fracionamento de execução contra a fazenda pública de Estado-membro. Honorários advocatícios. Verba de natureza alimentar, a qual não se confunde com o débito principal. Ausência de caráter acessório. Titulares diversos. Possibilidade de pagamento autônomo. Requerimento desvinculado da expedição do ofício requisitório principal. Vedação constitucional de repartição de execução para fraudar o pagamento por precatório. Interpretação do art. 100, § 8º (originalmente § 4º), da Constituição da República.</w:t>
        <w:br/>
        <w:t>[RE 564.132, red. do ac. min. Cármen Lúcia, j. 30-10-2014, P, DJE de 10-2-2015, Tema 18</w:t>
      </w:r>
    </w:p>
    <w:p>
      <w:pPr>
        <w:ind w:left="144"/>
      </w:pPr>
      <w:r>
        <w:rPr>
          <w:b/>
          <w:color w:val="B45A00"/>
          <w:sz w:val="16"/>
        </w:rPr>
        <w:t>JULGADOS CORRELATOS</w:t>
      </w:r>
    </w:p>
    <w:p>
      <w:pPr>
        <w:ind w:left="288"/>
      </w:pPr>
      <w:r>
        <w:rPr>
          <w:color w:val="8C8C8C"/>
          <w:sz w:val="12"/>
        </w:rPr>
        <w:t>cf-art-135-par-8</w:t>
      </w:r>
      <w:r>
        <w:rPr>
          <w:color w:val="003CA0"/>
          <w:sz w:val="12"/>
        </w:rPr>
        <w:t xml:space="preserve"> | ARE 1.378.242</w:t>
      </w:r>
      <w:r>
        <w:rPr>
          <w:color w:val="003CA0"/>
          <w:sz w:val="12"/>
        </w:rPr>
        <w:t xml:space="preserve"> | rel. Edson Fachin</w:t>
      </w:r>
    </w:p>
    <w:p>
      <w:pPr>
        <w:ind w:left="288"/>
      </w:pPr>
      <w:r>
        <w:rPr>
          <w:color w:val="1E1E1E"/>
          <w:sz w:val="18"/>
        </w:rPr>
        <w:t>Óbito de pensionista. Pretensão dos herdeiros ao fracionamento do valor da execução, para fins de expedição de RPV. Art. 100, § 8º, da C. Impossibilidade. (...) Inaplicabilidade, ao caso concreto, do mencionado Tema 148 da repercussão geral, uma vez que nestes autos se cuida de crédito único em nome da falecida pensionista.</w:t>
      </w:r>
    </w:p>
    <w:p>
      <w:pPr>
        <w:ind w:left="288"/>
      </w:pPr>
      <w:r>
        <w:rPr>
          <w:b/>
          <w:color w:val="003CA0"/>
          <w:sz w:val="16"/>
        </w:rPr>
        <w:t>[ARE 1.378.242 AgR, rel. min. Edson Fachin, j. 15-8-2023, 2ª T, DJE de 22-8-2023.]</w:t>
      </w:r>
    </w:p>
    <w:p>
      <w:pPr>
        <w:ind w:left="288"/>
      </w:pPr>
      <w:r>
        <w:rPr>
          <w:color w:val="8C8C8C"/>
          <w:sz w:val="12"/>
        </w:rPr>
        <w:t>cf-art-135-par-8</w:t>
      </w:r>
      <w:r>
        <w:rPr>
          <w:color w:val="003CA0"/>
          <w:sz w:val="12"/>
        </w:rPr>
        <w:t xml:space="preserve"> | RE 1.481.203</w:t>
      </w:r>
      <w:r>
        <w:rPr>
          <w:color w:val="003CA0"/>
          <w:sz w:val="12"/>
        </w:rPr>
        <w:t xml:space="preserve"> | rel. Cristiano Zanin</w:t>
      </w:r>
    </w:p>
    <w:p>
      <w:pPr>
        <w:ind w:left="288"/>
      </w:pPr>
      <w:r>
        <w:rPr>
          <w:color w:val="1E1E1E"/>
          <w:sz w:val="18"/>
        </w:rPr>
        <w:t>= RE 1.481.203 AgR, rel. min. Cristiano Zanin, j. 29.04.2024, 1ª T, DJE de 03.05.2024 Nas causas em que a Fazenda Pública for condenada ao pagamento da verba honorária de forma global, é vedado o fracionamento de crédito único, consistente no valor total dos honorários advocatícios devidos, proporcionalmente à fração de cada litisconsorte, sob pena de afronta ao art. 100, § 8º, da Constituição.</w:t>
        <w:br/>
        <w:t xml:space="preserve">[ARE 797.499-AgR-EDv, RE 919.269-ED-EDv, RE 930.251-AgR-ED-EDv e ARE 930.251-AgR-ED-EDv rel. min. Dias Toffoli, j. 7-2-2019, P, DJE de 1º-7-2019.] A Súmula Vinculante 47 do STF não autoriza a expedição </w:t>
      </w:r>
    </w:p>
    <w:p>
      <w:pPr>
        <w:ind w:left="288"/>
      </w:pPr>
      <w:r>
        <w:rPr>
          <w:b/>
          <w:color w:val="003CA0"/>
          <w:sz w:val="16"/>
        </w:rPr>
        <w:t>[RE 678.360, rel. min. Luiz Fux, j. 27.11.2024, P, DJE de 18.12.2024, Tema 558, com mérito julgado.]</w:t>
      </w:r>
    </w:p>
    <w:p>
      <w:pPr>
        <w:ind w:left="288"/>
      </w:pPr>
      <w:r>
        <w:rPr>
          <w:color w:val="8C8C8C"/>
          <w:sz w:val="12"/>
        </w:rPr>
        <w:t>cf-art-135-par-8</w:t>
      </w:r>
    </w:p>
    <w:p>
      <w:pPr>
        <w:ind w:left="288"/>
      </w:pPr>
      <w:r>
        <w:rPr>
          <w:color w:val="1E1E1E"/>
          <w:sz w:val="18"/>
        </w:rPr>
        <w:t>§ 10. Antes da expedição dos precatórios, o Tribunal solicitará à Fazenda Pública devedora, para resposta em até 30 (trinta) dias, sob pena de perda do direito de abatimento, informação sobre os débitos que preencham as condições estabelecidas no § 9º, para os fins nele previstos. (Incluído pela EC 62/2009)</w:t>
      </w:r>
    </w:p>
    <w:p>
      <w:pPr>
        <w:ind w:left="144"/>
      </w:pPr>
      <w:r>
        <w:rPr>
          <w:b/>
          <w:color w:val="B45A00"/>
          <w:sz w:val="16"/>
        </w:rPr>
        <w:t>CONTROLE CONCENTRADO</w:t>
      </w:r>
    </w:p>
    <w:p>
      <w:pPr>
        <w:ind w:left="288"/>
      </w:pPr>
      <w:r>
        <w:rPr>
          <w:color w:val="8C8C8C"/>
          <w:sz w:val="12"/>
        </w:rPr>
        <w:t>cf-art-135-par-8</w:t>
      </w:r>
      <w:r>
        <w:rPr>
          <w:color w:val="003CA0"/>
          <w:sz w:val="12"/>
        </w:rPr>
        <w:t xml:space="preserve"> | ADI 4.425</w:t>
      </w:r>
    </w:p>
    <w:p>
      <w:pPr>
        <w:ind w:left="288"/>
      </w:pPr>
      <w:r>
        <w:rPr>
          <w:color w:val="1E1E1E"/>
          <w:sz w:val="18"/>
        </w:rPr>
        <w:t>O regime de compensação dos débitos da Fazenda Pública inscritos em precatórios, previsto nos §§ 9º e 10 do art. 100 da CF, incluídos pela EC 62/2009, embaraça a efetividade da jurisdição (CF, art. 5º, XXXV), desrespeita a coisa julgada material (CF, art. 5º, XXXVI), vulnera a separação dos Poderes (CF, art. 2º) e ofende a isonomia entre o poder público e o particular (CF, art. 5º, caput), cânone essencial do Estado Democrático de Direito (CF, art. 1º, caput).</w:t>
      </w:r>
    </w:p>
    <w:p>
      <w:pPr>
        <w:ind w:left="288"/>
      </w:pPr>
      <w:r>
        <w:rPr>
          <w:b/>
          <w:color w:val="003CA0"/>
          <w:sz w:val="16"/>
        </w:rPr>
        <w:t>[ADI 4.425, red. do ac. min. Luiz Fux, j. 14-3-2013, P, DJE de 19-12-2013.]</w:t>
      </w:r>
    </w:p>
    <w:p>
      <w:pPr>
        <w:ind w:left="288"/>
      </w:pPr>
      <w:r>
        <w:rPr>
          <w:color w:val="8C8C8C"/>
          <w:sz w:val="12"/>
        </w:rPr>
        <w:t>cf-art-135-par-8</w:t>
      </w:r>
      <w:r>
        <w:rPr>
          <w:color w:val="003CA0"/>
          <w:sz w:val="12"/>
        </w:rPr>
        <w:t xml:space="preserve"> | RE 657.686</w:t>
      </w:r>
      <w:r>
        <w:rPr>
          <w:color w:val="003CA0"/>
          <w:sz w:val="12"/>
        </w:rPr>
        <w:t xml:space="preserve"> | rel. Luiz Fux</w:t>
      </w:r>
    </w:p>
    <w:p>
      <w:pPr>
        <w:ind w:left="288"/>
      </w:pPr>
      <w:r>
        <w:rPr>
          <w:color w:val="1E1E1E"/>
          <w:sz w:val="18"/>
        </w:rPr>
        <w:t>= RE 657.686, rel. min. Luiz Fux, j. 23-10-2014, P, DJE de 5-12-2014, Tema 511 Vide ADI 4.425 QO, rel. min. Luiz Fux, j. 25-3-2015, P, DJE de 4-8-2015 “A compensação dos débitos da Fazenda Pública inscritos em precatórios, prevista nos §§ 9º e 10 do art. 100 da Constituição Federal, incluídos pela EC nº 62/09, viola frontalmente o texto constitucional, pois obsta a efetividade da jurisdição (CRFB/88, art. 5º, XXXV), desrespeita a coisa julgada material (CRFB/88, art. 5º, XXXVI), vulnera a Separação dos Poderes (CRFB/88, art. 2º) e ofende a isonomia entre o Poder Público e o particular (CRFB/88</w:t>
      </w:r>
    </w:p>
    <w:p>
      <w:pPr>
        <w:ind w:left="288"/>
      </w:pPr>
      <w:r>
        <w:rPr>
          <w:b/>
          <w:color w:val="003CA0"/>
          <w:sz w:val="16"/>
        </w:rPr>
        <w:t>[RE 678.360, rel. min. Luiz Fux, j. 27.11.2024, P, DJE de 18.12.2024, Tema 558, com mérito julgado.]</w:t>
      </w:r>
    </w:p>
    <w:p>
      <w:pPr>
        <w:ind w:left="144"/>
      </w:pPr>
      <w:r>
        <w:rPr>
          <w:b/>
          <w:color w:val="B45A00"/>
          <w:sz w:val="16"/>
        </w:rPr>
        <w:t>REPERCUSSAO GERAL</w:t>
      </w:r>
    </w:p>
    <w:p>
      <w:pPr>
        <w:ind w:left="288"/>
      </w:pPr>
      <w:r>
        <w:rPr>
          <w:color w:val="8C8C8C"/>
          <w:sz w:val="12"/>
        </w:rPr>
        <w:t>cf-art-135-par-8</w:t>
      </w:r>
      <w:r>
        <w:rPr>
          <w:color w:val="003CA0"/>
          <w:sz w:val="12"/>
        </w:rPr>
        <w:t xml:space="preserve"> | RE 657.686</w:t>
      </w:r>
      <w:r>
        <w:rPr>
          <w:color w:val="003CA0"/>
          <w:sz w:val="12"/>
        </w:rPr>
        <w:t xml:space="preserve"> | rel. Luiz Fux</w:t>
      </w:r>
    </w:p>
    <w:p>
      <w:pPr>
        <w:ind w:left="288"/>
      </w:pPr>
      <w:r>
        <w:rPr>
          <w:color w:val="1E1E1E"/>
          <w:sz w:val="18"/>
        </w:rPr>
        <w:t>(...) não se revela constitucionalmente possível a compensação unilateral de débitos em proveito exclusivo da Fazenda Pública mesmo que os valores envolvidos estejam sujeitos ao regime de pagamento por RPV.</w:t>
        <w:br/>
        <w:t>[RE 657.686, rel. min. Luiz Fux, j. 23-10-2014, P, DJE de 5-12-2014, Tema 511, com mérito julgado.]</w:t>
        <w:br/>
        <w:t>= ADI 4.425, red. do ac. min. Luiz Fux, j. 14-3-2013, P, DJE de 19-12-2013</w:t>
        <w:br/>
        <w:t>Vide ADI 4.425 QO, rel. min. Luiz Fux, j. 25-3-2015, P, DJE de 4-8-2015 § 11. É facultada ao credor, conforme estabelecido em lei do ente federativo devedor, com auto aplicabilidade para a União, a oferta de créditos l</w:t>
      </w:r>
    </w:p>
    <w:p>
      <w:pPr>
        <w:ind w:left="288"/>
      </w:pPr>
      <w:r>
        <w:rPr>
          <w:color w:val="8C8C8C"/>
          <w:sz w:val="12"/>
        </w:rPr>
        <w:t>cf-art-135-par-8-inc-IV</w:t>
      </w:r>
    </w:p>
    <w:p>
      <w:pPr>
        <w:ind w:left="288"/>
      </w:pPr>
      <w:r>
        <w:rPr>
          <w:color w:val="1E1E1E"/>
          <w:sz w:val="18"/>
        </w:rPr>
        <w:t>V - compra de direitos, disponibilizados para cessão, do respectivo ente federativo, inclusive, no caso da União, da antecipação de valores a serem recebidos a título do excedente em óleo em contratos de partilha de petróleo. (Incluído pela EC n. 113/2021) § 12. A partir da promulgação desta Emenda Constitucional, a atualização de valores de requisitórios, após sua expedição, até o efetivo pagamento, independentemente de sua natureza, será feita pelo índice oficial de remuneração básica da caderneta de poupança, e, para fins de compensação da mora, incidirão juros simples no mesmo percentual d</w:t>
      </w:r>
    </w:p>
    <w:p>
      <w:pPr>
        <w:ind w:left="144"/>
      </w:pPr>
      <w:r>
        <w:rPr>
          <w:b/>
          <w:color w:val="B45A00"/>
          <w:sz w:val="16"/>
        </w:rPr>
        <w:t>CONTROLE CONCENTRADO</w:t>
      </w:r>
    </w:p>
    <w:p>
      <w:pPr>
        <w:ind w:left="288"/>
      </w:pPr>
      <w:r>
        <w:rPr>
          <w:color w:val="8C8C8C"/>
          <w:sz w:val="12"/>
        </w:rPr>
        <w:t>cf-art-135-par-8-inc-IV</w:t>
      </w:r>
      <w:r>
        <w:rPr>
          <w:color w:val="003CA0"/>
          <w:sz w:val="12"/>
        </w:rPr>
        <w:t xml:space="preserve"> | ADI 4.425</w:t>
      </w:r>
      <w:r>
        <w:rPr>
          <w:color w:val="003CA0"/>
          <w:sz w:val="12"/>
        </w:rPr>
        <w:t xml:space="preserve"> | rel. Luiz Fux</w:t>
      </w:r>
    </w:p>
    <w:p>
      <w:pPr>
        <w:ind w:left="288"/>
      </w:pPr>
      <w:r>
        <w:rPr>
          <w:color w:val="1E1E1E"/>
          <w:sz w:val="18"/>
        </w:rPr>
        <w:t>Regime de execução da Fazenda Pública mediante precatório. EC 62/2009. Existência de razões de segurança jurídica que justificam a manutenção temporária do regime especial nos termos em que decidido pelo Plenário do STF. (...) Confere-se eficácia prospectiva à declaração de inconstitucionalidade dos seguintes aspectos da ação direta de inconstitucionalidade, fixando como marco inicial a data de conclusão do julgamento da presente questão de ordem (25-3-2015) e mantendo-se válidos os precatórios expedidos ou pagos até essa data, a saber: (i) fica mantida a aplicação do índice oficial de remuner</w:t>
      </w:r>
    </w:p>
    <w:p>
      <w:pPr>
        <w:ind w:left="288"/>
      </w:pPr>
      <w:r>
        <w:rPr>
          <w:b/>
          <w:color w:val="003CA0"/>
          <w:sz w:val="16"/>
        </w:rPr>
        <w:t>[ADI 4.425 QO, rel. min. Luiz Fux, j. 25-3-2015, P, DJE de 4-8-2015.]</w:t>
      </w:r>
    </w:p>
    <w:p>
      <w:pPr>
        <w:ind w:left="288"/>
      </w:pPr>
      <w:r>
        <w:rPr>
          <w:color w:val="8C8C8C"/>
          <w:sz w:val="12"/>
        </w:rPr>
        <w:t>cf-art-135-par-8-inc-IV</w:t>
      </w:r>
      <w:r>
        <w:rPr>
          <w:color w:val="003CA0"/>
          <w:sz w:val="12"/>
        </w:rPr>
        <w:t xml:space="preserve"> | ADI 4.425</w:t>
      </w:r>
    </w:p>
    <w:p>
      <w:pPr>
        <w:ind w:left="288"/>
      </w:pPr>
      <w:r>
        <w:rPr>
          <w:color w:val="1E1E1E"/>
          <w:sz w:val="18"/>
        </w:rPr>
        <w:t>Vide ADI 4.425, red. do ac. min. Luiz Fux, j. 14-3-2013, P, DJE de 19-12-2013 A atualização monetária dos débitos fazendários inscritos em precatórios segundo o índice oficial de remuneração da caderneta de poupança viola o direito fundamental de propriedade (CF, art. 5º, XXII), na medida em que é manifestamente incapaz de preservar o valor real do crédito de que é titular o cidadão. A inflação, fenômeno tipicamente econômico-monetário, mostra-se insuscetível de captação apriorística (ex ante), de modo que o meio escolhido pelo legislador constituinte (remuneração da caderneta de poupança) é i</w:t>
      </w:r>
    </w:p>
    <w:p>
      <w:pPr>
        <w:ind w:left="288"/>
      </w:pPr>
      <w:r>
        <w:rPr>
          <w:b/>
          <w:color w:val="003CA0"/>
          <w:sz w:val="16"/>
        </w:rPr>
        <w:t>[ADI 4.425, red. do ac. min. Luiz Fux, j. 14-3-2013, P, DJE de 19-12-2013.]</w:t>
      </w:r>
    </w:p>
    <w:p>
      <w:pPr>
        <w:ind w:left="288"/>
      </w:pPr>
      <w:r>
        <w:rPr>
          <w:color w:val="8C8C8C"/>
          <w:sz w:val="12"/>
        </w:rPr>
        <w:t>cf-art-135-par-8-inc-IV</w:t>
      </w:r>
      <w:r>
        <w:rPr>
          <w:color w:val="003CA0"/>
          <w:sz w:val="12"/>
        </w:rPr>
        <w:t xml:space="preserve"> | RE 870.947</w:t>
      </w:r>
      <w:r>
        <w:rPr>
          <w:color w:val="003CA0"/>
          <w:sz w:val="12"/>
        </w:rPr>
        <w:t xml:space="preserve"> | rel. Luiz Fux</w:t>
      </w:r>
    </w:p>
    <w:p>
      <w:pPr>
        <w:ind w:left="288"/>
      </w:pPr>
      <w:r>
        <w:rPr>
          <w:color w:val="1E1E1E"/>
          <w:sz w:val="18"/>
        </w:rPr>
        <w:t>Vide RE 870.947, rel. min. Luiz Fux, j. 20-9-2017, P, DJE de 20-11-2017, Tema 810 Vide ADI 4.425 QO, rel. min. Luiz Fux, j. 25-3-2015, P, DJE de 4-8-2015</w:t>
      </w:r>
    </w:p>
    <w:p>
      <w:pPr>
        <w:ind w:left="144"/>
      </w:pPr>
      <w:r>
        <w:rPr>
          <w:b/>
          <w:color w:val="B45A00"/>
          <w:sz w:val="16"/>
        </w:rPr>
        <w:t>REPERCUSSAO GERAL</w:t>
      </w:r>
    </w:p>
    <w:p>
      <w:pPr>
        <w:ind w:left="288"/>
      </w:pPr>
      <w:r>
        <w:rPr>
          <w:color w:val="8C8C8C"/>
          <w:sz w:val="12"/>
        </w:rPr>
        <w:t>cf-art-135-par-8-inc-IV</w:t>
      </w:r>
      <w:r>
        <w:rPr>
          <w:color w:val="003CA0"/>
          <w:sz w:val="12"/>
        </w:rPr>
        <w:t xml:space="preserve"> | ARE 638.195</w:t>
      </w:r>
      <w:r>
        <w:rPr>
          <w:color w:val="003CA0"/>
          <w:sz w:val="12"/>
        </w:rPr>
        <w:t xml:space="preserve"> | rel. Joaquim Barbosa</w:t>
      </w:r>
    </w:p>
    <w:p>
      <w:pPr>
        <w:ind w:left="288"/>
      </w:pPr>
      <w:r>
        <w:rPr>
          <w:color w:val="1E1E1E"/>
          <w:sz w:val="18"/>
        </w:rPr>
        <w:t>É devida correção monetária no período compreendido entre a data de elaboração do cálculo da RPV e sua expedição para pagamento.</w:t>
      </w:r>
    </w:p>
    <w:p>
      <w:pPr>
        <w:ind w:left="288"/>
      </w:pPr>
      <w:r>
        <w:rPr>
          <w:b/>
          <w:color w:val="003CA0"/>
          <w:sz w:val="16"/>
        </w:rPr>
        <w:t>[ARE 638.195, rel. min. Joaquim Barbosa, j. 29-5-2013, P, DJE de 13-12-2013, Tema 450, com mérito julgado.]</w:t>
        <w:br/>
        <w:t>Vide RE 579.431, rel. min. Marco Aurélio, j. 19-4-2017, P, DJE de 30-6-2017, Tema 96, com mérito julgado</w:t>
      </w:r>
    </w:p>
    <w:p>
      <w:pPr>
        <w:ind w:left="288"/>
      </w:pPr>
      <w:r>
        <w:rPr>
          <w:color w:val="8C8C8C"/>
          <w:sz w:val="12"/>
        </w:rPr>
        <w:t>cf-art-135-par-8-inc-IV</w:t>
      </w:r>
    </w:p>
    <w:p>
      <w:pPr>
        <w:ind w:left="288"/>
      </w:pPr>
      <w:r>
        <w:rPr>
          <w:color w:val="1E1E1E"/>
          <w:sz w:val="18"/>
        </w:rPr>
        <w:t>§ 13. O credor poderá ceder, total ou parcialmente, seus créditos em precatórios a terceiros, independentemente da concordância do devedor, não se aplicando ao cessionário o disposto nos §§ 2º e 3º. (Incluído pela EC 62/2009) § 14. A cessão de precatórios, observado o disposto no § 9º deste artigo, somente produzirá efeitos após comunicação, por meio de petição protocolizada, ao Tribunal de origem e ao ente federativo devedor. (Redação dada pela EC n. 113/2021) § 15. Sem prejuízo do disposto neste artigo, lei complementar a esta Constituição Federal poderá estabelecer regime especial para paga</w:t>
      </w:r>
    </w:p>
    <w:p>
      <w:pPr>
        <w:ind w:left="144"/>
      </w:pPr>
      <w:r>
        <w:rPr>
          <w:b/>
          <w:color w:val="B45A00"/>
          <w:sz w:val="16"/>
        </w:rPr>
        <w:t>CONTROLE CONCENTRADO</w:t>
      </w:r>
    </w:p>
    <w:p>
      <w:pPr>
        <w:ind w:left="288"/>
      </w:pPr>
      <w:r>
        <w:rPr>
          <w:color w:val="8C8C8C"/>
          <w:sz w:val="12"/>
        </w:rPr>
        <w:t>cf-art-135-par-8-inc-IV</w:t>
      </w:r>
      <w:r>
        <w:rPr>
          <w:color w:val="003CA0"/>
          <w:sz w:val="12"/>
        </w:rPr>
        <w:t xml:space="preserve"> | ADI 4.425</w:t>
      </w:r>
      <w:r>
        <w:rPr>
          <w:color w:val="003CA0"/>
          <w:sz w:val="12"/>
        </w:rPr>
        <w:t xml:space="preserve"> | rel. Luiz Fux</w:t>
      </w:r>
    </w:p>
    <w:p>
      <w:pPr>
        <w:ind w:left="288"/>
      </w:pPr>
      <w:r>
        <w:rPr>
          <w:color w:val="1E1E1E"/>
          <w:sz w:val="18"/>
        </w:rPr>
        <w:t>Regime de execução da Fazenda Pública mediante precatório. EC 62/2009. Existência de razões de segurança jurídica que justificam a manutenção temporária do regime especial nos termos em que decidido pelo Plenário do STF. (...) In casu, modulam-se os efeitos das decisões declaratórias de inconstitucionalidade proferidas nas ADIs 4.357 e 4.425 para manter a vigência do regime especial de pagamento de precatórios instituído pela EC 62/2009 por cinco exercícios financeiros a contar de 1º de janeiro de 2016.</w:t>
      </w:r>
    </w:p>
    <w:p>
      <w:pPr>
        <w:ind w:left="288"/>
      </w:pPr>
      <w:r>
        <w:rPr>
          <w:b/>
          <w:color w:val="003CA0"/>
          <w:sz w:val="16"/>
        </w:rPr>
        <w:t>[ADI 4.425 QO, rel. min. Luiz Fux, j. 25-3-2015, P, DJE de 4-8-2015.]</w:t>
      </w:r>
    </w:p>
    <w:p>
      <w:pPr>
        <w:ind w:left="288"/>
      </w:pPr>
      <w:r>
        <w:rPr>
          <w:color w:val="8C8C8C"/>
          <w:sz w:val="12"/>
        </w:rPr>
        <w:t>cf-art-135-par-8-inc-IV</w:t>
      </w:r>
      <w:r>
        <w:rPr>
          <w:color w:val="003CA0"/>
          <w:sz w:val="12"/>
        </w:rPr>
        <w:t xml:space="preserve"> | ADI 4.425</w:t>
      </w:r>
    </w:p>
    <w:p>
      <w:pPr>
        <w:ind w:left="288"/>
      </w:pPr>
      <w:r>
        <w:rPr>
          <w:color w:val="1E1E1E"/>
          <w:sz w:val="18"/>
        </w:rPr>
        <w:t>Vide ADI 4.425, red. do ac. min. Luiz Fux, j. 14-3-2013, P, DJE de 19-12-2013 O regime "especial" de pagamento de precatórios para Estados e Municípios criado pela EC 62/2009, ao veicular nova moratória na quitação dos débitos judiciais da Fazenda Pública e ao impor o contingenciamento de recursos para esse fim, viola a cláusula constitucional do Estado de Direito (CF, art. 1º, caput), o princípio da separação de Poderes (CF, art. 2º), o postulado da isonomia (CF, art. 5º), a garantia do acesso à justiça e a efetividade da tutela jurisdicional (CF, art. 5º, XXXV), o direito adquirido e à coisa</w:t>
      </w:r>
    </w:p>
    <w:p>
      <w:pPr>
        <w:ind w:left="288"/>
      </w:pPr>
      <w:r>
        <w:rPr>
          <w:b/>
          <w:color w:val="003CA0"/>
          <w:sz w:val="16"/>
        </w:rPr>
        <w:t>[ADI 4.425, red. do ac. min. Luiz Fux, j. 14-3-2013, P, DJE de 19-12-2013.]</w:t>
      </w:r>
    </w:p>
    <w:p>
      <w:pPr>
        <w:ind w:left="288"/>
      </w:pPr>
      <w:r>
        <w:rPr>
          <w:color w:val="8C8C8C"/>
          <w:sz w:val="12"/>
        </w:rPr>
        <w:t>cf-art-135-par-8-inc-IV</w:t>
      </w:r>
      <w:r>
        <w:rPr>
          <w:color w:val="003CA0"/>
          <w:sz w:val="12"/>
        </w:rPr>
        <w:t xml:space="preserve"> | ADI 4.425</w:t>
      </w:r>
      <w:r>
        <w:rPr>
          <w:color w:val="003CA0"/>
          <w:sz w:val="12"/>
        </w:rPr>
        <w:t xml:space="preserve"> | rel. Luiz Fux</w:t>
      </w:r>
    </w:p>
    <w:p>
      <w:pPr>
        <w:ind w:left="288"/>
      </w:pPr>
      <w:r>
        <w:rPr>
          <w:color w:val="1E1E1E"/>
          <w:sz w:val="18"/>
        </w:rPr>
        <w:t>Vide ADI 4.425 QO, rel. min. Luiz Fux, j. 25-3-2015, P, DJE de 4-8-2015</w:t>
      </w:r>
    </w:p>
    <w:p>
      <w:pPr>
        <w:ind w:left="144"/>
      </w:pPr>
      <w:r>
        <w:rPr>
          <w:b/>
          <w:color w:val="B45A00"/>
          <w:sz w:val="16"/>
        </w:rPr>
        <w:t>REPERCUSSAO GERAL</w:t>
      </w:r>
    </w:p>
    <w:p>
      <w:pPr>
        <w:ind w:left="288"/>
      </w:pPr>
      <w:r>
        <w:rPr>
          <w:color w:val="8C8C8C"/>
          <w:sz w:val="12"/>
        </w:rPr>
        <w:t>cf-art-135-par-8-inc-IV</w:t>
      </w:r>
      <w:r>
        <w:rPr>
          <w:color w:val="003CA0"/>
          <w:sz w:val="12"/>
        </w:rPr>
        <w:t xml:space="preserve"> | RE 659.172</w:t>
      </w:r>
      <w:r>
        <w:rPr>
          <w:color w:val="003CA0"/>
          <w:sz w:val="12"/>
        </w:rPr>
        <w:t xml:space="preserve"> | rel. Dias Toffoli</w:t>
      </w:r>
    </w:p>
    <w:p>
      <w:pPr>
        <w:ind w:left="288"/>
      </w:pPr>
      <w:r>
        <w:rPr>
          <w:color w:val="1E1E1E"/>
          <w:sz w:val="18"/>
        </w:rPr>
        <w:t>Regime especial de precatórios da EC nº 62/2009. Artigo 97 do ADCT. Inconstitucionalidade reconhecida pelo STF. Questão de ordem. Efeitos prospectivos. Aplicação a precatórios já expedidos na vigência da EC nº 30/2000 (art. 78 do ADCT). (...) “O regime especial de precatórios trazidos pela EC nº 62/09 aplica-se aos precatórios expedidos anteriormente a sua promulgação, observados a declaração de inconstitucionalidade parcial quando do julgamento da ADI nº 4.425 e os efeitos prospectivos do julgado”.</w:t>
        <w:br/>
        <w:t>[RE 659.172, rel. min. Dias Toffoli, j. 25-9-2023, P, DJE de 30-10-2023, Tema 1.224, com mérito</w:t>
      </w:r>
    </w:p>
    <w:p>
      <w:pPr>
        <w:ind w:left="288"/>
      </w:pPr>
      <w:r>
        <w:rPr>
          <w:color w:val="8C8C8C"/>
          <w:sz w:val="12"/>
        </w:rPr>
        <w:t>cf-art-135-par-8-inc-II</w:t>
      </w:r>
    </w:p>
    <w:p>
      <w:pPr>
        <w:ind w:left="288"/>
      </w:pPr>
      <w:r>
        <w:rPr>
          <w:color w:val="1E1E1E"/>
          <w:sz w:val="18"/>
        </w:rPr>
        <w:t>III - na União, nos Estados, no Distrito Federal e nos Municípios, a contribuição dos servidores para custeio de seu sistema de previdência e assistência social e as receitas provenientes da compensação financeira referida no § 9º do art. 201 da Constituição Federal. (Incluído pela EC 94/2016) § 19. Caso o montante total de débitos decorrentes de condenações judiciais em precatórios e obrigações de pequeno valor, em período de 12 (doze) meses, ultrapasse a média do comprometimento percentual da receita corrente líquida nos 5 (cinco) anos imediatamente anteriores, a parcela que exceder esse per</w:t>
      </w:r>
    </w:p>
    <w:p>
      <w:pPr>
        <w:ind w:left="288"/>
      </w:pPr>
      <w:r>
        <w:rPr>
          <w:color w:val="8C8C8C"/>
          <w:sz w:val="12"/>
        </w:rPr>
        <w:t>cf-art-135-par-8-inc-IV</w:t>
      </w:r>
    </w:p>
    <w:p>
      <w:pPr>
        <w:ind w:left="288"/>
      </w:pPr>
      <w:r>
        <w:rPr>
          <w:color w:val="1E1E1E"/>
          <w:sz w:val="18"/>
        </w:rPr>
        <w:t>§ 22. A amortização de que trata o § 21 deste artigo: (Incluído pela EC n. 113/2021)</w:t>
      </w:r>
    </w:p>
    <w:p>
      <w:pPr>
        <w:ind w:left="288"/>
      </w:pPr>
      <w:r>
        <w:rPr>
          <w:color w:val="8C8C8C"/>
          <w:sz w:val="12"/>
        </w:rPr>
        <w:t>cf-art-135-par-8-inc-II</w:t>
      </w:r>
    </w:p>
    <w:p>
      <w:pPr>
        <w:ind w:left="288"/>
      </w:pPr>
      <w:r>
        <w:rPr>
          <w:color w:val="1E1E1E"/>
          <w:sz w:val="18"/>
        </w:rPr>
        <w:t>§ 23. Os pagamentos de precatórios pelos Estados, pelo Distrito Federal e pelos Municípios, relativos às suas administrações diretas e indiretas, estão limitados, observado o disposto nos §§ 24, 25, 26 e 28 deste artigo, a: (Incluído pela EC n. 136/2025) I - 1% (um por cento) da receita corrente líquida apurada no exercício financeiro anterior, para os entes federativos que não possuam estoque e para os entes federativos cujo estoque de precatórios em mora, atualizados monetariamente e acrescidos de juros moratórios, em 1º de janeiro, não superar 15% (quinze por cento) desse valor; (Incluído p</w:t>
      </w:r>
    </w:p>
    <w:p>
      <w:pPr>
        <w:ind w:left="288"/>
      </w:pPr>
      <w:r>
        <w:rPr>
          <w:color w:val="8C8C8C"/>
          <w:sz w:val="12"/>
        </w:rPr>
        <w:t>cf-art-135-par-8-inc-I</w:t>
      </w:r>
    </w:p>
    <w:p>
      <w:pPr>
        <w:ind w:left="288"/>
      </w:pPr>
      <w:r>
        <w:rPr>
          <w:color w:val="1E1E1E"/>
          <w:sz w:val="18"/>
        </w:rPr>
        <w:t>II - o Presidente do Tribunal de Justiça local determinará o sequestro, até o limite do valor devido, das contas municipais, estaduais ou distrital do ente federativo inadimplente para fins de pagamento de precatórios; (Incluído pela EC n. 136/2025) III - o Governador do Estado ou do Distrito Federal ou o Prefeito do Município inadimplente responderá na forma da legislação de responsabilidade fiscal e de improbidade administrativa; (Incluído pela EC n. 136/2025)</w:t>
      </w:r>
    </w:p>
    <w:p>
      <w:pPr>
        <w:ind w:left="288"/>
      </w:pPr>
      <w:r>
        <w:rPr>
          <w:color w:val="8C8C8C"/>
          <w:sz w:val="12"/>
        </w:rPr>
        <w:t>cf-art-135-par-8-inc-IV</w:t>
      </w:r>
    </w:p>
    <w:p>
      <w:pPr>
        <w:ind w:left="288"/>
      </w:pPr>
      <w:r>
        <w:rPr>
          <w:color w:val="1E1E1E"/>
          <w:sz w:val="18"/>
        </w:rPr>
        <w:t>§ 28. Os Estado, o Distrito Federal e os Municípios, mediante dotação orçamentária específica, poderão efetuar pagamentos de precatórios que superem os limites previstos no § 23 deste artigo. (Incluído pela EC n. 136/2025) § 29. É facultado ao credor de precatório dos Estados, do Distrito Federal e dos Municípios que não tenha sido pago em razão do disposto nos §§ 20 ou 23 deste artigo, sem prejuízo dos procedimentos previstos nos §§ 9º e 21 deste artigo, optar pelo recebimento, mediante acordos diretos perante Juízos Auxiliares de Conciliação de Pagamento de Condenações Judiciais contra a Faz</w:t>
      </w:r>
    </w:p>
    <w:p>
      <w:pPr>
        <w:ind w:left="144"/>
      </w:pPr>
      <w:r>
        <w:rPr>
          <w:b/>
          <w:color w:val="B45A00"/>
          <w:sz w:val="16"/>
        </w:rPr>
        <w:t>CONTROLE CONCENTRADO</w:t>
      </w:r>
    </w:p>
    <w:p>
      <w:pPr>
        <w:ind w:left="288"/>
      </w:pPr>
      <w:r>
        <w:rPr>
          <w:color w:val="8C8C8C"/>
          <w:sz w:val="12"/>
        </w:rPr>
        <w:t>cf-art-135-par-3</w:t>
      </w:r>
      <w:r>
        <w:rPr>
          <w:color w:val="003CA0"/>
          <w:sz w:val="12"/>
        </w:rPr>
        <w:t xml:space="preserve"> | ADI 5.296</w:t>
      </w:r>
      <w:r>
        <w:rPr>
          <w:color w:val="003CA0"/>
          <w:sz w:val="12"/>
        </w:rPr>
        <w:t xml:space="preserve"> | rel. Rosa Weber</w:t>
      </w:r>
    </w:p>
    <w:p>
      <w:pPr>
        <w:ind w:left="288"/>
      </w:pPr>
      <w:r>
        <w:rPr>
          <w:color w:val="1E1E1E"/>
          <w:sz w:val="18"/>
        </w:rPr>
        <w:t xml:space="preserve">Art. 134, § 3º, da Constituição da República, incluído pela EC 74/2013. Extensão, às Defensorias Públicas da União e do Distrito Federal, da autonomia funcional e administrativa e da iniciativa de sua proposta orçamentária, já asseguradas às Defensorias Públicas dos Estados pela EC 45/2004. Emenda constitucional resultante de proposta de iniciativa parlamentar. Alegada ofensa ao art. 61, § 1º, II, c, da Constituição da República. Usurpação da reserva de iniciativa do Poder Executivo. Inocorrência. Alegada ofensa aos arts. 2º e 60, § 4º, III, da Constituição da República. Separação de poderes. </w:t>
      </w:r>
    </w:p>
    <w:p>
      <w:pPr>
        <w:ind w:left="288"/>
      </w:pPr>
      <w:r>
        <w:rPr>
          <w:b/>
          <w:color w:val="003CA0"/>
          <w:sz w:val="16"/>
        </w:rPr>
        <w:t>[ADI 5.296 MC, rel. min. Rosa Weber, j. 18-5-2016, P, DJE de 11-11-2016.]</w:t>
      </w:r>
    </w:p>
    <w:p>
      <w:pPr>
        <w:ind w:left="288"/>
      </w:pPr>
      <w:r>
        <w:rPr>
          <w:color w:val="8C8C8C"/>
          <w:sz w:val="12"/>
        </w:rPr>
        <w:t>cf-art-135-par-4</w:t>
      </w:r>
      <w:r>
        <w:rPr>
          <w:color w:val="003CA0"/>
          <w:sz w:val="12"/>
        </w:rPr>
        <w:t xml:space="preserve"> | ADI 7.317</w:t>
      </w:r>
      <w:r>
        <w:rPr>
          <w:color w:val="003CA0"/>
          <w:sz w:val="12"/>
        </w:rPr>
        <w:t xml:space="preserve"> | rel. Cármen Lúcia</w:t>
      </w:r>
    </w:p>
    <w:p>
      <w:pPr>
        <w:ind w:left="288"/>
      </w:pPr>
      <w:r>
        <w:rPr>
          <w:color w:val="1E1E1E"/>
          <w:sz w:val="18"/>
        </w:rPr>
        <w:t>Critérios de desempate na promoção e remoção de Defensor Público estadual por antiguidade. Inobservância dos critérios estabelecidos na Lei Orgânica da Defensoria Pública. Impossibilidade de reconhecimento do tempo de serviço público. Inconstitucionalidade formal: contrariedade à al. d do inc. II do § 1º do art. 61, aos §§ 1º e 4º do art. 134 e ao art. 93 da Constituição da Rrepública.</w:t>
        <w:br/>
        <w:t xml:space="preserve">[ADI 7.317, rel. min. Cármen Lúcia, j. 3-5-2023, P, DJE de 10-5-2023.] TÍTULO V Da Defesa do Estado e Das Instituições Democráticas SUMÁRIO CAPÍTULO I Do Estado de Defesa e do Estado de Sítio SUMÁRIO Seção I Do </w:t>
      </w:r>
    </w:p>
    <w:p>
      <w:pPr>
        <w:pStyle w:val="Heading1"/>
      </w:pPr>
      <w:r>
        <w:rPr>
          <w:color w:val="003366"/>
        </w:rPr>
        <w:t>TÍTULO V</w:t>
      </w:r>
    </w:p>
    <w:p>
      <w:pPr>
        <w:pStyle w:val="Heading2"/>
      </w:pPr>
      <w:r>
        <w:rPr>
          <w:color w:val="003366"/>
        </w:rPr>
        <w:t>CAPÍTULO I - DO ESTADO DE DEFESA E DO ESTADO DE SÍTIO</w:t>
      </w:r>
    </w:p>
    <w:p>
      <w:pPr>
        <w:pStyle w:val="Heading3"/>
      </w:pPr>
      <w:r>
        <w:rPr>
          <w:color w:val="003366"/>
        </w:rPr>
        <w:t>Seção I - DO ESTADO DE DEFESA</w:t>
      </w:r>
    </w:p>
    <w:p>
      <w:r>
        <w:rPr>
          <w:b/>
          <w:color w:val="003366"/>
          <w:sz w:val="20"/>
        </w:rPr>
        <w:t>Art. 136 O Presidente da República pode, ouvidos o Conselho da República e o Con</w:t>
      </w:r>
      <w:r>
        <w:rPr>
          <w:color w:val="8C8C8C"/>
          <w:sz w:val="14"/>
        </w:rPr>
        <w:t xml:space="preserve">  [2 decisoes]</w:t>
      </w:r>
    </w:p>
    <w:p>
      <w:pPr>
        <w:ind w:left="288"/>
      </w:pPr>
      <w:r>
        <w:rPr>
          <w:color w:val="8C8C8C"/>
          <w:sz w:val="12"/>
        </w:rPr>
        <w:t>cf-art-136-par-3</w:t>
      </w:r>
    </w:p>
    <w:p>
      <w:pPr>
        <w:ind w:left="288"/>
      </w:pPr>
      <w:r>
        <w:rPr>
          <w:color w:val="1E1E1E"/>
          <w:sz w:val="18"/>
        </w:rPr>
        <w:t>I - a prisão por crime contra o Estado, determinada pelo executor da medida, será por este comunicada imediatamente ao juiz competente, que a relaxará, se não for legal, facultado ao preso requerer exame de corpo de delito à autoridade policial;</w:t>
      </w:r>
    </w:p>
    <w:p>
      <w:pPr>
        <w:ind w:left="288"/>
      </w:pPr>
      <w:r>
        <w:rPr>
          <w:color w:val="8C8C8C"/>
          <w:sz w:val="12"/>
        </w:rPr>
        <w:t>cf-art-136-par-7</w:t>
      </w:r>
    </w:p>
    <w:p>
      <w:pPr>
        <w:ind w:left="288"/>
      </w:pPr>
      <w:r>
        <w:rPr>
          <w:color w:val="1E1E1E"/>
          <w:sz w:val="18"/>
        </w:rPr>
        <w:t>Seção II Do Estado de Sítio SUMÁRIO</w:t>
      </w:r>
    </w:p>
    <w:p>
      <w:pPr>
        <w:ind w:left="432"/>
      </w:pPr>
      <w:r>
        <w:rPr>
          <w:color w:val="003366"/>
          <w:sz w:val="18"/>
        </w:rPr>
        <w:t>§ 1 O decreto que instituir o estado de defesa determinará o tempo de sua duraçã</w:t>
      </w:r>
    </w:p>
    <w:p>
      <w:pPr>
        <w:ind w:left="720"/>
      </w:pPr>
      <w:r>
        <w:rPr>
          <w:color w:val="003366"/>
          <w:sz w:val="18"/>
        </w:rPr>
        <w:t>I – restrições aos direitos de:</w:t>
      </w:r>
    </w:p>
    <w:p>
      <w:pPr>
        <w:ind w:left="1008"/>
      </w:pPr>
      <w:r>
        <w:rPr>
          <w:color w:val="003366"/>
          <w:sz w:val="18"/>
        </w:rPr>
        <w:t>a) reunião, ainda que exercida no seio das associações;</w:t>
      </w:r>
    </w:p>
    <w:p>
      <w:pPr>
        <w:ind w:left="1008"/>
      </w:pPr>
      <w:r>
        <w:rPr>
          <w:color w:val="003366"/>
          <w:sz w:val="18"/>
        </w:rPr>
        <w:t>b) sigilo de correspondência;</w:t>
      </w:r>
    </w:p>
    <w:p>
      <w:pPr>
        <w:ind w:left="1008"/>
      </w:pPr>
      <w:r>
        <w:rPr>
          <w:color w:val="003366"/>
          <w:sz w:val="18"/>
        </w:rPr>
        <w:t>c) sigilo de comunicação telegráfica e telefônica;</w:t>
      </w:r>
    </w:p>
    <w:p>
      <w:pPr>
        <w:ind w:left="720"/>
      </w:pPr>
      <w:r>
        <w:rPr>
          <w:color w:val="003366"/>
          <w:sz w:val="18"/>
        </w:rPr>
        <w:t>II – ocupação e uso temporário de bens e serviços públicos, na hipótese de calam</w:t>
      </w:r>
    </w:p>
    <w:p>
      <w:pPr>
        <w:ind w:left="432"/>
      </w:pPr>
      <w:r>
        <w:rPr>
          <w:color w:val="003366"/>
          <w:sz w:val="18"/>
        </w:rPr>
        <w:t>§ 2 O tempo de duração do estado de defesa não será superior a trinta dias, pode</w:t>
      </w:r>
    </w:p>
    <w:p>
      <w:pPr>
        <w:ind w:left="432"/>
      </w:pPr>
      <w:r>
        <w:rPr>
          <w:color w:val="003366"/>
          <w:sz w:val="18"/>
        </w:rPr>
        <w:t>§ 3 Na vigência do estado de defesa:</w:t>
      </w:r>
    </w:p>
    <w:p>
      <w:pPr>
        <w:ind w:left="720"/>
      </w:pPr>
      <w:r>
        <w:rPr>
          <w:color w:val="003366"/>
          <w:sz w:val="18"/>
        </w:rPr>
        <w:t>I – a prisão por crime contra o Estado, determinada pelo executor da medida, ser</w:t>
      </w:r>
    </w:p>
    <w:p>
      <w:pPr>
        <w:ind w:left="720"/>
      </w:pPr>
      <w:r>
        <w:rPr>
          <w:color w:val="003366"/>
          <w:sz w:val="18"/>
        </w:rPr>
        <w:t>II – a comunicação será acompanhada de declaração, pela autoridade, do estado fí</w:t>
      </w:r>
    </w:p>
    <w:p>
      <w:pPr>
        <w:ind w:left="720"/>
      </w:pPr>
      <w:r>
        <w:rPr>
          <w:color w:val="003366"/>
          <w:sz w:val="18"/>
        </w:rPr>
        <w:t>III – a prisão ou detenção de qualquer pessoa não poderá ser superior a dez dias</w:t>
      </w:r>
    </w:p>
    <w:p>
      <w:pPr>
        <w:ind w:left="720"/>
      </w:pPr>
      <w:r>
        <w:rPr>
          <w:color w:val="003366"/>
          <w:sz w:val="18"/>
        </w:rPr>
        <w:t>IV – é vedada a incomunicabilidade do preso.</w:t>
      </w:r>
    </w:p>
    <w:p>
      <w:pPr>
        <w:ind w:left="432"/>
      </w:pPr>
      <w:r>
        <w:rPr>
          <w:color w:val="003366"/>
          <w:sz w:val="18"/>
        </w:rPr>
        <w:t xml:space="preserve">§ 4 Decretado o estado de defesa ou sua prorrogação, o Presidente da República, </w:t>
      </w:r>
    </w:p>
    <w:p>
      <w:pPr>
        <w:ind w:left="432"/>
      </w:pPr>
      <w:r>
        <w:rPr>
          <w:color w:val="003366"/>
          <w:sz w:val="18"/>
        </w:rPr>
        <w:t>§ 5 Se o Congresso Nacional estiver em recesso, será convocado, extraordinariame</w:t>
      </w:r>
    </w:p>
    <w:p>
      <w:pPr>
        <w:ind w:left="432"/>
      </w:pPr>
      <w:r>
        <w:rPr>
          <w:color w:val="003366"/>
          <w:sz w:val="18"/>
        </w:rPr>
        <w:t xml:space="preserve">§ 6 O Congresso Nacional apreciará o decreto dentro de dez dias contados de seu </w:t>
      </w:r>
    </w:p>
    <w:p>
      <w:pPr>
        <w:ind w:left="432"/>
      </w:pPr>
      <w:r>
        <w:rPr>
          <w:color w:val="003366"/>
          <w:sz w:val="18"/>
        </w:rPr>
        <w:t>§ 7 Rejeitado o decreto, cessa imediatamente o estado de defesa.</w:t>
      </w:r>
    </w:p>
    <w:p>
      <w:pPr>
        <w:pStyle w:val="Heading3"/>
      </w:pPr>
      <w:r>
        <w:rPr>
          <w:color w:val="003366"/>
        </w:rPr>
        <w:t>Seção II - DO ESTADO DE SÍTIO</w:t>
      </w:r>
    </w:p>
    <w:p>
      <w:r>
        <w:rPr>
          <w:b/>
          <w:color w:val="003366"/>
          <w:sz w:val="20"/>
        </w:rPr>
        <w:t>Art. 137 O Presidente da República pode, ouvidos o Conselho da República e o Con</w:t>
      </w:r>
    </w:p>
    <w:p>
      <w:pPr>
        <w:ind w:left="720"/>
      </w:pPr>
      <w:r>
        <w:rPr>
          <w:color w:val="003366"/>
          <w:sz w:val="18"/>
        </w:rPr>
        <w:t>I – comoção grave de repercussão nacional ou ocorrência de fatos que comprovem a</w:t>
      </w:r>
    </w:p>
    <w:p>
      <w:pPr>
        <w:ind w:left="720"/>
      </w:pPr>
      <w:r>
        <w:rPr>
          <w:color w:val="003366"/>
          <w:sz w:val="18"/>
        </w:rPr>
        <w:t>II – declaração de estado de guerra ou resposta a agressão armada estrangeira.</w:t>
      </w:r>
    </w:p>
    <w:p>
      <w:r>
        <w:rPr>
          <w:b/>
          <w:color w:val="003366"/>
          <w:sz w:val="20"/>
        </w:rPr>
        <w:t>Art. 138 O decreto do estado de sítio indicará sua duração, as normas necessária</w:t>
      </w:r>
    </w:p>
    <w:p>
      <w:pPr>
        <w:ind w:left="432"/>
      </w:pPr>
      <w:r>
        <w:rPr>
          <w:color w:val="003366"/>
          <w:sz w:val="18"/>
        </w:rPr>
        <w:t>§ 1 O estado de sítio, no caso do art. 137, I, não poderá ser decretado por mais</w:t>
      </w:r>
    </w:p>
    <w:p>
      <w:pPr>
        <w:ind w:left="432"/>
      </w:pPr>
      <w:r>
        <w:rPr>
          <w:color w:val="003366"/>
          <w:sz w:val="18"/>
        </w:rPr>
        <w:t>§ 2 Solicitada autorização para decretar o estado de sítio durante o recesso par</w:t>
      </w:r>
    </w:p>
    <w:p>
      <w:pPr>
        <w:ind w:left="432"/>
      </w:pPr>
      <w:r>
        <w:rPr>
          <w:color w:val="003366"/>
          <w:sz w:val="18"/>
        </w:rPr>
        <w:t xml:space="preserve">§ 3 O Congresso Nacional permanecerá em funcionamento até o término das medidas </w:t>
      </w:r>
    </w:p>
    <w:p>
      <w:r>
        <w:rPr>
          <w:b/>
          <w:color w:val="003366"/>
          <w:sz w:val="20"/>
        </w:rPr>
        <w:t>Art. 139 Na vigência do estado de sítio decretado com fundamento no art. 137, I,</w:t>
      </w:r>
      <w:r>
        <w:rPr>
          <w:color w:val="8C8C8C"/>
          <w:sz w:val="14"/>
        </w:rPr>
        <w:t xml:space="preserve">  [1 decisoes]</w:t>
      </w:r>
    </w:p>
    <w:p>
      <w:pPr>
        <w:ind w:left="288"/>
      </w:pPr>
      <w:r>
        <w:rPr>
          <w:color w:val="8C8C8C"/>
          <w:sz w:val="12"/>
        </w:rPr>
        <w:t>cf-art-139-par-unico</w:t>
      </w:r>
    </w:p>
    <w:p>
      <w:pPr>
        <w:ind w:left="288"/>
      </w:pPr>
      <w:r>
        <w:rPr>
          <w:color w:val="1E1E1E"/>
          <w:sz w:val="18"/>
        </w:rPr>
        <w:t>Seção III Disposições Gerais SUMÁRIO</w:t>
      </w:r>
    </w:p>
    <w:p>
      <w:pPr>
        <w:ind w:left="720"/>
      </w:pPr>
      <w:r>
        <w:rPr>
          <w:color w:val="003366"/>
          <w:sz w:val="18"/>
        </w:rPr>
        <w:t>I – obrigação de permanência em localidade determinada;</w:t>
      </w:r>
    </w:p>
    <w:p>
      <w:pPr>
        <w:ind w:left="720"/>
      </w:pPr>
      <w:r>
        <w:rPr>
          <w:color w:val="003366"/>
          <w:sz w:val="18"/>
        </w:rPr>
        <w:t>II – detenção em edifício não destinado a acusados ou condenados por crimes comu</w:t>
      </w:r>
    </w:p>
    <w:p>
      <w:pPr>
        <w:ind w:left="720"/>
      </w:pPr>
      <w:r>
        <w:rPr>
          <w:color w:val="003366"/>
          <w:sz w:val="18"/>
        </w:rPr>
        <w:t>III – restrições relativas à inviolabilidade da correspondência, ao sigilo das c</w:t>
      </w:r>
    </w:p>
    <w:p>
      <w:pPr>
        <w:ind w:left="720"/>
      </w:pPr>
      <w:r>
        <w:rPr>
          <w:color w:val="003366"/>
          <w:sz w:val="18"/>
        </w:rPr>
        <w:t>IV – suspensão da liberdade de reunião;</w:t>
      </w:r>
    </w:p>
    <w:p>
      <w:pPr>
        <w:ind w:left="720"/>
      </w:pPr>
      <w:r>
        <w:rPr>
          <w:color w:val="003366"/>
          <w:sz w:val="18"/>
        </w:rPr>
        <w:t>V – busca e apreensão em domicílio;</w:t>
      </w:r>
    </w:p>
    <w:p>
      <w:pPr>
        <w:ind w:left="720"/>
      </w:pPr>
      <w:r>
        <w:rPr>
          <w:color w:val="003366"/>
          <w:sz w:val="18"/>
        </w:rPr>
        <w:t>VI – intervenção nas empresas de serviços públicos;</w:t>
      </w:r>
    </w:p>
    <w:p>
      <w:pPr>
        <w:ind w:left="720"/>
      </w:pPr>
      <w:r>
        <w:rPr>
          <w:color w:val="003366"/>
          <w:sz w:val="18"/>
        </w:rPr>
        <w:t>VII – requisição de bens.</w:t>
      </w:r>
    </w:p>
    <w:p>
      <w:pPr>
        <w:pStyle w:val="Heading3"/>
      </w:pPr>
      <w:r>
        <w:rPr>
          <w:color w:val="003366"/>
        </w:rPr>
        <w:t>Seção III - DISPOSIÇÕES GERAIS</w:t>
      </w:r>
    </w:p>
    <w:p>
      <w:r>
        <w:rPr>
          <w:b/>
          <w:color w:val="003366"/>
          <w:sz w:val="20"/>
        </w:rPr>
        <w:t>Art. 140 A Mesa do Congresso Nacional, ouvidos os líderes partidários, designará</w:t>
      </w:r>
    </w:p>
    <w:p>
      <w:r>
        <w:rPr>
          <w:b/>
          <w:color w:val="003366"/>
          <w:sz w:val="20"/>
        </w:rPr>
        <w:t>Art. 141 Cessado o estado de defesa ou o estado de sítio, cessarão também seus e</w:t>
      </w:r>
      <w:r>
        <w:rPr>
          <w:color w:val="8C8C8C"/>
          <w:sz w:val="14"/>
        </w:rPr>
        <w:t xml:space="preserve">  [1 decisoes]</w:t>
      </w:r>
    </w:p>
    <w:p>
      <w:pPr>
        <w:ind w:left="288"/>
      </w:pPr>
      <w:r>
        <w:rPr>
          <w:color w:val="8C8C8C"/>
          <w:sz w:val="12"/>
        </w:rPr>
        <w:t>cf-art-141</w:t>
      </w:r>
    </w:p>
    <w:p>
      <w:pPr>
        <w:ind w:left="288"/>
      </w:pPr>
      <w:r>
        <w:rPr>
          <w:color w:val="1E1E1E"/>
          <w:sz w:val="18"/>
        </w:rPr>
        <w:t>Parágrafo único. Logo que cesse o estado de defesa ou o estado de sítio, as medidas aplicadas em sua vigência serão relatadas pelo Presidente da República, em mensagem ao Congresso Nacional, com especificação e justificação das providências adotadas, com relação nominal dos atingidos e indicação das restrições aplicadas. CAPÍTULO II Das Forças Armadas SUMÁRIO</w:t>
      </w:r>
    </w:p>
    <w:p>
      <w:pPr>
        <w:pStyle w:val="Heading2"/>
      </w:pPr>
      <w:r>
        <w:rPr>
          <w:color w:val="003366"/>
        </w:rPr>
        <w:t>CAPÍTULO II - DAS FORÇAS ARMADAS</w:t>
      </w:r>
    </w:p>
    <w:p>
      <w:r>
        <w:rPr>
          <w:b/>
          <w:color w:val="003366"/>
          <w:sz w:val="20"/>
        </w:rPr>
        <w:t>Art. 142 As Forças Armadas, constituídas pela Marinha, pelo Exército e pela Aero</w:t>
      </w:r>
      <w:r>
        <w:rPr>
          <w:color w:val="8C8C8C"/>
          <w:sz w:val="14"/>
        </w:rPr>
        <w:t xml:space="preserve">  [38 decisoes]</w:t>
      </w:r>
    </w:p>
    <w:p>
      <w:pPr>
        <w:ind w:left="144"/>
      </w:pPr>
      <w:r>
        <w:rPr>
          <w:b/>
          <w:color w:val="B45A00"/>
          <w:sz w:val="16"/>
        </w:rPr>
        <w:t>CONTROLE CONCENTRADO</w:t>
      </w:r>
    </w:p>
    <w:p>
      <w:pPr>
        <w:ind w:left="288"/>
      </w:pPr>
      <w:r>
        <w:rPr>
          <w:color w:val="8C8C8C"/>
          <w:sz w:val="12"/>
        </w:rPr>
        <w:t>cf-art-142</w:t>
      </w:r>
      <w:r>
        <w:rPr>
          <w:color w:val="003CA0"/>
          <w:sz w:val="12"/>
        </w:rPr>
        <w:t xml:space="preserve"> | ADI 6.457</w:t>
      </w:r>
      <w:r>
        <w:rPr>
          <w:color w:val="003CA0"/>
          <w:sz w:val="12"/>
        </w:rPr>
        <w:t xml:space="preserve"> | rel. Luiz Fux</w:t>
      </w:r>
    </w:p>
    <w:p>
      <w:pPr>
        <w:ind w:left="288"/>
      </w:pPr>
      <w:r>
        <w:rPr>
          <w:color w:val="1E1E1E"/>
          <w:sz w:val="18"/>
        </w:rPr>
        <w:t>A missão institucional das Forças Armadas na defesa da Pátria, na garantia dos poderes constitucionais e na garantia da lei e da ordem é incompatível com o exercício de poder moderador entre os poderes Executivo, Legislativo e Judiciário. A chefia das Forças Armadas é poder limitado, excluindo-se de seu âmbito qualquer interpretação que permita sua utilização para indevidas intromissões no independente funcionamento dos outros Poderes, relacionando-se a autoridade sobre as Forças Armadas às competências materiais atribuídas pela Constituição ao Presidente da República. A prerrogativa do Presid</w:t>
      </w:r>
    </w:p>
    <w:p>
      <w:pPr>
        <w:ind w:left="288"/>
      </w:pPr>
      <w:r>
        <w:rPr>
          <w:b/>
          <w:color w:val="003CA0"/>
          <w:sz w:val="16"/>
        </w:rPr>
        <w:t>[RE 1.447.945 RG, rel. min. Alexandre de Moraes, j. 09.08.2024, P, DJE de 27.08.2024, Tema 1.310, com mérito pendente.]</w:t>
      </w:r>
    </w:p>
    <w:p>
      <w:pPr>
        <w:ind w:left="144"/>
      </w:pPr>
      <w:r>
        <w:rPr>
          <w:b/>
          <w:color w:val="B45A00"/>
          <w:sz w:val="16"/>
        </w:rPr>
        <w:t>JULGADOS CORRELATOS</w:t>
      </w:r>
    </w:p>
    <w:p>
      <w:pPr>
        <w:ind w:left="288"/>
      </w:pPr>
      <w:r>
        <w:rPr>
          <w:color w:val="8C8C8C"/>
          <w:sz w:val="12"/>
        </w:rPr>
        <w:t>cf-art-142</w:t>
      </w:r>
      <w:r>
        <w:rPr>
          <w:color w:val="003CA0"/>
          <w:sz w:val="12"/>
        </w:rPr>
        <w:t xml:space="preserve"> | HC 104.174</w:t>
      </w:r>
      <w:r>
        <w:rPr>
          <w:color w:val="003CA0"/>
          <w:sz w:val="12"/>
        </w:rPr>
        <w:t xml:space="preserve"> | rel. Ayres Britto</w:t>
      </w:r>
    </w:p>
    <w:p>
      <w:pPr>
        <w:ind w:left="288"/>
      </w:pPr>
      <w:r>
        <w:rPr>
          <w:color w:val="1E1E1E"/>
          <w:sz w:val="18"/>
        </w:rPr>
        <w:t>Os militares, indivíduos que são, não foram excluídos da garantia constitucional da individualização da pena. Digo isso porque, de ordinário, a CF de 1988, quando quis tratar por modo diferenciado os servidores militares, o fez explicitamente. Por ilustração, é o que se contém no inciso LXI do art. 5º do Magno Texto, a saber: "ninguém será preso senão em flagrante delito ou por ordem escrita e fundamentada de autoridade judiciária competente, salvo nos casos de transgressão militar ou crime propriamente militar, definidos em lei". Nova amostragem está no preceito de que "não caberá habeas corp</w:t>
      </w:r>
    </w:p>
    <w:p>
      <w:pPr>
        <w:ind w:left="288"/>
      </w:pPr>
      <w:r>
        <w:rPr>
          <w:b/>
          <w:color w:val="003CA0"/>
          <w:sz w:val="16"/>
        </w:rPr>
        <w:t>[HC 104.174, rel. min. Ayres Britto, j. 29-3-2011, 2ª T, DJE de 18-5-2011.]</w:t>
      </w:r>
    </w:p>
    <w:p>
      <w:pPr>
        <w:ind w:left="288"/>
      </w:pPr>
      <w:r>
        <w:rPr>
          <w:color w:val="8C8C8C"/>
          <w:sz w:val="12"/>
        </w:rPr>
        <w:t>cf-art-142</w:t>
      </w:r>
      <w:r>
        <w:rPr>
          <w:color w:val="003CA0"/>
          <w:sz w:val="12"/>
        </w:rPr>
        <w:t xml:space="preserve"> | HC 86.216</w:t>
      </w:r>
      <w:r>
        <w:rPr>
          <w:color w:val="003CA0"/>
          <w:sz w:val="12"/>
        </w:rPr>
        <w:t xml:space="preserve"> | rel. Ayres Britto</w:t>
      </w:r>
    </w:p>
    <w:p>
      <w:pPr>
        <w:ind w:left="288"/>
      </w:pPr>
      <w:r>
        <w:rPr>
          <w:color w:val="1E1E1E"/>
          <w:sz w:val="18"/>
        </w:rPr>
        <w:t>O cometimento do delito militar por agente civil em tempo de paz se dá em caráter excepcional. Tal cometimento se traduz em ofensa àqueles bens jurídicos tipicamente associados à função de natureza militar: defesa da Pátria, garantia dos poderes constitucionais, da lei e da ordem (art. 142 da CF). No caso, a despeito de as vítimas estarem em serviço no momento da colisão dos veículos, nada há na denúncia que revele a vontade do paciente de se voltar contra as Forças Armadas, tampouco a de impedir a continuidade de eventual operação militar ou atividade genuinamente castrense.</w:t>
      </w:r>
    </w:p>
    <w:p>
      <w:pPr>
        <w:ind w:left="288"/>
      </w:pPr>
      <w:r>
        <w:rPr>
          <w:b/>
          <w:color w:val="003CA0"/>
          <w:sz w:val="16"/>
        </w:rPr>
        <w:t>[HC 86.216, rel. min. Ayres Britto, j. 19-2-2008, 1ª T, DJE de 24-10-2008.]</w:t>
        <w:br/>
        <w:t>= HC 106.171, rel. min. Celso de Mello, j. 1º-3-2011, 2ª T, DJE de 14-4-2011</w:t>
      </w:r>
    </w:p>
    <w:p>
      <w:pPr>
        <w:ind w:left="144"/>
      </w:pPr>
      <w:r>
        <w:rPr>
          <w:b/>
          <w:color w:val="B45A00"/>
          <w:sz w:val="16"/>
        </w:rPr>
        <w:t>CONTROLE CONCENTRADO</w:t>
      </w:r>
    </w:p>
    <w:p>
      <w:pPr>
        <w:ind w:left="288"/>
      </w:pPr>
      <w:r>
        <w:rPr>
          <w:color w:val="8C8C8C"/>
          <w:sz w:val="12"/>
        </w:rPr>
        <w:t>cf-art-142-par-1</w:t>
      </w:r>
      <w:r>
        <w:rPr>
          <w:color w:val="003CA0"/>
          <w:sz w:val="12"/>
        </w:rPr>
        <w:t xml:space="preserve"> | ADI 7.092</w:t>
      </w:r>
      <w:r>
        <w:rPr>
          <w:color w:val="003CA0"/>
          <w:sz w:val="12"/>
        </w:rPr>
        <w:t xml:space="preserve"> | rel. Edson Fachin</w:t>
      </w:r>
    </w:p>
    <w:p>
      <w:pPr>
        <w:ind w:left="288"/>
      </w:pPr>
      <w:r>
        <w:rPr>
          <w:color w:val="1E1E1E"/>
          <w:sz w:val="18"/>
        </w:rPr>
        <w:t>Norma que dispõe sobre a reforma de militares temporários não está sujeita à reserva de lei complementar. As diferenças entre as carreiras de militares efetivos e temporários não autorizam que o Poder Judiciário estenda a uma os direitos assegurados pela outra. (...) A indenização civil por acidente de trabalho não se confunde com o direito à reforma de militares: o temporário que não for capaz de desempenhar as funções militares, mas apenas as civis, não poderá ser indenizado por prazo superior ao da duração legal do contrato temporário.</w:t>
        <w:br/>
        <w:t>[ADI 7.092, rel. min. Edson Fachin, j. 22-8-2023, P, DJ</w:t>
      </w:r>
    </w:p>
    <w:p>
      <w:pPr>
        <w:ind w:left="288"/>
      </w:pPr>
      <w:r>
        <w:rPr>
          <w:color w:val="8C8C8C"/>
          <w:sz w:val="12"/>
        </w:rPr>
        <w:t>cf-art-142-par-2</w:t>
      </w:r>
      <w:r>
        <w:rPr>
          <w:color w:val="003CA0"/>
          <w:sz w:val="12"/>
        </w:rPr>
        <w:t xml:space="preserve"> | ADI 6.595</w:t>
      </w:r>
      <w:r>
        <w:rPr>
          <w:color w:val="003CA0"/>
          <w:sz w:val="12"/>
        </w:rPr>
        <w:t xml:space="preserve"> | rel. Ricardo Lewandowski</w:t>
      </w:r>
    </w:p>
    <w:p>
      <w:pPr>
        <w:ind w:left="288"/>
      </w:pPr>
      <w:r>
        <w:rPr>
          <w:color w:val="1E1E1E"/>
          <w:sz w:val="18"/>
        </w:rPr>
        <w:t>As polícias militares e os corpos de bombeiros militares constituem forças auxiliares e reserva do Exército, sendo responsáveis, segundo o art. 144 da CF - juntamente com as polícias de natureza civil - pela preservação da ordem pública e da incolumidade das pessoas e do patrimônio, inclusive mediante o uso da força, se necessário. Consideradas as especificidades das respectivas carreiras, os servidores militares submetem-se a regime jurídico diferenciado, cujos valores estruturantes repousam, conforme os arts. 42 e 142, da CF, na hierarquia e disciplina, precisamente para que possam desempenh</w:t>
      </w:r>
    </w:p>
    <w:p>
      <w:pPr>
        <w:ind w:left="288"/>
      </w:pPr>
      <w:r>
        <w:rPr>
          <w:b/>
          <w:color w:val="003CA0"/>
          <w:sz w:val="16"/>
        </w:rPr>
        <w:t>[ADI 6.595, rel. min. Ricardo Lewandowski, j. 23-5-2022, P, DJE de 5-8-2022.]</w:t>
      </w:r>
    </w:p>
    <w:p>
      <w:pPr>
        <w:ind w:left="288"/>
      </w:pPr>
      <w:r>
        <w:rPr>
          <w:color w:val="8C8C8C"/>
          <w:sz w:val="12"/>
        </w:rPr>
        <w:t>cf-art-142-par-2</w:t>
      </w:r>
      <w:r>
        <w:rPr>
          <w:color w:val="003CA0"/>
          <w:sz w:val="12"/>
        </w:rPr>
        <w:t xml:space="preserve"> | ARE 1.547.351</w:t>
      </w:r>
      <w:r>
        <w:rPr>
          <w:color w:val="003CA0"/>
          <w:sz w:val="12"/>
        </w:rPr>
        <w:t xml:space="preserve"> | rel. Alexandre de Moraes</w:t>
      </w:r>
    </w:p>
    <w:p>
      <w:pPr>
        <w:ind w:left="288"/>
      </w:pPr>
      <w:r>
        <w:rPr>
          <w:color w:val="1E1E1E"/>
          <w:sz w:val="18"/>
        </w:rPr>
        <w:t>O art. 142, §2º, da CF/1988 afasta apenas a possibilidade de apreciação judicial do mérito da punição disciplinar (conveniência e oportunidade), não impedindo o controle de sua legalidade formal, à luz dos princípios constitucionais do devido processo legal, do contraditório e da ampla defesa.</w:t>
      </w:r>
    </w:p>
    <w:p>
      <w:pPr>
        <w:ind w:left="288"/>
      </w:pPr>
      <w:r>
        <w:rPr>
          <w:b/>
          <w:color w:val="003CA0"/>
          <w:sz w:val="16"/>
        </w:rPr>
        <w:t>[ARE 1.547.351 AgR, rel. min. Alexandre de Moraes, j. 06.10.2025, 1ª T, DJE de 10.10.2025.]</w:t>
      </w:r>
    </w:p>
    <w:p>
      <w:pPr>
        <w:ind w:left="144"/>
      </w:pPr>
      <w:r>
        <w:rPr>
          <w:b/>
          <w:color w:val="B45A00"/>
          <w:sz w:val="16"/>
        </w:rPr>
        <w:t>JULGADOS CORRELATOS</w:t>
      </w:r>
    </w:p>
    <w:p>
      <w:pPr>
        <w:ind w:left="288"/>
      </w:pPr>
      <w:r>
        <w:rPr>
          <w:color w:val="8C8C8C"/>
          <w:sz w:val="12"/>
        </w:rPr>
        <w:t>cf-art-142-par-2</w:t>
      </w:r>
      <w:r>
        <w:rPr>
          <w:color w:val="003CA0"/>
          <w:sz w:val="12"/>
        </w:rPr>
        <w:t xml:space="preserve"> | HC 70.852</w:t>
      </w:r>
      <w:r>
        <w:rPr>
          <w:color w:val="003CA0"/>
          <w:sz w:val="12"/>
        </w:rPr>
        <w:t xml:space="preserve"> | rel. Marco Aurélio</w:t>
      </w:r>
    </w:p>
    <w:p>
      <w:pPr>
        <w:ind w:left="288"/>
      </w:pPr>
      <w:r>
        <w:rPr>
          <w:color w:val="1E1E1E"/>
          <w:sz w:val="18"/>
        </w:rPr>
        <w:t>Estando em jogo acórdão de tribunal alusivo a procedimento inominado que tenha implicado a declaração de perda de posto e patente e consequente demissão de policial militar, o habeas corpus mostra-se inadequado.</w:t>
      </w:r>
    </w:p>
    <w:p>
      <w:pPr>
        <w:ind w:left="288"/>
      </w:pPr>
      <w:r>
        <w:rPr>
          <w:b/>
          <w:color w:val="003CA0"/>
          <w:sz w:val="16"/>
        </w:rPr>
        <w:t>[HC 70.852, rel. min. Marco Aurélio, j. 14-12-1993, 2ª T, DJ de 6-5-1994.]</w:t>
      </w:r>
    </w:p>
    <w:p>
      <w:pPr>
        <w:ind w:left="288"/>
      </w:pPr>
      <w:r>
        <w:rPr>
          <w:color w:val="8C8C8C"/>
          <w:sz w:val="12"/>
        </w:rPr>
        <w:t>cf-art-142-par-2</w:t>
      </w:r>
      <w:r>
        <w:rPr>
          <w:color w:val="003CA0"/>
          <w:sz w:val="12"/>
        </w:rPr>
        <w:t xml:space="preserve"> | HC 70.648</w:t>
      </w:r>
      <w:r>
        <w:rPr>
          <w:color w:val="003CA0"/>
          <w:sz w:val="12"/>
        </w:rPr>
        <w:t xml:space="preserve"> | rel. Moreira Alves</w:t>
      </w:r>
    </w:p>
    <w:p>
      <w:pPr>
        <w:ind w:left="288"/>
      </w:pPr>
      <w:r>
        <w:rPr>
          <w:color w:val="1E1E1E"/>
          <w:sz w:val="18"/>
        </w:rPr>
        <w:t>O sentido da restrição dele quanto às punições disciplinares militares (art. 142, § 2º, da CF). (...) O entendimento relativo ao § 2º do art. 153 da EC 1/1969, segundo o qual o princípio de que, nas transgressões disciplinares, não cabia habeas corpus não impedia que se examinasse, nele, a ocorrência dos quatro pressupostos de legalidade dessas transgressões (a hierarquia, o poder disciplinar, o ato ligado à função e a pena susceptível de ser aplicada disciplinarmente), continua válido para o disposto no § 2º do art. 142 da atual Constituição, que é apenas mais restritivo quanto ao âmbito dess</w:t>
      </w:r>
    </w:p>
    <w:p>
      <w:pPr>
        <w:ind w:left="288"/>
      </w:pPr>
      <w:r>
        <w:rPr>
          <w:b/>
          <w:color w:val="003CA0"/>
          <w:sz w:val="16"/>
        </w:rPr>
        <w:t>[HC 70.648, rel. min. Moreira Alves, j. 9-11-1993, 1ª T, DJ de 4-3-1994.]</w:t>
      </w:r>
    </w:p>
    <w:p>
      <w:pPr>
        <w:ind w:left="288"/>
      </w:pPr>
      <w:r>
        <w:rPr>
          <w:color w:val="8C8C8C"/>
          <w:sz w:val="12"/>
        </w:rPr>
        <w:t>cf-art-142-par-2</w:t>
      </w:r>
      <w:r>
        <w:rPr>
          <w:color w:val="003CA0"/>
          <w:sz w:val="12"/>
        </w:rPr>
        <w:t xml:space="preserve"> | RHC 88.543</w:t>
      </w:r>
      <w:r>
        <w:rPr>
          <w:color w:val="003CA0"/>
          <w:sz w:val="12"/>
        </w:rPr>
        <w:t xml:space="preserve"> | rel. Ricardo Lewandowski</w:t>
      </w:r>
    </w:p>
    <w:p>
      <w:pPr>
        <w:ind w:left="288"/>
      </w:pPr>
      <w:r>
        <w:rPr>
          <w:color w:val="1E1E1E"/>
          <w:sz w:val="18"/>
        </w:rPr>
        <w:t>= RHC 88.543, rel. min. Ricardo Lewandowski, j. 3-4-2007, 1ª T, DJ de 27-4-2007 = RE 338.840, rel. min. Ellen Gracie, j. 19-8-2003, 2ª T, DJ de 12-9-2003</w:t>
      </w:r>
    </w:p>
    <w:p>
      <w:pPr>
        <w:ind w:left="288"/>
      </w:pPr>
      <w:r>
        <w:rPr>
          <w:color w:val="8C8C8C"/>
          <w:sz w:val="12"/>
        </w:rPr>
        <w:t>cf-art-142-par-3</w:t>
      </w:r>
      <w:r>
        <w:rPr>
          <w:color w:val="003CA0"/>
          <w:sz w:val="12"/>
        </w:rPr>
        <w:t xml:space="preserve"> | RE 1.493.599</w:t>
      </w:r>
      <w:r>
        <w:rPr>
          <w:color w:val="003CA0"/>
          <w:sz w:val="12"/>
        </w:rPr>
        <w:t xml:space="preserve"> | rel. Flávio Dino</w:t>
      </w:r>
    </w:p>
    <w:p>
      <w:pPr>
        <w:ind w:left="288"/>
      </w:pPr>
      <w:r>
        <w:rPr>
          <w:color w:val="1E1E1E"/>
          <w:sz w:val="18"/>
        </w:rPr>
        <w:t xml:space="preserve">I - as patentes, com prerrogativas, direitos e deveres a elas inerentes, são conferidas pelo Presidente da República e asseguradas em plenitude aos oficiais da ativa, da reserva ou reformados, sendo-lhes privativos os títulos e postos militares e, juntamente com os demais membros, o uso dos uniformes das Forças Armadas; (Incluído pela EC 18/1998) A penalidade de perda da função pública abrange aposentadorias em regime estatutário. Ainda mais se cuidando de servidores militares, sobre os quais o art. 142, § 3º, I, da Constituição da República - que por força do art. 42, § 1º, da CF é aplicável </w:t>
      </w:r>
    </w:p>
    <w:p>
      <w:pPr>
        <w:ind w:left="288"/>
      </w:pPr>
      <w:r>
        <w:rPr>
          <w:b/>
          <w:color w:val="003CA0"/>
          <w:sz w:val="16"/>
        </w:rPr>
        <w:t>[RE 1.493.599 AgR, rel. min. Flávio Dino, j. 24.03.2025, 1ª T, DJE de 28.03.2025.]</w:t>
      </w:r>
    </w:p>
    <w:p>
      <w:pPr>
        <w:ind w:left="288"/>
      </w:pPr>
      <w:r>
        <w:rPr>
          <w:color w:val="8C8C8C"/>
          <w:sz w:val="12"/>
        </w:rPr>
        <w:t>cf-art-142-par-3</w:t>
      </w:r>
    </w:p>
    <w:p>
      <w:pPr>
        <w:ind w:left="288"/>
      </w:pPr>
      <w:r>
        <w:rPr>
          <w:color w:val="1E1E1E"/>
          <w:sz w:val="18"/>
        </w:rPr>
        <w:t>II - o militar em atividade que tomar posse em cargo ou emprego público civil permanente, ressalvada a hipótese prevista no art. 37, XVI, alínea c, será transferido para a reserva, nos termos da lei; (Redação da EC 77/2014)</w:t>
      </w:r>
    </w:p>
    <w:p>
      <w:pPr>
        <w:ind w:left="144"/>
      </w:pPr>
      <w:r>
        <w:rPr>
          <w:b/>
          <w:color w:val="B45A00"/>
          <w:sz w:val="16"/>
        </w:rPr>
        <w:t>CONTROLE CONCENTRADO</w:t>
      </w:r>
    </w:p>
    <w:p>
      <w:pPr>
        <w:ind w:left="288"/>
      </w:pPr>
      <w:r>
        <w:rPr>
          <w:color w:val="8C8C8C"/>
          <w:sz w:val="12"/>
        </w:rPr>
        <w:t>cf-art-142-par-3</w:t>
      </w:r>
      <w:r>
        <w:rPr>
          <w:color w:val="003CA0"/>
          <w:sz w:val="12"/>
        </w:rPr>
        <w:t xml:space="preserve"> | ADI 1.626</w:t>
      </w:r>
      <w:r>
        <w:rPr>
          <w:color w:val="003CA0"/>
          <w:sz w:val="12"/>
        </w:rPr>
        <w:t xml:space="preserve"> | rel. Dias Toffoli</w:t>
      </w:r>
    </w:p>
    <w:p>
      <w:pPr>
        <w:ind w:left="288"/>
      </w:pPr>
      <w:r>
        <w:rPr>
          <w:color w:val="1E1E1E"/>
          <w:sz w:val="18"/>
        </w:rPr>
        <w:t>Ação direta de inconstitucionalidade. Parte final do art. 117 da Lei 6.880/1980 (Estatuto dos Militares da União), na redação dada pela Lei 9.297/1996. Dever do oficial militar com menos de cinco anos de corporação de indenizar os custos decorrentes de sua formação, no caso de assunção de cargo ou emprego civil. (...) Ação que se julga improcedente. O desembolso pelo erário de custos adicionais, destinados à preparação e à manutenção de seus servidores, em especial dos militares, com a finalidade de aprimoramento do Corpo das Forças Armadas, não pode ser negligenciado, em razão da própria conf</w:t>
      </w:r>
    </w:p>
    <w:p>
      <w:pPr>
        <w:ind w:left="144"/>
      </w:pPr>
      <w:r>
        <w:rPr>
          <w:b/>
          <w:color w:val="B45A00"/>
          <w:sz w:val="16"/>
        </w:rPr>
        <w:t>JULGADOS CORRELATOS</w:t>
      </w:r>
    </w:p>
    <w:p>
      <w:pPr>
        <w:ind w:left="288"/>
      </w:pPr>
      <w:r>
        <w:rPr>
          <w:color w:val="8C8C8C"/>
          <w:sz w:val="12"/>
        </w:rPr>
        <w:t>cf-art-142-par-3</w:t>
      </w:r>
      <w:r>
        <w:rPr>
          <w:color w:val="003CA0"/>
          <w:sz w:val="12"/>
        </w:rPr>
        <w:t xml:space="preserve"> | AI 453.424</w:t>
      </w:r>
      <w:r>
        <w:rPr>
          <w:color w:val="003CA0"/>
          <w:sz w:val="12"/>
        </w:rPr>
        <w:t xml:space="preserve"> | rel. Ellen Gracie</w:t>
      </w:r>
    </w:p>
    <w:p>
      <w:pPr>
        <w:ind w:left="288"/>
      </w:pPr>
      <w:r>
        <w:rPr>
          <w:color w:val="1E1E1E"/>
          <w:sz w:val="18"/>
        </w:rPr>
        <w:t>A jurisprudência consolidada desta Corte já assentou que a transferência para a reserva remunerada de militar aprovado em concurso público subordina-se à autorização do presidente da República ou à do respectivo ministro.</w:t>
      </w:r>
    </w:p>
    <w:p>
      <w:pPr>
        <w:ind w:left="288"/>
      </w:pPr>
      <w:r>
        <w:rPr>
          <w:b/>
          <w:color w:val="003CA0"/>
          <w:sz w:val="16"/>
        </w:rPr>
        <w:t>[AI 453.424 AgR, rel. min. Ellen Gracie, j. 29-11-2005, 2ª T, DJ de 10-2-2006.]</w:t>
      </w:r>
    </w:p>
    <w:p>
      <w:pPr>
        <w:ind w:left="288"/>
      </w:pPr>
      <w:r>
        <w:rPr>
          <w:color w:val="8C8C8C"/>
          <w:sz w:val="12"/>
        </w:rPr>
        <w:t>cf-art-142-par-3</w:t>
      </w:r>
      <w:r>
        <w:rPr>
          <w:color w:val="003CA0"/>
          <w:sz w:val="12"/>
        </w:rPr>
        <w:t xml:space="preserve"> | RE 601.148</w:t>
      </w:r>
      <w:r>
        <w:rPr>
          <w:color w:val="003CA0"/>
          <w:sz w:val="12"/>
        </w:rPr>
        <w:t xml:space="preserve"> | rel. Eros Grau</w:t>
      </w:r>
    </w:p>
    <w:p>
      <w:pPr>
        <w:ind w:left="288"/>
      </w:pPr>
      <w:r>
        <w:rPr>
          <w:color w:val="1E1E1E"/>
          <w:sz w:val="18"/>
        </w:rPr>
        <w:t>= RE 601.148 AgR, rel. min. Eros Grau, j. 29-9-2009, 2ª T, DJE de 23-10-2009 Cabe exclusivamente ao presidente da República, dentro do princípio da discricionariedade que a lei lhe outorga para avaliar e decidir segundo seus próprios critérios de conveniência e oportunidade, autorizar ou não a nomeação ou admissão de oficial militar para cargo ou emprego público. A autorização do presidente da República é requisito essencial à passagem de oficial das Forças Armadas para a reserva remunerada.</w:t>
      </w:r>
    </w:p>
    <w:p>
      <w:pPr>
        <w:ind w:left="288"/>
      </w:pPr>
      <w:r>
        <w:rPr>
          <w:b/>
          <w:color w:val="003CA0"/>
          <w:sz w:val="16"/>
        </w:rPr>
        <w:t>[MS 22.431, rel. min. Maurício Corrêa, j. 2-10-1996, P, DJ de 22-11-1996.]</w:t>
      </w:r>
    </w:p>
    <w:p>
      <w:pPr>
        <w:ind w:left="288"/>
      </w:pPr>
      <w:r>
        <w:rPr>
          <w:color w:val="8C8C8C"/>
          <w:sz w:val="12"/>
        </w:rPr>
        <w:t>cf-art-142-par-3</w:t>
      </w:r>
      <w:r>
        <w:rPr>
          <w:color w:val="003CA0"/>
          <w:sz w:val="12"/>
        </w:rPr>
        <w:t xml:space="preserve"> | MS 22.530</w:t>
      </w:r>
      <w:r>
        <w:rPr>
          <w:color w:val="003CA0"/>
          <w:sz w:val="12"/>
        </w:rPr>
        <w:t xml:space="preserve"> | rel. Sydney Sanches</w:t>
      </w:r>
    </w:p>
    <w:p>
      <w:pPr>
        <w:ind w:left="288"/>
      </w:pPr>
      <w:r>
        <w:rPr>
          <w:color w:val="1E1E1E"/>
          <w:sz w:val="18"/>
        </w:rPr>
        <w:t>= MS 22.530, rel. min. Sydney Sanches, j. 18-2-1998, P, DJ de 4-5-2001 III - o militar da ativa que, de acordo com a lei, tomar posse em cargo, emprego ou função pública civil temporária, não eletiva, ainda que da administração indireta, ressalvada a hipótese prevista no art. 37, XVI, alínea c, ficará agregado ao respectivo quadro e somente poderá, enquanto permanecer nessa situação, ser promovido por antiguidade, contando-se-lhe o tempo de serviço apenas para aquela promoção e transferência para a reserva, sendo depois de dois anos de afastamento, contínuos ou não, transferido para a reserva,</w:t>
      </w:r>
    </w:p>
    <w:p>
      <w:pPr>
        <w:ind w:left="288"/>
      </w:pPr>
      <w:r>
        <w:rPr>
          <w:color w:val="8C8C8C"/>
          <w:sz w:val="12"/>
        </w:rPr>
        <w:t>cf-art-142-par-3</w:t>
      </w:r>
      <w:r>
        <w:rPr>
          <w:color w:val="003CA0"/>
          <w:sz w:val="12"/>
        </w:rPr>
        <w:t xml:space="preserve"> | RMS 30.941</w:t>
      </w:r>
      <w:r>
        <w:rPr>
          <w:color w:val="003CA0"/>
          <w:sz w:val="12"/>
        </w:rPr>
        <w:t xml:space="preserve"> | rel. Luiz Fux</w:t>
      </w:r>
    </w:p>
    <w:p>
      <w:pPr>
        <w:ind w:left="288"/>
      </w:pPr>
      <w:r>
        <w:rPr>
          <w:color w:val="1E1E1E"/>
          <w:sz w:val="18"/>
        </w:rPr>
        <w:t>Ato do comandante da aeronáutica. Não incluso na agravante no quadro de acesso por merecimento para ser promovida ao posto de tenente-coronel. Aplicação das regras gerais para as promoções no corpo feminino da aeronáutica. Necessidade de observância do critério de merecimento para promoção ao último posto. A regulamentação específica, na forma estabelecida nos arts. 20 da Lei 6.924/1981 e 29 e 30 do Decreto 86.325/1981, preceitua que, para as promoções do Corpo Feminino da Aeronáutica, devem ser observadas as mesmas condições estabelecidas para as promoções dos oficiais da ativa, que foram dis</w:t>
      </w:r>
    </w:p>
    <w:p>
      <w:pPr>
        <w:ind w:left="288"/>
      </w:pPr>
      <w:r>
        <w:rPr>
          <w:b/>
          <w:color w:val="003CA0"/>
          <w:sz w:val="16"/>
        </w:rPr>
        <w:t>[RMS 30.941 AgR, rel. min. Luiz Fux, j. 24-11-2015, 1ª T, DJE de 10-2-2016.]</w:t>
      </w:r>
    </w:p>
    <w:p>
      <w:pPr>
        <w:ind w:left="288"/>
      </w:pPr>
      <w:r>
        <w:rPr>
          <w:color w:val="8C8C8C"/>
          <w:sz w:val="12"/>
        </w:rPr>
        <w:t>cf-art-142-par-3-inc-IV</w:t>
      </w:r>
      <w:r>
        <w:rPr>
          <w:color w:val="003CA0"/>
          <w:sz w:val="12"/>
        </w:rPr>
        <w:t xml:space="preserve"> | RCL 6.568</w:t>
      </w:r>
      <w:r>
        <w:rPr>
          <w:color w:val="003CA0"/>
          <w:sz w:val="12"/>
        </w:rPr>
        <w:t xml:space="preserve"> | rel. Eros Grau</w:t>
      </w:r>
    </w:p>
    <w:p>
      <w:pPr>
        <w:ind w:left="288"/>
      </w:pPr>
      <w:r>
        <w:rPr>
          <w:color w:val="1E1E1E"/>
          <w:sz w:val="18"/>
        </w:rPr>
        <w:t>Os servidores públicos são, seguramente, titulares do direito de greve. Essa é a regra. Ocorre, contudo, que entre os serviços públicos há alguns que a coesão social impõe sejam prestados plenamente, em sua totalidade. Atividades das quais dependam a manutenção da ordem pública e a segurança pública, a administração da Justiça – onde as carreiras de Estado, cujos membros exercem atividades indelegáveis, inclusive as de exação tributária – e a saúde pública não estão inseridos no elenco dos servidores alcançados por esse direito. Serviços públicos desenvolvidos por grupos armados: as atividades</w:t>
      </w:r>
    </w:p>
    <w:p>
      <w:pPr>
        <w:ind w:left="288"/>
      </w:pPr>
      <w:r>
        <w:rPr>
          <w:b/>
          <w:color w:val="003CA0"/>
          <w:sz w:val="16"/>
        </w:rPr>
        <w:t>[Rcl 6.568, rel. min. Eros Grau, j. 21-5-2009, P, DJE de 25-9-2009.]</w:t>
      </w:r>
    </w:p>
    <w:p>
      <w:pPr>
        <w:ind w:left="288"/>
      </w:pPr>
      <w:r>
        <w:rPr>
          <w:color w:val="8C8C8C"/>
          <w:sz w:val="12"/>
        </w:rPr>
        <w:t>cf-art-142-par-3-inc-IV</w:t>
      </w:r>
      <w:r>
        <w:rPr>
          <w:color w:val="003CA0"/>
          <w:sz w:val="12"/>
        </w:rPr>
        <w:t xml:space="preserve"> | RCL 11.246</w:t>
      </w:r>
      <w:r>
        <w:rPr>
          <w:color w:val="003CA0"/>
          <w:sz w:val="12"/>
        </w:rPr>
        <w:t xml:space="preserve"> | rel. Dias Toffoli</w:t>
      </w:r>
    </w:p>
    <w:p>
      <w:pPr>
        <w:ind w:left="288"/>
      </w:pPr>
      <w:r>
        <w:rPr>
          <w:color w:val="1E1E1E"/>
          <w:sz w:val="18"/>
        </w:rPr>
        <w:t>= Rcl 11.246 AgR, rel. min. Dias Toffoli, j. 27-2-2014, P, DJE de 2-4-2014</w:t>
      </w:r>
    </w:p>
    <w:p>
      <w:pPr>
        <w:ind w:left="288"/>
      </w:pPr>
      <w:r>
        <w:rPr>
          <w:color w:val="8C8C8C"/>
          <w:sz w:val="12"/>
        </w:rPr>
        <w:t>cf-art-142-par-3-inc-V</w:t>
      </w:r>
      <w:r>
        <w:rPr>
          <w:color w:val="003CA0"/>
          <w:sz w:val="12"/>
        </w:rPr>
        <w:t xml:space="preserve"> | AI 135.452</w:t>
      </w:r>
      <w:r>
        <w:rPr>
          <w:color w:val="003CA0"/>
          <w:sz w:val="12"/>
        </w:rPr>
        <w:t xml:space="preserve"> | rel. Carlos Velloso</w:t>
      </w:r>
    </w:p>
    <w:p>
      <w:pPr>
        <w:ind w:left="288"/>
      </w:pPr>
      <w:r>
        <w:rPr>
          <w:color w:val="1E1E1E"/>
          <w:sz w:val="18"/>
        </w:rPr>
        <w:t>Se o militar da ativa é alistável, é ele elegível (CF, art. 14, § 8º). Porque não pode ele filiar-se a partido político (...), a filiação partidária não lhe é exigível como condição de elegibilidade, certo que somente a partir do registro da candidatura é que será agregado (CF, art. 14, § 8º, II; Código Eleitoral, art. 5º, parágrafo único; Lei 6.880, de 1980, art. 82, XIV, § 4º).</w:t>
      </w:r>
    </w:p>
    <w:p>
      <w:pPr>
        <w:ind w:left="288"/>
      </w:pPr>
      <w:r>
        <w:rPr>
          <w:b/>
          <w:color w:val="003CA0"/>
          <w:sz w:val="16"/>
        </w:rPr>
        <w:t>[AI 135.452, rel. min. Carlos Velloso, j. 20-9-1990, P, DJ de 14-6-1991.]</w:t>
      </w:r>
    </w:p>
    <w:p>
      <w:pPr>
        <w:ind w:left="288"/>
      </w:pPr>
      <w:r>
        <w:rPr>
          <w:color w:val="8C8C8C"/>
          <w:sz w:val="12"/>
        </w:rPr>
        <w:t>cf-art-142-par-3-inc-V</w:t>
      </w:r>
    </w:p>
    <w:p>
      <w:pPr>
        <w:ind w:left="288"/>
      </w:pPr>
      <w:r>
        <w:rPr>
          <w:color w:val="1E1E1E"/>
          <w:sz w:val="18"/>
        </w:rPr>
        <w:t>VI - o oficial só perderá o posto e a patente se for julgado indigno do oficialato ou com ele incompatível, por decisão de tribunal militar de caráter permanente, em tempo de paz, ou de tribunal especial, em tempo de guerra; (Incluído pela EC 18/1998)</w:t>
      </w:r>
    </w:p>
    <w:p>
      <w:pPr>
        <w:ind w:left="288"/>
      </w:pPr>
      <w:r>
        <w:rPr>
          <w:color w:val="8C8C8C"/>
          <w:sz w:val="12"/>
        </w:rPr>
        <w:t>cf-art-142-par-3-inc-V</w:t>
      </w:r>
      <w:r>
        <w:rPr>
          <w:color w:val="003CA0"/>
          <w:sz w:val="12"/>
        </w:rPr>
        <w:t xml:space="preserve"> | RE 186.116</w:t>
      </w:r>
      <w:r>
        <w:rPr>
          <w:color w:val="003CA0"/>
          <w:sz w:val="12"/>
        </w:rPr>
        <w:t xml:space="preserve"> | rel. Moreira Alves</w:t>
      </w:r>
    </w:p>
    <w:p>
      <w:pPr>
        <w:ind w:left="288"/>
      </w:pPr>
      <w:r>
        <w:rPr>
          <w:color w:val="1E1E1E"/>
          <w:sz w:val="18"/>
        </w:rPr>
        <w:t>Também os oficiais das polícias militares só perdem o posto e a patente se forem julgados indignos do oficialato ou com ele incompatíveis por decisão do tribunal competente em tempo de paz. Esse processo não tem natureza de procedimento "parajurisdicional", mas sim natureza de processo judicial, caracterizando, assim, causa que pode dar margem à interposição de recurso extraordinário.</w:t>
      </w:r>
    </w:p>
    <w:p>
      <w:pPr>
        <w:ind w:left="288"/>
      </w:pPr>
      <w:r>
        <w:rPr>
          <w:b/>
          <w:color w:val="003CA0"/>
          <w:sz w:val="16"/>
        </w:rPr>
        <w:t>[RE 186.116, rel. min. Moreira Alves, j. 25-8-1998, 1ª T, DJ de 3-9-1999.]</w:t>
      </w:r>
    </w:p>
    <w:p>
      <w:pPr>
        <w:ind w:left="288"/>
      </w:pPr>
      <w:r>
        <w:rPr>
          <w:color w:val="8C8C8C"/>
          <w:sz w:val="12"/>
        </w:rPr>
        <w:t>cf-art-142-par-3-inc-V</w:t>
      </w:r>
    </w:p>
    <w:p>
      <w:pPr>
        <w:ind w:left="288"/>
      </w:pPr>
      <w:r>
        <w:rPr>
          <w:color w:val="1E1E1E"/>
          <w:sz w:val="18"/>
        </w:rPr>
        <w:t>VII - o oficial condenado na justiça comum ou militar a pena privativa de liberdade superior a dois anos, por sentença transitada em julgado, será submetido ao julgamento previsto no inciso anterior; (Incluído pela EC 18/1998)</w:t>
      </w:r>
    </w:p>
    <w:p>
      <w:pPr>
        <w:ind w:left="288"/>
      </w:pPr>
      <w:r>
        <w:rPr>
          <w:color w:val="8C8C8C"/>
          <w:sz w:val="12"/>
        </w:rPr>
        <w:t>cf-art-142-par-3-inc-V</w:t>
      </w:r>
      <w:r>
        <w:rPr>
          <w:color w:val="003CA0"/>
          <w:sz w:val="12"/>
        </w:rPr>
        <w:t xml:space="preserve"> | RE 358.961</w:t>
      </w:r>
      <w:r>
        <w:rPr>
          <w:color w:val="003CA0"/>
          <w:sz w:val="12"/>
        </w:rPr>
        <w:t xml:space="preserve"> | rel. Sepúlveda Pertence</w:t>
      </w:r>
    </w:p>
    <w:p>
      <w:pPr>
        <w:ind w:left="288"/>
      </w:pPr>
      <w:r>
        <w:rPr>
          <w:color w:val="1E1E1E"/>
          <w:sz w:val="18"/>
        </w:rPr>
        <w:t>A EC 18/1998, ao cuidar exclusivamente da perda do posto e da patente do oficial (CF, art. 142, VII), não revogou o art. 125, § 4º, do texto constitucional originário, regra especial nela atinente à situação das praças.</w:t>
      </w:r>
    </w:p>
    <w:p>
      <w:pPr>
        <w:ind w:left="288"/>
      </w:pPr>
      <w:r>
        <w:rPr>
          <w:b/>
          <w:color w:val="003CA0"/>
          <w:sz w:val="16"/>
        </w:rPr>
        <w:t>[RE 358.961, rel. min. Sepúlveda Pertence, j. 10-2-2004, 1ª T, DJ de 12-3-2004.]</w:t>
      </w:r>
    </w:p>
    <w:p>
      <w:pPr>
        <w:ind w:left="288"/>
      </w:pPr>
      <w:r>
        <w:rPr>
          <w:color w:val="8C8C8C"/>
          <w:sz w:val="12"/>
        </w:rPr>
        <w:t>cf-art-142-par-3-inc-V</w:t>
      </w:r>
    </w:p>
    <w:p>
      <w:pPr>
        <w:ind w:left="288"/>
      </w:pPr>
      <w:r>
        <w:rPr>
          <w:color w:val="1E1E1E"/>
          <w:sz w:val="18"/>
        </w:rPr>
        <w:t>VIII - aplica-se aos militares o disposto no art. 7º, incisos VIII, XII, XVII, XVIII, XIX e XXV, e no art. 37, incisos XI, XIII, XIV e XV, bem como, na forma da lei e com prevalência da atividade militar, no art. 37, XVI, c; (Redação da EC 77/2014)</w:t>
      </w:r>
    </w:p>
    <w:p>
      <w:pPr>
        <w:ind w:left="144"/>
      </w:pPr>
      <w:r>
        <w:rPr>
          <w:b/>
          <w:color w:val="B45A00"/>
          <w:sz w:val="16"/>
        </w:rPr>
        <w:t>SUMULA VINCULANTE</w:t>
      </w:r>
    </w:p>
    <w:p>
      <w:pPr>
        <w:ind w:left="288"/>
      </w:pPr>
      <w:r>
        <w:rPr>
          <w:color w:val="8C8C8C"/>
          <w:sz w:val="12"/>
        </w:rPr>
        <w:t>cf-art-142-par-3-inc-V</w:t>
      </w:r>
    </w:p>
    <w:p>
      <w:pPr>
        <w:ind w:left="288"/>
      </w:pPr>
      <w:r>
        <w:rPr>
          <w:color w:val="1E1E1E"/>
          <w:sz w:val="18"/>
        </w:rPr>
        <w:t>Não viola a Constituição o estabelecimento de remuneração inferior ao salário mínimo para as praças prestadoras de serviço militar inicial.</w:t>
      </w:r>
    </w:p>
    <w:p>
      <w:pPr>
        <w:ind w:left="288"/>
      </w:pPr>
      <w:r>
        <w:rPr>
          <w:b/>
          <w:color w:val="003CA0"/>
          <w:sz w:val="16"/>
        </w:rPr>
        <w:t>[Súmula Vinculante 6.]</w:t>
      </w:r>
    </w:p>
    <w:p>
      <w:pPr>
        <w:ind w:left="144"/>
      </w:pPr>
      <w:r>
        <w:rPr>
          <w:b/>
          <w:color w:val="B45A00"/>
          <w:sz w:val="16"/>
        </w:rPr>
        <w:t>REPERCUSSAO GERAL</w:t>
      </w:r>
    </w:p>
    <w:p>
      <w:pPr>
        <w:ind w:left="288"/>
      </w:pPr>
      <w:r>
        <w:rPr>
          <w:color w:val="8C8C8C"/>
          <w:sz w:val="12"/>
        </w:rPr>
        <w:t>cf-art-142-par-3-inc-V</w:t>
      </w:r>
      <w:r>
        <w:rPr>
          <w:color w:val="003CA0"/>
          <w:sz w:val="12"/>
        </w:rPr>
        <w:t xml:space="preserve"> | RE 570.177</w:t>
      </w:r>
      <w:r>
        <w:rPr>
          <w:color w:val="003CA0"/>
          <w:sz w:val="12"/>
        </w:rPr>
        <w:t xml:space="preserve"> | rel. Ricardo Lewandowski</w:t>
      </w:r>
    </w:p>
    <w:p>
      <w:pPr>
        <w:ind w:left="288"/>
      </w:pPr>
      <w:r>
        <w:rPr>
          <w:color w:val="1E1E1E"/>
          <w:sz w:val="18"/>
        </w:rPr>
        <w:t>(...) A CF não estendeu aos militares a garantia de remuneração não inferior ao salário mínimo, como o fez para outras categorias de trabalhadores.</w:t>
        <w:br/>
        <w:t>[RE 570.177, rel. min. Ricardo Lewandowski, j. 30-4-2008, P, DJE de 27-6-2008, Tema 15, com mérito julgado.]</w:t>
      </w:r>
    </w:p>
    <w:p>
      <w:pPr>
        <w:ind w:left="144"/>
      </w:pPr>
      <w:r>
        <w:rPr>
          <w:b/>
          <w:color w:val="B45A00"/>
          <w:sz w:val="16"/>
        </w:rPr>
        <w:t>JULGADOS CORRELATOS</w:t>
      </w:r>
    </w:p>
    <w:p>
      <w:pPr>
        <w:ind w:left="288"/>
      </w:pPr>
      <w:r>
        <w:rPr>
          <w:color w:val="8C8C8C"/>
          <w:sz w:val="12"/>
        </w:rPr>
        <w:t>cf-art-142-par-3-inc-V</w:t>
      </w:r>
      <w:r>
        <w:rPr>
          <w:color w:val="003CA0"/>
          <w:sz w:val="12"/>
        </w:rPr>
        <w:t xml:space="preserve"> | RE 523.572</w:t>
      </w:r>
      <w:r>
        <w:rPr>
          <w:color w:val="003CA0"/>
          <w:sz w:val="12"/>
        </w:rPr>
        <w:t xml:space="preserve"> | rel. Ellen Gracie</w:t>
      </w:r>
    </w:p>
    <w:p>
      <w:pPr>
        <w:ind w:left="288"/>
      </w:pPr>
      <w:r>
        <w:rPr>
          <w:color w:val="1E1E1E"/>
          <w:sz w:val="18"/>
        </w:rPr>
        <w:t>A estabilidade provisória advinda de licença-maternidade decorre de proteção constitucional às trabalhadoras em geral. O direito amparado pelo art. 7º, XVIII, da CF, nos termos do art. 142, VIII, da CF/1988, alcança as militares.</w:t>
      </w:r>
    </w:p>
    <w:p>
      <w:pPr>
        <w:ind w:left="288"/>
      </w:pPr>
      <w:r>
        <w:rPr>
          <w:b/>
          <w:color w:val="003CA0"/>
          <w:sz w:val="16"/>
        </w:rPr>
        <w:t>[RE 523.572 AgR, rel. min. Ellen Gracie, j. 6-10-2009, 2ª T, DJE de 29-10-2009.]</w:t>
      </w:r>
    </w:p>
    <w:p>
      <w:pPr>
        <w:ind w:left="288"/>
      </w:pPr>
      <w:r>
        <w:rPr>
          <w:color w:val="8C8C8C"/>
          <w:sz w:val="12"/>
        </w:rPr>
        <w:t>cf-art-142-par-3-inc-V</w:t>
      </w:r>
      <w:r>
        <w:rPr>
          <w:color w:val="003CA0"/>
          <w:sz w:val="12"/>
        </w:rPr>
        <w:t xml:space="preserve"> | AI 811.376</w:t>
      </w:r>
      <w:r>
        <w:rPr>
          <w:color w:val="003CA0"/>
          <w:sz w:val="12"/>
        </w:rPr>
        <w:t xml:space="preserve"> | rel. Gilmar Mendes</w:t>
      </w:r>
    </w:p>
    <w:p>
      <w:pPr>
        <w:ind w:left="288"/>
      </w:pPr>
      <w:r>
        <w:rPr>
          <w:color w:val="1E1E1E"/>
          <w:sz w:val="18"/>
        </w:rPr>
        <w:t>= AI 811.376 AgR, rel. min. Gilmar Mendes, j. 1º-3-2011, 2ª T, DJE de 23-3-2011</w:t>
      </w:r>
    </w:p>
    <w:p>
      <w:pPr>
        <w:ind w:left="288"/>
      </w:pPr>
      <w:r>
        <w:rPr>
          <w:color w:val="8C8C8C"/>
          <w:sz w:val="12"/>
        </w:rPr>
        <w:t>cf-art-142-par-3-inc-IX</w:t>
      </w:r>
    </w:p>
    <w:p>
      <w:pPr>
        <w:ind w:left="288"/>
      </w:pPr>
      <w:r>
        <w:rPr>
          <w:color w:val="1E1E1E"/>
          <w:sz w:val="18"/>
        </w:rPr>
        <w:t>X - a lei disporá sobre o ingresso nas Forças Armadas, os limites de idade, a estabilidade e outras condições de transferência do militar para a inatividade, os direitos, os deveres, a remuneração, as prerrogativas e outras situações especiais dos militares, consideradas as peculiaridades de suas atividades, inclusive aquelas cumpridas por força de compromissos internacionais e de guerra. (Incluído pela EC 18/1998)</w:t>
      </w:r>
    </w:p>
    <w:p>
      <w:pPr>
        <w:ind w:left="144"/>
      </w:pPr>
      <w:r>
        <w:rPr>
          <w:b/>
          <w:color w:val="B45A00"/>
          <w:sz w:val="16"/>
        </w:rPr>
        <w:t>SUMULA VINCULANTE</w:t>
      </w:r>
    </w:p>
    <w:p>
      <w:pPr>
        <w:ind w:left="288"/>
      </w:pPr>
      <w:r>
        <w:rPr>
          <w:color w:val="8C8C8C"/>
          <w:sz w:val="12"/>
        </w:rPr>
        <w:t>cf-art-142-par-3-inc-IX</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144"/>
      </w:pPr>
      <w:r>
        <w:rPr>
          <w:b/>
          <w:color w:val="B45A00"/>
          <w:sz w:val="16"/>
        </w:rPr>
        <w:t>CONTROLE CONCENTRADO</w:t>
      </w:r>
    </w:p>
    <w:p>
      <w:pPr>
        <w:ind w:left="288"/>
      </w:pPr>
      <w:r>
        <w:rPr>
          <w:color w:val="8C8C8C"/>
          <w:sz w:val="12"/>
        </w:rPr>
        <w:t>cf-art-142-par-3-inc-IX</w:t>
      </w:r>
      <w:r>
        <w:rPr>
          <w:color w:val="003CA0"/>
          <w:sz w:val="12"/>
        </w:rPr>
        <w:t xml:space="preserve"> | ADI 5.783</w:t>
      </w:r>
      <w:r>
        <w:rPr>
          <w:color w:val="003CA0"/>
          <w:sz w:val="12"/>
        </w:rPr>
        <w:t xml:space="preserve"> | rel. Luiz Fux</w:t>
      </w:r>
    </w:p>
    <w:p>
      <w:pPr>
        <w:ind w:left="288"/>
      </w:pPr>
      <w:r>
        <w:rPr>
          <w:color w:val="1E1E1E"/>
          <w:sz w:val="18"/>
        </w:rPr>
        <w:t>Alegação de violação ao disposto no artigo 42, § 1º, que exige lei específica para tratar do regime de previdência do servidor militar, nos termos do art. 142, § 3º, inciso X, da Constituição Federal. Inocorrência. A inclusão em um mesmo diploma normativo de regra geral, comum a servidores civis e militares, não ofende a exigência constitucional de lei específica para tratar da inatividade dos militares.</w:t>
        <w:br/>
        <w:t>[ADI 5.783, rel. min. Luiz Fux, red. do ac. min. Gilmar Mendes, j. 12-9-2023, P, DJE de 14-11-2023.] Remuneração dos militares não é matéria reservada a lei complementar, e portanto deve ser r</w:t>
      </w:r>
    </w:p>
    <w:p>
      <w:pPr>
        <w:ind w:left="288"/>
      </w:pPr>
      <w:r>
        <w:rPr>
          <w:b/>
          <w:color w:val="003CA0"/>
          <w:sz w:val="16"/>
        </w:rPr>
        <w:t>[RE 1.371.053 RG, rel. min. Luiz Fux, j. 18.10.2024, P, DJE de 24.10.2024, Tema 1.343, com mérito pendente.]</w:t>
      </w:r>
    </w:p>
    <w:p>
      <w:pPr>
        <w:ind w:left="144"/>
      </w:pPr>
      <w:r>
        <w:rPr>
          <w:b/>
          <w:color w:val="B45A00"/>
          <w:sz w:val="16"/>
        </w:rPr>
        <w:t>REPERCUSSAO GERAL</w:t>
      </w:r>
    </w:p>
    <w:p>
      <w:pPr>
        <w:ind w:left="288"/>
      </w:pPr>
      <w:r>
        <w:rPr>
          <w:color w:val="8C8C8C"/>
          <w:sz w:val="12"/>
        </w:rPr>
        <w:t>cf-art-142-par-3-inc-IX</w:t>
      </w:r>
      <w:r>
        <w:rPr>
          <w:color w:val="003CA0"/>
          <w:sz w:val="12"/>
        </w:rPr>
        <w:t xml:space="preserve"> | RE 600.885</w:t>
      </w:r>
      <w:r>
        <w:rPr>
          <w:color w:val="003CA0"/>
          <w:sz w:val="12"/>
        </w:rPr>
        <w:t xml:space="preserve"> | rel. Cármen Lúcia</w:t>
      </w:r>
    </w:p>
    <w:p>
      <w:pPr>
        <w:ind w:left="288"/>
      </w:pPr>
      <w:r>
        <w:rPr>
          <w:color w:val="1E1E1E"/>
          <w:sz w:val="18"/>
        </w:rPr>
        <w:t>Embargos de declaração acolhidos para deixar expresso que a modulação da declaração de não recepção da expressão "nos regulamentos da Marinha, do Exército e da Aeronáutica" do art. 10 da Lei 6.880/1980 não alcança os candidatos com ações ajuizadas nas quais se discute o mesmo objeto deste recurso extraordinário. Prorrogação da modulação dos efeitos da declaração de não recepção até 31-12-2012.</w:t>
        <w:br/>
        <w:t>[RE 600.885 ED, rel. min. Cármen Lúcia, j. 29-6-2012, P, DJE de 12-12-2012, Tema 121, com mérito julgado.]</w:t>
        <w:br/>
        <w:t xml:space="preserve">Vide RE 600.885, rel. min. Cármen Lúcia, j. 9-2-2011, P, DJE de 1º-7-2011, Tema 121, com mérito </w:t>
      </w:r>
    </w:p>
    <w:p>
      <w:pPr>
        <w:ind w:left="144"/>
      </w:pPr>
      <w:r>
        <w:rPr>
          <w:b/>
          <w:color w:val="B45A00"/>
          <w:sz w:val="16"/>
        </w:rPr>
        <w:t>JULGADOS CORRELATOS</w:t>
      </w:r>
    </w:p>
    <w:p>
      <w:pPr>
        <w:ind w:left="288"/>
      </w:pPr>
      <w:r>
        <w:rPr>
          <w:color w:val="8C8C8C"/>
          <w:sz w:val="12"/>
        </w:rPr>
        <w:t>cf-art-142-par-3-inc-IX</w:t>
      </w:r>
      <w:r>
        <w:rPr>
          <w:color w:val="003CA0"/>
          <w:sz w:val="12"/>
        </w:rPr>
        <w:t xml:space="preserve"> | ACO 3.396</w:t>
      </w:r>
      <w:r>
        <w:rPr>
          <w:color w:val="003CA0"/>
          <w:sz w:val="12"/>
        </w:rPr>
        <w:t xml:space="preserve"> | rel. Alexandre de Moraes</w:t>
      </w:r>
    </w:p>
    <w:p>
      <w:pPr>
        <w:ind w:left="288"/>
      </w:pPr>
      <w:r>
        <w:rPr>
          <w:color w:val="1E1E1E"/>
          <w:sz w:val="18"/>
        </w:rPr>
        <w:t>Cabe à lei estadual, nos termos do art. 42, § 1º, da Constituição Federal, regulamentar as disposições do art. 142, § 3º, inciso X, dentre as quais as relativas ao regime de aposentadoria dos militares estaduais e a questões pertinentes ao regime jurídico.</w:t>
      </w:r>
    </w:p>
    <w:p>
      <w:pPr>
        <w:ind w:left="288"/>
      </w:pPr>
      <w:r>
        <w:rPr>
          <w:b/>
          <w:color w:val="003CA0"/>
          <w:sz w:val="16"/>
        </w:rPr>
        <w:t>[ACO 3.396, rel. min. Alexandre de Moraes, j. 5-10-2020, P, DJE de 19-10-2020.]</w:t>
      </w:r>
    </w:p>
    <w:p>
      <w:pPr>
        <w:ind w:left="288"/>
      </w:pPr>
      <w:r>
        <w:rPr>
          <w:color w:val="8C8C8C"/>
          <w:sz w:val="12"/>
        </w:rPr>
        <w:t>cf-art-142-par-3-inc-IX</w:t>
      </w:r>
      <w:r>
        <w:rPr>
          <w:color w:val="003CA0"/>
          <w:sz w:val="12"/>
        </w:rPr>
        <w:t xml:space="preserve"> | STA 795</w:t>
      </w:r>
      <w:r>
        <w:rPr>
          <w:color w:val="003CA0"/>
          <w:sz w:val="12"/>
        </w:rPr>
        <w:t xml:space="preserve"> | rel. Dias Toffoli</w:t>
      </w:r>
    </w:p>
    <w:p>
      <w:pPr>
        <w:ind w:left="288"/>
      </w:pPr>
      <w:r>
        <w:rPr>
          <w:color w:val="1E1E1E"/>
          <w:sz w:val="18"/>
        </w:rPr>
        <w:t>Ação civil pública. Decisão do juízo de origem que afasta normas para inspeção de saúde dos candidatos a ingresso nas organizações militares estabelecidas pelas portarias do Departamento de Ensino e Pesquisa do Comando do Exército. (...) O Estatuto dos Militares (Lei 6880/80) estipula em seu art. 10 que ‘o ingresso nas Forças Armadas é facultado, mediante incorporação, matrícula ou nomeação, a todos os brasileiros que preencham os requisitos estabelecidos em lei e nos regulamentos da Marinha, do Exército e da Aeronáutica’. Observa-se que o fundamento usado para a edição da portaria combatida n</w:t>
      </w:r>
    </w:p>
    <w:p>
      <w:pPr>
        <w:ind w:left="288"/>
      </w:pPr>
      <w:r>
        <w:rPr>
          <w:b/>
          <w:color w:val="003CA0"/>
          <w:sz w:val="16"/>
        </w:rPr>
        <w:t>[STA 795-AgR, rel. min. Dias Toffoli, j. 5-4-2019, P, DJcE de 23-4-2019.]</w:t>
      </w:r>
    </w:p>
    <w:p>
      <w:pPr>
        <w:ind w:left="288"/>
      </w:pPr>
      <w:r>
        <w:rPr>
          <w:color w:val="8C8C8C"/>
          <w:sz w:val="12"/>
        </w:rPr>
        <w:t>cf-art-142-par-3-inc-IX</w:t>
      </w:r>
      <w:r>
        <w:rPr>
          <w:color w:val="003CA0"/>
          <w:sz w:val="12"/>
        </w:rPr>
        <w:t xml:space="preserve"> | RE 495.341</w:t>
      </w:r>
      <w:r>
        <w:rPr>
          <w:color w:val="003CA0"/>
          <w:sz w:val="12"/>
        </w:rPr>
        <w:t xml:space="preserve"> | rel. Ellen Gracie</w:t>
      </w:r>
    </w:p>
    <w:p>
      <w:pPr>
        <w:ind w:left="288"/>
      </w:pPr>
      <w:r>
        <w:rPr>
          <w:color w:val="1E1E1E"/>
          <w:sz w:val="18"/>
        </w:rPr>
        <w:t>Cabe à lei estadual, nos termos da norma constitucional do art. 142, § 3º, X, regular as disposições do art. 42, § 1º, da CF e estabelecer as condições de transferência do militar para a inatividade.</w:t>
      </w:r>
    </w:p>
    <w:p>
      <w:pPr>
        <w:ind w:left="288"/>
      </w:pPr>
      <w:r>
        <w:rPr>
          <w:b/>
          <w:color w:val="003CA0"/>
          <w:sz w:val="16"/>
        </w:rPr>
        <w:t>[RE 495.341 AgR, rel. min. Ellen Gracie, j. 14-9-2010, 2ª T, DJE de 1º-10-2010.]</w:t>
      </w:r>
    </w:p>
    <w:p>
      <w:pPr>
        <w:ind w:left="288"/>
      </w:pPr>
      <w:r>
        <w:rPr>
          <w:color w:val="8C8C8C"/>
          <w:sz w:val="12"/>
        </w:rPr>
        <w:t>cf-art-142-par-3-inc-IX</w:t>
      </w:r>
      <w:r>
        <w:rPr>
          <w:color w:val="003CA0"/>
          <w:sz w:val="12"/>
        </w:rPr>
        <w:t xml:space="preserve"> | AI 562.165</w:t>
      </w:r>
      <w:r>
        <w:rPr>
          <w:color w:val="003CA0"/>
          <w:sz w:val="12"/>
        </w:rPr>
        <w:t xml:space="preserve"> | rel. Eros Grau</w:t>
      </w:r>
    </w:p>
    <w:p>
      <w:pPr>
        <w:ind w:left="288"/>
      </w:pPr>
      <w:r>
        <w:rPr>
          <w:color w:val="1E1E1E"/>
          <w:sz w:val="18"/>
        </w:rPr>
        <w:t>= AI 562.165 AgR, rel. min. Eros Grau, j. 16-5-2006, 2ª T, DJE de 9-6-2006 Contribuição previdenciária. Proventos. Militar. Incidência. EC 41/2003. O Supremo, por ocasião do julgamento da ADI 3.105, rel. min. Ellen Gracie, DJ de 18-8-2004, registrou inexistir "norma de imunidade tributária absoluta". A Corte afirmou que, após o advento da EC 41/2003, os servidores públicos passariam a contribuir para a previdência social em "obediência aos princípios da solidariedade e do equilíbrio financeiro e atuarial, bem como aos objetivos constitucionais de universalidade, equidade na forma de participaç</w:t>
      </w:r>
    </w:p>
    <w:p>
      <w:pPr>
        <w:ind w:left="288"/>
      </w:pPr>
      <w:r>
        <w:rPr>
          <w:b/>
          <w:color w:val="003CA0"/>
          <w:sz w:val="16"/>
        </w:rPr>
        <w:t>[RE 475.076 AgR, rel. min. Eros Grau, j. 25-11-2008, 2ª T, DJE de 19-12-2008.]</w:t>
      </w:r>
    </w:p>
    <w:p>
      <w:pPr>
        <w:ind w:left="288"/>
      </w:pPr>
      <w:r>
        <w:rPr>
          <w:color w:val="8C8C8C"/>
          <w:sz w:val="12"/>
        </w:rPr>
        <w:t>cf-art-142-par-3-inc-IX</w:t>
      </w:r>
      <w:r>
        <w:rPr>
          <w:color w:val="003CA0"/>
          <w:sz w:val="12"/>
        </w:rPr>
        <w:t xml:space="preserve"> | AI 594.104</w:t>
      </w:r>
      <w:r>
        <w:rPr>
          <w:color w:val="003CA0"/>
          <w:sz w:val="12"/>
        </w:rPr>
        <w:t xml:space="preserve"> | rel. Ellen Gracie</w:t>
      </w:r>
    </w:p>
    <w:p>
      <w:pPr>
        <w:ind w:left="288"/>
      </w:pPr>
      <w:r>
        <w:rPr>
          <w:color w:val="1E1E1E"/>
          <w:sz w:val="18"/>
        </w:rPr>
        <w:t>= AI 594.104 AgR, rel. min. Ellen Gracie, j. 4-5-2010, 2ª T, DJE de 21-5-2010 Vide  ADI 3.105, red. do ac. min. Cezar Peluso, j. 18-8-2004, P, DJ de 18-2-2005 O acórdão recorrido está em sintonia com a jurisprudência deste Tribunal no sentido de que, tratando-se de militares do quadro de temporários, admitidos por prazo limitado, não há que se falar em direito de permanência ou em estabilidade após cumprido o prazo de incorporação.</w:t>
      </w:r>
    </w:p>
    <w:p>
      <w:pPr>
        <w:ind w:left="288"/>
      </w:pPr>
      <w:r>
        <w:rPr>
          <w:b/>
          <w:color w:val="003CA0"/>
          <w:sz w:val="16"/>
        </w:rPr>
        <w:t>[RE 383.879 AgR, rel. min. Eros Grau, j. 17-6-2008, 2ª T, DJE de 1º-8-2008.]</w:t>
      </w:r>
    </w:p>
    <w:p>
      <w:pPr>
        <w:ind w:left="288"/>
      </w:pPr>
      <w:r>
        <w:rPr>
          <w:color w:val="8C8C8C"/>
          <w:sz w:val="12"/>
        </w:rPr>
        <w:t>cf-art-142-par-3-inc-IX</w:t>
      </w:r>
      <w:r>
        <w:rPr>
          <w:color w:val="003CA0"/>
          <w:sz w:val="12"/>
        </w:rPr>
        <w:t xml:space="preserve"> | RE 523.317</w:t>
      </w:r>
      <w:r>
        <w:rPr>
          <w:color w:val="003CA0"/>
          <w:sz w:val="12"/>
        </w:rPr>
        <w:t xml:space="preserve"> | rel. Cármen Lúcia</w:t>
      </w:r>
    </w:p>
    <w:p>
      <w:pPr>
        <w:ind w:left="288"/>
      </w:pPr>
      <w:r>
        <w:rPr>
          <w:color w:val="1E1E1E"/>
          <w:sz w:val="18"/>
        </w:rPr>
        <w:t>= RE 523.317 ED, rel. min. Cármen Lúcia, j. 1º-2-2011, 1ª T, DJE de 3-3-2011 Princípio isonômico. CP e CPM. O tratamento diferenciado decorrente dos referidos códigos tem justificativa constitucionalmente aceitável em face das circunstâncias peculiares relativas aos agentes e objetos jurídicos protegidos.</w:t>
      </w:r>
    </w:p>
    <w:p>
      <w:pPr>
        <w:ind w:left="288"/>
      </w:pPr>
      <w:r>
        <w:rPr>
          <w:b/>
          <w:color w:val="003CA0"/>
          <w:sz w:val="16"/>
        </w:rPr>
        <w:t>[RE 115.770, rel. min. Marco Aurélio, j. 29-10-1991, 2ª T, DJ de 21-2-1992.]</w:t>
      </w:r>
    </w:p>
    <w:p>
      <w:pPr>
        <w:ind w:left="432"/>
      </w:pPr>
      <w:r>
        <w:rPr>
          <w:color w:val="003366"/>
          <w:sz w:val="18"/>
        </w:rPr>
        <w:t>§ 1 Lei complementar estabelecerá as normas gerais a serem adotadas na organizaç</w:t>
      </w:r>
    </w:p>
    <w:p>
      <w:pPr>
        <w:ind w:left="432"/>
      </w:pPr>
      <w:r>
        <w:rPr>
          <w:color w:val="003366"/>
          <w:sz w:val="18"/>
        </w:rPr>
        <w:t>§ 2 Não caberá habeas corpus em relação a punições disciplinares militares.</w:t>
      </w:r>
    </w:p>
    <w:p>
      <w:pPr>
        <w:ind w:left="432"/>
      </w:pPr>
      <w:r>
        <w:rPr>
          <w:color w:val="003366"/>
          <w:sz w:val="18"/>
        </w:rPr>
        <w:t xml:space="preserve">§ 3 Os membros das Forças Armadas são denominados militares, aplicando-se-lhes, </w:t>
      </w:r>
    </w:p>
    <w:p>
      <w:pPr>
        <w:ind w:left="720"/>
      </w:pPr>
      <w:r>
        <w:rPr>
          <w:color w:val="003366"/>
          <w:sz w:val="18"/>
        </w:rPr>
        <w:t>I – as patentes, com prerrogativas, direitos e deveres a elas inerentes, são con</w:t>
      </w:r>
    </w:p>
    <w:p>
      <w:pPr>
        <w:ind w:left="720"/>
      </w:pPr>
      <w:r>
        <w:rPr>
          <w:color w:val="003366"/>
          <w:sz w:val="18"/>
        </w:rPr>
        <w:t>II – o militar em atividade que tomar posse em cargo ou emprego público civil pe</w:t>
      </w:r>
    </w:p>
    <w:p>
      <w:pPr>
        <w:ind w:left="720"/>
      </w:pPr>
      <w:r>
        <w:rPr>
          <w:color w:val="003366"/>
          <w:sz w:val="18"/>
        </w:rPr>
        <w:t>III – o militar da ativa que, de acordo com a lei, tomar posse em cargo, emprego</w:t>
      </w:r>
    </w:p>
    <w:p>
      <w:pPr>
        <w:ind w:left="720"/>
      </w:pPr>
      <w:r>
        <w:rPr>
          <w:color w:val="003366"/>
          <w:sz w:val="18"/>
        </w:rPr>
        <w:t xml:space="preserve">IV – ao militar são proibidas a sindicalização e a greve; (Incluído pela Emenda </w:t>
      </w:r>
    </w:p>
    <w:p>
      <w:pPr>
        <w:ind w:left="720"/>
      </w:pPr>
      <w:r>
        <w:rPr>
          <w:color w:val="003366"/>
          <w:sz w:val="18"/>
        </w:rPr>
        <w:t>V – o militar, enquanto em serviço ativo, não pode estar filiado a partidos polí</w:t>
      </w:r>
    </w:p>
    <w:p>
      <w:pPr>
        <w:ind w:left="720"/>
      </w:pPr>
      <w:r>
        <w:rPr>
          <w:color w:val="003366"/>
          <w:sz w:val="18"/>
        </w:rPr>
        <w:t>VI – o oficial só perderá o posto e a patente se for julgado indigno do oficiala</w:t>
      </w:r>
    </w:p>
    <w:p>
      <w:pPr>
        <w:ind w:left="720"/>
      </w:pPr>
      <w:r>
        <w:rPr>
          <w:color w:val="003366"/>
          <w:sz w:val="18"/>
        </w:rPr>
        <w:t>VII – o oficial condenado na justiça comum ou militar a pena privativa de liberd</w:t>
      </w:r>
    </w:p>
    <w:p>
      <w:pPr>
        <w:ind w:left="720"/>
      </w:pPr>
      <w:r>
        <w:rPr>
          <w:color w:val="003366"/>
          <w:sz w:val="18"/>
        </w:rPr>
        <w:t>VIII – aplica-se aos militares o disposto no art. 7º, incisos VIII, XII, XVII, X</w:t>
      </w:r>
    </w:p>
    <w:p>
      <w:pPr>
        <w:ind w:left="720"/>
      </w:pPr>
      <w:r>
        <w:rPr>
          <w:color w:val="003366"/>
          <w:sz w:val="18"/>
        </w:rPr>
        <w:t>IX – (Revogado pela Emenda Constitucional nº 41, de 19.12.2003)</w:t>
      </w:r>
    </w:p>
    <w:p>
      <w:pPr>
        <w:ind w:left="720"/>
      </w:pPr>
      <w:r>
        <w:rPr>
          <w:color w:val="003366"/>
          <w:sz w:val="18"/>
        </w:rPr>
        <w:t>X – a lei disporá sobre o ingresso nas Forças Armadas, os limites de idade, a es</w:t>
      </w:r>
    </w:p>
    <w:p>
      <w:r>
        <w:rPr>
          <w:b/>
          <w:color w:val="003366"/>
          <w:sz w:val="20"/>
        </w:rPr>
        <w:t>Art. 143 O serviço militar é obrigatório nos termos da lei.</w:t>
      </w:r>
      <w:r>
        <w:rPr>
          <w:color w:val="8C8C8C"/>
          <w:sz w:val="14"/>
        </w:rPr>
        <w:t xml:space="preserve">  [8 decisoes]</w:t>
      </w:r>
    </w:p>
    <w:p>
      <w:pPr>
        <w:ind w:left="144"/>
      </w:pPr>
      <w:r>
        <w:rPr>
          <w:b/>
          <w:color w:val="B45A00"/>
          <w:sz w:val="16"/>
        </w:rPr>
        <w:t>SUMULA VINCULANTE</w:t>
      </w:r>
    </w:p>
    <w:p>
      <w:pPr>
        <w:ind w:left="288"/>
      </w:pPr>
      <w:r>
        <w:rPr>
          <w:color w:val="8C8C8C"/>
          <w:sz w:val="12"/>
        </w:rPr>
        <w:t>cf-art-143</w:t>
      </w:r>
    </w:p>
    <w:p>
      <w:pPr>
        <w:ind w:left="288"/>
      </w:pPr>
      <w:r>
        <w:rPr>
          <w:color w:val="1E1E1E"/>
          <w:sz w:val="18"/>
        </w:rPr>
        <w:t>Não viola a Constituição o estabelecimento de remuneração inferior ao salário mínimo para as praças prestadoras de serviço militar inicial.</w:t>
      </w:r>
    </w:p>
    <w:p>
      <w:pPr>
        <w:ind w:left="288"/>
      </w:pPr>
      <w:r>
        <w:rPr>
          <w:b/>
          <w:color w:val="003CA0"/>
          <w:sz w:val="16"/>
        </w:rPr>
        <w:t>[Súmula Vinculante 6.]</w:t>
      </w:r>
    </w:p>
    <w:p>
      <w:pPr>
        <w:ind w:left="144"/>
      </w:pPr>
      <w:r>
        <w:rPr>
          <w:b/>
          <w:color w:val="B45A00"/>
          <w:sz w:val="16"/>
        </w:rPr>
        <w:t>CONTROLE CONCENTRADO</w:t>
      </w:r>
    </w:p>
    <w:p>
      <w:pPr>
        <w:ind w:left="288"/>
      </w:pPr>
      <w:r>
        <w:rPr>
          <w:color w:val="8C8C8C"/>
          <w:sz w:val="12"/>
        </w:rPr>
        <w:t>cf-art-143</w:t>
      </w:r>
      <w:r>
        <w:rPr>
          <w:color w:val="003CA0"/>
          <w:sz w:val="12"/>
        </w:rPr>
        <w:t xml:space="preserve"> | ADI 1.694</w:t>
      </w:r>
      <w:r>
        <w:rPr>
          <w:color w:val="003CA0"/>
          <w:sz w:val="12"/>
        </w:rPr>
        <w:t xml:space="preserve"> | rel. Néri da Silveira</w:t>
      </w:r>
    </w:p>
    <w:p>
      <w:pPr>
        <w:ind w:left="288"/>
      </w:pPr>
      <w:r>
        <w:rPr>
          <w:color w:val="1E1E1E"/>
          <w:sz w:val="18"/>
        </w:rPr>
        <w:t>Os princípios gerais regentes da administração pública, previstos no art. 37, caput, da Constituição, são invocáveis de referência à administração de pessoal militar federal ou estadual, salvo no que tenha explícita disciplina em atenção às peculiaridades do serviço militar.</w:t>
      </w:r>
    </w:p>
    <w:p>
      <w:pPr>
        <w:ind w:left="288"/>
      </w:pPr>
      <w:r>
        <w:rPr>
          <w:b/>
          <w:color w:val="003CA0"/>
          <w:sz w:val="16"/>
        </w:rPr>
        <w:t>[ADI 1.694 MC, rel. min. Néri da Silveira, j. 30-10-1997, P, DJ de 15-12-2000.]</w:t>
      </w:r>
    </w:p>
    <w:p>
      <w:pPr>
        <w:ind w:left="144"/>
      </w:pPr>
      <w:r>
        <w:rPr>
          <w:b/>
          <w:color w:val="B45A00"/>
          <w:sz w:val="16"/>
        </w:rPr>
        <w:t>REPERCUSSAO GERAL</w:t>
      </w:r>
    </w:p>
    <w:p>
      <w:pPr>
        <w:ind w:left="288"/>
      </w:pPr>
      <w:r>
        <w:rPr>
          <w:color w:val="8C8C8C"/>
          <w:sz w:val="12"/>
        </w:rPr>
        <w:t>cf-art-143</w:t>
      </w:r>
      <w:r>
        <w:rPr>
          <w:color w:val="003CA0"/>
          <w:sz w:val="12"/>
        </w:rPr>
        <w:t xml:space="preserve"> | RE 570.177</w:t>
      </w:r>
      <w:r>
        <w:rPr>
          <w:color w:val="003CA0"/>
          <w:sz w:val="12"/>
        </w:rPr>
        <w:t xml:space="preserve"> | rel. Ricardo Lewandowski</w:t>
      </w:r>
    </w:p>
    <w:p>
      <w:pPr>
        <w:ind w:left="288"/>
      </w:pPr>
      <w:r>
        <w:rPr>
          <w:color w:val="1E1E1E"/>
          <w:sz w:val="18"/>
        </w:rPr>
        <w:t xml:space="preserve">A CF não estendeu aos militares a garantia de remuneração não inferior ao salário mínimo, como o fez para outras categorias de trabalhadores. </w:t>
        <w:br/>
        <w:t>[RE 570.177, rel. min. Ricardo Lewandowski, j. 30-4-2008, P, DJE de 27-6-2008, Tema 15, com mérito julgado.]</w:t>
      </w:r>
    </w:p>
    <w:p>
      <w:pPr>
        <w:ind w:left="144"/>
      </w:pPr>
      <w:r>
        <w:rPr>
          <w:b/>
          <w:color w:val="B45A00"/>
          <w:sz w:val="16"/>
        </w:rPr>
        <w:t>JULGADOS CORRELATOS</w:t>
      </w:r>
    </w:p>
    <w:p>
      <w:pPr>
        <w:ind w:left="288"/>
      </w:pPr>
      <w:r>
        <w:rPr>
          <w:color w:val="8C8C8C"/>
          <w:sz w:val="12"/>
        </w:rPr>
        <w:t>cf-art-143</w:t>
      </w:r>
      <w:r>
        <w:rPr>
          <w:color w:val="003CA0"/>
          <w:sz w:val="12"/>
        </w:rPr>
        <w:t xml:space="preserve"> | HC 107.275</w:t>
      </w:r>
      <w:r>
        <w:rPr>
          <w:color w:val="003CA0"/>
          <w:sz w:val="12"/>
        </w:rPr>
        <w:t xml:space="preserve"> | rel. Ayres Britto</w:t>
      </w:r>
    </w:p>
    <w:p>
      <w:pPr>
        <w:ind w:left="288"/>
      </w:pPr>
      <w:r>
        <w:rPr>
          <w:color w:val="1E1E1E"/>
          <w:sz w:val="18"/>
        </w:rPr>
        <w:t>A norma que se extrai do art. 187 do CP castrense está a serviço da própria obrigatoriedade constitucional da prestação do serviço militar (cabeça do art. 143 da CF de 1988). Esse o motivo pelo qual o STF assentou a natureza permanente do crime de deserção. Delito permanente, esse, que somente cessa com a recaptura do infrator ou, então, com a sua apresentação voluntária.</w:t>
      </w:r>
    </w:p>
    <w:p>
      <w:pPr>
        <w:ind w:left="288"/>
      </w:pPr>
      <w:r>
        <w:rPr>
          <w:b/>
          <w:color w:val="003CA0"/>
          <w:sz w:val="16"/>
        </w:rPr>
        <w:t>[HC 107.275, rel. min. Ayres Britto, j. 28-2-2012, 2ª T, DJE de 18-6-2012.]</w:t>
      </w:r>
    </w:p>
    <w:p>
      <w:pPr>
        <w:ind w:left="288"/>
      </w:pPr>
      <w:r>
        <w:rPr>
          <w:color w:val="8C8C8C"/>
          <w:sz w:val="12"/>
        </w:rPr>
        <w:t>cf-art-143</w:t>
      </w:r>
      <w:r>
        <w:rPr>
          <w:color w:val="003CA0"/>
          <w:sz w:val="12"/>
        </w:rPr>
        <w:t xml:space="preserve"> | HC 94.367</w:t>
      </w:r>
      <w:r>
        <w:rPr>
          <w:color w:val="003CA0"/>
          <w:sz w:val="12"/>
        </w:rPr>
        <w:t xml:space="preserve"> | rel. Joaquim Barbosa</w:t>
      </w:r>
    </w:p>
    <w:p>
      <w:pPr>
        <w:ind w:left="288"/>
      </w:pPr>
      <w:r>
        <w:rPr>
          <w:color w:val="1E1E1E"/>
          <w:sz w:val="18"/>
        </w:rPr>
        <w:t>Vide HC 94.367, rel. min. Joaquim Barbosa, j. 21-10-2008, 2ª T, DJE de 6-2-2009 É inviável a desincorporação de praça não estável, que esteja sub judice, o que justifica o prolongamento extraordinário do tempo de serviço militar.</w:t>
      </w:r>
    </w:p>
    <w:p>
      <w:pPr>
        <w:ind w:left="288"/>
      </w:pPr>
      <w:r>
        <w:rPr>
          <w:b/>
          <w:color w:val="003CA0"/>
          <w:sz w:val="16"/>
        </w:rPr>
        <w:t>[HC 99.445, rel. min. Cármen Lúcia, j. 28-9-2010, 1ª T, DJE de 24-5-2011.]</w:t>
      </w:r>
    </w:p>
    <w:p>
      <w:pPr>
        <w:ind w:left="288"/>
      </w:pPr>
      <w:r>
        <w:rPr>
          <w:color w:val="8C8C8C"/>
          <w:sz w:val="12"/>
        </w:rPr>
        <w:t>cf-art-143</w:t>
      </w:r>
    </w:p>
    <w:p>
      <w:pPr>
        <w:ind w:left="288"/>
      </w:pPr>
      <w:r>
        <w:rPr>
          <w:color w:val="1E1E1E"/>
          <w:sz w:val="18"/>
        </w:rPr>
        <w:t>§ 1º Às Forças Armadas compete, na forma da lei, atribuir serviço alternativo aos que, em tempo de paz, após alistados, alegarem imperativo de consciência, entendendo-se como tal o decorrente de crença religiosa e de convicção filosófica ou política, para se eximirem de atividades de caráter essencialmente militar.</w:t>
      </w:r>
    </w:p>
    <w:p>
      <w:pPr>
        <w:ind w:left="288"/>
      </w:pPr>
      <w:r>
        <w:rPr>
          <w:color w:val="8C8C8C"/>
          <w:sz w:val="12"/>
        </w:rPr>
        <w:t>cf-art-143</w:t>
      </w:r>
      <w:r>
        <w:rPr>
          <w:color w:val="003CA0"/>
          <w:sz w:val="12"/>
        </w:rPr>
        <w:t xml:space="preserve"> | RE 1.319.019</w:t>
      </w:r>
      <w:r>
        <w:rPr>
          <w:color w:val="003CA0"/>
          <w:sz w:val="12"/>
        </w:rPr>
        <w:t xml:space="preserve"> | rel. Nunes Marques</w:t>
      </w:r>
    </w:p>
    <w:p>
      <w:pPr>
        <w:ind w:left="288"/>
      </w:pPr>
      <w:r>
        <w:rPr>
          <w:color w:val="1E1E1E"/>
          <w:sz w:val="18"/>
        </w:rPr>
        <w:t>Nos termos do art. 4º da Lei n. 5.292, de 8 de junho de 1967, os estudantes que concluíram curso de Medicina, Farmácia, Odontologia e Veterinária sem haver prestado o serviço militar obrigatório deverão apresentar-se para fazê-lo após a conclusão do bacharelado, de programa de residência médica ou pós-graduação. Havendo sido, o agravante, no início do curso de Medicina, contemplado pela prorrogação de cumprimento do serviço militar obrigatório, não lhe é lícito, ao término da graduação, postular um novo beneplácito consistente, dessa vez, em prestação alternativa. O manejo da via judicial para</w:t>
      </w:r>
    </w:p>
    <w:p>
      <w:pPr>
        <w:ind w:left="288"/>
      </w:pPr>
      <w:r>
        <w:rPr>
          <w:b/>
          <w:color w:val="003CA0"/>
          <w:sz w:val="16"/>
        </w:rPr>
        <w:t>[RE 1.319.019 AgR-segundo, rel. min. Nunes Marques, j. 24-10-2022, 2ª T, DJE de 11-11-2022.]</w:t>
      </w:r>
    </w:p>
    <w:p>
      <w:pPr>
        <w:ind w:left="288"/>
      </w:pPr>
      <w:r>
        <w:rPr>
          <w:color w:val="8C8C8C"/>
          <w:sz w:val="12"/>
        </w:rPr>
        <w:t>cf-art-143-par-2</w:t>
      </w:r>
    </w:p>
    <w:p>
      <w:pPr>
        <w:ind w:left="288"/>
      </w:pPr>
      <w:r>
        <w:rPr>
          <w:color w:val="1E1E1E"/>
          <w:sz w:val="18"/>
        </w:rPr>
        <w:t>CAPÍTULO III Da Segurança Pública SUMÁRIO</w:t>
      </w:r>
    </w:p>
    <w:p>
      <w:pPr>
        <w:ind w:left="432"/>
      </w:pPr>
      <w:r>
        <w:rPr>
          <w:color w:val="003366"/>
          <w:sz w:val="18"/>
        </w:rPr>
        <w:t>§ 1 Às Forças Armadas compete, na forma da lei, atribuir serviço alternativo aos</w:t>
      </w:r>
    </w:p>
    <w:p>
      <w:pPr>
        <w:ind w:left="432"/>
      </w:pPr>
      <w:r>
        <w:rPr>
          <w:color w:val="003366"/>
          <w:sz w:val="18"/>
        </w:rPr>
        <w:t xml:space="preserve">§ 2 As mulheres e os eclesiásticos ficam isentos do serviço militar obrigatório </w:t>
      </w:r>
    </w:p>
    <w:p>
      <w:pPr>
        <w:pStyle w:val="Heading2"/>
      </w:pPr>
      <w:r>
        <w:rPr>
          <w:color w:val="003366"/>
        </w:rPr>
        <w:t>CAPÍTULO III - DA SEGURANÇA PÚBLICA</w:t>
      </w:r>
    </w:p>
    <w:p>
      <w:r>
        <w:rPr>
          <w:b/>
          <w:color w:val="003366"/>
          <w:sz w:val="20"/>
        </w:rPr>
        <w:t>Art. 144 A segurança pública, dever do Estado, direito e responsabilidade de tod</w:t>
      </w:r>
      <w:r>
        <w:rPr>
          <w:color w:val="8C8C8C"/>
          <w:sz w:val="14"/>
        </w:rPr>
        <w:t xml:space="preserve">  [47 decisoes]</w:t>
      </w:r>
    </w:p>
    <w:p>
      <w:pPr>
        <w:ind w:left="288"/>
      </w:pPr>
      <w:r>
        <w:rPr>
          <w:color w:val="8C8C8C"/>
          <w:sz w:val="12"/>
        </w:rPr>
        <w:t>cf-art-144</w:t>
      </w:r>
      <w:r>
        <w:rPr>
          <w:color w:val="003CA0"/>
          <w:sz w:val="12"/>
        </w:rPr>
        <w:t xml:space="preserve"> | ADC 85</w:t>
      </w:r>
      <w:r>
        <w:rPr>
          <w:color w:val="003CA0"/>
          <w:sz w:val="12"/>
        </w:rPr>
        <w:t xml:space="preserve"> | rel. Gilmar Mendes</w:t>
      </w:r>
    </w:p>
    <w:p>
      <w:pPr>
        <w:ind w:left="288"/>
      </w:pPr>
      <w:r>
        <w:rPr>
          <w:color w:val="1E1E1E"/>
          <w:sz w:val="18"/>
        </w:rPr>
        <w:t>Decretos 11.366/2023 e 11.615/2023. Atos normativos que promoveram a regulamentação do Estatuto do Desarmamento (Lei 10.823/2003). (...) Os Decretos 11.366/2023 e 11.615/2023 visam reverter a vertiginosa tendência de proliferação de armas de fogo em circulação no Brasil e promover a reconstrução das políticas públicas de efetivo controle dessa circulação. Os atos normativos inserem-se no poder regulamentar privativo do Presidente da República (CF, art. 84, IV) e não extrapolam a margem de conformação regulamentar estabelecida pelo Estatuto do Desarmamento (10.826/2003). As determinações regula</w:t>
      </w:r>
    </w:p>
    <w:p>
      <w:pPr>
        <w:ind w:left="288"/>
      </w:pPr>
      <w:r>
        <w:rPr>
          <w:b/>
          <w:color w:val="003CA0"/>
          <w:sz w:val="16"/>
        </w:rPr>
        <w:t>[ADC 85, rel. min. Gilmar Mendes, j. 25.06.2025, P, DJE de 23.07.2025.]</w:t>
      </w:r>
    </w:p>
    <w:p>
      <w:pPr>
        <w:ind w:left="288"/>
      </w:pPr>
      <w:r>
        <w:rPr>
          <w:color w:val="8C8C8C"/>
          <w:sz w:val="12"/>
        </w:rPr>
        <w:t>cf-art-144</w:t>
      </w:r>
      <w:r>
        <w:rPr>
          <w:color w:val="003CA0"/>
          <w:sz w:val="12"/>
        </w:rPr>
        <w:t xml:space="preserve"> | ADPF 635</w:t>
      </w:r>
      <w:r>
        <w:rPr>
          <w:color w:val="003CA0"/>
          <w:sz w:val="12"/>
        </w:rPr>
        <w:t xml:space="preserve"> | rel. Edson Fachin</w:t>
      </w:r>
    </w:p>
    <w:p>
      <w:pPr>
        <w:ind w:left="288"/>
      </w:pPr>
      <w:r>
        <w:rPr>
          <w:color w:val="1E1E1E"/>
          <w:sz w:val="18"/>
        </w:rPr>
        <w:t>Omissão estrutural do poder público na adoção de medidas para a redução da letalidade policial. Quadro crônico de grave violação de direitos humanos e fundamentais. Homologação parcial do plano de redução da letalidade policial. Obrigatoriedade de respeito aos princípios de uso proporcional da força, cabendo às forças de segurança a definição do nível de força necessário a cada contexto e operação. Determinações complementares decorrentes do princípio da prestação de contas da atividade policial e da função de controle externo pelo Ministério Público. Criação de grupo de trabalho de acompanham</w:t>
      </w:r>
    </w:p>
    <w:p>
      <w:pPr>
        <w:ind w:left="288"/>
      </w:pPr>
      <w:r>
        <w:rPr>
          <w:b/>
          <w:color w:val="003CA0"/>
          <w:sz w:val="16"/>
        </w:rPr>
        <w:t>[ADPF 635, rel. min. Edson Fachin, j. 03.04.2025, P, DJE de 22.05.2025.]</w:t>
      </w:r>
    </w:p>
    <w:p>
      <w:pPr>
        <w:ind w:left="144"/>
      </w:pPr>
      <w:r>
        <w:rPr>
          <w:b/>
          <w:color w:val="B45A00"/>
          <w:sz w:val="16"/>
        </w:rPr>
        <w:t>CONTROLE CONCENTRADO</w:t>
      </w:r>
    </w:p>
    <w:p>
      <w:pPr>
        <w:ind w:left="288"/>
      </w:pPr>
      <w:r>
        <w:rPr>
          <w:color w:val="8C8C8C"/>
          <w:sz w:val="12"/>
        </w:rPr>
        <w:t>cf-art-144</w:t>
      </w:r>
      <w:r>
        <w:rPr>
          <w:color w:val="003CA0"/>
          <w:sz w:val="12"/>
        </w:rPr>
        <w:t xml:space="preserve"> | ADI 7.466</w:t>
      </w:r>
      <w:r>
        <w:rPr>
          <w:color w:val="003CA0"/>
          <w:sz w:val="12"/>
        </w:rPr>
        <w:t xml:space="preserve"> | rel. Dias Toffoli</w:t>
      </w:r>
    </w:p>
    <w:p>
      <w:pPr>
        <w:ind w:left="288"/>
      </w:pPr>
      <w:r>
        <w:rPr>
          <w:color w:val="1E1E1E"/>
          <w:sz w:val="18"/>
        </w:rPr>
        <w:t>Os institutos socioeducativos não integram a lista de órgãos de segurança pública do art. 144 da Constituição Federal. Não há nenhuma menção ao sistema socioeducativo no art. 144 da Carta Magna nem em seus incisos ou em seus parágrafos. Portanto, os institutos socioeducativos não integram o microssistema constitucional da segurança pública. Consequentemente, eles tampouco fazem parte do Sistema Único de Segurança Pública (Lei Federal nº 13.675/18).</w:t>
        <w:br/>
        <w:t xml:space="preserve">[ADI 7.466, rel. min. Dias Toffoli, j. 12.11.2024, P, DJE de 21.11.2024.] As atividades desempenhadas pelo serviço voluntário no âmbito da polícia </w:t>
      </w:r>
    </w:p>
    <w:p>
      <w:pPr>
        <w:ind w:left="288"/>
      </w:pPr>
      <w:r>
        <w:rPr>
          <w:b/>
          <w:color w:val="003CA0"/>
          <w:sz w:val="16"/>
        </w:rPr>
        <w:t>[ADI 2.827, rel. min. Gilmar Mendes, j. 16-9-2010, P, DJE de 6-4-2011</w:t>
        <w:br/>
        <w:t>Vide ADI 1.182, voto do rel. min. Eros Grau, j. 24-11-2005, P, DJ de 10-3-2006</w:t>
        <w:br/>
        <w:t>Vide ADI 2.575, rel. min. Dias Toffoli, j. 24-6-2020, P, DJE de 16-11-2020</w:t>
      </w:r>
    </w:p>
    <w:p>
      <w:pPr>
        <w:ind w:left="288"/>
      </w:pPr>
      <w:r>
        <w:rPr>
          <w:color w:val="8C8C8C"/>
          <w:sz w:val="12"/>
        </w:rPr>
        <w:t>cf-art-144</w:t>
      </w:r>
      <w:r>
        <w:rPr>
          <w:color w:val="003CA0"/>
          <w:sz w:val="12"/>
        </w:rPr>
        <w:t xml:space="preserve"> | ADI 2.827</w:t>
      </w:r>
      <w:r>
        <w:rPr>
          <w:color w:val="003CA0"/>
          <w:sz w:val="12"/>
        </w:rPr>
        <w:t xml:space="preserve"> | rel. Gilmar Mendes</w:t>
      </w:r>
    </w:p>
    <w:p>
      <w:pPr>
        <w:ind w:left="288"/>
      </w:pPr>
      <w:r>
        <w:rPr>
          <w:color w:val="1E1E1E"/>
          <w:sz w:val="18"/>
        </w:rPr>
        <w:t>Impossibilidade da criação, pelos Estados-membros, de órgão de segurança pública diverso daqueles previstos no art. 144 da Constituição. (...) Ao Instituto-Geral de Perícias, instituído pela norma impugnada, são incumbidas funções atinentes à segurança pública. Violação do art. 144, c/c o art. 25 da Constituição da República.</w:t>
      </w:r>
    </w:p>
    <w:p>
      <w:pPr>
        <w:ind w:left="288"/>
      </w:pPr>
      <w:r>
        <w:rPr>
          <w:b/>
          <w:color w:val="003CA0"/>
          <w:sz w:val="16"/>
        </w:rPr>
        <w:t>[ADI 2.827, rel. min. Gilmar Mendes, j. 16-9-2010, P, DJE de 6-4-2011.]</w:t>
      </w:r>
    </w:p>
    <w:p>
      <w:pPr>
        <w:ind w:left="288"/>
      </w:pPr>
      <w:r>
        <w:rPr>
          <w:color w:val="8C8C8C"/>
          <w:sz w:val="12"/>
        </w:rPr>
        <w:t>cf-art-144</w:t>
      </w:r>
      <w:r>
        <w:rPr>
          <w:color w:val="003CA0"/>
          <w:sz w:val="12"/>
        </w:rPr>
        <w:t xml:space="preserve"> | ADI 1.182</w:t>
      </w:r>
      <w:r>
        <w:rPr>
          <w:color w:val="003CA0"/>
          <w:sz w:val="12"/>
        </w:rPr>
        <w:t xml:space="preserve"> | rel. Eros Grau</w:t>
      </w:r>
    </w:p>
    <w:p>
      <w:pPr>
        <w:ind w:left="288"/>
      </w:pPr>
      <w:r>
        <w:rPr>
          <w:color w:val="1E1E1E"/>
          <w:sz w:val="18"/>
        </w:rPr>
        <w:t>Vide ADI 1.182, voto do rel. min. Eros Grau, j. 24-11-2005, P, DJ de 10-3-2006 Vide ADI 236, rel. min. Octavio Gallotti, j. 7-5-1992, P, DJ de 1º-6-2001 Os Estados-membros, assim como o Distrito Federal, devem seguir o modelo federal. O art. 144 da Constituição aponta os órgãos incumbidos do exercício da segurança pública. Entre eles não está o Departamento de Trânsito. Resta pois vedada aos Estados-membros a possibilidade de estender o rol, que esta Corte já firmou ser numerus clausus, para alcançar o Departamento de Trânsito.</w:t>
      </w:r>
    </w:p>
    <w:p>
      <w:pPr>
        <w:ind w:left="288"/>
      </w:pPr>
      <w:r>
        <w:rPr>
          <w:b/>
          <w:color w:val="003CA0"/>
          <w:sz w:val="16"/>
        </w:rPr>
        <w:t>[ADI 1.182, voto do rel. min. Eros Grau, j. 24-11-2005, P, DJ de 10-3-2006.]</w:t>
      </w:r>
    </w:p>
    <w:p>
      <w:pPr>
        <w:ind w:left="288"/>
      </w:pPr>
      <w:r>
        <w:rPr>
          <w:color w:val="8C8C8C"/>
          <w:sz w:val="12"/>
        </w:rPr>
        <w:t>cf-art-144</w:t>
      </w:r>
      <w:r>
        <w:rPr>
          <w:color w:val="003CA0"/>
          <w:sz w:val="12"/>
        </w:rPr>
        <w:t xml:space="preserve"> | ADI 2.827</w:t>
      </w:r>
      <w:r>
        <w:rPr>
          <w:color w:val="003CA0"/>
          <w:sz w:val="12"/>
        </w:rPr>
        <w:t xml:space="preserve"> | rel. Gilmar Mendes</w:t>
      </w:r>
    </w:p>
    <w:p>
      <w:pPr>
        <w:ind w:left="288"/>
      </w:pPr>
      <w:r>
        <w:rPr>
          <w:color w:val="1E1E1E"/>
          <w:sz w:val="18"/>
        </w:rPr>
        <w:t>Vide ADI 2.827, rel. min. Gilmar Mendes, j. 16-9-2010, P, DJE de 6-4-2011 O Pleno desta Corte pacificou jurisprudência no sentido de que os Estados-membros devem obediência às regras de iniciativa legislativa reservada, fixadas constitucionalmente. A gestão da segurança pública, como parte integrante da administração pública, é atribuição privativa do governador de Estado.</w:t>
      </w:r>
    </w:p>
    <w:p>
      <w:pPr>
        <w:ind w:left="288"/>
      </w:pPr>
      <w:r>
        <w:rPr>
          <w:b/>
          <w:color w:val="003CA0"/>
          <w:sz w:val="16"/>
        </w:rPr>
        <w:t>[ADI 2.819, rel. min. Eros Grau, j. 6-4-2005, P, DJ de 2-12-2005.]</w:t>
      </w:r>
    </w:p>
    <w:p>
      <w:pPr>
        <w:ind w:left="288"/>
      </w:pPr>
      <w:r>
        <w:rPr>
          <w:color w:val="8C8C8C"/>
          <w:sz w:val="12"/>
        </w:rPr>
        <w:t>cf-art-144</w:t>
      </w:r>
      <w:r>
        <w:rPr>
          <w:color w:val="003CA0"/>
          <w:sz w:val="12"/>
        </w:rPr>
        <w:t xml:space="preserve"> | ADI 236</w:t>
      </w:r>
      <w:r>
        <w:rPr>
          <w:color w:val="003CA0"/>
          <w:sz w:val="12"/>
        </w:rPr>
        <w:t xml:space="preserve"> | rel. Octavio Gallotti</w:t>
      </w:r>
    </w:p>
    <w:p>
      <w:pPr>
        <w:ind w:left="288"/>
      </w:pPr>
      <w:r>
        <w:rPr>
          <w:color w:val="1E1E1E"/>
          <w:sz w:val="18"/>
        </w:rPr>
        <w:t>Incompatibilidade, com o disposto no art. 144 da CF, da norma do art. 180 da Carta Estadual do Rio de Janeiro, na parte em que inclui no conceito de segurança pública a vigilância dos estabelecimentos penais e, entre os órgãos encarregados dessa atividade, a ali denominada "polícia penitenciária”.</w:t>
      </w:r>
    </w:p>
    <w:p>
      <w:pPr>
        <w:ind w:left="288"/>
      </w:pPr>
      <w:r>
        <w:rPr>
          <w:b/>
          <w:color w:val="003CA0"/>
          <w:sz w:val="16"/>
        </w:rPr>
        <w:t>[ADI 236, rel. min. Octavio Gallotti, j. 7-5-1992, P, DJ de 1º-6-2001.]</w:t>
      </w:r>
    </w:p>
    <w:p>
      <w:pPr>
        <w:ind w:left="288"/>
      </w:pPr>
      <w:r>
        <w:rPr>
          <w:color w:val="8C8C8C"/>
          <w:sz w:val="12"/>
        </w:rPr>
        <w:t>cf-art-144</w:t>
      </w:r>
      <w:r>
        <w:rPr>
          <w:color w:val="003CA0"/>
          <w:sz w:val="12"/>
        </w:rPr>
        <w:t xml:space="preserve"> | ADI 3.916</w:t>
      </w:r>
      <w:r>
        <w:rPr>
          <w:color w:val="003CA0"/>
          <w:sz w:val="12"/>
        </w:rPr>
        <w:t xml:space="preserve"> | rel. Eros Grau</w:t>
      </w:r>
    </w:p>
    <w:p>
      <w:pPr>
        <w:ind w:left="288"/>
      </w:pPr>
      <w:r>
        <w:rPr>
          <w:color w:val="1E1E1E"/>
          <w:sz w:val="18"/>
        </w:rPr>
        <w:t>= ADI 3.916, rel. min. Eros Grau, j. 3-2-2010, P, DJE de 14-5-2010 Vide ADI 2.827, rel. min. Gilmar Mendes, j. 16-9-2010, P, DJE de 6-4-2011</w:t>
      </w:r>
    </w:p>
    <w:p>
      <w:pPr>
        <w:ind w:left="144"/>
      </w:pPr>
      <w:r>
        <w:rPr>
          <w:b/>
          <w:color w:val="B45A00"/>
          <w:sz w:val="16"/>
        </w:rPr>
        <w:t>REPERCUSSAO GERAL</w:t>
      </w:r>
    </w:p>
    <w:p>
      <w:pPr>
        <w:ind w:left="288"/>
      </w:pPr>
      <w:r>
        <w:rPr>
          <w:color w:val="8C8C8C"/>
          <w:sz w:val="12"/>
        </w:rPr>
        <w:t>cf-art-144</w:t>
      </w:r>
      <w:r>
        <w:rPr>
          <w:color w:val="003CA0"/>
          <w:sz w:val="12"/>
        </w:rPr>
        <w:t xml:space="preserve"> | ARE 654.432</w:t>
      </w:r>
    </w:p>
    <w:p>
      <w:pPr>
        <w:ind w:left="288"/>
      </w:pPr>
      <w:r>
        <w:rPr>
          <w:color w:val="1E1E1E"/>
          <w:sz w:val="18"/>
        </w:rPr>
        <w:t>O exercício do direito de greve, sob qualquer forma ou modalidade, é vedado aos policiais civis e a todos os servidores públicos que atuem diretamente na área de segurança pública. 2 – É obrigatória a participação do poder público em mediação instaurada pelos órgãos classistas das carreiras de segurança pública, nos termos do art. 165 do CPC, para vocalização dos interesses da categoria.</w:t>
      </w:r>
    </w:p>
    <w:p>
      <w:pPr>
        <w:ind w:left="288"/>
      </w:pPr>
      <w:r>
        <w:rPr>
          <w:b/>
          <w:color w:val="003CA0"/>
          <w:sz w:val="16"/>
        </w:rPr>
        <w:t>[ARE 654.432, red. do ac. min. Alexandre de Moraes, j. 5-4-2017, P, DJE de 11-6-2018, Tema 541, com mérito julgado.]</w:t>
      </w:r>
    </w:p>
    <w:p>
      <w:pPr>
        <w:ind w:left="288"/>
      </w:pPr>
      <w:r>
        <w:rPr>
          <w:color w:val="8C8C8C"/>
          <w:sz w:val="12"/>
        </w:rPr>
        <w:t>cf-art-144</w:t>
      </w:r>
      <w:r>
        <w:rPr>
          <w:color w:val="003CA0"/>
          <w:sz w:val="12"/>
        </w:rPr>
        <w:t xml:space="preserve"> | RE 603.616</w:t>
      </w:r>
      <w:r>
        <w:rPr>
          <w:color w:val="003CA0"/>
          <w:sz w:val="12"/>
        </w:rPr>
        <w:t xml:space="preserve"> | rel. Gilmar Mendes</w:t>
      </w:r>
    </w:p>
    <w:p>
      <w:pPr>
        <w:ind w:left="288"/>
      </w:pPr>
      <w:r>
        <w:rPr>
          <w:color w:val="1E1E1E"/>
          <w:sz w:val="18"/>
        </w:rPr>
        <w:t>O Supremo Tribunal Federal, no julgamento do RE 603.616 (Rel. Min. Gilmar Mendes, DJe de 10/5/2016, Tema 280), fixou tese no sentido de que 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 O entendimento adotado pelo STF impõe que os agentes estatais devem permear suas ações, em tais casos, mot</w:t>
      </w:r>
    </w:p>
    <w:p>
      <w:pPr>
        <w:ind w:left="288"/>
      </w:pPr>
      <w:r>
        <w:rPr>
          <w:b/>
          <w:color w:val="003CA0"/>
          <w:sz w:val="16"/>
        </w:rPr>
        <w:t>[RE 1.468.558 AgR, rel. min. Alexandre de Moraes, j. 1.10.2024, P, DJE de 3.12.2024.]</w:t>
      </w:r>
    </w:p>
    <w:p>
      <w:pPr>
        <w:ind w:left="288"/>
      </w:pPr>
      <w:r>
        <w:rPr>
          <w:color w:val="8C8C8C"/>
          <w:sz w:val="12"/>
        </w:rPr>
        <w:t>cf-art-144</w:t>
      </w:r>
      <w:r>
        <w:rPr>
          <w:color w:val="003CA0"/>
          <w:sz w:val="12"/>
        </w:rPr>
        <w:t xml:space="preserve"> | RE 1.358.565</w:t>
      </w:r>
      <w:r>
        <w:rPr>
          <w:color w:val="003CA0"/>
          <w:sz w:val="12"/>
        </w:rPr>
        <w:t xml:space="preserve"> | rel. Alexandre de Moraes</w:t>
      </w:r>
    </w:p>
    <w:p>
      <w:pPr>
        <w:ind w:left="288"/>
      </w:pPr>
      <w:r>
        <w:rPr>
          <w:color w:val="1E1E1E"/>
          <w:sz w:val="18"/>
        </w:rPr>
        <w:t>As carreiras de segurança pública configuram atividade típica de Estado, com autoridade sobre a vida e a liberdade de toda a coletividade, em razão do que é imperativo que os ocupantes desses cargos estejam submetidos a critérios mais severos de controle. Não se trata, portanto, de verificar sobre eventual culpa ou inocência do impetrante em relação ao processo criminal a que respondeu, mas de valoração da conduta moral do candidato. Assim, a exigência de idoneidade moral para o ingresso em carreiras de segurança pública é plenamente legítima e consistente com o texto constitucional. Alguém qu</w:t>
      </w:r>
    </w:p>
    <w:p>
      <w:pPr>
        <w:ind w:left="288"/>
      </w:pPr>
      <w:r>
        <w:rPr>
          <w:b/>
          <w:color w:val="003CA0"/>
          <w:sz w:val="16"/>
        </w:rPr>
        <w:t>[ACO 3.352, rel. min. Roberto Barroso, j. 18-10-2021, P, DJE de 13-12-2021.]</w:t>
      </w:r>
    </w:p>
    <w:p>
      <w:pPr>
        <w:ind w:left="288"/>
      </w:pPr>
      <w:r>
        <w:rPr>
          <w:color w:val="8C8C8C"/>
          <w:sz w:val="12"/>
        </w:rPr>
        <w:t>cf-art-144</w:t>
      </w:r>
      <w:r>
        <w:rPr>
          <w:color w:val="003CA0"/>
          <w:sz w:val="12"/>
        </w:rPr>
        <w:t xml:space="preserve"> | HC 133.835</w:t>
      </w:r>
      <w:r>
        <w:rPr>
          <w:color w:val="003CA0"/>
          <w:sz w:val="12"/>
        </w:rPr>
        <w:t xml:space="preserve"> | rel. Celso de Mello</w:t>
      </w:r>
    </w:p>
    <w:p>
      <w:pPr>
        <w:ind w:left="288"/>
      </w:pPr>
      <w:r>
        <w:rPr>
          <w:color w:val="1E1E1E"/>
          <w:sz w:val="18"/>
        </w:rPr>
        <w:t>Investigação criminal instaurada contra pessoa detentora de prerrogativa de foro ratione muneris. Inexistência, mesmo em tal hipótese, de imunidade ou de obstáculo a que se efetive, legitimamente, esse ato de polícia judiciária, desde que precedido de autorização do relator do inquérito originário no tribunal competente (o STJ, no caso). (...) Existência, na espécie, de autorização devidamente motivada do ministro relator no STJ, que acolheu expressa solicitação feita pela própria autoridade policial. Inexistência de situação configuradora de injusto constrangimento.</w:t>
      </w:r>
    </w:p>
    <w:p>
      <w:pPr>
        <w:ind w:left="288"/>
      </w:pPr>
      <w:r>
        <w:rPr>
          <w:b/>
          <w:color w:val="003CA0"/>
          <w:sz w:val="16"/>
        </w:rPr>
        <w:t>[HC 133.835 MC, rel. min. Celso de Mello, j. 18-4-2016, dec. monocrática, DJE de 25-4-2016.]</w:t>
      </w:r>
    </w:p>
    <w:p>
      <w:pPr>
        <w:ind w:left="288"/>
      </w:pPr>
      <w:r>
        <w:rPr>
          <w:color w:val="8C8C8C"/>
          <w:sz w:val="12"/>
        </w:rPr>
        <w:t>cf-art-144</w:t>
      </w:r>
      <w:r>
        <w:rPr>
          <w:color w:val="003CA0"/>
          <w:sz w:val="12"/>
        </w:rPr>
        <w:t xml:space="preserve"> | RE 559.646</w:t>
      </w:r>
      <w:r>
        <w:rPr>
          <w:color w:val="003CA0"/>
          <w:sz w:val="12"/>
        </w:rPr>
        <w:t xml:space="preserve"> | rel. Ellen Gracie</w:t>
      </w:r>
    </w:p>
    <w:p>
      <w:pPr>
        <w:ind w:left="288"/>
      </w:pPr>
      <w:r>
        <w:rPr>
          <w:color w:val="1E1E1E"/>
          <w:sz w:val="18"/>
        </w:rPr>
        <w:t>O direito à segurança é prerrogativa constitucional indisponível, garantido mediante a implementação de políticas públicas, impondo ao Estado a obrigação de criar condições objetivas que possibilitem o efetivo acesso a tal serviço. É possível ao Poder Judiciário determinar a implementação pelo Estado, quando inadimplente, de políticas públicas constitucionalmente previstas, sem que haja ingerência em questão que envolve o poder discricionário do Poder Executivo.</w:t>
      </w:r>
    </w:p>
    <w:p>
      <w:pPr>
        <w:ind w:left="288"/>
      </w:pPr>
      <w:r>
        <w:rPr>
          <w:b/>
          <w:color w:val="003CA0"/>
          <w:sz w:val="16"/>
        </w:rPr>
        <w:t>[RE 559.646 AgR, rel. min. Ellen Gracie, j. 7-6-2011, 2ª T, DJE de 24-6-2011.]</w:t>
      </w:r>
    </w:p>
    <w:p>
      <w:pPr>
        <w:ind w:left="288"/>
      </w:pPr>
      <w:r>
        <w:rPr>
          <w:color w:val="8C8C8C"/>
          <w:sz w:val="12"/>
        </w:rPr>
        <w:t>cf-art-144</w:t>
      </w:r>
      <w:r>
        <w:rPr>
          <w:color w:val="003CA0"/>
          <w:sz w:val="12"/>
        </w:rPr>
        <w:t xml:space="preserve"> | ARE 654.823</w:t>
      </w:r>
      <w:r>
        <w:rPr>
          <w:color w:val="003CA0"/>
          <w:sz w:val="12"/>
        </w:rPr>
        <w:t xml:space="preserve"> | rel. Dias Toffoli</w:t>
      </w:r>
    </w:p>
    <w:p>
      <w:pPr>
        <w:ind w:left="288"/>
      </w:pPr>
      <w:r>
        <w:rPr>
          <w:color w:val="1E1E1E"/>
          <w:sz w:val="18"/>
        </w:rPr>
        <w:t>= ARE 654.823 AgR, rel. min. Dias Toffoli, j. 12-11-2013, 1ª T, DJE de 5-12-2013 O conceito jurídico de ordem pública não se confunde com incolumidade das pessoas e do patrimônio (art. 144 da CF/1988). Sem embargo, ordem pública se constitui em bem jurídico que pode resultar mais ou menos fragilizado pelo modo personalizado com que se dá a concreta violação da integridade das pessoas ou do patrimônio de terceiros, tanto quanto da saúde pública (nas hipóteses de tráfico de entorpecentes e drogas afins). Daí sua categorização jurídico-positiva, não como descrição do delito nem cominação de pena,</w:t>
      </w:r>
    </w:p>
    <w:p>
      <w:pPr>
        <w:ind w:left="288"/>
      </w:pPr>
      <w:r>
        <w:rPr>
          <w:b/>
          <w:color w:val="003CA0"/>
          <w:sz w:val="16"/>
        </w:rPr>
        <w:t>[HC 101.300, rel. min. Ayres Britto, j. 5-10-2010, 2ª T, DJE 18-11-2010.]</w:t>
      </w:r>
    </w:p>
    <w:p>
      <w:pPr>
        <w:ind w:left="144"/>
      </w:pPr>
      <w:r>
        <w:rPr>
          <w:b/>
          <w:color w:val="B45A00"/>
          <w:sz w:val="16"/>
        </w:rPr>
        <w:t>JULGADOS CORRELATOS</w:t>
      </w:r>
    </w:p>
    <w:p>
      <w:pPr>
        <w:ind w:left="288"/>
      </w:pPr>
      <w:r>
        <w:rPr>
          <w:color w:val="8C8C8C"/>
          <w:sz w:val="12"/>
        </w:rPr>
        <w:t>cf-art-144-inc-I</w:t>
      </w:r>
      <w:r>
        <w:rPr>
          <w:color w:val="003CA0"/>
          <w:sz w:val="12"/>
        </w:rPr>
        <w:t xml:space="preserve"> | MI 6.748</w:t>
      </w:r>
      <w:r>
        <w:rPr>
          <w:color w:val="003CA0"/>
          <w:sz w:val="12"/>
        </w:rPr>
        <w:t xml:space="preserve"> | rel. Edson Fachin</w:t>
      </w:r>
    </w:p>
    <w:p>
      <w:pPr>
        <w:ind w:left="288"/>
      </w:pPr>
      <w:r>
        <w:rPr>
          <w:color w:val="1E1E1E"/>
          <w:sz w:val="18"/>
        </w:rPr>
        <w:t>Não há norma constitucional que determine a inclusão de servidores administrativos na carreira do órgão indicado no art. 144, I, da CRFB.</w:t>
      </w:r>
    </w:p>
    <w:p>
      <w:pPr>
        <w:ind w:left="288"/>
      </w:pPr>
      <w:r>
        <w:rPr>
          <w:b/>
          <w:color w:val="003CA0"/>
          <w:sz w:val="16"/>
        </w:rPr>
        <w:t>[MI 6.748 AgR, rel. min. Edson Fachin, j. 17-12-2022, P, DJE de 6-2-2023.]</w:t>
      </w:r>
    </w:p>
    <w:p>
      <w:pPr>
        <w:ind w:left="288"/>
      </w:pPr>
      <w:r>
        <w:rPr>
          <w:color w:val="8C8C8C"/>
          <w:sz w:val="12"/>
        </w:rPr>
        <w:t>cf-art-144-par-1</w:t>
      </w:r>
    </w:p>
    <w:p>
      <w:pPr>
        <w:ind w:left="288"/>
      </w:pPr>
      <w:r>
        <w:rPr>
          <w:color w:val="1E1E1E"/>
          <w:sz w:val="18"/>
        </w:rPr>
        <w:t>I - apurar infrações penais contra a ordem política e social ou em detrimento de bens, serviços e interesses da União ou de suas entidades autárquicas e empresas públicas, assim como outras infrações cuja prática tenha repercussão interestadual ou internacional e exija repressão uniforme, segundo se dispuser em lei; II - prevenir e reprimir o tráfico ilícito de entorpecentes e drogas afins, o contrabando e o descaminho, sem prejuízo da ação fazendária e de outros órgãos públicos nas respectivas áreas de competência;</w:t>
      </w:r>
    </w:p>
    <w:p>
      <w:pPr>
        <w:ind w:left="288"/>
      </w:pPr>
      <w:r>
        <w:rPr>
          <w:color w:val="8C8C8C"/>
          <w:sz w:val="12"/>
        </w:rPr>
        <w:t>cf-art-144-par-1</w:t>
      </w:r>
      <w:r>
        <w:rPr>
          <w:color w:val="003CA0"/>
          <w:sz w:val="12"/>
        </w:rPr>
        <w:t xml:space="preserve"> | HC 91.481</w:t>
      </w:r>
      <w:r>
        <w:rPr>
          <w:color w:val="003CA0"/>
          <w:sz w:val="12"/>
        </w:rPr>
        <w:t xml:space="preserve"> | rel. Marco Aurélio</w:t>
      </w:r>
    </w:p>
    <w:p>
      <w:pPr>
        <w:ind w:left="288"/>
      </w:pPr>
      <w:r>
        <w:rPr>
          <w:color w:val="1E1E1E"/>
          <w:sz w:val="18"/>
        </w:rPr>
        <w:t>Busca e apreensão. Tráfico de drogas. Ordem judicial. Cumprimento pela polícia militar. Ante o disposto no art. 144 da CF, a circunstância de haver atuado a polícia militar não contamina o flagrante e a busca e apreensão realizadas.</w:t>
      </w:r>
    </w:p>
    <w:p>
      <w:pPr>
        <w:ind w:left="288"/>
      </w:pPr>
      <w:r>
        <w:rPr>
          <w:b/>
          <w:color w:val="003CA0"/>
          <w:sz w:val="16"/>
        </w:rPr>
        <w:t>[HC 91.481, rel. min. Marco Aurélio, j. 19-8-2008, 1ª T, DJE de 24-10-2008.]</w:t>
      </w:r>
    </w:p>
    <w:p>
      <w:pPr>
        <w:ind w:left="288"/>
      </w:pPr>
      <w:r>
        <w:rPr>
          <w:color w:val="8C8C8C"/>
          <w:sz w:val="12"/>
        </w:rPr>
        <w:t>cf-art-144-par-1</w:t>
      </w:r>
      <w:r>
        <w:rPr>
          <w:color w:val="003CA0"/>
          <w:sz w:val="12"/>
        </w:rPr>
        <w:t xml:space="preserve"> | RE 404.593</w:t>
      </w:r>
      <w:r>
        <w:rPr>
          <w:color w:val="003CA0"/>
          <w:sz w:val="12"/>
        </w:rPr>
        <w:t xml:space="preserve"> | rel. Cezar Peluso</w:t>
      </w:r>
    </w:p>
    <w:p>
      <w:pPr>
        <w:ind w:left="288"/>
      </w:pPr>
      <w:r>
        <w:rPr>
          <w:color w:val="1E1E1E"/>
          <w:sz w:val="18"/>
        </w:rPr>
        <w:t>= RE 404.593, rel. min. Cezar Peluso, j. 18-8-2009, 2ª T, DJE de 23-10-2009</w:t>
      </w:r>
    </w:p>
    <w:p>
      <w:pPr>
        <w:ind w:left="144"/>
      </w:pPr>
      <w:r>
        <w:rPr>
          <w:b/>
          <w:color w:val="B45A00"/>
          <w:sz w:val="16"/>
        </w:rPr>
        <w:t>CONTROLE CONCENTRADO</w:t>
      </w:r>
    </w:p>
    <w:p>
      <w:pPr>
        <w:ind w:left="288"/>
      </w:pPr>
      <w:r>
        <w:rPr>
          <w:color w:val="8C8C8C"/>
          <w:sz w:val="12"/>
        </w:rPr>
        <w:t>cf-art-144-par-1-inc-III</w:t>
      </w:r>
      <w:r>
        <w:rPr>
          <w:color w:val="003CA0"/>
          <w:sz w:val="12"/>
        </w:rPr>
        <w:t xml:space="preserve"> | ADI 132</w:t>
      </w:r>
      <w:r>
        <w:rPr>
          <w:color w:val="003CA0"/>
          <w:sz w:val="12"/>
        </w:rPr>
        <w:t xml:space="preserve"> | rel. Sepúlveda Pertence</w:t>
      </w:r>
    </w:p>
    <w:p>
      <w:pPr>
        <w:ind w:left="288"/>
      </w:pPr>
      <w:r>
        <w:rPr>
          <w:color w:val="1E1E1E"/>
          <w:sz w:val="18"/>
        </w:rPr>
        <w:t>Polícia militar: atribuição de "radiopatrulha aérea": constitucionalidade. O âmbito material da polícia aeroportuária, privativa da União, não se confunde com o do policiamento ostensivo do espaço aéreo, que – respeitados os limites das áreas constitucionais das polícias federal e aeronáutica militar – se inclui no poder residual da polícia dos Estados.</w:t>
      </w:r>
    </w:p>
    <w:p>
      <w:pPr>
        <w:ind w:left="288"/>
      </w:pPr>
      <w:r>
        <w:rPr>
          <w:b/>
          <w:color w:val="003CA0"/>
          <w:sz w:val="16"/>
        </w:rPr>
        <w:t>[ADI 132, rel. min. Sepúlveda Pertence, j. 30-4-2003, P, DJ de 30-5-2003.]</w:t>
      </w:r>
    </w:p>
    <w:p>
      <w:pPr>
        <w:ind w:left="144"/>
      </w:pPr>
      <w:r>
        <w:rPr>
          <w:b/>
          <w:color w:val="B45A00"/>
          <w:sz w:val="16"/>
        </w:rPr>
        <w:t>JULGADOS CORRELATOS</w:t>
      </w:r>
    </w:p>
    <w:p>
      <w:pPr>
        <w:ind w:left="288"/>
      </w:pPr>
      <w:r>
        <w:rPr>
          <w:color w:val="8C8C8C"/>
          <w:sz w:val="12"/>
        </w:rPr>
        <w:t>cf-art-144-par-1-inc-III</w:t>
      </w:r>
      <w:r>
        <w:rPr>
          <w:color w:val="003CA0"/>
          <w:sz w:val="12"/>
        </w:rPr>
        <w:t xml:space="preserve"> | HC 68.928</w:t>
      </w:r>
      <w:r>
        <w:rPr>
          <w:color w:val="003CA0"/>
          <w:sz w:val="12"/>
        </w:rPr>
        <w:t xml:space="preserve"> | rel. Néri da Silveira</w:t>
      </w:r>
    </w:p>
    <w:p>
      <w:pPr>
        <w:ind w:left="288"/>
      </w:pPr>
      <w:r>
        <w:rPr>
          <w:color w:val="1E1E1E"/>
          <w:sz w:val="18"/>
        </w:rPr>
        <w:t>Sendo o policiamento naval atribuição, não obstante privativa da Marinha de Guerra, de caráter subsidiário, por força de lei, não é possível, por sua índole, caracterizar essa atividade como função de natureza militar, podendo seu exercício ser cometido, também, a servidores não militares da Marinha de Guerra. A atividade de policiamento, em princípio, se enquadra no âmbito da segurança pública. Esta, de acordo com o art. 144 da Constituição de 1988, é exercida para a preservação da ordem pública e da incolumidade das pessoas e do patrimônio, por intermédio dos órgãos policiais federais e esta</w:t>
      </w:r>
    </w:p>
    <w:p>
      <w:pPr>
        <w:ind w:left="288"/>
      </w:pPr>
      <w:r>
        <w:rPr>
          <w:b/>
          <w:color w:val="003CA0"/>
          <w:sz w:val="16"/>
        </w:rPr>
        <w:t>[HC 68.928, rel. min. Néri da Silveira, j. 5-11-1991, 2ª T, DJ de 19-12-1991.]</w:t>
      </w:r>
    </w:p>
    <w:p>
      <w:pPr>
        <w:ind w:left="288"/>
      </w:pPr>
      <w:r>
        <w:rPr>
          <w:color w:val="8C8C8C"/>
          <w:sz w:val="12"/>
        </w:rPr>
        <w:t>cf-art-144-par-1-inc-IV</w:t>
      </w:r>
      <w:r>
        <w:rPr>
          <w:color w:val="003CA0"/>
          <w:sz w:val="12"/>
        </w:rPr>
        <w:t xml:space="preserve"> | RHC 116.000</w:t>
      </w:r>
      <w:r>
        <w:rPr>
          <w:color w:val="003CA0"/>
          <w:sz w:val="12"/>
        </w:rPr>
        <w:t xml:space="preserve"> | rel. Celso de Mello)</w:t>
      </w:r>
    </w:p>
    <w:p>
      <w:pPr>
        <w:ind w:left="288"/>
      </w:pPr>
      <w:r>
        <w:rPr>
          <w:color w:val="1E1E1E"/>
          <w:sz w:val="18"/>
        </w:rPr>
        <w:t>Cabe salientar que a mútua cooperação entre organismos policiais, o intercâmbio de informações, o fornecimento recíproco de dados investigatórios e a assistência técnica entre a polícia federal e as polícias estaduais, com o propósito comum de viabilizar a mais completa apuração de fatos delituosos gravíssimos, notadamente naqueles casos em que se alega o envolvimento de policiais militares na formação de grupos de extermínio, encontram fundamento, segundo penso, no próprio modelo constitucional de federalismo cooperativo (RHC 116.000/GO, rel. min. Celso de Mello), cuja institucionalização sur</w:t>
      </w:r>
    </w:p>
    <w:p>
      <w:pPr>
        <w:ind w:left="288"/>
      </w:pPr>
      <w:r>
        <w:rPr>
          <w:b/>
          <w:color w:val="003CA0"/>
          <w:sz w:val="16"/>
        </w:rPr>
        <w:t>[RHC 116.002, rel. min. Celso de Mello,  j. 12-3-2014, dec. monocrática, DJE de 17-3-2014.]</w:t>
      </w:r>
    </w:p>
    <w:p>
      <w:pPr>
        <w:ind w:left="288"/>
      </w:pPr>
      <w:r>
        <w:rPr>
          <w:color w:val="8C8C8C"/>
          <w:sz w:val="12"/>
        </w:rPr>
        <w:t>cf-art-144-par-1-inc-IV</w:t>
      </w:r>
      <w:r>
        <w:rPr>
          <w:color w:val="003CA0"/>
          <w:sz w:val="12"/>
        </w:rPr>
        <w:t xml:space="preserve"> | HC 89.837</w:t>
      </w:r>
      <w:r>
        <w:rPr>
          <w:color w:val="003CA0"/>
          <w:sz w:val="12"/>
        </w:rPr>
        <w:t xml:space="preserve"> | rel. Celso de Mello</w:t>
      </w:r>
    </w:p>
    <w:p>
      <w:pPr>
        <w:ind w:left="288"/>
      </w:pPr>
      <w:r>
        <w:rPr>
          <w:color w:val="1E1E1E"/>
          <w:sz w:val="18"/>
        </w:rPr>
        <w:t>A cláusula de exclusividade inscrita no art. 144, § 1º, IV, da Constituição da República – que não inibe a atividade de investigação criminal do Ministério Público – tem por única finalidade conferir à polícia federal, dentre os diversos organismos policiais que compõem o aparato repressivo da União Federal (polícia federal, polícia rodoviária federal e polícia ferroviária federal), primazia investigatória na apuração dos crimes previstos no próprio texto da Lei Fundamental ou, ainda, em tratados ou convenções internacionais.</w:t>
      </w:r>
    </w:p>
    <w:p>
      <w:pPr>
        <w:ind w:left="288"/>
      </w:pPr>
      <w:r>
        <w:rPr>
          <w:b/>
          <w:color w:val="003CA0"/>
          <w:sz w:val="16"/>
        </w:rPr>
        <w:t>[HC 89.837, rel. min. Celso de Mello, j. 20-10-2009, 2ª T, DJE de 20-11-2009.]</w:t>
      </w:r>
    </w:p>
    <w:p>
      <w:pPr>
        <w:ind w:left="288"/>
      </w:pPr>
      <w:r>
        <w:rPr>
          <w:color w:val="8C8C8C"/>
          <w:sz w:val="12"/>
        </w:rPr>
        <w:t>cf-art-144-par-2</w:t>
      </w:r>
      <w:r>
        <w:rPr>
          <w:color w:val="003CA0"/>
          <w:sz w:val="12"/>
        </w:rPr>
        <w:t xml:space="preserve"> | ADI 4.017</w:t>
      </w:r>
      <w:r>
        <w:rPr>
          <w:color w:val="003CA0"/>
          <w:sz w:val="12"/>
        </w:rPr>
        <w:t xml:space="preserve"> | rel. Luiz Fux</w:t>
      </w:r>
    </w:p>
    <w:p>
      <w:pPr>
        <w:ind w:left="288"/>
      </w:pPr>
      <w:r>
        <w:rPr>
          <w:color w:val="1E1E1E"/>
          <w:sz w:val="18"/>
        </w:rPr>
        <w:t>A vedação à venda varejista ou ao oferecimento de bebidas alcoólicas para consumo no local, destinada a empreendimentos comerciais localizados em terrenos com acesso direto à rodovia, é adequada, necessária e proporcional ao fim de impedir a condução de veículos automotores após a ingestão de álcool em rodovias federais. (...) É compatível com a Constituição Federal o art. 4º da Lei Federal 11.705/2008, máxime ser atribuição da Polícia Rodoviária Federal fiscalizar as condutas no trânsito das rodovias federais – garantindo a preservação da ordem pública, a segurança no trânsito e a incolumidad</w:t>
      </w:r>
    </w:p>
    <w:p>
      <w:pPr>
        <w:ind w:left="144"/>
      </w:pPr>
      <w:r>
        <w:rPr>
          <w:b/>
          <w:color w:val="B45A00"/>
          <w:sz w:val="16"/>
        </w:rPr>
        <w:t>SUMULA</w:t>
      </w:r>
    </w:p>
    <w:p>
      <w:pPr>
        <w:ind w:left="288"/>
      </w:pPr>
      <w:r>
        <w:rPr>
          <w:color w:val="8C8C8C"/>
          <w:sz w:val="12"/>
        </w:rPr>
        <w:t>cf-art-144-par-4</w:t>
      </w:r>
    </w:p>
    <w:p>
      <w:pPr>
        <w:ind w:left="288"/>
      </w:pPr>
      <w:r>
        <w:rPr>
          <w:color w:val="1E1E1E"/>
          <w:sz w:val="18"/>
        </w:rPr>
        <w:t>Arquivado o inquérito policial, por despacho do juiz, a requerimento do promotor de justiça, não pode a ação penal ser iniciada, sem novas provas.</w:t>
      </w:r>
    </w:p>
    <w:p>
      <w:pPr>
        <w:ind w:left="288"/>
      </w:pPr>
      <w:r>
        <w:rPr>
          <w:b/>
          <w:color w:val="003CA0"/>
          <w:sz w:val="16"/>
        </w:rPr>
        <w:t>[Súmula 524.]</w:t>
      </w:r>
    </w:p>
    <w:p>
      <w:pPr>
        <w:ind w:left="144"/>
      </w:pPr>
      <w:r>
        <w:rPr>
          <w:b/>
          <w:color w:val="B45A00"/>
          <w:sz w:val="16"/>
        </w:rPr>
        <w:t>CONTROLE CONCENTRADO</w:t>
      </w:r>
    </w:p>
    <w:p>
      <w:pPr>
        <w:ind w:left="288"/>
      </w:pPr>
      <w:r>
        <w:rPr>
          <w:color w:val="8C8C8C"/>
          <w:sz w:val="12"/>
        </w:rPr>
        <w:t>cf-art-144-par-4</w:t>
      </w:r>
      <w:r>
        <w:rPr>
          <w:color w:val="003CA0"/>
          <w:sz w:val="12"/>
        </w:rPr>
        <w:t xml:space="preserve"> | ADI 5.667</w:t>
      </w:r>
      <w:r>
        <w:rPr>
          <w:color w:val="003CA0"/>
          <w:sz w:val="12"/>
        </w:rPr>
        <w:t xml:space="preserve"> | rel. Nunes Marques</w:t>
      </w:r>
    </w:p>
    <w:p>
      <w:pPr>
        <w:ind w:left="288"/>
      </w:pPr>
      <w:r>
        <w:rPr>
          <w:color w:val="1E1E1E"/>
          <w:sz w:val="18"/>
        </w:rPr>
        <w:t>policial-judiciário. (...) O processo judicial consiste em, principalmente, olhar e reconstruir o passado para que o juiz possa julgar um ou mais fatos já ocorridos. (...) As investigações do Cenipa obedecem a lógica diversa. Enquanto o foco da investigação realizada pelas polícias civil e federal e pelo Ministério Público é o passado, considerada a busca por apurar responsabilidades e atribuir sanções em virtude de condutas pretéritas, a investigação feita pelo Cenipa, conquanto também colha provas e evidências das mais diversas, tem os olhos voltados para o futuro, dada a a intenção de evita</w:t>
      </w:r>
    </w:p>
    <w:p>
      <w:pPr>
        <w:ind w:left="288"/>
      </w:pPr>
      <w:r>
        <w:rPr>
          <w:b/>
          <w:color w:val="003CA0"/>
          <w:sz w:val="16"/>
        </w:rPr>
        <w:t>[ADI 3.062, rel. min. Gilmar Mendes, j. 9-9-2010, P, DJE de 12-4-2011.]</w:t>
      </w:r>
    </w:p>
    <w:p>
      <w:pPr>
        <w:ind w:left="288"/>
      </w:pPr>
      <w:r>
        <w:rPr>
          <w:color w:val="8C8C8C"/>
          <w:sz w:val="12"/>
        </w:rPr>
        <w:t>cf-art-144-par-4</w:t>
      </w:r>
      <w:r>
        <w:rPr>
          <w:color w:val="003CA0"/>
          <w:sz w:val="12"/>
        </w:rPr>
        <w:t xml:space="preserve"> | ADI 3.916</w:t>
      </w:r>
      <w:r>
        <w:rPr>
          <w:color w:val="003CA0"/>
          <w:sz w:val="12"/>
        </w:rPr>
        <w:t xml:space="preserve"> | rel. Eros Grau</w:t>
      </w:r>
    </w:p>
    <w:p>
      <w:pPr>
        <w:ind w:left="288"/>
      </w:pPr>
      <w:r>
        <w:rPr>
          <w:color w:val="1E1E1E"/>
          <w:sz w:val="18"/>
        </w:rPr>
        <w:t>A Constituição do Brasil – art. 144, § 4º – define incumbirem às polícias civis "as funções de polícia judiciária e a apuração de infrações penais, exceto as militares". Não menciona a atividade penitenciária, que diz com a guarda dos estabelecimentos prisionais; não atribui essa atividade específica à polícia civil.</w:t>
      </w:r>
    </w:p>
    <w:p>
      <w:pPr>
        <w:ind w:left="288"/>
      </w:pPr>
      <w:r>
        <w:rPr>
          <w:b/>
          <w:color w:val="003CA0"/>
          <w:sz w:val="16"/>
        </w:rPr>
        <w:t>[ADI 3.916, rel. min. Eros Grau, j. 3-2-2010, P, DJE de 14-5-2010.]</w:t>
      </w:r>
    </w:p>
    <w:p>
      <w:pPr>
        <w:ind w:left="288"/>
      </w:pPr>
      <w:r>
        <w:rPr>
          <w:color w:val="8C8C8C"/>
          <w:sz w:val="12"/>
        </w:rPr>
        <w:t>cf-art-144-par-4</w:t>
      </w:r>
      <w:r>
        <w:rPr>
          <w:color w:val="003CA0"/>
          <w:sz w:val="12"/>
        </w:rPr>
        <w:t xml:space="preserve"> | ADI 3.614</w:t>
      </w:r>
    </w:p>
    <w:p>
      <w:pPr>
        <w:ind w:left="288"/>
      </w:pPr>
      <w:r>
        <w:rPr>
          <w:color w:val="1E1E1E"/>
          <w:sz w:val="18"/>
        </w:rPr>
        <w:t>Constitucional. Administrativo. Decreto 1.557/2003 do Estado do Paraná, que atribui a subtenentes ou sargentos combatentes o atendimento nas delegacias de polícia, nos Municípios que não dispõem de servidor de carreira para o desempenho das funções de delegado de polícia. Desvio de função. Ofensa ao art. 144, caput, IV e V e §§ 4º e 5º, da Constituição da República. Ação direta julgada procedente.</w:t>
      </w:r>
    </w:p>
    <w:p>
      <w:pPr>
        <w:ind w:left="288"/>
      </w:pPr>
      <w:r>
        <w:rPr>
          <w:b/>
          <w:color w:val="003CA0"/>
          <w:sz w:val="16"/>
        </w:rPr>
        <w:t>[ADI 3.614, red. do ac. min. Cármen Lúcia, j. 20-9-2007, P, DJ de 23-11-2007.]</w:t>
      </w:r>
    </w:p>
    <w:p>
      <w:pPr>
        <w:ind w:left="288"/>
      </w:pPr>
      <w:r>
        <w:rPr>
          <w:color w:val="8C8C8C"/>
          <w:sz w:val="12"/>
        </w:rPr>
        <w:t>cf-art-144-par-4</w:t>
      </w:r>
      <w:r>
        <w:rPr>
          <w:color w:val="003CA0"/>
          <w:sz w:val="12"/>
        </w:rPr>
        <w:t xml:space="preserve"> | ADI 3.441</w:t>
      </w:r>
      <w:r>
        <w:rPr>
          <w:color w:val="003CA0"/>
          <w:sz w:val="12"/>
        </w:rPr>
        <w:t xml:space="preserve"> | rel. Ayres Britto</w:t>
      </w:r>
    </w:p>
    <w:p>
      <w:pPr>
        <w:ind w:left="288"/>
      </w:pPr>
      <w:r>
        <w:rPr>
          <w:color w:val="1E1E1E"/>
          <w:sz w:val="18"/>
        </w:rPr>
        <w:t>Constitucional. Ação direta de inconstitucionalidade. Impugnação da expressão "podem ser exercidas por policial civil ou militar e correspondem, exclusivamente, ao desempenho das atividades de direção e chefia das delegacias de polícia do interior do Estado". Parágrafo único do art. 4º da Lei 7.138, de 25 de março de 1998, do Estado do Rio Grande do Norte. Em frontal violação ao § 4º do art. 144 da Constituição, a expressão impugnada faculta a policiais civis e militares o desempenho de atividades que são privativas dos delegados de polícia de carreira. De outra parte, o § 5º do art. 144 da Ca</w:t>
      </w:r>
    </w:p>
    <w:p>
      <w:pPr>
        <w:ind w:left="288"/>
      </w:pPr>
      <w:r>
        <w:rPr>
          <w:b/>
          <w:color w:val="003CA0"/>
          <w:sz w:val="16"/>
        </w:rPr>
        <w:t>[ADI 3.441, rel. min. Ayres Britto, j. 5-10-2006, P, DJ de 9-3-2007.]</w:t>
      </w:r>
    </w:p>
    <w:p>
      <w:pPr>
        <w:ind w:left="144"/>
      </w:pPr>
      <w:r>
        <w:rPr>
          <w:b/>
          <w:color w:val="B45A00"/>
          <w:sz w:val="16"/>
        </w:rPr>
        <w:t>REPERCUSSAO GERAL</w:t>
      </w:r>
    </w:p>
    <w:p>
      <w:pPr>
        <w:ind w:left="288"/>
      </w:pPr>
      <w:r>
        <w:rPr>
          <w:color w:val="8C8C8C"/>
          <w:sz w:val="12"/>
        </w:rPr>
        <w:t>cf-art-144-par-4</w:t>
      </w:r>
      <w:r>
        <w:rPr>
          <w:color w:val="003CA0"/>
          <w:sz w:val="12"/>
        </w:rPr>
        <w:t xml:space="preserve"> | RE 593.727</w:t>
      </w:r>
    </w:p>
    <w:p>
      <w:pPr>
        <w:ind w:left="288"/>
      </w:pPr>
      <w:r>
        <w:rPr>
          <w:color w:val="1E1E1E"/>
          <w:sz w:val="18"/>
        </w:rPr>
        <w:t>O Ministério Público dispõe de competência para promover, por autoridade própria, e por prazo razoável, investigações de natureza penal, desde que respeitados os direitos e garantias que assistem a qualquer indiciado ou a qualquer pessoa sob investigação do Estado, observadas, sempre, por seus agentes, as hipóteses de reserva constitucional de jurisdição e, também, as prerrogativas profissionais de que se acham investidos, em nosso país, os advogados (Lei 8.906/1994, art. 7º, notadamente os incisos I, II, III, XI, XIII, XIV e XIX), sem prejuízo da possibilidade – sempre presente no Estado Demo</w:t>
      </w:r>
    </w:p>
    <w:p>
      <w:pPr>
        <w:ind w:left="144"/>
      </w:pPr>
      <w:r>
        <w:rPr>
          <w:b/>
          <w:color w:val="B45A00"/>
          <w:sz w:val="16"/>
        </w:rPr>
        <w:t>JULGADOS CORRELATOS</w:t>
      </w:r>
    </w:p>
    <w:p>
      <w:pPr>
        <w:ind w:left="288"/>
      </w:pPr>
      <w:r>
        <w:rPr>
          <w:color w:val="8C8C8C"/>
          <w:sz w:val="12"/>
        </w:rPr>
        <w:t>cf-art-144-par-4</w:t>
      </w:r>
      <w:r>
        <w:rPr>
          <w:color w:val="003CA0"/>
          <w:sz w:val="12"/>
        </w:rPr>
        <w:t xml:space="preserve"> | HC 91.661</w:t>
      </w:r>
      <w:r>
        <w:rPr>
          <w:color w:val="003CA0"/>
          <w:sz w:val="12"/>
        </w:rPr>
        <w:t xml:space="preserve"> | rel. Ellen Gracie</w:t>
      </w:r>
    </w:p>
    <w:p>
      <w:pPr>
        <w:ind w:left="288"/>
      </w:pPr>
      <w:r>
        <w:rPr>
          <w:color w:val="1E1E1E"/>
          <w:sz w:val="18"/>
        </w:rPr>
        <w:t>Possibilidade de investigação pelo Ministério Público. Delitos praticados por policiais. A presente impetração visa ao trancamento de ação penal movida em face dos pacientes, sob a alegação de falta de justa causa e de ilicitude da denúncia por estar amparada em depoimentos colhidos pelo Ministério Público. (...) É perfeitamente possível que o órgão do Ministério Público promova a colheita de determinados elementos de prova que demonstrem a existência da autoria e da materialidade de determinado delito. Tal conclusão não significa retirar da polícia judiciária as atribuições previstas constitu</w:t>
      </w:r>
    </w:p>
    <w:p>
      <w:pPr>
        <w:ind w:left="288"/>
      </w:pPr>
      <w:r>
        <w:rPr>
          <w:b/>
          <w:color w:val="003CA0"/>
          <w:sz w:val="16"/>
        </w:rPr>
        <w:t>[HC 91.661, rel. min. Ellen Gracie, j. 10-3-2009, 2ª T, DJE de 3-4-2009.]</w:t>
      </w:r>
    </w:p>
    <w:p>
      <w:pPr>
        <w:ind w:left="288"/>
      </w:pPr>
      <w:r>
        <w:rPr>
          <w:color w:val="8C8C8C"/>
          <w:sz w:val="12"/>
        </w:rPr>
        <w:t>cf-art-144-par-4</w:t>
      </w:r>
      <w:r>
        <w:rPr>
          <w:color w:val="003CA0"/>
          <w:sz w:val="12"/>
        </w:rPr>
        <w:t xml:space="preserve"> | HC 93.930</w:t>
      </w:r>
      <w:r>
        <w:rPr>
          <w:color w:val="003CA0"/>
          <w:sz w:val="12"/>
        </w:rPr>
        <w:t xml:space="preserve"> | rel. Gilmar Mendes</w:t>
      </w:r>
    </w:p>
    <w:p>
      <w:pPr>
        <w:ind w:left="288"/>
      </w:pPr>
      <w:r>
        <w:rPr>
          <w:color w:val="1E1E1E"/>
          <w:sz w:val="18"/>
        </w:rPr>
        <w:t>= HC 93.930, rel. min. Gilmar Mendes, j. 7-12-2010, 2ª T, DJE de 3-2-2011</w:t>
      </w:r>
    </w:p>
    <w:p>
      <w:pPr>
        <w:ind w:left="288"/>
      </w:pPr>
      <w:r>
        <w:rPr>
          <w:color w:val="8C8C8C"/>
          <w:sz w:val="12"/>
        </w:rPr>
        <w:t>cf-art-144-par-5</w:t>
      </w:r>
      <w:r>
        <w:rPr>
          <w:color w:val="003CA0"/>
          <w:sz w:val="12"/>
        </w:rPr>
        <w:t xml:space="preserve"> | RE 1.417.155</w:t>
      </w:r>
      <w:r>
        <w:rPr>
          <w:color w:val="003CA0"/>
          <w:sz w:val="12"/>
        </w:rPr>
        <w:t xml:space="preserve"> | rel. Dias Toffoli</w:t>
      </w:r>
    </w:p>
    <w:p>
      <w:pPr>
        <w:ind w:left="288"/>
      </w:pPr>
      <w:r>
        <w:rPr>
          <w:color w:val="1E1E1E"/>
          <w:sz w:val="18"/>
        </w:rPr>
        <w:t>“São constitucionais as taxas estaduais pela utilização, efetiva ou potencial, dos serviços públicos de prevenção e combate a incêndios, busca, salvamento ou resgate prestados ao contribuinte ou postos a sua disposição pelos corpos de bombeiros militares”.</w:t>
      </w:r>
    </w:p>
    <w:p>
      <w:pPr>
        <w:ind w:left="288"/>
      </w:pPr>
      <w:r>
        <w:rPr>
          <w:b/>
          <w:color w:val="003CA0"/>
          <w:sz w:val="16"/>
        </w:rPr>
        <w:t>[RE 1.417.155, rel. min. Dias Toffoli, j. 26.03.2025, P, DJE de 29.05.2025, Tema 1.282, com mérito julgado.]</w:t>
      </w:r>
    </w:p>
    <w:p>
      <w:pPr>
        <w:ind w:left="288"/>
      </w:pPr>
      <w:r>
        <w:rPr>
          <w:color w:val="8C8C8C"/>
          <w:sz w:val="12"/>
        </w:rPr>
        <w:t>cf-art-144-par-5</w:t>
      </w:r>
      <w:r>
        <w:rPr>
          <w:color w:val="003CA0"/>
          <w:sz w:val="12"/>
        </w:rPr>
        <w:t xml:space="preserve"> | HC 101.564</w:t>
      </w:r>
      <w:r>
        <w:rPr>
          <w:color w:val="003CA0"/>
          <w:sz w:val="12"/>
        </w:rPr>
        <w:t xml:space="preserve"> | rel. Gilmar Mendes</w:t>
      </w:r>
    </w:p>
    <w:p>
      <w:pPr>
        <w:ind w:left="288"/>
      </w:pPr>
      <w:r>
        <w:rPr>
          <w:color w:val="1E1E1E"/>
          <w:sz w:val="18"/>
        </w:rPr>
        <w:t xml:space="preserve">(...) reputo não haver que se falar em manifesta ilegalidade em ato emanado de superior hierárquico consistente em determinar a subordinado que se dirija à cadeia pública, a fim de reforçar a guarda do local. Por outro lado, tenho para mim que a obediência reflete um dos grandes deveres do militar, não cabendo ao subalterno recusar a obediência devida ao superior, sobretudo levando-se em conta os primados da hierarquia e da disciplina. Ademais, inviável delimitar, de forma peremptória, o que seria, dentro da organização militar, ordem legal, ilegal ou manifestamente ilegal, uma vez que não há </w:t>
      </w:r>
    </w:p>
    <w:p>
      <w:pPr>
        <w:ind w:left="288"/>
      </w:pPr>
      <w:r>
        <w:rPr>
          <w:b/>
          <w:color w:val="003CA0"/>
          <w:sz w:val="16"/>
        </w:rPr>
        <w:t>[HC 101.564, voto do rel. min. Gilmar Mendes, j. 30-11-2010, 2ª T, DJE de 15-12-2010.]</w:t>
      </w:r>
    </w:p>
    <w:p>
      <w:pPr>
        <w:ind w:left="288"/>
      </w:pPr>
      <w:r>
        <w:rPr>
          <w:color w:val="8C8C8C"/>
          <w:sz w:val="12"/>
        </w:rPr>
        <w:t>cf-art-144-par-6</w:t>
      </w:r>
      <w:r>
        <w:rPr>
          <w:color w:val="003CA0"/>
          <w:sz w:val="12"/>
        </w:rPr>
        <w:t xml:space="preserve"> | ADI 5.622</w:t>
      </w:r>
      <w:r>
        <w:rPr>
          <w:color w:val="003CA0"/>
          <w:sz w:val="12"/>
        </w:rPr>
        <w:t xml:space="preserve"> | rel. Nunes Marques</w:t>
      </w:r>
    </w:p>
    <w:p>
      <w:pPr>
        <w:ind w:left="288"/>
      </w:pPr>
      <w:r>
        <w:rPr>
          <w:color w:val="1E1E1E"/>
          <w:sz w:val="18"/>
        </w:rPr>
        <w:t>São inconstitucionais a equiparação da carreira de delegado de polícia às carreiras jurídicas e a fixação de teto remuneratório em desconformidade com o preconizado no art. 37, XI, da Constituição Federal.</w:t>
      </w:r>
    </w:p>
    <w:p>
      <w:pPr>
        <w:ind w:left="288"/>
      </w:pPr>
      <w:r>
        <w:rPr>
          <w:b/>
          <w:color w:val="003CA0"/>
          <w:sz w:val="16"/>
        </w:rPr>
        <w:t>[ADI 5.622, rel. min. Nunes Marques, j. 28.08.2025, P, Informativo STF 1.188.]</w:t>
      </w:r>
    </w:p>
    <w:p>
      <w:pPr>
        <w:ind w:left="144"/>
      </w:pPr>
      <w:r>
        <w:rPr>
          <w:b/>
          <w:color w:val="B45A00"/>
          <w:sz w:val="16"/>
        </w:rPr>
        <w:t>CONTROLE CONCENTRADO</w:t>
      </w:r>
    </w:p>
    <w:p>
      <w:pPr>
        <w:ind w:left="288"/>
      </w:pPr>
      <w:r>
        <w:rPr>
          <w:color w:val="8C8C8C"/>
          <w:sz w:val="12"/>
        </w:rPr>
        <w:t>cf-art-144-par-6</w:t>
      </w:r>
      <w:r>
        <w:rPr>
          <w:color w:val="003CA0"/>
          <w:sz w:val="12"/>
        </w:rPr>
        <w:t xml:space="preserve"> | ADI 3.608</w:t>
      </w:r>
      <w:r>
        <w:rPr>
          <w:color w:val="003CA0"/>
          <w:sz w:val="12"/>
        </w:rPr>
        <w:t xml:space="preserve"> | rel. Nunes Marques</w:t>
      </w:r>
    </w:p>
    <w:p>
      <w:pPr>
        <w:ind w:left="288"/>
      </w:pPr>
      <w:r>
        <w:rPr>
          <w:color w:val="1E1E1E"/>
          <w:sz w:val="18"/>
        </w:rPr>
        <w:t>Compete privativamente à União legislar sobre normas gerais de organização, efetivos e convocação das polícias militares e dos corpos de bombeiros militares (CF, art. 22, XXI). Essa previsão não exclui aquela do art. 144, § 6º, segundo a qual as polícias militares e os corpos de bombeiros militares são forças auxiliares e reserva do Exército, subordinando-se aos Governadores dos Estados, do Distrito Federal e dos Territórios. (...) O prazo de duração consiste em elemento essencial do serviço voluntário, a ser disciplinado pelos Estados-membros nos termos estabelecidos pela norma geral da União</w:t>
      </w:r>
    </w:p>
    <w:p>
      <w:pPr>
        <w:ind w:left="288"/>
      </w:pPr>
      <w:r>
        <w:rPr>
          <w:b/>
          <w:color w:val="003CA0"/>
          <w:sz w:val="16"/>
        </w:rPr>
        <w:t>[ADI 6.923, rel. min. Edson Fachin, j. 3-11-2022, P, DJE de 23-11-2022.]</w:t>
      </w:r>
    </w:p>
    <w:p>
      <w:pPr>
        <w:ind w:left="288"/>
      </w:pPr>
      <w:r>
        <w:rPr>
          <w:color w:val="8C8C8C"/>
          <w:sz w:val="12"/>
        </w:rPr>
        <w:t>cf-art-144-par-6</w:t>
      </w:r>
      <w:r>
        <w:rPr>
          <w:color w:val="003CA0"/>
          <w:sz w:val="12"/>
        </w:rPr>
        <w:t xml:space="preserve"> | ADPF 635</w:t>
      </w:r>
      <w:r>
        <w:rPr>
          <w:color w:val="003CA0"/>
          <w:sz w:val="12"/>
        </w:rPr>
        <w:t xml:space="preserve"> | rel. Edson Fachin</w:t>
      </w:r>
    </w:p>
    <w:p>
      <w:pPr>
        <w:ind w:left="288"/>
      </w:pPr>
      <w:r>
        <w:rPr>
          <w:color w:val="1E1E1E"/>
          <w:sz w:val="18"/>
        </w:rPr>
        <w:t>Não cabe ao Judiciário o exame minudente de todas as situações em que o uso de um helicóptero ou a prática de tiro embarcado possa ser justificada, mas é dever do Executivo justificar à luz da estrita necessidade, caso a caso, a razão para fazer uso do equipamento, não apenas quando houver letalidade, mas também sempre que um disparo seja efetuado. No exercício de sua competência material para promover as ações de policiamento, o Poder Executivo deve dispor de todos os meios legais necessários para cumprir seu mister, desde que haja justificativa hábil a tanto, verificável à luz dos parâmetros</w:t>
      </w:r>
    </w:p>
    <w:p>
      <w:pPr>
        <w:ind w:left="288"/>
      </w:pPr>
      <w:r>
        <w:rPr>
          <w:b/>
          <w:color w:val="003CA0"/>
          <w:sz w:val="16"/>
        </w:rPr>
        <w:t>[ADPF 635 MC, rel. min. Edson Fachin, j. 18-8-2022, P, DJE de 2-6-2022.]</w:t>
      </w:r>
    </w:p>
    <w:p>
      <w:pPr>
        <w:ind w:left="288"/>
      </w:pPr>
      <w:r>
        <w:rPr>
          <w:color w:val="8C8C8C"/>
          <w:sz w:val="12"/>
        </w:rPr>
        <w:t>cf-art-144-par-7</w:t>
      </w:r>
      <w:r>
        <w:rPr>
          <w:color w:val="003CA0"/>
          <w:sz w:val="12"/>
        </w:rPr>
        <w:t xml:space="preserve"> | ADI 4.173</w:t>
      </w:r>
      <w:r>
        <w:rPr>
          <w:color w:val="003CA0"/>
          <w:sz w:val="12"/>
        </w:rPr>
        <w:t xml:space="preserve"> | rel. Alexandre de Moraes</w:t>
      </w:r>
    </w:p>
    <w:p>
      <w:pPr>
        <w:ind w:left="288"/>
      </w:pPr>
      <w:r>
        <w:rPr>
          <w:color w:val="1E1E1E"/>
          <w:sz w:val="18"/>
        </w:rPr>
        <w:t>A Lei Federal 10.029/2000, que estabeleceu os parâmetros de organização de serviços voluntários nas Polícias Militares e nos Corpos de Bombeiros Militares, possui caráter nacional e foi editada dentro dos limites da competência da União (arts. 22, XXI, e 144, § 7º, da CF).</w:t>
      </w:r>
    </w:p>
    <w:p>
      <w:pPr>
        <w:ind w:left="288"/>
      </w:pPr>
      <w:r>
        <w:rPr>
          <w:b/>
          <w:color w:val="003CA0"/>
          <w:sz w:val="16"/>
        </w:rPr>
        <w:t>[ADI 4.173, rel. min. Alexandre de Moraes, j. 19-12-2018, P, DJE de 25-2-2019.]</w:t>
      </w:r>
    </w:p>
    <w:p>
      <w:pPr>
        <w:ind w:left="288"/>
      </w:pPr>
      <w:r>
        <w:rPr>
          <w:color w:val="8C8C8C"/>
          <w:sz w:val="12"/>
        </w:rPr>
        <w:t>cf-art-144-par-7</w:t>
      </w:r>
      <w:r>
        <w:rPr>
          <w:color w:val="003CA0"/>
          <w:sz w:val="12"/>
        </w:rPr>
        <w:t xml:space="preserve"> | ADI 2.314</w:t>
      </w:r>
    </w:p>
    <w:p>
      <w:pPr>
        <w:ind w:left="288"/>
      </w:pPr>
      <w:r>
        <w:rPr>
          <w:color w:val="1E1E1E"/>
          <w:sz w:val="18"/>
        </w:rPr>
        <w:t>A previsão, na Carta estadual, da regência, quanto à polícia civil, mediante lei complementar não conflita com a CF.</w:t>
      </w:r>
    </w:p>
    <w:p>
      <w:pPr>
        <w:ind w:left="288"/>
      </w:pPr>
      <w:r>
        <w:rPr>
          <w:b/>
          <w:color w:val="003CA0"/>
          <w:sz w:val="16"/>
        </w:rPr>
        <w:t>[ADI 2.314, red. do ac. min. Marco Aurélio, j. 17-6-2015, P, DJE de 7-10-2015.]</w:t>
      </w:r>
    </w:p>
    <w:p>
      <w:pPr>
        <w:ind w:left="288"/>
      </w:pPr>
      <w:r>
        <w:rPr>
          <w:color w:val="8C8C8C"/>
          <w:sz w:val="12"/>
        </w:rPr>
        <w:t>cf-art-144-par-8</w:t>
      </w:r>
      <w:r>
        <w:rPr>
          <w:color w:val="003CA0"/>
          <w:sz w:val="12"/>
        </w:rPr>
        <w:t xml:space="preserve"> | RE 846.854</w:t>
      </w:r>
      <w:r>
        <w:rPr>
          <w:color w:val="003CA0"/>
          <w:sz w:val="12"/>
        </w:rPr>
        <w:t xml:space="preserve"> | rel. Cármen Lúcia</w:t>
      </w:r>
    </w:p>
    <w:p>
      <w:pPr>
        <w:ind w:left="288"/>
      </w:pPr>
      <w:r>
        <w:rPr>
          <w:color w:val="1E1E1E"/>
          <w:sz w:val="18"/>
        </w:rPr>
        <w:t>(...) o Plenário desta SUPREMA CORTE, no julgamento do RE 846.854/SP, reconheceu que as Guardas Municipais executam atividade de segurança pública (art. 144, § 8º, da CF), essencial ao atendimento de necessidades inadiáveis da comunidade (art. 9º, § 1º, da CF). O reconhecimento dessa posição institucional das Guardas Municipais possibilitou ao Parlamento, com base no § 7º do artigo 144 da Constituição Federal, editar a Lei nº 13.675, de 11/6/2018, na qual as Guardas Municipais são colocadas como integrantes operacionais do Sistema Único de Segurança Pública (art. 9º, § 1º, inciso VII). Se cabe</w:t>
      </w:r>
    </w:p>
    <w:p>
      <w:pPr>
        <w:ind w:left="288"/>
      </w:pPr>
      <w:r>
        <w:rPr>
          <w:b/>
          <w:color w:val="003CA0"/>
          <w:sz w:val="16"/>
        </w:rPr>
        <w:t>[RE 608.588, rel. min. Luiz Fux, j. 20.02.2025, P, DJE de 22.08.2025, Tema 656, com mérito julgado.]</w:t>
      </w:r>
    </w:p>
    <w:p>
      <w:pPr>
        <w:ind w:left="144"/>
      </w:pPr>
      <w:r>
        <w:rPr>
          <w:b/>
          <w:color w:val="B45A00"/>
          <w:sz w:val="16"/>
        </w:rPr>
        <w:t>REPERCUSSAO GERAL</w:t>
      </w:r>
    </w:p>
    <w:p>
      <w:pPr>
        <w:ind w:left="288"/>
      </w:pPr>
      <w:r>
        <w:rPr>
          <w:color w:val="8C8C8C"/>
          <w:sz w:val="12"/>
        </w:rPr>
        <w:t>cf-art-144-par-8</w:t>
      </w:r>
      <w:r>
        <w:rPr>
          <w:color w:val="003CA0"/>
          <w:sz w:val="12"/>
        </w:rPr>
        <w:t xml:space="preserve"> | RE 658.570</w:t>
      </w:r>
    </w:p>
    <w:p>
      <w:pPr>
        <w:ind w:left="288"/>
      </w:pPr>
      <w:r>
        <w:rPr>
          <w:color w:val="1E1E1E"/>
          <w:sz w:val="18"/>
        </w:rPr>
        <w:t>(...) é constitucional a atribuição às guardas municipais do exercício de poder de polícia de trânsito, inclusive para imposição de sanções administrativas legalmente previstas.</w:t>
      </w:r>
    </w:p>
    <w:p>
      <w:pPr>
        <w:ind w:left="288"/>
      </w:pPr>
      <w:r>
        <w:rPr>
          <w:b/>
          <w:color w:val="003CA0"/>
          <w:sz w:val="16"/>
        </w:rPr>
        <w:t>[RE 658.570, red. do ac. min. Roberto Barroso, j. 6-8-2015, P, DJE de 30-9-2015, Tema 472, com mérito julgado.]</w:t>
      </w:r>
    </w:p>
    <w:p>
      <w:pPr>
        <w:ind w:left="144"/>
      </w:pPr>
      <w:r>
        <w:rPr>
          <w:b/>
          <w:color w:val="B45A00"/>
          <w:sz w:val="16"/>
        </w:rPr>
        <w:t>JULGADOS CORRELATOS</w:t>
      </w:r>
    </w:p>
    <w:p>
      <w:pPr>
        <w:ind w:left="288"/>
      </w:pPr>
      <w:r>
        <w:rPr>
          <w:color w:val="8C8C8C"/>
          <w:sz w:val="12"/>
        </w:rPr>
        <w:t>cf-art-144-par-8</w:t>
      </w:r>
      <w:r>
        <w:rPr>
          <w:color w:val="003CA0"/>
          <w:sz w:val="12"/>
        </w:rPr>
        <w:t xml:space="preserve"> | RE 1.465.829</w:t>
      </w:r>
      <w:r>
        <w:rPr>
          <w:color w:val="003CA0"/>
          <w:sz w:val="12"/>
        </w:rPr>
        <w:t xml:space="preserve"> | rel. Alexandre de Moraes</w:t>
      </w:r>
    </w:p>
    <w:p>
      <w:pPr>
        <w:ind w:left="288"/>
      </w:pPr>
      <w:r>
        <w:rPr>
          <w:color w:val="1E1E1E"/>
          <w:sz w:val="18"/>
        </w:rPr>
        <w:t>As guardas civis municipais fazem parte do Sistema Único de Segurança Pública (SUSP), e, uma vez que a jurisprudência da Corte considera razoável a exigência do requisito de altura mínima para ingresso nas carreiras ligadas à segurança pública, tal requisito mostra-se razoável também para o ingresso nas guardas civis municipais. Necessidade de adequação da legislação municipal questionada ao parâmetro constante da Lei Federal nº 12.705/2012 (1,60 m para homens e 1,55 m para mulheres), o qual foi considerado razoável pelo Plenário (ADI nº 5.044, Rel. Min. Alexandre de Moraes, Tribunal Pleno, DJ</w:t>
      </w:r>
    </w:p>
    <w:p>
      <w:pPr>
        <w:ind w:left="288"/>
      </w:pPr>
      <w:r>
        <w:rPr>
          <w:b/>
          <w:color w:val="003CA0"/>
          <w:sz w:val="16"/>
        </w:rPr>
        <w:t>[RE 1.471.280 AgR, rel. min. Alexandre de Moraes, j. 26.02.2024, 1ª T, DJE de 06.03.2024.]</w:t>
      </w:r>
    </w:p>
    <w:p>
      <w:pPr>
        <w:ind w:left="288"/>
      </w:pPr>
      <w:r>
        <w:rPr>
          <w:color w:val="8C8C8C"/>
          <w:sz w:val="12"/>
        </w:rPr>
        <w:t>cf-art-144-par-8</w:t>
      </w:r>
      <w:r>
        <w:rPr>
          <w:color w:val="003CA0"/>
          <w:sz w:val="12"/>
        </w:rPr>
        <w:t xml:space="preserve"> | RE 1.298.758</w:t>
      </w:r>
      <w:r>
        <w:rPr>
          <w:color w:val="003CA0"/>
          <w:sz w:val="12"/>
        </w:rPr>
        <w:t xml:space="preserve"> | rel. Alexandre de Moraes</w:t>
      </w:r>
    </w:p>
    <w:p>
      <w:pPr>
        <w:ind w:left="288"/>
      </w:pPr>
      <w:r>
        <w:rPr>
          <w:color w:val="1E1E1E"/>
          <w:sz w:val="18"/>
        </w:rPr>
        <w:t>A Constituição Federal conferiu aos Municípios a possibilidade de instituírem suas guardas municipais, conforme o artigo 144, § 8º. A norma está dentro de um sistema constitucional federativo estruturado, de forma que a regulamentação deve ser compatível com as disposições da própria Constituição Federal, da Constituição Local, bem como da Lei Federal que disciplina a matéria. O Município de Paulínea/SP, no âmbito de suas atribuições, editou o Código de Conduta de sua Guarda Municipal, por meio da Lei Complementar 59, de 29 de fevereiro de 2016. O inciso I do § 1º do art. 54 considera infração</w:t>
      </w:r>
    </w:p>
    <w:p>
      <w:pPr>
        <w:ind w:left="288"/>
      </w:pPr>
      <w:r>
        <w:rPr>
          <w:b/>
          <w:color w:val="003CA0"/>
          <w:sz w:val="16"/>
        </w:rPr>
        <w:t>[RE 1.298.758 AgR, rel. min. Alexandre de Moraes, j. 8-3-2021, 1ª T, DJE de 15-3-2021.]</w:t>
      </w:r>
    </w:p>
    <w:p>
      <w:pPr>
        <w:ind w:left="288"/>
      </w:pPr>
      <w:r>
        <w:rPr>
          <w:color w:val="8C8C8C"/>
          <w:sz w:val="12"/>
        </w:rPr>
        <w:t>cf-art-144-par-9</w:t>
      </w:r>
      <w:r>
        <w:rPr>
          <w:color w:val="003CA0"/>
          <w:sz w:val="12"/>
        </w:rPr>
        <w:t xml:space="preserve"> | ADI 4.921</w:t>
      </w:r>
      <w:r>
        <w:rPr>
          <w:color w:val="003CA0"/>
          <w:sz w:val="12"/>
        </w:rPr>
        <w:t xml:space="preserve"> | rel. Nunes Marques</w:t>
      </w:r>
    </w:p>
    <w:p>
      <w:pPr>
        <w:ind w:left="288"/>
      </w:pPr>
      <w:r>
        <w:rPr>
          <w:color w:val="1E1E1E"/>
          <w:sz w:val="18"/>
        </w:rPr>
        <w:t>Ação direta em que se discute a constitucionalidade: (...) da Lei Complementar n. 131, de 9 de abril de 2008 (...) a ratificar o reajuste diferenciado e estabelecer o regime de subsídio apenas para a carreira de Delegado de Polícia (...). (...) A estipulação da sistemática de subsídio para efeito de remuneração da carreira dos delegados de polícia (LC n. 131/2008 do Estado de Roraima), fundamentada em política remuneratória atribuída aos entes da Federação, concretiza os ditames revelados nos arts. 144, § 9º, e 39, § 4º, da CF/1988, sem ofensa à isonomia.</w:t>
      </w:r>
    </w:p>
    <w:p>
      <w:pPr>
        <w:ind w:left="288"/>
      </w:pPr>
      <w:r>
        <w:rPr>
          <w:b/>
          <w:color w:val="003CA0"/>
          <w:sz w:val="16"/>
        </w:rPr>
        <w:t>[ADI 4.921, rel. min. Nunes Marques, j. 20.10.2025, P, DJE de 27.10.2025.]</w:t>
      </w:r>
    </w:p>
    <w:p>
      <w:pPr>
        <w:ind w:left="144"/>
      </w:pPr>
      <w:r>
        <w:rPr>
          <w:b/>
          <w:color w:val="B45A00"/>
          <w:sz w:val="16"/>
        </w:rPr>
        <w:t>CONTROLE CONCENTRADO</w:t>
      </w:r>
    </w:p>
    <w:p>
      <w:pPr>
        <w:ind w:left="288"/>
      </w:pPr>
      <w:r>
        <w:rPr>
          <w:color w:val="8C8C8C"/>
          <w:sz w:val="12"/>
        </w:rPr>
        <w:t>cf-art-144-par-9</w:t>
      </w:r>
      <w:r>
        <w:rPr>
          <w:color w:val="003CA0"/>
          <w:sz w:val="12"/>
        </w:rPr>
        <w:t xml:space="preserve"> | ADI 5.517</w:t>
      </w:r>
      <w:r>
        <w:rPr>
          <w:color w:val="003CA0"/>
          <w:sz w:val="12"/>
        </w:rPr>
        <w:t xml:space="preserve"> | rel. Nunes Marques</w:t>
      </w:r>
    </w:p>
    <w:p>
      <w:pPr>
        <w:ind w:left="288"/>
      </w:pPr>
      <w:r>
        <w:rPr>
          <w:color w:val="1E1E1E"/>
          <w:sz w:val="18"/>
        </w:rPr>
        <w:t>Nos termos do § 6º do art. 144 da Constituição Federal, os organismos policiais civis integram a estrutura institucional do Poder Executivo e estão diretamente subordinados ao Governador do Estado. Tal comando constitucional inviabiliza, em relação aos seus dirigentes, isto é, os delegados, a atribuição tanto de autonomia administrativa e financeira quanto de independência funcional. (...). A outorga ao delegado de polícia de tratamento jurídico e de prerrogativas próprias dos membros do Judiciário e do Ministério Público não se compatibiliza com a vinculação hierárquico-administrativa ao Chef</w:t>
      </w:r>
    </w:p>
    <w:p>
      <w:pPr>
        <w:ind w:left="288"/>
      </w:pPr>
      <w:r>
        <w:rPr>
          <w:b/>
          <w:color w:val="003CA0"/>
          <w:sz w:val="16"/>
        </w:rPr>
        <w:t>[ADI 5.517, rel. min. Nunes Marques, j. 22-11-2022, P, DJE de 12-12-2022.]</w:t>
      </w:r>
    </w:p>
    <w:p>
      <w:pPr>
        <w:ind w:left="288"/>
      </w:pPr>
      <w:r>
        <w:rPr>
          <w:color w:val="8C8C8C"/>
          <w:sz w:val="12"/>
        </w:rPr>
        <w:t>cf-art-144-par-9-inc-VI</w:t>
      </w:r>
      <w:r>
        <w:rPr>
          <w:color w:val="003CA0"/>
          <w:sz w:val="12"/>
        </w:rPr>
        <w:t xml:space="preserve"> | ADI 4.059</w:t>
      </w:r>
      <w:r>
        <w:rPr>
          <w:color w:val="003CA0"/>
          <w:sz w:val="12"/>
        </w:rPr>
        <w:t xml:space="preserve"> | rel. Nunes Marques</w:t>
      </w:r>
    </w:p>
    <w:p>
      <w:pPr>
        <w:ind w:left="288"/>
      </w:pPr>
      <w:r>
        <w:rPr>
          <w:color w:val="1E1E1E"/>
          <w:sz w:val="18"/>
        </w:rPr>
        <w:t>A competência atribuída ao Serviço Auxiliar Voluntário, no âmbito da Polícia Militar do Pará, para a guarda de estabelecimentos prisionais não foi recepcionada pela mudança no texto constitucional promovida pela Emenda nº 104/2019, que alterou o inciso XIV do caput do art. 21, o § 4º do art. 32 e o art. 144 da Constituição Federal, para criar as polícias penais federal, estaduais e distrital.</w:t>
      </w:r>
    </w:p>
    <w:p>
      <w:pPr>
        <w:ind w:left="288"/>
      </w:pPr>
      <w:r>
        <w:rPr>
          <w:b/>
          <w:color w:val="003CA0"/>
          <w:sz w:val="16"/>
        </w:rPr>
        <w:t>[ADI 4.059, rel. min. Nunes Marques, red. do ac. Flávio Dino, j. 04.02.2025, P, DJE de 28.03.2025.]</w:t>
      </w:r>
    </w:p>
    <w:p>
      <w:pPr>
        <w:ind w:left="288"/>
      </w:pPr>
      <w:r>
        <w:rPr>
          <w:color w:val="8C8C8C"/>
          <w:sz w:val="12"/>
        </w:rPr>
        <w:t>cf-art-144-par-9-inc-VI</w:t>
      </w:r>
    </w:p>
    <w:p>
      <w:pPr>
        <w:ind w:left="288"/>
      </w:pPr>
      <w:r>
        <w:rPr>
          <w:color w:val="1E1E1E"/>
          <w:sz w:val="18"/>
        </w:rPr>
        <w:t>§ 5º-A. Às polícias penais, vinculadas ao órgão administrador do sistema penal da unidade federativa a que pertencem, cabe a segurança dos estabelecimentos penais. (Incluído pela EC 104/2019)</w:t>
      </w:r>
    </w:p>
    <w:p>
      <w:pPr>
        <w:ind w:left="288"/>
      </w:pPr>
      <w:r>
        <w:rPr>
          <w:color w:val="8C8C8C"/>
          <w:sz w:val="12"/>
        </w:rPr>
        <w:t>cf-art-144-par-9-inc-VI</w:t>
      </w:r>
      <w:r>
        <w:rPr>
          <w:color w:val="003CA0"/>
          <w:sz w:val="12"/>
        </w:rPr>
        <w:t xml:space="preserve"> | ADO 72</w:t>
      </w:r>
      <w:r>
        <w:rPr>
          <w:color w:val="003CA0"/>
          <w:sz w:val="12"/>
        </w:rPr>
        <w:t xml:space="preserve"> | rel. Luiz Fux</w:t>
      </w:r>
    </w:p>
    <w:p>
      <w:pPr>
        <w:ind w:left="288"/>
      </w:pPr>
      <w:r>
        <w:rPr>
          <w:color w:val="1E1E1E"/>
          <w:sz w:val="18"/>
        </w:rPr>
        <w:t>A vigência do estado de emergência em saúde pública decorrente da pandemia da Covid-19, verificada após a promulgação da Emenda Constitucional nº 104/2019, constitui justificativa razoável para o diferimento da plena criação do arcabouço normativo necessário à instituição da Polícia Penal, haja vista a concentração de esforços financeiros dos entes federativos em prol da efetivação de medidas sanitárias e de estímulo econômico. A promulgação da EC nº 51/2022 à Constituição paulista, em que pese não caracterize o pleno cumprimento do comando constante do art. 4º da Emenda Constitucional nº 104/</w:t>
      </w:r>
    </w:p>
    <w:p>
      <w:pPr>
        <w:ind w:left="720"/>
      </w:pPr>
      <w:r>
        <w:rPr>
          <w:color w:val="003366"/>
          <w:sz w:val="18"/>
        </w:rPr>
        <w:t>I – polícia federal;</w:t>
      </w:r>
    </w:p>
    <w:p>
      <w:pPr>
        <w:ind w:left="720"/>
      </w:pPr>
      <w:r>
        <w:rPr>
          <w:color w:val="003366"/>
          <w:sz w:val="18"/>
        </w:rPr>
        <w:t>II – polícia rodoviária federal;</w:t>
      </w:r>
    </w:p>
    <w:p>
      <w:pPr>
        <w:ind w:left="720"/>
      </w:pPr>
      <w:r>
        <w:rPr>
          <w:color w:val="003366"/>
          <w:sz w:val="18"/>
        </w:rPr>
        <w:t>III – polícia ferroviária federal;</w:t>
      </w:r>
    </w:p>
    <w:p>
      <w:pPr>
        <w:ind w:left="720"/>
      </w:pPr>
      <w:r>
        <w:rPr>
          <w:color w:val="003366"/>
          <w:sz w:val="18"/>
        </w:rPr>
        <w:t>IV – polícias civis;</w:t>
      </w:r>
    </w:p>
    <w:p>
      <w:pPr>
        <w:ind w:left="720"/>
      </w:pPr>
      <w:r>
        <w:rPr>
          <w:color w:val="003366"/>
          <w:sz w:val="18"/>
        </w:rPr>
        <w:t>V – polícias militares e corpos de bombeiros militares.</w:t>
      </w:r>
    </w:p>
    <w:p>
      <w:pPr>
        <w:ind w:left="720"/>
      </w:pPr>
      <w:r>
        <w:rPr>
          <w:color w:val="003366"/>
          <w:sz w:val="18"/>
        </w:rPr>
        <w:t>VI – polícias penais federal, estaduais e distrital. (Redação dada pela Emenda C</w:t>
      </w:r>
    </w:p>
    <w:p>
      <w:pPr>
        <w:ind w:left="432"/>
      </w:pPr>
      <w:r>
        <w:rPr>
          <w:color w:val="003366"/>
          <w:sz w:val="18"/>
        </w:rPr>
        <w:t>§ 1 A polícia federal, instituída por lei como órgão permanente, organizado e ma</w:t>
      </w:r>
    </w:p>
    <w:p>
      <w:pPr>
        <w:ind w:left="720"/>
      </w:pPr>
      <w:r>
        <w:rPr>
          <w:color w:val="003366"/>
          <w:sz w:val="18"/>
        </w:rPr>
        <w:t>I – apurar infrações penais contra a ordem política e social ou em detrimento de</w:t>
      </w:r>
    </w:p>
    <w:p>
      <w:pPr>
        <w:ind w:left="720"/>
      </w:pPr>
      <w:r>
        <w:rPr>
          <w:color w:val="003366"/>
          <w:sz w:val="18"/>
        </w:rPr>
        <w:t>II – prevenir e reprimir o tráfico ilícito de entorpecentes e drogas afins, o co</w:t>
      </w:r>
    </w:p>
    <w:p>
      <w:pPr>
        <w:ind w:left="720"/>
      </w:pPr>
      <w:r>
        <w:rPr>
          <w:color w:val="003366"/>
          <w:sz w:val="18"/>
        </w:rPr>
        <w:t>III – exercer as funções de polícia marítima, aeroportuária e de fronteiras; (Re</w:t>
      </w:r>
    </w:p>
    <w:p>
      <w:pPr>
        <w:ind w:left="720"/>
      </w:pPr>
      <w:r>
        <w:rPr>
          <w:color w:val="003366"/>
          <w:sz w:val="18"/>
        </w:rPr>
        <w:t>IV – exercer, com exclusividade, as funções de polícia judiciária da União.</w:t>
      </w:r>
    </w:p>
    <w:p>
      <w:pPr>
        <w:ind w:left="432"/>
      </w:pPr>
      <w:r>
        <w:rPr>
          <w:color w:val="003366"/>
          <w:sz w:val="18"/>
        </w:rPr>
        <w:t>§ 2 A polícia rodoviária federal, órgão permanente, organizado e mantido pela Un</w:t>
      </w:r>
    </w:p>
    <w:p>
      <w:pPr>
        <w:ind w:left="432"/>
      </w:pPr>
      <w:r>
        <w:rPr>
          <w:color w:val="003366"/>
          <w:sz w:val="18"/>
        </w:rPr>
        <w:t>§ 3 A polícia ferroviária federal, órgão permanente, organizado e mantido pela U</w:t>
      </w:r>
    </w:p>
    <w:p>
      <w:pPr>
        <w:ind w:left="432"/>
      </w:pPr>
      <w:r>
        <w:rPr>
          <w:color w:val="003366"/>
          <w:sz w:val="18"/>
        </w:rPr>
        <w:t>§ 4 Às polícias civis, dirigidas por delegados de polícia de carreira, incumbem,</w:t>
      </w:r>
    </w:p>
    <w:p>
      <w:pPr>
        <w:ind w:left="432"/>
      </w:pPr>
      <w:r>
        <w:rPr>
          <w:color w:val="003366"/>
          <w:sz w:val="18"/>
        </w:rPr>
        <w:t>§ 5 Às polícias militares cabem a polícia ostensiva e a preservação da ordem púb</w:t>
      </w:r>
    </w:p>
    <w:p>
      <w:pPr>
        <w:ind w:left="432"/>
      </w:pPr>
      <w:r>
        <w:rPr>
          <w:color w:val="003366"/>
          <w:sz w:val="18"/>
        </w:rPr>
        <w:t>§ 5 A. Às polícias penais, vinculadas ao órgão administrador do sistema penal da</w:t>
      </w:r>
    </w:p>
    <w:p>
      <w:pPr>
        <w:ind w:left="432"/>
      </w:pPr>
      <w:r>
        <w:rPr>
          <w:color w:val="003366"/>
          <w:sz w:val="18"/>
        </w:rPr>
        <w:t xml:space="preserve">§ 6 As polícias militares e os corpos de bombeiros militares, forças auxiliares </w:t>
      </w:r>
    </w:p>
    <w:p>
      <w:pPr>
        <w:ind w:left="432"/>
      </w:pPr>
      <w:r>
        <w:rPr>
          <w:color w:val="003366"/>
          <w:sz w:val="18"/>
        </w:rPr>
        <w:t>§ 7 A lei disciplinará a organização e o funcionamento dos órgãos responsáveis p</w:t>
      </w:r>
    </w:p>
    <w:p>
      <w:pPr>
        <w:ind w:left="432"/>
      </w:pPr>
      <w:r>
        <w:rPr>
          <w:color w:val="003366"/>
          <w:sz w:val="18"/>
        </w:rPr>
        <w:t>§ 8 Os Municípios poderão constituir guardas municipais destinadas à proteção de</w:t>
      </w:r>
    </w:p>
    <w:p>
      <w:pPr>
        <w:ind w:left="432"/>
      </w:pPr>
      <w:r>
        <w:rPr>
          <w:color w:val="003366"/>
          <w:sz w:val="18"/>
        </w:rPr>
        <w:t>§ 9 A remuneração dos servidores policiais integrantes dos órgãos relacionados n</w:t>
      </w:r>
    </w:p>
    <w:p>
      <w:pPr>
        <w:ind w:left="432"/>
      </w:pPr>
      <w:r>
        <w:rPr>
          <w:color w:val="003366"/>
          <w:sz w:val="18"/>
        </w:rPr>
        <w:t>§ 10 A segurança viária, exercida para a preservação da ordem pública e da incol</w:t>
      </w:r>
    </w:p>
    <w:p>
      <w:pPr>
        <w:ind w:left="720"/>
      </w:pPr>
      <w:r>
        <w:rPr>
          <w:color w:val="003366"/>
          <w:sz w:val="18"/>
        </w:rPr>
        <w:t>I – compreende a educação, engenharia e fiscalização de trânsito, além de outras</w:t>
      </w:r>
    </w:p>
    <w:p>
      <w:pPr>
        <w:ind w:left="720"/>
      </w:pPr>
      <w:r>
        <w:rPr>
          <w:color w:val="003366"/>
          <w:sz w:val="18"/>
        </w:rPr>
        <w:t>II – compete, no âmbito dos Estados, do Distrito Federal e dos Municípios, aos r</w:t>
      </w:r>
    </w:p>
    <w:p>
      <w:pPr>
        <w:pStyle w:val="Heading1"/>
      </w:pPr>
      <w:r>
        <w:rPr>
          <w:color w:val="003366"/>
        </w:rPr>
        <w:t>TÍTULO VI</w:t>
      </w:r>
    </w:p>
    <w:p>
      <w:pPr>
        <w:pStyle w:val="Heading2"/>
      </w:pPr>
      <w:r>
        <w:rPr>
          <w:color w:val="003366"/>
        </w:rPr>
        <w:t>CAPÍTULO I - DO SISTEMA TRIBUTÁRIO NACIONAL</w:t>
      </w:r>
    </w:p>
    <w:p>
      <w:pPr>
        <w:pStyle w:val="Heading3"/>
      </w:pPr>
      <w:r>
        <w:rPr>
          <w:color w:val="003366"/>
        </w:rPr>
        <w:t>Seção I - DOS PRINCÍPIOS GERAIS</w:t>
      </w:r>
    </w:p>
    <w:p>
      <w:r>
        <w:rPr>
          <w:b/>
          <w:color w:val="003366"/>
          <w:sz w:val="20"/>
        </w:rPr>
        <w:t>Art. 145 A União, os Estados, o Distrito Federal e os Municípios poderão institu</w:t>
      </w:r>
      <w:r>
        <w:rPr>
          <w:color w:val="8C8C8C"/>
          <w:sz w:val="14"/>
        </w:rPr>
        <w:t xml:space="preserve">  [77 decisoes]</w:t>
      </w:r>
    </w:p>
    <w:p>
      <w:pPr>
        <w:ind w:left="144"/>
      </w:pPr>
      <w:r>
        <w:rPr>
          <w:b/>
          <w:color w:val="B45A00"/>
          <w:sz w:val="16"/>
        </w:rPr>
        <w:t>CONTROLE CONCENTRADO</w:t>
      </w:r>
    </w:p>
    <w:p>
      <w:pPr>
        <w:ind w:left="288"/>
      </w:pPr>
      <w:r>
        <w:rPr>
          <w:color w:val="8C8C8C"/>
          <w:sz w:val="12"/>
        </w:rPr>
        <w:t>cf-art-145</w:t>
      </w:r>
      <w:r>
        <w:rPr>
          <w:color w:val="003CA0"/>
          <w:sz w:val="12"/>
        </w:rPr>
        <w:t xml:space="preserve"> | ADI 2.551</w:t>
      </w:r>
      <w:r>
        <w:rPr>
          <w:color w:val="003CA0"/>
          <w:sz w:val="12"/>
        </w:rPr>
        <w:t xml:space="preserve"> | rel. Celso de Mello</w:t>
      </w:r>
    </w:p>
    <w:p>
      <w:pPr>
        <w:ind w:left="288"/>
      </w:pPr>
      <w:r>
        <w:rPr>
          <w:color w:val="1E1E1E"/>
          <w:sz w:val="18"/>
        </w:rPr>
        <w:t xml:space="preserve">O poder público, especialmente em sede de tributação, não pode agir imoderadamente, pois a atividade estatal acha-se essencialmente condicionada pelo princípio da razoabilidade, que traduz limitação material à ação normativa do Poder Legislativo. O Estado não pode legislar abusivamente. A atividade legislativa está necessariamente sujeita à rígida observância de diretriz fundamental, que, encontrando suporte teórico no princípio da proporcionalidade, veda os excessos normativos e as prescrições irrazoáveis do poder público. O princípio da proporcionalidade, nesse contexto, acha-se vocacionado </w:t>
      </w:r>
    </w:p>
    <w:p>
      <w:pPr>
        <w:ind w:left="288"/>
      </w:pPr>
      <w:r>
        <w:rPr>
          <w:b/>
          <w:color w:val="003CA0"/>
          <w:sz w:val="16"/>
        </w:rPr>
        <w:t>[ADI 2.551 MC-QO, rel. min. Celso de Mello, j. 2-4-2003, P, DJ de 20-4-2006.]</w:t>
      </w:r>
    </w:p>
    <w:p>
      <w:pPr>
        <w:ind w:left="288"/>
      </w:pPr>
      <w:r>
        <w:rPr>
          <w:color w:val="8C8C8C"/>
          <w:sz w:val="12"/>
        </w:rPr>
        <w:t>cf-art-145</w:t>
      </w:r>
      <w:r>
        <w:rPr>
          <w:color w:val="003CA0"/>
          <w:sz w:val="12"/>
        </w:rPr>
        <w:t xml:space="preserve"> | ADI 447</w:t>
      </w:r>
      <w:r>
        <w:rPr>
          <w:color w:val="003CA0"/>
          <w:sz w:val="12"/>
        </w:rPr>
        <w:t xml:space="preserve"> | rel. Octavio Gallotti</w:t>
      </w:r>
    </w:p>
    <w:p>
      <w:pPr>
        <w:ind w:left="288"/>
      </w:pPr>
      <w:r>
        <w:rPr>
          <w:color w:val="1E1E1E"/>
          <w:sz w:val="18"/>
        </w:rPr>
        <w:t>Os tributos, nas suas diversas espécies, compõem o Sistema Constitucional Tributário brasileiro, que a Constituição inscreve nos seus arts. 145 a 162. Tributo, sabemos todos, encontra definição no art. 3º do CTN, definição que se resume, em termos jurídicos, no constituir ele uma obrigação que a lei impõe às pessoas, de entrega de uma certa importância em dinheiro ao Estado. As obrigações são voluntárias ou legais. As primeiras decorrem da vontade das partes, assim, do contrato; as legais resultam da lei, por isso são denominadas obrigações ex lege e podem ser encontradas tanto no direito públ</w:t>
      </w:r>
    </w:p>
    <w:p>
      <w:pPr>
        <w:ind w:left="288"/>
      </w:pPr>
      <w:r>
        <w:rPr>
          <w:b/>
          <w:color w:val="003CA0"/>
          <w:sz w:val="16"/>
        </w:rPr>
        <w:t>[ADI 447, rel. min. Octavio Gallotti, voto do min. Carlos Velloso, j. 5-6-1991, P, DJ de 5-3-1993.]</w:t>
      </w:r>
    </w:p>
    <w:p>
      <w:pPr>
        <w:ind w:left="144"/>
      </w:pPr>
      <w:r>
        <w:rPr>
          <w:b/>
          <w:color w:val="B45A00"/>
          <w:sz w:val="16"/>
        </w:rPr>
        <w:t>SUMULA VINCULANTE</w:t>
      </w:r>
    </w:p>
    <w:p>
      <w:pPr>
        <w:ind w:left="288"/>
      </w:pPr>
      <w:r>
        <w:rPr>
          <w:color w:val="8C8C8C"/>
          <w:sz w:val="12"/>
        </w:rPr>
        <w:t>cf-art-145-inc-II</w:t>
      </w:r>
    </w:p>
    <w:p>
      <w:pPr>
        <w:ind w:left="288"/>
      </w:pPr>
      <w:r>
        <w:rPr>
          <w:color w:val="1E1E1E"/>
          <w:sz w:val="18"/>
        </w:rPr>
        <w:t>O serviço de iluminação pública não pode ser remunerado mediante taxa.</w:t>
      </w:r>
    </w:p>
    <w:p>
      <w:pPr>
        <w:ind w:left="288"/>
      </w:pPr>
      <w:r>
        <w:rPr>
          <w:b/>
          <w:color w:val="003CA0"/>
          <w:sz w:val="16"/>
        </w:rPr>
        <w:t>[Súmula Vinculante 41.]</w:t>
      </w:r>
    </w:p>
    <w:p>
      <w:pPr>
        <w:ind w:left="288"/>
      </w:pPr>
      <w:r>
        <w:rPr>
          <w:color w:val="8C8C8C"/>
          <w:sz w:val="12"/>
        </w:rPr>
        <w:t>cf-art-145-inc-II</w:t>
      </w:r>
    </w:p>
    <w:p>
      <w:pPr>
        <w:ind w:left="288"/>
      </w:pPr>
      <w:r>
        <w:rPr>
          <w:color w:val="1E1E1E"/>
          <w:sz w:val="18"/>
        </w:rPr>
        <w:t>A taxa cobrada exclusivamente em razão dos serviços públicos de coleta, remoção e tratamento ou destinação de lixo ou resíduos provenientes de imóveis não viola o art. 145, II, da CF.</w:t>
      </w:r>
    </w:p>
    <w:p>
      <w:pPr>
        <w:ind w:left="288"/>
      </w:pPr>
      <w:r>
        <w:rPr>
          <w:b/>
          <w:color w:val="003CA0"/>
          <w:sz w:val="16"/>
        </w:rPr>
        <w:t>[Súmula Vinculante 19.]</w:t>
      </w:r>
    </w:p>
    <w:p>
      <w:pPr>
        <w:ind w:left="144"/>
      </w:pPr>
      <w:r>
        <w:rPr>
          <w:b/>
          <w:color w:val="B45A00"/>
          <w:sz w:val="16"/>
        </w:rPr>
        <w:t>SUMULA</w:t>
      </w:r>
    </w:p>
    <w:p>
      <w:pPr>
        <w:ind w:left="288"/>
      </w:pPr>
      <w:r>
        <w:rPr>
          <w:color w:val="8C8C8C"/>
          <w:sz w:val="12"/>
        </w:rPr>
        <w:t>cf-art-145-inc-II</w:t>
      </w:r>
    </w:p>
    <w:p>
      <w:pPr>
        <w:ind w:left="288"/>
      </w:pPr>
      <w:r>
        <w:rPr>
          <w:color w:val="1E1E1E"/>
          <w:sz w:val="18"/>
        </w:rPr>
        <w:t>É constitucional a taxa de fiscalização dos mercados de títulos e valores mobiliários instiuída pela Lei 7.940/1989.</w:t>
      </w:r>
    </w:p>
    <w:p>
      <w:pPr>
        <w:ind w:left="288"/>
      </w:pPr>
      <w:r>
        <w:rPr>
          <w:b/>
          <w:color w:val="003CA0"/>
          <w:sz w:val="16"/>
        </w:rPr>
        <w:t>[Súmula 665.]</w:t>
      </w:r>
    </w:p>
    <w:p>
      <w:pPr>
        <w:ind w:left="288"/>
      </w:pPr>
      <w:r>
        <w:rPr>
          <w:color w:val="8C8C8C"/>
          <w:sz w:val="12"/>
        </w:rPr>
        <w:t>cf-art-145-inc-II</w:t>
      </w:r>
    </w:p>
    <w:p>
      <w:pPr>
        <w:ind w:left="288"/>
      </w:pPr>
      <w:r>
        <w:rPr>
          <w:color w:val="1E1E1E"/>
          <w:sz w:val="18"/>
        </w:rPr>
        <w:t>Preços de serviços públicos e taxas não se confundem, porque estas, diferentemente daqueles, são compulsórias e têm sua cobrança condicionada à prévia autorização orçamentária, em relação à lei que as instituiu.</w:t>
      </w:r>
    </w:p>
    <w:p>
      <w:pPr>
        <w:ind w:left="288"/>
      </w:pPr>
      <w:r>
        <w:rPr>
          <w:b/>
          <w:color w:val="003CA0"/>
          <w:sz w:val="16"/>
        </w:rPr>
        <w:t>[Súmula 545.]</w:t>
      </w:r>
    </w:p>
    <w:p>
      <w:pPr>
        <w:ind w:left="288"/>
      </w:pPr>
      <w:r>
        <w:rPr>
          <w:color w:val="8C8C8C"/>
          <w:sz w:val="12"/>
        </w:rPr>
        <w:t>cf-art-145-inc-II</w:t>
      </w:r>
      <w:r>
        <w:rPr>
          <w:color w:val="003CA0"/>
          <w:sz w:val="12"/>
        </w:rPr>
        <w:t xml:space="preserve"> | ADI 2.567</w:t>
      </w:r>
      <w:r>
        <w:rPr>
          <w:color w:val="003CA0"/>
          <w:sz w:val="12"/>
        </w:rPr>
        <w:t xml:space="preserve"> | rel. Nunes Marques</w:t>
      </w:r>
    </w:p>
    <w:p>
      <w:pPr>
        <w:ind w:left="288"/>
      </w:pPr>
      <w:r>
        <w:rPr>
          <w:color w:val="1E1E1E"/>
          <w:sz w:val="18"/>
        </w:rPr>
        <w:t>O valor exigido do usuário do serviço, na integralidade, tem natureza de emolumento, devido ao notário ou registrador em razão da prestação do serviço público correspondente. Sobre o valor dos emolumentos incide, por sua vez, taxa decorrente do exercício do poder de polícia pelo Poder Judiciário, cujo contribuinte é o próprio notário ou registrador. Constitucionalidade da destinação de parcela dos emolumentos às atividades estatais essenciais à Justiça, o que inclui os serviços administrativos dos Tribunais e o ressarcimento dos oficiais de registro ou de notas pela prática de atos gratuitos.</w:t>
        <w:br/>
      </w:r>
    </w:p>
    <w:p>
      <w:pPr>
        <w:ind w:left="288"/>
      </w:pPr>
      <w:r>
        <w:rPr>
          <w:b/>
          <w:color w:val="003CA0"/>
          <w:sz w:val="16"/>
        </w:rPr>
        <w:t>[ADI 4.786, rel. min. Nunes Marques, j. 1º-8-2022, P, DJE de 14-10-2022.]</w:t>
      </w:r>
    </w:p>
    <w:p>
      <w:pPr>
        <w:ind w:left="288"/>
      </w:pPr>
      <w:r>
        <w:rPr>
          <w:color w:val="8C8C8C"/>
          <w:sz w:val="12"/>
        </w:rPr>
        <w:t>cf-art-145-inc-II</w:t>
      </w:r>
      <w:r>
        <w:rPr>
          <w:color w:val="003CA0"/>
          <w:sz w:val="12"/>
        </w:rPr>
        <w:t xml:space="preserve"> | ADI 4.039</w:t>
      </w:r>
      <w:r>
        <w:rPr>
          <w:color w:val="003CA0"/>
          <w:sz w:val="12"/>
        </w:rPr>
        <w:t xml:space="preserve"> | rel. Rosa Weber</w:t>
      </w:r>
    </w:p>
    <w:p>
      <w:pPr>
        <w:ind w:left="288"/>
      </w:pPr>
      <w:r>
        <w:rPr>
          <w:color w:val="1E1E1E"/>
          <w:sz w:val="18"/>
        </w:rPr>
        <w:t>Regularidade da instituição das Taxas de Fiscalização de Instalação e de Fiscalização de Funcionamento (§§ 1º e 2º do art. 6º da Lei 5.070/1966) devidas pelas concessionárias, permissionárias e autorizadas de serviços de telecomunicações e de uso de radiofrequência. Aplicação, pela ANATEL, do montante do FISTEL nas atividades prescritas legalmente, como as referentes à fiscalização dos serviços de radiodifusão (art. 211 da Lei 9.472/1997). Taxas estabelecidas em função do exercício regular do poder de polícia que lhe foi conferido. Ausência de vício de constitucionalidade por afronta ao art. 1</w:t>
      </w:r>
    </w:p>
    <w:p>
      <w:pPr>
        <w:ind w:left="288"/>
      </w:pPr>
      <w:r>
        <w:rPr>
          <w:b/>
          <w:color w:val="003CA0"/>
          <w:sz w:val="16"/>
        </w:rPr>
        <w:t>[ADI 4.039, rel. min. Rosa Weber, j. 27-6-2022, P, DJE de 30-6-2022.]</w:t>
      </w:r>
    </w:p>
    <w:p>
      <w:pPr>
        <w:ind w:left="288"/>
      </w:pPr>
      <w:r>
        <w:rPr>
          <w:color w:val="8C8C8C"/>
          <w:sz w:val="12"/>
        </w:rPr>
        <w:t>cf-art-145-inc-II</w:t>
      </w:r>
      <w:r>
        <w:rPr>
          <w:color w:val="003CA0"/>
          <w:sz w:val="12"/>
        </w:rPr>
        <w:t xml:space="preserve"> | ADI 7.063</w:t>
      </w:r>
      <w:r>
        <w:rPr>
          <w:color w:val="003CA0"/>
          <w:sz w:val="12"/>
        </w:rPr>
        <w:t xml:space="preserve"> | rel. Edson Fachin</w:t>
      </w:r>
    </w:p>
    <w:p>
      <w:pPr>
        <w:ind w:left="288"/>
      </w:pPr>
      <w:r>
        <w:rPr>
          <w:color w:val="1E1E1E"/>
          <w:sz w:val="18"/>
        </w:rPr>
        <w:t>Lei 9.507/2021 do Estado do Rio de Janeiro. Lei Estadual 3.350/1999 e Decreto Lei 05/1975. (...) Os Arts. 15-F, 15-G, 15-H e 15-I, da Lei 3.350/1999; e 135-D, 135-E, 135-F, 135-G e 135-H, do Decreto Lei 05/1975, ferem a constituição, pois o critério adotado para contagem em dobro não é o serviço prestado, e sim a qualidade do usuário do serviço, havendo violação ao art. 145, II, da CRFB.</w:t>
      </w:r>
    </w:p>
    <w:p>
      <w:pPr>
        <w:ind w:left="288"/>
      </w:pPr>
      <w:r>
        <w:rPr>
          <w:b/>
          <w:color w:val="003CA0"/>
          <w:sz w:val="16"/>
        </w:rPr>
        <w:t>[ADI 7.063, rel. min. Edson Fachin, j. 6-6-2022, P, DJE de 22-6-2022.]</w:t>
      </w:r>
    </w:p>
    <w:p>
      <w:pPr>
        <w:ind w:left="288"/>
      </w:pPr>
      <w:r>
        <w:rPr>
          <w:color w:val="8C8C8C"/>
          <w:sz w:val="12"/>
        </w:rPr>
        <w:t>cf-art-145-inc-II</w:t>
      </w:r>
      <w:r>
        <w:rPr>
          <w:color w:val="003CA0"/>
          <w:sz w:val="12"/>
        </w:rPr>
        <w:t xml:space="preserve"> | ADI 5.688</w:t>
      </w:r>
    </w:p>
    <w:p>
      <w:pPr>
        <w:ind w:left="288"/>
      </w:pPr>
      <w:r>
        <w:rPr>
          <w:color w:val="1E1E1E"/>
          <w:sz w:val="18"/>
        </w:rPr>
        <w:t>Consoante a jurisprudência da Corte, taxas judiciárias e custas judiciais, embora pertençam à espécie tributária taxa, possuem características distintas, não havendo que se falar em bis in idem na cobrança de ambos os tributos.</w:t>
      </w:r>
    </w:p>
    <w:p>
      <w:pPr>
        <w:ind w:left="288"/>
      </w:pPr>
      <w:r>
        <w:rPr>
          <w:b/>
          <w:color w:val="003CA0"/>
          <w:sz w:val="16"/>
        </w:rPr>
        <w:t>[ADI 5.688, red. do ac. min. Dias Toffoli, j. 25-10-2021, P, DJE de 18-2-2022.]</w:t>
      </w:r>
    </w:p>
    <w:p>
      <w:pPr>
        <w:ind w:left="288"/>
      </w:pPr>
      <w:r>
        <w:rPr>
          <w:color w:val="8C8C8C"/>
          <w:sz w:val="12"/>
        </w:rPr>
        <w:t>cf-art-145-inc-II</w:t>
      </w:r>
      <w:r>
        <w:rPr>
          <w:color w:val="003CA0"/>
          <w:sz w:val="12"/>
        </w:rPr>
        <w:t xml:space="preserve"> | ADI 5.374</w:t>
      </w:r>
      <w:r>
        <w:rPr>
          <w:color w:val="003CA0"/>
          <w:sz w:val="12"/>
        </w:rPr>
        <w:t xml:space="preserve"> | rel. Roberto Barroso</w:t>
      </w:r>
    </w:p>
    <w:p>
      <w:pPr>
        <w:ind w:left="288"/>
      </w:pPr>
      <w:r>
        <w:rPr>
          <w:color w:val="1E1E1E"/>
          <w:sz w:val="18"/>
        </w:rPr>
        <w:t>A competência político-administrativa comum para a proteção do meio ambiente legitima a criação de tributo na modalidade taxa para remunerar a atividade de fiscalização dos Estados. É legítima a inserção do volume hídrico como elemento de quantificação da obrigação tributária. Razoável concluir que quanto maior o volume hídrico utilizado, maior pode ser o impacto social e ambiental do empreendimento; maior, portanto, também deve ser o grau de controle e fiscalização do Poder Público. No entanto, os valores de grandeza fixados pela lei estadual em conjunto com o critério do volume hídrico utili</w:t>
      </w:r>
    </w:p>
    <w:p>
      <w:pPr>
        <w:ind w:left="288"/>
      </w:pPr>
      <w:r>
        <w:rPr>
          <w:b/>
          <w:color w:val="003CA0"/>
          <w:sz w:val="16"/>
        </w:rPr>
        <w:t>[ADI 5.374, rel. min. Roberto Barroso, j. 24-2-2021, P, DJE de 12-3-2021.]</w:t>
      </w:r>
    </w:p>
    <w:p>
      <w:pPr>
        <w:ind w:left="288"/>
      </w:pPr>
      <w:r>
        <w:rPr>
          <w:color w:val="8C8C8C"/>
          <w:sz w:val="12"/>
        </w:rPr>
        <w:t>cf-art-145-inc-II</w:t>
      </w:r>
      <w:r>
        <w:rPr>
          <w:color w:val="003CA0"/>
          <w:sz w:val="12"/>
        </w:rPr>
        <w:t xml:space="preserve"> | ADI 3.281</w:t>
      </w:r>
      <w:r>
        <w:rPr>
          <w:color w:val="003CA0"/>
          <w:sz w:val="12"/>
        </w:rPr>
        <w:t xml:space="preserve"> | rel. Marco Aurélio</w:t>
      </w:r>
    </w:p>
    <w:p>
      <w:pPr>
        <w:ind w:left="288"/>
      </w:pPr>
      <w:r>
        <w:rPr>
          <w:color w:val="1E1E1E"/>
          <w:sz w:val="18"/>
        </w:rPr>
        <w:t>Conflita com a Constituição Federal a criação, pelo Estado, de taxa a ser satisfeita por sociedade seguradora, tendo em conta atendimento, no âmbito do SUS, de vítima de sinistro coberto pelo DPVAT.</w:t>
      </w:r>
    </w:p>
    <w:p>
      <w:pPr>
        <w:ind w:left="288"/>
      </w:pPr>
      <w:r>
        <w:rPr>
          <w:b/>
          <w:color w:val="003CA0"/>
          <w:sz w:val="16"/>
        </w:rPr>
        <w:t>[ADI 3.281, rel. min. Marco Aurélio, j. 24-2-2021, P, DJE de 19-3-2021.]</w:t>
      </w:r>
    </w:p>
    <w:p>
      <w:pPr>
        <w:ind w:left="288"/>
      </w:pPr>
      <w:r>
        <w:rPr>
          <w:color w:val="8C8C8C"/>
          <w:sz w:val="12"/>
        </w:rPr>
        <w:t>cf-art-145-inc-II</w:t>
      </w:r>
      <w:r>
        <w:rPr>
          <w:color w:val="003CA0"/>
          <w:sz w:val="12"/>
        </w:rPr>
        <w:t xml:space="preserve"> | ADI 3.086</w:t>
      </w:r>
      <w:r>
        <w:rPr>
          <w:color w:val="003CA0"/>
          <w:sz w:val="12"/>
        </w:rPr>
        <w:t xml:space="preserve"> | rel. Dias Toffoli</w:t>
      </w:r>
    </w:p>
    <w:p>
      <w:pPr>
        <w:ind w:left="288"/>
      </w:pPr>
      <w:r>
        <w:rPr>
          <w:color w:val="1E1E1E"/>
          <w:sz w:val="18"/>
        </w:rPr>
        <w:t>Constitucionalidade da destinação dos recursos financeiros oriundos das taxas, das custas e dos emolumentos judiciais e extrajudiciais a fundo especial do próprio Poder Judiciário, vedada a transposição deles para serviço diverso, bem como sua destinação a pessoas jurídicas de direito privado.</w:t>
      </w:r>
    </w:p>
    <w:p>
      <w:pPr>
        <w:ind w:left="288"/>
      </w:pPr>
      <w:r>
        <w:rPr>
          <w:b/>
          <w:color w:val="003CA0"/>
          <w:sz w:val="16"/>
        </w:rPr>
        <w:t>[ADI 3.086, rel. min. Dias Toffoli, j. 16-6-2020, P, DJE de 24-9-2020.]</w:t>
      </w:r>
    </w:p>
    <w:p>
      <w:pPr>
        <w:ind w:left="288"/>
      </w:pPr>
      <w:r>
        <w:rPr>
          <w:color w:val="8C8C8C"/>
          <w:sz w:val="12"/>
        </w:rPr>
        <w:t>cf-art-145-inc-II</w:t>
      </w:r>
      <w:r>
        <w:rPr>
          <w:color w:val="003CA0"/>
          <w:sz w:val="12"/>
        </w:rPr>
        <w:t xml:space="preserve"> | ADI 5.612</w:t>
      </w:r>
      <w:r>
        <w:rPr>
          <w:color w:val="003CA0"/>
          <w:sz w:val="12"/>
        </w:rPr>
        <w:t xml:space="preserve"> | rel. Edson Fachin</w:t>
      </w:r>
    </w:p>
    <w:p>
      <w:pPr>
        <w:ind w:left="288"/>
      </w:pPr>
      <w:r>
        <w:rPr>
          <w:color w:val="1E1E1E"/>
          <w:sz w:val="18"/>
        </w:rPr>
        <w:t>A custa forense possui como fato gerador a prestação de serviço público adjudicatório, sendo que seu regime jurídico corresponde ao da taxa tributária. Ademais, compõe receita pública de dedicação exclusiva ao custeio do aparelho do sistema de Justiça, de onde se extrai a relevância fiscal desse tributo para a autonomia financeira do Judiciário. (...) Os serviços públicos adjudicatórios são bens comuns que a comunidade política brasileira decidiu tornar acessíveis a todos, independente da disposição de pagamento. Contudo, a tentativa de responsabilizar unicamente o ente federativo pela mantenç</w:t>
      </w:r>
    </w:p>
    <w:p>
      <w:pPr>
        <w:ind w:left="288"/>
      </w:pPr>
      <w:r>
        <w:rPr>
          <w:b/>
          <w:color w:val="003CA0"/>
          <w:sz w:val="16"/>
        </w:rPr>
        <w:t>[ADI 5.612, rel. min. Edson Fachin, j. 29-5-2020, P, DJE de 28-7-2020.]</w:t>
      </w:r>
    </w:p>
    <w:p>
      <w:pPr>
        <w:ind w:left="288"/>
      </w:pPr>
      <w:r>
        <w:rPr>
          <w:color w:val="8C8C8C"/>
          <w:sz w:val="12"/>
        </w:rPr>
        <w:t>cf-art-145-inc-II</w:t>
      </w:r>
      <w:r>
        <w:rPr>
          <w:color w:val="003CA0"/>
          <w:sz w:val="12"/>
        </w:rPr>
        <w:t xml:space="preserve"> | ADI 1.926</w:t>
      </w:r>
      <w:r>
        <w:rPr>
          <w:color w:val="003CA0"/>
          <w:sz w:val="12"/>
        </w:rPr>
        <w:t xml:space="preserve"> | rel. Roberto Barroso</w:t>
      </w:r>
    </w:p>
    <w:p>
      <w:pPr>
        <w:ind w:left="288"/>
      </w:pPr>
      <w:r>
        <w:rPr>
          <w:color w:val="1E1E1E"/>
          <w:sz w:val="18"/>
        </w:rPr>
        <w:t>O Supremo Tribunal Federal vem afirmando a validade da utilização do valor da causa como base de cálculo das taxas judiciárias e custas judiciais estaduais, desde que haja fixação de alíquotas mínimas e máximas e mantida razoável correlação com o custo da atividade prestada.</w:t>
      </w:r>
    </w:p>
    <w:p>
      <w:pPr>
        <w:ind w:left="288"/>
      </w:pPr>
      <w:r>
        <w:rPr>
          <w:b/>
          <w:color w:val="003CA0"/>
          <w:sz w:val="16"/>
        </w:rPr>
        <w:t>[ADI 1.926, rel. min. Roberto Barroso, j. 20-4-2020, P, DJE de 2-6-2020.]</w:t>
      </w:r>
    </w:p>
    <w:p>
      <w:pPr>
        <w:ind w:left="288"/>
      </w:pPr>
      <w:r>
        <w:rPr>
          <w:color w:val="8C8C8C"/>
          <w:sz w:val="12"/>
        </w:rPr>
        <w:t>cf-art-145-inc-II</w:t>
      </w:r>
      <w:r>
        <w:rPr>
          <w:color w:val="003CA0"/>
          <w:sz w:val="12"/>
        </w:rPr>
        <w:t xml:space="preserve"> | ADI 2.658</w:t>
      </w:r>
      <w:r>
        <w:rPr>
          <w:color w:val="003CA0"/>
          <w:sz w:val="12"/>
        </w:rPr>
        <w:t xml:space="preserve"> | rel. Dias Toffoli</w:t>
      </w:r>
    </w:p>
    <w:p>
      <w:pPr>
        <w:ind w:left="288"/>
      </w:pPr>
      <w:r>
        <w:rPr>
          <w:color w:val="1E1E1E"/>
          <w:sz w:val="18"/>
        </w:rPr>
        <w:t>(...) compete à ANVISA ‘autorizar o funcionamento de empresas de fabricação, distribuição e importação dos produtos mencionados no art. 8º desta Lei e de comercialização de medicamento’ (art. 7º, VII, da Lei 9.782/99). Para tanto, encontra-se entre suas fontes de receitas o produto da arrecadação da taxa de fiscalização de vigilância sanitária (art. 22, I, da Lei 9.782/99), resultante do regular exercício de seu poder de polícia sanitária, inclusive em face das atividades de comercialização de medicamentos por farmácias e drogarias, exercício esse perfeitamente constitucional e apto a justific</w:t>
      </w:r>
    </w:p>
    <w:p>
      <w:pPr>
        <w:ind w:left="288"/>
      </w:pPr>
      <w:r>
        <w:rPr>
          <w:b/>
          <w:color w:val="003CA0"/>
          <w:sz w:val="16"/>
        </w:rPr>
        <w:t>[ADI 2.658, rel. min. Dias Toffoli, j. 18-12-2019, P, DJE de 5-3-2020.]</w:t>
      </w:r>
    </w:p>
    <w:p>
      <w:pPr>
        <w:ind w:left="288"/>
      </w:pPr>
      <w:r>
        <w:rPr>
          <w:color w:val="8C8C8C"/>
          <w:sz w:val="12"/>
        </w:rPr>
        <w:t>cf-art-145-inc-II</w:t>
      </w:r>
      <w:r>
        <w:rPr>
          <w:color w:val="003CA0"/>
          <w:sz w:val="12"/>
        </w:rPr>
        <w:t xml:space="preserve"> | ADI 3.770</w:t>
      </w:r>
      <w:r>
        <w:rPr>
          <w:color w:val="003CA0"/>
          <w:sz w:val="12"/>
        </w:rPr>
        <w:t xml:space="preserve"> | rel. Alexandre de Moraes</w:t>
      </w:r>
    </w:p>
    <w:p>
      <w:pPr>
        <w:ind w:left="288"/>
      </w:pPr>
      <w:r>
        <w:rPr>
          <w:color w:val="1E1E1E"/>
          <w:sz w:val="18"/>
        </w:rPr>
        <w:t>A Os Estados possuem competência para dispor sobre instituição de taxas de polícia cobradas em função de atividades tais como: fiscalização e vistoria em estabelecimentos comerciais abertos ao público (casas noturnas, restaurantes, cinemas, shows); expedição de alvarás para o funcionamento de estabelecimentos de que fabriquem, transportem ou comercializem armas de fogo, munição, explosivos, inflamáveis ou produtos químicos; expedição de atestados de idoneidade para porte de arma de fogo, tráfego de explosivos, trânsito de armas em hipóteses determinadas; e atividades diversas com impacto na or</w:t>
      </w:r>
    </w:p>
    <w:p>
      <w:pPr>
        <w:ind w:left="288"/>
      </w:pPr>
      <w:r>
        <w:rPr>
          <w:b/>
          <w:color w:val="003CA0"/>
          <w:sz w:val="16"/>
        </w:rPr>
        <w:t>[ADI 3.770, rel. min. Alexandre de Moraes, j. 13-9-2019, P, DJE de 26-9-2019.]</w:t>
      </w:r>
    </w:p>
    <w:p>
      <w:pPr>
        <w:ind w:left="288"/>
      </w:pPr>
      <w:r>
        <w:rPr>
          <w:color w:val="8C8C8C"/>
          <w:sz w:val="12"/>
        </w:rPr>
        <w:t>cf-art-145-inc-II</w:t>
      </w:r>
      <w:r>
        <w:rPr>
          <w:color w:val="003CA0"/>
          <w:sz w:val="12"/>
        </w:rPr>
        <w:t xml:space="preserve"> | ADI 3.643</w:t>
      </w:r>
      <w:r>
        <w:rPr>
          <w:color w:val="003CA0"/>
          <w:sz w:val="12"/>
        </w:rPr>
        <w:t xml:space="preserve"> | rel. Ayres Britto</w:t>
      </w:r>
    </w:p>
    <w:p>
      <w:pPr>
        <w:ind w:left="288"/>
      </w:pPr>
      <w:r>
        <w:rPr>
          <w:color w:val="1E1E1E"/>
          <w:sz w:val="18"/>
        </w:rPr>
        <w:t>É constitucional a destinação do produto da arrecadação da taxa de polícia sobre as atividades notariais e de registro, ora para tonificar a musculatura econômica deste ou daquele órgão do Poder Judiciário, ora para aportar recursos financeiros para a jurisdição em si mesma. O inciso IV do art. 167 da Constituição passa ao largo do instituto da taxa, recaindo, isso sim, sobre qualquer modalidade de imposto. O dispositivo legal impugnado não invade a competência da União para editar normas gerais sobre a fixação de emolumentos. Isso porque esse tipo de competência legiferante é para dispor sobr</w:t>
      </w:r>
    </w:p>
    <w:p>
      <w:pPr>
        <w:ind w:left="288"/>
      </w:pPr>
      <w:r>
        <w:rPr>
          <w:b/>
          <w:color w:val="003CA0"/>
          <w:sz w:val="16"/>
        </w:rPr>
        <w:t>[ADI 3.643, rel. min. Ayres Britto, j. 8-11-2006, P, DJ de 16-2-2007.]</w:t>
      </w:r>
    </w:p>
    <w:p>
      <w:pPr>
        <w:ind w:left="288"/>
      </w:pPr>
      <w:r>
        <w:rPr>
          <w:color w:val="8C8C8C"/>
          <w:sz w:val="12"/>
        </w:rPr>
        <w:t>cf-art-145-inc-II</w:t>
      </w:r>
      <w:r>
        <w:rPr>
          <w:color w:val="003CA0"/>
          <w:sz w:val="12"/>
        </w:rPr>
        <w:t xml:space="preserve"> | ADI 3.151</w:t>
      </w:r>
      <w:r>
        <w:rPr>
          <w:color w:val="003CA0"/>
          <w:sz w:val="12"/>
        </w:rPr>
        <w:t xml:space="preserve"> | rel. Ayres Britto</w:t>
      </w:r>
    </w:p>
    <w:p>
      <w:pPr>
        <w:ind w:left="288"/>
      </w:pPr>
      <w:r>
        <w:rPr>
          <w:color w:val="1E1E1E"/>
          <w:sz w:val="18"/>
        </w:rPr>
        <w:t>Taxa em razão do poder de polícia: a Lei mato-grossense 8.033/2003 instituiu taxa em razão do exercício do poder de polícia. Poder que assiste aos órgãos diretivos do Judiciário, notadamente no plano da vigilância, orientação e correição da atividade em causa, a teor do § 1º do art. 236 da Carta Cidadã. É constitucional a destinação do produto da arrecadação da taxa de fiscalização da atividade notarial e de registro a órgão público e ao próprio Poder Judiciário.</w:t>
      </w:r>
    </w:p>
    <w:p>
      <w:pPr>
        <w:ind w:left="288"/>
      </w:pPr>
      <w:r>
        <w:rPr>
          <w:b/>
          <w:color w:val="003CA0"/>
          <w:sz w:val="16"/>
        </w:rPr>
        <w:t>[ADI 3.151, rel. min. Ayres Britto, j. 8-6-2005, P, DJ de 28-4-2006.]</w:t>
      </w:r>
    </w:p>
    <w:p>
      <w:pPr>
        <w:ind w:left="288"/>
      </w:pPr>
      <w:r>
        <w:rPr>
          <w:color w:val="8C8C8C"/>
          <w:sz w:val="12"/>
        </w:rPr>
        <w:t>cf-art-145-inc-II</w:t>
      </w:r>
      <w:r>
        <w:rPr>
          <w:color w:val="003CA0"/>
          <w:sz w:val="12"/>
        </w:rPr>
        <w:t xml:space="preserve"> | ADI 2.551</w:t>
      </w:r>
      <w:r>
        <w:rPr>
          <w:color w:val="003CA0"/>
          <w:sz w:val="12"/>
        </w:rPr>
        <w:t xml:space="preserve"> | rel. Celso de Mello</w:t>
      </w:r>
    </w:p>
    <w:p>
      <w:pPr>
        <w:ind w:left="288"/>
      </w:pPr>
      <w:r>
        <w:rPr>
          <w:color w:val="1E1E1E"/>
          <w:sz w:val="18"/>
        </w:rPr>
        <w:t>Taxa: correspondência entre o valor exigido e o custo da atividade estatal. A taxa, enquanto contraprestação a uma atividade do poder público, não pode superar a relação de razoável equivalência que deve existir entre o custo real da atuação estatal referida ao contribuinte e o valor que o Estado pode exigir de cada contribuinte, considerados, para esse efeito, os elementos pertinentes às alíquotas e à base de cálculo fixadas em lei. Se o valor da taxa, no entanto, ultrapassar o custo do serviço prestado ou posto à disposição do contribuinte, dando causa, assim, a uma situação de onerosidade e</w:t>
      </w:r>
    </w:p>
    <w:p>
      <w:pPr>
        <w:ind w:left="288"/>
      </w:pPr>
      <w:r>
        <w:rPr>
          <w:b/>
          <w:color w:val="003CA0"/>
          <w:sz w:val="16"/>
        </w:rPr>
        <w:t>[ADI 2.551 MC-QO, rel. min. Celso de Mello, j. 2-4-2003, P, DJ de 20-4-2006.]</w:t>
      </w:r>
    </w:p>
    <w:p>
      <w:pPr>
        <w:ind w:left="288"/>
      </w:pPr>
      <w:r>
        <w:rPr>
          <w:color w:val="8C8C8C"/>
          <w:sz w:val="12"/>
        </w:rPr>
        <w:t>cf-art-145-inc-II</w:t>
      </w:r>
      <w:r>
        <w:rPr>
          <w:color w:val="003CA0"/>
          <w:sz w:val="12"/>
        </w:rPr>
        <w:t xml:space="preserve"> | ADI 1.145</w:t>
      </w:r>
      <w:r>
        <w:rPr>
          <w:color w:val="003CA0"/>
          <w:sz w:val="12"/>
        </w:rPr>
        <w:t xml:space="preserve"> | rel. Carlos Velloso</w:t>
      </w:r>
    </w:p>
    <w:p>
      <w:pPr>
        <w:ind w:left="288"/>
      </w:pPr>
      <w:r>
        <w:rPr>
          <w:color w:val="1E1E1E"/>
          <w:sz w:val="18"/>
        </w:rPr>
        <w:t>As custas, a taxa judiciária e os emolumentos constituem espécie tributária, são taxas, segundo a jurisprudência iterativa do STF. (...) Impossibilidade da destinação do produto da arrecadação, ou de parte deste, a instituições privadas, entidades de classe e Caixa de Assistência dos Advogados. Permiti-lo importaria ofensa ao princípio da igualdade. Precedentes do STF.</w:t>
      </w:r>
    </w:p>
    <w:p>
      <w:pPr>
        <w:ind w:left="288"/>
      </w:pPr>
      <w:r>
        <w:rPr>
          <w:b/>
          <w:color w:val="003CA0"/>
          <w:sz w:val="16"/>
        </w:rPr>
        <w:t>[ADI 1.145, rel. min. Carlos Velloso, j. 3-10-2002, P, DJ de 8-11-2002.]</w:t>
      </w:r>
    </w:p>
    <w:p>
      <w:pPr>
        <w:ind w:left="288"/>
      </w:pPr>
      <w:r>
        <w:rPr>
          <w:color w:val="8C8C8C"/>
          <w:sz w:val="12"/>
        </w:rPr>
        <w:t>cf-art-145-inc-II</w:t>
      </w:r>
      <w:r>
        <w:rPr>
          <w:color w:val="003CA0"/>
          <w:sz w:val="12"/>
        </w:rPr>
        <w:t xml:space="preserve"> | MS 28.141</w:t>
      </w:r>
      <w:r>
        <w:rPr>
          <w:color w:val="003CA0"/>
          <w:sz w:val="12"/>
        </w:rPr>
        <w:t xml:space="preserve"> | rel. Ricardo Lewandowski</w:t>
      </w:r>
    </w:p>
    <w:p>
      <w:pPr>
        <w:ind w:left="288"/>
      </w:pPr>
      <w:r>
        <w:rPr>
          <w:color w:val="1E1E1E"/>
          <w:sz w:val="18"/>
        </w:rPr>
        <w:t>Vide MS 28.141, rel. min. Ricardo Lewandowski, j. 10-2-2011, P, DJE de 1º-7-2011 Vide RE 233.843, rel. min. Joaquim Barbosa, j. 1º-12-2009, 2ª T, DJE de 18-12-2009 Em face do art. 144, caput, V e § 5º, da Constituição, sendo a segurança pública, dever do Estado e direito de todos, exercida para a preservação da ordem pública e da incolumidade das pessoas e do patrimônio, através, entre outras, da polícia militar, essa atividade do Estado só pode ser sustentada pelos impostos, e não por taxa, se for solicitada por particular para a sua segurança ou para a de terceiros, a título preventivo, aind</w:t>
      </w:r>
    </w:p>
    <w:p>
      <w:pPr>
        <w:ind w:left="288"/>
      </w:pPr>
      <w:r>
        <w:rPr>
          <w:b/>
          <w:color w:val="003CA0"/>
          <w:sz w:val="16"/>
        </w:rPr>
        <w:t>[ADI 1.942 MC, rel. min. Moreira Alves, j. 5-5-1999, P, DJ de 22-10-1999.]</w:t>
      </w:r>
    </w:p>
    <w:p>
      <w:pPr>
        <w:ind w:left="288"/>
      </w:pPr>
      <w:r>
        <w:rPr>
          <w:color w:val="8C8C8C"/>
          <w:sz w:val="12"/>
        </w:rPr>
        <w:t>cf-art-145-inc-II</w:t>
      </w:r>
      <w:r>
        <w:rPr>
          <w:color w:val="003CA0"/>
          <w:sz w:val="12"/>
        </w:rPr>
        <w:t xml:space="preserve"> | RE 536.639</w:t>
      </w:r>
      <w:r>
        <w:rPr>
          <w:color w:val="003CA0"/>
          <w:sz w:val="12"/>
        </w:rPr>
        <w:t xml:space="preserve"> | rel. Cezar Peluso</w:t>
      </w:r>
    </w:p>
    <w:p>
      <w:pPr>
        <w:ind w:left="288"/>
      </w:pPr>
      <w:r>
        <w:rPr>
          <w:color w:val="1E1E1E"/>
          <w:sz w:val="18"/>
        </w:rPr>
        <w:t xml:space="preserve">= RE 536.639 AgR, rel. min. Cezar Peluso, j. 7-8-2012, 2ª T, DJE de 29-8-2012 Lei 5.607, de 31-5-1990, do Estado de Mato Grosso, que atribui em favor da OAB, Seção daquele Estado, parcela de custas processuais. Exercendo a OAB, federal ou estadual, serviço público, por se tratar de pessoa jurídica de direito público (autarquia), e serviço esse que está ligado à prestação jurisdicional pela fiscalização da profissão de advogado que, segundo a parte inicial do art. 133 da Constituição, é indispensável à administração da justiça, não tem relevância, de plano, a fundamentação jurídica da arguição </w:t>
      </w:r>
    </w:p>
    <w:p>
      <w:pPr>
        <w:ind w:left="288"/>
      </w:pPr>
      <w:r>
        <w:rPr>
          <w:b/>
          <w:color w:val="003CA0"/>
          <w:sz w:val="16"/>
        </w:rPr>
        <w:t>[ADI 1.707 MC, rel. min. Moreira Alves, j. 1º-7-1998, P, DJ de 16-10-1998.]</w:t>
      </w:r>
    </w:p>
    <w:p>
      <w:pPr>
        <w:ind w:left="288"/>
      </w:pPr>
      <w:r>
        <w:rPr>
          <w:color w:val="8C8C8C"/>
          <w:sz w:val="12"/>
        </w:rPr>
        <w:t>cf-art-145-inc-II</w:t>
      </w:r>
      <w:r>
        <w:rPr>
          <w:color w:val="003CA0"/>
          <w:sz w:val="12"/>
        </w:rPr>
        <w:t xml:space="preserve"> | ADI 1.378</w:t>
      </w:r>
      <w:r>
        <w:rPr>
          <w:color w:val="003CA0"/>
          <w:sz w:val="12"/>
        </w:rPr>
        <w:t xml:space="preserve"> | rel. Celso de Mello</w:t>
      </w:r>
    </w:p>
    <w:p>
      <w:pPr>
        <w:ind w:left="288"/>
      </w:pPr>
      <w:r>
        <w:rPr>
          <w:color w:val="1E1E1E"/>
          <w:sz w:val="18"/>
        </w:rPr>
        <w:t>A jurisprudência do STF firmou orientação no sentido de que as custas judiciais e os emolumentos concernentes aos serviços notariais e registrais possuem natureza tributária, qualificando-se como taxas remuneratórias de serviços públicos, sujeitando-se, em consequência, quer no que concerne à sua instituição e majoração, quer no que se refere à sua exigibilidade, ao regime jurídico-constitucional pertinente a essa especial modalidade de tributo vinculado, notadamente aos princípios fundamentais que proclamam, entre outras, as garantias essenciais (a) da reserva de competência impositiva, (b) d</w:t>
      </w:r>
    </w:p>
    <w:p>
      <w:pPr>
        <w:ind w:left="288"/>
      </w:pPr>
      <w:r>
        <w:rPr>
          <w:b/>
          <w:color w:val="003CA0"/>
          <w:sz w:val="16"/>
        </w:rPr>
        <w:t>[ADI 1.378 MC, rel. min. Celso de Mello, j. 30-11-1995, P, DJ de 30-5-1997.]</w:t>
      </w:r>
    </w:p>
    <w:p>
      <w:pPr>
        <w:ind w:left="288"/>
      </w:pPr>
      <w:r>
        <w:rPr>
          <w:color w:val="8C8C8C"/>
          <w:sz w:val="12"/>
        </w:rPr>
        <w:t>cf-art-145-inc-II</w:t>
      </w:r>
      <w:r>
        <w:rPr>
          <w:color w:val="003CA0"/>
          <w:sz w:val="12"/>
        </w:rPr>
        <w:t xml:space="preserve"> | ADI 3.260</w:t>
      </w:r>
      <w:r>
        <w:rPr>
          <w:color w:val="003CA0"/>
          <w:sz w:val="12"/>
        </w:rPr>
        <w:t xml:space="preserve"> | rel. Eros Grau</w:t>
      </w:r>
    </w:p>
    <w:p>
      <w:pPr>
        <w:ind w:left="288"/>
      </w:pPr>
      <w:r>
        <w:rPr>
          <w:color w:val="1E1E1E"/>
          <w:sz w:val="18"/>
        </w:rPr>
        <w:t>= ADI 3.260, rel. min. Eros Grau, j. 29-3-2007, P, DJ de 29-6-2007 A taxa, espécie de tributo vinculado, tendo em vista o critério jurídico do aspecto material do fato gerador, que Geraldo Ataliba denomina de hipóteses de incidência (Hipótese de incidência tributária. 4. ed. Revista dos Tribunais, 1991. p. 128 et seq.), ou é de polícia, decorrente do exercício do poder de polícia, ou é de serviço, resultante da utilização, efetiva ou potencial, de serviços públicos específicos e divisíveis, prestados ao contribuinte ou postos a sua disposição (CF, art. 145, II). A materialidade do fato gerador</w:t>
      </w:r>
    </w:p>
    <w:p>
      <w:pPr>
        <w:ind w:left="288"/>
      </w:pPr>
      <w:r>
        <w:rPr>
          <w:b/>
          <w:color w:val="003CA0"/>
          <w:sz w:val="16"/>
        </w:rPr>
        <w:t>[ADI 447, voto do min. Carlos Velloso, j. 5-6-1991, P, DJ de 5-3-1993.]</w:t>
      </w:r>
    </w:p>
    <w:p>
      <w:pPr>
        <w:ind w:left="288"/>
      </w:pPr>
      <w:r>
        <w:rPr>
          <w:color w:val="8C8C8C"/>
          <w:sz w:val="12"/>
        </w:rPr>
        <w:t>cf-art-145-inc-II</w:t>
      </w:r>
      <w:r>
        <w:rPr>
          <w:color w:val="003CA0"/>
          <w:sz w:val="12"/>
        </w:rPr>
        <w:t xml:space="preserve"> | ARE 990.094</w:t>
      </w:r>
      <w:r>
        <w:rPr>
          <w:color w:val="003CA0"/>
          <w:sz w:val="12"/>
        </w:rPr>
        <w:t xml:space="preserve"> | rel. Gilmar Mendes</w:t>
      </w:r>
    </w:p>
    <w:p>
      <w:pPr>
        <w:ind w:left="288"/>
      </w:pPr>
      <w:r>
        <w:rPr>
          <w:color w:val="1E1E1E"/>
          <w:sz w:val="18"/>
        </w:rPr>
        <w:t>É constitucional considerar o tipo de atividade exercida pelo contribuinte como um dos critérios para fixação do valor de taxa de fiscalização do estabelecimento.</w:t>
      </w:r>
    </w:p>
    <w:p>
      <w:pPr>
        <w:ind w:left="288"/>
      </w:pPr>
      <w:r>
        <w:rPr>
          <w:b/>
          <w:color w:val="003CA0"/>
          <w:sz w:val="16"/>
        </w:rPr>
        <w:t>[ARE 990.094, rel. min. Gilmar Mendes, j. 19.08.2025, P, DJE de 26.08.2025, Tema 1.035, com mérito julgado.]</w:t>
      </w:r>
    </w:p>
    <w:p>
      <w:pPr>
        <w:ind w:left="288"/>
      </w:pPr>
      <w:r>
        <w:rPr>
          <w:color w:val="8C8C8C"/>
          <w:sz w:val="12"/>
        </w:rPr>
        <w:t>cf-art-145-inc-II</w:t>
      </w:r>
      <w:r>
        <w:rPr>
          <w:color w:val="003CA0"/>
          <w:sz w:val="12"/>
        </w:rPr>
        <w:t xml:space="preserve"> | RE 1.417.155</w:t>
      </w:r>
      <w:r>
        <w:rPr>
          <w:color w:val="003CA0"/>
          <w:sz w:val="12"/>
        </w:rPr>
        <w:t xml:space="preserve"> | rel. Dias Toffoli</w:t>
      </w:r>
    </w:p>
    <w:p>
      <w:pPr>
        <w:ind w:left="288"/>
      </w:pPr>
      <w:r>
        <w:rPr>
          <w:color w:val="1E1E1E"/>
          <w:sz w:val="18"/>
        </w:rPr>
        <w:t>“São constitucionais as taxas estaduais pela utilização, efetiva ou potencial, dos serviços públicos de prevenção e combate a incêndios, busca, salvamento ou resgate prestados ao contribuinte ou postos a sua disposição pelos corpos de bombeiros militares”.</w:t>
      </w:r>
    </w:p>
    <w:p>
      <w:pPr>
        <w:ind w:left="288"/>
      </w:pPr>
      <w:r>
        <w:rPr>
          <w:b/>
          <w:color w:val="003CA0"/>
          <w:sz w:val="16"/>
        </w:rPr>
        <w:t>[RE 1.417.155, rel. min. Dias Toffoli, j. 26.03.2025, P, DJE de 29.05.2025, Tema 1.282, com mérito julgado.]</w:t>
      </w:r>
    </w:p>
    <w:p>
      <w:pPr>
        <w:ind w:left="144"/>
      </w:pPr>
      <w:r>
        <w:rPr>
          <w:b/>
          <w:color w:val="B45A00"/>
          <w:sz w:val="16"/>
        </w:rPr>
        <w:t>REPERCUSSAO GERAL</w:t>
      </w:r>
    </w:p>
    <w:p>
      <w:pPr>
        <w:ind w:left="288"/>
      </w:pPr>
      <w:r>
        <w:rPr>
          <w:color w:val="8C8C8C"/>
          <w:sz w:val="12"/>
        </w:rPr>
        <w:t>cf-art-145-inc-II</w:t>
      </w:r>
      <w:r>
        <w:rPr>
          <w:color w:val="003CA0"/>
          <w:sz w:val="12"/>
        </w:rPr>
        <w:t xml:space="preserve"> | RE 643.247</w:t>
      </w:r>
      <w:r>
        <w:rPr>
          <w:color w:val="003CA0"/>
          <w:sz w:val="12"/>
        </w:rPr>
        <w:t xml:space="preserve"> | rel. Marco Aurélio</w:t>
      </w:r>
    </w:p>
    <w:p>
      <w:pPr>
        <w:ind w:left="288"/>
      </w:pPr>
      <w:r>
        <w:rPr>
          <w:color w:val="1E1E1E"/>
          <w:sz w:val="18"/>
        </w:rPr>
        <w:t>A segurança pública, presentes a prevenção e o combate a incêndios, faz-se, no campo da atividade precípua, pela unidade da Federação e, porque serviço essencial, tem como viabilizá-la a arrecadação de impostos, não cabendo ao Município a criação de taxa para tal fim.</w:t>
        <w:br/>
        <w:t>[RE 643.247, voto do rel. min. Marco Aurélio, j. 1º-8-2017, P, DJE de 19-12-2017, Tema 16, com mérito julgado.] A despesa com porte de remessa e retorno não se enquadra no conceito de taxa judiciária (...) O art. 511 do CPC dispensa o recolhimento dessa despesa processual por parte do INSS, pois se trata de norma válida editada p</w:t>
      </w:r>
    </w:p>
    <w:p>
      <w:pPr>
        <w:ind w:left="288"/>
      </w:pPr>
      <w:r>
        <w:rPr>
          <w:b/>
          <w:color w:val="003CA0"/>
          <w:sz w:val="16"/>
        </w:rPr>
        <w:t>[RE 789.218 RG, rel. min. Dias Toffoli, j. 17-4-2014, P, DJE de 1º-8-2014, Tema 721, com mérito julgado.]</w:t>
      </w:r>
    </w:p>
    <w:p>
      <w:pPr>
        <w:ind w:left="288"/>
      </w:pPr>
      <w:r>
        <w:rPr>
          <w:color w:val="8C8C8C"/>
          <w:sz w:val="12"/>
        </w:rPr>
        <w:t>cf-art-145-inc-II</w:t>
      </w:r>
      <w:r>
        <w:rPr>
          <w:color w:val="003CA0"/>
          <w:sz w:val="12"/>
        </w:rPr>
        <w:t xml:space="preserve"> | RE 588.322</w:t>
      </w:r>
      <w:r>
        <w:rPr>
          <w:color w:val="003CA0"/>
          <w:sz w:val="12"/>
        </w:rPr>
        <w:t xml:space="preserve"> | rel. Gilmar Mendes</w:t>
      </w:r>
    </w:p>
    <w:p>
      <w:pPr>
        <w:ind w:left="288"/>
      </w:pPr>
      <w:r>
        <w:rPr>
          <w:color w:val="1E1E1E"/>
          <w:sz w:val="18"/>
        </w:rPr>
        <w:t>É constitucional taxa de renovação de funcionamento e localização municipal, desde que efetivo o exercício do poder de polícia, demonstrado pela existência de órgão e estrutura competentes para o respectivo exercício.</w:t>
        <w:br/>
        <w:t>[RE 588.322, rel. min. Gilmar Mendes, j. 16-6-2010, P, DJE de 3-9-2010, Tema 217, com mérito julgado.] (...) as taxas cobradas em razão exclusivamente dos serviços públicos de coleta, remoção e tratamento ou destinação de lixo ou resíduos provenientes de imóveis são constitucionais, ao passo que é inconstitucional a cobrança de valores tidos como taxa em razão de serviços de cons</w:t>
      </w:r>
    </w:p>
    <w:p>
      <w:pPr>
        <w:ind w:left="288"/>
      </w:pPr>
      <w:r>
        <w:rPr>
          <w:b/>
          <w:color w:val="003CA0"/>
          <w:sz w:val="16"/>
        </w:rPr>
        <w:t>[ARE 1.500.333 AgR, rel. min. Nunes Marques, j. 03.03.2025, 2ª T, DJE de 14.03.2025.]</w:t>
      </w:r>
    </w:p>
    <w:p>
      <w:pPr>
        <w:ind w:left="144"/>
      </w:pPr>
      <w:r>
        <w:rPr>
          <w:b/>
          <w:color w:val="B45A00"/>
          <w:sz w:val="16"/>
        </w:rPr>
        <w:t>JULGADOS CORRELATOS</w:t>
      </w:r>
    </w:p>
    <w:p>
      <w:pPr>
        <w:ind w:left="288"/>
      </w:pPr>
      <w:r>
        <w:rPr>
          <w:color w:val="8C8C8C"/>
          <w:sz w:val="12"/>
        </w:rPr>
        <w:t>cf-art-145-inc-II</w:t>
      </w:r>
      <w:r>
        <w:rPr>
          <w:color w:val="003CA0"/>
          <w:sz w:val="12"/>
        </w:rPr>
        <w:t xml:space="preserve"> | ARE 1.369.557</w:t>
      </w:r>
      <w:r>
        <w:rPr>
          <w:color w:val="003CA0"/>
          <w:sz w:val="12"/>
        </w:rPr>
        <w:t xml:space="preserve"> | rel. Alexandre de Moraes</w:t>
      </w:r>
    </w:p>
    <w:p>
      <w:pPr>
        <w:ind w:left="288"/>
      </w:pPr>
      <w:r>
        <w:rPr>
          <w:color w:val="1E1E1E"/>
          <w:sz w:val="18"/>
        </w:rPr>
        <w:t>(...) são inconstitucionais a instituição e a cobrança de taxas por atos praticados no interesse exclusivo da administração fiscal, necessários à cobrança dos respectivos tributos.</w:t>
      </w:r>
    </w:p>
    <w:p>
      <w:pPr>
        <w:ind w:left="288"/>
      </w:pPr>
      <w:r>
        <w:rPr>
          <w:b/>
          <w:color w:val="003CA0"/>
          <w:sz w:val="16"/>
        </w:rPr>
        <w:t>[ARE 1.369.557 AgR, rel. min. Alexandre de Moraes, j. 30-5-2022, 1ª T, DJE de 6-6-2022.]</w:t>
      </w:r>
    </w:p>
    <w:p>
      <w:pPr>
        <w:ind w:left="288"/>
      </w:pPr>
      <w:r>
        <w:rPr>
          <w:color w:val="8C8C8C"/>
          <w:sz w:val="12"/>
        </w:rPr>
        <w:t>cf-art-145-inc-II</w:t>
      </w:r>
      <w:r>
        <w:rPr>
          <w:color w:val="003CA0"/>
          <w:sz w:val="12"/>
        </w:rPr>
        <w:t xml:space="preserve"> | RE 695.408</w:t>
      </w:r>
      <w:r>
        <w:rPr>
          <w:color w:val="003CA0"/>
          <w:sz w:val="12"/>
        </w:rPr>
        <w:t xml:space="preserve"> | rel. Rosa Weber</w:t>
      </w:r>
    </w:p>
    <w:p>
      <w:pPr>
        <w:ind w:left="288"/>
      </w:pPr>
      <w:r>
        <w:rPr>
          <w:color w:val="1E1E1E"/>
          <w:sz w:val="18"/>
        </w:rPr>
        <w:t>A jurisprudência desta Suprema Corte já assentou a constitucionalidade da Taxa de Classificação de Produtos Vegetais instituída pelo Decreto-Lei 1.899/1981.</w:t>
      </w:r>
    </w:p>
    <w:p>
      <w:pPr>
        <w:ind w:left="288"/>
      </w:pPr>
      <w:r>
        <w:rPr>
          <w:b/>
          <w:color w:val="003CA0"/>
          <w:sz w:val="16"/>
        </w:rPr>
        <w:t>[RE 695.408, voto da rel. min. Rosa Weber, j. 30-8-2021, P, DJE de 3-9-2021.]</w:t>
      </w:r>
    </w:p>
    <w:p>
      <w:pPr>
        <w:ind w:left="288"/>
      </w:pPr>
      <w:r>
        <w:rPr>
          <w:color w:val="8C8C8C"/>
          <w:sz w:val="12"/>
        </w:rPr>
        <w:t>cf-art-145-inc-II</w:t>
      </w:r>
      <w:r>
        <w:rPr>
          <w:color w:val="003CA0"/>
          <w:sz w:val="12"/>
        </w:rPr>
        <w:t xml:space="preserve"> | ARE 990.914</w:t>
      </w:r>
      <w:r>
        <w:rPr>
          <w:color w:val="003CA0"/>
          <w:sz w:val="12"/>
        </w:rPr>
        <w:t xml:space="preserve"> | rel. Dias Toffoli</w:t>
      </w:r>
    </w:p>
    <w:p>
      <w:pPr>
        <w:ind w:left="288"/>
      </w:pPr>
      <w:r>
        <w:rPr>
          <w:color w:val="1E1E1E"/>
          <w:sz w:val="18"/>
        </w:rPr>
        <w:t>As taxas comprometem-se tão somente com o custo do serviço específico e divisível que as motiva, ou com a atividade de polícia desenvolvida. O critério da atividade exercida pelo contribuinte para se aferir o custo do exercício do poder de polícia desvincula-se do maior ou menor trabalho ou atividade que o poder público se vê obrigado a desempenhar.</w:t>
      </w:r>
    </w:p>
    <w:p>
      <w:pPr>
        <w:ind w:left="288"/>
      </w:pPr>
      <w:r>
        <w:rPr>
          <w:b/>
          <w:color w:val="003CA0"/>
          <w:sz w:val="16"/>
        </w:rPr>
        <w:t>[ARE 990.914, rel. min. Dias Toffoli, j. 20-6-2017, 2ª T, DJE de 19-9-2017.]</w:t>
      </w:r>
    </w:p>
    <w:p>
      <w:pPr>
        <w:ind w:left="288"/>
      </w:pPr>
      <w:r>
        <w:rPr>
          <w:color w:val="8C8C8C"/>
          <w:sz w:val="12"/>
        </w:rPr>
        <w:t>cf-art-145-inc-II</w:t>
      </w:r>
      <w:r>
        <w:rPr>
          <w:color w:val="003CA0"/>
          <w:sz w:val="12"/>
        </w:rPr>
        <w:t xml:space="preserve"> | RE 856.185</w:t>
      </w:r>
      <w:r>
        <w:rPr>
          <w:color w:val="003CA0"/>
          <w:sz w:val="12"/>
        </w:rPr>
        <w:t xml:space="preserve"> | rel. Roberto Barroso</w:t>
      </w:r>
    </w:p>
    <w:p>
      <w:pPr>
        <w:ind w:left="288"/>
      </w:pPr>
      <w:r>
        <w:rPr>
          <w:color w:val="1E1E1E"/>
          <w:sz w:val="18"/>
        </w:rPr>
        <w:t>A base de cálculo da taxa de fiscalização e funcionamento fundada na área de fiscalização é constitucional, na medida em que traduz o custo da atividade estatal de fiscalização. Quando a Constituição se refere às taxas, o faz no sentido de que o tributo não incida sobre a prestação, mas em razão da prestação de serviço pelo Estado. A área ocupada pelo estabelecimento comercial revela-se apta a refletir o custo aproximado da atividade estatal de fiscalização.</w:t>
      </w:r>
    </w:p>
    <w:p>
      <w:pPr>
        <w:ind w:left="288"/>
      </w:pPr>
      <w:r>
        <w:rPr>
          <w:b/>
          <w:color w:val="003CA0"/>
          <w:sz w:val="16"/>
        </w:rPr>
        <w:t>[RE 856.185 AgR, rel. min. Roberto Barroso, j. 4-8-2015, 1ª T, DJE de 24-9-2015.]</w:t>
      </w:r>
    </w:p>
    <w:p>
      <w:pPr>
        <w:ind w:left="288"/>
      </w:pPr>
      <w:r>
        <w:rPr>
          <w:color w:val="8C8C8C"/>
          <w:sz w:val="12"/>
        </w:rPr>
        <w:t>cf-art-145-inc-II</w:t>
      </w:r>
      <w:r>
        <w:rPr>
          <w:color w:val="003CA0"/>
          <w:sz w:val="12"/>
        </w:rPr>
        <w:t xml:space="preserve"> | RE 88.327</w:t>
      </w:r>
      <w:r>
        <w:rPr>
          <w:color w:val="003CA0"/>
          <w:sz w:val="12"/>
        </w:rPr>
        <w:t xml:space="preserve"> | rel. Décio Miranda (DJ de 28-9-1979)</w:t>
      </w:r>
    </w:p>
    <w:p>
      <w:pPr>
        <w:ind w:left="288"/>
      </w:pPr>
      <w:r>
        <w:rPr>
          <w:color w:val="1E1E1E"/>
          <w:sz w:val="18"/>
        </w:rPr>
        <w:t>Taxa de Licença para Localização, Funcionamento e Instalação. Base de cálculo. Número de empregados. Dado insuficiente para aferir o efetivo poder de polícia. Art. 6º da Lei 9.670/1983. Inconstitucionalidade. Jurisprudência pacífica da Corte. A taxa é um tributo contraprestacional (vinculado) usado na remuneração de uma atividade específica, seja serviço ou exercício do poder de polícia e, por isso, não se atém a signos presuntivos de riqueza. As taxas comprometem-se tão somente com o custo do serviço específico e divisível que as motiva, ou com a atividade de polícia desenvolvida. A base de c</w:t>
      </w:r>
    </w:p>
    <w:p>
      <w:pPr>
        <w:ind w:left="288"/>
      </w:pPr>
      <w:r>
        <w:rPr>
          <w:b/>
          <w:color w:val="003CA0"/>
          <w:sz w:val="16"/>
        </w:rPr>
        <w:t>[RE 554.951, rel. min. Dias Toffoli, j. 15-10-2013, 1ª T, DJE de 19-11-2013.]</w:t>
      </w:r>
    </w:p>
    <w:p>
      <w:pPr>
        <w:ind w:left="288"/>
      </w:pPr>
      <w:r>
        <w:rPr>
          <w:color w:val="8C8C8C"/>
          <w:sz w:val="12"/>
        </w:rPr>
        <w:t>cf-art-145-inc-II</w:t>
      </w:r>
      <w:r>
        <w:rPr>
          <w:color w:val="003CA0"/>
          <w:sz w:val="12"/>
        </w:rPr>
        <w:t xml:space="preserve"> | RE 556.854</w:t>
      </w:r>
      <w:r>
        <w:rPr>
          <w:color w:val="003CA0"/>
          <w:sz w:val="12"/>
        </w:rPr>
        <w:t xml:space="preserve"> | rel. Cármen Lúcia</w:t>
      </w:r>
    </w:p>
    <w:p>
      <w:pPr>
        <w:ind w:left="288"/>
      </w:pPr>
      <w:r>
        <w:rPr>
          <w:color w:val="1E1E1E"/>
          <w:sz w:val="18"/>
        </w:rPr>
        <w:t>Taxa e preço público diferem quanto à compulsoriedade de seu pagamento. A taxa é cobrada em razão de uma obrigação legal enquanto o preço público é de pagamento facultativo por quem pretende se beneficiar de um serviço prestado.</w:t>
      </w:r>
    </w:p>
    <w:p>
      <w:pPr>
        <w:ind w:left="288"/>
      </w:pPr>
      <w:r>
        <w:rPr>
          <w:b/>
          <w:color w:val="003CA0"/>
          <w:sz w:val="16"/>
        </w:rPr>
        <w:t>[RE 556.854, rel. min. Cármen Lúcia, j. 30-6-2011, P, DJE de 11-10-2011.]</w:t>
      </w:r>
    </w:p>
    <w:p>
      <w:pPr>
        <w:ind w:left="288"/>
      </w:pPr>
      <w:r>
        <w:rPr>
          <w:color w:val="8C8C8C"/>
          <w:sz w:val="12"/>
        </w:rPr>
        <w:t>cf-art-145-inc-II</w:t>
      </w:r>
      <w:r>
        <w:rPr>
          <w:color w:val="003CA0"/>
          <w:sz w:val="12"/>
        </w:rPr>
        <w:t xml:space="preserve"> | ADI 447</w:t>
      </w:r>
      <w:r>
        <w:rPr>
          <w:color w:val="003CA0"/>
          <w:sz w:val="12"/>
        </w:rPr>
        <w:t xml:space="preserve"> | rel. Octavio Gallotti</w:t>
      </w:r>
    </w:p>
    <w:p>
      <w:pPr>
        <w:ind w:left="288"/>
      </w:pPr>
      <w:r>
        <w:rPr>
          <w:color w:val="1E1E1E"/>
          <w:sz w:val="18"/>
        </w:rPr>
        <w:t>Vide ADI 447, rel. min. Octavio Gallotti, voto do min. Carlos Velloso, j. 5-6-1991, P, DJ de 5-3-1993 Pacífica a jurisprudência desta Corte no sentido da impossibilidade de aplicação de efeitos ex nunc, nos termos do art. 27 da Lei 9.868/1999, à declaração de inconstitucionalidade de legislação do Município do Rio de Janeiro que (...) instituiu a Taxa de Coleta de Lixo e Limpeza Pública (TCLLP) e a Taxa de Iluminação Pública (TIP).</w:t>
      </w:r>
    </w:p>
    <w:p>
      <w:pPr>
        <w:ind w:left="288"/>
      </w:pPr>
      <w:r>
        <w:rPr>
          <w:b/>
          <w:color w:val="003CA0"/>
          <w:sz w:val="16"/>
        </w:rPr>
        <w:t>[AI 651.389 AgR, rel. min. Menezes Direito, j. 10-6-2008, 1ª T, DJE de 8-8-2008.]</w:t>
      </w:r>
    </w:p>
    <w:p>
      <w:pPr>
        <w:ind w:left="288"/>
      </w:pPr>
      <w:r>
        <w:rPr>
          <w:color w:val="8C8C8C"/>
          <w:sz w:val="12"/>
        </w:rPr>
        <w:t>cf-art-145-inc-II</w:t>
      </w:r>
      <w:r>
        <w:rPr>
          <w:color w:val="003CA0"/>
          <w:sz w:val="12"/>
        </w:rPr>
        <w:t xml:space="preserve"> | AI 672.163</w:t>
      </w:r>
      <w:r>
        <w:rPr>
          <w:color w:val="003CA0"/>
          <w:sz w:val="12"/>
        </w:rPr>
        <w:t xml:space="preserve"> | rel. Dias Toffoli</w:t>
      </w:r>
    </w:p>
    <w:p>
      <w:pPr>
        <w:ind w:left="288"/>
      </w:pPr>
      <w:r>
        <w:rPr>
          <w:color w:val="1E1E1E"/>
          <w:sz w:val="18"/>
        </w:rPr>
        <w:t>= AI 672.163 AgR, rel. min. Dias Toffoli, j. 31-5-2011, 1ª T, DJE de 17-8-2011 Vide  AI 573.560 AgR, rel. min. Eros Grau, j. 27-3-2007, 2ª T, DJ de 4-5-2007 A hipótese de incidência da taxa é a fiscalização de atividades poluidoras e utilizadoras de recursos ambientais, exercida pelo Ibama (Lei 6.938/1981, art. 17-B, com a redação da Lei 10.165/2000). Tem-se, pois, taxa que remunera o exercício do poder de polícia do Estado. Não há invocar o argumento no sentido de que a taxa decorrente do poder de polícia fica "restrita aos contribuintes cujos estabelecimentos tivessem sido efetivamente visit</w:t>
      </w:r>
    </w:p>
    <w:p>
      <w:pPr>
        <w:ind w:left="288"/>
      </w:pPr>
      <w:r>
        <w:rPr>
          <w:b/>
          <w:color w:val="003CA0"/>
          <w:sz w:val="16"/>
        </w:rPr>
        <w:t>[RE 416.601, voto do rel. min. Carlos Velloso, j. 10-8-2005, P, DJ de 30-9-2005.]</w:t>
      </w:r>
    </w:p>
    <w:p>
      <w:pPr>
        <w:ind w:left="288"/>
      </w:pPr>
      <w:r>
        <w:rPr>
          <w:color w:val="8C8C8C"/>
          <w:sz w:val="12"/>
        </w:rPr>
        <w:t>cf-art-145-inc-II</w:t>
      </w:r>
      <w:r>
        <w:rPr>
          <w:color w:val="003CA0"/>
          <w:sz w:val="12"/>
        </w:rPr>
        <w:t xml:space="preserve"> | RE 603.513</w:t>
      </w:r>
      <w:r>
        <w:rPr>
          <w:color w:val="003CA0"/>
          <w:sz w:val="12"/>
        </w:rPr>
        <w:t xml:space="preserve"> | rel. Dias Toffoli</w:t>
      </w:r>
    </w:p>
    <w:p>
      <w:pPr>
        <w:ind w:left="288"/>
      </w:pPr>
      <w:r>
        <w:rPr>
          <w:color w:val="1E1E1E"/>
          <w:sz w:val="18"/>
        </w:rPr>
        <w:t>= RE 603.513 AgR, rel. min. Dias Toffoli, j. 28-8-2012, 1ª T, DJE de 12-9-2012 Taxa florestal. (…) Exação fiscal que serve de contrapartida ao exercício do poder de polícia, cujos elementos básicos se encontram definidos em lei, possuindo base de cálculo distinta da de outros impostos, qual seja, o custo estimado do serviço de fiscalização.</w:t>
      </w:r>
    </w:p>
    <w:p>
      <w:pPr>
        <w:ind w:left="288"/>
      </w:pPr>
      <w:r>
        <w:rPr>
          <w:b/>
          <w:color w:val="003CA0"/>
          <w:sz w:val="16"/>
        </w:rPr>
        <w:t>[RE 239.397, rel. min. Ilmar Galvão, j. 21-3-2000, 1ª T, DJ de 28-4-2000.]</w:t>
      </w:r>
    </w:p>
    <w:p>
      <w:pPr>
        <w:ind w:left="288"/>
      </w:pPr>
      <w:r>
        <w:rPr>
          <w:color w:val="8C8C8C"/>
          <w:sz w:val="12"/>
        </w:rPr>
        <w:t>cf-art-145-inc-II</w:t>
      </w:r>
      <w:r>
        <w:rPr>
          <w:color w:val="003CA0"/>
          <w:sz w:val="12"/>
        </w:rPr>
        <w:t xml:space="preserve"> | RE 233.784</w:t>
      </w:r>
      <w:r>
        <w:rPr>
          <w:color w:val="003CA0"/>
          <w:sz w:val="12"/>
        </w:rPr>
        <w:t xml:space="preserve"> | rel. Ilmar Galvão</w:t>
      </w:r>
    </w:p>
    <w:p>
      <w:pPr>
        <w:ind w:left="288"/>
      </w:pPr>
      <w:r>
        <w:rPr>
          <w:color w:val="1E1E1E"/>
          <w:sz w:val="18"/>
        </w:rPr>
        <w:t>Taxas de lixo e sinistro. (...) Taxas legitimamente instituídas como contraprestação a serviços essenciais, específicos e divisíveis, referidos ao contribuinte a quem são prestados ou a cuja disposição são postos, não possuindo base de cálculo própria de imposto.</w:t>
      </w:r>
    </w:p>
    <w:p>
      <w:pPr>
        <w:ind w:left="288"/>
      </w:pPr>
      <w:r>
        <w:rPr>
          <w:b/>
          <w:color w:val="003CA0"/>
          <w:sz w:val="16"/>
        </w:rPr>
        <w:t>[RE 233.784, rel. min. Ilmar Galvão, j. 12-11-1999, 1ª T, DJ de 12-11-1999.]</w:t>
      </w:r>
    </w:p>
    <w:p>
      <w:pPr>
        <w:ind w:left="288"/>
      </w:pPr>
      <w:r>
        <w:rPr>
          <w:color w:val="8C8C8C"/>
          <w:sz w:val="12"/>
        </w:rPr>
        <w:t>cf-art-145-inc-II</w:t>
      </w:r>
      <w:r>
        <w:rPr>
          <w:color w:val="003CA0"/>
          <w:sz w:val="12"/>
        </w:rPr>
        <w:t xml:space="preserve"> | RE 491.982</w:t>
      </w:r>
      <w:r>
        <w:rPr>
          <w:color w:val="003CA0"/>
          <w:sz w:val="12"/>
        </w:rPr>
        <w:t xml:space="preserve"> | rel. Ricardo Lewandowski</w:t>
      </w:r>
    </w:p>
    <w:p>
      <w:pPr>
        <w:ind w:left="288"/>
      </w:pPr>
      <w:r>
        <w:rPr>
          <w:color w:val="1E1E1E"/>
          <w:sz w:val="18"/>
        </w:rPr>
        <w:t>= RE 491.982 AgR, rel. min. Ricardo Lewandowski, j. 26-5-2009, 1ª T, DJE de 26-6-2009 Taxa de iluminação pública. (…) Tributo de exação inviável, posto ter por fato gerador serviço inespecífico, não mensurável, indivisível e insuscetível de ser referido a determinado contribuinte, a ser custeado por meio do produto da arrecadação dos impostos gerais.</w:t>
      </w:r>
    </w:p>
    <w:p>
      <w:pPr>
        <w:ind w:left="288"/>
      </w:pPr>
      <w:r>
        <w:rPr>
          <w:b/>
          <w:color w:val="003CA0"/>
          <w:sz w:val="16"/>
        </w:rPr>
        <w:t>[RE 233.332, rel. min. Ilmar Galvão, j. 10-3-1999, P, DJ de 14-5-1999.]</w:t>
      </w:r>
    </w:p>
    <w:p>
      <w:pPr>
        <w:ind w:left="288"/>
      </w:pPr>
      <w:r>
        <w:rPr>
          <w:color w:val="8C8C8C"/>
          <w:sz w:val="12"/>
        </w:rPr>
        <w:t>cf-art-145-inc-II</w:t>
      </w:r>
      <w:r>
        <w:rPr>
          <w:color w:val="003CA0"/>
          <w:sz w:val="12"/>
        </w:rPr>
        <w:t xml:space="preserve"> | AI 479.587</w:t>
      </w:r>
      <w:r>
        <w:rPr>
          <w:color w:val="003CA0"/>
          <w:sz w:val="12"/>
        </w:rPr>
        <w:t xml:space="preserve"> | rel. Joaquim Barbosa</w:t>
      </w:r>
    </w:p>
    <w:p>
      <w:pPr>
        <w:ind w:left="288"/>
      </w:pPr>
      <w:r>
        <w:rPr>
          <w:color w:val="1E1E1E"/>
          <w:sz w:val="18"/>
        </w:rPr>
        <w:t>= AI 479.587 AgR, rel. min. Joaquim Barbosa, j. 3-3-2009, 2ª T, DJE de 20-3-2009 Taxas de limpeza pública e de segurança. Leis municipais (...). Acórdão que os declarou inexigíveis. (...). Decisão que se acha em conformidade com a orientação jurisprudencial do STF no que tange (...) à taxa de limpeza urbana (...), exigida com ofensa ao art. 145, II e § 2º, da CF, porquanto a título de remuneração de serviço prestado uti universi e tendo por base de cálculo fatores que concorrem para formação da base de cálculo do IPTU. Declaração da inconstitucionalidade dos dispositivos enumerados, alusivos à</w:t>
      </w:r>
    </w:p>
    <w:p>
      <w:pPr>
        <w:ind w:left="288"/>
      </w:pPr>
      <w:r>
        <w:rPr>
          <w:b/>
          <w:color w:val="003CA0"/>
          <w:sz w:val="16"/>
        </w:rPr>
        <w:t>[RE 206.777, rel. min. Ilmar Galvão, j. 25-2-1999, P, DJ de 30-4-1999.]</w:t>
      </w:r>
    </w:p>
    <w:p>
      <w:pPr>
        <w:ind w:left="288"/>
      </w:pPr>
      <w:r>
        <w:rPr>
          <w:color w:val="8C8C8C"/>
          <w:sz w:val="12"/>
        </w:rPr>
        <w:t>cf-art-145-inc-II</w:t>
      </w:r>
      <w:r>
        <w:rPr>
          <w:color w:val="003CA0"/>
          <w:sz w:val="12"/>
        </w:rPr>
        <w:t xml:space="preserve"> | AI 848.281</w:t>
      </w:r>
      <w:r>
        <w:rPr>
          <w:color w:val="003CA0"/>
          <w:sz w:val="12"/>
        </w:rPr>
        <w:t xml:space="preserve"> | rel. Ricardo Lewandowski</w:t>
      </w:r>
    </w:p>
    <w:p>
      <w:pPr>
        <w:ind w:left="288"/>
      </w:pPr>
      <w:r>
        <w:rPr>
          <w:color w:val="1E1E1E"/>
          <w:sz w:val="18"/>
        </w:rPr>
        <w:t>= AI 848.281 AgR, rel. min. Ricardo Lewandowski, j. 20-9-2011, 2ª T, DJE de 4-10-2011 Taxa. Localização e funcionamento de estabelecimento industrial e comercial. Base de cálculo. Número de empregados. Não se coaduna com a natureza do tributo o cálculo a partir do número de empregados.</w:t>
      </w:r>
    </w:p>
    <w:p>
      <w:pPr>
        <w:ind w:left="288"/>
      </w:pPr>
      <w:r>
        <w:rPr>
          <w:b/>
          <w:color w:val="003CA0"/>
          <w:sz w:val="16"/>
        </w:rPr>
        <w:t>[RE 202.393, rel. min. Marco Aurélio, j. 2-9-1997, 2ª T, DJ de 24-10-1997.]</w:t>
      </w:r>
    </w:p>
    <w:p>
      <w:pPr>
        <w:ind w:left="288"/>
      </w:pPr>
      <w:r>
        <w:rPr>
          <w:color w:val="8C8C8C"/>
          <w:sz w:val="12"/>
        </w:rPr>
        <w:t>cf-art-145-inc-II</w:t>
      </w:r>
      <w:r>
        <w:rPr>
          <w:color w:val="003CA0"/>
          <w:sz w:val="12"/>
        </w:rPr>
        <w:t xml:space="preserve"> | RE 614.246</w:t>
      </w:r>
      <w:r>
        <w:rPr>
          <w:color w:val="003CA0"/>
          <w:sz w:val="12"/>
        </w:rPr>
        <w:t xml:space="preserve"> | rel. Dias Toffoli</w:t>
      </w:r>
    </w:p>
    <w:p>
      <w:pPr>
        <w:ind w:left="288"/>
      </w:pPr>
      <w:r>
        <w:rPr>
          <w:color w:val="1E1E1E"/>
          <w:sz w:val="18"/>
        </w:rPr>
        <w:t>= RE 614.246 AgR, rel. min. Dias Toffoli, j. 7-2-2012, 1ª T, DJE de 15-3-2012</w:t>
      </w:r>
    </w:p>
    <w:p>
      <w:pPr>
        <w:ind w:left="288"/>
      </w:pPr>
      <w:r>
        <w:rPr>
          <w:color w:val="8C8C8C"/>
          <w:sz w:val="12"/>
        </w:rPr>
        <w:t>cf-art-145-inc-III</w:t>
      </w:r>
      <w:r>
        <w:rPr>
          <w:color w:val="003CA0"/>
          <w:sz w:val="12"/>
        </w:rPr>
        <w:t xml:space="preserve"> | AI 694.836</w:t>
      </w:r>
      <w:r>
        <w:rPr>
          <w:color w:val="003CA0"/>
          <w:sz w:val="12"/>
        </w:rPr>
        <w:t xml:space="preserve"> | rel. Ellen Gracie</w:t>
      </w:r>
    </w:p>
    <w:p>
      <w:pPr>
        <w:ind w:left="288"/>
      </w:pPr>
      <w:r>
        <w:rPr>
          <w:color w:val="1E1E1E"/>
          <w:sz w:val="18"/>
        </w:rPr>
        <w:t>Esta Corte consolidou o entendimento no sentido de que a contribuição de melhoria incide sobre o quantum da valorização imobiliária.</w:t>
      </w:r>
    </w:p>
    <w:p>
      <w:pPr>
        <w:ind w:left="288"/>
      </w:pPr>
      <w:r>
        <w:rPr>
          <w:b/>
          <w:color w:val="003CA0"/>
          <w:sz w:val="16"/>
        </w:rPr>
        <w:t>[AI 694.836 AgR, rel. min. Ellen Gracie, j. 24-11-2009, 2ª T, DJE de 18-12-2009.]</w:t>
      </w:r>
    </w:p>
    <w:p>
      <w:pPr>
        <w:ind w:left="288"/>
      </w:pPr>
      <w:r>
        <w:rPr>
          <w:color w:val="8C8C8C"/>
          <w:sz w:val="12"/>
        </w:rPr>
        <w:t>cf-art-145-inc-III</w:t>
      </w:r>
      <w:r>
        <w:rPr>
          <w:color w:val="003CA0"/>
          <w:sz w:val="12"/>
        </w:rPr>
        <w:t xml:space="preserve"> | RE 236.310</w:t>
      </w:r>
      <w:r>
        <w:rPr>
          <w:color w:val="003CA0"/>
          <w:sz w:val="12"/>
        </w:rPr>
        <w:t xml:space="preserve"> | rel. Sepúlveda Pertence</w:t>
      </w:r>
    </w:p>
    <w:p>
      <w:pPr>
        <w:ind w:left="288"/>
      </w:pPr>
      <w:r>
        <w:rPr>
          <w:color w:val="1E1E1E"/>
          <w:sz w:val="18"/>
        </w:rPr>
        <w:t>Obra pública: o particular que assumiu por contrato a obrigação de ressarcir a sociedade de economia mista executora dos custos de obra pública de seu interesse não pode opor à validade da obrigação livremente contraída a possibilidade, em tese, da instituição para a hipótese de contribuição de melhoria.</w:t>
      </w:r>
    </w:p>
    <w:p>
      <w:pPr>
        <w:ind w:left="288"/>
      </w:pPr>
      <w:r>
        <w:rPr>
          <w:b/>
          <w:color w:val="003CA0"/>
          <w:sz w:val="16"/>
        </w:rPr>
        <w:t>[RE 236.310, rel. min. Sepúlveda Pertence, j. 14-12-1998, 1ª T, DJ de 6-4-2001.]</w:t>
      </w:r>
    </w:p>
    <w:p>
      <w:pPr>
        <w:ind w:left="288"/>
      </w:pPr>
      <w:r>
        <w:rPr>
          <w:color w:val="8C8C8C"/>
          <w:sz w:val="12"/>
        </w:rPr>
        <w:t>cf-art-145-inc-III</w:t>
      </w:r>
      <w:r>
        <w:rPr>
          <w:color w:val="003CA0"/>
          <w:sz w:val="12"/>
        </w:rPr>
        <w:t xml:space="preserve"> | RE 140.779</w:t>
      </w:r>
      <w:r>
        <w:rPr>
          <w:color w:val="003CA0"/>
          <w:sz w:val="12"/>
        </w:rPr>
        <w:t xml:space="preserve"> | rel. Ilmar Galvão</w:t>
      </w:r>
    </w:p>
    <w:p>
      <w:pPr>
        <w:ind w:left="288"/>
      </w:pPr>
      <w:r>
        <w:rPr>
          <w:color w:val="1E1E1E"/>
          <w:sz w:val="18"/>
        </w:rPr>
        <w:t>Taxa de pavimentação asfáltica. (...) Tributo que tem por fato gerador benefício resultante de obra pública, próprio de contribuição de melhoria, e não a utilização, pelo contribuinte, de serviço público específico e divisível, prestado ao contribuinte ou posto a sua disposição. Impossibilidade de sua cobrança como contribuição, por inobservância das formalidades legais que constituem o pressuposto do lançamento dessa espécie tributária.</w:t>
      </w:r>
    </w:p>
    <w:p>
      <w:pPr>
        <w:ind w:left="288"/>
      </w:pPr>
      <w:r>
        <w:rPr>
          <w:b/>
          <w:color w:val="003CA0"/>
          <w:sz w:val="16"/>
        </w:rPr>
        <w:t>[RE 140.779, rel. min. Ilmar Galvão, j. 2-8-1995, P, DJ de 8-9-1995.]</w:t>
      </w:r>
    </w:p>
    <w:p>
      <w:pPr>
        <w:ind w:left="288"/>
      </w:pPr>
      <w:r>
        <w:rPr>
          <w:color w:val="8C8C8C"/>
          <w:sz w:val="12"/>
        </w:rPr>
        <w:t>cf-art-145-inc-III</w:t>
      </w:r>
      <w:r>
        <w:rPr>
          <w:color w:val="003CA0"/>
          <w:sz w:val="12"/>
        </w:rPr>
        <w:t xml:space="preserve"> | RE 114.069</w:t>
      </w:r>
      <w:r>
        <w:rPr>
          <w:color w:val="003CA0"/>
          <w:sz w:val="12"/>
        </w:rPr>
        <w:t xml:space="preserve"> | rel. Carlos Velloso</w:t>
      </w:r>
    </w:p>
    <w:p>
      <w:pPr>
        <w:ind w:left="288"/>
      </w:pPr>
      <w:r>
        <w:rPr>
          <w:color w:val="1E1E1E"/>
          <w:sz w:val="18"/>
        </w:rPr>
        <w:t>Sem valorização imobiliária, decorrente de obra pública, não há contribuição de melhoria, porque a hipótese de incidência desta é a valorização e a sua base é a diferença entre dois momentos: o anterior e o posterior à obra pública, vale dizer, o quantum da valorização imobiliária.</w:t>
      </w:r>
    </w:p>
    <w:p>
      <w:pPr>
        <w:ind w:left="288"/>
      </w:pPr>
      <w:r>
        <w:rPr>
          <w:b/>
          <w:color w:val="003CA0"/>
          <w:sz w:val="16"/>
        </w:rPr>
        <w:t>[RE 114.069, rel. min. Carlos Velloso, j. 15-4-1994, 2ª T, DJ de 30-9-1994.]</w:t>
      </w:r>
    </w:p>
    <w:p>
      <w:pPr>
        <w:ind w:left="288"/>
      </w:pPr>
      <w:r>
        <w:rPr>
          <w:color w:val="8C8C8C"/>
          <w:sz w:val="12"/>
        </w:rPr>
        <w:t>cf-art-145-inc-III</w:t>
      </w:r>
    </w:p>
    <w:p>
      <w:pPr>
        <w:ind w:left="288"/>
      </w:pPr>
      <w:r>
        <w:rPr>
          <w:color w:val="1E1E1E"/>
          <w:sz w:val="18"/>
        </w:rPr>
        <w:t>§ 1º Sempre que possível, os impostos terão caráter pessoal e serão graduados segundo a capacidade econômica do contribuinte, facultado à administração tributária, especialmente para conferir efetividade a esses objetivos, identificar, respeitados os direitos individuais e nos termos da lei, o patrimônio, os rendimentos e as atividades econômicas do contribuinte.</w:t>
      </w:r>
    </w:p>
    <w:p>
      <w:pPr>
        <w:ind w:left="144"/>
      </w:pPr>
      <w:r>
        <w:rPr>
          <w:b/>
          <w:color w:val="B45A00"/>
          <w:sz w:val="16"/>
        </w:rPr>
        <w:t>SUMULA</w:t>
      </w:r>
    </w:p>
    <w:p>
      <w:pPr>
        <w:ind w:left="288"/>
      </w:pPr>
      <w:r>
        <w:rPr>
          <w:color w:val="8C8C8C"/>
          <w:sz w:val="12"/>
        </w:rPr>
        <w:t>cf-art-145-inc-III</w:t>
      </w:r>
    </w:p>
    <w:p>
      <w:pPr>
        <w:ind w:left="288"/>
      </w:pPr>
      <w:r>
        <w:rPr>
          <w:color w:val="1E1E1E"/>
          <w:sz w:val="18"/>
        </w:rPr>
        <w:t>É inconstitucional a lei municipal que tenha estabelecido, antes da EC 29/2000, alíquotas progressivas para o IPTU, salvo se destinada a assegurar o cumprimento da função social da propriedade urbana.</w:t>
      </w:r>
    </w:p>
    <w:p>
      <w:pPr>
        <w:ind w:left="288"/>
      </w:pPr>
      <w:r>
        <w:rPr>
          <w:b/>
          <w:color w:val="003CA0"/>
          <w:sz w:val="16"/>
        </w:rPr>
        <w:t>[Súmula 668.]</w:t>
      </w:r>
    </w:p>
    <w:p>
      <w:pPr>
        <w:ind w:left="288"/>
      </w:pPr>
      <w:r>
        <w:rPr>
          <w:color w:val="8C8C8C"/>
          <w:sz w:val="12"/>
        </w:rPr>
        <w:t>cf-art-145-inc-III</w:t>
      </w:r>
    </w:p>
    <w:p>
      <w:pPr>
        <w:ind w:left="288"/>
      </w:pPr>
      <w:r>
        <w:rPr>
          <w:color w:val="1E1E1E"/>
          <w:sz w:val="18"/>
        </w:rPr>
        <w:t>É inconstitucional a lei que estabelece alíquotas progressivas para o Imposto de Transmissão Inter Vivos de Bens Imóveis (ITBI) com base no valor venal do imóvel.</w:t>
      </w:r>
    </w:p>
    <w:p>
      <w:pPr>
        <w:ind w:left="288"/>
      </w:pPr>
      <w:r>
        <w:rPr>
          <w:b/>
          <w:color w:val="003CA0"/>
          <w:sz w:val="16"/>
        </w:rPr>
        <w:t>[Súmula 656.]</w:t>
      </w:r>
    </w:p>
    <w:p>
      <w:pPr>
        <w:ind w:left="288"/>
      </w:pPr>
      <w:r>
        <w:rPr>
          <w:color w:val="8C8C8C"/>
          <w:sz w:val="12"/>
        </w:rPr>
        <w:t>cf-art-145-inc-III</w:t>
      </w:r>
      <w:r>
        <w:rPr>
          <w:color w:val="003CA0"/>
          <w:sz w:val="12"/>
        </w:rPr>
        <w:t xml:space="preserve"> | ADI 7.616</w:t>
      </w:r>
      <w:r>
        <w:rPr>
          <w:color w:val="003CA0"/>
          <w:sz w:val="12"/>
        </w:rPr>
        <w:t xml:space="preserve"> | rel. Cristiano Zanin</w:t>
      </w:r>
    </w:p>
    <w:p>
      <w:pPr>
        <w:ind w:left="288"/>
      </w:pPr>
      <w:r>
        <w:rPr>
          <w:color w:val="1E1E1E"/>
          <w:sz w:val="18"/>
        </w:rPr>
        <w:t>A inscrição em cadastro de contribuintes é providência elementar e necessária para que as administrações tributárias possam exercer o seu poder-dever de fiscalização. A Constituição Federal faculta à administração tributária “identificar, respeitados os direitos individuais e nos termos da lei, o patrimônio, os rendimentos e as atividades econômicas do contribuinte” (art. 145, § 1º). A exigência de documentos e informações como condição à inscrição (art. 107 da Lei Estadual 18.665/2023) não viola a Constituição. A suspensão da inscrição no Cadastro Geral da Fazenda (CGF), nas hipóteses previst</w:t>
      </w:r>
    </w:p>
    <w:p>
      <w:pPr>
        <w:ind w:left="288"/>
      </w:pPr>
      <w:r>
        <w:rPr>
          <w:b/>
          <w:color w:val="003CA0"/>
          <w:sz w:val="16"/>
        </w:rPr>
        <w:t>[ADI 7.616, rel. min. Cristiano Zanin, j. 17.02.2025, P, DJE de 21.02.2025.]</w:t>
      </w:r>
    </w:p>
    <w:p>
      <w:pPr>
        <w:ind w:left="288"/>
      </w:pPr>
      <w:r>
        <w:rPr>
          <w:color w:val="8C8C8C"/>
          <w:sz w:val="12"/>
        </w:rPr>
        <w:t>cf-art-145-inc-III</w:t>
      </w:r>
      <w:r>
        <w:rPr>
          <w:color w:val="003CA0"/>
          <w:sz w:val="12"/>
        </w:rPr>
        <w:t xml:space="preserve"> | ADI 5.431</w:t>
      </w:r>
      <w:r>
        <w:rPr>
          <w:color w:val="003CA0"/>
          <w:sz w:val="12"/>
        </w:rPr>
        <w:t xml:space="preserve"> | rel. Gilmar Mendes</w:t>
      </w:r>
    </w:p>
    <w:p>
      <w:pPr>
        <w:ind w:left="288"/>
      </w:pPr>
      <w:r>
        <w:rPr>
          <w:color w:val="1E1E1E"/>
          <w:sz w:val="18"/>
        </w:rPr>
        <w:t>Responsabilidade solidária do representante, no país, do transportador estrangeiro pelo recolhimento do imposto de importação. (...) parágrafo único do art. 32 do Decreto-Lei 37/1966, com a redação conferida pelo art. 77 da Medida Provisória 2.158-35/2001. (...) A norma impugnada não afronta os princípios constitucionais da vedação ao confisco, da capacidade contributiva e da livre iniciativa, porque o representante do transportador estrangeiro, na condição de terceira pessoa vinculada ao fato gerador da obrigação tributária relacionada à atividade de importação, possui responsabilidade pelo c</w:t>
      </w:r>
    </w:p>
    <w:p>
      <w:pPr>
        <w:ind w:left="288"/>
      </w:pPr>
      <w:r>
        <w:rPr>
          <w:b/>
          <w:color w:val="003CA0"/>
          <w:sz w:val="16"/>
        </w:rPr>
        <w:t>[ADI 5.431, rel. min. Gilmar Mendes, j. 02.12.2024, P, DJE de 06.12.2024.]</w:t>
      </w:r>
    </w:p>
    <w:p>
      <w:pPr>
        <w:ind w:left="144"/>
      </w:pPr>
      <w:r>
        <w:rPr>
          <w:b/>
          <w:color w:val="B45A00"/>
          <w:sz w:val="16"/>
        </w:rPr>
        <w:t>CONTROLE CONCENTRADO</w:t>
      </w:r>
    </w:p>
    <w:p>
      <w:pPr>
        <w:ind w:left="288"/>
      </w:pPr>
      <w:r>
        <w:rPr>
          <w:color w:val="8C8C8C"/>
          <w:sz w:val="12"/>
        </w:rPr>
        <w:t>cf-art-145-inc-III</w:t>
      </w:r>
      <w:r>
        <w:rPr>
          <w:color w:val="003CA0"/>
          <w:sz w:val="12"/>
        </w:rPr>
        <w:t xml:space="preserve"> | ADI 6.671</w:t>
      </w:r>
      <w:r>
        <w:rPr>
          <w:color w:val="003CA0"/>
          <w:sz w:val="12"/>
        </w:rPr>
        <w:t xml:space="preserve"> | rel. Cármen Lúcia</w:t>
      </w:r>
    </w:p>
    <w:p>
      <w:pPr>
        <w:ind w:left="288"/>
      </w:pPr>
      <w:r>
        <w:rPr>
          <w:color w:val="1E1E1E"/>
          <w:sz w:val="18"/>
        </w:rPr>
        <w:t>Não caracteriza ofensa aos princípios da equivalência (art. 145, II, da Constituição), da vedação ao confisco (art. 150, IV, da Constituição) e da capacidade contributiva (art. 145, §1°, da Constituição) a alteração no valor das custas extrajudiciais que visa apenas a recomposição inflacionária dos emolumentos, desde que os critérios de atualização guardem relação com as atividades específicas e objetivos do tributo.</w:t>
      </w:r>
    </w:p>
    <w:p>
      <w:pPr>
        <w:ind w:left="288"/>
      </w:pPr>
      <w:r>
        <w:rPr>
          <w:b/>
          <w:color w:val="003CA0"/>
          <w:sz w:val="16"/>
        </w:rPr>
        <w:t>[ADI 6.671, rel. min. Cármen Lúcia, j. 15-9-2021, Plenário, DJE de 22-9-2021.]</w:t>
      </w:r>
    </w:p>
    <w:p>
      <w:pPr>
        <w:ind w:left="288"/>
      </w:pPr>
      <w:r>
        <w:rPr>
          <w:color w:val="8C8C8C"/>
          <w:sz w:val="12"/>
        </w:rPr>
        <w:t>cf-art-145-inc-III</w:t>
      </w:r>
      <w:r>
        <w:rPr>
          <w:color w:val="003CA0"/>
          <w:sz w:val="12"/>
        </w:rPr>
        <w:t xml:space="preserve"> | ADI 5.583</w:t>
      </w:r>
    </w:p>
    <w:p>
      <w:pPr>
        <w:ind w:left="288"/>
      </w:pPr>
      <w:r>
        <w:rPr>
          <w:color w:val="1E1E1E"/>
          <w:sz w:val="18"/>
        </w:rPr>
        <w:t>“Ao adotar como critério para a perda da dependência a capacidade para o trabalho, a norma questionada presume o que normalmente acontece: o então dependente passa a arcar com as suas próprias despesas, sem mais representar um ônus financeiro para os seus genitores ou responsáveis. Todavia, não é o que ocorre, como regra, com aqueles que possuem alguém com deficiência, sobretudo grave, na família. Nesse caso, justifica-se a diminuição da base de cálculo do imposto, para que não incida sobre valores que não representam verdadeiro acréscimo patrimonial. (...) Na apuração do imposto sobre a renda</w:t>
      </w:r>
    </w:p>
    <w:p>
      <w:pPr>
        <w:ind w:left="288"/>
      </w:pPr>
      <w:r>
        <w:rPr>
          <w:b/>
          <w:color w:val="003CA0"/>
          <w:sz w:val="16"/>
        </w:rPr>
        <w:t>[ADI 5.583, red. do ac. min. Roberto Barroso, j. 14-5-2021, P, DJE de 28-6-2021.]</w:t>
      </w:r>
    </w:p>
    <w:p>
      <w:pPr>
        <w:ind w:left="144"/>
      </w:pPr>
      <w:r>
        <w:rPr>
          <w:b/>
          <w:color w:val="B45A00"/>
          <w:sz w:val="16"/>
        </w:rPr>
        <w:t>REPERCUSSAO GERAL</w:t>
      </w:r>
    </w:p>
    <w:p>
      <w:pPr>
        <w:ind w:left="288"/>
      </w:pPr>
      <w:r>
        <w:rPr>
          <w:color w:val="8C8C8C"/>
          <w:sz w:val="12"/>
        </w:rPr>
        <w:t>cf-art-145-inc-III</w:t>
      </w:r>
      <w:r>
        <w:rPr>
          <w:color w:val="003CA0"/>
          <w:sz w:val="12"/>
        </w:rPr>
        <w:t xml:space="preserve"> | RE 562.045</w:t>
      </w:r>
    </w:p>
    <w:p>
      <w:pPr>
        <w:ind w:left="288"/>
      </w:pPr>
      <w:r>
        <w:rPr>
          <w:color w:val="1E1E1E"/>
          <w:sz w:val="18"/>
        </w:rPr>
        <w:t>(...) tratando-se de imposto direto, a sua incidência poderá expressar, em diversas circunstâncias, progressividade ou regressividade direta. Todos os impostos, repito, estão sujeitos ao princípio da capacidade contributiva, especialmente os diretos, independentemente de sua classificação como de caráter real ou pessoal.</w:t>
      </w:r>
    </w:p>
    <w:p>
      <w:pPr>
        <w:ind w:left="288"/>
      </w:pPr>
      <w:r>
        <w:rPr>
          <w:b/>
          <w:color w:val="003CA0"/>
          <w:sz w:val="16"/>
        </w:rPr>
        <w:t>[RE 562.045, voto do min. Eros Grau, j. 6-2-2013, P, DJE de 27-11-2013, Tema 21, com mérito julgado.]</w:t>
      </w:r>
    </w:p>
    <w:p>
      <w:pPr>
        <w:ind w:left="288"/>
      </w:pPr>
      <w:r>
        <w:rPr>
          <w:color w:val="8C8C8C"/>
          <w:sz w:val="12"/>
        </w:rPr>
        <w:t>cf-art-145-inc-III</w:t>
      </w:r>
      <w:r>
        <w:rPr>
          <w:color w:val="003CA0"/>
          <w:sz w:val="12"/>
        </w:rPr>
        <w:t xml:space="preserve"> | RE 586.693</w:t>
      </w:r>
      <w:r>
        <w:rPr>
          <w:color w:val="003CA0"/>
          <w:sz w:val="12"/>
        </w:rPr>
        <w:t xml:space="preserve"> | rel. Marco Aurélio</w:t>
      </w:r>
    </w:p>
    <w:p>
      <w:pPr>
        <w:ind w:left="288"/>
      </w:pPr>
      <w:r>
        <w:rPr>
          <w:color w:val="1E1E1E"/>
          <w:sz w:val="18"/>
        </w:rPr>
        <w:t>IPTU. (...) Surge legítima, sob o ângulo constitucional, lei a prever alíquotas diversas, presentes imóveis residenciais e comerciais, uma vez editada após a EC 29/2000.</w:t>
        <w:br/>
        <w:t>[RE 586.693, rel. min. Marco Aurélio, j. 25-5-2011, P, DJE de 22-6-2011, Tema 94, com mérito julgado.]</w:t>
        <w:br/>
        <w:t>Vide RE 437.107 AgR, rel. min. Joaquim Barbosa, j. 6-4-2010, 2ª T, DJE de 23-4-2010 A progressividade da alíquota, que resulta do rateio do custo da iluminação pública entre os consumidores de energia elétrica, não afronta o princípio da capacidade contributiva.</w:t>
      </w:r>
    </w:p>
    <w:p>
      <w:pPr>
        <w:ind w:left="288"/>
      </w:pPr>
      <w:r>
        <w:rPr>
          <w:b/>
          <w:color w:val="003CA0"/>
          <w:sz w:val="16"/>
        </w:rPr>
        <w:t>[RE 573.675, rel. min. Ricardo Lewandowski, j. 25-3-2009, P, DJE de 22-5-2009, Tema 44, com mérito julgado.]</w:t>
      </w:r>
    </w:p>
    <w:p>
      <w:pPr>
        <w:ind w:left="144"/>
      </w:pPr>
      <w:r>
        <w:rPr>
          <w:b/>
          <w:color w:val="B45A00"/>
          <w:sz w:val="16"/>
        </w:rPr>
        <w:t>JULGADOS CORRELATOS</w:t>
      </w:r>
    </w:p>
    <w:p>
      <w:pPr>
        <w:ind w:left="288"/>
      </w:pPr>
      <w:r>
        <w:rPr>
          <w:color w:val="8C8C8C"/>
          <w:sz w:val="12"/>
        </w:rPr>
        <w:t>cf-art-145-inc-III</w:t>
      </w:r>
      <w:r>
        <w:rPr>
          <w:color w:val="003CA0"/>
          <w:sz w:val="12"/>
        </w:rPr>
        <w:t xml:space="preserve"> | RE 854.869</w:t>
      </w:r>
      <w:r>
        <w:rPr>
          <w:color w:val="003CA0"/>
          <w:sz w:val="12"/>
        </w:rPr>
        <w:t xml:space="preserve"> | rel. Cármen Lúcia</w:t>
      </w:r>
    </w:p>
    <w:p>
      <w:pPr>
        <w:ind w:left="288"/>
      </w:pPr>
      <w:r>
        <w:rPr>
          <w:color w:val="1E1E1E"/>
          <w:sz w:val="18"/>
        </w:rPr>
        <w:t>(...) Imposto sobre Transmissão Causa Mortis e Doação de Bens e Direitos. Grau de parentesco como parâmetro para a progressividade. Impossibilidade.</w:t>
      </w:r>
    </w:p>
    <w:p>
      <w:pPr>
        <w:ind w:left="288"/>
      </w:pPr>
      <w:r>
        <w:rPr>
          <w:b/>
          <w:color w:val="003CA0"/>
          <w:sz w:val="16"/>
        </w:rPr>
        <w:t>[RE 854.869 AgR, rel. min. Cármen Lúcia, j. 25-8-2015, 2ª T, DJE de 4-9-2015.]</w:t>
      </w:r>
    </w:p>
    <w:p>
      <w:pPr>
        <w:ind w:left="288"/>
      </w:pPr>
      <w:r>
        <w:rPr>
          <w:color w:val="8C8C8C"/>
          <w:sz w:val="12"/>
        </w:rPr>
        <w:t>cf-art-145-inc-III</w:t>
      </w:r>
      <w:r>
        <w:rPr>
          <w:color w:val="003CA0"/>
          <w:sz w:val="12"/>
        </w:rPr>
        <w:t xml:space="preserve"> | RE 557.367</w:t>
      </w:r>
      <w:r>
        <w:rPr>
          <w:color w:val="003CA0"/>
          <w:sz w:val="12"/>
        </w:rPr>
        <w:t xml:space="preserve"> | rel. Alexandre de Moraes</w:t>
      </w:r>
    </w:p>
    <w:p>
      <w:pPr>
        <w:ind w:left="288"/>
      </w:pPr>
      <w:r>
        <w:rPr>
          <w:color w:val="1E1E1E"/>
          <w:sz w:val="18"/>
        </w:rPr>
        <w:t>= RE 557.367 AgR, rel. min. Alexandre de Moraes, j. 20-2-2018, 1ª T, DJE de 6-3-2018 As bases de cálculo previstas para as sociedades prestadoras de serviços profissionais foram recepcionadas pela nova ordem jurídico-constitucional, na medida em que se mostram adequadas a todo o arcabouço principiológico do sistema tributário nacional. Ao contrário do que foi alegado, a tributação diferenciada se presta a concretizar a isonomia e a capacidade contributiva. As normas inscritas nos §§ 1º e 3º não implicam redução da base de cálculo.</w:t>
      </w:r>
    </w:p>
    <w:p>
      <w:pPr>
        <w:ind w:left="288"/>
      </w:pPr>
      <w:r>
        <w:rPr>
          <w:b/>
          <w:color w:val="003CA0"/>
          <w:sz w:val="16"/>
        </w:rPr>
        <w:t>[AI 703.982 AgR, rel. min. Dias Toffoli, j. 9-4-2013, 1ª T, DJE de 7-6-2013.]</w:t>
      </w:r>
    </w:p>
    <w:p>
      <w:pPr>
        <w:ind w:left="288"/>
      </w:pPr>
      <w:r>
        <w:rPr>
          <w:color w:val="8C8C8C"/>
          <w:sz w:val="12"/>
        </w:rPr>
        <w:t>cf-art-145-inc-III</w:t>
      </w:r>
      <w:r>
        <w:rPr>
          <w:color w:val="003CA0"/>
          <w:sz w:val="12"/>
        </w:rPr>
        <w:t xml:space="preserve"> | RE 795.415</w:t>
      </w:r>
      <w:r>
        <w:rPr>
          <w:color w:val="003CA0"/>
          <w:sz w:val="12"/>
        </w:rPr>
        <w:t xml:space="preserve"> | rel. Cármen Lúcia</w:t>
      </w:r>
    </w:p>
    <w:p>
      <w:pPr>
        <w:ind w:left="288"/>
      </w:pPr>
      <w:r>
        <w:rPr>
          <w:color w:val="1E1E1E"/>
          <w:sz w:val="18"/>
        </w:rPr>
        <w:t>= RE 795.415 AgR, rel. min. Cármen Lúcia, j. 3-6-2014, 2ª T, DJE de 13-6-2014 IPVA. Progressividade. Todos os tributos submetem-se ao princípio da capacidade contributiva (precedentes), ao menos em relação a um de seus três aspectos (objetivo, subjetivo e proporcional), independentemente de classificação extraída de critérios puramente econômicos.</w:t>
      </w:r>
    </w:p>
    <w:p>
      <w:pPr>
        <w:ind w:left="288"/>
      </w:pPr>
      <w:r>
        <w:rPr>
          <w:b/>
          <w:color w:val="003CA0"/>
          <w:sz w:val="16"/>
        </w:rPr>
        <w:t>[RE 406.955 AgR, rel. min. Joaquim Barbosa, j. 4-10-2011, 2ª T, DJE de 21-10-2011.]</w:t>
      </w:r>
    </w:p>
    <w:p>
      <w:pPr>
        <w:ind w:left="288"/>
      </w:pPr>
      <w:r>
        <w:rPr>
          <w:color w:val="8C8C8C"/>
          <w:sz w:val="12"/>
        </w:rPr>
        <w:t>cf-art-145-inc-III</w:t>
      </w:r>
      <w:r>
        <w:rPr>
          <w:color w:val="003CA0"/>
          <w:sz w:val="12"/>
        </w:rPr>
        <w:t xml:space="preserve"> | RE 414.259</w:t>
      </w:r>
      <w:r>
        <w:rPr>
          <w:color w:val="003CA0"/>
          <w:sz w:val="12"/>
        </w:rPr>
        <w:t xml:space="preserve"> | rel. Eros Grau</w:t>
      </w:r>
    </w:p>
    <w:p>
      <w:pPr>
        <w:ind w:left="288"/>
      </w:pPr>
      <w:r>
        <w:rPr>
          <w:color w:val="1E1E1E"/>
          <w:sz w:val="18"/>
        </w:rPr>
        <w:t>IPVA. Lei estadual. Alíquotas diferenciadas em razão do tipo do veículo. (...) Não há tributo progressivo quando as alíquotas são diferenciadas segundo critérios que não levam em consideração a capacidade contributiva.</w:t>
      </w:r>
    </w:p>
    <w:p>
      <w:pPr>
        <w:ind w:left="288"/>
      </w:pPr>
      <w:r>
        <w:rPr>
          <w:b/>
          <w:color w:val="003CA0"/>
          <w:sz w:val="16"/>
        </w:rPr>
        <w:t>[RE 414.259 AgR, rel. min. Eros Grau, j. 24-6-2008, 2ª T, DJE de 15-8-2008.]</w:t>
      </w:r>
    </w:p>
    <w:p>
      <w:pPr>
        <w:ind w:left="288"/>
      </w:pPr>
      <w:r>
        <w:rPr>
          <w:color w:val="8C8C8C"/>
          <w:sz w:val="12"/>
        </w:rPr>
        <w:t>cf-art-145-inc-III</w:t>
      </w:r>
      <w:r>
        <w:rPr>
          <w:color w:val="003CA0"/>
          <w:sz w:val="12"/>
        </w:rPr>
        <w:t xml:space="preserve"> | HC 93.050</w:t>
      </w:r>
      <w:r>
        <w:rPr>
          <w:color w:val="003CA0"/>
          <w:sz w:val="12"/>
        </w:rPr>
        <w:t xml:space="preserve"> | rel. Celso de Mello</w:t>
      </w:r>
    </w:p>
    <w:p>
      <w:pPr>
        <w:ind w:left="288"/>
      </w:pPr>
      <w:r>
        <w:rPr>
          <w:color w:val="1E1E1E"/>
          <w:sz w:val="18"/>
        </w:rPr>
        <w:t>Fiscalização tributária. Apreensão de livros contábeis e documentos fiscais realizada, em escritório de contabilidade, por agentes fazendários e policiais federais, sem mandado judicial. Inadmissibilidade. Espaço privado, não aberto ao público, sujeito à proteção constitucional da inviolabilidade domiciliar (CF, art. 5º, XI). Subsunção ao conceito normativo de "casa". Necessidade de ordem judicial. Administração pública e fiscalização tributária. Dever de observância, por parte de seus órgãos e agentes, dos limites jurídicos impostos pela constituição e pelas leis da República. Impossibilidade</w:t>
      </w:r>
    </w:p>
    <w:p>
      <w:pPr>
        <w:ind w:left="288"/>
      </w:pPr>
      <w:r>
        <w:rPr>
          <w:b/>
          <w:color w:val="003CA0"/>
          <w:sz w:val="16"/>
        </w:rPr>
        <w:t>[HC 93.050, rel. min. Celso de Mello, j. 10-6-2008, 2ª T, DJE de 1º-8-2008.]</w:t>
      </w:r>
    </w:p>
    <w:p>
      <w:pPr>
        <w:ind w:left="288"/>
      </w:pPr>
      <w:r>
        <w:rPr>
          <w:color w:val="8C8C8C"/>
          <w:sz w:val="12"/>
        </w:rPr>
        <w:t>cf-art-145-inc-III</w:t>
      </w:r>
      <w:r>
        <w:rPr>
          <w:color w:val="003CA0"/>
          <w:sz w:val="12"/>
        </w:rPr>
        <w:t xml:space="preserve"> | RE 239.964</w:t>
      </w:r>
      <w:r>
        <w:rPr>
          <w:color w:val="003CA0"/>
          <w:sz w:val="12"/>
        </w:rPr>
        <w:t xml:space="preserve"> | rel. Ellen Gracie</w:t>
      </w:r>
    </w:p>
    <w:p>
      <w:pPr>
        <w:ind w:left="288"/>
      </w:pPr>
      <w:r>
        <w:rPr>
          <w:color w:val="1E1E1E"/>
          <w:sz w:val="18"/>
        </w:rPr>
        <w:t>A multa moratória de 20% do valor do imposto devido não se mostra abusiva ou desarrazoada, inexistindo ofensa aos princípios da capacidade contributiva e da vedação ao confisco.</w:t>
      </w:r>
    </w:p>
    <w:p>
      <w:pPr>
        <w:ind w:left="288"/>
      </w:pPr>
      <w:r>
        <w:rPr>
          <w:b/>
          <w:color w:val="003CA0"/>
          <w:sz w:val="16"/>
        </w:rPr>
        <w:t>[RE 239.964, rel. min. Ellen Gracie, j. 15-4-2003, 1ª T, DJ de 9-5-2003.]</w:t>
      </w:r>
    </w:p>
    <w:p>
      <w:pPr>
        <w:ind w:left="288"/>
      </w:pPr>
      <w:r>
        <w:rPr>
          <w:color w:val="8C8C8C"/>
          <w:sz w:val="12"/>
        </w:rPr>
        <w:t>cf-art-145-inc-III</w:t>
      </w:r>
      <w:r>
        <w:rPr>
          <w:color w:val="003CA0"/>
          <w:sz w:val="12"/>
        </w:rPr>
        <w:t xml:space="preserve"> | AI 755.741</w:t>
      </w:r>
      <w:r>
        <w:rPr>
          <w:color w:val="003CA0"/>
          <w:sz w:val="12"/>
        </w:rPr>
        <w:t xml:space="preserve"> | rel. Cezar Peluso</w:t>
      </w:r>
    </w:p>
    <w:p>
      <w:pPr>
        <w:ind w:left="288"/>
      </w:pPr>
      <w:r>
        <w:rPr>
          <w:color w:val="1E1E1E"/>
          <w:sz w:val="18"/>
        </w:rPr>
        <w:t>= AI 755.741 AgR, rel. min. Cezar Peluso, j. 29-9-2009, 2ª T, DJE de 29-10-2009 Progressividade do tributo e isenção. Institutos distintos. O primeiro constitui sanção imposta pelo inadequado aproveitamento da propriedade, nos termos em que dispuser a lei federal; o segundo diz respeito à observância à capacidade contributiva do contribuinte.</w:t>
      </w:r>
    </w:p>
    <w:p>
      <w:pPr>
        <w:ind w:left="288"/>
      </w:pPr>
      <w:r>
        <w:rPr>
          <w:b/>
          <w:color w:val="003CA0"/>
          <w:sz w:val="16"/>
        </w:rPr>
        <w:t>[RE 238.671, rel. min. Maurício Corrêa, j. 30-10-2001, 2ª T, DJ de 15-2-2002.]</w:t>
      </w:r>
    </w:p>
    <w:p>
      <w:pPr>
        <w:ind w:left="288"/>
      </w:pPr>
      <w:r>
        <w:rPr>
          <w:color w:val="8C8C8C"/>
          <w:sz w:val="12"/>
        </w:rPr>
        <w:t>cf-art-145-inc-III</w:t>
      </w:r>
      <w:r>
        <w:rPr>
          <w:color w:val="003CA0"/>
          <w:sz w:val="12"/>
        </w:rPr>
        <w:t xml:space="preserve"> | AI 228.337</w:t>
      </w:r>
      <w:r>
        <w:rPr>
          <w:color w:val="003CA0"/>
          <w:sz w:val="12"/>
        </w:rPr>
        <w:t xml:space="preserve"> | rel. Sepúlveda Pertence</w:t>
      </w:r>
    </w:p>
    <w:p>
      <w:pPr>
        <w:ind w:left="288"/>
      </w:pPr>
      <w:r>
        <w:rPr>
          <w:color w:val="1E1E1E"/>
          <w:sz w:val="18"/>
        </w:rPr>
        <w:t>A exigibilidade do ISS, uma vez ocorrido o fato gerador – que é a prestação do serviço –, não está condicionada ao adimplemento da obrigação de pagar-lhe o preço, assumida pelo tomador dele: a conformidade da legislação tributária com os princípios constitucionais da isonomia e da capacidade contributiva não pode depender do prazo de pagamento concedido pelo contribuinte a sua clientela.</w:t>
      </w:r>
    </w:p>
    <w:p>
      <w:pPr>
        <w:ind w:left="288"/>
      </w:pPr>
      <w:r>
        <w:rPr>
          <w:b/>
          <w:color w:val="003CA0"/>
          <w:sz w:val="16"/>
        </w:rPr>
        <w:t>[AI 228.337 AgR, rel. min. Sepúlveda Pertence, j. 7-12-1999, 1ª T, DJ de 18-2-2000.]</w:t>
      </w:r>
    </w:p>
    <w:p>
      <w:pPr>
        <w:ind w:left="288"/>
      </w:pPr>
      <w:r>
        <w:rPr>
          <w:color w:val="8C8C8C"/>
          <w:sz w:val="12"/>
        </w:rPr>
        <w:t>cf-art-145-inc-III</w:t>
      </w:r>
      <w:r>
        <w:rPr>
          <w:color w:val="003CA0"/>
          <w:sz w:val="12"/>
        </w:rPr>
        <w:t xml:space="preserve"> | RE 232.393</w:t>
      </w:r>
      <w:r>
        <w:rPr>
          <w:color w:val="003CA0"/>
          <w:sz w:val="12"/>
        </w:rPr>
        <w:t xml:space="preserve"> | rel. Carlos Velloso</w:t>
      </w:r>
    </w:p>
    <w:p>
      <w:pPr>
        <w:ind w:left="288"/>
      </w:pPr>
      <w:r>
        <w:rPr>
          <w:color w:val="1E1E1E"/>
          <w:sz w:val="18"/>
        </w:rPr>
        <w:t>O fato de um dos elementos utilizados na fixação da base de cálculo do IPTU – a metragem da área construída do imóvel –, que é o valor do imóvel (CTN, art. 33), ser tomado em linha de conta na determinação da alíquota da taxa de coleta de lixo, não quer dizer que teria essa taxa base de cálculo igual à do IPTU: o custo do serviço constitui a base imponível da taxa. Todavia, para o fim de aferir, em cada caso concreto, a alíquota, utiliza-se a metragem da área construída do imóvel, certo que a alíquota não se confunde com a base imponível do tributo. Tem-se, com isto, também, forma de realizaçã</w:t>
      </w:r>
    </w:p>
    <w:p>
      <w:pPr>
        <w:ind w:left="288"/>
      </w:pPr>
      <w:r>
        <w:rPr>
          <w:b/>
          <w:color w:val="003CA0"/>
          <w:sz w:val="16"/>
        </w:rPr>
        <w:t>[RE 232.393, rel. min. Carlos Velloso, j. 12-8-1999, P, DJ de 5-4-2002.]</w:t>
      </w:r>
    </w:p>
    <w:p>
      <w:pPr>
        <w:ind w:left="288"/>
      </w:pPr>
      <w:r>
        <w:rPr>
          <w:color w:val="8C8C8C"/>
          <w:sz w:val="12"/>
        </w:rPr>
        <w:t>cf-art-145-inc-III</w:t>
      </w:r>
      <w:r>
        <w:rPr>
          <w:color w:val="003CA0"/>
          <w:sz w:val="12"/>
        </w:rPr>
        <w:t xml:space="preserve"> | RE 596.945</w:t>
      </w:r>
      <w:r>
        <w:rPr>
          <w:color w:val="003CA0"/>
          <w:sz w:val="12"/>
        </w:rPr>
        <w:t xml:space="preserve"> | rel. Dias Toffoli</w:t>
      </w:r>
    </w:p>
    <w:p>
      <w:pPr>
        <w:ind w:left="288"/>
      </w:pPr>
      <w:r>
        <w:rPr>
          <w:color w:val="1E1E1E"/>
          <w:sz w:val="18"/>
        </w:rPr>
        <w:t>= RE 596.945 AgR, rel. min. Dias Toffoli, j. 14-2-2012, 1ª T, DJE de 29-3-2012 = RE 232.577 EDv, rel. min. Cezar Peluso, j. 17-2-2010, P, DJE de 9-4-2010 = RE 336.782 AgR, rel. min. Cármen Lúcia, j. 26-5-2009, 1ª T, DJE de 1º-7-2009 No sistema tributário nacional é o IPTU inequivocamente um imposto real. Sob o império da atual Constituição, não é admitida a progressividade fiscal do IPTU, quer com base exclusivamente no seu art. 145, § 1º, porque esse imposto tem caráter real que é incompatível com a progressividade decorrente da capacidade econômica do contribuinte, quer com arrimo na conjuga</w:t>
      </w:r>
    </w:p>
    <w:p>
      <w:pPr>
        <w:ind w:left="288"/>
      </w:pPr>
      <w:r>
        <w:rPr>
          <w:b/>
          <w:color w:val="003CA0"/>
          <w:sz w:val="16"/>
        </w:rPr>
        <w:t>[RE 153.771, rel. min. Moreira Alves, j. 20-11-1996, P, DJ de 5-9-1997.]</w:t>
      </w:r>
    </w:p>
    <w:p>
      <w:pPr>
        <w:ind w:left="144"/>
      </w:pPr>
      <w:r>
        <w:rPr>
          <w:b/>
          <w:color w:val="B45A00"/>
          <w:sz w:val="16"/>
        </w:rPr>
        <w:t>SUMULA VINCULANTE</w:t>
      </w:r>
    </w:p>
    <w:p>
      <w:pPr>
        <w:ind w:left="288"/>
      </w:pPr>
      <w:r>
        <w:rPr>
          <w:color w:val="8C8C8C"/>
          <w:sz w:val="12"/>
        </w:rPr>
        <w:t>cf-art-145-par-2</w:t>
      </w:r>
    </w:p>
    <w:p>
      <w:pPr>
        <w:ind w:left="288"/>
      </w:pPr>
      <w:r>
        <w:rPr>
          <w:color w:val="1E1E1E"/>
          <w:sz w:val="18"/>
        </w:rPr>
        <w:t>É constitucional a adoção, no cálculo do valor de taxa, de um ou mais elementos da base de cálculo própria de determinado imposto, desde que não haja integral identidade entre uma base e outra.</w:t>
      </w:r>
    </w:p>
    <w:p>
      <w:pPr>
        <w:ind w:left="288"/>
      </w:pPr>
      <w:r>
        <w:rPr>
          <w:b/>
          <w:color w:val="003CA0"/>
          <w:sz w:val="16"/>
        </w:rPr>
        <w:t>[Súmula Vinculante 29.]</w:t>
      </w:r>
    </w:p>
    <w:p>
      <w:pPr>
        <w:ind w:left="144"/>
      </w:pPr>
      <w:r>
        <w:rPr>
          <w:b/>
          <w:color w:val="B45A00"/>
          <w:sz w:val="16"/>
        </w:rPr>
        <w:t>SUMULA</w:t>
      </w:r>
    </w:p>
    <w:p>
      <w:pPr>
        <w:ind w:left="288"/>
      </w:pPr>
      <w:r>
        <w:rPr>
          <w:color w:val="8C8C8C"/>
          <w:sz w:val="12"/>
        </w:rPr>
        <w:t>cf-art-145-par-2</w:t>
      </w:r>
    </w:p>
    <w:p>
      <w:pPr>
        <w:ind w:left="288"/>
      </w:pPr>
      <w:r>
        <w:rPr>
          <w:color w:val="1E1E1E"/>
          <w:sz w:val="18"/>
        </w:rPr>
        <w:t>É constitucional a taxa de fiscalização dos mercados de títulos e valores mobiliários instituída pela Lei 7.940/1989.</w:t>
      </w:r>
    </w:p>
    <w:p>
      <w:pPr>
        <w:ind w:left="288"/>
      </w:pPr>
      <w:r>
        <w:rPr>
          <w:b/>
          <w:color w:val="003CA0"/>
          <w:sz w:val="16"/>
        </w:rPr>
        <w:t>[Súmula 665.]</w:t>
      </w:r>
    </w:p>
    <w:p>
      <w:pPr>
        <w:ind w:left="288"/>
      </w:pPr>
      <w:r>
        <w:rPr>
          <w:color w:val="8C8C8C"/>
          <w:sz w:val="12"/>
        </w:rPr>
        <w:t>cf-art-145-par-2</w:t>
      </w:r>
    </w:p>
    <w:p>
      <w:pPr>
        <w:ind w:left="288"/>
      </w:pPr>
      <w:r>
        <w:rPr>
          <w:color w:val="1E1E1E"/>
          <w:sz w:val="18"/>
        </w:rPr>
        <w:t>É inconstitucional a taxa municipal de conservação de estradas de rodagem cuja base de cálculo seja idêntica à do imposto territorial rural.</w:t>
      </w:r>
    </w:p>
    <w:p>
      <w:pPr>
        <w:ind w:left="288"/>
      </w:pPr>
      <w:r>
        <w:rPr>
          <w:b/>
          <w:color w:val="003CA0"/>
          <w:sz w:val="16"/>
        </w:rPr>
        <w:t>[Súmula 595.]</w:t>
      </w:r>
    </w:p>
    <w:p>
      <w:pPr>
        <w:ind w:left="144"/>
      </w:pPr>
      <w:r>
        <w:rPr>
          <w:b/>
          <w:color w:val="B45A00"/>
          <w:sz w:val="16"/>
        </w:rPr>
        <w:t>CONTROLE CONCENTRADO</w:t>
      </w:r>
    </w:p>
    <w:p>
      <w:pPr>
        <w:ind w:left="288"/>
      </w:pPr>
      <w:r>
        <w:rPr>
          <w:color w:val="8C8C8C"/>
          <w:sz w:val="12"/>
        </w:rPr>
        <w:t>cf-art-145-par-2</w:t>
      </w:r>
      <w:r>
        <w:rPr>
          <w:color w:val="003CA0"/>
          <w:sz w:val="12"/>
        </w:rPr>
        <w:t xml:space="preserve"> | ADI 3.775</w:t>
      </w:r>
      <w:r>
        <w:rPr>
          <w:color w:val="003CA0"/>
          <w:sz w:val="12"/>
        </w:rPr>
        <w:t xml:space="preserve"> | rel. Cármen Lúcia</w:t>
      </w:r>
    </w:p>
    <w:p>
      <w:pPr>
        <w:ind w:left="288"/>
      </w:pPr>
      <w:r>
        <w:rPr>
          <w:color w:val="1E1E1E"/>
          <w:sz w:val="18"/>
        </w:rPr>
        <w:t xml:space="preserve">O pagamento da taxa se vincula apenas à alteração documental de registro do certificado de veículo automotor decorrente de transferência de propriedade. Não se confundem os procedimentos de vistoria ou inspeção de segurança veicular, que especificamente têm renumeração própria, calculada segundo o porte dos veículos, prevista nos itens 7 e 8 da Seção IV da Lei estadual 8.109/1985, com as alterações da Lei 14.035/2012. Mesmo válida constitucionalmente a adoção do instituto, no cálculo do valor de taxa, de um ou mais elementos da base de cálculo própria de determinado imposto (Súmula Vinculante </w:t>
      </w:r>
    </w:p>
    <w:p>
      <w:pPr>
        <w:ind w:left="288"/>
      </w:pPr>
      <w:r>
        <w:rPr>
          <w:b/>
          <w:color w:val="003CA0"/>
          <w:sz w:val="16"/>
        </w:rPr>
        <w:t>[ADI 3.775, rel. min. Cármen Lúcia, j. 20-4-2020, P, DJE de 20-5-2020.]</w:t>
      </w:r>
    </w:p>
    <w:p>
      <w:pPr>
        <w:ind w:left="288"/>
      </w:pPr>
      <w:r>
        <w:rPr>
          <w:color w:val="8C8C8C"/>
          <w:sz w:val="12"/>
        </w:rPr>
        <w:t>cf-art-145-par-2</w:t>
      </w:r>
      <w:r>
        <w:rPr>
          <w:color w:val="003CA0"/>
          <w:sz w:val="12"/>
        </w:rPr>
        <w:t xml:space="preserve"> | ADI 3.887</w:t>
      </w:r>
      <w:r>
        <w:rPr>
          <w:color w:val="003CA0"/>
          <w:sz w:val="12"/>
        </w:rPr>
        <w:t xml:space="preserve"> | rel. Menezes Direito</w:t>
      </w:r>
    </w:p>
    <w:p>
      <w:pPr>
        <w:ind w:left="288"/>
      </w:pPr>
      <w:r>
        <w:rPr>
          <w:color w:val="1E1E1E"/>
          <w:sz w:val="18"/>
        </w:rPr>
        <w:t>Emolumentos. Serviços notariais e de registro. Art. 145, § 2º, da CF. Não há inconstitucionalidade quando a regra impugnada utiliza, pura e simplesmente, parâmetros que não provocam a identidade vedada pelo art. 145, § 2º, da CF. No caso, os valores são utilizados apenas como padrão para determinar o valor dos emolumentos. Ação direta de inconstitucionalidade julgada improcedente.</w:t>
        <w:br/>
        <w:t xml:space="preserve">[ADI 3.887, rel. min. Menezes Direito, j. 15-10-2008, P, DJE de 19-12-2008.] A escolha do valor do monte-mor como base de cálculo da taxa judiciária encontra óbice no art. 145, § 2º, da CF, visto que o monte-mor que </w:t>
      </w:r>
    </w:p>
    <w:p>
      <w:pPr>
        <w:ind w:left="288"/>
      </w:pPr>
      <w:r>
        <w:rPr>
          <w:b/>
          <w:color w:val="003CA0"/>
          <w:sz w:val="16"/>
        </w:rPr>
        <w:t>[ADI 2.040 MC, rel. min. Maurício Corrêa, j. 15-12-1999, P, DJ de 25-2-2000.]</w:t>
      </w:r>
    </w:p>
    <w:p>
      <w:pPr>
        <w:ind w:left="288"/>
      </w:pPr>
      <w:r>
        <w:rPr>
          <w:color w:val="8C8C8C"/>
          <w:sz w:val="12"/>
        </w:rPr>
        <w:t>cf-art-145-par-2</w:t>
      </w:r>
      <w:r>
        <w:rPr>
          <w:color w:val="003CA0"/>
          <w:sz w:val="12"/>
        </w:rPr>
        <w:t xml:space="preserve"> | ADI 447</w:t>
      </w:r>
    </w:p>
    <w:p>
      <w:pPr>
        <w:ind w:left="288"/>
      </w:pPr>
      <w:r>
        <w:rPr>
          <w:color w:val="1E1E1E"/>
          <w:sz w:val="18"/>
        </w:rPr>
        <w:t xml:space="preserve">As taxas estão sujeitas aos princípios constitucionais que limitam a tributação (CF, arts. 150, 151 e 152) e a outros princípios instituídos em favor do contribuinte pela norma infraconstitucional, já que os princípios constitucionais expressos são enunciados "sem prejuízos de outras garantias, asseguradas ao contribuinte" (CF, art. 150). Estabelece a Constituição, ademais, que as taxas não poderão ter base de cálculo própria de impostos (CF, art. 145, § 2º). No voto que proferi, no STJ, por ocasião do julgamento do Recurso Especial 1.065/PR (Rev. do STJ, 9/310), examinei a base de cálculo da </w:t>
      </w:r>
    </w:p>
    <w:p>
      <w:pPr>
        <w:ind w:left="288"/>
      </w:pPr>
      <w:r>
        <w:rPr>
          <w:b/>
          <w:color w:val="003CA0"/>
          <w:sz w:val="16"/>
        </w:rPr>
        <w:t>[ADI 447, voto do min. Carlos Velloso, j. 5-6-1991, P, DJ de 5-3-1993.]</w:t>
      </w:r>
    </w:p>
    <w:p>
      <w:pPr>
        <w:ind w:left="144"/>
      </w:pPr>
      <w:r>
        <w:rPr>
          <w:b/>
          <w:color w:val="B45A00"/>
          <w:sz w:val="16"/>
        </w:rPr>
        <w:t>REPERCUSSAO GERAL</w:t>
      </w:r>
    </w:p>
    <w:p>
      <w:pPr>
        <w:ind w:left="288"/>
      </w:pPr>
      <w:r>
        <w:rPr>
          <w:color w:val="8C8C8C"/>
          <w:sz w:val="12"/>
        </w:rPr>
        <w:t>cf-art-145-par-2</w:t>
      </w:r>
      <w:r>
        <w:rPr>
          <w:color w:val="003CA0"/>
          <w:sz w:val="12"/>
        </w:rPr>
        <w:t xml:space="preserve"> | RE 643.247</w:t>
      </w:r>
    </w:p>
    <w:p>
      <w:pPr>
        <w:ind w:left="288"/>
      </w:pPr>
      <w:r>
        <w:rPr>
          <w:color w:val="1E1E1E"/>
          <w:sz w:val="18"/>
        </w:rPr>
        <w:t>A segurança pública, presentes a prevenção e o combate a incêndios, faz-se, no campo da atividade precípua, pela unidade da Federação, e, porque serviço essencial, tem como viabilizá-la a arrecadação de impostos, não cabendo ao Município a criação de taxa para tal fim.</w:t>
        <w:br/>
        <w:t>[RE 643.247, voto do min. Marco Aurélio, j. 1º-8-2017, P, DJE de 19-12-2017, Tema 16, com mérito julgado.]</w:t>
      </w:r>
    </w:p>
    <w:p>
      <w:pPr>
        <w:ind w:left="144"/>
      </w:pPr>
      <w:r>
        <w:rPr>
          <w:b/>
          <w:color w:val="B45A00"/>
          <w:sz w:val="16"/>
        </w:rPr>
        <w:t>JULGADOS CORRELATOS</w:t>
      </w:r>
    </w:p>
    <w:p>
      <w:pPr>
        <w:ind w:left="288"/>
      </w:pPr>
      <w:r>
        <w:rPr>
          <w:color w:val="8C8C8C"/>
          <w:sz w:val="12"/>
        </w:rPr>
        <w:t>cf-art-145-par-2</w:t>
      </w:r>
      <w:r>
        <w:rPr>
          <w:color w:val="003CA0"/>
          <w:sz w:val="12"/>
        </w:rPr>
        <w:t xml:space="preserve"> | RE 121.617</w:t>
      </w:r>
      <w:r>
        <w:rPr>
          <w:color w:val="003CA0"/>
          <w:sz w:val="12"/>
        </w:rPr>
        <w:t xml:space="preserve"> | rel. Néri da Silveira</w:t>
      </w:r>
    </w:p>
    <w:p>
      <w:pPr>
        <w:ind w:left="288"/>
      </w:pPr>
      <w:r>
        <w:rPr>
          <w:color w:val="1E1E1E"/>
          <w:sz w:val="18"/>
        </w:rPr>
        <w:t>Taxa de Conservação e Manutenção das Vias Públicas. Inconstitucionalidade incidental. Acórdão que declarou a inconstitucionalidade de lei que instituiu a cobrança de Taxa de Conservação e Manutenção das Vias Públicas, por afronta ao disposto no art. 145, II, da CF. Entendimento firmado pelo STF no sentido de que a base de cálculo é "própria de imposto e não de taxa por serviços específicos e divisíveis postos à disposição do seu contribuinte" e "não tendo o Município – uma vez que, em matéria de impostos, a competência é da União – competência para criar tributos outros que não os que a Consti</w:t>
      </w:r>
    </w:p>
    <w:p>
      <w:pPr>
        <w:ind w:left="288"/>
      </w:pPr>
      <w:r>
        <w:rPr>
          <w:b/>
          <w:color w:val="003CA0"/>
          <w:sz w:val="16"/>
        </w:rPr>
        <w:t>[RE 293.536, rel. min. Néri da Silveira, j. 7-3-2002, P, DJ de 17-5-2002.]</w:t>
      </w:r>
    </w:p>
    <w:p>
      <w:pPr>
        <w:ind w:left="288"/>
      </w:pPr>
      <w:r>
        <w:rPr>
          <w:color w:val="8C8C8C"/>
          <w:sz w:val="12"/>
        </w:rPr>
        <w:t>cf-art-145-par-2</w:t>
      </w:r>
      <w:r>
        <w:rPr>
          <w:color w:val="003CA0"/>
          <w:sz w:val="12"/>
        </w:rPr>
        <w:t xml:space="preserve"> | RE 216.259</w:t>
      </w:r>
      <w:r>
        <w:rPr>
          <w:color w:val="003CA0"/>
          <w:sz w:val="12"/>
        </w:rPr>
        <w:t xml:space="preserve"> | rel. Celso de Mello</w:t>
      </w:r>
    </w:p>
    <w:p>
      <w:pPr>
        <w:ind w:left="288"/>
      </w:pPr>
      <w:r>
        <w:rPr>
          <w:color w:val="1E1E1E"/>
          <w:sz w:val="18"/>
        </w:rPr>
        <w:t xml:space="preserve">A taxa de fiscalização da Comissão de Valores Mobiliários (CVM), instituída pela Lei 7.940/1989, qualifica-se como espécie tributária cujo fato gerador reside no exercício do poder de polícia legalmente atribuído à CVM. A base de cálculo dessa típica taxa de polícia não se identifica com o patrimônio líquido das empresas, inocorrendo, em consequência, qualquer situação de ofensa à cláusula vedatória inscrita no art. 145, § 2º, da CF. O critério adotado pelo legislador para a cobrança dessa taxa de polícia busca realizar o princípio constitucional da capacidade contributiva, também aplicável a </w:t>
      </w:r>
    </w:p>
    <w:p>
      <w:pPr>
        <w:ind w:left="288"/>
      </w:pPr>
      <w:r>
        <w:rPr>
          <w:b/>
          <w:color w:val="003CA0"/>
          <w:sz w:val="16"/>
        </w:rPr>
        <w:t>[RE 216.259 AgR, rel. min. Celso de Mello, j. 9-5-2000, 2ª T, DJ de 19-5-2000.]</w:t>
      </w:r>
    </w:p>
    <w:p>
      <w:pPr>
        <w:ind w:left="288"/>
      </w:pPr>
      <w:r>
        <w:rPr>
          <w:color w:val="8C8C8C"/>
          <w:sz w:val="12"/>
        </w:rPr>
        <w:t>cf-art-145-par-2</w:t>
      </w:r>
      <w:r>
        <w:rPr>
          <w:color w:val="003CA0"/>
          <w:sz w:val="12"/>
        </w:rPr>
        <w:t xml:space="preserve"> | RE 177.835</w:t>
      </w:r>
      <w:r>
        <w:rPr>
          <w:color w:val="003CA0"/>
          <w:sz w:val="12"/>
        </w:rPr>
        <w:t xml:space="preserve"> | rel. Carlos Velloso</w:t>
      </w:r>
    </w:p>
    <w:p>
      <w:pPr>
        <w:ind w:left="288"/>
      </w:pPr>
      <w:r>
        <w:rPr>
          <w:color w:val="1E1E1E"/>
          <w:sz w:val="18"/>
        </w:rPr>
        <w:t>= RE 177.835, rel. min. Carlos Velloso, j. 22-4-1999, P, DJ de 25-5-2001 Taxas de lixo e sinistro. (...) Taxas legitimamente instituídas como contraprestação a serviços essenciais, específicos e divisíveis, referidos ao contribuinte a quem são prestados ou a cuja disposição são postos, não possuindo base de cálculo própria de imposto.</w:t>
      </w:r>
    </w:p>
    <w:p>
      <w:pPr>
        <w:ind w:left="288"/>
      </w:pPr>
      <w:r>
        <w:rPr>
          <w:b/>
          <w:color w:val="003CA0"/>
          <w:sz w:val="16"/>
        </w:rPr>
        <w:t>[RE 233.784, rel. min. Ilmar Galvão, j. 12-11-1999, 1ª T, DJ de 12-11-1999.]</w:t>
      </w:r>
    </w:p>
    <w:p>
      <w:pPr>
        <w:ind w:left="288"/>
      </w:pPr>
      <w:r>
        <w:rPr>
          <w:color w:val="8C8C8C"/>
          <w:sz w:val="12"/>
        </w:rPr>
        <w:t>cf-art-145-par-2</w:t>
      </w:r>
      <w:r>
        <w:rPr>
          <w:color w:val="003CA0"/>
          <w:sz w:val="12"/>
        </w:rPr>
        <w:t xml:space="preserve"> | RE 491.982</w:t>
      </w:r>
      <w:r>
        <w:rPr>
          <w:color w:val="003CA0"/>
          <w:sz w:val="12"/>
        </w:rPr>
        <w:t xml:space="preserve"> | rel. Ricardo Lewandowski</w:t>
      </w:r>
    </w:p>
    <w:p>
      <w:pPr>
        <w:ind w:left="288"/>
      </w:pPr>
      <w:r>
        <w:rPr>
          <w:color w:val="1E1E1E"/>
          <w:sz w:val="18"/>
        </w:rPr>
        <w:t>= RE 491.982 AgR, rel. min. Ricardo Lewandowski, j. 26-5-2009, 1ª T, DJE de 26-6-2009 = RE 396.996 AgR, rel. min. Joaquim Barbosa, j. 10-3-2009, 2ª T, DJE de 17-4-2009 = AI 431.836 AgR, rel. min. Carlos Velloso, j. 17-6-2003, 2ª T, DJ de 1º-8-2003 = AI 552.033 AgR, rel. min. Sepúlveda Pertence, j. 17-10-2006, 1ª T, DJ de 10-11-2006 Taxa de construção, conservação e melhoramento de estrada de rodagem. Arts. 212 a 215 da Lei 1.942/1983 do Município de Votuporanga. Inconstitucionalidade. Base de cálculo que é própria de imposto e não de taxa por serviços específicos e divisíveis postos à disposiç</w:t>
      </w:r>
    </w:p>
    <w:p>
      <w:pPr>
        <w:ind w:left="288"/>
      </w:pPr>
      <w:r>
        <w:rPr>
          <w:b/>
          <w:color w:val="003CA0"/>
          <w:sz w:val="16"/>
        </w:rPr>
        <w:t>[RE 121.617, rel. min. Moreira Alves, j. 22-2-1996, P, DJ de 6-10-2000.]</w:t>
      </w:r>
    </w:p>
    <w:p>
      <w:pPr>
        <w:ind w:left="720"/>
      </w:pPr>
      <w:r>
        <w:rPr>
          <w:color w:val="003366"/>
          <w:sz w:val="18"/>
        </w:rPr>
        <w:t>I – impostos;</w:t>
      </w:r>
    </w:p>
    <w:p>
      <w:pPr>
        <w:ind w:left="720"/>
      </w:pPr>
      <w:r>
        <w:rPr>
          <w:color w:val="003366"/>
          <w:sz w:val="18"/>
        </w:rPr>
        <w:t>II – taxas, em razão do exercício do poder de polícia ou pela utilização, efetiv</w:t>
      </w:r>
    </w:p>
    <w:p>
      <w:pPr>
        <w:ind w:left="720"/>
      </w:pPr>
      <w:r>
        <w:rPr>
          <w:color w:val="003366"/>
          <w:sz w:val="18"/>
        </w:rPr>
        <w:t>III – contribuição de melhoria, decorrente de obras públicas.</w:t>
      </w:r>
    </w:p>
    <w:p>
      <w:pPr>
        <w:ind w:left="432"/>
      </w:pPr>
      <w:r>
        <w:rPr>
          <w:color w:val="003366"/>
          <w:sz w:val="18"/>
        </w:rPr>
        <w:t>§ 1 Sempre que possível, os impostos terão caráter pessoal e serão graduados seg</w:t>
      </w:r>
    </w:p>
    <w:p>
      <w:pPr>
        <w:ind w:left="432"/>
      </w:pPr>
      <w:r>
        <w:rPr>
          <w:color w:val="003366"/>
          <w:sz w:val="18"/>
        </w:rPr>
        <w:t>§ 2 As taxas não poderão ter base de cálculo própria de impostos.</w:t>
      </w:r>
    </w:p>
    <w:p>
      <w:pPr>
        <w:ind w:left="432"/>
      </w:pPr>
      <w:r>
        <w:rPr>
          <w:color w:val="003366"/>
          <w:sz w:val="18"/>
        </w:rPr>
        <w:t>§ 3 O Sistema Tributário Nacional deve observar os princípios da simplicidade, d</w:t>
      </w:r>
    </w:p>
    <w:p>
      <w:pPr>
        <w:ind w:left="432"/>
      </w:pPr>
      <w:r>
        <w:rPr>
          <w:color w:val="003366"/>
          <w:sz w:val="18"/>
        </w:rPr>
        <w:t>§ 4 As alterações na legislação tributária buscarão atenuar efeitos regressivos.</w:t>
      </w:r>
    </w:p>
    <w:p>
      <w:r>
        <w:rPr>
          <w:b/>
          <w:color w:val="003366"/>
          <w:sz w:val="20"/>
        </w:rPr>
        <w:t>Art. 146 Cabe à lei complementar:</w:t>
      </w:r>
      <w:r>
        <w:rPr>
          <w:color w:val="8C8C8C"/>
          <w:sz w:val="14"/>
        </w:rPr>
        <w:t xml:space="preserve">  [48 decisoes]</w:t>
      </w:r>
    </w:p>
    <w:p>
      <w:pPr>
        <w:ind w:left="144"/>
      </w:pPr>
      <w:r>
        <w:rPr>
          <w:b/>
          <w:color w:val="B45A00"/>
          <w:sz w:val="16"/>
        </w:rPr>
        <w:t>CONTROLE CONCENTRADO</w:t>
      </w:r>
    </w:p>
    <w:p>
      <w:pPr>
        <w:ind w:left="288"/>
      </w:pPr>
      <w:r>
        <w:rPr>
          <w:color w:val="8C8C8C"/>
          <w:sz w:val="12"/>
        </w:rPr>
        <w:t>cf-art-146-inc-I</w:t>
      </w:r>
      <w:r>
        <w:rPr>
          <w:color w:val="003CA0"/>
          <w:sz w:val="12"/>
        </w:rPr>
        <w:t xml:space="preserve"> | ADPF 499</w:t>
      </w:r>
      <w:r>
        <w:rPr>
          <w:color w:val="003CA0"/>
          <w:sz w:val="12"/>
        </w:rPr>
        <w:t xml:space="preserve"> | rel. Alexandre Moraes</w:t>
      </w:r>
    </w:p>
    <w:p>
      <w:pPr>
        <w:ind w:left="288"/>
      </w:pPr>
      <w:r>
        <w:rPr>
          <w:color w:val="1E1E1E"/>
          <w:sz w:val="18"/>
        </w:rPr>
        <w:t>A Lei Complementar 157/2016, na parte em que alterou o art. 3º, incisos XXIII, XXIV e XXV, e os parágrafos 3º e 4º do art. 6º da Lei Complementar 116/2003, prevê a incidência do ISSQN no local do domicílio do tomador de serviços. Superveniência da Lei Complementar 175/2020, presente a continuidade normativa. (...) Alterações promovidas pela Lei Complementar 157/2016. Medida Cautelar deferida por ausência de segurança jurídica. Superveniência da Lei Complementar 175/2020. Inexistência de avanço na densidade normativa, persistindo ausência de clareza na definição do domicílio do tomador de servi</w:t>
      </w:r>
    </w:p>
    <w:p>
      <w:pPr>
        <w:ind w:left="288"/>
      </w:pPr>
      <w:r>
        <w:rPr>
          <w:color w:val="8C8C8C"/>
          <w:sz w:val="12"/>
        </w:rPr>
        <w:t>cf-art-146-inc-II</w:t>
      </w:r>
      <w:r>
        <w:rPr>
          <w:color w:val="003CA0"/>
          <w:sz w:val="12"/>
        </w:rPr>
        <w:t xml:space="preserve"> | ADI 2.028</w:t>
      </w:r>
      <w:r>
        <w:rPr>
          <w:color w:val="003CA0"/>
          <w:sz w:val="12"/>
        </w:rPr>
        <w:t xml:space="preserve"> | rel. Dias Toffoli</w:t>
      </w:r>
    </w:p>
    <w:p>
      <w:pPr>
        <w:ind w:left="288"/>
      </w:pPr>
      <w:r>
        <w:rPr>
          <w:color w:val="1E1E1E"/>
          <w:sz w:val="18"/>
        </w:rPr>
        <w:t xml:space="preserve">Imunidade. Art. 150, VI, c, da CF. (...) Com o advento da Constituição de 1988, o constituinte dedicou uma seção específica às "limitações do poder de tributar" (art. 146, II, CF) e nela fez constar a imunidade das instituições de assistência social. Mesmo com a referência expressa ao termo "lei", não há mais como sustentar que inexiste reserva de lei complementar. No que se refere aos impostos, o maior rigor do quórum qualificado para a aprovação dessa importante regulamentação se justifica para se dar maior estabilidade à disciplina do tema e dificultar sua modificação, estabelecendo regras </w:t>
      </w:r>
    </w:p>
    <w:p>
      <w:pPr>
        <w:ind w:left="288"/>
      </w:pPr>
      <w:r>
        <w:rPr>
          <w:b/>
          <w:color w:val="003CA0"/>
          <w:sz w:val="16"/>
        </w:rPr>
        <w:t>[ADI 1.802, rel. min. Dias Toffoli, j. 12-4-2018, P, DJE de 3-5-2018.]</w:t>
      </w:r>
    </w:p>
    <w:p>
      <w:pPr>
        <w:ind w:left="144"/>
      </w:pPr>
      <w:r>
        <w:rPr>
          <w:b/>
          <w:color w:val="B45A00"/>
          <w:sz w:val="16"/>
        </w:rPr>
        <w:t>REPERCUSSAO GERAL</w:t>
      </w:r>
    </w:p>
    <w:p>
      <w:pPr>
        <w:ind w:left="288"/>
      </w:pPr>
      <w:r>
        <w:rPr>
          <w:color w:val="8C8C8C"/>
          <w:sz w:val="12"/>
        </w:rPr>
        <w:t>cf-art-146-inc-II</w:t>
      </w:r>
      <w:r>
        <w:rPr>
          <w:color w:val="003CA0"/>
          <w:sz w:val="12"/>
        </w:rPr>
        <w:t xml:space="preserve"> | RE 566.622</w:t>
      </w:r>
      <w:r>
        <w:rPr>
          <w:color w:val="003CA0"/>
          <w:sz w:val="12"/>
        </w:rPr>
        <w:t xml:space="preserve"> | rel. Marco Aurélio</w:t>
      </w:r>
    </w:p>
    <w:p>
      <w:pPr>
        <w:ind w:left="288"/>
      </w:pPr>
      <w:r>
        <w:rPr>
          <w:color w:val="1E1E1E"/>
          <w:sz w:val="18"/>
        </w:rPr>
        <w:t xml:space="preserve">Aspectos procedimentais referentes à certificação, fiscalização e controle administrativo são passíveis de definição em lei ordinária, somente exigível a lei complementar para a definição do modo beneficente de atuação das entidades de assistência social contempladas no art. 195, § 7º, da Lei Maior, especialmente no que se refere à instituição de contrapartidas a serem por elas observadas. “A lei complementar é forma exigível para a definição do modo beneficente de atuação das entidades de assistência social contempladas pelo art. 195, § 7º, da CF, especialmente no que se refere à instituição </w:t>
      </w:r>
    </w:p>
    <w:p>
      <w:pPr>
        <w:ind w:left="288"/>
      </w:pPr>
      <w:r>
        <w:rPr>
          <w:b/>
          <w:color w:val="003CA0"/>
          <w:sz w:val="16"/>
        </w:rPr>
        <w:t xml:space="preserve">[RE 566.622 ED, red. do ac. min. Rosa Weber, j. 18-12-2019, P, DJE de 11-5-2020, Tema 32, com mérito julgado.] </w:t>
        <w:br/>
        <w:t>Vide RE 566.622, rel. min. Marco Aurélio, j. 23-2-2017, P, DJE de 1º-3-2017, Tema 32, com mérito julgado</w:t>
      </w:r>
    </w:p>
    <w:p>
      <w:pPr>
        <w:ind w:left="288"/>
      </w:pPr>
      <w:r>
        <w:rPr>
          <w:color w:val="8C8C8C"/>
          <w:sz w:val="12"/>
        </w:rPr>
        <w:t>cf-art-146-inc-II</w:t>
      </w:r>
      <w:r>
        <w:rPr>
          <w:color w:val="003CA0"/>
          <w:sz w:val="12"/>
        </w:rPr>
        <w:t xml:space="preserve"> | RE 566.622</w:t>
      </w:r>
    </w:p>
    <w:p>
      <w:pPr>
        <w:ind w:left="288"/>
      </w:pPr>
      <w:r>
        <w:rPr>
          <w:color w:val="1E1E1E"/>
          <w:sz w:val="18"/>
        </w:rPr>
        <w:t>Os requisitos legais exigidos na parte final do mencionado § 7º, enquanto não editada nova lei complementar sobre a matéria, são somente aqueles do aludido art. 14 do Código.</w:t>
      </w:r>
    </w:p>
    <w:p>
      <w:pPr>
        <w:ind w:left="288"/>
      </w:pPr>
      <w:r>
        <w:rPr>
          <w:b/>
          <w:color w:val="003CA0"/>
          <w:sz w:val="16"/>
        </w:rPr>
        <w:t>[RE 566.622, voto do min. Marco Aurélio, j. 23-2-2017, P, DJE de 1º-3-2017, Tema 32, com mérito julgado.]</w:t>
      </w:r>
    </w:p>
    <w:p>
      <w:pPr>
        <w:ind w:left="288"/>
      </w:pPr>
      <w:r>
        <w:rPr>
          <w:color w:val="8C8C8C"/>
          <w:sz w:val="12"/>
        </w:rPr>
        <w:t>cf-art-146-inc-II</w:t>
      </w:r>
      <w:r>
        <w:rPr>
          <w:color w:val="003CA0"/>
          <w:sz w:val="12"/>
        </w:rPr>
        <w:t xml:space="preserve"> | RE 636.941</w:t>
      </w:r>
      <w:r>
        <w:rPr>
          <w:color w:val="003CA0"/>
          <w:sz w:val="12"/>
        </w:rPr>
        <w:t xml:space="preserve"> | rel. Luiz Fux</w:t>
      </w:r>
    </w:p>
    <w:p>
      <w:pPr>
        <w:ind w:left="288"/>
      </w:pPr>
      <w:r>
        <w:rPr>
          <w:color w:val="1E1E1E"/>
          <w:sz w:val="18"/>
        </w:rPr>
        <w:t>Vide RE 636.941, rel. min. Luiz Fux, j. 13-2-2014, P, DJE de 4-4-2014, Tema 432, com mérito julgado (...) somente se exige lei complementar para a definição dos seus limites objetivos (materiais), e não para a fixação das normas de constituição e de funcionamento das entidades imunes (aspectos formais ou subjetivos), os quais podem ser veiculados por lei ordinária, como sói ocorrer com o art. 55 da Lei 8.212/1991, que pode estabelecer requisitos formais para o gozo da imunidade sem caracterizar ofensa ao art. 146, II, da CF, ex vi dos incisos I e II (...).</w:t>
      </w:r>
    </w:p>
    <w:p>
      <w:pPr>
        <w:ind w:left="288"/>
      </w:pPr>
      <w:r>
        <w:rPr>
          <w:b/>
          <w:color w:val="003CA0"/>
          <w:sz w:val="16"/>
        </w:rPr>
        <w:t>[RE 636.941, rel. min. Luiz Fux, j. 13-2-2014, P, DJE de 4-4-2014, Tema 432, com mérito julgado.]</w:t>
        <w:br/>
        <w:t>Vide RE 566.622, rel. min. Marco Aurélio, j. 23-2-2017, P, DJE de 1º-3-2017, Tema 32, com mérito julgado</w:t>
      </w:r>
    </w:p>
    <w:p>
      <w:pPr>
        <w:ind w:left="288"/>
      </w:pPr>
      <w:r>
        <w:rPr>
          <w:color w:val="8C8C8C"/>
          <w:sz w:val="12"/>
        </w:rPr>
        <w:t>cf-art-146-inc-III</w:t>
      </w:r>
      <w:r>
        <w:rPr>
          <w:color w:val="003CA0"/>
          <w:sz w:val="12"/>
        </w:rPr>
        <w:t xml:space="preserve"> | ADI 3.270</w:t>
      </w:r>
      <w:r>
        <w:rPr>
          <w:color w:val="003CA0"/>
          <w:sz w:val="12"/>
        </w:rPr>
        <w:t xml:space="preserve"> | rel. Nunes Marques</w:t>
      </w:r>
    </w:p>
    <w:p>
      <w:pPr>
        <w:ind w:left="288"/>
      </w:pPr>
      <w:r>
        <w:rPr>
          <w:color w:val="1E1E1E"/>
          <w:sz w:val="18"/>
        </w:rPr>
        <w:t>A Lei federal n. 9.532/1997, ao prever a obrigatoriedade do uso de equipamento ECF, criou obrigação acessória com o intuito de atualizar meio de emissão de documentário fiscal e, assim, estancar a evasão de tributos federais por meio do expediente chamado “omissão de vendas”, cuja ocorrência era verificada em estabelecimentos varejistas e prestadores de serviços, de modo que não há falar em violação à competência dos demais entes federados. Nos termos do art. 146, III, da CF/1988, cabe à lei complementar estabelecer normas gerais em matéria de legislação tributária. O Código Tributário Naciona</w:t>
      </w:r>
    </w:p>
    <w:p>
      <w:pPr>
        <w:ind w:left="288"/>
      </w:pPr>
      <w:r>
        <w:rPr>
          <w:b/>
          <w:color w:val="003CA0"/>
          <w:sz w:val="16"/>
        </w:rPr>
        <w:t>[ADI 3.270, rel. min. Nunes Marques, j. 05.03.2025, P, DJE de 21.03.2025.]</w:t>
      </w:r>
    </w:p>
    <w:p>
      <w:pPr>
        <w:ind w:left="288"/>
      </w:pPr>
      <w:r>
        <w:rPr>
          <w:color w:val="8C8C8C"/>
          <w:sz w:val="12"/>
        </w:rPr>
        <w:t>cf-art-146-inc-III</w:t>
      </w:r>
      <w:r>
        <w:rPr>
          <w:color w:val="003CA0"/>
          <w:sz w:val="12"/>
        </w:rPr>
        <w:t xml:space="preserve"> | ADI 7.616</w:t>
      </w:r>
      <w:r>
        <w:rPr>
          <w:color w:val="003CA0"/>
          <w:sz w:val="12"/>
        </w:rPr>
        <w:t xml:space="preserve"> | rel. Cristiano Zanin</w:t>
      </w:r>
    </w:p>
    <w:p>
      <w:pPr>
        <w:ind w:left="288"/>
      </w:pPr>
      <w:r>
        <w:rPr>
          <w:color w:val="1E1E1E"/>
          <w:sz w:val="18"/>
        </w:rPr>
        <w:t>A introdução de novas hipóteses de responsabilidade de terceiros e de exceções às regras de decadência previstas no Código Tributário Nacional (CTN) deve observância à reserva de lei complementar (art. 146, III, da Constituição), o que enseja a inconstitucionalidade dos artigos 29, I, “a” e “b.1” e 143, § 1º da Lei Estadual 18.665/2023. A norma que estabelece critérios, com característica de generalidade, para a desconsideração de atos e negócios jurídicos autorizada no parágrafo único do art. 116 do CTN, tal qual se fez nos §§ 1º e 2º do art. 130 da lei impugnada, impacta diretamente a config</w:t>
      </w:r>
    </w:p>
    <w:p>
      <w:pPr>
        <w:ind w:left="288"/>
      </w:pPr>
      <w:r>
        <w:rPr>
          <w:b/>
          <w:color w:val="003CA0"/>
          <w:sz w:val="16"/>
        </w:rPr>
        <w:t>[ADI 7.616, rel. min. Cristiano Zanin, j. 17.02.2025, P, DJE de 21.02.2025.]</w:t>
      </w:r>
    </w:p>
    <w:p>
      <w:pPr>
        <w:ind w:left="288"/>
      </w:pPr>
      <w:r>
        <w:rPr>
          <w:color w:val="8C8C8C"/>
          <w:sz w:val="12"/>
        </w:rPr>
        <w:t>cf-art-146-inc-III</w:t>
      </w:r>
      <w:r>
        <w:rPr>
          <w:color w:val="003CA0"/>
          <w:sz w:val="12"/>
        </w:rPr>
        <w:t xml:space="preserve"> | ADI 5.431</w:t>
      </w:r>
      <w:r>
        <w:rPr>
          <w:color w:val="003CA0"/>
          <w:sz w:val="12"/>
        </w:rPr>
        <w:t xml:space="preserve"> | rel. Gilmar Mendes</w:t>
      </w:r>
    </w:p>
    <w:p>
      <w:pPr>
        <w:ind w:left="288"/>
      </w:pPr>
      <w:r>
        <w:rPr>
          <w:color w:val="1E1E1E"/>
          <w:sz w:val="18"/>
        </w:rPr>
        <w:t>Responsabilidade solidária do representante, no país, do transportador estrangeiro pelo recolhimento do imposto de importação. (...) parágrafo único do art. 32 do Decreto-Lei 37/1966, com a redação conferida pelo art. 77 da Medida Provisória 2.158-35/2001. (...) O dispositivo impugnado não afastou afrontou a regra insculpida no art. 146, inciso III, do texto constitucional, eis que não dispôs sobre normas gerais em matéria de legislação tributária, mas apenas instituiu nova hipótese de responsabilidade solidária em harmonia com as disposições gerais previstas pelo Código Tributário Nacional (C</w:t>
      </w:r>
    </w:p>
    <w:p>
      <w:pPr>
        <w:ind w:left="288"/>
      </w:pPr>
      <w:r>
        <w:rPr>
          <w:b/>
          <w:color w:val="003CA0"/>
          <w:sz w:val="16"/>
        </w:rPr>
        <w:t>[ADI 5.431, rel. min. Gilmar Mendes, j. 02.12.2024, P, DJE de 06.12.2024.]</w:t>
      </w:r>
    </w:p>
    <w:p>
      <w:pPr>
        <w:ind w:left="288"/>
      </w:pPr>
      <w:r>
        <w:rPr>
          <w:color w:val="8C8C8C"/>
          <w:sz w:val="12"/>
        </w:rPr>
        <w:t>cf-art-146-inc-III</w:t>
      </w:r>
      <w:r>
        <w:rPr>
          <w:color w:val="003CA0"/>
          <w:sz w:val="12"/>
        </w:rPr>
        <w:t xml:space="preserve"> | ADI 1.945</w:t>
      </w:r>
      <w:r>
        <w:rPr>
          <w:color w:val="003CA0"/>
          <w:sz w:val="12"/>
        </w:rPr>
        <w:t xml:space="preserve"> | rel. Dias Toffoli</w:t>
      </w:r>
    </w:p>
    <w:p>
      <w:pPr>
        <w:ind w:left="288"/>
      </w:pPr>
      <w:r>
        <w:rPr>
          <w:color w:val="1E1E1E"/>
          <w:sz w:val="18"/>
        </w:rPr>
        <w:t>Ação direta de inconstitucionalidade. Direito tributário. ICMS. Lei estadual 7.098, de 30-12-1998, do Estado de Mato Grosso. Inconstitucionalidade formal. Matéria reservada à disciplina de lei complementar. Inexistência. Lei complementar federal (não estadual) é a exigida pela Constituição (arts. 146, III, e 155, § 2º, XII) como elo indispensável entre os princípios nela contidos e as normas de direito local.</w:t>
        <w:br/>
        <w:t>[ADI 1.945 MC, red. do ac. min. Gilmar Mendes, j. 26-5-2010, P, DJE de 14-3-2011.]</w:t>
        <w:br/>
        <w:t>= RE 578.582 AgR, rel. min. Dias Toffoli, j. 27-11-2012, 1ª T, DJE de 19-12-2012 O eminente ministro Mar</w:t>
      </w:r>
    </w:p>
    <w:p>
      <w:pPr>
        <w:ind w:left="288"/>
      </w:pPr>
      <w:r>
        <w:rPr>
          <w:b/>
          <w:color w:val="003CA0"/>
          <w:sz w:val="16"/>
        </w:rPr>
        <w:t>[ADI 1.917, voto do min. Ricardo Lewandowski, j. 26-4-2007, P, DJ de 24-8-2007.]</w:t>
      </w:r>
    </w:p>
    <w:p>
      <w:pPr>
        <w:ind w:left="288"/>
      </w:pPr>
      <w:r>
        <w:rPr>
          <w:color w:val="8C8C8C"/>
          <w:sz w:val="12"/>
        </w:rPr>
        <w:t>cf-art-146-inc-III</w:t>
      </w:r>
      <w:r>
        <w:rPr>
          <w:color w:val="003CA0"/>
          <w:sz w:val="12"/>
        </w:rPr>
        <w:t xml:space="preserve"> | RE 736.090</w:t>
      </w:r>
      <w:r>
        <w:rPr>
          <w:color w:val="003CA0"/>
          <w:sz w:val="12"/>
        </w:rPr>
        <w:t xml:space="preserve"> | rel. Dias Toffoli</w:t>
      </w:r>
    </w:p>
    <w:p>
      <w:pPr>
        <w:ind w:left="288"/>
      </w:pPr>
      <w:r>
        <w:rPr>
          <w:color w:val="1E1E1E"/>
          <w:sz w:val="18"/>
        </w:rPr>
        <w:t>“Até que seja editada lei complementar federal sobre a matéria, a multa tributária qualificada em razão de sonegação, fraude ou conluio limita-se a 100% (cem por cento) do débito tributário, podendo ser de até 150% (cento e cinquenta por cento) do débito tributário, caso se verifique a reincidência definida no art. 44, § 1º-A, da Lei nº 9.430/96, incluído pela Lei nº 14.689/23, observando-se, ainda, o disposto no § 1º-C do citado artigo”.</w:t>
        <w:br/>
        <w:t xml:space="preserve">[RE 736.090, rel. min. Dias Toffoli, j. 03.10.2024, P, DJE de 29.11.2024, Tema 863, com mérito julgado.] Ao vincular à simples condição de sócio a obrigação </w:t>
      </w:r>
    </w:p>
    <w:p>
      <w:pPr>
        <w:ind w:left="144"/>
      </w:pPr>
      <w:r>
        <w:rPr>
          <w:b/>
          <w:color w:val="B45A00"/>
          <w:sz w:val="16"/>
        </w:rPr>
        <w:t>JULGADOS CORRELATOS</w:t>
      </w:r>
    </w:p>
    <w:p>
      <w:pPr>
        <w:ind w:left="288"/>
      </w:pPr>
      <w:r>
        <w:rPr>
          <w:color w:val="8C8C8C"/>
          <w:sz w:val="12"/>
        </w:rPr>
        <w:t>cf-art-146-inc-III</w:t>
      </w:r>
      <w:r>
        <w:rPr>
          <w:color w:val="003CA0"/>
          <w:sz w:val="12"/>
        </w:rPr>
        <w:t xml:space="preserve"> | RE 433.352</w:t>
      </w:r>
      <w:r>
        <w:rPr>
          <w:color w:val="003CA0"/>
          <w:sz w:val="12"/>
        </w:rPr>
        <w:t xml:space="preserve"> | rel. Joaquim Barbosa</w:t>
      </w:r>
    </w:p>
    <w:p>
      <w:pPr>
        <w:ind w:left="288"/>
      </w:pPr>
      <w:r>
        <w:rPr>
          <w:color w:val="1E1E1E"/>
          <w:sz w:val="18"/>
        </w:rPr>
        <w:t>A observância de normas gerais em matéria tributária é imperativo de segurança jurídica, na medida em que é necessário assegurar tratamento centralizado a alguns temas para que seja possível estabilizar legitimamente expectativas. Neste contexto, "gerais" não significa "genéricas", mas sim "aptas a vincular todos os entes federados e os administrados”.</w:t>
      </w:r>
    </w:p>
    <w:p>
      <w:pPr>
        <w:ind w:left="288"/>
      </w:pPr>
      <w:r>
        <w:rPr>
          <w:b/>
          <w:color w:val="003CA0"/>
          <w:sz w:val="16"/>
        </w:rPr>
        <w:t>[RE 433.352 AgR, rel. min. Joaquim Barbosa, j. 20-4-2010, 2ª T, DJE de 28-5-2010.]</w:t>
      </w:r>
    </w:p>
    <w:p>
      <w:pPr>
        <w:ind w:left="288"/>
      </w:pPr>
      <w:r>
        <w:rPr>
          <w:color w:val="8C8C8C"/>
          <w:sz w:val="12"/>
        </w:rPr>
        <w:t>cf-art-146-inc-III</w:t>
      </w:r>
      <w:r>
        <w:rPr>
          <w:color w:val="003CA0"/>
          <w:sz w:val="12"/>
        </w:rPr>
        <w:t xml:space="preserve"> | RE 228.339</w:t>
      </w:r>
      <w:r>
        <w:rPr>
          <w:color w:val="003CA0"/>
          <w:sz w:val="12"/>
        </w:rPr>
        <w:t xml:space="preserve"> | rel. Joaquim Barbosa</w:t>
      </w:r>
    </w:p>
    <w:p>
      <w:pPr>
        <w:ind w:left="288"/>
      </w:pPr>
      <w:r>
        <w:rPr>
          <w:color w:val="1E1E1E"/>
          <w:sz w:val="18"/>
        </w:rPr>
        <w:t>Conflito entre legislação local e lei complementar de normas gerais em matéria tributária. (...) Nem toda contraposição entre lei ordinária e lei complementar se resolve no plano constitucional. Entre outras hipóteses, a discussão será de alçada constitucional se o ponto a ser resolvido, direta ou incidentalmente, referir-se à existência ou inexistência de reserva de lei complementar para instituir o tributo ou estabelecer normas gerais em matéria tributária, pois é a Constituição que estabelece os campos materiais para o rito de processo legislativo adequado.</w:t>
      </w:r>
    </w:p>
    <w:p>
      <w:pPr>
        <w:ind w:left="288"/>
      </w:pPr>
      <w:r>
        <w:rPr>
          <w:b/>
          <w:color w:val="003CA0"/>
          <w:sz w:val="16"/>
        </w:rPr>
        <w:t>[RE 228.339 AgR, rel. min. Joaquim Barbosa, j. 20-4-2010, 2ª T, DJE de 28-5-2010.]</w:t>
      </w:r>
    </w:p>
    <w:p>
      <w:pPr>
        <w:ind w:left="288"/>
      </w:pPr>
      <w:r>
        <w:rPr>
          <w:color w:val="8C8C8C"/>
          <w:sz w:val="12"/>
        </w:rPr>
        <w:t>cf-art-146-inc-III</w:t>
      </w:r>
      <w:r>
        <w:rPr>
          <w:color w:val="003CA0"/>
          <w:sz w:val="12"/>
        </w:rPr>
        <w:t xml:space="preserve"> | SS 3.679</w:t>
      </w:r>
      <w:r>
        <w:rPr>
          <w:color w:val="003CA0"/>
          <w:sz w:val="12"/>
        </w:rPr>
        <w:t xml:space="preserve"> | rel. Gilmar Mendes</w:t>
      </w:r>
    </w:p>
    <w:p>
      <w:pPr>
        <w:ind w:left="288"/>
      </w:pPr>
      <w:r>
        <w:rPr>
          <w:color w:val="1E1E1E"/>
          <w:sz w:val="18"/>
        </w:rPr>
        <w:t>Os institutos da imunidade e da isenção tributária não se confundem. É perfeitamente possível ao Estado conceder, mediante lei, isenção de tributo de sua competência, visto que está atuando nos limites de sua autonomia. Enquanto não editada a lei a que se refere o § 21 do art. 40 da CF/1988, vigem os diplomas estaduais que regem a matéria, que só serão suspensos se, e no que, forem contrários à lei complementar nacional (CF, art. 24, §§ 3º e 4º).</w:t>
      </w:r>
    </w:p>
    <w:p>
      <w:pPr>
        <w:ind w:left="288"/>
      </w:pPr>
      <w:r>
        <w:rPr>
          <w:b/>
          <w:color w:val="003CA0"/>
          <w:sz w:val="16"/>
        </w:rPr>
        <w:t>[SS 3.679 AgR, rel. min. Gilmar Mendes, j. 4-2-2010, P, DJE de 26-2-2010.]</w:t>
      </w:r>
    </w:p>
    <w:p>
      <w:pPr>
        <w:ind w:left="288"/>
      </w:pPr>
      <w:r>
        <w:rPr>
          <w:color w:val="8C8C8C"/>
          <w:sz w:val="12"/>
        </w:rPr>
        <w:t>cf-art-146-inc-III</w:t>
      </w:r>
      <w:r>
        <w:rPr>
          <w:color w:val="003CA0"/>
          <w:sz w:val="12"/>
        </w:rPr>
        <w:t xml:space="preserve"> | RE 407.190</w:t>
      </w:r>
      <w:r>
        <w:rPr>
          <w:color w:val="003CA0"/>
          <w:sz w:val="12"/>
        </w:rPr>
        <w:t xml:space="preserve"> | rel. Marco Aurélio</w:t>
      </w:r>
    </w:p>
    <w:p>
      <w:pPr>
        <w:ind w:left="288"/>
      </w:pPr>
      <w:r>
        <w:rPr>
          <w:color w:val="1E1E1E"/>
          <w:sz w:val="18"/>
        </w:rPr>
        <w:t>Cumpre à legislação complementar dispor sobre os parâmetros da aplicação da multa, tal como ocorre no art. 106 do CTN. (...) Conflita com a Carta da República – art. 146, III – a expressão "para os fatos geradores ocorridos a partir de 1º de abril de 1997", constante do art. 35 da Lei 8.212/1991, com a redação decorrente da Lei 9.528/1997, ante o envolvimento de matéria cuja disciplina é reservada à lei complementar.</w:t>
      </w:r>
    </w:p>
    <w:p>
      <w:pPr>
        <w:ind w:left="288"/>
      </w:pPr>
      <w:r>
        <w:rPr>
          <w:b/>
          <w:color w:val="003CA0"/>
          <w:sz w:val="16"/>
        </w:rPr>
        <w:t>[RE 407.190, rel. min. Marco Aurélio, j. 27-10-2004, P, DJ de 13-5-2005.]</w:t>
      </w:r>
    </w:p>
    <w:p>
      <w:pPr>
        <w:ind w:left="288"/>
      </w:pPr>
      <w:r>
        <w:rPr>
          <w:color w:val="8C8C8C"/>
          <w:sz w:val="12"/>
        </w:rPr>
        <w:t>cf-art-146-inc-III</w:t>
      </w:r>
      <w:r>
        <w:rPr>
          <w:color w:val="003CA0"/>
          <w:sz w:val="12"/>
        </w:rPr>
        <w:t xml:space="preserve"> | RE 552.403</w:t>
      </w:r>
      <w:r>
        <w:rPr>
          <w:color w:val="003CA0"/>
          <w:sz w:val="12"/>
        </w:rPr>
        <w:t xml:space="preserve"> | rel. Cármen Lúcia</w:t>
      </w:r>
    </w:p>
    <w:p>
      <w:pPr>
        <w:ind w:left="288"/>
      </w:pPr>
      <w:r>
        <w:rPr>
          <w:color w:val="1E1E1E"/>
          <w:sz w:val="18"/>
        </w:rPr>
        <w:t>= RE 552.403 AgR, rel. min. Cármen Lúcia, j. 8-2-2011, 1ª T, DJE de 2-3-2011</w:t>
      </w:r>
    </w:p>
    <w:p>
      <w:pPr>
        <w:ind w:left="144"/>
      </w:pPr>
      <w:r>
        <w:rPr>
          <w:b/>
          <w:color w:val="B45A00"/>
          <w:sz w:val="16"/>
        </w:rPr>
        <w:t>CONTROLE CONCENTRADO</w:t>
      </w:r>
    </w:p>
    <w:p>
      <w:pPr>
        <w:ind w:left="288"/>
      </w:pPr>
      <w:r>
        <w:rPr>
          <w:color w:val="8C8C8C"/>
          <w:sz w:val="12"/>
        </w:rPr>
        <w:t>cf-art-146-inc-III-ali-a</w:t>
      </w:r>
      <w:r>
        <w:rPr>
          <w:color w:val="003CA0"/>
          <w:sz w:val="12"/>
        </w:rPr>
        <w:t xml:space="preserve"> | ADI 3.142</w:t>
      </w:r>
      <w:r>
        <w:rPr>
          <w:color w:val="003CA0"/>
          <w:sz w:val="12"/>
        </w:rPr>
        <w:t xml:space="preserve"> | rel. Dias Toffoli</w:t>
      </w:r>
    </w:p>
    <w:p>
      <w:pPr>
        <w:ind w:left="288"/>
      </w:pPr>
      <w:r>
        <w:rPr>
          <w:color w:val="1E1E1E"/>
          <w:sz w:val="18"/>
        </w:rPr>
        <w:t>ISS. Relações mistas ou complexas. (...) O art. 3º, § 1º, da LC 116/03 não viola os princípios da proporcionalidade e da razoabilidade. Ele estabelece que se considera ocorrido o fato gerador e devido o imposto em cada município em cujo território haja extensão de ferrovia, rodovia, postes, cabos, dutos e condutos de qualquer natureza, objetos de locação, sublocação, arrendamento, direito de passagem ou permissão de uso, compartilhado ou não. Existência de unidade econômica, para fins de tributação, em cada uma dessas urbes, ainda que o sujeito passivo não tenha nelas instalado unidade de gere</w:t>
      </w:r>
    </w:p>
    <w:p>
      <w:pPr>
        <w:ind w:left="288"/>
      </w:pPr>
      <w:r>
        <w:rPr>
          <w:b/>
          <w:color w:val="003CA0"/>
          <w:sz w:val="16"/>
        </w:rPr>
        <w:t>[ADI 3.142, rel. min. Dias Toffoli, j. 5-8-2020, P, DJE de 9-10-2020.]</w:t>
      </w:r>
    </w:p>
    <w:p>
      <w:pPr>
        <w:ind w:left="288"/>
      </w:pPr>
      <w:r>
        <w:rPr>
          <w:color w:val="8C8C8C"/>
          <w:sz w:val="12"/>
        </w:rPr>
        <w:t>cf-art-146-inc-III-ali-a</w:t>
      </w:r>
      <w:r>
        <w:rPr>
          <w:color w:val="003CA0"/>
          <w:sz w:val="12"/>
        </w:rPr>
        <w:t xml:space="preserve"> | ADI 3.141</w:t>
      </w:r>
      <w:r>
        <w:rPr>
          <w:color w:val="003CA0"/>
          <w:sz w:val="12"/>
        </w:rPr>
        <w:t xml:space="preserve"> | rel. Roberto Barroso</w:t>
      </w:r>
    </w:p>
    <w:p>
      <w:pPr>
        <w:ind w:left="288"/>
      </w:pPr>
      <w:r>
        <w:rPr>
          <w:color w:val="1E1E1E"/>
          <w:sz w:val="18"/>
        </w:rPr>
        <w:t>Trata-se de ação direta de inconstitucionalidade em que se discute a constitucionalidade da retenção na fonte do Imposto de Renda incidente sobre os rendimentos pagos em cumprimento de decisões da Justiça do Trabalho, da CSLL, da COFINS e da contribuição para o PIS/PASEP. A disciplina da retenção de valores pela fonte pagadora não necessita de lei complementar, não se enquadrando no conceito de fato gerador, base de cálculo, contribuinte de tributos (CF, art. 146, a), ou mesmo obrigação, lançamento, crédito, prescrição e decadência tributários (CF, art. 146, b).</w:t>
      </w:r>
    </w:p>
    <w:p>
      <w:pPr>
        <w:ind w:left="288"/>
      </w:pPr>
      <w:r>
        <w:rPr>
          <w:b/>
          <w:color w:val="003CA0"/>
          <w:sz w:val="16"/>
        </w:rPr>
        <w:t>[ADI 3.141, rel. min. Roberto Barroso, j. 13-12-2018, P, DJE de 8-2-2019.]</w:t>
      </w:r>
    </w:p>
    <w:p>
      <w:pPr>
        <w:ind w:left="144"/>
      </w:pPr>
      <w:r>
        <w:rPr>
          <w:b/>
          <w:color w:val="B45A00"/>
          <w:sz w:val="16"/>
        </w:rPr>
        <w:t>REPERCUSSAO GERAL</w:t>
      </w:r>
    </w:p>
    <w:p>
      <w:pPr>
        <w:ind w:left="288"/>
      </w:pPr>
      <w:r>
        <w:rPr>
          <w:color w:val="8C8C8C"/>
          <w:sz w:val="12"/>
        </w:rPr>
        <w:t>cf-art-146-inc-III-ali-a</w:t>
      </w:r>
      <w:r>
        <w:rPr>
          <w:color w:val="003CA0"/>
          <w:sz w:val="12"/>
        </w:rPr>
        <w:t xml:space="preserve"> | RE 940.769</w:t>
      </w:r>
      <w:r>
        <w:rPr>
          <w:color w:val="003CA0"/>
          <w:sz w:val="12"/>
        </w:rPr>
        <w:t xml:space="preserve"> | rel. Edson Fachin</w:t>
      </w:r>
    </w:p>
    <w:p>
      <w:pPr>
        <w:ind w:left="288"/>
      </w:pPr>
      <w:r>
        <w:rPr>
          <w:color w:val="1E1E1E"/>
          <w:sz w:val="18"/>
        </w:rPr>
        <w:t>É inconstitucional lei municipal que estabelece impeditivos à submissão de sociedades profissionais de advogados ao regime de tributação fixa em bases anuais na forma estabelecida por lei nacional.</w:t>
      </w:r>
    </w:p>
    <w:p>
      <w:pPr>
        <w:ind w:left="288"/>
      </w:pPr>
      <w:r>
        <w:rPr>
          <w:b/>
          <w:color w:val="003CA0"/>
          <w:sz w:val="16"/>
        </w:rPr>
        <w:t>[RE 940.769, rel. min. Edson Fachin, j. 24-4-2019, P, DJE de 12-9-2019, Tema 918, com mérito julgado.]</w:t>
      </w:r>
    </w:p>
    <w:p>
      <w:pPr>
        <w:ind w:left="288"/>
      </w:pPr>
      <w:r>
        <w:rPr>
          <w:color w:val="8C8C8C"/>
          <w:sz w:val="12"/>
        </w:rPr>
        <w:t>cf-art-146-inc-III-ali-a</w:t>
      </w:r>
      <w:r>
        <w:rPr>
          <w:color w:val="003CA0"/>
          <w:sz w:val="12"/>
        </w:rPr>
        <w:t xml:space="preserve"> | RE 567.935</w:t>
      </w:r>
      <w:r>
        <w:rPr>
          <w:color w:val="003CA0"/>
          <w:sz w:val="12"/>
        </w:rPr>
        <w:t xml:space="preserve"> | rel. Marco Aurélio</w:t>
      </w:r>
    </w:p>
    <w:p>
      <w:pPr>
        <w:ind w:left="288"/>
      </w:pPr>
      <w:r>
        <w:rPr>
          <w:color w:val="1E1E1E"/>
          <w:sz w:val="18"/>
        </w:rPr>
        <w:t>Viola o art. 146, III, a, da Carta Federal norma ordinária segundo a qual hão de ser incluídos, na base de cálculo do IPI, os valores relativos a descontos incondicionais concedidos quando das operações de saída de produtos, prevalecendo o disposto na alínea a do inciso II do art. 47 do CTN.</w:t>
      </w:r>
    </w:p>
    <w:p>
      <w:pPr>
        <w:ind w:left="288"/>
      </w:pPr>
      <w:r>
        <w:rPr>
          <w:b/>
          <w:color w:val="003CA0"/>
          <w:sz w:val="16"/>
        </w:rPr>
        <w:t>[RE 567.935, rel. min. Marco Aurélio, j. 4-9-2014, P, DJE de 4-11-2014, Tema 84, com mérito julgado.]</w:t>
      </w:r>
    </w:p>
    <w:p>
      <w:pPr>
        <w:ind w:left="288"/>
      </w:pPr>
      <w:r>
        <w:rPr>
          <w:color w:val="8C8C8C"/>
          <w:sz w:val="12"/>
        </w:rPr>
        <w:t>cf-art-146-inc-III-ali-a</w:t>
      </w:r>
      <w:r>
        <w:rPr>
          <w:color w:val="003CA0"/>
          <w:sz w:val="12"/>
        </w:rPr>
        <w:t xml:space="preserve"> | RE 635.682</w:t>
      </w:r>
    </w:p>
    <w:p>
      <w:pPr>
        <w:ind w:left="288"/>
      </w:pPr>
      <w:r>
        <w:rPr>
          <w:color w:val="1E1E1E"/>
          <w:sz w:val="18"/>
        </w:rPr>
        <w:t xml:space="preserve">(...) o fato de a contribuição de intervenção no domínio econômico sujeitar-se ao art. 146, III, a, não leva à conclusão de que o tributo deva ser instituído mediante lei complementar. </w:t>
        <w:br/>
        <w:t>[RE 635.682, voto do min. Gilmar Mendes, j. 25-4-2013, P, DJE de 24-5-2013, Tema 227, com mérito julgado.]</w:t>
      </w:r>
    </w:p>
    <w:p>
      <w:pPr>
        <w:ind w:left="144"/>
      </w:pPr>
      <w:r>
        <w:rPr>
          <w:b/>
          <w:color w:val="B45A00"/>
          <w:sz w:val="16"/>
        </w:rPr>
        <w:t>JULGADOS CORRELATOS</w:t>
      </w:r>
    </w:p>
    <w:p>
      <w:pPr>
        <w:ind w:left="288"/>
      </w:pPr>
      <w:r>
        <w:rPr>
          <w:color w:val="8C8C8C"/>
          <w:sz w:val="12"/>
        </w:rPr>
        <w:t>cf-art-146-inc-III-ali-a</w:t>
      </w:r>
      <w:r>
        <w:rPr>
          <w:color w:val="003CA0"/>
          <w:sz w:val="12"/>
        </w:rPr>
        <w:t xml:space="preserve"> | AI 738.163</w:t>
      </w:r>
    </w:p>
    <w:p>
      <w:pPr>
        <w:ind w:left="288"/>
      </w:pPr>
      <w:r>
        <w:rPr>
          <w:color w:val="1E1E1E"/>
          <w:sz w:val="18"/>
        </w:rPr>
        <w:t>(...) cabe aos Municípios o exercício da competência tributária relacionada ao ISSQN, no qual, observados os parâmetros materiais da Constituição da República e da lei complementar referida em seu art. 146, III, a, inclui-se a indicação do sujeito passivo. Portanto, ao descrever o sujeito passivo na aludida prescrição tributária, o Município implicado tão somente seguiu a orientação jurisprudencial deste STF.</w:t>
      </w:r>
    </w:p>
    <w:p>
      <w:pPr>
        <w:ind w:left="288"/>
      </w:pPr>
      <w:r>
        <w:rPr>
          <w:b/>
          <w:color w:val="003CA0"/>
          <w:sz w:val="16"/>
        </w:rPr>
        <w:t>[AI 738.163 AgR-ED, voto do min. Gilmar Mendes, j. 15-2-2011, 2ª T, DJE de 1º-3-2011.]</w:t>
      </w:r>
    </w:p>
    <w:p>
      <w:pPr>
        <w:ind w:left="288"/>
      </w:pPr>
      <w:r>
        <w:rPr>
          <w:color w:val="8C8C8C"/>
          <w:sz w:val="12"/>
        </w:rPr>
        <w:t>cf-art-146-inc-III-ali-a</w:t>
      </w:r>
      <w:r>
        <w:rPr>
          <w:color w:val="003CA0"/>
          <w:sz w:val="12"/>
        </w:rPr>
        <w:t xml:space="preserve"> | RE 236.604</w:t>
      </w:r>
      <w:r>
        <w:rPr>
          <w:color w:val="003CA0"/>
          <w:sz w:val="12"/>
        </w:rPr>
        <w:t xml:space="preserve"> | rel. Carlos Velloso)</w:t>
      </w:r>
    </w:p>
    <w:p>
      <w:pPr>
        <w:ind w:left="288"/>
      </w:pPr>
      <w:r>
        <w:rPr>
          <w:color w:val="1E1E1E"/>
          <w:sz w:val="18"/>
        </w:rPr>
        <w:t>Decidiu o acórdão recorrido acerca das duas questões suscitadas pelo recorrente, pelo voto do eminente relator (...) nestes termos: "(...) não há isenção na disposição contida no artigo 9º, parágrafo 2º, alínea b, do DL 406, de 31-12-1968, de molde a afrontar o comando do art. 151, III, da CF, mas, isto sim, trata-se de uma regra que tem por finalidade evitar o bis in idem, já que o fato gerador é o mesmo. Se a empresa da construção civil, na qualidade de empreiteira, transfere para outra empresa parte da obra inicialmente contratada, estabelecendo o que se denomina de subempreitada, e cada um</w:t>
      </w:r>
    </w:p>
    <w:p>
      <w:pPr>
        <w:ind w:left="288"/>
      </w:pPr>
      <w:r>
        <w:rPr>
          <w:b/>
          <w:color w:val="003CA0"/>
          <w:sz w:val="16"/>
        </w:rPr>
        <w:t>[RE 262.598, voto do min. Ilmar Galvão, j. 14-8-2007, 1ª T, DJ de 28-9-2007.]</w:t>
      </w:r>
    </w:p>
    <w:p>
      <w:pPr>
        <w:ind w:left="288"/>
      </w:pPr>
      <w:r>
        <w:rPr>
          <w:color w:val="8C8C8C"/>
          <w:sz w:val="12"/>
        </w:rPr>
        <w:t>cf-art-146-inc-III-ali-a</w:t>
      </w:r>
      <w:r>
        <w:rPr>
          <w:color w:val="003CA0"/>
          <w:sz w:val="12"/>
        </w:rPr>
        <w:t xml:space="preserve"> | RE 223.144</w:t>
      </w:r>
    </w:p>
    <w:p>
      <w:pPr>
        <w:ind w:left="288"/>
      </w:pPr>
      <w:r>
        <w:rPr>
          <w:color w:val="1E1E1E"/>
          <w:sz w:val="18"/>
        </w:rPr>
        <w:t>A CF, art. 146, III, a, estabeleceu que cabe à lei complementar, no tocante aos impostos discriminados na Constituição, definir os respectivos fatos geradores, bases de cálculo e contribuintes. (...) É de ver, portanto, que o art. 1º, I, da Lei 8.033/1990 pôs-se de acordo com a definição do fato gerador do IOF contida no art. 63, IV, do CTN.</w:t>
      </w:r>
    </w:p>
    <w:p>
      <w:pPr>
        <w:ind w:left="288"/>
      </w:pPr>
      <w:r>
        <w:rPr>
          <w:b/>
          <w:color w:val="003CA0"/>
          <w:sz w:val="16"/>
        </w:rPr>
        <w:t>[RE 223.144, voto do min. Carlos Velloso, j. 17-6-2002, P, DJ de 21-11-2003.]</w:t>
      </w:r>
    </w:p>
    <w:p>
      <w:pPr>
        <w:ind w:left="288"/>
      </w:pPr>
      <w:r>
        <w:rPr>
          <w:color w:val="8C8C8C"/>
          <w:sz w:val="12"/>
        </w:rPr>
        <w:t>cf-art-146-inc-III-ali-a</w:t>
      </w:r>
      <w:r>
        <w:rPr>
          <w:color w:val="003CA0"/>
          <w:sz w:val="12"/>
        </w:rPr>
        <w:t xml:space="preserve"> | RE 287.628</w:t>
      </w:r>
      <w:r>
        <w:rPr>
          <w:color w:val="003CA0"/>
          <w:sz w:val="12"/>
        </w:rPr>
        <w:t xml:space="preserve"> | rel. Ayres Britto</w:t>
      </w:r>
    </w:p>
    <w:p>
      <w:pPr>
        <w:ind w:left="288"/>
      </w:pPr>
      <w:r>
        <w:rPr>
          <w:color w:val="1E1E1E"/>
          <w:sz w:val="18"/>
        </w:rPr>
        <w:t>= RE 287.628 AgR, rel. min. Ayres Britto, j. 6-3-2012, 2ª T, DJE de 19-3-2012 No embate diário Estado/contribuinte, a Carta Política da República exsurge com insuplantável valia, no que, em prol do segundo, impõe parâmetros a serem respeitados pelo primeiro. Dentre as garantias constitucionais explícitas, e a constatação não exclui o reconhecimento de outras decorrentes do próprio sistema adotado, exsurge a de que somente a lei complementar cabe "a definição de tributos e de suas espécies, bem como, em relação aos impostos discriminados nesta Constituição, a dos respectivos fatos geradores, ba</w:t>
      </w:r>
    </w:p>
    <w:p>
      <w:pPr>
        <w:ind w:left="288"/>
      </w:pPr>
      <w:r>
        <w:rPr>
          <w:b/>
          <w:color w:val="003CA0"/>
          <w:sz w:val="16"/>
        </w:rPr>
        <w:t>[RE 172.058, rel. min. Marco Aurélio, j. 30-6-1995, P, DJ de 13-10-1995.]</w:t>
      </w:r>
    </w:p>
    <w:p>
      <w:pPr>
        <w:ind w:left="288"/>
      </w:pPr>
      <w:r>
        <w:rPr>
          <w:color w:val="8C8C8C"/>
          <w:sz w:val="12"/>
        </w:rPr>
        <w:t>cf-art-146-inc-III-ali-a</w:t>
      </w:r>
      <w:r>
        <w:rPr>
          <w:color w:val="003CA0"/>
          <w:sz w:val="12"/>
        </w:rPr>
        <w:t xml:space="preserve"> | RE 307.220</w:t>
      </w:r>
      <w:r>
        <w:rPr>
          <w:color w:val="003CA0"/>
          <w:sz w:val="12"/>
        </w:rPr>
        <w:t xml:space="preserve"> | rel. Gilmar Mendes</w:t>
      </w:r>
    </w:p>
    <w:p>
      <w:pPr>
        <w:ind w:left="288"/>
      </w:pPr>
      <w:r>
        <w:rPr>
          <w:color w:val="1E1E1E"/>
          <w:sz w:val="18"/>
        </w:rPr>
        <w:t>= RE 307.220-ED, rel. min. Gilmar Mendes, j. 1º-2-2019, 2ª T, DJE de 13-2-2019 = AI 807.699 AgR, rel. min. Cármen Lúcia, j. 15-2-2011, 1ª T, DJE de 18-3-2011</w:t>
      </w:r>
    </w:p>
    <w:p>
      <w:pPr>
        <w:ind w:left="144"/>
      </w:pPr>
      <w:r>
        <w:rPr>
          <w:b/>
          <w:color w:val="B45A00"/>
          <w:sz w:val="16"/>
        </w:rPr>
        <w:t>SUMULA VINCULANTE</w:t>
      </w:r>
    </w:p>
    <w:p>
      <w:pPr>
        <w:ind w:left="288"/>
      </w:pPr>
      <w:r>
        <w:rPr>
          <w:color w:val="8C8C8C"/>
          <w:sz w:val="12"/>
        </w:rPr>
        <w:t>cf-art-146-inc-III-ali-b</w:t>
      </w:r>
    </w:p>
    <w:p>
      <w:pPr>
        <w:ind w:left="288"/>
      </w:pPr>
      <w:r>
        <w:rPr>
          <w:color w:val="1E1E1E"/>
          <w:sz w:val="18"/>
        </w:rPr>
        <w:t>São inconstitucionais o parágrafo único do art. 5º do DL 1.569/1977 e os arts. 45 e 46 da Lei 8.212/1991, que tratam de prescrição e decadência de crédito tributário.</w:t>
      </w:r>
    </w:p>
    <w:p>
      <w:pPr>
        <w:ind w:left="288"/>
      </w:pPr>
      <w:r>
        <w:rPr>
          <w:b/>
          <w:color w:val="003CA0"/>
          <w:sz w:val="16"/>
        </w:rPr>
        <w:t>[Súmula Vinculante 8.]</w:t>
      </w:r>
    </w:p>
    <w:p>
      <w:pPr>
        <w:ind w:left="288"/>
      </w:pPr>
      <w:r>
        <w:rPr>
          <w:color w:val="8C8C8C"/>
          <w:sz w:val="12"/>
        </w:rPr>
        <w:t>cf-art-146-inc-III-ali-b</w:t>
      </w:r>
    </w:p>
    <w:p>
      <w:pPr>
        <w:ind w:left="288"/>
      </w:pPr>
      <w:r>
        <w:rPr>
          <w:color w:val="1E1E1E"/>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88"/>
      </w:pPr>
      <w:r>
        <w:rPr>
          <w:b/>
          <w:color w:val="003CA0"/>
          <w:sz w:val="16"/>
        </w:rPr>
        <w:t>[Súmula Vinculante 62]</w:t>
      </w:r>
    </w:p>
    <w:p>
      <w:pPr>
        <w:ind w:left="288"/>
      </w:pPr>
      <w:r>
        <w:rPr>
          <w:color w:val="8C8C8C"/>
          <w:sz w:val="12"/>
        </w:rPr>
        <w:t>cf-art-146-inc-III-ali-b</w:t>
      </w:r>
      <w:r>
        <w:rPr>
          <w:color w:val="003CA0"/>
          <w:sz w:val="12"/>
        </w:rPr>
        <w:t xml:space="preserve"> | ADI 5.894</w:t>
      </w:r>
      <w:r>
        <w:rPr>
          <w:color w:val="003CA0"/>
          <w:sz w:val="12"/>
        </w:rPr>
        <w:t xml:space="preserve"> | rel. André Mendonça</w:t>
      </w:r>
    </w:p>
    <w:p>
      <w:pPr>
        <w:ind w:left="288"/>
      </w:pPr>
      <w:r>
        <w:rPr>
          <w:color w:val="1E1E1E"/>
          <w:sz w:val="18"/>
        </w:rPr>
        <w:t>Lavratura formal de partilha ou elaborada a carta de adjudicação e da expedição de alvará dos bens. Trânsito em julgado da sentença de homologação de partilha ou de adjudicação. Comprovação da quitação do Imposto sobre Transmissão Causa Mortis ou de Doação (ITCMD). (...) Não se visualiza no art. 659, § 2º, do CPC, uma norma geral instituidora de legislação tributária, logo o dispositivo não se revela apto a atrair a reserva de lei complementar prevista no art. 146, inc. III, al. “b”, da Constituição da República. Sendo assim, não se cuida no objeto atacado de garantias ou privilégios do crédit</w:t>
      </w:r>
    </w:p>
    <w:p>
      <w:pPr>
        <w:ind w:left="288"/>
      </w:pPr>
      <w:r>
        <w:rPr>
          <w:b/>
          <w:color w:val="003CA0"/>
          <w:sz w:val="16"/>
        </w:rPr>
        <w:t>[ADI 5.894, rel. min. André Mendonça, j. 25.04.2025, P, DJE de 23.06.2025.]</w:t>
      </w:r>
    </w:p>
    <w:p>
      <w:pPr>
        <w:ind w:left="144"/>
      </w:pPr>
      <w:r>
        <w:rPr>
          <w:b/>
          <w:color w:val="B45A00"/>
          <w:sz w:val="16"/>
        </w:rPr>
        <w:t>CONTROLE CONCENTRADO</w:t>
      </w:r>
    </w:p>
    <w:p>
      <w:pPr>
        <w:ind w:left="288"/>
      </w:pPr>
      <w:r>
        <w:rPr>
          <w:color w:val="8C8C8C"/>
          <w:sz w:val="12"/>
        </w:rPr>
        <w:t>cf-art-146-inc-III-ali-b</w:t>
      </w:r>
      <w:r>
        <w:rPr>
          <w:color w:val="003CA0"/>
          <w:sz w:val="12"/>
        </w:rPr>
        <w:t xml:space="preserve"> | ADI 6.276</w:t>
      </w:r>
      <w:r>
        <w:rPr>
          <w:color w:val="003CA0"/>
          <w:sz w:val="12"/>
        </w:rPr>
        <w:t xml:space="preserve"> | rel. Edson Fachin</w:t>
      </w:r>
    </w:p>
    <w:p>
      <w:pPr>
        <w:ind w:left="288"/>
      </w:pPr>
      <w:r>
        <w:rPr>
          <w:color w:val="1E1E1E"/>
          <w:sz w:val="18"/>
        </w:rPr>
        <w:t xml:space="preserve">A regulação tem como objetivo promover o interesse público, atingindo seu objetivo quando veicula um processo político eficiente acompanhado de atuação de agências reguladoras também eficientes. A atuação independente e tecnicamente justificada deve ser realizada por um Conselho Diretor ou Diretoria Colegiada imparcial, sendo os impedimentos previstos pelo legislador destinados à impessoalidade da gestão. A exigência de preenchimento de certos requisitos para a ocupação de cargos públicos, quando devidamente justificada e por meio legal, não implica discriminação inconstitucional. No caso, há </w:t>
      </w:r>
    </w:p>
    <w:p>
      <w:pPr>
        <w:ind w:left="288"/>
      </w:pPr>
      <w:r>
        <w:rPr>
          <w:b/>
          <w:color w:val="003CA0"/>
          <w:sz w:val="16"/>
        </w:rPr>
        <w:t>[ADI 4.845, rel. min. Roberto Barroso, j. 13-2-2020, Plenário, DJE de 4-3-2020.]</w:t>
      </w:r>
    </w:p>
    <w:p>
      <w:pPr>
        <w:ind w:left="288"/>
      </w:pPr>
      <w:r>
        <w:rPr>
          <w:color w:val="8C8C8C"/>
          <w:sz w:val="12"/>
        </w:rPr>
        <w:t>cf-art-146-inc-III-ali-b</w:t>
      </w:r>
      <w:r>
        <w:rPr>
          <w:color w:val="003CA0"/>
          <w:sz w:val="12"/>
        </w:rPr>
        <w:t xml:space="preserve"> | ADI 2.405</w:t>
      </w:r>
    </w:p>
    <w:p>
      <w:pPr>
        <w:ind w:left="288"/>
      </w:pPr>
      <w:r>
        <w:rPr>
          <w:color w:val="1E1E1E"/>
          <w:sz w:val="18"/>
        </w:rPr>
        <w:t>(...) a Constituição Federal não reservou à lei complementar o tratamento das modalidades de extinção e suspensão dos créditos tributários, a exceção da prescrição e decadência, previstos no art. 146, III, b, da CF. (...) A partir dessa ideia, e considerando também que as modalidades de extinção de crédito tributário, estabelecidas pelo CTN (art. 156), não formam um rol exaustivo, tem-se a possibilidade de previsão em lei estadual de extinção do credito por dação em pagamento de bens moveis.</w:t>
      </w:r>
    </w:p>
    <w:p>
      <w:pPr>
        <w:ind w:left="288"/>
      </w:pPr>
      <w:r>
        <w:rPr>
          <w:b/>
          <w:color w:val="003CA0"/>
          <w:sz w:val="16"/>
        </w:rPr>
        <w:t>[ADI 2.405, voto do min. Alexandre de Moraes, j. 20-9-2019, P, DJE de 3-10-2019.]</w:t>
      </w:r>
    </w:p>
    <w:p>
      <w:pPr>
        <w:ind w:left="288"/>
      </w:pPr>
      <w:r>
        <w:rPr>
          <w:color w:val="8C8C8C"/>
          <w:sz w:val="12"/>
        </w:rPr>
        <w:t>cf-art-146-inc-III-ali-b</w:t>
      </w:r>
      <w:r>
        <w:rPr>
          <w:color w:val="003CA0"/>
          <w:sz w:val="12"/>
        </w:rPr>
        <w:t xml:space="preserve"> | ADI 124</w:t>
      </w:r>
      <w:r>
        <w:rPr>
          <w:color w:val="003CA0"/>
          <w:sz w:val="12"/>
        </w:rPr>
        <w:t xml:space="preserve"> | rel. Joaquim Barbosa</w:t>
      </w:r>
    </w:p>
    <w:p>
      <w:pPr>
        <w:ind w:left="288"/>
      </w:pPr>
      <w:r>
        <w:rPr>
          <w:color w:val="1E1E1E"/>
          <w:sz w:val="18"/>
        </w:rPr>
        <w:t>Norma do Estado de Santa Catarina que estabelece hipótese de extinção do crédito tributário por transcurso de prazo para apreciação de recurso administrativo fiscal. (...) A determinação do arquivamento de processo administrativo tributário por decurso de prazo, sem a possibilidade de revisão do lançamento equivale à extinção do crédito tributário cuja validade está em discussão no campo administrativo. Em matéria tributária, a extinção do crédito tributário ou do direito de constituir o crédito tributário por decurso de prazo, combinado a qualquer outro critério, corresponde à decadência. Nos</w:t>
      </w:r>
    </w:p>
    <w:p>
      <w:pPr>
        <w:ind w:left="288"/>
      </w:pPr>
      <w:r>
        <w:rPr>
          <w:b/>
          <w:color w:val="003CA0"/>
          <w:sz w:val="16"/>
        </w:rPr>
        <w:t>[ADI 124, rel. min. Joaquim Barbosa, j. 1º-8-2008, P, DJE de 17-4-2009.]</w:t>
      </w:r>
    </w:p>
    <w:p>
      <w:pPr>
        <w:ind w:left="288"/>
      </w:pPr>
      <w:r>
        <w:rPr>
          <w:color w:val="8C8C8C"/>
          <w:sz w:val="12"/>
        </w:rPr>
        <w:t>cf-art-146-inc-III-ali-b</w:t>
      </w:r>
      <w:r>
        <w:rPr>
          <w:color w:val="003CA0"/>
          <w:sz w:val="12"/>
        </w:rPr>
        <w:t xml:space="preserve"> | RE 1.326.559</w:t>
      </w:r>
      <w:r>
        <w:rPr>
          <w:color w:val="003CA0"/>
          <w:sz w:val="12"/>
        </w:rPr>
        <w:t xml:space="preserve"> | rel. Dias Toffoli</w:t>
      </w:r>
    </w:p>
    <w:p>
      <w:pPr>
        <w:ind w:left="288"/>
      </w:pPr>
      <w:r>
        <w:rPr>
          <w:color w:val="1E1E1E"/>
          <w:sz w:val="18"/>
        </w:rPr>
        <w:t>“É formalmente constitucional o § 14 do art. 85 do Código de Processo Civil no que diz respeito à preferência dos honorários advocatícios, inclusive contratuais, em relação ao crédito tributário, considerando-se o teor do art. 186 do CTN”.</w:t>
      </w:r>
    </w:p>
    <w:p>
      <w:pPr>
        <w:ind w:left="288"/>
      </w:pPr>
      <w:r>
        <w:rPr>
          <w:b/>
          <w:color w:val="003CA0"/>
          <w:sz w:val="16"/>
        </w:rPr>
        <w:t>[RE 1.326.559, rel. min. Dias Toffoli, j. 31.03.2025, P, DJE de 22.05.2025, Tema 1.220, com mérito julgado.]</w:t>
      </w:r>
    </w:p>
    <w:p>
      <w:pPr>
        <w:ind w:left="144"/>
      </w:pPr>
      <w:r>
        <w:rPr>
          <w:b/>
          <w:color w:val="B45A00"/>
          <w:sz w:val="16"/>
        </w:rPr>
        <w:t>REPERCUSSAO GERAL</w:t>
      </w:r>
    </w:p>
    <w:p>
      <w:pPr>
        <w:ind w:left="288"/>
      </w:pPr>
      <w:r>
        <w:rPr>
          <w:color w:val="8C8C8C"/>
          <w:sz w:val="12"/>
        </w:rPr>
        <w:t>cf-art-146-inc-III-ali-b</w:t>
      </w:r>
      <w:r>
        <w:rPr>
          <w:color w:val="003CA0"/>
          <w:sz w:val="12"/>
        </w:rPr>
        <w:t xml:space="preserve"> | RE 636.562</w:t>
      </w:r>
      <w:r>
        <w:rPr>
          <w:color w:val="003CA0"/>
          <w:sz w:val="12"/>
        </w:rPr>
        <w:t xml:space="preserve"> | rel. Roberto Barroso</w:t>
      </w:r>
    </w:p>
    <w:p>
      <w:pPr>
        <w:ind w:left="288"/>
      </w:pPr>
      <w:r>
        <w:rPr>
          <w:color w:val="1E1E1E"/>
          <w:sz w:val="18"/>
        </w:rPr>
        <w:t xml:space="preserve">Desnecessidade de lei complementar para dispor sobre prescrição intercorrente tributária. A prescrição intercorrente tributária foi introduzida pela Lei nº 6.830/1980, que tem natureza de lei ordinária. O art. 40 desse diploma não afronta o art. 146, III, b, da CF/1988, pois o legislador ordinário se limitou a transpor o modelo estabelecido pelo art. 174 do CTN, adaptando-o às particularidades da prescrição intercorrente. Observa ainda o art. 22, I, da CF/1988, porquanto compete à União legislar sobre direito processual. O prazo de suspensão de 1 (um) ano (art. 40, § 1º, da Lei nº 6.830/1980) </w:t>
      </w:r>
    </w:p>
    <w:p>
      <w:pPr>
        <w:ind w:left="288"/>
      </w:pPr>
      <w:r>
        <w:rPr>
          <w:b/>
          <w:color w:val="003CA0"/>
          <w:sz w:val="16"/>
        </w:rPr>
        <w:t>[RE 636.562, rel. min. Roberto Barroso, j. 22-2-2023, P, DJE de 6-3-2023, Tema 390, com mérito julgado.]</w:t>
      </w:r>
    </w:p>
    <w:p>
      <w:pPr>
        <w:ind w:left="288"/>
      </w:pPr>
      <w:r>
        <w:rPr>
          <w:color w:val="8C8C8C"/>
          <w:sz w:val="12"/>
        </w:rPr>
        <w:t>cf-art-146-inc-III-ali-b</w:t>
      </w:r>
      <w:r>
        <w:rPr>
          <w:color w:val="003CA0"/>
          <w:sz w:val="12"/>
        </w:rPr>
        <w:t xml:space="preserve"> | RE 917.285</w:t>
      </w:r>
      <w:r>
        <w:rPr>
          <w:color w:val="003CA0"/>
          <w:sz w:val="12"/>
        </w:rPr>
        <w:t xml:space="preserve"> | rel. Dias Toffoli</w:t>
      </w:r>
    </w:p>
    <w:p>
      <w:pPr>
        <w:ind w:left="288"/>
      </w:pPr>
      <w:r>
        <w:rPr>
          <w:color w:val="1E1E1E"/>
          <w:sz w:val="18"/>
        </w:rPr>
        <w:t>O art. 146, III, b, da Constituição Federal dispõe caber a lei complementar estabelecer normas gerais em matéria de legislação tributária, especialmente sobre obrigação, lançamento, crédito, prescrição e decadência tributários. Nesse sentido, a extinção e a suspensão do crédito tributário constituem matéria de norma geral de Direito Tributário, sob reserva de lei complementar. A compensação vem prevista no inciso II do art. 156 do CTN como forma de extinção do crédito tributário e deve observar as peculiaridades estabelecidas no art. 170 do Código Tributário Nacional. O art. 170 do CTN, por si</w:t>
      </w:r>
    </w:p>
    <w:p>
      <w:pPr>
        <w:ind w:left="288"/>
      </w:pPr>
      <w:r>
        <w:rPr>
          <w:b/>
          <w:color w:val="003CA0"/>
          <w:sz w:val="16"/>
        </w:rPr>
        <w:t>[RE 917.285, rel. min. Dias Toffoli, j. 18-8-2020, P, DJE de 6-10-2020, Tema 874, com mérito julgado.]</w:t>
      </w:r>
    </w:p>
    <w:p>
      <w:pPr>
        <w:ind w:left="288"/>
      </w:pPr>
      <w:r>
        <w:rPr>
          <w:color w:val="8C8C8C"/>
          <w:sz w:val="12"/>
        </w:rPr>
        <w:t>cf-art-146-inc-III-ali-b</w:t>
      </w:r>
      <w:r>
        <w:rPr>
          <w:color w:val="003CA0"/>
          <w:sz w:val="12"/>
        </w:rPr>
        <w:t xml:space="preserve"> | RE 566.621</w:t>
      </w:r>
      <w:r>
        <w:rPr>
          <w:color w:val="003CA0"/>
          <w:sz w:val="12"/>
        </w:rPr>
        <w:t xml:space="preserve"> | rel. Ellen Gracie</w:t>
      </w:r>
    </w:p>
    <w:p>
      <w:pPr>
        <w:ind w:left="288"/>
      </w:pPr>
      <w:r>
        <w:rPr>
          <w:color w:val="1E1E1E"/>
          <w:sz w:val="18"/>
        </w:rPr>
        <w:t>(...) inconstitucionalidade do art. 4º, segunda parte, da LC 118/2005, considerando-se válida a aplicação do novo prazo de 5 anos tão somente às ações ajuizadas após o decurso da vacatio legis de 120 dias, ou seja, a partir de 9-6-2005.</w:t>
      </w:r>
    </w:p>
    <w:p>
      <w:pPr>
        <w:ind w:left="288"/>
      </w:pPr>
      <w:r>
        <w:rPr>
          <w:b/>
          <w:color w:val="003CA0"/>
          <w:sz w:val="16"/>
        </w:rPr>
        <w:t>[RE 566.621, rel. min. Ellen Gracie, j. 4-8-2011, P, DJE de 11-10-2011, Tema 4, com mérito julgado.]</w:t>
      </w:r>
    </w:p>
    <w:p>
      <w:pPr>
        <w:ind w:left="288"/>
      </w:pPr>
      <w:r>
        <w:rPr>
          <w:color w:val="8C8C8C"/>
          <w:sz w:val="12"/>
        </w:rPr>
        <w:t>cf-art-146-inc-III-ali-b</w:t>
      </w:r>
      <w:r>
        <w:rPr>
          <w:color w:val="003CA0"/>
          <w:sz w:val="12"/>
        </w:rPr>
        <w:t xml:space="preserve"> | RE 377.457</w:t>
      </w:r>
      <w:r>
        <w:rPr>
          <w:color w:val="003CA0"/>
          <w:sz w:val="12"/>
        </w:rPr>
        <w:t xml:space="preserve"> | rel. Gilmar Mendes</w:t>
      </w:r>
    </w:p>
    <w:p>
      <w:pPr>
        <w:ind w:left="288"/>
      </w:pPr>
      <w:r>
        <w:rPr>
          <w:color w:val="1E1E1E"/>
          <w:sz w:val="18"/>
        </w:rPr>
        <w:t>(...) o art. 56 da Lei 9.430/1996 é dispositivo legitimamente veiculado por legislação ordinária (art. 146, III, b, contrario sensu, e art. 150, § 6º, ambos da CF), que importou na revogação de dispositivo anteriormente vigente (sobre isenção de contribuição social) inserto em norma materialmente ordinária (art. 6º, II, da LC 70/1991). Consequentemente, não existe, na hipótese, qualquer instituição, direta ou indireta, de nova contribuição social, a exigir a intervenção de legislação complementar, nos termos do art. 195, § 4º, da CF.</w:t>
        <w:br/>
        <w:t>[RE 377.457, voto do min. Gilmar Mendes, j. 17-9-2008, P, DJ</w:t>
      </w:r>
    </w:p>
    <w:p>
      <w:pPr>
        <w:ind w:left="144"/>
      </w:pPr>
      <w:r>
        <w:rPr>
          <w:b/>
          <w:color w:val="B45A00"/>
          <w:sz w:val="16"/>
        </w:rPr>
        <w:t>JULGADOS CORRELATOS</w:t>
      </w:r>
    </w:p>
    <w:p>
      <w:pPr>
        <w:ind w:left="288"/>
      </w:pPr>
      <w:r>
        <w:rPr>
          <w:color w:val="8C8C8C"/>
          <w:sz w:val="12"/>
        </w:rPr>
        <w:t>cf-art-146-inc-III-ali-b</w:t>
      </w:r>
      <w:r>
        <w:rPr>
          <w:color w:val="003CA0"/>
          <w:sz w:val="12"/>
        </w:rPr>
        <w:t xml:space="preserve"> | RE 129.877</w:t>
      </w:r>
      <w:r>
        <w:rPr>
          <w:color w:val="003CA0"/>
          <w:sz w:val="12"/>
        </w:rPr>
        <w:t xml:space="preserve"> | rel. Marco Aurélio</w:t>
      </w:r>
    </w:p>
    <w:p>
      <w:pPr>
        <w:ind w:left="288"/>
      </w:pPr>
      <w:r>
        <w:rPr>
          <w:color w:val="1E1E1E"/>
          <w:sz w:val="18"/>
        </w:rPr>
        <w:t>O fato de na lei estadual prever-se como base de incidência o valor pago pelo adquirente, sem exclusão do destinado a remunerar os serviços embutidos, não implica transgressão direta ao preceito constitucional que disciplina a competência dos Municípios para instituir imposto sobre serviços. A circunstância de o DL 406/1968, de cunho federal, não contemplar, na listagem a ele anexa, os serviços prestados pelo fornecimento de alimentação e bebidas por restaurantes, bares, cafés e estabelecimentos similares afasta, por sua vez, a possibilidade de se ter, no caso, a dupla incidência, sendo certo,</w:t>
      </w:r>
    </w:p>
    <w:p>
      <w:pPr>
        <w:ind w:left="288"/>
      </w:pPr>
      <w:r>
        <w:rPr>
          <w:b/>
          <w:color w:val="003CA0"/>
          <w:sz w:val="16"/>
        </w:rPr>
        <w:t>[RE 129.877, rel. min. Marco Aurélio, j. 3-11-1992, 2ª T, DJ de 27-11-1992.]</w:t>
      </w:r>
    </w:p>
    <w:p>
      <w:pPr>
        <w:ind w:left="144"/>
      </w:pPr>
      <w:r>
        <w:rPr>
          <w:b/>
          <w:color w:val="B45A00"/>
          <w:sz w:val="16"/>
        </w:rPr>
        <w:t>CONTROLE CONCENTRADO</w:t>
      </w:r>
    </w:p>
    <w:p>
      <w:pPr>
        <w:ind w:left="288"/>
      </w:pPr>
      <w:r>
        <w:rPr>
          <w:color w:val="8C8C8C"/>
          <w:sz w:val="12"/>
        </w:rPr>
        <w:t>cf-art-146-inc-III-ali-c</w:t>
      </w:r>
      <w:r>
        <w:rPr>
          <w:color w:val="003CA0"/>
          <w:sz w:val="12"/>
        </w:rPr>
        <w:t xml:space="preserve"> | ADI 2.811</w:t>
      </w:r>
      <w:r>
        <w:rPr>
          <w:color w:val="003CA0"/>
          <w:sz w:val="12"/>
        </w:rPr>
        <w:t xml:space="preserve"> | rel. Rosa Weber</w:t>
      </w:r>
    </w:p>
    <w:p>
      <w:pPr>
        <w:ind w:left="288"/>
      </w:pPr>
      <w:r>
        <w:rPr>
          <w:color w:val="1E1E1E"/>
          <w:sz w:val="18"/>
        </w:rPr>
        <w:t>Na ausência da lei a que se refere o art. 146, III, c, da Constituição, que estabelece que lei complementar disporá sobre o adequado tratamento do ato cooperativo, os Estados-Membros podem exercer sua competência residual de forma plena, inclusive instituindo isenção de tributos estaduais para operações entre cooperativas, como fez o art. 16 da Lei Estadual 11.829/2002. Todavia, a norma deve receber interpretação conforme para excluir do seu alcance o ICMS, uma vez que, nos termos do art. 155, § 2º, XII, g, da Constituição da República, as isenções, os incentivos e os benefícios fiscais relati</w:t>
      </w:r>
    </w:p>
    <w:p>
      <w:pPr>
        <w:ind w:left="288"/>
      </w:pPr>
      <w:r>
        <w:rPr>
          <w:b/>
          <w:color w:val="003CA0"/>
          <w:sz w:val="16"/>
        </w:rPr>
        <w:t>[ADI 2.811, rel. min. Rosa Weber, j. 25-10-2019, P, DJE de 7-11-2019.]</w:t>
      </w:r>
    </w:p>
    <w:p>
      <w:pPr>
        <w:ind w:left="144"/>
      </w:pPr>
      <w:r>
        <w:rPr>
          <w:b/>
          <w:color w:val="B45A00"/>
          <w:sz w:val="16"/>
        </w:rPr>
        <w:t>REPERCUSSAO GERAL</w:t>
      </w:r>
    </w:p>
    <w:p>
      <w:pPr>
        <w:ind w:left="288"/>
      </w:pPr>
      <w:r>
        <w:rPr>
          <w:color w:val="8C8C8C"/>
          <w:sz w:val="12"/>
        </w:rPr>
        <w:t>cf-art-146-inc-III-ali-c</w:t>
      </w:r>
      <w:r>
        <w:rPr>
          <w:color w:val="003CA0"/>
          <w:sz w:val="12"/>
        </w:rPr>
        <w:t xml:space="preserve"> | RE 599.362</w:t>
      </w:r>
      <w:r>
        <w:rPr>
          <w:color w:val="003CA0"/>
          <w:sz w:val="12"/>
        </w:rPr>
        <w:t xml:space="preserve"> | rel. Dias Toffoli</w:t>
      </w:r>
    </w:p>
    <w:p>
      <w:pPr>
        <w:ind w:left="288"/>
      </w:pPr>
      <w:r>
        <w:rPr>
          <w:color w:val="1E1E1E"/>
          <w:sz w:val="18"/>
        </w:rPr>
        <w:t>Recurso extraordinário ao qual o STF dá provimento para declarar a incidência da contribuição ao PIS/Pasep sobre os atos (negócios jurídicos) praticados pela impetrante com terceiros tomadores de serviço, objeto da impetração.</w:t>
        <w:br/>
        <w:t>[RE 599.362, rel. min. Dias Toffoli, j. 6-11-2014, P, DJE de 10-2-2015, Tema 323, com mérito julgado.]</w:t>
        <w:br/>
        <w:t>= RE 598.085, rel. min. Luiz Fux, j. 6-11-2014, P, DJE de 10-2-2015, Tema 177,  com mérito julgado</w:t>
      </w:r>
    </w:p>
    <w:p>
      <w:pPr>
        <w:ind w:left="144"/>
      </w:pPr>
      <w:r>
        <w:rPr>
          <w:b/>
          <w:color w:val="B45A00"/>
          <w:sz w:val="16"/>
        </w:rPr>
        <w:t>JULGADOS CORRELATOS</w:t>
      </w:r>
    </w:p>
    <w:p>
      <w:pPr>
        <w:ind w:left="288"/>
      </w:pPr>
      <w:r>
        <w:rPr>
          <w:color w:val="8C8C8C"/>
          <w:sz w:val="12"/>
        </w:rPr>
        <w:t>cf-art-146-inc-III-ali-c</w:t>
      </w:r>
      <w:r>
        <w:rPr>
          <w:color w:val="003CA0"/>
          <w:sz w:val="12"/>
        </w:rPr>
        <w:t xml:space="preserve"> | RE 437.776</w:t>
      </w:r>
      <w:r>
        <w:rPr>
          <w:color w:val="003CA0"/>
          <w:sz w:val="12"/>
        </w:rPr>
        <w:t xml:space="preserve"> | rel. Ricardo Lewandowski</w:t>
      </w:r>
    </w:p>
    <w:p>
      <w:pPr>
        <w:ind w:left="288"/>
      </w:pPr>
      <w:r>
        <w:rPr>
          <w:color w:val="1E1E1E"/>
          <w:sz w:val="18"/>
        </w:rPr>
        <w:t>O fato de a Constituição determinar que seja estabelecido adequado tratamento tributário ao ato cooperativo não veda a incidência de CPMF sobre as movimentações financeiras efetuadas pelas sociedades cooperativas.</w:t>
      </w:r>
    </w:p>
    <w:p>
      <w:pPr>
        <w:ind w:left="288"/>
      </w:pPr>
      <w:r>
        <w:rPr>
          <w:b/>
          <w:color w:val="003CA0"/>
          <w:sz w:val="16"/>
        </w:rPr>
        <w:t>[RE 437.776 AgR, rel. min. Ricardo Lewandowski, j. 2-12-2010, 1ª T, DJE de 1º-2-2011.]</w:t>
      </w:r>
    </w:p>
    <w:p>
      <w:pPr>
        <w:ind w:left="288"/>
      </w:pPr>
      <w:r>
        <w:rPr>
          <w:color w:val="8C8C8C"/>
          <w:sz w:val="12"/>
        </w:rPr>
        <w:t>cf-art-146-inc-III-ali-c</w:t>
      </w:r>
      <w:r>
        <w:rPr>
          <w:color w:val="003CA0"/>
          <w:sz w:val="12"/>
        </w:rPr>
        <w:t xml:space="preserve"> | AI 740.269</w:t>
      </w:r>
      <w:r>
        <w:rPr>
          <w:color w:val="003CA0"/>
          <w:sz w:val="12"/>
        </w:rPr>
        <w:t xml:space="preserve"> | rel. Gilmar Mendes</w:t>
      </w:r>
    </w:p>
    <w:p>
      <w:pPr>
        <w:ind w:left="288"/>
      </w:pPr>
      <w:r>
        <w:rPr>
          <w:color w:val="1E1E1E"/>
          <w:sz w:val="18"/>
        </w:rPr>
        <w:t>= AI 740.269 AgR, rel. min. Gilmar Mendes, j. 18-9-2012, 2ª T, DJE de 3-10-2012 d) definição de tratamento diferenciado e favorecido para as microempresas e para as empresas de pequeno porte, inclusive regimes especiais ou simplificados no caso dos impostos previstos nos arts. 155, II, e 156-A, das contribuições sociais previstas no art. 195, I e V, e § 12 e da contribuição a que se refere o art. 239. (Redação dada pela EC n. 132/2023) (...) art. 2º da Lei Complementar nº 188/2021, que acrescentou o art. 18-F à Lei Complementar nº 123/2006 (Estatuto Nacional da Microempresa e da Empresa de Peq</w:t>
      </w:r>
    </w:p>
    <w:p>
      <w:pPr>
        <w:ind w:left="288"/>
      </w:pPr>
      <w:r>
        <w:rPr>
          <w:b/>
          <w:color w:val="003CA0"/>
          <w:sz w:val="16"/>
        </w:rPr>
        <w:t>[ADI 7.096, rel. min. Gilmar Mendes, j. 09.06.2025, P, DJE de 25.06.2025.]</w:t>
      </w:r>
    </w:p>
    <w:p>
      <w:pPr>
        <w:ind w:left="144"/>
      </w:pPr>
      <w:r>
        <w:rPr>
          <w:b/>
          <w:color w:val="B45A00"/>
          <w:sz w:val="16"/>
        </w:rPr>
        <w:t>CONTROLE CONCENTRADO</w:t>
      </w:r>
    </w:p>
    <w:p>
      <w:pPr>
        <w:ind w:left="288"/>
      </w:pPr>
      <w:r>
        <w:rPr>
          <w:color w:val="8C8C8C"/>
          <w:sz w:val="12"/>
        </w:rPr>
        <w:t>cf-art-146-inc-III-ali-c</w:t>
      </w:r>
      <w:r>
        <w:rPr>
          <w:color w:val="003CA0"/>
          <w:sz w:val="12"/>
        </w:rPr>
        <w:t xml:space="preserve"> | ADI 4.033</w:t>
      </w:r>
      <w:r>
        <w:rPr>
          <w:color w:val="003CA0"/>
          <w:sz w:val="12"/>
        </w:rPr>
        <w:t xml:space="preserve"> | rel. Joaquim Barbosa</w:t>
      </w:r>
    </w:p>
    <w:p>
      <w:pPr>
        <w:ind w:left="288"/>
      </w:pPr>
      <w:r>
        <w:rPr>
          <w:color w:val="1E1E1E"/>
          <w:sz w:val="18"/>
        </w:rPr>
        <w:t>Ação direta de inconstitucionalidade ajuizada contra o art. 13, § 3º, da LC 123/2006, que isentou as microempresas e as empresas de pequeno porte optantes pelo Regime Especial Unificado de Arrecadação de Tributos e Contribuições devidos pelas Microempresas e Empresas de Pequeno Porte – Simples Nacional ("Supersimples"). (...) A isenção concedida não viola o art. 146, III, d, da Constituição, pois a lista de tributos prevista no texto legal que define o campo de reserva da lei complementar é exemplificativa, e não taxativa. Leitura do art. 146, III, d, juntamente com o art. 170, IX, da Constitu</w:t>
      </w:r>
    </w:p>
    <w:p>
      <w:pPr>
        <w:ind w:left="288"/>
      </w:pPr>
      <w:r>
        <w:rPr>
          <w:b/>
          <w:color w:val="003CA0"/>
          <w:sz w:val="16"/>
        </w:rPr>
        <w:t>[ADI 4.033, rel. min. Joaquim Barbosa, j. 15-9-2010, P, DJE de 7-2-2011.]</w:t>
      </w:r>
    </w:p>
    <w:p>
      <w:pPr>
        <w:ind w:left="144"/>
      </w:pPr>
      <w:r>
        <w:rPr>
          <w:b/>
          <w:color w:val="B45A00"/>
          <w:sz w:val="16"/>
        </w:rPr>
        <w:t>REPERCUSSAO GERAL</w:t>
      </w:r>
    </w:p>
    <w:p>
      <w:pPr>
        <w:ind w:left="288"/>
      </w:pPr>
      <w:r>
        <w:rPr>
          <w:color w:val="8C8C8C"/>
          <w:sz w:val="12"/>
        </w:rPr>
        <w:t>cf-art-146-inc-III-ali-c</w:t>
      </w:r>
      <w:r>
        <w:rPr>
          <w:color w:val="003CA0"/>
          <w:sz w:val="12"/>
        </w:rPr>
        <w:t xml:space="preserve"> | RE 970.821</w:t>
      </w:r>
      <w:r>
        <w:rPr>
          <w:color w:val="003CA0"/>
          <w:sz w:val="12"/>
        </w:rPr>
        <w:t xml:space="preserve"> | rel. Edson Fachin</w:t>
      </w:r>
    </w:p>
    <w:p>
      <w:pPr>
        <w:ind w:left="288"/>
      </w:pPr>
      <w:r>
        <w:rPr>
          <w:color w:val="1E1E1E"/>
          <w:sz w:val="18"/>
        </w:rPr>
        <w:t>“É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w:t>
      </w:r>
    </w:p>
    <w:p>
      <w:pPr>
        <w:ind w:left="288"/>
      </w:pPr>
      <w:r>
        <w:rPr>
          <w:b/>
          <w:color w:val="003CA0"/>
          <w:sz w:val="16"/>
        </w:rPr>
        <w:t>[RE 970.821, rel. min. Edson Fachin, j. 11-5-2021, P, DJE de 19-8-2021, Tema 517, com mérito julgado.]</w:t>
      </w:r>
    </w:p>
    <w:p>
      <w:pPr>
        <w:ind w:left="288"/>
      </w:pPr>
      <w:r>
        <w:rPr>
          <w:color w:val="8C8C8C"/>
          <w:sz w:val="12"/>
        </w:rPr>
        <w:t>cf-art-146-inc-III-ali-c</w:t>
      </w:r>
      <w:r>
        <w:rPr>
          <w:color w:val="003CA0"/>
          <w:sz w:val="12"/>
        </w:rPr>
        <w:t xml:space="preserve"> | RE 1.287.019</w:t>
      </w:r>
    </w:p>
    <w:p>
      <w:pPr>
        <w:ind w:left="288"/>
      </w:pPr>
      <w:r>
        <w:rPr>
          <w:color w:val="1E1E1E"/>
          <w:sz w:val="18"/>
        </w:rPr>
        <w:t>A EC 87/15 criou nova relação jurídico-tributária entre o remetente do bem ou serviço (contribuinte) e o estado de destino nas operações com bens e serviços destinados a consumidor final não contribuinte do ICMS. O imposto incidente nessas operações e prestações, que antes era devido totalmente ao estado de origem, passou a ser dividido entre dois sujeitos ativos, cabendo ao estado de origem o ICMS calculado com base na alíquota interestadual e ao estado de destino, o diferencial entre a alíquota interestadual e sua alíquota interna. Convênio interestadual não pode suprir a ausência de lei com</w:t>
      </w:r>
    </w:p>
    <w:p>
      <w:pPr>
        <w:ind w:left="288"/>
      </w:pPr>
      <w:r>
        <w:rPr>
          <w:b/>
          <w:color w:val="003CA0"/>
          <w:sz w:val="16"/>
        </w:rPr>
        <w:t>[RE 1.287.019, red. do ac. min. Dias Toffoli, j. 24-2-2021, P, DJE de 25-5-2021, Tema 1.093, com mérito julgado.]</w:t>
      </w:r>
    </w:p>
    <w:p>
      <w:pPr>
        <w:ind w:left="288"/>
      </w:pPr>
      <w:r>
        <w:rPr>
          <w:color w:val="8C8C8C"/>
          <w:sz w:val="12"/>
        </w:rPr>
        <w:t>cf-art-146-inc-III-ali-c</w:t>
      </w:r>
      <w:r>
        <w:rPr>
          <w:color w:val="003CA0"/>
          <w:sz w:val="12"/>
        </w:rPr>
        <w:t xml:space="preserve"> | RE 1.119.021</w:t>
      </w:r>
      <w:r>
        <w:rPr>
          <w:color w:val="003CA0"/>
          <w:sz w:val="12"/>
        </w:rPr>
        <w:t xml:space="preserve"> | rel. Marco Aurélio</w:t>
      </w:r>
    </w:p>
    <w:p>
      <w:pPr>
        <w:ind w:left="288"/>
      </w:pPr>
      <w:r>
        <w:rPr>
          <w:color w:val="1E1E1E"/>
          <w:sz w:val="18"/>
        </w:rPr>
        <w:t>É constitucional a restrição, imposta a empresa optante pelo Simples Nacional, ao benefício fiscal de alíquota zero previsto no parágrafo único do artigo 2º da Lei nº 10.147/2000, tendo em conta o regime próprio ao qual submetida.</w:t>
        <w:br/>
        <w:t>[RE 1.119.021, rel. min. Marco Aurélio, j. 8-9-2020, P, DJE de 26-10-2020, Tema 1.050, com mérito julgado.] O Simples Nacional surgiu da premente necessidade de se fazer com que o sistema tributário nacional concretizasse as diretrizes constitucionais do favorecimento às microempresas e às empresas de pequeno porte. A LC 123, de 14-12-2006, em consonância com as dire</w:t>
      </w:r>
    </w:p>
    <w:p>
      <w:pPr>
        <w:ind w:left="288"/>
      </w:pPr>
      <w:r>
        <w:rPr>
          <w:color w:val="8C8C8C"/>
          <w:sz w:val="12"/>
        </w:rPr>
        <w:t>cf-art-146-par-1-inc-II</w:t>
      </w:r>
    </w:p>
    <w:p>
      <w:pPr>
        <w:ind w:left="288"/>
      </w:pPr>
      <w:r>
        <w:rPr>
          <w:color w:val="1E1E1E"/>
          <w:sz w:val="18"/>
        </w:rPr>
        <w:t>III - o recolhimento será unificado e centralizado e a distribuição da parcela de recursos pertencentes aos respectivos entes federados será imediata, vedada qualquer retenção ou condicionamento; (Incluído pela EC 42/2003)</w:t>
      </w:r>
    </w:p>
    <w:p>
      <w:pPr>
        <w:ind w:left="288"/>
      </w:pPr>
      <w:r>
        <w:rPr>
          <w:color w:val="8C8C8C"/>
          <w:sz w:val="12"/>
        </w:rPr>
        <w:t>cf-art-146-par-1-inc-IV</w:t>
      </w:r>
    </w:p>
    <w:p>
      <w:pPr>
        <w:ind w:left="288"/>
      </w:pPr>
      <w:r>
        <w:rPr>
          <w:color w:val="1E1E1E"/>
          <w:sz w:val="18"/>
        </w:rPr>
        <w:t>Art. 146-A. Lei complementar poderá estabelecer critérios especiais de tributação, com o objetivo de prevenir desequilíbrios da concorrência, sem prejuízo da competência de a União, por lei, estabelecer normas de igual objetivo. (Incluído pela EC 42/2003)</w:t>
      </w:r>
    </w:p>
    <w:p>
      <w:pPr>
        <w:ind w:left="144"/>
      </w:pPr>
      <w:r>
        <w:rPr>
          <w:b/>
          <w:color w:val="B45A00"/>
          <w:sz w:val="16"/>
        </w:rPr>
        <w:t>JULGADOS CORRELATOS</w:t>
      </w:r>
    </w:p>
    <w:p>
      <w:pPr>
        <w:ind w:left="288"/>
      </w:pPr>
      <w:r>
        <w:rPr>
          <w:color w:val="8C8C8C"/>
          <w:sz w:val="12"/>
        </w:rPr>
        <w:t>cf-art-146-par-1-inc-IV</w:t>
      </w:r>
      <w:r>
        <w:rPr>
          <w:color w:val="003CA0"/>
          <w:sz w:val="12"/>
        </w:rPr>
        <w:t xml:space="preserve"> | AC 1.657</w:t>
      </w:r>
    </w:p>
    <w:p>
      <w:pPr>
        <w:ind w:left="288"/>
      </w:pPr>
      <w:r>
        <w:rPr>
          <w:color w:val="1E1E1E"/>
          <w:sz w:val="18"/>
        </w:rPr>
        <w:t>American Virginia Indústria e Comércio Importação Exportação Ltda. pretende obter efeito suspensivo para recurso extraordinário admitido na origem no qual se opõe a interdição de estabelecimentos seus, decorrente do cancelamento do registro especial para industrialização de cigarros, por descumprimento de obrigações tributárias. (...) Não há impedimento a que norma tributária, posta regularmente, hospede funções voltadas para o campo da defesa da liberdade de competição no mercado, sobretudo após a previsão textual do art. 146-A da CF. Como observa Misabel de Abreu Machado Derzi, "o cresciment</w:t>
      </w:r>
    </w:p>
    <w:p>
      <w:pPr>
        <w:ind w:left="288"/>
      </w:pPr>
      <w:r>
        <w:rPr>
          <w:b/>
          <w:color w:val="003CA0"/>
          <w:sz w:val="16"/>
        </w:rPr>
        <w:t>[AC 1.657 MC, voto do red. do ac. min. Cezar Peluso, j. 27-6-2007, P, DJ de 31-8-2007.]</w:t>
      </w:r>
    </w:p>
    <w:p>
      <w:pPr>
        <w:ind w:left="720"/>
      </w:pPr>
      <w:r>
        <w:rPr>
          <w:color w:val="003366"/>
          <w:sz w:val="18"/>
        </w:rPr>
        <w:t>I – dispor sobre conflitos de competência, em matéria tributária, entre a União,</w:t>
      </w:r>
    </w:p>
    <w:p>
      <w:pPr>
        <w:ind w:left="720"/>
      </w:pPr>
      <w:r>
        <w:rPr>
          <w:color w:val="003366"/>
          <w:sz w:val="18"/>
        </w:rPr>
        <w:t>II – regular as limitações constitucionais ao poder de tributar;</w:t>
      </w:r>
    </w:p>
    <w:p>
      <w:pPr>
        <w:ind w:left="720"/>
      </w:pPr>
      <w:r>
        <w:rPr>
          <w:color w:val="003366"/>
          <w:sz w:val="18"/>
        </w:rPr>
        <w:t>III – estabelecer normas gerais em matéria de legislação tributária, especialmen</w:t>
      </w:r>
    </w:p>
    <w:p>
      <w:pPr>
        <w:ind w:left="1008"/>
      </w:pPr>
      <w:r>
        <w:rPr>
          <w:color w:val="003366"/>
          <w:sz w:val="18"/>
        </w:rPr>
        <w:t>a) definição de tributos e de suas espécies, bem como, em relação aos impostos d</w:t>
      </w:r>
    </w:p>
    <w:p>
      <w:pPr>
        <w:ind w:left="1008"/>
      </w:pPr>
      <w:r>
        <w:rPr>
          <w:color w:val="003366"/>
          <w:sz w:val="18"/>
        </w:rPr>
        <w:t>b) obrigação, lançamento, crédito, prescrição e decadência tributários;</w:t>
      </w:r>
    </w:p>
    <w:p>
      <w:pPr>
        <w:ind w:left="1008"/>
      </w:pPr>
      <w:r>
        <w:rPr>
          <w:color w:val="003366"/>
          <w:sz w:val="18"/>
        </w:rPr>
        <w:t xml:space="preserve">c) adequado tratamento tributário ao ato cooperativo praticado pelas sociedades </w:t>
      </w:r>
    </w:p>
    <w:p>
      <w:pPr>
        <w:ind w:left="1008"/>
      </w:pPr>
      <w:r>
        <w:rPr>
          <w:color w:val="003366"/>
          <w:sz w:val="18"/>
        </w:rPr>
        <w:t>d) definição de tratamento diferenciado e favorecido para as microempresas e par</w:t>
      </w:r>
    </w:p>
    <w:p>
      <w:pPr>
        <w:ind w:left="432"/>
      </w:pPr>
      <w:r>
        <w:rPr>
          <w:color w:val="003366"/>
          <w:sz w:val="18"/>
        </w:rPr>
        <w:t xml:space="preserve">§ 1 A lei complementar de que trata o inciso III, d, também poderá instituir um </w:t>
      </w:r>
    </w:p>
    <w:p>
      <w:pPr>
        <w:ind w:left="720"/>
      </w:pPr>
      <w:r>
        <w:rPr>
          <w:color w:val="003366"/>
          <w:sz w:val="18"/>
        </w:rPr>
        <w:t>I – será opcional para o contribuinte; (Incluído pela Emenda Constitucional nº 1</w:t>
      </w:r>
    </w:p>
    <w:p>
      <w:pPr>
        <w:ind w:left="720"/>
      </w:pPr>
      <w:r>
        <w:rPr>
          <w:color w:val="003366"/>
          <w:sz w:val="18"/>
        </w:rPr>
        <w:t>II – poderão ser estabelecidas condições de enquadramento diferenciadas por Esta</w:t>
      </w:r>
    </w:p>
    <w:p>
      <w:pPr>
        <w:ind w:left="720"/>
      </w:pPr>
      <w:r>
        <w:rPr>
          <w:color w:val="003366"/>
          <w:sz w:val="18"/>
        </w:rPr>
        <w:t>III – o recolhimento será unificado e centralizado e a distribuição da parcela d</w:t>
      </w:r>
    </w:p>
    <w:p>
      <w:pPr>
        <w:ind w:left="720"/>
      </w:pPr>
      <w:r>
        <w:rPr>
          <w:color w:val="003366"/>
          <w:sz w:val="18"/>
        </w:rPr>
        <w:t>IV – a arrecadação, a fiscalização e a cobrança poderão ser compartilhadas pelos</w:t>
      </w:r>
    </w:p>
    <w:p>
      <w:pPr>
        <w:ind w:left="432"/>
      </w:pPr>
      <w:r>
        <w:rPr>
          <w:color w:val="003366"/>
          <w:sz w:val="18"/>
        </w:rPr>
        <w:t>§ 2 É facultado ao optante pelo regime único de que trata o § 1º apurar e recolh</w:t>
      </w:r>
    </w:p>
    <w:p>
      <w:pPr>
        <w:ind w:left="432"/>
      </w:pPr>
      <w:r>
        <w:rPr>
          <w:color w:val="003366"/>
          <w:sz w:val="18"/>
        </w:rPr>
        <w:t xml:space="preserve">§ 3 Na hipótese de o recolhimento dos tributos previstos nos arts. 156-A e 195, </w:t>
      </w:r>
    </w:p>
    <w:p>
      <w:pPr>
        <w:ind w:left="720"/>
      </w:pPr>
      <w:r>
        <w:rPr>
          <w:color w:val="003366"/>
          <w:sz w:val="18"/>
        </w:rPr>
        <w:t>I – não será permitida a apropriação de créditos dos tributos previstos nos arts</w:t>
      </w:r>
    </w:p>
    <w:p>
      <w:pPr>
        <w:ind w:left="720"/>
      </w:pPr>
      <w:r>
        <w:rPr>
          <w:color w:val="003366"/>
          <w:sz w:val="18"/>
        </w:rPr>
        <w:t>II – será permitida a apropriação de créditos dos tributos previstos nos arts. 1</w:t>
      </w:r>
    </w:p>
    <w:p>
      <w:r>
        <w:rPr>
          <w:b/>
          <w:color w:val="003366"/>
          <w:sz w:val="20"/>
        </w:rPr>
        <w:t>Art. 146 A. Lei complementar poderá estabelecer critérios especiais de tributaçã</w:t>
      </w:r>
      <w:r>
        <w:rPr>
          <w:color w:val="8C8C8C"/>
          <w:sz w:val="14"/>
        </w:rPr>
        <w:t xml:space="preserve">  [48 decisoes]</w:t>
      </w:r>
    </w:p>
    <w:p>
      <w:pPr>
        <w:ind w:left="144"/>
      </w:pPr>
      <w:r>
        <w:rPr>
          <w:b/>
          <w:color w:val="B45A00"/>
          <w:sz w:val="16"/>
        </w:rPr>
        <w:t>CONTROLE CONCENTRADO</w:t>
      </w:r>
    </w:p>
    <w:p>
      <w:pPr>
        <w:ind w:left="288"/>
      </w:pPr>
      <w:r>
        <w:rPr>
          <w:color w:val="8C8C8C"/>
          <w:sz w:val="12"/>
        </w:rPr>
        <w:t>cf-art-146-inc-I</w:t>
      </w:r>
      <w:r>
        <w:rPr>
          <w:color w:val="003CA0"/>
          <w:sz w:val="12"/>
        </w:rPr>
        <w:t xml:space="preserve"> | ADPF 499</w:t>
      </w:r>
      <w:r>
        <w:rPr>
          <w:color w:val="003CA0"/>
          <w:sz w:val="12"/>
        </w:rPr>
        <w:t xml:space="preserve"> | rel. Alexandre Moraes</w:t>
      </w:r>
    </w:p>
    <w:p>
      <w:pPr>
        <w:ind w:left="288"/>
      </w:pPr>
      <w:r>
        <w:rPr>
          <w:color w:val="1E1E1E"/>
          <w:sz w:val="18"/>
        </w:rPr>
        <w:t>A Lei Complementar 157/2016, na parte em que alterou o art. 3º, incisos XXIII, XXIV e XXV, e os parágrafos 3º e 4º do art. 6º da Lei Complementar 116/2003, prevê a incidência do ISSQN no local do domicílio do tomador de serviços. Superveniência da Lei Complementar 175/2020, presente a continuidade normativa. (...) Alterações promovidas pela Lei Complementar 157/2016. Medida Cautelar deferida por ausência de segurança jurídica. Superveniência da Lei Complementar 175/2020. Inexistência de avanço na densidade normativa, persistindo ausência de clareza na definição do domicílio do tomador de servi</w:t>
      </w:r>
    </w:p>
    <w:p>
      <w:pPr>
        <w:ind w:left="288"/>
      </w:pPr>
      <w:r>
        <w:rPr>
          <w:color w:val="8C8C8C"/>
          <w:sz w:val="12"/>
        </w:rPr>
        <w:t>cf-art-146-inc-II</w:t>
      </w:r>
      <w:r>
        <w:rPr>
          <w:color w:val="003CA0"/>
          <w:sz w:val="12"/>
        </w:rPr>
        <w:t xml:space="preserve"> | ADI 2.028</w:t>
      </w:r>
      <w:r>
        <w:rPr>
          <w:color w:val="003CA0"/>
          <w:sz w:val="12"/>
        </w:rPr>
        <w:t xml:space="preserve"> | rel. Dias Toffoli</w:t>
      </w:r>
    </w:p>
    <w:p>
      <w:pPr>
        <w:ind w:left="288"/>
      </w:pPr>
      <w:r>
        <w:rPr>
          <w:color w:val="1E1E1E"/>
          <w:sz w:val="18"/>
        </w:rPr>
        <w:t xml:space="preserve">Imunidade. Art. 150, VI, c, da CF. (...) Com o advento da Constituição de 1988, o constituinte dedicou uma seção específica às "limitações do poder de tributar" (art. 146, II, CF) e nela fez constar a imunidade das instituições de assistência social. Mesmo com a referência expressa ao termo "lei", não há mais como sustentar que inexiste reserva de lei complementar. No que se refere aos impostos, o maior rigor do quórum qualificado para a aprovação dessa importante regulamentação se justifica para se dar maior estabilidade à disciplina do tema e dificultar sua modificação, estabelecendo regras </w:t>
      </w:r>
    </w:p>
    <w:p>
      <w:pPr>
        <w:ind w:left="288"/>
      </w:pPr>
      <w:r>
        <w:rPr>
          <w:b/>
          <w:color w:val="003CA0"/>
          <w:sz w:val="16"/>
        </w:rPr>
        <w:t>[ADI 1.802, rel. min. Dias Toffoli, j. 12-4-2018, P, DJE de 3-5-2018.]</w:t>
      </w:r>
    </w:p>
    <w:p>
      <w:pPr>
        <w:ind w:left="144"/>
      </w:pPr>
      <w:r>
        <w:rPr>
          <w:b/>
          <w:color w:val="B45A00"/>
          <w:sz w:val="16"/>
        </w:rPr>
        <w:t>REPERCUSSAO GERAL</w:t>
      </w:r>
    </w:p>
    <w:p>
      <w:pPr>
        <w:ind w:left="288"/>
      </w:pPr>
      <w:r>
        <w:rPr>
          <w:color w:val="8C8C8C"/>
          <w:sz w:val="12"/>
        </w:rPr>
        <w:t>cf-art-146-inc-II</w:t>
      </w:r>
      <w:r>
        <w:rPr>
          <w:color w:val="003CA0"/>
          <w:sz w:val="12"/>
        </w:rPr>
        <w:t xml:space="preserve"> | RE 566.622</w:t>
      </w:r>
      <w:r>
        <w:rPr>
          <w:color w:val="003CA0"/>
          <w:sz w:val="12"/>
        </w:rPr>
        <w:t xml:space="preserve"> | rel. Marco Aurélio</w:t>
      </w:r>
    </w:p>
    <w:p>
      <w:pPr>
        <w:ind w:left="288"/>
      </w:pPr>
      <w:r>
        <w:rPr>
          <w:color w:val="1E1E1E"/>
          <w:sz w:val="18"/>
        </w:rPr>
        <w:t xml:space="preserve">Aspectos procedimentais referentes à certificação, fiscalização e controle administrativo são passíveis de definição em lei ordinária, somente exigível a lei complementar para a definição do modo beneficente de atuação das entidades de assistência social contempladas no art. 195, § 7º, da Lei Maior, especialmente no que se refere à instituição de contrapartidas a serem por elas observadas. “A lei complementar é forma exigível para a definição do modo beneficente de atuação das entidades de assistência social contempladas pelo art. 195, § 7º, da CF, especialmente no que se refere à instituição </w:t>
      </w:r>
    </w:p>
    <w:p>
      <w:pPr>
        <w:ind w:left="288"/>
      </w:pPr>
      <w:r>
        <w:rPr>
          <w:b/>
          <w:color w:val="003CA0"/>
          <w:sz w:val="16"/>
        </w:rPr>
        <w:t xml:space="preserve">[RE 566.622 ED, red. do ac. min. Rosa Weber, j. 18-12-2019, P, DJE de 11-5-2020, Tema 32, com mérito julgado.] </w:t>
        <w:br/>
        <w:t>Vide RE 566.622, rel. min. Marco Aurélio, j. 23-2-2017, P, DJE de 1º-3-2017, Tema 32, com mérito julgado</w:t>
      </w:r>
    </w:p>
    <w:p>
      <w:pPr>
        <w:ind w:left="288"/>
      </w:pPr>
      <w:r>
        <w:rPr>
          <w:color w:val="8C8C8C"/>
          <w:sz w:val="12"/>
        </w:rPr>
        <w:t>cf-art-146-inc-II</w:t>
      </w:r>
      <w:r>
        <w:rPr>
          <w:color w:val="003CA0"/>
          <w:sz w:val="12"/>
        </w:rPr>
        <w:t xml:space="preserve"> | RE 566.622</w:t>
      </w:r>
    </w:p>
    <w:p>
      <w:pPr>
        <w:ind w:left="288"/>
      </w:pPr>
      <w:r>
        <w:rPr>
          <w:color w:val="1E1E1E"/>
          <w:sz w:val="18"/>
        </w:rPr>
        <w:t>Os requisitos legais exigidos na parte final do mencionado § 7º, enquanto não editada nova lei complementar sobre a matéria, são somente aqueles do aludido art. 14 do Código.</w:t>
      </w:r>
    </w:p>
    <w:p>
      <w:pPr>
        <w:ind w:left="288"/>
      </w:pPr>
      <w:r>
        <w:rPr>
          <w:b/>
          <w:color w:val="003CA0"/>
          <w:sz w:val="16"/>
        </w:rPr>
        <w:t>[RE 566.622, voto do min. Marco Aurélio, j. 23-2-2017, P, DJE de 1º-3-2017, Tema 32, com mérito julgado.]</w:t>
      </w:r>
    </w:p>
    <w:p>
      <w:pPr>
        <w:ind w:left="288"/>
      </w:pPr>
      <w:r>
        <w:rPr>
          <w:color w:val="8C8C8C"/>
          <w:sz w:val="12"/>
        </w:rPr>
        <w:t>cf-art-146-inc-II</w:t>
      </w:r>
      <w:r>
        <w:rPr>
          <w:color w:val="003CA0"/>
          <w:sz w:val="12"/>
        </w:rPr>
        <w:t xml:space="preserve"> | RE 636.941</w:t>
      </w:r>
      <w:r>
        <w:rPr>
          <w:color w:val="003CA0"/>
          <w:sz w:val="12"/>
        </w:rPr>
        <w:t xml:space="preserve"> | rel. Luiz Fux</w:t>
      </w:r>
    </w:p>
    <w:p>
      <w:pPr>
        <w:ind w:left="288"/>
      </w:pPr>
      <w:r>
        <w:rPr>
          <w:color w:val="1E1E1E"/>
          <w:sz w:val="18"/>
        </w:rPr>
        <w:t>Vide RE 636.941, rel. min. Luiz Fux, j. 13-2-2014, P, DJE de 4-4-2014, Tema 432, com mérito julgado (...) somente se exige lei complementar para a definição dos seus limites objetivos (materiais), e não para a fixação das normas de constituição e de funcionamento das entidades imunes (aspectos formais ou subjetivos), os quais podem ser veiculados por lei ordinária, como sói ocorrer com o art. 55 da Lei 8.212/1991, que pode estabelecer requisitos formais para o gozo da imunidade sem caracterizar ofensa ao art. 146, II, da CF, ex vi dos incisos I e II (...).</w:t>
      </w:r>
    </w:p>
    <w:p>
      <w:pPr>
        <w:ind w:left="288"/>
      </w:pPr>
      <w:r>
        <w:rPr>
          <w:b/>
          <w:color w:val="003CA0"/>
          <w:sz w:val="16"/>
        </w:rPr>
        <w:t>[RE 636.941, rel. min. Luiz Fux, j. 13-2-2014, P, DJE de 4-4-2014, Tema 432, com mérito julgado.]</w:t>
        <w:br/>
        <w:t>Vide RE 566.622, rel. min. Marco Aurélio, j. 23-2-2017, P, DJE de 1º-3-2017, Tema 32, com mérito julgado</w:t>
      </w:r>
    </w:p>
    <w:p>
      <w:pPr>
        <w:ind w:left="288"/>
      </w:pPr>
      <w:r>
        <w:rPr>
          <w:color w:val="8C8C8C"/>
          <w:sz w:val="12"/>
        </w:rPr>
        <w:t>cf-art-146-inc-III</w:t>
      </w:r>
      <w:r>
        <w:rPr>
          <w:color w:val="003CA0"/>
          <w:sz w:val="12"/>
        </w:rPr>
        <w:t xml:space="preserve"> | ADI 3.270</w:t>
      </w:r>
      <w:r>
        <w:rPr>
          <w:color w:val="003CA0"/>
          <w:sz w:val="12"/>
        </w:rPr>
        <w:t xml:space="preserve"> | rel. Nunes Marques</w:t>
      </w:r>
    </w:p>
    <w:p>
      <w:pPr>
        <w:ind w:left="288"/>
      </w:pPr>
      <w:r>
        <w:rPr>
          <w:color w:val="1E1E1E"/>
          <w:sz w:val="18"/>
        </w:rPr>
        <w:t>A Lei federal n. 9.532/1997, ao prever a obrigatoriedade do uso de equipamento ECF, criou obrigação acessória com o intuito de atualizar meio de emissão de documentário fiscal e, assim, estancar a evasão de tributos federais por meio do expediente chamado “omissão de vendas”, cuja ocorrência era verificada em estabelecimentos varejistas e prestadores de serviços, de modo que não há falar em violação à competência dos demais entes federados. Nos termos do art. 146, III, da CF/1988, cabe à lei complementar estabelecer normas gerais em matéria de legislação tributária. O Código Tributário Naciona</w:t>
      </w:r>
    </w:p>
    <w:p>
      <w:pPr>
        <w:ind w:left="288"/>
      </w:pPr>
      <w:r>
        <w:rPr>
          <w:b/>
          <w:color w:val="003CA0"/>
          <w:sz w:val="16"/>
        </w:rPr>
        <w:t>[ADI 3.270, rel. min. Nunes Marques, j. 05.03.2025, P, DJE de 21.03.2025.]</w:t>
      </w:r>
    </w:p>
    <w:p>
      <w:pPr>
        <w:ind w:left="288"/>
      </w:pPr>
      <w:r>
        <w:rPr>
          <w:color w:val="8C8C8C"/>
          <w:sz w:val="12"/>
        </w:rPr>
        <w:t>cf-art-146-inc-III</w:t>
      </w:r>
      <w:r>
        <w:rPr>
          <w:color w:val="003CA0"/>
          <w:sz w:val="12"/>
        </w:rPr>
        <w:t xml:space="preserve"> | ADI 7.616</w:t>
      </w:r>
      <w:r>
        <w:rPr>
          <w:color w:val="003CA0"/>
          <w:sz w:val="12"/>
        </w:rPr>
        <w:t xml:space="preserve"> | rel. Cristiano Zanin</w:t>
      </w:r>
    </w:p>
    <w:p>
      <w:pPr>
        <w:ind w:left="288"/>
      </w:pPr>
      <w:r>
        <w:rPr>
          <w:color w:val="1E1E1E"/>
          <w:sz w:val="18"/>
        </w:rPr>
        <w:t>A introdução de novas hipóteses de responsabilidade de terceiros e de exceções às regras de decadência previstas no Código Tributário Nacional (CTN) deve observância à reserva de lei complementar (art. 146, III, da Constituição), o que enseja a inconstitucionalidade dos artigos 29, I, “a” e “b.1” e 143, § 1º da Lei Estadual 18.665/2023. A norma que estabelece critérios, com característica de generalidade, para a desconsideração de atos e negócios jurídicos autorizada no parágrafo único do art. 116 do CTN, tal qual se fez nos §§ 1º e 2º do art. 130 da lei impugnada, impacta diretamente a config</w:t>
      </w:r>
    </w:p>
    <w:p>
      <w:pPr>
        <w:ind w:left="288"/>
      </w:pPr>
      <w:r>
        <w:rPr>
          <w:b/>
          <w:color w:val="003CA0"/>
          <w:sz w:val="16"/>
        </w:rPr>
        <w:t>[ADI 7.616, rel. min. Cristiano Zanin, j. 17.02.2025, P, DJE de 21.02.2025.]</w:t>
      </w:r>
    </w:p>
    <w:p>
      <w:pPr>
        <w:ind w:left="288"/>
      </w:pPr>
      <w:r>
        <w:rPr>
          <w:color w:val="8C8C8C"/>
          <w:sz w:val="12"/>
        </w:rPr>
        <w:t>cf-art-146-inc-III</w:t>
      </w:r>
      <w:r>
        <w:rPr>
          <w:color w:val="003CA0"/>
          <w:sz w:val="12"/>
        </w:rPr>
        <w:t xml:space="preserve"> | ADI 5.431</w:t>
      </w:r>
      <w:r>
        <w:rPr>
          <w:color w:val="003CA0"/>
          <w:sz w:val="12"/>
        </w:rPr>
        <w:t xml:space="preserve"> | rel. Gilmar Mendes</w:t>
      </w:r>
    </w:p>
    <w:p>
      <w:pPr>
        <w:ind w:left="288"/>
      </w:pPr>
      <w:r>
        <w:rPr>
          <w:color w:val="1E1E1E"/>
          <w:sz w:val="18"/>
        </w:rPr>
        <w:t>Responsabilidade solidária do representante, no país, do transportador estrangeiro pelo recolhimento do imposto de importação. (...) parágrafo único do art. 32 do Decreto-Lei 37/1966, com a redação conferida pelo art. 77 da Medida Provisória 2.158-35/2001. (...) O dispositivo impugnado não afastou afrontou a regra insculpida no art. 146, inciso III, do texto constitucional, eis que não dispôs sobre normas gerais em matéria de legislação tributária, mas apenas instituiu nova hipótese de responsabilidade solidária em harmonia com as disposições gerais previstas pelo Código Tributário Nacional (C</w:t>
      </w:r>
    </w:p>
    <w:p>
      <w:pPr>
        <w:ind w:left="288"/>
      </w:pPr>
      <w:r>
        <w:rPr>
          <w:b/>
          <w:color w:val="003CA0"/>
          <w:sz w:val="16"/>
        </w:rPr>
        <w:t>[ADI 5.431, rel. min. Gilmar Mendes, j. 02.12.2024, P, DJE de 06.12.2024.]</w:t>
      </w:r>
    </w:p>
    <w:p>
      <w:pPr>
        <w:ind w:left="288"/>
      </w:pPr>
      <w:r>
        <w:rPr>
          <w:color w:val="8C8C8C"/>
          <w:sz w:val="12"/>
        </w:rPr>
        <w:t>cf-art-146-inc-III</w:t>
      </w:r>
      <w:r>
        <w:rPr>
          <w:color w:val="003CA0"/>
          <w:sz w:val="12"/>
        </w:rPr>
        <w:t xml:space="preserve"> | ADI 1.945</w:t>
      </w:r>
      <w:r>
        <w:rPr>
          <w:color w:val="003CA0"/>
          <w:sz w:val="12"/>
        </w:rPr>
        <w:t xml:space="preserve"> | rel. Dias Toffoli</w:t>
      </w:r>
    </w:p>
    <w:p>
      <w:pPr>
        <w:ind w:left="288"/>
      </w:pPr>
      <w:r>
        <w:rPr>
          <w:color w:val="1E1E1E"/>
          <w:sz w:val="18"/>
        </w:rPr>
        <w:t>Ação direta de inconstitucionalidade. Direito tributário. ICMS. Lei estadual 7.098, de 30-12-1998, do Estado de Mato Grosso. Inconstitucionalidade formal. Matéria reservada à disciplina de lei complementar. Inexistência. Lei complementar federal (não estadual) é a exigida pela Constituição (arts. 146, III, e 155, § 2º, XII) como elo indispensável entre os princípios nela contidos e as normas de direito local.</w:t>
        <w:br/>
        <w:t>[ADI 1.945 MC, red. do ac. min. Gilmar Mendes, j. 26-5-2010, P, DJE de 14-3-2011.]</w:t>
        <w:br/>
        <w:t>= RE 578.582 AgR, rel. min. Dias Toffoli, j. 27-11-2012, 1ª T, DJE de 19-12-2012 O eminente ministro Mar</w:t>
      </w:r>
    </w:p>
    <w:p>
      <w:pPr>
        <w:ind w:left="288"/>
      </w:pPr>
      <w:r>
        <w:rPr>
          <w:b/>
          <w:color w:val="003CA0"/>
          <w:sz w:val="16"/>
        </w:rPr>
        <w:t>[ADI 1.917, voto do min. Ricardo Lewandowski, j. 26-4-2007, P, DJ de 24-8-2007.]</w:t>
      </w:r>
    </w:p>
    <w:p>
      <w:pPr>
        <w:ind w:left="288"/>
      </w:pPr>
      <w:r>
        <w:rPr>
          <w:color w:val="8C8C8C"/>
          <w:sz w:val="12"/>
        </w:rPr>
        <w:t>cf-art-146-inc-III</w:t>
      </w:r>
      <w:r>
        <w:rPr>
          <w:color w:val="003CA0"/>
          <w:sz w:val="12"/>
        </w:rPr>
        <w:t xml:space="preserve"> | RE 736.090</w:t>
      </w:r>
      <w:r>
        <w:rPr>
          <w:color w:val="003CA0"/>
          <w:sz w:val="12"/>
        </w:rPr>
        <w:t xml:space="preserve"> | rel. Dias Toffoli</w:t>
      </w:r>
    </w:p>
    <w:p>
      <w:pPr>
        <w:ind w:left="288"/>
      </w:pPr>
      <w:r>
        <w:rPr>
          <w:color w:val="1E1E1E"/>
          <w:sz w:val="18"/>
        </w:rPr>
        <w:t>“Até que seja editada lei complementar federal sobre a matéria, a multa tributária qualificada em razão de sonegação, fraude ou conluio limita-se a 100% (cem por cento) do débito tributário, podendo ser de até 150% (cento e cinquenta por cento) do débito tributário, caso se verifique a reincidência definida no art. 44, § 1º-A, da Lei nº 9.430/96, incluído pela Lei nº 14.689/23, observando-se, ainda, o disposto no § 1º-C do citado artigo”.</w:t>
        <w:br/>
        <w:t xml:space="preserve">[RE 736.090, rel. min. Dias Toffoli, j. 03.10.2024, P, DJE de 29.11.2024, Tema 863, com mérito julgado.] Ao vincular à simples condição de sócio a obrigação </w:t>
      </w:r>
    </w:p>
    <w:p>
      <w:pPr>
        <w:ind w:left="144"/>
      </w:pPr>
      <w:r>
        <w:rPr>
          <w:b/>
          <w:color w:val="B45A00"/>
          <w:sz w:val="16"/>
        </w:rPr>
        <w:t>JULGADOS CORRELATOS</w:t>
      </w:r>
    </w:p>
    <w:p>
      <w:pPr>
        <w:ind w:left="288"/>
      </w:pPr>
      <w:r>
        <w:rPr>
          <w:color w:val="8C8C8C"/>
          <w:sz w:val="12"/>
        </w:rPr>
        <w:t>cf-art-146-inc-III</w:t>
      </w:r>
      <w:r>
        <w:rPr>
          <w:color w:val="003CA0"/>
          <w:sz w:val="12"/>
        </w:rPr>
        <w:t xml:space="preserve"> | RE 433.352</w:t>
      </w:r>
      <w:r>
        <w:rPr>
          <w:color w:val="003CA0"/>
          <w:sz w:val="12"/>
        </w:rPr>
        <w:t xml:space="preserve"> | rel. Joaquim Barbosa</w:t>
      </w:r>
    </w:p>
    <w:p>
      <w:pPr>
        <w:ind w:left="288"/>
      </w:pPr>
      <w:r>
        <w:rPr>
          <w:color w:val="1E1E1E"/>
          <w:sz w:val="18"/>
        </w:rPr>
        <w:t>A observância de normas gerais em matéria tributária é imperativo de segurança jurídica, na medida em que é necessário assegurar tratamento centralizado a alguns temas para que seja possível estabilizar legitimamente expectativas. Neste contexto, "gerais" não significa "genéricas", mas sim "aptas a vincular todos os entes federados e os administrados”.</w:t>
      </w:r>
    </w:p>
    <w:p>
      <w:pPr>
        <w:ind w:left="288"/>
      </w:pPr>
      <w:r>
        <w:rPr>
          <w:b/>
          <w:color w:val="003CA0"/>
          <w:sz w:val="16"/>
        </w:rPr>
        <w:t>[RE 433.352 AgR, rel. min. Joaquim Barbosa, j. 20-4-2010, 2ª T, DJE de 28-5-2010.]</w:t>
      </w:r>
    </w:p>
    <w:p>
      <w:pPr>
        <w:ind w:left="288"/>
      </w:pPr>
      <w:r>
        <w:rPr>
          <w:color w:val="8C8C8C"/>
          <w:sz w:val="12"/>
        </w:rPr>
        <w:t>cf-art-146-inc-III</w:t>
      </w:r>
      <w:r>
        <w:rPr>
          <w:color w:val="003CA0"/>
          <w:sz w:val="12"/>
        </w:rPr>
        <w:t xml:space="preserve"> | RE 228.339</w:t>
      </w:r>
      <w:r>
        <w:rPr>
          <w:color w:val="003CA0"/>
          <w:sz w:val="12"/>
        </w:rPr>
        <w:t xml:space="preserve"> | rel. Joaquim Barbosa</w:t>
      </w:r>
    </w:p>
    <w:p>
      <w:pPr>
        <w:ind w:left="288"/>
      </w:pPr>
      <w:r>
        <w:rPr>
          <w:color w:val="1E1E1E"/>
          <w:sz w:val="18"/>
        </w:rPr>
        <w:t>Conflito entre legislação local e lei complementar de normas gerais em matéria tributária. (...) Nem toda contraposição entre lei ordinária e lei complementar se resolve no plano constitucional. Entre outras hipóteses, a discussão será de alçada constitucional se o ponto a ser resolvido, direta ou incidentalmente, referir-se à existência ou inexistência de reserva de lei complementar para instituir o tributo ou estabelecer normas gerais em matéria tributária, pois é a Constituição que estabelece os campos materiais para o rito de processo legislativo adequado.</w:t>
      </w:r>
    </w:p>
    <w:p>
      <w:pPr>
        <w:ind w:left="288"/>
      </w:pPr>
      <w:r>
        <w:rPr>
          <w:b/>
          <w:color w:val="003CA0"/>
          <w:sz w:val="16"/>
        </w:rPr>
        <w:t>[RE 228.339 AgR, rel. min. Joaquim Barbosa, j. 20-4-2010, 2ª T, DJE de 28-5-2010.]</w:t>
      </w:r>
    </w:p>
    <w:p>
      <w:pPr>
        <w:ind w:left="288"/>
      </w:pPr>
      <w:r>
        <w:rPr>
          <w:color w:val="8C8C8C"/>
          <w:sz w:val="12"/>
        </w:rPr>
        <w:t>cf-art-146-inc-III</w:t>
      </w:r>
      <w:r>
        <w:rPr>
          <w:color w:val="003CA0"/>
          <w:sz w:val="12"/>
        </w:rPr>
        <w:t xml:space="preserve"> | SS 3.679</w:t>
      </w:r>
      <w:r>
        <w:rPr>
          <w:color w:val="003CA0"/>
          <w:sz w:val="12"/>
        </w:rPr>
        <w:t xml:space="preserve"> | rel. Gilmar Mendes</w:t>
      </w:r>
    </w:p>
    <w:p>
      <w:pPr>
        <w:ind w:left="288"/>
      </w:pPr>
      <w:r>
        <w:rPr>
          <w:color w:val="1E1E1E"/>
          <w:sz w:val="18"/>
        </w:rPr>
        <w:t>Os institutos da imunidade e da isenção tributária não se confundem. É perfeitamente possível ao Estado conceder, mediante lei, isenção de tributo de sua competência, visto que está atuando nos limites de sua autonomia. Enquanto não editada a lei a que se refere o § 21 do art. 40 da CF/1988, vigem os diplomas estaduais que regem a matéria, que só serão suspensos se, e no que, forem contrários à lei complementar nacional (CF, art. 24, §§ 3º e 4º).</w:t>
      </w:r>
    </w:p>
    <w:p>
      <w:pPr>
        <w:ind w:left="288"/>
      </w:pPr>
      <w:r>
        <w:rPr>
          <w:b/>
          <w:color w:val="003CA0"/>
          <w:sz w:val="16"/>
        </w:rPr>
        <w:t>[SS 3.679 AgR, rel. min. Gilmar Mendes, j. 4-2-2010, P, DJE de 26-2-2010.]</w:t>
      </w:r>
    </w:p>
    <w:p>
      <w:pPr>
        <w:ind w:left="288"/>
      </w:pPr>
      <w:r>
        <w:rPr>
          <w:color w:val="8C8C8C"/>
          <w:sz w:val="12"/>
        </w:rPr>
        <w:t>cf-art-146-inc-III</w:t>
      </w:r>
      <w:r>
        <w:rPr>
          <w:color w:val="003CA0"/>
          <w:sz w:val="12"/>
        </w:rPr>
        <w:t xml:space="preserve"> | RE 407.190</w:t>
      </w:r>
      <w:r>
        <w:rPr>
          <w:color w:val="003CA0"/>
          <w:sz w:val="12"/>
        </w:rPr>
        <w:t xml:space="preserve"> | rel. Marco Aurélio</w:t>
      </w:r>
    </w:p>
    <w:p>
      <w:pPr>
        <w:ind w:left="288"/>
      </w:pPr>
      <w:r>
        <w:rPr>
          <w:color w:val="1E1E1E"/>
          <w:sz w:val="18"/>
        </w:rPr>
        <w:t>Cumpre à legislação complementar dispor sobre os parâmetros da aplicação da multa, tal como ocorre no art. 106 do CTN. (...) Conflita com a Carta da República – art. 146, III – a expressão "para os fatos geradores ocorridos a partir de 1º de abril de 1997", constante do art. 35 da Lei 8.212/1991, com a redação decorrente da Lei 9.528/1997, ante o envolvimento de matéria cuja disciplina é reservada à lei complementar.</w:t>
      </w:r>
    </w:p>
    <w:p>
      <w:pPr>
        <w:ind w:left="288"/>
      </w:pPr>
      <w:r>
        <w:rPr>
          <w:b/>
          <w:color w:val="003CA0"/>
          <w:sz w:val="16"/>
        </w:rPr>
        <w:t>[RE 407.190, rel. min. Marco Aurélio, j. 27-10-2004, P, DJ de 13-5-2005.]</w:t>
      </w:r>
    </w:p>
    <w:p>
      <w:pPr>
        <w:ind w:left="288"/>
      </w:pPr>
      <w:r>
        <w:rPr>
          <w:color w:val="8C8C8C"/>
          <w:sz w:val="12"/>
        </w:rPr>
        <w:t>cf-art-146-inc-III</w:t>
      </w:r>
      <w:r>
        <w:rPr>
          <w:color w:val="003CA0"/>
          <w:sz w:val="12"/>
        </w:rPr>
        <w:t xml:space="preserve"> | RE 552.403</w:t>
      </w:r>
      <w:r>
        <w:rPr>
          <w:color w:val="003CA0"/>
          <w:sz w:val="12"/>
        </w:rPr>
        <w:t xml:space="preserve"> | rel. Cármen Lúcia</w:t>
      </w:r>
    </w:p>
    <w:p>
      <w:pPr>
        <w:ind w:left="288"/>
      </w:pPr>
      <w:r>
        <w:rPr>
          <w:color w:val="1E1E1E"/>
          <w:sz w:val="18"/>
        </w:rPr>
        <w:t>= RE 552.403 AgR, rel. min. Cármen Lúcia, j. 8-2-2011, 1ª T, DJE de 2-3-2011</w:t>
      </w:r>
    </w:p>
    <w:p>
      <w:pPr>
        <w:ind w:left="144"/>
      </w:pPr>
      <w:r>
        <w:rPr>
          <w:b/>
          <w:color w:val="B45A00"/>
          <w:sz w:val="16"/>
        </w:rPr>
        <w:t>CONTROLE CONCENTRADO</w:t>
      </w:r>
    </w:p>
    <w:p>
      <w:pPr>
        <w:ind w:left="288"/>
      </w:pPr>
      <w:r>
        <w:rPr>
          <w:color w:val="8C8C8C"/>
          <w:sz w:val="12"/>
        </w:rPr>
        <w:t>cf-art-146-inc-III-ali-a</w:t>
      </w:r>
      <w:r>
        <w:rPr>
          <w:color w:val="003CA0"/>
          <w:sz w:val="12"/>
        </w:rPr>
        <w:t xml:space="preserve"> | ADI 3.142</w:t>
      </w:r>
      <w:r>
        <w:rPr>
          <w:color w:val="003CA0"/>
          <w:sz w:val="12"/>
        </w:rPr>
        <w:t xml:space="preserve"> | rel. Dias Toffoli</w:t>
      </w:r>
    </w:p>
    <w:p>
      <w:pPr>
        <w:ind w:left="288"/>
      </w:pPr>
      <w:r>
        <w:rPr>
          <w:color w:val="1E1E1E"/>
          <w:sz w:val="18"/>
        </w:rPr>
        <w:t>ISS. Relações mistas ou complexas. (...) O art. 3º, § 1º, da LC 116/03 não viola os princípios da proporcionalidade e da razoabilidade. Ele estabelece que se considera ocorrido o fato gerador e devido o imposto em cada município em cujo território haja extensão de ferrovia, rodovia, postes, cabos, dutos e condutos de qualquer natureza, objetos de locação, sublocação, arrendamento, direito de passagem ou permissão de uso, compartilhado ou não. Existência de unidade econômica, para fins de tributação, em cada uma dessas urbes, ainda que o sujeito passivo não tenha nelas instalado unidade de gere</w:t>
      </w:r>
    </w:p>
    <w:p>
      <w:pPr>
        <w:ind w:left="288"/>
      </w:pPr>
      <w:r>
        <w:rPr>
          <w:b/>
          <w:color w:val="003CA0"/>
          <w:sz w:val="16"/>
        </w:rPr>
        <w:t>[ADI 3.142, rel. min. Dias Toffoli, j. 5-8-2020, P, DJE de 9-10-2020.]</w:t>
      </w:r>
    </w:p>
    <w:p>
      <w:pPr>
        <w:ind w:left="288"/>
      </w:pPr>
      <w:r>
        <w:rPr>
          <w:color w:val="8C8C8C"/>
          <w:sz w:val="12"/>
        </w:rPr>
        <w:t>cf-art-146-inc-III-ali-a</w:t>
      </w:r>
      <w:r>
        <w:rPr>
          <w:color w:val="003CA0"/>
          <w:sz w:val="12"/>
        </w:rPr>
        <w:t xml:space="preserve"> | ADI 3.141</w:t>
      </w:r>
      <w:r>
        <w:rPr>
          <w:color w:val="003CA0"/>
          <w:sz w:val="12"/>
        </w:rPr>
        <w:t xml:space="preserve"> | rel. Roberto Barroso</w:t>
      </w:r>
    </w:p>
    <w:p>
      <w:pPr>
        <w:ind w:left="288"/>
      </w:pPr>
      <w:r>
        <w:rPr>
          <w:color w:val="1E1E1E"/>
          <w:sz w:val="18"/>
        </w:rPr>
        <w:t>Trata-se de ação direta de inconstitucionalidade em que se discute a constitucionalidade da retenção na fonte do Imposto de Renda incidente sobre os rendimentos pagos em cumprimento de decisões da Justiça do Trabalho, da CSLL, da COFINS e da contribuição para o PIS/PASEP. A disciplina da retenção de valores pela fonte pagadora não necessita de lei complementar, não se enquadrando no conceito de fato gerador, base de cálculo, contribuinte de tributos (CF, art. 146, a), ou mesmo obrigação, lançamento, crédito, prescrição e decadência tributários (CF, art. 146, b).</w:t>
      </w:r>
    </w:p>
    <w:p>
      <w:pPr>
        <w:ind w:left="288"/>
      </w:pPr>
      <w:r>
        <w:rPr>
          <w:b/>
          <w:color w:val="003CA0"/>
          <w:sz w:val="16"/>
        </w:rPr>
        <w:t>[ADI 3.141, rel. min. Roberto Barroso, j. 13-12-2018, P, DJE de 8-2-2019.]</w:t>
      </w:r>
    </w:p>
    <w:p>
      <w:pPr>
        <w:ind w:left="144"/>
      </w:pPr>
      <w:r>
        <w:rPr>
          <w:b/>
          <w:color w:val="B45A00"/>
          <w:sz w:val="16"/>
        </w:rPr>
        <w:t>REPERCUSSAO GERAL</w:t>
      </w:r>
    </w:p>
    <w:p>
      <w:pPr>
        <w:ind w:left="288"/>
      </w:pPr>
      <w:r>
        <w:rPr>
          <w:color w:val="8C8C8C"/>
          <w:sz w:val="12"/>
        </w:rPr>
        <w:t>cf-art-146-inc-III-ali-a</w:t>
      </w:r>
      <w:r>
        <w:rPr>
          <w:color w:val="003CA0"/>
          <w:sz w:val="12"/>
        </w:rPr>
        <w:t xml:space="preserve"> | RE 940.769</w:t>
      </w:r>
      <w:r>
        <w:rPr>
          <w:color w:val="003CA0"/>
          <w:sz w:val="12"/>
        </w:rPr>
        <w:t xml:space="preserve"> | rel. Edson Fachin</w:t>
      </w:r>
    </w:p>
    <w:p>
      <w:pPr>
        <w:ind w:left="288"/>
      </w:pPr>
      <w:r>
        <w:rPr>
          <w:color w:val="1E1E1E"/>
          <w:sz w:val="18"/>
        </w:rPr>
        <w:t>É inconstitucional lei municipal que estabelece impeditivos à submissão de sociedades profissionais de advogados ao regime de tributação fixa em bases anuais na forma estabelecida por lei nacional.</w:t>
      </w:r>
    </w:p>
    <w:p>
      <w:pPr>
        <w:ind w:left="288"/>
      </w:pPr>
      <w:r>
        <w:rPr>
          <w:b/>
          <w:color w:val="003CA0"/>
          <w:sz w:val="16"/>
        </w:rPr>
        <w:t>[RE 940.769, rel. min. Edson Fachin, j. 24-4-2019, P, DJE de 12-9-2019, Tema 918, com mérito julgado.]</w:t>
      </w:r>
    </w:p>
    <w:p>
      <w:pPr>
        <w:ind w:left="288"/>
      </w:pPr>
      <w:r>
        <w:rPr>
          <w:color w:val="8C8C8C"/>
          <w:sz w:val="12"/>
        </w:rPr>
        <w:t>cf-art-146-inc-III-ali-a</w:t>
      </w:r>
      <w:r>
        <w:rPr>
          <w:color w:val="003CA0"/>
          <w:sz w:val="12"/>
        </w:rPr>
        <w:t xml:space="preserve"> | RE 567.935</w:t>
      </w:r>
      <w:r>
        <w:rPr>
          <w:color w:val="003CA0"/>
          <w:sz w:val="12"/>
        </w:rPr>
        <w:t xml:space="preserve"> | rel. Marco Aurélio</w:t>
      </w:r>
    </w:p>
    <w:p>
      <w:pPr>
        <w:ind w:left="288"/>
      </w:pPr>
      <w:r>
        <w:rPr>
          <w:color w:val="1E1E1E"/>
          <w:sz w:val="18"/>
        </w:rPr>
        <w:t>Viola o art. 146, III, a, da Carta Federal norma ordinária segundo a qual hão de ser incluídos, na base de cálculo do IPI, os valores relativos a descontos incondicionais concedidos quando das operações de saída de produtos, prevalecendo o disposto na alínea a do inciso II do art. 47 do CTN.</w:t>
      </w:r>
    </w:p>
    <w:p>
      <w:pPr>
        <w:ind w:left="288"/>
      </w:pPr>
      <w:r>
        <w:rPr>
          <w:b/>
          <w:color w:val="003CA0"/>
          <w:sz w:val="16"/>
        </w:rPr>
        <w:t>[RE 567.935, rel. min. Marco Aurélio, j. 4-9-2014, P, DJE de 4-11-2014, Tema 84, com mérito julgado.]</w:t>
      </w:r>
    </w:p>
    <w:p>
      <w:pPr>
        <w:ind w:left="288"/>
      </w:pPr>
      <w:r>
        <w:rPr>
          <w:color w:val="8C8C8C"/>
          <w:sz w:val="12"/>
        </w:rPr>
        <w:t>cf-art-146-inc-III-ali-a</w:t>
      </w:r>
      <w:r>
        <w:rPr>
          <w:color w:val="003CA0"/>
          <w:sz w:val="12"/>
        </w:rPr>
        <w:t xml:space="preserve"> | RE 635.682</w:t>
      </w:r>
    </w:p>
    <w:p>
      <w:pPr>
        <w:ind w:left="288"/>
      </w:pPr>
      <w:r>
        <w:rPr>
          <w:color w:val="1E1E1E"/>
          <w:sz w:val="18"/>
        </w:rPr>
        <w:t xml:space="preserve">(...) o fato de a contribuição de intervenção no domínio econômico sujeitar-se ao art. 146, III, a, não leva à conclusão de que o tributo deva ser instituído mediante lei complementar. </w:t>
        <w:br/>
        <w:t>[RE 635.682, voto do min. Gilmar Mendes, j. 25-4-2013, P, DJE de 24-5-2013, Tema 227, com mérito julgado.]</w:t>
      </w:r>
    </w:p>
    <w:p>
      <w:pPr>
        <w:ind w:left="144"/>
      </w:pPr>
      <w:r>
        <w:rPr>
          <w:b/>
          <w:color w:val="B45A00"/>
          <w:sz w:val="16"/>
        </w:rPr>
        <w:t>JULGADOS CORRELATOS</w:t>
      </w:r>
    </w:p>
    <w:p>
      <w:pPr>
        <w:ind w:left="288"/>
      </w:pPr>
      <w:r>
        <w:rPr>
          <w:color w:val="8C8C8C"/>
          <w:sz w:val="12"/>
        </w:rPr>
        <w:t>cf-art-146-inc-III-ali-a</w:t>
      </w:r>
      <w:r>
        <w:rPr>
          <w:color w:val="003CA0"/>
          <w:sz w:val="12"/>
        </w:rPr>
        <w:t xml:space="preserve"> | AI 738.163</w:t>
      </w:r>
    </w:p>
    <w:p>
      <w:pPr>
        <w:ind w:left="288"/>
      </w:pPr>
      <w:r>
        <w:rPr>
          <w:color w:val="1E1E1E"/>
          <w:sz w:val="18"/>
        </w:rPr>
        <w:t>(...) cabe aos Municípios o exercício da competência tributária relacionada ao ISSQN, no qual, observados os parâmetros materiais da Constituição da República e da lei complementar referida em seu art. 146, III, a, inclui-se a indicação do sujeito passivo. Portanto, ao descrever o sujeito passivo na aludida prescrição tributária, o Município implicado tão somente seguiu a orientação jurisprudencial deste STF.</w:t>
      </w:r>
    </w:p>
    <w:p>
      <w:pPr>
        <w:ind w:left="288"/>
      </w:pPr>
      <w:r>
        <w:rPr>
          <w:b/>
          <w:color w:val="003CA0"/>
          <w:sz w:val="16"/>
        </w:rPr>
        <w:t>[AI 738.163 AgR-ED, voto do min. Gilmar Mendes, j. 15-2-2011, 2ª T, DJE de 1º-3-2011.]</w:t>
      </w:r>
    </w:p>
    <w:p>
      <w:pPr>
        <w:ind w:left="288"/>
      </w:pPr>
      <w:r>
        <w:rPr>
          <w:color w:val="8C8C8C"/>
          <w:sz w:val="12"/>
        </w:rPr>
        <w:t>cf-art-146-inc-III-ali-a</w:t>
      </w:r>
      <w:r>
        <w:rPr>
          <w:color w:val="003CA0"/>
          <w:sz w:val="12"/>
        </w:rPr>
        <w:t xml:space="preserve"> | RE 236.604</w:t>
      </w:r>
      <w:r>
        <w:rPr>
          <w:color w:val="003CA0"/>
          <w:sz w:val="12"/>
        </w:rPr>
        <w:t xml:space="preserve"> | rel. Carlos Velloso)</w:t>
      </w:r>
    </w:p>
    <w:p>
      <w:pPr>
        <w:ind w:left="288"/>
      </w:pPr>
      <w:r>
        <w:rPr>
          <w:color w:val="1E1E1E"/>
          <w:sz w:val="18"/>
        </w:rPr>
        <w:t>Decidiu o acórdão recorrido acerca das duas questões suscitadas pelo recorrente, pelo voto do eminente relator (...) nestes termos: "(...) não há isenção na disposição contida no artigo 9º, parágrafo 2º, alínea b, do DL 406, de 31-12-1968, de molde a afrontar o comando do art. 151, III, da CF, mas, isto sim, trata-se de uma regra que tem por finalidade evitar o bis in idem, já que o fato gerador é o mesmo. Se a empresa da construção civil, na qualidade de empreiteira, transfere para outra empresa parte da obra inicialmente contratada, estabelecendo o que se denomina de subempreitada, e cada um</w:t>
      </w:r>
    </w:p>
    <w:p>
      <w:pPr>
        <w:ind w:left="288"/>
      </w:pPr>
      <w:r>
        <w:rPr>
          <w:b/>
          <w:color w:val="003CA0"/>
          <w:sz w:val="16"/>
        </w:rPr>
        <w:t>[RE 262.598, voto do min. Ilmar Galvão, j. 14-8-2007, 1ª T, DJ de 28-9-2007.]</w:t>
      </w:r>
    </w:p>
    <w:p>
      <w:pPr>
        <w:ind w:left="288"/>
      </w:pPr>
      <w:r>
        <w:rPr>
          <w:color w:val="8C8C8C"/>
          <w:sz w:val="12"/>
        </w:rPr>
        <w:t>cf-art-146-inc-III-ali-a</w:t>
      </w:r>
      <w:r>
        <w:rPr>
          <w:color w:val="003CA0"/>
          <w:sz w:val="12"/>
        </w:rPr>
        <w:t xml:space="preserve"> | RE 223.144</w:t>
      </w:r>
    </w:p>
    <w:p>
      <w:pPr>
        <w:ind w:left="288"/>
      </w:pPr>
      <w:r>
        <w:rPr>
          <w:color w:val="1E1E1E"/>
          <w:sz w:val="18"/>
        </w:rPr>
        <w:t>A CF, art. 146, III, a, estabeleceu que cabe à lei complementar, no tocante aos impostos discriminados na Constituição, definir os respectivos fatos geradores, bases de cálculo e contribuintes. (...) É de ver, portanto, que o art. 1º, I, da Lei 8.033/1990 pôs-se de acordo com a definição do fato gerador do IOF contida no art. 63, IV, do CTN.</w:t>
      </w:r>
    </w:p>
    <w:p>
      <w:pPr>
        <w:ind w:left="288"/>
      </w:pPr>
      <w:r>
        <w:rPr>
          <w:b/>
          <w:color w:val="003CA0"/>
          <w:sz w:val="16"/>
        </w:rPr>
        <w:t>[RE 223.144, voto do min. Carlos Velloso, j. 17-6-2002, P, DJ de 21-11-2003.]</w:t>
      </w:r>
    </w:p>
    <w:p>
      <w:pPr>
        <w:ind w:left="288"/>
      </w:pPr>
      <w:r>
        <w:rPr>
          <w:color w:val="8C8C8C"/>
          <w:sz w:val="12"/>
        </w:rPr>
        <w:t>cf-art-146-inc-III-ali-a</w:t>
      </w:r>
      <w:r>
        <w:rPr>
          <w:color w:val="003CA0"/>
          <w:sz w:val="12"/>
        </w:rPr>
        <w:t xml:space="preserve"> | RE 287.628</w:t>
      </w:r>
      <w:r>
        <w:rPr>
          <w:color w:val="003CA0"/>
          <w:sz w:val="12"/>
        </w:rPr>
        <w:t xml:space="preserve"> | rel. Ayres Britto</w:t>
      </w:r>
    </w:p>
    <w:p>
      <w:pPr>
        <w:ind w:left="288"/>
      </w:pPr>
      <w:r>
        <w:rPr>
          <w:color w:val="1E1E1E"/>
          <w:sz w:val="18"/>
        </w:rPr>
        <w:t>= RE 287.628 AgR, rel. min. Ayres Britto, j. 6-3-2012, 2ª T, DJE de 19-3-2012 No embate diário Estado/contribuinte, a Carta Política da República exsurge com insuplantável valia, no que, em prol do segundo, impõe parâmetros a serem respeitados pelo primeiro. Dentre as garantias constitucionais explícitas, e a constatação não exclui o reconhecimento de outras decorrentes do próprio sistema adotado, exsurge a de que somente a lei complementar cabe "a definição de tributos e de suas espécies, bem como, em relação aos impostos discriminados nesta Constituição, a dos respectivos fatos geradores, ba</w:t>
      </w:r>
    </w:p>
    <w:p>
      <w:pPr>
        <w:ind w:left="288"/>
      </w:pPr>
      <w:r>
        <w:rPr>
          <w:b/>
          <w:color w:val="003CA0"/>
          <w:sz w:val="16"/>
        </w:rPr>
        <w:t>[RE 172.058, rel. min. Marco Aurélio, j. 30-6-1995, P, DJ de 13-10-1995.]</w:t>
      </w:r>
    </w:p>
    <w:p>
      <w:pPr>
        <w:ind w:left="288"/>
      </w:pPr>
      <w:r>
        <w:rPr>
          <w:color w:val="8C8C8C"/>
          <w:sz w:val="12"/>
        </w:rPr>
        <w:t>cf-art-146-inc-III-ali-a</w:t>
      </w:r>
      <w:r>
        <w:rPr>
          <w:color w:val="003CA0"/>
          <w:sz w:val="12"/>
        </w:rPr>
        <w:t xml:space="preserve"> | RE 307.220</w:t>
      </w:r>
      <w:r>
        <w:rPr>
          <w:color w:val="003CA0"/>
          <w:sz w:val="12"/>
        </w:rPr>
        <w:t xml:space="preserve"> | rel. Gilmar Mendes</w:t>
      </w:r>
    </w:p>
    <w:p>
      <w:pPr>
        <w:ind w:left="288"/>
      </w:pPr>
      <w:r>
        <w:rPr>
          <w:color w:val="1E1E1E"/>
          <w:sz w:val="18"/>
        </w:rPr>
        <w:t>= RE 307.220-ED, rel. min. Gilmar Mendes, j. 1º-2-2019, 2ª T, DJE de 13-2-2019 = AI 807.699 AgR, rel. min. Cármen Lúcia, j. 15-2-2011, 1ª T, DJE de 18-3-2011</w:t>
      </w:r>
    </w:p>
    <w:p>
      <w:pPr>
        <w:ind w:left="144"/>
      </w:pPr>
      <w:r>
        <w:rPr>
          <w:b/>
          <w:color w:val="B45A00"/>
          <w:sz w:val="16"/>
        </w:rPr>
        <w:t>SUMULA VINCULANTE</w:t>
      </w:r>
    </w:p>
    <w:p>
      <w:pPr>
        <w:ind w:left="288"/>
      </w:pPr>
      <w:r>
        <w:rPr>
          <w:color w:val="8C8C8C"/>
          <w:sz w:val="12"/>
        </w:rPr>
        <w:t>cf-art-146-inc-III-ali-b</w:t>
      </w:r>
    </w:p>
    <w:p>
      <w:pPr>
        <w:ind w:left="288"/>
      </w:pPr>
      <w:r>
        <w:rPr>
          <w:color w:val="1E1E1E"/>
          <w:sz w:val="18"/>
        </w:rPr>
        <w:t>São inconstitucionais o parágrafo único do art. 5º do DL 1.569/1977 e os arts. 45 e 46 da Lei 8.212/1991, que tratam de prescrição e decadência de crédito tributário.</w:t>
      </w:r>
    </w:p>
    <w:p>
      <w:pPr>
        <w:ind w:left="288"/>
      </w:pPr>
      <w:r>
        <w:rPr>
          <w:b/>
          <w:color w:val="003CA0"/>
          <w:sz w:val="16"/>
        </w:rPr>
        <w:t>[Súmula Vinculante 8.]</w:t>
      </w:r>
    </w:p>
    <w:p>
      <w:pPr>
        <w:ind w:left="288"/>
      </w:pPr>
      <w:r>
        <w:rPr>
          <w:color w:val="8C8C8C"/>
          <w:sz w:val="12"/>
        </w:rPr>
        <w:t>cf-art-146-inc-III-ali-b</w:t>
      </w:r>
    </w:p>
    <w:p>
      <w:pPr>
        <w:ind w:left="288"/>
      </w:pPr>
      <w:r>
        <w:rPr>
          <w:color w:val="1E1E1E"/>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88"/>
      </w:pPr>
      <w:r>
        <w:rPr>
          <w:b/>
          <w:color w:val="003CA0"/>
          <w:sz w:val="16"/>
        </w:rPr>
        <w:t>[Súmula Vinculante 62]</w:t>
      </w:r>
    </w:p>
    <w:p>
      <w:pPr>
        <w:ind w:left="288"/>
      </w:pPr>
      <w:r>
        <w:rPr>
          <w:color w:val="8C8C8C"/>
          <w:sz w:val="12"/>
        </w:rPr>
        <w:t>cf-art-146-inc-III-ali-b</w:t>
      </w:r>
      <w:r>
        <w:rPr>
          <w:color w:val="003CA0"/>
          <w:sz w:val="12"/>
        </w:rPr>
        <w:t xml:space="preserve"> | ADI 5.894</w:t>
      </w:r>
      <w:r>
        <w:rPr>
          <w:color w:val="003CA0"/>
          <w:sz w:val="12"/>
        </w:rPr>
        <w:t xml:space="preserve"> | rel. André Mendonça</w:t>
      </w:r>
    </w:p>
    <w:p>
      <w:pPr>
        <w:ind w:left="288"/>
      </w:pPr>
      <w:r>
        <w:rPr>
          <w:color w:val="1E1E1E"/>
          <w:sz w:val="18"/>
        </w:rPr>
        <w:t>Lavratura formal de partilha ou elaborada a carta de adjudicação e da expedição de alvará dos bens. Trânsito em julgado da sentença de homologação de partilha ou de adjudicação. Comprovação da quitação do Imposto sobre Transmissão Causa Mortis ou de Doação (ITCMD). (...) Não se visualiza no art. 659, § 2º, do CPC, uma norma geral instituidora de legislação tributária, logo o dispositivo não se revela apto a atrair a reserva de lei complementar prevista no art. 146, inc. III, al. “b”, da Constituição da República. Sendo assim, não se cuida no objeto atacado de garantias ou privilégios do crédit</w:t>
      </w:r>
    </w:p>
    <w:p>
      <w:pPr>
        <w:ind w:left="288"/>
      </w:pPr>
      <w:r>
        <w:rPr>
          <w:b/>
          <w:color w:val="003CA0"/>
          <w:sz w:val="16"/>
        </w:rPr>
        <w:t>[ADI 5.894, rel. min. André Mendonça, j. 25.04.2025, P, DJE de 23.06.2025.]</w:t>
      </w:r>
    </w:p>
    <w:p>
      <w:pPr>
        <w:ind w:left="144"/>
      </w:pPr>
      <w:r>
        <w:rPr>
          <w:b/>
          <w:color w:val="B45A00"/>
          <w:sz w:val="16"/>
        </w:rPr>
        <w:t>CONTROLE CONCENTRADO</w:t>
      </w:r>
    </w:p>
    <w:p>
      <w:pPr>
        <w:ind w:left="288"/>
      </w:pPr>
      <w:r>
        <w:rPr>
          <w:color w:val="8C8C8C"/>
          <w:sz w:val="12"/>
        </w:rPr>
        <w:t>cf-art-146-inc-III-ali-b</w:t>
      </w:r>
      <w:r>
        <w:rPr>
          <w:color w:val="003CA0"/>
          <w:sz w:val="12"/>
        </w:rPr>
        <w:t xml:space="preserve"> | ADI 6.276</w:t>
      </w:r>
      <w:r>
        <w:rPr>
          <w:color w:val="003CA0"/>
          <w:sz w:val="12"/>
        </w:rPr>
        <w:t xml:space="preserve"> | rel. Edson Fachin</w:t>
      </w:r>
    </w:p>
    <w:p>
      <w:pPr>
        <w:ind w:left="288"/>
      </w:pPr>
      <w:r>
        <w:rPr>
          <w:color w:val="1E1E1E"/>
          <w:sz w:val="18"/>
        </w:rPr>
        <w:t xml:space="preserve">A regulação tem como objetivo promover o interesse público, atingindo seu objetivo quando veicula um processo político eficiente acompanhado de atuação de agências reguladoras também eficientes. A atuação independente e tecnicamente justificada deve ser realizada por um Conselho Diretor ou Diretoria Colegiada imparcial, sendo os impedimentos previstos pelo legislador destinados à impessoalidade da gestão. A exigência de preenchimento de certos requisitos para a ocupação de cargos públicos, quando devidamente justificada e por meio legal, não implica discriminação inconstitucional. No caso, há </w:t>
      </w:r>
    </w:p>
    <w:p>
      <w:pPr>
        <w:ind w:left="288"/>
      </w:pPr>
      <w:r>
        <w:rPr>
          <w:b/>
          <w:color w:val="003CA0"/>
          <w:sz w:val="16"/>
        </w:rPr>
        <w:t>[ADI 4.845, rel. min. Roberto Barroso, j. 13-2-2020, Plenário, DJE de 4-3-2020.]</w:t>
      </w:r>
    </w:p>
    <w:p>
      <w:pPr>
        <w:ind w:left="288"/>
      </w:pPr>
      <w:r>
        <w:rPr>
          <w:color w:val="8C8C8C"/>
          <w:sz w:val="12"/>
        </w:rPr>
        <w:t>cf-art-146-inc-III-ali-b</w:t>
      </w:r>
      <w:r>
        <w:rPr>
          <w:color w:val="003CA0"/>
          <w:sz w:val="12"/>
        </w:rPr>
        <w:t xml:space="preserve"> | ADI 2.405</w:t>
      </w:r>
    </w:p>
    <w:p>
      <w:pPr>
        <w:ind w:left="288"/>
      </w:pPr>
      <w:r>
        <w:rPr>
          <w:color w:val="1E1E1E"/>
          <w:sz w:val="18"/>
        </w:rPr>
        <w:t>(...) a Constituição Federal não reservou à lei complementar o tratamento das modalidades de extinção e suspensão dos créditos tributários, a exceção da prescrição e decadência, previstos no art. 146, III, b, da CF. (...) A partir dessa ideia, e considerando também que as modalidades de extinção de crédito tributário, estabelecidas pelo CTN (art. 156), não formam um rol exaustivo, tem-se a possibilidade de previsão em lei estadual de extinção do credito por dação em pagamento de bens moveis.</w:t>
      </w:r>
    </w:p>
    <w:p>
      <w:pPr>
        <w:ind w:left="288"/>
      </w:pPr>
      <w:r>
        <w:rPr>
          <w:b/>
          <w:color w:val="003CA0"/>
          <w:sz w:val="16"/>
        </w:rPr>
        <w:t>[ADI 2.405, voto do min. Alexandre de Moraes, j. 20-9-2019, P, DJE de 3-10-2019.]</w:t>
      </w:r>
    </w:p>
    <w:p>
      <w:pPr>
        <w:ind w:left="288"/>
      </w:pPr>
      <w:r>
        <w:rPr>
          <w:color w:val="8C8C8C"/>
          <w:sz w:val="12"/>
        </w:rPr>
        <w:t>cf-art-146-inc-III-ali-b</w:t>
      </w:r>
      <w:r>
        <w:rPr>
          <w:color w:val="003CA0"/>
          <w:sz w:val="12"/>
        </w:rPr>
        <w:t xml:space="preserve"> | ADI 124</w:t>
      </w:r>
      <w:r>
        <w:rPr>
          <w:color w:val="003CA0"/>
          <w:sz w:val="12"/>
        </w:rPr>
        <w:t xml:space="preserve"> | rel. Joaquim Barbosa</w:t>
      </w:r>
    </w:p>
    <w:p>
      <w:pPr>
        <w:ind w:left="288"/>
      </w:pPr>
      <w:r>
        <w:rPr>
          <w:color w:val="1E1E1E"/>
          <w:sz w:val="18"/>
        </w:rPr>
        <w:t>Norma do Estado de Santa Catarina que estabelece hipótese de extinção do crédito tributário por transcurso de prazo para apreciação de recurso administrativo fiscal. (...) A determinação do arquivamento de processo administrativo tributário por decurso de prazo, sem a possibilidade de revisão do lançamento equivale à extinção do crédito tributário cuja validade está em discussão no campo administrativo. Em matéria tributária, a extinção do crédito tributário ou do direito de constituir o crédito tributário por decurso de prazo, combinado a qualquer outro critério, corresponde à decadência. Nos</w:t>
      </w:r>
    </w:p>
    <w:p>
      <w:pPr>
        <w:ind w:left="288"/>
      </w:pPr>
      <w:r>
        <w:rPr>
          <w:b/>
          <w:color w:val="003CA0"/>
          <w:sz w:val="16"/>
        </w:rPr>
        <w:t>[ADI 124, rel. min. Joaquim Barbosa, j. 1º-8-2008, P, DJE de 17-4-2009.]</w:t>
      </w:r>
    </w:p>
    <w:p>
      <w:pPr>
        <w:ind w:left="288"/>
      </w:pPr>
      <w:r>
        <w:rPr>
          <w:color w:val="8C8C8C"/>
          <w:sz w:val="12"/>
        </w:rPr>
        <w:t>cf-art-146-inc-III-ali-b</w:t>
      </w:r>
      <w:r>
        <w:rPr>
          <w:color w:val="003CA0"/>
          <w:sz w:val="12"/>
        </w:rPr>
        <w:t xml:space="preserve"> | RE 1.326.559</w:t>
      </w:r>
      <w:r>
        <w:rPr>
          <w:color w:val="003CA0"/>
          <w:sz w:val="12"/>
        </w:rPr>
        <w:t xml:space="preserve"> | rel. Dias Toffoli</w:t>
      </w:r>
    </w:p>
    <w:p>
      <w:pPr>
        <w:ind w:left="288"/>
      </w:pPr>
      <w:r>
        <w:rPr>
          <w:color w:val="1E1E1E"/>
          <w:sz w:val="18"/>
        </w:rPr>
        <w:t>“É formalmente constitucional o § 14 do art. 85 do Código de Processo Civil no que diz respeito à preferência dos honorários advocatícios, inclusive contratuais, em relação ao crédito tributário, considerando-se o teor do art. 186 do CTN”.</w:t>
      </w:r>
    </w:p>
    <w:p>
      <w:pPr>
        <w:ind w:left="288"/>
      </w:pPr>
      <w:r>
        <w:rPr>
          <w:b/>
          <w:color w:val="003CA0"/>
          <w:sz w:val="16"/>
        </w:rPr>
        <w:t>[RE 1.326.559, rel. min. Dias Toffoli, j. 31.03.2025, P, DJE de 22.05.2025, Tema 1.220, com mérito julgado.]</w:t>
      </w:r>
    </w:p>
    <w:p>
      <w:pPr>
        <w:ind w:left="144"/>
      </w:pPr>
      <w:r>
        <w:rPr>
          <w:b/>
          <w:color w:val="B45A00"/>
          <w:sz w:val="16"/>
        </w:rPr>
        <w:t>REPERCUSSAO GERAL</w:t>
      </w:r>
    </w:p>
    <w:p>
      <w:pPr>
        <w:ind w:left="288"/>
      </w:pPr>
      <w:r>
        <w:rPr>
          <w:color w:val="8C8C8C"/>
          <w:sz w:val="12"/>
        </w:rPr>
        <w:t>cf-art-146-inc-III-ali-b</w:t>
      </w:r>
      <w:r>
        <w:rPr>
          <w:color w:val="003CA0"/>
          <w:sz w:val="12"/>
        </w:rPr>
        <w:t xml:space="preserve"> | RE 636.562</w:t>
      </w:r>
      <w:r>
        <w:rPr>
          <w:color w:val="003CA0"/>
          <w:sz w:val="12"/>
        </w:rPr>
        <w:t xml:space="preserve"> | rel. Roberto Barroso</w:t>
      </w:r>
    </w:p>
    <w:p>
      <w:pPr>
        <w:ind w:left="288"/>
      </w:pPr>
      <w:r>
        <w:rPr>
          <w:color w:val="1E1E1E"/>
          <w:sz w:val="18"/>
        </w:rPr>
        <w:t xml:space="preserve">Desnecessidade de lei complementar para dispor sobre prescrição intercorrente tributária. A prescrição intercorrente tributária foi introduzida pela Lei nº 6.830/1980, que tem natureza de lei ordinária. O art. 40 desse diploma não afronta o art. 146, III, b, da CF/1988, pois o legislador ordinário se limitou a transpor o modelo estabelecido pelo art. 174 do CTN, adaptando-o às particularidades da prescrição intercorrente. Observa ainda o art. 22, I, da CF/1988, porquanto compete à União legislar sobre direito processual. O prazo de suspensão de 1 (um) ano (art. 40, § 1º, da Lei nº 6.830/1980) </w:t>
      </w:r>
    </w:p>
    <w:p>
      <w:pPr>
        <w:ind w:left="288"/>
      </w:pPr>
      <w:r>
        <w:rPr>
          <w:b/>
          <w:color w:val="003CA0"/>
          <w:sz w:val="16"/>
        </w:rPr>
        <w:t>[RE 636.562, rel. min. Roberto Barroso, j. 22-2-2023, P, DJE de 6-3-2023, Tema 390, com mérito julgado.]</w:t>
      </w:r>
    </w:p>
    <w:p>
      <w:pPr>
        <w:ind w:left="288"/>
      </w:pPr>
      <w:r>
        <w:rPr>
          <w:color w:val="8C8C8C"/>
          <w:sz w:val="12"/>
        </w:rPr>
        <w:t>cf-art-146-inc-III-ali-b</w:t>
      </w:r>
      <w:r>
        <w:rPr>
          <w:color w:val="003CA0"/>
          <w:sz w:val="12"/>
        </w:rPr>
        <w:t xml:space="preserve"> | RE 917.285</w:t>
      </w:r>
      <w:r>
        <w:rPr>
          <w:color w:val="003CA0"/>
          <w:sz w:val="12"/>
        </w:rPr>
        <w:t xml:space="preserve"> | rel. Dias Toffoli</w:t>
      </w:r>
    </w:p>
    <w:p>
      <w:pPr>
        <w:ind w:left="288"/>
      </w:pPr>
      <w:r>
        <w:rPr>
          <w:color w:val="1E1E1E"/>
          <w:sz w:val="18"/>
        </w:rPr>
        <w:t>O art. 146, III, b, da Constituição Federal dispõe caber a lei complementar estabelecer normas gerais em matéria de legislação tributária, especialmente sobre obrigação, lançamento, crédito, prescrição e decadência tributários. Nesse sentido, a extinção e a suspensão do crédito tributário constituem matéria de norma geral de Direito Tributário, sob reserva de lei complementar. A compensação vem prevista no inciso II do art. 156 do CTN como forma de extinção do crédito tributário e deve observar as peculiaridades estabelecidas no art. 170 do Código Tributário Nacional. O art. 170 do CTN, por si</w:t>
      </w:r>
    </w:p>
    <w:p>
      <w:pPr>
        <w:ind w:left="288"/>
      </w:pPr>
      <w:r>
        <w:rPr>
          <w:b/>
          <w:color w:val="003CA0"/>
          <w:sz w:val="16"/>
        </w:rPr>
        <w:t>[RE 917.285, rel. min. Dias Toffoli, j. 18-8-2020, P, DJE de 6-10-2020, Tema 874, com mérito julgado.]</w:t>
      </w:r>
    </w:p>
    <w:p>
      <w:pPr>
        <w:ind w:left="288"/>
      </w:pPr>
      <w:r>
        <w:rPr>
          <w:color w:val="8C8C8C"/>
          <w:sz w:val="12"/>
        </w:rPr>
        <w:t>cf-art-146-inc-III-ali-b</w:t>
      </w:r>
      <w:r>
        <w:rPr>
          <w:color w:val="003CA0"/>
          <w:sz w:val="12"/>
        </w:rPr>
        <w:t xml:space="preserve"> | RE 566.621</w:t>
      </w:r>
      <w:r>
        <w:rPr>
          <w:color w:val="003CA0"/>
          <w:sz w:val="12"/>
        </w:rPr>
        <w:t xml:space="preserve"> | rel. Ellen Gracie</w:t>
      </w:r>
    </w:p>
    <w:p>
      <w:pPr>
        <w:ind w:left="288"/>
      </w:pPr>
      <w:r>
        <w:rPr>
          <w:color w:val="1E1E1E"/>
          <w:sz w:val="18"/>
        </w:rPr>
        <w:t>(...) inconstitucionalidade do art. 4º, segunda parte, da LC 118/2005, considerando-se válida a aplicação do novo prazo de 5 anos tão somente às ações ajuizadas após o decurso da vacatio legis de 120 dias, ou seja, a partir de 9-6-2005.</w:t>
      </w:r>
    </w:p>
    <w:p>
      <w:pPr>
        <w:ind w:left="288"/>
      </w:pPr>
      <w:r>
        <w:rPr>
          <w:b/>
          <w:color w:val="003CA0"/>
          <w:sz w:val="16"/>
        </w:rPr>
        <w:t>[RE 566.621, rel. min. Ellen Gracie, j. 4-8-2011, P, DJE de 11-10-2011, Tema 4, com mérito julgado.]</w:t>
      </w:r>
    </w:p>
    <w:p>
      <w:pPr>
        <w:ind w:left="288"/>
      </w:pPr>
      <w:r>
        <w:rPr>
          <w:color w:val="8C8C8C"/>
          <w:sz w:val="12"/>
        </w:rPr>
        <w:t>cf-art-146-inc-III-ali-b</w:t>
      </w:r>
      <w:r>
        <w:rPr>
          <w:color w:val="003CA0"/>
          <w:sz w:val="12"/>
        </w:rPr>
        <w:t xml:space="preserve"> | RE 377.457</w:t>
      </w:r>
      <w:r>
        <w:rPr>
          <w:color w:val="003CA0"/>
          <w:sz w:val="12"/>
        </w:rPr>
        <w:t xml:space="preserve"> | rel. Gilmar Mendes</w:t>
      </w:r>
    </w:p>
    <w:p>
      <w:pPr>
        <w:ind w:left="288"/>
      </w:pPr>
      <w:r>
        <w:rPr>
          <w:color w:val="1E1E1E"/>
          <w:sz w:val="18"/>
        </w:rPr>
        <w:t>(...) o art. 56 da Lei 9.430/1996 é dispositivo legitimamente veiculado por legislação ordinária (art. 146, III, b, contrario sensu, e art. 150, § 6º, ambos da CF), que importou na revogação de dispositivo anteriormente vigente (sobre isenção de contribuição social) inserto em norma materialmente ordinária (art. 6º, II, da LC 70/1991). Consequentemente, não existe, na hipótese, qualquer instituição, direta ou indireta, de nova contribuição social, a exigir a intervenção de legislação complementar, nos termos do art. 195, § 4º, da CF.</w:t>
        <w:br/>
        <w:t>[RE 377.457, voto do min. Gilmar Mendes, j. 17-9-2008, P, DJ</w:t>
      </w:r>
    </w:p>
    <w:p>
      <w:pPr>
        <w:ind w:left="144"/>
      </w:pPr>
      <w:r>
        <w:rPr>
          <w:b/>
          <w:color w:val="B45A00"/>
          <w:sz w:val="16"/>
        </w:rPr>
        <w:t>JULGADOS CORRELATOS</w:t>
      </w:r>
    </w:p>
    <w:p>
      <w:pPr>
        <w:ind w:left="288"/>
      </w:pPr>
      <w:r>
        <w:rPr>
          <w:color w:val="8C8C8C"/>
          <w:sz w:val="12"/>
        </w:rPr>
        <w:t>cf-art-146-inc-III-ali-b</w:t>
      </w:r>
      <w:r>
        <w:rPr>
          <w:color w:val="003CA0"/>
          <w:sz w:val="12"/>
        </w:rPr>
        <w:t xml:space="preserve"> | RE 129.877</w:t>
      </w:r>
      <w:r>
        <w:rPr>
          <w:color w:val="003CA0"/>
          <w:sz w:val="12"/>
        </w:rPr>
        <w:t xml:space="preserve"> | rel. Marco Aurélio</w:t>
      </w:r>
    </w:p>
    <w:p>
      <w:pPr>
        <w:ind w:left="288"/>
      </w:pPr>
      <w:r>
        <w:rPr>
          <w:color w:val="1E1E1E"/>
          <w:sz w:val="18"/>
        </w:rPr>
        <w:t>O fato de na lei estadual prever-se como base de incidência o valor pago pelo adquirente, sem exclusão do destinado a remunerar os serviços embutidos, não implica transgressão direta ao preceito constitucional que disciplina a competência dos Municípios para instituir imposto sobre serviços. A circunstância de o DL 406/1968, de cunho federal, não contemplar, na listagem a ele anexa, os serviços prestados pelo fornecimento de alimentação e bebidas por restaurantes, bares, cafés e estabelecimentos similares afasta, por sua vez, a possibilidade de se ter, no caso, a dupla incidência, sendo certo,</w:t>
      </w:r>
    </w:p>
    <w:p>
      <w:pPr>
        <w:ind w:left="288"/>
      </w:pPr>
      <w:r>
        <w:rPr>
          <w:b/>
          <w:color w:val="003CA0"/>
          <w:sz w:val="16"/>
        </w:rPr>
        <w:t>[RE 129.877, rel. min. Marco Aurélio, j. 3-11-1992, 2ª T, DJ de 27-11-1992.]</w:t>
      </w:r>
    </w:p>
    <w:p>
      <w:pPr>
        <w:ind w:left="144"/>
      </w:pPr>
      <w:r>
        <w:rPr>
          <w:b/>
          <w:color w:val="B45A00"/>
          <w:sz w:val="16"/>
        </w:rPr>
        <w:t>CONTROLE CONCENTRADO</w:t>
      </w:r>
    </w:p>
    <w:p>
      <w:pPr>
        <w:ind w:left="288"/>
      </w:pPr>
      <w:r>
        <w:rPr>
          <w:color w:val="8C8C8C"/>
          <w:sz w:val="12"/>
        </w:rPr>
        <w:t>cf-art-146-inc-III-ali-c</w:t>
      </w:r>
      <w:r>
        <w:rPr>
          <w:color w:val="003CA0"/>
          <w:sz w:val="12"/>
        </w:rPr>
        <w:t xml:space="preserve"> | ADI 2.811</w:t>
      </w:r>
      <w:r>
        <w:rPr>
          <w:color w:val="003CA0"/>
          <w:sz w:val="12"/>
        </w:rPr>
        <w:t xml:space="preserve"> | rel. Rosa Weber</w:t>
      </w:r>
    </w:p>
    <w:p>
      <w:pPr>
        <w:ind w:left="288"/>
      </w:pPr>
      <w:r>
        <w:rPr>
          <w:color w:val="1E1E1E"/>
          <w:sz w:val="18"/>
        </w:rPr>
        <w:t>Na ausência da lei a que se refere o art. 146, III, c, da Constituição, que estabelece que lei complementar disporá sobre o adequado tratamento do ato cooperativo, os Estados-Membros podem exercer sua competência residual de forma plena, inclusive instituindo isenção de tributos estaduais para operações entre cooperativas, como fez o art. 16 da Lei Estadual 11.829/2002. Todavia, a norma deve receber interpretação conforme para excluir do seu alcance o ICMS, uma vez que, nos termos do art. 155, § 2º, XII, g, da Constituição da República, as isenções, os incentivos e os benefícios fiscais relati</w:t>
      </w:r>
    </w:p>
    <w:p>
      <w:pPr>
        <w:ind w:left="288"/>
      </w:pPr>
      <w:r>
        <w:rPr>
          <w:b/>
          <w:color w:val="003CA0"/>
          <w:sz w:val="16"/>
        </w:rPr>
        <w:t>[ADI 2.811, rel. min. Rosa Weber, j. 25-10-2019, P, DJE de 7-11-2019.]</w:t>
      </w:r>
    </w:p>
    <w:p>
      <w:pPr>
        <w:ind w:left="144"/>
      </w:pPr>
      <w:r>
        <w:rPr>
          <w:b/>
          <w:color w:val="B45A00"/>
          <w:sz w:val="16"/>
        </w:rPr>
        <w:t>REPERCUSSAO GERAL</w:t>
      </w:r>
    </w:p>
    <w:p>
      <w:pPr>
        <w:ind w:left="288"/>
      </w:pPr>
      <w:r>
        <w:rPr>
          <w:color w:val="8C8C8C"/>
          <w:sz w:val="12"/>
        </w:rPr>
        <w:t>cf-art-146-inc-III-ali-c</w:t>
      </w:r>
      <w:r>
        <w:rPr>
          <w:color w:val="003CA0"/>
          <w:sz w:val="12"/>
        </w:rPr>
        <w:t xml:space="preserve"> | RE 599.362</w:t>
      </w:r>
      <w:r>
        <w:rPr>
          <w:color w:val="003CA0"/>
          <w:sz w:val="12"/>
        </w:rPr>
        <w:t xml:space="preserve"> | rel. Dias Toffoli</w:t>
      </w:r>
    </w:p>
    <w:p>
      <w:pPr>
        <w:ind w:left="288"/>
      </w:pPr>
      <w:r>
        <w:rPr>
          <w:color w:val="1E1E1E"/>
          <w:sz w:val="18"/>
        </w:rPr>
        <w:t>Recurso extraordinário ao qual o STF dá provimento para declarar a incidência da contribuição ao PIS/Pasep sobre os atos (negócios jurídicos) praticados pela impetrante com terceiros tomadores de serviço, objeto da impetração.</w:t>
        <w:br/>
        <w:t>[RE 599.362, rel. min. Dias Toffoli, j. 6-11-2014, P, DJE de 10-2-2015, Tema 323, com mérito julgado.]</w:t>
        <w:br/>
        <w:t>= RE 598.085, rel. min. Luiz Fux, j. 6-11-2014, P, DJE de 10-2-2015, Tema 177,  com mérito julgado</w:t>
      </w:r>
    </w:p>
    <w:p>
      <w:pPr>
        <w:ind w:left="144"/>
      </w:pPr>
      <w:r>
        <w:rPr>
          <w:b/>
          <w:color w:val="B45A00"/>
          <w:sz w:val="16"/>
        </w:rPr>
        <w:t>JULGADOS CORRELATOS</w:t>
      </w:r>
    </w:p>
    <w:p>
      <w:pPr>
        <w:ind w:left="288"/>
      </w:pPr>
      <w:r>
        <w:rPr>
          <w:color w:val="8C8C8C"/>
          <w:sz w:val="12"/>
        </w:rPr>
        <w:t>cf-art-146-inc-III-ali-c</w:t>
      </w:r>
      <w:r>
        <w:rPr>
          <w:color w:val="003CA0"/>
          <w:sz w:val="12"/>
        </w:rPr>
        <w:t xml:space="preserve"> | RE 437.776</w:t>
      </w:r>
      <w:r>
        <w:rPr>
          <w:color w:val="003CA0"/>
          <w:sz w:val="12"/>
        </w:rPr>
        <w:t xml:space="preserve"> | rel. Ricardo Lewandowski</w:t>
      </w:r>
    </w:p>
    <w:p>
      <w:pPr>
        <w:ind w:left="288"/>
      </w:pPr>
      <w:r>
        <w:rPr>
          <w:color w:val="1E1E1E"/>
          <w:sz w:val="18"/>
        </w:rPr>
        <w:t>O fato de a Constituição determinar que seja estabelecido adequado tratamento tributário ao ato cooperativo não veda a incidência de CPMF sobre as movimentações financeiras efetuadas pelas sociedades cooperativas.</w:t>
      </w:r>
    </w:p>
    <w:p>
      <w:pPr>
        <w:ind w:left="288"/>
      </w:pPr>
      <w:r>
        <w:rPr>
          <w:b/>
          <w:color w:val="003CA0"/>
          <w:sz w:val="16"/>
        </w:rPr>
        <w:t>[RE 437.776 AgR, rel. min. Ricardo Lewandowski, j. 2-12-2010, 1ª T, DJE de 1º-2-2011.]</w:t>
      </w:r>
    </w:p>
    <w:p>
      <w:pPr>
        <w:ind w:left="288"/>
      </w:pPr>
      <w:r>
        <w:rPr>
          <w:color w:val="8C8C8C"/>
          <w:sz w:val="12"/>
        </w:rPr>
        <w:t>cf-art-146-inc-III-ali-c</w:t>
      </w:r>
      <w:r>
        <w:rPr>
          <w:color w:val="003CA0"/>
          <w:sz w:val="12"/>
        </w:rPr>
        <w:t xml:space="preserve"> | AI 740.269</w:t>
      </w:r>
      <w:r>
        <w:rPr>
          <w:color w:val="003CA0"/>
          <w:sz w:val="12"/>
        </w:rPr>
        <w:t xml:space="preserve"> | rel. Gilmar Mendes</w:t>
      </w:r>
    </w:p>
    <w:p>
      <w:pPr>
        <w:ind w:left="288"/>
      </w:pPr>
      <w:r>
        <w:rPr>
          <w:color w:val="1E1E1E"/>
          <w:sz w:val="18"/>
        </w:rPr>
        <w:t>= AI 740.269 AgR, rel. min. Gilmar Mendes, j. 18-9-2012, 2ª T, DJE de 3-10-2012 d) definição de tratamento diferenciado e favorecido para as microempresas e para as empresas de pequeno porte, inclusive regimes especiais ou simplificados no caso dos impostos previstos nos arts. 155, II, e 156-A, das contribuições sociais previstas no art. 195, I e V, e § 12 e da contribuição a que se refere o art. 239. (Redação dada pela EC n. 132/2023) (...) art. 2º da Lei Complementar nº 188/2021, que acrescentou o art. 18-F à Lei Complementar nº 123/2006 (Estatuto Nacional da Microempresa e da Empresa de Peq</w:t>
      </w:r>
    </w:p>
    <w:p>
      <w:pPr>
        <w:ind w:left="288"/>
      </w:pPr>
      <w:r>
        <w:rPr>
          <w:b/>
          <w:color w:val="003CA0"/>
          <w:sz w:val="16"/>
        </w:rPr>
        <w:t>[ADI 7.096, rel. min. Gilmar Mendes, j. 09.06.2025, P, DJE de 25.06.2025.]</w:t>
      </w:r>
    </w:p>
    <w:p>
      <w:pPr>
        <w:ind w:left="144"/>
      </w:pPr>
      <w:r>
        <w:rPr>
          <w:b/>
          <w:color w:val="B45A00"/>
          <w:sz w:val="16"/>
        </w:rPr>
        <w:t>CONTROLE CONCENTRADO</w:t>
      </w:r>
    </w:p>
    <w:p>
      <w:pPr>
        <w:ind w:left="288"/>
      </w:pPr>
      <w:r>
        <w:rPr>
          <w:color w:val="8C8C8C"/>
          <w:sz w:val="12"/>
        </w:rPr>
        <w:t>cf-art-146-inc-III-ali-c</w:t>
      </w:r>
      <w:r>
        <w:rPr>
          <w:color w:val="003CA0"/>
          <w:sz w:val="12"/>
        </w:rPr>
        <w:t xml:space="preserve"> | ADI 4.033</w:t>
      </w:r>
      <w:r>
        <w:rPr>
          <w:color w:val="003CA0"/>
          <w:sz w:val="12"/>
        </w:rPr>
        <w:t xml:space="preserve"> | rel. Joaquim Barbosa</w:t>
      </w:r>
    </w:p>
    <w:p>
      <w:pPr>
        <w:ind w:left="288"/>
      </w:pPr>
      <w:r>
        <w:rPr>
          <w:color w:val="1E1E1E"/>
          <w:sz w:val="18"/>
        </w:rPr>
        <w:t>Ação direta de inconstitucionalidade ajuizada contra o art. 13, § 3º, da LC 123/2006, que isentou as microempresas e as empresas de pequeno porte optantes pelo Regime Especial Unificado de Arrecadação de Tributos e Contribuições devidos pelas Microempresas e Empresas de Pequeno Porte – Simples Nacional ("Supersimples"). (...) A isenção concedida não viola o art. 146, III, d, da Constituição, pois a lista de tributos prevista no texto legal que define o campo de reserva da lei complementar é exemplificativa, e não taxativa. Leitura do art. 146, III, d, juntamente com o art. 170, IX, da Constitu</w:t>
      </w:r>
    </w:p>
    <w:p>
      <w:pPr>
        <w:ind w:left="288"/>
      </w:pPr>
      <w:r>
        <w:rPr>
          <w:b/>
          <w:color w:val="003CA0"/>
          <w:sz w:val="16"/>
        </w:rPr>
        <w:t>[ADI 4.033, rel. min. Joaquim Barbosa, j. 15-9-2010, P, DJE de 7-2-2011.]</w:t>
      </w:r>
    </w:p>
    <w:p>
      <w:pPr>
        <w:ind w:left="144"/>
      </w:pPr>
      <w:r>
        <w:rPr>
          <w:b/>
          <w:color w:val="B45A00"/>
          <w:sz w:val="16"/>
        </w:rPr>
        <w:t>REPERCUSSAO GERAL</w:t>
      </w:r>
    </w:p>
    <w:p>
      <w:pPr>
        <w:ind w:left="288"/>
      </w:pPr>
      <w:r>
        <w:rPr>
          <w:color w:val="8C8C8C"/>
          <w:sz w:val="12"/>
        </w:rPr>
        <w:t>cf-art-146-inc-III-ali-c</w:t>
      </w:r>
      <w:r>
        <w:rPr>
          <w:color w:val="003CA0"/>
          <w:sz w:val="12"/>
        </w:rPr>
        <w:t xml:space="preserve"> | RE 970.821</w:t>
      </w:r>
      <w:r>
        <w:rPr>
          <w:color w:val="003CA0"/>
          <w:sz w:val="12"/>
        </w:rPr>
        <w:t xml:space="preserve"> | rel. Edson Fachin</w:t>
      </w:r>
    </w:p>
    <w:p>
      <w:pPr>
        <w:ind w:left="288"/>
      </w:pPr>
      <w:r>
        <w:rPr>
          <w:color w:val="1E1E1E"/>
          <w:sz w:val="18"/>
        </w:rPr>
        <w:t>“É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w:t>
      </w:r>
    </w:p>
    <w:p>
      <w:pPr>
        <w:ind w:left="288"/>
      </w:pPr>
      <w:r>
        <w:rPr>
          <w:b/>
          <w:color w:val="003CA0"/>
          <w:sz w:val="16"/>
        </w:rPr>
        <w:t>[RE 970.821, rel. min. Edson Fachin, j. 11-5-2021, P, DJE de 19-8-2021, Tema 517, com mérito julgado.]</w:t>
      </w:r>
    </w:p>
    <w:p>
      <w:pPr>
        <w:ind w:left="288"/>
      </w:pPr>
      <w:r>
        <w:rPr>
          <w:color w:val="8C8C8C"/>
          <w:sz w:val="12"/>
        </w:rPr>
        <w:t>cf-art-146-inc-III-ali-c</w:t>
      </w:r>
      <w:r>
        <w:rPr>
          <w:color w:val="003CA0"/>
          <w:sz w:val="12"/>
        </w:rPr>
        <w:t xml:space="preserve"> | RE 1.287.019</w:t>
      </w:r>
    </w:p>
    <w:p>
      <w:pPr>
        <w:ind w:left="288"/>
      </w:pPr>
      <w:r>
        <w:rPr>
          <w:color w:val="1E1E1E"/>
          <w:sz w:val="18"/>
        </w:rPr>
        <w:t>A EC 87/15 criou nova relação jurídico-tributária entre o remetente do bem ou serviço (contribuinte) e o estado de destino nas operações com bens e serviços destinados a consumidor final não contribuinte do ICMS. O imposto incidente nessas operações e prestações, que antes era devido totalmente ao estado de origem, passou a ser dividido entre dois sujeitos ativos, cabendo ao estado de origem o ICMS calculado com base na alíquota interestadual e ao estado de destino, o diferencial entre a alíquota interestadual e sua alíquota interna. Convênio interestadual não pode suprir a ausência de lei com</w:t>
      </w:r>
    </w:p>
    <w:p>
      <w:pPr>
        <w:ind w:left="288"/>
      </w:pPr>
      <w:r>
        <w:rPr>
          <w:b/>
          <w:color w:val="003CA0"/>
          <w:sz w:val="16"/>
        </w:rPr>
        <w:t>[RE 1.287.019, red. do ac. min. Dias Toffoli, j. 24-2-2021, P, DJE de 25-5-2021, Tema 1.093, com mérito julgado.]</w:t>
      </w:r>
    </w:p>
    <w:p>
      <w:pPr>
        <w:ind w:left="288"/>
      </w:pPr>
      <w:r>
        <w:rPr>
          <w:color w:val="8C8C8C"/>
          <w:sz w:val="12"/>
        </w:rPr>
        <w:t>cf-art-146-inc-III-ali-c</w:t>
      </w:r>
      <w:r>
        <w:rPr>
          <w:color w:val="003CA0"/>
          <w:sz w:val="12"/>
        </w:rPr>
        <w:t xml:space="preserve"> | RE 1.119.021</w:t>
      </w:r>
      <w:r>
        <w:rPr>
          <w:color w:val="003CA0"/>
          <w:sz w:val="12"/>
        </w:rPr>
        <w:t xml:space="preserve"> | rel. Marco Aurélio</w:t>
      </w:r>
    </w:p>
    <w:p>
      <w:pPr>
        <w:ind w:left="288"/>
      </w:pPr>
      <w:r>
        <w:rPr>
          <w:color w:val="1E1E1E"/>
          <w:sz w:val="18"/>
        </w:rPr>
        <w:t>É constitucional a restrição, imposta a empresa optante pelo Simples Nacional, ao benefício fiscal de alíquota zero previsto no parágrafo único do artigo 2º da Lei nº 10.147/2000, tendo em conta o regime próprio ao qual submetida.</w:t>
        <w:br/>
        <w:t>[RE 1.119.021, rel. min. Marco Aurélio, j. 8-9-2020, P, DJE de 26-10-2020, Tema 1.050, com mérito julgado.] O Simples Nacional surgiu da premente necessidade de se fazer com que o sistema tributário nacional concretizasse as diretrizes constitucionais do favorecimento às microempresas e às empresas de pequeno porte. A LC 123, de 14-12-2006, em consonância com as dire</w:t>
      </w:r>
    </w:p>
    <w:p>
      <w:pPr>
        <w:ind w:left="288"/>
      </w:pPr>
      <w:r>
        <w:rPr>
          <w:color w:val="8C8C8C"/>
          <w:sz w:val="12"/>
        </w:rPr>
        <w:t>cf-art-146-par-1-inc-II</w:t>
      </w:r>
    </w:p>
    <w:p>
      <w:pPr>
        <w:ind w:left="288"/>
      </w:pPr>
      <w:r>
        <w:rPr>
          <w:color w:val="1E1E1E"/>
          <w:sz w:val="18"/>
        </w:rPr>
        <w:t>III - o recolhimento será unificado e centralizado e a distribuição da parcela de recursos pertencentes aos respectivos entes federados será imediata, vedada qualquer retenção ou condicionamento; (Incluído pela EC 42/2003)</w:t>
      </w:r>
    </w:p>
    <w:p>
      <w:pPr>
        <w:ind w:left="288"/>
      </w:pPr>
      <w:r>
        <w:rPr>
          <w:color w:val="8C8C8C"/>
          <w:sz w:val="12"/>
        </w:rPr>
        <w:t>cf-art-146-par-1-inc-IV</w:t>
      </w:r>
    </w:p>
    <w:p>
      <w:pPr>
        <w:ind w:left="288"/>
      </w:pPr>
      <w:r>
        <w:rPr>
          <w:color w:val="1E1E1E"/>
          <w:sz w:val="18"/>
        </w:rPr>
        <w:t>Art. 146-A. Lei complementar poderá estabelecer critérios especiais de tributação, com o objetivo de prevenir desequilíbrios da concorrência, sem prejuízo da competência de a União, por lei, estabelecer normas de igual objetivo. (Incluído pela EC 42/2003)</w:t>
      </w:r>
    </w:p>
    <w:p>
      <w:pPr>
        <w:ind w:left="144"/>
      </w:pPr>
      <w:r>
        <w:rPr>
          <w:b/>
          <w:color w:val="B45A00"/>
          <w:sz w:val="16"/>
        </w:rPr>
        <w:t>JULGADOS CORRELATOS</w:t>
      </w:r>
    </w:p>
    <w:p>
      <w:pPr>
        <w:ind w:left="288"/>
      </w:pPr>
      <w:r>
        <w:rPr>
          <w:color w:val="8C8C8C"/>
          <w:sz w:val="12"/>
        </w:rPr>
        <w:t>cf-art-146-par-1-inc-IV</w:t>
      </w:r>
      <w:r>
        <w:rPr>
          <w:color w:val="003CA0"/>
          <w:sz w:val="12"/>
        </w:rPr>
        <w:t xml:space="preserve"> | AC 1.657</w:t>
      </w:r>
    </w:p>
    <w:p>
      <w:pPr>
        <w:ind w:left="288"/>
      </w:pPr>
      <w:r>
        <w:rPr>
          <w:color w:val="1E1E1E"/>
          <w:sz w:val="18"/>
        </w:rPr>
        <w:t>American Virginia Indústria e Comércio Importação Exportação Ltda. pretende obter efeito suspensivo para recurso extraordinário admitido na origem no qual se opõe a interdição de estabelecimentos seus, decorrente do cancelamento do registro especial para industrialização de cigarros, por descumprimento de obrigações tributárias. (...) Não há impedimento a que norma tributária, posta regularmente, hospede funções voltadas para o campo da defesa da liberdade de competição no mercado, sobretudo após a previsão textual do art. 146-A da CF. Como observa Misabel de Abreu Machado Derzi, "o cresciment</w:t>
      </w:r>
    </w:p>
    <w:p>
      <w:pPr>
        <w:ind w:left="288"/>
      </w:pPr>
      <w:r>
        <w:rPr>
          <w:b/>
          <w:color w:val="003CA0"/>
          <w:sz w:val="16"/>
        </w:rPr>
        <w:t>[AC 1.657 MC, voto do red. do ac. min. Cezar Peluso, j. 27-6-2007, P, DJ de 31-8-2007.]</w:t>
      </w:r>
    </w:p>
    <w:p>
      <w:r>
        <w:rPr>
          <w:b/>
          <w:color w:val="003366"/>
          <w:sz w:val="20"/>
        </w:rPr>
        <w:t xml:space="preserve">Art. 147 Competem à União, em Território Federal, os impostos estaduais e, se o </w:t>
      </w:r>
    </w:p>
    <w:p>
      <w:r>
        <w:rPr>
          <w:b/>
          <w:color w:val="003366"/>
          <w:sz w:val="20"/>
        </w:rPr>
        <w:t>Art. 148 A União, mediante lei complementar, poderá instituir empréstimos compul</w:t>
      </w:r>
      <w:r>
        <w:rPr>
          <w:color w:val="8C8C8C"/>
          <w:sz w:val="14"/>
        </w:rPr>
        <w:t xml:space="preserve">  [6 decisoes]</w:t>
      </w:r>
    </w:p>
    <w:p>
      <w:pPr>
        <w:ind w:left="144"/>
      </w:pPr>
      <w:r>
        <w:rPr>
          <w:b/>
          <w:color w:val="B45A00"/>
          <w:sz w:val="16"/>
        </w:rPr>
        <w:t>CONTROLE CONCENTRADO</w:t>
      </w:r>
    </w:p>
    <w:p>
      <w:pPr>
        <w:ind w:left="288"/>
      </w:pPr>
      <w:r>
        <w:rPr>
          <w:color w:val="8C8C8C"/>
          <w:sz w:val="12"/>
        </w:rPr>
        <w:t>cf-art-148</w:t>
      </w:r>
      <w:r>
        <w:rPr>
          <w:color w:val="003CA0"/>
          <w:sz w:val="12"/>
        </w:rPr>
        <w:t xml:space="preserve"> | ADI 5.392</w:t>
      </w:r>
      <w:r>
        <w:rPr>
          <w:color w:val="003CA0"/>
          <w:sz w:val="12"/>
        </w:rPr>
        <w:t xml:space="preserve"> | rel. Rosa Weber</w:t>
      </w:r>
    </w:p>
    <w:p>
      <w:pPr>
        <w:ind w:left="288"/>
      </w:pPr>
      <w:r>
        <w:rPr>
          <w:color w:val="1E1E1E"/>
          <w:sz w:val="18"/>
        </w:rPr>
        <w:t xml:space="preserve">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 Quantias não tributárias e transitórias, depositadas por terceiros em processos nos quais o Estado não </w:t>
      </w:r>
    </w:p>
    <w:p>
      <w:pPr>
        <w:ind w:left="288"/>
      </w:pPr>
      <w:r>
        <w:rPr>
          <w:b/>
          <w:color w:val="003CA0"/>
          <w:sz w:val="16"/>
        </w:rPr>
        <w:t>[ADI 5.392, rel. min. Rosa Weber, j. 16-9-2020, P, DJE de 5-10-2020.]</w:t>
      </w:r>
    </w:p>
    <w:p>
      <w:pPr>
        <w:ind w:left="288"/>
      </w:pPr>
      <w:r>
        <w:rPr>
          <w:color w:val="8C8C8C"/>
          <w:sz w:val="12"/>
        </w:rPr>
        <w:t>cf-art-148</w:t>
      </w:r>
      <w:r>
        <w:rPr>
          <w:color w:val="003CA0"/>
          <w:sz w:val="12"/>
        </w:rPr>
        <w:t xml:space="preserve"> | ADI 2.214</w:t>
      </w:r>
      <w:r>
        <w:rPr>
          <w:color w:val="003CA0"/>
          <w:sz w:val="12"/>
        </w:rPr>
        <w:t xml:space="preserve"> | rel. Maurício Corrêa</w:t>
      </w:r>
    </w:p>
    <w:p>
      <w:pPr>
        <w:ind w:left="288"/>
      </w:pPr>
      <w:r>
        <w:rPr>
          <w:color w:val="1E1E1E"/>
          <w:sz w:val="18"/>
        </w:rPr>
        <w:t>O depósito judicial, sendo uma faculdade do contribuinte a ser exercida ou não, dependendo de sua vontade, não tem característica de empréstimo compulsório nem índole confiscatória (CF, art. 150, IV), pois o mesmo valor corrigido monetariamente lhe será restituído se vencedor na ação, rendendo juros com taxa de melhor aproveitamento do que à época anterior à vigência da norma.</w:t>
      </w:r>
    </w:p>
    <w:p>
      <w:pPr>
        <w:ind w:left="288"/>
      </w:pPr>
      <w:r>
        <w:rPr>
          <w:b/>
          <w:color w:val="003CA0"/>
          <w:sz w:val="16"/>
        </w:rPr>
        <w:t>[ADI 2.214 MC, rel. min. Maurício Corrêa, j. 6-2-2002, P, DJ de 19-4-2002.]</w:t>
      </w:r>
    </w:p>
    <w:p>
      <w:pPr>
        <w:ind w:left="288"/>
      </w:pPr>
      <w:r>
        <w:rPr>
          <w:color w:val="8C8C8C"/>
          <w:sz w:val="12"/>
        </w:rPr>
        <w:t>cf-art-148</w:t>
      </w:r>
      <w:r>
        <w:rPr>
          <w:color w:val="003CA0"/>
          <w:sz w:val="12"/>
        </w:rPr>
        <w:t xml:space="preserve"> | ADI 1.933</w:t>
      </w:r>
      <w:r>
        <w:rPr>
          <w:color w:val="003CA0"/>
          <w:sz w:val="12"/>
        </w:rPr>
        <w:t xml:space="preserve"> | rel. Eros Grau</w:t>
      </w:r>
    </w:p>
    <w:p>
      <w:pPr>
        <w:ind w:left="288"/>
      </w:pPr>
      <w:r>
        <w:rPr>
          <w:color w:val="1E1E1E"/>
          <w:sz w:val="18"/>
        </w:rPr>
        <w:t>= ADI 1.933, rel. min. Eros Grau, j. 14-4-2010, P, DJE de 3-9-2010 A norma legal que vedou o saque do FGTS, no caso de conversão de regime, não instituiu modalidade de empréstimo compulsório, pois – além de haver mantido as hipóteses legais de disponibilidade dos depósitos existentes – não importou em transferência coativa, para o poder público, do saldo das contas titularizadas por aqueles cujo emprego foi transformado em cargo público.</w:t>
      </w:r>
    </w:p>
    <w:p>
      <w:pPr>
        <w:ind w:left="288"/>
      </w:pPr>
      <w:r>
        <w:rPr>
          <w:b/>
          <w:color w:val="003CA0"/>
          <w:sz w:val="16"/>
        </w:rPr>
        <w:t>[ADI 613, rel. min. Celso de Mello, j. 29-4-1993, P, DJ de 29-6-2001.]</w:t>
      </w:r>
    </w:p>
    <w:p>
      <w:pPr>
        <w:ind w:left="144"/>
      </w:pPr>
      <w:r>
        <w:rPr>
          <w:b/>
          <w:color w:val="B45A00"/>
          <w:sz w:val="16"/>
        </w:rPr>
        <w:t>REPERCUSSAO GERAL</w:t>
      </w:r>
    </w:p>
    <w:p>
      <w:pPr>
        <w:ind w:left="288"/>
      </w:pPr>
      <w:r>
        <w:rPr>
          <w:color w:val="8C8C8C"/>
          <w:sz w:val="12"/>
        </w:rPr>
        <w:t>cf-art-148</w:t>
      </w:r>
      <w:r>
        <w:rPr>
          <w:color w:val="003CA0"/>
          <w:sz w:val="12"/>
        </w:rPr>
        <w:t xml:space="preserve"> | RE 1.224.696</w:t>
      </w:r>
      <w:r>
        <w:rPr>
          <w:color w:val="003CA0"/>
          <w:sz w:val="12"/>
        </w:rPr>
        <w:t xml:space="preserve"> | rel. Marco Aurélio</w:t>
      </w:r>
    </w:p>
    <w:p>
      <w:pPr>
        <w:ind w:left="288"/>
      </w:pPr>
      <w:r>
        <w:rPr>
          <w:color w:val="1E1E1E"/>
          <w:sz w:val="18"/>
        </w:rPr>
        <w:t>É constitucional o artigo 5º da Lei nº 9.779/1999, no que autorizada a cobrança de Imposto de Renda sobre resultados financeiros verificados na liquidação de contratos de swap para fins de hedge.</w:t>
        <w:br/>
        <w:t>[RE 1.224.696, rel. min. Marco Aurélio, j. 7-6-2021, P, DJE de 18-6-2021, Tema 185, com mérito julgado.]</w:t>
      </w:r>
    </w:p>
    <w:p>
      <w:pPr>
        <w:ind w:left="144"/>
      </w:pPr>
      <w:r>
        <w:rPr>
          <w:b/>
          <w:color w:val="B45A00"/>
          <w:sz w:val="16"/>
        </w:rPr>
        <w:t>JULGADOS CORRELATOS</w:t>
      </w:r>
    </w:p>
    <w:p>
      <w:pPr>
        <w:ind w:left="288"/>
      </w:pPr>
      <w:r>
        <w:rPr>
          <w:color w:val="8C8C8C"/>
          <w:sz w:val="12"/>
        </w:rPr>
        <w:t>cf-art-148</w:t>
      </w:r>
      <w:r>
        <w:rPr>
          <w:color w:val="003CA0"/>
          <w:sz w:val="12"/>
        </w:rPr>
        <w:t xml:space="preserve"> | RE 146.615-4</w:t>
      </w:r>
      <w:r>
        <w:rPr>
          <w:color w:val="003CA0"/>
          <w:sz w:val="12"/>
        </w:rPr>
        <w:t xml:space="preserve"> | rel. Ilmar Galvão</w:t>
      </w:r>
    </w:p>
    <w:p>
      <w:pPr>
        <w:ind w:left="288"/>
      </w:pPr>
      <w:r>
        <w:rPr>
          <w:color w:val="1E1E1E"/>
          <w:sz w:val="18"/>
        </w:rPr>
        <w:t>O STF, no julgamento do RE 146.615-4, reconheceu que o empréstimo compulsório, instituído pela Lei 7.181/1983, cobrado dos consumidores de energia elétrica, foi recepcionado pela nova CF, na forma do art. 34, § 12, do ADCT. Se a Corte concluiu que a referida disposição transitória preservou a exigibilidade do empréstimo compulsório com toda a legislação que o regia, no momento da entrada em vigor da Carta Federal, evidentemente também acolheu a forma de devolução relativa a esse empréstimo compulsório imposta pela legislação acolhida, que a agravante insiste em afirmar ser inconstitucional.</w:t>
      </w:r>
    </w:p>
    <w:p>
      <w:pPr>
        <w:ind w:left="288"/>
      </w:pPr>
      <w:r>
        <w:rPr>
          <w:b/>
          <w:color w:val="003CA0"/>
          <w:sz w:val="16"/>
        </w:rPr>
        <w:t>[RE 114.069, rel. min. Ilmar Galvão, j. 18-12-1995, 1ª T, DJ de 19-4-1996.]</w:t>
      </w:r>
    </w:p>
    <w:p>
      <w:pPr>
        <w:ind w:left="288"/>
      </w:pPr>
      <w:r>
        <w:rPr>
          <w:color w:val="8C8C8C"/>
          <w:sz w:val="12"/>
        </w:rPr>
        <w:t>cf-art-148</w:t>
      </w:r>
      <w:r>
        <w:rPr>
          <w:color w:val="003CA0"/>
          <w:sz w:val="12"/>
        </w:rPr>
        <w:t xml:space="preserve"> | RE 121.336</w:t>
      </w:r>
      <w:r>
        <w:rPr>
          <w:color w:val="003CA0"/>
          <w:sz w:val="12"/>
        </w:rPr>
        <w:t xml:space="preserve"> | rel. Sepúlveda Pertence</w:t>
      </w:r>
    </w:p>
    <w:p>
      <w:pPr>
        <w:ind w:left="288"/>
      </w:pPr>
      <w:r>
        <w:rPr>
          <w:color w:val="1E1E1E"/>
          <w:sz w:val="18"/>
        </w:rPr>
        <w:t>Empréstimo compulsório (DL 2.288/1986, art. 10): incidência na aquisição de automóveis de passeio, com resgate em quotas do Fundo Nacional de Desenvolvimento: inconstitucionalidade. "Empréstimo compulsório, ainda que compulsório, continua empréstimo" (Victor Nunes Leal): utilizando-se, para definir o instituto de direito público, do termo empréstimo, posto que compulsório – obrigação ex lege e não contratual –, a Constituição vinculou o legislador à essencialidade da restituição na mesma espécie, seja por força do princípio explícito do art. 110 do CTN, seja porque a identidade do objeto das p</w:t>
      </w:r>
    </w:p>
    <w:p>
      <w:pPr>
        <w:ind w:left="288"/>
      </w:pPr>
      <w:r>
        <w:rPr>
          <w:b/>
          <w:color w:val="003CA0"/>
          <w:sz w:val="16"/>
        </w:rPr>
        <w:t>[RE 121.336, rel. min. Sepúlveda Pertence, j. 11-10-1990, P, DJ de 26-6-1992.]</w:t>
      </w:r>
    </w:p>
    <w:p>
      <w:pPr>
        <w:ind w:left="720"/>
      </w:pPr>
      <w:r>
        <w:rPr>
          <w:color w:val="003366"/>
          <w:sz w:val="18"/>
        </w:rPr>
        <w:t xml:space="preserve">I – para atender a despesas extraordinárias, decorrentes de calamidade pública, </w:t>
      </w:r>
    </w:p>
    <w:p>
      <w:pPr>
        <w:ind w:left="720"/>
      </w:pPr>
      <w:r>
        <w:rPr>
          <w:color w:val="003366"/>
          <w:sz w:val="18"/>
        </w:rPr>
        <w:t>II – no caso de investimento público de caráter urgente e de relevante interesse</w:t>
      </w:r>
    </w:p>
    <w:p>
      <w:r>
        <w:rPr>
          <w:b/>
          <w:color w:val="003366"/>
          <w:sz w:val="20"/>
        </w:rPr>
        <w:t>Art. 149 Compete exclusivamente à União instituir contribuições sociais, de inte</w:t>
      </w:r>
      <w:r>
        <w:rPr>
          <w:color w:val="8C8C8C"/>
          <w:sz w:val="14"/>
        </w:rPr>
        <w:t xml:space="preserve">  [36 decisoes]</w:t>
      </w:r>
    </w:p>
    <w:p>
      <w:pPr>
        <w:ind w:left="144"/>
      </w:pPr>
      <w:r>
        <w:rPr>
          <w:b/>
          <w:color w:val="B45A00"/>
          <w:sz w:val="16"/>
        </w:rPr>
        <w:t>CONTROLE CONCENTRADO</w:t>
      </w:r>
    </w:p>
    <w:p>
      <w:pPr>
        <w:ind w:left="288"/>
      </w:pPr>
      <w:r>
        <w:rPr>
          <w:color w:val="8C8C8C"/>
          <w:sz w:val="12"/>
        </w:rPr>
        <w:t>cf-art-149</w:t>
      </w:r>
      <w:r>
        <w:rPr>
          <w:color w:val="003CA0"/>
          <w:sz w:val="12"/>
        </w:rPr>
        <w:t xml:space="preserve"> | ADI 1.924</w:t>
      </w:r>
      <w:r>
        <w:rPr>
          <w:color w:val="003CA0"/>
          <w:sz w:val="12"/>
        </w:rPr>
        <w:t xml:space="preserve"> | rel. Rosa Weber</w:t>
      </w:r>
    </w:p>
    <w:p>
      <w:pPr>
        <w:ind w:left="288"/>
      </w:pPr>
      <w:r>
        <w:rPr>
          <w:color w:val="1E1E1E"/>
          <w:sz w:val="18"/>
        </w:rPr>
        <w:t>Serviço Nacional de Aprendizagem do Cooperativismo. Contribuição para o seu financiamento. (...) A contribuição para o SESCOOP tem natureza jurídica de contribuição de intervenção no domínio econômico (art. 149 da Constituição) destinada a incentivar o cooperativismo como forma de organização da atividade econômica, com amparo no § 2º do artigo 174 da Carta Política. (...) O estímulo ao cooperativismo é finalidade pública, por expressa previsão constitucional — ‘a lei apoiará e estimulará o cooperativismo’ (art. 174, § 2º, da CF) – e o dever de prestar contas ao TCU está previsto, em caráter m</w:t>
      </w:r>
    </w:p>
    <w:p>
      <w:pPr>
        <w:ind w:left="288"/>
      </w:pPr>
      <w:r>
        <w:rPr>
          <w:b/>
          <w:color w:val="003CA0"/>
          <w:sz w:val="16"/>
        </w:rPr>
        <w:t>[ADI 1.924, rel. min. Rosa Weber, j. 16-9-2020, P, DJE de 5-10-2020.]</w:t>
      </w:r>
    </w:p>
    <w:p>
      <w:pPr>
        <w:ind w:left="288"/>
      </w:pPr>
      <w:r>
        <w:rPr>
          <w:color w:val="8C8C8C"/>
          <w:sz w:val="12"/>
        </w:rPr>
        <w:t>cf-art-149</w:t>
      </w:r>
      <w:r>
        <w:rPr>
          <w:color w:val="003CA0"/>
          <w:sz w:val="12"/>
        </w:rPr>
        <w:t xml:space="preserve"> | ADI 5.794</w:t>
      </w:r>
      <w:r>
        <w:rPr>
          <w:color w:val="003CA0"/>
          <w:sz w:val="12"/>
        </w:rPr>
        <w:t xml:space="preserve"> | rel. Edson Fachin</w:t>
      </w:r>
    </w:p>
    <w:p>
      <w:pPr>
        <w:ind w:left="288"/>
      </w:pPr>
      <w:r>
        <w:rPr>
          <w:color w:val="1E1E1E"/>
          <w:sz w:val="18"/>
        </w:rPr>
        <w:t>A Lei 13.467/2017 emprega critério homogêneo e igualitário ao exigir prévia e expressa anuência de todo e qualquer trabalhador para o desconto da contribuição sindical, ao mesmo tempo em que suprime a natureza tributária da contribuição, seja em relação aos sindicalizados, seja quanto aos demais, motivos pelos quais não há qualquer violação ao princípio da isonomia tributária (art. 150, II, da Constituição), até porque não há que se invocar uma limitação ao poder de tributar para prejudicar o contribuinte, expandindo o alcance do tributo, como suporte à pretensão de que os empregados não-sindi</w:t>
      </w:r>
    </w:p>
    <w:p>
      <w:pPr>
        <w:ind w:left="288"/>
      </w:pPr>
      <w:r>
        <w:rPr>
          <w:b/>
          <w:color w:val="003CA0"/>
          <w:sz w:val="16"/>
        </w:rPr>
        <w:t>[ADI 5.794, rel. min. Edson Fachin, j. 29-6-2018, P, DJE de 23-4-2019.]</w:t>
      </w:r>
    </w:p>
    <w:p>
      <w:pPr>
        <w:ind w:left="288"/>
      </w:pPr>
      <w:r>
        <w:rPr>
          <w:color w:val="8C8C8C"/>
          <w:sz w:val="12"/>
        </w:rPr>
        <w:t>cf-art-149</w:t>
      </w:r>
      <w:r>
        <w:rPr>
          <w:color w:val="003CA0"/>
          <w:sz w:val="12"/>
        </w:rPr>
        <w:t xml:space="preserve"> | ADI 4.033</w:t>
      </w:r>
      <w:r>
        <w:rPr>
          <w:color w:val="003CA0"/>
          <w:sz w:val="12"/>
        </w:rPr>
        <w:t xml:space="preserve"> | rel. Joaquim Barbosa</w:t>
      </w:r>
    </w:p>
    <w:p>
      <w:pPr>
        <w:ind w:left="288"/>
      </w:pPr>
      <w:r>
        <w:rPr>
          <w:color w:val="1E1E1E"/>
          <w:sz w:val="18"/>
        </w:rPr>
        <w:t>Contribuição sindical patronal. Isenção concedida às microempresas e empresas de pequeno porte. Simples Nacional ("Supersimples"). LC 123/2006, art. 13, § 3º. (...) Risco à autonomia sindical afastado, na medida em que o benefício em exame poderá tanto elevar o número de empresas a patamar superior ao da faixa de isenção quanto fomentar a atividade econômica e o consumo para as empresas de médio ou de grande porte, ao incentivar a regularização de empreendimentos.</w:t>
      </w:r>
    </w:p>
    <w:p>
      <w:pPr>
        <w:ind w:left="288"/>
      </w:pPr>
      <w:r>
        <w:rPr>
          <w:b/>
          <w:color w:val="003CA0"/>
          <w:sz w:val="16"/>
        </w:rPr>
        <w:t>[ADI 4.033, rel. min. Joaquim Barbosa, j. 15-9-2010, P, DJE de 7-2-2011.]</w:t>
      </w:r>
    </w:p>
    <w:p>
      <w:pPr>
        <w:ind w:left="288"/>
      </w:pPr>
      <w:r>
        <w:rPr>
          <w:color w:val="8C8C8C"/>
          <w:sz w:val="12"/>
        </w:rPr>
        <w:t>cf-art-149</w:t>
      </w:r>
      <w:r>
        <w:rPr>
          <w:color w:val="003CA0"/>
          <w:sz w:val="12"/>
        </w:rPr>
        <w:t xml:space="preserve"> | ADI 2.556</w:t>
      </w:r>
      <w:r>
        <w:rPr>
          <w:color w:val="003CA0"/>
          <w:sz w:val="12"/>
        </w:rPr>
        <w:t xml:space="preserve"> | rel. Moreira Alves</w:t>
      </w:r>
    </w:p>
    <w:p>
      <w:pPr>
        <w:ind w:left="288"/>
      </w:pPr>
      <w:r>
        <w:rPr>
          <w:color w:val="1E1E1E"/>
          <w:sz w:val="18"/>
        </w:rPr>
        <w:t>Ação direta de inconstitucionalidade. Impugnação de artigos e de expressões contidas na LC federal 110, de 29-6-2001. Pedido de liminar. A natureza jurídica das duas exações criadas pela lei em causa, neste exame sumário, é a de que são elas tributárias, caracterizando-se como contribuições sociais que se enquadram na subespécie "contribuições sociais gerais" que se submetem à regência do art. 149 da Constituição, e não à do art. 195 da Carta Magna.</w:t>
      </w:r>
    </w:p>
    <w:p>
      <w:pPr>
        <w:ind w:left="288"/>
      </w:pPr>
      <w:r>
        <w:rPr>
          <w:b/>
          <w:color w:val="003CA0"/>
          <w:sz w:val="16"/>
        </w:rPr>
        <w:t>[ADI 2.556 MC, rel. min. Moreira Alves, j. 9-10-2002, P, DJ de 8-8-2003.]</w:t>
      </w:r>
    </w:p>
    <w:p>
      <w:pPr>
        <w:ind w:left="288"/>
      </w:pPr>
      <w:r>
        <w:rPr>
          <w:color w:val="8C8C8C"/>
          <w:sz w:val="12"/>
        </w:rPr>
        <w:t>cf-art-149</w:t>
      </w:r>
      <w:r>
        <w:rPr>
          <w:color w:val="003CA0"/>
          <w:sz w:val="12"/>
        </w:rPr>
        <w:t xml:space="preserve"> | AI 744.316</w:t>
      </w:r>
      <w:r>
        <w:rPr>
          <w:color w:val="003CA0"/>
          <w:sz w:val="12"/>
        </w:rPr>
        <w:t xml:space="preserve"> | rel. Dias Toffoli</w:t>
      </w:r>
    </w:p>
    <w:p>
      <w:pPr>
        <w:ind w:left="288"/>
      </w:pPr>
      <w:r>
        <w:rPr>
          <w:color w:val="1E1E1E"/>
          <w:sz w:val="18"/>
        </w:rPr>
        <w:t>= AI 744.316 AgR, rel. min. Dias Toffoli, j. 2-12-2010, 1ª T, DJE de 22-3-2011 I - É constitucional a contribuição de intervenção no domínio econômico (CIDE) destinada a financiar o Programa de Estímulo à Interação Universidade-Empresa para o Apoio à Inovação, instituída e disciplinada pela Lei nº 10.168/2000, com as alterações empreendidas pelas Leis nºs 10.332/2001 e 11.452/2007; II - A arrecadação da CIDE, instituída pela Lei nº 10.168/2000, com as alterações empreendidas pelas Leis nºs 10.332/2001 e 11.452/2007, deve ser integralmente aplicada na área de atuação Ciência e Tecnologia, nos t</w:t>
      </w:r>
    </w:p>
    <w:p>
      <w:pPr>
        <w:ind w:left="288"/>
      </w:pPr>
      <w:r>
        <w:rPr>
          <w:b/>
          <w:color w:val="003CA0"/>
          <w:sz w:val="16"/>
        </w:rPr>
        <w:t>[RE 928.943, rel. min. Luiz Fux, red. do ac. min. Flávio Dino, j. 13.08.2025, P, DJE de 16.10.2025, Tema 914, com mérito julgado.]</w:t>
      </w:r>
    </w:p>
    <w:p>
      <w:pPr>
        <w:ind w:left="144"/>
      </w:pPr>
      <w:r>
        <w:rPr>
          <w:b/>
          <w:color w:val="B45A00"/>
          <w:sz w:val="16"/>
        </w:rPr>
        <w:t>REPERCUSSAO GERAL</w:t>
      </w:r>
    </w:p>
    <w:p>
      <w:pPr>
        <w:ind w:left="288"/>
      </w:pPr>
      <w:r>
        <w:rPr>
          <w:color w:val="8C8C8C"/>
          <w:sz w:val="12"/>
        </w:rPr>
        <w:t>cf-art-149</w:t>
      </w:r>
      <w:r>
        <w:rPr>
          <w:color w:val="003CA0"/>
          <w:sz w:val="12"/>
        </w:rPr>
        <w:t xml:space="preserve"> | RE 593.544</w:t>
      </w:r>
      <w:r>
        <w:rPr>
          <w:color w:val="003CA0"/>
          <w:sz w:val="12"/>
        </w:rPr>
        <w:t xml:space="preserve"> | rel. Luís Roberto Barroso</w:t>
      </w:r>
    </w:p>
    <w:p>
      <w:pPr>
        <w:ind w:left="288"/>
      </w:pPr>
      <w:r>
        <w:rPr>
          <w:color w:val="1E1E1E"/>
          <w:sz w:val="18"/>
        </w:rPr>
        <w:t>“Os créditos presumidos de IPI, instituídos pela Lei nº 9.363/1996, não integram a base de cálculo da contribuição para o PIS e da COFINS, sob a sistemática de apuração cumulativa (Lei nº 9.718/1998), pois não se amoldam ao conceito constitucional de faturamento.”.</w:t>
        <w:br/>
        <w:t>[RE 593.544, rel. min. Luís Roberto Barroso, j. 19.12.2023, P, DJE de 08.03.2024, Tema 504, com mérito julgado.] “(...) III - É constitucional a contribuição social destinada ao Serviço Nacional de Aprendizagem Rural (SENAR), de que trata o art. 25, § 1º, da Lei nº 8.870/1994, inclusive na redação conferida pela Lei nº 10.256/2001".</w:t>
      </w:r>
    </w:p>
    <w:p>
      <w:pPr>
        <w:ind w:left="288"/>
      </w:pPr>
      <w:r>
        <w:rPr>
          <w:b/>
          <w:color w:val="003CA0"/>
          <w:sz w:val="16"/>
        </w:rPr>
        <w:t>[RE 878.313, red. do ac. min. Alexandre de Moraes, j. 18-8-2020, P, DJE de 4-9-2020, Tema 846, com mérito julgado.]</w:t>
      </w:r>
    </w:p>
    <w:p>
      <w:pPr>
        <w:ind w:left="288"/>
      </w:pPr>
      <w:r>
        <w:rPr>
          <w:color w:val="8C8C8C"/>
          <w:sz w:val="12"/>
        </w:rPr>
        <w:t>cf-art-149</w:t>
      </w:r>
      <w:r>
        <w:rPr>
          <w:color w:val="003CA0"/>
          <w:sz w:val="12"/>
        </w:rPr>
        <w:t xml:space="preserve"> | RE 1.053.574</w:t>
      </w:r>
      <w:r>
        <w:rPr>
          <w:color w:val="003CA0"/>
          <w:sz w:val="12"/>
        </w:rPr>
        <w:t xml:space="preserve"> | rel. Gilmar Mendes</w:t>
      </w:r>
    </w:p>
    <w:p>
      <w:pPr>
        <w:ind w:left="288"/>
      </w:pPr>
      <w:r>
        <w:rPr>
          <w:color w:val="1E1E1E"/>
          <w:sz w:val="18"/>
        </w:rPr>
        <w:t>Não há reserva de lei complementar para o repasse do PIS e COFINS ao usuário de serviços públicos concedidos, tais como telefonia e energia elétrica, cobrado nas respectivas faturas.</w:t>
      </w:r>
    </w:p>
    <w:p>
      <w:pPr>
        <w:ind w:left="288"/>
      </w:pPr>
      <w:r>
        <w:rPr>
          <w:b/>
          <w:color w:val="003CA0"/>
          <w:sz w:val="16"/>
        </w:rPr>
        <w:t>[RE 1.053.574, voto do rel. min. Gilmar Mendes, j. 25-10-2019, P, DJE de 22-11-2019, Tema 415, com mérito julgado.]</w:t>
      </w:r>
    </w:p>
    <w:p>
      <w:pPr>
        <w:ind w:left="288"/>
      </w:pPr>
      <w:r>
        <w:rPr>
          <w:color w:val="8C8C8C"/>
          <w:sz w:val="12"/>
        </w:rPr>
        <w:t>cf-art-149</w:t>
      </w:r>
      <w:r>
        <w:rPr>
          <w:color w:val="003CA0"/>
          <w:sz w:val="12"/>
        </w:rPr>
        <w:t xml:space="preserve"> | RE 635.682</w:t>
      </w:r>
      <w:r>
        <w:rPr>
          <w:color w:val="003CA0"/>
          <w:sz w:val="12"/>
        </w:rPr>
        <w:t xml:space="preserve"> | rel. Gilmar Mendes</w:t>
      </w:r>
    </w:p>
    <w:p>
      <w:pPr>
        <w:ind w:left="288"/>
      </w:pPr>
      <w:r>
        <w:rPr>
          <w:color w:val="1E1E1E"/>
          <w:sz w:val="18"/>
        </w:rPr>
        <w:t>(...) a contribuição de intervenção no domínio econômico (...) sujeitam-se, sim, às normas gerais estabelecidas pela legislação complementar em matéria tributária, mas não é de se exigir que elas próprias sejam veiculadas apenas por meio de lei complementar.</w:t>
      </w:r>
    </w:p>
    <w:p>
      <w:pPr>
        <w:ind w:left="288"/>
      </w:pPr>
      <w:r>
        <w:rPr>
          <w:b/>
          <w:color w:val="003CA0"/>
          <w:sz w:val="16"/>
        </w:rPr>
        <w:t>[RE 635.682, voto do rel. min. Gilmar Mendes, j. 25-4-2013, P, DJE de 24-5-2013, Tema 227, com mérito julgado.]</w:t>
      </w:r>
    </w:p>
    <w:p>
      <w:pPr>
        <w:ind w:left="144"/>
      </w:pPr>
      <w:r>
        <w:rPr>
          <w:b/>
          <w:color w:val="B45A00"/>
          <w:sz w:val="16"/>
        </w:rPr>
        <w:t>JULGADOS CORRELATOS</w:t>
      </w:r>
    </w:p>
    <w:p>
      <w:pPr>
        <w:ind w:left="288"/>
      </w:pPr>
      <w:r>
        <w:rPr>
          <w:color w:val="8C8C8C"/>
          <w:sz w:val="12"/>
        </w:rPr>
        <w:t>cf-art-149</w:t>
      </w:r>
      <w:r>
        <w:rPr>
          <w:color w:val="003CA0"/>
          <w:sz w:val="12"/>
        </w:rPr>
        <w:t xml:space="preserve"> | ARE 737.963</w:t>
      </w:r>
      <w:r>
        <w:rPr>
          <w:color w:val="003CA0"/>
          <w:sz w:val="12"/>
        </w:rPr>
        <w:t xml:space="preserve"> | rel. Rosa Weber</w:t>
      </w:r>
    </w:p>
    <w:p>
      <w:pPr>
        <w:ind w:left="288"/>
      </w:pPr>
      <w:r>
        <w:rPr>
          <w:color w:val="1E1E1E"/>
          <w:sz w:val="18"/>
        </w:rPr>
        <w:t>(...) jurisprudência firmada no âmbito deste STF, no sentido de que a contribuição compulsória para o custeio dos serviços de saúde deve incidir somente sobre um dos cargos exercidos pelo servidor.</w:t>
      </w:r>
    </w:p>
    <w:p>
      <w:pPr>
        <w:ind w:left="288"/>
      </w:pPr>
      <w:r>
        <w:rPr>
          <w:b/>
          <w:color w:val="003CA0"/>
          <w:sz w:val="16"/>
        </w:rPr>
        <w:t>[ARE 737.963 AgR, rel. min. Rosa Weber, j. 4-11-2014, 1ª T, DJE de 20-11-2014.]</w:t>
      </w:r>
    </w:p>
    <w:p>
      <w:pPr>
        <w:ind w:left="288"/>
      </w:pPr>
      <w:r>
        <w:rPr>
          <w:color w:val="8C8C8C"/>
          <w:sz w:val="12"/>
        </w:rPr>
        <w:t>cf-art-149</w:t>
      </w:r>
      <w:r>
        <w:rPr>
          <w:color w:val="003CA0"/>
          <w:sz w:val="12"/>
        </w:rPr>
        <w:t xml:space="preserve"> | RE 793.564</w:t>
      </w:r>
      <w:r>
        <w:rPr>
          <w:color w:val="003CA0"/>
          <w:sz w:val="12"/>
        </w:rPr>
        <w:t xml:space="preserve"> | rel. Marco Aurélio</w:t>
      </w:r>
    </w:p>
    <w:p>
      <w:pPr>
        <w:ind w:left="288"/>
      </w:pPr>
      <w:r>
        <w:rPr>
          <w:color w:val="1E1E1E"/>
          <w:sz w:val="18"/>
        </w:rPr>
        <w:t>A desvinculação parcial da receita da União, constante do art. 76 do ADCT, não transforma as contribuições sociais e de intervenção no domínio econômico em impostos, alterando a essência daquelas, ausente qualquer implicação quanto à apuração do Fundo de Participação dos Municípios.</w:t>
      </w:r>
    </w:p>
    <w:p>
      <w:pPr>
        <w:ind w:left="288"/>
      </w:pPr>
      <w:r>
        <w:rPr>
          <w:b/>
          <w:color w:val="003CA0"/>
          <w:sz w:val="16"/>
        </w:rPr>
        <w:t>[RE 793.564 AgR, rel. min. Marco Aurélio, j. 12-8-2014, 1ª T, DJE de 1º-10-2014.]</w:t>
      </w:r>
    </w:p>
    <w:p>
      <w:pPr>
        <w:ind w:left="288"/>
      </w:pPr>
      <w:r>
        <w:rPr>
          <w:color w:val="8C8C8C"/>
          <w:sz w:val="12"/>
        </w:rPr>
        <w:t>cf-art-149</w:t>
      </w:r>
      <w:r>
        <w:rPr>
          <w:color w:val="003CA0"/>
          <w:sz w:val="12"/>
        </w:rPr>
        <w:t xml:space="preserve"> | RE 509.624</w:t>
      </w:r>
      <w:r>
        <w:rPr>
          <w:color w:val="003CA0"/>
          <w:sz w:val="12"/>
        </w:rPr>
        <w:t xml:space="preserve"> | rel. Joaquim Barbosa</w:t>
      </w:r>
    </w:p>
    <w:p>
      <w:pPr>
        <w:ind w:left="288"/>
      </w:pPr>
      <w:r>
        <w:rPr>
          <w:color w:val="1E1E1E"/>
          <w:sz w:val="18"/>
        </w:rPr>
        <w:t>A atividade desempenhada por empresa prestadora de serviços com intuito lucrativo é compatível com o escopo de atuação do Sesc [Serviço Social do Comércio] e do Senac [Serviço Nacional de Aprendizagem Comercial], enquanto não for criada entidade sindical de grau superior com o objetivo de orientar, coordenar e defender todas as atividades econômicas relacionadas à prestação de serviços.</w:t>
      </w:r>
    </w:p>
    <w:p>
      <w:pPr>
        <w:ind w:left="288"/>
      </w:pPr>
      <w:r>
        <w:rPr>
          <w:b/>
          <w:color w:val="003CA0"/>
          <w:sz w:val="16"/>
        </w:rPr>
        <w:t>[RE 509.624 AgR, rel. min. Joaquim Barbosa, j. 1º-3-2011, 2ª T, DJE de 1º-4-2011.]</w:t>
      </w:r>
    </w:p>
    <w:p>
      <w:pPr>
        <w:ind w:left="288"/>
      </w:pPr>
      <w:r>
        <w:rPr>
          <w:color w:val="8C8C8C"/>
          <w:sz w:val="12"/>
        </w:rPr>
        <w:t>cf-art-149</w:t>
      </w:r>
      <w:r>
        <w:rPr>
          <w:color w:val="003CA0"/>
          <w:sz w:val="12"/>
        </w:rPr>
        <w:t xml:space="preserve"> | RE 158.208</w:t>
      </w:r>
      <w:r>
        <w:rPr>
          <w:color w:val="003CA0"/>
          <w:sz w:val="12"/>
        </w:rPr>
        <w:t xml:space="preserve"> | rel. Ellen Gracie</w:t>
      </w:r>
    </w:p>
    <w:p>
      <w:pPr>
        <w:ind w:left="288"/>
      </w:pPr>
      <w:r>
        <w:rPr>
          <w:color w:val="1E1E1E"/>
          <w:sz w:val="18"/>
        </w:rPr>
        <w:t xml:space="preserve">(...) conforme demonstrado na decisão atacada por meio de precedente citado (RE 158.208/RN), da relatoria do min. Marco Aurélio, a Contribuição para o IAA configura contribuição de intervenção no domínio econômico, nos termos do art. 149 da CF. (...) Dessa forma, a prescrição é regida pelo CTN. (...) Asseverou-se, naquele julgamento, que a EC 8/1977 retirou a natureza tributária das contribuições sociais, com exceção daquelas de intervenção no domínio econômico, como a de que tratam estes autos (IAA). E, uma vez definida a natureza jurídico-tributária da contribuição ao IAA, apenas foi citada </w:t>
      </w:r>
    </w:p>
    <w:p>
      <w:pPr>
        <w:ind w:left="288"/>
      </w:pPr>
      <w:r>
        <w:rPr>
          <w:b/>
          <w:color w:val="003CA0"/>
          <w:sz w:val="16"/>
        </w:rPr>
        <w:t>[RE 543.997 AgR, voto da rel. min. Ellen Gracie, j. 22-6-2010, 2ª T, DJE de 6-8-2010.]</w:t>
      </w:r>
    </w:p>
    <w:p>
      <w:pPr>
        <w:ind w:left="288"/>
      </w:pPr>
      <w:r>
        <w:rPr>
          <w:color w:val="8C8C8C"/>
          <w:sz w:val="12"/>
        </w:rPr>
        <w:t>cf-art-149</w:t>
      </w:r>
      <w:r>
        <w:rPr>
          <w:color w:val="003CA0"/>
          <w:sz w:val="12"/>
        </w:rPr>
        <w:t xml:space="preserve"> | RE 214.206</w:t>
      </w:r>
      <w:r>
        <w:rPr>
          <w:color w:val="003CA0"/>
          <w:sz w:val="12"/>
        </w:rPr>
        <w:t xml:space="preserve"> | rel. Eros Grau</w:t>
      </w:r>
    </w:p>
    <w:p>
      <w:pPr>
        <w:ind w:left="288"/>
      </w:pPr>
      <w:r>
        <w:rPr>
          <w:color w:val="1E1E1E"/>
          <w:sz w:val="18"/>
        </w:rPr>
        <w:t>Vide RE 214.206, red. do ac. min. Nelson Jobim, j. 15-10-1997, P, DJ de 29-5-1998 O STF fixou entendimento no sentido da dispensabilidade de lei complementar para a criação das contribuições de intervenção no domínio econômico e de interesse das categorias profissionais.</w:t>
      </w:r>
    </w:p>
    <w:p>
      <w:pPr>
        <w:ind w:left="288"/>
      </w:pPr>
      <w:r>
        <w:rPr>
          <w:b/>
          <w:color w:val="003CA0"/>
          <w:sz w:val="16"/>
        </w:rPr>
        <w:t>[AI 739.715 AgR, rel. min. Eros Grau, j. 26-5-2009, 2ª T, DJE de 19-6-2009.]</w:t>
      </w:r>
    </w:p>
    <w:p>
      <w:pPr>
        <w:ind w:left="288"/>
      </w:pPr>
      <w:r>
        <w:rPr>
          <w:color w:val="8C8C8C"/>
          <w:sz w:val="12"/>
        </w:rPr>
        <w:t>cf-art-149</w:t>
      </w:r>
      <w:r>
        <w:rPr>
          <w:color w:val="003CA0"/>
          <w:sz w:val="12"/>
        </w:rPr>
        <w:t xml:space="preserve"> | ACO 580</w:t>
      </w:r>
      <w:r>
        <w:rPr>
          <w:color w:val="003CA0"/>
          <w:sz w:val="12"/>
        </w:rPr>
        <w:t xml:space="preserve"> | rel. Maurício Corrêa</w:t>
      </w:r>
    </w:p>
    <w:p>
      <w:pPr>
        <w:ind w:left="288"/>
      </w:pPr>
      <w:r>
        <w:rPr>
          <w:color w:val="1E1E1E"/>
          <w:sz w:val="18"/>
        </w:rPr>
        <w:t>O Pasep, sendo contribuição instituída pela própria Carta da República, não se confunde com aquelas que a União pode criar na forma dos seus arts. 149 e 195, nem se lhe aplicam quaisquer dos princípios ou restrições constitucionais que regulam as contribuições em geral.</w:t>
      </w:r>
    </w:p>
    <w:p>
      <w:pPr>
        <w:ind w:left="288"/>
      </w:pPr>
      <w:r>
        <w:rPr>
          <w:b/>
          <w:color w:val="003CA0"/>
          <w:sz w:val="16"/>
        </w:rPr>
        <w:t>[ACO 580, rel. min. Maurício Corrêa, j. 15-8-2002, P, DJ de 25-10-2002.]</w:t>
      </w:r>
    </w:p>
    <w:p>
      <w:pPr>
        <w:ind w:left="288"/>
      </w:pPr>
      <w:r>
        <w:rPr>
          <w:color w:val="8C8C8C"/>
          <w:sz w:val="12"/>
        </w:rPr>
        <w:t>cf-art-149</w:t>
      </w:r>
      <w:r>
        <w:rPr>
          <w:color w:val="003CA0"/>
          <w:sz w:val="12"/>
        </w:rPr>
        <w:t xml:space="preserve"> | MS 21.797</w:t>
      </w:r>
      <w:r>
        <w:rPr>
          <w:color w:val="003CA0"/>
          <w:sz w:val="12"/>
        </w:rPr>
        <w:t xml:space="preserve"> | rel. Carlos Velloso</w:t>
      </w:r>
    </w:p>
    <w:p>
      <w:pPr>
        <w:ind w:left="288"/>
      </w:pPr>
      <w:r>
        <w:rPr>
          <w:color w:val="1E1E1E"/>
          <w:sz w:val="18"/>
        </w:rPr>
        <w:t>Constitucional. Administrativo. Entidades fiscalizadoras do exercício profissional. Conselho Federal de Odontologia: natureza autárquica. Lei 4.234, de 1964, art. 2º. Fiscalização por parte do TCU. Natureza autárquica do Conselho Federal e dos Conselhos Regionais de Odontologia. Obrigatoriedade de prestar contas ao TCU. (...) As contribuições cobradas pelas autarquias responsáveis pela fiscalização do exercício profissional são contribuições parafiscais, contribuições corporativas, com caráter tributário. CF, art. 149 (...).</w:t>
      </w:r>
    </w:p>
    <w:p>
      <w:pPr>
        <w:ind w:left="288"/>
      </w:pPr>
      <w:r>
        <w:rPr>
          <w:b/>
          <w:color w:val="003CA0"/>
          <w:sz w:val="16"/>
        </w:rPr>
        <w:t>[MS 21.797, rel. min. Carlos Velloso, j. 9-3-2001, P, DJ de 18-5-2001.]</w:t>
      </w:r>
    </w:p>
    <w:p>
      <w:pPr>
        <w:ind w:left="288"/>
      </w:pPr>
      <w:r>
        <w:rPr>
          <w:color w:val="8C8C8C"/>
          <w:sz w:val="12"/>
        </w:rPr>
        <w:t>cf-art-149</w:t>
      </w:r>
      <w:r>
        <w:rPr>
          <w:color w:val="003CA0"/>
          <w:sz w:val="12"/>
        </w:rPr>
        <w:t xml:space="preserve"> | ADI 4.697</w:t>
      </w:r>
      <w:r>
        <w:rPr>
          <w:color w:val="003CA0"/>
          <w:sz w:val="12"/>
        </w:rPr>
        <w:t xml:space="preserve"> | rel. Edson Fachin</w:t>
      </w:r>
    </w:p>
    <w:p>
      <w:pPr>
        <w:ind w:left="288"/>
      </w:pPr>
      <w:r>
        <w:rPr>
          <w:color w:val="1E1E1E"/>
          <w:sz w:val="18"/>
        </w:rPr>
        <w:t>= ADI 4.697 e ADI 4.762, rel. min. Edson Fachin, j. 6-10-2016, P, DJE de 30-3-2017 Adicional de Tarifa Portuária (ATP). Lei 7.700, de 1988, art. 1º, § 1º. Natureza jurídica do ATP: contribuição de intervenção no domínio econômico, segundo o entendimento da maioria, a partir dos votos dos ministros Ilmar Galvão e Nelson Jobim. Voto do relator, vencido no fundamento: natureza jurídica do ATP: taxa (...).</w:t>
      </w:r>
    </w:p>
    <w:p>
      <w:pPr>
        <w:ind w:left="288"/>
      </w:pPr>
      <w:r>
        <w:rPr>
          <w:b/>
          <w:color w:val="003CA0"/>
          <w:sz w:val="16"/>
        </w:rPr>
        <w:t>[RE 209.365, rel. min. Carlos Velloso, j. 4-3-1999, P, DJ de 7-12-2000.]</w:t>
      </w:r>
    </w:p>
    <w:p>
      <w:pPr>
        <w:ind w:left="288"/>
      </w:pPr>
      <w:r>
        <w:rPr>
          <w:color w:val="8C8C8C"/>
          <w:sz w:val="12"/>
        </w:rPr>
        <w:t>cf-art-149</w:t>
      </w:r>
      <w:r>
        <w:rPr>
          <w:color w:val="003CA0"/>
          <w:sz w:val="12"/>
        </w:rPr>
        <w:t xml:space="preserve"> | RE 214.206</w:t>
      </w:r>
    </w:p>
    <w:p>
      <w:pPr>
        <w:ind w:left="288"/>
      </w:pPr>
      <w:r>
        <w:rPr>
          <w:color w:val="1E1E1E"/>
          <w:sz w:val="18"/>
        </w:rPr>
        <w:t>Contribuição devida ao Instituto do Açúcar e do Álcool (IAA). A CF/1988 recepcionou o DL 308/1967, com as alterações dos DL 1.712/1979 e DL 1.952/1982. Ficou afastada a ofensa ao art. 149 da CF/1988, que exige lei complementar para a instituição de contribuições de intervenção no domínio econômico. A contribuição para o IAA é compatível com o sistema tributário nacional. Não vulnera o art. 34, § 5º, do ADCT/CF/1988. É incompatível com a CF/1988 a possibilidade de a alíquota variar ou ser fixada por autoridade administrativa.</w:t>
      </w:r>
    </w:p>
    <w:p>
      <w:pPr>
        <w:ind w:left="288"/>
      </w:pPr>
      <w:r>
        <w:rPr>
          <w:b/>
          <w:color w:val="003CA0"/>
          <w:sz w:val="16"/>
        </w:rPr>
        <w:t>[RE 214.206, red. do ac. min. Nelson Jobim, j. 15-10-1997, P, DJ de 29-5-1998.]</w:t>
      </w:r>
    </w:p>
    <w:p>
      <w:pPr>
        <w:ind w:left="288"/>
      </w:pPr>
      <w:r>
        <w:rPr>
          <w:color w:val="8C8C8C"/>
          <w:sz w:val="12"/>
        </w:rPr>
        <w:t>cf-art-149</w:t>
      </w:r>
      <w:r>
        <w:rPr>
          <w:color w:val="003CA0"/>
          <w:sz w:val="12"/>
        </w:rPr>
        <w:t xml:space="preserve"> | RE 597.098</w:t>
      </w:r>
      <w:r>
        <w:rPr>
          <w:color w:val="003CA0"/>
          <w:sz w:val="12"/>
        </w:rPr>
        <w:t xml:space="preserve"> | rel. Joaquim Barbosa</w:t>
      </w:r>
    </w:p>
    <w:p>
      <w:pPr>
        <w:ind w:left="288"/>
      </w:pPr>
      <w:r>
        <w:rPr>
          <w:color w:val="1E1E1E"/>
          <w:sz w:val="18"/>
        </w:rPr>
        <w:t>= RE 597.098 AgR, rel. min. Joaquim Barbosa, j. 4-10-2011, 2ª T, DJE de 17-11-2011 Vide RE 543.997 AgR, voto da rel. min. Ellen Gracie, j. 22-6-2010, 2ª T, DJE de 6-8-2010 Adicional ao Frete para Renovação da Marinha Mercante  (AFRMM): Contribuição parafiscal ou especial de intervenção no domínio econômico. CF, arts. 149 e 155, § 2º, IX. ADCT, art. 36. O AFRMM é uma contribuição parafiscal ou especial, contribuição de intervenção no domínio econômico, terceiro gênero tributário, distinta do imposto e da taxa (CF, art. 149).</w:t>
      </w:r>
    </w:p>
    <w:p>
      <w:pPr>
        <w:ind w:left="288"/>
      </w:pPr>
      <w:r>
        <w:rPr>
          <w:b/>
          <w:color w:val="003CA0"/>
          <w:sz w:val="16"/>
        </w:rPr>
        <w:t>[RE 177.137, rel. min. Carlos Velloso, j. 24-5-1995, P, DJ de 18-4-1997.]</w:t>
      </w:r>
    </w:p>
    <w:p>
      <w:pPr>
        <w:ind w:left="288"/>
      </w:pPr>
      <w:r>
        <w:rPr>
          <w:color w:val="8C8C8C"/>
          <w:sz w:val="12"/>
        </w:rPr>
        <w:t>cf-art-149</w:t>
      </w:r>
      <w:r>
        <w:rPr>
          <w:color w:val="003CA0"/>
          <w:sz w:val="12"/>
        </w:rPr>
        <w:t xml:space="preserve"> | RE 168.457</w:t>
      </w:r>
      <w:r>
        <w:rPr>
          <w:color w:val="003CA0"/>
          <w:sz w:val="12"/>
        </w:rPr>
        <w:t xml:space="preserve"> | rel. Moreira Alves</w:t>
      </w:r>
    </w:p>
    <w:p>
      <w:pPr>
        <w:ind w:left="288"/>
      </w:pPr>
      <w:r>
        <w:rPr>
          <w:color w:val="1E1E1E"/>
          <w:sz w:val="18"/>
        </w:rPr>
        <w:t>Finsocial. Entrada em vigor do art. 28 da Lei 7.738/1989 em que foi convertida a MP 32, de 3-2-1989. Como se vê do art. 149 da CF, as contribuições aludidas no art. 195 têm natureza tributária, embora a elas não se aplique o disposto na letra b do inciso III do art. 150 da CF, graças à ressalva da parte final do art. 149: "sem prejuízo do previsto no art. 195, § 6º, relativamente às contribuições a que alude o dispositivo". Tem razão a recorrida quando sustenta que, contados os noventa dias a partir da publicação da MP 32, de 3-2-1989, que deu margem à Lei de Conversão 7.738, de 9-3-1989, só e</w:t>
      </w:r>
    </w:p>
    <w:p>
      <w:pPr>
        <w:ind w:left="288"/>
      </w:pPr>
      <w:r>
        <w:rPr>
          <w:b/>
          <w:color w:val="003CA0"/>
          <w:sz w:val="16"/>
        </w:rPr>
        <w:t>[RE 168.457, rel. min. Moreira Alves, j. 17-5-1994, 1ª T, DJ de 11-11-1994.]</w:t>
      </w:r>
    </w:p>
    <w:p>
      <w:pPr>
        <w:ind w:left="288"/>
      </w:pPr>
      <w:r>
        <w:rPr>
          <w:color w:val="8C8C8C"/>
          <w:sz w:val="12"/>
        </w:rPr>
        <w:t>cf-art-149</w:t>
      </w:r>
    </w:p>
    <w:p>
      <w:pPr>
        <w:ind w:left="288"/>
      </w:pPr>
      <w:r>
        <w:rPr>
          <w:color w:val="1E1E1E"/>
          <w:sz w:val="18"/>
        </w:rPr>
        <w:t>§ 1º A União, os Estados, o Distrito Federal e os Municípios instituirão, por meio de lei, contribuições para custeio de regime próprio de previdência social, cobradas dos servidores ativos, dos aposentados e dos pensionistas, que poderão ter alíquotas progressivas de acordo com o valor da base de contribuição ou dos proventos de aposentadoria e de pensões. (Redação da EC 41/03)</w:t>
      </w:r>
    </w:p>
    <w:p>
      <w:pPr>
        <w:ind w:left="144"/>
      </w:pPr>
      <w:r>
        <w:rPr>
          <w:b/>
          <w:color w:val="B45A00"/>
          <w:sz w:val="16"/>
        </w:rPr>
        <w:t>CONTROLE CONCENTRADO</w:t>
      </w:r>
    </w:p>
    <w:p>
      <w:pPr>
        <w:ind w:left="288"/>
      </w:pPr>
      <w:r>
        <w:rPr>
          <w:color w:val="8C8C8C"/>
          <w:sz w:val="12"/>
        </w:rPr>
        <w:t>cf-art-149</w:t>
      </w:r>
      <w:r>
        <w:rPr>
          <w:color w:val="003CA0"/>
          <w:sz w:val="12"/>
        </w:rPr>
        <w:t xml:space="preserve"> | ADI 6.534</w:t>
      </w:r>
      <w:r>
        <w:rPr>
          <w:color w:val="003CA0"/>
          <w:sz w:val="12"/>
        </w:rPr>
        <w:t xml:space="preserve"> | rel. Flávio Dino</w:t>
      </w:r>
    </w:p>
    <w:p>
      <w:pPr>
        <w:ind w:left="288"/>
      </w:pPr>
      <w:r>
        <w:rPr>
          <w:color w:val="1E1E1E"/>
          <w:sz w:val="18"/>
        </w:rPr>
        <w:t>“É constitucional a majoração da alíquota de contribuição dos servidores públicos estaduais mediante lei ordinária (CF, art. 149, § 1º), inexistindo reserva de lei complementar na matéria, cabendo, inclusive, para esse efeito, a edição de medida provisória, sempre que presentes os pressupostos constitucionais autorizadores (CF, art. 62, caput)”.</w:t>
        <w:br/>
        <w:t>[ADI 6.534, rel. min. Flávio Dino, j. 05.06.2024, P, DJE de 14.06.2024.] Art. 85, caput, da LC 64 estabelece que "o IPSEMG [Instituto de Previdência dos Servidores do Estado de Minas Gerais] prestará assistência médica, hospitalar e odontológica, bem c</w:t>
      </w:r>
    </w:p>
    <w:p>
      <w:pPr>
        <w:ind w:left="144"/>
      </w:pPr>
      <w:r>
        <w:rPr>
          <w:b/>
          <w:color w:val="B45A00"/>
          <w:sz w:val="16"/>
        </w:rPr>
        <w:t>REPERCUSSAO GERAL</w:t>
      </w:r>
    </w:p>
    <w:p>
      <w:pPr>
        <w:ind w:left="288"/>
      </w:pPr>
      <w:r>
        <w:rPr>
          <w:color w:val="8C8C8C"/>
          <w:sz w:val="12"/>
        </w:rPr>
        <w:t>cf-art-149</w:t>
      </w:r>
      <w:r>
        <w:rPr>
          <w:color w:val="003CA0"/>
          <w:sz w:val="12"/>
        </w:rPr>
        <w:t xml:space="preserve"> | ARE 875.958</w:t>
      </w:r>
      <w:r>
        <w:rPr>
          <w:color w:val="003CA0"/>
          <w:sz w:val="12"/>
        </w:rPr>
        <w:t xml:space="preserve"> | rel. Roberto Barroso</w:t>
      </w:r>
    </w:p>
    <w:p>
      <w:pPr>
        <w:ind w:left="288"/>
      </w:pPr>
      <w:r>
        <w:rPr>
          <w:color w:val="1E1E1E"/>
          <w:sz w:val="18"/>
        </w:rPr>
        <w:t>A ausência de estudo atuarial específico e prévio à edição de lei que aumente a contribuição previdenciária dos servidores públicos não implica vício de inconstitucionalidade, mas mera irregularidade que pode ser sanada pela demonstração do déficit financeiro ou atuarial que justificava a medida. A majoração da alíquota da contribuição previdenciária do servidor público para 13,25% não afronta os princípios da razoabilidade e da vedação ao confisco.</w:t>
      </w:r>
    </w:p>
    <w:p>
      <w:pPr>
        <w:ind w:left="288"/>
      </w:pPr>
      <w:r>
        <w:rPr>
          <w:b/>
          <w:color w:val="003CA0"/>
          <w:sz w:val="16"/>
        </w:rPr>
        <w:t>[ARE 875.958, rel. min. Roberto Barroso, j. 19-10-2021, P, DJE de 11-2-2022, Tema 933, com mérito julgado.]</w:t>
      </w:r>
    </w:p>
    <w:p>
      <w:pPr>
        <w:ind w:left="144"/>
      </w:pPr>
      <w:r>
        <w:rPr>
          <w:b/>
          <w:color w:val="B45A00"/>
          <w:sz w:val="16"/>
        </w:rPr>
        <w:t>JULGADOS CORRELATOS</w:t>
      </w:r>
    </w:p>
    <w:p>
      <w:pPr>
        <w:ind w:left="288"/>
      </w:pPr>
      <w:r>
        <w:rPr>
          <w:color w:val="8C8C8C"/>
          <w:sz w:val="12"/>
        </w:rPr>
        <w:t>cf-art-149</w:t>
      </w:r>
      <w:r>
        <w:rPr>
          <w:color w:val="003CA0"/>
          <w:sz w:val="12"/>
        </w:rPr>
        <w:t xml:space="preserve"> | RE 426.335</w:t>
      </w:r>
      <w:r>
        <w:rPr>
          <w:color w:val="003CA0"/>
          <w:sz w:val="12"/>
        </w:rPr>
        <w:t xml:space="preserve"> | rel. Cármen Lúcia</w:t>
      </w:r>
    </w:p>
    <w:p>
      <w:pPr>
        <w:ind w:left="288"/>
      </w:pPr>
      <w:r>
        <w:rPr>
          <w:color w:val="1E1E1E"/>
          <w:sz w:val="18"/>
        </w:rPr>
        <w:t>Regime previdenciário próprio de servidor público municipal. Período anterior ao regime eminentemente contributivo da EC 20/1998. Exclusão do regime geral de previdência social, independentemente de contribuição dos segurados.</w:t>
      </w:r>
    </w:p>
    <w:p>
      <w:pPr>
        <w:ind w:left="288"/>
      </w:pPr>
      <w:r>
        <w:rPr>
          <w:b/>
          <w:color w:val="003CA0"/>
          <w:sz w:val="16"/>
        </w:rPr>
        <w:t>[RE 426.335 AgR-segundo, rel. min. Cármen Lúcia, j. 30-10-2012, 2ª T, DJE de 23-11-2012.]</w:t>
      </w:r>
    </w:p>
    <w:p>
      <w:pPr>
        <w:ind w:left="288"/>
      </w:pPr>
      <w:r>
        <w:rPr>
          <w:color w:val="8C8C8C"/>
          <w:sz w:val="12"/>
        </w:rPr>
        <w:t>cf-art-149</w:t>
      </w:r>
      <w:r>
        <w:rPr>
          <w:color w:val="003CA0"/>
          <w:sz w:val="12"/>
        </w:rPr>
        <w:t xml:space="preserve"> | RE 345.963</w:t>
      </w:r>
      <w:r>
        <w:rPr>
          <w:color w:val="003CA0"/>
          <w:sz w:val="12"/>
        </w:rPr>
        <w:t xml:space="preserve"> | rel. Marco Aurélio</w:t>
      </w:r>
    </w:p>
    <w:p>
      <w:pPr>
        <w:ind w:left="288"/>
      </w:pPr>
      <w:r>
        <w:rPr>
          <w:color w:val="1E1E1E"/>
          <w:sz w:val="18"/>
        </w:rPr>
        <w:t>A legislação nova sobre tributos, majorando contribuição social, é aplicável à relação jurídica de débito permanente retratada pela satisfação mensal de proventos.</w:t>
      </w:r>
    </w:p>
    <w:p>
      <w:pPr>
        <w:ind w:left="288"/>
      </w:pPr>
      <w:r>
        <w:rPr>
          <w:b/>
          <w:color w:val="003CA0"/>
          <w:sz w:val="16"/>
        </w:rPr>
        <w:t>[RE 345.963, rel. min. Marco Aurélio, j. 17-3-2009, 1ª T, DJE de 15-5-2009.]</w:t>
      </w:r>
    </w:p>
    <w:p>
      <w:pPr>
        <w:ind w:left="144"/>
      </w:pPr>
      <w:r>
        <w:rPr>
          <w:b/>
          <w:color w:val="B45A00"/>
          <w:sz w:val="16"/>
        </w:rPr>
        <w:t>REPERCUSSAO GERAL</w:t>
      </w:r>
    </w:p>
    <w:p>
      <w:pPr>
        <w:ind w:left="288"/>
      </w:pPr>
      <w:r>
        <w:rPr>
          <w:color w:val="8C8C8C"/>
          <w:sz w:val="12"/>
        </w:rPr>
        <w:t>cf-art-149-par-2-inc-I</w:t>
      </w:r>
      <w:r>
        <w:rPr>
          <w:color w:val="003CA0"/>
          <w:sz w:val="12"/>
        </w:rPr>
        <w:t xml:space="preserve"> | RE 759.244</w:t>
      </w:r>
      <w:r>
        <w:rPr>
          <w:color w:val="003CA0"/>
          <w:sz w:val="12"/>
        </w:rPr>
        <w:t xml:space="preserve"> | rel. Edson Fachin</w:t>
      </w:r>
    </w:p>
    <w:p>
      <w:pPr>
        <w:ind w:left="288"/>
      </w:pPr>
      <w:r>
        <w:rPr>
          <w:color w:val="1E1E1E"/>
          <w:sz w:val="18"/>
        </w:rPr>
        <w:t>O melhor discernimento acerca do alcance da imunidade tributária nas exportações indiretas se realiza a partir da compreensão da natureza objetiva da imunidade, que está a indicar que imune não é o contribuinte, ‘mas sim o bem quando exportado’, portanto, irrelevante se promovida exportação direta ou indireta. (...) A norma imunizante contida no inciso I do §2º do art.149 da Constituição da República alcança as receitas decorrentes de operações indiretas de exportação caracterizadas por haver participação de sociedade exportadora intermediária.</w:t>
      </w:r>
    </w:p>
    <w:p>
      <w:pPr>
        <w:ind w:left="288"/>
      </w:pPr>
      <w:r>
        <w:rPr>
          <w:b/>
          <w:color w:val="003CA0"/>
          <w:sz w:val="16"/>
        </w:rPr>
        <w:t>[RE 759.244, rel. min. Edson Fachin, j. 12-2-2020, P, DJE de 25-3-2020, Tema 674, com mérito julgado.]</w:t>
      </w:r>
    </w:p>
    <w:p>
      <w:pPr>
        <w:ind w:left="288"/>
      </w:pPr>
      <w:r>
        <w:rPr>
          <w:color w:val="8C8C8C"/>
          <w:sz w:val="12"/>
        </w:rPr>
        <w:t>cf-art-149-par-2-inc-I</w:t>
      </w:r>
      <w:r>
        <w:rPr>
          <w:color w:val="003CA0"/>
          <w:sz w:val="12"/>
        </w:rPr>
        <w:t xml:space="preserve"> | RE 627.815</w:t>
      </w:r>
      <w:r>
        <w:rPr>
          <w:color w:val="003CA0"/>
          <w:sz w:val="12"/>
        </w:rPr>
        <w:t xml:space="preserve"> | rel. Rosa Weber</w:t>
      </w:r>
    </w:p>
    <w:p>
      <w:pPr>
        <w:ind w:left="288"/>
      </w:pPr>
      <w:r>
        <w:rPr>
          <w:color w:val="1E1E1E"/>
          <w:sz w:val="18"/>
        </w:rPr>
        <w:t>(...) a tese da inconstitucionalidade da incidência da contribuição ao PIS e da Cofins sobre a receita decorrente da variação cambial positiva obtida nas operações de exportação de produtos.</w:t>
      </w:r>
    </w:p>
    <w:p>
      <w:pPr>
        <w:ind w:left="288"/>
      </w:pPr>
      <w:r>
        <w:rPr>
          <w:b/>
          <w:color w:val="003CA0"/>
          <w:sz w:val="16"/>
        </w:rPr>
        <w:t>[RE 627.815, rel. min. Rosa Weber, j. 23-5-2013, P, DJE de 1º-10-2013, Tema 329, com mérito julgado.]</w:t>
      </w:r>
    </w:p>
    <w:p>
      <w:pPr>
        <w:ind w:left="288"/>
      </w:pPr>
      <w:r>
        <w:rPr>
          <w:color w:val="8C8C8C"/>
          <w:sz w:val="12"/>
        </w:rPr>
        <w:t>cf-art-149-par-2-inc-I</w:t>
      </w:r>
      <w:r>
        <w:rPr>
          <w:color w:val="003CA0"/>
          <w:sz w:val="12"/>
        </w:rPr>
        <w:t xml:space="preserve"> | RE 566.259</w:t>
      </w:r>
      <w:r>
        <w:rPr>
          <w:color w:val="003CA0"/>
          <w:sz w:val="12"/>
        </w:rPr>
        <w:t xml:space="preserve"> | rel. Ricardo Lewandowski</w:t>
      </w:r>
    </w:p>
    <w:p>
      <w:pPr>
        <w:ind w:left="288"/>
      </w:pPr>
      <w:r>
        <w:rPr>
          <w:color w:val="1E1E1E"/>
          <w:sz w:val="18"/>
        </w:rPr>
        <w:t>O art. 149, § 2º, I, da CF é claro ao limitar a imunidade apenas às contribuições sociais e de intervenção no domínio econômico incidentes sobre as receitas decorrentes de exportação. Em se tratando de imunidade tributária, a interpretação há de ser restritiva, atentando sempre para o escopo pretendido pelo legislador. A CPMF não foi contemplada pela referida imunidade, porquanto a sua hipótese de incidência – movimentações financeiras – não se confunde com as receitas.</w:t>
        <w:br/>
        <w:t>[RE 566.259, rel. min. Ricardo Lewandowski, j. 12-8-2010, P, DJE de 24-9-2010, Tema 52, com mérito julgado.] A imunidade prev</w:t>
      </w:r>
    </w:p>
    <w:p>
      <w:pPr>
        <w:ind w:left="288"/>
      </w:pPr>
      <w:r>
        <w:rPr>
          <w:b/>
          <w:color w:val="003CA0"/>
          <w:sz w:val="16"/>
        </w:rPr>
        <w:t>[RE 1.553.932 AgR, rel. min. Cristiano Zanin, j. 25.08.2025, 2ª T, DJE de 28.08.2025.]</w:t>
      </w:r>
    </w:p>
    <w:p>
      <w:pPr>
        <w:ind w:left="144"/>
      </w:pPr>
      <w:r>
        <w:rPr>
          <w:b/>
          <w:color w:val="B45A00"/>
          <w:sz w:val="16"/>
        </w:rPr>
        <w:t>JULGADOS CORRELATOS</w:t>
      </w:r>
    </w:p>
    <w:p>
      <w:pPr>
        <w:ind w:left="288"/>
      </w:pPr>
      <w:r>
        <w:rPr>
          <w:color w:val="8C8C8C"/>
          <w:sz w:val="12"/>
        </w:rPr>
        <w:t>cf-art-149-par-2-inc-I</w:t>
      </w:r>
      <w:r>
        <w:rPr>
          <w:color w:val="003CA0"/>
          <w:sz w:val="12"/>
        </w:rPr>
        <w:t xml:space="preserve"> | ARE 1.369.122</w:t>
      </w:r>
      <w:r>
        <w:rPr>
          <w:color w:val="003CA0"/>
          <w:sz w:val="12"/>
        </w:rPr>
        <w:t xml:space="preserve"> | rel. Roberto Barroso</w:t>
      </w:r>
    </w:p>
    <w:p>
      <w:pPr>
        <w:ind w:left="288"/>
      </w:pPr>
      <w:r>
        <w:rPr>
          <w:color w:val="1E1E1E"/>
          <w:sz w:val="18"/>
        </w:rPr>
        <w:t>A contribuição ao SENAR deve ser enquadrada entre as contribuições sociais gerais, vez que instituída com a finalidade de custear ações e serviços pertinentes ao Título VIII da CF/1988 (“Da Ordem Social”). Como consequência, por ser uma contribuição social geral, a referida incidência não deve recair sobre as receitas decorrentes de exportação, sob pena de violação direta ao art. 149, § 2º, I, da Constituição.</w:t>
      </w:r>
    </w:p>
    <w:p>
      <w:pPr>
        <w:ind w:left="288"/>
      </w:pPr>
      <w:r>
        <w:rPr>
          <w:b/>
          <w:color w:val="003CA0"/>
          <w:sz w:val="16"/>
        </w:rPr>
        <w:t>[ARE 1.369.122 AgR-segundo, rel. min. Roberto Barroso, j. 25-4-2023, 1ª T, DJE de 3-5-2023.]</w:t>
      </w:r>
    </w:p>
    <w:p>
      <w:pPr>
        <w:ind w:left="288"/>
      </w:pPr>
      <w:r>
        <w:rPr>
          <w:color w:val="8C8C8C"/>
          <w:sz w:val="12"/>
        </w:rPr>
        <w:t>cf-art-149-par-2-inc-I</w:t>
      </w:r>
      <w:r>
        <w:rPr>
          <w:color w:val="003CA0"/>
          <w:sz w:val="12"/>
        </w:rPr>
        <w:t xml:space="preserve"> | RE 1.367.071</w:t>
      </w:r>
      <w:r>
        <w:rPr>
          <w:color w:val="003CA0"/>
          <w:sz w:val="12"/>
        </w:rPr>
        <w:t xml:space="preserve"> | rel. Ricardo Lewandowski</w:t>
      </w:r>
    </w:p>
    <w:p>
      <w:pPr>
        <w:ind w:left="288"/>
      </w:pPr>
      <w:r>
        <w:rPr>
          <w:color w:val="1E1E1E"/>
          <w:sz w:val="18"/>
        </w:rPr>
        <w:t>(...) a receita oriunda da venda de frete não está abrangida pela imunidade constitucional, que, (...) é destinada à receita oriunda da venda de produtos ao exterior. Da mesma forma, ao interpretar a legislação tributária de regência (MP 2.158-35, de 2001; Lei 10.833/2003; Lei 10.637/2002; IN/RFB nº 1.152/2011; Lei 10.865/2004; e Decreto 6.759/2009), concluiu que a isenção prevista nas leis sobre as receitas de frete de produtos destinados à exportação tem incidência apenas quando o frete é contratado por pessoa jurídica preponderantemente exportadora, que vá exportar o produto diretamente, ou</w:t>
      </w:r>
    </w:p>
    <w:p>
      <w:pPr>
        <w:ind w:left="288"/>
      </w:pPr>
      <w:r>
        <w:rPr>
          <w:b/>
          <w:color w:val="003CA0"/>
          <w:sz w:val="16"/>
        </w:rPr>
        <w:t>[RE 1.367.071 AgR-EDv, rel. min. Ricardo Lewandowski, voto do red. do ac. min. Alexandre de Moraes, j. 22.2.2023, P, DJE de 2.5.2023.]</w:t>
      </w:r>
    </w:p>
    <w:p>
      <w:pPr>
        <w:ind w:left="288"/>
      </w:pPr>
      <w:r>
        <w:rPr>
          <w:color w:val="8C8C8C"/>
          <w:sz w:val="12"/>
        </w:rPr>
        <w:t>cf-art-149-par-2-inc-I</w:t>
      </w:r>
      <w:r>
        <w:rPr>
          <w:color w:val="003CA0"/>
          <w:sz w:val="12"/>
        </w:rPr>
        <w:t xml:space="preserve"> | RE 1.393.804</w:t>
      </w:r>
      <w:r>
        <w:rPr>
          <w:color w:val="003CA0"/>
          <w:sz w:val="12"/>
        </w:rPr>
        <w:t xml:space="preserve"> | rel. Roberto Barroso</w:t>
      </w:r>
    </w:p>
    <w:p>
      <w:pPr>
        <w:ind w:left="288"/>
      </w:pPr>
      <w:r>
        <w:rPr>
          <w:color w:val="1E1E1E"/>
          <w:sz w:val="18"/>
        </w:rPr>
        <w:t>É legítima a declaração segregada das receitas decorrentes da exportação de serviços para a Zona Franca de Manaus, como forma de possibilitar a eficaz aplicação das regras de imunidade alocadas no texto constitucional, notadamente as previstas nos arts. 149, § 2º, I; 153, IV, § 3º, III; e 155, II, § 2º, X, a. Permitir a tributação sobre operações imunes, mesmo na sistemática do Simples, seria equivocado, pois a Lei Complementar nº 123/2006 não pode se sobrepor às normas constitucionais imunizantes.</w:t>
        <w:br/>
        <w:t>[RE 1.393.804 AgR, rel. min. Roberto Barroso, j. 5-12-2022, 1ª T, DJE de 7-12-2022.]</w:t>
      </w:r>
    </w:p>
    <w:p>
      <w:pPr>
        <w:ind w:left="144"/>
      </w:pPr>
      <w:r>
        <w:rPr>
          <w:b/>
          <w:color w:val="B45A00"/>
          <w:sz w:val="16"/>
        </w:rPr>
        <w:t>REPERCUSSAO GERAL</w:t>
      </w:r>
    </w:p>
    <w:p>
      <w:pPr>
        <w:ind w:left="288"/>
      </w:pPr>
      <w:r>
        <w:rPr>
          <w:color w:val="8C8C8C"/>
          <w:sz w:val="12"/>
        </w:rPr>
        <w:t>cf-art-149-par-2-inc-III</w:t>
      </w:r>
      <w:r>
        <w:rPr>
          <w:color w:val="003CA0"/>
          <w:sz w:val="12"/>
        </w:rPr>
        <w:t xml:space="preserve"> | RE 603.624</w:t>
      </w:r>
    </w:p>
    <w:p>
      <w:pPr>
        <w:ind w:left="288"/>
      </w:pPr>
      <w:r>
        <w:rPr>
          <w:color w:val="1E1E1E"/>
          <w:sz w:val="18"/>
        </w:rPr>
        <w:t>O acréscimo realizado pela EC 33/2001 no art. 149, § 2º, III, da Constituição Federal não operou uma delimitação exaustiva das bases econômicas passíveis de tributação por toda e qualquer contribuição social e de intervenção no domínio econômico. O emprego, pelo art. 149, § 2º, III, da CF, do modo verbal ‘poderão ter alíquotas’ demonstra tratar-se de elenco exemplificativo em relação à presente hipótese. Legitimidade da exigência de contribuição ao SEBRAE - APEX - ABDI incidente sobre a folha de salários, nos moldes das Leis 8.029/1990, 8.154/1990, 10.668/2003 e 11.080/2004, ante a alteração p</w:t>
      </w:r>
    </w:p>
    <w:p>
      <w:pPr>
        <w:ind w:left="288"/>
      </w:pPr>
      <w:r>
        <w:rPr>
          <w:color w:val="8C8C8C"/>
          <w:sz w:val="12"/>
        </w:rPr>
        <w:t>cf-art-149-par-2-inc-III-ali-a</w:t>
      </w:r>
      <w:r>
        <w:rPr>
          <w:color w:val="003CA0"/>
          <w:sz w:val="12"/>
        </w:rPr>
        <w:t xml:space="preserve"> | RE 1.317.786</w:t>
      </w:r>
      <w:r>
        <w:rPr>
          <w:color w:val="003CA0"/>
          <w:sz w:val="12"/>
        </w:rPr>
        <w:t xml:space="preserve"> | rel. Luiz Fux</w:t>
      </w:r>
    </w:p>
    <w:p>
      <w:pPr>
        <w:ind w:left="288"/>
      </w:pPr>
      <w:r>
        <w:rPr>
          <w:color w:val="1E1E1E"/>
          <w:sz w:val="18"/>
        </w:rPr>
        <w:t>A contribuição prevista no artigo 1º da Lei Complementar 110/2001 foi recepcionada pela Emenda Constitucional 33/2001.</w:t>
      </w:r>
    </w:p>
    <w:p>
      <w:pPr>
        <w:ind w:left="288"/>
      </w:pPr>
      <w:r>
        <w:rPr>
          <w:b/>
          <w:color w:val="003CA0"/>
          <w:sz w:val="16"/>
        </w:rPr>
        <w:t>[RE 1.317.786, rel. min. Luiz Fux, j. 3-2-2022, P, DJE de 10-2-2022, Tema 1.193, com mérito julgado e reafirmação de jurisprudência.]</w:t>
      </w:r>
    </w:p>
    <w:p>
      <w:pPr>
        <w:ind w:left="288"/>
      </w:pPr>
      <w:r>
        <w:rPr>
          <w:color w:val="8C8C8C"/>
          <w:sz w:val="12"/>
        </w:rPr>
        <w:t>cf-art-149-par-2-inc-III-ali-a</w:t>
      </w:r>
      <w:r>
        <w:rPr>
          <w:color w:val="003CA0"/>
          <w:sz w:val="12"/>
        </w:rPr>
        <w:t xml:space="preserve"> | RE 630.898</w:t>
      </w:r>
      <w:r>
        <w:rPr>
          <w:color w:val="003CA0"/>
          <w:sz w:val="12"/>
        </w:rPr>
        <w:t xml:space="preserve"> | rel. Dias Toffoli</w:t>
      </w:r>
    </w:p>
    <w:p>
      <w:pPr>
        <w:ind w:left="288"/>
      </w:pPr>
      <w:r>
        <w:rPr>
          <w:color w:val="1E1E1E"/>
          <w:sz w:val="18"/>
        </w:rPr>
        <w:t>É constitucional a contribuição de intervenção no domínio econômico destinada ao INCRA devida pelas empresas urbanas e rurais, inclusive após o advento da EC 33/2001.</w:t>
      </w:r>
    </w:p>
    <w:p>
      <w:pPr>
        <w:ind w:left="288"/>
      </w:pPr>
      <w:r>
        <w:rPr>
          <w:b/>
          <w:color w:val="003CA0"/>
          <w:sz w:val="16"/>
        </w:rPr>
        <w:t>[RE 630.898, rel. min. Dias Toffoli, j. 8-4-2021, P, DJE de 11-5-2021, Tema 495, com mérito julgado.]</w:t>
      </w:r>
    </w:p>
    <w:p>
      <w:pPr>
        <w:ind w:left="288"/>
      </w:pPr>
      <w:r>
        <w:rPr>
          <w:color w:val="8C8C8C"/>
          <w:sz w:val="12"/>
        </w:rPr>
        <w:t>cf-art-149-par-2-inc-III-ali-a</w:t>
      </w:r>
      <w:r>
        <w:rPr>
          <w:color w:val="003CA0"/>
          <w:sz w:val="12"/>
        </w:rPr>
        <w:t xml:space="preserve"> | RE 559.937</w:t>
      </w:r>
    </w:p>
    <w:p>
      <w:pPr>
        <w:ind w:left="288"/>
      </w:pPr>
      <w:r>
        <w:rPr>
          <w:color w:val="1E1E1E"/>
          <w:sz w:val="18"/>
        </w:rPr>
        <w:t>Inconstitucionalidade da seguinte parte do art. 7º, I, da Lei 10.865/2004: "acrescido do valor do Imposto sobre Operações Relativas à Circulação de Mercadorias e sobre Prestação de Serviços de Transporte Interestadual e Intermunicipal e de Comunicação – ICMS incidente no desembaraço aduaneiro e do valor das próprias contribuições, por violação do art. 149, § 2º, III, a, da CF, acrescido pela EC 33/01".</w:t>
      </w:r>
    </w:p>
    <w:p>
      <w:pPr>
        <w:ind w:left="288"/>
      </w:pPr>
      <w:r>
        <w:rPr>
          <w:b/>
          <w:color w:val="003CA0"/>
          <w:sz w:val="16"/>
        </w:rPr>
        <w:t>[RE 559.937, red. do ac. min. Dias Toffoli, j. 20-3-2013, P, DJE de 17-10-2013, Tema 1, com mérito julgado.]</w:t>
      </w:r>
    </w:p>
    <w:p>
      <w:pPr>
        <w:ind w:left="288"/>
      </w:pPr>
      <w:r>
        <w:rPr>
          <w:color w:val="8C8C8C"/>
          <w:sz w:val="12"/>
        </w:rPr>
        <w:t>cf-art-149-par-4</w:t>
      </w:r>
    </w:p>
    <w:p>
      <w:pPr>
        <w:ind w:left="288"/>
      </w:pPr>
      <w:r>
        <w:rPr>
          <w:color w:val="1E1E1E"/>
          <w:sz w:val="18"/>
        </w:rPr>
        <w:t>Art. 149-A Os Municípios e o Distrito Federal poderão instituir contribuição, na forma das respectivas leis, para o custeio, a expansão e a melhoria do serviço de iluminação pública e de sistemas de monitoramento para segurança e preservação de logradouros públicos, observado o disposto no art. 150, I e III. (Redação dada pela EC n. 132/2023)</w:t>
      </w:r>
    </w:p>
    <w:p>
      <w:pPr>
        <w:ind w:left="288"/>
      </w:pPr>
      <w:r>
        <w:rPr>
          <w:color w:val="8C8C8C"/>
          <w:sz w:val="12"/>
        </w:rPr>
        <w:t>cf-art-149-par-4</w:t>
      </w:r>
      <w:r>
        <w:rPr>
          <w:color w:val="003CA0"/>
          <w:sz w:val="12"/>
        </w:rPr>
        <w:t xml:space="preserve"> | RE 666.404</w:t>
      </w:r>
      <w:r>
        <w:rPr>
          <w:color w:val="003CA0"/>
          <w:sz w:val="12"/>
        </w:rPr>
        <w:t xml:space="preserve"> | rel. Ricardo Lewandowski</w:t>
      </w:r>
    </w:p>
    <w:p>
      <w:pPr>
        <w:ind w:left="288"/>
      </w:pPr>
      <w:r>
        <w:rPr>
          <w:color w:val="1E1E1E"/>
          <w:sz w:val="18"/>
        </w:rPr>
        <w:t xml:space="preserve">O artigo 149-A, da Constituição Federal, incluído pela Emenda Constitucional 39/2002, dispõe que “Os Municípios e o Distrito Federal poderão instituir contribuição, na forma das respectivas leis, para o custeio do serviço de iluminação pública, observado o disposto no art. 150, I e III”. O constituinte não pretendeu limitar o custeio do serviço de iluminação pública apenas às despesas de sua execução e manutenção. Pelo contrário, deixou margem a que o legislador municipal pudesse instituir a referida contribuição de acordo com a necessidade e interesse local, conforme disposto no art. 30, I e </w:t>
      </w:r>
    </w:p>
    <w:p>
      <w:pPr>
        <w:ind w:left="432"/>
      </w:pPr>
      <w:r>
        <w:rPr>
          <w:color w:val="003366"/>
          <w:sz w:val="18"/>
        </w:rPr>
        <w:t>§ 1 A União, os Estados, o Distrito Federal e os Municípios instituirão, por mei</w:t>
      </w:r>
    </w:p>
    <w:p>
      <w:pPr>
        <w:ind w:left="432"/>
      </w:pPr>
      <w:r>
        <w:rPr>
          <w:color w:val="003366"/>
          <w:sz w:val="18"/>
        </w:rPr>
        <w:t xml:space="preserve">§ 1 A. Quando houver deficit atuarial, a contribuição ordinária dos aposentados </w:t>
      </w:r>
    </w:p>
    <w:p>
      <w:pPr>
        <w:ind w:left="432"/>
      </w:pPr>
      <w:r>
        <w:rPr>
          <w:color w:val="003366"/>
          <w:sz w:val="18"/>
        </w:rPr>
        <w:t xml:space="preserve">§ 1 B. Demonstrada a insuficiência da medida prevista no § 1º-A para equacionar </w:t>
      </w:r>
    </w:p>
    <w:p>
      <w:pPr>
        <w:ind w:left="432"/>
      </w:pPr>
      <w:r>
        <w:rPr>
          <w:color w:val="003366"/>
          <w:sz w:val="18"/>
        </w:rPr>
        <w:t>§ 1 C. A contribuição extraordinária de que trata o § 1º-B deverá ser instituída</w:t>
      </w:r>
    </w:p>
    <w:p>
      <w:pPr>
        <w:ind w:left="432"/>
      </w:pPr>
      <w:r>
        <w:rPr>
          <w:color w:val="003366"/>
          <w:sz w:val="18"/>
        </w:rPr>
        <w:t xml:space="preserve">§ 2 As contribuições sociais e de intervenção no domínio econômico de que trata </w:t>
      </w:r>
    </w:p>
    <w:p>
      <w:pPr>
        <w:ind w:left="720"/>
      </w:pPr>
      <w:r>
        <w:rPr>
          <w:color w:val="003366"/>
          <w:sz w:val="18"/>
        </w:rPr>
        <w:t>I – não incidirão sobre as receitas decorrentes de exportação; (Incluído pela Em</w:t>
      </w:r>
    </w:p>
    <w:p>
      <w:pPr>
        <w:ind w:left="720"/>
      </w:pPr>
      <w:r>
        <w:rPr>
          <w:color w:val="003366"/>
          <w:sz w:val="18"/>
        </w:rPr>
        <w:t>II – incidirão também sobre a importação de produtos estrangeiros ou serviços; (</w:t>
      </w:r>
    </w:p>
    <w:p>
      <w:pPr>
        <w:ind w:left="720"/>
      </w:pPr>
      <w:r>
        <w:rPr>
          <w:color w:val="003366"/>
          <w:sz w:val="18"/>
        </w:rPr>
        <w:t>III – poderão ter alíquotas: (Incluído pela Emenda Constitucional nº 33, de 2001</w:t>
      </w:r>
    </w:p>
    <w:p>
      <w:pPr>
        <w:ind w:left="1008"/>
      </w:pPr>
      <w:r>
        <w:rPr>
          <w:color w:val="003366"/>
          <w:sz w:val="18"/>
        </w:rPr>
        <w:t>a) ad valorem, tendo por base o faturamento, a receita bruta ou o valor da opera</w:t>
      </w:r>
    </w:p>
    <w:p>
      <w:pPr>
        <w:ind w:left="1008"/>
      </w:pPr>
      <w:r>
        <w:rPr>
          <w:color w:val="003366"/>
          <w:sz w:val="18"/>
        </w:rPr>
        <w:t>b) específica, tendo por base a unidade de medida adotada. (Incluído pela Emenda</w:t>
      </w:r>
    </w:p>
    <w:p>
      <w:pPr>
        <w:ind w:left="432"/>
      </w:pPr>
      <w:r>
        <w:rPr>
          <w:color w:val="003366"/>
          <w:sz w:val="18"/>
        </w:rPr>
        <w:t>§ 3 A pessoa natural destinatária das operações de importação poderá ser equipar</w:t>
      </w:r>
    </w:p>
    <w:p>
      <w:pPr>
        <w:ind w:left="432"/>
      </w:pPr>
      <w:r>
        <w:rPr>
          <w:color w:val="003366"/>
          <w:sz w:val="18"/>
        </w:rPr>
        <w:t>§ 4 A lei definirá as hipóteses em que as contribuições incidirão uma única vez.</w:t>
      </w:r>
    </w:p>
    <w:p>
      <w:r>
        <w:rPr>
          <w:b/>
          <w:color w:val="003366"/>
          <w:sz w:val="20"/>
        </w:rPr>
        <w:t>Art. 149 A. Os Municípios e o Distrito Federal poderão instituir contribuição, n</w:t>
      </w:r>
      <w:r>
        <w:rPr>
          <w:color w:val="8C8C8C"/>
          <w:sz w:val="14"/>
        </w:rPr>
        <w:t xml:space="preserve">  [36 decisoes]</w:t>
      </w:r>
    </w:p>
    <w:p>
      <w:pPr>
        <w:ind w:left="144"/>
      </w:pPr>
      <w:r>
        <w:rPr>
          <w:b/>
          <w:color w:val="B45A00"/>
          <w:sz w:val="16"/>
        </w:rPr>
        <w:t>CONTROLE CONCENTRADO</w:t>
      </w:r>
    </w:p>
    <w:p>
      <w:pPr>
        <w:ind w:left="288"/>
      </w:pPr>
      <w:r>
        <w:rPr>
          <w:color w:val="8C8C8C"/>
          <w:sz w:val="12"/>
        </w:rPr>
        <w:t>cf-art-149</w:t>
      </w:r>
      <w:r>
        <w:rPr>
          <w:color w:val="003CA0"/>
          <w:sz w:val="12"/>
        </w:rPr>
        <w:t xml:space="preserve"> | ADI 1.924</w:t>
      </w:r>
      <w:r>
        <w:rPr>
          <w:color w:val="003CA0"/>
          <w:sz w:val="12"/>
        </w:rPr>
        <w:t xml:space="preserve"> | rel. Rosa Weber</w:t>
      </w:r>
    </w:p>
    <w:p>
      <w:pPr>
        <w:ind w:left="288"/>
      </w:pPr>
      <w:r>
        <w:rPr>
          <w:color w:val="1E1E1E"/>
          <w:sz w:val="18"/>
        </w:rPr>
        <w:t>Serviço Nacional de Aprendizagem do Cooperativismo. Contribuição para o seu financiamento. (...) A contribuição para o SESCOOP tem natureza jurídica de contribuição de intervenção no domínio econômico (art. 149 da Constituição) destinada a incentivar o cooperativismo como forma de organização da atividade econômica, com amparo no § 2º do artigo 174 da Carta Política. (...) O estímulo ao cooperativismo é finalidade pública, por expressa previsão constitucional — ‘a lei apoiará e estimulará o cooperativismo’ (art. 174, § 2º, da CF) – e o dever de prestar contas ao TCU está previsto, em caráter m</w:t>
      </w:r>
    </w:p>
    <w:p>
      <w:pPr>
        <w:ind w:left="288"/>
      </w:pPr>
      <w:r>
        <w:rPr>
          <w:b/>
          <w:color w:val="003CA0"/>
          <w:sz w:val="16"/>
        </w:rPr>
        <w:t>[ADI 1.924, rel. min. Rosa Weber, j. 16-9-2020, P, DJE de 5-10-2020.]</w:t>
      </w:r>
    </w:p>
    <w:p>
      <w:pPr>
        <w:ind w:left="288"/>
      </w:pPr>
      <w:r>
        <w:rPr>
          <w:color w:val="8C8C8C"/>
          <w:sz w:val="12"/>
        </w:rPr>
        <w:t>cf-art-149</w:t>
      </w:r>
      <w:r>
        <w:rPr>
          <w:color w:val="003CA0"/>
          <w:sz w:val="12"/>
        </w:rPr>
        <w:t xml:space="preserve"> | ADI 5.794</w:t>
      </w:r>
      <w:r>
        <w:rPr>
          <w:color w:val="003CA0"/>
          <w:sz w:val="12"/>
        </w:rPr>
        <w:t xml:space="preserve"> | rel. Edson Fachin</w:t>
      </w:r>
    </w:p>
    <w:p>
      <w:pPr>
        <w:ind w:left="288"/>
      </w:pPr>
      <w:r>
        <w:rPr>
          <w:color w:val="1E1E1E"/>
          <w:sz w:val="18"/>
        </w:rPr>
        <w:t>A Lei 13.467/2017 emprega critério homogêneo e igualitário ao exigir prévia e expressa anuência de todo e qualquer trabalhador para o desconto da contribuição sindical, ao mesmo tempo em que suprime a natureza tributária da contribuição, seja em relação aos sindicalizados, seja quanto aos demais, motivos pelos quais não há qualquer violação ao princípio da isonomia tributária (art. 150, II, da Constituição), até porque não há que se invocar uma limitação ao poder de tributar para prejudicar o contribuinte, expandindo o alcance do tributo, como suporte à pretensão de que os empregados não-sindi</w:t>
      </w:r>
    </w:p>
    <w:p>
      <w:pPr>
        <w:ind w:left="288"/>
      </w:pPr>
      <w:r>
        <w:rPr>
          <w:b/>
          <w:color w:val="003CA0"/>
          <w:sz w:val="16"/>
        </w:rPr>
        <w:t>[ADI 5.794, rel. min. Edson Fachin, j. 29-6-2018, P, DJE de 23-4-2019.]</w:t>
      </w:r>
    </w:p>
    <w:p>
      <w:pPr>
        <w:ind w:left="288"/>
      </w:pPr>
      <w:r>
        <w:rPr>
          <w:color w:val="8C8C8C"/>
          <w:sz w:val="12"/>
        </w:rPr>
        <w:t>cf-art-149</w:t>
      </w:r>
      <w:r>
        <w:rPr>
          <w:color w:val="003CA0"/>
          <w:sz w:val="12"/>
        </w:rPr>
        <w:t xml:space="preserve"> | ADI 4.033</w:t>
      </w:r>
      <w:r>
        <w:rPr>
          <w:color w:val="003CA0"/>
          <w:sz w:val="12"/>
        </w:rPr>
        <w:t xml:space="preserve"> | rel. Joaquim Barbosa</w:t>
      </w:r>
    </w:p>
    <w:p>
      <w:pPr>
        <w:ind w:left="288"/>
      </w:pPr>
      <w:r>
        <w:rPr>
          <w:color w:val="1E1E1E"/>
          <w:sz w:val="18"/>
        </w:rPr>
        <w:t>Contribuição sindical patronal. Isenção concedida às microempresas e empresas de pequeno porte. Simples Nacional ("Supersimples"). LC 123/2006, art. 13, § 3º. (...) Risco à autonomia sindical afastado, na medida em que o benefício em exame poderá tanto elevar o número de empresas a patamar superior ao da faixa de isenção quanto fomentar a atividade econômica e o consumo para as empresas de médio ou de grande porte, ao incentivar a regularização de empreendimentos.</w:t>
      </w:r>
    </w:p>
    <w:p>
      <w:pPr>
        <w:ind w:left="288"/>
      </w:pPr>
      <w:r>
        <w:rPr>
          <w:b/>
          <w:color w:val="003CA0"/>
          <w:sz w:val="16"/>
        </w:rPr>
        <w:t>[ADI 4.033, rel. min. Joaquim Barbosa, j. 15-9-2010, P, DJE de 7-2-2011.]</w:t>
      </w:r>
    </w:p>
    <w:p>
      <w:pPr>
        <w:ind w:left="288"/>
      </w:pPr>
      <w:r>
        <w:rPr>
          <w:color w:val="8C8C8C"/>
          <w:sz w:val="12"/>
        </w:rPr>
        <w:t>cf-art-149</w:t>
      </w:r>
      <w:r>
        <w:rPr>
          <w:color w:val="003CA0"/>
          <w:sz w:val="12"/>
        </w:rPr>
        <w:t xml:space="preserve"> | ADI 2.556</w:t>
      </w:r>
      <w:r>
        <w:rPr>
          <w:color w:val="003CA0"/>
          <w:sz w:val="12"/>
        </w:rPr>
        <w:t xml:space="preserve"> | rel. Moreira Alves</w:t>
      </w:r>
    </w:p>
    <w:p>
      <w:pPr>
        <w:ind w:left="288"/>
      </w:pPr>
      <w:r>
        <w:rPr>
          <w:color w:val="1E1E1E"/>
          <w:sz w:val="18"/>
        </w:rPr>
        <w:t>Ação direta de inconstitucionalidade. Impugnação de artigos e de expressões contidas na LC federal 110, de 29-6-2001. Pedido de liminar. A natureza jurídica das duas exações criadas pela lei em causa, neste exame sumário, é a de que são elas tributárias, caracterizando-se como contribuições sociais que se enquadram na subespécie "contribuições sociais gerais" que se submetem à regência do art. 149 da Constituição, e não à do art. 195 da Carta Magna.</w:t>
      </w:r>
    </w:p>
    <w:p>
      <w:pPr>
        <w:ind w:left="288"/>
      </w:pPr>
      <w:r>
        <w:rPr>
          <w:b/>
          <w:color w:val="003CA0"/>
          <w:sz w:val="16"/>
        </w:rPr>
        <w:t>[ADI 2.556 MC, rel. min. Moreira Alves, j. 9-10-2002, P, DJ de 8-8-2003.]</w:t>
      </w:r>
    </w:p>
    <w:p>
      <w:pPr>
        <w:ind w:left="288"/>
      </w:pPr>
      <w:r>
        <w:rPr>
          <w:color w:val="8C8C8C"/>
          <w:sz w:val="12"/>
        </w:rPr>
        <w:t>cf-art-149</w:t>
      </w:r>
      <w:r>
        <w:rPr>
          <w:color w:val="003CA0"/>
          <w:sz w:val="12"/>
        </w:rPr>
        <w:t xml:space="preserve"> | AI 744.316</w:t>
      </w:r>
      <w:r>
        <w:rPr>
          <w:color w:val="003CA0"/>
          <w:sz w:val="12"/>
        </w:rPr>
        <w:t xml:space="preserve"> | rel. Dias Toffoli</w:t>
      </w:r>
    </w:p>
    <w:p>
      <w:pPr>
        <w:ind w:left="288"/>
      </w:pPr>
      <w:r>
        <w:rPr>
          <w:color w:val="1E1E1E"/>
          <w:sz w:val="18"/>
        </w:rPr>
        <w:t>= AI 744.316 AgR, rel. min. Dias Toffoli, j. 2-12-2010, 1ª T, DJE de 22-3-2011 I - É constitucional a contribuição de intervenção no domínio econômico (CIDE) destinada a financiar o Programa de Estímulo à Interação Universidade-Empresa para o Apoio à Inovação, instituída e disciplinada pela Lei nº 10.168/2000, com as alterações empreendidas pelas Leis nºs 10.332/2001 e 11.452/2007; II - A arrecadação da CIDE, instituída pela Lei nº 10.168/2000, com as alterações empreendidas pelas Leis nºs 10.332/2001 e 11.452/2007, deve ser integralmente aplicada na área de atuação Ciência e Tecnologia, nos t</w:t>
      </w:r>
    </w:p>
    <w:p>
      <w:pPr>
        <w:ind w:left="288"/>
      </w:pPr>
      <w:r>
        <w:rPr>
          <w:b/>
          <w:color w:val="003CA0"/>
          <w:sz w:val="16"/>
        </w:rPr>
        <w:t>[RE 928.943, rel. min. Luiz Fux, red. do ac. min. Flávio Dino, j. 13.08.2025, P, DJE de 16.10.2025, Tema 914, com mérito julgado.]</w:t>
      </w:r>
    </w:p>
    <w:p>
      <w:pPr>
        <w:ind w:left="144"/>
      </w:pPr>
      <w:r>
        <w:rPr>
          <w:b/>
          <w:color w:val="B45A00"/>
          <w:sz w:val="16"/>
        </w:rPr>
        <w:t>REPERCUSSAO GERAL</w:t>
      </w:r>
    </w:p>
    <w:p>
      <w:pPr>
        <w:ind w:left="288"/>
      </w:pPr>
      <w:r>
        <w:rPr>
          <w:color w:val="8C8C8C"/>
          <w:sz w:val="12"/>
        </w:rPr>
        <w:t>cf-art-149</w:t>
      </w:r>
      <w:r>
        <w:rPr>
          <w:color w:val="003CA0"/>
          <w:sz w:val="12"/>
        </w:rPr>
        <w:t xml:space="preserve"> | RE 593.544</w:t>
      </w:r>
      <w:r>
        <w:rPr>
          <w:color w:val="003CA0"/>
          <w:sz w:val="12"/>
        </w:rPr>
        <w:t xml:space="preserve"> | rel. Luís Roberto Barroso</w:t>
      </w:r>
    </w:p>
    <w:p>
      <w:pPr>
        <w:ind w:left="288"/>
      </w:pPr>
      <w:r>
        <w:rPr>
          <w:color w:val="1E1E1E"/>
          <w:sz w:val="18"/>
        </w:rPr>
        <w:t>“Os créditos presumidos de IPI, instituídos pela Lei nº 9.363/1996, não integram a base de cálculo da contribuição para o PIS e da COFINS, sob a sistemática de apuração cumulativa (Lei nº 9.718/1998), pois não se amoldam ao conceito constitucional de faturamento.”.</w:t>
        <w:br/>
        <w:t>[RE 593.544, rel. min. Luís Roberto Barroso, j. 19.12.2023, P, DJE de 08.03.2024, Tema 504, com mérito julgado.] “(...) III - É constitucional a contribuição social destinada ao Serviço Nacional de Aprendizagem Rural (SENAR), de que trata o art. 25, § 1º, da Lei nº 8.870/1994, inclusive na redação conferida pela Lei nº 10.256/2001".</w:t>
      </w:r>
    </w:p>
    <w:p>
      <w:pPr>
        <w:ind w:left="288"/>
      </w:pPr>
      <w:r>
        <w:rPr>
          <w:b/>
          <w:color w:val="003CA0"/>
          <w:sz w:val="16"/>
        </w:rPr>
        <w:t>[RE 878.313, red. do ac. min. Alexandre de Moraes, j. 18-8-2020, P, DJE de 4-9-2020, Tema 846, com mérito julgado.]</w:t>
      </w:r>
    </w:p>
    <w:p>
      <w:pPr>
        <w:ind w:left="288"/>
      </w:pPr>
      <w:r>
        <w:rPr>
          <w:color w:val="8C8C8C"/>
          <w:sz w:val="12"/>
        </w:rPr>
        <w:t>cf-art-149</w:t>
      </w:r>
      <w:r>
        <w:rPr>
          <w:color w:val="003CA0"/>
          <w:sz w:val="12"/>
        </w:rPr>
        <w:t xml:space="preserve"> | RE 1.053.574</w:t>
      </w:r>
      <w:r>
        <w:rPr>
          <w:color w:val="003CA0"/>
          <w:sz w:val="12"/>
        </w:rPr>
        <w:t xml:space="preserve"> | rel. Gilmar Mendes</w:t>
      </w:r>
    </w:p>
    <w:p>
      <w:pPr>
        <w:ind w:left="288"/>
      </w:pPr>
      <w:r>
        <w:rPr>
          <w:color w:val="1E1E1E"/>
          <w:sz w:val="18"/>
        </w:rPr>
        <w:t>Não há reserva de lei complementar para o repasse do PIS e COFINS ao usuário de serviços públicos concedidos, tais como telefonia e energia elétrica, cobrado nas respectivas faturas.</w:t>
      </w:r>
    </w:p>
    <w:p>
      <w:pPr>
        <w:ind w:left="288"/>
      </w:pPr>
      <w:r>
        <w:rPr>
          <w:b/>
          <w:color w:val="003CA0"/>
          <w:sz w:val="16"/>
        </w:rPr>
        <w:t>[RE 1.053.574, voto do rel. min. Gilmar Mendes, j. 25-10-2019, P, DJE de 22-11-2019, Tema 415, com mérito julgado.]</w:t>
      </w:r>
    </w:p>
    <w:p>
      <w:pPr>
        <w:ind w:left="288"/>
      </w:pPr>
      <w:r>
        <w:rPr>
          <w:color w:val="8C8C8C"/>
          <w:sz w:val="12"/>
        </w:rPr>
        <w:t>cf-art-149</w:t>
      </w:r>
      <w:r>
        <w:rPr>
          <w:color w:val="003CA0"/>
          <w:sz w:val="12"/>
        </w:rPr>
        <w:t xml:space="preserve"> | RE 635.682</w:t>
      </w:r>
      <w:r>
        <w:rPr>
          <w:color w:val="003CA0"/>
          <w:sz w:val="12"/>
        </w:rPr>
        <w:t xml:space="preserve"> | rel. Gilmar Mendes</w:t>
      </w:r>
    </w:p>
    <w:p>
      <w:pPr>
        <w:ind w:left="288"/>
      </w:pPr>
      <w:r>
        <w:rPr>
          <w:color w:val="1E1E1E"/>
          <w:sz w:val="18"/>
        </w:rPr>
        <w:t>(...) a contribuição de intervenção no domínio econômico (...) sujeitam-se, sim, às normas gerais estabelecidas pela legislação complementar em matéria tributária, mas não é de se exigir que elas próprias sejam veiculadas apenas por meio de lei complementar.</w:t>
      </w:r>
    </w:p>
    <w:p>
      <w:pPr>
        <w:ind w:left="288"/>
      </w:pPr>
      <w:r>
        <w:rPr>
          <w:b/>
          <w:color w:val="003CA0"/>
          <w:sz w:val="16"/>
        </w:rPr>
        <w:t>[RE 635.682, voto do rel. min. Gilmar Mendes, j. 25-4-2013, P, DJE de 24-5-2013, Tema 227, com mérito julgado.]</w:t>
      </w:r>
    </w:p>
    <w:p>
      <w:pPr>
        <w:ind w:left="144"/>
      </w:pPr>
      <w:r>
        <w:rPr>
          <w:b/>
          <w:color w:val="B45A00"/>
          <w:sz w:val="16"/>
        </w:rPr>
        <w:t>JULGADOS CORRELATOS</w:t>
      </w:r>
    </w:p>
    <w:p>
      <w:pPr>
        <w:ind w:left="288"/>
      </w:pPr>
      <w:r>
        <w:rPr>
          <w:color w:val="8C8C8C"/>
          <w:sz w:val="12"/>
        </w:rPr>
        <w:t>cf-art-149</w:t>
      </w:r>
      <w:r>
        <w:rPr>
          <w:color w:val="003CA0"/>
          <w:sz w:val="12"/>
        </w:rPr>
        <w:t xml:space="preserve"> | ARE 737.963</w:t>
      </w:r>
      <w:r>
        <w:rPr>
          <w:color w:val="003CA0"/>
          <w:sz w:val="12"/>
        </w:rPr>
        <w:t xml:space="preserve"> | rel. Rosa Weber</w:t>
      </w:r>
    </w:p>
    <w:p>
      <w:pPr>
        <w:ind w:left="288"/>
      </w:pPr>
      <w:r>
        <w:rPr>
          <w:color w:val="1E1E1E"/>
          <w:sz w:val="18"/>
        </w:rPr>
        <w:t>(...) jurisprudência firmada no âmbito deste STF, no sentido de que a contribuição compulsória para o custeio dos serviços de saúde deve incidir somente sobre um dos cargos exercidos pelo servidor.</w:t>
      </w:r>
    </w:p>
    <w:p>
      <w:pPr>
        <w:ind w:left="288"/>
      </w:pPr>
      <w:r>
        <w:rPr>
          <w:b/>
          <w:color w:val="003CA0"/>
          <w:sz w:val="16"/>
        </w:rPr>
        <w:t>[ARE 737.963 AgR, rel. min. Rosa Weber, j. 4-11-2014, 1ª T, DJE de 20-11-2014.]</w:t>
      </w:r>
    </w:p>
    <w:p>
      <w:pPr>
        <w:ind w:left="288"/>
      </w:pPr>
      <w:r>
        <w:rPr>
          <w:color w:val="8C8C8C"/>
          <w:sz w:val="12"/>
        </w:rPr>
        <w:t>cf-art-149</w:t>
      </w:r>
      <w:r>
        <w:rPr>
          <w:color w:val="003CA0"/>
          <w:sz w:val="12"/>
        </w:rPr>
        <w:t xml:space="preserve"> | RE 793.564</w:t>
      </w:r>
      <w:r>
        <w:rPr>
          <w:color w:val="003CA0"/>
          <w:sz w:val="12"/>
        </w:rPr>
        <w:t xml:space="preserve"> | rel. Marco Aurélio</w:t>
      </w:r>
    </w:p>
    <w:p>
      <w:pPr>
        <w:ind w:left="288"/>
      </w:pPr>
      <w:r>
        <w:rPr>
          <w:color w:val="1E1E1E"/>
          <w:sz w:val="18"/>
        </w:rPr>
        <w:t>A desvinculação parcial da receita da União, constante do art. 76 do ADCT, não transforma as contribuições sociais e de intervenção no domínio econômico em impostos, alterando a essência daquelas, ausente qualquer implicação quanto à apuração do Fundo de Participação dos Municípios.</w:t>
      </w:r>
    </w:p>
    <w:p>
      <w:pPr>
        <w:ind w:left="288"/>
      </w:pPr>
      <w:r>
        <w:rPr>
          <w:b/>
          <w:color w:val="003CA0"/>
          <w:sz w:val="16"/>
        </w:rPr>
        <w:t>[RE 793.564 AgR, rel. min. Marco Aurélio, j. 12-8-2014, 1ª T, DJE de 1º-10-2014.]</w:t>
      </w:r>
    </w:p>
    <w:p>
      <w:pPr>
        <w:ind w:left="288"/>
      </w:pPr>
      <w:r>
        <w:rPr>
          <w:color w:val="8C8C8C"/>
          <w:sz w:val="12"/>
        </w:rPr>
        <w:t>cf-art-149</w:t>
      </w:r>
      <w:r>
        <w:rPr>
          <w:color w:val="003CA0"/>
          <w:sz w:val="12"/>
        </w:rPr>
        <w:t xml:space="preserve"> | RE 509.624</w:t>
      </w:r>
      <w:r>
        <w:rPr>
          <w:color w:val="003CA0"/>
          <w:sz w:val="12"/>
        </w:rPr>
        <w:t xml:space="preserve"> | rel. Joaquim Barbosa</w:t>
      </w:r>
    </w:p>
    <w:p>
      <w:pPr>
        <w:ind w:left="288"/>
      </w:pPr>
      <w:r>
        <w:rPr>
          <w:color w:val="1E1E1E"/>
          <w:sz w:val="18"/>
        </w:rPr>
        <w:t>A atividade desempenhada por empresa prestadora de serviços com intuito lucrativo é compatível com o escopo de atuação do Sesc [Serviço Social do Comércio] e do Senac [Serviço Nacional de Aprendizagem Comercial], enquanto não for criada entidade sindical de grau superior com o objetivo de orientar, coordenar e defender todas as atividades econômicas relacionadas à prestação de serviços.</w:t>
      </w:r>
    </w:p>
    <w:p>
      <w:pPr>
        <w:ind w:left="288"/>
      </w:pPr>
      <w:r>
        <w:rPr>
          <w:b/>
          <w:color w:val="003CA0"/>
          <w:sz w:val="16"/>
        </w:rPr>
        <w:t>[RE 509.624 AgR, rel. min. Joaquim Barbosa, j. 1º-3-2011, 2ª T, DJE de 1º-4-2011.]</w:t>
      </w:r>
    </w:p>
    <w:p>
      <w:pPr>
        <w:ind w:left="288"/>
      </w:pPr>
      <w:r>
        <w:rPr>
          <w:color w:val="8C8C8C"/>
          <w:sz w:val="12"/>
        </w:rPr>
        <w:t>cf-art-149</w:t>
      </w:r>
      <w:r>
        <w:rPr>
          <w:color w:val="003CA0"/>
          <w:sz w:val="12"/>
        </w:rPr>
        <w:t xml:space="preserve"> | RE 158.208</w:t>
      </w:r>
      <w:r>
        <w:rPr>
          <w:color w:val="003CA0"/>
          <w:sz w:val="12"/>
        </w:rPr>
        <w:t xml:space="preserve"> | rel. Ellen Gracie</w:t>
      </w:r>
    </w:p>
    <w:p>
      <w:pPr>
        <w:ind w:left="288"/>
      </w:pPr>
      <w:r>
        <w:rPr>
          <w:color w:val="1E1E1E"/>
          <w:sz w:val="18"/>
        </w:rPr>
        <w:t xml:space="preserve">(...) conforme demonstrado na decisão atacada por meio de precedente citado (RE 158.208/RN), da relatoria do min. Marco Aurélio, a Contribuição para o IAA configura contribuição de intervenção no domínio econômico, nos termos do art. 149 da CF. (...) Dessa forma, a prescrição é regida pelo CTN. (...) Asseverou-se, naquele julgamento, que a EC 8/1977 retirou a natureza tributária das contribuições sociais, com exceção daquelas de intervenção no domínio econômico, como a de que tratam estes autos (IAA). E, uma vez definida a natureza jurídico-tributária da contribuição ao IAA, apenas foi citada </w:t>
      </w:r>
    </w:p>
    <w:p>
      <w:pPr>
        <w:ind w:left="288"/>
      </w:pPr>
      <w:r>
        <w:rPr>
          <w:b/>
          <w:color w:val="003CA0"/>
          <w:sz w:val="16"/>
        </w:rPr>
        <w:t>[RE 543.997 AgR, voto da rel. min. Ellen Gracie, j. 22-6-2010, 2ª T, DJE de 6-8-2010.]</w:t>
      </w:r>
    </w:p>
    <w:p>
      <w:pPr>
        <w:ind w:left="288"/>
      </w:pPr>
      <w:r>
        <w:rPr>
          <w:color w:val="8C8C8C"/>
          <w:sz w:val="12"/>
        </w:rPr>
        <w:t>cf-art-149</w:t>
      </w:r>
      <w:r>
        <w:rPr>
          <w:color w:val="003CA0"/>
          <w:sz w:val="12"/>
        </w:rPr>
        <w:t xml:space="preserve"> | RE 214.206</w:t>
      </w:r>
      <w:r>
        <w:rPr>
          <w:color w:val="003CA0"/>
          <w:sz w:val="12"/>
        </w:rPr>
        <w:t xml:space="preserve"> | rel. Eros Grau</w:t>
      </w:r>
    </w:p>
    <w:p>
      <w:pPr>
        <w:ind w:left="288"/>
      </w:pPr>
      <w:r>
        <w:rPr>
          <w:color w:val="1E1E1E"/>
          <w:sz w:val="18"/>
        </w:rPr>
        <w:t>Vide RE 214.206, red. do ac. min. Nelson Jobim, j. 15-10-1997, P, DJ de 29-5-1998 O STF fixou entendimento no sentido da dispensabilidade de lei complementar para a criação das contribuições de intervenção no domínio econômico e de interesse das categorias profissionais.</w:t>
      </w:r>
    </w:p>
    <w:p>
      <w:pPr>
        <w:ind w:left="288"/>
      </w:pPr>
      <w:r>
        <w:rPr>
          <w:b/>
          <w:color w:val="003CA0"/>
          <w:sz w:val="16"/>
        </w:rPr>
        <w:t>[AI 739.715 AgR, rel. min. Eros Grau, j. 26-5-2009, 2ª T, DJE de 19-6-2009.]</w:t>
      </w:r>
    </w:p>
    <w:p>
      <w:pPr>
        <w:ind w:left="288"/>
      </w:pPr>
      <w:r>
        <w:rPr>
          <w:color w:val="8C8C8C"/>
          <w:sz w:val="12"/>
        </w:rPr>
        <w:t>cf-art-149</w:t>
      </w:r>
      <w:r>
        <w:rPr>
          <w:color w:val="003CA0"/>
          <w:sz w:val="12"/>
        </w:rPr>
        <w:t xml:space="preserve"> | ACO 580</w:t>
      </w:r>
      <w:r>
        <w:rPr>
          <w:color w:val="003CA0"/>
          <w:sz w:val="12"/>
        </w:rPr>
        <w:t xml:space="preserve"> | rel. Maurício Corrêa</w:t>
      </w:r>
    </w:p>
    <w:p>
      <w:pPr>
        <w:ind w:left="288"/>
      </w:pPr>
      <w:r>
        <w:rPr>
          <w:color w:val="1E1E1E"/>
          <w:sz w:val="18"/>
        </w:rPr>
        <w:t>O Pasep, sendo contribuição instituída pela própria Carta da República, não se confunde com aquelas que a União pode criar na forma dos seus arts. 149 e 195, nem se lhe aplicam quaisquer dos princípios ou restrições constitucionais que regulam as contribuições em geral.</w:t>
      </w:r>
    </w:p>
    <w:p>
      <w:pPr>
        <w:ind w:left="288"/>
      </w:pPr>
      <w:r>
        <w:rPr>
          <w:b/>
          <w:color w:val="003CA0"/>
          <w:sz w:val="16"/>
        </w:rPr>
        <w:t>[ACO 580, rel. min. Maurício Corrêa, j. 15-8-2002, P, DJ de 25-10-2002.]</w:t>
      </w:r>
    </w:p>
    <w:p>
      <w:pPr>
        <w:ind w:left="288"/>
      </w:pPr>
      <w:r>
        <w:rPr>
          <w:color w:val="8C8C8C"/>
          <w:sz w:val="12"/>
        </w:rPr>
        <w:t>cf-art-149</w:t>
      </w:r>
      <w:r>
        <w:rPr>
          <w:color w:val="003CA0"/>
          <w:sz w:val="12"/>
        </w:rPr>
        <w:t xml:space="preserve"> | MS 21.797</w:t>
      </w:r>
      <w:r>
        <w:rPr>
          <w:color w:val="003CA0"/>
          <w:sz w:val="12"/>
        </w:rPr>
        <w:t xml:space="preserve"> | rel. Carlos Velloso</w:t>
      </w:r>
    </w:p>
    <w:p>
      <w:pPr>
        <w:ind w:left="288"/>
      </w:pPr>
      <w:r>
        <w:rPr>
          <w:color w:val="1E1E1E"/>
          <w:sz w:val="18"/>
        </w:rPr>
        <w:t>Constitucional. Administrativo. Entidades fiscalizadoras do exercício profissional. Conselho Federal de Odontologia: natureza autárquica. Lei 4.234, de 1964, art. 2º. Fiscalização por parte do TCU. Natureza autárquica do Conselho Federal e dos Conselhos Regionais de Odontologia. Obrigatoriedade de prestar contas ao TCU. (...) As contribuições cobradas pelas autarquias responsáveis pela fiscalização do exercício profissional são contribuições parafiscais, contribuições corporativas, com caráter tributário. CF, art. 149 (...).</w:t>
      </w:r>
    </w:p>
    <w:p>
      <w:pPr>
        <w:ind w:left="288"/>
      </w:pPr>
      <w:r>
        <w:rPr>
          <w:b/>
          <w:color w:val="003CA0"/>
          <w:sz w:val="16"/>
        </w:rPr>
        <w:t>[MS 21.797, rel. min. Carlos Velloso, j. 9-3-2001, P, DJ de 18-5-2001.]</w:t>
      </w:r>
    </w:p>
    <w:p>
      <w:pPr>
        <w:ind w:left="288"/>
      </w:pPr>
      <w:r>
        <w:rPr>
          <w:color w:val="8C8C8C"/>
          <w:sz w:val="12"/>
        </w:rPr>
        <w:t>cf-art-149</w:t>
      </w:r>
      <w:r>
        <w:rPr>
          <w:color w:val="003CA0"/>
          <w:sz w:val="12"/>
        </w:rPr>
        <w:t xml:space="preserve"> | ADI 4.697</w:t>
      </w:r>
      <w:r>
        <w:rPr>
          <w:color w:val="003CA0"/>
          <w:sz w:val="12"/>
        </w:rPr>
        <w:t xml:space="preserve"> | rel. Edson Fachin</w:t>
      </w:r>
    </w:p>
    <w:p>
      <w:pPr>
        <w:ind w:left="288"/>
      </w:pPr>
      <w:r>
        <w:rPr>
          <w:color w:val="1E1E1E"/>
          <w:sz w:val="18"/>
        </w:rPr>
        <w:t>= ADI 4.697 e ADI 4.762, rel. min. Edson Fachin, j. 6-10-2016, P, DJE de 30-3-2017 Adicional de Tarifa Portuária (ATP). Lei 7.700, de 1988, art. 1º, § 1º. Natureza jurídica do ATP: contribuição de intervenção no domínio econômico, segundo o entendimento da maioria, a partir dos votos dos ministros Ilmar Galvão e Nelson Jobim. Voto do relator, vencido no fundamento: natureza jurídica do ATP: taxa (...).</w:t>
      </w:r>
    </w:p>
    <w:p>
      <w:pPr>
        <w:ind w:left="288"/>
      </w:pPr>
      <w:r>
        <w:rPr>
          <w:b/>
          <w:color w:val="003CA0"/>
          <w:sz w:val="16"/>
        </w:rPr>
        <w:t>[RE 209.365, rel. min. Carlos Velloso, j. 4-3-1999, P, DJ de 7-12-2000.]</w:t>
      </w:r>
    </w:p>
    <w:p>
      <w:pPr>
        <w:ind w:left="288"/>
      </w:pPr>
      <w:r>
        <w:rPr>
          <w:color w:val="8C8C8C"/>
          <w:sz w:val="12"/>
        </w:rPr>
        <w:t>cf-art-149</w:t>
      </w:r>
      <w:r>
        <w:rPr>
          <w:color w:val="003CA0"/>
          <w:sz w:val="12"/>
        </w:rPr>
        <w:t xml:space="preserve"> | RE 214.206</w:t>
      </w:r>
    </w:p>
    <w:p>
      <w:pPr>
        <w:ind w:left="288"/>
      </w:pPr>
      <w:r>
        <w:rPr>
          <w:color w:val="1E1E1E"/>
          <w:sz w:val="18"/>
        </w:rPr>
        <w:t>Contribuição devida ao Instituto do Açúcar e do Álcool (IAA). A CF/1988 recepcionou o DL 308/1967, com as alterações dos DL 1.712/1979 e DL 1.952/1982. Ficou afastada a ofensa ao art. 149 da CF/1988, que exige lei complementar para a instituição de contribuições de intervenção no domínio econômico. A contribuição para o IAA é compatível com o sistema tributário nacional. Não vulnera o art. 34, § 5º, do ADCT/CF/1988. É incompatível com a CF/1988 a possibilidade de a alíquota variar ou ser fixada por autoridade administrativa.</w:t>
      </w:r>
    </w:p>
    <w:p>
      <w:pPr>
        <w:ind w:left="288"/>
      </w:pPr>
      <w:r>
        <w:rPr>
          <w:b/>
          <w:color w:val="003CA0"/>
          <w:sz w:val="16"/>
        </w:rPr>
        <w:t>[RE 214.206, red. do ac. min. Nelson Jobim, j. 15-10-1997, P, DJ de 29-5-1998.]</w:t>
      </w:r>
    </w:p>
    <w:p>
      <w:pPr>
        <w:ind w:left="288"/>
      </w:pPr>
      <w:r>
        <w:rPr>
          <w:color w:val="8C8C8C"/>
          <w:sz w:val="12"/>
        </w:rPr>
        <w:t>cf-art-149</w:t>
      </w:r>
      <w:r>
        <w:rPr>
          <w:color w:val="003CA0"/>
          <w:sz w:val="12"/>
        </w:rPr>
        <w:t xml:space="preserve"> | RE 597.098</w:t>
      </w:r>
      <w:r>
        <w:rPr>
          <w:color w:val="003CA0"/>
          <w:sz w:val="12"/>
        </w:rPr>
        <w:t xml:space="preserve"> | rel. Joaquim Barbosa</w:t>
      </w:r>
    </w:p>
    <w:p>
      <w:pPr>
        <w:ind w:left="288"/>
      </w:pPr>
      <w:r>
        <w:rPr>
          <w:color w:val="1E1E1E"/>
          <w:sz w:val="18"/>
        </w:rPr>
        <w:t>= RE 597.098 AgR, rel. min. Joaquim Barbosa, j. 4-10-2011, 2ª T, DJE de 17-11-2011 Vide RE 543.997 AgR, voto da rel. min. Ellen Gracie, j. 22-6-2010, 2ª T, DJE de 6-8-2010 Adicional ao Frete para Renovação da Marinha Mercante  (AFRMM): Contribuição parafiscal ou especial de intervenção no domínio econômico. CF, arts. 149 e 155, § 2º, IX. ADCT, art. 36. O AFRMM é uma contribuição parafiscal ou especial, contribuição de intervenção no domínio econômico, terceiro gênero tributário, distinta do imposto e da taxa (CF, art. 149).</w:t>
      </w:r>
    </w:p>
    <w:p>
      <w:pPr>
        <w:ind w:left="288"/>
      </w:pPr>
      <w:r>
        <w:rPr>
          <w:b/>
          <w:color w:val="003CA0"/>
          <w:sz w:val="16"/>
        </w:rPr>
        <w:t>[RE 177.137, rel. min. Carlos Velloso, j. 24-5-1995, P, DJ de 18-4-1997.]</w:t>
      </w:r>
    </w:p>
    <w:p>
      <w:pPr>
        <w:ind w:left="288"/>
      </w:pPr>
      <w:r>
        <w:rPr>
          <w:color w:val="8C8C8C"/>
          <w:sz w:val="12"/>
        </w:rPr>
        <w:t>cf-art-149</w:t>
      </w:r>
      <w:r>
        <w:rPr>
          <w:color w:val="003CA0"/>
          <w:sz w:val="12"/>
        </w:rPr>
        <w:t xml:space="preserve"> | RE 168.457</w:t>
      </w:r>
      <w:r>
        <w:rPr>
          <w:color w:val="003CA0"/>
          <w:sz w:val="12"/>
        </w:rPr>
        <w:t xml:space="preserve"> | rel. Moreira Alves</w:t>
      </w:r>
    </w:p>
    <w:p>
      <w:pPr>
        <w:ind w:left="288"/>
      </w:pPr>
      <w:r>
        <w:rPr>
          <w:color w:val="1E1E1E"/>
          <w:sz w:val="18"/>
        </w:rPr>
        <w:t>Finsocial. Entrada em vigor do art. 28 da Lei 7.738/1989 em que foi convertida a MP 32, de 3-2-1989. Como se vê do art. 149 da CF, as contribuições aludidas no art. 195 têm natureza tributária, embora a elas não se aplique o disposto na letra b do inciso III do art. 150 da CF, graças à ressalva da parte final do art. 149: "sem prejuízo do previsto no art. 195, § 6º, relativamente às contribuições a que alude o dispositivo". Tem razão a recorrida quando sustenta que, contados os noventa dias a partir da publicação da MP 32, de 3-2-1989, que deu margem à Lei de Conversão 7.738, de 9-3-1989, só e</w:t>
      </w:r>
    </w:p>
    <w:p>
      <w:pPr>
        <w:ind w:left="288"/>
      </w:pPr>
      <w:r>
        <w:rPr>
          <w:b/>
          <w:color w:val="003CA0"/>
          <w:sz w:val="16"/>
        </w:rPr>
        <w:t>[RE 168.457, rel. min. Moreira Alves, j. 17-5-1994, 1ª T, DJ de 11-11-1994.]</w:t>
      </w:r>
    </w:p>
    <w:p>
      <w:pPr>
        <w:ind w:left="288"/>
      </w:pPr>
      <w:r>
        <w:rPr>
          <w:color w:val="8C8C8C"/>
          <w:sz w:val="12"/>
        </w:rPr>
        <w:t>cf-art-149</w:t>
      </w:r>
    </w:p>
    <w:p>
      <w:pPr>
        <w:ind w:left="288"/>
      </w:pPr>
      <w:r>
        <w:rPr>
          <w:color w:val="1E1E1E"/>
          <w:sz w:val="18"/>
        </w:rPr>
        <w:t>§ 1º A União, os Estados, o Distrito Federal e os Municípios instituirão, por meio de lei, contribuições para custeio de regime próprio de previdência social, cobradas dos servidores ativos, dos aposentados e dos pensionistas, que poderão ter alíquotas progressivas de acordo com o valor da base de contribuição ou dos proventos de aposentadoria e de pensões. (Redação da EC 41/03)</w:t>
      </w:r>
    </w:p>
    <w:p>
      <w:pPr>
        <w:ind w:left="144"/>
      </w:pPr>
      <w:r>
        <w:rPr>
          <w:b/>
          <w:color w:val="B45A00"/>
          <w:sz w:val="16"/>
        </w:rPr>
        <w:t>CONTROLE CONCENTRADO</w:t>
      </w:r>
    </w:p>
    <w:p>
      <w:pPr>
        <w:ind w:left="288"/>
      </w:pPr>
      <w:r>
        <w:rPr>
          <w:color w:val="8C8C8C"/>
          <w:sz w:val="12"/>
        </w:rPr>
        <w:t>cf-art-149</w:t>
      </w:r>
      <w:r>
        <w:rPr>
          <w:color w:val="003CA0"/>
          <w:sz w:val="12"/>
        </w:rPr>
        <w:t xml:space="preserve"> | ADI 6.534</w:t>
      </w:r>
      <w:r>
        <w:rPr>
          <w:color w:val="003CA0"/>
          <w:sz w:val="12"/>
        </w:rPr>
        <w:t xml:space="preserve"> | rel. Flávio Dino</w:t>
      </w:r>
    </w:p>
    <w:p>
      <w:pPr>
        <w:ind w:left="288"/>
      </w:pPr>
      <w:r>
        <w:rPr>
          <w:color w:val="1E1E1E"/>
          <w:sz w:val="18"/>
        </w:rPr>
        <w:t>“É constitucional a majoração da alíquota de contribuição dos servidores públicos estaduais mediante lei ordinária (CF, art. 149, § 1º), inexistindo reserva de lei complementar na matéria, cabendo, inclusive, para esse efeito, a edição de medida provisória, sempre que presentes os pressupostos constitucionais autorizadores (CF, art. 62, caput)”.</w:t>
        <w:br/>
        <w:t>[ADI 6.534, rel. min. Flávio Dino, j. 05.06.2024, P, DJE de 14.06.2024.] Art. 85, caput, da LC 64 estabelece que "o IPSEMG [Instituto de Previdência dos Servidores do Estado de Minas Gerais] prestará assistência médica, hospitalar e odontológica, bem c</w:t>
      </w:r>
    </w:p>
    <w:p>
      <w:pPr>
        <w:ind w:left="144"/>
      </w:pPr>
      <w:r>
        <w:rPr>
          <w:b/>
          <w:color w:val="B45A00"/>
          <w:sz w:val="16"/>
        </w:rPr>
        <w:t>REPERCUSSAO GERAL</w:t>
      </w:r>
    </w:p>
    <w:p>
      <w:pPr>
        <w:ind w:left="288"/>
      </w:pPr>
      <w:r>
        <w:rPr>
          <w:color w:val="8C8C8C"/>
          <w:sz w:val="12"/>
        </w:rPr>
        <w:t>cf-art-149</w:t>
      </w:r>
      <w:r>
        <w:rPr>
          <w:color w:val="003CA0"/>
          <w:sz w:val="12"/>
        </w:rPr>
        <w:t xml:space="preserve"> | ARE 875.958</w:t>
      </w:r>
      <w:r>
        <w:rPr>
          <w:color w:val="003CA0"/>
          <w:sz w:val="12"/>
        </w:rPr>
        <w:t xml:space="preserve"> | rel. Roberto Barroso</w:t>
      </w:r>
    </w:p>
    <w:p>
      <w:pPr>
        <w:ind w:left="288"/>
      </w:pPr>
      <w:r>
        <w:rPr>
          <w:color w:val="1E1E1E"/>
          <w:sz w:val="18"/>
        </w:rPr>
        <w:t>A ausência de estudo atuarial específico e prévio à edição de lei que aumente a contribuição previdenciária dos servidores públicos não implica vício de inconstitucionalidade, mas mera irregularidade que pode ser sanada pela demonstração do déficit financeiro ou atuarial que justificava a medida. A majoração da alíquota da contribuição previdenciária do servidor público para 13,25% não afronta os princípios da razoabilidade e da vedação ao confisco.</w:t>
      </w:r>
    </w:p>
    <w:p>
      <w:pPr>
        <w:ind w:left="288"/>
      </w:pPr>
      <w:r>
        <w:rPr>
          <w:b/>
          <w:color w:val="003CA0"/>
          <w:sz w:val="16"/>
        </w:rPr>
        <w:t>[ARE 875.958, rel. min. Roberto Barroso, j. 19-10-2021, P, DJE de 11-2-2022, Tema 933, com mérito julgado.]</w:t>
      </w:r>
    </w:p>
    <w:p>
      <w:pPr>
        <w:ind w:left="144"/>
      </w:pPr>
      <w:r>
        <w:rPr>
          <w:b/>
          <w:color w:val="B45A00"/>
          <w:sz w:val="16"/>
        </w:rPr>
        <w:t>JULGADOS CORRELATOS</w:t>
      </w:r>
    </w:p>
    <w:p>
      <w:pPr>
        <w:ind w:left="288"/>
      </w:pPr>
      <w:r>
        <w:rPr>
          <w:color w:val="8C8C8C"/>
          <w:sz w:val="12"/>
        </w:rPr>
        <w:t>cf-art-149</w:t>
      </w:r>
      <w:r>
        <w:rPr>
          <w:color w:val="003CA0"/>
          <w:sz w:val="12"/>
        </w:rPr>
        <w:t xml:space="preserve"> | RE 426.335</w:t>
      </w:r>
      <w:r>
        <w:rPr>
          <w:color w:val="003CA0"/>
          <w:sz w:val="12"/>
        </w:rPr>
        <w:t xml:space="preserve"> | rel. Cármen Lúcia</w:t>
      </w:r>
    </w:p>
    <w:p>
      <w:pPr>
        <w:ind w:left="288"/>
      </w:pPr>
      <w:r>
        <w:rPr>
          <w:color w:val="1E1E1E"/>
          <w:sz w:val="18"/>
        </w:rPr>
        <w:t>Regime previdenciário próprio de servidor público municipal. Período anterior ao regime eminentemente contributivo da EC 20/1998. Exclusão do regime geral de previdência social, independentemente de contribuição dos segurados.</w:t>
      </w:r>
    </w:p>
    <w:p>
      <w:pPr>
        <w:ind w:left="288"/>
      </w:pPr>
      <w:r>
        <w:rPr>
          <w:b/>
          <w:color w:val="003CA0"/>
          <w:sz w:val="16"/>
        </w:rPr>
        <w:t>[RE 426.335 AgR-segundo, rel. min. Cármen Lúcia, j. 30-10-2012, 2ª T, DJE de 23-11-2012.]</w:t>
      </w:r>
    </w:p>
    <w:p>
      <w:pPr>
        <w:ind w:left="288"/>
      </w:pPr>
      <w:r>
        <w:rPr>
          <w:color w:val="8C8C8C"/>
          <w:sz w:val="12"/>
        </w:rPr>
        <w:t>cf-art-149</w:t>
      </w:r>
      <w:r>
        <w:rPr>
          <w:color w:val="003CA0"/>
          <w:sz w:val="12"/>
        </w:rPr>
        <w:t xml:space="preserve"> | RE 345.963</w:t>
      </w:r>
      <w:r>
        <w:rPr>
          <w:color w:val="003CA0"/>
          <w:sz w:val="12"/>
        </w:rPr>
        <w:t xml:space="preserve"> | rel. Marco Aurélio</w:t>
      </w:r>
    </w:p>
    <w:p>
      <w:pPr>
        <w:ind w:left="288"/>
      </w:pPr>
      <w:r>
        <w:rPr>
          <w:color w:val="1E1E1E"/>
          <w:sz w:val="18"/>
        </w:rPr>
        <w:t>A legislação nova sobre tributos, majorando contribuição social, é aplicável à relação jurídica de débito permanente retratada pela satisfação mensal de proventos.</w:t>
      </w:r>
    </w:p>
    <w:p>
      <w:pPr>
        <w:ind w:left="288"/>
      </w:pPr>
      <w:r>
        <w:rPr>
          <w:b/>
          <w:color w:val="003CA0"/>
          <w:sz w:val="16"/>
        </w:rPr>
        <w:t>[RE 345.963, rel. min. Marco Aurélio, j. 17-3-2009, 1ª T, DJE de 15-5-2009.]</w:t>
      </w:r>
    </w:p>
    <w:p>
      <w:pPr>
        <w:ind w:left="144"/>
      </w:pPr>
      <w:r>
        <w:rPr>
          <w:b/>
          <w:color w:val="B45A00"/>
          <w:sz w:val="16"/>
        </w:rPr>
        <w:t>REPERCUSSAO GERAL</w:t>
      </w:r>
    </w:p>
    <w:p>
      <w:pPr>
        <w:ind w:left="288"/>
      </w:pPr>
      <w:r>
        <w:rPr>
          <w:color w:val="8C8C8C"/>
          <w:sz w:val="12"/>
        </w:rPr>
        <w:t>cf-art-149-par-2-inc-I</w:t>
      </w:r>
      <w:r>
        <w:rPr>
          <w:color w:val="003CA0"/>
          <w:sz w:val="12"/>
        </w:rPr>
        <w:t xml:space="preserve"> | RE 759.244</w:t>
      </w:r>
      <w:r>
        <w:rPr>
          <w:color w:val="003CA0"/>
          <w:sz w:val="12"/>
        </w:rPr>
        <w:t xml:space="preserve"> | rel. Edson Fachin</w:t>
      </w:r>
    </w:p>
    <w:p>
      <w:pPr>
        <w:ind w:left="288"/>
      </w:pPr>
      <w:r>
        <w:rPr>
          <w:color w:val="1E1E1E"/>
          <w:sz w:val="18"/>
        </w:rPr>
        <w:t>O melhor discernimento acerca do alcance da imunidade tributária nas exportações indiretas se realiza a partir da compreensão da natureza objetiva da imunidade, que está a indicar que imune não é o contribuinte, ‘mas sim o bem quando exportado’, portanto, irrelevante se promovida exportação direta ou indireta. (...) A norma imunizante contida no inciso I do §2º do art.149 da Constituição da República alcança as receitas decorrentes de operações indiretas de exportação caracterizadas por haver participação de sociedade exportadora intermediária.</w:t>
      </w:r>
    </w:p>
    <w:p>
      <w:pPr>
        <w:ind w:left="288"/>
      </w:pPr>
      <w:r>
        <w:rPr>
          <w:b/>
          <w:color w:val="003CA0"/>
          <w:sz w:val="16"/>
        </w:rPr>
        <w:t>[RE 759.244, rel. min. Edson Fachin, j. 12-2-2020, P, DJE de 25-3-2020, Tema 674, com mérito julgado.]</w:t>
      </w:r>
    </w:p>
    <w:p>
      <w:pPr>
        <w:ind w:left="288"/>
      </w:pPr>
      <w:r>
        <w:rPr>
          <w:color w:val="8C8C8C"/>
          <w:sz w:val="12"/>
        </w:rPr>
        <w:t>cf-art-149-par-2-inc-I</w:t>
      </w:r>
      <w:r>
        <w:rPr>
          <w:color w:val="003CA0"/>
          <w:sz w:val="12"/>
        </w:rPr>
        <w:t xml:space="preserve"> | RE 627.815</w:t>
      </w:r>
      <w:r>
        <w:rPr>
          <w:color w:val="003CA0"/>
          <w:sz w:val="12"/>
        </w:rPr>
        <w:t xml:space="preserve"> | rel. Rosa Weber</w:t>
      </w:r>
    </w:p>
    <w:p>
      <w:pPr>
        <w:ind w:left="288"/>
      </w:pPr>
      <w:r>
        <w:rPr>
          <w:color w:val="1E1E1E"/>
          <w:sz w:val="18"/>
        </w:rPr>
        <w:t>(...) a tese da inconstitucionalidade da incidência da contribuição ao PIS e da Cofins sobre a receita decorrente da variação cambial positiva obtida nas operações de exportação de produtos.</w:t>
      </w:r>
    </w:p>
    <w:p>
      <w:pPr>
        <w:ind w:left="288"/>
      </w:pPr>
      <w:r>
        <w:rPr>
          <w:b/>
          <w:color w:val="003CA0"/>
          <w:sz w:val="16"/>
        </w:rPr>
        <w:t>[RE 627.815, rel. min. Rosa Weber, j. 23-5-2013, P, DJE de 1º-10-2013, Tema 329, com mérito julgado.]</w:t>
      </w:r>
    </w:p>
    <w:p>
      <w:pPr>
        <w:ind w:left="288"/>
      </w:pPr>
      <w:r>
        <w:rPr>
          <w:color w:val="8C8C8C"/>
          <w:sz w:val="12"/>
        </w:rPr>
        <w:t>cf-art-149-par-2-inc-I</w:t>
      </w:r>
      <w:r>
        <w:rPr>
          <w:color w:val="003CA0"/>
          <w:sz w:val="12"/>
        </w:rPr>
        <w:t xml:space="preserve"> | RE 566.259</w:t>
      </w:r>
      <w:r>
        <w:rPr>
          <w:color w:val="003CA0"/>
          <w:sz w:val="12"/>
        </w:rPr>
        <w:t xml:space="preserve"> | rel. Ricardo Lewandowski</w:t>
      </w:r>
    </w:p>
    <w:p>
      <w:pPr>
        <w:ind w:left="288"/>
      </w:pPr>
      <w:r>
        <w:rPr>
          <w:color w:val="1E1E1E"/>
          <w:sz w:val="18"/>
        </w:rPr>
        <w:t>O art. 149, § 2º, I, da CF é claro ao limitar a imunidade apenas às contribuições sociais e de intervenção no domínio econômico incidentes sobre as receitas decorrentes de exportação. Em se tratando de imunidade tributária, a interpretação há de ser restritiva, atentando sempre para o escopo pretendido pelo legislador. A CPMF não foi contemplada pela referida imunidade, porquanto a sua hipótese de incidência – movimentações financeiras – não se confunde com as receitas.</w:t>
        <w:br/>
        <w:t>[RE 566.259, rel. min. Ricardo Lewandowski, j. 12-8-2010, P, DJE de 24-9-2010, Tema 52, com mérito julgado.] A imunidade prev</w:t>
      </w:r>
    </w:p>
    <w:p>
      <w:pPr>
        <w:ind w:left="288"/>
      </w:pPr>
      <w:r>
        <w:rPr>
          <w:b/>
          <w:color w:val="003CA0"/>
          <w:sz w:val="16"/>
        </w:rPr>
        <w:t>[RE 1.553.932 AgR, rel. min. Cristiano Zanin, j. 25.08.2025, 2ª T, DJE de 28.08.2025.]</w:t>
      </w:r>
    </w:p>
    <w:p>
      <w:pPr>
        <w:ind w:left="144"/>
      </w:pPr>
      <w:r>
        <w:rPr>
          <w:b/>
          <w:color w:val="B45A00"/>
          <w:sz w:val="16"/>
        </w:rPr>
        <w:t>JULGADOS CORRELATOS</w:t>
      </w:r>
    </w:p>
    <w:p>
      <w:pPr>
        <w:ind w:left="288"/>
      </w:pPr>
      <w:r>
        <w:rPr>
          <w:color w:val="8C8C8C"/>
          <w:sz w:val="12"/>
        </w:rPr>
        <w:t>cf-art-149-par-2-inc-I</w:t>
      </w:r>
      <w:r>
        <w:rPr>
          <w:color w:val="003CA0"/>
          <w:sz w:val="12"/>
        </w:rPr>
        <w:t xml:space="preserve"> | ARE 1.369.122</w:t>
      </w:r>
      <w:r>
        <w:rPr>
          <w:color w:val="003CA0"/>
          <w:sz w:val="12"/>
        </w:rPr>
        <w:t xml:space="preserve"> | rel. Roberto Barroso</w:t>
      </w:r>
    </w:p>
    <w:p>
      <w:pPr>
        <w:ind w:left="288"/>
      </w:pPr>
      <w:r>
        <w:rPr>
          <w:color w:val="1E1E1E"/>
          <w:sz w:val="18"/>
        </w:rPr>
        <w:t>A contribuição ao SENAR deve ser enquadrada entre as contribuições sociais gerais, vez que instituída com a finalidade de custear ações e serviços pertinentes ao Título VIII da CF/1988 (“Da Ordem Social”). Como consequência, por ser uma contribuição social geral, a referida incidência não deve recair sobre as receitas decorrentes de exportação, sob pena de violação direta ao art. 149, § 2º, I, da Constituição.</w:t>
      </w:r>
    </w:p>
    <w:p>
      <w:pPr>
        <w:ind w:left="288"/>
      </w:pPr>
      <w:r>
        <w:rPr>
          <w:b/>
          <w:color w:val="003CA0"/>
          <w:sz w:val="16"/>
        </w:rPr>
        <w:t>[ARE 1.369.122 AgR-segundo, rel. min. Roberto Barroso, j. 25-4-2023, 1ª T, DJE de 3-5-2023.]</w:t>
      </w:r>
    </w:p>
    <w:p>
      <w:pPr>
        <w:ind w:left="288"/>
      </w:pPr>
      <w:r>
        <w:rPr>
          <w:color w:val="8C8C8C"/>
          <w:sz w:val="12"/>
        </w:rPr>
        <w:t>cf-art-149-par-2-inc-I</w:t>
      </w:r>
      <w:r>
        <w:rPr>
          <w:color w:val="003CA0"/>
          <w:sz w:val="12"/>
        </w:rPr>
        <w:t xml:space="preserve"> | RE 1.367.071</w:t>
      </w:r>
      <w:r>
        <w:rPr>
          <w:color w:val="003CA0"/>
          <w:sz w:val="12"/>
        </w:rPr>
        <w:t xml:space="preserve"> | rel. Ricardo Lewandowski</w:t>
      </w:r>
    </w:p>
    <w:p>
      <w:pPr>
        <w:ind w:left="288"/>
      </w:pPr>
      <w:r>
        <w:rPr>
          <w:color w:val="1E1E1E"/>
          <w:sz w:val="18"/>
        </w:rPr>
        <w:t>(...) a receita oriunda da venda de frete não está abrangida pela imunidade constitucional, que, (...) é destinada à receita oriunda da venda de produtos ao exterior. Da mesma forma, ao interpretar a legislação tributária de regência (MP 2.158-35, de 2001; Lei 10.833/2003; Lei 10.637/2002; IN/RFB nº 1.152/2011; Lei 10.865/2004; e Decreto 6.759/2009), concluiu que a isenção prevista nas leis sobre as receitas de frete de produtos destinados à exportação tem incidência apenas quando o frete é contratado por pessoa jurídica preponderantemente exportadora, que vá exportar o produto diretamente, ou</w:t>
      </w:r>
    </w:p>
    <w:p>
      <w:pPr>
        <w:ind w:left="288"/>
      </w:pPr>
      <w:r>
        <w:rPr>
          <w:b/>
          <w:color w:val="003CA0"/>
          <w:sz w:val="16"/>
        </w:rPr>
        <w:t>[RE 1.367.071 AgR-EDv, rel. min. Ricardo Lewandowski, voto do red. do ac. min. Alexandre de Moraes, j. 22.2.2023, P, DJE de 2.5.2023.]</w:t>
      </w:r>
    </w:p>
    <w:p>
      <w:pPr>
        <w:ind w:left="288"/>
      </w:pPr>
      <w:r>
        <w:rPr>
          <w:color w:val="8C8C8C"/>
          <w:sz w:val="12"/>
        </w:rPr>
        <w:t>cf-art-149-par-2-inc-I</w:t>
      </w:r>
      <w:r>
        <w:rPr>
          <w:color w:val="003CA0"/>
          <w:sz w:val="12"/>
        </w:rPr>
        <w:t xml:space="preserve"> | RE 1.393.804</w:t>
      </w:r>
      <w:r>
        <w:rPr>
          <w:color w:val="003CA0"/>
          <w:sz w:val="12"/>
        </w:rPr>
        <w:t xml:space="preserve"> | rel. Roberto Barroso</w:t>
      </w:r>
    </w:p>
    <w:p>
      <w:pPr>
        <w:ind w:left="288"/>
      </w:pPr>
      <w:r>
        <w:rPr>
          <w:color w:val="1E1E1E"/>
          <w:sz w:val="18"/>
        </w:rPr>
        <w:t>É legítima a declaração segregada das receitas decorrentes da exportação de serviços para a Zona Franca de Manaus, como forma de possibilitar a eficaz aplicação das regras de imunidade alocadas no texto constitucional, notadamente as previstas nos arts. 149, § 2º, I; 153, IV, § 3º, III; e 155, II, § 2º, X, a. Permitir a tributação sobre operações imunes, mesmo na sistemática do Simples, seria equivocado, pois a Lei Complementar nº 123/2006 não pode se sobrepor às normas constitucionais imunizantes.</w:t>
        <w:br/>
        <w:t>[RE 1.393.804 AgR, rel. min. Roberto Barroso, j. 5-12-2022, 1ª T, DJE de 7-12-2022.]</w:t>
      </w:r>
    </w:p>
    <w:p>
      <w:pPr>
        <w:ind w:left="144"/>
      </w:pPr>
      <w:r>
        <w:rPr>
          <w:b/>
          <w:color w:val="B45A00"/>
          <w:sz w:val="16"/>
        </w:rPr>
        <w:t>REPERCUSSAO GERAL</w:t>
      </w:r>
    </w:p>
    <w:p>
      <w:pPr>
        <w:ind w:left="288"/>
      </w:pPr>
      <w:r>
        <w:rPr>
          <w:color w:val="8C8C8C"/>
          <w:sz w:val="12"/>
        </w:rPr>
        <w:t>cf-art-149-par-2-inc-III</w:t>
      </w:r>
      <w:r>
        <w:rPr>
          <w:color w:val="003CA0"/>
          <w:sz w:val="12"/>
        </w:rPr>
        <w:t xml:space="preserve"> | RE 603.624</w:t>
      </w:r>
    </w:p>
    <w:p>
      <w:pPr>
        <w:ind w:left="288"/>
      </w:pPr>
      <w:r>
        <w:rPr>
          <w:color w:val="1E1E1E"/>
          <w:sz w:val="18"/>
        </w:rPr>
        <w:t>O acréscimo realizado pela EC 33/2001 no art. 149, § 2º, III, da Constituição Federal não operou uma delimitação exaustiva das bases econômicas passíveis de tributação por toda e qualquer contribuição social e de intervenção no domínio econômico. O emprego, pelo art. 149, § 2º, III, da CF, do modo verbal ‘poderão ter alíquotas’ demonstra tratar-se de elenco exemplificativo em relação à presente hipótese. Legitimidade da exigência de contribuição ao SEBRAE - APEX - ABDI incidente sobre a folha de salários, nos moldes das Leis 8.029/1990, 8.154/1990, 10.668/2003 e 11.080/2004, ante a alteração p</w:t>
      </w:r>
    </w:p>
    <w:p>
      <w:pPr>
        <w:ind w:left="288"/>
      </w:pPr>
      <w:r>
        <w:rPr>
          <w:color w:val="8C8C8C"/>
          <w:sz w:val="12"/>
        </w:rPr>
        <w:t>cf-art-149-par-2-inc-III-ali-a</w:t>
      </w:r>
      <w:r>
        <w:rPr>
          <w:color w:val="003CA0"/>
          <w:sz w:val="12"/>
        </w:rPr>
        <w:t xml:space="preserve"> | RE 1.317.786</w:t>
      </w:r>
      <w:r>
        <w:rPr>
          <w:color w:val="003CA0"/>
          <w:sz w:val="12"/>
        </w:rPr>
        <w:t xml:space="preserve"> | rel. Luiz Fux</w:t>
      </w:r>
    </w:p>
    <w:p>
      <w:pPr>
        <w:ind w:left="288"/>
      </w:pPr>
      <w:r>
        <w:rPr>
          <w:color w:val="1E1E1E"/>
          <w:sz w:val="18"/>
        </w:rPr>
        <w:t>A contribuição prevista no artigo 1º da Lei Complementar 110/2001 foi recepcionada pela Emenda Constitucional 33/2001.</w:t>
      </w:r>
    </w:p>
    <w:p>
      <w:pPr>
        <w:ind w:left="288"/>
      </w:pPr>
      <w:r>
        <w:rPr>
          <w:b/>
          <w:color w:val="003CA0"/>
          <w:sz w:val="16"/>
        </w:rPr>
        <w:t>[RE 1.317.786, rel. min. Luiz Fux, j. 3-2-2022, P, DJE de 10-2-2022, Tema 1.193, com mérito julgado e reafirmação de jurisprudência.]</w:t>
      </w:r>
    </w:p>
    <w:p>
      <w:pPr>
        <w:ind w:left="288"/>
      </w:pPr>
      <w:r>
        <w:rPr>
          <w:color w:val="8C8C8C"/>
          <w:sz w:val="12"/>
        </w:rPr>
        <w:t>cf-art-149-par-2-inc-III-ali-a</w:t>
      </w:r>
      <w:r>
        <w:rPr>
          <w:color w:val="003CA0"/>
          <w:sz w:val="12"/>
        </w:rPr>
        <w:t xml:space="preserve"> | RE 630.898</w:t>
      </w:r>
      <w:r>
        <w:rPr>
          <w:color w:val="003CA0"/>
          <w:sz w:val="12"/>
        </w:rPr>
        <w:t xml:space="preserve"> | rel. Dias Toffoli</w:t>
      </w:r>
    </w:p>
    <w:p>
      <w:pPr>
        <w:ind w:left="288"/>
      </w:pPr>
      <w:r>
        <w:rPr>
          <w:color w:val="1E1E1E"/>
          <w:sz w:val="18"/>
        </w:rPr>
        <w:t>É constitucional a contribuição de intervenção no domínio econômico destinada ao INCRA devida pelas empresas urbanas e rurais, inclusive após o advento da EC 33/2001.</w:t>
      </w:r>
    </w:p>
    <w:p>
      <w:pPr>
        <w:ind w:left="288"/>
      </w:pPr>
      <w:r>
        <w:rPr>
          <w:b/>
          <w:color w:val="003CA0"/>
          <w:sz w:val="16"/>
        </w:rPr>
        <w:t>[RE 630.898, rel. min. Dias Toffoli, j. 8-4-2021, P, DJE de 11-5-2021, Tema 495, com mérito julgado.]</w:t>
      </w:r>
    </w:p>
    <w:p>
      <w:pPr>
        <w:ind w:left="288"/>
      </w:pPr>
      <w:r>
        <w:rPr>
          <w:color w:val="8C8C8C"/>
          <w:sz w:val="12"/>
        </w:rPr>
        <w:t>cf-art-149-par-2-inc-III-ali-a</w:t>
      </w:r>
      <w:r>
        <w:rPr>
          <w:color w:val="003CA0"/>
          <w:sz w:val="12"/>
        </w:rPr>
        <w:t xml:space="preserve"> | RE 559.937</w:t>
      </w:r>
    </w:p>
    <w:p>
      <w:pPr>
        <w:ind w:left="288"/>
      </w:pPr>
      <w:r>
        <w:rPr>
          <w:color w:val="1E1E1E"/>
          <w:sz w:val="18"/>
        </w:rPr>
        <w:t>Inconstitucionalidade da seguinte parte do art. 7º, I, da Lei 10.865/2004: "acrescido do valor do Imposto sobre Operações Relativas à Circulação de Mercadorias e sobre Prestação de Serviços de Transporte Interestadual e Intermunicipal e de Comunicação – ICMS incidente no desembaraço aduaneiro e do valor das próprias contribuições, por violação do art. 149, § 2º, III, a, da CF, acrescido pela EC 33/01".</w:t>
      </w:r>
    </w:p>
    <w:p>
      <w:pPr>
        <w:ind w:left="288"/>
      </w:pPr>
      <w:r>
        <w:rPr>
          <w:b/>
          <w:color w:val="003CA0"/>
          <w:sz w:val="16"/>
        </w:rPr>
        <w:t>[RE 559.937, red. do ac. min. Dias Toffoli, j. 20-3-2013, P, DJE de 17-10-2013, Tema 1, com mérito julgado.]</w:t>
      </w:r>
    </w:p>
    <w:p>
      <w:pPr>
        <w:ind w:left="288"/>
      </w:pPr>
      <w:r>
        <w:rPr>
          <w:color w:val="8C8C8C"/>
          <w:sz w:val="12"/>
        </w:rPr>
        <w:t>cf-art-149-par-4</w:t>
      </w:r>
    </w:p>
    <w:p>
      <w:pPr>
        <w:ind w:left="288"/>
      </w:pPr>
      <w:r>
        <w:rPr>
          <w:color w:val="1E1E1E"/>
          <w:sz w:val="18"/>
        </w:rPr>
        <w:t>Art. 149-A Os Municípios e o Distrito Federal poderão instituir contribuição, na forma das respectivas leis, para o custeio, a expansão e a melhoria do serviço de iluminação pública e de sistemas de monitoramento para segurança e preservação de logradouros públicos, observado o disposto no art. 150, I e III. (Redação dada pela EC n. 132/2023)</w:t>
      </w:r>
    </w:p>
    <w:p>
      <w:pPr>
        <w:ind w:left="288"/>
      </w:pPr>
      <w:r>
        <w:rPr>
          <w:color w:val="8C8C8C"/>
          <w:sz w:val="12"/>
        </w:rPr>
        <w:t>cf-art-149-par-4</w:t>
      </w:r>
      <w:r>
        <w:rPr>
          <w:color w:val="003CA0"/>
          <w:sz w:val="12"/>
        </w:rPr>
        <w:t xml:space="preserve"> | RE 666.404</w:t>
      </w:r>
      <w:r>
        <w:rPr>
          <w:color w:val="003CA0"/>
          <w:sz w:val="12"/>
        </w:rPr>
        <w:t xml:space="preserve"> | rel. Ricardo Lewandowski</w:t>
      </w:r>
    </w:p>
    <w:p>
      <w:pPr>
        <w:ind w:left="288"/>
      </w:pPr>
      <w:r>
        <w:rPr>
          <w:color w:val="1E1E1E"/>
          <w:sz w:val="18"/>
        </w:rPr>
        <w:t xml:space="preserve">O artigo 149-A, da Constituição Federal, incluído pela Emenda Constitucional 39/2002, dispõe que “Os Municípios e o Distrito Federal poderão instituir contribuição, na forma das respectivas leis, para o custeio do serviço de iluminação pública, observado o disposto no art. 150, I e III”. O constituinte não pretendeu limitar o custeio do serviço de iluminação pública apenas às despesas de sua execução e manutenção. Pelo contrário, deixou margem a que o legislador municipal pudesse instituir a referida contribuição de acordo com a necessidade e interesse local, conforme disposto no art. 30, I e </w:t>
      </w:r>
    </w:p>
    <w:p>
      <w:r>
        <w:rPr>
          <w:b/>
          <w:color w:val="003366"/>
          <w:sz w:val="20"/>
        </w:rPr>
        <w:t>Art. 149 B. Os tributos previstos nos arts. 156-A e 195, V, observarão as mesmas</w:t>
      </w:r>
      <w:r>
        <w:rPr>
          <w:color w:val="8C8C8C"/>
          <w:sz w:val="14"/>
        </w:rPr>
        <w:t xml:space="preserve">  [36 decisoes]</w:t>
      </w:r>
    </w:p>
    <w:p>
      <w:pPr>
        <w:ind w:left="144"/>
      </w:pPr>
      <w:r>
        <w:rPr>
          <w:b/>
          <w:color w:val="B45A00"/>
          <w:sz w:val="16"/>
        </w:rPr>
        <w:t>CONTROLE CONCENTRADO</w:t>
      </w:r>
    </w:p>
    <w:p>
      <w:pPr>
        <w:ind w:left="288"/>
      </w:pPr>
      <w:r>
        <w:rPr>
          <w:color w:val="8C8C8C"/>
          <w:sz w:val="12"/>
        </w:rPr>
        <w:t>cf-art-149</w:t>
      </w:r>
      <w:r>
        <w:rPr>
          <w:color w:val="003CA0"/>
          <w:sz w:val="12"/>
        </w:rPr>
        <w:t xml:space="preserve"> | ADI 1.924</w:t>
      </w:r>
      <w:r>
        <w:rPr>
          <w:color w:val="003CA0"/>
          <w:sz w:val="12"/>
        </w:rPr>
        <w:t xml:space="preserve"> | rel. Rosa Weber</w:t>
      </w:r>
    </w:p>
    <w:p>
      <w:pPr>
        <w:ind w:left="288"/>
      </w:pPr>
      <w:r>
        <w:rPr>
          <w:color w:val="1E1E1E"/>
          <w:sz w:val="18"/>
        </w:rPr>
        <w:t>Serviço Nacional de Aprendizagem do Cooperativismo. Contribuição para o seu financiamento. (...) A contribuição para o SESCOOP tem natureza jurídica de contribuição de intervenção no domínio econômico (art. 149 da Constituição) destinada a incentivar o cooperativismo como forma de organização da atividade econômica, com amparo no § 2º do artigo 174 da Carta Política. (...) O estímulo ao cooperativismo é finalidade pública, por expressa previsão constitucional — ‘a lei apoiará e estimulará o cooperativismo’ (art. 174, § 2º, da CF) – e o dever de prestar contas ao TCU está previsto, em caráter m</w:t>
      </w:r>
    </w:p>
    <w:p>
      <w:pPr>
        <w:ind w:left="288"/>
      </w:pPr>
      <w:r>
        <w:rPr>
          <w:b/>
          <w:color w:val="003CA0"/>
          <w:sz w:val="16"/>
        </w:rPr>
        <w:t>[ADI 1.924, rel. min. Rosa Weber, j. 16-9-2020, P, DJE de 5-10-2020.]</w:t>
      </w:r>
    </w:p>
    <w:p>
      <w:pPr>
        <w:ind w:left="288"/>
      </w:pPr>
      <w:r>
        <w:rPr>
          <w:color w:val="8C8C8C"/>
          <w:sz w:val="12"/>
        </w:rPr>
        <w:t>cf-art-149</w:t>
      </w:r>
      <w:r>
        <w:rPr>
          <w:color w:val="003CA0"/>
          <w:sz w:val="12"/>
        </w:rPr>
        <w:t xml:space="preserve"> | ADI 5.794</w:t>
      </w:r>
      <w:r>
        <w:rPr>
          <w:color w:val="003CA0"/>
          <w:sz w:val="12"/>
        </w:rPr>
        <w:t xml:space="preserve"> | rel. Edson Fachin</w:t>
      </w:r>
    </w:p>
    <w:p>
      <w:pPr>
        <w:ind w:left="288"/>
      </w:pPr>
      <w:r>
        <w:rPr>
          <w:color w:val="1E1E1E"/>
          <w:sz w:val="18"/>
        </w:rPr>
        <w:t>A Lei 13.467/2017 emprega critério homogêneo e igualitário ao exigir prévia e expressa anuência de todo e qualquer trabalhador para o desconto da contribuição sindical, ao mesmo tempo em que suprime a natureza tributária da contribuição, seja em relação aos sindicalizados, seja quanto aos demais, motivos pelos quais não há qualquer violação ao princípio da isonomia tributária (art. 150, II, da Constituição), até porque não há que se invocar uma limitação ao poder de tributar para prejudicar o contribuinte, expandindo o alcance do tributo, como suporte à pretensão de que os empregados não-sindi</w:t>
      </w:r>
    </w:p>
    <w:p>
      <w:pPr>
        <w:ind w:left="288"/>
      </w:pPr>
      <w:r>
        <w:rPr>
          <w:b/>
          <w:color w:val="003CA0"/>
          <w:sz w:val="16"/>
        </w:rPr>
        <w:t>[ADI 5.794, rel. min. Edson Fachin, j. 29-6-2018, P, DJE de 23-4-2019.]</w:t>
      </w:r>
    </w:p>
    <w:p>
      <w:pPr>
        <w:ind w:left="288"/>
      </w:pPr>
      <w:r>
        <w:rPr>
          <w:color w:val="8C8C8C"/>
          <w:sz w:val="12"/>
        </w:rPr>
        <w:t>cf-art-149</w:t>
      </w:r>
      <w:r>
        <w:rPr>
          <w:color w:val="003CA0"/>
          <w:sz w:val="12"/>
        </w:rPr>
        <w:t xml:space="preserve"> | ADI 4.033</w:t>
      </w:r>
      <w:r>
        <w:rPr>
          <w:color w:val="003CA0"/>
          <w:sz w:val="12"/>
        </w:rPr>
        <w:t xml:space="preserve"> | rel. Joaquim Barbosa</w:t>
      </w:r>
    </w:p>
    <w:p>
      <w:pPr>
        <w:ind w:left="288"/>
      </w:pPr>
      <w:r>
        <w:rPr>
          <w:color w:val="1E1E1E"/>
          <w:sz w:val="18"/>
        </w:rPr>
        <w:t>Contribuição sindical patronal. Isenção concedida às microempresas e empresas de pequeno porte. Simples Nacional ("Supersimples"). LC 123/2006, art. 13, § 3º. (...) Risco à autonomia sindical afastado, na medida em que o benefício em exame poderá tanto elevar o número de empresas a patamar superior ao da faixa de isenção quanto fomentar a atividade econômica e o consumo para as empresas de médio ou de grande porte, ao incentivar a regularização de empreendimentos.</w:t>
      </w:r>
    </w:p>
    <w:p>
      <w:pPr>
        <w:ind w:left="288"/>
      </w:pPr>
      <w:r>
        <w:rPr>
          <w:b/>
          <w:color w:val="003CA0"/>
          <w:sz w:val="16"/>
        </w:rPr>
        <w:t>[ADI 4.033, rel. min. Joaquim Barbosa, j. 15-9-2010, P, DJE de 7-2-2011.]</w:t>
      </w:r>
    </w:p>
    <w:p>
      <w:pPr>
        <w:ind w:left="288"/>
      </w:pPr>
      <w:r>
        <w:rPr>
          <w:color w:val="8C8C8C"/>
          <w:sz w:val="12"/>
        </w:rPr>
        <w:t>cf-art-149</w:t>
      </w:r>
      <w:r>
        <w:rPr>
          <w:color w:val="003CA0"/>
          <w:sz w:val="12"/>
        </w:rPr>
        <w:t xml:space="preserve"> | ADI 2.556</w:t>
      </w:r>
      <w:r>
        <w:rPr>
          <w:color w:val="003CA0"/>
          <w:sz w:val="12"/>
        </w:rPr>
        <w:t xml:space="preserve"> | rel. Moreira Alves</w:t>
      </w:r>
    </w:p>
    <w:p>
      <w:pPr>
        <w:ind w:left="288"/>
      </w:pPr>
      <w:r>
        <w:rPr>
          <w:color w:val="1E1E1E"/>
          <w:sz w:val="18"/>
        </w:rPr>
        <w:t>Ação direta de inconstitucionalidade. Impugnação de artigos e de expressões contidas na LC federal 110, de 29-6-2001. Pedido de liminar. A natureza jurídica das duas exações criadas pela lei em causa, neste exame sumário, é a de que são elas tributárias, caracterizando-se como contribuições sociais que se enquadram na subespécie "contribuições sociais gerais" que se submetem à regência do art. 149 da Constituição, e não à do art. 195 da Carta Magna.</w:t>
      </w:r>
    </w:p>
    <w:p>
      <w:pPr>
        <w:ind w:left="288"/>
      </w:pPr>
      <w:r>
        <w:rPr>
          <w:b/>
          <w:color w:val="003CA0"/>
          <w:sz w:val="16"/>
        </w:rPr>
        <w:t>[ADI 2.556 MC, rel. min. Moreira Alves, j. 9-10-2002, P, DJ de 8-8-2003.]</w:t>
      </w:r>
    </w:p>
    <w:p>
      <w:pPr>
        <w:ind w:left="288"/>
      </w:pPr>
      <w:r>
        <w:rPr>
          <w:color w:val="8C8C8C"/>
          <w:sz w:val="12"/>
        </w:rPr>
        <w:t>cf-art-149</w:t>
      </w:r>
      <w:r>
        <w:rPr>
          <w:color w:val="003CA0"/>
          <w:sz w:val="12"/>
        </w:rPr>
        <w:t xml:space="preserve"> | AI 744.316</w:t>
      </w:r>
      <w:r>
        <w:rPr>
          <w:color w:val="003CA0"/>
          <w:sz w:val="12"/>
        </w:rPr>
        <w:t xml:space="preserve"> | rel. Dias Toffoli</w:t>
      </w:r>
    </w:p>
    <w:p>
      <w:pPr>
        <w:ind w:left="288"/>
      </w:pPr>
      <w:r>
        <w:rPr>
          <w:color w:val="1E1E1E"/>
          <w:sz w:val="18"/>
        </w:rPr>
        <w:t>= AI 744.316 AgR, rel. min. Dias Toffoli, j. 2-12-2010, 1ª T, DJE de 22-3-2011 I - É constitucional a contribuição de intervenção no domínio econômico (CIDE) destinada a financiar o Programa de Estímulo à Interação Universidade-Empresa para o Apoio à Inovação, instituída e disciplinada pela Lei nº 10.168/2000, com as alterações empreendidas pelas Leis nºs 10.332/2001 e 11.452/2007; II - A arrecadação da CIDE, instituída pela Lei nº 10.168/2000, com as alterações empreendidas pelas Leis nºs 10.332/2001 e 11.452/2007, deve ser integralmente aplicada na área de atuação Ciência e Tecnologia, nos t</w:t>
      </w:r>
    </w:p>
    <w:p>
      <w:pPr>
        <w:ind w:left="288"/>
      </w:pPr>
      <w:r>
        <w:rPr>
          <w:b/>
          <w:color w:val="003CA0"/>
          <w:sz w:val="16"/>
        </w:rPr>
        <w:t>[RE 928.943, rel. min. Luiz Fux, red. do ac. min. Flávio Dino, j. 13.08.2025, P, DJE de 16.10.2025, Tema 914, com mérito julgado.]</w:t>
      </w:r>
    </w:p>
    <w:p>
      <w:pPr>
        <w:ind w:left="144"/>
      </w:pPr>
      <w:r>
        <w:rPr>
          <w:b/>
          <w:color w:val="B45A00"/>
          <w:sz w:val="16"/>
        </w:rPr>
        <w:t>REPERCUSSAO GERAL</w:t>
      </w:r>
    </w:p>
    <w:p>
      <w:pPr>
        <w:ind w:left="288"/>
      </w:pPr>
      <w:r>
        <w:rPr>
          <w:color w:val="8C8C8C"/>
          <w:sz w:val="12"/>
        </w:rPr>
        <w:t>cf-art-149</w:t>
      </w:r>
      <w:r>
        <w:rPr>
          <w:color w:val="003CA0"/>
          <w:sz w:val="12"/>
        </w:rPr>
        <w:t xml:space="preserve"> | RE 593.544</w:t>
      </w:r>
      <w:r>
        <w:rPr>
          <w:color w:val="003CA0"/>
          <w:sz w:val="12"/>
        </w:rPr>
        <w:t xml:space="preserve"> | rel. Luís Roberto Barroso</w:t>
      </w:r>
    </w:p>
    <w:p>
      <w:pPr>
        <w:ind w:left="288"/>
      </w:pPr>
      <w:r>
        <w:rPr>
          <w:color w:val="1E1E1E"/>
          <w:sz w:val="18"/>
        </w:rPr>
        <w:t>“Os créditos presumidos de IPI, instituídos pela Lei nº 9.363/1996, não integram a base de cálculo da contribuição para o PIS e da COFINS, sob a sistemática de apuração cumulativa (Lei nº 9.718/1998), pois não se amoldam ao conceito constitucional de faturamento.”.</w:t>
        <w:br/>
        <w:t>[RE 593.544, rel. min. Luís Roberto Barroso, j. 19.12.2023, P, DJE de 08.03.2024, Tema 504, com mérito julgado.] “(...) III - É constitucional a contribuição social destinada ao Serviço Nacional de Aprendizagem Rural (SENAR), de que trata o art. 25, § 1º, da Lei nº 8.870/1994, inclusive na redação conferida pela Lei nº 10.256/2001".</w:t>
      </w:r>
    </w:p>
    <w:p>
      <w:pPr>
        <w:ind w:left="288"/>
      </w:pPr>
      <w:r>
        <w:rPr>
          <w:b/>
          <w:color w:val="003CA0"/>
          <w:sz w:val="16"/>
        </w:rPr>
        <w:t>[RE 878.313, red. do ac. min. Alexandre de Moraes, j. 18-8-2020, P, DJE de 4-9-2020, Tema 846, com mérito julgado.]</w:t>
      </w:r>
    </w:p>
    <w:p>
      <w:pPr>
        <w:ind w:left="288"/>
      </w:pPr>
      <w:r>
        <w:rPr>
          <w:color w:val="8C8C8C"/>
          <w:sz w:val="12"/>
        </w:rPr>
        <w:t>cf-art-149</w:t>
      </w:r>
      <w:r>
        <w:rPr>
          <w:color w:val="003CA0"/>
          <w:sz w:val="12"/>
        </w:rPr>
        <w:t xml:space="preserve"> | RE 1.053.574</w:t>
      </w:r>
      <w:r>
        <w:rPr>
          <w:color w:val="003CA0"/>
          <w:sz w:val="12"/>
        </w:rPr>
        <w:t xml:space="preserve"> | rel. Gilmar Mendes</w:t>
      </w:r>
    </w:p>
    <w:p>
      <w:pPr>
        <w:ind w:left="288"/>
      </w:pPr>
      <w:r>
        <w:rPr>
          <w:color w:val="1E1E1E"/>
          <w:sz w:val="18"/>
        </w:rPr>
        <w:t>Não há reserva de lei complementar para o repasse do PIS e COFINS ao usuário de serviços públicos concedidos, tais como telefonia e energia elétrica, cobrado nas respectivas faturas.</w:t>
      </w:r>
    </w:p>
    <w:p>
      <w:pPr>
        <w:ind w:left="288"/>
      </w:pPr>
      <w:r>
        <w:rPr>
          <w:b/>
          <w:color w:val="003CA0"/>
          <w:sz w:val="16"/>
        </w:rPr>
        <w:t>[RE 1.053.574, voto do rel. min. Gilmar Mendes, j. 25-10-2019, P, DJE de 22-11-2019, Tema 415, com mérito julgado.]</w:t>
      </w:r>
    </w:p>
    <w:p>
      <w:pPr>
        <w:ind w:left="288"/>
      </w:pPr>
      <w:r>
        <w:rPr>
          <w:color w:val="8C8C8C"/>
          <w:sz w:val="12"/>
        </w:rPr>
        <w:t>cf-art-149</w:t>
      </w:r>
      <w:r>
        <w:rPr>
          <w:color w:val="003CA0"/>
          <w:sz w:val="12"/>
        </w:rPr>
        <w:t xml:space="preserve"> | RE 635.682</w:t>
      </w:r>
      <w:r>
        <w:rPr>
          <w:color w:val="003CA0"/>
          <w:sz w:val="12"/>
        </w:rPr>
        <w:t xml:space="preserve"> | rel. Gilmar Mendes</w:t>
      </w:r>
    </w:p>
    <w:p>
      <w:pPr>
        <w:ind w:left="288"/>
      </w:pPr>
      <w:r>
        <w:rPr>
          <w:color w:val="1E1E1E"/>
          <w:sz w:val="18"/>
        </w:rPr>
        <w:t>(...) a contribuição de intervenção no domínio econômico (...) sujeitam-se, sim, às normas gerais estabelecidas pela legislação complementar em matéria tributária, mas não é de se exigir que elas próprias sejam veiculadas apenas por meio de lei complementar.</w:t>
      </w:r>
    </w:p>
    <w:p>
      <w:pPr>
        <w:ind w:left="288"/>
      </w:pPr>
      <w:r>
        <w:rPr>
          <w:b/>
          <w:color w:val="003CA0"/>
          <w:sz w:val="16"/>
        </w:rPr>
        <w:t>[RE 635.682, voto do rel. min. Gilmar Mendes, j. 25-4-2013, P, DJE de 24-5-2013, Tema 227, com mérito julgado.]</w:t>
      </w:r>
    </w:p>
    <w:p>
      <w:pPr>
        <w:ind w:left="144"/>
      </w:pPr>
      <w:r>
        <w:rPr>
          <w:b/>
          <w:color w:val="B45A00"/>
          <w:sz w:val="16"/>
        </w:rPr>
        <w:t>JULGADOS CORRELATOS</w:t>
      </w:r>
    </w:p>
    <w:p>
      <w:pPr>
        <w:ind w:left="288"/>
      </w:pPr>
      <w:r>
        <w:rPr>
          <w:color w:val="8C8C8C"/>
          <w:sz w:val="12"/>
        </w:rPr>
        <w:t>cf-art-149</w:t>
      </w:r>
      <w:r>
        <w:rPr>
          <w:color w:val="003CA0"/>
          <w:sz w:val="12"/>
        </w:rPr>
        <w:t xml:space="preserve"> | ARE 737.963</w:t>
      </w:r>
      <w:r>
        <w:rPr>
          <w:color w:val="003CA0"/>
          <w:sz w:val="12"/>
        </w:rPr>
        <w:t xml:space="preserve"> | rel. Rosa Weber</w:t>
      </w:r>
    </w:p>
    <w:p>
      <w:pPr>
        <w:ind w:left="288"/>
      </w:pPr>
      <w:r>
        <w:rPr>
          <w:color w:val="1E1E1E"/>
          <w:sz w:val="18"/>
        </w:rPr>
        <w:t>(...) jurisprudência firmada no âmbito deste STF, no sentido de que a contribuição compulsória para o custeio dos serviços de saúde deve incidir somente sobre um dos cargos exercidos pelo servidor.</w:t>
      </w:r>
    </w:p>
    <w:p>
      <w:pPr>
        <w:ind w:left="288"/>
      </w:pPr>
      <w:r>
        <w:rPr>
          <w:b/>
          <w:color w:val="003CA0"/>
          <w:sz w:val="16"/>
        </w:rPr>
        <w:t>[ARE 737.963 AgR, rel. min. Rosa Weber, j. 4-11-2014, 1ª T, DJE de 20-11-2014.]</w:t>
      </w:r>
    </w:p>
    <w:p>
      <w:pPr>
        <w:ind w:left="288"/>
      </w:pPr>
      <w:r>
        <w:rPr>
          <w:color w:val="8C8C8C"/>
          <w:sz w:val="12"/>
        </w:rPr>
        <w:t>cf-art-149</w:t>
      </w:r>
      <w:r>
        <w:rPr>
          <w:color w:val="003CA0"/>
          <w:sz w:val="12"/>
        </w:rPr>
        <w:t xml:space="preserve"> | RE 793.564</w:t>
      </w:r>
      <w:r>
        <w:rPr>
          <w:color w:val="003CA0"/>
          <w:sz w:val="12"/>
        </w:rPr>
        <w:t xml:space="preserve"> | rel. Marco Aurélio</w:t>
      </w:r>
    </w:p>
    <w:p>
      <w:pPr>
        <w:ind w:left="288"/>
      </w:pPr>
      <w:r>
        <w:rPr>
          <w:color w:val="1E1E1E"/>
          <w:sz w:val="18"/>
        </w:rPr>
        <w:t>A desvinculação parcial da receita da União, constante do art. 76 do ADCT, não transforma as contribuições sociais e de intervenção no domínio econômico em impostos, alterando a essência daquelas, ausente qualquer implicação quanto à apuração do Fundo de Participação dos Municípios.</w:t>
      </w:r>
    </w:p>
    <w:p>
      <w:pPr>
        <w:ind w:left="288"/>
      </w:pPr>
      <w:r>
        <w:rPr>
          <w:b/>
          <w:color w:val="003CA0"/>
          <w:sz w:val="16"/>
        </w:rPr>
        <w:t>[RE 793.564 AgR, rel. min. Marco Aurélio, j. 12-8-2014, 1ª T, DJE de 1º-10-2014.]</w:t>
      </w:r>
    </w:p>
    <w:p>
      <w:pPr>
        <w:ind w:left="288"/>
      </w:pPr>
      <w:r>
        <w:rPr>
          <w:color w:val="8C8C8C"/>
          <w:sz w:val="12"/>
        </w:rPr>
        <w:t>cf-art-149</w:t>
      </w:r>
      <w:r>
        <w:rPr>
          <w:color w:val="003CA0"/>
          <w:sz w:val="12"/>
        </w:rPr>
        <w:t xml:space="preserve"> | RE 509.624</w:t>
      </w:r>
      <w:r>
        <w:rPr>
          <w:color w:val="003CA0"/>
          <w:sz w:val="12"/>
        </w:rPr>
        <w:t xml:space="preserve"> | rel. Joaquim Barbosa</w:t>
      </w:r>
    </w:p>
    <w:p>
      <w:pPr>
        <w:ind w:left="288"/>
      </w:pPr>
      <w:r>
        <w:rPr>
          <w:color w:val="1E1E1E"/>
          <w:sz w:val="18"/>
        </w:rPr>
        <w:t>A atividade desempenhada por empresa prestadora de serviços com intuito lucrativo é compatível com o escopo de atuação do Sesc [Serviço Social do Comércio] e do Senac [Serviço Nacional de Aprendizagem Comercial], enquanto não for criada entidade sindical de grau superior com o objetivo de orientar, coordenar e defender todas as atividades econômicas relacionadas à prestação de serviços.</w:t>
      </w:r>
    </w:p>
    <w:p>
      <w:pPr>
        <w:ind w:left="288"/>
      </w:pPr>
      <w:r>
        <w:rPr>
          <w:b/>
          <w:color w:val="003CA0"/>
          <w:sz w:val="16"/>
        </w:rPr>
        <w:t>[RE 509.624 AgR, rel. min. Joaquim Barbosa, j. 1º-3-2011, 2ª T, DJE de 1º-4-2011.]</w:t>
      </w:r>
    </w:p>
    <w:p>
      <w:pPr>
        <w:ind w:left="288"/>
      </w:pPr>
      <w:r>
        <w:rPr>
          <w:color w:val="8C8C8C"/>
          <w:sz w:val="12"/>
        </w:rPr>
        <w:t>cf-art-149</w:t>
      </w:r>
      <w:r>
        <w:rPr>
          <w:color w:val="003CA0"/>
          <w:sz w:val="12"/>
        </w:rPr>
        <w:t xml:space="preserve"> | RE 158.208</w:t>
      </w:r>
      <w:r>
        <w:rPr>
          <w:color w:val="003CA0"/>
          <w:sz w:val="12"/>
        </w:rPr>
        <w:t xml:space="preserve"> | rel. Ellen Gracie</w:t>
      </w:r>
    </w:p>
    <w:p>
      <w:pPr>
        <w:ind w:left="288"/>
      </w:pPr>
      <w:r>
        <w:rPr>
          <w:color w:val="1E1E1E"/>
          <w:sz w:val="18"/>
        </w:rPr>
        <w:t xml:space="preserve">(...) conforme demonstrado na decisão atacada por meio de precedente citado (RE 158.208/RN), da relatoria do min. Marco Aurélio, a Contribuição para o IAA configura contribuição de intervenção no domínio econômico, nos termos do art. 149 da CF. (...) Dessa forma, a prescrição é regida pelo CTN. (...) Asseverou-se, naquele julgamento, que a EC 8/1977 retirou a natureza tributária das contribuições sociais, com exceção daquelas de intervenção no domínio econômico, como a de que tratam estes autos (IAA). E, uma vez definida a natureza jurídico-tributária da contribuição ao IAA, apenas foi citada </w:t>
      </w:r>
    </w:p>
    <w:p>
      <w:pPr>
        <w:ind w:left="288"/>
      </w:pPr>
      <w:r>
        <w:rPr>
          <w:b/>
          <w:color w:val="003CA0"/>
          <w:sz w:val="16"/>
        </w:rPr>
        <w:t>[RE 543.997 AgR, voto da rel. min. Ellen Gracie, j. 22-6-2010, 2ª T, DJE de 6-8-2010.]</w:t>
      </w:r>
    </w:p>
    <w:p>
      <w:pPr>
        <w:ind w:left="288"/>
      </w:pPr>
      <w:r>
        <w:rPr>
          <w:color w:val="8C8C8C"/>
          <w:sz w:val="12"/>
        </w:rPr>
        <w:t>cf-art-149</w:t>
      </w:r>
      <w:r>
        <w:rPr>
          <w:color w:val="003CA0"/>
          <w:sz w:val="12"/>
        </w:rPr>
        <w:t xml:space="preserve"> | RE 214.206</w:t>
      </w:r>
      <w:r>
        <w:rPr>
          <w:color w:val="003CA0"/>
          <w:sz w:val="12"/>
        </w:rPr>
        <w:t xml:space="preserve"> | rel. Eros Grau</w:t>
      </w:r>
    </w:p>
    <w:p>
      <w:pPr>
        <w:ind w:left="288"/>
      </w:pPr>
      <w:r>
        <w:rPr>
          <w:color w:val="1E1E1E"/>
          <w:sz w:val="18"/>
        </w:rPr>
        <w:t>Vide RE 214.206, red. do ac. min. Nelson Jobim, j. 15-10-1997, P, DJ de 29-5-1998 O STF fixou entendimento no sentido da dispensabilidade de lei complementar para a criação das contribuições de intervenção no domínio econômico e de interesse das categorias profissionais.</w:t>
      </w:r>
    </w:p>
    <w:p>
      <w:pPr>
        <w:ind w:left="288"/>
      </w:pPr>
      <w:r>
        <w:rPr>
          <w:b/>
          <w:color w:val="003CA0"/>
          <w:sz w:val="16"/>
        </w:rPr>
        <w:t>[AI 739.715 AgR, rel. min. Eros Grau, j. 26-5-2009, 2ª T, DJE de 19-6-2009.]</w:t>
      </w:r>
    </w:p>
    <w:p>
      <w:pPr>
        <w:ind w:left="288"/>
      </w:pPr>
      <w:r>
        <w:rPr>
          <w:color w:val="8C8C8C"/>
          <w:sz w:val="12"/>
        </w:rPr>
        <w:t>cf-art-149</w:t>
      </w:r>
      <w:r>
        <w:rPr>
          <w:color w:val="003CA0"/>
          <w:sz w:val="12"/>
        </w:rPr>
        <w:t xml:space="preserve"> | ACO 580</w:t>
      </w:r>
      <w:r>
        <w:rPr>
          <w:color w:val="003CA0"/>
          <w:sz w:val="12"/>
        </w:rPr>
        <w:t xml:space="preserve"> | rel. Maurício Corrêa</w:t>
      </w:r>
    </w:p>
    <w:p>
      <w:pPr>
        <w:ind w:left="288"/>
      </w:pPr>
      <w:r>
        <w:rPr>
          <w:color w:val="1E1E1E"/>
          <w:sz w:val="18"/>
        </w:rPr>
        <w:t>O Pasep, sendo contribuição instituída pela própria Carta da República, não se confunde com aquelas que a União pode criar na forma dos seus arts. 149 e 195, nem se lhe aplicam quaisquer dos princípios ou restrições constitucionais que regulam as contribuições em geral.</w:t>
      </w:r>
    </w:p>
    <w:p>
      <w:pPr>
        <w:ind w:left="288"/>
      </w:pPr>
      <w:r>
        <w:rPr>
          <w:b/>
          <w:color w:val="003CA0"/>
          <w:sz w:val="16"/>
        </w:rPr>
        <w:t>[ACO 580, rel. min. Maurício Corrêa, j. 15-8-2002, P, DJ de 25-10-2002.]</w:t>
      </w:r>
    </w:p>
    <w:p>
      <w:pPr>
        <w:ind w:left="288"/>
      </w:pPr>
      <w:r>
        <w:rPr>
          <w:color w:val="8C8C8C"/>
          <w:sz w:val="12"/>
        </w:rPr>
        <w:t>cf-art-149</w:t>
      </w:r>
      <w:r>
        <w:rPr>
          <w:color w:val="003CA0"/>
          <w:sz w:val="12"/>
        </w:rPr>
        <w:t xml:space="preserve"> | MS 21.797</w:t>
      </w:r>
      <w:r>
        <w:rPr>
          <w:color w:val="003CA0"/>
          <w:sz w:val="12"/>
        </w:rPr>
        <w:t xml:space="preserve"> | rel. Carlos Velloso</w:t>
      </w:r>
    </w:p>
    <w:p>
      <w:pPr>
        <w:ind w:left="288"/>
      </w:pPr>
      <w:r>
        <w:rPr>
          <w:color w:val="1E1E1E"/>
          <w:sz w:val="18"/>
        </w:rPr>
        <w:t>Constitucional. Administrativo. Entidades fiscalizadoras do exercício profissional. Conselho Federal de Odontologia: natureza autárquica. Lei 4.234, de 1964, art. 2º. Fiscalização por parte do TCU. Natureza autárquica do Conselho Federal e dos Conselhos Regionais de Odontologia. Obrigatoriedade de prestar contas ao TCU. (...) As contribuições cobradas pelas autarquias responsáveis pela fiscalização do exercício profissional são contribuições parafiscais, contribuições corporativas, com caráter tributário. CF, art. 149 (...).</w:t>
      </w:r>
    </w:p>
    <w:p>
      <w:pPr>
        <w:ind w:left="288"/>
      </w:pPr>
      <w:r>
        <w:rPr>
          <w:b/>
          <w:color w:val="003CA0"/>
          <w:sz w:val="16"/>
        </w:rPr>
        <w:t>[MS 21.797, rel. min. Carlos Velloso, j. 9-3-2001, P, DJ de 18-5-2001.]</w:t>
      </w:r>
    </w:p>
    <w:p>
      <w:pPr>
        <w:ind w:left="288"/>
      </w:pPr>
      <w:r>
        <w:rPr>
          <w:color w:val="8C8C8C"/>
          <w:sz w:val="12"/>
        </w:rPr>
        <w:t>cf-art-149</w:t>
      </w:r>
      <w:r>
        <w:rPr>
          <w:color w:val="003CA0"/>
          <w:sz w:val="12"/>
        </w:rPr>
        <w:t xml:space="preserve"> | ADI 4.697</w:t>
      </w:r>
      <w:r>
        <w:rPr>
          <w:color w:val="003CA0"/>
          <w:sz w:val="12"/>
        </w:rPr>
        <w:t xml:space="preserve"> | rel. Edson Fachin</w:t>
      </w:r>
    </w:p>
    <w:p>
      <w:pPr>
        <w:ind w:left="288"/>
      </w:pPr>
      <w:r>
        <w:rPr>
          <w:color w:val="1E1E1E"/>
          <w:sz w:val="18"/>
        </w:rPr>
        <w:t>= ADI 4.697 e ADI 4.762, rel. min. Edson Fachin, j. 6-10-2016, P, DJE de 30-3-2017 Adicional de Tarifa Portuária (ATP). Lei 7.700, de 1988, art. 1º, § 1º. Natureza jurídica do ATP: contribuição de intervenção no domínio econômico, segundo o entendimento da maioria, a partir dos votos dos ministros Ilmar Galvão e Nelson Jobim. Voto do relator, vencido no fundamento: natureza jurídica do ATP: taxa (...).</w:t>
      </w:r>
    </w:p>
    <w:p>
      <w:pPr>
        <w:ind w:left="288"/>
      </w:pPr>
      <w:r>
        <w:rPr>
          <w:b/>
          <w:color w:val="003CA0"/>
          <w:sz w:val="16"/>
        </w:rPr>
        <w:t>[RE 209.365, rel. min. Carlos Velloso, j. 4-3-1999, P, DJ de 7-12-2000.]</w:t>
      </w:r>
    </w:p>
    <w:p>
      <w:pPr>
        <w:ind w:left="288"/>
      </w:pPr>
      <w:r>
        <w:rPr>
          <w:color w:val="8C8C8C"/>
          <w:sz w:val="12"/>
        </w:rPr>
        <w:t>cf-art-149</w:t>
      </w:r>
      <w:r>
        <w:rPr>
          <w:color w:val="003CA0"/>
          <w:sz w:val="12"/>
        </w:rPr>
        <w:t xml:space="preserve"> | RE 214.206</w:t>
      </w:r>
    </w:p>
    <w:p>
      <w:pPr>
        <w:ind w:left="288"/>
      </w:pPr>
      <w:r>
        <w:rPr>
          <w:color w:val="1E1E1E"/>
          <w:sz w:val="18"/>
        </w:rPr>
        <w:t>Contribuição devida ao Instituto do Açúcar e do Álcool (IAA). A CF/1988 recepcionou o DL 308/1967, com as alterações dos DL 1.712/1979 e DL 1.952/1982. Ficou afastada a ofensa ao art. 149 da CF/1988, que exige lei complementar para a instituição de contribuições de intervenção no domínio econômico. A contribuição para o IAA é compatível com o sistema tributário nacional. Não vulnera o art. 34, § 5º, do ADCT/CF/1988. É incompatível com a CF/1988 a possibilidade de a alíquota variar ou ser fixada por autoridade administrativa.</w:t>
      </w:r>
    </w:p>
    <w:p>
      <w:pPr>
        <w:ind w:left="288"/>
      </w:pPr>
      <w:r>
        <w:rPr>
          <w:b/>
          <w:color w:val="003CA0"/>
          <w:sz w:val="16"/>
        </w:rPr>
        <w:t>[RE 214.206, red. do ac. min. Nelson Jobim, j. 15-10-1997, P, DJ de 29-5-1998.]</w:t>
      </w:r>
    </w:p>
    <w:p>
      <w:pPr>
        <w:ind w:left="288"/>
      </w:pPr>
      <w:r>
        <w:rPr>
          <w:color w:val="8C8C8C"/>
          <w:sz w:val="12"/>
        </w:rPr>
        <w:t>cf-art-149</w:t>
      </w:r>
      <w:r>
        <w:rPr>
          <w:color w:val="003CA0"/>
          <w:sz w:val="12"/>
        </w:rPr>
        <w:t xml:space="preserve"> | RE 597.098</w:t>
      </w:r>
      <w:r>
        <w:rPr>
          <w:color w:val="003CA0"/>
          <w:sz w:val="12"/>
        </w:rPr>
        <w:t xml:space="preserve"> | rel. Joaquim Barbosa</w:t>
      </w:r>
    </w:p>
    <w:p>
      <w:pPr>
        <w:ind w:left="288"/>
      </w:pPr>
      <w:r>
        <w:rPr>
          <w:color w:val="1E1E1E"/>
          <w:sz w:val="18"/>
        </w:rPr>
        <w:t>= RE 597.098 AgR, rel. min. Joaquim Barbosa, j. 4-10-2011, 2ª T, DJE de 17-11-2011 Vide RE 543.997 AgR, voto da rel. min. Ellen Gracie, j. 22-6-2010, 2ª T, DJE de 6-8-2010 Adicional ao Frete para Renovação da Marinha Mercante  (AFRMM): Contribuição parafiscal ou especial de intervenção no domínio econômico. CF, arts. 149 e 155, § 2º, IX. ADCT, art. 36. O AFRMM é uma contribuição parafiscal ou especial, contribuição de intervenção no domínio econômico, terceiro gênero tributário, distinta do imposto e da taxa (CF, art. 149).</w:t>
      </w:r>
    </w:p>
    <w:p>
      <w:pPr>
        <w:ind w:left="288"/>
      </w:pPr>
      <w:r>
        <w:rPr>
          <w:b/>
          <w:color w:val="003CA0"/>
          <w:sz w:val="16"/>
        </w:rPr>
        <w:t>[RE 177.137, rel. min. Carlos Velloso, j. 24-5-1995, P, DJ de 18-4-1997.]</w:t>
      </w:r>
    </w:p>
    <w:p>
      <w:pPr>
        <w:ind w:left="288"/>
      </w:pPr>
      <w:r>
        <w:rPr>
          <w:color w:val="8C8C8C"/>
          <w:sz w:val="12"/>
        </w:rPr>
        <w:t>cf-art-149</w:t>
      </w:r>
      <w:r>
        <w:rPr>
          <w:color w:val="003CA0"/>
          <w:sz w:val="12"/>
        </w:rPr>
        <w:t xml:space="preserve"> | RE 168.457</w:t>
      </w:r>
      <w:r>
        <w:rPr>
          <w:color w:val="003CA0"/>
          <w:sz w:val="12"/>
        </w:rPr>
        <w:t xml:space="preserve"> | rel. Moreira Alves</w:t>
      </w:r>
    </w:p>
    <w:p>
      <w:pPr>
        <w:ind w:left="288"/>
      </w:pPr>
      <w:r>
        <w:rPr>
          <w:color w:val="1E1E1E"/>
          <w:sz w:val="18"/>
        </w:rPr>
        <w:t>Finsocial. Entrada em vigor do art. 28 da Lei 7.738/1989 em que foi convertida a MP 32, de 3-2-1989. Como se vê do art. 149 da CF, as contribuições aludidas no art. 195 têm natureza tributária, embora a elas não se aplique o disposto na letra b do inciso III do art. 150 da CF, graças à ressalva da parte final do art. 149: "sem prejuízo do previsto no art. 195, § 6º, relativamente às contribuições a que alude o dispositivo". Tem razão a recorrida quando sustenta que, contados os noventa dias a partir da publicação da MP 32, de 3-2-1989, que deu margem à Lei de Conversão 7.738, de 9-3-1989, só e</w:t>
      </w:r>
    </w:p>
    <w:p>
      <w:pPr>
        <w:ind w:left="288"/>
      </w:pPr>
      <w:r>
        <w:rPr>
          <w:b/>
          <w:color w:val="003CA0"/>
          <w:sz w:val="16"/>
        </w:rPr>
        <w:t>[RE 168.457, rel. min. Moreira Alves, j. 17-5-1994, 1ª T, DJ de 11-11-1994.]</w:t>
      </w:r>
    </w:p>
    <w:p>
      <w:pPr>
        <w:ind w:left="288"/>
      </w:pPr>
      <w:r>
        <w:rPr>
          <w:color w:val="8C8C8C"/>
          <w:sz w:val="12"/>
        </w:rPr>
        <w:t>cf-art-149</w:t>
      </w:r>
    </w:p>
    <w:p>
      <w:pPr>
        <w:ind w:left="288"/>
      </w:pPr>
      <w:r>
        <w:rPr>
          <w:color w:val="1E1E1E"/>
          <w:sz w:val="18"/>
        </w:rPr>
        <w:t>§ 1º A União, os Estados, o Distrito Federal e os Municípios instituirão, por meio de lei, contribuições para custeio de regime próprio de previdência social, cobradas dos servidores ativos, dos aposentados e dos pensionistas, que poderão ter alíquotas progressivas de acordo com o valor da base de contribuição ou dos proventos de aposentadoria e de pensões. (Redação da EC 41/03)</w:t>
      </w:r>
    </w:p>
    <w:p>
      <w:pPr>
        <w:ind w:left="144"/>
      </w:pPr>
      <w:r>
        <w:rPr>
          <w:b/>
          <w:color w:val="B45A00"/>
          <w:sz w:val="16"/>
        </w:rPr>
        <w:t>CONTROLE CONCENTRADO</w:t>
      </w:r>
    </w:p>
    <w:p>
      <w:pPr>
        <w:ind w:left="288"/>
      </w:pPr>
      <w:r>
        <w:rPr>
          <w:color w:val="8C8C8C"/>
          <w:sz w:val="12"/>
        </w:rPr>
        <w:t>cf-art-149</w:t>
      </w:r>
      <w:r>
        <w:rPr>
          <w:color w:val="003CA0"/>
          <w:sz w:val="12"/>
        </w:rPr>
        <w:t xml:space="preserve"> | ADI 6.534</w:t>
      </w:r>
      <w:r>
        <w:rPr>
          <w:color w:val="003CA0"/>
          <w:sz w:val="12"/>
        </w:rPr>
        <w:t xml:space="preserve"> | rel. Flávio Dino</w:t>
      </w:r>
    </w:p>
    <w:p>
      <w:pPr>
        <w:ind w:left="288"/>
      </w:pPr>
      <w:r>
        <w:rPr>
          <w:color w:val="1E1E1E"/>
          <w:sz w:val="18"/>
        </w:rPr>
        <w:t>“É constitucional a majoração da alíquota de contribuição dos servidores públicos estaduais mediante lei ordinária (CF, art. 149, § 1º), inexistindo reserva de lei complementar na matéria, cabendo, inclusive, para esse efeito, a edição de medida provisória, sempre que presentes os pressupostos constitucionais autorizadores (CF, art. 62, caput)”.</w:t>
        <w:br/>
        <w:t>[ADI 6.534, rel. min. Flávio Dino, j. 05.06.2024, P, DJE de 14.06.2024.] Art. 85, caput, da LC 64 estabelece que "o IPSEMG [Instituto de Previdência dos Servidores do Estado de Minas Gerais] prestará assistência médica, hospitalar e odontológica, bem c</w:t>
      </w:r>
    </w:p>
    <w:p>
      <w:pPr>
        <w:ind w:left="144"/>
      </w:pPr>
      <w:r>
        <w:rPr>
          <w:b/>
          <w:color w:val="B45A00"/>
          <w:sz w:val="16"/>
        </w:rPr>
        <w:t>REPERCUSSAO GERAL</w:t>
      </w:r>
    </w:p>
    <w:p>
      <w:pPr>
        <w:ind w:left="288"/>
      </w:pPr>
      <w:r>
        <w:rPr>
          <w:color w:val="8C8C8C"/>
          <w:sz w:val="12"/>
        </w:rPr>
        <w:t>cf-art-149</w:t>
      </w:r>
      <w:r>
        <w:rPr>
          <w:color w:val="003CA0"/>
          <w:sz w:val="12"/>
        </w:rPr>
        <w:t xml:space="preserve"> | ARE 875.958</w:t>
      </w:r>
      <w:r>
        <w:rPr>
          <w:color w:val="003CA0"/>
          <w:sz w:val="12"/>
        </w:rPr>
        <w:t xml:space="preserve"> | rel. Roberto Barroso</w:t>
      </w:r>
    </w:p>
    <w:p>
      <w:pPr>
        <w:ind w:left="288"/>
      </w:pPr>
      <w:r>
        <w:rPr>
          <w:color w:val="1E1E1E"/>
          <w:sz w:val="18"/>
        </w:rPr>
        <w:t>A ausência de estudo atuarial específico e prévio à edição de lei que aumente a contribuição previdenciária dos servidores públicos não implica vício de inconstitucionalidade, mas mera irregularidade que pode ser sanada pela demonstração do déficit financeiro ou atuarial que justificava a medida. A majoração da alíquota da contribuição previdenciária do servidor público para 13,25% não afronta os princípios da razoabilidade e da vedação ao confisco.</w:t>
      </w:r>
    </w:p>
    <w:p>
      <w:pPr>
        <w:ind w:left="288"/>
      </w:pPr>
      <w:r>
        <w:rPr>
          <w:b/>
          <w:color w:val="003CA0"/>
          <w:sz w:val="16"/>
        </w:rPr>
        <w:t>[ARE 875.958, rel. min. Roberto Barroso, j. 19-10-2021, P, DJE de 11-2-2022, Tema 933, com mérito julgado.]</w:t>
      </w:r>
    </w:p>
    <w:p>
      <w:pPr>
        <w:ind w:left="144"/>
      </w:pPr>
      <w:r>
        <w:rPr>
          <w:b/>
          <w:color w:val="B45A00"/>
          <w:sz w:val="16"/>
        </w:rPr>
        <w:t>JULGADOS CORRELATOS</w:t>
      </w:r>
    </w:p>
    <w:p>
      <w:pPr>
        <w:ind w:left="288"/>
      </w:pPr>
      <w:r>
        <w:rPr>
          <w:color w:val="8C8C8C"/>
          <w:sz w:val="12"/>
        </w:rPr>
        <w:t>cf-art-149</w:t>
      </w:r>
      <w:r>
        <w:rPr>
          <w:color w:val="003CA0"/>
          <w:sz w:val="12"/>
        </w:rPr>
        <w:t xml:space="preserve"> | RE 426.335</w:t>
      </w:r>
      <w:r>
        <w:rPr>
          <w:color w:val="003CA0"/>
          <w:sz w:val="12"/>
        </w:rPr>
        <w:t xml:space="preserve"> | rel. Cármen Lúcia</w:t>
      </w:r>
    </w:p>
    <w:p>
      <w:pPr>
        <w:ind w:left="288"/>
      </w:pPr>
      <w:r>
        <w:rPr>
          <w:color w:val="1E1E1E"/>
          <w:sz w:val="18"/>
        </w:rPr>
        <w:t>Regime previdenciário próprio de servidor público municipal. Período anterior ao regime eminentemente contributivo da EC 20/1998. Exclusão do regime geral de previdência social, independentemente de contribuição dos segurados.</w:t>
      </w:r>
    </w:p>
    <w:p>
      <w:pPr>
        <w:ind w:left="288"/>
      </w:pPr>
      <w:r>
        <w:rPr>
          <w:b/>
          <w:color w:val="003CA0"/>
          <w:sz w:val="16"/>
        </w:rPr>
        <w:t>[RE 426.335 AgR-segundo, rel. min. Cármen Lúcia, j. 30-10-2012, 2ª T, DJE de 23-11-2012.]</w:t>
      </w:r>
    </w:p>
    <w:p>
      <w:pPr>
        <w:ind w:left="288"/>
      </w:pPr>
      <w:r>
        <w:rPr>
          <w:color w:val="8C8C8C"/>
          <w:sz w:val="12"/>
        </w:rPr>
        <w:t>cf-art-149</w:t>
      </w:r>
      <w:r>
        <w:rPr>
          <w:color w:val="003CA0"/>
          <w:sz w:val="12"/>
        </w:rPr>
        <w:t xml:space="preserve"> | RE 345.963</w:t>
      </w:r>
      <w:r>
        <w:rPr>
          <w:color w:val="003CA0"/>
          <w:sz w:val="12"/>
        </w:rPr>
        <w:t xml:space="preserve"> | rel. Marco Aurélio</w:t>
      </w:r>
    </w:p>
    <w:p>
      <w:pPr>
        <w:ind w:left="288"/>
      </w:pPr>
      <w:r>
        <w:rPr>
          <w:color w:val="1E1E1E"/>
          <w:sz w:val="18"/>
        </w:rPr>
        <w:t>A legislação nova sobre tributos, majorando contribuição social, é aplicável à relação jurídica de débito permanente retratada pela satisfação mensal de proventos.</w:t>
      </w:r>
    </w:p>
    <w:p>
      <w:pPr>
        <w:ind w:left="288"/>
      </w:pPr>
      <w:r>
        <w:rPr>
          <w:b/>
          <w:color w:val="003CA0"/>
          <w:sz w:val="16"/>
        </w:rPr>
        <w:t>[RE 345.963, rel. min. Marco Aurélio, j. 17-3-2009, 1ª T, DJE de 15-5-2009.]</w:t>
      </w:r>
    </w:p>
    <w:p>
      <w:pPr>
        <w:ind w:left="144"/>
      </w:pPr>
      <w:r>
        <w:rPr>
          <w:b/>
          <w:color w:val="B45A00"/>
          <w:sz w:val="16"/>
        </w:rPr>
        <w:t>REPERCUSSAO GERAL</w:t>
      </w:r>
    </w:p>
    <w:p>
      <w:pPr>
        <w:ind w:left="288"/>
      </w:pPr>
      <w:r>
        <w:rPr>
          <w:color w:val="8C8C8C"/>
          <w:sz w:val="12"/>
        </w:rPr>
        <w:t>cf-art-149-par-2-inc-I</w:t>
      </w:r>
      <w:r>
        <w:rPr>
          <w:color w:val="003CA0"/>
          <w:sz w:val="12"/>
        </w:rPr>
        <w:t xml:space="preserve"> | RE 759.244</w:t>
      </w:r>
      <w:r>
        <w:rPr>
          <w:color w:val="003CA0"/>
          <w:sz w:val="12"/>
        </w:rPr>
        <w:t xml:space="preserve"> | rel. Edson Fachin</w:t>
      </w:r>
    </w:p>
    <w:p>
      <w:pPr>
        <w:ind w:left="288"/>
      </w:pPr>
      <w:r>
        <w:rPr>
          <w:color w:val="1E1E1E"/>
          <w:sz w:val="18"/>
        </w:rPr>
        <w:t>O melhor discernimento acerca do alcance da imunidade tributária nas exportações indiretas se realiza a partir da compreensão da natureza objetiva da imunidade, que está a indicar que imune não é o contribuinte, ‘mas sim o bem quando exportado’, portanto, irrelevante se promovida exportação direta ou indireta. (...) A norma imunizante contida no inciso I do §2º do art.149 da Constituição da República alcança as receitas decorrentes de operações indiretas de exportação caracterizadas por haver participação de sociedade exportadora intermediária.</w:t>
      </w:r>
    </w:p>
    <w:p>
      <w:pPr>
        <w:ind w:left="288"/>
      </w:pPr>
      <w:r>
        <w:rPr>
          <w:b/>
          <w:color w:val="003CA0"/>
          <w:sz w:val="16"/>
        </w:rPr>
        <w:t>[RE 759.244, rel. min. Edson Fachin, j. 12-2-2020, P, DJE de 25-3-2020, Tema 674, com mérito julgado.]</w:t>
      </w:r>
    </w:p>
    <w:p>
      <w:pPr>
        <w:ind w:left="288"/>
      </w:pPr>
      <w:r>
        <w:rPr>
          <w:color w:val="8C8C8C"/>
          <w:sz w:val="12"/>
        </w:rPr>
        <w:t>cf-art-149-par-2-inc-I</w:t>
      </w:r>
      <w:r>
        <w:rPr>
          <w:color w:val="003CA0"/>
          <w:sz w:val="12"/>
        </w:rPr>
        <w:t xml:space="preserve"> | RE 627.815</w:t>
      </w:r>
      <w:r>
        <w:rPr>
          <w:color w:val="003CA0"/>
          <w:sz w:val="12"/>
        </w:rPr>
        <w:t xml:space="preserve"> | rel. Rosa Weber</w:t>
      </w:r>
    </w:p>
    <w:p>
      <w:pPr>
        <w:ind w:left="288"/>
      </w:pPr>
      <w:r>
        <w:rPr>
          <w:color w:val="1E1E1E"/>
          <w:sz w:val="18"/>
        </w:rPr>
        <w:t>(...) a tese da inconstitucionalidade da incidência da contribuição ao PIS e da Cofins sobre a receita decorrente da variação cambial positiva obtida nas operações de exportação de produtos.</w:t>
      </w:r>
    </w:p>
    <w:p>
      <w:pPr>
        <w:ind w:left="288"/>
      </w:pPr>
      <w:r>
        <w:rPr>
          <w:b/>
          <w:color w:val="003CA0"/>
          <w:sz w:val="16"/>
        </w:rPr>
        <w:t>[RE 627.815, rel. min. Rosa Weber, j. 23-5-2013, P, DJE de 1º-10-2013, Tema 329, com mérito julgado.]</w:t>
      </w:r>
    </w:p>
    <w:p>
      <w:pPr>
        <w:ind w:left="288"/>
      </w:pPr>
      <w:r>
        <w:rPr>
          <w:color w:val="8C8C8C"/>
          <w:sz w:val="12"/>
        </w:rPr>
        <w:t>cf-art-149-par-2-inc-I</w:t>
      </w:r>
      <w:r>
        <w:rPr>
          <w:color w:val="003CA0"/>
          <w:sz w:val="12"/>
        </w:rPr>
        <w:t xml:space="preserve"> | RE 566.259</w:t>
      </w:r>
      <w:r>
        <w:rPr>
          <w:color w:val="003CA0"/>
          <w:sz w:val="12"/>
        </w:rPr>
        <w:t xml:space="preserve"> | rel. Ricardo Lewandowski</w:t>
      </w:r>
    </w:p>
    <w:p>
      <w:pPr>
        <w:ind w:left="288"/>
      </w:pPr>
      <w:r>
        <w:rPr>
          <w:color w:val="1E1E1E"/>
          <w:sz w:val="18"/>
        </w:rPr>
        <w:t>O art. 149, § 2º, I, da CF é claro ao limitar a imunidade apenas às contribuições sociais e de intervenção no domínio econômico incidentes sobre as receitas decorrentes de exportação. Em se tratando de imunidade tributária, a interpretação há de ser restritiva, atentando sempre para o escopo pretendido pelo legislador. A CPMF não foi contemplada pela referida imunidade, porquanto a sua hipótese de incidência – movimentações financeiras – não se confunde com as receitas.</w:t>
        <w:br/>
        <w:t>[RE 566.259, rel. min. Ricardo Lewandowski, j. 12-8-2010, P, DJE de 24-9-2010, Tema 52, com mérito julgado.] A imunidade prev</w:t>
      </w:r>
    </w:p>
    <w:p>
      <w:pPr>
        <w:ind w:left="288"/>
      </w:pPr>
      <w:r>
        <w:rPr>
          <w:b/>
          <w:color w:val="003CA0"/>
          <w:sz w:val="16"/>
        </w:rPr>
        <w:t>[RE 1.553.932 AgR, rel. min. Cristiano Zanin, j. 25.08.2025, 2ª T, DJE de 28.08.2025.]</w:t>
      </w:r>
    </w:p>
    <w:p>
      <w:pPr>
        <w:ind w:left="144"/>
      </w:pPr>
      <w:r>
        <w:rPr>
          <w:b/>
          <w:color w:val="B45A00"/>
          <w:sz w:val="16"/>
        </w:rPr>
        <w:t>JULGADOS CORRELATOS</w:t>
      </w:r>
    </w:p>
    <w:p>
      <w:pPr>
        <w:ind w:left="288"/>
      </w:pPr>
      <w:r>
        <w:rPr>
          <w:color w:val="8C8C8C"/>
          <w:sz w:val="12"/>
        </w:rPr>
        <w:t>cf-art-149-par-2-inc-I</w:t>
      </w:r>
      <w:r>
        <w:rPr>
          <w:color w:val="003CA0"/>
          <w:sz w:val="12"/>
        </w:rPr>
        <w:t xml:space="preserve"> | ARE 1.369.122</w:t>
      </w:r>
      <w:r>
        <w:rPr>
          <w:color w:val="003CA0"/>
          <w:sz w:val="12"/>
        </w:rPr>
        <w:t xml:space="preserve"> | rel. Roberto Barroso</w:t>
      </w:r>
    </w:p>
    <w:p>
      <w:pPr>
        <w:ind w:left="288"/>
      </w:pPr>
      <w:r>
        <w:rPr>
          <w:color w:val="1E1E1E"/>
          <w:sz w:val="18"/>
        </w:rPr>
        <w:t>A contribuição ao SENAR deve ser enquadrada entre as contribuições sociais gerais, vez que instituída com a finalidade de custear ações e serviços pertinentes ao Título VIII da CF/1988 (“Da Ordem Social”). Como consequência, por ser uma contribuição social geral, a referida incidência não deve recair sobre as receitas decorrentes de exportação, sob pena de violação direta ao art. 149, § 2º, I, da Constituição.</w:t>
      </w:r>
    </w:p>
    <w:p>
      <w:pPr>
        <w:ind w:left="288"/>
      </w:pPr>
      <w:r>
        <w:rPr>
          <w:b/>
          <w:color w:val="003CA0"/>
          <w:sz w:val="16"/>
        </w:rPr>
        <w:t>[ARE 1.369.122 AgR-segundo, rel. min. Roberto Barroso, j. 25-4-2023, 1ª T, DJE de 3-5-2023.]</w:t>
      </w:r>
    </w:p>
    <w:p>
      <w:pPr>
        <w:ind w:left="288"/>
      </w:pPr>
      <w:r>
        <w:rPr>
          <w:color w:val="8C8C8C"/>
          <w:sz w:val="12"/>
        </w:rPr>
        <w:t>cf-art-149-par-2-inc-I</w:t>
      </w:r>
      <w:r>
        <w:rPr>
          <w:color w:val="003CA0"/>
          <w:sz w:val="12"/>
        </w:rPr>
        <w:t xml:space="preserve"> | RE 1.367.071</w:t>
      </w:r>
      <w:r>
        <w:rPr>
          <w:color w:val="003CA0"/>
          <w:sz w:val="12"/>
        </w:rPr>
        <w:t xml:space="preserve"> | rel. Ricardo Lewandowski</w:t>
      </w:r>
    </w:p>
    <w:p>
      <w:pPr>
        <w:ind w:left="288"/>
      </w:pPr>
      <w:r>
        <w:rPr>
          <w:color w:val="1E1E1E"/>
          <w:sz w:val="18"/>
        </w:rPr>
        <w:t>(...) a receita oriunda da venda de frete não está abrangida pela imunidade constitucional, que, (...) é destinada à receita oriunda da venda de produtos ao exterior. Da mesma forma, ao interpretar a legislação tributária de regência (MP 2.158-35, de 2001; Lei 10.833/2003; Lei 10.637/2002; IN/RFB nº 1.152/2011; Lei 10.865/2004; e Decreto 6.759/2009), concluiu que a isenção prevista nas leis sobre as receitas de frete de produtos destinados à exportação tem incidência apenas quando o frete é contratado por pessoa jurídica preponderantemente exportadora, que vá exportar o produto diretamente, ou</w:t>
      </w:r>
    </w:p>
    <w:p>
      <w:pPr>
        <w:ind w:left="288"/>
      </w:pPr>
      <w:r>
        <w:rPr>
          <w:b/>
          <w:color w:val="003CA0"/>
          <w:sz w:val="16"/>
        </w:rPr>
        <w:t>[RE 1.367.071 AgR-EDv, rel. min. Ricardo Lewandowski, voto do red. do ac. min. Alexandre de Moraes, j. 22.2.2023, P, DJE de 2.5.2023.]</w:t>
      </w:r>
    </w:p>
    <w:p>
      <w:pPr>
        <w:ind w:left="288"/>
      </w:pPr>
      <w:r>
        <w:rPr>
          <w:color w:val="8C8C8C"/>
          <w:sz w:val="12"/>
        </w:rPr>
        <w:t>cf-art-149-par-2-inc-I</w:t>
      </w:r>
      <w:r>
        <w:rPr>
          <w:color w:val="003CA0"/>
          <w:sz w:val="12"/>
        </w:rPr>
        <w:t xml:space="preserve"> | RE 1.393.804</w:t>
      </w:r>
      <w:r>
        <w:rPr>
          <w:color w:val="003CA0"/>
          <w:sz w:val="12"/>
        </w:rPr>
        <w:t xml:space="preserve"> | rel. Roberto Barroso</w:t>
      </w:r>
    </w:p>
    <w:p>
      <w:pPr>
        <w:ind w:left="288"/>
      </w:pPr>
      <w:r>
        <w:rPr>
          <w:color w:val="1E1E1E"/>
          <w:sz w:val="18"/>
        </w:rPr>
        <w:t>É legítima a declaração segregada das receitas decorrentes da exportação de serviços para a Zona Franca de Manaus, como forma de possibilitar a eficaz aplicação das regras de imunidade alocadas no texto constitucional, notadamente as previstas nos arts. 149, § 2º, I; 153, IV, § 3º, III; e 155, II, § 2º, X, a. Permitir a tributação sobre operações imunes, mesmo na sistemática do Simples, seria equivocado, pois a Lei Complementar nº 123/2006 não pode se sobrepor às normas constitucionais imunizantes.</w:t>
        <w:br/>
        <w:t>[RE 1.393.804 AgR, rel. min. Roberto Barroso, j. 5-12-2022, 1ª T, DJE de 7-12-2022.]</w:t>
      </w:r>
    </w:p>
    <w:p>
      <w:pPr>
        <w:ind w:left="144"/>
      </w:pPr>
      <w:r>
        <w:rPr>
          <w:b/>
          <w:color w:val="B45A00"/>
          <w:sz w:val="16"/>
        </w:rPr>
        <w:t>REPERCUSSAO GERAL</w:t>
      </w:r>
    </w:p>
    <w:p>
      <w:pPr>
        <w:ind w:left="288"/>
      </w:pPr>
      <w:r>
        <w:rPr>
          <w:color w:val="8C8C8C"/>
          <w:sz w:val="12"/>
        </w:rPr>
        <w:t>cf-art-149-par-2-inc-III</w:t>
      </w:r>
      <w:r>
        <w:rPr>
          <w:color w:val="003CA0"/>
          <w:sz w:val="12"/>
        </w:rPr>
        <w:t xml:space="preserve"> | RE 603.624</w:t>
      </w:r>
    </w:p>
    <w:p>
      <w:pPr>
        <w:ind w:left="288"/>
      </w:pPr>
      <w:r>
        <w:rPr>
          <w:color w:val="1E1E1E"/>
          <w:sz w:val="18"/>
        </w:rPr>
        <w:t>O acréscimo realizado pela EC 33/2001 no art. 149, § 2º, III, da Constituição Federal não operou uma delimitação exaustiva das bases econômicas passíveis de tributação por toda e qualquer contribuição social e de intervenção no domínio econômico. O emprego, pelo art. 149, § 2º, III, da CF, do modo verbal ‘poderão ter alíquotas’ demonstra tratar-se de elenco exemplificativo em relação à presente hipótese. Legitimidade da exigência de contribuição ao SEBRAE - APEX - ABDI incidente sobre a folha de salários, nos moldes das Leis 8.029/1990, 8.154/1990, 10.668/2003 e 11.080/2004, ante a alteração p</w:t>
      </w:r>
    </w:p>
    <w:p>
      <w:pPr>
        <w:ind w:left="288"/>
      </w:pPr>
      <w:r>
        <w:rPr>
          <w:color w:val="8C8C8C"/>
          <w:sz w:val="12"/>
        </w:rPr>
        <w:t>cf-art-149-par-2-inc-III-ali-a</w:t>
      </w:r>
      <w:r>
        <w:rPr>
          <w:color w:val="003CA0"/>
          <w:sz w:val="12"/>
        </w:rPr>
        <w:t xml:space="preserve"> | RE 1.317.786</w:t>
      </w:r>
      <w:r>
        <w:rPr>
          <w:color w:val="003CA0"/>
          <w:sz w:val="12"/>
        </w:rPr>
        <w:t xml:space="preserve"> | rel. Luiz Fux</w:t>
      </w:r>
    </w:p>
    <w:p>
      <w:pPr>
        <w:ind w:left="288"/>
      </w:pPr>
      <w:r>
        <w:rPr>
          <w:color w:val="1E1E1E"/>
          <w:sz w:val="18"/>
        </w:rPr>
        <w:t>A contribuição prevista no artigo 1º da Lei Complementar 110/2001 foi recepcionada pela Emenda Constitucional 33/2001.</w:t>
      </w:r>
    </w:p>
    <w:p>
      <w:pPr>
        <w:ind w:left="288"/>
      </w:pPr>
      <w:r>
        <w:rPr>
          <w:b/>
          <w:color w:val="003CA0"/>
          <w:sz w:val="16"/>
        </w:rPr>
        <w:t>[RE 1.317.786, rel. min. Luiz Fux, j. 3-2-2022, P, DJE de 10-2-2022, Tema 1.193, com mérito julgado e reafirmação de jurisprudência.]</w:t>
      </w:r>
    </w:p>
    <w:p>
      <w:pPr>
        <w:ind w:left="288"/>
      </w:pPr>
      <w:r>
        <w:rPr>
          <w:color w:val="8C8C8C"/>
          <w:sz w:val="12"/>
        </w:rPr>
        <w:t>cf-art-149-par-2-inc-III-ali-a</w:t>
      </w:r>
      <w:r>
        <w:rPr>
          <w:color w:val="003CA0"/>
          <w:sz w:val="12"/>
        </w:rPr>
        <w:t xml:space="preserve"> | RE 630.898</w:t>
      </w:r>
      <w:r>
        <w:rPr>
          <w:color w:val="003CA0"/>
          <w:sz w:val="12"/>
        </w:rPr>
        <w:t xml:space="preserve"> | rel. Dias Toffoli</w:t>
      </w:r>
    </w:p>
    <w:p>
      <w:pPr>
        <w:ind w:left="288"/>
      </w:pPr>
      <w:r>
        <w:rPr>
          <w:color w:val="1E1E1E"/>
          <w:sz w:val="18"/>
        </w:rPr>
        <w:t>É constitucional a contribuição de intervenção no domínio econômico destinada ao INCRA devida pelas empresas urbanas e rurais, inclusive após o advento da EC 33/2001.</w:t>
      </w:r>
    </w:p>
    <w:p>
      <w:pPr>
        <w:ind w:left="288"/>
      </w:pPr>
      <w:r>
        <w:rPr>
          <w:b/>
          <w:color w:val="003CA0"/>
          <w:sz w:val="16"/>
        </w:rPr>
        <w:t>[RE 630.898, rel. min. Dias Toffoli, j. 8-4-2021, P, DJE de 11-5-2021, Tema 495, com mérito julgado.]</w:t>
      </w:r>
    </w:p>
    <w:p>
      <w:pPr>
        <w:ind w:left="288"/>
      </w:pPr>
      <w:r>
        <w:rPr>
          <w:color w:val="8C8C8C"/>
          <w:sz w:val="12"/>
        </w:rPr>
        <w:t>cf-art-149-par-2-inc-III-ali-a</w:t>
      </w:r>
      <w:r>
        <w:rPr>
          <w:color w:val="003CA0"/>
          <w:sz w:val="12"/>
        </w:rPr>
        <w:t xml:space="preserve"> | RE 559.937</w:t>
      </w:r>
    </w:p>
    <w:p>
      <w:pPr>
        <w:ind w:left="288"/>
      </w:pPr>
      <w:r>
        <w:rPr>
          <w:color w:val="1E1E1E"/>
          <w:sz w:val="18"/>
        </w:rPr>
        <w:t>Inconstitucionalidade da seguinte parte do art. 7º, I, da Lei 10.865/2004: "acrescido do valor do Imposto sobre Operações Relativas à Circulação de Mercadorias e sobre Prestação de Serviços de Transporte Interestadual e Intermunicipal e de Comunicação – ICMS incidente no desembaraço aduaneiro e do valor das próprias contribuições, por violação do art. 149, § 2º, III, a, da CF, acrescido pela EC 33/01".</w:t>
      </w:r>
    </w:p>
    <w:p>
      <w:pPr>
        <w:ind w:left="288"/>
      </w:pPr>
      <w:r>
        <w:rPr>
          <w:b/>
          <w:color w:val="003CA0"/>
          <w:sz w:val="16"/>
        </w:rPr>
        <w:t>[RE 559.937, red. do ac. min. Dias Toffoli, j. 20-3-2013, P, DJE de 17-10-2013, Tema 1, com mérito julgado.]</w:t>
      </w:r>
    </w:p>
    <w:p>
      <w:pPr>
        <w:ind w:left="288"/>
      </w:pPr>
      <w:r>
        <w:rPr>
          <w:color w:val="8C8C8C"/>
          <w:sz w:val="12"/>
        </w:rPr>
        <w:t>cf-art-149-par-4</w:t>
      </w:r>
    </w:p>
    <w:p>
      <w:pPr>
        <w:ind w:left="288"/>
      </w:pPr>
      <w:r>
        <w:rPr>
          <w:color w:val="1E1E1E"/>
          <w:sz w:val="18"/>
        </w:rPr>
        <w:t>Art. 149-A Os Municípios e o Distrito Federal poderão instituir contribuição, na forma das respectivas leis, para o custeio, a expansão e a melhoria do serviço de iluminação pública e de sistemas de monitoramento para segurança e preservação de logradouros públicos, observado o disposto no art. 150, I e III. (Redação dada pela EC n. 132/2023)</w:t>
      </w:r>
    </w:p>
    <w:p>
      <w:pPr>
        <w:ind w:left="288"/>
      </w:pPr>
      <w:r>
        <w:rPr>
          <w:color w:val="8C8C8C"/>
          <w:sz w:val="12"/>
        </w:rPr>
        <w:t>cf-art-149-par-4</w:t>
      </w:r>
      <w:r>
        <w:rPr>
          <w:color w:val="003CA0"/>
          <w:sz w:val="12"/>
        </w:rPr>
        <w:t xml:space="preserve"> | RE 666.404</w:t>
      </w:r>
      <w:r>
        <w:rPr>
          <w:color w:val="003CA0"/>
          <w:sz w:val="12"/>
        </w:rPr>
        <w:t xml:space="preserve"> | rel. Ricardo Lewandowski</w:t>
      </w:r>
    </w:p>
    <w:p>
      <w:pPr>
        <w:ind w:left="288"/>
      </w:pPr>
      <w:r>
        <w:rPr>
          <w:color w:val="1E1E1E"/>
          <w:sz w:val="18"/>
        </w:rPr>
        <w:t xml:space="preserve">O artigo 149-A, da Constituição Federal, incluído pela Emenda Constitucional 39/2002, dispõe que “Os Municípios e o Distrito Federal poderão instituir contribuição, na forma das respectivas leis, para o custeio do serviço de iluminação pública, observado o disposto no art. 150, I e III”. O constituinte não pretendeu limitar o custeio do serviço de iluminação pública apenas às despesas de sua execução e manutenção. Pelo contrário, deixou margem a que o legislador municipal pudesse instituir a referida contribuição de acordo com a necessidade e interesse local, conforme disposto no art. 30, I e </w:t>
      </w:r>
    </w:p>
    <w:p>
      <w:pPr>
        <w:ind w:left="720"/>
      </w:pPr>
      <w:r>
        <w:rPr>
          <w:color w:val="003366"/>
          <w:sz w:val="18"/>
        </w:rPr>
        <w:t>I – fatos geradores, bases de cálculo, hipóteses de não incidência e sujeitos pa</w:t>
      </w:r>
    </w:p>
    <w:p>
      <w:pPr>
        <w:ind w:left="720"/>
      </w:pPr>
      <w:r>
        <w:rPr>
          <w:color w:val="003366"/>
          <w:sz w:val="18"/>
        </w:rPr>
        <w:t>II – imunidades; (Incluído pela Emenda Constitucional nº 132, de 2023)</w:t>
      </w:r>
    </w:p>
    <w:p>
      <w:pPr>
        <w:ind w:left="720"/>
      </w:pPr>
      <w:r>
        <w:rPr>
          <w:color w:val="003366"/>
          <w:sz w:val="18"/>
        </w:rPr>
        <w:t>III – regimes específicos, diferenciados ou favorecidos de tributação; (Incluído</w:t>
      </w:r>
    </w:p>
    <w:p>
      <w:pPr>
        <w:ind w:left="720"/>
      </w:pPr>
      <w:r>
        <w:rPr>
          <w:color w:val="003366"/>
          <w:sz w:val="18"/>
        </w:rPr>
        <w:t>IV – regras de não cumulatividade e de creditamento. (Incluído pela Emenda Const</w:t>
      </w:r>
    </w:p>
    <w:p>
      <w:r>
        <w:rPr>
          <w:b/>
          <w:color w:val="003366"/>
          <w:sz w:val="20"/>
        </w:rPr>
        <w:t>Art. 149 C. O produto da arrecadação do imposto previsto no art. 156-A e da cont</w:t>
      </w:r>
      <w:r>
        <w:rPr>
          <w:color w:val="8C8C8C"/>
          <w:sz w:val="14"/>
        </w:rPr>
        <w:t xml:space="preserve">  [36 decisoes]</w:t>
      </w:r>
    </w:p>
    <w:p>
      <w:pPr>
        <w:ind w:left="144"/>
      </w:pPr>
      <w:r>
        <w:rPr>
          <w:b/>
          <w:color w:val="B45A00"/>
          <w:sz w:val="16"/>
        </w:rPr>
        <w:t>CONTROLE CONCENTRADO</w:t>
      </w:r>
    </w:p>
    <w:p>
      <w:pPr>
        <w:ind w:left="288"/>
      </w:pPr>
      <w:r>
        <w:rPr>
          <w:color w:val="8C8C8C"/>
          <w:sz w:val="12"/>
        </w:rPr>
        <w:t>cf-art-149</w:t>
      </w:r>
      <w:r>
        <w:rPr>
          <w:color w:val="003CA0"/>
          <w:sz w:val="12"/>
        </w:rPr>
        <w:t xml:space="preserve"> | ADI 1.924</w:t>
      </w:r>
      <w:r>
        <w:rPr>
          <w:color w:val="003CA0"/>
          <w:sz w:val="12"/>
        </w:rPr>
        <w:t xml:space="preserve"> | rel. Rosa Weber</w:t>
      </w:r>
    </w:p>
    <w:p>
      <w:pPr>
        <w:ind w:left="288"/>
      </w:pPr>
      <w:r>
        <w:rPr>
          <w:color w:val="1E1E1E"/>
          <w:sz w:val="18"/>
        </w:rPr>
        <w:t>Serviço Nacional de Aprendizagem do Cooperativismo. Contribuição para o seu financiamento. (...) A contribuição para o SESCOOP tem natureza jurídica de contribuição de intervenção no domínio econômico (art. 149 da Constituição) destinada a incentivar o cooperativismo como forma de organização da atividade econômica, com amparo no § 2º do artigo 174 da Carta Política. (...) O estímulo ao cooperativismo é finalidade pública, por expressa previsão constitucional — ‘a lei apoiará e estimulará o cooperativismo’ (art. 174, § 2º, da CF) – e o dever de prestar contas ao TCU está previsto, em caráter m</w:t>
      </w:r>
    </w:p>
    <w:p>
      <w:pPr>
        <w:ind w:left="288"/>
      </w:pPr>
      <w:r>
        <w:rPr>
          <w:b/>
          <w:color w:val="003CA0"/>
          <w:sz w:val="16"/>
        </w:rPr>
        <w:t>[ADI 1.924, rel. min. Rosa Weber, j. 16-9-2020, P, DJE de 5-10-2020.]</w:t>
      </w:r>
    </w:p>
    <w:p>
      <w:pPr>
        <w:ind w:left="288"/>
      </w:pPr>
      <w:r>
        <w:rPr>
          <w:color w:val="8C8C8C"/>
          <w:sz w:val="12"/>
        </w:rPr>
        <w:t>cf-art-149</w:t>
      </w:r>
      <w:r>
        <w:rPr>
          <w:color w:val="003CA0"/>
          <w:sz w:val="12"/>
        </w:rPr>
        <w:t xml:space="preserve"> | ADI 5.794</w:t>
      </w:r>
      <w:r>
        <w:rPr>
          <w:color w:val="003CA0"/>
          <w:sz w:val="12"/>
        </w:rPr>
        <w:t xml:space="preserve"> | rel. Edson Fachin</w:t>
      </w:r>
    </w:p>
    <w:p>
      <w:pPr>
        <w:ind w:left="288"/>
      </w:pPr>
      <w:r>
        <w:rPr>
          <w:color w:val="1E1E1E"/>
          <w:sz w:val="18"/>
        </w:rPr>
        <w:t>A Lei 13.467/2017 emprega critério homogêneo e igualitário ao exigir prévia e expressa anuência de todo e qualquer trabalhador para o desconto da contribuição sindical, ao mesmo tempo em que suprime a natureza tributária da contribuição, seja em relação aos sindicalizados, seja quanto aos demais, motivos pelos quais não há qualquer violação ao princípio da isonomia tributária (art. 150, II, da Constituição), até porque não há que se invocar uma limitação ao poder de tributar para prejudicar o contribuinte, expandindo o alcance do tributo, como suporte à pretensão de que os empregados não-sindi</w:t>
      </w:r>
    </w:p>
    <w:p>
      <w:pPr>
        <w:ind w:left="288"/>
      </w:pPr>
      <w:r>
        <w:rPr>
          <w:b/>
          <w:color w:val="003CA0"/>
          <w:sz w:val="16"/>
        </w:rPr>
        <w:t>[ADI 5.794, rel. min. Edson Fachin, j. 29-6-2018, P, DJE de 23-4-2019.]</w:t>
      </w:r>
    </w:p>
    <w:p>
      <w:pPr>
        <w:ind w:left="288"/>
      </w:pPr>
      <w:r>
        <w:rPr>
          <w:color w:val="8C8C8C"/>
          <w:sz w:val="12"/>
        </w:rPr>
        <w:t>cf-art-149</w:t>
      </w:r>
      <w:r>
        <w:rPr>
          <w:color w:val="003CA0"/>
          <w:sz w:val="12"/>
        </w:rPr>
        <w:t xml:space="preserve"> | ADI 4.033</w:t>
      </w:r>
      <w:r>
        <w:rPr>
          <w:color w:val="003CA0"/>
          <w:sz w:val="12"/>
        </w:rPr>
        <w:t xml:space="preserve"> | rel. Joaquim Barbosa</w:t>
      </w:r>
    </w:p>
    <w:p>
      <w:pPr>
        <w:ind w:left="288"/>
      </w:pPr>
      <w:r>
        <w:rPr>
          <w:color w:val="1E1E1E"/>
          <w:sz w:val="18"/>
        </w:rPr>
        <w:t>Contribuição sindical patronal. Isenção concedida às microempresas e empresas de pequeno porte. Simples Nacional ("Supersimples"). LC 123/2006, art. 13, § 3º. (...) Risco à autonomia sindical afastado, na medida em que o benefício em exame poderá tanto elevar o número de empresas a patamar superior ao da faixa de isenção quanto fomentar a atividade econômica e o consumo para as empresas de médio ou de grande porte, ao incentivar a regularização de empreendimentos.</w:t>
      </w:r>
    </w:p>
    <w:p>
      <w:pPr>
        <w:ind w:left="288"/>
      </w:pPr>
      <w:r>
        <w:rPr>
          <w:b/>
          <w:color w:val="003CA0"/>
          <w:sz w:val="16"/>
        </w:rPr>
        <w:t>[ADI 4.033, rel. min. Joaquim Barbosa, j. 15-9-2010, P, DJE de 7-2-2011.]</w:t>
      </w:r>
    </w:p>
    <w:p>
      <w:pPr>
        <w:ind w:left="288"/>
      </w:pPr>
      <w:r>
        <w:rPr>
          <w:color w:val="8C8C8C"/>
          <w:sz w:val="12"/>
        </w:rPr>
        <w:t>cf-art-149</w:t>
      </w:r>
      <w:r>
        <w:rPr>
          <w:color w:val="003CA0"/>
          <w:sz w:val="12"/>
        </w:rPr>
        <w:t xml:space="preserve"> | ADI 2.556</w:t>
      </w:r>
      <w:r>
        <w:rPr>
          <w:color w:val="003CA0"/>
          <w:sz w:val="12"/>
        </w:rPr>
        <w:t xml:space="preserve"> | rel. Moreira Alves</w:t>
      </w:r>
    </w:p>
    <w:p>
      <w:pPr>
        <w:ind w:left="288"/>
      </w:pPr>
      <w:r>
        <w:rPr>
          <w:color w:val="1E1E1E"/>
          <w:sz w:val="18"/>
        </w:rPr>
        <w:t>Ação direta de inconstitucionalidade. Impugnação de artigos e de expressões contidas na LC federal 110, de 29-6-2001. Pedido de liminar. A natureza jurídica das duas exações criadas pela lei em causa, neste exame sumário, é a de que são elas tributárias, caracterizando-se como contribuições sociais que se enquadram na subespécie "contribuições sociais gerais" que se submetem à regência do art. 149 da Constituição, e não à do art. 195 da Carta Magna.</w:t>
      </w:r>
    </w:p>
    <w:p>
      <w:pPr>
        <w:ind w:left="288"/>
      </w:pPr>
      <w:r>
        <w:rPr>
          <w:b/>
          <w:color w:val="003CA0"/>
          <w:sz w:val="16"/>
        </w:rPr>
        <w:t>[ADI 2.556 MC, rel. min. Moreira Alves, j. 9-10-2002, P, DJ de 8-8-2003.]</w:t>
      </w:r>
    </w:p>
    <w:p>
      <w:pPr>
        <w:ind w:left="288"/>
      </w:pPr>
      <w:r>
        <w:rPr>
          <w:color w:val="8C8C8C"/>
          <w:sz w:val="12"/>
        </w:rPr>
        <w:t>cf-art-149</w:t>
      </w:r>
      <w:r>
        <w:rPr>
          <w:color w:val="003CA0"/>
          <w:sz w:val="12"/>
        </w:rPr>
        <w:t xml:space="preserve"> | AI 744.316</w:t>
      </w:r>
      <w:r>
        <w:rPr>
          <w:color w:val="003CA0"/>
          <w:sz w:val="12"/>
        </w:rPr>
        <w:t xml:space="preserve"> | rel. Dias Toffoli</w:t>
      </w:r>
    </w:p>
    <w:p>
      <w:pPr>
        <w:ind w:left="288"/>
      </w:pPr>
      <w:r>
        <w:rPr>
          <w:color w:val="1E1E1E"/>
          <w:sz w:val="18"/>
        </w:rPr>
        <w:t>= AI 744.316 AgR, rel. min. Dias Toffoli, j. 2-12-2010, 1ª T, DJE de 22-3-2011 I - É constitucional a contribuição de intervenção no domínio econômico (CIDE) destinada a financiar o Programa de Estímulo à Interação Universidade-Empresa para o Apoio à Inovação, instituída e disciplinada pela Lei nº 10.168/2000, com as alterações empreendidas pelas Leis nºs 10.332/2001 e 11.452/2007; II - A arrecadação da CIDE, instituída pela Lei nº 10.168/2000, com as alterações empreendidas pelas Leis nºs 10.332/2001 e 11.452/2007, deve ser integralmente aplicada na área de atuação Ciência e Tecnologia, nos t</w:t>
      </w:r>
    </w:p>
    <w:p>
      <w:pPr>
        <w:ind w:left="288"/>
      </w:pPr>
      <w:r>
        <w:rPr>
          <w:b/>
          <w:color w:val="003CA0"/>
          <w:sz w:val="16"/>
        </w:rPr>
        <w:t>[RE 928.943, rel. min. Luiz Fux, red. do ac. min. Flávio Dino, j. 13.08.2025, P, DJE de 16.10.2025, Tema 914, com mérito julgado.]</w:t>
      </w:r>
    </w:p>
    <w:p>
      <w:pPr>
        <w:ind w:left="144"/>
      </w:pPr>
      <w:r>
        <w:rPr>
          <w:b/>
          <w:color w:val="B45A00"/>
          <w:sz w:val="16"/>
        </w:rPr>
        <w:t>REPERCUSSAO GERAL</w:t>
      </w:r>
    </w:p>
    <w:p>
      <w:pPr>
        <w:ind w:left="288"/>
      </w:pPr>
      <w:r>
        <w:rPr>
          <w:color w:val="8C8C8C"/>
          <w:sz w:val="12"/>
        </w:rPr>
        <w:t>cf-art-149</w:t>
      </w:r>
      <w:r>
        <w:rPr>
          <w:color w:val="003CA0"/>
          <w:sz w:val="12"/>
        </w:rPr>
        <w:t xml:space="preserve"> | RE 593.544</w:t>
      </w:r>
      <w:r>
        <w:rPr>
          <w:color w:val="003CA0"/>
          <w:sz w:val="12"/>
        </w:rPr>
        <w:t xml:space="preserve"> | rel. Luís Roberto Barroso</w:t>
      </w:r>
    </w:p>
    <w:p>
      <w:pPr>
        <w:ind w:left="288"/>
      </w:pPr>
      <w:r>
        <w:rPr>
          <w:color w:val="1E1E1E"/>
          <w:sz w:val="18"/>
        </w:rPr>
        <w:t>“Os créditos presumidos de IPI, instituídos pela Lei nº 9.363/1996, não integram a base de cálculo da contribuição para o PIS e da COFINS, sob a sistemática de apuração cumulativa (Lei nº 9.718/1998), pois não se amoldam ao conceito constitucional de faturamento.”.</w:t>
        <w:br/>
        <w:t>[RE 593.544, rel. min. Luís Roberto Barroso, j. 19.12.2023, P, DJE de 08.03.2024, Tema 504, com mérito julgado.] “(...) III - É constitucional a contribuição social destinada ao Serviço Nacional de Aprendizagem Rural (SENAR), de que trata o art. 25, § 1º, da Lei nº 8.870/1994, inclusive na redação conferida pela Lei nº 10.256/2001".</w:t>
      </w:r>
    </w:p>
    <w:p>
      <w:pPr>
        <w:ind w:left="288"/>
      </w:pPr>
      <w:r>
        <w:rPr>
          <w:b/>
          <w:color w:val="003CA0"/>
          <w:sz w:val="16"/>
        </w:rPr>
        <w:t>[RE 878.313, red. do ac. min. Alexandre de Moraes, j. 18-8-2020, P, DJE de 4-9-2020, Tema 846, com mérito julgado.]</w:t>
      </w:r>
    </w:p>
    <w:p>
      <w:pPr>
        <w:ind w:left="288"/>
      </w:pPr>
      <w:r>
        <w:rPr>
          <w:color w:val="8C8C8C"/>
          <w:sz w:val="12"/>
        </w:rPr>
        <w:t>cf-art-149</w:t>
      </w:r>
      <w:r>
        <w:rPr>
          <w:color w:val="003CA0"/>
          <w:sz w:val="12"/>
        </w:rPr>
        <w:t xml:space="preserve"> | RE 1.053.574</w:t>
      </w:r>
      <w:r>
        <w:rPr>
          <w:color w:val="003CA0"/>
          <w:sz w:val="12"/>
        </w:rPr>
        <w:t xml:space="preserve"> | rel. Gilmar Mendes</w:t>
      </w:r>
    </w:p>
    <w:p>
      <w:pPr>
        <w:ind w:left="288"/>
      </w:pPr>
      <w:r>
        <w:rPr>
          <w:color w:val="1E1E1E"/>
          <w:sz w:val="18"/>
        </w:rPr>
        <w:t>Não há reserva de lei complementar para o repasse do PIS e COFINS ao usuário de serviços públicos concedidos, tais como telefonia e energia elétrica, cobrado nas respectivas faturas.</w:t>
      </w:r>
    </w:p>
    <w:p>
      <w:pPr>
        <w:ind w:left="288"/>
      </w:pPr>
      <w:r>
        <w:rPr>
          <w:b/>
          <w:color w:val="003CA0"/>
          <w:sz w:val="16"/>
        </w:rPr>
        <w:t>[RE 1.053.574, voto do rel. min. Gilmar Mendes, j. 25-10-2019, P, DJE de 22-11-2019, Tema 415, com mérito julgado.]</w:t>
      </w:r>
    </w:p>
    <w:p>
      <w:pPr>
        <w:ind w:left="288"/>
      </w:pPr>
      <w:r>
        <w:rPr>
          <w:color w:val="8C8C8C"/>
          <w:sz w:val="12"/>
        </w:rPr>
        <w:t>cf-art-149</w:t>
      </w:r>
      <w:r>
        <w:rPr>
          <w:color w:val="003CA0"/>
          <w:sz w:val="12"/>
        </w:rPr>
        <w:t xml:space="preserve"> | RE 635.682</w:t>
      </w:r>
      <w:r>
        <w:rPr>
          <w:color w:val="003CA0"/>
          <w:sz w:val="12"/>
        </w:rPr>
        <w:t xml:space="preserve"> | rel. Gilmar Mendes</w:t>
      </w:r>
    </w:p>
    <w:p>
      <w:pPr>
        <w:ind w:left="288"/>
      </w:pPr>
      <w:r>
        <w:rPr>
          <w:color w:val="1E1E1E"/>
          <w:sz w:val="18"/>
        </w:rPr>
        <w:t>(...) a contribuição de intervenção no domínio econômico (...) sujeitam-se, sim, às normas gerais estabelecidas pela legislação complementar em matéria tributária, mas não é de se exigir que elas próprias sejam veiculadas apenas por meio de lei complementar.</w:t>
      </w:r>
    </w:p>
    <w:p>
      <w:pPr>
        <w:ind w:left="288"/>
      </w:pPr>
      <w:r>
        <w:rPr>
          <w:b/>
          <w:color w:val="003CA0"/>
          <w:sz w:val="16"/>
        </w:rPr>
        <w:t>[RE 635.682, voto do rel. min. Gilmar Mendes, j. 25-4-2013, P, DJE de 24-5-2013, Tema 227, com mérito julgado.]</w:t>
      </w:r>
    </w:p>
    <w:p>
      <w:pPr>
        <w:ind w:left="144"/>
      </w:pPr>
      <w:r>
        <w:rPr>
          <w:b/>
          <w:color w:val="B45A00"/>
          <w:sz w:val="16"/>
        </w:rPr>
        <w:t>JULGADOS CORRELATOS</w:t>
      </w:r>
    </w:p>
    <w:p>
      <w:pPr>
        <w:ind w:left="288"/>
      </w:pPr>
      <w:r>
        <w:rPr>
          <w:color w:val="8C8C8C"/>
          <w:sz w:val="12"/>
        </w:rPr>
        <w:t>cf-art-149</w:t>
      </w:r>
      <w:r>
        <w:rPr>
          <w:color w:val="003CA0"/>
          <w:sz w:val="12"/>
        </w:rPr>
        <w:t xml:space="preserve"> | ARE 737.963</w:t>
      </w:r>
      <w:r>
        <w:rPr>
          <w:color w:val="003CA0"/>
          <w:sz w:val="12"/>
        </w:rPr>
        <w:t xml:space="preserve"> | rel. Rosa Weber</w:t>
      </w:r>
    </w:p>
    <w:p>
      <w:pPr>
        <w:ind w:left="288"/>
      </w:pPr>
      <w:r>
        <w:rPr>
          <w:color w:val="1E1E1E"/>
          <w:sz w:val="18"/>
        </w:rPr>
        <w:t>(...) jurisprudência firmada no âmbito deste STF, no sentido de que a contribuição compulsória para o custeio dos serviços de saúde deve incidir somente sobre um dos cargos exercidos pelo servidor.</w:t>
      </w:r>
    </w:p>
    <w:p>
      <w:pPr>
        <w:ind w:left="288"/>
      </w:pPr>
      <w:r>
        <w:rPr>
          <w:b/>
          <w:color w:val="003CA0"/>
          <w:sz w:val="16"/>
        </w:rPr>
        <w:t>[ARE 737.963 AgR, rel. min. Rosa Weber, j. 4-11-2014, 1ª T, DJE de 20-11-2014.]</w:t>
      </w:r>
    </w:p>
    <w:p>
      <w:pPr>
        <w:ind w:left="288"/>
      </w:pPr>
      <w:r>
        <w:rPr>
          <w:color w:val="8C8C8C"/>
          <w:sz w:val="12"/>
        </w:rPr>
        <w:t>cf-art-149</w:t>
      </w:r>
      <w:r>
        <w:rPr>
          <w:color w:val="003CA0"/>
          <w:sz w:val="12"/>
        </w:rPr>
        <w:t xml:space="preserve"> | RE 793.564</w:t>
      </w:r>
      <w:r>
        <w:rPr>
          <w:color w:val="003CA0"/>
          <w:sz w:val="12"/>
        </w:rPr>
        <w:t xml:space="preserve"> | rel. Marco Aurélio</w:t>
      </w:r>
    </w:p>
    <w:p>
      <w:pPr>
        <w:ind w:left="288"/>
      </w:pPr>
      <w:r>
        <w:rPr>
          <w:color w:val="1E1E1E"/>
          <w:sz w:val="18"/>
        </w:rPr>
        <w:t>A desvinculação parcial da receita da União, constante do art. 76 do ADCT, não transforma as contribuições sociais e de intervenção no domínio econômico em impostos, alterando a essência daquelas, ausente qualquer implicação quanto à apuração do Fundo de Participação dos Municípios.</w:t>
      </w:r>
    </w:p>
    <w:p>
      <w:pPr>
        <w:ind w:left="288"/>
      </w:pPr>
      <w:r>
        <w:rPr>
          <w:b/>
          <w:color w:val="003CA0"/>
          <w:sz w:val="16"/>
        </w:rPr>
        <w:t>[RE 793.564 AgR, rel. min. Marco Aurélio, j. 12-8-2014, 1ª T, DJE de 1º-10-2014.]</w:t>
      </w:r>
    </w:p>
    <w:p>
      <w:pPr>
        <w:ind w:left="288"/>
      </w:pPr>
      <w:r>
        <w:rPr>
          <w:color w:val="8C8C8C"/>
          <w:sz w:val="12"/>
        </w:rPr>
        <w:t>cf-art-149</w:t>
      </w:r>
      <w:r>
        <w:rPr>
          <w:color w:val="003CA0"/>
          <w:sz w:val="12"/>
        </w:rPr>
        <w:t xml:space="preserve"> | RE 509.624</w:t>
      </w:r>
      <w:r>
        <w:rPr>
          <w:color w:val="003CA0"/>
          <w:sz w:val="12"/>
        </w:rPr>
        <w:t xml:space="preserve"> | rel. Joaquim Barbosa</w:t>
      </w:r>
    </w:p>
    <w:p>
      <w:pPr>
        <w:ind w:left="288"/>
      </w:pPr>
      <w:r>
        <w:rPr>
          <w:color w:val="1E1E1E"/>
          <w:sz w:val="18"/>
        </w:rPr>
        <w:t>A atividade desempenhada por empresa prestadora de serviços com intuito lucrativo é compatível com o escopo de atuação do Sesc [Serviço Social do Comércio] e do Senac [Serviço Nacional de Aprendizagem Comercial], enquanto não for criada entidade sindical de grau superior com o objetivo de orientar, coordenar e defender todas as atividades econômicas relacionadas à prestação de serviços.</w:t>
      </w:r>
    </w:p>
    <w:p>
      <w:pPr>
        <w:ind w:left="288"/>
      </w:pPr>
      <w:r>
        <w:rPr>
          <w:b/>
          <w:color w:val="003CA0"/>
          <w:sz w:val="16"/>
        </w:rPr>
        <w:t>[RE 509.624 AgR, rel. min. Joaquim Barbosa, j. 1º-3-2011, 2ª T, DJE de 1º-4-2011.]</w:t>
      </w:r>
    </w:p>
    <w:p>
      <w:pPr>
        <w:ind w:left="288"/>
      </w:pPr>
      <w:r>
        <w:rPr>
          <w:color w:val="8C8C8C"/>
          <w:sz w:val="12"/>
        </w:rPr>
        <w:t>cf-art-149</w:t>
      </w:r>
      <w:r>
        <w:rPr>
          <w:color w:val="003CA0"/>
          <w:sz w:val="12"/>
        </w:rPr>
        <w:t xml:space="preserve"> | RE 158.208</w:t>
      </w:r>
      <w:r>
        <w:rPr>
          <w:color w:val="003CA0"/>
          <w:sz w:val="12"/>
        </w:rPr>
        <w:t xml:space="preserve"> | rel. Ellen Gracie</w:t>
      </w:r>
    </w:p>
    <w:p>
      <w:pPr>
        <w:ind w:left="288"/>
      </w:pPr>
      <w:r>
        <w:rPr>
          <w:color w:val="1E1E1E"/>
          <w:sz w:val="18"/>
        </w:rPr>
        <w:t xml:space="preserve">(...) conforme demonstrado na decisão atacada por meio de precedente citado (RE 158.208/RN), da relatoria do min. Marco Aurélio, a Contribuição para o IAA configura contribuição de intervenção no domínio econômico, nos termos do art. 149 da CF. (...) Dessa forma, a prescrição é regida pelo CTN. (...) Asseverou-se, naquele julgamento, que a EC 8/1977 retirou a natureza tributária das contribuições sociais, com exceção daquelas de intervenção no domínio econômico, como a de que tratam estes autos (IAA). E, uma vez definida a natureza jurídico-tributária da contribuição ao IAA, apenas foi citada </w:t>
      </w:r>
    </w:p>
    <w:p>
      <w:pPr>
        <w:ind w:left="288"/>
      </w:pPr>
      <w:r>
        <w:rPr>
          <w:b/>
          <w:color w:val="003CA0"/>
          <w:sz w:val="16"/>
        </w:rPr>
        <w:t>[RE 543.997 AgR, voto da rel. min. Ellen Gracie, j. 22-6-2010, 2ª T, DJE de 6-8-2010.]</w:t>
      </w:r>
    </w:p>
    <w:p>
      <w:pPr>
        <w:ind w:left="288"/>
      </w:pPr>
      <w:r>
        <w:rPr>
          <w:color w:val="8C8C8C"/>
          <w:sz w:val="12"/>
        </w:rPr>
        <w:t>cf-art-149</w:t>
      </w:r>
      <w:r>
        <w:rPr>
          <w:color w:val="003CA0"/>
          <w:sz w:val="12"/>
        </w:rPr>
        <w:t xml:space="preserve"> | RE 214.206</w:t>
      </w:r>
      <w:r>
        <w:rPr>
          <w:color w:val="003CA0"/>
          <w:sz w:val="12"/>
        </w:rPr>
        <w:t xml:space="preserve"> | rel. Eros Grau</w:t>
      </w:r>
    </w:p>
    <w:p>
      <w:pPr>
        <w:ind w:left="288"/>
      </w:pPr>
      <w:r>
        <w:rPr>
          <w:color w:val="1E1E1E"/>
          <w:sz w:val="18"/>
        </w:rPr>
        <w:t>Vide RE 214.206, red. do ac. min. Nelson Jobim, j. 15-10-1997, P, DJ de 29-5-1998 O STF fixou entendimento no sentido da dispensabilidade de lei complementar para a criação das contribuições de intervenção no domínio econômico e de interesse das categorias profissionais.</w:t>
      </w:r>
    </w:p>
    <w:p>
      <w:pPr>
        <w:ind w:left="288"/>
      </w:pPr>
      <w:r>
        <w:rPr>
          <w:b/>
          <w:color w:val="003CA0"/>
          <w:sz w:val="16"/>
        </w:rPr>
        <w:t>[AI 739.715 AgR, rel. min. Eros Grau, j. 26-5-2009, 2ª T, DJE de 19-6-2009.]</w:t>
      </w:r>
    </w:p>
    <w:p>
      <w:pPr>
        <w:ind w:left="288"/>
      </w:pPr>
      <w:r>
        <w:rPr>
          <w:color w:val="8C8C8C"/>
          <w:sz w:val="12"/>
        </w:rPr>
        <w:t>cf-art-149</w:t>
      </w:r>
      <w:r>
        <w:rPr>
          <w:color w:val="003CA0"/>
          <w:sz w:val="12"/>
        </w:rPr>
        <w:t xml:space="preserve"> | ACO 580</w:t>
      </w:r>
      <w:r>
        <w:rPr>
          <w:color w:val="003CA0"/>
          <w:sz w:val="12"/>
        </w:rPr>
        <w:t xml:space="preserve"> | rel. Maurício Corrêa</w:t>
      </w:r>
    </w:p>
    <w:p>
      <w:pPr>
        <w:ind w:left="288"/>
      </w:pPr>
      <w:r>
        <w:rPr>
          <w:color w:val="1E1E1E"/>
          <w:sz w:val="18"/>
        </w:rPr>
        <w:t>O Pasep, sendo contribuição instituída pela própria Carta da República, não se confunde com aquelas que a União pode criar na forma dos seus arts. 149 e 195, nem se lhe aplicam quaisquer dos princípios ou restrições constitucionais que regulam as contribuições em geral.</w:t>
      </w:r>
    </w:p>
    <w:p>
      <w:pPr>
        <w:ind w:left="288"/>
      </w:pPr>
      <w:r>
        <w:rPr>
          <w:b/>
          <w:color w:val="003CA0"/>
          <w:sz w:val="16"/>
        </w:rPr>
        <w:t>[ACO 580, rel. min. Maurício Corrêa, j. 15-8-2002, P, DJ de 25-10-2002.]</w:t>
      </w:r>
    </w:p>
    <w:p>
      <w:pPr>
        <w:ind w:left="288"/>
      </w:pPr>
      <w:r>
        <w:rPr>
          <w:color w:val="8C8C8C"/>
          <w:sz w:val="12"/>
        </w:rPr>
        <w:t>cf-art-149</w:t>
      </w:r>
      <w:r>
        <w:rPr>
          <w:color w:val="003CA0"/>
          <w:sz w:val="12"/>
        </w:rPr>
        <w:t xml:space="preserve"> | MS 21.797</w:t>
      </w:r>
      <w:r>
        <w:rPr>
          <w:color w:val="003CA0"/>
          <w:sz w:val="12"/>
        </w:rPr>
        <w:t xml:space="preserve"> | rel. Carlos Velloso</w:t>
      </w:r>
    </w:p>
    <w:p>
      <w:pPr>
        <w:ind w:left="288"/>
      </w:pPr>
      <w:r>
        <w:rPr>
          <w:color w:val="1E1E1E"/>
          <w:sz w:val="18"/>
        </w:rPr>
        <w:t>Constitucional. Administrativo. Entidades fiscalizadoras do exercício profissional. Conselho Federal de Odontologia: natureza autárquica. Lei 4.234, de 1964, art. 2º. Fiscalização por parte do TCU. Natureza autárquica do Conselho Federal e dos Conselhos Regionais de Odontologia. Obrigatoriedade de prestar contas ao TCU. (...) As contribuições cobradas pelas autarquias responsáveis pela fiscalização do exercício profissional são contribuições parafiscais, contribuições corporativas, com caráter tributário. CF, art. 149 (...).</w:t>
      </w:r>
    </w:p>
    <w:p>
      <w:pPr>
        <w:ind w:left="288"/>
      </w:pPr>
      <w:r>
        <w:rPr>
          <w:b/>
          <w:color w:val="003CA0"/>
          <w:sz w:val="16"/>
        </w:rPr>
        <w:t>[MS 21.797, rel. min. Carlos Velloso, j. 9-3-2001, P, DJ de 18-5-2001.]</w:t>
      </w:r>
    </w:p>
    <w:p>
      <w:pPr>
        <w:ind w:left="288"/>
      </w:pPr>
      <w:r>
        <w:rPr>
          <w:color w:val="8C8C8C"/>
          <w:sz w:val="12"/>
        </w:rPr>
        <w:t>cf-art-149</w:t>
      </w:r>
      <w:r>
        <w:rPr>
          <w:color w:val="003CA0"/>
          <w:sz w:val="12"/>
        </w:rPr>
        <w:t xml:space="preserve"> | ADI 4.697</w:t>
      </w:r>
      <w:r>
        <w:rPr>
          <w:color w:val="003CA0"/>
          <w:sz w:val="12"/>
        </w:rPr>
        <w:t xml:space="preserve"> | rel. Edson Fachin</w:t>
      </w:r>
    </w:p>
    <w:p>
      <w:pPr>
        <w:ind w:left="288"/>
      </w:pPr>
      <w:r>
        <w:rPr>
          <w:color w:val="1E1E1E"/>
          <w:sz w:val="18"/>
        </w:rPr>
        <w:t>= ADI 4.697 e ADI 4.762, rel. min. Edson Fachin, j. 6-10-2016, P, DJE de 30-3-2017 Adicional de Tarifa Portuária (ATP). Lei 7.700, de 1988, art. 1º, § 1º. Natureza jurídica do ATP: contribuição de intervenção no domínio econômico, segundo o entendimento da maioria, a partir dos votos dos ministros Ilmar Galvão e Nelson Jobim. Voto do relator, vencido no fundamento: natureza jurídica do ATP: taxa (...).</w:t>
      </w:r>
    </w:p>
    <w:p>
      <w:pPr>
        <w:ind w:left="288"/>
      </w:pPr>
      <w:r>
        <w:rPr>
          <w:b/>
          <w:color w:val="003CA0"/>
          <w:sz w:val="16"/>
        </w:rPr>
        <w:t>[RE 209.365, rel. min. Carlos Velloso, j. 4-3-1999, P, DJ de 7-12-2000.]</w:t>
      </w:r>
    </w:p>
    <w:p>
      <w:pPr>
        <w:ind w:left="288"/>
      </w:pPr>
      <w:r>
        <w:rPr>
          <w:color w:val="8C8C8C"/>
          <w:sz w:val="12"/>
        </w:rPr>
        <w:t>cf-art-149</w:t>
      </w:r>
      <w:r>
        <w:rPr>
          <w:color w:val="003CA0"/>
          <w:sz w:val="12"/>
        </w:rPr>
        <w:t xml:space="preserve"> | RE 214.206</w:t>
      </w:r>
    </w:p>
    <w:p>
      <w:pPr>
        <w:ind w:left="288"/>
      </w:pPr>
      <w:r>
        <w:rPr>
          <w:color w:val="1E1E1E"/>
          <w:sz w:val="18"/>
        </w:rPr>
        <w:t>Contribuição devida ao Instituto do Açúcar e do Álcool (IAA). A CF/1988 recepcionou o DL 308/1967, com as alterações dos DL 1.712/1979 e DL 1.952/1982. Ficou afastada a ofensa ao art. 149 da CF/1988, que exige lei complementar para a instituição de contribuições de intervenção no domínio econômico. A contribuição para o IAA é compatível com o sistema tributário nacional. Não vulnera o art. 34, § 5º, do ADCT/CF/1988. É incompatível com a CF/1988 a possibilidade de a alíquota variar ou ser fixada por autoridade administrativa.</w:t>
      </w:r>
    </w:p>
    <w:p>
      <w:pPr>
        <w:ind w:left="288"/>
      </w:pPr>
      <w:r>
        <w:rPr>
          <w:b/>
          <w:color w:val="003CA0"/>
          <w:sz w:val="16"/>
        </w:rPr>
        <w:t>[RE 214.206, red. do ac. min. Nelson Jobim, j. 15-10-1997, P, DJ de 29-5-1998.]</w:t>
      </w:r>
    </w:p>
    <w:p>
      <w:pPr>
        <w:ind w:left="288"/>
      </w:pPr>
      <w:r>
        <w:rPr>
          <w:color w:val="8C8C8C"/>
          <w:sz w:val="12"/>
        </w:rPr>
        <w:t>cf-art-149</w:t>
      </w:r>
      <w:r>
        <w:rPr>
          <w:color w:val="003CA0"/>
          <w:sz w:val="12"/>
        </w:rPr>
        <w:t xml:space="preserve"> | RE 597.098</w:t>
      </w:r>
      <w:r>
        <w:rPr>
          <w:color w:val="003CA0"/>
          <w:sz w:val="12"/>
        </w:rPr>
        <w:t xml:space="preserve"> | rel. Joaquim Barbosa</w:t>
      </w:r>
    </w:p>
    <w:p>
      <w:pPr>
        <w:ind w:left="288"/>
      </w:pPr>
      <w:r>
        <w:rPr>
          <w:color w:val="1E1E1E"/>
          <w:sz w:val="18"/>
        </w:rPr>
        <w:t>= RE 597.098 AgR, rel. min. Joaquim Barbosa, j. 4-10-2011, 2ª T, DJE de 17-11-2011 Vide RE 543.997 AgR, voto da rel. min. Ellen Gracie, j. 22-6-2010, 2ª T, DJE de 6-8-2010 Adicional ao Frete para Renovação da Marinha Mercante  (AFRMM): Contribuição parafiscal ou especial de intervenção no domínio econômico. CF, arts. 149 e 155, § 2º, IX. ADCT, art. 36. O AFRMM é uma contribuição parafiscal ou especial, contribuição de intervenção no domínio econômico, terceiro gênero tributário, distinta do imposto e da taxa (CF, art. 149).</w:t>
      </w:r>
    </w:p>
    <w:p>
      <w:pPr>
        <w:ind w:left="288"/>
      </w:pPr>
      <w:r>
        <w:rPr>
          <w:b/>
          <w:color w:val="003CA0"/>
          <w:sz w:val="16"/>
        </w:rPr>
        <w:t>[RE 177.137, rel. min. Carlos Velloso, j. 24-5-1995, P, DJ de 18-4-1997.]</w:t>
      </w:r>
    </w:p>
    <w:p>
      <w:pPr>
        <w:ind w:left="288"/>
      </w:pPr>
      <w:r>
        <w:rPr>
          <w:color w:val="8C8C8C"/>
          <w:sz w:val="12"/>
        </w:rPr>
        <w:t>cf-art-149</w:t>
      </w:r>
      <w:r>
        <w:rPr>
          <w:color w:val="003CA0"/>
          <w:sz w:val="12"/>
        </w:rPr>
        <w:t xml:space="preserve"> | RE 168.457</w:t>
      </w:r>
      <w:r>
        <w:rPr>
          <w:color w:val="003CA0"/>
          <w:sz w:val="12"/>
        </w:rPr>
        <w:t xml:space="preserve"> | rel. Moreira Alves</w:t>
      </w:r>
    </w:p>
    <w:p>
      <w:pPr>
        <w:ind w:left="288"/>
      </w:pPr>
      <w:r>
        <w:rPr>
          <w:color w:val="1E1E1E"/>
          <w:sz w:val="18"/>
        </w:rPr>
        <w:t>Finsocial. Entrada em vigor do art. 28 da Lei 7.738/1989 em que foi convertida a MP 32, de 3-2-1989. Como se vê do art. 149 da CF, as contribuições aludidas no art. 195 têm natureza tributária, embora a elas não se aplique o disposto na letra b do inciso III do art. 150 da CF, graças à ressalva da parte final do art. 149: "sem prejuízo do previsto no art. 195, § 6º, relativamente às contribuições a que alude o dispositivo". Tem razão a recorrida quando sustenta que, contados os noventa dias a partir da publicação da MP 32, de 3-2-1989, que deu margem à Lei de Conversão 7.738, de 9-3-1989, só e</w:t>
      </w:r>
    </w:p>
    <w:p>
      <w:pPr>
        <w:ind w:left="288"/>
      </w:pPr>
      <w:r>
        <w:rPr>
          <w:b/>
          <w:color w:val="003CA0"/>
          <w:sz w:val="16"/>
        </w:rPr>
        <w:t>[RE 168.457, rel. min. Moreira Alves, j. 17-5-1994, 1ª T, DJ de 11-11-1994.]</w:t>
      </w:r>
    </w:p>
    <w:p>
      <w:pPr>
        <w:ind w:left="288"/>
      </w:pPr>
      <w:r>
        <w:rPr>
          <w:color w:val="8C8C8C"/>
          <w:sz w:val="12"/>
        </w:rPr>
        <w:t>cf-art-149</w:t>
      </w:r>
    </w:p>
    <w:p>
      <w:pPr>
        <w:ind w:left="288"/>
      </w:pPr>
      <w:r>
        <w:rPr>
          <w:color w:val="1E1E1E"/>
          <w:sz w:val="18"/>
        </w:rPr>
        <w:t>§ 1º A União, os Estados, o Distrito Federal e os Municípios instituirão, por meio de lei, contribuições para custeio de regime próprio de previdência social, cobradas dos servidores ativos, dos aposentados e dos pensionistas, que poderão ter alíquotas progressivas de acordo com o valor da base de contribuição ou dos proventos de aposentadoria e de pensões. (Redação da EC 41/03)</w:t>
      </w:r>
    </w:p>
    <w:p>
      <w:pPr>
        <w:ind w:left="144"/>
      </w:pPr>
      <w:r>
        <w:rPr>
          <w:b/>
          <w:color w:val="B45A00"/>
          <w:sz w:val="16"/>
        </w:rPr>
        <w:t>CONTROLE CONCENTRADO</w:t>
      </w:r>
    </w:p>
    <w:p>
      <w:pPr>
        <w:ind w:left="288"/>
      </w:pPr>
      <w:r>
        <w:rPr>
          <w:color w:val="8C8C8C"/>
          <w:sz w:val="12"/>
        </w:rPr>
        <w:t>cf-art-149</w:t>
      </w:r>
      <w:r>
        <w:rPr>
          <w:color w:val="003CA0"/>
          <w:sz w:val="12"/>
        </w:rPr>
        <w:t xml:space="preserve"> | ADI 6.534</w:t>
      </w:r>
      <w:r>
        <w:rPr>
          <w:color w:val="003CA0"/>
          <w:sz w:val="12"/>
        </w:rPr>
        <w:t xml:space="preserve"> | rel. Flávio Dino</w:t>
      </w:r>
    </w:p>
    <w:p>
      <w:pPr>
        <w:ind w:left="288"/>
      </w:pPr>
      <w:r>
        <w:rPr>
          <w:color w:val="1E1E1E"/>
          <w:sz w:val="18"/>
        </w:rPr>
        <w:t>“É constitucional a majoração da alíquota de contribuição dos servidores públicos estaduais mediante lei ordinária (CF, art. 149, § 1º), inexistindo reserva de lei complementar na matéria, cabendo, inclusive, para esse efeito, a edição de medida provisória, sempre que presentes os pressupostos constitucionais autorizadores (CF, art. 62, caput)”.</w:t>
        <w:br/>
        <w:t>[ADI 6.534, rel. min. Flávio Dino, j. 05.06.2024, P, DJE de 14.06.2024.] Art. 85, caput, da LC 64 estabelece que "o IPSEMG [Instituto de Previdência dos Servidores do Estado de Minas Gerais] prestará assistência médica, hospitalar e odontológica, bem c</w:t>
      </w:r>
    </w:p>
    <w:p>
      <w:pPr>
        <w:ind w:left="144"/>
      </w:pPr>
      <w:r>
        <w:rPr>
          <w:b/>
          <w:color w:val="B45A00"/>
          <w:sz w:val="16"/>
        </w:rPr>
        <w:t>REPERCUSSAO GERAL</w:t>
      </w:r>
    </w:p>
    <w:p>
      <w:pPr>
        <w:ind w:left="288"/>
      </w:pPr>
      <w:r>
        <w:rPr>
          <w:color w:val="8C8C8C"/>
          <w:sz w:val="12"/>
        </w:rPr>
        <w:t>cf-art-149</w:t>
      </w:r>
      <w:r>
        <w:rPr>
          <w:color w:val="003CA0"/>
          <w:sz w:val="12"/>
        </w:rPr>
        <w:t xml:space="preserve"> | ARE 875.958</w:t>
      </w:r>
      <w:r>
        <w:rPr>
          <w:color w:val="003CA0"/>
          <w:sz w:val="12"/>
        </w:rPr>
        <w:t xml:space="preserve"> | rel. Roberto Barroso</w:t>
      </w:r>
    </w:p>
    <w:p>
      <w:pPr>
        <w:ind w:left="288"/>
      </w:pPr>
      <w:r>
        <w:rPr>
          <w:color w:val="1E1E1E"/>
          <w:sz w:val="18"/>
        </w:rPr>
        <w:t>A ausência de estudo atuarial específico e prévio à edição de lei que aumente a contribuição previdenciária dos servidores públicos não implica vício de inconstitucionalidade, mas mera irregularidade que pode ser sanada pela demonstração do déficit financeiro ou atuarial que justificava a medida. A majoração da alíquota da contribuição previdenciária do servidor público para 13,25% não afronta os princípios da razoabilidade e da vedação ao confisco.</w:t>
      </w:r>
    </w:p>
    <w:p>
      <w:pPr>
        <w:ind w:left="288"/>
      </w:pPr>
      <w:r>
        <w:rPr>
          <w:b/>
          <w:color w:val="003CA0"/>
          <w:sz w:val="16"/>
        </w:rPr>
        <w:t>[ARE 875.958, rel. min. Roberto Barroso, j. 19-10-2021, P, DJE de 11-2-2022, Tema 933, com mérito julgado.]</w:t>
      </w:r>
    </w:p>
    <w:p>
      <w:pPr>
        <w:ind w:left="144"/>
      </w:pPr>
      <w:r>
        <w:rPr>
          <w:b/>
          <w:color w:val="B45A00"/>
          <w:sz w:val="16"/>
        </w:rPr>
        <w:t>JULGADOS CORRELATOS</w:t>
      </w:r>
    </w:p>
    <w:p>
      <w:pPr>
        <w:ind w:left="288"/>
      </w:pPr>
      <w:r>
        <w:rPr>
          <w:color w:val="8C8C8C"/>
          <w:sz w:val="12"/>
        </w:rPr>
        <w:t>cf-art-149</w:t>
      </w:r>
      <w:r>
        <w:rPr>
          <w:color w:val="003CA0"/>
          <w:sz w:val="12"/>
        </w:rPr>
        <w:t xml:space="preserve"> | RE 426.335</w:t>
      </w:r>
      <w:r>
        <w:rPr>
          <w:color w:val="003CA0"/>
          <w:sz w:val="12"/>
        </w:rPr>
        <w:t xml:space="preserve"> | rel. Cármen Lúcia</w:t>
      </w:r>
    </w:p>
    <w:p>
      <w:pPr>
        <w:ind w:left="288"/>
      </w:pPr>
      <w:r>
        <w:rPr>
          <w:color w:val="1E1E1E"/>
          <w:sz w:val="18"/>
        </w:rPr>
        <w:t>Regime previdenciário próprio de servidor público municipal. Período anterior ao regime eminentemente contributivo da EC 20/1998. Exclusão do regime geral de previdência social, independentemente de contribuição dos segurados.</w:t>
      </w:r>
    </w:p>
    <w:p>
      <w:pPr>
        <w:ind w:left="288"/>
      </w:pPr>
      <w:r>
        <w:rPr>
          <w:b/>
          <w:color w:val="003CA0"/>
          <w:sz w:val="16"/>
        </w:rPr>
        <w:t>[RE 426.335 AgR-segundo, rel. min. Cármen Lúcia, j. 30-10-2012, 2ª T, DJE de 23-11-2012.]</w:t>
      </w:r>
    </w:p>
    <w:p>
      <w:pPr>
        <w:ind w:left="288"/>
      </w:pPr>
      <w:r>
        <w:rPr>
          <w:color w:val="8C8C8C"/>
          <w:sz w:val="12"/>
        </w:rPr>
        <w:t>cf-art-149</w:t>
      </w:r>
      <w:r>
        <w:rPr>
          <w:color w:val="003CA0"/>
          <w:sz w:val="12"/>
        </w:rPr>
        <w:t xml:space="preserve"> | RE 345.963</w:t>
      </w:r>
      <w:r>
        <w:rPr>
          <w:color w:val="003CA0"/>
          <w:sz w:val="12"/>
        </w:rPr>
        <w:t xml:space="preserve"> | rel. Marco Aurélio</w:t>
      </w:r>
    </w:p>
    <w:p>
      <w:pPr>
        <w:ind w:left="288"/>
      </w:pPr>
      <w:r>
        <w:rPr>
          <w:color w:val="1E1E1E"/>
          <w:sz w:val="18"/>
        </w:rPr>
        <w:t>A legislação nova sobre tributos, majorando contribuição social, é aplicável à relação jurídica de débito permanente retratada pela satisfação mensal de proventos.</w:t>
      </w:r>
    </w:p>
    <w:p>
      <w:pPr>
        <w:ind w:left="288"/>
      </w:pPr>
      <w:r>
        <w:rPr>
          <w:b/>
          <w:color w:val="003CA0"/>
          <w:sz w:val="16"/>
        </w:rPr>
        <w:t>[RE 345.963, rel. min. Marco Aurélio, j. 17-3-2009, 1ª T, DJE de 15-5-2009.]</w:t>
      </w:r>
    </w:p>
    <w:p>
      <w:pPr>
        <w:ind w:left="144"/>
      </w:pPr>
      <w:r>
        <w:rPr>
          <w:b/>
          <w:color w:val="B45A00"/>
          <w:sz w:val="16"/>
        </w:rPr>
        <w:t>REPERCUSSAO GERAL</w:t>
      </w:r>
    </w:p>
    <w:p>
      <w:pPr>
        <w:ind w:left="288"/>
      </w:pPr>
      <w:r>
        <w:rPr>
          <w:color w:val="8C8C8C"/>
          <w:sz w:val="12"/>
        </w:rPr>
        <w:t>cf-art-149-par-2-inc-I</w:t>
      </w:r>
      <w:r>
        <w:rPr>
          <w:color w:val="003CA0"/>
          <w:sz w:val="12"/>
        </w:rPr>
        <w:t xml:space="preserve"> | RE 759.244</w:t>
      </w:r>
      <w:r>
        <w:rPr>
          <w:color w:val="003CA0"/>
          <w:sz w:val="12"/>
        </w:rPr>
        <w:t xml:space="preserve"> | rel. Edson Fachin</w:t>
      </w:r>
    </w:p>
    <w:p>
      <w:pPr>
        <w:ind w:left="288"/>
      </w:pPr>
      <w:r>
        <w:rPr>
          <w:color w:val="1E1E1E"/>
          <w:sz w:val="18"/>
        </w:rPr>
        <w:t>O melhor discernimento acerca do alcance da imunidade tributária nas exportações indiretas se realiza a partir da compreensão da natureza objetiva da imunidade, que está a indicar que imune não é o contribuinte, ‘mas sim o bem quando exportado’, portanto, irrelevante se promovida exportação direta ou indireta. (...) A norma imunizante contida no inciso I do §2º do art.149 da Constituição da República alcança as receitas decorrentes de operações indiretas de exportação caracterizadas por haver participação de sociedade exportadora intermediária.</w:t>
      </w:r>
    </w:p>
    <w:p>
      <w:pPr>
        <w:ind w:left="288"/>
      </w:pPr>
      <w:r>
        <w:rPr>
          <w:b/>
          <w:color w:val="003CA0"/>
          <w:sz w:val="16"/>
        </w:rPr>
        <w:t>[RE 759.244, rel. min. Edson Fachin, j. 12-2-2020, P, DJE de 25-3-2020, Tema 674, com mérito julgado.]</w:t>
      </w:r>
    </w:p>
    <w:p>
      <w:pPr>
        <w:ind w:left="288"/>
      </w:pPr>
      <w:r>
        <w:rPr>
          <w:color w:val="8C8C8C"/>
          <w:sz w:val="12"/>
        </w:rPr>
        <w:t>cf-art-149-par-2-inc-I</w:t>
      </w:r>
      <w:r>
        <w:rPr>
          <w:color w:val="003CA0"/>
          <w:sz w:val="12"/>
        </w:rPr>
        <w:t xml:space="preserve"> | RE 627.815</w:t>
      </w:r>
      <w:r>
        <w:rPr>
          <w:color w:val="003CA0"/>
          <w:sz w:val="12"/>
        </w:rPr>
        <w:t xml:space="preserve"> | rel. Rosa Weber</w:t>
      </w:r>
    </w:p>
    <w:p>
      <w:pPr>
        <w:ind w:left="288"/>
      </w:pPr>
      <w:r>
        <w:rPr>
          <w:color w:val="1E1E1E"/>
          <w:sz w:val="18"/>
        </w:rPr>
        <w:t>(...) a tese da inconstitucionalidade da incidência da contribuição ao PIS e da Cofins sobre a receita decorrente da variação cambial positiva obtida nas operações de exportação de produtos.</w:t>
      </w:r>
    </w:p>
    <w:p>
      <w:pPr>
        <w:ind w:left="288"/>
      </w:pPr>
      <w:r>
        <w:rPr>
          <w:b/>
          <w:color w:val="003CA0"/>
          <w:sz w:val="16"/>
        </w:rPr>
        <w:t>[RE 627.815, rel. min. Rosa Weber, j. 23-5-2013, P, DJE de 1º-10-2013, Tema 329, com mérito julgado.]</w:t>
      </w:r>
    </w:p>
    <w:p>
      <w:pPr>
        <w:ind w:left="288"/>
      </w:pPr>
      <w:r>
        <w:rPr>
          <w:color w:val="8C8C8C"/>
          <w:sz w:val="12"/>
        </w:rPr>
        <w:t>cf-art-149-par-2-inc-I</w:t>
      </w:r>
      <w:r>
        <w:rPr>
          <w:color w:val="003CA0"/>
          <w:sz w:val="12"/>
        </w:rPr>
        <w:t xml:space="preserve"> | RE 566.259</w:t>
      </w:r>
      <w:r>
        <w:rPr>
          <w:color w:val="003CA0"/>
          <w:sz w:val="12"/>
        </w:rPr>
        <w:t xml:space="preserve"> | rel. Ricardo Lewandowski</w:t>
      </w:r>
    </w:p>
    <w:p>
      <w:pPr>
        <w:ind w:left="288"/>
      </w:pPr>
      <w:r>
        <w:rPr>
          <w:color w:val="1E1E1E"/>
          <w:sz w:val="18"/>
        </w:rPr>
        <w:t>O art. 149, § 2º, I, da CF é claro ao limitar a imunidade apenas às contribuições sociais e de intervenção no domínio econômico incidentes sobre as receitas decorrentes de exportação. Em se tratando de imunidade tributária, a interpretação há de ser restritiva, atentando sempre para o escopo pretendido pelo legislador. A CPMF não foi contemplada pela referida imunidade, porquanto a sua hipótese de incidência – movimentações financeiras – não se confunde com as receitas.</w:t>
        <w:br/>
        <w:t>[RE 566.259, rel. min. Ricardo Lewandowski, j. 12-8-2010, P, DJE de 24-9-2010, Tema 52, com mérito julgado.] A imunidade prev</w:t>
      </w:r>
    </w:p>
    <w:p>
      <w:pPr>
        <w:ind w:left="288"/>
      </w:pPr>
      <w:r>
        <w:rPr>
          <w:b/>
          <w:color w:val="003CA0"/>
          <w:sz w:val="16"/>
        </w:rPr>
        <w:t>[RE 1.553.932 AgR, rel. min. Cristiano Zanin, j. 25.08.2025, 2ª T, DJE de 28.08.2025.]</w:t>
      </w:r>
    </w:p>
    <w:p>
      <w:pPr>
        <w:ind w:left="144"/>
      </w:pPr>
      <w:r>
        <w:rPr>
          <w:b/>
          <w:color w:val="B45A00"/>
          <w:sz w:val="16"/>
        </w:rPr>
        <w:t>JULGADOS CORRELATOS</w:t>
      </w:r>
    </w:p>
    <w:p>
      <w:pPr>
        <w:ind w:left="288"/>
      </w:pPr>
      <w:r>
        <w:rPr>
          <w:color w:val="8C8C8C"/>
          <w:sz w:val="12"/>
        </w:rPr>
        <w:t>cf-art-149-par-2-inc-I</w:t>
      </w:r>
      <w:r>
        <w:rPr>
          <w:color w:val="003CA0"/>
          <w:sz w:val="12"/>
        </w:rPr>
        <w:t xml:space="preserve"> | ARE 1.369.122</w:t>
      </w:r>
      <w:r>
        <w:rPr>
          <w:color w:val="003CA0"/>
          <w:sz w:val="12"/>
        </w:rPr>
        <w:t xml:space="preserve"> | rel. Roberto Barroso</w:t>
      </w:r>
    </w:p>
    <w:p>
      <w:pPr>
        <w:ind w:left="288"/>
      </w:pPr>
      <w:r>
        <w:rPr>
          <w:color w:val="1E1E1E"/>
          <w:sz w:val="18"/>
        </w:rPr>
        <w:t>A contribuição ao SENAR deve ser enquadrada entre as contribuições sociais gerais, vez que instituída com a finalidade de custear ações e serviços pertinentes ao Título VIII da CF/1988 (“Da Ordem Social”). Como consequência, por ser uma contribuição social geral, a referida incidência não deve recair sobre as receitas decorrentes de exportação, sob pena de violação direta ao art. 149, § 2º, I, da Constituição.</w:t>
      </w:r>
    </w:p>
    <w:p>
      <w:pPr>
        <w:ind w:left="288"/>
      </w:pPr>
      <w:r>
        <w:rPr>
          <w:b/>
          <w:color w:val="003CA0"/>
          <w:sz w:val="16"/>
        </w:rPr>
        <w:t>[ARE 1.369.122 AgR-segundo, rel. min. Roberto Barroso, j. 25-4-2023, 1ª T, DJE de 3-5-2023.]</w:t>
      </w:r>
    </w:p>
    <w:p>
      <w:pPr>
        <w:ind w:left="288"/>
      </w:pPr>
      <w:r>
        <w:rPr>
          <w:color w:val="8C8C8C"/>
          <w:sz w:val="12"/>
        </w:rPr>
        <w:t>cf-art-149-par-2-inc-I</w:t>
      </w:r>
      <w:r>
        <w:rPr>
          <w:color w:val="003CA0"/>
          <w:sz w:val="12"/>
        </w:rPr>
        <w:t xml:space="preserve"> | RE 1.367.071</w:t>
      </w:r>
      <w:r>
        <w:rPr>
          <w:color w:val="003CA0"/>
          <w:sz w:val="12"/>
        </w:rPr>
        <w:t xml:space="preserve"> | rel. Ricardo Lewandowski</w:t>
      </w:r>
    </w:p>
    <w:p>
      <w:pPr>
        <w:ind w:left="288"/>
      </w:pPr>
      <w:r>
        <w:rPr>
          <w:color w:val="1E1E1E"/>
          <w:sz w:val="18"/>
        </w:rPr>
        <w:t>(...) a receita oriunda da venda de frete não está abrangida pela imunidade constitucional, que, (...) é destinada à receita oriunda da venda de produtos ao exterior. Da mesma forma, ao interpretar a legislação tributária de regência (MP 2.158-35, de 2001; Lei 10.833/2003; Lei 10.637/2002; IN/RFB nº 1.152/2011; Lei 10.865/2004; e Decreto 6.759/2009), concluiu que a isenção prevista nas leis sobre as receitas de frete de produtos destinados à exportação tem incidência apenas quando o frete é contratado por pessoa jurídica preponderantemente exportadora, que vá exportar o produto diretamente, ou</w:t>
      </w:r>
    </w:p>
    <w:p>
      <w:pPr>
        <w:ind w:left="288"/>
      </w:pPr>
      <w:r>
        <w:rPr>
          <w:b/>
          <w:color w:val="003CA0"/>
          <w:sz w:val="16"/>
        </w:rPr>
        <w:t>[RE 1.367.071 AgR-EDv, rel. min. Ricardo Lewandowski, voto do red. do ac. min. Alexandre de Moraes, j. 22.2.2023, P, DJE de 2.5.2023.]</w:t>
      </w:r>
    </w:p>
    <w:p>
      <w:pPr>
        <w:ind w:left="288"/>
      </w:pPr>
      <w:r>
        <w:rPr>
          <w:color w:val="8C8C8C"/>
          <w:sz w:val="12"/>
        </w:rPr>
        <w:t>cf-art-149-par-2-inc-I</w:t>
      </w:r>
      <w:r>
        <w:rPr>
          <w:color w:val="003CA0"/>
          <w:sz w:val="12"/>
        </w:rPr>
        <w:t xml:space="preserve"> | RE 1.393.804</w:t>
      </w:r>
      <w:r>
        <w:rPr>
          <w:color w:val="003CA0"/>
          <w:sz w:val="12"/>
        </w:rPr>
        <w:t xml:space="preserve"> | rel. Roberto Barroso</w:t>
      </w:r>
    </w:p>
    <w:p>
      <w:pPr>
        <w:ind w:left="288"/>
      </w:pPr>
      <w:r>
        <w:rPr>
          <w:color w:val="1E1E1E"/>
          <w:sz w:val="18"/>
        </w:rPr>
        <w:t>É legítima a declaração segregada das receitas decorrentes da exportação de serviços para a Zona Franca de Manaus, como forma de possibilitar a eficaz aplicação das regras de imunidade alocadas no texto constitucional, notadamente as previstas nos arts. 149, § 2º, I; 153, IV, § 3º, III; e 155, II, § 2º, X, a. Permitir a tributação sobre operações imunes, mesmo na sistemática do Simples, seria equivocado, pois a Lei Complementar nº 123/2006 não pode se sobrepor às normas constitucionais imunizantes.</w:t>
        <w:br/>
        <w:t>[RE 1.393.804 AgR, rel. min. Roberto Barroso, j. 5-12-2022, 1ª T, DJE de 7-12-2022.]</w:t>
      </w:r>
    </w:p>
    <w:p>
      <w:pPr>
        <w:ind w:left="144"/>
      </w:pPr>
      <w:r>
        <w:rPr>
          <w:b/>
          <w:color w:val="B45A00"/>
          <w:sz w:val="16"/>
        </w:rPr>
        <w:t>REPERCUSSAO GERAL</w:t>
      </w:r>
    </w:p>
    <w:p>
      <w:pPr>
        <w:ind w:left="288"/>
      </w:pPr>
      <w:r>
        <w:rPr>
          <w:color w:val="8C8C8C"/>
          <w:sz w:val="12"/>
        </w:rPr>
        <w:t>cf-art-149-par-2-inc-III</w:t>
      </w:r>
      <w:r>
        <w:rPr>
          <w:color w:val="003CA0"/>
          <w:sz w:val="12"/>
        </w:rPr>
        <w:t xml:space="preserve"> | RE 603.624</w:t>
      </w:r>
    </w:p>
    <w:p>
      <w:pPr>
        <w:ind w:left="288"/>
      </w:pPr>
      <w:r>
        <w:rPr>
          <w:color w:val="1E1E1E"/>
          <w:sz w:val="18"/>
        </w:rPr>
        <w:t>O acréscimo realizado pela EC 33/2001 no art. 149, § 2º, III, da Constituição Federal não operou uma delimitação exaustiva das bases econômicas passíveis de tributação por toda e qualquer contribuição social e de intervenção no domínio econômico. O emprego, pelo art. 149, § 2º, III, da CF, do modo verbal ‘poderão ter alíquotas’ demonstra tratar-se de elenco exemplificativo em relação à presente hipótese. Legitimidade da exigência de contribuição ao SEBRAE - APEX - ABDI incidente sobre a folha de salários, nos moldes das Leis 8.029/1990, 8.154/1990, 10.668/2003 e 11.080/2004, ante a alteração p</w:t>
      </w:r>
    </w:p>
    <w:p>
      <w:pPr>
        <w:ind w:left="288"/>
      </w:pPr>
      <w:r>
        <w:rPr>
          <w:color w:val="8C8C8C"/>
          <w:sz w:val="12"/>
        </w:rPr>
        <w:t>cf-art-149-par-2-inc-III-ali-a</w:t>
      </w:r>
      <w:r>
        <w:rPr>
          <w:color w:val="003CA0"/>
          <w:sz w:val="12"/>
        </w:rPr>
        <w:t xml:space="preserve"> | RE 1.317.786</w:t>
      </w:r>
      <w:r>
        <w:rPr>
          <w:color w:val="003CA0"/>
          <w:sz w:val="12"/>
        </w:rPr>
        <w:t xml:space="preserve"> | rel. Luiz Fux</w:t>
      </w:r>
    </w:p>
    <w:p>
      <w:pPr>
        <w:ind w:left="288"/>
      </w:pPr>
      <w:r>
        <w:rPr>
          <w:color w:val="1E1E1E"/>
          <w:sz w:val="18"/>
        </w:rPr>
        <w:t>A contribuição prevista no artigo 1º da Lei Complementar 110/2001 foi recepcionada pela Emenda Constitucional 33/2001.</w:t>
      </w:r>
    </w:p>
    <w:p>
      <w:pPr>
        <w:ind w:left="288"/>
      </w:pPr>
      <w:r>
        <w:rPr>
          <w:b/>
          <w:color w:val="003CA0"/>
          <w:sz w:val="16"/>
        </w:rPr>
        <w:t>[RE 1.317.786, rel. min. Luiz Fux, j. 3-2-2022, P, DJE de 10-2-2022, Tema 1.193, com mérito julgado e reafirmação de jurisprudência.]</w:t>
      </w:r>
    </w:p>
    <w:p>
      <w:pPr>
        <w:ind w:left="288"/>
      </w:pPr>
      <w:r>
        <w:rPr>
          <w:color w:val="8C8C8C"/>
          <w:sz w:val="12"/>
        </w:rPr>
        <w:t>cf-art-149-par-2-inc-III-ali-a</w:t>
      </w:r>
      <w:r>
        <w:rPr>
          <w:color w:val="003CA0"/>
          <w:sz w:val="12"/>
        </w:rPr>
        <w:t xml:space="preserve"> | RE 630.898</w:t>
      </w:r>
      <w:r>
        <w:rPr>
          <w:color w:val="003CA0"/>
          <w:sz w:val="12"/>
        </w:rPr>
        <w:t xml:space="preserve"> | rel. Dias Toffoli</w:t>
      </w:r>
    </w:p>
    <w:p>
      <w:pPr>
        <w:ind w:left="288"/>
      </w:pPr>
      <w:r>
        <w:rPr>
          <w:color w:val="1E1E1E"/>
          <w:sz w:val="18"/>
        </w:rPr>
        <w:t>É constitucional a contribuição de intervenção no domínio econômico destinada ao INCRA devida pelas empresas urbanas e rurais, inclusive após o advento da EC 33/2001.</w:t>
      </w:r>
    </w:p>
    <w:p>
      <w:pPr>
        <w:ind w:left="288"/>
      </w:pPr>
      <w:r>
        <w:rPr>
          <w:b/>
          <w:color w:val="003CA0"/>
          <w:sz w:val="16"/>
        </w:rPr>
        <w:t>[RE 630.898, rel. min. Dias Toffoli, j. 8-4-2021, P, DJE de 11-5-2021, Tema 495, com mérito julgado.]</w:t>
      </w:r>
    </w:p>
    <w:p>
      <w:pPr>
        <w:ind w:left="288"/>
      </w:pPr>
      <w:r>
        <w:rPr>
          <w:color w:val="8C8C8C"/>
          <w:sz w:val="12"/>
        </w:rPr>
        <w:t>cf-art-149-par-2-inc-III-ali-a</w:t>
      </w:r>
      <w:r>
        <w:rPr>
          <w:color w:val="003CA0"/>
          <w:sz w:val="12"/>
        </w:rPr>
        <w:t xml:space="preserve"> | RE 559.937</w:t>
      </w:r>
    </w:p>
    <w:p>
      <w:pPr>
        <w:ind w:left="288"/>
      </w:pPr>
      <w:r>
        <w:rPr>
          <w:color w:val="1E1E1E"/>
          <w:sz w:val="18"/>
        </w:rPr>
        <w:t>Inconstitucionalidade da seguinte parte do art. 7º, I, da Lei 10.865/2004: "acrescido do valor do Imposto sobre Operações Relativas à Circulação de Mercadorias e sobre Prestação de Serviços de Transporte Interestadual e Intermunicipal e de Comunicação – ICMS incidente no desembaraço aduaneiro e do valor das próprias contribuições, por violação do art. 149, § 2º, III, a, da CF, acrescido pela EC 33/01".</w:t>
      </w:r>
    </w:p>
    <w:p>
      <w:pPr>
        <w:ind w:left="288"/>
      </w:pPr>
      <w:r>
        <w:rPr>
          <w:b/>
          <w:color w:val="003CA0"/>
          <w:sz w:val="16"/>
        </w:rPr>
        <w:t>[RE 559.937, red. do ac. min. Dias Toffoli, j. 20-3-2013, P, DJE de 17-10-2013, Tema 1, com mérito julgado.]</w:t>
      </w:r>
    </w:p>
    <w:p>
      <w:pPr>
        <w:ind w:left="288"/>
      </w:pPr>
      <w:r>
        <w:rPr>
          <w:color w:val="8C8C8C"/>
          <w:sz w:val="12"/>
        </w:rPr>
        <w:t>cf-art-149-par-4</w:t>
      </w:r>
    </w:p>
    <w:p>
      <w:pPr>
        <w:ind w:left="288"/>
      </w:pPr>
      <w:r>
        <w:rPr>
          <w:color w:val="1E1E1E"/>
          <w:sz w:val="18"/>
        </w:rPr>
        <w:t>Art. 149-A Os Municípios e o Distrito Federal poderão instituir contribuição, na forma das respectivas leis, para o custeio, a expansão e a melhoria do serviço de iluminação pública e de sistemas de monitoramento para segurança e preservação de logradouros públicos, observado o disposto no art. 150, I e III. (Redação dada pela EC n. 132/2023)</w:t>
      </w:r>
    </w:p>
    <w:p>
      <w:pPr>
        <w:ind w:left="288"/>
      </w:pPr>
      <w:r>
        <w:rPr>
          <w:color w:val="8C8C8C"/>
          <w:sz w:val="12"/>
        </w:rPr>
        <w:t>cf-art-149-par-4</w:t>
      </w:r>
      <w:r>
        <w:rPr>
          <w:color w:val="003CA0"/>
          <w:sz w:val="12"/>
        </w:rPr>
        <w:t xml:space="preserve"> | RE 666.404</w:t>
      </w:r>
      <w:r>
        <w:rPr>
          <w:color w:val="003CA0"/>
          <w:sz w:val="12"/>
        </w:rPr>
        <w:t xml:space="preserve"> | rel. Ricardo Lewandowski</w:t>
      </w:r>
    </w:p>
    <w:p>
      <w:pPr>
        <w:ind w:left="288"/>
      </w:pPr>
      <w:r>
        <w:rPr>
          <w:color w:val="1E1E1E"/>
          <w:sz w:val="18"/>
        </w:rPr>
        <w:t xml:space="preserve">O artigo 149-A, da Constituição Federal, incluído pela Emenda Constitucional 39/2002, dispõe que “Os Municípios e o Distrito Federal poderão instituir contribuição, na forma das respectivas leis, para o custeio do serviço de iluminação pública, observado o disposto no art. 150, I e III”. O constituinte não pretendeu limitar o custeio do serviço de iluminação pública apenas às despesas de sua execução e manutenção. Pelo contrário, deixou margem a que o legislador municipal pudesse instituir a referida contribuição de acordo com a necessidade e interesse local, conforme disposto no art. 30, I e </w:t>
      </w:r>
    </w:p>
    <w:p>
      <w:pPr>
        <w:ind w:left="432"/>
      </w:pPr>
      <w:r>
        <w:rPr>
          <w:color w:val="003366"/>
          <w:sz w:val="18"/>
        </w:rPr>
        <w:t>§ 1 As operações de que trata o caput poderão ter alíquotas reduzidas de modo un</w:t>
      </w:r>
    </w:p>
    <w:p>
      <w:pPr>
        <w:ind w:left="432"/>
      </w:pPr>
      <w:r>
        <w:rPr>
          <w:color w:val="003366"/>
          <w:sz w:val="18"/>
        </w:rPr>
        <w:t>§ 2 Lei complementar poderá prever hipóteses em que não se aplicará o disposto n</w:t>
      </w:r>
    </w:p>
    <w:p>
      <w:pPr>
        <w:ind w:left="432"/>
      </w:pPr>
      <w:r>
        <w:rPr>
          <w:color w:val="003366"/>
          <w:sz w:val="18"/>
        </w:rPr>
        <w:t xml:space="preserve">§ 3 Nas importações efetuadas pela administração pública direta, por autarquias </w:t>
      </w:r>
    </w:p>
    <w:p>
      <w:pPr>
        <w:pStyle w:val="Heading3"/>
      </w:pPr>
      <w:r>
        <w:rPr>
          <w:color w:val="003366"/>
        </w:rPr>
        <w:t>Seção II - DAS LIMITAÇÕES DO PODER DE TRIBUTAR</w:t>
      </w:r>
    </w:p>
    <w:p>
      <w:r>
        <w:rPr>
          <w:b/>
          <w:color w:val="003366"/>
          <w:sz w:val="20"/>
        </w:rPr>
        <w:t xml:space="preserve">Art. 150 Sem prejuízo de outras garantias asseguradas ao contribuinte, é vedado </w:t>
      </w:r>
      <w:r>
        <w:rPr>
          <w:color w:val="8C8C8C"/>
          <w:sz w:val="14"/>
        </w:rPr>
        <w:t xml:space="preserve">  [237 decisoes]</w:t>
      </w:r>
    </w:p>
    <w:p>
      <w:pPr>
        <w:ind w:left="144"/>
      </w:pPr>
      <w:r>
        <w:rPr>
          <w:b/>
          <w:color w:val="B45A00"/>
          <w:sz w:val="16"/>
        </w:rPr>
        <w:t>CONTROLE CONCENTRADO</w:t>
      </w:r>
    </w:p>
    <w:p>
      <w:pPr>
        <w:ind w:left="288"/>
      </w:pPr>
      <w:r>
        <w:rPr>
          <w:color w:val="8C8C8C"/>
          <w:sz w:val="12"/>
        </w:rPr>
        <w:t>cf-art-150</w:t>
      </w:r>
      <w:r>
        <w:rPr>
          <w:color w:val="003CA0"/>
          <w:sz w:val="12"/>
        </w:rPr>
        <w:t xml:space="preserve"> | ADI 2.006</w:t>
      </w:r>
      <w:r>
        <w:rPr>
          <w:color w:val="003CA0"/>
          <w:sz w:val="12"/>
        </w:rPr>
        <w:t xml:space="preserve"> | rel. Maurício Corrêa</w:t>
      </w:r>
    </w:p>
    <w:p>
      <w:pPr>
        <w:ind w:left="288"/>
      </w:pPr>
      <w:r>
        <w:rPr>
          <w:color w:val="1E1E1E"/>
          <w:sz w:val="18"/>
        </w:rPr>
        <w:t>A criação de imunidade tributária é matéria típica do texto constitucional, enquanto a de isenção é versada na lei ordinária; não há, pois, invasão da área reservada à emenda constitucional quando a lei ordinária cria isenção. O poder público tem legitimidade para isentar contribuições por ele instituídas, nos limites das suas atribuições (art. 149 da Constituição).</w:t>
      </w:r>
    </w:p>
    <w:p>
      <w:pPr>
        <w:ind w:left="288"/>
      </w:pPr>
      <w:r>
        <w:rPr>
          <w:b/>
          <w:color w:val="003CA0"/>
          <w:sz w:val="16"/>
        </w:rPr>
        <w:t>[ADI 2.006 MC, rel. min. Maurício Corrêa, j. 1º-7-1999, P, DJ de 24-9-1999.]</w:t>
      </w:r>
    </w:p>
    <w:p>
      <w:pPr>
        <w:ind w:left="144"/>
      </w:pPr>
      <w:r>
        <w:rPr>
          <w:b/>
          <w:color w:val="B45A00"/>
          <w:sz w:val="16"/>
        </w:rPr>
        <w:t>JULGADOS CORRELATOS</w:t>
      </w:r>
    </w:p>
    <w:p>
      <w:pPr>
        <w:ind w:left="288"/>
      </w:pPr>
      <w:r>
        <w:rPr>
          <w:color w:val="8C8C8C"/>
          <w:sz w:val="12"/>
        </w:rPr>
        <w:t>cf-art-150</w:t>
      </w:r>
      <w:r>
        <w:rPr>
          <w:color w:val="003CA0"/>
          <w:sz w:val="12"/>
        </w:rPr>
        <w:t xml:space="preserve"> | RE 200.844</w:t>
      </w:r>
      <w:r>
        <w:rPr>
          <w:color w:val="003CA0"/>
          <w:sz w:val="12"/>
        </w:rPr>
        <w:t xml:space="preserve"> | rel. Celso de Mello</w:t>
      </w:r>
    </w:p>
    <w:p>
      <w:pPr>
        <w:ind w:left="288"/>
      </w:pPr>
      <w:r>
        <w:rPr>
          <w:color w:val="1E1E1E"/>
          <w:sz w:val="18"/>
        </w:rPr>
        <w:t>O Estado não pode legislar abusivamente, eis que todas as normas emanadas do poder público – tratando-se, ou não, de matéria tributária – devem ajustar-se à cláusula que consagra, em sua dimensão material, o princípio do substantive due process of law (CF, art. 5º, LIV). O postulado da proporcionalidade qualifica-se como parâmetro de aferição da própria constitucionalidade material dos atos estatais. Hipótese em que a legislação tributária reveste-se do necessário coeficiente de razoabilidade.</w:t>
      </w:r>
    </w:p>
    <w:p>
      <w:pPr>
        <w:ind w:left="288"/>
      </w:pPr>
      <w:r>
        <w:rPr>
          <w:b/>
          <w:color w:val="003CA0"/>
          <w:sz w:val="16"/>
        </w:rPr>
        <w:t>[RE 200.844 AgR, rel. min. Celso de Mello, j. 25-6-2002, 2ª T, DJ de 16-8-2002.]</w:t>
      </w:r>
    </w:p>
    <w:p>
      <w:pPr>
        <w:ind w:left="288"/>
      </w:pPr>
      <w:r>
        <w:rPr>
          <w:color w:val="8C8C8C"/>
          <w:sz w:val="12"/>
        </w:rPr>
        <w:t>cf-art-150</w:t>
      </w:r>
      <w:r>
        <w:rPr>
          <w:color w:val="003CA0"/>
          <w:sz w:val="12"/>
        </w:rPr>
        <w:t xml:space="preserve"> | RE 480.110</w:t>
      </w:r>
      <w:r>
        <w:rPr>
          <w:color w:val="003CA0"/>
          <w:sz w:val="12"/>
        </w:rPr>
        <w:t xml:space="preserve"> | rel. Ricardo Lewandowski</w:t>
      </w:r>
    </w:p>
    <w:p>
      <w:pPr>
        <w:ind w:left="288"/>
      </w:pPr>
      <w:r>
        <w:rPr>
          <w:color w:val="1E1E1E"/>
          <w:sz w:val="18"/>
        </w:rPr>
        <w:t>= RE 480.110 AgR e RE 572.664 AgR, rel. min. Ricardo Lewandowski, j. 8-9-2009, 1ª T, DJE de 25-9-2009</w:t>
      </w:r>
    </w:p>
    <w:p>
      <w:pPr>
        <w:ind w:left="288"/>
      </w:pPr>
      <w:r>
        <w:rPr>
          <w:color w:val="8C8C8C"/>
          <w:sz w:val="12"/>
        </w:rPr>
        <w:t>cf-art-150-inc-I</w:t>
      </w:r>
      <w:r>
        <w:rPr>
          <w:color w:val="003CA0"/>
          <w:sz w:val="12"/>
        </w:rPr>
        <w:t xml:space="preserve"> | RE 486.175</w:t>
      </w:r>
      <w:r>
        <w:rPr>
          <w:color w:val="003CA0"/>
          <w:sz w:val="12"/>
        </w:rPr>
        <w:t xml:space="preserve"> | rel. Gilmar Mendes</w:t>
      </w:r>
    </w:p>
    <w:p>
      <w:pPr>
        <w:ind w:left="288"/>
      </w:pPr>
      <w:r>
        <w:rPr>
          <w:color w:val="1E1E1E"/>
          <w:sz w:val="18"/>
        </w:rPr>
        <w:t>Lei n. 13.711/2011 do Estado do Rio Grande do Sul. Modificação legislativa. Conhecimento parcial. Regime especial de fiscalização. ICMS. Devedores contumazes. Reserva de lei complementar. Inexistência. Princípios da legalidade, da isonomia tributária e da liberdade de trabalho e comércio. Violação. Ausência. Sanção política não configurada. (...) O regime especial, por disciplinar obrigações acessórias voltadas à fiscalização e arrecadação, não está sujeito à reserva de lei complementar. Não há violação ao princípio da legalidade tributária, uma vez que os dispositivos impugnados instituem obr</w:t>
      </w:r>
    </w:p>
    <w:p>
      <w:pPr>
        <w:ind w:left="288"/>
      </w:pPr>
      <w:r>
        <w:rPr>
          <w:b/>
          <w:color w:val="003CA0"/>
          <w:sz w:val="16"/>
        </w:rPr>
        <w:t>[ADI 4.854, rel. min. Nunes Marques, j. 25.08.2025, P, DJE de 26.09.2025.]</w:t>
      </w:r>
    </w:p>
    <w:p>
      <w:pPr>
        <w:ind w:left="288"/>
      </w:pPr>
      <w:r>
        <w:rPr>
          <w:color w:val="8C8C8C"/>
          <w:sz w:val="12"/>
        </w:rPr>
        <w:t>cf-art-150-inc-I</w:t>
      </w:r>
      <w:r>
        <w:rPr>
          <w:color w:val="003CA0"/>
          <w:sz w:val="12"/>
        </w:rPr>
        <w:t xml:space="preserve"> | ADPF 351</w:t>
      </w:r>
      <w:r>
        <w:rPr>
          <w:color w:val="003CA0"/>
          <w:sz w:val="12"/>
        </w:rPr>
        <w:t xml:space="preserve"> | rel. Nunes Marques</w:t>
      </w:r>
    </w:p>
    <w:p>
      <w:pPr>
        <w:ind w:left="288"/>
      </w:pPr>
      <w:r>
        <w:rPr>
          <w:color w:val="1E1E1E"/>
          <w:sz w:val="18"/>
        </w:rPr>
        <w:t>Lei n. 985/1984 do Município de Morro Agudo/SP. Código Tributário Municipal. Taxas. Alíquotas e base de cálculo. Fixação mediante decreto. (...) . A norma impugnada delega ao Chefe do Executivo local o poder de definir, sem parâmetros ou teto legal, os valores das taxas municipais, em afronta o princípio da legalidade tributária (CF, art. 150, I e § 6º).</w:t>
      </w:r>
    </w:p>
    <w:p>
      <w:pPr>
        <w:ind w:left="288"/>
      </w:pPr>
      <w:r>
        <w:rPr>
          <w:b/>
          <w:color w:val="003CA0"/>
          <w:sz w:val="16"/>
        </w:rPr>
        <w:t>[ADPF 351, rel. min. Nunes Marques, j. 27.05.2025, P, DJE de 10.06.2025.]</w:t>
      </w:r>
    </w:p>
    <w:p>
      <w:pPr>
        <w:ind w:left="144"/>
      </w:pPr>
      <w:r>
        <w:rPr>
          <w:b/>
          <w:color w:val="B45A00"/>
          <w:sz w:val="16"/>
        </w:rPr>
        <w:t>CONTROLE CONCENTRADO</w:t>
      </w:r>
    </w:p>
    <w:p>
      <w:pPr>
        <w:ind w:left="288"/>
      </w:pPr>
      <w:r>
        <w:rPr>
          <w:color w:val="8C8C8C"/>
          <w:sz w:val="12"/>
        </w:rPr>
        <w:t>cf-art-150-inc-I</w:t>
      </w:r>
      <w:r>
        <w:rPr>
          <w:color w:val="003CA0"/>
          <w:sz w:val="12"/>
        </w:rPr>
        <w:t xml:space="preserve"> | ADI 7.370</w:t>
      </w:r>
      <w:r>
        <w:rPr>
          <w:color w:val="003CA0"/>
          <w:sz w:val="12"/>
        </w:rPr>
        <w:t xml:space="preserve"> | rel. Cristiano Zanin</w:t>
      </w:r>
    </w:p>
    <w:p>
      <w:pPr>
        <w:ind w:left="288"/>
      </w:pPr>
      <w:r>
        <w:rPr>
          <w:color w:val="1E1E1E"/>
          <w:sz w:val="18"/>
        </w:rPr>
        <w:t>Impossibilidade de exclusão de contribuinte do REFIS com base na tese das “parcelas ínfimas”, a qual vulnera o princípio da legalidade tributária, estabelecido no art. 150, I, da CF/1988, pois, por meio de atos subalternos, estipulou que fossem excluídos contribuintes os quais cumpriam há anos as regras preestabelecidas em lei com base em inovadora interpretação ampliativa da Administração Pública Federal. A taxatividade das hipóteses de exclusão do REFIS, reveladas pelo art. 5° da Lei 9.964/2000, impede o uso de analogia ou interpretação extensiva que extraia do seu rol exaustivo hipótese out</w:t>
      </w:r>
    </w:p>
    <w:p>
      <w:pPr>
        <w:ind w:left="288"/>
      </w:pPr>
      <w:r>
        <w:rPr>
          <w:b/>
          <w:color w:val="003CA0"/>
          <w:sz w:val="16"/>
        </w:rPr>
        <w:t>[ADI 5.277, rel. min. Dias Toffoli, j. 10-12-2020, P, DJE de 25-3-2021.]</w:t>
      </w:r>
    </w:p>
    <w:p>
      <w:pPr>
        <w:ind w:left="288"/>
      </w:pPr>
      <w:r>
        <w:rPr>
          <w:color w:val="8C8C8C"/>
          <w:sz w:val="12"/>
        </w:rPr>
        <w:t>cf-art-150-inc-I</w:t>
      </w:r>
      <w:r>
        <w:rPr>
          <w:color w:val="003CA0"/>
          <w:sz w:val="12"/>
        </w:rPr>
        <w:t xml:space="preserve"> | ADI 2.304</w:t>
      </w:r>
      <w:r>
        <w:rPr>
          <w:color w:val="003CA0"/>
          <w:sz w:val="12"/>
        </w:rPr>
        <w:t xml:space="preserve"> | rel. Dias Toffoli</w:t>
      </w:r>
    </w:p>
    <w:p>
      <w:pPr>
        <w:ind w:left="288"/>
      </w:pPr>
      <w:r>
        <w:rPr>
          <w:color w:val="1E1E1E"/>
          <w:sz w:val="18"/>
        </w:rPr>
        <w:t>Ao remeter a disciplina do parcelamento às regras atinentes à moratória, a lei complementar exigiu que a legislação definidora do instituto promovesse a especificação mínima das condições e dos requisitos para sua outorga em favor do contribuinte. Em matéria de delegação legislativa, a jurisprudência da Corte tem acompanhado um movimento de maior flexibilização do Princípio da Legalidade, desde que o legislador estabeleça um desenho mínimo que evite o arbítrio. O grau de indeterminação com que operou a Lei estadual 11.453/2000, ao meramente autorizar o Poder Executivo a conceder o parcelamento</w:t>
      </w:r>
    </w:p>
    <w:p>
      <w:pPr>
        <w:ind w:left="288"/>
      </w:pPr>
      <w:r>
        <w:rPr>
          <w:b/>
          <w:color w:val="003CA0"/>
          <w:sz w:val="16"/>
        </w:rPr>
        <w:t>[ADI 2.304, rel. min. Dias Toffoli, j. 12-4-2018, P, DJE de 3-5-2018.]</w:t>
      </w:r>
    </w:p>
    <w:p>
      <w:pPr>
        <w:ind w:left="288"/>
      </w:pPr>
      <w:r>
        <w:rPr>
          <w:color w:val="8C8C8C"/>
          <w:sz w:val="12"/>
        </w:rPr>
        <w:t>cf-art-150-inc-I</w:t>
      </w:r>
      <w:r>
        <w:rPr>
          <w:color w:val="003CA0"/>
          <w:sz w:val="12"/>
        </w:rPr>
        <w:t xml:space="preserve"> | ADI 1.709</w:t>
      </w:r>
      <w:r>
        <w:rPr>
          <w:color w:val="003CA0"/>
          <w:sz w:val="12"/>
        </w:rPr>
        <w:t xml:space="preserve"> | rel. Maurício Corrêa</w:t>
      </w:r>
    </w:p>
    <w:p>
      <w:pPr>
        <w:ind w:left="288"/>
      </w:pPr>
      <w:r>
        <w:rPr>
          <w:color w:val="1E1E1E"/>
          <w:sz w:val="18"/>
        </w:rPr>
        <w:t>A instituição dos emolumentos cartorários pelo tribunal de justiça afronta o princípio da reserva legal. Somente a lei pode criar, majorar ou reduzir os valores das taxas judiciárias.</w:t>
      </w:r>
    </w:p>
    <w:p>
      <w:pPr>
        <w:ind w:left="288"/>
      </w:pPr>
      <w:r>
        <w:rPr>
          <w:b/>
          <w:color w:val="003CA0"/>
          <w:sz w:val="16"/>
        </w:rPr>
        <w:t>[ADI 1.709, rel. min. Maurício Corrêa, j. 10-2-2000, P, DJ de 31-3-2000.]</w:t>
      </w:r>
    </w:p>
    <w:p>
      <w:pPr>
        <w:ind w:left="288"/>
      </w:pPr>
      <w:r>
        <w:rPr>
          <w:color w:val="8C8C8C"/>
          <w:sz w:val="12"/>
        </w:rPr>
        <w:t>cf-art-150-inc-I</w:t>
      </w:r>
      <w:r>
        <w:rPr>
          <w:color w:val="003CA0"/>
          <w:sz w:val="12"/>
        </w:rPr>
        <w:t xml:space="preserve"> | ADI 1.417</w:t>
      </w:r>
      <w:r>
        <w:rPr>
          <w:color w:val="003CA0"/>
          <w:sz w:val="12"/>
        </w:rPr>
        <w:t xml:space="preserve"> | rel. Octavio Gallotti</w:t>
      </w:r>
    </w:p>
    <w:p>
      <w:pPr>
        <w:ind w:left="288"/>
      </w:pPr>
      <w:r>
        <w:rPr>
          <w:color w:val="1E1E1E"/>
          <w:sz w:val="18"/>
        </w:rPr>
        <w:t>Legitimidade, ao primeiro exame, da instituição de tributos por medida provisória com força de lei, e, ainda, do cometimento da fiscalização de contribuições previdenciárias à Secretaria da Receita Federal.</w:t>
      </w:r>
    </w:p>
    <w:p>
      <w:pPr>
        <w:ind w:left="288"/>
      </w:pPr>
      <w:r>
        <w:rPr>
          <w:b/>
          <w:color w:val="003CA0"/>
          <w:sz w:val="16"/>
        </w:rPr>
        <w:t>[ADI 1.417 MC, rel. min. Octavio Gallotti, j. 7-3-1996, P, DJ de 24-5-1996.]</w:t>
      </w:r>
    </w:p>
    <w:p>
      <w:pPr>
        <w:ind w:left="288"/>
      </w:pPr>
      <w:r>
        <w:rPr>
          <w:color w:val="8C8C8C"/>
          <w:sz w:val="12"/>
        </w:rPr>
        <w:t>cf-art-150-inc-I</w:t>
      </w:r>
      <w:r>
        <w:rPr>
          <w:color w:val="003CA0"/>
          <w:sz w:val="12"/>
        </w:rPr>
        <w:t xml:space="preserve"> | RE 479.134</w:t>
      </w:r>
      <w:r>
        <w:rPr>
          <w:color w:val="003CA0"/>
          <w:sz w:val="12"/>
        </w:rPr>
        <w:t xml:space="preserve"> | rel. Sepúlveda Pertence</w:t>
      </w:r>
    </w:p>
    <w:p>
      <w:pPr>
        <w:ind w:left="288"/>
      </w:pPr>
      <w:r>
        <w:rPr>
          <w:color w:val="1E1E1E"/>
          <w:sz w:val="18"/>
        </w:rPr>
        <w:t>= RE 479.134 AgR, rel. min. Sepúlveda Pertence, j. 26-6-2007, 1ª T, DJ de 17-8-2007 "É infraconstitucional a controvérsia sobre a limitação da base de cálculo das contribuições destinadas a terceiros ao teto de 20 (vinte) salários-mínimos previsto na Lei nº 6.950/1981.”</w:t>
      </w:r>
    </w:p>
    <w:p>
      <w:pPr>
        <w:ind w:left="288"/>
      </w:pPr>
      <w:r>
        <w:rPr>
          <w:b/>
          <w:color w:val="003CA0"/>
          <w:sz w:val="16"/>
        </w:rPr>
        <w:t>[ARE 1.535.441 RG, rel. min. Luís Roberto Barroso, j. 06.05.2025, P, DJE de 09.05.2025, Tema 1.393, com repercussão geral negada.]</w:t>
      </w:r>
    </w:p>
    <w:p>
      <w:pPr>
        <w:ind w:left="288"/>
      </w:pPr>
      <w:r>
        <w:rPr>
          <w:color w:val="8C8C8C"/>
          <w:sz w:val="12"/>
        </w:rPr>
        <w:t>cf-art-150-inc-I</w:t>
      </w:r>
      <w:r>
        <w:rPr>
          <w:color w:val="003CA0"/>
          <w:sz w:val="12"/>
        </w:rPr>
        <w:t xml:space="preserve"> | ARE 1.517.693</w:t>
      </w:r>
      <w:r>
        <w:rPr>
          <w:color w:val="003CA0"/>
          <w:sz w:val="12"/>
        </w:rPr>
        <w:t xml:space="preserve"> | rel. Luís Roberto Barroso</w:t>
      </w:r>
    </w:p>
    <w:p>
      <w:pPr>
        <w:ind w:left="288"/>
      </w:pPr>
      <w:r>
        <w:rPr>
          <w:color w:val="1E1E1E"/>
          <w:sz w:val="18"/>
        </w:rPr>
        <w:t>“São infraconstitucionais e fáticas as controvérsias sobre a conformidade de atos normativos infralegais à lei que institui o benefício fiscal e sobre o atendimento de requisitos para a obtenção do benefício”.</w:t>
      </w:r>
    </w:p>
    <w:p>
      <w:pPr>
        <w:ind w:left="288"/>
      </w:pPr>
      <w:r>
        <w:rPr>
          <w:b/>
          <w:color w:val="003CA0"/>
          <w:sz w:val="16"/>
        </w:rPr>
        <w:t>[ARE 1.517.693 RG, rel. min. Luís Roberto Barroso, j. 11.10.2024, P, DJE de 16.10.2024, Tema 1.333, com repercussão geral negada.]</w:t>
      </w:r>
    </w:p>
    <w:p>
      <w:pPr>
        <w:ind w:left="144"/>
      </w:pPr>
      <w:r>
        <w:rPr>
          <w:b/>
          <w:color w:val="B45A00"/>
          <w:sz w:val="16"/>
        </w:rPr>
        <w:t>REPERCUSSAO GERAL</w:t>
      </w:r>
    </w:p>
    <w:p>
      <w:pPr>
        <w:ind w:left="288"/>
      </w:pPr>
      <w:r>
        <w:rPr>
          <w:color w:val="8C8C8C"/>
          <w:sz w:val="12"/>
        </w:rPr>
        <w:t>cf-art-150-inc-I</w:t>
      </w:r>
      <w:r>
        <w:rPr>
          <w:color w:val="003CA0"/>
          <w:sz w:val="12"/>
        </w:rPr>
        <w:t xml:space="preserve"> | ARE 1.460.254</w:t>
      </w:r>
      <w:r>
        <w:rPr>
          <w:color w:val="003CA0"/>
          <w:sz w:val="12"/>
        </w:rPr>
        <w:t xml:space="preserve"> | rel. Luís Roberto Barroso</w:t>
      </w:r>
    </w:p>
    <w:p>
      <w:pPr>
        <w:ind w:left="288"/>
      </w:pPr>
      <w:r>
        <w:rPr>
          <w:color w:val="1E1E1E"/>
          <w:sz w:val="18"/>
        </w:rPr>
        <w:t>“A cobrança do ICMS-DIFAL de empresas optantes do Simples Nacional deve ter fundamento em lei estadual em sentido estrito”.</w:t>
        <w:br/>
        <w:t>[ARE 1.460.254 RG, rel. min. Luís Roberto Barroso, j. 20-11-2023, P, DJE de 27-11-2023, Tema 1.284, com mérito julgado.] “É constitucional a lei municipal que delega ao Poder Executivo a avaliação individualizada, para fins de cobrança do IPTU, de imóvel novo não previsto na Planta Genérica de Valores, desde que fixados em lei os critérios para a avaliação técnica e assegurado ao contribuinte o direito ao contraditório.”</w:t>
        <w:br/>
        <w:t>[ARE 1.245.097, rel. min. Roberto Barroso, j. 5-6-2</w:t>
      </w:r>
    </w:p>
    <w:p>
      <w:pPr>
        <w:ind w:left="288"/>
      </w:pPr>
      <w:r>
        <w:rPr>
          <w:b/>
          <w:color w:val="003CA0"/>
          <w:sz w:val="16"/>
        </w:rPr>
        <w:t>[RE 677.725, rel. min. Luiz Fux, j. 11-11-2021, P, DJE de 16-12-2022, Tema 554, com mérito julgado.]</w:t>
      </w:r>
    </w:p>
    <w:p>
      <w:pPr>
        <w:ind w:left="288"/>
      </w:pPr>
      <w:r>
        <w:rPr>
          <w:color w:val="8C8C8C"/>
          <w:sz w:val="12"/>
        </w:rPr>
        <w:t>cf-art-150-inc-I</w:t>
      </w:r>
      <w:r>
        <w:rPr>
          <w:color w:val="003CA0"/>
          <w:sz w:val="12"/>
        </w:rPr>
        <w:t xml:space="preserve"> | ARE 1.321.554</w:t>
      </w:r>
      <w:r>
        <w:rPr>
          <w:color w:val="003CA0"/>
          <w:sz w:val="12"/>
        </w:rPr>
        <w:t xml:space="preserve"> | rel. Luiz Fux</w:t>
      </w:r>
    </w:p>
    <w:p>
      <w:pPr>
        <w:ind w:left="288"/>
      </w:pPr>
      <w:r>
        <w:rPr>
          <w:color w:val="1E1E1E"/>
          <w:sz w:val="18"/>
        </w:rPr>
        <w:t>É infraconstitucional, a ela se aplicando os efeitos da ausência de repercussão geral, a controvérsia relativa à inclusão dos serviços de capatazia no valor aduaneiro e, consequentemente, na base de cálculo do Imposto de Importação, do Imposto sobre Produtos Industrializados (IPI), do PIS-Importação e da Cofins-Importação.</w:t>
        <w:br/>
        <w:t>[ARE 1.321.554 RG, rel. min. Luiz Fux, j. 17-6-2021, P, DJE de 25-8-2021, Tema 1.151, com repercussão geral negada.] É constitucional a flexibilização da legalidade tributária constante do § 2º do art. 27 da Lei nº 10.865/04, no que permitiu ao Poder Executivo, prevendo as c</w:t>
      </w:r>
    </w:p>
    <w:p>
      <w:pPr>
        <w:ind w:left="288"/>
      </w:pPr>
      <w:r>
        <w:rPr>
          <w:b/>
          <w:color w:val="003CA0"/>
          <w:sz w:val="16"/>
        </w:rPr>
        <w:t>[RE 1.043.313, rel. min. Dias Toffoli, j. 10-12-2020, P, DJE de 25-3-2021, Tema 939, com mérito julgado.]</w:t>
      </w:r>
    </w:p>
    <w:p>
      <w:pPr>
        <w:ind w:left="288"/>
      </w:pPr>
      <w:r>
        <w:rPr>
          <w:color w:val="8C8C8C"/>
          <w:sz w:val="12"/>
        </w:rPr>
        <w:t>cf-art-150-inc-I</w:t>
      </w:r>
      <w:r>
        <w:rPr>
          <w:color w:val="003CA0"/>
          <w:sz w:val="12"/>
        </w:rPr>
        <w:t xml:space="preserve"> | RE 1.258.934</w:t>
      </w:r>
      <w:r>
        <w:rPr>
          <w:color w:val="003CA0"/>
          <w:sz w:val="12"/>
        </w:rPr>
        <w:t xml:space="preserve"> | rel. Dias Toffoli</w:t>
      </w:r>
    </w:p>
    <w:p>
      <w:pPr>
        <w:ind w:left="288"/>
      </w:pPr>
      <w:r>
        <w:rPr>
          <w:color w:val="1E1E1E"/>
          <w:sz w:val="18"/>
        </w:rPr>
        <w:t>A inconstitucionalidade de majoração excessiva de taxa tributária fixada em ato infralegal a partir de delegação legislativa defeituosa não conduz à invalidade do tributo nem impede que o Poder Executivo atualize os valores previamente fixados em lei de acordo com percentual não superior aos índices oficiais de correção monetária.</w:t>
        <w:br/>
        <w:t>[RE 1.258.934, rel. min. Dias Toffoli, j. 9-4-2020, P, DJE de 28-4-2020, Tema 1.085, com mérito julgado e reafirmação de jurisprudência.] Não viola a legalidade tributária a lei que, prescrevendo o teto, possibilita ao ato normativo infralegal fixar o valor de taxa e</w:t>
      </w:r>
    </w:p>
    <w:p>
      <w:pPr>
        <w:ind w:left="288"/>
      </w:pPr>
      <w:r>
        <w:rPr>
          <w:b/>
          <w:color w:val="003CA0"/>
          <w:sz w:val="16"/>
        </w:rPr>
        <w:t>[RE 632.265, rel. min. Marco Aurélio, j. 18-6-2015, P, DJE de 5-10-2015, Tema 830, com mérito julgado.]</w:t>
      </w:r>
    </w:p>
    <w:p>
      <w:pPr>
        <w:ind w:left="288"/>
      </w:pPr>
      <w:r>
        <w:rPr>
          <w:color w:val="8C8C8C"/>
          <w:sz w:val="12"/>
        </w:rPr>
        <w:t>cf-art-150-inc-I</w:t>
      </w:r>
      <w:r>
        <w:rPr>
          <w:color w:val="003CA0"/>
          <w:sz w:val="12"/>
        </w:rPr>
        <w:t xml:space="preserve"> | ARE 748.445</w:t>
      </w:r>
      <w:r>
        <w:rPr>
          <w:color w:val="003CA0"/>
          <w:sz w:val="12"/>
        </w:rPr>
        <w:t xml:space="preserve"> | rel. Ricardo Lewandowski</w:t>
      </w:r>
    </w:p>
    <w:p>
      <w:pPr>
        <w:ind w:left="288"/>
      </w:pPr>
      <w:r>
        <w:rPr>
          <w:color w:val="1E1E1E"/>
          <w:sz w:val="18"/>
        </w:rPr>
        <w:t>(...) a Anotação de Responsabilidade Técnica, instituída pela Lei 6.496/1977, cobrada pelos Conselhos Regionais de Engenharia, Arquitetura e Agronomia, tem natureza jurídica de taxa, sendo, portanto, necessária a observância do princípio da legalidade tributária previsto no art. 150, I, da Constituição.</w:t>
      </w:r>
    </w:p>
    <w:p>
      <w:pPr>
        <w:ind w:left="288"/>
      </w:pPr>
      <w:r>
        <w:rPr>
          <w:b/>
          <w:color w:val="003CA0"/>
          <w:sz w:val="16"/>
        </w:rPr>
        <w:t>[ARE 748.445 RG, rel. min. Ricardo Lewandowski, j. 31-10-2013, P, DJE de 12-2-2014, Tema 692, com mérito julgado.]</w:t>
      </w:r>
    </w:p>
    <w:p>
      <w:pPr>
        <w:ind w:left="288"/>
      </w:pPr>
      <w:r>
        <w:rPr>
          <w:color w:val="8C8C8C"/>
          <w:sz w:val="12"/>
        </w:rPr>
        <w:t>cf-art-150-inc-I</w:t>
      </w:r>
      <w:r>
        <w:rPr>
          <w:color w:val="003CA0"/>
          <w:sz w:val="12"/>
        </w:rPr>
        <w:t xml:space="preserve"> | RE 648.245</w:t>
      </w:r>
      <w:r>
        <w:rPr>
          <w:color w:val="003CA0"/>
          <w:sz w:val="12"/>
        </w:rPr>
        <w:t xml:space="preserve"> | rel. Gilmar Mendes</w:t>
      </w:r>
    </w:p>
    <w:p>
      <w:pPr>
        <w:ind w:left="288"/>
      </w:pPr>
      <w:r>
        <w:rPr>
          <w:color w:val="1E1E1E"/>
          <w:sz w:val="18"/>
        </w:rPr>
        <w:t>É inconstitucional a majoração do IPTU sem edição de lei em sentido formal, vedada a atualização, por ato do Executivo, em percentual superior aos índices oficiais.</w:t>
        <w:br/>
        <w:t>[RE 648.245, rel. min. Gilmar Mendes, j. 1º-8-2013, P, DJE de 24-2-2014, Tema 211, com mérito julgado.]</w:t>
      </w:r>
    </w:p>
    <w:p>
      <w:pPr>
        <w:ind w:left="144"/>
      </w:pPr>
      <w:r>
        <w:rPr>
          <w:b/>
          <w:color w:val="B45A00"/>
          <w:sz w:val="16"/>
        </w:rPr>
        <w:t>JULGADOS CORRELATOS</w:t>
      </w:r>
    </w:p>
    <w:p>
      <w:pPr>
        <w:ind w:left="288"/>
      </w:pPr>
      <w:r>
        <w:rPr>
          <w:color w:val="8C8C8C"/>
          <w:sz w:val="12"/>
        </w:rPr>
        <w:t>cf-art-150-inc-I</w:t>
      </w:r>
      <w:r>
        <w:rPr>
          <w:color w:val="003CA0"/>
          <w:sz w:val="12"/>
        </w:rPr>
        <w:t xml:space="preserve"> | AI 857.374</w:t>
      </w:r>
      <w:r>
        <w:rPr>
          <w:color w:val="003CA0"/>
          <w:sz w:val="12"/>
        </w:rPr>
        <w:t xml:space="preserve"> | rel. Marco Aurélio</w:t>
      </w:r>
    </w:p>
    <w:p>
      <w:pPr>
        <w:ind w:left="288"/>
      </w:pPr>
      <w:r>
        <w:rPr>
          <w:color w:val="1E1E1E"/>
          <w:sz w:val="18"/>
        </w:rPr>
        <w:t>Contribuição social. Majoração de alíquota. MP 1.526, de 1996. Conversão parcial. Lei 9.528, de 1997. Cláusula de convalidação. Ocorrida conversão parcial de medida provisória e presente, fazendo as vezes de decreto legislativo, cláusula de convalidação dos atos praticados, improcede a alegação de perda retroativa de eficácia de normas ao final superadas.</w:t>
      </w:r>
    </w:p>
    <w:p>
      <w:pPr>
        <w:ind w:left="288"/>
      </w:pPr>
      <w:r>
        <w:rPr>
          <w:b/>
          <w:color w:val="003CA0"/>
          <w:sz w:val="16"/>
        </w:rPr>
        <w:t>[AI 857.374 AgR, rel. min. Marco Aurélio, j. 26-11-2013, 1ª T, DJE de 18-12-2013.]</w:t>
      </w:r>
    </w:p>
    <w:p>
      <w:pPr>
        <w:ind w:left="288"/>
      </w:pPr>
      <w:r>
        <w:rPr>
          <w:color w:val="8C8C8C"/>
          <w:sz w:val="12"/>
        </w:rPr>
        <w:t>cf-art-150-inc-I</w:t>
      </w:r>
      <w:r>
        <w:rPr>
          <w:color w:val="003CA0"/>
          <w:sz w:val="12"/>
        </w:rPr>
        <w:t xml:space="preserve"> | AI 810.740</w:t>
      </w:r>
      <w:r>
        <w:rPr>
          <w:color w:val="003CA0"/>
          <w:sz w:val="12"/>
        </w:rPr>
        <w:t xml:space="preserve"> | rel. Dias Toffoli</w:t>
      </w:r>
    </w:p>
    <w:p>
      <w:pPr>
        <w:ind w:left="288"/>
      </w:pPr>
      <w:r>
        <w:rPr>
          <w:color w:val="1E1E1E"/>
          <w:sz w:val="18"/>
        </w:rPr>
        <w:t>= AI 810.740 AgR, rel. min. Dias Toffoli, j. 28-4-2015, 2ª T, DJE de 10-6-2015 A fixação da base de incidência da contribuição social alusiva ao frete submete-se ao princípio da legalidade. (...) Surge conflitante com a Carta da República majorar mediante portaria a base de incidência da contribuição social relativa ao frete.</w:t>
      </w:r>
    </w:p>
    <w:p>
      <w:pPr>
        <w:ind w:left="288"/>
      </w:pPr>
      <w:r>
        <w:rPr>
          <w:b/>
          <w:color w:val="003CA0"/>
          <w:sz w:val="16"/>
        </w:rPr>
        <w:t>[RMS 25.476, red. do ac. min. Marco Aurélio, j. 22-5-2013, P, DJE de 26-5-2014.]</w:t>
      </w:r>
    </w:p>
    <w:p>
      <w:pPr>
        <w:ind w:left="288"/>
      </w:pPr>
      <w:r>
        <w:rPr>
          <w:color w:val="8C8C8C"/>
          <w:sz w:val="12"/>
        </w:rPr>
        <w:t>cf-art-150-inc-I</w:t>
      </w:r>
      <w:r>
        <w:rPr>
          <w:color w:val="003CA0"/>
          <w:sz w:val="12"/>
        </w:rPr>
        <w:t xml:space="preserve"> | RE 556.854</w:t>
      </w:r>
      <w:r>
        <w:rPr>
          <w:color w:val="003CA0"/>
          <w:sz w:val="12"/>
        </w:rPr>
        <w:t xml:space="preserve"> | rel. Cármen Lúcia</w:t>
      </w:r>
    </w:p>
    <w:p>
      <w:pPr>
        <w:ind w:left="288"/>
      </w:pPr>
      <w:r>
        <w:rPr>
          <w:color w:val="1E1E1E"/>
          <w:sz w:val="18"/>
        </w:rPr>
        <w:t>O parágrafo único do art. 24 do DL 288/1967, que autoriza a Superintendência da Zona Franca de Manaus a instituir taxas por meio de portaria, contraria o princípio da legalidade e, portanto, não foi recepcionado pela Constituição da República de 1988.</w:t>
      </w:r>
    </w:p>
    <w:p>
      <w:pPr>
        <w:ind w:left="288"/>
      </w:pPr>
      <w:r>
        <w:rPr>
          <w:b/>
          <w:color w:val="003CA0"/>
          <w:sz w:val="16"/>
        </w:rPr>
        <w:t>[RE 556.854, rel. min. Cármen Lúcia, j. 30-6-2011, P, DJE de 11-10-2011.]</w:t>
      </w:r>
    </w:p>
    <w:p>
      <w:pPr>
        <w:ind w:left="288"/>
      </w:pPr>
      <w:r>
        <w:rPr>
          <w:color w:val="8C8C8C"/>
          <w:sz w:val="12"/>
        </w:rPr>
        <w:t>cf-art-150-inc-I</w:t>
      </w:r>
      <w:r>
        <w:rPr>
          <w:color w:val="003CA0"/>
          <w:sz w:val="12"/>
        </w:rPr>
        <w:t xml:space="preserve"> | RE 343.446</w:t>
      </w:r>
      <w:r>
        <w:rPr>
          <w:color w:val="003CA0"/>
          <w:sz w:val="12"/>
        </w:rPr>
        <w:t xml:space="preserve"> | rel. Carlos Velloso</w:t>
      </w:r>
    </w:p>
    <w:p>
      <w:pPr>
        <w:ind w:left="288"/>
      </w:pPr>
      <w:r>
        <w:rPr>
          <w:color w:val="1E1E1E"/>
          <w:sz w:val="18"/>
        </w:rPr>
        <w:t>Contribuição para o custeio do Seguro de Acidente do Trabalho (SAT) (...). As Leis 7.787/1989, art. 3º, II, e 8.212/1991, art. 22, II, definem, satisfatoriamente, todos os elementos capazes de fazer nascer a obrigação tributária válida. O fato de a lei deixar para o regulamento a complementação dos conceitos de "atividade preponderante" e "grau de risco leve, médio e grave" não implica ofensa ao princípio da legalidade genérica, CF, art. 5º, II, e da legalidade tributária, CF, art. 150, I.</w:t>
      </w:r>
    </w:p>
    <w:p>
      <w:pPr>
        <w:ind w:left="288"/>
      </w:pPr>
      <w:r>
        <w:rPr>
          <w:b/>
          <w:color w:val="003CA0"/>
          <w:sz w:val="16"/>
        </w:rPr>
        <w:t>[RE 343.446, rel. min. Carlos Velloso, j. 20-3-2003, P, DJ de 4-4-2003.]</w:t>
      </w:r>
    </w:p>
    <w:p>
      <w:pPr>
        <w:ind w:left="288"/>
      </w:pPr>
      <w:r>
        <w:rPr>
          <w:color w:val="8C8C8C"/>
          <w:sz w:val="12"/>
        </w:rPr>
        <w:t>cf-art-150-inc-I</w:t>
      </w:r>
      <w:r>
        <w:rPr>
          <w:color w:val="003CA0"/>
          <w:sz w:val="12"/>
        </w:rPr>
        <w:t xml:space="preserve"> | AI 736.299</w:t>
      </w:r>
      <w:r>
        <w:rPr>
          <w:color w:val="003CA0"/>
          <w:sz w:val="12"/>
        </w:rPr>
        <w:t xml:space="preserve"> | rel. Gilmar Mendes</w:t>
      </w:r>
    </w:p>
    <w:p>
      <w:pPr>
        <w:ind w:left="288"/>
      </w:pPr>
      <w:r>
        <w:rPr>
          <w:color w:val="1E1E1E"/>
          <w:sz w:val="18"/>
        </w:rPr>
        <w:t>= AI 736.299 AgR, rel. min. Gilmar Mendes, j. 22-2-2011, 2ª T, DJE de 11-3-2011 Substituição legal dos fatores de indexação. Alegada ofensa às garantias constitucionais do direito adquirido e da anterioridade tributária. Inocorrência. Simples atualização monetária que não se confunde com majoração do tributo. (...) A modificação dos fatores de indexação, com base em legislação superveniente, não constitui desrespeito a situações jurídicas consolidadas (CF, art. 5º, XXXVI) nem transgressão ao postulado da não surpresa, instrumentalmente garantido pela cláusula da anterioridade tributária (CF, a</w:t>
      </w:r>
    </w:p>
    <w:p>
      <w:pPr>
        <w:ind w:left="288"/>
      </w:pPr>
      <w:r>
        <w:rPr>
          <w:b/>
          <w:color w:val="003CA0"/>
          <w:sz w:val="16"/>
        </w:rPr>
        <w:t>[RE 200.844 AgR, rel. min. Celso de Mello, j. 25-6-2002, 2ª T, DJ de 16-8-2002.]</w:t>
      </w:r>
    </w:p>
    <w:p>
      <w:pPr>
        <w:ind w:left="288"/>
      </w:pPr>
      <w:r>
        <w:rPr>
          <w:color w:val="8C8C8C"/>
          <w:sz w:val="12"/>
        </w:rPr>
        <w:t>cf-art-150-inc-I</w:t>
      </w:r>
      <w:r>
        <w:rPr>
          <w:color w:val="003CA0"/>
          <w:sz w:val="12"/>
        </w:rPr>
        <w:t xml:space="preserve"> | AI 626.759</w:t>
      </w:r>
      <w:r>
        <w:rPr>
          <w:color w:val="003CA0"/>
          <w:sz w:val="12"/>
        </w:rPr>
        <w:t xml:space="preserve"> | rel. Cármen Lúcia</w:t>
      </w:r>
    </w:p>
    <w:p>
      <w:pPr>
        <w:ind w:left="288"/>
      </w:pPr>
      <w:r>
        <w:rPr>
          <w:color w:val="1E1E1E"/>
          <w:sz w:val="18"/>
        </w:rPr>
        <w:t>= AI 626.759 AgR, rel. min. Cármen Lúcia, j. 30-6-2009, 1ª T, DJE de 21-8-2009 Serviço de fornecimento de água. Adicional de tarifa. Legitimidade. Mostra-se coerente com a jurisprudência do Supremo Tribunal o despacho agravado, ao apontar que o ajuste de carga de natureza sazonal, aplicável aos fornecimentos de água pela Caesb, criado para fins de redução de consumo, tem caráter de contraprestação de serviço e não de tributo. Precedentes: RE 54.491, RE 85.268, RE 77.162 e ADC 9.</w:t>
      </w:r>
    </w:p>
    <w:p>
      <w:pPr>
        <w:ind w:left="288"/>
      </w:pPr>
      <w:r>
        <w:rPr>
          <w:b/>
          <w:color w:val="003CA0"/>
          <w:sz w:val="16"/>
        </w:rPr>
        <w:t>[RE 201.630 AgR, rel. min. Ellen Gracie, j. 11-6-2002, 1ª T, DJ de 2-8-2002.]</w:t>
      </w:r>
    </w:p>
    <w:p>
      <w:pPr>
        <w:ind w:left="288"/>
      </w:pPr>
      <w:r>
        <w:rPr>
          <w:color w:val="8C8C8C"/>
          <w:sz w:val="12"/>
        </w:rPr>
        <w:t>cf-art-150-inc-I</w:t>
      </w:r>
      <w:r>
        <w:rPr>
          <w:color w:val="003CA0"/>
          <w:sz w:val="12"/>
        </w:rPr>
        <w:t xml:space="preserve"> | RE 192.711</w:t>
      </w:r>
      <w:r>
        <w:rPr>
          <w:color w:val="003CA0"/>
          <w:sz w:val="12"/>
        </w:rPr>
        <w:t xml:space="preserve"> | rel. Ilmar Galvão</w:t>
      </w:r>
    </w:p>
    <w:p>
      <w:pPr>
        <w:ind w:left="288"/>
      </w:pPr>
      <w:r>
        <w:rPr>
          <w:color w:val="1E1E1E"/>
          <w:sz w:val="18"/>
        </w:rPr>
        <w:t>ICMS. Fato gerador. Desembaraço aduaneiro das mercadorias importadas do exterior. Antecipação da data de recolhimento. Legitimidade por meio de decreto. Apresenta-se sem utilidade o processamento de recurso extraordinário quando o acórdão recorrido se harmoniza com a orientação desta Corte no sentido da possibilidade da cobrança do ICMS quando do desembaraço aduaneiro da mercadoria (RE 192.711, RE 193.817 e RE 194.268), bem como de não se encontrar sujeita ao princípio da legalidade a fixação da data do recolhimento do ICMS (RE 197.948, RE 253.395 e RE 140.669).</w:t>
      </w:r>
    </w:p>
    <w:p>
      <w:pPr>
        <w:ind w:left="288"/>
      </w:pPr>
      <w:r>
        <w:rPr>
          <w:b/>
          <w:color w:val="003CA0"/>
          <w:sz w:val="16"/>
        </w:rPr>
        <w:t>[AI 339.528 AgR, rel. min. Ilmar Galvão, j. 20-11-2001, 1ª T, DJ de 22-2-2002.]</w:t>
      </w:r>
    </w:p>
    <w:p>
      <w:pPr>
        <w:ind w:left="288"/>
      </w:pPr>
      <w:r>
        <w:rPr>
          <w:color w:val="8C8C8C"/>
          <w:sz w:val="12"/>
        </w:rPr>
        <w:t>cf-art-150-inc-I</w:t>
      </w:r>
      <w:r>
        <w:rPr>
          <w:color w:val="003CA0"/>
          <w:sz w:val="12"/>
        </w:rPr>
        <w:t xml:space="preserve"> | AI 225.956</w:t>
      </w:r>
      <w:r>
        <w:rPr>
          <w:color w:val="003CA0"/>
          <w:sz w:val="12"/>
        </w:rPr>
        <w:t xml:space="preserve"> | rel. Moreira Alves</w:t>
      </w:r>
    </w:p>
    <w:p>
      <w:pPr>
        <w:ind w:left="288"/>
      </w:pPr>
      <w:r>
        <w:rPr>
          <w:color w:val="1E1E1E"/>
          <w:sz w:val="18"/>
        </w:rPr>
        <w:t>Aumento do valor da alíquota com base na Lei 10.160/1989 do Estado de Pernambuco. Ao julgar o AI 225.956 AgR, esta Primeira Turma, em caso análogo ao presente, assim decidiu: "Inexistem as alegadas ofensas ao art. 155 e 1º da Carta Magna Federal, porquanto o acórdão recorrido não negou que o Estado-membro tenha competência para instituir impostos estaduais, nem que o Senado seja competente para fixar a alíquota máxima para os impostos de transmissão mortis causa e a doação, mas, sim, sustentou corretamente que ele, por força do art. 150, I, da Carta Magna só pode aumentar tributo por lei estad</w:t>
      </w:r>
    </w:p>
    <w:p>
      <w:pPr>
        <w:ind w:left="288"/>
      </w:pPr>
      <w:r>
        <w:rPr>
          <w:b/>
          <w:color w:val="003CA0"/>
          <w:sz w:val="16"/>
        </w:rPr>
        <w:t>[RE 218.182, rel. min. Moreira Alves, j. 23-3-1999, 1ª T, DJ de 4-6-1999.]</w:t>
      </w:r>
    </w:p>
    <w:p>
      <w:pPr>
        <w:ind w:left="288"/>
      </w:pPr>
      <w:r>
        <w:rPr>
          <w:color w:val="8C8C8C"/>
          <w:sz w:val="12"/>
        </w:rPr>
        <w:t>cf-art-150-inc-I</w:t>
      </w:r>
      <w:r>
        <w:rPr>
          <w:color w:val="003CA0"/>
          <w:sz w:val="12"/>
        </w:rPr>
        <w:t xml:space="preserve"> | RE 191.044</w:t>
      </w:r>
      <w:r>
        <w:rPr>
          <w:color w:val="003CA0"/>
          <w:sz w:val="12"/>
        </w:rPr>
        <w:t xml:space="preserve"> | rel. Carlos Velloso</w:t>
      </w:r>
    </w:p>
    <w:p>
      <w:pPr>
        <w:ind w:left="288"/>
      </w:pPr>
      <w:r>
        <w:rPr>
          <w:color w:val="1E1E1E"/>
          <w:sz w:val="18"/>
        </w:rPr>
        <w:t xml:space="preserve">Contribuição. IBC [Instituto Brasileiro do Café]. Café: exportação: cota de contribuição: DL 2.295, de 21-11-1986, arts. 3º e 4º. CF, 1967, art. 21, § 2º, I; CF, 1988, art. 149. Não recepção, pela CF/1988, da cota de contribuição nas exportações de café, dado que a CF/1988 sujeitou as contribuições de intervenção à lei complementar do art. 146, III, aos princípios da legalidade (CF, art. 150, I), da irretroatividade (art. 150, III, a) e da anterioridade (art. 150, III, b). No caso, interessa afirmar que a delegação inscrita no art. 4º do DL 2.295/1986 não é admitida pela CF/1988, art. 150, I, </w:t>
      </w:r>
    </w:p>
    <w:p>
      <w:pPr>
        <w:ind w:left="288"/>
      </w:pPr>
      <w:r>
        <w:rPr>
          <w:b/>
          <w:color w:val="003CA0"/>
          <w:sz w:val="16"/>
        </w:rPr>
        <w:t>[RE 191.044, rel. min. Carlos Velloso, j. 18-9-1997, P, DJ de 31-10-1997.]</w:t>
      </w:r>
    </w:p>
    <w:p>
      <w:pPr>
        <w:ind w:left="288"/>
      </w:pPr>
      <w:r>
        <w:rPr>
          <w:color w:val="8C8C8C"/>
          <w:sz w:val="12"/>
        </w:rPr>
        <w:t>cf-art-150-inc-I</w:t>
      </w:r>
      <w:r>
        <w:rPr>
          <w:color w:val="003CA0"/>
          <w:sz w:val="12"/>
        </w:rPr>
        <w:t xml:space="preserve"> | RE 182.971</w:t>
      </w:r>
      <w:r>
        <w:rPr>
          <w:color w:val="003CA0"/>
          <w:sz w:val="12"/>
        </w:rPr>
        <w:t xml:space="preserve"> | rel. Ilmar Galvão</w:t>
      </w:r>
    </w:p>
    <w:p>
      <w:pPr>
        <w:ind w:left="288"/>
      </w:pPr>
      <w:r>
        <w:rPr>
          <w:color w:val="1E1E1E"/>
          <w:sz w:val="18"/>
        </w:rPr>
        <w:t>Não se compreendendo no campo reservado à lei a definição de vencimento das obrigações tributárias, legítimo o Decreto 34.677/1992, que modificou a data de vencimento do ICMS. Improcedência da alegação no sentido de infringência ao princípio da anterioridade e da vedação de delegação legislativa.</w:t>
      </w:r>
    </w:p>
    <w:p>
      <w:pPr>
        <w:ind w:left="288"/>
      </w:pPr>
      <w:r>
        <w:rPr>
          <w:b/>
          <w:color w:val="003CA0"/>
          <w:sz w:val="16"/>
        </w:rPr>
        <w:t>[RE 182.971, rel. min. Ilmar Galvão, j. 5-8-1997, 1ª T, DJ de 31-10-1997.]</w:t>
      </w:r>
    </w:p>
    <w:p>
      <w:pPr>
        <w:ind w:left="288"/>
      </w:pPr>
      <w:r>
        <w:rPr>
          <w:color w:val="8C8C8C"/>
          <w:sz w:val="12"/>
        </w:rPr>
        <w:t>cf-art-150-inc-I</w:t>
      </w:r>
      <w:r>
        <w:rPr>
          <w:color w:val="003CA0"/>
          <w:sz w:val="12"/>
        </w:rPr>
        <w:t xml:space="preserve"> | RE 188.107</w:t>
      </w:r>
      <w:r>
        <w:rPr>
          <w:color w:val="003CA0"/>
          <w:sz w:val="12"/>
        </w:rPr>
        <w:t xml:space="preserve"> | rel. Carlos Velloso</w:t>
      </w:r>
    </w:p>
    <w:p>
      <w:pPr>
        <w:ind w:left="288"/>
      </w:pPr>
      <w:r>
        <w:rPr>
          <w:color w:val="1E1E1E"/>
          <w:sz w:val="18"/>
        </w:rPr>
        <w:t>Licença ou Guia de Importação ou documento equivalente: a alteração do art. 10 da Lei 2.145, de 1953, pela Lei 8.387, de 1991, não mudou a natureza jurídica do crédito remunerador da atividade estatal específica, o exercício do poder de polícia administrativa, de taxa para preço público. Ofensa ao princípio da legalidade tributária, CF, art. 150, I, e CTN, art. 97, IV, dado que a lei não fixa a base de cálculo nem a alíquota.</w:t>
      </w:r>
    </w:p>
    <w:p>
      <w:pPr>
        <w:ind w:left="288"/>
      </w:pPr>
      <w:r>
        <w:rPr>
          <w:b/>
          <w:color w:val="003CA0"/>
          <w:sz w:val="16"/>
        </w:rPr>
        <w:t>[RE 188.107, rel. min. Carlos Velloso, j. 20-3-1997, P, DJ de 30-5-1997.]</w:t>
      </w:r>
    </w:p>
    <w:p>
      <w:pPr>
        <w:ind w:left="288"/>
      </w:pPr>
      <w:r>
        <w:rPr>
          <w:color w:val="8C8C8C"/>
          <w:sz w:val="12"/>
        </w:rPr>
        <w:t>cf-art-150-inc-I</w:t>
      </w:r>
      <w:r>
        <w:rPr>
          <w:color w:val="003CA0"/>
          <w:sz w:val="12"/>
        </w:rPr>
        <w:t xml:space="preserve"> | RE 154.273-0</w:t>
      </w:r>
      <w:r>
        <w:rPr>
          <w:color w:val="003CA0"/>
          <w:sz w:val="12"/>
        </w:rPr>
        <w:t xml:space="preserve"> | rel. Marco Aurélio</w:t>
      </w:r>
    </w:p>
    <w:p>
      <w:pPr>
        <w:ind w:left="288"/>
      </w:pPr>
      <w:r>
        <w:rPr>
          <w:color w:val="1E1E1E"/>
          <w:sz w:val="18"/>
        </w:rPr>
        <w:t>(...) o disposto no art. 109 da Lei 6.374/1989 não implicou delegação incompatível com a Carta de 1988, tampouco importando em violência aos princípios da legalidade e da não cumulatividade a previsão sobre a incidência da correção monetária antes de o tributo tornar-se exigível. Precedentes: RE 154.273-0/SP e RE 172.394-7/SP (...). A disciplina da atualização dos tributos está compreendida na previsão do inciso I do art. 24 da CF, cabendo, concorrentemente, à União, aos Estados e ao Distrito Federal.</w:t>
      </w:r>
    </w:p>
    <w:p>
      <w:pPr>
        <w:ind w:left="288"/>
      </w:pPr>
      <w:r>
        <w:rPr>
          <w:b/>
          <w:color w:val="003CA0"/>
          <w:sz w:val="16"/>
        </w:rPr>
        <w:t>[RE 196.341 AgR, rel. min. Marco Aurélio, j. 6-8-1996, 2ª T, DJ de 19-12-1996.]</w:t>
      </w:r>
    </w:p>
    <w:p>
      <w:pPr>
        <w:ind w:left="288"/>
      </w:pPr>
      <w:r>
        <w:rPr>
          <w:color w:val="8C8C8C"/>
          <w:sz w:val="12"/>
        </w:rPr>
        <w:t>cf-art-150-inc-I</w:t>
      </w:r>
      <w:r>
        <w:rPr>
          <w:color w:val="003CA0"/>
          <w:sz w:val="12"/>
        </w:rPr>
        <w:t xml:space="preserve"> | RE 148.331</w:t>
      </w:r>
      <w:r>
        <w:rPr>
          <w:color w:val="003CA0"/>
          <w:sz w:val="12"/>
        </w:rPr>
        <w:t xml:space="preserve"> | rel. Celso de Mello</w:t>
      </w:r>
    </w:p>
    <w:p>
      <w:pPr>
        <w:ind w:left="288"/>
      </w:pPr>
      <w:r>
        <w:rPr>
          <w:color w:val="1E1E1E"/>
          <w:sz w:val="18"/>
        </w:rPr>
        <w:t>A qualificação jurídica da exação instituída pela Lei 7.689/1988 nela permite identificar espécie tributária que, embora não se reduzindo a dimensão conceitual do imposto, traduz típica contribuição social, constitucionalmente vinculada ao financiamento da seguridade social. Tributo vinculado, com destinação constitucional específica (CF, art. 195, I), essa contribuição social sujeita-se, entre outras, às limitações instituídas pelo art. 150, I e III, a, da Carta Política, que consagra, como instrumentos de proteção jurídica do contribuinte, os postulados fundamentais da reserva legal e da irr</w:t>
      </w:r>
    </w:p>
    <w:p>
      <w:pPr>
        <w:ind w:left="288"/>
      </w:pPr>
      <w:r>
        <w:rPr>
          <w:b/>
          <w:color w:val="003CA0"/>
          <w:sz w:val="16"/>
        </w:rPr>
        <w:t>[RE 148.331, rel. min. Celso de Mello, j. 13-10-1992, 1ª T, DJ de 18-12-1992.]</w:t>
      </w:r>
    </w:p>
    <w:p>
      <w:pPr>
        <w:ind w:left="288"/>
      </w:pPr>
      <w:r>
        <w:rPr>
          <w:color w:val="8C8C8C"/>
          <w:sz w:val="12"/>
        </w:rPr>
        <w:t>cf-art-150-inc-I</w:t>
      </w:r>
      <w:r>
        <w:rPr>
          <w:color w:val="003CA0"/>
          <w:sz w:val="12"/>
        </w:rPr>
        <w:t xml:space="preserve"> | RE 486.175</w:t>
      </w:r>
      <w:r>
        <w:rPr>
          <w:color w:val="003CA0"/>
          <w:sz w:val="12"/>
        </w:rPr>
        <w:t xml:space="preserve"> | rel. Gilmar Mendes</w:t>
      </w:r>
    </w:p>
    <w:p>
      <w:pPr>
        <w:ind w:left="288"/>
      </w:pPr>
      <w:r>
        <w:rPr>
          <w:color w:val="1E1E1E"/>
          <w:sz w:val="18"/>
        </w:rPr>
        <w:t>II - instituir tratamento desigual entre contribuintes que se encontrem em situação equivalente, proibida qualquer distinção em razão de ocupação profissional ou função por eles exercida, independentemente da denominação jurídica dos rendimentos, títulos ou direitos; Lei n. 13.711/2011 do Estado do Rio Grande do Sul. Modificação legislativa. Conhecimento parcial. Regime especial de fiscalização. ICMS. Devedores contumazes. Reserva de lei complementar. Inexistência. Princípios da legalidade, da isonomia tributária e da liberdade de trabalho e comércio. Violação. Ausência. Sanção política não co</w:t>
      </w:r>
    </w:p>
    <w:p>
      <w:pPr>
        <w:ind w:left="288"/>
      </w:pPr>
      <w:r>
        <w:rPr>
          <w:b/>
          <w:color w:val="003CA0"/>
          <w:sz w:val="16"/>
        </w:rPr>
        <w:t>[ADI 4.854, rel. min. Nunes Marques, j. 25.08.2025, P, DJE de 26.09.2025.]</w:t>
      </w:r>
    </w:p>
    <w:p>
      <w:pPr>
        <w:ind w:left="288"/>
      </w:pPr>
      <w:r>
        <w:rPr>
          <w:color w:val="8C8C8C"/>
          <w:sz w:val="12"/>
        </w:rPr>
        <w:t>cf-art-150-inc-I</w:t>
      </w:r>
      <w:r>
        <w:rPr>
          <w:color w:val="003CA0"/>
          <w:sz w:val="12"/>
        </w:rPr>
        <w:t xml:space="preserve"> | ADI 5.894</w:t>
      </w:r>
      <w:r>
        <w:rPr>
          <w:color w:val="003CA0"/>
          <w:sz w:val="12"/>
        </w:rPr>
        <w:t xml:space="preserve"> | rel. André Mendonça</w:t>
      </w:r>
    </w:p>
    <w:p>
      <w:pPr>
        <w:ind w:left="288"/>
      </w:pPr>
      <w:r>
        <w:rPr>
          <w:color w:val="1E1E1E"/>
          <w:sz w:val="18"/>
        </w:rPr>
        <w:t xml:space="preserve">Lavratura formal de partilha ou elaborada a carta de adjudicação e da expedição de alvará dos bens. Trânsito em julgado da sentença de homologação de partilha ou de adjudicação. Comprovação da quitação do Imposto sobre Transmissão Causa Mortis ou de Doação (ITCMD). (...) Não há afronta ao princípio constitucional da isonomia tributária, positivado no art. 150, inc. II, da Constituição da República. No caso dos autos, o art. 659, § 2º, do CPC não dispõe sobre hipótese de incidência de imposto, mas, sim, acerca de procedimento de natureza sumária. Logo, não se versa sobre tratamento tributário, </w:t>
      </w:r>
    </w:p>
    <w:p>
      <w:pPr>
        <w:ind w:left="288"/>
      </w:pPr>
      <w:r>
        <w:rPr>
          <w:b/>
          <w:color w:val="003CA0"/>
          <w:sz w:val="16"/>
        </w:rPr>
        <w:t>[ADI 5.894, rel. min. André Mendonça, j. 25.04.2025, P, DJE de 23.06.2025.]</w:t>
      </w:r>
    </w:p>
    <w:p>
      <w:pPr>
        <w:ind w:left="288"/>
      </w:pPr>
      <w:r>
        <w:rPr>
          <w:color w:val="8C8C8C"/>
          <w:sz w:val="12"/>
        </w:rPr>
        <w:t>cf-art-150-inc-I</w:t>
      </w:r>
      <w:r>
        <w:rPr>
          <w:color w:val="003CA0"/>
          <w:sz w:val="12"/>
        </w:rPr>
        <w:t xml:space="preserve"> | ADI 5.127</w:t>
      </w:r>
      <w:r>
        <w:rPr>
          <w:color w:val="003CA0"/>
          <w:sz w:val="12"/>
        </w:rPr>
        <w:t xml:space="preserve"> | rel. Nunes Marques</w:t>
      </w:r>
    </w:p>
    <w:p>
      <w:pPr>
        <w:ind w:left="288"/>
      </w:pPr>
      <w:r>
        <w:rPr>
          <w:color w:val="1E1E1E"/>
          <w:sz w:val="18"/>
        </w:rPr>
        <w:t>No julgamento da ADI 5.127, o Supremo firmou o entendimento pela indispensável pertinência temática entre o objeto da emenda parlamentar e o texto originário da medida provisória. A ampliação do escopo da medida provisória por meio de projeto de lei de conversão, no âmbito do Poder Legislativo, não resulta em inconstitucionalidade formal, desde que guardada a afinidade de matérias e observado o devido processo legislativo. A instituição das Zonas de Processamento de Exportação (ZPEs) representa política pública com nítido caráter extrafiscal, direcionada à concretização dos objetivos fundament</w:t>
      </w:r>
    </w:p>
    <w:p>
      <w:pPr>
        <w:ind w:left="288"/>
      </w:pPr>
      <w:r>
        <w:rPr>
          <w:b/>
          <w:color w:val="003CA0"/>
          <w:sz w:val="16"/>
        </w:rPr>
        <w:t>[ADI 7.174, rel. min. Nunes Marques, j. 29.11.2024, P, DJE de 18.12.2024.]</w:t>
      </w:r>
    </w:p>
    <w:p>
      <w:pPr>
        <w:ind w:left="144"/>
      </w:pPr>
      <w:r>
        <w:rPr>
          <w:b/>
          <w:color w:val="B45A00"/>
          <w:sz w:val="16"/>
        </w:rPr>
        <w:t>CONTROLE CONCENTRADO</w:t>
      </w:r>
    </w:p>
    <w:p>
      <w:pPr>
        <w:ind w:left="288"/>
      </w:pPr>
      <w:r>
        <w:rPr>
          <w:color w:val="8C8C8C"/>
          <w:sz w:val="12"/>
        </w:rPr>
        <w:t>cf-art-150-inc-I</w:t>
      </w:r>
      <w:r>
        <w:rPr>
          <w:color w:val="003CA0"/>
          <w:sz w:val="12"/>
        </w:rPr>
        <w:t xml:space="preserve"> | ADI 5.586</w:t>
      </w:r>
      <w:r>
        <w:rPr>
          <w:color w:val="003CA0"/>
          <w:sz w:val="12"/>
        </w:rPr>
        <w:t xml:space="preserve"> | rel. Rosa Weber</w:t>
      </w:r>
    </w:p>
    <w:p>
      <w:pPr>
        <w:ind w:left="288"/>
      </w:pPr>
      <w:r>
        <w:rPr>
          <w:color w:val="1E1E1E"/>
          <w:sz w:val="18"/>
        </w:rPr>
        <w:t>Regime Especial de Regularização Cambial e Tributária (RERCT) de bens e direitos de origem lícita, não declarados ou declarados incorretamente, remetidos, mantidos no exterior ou repatriados por residentes e domiciliados no país. (...) Inexiste ofensa ao princípio da igualdade em matéria tributária ao vedar-se adesão de agentes públicos com funções de direção e eletivas adesão ao RERCT, com previsão de anistia tributária e penal, como é o caso do art. 11 da Lei 13.254, de 13 de janeiro de 2016. Agentes públicos submetem-se, em certos aspectos, a regime jurídico mais rigoroso do que o aplicável</w:t>
      </w:r>
    </w:p>
    <w:p>
      <w:pPr>
        <w:ind w:left="288"/>
      </w:pPr>
      <w:r>
        <w:rPr>
          <w:b/>
          <w:color w:val="003CA0"/>
          <w:sz w:val="16"/>
        </w:rPr>
        <w:t>[ADI 4.254, rel. min. Alexandre de Moraes, j. 24-8-2020, P, DJE de 17-9-2020.]</w:t>
      </w:r>
    </w:p>
    <w:p>
      <w:pPr>
        <w:ind w:left="288"/>
      </w:pPr>
      <w:r>
        <w:rPr>
          <w:color w:val="8C8C8C"/>
          <w:sz w:val="12"/>
        </w:rPr>
        <w:t>cf-art-150-inc-I</w:t>
      </w:r>
      <w:r>
        <w:rPr>
          <w:color w:val="003CA0"/>
          <w:sz w:val="12"/>
        </w:rPr>
        <w:t xml:space="preserve"> | ADI 3.984</w:t>
      </w:r>
      <w:r>
        <w:rPr>
          <w:color w:val="003CA0"/>
          <w:sz w:val="12"/>
        </w:rPr>
        <w:t xml:space="preserve"> | rel. Luiz Fux</w:t>
      </w:r>
    </w:p>
    <w:p>
      <w:pPr>
        <w:ind w:left="288"/>
      </w:pPr>
      <w:r>
        <w:rPr>
          <w:color w:val="1E1E1E"/>
          <w:sz w:val="18"/>
        </w:rPr>
        <w:t>A isonomia tributária e a vedação constitucional à discriminação segundo a procedência ou o destino de bens e serviços (artigos 150, II, e 152 da CRFB/88) tornam inválidas as distinções em razão do local em que se situa o estabelecimento do contribuinte ou em que produzida a mercadoria, máxime nas hipóteses nas quais, sem qualquer base axiológica no postulado da razoabilidade, se engendra tratamento diferenciado.</w:t>
      </w:r>
    </w:p>
    <w:p>
      <w:pPr>
        <w:ind w:left="288"/>
      </w:pPr>
      <w:r>
        <w:rPr>
          <w:b/>
          <w:color w:val="003CA0"/>
          <w:sz w:val="16"/>
        </w:rPr>
        <w:t>[ADI 3.984, rel. min. Luiz Fux, j. 30-8-2019, P, DJE de 23-9-2019.]</w:t>
      </w:r>
    </w:p>
    <w:p>
      <w:pPr>
        <w:ind w:left="288"/>
      </w:pPr>
      <w:r>
        <w:rPr>
          <w:color w:val="8C8C8C"/>
          <w:sz w:val="12"/>
        </w:rPr>
        <w:t>cf-art-150-inc-I</w:t>
      </w:r>
      <w:r>
        <w:rPr>
          <w:color w:val="003CA0"/>
          <w:sz w:val="12"/>
        </w:rPr>
        <w:t xml:space="preserve"> | ADI 4.276</w:t>
      </w:r>
      <w:r>
        <w:rPr>
          <w:color w:val="003CA0"/>
          <w:sz w:val="12"/>
        </w:rPr>
        <w:t xml:space="preserve"> | rel. Luiz Fux</w:t>
      </w:r>
    </w:p>
    <w:p>
      <w:pPr>
        <w:ind w:left="288"/>
      </w:pPr>
      <w:r>
        <w:rPr>
          <w:color w:val="1E1E1E"/>
          <w:sz w:val="18"/>
        </w:rPr>
        <w:t>Concessão de isenção à operação de aquisição de automóveis por oficiais de justiça estaduais. (...) A isonomia tributária (CF, art. 150, II) torna inválidas as distinções entre contribuintes "em razão de ocupação profissional ou função por eles exercida", máxime nas hipóteses nas quais, sem qualquer base axiológica no postulado da razoabilidade, engendra-se tratamento discriminatório em benefício da categoria dos oficiais de justiça estaduais.</w:t>
      </w:r>
    </w:p>
    <w:p>
      <w:pPr>
        <w:ind w:left="288"/>
      </w:pPr>
      <w:r>
        <w:rPr>
          <w:b/>
          <w:color w:val="003CA0"/>
          <w:sz w:val="16"/>
        </w:rPr>
        <w:t>[ADI 4.276, rel. min. Luiz Fux, j. 20-8-2014, P, DJE de 18-9-2014.]</w:t>
      </w:r>
    </w:p>
    <w:p>
      <w:pPr>
        <w:ind w:left="288"/>
      </w:pPr>
      <w:r>
        <w:rPr>
          <w:color w:val="8C8C8C"/>
          <w:sz w:val="12"/>
        </w:rPr>
        <w:t>cf-art-150-inc-I</w:t>
      </w:r>
      <w:r>
        <w:rPr>
          <w:color w:val="003CA0"/>
          <w:sz w:val="12"/>
        </w:rPr>
        <w:t xml:space="preserve"> | ADI 3.260</w:t>
      </w:r>
      <w:r>
        <w:rPr>
          <w:color w:val="003CA0"/>
          <w:sz w:val="12"/>
        </w:rPr>
        <w:t xml:space="preserve"> | rel. Eros Grau</w:t>
      </w:r>
    </w:p>
    <w:p>
      <w:pPr>
        <w:ind w:left="288"/>
      </w:pPr>
      <w:r>
        <w:rPr>
          <w:color w:val="1E1E1E"/>
          <w:sz w:val="18"/>
        </w:rPr>
        <w:t>A lei complementar estadual que isenta os membros do Ministério Público do pagamento de custas judiciais, notariais, cartorárias e quaisquer taxas ou emolumentos fere o disposto no art. 150, II, da Constituição do Brasil. O Texto Constitucional consagra o princípio da igualdade de tratamento aos contribuintes.</w:t>
      </w:r>
    </w:p>
    <w:p>
      <w:pPr>
        <w:ind w:left="288"/>
      </w:pPr>
      <w:r>
        <w:rPr>
          <w:b/>
          <w:color w:val="003CA0"/>
          <w:sz w:val="16"/>
        </w:rPr>
        <w:t>[ADI 3.260, rel. min. Eros Grau, j. 29-3-2007, P, DJ de 29-6-2007.]</w:t>
      </w:r>
    </w:p>
    <w:p>
      <w:pPr>
        <w:ind w:left="288"/>
      </w:pPr>
      <w:r>
        <w:rPr>
          <w:color w:val="8C8C8C"/>
          <w:sz w:val="12"/>
        </w:rPr>
        <w:t>cf-art-150-inc-I</w:t>
      </w:r>
      <w:r>
        <w:rPr>
          <w:color w:val="003CA0"/>
          <w:sz w:val="12"/>
        </w:rPr>
        <w:t xml:space="preserve"> | ADI 3.334</w:t>
      </w:r>
      <w:r>
        <w:rPr>
          <w:color w:val="003CA0"/>
          <w:sz w:val="12"/>
        </w:rPr>
        <w:t xml:space="preserve"> | rel. Ricardo Lewandowski</w:t>
      </w:r>
    </w:p>
    <w:p>
      <w:pPr>
        <w:ind w:left="288"/>
      </w:pPr>
      <w:r>
        <w:rPr>
          <w:color w:val="1E1E1E"/>
          <w:sz w:val="18"/>
        </w:rPr>
        <w:t>= ADI 3.334, rel. min. Ricardo Lewandowski, j. 17-3-2011, P, DJE de 5-4-2011 Ação direta de inconstitucionalidade. Art. 3º da Lei 7.940, de 20-12-1989, que considerou os auditores independentes como contribuintes da taxa de fiscalização dos mercados de títulos e valores mobiliários. Ausência de violação ao princípio da isonomia, haja vista o diploma legal em tela ter estabelecido valores específicos para cada faixa de contribuintes, sendo estes fixados segundo a capacidade contributiva de cada profissional. Taxa que corresponde ao poder de polícia exercido pela Comissão de Valores Mobiliários,</w:t>
      </w:r>
    </w:p>
    <w:p>
      <w:pPr>
        <w:ind w:left="288"/>
      </w:pPr>
      <w:r>
        <w:rPr>
          <w:b/>
          <w:color w:val="003CA0"/>
          <w:sz w:val="16"/>
        </w:rPr>
        <w:t>[ADI 453, rel. min. Gilmar Mendes, j. 30-8-2006, P, DJ de 16-3-2007.]</w:t>
      </w:r>
    </w:p>
    <w:p>
      <w:pPr>
        <w:ind w:left="288"/>
      </w:pPr>
      <w:r>
        <w:rPr>
          <w:color w:val="8C8C8C"/>
          <w:sz w:val="12"/>
        </w:rPr>
        <w:t>cf-art-150-inc-I</w:t>
      </w:r>
      <w:r>
        <w:rPr>
          <w:color w:val="003CA0"/>
          <w:sz w:val="12"/>
        </w:rPr>
        <w:t xml:space="preserve"> | ADI 3.105</w:t>
      </w:r>
      <w:r>
        <w:rPr>
          <w:color w:val="003CA0"/>
          <w:sz w:val="12"/>
        </w:rPr>
        <w:t xml:space="preserve"> | rel. Cezar Peluso</w:t>
      </w:r>
    </w:p>
    <w:p>
      <w:pPr>
        <w:ind w:left="288"/>
      </w:pPr>
      <w:r>
        <w:rPr>
          <w:color w:val="1E1E1E"/>
          <w:sz w:val="18"/>
        </w:rPr>
        <w:t>Emenda constitucional (EC 41/2003, art. 4º, parágrafo único, I e II). Servidor público. Vencimentos. Proventos de aposentadoria e pensões. Sujeição à incidência de contribuição previdenciária. Bases de cálculo diferenciadas. Arbitrariedade. Tratamento discriminatório entre servidores e pensionistas da União, de um lado, e servidores e pensionistas dos Estados, do Distrito Federal e dos Municípios, de outro. Ofensa ao princípio constitucional da isonomia tributária, que é particularização do princípio fundamental da igualdade.</w:t>
      </w:r>
    </w:p>
    <w:p>
      <w:pPr>
        <w:ind w:left="288"/>
      </w:pPr>
      <w:r>
        <w:rPr>
          <w:b/>
          <w:color w:val="003CA0"/>
          <w:sz w:val="16"/>
        </w:rPr>
        <w:t>[ADI 3.105, rel. min. Cezar Peluso, j. 18-8-2004, P, DJ de 18-2-2005.]</w:t>
      </w:r>
    </w:p>
    <w:p>
      <w:pPr>
        <w:ind w:left="288"/>
      </w:pPr>
      <w:r>
        <w:rPr>
          <w:color w:val="8C8C8C"/>
          <w:sz w:val="12"/>
        </w:rPr>
        <w:t>cf-art-150-inc-I</w:t>
      </w:r>
      <w:r>
        <w:rPr>
          <w:color w:val="003CA0"/>
          <w:sz w:val="12"/>
        </w:rPr>
        <w:t xml:space="preserve"> | ADI 3.188</w:t>
      </w:r>
      <w:r>
        <w:rPr>
          <w:color w:val="003CA0"/>
          <w:sz w:val="12"/>
        </w:rPr>
        <w:t xml:space="preserve"> | rel. Ayres Britto</w:t>
      </w:r>
    </w:p>
    <w:p>
      <w:pPr>
        <w:ind w:left="288"/>
      </w:pPr>
      <w:r>
        <w:rPr>
          <w:color w:val="1E1E1E"/>
          <w:sz w:val="18"/>
        </w:rPr>
        <w:t>= ADI 3.188, rel. min. Ayres Britto, j. 18-10-2006, P, DJ de 17-11-2006 Ao instituir incentivos fiscais a empresas que contratam empregados com mais de quarenta anos, a Assembleia Legislativa paulista usou o caráter extrafiscal que pode ser conferido aos tributos, para estimular conduta por parte do contribuinte, sem violar os princípios da igualdade e da isonomia. Procede a alegação de inconstitucionalidade do item 1 do § 2º do art. 1º da Lei 9.085, de 17-2-1995, do Estado de São Paulo, por violação ao disposto no art. 155, § 2º, XII, g, da CF. Em diversas ocasiões, este Supremo Tribunal já s</w:t>
      </w:r>
    </w:p>
    <w:p>
      <w:pPr>
        <w:ind w:left="288"/>
      </w:pPr>
      <w:r>
        <w:rPr>
          <w:b/>
          <w:color w:val="003CA0"/>
          <w:sz w:val="16"/>
        </w:rPr>
        <w:t>[ADI 1.276, rel. min. Ellen Gracie, j. 28-8-2002, P, DJ de 29-11-2002.]</w:t>
      </w:r>
    </w:p>
    <w:p>
      <w:pPr>
        <w:ind w:left="288"/>
      </w:pPr>
      <w:r>
        <w:rPr>
          <w:color w:val="8C8C8C"/>
          <w:sz w:val="12"/>
        </w:rPr>
        <w:t>cf-art-150-inc-I</w:t>
      </w:r>
      <w:r>
        <w:rPr>
          <w:color w:val="003CA0"/>
          <w:sz w:val="12"/>
        </w:rPr>
        <w:t xml:space="preserve"> | ADI 1.600</w:t>
      </w:r>
      <w:r>
        <w:rPr>
          <w:color w:val="003CA0"/>
          <w:sz w:val="12"/>
        </w:rPr>
        <w:t xml:space="preserve"> | rel. Sydney Sanches</w:t>
      </w:r>
    </w:p>
    <w:p>
      <w:pPr>
        <w:ind w:left="288"/>
      </w:pPr>
      <w:r>
        <w:rPr>
          <w:color w:val="1E1E1E"/>
          <w:sz w:val="18"/>
        </w:rPr>
        <w:t>LC 87/1996. ICMS e sua instituição. Arts. 150, II; 155, § 2º, VII, a, e VIII, CF. (...) Operações de tráfego aéreo internacional. Transporte aéreo internacional de cargas. Tributação das empresas nacionais. Quanto às empresas estrangeiras, valem os acordos internacionais. Reciprocidade. Viagens nacional ou internacional. Diferença de tratamento. Ausência de normas de solução de conflitos de competência entre as unidades federadas. Âmbito de aplicação do art. 151, CF, é o das relações das entidades federadas entre si. Não tem por objeto a União quando esta se apresenta na ordem externa. Não inc</w:t>
      </w:r>
    </w:p>
    <w:p>
      <w:pPr>
        <w:ind w:left="288"/>
      </w:pPr>
      <w:r>
        <w:rPr>
          <w:b/>
          <w:color w:val="003CA0"/>
          <w:sz w:val="16"/>
        </w:rPr>
        <w:t>[ADI 1.600, rel. min. Sydney Sanches, j. 26-11-2001, P, DJ de 20-6-2003.]</w:t>
      </w:r>
    </w:p>
    <w:p>
      <w:pPr>
        <w:ind w:left="288"/>
      </w:pPr>
      <w:r>
        <w:rPr>
          <w:color w:val="8C8C8C"/>
          <w:sz w:val="12"/>
        </w:rPr>
        <w:t>cf-art-150-inc-I</w:t>
      </w:r>
      <w:r>
        <w:rPr>
          <w:color w:val="003CA0"/>
          <w:sz w:val="12"/>
        </w:rPr>
        <w:t xml:space="preserve"> | ADI 447</w:t>
      </w:r>
      <w:r>
        <w:rPr>
          <w:color w:val="003CA0"/>
          <w:sz w:val="12"/>
        </w:rPr>
        <w:t xml:space="preserve"> | rel. Octavio Gallotti</w:t>
      </w:r>
    </w:p>
    <w:p>
      <w:pPr>
        <w:ind w:left="288"/>
      </w:pPr>
      <w:r>
        <w:rPr>
          <w:color w:val="1E1E1E"/>
          <w:sz w:val="18"/>
        </w:rPr>
        <w:t>Dou destaque a um princípio constitucional limitador da tributação, o princípio da igualdade tributária, que está inscrito no art. 150, II, da Constituição. Esse princípio se realiza, lembra Geraldo Ataliba, no tocante aos impostos, mediante a observância da capacidade contributiva (CF, art. 145, § 1º); quanto às contribuições, por meio da "proporcionalidade entre o efeito da ação estatal (o seu reflexo no patrimônio dos particulares) e o seu custo", ou, noutras palavras, por meio da proporcionalidade entre o custo da obra pública e a valorização que esta trouxe para o imóvel do particular; e,</w:t>
      </w:r>
    </w:p>
    <w:p>
      <w:pPr>
        <w:ind w:left="288"/>
      </w:pPr>
      <w:r>
        <w:rPr>
          <w:b/>
          <w:color w:val="003CA0"/>
          <w:sz w:val="16"/>
        </w:rPr>
        <w:t>[ADI 447, rel. min. Octavio Gallotti, voto do min. Carlos Velloso, j. 5-6-1991, P, DJ de 5-3-1993.]</w:t>
      </w:r>
    </w:p>
    <w:p>
      <w:pPr>
        <w:ind w:left="144"/>
      </w:pPr>
      <w:r>
        <w:rPr>
          <w:b/>
          <w:color w:val="B45A00"/>
          <w:sz w:val="16"/>
        </w:rPr>
        <w:t>REPERCUSSAO GERAL</w:t>
      </w:r>
    </w:p>
    <w:p>
      <w:pPr>
        <w:ind w:left="288"/>
      </w:pPr>
      <w:r>
        <w:rPr>
          <w:color w:val="8C8C8C"/>
          <w:sz w:val="12"/>
        </w:rPr>
        <w:t>cf-art-150-inc-I</w:t>
      </w:r>
      <w:r>
        <w:rPr>
          <w:color w:val="003CA0"/>
          <w:sz w:val="12"/>
        </w:rPr>
        <w:t xml:space="preserve"> | RE 1.356.271</w:t>
      </w:r>
      <w:r>
        <w:rPr>
          <w:color w:val="003CA0"/>
          <w:sz w:val="12"/>
        </w:rPr>
        <w:t xml:space="preserve"> | rel. Luiz Fux</w:t>
      </w:r>
    </w:p>
    <w:p>
      <w:pPr>
        <w:ind w:left="288"/>
      </w:pPr>
      <w:r>
        <w:rPr>
          <w:color w:val="1E1E1E"/>
          <w:sz w:val="18"/>
        </w:rPr>
        <w:t>É infraconstitucional, a ela se aplicando os efeitos da ausência de repercussão geral, a controvérsia relativa à impossibilidade de compensação de créditos tributários com débitos relativos ao recolhimento mensal por estimativa do Imposto sobre a Renda das Pessoas Jurídicas - IRPJ e da Contribuição Social sobre o Lucro Líquido - CSLL.</w:t>
      </w:r>
    </w:p>
    <w:p>
      <w:pPr>
        <w:ind w:left="288"/>
      </w:pPr>
      <w:r>
        <w:rPr>
          <w:b/>
          <w:color w:val="003CA0"/>
          <w:sz w:val="16"/>
        </w:rPr>
        <w:t>[RE 1.356.271 RG, rel. min. Luiz Fux, j. 17-2-2022, P, DJE de 23-3-2022, Tema 1.197, com repercussão geral negada.]</w:t>
      </w:r>
    </w:p>
    <w:p>
      <w:pPr>
        <w:ind w:left="288"/>
      </w:pPr>
      <w:r>
        <w:rPr>
          <w:color w:val="8C8C8C"/>
          <w:sz w:val="12"/>
        </w:rPr>
        <w:t>cf-art-150-inc-I</w:t>
      </w:r>
      <w:r>
        <w:rPr>
          <w:color w:val="003CA0"/>
          <w:sz w:val="12"/>
        </w:rPr>
        <w:t xml:space="preserve"> | RE 1.178.310</w:t>
      </w:r>
      <w:r>
        <w:rPr>
          <w:color w:val="003CA0"/>
          <w:sz w:val="12"/>
        </w:rPr>
        <w:t xml:space="preserve"> | rel. Marco Aurélio</w:t>
      </w:r>
    </w:p>
    <w:p>
      <w:pPr>
        <w:ind w:left="288"/>
      </w:pPr>
      <w:r>
        <w:rPr>
          <w:color w:val="1E1E1E"/>
          <w:sz w:val="18"/>
        </w:rPr>
        <w:t>“I- É constitucional o adicional de alíquota da Cofins-Importação previsto no § 21 do artigo 8º da Lei nº 10.865/2004; (...)”</w:t>
        <w:br/>
        <w:t>[RE 1.178.310, rel. min. Marco Aurélio, red. do ac. min. Alexandre de Moraes, j. 16-9-2020, P, DJE de 5-10-2020, Tema 1.047, com mérito julgado.] É constitucional a previsão em lei ordinária que introduz a sistemática da não-cumulatividade à COFINS dado que observa os princípios da legalidade, isonomia, capacidade contributiva global e não-confisco.</w:t>
      </w:r>
    </w:p>
    <w:p>
      <w:pPr>
        <w:ind w:left="288"/>
      </w:pPr>
      <w:r>
        <w:rPr>
          <w:b/>
          <w:color w:val="003CA0"/>
          <w:sz w:val="16"/>
        </w:rPr>
        <w:t>[RE 570.122, red. do ac. min. Edson Fachin, j. 2-9-2020, P, DJE de 5-12-2020, RG, Tema 34, com mérito julgado.]</w:t>
      </w:r>
    </w:p>
    <w:p>
      <w:pPr>
        <w:ind w:left="288"/>
      </w:pPr>
      <w:r>
        <w:rPr>
          <w:color w:val="8C8C8C"/>
          <w:sz w:val="12"/>
        </w:rPr>
        <w:t>cf-art-150-inc-I</w:t>
      </w:r>
      <w:r>
        <w:rPr>
          <w:color w:val="003CA0"/>
          <w:sz w:val="12"/>
        </w:rPr>
        <w:t xml:space="preserve"> | RE 599.316</w:t>
      </w:r>
      <w:r>
        <w:rPr>
          <w:color w:val="003CA0"/>
          <w:sz w:val="12"/>
        </w:rPr>
        <w:t xml:space="preserve"> | rel. Marco Aurélio</w:t>
      </w:r>
    </w:p>
    <w:p>
      <w:pPr>
        <w:ind w:left="288"/>
      </w:pPr>
      <w:r>
        <w:rPr>
          <w:color w:val="1E1E1E"/>
          <w:sz w:val="18"/>
        </w:rPr>
        <w:t>Surge inconstitucional, por ofensa aos princípios da não cumulatividade e da isonomia, o artigo 31, cabeça, da Lei 10.865/2004, no que vedou o creditamento do PIS e da COFINS, relativamente ao ativo imobilizado adquirido até 30 de abril de 2004.</w:t>
      </w:r>
    </w:p>
    <w:p>
      <w:pPr>
        <w:ind w:left="288"/>
      </w:pPr>
      <w:r>
        <w:rPr>
          <w:b/>
          <w:color w:val="003CA0"/>
          <w:sz w:val="16"/>
        </w:rPr>
        <w:t>[RE 599.316, rel. min. Marco Aurélio, j. 29-6-2020, P, DJE de 6-10-2020, Tema 244, com mérito julgado.]</w:t>
      </w:r>
    </w:p>
    <w:p>
      <w:pPr>
        <w:ind w:left="288"/>
      </w:pPr>
      <w:r>
        <w:rPr>
          <w:color w:val="8C8C8C"/>
          <w:sz w:val="12"/>
        </w:rPr>
        <w:t>cf-art-150-inc-I</w:t>
      </w:r>
      <w:r>
        <w:rPr>
          <w:color w:val="003CA0"/>
          <w:sz w:val="12"/>
        </w:rPr>
        <w:t xml:space="preserve"> | RE 640.905</w:t>
      </w:r>
      <w:r>
        <w:rPr>
          <w:color w:val="003CA0"/>
          <w:sz w:val="12"/>
        </w:rPr>
        <w:t xml:space="preserve"> | rel. Luiz Fux</w:t>
      </w:r>
    </w:p>
    <w:p>
      <w:pPr>
        <w:ind w:left="288"/>
      </w:pPr>
      <w:r>
        <w:rPr>
          <w:color w:val="1E1E1E"/>
          <w:sz w:val="18"/>
        </w:rPr>
        <w:t>Não viola o princípio da isonomia e o livre acesso à jurisdição a restrição de ingresso no parcelamento de dívida relativa à Cofins, instituída pela Portaria 655/1993, dos contribuintes que questionaram o tributo em juízo com depósito judicial dos débitos tributários.</w:t>
        <w:br/>
        <w:t>[RE 640.905, rel. min. Luiz Fux, j. 15-12-2016, P, DJE de 1º-2-2018, Tema 573, com mérito julgado.] PIS/Cofins-Importação. Lei 10.865/2004. (...) O fato de não se admitir o crédito senão para as empresas sujeitas à apuração do PIS e da Cofins pelo regime não cumulativo não chega a implicar ofensa à isonomia, de modo a fulminar to</w:t>
      </w:r>
    </w:p>
    <w:p>
      <w:pPr>
        <w:ind w:left="288"/>
      </w:pPr>
      <w:r>
        <w:rPr>
          <w:b/>
          <w:color w:val="003CA0"/>
          <w:sz w:val="16"/>
        </w:rPr>
        <w:t>[RE 614.406, voto do red. do ac. min. Marco Aurélio, j. 25-5-2011, P, DJE de 27-11-2014, Tema 368, com mérito julgado.]</w:t>
      </w:r>
    </w:p>
    <w:p>
      <w:pPr>
        <w:ind w:left="144"/>
      </w:pPr>
      <w:r>
        <w:rPr>
          <w:b/>
          <w:color w:val="B45A00"/>
          <w:sz w:val="16"/>
        </w:rPr>
        <w:t>JULGADOS CORRELATOS</w:t>
      </w:r>
    </w:p>
    <w:p>
      <w:pPr>
        <w:ind w:left="288"/>
      </w:pPr>
      <w:r>
        <w:rPr>
          <w:color w:val="8C8C8C"/>
          <w:sz w:val="12"/>
        </w:rPr>
        <w:t>cf-art-150-inc-I</w:t>
      </w:r>
      <w:r>
        <w:rPr>
          <w:color w:val="003CA0"/>
          <w:sz w:val="12"/>
        </w:rPr>
        <w:t xml:space="preserve"> | RE 1.402.871</w:t>
      </w:r>
      <w:r>
        <w:rPr>
          <w:color w:val="003CA0"/>
          <w:sz w:val="12"/>
        </w:rPr>
        <w:t xml:space="preserve"> | rel. Edson Fachin</w:t>
      </w:r>
    </w:p>
    <w:p>
      <w:pPr>
        <w:ind w:left="288"/>
      </w:pPr>
      <w:r>
        <w:rPr>
          <w:color w:val="1E1E1E"/>
          <w:sz w:val="18"/>
        </w:rPr>
        <w:t xml:space="preserve">No RE nº 599.316/SC, Tema nº 244 do ementário da Repercussão Geral, este Supremo Tribunal Federal declarou a inconstitucionalidade do caput do art. 31 da Lei nº 10.865, de 2004, tendo fixado tese segundo a qual “surge inconstitucional, por ofensa aos princípios da não cumulatividade e da isonomia, o artigo 31, cabeça, da Lei nº 10.865/2004, no que vedou o creditamento da contribuição para o PIS e da COFINS, relativamente ao ativo imobilizado adquirido até 30 de abril de 2004”. Ocorre que, enquanto o caput do art. 31 da Lei nº 10.865, de 2004, se destina a vedar o aproveitamento de créditos de </w:t>
      </w:r>
    </w:p>
    <w:p>
      <w:pPr>
        <w:ind w:left="288"/>
      </w:pPr>
      <w:r>
        <w:rPr>
          <w:b/>
          <w:color w:val="003CA0"/>
          <w:sz w:val="16"/>
        </w:rPr>
        <w:t>[RE 402.748 AgR e RE 418.994 AgR, rel. min. Eros Grau, j. 22-4-2008, 2ª T, DJE de 16-5-2008.]</w:t>
      </w:r>
    </w:p>
    <w:p>
      <w:pPr>
        <w:ind w:left="288"/>
      </w:pPr>
      <w:r>
        <w:rPr>
          <w:color w:val="8C8C8C"/>
          <w:sz w:val="12"/>
        </w:rPr>
        <w:t>cf-art-150-inc-I</w:t>
      </w:r>
      <w:r>
        <w:rPr>
          <w:color w:val="003CA0"/>
          <w:sz w:val="12"/>
        </w:rPr>
        <w:t xml:space="preserve"> | RE 405.579</w:t>
      </w:r>
      <w:r>
        <w:rPr>
          <w:color w:val="003CA0"/>
          <w:sz w:val="12"/>
        </w:rPr>
        <w:t xml:space="preserve"> | rel. Joaquim Barbosa</w:t>
      </w:r>
    </w:p>
    <w:p>
      <w:pPr>
        <w:ind w:left="288"/>
      </w:pPr>
      <w:r>
        <w:rPr>
          <w:color w:val="1E1E1E"/>
          <w:sz w:val="18"/>
        </w:rPr>
        <w:t>= RE 405.579, rel. min. Joaquim Barbosa, j. 1º-12-2010, P, DJE de 4-8-2011 Sistema "Simples". Art. 9º da Lei 9.317/1996. Ofensa ao princípio da isonomia. Inocorrência.</w:t>
      </w:r>
    </w:p>
    <w:p>
      <w:pPr>
        <w:ind w:left="288"/>
      </w:pPr>
      <w:r>
        <w:rPr>
          <w:b/>
          <w:color w:val="003CA0"/>
          <w:sz w:val="16"/>
        </w:rPr>
        <w:t>[RE 476.106 AgR, rel. min. Gilmar Mendes, j. 1º-4-2008, 2ª T, DJE de 25-4-2008.]</w:t>
      </w:r>
    </w:p>
    <w:p>
      <w:pPr>
        <w:ind w:left="288"/>
      </w:pPr>
      <w:r>
        <w:rPr>
          <w:color w:val="8C8C8C"/>
          <w:sz w:val="12"/>
        </w:rPr>
        <w:t>cf-art-150-inc-I</w:t>
      </w:r>
      <w:r>
        <w:rPr>
          <w:color w:val="003CA0"/>
          <w:sz w:val="12"/>
        </w:rPr>
        <w:t xml:space="preserve"> | AC 1.109</w:t>
      </w:r>
      <w:r>
        <w:rPr>
          <w:color w:val="003CA0"/>
          <w:sz w:val="12"/>
        </w:rPr>
        <w:t xml:space="preserve"> | rel. Ayres Britto</w:t>
      </w:r>
    </w:p>
    <w:p>
      <w:pPr>
        <w:ind w:left="288"/>
      </w:pPr>
      <w:r>
        <w:rPr>
          <w:color w:val="1E1E1E"/>
          <w:sz w:val="18"/>
        </w:rPr>
        <w:t>A sobrecarga imposta aos bancos comerciais e às entidades financeiras, no tocante à contribuição previdenciária sobre a folha de salários, não fere, à primeira vista, o princípio da isonomia tributária, ante a expressa previsão constitucional (EC de revisão 1/1994 e EC 20/1998, que inseriu o § 9º no art. 195 do texto permanente).</w:t>
      </w:r>
    </w:p>
    <w:p>
      <w:pPr>
        <w:ind w:left="288"/>
      </w:pPr>
      <w:r>
        <w:rPr>
          <w:b/>
          <w:color w:val="003CA0"/>
          <w:sz w:val="16"/>
        </w:rPr>
        <w:t>[AC 1.109 MC, rel. p/ o ac. min. Ayres Britto, j. 31-5-2007, P, DJ de 19-10-2007.]</w:t>
      </w:r>
    </w:p>
    <w:p>
      <w:pPr>
        <w:ind w:left="288"/>
      </w:pPr>
      <w:r>
        <w:rPr>
          <w:color w:val="8C8C8C"/>
          <w:sz w:val="12"/>
        </w:rPr>
        <w:t>cf-art-150-inc-I</w:t>
      </w:r>
      <w:r>
        <w:rPr>
          <w:color w:val="003CA0"/>
          <w:sz w:val="12"/>
        </w:rPr>
        <w:t xml:space="preserve"> | AI 360.461</w:t>
      </w:r>
      <w:r>
        <w:rPr>
          <w:color w:val="003CA0"/>
          <w:sz w:val="12"/>
        </w:rPr>
        <w:t xml:space="preserve"> | rel. Celso de Mello</w:t>
      </w:r>
    </w:p>
    <w:p>
      <w:pPr>
        <w:ind w:left="288"/>
      </w:pPr>
      <w:r>
        <w:rPr>
          <w:color w:val="1E1E1E"/>
          <w:sz w:val="18"/>
        </w:rPr>
        <w:t>IPI. Açúcar de cana. Lei 8.393/1991 (art. 2º). Isenção fiscal. (...) A isenção tributária concedida pelo art. 2º da Lei 8.393/1991, precisamente porque se acha despojada de qualquer coeficiente de arbitrariedade, não se qualifica – presentes as razões de política governamental que lhe são subjacentes – como instrumento de ilegítima outorga de privilégios estatais em favor de determinados estratos de contribuintes.</w:t>
      </w:r>
    </w:p>
    <w:p>
      <w:pPr>
        <w:ind w:left="288"/>
      </w:pPr>
      <w:r>
        <w:rPr>
          <w:b/>
          <w:color w:val="003CA0"/>
          <w:sz w:val="16"/>
        </w:rPr>
        <w:t>[AI 360.461 AgR, rel. min. Celso de Mello, j. 6-12-2005, 2ª T, DJE de 28-3-2008.]</w:t>
      </w:r>
    </w:p>
    <w:p>
      <w:pPr>
        <w:ind w:left="288"/>
      </w:pPr>
      <w:r>
        <w:rPr>
          <w:color w:val="8C8C8C"/>
          <w:sz w:val="12"/>
        </w:rPr>
        <w:t>cf-art-150-inc-I</w:t>
      </w:r>
      <w:r>
        <w:rPr>
          <w:color w:val="003CA0"/>
          <w:sz w:val="12"/>
        </w:rPr>
        <w:t xml:space="preserve"> | RE 336.134</w:t>
      </w:r>
      <w:r>
        <w:rPr>
          <w:color w:val="003CA0"/>
          <w:sz w:val="12"/>
        </w:rPr>
        <w:t xml:space="preserve"> | rel. Ilmar Galvão</w:t>
      </w:r>
    </w:p>
    <w:p>
      <w:pPr>
        <w:ind w:left="288"/>
      </w:pPr>
      <w:r>
        <w:rPr>
          <w:color w:val="1E1E1E"/>
          <w:sz w:val="18"/>
        </w:rPr>
        <w:t>Tributário. Cofins. Art. 8º e § 1º da Lei 9.718/1998. Alíquota majorada de 2% para 3%. Compensação de até 1/3 com a CSLL, quando o contribuinte registrar lucro no exercício. Alegada ofensa ao princípio da isonomia. Por efeito da referida norma, o contribuinte sujeito a ambas as contribuições foi contemplado com uma bonificação representada pelo direito a ver abatido, no pagamento da segunda (Cofins), até 1/3 do quantum devido, atenuando-se, por esse modo, a carga tributária resultante da dupla tributação. Diversidade entre tal situação e a do contribuinte tributado unicamente pela Cofins, a qu</w:t>
      </w:r>
    </w:p>
    <w:p>
      <w:pPr>
        <w:ind w:left="288"/>
      </w:pPr>
      <w:r>
        <w:rPr>
          <w:b/>
          <w:color w:val="003CA0"/>
          <w:sz w:val="16"/>
        </w:rPr>
        <w:t>[RE 336.134, rel. min. Ilmar Galvão, j. 20-11-2002, P, DJ de 16-5-2003.]</w:t>
      </w:r>
    </w:p>
    <w:p>
      <w:pPr>
        <w:ind w:left="288"/>
      </w:pPr>
      <w:r>
        <w:rPr>
          <w:color w:val="8C8C8C"/>
          <w:sz w:val="12"/>
        </w:rPr>
        <w:t>cf-art-150-inc-I</w:t>
      </w:r>
      <w:r>
        <w:rPr>
          <w:color w:val="003CA0"/>
          <w:sz w:val="12"/>
        </w:rPr>
        <w:t xml:space="preserve"> | RE 552.201</w:t>
      </w:r>
      <w:r>
        <w:rPr>
          <w:color w:val="003CA0"/>
          <w:sz w:val="12"/>
        </w:rPr>
        <w:t xml:space="preserve"> | rel. Ayres Britto</w:t>
      </w:r>
    </w:p>
    <w:p>
      <w:pPr>
        <w:ind w:left="288"/>
      </w:pPr>
      <w:r>
        <w:rPr>
          <w:color w:val="1E1E1E"/>
          <w:sz w:val="18"/>
        </w:rPr>
        <w:t>= RE 552.201 AgR, rel. min. Ayres Britto, j. 17-8-2010, 2ª T, DJE de 17-9-2010 A isonomia tributária do art. 150, II, da Constituição tornou-se eficaz a partir de sua promulgação; não caberia falar em violação à anterioridade tributária, com a imediata exigibilidade do tributo na fonte sobre a parcela isenta, ut art. 2º do DL 2.019/1983, prevista no art. 65, § 1º, da Loman (LC 35/1979).</w:t>
      </w:r>
    </w:p>
    <w:p>
      <w:pPr>
        <w:ind w:left="288"/>
      </w:pPr>
      <w:r>
        <w:rPr>
          <w:b/>
          <w:color w:val="003CA0"/>
          <w:sz w:val="16"/>
        </w:rPr>
        <w:t>[MS 20.858, rel. min. Néri da Silveira, j. 14-3-2002, P, DJ de 19-4-2002.]</w:t>
      </w:r>
    </w:p>
    <w:p>
      <w:pPr>
        <w:ind w:left="288"/>
      </w:pPr>
      <w:r>
        <w:rPr>
          <w:color w:val="8C8C8C"/>
          <w:sz w:val="12"/>
        </w:rPr>
        <w:t>cf-art-150-inc-I</w:t>
      </w:r>
      <w:r>
        <w:rPr>
          <w:color w:val="003CA0"/>
          <w:sz w:val="12"/>
        </w:rPr>
        <w:t xml:space="preserve"> | AO 63</w:t>
      </w:r>
      <w:r>
        <w:rPr>
          <w:color w:val="003CA0"/>
          <w:sz w:val="12"/>
        </w:rPr>
        <w:t xml:space="preserve"> | rel. Celso de Mello</w:t>
      </w:r>
    </w:p>
    <w:p>
      <w:pPr>
        <w:ind w:left="288"/>
      </w:pPr>
      <w:r>
        <w:rPr>
          <w:color w:val="1E1E1E"/>
          <w:sz w:val="18"/>
        </w:rPr>
        <w:t>= AO 63, rel. min. Celso de Mello, j. 12-2-2014, dec. monocrática, DJE de 17-2-2014 Isenção de IPTU, em razão da qualidade de servidor estadual do agravante, postulada em desrespeito da proibição contida no art. 150, II, da CF de 1988.</w:t>
      </w:r>
    </w:p>
    <w:p>
      <w:pPr>
        <w:ind w:left="288"/>
      </w:pPr>
      <w:r>
        <w:rPr>
          <w:b/>
          <w:color w:val="003CA0"/>
          <w:sz w:val="16"/>
        </w:rPr>
        <w:t>[AI 157.871 AgR, rel. min. Octavio Gallotti, j. 15-9-1995, 1ª T, DJ de 9-2-1996.]</w:t>
      </w:r>
    </w:p>
    <w:p>
      <w:pPr>
        <w:ind w:left="288"/>
      </w:pPr>
      <w:r>
        <w:rPr>
          <w:color w:val="8C8C8C"/>
          <w:sz w:val="12"/>
        </w:rPr>
        <w:t>cf-art-150-inc-I</w:t>
      </w:r>
      <w:r>
        <w:rPr>
          <w:color w:val="003CA0"/>
          <w:sz w:val="12"/>
        </w:rPr>
        <w:t xml:space="preserve"> | AI 151.855</w:t>
      </w:r>
      <w:r>
        <w:rPr>
          <w:color w:val="003CA0"/>
          <w:sz w:val="12"/>
        </w:rPr>
        <w:t xml:space="preserve"> | rel. Paulo Brossard</w:t>
      </w:r>
    </w:p>
    <w:p>
      <w:pPr>
        <w:ind w:left="288"/>
      </w:pPr>
      <w:r>
        <w:rPr>
          <w:color w:val="1E1E1E"/>
          <w:sz w:val="18"/>
        </w:rPr>
        <w:t>A isenção fiscal decorre do implemento da política fiscal e econômica, pelo Estado, tendo em vista o interesse social. É ato discricionário que escapa ao controle do Poder Judiciário e envolve juízo de conveniência e oportunidade do Poder Executivo. O termo inicial de vigência da isenção, fixada a partir da data da expedição da guia de importação, não infringe o princípio da isonomia tributária, nem desloca a data da ocorrência do fato gerador do tributo, porque a isenção diz respeito à exclusão do crédito tributário, enquanto o fato gerador tem pertinência com o nascimento da obrigação tribut</w:t>
      </w:r>
    </w:p>
    <w:p>
      <w:pPr>
        <w:ind w:left="288"/>
      </w:pPr>
      <w:r>
        <w:rPr>
          <w:b/>
          <w:color w:val="003CA0"/>
          <w:sz w:val="16"/>
        </w:rPr>
        <w:t>[AI 151.855 AgR, rel. min. Paulo Brossard, j. 24-5-1994, 2ª T, DJ de 2-12-1994.]</w:t>
      </w:r>
    </w:p>
    <w:p>
      <w:pPr>
        <w:ind w:left="144"/>
      </w:pPr>
      <w:r>
        <w:rPr>
          <w:b/>
          <w:color w:val="B45A00"/>
          <w:sz w:val="16"/>
        </w:rPr>
        <w:t>SUMULA</w:t>
      </w:r>
    </w:p>
    <w:p>
      <w:pPr>
        <w:ind w:left="288"/>
      </w:pPr>
      <w:r>
        <w:rPr>
          <w:color w:val="8C8C8C"/>
          <w:sz w:val="12"/>
        </w:rPr>
        <w:t>cf-art-150-inc-III</w:t>
      </w:r>
    </w:p>
    <w:p>
      <w:pPr>
        <w:ind w:left="288"/>
      </w:pPr>
      <w:r>
        <w:rPr>
          <w:color w:val="1E1E1E"/>
          <w:sz w:val="18"/>
        </w:rPr>
        <w:t>Decisão que declara indevida a cobrança do imposto em determinado exercício não faz coisa julgada em relação aos posteriores.</w:t>
      </w:r>
    </w:p>
    <w:p>
      <w:pPr>
        <w:ind w:left="288"/>
      </w:pPr>
      <w:r>
        <w:rPr>
          <w:b/>
          <w:color w:val="003CA0"/>
          <w:sz w:val="16"/>
        </w:rPr>
        <w:t>[Súmula 239.]</w:t>
      </w:r>
    </w:p>
    <w:p>
      <w:pPr>
        <w:ind w:left="144"/>
      </w:pPr>
      <w:r>
        <w:rPr>
          <w:b/>
          <w:color w:val="B45A00"/>
          <w:sz w:val="16"/>
        </w:rPr>
        <w:t>CONTROLE CONCENTRADO</w:t>
      </w:r>
    </w:p>
    <w:p>
      <w:pPr>
        <w:ind w:left="288"/>
      </w:pPr>
      <w:r>
        <w:rPr>
          <w:color w:val="8C8C8C"/>
          <w:sz w:val="12"/>
        </w:rPr>
        <w:t>cf-art-150-inc-III</w:t>
      </w:r>
      <w:r>
        <w:rPr>
          <w:color w:val="003CA0"/>
          <w:sz w:val="12"/>
        </w:rPr>
        <w:t xml:space="preserve"> | ADI 2.325</w:t>
      </w:r>
      <w:r>
        <w:rPr>
          <w:color w:val="003CA0"/>
          <w:sz w:val="12"/>
        </w:rPr>
        <w:t xml:space="preserve"> | rel. Marco Aurélio</w:t>
      </w:r>
    </w:p>
    <w:p>
      <w:pPr>
        <w:ind w:left="288"/>
      </w:pPr>
      <w:r>
        <w:rPr>
          <w:color w:val="1E1E1E"/>
          <w:sz w:val="18"/>
        </w:rPr>
        <w:t>A controvérsia constitucional deduzida nos autos das presentes ações diretas de inconstitucionalidade consiste em saber se a Lei Complementar nº 102, de 2000, e suas subsequentes (Leis Complementares nº 114, de 2002, 115, de 2002, 120, de 2005, 122, de 2006, 138, de 2010, e 171, de 2019), ao conferirem novas redações à Lei Complementar nº 87, de 1996 (Lei Kandir), mais restritivas no tocante aos aproveitamento e compensação de créditos de ICMS derivados de operações com mercadorias destinadas ao ativo permanente, energia elétrica e comunicações, afrontaram os princípios da anterioridade de exe</w:t>
      </w:r>
    </w:p>
    <w:p>
      <w:pPr>
        <w:ind w:left="144"/>
      </w:pPr>
      <w:r>
        <w:rPr>
          <w:b/>
          <w:color w:val="B45A00"/>
          <w:sz w:val="16"/>
        </w:rPr>
        <w:t>REPERCUSSAO GERAL</w:t>
      </w:r>
    </w:p>
    <w:p>
      <w:pPr>
        <w:ind w:left="288"/>
      </w:pPr>
      <w:r>
        <w:rPr>
          <w:color w:val="8C8C8C"/>
          <w:sz w:val="12"/>
        </w:rPr>
        <w:t>cf-art-150-inc-III</w:t>
      </w:r>
      <w:r>
        <w:rPr>
          <w:color w:val="003CA0"/>
          <w:sz w:val="12"/>
        </w:rPr>
        <w:t xml:space="preserve"> | RE 1.224.696</w:t>
      </w:r>
      <w:r>
        <w:rPr>
          <w:color w:val="003CA0"/>
          <w:sz w:val="12"/>
        </w:rPr>
        <w:t xml:space="preserve"> | rel. Marco Aurélio</w:t>
      </w:r>
    </w:p>
    <w:p>
      <w:pPr>
        <w:ind w:left="288"/>
      </w:pPr>
      <w:r>
        <w:rPr>
          <w:color w:val="1E1E1E"/>
          <w:sz w:val="18"/>
        </w:rPr>
        <w:t>É constitucional o artigo 5º da Lei nº 9.779/1999, no que autorizada a cobrança de Imposto de Renda sobre resultados financeiros verificados na liquidação de contratos de swap para fins de hedge.</w:t>
      </w:r>
    </w:p>
    <w:p>
      <w:pPr>
        <w:ind w:left="288"/>
      </w:pPr>
      <w:r>
        <w:rPr>
          <w:b/>
          <w:color w:val="003CA0"/>
          <w:sz w:val="16"/>
        </w:rPr>
        <w:t>[RE 1.224.696, rel. min. Marco Aurélio, j. 7-6-2021, P, DJE de 18-6-2021, Tema 185, com mérito julgado.]</w:t>
      </w:r>
    </w:p>
    <w:p>
      <w:pPr>
        <w:ind w:left="144"/>
      </w:pPr>
      <w:r>
        <w:rPr>
          <w:b/>
          <w:color w:val="B45A00"/>
          <w:sz w:val="16"/>
        </w:rPr>
        <w:t>JULGADOS CORRELATOS</w:t>
      </w:r>
    </w:p>
    <w:p>
      <w:pPr>
        <w:ind w:left="288"/>
      </w:pPr>
      <w:r>
        <w:rPr>
          <w:color w:val="8C8C8C"/>
          <w:sz w:val="12"/>
        </w:rPr>
        <w:t>cf-art-150-inc-III</w:t>
      </w:r>
      <w:r>
        <w:rPr>
          <w:color w:val="003CA0"/>
          <w:sz w:val="12"/>
        </w:rPr>
        <w:t xml:space="preserve"> | RE 617.389</w:t>
      </w:r>
      <w:r>
        <w:rPr>
          <w:color w:val="003CA0"/>
          <w:sz w:val="12"/>
        </w:rPr>
        <w:t xml:space="preserve"> | rel. Ricardo Lewandowski</w:t>
      </w:r>
    </w:p>
    <w:p>
      <w:pPr>
        <w:ind w:left="288"/>
      </w:pPr>
      <w:r>
        <w:rPr>
          <w:color w:val="1E1E1E"/>
          <w:sz w:val="18"/>
        </w:rPr>
        <w:t>A revisão ou revogação de benefício fiscal, por se tratar de questão vinculada à política econômica que pode ser revista pelo Estado a qualquer momento, não está adstrita à observância das regras de anterioridade tributária previstas na Constituição.</w:t>
      </w:r>
    </w:p>
    <w:p>
      <w:pPr>
        <w:ind w:left="288"/>
      </w:pPr>
      <w:r>
        <w:rPr>
          <w:b/>
          <w:color w:val="003CA0"/>
          <w:sz w:val="16"/>
        </w:rPr>
        <w:t>[RE 617.389 AgR, rel. min. Ricardo Lewandowski, j. 8-5-2012, 2ª T, DJE de 22-5-2012.]</w:t>
      </w:r>
    </w:p>
    <w:p>
      <w:pPr>
        <w:ind w:left="288"/>
      </w:pPr>
      <w:r>
        <w:rPr>
          <w:color w:val="8C8C8C"/>
          <w:sz w:val="12"/>
        </w:rPr>
        <w:t>cf-art-150-inc-III</w:t>
      </w:r>
      <w:r>
        <w:rPr>
          <w:color w:val="003CA0"/>
          <w:sz w:val="12"/>
        </w:rPr>
        <w:t xml:space="preserve"> | RE 564.225</w:t>
      </w:r>
      <w:r>
        <w:rPr>
          <w:color w:val="003CA0"/>
          <w:sz w:val="12"/>
        </w:rPr>
        <w:t xml:space="preserve"> | rel. Marco Aurélio</w:t>
      </w:r>
    </w:p>
    <w:p>
      <w:pPr>
        <w:ind w:left="288"/>
      </w:pPr>
      <w:r>
        <w:rPr>
          <w:color w:val="1E1E1E"/>
          <w:sz w:val="18"/>
        </w:rPr>
        <w:t>≠ RE 564.225 AgR, rel. min. Marco Aurélio, j. 2-9-2014, 1ª T, DJE de 18-11-2014 Imposto de renda. Dedução de prejuízos fiscais. Limitações. Arts. 42 e 58 da Lei  8.981/1995. Constitucionalidade. Ausência de violação do disposto nos arts. 150, III,  a e b, e 5º, XXXVI, da Constituição do Brasil. O direito ao abatimento dos prejuízos fiscais acumulados em exercícios anteriores é expressivo de benefício fiscal em favor do contribuinte. Instrumento de política tributária que pode ser revista pelo Estado. Ausência de direito adquirido. A Lei  8.981/1995 não incide sobre fatos geradores ocorridos an</w:t>
      </w:r>
    </w:p>
    <w:p>
      <w:pPr>
        <w:ind w:left="288"/>
      </w:pPr>
      <w:r>
        <w:rPr>
          <w:b/>
          <w:color w:val="003CA0"/>
          <w:sz w:val="16"/>
        </w:rPr>
        <w:t>[RE 344.994, red. do ac. min. Eros Grau, j. 25-3-2009, P, DJE de 28-8-2009.]</w:t>
      </w:r>
    </w:p>
    <w:p>
      <w:pPr>
        <w:ind w:left="288"/>
      </w:pPr>
      <w:r>
        <w:rPr>
          <w:color w:val="8C8C8C"/>
          <w:sz w:val="12"/>
        </w:rPr>
        <w:t>cf-art-150-inc-III</w:t>
      </w:r>
      <w:r>
        <w:rPr>
          <w:color w:val="003CA0"/>
          <w:sz w:val="12"/>
        </w:rPr>
        <w:t xml:space="preserve"> | RE 617.389</w:t>
      </w:r>
      <w:r>
        <w:rPr>
          <w:color w:val="003CA0"/>
          <w:sz w:val="12"/>
        </w:rPr>
        <w:t xml:space="preserve"> | rel. Ricardo Lewandowski</w:t>
      </w:r>
    </w:p>
    <w:p>
      <w:pPr>
        <w:ind w:left="288"/>
      </w:pPr>
      <w:r>
        <w:rPr>
          <w:color w:val="1E1E1E"/>
          <w:sz w:val="18"/>
        </w:rPr>
        <w:t>= RE 617.389 AgR, rel. min. Ricardo Lewandowski, j. 8-5-2012, 2ª T, DJE de 22-5-2012</w:t>
      </w:r>
    </w:p>
    <w:p>
      <w:pPr>
        <w:ind w:left="144"/>
      </w:pPr>
      <w:r>
        <w:rPr>
          <w:b/>
          <w:color w:val="B45A00"/>
          <w:sz w:val="16"/>
        </w:rPr>
        <w:t>CONTROLE CONCENTRADO</w:t>
      </w:r>
    </w:p>
    <w:p>
      <w:pPr>
        <w:ind w:left="288"/>
      </w:pPr>
      <w:r>
        <w:rPr>
          <w:color w:val="8C8C8C"/>
          <w:sz w:val="12"/>
        </w:rPr>
        <w:t>cf-art-150-inc-III-ali-a</w:t>
      </w:r>
      <w:r>
        <w:rPr>
          <w:color w:val="003CA0"/>
          <w:sz w:val="12"/>
        </w:rPr>
        <w:t xml:space="preserve"> | ADI 3.105</w:t>
      </w:r>
      <w:r>
        <w:rPr>
          <w:color w:val="003CA0"/>
          <w:sz w:val="12"/>
        </w:rPr>
        <w:t xml:space="preserve"> | rel. Cezar Peluso</w:t>
      </w:r>
    </w:p>
    <w:p>
      <w:pPr>
        <w:ind w:left="288"/>
      </w:pPr>
      <w:r>
        <w:rPr>
          <w:color w:val="1E1E1E"/>
          <w:sz w:val="18"/>
        </w:rPr>
        <w:t>Seguridade social. Servidor público. Vencimentos. Proventos de aposentadoria e pensões. Sujeição à incidência de contribuição previdenciária, por força de emenda constitucional. Ofensa a outros direitos e garantias individuais. Não ocorrência. Contribuição social. Exigência patrimonial de natureza tributária. Inexistência de norma de imunidade tributária absoluta. Regra não retroativa. Instrumento de atuação do Estado na área da previdência social. Obediência aos princípios da solidariedade e do equilíbrio financeiro e atuarial, bem como aos objetivos constitucionais de universalidade, equidad</w:t>
      </w:r>
    </w:p>
    <w:p>
      <w:pPr>
        <w:ind w:left="288"/>
      </w:pPr>
      <w:r>
        <w:rPr>
          <w:b/>
          <w:color w:val="003CA0"/>
          <w:sz w:val="16"/>
        </w:rPr>
        <w:t>[ADI 3.105, rel. min. Cezar Peluso, j. 18-8-2004, P, DJ de 18-2-2005.]</w:t>
      </w:r>
    </w:p>
    <w:p>
      <w:pPr>
        <w:ind w:left="288"/>
      </w:pPr>
      <w:r>
        <w:rPr>
          <w:color w:val="8C8C8C"/>
          <w:sz w:val="12"/>
        </w:rPr>
        <w:t>cf-art-150-inc-III-ali-a</w:t>
      </w:r>
      <w:r>
        <w:rPr>
          <w:color w:val="003CA0"/>
          <w:sz w:val="12"/>
        </w:rPr>
        <w:t xml:space="preserve"> | ADI 605</w:t>
      </w:r>
      <w:r>
        <w:rPr>
          <w:color w:val="003CA0"/>
          <w:sz w:val="12"/>
        </w:rPr>
        <w:t xml:space="preserve"> | rel. Celso de Mello</w:t>
      </w:r>
    </w:p>
    <w:p>
      <w:pPr>
        <w:ind w:left="288"/>
      </w:pPr>
      <w:r>
        <w:rPr>
          <w:color w:val="1E1E1E"/>
          <w:sz w:val="18"/>
        </w:rPr>
        <w:t>O princípio da irretroatividade somente condiciona a atividade jurídica do Estado nas hipóteses expressamente previstas pela Constituição, em ordem a inibir a ação do poder público eventualmente configuradora de restrição gravosa (a) ao status libertatis da pessoa (CF, art. 5º, XL), (b) ao status subjectionais do contribuinte em matéria tributária (CF, art. 150, III, a) e (c) a segurança jurídica no domínio das relações sociais (CF, art. 5º, XXXVI). Na medida em que a retroprojeção normativa da lei não gere e nem produza os gravames referidos, nada impede que o Estado edite e prescreva atos no</w:t>
      </w:r>
    </w:p>
    <w:p>
      <w:pPr>
        <w:ind w:left="288"/>
      </w:pPr>
      <w:r>
        <w:rPr>
          <w:b/>
          <w:color w:val="003CA0"/>
          <w:sz w:val="16"/>
        </w:rPr>
        <w:t>[ADI 605 MC, rel. min. Celso de Mello, j. 23-10-1991, P, DJ de 5-3-1993.]</w:t>
      </w:r>
    </w:p>
    <w:p>
      <w:pPr>
        <w:ind w:left="144"/>
      </w:pPr>
      <w:r>
        <w:rPr>
          <w:b/>
          <w:color w:val="B45A00"/>
          <w:sz w:val="16"/>
        </w:rPr>
        <w:t>REPERCUSSAO GERAL</w:t>
      </w:r>
    </w:p>
    <w:p>
      <w:pPr>
        <w:ind w:left="288"/>
      </w:pPr>
      <w:r>
        <w:rPr>
          <w:color w:val="8C8C8C"/>
          <w:sz w:val="12"/>
        </w:rPr>
        <w:t>cf-art-150-inc-III-ali-a</w:t>
      </w:r>
      <w:r>
        <w:rPr>
          <w:color w:val="003CA0"/>
          <w:sz w:val="12"/>
        </w:rPr>
        <w:t xml:space="preserve"> | RE 601.314</w:t>
      </w:r>
      <w:r>
        <w:rPr>
          <w:color w:val="003CA0"/>
          <w:sz w:val="12"/>
        </w:rPr>
        <w:t xml:space="preserve"> | rel. Edson Fachin</w:t>
      </w:r>
    </w:p>
    <w:p>
      <w:pPr>
        <w:ind w:left="288"/>
      </w:pPr>
      <w:r>
        <w:rPr>
          <w:color w:val="1E1E1E"/>
          <w:sz w:val="18"/>
        </w:rPr>
        <w:t>Fixação de tese em relação ao item a do Tema 225 da sistemática da repercussão geral: “O art. 6º da LC 105/2001 não ofende o direito ao sigilo bancário, pois realiza a igualdade em relação aos cidadãos, por meio do princípio da capacidade contributiva, bem como estabelece requisitos objetivos e o translado do dever de sigilo da esfera bancária para a fiscal”. Fixação de tese em relação ao item b do Tema 225 da sistemática da repercussão geral: “A Lei 10.174/2001 não atrai a aplicação do princípio da irretroatividade das leis tributárias, tendo em vista o caráter instrumental da norma, nos term</w:t>
      </w:r>
    </w:p>
    <w:p>
      <w:pPr>
        <w:ind w:left="144"/>
      </w:pPr>
      <w:r>
        <w:rPr>
          <w:b/>
          <w:color w:val="B45A00"/>
          <w:sz w:val="16"/>
        </w:rPr>
        <w:t>JULGADOS CORRELATOS</w:t>
      </w:r>
    </w:p>
    <w:p>
      <w:pPr>
        <w:ind w:left="288"/>
      </w:pPr>
      <w:r>
        <w:rPr>
          <w:color w:val="8C8C8C"/>
          <w:sz w:val="12"/>
        </w:rPr>
        <w:t>cf-art-150-inc-III-ali-a</w:t>
      </w:r>
      <w:r>
        <w:rPr>
          <w:color w:val="003CA0"/>
          <w:sz w:val="12"/>
        </w:rPr>
        <w:t xml:space="preserve"> | RE 159.180</w:t>
      </w:r>
      <w:r>
        <w:rPr>
          <w:color w:val="003CA0"/>
          <w:sz w:val="12"/>
        </w:rPr>
        <w:t xml:space="preserve"> | rel. Marco Aurélio</w:t>
      </w:r>
    </w:p>
    <w:p>
      <w:pPr>
        <w:ind w:left="288"/>
      </w:pPr>
      <w:r>
        <w:rPr>
          <w:color w:val="1E1E1E"/>
          <w:sz w:val="18"/>
        </w:rPr>
        <w:t>É inconstitucional a aplicação, a fatos ocorridos no ano-base de 1988, do adicional do imposto de renda sobre o lucro real instituído pelo Decreto-Lei nº 2.462, de 30 de agosto de 1988, considerada a violação dos princípios da irretroatividade e da anterioridade. (...) Superado o entendimento enunciado no verbete nº 584 da Súmula do Supremo, impõe-se o cancelamento.</w:t>
      </w:r>
    </w:p>
    <w:p>
      <w:pPr>
        <w:ind w:left="288"/>
      </w:pPr>
      <w:r>
        <w:rPr>
          <w:b/>
          <w:color w:val="003CA0"/>
          <w:sz w:val="16"/>
        </w:rPr>
        <w:t>[RE 159.180, rel. min. Marco Aurélio, j. 22-6-2020, P, DJE de 17-8-2020.]</w:t>
      </w:r>
    </w:p>
    <w:p>
      <w:pPr>
        <w:ind w:left="288"/>
      </w:pPr>
      <w:r>
        <w:rPr>
          <w:color w:val="8C8C8C"/>
          <w:sz w:val="12"/>
        </w:rPr>
        <w:t>cf-art-150-inc-III-ali-a</w:t>
      </w:r>
      <w:r>
        <w:rPr>
          <w:color w:val="003CA0"/>
          <w:sz w:val="12"/>
        </w:rPr>
        <w:t xml:space="preserve"> | RE 558.136</w:t>
      </w:r>
      <w:r>
        <w:rPr>
          <w:color w:val="003CA0"/>
          <w:sz w:val="12"/>
        </w:rPr>
        <w:t xml:space="preserve"> | rel. Gilmar Mendes</w:t>
      </w:r>
    </w:p>
    <w:p>
      <w:pPr>
        <w:ind w:left="288"/>
      </w:pPr>
      <w:r>
        <w:rPr>
          <w:color w:val="1E1E1E"/>
          <w:sz w:val="18"/>
        </w:rPr>
        <w:t>Acórdão recorrido que não violou a Constituição ao afastar, no caso concreto, a aplicação retroativa de decreto estadual posterior, para aplicar a legislação vigente à época dos fatos. Não ocorrência de violação ao art. 150, III, a, da CF/1988.</w:t>
      </w:r>
    </w:p>
    <w:p>
      <w:pPr>
        <w:ind w:left="288"/>
      </w:pPr>
      <w:r>
        <w:rPr>
          <w:b/>
          <w:color w:val="003CA0"/>
          <w:sz w:val="16"/>
        </w:rPr>
        <w:t>[RE 558.136 AgR, rel. min. Gilmar Mendes, j. 7-8-2012, 2ª T, DJE de 17-8-2012.]</w:t>
      </w:r>
    </w:p>
    <w:p>
      <w:pPr>
        <w:ind w:left="288"/>
      </w:pPr>
      <w:r>
        <w:rPr>
          <w:color w:val="8C8C8C"/>
          <w:sz w:val="12"/>
        </w:rPr>
        <w:t>cf-art-150-inc-III-ali-a</w:t>
      </w:r>
      <w:r>
        <w:rPr>
          <w:color w:val="003CA0"/>
          <w:sz w:val="12"/>
        </w:rPr>
        <w:t xml:space="preserve"> | RE 213.396</w:t>
      </w:r>
      <w:r>
        <w:rPr>
          <w:color w:val="003CA0"/>
          <w:sz w:val="12"/>
        </w:rPr>
        <w:t xml:space="preserve"> | rel. Ellen Gracie</w:t>
      </w:r>
    </w:p>
    <w:p>
      <w:pPr>
        <w:ind w:left="288"/>
      </w:pPr>
      <w:r>
        <w:rPr>
          <w:color w:val="1E1E1E"/>
          <w:sz w:val="18"/>
        </w:rPr>
        <w:t>O Plenário desta Corte, ao julgar o RE 213.396 (DJ de 1º-12-2000), assentou a constitucionalidade do sistema de substituição tributária "para frente", mesmo antes da promulgação da EC 3/1993. Alegação de que a aplicação do sistema de substituição tributária no mês de março de 1989 ofenderia o princípio da irretroatividade. Procedência. Embora a instituição desse sistema não represente a criação de um novo tributo, há substancial alteração no sujeito passivo da obrigação tributária.</w:t>
      </w:r>
    </w:p>
    <w:p>
      <w:pPr>
        <w:ind w:left="288"/>
      </w:pPr>
      <w:r>
        <w:rPr>
          <w:b/>
          <w:color w:val="003CA0"/>
          <w:sz w:val="16"/>
        </w:rPr>
        <w:t>[RE 266.602, rel. min. Ellen Gracie, j. 14-9-2006, P, DJ de 2-2-2007.]</w:t>
      </w:r>
    </w:p>
    <w:p>
      <w:pPr>
        <w:ind w:left="288"/>
      </w:pPr>
      <w:r>
        <w:rPr>
          <w:color w:val="8C8C8C"/>
          <w:sz w:val="12"/>
        </w:rPr>
        <w:t>cf-art-150-inc-III-ali-a</w:t>
      </w:r>
      <w:r>
        <w:rPr>
          <w:color w:val="003CA0"/>
          <w:sz w:val="12"/>
        </w:rPr>
        <w:t xml:space="preserve"> | RE 177.091</w:t>
      </w:r>
      <w:r>
        <w:rPr>
          <w:color w:val="003CA0"/>
          <w:sz w:val="12"/>
        </w:rPr>
        <w:t xml:space="preserve"> | rel. Ayres Britto</w:t>
      </w:r>
    </w:p>
    <w:p>
      <w:pPr>
        <w:ind w:left="288"/>
      </w:pPr>
      <w:r>
        <w:rPr>
          <w:color w:val="1E1E1E"/>
          <w:sz w:val="18"/>
        </w:rPr>
        <w:t>Adicional de imposto de renda. (...) Este excelso Tribunal, por meio de julgamentos proferidos pela egrégia Segunda Turma, firmou a orientação de que o DL 2.462, de 31-8-1988, não violou os princípios da irretroatividade e da anterioridade tributária.</w:t>
      </w:r>
    </w:p>
    <w:p>
      <w:pPr>
        <w:ind w:left="288"/>
      </w:pPr>
      <w:r>
        <w:rPr>
          <w:b/>
          <w:color w:val="003CA0"/>
          <w:sz w:val="16"/>
        </w:rPr>
        <w:t>[RE 177.091 AgR, rel. min. Ayres Britto, j. 22-3-2005, 1ª T, DJ de 10-3-2006.]</w:t>
      </w:r>
    </w:p>
    <w:p>
      <w:pPr>
        <w:ind w:left="288"/>
      </w:pPr>
      <w:r>
        <w:rPr>
          <w:color w:val="8C8C8C"/>
          <w:sz w:val="12"/>
        </w:rPr>
        <w:t>cf-art-150-inc-III-ali-a</w:t>
      </w:r>
      <w:r>
        <w:rPr>
          <w:color w:val="003CA0"/>
          <w:sz w:val="12"/>
        </w:rPr>
        <w:t xml:space="preserve"> | RE 204.133</w:t>
      </w:r>
      <w:r>
        <w:rPr>
          <w:color w:val="003CA0"/>
          <w:sz w:val="12"/>
        </w:rPr>
        <w:t xml:space="preserve"> | rel. Maurício Corrêa</w:t>
      </w:r>
    </w:p>
    <w:p>
      <w:pPr>
        <w:ind w:left="288"/>
      </w:pPr>
      <w:r>
        <w:rPr>
          <w:color w:val="1E1E1E"/>
          <w:sz w:val="18"/>
        </w:rPr>
        <w:t>Taxa Referencial Diária. Índice de remuneração mensal da média líquida de impostos, de títulos privados ou títulos públicos federais, estaduais e municipais. Utilização do indexador como fator de correção monetária de débitos fiscais. Possibilidade. Fato gerador consumado anteriormente à vigência da Lei 8.177/1991. Incidência da TRD. Impossibilidade em face do princípio da irretroatividade, dado que a referida taxa altera não apenas a expressão nominal do imposto, mas também o valor real da respectiva base de cálculo.</w:t>
      </w:r>
    </w:p>
    <w:p>
      <w:pPr>
        <w:ind w:left="288"/>
      </w:pPr>
      <w:r>
        <w:rPr>
          <w:b/>
          <w:color w:val="003CA0"/>
          <w:sz w:val="16"/>
        </w:rPr>
        <w:t>[RE 204.133, rel. min. Maurício Corrêa, j. 16-12-1999, 2ª T, DJ de 17-3-2000.]</w:t>
      </w:r>
    </w:p>
    <w:p>
      <w:pPr>
        <w:ind w:left="288"/>
      </w:pPr>
      <w:r>
        <w:rPr>
          <w:color w:val="8C8C8C"/>
          <w:sz w:val="12"/>
        </w:rPr>
        <w:t>cf-art-150-inc-III-ali-a</w:t>
      </w:r>
      <w:r>
        <w:rPr>
          <w:color w:val="003CA0"/>
          <w:sz w:val="12"/>
        </w:rPr>
        <w:t xml:space="preserve"> | ARE 660.740</w:t>
      </w:r>
      <w:r>
        <w:rPr>
          <w:color w:val="003CA0"/>
          <w:sz w:val="12"/>
        </w:rPr>
        <w:t xml:space="preserve"> | rel. Dias Toffoli</w:t>
      </w:r>
    </w:p>
    <w:p>
      <w:pPr>
        <w:ind w:left="288"/>
      </w:pPr>
      <w:r>
        <w:rPr>
          <w:color w:val="1E1E1E"/>
          <w:sz w:val="18"/>
        </w:rPr>
        <w:t>= ARE 660.740 AgR, rel. min. Dias Toffoli, j. 11-12-2012, 1ª T, DJE de 8-2-2012 Imposto de importação: alteração das alíquotas, por ato do Executivo, atendidas as condições e os limites estabelecidos em lei: CF, art. 153, § 1º. (...) O que a Constituição exige, no art. 150, III, a, é que a lei que institua ou que majore tributos seja anterior ao fato gerador. No caso, o decreto que alterou as alíquotas é anterior ao fato gerador do imposto de importação.</w:t>
      </w:r>
    </w:p>
    <w:p>
      <w:pPr>
        <w:ind w:left="288"/>
      </w:pPr>
      <w:r>
        <w:rPr>
          <w:b/>
          <w:color w:val="003CA0"/>
          <w:sz w:val="16"/>
        </w:rPr>
        <w:t>[RE 225.602, rel. min. Carlos Velloso, j. 25-11-1998, P, DJ de 6-4-2001.]</w:t>
      </w:r>
    </w:p>
    <w:p>
      <w:pPr>
        <w:ind w:left="288"/>
      </w:pPr>
      <w:r>
        <w:rPr>
          <w:color w:val="8C8C8C"/>
          <w:sz w:val="12"/>
        </w:rPr>
        <w:t>cf-art-150-inc-III-ali-a</w:t>
      </w:r>
      <w:r>
        <w:rPr>
          <w:color w:val="003CA0"/>
          <w:sz w:val="12"/>
        </w:rPr>
        <w:t xml:space="preserve"> | AI 533.386</w:t>
      </w:r>
      <w:r>
        <w:rPr>
          <w:color w:val="003CA0"/>
          <w:sz w:val="12"/>
        </w:rPr>
        <w:t xml:space="preserve"> | rel. Celso de Mello</w:t>
      </w:r>
    </w:p>
    <w:p>
      <w:pPr>
        <w:ind w:left="288"/>
      </w:pPr>
      <w:r>
        <w:rPr>
          <w:color w:val="1E1E1E"/>
          <w:sz w:val="18"/>
        </w:rPr>
        <w:t>= AI 533.386 AgR, rel. min. Celso de Mello, j. 2-3-2010, 2ª T, DJE de 26-3-2010 Legitimidade da aplicação da nova alíquota sobre o lucro apurado no balanço do contribuinte encerrado em 31 de dezembro do mesmo ano (...) possibilitando o cálculo do tributo, pela nova alíquota, sobre o lucro da recorrente, apurado no balanço do próprio exercício de 1989.</w:t>
      </w:r>
    </w:p>
    <w:p>
      <w:pPr>
        <w:ind w:left="288"/>
      </w:pPr>
      <w:r>
        <w:rPr>
          <w:b/>
          <w:color w:val="003CA0"/>
          <w:sz w:val="16"/>
        </w:rPr>
        <w:t>[RE 197.790, rel. min. Ilmar Galvão, j. 19-2-1997, P, DJ de 21-11-1997.]</w:t>
      </w:r>
    </w:p>
    <w:p>
      <w:pPr>
        <w:ind w:left="288"/>
      </w:pPr>
      <w:r>
        <w:rPr>
          <w:color w:val="8C8C8C"/>
          <w:sz w:val="12"/>
        </w:rPr>
        <w:t>cf-art-150-inc-III-ali-a</w:t>
      </w:r>
      <w:r>
        <w:rPr>
          <w:color w:val="003CA0"/>
          <w:sz w:val="12"/>
        </w:rPr>
        <w:t xml:space="preserve"> | AI 777.483</w:t>
      </w:r>
      <w:r>
        <w:rPr>
          <w:color w:val="003CA0"/>
          <w:sz w:val="12"/>
        </w:rPr>
        <w:t xml:space="preserve"> | rel. Celso de Mello</w:t>
      </w:r>
    </w:p>
    <w:p>
      <w:pPr>
        <w:ind w:left="288"/>
      </w:pPr>
      <w:r>
        <w:rPr>
          <w:color w:val="1E1E1E"/>
          <w:sz w:val="18"/>
        </w:rPr>
        <w:t>= AI 777.483 AgR, rel. min. Celso de Mello, j. 16-10-2012, 2ª T, DJE de 12-11-2012 ≠ RE 195.712, rel. min. Maurício Corrêa, j. 18-12-1995, 2ª T, DJ de 16-2-1996 Ofensa ao princípio da irretroatividade (art. 150, III, a, CF) decorrente da inexigibilidade das contribuições sociais dentro do prazo de noventa dias da publicação da lei que as houver instituído ou modificado, não se lhes aplicando o disposto no art. 150, III, b, da CF. A Lei 7.856/1989, majorando a alíquota da Contribuição Social sobre o lucro das empresas de 8% para 10%, somente entraria em vigor noventa dias depois de sua publicaç</w:t>
      </w:r>
    </w:p>
    <w:p>
      <w:pPr>
        <w:ind w:left="288"/>
      </w:pPr>
      <w:r>
        <w:rPr>
          <w:b/>
          <w:color w:val="003CA0"/>
          <w:sz w:val="16"/>
        </w:rPr>
        <w:t>[RE 195.712, rel. min. Maurício Corrêa, j. 18-12-1995, 2ª T, DJ de 16-2-1996.]</w:t>
      </w:r>
    </w:p>
    <w:p>
      <w:pPr>
        <w:ind w:left="288"/>
      </w:pPr>
      <w:r>
        <w:rPr>
          <w:color w:val="8C8C8C"/>
          <w:sz w:val="12"/>
        </w:rPr>
        <w:t>cf-art-150-inc-III-ali-a</w:t>
      </w:r>
      <w:r>
        <w:rPr>
          <w:color w:val="003CA0"/>
          <w:sz w:val="12"/>
        </w:rPr>
        <w:t xml:space="preserve"> | RE 197.790</w:t>
      </w:r>
      <w:r>
        <w:rPr>
          <w:color w:val="003CA0"/>
          <w:sz w:val="12"/>
        </w:rPr>
        <w:t xml:space="preserve"> | rel. Ilmar Galvão</w:t>
      </w:r>
    </w:p>
    <w:p>
      <w:pPr>
        <w:ind w:left="288"/>
      </w:pPr>
      <w:r>
        <w:rPr>
          <w:color w:val="1E1E1E"/>
          <w:sz w:val="18"/>
        </w:rPr>
        <w:t>≠ RE 197.790, rel. min. Ilmar Galvão, j. 19-2-1997, P, DJ de 21-11-1997 Não é inconstitucional a instituição da contribuição social sobre o lucro das pessoas jurídicas, cuja natureza é tributária. (...) Ao determinar, porém, o art. 8º da Lei 7.689/1988 que a contribuição em causa já seria devida a partir do lucro apurado no período-base a ser encerrado em 31-12-1988, violou ele o princípio da irretroatividade contido no art. 150, III, a, da CF, que proíbe que a lei que institui tributo tenha, como fato gerador deste, fato ocorrido antes do início da vigência dela.</w:t>
      </w:r>
    </w:p>
    <w:p>
      <w:pPr>
        <w:ind w:left="288"/>
      </w:pPr>
      <w:r>
        <w:rPr>
          <w:b/>
          <w:color w:val="003CA0"/>
          <w:sz w:val="16"/>
        </w:rPr>
        <w:t>[RE 146.733, rel. min. Moreira Alves, j. 29-6-1992, P, DJ de 6-11-1992.]</w:t>
      </w:r>
    </w:p>
    <w:p>
      <w:pPr>
        <w:ind w:left="288"/>
      </w:pPr>
      <w:r>
        <w:rPr>
          <w:color w:val="8C8C8C"/>
          <w:sz w:val="12"/>
        </w:rPr>
        <w:t>cf-art-150-inc-III-ali-a</w:t>
      </w:r>
      <w:r>
        <w:rPr>
          <w:color w:val="003CA0"/>
          <w:sz w:val="12"/>
        </w:rPr>
        <w:t xml:space="preserve"> | RE 396.129</w:t>
      </w:r>
      <w:r>
        <w:rPr>
          <w:color w:val="003CA0"/>
          <w:sz w:val="12"/>
        </w:rPr>
        <w:t xml:space="preserve"> | rel. Celso de Mello</w:t>
      </w:r>
    </w:p>
    <w:p>
      <w:pPr>
        <w:ind w:left="288"/>
      </w:pPr>
      <w:r>
        <w:rPr>
          <w:color w:val="1E1E1E"/>
          <w:sz w:val="18"/>
        </w:rPr>
        <w:t>= RE 396.129 AgR, rel. min. Celso de Mello, j. 30-6-2009, 2ª T, DJE de 14-8-2009</w:t>
      </w:r>
    </w:p>
    <w:p>
      <w:pPr>
        <w:ind w:left="144"/>
      </w:pPr>
      <w:r>
        <w:rPr>
          <w:b/>
          <w:color w:val="B45A00"/>
          <w:sz w:val="16"/>
        </w:rPr>
        <w:t>CONTROLE CONCENTRADO</w:t>
      </w:r>
    </w:p>
    <w:p>
      <w:pPr>
        <w:ind w:left="288"/>
      </w:pPr>
      <w:r>
        <w:rPr>
          <w:color w:val="8C8C8C"/>
          <w:sz w:val="12"/>
        </w:rPr>
        <w:t>cf-art-150-inc-III-ali-b</w:t>
      </w:r>
      <w:r>
        <w:rPr>
          <w:color w:val="003CA0"/>
          <w:sz w:val="12"/>
        </w:rPr>
        <w:t xml:space="preserve"> | ADI 7.066</w:t>
      </w:r>
      <w:r>
        <w:rPr>
          <w:color w:val="003CA0"/>
          <w:sz w:val="12"/>
        </w:rPr>
        <w:t xml:space="preserve"> | rel. Alexandre de Moraes</w:t>
      </w:r>
    </w:p>
    <w:p>
      <w:pPr>
        <w:ind w:left="288"/>
      </w:pPr>
      <w:r>
        <w:rPr>
          <w:color w:val="1E1E1E"/>
          <w:sz w:val="18"/>
        </w:rPr>
        <w:t>A EC 87/2015 e a LC 190/2022 estenderam a sistemática de aplicação do diferencial de alíquota do ICMS em operações e prestações que destinem bens e serviços a consumidor final contribuinte para as operações destinadas a não contribuintes, atribuindo capacidade tributária ativa a outro ente político, sem modificar a hipótese de incidência ou a base de cálculo do tributo. A ampliação da técnica fiscal não afetou a esfera jurídica do contribuinte, limitando-se a fracionar o produto da arrecadação antes devido integralmente ao Estado produtor (alíquota interna) em duas parcelas devidas a entes div</w:t>
      </w:r>
    </w:p>
    <w:p>
      <w:pPr>
        <w:ind w:left="288"/>
      </w:pPr>
      <w:r>
        <w:rPr>
          <w:b/>
          <w:color w:val="003CA0"/>
          <w:sz w:val="16"/>
        </w:rPr>
        <w:t>[ADI 7.066, ADI 7.070 e ADI 7.078, rel. min. Alexandre de Moraes, j. 29.11.2023, P, DJE de 06.05.2024.]</w:t>
      </w:r>
    </w:p>
    <w:p>
      <w:pPr>
        <w:ind w:left="288"/>
      </w:pPr>
      <w:r>
        <w:rPr>
          <w:color w:val="8C8C8C"/>
          <w:sz w:val="12"/>
        </w:rPr>
        <w:t>cf-art-150-inc-III-ali-b</w:t>
      </w:r>
      <w:r>
        <w:rPr>
          <w:color w:val="003CA0"/>
          <w:sz w:val="12"/>
        </w:rPr>
        <w:t xml:space="preserve"> | ADI 5.282</w:t>
      </w:r>
      <w:r>
        <w:rPr>
          <w:color w:val="003CA0"/>
          <w:sz w:val="12"/>
        </w:rPr>
        <w:t xml:space="preserve"> | rel. André Mendonça</w:t>
      </w:r>
    </w:p>
    <w:p>
      <w:pPr>
        <w:ind w:left="288"/>
      </w:pPr>
      <w:r>
        <w:rPr>
          <w:color w:val="1E1E1E"/>
          <w:sz w:val="18"/>
        </w:rPr>
        <w:t>No caso de um tributo sujeito duplamente à anterioridade de exercício e à noventena, a lei que institui ou majora a imposição somente será eficaz, de um lado, no exercício financeiro seguinte ao de sua publicação e, de outro, após decorridos noventa dias da data de sua divulgação em meio oficial. Logo, a contar da publicação da lei, os prazos transcorrem simultaneamente, e não sucessivamente. (...) Não há desvio de finalidade no caso de lei ordinária estadual alterar o aspecto temporal do IPVA para viabilizar, a um só tempo, o respeito à garantia da anterioridade, inclusive nonagesimal, e viab</w:t>
      </w:r>
    </w:p>
    <w:p>
      <w:pPr>
        <w:ind w:left="288"/>
      </w:pPr>
      <w:r>
        <w:rPr>
          <w:b/>
          <w:color w:val="003CA0"/>
          <w:sz w:val="16"/>
        </w:rPr>
        <w:t>[ADI 5.733, rel. min. Alexandre de Moraes, j. 20-9-2019, P, DJE de 3-10-2019.]</w:t>
      </w:r>
    </w:p>
    <w:p>
      <w:pPr>
        <w:ind w:left="288"/>
      </w:pPr>
      <w:r>
        <w:rPr>
          <w:color w:val="8C8C8C"/>
          <w:sz w:val="12"/>
        </w:rPr>
        <w:t>cf-art-150-inc-III-ali-b</w:t>
      </w:r>
      <w:r>
        <w:rPr>
          <w:color w:val="003CA0"/>
          <w:sz w:val="12"/>
        </w:rPr>
        <w:t xml:space="preserve"> | ADI 2.556</w:t>
      </w:r>
      <w:r>
        <w:rPr>
          <w:color w:val="003CA0"/>
          <w:sz w:val="12"/>
        </w:rPr>
        <w:t xml:space="preserve"> | rel. Joaquim Barbosa</w:t>
      </w:r>
    </w:p>
    <w:p>
      <w:pPr>
        <w:ind w:left="288"/>
      </w:pPr>
      <w:r>
        <w:rPr>
          <w:color w:val="1E1E1E"/>
          <w:sz w:val="18"/>
        </w:rPr>
        <w:t>LC 110/2001, arts. 1º e 2º. A segunda contribuição criada pela LC 110/2001 (...). Esta Suprema Corte considera constitucional a contribuição prevista no art. 1º da LC 110/2001, desde que respeitado o prazo de anterioridade para início das respectivas exigibilidades (art. 150, III, b, da Constituição).</w:t>
      </w:r>
    </w:p>
    <w:p>
      <w:pPr>
        <w:ind w:left="288"/>
      </w:pPr>
      <w:r>
        <w:rPr>
          <w:b/>
          <w:color w:val="003CA0"/>
          <w:sz w:val="16"/>
        </w:rPr>
        <w:t>[ADI 2.556 e ADI 2.568, rel. min. Joaquim Barbosa, j. 13-6-2012, P, DJE de 20-9-2012.]</w:t>
      </w:r>
    </w:p>
    <w:p>
      <w:pPr>
        <w:ind w:left="288"/>
      </w:pPr>
      <w:r>
        <w:rPr>
          <w:color w:val="8C8C8C"/>
          <w:sz w:val="12"/>
        </w:rPr>
        <w:t>cf-art-150-inc-III-ali-b</w:t>
      </w:r>
      <w:r>
        <w:rPr>
          <w:color w:val="003CA0"/>
          <w:sz w:val="12"/>
        </w:rPr>
        <w:t xml:space="preserve"> | ADI 939</w:t>
      </w:r>
      <w:r>
        <w:rPr>
          <w:color w:val="003CA0"/>
          <w:sz w:val="12"/>
        </w:rPr>
        <w:t xml:space="preserve"> | rel. Sydney Sanches</w:t>
      </w:r>
    </w:p>
    <w:p>
      <w:pPr>
        <w:ind w:left="288"/>
      </w:pPr>
      <w:r>
        <w:rPr>
          <w:color w:val="1E1E1E"/>
          <w:sz w:val="18"/>
        </w:rPr>
        <w:t>A EC 3, de 17-3-1993, que, no art. 2º, autorizou a União a instituir o IPMF, incidiu em vício de inconstitucionalidade ao dispor, no § 2º desse dispositivo, que, quanto a tal tributo, não se aplica "o art. 150, III, b, e VI", da Constituição, porque, desse modo, violou os seguintes princípios e normas imutáveis (somente eles, não outros): o princípio da anterioridade, que é garantia individual do contribuinte (art. 5º, § 2º; art. 60, § 4º, IV; e art. 150, III, b, da Constituição).</w:t>
      </w:r>
    </w:p>
    <w:p>
      <w:pPr>
        <w:ind w:left="288"/>
      </w:pPr>
      <w:r>
        <w:rPr>
          <w:b/>
          <w:color w:val="003CA0"/>
          <w:sz w:val="16"/>
        </w:rPr>
        <w:t>[ADI 939, rel. min. Sydney Sanches, j. 15-12-1993, P, DJ de 18-3-1994.]</w:t>
      </w:r>
    </w:p>
    <w:p>
      <w:pPr>
        <w:ind w:left="288"/>
      </w:pPr>
      <w:r>
        <w:rPr>
          <w:color w:val="8C8C8C"/>
          <w:sz w:val="12"/>
        </w:rPr>
        <w:t>cf-art-150-inc-III-ali-b</w:t>
      </w:r>
      <w:r>
        <w:rPr>
          <w:color w:val="003CA0"/>
          <w:sz w:val="12"/>
        </w:rPr>
        <w:t xml:space="preserve"> | RE 587.008</w:t>
      </w:r>
      <w:r>
        <w:rPr>
          <w:color w:val="003CA0"/>
          <w:sz w:val="12"/>
        </w:rPr>
        <w:t xml:space="preserve"> | rel. Dias Toffoli</w:t>
      </w:r>
    </w:p>
    <w:p>
      <w:pPr>
        <w:ind w:left="288"/>
      </w:pPr>
      <w:r>
        <w:rPr>
          <w:color w:val="1E1E1E"/>
          <w:sz w:val="18"/>
        </w:rPr>
        <w:t>Vide RE 587.008, rel. min. Dias Toffoli, j. 2-2-2011, P, DJE de 6-5-2011, Tema 107 As reduções do percentual de crédito a ser apurado no REINTEGRA, assim como a revogação do benefício, ensejam a majoração indireta das contribuições para o PIS e COFINS e devem observar, quanto à sua vigência, o princípio da anterioridade nonagesimal, previsto no art. 195, § 6º, da Constituição Federal, não se lhes aplicando o princípio da anterioridade geral ou de exercício, previsto no art. 150, III, b.</w:t>
      </w:r>
    </w:p>
    <w:p>
      <w:pPr>
        <w:ind w:left="288"/>
      </w:pPr>
      <w:r>
        <w:rPr>
          <w:b/>
          <w:color w:val="003CA0"/>
          <w:sz w:val="16"/>
        </w:rPr>
        <w:t>[ARE 1.285.177, rel. min. Cristiano Zanin, j. 26.05.2025, P, DJE de 06.06.2025, Tema 1.108, com mérito julgado.]</w:t>
      </w:r>
    </w:p>
    <w:p>
      <w:pPr>
        <w:ind w:left="288"/>
      </w:pPr>
      <w:r>
        <w:rPr>
          <w:color w:val="8C8C8C"/>
          <w:sz w:val="12"/>
        </w:rPr>
        <w:t>cf-art-150-inc-III-ali-b</w:t>
      </w:r>
      <w:r>
        <w:rPr>
          <w:color w:val="003CA0"/>
          <w:sz w:val="12"/>
        </w:rPr>
        <w:t xml:space="preserve"> | RE 1.473.645</w:t>
      </w:r>
      <w:r>
        <w:rPr>
          <w:color w:val="003CA0"/>
          <w:sz w:val="12"/>
        </w:rPr>
        <w:t xml:space="preserve"> | rel. Luís Roberto Barroso</w:t>
      </w:r>
    </w:p>
    <w:p>
      <w:pPr>
        <w:ind w:left="288"/>
      </w:pPr>
      <w:r>
        <w:rPr>
          <w:color w:val="1E1E1E"/>
          <w:sz w:val="18"/>
        </w:rPr>
        <w:t>"O princípio da anterioridade tributária, geral e nonagesimal, se aplica às hipóteses de redução ou de supressão de benefícios ou de incentivos fiscais que resultem em majoração indireta de tributos, observadas as determinações e as exceções constitucionais para cada tributo”.</w:t>
      </w:r>
    </w:p>
    <w:p>
      <w:pPr>
        <w:ind w:left="288"/>
      </w:pPr>
      <w:r>
        <w:rPr>
          <w:b/>
          <w:color w:val="003CA0"/>
          <w:sz w:val="16"/>
        </w:rPr>
        <w:t>[RE 1.473.645 RG, rel. min. Luís Roberto Barroso, j. 21.03.2025, P, DJE de 29.04.2025, Tema 1.383, com mérito julgado.]</w:t>
      </w:r>
    </w:p>
    <w:p>
      <w:pPr>
        <w:ind w:left="288"/>
      </w:pPr>
      <w:r>
        <w:rPr>
          <w:color w:val="8C8C8C"/>
          <w:sz w:val="12"/>
        </w:rPr>
        <w:t>cf-art-150-inc-III-ali-b</w:t>
      </w:r>
      <w:r>
        <w:rPr>
          <w:color w:val="003CA0"/>
          <w:sz w:val="12"/>
        </w:rPr>
        <w:t xml:space="preserve"> | ARE 1.548.622</w:t>
      </w:r>
      <w:r>
        <w:rPr>
          <w:color w:val="003CA0"/>
          <w:sz w:val="12"/>
        </w:rPr>
        <w:t xml:space="preserve"> | rel. Dias Toffoli</w:t>
      </w:r>
    </w:p>
    <w:p>
      <w:pPr>
        <w:ind w:left="288"/>
      </w:pPr>
      <w:r>
        <w:rPr>
          <w:color w:val="1E1E1E"/>
          <w:sz w:val="18"/>
        </w:rPr>
        <w:t>ICMS. Emenda Constitucional nº 123/22. Biocombustíveis. Diferencial competitivo em relação aos combustíveis fósseis. Majoração de alíquota do ICMS sobre o etanol. Princípio da anterioridade tributária. Exceção. Inaplicabilidade. (...) O constituinte pode estabelecer exceções ao princípio da anterioridade tributária, contexto no qual se deve interpretar o art. 4º, § 3º, da EC nº 123/22.</w:t>
      </w:r>
    </w:p>
    <w:p>
      <w:pPr>
        <w:ind w:left="288"/>
      </w:pPr>
      <w:r>
        <w:rPr>
          <w:b/>
          <w:color w:val="003CA0"/>
          <w:sz w:val="16"/>
        </w:rPr>
        <w:t>[ARE 1.548.622 AgR rel. min. Dias Toffoli, j. 06.08.2025, 2ª T, DJE de 08.08.2025.]</w:t>
      </w:r>
    </w:p>
    <w:p>
      <w:pPr>
        <w:ind w:left="144"/>
      </w:pPr>
      <w:r>
        <w:rPr>
          <w:b/>
          <w:color w:val="B45A00"/>
          <w:sz w:val="16"/>
        </w:rPr>
        <w:t>JULGADOS CORRELATOS</w:t>
      </w:r>
    </w:p>
    <w:p>
      <w:pPr>
        <w:ind w:left="288"/>
      </w:pPr>
      <w:r>
        <w:rPr>
          <w:color w:val="8C8C8C"/>
          <w:sz w:val="12"/>
        </w:rPr>
        <w:t>cf-art-150-inc-III-ali-b</w:t>
      </w:r>
      <w:r>
        <w:rPr>
          <w:color w:val="003CA0"/>
          <w:sz w:val="12"/>
        </w:rPr>
        <w:t xml:space="preserve"> | RE 188.083</w:t>
      </w:r>
      <w:r>
        <w:rPr>
          <w:color w:val="003CA0"/>
          <w:sz w:val="12"/>
        </w:rPr>
        <w:t xml:space="preserve"> | rel. Marco Aurélio</w:t>
      </w:r>
    </w:p>
    <w:p>
      <w:pPr>
        <w:ind w:left="288"/>
      </w:pPr>
      <w:r>
        <w:rPr>
          <w:color w:val="1E1E1E"/>
          <w:sz w:val="18"/>
        </w:rPr>
        <w:t>Lei regedora de tributo há de ser editada em certo exercício, para observância no subsequente. (...) Ante o princípio da irretroatividade, surge inconstitucional o § 2º do art. 30 da Lei 7.799/1989, no que impôs a correção monetária das demonstrações financeiras referentes ao exercício de 1989.</w:t>
      </w:r>
    </w:p>
    <w:p>
      <w:pPr>
        <w:ind w:left="288"/>
      </w:pPr>
      <w:r>
        <w:rPr>
          <w:b/>
          <w:color w:val="003CA0"/>
          <w:sz w:val="16"/>
        </w:rPr>
        <w:t>[RE 188.083, rel. min. Marco Aurélio, j. 5-8-2015, P, DJE de 20-10-2015.]</w:t>
      </w:r>
    </w:p>
    <w:p>
      <w:pPr>
        <w:ind w:left="288"/>
      </w:pPr>
      <w:r>
        <w:rPr>
          <w:color w:val="8C8C8C"/>
          <w:sz w:val="12"/>
        </w:rPr>
        <w:t>cf-art-150-inc-III-ali-b</w:t>
      </w:r>
      <w:r>
        <w:rPr>
          <w:color w:val="003CA0"/>
          <w:sz w:val="12"/>
        </w:rPr>
        <w:t xml:space="preserve"> | ARE 660.173</w:t>
      </w:r>
      <w:r>
        <w:rPr>
          <w:color w:val="003CA0"/>
          <w:sz w:val="12"/>
        </w:rPr>
        <w:t xml:space="preserve"> | rel. Dias Toffoli</w:t>
      </w:r>
    </w:p>
    <w:p>
      <w:pPr>
        <w:ind w:left="288"/>
      </w:pPr>
      <w:r>
        <w:rPr>
          <w:color w:val="1E1E1E"/>
          <w:sz w:val="18"/>
        </w:rPr>
        <w:t>Imposto de renda. Apuração semestral. Lei 7.450/1985 e DL 2.341/1987. Apuração anual. DL 2.354/1987. Irretroatividade. A Corte possui firme entendimento no sentido de que viola o princípio da irretroatividade a introdução de mudanças na sistemática de apuração do tributo capazes de majorá-lo, se o período de apuração estava encerrado.</w:t>
      </w:r>
    </w:p>
    <w:p>
      <w:pPr>
        <w:ind w:left="288"/>
      </w:pPr>
      <w:r>
        <w:rPr>
          <w:b/>
          <w:color w:val="003CA0"/>
          <w:sz w:val="16"/>
        </w:rPr>
        <w:t>[ARE 660.173 AgR, rel. min. Dias Toffoli, j. 5-11-2013, 1ª T, DJE de 28-11-2013.]</w:t>
      </w:r>
    </w:p>
    <w:p>
      <w:pPr>
        <w:ind w:left="288"/>
      </w:pPr>
      <w:r>
        <w:rPr>
          <w:color w:val="8C8C8C"/>
          <w:sz w:val="12"/>
        </w:rPr>
        <w:t>cf-art-150-inc-III-ali-b</w:t>
      </w:r>
      <w:r>
        <w:rPr>
          <w:color w:val="003CA0"/>
          <w:sz w:val="12"/>
        </w:rPr>
        <w:t xml:space="preserve"> | RE 201.465</w:t>
      </w:r>
      <w:r>
        <w:rPr>
          <w:color w:val="003CA0"/>
          <w:sz w:val="12"/>
        </w:rPr>
        <w:t xml:space="preserve"> | rel. Ilmar Galvão</w:t>
      </w:r>
    </w:p>
    <w:p>
      <w:pPr>
        <w:ind w:left="288"/>
      </w:pPr>
      <w:r>
        <w:rPr>
          <w:color w:val="1E1E1E"/>
          <w:sz w:val="18"/>
        </w:rPr>
        <w:t>Demonstrações financeiras relativas ao ano-base de 1990. Atualização monetária pelo BTN [Bônus do Tesouro Nacional] fiscal. Acórdão que concluiu pela configuração, no caso, de ofensa ao princípio da anterioridade. Princípio tido por aplicado de forma equivocada. Alegação procedente. Primeiro, porque, ao mandar corrigir as demonstrações financeiras pelo BTN fiscal desatrelado do IPI, a Lei 8.088/1990, necessariamente, não determinou a majoração da base de cálculo do imposto de renda (IR), efeito que somente se verificou relativamente às empresas com patrimônio líquido superior ao ativo permanen</w:t>
      </w:r>
    </w:p>
    <w:p>
      <w:pPr>
        <w:ind w:left="288"/>
      </w:pPr>
      <w:r>
        <w:rPr>
          <w:b/>
          <w:color w:val="003CA0"/>
          <w:sz w:val="16"/>
        </w:rPr>
        <w:t>[RE 284.619, rel. min. Ilmar Galvão, j. 17-12-2002, 1ª T, DJ de 7-3-2003.]</w:t>
      </w:r>
    </w:p>
    <w:p>
      <w:pPr>
        <w:ind w:left="288"/>
      </w:pPr>
      <w:r>
        <w:rPr>
          <w:color w:val="8C8C8C"/>
          <w:sz w:val="12"/>
        </w:rPr>
        <w:t>cf-art-150-inc-III-ali-b</w:t>
      </w:r>
      <w:r>
        <w:rPr>
          <w:color w:val="003CA0"/>
          <w:sz w:val="12"/>
        </w:rPr>
        <w:t xml:space="preserve"> | RE 268.003</w:t>
      </w:r>
      <w:r>
        <w:rPr>
          <w:color w:val="003CA0"/>
          <w:sz w:val="12"/>
        </w:rPr>
        <w:t xml:space="preserve"> | rel. Moreira Alves</w:t>
      </w:r>
    </w:p>
    <w:p>
      <w:pPr>
        <w:ind w:left="288"/>
      </w:pPr>
      <w:r>
        <w:rPr>
          <w:color w:val="1E1E1E"/>
          <w:sz w:val="18"/>
        </w:rPr>
        <w:t>Correção monetária prevista na Lei 7.738/1989 (art. 15, parágrafo único). Constitucionalidade. O disposto no art. 15, parágrafo único, da Lei 7.738/1989 não viola os princípios constitucionais da legalidade, da anterioridade, do respeito ao direito adquirido e da irretroatividade tributária (art. 150, III, b, da Constituição).</w:t>
      </w:r>
    </w:p>
    <w:p>
      <w:pPr>
        <w:ind w:left="288"/>
      </w:pPr>
      <w:r>
        <w:rPr>
          <w:b/>
          <w:color w:val="003CA0"/>
          <w:sz w:val="16"/>
        </w:rPr>
        <w:t>[RE 268.003, rel. min. Moreira Alves, j. 23-5-2000, 1ª T, DJ de 10-8-2000.]</w:t>
      </w:r>
    </w:p>
    <w:p>
      <w:pPr>
        <w:ind w:left="288"/>
      </w:pPr>
      <w:r>
        <w:rPr>
          <w:color w:val="8C8C8C"/>
          <w:sz w:val="12"/>
        </w:rPr>
        <w:t>cf-art-150-inc-III-ali-b</w:t>
      </w:r>
      <w:r>
        <w:rPr>
          <w:color w:val="003CA0"/>
          <w:sz w:val="12"/>
        </w:rPr>
        <w:t xml:space="preserve"> | RE 204.062</w:t>
      </w:r>
      <w:r>
        <w:rPr>
          <w:color w:val="003CA0"/>
          <w:sz w:val="12"/>
        </w:rPr>
        <w:t xml:space="preserve"> | rel. Carlos Velloso</w:t>
      </w:r>
    </w:p>
    <w:p>
      <w:pPr>
        <w:ind w:left="288"/>
      </w:pPr>
      <w:r>
        <w:rPr>
          <w:color w:val="1E1E1E"/>
          <w:sz w:val="18"/>
        </w:rPr>
        <w:t>Revogada a isenção, o tributo torna-se imediatamente exigível. Em caso assim, não há que se observar o princípio da anterioridade, dado que o tributo já é existente.</w:t>
      </w:r>
    </w:p>
    <w:p>
      <w:pPr>
        <w:ind w:left="288"/>
      </w:pPr>
      <w:r>
        <w:rPr>
          <w:b/>
          <w:color w:val="003CA0"/>
          <w:sz w:val="16"/>
        </w:rPr>
        <w:t>[RE 204.062, rel. min. Carlos Velloso, j. 27-9-1996, 2ª T, DJ de 19-12-1996.]</w:t>
      </w:r>
    </w:p>
    <w:p>
      <w:pPr>
        <w:ind w:left="288"/>
      </w:pPr>
      <w:r>
        <w:rPr>
          <w:color w:val="8C8C8C"/>
          <w:sz w:val="12"/>
        </w:rPr>
        <w:t>cf-art-150-inc-III-ali-c</w:t>
      </w:r>
      <w:r>
        <w:rPr>
          <w:color w:val="003CA0"/>
          <w:sz w:val="12"/>
        </w:rPr>
        <w:t xml:space="preserve"> | ADC 84</w:t>
      </w:r>
      <w:r>
        <w:rPr>
          <w:color w:val="003CA0"/>
          <w:sz w:val="12"/>
        </w:rPr>
        <w:t xml:space="preserve"> | rel. Cristiano Zanin</w:t>
      </w:r>
    </w:p>
    <w:p>
      <w:pPr>
        <w:ind w:left="288"/>
      </w:pPr>
      <w:r>
        <w:rPr>
          <w:color w:val="1E1E1E"/>
          <w:sz w:val="18"/>
        </w:rPr>
        <w:t>A incidência das alíquotas de 0,65% e 4% da contribuição ao PIS e da COFINS previstas no art. 1º do Decreto n. 8.426/2015, repristinado pelo Decreto n. 11.374/2023, não está sujeita a anterioridade nonagesimal.</w:t>
      </w:r>
    </w:p>
    <w:p>
      <w:pPr>
        <w:ind w:left="288"/>
      </w:pPr>
      <w:r>
        <w:rPr>
          <w:b/>
          <w:color w:val="003CA0"/>
          <w:sz w:val="16"/>
        </w:rPr>
        <w:t>[ADC 84, rel. min. Cristiano Zanin, j. 14.10.2024, P, DJE de 22.10.2024.]</w:t>
      </w:r>
    </w:p>
    <w:p>
      <w:pPr>
        <w:ind w:left="144"/>
      </w:pPr>
      <w:r>
        <w:rPr>
          <w:b/>
          <w:color w:val="B45A00"/>
          <w:sz w:val="16"/>
        </w:rPr>
        <w:t>CONTROLE CONCENTRADO</w:t>
      </w:r>
    </w:p>
    <w:p>
      <w:pPr>
        <w:ind w:left="288"/>
      </w:pPr>
      <w:r>
        <w:rPr>
          <w:color w:val="8C8C8C"/>
          <w:sz w:val="12"/>
        </w:rPr>
        <w:t>cf-art-150-inc-III-ali-c</w:t>
      </w:r>
      <w:r>
        <w:rPr>
          <w:color w:val="003CA0"/>
          <w:sz w:val="12"/>
        </w:rPr>
        <w:t xml:space="preserve"> | ADI 7.066</w:t>
      </w:r>
      <w:r>
        <w:rPr>
          <w:color w:val="003CA0"/>
          <w:sz w:val="12"/>
        </w:rPr>
        <w:t xml:space="preserve"> | rel. Alexandre de Moraes</w:t>
      </w:r>
    </w:p>
    <w:p>
      <w:pPr>
        <w:ind w:left="288"/>
      </w:pPr>
      <w:r>
        <w:rPr>
          <w:color w:val="1E1E1E"/>
          <w:sz w:val="18"/>
        </w:rPr>
        <w:t>A EC 87/2015 e a LC 190/2022 estenderam a sistemática de aplicação do diferencial de alíquota do ICMS em operações e prestações que destinem bens e serviços a consumidor final contribuinte para as operações destinadas a não contribuintes, atribuindo capacidade tributária ativa a outro ente político, sem modificar a hipótese de incidência ou a base de cálculo do tributo. A ampliação da técnica fiscal não afetou a esfera jurídica do contribuinte, limitando-se a fracionar o produto da arrecadação antes devido integralmente ao Estado produtor (alíquota interna) em duas parcelas devidas a entes div</w:t>
      </w:r>
    </w:p>
    <w:p>
      <w:pPr>
        <w:ind w:left="288"/>
      </w:pPr>
      <w:r>
        <w:rPr>
          <w:b/>
          <w:color w:val="003CA0"/>
          <w:sz w:val="16"/>
        </w:rPr>
        <w:t>[ADI 7.066, ADI 7.070 e ADI 7.078, rel. min. Alexandre de Moraes, j. 29.11.2023, P, DJE de 06.05.2024.]</w:t>
      </w:r>
    </w:p>
    <w:p>
      <w:pPr>
        <w:ind w:left="288"/>
      </w:pPr>
      <w:r>
        <w:rPr>
          <w:color w:val="8C8C8C"/>
          <w:sz w:val="12"/>
        </w:rPr>
        <w:t>cf-art-150-inc-III-ali-c</w:t>
      </w:r>
      <w:r>
        <w:rPr>
          <w:color w:val="003CA0"/>
          <w:sz w:val="12"/>
        </w:rPr>
        <w:t xml:space="preserve"> | ADI 5.282</w:t>
      </w:r>
      <w:r>
        <w:rPr>
          <w:color w:val="003CA0"/>
          <w:sz w:val="12"/>
        </w:rPr>
        <w:t xml:space="preserve"> | rel. André Mendonça</w:t>
      </w:r>
    </w:p>
    <w:p>
      <w:pPr>
        <w:ind w:left="288"/>
      </w:pPr>
      <w:r>
        <w:rPr>
          <w:color w:val="1E1E1E"/>
          <w:sz w:val="18"/>
        </w:rPr>
        <w:t>No caso de um tributo sujeito duplamente à anterioridade de exercício e à noventena, a lei que institui ou majora a imposição somente será eficaz, de um lado, no exercício financeiro seguinte ao de sua publicação e, de outro, após decorridos noventa dias da data de sua divulgação em meio oficial. Logo, a contar da publicação da lei, os prazos transcorrem simultaneamente, e não sucessivamente. (...) Não há desvio de finalidade no caso de lei ordinária estadual alterar o aspecto temporal do IPVA para viabilizar, a um só tempo, o respeito à garantia da anterioridade, inclusive nonagesimal, e viab</w:t>
      </w:r>
    </w:p>
    <w:p>
      <w:pPr>
        <w:ind w:left="288"/>
      </w:pPr>
      <w:r>
        <w:rPr>
          <w:b/>
          <w:color w:val="003CA0"/>
          <w:sz w:val="16"/>
        </w:rPr>
        <w:t>[ADI 5.277, rel. min. Dias Toffoli, j. 10-12-2020, P, DJE de 25-3-2021.]</w:t>
      </w:r>
    </w:p>
    <w:p>
      <w:pPr>
        <w:ind w:left="288"/>
      </w:pPr>
      <w:r>
        <w:rPr>
          <w:color w:val="8C8C8C"/>
          <w:sz w:val="12"/>
        </w:rPr>
        <w:t>cf-art-150-inc-III-ali-c</w:t>
      </w:r>
      <w:r>
        <w:rPr>
          <w:color w:val="003CA0"/>
          <w:sz w:val="12"/>
        </w:rPr>
        <w:t xml:space="preserve"> | ADI 4.661</w:t>
      </w:r>
      <w:r>
        <w:rPr>
          <w:color w:val="003CA0"/>
          <w:sz w:val="12"/>
        </w:rPr>
        <w:t xml:space="preserve"> | rel. Marco Aurélio</w:t>
      </w:r>
    </w:p>
    <w:p>
      <w:pPr>
        <w:ind w:left="288"/>
      </w:pPr>
      <w:r>
        <w:rPr>
          <w:color w:val="1E1E1E"/>
          <w:sz w:val="18"/>
        </w:rPr>
        <w:t>Mostra-se relevante pedido de concessão de medida acauteladora objetivando afastar a exigibilidade da majoração do IPI, promovida mediante decreto, antes de decorridos os noventa dias previstos no art. 150, III, c, da Carta da República.</w:t>
      </w:r>
    </w:p>
    <w:p>
      <w:pPr>
        <w:ind w:left="288"/>
      </w:pPr>
      <w:r>
        <w:rPr>
          <w:b/>
          <w:color w:val="003CA0"/>
          <w:sz w:val="16"/>
        </w:rPr>
        <w:t>[ADI 4.661 MC, rel. min. Marco Aurélio, j. 20-10-2011, P, DJE de 23-3-2012.]</w:t>
      </w:r>
    </w:p>
    <w:p>
      <w:pPr>
        <w:ind w:left="288"/>
      </w:pPr>
      <w:r>
        <w:rPr>
          <w:color w:val="8C8C8C"/>
          <w:sz w:val="12"/>
        </w:rPr>
        <w:t>cf-art-150-inc-III-ali-c</w:t>
      </w:r>
      <w:r>
        <w:rPr>
          <w:color w:val="003CA0"/>
          <w:sz w:val="12"/>
        </w:rPr>
        <w:t xml:space="preserve"> | RE 671.927</w:t>
      </w:r>
      <w:r>
        <w:rPr>
          <w:color w:val="003CA0"/>
          <w:sz w:val="12"/>
        </w:rPr>
        <w:t xml:space="preserve"> | rel. Ayres Britto</w:t>
      </w:r>
    </w:p>
    <w:p>
      <w:pPr>
        <w:ind w:left="288"/>
      </w:pPr>
      <w:r>
        <w:rPr>
          <w:color w:val="1E1E1E"/>
          <w:sz w:val="18"/>
        </w:rPr>
        <w:t>= RE 671.927, rel. min. Ayres Britto, j. 15-3-2012, dec. monocrática, DJE de 3-4-2012 Lei 959 do Estado do Amapá, publicada no DOE de 30-12-2006, que dispõe sobre custas judiciais e emolumentos de serviços notariais e de registros públicos, cujo art. 47 – impugnado – determina que a "lei entrará em vigor no dia 1º de janeiro de 2006": procedência, em parte, para dar interpretação conforme à Constituição ao dispositivos questionado e declarar que, apesar de estar em vigor a partir de 1º de janeiro de 2006, a eficácia dessa norma, em relação aos dispositivos que aumentam ou instituem novas custa</w:t>
      </w:r>
    </w:p>
    <w:p>
      <w:pPr>
        <w:ind w:left="288"/>
      </w:pPr>
      <w:r>
        <w:rPr>
          <w:b/>
          <w:color w:val="003CA0"/>
          <w:sz w:val="16"/>
        </w:rPr>
        <w:t>[ADI 3.694, rel. min. Sepúlveda Pertence, j. 20-9-2006, P, DJ de 6-11-2006.]</w:t>
      </w:r>
    </w:p>
    <w:p>
      <w:pPr>
        <w:ind w:left="288"/>
      </w:pPr>
      <w:r>
        <w:rPr>
          <w:color w:val="8C8C8C"/>
          <w:sz w:val="12"/>
        </w:rPr>
        <w:t>cf-art-150-inc-III-ali-c</w:t>
      </w:r>
      <w:r>
        <w:rPr>
          <w:color w:val="003CA0"/>
          <w:sz w:val="12"/>
        </w:rPr>
        <w:t xml:space="preserve"> | ADI 7066</w:t>
      </w:r>
      <w:r>
        <w:rPr>
          <w:color w:val="003CA0"/>
          <w:sz w:val="12"/>
        </w:rPr>
        <w:t xml:space="preserve"> | rel. Alexandre de Moraes</w:t>
      </w:r>
    </w:p>
    <w:p>
      <w:pPr>
        <w:ind w:left="288"/>
      </w:pPr>
      <w:r>
        <w:rPr>
          <w:color w:val="1E1E1E"/>
          <w:sz w:val="18"/>
        </w:rPr>
        <w:t>“I - É Constitucional o art. 3º da Lei Complementar 190/2022, o qual estabelece vacatio legis no prazo correspondente à anterioridade nonagesimal prevista no art. 150, III, ‘c’, da Constituição Federal. II - As leis estaduais editadas após a EC 87/2015 e antes da entrada em vigor da Lei Complementar 190/2022, com o propósito de instituir a cobrança do Diferencial de Alíquotas do ICMS – DIFAL nas operações e prestações que destinem bens e serviços a consumidor final não contribuinte do imposto, são válidas, mas produzem efeitos somente a partir da vigência da LC 190/2022. III- Contribuintes que</w:t>
      </w:r>
    </w:p>
    <w:p>
      <w:pPr>
        <w:ind w:left="288"/>
      </w:pPr>
      <w:r>
        <w:rPr>
          <w:b/>
          <w:color w:val="003CA0"/>
          <w:sz w:val="16"/>
        </w:rPr>
        <w:t>[RE 1.426.271, rel. min. Alexandre de Moraes, j. 22.10.2025, P, DJE de 18.12.2025, Tema 1.266, com mérito julgado.]</w:t>
      </w:r>
    </w:p>
    <w:p>
      <w:pPr>
        <w:ind w:left="288"/>
      </w:pPr>
      <w:r>
        <w:rPr>
          <w:color w:val="8C8C8C"/>
          <w:sz w:val="12"/>
        </w:rPr>
        <w:t>cf-art-150-inc-III-ali-c</w:t>
      </w:r>
      <w:r>
        <w:rPr>
          <w:color w:val="003CA0"/>
          <w:sz w:val="12"/>
        </w:rPr>
        <w:t xml:space="preserve"> | RE 1.473.645</w:t>
      </w:r>
      <w:r>
        <w:rPr>
          <w:color w:val="003CA0"/>
          <w:sz w:val="12"/>
        </w:rPr>
        <w:t xml:space="preserve"> | rel. Luís Roberto Barroso</w:t>
      </w:r>
    </w:p>
    <w:p>
      <w:pPr>
        <w:ind w:left="288"/>
      </w:pPr>
      <w:r>
        <w:rPr>
          <w:color w:val="1E1E1E"/>
          <w:sz w:val="18"/>
        </w:rPr>
        <w:t>"O princípio da anterioridade tributária, geral e nonagesimal, se aplica às hipóteses de redução ou de supressão de benefícios ou de incentivos fiscais que resultem em majoração indireta de tributos, observadas as determinações e as exceções constitucionais para cada tributo”.</w:t>
      </w:r>
    </w:p>
    <w:p>
      <w:pPr>
        <w:ind w:left="288"/>
      </w:pPr>
      <w:r>
        <w:rPr>
          <w:b/>
          <w:color w:val="003CA0"/>
          <w:sz w:val="16"/>
        </w:rPr>
        <w:t>[RE 1.473.645 RG, rel. min. Luís Roberto Barroso, j. 21.03.2025, P, DJE de 29.04.2025, Tema 1.383, com mérito julgado.]</w:t>
      </w:r>
    </w:p>
    <w:p>
      <w:pPr>
        <w:ind w:left="288"/>
      </w:pPr>
      <w:r>
        <w:rPr>
          <w:color w:val="8C8C8C"/>
          <w:sz w:val="12"/>
        </w:rPr>
        <w:t>cf-art-150-inc-III-ali-c</w:t>
      </w:r>
      <w:r>
        <w:rPr>
          <w:color w:val="003CA0"/>
          <w:sz w:val="12"/>
        </w:rPr>
        <w:t xml:space="preserve"> | RE 1.501.643</w:t>
      </w:r>
      <w:r>
        <w:rPr>
          <w:color w:val="003CA0"/>
          <w:sz w:val="12"/>
        </w:rPr>
        <w:t xml:space="preserve"> | rel. Luís Roberto Barroso</w:t>
      </w:r>
    </w:p>
    <w:p>
      <w:pPr>
        <w:ind w:left="288"/>
      </w:pPr>
      <w:r>
        <w:rPr>
          <w:color w:val="1E1E1E"/>
          <w:sz w:val="18"/>
        </w:rPr>
        <w:t>“A aplicação das alíquotas integrais do PIS e da COFINS, a partir da repristinação promovida pelo Decreto nº 11.374/2023, não está submetida à anterioridade nonagesimal”.</w:t>
      </w:r>
    </w:p>
    <w:p>
      <w:pPr>
        <w:ind w:left="288"/>
      </w:pPr>
      <w:r>
        <w:rPr>
          <w:b/>
          <w:color w:val="003CA0"/>
          <w:sz w:val="16"/>
        </w:rPr>
        <w:t>[RE 1.501.643 RG, rel. min. Luís Roberto Barroso, j. 18.10.2024, P, DJE de 22.10.2024, Tema 1.337, com mérito julgado.]</w:t>
      </w:r>
    </w:p>
    <w:p>
      <w:pPr>
        <w:ind w:left="144"/>
      </w:pPr>
      <w:r>
        <w:rPr>
          <w:b/>
          <w:color w:val="B45A00"/>
          <w:sz w:val="16"/>
        </w:rPr>
        <w:t>REPERCUSSAO GERAL</w:t>
      </w:r>
    </w:p>
    <w:p>
      <w:pPr>
        <w:ind w:left="288"/>
      </w:pPr>
      <w:r>
        <w:rPr>
          <w:color w:val="8C8C8C"/>
          <w:sz w:val="12"/>
        </w:rPr>
        <w:t>cf-art-150-inc-III-ali-c</w:t>
      </w:r>
      <w:r>
        <w:rPr>
          <w:color w:val="003CA0"/>
          <w:sz w:val="12"/>
        </w:rPr>
        <w:t xml:space="preserve"> | RE 601.967</w:t>
      </w:r>
    </w:p>
    <w:p>
      <w:pPr>
        <w:ind w:left="288"/>
      </w:pPr>
      <w:r>
        <w:rPr>
          <w:color w:val="1E1E1E"/>
          <w:sz w:val="18"/>
        </w:rPr>
        <w:t xml:space="preserve">A Constituição Federal trouxe, no artigo 155, §2º, I, a previsão do princípio da não-cumulatividade relativamente ao ICMS e, em seu inciso XII, alínea c, determina que compete à lei complementar regulamentar o regime de compensação do tributo. Dessa forma, embora a Constituição Federal tenha sido expressa sobre o direito de os contribuintes compensarem créditos decorrentes de ICMS, também conferiu às leis complementares a disciplina da questão. O contribuinte apenas poderá usufruir dos créditos de ICMS quando houver autorização da legislação complementar. Logo, o diferimento da compensação de </w:t>
      </w:r>
    </w:p>
    <w:p>
      <w:pPr>
        <w:ind w:left="288"/>
      </w:pPr>
      <w:r>
        <w:rPr>
          <w:b/>
          <w:color w:val="003CA0"/>
          <w:sz w:val="16"/>
        </w:rPr>
        <w:t>[RE 601.967, red. do ac. min. Alexandre de Moraes, j. 18-8-2020, P, DJE de 4-9-2020, Tema 346, com mérito julgado.]</w:t>
      </w:r>
    </w:p>
    <w:p>
      <w:pPr>
        <w:ind w:left="288"/>
      </w:pPr>
      <w:r>
        <w:rPr>
          <w:color w:val="8C8C8C"/>
          <w:sz w:val="12"/>
        </w:rPr>
        <w:t>cf-art-150-inc-III-ali-c</w:t>
      </w:r>
      <w:r>
        <w:rPr>
          <w:color w:val="003CA0"/>
          <w:sz w:val="12"/>
        </w:rPr>
        <w:t xml:space="preserve"> | RE 603.917</w:t>
      </w:r>
      <w:r>
        <w:rPr>
          <w:color w:val="003CA0"/>
          <w:sz w:val="12"/>
        </w:rPr>
        <w:t xml:space="preserve"> | rel. Rosa Weber</w:t>
      </w:r>
    </w:p>
    <w:p>
      <w:pPr>
        <w:ind w:left="288"/>
      </w:pPr>
      <w:r>
        <w:rPr>
          <w:color w:val="1E1E1E"/>
          <w:sz w:val="18"/>
        </w:rPr>
        <w:t>A postergação do direito do contribuinte do ICMS de usufruir de novas hipóteses de creditamento, por não representar aumento do tributo, não se sujeita à anterioridade nonagesimal prevista no art. 150, III, c, da Constituição.</w:t>
      </w:r>
    </w:p>
    <w:p>
      <w:pPr>
        <w:ind w:left="288"/>
      </w:pPr>
      <w:r>
        <w:rPr>
          <w:b/>
          <w:color w:val="003CA0"/>
          <w:sz w:val="16"/>
        </w:rPr>
        <w:t>[RE 603.917, rel. min. Rosa Weber, j. 25-10-2019, P, DJE de 18-11-2019, Tema 382, com mérito julgado.]</w:t>
      </w:r>
    </w:p>
    <w:p>
      <w:pPr>
        <w:ind w:left="288"/>
      </w:pPr>
      <w:r>
        <w:rPr>
          <w:color w:val="8C8C8C"/>
          <w:sz w:val="12"/>
        </w:rPr>
        <w:t>cf-art-150-inc-III-ali-c</w:t>
      </w:r>
      <w:r>
        <w:rPr>
          <w:color w:val="003CA0"/>
          <w:sz w:val="12"/>
        </w:rPr>
        <w:t xml:space="preserve"> | RE 584.100</w:t>
      </w:r>
      <w:r>
        <w:rPr>
          <w:color w:val="003CA0"/>
          <w:sz w:val="12"/>
        </w:rPr>
        <w:t xml:space="preserve"> | rel. Ellen Gracie</w:t>
      </w:r>
    </w:p>
    <w:p>
      <w:pPr>
        <w:ind w:left="288"/>
      </w:pPr>
      <w:r>
        <w:rPr>
          <w:color w:val="1E1E1E"/>
          <w:sz w:val="18"/>
        </w:rPr>
        <w:t>O prazo nonagesimal previsto no art. 150, III, c, da CF somente deve ser utilizado nos casos de criação ou majoração de tributos, não na hipótese de simples prorrogação de alíquota já aplicada anteriormente.</w:t>
      </w:r>
    </w:p>
    <w:p>
      <w:pPr>
        <w:ind w:left="288"/>
      </w:pPr>
      <w:r>
        <w:rPr>
          <w:b/>
          <w:color w:val="003CA0"/>
          <w:sz w:val="16"/>
        </w:rPr>
        <w:t>[RE 584.100, rel. min. Ellen Gracie, j. 25-11-2009, P, DJE de 5-2-2010, Tema 91, com mérito julgado.]</w:t>
      </w:r>
    </w:p>
    <w:p>
      <w:pPr>
        <w:ind w:left="144"/>
      </w:pPr>
      <w:r>
        <w:rPr>
          <w:b/>
          <w:color w:val="B45A00"/>
          <w:sz w:val="16"/>
        </w:rPr>
        <w:t>JULGADOS CORRELATOS</w:t>
      </w:r>
    </w:p>
    <w:p>
      <w:pPr>
        <w:ind w:left="288"/>
      </w:pPr>
      <w:r>
        <w:rPr>
          <w:color w:val="8C8C8C"/>
          <w:sz w:val="12"/>
        </w:rPr>
        <w:t>cf-art-150-inc-III-ali-c</w:t>
      </w:r>
      <w:r>
        <w:rPr>
          <w:color w:val="003CA0"/>
          <w:sz w:val="12"/>
        </w:rPr>
        <w:t xml:space="preserve"> | RE 413.476</w:t>
      </w:r>
      <w:r>
        <w:rPr>
          <w:color w:val="003CA0"/>
          <w:sz w:val="12"/>
        </w:rPr>
        <w:t xml:space="preserve"> | rel. Dias Toffoli</w:t>
      </w:r>
    </w:p>
    <w:p>
      <w:pPr>
        <w:ind w:left="288"/>
      </w:pPr>
      <w:r>
        <w:rPr>
          <w:color w:val="1E1E1E"/>
          <w:sz w:val="18"/>
        </w:rPr>
        <w:t>A restrição do benefício fiscal de isenção de IPI na aquisição de veículos por portadores de necessidades especiais deve observar a anterioridade nonagesimal de que trata o art. 150, inciso III, alínea c, da Constituição Federal.</w:t>
      </w:r>
    </w:p>
    <w:p>
      <w:pPr>
        <w:ind w:left="288"/>
      </w:pPr>
      <w:r>
        <w:rPr>
          <w:b/>
          <w:color w:val="003CA0"/>
          <w:sz w:val="16"/>
        </w:rPr>
        <w:t>[RE 413.476 AgR, rel. min. Dias Toffoli, j. 6-3-2023, 1ª T, DJE de 16-3-2023.]</w:t>
      </w:r>
    </w:p>
    <w:p>
      <w:pPr>
        <w:ind w:left="288"/>
      </w:pPr>
      <w:r>
        <w:rPr>
          <w:color w:val="8C8C8C"/>
          <w:sz w:val="12"/>
        </w:rPr>
        <w:t>cf-art-150-inc-III-ali-c</w:t>
      </w:r>
      <w:r>
        <w:rPr>
          <w:color w:val="003CA0"/>
          <w:sz w:val="12"/>
        </w:rPr>
        <w:t xml:space="preserve"> | AI 174.540</w:t>
      </w:r>
      <w:r>
        <w:rPr>
          <w:color w:val="003CA0"/>
          <w:sz w:val="12"/>
        </w:rPr>
        <w:t xml:space="preserve"> | rel. Maurício Corrêa</w:t>
      </w:r>
    </w:p>
    <w:p>
      <w:pPr>
        <w:ind w:left="288"/>
      </w:pPr>
      <w:r>
        <w:rPr>
          <w:color w:val="1E1E1E"/>
          <w:sz w:val="18"/>
        </w:rPr>
        <w:t>As contribuições sociais da seguridade social previstas no art. 195 da CF que foram incluídas no capítulo do Sistema Tributário Nacional, poderão ser exigidas após decorridos noventa dias da data da publicação da lei que as houver instituído ou modificado, não se lhes aplicando o disposto no art. 150, III, b, do Sistema Tributário, posto que excluídas do regime dos tributos.</w:t>
        <w:br/>
        <w:t>[AI 174.540 AgR, rel. min. Maurício Corrêa, j. 13-2-1996, 2ª T, DJ de 26-4-1996.]</w:t>
      </w:r>
    </w:p>
    <w:p>
      <w:pPr>
        <w:ind w:left="288"/>
      </w:pPr>
      <w:r>
        <w:rPr>
          <w:color w:val="8C8C8C"/>
          <w:sz w:val="12"/>
        </w:rPr>
        <w:t>cf-art-150-inc-IV</w:t>
      </w:r>
      <w:r>
        <w:rPr>
          <w:color w:val="003CA0"/>
          <w:sz w:val="12"/>
        </w:rPr>
        <w:t xml:space="preserve"> | ADI 5.431</w:t>
      </w:r>
      <w:r>
        <w:rPr>
          <w:color w:val="003CA0"/>
          <w:sz w:val="12"/>
        </w:rPr>
        <w:t xml:space="preserve"> | rel. Gilmar Mendes</w:t>
      </w:r>
    </w:p>
    <w:p>
      <w:pPr>
        <w:ind w:left="288"/>
      </w:pPr>
      <w:r>
        <w:rPr>
          <w:color w:val="1E1E1E"/>
          <w:sz w:val="18"/>
        </w:rPr>
        <w:t>Responsabilidade solidária do representante, no país, do transportador estrangeiro pelo recolhimento do imposto de importação. (...) parágrafo único do art. 32 do Decreto-Lei 37/1966, com a redação conferida pelo art. 77 da Medida Provisória 2.158-35/2001. (...) A norma impugnada não afronta os princípios constitucionais da vedação ao confisco, da capacidade contributiva e da livre iniciativa, porque o representante do transportador estrangeiro, na condição de terceira pessoa vinculada ao fato gerador da obrigação tributária relacionada à atividade de importação, possui responsabilidade pelo c</w:t>
      </w:r>
    </w:p>
    <w:p>
      <w:pPr>
        <w:ind w:left="288"/>
      </w:pPr>
      <w:r>
        <w:rPr>
          <w:b/>
          <w:color w:val="003CA0"/>
          <w:sz w:val="16"/>
        </w:rPr>
        <w:t>[ADI 5.431, rel. min. Gilmar Mendes, j. 02.12.2024, P, DJE de 06.12.2024.]</w:t>
      </w:r>
    </w:p>
    <w:p>
      <w:pPr>
        <w:ind w:left="144"/>
      </w:pPr>
      <w:r>
        <w:rPr>
          <w:b/>
          <w:color w:val="B45A00"/>
          <w:sz w:val="16"/>
        </w:rPr>
        <w:t>CONTROLE CONCENTRADO</w:t>
      </w:r>
    </w:p>
    <w:p>
      <w:pPr>
        <w:ind w:left="288"/>
      </w:pPr>
      <w:r>
        <w:rPr>
          <w:color w:val="8C8C8C"/>
          <w:sz w:val="12"/>
        </w:rPr>
        <w:t>cf-art-150-inc-IV</w:t>
      </w:r>
      <w:r>
        <w:rPr>
          <w:color w:val="003CA0"/>
          <w:sz w:val="12"/>
        </w:rPr>
        <w:t xml:space="preserve"> | ADI 7.063</w:t>
      </w:r>
      <w:r>
        <w:rPr>
          <w:color w:val="003CA0"/>
          <w:sz w:val="12"/>
        </w:rPr>
        <w:t xml:space="preserve"> | rel. Edson Fachin</w:t>
      </w:r>
    </w:p>
    <w:p>
      <w:pPr>
        <w:ind w:left="288"/>
      </w:pPr>
      <w:r>
        <w:rPr>
          <w:color w:val="1E1E1E"/>
          <w:sz w:val="18"/>
        </w:rPr>
        <w:t>Lei 9.507/2021 do Estado do Rio de Janeiro. Lei Estadual 3.350/1999 e Decreto Lei 05/1975. (...) O Art. 33-A da Lei 3.350/99 respeita o parâmetro jurisprudencial ao fixar multa de 100% para litigantes que deixarem de pagar as custas processuais, não violando o princípio do não confisco.</w:t>
      </w:r>
    </w:p>
    <w:p>
      <w:pPr>
        <w:ind w:left="288"/>
      </w:pPr>
      <w:r>
        <w:rPr>
          <w:b/>
          <w:color w:val="003CA0"/>
          <w:sz w:val="16"/>
        </w:rPr>
        <w:t>[ADI 7.063, rel. min. Edson Fachin, j. 6-6-2022, P, DJE de 22-6-2022.</w:t>
      </w:r>
    </w:p>
    <w:p>
      <w:pPr>
        <w:ind w:left="288"/>
      </w:pPr>
      <w:r>
        <w:rPr>
          <w:color w:val="8C8C8C"/>
          <w:sz w:val="12"/>
        </w:rPr>
        <w:t>cf-art-150-inc-IV</w:t>
      </w:r>
      <w:r>
        <w:rPr>
          <w:color w:val="003CA0"/>
          <w:sz w:val="12"/>
        </w:rPr>
        <w:t xml:space="preserve"> | ADI 6.671</w:t>
      </w:r>
      <w:r>
        <w:rPr>
          <w:color w:val="003CA0"/>
          <w:sz w:val="12"/>
        </w:rPr>
        <w:t xml:space="preserve"> | rel. Cármen Lúcia</w:t>
      </w:r>
    </w:p>
    <w:p>
      <w:pPr>
        <w:ind w:left="288"/>
      </w:pPr>
      <w:r>
        <w:rPr>
          <w:color w:val="1E1E1E"/>
          <w:sz w:val="18"/>
        </w:rPr>
        <w:t>Não caracteriza ofensa aos princípios da equivalência (art. 145, II, da Constituição), da vedação ao confisco (art. 150, IV, da Constituição) e da capacidade contributiva (art. 145, §1°, da Constituição) a alteração no valor das custas extrajudiciais que visa apenas a recomposição inflacionária dos emolumentos, desde que os critérios de atualização guardem relação com as atividades específicas e objetivos do tributo.</w:t>
      </w:r>
    </w:p>
    <w:p>
      <w:pPr>
        <w:ind w:left="288"/>
      </w:pPr>
      <w:r>
        <w:rPr>
          <w:b/>
          <w:color w:val="003CA0"/>
          <w:sz w:val="16"/>
        </w:rPr>
        <w:t>[ADI 6.671, rel. min. Cármen Lúcia, j. 15-9-2021, Plenário, DJE de 22-9-2021.]</w:t>
      </w:r>
    </w:p>
    <w:p>
      <w:pPr>
        <w:ind w:left="288"/>
      </w:pPr>
      <w:r>
        <w:rPr>
          <w:color w:val="8C8C8C"/>
          <w:sz w:val="12"/>
        </w:rPr>
        <w:t>cf-art-150-inc-IV</w:t>
      </w:r>
      <w:r>
        <w:rPr>
          <w:color w:val="003CA0"/>
          <w:sz w:val="12"/>
        </w:rPr>
        <w:t xml:space="preserve"> | ADI 4.628</w:t>
      </w:r>
      <w:r>
        <w:rPr>
          <w:color w:val="003CA0"/>
          <w:sz w:val="12"/>
        </w:rPr>
        <w:t xml:space="preserve"> | rel. Luiz Fux</w:t>
      </w:r>
    </w:p>
    <w:p>
      <w:pPr>
        <w:ind w:left="288"/>
      </w:pPr>
      <w:r>
        <w:rPr>
          <w:color w:val="1E1E1E"/>
          <w:sz w:val="18"/>
        </w:rPr>
        <w:t xml:space="preserve">O ICMS incidente na aquisição decorrente de operação interestadual e por meio não presencial (internet, telemarketing, showroom) por consumidor final não contribuinte do tributo não pode ter regime jurídico fixado por Estados-membros não favorecidos, sob pena de contrariar o arquétipo constitucional delineado pelos arts. 155, § 2º, VII, b, e 150, IV e V, da CRFB/1988. (...) O princípio do não confisco, que encerra direito fundamental do contribuinte, resta violado em seu núcleo essencial em face da sistemática adotada no cognominado Protocolo ICMS 21/2011, que legitima a aplicação da alíquota </w:t>
      </w:r>
    </w:p>
    <w:p>
      <w:pPr>
        <w:ind w:left="288"/>
      </w:pPr>
      <w:r>
        <w:rPr>
          <w:b/>
          <w:color w:val="003CA0"/>
          <w:sz w:val="16"/>
        </w:rPr>
        <w:t>[ADI 4.628, rel. min. Luiz Fux, j. 17-9-2014, P, DJE de 24-11-2014.]</w:t>
      </w:r>
    </w:p>
    <w:p>
      <w:pPr>
        <w:ind w:left="288"/>
      </w:pPr>
      <w:r>
        <w:rPr>
          <w:color w:val="8C8C8C"/>
          <w:sz w:val="12"/>
        </w:rPr>
        <w:t>cf-art-150-inc-IV</w:t>
      </w:r>
      <w:r>
        <w:rPr>
          <w:color w:val="003CA0"/>
          <w:sz w:val="12"/>
        </w:rPr>
        <w:t xml:space="preserve"> | ADI 2.078</w:t>
      </w:r>
      <w:r>
        <w:rPr>
          <w:color w:val="003CA0"/>
          <w:sz w:val="12"/>
        </w:rPr>
        <w:t xml:space="preserve"> | rel. Gilmar Mendes</w:t>
      </w:r>
    </w:p>
    <w:p>
      <w:pPr>
        <w:ind w:left="288"/>
      </w:pPr>
      <w:r>
        <w:rPr>
          <w:color w:val="1E1E1E"/>
          <w:sz w:val="18"/>
        </w:rPr>
        <w:t>(...) as Leis estaduais 6.688/1998 e 6.682/1998: estipulam margens mínima e máxima das custas, dos emolumentos e da taxa judiciária e realizam uma disciplina progressiva das alíquotas – somente sendo devido o pagamento dos valores elevados para as causas que envolvam considerável vulto econômico. (...) verifico que não há, no presente caso, ofensa aos princípios do livre acesso ao Poder Judiciário, da vedação ao confisco, da proibição do bis in idem, da proporcionalidade e da razoabilidade (...).</w:t>
      </w:r>
    </w:p>
    <w:p>
      <w:pPr>
        <w:ind w:left="288"/>
      </w:pPr>
      <w:r>
        <w:rPr>
          <w:b/>
          <w:color w:val="003CA0"/>
          <w:sz w:val="16"/>
        </w:rPr>
        <w:t>[ADI 2.078, voto do rel. min. Gilmar Mendes, j. 17-3-2011, P, DJE de 13-4-2011.]</w:t>
      </w:r>
    </w:p>
    <w:p>
      <w:pPr>
        <w:ind w:left="288"/>
      </w:pPr>
      <w:r>
        <w:rPr>
          <w:color w:val="8C8C8C"/>
          <w:sz w:val="12"/>
        </w:rPr>
        <w:t>cf-art-150-inc-IV</w:t>
      </w:r>
      <w:r>
        <w:rPr>
          <w:color w:val="003CA0"/>
          <w:sz w:val="12"/>
        </w:rPr>
        <w:t xml:space="preserve"> | ADI 2.214</w:t>
      </w:r>
      <w:r>
        <w:rPr>
          <w:color w:val="003CA0"/>
          <w:sz w:val="12"/>
        </w:rPr>
        <w:t xml:space="preserve"> | rel. Maurício Corrêa</w:t>
      </w:r>
    </w:p>
    <w:p>
      <w:pPr>
        <w:ind w:left="288"/>
      </w:pPr>
      <w:r>
        <w:rPr>
          <w:color w:val="1E1E1E"/>
          <w:sz w:val="18"/>
        </w:rPr>
        <w:t>O depósito judicial, sendo uma faculdade do contribuinte a ser exercida ou não, dependendo de sua vontade, não tem característica de empréstimo compulsório, nem índole confiscatória (CF, art. 150, IV), pois o mesmo valor corrigido monetariamente lhe será restituído se vencedor na ação, rendendo juros com taxa de melhor aproveitamento do que à época anterior à vigência da norma.</w:t>
      </w:r>
    </w:p>
    <w:p>
      <w:pPr>
        <w:ind w:left="288"/>
      </w:pPr>
      <w:r>
        <w:rPr>
          <w:b/>
          <w:color w:val="003CA0"/>
          <w:sz w:val="16"/>
        </w:rPr>
        <w:t>[ADI 2.214 MC, rel. min. Maurício Corrêa, j. 6-2-2002, P, DJ de 19-4-2002.]</w:t>
      </w:r>
    </w:p>
    <w:p>
      <w:pPr>
        <w:ind w:left="288"/>
      </w:pPr>
      <w:r>
        <w:rPr>
          <w:color w:val="8C8C8C"/>
          <w:sz w:val="12"/>
        </w:rPr>
        <w:t>cf-art-150-inc-IV</w:t>
      </w:r>
      <w:r>
        <w:rPr>
          <w:color w:val="003CA0"/>
          <w:sz w:val="12"/>
        </w:rPr>
        <w:t xml:space="preserve"> | ADI 1.933</w:t>
      </w:r>
      <w:r>
        <w:rPr>
          <w:color w:val="003CA0"/>
          <w:sz w:val="12"/>
        </w:rPr>
        <w:t xml:space="preserve"> | rel. Eros Grau</w:t>
      </w:r>
    </w:p>
    <w:p>
      <w:pPr>
        <w:ind w:left="288"/>
      </w:pPr>
      <w:r>
        <w:rPr>
          <w:color w:val="1E1E1E"/>
          <w:sz w:val="18"/>
        </w:rPr>
        <w:t>= ADI 1.933, rel. min. Eros Grau, j. 14-4-2010, P, DJE de 3-9-2010 É cabível, em sede de controle normativo abstrato, a possibilidade de o STF examinar se determinado tributo ofende, ou não, o princípio constitucional da não confiscatoriedade consagrado no art. 150, IV, da CF. Hipótese que versa o exame de diploma legislativo (Lei 8.846/1994, art. 3º e seu parágrafo único) que instituiu multa fiscal de 300%. A proibição constitucional do confisco em matéria tributária – ainda que se trate de multa fiscal resultante do inadimplemento, pelo contribuinte, de suas obrigações tributárias – nada mai</w:t>
      </w:r>
    </w:p>
    <w:p>
      <w:pPr>
        <w:ind w:left="288"/>
      </w:pPr>
      <w:r>
        <w:rPr>
          <w:b/>
          <w:color w:val="003CA0"/>
          <w:sz w:val="16"/>
        </w:rPr>
        <w:t>[ADI 1.075 MC, rel. min. Celso de Mello, j. 17-6-1998, P, DJ de 24-11-2006.]</w:t>
      </w:r>
    </w:p>
    <w:p>
      <w:pPr>
        <w:ind w:left="288"/>
      </w:pPr>
      <w:r>
        <w:rPr>
          <w:color w:val="8C8C8C"/>
          <w:sz w:val="12"/>
        </w:rPr>
        <w:t>cf-art-150-inc-IV</w:t>
      </w:r>
      <w:r>
        <w:rPr>
          <w:color w:val="003CA0"/>
          <w:sz w:val="12"/>
        </w:rPr>
        <w:t xml:space="preserve"> | AI 482.281</w:t>
      </w:r>
      <w:r>
        <w:rPr>
          <w:color w:val="003CA0"/>
          <w:sz w:val="12"/>
        </w:rPr>
        <w:t xml:space="preserve"> | rel. Ricardo Lewandowski</w:t>
      </w:r>
    </w:p>
    <w:p>
      <w:pPr>
        <w:ind w:left="288"/>
      </w:pPr>
      <w:r>
        <w:rPr>
          <w:color w:val="1E1E1E"/>
          <w:sz w:val="18"/>
        </w:rPr>
        <w:t>= AI 482.281 AgR, rel. min. Ricardo Lewandowski, j. 30-6-2009, 1ª T, DJE de 21-8-2009 Vide RE 400.927 AgR, rel. min. Teori Zavascki, j. 4-6-2013, 2ª T, DJE de 18-6-2013 Vide RE 523.471 AgR, rel. min. Joaquim Barbosa, j. 6-4-2010, 2ª T, DJE de 23-4-2010</w:t>
      </w:r>
    </w:p>
    <w:p>
      <w:pPr>
        <w:ind w:left="144"/>
      </w:pPr>
      <w:r>
        <w:rPr>
          <w:b/>
          <w:color w:val="B45A00"/>
          <w:sz w:val="16"/>
        </w:rPr>
        <w:t>REPERCUSSAO GERAL</w:t>
      </w:r>
    </w:p>
    <w:p>
      <w:pPr>
        <w:ind w:left="288"/>
      </w:pPr>
      <w:r>
        <w:rPr>
          <w:color w:val="8C8C8C"/>
          <w:sz w:val="12"/>
        </w:rPr>
        <w:t>cf-art-150-inc-IV</w:t>
      </w:r>
      <w:r>
        <w:rPr>
          <w:color w:val="003CA0"/>
          <w:sz w:val="12"/>
        </w:rPr>
        <w:t xml:space="preserve"> | RE 736.090</w:t>
      </w:r>
      <w:r>
        <w:rPr>
          <w:color w:val="003CA0"/>
          <w:sz w:val="12"/>
        </w:rPr>
        <w:t xml:space="preserve"> | rel. Dias Toffoli</w:t>
      </w:r>
    </w:p>
    <w:p>
      <w:pPr>
        <w:ind w:left="288"/>
      </w:pPr>
      <w:r>
        <w:rPr>
          <w:color w:val="1E1E1E"/>
          <w:sz w:val="18"/>
        </w:rPr>
        <w:t>“Até que seja editada lei complementar federal sobre a matéria, a multa tributária qualificada em razão de sonegação, fraude ou conluio limita-se a 100% (cem por cento) do débito tributário, podendo ser de até 150% (cento e cinquenta por cento) do débito tributário, caso se verifique a reincidência definida no art. 44, § 1º-A, da Lei nº 9.430/96, incluído pela Lei nº 14.689/23, observando-se, ainda, o disposto no § 1º-C do citado artigo”.</w:t>
        <w:br/>
        <w:t>[RE 736.090, rel. min. Dias Toffoli, j. 03.10.2024, P, DJE de 29.11.2024, Tema 863, com mérito julgado.] Possibilidade de fixação de multa tributária punitiv</w:t>
      </w:r>
    </w:p>
    <w:p>
      <w:pPr>
        <w:ind w:left="288"/>
      </w:pPr>
      <w:r>
        <w:rPr>
          <w:b/>
          <w:color w:val="003CA0"/>
          <w:sz w:val="16"/>
        </w:rPr>
        <w:t>[RE 1.224.696, rel. min. Marco Aurélio, j. 7-6-2021, P, DJE de 18-6-2021, Tema 185, com mérito julgado.]</w:t>
      </w:r>
    </w:p>
    <w:p>
      <w:pPr>
        <w:ind w:left="288"/>
      </w:pPr>
      <w:r>
        <w:rPr>
          <w:color w:val="8C8C8C"/>
          <w:sz w:val="12"/>
        </w:rPr>
        <w:t>cf-art-150-inc-IV</w:t>
      </w:r>
      <w:r>
        <w:rPr>
          <w:color w:val="003CA0"/>
          <w:sz w:val="12"/>
        </w:rPr>
        <w:t xml:space="preserve"> | RE 606.010</w:t>
      </w:r>
      <w:r>
        <w:rPr>
          <w:color w:val="003CA0"/>
          <w:sz w:val="12"/>
        </w:rPr>
        <w:t xml:space="preserve"> | rel. Marco Aurélio</w:t>
      </w:r>
    </w:p>
    <w:p>
      <w:pPr>
        <w:ind w:left="288"/>
      </w:pPr>
      <w:r>
        <w:rPr>
          <w:color w:val="1E1E1E"/>
          <w:sz w:val="18"/>
        </w:rPr>
        <w:t>Revela-se constitucional a sanção prevista no artigo 7º, inciso II, da Lei 10.426/2002, ante a ausência de ofensa aos princípios da proporcionalidade e da vedação de tributo com efeito confiscatório.</w:t>
      </w:r>
    </w:p>
    <w:p>
      <w:pPr>
        <w:ind w:left="288"/>
      </w:pPr>
      <w:r>
        <w:rPr>
          <w:b/>
          <w:color w:val="003CA0"/>
          <w:sz w:val="16"/>
        </w:rPr>
        <w:t>[RE 606.010, rel. min. Marco Aurélio, j. 24-8-2020, P, DJE de 13-11-2020, Tema 872, com mérito julgado.]</w:t>
      </w:r>
    </w:p>
    <w:p>
      <w:pPr>
        <w:ind w:left="288"/>
      </w:pPr>
      <w:r>
        <w:rPr>
          <w:color w:val="8C8C8C"/>
          <w:sz w:val="12"/>
        </w:rPr>
        <w:t>cf-art-150-inc-IV</w:t>
      </w:r>
      <w:r>
        <w:rPr>
          <w:color w:val="003CA0"/>
          <w:sz w:val="12"/>
        </w:rPr>
        <w:t xml:space="preserve"> | RE 582.461</w:t>
      </w:r>
      <w:r>
        <w:rPr>
          <w:color w:val="003CA0"/>
          <w:sz w:val="12"/>
        </w:rPr>
        <w:t xml:space="preserve"> | rel. Gilmar Mendes</w:t>
      </w:r>
    </w:p>
    <w:p>
      <w:pPr>
        <w:ind w:left="288"/>
      </w:pPr>
      <w:r>
        <w:rPr>
          <w:color w:val="1E1E1E"/>
          <w:sz w:val="18"/>
        </w:rPr>
        <w:t>(...) não é confiscatória a multa moratória no importe de 20%.</w:t>
      </w:r>
    </w:p>
    <w:p>
      <w:pPr>
        <w:ind w:left="288"/>
      </w:pPr>
      <w:r>
        <w:rPr>
          <w:b/>
          <w:color w:val="003CA0"/>
          <w:sz w:val="16"/>
        </w:rPr>
        <w:t>[RE 582.461, rel. min. Gilmar Mendes, j. 18-5-2011, P, DJE de 18-8-2011, Tema 214, com mérito julgado.]</w:t>
      </w:r>
    </w:p>
    <w:p>
      <w:pPr>
        <w:ind w:left="144"/>
      </w:pPr>
      <w:r>
        <w:rPr>
          <w:b/>
          <w:color w:val="B45A00"/>
          <w:sz w:val="16"/>
        </w:rPr>
        <w:t>JULGADOS CORRELATOS</w:t>
      </w:r>
    </w:p>
    <w:p>
      <w:pPr>
        <w:ind w:left="288"/>
      </w:pPr>
      <w:r>
        <w:rPr>
          <w:color w:val="8C8C8C"/>
          <w:sz w:val="12"/>
        </w:rPr>
        <w:t>cf-art-150-inc-IV</w:t>
      </w:r>
      <w:r>
        <w:rPr>
          <w:color w:val="003CA0"/>
          <w:sz w:val="12"/>
        </w:rPr>
        <w:t xml:space="preserve"> | RE 602.686</w:t>
      </w:r>
      <w:r>
        <w:rPr>
          <w:color w:val="003CA0"/>
          <w:sz w:val="12"/>
        </w:rPr>
        <w:t xml:space="preserve"> | rel. Roberto Barroso</w:t>
      </w:r>
    </w:p>
    <w:p>
      <w:pPr>
        <w:ind w:left="288"/>
      </w:pPr>
      <w:r>
        <w:rPr>
          <w:color w:val="1E1E1E"/>
          <w:sz w:val="18"/>
        </w:rPr>
        <w:t>A multa punitiva é aplicada em situações nas quais se verifica o descumprimento voluntário da obrigação tributária prevista na legislação pertinente. Trata-se da sanção prevista para coibir a prática de ilícitos tributários. Nessas circunstâncias, conferindo especial relevo ao caráter pedagógico da sanção, que visa desestimular a burla à atuação da administração tributária, deve ser reconhecida a possibilidade de aplicação da multa em percentuais mais rigorosos. Nesses casos, a Corte vem adotando como limite o valor devido pela obrigação principal.</w:t>
      </w:r>
    </w:p>
    <w:p>
      <w:pPr>
        <w:ind w:left="288"/>
      </w:pPr>
      <w:r>
        <w:rPr>
          <w:b/>
          <w:color w:val="003CA0"/>
          <w:sz w:val="16"/>
        </w:rPr>
        <w:t>[RE 602.686 AgR-segundo, rel. min. Roberto Barroso, j. 9-12-2014, 1ª T, DJE de 5-2-2015.]</w:t>
      </w:r>
    </w:p>
    <w:p>
      <w:pPr>
        <w:ind w:left="288"/>
      </w:pPr>
      <w:r>
        <w:rPr>
          <w:color w:val="8C8C8C"/>
          <w:sz w:val="12"/>
        </w:rPr>
        <w:t>cf-art-150-inc-IV</w:t>
      </w:r>
      <w:r>
        <w:rPr>
          <w:color w:val="003CA0"/>
          <w:sz w:val="12"/>
        </w:rPr>
        <w:t xml:space="preserve"> | RE 523.471</w:t>
      </w:r>
      <w:r>
        <w:rPr>
          <w:color w:val="003CA0"/>
          <w:sz w:val="12"/>
        </w:rPr>
        <w:t xml:space="preserve"> | rel. Joaquim Barbosa</w:t>
      </w:r>
    </w:p>
    <w:p>
      <w:pPr>
        <w:ind w:left="288"/>
      </w:pPr>
      <w:r>
        <w:rPr>
          <w:color w:val="1E1E1E"/>
          <w:sz w:val="18"/>
        </w:rPr>
        <w:t>Vide RE 523.471 AgR, rel. min. Joaquim Barbosa, j. 6-4-2010, 2ª T, DJE de 23-4-2010 (...) a norma inscrita no art. 150, IV, da Constituição encerra uma cláusula aberta, veiculadora de conceito jurídico indeterminado, reclamando, em consequência, que os Tribunais, na ausência de "uma diretriz objetiva e genérica, aplicável a todas as circunstâncias" (DÓRIA, Antônio Roberto Sampaio. Direito constitucional tributário e due process of law. 2. ed. Forense, 1986. p. 196, item 62) – e tendo em consideração as limitações que derivam do princípio da proporcionalidade –, procedam à avaliação dos excesso</w:t>
      </w:r>
    </w:p>
    <w:p>
      <w:pPr>
        <w:ind w:left="288"/>
      </w:pPr>
      <w:r>
        <w:rPr>
          <w:b/>
          <w:color w:val="003CA0"/>
          <w:sz w:val="16"/>
        </w:rPr>
        <w:t>[ARE 712.285 AgR, voto do rel. min. Celso de Mello, j. 23-4-2013, 2ª T, DJE de 28-6-2013.]</w:t>
      </w:r>
    </w:p>
    <w:p>
      <w:pPr>
        <w:ind w:left="288"/>
      </w:pPr>
      <w:r>
        <w:rPr>
          <w:color w:val="8C8C8C"/>
          <w:sz w:val="12"/>
        </w:rPr>
        <w:t>cf-art-150-inc-IV</w:t>
      </w:r>
      <w:r>
        <w:rPr>
          <w:color w:val="003CA0"/>
          <w:sz w:val="12"/>
        </w:rPr>
        <w:t xml:space="preserve"> | RE 448.432</w:t>
      </w:r>
      <w:r>
        <w:rPr>
          <w:color w:val="003CA0"/>
          <w:sz w:val="12"/>
        </w:rPr>
        <w:t xml:space="preserve"> | rel. Joaquim Barbosa</w:t>
      </w:r>
    </w:p>
    <w:p>
      <w:pPr>
        <w:ind w:left="288"/>
      </w:pPr>
      <w:r>
        <w:rPr>
          <w:color w:val="1E1E1E"/>
          <w:sz w:val="18"/>
        </w:rPr>
        <w:t>Imposto de Importação (II). Aumento de alíquota de 4% para 14%. Deficiência do quadro probatório. (...) A caracterização do efeito confiscatório pressupõe a análise de dados concretos e de peculiaridades de cada operação ou situação, tomando-se em conta custos, carga tributária global, margens de lucro e condições pontuais do mercado e de conjuntura social e econômica (...). O isolado aumento da alíquota do tributo é insuficiente para comprovar a absorção total ou demasiada do produto econômico da atividade privada, de modo a torná-la inviável ou excessivamente onerosa.</w:t>
      </w:r>
    </w:p>
    <w:p>
      <w:pPr>
        <w:ind w:left="288"/>
      </w:pPr>
      <w:r>
        <w:rPr>
          <w:b/>
          <w:color w:val="003CA0"/>
          <w:sz w:val="16"/>
        </w:rPr>
        <w:t>[RE 448.432 AgR, rel. min. Joaquim Barbosa, j. 20-4-2010, 2ª T, DJE de 28-5-2010.]</w:t>
      </w:r>
    </w:p>
    <w:p>
      <w:pPr>
        <w:ind w:left="288"/>
      </w:pPr>
      <w:r>
        <w:rPr>
          <w:color w:val="8C8C8C"/>
          <w:sz w:val="12"/>
        </w:rPr>
        <w:t>cf-art-150-inc-IV</w:t>
      </w:r>
      <w:r>
        <w:rPr>
          <w:color w:val="003CA0"/>
          <w:sz w:val="12"/>
        </w:rPr>
        <w:t xml:space="preserve"> | RE 523.471</w:t>
      </w:r>
      <w:r>
        <w:rPr>
          <w:color w:val="003CA0"/>
          <w:sz w:val="12"/>
        </w:rPr>
        <w:t xml:space="preserve"> | rel. Joaquim Barbosa</w:t>
      </w:r>
    </w:p>
    <w:p>
      <w:pPr>
        <w:ind w:left="288"/>
      </w:pPr>
      <w:r>
        <w:rPr>
          <w:color w:val="1E1E1E"/>
          <w:sz w:val="18"/>
        </w:rPr>
        <w:t>Conforme orientação fixada pelo STF, o princípio da vedação ao efeito de confisco aplica-se às multas. Esta Corte já teve a oportunidade de considerar multas de 20% a 30% do valor do débito como adequadas à luz do princípio da vedação do confisco. Caso em que o Tribunal de origem reduziu a multa de 60% para 30%. A mera alusão à mora, pontual e isoladamente considerada, é insuficiente para estabelecer a relação de calibração e ponderação necessárias entre a gravidade da conduta e o peso da punição. É ônus da parte interessada apontar peculiaridades e idiossincrasias do quadro que permitiriam su</w:t>
      </w:r>
    </w:p>
    <w:p>
      <w:pPr>
        <w:ind w:left="288"/>
      </w:pPr>
      <w:r>
        <w:rPr>
          <w:b/>
          <w:color w:val="003CA0"/>
          <w:sz w:val="16"/>
        </w:rPr>
        <w:t>[RE 523.471 AgR, rel. min. Joaquim Barbosa, j. 6-4-2010, 2ª T, DJE de 23-4-2010.]</w:t>
      </w:r>
    </w:p>
    <w:p>
      <w:pPr>
        <w:ind w:left="288"/>
      </w:pPr>
      <w:r>
        <w:rPr>
          <w:color w:val="8C8C8C"/>
          <w:sz w:val="12"/>
        </w:rPr>
        <w:t>cf-art-150-inc-IV</w:t>
      </w:r>
      <w:r>
        <w:rPr>
          <w:color w:val="003CA0"/>
          <w:sz w:val="12"/>
        </w:rPr>
        <w:t xml:space="preserve"> | ARE 637.717</w:t>
      </w:r>
      <w:r>
        <w:rPr>
          <w:color w:val="003CA0"/>
          <w:sz w:val="12"/>
        </w:rPr>
        <w:t xml:space="preserve"> | rel. Luiz Fux</w:t>
      </w:r>
    </w:p>
    <w:p>
      <w:pPr>
        <w:ind w:left="288"/>
      </w:pPr>
      <w:r>
        <w:rPr>
          <w:color w:val="1E1E1E"/>
          <w:sz w:val="18"/>
        </w:rPr>
        <w:t>= ARE 637.717 AgR, rel. min. Luiz Fux, j. 13-3-2012, 1ª T, DJE de 30-3-2012 Multa. Caráter confiscatório. O STF fixou entendimento no sentido de que as cominações impostas à contribuinte, por meio de lançamento de ofício, decorrem do fato de haver-se ela omitido na declaração e recolhimento tempestivos da contribuição.</w:t>
      </w:r>
    </w:p>
    <w:p>
      <w:pPr>
        <w:ind w:left="288"/>
      </w:pPr>
      <w:r>
        <w:rPr>
          <w:b/>
          <w:color w:val="003CA0"/>
          <w:sz w:val="16"/>
        </w:rPr>
        <w:t>[RE 241.087 AgR, rel. min. Eros Grau, j. 8-9-2009, 2ª T, DJE de 25-9-2009.]</w:t>
      </w:r>
    </w:p>
    <w:p>
      <w:pPr>
        <w:ind w:left="288"/>
      </w:pPr>
      <w:r>
        <w:rPr>
          <w:color w:val="8C8C8C"/>
          <w:sz w:val="12"/>
        </w:rPr>
        <w:t>cf-art-150-inc-IV</w:t>
      </w:r>
      <w:r>
        <w:rPr>
          <w:color w:val="003CA0"/>
          <w:sz w:val="12"/>
        </w:rPr>
        <w:t xml:space="preserve"> | AI 701.192</w:t>
      </w:r>
      <w:r>
        <w:rPr>
          <w:color w:val="003CA0"/>
          <w:sz w:val="12"/>
        </w:rPr>
        <w:t xml:space="preserve"> | rel. Cármen Lúcia</w:t>
      </w:r>
    </w:p>
    <w:p>
      <w:pPr>
        <w:ind w:left="288"/>
      </w:pPr>
      <w:r>
        <w:rPr>
          <w:color w:val="1E1E1E"/>
          <w:sz w:val="18"/>
        </w:rPr>
        <w:t>(...) O STF, em casos análogos, decidiu que a instituição de alíquotas progressivas para a contribuição previdenciária dos servidores públicos ofende o princípio da vedação de utilização de qualquer tributo com efeito confiscatório, nos termos do art. 150, IV, da Constituição da República.</w:t>
      </w:r>
    </w:p>
    <w:p>
      <w:pPr>
        <w:ind w:left="288"/>
      </w:pPr>
      <w:r>
        <w:rPr>
          <w:b/>
          <w:color w:val="003CA0"/>
          <w:sz w:val="16"/>
        </w:rPr>
        <w:t>[AI 701.192 AgR, voto da rel. min. Cármen Lúcia, j. 19-5-2009, 1ª T, DJE de 26-6-2009.]</w:t>
      </w:r>
    </w:p>
    <w:p>
      <w:pPr>
        <w:ind w:left="288"/>
      </w:pPr>
      <w:r>
        <w:rPr>
          <w:color w:val="8C8C8C"/>
          <w:sz w:val="12"/>
        </w:rPr>
        <w:t>cf-art-150-inc-IV</w:t>
      </w:r>
      <w:r>
        <w:rPr>
          <w:color w:val="003CA0"/>
          <w:sz w:val="12"/>
        </w:rPr>
        <w:t xml:space="preserve"> | AI 676.442</w:t>
      </w:r>
      <w:r>
        <w:rPr>
          <w:color w:val="003CA0"/>
          <w:sz w:val="12"/>
        </w:rPr>
        <w:t xml:space="preserve"> | rel. Ricardo Lewandowski</w:t>
      </w:r>
    </w:p>
    <w:p>
      <w:pPr>
        <w:ind w:left="288"/>
      </w:pPr>
      <w:r>
        <w:rPr>
          <w:color w:val="1E1E1E"/>
          <w:sz w:val="18"/>
        </w:rPr>
        <w:t>= AI 676.442 AgR, rel. min. Ricardo Lewandowski, j. 19-10-2010, 1ª T, DJE de 16-11-2010 Tributário. ICMS. Multa com caráter confiscatório. Não ocorrência. Não se pode pretender desarrazoada e abusiva a imposição por lei de multa – que é pena pelo descumprimento da obrigação tributária –, sob o fundamento de que ela, por si mesma, tem caráter confiscatório.</w:t>
      </w:r>
    </w:p>
    <w:p>
      <w:pPr>
        <w:ind w:left="288"/>
      </w:pPr>
      <w:r>
        <w:rPr>
          <w:b/>
          <w:color w:val="003CA0"/>
          <w:sz w:val="16"/>
        </w:rPr>
        <w:t>[RE 590.754 AgR, rel. min. Eros Grau, j. 30-9-2008, 2ª T, DJE de 24-10-2008.]</w:t>
      </w:r>
    </w:p>
    <w:p>
      <w:pPr>
        <w:ind w:left="288"/>
      </w:pPr>
      <w:r>
        <w:rPr>
          <w:color w:val="8C8C8C"/>
          <w:sz w:val="12"/>
        </w:rPr>
        <w:t>cf-art-150-inc-IV</w:t>
      </w:r>
      <w:r>
        <w:rPr>
          <w:color w:val="003CA0"/>
          <w:sz w:val="12"/>
        </w:rPr>
        <w:t xml:space="preserve"> | ADI 2.031</w:t>
      </w:r>
      <w:r>
        <w:rPr>
          <w:color w:val="003CA0"/>
          <w:sz w:val="12"/>
        </w:rPr>
        <w:t xml:space="preserve"> | rel. Ellen Gracie (julgamento definitivo). [RE 389.423 AgR</w:t>
      </w:r>
    </w:p>
    <w:p>
      <w:pPr>
        <w:ind w:left="288"/>
      </w:pPr>
      <w:r>
        <w:rPr>
          <w:color w:val="1E1E1E"/>
          <w:sz w:val="18"/>
        </w:rPr>
        <w:t>O Plenário do STF reconheceu a plena legitimidade constitucional da CPMF, tal como prevista no art. 75 do ADCT, na redação que lhe deu a EC 21/1999, vindo a rejeitar as alegações de confisco de rendimentos, de redução de salários, de bitributação e de ofensa aos postulados da isonomia e da legalidade em matéria tributária. Precedente: ADI 2.031/DF, rel. min. Ellen Gracie (julgamento definitivo).</w:t>
      </w:r>
    </w:p>
    <w:p>
      <w:pPr>
        <w:ind w:left="288"/>
      </w:pPr>
      <w:r>
        <w:rPr>
          <w:b/>
          <w:color w:val="003CA0"/>
          <w:sz w:val="16"/>
        </w:rPr>
        <w:t>[RE 389.423 AgR, rel. min. Celso de Mello, j. 17-8-2004, 2ª T, DJ de 5-11-2004.]</w:t>
      </w:r>
    </w:p>
    <w:p>
      <w:pPr>
        <w:ind w:left="288"/>
      </w:pPr>
      <w:r>
        <w:rPr>
          <w:color w:val="8C8C8C"/>
          <w:sz w:val="12"/>
        </w:rPr>
        <w:t>cf-art-150-inc-IV</w:t>
      </w:r>
      <w:r>
        <w:rPr>
          <w:color w:val="003CA0"/>
          <w:sz w:val="12"/>
        </w:rPr>
        <w:t xml:space="preserve"> | RE 213.396</w:t>
      </w:r>
      <w:r>
        <w:rPr>
          <w:color w:val="003CA0"/>
          <w:sz w:val="12"/>
        </w:rPr>
        <w:t xml:space="preserve"> | rel. Néri da Silveira</w:t>
      </w:r>
    </w:p>
    <w:p>
      <w:pPr>
        <w:ind w:left="288"/>
      </w:pPr>
      <w:r>
        <w:rPr>
          <w:color w:val="1E1E1E"/>
          <w:sz w:val="18"/>
        </w:rPr>
        <w:t>É constitucional o regime de substituição tributária "para frente", em que se exige do industrial, do atacadista, ou de outra categoria de contribuinte, na qualidade de substituto, o recolhimento antecipado do ICMS incidente sobre o valor final do produto cobrado ao consumidor, retirando-se do revendedor ou varejista, substituído, a responsabilidade tributária. Precedente: RE 213.396/SP, julgado em sessão plenária, a 2-8-1999. Não há, assim, ofensa ao direito de propriedade, ou mesmo a ocorrência de confisco, ut art. 150, IV, da CF.</w:t>
      </w:r>
    </w:p>
    <w:p>
      <w:pPr>
        <w:ind w:left="288"/>
      </w:pPr>
      <w:r>
        <w:rPr>
          <w:b/>
          <w:color w:val="003CA0"/>
          <w:sz w:val="16"/>
        </w:rPr>
        <w:t>[AI 207.377 AgR, rel. min. Néri da Silveira, j. 2-5-2000, 2ª T, DJ de 9-6-2000.]</w:t>
      </w:r>
    </w:p>
    <w:p>
      <w:pPr>
        <w:ind w:left="288"/>
      </w:pPr>
      <w:r>
        <w:rPr>
          <w:color w:val="8C8C8C"/>
          <w:sz w:val="12"/>
        </w:rPr>
        <w:t>cf-art-150-inc-IV</w:t>
      </w:r>
      <w:r>
        <w:rPr>
          <w:color w:val="003CA0"/>
          <w:sz w:val="12"/>
        </w:rPr>
        <w:t xml:space="preserve"> | AI 173.689</w:t>
      </w:r>
      <w:r>
        <w:rPr>
          <w:color w:val="003CA0"/>
          <w:sz w:val="12"/>
        </w:rPr>
        <w:t xml:space="preserve"> | rel. Marco Aurélio</w:t>
      </w:r>
    </w:p>
    <w:p>
      <w:pPr>
        <w:ind w:left="288"/>
      </w:pPr>
      <w:r>
        <w:rPr>
          <w:color w:val="1E1E1E"/>
          <w:sz w:val="18"/>
        </w:rPr>
        <w:t>Importação. Regularização fiscal. Confisco. Longe fica de configurar concessão, a tributo, de efeito que implique confisco decisão que, a partir de normas estritamente legais, aplicáveis a espécie, resultou na perda de bem móvel importado.</w:t>
      </w:r>
    </w:p>
    <w:p>
      <w:pPr>
        <w:ind w:left="288"/>
      </w:pPr>
      <w:r>
        <w:rPr>
          <w:b/>
          <w:color w:val="003CA0"/>
          <w:sz w:val="16"/>
        </w:rPr>
        <w:t>[AI 173.689 AgR, rel. min. Marco Aurélio, j. 12-3-1996, 2ª T, DJ de 26-4-1996.]</w:t>
      </w:r>
    </w:p>
    <w:p>
      <w:pPr>
        <w:ind w:left="288"/>
      </w:pPr>
      <w:r>
        <w:rPr>
          <w:color w:val="8C8C8C"/>
          <w:sz w:val="12"/>
        </w:rPr>
        <w:t>cf-art-150-inc-IV</w:t>
      </w:r>
    </w:p>
    <w:p>
      <w:pPr>
        <w:ind w:left="288"/>
      </w:pPr>
      <w:r>
        <w:rPr>
          <w:color w:val="1E1E1E"/>
          <w:sz w:val="18"/>
        </w:rPr>
        <w:t>V - estabelecer limitações ao tráfego de pessoas ou bens, por meio de tributos interestaduais ou intermunicipais, ressalvada a cobrança de pedágio pela utilização de vias conservadas pelo Poder Público;</w:t>
      </w:r>
    </w:p>
    <w:p>
      <w:pPr>
        <w:ind w:left="144"/>
      </w:pPr>
      <w:r>
        <w:rPr>
          <w:b/>
          <w:color w:val="B45A00"/>
          <w:sz w:val="16"/>
        </w:rPr>
        <w:t>CONTROLE CONCENTRADO</w:t>
      </w:r>
    </w:p>
    <w:p>
      <w:pPr>
        <w:ind w:left="288"/>
      </w:pPr>
      <w:r>
        <w:rPr>
          <w:color w:val="8C8C8C"/>
          <w:sz w:val="12"/>
        </w:rPr>
        <w:t>cf-art-150-inc-IV</w:t>
      </w:r>
      <w:r>
        <w:rPr>
          <w:color w:val="003CA0"/>
          <w:sz w:val="12"/>
        </w:rPr>
        <w:t xml:space="preserve"> | ADI 4.628</w:t>
      </w:r>
      <w:r>
        <w:rPr>
          <w:color w:val="003CA0"/>
          <w:sz w:val="12"/>
        </w:rPr>
        <w:t xml:space="preserve"> | rel. Luiz Fux</w:t>
      </w:r>
    </w:p>
    <w:p>
      <w:pPr>
        <w:ind w:left="288"/>
      </w:pPr>
      <w:r>
        <w:rPr>
          <w:color w:val="1E1E1E"/>
          <w:sz w:val="18"/>
        </w:rPr>
        <w:t>O ICMS incidente na aquisição decorrente de operação interestadual e por meio não presencial (internet, telemarketing, showroom) por consumidor final não contribuinte do tributo não pode ter regime jurídico fixado por Estados-membros não favorecidos, sob pena de contrariar o arquétipo constitucional delineado pelos arts. 155, § 2º,  VII, b, e 150, IV e V, da CRFB/1988. (...) O tráfego de pessoas e bens, consagrado como princípio constitucional tributário (CRFB/1988, art. 150, V), subjaz infringido pelo ônus tributário inaugurado pelo Protocolo ICMS 21/2011 nas denominadas operações não presenc</w:t>
      </w:r>
    </w:p>
    <w:p>
      <w:pPr>
        <w:ind w:left="288"/>
      </w:pPr>
      <w:r>
        <w:rPr>
          <w:b/>
          <w:color w:val="003CA0"/>
          <w:sz w:val="16"/>
        </w:rPr>
        <w:t>[ADI 4.628, rel. min. Luiz Fux, j. 17-9-2014, P, DJE de 24-11-2014.]</w:t>
      </w:r>
    </w:p>
    <w:p>
      <w:pPr>
        <w:ind w:left="288"/>
      </w:pPr>
      <w:r>
        <w:rPr>
          <w:color w:val="8C8C8C"/>
          <w:sz w:val="12"/>
        </w:rPr>
        <w:t>cf-art-150-inc-IV</w:t>
      </w:r>
      <w:r>
        <w:rPr>
          <w:color w:val="003CA0"/>
          <w:sz w:val="12"/>
        </w:rPr>
        <w:t xml:space="preserve"> | ADI 800</w:t>
      </w:r>
      <w:r>
        <w:rPr>
          <w:color w:val="003CA0"/>
          <w:sz w:val="12"/>
        </w:rPr>
        <w:t xml:space="preserve"> | rel. Teori Zavascki</w:t>
      </w:r>
    </w:p>
    <w:p>
      <w:pPr>
        <w:ind w:left="288"/>
      </w:pPr>
      <w:r>
        <w:rPr>
          <w:color w:val="1E1E1E"/>
          <w:sz w:val="18"/>
        </w:rPr>
        <w:t>O pedágio cobrado pela efetiva utilização de rodovias conservadas pelo poder público, cuja cobrança está autorizada pelo inciso V, parte final, do art. 150 da Constituição de 1988, não tem natureza jurídica de taxa, mas, sim, de preço público, não estando a sua instituição, consequentemente, sujeita ao princípio da legalidade estrita.</w:t>
      </w:r>
    </w:p>
    <w:p>
      <w:pPr>
        <w:ind w:left="288"/>
      </w:pPr>
      <w:r>
        <w:rPr>
          <w:b/>
          <w:color w:val="003CA0"/>
          <w:sz w:val="16"/>
        </w:rPr>
        <w:t>[ADI 800, rel. min. Teori Zavascki, j. 11-6-2014, P, DJE de 1º-7-2014.]</w:t>
      </w:r>
    </w:p>
    <w:p>
      <w:pPr>
        <w:ind w:left="288"/>
      </w:pPr>
      <w:r>
        <w:rPr>
          <w:color w:val="8C8C8C"/>
          <w:sz w:val="12"/>
        </w:rPr>
        <w:t>cf-art-150-inc-VI-ali-a</w:t>
      </w:r>
      <w:r>
        <w:rPr>
          <w:color w:val="003CA0"/>
          <w:sz w:val="12"/>
        </w:rPr>
        <w:t xml:space="preserve"> | ACO 3.713</w:t>
      </w:r>
      <w:r>
        <w:rPr>
          <w:color w:val="003CA0"/>
          <w:sz w:val="12"/>
        </w:rPr>
        <w:t xml:space="preserve"> | rel. Luiz Fux</w:t>
      </w:r>
    </w:p>
    <w:p>
      <w:pPr>
        <w:ind w:left="288"/>
      </w:pPr>
      <w:r>
        <w:rPr>
          <w:color w:val="1E1E1E"/>
          <w:sz w:val="18"/>
        </w:rPr>
        <w:t>Compete ao Supremo Tribunal Federal, ex vi artigo 102, inciso I, alínea “f”, da Constituição Federal, dirimir controvérsia acerca do alcance da imunidade tributária recíproca do artigo 150, inciso VI, alínea “a”, da Constituição Federal, máxime quanto à sua extensão a empresas públicas e sociedades de economia mista, segundo precedentes plurais da Corte.</w:t>
      </w:r>
    </w:p>
    <w:p>
      <w:pPr>
        <w:ind w:left="288"/>
      </w:pPr>
      <w:r>
        <w:rPr>
          <w:b/>
          <w:color w:val="003CA0"/>
          <w:sz w:val="16"/>
        </w:rPr>
        <w:t>[ACO 3.713 AgR, rel. min. Luiz Fux, j. 17.11.2025, P, DJE de 24.11.2025.]</w:t>
      </w:r>
    </w:p>
    <w:p>
      <w:pPr>
        <w:ind w:left="288"/>
      </w:pPr>
      <w:r>
        <w:rPr>
          <w:color w:val="8C8C8C"/>
          <w:sz w:val="12"/>
        </w:rPr>
        <w:t>cf-art-150-inc-VI-ali-a</w:t>
      </w:r>
      <w:r>
        <w:rPr>
          <w:color w:val="003CA0"/>
          <w:sz w:val="12"/>
        </w:rPr>
        <w:t xml:space="preserve"> | ADI 2.024</w:t>
      </w:r>
      <w:r>
        <w:rPr>
          <w:color w:val="003CA0"/>
          <w:sz w:val="12"/>
        </w:rPr>
        <w:t xml:space="preserve"> | rel. Sepúlveda Pertence</w:t>
      </w:r>
    </w:p>
    <w:p>
      <w:pPr>
        <w:ind w:left="288"/>
      </w:pPr>
      <w:r>
        <w:rPr>
          <w:color w:val="1E1E1E"/>
          <w:sz w:val="18"/>
        </w:rPr>
        <w:t>É da jurisprudência do Supremo Tribunal que o princípio da imunidade tributária recíproca (CF, art. 150, VI, a) – ainda que se discuta a sua aplicabilidade a outros tributos, que não os impostos – não pode ser invocado na hipótese de contribuições previdenciárias.</w:t>
      </w:r>
    </w:p>
    <w:p>
      <w:pPr>
        <w:ind w:left="288"/>
      </w:pPr>
      <w:r>
        <w:rPr>
          <w:b/>
          <w:color w:val="003CA0"/>
          <w:sz w:val="16"/>
        </w:rPr>
        <w:t>[ADI 2.024, rel. min. Sepúlveda Pertence, j. 3-5-2007, P, DJ de 22-6-2007.]</w:t>
      </w:r>
    </w:p>
    <w:p>
      <w:pPr>
        <w:ind w:left="288"/>
      </w:pPr>
      <w:r>
        <w:rPr>
          <w:color w:val="8C8C8C"/>
          <w:sz w:val="12"/>
        </w:rPr>
        <w:t>cf-art-150-inc-VI-ali-a</w:t>
      </w:r>
      <w:r>
        <w:rPr>
          <w:color w:val="003CA0"/>
          <w:sz w:val="12"/>
        </w:rPr>
        <w:t xml:space="preserve"> | ADI 939</w:t>
      </w:r>
      <w:r>
        <w:rPr>
          <w:color w:val="003CA0"/>
          <w:sz w:val="12"/>
        </w:rPr>
        <w:t xml:space="preserve"> | rel. Sydney Sanches</w:t>
      </w:r>
    </w:p>
    <w:p>
      <w:pPr>
        <w:ind w:left="288"/>
      </w:pPr>
      <w:r>
        <w:rPr>
          <w:color w:val="1E1E1E"/>
          <w:sz w:val="18"/>
        </w:rPr>
        <w:t xml:space="preserve">A EC 3, de 17-3-1993, que, no art. 2º, autorizou a União a instituir o IPMF, incidiu em vício de inconstitucionalidade, ao dispor, no § 2º desse dispositivo, que, quanto a tal tributo, não se aplica "o art. 150, III, b, e VI, da Constituição, porque, desse modo, violou os seguintes princípios e normas imutáveis (somente eles, não outros): (...). O princípio da imunidade tributária recíproca (que veda à União, aos Estados, ao Distrito Federal e aos Municípios a instituição de impostos sobre o patrimônio, rendas ou serviços uns dos outros) e que é garantia da Federação (art. 60, § 4º, I, e art. </w:t>
      </w:r>
    </w:p>
    <w:p>
      <w:pPr>
        <w:ind w:left="288"/>
      </w:pPr>
      <w:r>
        <w:rPr>
          <w:b/>
          <w:color w:val="003CA0"/>
          <w:sz w:val="16"/>
        </w:rPr>
        <w:t>[ADI 939, rel. min. Sydney Sanches, j. 15-12-1993, P, DJ de 18-3-1994.]</w:t>
      </w:r>
    </w:p>
    <w:p>
      <w:pPr>
        <w:ind w:left="288"/>
      </w:pPr>
      <w:r>
        <w:rPr>
          <w:color w:val="8C8C8C"/>
          <w:sz w:val="12"/>
        </w:rPr>
        <w:t>cf-art-150-inc-VI-ali-a</w:t>
      </w:r>
      <w:r>
        <w:rPr>
          <w:color w:val="003CA0"/>
          <w:sz w:val="12"/>
        </w:rPr>
        <w:t xml:space="preserve"> | RE 587.008</w:t>
      </w:r>
      <w:r>
        <w:rPr>
          <w:color w:val="003CA0"/>
          <w:sz w:val="12"/>
        </w:rPr>
        <w:t xml:space="preserve"> | rel. Dias Toffoli</w:t>
      </w:r>
    </w:p>
    <w:p>
      <w:pPr>
        <w:ind w:left="288"/>
      </w:pPr>
      <w:r>
        <w:rPr>
          <w:color w:val="1E1E1E"/>
          <w:sz w:val="18"/>
        </w:rPr>
        <w:t>Vide RE 587.008, rel. min. Dias Toffoli, j. 2-2-2011, P, DJE de 6-5-2011, Tema 107, com mérito julgado Garantia de imunidade tributária para fins de incidência de IPTU em relação a bens imóveis de estatais afetados à prestação de serviço público.</w:t>
      </w:r>
    </w:p>
    <w:p>
      <w:pPr>
        <w:ind w:left="288"/>
      </w:pPr>
      <w:r>
        <w:rPr>
          <w:b/>
          <w:color w:val="003CA0"/>
          <w:sz w:val="16"/>
        </w:rPr>
        <w:t>[RE 1.317.330 RG, rel. min. Luís Roberto Barroso, j. 16.05.2025, P, DJE de 23.05.2025, Tema 1.398, com mérito pendente.]</w:t>
      </w:r>
    </w:p>
    <w:p>
      <w:pPr>
        <w:ind w:left="144"/>
      </w:pPr>
      <w:r>
        <w:rPr>
          <w:b/>
          <w:color w:val="B45A00"/>
          <w:sz w:val="16"/>
        </w:rPr>
        <w:t>REPERCUSSAO GERAL</w:t>
      </w:r>
    </w:p>
    <w:p>
      <w:pPr>
        <w:ind w:left="288"/>
      </w:pPr>
      <w:r>
        <w:rPr>
          <w:color w:val="8C8C8C"/>
          <w:sz w:val="12"/>
        </w:rPr>
        <w:t>cf-art-150-inc-VI-ali-a</w:t>
      </w:r>
      <w:r>
        <w:rPr>
          <w:color w:val="003CA0"/>
          <w:sz w:val="12"/>
        </w:rPr>
        <w:t xml:space="preserve"> | RE 1.320.054</w:t>
      </w:r>
      <w:r>
        <w:rPr>
          <w:color w:val="003CA0"/>
          <w:sz w:val="12"/>
        </w:rPr>
        <w:t xml:space="preserve"> | rel. Luiz Fux</w:t>
      </w:r>
    </w:p>
    <w:p>
      <w:pPr>
        <w:ind w:left="288"/>
      </w:pPr>
      <w:r>
        <w:rPr>
          <w:color w:val="1E1E1E"/>
          <w:sz w:val="18"/>
        </w:rPr>
        <w:t>As empresas públicas e as sociedades de economia mista delegatárias de serviços públicos essenciais, que não distribuam lucros a acionistas privados nem ofereçam risco ao equilíbrio concorrencial, são beneficiárias da imunidade tributária recíproca prevista no artigo 150, VI, a, da Constituição Federal, independentemente de cobrança de tarifa como contraprestação do serviço.</w:t>
      </w:r>
    </w:p>
    <w:p>
      <w:pPr>
        <w:ind w:left="288"/>
      </w:pPr>
      <w:r>
        <w:rPr>
          <w:b/>
          <w:color w:val="003CA0"/>
          <w:sz w:val="16"/>
        </w:rPr>
        <w:t>[RE 1.320.054 RG, rel. min. Luiz Fux, j. 6-5-2021, P, DJE de 14-5-2021, Tema 1.140, com mérito julgado.]</w:t>
      </w:r>
    </w:p>
    <w:p>
      <w:pPr>
        <w:ind w:left="288"/>
      </w:pPr>
      <w:r>
        <w:rPr>
          <w:color w:val="8C8C8C"/>
          <w:sz w:val="12"/>
        </w:rPr>
        <w:t>cf-art-150-inc-VI-ali-a</w:t>
      </w:r>
      <w:r>
        <w:rPr>
          <w:color w:val="003CA0"/>
          <w:sz w:val="12"/>
        </w:rPr>
        <w:t xml:space="preserve"> | RE 600.867</w:t>
      </w:r>
    </w:p>
    <w:p>
      <w:pPr>
        <w:ind w:left="288"/>
      </w:pPr>
      <w:r>
        <w:rPr>
          <w:color w:val="1E1E1E"/>
          <w:sz w:val="18"/>
        </w:rPr>
        <w:t>Sociedade de economia mista, cuja participação acionária é negociada em Bolsas de Valores, e que, inequivocamente, está voltada à remuneração do capital de seus controladores ou acionistas, não está abrangida pela regra de imunidade tributária prevista no art. 150, VI, “a”, da Constituição, unicamente em razão das atividades desempenhadas.</w:t>
      </w:r>
    </w:p>
    <w:p>
      <w:pPr>
        <w:ind w:left="288"/>
      </w:pPr>
      <w:r>
        <w:rPr>
          <w:b/>
          <w:color w:val="003CA0"/>
          <w:sz w:val="16"/>
        </w:rPr>
        <w:t>[RE 600.867, red. do ac. min. Luiz Fux, j. 29-6-2020, P, DJE de 30-9-2020, Tema 508, com mérito julgado.]</w:t>
      </w:r>
    </w:p>
    <w:p>
      <w:pPr>
        <w:ind w:left="288"/>
      </w:pPr>
      <w:r>
        <w:rPr>
          <w:color w:val="8C8C8C"/>
          <w:sz w:val="12"/>
        </w:rPr>
        <w:t>cf-art-150-inc-VI-ali-a</w:t>
      </w:r>
      <w:r>
        <w:rPr>
          <w:color w:val="003CA0"/>
          <w:sz w:val="12"/>
        </w:rPr>
        <w:t xml:space="preserve"> | RE 727.851</w:t>
      </w:r>
      <w:r>
        <w:rPr>
          <w:color w:val="003CA0"/>
          <w:sz w:val="12"/>
        </w:rPr>
        <w:t xml:space="preserve"> | rel. Marco Aurélio</w:t>
      </w:r>
    </w:p>
    <w:p>
      <w:pPr>
        <w:ind w:left="288"/>
      </w:pPr>
      <w:r>
        <w:rPr>
          <w:color w:val="1E1E1E"/>
          <w:sz w:val="18"/>
        </w:rPr>
        <w:t>Não incide IPVA sobre veículo automotor adquirido, mediante alienação fiduciária, por pessoa jurídica de direito público.</w:t>
      </w:r>
    </w:p>
    <w:p>
      <w:pPr>
        <w:ind w:left="288"/>
      </w:pPr>
      <w:r>
        <w:rPr>
          <w:b/>
          <w:color w:val="003CA0"/>
          <w:sz w:val="16"/>
        </w:rPr>
        <w:t>[RE 727.851, rel. min. Marco Aurélio, j. 22-6-2020, P, DJE de 17-7-2020, Tema 685, com mérito julgado.]</w:t>
      </w:r>
    </w:p>
    <w:p>
      <w:pPr>
        <w:ind w:left="288"/>
      </w:pPr>
      <w:r>
        <w:rPr>
          <w:color w:val="8C8C8C"/>
          <w:sz w:val="12"/>
        </w:rPr>
        <w:t>cf-art-150-inc-VI-ali-a</w:t>
      </w:r>
      <w:r>
        <w:rPr>
          <w:color w:val="003CA0"/>
          <w:sz w:val="12"/>
        </w:rPr>
        <w:t xml:space="preserve"> | RE 928.902</w:t>
      </w:r>
      <w:r>
        <w:rPr>
          <w:color w:val="003CA0"/>
          <w:sz w:val="12"/>
        </w:rPr>
        <w:t xml:space="preserve"> | rel. Alexandre de Moraes</w:t>
      </w:r>
    </w:p>
    <w:p>
      <w:pPr>
        <w:ind w:left="288"/>
      </w:pPr>
      <w:r>
        <w:rPr>
          <w:color w:val="1E1E1E"/>
          <w:sz w:val="18"/>
        </w:rPr>
        <w:t>Os bens e direitos que integram o patrimônio do fundo vinculado ao Programa de Arrendamento Residencial – PAR, criado pela Lei 10.188/2001, beneficiam-se da imunidade tributária prevista no art. 150, VI, a, da Constituição Federal.</w:t>
        <w:br/>
        <w:t>[RE 928.902, rel. min. Alexandre de Moraes, j. 17-10-2018, P, DJE de 12-9-2019, Tema 884, com mérito julgado.] Incide o IPTU considerado imóvel de pessoa jurídica de direito público cedido a pessoa jurídica de direito privado, devedora do tributo.</w:t>
      </w:r>
    </w:p>
    <w:p>
      <w:pPr>
        <w:ind w:left="288"/>
      </w:pPr>
      <w:r>
        <w:rPr>
          <w:b/>
          <w:color w:val="003CA0"/>
          <w:sz w:val="16"/>
        </w:rPr>
        <w:t>[RE 601.720, voto do red. do ac. min. Marco Aurélio, j. 19-4-2017, P, DJE de 5-9-2017, Tema 437, com mérito julgado.]</w:t>
      </w:r>
    </w:p>
    <w:p>
      <w:pPr>
        <w:ind w:left="288"/>
      </w:pPr>
      <w:r>
        <w:rPr>
          <w:color w:val="8C8C8C"/>
          <w:sz w:val="12"/>
        </w:rPr>
        <w:t>cf-art-150-inc-VI-ali-a</w:t>
      </w:r>
      <w:r>
        <w:rPr>
          <w:color w:val="003CA0"/>
          <w:sz w:val="12"/>
        </w:rPr>
        <w:t xml:space="preserve"> | RE 594.015</w:t>
      </w:r>
      <w:r>
        <w:rPr>
          <w:color w:val="003CA0"/>
          <w:sz w:val="12"/>
        </w:rPr>
        <w:t xml:space="preserve"> | rel. Marco Aurélio</w:t>
      </w:r>
    </w:p>
    <w:p>
      <w:pPr>
        <w:ind w:left="288"/>
      </w:pPr>
      <w:r>
        <w:rPr>
          <w:color w:val="1E1E1E"/>
          <w:sz w:val="18"/>
        </w:rPr>
        <w:t>Incide o IPTU considerado imóvel de pessoa jurídica de direito público arrendado a pessoa jurídica de direito privado, devedora do tributo.</w:t>
        <w:br/>
        <w:t>[RE 594.015, voto do rel. min. Marco Aurélio, j. 6-4-2017, P, DJE de 25-8-2017, Tema 385, com mérito julgado.] Imunidade recíproca. Empresa Brasileira de Correios e Telégrafos. Peculiaridades do serviço postal. Exercício de atividades em regime de exclusividade e em concorrência com particulares. Irrelevância. ICMS. Transporte de encomendas. Indissociabilidade do serviço postal. Incidência da Imunidade do art. 150, VI, a, da Constituição. Condição de sujei</w:t>
      </w:r>
    </w:p>
    <w:p>
      <w:pPr>
        <w:ind w:left="288"/>
      </w:pPr>
      <w:r>
        <w:rPr>
          <w:b/>
          <w:color w:val="003CA0"/>
          <w:sz w:val="16"/>
        </w:rPr>
        <w:t>[RE 599.176, rel. min. Joaquim Barbosa, j. 5-6-2014, P, DJE de 30-10-2014, Tema 224, com mérito julgado.]</w:t>
      </w:r>
    </w:p>
    <w:p>
      <w:pPr>
        <w:ind w:left="288"/>
      </w:pPr>
      <w:r>
        <w:rPr>
          <w:color w:val="8C8C8C"/>
          <w:sz w:val="12"/>
        </w:rPr>
        <w:t>cf-art-150-inc-VI-ali-a</w:t>
      </w:r>
      <w:r>
        <w:rPr>
          <w:color w:val="003CA0"/>
          <w:sz w:val="12"/>
        </w:rPr>
        <w:t xml:space="preserve"> | RE 601.392</w:t>
      </w:r>
      <w:r>
        <w:rPr>
          <w:color w:val="003CA0"/>
          <w:sz w:val="12"/>
        </w:rPr>
        <w:t xml:space="preserve"> | rel. Carlos Velloso</w:t>
      </w:r>
    </w:p>
    <w:p>
      <w:pPr>
        <w:ind w:left="288"/>
      </w:pPr>
      <w:r>
        <w:rPr>
          <w:color w:val="1E1E1E"/>
          <w:sz w:val="18"/>
        </w:rPr>
        <w:t>Imunidade recíproca. Empresa Brasileira de Correios e Telégrafos. (...) Exercício simultâneo de atividades em regime de exclusividade e em concorrência com a iniciativa privada. Irrelevância. Existência de peculiaridades no serviço postal. Incidência da imunidade prevista no art. 150, VI, a, da CF.</w:t>
        <w:br/>
        <w:t>[RE 601.392, red. do ac. min. Gilmar Mendes, j. 28-2-2013, P, DJE de 5-6-2013, Tema 235, com mérito julgado.]</w:t>
        <w:br/>
        <w:t>Vide RE 407.099, rel. min. Carlos Velloso, j. 22-6-2004, 2ª T, DJ de 6-8-2004</w:t>
        <w:br/>
        <w:t xml:space="preserve">Vide RE 627.051, rel. min. Dias Toffoli, j. 12-11-2014, P, DJE de 11-2-2015, Tema 402, com mérito julgado (...) </w:t>
      </w:r>
    </w:p>
    <w:p>
      <w:pPr>
        <w:ind w:left="288"/>
      </w:pPr>
      <w:r>
        <w:rPr>
          <w:b/>
          <w:color w:val="003CA0"/>
          <w:sz w:val="16"/>
        </w:rPr>
        <w:t>[ACO 1.621 AgR-segundo, rel. min. Nunes Marques, j. 03.06.2025, P, DJE de 10.06.2025.]</w:t>
      </w:r>
    </w:p>
    <w:p>
      <w:pPr>
        <w:ind w:left="144"/>
      </w:pPr>
      <w:r>
        <w:rPr>
          <w:b/>
          <w:color w:val="B45A00"/>
          <w:sz w:val="16"/>
        </w:rPr>
        <w:t>JULGADOS CORRELATOS</w:t>
      </w:r>
    </w:p>
    <w:p>
      <w:pPr>
        <w:ind w:left="288"/>
      </w:pPr>
      <w:r>
        <w:rPr>
          <w:color w:val="8C8C8C"/>
          <w:sz w:val="12"/>
        </w:rPr>
        <w:t>cf-art-150-inc-VI-ali-a</w:t>
      </w:r>
      <w:r>
        <w:rPr>
          <w:color w:val="003CA0"/>
          <w:sz w:val="12"/>
        </w:rPr>
        <w:t xml:space="preserve"> | RE 601.720</w:t>
      </w:r>
      <w:r>
        <w:rPr>
          <w:color w:val="003CA0"/>
          <w:sz w:val="12"/>
        </w:rPr>
        <w:t xml:space="preserve"> | rel. Marco Aurélio</w:t>
      </w:r>
    </w:p>
    <w:p>
      <w:pPr>
        <w:ind w:left="288"/>
      </w:pPr>
      <w:r>
        <w:rPr>
          <w:color w:val="1E1E1E"/>
          <w:sz w:val="18"/>
        </w:rPr>
        <w:t>No julgamento do tema 437 da repercussão geral (RE 601.720, Red. p/ Acórdão Min. Marco Aurélio, j. em 06.04.2017), o STF reconheceu a incidência de IPTU sobre bem público cedido a particular, sendo este o devedor do tributo. De maneira semelhante, no julgamento do tema 385 (RE 594.015, Rel. Min. Marco Aurélio, j. em 06.04.2017), esta Corte concluiu que o imposto predial pode ser cobrado de empresa estatal arrendatária de imóvel público, quando ela explorar atividade econômica com fins lucrativos. Nesses precedentes, a desvinculação do bem imóvel de suas finalidades públicas foi apontada como e</w:t>
      </w:r>
    </w:p>
    <w:p>
      <w:pPr>
        <w:ind w:left="288"/>
      </w:pPr>
      <w:r>
        <w:rPr>
          <w:b/>
          <w:color w:val="003CA0"/>
          <w:sz w:val="16"/>
        </w:rPr>
        <w:t>[Rcl 60.726 AgR, rel. min. Roberto Barroso, j. 2-10-2023, 1ª T, DJE de 20-10-2023.]</w:t>
      </w:r>
    </w:p>
    <w:p>
      <w:pPr>
        <w:ind w:left="288"/>
      </w:pPr>
      <w:r>
        <w:rPr>
          <w:color w:val="8C8C8C"/>
          <w:sz w:val="12"/>
        </w:rPr>
        <w:t>cf-art-150-inc-VI-ali-a</w:t>
      </w:r>
      <w:r>
        <w:rPr>
          <w:color w:val="003CA0"/>
          <w:sz w:val="12"/>
        </w:rPr>
        <w:t xml:space="preserve"> | RE 1.438.916</w:t>
      </w:r>
      <w:r>
        <w:rPr>
          <w:color w:val="003CA0"/>
          <w:sz w:val="12"/>
        </w:rPr>
        <w:t xml:space="preserve"> | rel. Dias Toffoli</w:t>
      </w:r>
    </w:p>
    <w:p>
      <w:pPr>
        <w:ind w:left="288"/>
      </w:pPr>
      <w:r>
        <w:rPr>
          <w:color w:val="1E1E1E"/>
          <w:sz w:val="18"/>
        </w:rPr>
        <w:t>IPTU. Imunidade tributária. Artigo 150, inciso VI, alínea a, da CF/88. Inaplicabilidade. Empresa privada. Distribuição de lucros. Possibilidade da cobrança do IPTU sobre imóvel de sua propriedade.</w:t>
        <w:br/>
        <w:t>[RE 1.438.916 AgR, rel. min. Dias Toffoli, j. 12-9-2023, 2ª T, DJE de 10-10-2023.] Imunidade tributária recíproca. Art. 150, VI, “a”, da Constituição Federal. (...) A Empresa Brasileira de Pesquisa Agropecuária (Embrapa) consiste em empresa pública prestadora de serviço público de natureza não concorrencial, voltada à produção de ciência e tecnologia no setor agrícola, fazendo jus, assim como suas un</w:t>
      </w:r>
    </w:p>
    <w:p>
      <w:pPr>
        <w:ind w:left="288"/>
      </w:pPr>
      <w:r>
        <w:rPr>
          <w:b/>
          <w:color w:val="003CA0"/>
          <w:sz w:val="16"/>
        </w:rPr>
        <w:t>[RE 1.289.833 AgR, red. do ac. min. Marco Aurélio, j. 30-11-2020, 1ª T, DJE de 4-3-2021.]</w:t>
      </w:r>
    </w:p>
    <w:p>
      <w:pPr>
        <w:ind w:left="288"/>
      </w:pPr>
      <w:r>
        <w:rPr>
          <w:color w:val="8C8C8C"/>
          <w:sz w:val="12"/>
        </w:rPr>
        <w:t>cf-art-150-inc-VI-ali-a</w:t>
      </w:r>
      <w:r>
        <w:rPr>
          <w:color w:val="003CA0"/>
          <w:sz w:val="12"/>
        </w:rPr>
        <w:t xml:space="preserve"> | RE 631.309</w:t>
      </w:r>
      <w:r>
        <w:rPr>
          <w:color w:val="003CA0"/>
          <w:sz w:val="12"/>
        </w:rPr>
        <w:t xml:space="preserve"> | rel. Ayres Britto</w:t>
      </w:r>
    </w:p>
    <w:p>
      <w:pPr>
        <w:ind w:left="288"/>
      </w:pPr>
      <w:r>
        <w:rPr>
          <w:color w:val="1E1E1E"/>
          <w:sz w:val="18"/>
        </w:rPr>
        <w:t>Vide RE 631.309 AgR, rel. min. Ayres Britto, j. 27-3-2012, 2ª T, DJE de 26-4-2012 A imunidade tributária recíproca (art. 150, VI, a, da Constituição) impede que os entes públicos criem uns para os outros obrigações relacionadas à cobrança de impostos, mas não veda a imposição de obrigações acessórias. (...) O art. 9º, § 1º, do Código Tributário Nacional institui reserva legal para a definição das hipóteses de responsabilidade tributária e dos atos que os entes públicos deverão praticar na qualidade de responsáveis tributários. O dispositivo não afasta a possibilidade de obrigações acessórias s</w:t>
      </w:r>
    </w:p>
    <w:p>
      <w:pPr>
        <w:ind w:left="288"/>
      </w:pPr>
      <w:r>
        <w:rPr>
          <w:b/>
          <w:color w:val="003CA0"/>
          <w:sz w:val="16"/>
        </w:rPr>
        <w:t>[ACO 1.098, rel. min. Roberto Barroso, j. 11-5-2020, P, DJE de 1º-6-2020.]</w:t>
      </w:r>
    </w:p>
    <w:p>
      <w:pPr>
        <w:ind w:left="288"/>
      </w:pPr>
      <w:r>
        <w:rPr>
          <w:color w:val="8C8C8C"/>
          <w:sz w:val="12"/>
        </w:rPr>
        <w:t>cf-art-150-inc-VI-ali-a</w:t>
      </w:r>
      <w:r>
        <w:rPr>
          <w:color w:val="003CA0"/>
          <w:sz w:val="12"/>
        </w:rPr>
        <w:t xml:space="preserve"> | RE 405.267</w:t>
      </w:r>
      <w:r>
        <w:rPr>
          <w:color w:val="003CA0"/>
          <w:sz w:val="12"/>
        </w:rPr>
        <w:t xml:space="preserve"> | rel. Edson Fachin</w:t>
      </w:r>
    </w:p>
    <w:p>
      <w:pPr>
        <w:ind w:left="288"/>
      </w:pPr>
      <w:r>
        <w:rPr>
          <w:color w:val="1E1E1E"/>
          <w:sz w:val="18"/>
        </w:rPr>
        <w:t>As Caixas de Assistências dos Advogados prestam serviço público delegado, possuem status jurídico de ente público e não exploram atividades econômicas em sentido estrito com intuito lucrativo. A Caixa de Assistência dos Advogados de Minas Gerais encontra-se tutelada pela imunidade recíproca prevista no art. 150, VI, a, do Texto Constitucional, tendo em vista a impossibilidade de se conceder tratamento tributário diferenciado a órgãos da OAB, de acordo com as finalidades que lhe são atribuídas por lei.</w:t>
      </w:r>
    </w:p>
    <w:p>
      <w:pPr>
        <w:ind w:left="288"/>
      </w:pPr>
      <w:r>
        <w:rPr>
          <w:b/>
          <w:color w:val="003CA0"/>
          <w:sz w:val="16"/>
        </w:rPr>
        <w:t>[RE 405.267, rel. min. Edson Fachin, j. 6-9-2018, P, DJE de 18-10-2018.]</w:t>
        <w:br/>
        <w:t>Vide RE 259.976 AgR, rel. min. Joaquim Barbosa, j. 23-3-2010, 2ª T, DJE de 30-4-2010.</w:t>
      </w:r>
    </w:p>
    <w:p>
      <w:pPr>
        <w:ind w:left="288"/>
      </w:pPr>
      <w:r>
        <w:rPr>
          <w:color w:val="8C8C8C"/>
          <w:sz w:val="12"/>
        </w:rPr>
        <w:t>cf-art-150-inc-VI-ali-a</w:t>
      </w:r>
      <w:r>
        <w:rPr>
          <w:color w:val="003CA0"/>
          <w:sz w:val="12"/>
        </w:rPr>
        <w:t xml:space="preserve"> | ACO 602</w:t>
      </w:r>
      <w:r>
        <w:rPr>
          <w:color w:val="003CA0"/>
          <w:sz w:val="12"/>
        </w:rPr>
        <w:t xml:space="preserve"> | rel. Dias Toffoli</w:t>
      </w:r>
    </w:p>
    <w:p>
      <w:pPr>
        <w:ind w:left="288"/>
      </w:pPr>
      <w:r>
        <w:rPr>
          <w:color w:val="1E1E1E"/>
          <w:sz w:val="18"/>
        </w:rPr>
        <w:t>Escola da Magistratura do Rio Grande do Norte. CPMF. Movimentação financeira. (...) A Escola da Magistratura do Rio Grande do Norte, criada por meio da Resolução TJ 5/1988, é considerada órgão desconcentrado do Poder Judiciário, na forma do art. 42 da Lei estadual 6.370/1993. Caracteriza-se como ente de natureza pública, sem personalidade jurídica própria, e, portanto, compõe o próprio Estado do Rio Grande do Norte, dentro do corpo do Poder Judiciário local. (...) O STF, ao delinear os contornos da denominada imunidade recíproca, estampada no art. 150, VI, inciso a, da Constituição Federal, fi</w:t>
      </w:r>
    </w:p>
    <w:p>
      <w:pPr>
        <w:ind w:left="288"/>
      </w:pPr>
      <w:r>
        <w:rPr>
          <w:b/>
          <w:color w:val="003CA0"/>
          <w:sz w:val="16"/>
        </w:rPr>
        <w:t>[ACO 602, rel. min. Dias Toffoli, j. 6-6-2018, P, DJE de 6-8-2018.]</w:t>
      </w:r>
    </w:p>
    <w:p>
      <w:pPr>
        <w:ind w:left="288"/>
      </w:pPr>
      <w:r>
        <w:rPr>
          <w:color w:val="8C8C8C"/>
          <w:sz w:val="12"/>
        </w:rPr>
        <w:t>cf-art-150-inc-VI-ali-a</w:t>
      </w:r>
      <w:r>
        <w:rPr>
          <w:color w:val="003CA0"/>
          <w:sz w:val="12"/>
        </w:rPr>
        <w:t xml:space="preserve"> | RE 831.381</w:t>
      </w:r>
      <w:r>
        <w:rPr>
          <w:color w:val="003CA0"/>
          <w:sz w:val="12"/>
        </w:rPr>
        <w:t xml:space="preserve"> | rel. Roberto Barroso</w:t>
      </w:r>
    </w:p>
    <w:p>
      <w:pPr>
        <w:ind w:left="288"/>
      </w:pPr>
      <w:r>
        <w:rPr>
          <w:color w:val="1E1E1E"/>
          <w:sz w:val="18"/>
        </w:rPr>
        <w:t>A imunidade tributária recíproca, prevista no art. 150, VI, a, da CF – extensiva às autarquias e fundações públicas – tem aplicabilidade restrita a impostos, não se estendendo, em consequência, a outras espécies tributárias, a exemplo das contribuições sociais.</w:t>
      </w:r>
    </w:p>
    <w:p>
      <w:pPr>
        <w:ind w:left="288"/>
      </w:pPr>
      <w:r>
        <w:rPr>
          <w:b/>
          <w:color w:val="003CA0"/>
          <w:sz w:val="16"/>
        </w:rPr>
        <w:t>[RE 831.381 AgR-AgR, rel. min. Roberto Barroso, j. 9-3-2018, 1ª T, DJE de 21-3-2018.]</w:t>
      </w:r>
    </w:p>
    <w:p>
      <w:pPr>
        <w:ind w:left="288"/>
      </w:pPr>
      <w:r>
        <w:rPr>
          <w:color w:val="8C8C8C"/>
          <w:sz w:val="12"/>
        </w:rPr>
        <w:t>cf-art-150-inc-VI-ali-a</w:t>
      </w:r>
      <w:r>
        <w:rPr>
          <w:color w:val="003CA0"/>
          <w:sz w:val="12"/>
        </w:rPr>
        <w:t xml:space="preserve"> | RE 610.517</w:t>
      </w:r>
      <w:r>
        <w:rPr>
          <w:color w:val="003CA0"/>
          <w:sz w:val="12"/>
        </w:rPr>
        <w:t xml:space="preserve"> | rel. Celso de Mello</w:t>
      </w:r>
    </w:p>
    <w:p>
      <w:pPr>
        <w:ind w:left="288"/>
      </w:pPr>
      <w:r>
        <w:rPr>
          <w:color w:val="1E1E1E"/>
          <w:sz w:val="18"/>
        </w:rPr>
        <w:t>Casa da Moeda do Brasil (CMB). Empresa governamental delegatária de serviços públicos. Emissão de papel moeda, cunhagem de moeda metálica, fabricação de fichas telefônicas e impressão de selos postais. Regime constitucional de monopólio (CF, art. 21, VII). Outorga de delegação à CMB, mediante lei, que não descaracteriza a estatalidade do serviço público, notadamente quando constitucionalmente monopolizado pela pessoa política (a União Federal, no caso) que é dele titular. A delegação da execução de serviço público, mediante outorga legal, não implica alteração do regime jurídico de direito púb</w:t>
      </w:r>
    </w:p>
    <w:p>
      <w:pPr>
        <w:ind w:left="288"/>
      </w:pPr>
      <w:r>
        <w:rPr>
          <w:b/>
          <w:color w:val="003CA0"/>
          <w:sz w:val="16"/>
        </w:rPr>
        <w:t>[RE 610.517 AgR, rel. min. Celso de Mello, j. 3-6-2014, 2ª T, DJE de 23-6-2014.]</w:t>
      </w:r>
    </w:p>
    <w:p>
      <w:pPr>
        <w:ind w:left="288"/>
      </w:pPr>
      <w:r>
        <w:rPr>
          <w:color w:val="8C8C8C"/>
          <w:sz w:val="12"/>
        </w:rPr>
        <w:t>cf-art-150-inc-VI-ali-a</w:t>
      </w:r>
      <w:r>
        <w:rPr>
          <w:color w:val="003CA0"/>
          <w:sz w:val="12"/>
        </w:rPr>
        <w:t xml:space="preserve"> | RE 635.012</w:t>
      </w:r>
      <w:r>
        <w:rPr>
          <w:color w:val="003CA0"/>
          <w:sz w:val="12"/>
        </w:rPr>
        <w:t xml:space="preserve"> | rel. Dias Toffoli</w:t>
      </w:r>
    </w:p>
    <w:p>
      <w:pPr>
        <w:ind w:left="288"/>
      </w:pPr>
      <w:r>
        <w:rPr>
          <w:color w:val="1E1E1E"/>
          <w:sz w:val="18"/>
        </w:rPr>
        <w:t>O julgado recorrido contempla a conclusão de que a União não está condicionada ao ônus de comprovar vinculação do bem tributado a uma finalidade pública, o que somente ocorre nos casos das autarquias e fundações instituídas e mantidas pelo poder público no que se refere à tributação do patrimônio, renda e serviços vinculados a suas finalidades essenciais. Esse entendimento está em consonância com a jurisprudência desta Corte que tem se posicionado no sentido de reconhecer a imunidade recíproca constante do art. 150, VI, a, da Carta Magna aos entes da administração direta e, somente no que refe</w:t>
      </w:r>
    </w:p>
    <w:p>
      <w:pPr>
        <w:ind w:left="288"/>
      </w:pPr>
      <w:r>
        <w:rPr>
          <w:b/>
          <w:color w:val="003CA0"/>
          <w:sz w:val="16"/>
        </w:rPr>
        <w:t>[RE 635.012, rel. min. Dias Toffoli, j. 7-2-2013, dec. monocrática, DJE de 14-2-2013.]</w:t>
      </w:r>
    </w:p>
    <w:p>
      <w:pPr>
        <w:ind w:left="288"/>
      </w:pPr>
      <w:r>
        <w:rPr>
          <w:color w:val="8C8C8C"/>
          <w:sz w:val="12"/>
        </w:rPr>
        <w:t>cf-art-150-inc-VI-ali-a</w:t>
      </w:r>
      <w:r>
        <w:rPr>
          <w:color w:val="003CA0"/>
          <w:sz w:val="12"/>
        </w:rPr>
        <w:t xml:space="preserve"> | RE 475.268</w:t>
      </w:r>
      <w:r>
        <w:rPr>
          <w:color w:val="003CA0"/>
          <w:sz w:val="12"/>
        </w:rPr>
        <w:t xml:space="preserve"> | rel. Ellen Gracie</w:t>
      </w:r>
    </w:p>
    <w:p>
      <w:pPr>
        <w:ind w:left="288"/>
      </w:pPr>
      <w:r>
        <w:rPr>
          <w:color w:val="1E1E1E"/>
          <w:sz w:val="18"/>
        </w:rPr>
        <w:t>= RE 475.268 AgR, rel. min. Ellen Gracie, j. 22-2-2011, 2ª T, DJE de 15-3-2011 Vide AI 172.890 AgR, rel. min. Marco Aurélio, j. 5-3-1996, 2ª T, DJ de 19-4-1996 Imunidade recíproca. Caracterização. (...) Segundo teste proposto pelo ministro relator, a aplicabilidade da imunidade tributária recíproca (art. 150, VI, a, da Constituição) deve passar por três estágios, sem prejuízo do atendimento de outras normas constitucionais e legais: a imunidade tributária recíproca se aplica à propriedade, bens e serviços utilizados na satisfação dos objetivos institucionais imanentes do ente federado, cuja tr</w:t>
      </w:r>
    </w:p>
    <w:p>
      <w:pPr>
        <w:ind w:left="288"/>
      </w:pPr>
      <w:r>
        <w:rPr>
          <w:b/>
          <w:color w:val="003CA0"/>
          <w:sz w:val="16"/>
        </w:rPr>
        <w:t>[RE 253.472, red. do ac. min. Joaquim Barbosa, j. 25-8-2010, P, DJE de 1º-2-2011.]</w:t>
      </w:r>
    </w:p>
    <w:p>
      <w:pPr>
        <w:ind w:left="288"/>
      </w:pPr>
      <w:r>
        <w:rPr>
          <w:color w:val="8C8C8C"/>
          <w:sz w:val="12"/>
        </w:rPr>
        <w:t>cf-art-150-inc-VI-ali-a</w:t>
      </w:r>
      <w:r>
        <w:rPr>
          <w:color w:val="003CA0"/>
          <w:sz w:val="12"/>
        </w:rPr>
        <w:t xml:space="preserve"> | RE 458.164</w:t>
      </w:r>
      <w:r>
        <w:rPr>
          <w:color w:val="003CA0"/>
          <w:sz w:val="12"/>
        </w:rPr>
        <w:t xml:space="preserve"> | rel. Celso de Mello</w:t>
      </w:r>
    </w:p>
    <w:p>
      <w:pPr>
        <w:ind w:left="288"/>
      </w:pPr>
      <w:r>
        <w:rPr>
          <w:color w:val="1E1E1E"/>
          <w:sz w:val="18"/>
        </w:rPr>
        <w:t>= RE 458.164 AgR, rel. min. Celso de Mello, j. 21-6-2011, 2ª T, DJE de 23-8-2011</w:t>
        <w:br/>
        <w:t xml:space="preserve">= ARE 1.401.061 AgR, rel. min. Dias Toffoli, j. 22-5-2023, 2ª T, DJE de 13-6-2023 Vide RE 253.394, rel. min. Ilmar Galvão, j. 26-11-2002, 1ª T, DJ de 11-4-2003 A imunidade tributária gozada pela OAB é da espécie recíproca (art. 150, VI, a, da Constituição), na medida em que a OAB desempenha atividade própria de Estado (defesa da Constituição, da ordem jurídica do Estado Democrático de Direito, dos direitos humanos, da justiça social, bem como a seleção e controle disciplinar dos advogados). A imunidade tributária </w:t>
      </w:r>
    </w:p>
    <w:p>
      <w:pPr>
        <w:ind w:left="288"/>
      </w:pPr>
      <w:r>
        <w:rPr>
          <w:b/>
          <w:color w:val="003CA0"/>
          <w:sz w:val="16"/>
        </w:rPr>
        <w:t>[RE 259.976 AgR, rel. min. Joaquim Barbosa, j. 23-3-2010, 2ª T, DJE de 30-4-2010.]</w:t>
      </w:r>
    </w:p>
    <w:p>
      <w:pPr>
        <w:ind w:left="288"/>
      </w:pPr>
      <w:r>
        <w:rPr>
          <w:color w:val="8C8C8C"/>
          <w:sz w:val="12"/>
        </w:rPr>
        <w:t>cf-art-150-inc-VI-ali-a</w:t>
      </w:r>
      <w:r>
        <w:rPr>
          <w:color w:val="003CA0"/>
          <w:sz w:val="12"/>
        </w:rPr>
        <w:t xml:space="preserve"> | RE 405.267</w:t>
      </w:r>
      <w:r>
        <w:rPr>
          <w:color w:val="003CA0"/>
          <w:sz w:val="12"/>
        </w:rPr>
        <w:t xml:space="preserve"> | rel. Edson Fachin</w:t>
      </w:r>
    </w:p>
    <w:p>
      <w:pPr>
        <w:ind w:left="288"/>
      </w:pPr>
      <w:r>
        <w:rPr>
          <w:color w:val="1E1E1E"/>
          <w:sz w:val="18"/>
        </w:rPr>
        <w:t>Vide RE 405.267, rel. min. Edson Fachin, j. 6-9-2018, P, DJE de 18-10-2018 É irrelevante para a definição da aplicabilidade da imunidade tributária recíproca a circunstância de a atividade desempenhada estar ou não sujeita a monopólio estatal. O alcance da salvaguarda constitucional pressupõe o exame (i) da caracterização econômica da atividade (lucrativa ou não), (ii) do risco à concorrência e à livre-iniciativa e (iii) de riscos ao pacto federativo pela pressão política ou econômica. A imunidade tributária recíproca não se aplica à Petrobras, pois: trata-se de sociedade de economia mista des</w:t>
      </w:r>
    </w:p>
    <w:p>
      <w:pPr>
        <w:ind w:left="288"/>
      </w:pPr>
      <w:r>
        <w:rPr>
          <w:b/>
          <w:color w:val="003CA0"/>
          <w:sz w:val="16"/>
        </w:rPr>
        <w:t>[RE 285.716 AgR, rel. min. Joaquim Barbosa, j. 2-3-2010, 2ª T, DJE de 26-3-2010.]</w:t>
      </w:r>
    </w:p>
    <w:p>
      <w:pPr>
        <w:ind w:left="288"/>
      </w:pPr>
      <w:r>
        <w:rPr>
          <w:color w:val="8C8C8C"/>
          <w:sz w:val="12"/>
        </w:rPr>
        <w:t>cf-art-150-inc-VI-ali-a</w:t>
      </w:r>
      <w:r>
        <w:rPr>
          <w:color w:val="003CA0"/>
          <w:sz w:val="12"/>
        </w:rPr>
        <w:t xml:space="preserve"> | AI 718.646</w:t>
      </w:r>
      <w:r>
        <w:rPr>
          <w:color w:val="003CA0"/>
          <w:sz w:val="12"/>
        </w:rPr>
        <w:t xml:space="preserve"> | rel. Eros Grau</w:t>
      </w:r>
    </w:p>
    <w:p>
      <w:pPr>
        <w:ind w:left="288"/>
      </w:pPr>
      <w:r>
        <w:rPr>
          <w:color w:val="1E1E1E"/>
          <w:sz w:val="18"/>
        </w:rPr>
        <w:t>IPTU. Empresa Brasileira de Correios e Telégrafos (ECT). Abrangência. (...) O Plenário do STF declarou a compatibilidade do DL 509/1969 – que dispõe sobre a impenhorabilidade dos bens da ECT e os benefícios fiscais outorgados a essa empresa – com a Constituição do Brasil.</w:t>
      </w:r>
    </w:p>
    <w:p>
      <w:pPr>
        <w:ind w:left="288"/>
      </w:pPr>
      <w:r>
        <w:rPr>
          <w:b/>
          <w:color w:val="003CA0"/>
          <w:sz w:val="16"/>
        </w:rPr>
        <w:t>[AI 718.646 AgR, rel. min. Eros Grau, j. 16-9-2008, 2ª T, DJE de 24-10-2008.]</w:t>
      </w:r>
    </w:p>
    <w:p>
      <w:pPr>
        <w:ind w:left="288"/>
      </w:pPr>
      <w:r>
        <w:rPr>
          <w:color w:val="8C8C8C"/>
          <w:sz w:val="12"/>
        </w:rPr>
        <w:t>cf-art-150-inc-VI-ali-a</w:t>
      </w:r>
      <w:r>
        <w:rPr>
          <w:color w:val="003CA0"/>
          <w:sz w:val="12"/>
        </w:rPr>
        <w:t xml:space="preserve"> | RE 376.407</w:t>
      </w:r>
      <w:r>
        <w:rPr>
          <w:color w:val="003CA0"/>
          <w:sz w:val="12"/>
        </w:rPr>
        <w:t xml:space="preserve"> | rel. Eros Grau</w:t>
      </w:r>
    </w:p>
    <w:p>
      <w:pPr>
        <w:ind w:left="288"/>
      </w:pPr>
      <w:r>
        <w:rPr>
          <w:color w:val="1E1E1E"/>
          <w:sz w:val="18"/>
        </w:rPr>
        <w:t>Inclusão do valor da contribuição devida ao IAA na base de cálculo do ICMS. Inexistência de ofensa à imunidade tributária recíproca (...). Tributo não exigido de ente público.</w:t>
      </w:r>
    </w:p>
    <w:p>
      <w:pPr>
        <w:ind w:left="288"/>
      </w:pPr>
      <w:r>
        <w:rPr>
          <w:b/>
          <w:color w:val="003CA0"/>
          <w:sz w:val="16"/>
        </w:rPr>
        <w:t>[RE 376.407 AgR, rel. min. Eros Grau, j. 24-6-2008, 2ª T, DJE de 15-8-2008.]</w:t>
      </w:r>
    </w:p>
    <w:p>
      <w:pPr>
        <w:ind w:left="288"/>
      </w:pPr>
      <w:r>
        <w:rPr>
          <w:color w:val="8C8C8C"/>
          <w:sz w:val="12"/>
        </w:rPr>
        <w:t>cf-art-150-inc-VI-ali-a</w:t>
      </w:r>
      <w:r>
        <w:rPr>
          <w:color w:val="003CA0"/>
          <w:sz w:val="12"/>
        </w:rPr>
        <w:t xml:space="preserve"> | AI 671.412</w:t>
      </w:r>
      <w:r>
        <w:rPr>
          <w:color w:val="003CA0"/>
          <w:sz w:val="12"/>
        </w:rPr>
        <w:t xml:space="preserve"> | rel. Eros Grau</w:t>
      </w:r>
    </w:p>
    <w:p>
      <w:pPr>
        <w:ind w:left="288"/>
      </w:pPr>
      <w:r>
        <w:rPr>
          <w:color w:val="1E1E1E"/>
          <w:sz w:val="18"/>
        </w:rPr>
        <w:t>A jurisprudência do Supremo firmou-se no sentido de que a imunidade de que trata o art. 150, VI, a, da CF/1988 somente se aplica a imposto incidente sobre serviço, patrimônio ou renda do próprio Município. Esta Corte firmou entendimento no sentido de que o Município não é contribuinte de direito do ICMS, descabendo confundi-lo com a figura do contribuinte de fato e a imunidade recíproca não beneficia o contribuinte de fato.</w:t>
      </w:r>
    </w:p>
    <w:p>
      <w:pPr>
        <w:ind w:left="288"/>
      </w:pPr>
      <w:r>
        <w:rPr>
          <w:b/>
          <w:color w:val="003CA0"/>
          <w:sz w:val="16"/>
        </w:rPr>
        <w:t>[AI 671.412 AgR, rel. min. Eros Grau, j. 1º-4-2008, 2ª T, DJE de 25-4-2008.]</w:t>
      </w:r>
    </w:p>
    <w:p>
      <w:pPr>
        <w:ind w:left="288"/>
      </w:pPr>
      <w:r>
        <w:rPr>
          <w:color w:val="8C8C8C"/>
          <w:sz w:val="12"/>
        </w:rPr>
        <w:t>cf-art-150-inc-VI-ali-a</w:t>
      </w:r>
      <w:r>
        <w:rPr>
          <w:color w:val="003CA0"/>
          <w:sz w:val="12"/>
        </w:rPr>
        <w:t xml:space="preserve"> | AI 736.607</w:t>
      </w:r>
      <w:r>
        <w:rPr>
          <w:color w:val="003CA0"/>
          <w:sz w:val="12"/>
        </w:rPr>
        <w:t xml:space="preserve"> | rel. Ayres Britto</w:t>
      </w:r>
    </w:p>
    <w:p>
      <w:pPr>
        <w:ind w:left="288"/>
      </w:pPr>
      <w:r>
        <w:rPr>
          <w:color w:val="1E1E1E"/>
          <w:sz w:val="18"/>
        </w:rPr>
        <w:t>= AI 736.607 AgR, rel. min. Ayres Britto, j. 16-8-2011, 2ª T, DJE de 19-10-2011 Vide AI 518.405 AgR, rel. min. Joaquim Barbosa, j. 6-4-2010, 2ª T, DJE de 30-4-2010 As decisões anteriores foram desfavoráveis ao requerente, o que transmuda o seu pedido em tutela antecipada em recurso extraordinário, cujo deferimento está condicionado à verossimilhança das alegações contidas no apelo extremo. Condição inexistente no caso, visto que, de acordo com o acórdão recorrido, o fornecedor da iluminação pública não é o Município, mas a Cia. Força e Luz Cataguases, que paga o ICMS à Fazenda estadual e o inc</w:t>
      </w:r>
    </w:p>
    <w:p>
      <w:pPr>
        <w:ind w:left="288"/>
      </w:pPr>
      <w:r>
        <w:rPr>
          <w:b/>
          <w:color w:val="003CA0"/>
          <w:sz w:val="16"/>
        </w:rPr>
        <w:t>[AC 457 MC, rel. min. Ayres Britto, j. 26-10-2004, 1ª T, DJ de 11-2-2005.]</w:t>
      </w:r>
    </w:p>
    <w:p>
      <w:pPr>
        <w:ind w:left="288"/>
      </w:pPr>
      <w:r>
        <w:rPr>
          <w:color w:val="8C8C8C"/>
          <w:sz w:val="12"/>
        </w:rPr>
        <w:t>cf-art-150-inc-VI-ali-a</w:t>
      </w:r>
      <w:r>
        <w:rPr>
          <w:color w:val="003CA0"/>
          <w:sz w:val="12"/>
        </w:rPr>
        <w:t xml:space="preserve"> | RE 407.099</w:t>
      </w:r>
      <w:r>
        <w:rPr>
          <w:color w:val="003CA0"/>
          <w:sz w:val="12"/>
        </w:rPr>
        <w:t xml:space="preserve"> | rel. Carlos Velloso</w:t>
      </w:r>
    </w:p>
    <w:p>
      <w:pPr>
        <w:ind w:left="288"/>
      </w:pPr>
      <w:r>
        <w:rPr>
          <w:color w:val="1E1E1E"/>
          <w:sz w:val="18"/>
        </w:rPr>
        <w:t>As empresas públicas prestadoras de serviço público distinguem-se das que exercem atividade econômica. A Empresa Brasileira de Correios e Telégrafos é prestadora de serviço público de prestação obrigatória e exclusiva do Estado, motivo por que está abrangida pela imunidade tributária recíproca: CF, art. 150, VI, a.</w:t>
        <w:br/>
        <w:t>[RE 407.099, rel. min. Carlos Velloso, j. 22-6-2004, 2ª T, DJ de 6-8-2004.]</w:t>
        <w:br/>
        <w:t>Vide RE 601.392, red. do ac. min. Gilmar Mendes, j. 28-2-2013, P, DJE de 5-6-2013, Tema 235 IPTU. Imóveis que compõem o acervo patrimonial do Porto de Santos, integrantes do domínio da União. Impossibilidade</w:t>
      </w:r>
    </w:p>
    <w:p>
      <w:pPr>
        <w:ind w:left="288"/>
      </w:pPr>
      <w:r>
        <w:rPr>
          <w:b/>
          <w:color w:val="003CA0"/>
          <w:sz w:val="16"/>
        </w:rPr>
        <w:t>[RE 253.394, rel. min. Ilmar Galvão, j. 26-11-2002, 1ª T, DJ de 11-4-2003.]</w:t>
      </w:r>
    </w:p>
    <w:p>
      <w:pPr>
        <w:ind w:left="288"/>
      </w:pPr>
      <w:r>
        <w:rPr>
          <w:color w:val="8C8C8C"/>
          <w:sz w:val="12"/>
        </w:rPr>
        <w:t>cf-art-150-inc-VI-ali-a</w:t>
      </w:r>
      <w:r>
        <w:rPr>
          <w:color w:val="003CA0"/>
          <w:sz w:val="12"/>
        </w:rPr>
        <w:t xml:space="preserve"> | RE 457.643</w:t>
      </w:r>
      <w:r>
        <w:rPr>
          <w:color w:val="003CA0"/>
          <w:sz w:val="12"/>
        </w:rPr>
        <w:t xml:space="preserve"> | rel. Ricardo Lewandowski</w:t>
      </w:r>
    </w:p>
    <w:p>
      <w:pPr>
        <w:ind w:left="288"/>
      </w:pPr>
      <w:r>
        <w:rPr>
          <w:color w:val="1E1E1E"/>
          <w:sz w:val="18"/>
        </w:rPr>
        <w:t xml:space="preserve">= RE 457.643 AgR, rel. min. Ricardo Lewandowski, j. 9-11-2010, 1ª T, DJE de 30-11-2010 Vide RE 253.472, red. do ac. min. Joaquim Barbosa, j. 25-8-2010, P, DJE de 1º-2-2011 Natureza jurídica do Banco Regional de Desenvolvimento do Extremo Sul (BRDE). (...) No mérito, esta Corte já firmou o entendimento (assim, no RE 120.932 e na ADI 175) de que o banco-autor não tem a natureza jurídica de autarquia, mas é, sim, empresa com personalidade jurídica de direito privado. Consequentemente, não goza ele da imunidade tributária prevista no art. 150, VI, a, e seu § 2º, da atual Constituição, não fazendo </w:t>
      </w:r>
    </w:p>
    <w:p>
      <w:pPr>
        <w:ind w:left="288"/>
      </w:pPr>
      <w:r>
        <w:rPr>
          <w:b/>
          <w:color w:val="003CA0"/>
          <w:sz w:val="16"/>
        </w:rPr>
        <w:t>[ACO 503, rel. min. Moreira Alves, j. 25-10-2001, P, DJ de 5-9-2003.]</w:t>
      </w:r>
    </w:p>
    <w:p>
      <w:pPr>
        <w:ind w:left="288"/>
      </w:pPr>
      <w:r>
        <w:rPr>
          <w:color w:val="8C8C8C"/>
          <w:sz w:val="12"/>
        </w:rPr>
        <w:t>cf-art-150-inc-VI-ali-a</w:t>
      </w:r>
      <w:r>
        <w:rPr>
          <w:color w:val="003CA0"/>
          <w:sz w:val="12"/>
        </w:rPr>
        <w:t xml:space="preserve"> | AI 172.890</w:t>
      </w:r>
      <w:r>
        <w:rPr>
          <w:color w:val="003CA0"/>
          <w:sz w:val="12"/>
        </w:rPr>
        <w:t xml:space="preserve"> | rel. Marco Aurélio</w:t>
      </w:r>
    </w:p>
    <w:p>
      <w:pPr>
        <w:ind w:left="288"/>
      </w:pPr>
      <w:r>
        <w:rPr>
          <w:color w:val="1E1E1E"/>
          <w:sz w:val="18"/>
        </w:rPr>
        <w:t>A norma da alínea a do inciso VI do art. 150 da CF obstaculiza a incidência recíproca de impostos, considerada a União, os Estados, o Distrito Federal e os Municípios. Descabe introduzir no preceito, à mercê de interpretação, exceção não contemplada, distinguindo os ganhos resultantes de operações financeiras.</w:t>
      </w:r>
    </w:p>
    <w:p>
      <w:pPr>
        <w:ind w:left="288"/>
      </w:pPr>
      <w:r>
        <w:rPr>
          <w:b/>
          <w:color w:val="003CA0"/>
          <w:sz w:val="16"/>
        </w:rPr>
        <w:t>[AI 172.890 AgR, rel. min. Marco Aurélio, j. 5-3-1996, 2ª T, DJ de 19-4-1996.]</w:t>
      </w:r>
    </w:p>
    <w:p>
      <w:pPr>
        <w:ind w:left="288"/>
      </w:pPr>
      <w:r>
        <w:rPr>
          <w:color w:val="8C8C8C"/>
          <w:sz w:val="12"/>
        </w:rPr>
        <w:t>cf-art-150-inc-VI-ali-a</w:t>
      </w:r>
      <w:r>
        <w:rPr>
          <w:color w:val="003CA0"/>
          <w:sz w:val="12"/>
        </w:rPr>
        <w:t xml:space="preserve"> | RE 635.012</w:t>
      </w:r>
      <w:r>
        <w:rPr>
          <w:color w:val="003CA0"/>
          <w:sz w:val="12"/>
        </w:rPr>
        <w:t xml:space="preserve"> | rel. Dias Toffoli</w:t>
      </w:r>
    </w:p>
    <w:p>
      <w:pPr>
        <w:ind w:left="288"/>
      </w:pPr>
      <w:r>
        <w:rPr>
          <w:color w:val="1E1E1E"/>
          <w:sz w:val="18"/>
        </w:rPr>
        <w:t>Vide RE 635.012, rel. min. Dias Toffoli, j. 7-2-2013, dec. monocrática, DJE de 14-2-2013</w:t>
      </w:r>
    </w:p>
    <w:p>
      <w:pPr>
        <w:ind w:left="288"/>
      </w:pPr>
      <w:r>
        <w:rPr>
          <w:color w:val="8C8C8C"/>
          <w:sz w:val="12"/>
        </w:rPr>
        <w:t>cf-art-150-inc-VI-ali-b</w:t>
      </w:r>
    </w:p>
    <w:p>
      <w:pPr>
        <w:ind w:left="288"/>
      </w:pPr>
      <w:r>
        <w:rPr>
          <w:color w:val="1E1E1E"/>
          <w:sz w:val="18"/>
        </w:rPr>
        <w:t>c) patrimônio, renda ou serviços dos partidos políticos, inclusive suas fundações, das entidades sindicais dos trabalhadores, das instituições de educação e de assistência social, sem fins lucrativos, atendidos os requisitos da lei;</w:t>
      </w:r>
    </w:p>
    <w:p>
      <w:pPr>
        <w:ind w:left="144"/>
      </w:pPr>
      <w:r>
        <w:rPr>
          <w:b/>
          <w:color w:val="B45A00"/>
          <w:sz w:val="16"/>
        </w:rPr>
        <w:t>SUMULA VINCULANTE</w:t>
      </w:r>
    </w:p>
    <w:p>
      <w:pPr>
        <w:ind w:left="288"/>
      </w:pPr>
      <w:r>
        <w:rPr>
          <w:color w:val="8C8C8C"/>
          <w:sz w:val="12"/>
        </w:rPr>
        <w:t>cf-art-150-inc-VI-ali-b</w:t>
      </w:r>
    </w:p>
    <w:p>
      <w:pPr>
        <w:ind w:left="288"/>
      </w:pPr>
      <w:r>
        <w:rPr>
          <w:color w:val="1E1E1E"/>
          <w:sz w:val="18"/>
        </w:rPr>
        <w:t>Ainda quando alugado a terceiros, permanece imune ao IPTU o imóvel pertencente a qualquer das entidades referidas pelo art. 150, VI, c, da CF, desde que o valor dos aluguéis seja aplicado nas atividades para as quais tais entidades foram constituídas.</w:t>
      </w:r>
    </w:p>
    <w:p>
      <w:pPr>
        <w:ind w:left="288"/>
      </w:pPr>
      <w:r>
        <w:rPr>
          <w:b/>
          <w:color w:val="003CA0"/>
          <w:sz w:val="16"/>
        </w:rPr>
        <w:t>[Súmula Vinculante 52.]</w:t>
      </w:r>
    </w:p>
    <w:p>
      <w:pPr>
        <w:ind w:left="144"/>
      </w:pPr>
      <w:r>
        <w:rPr>
          <w:b/>
          <w:color w:val="B45A00"/>
          <w:sz w:val="16"/>
        </w:rPr>
        <w:t>SUMULA</w:t>
      </w:r>
    </w:p>
    <w:p>
      <w:pPr>
        <w:ind w:left="288"/>
      </w:pPr>
      <w:r>
        <w:rPr>
          <w:color w:val="8C8C8C"/>
          <w:sz w:val="12"/>
        </w:rPr>
        <w:t>cf-art-150-inc-VI-ali-b</w:t>
      </w:r>
    </w:p>
    <w:p>
      <w:pPr>
        <w:ind w:left="288"/>
      </w:pPr>
      <w:r>
        <w:rPr>
          <w:color w:val="1E1E1E"/>
          <w:sz w:val="18"/>
        </w:rPr>
        <w:t>A imunidade tributária conferida a instituições de assistência social sem fins lucrativos pelo art. 150, VI, c, da Constituição, somente alcança as entidades fechadas de previdência social privada se não houver contribuição dos beneficiários.</w:t>
      </w:r>
    </w:p>
    <w:p>
      <w:pPr>
        <w:ind w:left="288"/>
      </w:pPr>
      <w:r>
        <w:rPr>
          <w:b/>
          <w:color w:val="003CA0"/>
          <w:sz w:val="16"/>
        </w:rPr>
        <w:t>[Súmula 730.]</w:t>
      </w:r>
    </w:p>
    <w:p>
      <w:pPr>
        <w:ind w:left="144"/>
      </w:pPr>
      <w:r>
        <w:rPr>
          <w:b/>
          <w:color w:val="B45A00"/>
          <w:sz w:val="16"/>
        </w:rPr>
        <w:t>CONTROLE CONCENTRADO</w:t>
      </w:r>
    </w:p>
    <w:p>
      <w:pPr>
        <w:ind w:left="288"/>
      </w:pPr>
      <w:r>
        <w:rPr>
          <w:color w:val="8C8C8C"/>
          <w:sz w:val="12"/>
        </w:rPr>
        <w:t>cf-art-150-inc-VI-ali-b</w:t>
      </w:r>
      <w:r>
        <w:rPr>
          <w:color w:val="003CA0"/>
          <w:sz w:val="12"/>
        </w:rPr>
        <w:t xml:space="preserve"> | ADI 1.802</w:t>
      </w:r>
      <w:r>
        <w:rPr>
          <w:color w:val="003CA0"/>
          <w:sz w:val="12"/>
        </w:rPr>
        <w:t xml:space="preserve"> | rel. Dias Toffoli</w:t>
      </w:r>
    </w:p>
    <w:p>
      <w:pPr>
        <w:ind w:left="288"/>
      </w:pPr>
      <w:r>
        <w:rPr>
          <w:color w:val="1E1E1E"/>
          <w:sz w:val="18"/>
        </w:rPr>
        <w:t>Imunidade. Artigo 150, VI, c, da CF. (...) Com o advento da Constituição de 1988, o constituinte dedicou uma seção específica às ‘limitações do poder de tributar’ (art. 146, II, CF) e nela fez constar a imunidade das instituições de assistência social. Mesmo com a referência expressa ao termo ‘lei’, não há mais como sustentar que inexiste reserva de lei complementar. No que se refere aos impostos, o maior rigor do quórum qualificado para a aprovação dessa importante regulamentação se justifica para se dar maior estabilidade à disciplina do tema e dificultar sua modificação, estabelecendo regra</w:t>
      </w:r>
    </w:p>
    <w:p>
      <w:pPr>
        <w:ind w:left="288"/>
      </w:pPr>
      <w:r>
        <w:rPr>
          <w:b/>
          <w:color w:val="003CA0"/>
          <w:sz w:val="16"/>
        </w:rPr>
        <w:t>[ADI 1.802, rel. min. Dias Toffoli, j. 12-4-2018, P, DJE de 3-5-2018.]</w:t>
      </w:r>
    </w:p>
    <w:p>
      <w:pPr>
        <w:ind w:left="144"/>
      </w:pPr>
      <w:r>
        <w:rPr>
          <w:b/>
          <w:color w:val="B45A00"/>
          <w:sz w:val="16"/>
        </w:rPr>
        <w:t>REPERCUSSAO GERAL</w:t>
      </w:r>
    </w:p>
    <w:p>
      <w:pPr>
        <w:ind w:left="288"/>
      </w:pPr>
      <w:r>
        <w:rPr>
          <w:color w:val="8C8C8C"/>
          <w:sz w:val="12"/>
        </w:rPr>
        <w:t>cf-art-150-inc-VI-ali-b</w:t>
      </w:r>
      <w:r>
        <w:rPr>
          <w:color w:val="003CA0"/>
          <w:sz w:val="12"/>
        </w:rPr>
        <w:t xml:space="preserve"> | RE 630.790</w:t>
      </w:r>
      <w:r>
        <w:rPr>
          <w:color w:val="003CA0"/>
          <w:sz w:val="12"/>
        </w:rPr>
        <w:t xml:space="preserve"> | rel. Roberto Barroso</w:t>
      </w:r>
    </w:p>
    <w:p>
      <w:pPr>
        <w:ind w:left="288"/>
      </w:pPr>
      <w:r>
        <w:rPr>
          <w:color w:val="1E1E1E"/>
          <w:sz w:val="18"/>
        </w:rPr>
        <w:t>As entidades religiosas podem se caracterizar como instituições de assistência social a fim de se beneficiarem da imunidade tributária prevista no art. 150, VI, c, da Constituição, que abrangerá não só os impostos sobre o seu patrimônio, renda e serviços, mas também os impostos sobre a importação de bens a serem utilizados na consecução de seus objetivos estatutários.</w:t>
      </w:r>
    </w:p>
    <w:p>
      <w:pPr>
        <w:ind w:left="288"/>
      </w:pPr>
      <w:r>
        <w:rPr>
          <w:b/>
          <w:color w:val="003CA0"/>
          <w:sz w:val="16"/>
        </w:rPr>
        <w:t>[RE 630.790, rel. min. Roberto Barroso, j. 21-3-2022, P, DJE de 29-3-2022, Tema 336, com mérito julgado.]</w:t>
      </w:r>
    </w:p>
    <w:p>
      <w:pPr>
        <w:ind w:left="288"/>
      </w:pPr>
      <w:r>
        <w:rPr>
          <w:color w:val="8C8C8C"/>
          <w:sz w:val="12"/>
        </w:rPr>
        <w:t>cf-art-150-inc-VI-ali-b</w:t>
      </w:r>
      <w:r>
        <w:rPr>
          <w:color w:val="003CA0"/>
          <w:sz w:val="12"/>
        </w:rPr>
        <w:t xml:space="preserve"> | RE 611.510</w:t>
      </w:r>
      <w:r>
        <w:rPr>
          <w:color w:val="003CA0"/>
          <w:sz w:val="12"/>
        </w:rPr>
        <w:t xml:space="preserve"> | rel. Rosa Weber</w:t>
      </w:r>
    </w:p>
    <w:p>
      <w:pPr>
        <w:ind w:left="288"/>
      </w:pPr>
      <w:r>
        <w:rPr>
          <w:color w:val="1E1E1E"/>
          <w:sz w:val="18"/>
        </w:rPr>
        <w:t>A imunidade assegurada pelo art. 150, VI, c, da Constituição da República aos partidos políticos, inclusive suas fundações, às entidades sindicais dos trabalhadores e às instituições de educação e de assistência social, sem fins lucrativos, que atendam aos requisitos da lei, alcança o IOF, inclusive o incidente sobre aplicações financeiras.</w:t>
      </w:r>
    </w:p>
    <w:p>
      <w:pPr>
        <w:ind w:left="288"/>
      </w:pPr>
      <w:r>
        <w:rPr>
          <w:b/>
          <w:color w:val="003CA0"/>
          <w:sz w:val="16"/>
        </w:rPr>
        <w:t>[RE 611.510, rel. min. Rosa Weber, j. 13-4-2021, P, DJE de 7-5-2021, Tema 328, com mérito julgado.]</w:t>
      </w:r>
    </w:p>
    <w:p>
      <w:pPr>
        <w:ind w:left="288"/>
      </w:pPr>
      <w:r>
        <w:rPr>
          <w:color w:val="8C8C8C"/>
          <w:sz w:val="12"/>
        </w:rPr>
        <w:t>cf-art-150-inc-VI-ali-b</w:t>
      </w:r>
      <w:r>
        <w:rPr>
          <w:color w:val="003CA0"/>
          <w:sz w:val="12"/>
        </w:rPr>
        <w:t xml:space="preserve"> | RE 608.872</w:t>
      </w:r>
      <w:r>
        <w:rPr>
          <w:color w:val="003CA0"/>
          <w:sz w:val="12"/>
        </w:rPr>
        <w:t xml:space="preserve"> | rel. Dias Toffoli</w:t>
      </w:r>
    </w:p>
    <w:p>
      <w:pPr>
        <w:ind w:left="288"/>
      </w:pPr>
      <w:r>
        <w:rPr>
          <w:color w:val="1E1E1E"/>
          <w:sz w:val="18"/>
        </w:rPr>
        <w:t>Imunidade do art. 150, VI, c, CF. Entidade beneficente de assistência social. ICMS. Aquisição de insumos e produtos no mercado interno na qualidade de contribuinte de fato. Beneplácito reconhecido ao contribuinte de direito. Repercussão econômica. Irrelevância. (...) "A imunidade tributária subjetiva aplica-se a seus beneficiários na posição de contribuinte de direito, mas não na de simples contribuinte de fato, sendo irrelevante para a verificação da existência do beneplácito constitucional a repercussão econômica do tributo envolvido.</w:t>
      </w:r>
    </w:p>
    <w:p>
      <w:pPr>
        <w:ind w:left="288"/>
      </w:pPr>
      <w:r>
        <w:rPr>
          <w:b/>
          <w:color w:val="003CA0"/>
          <w:sz w:val="16"/>
        </w:rPr>
        <w:t>[RE 608.872, rel. min. Dias Toffoli, j. 23-2-2017, P, DJE de 27-9-2017, Tema 342, com mérito julgado.]</w:t>
      </w:r>
    </w:p>
    <w:p>
      <w:pPr>
        <w:ind w:left="288"/>
      </w:pPr>
      <w:r>
        <w:rPr>
          <w:color w:val="8C8C8C"/>
          <w:sz w:val="12"/>
        </w:rPr>
        <w:t>cf-art-150-inc-VI-ali-b</w:t>
      </w:r>
      <w:r>
        <w:rPr>
          <w:color w:val="003CA0"/>
          <w:sz w:val="12"/>
        </w:rPr>
        <w:t xml:space="preserve"> | RE 767.332</w:t>
      </w:r>
      <w:r>
        <w:rPr>
          <w:color w:val="003CA0"/>
          <w:sz w:val="12"/>
        </w:rPr>
        <w:t xml:space="preserve"> | rel. Gilmar Mendes</w:t>
      </w:r>
    </w:p>
    <w:p>
      <w:pPr>
        <w:ind w:left="288"/>
      </w:pPr>
      <w:r>
        <w:rPr>
          <w:color w:val="1E1E1E"/>
          <w:sz w:val="18"/>
        </w:rPr>
        <w:t>A imunidade tributária, prevista no art. 150, VI, c, da CF/1988, aplica-se aos bens imóveis, temporariamente ociosos, de propriedade das instituições de educação e de assistência social sem fins lucrativos que atendam os requisitos legais.</w:t>
        <w:br/>
        <w:t>[RE 767.332, rel. min. Gilmar Mendes, j. 31-10-2013, P, DJE de 22-11-2013, Tema 693, com mérito julgado.]</w:t>
      </w:r>
    </w:p>
    <w:p>
      <w:pPr>
        <w:ind w:left="144"/>
      </w:pPr>
      <w:r>
        <w:rPr>
          <w:b/>
          <w:color w:val="B45A00"/>
          <w:sz w:val="16"/>
        </w:rPr>
        <w:t>JULGADOS CORRELATOS</w:t>
      </w:r>
    </w:p>
    <w:p>
      <w:pPr>
        <w:ind w:left="288"/>
      </w:pPr>
      <w:r>
        <w:rPr>
          <w:color w:val="8C8C8C"/>
          <w:sz w:val="12"/>
        </w:rPr>
        <w:t>cf-art-150-inc-VI-ali-b</w:t>
      </w:r>
      <w:r>
        <w:rPr>
          <w:color w:val="003CA0"/>
          <w:sz w:val="12"/>
        </w:rPr>
        <w:t xml:space="preserve"> | AI 746.263</w:t>
      </w:r>
      <w:r>
        <w:rPr>
          <w:color w:val="003CA0"/>
          <w:sz w:val="12"/>
        </w:rPr>
        <w:t xml:space="preserve"> | rel. Dias Toffoli</w:t>
      </w:r>
    </w:p>
    <w:p>
      <w:pPr>
        <w:ind w:left="288"/>
      </w:pPr>
      <w:r>
        <w:rPr>
          <w:color w:val="1E1E1E"/>
          <w:sz w:val="18"/>
        </w:rPr>
        <w:t>A vedação à instituição de impostos sobre o patrimônio e a renda das entidades reconhecidamente de assistência social que estejam vinculados às suas finalidades essenciais é uma garantia constitucional. Por seu turno, existe a presunção de que o imóvel da entidade assistencial esteja afetado a destinação compatível com seus objetivos e finalidades institucionais. O afastamento da imunidade só pode ocorrer mediante a constituição de prova em contrário produzida pela administração tributária.</w:t>
      </w:r>
    </w:p>
    <w:p>
      <w:pPr>
        <w:ind w:left="288"/>
      </w:pPr>
      <w:r>
        <w:rPr>
          <w:b/>
          <w:color w:val="003CA0"/>
          <w:sz w:val="16"/>
        </w:rPr>
        <w:t>[AI 746.263 AgR-ED, rel. min. Dias Toffoli, j. 12-11-2013, 1ª T, DJE de 16-12-2013.]</w:t>
      </w:r>
    </w:p>
    <w:p>
      <w:pPr>
        <w:ind w:left="288"/>
      </w:pPr>
      <w:r>
        <w:rPr>
          <w:color w:val="8C8C8C"/>
          <w:sz w:val="12"/>
        </w:rPr>
        <w:t>cf-art-150-inc-VI-ali-b</w:t>
      </w:r>
      <w:r>
        <w:rPr>
          <w:color w:val="003CA0"/>
          <w:sz w:val="12"/>
        </w:rPr>
        <w:t xml:space="preserve"> | AI 579.096</w:t>
      </w:r>
      <w:r>
        <w:rPr>
          <w:color w:val="003CA0"/>
          <w:sz w:val="12"/>
        </w:rPr>
        <w:t xml:space="preserve"> | rel. Joaquim Barbosa</w:t>
      </w:r>
    </w:p>
    <w:p>
      <w:pPr>
        <w:ind w:left="288"/>
      </w:pPr>
      <w:r>
        <w:rPr>
          <w:color w:val="1E1E1E"/>
          <w:sz w:val="18"/>
        </w:rPr>
        <w:t>Vide AI 579.096 AgR, rel. min. Joaquim Barbosa, j. 17-5-2011, 2ª T, DJE de 3-6-2011 No caso do ITBI, a destinação do imóvel às finalidades essenciais da entidade deve ser pressuposta, sob pena de não haver imunidade para esse tributo. A condição de um imóvel estar vago ou sem edificação não é suficiente, por si só, para destituir a garantia constitucional da imunidade. A regra da imunidade se traduz numa negativa de competência, limitando, a priori, o poder impositivo do Estado. Na regra imunizante, como a garantia decorre diretamente da Carta Política, mediante decote de competência legislati</w:t>
      </w:r>
    </w:p>
    <w:p>
      <w:pPr>
        <w:ind w:left="288"/>
      </w:pPr>
      <w:r>
        <w:rPr>
          <w:b/>
          <w:color w:val="003CA0"/>
          <w:sz w:val="16"/>
        </w:rPr>
        <w:t>[RE 470.520, rel. min. Dias Toffoli, j. 17-9-2013, 1ª T, DJE de 21-11-2013.]</w:t>
      </w:r>
    </w:p>
    <w:p>
      <w:pPr>
        <w:ind w:left="288"/>
      </w:pPr>
      <w:r>
        <w:rPr>
          <w:color w:val="8C8C8C"/>
          <w:sz w:val="12"/>
        </w:rPr>
        <w:t>cf-art-150-inc-VI-ali-b</w:t>
      </w:r>
      <w:r>
        <w:rPr>
          <w:color w:val="003CA0"/>
          <w:sz w:val="12"/>
        </w:rPr>
        <w:t xml:space="preserve"> | RE 562.351</w:t>
      </w:r>
      <w:r>
        <w:rPr>
          <w:color w:val="003CA0"/>
          <w:sz w:val="12"/>
        </w:rPr>
        <w:t xml:space="preserve"> | rel. Ricardo Lewandowski</w:t>
      </w:r>
    </w:p>
    <w:p>
      <w:pPr>
        <w:ind w:left="288"/>
      </w:pPr>
      <w:r>
        <w:rPr>
          <w:color w:val="1E1E1E"/>
          <w:sz w:val="18"/>
        </w:rPr>
        <w:t>O reconhecimento da imunidade tributária prevista no art. 150, VI, c, da CF exige o cumprimento dos requisitos estabelecidos em lei. Assim, para se chegar à conclusão se o recorrente atende aos requisitos da lei para fazer jus à imunidade prevista neste dispositivo, necessário seria o reexame do conjunto fático-probatório constante dos autos. Incide, na espécie, o teor da Súmula 279 do STF. (...) A imunidade tributária conferida pelo art. 150, VI, b, é restrita aos templos de qualquer culto religioso, não se aplicando à maçonaria, em cujas lojas não se professa qualquer religião.</w:t>
      </w:r>
    </w:p>
    <w:p>
      <w:pPr>
        <w:ind w:left="288"/>
      </w:pPr>
      <w:r>
        <w:rPr>
          <w:b/>
          <w:color w:val="003CA0"/>
          <w:sz w:val="16"/>
        </w:rPr>
        <w:t>[RE 562.351, rel. min. Ricardo Lewandowski, j. 4-9-2012, 1ª T, DJE de 14-12-2012.]</w:t>
      </w:r>
    </w:p>
    <w:p>
      <w:pPr>
        <w:ind w:left="288"/>
      </w:pPr>
      <w:r>
        <w:rPr>
          <w:color w:val="8C8C8C"/>
          <w:sz w:val="12"/>
        </w:rPr>
        <w:t>cf-art-150-inc-VI-ali-b</w:t>
      </w:r>
      <w:r>
        <w:rPr>
          <w:color w:val="003CA0"/>
          <w:sz w:val="12"/>
        </w:rPr>
        <w:t xml:space="preserve"> | RE 491.574</w:t>
      </w:r>
      <w:r>
        <w:rPr>
          <w:color w:val="003CA0"/>
          <w:sz w:val="12"/>
        </w:rPr>
        <w:t xml:space="preserve"> | rel. Marco Aurélio</w:t>
      </w:r>
    </w:p>
    <w:p>
      <w:pPr>
        <w:ind w:left="288"/>
      </w:pPr>
      <w:r>
        <w:rPr>
          <w:color w:val="1E1E1E"/>
          <w:sz w:val="18"/>
        </w:rPr>
        <w:t>A imunidade prevista no art. 150, VI, c, do Diploma Maior, a impedir a instituição de impostos sobre patrimônio, renda ou serviços das entidades sindicais dos trabalhadores, das instituições de educação e de assistência social, sem fins lucrativos, está umbilicalmente ligada ao contribuinte de direito, não abarcando o contribuinte de fato.</w:t>
      </w:r>
    </w:p>
    <w:p>
      <w:pPr>
        <w:ind w:left="288"/>
      </w:pPr>
      <w:r>
        <w:rPr>
          <w:b/>
          <w:color w:val="003CA0"/>
          <w:sz w:val="16"/>
        </w:rPr>
        <w:t>[RE 491.574 AgR, rel. min. Marco Aurélio, j. 21-8-2012, 1ª T, DJE de 6-9-2012.]</w:t>
      </w:r>
    </w:p>
    <w:p>
      <w:pPr>
        <w:ind w:left="288"/>
      </w:pPr>
      <w:r>
        <w:rPr>
          <w:color w:val="8C8C8C"/>
          <w:sz w:val="12"/>
        </w:rPr>
        <w:t>cf-art-150-inc-VI-ali-b</w:t>
      </w:r>
      <w:r>
        <w:rPr>
          <w:color w:val="003CA0"/>
          <w:sz w:val="12"/>
        </w:rPr>
        <w:t xml:space="preserve"> | AI 579.096</w:t>
      </w:r>
      <w:r>
        <w:rPr>
          <w:color w:val="003CA0"/>
          <w:sz w:val="12"/>
        </w:rPr>
        <w:t xml:space="preserve"> | rel. Joaquim Barbosa</w:t>
      </w:r>
    </w:p>
    <w:p>
      <w:pPr>
        <w:ind w:left="288"/>
      </w:pPr>
      <w:r>
        <w:rPr>
          <w:color w:val="1E1E1E"/>
          <w:sz w:val="18"/>
        </w:rPr>
        <w:t>Imunidade. Entidade de assistência social beneficente. (...) Nos termos da Constituição e da legislação de regência, as autoridades fiscais não podem partir de presunções inadmissíveis em matéria tributária, nem impor ao contribuinte dever probatório inexequível, demasiadamente oneroso ou desnecessário. As mesmas balizas são aplicáveis ao controle jurisdicional do crédito tributário. Por se tratar de embargos à execução fiscal, é lícito presumir que a própria autoridade fiscal apontou com precisão as razões que levaram à descaracterização da entidade e da destinação dada ao imóvel como objetos</w:t>
      </w:r>
    </w:p>
    <w:p>
      <w:pPr>
        <w:ind w:left="288"/>
      </w:pPr>
      <w:r>
        <w:rPr>
          <w:b/>
          <w:color w:val="003CA0"/>
          <w:sz w:val="16"/>
        </w:rPr>
        <w:t>[AI 579.096 AgR, rel. min. Joaquim Barbosa, j. 17-5-2011, 2ª T, DJE de 3-6-2011.]</w:t>
      </w:r>
    </w:p>
    <w:p>
      <w:pPr>
        <w:ind w:left="288"/>
      </w:pPr>
      <w:r>
        <w:rPr>
          <w:color w:val="8C8C8C"/>
          <w:sz w:val="12"/>
        </w:rPr>
        <w:t>cf-art-150-inc-VI-ali-b</w:t>
      </w:r>
      <w:r>
        <w:rPr>
          <w:color w:val="003CA0"/>
          <w:sz w:val="12"/>
        </w:rPr>
        <w:t xml:space="preserve"> | AI 746.263</w:t>
      </w:r>
      <w:r>
        <w:rPr>
          <w:color w:val="003CA0"/>
          <w:sz w:val="12"/>
        </w:rPr>
        <w:t xml:space="preserve"> | rel. Dias Toffoli</w:t>
      </w:r>
    </w:p>
    <w:p>
      <w:pPr>
        <w:ind w:left="288"/>
      </w:pPr>
      <w:r>
        <w:rPr>
          <w:color w:val="1E1E1E"/>
          <w:sz w:val="18"/>
        </w:rPr>
        <w:t>Vide AI 746.263 AgR-ED, rel. min. Dias Toffoli, j. 12-11-2013, 1ª T, DJE de 16-12-2013 Entidade sem fins lucrativos. Imunidade recíproca. (...) Entidade educacional que não é contribuinte de direito do ICMS relativo a serviço de energia elétrica não tem benefício da imunidade em questão, uma vez que esta não alcança o contribuinte de fato.</w:t>
      </w:r>
    </w:p>
    <w:p>
      <w:pPr>
        <w:ind w:left="288"/>
      </w:pPr>
      <w:r>
        <w:rPr>
          <w:b/>
          <w:color w:val="003CA0"/>
          <w:sz w:val="16"/>
        </w:rPr>
        <w:t>[AI 731.786 AgR, rel. min. Ricardo Lewandowski, j. 19-10-2010, 1ª T, DJE de 16-11-2010.]</w:t>
      </w:r>
    </w:p>
    <w:p>
      <w:pPr>
        <w:ind w:left="288"/>
      </w:pPr>
      <w:r>
        <w:rPr>
          <w:color w:val="8C8C8C"/>
          <w:sz w:val="12"/>
        </w:rPr>
        <w:t>cf-art-150-inc-VI-ali-b</w:t>
      </w:r>
      <w:r>
        <w:rPr>
          <w:color w:val="003CA0"/>
          <w:sz w:val="12"/>
        </w:rPr>
        <w:t xml:space="preserve"> | AI 717.793</w:t>
      </w:r>
      <w:r>
        <w:rPr>
          <w:color w:val="003CA0"/>
          <w:sz w:val="12"/>
        </w:rPr>
        <w:t xml:space="preserve"> | rel. Cármen Lúcia</w:t>
      </w:r>
    </w:p>
    <w:p>
      <w:pPr>
        <w:ind w:left="288"/>
      </w:pPr>
      <w:r>
        <w:rPr>
          <w:color w:val="1E1E1E"/>
          <w:sz w:val="18"/>
        </w:rPr>
        <w:t>= AI 717.793 AgR, rel. min. Cármen Lúcia, j. 15-2-2011, 1ª T, DJE de 17-3-2011 O ensino de línguas estrangeiras caracteriza-se como atividade educacional para aplicação da imunidade tributária (art. 150, VI, c, da Constituição). A distinção relevante para fins de aplicação da imunidade tributária é o conceito de "atividade assistencial", isto é, a intensidade e a abrangência da prestação gratuita ou altamente subsidiada do ensino da língua inglesa a quem necessitar.</w:t>
      </w:r>
    </w:p>
    <w:p>
      <w:pPr>
        <w:ind w:left="288"/>
      </w:pPr>
      <w:r>
        <w:rPr>
          <w:b/>
          <w:color w:val="003CA0"/>
          <w:sz w:val="16"/>
        </w:rPr>
        <w:t>[RMS 24.283 AgR-segundo, rel. min. Joaquim Barbosa, j. 21-9-2010, 2ª T, DJE de 8-10-2010.]</w:t>
      </w:r>
    </w:p>
    <w:p>
      <w:pPr>
        <w:ind w:left="288"/>
      </w:pPr>
      <w:r>
        <w:rPr>
          <w:color w:val="8C8C8C"/>
          <w:sz w:val="12"/>
        </w:rPr>
        <w:t>cf-art-150-inc-VI-ali-b</w:t>
      </w:r>
      <w:r>
        <w:rPr>
          <w:color w:val="003CA0"/>
          <w:sz w:val="12"/>
        </w:rPr>
        <w:t xml:space="preserve"> | AI 476.664</w:t>
      </w:r>
      <w:r>
        <w:rPr>
          <w:color w:val="003CA0"/>
          <w:sz w:val="12"/>
        </w:rPr>
        <w:t xml:space="preserve"> | rel. Joaquim Barbosa</w:t>
      </w:r>
    </w:p>
    <w:p>
      <w:pPr>
        <w:ind w:left="288"/>
      </w:pPr>
      <w:r>
        <w:rPr>
          <w:color w:val="1E1E1E"/>
          <w:sz w:val="18"/>
        </w:rPr>
        <w:t>Na tributação das operações de importação, o contribuinte por excelência do tributo é o importador (que tende a ser o adquirente da mercadoria) e não o vendedor. Há confusão entre as figuras do contribuinte de direito e do contribuinte de fato. Assim, não faz sentido argumentar que a imunidade tributária não se aplica à entidade beneficente de assistência social nas operações de importação, em razão de a regra constitucional não se prestar à proteção de terceiros que arquem com o ônus da tributação.</w:t>
      </w:r>
    </w:p>
    <w:p>
      <w:pPr>
        <w:ind w:left="288"/>
      </w:pPr>
      <w:r>
        <w:rPr>
          <w:b/>
          <w:color w:val="003CA0"/>
          <w:sz w:val="16"/>
        </w:rPr>
        <w:t>[AI 476.664 AgR, rel. min. Joaquim Barbosa, j. 6-4-2010, 2ª T, DJE de 7-5-2010.]</w:t>
      </w:r>
    </w:p>
    <w:p>
      <w:pPr>
        <w:ind w:left="288"/>
      </w:pPr>
      <w:r>
        <w:rPr>
          <w:color w:val="8C8C8C"/>
          <w:sz w:val="12"/>
        </w:rPr>
        <w:t>cf-art-150-inc-VI-ali-b</w:t>
      </w:r>
      <w:r>
        <w:rPr>
          <w:color w:val="003CA0"/>
          <w:sz w:val="12"/>
        </w:rPr>
        <w:t xml:space="preserve"> | AI 669.257</w:t>
      </w:r>
      <w:r>
        <w:rPr>
          <w:color w:val="003CA0"/>
          <w:sz w:val="12"/>
        </w:rPr>
        <w:t xml:space="preserve"> | rel. Ricardo Lewandowski</w:t>
      </w:r>
    </w:p>
    <w:p>
      <w:pPr>
        <w:ind w:left="288"/>
      </w:pPr>
      <w:r>
        <w:rPr>
          <w:color w:val="1E1E1E"/>
          <w:sz w:val="18"/>
        </w:rPr>
        <w:t>Vide AI 669.257 AgR, rel. min. Ricardo Lewandowski, j. 17-3-2009, 1ª T, DJE de 17-4-2009 Imunidade. (...) Inaplicabilidade às hipóteses de responsabilidade ou substituição tributária. (...) Recurso extraordinário interposto de acórdão que considerou válida a responsabilização tributária do Serviço Social da Indústria  (SESI) pelo recolhimento de ICMS devido em operação de circulação de mercadoria, sob o regime de diferimento. Alegada violação do art. 150, IV, c, da Constituição, que dispõe sobre a imunidade das entidades assistenciais sem fins lucrativos. A responsabilidade ou a substituição t</w:t>
      </w:r>
    </w:p>
    <w:p>
      <w:pPr>
        <w:ind w:left="288"/>
      </w:pPr>
      <w:r>
        <w:rPr>
          <w:b/>
          <w:color w:val="003CA0"/>
          <w:sz w:val="16"/>
        </w:rPr>
        <w:t>[RE 202.987, rel. min. Joaquim Barbosa, j. 30-6-2009, 2ª T, DJE de 25-9-2009.]</w:t>
      </w:r>
    </w:p>
    <w:p>
      <w:pPr>
        <w:ind w:left="288"/>
      </w:pPr>
      <w:r>
        <w:rPr>
          <w:color w:val="8C8C8C"/>
          <w:sz w:val="12"/>
        </w:rPr>
        <w:t>cf-art-150-inc-VI-ali-b</w:t>
      </w:r>
      <w:r>
        <w:rPr>
          <w:color w:val="003CA0"/>
          <w:sz w:val="12"/>
        </w:rPr>
        <w:t xml:space="preserve"> | RE 446.530</w:t>
      </w:r>
      <w:r>
        <w:rPr>
          <w:color w:val="003CA0"/>
          <w:sz w:val="12"/>
        </w:rPr>
        <w:t xml:space="preserve"> | rel. Ricardo Lewandowski</w:t>
      </w:r>
    </w:p>
    <w:p>
      <w:pPr>
        <w:ind w:left="288"/>
      </w:pPr>
      <w:r>
        <w:rPr>
          <w:color w:val="1E1E1E"/>
          <w:sz w:val="18"/>
        </w:rPr>
        <w:t>=  RE 446.530 AgR, rel. min. Ricardo Lewandowski, j. 29-5-2012, 2ª T, DJE de 13-6-2012 Tributário. ICMS. Imunidade. Operações de importação de mercadoria realizada por entidade de assistência social. (...) A jurisprudência da Corte é no sentido de que a imunidade prevista no art. 150, VI, c, da CF abrange o ICMS incidente sobre a importação de mercadorias utilizadas na prestação de seus serviços específicos.</w:t>
      </w:r>
    </w:p>
    <w:p>
      <w:pPr>
        <w:ind w:left="288"/>
      </w:pPr>
      <w:r>
        <w:rPr>
          <w:b/>
          <w:color w:val="003CA0"/>
          <w:sz w:val="16"/>
        </w:rPr>
        <w:t>[AI 669.257 AgR, rel. min. Ricardo Lewandowski, j. 17-3-2009, 1ª T, DJE de 17-4-2009.]</w:t>
      </w:r>
    </w:p>
    <w:p>
      <w:pPr>
        <w:ind w:left="288"/>
      </w:pPr>
      <w:r>
        <w:rPr>
          <w:color w:val="8C8C8C"/>
          <w:sz w:val="12"/>
        </w:rPr>
        <w:t>cf-art-150-inc-VI-ali-b</w:t>
      </w:r>
      <w:r>
        <w:rPr>
          <w:color w:val="003CA0"/>
          <w:sz w:val="12"/>
        </w:rPr>
        <w:t xml:space="preserve"> | AI 621.506</w:t>
      </w:r>
      <w:r>
        <w:rPr>
          <w:color w:val="003CA0"/>
          <w:sz w:val="12"/>
        </w:rPr>
        <w:t xml:space="preserve"> | rel. Dias Toffoli</w:t>
      </w:r>
    </w:p>
    <w:p>
      <w:pPr>
        <w:ind w:left="288"/>
      </w:pPr>
      <w:r>
        <w:rPr>
          <w:color w:val="1E1E1E"/>
          <w:sz w:val="18"/>
        </w:rPr>
        <w:t>= AI 621.506 AgR, rel. min. Dias Toffoli, j. 7-2-2012, 1ª T, DJE de 15-3-2012 Vide AI 476.664 AgR, rel. min. Joaquim Barbosa, j. 6-4-2010, 2ª T, DJE de 7-5-2010 Vide RE 191.067, rel. min. Moreira Alves, j. 26-10-1999, 1ª T, DJ de 3-12-1999 Vide RE 164.162, rel. min. Ilmar Galvão, j. 14-5-1996, 1ª T, DJ de 13-9-1996 ICMS. Imunidade. (...) Aquisição de mercadorias e serviços no mercado interno. Entidade beneficente. A imunidade tributária prevista no art. 150, VI, c, da Constituição compreende as aquisições de produtos no mercado interno, desde que os bens adquiridos integrem o patrimônio dessas</w:t>
      </w:r>
    </w:p>
    <w:p>
      <w:pPr>
        <w:ind w:left="288"/>
      </w:pPr>
      <w:r>
        <w:rPr>
          <w:b/>
          <w:color w:val="003CA0"/>
          <w:sz w:val="16"/>
        </w:rPr>
        <w:t>[AI 535.922 AgR, rel. min. Ellen Gracie, j. 30-9-2008, 2ª T, DJE de 14-11-2008.]</w:t>
      </w:r>
    </w:p>
    <w:p>
      <w:pPr>
        <w:ind w:left="288"/>
      </w:pPr>
      <w:r>
        <w:rPr>
          <w:color w:val="8C8C8C"/>
          <w:sz w:val="12"/>
        </w:rPr>
        <w:t>cf-art-150-inc-VI-ali-b</w:t>
      </w:r>
      <w:r>
        <w:rPr>
          <w:color w:val="003CA0"/>
          <w:sz w:val="12"/>
        </w:rPr>
        <w:t xml:space="preserve"> | AC 1.864</w:t>
      </w:r>
      <w:r>
        <w:rPr>
          <w:color w:val="003CA0"/>
          <w:sz w:val="12"/>
        </w:rPr>
        <w:t xml:space="preserve"> | rel. Gilmar Mendes</w:t>
      </w:r>
    </w:p>
    <w:p>
      <w:pPr>
        <w:ind w:left="288"/>
      </w:pPr>
      <w:r>
        <w:rPr>
          <w:color w:val="1E1E1E"/>
          <w:sz w:val="18"/>
        </w:rPr>
        <w:t>No caso concreto, em princípio, observo a existência dos requisitos ensejadores da concessão do efeito suspensivo ao recurso extraordinário que já se encontra em processamento nesta Corte. De fato a circunstância de a requerente fazer jus à classificação de entidade assistencial no plano federal (...), inclusive quanto às contribuições sociais, indica, a princípio, plausibilidade jurídica da tese de sua imunidade em relação ao IPTU e ao ISS. É firme o entendimento desta Corte no sentido de que as entidades de assistência social sem fins lucrativos gozam de imunidade do IPTU e do ISS, nos termo</w:t>
      </w:r>
    </w:p>
    <w:p>
      <w:pPr>
        <w:ind w:left="288"/>
      </w:pPr>
      <w:r>
        <w:rPr>
          <w:b/>
          <w:color w:val="003CA0"/>
          <w:sz w:val="16"/>
        </w:rPr>
        <w:t>[AC 1.864 QO, voto do rel. min. Gilmar Mendes, j. 26-2-2008, 2ª T, DJE de 19-9-2008.]</w:t>
      </w:r>
    </w:p>
    <w:p>
      <w:pPr>
        <w:ind w:left="288"/>
      </w:pPr>
      <w:r>
        <w:rPr>
          <w:color w:val="8C8C8C"/>
          <w:sz w:val="12"/>
        </w:rPr>
        <w:t>cf-art-150-inc-VI-ali-b</w:t>
      </w:r>
      <w:r>
        <w:rPr>
          <w:color w:val="003CA0"/>
          <w:sz w:val="12"/>
        </w:rPr>
        <w:t xml:space="preserve"> | RE 245.093</w:t>
      </w:r>
      <w:r>
        <w:rPr>
          <w:color w:val="003CA0"/>
          <w:sz w:val="12"/>
        </w:rPr>
        <w:t xml:space="preserve"> | rel. Sepúlveda Pertence</w:t>
      </w:r>
    </w:p>
    <w:p>
      <w:pPr>
        <w:ind w:left="288"/>
      </w:pPr>
      <w:r>
        <w:rPr>
          <w:color w:val="1E1E1E"/>
          <w:sz w:val="18"/>
        </w:rPr>
        <w:t>Sindicato. Colônia de férias. Inexistência de imunidade tributária por não ser o patrimônio ligado às finalidades essenciais do sindicato.</w:t>
      </w:r>
    </w:p>
    <w:p>
      <w:pPr>
        <w:ind w:left="288"/>
      </w:pPr>
      <w:r>
        <w:rPr>
          <w:b/>
          <w:color w:val="003CA0"/>
          <w:sz w:val="16"/>
        </w:rPr>
        <w:t>[RE 245.093 AgR, rel. min. Sepúlveda Pertence, j. 14-11-2006, 1ª T, DJ de 7-12-2006.]</w:t>
      </w:r>
    </w:p>
    <w:p>
      <w:pPr>
        <w:ind w:left="288"/>
      </w:pPr>
      <w:r>
        <w:rPr>
          <w:color w:val="8C8C8C"/>
          <w:sz w:val="12"/>
        </w:rPr>
        <w:t>cf-art-150-inc-VI-ali-b</w:t>
      </w:r>
      <w:r>
        <w:rPr>
          <w:color w:val="003CA0"/>
          <w:sz w:val="12"/>
        </w:rPr>
        <w:t xml:space="preserve"> | RE 308.449</w:t>
      </w:r>
      <w:r>
        <w:rPr>
          <w:color w:val="003CA0"/>
          <w:sz w:val="12"/>
        </w:rPr>
        <w:t xml:space="preserve"> | rel. Sepúlveda Pertence</w:t>
      </w:r>
    </w:p>
    <w:p>
      <w:pPr>
        <w:ind w:left="288"/>
      </w:pPr>
      <w:r>
        <w:rPr>
          <w:color w:val="1E1E1E"/>
          <w:sz w:val="18"/>
        </w:rPr>
        <w:t>Imunidade tributária do patrimônio das instituições de educação sem fins lucrativos (CF, art. 150, VI, c): sua aplicabilidade de modo a preexcluir a incidência do IPTU sobre imóvel de propriedade da entidade imune, destinado a estacionamento gratuito de estudantes (...).</w:t>
      </w:r>
    </w:p>
    <w:p>
      <w:pPr>
        <w:ind w:left="288"/>
      </w:pPr>
      <w:r>
        <w:rPr>
          <w:b/>
          <w:color w:val="003CA0"/>
          <w:sz w:val="16"/>
        </w:rPr>
        <w:t>[RE 308.449, rel. min. Sepúlveda Pertence, j. 27-8-2002, 1ª T, DJ de 20-9-2002.]</w:t>
      </w:r>
    </w:p>
    <w:p>
      <w:pPr>
        <w:ind w:left="288"/>
      </w:pPr>
      <w:r>
        <w:rPr>
          <w:color w:val="8C8C8C"/>
          <w:sz w:val="12"/>
        </w:rPr>
        <w:t>cf-art-150-inc-VI-ali-b</w:t>
      </w:r>
      <w:r>
        <w:rPr>
          <w:color w:val="003CA0"/>
          <w:sz w:val="12"/>
        </w:rPr>
        <w:t xml:space="preserve"> | RE 232.080</w:t>
      </w:r>
      <w:r>
        <w:rPr>
          <w:color w:val="003CA0"/>
          <w:sz w:val="12"/>
        </w:rPr>
        <w:t xml:space="preserve"> | rel. Nelson Jobim</w:t>
      </w:r>
    </w:p>
    <w:p>
      <w:pPr>
        <w:ind w:left="288"/>
      </w:pPr>
      <w:r>
        <w:rPr>
          <w:color w:val="1E1E1E"/>
          <w:sz w:val="18"/>
        </w:rPr>
        <w:t>No tocante às entidades de assistência social, que atendam aos requisitos atendidos pela ora recorrida, esta Corte tem reconhecido em favor delas a imunidade tributária prevista no art. 150, VI, c, sendo que, especificamente quanto ao IOF, a Segunda Turma, no RE 232.080 AgR, rel. min. Nelson Jobim, reconheceu a aplicação dessa imunidade, citando, inclusive, a decisão tomada nos RE 183.216 AgR-ED, onde se salientou que "(...) o fato de a entidade proceder à aplicação de recursos não significa atuação fora do que previsto no ato de sua constituição".</w:t>
      </w:r>
    </w:p>
    <w:p>
      <w:pPr>
        <w:ind w:left="288"/>
      </w:pPr>
      <w:r>
        <w:rPr>
          <w:b/>
          <w:color w:val="003CA0"/>
          <w:sz w:val="16"/>
        </w:rPr>
        <w:t>[RE 241.090, rel. min. Moreira Alves, j. 26-2-2002, 1ª T, DJ de 26-4-2002.]</w:t>
      </w:r>
    </w:p>
    <w:p>
      <w:pPr>
        <w:ind w:left="288"/>
      </w:pPr>
      <w:r>
        <w:rPr>
          <w:color w:val="8C8C8C"/>
          <w:sz w:val="12"/>
        </w:rPr>
        <w:t>cf-art-150-inc-VI-ali-b</w:t>
      </w:r>
      <w:r>
        <w:rPr>
          <w:color w:val="003CA0"/>
          <w:sz w:val="12"/>
        </w:rPr>
        <w:t xml:space="preserve"> | RE 454.753</w:t>
      </w:r>
      <w:r>
        <w:rPr>
          <w:color w:val="003CA0"/>
          <w:sz w:val="12"/>
        </w:rPr>
        <w:t xml:space="preserve"> | rel. Joaquim Barbosa</w:t>
      </w:r>
    </w:p>
    <w:p>
      <w:pPr>
        <w:ind w:left="288"/>
      </w:pPr>
      <w:r>
        <w:rPr>
          <w:color w:val="1E1E1E"/>
          <w:sz w:val="18"/>
        </w:rPr>
        <w:t xml:space="preserve">= RE 454.753 AgR, rel. min. Joaquim Barbosa, j. 20-4-2010, 2ª T, DJE de 28-5-2010 Entidade fechada de previdência privada. Concessão de benefícios aos filiados mediante recolhimento das contribuições pactuadas. Imunidade tributária. Inexistência, dada a ausência das características de universalidade e generalidade da prestação, próprias dos órgãos de assistência social. As instituições de assistência social, que trazem ínsito em suas finalidades a observância ao princípio da universalidade, da generalidade e concedem benefícios a toda coletividade, independentemente de contraprestação, não se </w:t>
      </w:r>
    </w:p>
    <w:p>
      <w:pPr>
        <w:ind w:left="288"/>
      </w:pPr>
      <w:r>
        <w:rPr>
          <w:b/>
          <w:color w:val="003CA0"/>
          <w:sz w:val="16"/>
        </w:rPr>
        <w:t>[RE 202.700, rel. min. Maurício Corrêa, j. 8-11-2001, P, DJ de 1º-3-2002.]</w:t>
      </w:r>
    </w:p>
    <w:p>
      <w:pPr>
        <w:ind w:left="288"/>
      </w:pPr>
      <w:r>
        <w:rPr>
          <w:color w:val="8C8C8C"/>
          <w:sz w:val="12"/>
        </w:rPr>
        <w:t>cf-art-150-inc-VI-ali-b</w:t>
      </w:r>
      <w:r>
        <w:rPr>
          <w:color w:val="003CA0"/>
          <w:sz w:val="12"/>
        </w:rPr>
        <w:t xml:space="preserve"> | RE 127.584</w:t>
      </w:r>
      <w:r>
        <w:rPr>
          <w:color w:val="003CA0"/>
          <w:sz w:val="12"/>
        </w:rPr>
        <w:t xml:space="preserve"> | rel. Joaquim Barbosa</w:t>
      </w:r>
    </w:p>
    <w:p>
      <w:pPr>
        <w:ind w:left="288"/>
      </w:pPr>
      <w:r>
        <w:rPr>
          <w:color w:val="1E1E1E"/>
          <w:sz w:val="18"/>
        </w:rPr>
        <w:t>= RE 127.584 EDv, rel. min. Joaquim Barbosa, j. 15-10-2008, P, DJE de 14-11-2008 Instituições de educação e assistência social sem fins lucrativos (...). O fato de os imóveis estarem sendo utilizados como escritório e residência de membros da entidade não afasta a imunidade prevista no art. 150, VI, c, § 4º, da CF.</w:t>
      </w:r>
    </w:p>
    <w:p>
      <w:pPr>
        <w:ind w:left="288"/>
      </w:pPr>
      <w:r>
        <w:rPr>
          <w:b/>
          <w:color w:val="003CA0"/>
          <w:sz w:val="16"/>
        </w:rPr>
        <w:t>[RE 221.395, rel. min. Marco Aurélio, j. 8-2-2000, 2ª T, DJ de 12-5-2000.]</w:t>
      </w:r>
    </w:p>
    <w:p>
      <w:pPr>
        <w:ind w:left="288"/>
      </w:pPr>
      <w:r>
        <w:rPr>
          <w:color w:val="8C8C8C"/>
          <w:sz w:val="12"/>
        </w:rPr>
        <w:t>cf-art-150-inc-VI-ali-b</w:t>
      </w:r>
      <w:r>
        <w:rPr>
          <w:color w:val="003CA0"/>
          <w:sz w:val="12"/>
        </w:rPr>
        <w:t xml:space="preserve"> | RE 237.718</w:t>
      </w:r>
      <w:r>
        <w:rPr>
          <w:color w:val="003CA0"/>
          <w:sz w:val="12"/>
        </w:rPr>
        <w:t xml:space="preserve"> | rel. Sepúlveda Pertence</w:t>
      </w:r>
    </w:p>
    <w:p>
      <w:pPr>
        <w:ind w:left="288"/>
      </w:pPr>
      <w:r>
        <w:rPr>
          <w:color w:val="1E1E1E"/>
          <w:sz w:val="18"/>
        </w:rPr>
        <w:t>Vide RE 237.718, rel. min. Sepúlveda Pertence, j. 29-6-2001, P, DJ de 6-9-2001 Esta Corte, quer com relação à EC 1/1969 quer com referência à Constituição de 1988 (assim, nos RE 115.096, RE 134.573 e RE 164.162), tem entendido que a entidade de assistência social não é imune à incidência do ICM ou do ICMS na venda de bens fabricados por ela, porque esse tributo, por repercutir economicamente no consumidor e não no contribuinte de direito, não atinge o patrimônio, nem desfalca as rendas, nem reduz a eficácia dos serviços dessas entidades.</w:t>
      </w:r>
    </w:p>
    <w:p>
      <w:pPr>
        <w:ind w:left="288"/>
      </w:pPr>
      <w:r>
        <w:rPr>
          <w:b/>
          <w:color w:val="003CA0"/>
          <w:sz w:val="16"/>
        </w:rPr>
        <w:t>[RE 191.067, rel. min. Moreira Alves, j. 26-10-1999, 1ª T, DJ de 3-12-1999.]</w:t>
      </w:r>
    </w:p>
    <w:p>
      <w:pPr>
        <w:ind w:left="288"/>
      </w:pPr>
      <w:r>
        <w:rPr>
          <w:color w:val="8C8C8C"/>
          <w:sz w:val="12"/>
        </w:rPr>
        <w:t>cf-art-150-inc-VI-ali-b</w:t>
      </w:r>
      <w:r>
        <w:rPr>
          <w:color w:val="003CA0"/>
          <w:sz w:val="12"/>
        </w:rPr>
        <w:t xml:space="preserve"> | RE 203.755</w:t>
      </w:r>
      <w:r>
        <w:rPr>
          <w:color w:val="003CA0"/>
          <w:sz w:val="12"/>
        </w:rPr>
        <w:t xml:space="preserve"> | rel. Carlos Velloso</w:t>
      </w:r>
    </w:p>
    <w:p>
      <w:pPr>
        <w:ind w:left="288"/>
      </w:pPr>
      <w:r>
        <w:rPr>
          <w:color w:val="1E1E1E"/>
          <w:sz w:val="18"/>
        </w:rPr>
        <w:t>ICMS. Imunidade tributária. Instituição de educação sem fins lucrativos. CF, art. 150, VI, c. Não há invocar, para o fim de ser restringida a aplicação da imunidade, critérios de classificação dos impostos adotados por normas infraconstitucionais, mesmo porque não é adequado distinguir entre bens e patrimônio, dado que este se constitui do conjunto daqueles. O que cumpre perquirir, portanto, é se o bem adquirido, no mercado interno ou externo, integra o patrimônio da entidade abrangida pela imunidade.</w:t>
      </w:r>
    </w:p>
    <w:p>
      <w:pPr>
        <w:ind w:left="288"/>
      </w:pPr>
      <w:r>
        <w:rPr>
          <w:b/>
          <w:color w:val="003CA0"/>
          <w:sz w:val="16"/>
        </w:rPr>
        <w:t>[RE 203.755, rel. min. Carlos Velloso, j. 17-9-1996, 2ª T, DJ de 8-11-1996.]</w:t>
      </w:r>
    </w:p>
    <w:p>
      <w:pPr>
        <w:ind w:left="288"/>
      </w:pPr>
      <w:r>
        <w:rPr>
          <w:color w:val="8C8C8C"/>
          <w:sz w:val="12"/>
        </w:rPr>
        <w:t>cf-art-150-inc-VI-ali-b</w:t>
      </w:r>
      <w:r>
        <w:rPr>
          <w:color w:val="003CA0"/>
          <w:sz w:val="12"/>
        </w:rPr>
        <w:t xml:space="preserve"> | RE 593.379</w:t>
      </w:r>
      <w:r>
        <w:rPr>
          <w:color w:val="003CA0"/>
          <w:sz w:val="12"/>
        </w:rPr>
        <w:t xml:space="preserve"> | rel. Cármen Lúcia</w:t>
      </w:r>
    </w:p>
    <w:p>
      <w:pPr>
        <w:ind w:left="288"/>
      </w:pPr>
      <w:r>
        <w:rPr>
          <w:color w:val="1E1E1E"/>
          <w:sz w:val="18"/>
        </w:rPr>
        <w:t>= RE 593.379 AgR, rel. min. Cármen Lúcia, j. 2-12-2010, 1ª T, DJE de 1º-2-2011 A renda obtida pelo Sesc [Serviço Social do Comércio] na prestação de serviços de diversão pública, mediante a venda de ingressos de cinema ao público em geral, e aproveitada em suas finalidades assistenciais, estando abrangida na imunidade tributária prevista no art. 150, VI, c, da Carta da República.</w:t>
      </w:r>
    </w:p>
    <w:p>
      <w:pPr>
        <w:ind w:left="288"/>
      </w:pPr>
      <w:r>
        <w:rPr>
          <w:b/>
          <w:color w:val="003CA0"/>
          <w:sz w:val="16"/>
        </w:rPr>
        <w:t>[AI 155.822 AgR, rel. min. Ilmar Galvão, j. 20-9-1994, 1ª T, DJ de 2-6-1995.]</w:t>
      </w:r>
    </w:p>
    <w:p>
      <w:pPr>
        <w:ind w:left="144"/>
      </w:pPr>
      <w:r>
        <w:rPr>
          <w:b/>
          <w:color w:val="B45A00"/>
          <w:sz w:val="16"/>
        </w:rPr>
        <w:t>SUMULA</w:t>
      </w:r>
    </w:p>
    <w:p>
      <w:pPr>
        <w:ind w:left="288"/>
      </w:pPr>
      <w:r>
        <w:rPr>
          <w:color w:val="8C8C8C"/>
          <w:sz w:val="12"/>
        </w:rPr>
        <w:t>cf-art-150-inc-VI-ali-d</w:t>
      </w:r>
    </w:p>
    <w:p>
      <w:pPr>
        <w:ind w:left="288"/>
      </w:pPr>
      <w:r>
        <w:rPr>
          <w:color w:val="1E1E1E"/>
          <w:sz w:val="18"/>
        </w:rPr>
        <w:t>A imunidade prevista no art. 150, VI, d, da CF abrange os filmes e papéis fotográficos necessários à publicação de jornais e periódicos.</w:t>
      </w:r>
    </w:p>
    <w:p>
      <w:pPr>
        <w:ind w:left="288"/>
      </w:pPr>
      <w:r>
        <w:rPr>
          <w:b/>
          <w:color w:val="003CA0"/>
          <w:sz w:val="16"/>
        </w:rPr>
        <w:t>[Súmula 657.]</w:t>
      </w:r>
    </w:p>
    <w:p>
      <w:pPr>
        <w:ind w:left="288"/>
      </w:pPr>
      <w:r>
        <w:rPr>
          <w:color w:val="8C8C8C"/>
          <w:sz w:val="12"/>
        </w:rPr>
        <w:t>cf-art-150-inc-VI-ali-d</w:t>
      </w:r>
      <w:r>
        <w:rPr>
          <w:color w:val="003CA0"/>
          <w:sz w:val="12"/>
        </w:rPr>
        <w:t xml:space="preserve"> | RE 330.817</w:t>
      </w:r>
      <w:r>
        <w:rPr>
          <w:color w:val="003CA0"/>
          <w:sz w:val="12"/>
        </w:rPr>
        <w:t xml:space="preserve"> | rel. Dias Toffoli</w:t>
      </w:r>
    </w:p>
    <w:p>
      <w:pPr>
        <w:ind w:left="288"/>
      </w:pPr>
      <w:r>
        <w:rPr>
          <w:color w:val="1E1E1E"/>
          <w:sz w:val="18"/>
        </w:rPr>
        <w:t>A imunidade tributária constante do art. 150, VI, d, da CF/1988 aplica-se ao livro eletrônico (e-book), inclusive aos suportes exclusivamente utilizados para fixá-lo.</w:t>
        <w:br/>
        <w:t>[RE 330.817, rel. min. Dias Toffoli, j. 8-3-2017, P, DJE de 31-8-2017, Tema 593, com mérito julgado.]</w:t>
        <w:br/>
        <w:t>Vide RE 595.676, rel. min. Marco Aurélio, j. 8-3-2017, P, DJE de 18-12-2017, Tema 259, com mérito julgado</w:t>
      </w:r>
    </w:p>
    <w:p>
      <w:pPr>
        <w:ind w:left="144"/>
      </w:pPr>
      <w:r>
        <w:rPr>
          <w:b/>
          <w:color w:val="B45A00"/>
          <w:sz w:val="16"/>
        </w:rPr>
        <w:t>REPERCUSSAO GERAL</w:t>
      </w:r>
    </w:p>
    <w:p>
      <w:pPr>
        <w:ind w:left="288"/>
      </w:pPr>
      <w:r>
        <w:rPr>
          <w:color w:val="8C8C8C"/>
          <w:sz w:val="12"/>
        </w:rPr>
        <w:t>cf-art-150-inc-VI-ali-d</w:t>
      </w:r>
      <w:r>
        <w:rPr>
          <w:color w:val="003CA0"/>
          <w:sz w:val="12"/>
        </w:rPr>
        <w:t xml:space="preserve"> | RE 595.676</w:t>
      </w:r>
      <w:r>
        <w:rPr>
          <w:color w:val="003CA0"/>
          <w:sz w:val="12"/>
        </w:rPr>
        <w:t xml:space="preserve"> | rel. Marco Aurélio</w:t>
      </w:r>
    </w:p>
    <w:p>
      <w:pPr>
        <w:ind w:left="288"/>
      </w:pPr>
      <w:r>
        <w:rPr>
          <w:color w:val="1E1E1E"/>
          <w:sz w:val="18"/>
        </w:rPr>
        <w:t>A imunidade prevista no art. 150, VI, da CF alcança componentes eletrônicos, quando destinados, exclusivamente, a integrar a unidade didática com fascículos periódicos impressos.</w:t>
        <w:br/>
        <w:t>[RE 595.676, rel. min. Marco Aurélio, j. 8-3-2017, P, DJE de 18-12-2017, Tema 259, com mérito julgado.]</w:t>
        <w:br/>
        <w:t>Vide RE 330.817, rel. min. Dias Toffoli, j. 8-3-2017, P, DJE de 31-8-2017, Tema 593, com mérito julgado Finsocial. Natureza jurídica de imposto. Incidência sobre o faturamento. Alcance da imunidade prevista no art. 150, VI, d, da CF sobre livros, jornais, periódicos e papel destinado a sua impressão. Imunidade objet</w:t>
      </w:r>
    </w:p>
    <w:p>
      <w:pPr>
        <w:ind w:left="288"/>
      </w:pPr>
      <w:r>
        <w:rPr>
          <w:b/>
          <w:color w:val="003CA0"/>
          <w:sz w:val="16"/>
        </w:rPr>
        <w:t>[ARE 1.546.264 AgR, rel. min. Alexandre de Moraes, j. 06.08.2025, 1ª T, DJE de 13.08.2025.]</w:t>
      </w:r>
    </w:p>
    <w:p>
      <w:pPr>
        <w:ind w:left="144"/>
      </w:pPr>
      <w:r>
        <w:rPr>
          <w:b/>
          <w:color w:val="B45A00"/>
          <w:sz w:val="16"/>
        </w:rPr>
        <w:t>JULGADOS CORRELATOS</w:t>
      </w:r>
    </w:p>
    <w:p>
      <w:pPr>
        <w:ind w:left="288"/>
      </w:pPr>
      <w:r>
        <w:rPr>
          <w:color w:val="8C8C8C"/>
          <w:sz w:val="12"/>
        </w:rPr>
        <w:t>cf-art-150-inc-VI-ali-d</w:t>
      </w:r>
      <w:r>
        <w:rPr>
          <w:color w:val="003CA0"/>
          <w:sz w:val="12"/>
        </w:rPr>
        <w:t xml:space="preserve"> | AI 735.816</w:t>
      </w:r>
      <w:r>
        <w:rPr>
          <w:color w:val="003CA0"/>
          <w:sz w:val="12"/>
        </w:rPr>
        <w:t xml:space="preserve"> | rel. Alexandre de Moraes</w:t>
      </w:r>
    </w:p>
    <w:p>
      <w:pPr>
        <w:ind w:left="288"/>
      </w:pPr>
      <w:r>
        <w:rPr>
          <w:color w:val="1E1E1E"/>
          <w:sz w:val="18"/>
        </w:rPr>
        <w:t>A regra imunizante constante do art. 150, VI, d, da CF não pode ser interpretada de modo amplo e irrestrito. Inexiste imunidade relativa a tributos incidentes sobre a importação de tintas e chapas de gravação destinadas à publicação de jornal.</w:t>
      </w:r>
    </w:p>
    <w:p>
      <w:pPr>
        <w:ind w:left="288"/>
      </w:pPr>
      <w:r>
        <w:rPr>
          <w:b/>
          <w:color w:val="003CA0"/>
          <w:sz w:val="16"/>
        </w:rPr>
        <w:t>[AI 735.816 AgR, rel. min. Alexandre de Moraes, j. 23-3-2018, 1ª T, DJE de 11-4-2018.]</w:t>
      </w:r>
    </w:p>
    <w:p>
      <w:pPr>
        <w:ind w:left="288"/>
      </w:pPr>
      <w:r>
        <w:rPr>
          <w:color w:val="8C8C8C"/>
          <w:sz w:val="12"/>
        </w:rPr>
        <w:t>cf-art-150-inc-VI-ali-d</w:t>
      </w:r>
      <w:r>
        <w:rPr>
          <w:color w:val="003CA0"/>
          <w:sz w:val="12"/>
        </w:rPr>
        <w:t xml:space="preserve"> | RE 530.121</w:t>
      </w:r>
      <w:r>
        <w:rPr>
          <w:color w:val="003CA0"/>
          <w:sz w:val="12"/>
        </w:rPr>
        <w:t xml:space="preserve"> | rel. Ricardo Lewandowski</w:t>
      </w:r>
    </w:p>
    <w:p>
      <w:pPr>
        <w:ind w:left="288"/>
      </w:pPr>
      <w:r>
        <w:rPr>
          <w:color w:val="1E1E1E"/>
          <w:sz w:val="18"/>
        </w:rPr>
        <w:t>A imunidade tributária prevista no art. 150, VI, d, da CF não abrange os serviços prestados por empresas que fazem a distribuição, o transporte ou a entrega de livros, jornais, periódicos e do papel destinado a sua impressão. Precedentes. O STF possui entendimento no sentido de que a imunidade em discussão deve ser interpretada restritivamente.</w:t>
      </w:r>
    </w:p>
    <w:p>
      <w:pPr>
        <w:ind w:left="288"/>
      </w:pPr>
      <w:r>
        <w:rPr>
          <w:b/>
          <w:color w:val="003CA0"/>
          <w:sz w:val="16"/>
        </w:rPr>
        <w:t>[RE 530.121 AgR, rel. min. Ricardo Lewandowski, j. 9-11-2010, 1ª T, DJE de 29-3-2011.]</w:t>
      </w:r>
    </w:p>
    <w:p>
      <w:pPr>
        <w:ind w:left="288"/>
      </w:pPr>
      <w:r>
        <w:rPr>
          <w:color w:val="8C8C8C"/>
          <w:sz w:val="12"/>
        </w:rPr>
        <w:t>cf-art-150-inc-VI-ali-d</w:t>
      </w:r>
      <w:r>
        <w:rPr>
          <w:color w:val="003CA0"/>
          <w:sz w:val="12"/>
        </w:rPr>
        <w:t xml:space="preserve"> | RE 630.462</w:t>
      </w:r>
      <w:r>
        <w:rPr>
          <w:color w:val="003CA0"/>
          <w:sz w:val="12"/>
        </w:rPr>
        <w:t xml:space="preserve"> | rel. Ayres Britto</w:t>
      </w:r>
    </w:p>
    <w:p>
      <w:pPr>
        <w:ind w:left="288"/>
      </w:pPr>
      <w:r>
        <w:rPr>
          <w:color w:val="1E1E1E"/>
          <w:sz w:val="18"/>
        </w:rPr>
        <w:t xml:space="preserve">= RE 630.462 AgR, rel. min. Ayres Britto, j. 7-2-2012, 2ª T, DJE de 7-3-2012 "Álbum de figurinhas". Admissibilidade. A imunidade tributária sobre livros, jornais, periódicos e o papel destinado à sua impressão tem por escopo evitar embaraços ao exercício da liberdade de expressão intelectual, artística, científica e de comunicação, bem como facilitar o acesso da população à cultura, à informação e à educação. O constituinte, ao instituir esta benesse, não fez ressalvas quanto ao valor artístico ou didático, à relevância das informações divulgadas ou à qualidade cultural de uma publicação. Não </w:t>
      </w:r>
    </w:p>
    <w:p>
      <w:pPr>
        <w:ind w:left="288"/>
      </w:pPr>
      <w:r>
        <w:rPr>
          <w:b/>
          <w:color w:val="003CA0"/>
          <w:sz w:val="16"/>
        </w:rPr>
        <w:t>[RE 221.239, rel. min. Ellen Gracie, j. 25-5-2004, 2ª T, DJ de 6-8-2004.]</w:t>
      </w:r>
    </w:p>
    <w:p>
      <w:pPr>
        <w:ind w:left="288"/>
      </w:pPr>
      <w:r>
        <w:rPr>
          <w:color w:val="8C8C8C"/>
          <w:sz w:val="12"/>
        </w:rPr>
        <w:t>cf-art-150-inc-VI-ali-d</w:t>
      </w:r>
      <w:r>
        <w:rPr>
          <w:color w:val="003CA0"/>
          <w:sz w:val="12"/>
        </w:rPr>
        <w:t xml:space="preserve"> | RE 179.893</w:t>
      </w:r>
      <w:r>
        <w:rPr>
          <w:color w:val="003CA0"/>
          <w:sz w:val="12"/>
        </w:rPr>
        <w:t xml:space="preserve"> | rel. Menezes Direito</w:t>
      </w:r>
    </w:p>
    <w:p>
      <w:pPr>
        <w:ind w:left="288"/>
      </w:pPr>
      <w:r>
        <w:rPr>
          <w:color w:val="1E1E1E"/>
          <w:sz w:val="18"/>
        </w:rPr>
        <w:t>= RE 179.893, rel. min. Menezes Direito, j. 15-4-2008, 1ª T, DJE de 30-5-2008 Papel: filmes destinados à produção de capas de livros. CF, art. 150, VI, d. Material assimilável a papel, utilizado no processo de impressão de livros e que se integra no produto final – capas de livros sem capa dura – está abrangido pela imunidade do art. 150, VI, d. Interpretação dos precedentes do STF, pelo seu Plenário, nos RE 174.476/SP, RE 190.761/SP, rel. min. Francisco Rezek, e RE 203.859/SP e RE 204.234/RS, rel. min. Maurício Corrêa.</w:t>
      </w:r>
    </w:p>
    <w:p>
      <w:pPr>
        <w:ind w:left="288"/>
      </w:pPr>
      <w:r>
        <w:rPr>
          <w:b/>
          <w:color w:val="003CA0"/>
          <w:sz w:val="16"/>
        </w:rPr>
        <w:t>[RE 392.221, rel. min. Carlos Velloso, j. 18-5-2004, 2ª T, DJ de 11-6-2004.]</w:t>
        <w:br/>
        <w:t>= AI 597.746 AgR, rel. min. Sepúlveda Pertence, j. 14-11-2006, 1ª T, DJ de 7-12-2006</w:t>
      </w:r>
    </w:p>
    <w:p>
      <w:pPr>
        <w:ind w:left="288"/>
      </w:pPr>
      <w:r>
        <w:rPr>
          <w:color w:val="8C8C8C"/>
          <w:sz w:val="12"/>
        </w:rPr>
        <w:t>cf-art-150-inc-VI-ali-d</w:t>
      </w:r>
      <w:r>
        <w:rPr>
          <w:color w:val="003CA0"/>
          <w:sz w:val="12"/>
        </w:rPr>
        <w:t xml:space="preserve"> | RE 183.403</w:t>
      </w:r>
      <w:r>
        <w:rPr>
          <w:color w:val="003CA0"/>
          <w:sz w:val="12"/>
        </w:rPr>
        <w:t xml:space="preserve"> | rel. Marco Aurélio</w:t>
      </w:r>
    </w:p>
    <w:p>
      <w:pPr>
        <w:ind w:left="288"/>
      </w:pPr>
      <w:r>
        <w:rPr>
          <w:color w:val="1E1E1E"/>
          <w:sz w:val="18"/>
        </w:rPr>
        <w:t>O preceito da alínea d do inciso VI do art. 150 da Carta da República alcança as chamadas apostilas, veículo de transmissão de cultura simplificado.</w:t>
      </w:r>
    </w:p>
    <w:p>
      <w:pPr>
        <w:ind w:left="288"/>
      </w:pPr>
      <w:r>
        <w:rPr>
          <w:b/>
          <w:color w:val="003CA0"/>
          <w:sz w:val="16"/>
        </w:rPr>
        <w:t>[RE 183.403, rel. min. Marco Aurélio, j. 7-11-2000, 2ª T, DJ de 4-5-2001.]</w:t>
      </w:r>
    </w:p>
    <w:p>
      <w:pPr>
        <w:ind w:left="288"/>
      </w:pPr>
      <w:r>
        <w:rPr>
          <w:color w:val="8C8C8C"/>
          <w:sz w:val="12"/>
        </w:rPr>
        <w:t>cf-art-150-inc-VI-ali-d</w:t>
      </w:r>
      <w:r>
        <w:rPr>
          <w:color w:val="003CA0"/>
          <w:sz w:val="12"/>
        </w:rPr>
        <w:t xml:space="preserve"> | RE 230.782</w:t>
      </w:r>
      <w:r>
        <w:rPr>
          <w:color w:val="003CA0"/>
          <w:sz w:val="12"/>
        </w:rPr>
        <w:t xml:space="preserve"> | rel. Ilmar Galvão</w:t>
      </w:r>
    </w:p>
    <w:p>
      <w:pPr>
        <w:ind w:left="288"/>
      </w:pPr>
      <w:r>
        <w:rPr>
          <w:color w:val="1E1E1E"/>
          <w:sz w:val="18"/>
        </w:rPr>
        <w:t>Não há de ser estendida a imunidade de impostos prevista no dispositivo constitucional sob referência, concedida ao papel destinado exclusivamente à impressão de livros, jornais e periódicos, aos serviços de composição gráfica necessários à confecção do produto final.</w:t>
      </w:r>
    </w:p>
    <w:p>
      <w:pPr>
        <w:ind w:left="288"/>
      </w:pPr>
      <w:r>
        <w:rPr>
          <w:b/>
          <w:color w:val="003CA0"/>
          <w:sz w:val="16"/>
        </w:rPr>
        <w:t>[RE 230.782, rel. min. Ilmar Galvão, j. 13-6-2000, 1ª T, DJ de 10-11-2000.]</w:t>
      </w:r>
    </w:p>
    <w:p>
      <w:pPr>
        <w:ind w:left="288"/>
      </w:pPr>
      <w:r>
        <w:rPr>
          <w:color w:val="8C8C8C"/>
          <w:sz w:val="12"/>
        </w:rPr>
        <w:t>cf-art-150-inc-VI-ali-d</w:t>
      </w:r>
      <w:r>
        <w:rPr>
          <w:color w:val="003CA0"/>
          <w:sz w:val="12"/>
        </w:rPr>
        <w:t xml:space="preserve"> | RE 434.826</w:t>
      </w:r>
      <w:r>
        <w:rPr>
          <w:color w:val="003CA0"/>
          <w:sz w:val="12"/>
        </w:rPr>
        <w:t xml:space="preserve"> | rel. Celso de Mello</w:t>
      </w:r>
    </w:p>
    <w:p>
      <w:pPr>
        <w:ind w:left="288"/>
      </w:pPr>
      <w:r>
        <w:rPr>
          <w:color w:val="1E1E1E"/>
          <w:sz w:val="18"/>
        </w:rPr>
        <w:t>= RE 434.826 AgR, rel. p/ o ac. min. Celso de Mello, j. 19-11-2013, 2ª T, DJE de 12-12-2013 Encartes de propaganda distribuídos com jornais e periódicos. ISS. Art. 150, VI, d, da Constituição. Veículo publicitário que, em face de sua natureza propagandística, de exclusiva índole comercial, não pode ser considerado como destinado à cultura e à educação, razão pela qual não está abrangido pela imunidade de impostos prevista no dispositivo constitucional sob referência, a qual, ademais, não se estenderia, de qualquer forma, às empresas por eles responsáveis, no que concerne à renda bruta auferida</w:t>
      </w:r>
    </w:p>
    <w:p>
      <w:pPr>
        <w:ind w:left="288"/>
      </w:pPr>
      <w:r>
        <w:rPr>
          <w:b/>
          <w:color w:val="003CA0"/>
          <w:sz w:val="16"/>
        </w:rPr>
        <w:t>[RE 213.094, rel. min. Ilmar Galvão, j. 3-8-1999, 1ª T, DJ de 15-10-1999.]</w:t>
      </w:r>
    </w:p>
    <w:p>
      <w:pPr>
        <w:ind w:left="288"/>
      </w:pPr>
      <w:r>
        <w:rPr>
          <w:color w:val="8C8C8C"/>
          <w:sz w:val="12"/>
        </w:rPr>
        <w:t>cf-art-150-inc-VI-ali-d</w:t>
      </w:r>
      <w:r>
        <w:rPr>
          <w:color w:val="003CA0"/>
          <w:sz w:val="12"/>
        </w:rPr>
        <w:t xml:space="preserve"> | RE 199.183</w:t>
      </w:r>
      <w:r>
        <w:rPr>
          <w:color w:val="003CA0"/>
          <w:sz w:val="12"/>
        </w:rPr>
        <w:t xml:space="preserve"> | rel. Marco Aurélio</w:t>
      </w:r>
    </w:p>
    <w:p>
      <w:pPr>
        <w:ind w:left="288"/>
      </w:pPr>
      <w:r>
        <w:rPr>
          <w:color w:val="1E1E1E"/>
          <w:sz w:val="18"/>
        </w:rPr>
        <w:t>O fato de as edições das listas telefônicas veicularem anúncios e publicidade não afasta o benefício constitucional da imunidade. A inserção visa a permitir a divulgação das informações necessárias ao serviço público a custo zero para os assinantes, consubstanciando acessório que segue a sorte do principal.</w:t>
      </w:r>
    </w:p>
    <w:p>
      <w:pPr>
        <w:ind w:left="288"/>
      </w:pPr>
      <w:r>
        <w:rPr>
          <w:b/>
          <w:color w:val="003CA0"/>
          <w:sz w:val="16"/>
        </w:rPr>
        <w:t>[RE 199.183, rel. min. Marco Aurélio, j. 17-4-1998, 2ª T, DJ de 12-6-1998.]</w:t>
      </w:r>
    </w:p>
    <w:p>
      <w:pPr>
        <w:ind w:left="288"/>
      </w:pPr>
      <w:r>
        <w:rPr>
          <w:color w:val="8C8C8C"/>
          <w:sz w:val="12"/>
        </w:rPr>
        <w:t>cf-art-150-inc-VI-ali-d</w:t>
      </w:r>
      <w:r>
        <w:rPr>
          <w:color w:val="003CA0"/>
          <w:sz w:val="12"/>
        </w:rPr>
        <w:t xml:space="preserve"> | AI 663.747</w:t>
      </w:r>
      <w:r>
        <w:rPr>
          <w:color w:val="003CA0"/>
          <w:sz w:val="12"/>
        </w:rPr>
        <w:t xml:space="preserve"> | rel. Joaquim Barbosa</w:t>
      </w:r>
    </w:p>
    <w:p>
      <w:pPr>
        <w:ind w:left="288"/>
      </w:pPr>
      <w:r>
        <w:rPr>
          <w:color w:val="1E1E1E"/>
          <w:sz w:val="18"/>
        </w:rPr>
        <w:t>= AI 663.747 AgR, rel. min. Joaquim Barbosa, j. 6-4-2010, 2ª T, DJE de 30-4-2010 § 1º A vedação do inciso III, b, não se aplica aos tributos previstos nos arts. 148, I; 153, I, II, IV e V; e 154, II; e a vedação do inciso III, c, não se aplica aos tributos previstos nos arts. 148, I; 153, I, II, III e V; e 154, II, nem à fixação da base de cálculo dos impostos previstos nos arts. 155, III, e 156, I. (Redação da EC 42/2003)</w:t>
      </w:r>
    </w:p>
    <w:p>
      <w:pPr>
        <w:ind w:left="144"/>
      </w:pPr>
      <w:r>
        <w:rPr>
          <w:b/>
          <w:color w:val="B45A00"/>
          <w:sz w:val="16"/>
        </w:rPr>
        <w:t>CONTROLE CONCENTRADO</w:t>
      </w:r>
    </w:p>
    <w:p>
      <w:pPr>
        <w:ind w:left="288"/>
      </w:pPr>
      <w:r>
        <w:rPr>
          <w:color w:val="8C8C8C"/>
          <w:sz w:val="12"/>
        </w:rPr>
        <w:t>cf-art-150-inc-VI-ali-d</w:t>
      </w:r>
      <w:r>
        <w:rPr>
          <w:color w:val="003CA0"/>
          <w:sz w:val="12"/>
        </w:rPr>
        <w:t xml:space="preserve"> | ADI 4.016</w:t>
      </w:r>
      <w:r>
        <w:rPr>
          <w:color w:val="003CA0"/>
          <w:sz w:val="12"/>
        </w:rPr>
        <w:t xml:space="preserve"> | rel. Gilmar Mendes</w:t>
      </w:r>
    </w:p>
    <w:p>
      <w:pPr>
        <w:ind w:left="288"/>
      </w:pPr>
      <w:r>
        <w:rPr>
          <w:color w:val="1E1E1E"/>
          <w:sz w:val="18"/>
        </w:rPr>
        <w:t>Art. 3º da Lei 15.747, de 24 de dezembro de 2007, do Estado do Paraná, que estabelece como data inicial de vigência da lei a data de sua publicação. Alteração de dispositivos da Lei 14.260/2003 do Estado do Paraná, a qual dispõe sobre o IPVA. Alegada violação ao art. 150, III, c, da CF. A redução ou a extinção de desconto para pagamento de tributo sob determinadas condições previstas em lei, como o pagamento antecipado em parcela única, não pode ser equiparada à majoração do tributo em questão, no caso, o IPVA. Não incidência do princípio da anterioridade tributária. Vencida a tese de que a re</w:t>
      </w:r>
    </w:p>
    <w:p>
      <w:pPr>
        <w:ind w:left="288"/>
      </w:pPr>
      <w:r>
        <w:rPr>
          <w:b/>
          <w:color w:val="003CA0"/>
          <w:sz w:val="16"/>
        </w:rPr>
        <w:t>[ADI 4.016 MC, rel. min. Gilmar Mendes, j. 1º-8-2008, P, DJE de 24-4-2009.]</w:t>
      </w:r>
    </w:p>
    <w:p>
      <w:pPr>
        <w:ind w:left="144"/>
      </w:pPr>
      <w:r>
        <w:rPr>
          <w:b/>
          <w:color w:val="B45A00"/>
          <w:sz w:val="16"/>
        </w:rPr>
        <w:t>REPERCUSSAO GERAL</w:t>
      </w:r>
    </w:p>
    <w:p>
      <w:pPr>
        <w:ind w:left="288"/>
      </w:pPr>
      <w:r>
        <w:rPr>
          <w:color w:val="8C8C8C"/>
          <w:sz w:val="12"/>
        </w:rPr>
        <w:t>cf-art-150-inc-VI-ali-d</w:t>
      </w:r>
      <w:r>
        <w:rPr>
          <w:color w:val="003CA0"/>
          <w:sz w:val="12"/>
        </w:rPr>
        <w:t xml:space="preserve"> | RE 583.712</w:t>
      </w:r>
      <w:r>
        <w:rPr>
          <w:color w:val="003CA0"/>
          <w:sz w:val="12"/>
        </w:rPr>
        <w:t xml:space="preserve"> | rel. Edson Fachin</w:t>
      </w:r>
    </w:p>
    <w:p>
      <w:pPr>
        <w:ind w:left="288"/>
      </w:pPr>
      <w:r>
        <w:rPr>
          <w:color w:val="1E1E1E"/>
          <w:sz w:val="18"/>
        </w:rPr>
        <w:t>Não há incompatibilidade material entre os arts. 1º, IV, da Lei 8.033/1990 e 153, V, da CF, pois a tributação de um negócio jurídico que tenha por objeto ações e respectivas bonificações insere-se na competência tributária atribuída à União no âmbito do Sistema Tributário Nacional, para fins de instituir imposto sobre operações relativas a títulos ou valores mobiliários. A instituição do IOF-Títulos e Valores Mobiliários não ofende o princípio da anterioridade, dada expressa previsão no art. 150, III, b e § 1º, do Texto Constitucional, ao passo que também não viola o princípio da irretroativid</w:t>
      </w:r>
    </w:p>
    <w:p>
      <w:pPr>
        <w:ind w:left="144"/>
      </w:pPr>
      <w:r>
        <w:rPr>
          <w:b/>
          <w:color w:val="B45A00"/>
          <w:sz w:val="16"/>
        </w:rPr>
        <w:t>SUMULA</w:t>
      </w:r>
    </w:p>
    <w:p>
      <w:pPr>
        <w:ind w:left="288"/>
      </w:pPr>
      <w:r>
        <w:rPr>
          <w:color w:val="8C8C8C"/>
          <w:sz w:val="12"/>
        </w:rPr>
        <w:t>cf-art-150-inc-VI-ali-d</w:t>
      </w:r>
    </w:p>
    <w:p>
      <w:pPr>
        <w:ind w:left="288"/>
      </w:pPr>
      <w:r>
        <w:rPr>
          <w:color w:val="1E1E1E"/>
          <w:sz w:val="18"/>
        </w:rPr>
        <w:t>Promitente comprador de imóvel residencial transcrito em nome de autarquia é contribuinte do IPTU.</w:t>
      </w:r>
    </w:p>
    <w:p>
      <w:pPr>
        <w:ind w:left="288"/>
      </w:pPr>
      <w:r>
        <w:rPr>
          <w:b/>
          <w:color w:val="003CA0"/>
          <w:sz w:val="16"/>
        </w:rPr>
        <w:t>[Súmula 583.]</w:t>
      </w:r>
    </w:p>
    <w:p>
      <w:pPr>
        <w:ind w:left="288"/>
      </w:pPr>
      <w:r>
        <w:rPr>
          <w:color w:val="8C8C8C"/>
          <w:sz w:val="12"/>
        </w:rPr>
        <w:t>cf-art-150-inc-VI-ali-d</w:t>
      </w:r>
    </w:p>
    <w:p>
      <w:pPr>
        <w:ind w:left="288"/>
      </w:pPr>
      <w:r>
        <w:rPr>
          <w:color w:val="1E1E1E"/>
          <w:sz w:val="18"/>
        </w:rPr>
        <w:t>Preços de serviços públicos e taxas não se confundem, porque estas, diferentemente daqueles, são compulsórias e têm sua cobrança condicionada à prévia autorização orçamentária, em relação à lei que as instituiu.</w:t>
      </w:r>
    </w:p>
    <w:p>
      <w:pPr>
        <w:ind w:left="288"/>
      </w:pPr>
      <w:r>
        <w:rPr>
          <w:b/>
          <w:color w:val="003CA0"/>
          <w:sz w:val="16"/>
        </w:rPr>
        <w:t>[Súmula 545.]</w:t>
      </w:r>
    </w:p>
    <w:p>
      <w:pPr>
        <w:ind w:left="144"/>
      </w:pPr>
      <w:r>
        <w:rPr>
          <w:b/>
          <w:color w:val="B45A00"/>
          <w:sz w:val="16"/>
        </w:rPr>
        <w:t>CONTROLE CONCENTRADO</w:t>
      </w:r>
    </w:p>
    <w:p>
      <w:pPr>
        <w:ind w:left="288"/>
      </w:pPr>
      <w:r>
        <w:rPr>
          <w:color w:val="8C8C8C"/>
          <w:sz w:val="12"/>
        </w:rPr>
        <w:t>cf-art-150-inc-VI-ali-d</w:t>
      </w:r>
      <w:r>
        <w:rPr>
          <w:color w:val="003CA0"/>
          <w:sz w:val="12"/>
        </w:rPr>
        <w:t xml:space="preserve"> | ADI 447</w:t>
      </w:r>
      <w:r>
        <w:rPr>
          <w:color w:val="003CA0"/>
          <w:sz w:val="12"/>
        </w:rPr>
        <w:t xml:space="preserve"> | rel. Octavio Gallotti</w:t>
      </w:r>
    </w:p>
    <w:p>
      <w:pPr>
        <w:ind w:left="288"/>
      </w:pPr>
      <w:r>
        <w:rPr>
          <w:color w:val="1E1E1E"/>
          <w:sz w:val="18"/>
        </w:rPr>
        <w:t xml:space="preserve">Há quem sustente que quando o Estado presta serviço público, se quiser que tais serviços sejam remunerados, somente poderá fazê-lo mediante taxas (ATALIBA, Geraldo. Sistema tributário na Constituição, Revista de Direito Tributário, 51/140; CARRAZZA, Roque. ob. cit., p. 247). Não vamos a tanto, não obstante reconhecermos que são poderosos e científicos os argumentos de Ataliba e de Carrazza. Ficamos na linha da lição de Sacha Calmon Navarro Coelho, que entende possível a cobrança de preços pela prestação de serviço público. Sacha argumenta com o § 3º do art. 150 da Constituição, do qual deflui </w:t>
      </w:r>
    </w:p>
    <w:p>
      <w:pPr>
        <w:ind w:left="288"/>
      </w:pPr>
      <w:r>
        <w:rPr>
          <w:b/>
          <w:color w:val="003CA0"/>
          <w:sz w:val="16"/>
        </w:rPr>
        <w:t>[ADI 447, rel. min. Octavio Gallotti, voto do min. Carlos Velloso, j. 5-6-1991, P, DJ de 5-3-1993.]</w:t>
      </w:r>
    </w:p>
    <w:p>
      <w:pPr>
        <w:ind w:left="144"/>
      </w:pPr>
      <w:r>
        <w:rPr>
          <w:b/>
          <w:color w:val="B45A00"/>
          <w:sz w:val="16"/>
        </w:rPr>
        <w:t>JULGADOS CORRELATOS</w:t>
      </w:r>
    </w:p>
    <w:p>
      <w:pPr>
        <w:ind w:left="288"/>
      </w:pPr>
      <w:r>
        <w:rPr>
          <w:color w:val="8C8C8C"/>
          <w:sz w:val="12"/>
        </w:rPr>
        <w:t>cf-art-150-inc-VI-ali-d</w:t>
      </w:r>
      <w:r>
        <w:rPr>
          <w:color w:val="003CA0"/>
          <w:sz w:val="12"/>
        </w:rPr>
        <w:t xml:space="preserve"> | RE 399.307</w:t>
      </w:r>
      <w:r>
        <w:rPr>
          <w:color w:val="003CA0"/>
          <w:sz w:val="12"/>
        </w:rPr>
        <w:t xml:space="preserve"> | rel. Joaquim Barbosa</w:t>
      </w:r>
    </w:p>
    <w:p>
      <w:pPr>
        <w:ind w:left="288"/>
      </w:pPr>
      <w:r>
        <w:rPr>
          <w:color w:val="1E1E1E"/>
          <w:sz w:val="18"/>
        </w:rPr>
        <w:t xml:space="preserve">É aplicável a imunidade tributária recíproca às autarquias e empresas públicas que prestem inequívoco serviço público, desde que, entre outros requisitos constitucionais e legais, não distribuam lucros ou resultados direta ou indiretamente a particulares, ou tenham por objetivo principal conceder acréscimo patrimonial ao poder público (ausência de capacidade contributiva) e não desempenhem atividade econômica, de modo a conferir vantagem não extensível às empresas privadas (livre iniciativa e concorrência). O Serviço Autônomo de Água e Esgoto é imune à tributação por impostos (art. 150, VI, a </w:t>
      </w:r>
    </w:p>
    <w:p>
      <w:pPr>
        <w:ind w:left="288"/>
      </w:pPr>
      <w:r>
        <w:rPr>
          <w:b/>
          <w:color w:val="003CA0"/>
          <w:sz w:val="16"/>
        </w:rPr>
        <w:t>[RE 399.307 AgR, rel. min. Joaquim Barbosa, j. 16-3-2010, 2ª T, DJE de 30-4-2010.]</w:t>
      </w:r>
    </w:p>
    <w:p>
      <w:pPr>
        <w:ind w:left="288"/>
      </w:pPr>
      <w:r>
        <w:rPr>
          <w:color w:val="8C8C8C"/>
          <w:sz w:val="12"/>
        </w:rPr>
        <w:t>cf-art-150-inc-VI-ali-d</w:t>
      </w:r>
      <w:r>
        <w:rPr>
          <w:color w:val="003CA0"/>
          <w:sz w:val="12"/>
        </w:rPr>
        <w:t xml:space="preserve"> | RE 672.187</w:t>
      </w:r>
      <w:r>
        <w:rPr>
          <w:color w:val="003CA0"/>
          <w:sz w:val="12"/>
        </w:rPr>
        <w:t xml:space="preserve"> | rel. Cézar Peluso</w:t>
      </w:r>
    </w:p>
    <w:p>
      <w:pPr>
        <w:ind w:left="288"/>
      </w:pPr>
      <w:r>
        <w:rPr>
          <w:color w:val="1E1E1E"/>
          <w:sz w:val="18"/>
        </w:rPr>
        <w:t>= RE 672.187 AgR, rel. min. Cézar Peluso, j. 27-3-2012, 2ª T, DJE de 23-4-2012 Inaplicabilidade, à Infraero, da regra inscrita no art. 150, § 3º, da Constituição. A submissão ao regime jurídico das empresas do setor privado, inclusive quanto aos direitos e obrigações tributárias, somente se justifica, como consectário natural do postulado da livre concorrência (CF, art. 170, IV), se e quando as empresas governamentais explorarem atividade econômica em sentido estrito, não se aplicando, por isso mesmo, a disciplina prevista no art. 173, § 1º, da Constituição, às empresas públicas (caso da Infra</w:t>
      </w:r>
    </w:p>
    <w:p>
      <w:pPr>
        <w:ind w:left="288"/>
      </w:pPr>
      <w:r>
        <w:rPr>
          <w:b/>
          <w:color w:val="003CA0"/>
          <w:sz w:val="16"/>
        </w:rPr>
        <w:t>[RE 363.412 AgR, rel. min. Celso de Mello, j. 7-8-2007, 2ª T, DJE de 19-9-2008.]</w:t>
      </w:r>
    </w:p>
    <w:p>
      <w:pPr>
        <w:ind w:left="288"/>
      </w:pPr>
      <w:r>
        <w:rPr>
          <w:color w:val="8C8C8C"/>
          <w:sz w:val="12"/>
        </w:rPr>
        <w:t>cf-art-150-par-4</w:t>
      </w:r>
      <w:r>
        <w:rPr>
          <w:color w:val="003CA0"/>
          <w:sz w:val="12"/>
        </w:rPr>
        <w:t xml:space="preserve"> | RE 250.844</w:t>
      </w:r>
      <w:r>
        <w:rPr>
          <w:color w:val="003CA0"/>
          <w:sz w:val="12"/>
        </w:rPr>
        <w:t xml:space="preserve"> | rel. Marco Aurélio</w:t>
      </w:r>
    </w:p>
    <w:p>
      <w:pPr>
        <w:ind w:left="288"/>
      </w:pPr>
      <w:r>
        <w:rPr>
          <w:color w:val="1E1E1E"/>
          <w:sz w:val="18"/>
        </w:rPr>
        <w:t>(...) a imunidade estampada no art. 150, VI, c, da Constituição não é ampla e irrestrita, compreendendo, pela própria dicção da Lei Maior, "somente o patrimônio, a renda e os serviços, relacionados com as finalidades essenciais das entidades nelas mencionadas" (CRFB, art. 150, § 4º). Diante disso, o cumprimento de obrigações acessórias representa instrumento indispensável para averiguar se as atividades desempenhadas pelas entidades imunes enquadram-se ou não nos limites de suas finalidades essenciais. Mais especificamente, a escrituração de livros fiscais de ISS e emissão de notas fiscais pel</w:t>
      </w:r>
    </w:p>
    <w:p>
      <w:pPr>
        <w:ind w:left="288"/>
      </w:pPr>
      <w:r>
        <w:rPr>
          <w:b/>
          <w:color w:val="003CA0"/>
          <w:sz w:val="16"/>
        </w:rPr>
        <w:t>[RE 250.844, rel. min. Marco Aurélio, voto do min. Luiz Fux, j. 29-5-2012, 1ª T, DJE de 19-10-2012.]</w:t>
      </w:r>
    </w:p>
    <w:p>
      <w:pPr>
        <w:ind w:left="288"/>
      </w:pPr>
      <w:r>
        <w:rPr>
          <w:color w:val="8C8C8C"/>
          <w:sz w:val="12"/>
        </w:rPr>
        <w:t>cf-art-150-par-4</w:t>
      </w:r>
      <w:r>
        <w:rPr>
          <w:color w:val="003CA0"/>
          <w:sz w:val="12"/>
        </w:rPr>
        <w:t xml:space="preserve"> | RE 702.604</w:t>
      </w:r>
      <w:r>
        <w:rPr>
          <w:color w:val="003CA0"/>
          <w:sz w:val="12"/>
        </w:rPr>
        <w:t xml:space="preserve"> | rel. Joaquim Barbosa</w:t>
      </w:r>
    </w:p>
    <w:p>
      <w:pPr>
        <w:ind w:left="288"/>
      </w:pPr>
      <w:r>
        <w:rPr>
          <w:color w:val="1E1E1E"/>
          <w:sz w:val="18"/>
        </w:rPr>
        <w:t>= RE 702.604 AgR, rel. min. Joaquim Barbosa, j. 25-9-2012, 1ª T, DJE de 25-10-2012 Terrenos baldios sem vinculação às finalidades essenciais da entidade afastam a imunidade prevista no art. 150, VI, c, da CF.</w:t>
      </w:r>
    </w:p>
    <w:p>
      <w:pPr>
        <w:ind w:left="288"/>
      </w:pPr>
      <w:r>
        <w:rPr>
          <w:b/>
          <w:color w:val="003CA0"/>
          <w:sz w:val="16"/>
        </w:rPr>
        <w:t>[RE 375.715 ED, rel. min. Ellen Gracie, j. 31-8-2010, 2ª T, DJE de 24-9-2010.]</w:t>
      </w:r>
    </w:p>
    <w:p>
      <w:pPr>
        <w:ind w:left="288"/>
      </w:pPr>
      <w:r>
        <w:rPr>
          <w:color w:val="8C8C8C"/>
          <w:sz w:val="12"/>
        </w:rPr>
        <w:t>cf-art-150-par-4</w:t>
      </w:r>
      <w:r>
        <w:rPr>
          <w:color w:val="003CA0"/>
          <w:sz w:val="12"/>
        </w:rPr>
        <w:t xml:space="preserve"> | AI 661.713</w:t>
      </w:r>
      <w:r>
        <w:rPr>
          <w:color w:val="003CA0"/>
          <w:sz w:val="12"/>
        </w:rPr>
        <w:t xml:space="preserve"> | rel. Eros Grau</w:t>
      </w:r>
    </w:p>
    <w:p>
      <w:pPr>
        <w:ind w:left="288"/>
      </w:pPr>
      <w:r>
        <w:rPr>
          <w:color w:val="1E1E1E"/>
          <w:sz w:val="18"/>
        </w:rPr>
        <w:t>= AI 661.713 AgR, red. do ac. min. Marco Aurélio, j. 19-3-2013, 1ª T, DJE de 27-5-2013 A imunidade das entidades de assistência social prevista no art. 150, VI, c, da CF abrange rendimentos em aplicações financeiras enquanto não houver regulação do disposto no § 4º do art. 150 da CF por lei complementar.</w:t>
      </w:r>
    </w:p>
    <w:p>
      <w:pPr>
        <w:ind w:left="288"/>
      </w:pPr>
      <w:r>
        <w:rPr>
          <w:b/>
          <w:color w:val="003CA0"/>
          <w:sz w:val="16"/>
        </w:rPr>
        <w:t>[AI 769.613 AgR, rel. min. Eros Grau, j. 9-3-2010, 2ª T, DJE de 9-4-2010.]</w:t>
      </w:r>
    </w:p>
    <w:p>
      <w:pPr>
        <w:ind w:left="288"/>
      </w:pPr>
      <w:r>
        <w:rPr>
          <w:color w:val="8C8C8C"/>
          <w:sz w:val="12"/>
        </w:rPr>
        <w:t>cf-art-150-par-4</w:t>
      </w:r>
      <w:r>
        <w:rPr>
          <w:color w:val="003CA0"/>
          <w:sz w:val="12"/>
        </w:rPr>
        <w:t xml:space="preserve"> | AI 673.463</w:t>
      </w:r>
      <w:r>
        <w:rPr>
          <w:color w:val="003CA0"/>
          <w:sz w:val="12"/>
        </w:rPr>
        <w:t xml:space="preserve"> | rel. Roberto Barroso</w:t>
      </w:r>
    </w:p>
    <w:p>
      <w:pPr>
        <w:ind w:left="288"/>
      </w:pPr>
      <w:r>
        <w:rPr>
          <w:color w:val="1E1E1E"/>
          <w:sz w:val="18"/>
        </w:rPr>
        <w:t>= AI 673.463 AgR, rel. min. Roberto Barroso, j. 24-9-2013, 1ª T, DJE de 5-11-2013 Imunidade tributária. IPTU. Finalidade do bem. A utilização do imóvel para atividade de lazer e recreação não configura desvio de finalidade com relação aos objetivos da fundação caracterizada como entidade de assistência social. A decisão que afasta o desvio de finalidade para o fim de assegurar a imunidade tributária com base no reconhecimento de que a atividade de recreação e lazer está no alcance dos objetivos da fundação não agride o art. 150, § 4º, VI, da CF.</w:t>
      </w:r>
    </w:p>
    <w:p>
      <w:pPr>
        <w:ind w:left="288"/>
      </w:pPr>
      <w:r>
        <w:rPr>
          <w:b/>
          <w:color w:val="003CA0"/>
          <w:sz w:val="16"/>
        </w:rPr>
        <w:t>[RE 236.174, rel. min. Menezes Direito, j. 2-9-2008, 1ª T, DJE de 24-10-2008.]</w:t>
      </w:r>
    </w:p>
    <w:p>
      <w:pPr>
        <w:ind w:left="288"/>
      </w:pPr>
      <w:r>
        <w:rPr>
          <w:color w:val="8C8C8C"/>
          <w:sz w:val="12"/>
        </w:rPr>
        <w:t>cf-art-150-par-4</w:t>
      </w:r>
      <w:r>
        <w:rPr>
          <w:color w:val="003CA0"/>
          <w:sz w:val="12"/>
        </w:rPr>
        <w:t xml:space="preserve"> | RE 325.822</w:t>
      </w:r>
    </w:p>
    <w:p>
      <w:pPr>
        <w:ind w:left="288"/>
      </w:pPr>
      <w:r>
        <w:rPr>
          <w:color w:val="1E1E1E"/>
          <w:sz w:val="18"/>
        </w:rPr>
        <w:t>Imunidade tributária de templos de qualquer culto. Vedação de instituição de impostos sobre o patrimônio, renda e serviços relacionados com as finalidades essenciais das entidades. Art. 150, VI, b e § 4º, da Constituição. Instituição religiosa. IPTU sobre imóveis de sua propriedade que se encontram alugados. A imunidade prevista no art. 150, VI, b, da CF deve abranger não somente os prédios destinados ao culto, mas, também, o patrimônio, a renda e os serviços "relacionados com as finalidades essenciais das entidades nelas mencionadas". O § 4º do dispositivo constitucional serve de vetor interp</w:t>
      </w:r>
    </w:p>
    <w:p>
      <w:pPr>
        <w:ind w:left="288"/>
      </w:pPr>
      <w:r>
        <w:rPr>
          <w:b/>
          <w:color w:val="003CA0"/>
          <w:sz w:val="16"/>
        </w:rPr>
        <w:t>[RE 325.822, red. do ac. min. Gilmar Mendes, j. 18-12-2002, P, DJ de 14-5-2004.]</w:t>
      </w:r>
    </w:p>
    <w:p>
      <w:pPr>
        <w:ind w:left="288"/>
      </w:pPr>
      <w:r>
        <w:rPr>
          <w:color w:val="8C8C8C"/>
          <w:sz w:val="12"/>
        </w:rPr>
        <w:t>cf-art-150-par-4</w:t>
      </w:r>
      <w:r>
        <w:rPr>
          <w:color w:val="003CA0"/>
          <w:sz w:val="12"/>
        </w:rPr>
        <w:t xml:space="preserve"> | ARE 658.080</w:t>
      </w:r>
      <w:r>
        <w:rPr>
          <w:color w:val="003CA0"/>
          <w:sz w:val="12"/>
        </w:rPr>
        <w:t xml:space="preserve"> | rel. Luiz Fux</w:t>
      </w:r>
    </w:p>
    <w:p>
      <w:pPr>
        <w:ind w:left="288"/>
      </w:pPr>
      <w:r>
        <w:rPr>
          <w:color w:val="1E1E1E"/>
          <w:sz w:val="18"/>
        </w:rPr>
        <w:t>= ARE 658.080 AgR, rel. min. Luiz Fux, j. 13-12-2011, 1ª T, DJE de 15-2-2012</w:t>
      </w:r>
    </w:p>
    <w:p>
      <w:pPr>
        <w:ind w:left="288"/>
      </w:pPr>
      <w:r>
        <w:rPr>
          <w:color w:val="8C8C8C"/>
          <w:sz w:val="12"/>
        </w:rPr>
        <w:t>cf-art-150-par-5</w:t>
      </w:r>
    </w:p>
    <w:p>
      <w:pPr>
        <w:ind w:left="288"/>
      </w:pPr>
      <w:r>
        <w:rPr>
          <w:color w:val="1E1E1E"/>
          <w:sz w:val="18"/>
        </w:rPr>
        <w:t>§ 6º Qualquer subsídio ou isenção, redução de base de cálculo, concessão de crédito presumido, anistia ou remissão, relativos a impostos, taxas ou contribuições, só poderá ser concedido mediante lei específica, federal, estadual ou municipal, que regule exclusivamente as matérias acima enumeradas ou o correspondente tributo ou contribuição, sem prejuízo do disposto no artigo 155, § 2º, XII, g. (Redação da EC 3/1993)</w:t>
      </w:r>
    </w:p>
    <w:p>
      <w:pPr>
        <w:ind w:left="144"/>
      </w:pPr>
      <w:r>
        <w:rPr>
          <w:b/>
          <w:color w:val="B45A00"/>
          <w:sz w:val="16"/>
        </w:rPr>
        <w:t>SUMULA</w:t>
      </w:r>
    </w:p>
    <w:p>
      <w:pPr>
        <w:ind w:left="288"/>
      </w:pPr>
      <w:r>
        <w:rPr>
          <w:color w:val="8C8C8C"/>
          <w:sz w:val="12"/>
        </w:rPr>
        <w:t>cf-art-150-par-5</w:t>
      </w:r>
    </w:p>
    <w:p>
      <w:pPr>
        <w:ind w:left="288"/>
      </w:pPr>
      <w:r>
        <w:rPr>
          <w:color w:val="1E1E1E"/>
          <w:sz w:val="18"/>
        </w:rPr>
        <w:t>A multa fiscal moratória constitui pena administrativa, não se incluindo no crédito habilitado em falência.</w:t>
      </w:r>
    </w:p>
    <w:p>
      <w:pPr>
        <w:ind w:left="288"/>
      </w:pPr>
      <w:r>
        <w:rPr>
          <w:b/>
          <w:color w:val="003CA0"/>
          <w:sz w:val="16"/>
        </w:rPr>
        <w:t>[Súmula 565.]</w:t>
      </w:r>
    </w:p>
    <w:p>
      <w:pPr>
        <w:ind w:left="288"/>
      </w:pPr>
      <w:r>
        <w:rPr>
          <w:color w:val="8C8C8C"/>
          <w:sz w:val="12"/>
        </w:rPr>
        <w:t>cf-art-150-par-5</w:t>
      </w:r>
    </w:p>
    <w:p>
      <w:pPr>
        <w:ind w:left="288"/>
      </w:pPr>
      <w:r>
        <w:rPr>
          <w:color w:val="1E1E1E"/>
          <w:sz w:val="18"/>
        </w:rPr>
        <w:t>Isenções tributárias concedidas, sob condição onerosa, não podem ser livremente suprimidas.</w:t>
      </w:r>
    </w:p>
    <w:p>
      <w:pPr>
        <w:ind w:left="288"/>
      </w:pPr>
      <w:r>
        <w:rPr>
          <w:b/>
          <w:color w:val="003CA0"/>
          <w:sz w:val="16"/>
        </w:rPr>
        <w:t>[Súmula 544.]</w:t>
      </w:r>
    </w:p>
    <w:p>
      <w:pPr>
        <w:ind w:left="288"/>
      </w:pPr>
      <w:r>
        <w:rPr>
          <w:color w:val="8C8C8C"/>
          <w:sz w:val="12"/>
        </w:rPr>
        <w:t>cf-art-150-par-5</w:t>
      </w:r>
      <w:r>
        <w:rPr>
          <w:color w:val="003CA0"/>
          <w:sz w:val="12"/>
        </w:rPr>
        <w:t xml:space="preserve"> | ADI 6.144</w:t>
      </w:r>
      <w:r>
        <w:rPr>
          <w:color w:val="003CA0"/>
          <w:sz w:val="12"/>
        </w:rPr>
        <w:t xml:space="preserve"> | rel. Rosa Weber</w:t>
      </w:r>
    </w:p>
    <w:p>
      <w:pPr>
        <w:ind w:left="288"/>
      </w:pPr>
      <w:r>
        <w:rPr>
          <w:color w:val="1E1E1E"/>
          <w:sz w:val="18"/>
        </w:rPr>
        <w:t>A Lei Estadual 18.665/2023 delega a atos do Poder Executivo a definição das operações ou prestações sobre as quais haverá diferimento do pagamento do ICMS para etapas posteriores, bem a como sua suspensão, medidas cuja consequência é a alteração do responsável tributário pelo recolhimento do tributo (art. 17, parágrafo único e art. 41 parágrafo único). O Supremo Tribunal Federal decidiu que é inconstitucional o estabelecimento, pelo legislador, de “cláusula geral de substituição tributária”, a ser particularizada ou suspensa por atos do Poder Executivo local, o que viola o princípio da reserva</w:t>
      </w:r>
    </w:p>
    <w:p>
      <w:pPr>
        <w:ind w:left="288"/>
      </w:pPr>
      <w:r>
        <w:rPr>
          <w:b/>
          <w:color w:val="003CA0"/>
          <w:sz w:val="16"/>
        </w:rPr>
        <w:t>[ADI 7.616, rel. min. Cristiano Zanin, j. 17.02.2025, P, DJE de 21.02.2025.]</w:t>
      </w:r>
    </w:p>
    <w:p>
      <w:pPr>
        <w:ind w:left="144"/>
      </w:pPr>
      <w:r>
        <w:rPr>
          <w:b/>
          <w:color w:val="B45A00"/>
          <w:sz w:val="16"/>
        </w:rPr>
        <w:t>CONTROLE CONCENTRADO</w:t>
      </w:r>
    </w:p>
    <w:p>
      <w:pPr>
        <w:ind w:left="288"/>
      </w:pPr>
      <w:r>
        <w:rPr>
          <w:color w:val="8C8C8C"/>
          <w:sz w:val="12"/>
        </w:rPr>
        <w:t>cf-art-150-par-5</w:t>
      </w:r>
      <w:r>
        <w:rPr>
          <w:color w:val="003CA0"/>
          <w:sz w:val="12"/>
        </w:rPr>
        <w:t xml:space="preserve"> | ADI 6.025</w:t>
      </w:r>
      <w:r>
        <w:rPr>
          <w:color w:val="003CA0"/>
          <w:sz w:val="12"/>
        </w:rPr>
        <w:t xml:space="preserve"> | rel. Alexandre de Moraes</w:t>
      </w:r>
    </w:p>
    <w:p>
      <w:pPr>
        <w:ind w:left="288"/>
      </w:pPr>
      <w:r>
        <w:rPr>
          <w:color w:val="1E1E1E"/>
          <w:sz w:val="18"/>
        </w:rPr>
        <w:t>Isenção de imposto de renda sobre proventos de aposentadoria ou reforma. Requisitos legais cumulativos e razoáveis. Impossibilidade de ampliação da isenção por decisão judicial.</w:t>
      </w:r>
    </w:p>
    <w:p>
      <w:pPr>
        <w:ind w:left="288"/>
      </w:pPr>
      <w:r>
        <w:rPr>
          <w:b/>
          <w:color w:val="003CA0"/>
          <w:sz w:val="16"/>
        </w:rPr>
        <w:t>[ADI 6.025, rel. min. Alexandre de Moraes, j. 20-4-2020, P, DJE de 26-6-2020.]</w:t>
      </w:r>
    </w:p>
    <w:p>
      <w:pPr>
        <w:ind w:left="288"/>
      </w:pPr>
      <w:r>
        <w:rPr>
          <w:color w:val="8C8C8C"/>
          <w:sz w:val="12"/>
        </w:rPr>
        <w:t>cf-art-150-par-5</w:t>
      </w:r>
      <w:r>
        <w:rPr>
          <w:color w:val="003CA0"/>
          <w:sz w:val="12"/>
        </w:rPr>
        <w:t xml:space="preserve"> | ADI 5.929</w:t>
      </w:r>
      <w:r>
        <w:rPr>
          <w:color w:val="003CA0"/>
          <w:sz w:val="12"/>
        </w:rPr>
        <w:t xml:space="preserve"> | rel. Edson Fachin</w:t>
      </w:r>
    </w:p>
    <w:p>
      <w:pPr>
        <w:ind w:left="288"/>
      </w:pPr>
      <w:r>
        <w:rPr>
          <w:color w:val="1E1E1E"/>
          <w:sz w:val="18"/>
        </w:rPr>
        <w:t>O poder de isentar submete-se às idênticas balizar do poder de tributar com destaque para o princípio da legalidade tributária que a partir da EC 03/1993 adquiriu destaque ao prever lei específica para veiculação de quaisquer desonerações tributárias (art.150 §6º, in fine). Os convênios CONFAZ têm natureza meramente autorizativa ao que imprescindível a submissão do ato normativo que veicule quaisquer benefícios e incentivos fiscais à apreciação da Casa Legislativa. A exigência de submissão do convênio à Câmara Legislativa do Distrito Federal evidencia observância não apenas ao princípio da leg</w:t>
      </w:r>
    </w:p>
    <w:p>
      <w:pPr>
        <w:ind w:left="288"/>
      </w:pPr>
      <w:r>
        <w:rPr>
          <w:b/>
          <w:color w:val="003CA0"/>
          <w:sz w:val="16"/>
        </w:rPr>
        <w:t>[ADI 5.929, rel. min. Edson Fachin, j. 14-2-2020, P, DJE de 6-3-2020.]</w:t>
      </w:r>
    </w:p>
    <w:p>
      <w:pPr>
        <w:ind w:left="288"/>
      </w:pPr>
      <w:r>
        <w:rPr>
          <w:color w:val="8C8C8C"/>
          <w:sz w:val="12"/>
        </w:rPr>
        <w:t>cf-art-150-par-5</w:t>
      </w:r>
      <w:r>
        <w:rPr>
          <w:color w:val="003CA0"/>
          <w:sz w:val="12"/>
        </w:rPr>
        <w:t xml:space="preserve"> | ADI 4.976</w:t>
      </w:r>
      <w:r>
        <w:rPr>
          <w:color w:val="003CA0"/>
          <w:sz w:val="12"/>
        </w:rPr>
        <w:t xml:space="preserve"> | rel. Ricardo Lewandowski</w:t>
      </w:r>
    </w:p>
    <w:p>
      <w:pPr>
        <w:ind w:left="288"/>
      </w:pPr>
      <w:r>
        <w:rPr>
          <w:color w:val="1E1E1E"/>
          <w:sz w:val="18"/>
        </w:rPr>
        <w:t>É constitucional a isenção fiscal relativa a pagamento de custas judiciais, concedida por Estado soberano que, mediante política pública formulada pelo respectivo governo, buscou garantir a realização, em seu território, de eventos da maior expressão, quer nacional, quer internacional. Legitimidade dos estímulos destinados a atrair o principal e indispensável parceiro envolvido, qual seja, a Fifa [Federação Internacional de Futebol], de modo a alcançar os benefícios econômicos e sociais pretendidos</w:t>
      </w:r>
    </w:p>
    <w:p>
      <w:pPr>
        <w:ind w:left="288"/>
      </w:pPr>
      <w:r>
        <w:rPr>
          <w:b/>
          <w:color w:val="003CA0"/>
          <w:sz w:val="16"/>
        </w:rPr>
        <w:t>[ADI 4.976, rel. min. Ricardo Lewandowski, j. 7-5-2014, P, DJE de 30-10-2014.]</w:t>
      </w:r>
    </w:p>
    <w:p>
      <w:pPr>
        <w:ind w:left="288"/>
      </w:pPr>
      <w:r>
        <w:rPr>
          <w:color w:val="8C8C8C"/>
          <w:sz w:val="12"/>
        </w:rPr>
        <w:t>cf-art-150-par-5</w:t>
      </w:r>
      <w:r>
        <w:rPr>
          <w:color w:val="003CA0"/>
          <w:sz w:val="12"/>
        </w:rPr>
        <w:t xml:space="preserve"> | ADI 3.462</w:t>
      </w:r>
      <w:r>
        <w:rPr>
          <w:color w:val="003CA0"/>
          <w:sz w:val="12"/>
        </w:rPr>
        <w:t xml:space="preserve"> | rel. Cármen Lúcia</w:t>
      </w:r>
    </w:p>
    <w:p>
      <w:pPr>
        <w:ind w:left="288"/>
      </w:pPr>
      <w:r>
        <w:rPr>
          <w:color w:val="1E1E1E"/>
          <w:sz w:val="18"/>
        </w:rPr>
        <w:t>A adoção do processo legislativo decorrente do art. 150, § 6º, da CF tende a coibir o uso desses institutos de desoneração tributária como moeda de barganha para a obtenção de vantagem pessoal pela autoridade pública, pois a fixação, pelo mesmo Poder instituidor do tributo, de requisitos objetivos para a concessão do benefício tende a mitigar arbítrio do chefe do Poder Executivo, garantindo que qualquer pessoa física ou jurídica enquadrada nas hipóteses legalmente previstas usufrua da benesse tributária, homenageando-se aos princípios constitucionais da impessoalidade, da legalidade e da moral</w:t>
      </w:r>
    </w:p>
    <w:p>
      <w:pPr>
        <w:ind w:left="288"/>
      </w:pPr>
      <w:r>
        <w:rPr>
          <w:b/>
          <w:color w:val="003CA0"/>
          <w:sz w:val="16"/>
        </w:rPr>
        <w:t>[ADI 3.462, rel. min. Cármen Lúcia, j. 15-9-2010, P, DJE de 15-2-2011.]</w:t>
      </w:r>
    </w:p>
    <w:p>
      <w:pPr>
        <w:ind w:left="288"/>
      </w:pPr>
      <w:r>
        <w:rPr>
          <w:color w:val="8C8C8C"/>
          <w:sz w:val="12"/>
        </w:rPr>
        <w:t>cf-art-150-par-5</w:t>
      </w:r>
      <w:r>
        <w:rPr>
          <w:color w:val="003CA0"/>
          <w:sz w:val="12"/>
        </w:rPr>
        <w:t xml:space="preserve"> | ADI 2.688</w:t>
      </w:r>
      <w:r>
        <w:rPr>
          <w:color w:val="003CA0"/>
          <w:sz w:val="12"/>
        </w:rPr>
        <w:t xml:space="preserve"> | rel. Joaquim Barbosa</w:t>
      </w:r>
    </w:p>
    <w:p>
      <w:pPr>
        <w:ind w:left="288"/>
      </w:pPr>
      <w:r>
        <w:rPr>
          <w:color w:val="1E1E1E"/>
          <w:sz w:val="18"/>
        </w:rPr>
        <w:t>= ADI 2.688, rel. min. Joaquim Barbosa, j. 1º-6-2011, P, DJE de 26-8-2011 Ação direta de inconstitucionalidade ajuizada contra o art. 13, § 3º, da LC 123/2006, que isentou as microempresas e empresas de pequeno porte optantes pelo Regime Especial Unificado de Arrecadação de Tributos e Contribuições devidos pelas Microempresas e Empresas de Pequeno Porte – Simples Nacional ("Supersimples"). Rejeitada a alegação de violação da reserva de lei específica para dispor sobre isenção (art. 150, § 6º, da Constituição), uma vez que há pertinência temática entre o benefício fiscal e a instituição de regi</w:t>
      </w:r>
    </w:p>
    <w:p>
      <w:pPr>
        <w:ind w:left="288"/>
      </w:pPr>
      <w:r>
        <w:rPr>
          <w:b/>
          <w:color w:val="003CA0"/>
          <w:sz w:val="16"/>
        </w:rPr>
        <w:t>[ADI 4.033, rel. min. Joaquim Barbosa, j. 15-9-2010, P, DJE de 7-2-2011.]</w:t>
      </w:r>
    </w:p>
    <w:p>
      <w:pPr>
        <w:ind w:left="288"/>
      </w:pPr>
      <w:r>
        <w:rPr>
          <w:color w:val="8C8C8C"/>
          <w:sz w:val="12"/>
        </w:rPr>
        <w:t>cf-art-150-par-5</w:t>
      </w:r>
      <w:r>
        <w:rPr>
          <w:color w:val="003CA0"/>
          <w:sz w:val="12"/>
        </w:rPr>
        <w:t xml:space="preserve"> | ADI 3.260</w:t>
      </w:r>
      <w:r>
        <w:rPr>
          <w:color w:val="003CA0"/>
          <w:sz w:val="12"/>
        </w:rPr>
        <w:t xml:space="preserve"> | rel. Eros Grau</w:t>
      </w:r>
    </w:p>
    <w:p>
      <w:pPr>
        <w:ind w:left="288"/>
      </w:pPr>
      <w:r>
        <w:rPr>
          <w:color w:val="1E1E1E"/>
          <w:sz w:val="18"/>
        </w:rPr>
        <w:t>Trata-se de ação direta na qual é objetivada a declaração de inconstitucionalidade de preceito de lei complementar potiguar que isenta os membros do Ministério Público, inclusive os inativos, do pagamento de custas judiciais, notariais, cartorárias e quaisquer taxas ou emolumentos. (...) Os Estados-membros também detêm competência para legislar sobre custas e emolumentos das serventias extrajudiciais nos limites de sua extensão territorial.</w:t>
      </w:r>
    </w:p>
    <w:p>
      <w:pPr>
        <w:ind w:left="288"/>
      </w:pPr>
      <w:r>
        <w:rPr>
          <w:b/>
          <w:color w:val="003CA0"/>
          <w:sz w:val="16"/>
        </w:rPr>
        <w:t>[ADI 3.260, voto do rel. min. Eros Grau, j. 29-3-2007, P, DJ de 29-6-2007.]</w:t>
      </w:r>
    </w:p>
    <w:p>
      <w:pPr>
        <w:ind w:left="288"/>
      </w:pPr>
      <w:r>
        <w:rPr>
          <w:color w:val="8C8C8C"/>
          <w:sz w:val="12"/>
        </w:rPr>
        <w:t>cf-art-150-par-5</w:t>
      </w:r>
      <w:r>
        <w:rPr>
          <w:color w:val="003CA0"/>
          <w:sz w:val="12"/>
        </w:rPr>
        <w:t xml:space="preserve"> | ADI 2.522</w:t>
      </w:r>
      <w:r>
        <w:rPr>
          <w:color w:val="003CA0"/>
          <w:sz w:val="12"/>
        </w:rPr>
        <w:t xml:space="preserve"> | rel. Eros Grau</w:t>
      </w:r>
    </w:p>
    <w:p>
      <w:pPr>
        <w:ind w:left="288"/>
      </w:pPr>
      <w:r>
        <w:rPr>
          <w:color w:val="1E1E1E"/>
          <w:sz w:val="18"/>
        </w:rPr>
        <w:t>Estatuto da Advocacia e da OAB. Contribuição anual à OAB. Isenção do pagamento obrigatório da contribuição sindical. Violação dos arts. 5º, I e XVII; 8º, I e IV; 149; 150; § 6º; e 151 da Constituição do Brasil. Não ocorrência.</w:t>
      </w:r>
    </w:p>
    <w:p>
      <w:pPr>
        <w:ind w:left="288"/>
      </w:pPr>
      <w:r>
        <w:rPr>
          <w:b/>
          <w:color w:val="003CA0"/>
          <w:sz w:val="16"/>
        </w:rPr>
        <w:t>[ADI 2.522, rel. min. Eros Grau, j. 8-6-2006, P, DJ de 18-8-2006.]</w:t>
      </w:r>
    </w:p>
    <w:p>
      <w:pPr>
        <w:ind w:left="288"/>
      </w:pPr>
      <w:r>
        <w:rPr>
          <w:color w:val="8C8C8C"/>
          <w:sz w:val="12"/>
        </w:rPr>
        <w:t>cf-art-150-par-5</w:t>
      </w:r>
      <w:r>
        <w:rPr>
          <w:color w:val="003CA0"/>
          <w:sz w:val="12"/>
        </w:rPr>
        <w:t xml:space="preserve"> | ADI 2.439</w:t>
      </w:r>
      <w:r>
        <w:rPr>
          <w:color w:val="003CA0"/>
          <w:sz w:val="12"/>
        </w:rPr>
        <w:t xml:space="preserve"> | rel. Ilmar Galvão</w:t>
      </w:r>
    </w:p>
    <w:p>
      <w:pPr>
        <w:ind w:left="288"/>
      </w:pPr>
      <w:r>
        <w:rPr>
          <w:color w:val="1E1E1E"/>
          <w:sz w:val="18"/>
        </w:rPr>
        <w:t>Alegada contrariedade aos arts. 150, § 6º; e 155, § 2º, XII, g, da CF. O primeiro ato normativo estadual, instituindo benefícios relativos ao ICMS sem a prévia e necessária celebração de convênio entre os Estados e o Distrito Federal, contraria os dispositivos constitucionais sob enfoque.</w:t>
      </w:r>
    </w:p>
    <w:p>
      <w:pPr>
        <w:ind w:left="288"/>
      </w:pPr>
      <w:r>
        <w:rPr>
          <w:b/>
          <w:color w:val="003CA0"/>
          <w:sz w:val="16"/>
        </w:rPr>
        <w:t>[ADI 2.439, rel. min. Ilmar Galvão, j. 13-11-2002, P, DJ de 21-2-2003.]</w:t>
      </w:r>
    </w:p>
    <w:p>
      <w:pPr>
        <w:ind w:left="288"/>
      </w:pPr>
      <w:r>
        <w:rPr>
          <w:color w:val="8C8C8C"/>
          <w:sz w:val="12"/>
        </w:rPr>
        <w:t>cf-art-150-par-5</w:t>
      </w:r>
      <w:r>
        <w:rPr>
          <w:color w:val="003CA0"/>
          <w:sz w:val="12"/>
        </w:rPr>
        <w:t xml:space="preserve"> | ADI 1.978</w:t>
      </w:r>
      <w:r>
        <w:rPr>
          <w:color w:val="003CA0"/>
          <w:sz w:val="12"/>
        </w:rPr>
        <w:t xml:space="preserve"> | rel. Nelson Jobim</w:t>
      </w:r>
    </w:p>
    <w:p>
      <w:pPr>
        <w:ind w:left="288"/>
      </w:pPr>
      <w:r>
        <w:rPr>
          <w:color w:val="1E1E1E"/>
          <w:sz w:val="18"/>
        </w:rPr>
        <w:t>Lei estadual com termo final determinado. Suspende por período certo no tempo a aplicação de alíquota de 12% do ICMS em relação aos veículos automotores de fabricação nacional, e a reduz para 9%. Finalidade de enfrentar crise no setor automotivo. Alegada benesse fiscal. Não caracterizada guerra fiscal. Medida dentro dos limites da autonomia constitucional do Estado.</w:t>
      </w:r>
    </w:p>
    <w:p>
      <w:pPr>
        <w:ind w:left="288"/>
      </w:pPr>
      <w:r>
        <w:rPr>
          <w:b/>
          <w:color w:val="003CA0"/>
          <w:sz w:val="16"/>
        </w:rPr>
        <w:t>[ADI 1.978, rel. min. Nelson Jobim , j. 13-5-1999, P, DJ de 3-12-2004.]</w:t>
      </w:r>
    </w:p>
    <w:p>
      <w:pPr>
        <w:ind w:left="288"/>
      </w:pPr>
      <w:r>
        <w:rPr>
          <w:color w:val="8C8C8C"/>
          <w:sz w:val="12"/>
        </w:rPr>
        <w:t>cf-art-150-par-5</w:t>
      </w:r>
      <w:r>
        <w:rPr>
          <w:color w:val="003CA0"/>
          <w:sz w:val="12"/>
        </w:rPr>
        <w:t xml:space="preserve"> | ADI 1.376</w:t>
      </w:r>
      <w:r>
        <w:rPr>
          <w:color w:val="003CA0"/>
          <w:sz w:val="12"/>
        </w:rPr>
        <w:t xml:space="preserve"> | rel. Ilmar Galvão</w:t>
      </w:r>
    </w:p>
    <w:p>
      <w:pPr>
        <w:ind w:left="288"/>
      </w:pPr>
      <w:r>
        <w:rPr>
          <w:color w:val="1E1E1E"/>
          <w:sz w:val="18"/>
        </w:rPr>
        <w:t>MP 1.179/1995, que dispõe sobre medidas de fortalecimento do sistema financeiro nacional e dá outras providências. Parcial reedição pela de n. 1.214/1995. Alegada incompatibilidade com o art. 192, caput; art. 150, § 6º (...). Ausência de plausibilidade da tese: (...) tendo em vista que o art. 2º e seus incisos e parágrafos, ainda que houvessem instituído tratamento tributário privilegiado às fusões e incorporações, o fizeram sem afronta ao art. 150, § 6º, da CF/1988, posto que por meio de lei editada para esse fim, a qual, por isso, não pode deixar de ser considerada específica, como exigido p</w:t>
      </w:r>
    </w:p>
    <w:p>
      <w:pPr>
        <w:ind w:left="288"/>
      </w:pPr>
      <w:r>
        <w:rPr>
          <w:b/>
          <w:color w:val="003CA0"/>
          <w:sz w:val="16"/>
        </w:rPr>
        <w:t>[ADI 1.376 MC, rel. min. Ilmar Galvão, j. 11-12-1995, P, DJ de 31-8-2001.]</w:t>
      </w:r>
    </w:p>
    <w:p>
      <w:pPr>
        <w:ind w:left="144"/>
      </w:pPr>
      <w:r>
        <w:rPr>
          <w:b/>
          <w:color w:val="B45A00"/>
          <w:sz w:val="16"/>
        </w:rPr>
        <w:t>REPERCUSSAO GERAL</w:t>
      </w:r>
    </w:p>
    <w:p>
      <w:pPr>
        <w:ind w:left="288"/>
      </w:pPr>
      <w:r>
        <w:rPr>
          <w:color w:val="8C8C8C"/>
          <w:sz w:val="12"/>
        </w:rPr>
        <w:t>cf-art-150-par-5</w:t>
      </w:r>
      <w:r>
        <w:rPr>
          <w:color w:val="003CA0"/>
          <w:sz w:val="12"/>
        </w:rPr>
        <w:t xml:space="preserve"> | RE 1.003.758</w:t>
      </w:r>
    </w:p>
    <w:p>
      <w:pPr>
        <w:ind w:left="288"/>
      </w:pPr>
      <w:r>
        <w:rPr>
          <w:color w:val="1E1E1E"/>
          <w:sz w:val="18"/>
        </w:rPr>
        <w:t>A inadimplência do usuário não afasta a incidência ou a exigibilidade do ICMS sobre serviços de telecomunicações.</w:t>
      </w:r>
    </w:p>
    <w:p>
      <w:pPr>
        <w:ind w:left="288"/>
      </w:pPr>
      <w:r>
        <w:rPr>
          <w:b/>
          <w:color w:val="003CA0"/>
          <w:sz w:val="16"/>
        </w:rPr>
        <w:t>[RE 1.003.758, redator do acordão min. Alexandre de Moraes, j. 14-5-2021, P, DJE de 28-5-2021, Tema 705, com mérito julgado.]</w:t>
      </w:r>
    </w:p>
    <w:p>
      <w:pPr>
        <w:ind w:left="288"/>
      </w:pPr>
      <w:r>
        <w:rPr>
          <w:color w:val="8C8C8C"/>
          <w:sz w:val="12"/>
        </w:rPr>
        <w:t>cf-art-150-par-5</w:t>
      </w:r>
      <w:r>
        <w:rPr>
          <w:color w:val="003CA0"/>
          <w:sz w:val="12"/>
        </w:rPr>
        <w:t xml:space="preserve"> | RE 562.980</w:t>
      </w:r>
      <w:r>
        <w:rPr>
          <w:color w:val="003CA0"/>
          <w:sz w:val="12"/>
        </w:rPr>
        <w:t xml:space="preserve"> | rel. Marco Aurélio</w:t>
      </w:r>
    </w:p>
    <w:p>
      <w:pPr>
        <w:ind w:left="288"/>
      </w:pPr>
      <w:r>
        <w:rPr>
          <w:color w:val="1E1E1E"/>
          <w:sz w:val="18"/>
        </w:rPr>
        <w:t>Antes do advento da Lei  9.779/1999, não havia base, quer sob o aspecto interpretativo em virtude do princípio da não cumulatividade, quer sob o aspecto legal expresso, para concluir-se pela procedência do direito ao creditamento, levando-se em conta a isenção.</w:t>
      </w:r>
    </w:p>
    <w:p>
      <w:pPr>
        <w:ind w:left="288"/>
      </w:pPr>
      <w:r>
        <w:rPr>
          <w:b/>
          <w:color w:val="003CA0"/>
          <w:sz w:val="16"/>
        </w:rPr>
        <w:t>[RE 562.980 ED, voto do rel. min. Marco Aurélio, j. 12-6-2013, P, DJE de 1º-8-2013, Tema 49, com mérito julgado.]</w:t>
        <w:br/>
        <w:t>= RE 475.551, red. do ac. min. Cármen Lúcia, j. 6-5-2009, P, DJE de 13-11-2009</w:t>
      </w:r>
    </w:p>
    <w:p>
      <w:pPr>
        <w:ind w:left="288"/>
      </w:pPr>
      <w:r>
        <w:rPr>
          <w:color w:val="8C8C8C"/>
          <w:sz w:val="12"/>
        </w:rPr>
        <w:t>cf-art-150-par-5</w:t>
      </w:r>
      <w:r>
        <w:rPr>
          <w:color w:val="003CA0"/>
          <w:sz w:val="12"/>
        </w:rPr>
        <w:t xml:space="preserve"> | RE 591.033</w:t>
      </w:r>
      <w:r>
        <w:rPr>
          <w:color w:val="003CA0"/>
          <w:sz w:val="12"/>
        </w:rPr>
        <w:t xml:space="preserve"> | rel. Ellen Gracie</w:t>
      </w:r>
    </w:p>
    <w:p>
      <w:pPr>
        <w:ind w:left="288"/>
      </w:pPr>
      <w:r>
        <w:rPr>
          <w:color w:val="1E1E1E"/>
          <w:sz w:val="18"/>
        </w:rPr>
        <w:t xml:space="preserve">A Lei 4.468/1984 do Estado de São Paulo – que autoriza a não inscrição em dívida ativa e o não ajuizamento de débitos de pequeno valor – não pode ser aplicada a Município, não servindo de fundamento para a extinção das execuções fiscais que promova, sob pena de violação à sua competência tributária. </w:t>
        <w:br/>
        <w:t>[RE 591.033, rel. min. Ellen Gracie, j. 17-11-2010, P, DJE de 25-2-2011, Tema 109, com mérito julgado.] É formalmente constitucional — na medida em que não configura matéria sujeita à reserva de iniciativa do chefe do Poder Executivo — a Lei Distrital nº 7.465/2024, que instituiu o Programa de Fin</w:t>
      </w:r>
    </w:p>
    <w:p>
      <w:pPr>
        <w:ind w:left="288"/>
      </w:pPr>
      <w:r>
        <w:rPr>
          <w:b/>
          <w:color w:val="003CA0"/>
          <w:sz w:val="16"/>
        </w:rPr>
        <w:t>[RE 1.536.640, rel. min. André Mendonça, j. 13-11-2025, P, Informativo STF 1.199.]</w:t>
      </w:r>
    </w:p>
    <w:p>
      <w:pPr>
        <w:ind w:left="144"/>
      </w:pPr>
      <w:r>
        <w:rPr>
          <w:b/>
          <w:color w:val="B45A00"/>
          <w:sz w:val="16"/>
        </w:rPr>
        <w:t>JULGADOS CORRELATOS</w:t>
      </w:r>
    </w:p>
    <w:p>
      <w:pPr>
        <w:ind w:left="288"/>
      </w:pPr>
      <w:r>
        <w:rPr>
          <w:color w:val="8C8C8C"/>
          <w:sz w:val="12"/>
        </w:rPr>
        <w:t>cf-art-150-par-5</w:t>
      </w:r>
      <w:r>
        <w:rPr>
          <w:color w:val="003CA0"/>
          <w:sz w:val="12"/>
        </w:rPr>
        <w:t xml:space="preserve"> | RE 630.705</w:t>
      </w:r>
      <w:r>
        <w:rPr>
          <w:color w:val="003CA0"/>
          <w:sz w:val="12"/>
        </w:rPr>
        <w:t xml:space="preserve"> | rel. Dias Toffoli</w:t>
      </w:r>
    </w:p>
    <w:p>
      <w:pPr>
        <w:ind w:left="288"/>
      </w:pPr>
      <w:r>
        <w:rPr>
          <w:color w:val="1E1E1E"/>
          <w:sz w:val="18"/>
        </w:rPr>
        <w:t>ICMS. Benefício fiscal. Ausência de lei específica internalizando o convênio firmado pelo Confaz [Conselho Nacional de Política Fazendária]. Jurisprudência desta Corte reconhecendo a imprescindibilidade de lei em sentido formal para dispor sobre a matéria. (...) Os convênios são autorizações para que o Estado possa implementar um benefício fiscal. Efetivar o beneplácito no ordenamento interno é mera faculdade, e não obrigação. A participação do Poder Legislativo legitima e confirma a intenção do Estado, além de manter hígido o postulado da separação de poderes concebido pelo constituinte origi</w:t>
      </w:r>
    </w:p>
    <w:p>
      <w:pPr>
        <w:ind w:left="288"/>
      </w:pPr>
      <w:r>
        <w:rPr>
          <w:b/>
          <w:color w:val="003CA0"/>
          <w:sz w:val="16"/>
        </w:rPr>
        <w:t>[RE 630.705 AgR, rel. min. Dias Toffoli, j. 11-12-2012, 1ª T, DJE de 13-2-2012.]</w:t>
      </w:r>
    </w:p>
    <w:p>
      <w:pPr>
        <w:ind w:left="288"/>
      </w:pPr>
      <w:r>
        <w:rPr>
          <w:color w:val="8C8C8C"/>
          <w:sz w:val="12"/>
        </w:rPr>
        <w:t>cf-art-150-par-5</w:t>
      </w:r>
      <w:r>
        <w:rPr>
          <w:color w:val="003CA0"/>
          <w:sz w:val="12"/>
        </w:rPr>
        <w:t xml:space="preserve"> | AI 688.410</w:t>
      </w:r>
      <w:r>
        <w:rPr>
          <w:color w:val="003CA0"/>
          <w:sz w:val="12"/>
        </w:rPr>
        <w:t xml:space="preserve"> | rel. Joaquim Barbosa</w:t>
      </w:r>
    </w:p>
    <w:p>
      <w:pPr>
        <w:ind w:left="288"/>
      </w:pPr>
      <w:r>
        <w:rPr>
          <w:color w:val="1E1E1E"/>
          <w:sz w:val="18"/>
        </w:rPr>
        <w:t>Imposto sobre Serviços de Qualquer Natureza. Cessão de mão de obra. Base de cálculo. Exclusão dos valores transferidos aos trabalhadores. Vinculação à prova da ausência de repercussão do ônus fiscal. Isenção concedida pelo Poder Judiciário. (...) Não há violação do art. 150, § 6º, da Constituição, na medida em que o Tribunal de origem não reconheceu a possibilidade de incidência ampla do tributo, para então limitá-la em usurpação da atividade legislativa. Leitura atenta do acórdão revela que o Tribunal de Justiça de Minas Gerais reconheceu que a base de cálculo do tributo não poderia ser origi</w:t>
      </w:r>
    </w:p>
    <w:p>
      <w:pPr>
        <w:ind w:left="288"/>
      </w:pPr>
      <w:r>
        <w:rPr>
          <w:b/>
          <w:color w:val="003CA0"/>
          <w:sz w:val="16"/>
        </w:rPr>
        <w:t>[AI 688.410 AgR, rel. min. Joaquim Barbosa, j. 15-2-2011, 2ª T, DJE de 30-3-2011.]</w:t>
      </w:r>
    </w:p>
    <w:p>
      <w:pPr>
        <w:ind w:left="288"/>
      </w:pPr>
      <w:r>
        <w:rPr>
          <w:color w:val="8C8C8C"/>
          <w:sz w:val="12"/>
        </w:rPr>
        <w:t>cf-art-150-par-5</w:t>
      </w:r>
      <w:r>
        <w:rPr>
          <w:color w:val="003CA0"/>
          <w:sz w:val="12"/>
        </w:rPr>
        <w:t xml:space="preserve"> | RE 414.249</w:t>
      </w:r>
      <w:r>
        <w:rPr>
          <w:color w:val="003CA0"/>
          <w:sz w:val="12"/>
        </w:rPr>
        <w:t xml:space="preserve"> | rel. Joaquim Barbosa</w:t>
      </w:r>
    </w:p>
    <w:p>
      <w:pPr>
        <w:ind w:left="288"/>
      </w:pPr>
      <w:r>
        <w:rPr>
          <w:color w:val="1E1E1E"/>
          <w:sz w:val="18"/>
        </w:rPr>
        <w:t>Cabe ao Poder Legislativo autorizar a realização de despesas e a instituição de tributos, como expressão da vontade popular. Ainda que a autorização orçamentária para arrecadação de tributos não mais tenha vigência ("princípio da anualidade"), a regra da legalidade tributária estrita não admite tributação sem representação democrática. Por outro lado, a regra da legalidade é extensível à concessão de benefícios fiscais, nos termos do art. 150, § 6º, da Constituição. Trata-se de salvaguarda à atividade legislativa, que poderia ser frustrada na hipótese de assunto de grande relevância ser tratad</w:t>
      </w:r>
    </w:p>
    <w:p>
      <w:pPr>
        <w:ind w:left="288"/>
      </w:pPr>
      <w:r>
        <w:rPr>
          <w:b/>
          <w:color w:val="003CA0"/>
          <w:sz w:val="16"/>
        </w:rPr>
        <w:t>[RE 414.249 AgR, rel. min. Joaquim Barbosa, j. 31-8-2010, 2ª T, DJE de 16-11-2010.]</w:t>
      </w:r>
    </w:p>
    <w:p>
      <w:pPr>
        <w:ind w:left="288"/>
      </w:pPr>
      <w:r>
        <w:rPr>
          <w:color w:val="8C8C8C"/>
          <w:sz w:val="12"/>
        </w:rPr>
        <w:t>cf-art-150-par-5</w:t>
      </w:r>
      <w:r>
        <w:rPr>
          <w:color w:val="003CA0"/>
          <w:sz w:val="12"/>
        </w:rPr>
        <w:t xml:space="preserve"> | RE 539.130</w:t>
      </w:r>
      <w:r>
        <w:rPr>
          <w:color w:val="003CA0"/>
          <w:sz w:val="12"/>
        </w:rPr>
        <w:t xml:space="preserve"> | rel. Ellen Gracie</w:t>
      </w:r>
    </w:p>
    <w:p>
      <w:pPr>
        <w:ind w:left="288"/>
      </w:pPr>
      <w:r>
        <w:rPr>
          <w:color w:val="1E1E1E"/>
          <w:sz w:val="18"/>
        </w:rPr>
        <w:t xml:space="preserve">Vide RE 539.130, rel. min. Ellen Gracie, j. 6-10-2009, 2ª T, DJE de 5-2-2010 ICMS. Cumulatividade. Direito ao crédito. Base de cálculo reduzida. Fenômeno equivalente à isenção parcial. (...) O art. 150, § 6º, não se aplica ao caso, na medida em que se trata de instrumento de salvaguarda do pacto federativo e da separação de poderes, destinado a impedir o exame escamoteado de relevante matéria de impacto orçamentário, em meio à discussão de assunto frívolo ou que não tem qualquer pertinência com matéria tributária ou fiscal. O art. 150, § 6º, nada diz a respeito da caracterização dos fenômenos </w:t>
      </w:r>
    </w:p>
    <w:p>
      <w:pPr>
        <w:ind w:left="288"/>
      </w:pPr>
      <w:r>
        <w:rPr>
          <w:b/>
          <w:color w:val="003CA0"/>
          <w:sz w:val="16"/>
        </w:rPr>
        <w:t>[AI 669.557 AgR, rel. min. Joaquim Barbosa, j. 6-4-2010, 2ª T, DJE de 7-5-2010.]</w:t>
      </w:r>
    </w:p>
    <w:p>
      <w:pPr>
        <w:ind w:left="288"/>
      </w:pPr>
      <w:r>
        <w:rPr>
          <w:color w:val="8C8C8C"/>
          <w:sz w:val="12"/>
        </w:rPr>
        <w:t>cf-art-150-par-5</w:t>
      </w:r>
      <w:r>
        <w:rPr>
          <w:color w:val="003CA0"/>
          <w:sz w:val="12"/>
        </w:rPr>
        <w:t xml:space="preserve"> | RE 539.130</w:t>
      </w:r>
      <w:r>
        <w:rPr>
          <w:color w:val="003CA0"/>
          <w:sz w:val="12"/>
        </w:rPr>
        <w:t xml:space="preserve"> | rel. Ellen Gracie</w:t>
      </w:r>
    </w:p>
    <w:p>
      <w:pPr>
        <w:ind w:left="288"/>
      </w:pPr>
      <w:r>
        <w:rPr>
          <w:color w:val="1E1E1E"/>
          <w:sz w:val="18"/>
        </w:rPr>
        <w:t>Convênio ICMS 91/1991. Isenção de ICMS. Regime aduaneiro especial de loja franca. Free Shops nos aeroportos. Promulgação de decreto legislativo. Atendimento ao princípio da legalidade estrita em matéria tributária. Legitimidade, na hipótese, da concessão de isenção de ICMS, cuja autorização foi prevista em convênio, uma vez presentes os elementos legais determinantes para vigência e eficácia do benefício fiscal.</w:t>
      </w:r>
    </w:p>
    <w:p>
      <w:pPr>
        <w:ind w:left="288"/>
      </w:pPr>
      <w:r>
        <w:rPr>
          <w:b/>
          <w:color w:val="003CA0"/>
          <w:sz w:val="16"/>
        </w:rPr>
        <w:t>[RE 539.130, rel. min. Ellen Gracie, j. 6-10-2009, 2ª T, DJE de 5-2-2010.]</w:t>
      </w:r>
    </w:p>
    <w:p>
      <w:pPr>
        <w:ind w:left="288"/>
      </w:pPr>
      <w:r>
        <w:rPr>
          <w:color w:val="8C8C8C"/>
          <w:sz w:val="12"/>
        </w:rPr>
        <w:t>cf-art-150-par-5</w:t>
      </w:r>
      <w:r>
        <w:rPr>
          <w:color w:val="003CA0"/>
          <w:sz w:val="12"/>
        </w:rPr>
        <w:t xml:space="preserve"> | RE 414.249</w:t>
      </w:r>
      <w:r>
        <w:rPr>
          <w:color w:val="003CA0"/>
          <w:sz w:val="12"/>
        </w:rPr>
        <w:t xml:space="preserve"> | rel. Joaquim Barbosa</w:t>
      </w:r>
    </w:p>
    <w:p>
      <w:pPr>
        <w:ind w:left="288"/>
      </w:pPr>
      <w:r>
        <w:rPr>
          <w:color w:val="1E1E1E"/>
          <w:sz w:val="18"/>
        </w:rPr>
        <w:t>Vide RE 414.249 AgR, rel. min. Joaquim Barbosa, j. 31-8-2010, 2ª T, DJE de 16-11-2010 Contribuição Social sobre o Lucro. Instituições financeiras. Alíquotas diferenciadas. Isonomia. Equiparação ou supressão. Impossibilidade jurídica do pedido. A declaração de inconstitucionalidade dos textos normativos que estabelecem distinção entre as alíquotas recolhidas, a título de contribuição social, das instituições financeiras e aquelas oriundas das empresas jurídicas em geral teria como consequência normativa ou a equiparação dos percentuais ou a sua supressão. Ambas as hipóteses devem ser afastadas,</w:t>
      </w:r>
    </w:p>
    <w:p>
      <w:pPr>
        <w:ind w:left="288"/>
      </w:pPr>
      <w:r>
        <w:rPr>
          <w:b/>
          <w:color w:val="003CA0"/>
          <w:sz w:val="16"/>
        </w:rPr>
        <w:t>[RE 584.315 AgR, rel. min. Eros Grau, j. 23-9-2008, 2ª T, DJE de 31-10-2008.]</w:t>
      </w:r>
    </w:p>
    <w:p>
      <w:pPr>
        <w:ind w:left="288"/>
      </w:pPr>
      <w:r>
        <w:rPr>
          <w:color w:val="8C8C8C"/>
          <w:sz w:val="12"/>
        </w:rPr>
        <w:t>cf-art-150-par-5</w:t>
      </w:r>
      <w:r>
        <w:rPr>
          <w:color w:val="003CA0"/>
          <w:sz w:val="12"/>
        </w:rPr>
        <w:t xml:space="preserve"> | RE 335.275</w:t>
      </w:r>
      <w:r>
        <w:rPr>
          <w:color w:val="003CA0"/>
          <w:sz w:val="12"/>
        </w:rPr>
        <w:t xml:space="preserve"> | rel. Ricardo Lewandowski</w:t>
      </w:r>
    </w:p>
    <w:p>
      <w:pPr>
        <w:ind w:left="288"/>
      </w:pPr>
      <w:r>
        <w:rPr>
          <w:color w:val="1E1E1E"/>
          <w:sz w:val="18"/>
        </w:rPr>
        <w:t>= RE 335.275 AgR-segundo, rel. min. Ricardo Lewandowski, j. 9-11-2010, 1ª T, DJE de 28-3-2011 Inocorrência de revogação pelo art. 150, § 6º, da CF, com a redação da EC 3, de 1993.</w:t>
      </w:r>
    </w:p>
    <w:p>
      <w:pPr>
        <w:ind w:left="288"/>
      </w:pPr>
      <w:r>
        <w:rPr>
          <w:b/>
          <w:color w:val="003CA0"/>
          <w:sz w:val="16"/>
        </w:rPr>
        <w:t>[RE 220.323, rel. min. Carlos Velloso, j. 26-5-1999, P, DJ de 18-5-2001.]</w:t>
      </w:r>
    </w:p>
    <w:p>
      <w:pPr>
        <w:ind w:left="288"/>
      </w:pPr>
      <w:r>
        <w:rPr>
          <w:color w:val="8C8C8C"/>
          <w:sz w:val="12"/>
        </w:rPr>
        <w:t>cf-art-150-par-5</w:t>
      </w:r>
      <w:r>
        <w:rPr>
          <w:color w:val="003CA0"/>
          <w:sz w:val="12"/>
        </w:rPr>
        <w:t xml:space="preserve"> | AI 513.739</w:t>
      </w:r>
      <w:r>
        <w:rPr>
          <w:color w:val="003CA0"/>
          <w:sz w:val="12"/>
        </w:rPr>
        <w:t xml:space="preserve"> | rel. Cármen Lúcia</w:t>
      </w:r>
    </w:p>
    <w:p>
      <w:pPr>
        <w:ind w:left="288"/>
      </w:pPr>
      <w:r>
        <w:rPr>
          <w:color w:val="1E1E1E"/>
          <w:sz w:val="18"/>
        </w:rPr>
        <w:t>= AI 513.739 AgR, rel. min. Cármen Lúcia, j. 20-10-2009, 1ª T, DJE de 20-11-2009 A concessão desse benefício isencional traduz ato discricionário que, fundado em juízo de conveniência e oportunidade do poder público, destina-se, a partir de critérios racionais, lógicos e impessoais estabelecidos de modo legítimo em norma legal, a implementar objetivos estatais nitidamente qualificados pela nota da extrafiscalidade. A exigência constitucional de lei formal para a veiculação de isenções em matéria tributária atua como insuperável obstáculo à postulação da parte recorrente, eis que a extensão dos</w:t>
      </w:r>
    </w:p>
    <w:p>
      <w:pPr>
        <w:ind w:left="288"/>
      </w:pPr>
      <w:r>
        <w:rPr>
          <w:b/>
          <w:color w:val="003CA0"/>
          <w:sz w:val="16"/>
        </w:rPr>
        <w:t>[AI 142.348 AgR, rel. min. Celso de Mello, j. 2-8-1994, 1ª T, DJ de 24-3-1995.]</w:t>
      </w:r>
    </w:p>
    <w:p>
      <w:pPr>
        <w:ind w:left="288"/>
      </w:pPr>
      <w:r>
        <w:rPr>
          <w:color w:val="8C8C8C"/>
          <w:sz w:val="12"/>
        </w:rPr>
        <w:t>cf-art-150-par-5</w:t>
      </w:r>
      <w:r>
        <w:rPr>
          <w:color w:val="003CA0"/>
          <w:sz w:val="12"/>
        </w:rPr>
        <w:t xml:space="preserve"> | AI 744.887</w:t>
      </w:r>
      <w:r>
        <w:rPr>
          <w:color w:val="003CA0"/>
          <w:sz w:val="12"/>
        </w:rPr>
        <w:t xml:space="preserve"> | rel. Ayres Britto</w:t>
      </w:r>
    </w:p>
    <w:p>
      <w:pPr>
        <w:ind w:left="288"/>
      </w:pPr>
      <w:r>
        <w:rPr>
          <w:color w:val="1E1E1E"/>
          <w:sz w:val="18"/>
        </w:rPr>
        <w:t>= AI 744.887 AgR, rel. min. Ayres Britto, j. 13-3-2012, 2ª T, DJE de 12-4-2012 § 7º A lei poderá atribuir a sujeito passivo de obrigação tributária a condição de responsável pelo pagamento de imposto ou contribuição, cujo fato gerador deva ocorrer posteriormente, assegurada a imediata e preferencial restituição da quantia paga, caso não se realize o fato gerador presumido. (Incluído pela EC 3/1993)</w:t>
      </w:r>
    </w:p>
    <w:p>
      <w:pPr>
        <w:ind w:left="144"/>
      </w:pPr>
      <w:r>
        <w:rPr>
          <w:b/>
          <w:color w:val="B45A00"/>
          <w:sz w:val="16"/>
        </w:rPr>
        <w:t>CONTROLE CONCENTRADO</w:t>
      </w:r>
    </w:p>
    <w:p>
      <w:pPr>
        <w:ind w:left="288"/>
      </w:pPr>
      <w:r>
        <w:rPr>
          <w:color w:val="8C8C8C"/>
          <w:sz w:val="12"/>
        </w:rPr>
        <w:t>cf-art-150-par-5</w:t>
      </w:r>
      <w:r>
        <w:rPr>
          <w:color w:val="003CA0"/>
          <w:sz w:val="12"/>
        </w:rPr>
        <w:t xml:space="preserve"> | ADI 5.702</w:t>
      </w:r>
      <w:r>
        <w:rPr>
          <w:color w:val="003CA0"/>
          <w:sz w:val="12"/>
        </w:rPr>
        <w:t xml:space="preserve"> | rel. André Mendonça</w:t>
      </w:r>
    </w:p>
    <w:p>
      <w:pPr>
        <w:ind w:left="288"/>
      </w:pPr>
      <w:r>
        <w:rPr>
          <w:color w:val="1E1E1E"/>
          <w:sz w:val="18"/>
        </w:rPr>
        <w:t>À luz da vigência da Lei Complementar nº 87, de 1996 (Lei Kandir), a imputação de responsabilidade tributária, na modalidade de substituição tributária progressiva, pelo Estado competente para a instituição do ICMS não demanda lei complementar, ex vi art. 150, § 7º, da Constituição da República.</w:t>
      </w:r>
    </w:p>
    <w:p>
      <w:pPr>
        <w:ind w:left="288"/>
      </w:pPr>
      <w:r>
        <w:rPr>
          <w:b/>
          <w:color w:val="003CA0"/>
          <w:sz w:val="16"/>
        </w:rPr>
        <w:t>[ADI 5.702, rel. min. André Mendonça, j. 24-10-2022, P, DJE de 7-11-2022.]</w:t>
      </w:r>
    </w:p>
    <w:p>
      <w:pPr>
        <w:ind w:left="288"/>
      </w:pPr>
      <w:r>
        <w:rPr>
          <w:color w:val="8C8C8C"/>
          <w:sz w:val="12"/>
        </w:rPr>
        <w:t>cf-art-150-par-5</w:t>
      </w:r>
      <w:r>
        <w:rPr>
          <w:color w:val="003CA0"/>
          <w:sz w:val="12"/>
        </w:rPr>
        <w:t xml:space="preserve"> | ADI 2.044</w:t>
      </w:r>
      <w:r>
        <w:rPr>
          <w:color w:val="003CA0"/>
          <w:sz w:val="12"/>
        </w:rPr>
        <w:t xml:space="preserve"> | rel. Cármen Lúcia</w:t>
      </w:r>
    </w:p>
    <w:p>
      <w:pPr>
        <w:ind w:left="288"/>
      </w:pPr>
      <w:r>
        <w:rPr>
          <w:color w:val="1E1E1E"/>
          <w:sz w:val="18"/>
        </w:rPr>
        <w:t>Art. 1º do decreto 39.647/1999, pelo qual alterado o art. 8º do regulamento do ICMS no Rio Grande do Sul. (...) Nos termos do § 7º do art. 150 da Constituição da República ‘a lei poderá atribuir a sujeito passivo de obrigação tributária a condição de responsável pelo pagamento de imposto ou contribuição, cujo fato gerador deva ocorrer posteriormente, assegurada a imediata e preferencial restituição da quantia paga, caso não se realize o fato gerador presumido’. Desnecessidade de lei complementar. Este Supremo Tribunal já decidiu sobre a legalidade da cobrança antecipada do Imposto sobre Circul</w:t>
      </w:r>
    </w:p>
    <w:p>
      <w:pPr>
        <w:ind w:left="288"/>
      </w:pPr>
      <w:r>
        <w:rPr>
          <w:b/>
          <w:color w:val="003CA0"/>
          <w:sz w:val="16"/>
        </w:rPr>
        <w:t>[ADI 2.044, rel. min. Cármen Lúcia, j. 20-11-2019, P, DJE de 9-12-2019.]</w:t>
      </w:r>
    </w:p>
    <w:p>
      <w:pPr>
        <w:ind w:left="288"/>
      </w:pPr>
      <w:r>
        <w:rPr>
          <w:color w:val="8C8C8C"/>
          <w:sz w:val="12"/>
        </w:rPr>
        <w:t>cf-art-150-par-5</w:t>
      </w:r>
      <w:r>
        <w:rPr>
          <w:color w:val="003CA0"/>
          <w:sz w:val="12"/>
        </w:rPr>
        <w:t xml:space="preserve"> | ADI 1.851</w:t>
      </w:r>
      <w:r>
        <w:rPr>
          <w:color w:val="003CA0"/>
          <w:sz w:val="12"/>
        </w:rPr>
        <w:t xml:space="preserve"> | rel. Ilmar Galvão</w:t>
      </w:r>
    </w:p>
    <w:p>
      <w:pPr>
        <w:ind w:left="288"/>
      </w:pPr>
      <w:r>
        <w:rPr>
          <w:color w:val="1E1E1E"/>
          <w:sz w:val="18"/>
        </w:rPr>
        <w:t>A EC 3/1993, ao introduzir no art. 150 da CF/1988 o § 7º, aperfeiçoou o instituto, já previsto em nosso sistema jurídico-tributário, ao delinear a figura do fato gerador presumido e ao estabelecer a garantia de reembolso preferencial e imediato do tributo pago quando não verificado o mesmo fato a final. A circunstância de ser presumido o fato gerador não constitui óbice à exigência antecipada do tributo, dado tratar-se de sistema instituído pela própria Constituição, encontrando-se regulamentado por lei complementar que, para definir-lhe a base de cálculo, se valeu de critério de estimativa qu</w:t>
      </w:r>
    </w:p>
    <w:p>
      <w:pPr>
        <w:ind w:left="288"/>
      </w:pPr>
      <w:r>
        <w:rPr>
          <w:b/>
          <w:color w:val="003CA0"/>
          <w:sz w:val="16"/>
        </w:rPr>
        <w:t>[ADI 1.851, rel. min. Ilmar Galvão, j. 8-5-2002, P, DJ de 22-11-2002.]</w:t>
      </w:r>
    </w:p>
    <w:p>
      <w:pPr>
        <w:ind w:left="288"/>
      </w:pPr>
      <w:r>
        <w:rPr>
          <w:color w:val="8C8C8C"/>
          <w:sz w:val="12"/>
        </w:rPr>
        <w:t>cf-art-150-par-5</w:t>
      </w:r>
      <w:r>
        <w:rPr>
          <w:color w:val="003CA0"/>
          <w:sz w:val="12"/>
        </w:rPr>
        <w:t xml:space="preserve"> | RCL 5.639</w:t>
      </w:r>
      <w:r>
        <w:rPr>
          <w:color w:val="003CA0"/>
          <w:sz w:val="12"/>
        </w:rPr>
        <w:t xml:space="preserve"> | rel. Dias Toffoli</w:t>
      </w:r>
    </w:p>
    <w:p>
      <w:pPr>
        <w:ind w:left="288"/>
      </w:pPr>
      <w:r>
        <w:rPr>
          <w:color w:val="1E1E1E"/>
          <w:sz w:val="18"/>
        </w:rPr>
        <w:t>= Rcl 5.639, rel. min. Dias Toffoli, j. 30-9-2014, 1ª T, DJE de 14-11-2014 = RE 453.125 AgR-segundo, rel. min. Joaquim Barbosa, j. 4-10-2011, 2ª T, DJE de 21-10-2011 Vide RE 593.849, rel. min. Edson Fachin, j. 19-10-2016, P, DJE de 5-4-2017, Tema 201 Lei 3.542/2001 do Estado do Rio de Janeiro, que obrigou farmácias e drogarias a conceder descontos a idosos na compra de medicamentos. (...) Ausência de plausibilidade jurídica na alegação de ofensa ao § 7º do art. 150 da CF, tendo em vista que esse dispositivo estabelece mecanismo de restituição do tributo eventualmente pago a maior, em decorrênc</w:t>
      </w:r>
    </w:p>
    <w:p>
      <w:pPr>
        <w:ind w:left="288"/>
      </w:pPr>
      <w:r>
        <w:rPr>
          <w:b/>
          <w:color w:val="003CA0"/>
          <w:sz w:val="16"/>
        </w:rPr>
        <w:t>[ADI 2.435 MC, rel. min. Ellen Gracie, j. 13-3-2002, P, DJ de 31-10-2003.]</w:t>
      </w:r>
    </w:p>
    <w:p>
      <w:pPr>
        <w:ind w:left="144"/>
      </w:pPr>
      <w:r>
        <w:rPr>
          <w:b/>
          <w:color w:val="B45A00"/>
          <w:sz w:val="16"/>
        </w:rPr>
        <w:t>REPERCUSSAO GERAL</w:t>
      </w:r>
    </w:p>
    <w:p>
      <w:pPr>
        <w:ind w:left="288"/>
      </w:pPr>
      <w:r>
        <w:rPr>
          <w:color w:val="8C8C8C"/>
          <w:sz w:val="12"/>
        </w:rPr>
        <w:t>cf-art-150-par-5</w:t>
      </w:r>
      <w:r>
        <w:rPr>
          <w:color w:val="003CA0"/>
          <w:sz w:val="12"/>
        </w:rPr>
        <w:t xml:space="preserve"> | RE 605.506</w:t>
      </w:r>
      <w:r>
        <w:rPr>
          <w:color w:val="003CA0"/>
          <w:sz w:val="12"/>
        </w:rPr>
        <w:t xml:space="preserve"> | rel. Rosa Weber</w:t>
      </w:r>
    </w:p>
    <w:p>
      <w:pPr>
        <w:ind w:left="288"/>
      </w:pPr>
      <w:r>
        <w:rPr>
          <w:color w:val="1E1E1E"/>
          <w:sz w:val="18"/>
        </w:rPr>
        <w:t>É constitucional a inclusão do valor do IPI incidente nas operações de venda feitas por fabricantes ou importadores de veículos na base de cálculo presumida fixada para propiciar, em regime de substituição tributária, a cobrança e o recolhimento antecipados, na forma do art. 43 da Medida Provisória nº 2.158-35/2001, de contribuições para o PIS e da Cofins devidas pelos comerciantes varejistas.</w:t>
        <w:br/>
        <w:t xml:space="preserve">[RE 605.506, rel. min. Rosa Weber, j. 11-11-2021, P, DJE de 18-11-2021, Tema 303, com mérito julgado.] A antecipação, sem substituição tributária, do pagamento do ICMS para momento anterior à ocorrência </w:t>
      </w:r>
    </w:p>
    <w:p>
      <w:pPr>
        <w:ind w:left="288"/>
      </w:pPr>
      <w:r>
        <w:rPr>
          <w:b/>
          <w:color w:val="003CA0"/>
          <w:sz w:val="16"/>
        </w:rPr>
        <w:t>[RE 603.191, rel. min. Ellen Gracie, j. 1º-8-2011, P, DJE de 5-9-2011, Tema 302, com mérito julgado.]</w:t>
      </w:r>
    </w:p>
    <w:p>
      <w:pPr>
        <w:ind w:left="144"/>
      </w:pPr>
      <w:r>
        <w:rPr>
          <w:b/>
          <w:color w:val="B45A00"/>
          <w:sz w:val="16"/>
        </w:rPr>
        <w:t>JULGADOS CORRELATOS</w:t>
      </w:r>
    </w:p>
    <w:p>
      <w:pPr>
        <w:ind w:left="288"/>
      </w:pPr>
      <w:r>
        <w:rPr>
          <w:color w:val="8C8C8C"/>
          <w:sz w:val="12"/>
        </w:rPr>
        <w:t>cf-art-150-par-5</w:t>
      </w:r>
      <w:r>
        <w:rPr>
          <w:color w:val="003CA0"/>
          <w:sz w:val="12"/>
        </w:rPr>
        <w:t xml:space="preserve"> | RE 216.835</w:t>
      </w:r>
      <w:r>
        <w:rPr>
          <w:color w:val="003CA0"/>
          <w:sz w:val="12"/>
        </w:rPr>
        <w:t xml:space="preserve"> | rel. Joaquim Barbosa</w:t>
      </w:r>
    </w:p>
    <w:p>
      <w:pPr>
        <w:ind w:left="288"/>
      </w:pPr>
      <w:r>
        <w:rPr>
          <w:color w:val="1E1E1E"/>
          <w:sz w:val="18"/>
        </w:rPr>
        <w:t>Esta Corte firmou precedentes no sentido da constitucionalidade do regime de substituição tributária. A circunstância de as operações envolverem produtos farmacêuticos não afasta a constatação.</w:t>
      </w:r>
    </w:p>
    <w:p>
      <w:pPr>
        <w:ind w:left="288"/>
      </w:pPr>
      <w:r>
        <w:rPr>
          <w:b/>
          <w:color w:val="003CA0"/>
          <w:sz w:val="16"/>
        </w:rPr>
        <w:t>[RE 216.835 AgR, rel. min. Joaquim Barbosa, j. 29-9-2009, 2ª T, DJE de 29-10-2009.]</w:t>
      </w:r>
    </w:p>
    <w:p>
      <w:pPr>
        <w:ind w:left="288"/>
      </w:pPr>
      <w:r>
        <w:rPr>
          <w:color w:val="8C8C8C"/>
          <w:sz w:val="12"/>
        </w:rPr>
        <w:t>cf-art-150-par-5</w:t>
      </w:r>
      <w:r>
        <w:rPr>
          <w:color w:val="003CA0"/>
          <w:sz w:val="12"/>
        </w:rPr>
        <w:t xml:space="preserve"> | RE 706.224</w:t>
      </w:r>
      <w:r>
        <w:rPr>
          <w:color w:val="003CA0"/>
          <w:sz w:val="12"/>
        </w:rPr>
        <w:t xml:space="preserve"> | rel. Luiz Fux</w:t>
      </w:r>
    </w:p>
    <w:p>
      <w:pPr>
        <w:ind w:left="288"/>
      </w:pPr>
      <w:r>
        <w:rPr>
          <w:color w:val="1E1E1E"/>
          <w:sz w:val="18"/>
        </w:rPr>
        <w:t xml:space="preserve">= RE 706.224 AgR, rel. min. Luiz Fux, j. 11-12-2012, 1ª T, DJE de 6-2-2012 Tributário. ICMS. Estado de São Paulo. Comércio de veículos novos. Art. 155, § 2º, XII, b, da CF/1988. Convênios ICM 66/1988 (art. 25) e ICMS 107/1989. Art. 8º, XIII e § 4º, da Lei paulista 6.374/1989. O regime de substituição tributária, referente ao ICM, já se achava previsto no DL 406/1968 (art. 128 do CTN e art. 6º, §§ 3º e 4º, do mencionado decreto-lei), normas recebidas pela Carta de 1988, não se podendo falar, nesse ponto, em omissão legislativa capaz de autorizar o exercício, pelos Estados, por meio do Convênio </w:t>
      </w:r>
    </w:p>
    <w:p>
      <w:pPr>
        <w:ind w:left="288"/>
      </w:pPr>
      <w:r>
        <w:rPr>
          <w:b/>
          <w:color w:val="003CA0"/>
          <w:sz w:val="16"/>
        </w:rPr>
        <w:t>[RE 213.396, rel. min. Ilmar Galvão, j. 2-8-1999, P, DJ de 1º-12-2000.]</w:t>
      </w:r>
    </w:p>
    <w:p>
      <w:pPr>
        <w:ind w:left="288"/>
      </w:pPr>
      <w:r>
        <w:rPr>
          <w:color w:val="8C8C8C"/>
          <w:sz w:val="12"/>
        </w:rPr>
        <w:t>cf-art-150-par-5</w:t>
      </w:r>
      <w:r>
        <w:rPr>
          <w:color w:val="003CA0"/>
          <w:sz w:val="12"/>
        </w:rPr>
        <w:t xml:space="preserve"> | AI 765.040</w:t>
      </w:r>
      <w:r>
        <w:rPr>
          <w:color w:val="003CA0"/>
          <w:sz w:val="12"/>
        </w:rPr>
        <w:t xml:space="preserve"> | rel. Eros Grau</w:t>
      </w:r>
    </w:p>
    <w:p>
      <w:pPr>
        <w:ind w:left="288"/>
      </w:pPr>
      <w:r>
        <w:rPr>
          <w:color w:val="1E1E1E"/>
          <w:sz w:val="18"/>
        </w:rPr>
        <w:t>= AI 765.040 AgR, rel. min. Eros Grau, j. 27-10-2009, 2ª T, DJE de 20-11-2009</w:t>
      </w:r>
    </w:p>
    <w:p>
      <w:pPr>
        <w:ind w:left="720"/>
      </w:pPr>
      <w:r>
        <w:rPr>
          <w:color w:val="003366"/>
          <w:sz w:val="18"/>
        </w:rPr>
        <w:t>I – exigir ou aumentar tributo sem lei que o estabeleça;</w:t>
      </w:r>
    </w:p>
    <w:p>
      <w:pPr>
        <w:ind w:left="720"/>
      </w:pPr>
      <w:r>
        <w:rPr>
          <w:color w:val="003366"/>
          <w:sz w:val="18"/>
        </w:rPr>
        <w:t>II – instituir tratamento desigual entre contribuintes que se encontrem em situa</w:t>
      </w:r>
    </w:p>
    <w:p>
      <w:pPr>
        <w:ind w:left="720"/>
      </w:pPr>
      <w:r>
        <w:rPr>
          <w:color w:val="003366"/>
          <w:sz w:val="18"/>
        </w:rPr>
        <w:t>III – cobrar tributos:</w:t>
      </w:r>
    </w:p>
    <w:p>
      <w:pPr>
        <w:ind w:left="1008"/>
      </w:pPr>
      <w:r>
        <w:rPr>
          <w:color w:val="003366"/>
          <w:sz w:val="18"/>
        </w:rPr>
        <w:t>a) em relação a fatos geradores ocorridos antes do início da vigência da lei que</w:t>
      </w:r>
    </w:p>
    <w:p>
      <w:pPr>
        <w:ind w:left="1008"/>
      </w:pPr>
      <w:r>
        <w:rPr>
          <w:color w:val="003366"/>
          <w:sz w:val="18"/>
        </w:rPr>
        <w:t>b) no mesmo exercício financeiro em que haja sido publicada a lei que os institu</w:t>
      </w:r>
    </w:p>
    <w:p>
      <w:pPr>
        <w:ind w:left="1008"/>
      </w:pPr>
      <w:r>
        <w:rPr>
          <w:color w:val="003366"/>
          <w:sz w:val="18"/>
        </w:rPr>
        <w:t>c) antes de decorridos noventa dias da data em que haja sido publicada a lei que</w:t>
      </w:r>
    </w:p>
    <w:p>
      <w:pPr>
        <w:ind w:left="720"/>
      </w:pPr>
      <w:r>
        <w:rPr>
          <w:color w:val="003366"/>
          <w:sz w:val="18"/>
        </w:rPr>
        <w:t>IV – utilizar tributo com efeito de confisco;</w:t>
      </w:r>
    </w:p>
    <w:p>
      <w:pPr>
        <w:ind w:left="720"/>
      </w:pPr>
      <w:r>
        <w:rPr>
          <w:color w:val="003366"/>
          <w:sz w:val="18"/>
        </w:rPr>
        <w:t>V – estabelecer limitações ao tráfego de pessoas ou bens, por meio de tributos i</w:t>
      </w:r>
    </w:p>
    <w:p>
      <w:pPr>
        <w:ind w:left="720"/>
      </w:pPr>
      <w:r>
        <w:rPr>
          <w:color w:val="003366"/>
          <w:sz w:val="18"/>
        </w:rPr>
        <w:t>VI – instituir impostos sobre: (Vide Emenda Constitucional nº 3, de 1993)</w:t>
      </w:r>
    </w:p>
    <w:p>
      <w:pPr>
        <w:ind w:left="1008"/>
      </w:pPr>
      <w:r>
        <w:rPr>
          <w:color w:val="003366"/>
          <w:sz w:val="18"/>
        </w:rPr>
        <w:t>a) patrimônio, renda ou serviços, uns dos outros;</w:t>
      </w:r>
    </w:p>
    <w:p>
      <w:pPr>
        <w:ind w:left="1008"/>
      </w:pPr>
      <w:r>
        <w:rPr>
          <w:color w:val="003366"/>
          <w:sz w:val="18"/>
        </w:rPr>
        <w:t>b) entidades religiosas e templos de qualquer culto, inclusive suas organizações</w:t>
      </w:r>
    </w:p>
    <w:p>
      <w:pPr>
        <w:ind w:left="1008"/>
      </w:pPr>
      <w:r>
        <w:rPr>
          <w:color w:val="003366"/>
          <w:sz w:val="18"/>
        </w:rPr>
        <w:t>c) patrimônio, renda ou serviços dos partidos políticos, inclusive suas fundaçõe</w:t>
      </w:r>
    </w:p>
    <w:p>
      <w:pPr>
        <w:ind w:left="1008"/>
      </w:pPr>
      <w:r>
        <w:rPr>
          <w:color w:val="003366"/>
          <w:sz w:val="18"/>
        </w:rPr>
        <w:t>d) livros, jornais, periódicos e o papel destinado a sua impressão.</w:t>
      </w:r>
    </w:p>
    <w:p>
      <w:pPr>
        <w:ind w:left="1008"/>
      </w:pPr>
      <w:r>
        <w:rPr>
          <w:color w:val="003366"/>
          <w:sz w:val="18"/>
        </w:rPr>
        <w:t>e) fonogramas e videofonogramas musicais produzidos no Brasil contendo obras mus</w:t>
      </w:r>
    </w:p>
    <w:p>
      <w:pPr>
        <w:ind w:left="432"/>
      </w:pPr>
      <w:r>
        <w:rPr>
          <w:color w:val="003366"/>
          <w:sz w:val="18"/>
        </w:rPr>
        <w:t>§ 1 A vedação do inciso III, b, não se aplica aos tributos previstos nos arts. 1</w:t>
      </w:r>
    </w:p>
    <w:p>
      <w:pPr>
        <w:ind w:left="432"/>
      </w:pPr>
      <w:r>
        <w:rPr>
          <w:color w:val="003366"/>
          <w:sz w:val="18"/>
        </w:rPr>
        <w:t>§ 2 A vedação do inciso VI, &amp;quot;a&amp;quot;, é extensiva às autarquias e às fundaç</w:t>
      </w:r>
    </w:p>
    <w:p>
      <w:pPr>
        <w:ind w:left="432"/>
      </w:pPr>
      <w:r>
        <w:rPr>
          <w:color w:val="003366"/>
          <w:sz w:val="18"/>
        </w:rPr>
        <w:t>§ 3 As vedações do inciso VI, &amp;quot;a&amp;quot;, e do parágrafo anterior não se apli</w:t>
      </w:r>
    </w:p>
    <w:p>
      <w:pPr>
        <w:ind w:left="432"/>
      </w:pPr>
      <w:r>
        <w:rPr>
          <w:color w:val="003366"/>
          <w:sz w:val="18"/>
        </w:rPr>
        <w:t>§ 4 As vedações expressas no inciso VI, alíneas &amp;quot;b&amp;quot; e &amp;quot;c&amp;quot;, c</w:t>
      </w:r>
    </w:p>
    <w:p>
      <w:pPr>
        <w:ind w:left="432"/>
      </w:pPr>
      <w:r>
        <w:rPr>
          <w:color w:val="003366"/>
          <w:sz w:val="18"/>
        </w:rPr>
        <w:t>§ 5 A lei determinará medidas para que os consumidores sejam esclarecidos acerca</w:t>
      </w:r>
    </w:p>
    <w:p>
      <w:pPr>
        <w:ind w:left="432"/>
      </w:pPr>
      <w:r>
        <w:rPr>
          <w:color w:val="003366"/>
          <w:sz w:val="18"/>
        </w:rPr>
        <w:t>§ 6 Qualquer subsídio ou isenção, redução de base de cálculo, concessão de crédi</w:t>
      </w:r>
    </w:p>
    <w:p>
      <w:pPr>
        <w:ind w:left="432"/>
      </w:pPr>
      <w:r>
        <w:rPr>
          <w:color w:val="003366"/>
          <w:sz w:val="18"/>
        </w:rPr>
        <w:t>§ 7 A lei poderá atribuir a sujeito passivo de obrigação tributária a condição d</w:t>
      </w:r>
    </w:p>
    <w:p>
      <w:r>
        <w:rPr>
          <w:b/>
          <w:color w:val="003366"/>
          <w:sz w:val="20"/>
        </w:rPr>
        <w:t>Art. 151 É vedado à União:</w:t>
      </w:r>
      <w:r>
        <w:rPr>
          <w:color w:val="8C8C8C"/>
          <w:sz w:val="14"/>
        </w:rPr>
        <w:t xml:space="preserve">  [15 decisoes]</w:t>
      </w:r>
    </w:p>
    <w:p>
      <w:pPr>
        <w:ind w:left="144"/>
      </w:pPr>
      <w:r>
        <w:rPr>
          <w:b/>
          <w:color w:val="B45A00"/>
          <w:sz w:val="16"/>
        </w:rPr>
        <w:t>CONTROLE CONCENTRADO</w:t>
      </w:r>
    </w:p>
    <w:p>
      <w:pPr>
        <w:ind w:left="288"/>
      </w:pPr>
      <w:r>
        <w:rPr>
          <w:color w:val="8C8C8C"/>
          <w:sz w:val="12"/>
        </w:rPr>
        <w:t>cf-art-151</w:t>
      </w:r>
      <w:r>
        <w:rPr>
          <w:color w:val="003CA0"/>
          <w:sz w:val="12"/>
        </w:rPr>
        <w:t xml:space="preserve"> | ADI 1.600</w:t>
      </w:r>
      <w:r>
        <w:rPr>
          <w:color w:val="003CA0"/>
          <w:sz w:val="12"/>
        </w:rPr>
        <w:t xml:space="preserve"> | rel. Sydney Sanches</w:t>
      </w:r>
    </w:p>
    <w:p>
      <w:pPr>
        <w:ind w:left="288"/>
      </w:pPr>
      <w:r>
        <w:rPr>
          <w:color w:val="1E1E1E"/>
          <w:sz w:val="18"/>
        </w:rPr>
        <w:t>Âmbito de aplicação do art. 151, CF, é o das relações das entidades federadas entre si. Não tem por objeto a União quando esta se apresenta na ordem externa. Não incidência sobre a prestação de serviços de transporte aéreo de passageiros – intermunicipal, interestadual e internacional.</w:t>
      </w:r>
    </w:p>
    <w:p>
      <w:pPr>
        <w:ind w:left="288"/>
      </w:pPr>
      <w:r>
        <w:rPr>
          <w:b/>
          <w:color w:val="003CA0"/>
          <w:sz w:val="16"/>
        </w:rPr>
        <w:t>[ADI 1.600, rel. min. Sydney Sanches, j. 26-11-2001, P, DJ de 20-6-2003.]</w:t>
      </w:r>
    </w:p>
    <w:p>
      <w:pPr>
        <w:ind w:left="288"/>
      </w:pPr>
      <w:r>
        <w:rPr>
          <w:color w:val="8C8C8C"/>
          <w:sz w:val="12"/>
        </w:rPr>
        <w:t>cf-art-151</w:t>
      </w:r>
      <w:r>
        <w:rPr>
          <w:color w:val="003CA0"/>
          <w:sz w:val="12"/>
        </w:rPr>
        <w:t xml:space="preserve"> | ADI 5.127</w:t>
      </w:r>
      <w:r>
        <w:rPr>
          <w:color w:val="003CA0"/>
          <w:sz w:val="12"/>
        </w:rPr>
        <w:t xml:space="preserve"> | rel. Nunes Marques</w:t>
      </w:r>
    </w:p>
    <w:p>
      <w:pPr>
        <w:ind w:left="288"/>
      </w:pPr>
      <w:r>
        <w:rPr>
          <w:color w:val="1E1E1E"/>
          <w:sz w:val="18"/>
        </w:rPr>
        <w:t>I - instituir tributo que não seja uniforme em todo o território nacional ou que implique distinção ou preferência em relação a Estado, ao Distrito Federal ou a Município, em detrimento de outro, admitida a concessão de incentivos fiscais destinados a promover o equilíbrio do desenvolvimento sócioeconômico entre as diferentes regiões do País; No julgamento da ADI 5.127, o Supremo firmou o entendimento pela indispensável pertinência temática entre o objeto da emenda parlamentar e o texto originário da medida provisória. A ampliação do escopo da medida provisória por meio de projeto de lei de co</w:t>
      </w:r>
    </w:p>
    <w:p>
      <w:pPr>
        <w:ind w:left="288"/>
      </w:pPr>
      <w:r>
        <w:rPr>
          <w:b/>
          <w:color w:val="003CA0"/>
          <w:sz w:val="16"/>
        </w:rPr>
        <w:t>[ADI 7.174, rel. min. Nunes Marques, j. 29.11.2024, P, DJE de 18.12.2024.]</w:t>
      </w:r>
    </w:p>
    <w:p>
      <w:pPr>
        <w:ind w:left="144"/>
      </w:pPr>
      <w:r>
        <w:rPr>
          <w:b/>
          <w:color w:val="B45A00"/>
          <w:sz w:val="16"/>
        </w:rPr>
        <w:t>REPERCUSSAO GERAL</w:t>
      </w:r>
    </w:p>
    <w:p>
      <w:pPr>
        <w:ind w:left="288"/>
      </w:pPr>
      <w:r>
        <w:rPr>
          <w:color w:val="8C8C8C"/>
          <w:sz w:val="12"/>
        </w:rPr>
        <w:t>cf-art-151</w:t>
      </w:r>
      <w:r>
        <w:rPr>
          <w:color w:val="003CA0"/>
          <w:sz w:val="12"/>
        </w:rPr>
        <w:t xml:space="preserve"> | RE 592.145</w:t>
      </w:r>
    </w:p>
    <w:p>
      <w:pPr>
        <w:ind w:left="288"/>
      </w:pPr>
      <w:r>
        <w:rPr>
          <w:color w:val="1E1E1E"/>
          <w:sz w:val="18"/>
        </w:rPr>
        <w:t>(...) surge constitucional, sob o ângulo do caráter seletivo, em função da essencialidade do produto e do tratamento isonômico, o art. 2º da Lei 8.393/1991, a revelar alíquota máxima de IPI de 18%, assegurada a isenção, quanto aos contribuintes situados na área de atuação da Superintendência de Desenvolvimento do Nordeste (SUDENE) e da Superintendência de Desenvolvimento da Amazônia (SUDAM), e autorização para redução de até 50% da alíquota, presentes contribuintes situados nos Estados do Espírito Santo e do Rio de Janeiro.</w:t>
        <w:br/>
        <w:t>[RE 592.145, red. do ac. min. Marco Aurélio, j. 5-4-2017, P, DJE de 1º</w:t>
      </w:r>
    </w:p>
    <w:p>
      <w:pPr>
        <w:ind w:left="144"/>
      </w:pPr>
      <w:r>
        <w:rPr>
          <w:b/>
          <w:color w:val="B45A00"/>
          <w:sz w:val="16"/>
        </w:rPr>
        <w:t>JULGADOS CORRELATOS</w:t>
      </w:r>
    </w:p>
    <w:p>
      <w:pPr>
        <w:ind w:left="288"/>
      </w:pPr>
      <w:r>
        <w:rPr>
          <w:color w:val="8C8C8C"/>
          <w:sz w:val="12"/>
        </w:rPr>
        <w:t>cf-art-151</w:t>
      </w:r>
      <w:r>
        <w:rPr>
          <w:color w:val="003CA0"/>
          <w:sz w:val="12"/>
        </w:rPr>
        <w:t xml:space="preserve"> | AI 630.997</w:t>
      </w:r>
      <w:r>
        <w:rPr>
          <w:color w:val="003CA0"/>
          <w:sz w:val="12"/>
        </w:rPr>
        <w:t xml:space="preserve"> | rel. Eros Grau</w:t>
      </w:r>
    </w:p>
    <w:p>
      <w:pPr>
        <w:ind w:left="288"/>
      </w:pPr>
      <w:r>
        <w:rPr>
          <w:color w:val="1E1E1E"/>
          <w:sz w:val="18"/>
        </w:rPr>
        <w:t>O Decreto 420/1992 estabeleceu alíquotas diferenciadas – incentivo fiscal – visando dar concreção ao preceito veiculado pelo art. 3º da Constituição, ao objetivo da redução das desigualdades regionais e de desenvolvimento nacional. Autoriza-o o art. 151, I, da Constituição. (...) A concessão do benefício da isenção fiscal é ato discricionário, fundado em juízo de conveniência e oportunidade do poder público, cujo controle é vedado ao Judiciário.</w:t>
      </w:r>
    </w:p>
    <w:p>
      <w:pPr>
        <w:ind w:left="288"/>
      </w:pPr>
      <w:r>
        <w:rPr>
          <w:b/>
          <w:color w:val="003CA0"/>
          <w:sz w:val="16"/>
        </w:rPr>
        <w:t>[AI 630.997 AgR, rel. min. Eros Grau, j. 24-4-2007, 2ª T, DJ de 18-5-2007.]</w:t>
      </w:r>
    </w:p>
    <w:p>
      <w:pPr>
        <w:ind w:left="288"/>
      </w:pPr>
      <w:r>
        <w:rPr>
          <w:color w:val="8C8C8C"/>
          <w:sz w:val="12"/>
        </w:rPr>
        <w:t>cf-art-151</w:t>
      </w:r>
      <w:r>
        <w:rPr>
          <w:color w:val="003CA0"/>
          <w:sz w:val="12"/>
        </w:rPr>
        <w:t xml:space="preserve"> | RE 149.659</w:t>
      </w:r>
      <w:r>
        <w:rPr>
          <w:color w:val="003CA0"/>
          <w:sz w:val="12"/>
        </w:rPr>
        <w:t xml:space="preserve"> | rel. Ellen Gracie</w:t>
      </w:r>
    </w:p>
    <w:p>
      <w:pPr>
        <w:ind w:left="288"/>
      </w:pPr>
      <w:r>
        <w:rPr>
          <w:color w:val="1E1E1E"/>
          <w:sz w:val="18"/>
        </w:rPr>
        <w:t xml:space="preserve">A Constituição, na parte final do art. 151, I, admite a "concessão de incentivos fiscais destinados a promover o equilíbrio do desenvolvimento socioeconômico entre as diferentes regiões do país". A concessão de isenção é ato discricionário, por meio do qual o Poder Executivo, fundado em juízo de conveniência e oportunidade, implementa suas políticas fiscais e econômicas, e, portanto, a análise de seu mérito escapa ao controle do Poder Judiciário. Precedentes: RE 149.659 e AI 138.344 AgR. Não é possível ao Poder Judiciário estender isenção a contribuintes não contemplados pela lei, a título de </w:t>
      </w:r>
    </w:p>
    <w:p>
      <w:pPr>
        <w:ind w:left="288"/>
      </w:pPr>
      <w:r>
        <w:rPr>
          <w:b/>
          <w:color w:val="003CA0"/>
          <w:sz w:val="16"/>
        </w:rPr>
        <w:t>[RE 344.331, rel. min. Ellen Gracie, j. 11-2-2003, 1ª T, DJ de 14-3-2003.]</w:t>
      </w:r>
    </w:p>
    <w:p>
      <w:pPr>
        <w:ind w:left="288"/>
      </w:pPr>
      <w:r>
        <w:rPr>
          <w:color w:val="8C8C8C"/>
          <w:sz w:val="12"/>
        </w:rPr>
        <w:t>cf-art-151</w:t>
      </w:r>
    </w:p>
    <w:p>
      <w:pPr>
        <w:ind w:left="288"/>
      </w:pPr>
      <w:r>
        <w:rPr>
          <w:color w:val="1E1E1E"/>
          <w:sz w:val="18"/>
        </w:rPr>
        <w:t>II - tributar a renda das obrigações da dívida pública dos Estados, do Distrito Federal e dos Municípios, bem como a remuneração e os proventos dos respectivos agentes públicos, em níveis superiores aos que fixar para suas obrigações e para seus agentes;</w:t>
      </w:r>
    </w:p>
    <w:p>
      <w:pPr>
        <w:ind w:left="144"/>
      </w:pPr>
      <w:r>
        <w:rPr>
          <w:b/>
          <w:color w:val="B45A00"/>
          <w:sz w:val="16"/>
        </w:rPr>
        <w:t>SUMULA</w:t>
      </w:r>
    </w:p>
    <w:p>
      <w:pPr>
        <w:ind w:left="288"/>
      </w:pPr>
      <w:r>
        <w:rPr>
          <w:color w:val="8C8C8C"/>
          <w:sz w:val="12"/>
        </w:rPr>
        <w:t>cf-art-151-inc-III</w:t>
      </w:r>
    </w:p>
    <w:p>
      <w:pPr>
        <w:ind w:left="288"/>
      </w:pPr>
      <w:r>
        <w:rPr>
          <w:color w:val="1E1E1E"/>
          <w:sz w:val="18"/>
        </w:rPr>
        <w:t>A multa fiscal moratória constitui pena administrativa, não se incluindo no crédito habilitado em falência.</w:t>
      </w:r>
    </w:p>
    <w:p>
      <w:pPr>
        <w:ind w:left="288"/>
      </w:pPr>
      <w:r>
        <w:rPr>
          <w:b/>
          <w:color w:val="003CA0"/>
          <w:sz w:val="16"/>
        </w:rPr>
        <w:t>[Súmula 565.]</w:t>
      </w:r>
    </w:p>
    <w:p>
      <w:pPr>
        <w:ind w:left="144"/>
      </w:pPr>
      <w:r>
        <w:rPr>
          <w:b/>
          <w:color w:val="B45A00"/>
          <w:sz w:val="16"/>
        </w:rPr>
        <w:t>JULGADOS CORRELATOS</w:t>
      </w:r>
    </w:p>
    <w:p>
      <w:pPr>
        <w:ind w:left="288"/>
      </w:pPr>
      <w:r>
        <w:rPr>
          <w:color w:val="8C8C8C"/>
          <w:sz w:val="12"/>
        </w:rPr>
        <w:t>cf-art-151-inc-III</w:t>
      </w:r>
      <w:r>
        <w:rPr>
          <w:color w:val="003CA0"/>
          <w:sz w:val="12"/>
        </w:rPr>
        <w:t xml:space="preserve"> | RE 543.943</w:t>
      </w:r>
      <w:r>
        <w:rPr>
          <w:color w:val="003CA0"/>
          <w:sz w:val="12"/>
        </w:rPr>
        <w:t xml:space="preserve"> | rel. Celso de Mello</w:t>
      </w:r>
    </w:p>
    <w:p>
      <w:pPr>
        <w:ind w:left="288"/>
      </w:pPr>
      <w:r>
        <w:rPr>
          <w:color w:val="1E1E1E"/>
          <w:sz w:val="18"/>
        </w:rPr>
        <w:t>A cláusula de vedação inscrita no art. 151, III, da Constituição – que proíbe a concessão de isenções tributárias heterônomas – é inoponível ao Estado Federal brasileiro (vale dizer, à República Federativa do Brasil), incidindo, unicamente, no plano das relações institucionais domésticas que se estabelecem entre as pessoas políticas de direito público interno (...). Nada impede, portanto, que o Estado Federal brasileiro celebre tratados internacionais que veiculem cláusulas de exoneração tributária em matéria de tributos locais (como o ISS, p. ex.), pois a República Federativa do Brasil, ao ex</w:t>
      </w:r>
    </w:p>
    <w:p>
      <w:pPr>
        <w:ind w:left="288"/>
      </w:pPr>
      <w:r>
        <w:rPr>
          <w:b/>
          <w:color w:val="003CA0"/>
          <w:sz w:val="16"/>
        </w:rPr>
        <w:t>[RE 543.943 AgR, rel. min. Celso de Mello, j. 30-11-2010, 2ª T, DJE de 15-2-2011.]</w:t>
      </w:r>
    </w:p>
    <w:p>
      <w:pPr>
        <w:ind w:left="288"/>
      </w:pPr>
      <w:r>
        <w:rPr>
          <w:color w:val="8C8C8C"/>
          <w:sz w:val="12"/>
        </w:rPr>
        <w:t>cf-art-151-inc-III</w:t>
      </w:r>
      <w:r>
        <w:rPr>
          <w:color w:val="003CA0"/>
          <w:sz w:val="12"/>
        </w:rPr>
        <w:t xml:space="preserve"> | RE 229.096</w:t>
      </w:r>
      <w:r>
        <w:rPr>
          <w:color w:val="003CA0"/>
          <w:sz w:val="12"/>
        </w:rPr>
        <w:t xml:space="preserve"> | rel. Eros Grau</w:t>
      </w:r>
    </w:p>
    <w:p>
      <w:pPr>
        <w:ind w:left="288"/>
      </w:pPr>
      <w:r>
        <w:rPr>
          <w:color w:val="1E1E1E"/>
          <w:sz w:val="18"/>
        </w:rPr>
        <w:t>Vide RE 229.096, red. do ac. min. Cármen Lúcia, j. 16-8-2007, P, DJE de 11-4-2008 A jurisprudência do Supremo é firme no sentido de que as exceções previstas nas partes finais dos arts. 44, 46 e 48 da lista anexa ao DL 406/1968 não veiculam isenções heterônomas.</w:t>
      </w:r>
    </w:p>
    <w:p>
      <w:pPr>
        <w:ind w:left="288"/>
      </w:pPr>
      <w:r>
        <w:rPr>
          <w:b/>
          <w:color w:val="003CA0"/>
          <w:sz w:val="16"/>
        </w:rPr>
        <w:t>[AI 646.020 AgR, rel. min. Eros Grau, j. 24-11-2009, 2ª T, DJE de 11-12-2009.]</w:t>
      </w:r>
    </w:p>
    <w:p>
      <w:pPr>
        <w:ind w:left="288"/>
      </w:pPr>
      <w:r>
        <w:rPr>
          <w:color w:val="8C8C8C"/>
          <w:sz w:val="12"/>
        </w:rPr>
        <w:t>cf-art-151-inc-III</w:t>
      </w:r>
      <w:r>
        <w:rPr>
          <w:color w:val="003CA0"/>
          <w:sz w:val="12"/>
        </w:rPr>
        <w:t xml:space="preserve"> | RE 229.096</w:t>
      </w:r>
    </w:p>
    <w:p>
      <w:pPr>
        <w:ind w:left="288"/>
      </w:pPr>
      <w:r>
        <w:rPr>
          <w:color w:val="1E1E1E"/>
          <w:sz w:val="18"/>
        </w:rPr>
        <w:t>A isenção de tributos estaduais prevista no Acordo Geral de Tarifas e Comércio para as mercadorias importadas dos países signatários, quando o similar nacional tiver o mesmo benefício, foi recepcionada pela Constituição da República de 1988. O art. 98 do CTN "possui caráter nacional, com eficácia para a União, os Estados e os Municípios" (voto do eminente ministro Ilmar Galvão). No direito internacional, apenas a República Federativa do Brasil tem competência para firmar tratados (art. 52, § 2º, da CF), dela não dispondo a União, os Estados-membros ou os Municípios. O presidente da República n</w:t>
      </w:r>
    </w:p>
    <w:p>
      <w:pPr>
        <w:ind w:left="288"/>
      </w:pPr>
      <w:r>
        <w:rPr>
          <w:b/>
          <w:color w:val="003CA0"/>
          <w:sz w:val="16"/>
        </w:rPr>
        <w:t>[RE 229.096, red. do ac. min. Cármen Lúcia, j. 16-8-2007, P, DJE de 11-4-2008.]</w:t>
      </w:r>
    </w:p>
    <w:p>
      <w:pPr>
        <w:ind w:left="288"/>
      </w:pPr>
      <w:r>
        <w:rPr>
          <w:color w:val="8C8C8C"/>
          <w:sz w:val="12"/>
        </w:rPr>
        <w:t>cf-art-151-inc-III</w:t>
      </w:r>
      <w:r>
        <w:rPr>
          <w:color w:val="003CA0"/>
          <w:sz w:val="12"/>
        </w:rPr>
        <w:t xml:space="preserve"> | AI 235.708</w:t>
      </w:r>
      <w:r>
        <w:rPr>
          <w:color w:val="003CA0"/>
          <w:sz w:val="12"/>
        </w:rPr>
        <w:t xml:space="preserve"> | rel. Gilmar Mendes</w:t>
      </w:r>
    </w:p>
    <w:p>
      <w:pPr>
        <w:ind w:left="288"/>
      </w:pPr>
      <w:r>
        <w:rPr>
          <w:color w:val="1E1E1E"/>
          <w:sz w:val="18"/>
        </w:rPr>
        <w:t>= AI 235.708 AgR, rel. min. Gilmar Mendes, j. 24-8-2010, 2ª T, DJE de 17-9-2010 Vide RE 543.943 AgR, rel. min. Celso de Mello, j. 30-11-2010, 2ª T, DJE de 15-2-2011 O ISS é um imposto municipal. É dizer, ao Município competirá instituí-lo (CF, art. 156, III). Todavia, está ele jungido à norma de caráter geral, vale dizer, à lei complementar que definirá os serviços tributáveis, lei complementar do Congresso Nacional (CF, art. 156, III). Isto não quer dizer que a lei complementar possa definir como tributáveis pelo ISS serviços que, ontologicamente, não são serviços. No conjunto de serviços tri</w:t>
      </w:r>
    </w:p>
    <w:p>
      <w:pPr>
        <w:ind w:left="288"/>
      </w:pPr>
      <w:r>
        <w:rPr>
          <w:b/>
          <w:color w:val="003CA0"/>
          <w:sz w:val="16"/>
        </w:rPr>
        <w:t>[RE 361.829, voto do rel. min. Carlos Velloso, j. 13-12-2005, 2ª T, DJ de 24-2-2006.]</w:t>
      </w:r>
    </w:p>
    <w:p>
      <w:pPr>
        <w:ind w:left="288"/>
      </w:pPr>
      <w:r>
        <w:rPr>
          <w:color w:val="8C8C8C"/>
          <w:sz w:val="12"/>
        </w:rPr>
        <w:t>cf-art-151-inc-III</w:t>
      </w:r>
      <w:r>
        <w:rPr>
          <w:color w:val="003CA0"/>
          <w:sz w:val="12"/>
        </w:rPr>
        <w:t xml:space="preserve"> | AR 2.105</w:t>
      </w:r>
      <w:r>
        <w:rPr>
          <w:color w:val="003CA0"/>
          <w:sz w:val="12"/>
        </w:rPr>
        <w:t xml:space="preserve"> | rel. Ricardo Lewandowski</w:t>
      </w:r>
    </w:p>
    <w:p>
      <w:pPr>
        <w:ind w:left="288"/>
      </w:pPr>
      <w:r>
        <w:rPr>
          <w:color w:val="1E1E1E"/>
          <w:sz w:val="18"/>
        </w:rPr>
        <w:t>= AR 2.105 AgR-segundo, rel. min. Ricardo Lewandowski, j. 19-9-2013, P, DJE de 16-10-2013 Não configurando os citados dispositivos legais, §§ 1º e 3º do DL 406/1968, isenção, não há falar em ofensa ao art. 151, III, da CF/1988. Aqui, na verdade, incide a regra do § 5º do art. 34 do ADCT, porque tem-se a aplicação da legislação anterior à CF/1988, porque essa legislação não é incompatível com o sistema tributário nacional da CF/1988. Ao contrário, os dispositivos legais citados, o art. 9º e seus parágrafos seguem a regra do art. 146, III, a, da CF/1988.</w:t>
      </w:r>
    </w:p>
    <w:p>
      <w:pPr>
        <w:ind w:left="288"/>
      </w:pPr>
      <w:r>
        <w:rPr>
          <w:b/>
          <w:color w:val="003CA0"/>
          <w:sz w:val="16"/>
        </w:rPr>
        <w:t>[RE 236.604, voto do rel. min. Carlos Velloso, j. 26-5-1999, P, DJ de 6-8-1999.]</w:t>
      </w:r>
    </w:p>
    <w:p>
      <w:pPr>
        <w:ind w:left="288"/>
      </w:pPr>
      <w:r>
        <w:rPr>
          <w:color w:val="8C8C8C"/>
          <w:sz w:val="12"/>
        </w:rPr>
        <w:t>cf-art-151-inc-III</w:t>
      </w:r>
      <w:r>
        <w:rPr>
          <w:color w:val="003CA0"/>
          <w:sz w:val="12"/>
        </w:rPr>
        <w:t xml:space="preserve"> | RE 206.397</w:t>
      </w:r>
      <w:r>
        <w:rPr>
          <w:color w:val="003CA0"/>
          <w:sz w:val="12"/>
        </w:rPr>
        <w:t xml:space="preserve"> | rel. Carlos Velloso</w:t>
      </w:r>
    </w:p>
    <w:p>
      <w:pPr>
        <w:ind w:left="288"/>
      </w:pPr>
      <w:r>
        <w:rPr>
          <w:color w:val="1E1E1E"/>
          <w:sz w:val="18"/>
        </w:rPr>
        <w:t>Isenção concedida mediante convênio celebrado pelo Estado-membro. Inocorrência de ofensa ao art. 151, III, da CF.</w:t>
      </w:r>
    </w:p>
    <w:p>
      <w:pPr>
        <w:ind w:left="288"/>
      </w:pPr>
      <w:r>
        <w:rPr>
          <w:b/>
          <w:color w:val="003CA0"/>
          <w:sz w:val="16"/>
        </w:rPr>
        <w:t>[RE 206.397 AgR, rel. min. Carlos Velloso, j. 13-2-1998, 2ª T, DJ de 20-3-1998.]</w:t>
      </w:r>
    </w:p>
    <w:p>
      <w:pPr>
        <w:ind w:left="288"/>
      </w:pPr>
      <w:r>
        <w:rPr>
          <w:color w:val="8C8C8C"/>
          <w:sz w:val="12"/>
        </w:rPr>
        <w:t>cf-art-151-inc-III</w:t>
      </w:r>
      <w:r>
        <w:rPr>
          <w:color w:val="003CA0"/>
          <w:sz w:val="12"/>
        </w:rPr>
        <w:t xml:space="preserve"> | RE 148.453</w:t>
      </w:r>
      <w:r>
        <w:rPr>
          <w:color w:val="003CA0"/>
          <w:sz w:val="12"/>
        </w:rPr>
        <w:t xml:space="preserve"> | rel. Moreira Alves</w:t>
      </w:r>
    </w:p>
    <w:p>
      <w:pPr>
        <w:ind w:left="288"/>
      </w:pPr>
      <w:r>
        <w:rPr>
          <w:color w:val="1E1E1E"/>
          <w:sz w:val="18"/>
        </w:rPr>
        <w:t>É certo que a atual Constituição, no art. 151, III, vedou à União instituir isenções de tributos da competência dos Estados, do Distrito Federal ou dos Municípios. No art. 41 do ADCT, porém, estabeleceu, em seu caput, que os Poderes Executivos da União, dos Estados, do Distrito Federal e dos Municípios reavaliariam todos os incentivos fiscais de natureza setorial em vigor, propondo aos Poderes Legislativos respectivos as medidas cabíveis, e, complementando essa disposição, declarou que se considerariam revogados após dois anos, a partir da data da promulgação da Constituição, os incentivos que</w:t>
      </w:r>
    </w:p>
    <w:p>
      <w:pPr>
        <w:ind w:left="288"/>
      </w:pPr>
      <w:r>
        <w:rPr>
          <w:b/>
          <w:color w:val="003CA0"/>
          <w:sz w:val="16"/>
        </w:rPr>
        <w:t>[RE 148.453, rel. min. Moreira Alves, j. 6-5-1997, 1ª T, DJ de 17-10-1997.]</w:t>
      </w:r>
    </w:p>
    <w:p>
      <w:pPr>
        <w:ind w:left="288"/>
      </w:pPr>
      <w:r>
        <w:rPr>
          <w:color w:val="8C8C8C"/>
          <w:sz w:val="12"/>
        </w:rPr>
        <w:t>cf-art-151-inc-III</w:t>
      </w:r>
      <w:r>
        <w:rPr>
          <w:color w:val="003CA0"/>
          <w:sz w:val="12"/>
        </w:rPr>
        <w:t xml:space="preserve"> | RE 170.412</w:t>
      </w:r>
      <w:r>
        <w:rPr>
          <w:color w:val="003CA0"/>
          <w:sz w:val="12"/>
        </w:rPr>
        <w:t xml:space="preserve"> | rel. Carlos Velloso</w:t>
      </w:r>
    </w:p>
    <w:p>
      <w:pPr>
        <w:ind w:left="288"/>
      </w:pPr>
      <w:r>
        <w:rPr>
          <w:color w:val="1E1E1E"/>
          <w:sz w:val="18"/>
        </w:rPr>
        <w:t>Não há falar, também, haja a União, com a legislação do IPI, concedido isenção. Com propriedade, o acórdão que resolveu os embargos de declaração acentuou: "(...) Não se trata de isenção concedida pela União, o que é vedado pelo art. 151, III. Não se enquadra no conceito de isenção a determinação do constituinte de que a base de cálculo não compreenderá o IPI quando a operação configure fato gerador dos dois impostos. A isenção tributária subtrai bens ou pessoas ao princípio da generalidade da tributação. O mesmo constituinte que vedou à União a instituição de isenção de impostos de competênci</w:t>
      </w:r>
    </w:p>
    <w:p>
      <w:pPr>
        <w:ind w:left="288"/>
      </w:pPr>
      <w:r>
        <w:rPr>
          <w:b/>
          <w:color w:val="003CA0"/>
          <w:sz w:val="16"/>
        </w:rPr>
        <w:t>[RE 170.412, voto do rel. min. Carlos Velloso, j. 24-9-1996, 2ª T, DJ de 13-12-1996.]</w:t>
      </w:r>
    </w:p>
    <w:p>
      <w:pPr>
        <w:ind w:left="720"/>
      </w:pPr>
      <w:r>
        <w:rPr>
          <w:color w:val="003366"/>
          <w:sz w:val="18"/>
        </w:rPr>
        <w:t>I – instituir tributo que não seja uniforme em todo o território nacional ou que</w:t>
      </w:r>
    </w:p>
    <w:p>
      <w:pPr>
        <w:ind w:left="720"/>
      </w:pPr>
      <w:r>
        <w:rPr>
          <w:color w:val="003366"/>
          <w:sz w:val="18"/>
        </w:rPr>
        <w:t xml:space="preserve">II – tributar a renda das obrigações da dívida pública dos Estados, do Distrito </w:t>
      </w:r>
    </w:p>
    <w:p>
      <w:pPr>
        <w:ind w:left="720"/>
      </w:pPr>
      <w:r>
        <w:rPr>
          <w:color w:val="003366"/>
          <w:sz w:val="18"/>
        </w:rPr>
        <w:t>III – instituir isenções de tributos da competência dos Estados, do Distrito Fed</w:t>
      </w:r>
    </w:p>
    <w:p>
      <w:r>
        <w:rPr>
          <w:b/>
          <w:color w:val="003366"/>
          <w:sz w:val="20"/>
        </w:rPr>
        <w:t xml:space="preserve">Art. 152 É vedado aos Estados, ao Distrito Federal e aos Municípios estabelecer </w:t>
      </w:r>
      <w:r>
        <w:rPr>
          <w:color w:val="8C8C8C"/>
          <w:sz w:val="14"/>
        </w:rPr>
        <w:t xml:space="preserve">  [11 decisoes]</w:t>
      </w:r>
    </w:p>
    <w:p>
      <w:pPr>
        <w:ind w:left="288"/>
      </w:pPr>
      <w:r>
        <w:rPr>
          <w:color w:val="8C8C8C"/>
          <w:sz w:val="12"/>
        </w:rPr>
        <w:t>cf-art-152</w:t>
      </w:r>
      <w:r>
        <w:rPr>
          <w:color w:val="003CA0"/>
          <w:sz w:val="12"/>
        </w:rPr>
        <w:t xml:space="preserve"> | ADI 7.476</w:t>
      </w:r>
      <w:r>
        <w:rPr>
          <w:color w:val="003CA0"/>
          <w:sz w:val="12"/>
        </w:rPr>
        <w:t xml:space="preserve"> | rel. Gilmar Mendes</w:t>
      </w:r>
    </w:p>
    <w:p>
      <w:pPr>
        <w:ind w:left="288"/>
      </w:pPr>
      <w:r>
        <w:rPr>
          <w:color w:val="1E1E1E"/>
          <w:sz w:val="18"/>
        </w:rPr>
        <w:t>“É inconstitucional a diferenciação tributária baseada na procedência das mercadorias, por meio da dispensa de regime de substituição tributária no recolhimento do ICMS”.</w:t>
      </w:r>
    </w:p>
    <w:p>
      <w:pPr>
        <w:ind w:left="288"/>
      </w:pPr>
      <w:r>
        <w:rPr>
          <w:b/>
          <w:color w:val="003CA0"/>
          <w:sz w:val="16"/>
        </w:rPr>
        <w:t>[ADI 7.476, rel. min. Gilmar Mendes, j. 17.02.2025, P, DJE de 21.02.2025.]</w:t>
      </w:r>
    </w:p>
    <w:p>
      <w:pPr>
        <w:ind w:left="144"/>
      </w:pPr>
      <w:r>
        <w:rPr>
          <w:b/>
          <w:color w:val="B45A00"/>
          <w:sz w:val="16"/>
        </w:rPr>
        <w:t>CONTROLE CONCENTRADO</w:t>
      </w:r>
    </w:p>
    <w:p>
      <w:pPr>
        <w:ind w:left="288"/>
      </w:pPr>
      <w:r>
        <w:rPr>
          <w:color w:val="8C8C8C"/>
          <w:sz w:val="12"/>
        </w:rPr>
        <w:t>cf-art-152</w:t>
      </w:r>
      <w:r>
        <w:rPr>
          <w:color w:val="003CA0"/>
          <w:sz w:val="12"/>
        </w:rPr>
        <w:t xml:space="preserve"> | ADI 5.363</w:t>
      </w:r>
      <w:r>
        <w:rPr>
          <w:color w:val="003CA0"/>
          <w:sz w:val="12"/>
        </w:rPr>
        <w:t xml:space="preserve"> | rel. Luiz Fux</w:t>
      </w:r>
    </w:p>
    <w:p>
      <w:pPr>
        <w:ind w:left="288"/>
      </w:pPr>
      <w:r>
        <w:rPr>
          <w:color w:val="1E1E1E"/>
          <w:sz w:val="18"/>
        </w:rPr>
        <w:t>Dispositivos do Decreto 43.080/2002 e do Decreto 48.589/2023 do estado de Minas Gerais. Imposto sobre circulação de mercadorias e serviços de comunicação e de transporte interestadual e intermunicipal de bens e de pessoas - ICMS. Operações com produtos da cesta básica. Benefícios fiscais. Concessão condicionada à origem ou à procedência do bem. Violação do artigo 152 da constituição federal.</w:t>
        <w:br/>
        <w:t xml:space="preserve">[ADI 5.363, rel. min. Luiz Fux, j. 12-9-2023, P, DJE de 4-10-2023.] A isonomia tributária e a vedação constitucional à discriminação segundo a procedência ou o destino de bens e serviços (artigos 150, II, </w:t>
      </w:r>
    </w:p>
    <w:p>
      <w:pPr>
        <w:ind w:left="288"/>
      </w:pPr>
      <w:r>
        <w:rPr>
          <w:b/>
          <w:color w:val="003CA0"/>
          <w:sz w:val="16"/>
        </w:rPr>
        <w:t>[ADI 5.472, rel. min. Edson Fachin, j. 1º-8-2018, P, DJE de 14-8-2018.]</w:t>
      </w:r>
    </w:p>
    <w:p>
      <w:pPr>
        <w:ind w:left="288"/>
      </w:pPr>
      <w:r>
        <w:rPr>
          <w:color w:val="8C8C8C"/>
          <w:sz w:val="12"/>
        </w:rPr>
        <w:t>cf-art-152</w:t>
      </w:r>
      <w:r>
        <w:rPr>
          <w:color w:val="003CA0"/>
          <w:sz w:val="12"/>
        </w:rPr>
        <w:t xml:space="preserve"> | ADI 3.389</w:t>
      </w:r>
      <w:r>
        <w:rPr>
          <w:color w:val="003CA0"/>
          <w:sz w:val="12"/>
        </w:rPr>
        <w:t xml:space="preserve"> | rel. Joaquim Barbosa</w:t>
      </w:r>
    </w:p>
    <w:p>
      <w:pPr>
        <w:ind w:left="288"/>
      </w:pPr>
      <w:r>
        <w:rPr>
          <w:color w:val="1E1E1E"/>
          <w:sz w:val="18"/>
        </w:rPr>
        <w:t>Tributário. ICMS. Benefício fiscal. Redução da carga tributária condicionada à origem da industrialização da mercadoria. Saídas internas com café torrado ou moído. Decreto 35.528/2004 do Estado do Rio de Janeiro. Violação do art. 152 da Constituição. O Decreto 35.528/2004, do Estado do Rio de Janeiro, ao estabelecer um regime diferenciado de tributação para as operações das quais resultem a saída interna de café torrado ou moído, em função da procedência ou do destino de tal operação, viola o art. 152 da Constituição.</w:t>
      </w:r>
    </w:p>
    <w:p>
      <w:pPr>
        <w:ind w:left="288"/>
      </w:pPr>
      <w:r>
        <w:rPr>
          <w:b/>
          <w:color w:val="003CA0"/>
          <w:sz w:val="16"/>
        </w:rPr>
        <w:t>[ADI 3.389 e ADI 3.673, rel. min. Joaquim Barbosa, j. 6-9-2007, P, DJ de 1º-2-2008.]</w:t>
      </w:r>
    </w:p>
    <w:p>
      <w:pPr>
        <w:ind w:left="288"/>
      </w:pPr>
      <w:r>
        <w:rPr>
          <w:color w:val="8C8C8C"/>
          <w:sz w:val="12"/>
        </w:rPr>
        <w:t>cf-art-152</w:t>
      </w:r>
      <w:r>
        <w:rPr>
          <w:color w:val="003CA0"/>
          <w:sz w:val="12"/>
        </w:rPr>
        <w:t xml:space="preserve"> | ADI 3.410</w:t>
      </w:r>
      <w:r>
        <w:rPr>
          <w:color w:val="003CA0"/>
          <w:sz w:val="12"/>
        </w:rPr>
        <w:t xml:space="preserve"> | rel. Joaquim Barbosa</w:t>
      </w:r>
    </w:p>
    <w:p>
      <w:pPr>
        <w:ind w:left="288"/>
      </w:pPr>
      <w:r>
        <w:rPr>
          <w:color w:val="1E1E1E"/>
          <w:sz w:val="18"/>
        </w:rPr>
        <w:t>A concessão de benefício fiscal às operações com farinha de trigo e mistura pré-preparada de farinha de trigo (...) não viola a proibição de outorga de tratamento diferenciado a bens e mercadorias, em função da origem ou destino, à medida que for aplicado indistintamente às operações com mercadorias provenientes do Estado de Minas Gerais e às mercadorias provenientes dos demais Estados.</w:t>
      </w:r>
    </w:p>
    <w:p>
      <w:pPr>
        <w:ind w:left="288"/>
      </w:pPr>
      <w:r>
        <w:rPr>
          <w:b/>
          <w:color w:val="003CA0"/>
          <w:sz w:val="16"/>
        </w:rPr>
        <w:t>[ADI 3.410, rel. min. Joaquim Barbosa, j. 22-11-2006, P, DJ de 8-6-2007.]</w:t>
      </w:r>
    </w:p>
    <w:p>
      <w:pPr>
        <w:ind w:left="288"/>
      </w:pPr>
      <w:r>
        <w:rPr>
          <w:color w:val="8C8C8C"/>
          <w:sz w:val="12"/>
        </w:rPr>
        <w:t>cf-art-152</w:t>
      </w:r>
      <w:r>
        <w:rPr>
          <w:color w:val="003CA0"/>
          <w:sz w:val="12"/>
        </w:rPr>
        <w:t xml:space="preserve"> | ADI 1.655</w:t>
      </w:r>
      <w:r>
        <w:rPr>
          <w:color w:val="003CA0"/>
          <w:sz w:val="12"/>
        </w:rPr>
        <w:t xml:space="preserve"> | rel. Maurício Corrêa</w:t>
      </w:r>
    </w:p>
    <w:p>
      <w:pPr>
        <w:ind w:left="288"/>
      </w:pPr>
      <w:r>
        <w:rPr>
          <w:color w:val="1E1E1E"/>
          <w:sz w:val="18"/>
        </w:rPr>
        <w:t xml:space="preserve">No mérito, a vedação constitucional de tratamento desigual a contribuintes que estão em situação equivalente não foi observada pelo legislador estadual, ao editar a lei ora atacada. Um exame mais aprofundado, após o deferimento da medida liminar, revela não ser possível, no universo dos proprietários de veículos destinados ao transporte escolar, que somente os filiados a determinada cooperativa alcancem a isenção do IPVA. Acerca do princípio da isonomia a que se refere o art. 152 da CF, e da observância a ele devida, bem resumiu os termos de sua abrangência Sacha Calmon Navarro, ao explicitar </w:t>
      </w:r>
    </w:p>
    <w:p>
      <w:pPr>
        <w:ind w:left="288"/>
      </w:pPr>
      <w:r>
        <w:rPr>
          <w:b/>
          <w:color w:val="003CA0"/>
          <w:sz w:val="16"/>
        </w:rPr>
        <w:t>[ADI 1.655, voto do rel. min. Maurício Corrêa, j. 3-3-2004, P, DJ de 2-4-2004.]</w:t>
      </w:r>
    </w:p>
    <w:p>
      <w:pPr>
        <w:ind w:left="288"/>
      </w:pPr>
      <w:r>
        <w:rPr>
          <w:color w:val="8C8C8C"/>
          <w:sz w:val="12"/>
        </w:rPr>
        <w:t>cf-art-152</w:t>
      </w:r>
      <w:r>
        <w:rPr>
          <w:color w:val="003CA0"/>
          <w:sz w:val="12"/>
        </w:rPr>
        <w:t xml:space="preserve"> | AI 483.726</w:t>
      </w:r>
      <w:r>
        <w:rPr>
          <w:color w:val="003CA0"/>
          <w:sz w:val="12"/>
        </w:rPr>
        <w:t xml:space="preserve"> | rel. Marco Aurélio</w:t>
      </w:r>
    </w:p>
    <w:p>
      <w:pPr>
        <w:ind w:left="288"/>
      </w:pPr>
      <w:r>
        <w:rPr>
          <w:color w:val="1E1E1E"/>
          <w:sz w:val="18"/>
        </w:rPr>
        <w:t>= AI 483.726 AgR, rel. min. Marco Aurélio, j. 21-6-2011, 1ª T, DJE de 22-8-2011 À primeira visão, contraria a Lei Básica o estabelecimento de pautas de valores diferenciados para operações intermunicipais e interestaduais, majorando-se estas em mais de 1.000%.</w:t>
      </w:r>
    </w:p>
    <w:p>
      <w:pPr>
        <w:ind w:left="288"/>
      </w:pPr>
      <w:r>
        <w:rPr>
          <w:b/>
          <w:color w:val="003CA0"/>
          <w:sz w:val="16"/>
        </w:rPr>
        <w:t>[ADI 349 MC, rel. min. Marco Aurélio, j. 24-9-1990, P, DJ de 26-10-1990.]</w:t>
      </w:r>
    </w:p>
    <w:p>
      <w:pPr>
        <w:ind w:left="144"/>
      </w:pPr>
      <w:r>
        <w:rPr>
          <w:b/>
          <w:color w:val="B45A00"/>
          <w:sz w:val="16"/>
        </w:rPr>
        <w:t>REPERCUSSAO GERAL</w:t>
      </w:r>
    </w:p>
    <w:p>
      <w:pPr>
        <w:ind w:left="288"/>
      </w:pPr>
      <w:r>
        <w:rPr>
          <w:color w:val="8C8C8C"/>
          <w:sz w:val="12"/>
        </w:rPr>
        <w:t>cf-art-152</w:t>
      </w:r>
      <w:r>
        <w:rPr>
          <w:color w:val="003CA0"/>
          <w:sz w:val="12"/>
        </w:rPr>
        <w:t xml:space="preserve"> | RE 1.167.509</w:t>
      </w:r>
      <w:r>
        <w:rPr>
          <w:color w:val="003CA0"/>
          <w:sz w:val="12"/>
        </w:rPr>
        <w:t xml:space="preserve"> | rel. Marco Aurélio</w:t>
      </w:r>
    </w:p>
    <w:p>
      <w:pPr>
        <w:ind w:left="288"/>
      </w:pPr>
      <w:r>
        <w:rPr>
          <w:color w:val="1E1E1E"/>
          <w:sz w:val="18"/>
        </w:rPr>
        <w:t>É incompatível com a Constituição Federal disposição normativa a prever a obrigatoriedade de cadastro, em órgão da Administração municipal, de prestadores de serviços não estabelecidos no território do Município, impondo-se ao tomador o recolhimento do Imposto Sobre Serviços – ISS quando descumprida a obrigação.</w:t>
      </w:r>
    </w:p>
    <w:p>
      <w:pPr>
        <w:ind w:left="288"/>
      </w:pPr>
      <w:r>
        <w:rPr>
          <w:b/>
          <w:color w:val="003CA0"/>
          <w:sz w:val="16"/>
        </w:rPr>
        <w:t>[RE 1.167.509, rel. min. Marco Aurélio, j. 1º-3-2021, P, DJE de 16-3-2021, Tema 1.020, com mérito julgado.]</w:t>
      </w:r>
    </w:p>
    <w:p>
      <w:pPr>
        <w:ind w:left="144"/>
      </w:pPr>
      <w:r>
        <w:rPr>
          <w:b/>
          <w:color w:val="B45A00"/>
          <w:sz w:val="16"/>
        </w:rPr>
        <w:t>JULGADOS CORRELATOS</w:t>
      </w:r>
    </w:p>
    <w:p>
      <w:pPr>
        <w:ind w:left="288"/>
      </w:pPr>
      <w:r>
        <w:rPr>
          <w:color w:val="8C8C8C"/>
          <w:sz w:val="12"/>
        </w:rPr>
        <w:t>cf-art-152</w:t>
      </w:r>
      <w:r>
        <w:rPr>
          <w:color w:val="003CA0"/>
          <w:sz w:val="12"/>
        </w:rPr>
        <w:t xml:space="preserve"> | RE 239.397</w:t>
      </w:r>
      <w:r>
        <w:rPr>
          <w:color w:val="003CA0"/>
          <w:sz w:val="12"/>
        </w:rPr>
        <w:t xml:space="preserve"> | rel. Ilmar Galvão</w:t>
      </w:r>
    </w:p>
    <w:p>
      <w:pPr>
        <w:ind w:left="288"/>
      </w:pPr>
      <w:r>
        <w:rPr>
          <w:color w:val="1E1E1E"/>
          <w:sz w:val="18"/>
        </w:rPr>
        <w:t>Taxa florestal. (...) Descabimento da alegação de ofensa ao princípio da isonomia, por razões óbvias, diante do incentivo fiscal, em forma de redução do tributo, previsto para as indústrias que comprovarem a realização de reflorestamento proporcional ao seu consumo de carvão vegetal.</w:t>
      </w:r>
    </w:p>
    <w:p>
      <w:pPr>
        <w:ind w:left="288"/>
      </w:pPr>
      <w:r>
        <w:rPr>
          <w:b/>
          <w:color w:val="003CA0"/>
          <w:sz w:val="16"/>
        </w:rPr>
        <w:t>[RE 239.397, rel. min. Ilmar Galvão, j. 21-3-2000, 1ª T, DJ de 28-4-2000.]</w:t>
      </w:r>
    </w:p>
    <w:p>
      <w:pPr>
        <w:ind w:left="288"/>
      </w:pPr>
      <w:r>
        <w:rPr>
          <w:color w:val="8C8C8C"/>
          <w:sz w:val="12"/>
        </w:rPr>
        <w:t>cf-art-152</w:t>
      </w:r>
      <w:r>
        <w:rPr>
          <w:color w:val="003CA0"/>
          <w:sz w:val="12"/>
        </w:rPr>
        <w:t xml:space="preserve"> | RE 167.034</w:t>
      </w:r>
      <w:r>
        <w:rPr>
          <w:color w:val="003CA0"/>
          <w:sz w:val="12"/>
        </w:rPr>
        <w:t xml:space="preserve"> | rel. Néri da Silveira</w:t>
      </w:r>
    </w:p>
    <w:p>
      <w:pPr>
        <w:ind w:left="288"/>
      </w:pPr>
      <w:r>
        <w:rPr>
          <w:color w:val="1E1E1E"/>
          <w:sz w:val="18"/>
        </w:rPr>
        <w:t>A antecipação de pagamento do imposto, quando a mercadoria se destina a outro Estado, não configura a adoção de diferença tributária, em razão do destino e procedência dos bens.</w:t>
      </w:r>
    </w:p>
    <w:p>
      <w:pPr>
        <w:ind w:left="288"/>
      </w:pPr>
      <w:r>
        <w:rPr>
          <w:b/>
          <w:color w:val="003CA0"/>
          <w:sz w:val="16"/>
        </w:rPr>
        <w:t>[RE 167.034 AgR, voto do rel. min. Néri da Silveira, j. 14-12-1999, 2ª T, DJ de 25-2-2000.]</w:t>
      </w:r>
    </w:p>
    <w:p>
      <w:pPr>
        <w:ind w:left="288"/>
      </w:pPr>
      <w:r>
        <w:rPr>
          <w:color w:val="8C8C8C"/>
          <w:sz w:val="12"/>
        </w:rPr>
        <w:t>cf-art-152</w:t>
      </w:r>
      <w:r>
        <w:rPr>
          <w:color w:val="003CA0"/>
          <w:sz w:val="12"/>
        </w:rPr>
        <w:t xml:space="preserve"> | HC 77.530</w:t>
      </w:r>
      <w:r>
        <w:rPr>
          <w:color w:val="003CA0"/>
          <w:sz w:val="12"/>
        </w:rPr>
        <w:t xml:space="preserve"> | rel. Sepúlveda Pertence</w:t>
      </w:r>
    </w:p>
    <w:p>
      <w:pPr>
        <w:ind w:left="288"/>
      </w:pPr>
      <w:r>
        <w:rPr>
          <w:color w:val="1E1E1E"/>
          <w:sz w:val="18"/>
        </w:rPr>
        <w:t>Sonegação fiscal de lucro advindo de atividade criminosa: non olet. Drogas: tráfico de drogas, envolvendo sociedades comerciais organizadas, com lucros vultosos subtraídos à contabilização regular das empresas e subtraídos à declaração de rendimentos: caracterização, em tese, de crime de sonegação fiscal, a acarretar a competência da Justiça Federal e atrair, pela conexão, o tráfico de entorpecentes: irrelevância da origem ilícita, mesmo quando criminal, da renda subtraída à tributação. A exoneração tributária dos resultados econômicos de fato criminoso – antes de ser corolário do princípio da</w:t>
      </w:r>
    </w:p>
    <w:p>
      <w:pPr>
        <w:ind w:left="288"/>
      </w:pPr>
      <w:r>
        <w:rPr>
          <w:b/>
          <w:color w:val="003CA0"/>
          <w:sz w:val="16"/>
        </w:rPr>
        <w:t>[HC 77.530, rel. min. Sepúlveda Pertence, j. 25-8-1998, 1ª T, DJ de 18-9-1998.]</w:t>
      </w:r>
    </w:p>
    <w:p>
      <w:pPr>
        <w:ind w:left="288"/>
      </w:pPr>
      <w:r>
        <w:rPr>
          <w:color w:val="8C8C8C"/>
          <w:sz w:val="12"/>
        </w:rPr>
        <w:t>cf-art-152</w:t>
      </w:r>
    </w:p>
    <w:p>
      <w:pPr>
        <w:ind w:left="288"/>
      </w:pPr>
      <w:r>
        <w:rPr>
          <w:color w:val="1E1E1E"/>
          <w:sz w:val="18"/>
        </w:rPr>
        <w:t>Seção III Dos Impostos da União SUMÁRIO</w:t>
      </w:r>
    </w:p>
    <w:p>
      <w:pPr>
        <w:pStyle w:val="Heading3"/>
      </w:pPr>
      <w:r>
        <w:rPr>
          <w:color w:val="003366"/>
        </w:rPr>
        <w:t>Seção III - DOS IMPOSTOS DA UNIÃO</w:t>
      </w:r>
    </w:p>
    <w:p>
      <w:r>
        <w:rPr>
          <w:b/>
          <w:color w:val="003366"/>
          <w:sz w:val="20"/>
        </w:rPr>
        <w:t>Art. 153 Compete à União instituir impostos sobre:</w:t>
      </w:r>
      <w:r>
        <w:rPr>
          <w:color w:val="8C8C8C"/>
          <w:sz w:val="14"/>
        </w:rPr>
        <w:t xml:space="preserve">  [58 decisoes]</w:t>
      </w:r>
    </w:p>
    <w:p>
      <w:pPr>
        <w:ind w:left="144"/>
      </w:pPr>
      <w:r>
        <w:rPr>
          <w:b/>
          <w:color w:val="B45A00"/>
          <w:sz w:val="16"/>
        </w:rPr>
        <w:t>JULGADOS CORRELATOS</w:t>
      </w:r>
    </w:p>
    <w:p>
      <w:pPr>
        <w:ind w:left="288"/>
      </w:pPr>
      <w:r>
        <w:rPr>
          <w:color w:val="8C8C8C"/>
          <w:sz w:val="12"/>
        </w:rPr>
        <w:t>cf-art-153-inc-I</w:t>
      </w:r>
      <w:r>
        <w:rPr>
          <w:color w:val="003CA0"/>
          <w:sz w:val="12"/>
        </w:rPr>
        <w:t xml:space="preserve"> | RE 429.306</w:t>
      </w:r>
      <w:r>
        <w:rPr>
          <w:color w:val="003CA0"/>
          <w:sz w:val="12"/>
        </w:rPr>
        <w:t xml:space="preserve"> | rel. Joaquim Barbosa</w:t>
      </w:r>
    </w:p>
    <w:p>
      <w:pPr>
        <w:ind w:left="288"/>
      </w:pPr>
      <w:r>
        <w:rPr>
          <w:color w:val="1E1E1E"/>
          <w:sz w:val="18"/>
        </w:rPr>
        <w:t>Recurso extraordinário em que se argumenta a não incidência do II [Imposto de Importação] e do IPI sobre operação de importação de sistema de tomografia computadorizada, amparada por contrato de arrendamento mercantil. Alegada insubmissão do arrendamento mercantil, quer seria um serviço, ao fato gerador do imposto de importação (art. 153, I, da Constituição). Inconsistência. Por se tratar de tributos diferentes, com hipóteses de incidência específicas (prestação de serviços e importação, entendida como a entrada de bem em território nacional – art. 19 do CTN), a incidência concomitante do II e</w:t>
      </w:r>
    </w:p>
    <w:p>
      <w:pPr>
        <w:ind w:left="288"/>
      </w:pPr>
      <w:r>
        <w:rPr>
          <w:b/>
          <w:color w:val="003CA0"/>
          <w:sz w:val="16"/>
        </w:rPr>
        <w:t>[RE 429.306, rel. min. Joaquim Barbosa, j. 1º-2-2011, 2ª T, DJE de 16-3-2011.]</w:t>
      </w:r>
    </w:p>
    <w:p>
      <w:pPr>
        <w:ind w:left="288"/>
      </w:pPr>
      <w:r>
        <w:rPr>
          <w:color w:val="8C8C8C"/>
          <w:sz w:val="12"/>
        </w:rPr>
        <w:t>cf-art-153-inc-I</w:t>
      </w:r>
      <w:r>
        <w:rPr>
          <w:color w:val="003CA0"/>
          <w:sz w:val="12"/>
        </w:rPr>
        <w:t xml:space="preserve"> | RE 203.954-3</w:t>
      </w:r>
      <w:r>
        <w:rPr>
          <w:color w:val="003CA0"/>
          <w:sz w:val="12"/>
        </w:rPr>
        <w:t xml:space="preserve"> | rel. Ilmar Galvão</w:t>
      </w:r>
    </w:p>
    <w:p>
      <w:pPr>
        <w:ind w:left="288"/>
      </w:pPr>
      <w:r>
        <w:rPr>
          <w:color w:val="1E1E1E"/>
          <w:sz w:val="18"/>
        </w:rPr>
        <w:t>Importação de automóveis usados. Proibição ditada pela Portaria 8, de 13-5-1991, do Ministério da Fazenda. Alegada afronta ao princípio constitucional da legalidade. Entendimento do STF no sentido da legalidade da portaria que editou lista dos bens de consumo passíveis de importação e, ao mesmo tempo, proibiu a importação de bens de consumo usados (RE 203.954-3).</w:t>
      </w:r>
    </w:p>
    <w:p>
      <w:pPr>
        <w:ind w:left="288"/>
      </w:pPr>
      <w:r>
        <w:rPr>
          <w:b/>
          <w:color w:val="003CA0"/>
          <w:sz w:val="16"/>
        </w:rPr>
        <w:t>[RE 187.321, rel. min. Ilmar Galvão, j. 25-2-1997, 1ª T, DJ de 30-5-1997.]</w:t>
      </w:r>
    </w:p>
    <w:p>
      <w:pPr>
        <w:ind w:left="288"/>
      </w:pPr>
      <w:r>
        <w:rPr>
          <w:color w:val="8C8C8C"/>
          <w:sz w:val="12"/>
        </w:rPr>
        <w:t>cf-art-153-inc-I</w:t>
      </w:r>
      <w:r>
        <w:rPr>
          <w:color w:val="003CA0"/>
          <w:sz w:val="12"/>
        </w:rPr>
        <w:t xml:space="preserve"> | SS 775</w:t>
      </w:r>
      <w:r>
        <w:rPr>
          <w:color w:val="003CA0"/>
          <w:sz w:val="12"/>
        </w:rPr>
        <w:t xml:space="preserve"> | rel. Sepúlveda Pertence</w:t>
      </w:r>
    </w:p>
    <w:p>
      <w:pPr>
        <w:ind w:left="288"/>
      </w:pPr>
      <w:r>
        <w:rPr>
          <w:color w:val="1E1E1E"/>
          <w:sz w:val="18"/>
        </w:rPr>
        <w:t>Imposto de importação: automóveis de passeio: aumento da alíquota (CF, art. 153, I e § 1º): incidência sobre mercadorias já adquiridas, quando da edição do decreto: pedido de suspensão de liminar em mandado de segurança impetrado sob a alegação de ofensa ao ato jurídico perfeito: deferimento da suspensão, com base na relevância da tese contrária da União e da necessidade de salvaguardar os efeitos extrafiscais da medida: suspensão que se mantém, dado que ditos efeitos não foram definitivamente prejudicados pela remessa das divisas correspondentes à aquisição de mercadoria, dadas as providência</w:t>
      </w:r>
    </w:p>
    <w:p>
      <w:pPr>
        <w:ind w:left="288"/>
      </w:pPr>
      <w:r>
        <w:rPr>
          <w:b/>
          <w:color w:val="003CA0"/>
          <w:sz w:val="16"/>
        </w:rPr>
        <w:t>[SS 775 AgR, rel. min. Sepúlveda Pertence, j. 5-10-1995, P, DJ de 23-2-1996.]</w:t>
      </w:r>
    </w:p>
    <w:p>
      <w:pPr>
        <w:ind w:left="288"/>
      </w:pPr>
      <w:r>
        <w:rPr>
          <w:color w:val="8C8C8C"/>
          <w:sz w:val="12"/>
        </w:rPr>
        <w:t>cf-art-153-inc-II</w:t>
      </w:r>
      <w:r>
        <w:rPr>
          <w:color w:val="003CA0"/>
          <w:sz w:val="12"/>
        </w:rPr>
        <w:t xml:space="preserve"> | AI 578.372</w:t>
      </w:r>
      <w:r>
        <w:rPr>
          <w:color w:val="003CA0"/>
          <w:sz w:val="12"/>
        </w:rPr>
        <w:t xml:space="preserve"> | rel. Ellen Gracie</w:t>
      </w:r>
    </w:p>
    <w:p>
      <w:pPr>
        <w:ind w:left="288"/>
      </w:pPr>
      <w:r>
        <w:rPr>
          <w:color w:val="1E1E1E"/>
          <w:sz w:val="18"/>
        </w:rPr>
        <w:t>Não é qualquer registro no Siscomex [Sistema Integrado de Comércio Exterior] que corresponde à expedição do documento equivalente à guia de exportação prevista no § 1º, in fine, do art. 1º do DL 1.578/1977, como determinante da ocorrência do fato gerador do tributo. Somente o Registro de Exportação corresponde e se equipara à Guia de Exportação. Editada a Resolução 2.112/1994 do Banco Central do Brasil depois dos registros de venda, mas antes dos registros de exportação, submetem-se as operações respectivas às alíquotas nelas fixadas, visto que tal fixação se dera antes da ocorrência do fato g</w:t>
      </w:r>
    </w:p>
    <w:p>
      <w:pPr>
        <w:ind w:left="288"/>
      </w:pPr>
      <w:r>
        <w:rPr>
          <w:b/>
          <w:color w:val="003CA0"/>
          <w:sz w:val="16"/>
        </w:rPr>
        <w:t>[AI 578.372 AgR, rel. min. Ellen Gracie, j. 9-2-2010, 2ª T, DJE de 12-3-2010.]</w:t>
      </w:r>
    </w:p>
    <w:p>
      <w:pPr>
        <w:ind w:left="288"/>
      </w:pPr>
      <w:r>
        <w:rPr>
          <w:color w:val="8C8C8C"/>
          <w:sz w:val="12"/>
        </w:rPr>
        <w:t>cf-art-153-inc-III</w:t>
      </w:r>
      <w:r>
        <w:rPr>
          <w:color w:val="003CA0"/>
          <w:sz w:val="12"/>
        </w:rPr>
        <w:t xml:space="preserve"> | ADI 4.927</w:t>
      </w:r>
      <w:r>
        <w:rPr>
          <w:color w:val="003CA0"/>
          <w:sz w:val="12"/>
        </w:rPr>
        <w:t xml:space="preserve"> | rel. Luiz Fux</w:t>
      </w:r>
    </w:p>
    <w:p>
      <w:pPr>
        <w:ind w:left="288"/>
      </w:pPr>
      <w:r>
        <w:rPr>
          <w:color w:val="1E1E1E"/>
          <w:sz w:val="18"/>
        </w:rPr>
        <w:t>É obra do legislador infraconstitucional, que criou esse instrumento de incentivo à educação, garantindo o efetivo acesso ao ensino, a inclusão das despesas de educação entre as parcelas dedutíveis da base de cálculo do imposto sobre a renda. A redução da carga tributária erige-se num estímulo para os indivíduos investirem na educação própria e de seus dependentes, efetivando-se o acesso ao direito garantido na Constituição. O direito à educação não implica um patamar específico de teto para dedução de despesas com educação na base de cálculo do imposto de renda. Do mesmo modo, a possibilidade</w:t>
      </w:r>
    </w:p>
    <w:p>
      <w:pPr>
        <w:ind w:left="288"/>
      </w:pPr>
      <w:r>
        <w:rPr>
          <w:b/>
          <w:color w:val="003CA0"/>
          <w:sz w:val="16"/>
        </w:rPr>
        <w:t>[ADI 4.927, rel. min. Luiz Fux, j. 24.03.2025, P, DJE de 14.05.2025.]</w:t>
      </w:r>
    </w:p>
    <w:p>
      <w:pPr>
        <w:ind w:left="144"/>
      </w:pPr>
      <w:r>
        <w:rPr>
          <w:b/>
          <w:color w:val="B45A00"/>
          <w:sz w:val="16"/>
        </w:rPr>
        <w:t>CONTROLE CONCENTRADO</w:t>
      </w:r>
    </w:p>
    <w:p>
      <w:pPr>
        <w:ind w:left="288"/>
      </w:pPr>
      <w:r>
        <w:rPr>
          <w:color w:val="8C8C8C"/>
          <w:sz w:val="12"/>
        </w:rPr>
        <w:t>cf-art-153-inc-III</w:t>
      </w:r>
      <w:r>
        <w:rPr>
          <w:color w:val="003CA0"/>
          <w:sz w:val="12"/>
        </w:rPr>
        <w:t xml:space="preserve"> | ADI 5.422</w:t>
      </w:r>
      <w:r>
        <w:rPr>
          <w:color w:val="003CA0"/>
          <w:sz w:val="12"/>
        </w:rPr>
        <w:t xml:space="preserve"> | rel. Dias Toffoli</w:t>
      </w:r>
    </w:p>
    <w:p>
      <w:pPr>
        <w:ind w:left="288"/>
      </w:pPr>
      <w:r>
        <w:rPr>
          <w:color w:val="1E1E1E"/>
          <w:sz w:val="18"/>
        </w:rPr>
        <w:t xml:space="preserve">Imposto de renda. Incidência sobre valores percebidos a título de alimentos ou de pensão alimentícia. Inconstitucionalidade. (...) A materialidade do imposto de renda está conectada com a existência de acréscimo patrimonial, aspecto presente nas ideias de renda e de proventos de qualquer natureza. Alimentos ou pensão alimentícia oriundos do direito de família não se configuram como renda nem proventos de qualquer natureza do credor dos alimentos, mas montante retirado dos acréscimos patrimoniais recebidos pelo alimentante para ser dado ao alimentado. A percepção desses valores pelo alimentado </w:t>
      </w:r>
    </w:p>
    <w:p>
      <w:pPr>
        <w:ind w:left="288"/>
      </w:pPr>
      <w:r>
        <w:rPr>
          <w:b/>
          <w:color w:val="003CA0"/>
          <w:sz w:val="16"/>
        </w:rPr>
        <w:t>[ADI 5.422, rel. min. Dias Toffoli, j. 6-6-2022, P, DJE de 23-8-2022.]</w:t>
      </w:r>
    </w:p>
    <w:p>
      <w:pPr>
        <w:ind w:left="288"/>
      </w:pPr>
      <w:r>
        <w:rPr>
          <w:color w:val="8C8C8C"/>
          <w:sz w:val="12"/>
        </w:rPr>
        <w:t>cf-art-153-inc-III</w:t>
      </w:r>
      <w:r>
        <w:rPr>
          <w:color w:val="003CA0"/>
          <w:sz w:val="12"/>
        </w:rPr>
        <w:t xml:space="preserve"> | ADI 5.583</w:t>
      </w:r>
    </w:p>
    <w:p>
      <w:pPr>
        <w:ind w:left="288"/>
      </w:pPr>
      <w:r>
        <w:rPr>
          <w:color w:val="1E1E1E"/>
          <w:sz w:val="18"/>
        </w:rPr>
        <w:t>“Ao adotar como critério para a perda da dependência a capacidade para o trabalho, a norma questionada presume o que normalmente acontece: o então dependente passa a arcar com as suas próprias despesas, sem mais representar um ônus financeiro para os seus genitores ou responsáveis. Todavia, não é o que ocorre, como regra, com aqueles que possuem alguém com deficiência, sobretudo grave, na família. Nesse caso, justifica-se a diminuição da base de cálculo do imposto, para que não incida sobre valores que não representam verdadeiro acréscimo patrimonial. (...) Na apuração do imposto sobre a renda</w:t>
      </w:r>
    </w:p>
    <w:p>
      <w:pPr>
        <w:ind w:left="288"/>
      </w:pPr>
      <w:r>
        <w:rPr>
          <w:b/>
          <w:color w:val="003CA0"/>
          <w:sz w:val="16"/>
        </w:rPr>
        <w:t>[ADI 5.583, red. do ac. min. Roberto Barroso, j. 14-5-2021, P, DJE de 28-6-2021.]</w:t>
      </w:r>
    </w:p>
    <w:p>
      <w:pPr>
        <w:ind w:left="288"/>
      </w:pPr>
      <w:r>
        <w:rPr>
          <w:color w:val="8C8C8C"/>
          <w:sz w:val="12"/>
        </w:rPr>
        <w:t>cf-art-153-inc-III</w:t>
      </w:r>
      <w:r>
        <w:rPr>
          <w:color w:val="003CA0"/>
          <w:sz w:val="12"/>
        </w:rPr>
        <w:t xml:space="preserve"> | ADI 2.588</w:t>
      </w:r>
      <w:r>
        <w:rPr>
          <w:color w:val="003CA0"/>
          <w:sz w:val="12"/>
        </w:rPr>
        <w:t xml:space="preserve"> | rel. Joaquim Barbosa</w:t>
      </w:r>
    </w:p>
    <w:p>
      <w:pPr>
        <w:ind w:left="288"/>
      </w:pPr>
      <w:r>
        <w:rPr>
          <w:color w:val="1E1E1E"/>
          <w:sz w:val="18"/>
        </w:rPr>
        <w:t>Imposto de renda e proventos de qualquer natureza. Participação de empresa controladora ou coligada nacional nos lucros auferidos por pessoa jurídica controlada ou coligada sediada no exterior. Legislação que considera disponibilizados os lucros na data do balanço em que tiverem sido apurados (“31 de dezembro de cada ano”). Alegada violação do conceito constitucional de renda. Aplicação da nova metodologia de apuração do tributo para a participação nos lucros apurada em 2001. Violação das regras da irretroatividade e da anterioridade. MP 2.158-35/2001, art. 74. Lei 5.720/1966, art. 43, § 2º (L</w:t>
      </w:r>
    </w:p>
    <w:p>
      <w:pPr>
        <w:ind w:left="288"/>
      </w:pPr>
      <w:r>
        <w:rPr>
          <w:b/>
          <w:color w:val="003CA0"/>
          <w:sz w:val="16"/>
        </w:rPr>
        <w:t>[ADI 2.588, red. do ac. min. Joaquim Barbosa, j. 10-4-2013, P, DJE de 11-2-2014.]</w:t>
        <w:br/>
        <w:t>= RE 611.586, rel. min. Joaquim Barbosa, j. 10-4-2013, P, DJE de 10-10-2014, Tema 537</w:t>
      </w:r>
    </w:p>
    <w:p>
      <w:pPr>
        <w:ind w:left="288"/>
      </w:pPr>
      <w:r>
        <w:rPr>
          <w:color w:val="8C8C8C"/>
          <w:sz w:val="12"/>
        </w:rPr>
        <w:t>cf-art-153-inc-III</w:t>
      </w:r>
      <w:r>
        <w:rPr>
          <w:color w:val="003CA0"/>
          <w:sz w:val="12"/>
        </w:rPr>
        <w:t xml:space="preserve"> | ARE 1.493.235</w:t>
      </w:r>
      <w:r>
        <w:rPr>
          <w:color w:val="003CA0"/>
          <w:sz w:val="12"/>
        </w:rPr>
        <w:t xml:space="preserve"> | rel. Luís Roberto Barroso</w:t>
      </w:r>
    </w:p>
    <w:p>
      <w:pPr>
        <w:ind w:left="288"/>
      </w:pPr>
      <w:r>
        <w:rPr>
          <w:color w:val="1E1E1E"/>
          <w:sz w:val="18"/>
        </w:rPr>
        <w:t>“É infraconstitucional a controvérsia sobre a inclusão do ICMS na base de cálculo do IRPJ e da CSLL apurados sob o regime do lucro presumido”.</w:t>
      </w:r>
    </w:p>
    <w:p>
      <w:pPr>
        <w:ind w:left="288"/>
      </w:pPr>
      <w:r>
        <w:rPr>
          <w:b/>
          <w:color w:val="003CA0"/>
          <w:sz w:val="16"/>
        </w:rPr>
        <w:t>[ARE 1.493.235 RG, rel. min. Luís Roberto Barroso, j. 25.10.2024, P, DJE de 30.10.2024, Tema 1.345, com repercussão geral negada.]</w:t>
      </w:r>
    </w:p>
    <w:p>
      <w:pPr>
        <w:ind w:left="288"/>
      </w:pPr>
      <w:r>
        <w:rPr>
          <w:color w:val="8C8C8C"/>
          <w:sz w:val="12"/>
        </w:rPr>
        <w:t>cf-art-153-inc-III</w:t>
      </w:r>
      <w:r>
        <w:rPr>
          <w:color w:val="003CA0"/>
          <w:sz w:val="12"/>
        </w:rPr>
        <w:t xml:space="preserve"> | ARE 1.327.491</w:t>
      </w:r>
      <w:r>
        <w:rPr>
          <w:color w:val="003CA0"/>
          <w:sz w:val="12"/>
        </w:rPr>
        <w:t xml:space="preserve"> | rel. Dias Toffoli</w:t>
      </w:r>
    </w:p>
    <w:p>
      <w:pPr>
        <w:ind w:left="288"/>
      </w:pPr>
      <w:r>
        <w:rPr>
          <w:color w:val="1E1E1E"/>
          <w:sz w:val="18"/>
        </w:rPr>
        <w:t>“É inconstitucional a sujeição, na forma do art. 7º da Lei nº 9.779/99, com a redação conferida pela Lei nº 13.315/16, dos rendimentos de aposentadoria e de pensão pagos, creditados, entregues, empregados ou remetidos a residentes ou domiciliados no exterior à incidência do imposto de renda na fonte à alíquota de 25% (vinte e cinco por cento)”.</w:t>
      </w:r>
    </w:p>
    <w:p>
      <w:pPr>
        <w:ind w:left="288"/>
      </w:pPr>
      <w:r>
        <w:rPr>
          <w:b/>
          <w:color w:val="003CA0"/>
          <w:sz w:val="16"/>
        </w:rPr>
        <w:t>[ARE 1.327.491, rel. min. Dias Toffoli, j. 21.10.2024, P, DJE de 30.10.2024, Tema 1.174, com mérito julgado.]</w:t>
      </w:r>
    </w:p>
    <w:p>
      <w:pPr>
        <w:ind w:left="144"/>
      </w:pPr>
      <w:r>
        <w:rPr>
          <w:b/>
          <w:color w:val="B45A00"/>
          <w:sz w:val="16"/>
        </w:rPr>
        <w:t>REPERCUSSAO GERAL</w:t>
      </w:r>
    </w:p>
    <w:p>
      <w:pPr>
        <w:ind w:left="288"/>
      </w:pPr>
      <w:r>
        <w:rPr>
          <w:color w:val="8C8C8C"/>
          <w:sz w:val="12"/>
        </w:rPr>
        <w:t>cf-art-153-inc-III</w:t>
      </w:r>
      <w:r>
        <w:rPr>
          <w:color w:val="003CA0"/>
          <w:sz w:val="12"/>
        </w:rPr>
        <w:t xml:space="preserve"> | RE 612.686</w:t>
      </w:r>
      <w:r>
        <w:rPr>
          <w:color w:val="003CA0"/>
          <w:sz w:val="12"/>
        </w:rPr>
        <w:t xml:space="preserve"> | rel. Dias Toffoli</w:t>
      </w:r>
    </w:p>
    <w:p>
      <w:pPr>
        <w:ind w:left="288"/>
      </w:pPr>
      <w:r>
        <w:rPr>
          <w:color w:val="1E1E1E"/>
          <w:sz w:val="18"/>
        </w:rPr>
        <w:t>É constitucional a cobrança, em face das entidades fechadas de previdência complementar não imunes, do imposto de renda retido na fonte (IRRF) e da contribuição social sobre o lucro líquido (CSLL).</w:t>
      </w:r>
    </w:p>
    <w:p>
      <w:pPr>
        <w:ind w:left="288"/>
      </w:pPr>
      <w:r>
        <w:rPr>
          <w:b/>
          <w:color w:val="003CA0"/>
          <w:sz w:val="16"/>
        </w:rPr>
        <w:t>[RE 612.686, rel. min. Dias Toffoli, j. 3-11-2022, P, DJE de 28-11-2022, Tema 699, com mérito julgado.]</w:t>
      </w:r>
    </w:p>
    <w:p>
      <w:pPr>
        <w:ind w:left="288"/>
      </w:pPr>
      <w:r>
        <w:rPr>
          <w:color w:val="8C8C8C"/>
          <w:sz w:val="12"/>
        </w:rPr>
        <w:t>cf-art-153-inc-III</w:t>
      </w:r>
      <w:r>
        <w:rPr>
          <w:color w:val="003CA0"/>
          <w:sz w:val="12"/>
        </w:rPr>
        <w:t xml:space="preserve"> | RE 1.063.187</w:t>
      </w:r>
      <w:r>
        <w:rPr>
          <w:color w:val="003CA0"/>
          <w:sz w:val="12"/>
        </w:rPr>
        <w:t xml:space="preserve"> | rel. Dias Toffoli</w:t>
      </w:r>
    </w:p>
    <w:p>
      <w:pPr>
        <w:ind w:left="288"/>
      </w:pPr>
      <w:r>
        <w:rPr>
          <w:color w:val="1E1E1E"/>
          <w:sz w:val="18"/>
        </w:rPr>
        <w:t>É inconstitucional a incidência do IRPJ e da CSLL sobre os valores atinentes à taxa Selic recebidos em razão de repetição de indébito tributário.</w:t>
      </w:r>
    </w:p>
    <w:p>
      <w:pPr>
        <w:ind w:left="288"/>
      </w:pPr>
      <w:r>
        <w:rPr>
          <w:b/>
          <w:color w:val="003CA0"/>
          <w:sz w:val="16"/>
        </w:rPr>
        <w:t>[RE 1.063.187, rel. min. Dias Toffoli, j. 27-9-2021, P, DJE de 16-12-2022, Tema 962, com mérito julgado.]</w:t>
      </w:r>
    </w:p>
    <w:p>
      <w:pPr>
        <w:ind w:left="288"/>
      </w:pPr>
      <w:r>
        <w:rPr>
          <w:color w:val="8C8C8C"/>
          <w:sz w:val="12"/>
        </w:rPr>
        <w:t>cf-art-153-inc-III</w:t>
      </w:r>
      <w:r>
        <w:rPr>
          <w:color w:val="003CA0"/>
          <w:sz w:val="12"/>
        </w:rPr>
        <w:t xml:space="preserve"> | RE 1.331.654</w:t>
      </w:r>
      <w:r>
        <w:rPr>
          <w:color w:val="003CA0"/>
          <w:sz w:val="12"/>
        </w:rPr>
        <w:t xml:space="preserve"> | rel. Luiz Fux</w:t>
      </w:r>
    </w:p>
    <w:p>
      <w:pPr>
        <w:ind w:left="288"/>
      </w:pPr>
      <w:r>
        <w:rPr>
          <w:color w:val="1E1E1E"/>
          <w:sz w:val="18"/>
        </w:rPr>
        <w:t>É infraconstitucional, a ela se aplicando os efeitos da ausência de repercussão geral, a controvérsia relativa à incidência do Imposto sobre a Renda das Pessoas Jurídicas - IRPJ e da Contribuição Social sobre o Lucro Líquido - CSLL sobre a correção monetária de rendimentos de aplicações financeiras.</w:t>
      </w:r>
    </w:p>
    <w:p>
      <w:pPr>
        <w:ind w:left="288"/>
      </w:pPr>
      <w:r>
        <w:rPr>
          <w:b/>
          <w:color w:val="003CA0"/>
          <w:sz w:val="16"/>
        </w:rPr>
        <w:t>[RE 1.331.654 RG, rel. min. Luiz Fux, j. 9-9-2021, P, DJE de 17-9-2021, Tema 1.168, com repercussão geral negada.]</w:t>
      </w:r>
    </w:p>
    <w:p>
      <w:pPr>
        <w:ind w:left="288"/>
      </w:pPr>
      <w:r>
        <w:rPr>
          <w:color w:val="8C8C8C"/>
          <w:sz w:val="12"/>
        </w:rPr>
        <w:t>cf-art-153-inc-III</w:t>
      </w:r>
      <w:r>
        <w:rPr>
          <w:color w:val="003CA0"/>
          <w:sz w:val="12"/>
        </w:rPr>
        <w:t xml:space="preserve"> | RE 855.649</w:t>
      </w:r>
    </w:p>
    <w:p>
      <w:pPr>
        <w:ind w:left="288"/>
      </w:pPr>
      <w:r>
        <w:rPr>
          <w:color w:val="1E1E1E"/>
          <w:sz w:val="18"/>
        </w:rPr>
        <w:t xml:space="preserve">O artigo 42 da Lei 9.430/1996 estabelece que caracterizam-se também omissão de receita ou de rendimento os valores creditados em conta de depósito ou de investimento mantida junto a instituição financeira, em relação aos quais o titular, pessoa física ou jurídica, regularmente intimado, não comprove, mediante documentação hábil e idônea, a origem dos recursos utilizados nessas operações. Consoante o art. 43 do CTN, o aspecto material da regra matriz de incidência do Imposto de Renda é a aquisição ou disponibilidade de renda ou acréscimos patrimoniais. Diversamente do apontado pelo recorrente, </w:t>
      </w:r>
    </w:p>
    <w:p>
      <w:pPr>
        <w:ind w:left="288"/>
      </w:pPr>
      <w:r>
        <w:rPr>
          <w:b/>
          <w:color w:val="003CA0"/>
          <w:sz w:val="16"/>
        </w:rPr>
        <w:t>[RE 855.649, red. do ac. min. Alexandre de Moraes, j. 3-5-2021, P, DJE de 13-5-2021, Tema 842, com mérito julgado.]</w:t>
      </w:r>
    </w:p>
    <w:p>
      <w:pPr>
        <w:ind w:left="288"/>
      </w:pPr>
      <w:r>
        <w:rPr>
          <w:color w:val="8C8C8C"/>
          <w:sz w:val="12"/>
        </w:rPr>
        <w:t>cf-art-153-inc-III</w:t>
      </w:r>
      <w:r>
        <w:rPr>
          <w:color w:val="003CA0"/>
          <w:sz w:val="12"/>
        </w:rPr>
        <w:t xml:space="preserve"> | RE 855.091</w:t>
      </w:r>
      <w:r>
        <w:rPr>
          <w:color w:val="003CA0"/>
          <w:sz w:val="12"/>
        </w:rPr>
        <w:t xml:space="preserve"> | rel. Dias Toffoli</w:t>
      </w:r>
    </w:p>
    <w:p>
      <w:pPr>
        <w:ind w:left="288"/>
      </w:pPr>
      <w:r>
        <w:rPr>
          <w:color w:val="1E1E1E"/>
          <w:sz w:val="18"/>
        </w:rPr>
        <w:t>Não incide imposto de renda sobre os juros de mora devidos pelo atraso no pagamento de remuneração por exercício de emprego, cargo ou função.</w:t>
      </w:r>
    </w:p>
    <w:p>
      <w:pPr>
        <w:ind w:left="288"/>
      </w:pPr>
      <w:r>
        <w:rPr>
          <w:b/>
          <w:color w:val="003CA0"/>
          <w:sz w:val="16"/>
        </w:rPr>
        <w:t>[RE 855.091, rel. min. Dias Toffoli, j. 15-3-2021, P, DJE de 8-4-2021, Tema 808, com mérito julgado.]</w:t>
      </w:r>
    </w:p>
    <w:p>
      <w:pPr>
        <w:ind w:left="288"/>
      </w:pPr>
      <w:r>
        <w:rPr>
          <w:color w:val="8C8C8C"/>
          <w:sz w:val="12"/>
        </w:rPr>
        <w:t>cf-art-153-inc-III</w:t>
      </w:r>
      <w:r>
        <w:rPr>
          <w:color w:val="003CA0"/>
          <w:sz w:val="12"/>
        </w:rPr>
        <w:t xml:space="preserve"> | RE 545.796</w:t>
      </w:r>
      <w:r>
        <w:rPr>
          <w:color w:val="003CA0"/>
          <w:sz w:val="12"/>
        </w:rPr>
        <w:t xml:space="preserve"> | rel. Gilmar Mendes</w:t>
      </w:r>
    </w:p>
    <w:p>
      <w:pPr>
        <w:ind w:left="288"/>
      </w:pPr>
      <w:r>
        <w:rPr>
          <w:color w:val="1E1E1E"/>
          <w:sz w:val="18"/>
        </w:rPr>
        <w:t>É constitucional a sistemática estabelecida no artigo 3º, inciso I, da Lei 8.200/1991 para a compensação tributária decorrente da correção monetária das demonstrações financeiras de pessoas jurídicas no ano-base 1990.</w:t>
      </w:r>
    </w:p>
    <w:p>
      <w:pPr>
        <w:ind w:left="288"/>
      </w:pPr>
      <w:r>
        <w:rPr>
          <w:b/>
          <w:color w:val="003CA0"/>
          <w:sz w:val="16"/>
        </w:rPr>
        <w:t>[RE 545.796, voto do rel. min. Gilmar Mendes, j. 25-10-2019, P, DJE de 22-11-2019, Tema 298, com mérito julgado.]</w:t>
      </w:r>
    </w:p>
    <w:p>
      <w:pPr>
        <w:ind w:left="288"/>
      </w:pPr>
      <w:r>
        <w:rPr>
          <w:color w:val="8C8C8C"/>
          <w:sz w:val="12"/>
        </w:rPr>
        <w:t>cf-art-153-inc-III</w:t>
      </w:r>
      <w:r>
        <w:rPr>
          <w:color w:val="003CA0"/>
          <w:sz w:val="12"/>
        </w:rPr>
        <w:t xml:space="preserve"> | RE 591.340</w:t>
      </w:r>
    </w:p>
    <w:p>
      <w:pPr>
        <w:ind w:left="288"/>
      </w:pPr>
      <w:r>
        <w:rPr>
          <w:color w:val="1E1E1E"/>
          <w:sz w:val="18"/>
        </w:rPr>
        <w:t>A técnica fiscal de compensação gradual de prejuízos, prevista em nosso ordenamento nos arts. 42 e 58 da Lei 8.981/1995 e 15 e 16 da Lei 9.065/1995, relativamente ao Imposto de Renda de Pessoa Jurídica e à Contribuição Social sobre o Lucro Líquido, não ofende nenhum princípio constitucional regente do Sistema Tributário Nacional. (...) É constitucional a limitação do direito de compensação de prejuízos fiscais do IRPJ e da base de cálculo negativa da CSLL.</w:t>
      </w:r>
    </w:p>
    <w:p>
      <w:pPr>
        <w:ind w:left="288"/>
      </w:pPr>
      <w:r>
        <w:rPr>
          <w:b/>
          <w:color w:val="003CA0"/>
          <w:sz w:val="16"/>
        </w:rPr>
        <w:t>[RE 591.340, red. do ac. min. Alexandre de Moraes, j. 27-6-2019, P, DJE de 3-2-2020, Tema 117, com mérito julgado.]</w:t>
      </w:r>
    </w:p>
    <w:p>
      <w:pPr>
        <w:ind w:left="288"/>
      </w:pPr>
      <w:r>
        <w:rPr>
          <w:color w:val="8C8C8C"/>
          <w:sz w:val="12"/>
        </w:rPr>
        <w:t>cf-art-153-inc-III</w:t>
      </w:r>
      <w:r>
        <w:rPr>
          <w:color w:val="003CA0"/>
          <w:sz w:val="12"/>
        </w:rPr>
        <w:t xml:space="preserve"> | RE 221.142</w:t>
      </w:r>
      <w:r>
        <w:rPr>
          <w:color w:val="003CA0"/>
          <w:sz w:val="12"/>
        </w:rPr>
        <w:t xml:space="preserve"> | rel. Marco Aurélio</w:t>
      </w:r>
    </w:p>
    <w:p>
      <w:pPr>
        <w:ind w:left="288"/>
      </w:pPr>
      <w:r>
        <w:rPr>
          <w:color w:val="1E1E1E"/>
          <w:sz w:val="18"/>
        </w:rPr>
        <w:t>Mostra-se inconstitucional a atualização prevista no art. 30 da Lei 7.799/1989 no que, desconsiderada a inflação, resulta na incidência do imposto de renda sobre lucro fictício.</w:t>
      </w:r>
    </w:p>
    <w:p>
      <w:pPr>
        <w:ind w:left="288"/>
      </w:pPr>
      <w:r>
        <w:rPr>
          <w:b/>
          <w:color w:val="003CA0"/>
          <w:sz w:val="16"/>
        </w:rPr>
        <w:t>[RE 221.142, rel. min. Marco Aurélio, j. 20-11-2013, P, DJE de 30-10-2014, Tema 311, com mérito julgado.]</w:t>
      </w:r>
    </w:p>
    <w:p>
      <w:pPr>
        <w:ind w:left="288"/>
      </w:pPr>
      <w:r>
        <w:rPr>
          <w:color w:val="8C8C8C"/>
          <w:sz w:val="12"/>
        </w:rPr>
        <w:t>cf-art-153-inc-III</w:t>
      </w:r>
      <w:r>
        <w:rPr>
          <w:color w:val="003CA0"/>
          <w:sz w:val="12"/>
        </w:rPr>
        <w:t xml:space="preserve"> | RE 582.525</w:t>
      </w:r>
      <w:r>
        <w:rPr>
          <w:color w:val="003CA0"/>
          <w:sz w:val="12"/>
        </w:rPr>
        <w:t xml:space="preserve"> | rel. Joaquim Barbosa</w:t>
      </w:r>
    </w:p>
    <w:p>
      <w:pPr>
        <w:ind w:left="288"/>
      </w:pPr>
      <w:r>
        <w:rPr>
          <w:color w:val="1E1E1E"/>
          <w:sz w:val="18"/>
        </w:rPr>
        <w:t>O valor pago a título de CSLL não perde a característica de corresponder a parte dos lucros ou da renda do contribuinte pela circunstância de ser utilizado para solver obrigação tributária. É constitucional o art. 1º e parágrafo único da Lei 9.316/1996, que proíbe a dedução do valor da CSLL para fins de apuração do lucro real, base de cálculo do Imposto sobre a Renda das Pessoas Jurídicas.</w:t>
        <w:br/>
        <w:t>[RE 582.525, rel. min. Joaquim Barbosa, j. 9-5-2013, P, DJE de 7-2-2014, Tema 75, com mérito julgado.] Imposto de renda e proventos de qualquer natureza. Participação de empresa controladora ou coligada naci</w:t>
      </w:r>
    </w:p>
    <w:p>
      <w:pPr>
        <w:ind w:left="144"/>
      </w:pPr>
      <w:r>
        <w:rPr>
          <w:b/>
          <w:color w:val="B45A00"/>
          <w:sz w:val="16"/>
        </w:rPr>
        <w:t>JULGADOS CORRELATOS</w:t>
      </w:r>
    </w:p>
    <w:p>
      <w:pPr>
        <w:ind w:left="288"/>
      </w:pPr>
      <w:r>
        <w:rPr>
          <w:color w:val="8C8C8C"/>
          <w:sz w:val="12"/>
        </w:rPr>
        <w:t>cf-art-153-inc-III</w:t>
      </w:r>
      <w:r>
        <w:rPr>
          <w:color w:val="003CA0"/>
          <w:sz w:val="12"/>
        </w:rPr>
        <w:t xml:space="preserve"> | ARE 986.252</w:t>
      </w:r>
      <w:r>
        <w:rPr>
          <w:color w:val="003CA0"/>
          <w:sz w:val="12"/>
        </w:rPr>
        <w:t xml:space="preserve"> | rel. Celso de Mello</w:t>
      </w:r>
    </w:p>
    <w:p>
      <w:pPr>
        <w:ind w:left="288"/>
      </w:pPr>
      <w:r>
        <w:rPr>
          <w:color w:val="1E1E1E"/>
          <w:sz w:val="18"/>
        </w:rPr>
        <w:t>Imposto de renda. Contribuinte pessoa física. Impossibilidade de o Judiciário, atuando como legislador positivo, estabelecer, de modo inovador, mediante utilização de critério próprio, índice de correção monetária da tabela progressiva de incidência do tributo.</w:t>
        <w:br/>
        <w:t>[ARE 986.252 AgR, rel. min. Celso de Mello, j. 9-12-2016, 2ª T, DJE de 21-2-2017.] Conforme jurisprudência reiterada deste STF, não cabe ao Poder Judiciário autorizar a correção monetária da tabela progressiva do imposto de renda na ausência de previsão legal nesse sentido. Entendimento cujo fundamento é o uso regular do poder estatal d</w:t>
      </w:r>
    </w:p>
    <w:p>
      <w:pPr>
        <w:ind w:left="288"/>
      </w:pPr>
      <w:r>
        <w:rPr>
          <w:b/>
          <w:color w:val="003CA0"/>
          <w:sz w:val="16"/>
        </w:rPr>
        <w:t>[RE 388.312, red. do ac. min. Cármen Lúcia, j. 1º-8-2011, P, DJE de 11-10-2011.]</w:t>
      </w:r>
    </w:p>
    <w:p>
      <w:pPr>
        <w:ind w:left="288"/>
      </w:pPr>
      <w:r>
        <w:rPr>
          <w:color w:val="8C8C8C"/>
          <w:sz w:val="12"/>
        </w:rPr>
        <w:t>cf-art-153-inc-III</w:t>
      </w:r>
      <w:r>
        <w:rPr>
          <w:color w:val="003CA0"/>
          <w:sz w:val="12"/>
        </w:rPr>
        <w:t xml:space="preserve"> | AI 643.905</w:t>
      </w:r>
      <w:r>
        <w:rPr>
          <w:color w:val="003CA0"/>
          <w:sz w:val="12"/>
        </w:rPr>
        <w:t xml:space="preserve"> | rel. Marco Aurélio</w:t>
      </w:r>
    </w:p>
    <w:p>
      <w:pPr>
        <w:ind w:left="288"/>
      </w:pPr>
      <w:r>
        <w:rPr>
          <w:color w:val="1E1E1E"/>
          <w:sz w:val="18"/>
        </w:rPr>
        <w:t>= AI 643.905 AgR, rel. min. Marco Aurélio, j. 7-5-2013, 1ª T, DJE de 6-6-2013 Imposto de renda. (...) O direito ao abatimento dos prejuízos fiscais acumulados em exercícios anteriores é expressivo de benefício fiscal em favor do contribuinte. Instrumento de política tributária que pode ser revista pelo Estado. Ausência de direito adquirido. A Lei 8.981/1995 não incide sobre fatos geradores ocorridos antes do início de sua vigência. Prejuízos ocorridos em exercícios anteriores não afetam fato gerador nenhum.</w:t>
      </w:r>
    </w:p>
    <w:p>
      <w:pPr>
        <w:ind w:left="288"/>
      </w:pPr>
      <w:r>
        <w:rPr>
          <w:b/>
          <w:color w:val="003CA0"/>
          <w:sz w:val="16"/>
        </w:rPr>
        <w:t>[RE 344.994, red. do ac. min. Eros Grau, j. 25-3-2009, P, DJE de 28-8-2009.]</w:t>
      </w:r>
    </w:p>
    <w:p>
      <w:pPr>
        <w:ind w:left="288"/>
      </w:pPr>
      <w:r>
        <w:rPr>
          <w:color w:val="8C8C8C"/>
          <w:sz w:val="12"/>
        </w:rPr>
        <w:t>cf-art-153-inc-III</w:t>
      </w:r>
      <w:r>
        <w:rPr>
          <w:color w:val="003CA0"/>
          <w:sz w:val="12"/>
        </w:rPr>
        <w:t xml:space="preserve"> | AI 479.672</w:t>
      </w:r>
      <w:r>
        <w:rPr>
          <w:color w:val="003CA0"/>
          <w:sz w:val="12"/>
        </w:rPr>
        <w:t xml:space="preserve"> | rel. Ellen Gracie</w:t>
      </w:r>
    </w:p>
    <w:p>
      <w:pPr>
        <w:ind w:left="288"/>
      </w:pPr>
      <w:r>
        <w:rPr>
          <w:color w:val="1E1E1E"/>
          <w:sz w:val="18"/>
        </w:rPr>
        <w:t>= AI 479.672 AgR, rel. min. Ellen Gracie, j. 4-5-2010, 2ª T, DJE de 21-5-2010 (...) caracterização, em tese, de crime de sonegação fiscal, a acarretar a competência da Justiça Federal e atrair, pela conexão, o tráfico de entorpecentes: irrelevância da origem ilícita, mesmo quando criminal, da renda subtraída à tributação. A exoneração tributária dos resultados econômicos de fato criminoso – antes de ser corolário do princípio da moralidade – constitui violação do princípio de isonomia fiscal, de manifesta inspiração ética.</w:t>
      </w:r>
    </w:p>
    <w:p>
      <w:pPr>
        <w:ind w:left="288"/>
      </w:pPr>
      <w:r>
        <w:rPr>
          <w:b/>
          <w:color w:val="003CA0"/>
          <w:sz w:val="16"/>
        </w:rPr>
        <w:t>[HC 77.530, rel. min. Sepúlveda Pertence, j. 25-8-1998, 1ª T, DJ de 18-9-1998.]</w:t>
      </w:r>
    </w:p>
    <w:p>
      <w:pPr>
        <w:ind w:left="144"/>
      </w:pPr>
      <w:r>
        <w:rPr>
          <w:b/>
          <w:color w:val="B45A00"/>
          <w:sz w:val="16"/>
        </w:rPr>
        <w:t>REPERCUSSAO GERAL</w:t>
      </w:r>
    </w:p>
    <w:p>
      <w:pPr>
        <w:ind w:left="288"/>
      </w:pPr>
      <w:r>
        <w:rPr>
          <w:color w:val="8C8C8C"/>
          <w:sz w:val="12"/>
        </w:rPr>
        <w:t>cf-art-153-inc-IV</w:t>
      </w:r>
      <w:r>
        <w:rPr>
          <w:color w:val="003CA0"/>
          <w:sz w:val="12"/>
        </w:rPr>
        <w:t xml:space="preserve"> | RE 627.280</w:t>
      </w:r>
      <w:r>
        <w:rPr>
          <w:color w:val="003CA0"/>
          <w:sz w:val="12"/>
        </w:rPr>
        <w:t xml:space="preserve"> | rel. Roberto Barroso</w:t>
      </w:r>
    </w:p>
    <w:p>
      <w:pPr>
        <w:ind w:left="288"/>
      </w:pPr>
      <w:r>
        <w:rPr>
          <w:color w:val="1E1E1E"/>
          <w:sz w:val="18"/>
        </w:rPr>
        <w:t>É infraconstitucional, a ela se aplicando os efeitos da ausência de repercussão geral, a controvérsia relativa à incidência de IPI sobre o bacalhau seco e salgado oriundo de país signatário do GATT.</w:t>
      </w:r>
    </w:p>
    <w:p>
      <w:pPr>
        <w:ind w:left="288"/>
      </w:pPr>
      <w:r>
        <w:rPr>
          <w:b/>
          <w:color w:val="003CA0"/>
          <w:sz w:val="16"/>
        </w:rPr>
        <w:t>[RE 627.280 RG, rel. min. Roberto Barroso, j. 21-3-2022, P, DJE de 29-3-2022, Tema 502, com repercussão geral negada.]</w:t>
      </w:r>
    </w:p>
    <w:p>
      <w:pPr>
        <w:ind w:left="144"/>
      </w:pPr>
      <w:r>
        <w:rPr>
          <w:b/>
          <w:color w:val="B45A00"/>
          <w:sz w:val="16"/>
        </w:rPr>
        <w:t>SUMULA</w:t>
      </w:r>
    </w:p>
    <w:p>
      <w:pPr>
        <w:ind w:left="288"/>
      </w:pPr>
      <w:r>
        <w:rPr>
          <w:color w:val="8C8C8C"/>
          <w:sz w:val="12"/>
        </w:rPr>
        <w:t>cf-art-153-inc-V</w:t>
      </w:r>
    </w:p>
    <w:p>
      <w:pPr>
        <w:ind w:left="288"/>
      </w:pPr>
      <w:r>
        <w:rPr>
          <w:color w:val="1E1E1E"/>
          <w:sz w:val="18"/>
        </w:rPr>
        <w:t>É inconstitucional o inciso V do art. 1º da Lei 8.033/1990, que instituiu a incidência do imposto nas operações de crédito, câmbio e seguros  (IOF) sobre saques efetuados em caderneta de poupança.</w:t>
      </w:r>
    </w:p>
    <w:p>
      <w:pPr>
        <w:ind w:left="288"/>
      </w:pPr>
      <w:r>
        <w:rPr>
          <w:b/>
          <w:color w:val="003CA0"/>
          <w:sz w:val="16"/>
        </w:rPr>
        <w:t>[Súmula 664.]</w:t>
      </w:r>
    </w:p>
    <w:p>
      <w:pPr>
        <w:ind w:left="144"/>
      </w:pPr>
      <w:r>
        <w:rPr>
          <w:b/>
          <w:color w:val="B45A00"/>
          <w:sz w:val="16"/>
        </w:rPr>
        <w:t>CONTROLE CONCENTRADO</w:t>
      </w:r>
    </w:p>
    <w:p>
      <w:pPr>
        <w:ind w:left="288"/>
      </w:pPr>
      <w:r>
        <w:rPr>
          <w:color w:val="8C8C8C"/>
          <w:sz w:val="12"/>
        </w:rPr>
        <w:t>cf-art-153-inc-V</w:t>
      </w:r>
      <w:r>
        <w:rPr>
          <w:color w:val="003CA0"/>
          <w:sz w:val="12"/>
        </w:rPr>
        <w:t xml:space="preserve"> | ADI 1.648</w:t>
      </w:r>
      <w:r>
        <w:rPr>
          <w:color w:val="003CA0"/>
          <w:sz w:val="12"/>
        </w:rPr>
        <w:t xml:space="preserve"> | rel. Gilmar Mendes</w:t>
      </w:r>
    </w:p>
    <w:p>
      <w:pPr>
        <w:ind w:left="288"/>
      </w:pPr>
      <w:r>
        <w:rPr>
          <w:color w:val="1E1E1E"/>
          <w:sz w:val="18"/>
        </w:rPr>
        <w:t>A alienação de salvados configura atividade integrante das operações de seguros e não tem natureza de circulação de mercadoria para fins de incidência do ICMS. Inconstitucionalidade da expressão "e as seguradoras" do inciso IV do art. 15 da Lei 6.763, com redação dada pelo art. 1º da Lei 9.758/1989 do Estado de Minas Gerais. Violação dos arts. 22, VII, e 153, V, da CF.</w:t>
      </w:r>
    </w:p>
    <w:p>
      <w:pPr>
        <w:ind w:left="288"/>
      </w:pPr>
      <w:r>
        <w:rPr>
          <w:b/>
          <w:color w:val="003CA0"/>
          <w:sz w:val="16"/>
        </w:rPr>
        <w:t>[ADI 1.648, rel. min. Gilmar Mendes, j. 16-2-2011, P, DJE de 9-12-2011.]</w:t>
      </w:r>
    </w:p>
    <w:p>
      <w:pPr>
        <w:ind w:left="288"/>
      </w:pPr>
      <w:r>
        <w:rPr>
          <w:color w:val="8C8C8C"/>
          <w:sz w:val="12"/>
        </w:rPr>
        <w:t>cf-art-153-inc-V</w:t>
      </w:r>
      <w:r>
        <w:rPr>
          <w:color w:val="003CA0"/>
          <w:sz w:val="12"/>
        </w:rPr>
        <w:t xml:space="preserve"> | ADI 1.763</w:t>
      </w:r>
      <w:r>
        <w:rPr>
          <w:color w:val="003CA0"/>
          <w:sz w:val="12"/>
        </w:rPr>
        <w:t xml:space="preserve"> | rel. Dias Toffoli</w:t>
      </w:r>
    </w:p>
    <w:p>
      <w:pPr>
        <w:ind w:left="288"/>
      </w:pPr>
      <w:r>
        <w:rPr>
          <w:color w:val="1E1E1E"/>
          <w:sz w:val="18"/>
        </w:rPr>
        <w:t xml:space="preserve">Artigo 58 da Lei 9.532/97. Constitucionalidade. As empresas de factoring são distintas das instituições financeiras, não integrando o Sistema Financeiro Nacional. Não há atividade bancária no factoring nem vinculação entre o contrato de factoring e as atividades desenvolvidas pelas instituições financeiras. O fato de as empresas de factoring não necessitarem ser instituições financeiras não é razão suficiente para inquinar de inconstitucional a norma questionada. E isso porque nada há na Constituição Federal, ou no próprio Código Tributário Nacional, que restrinja a incidência do IOF sobre as </w:t>
      </w:r>
    </w:p>
    <w:p>
      <w:pPr>
        <w:ind w:left="144"/>
      </w:pPr>
      <w:r>
        <w:rPr>
          <w:b/>
          <w:color w:val="B45A00"/>
          <w:sz w:val="16"/>
        </w:rPr>
        <w:t>REPERCUSSAO GERAL</w:t>
      </w:r>
    </w:p>
    <w:p>
      <w:pPr>
        <w:ind w:left="288"/>
      </w:pPr>
      <w:r>
        <w:rPr>
          <w:color w:val="8C8C8C"/>
          <w:sz w:val="12"/>
        </w:rPr>
        <w:t>cf-art-153-inc-V</w:t>
      </w:r>
      <w:r>
        <w:rPr>
          <w:color w:val="003CA0"/>
          <w:sz w:val="12"/>
        </w:rPr>
        <w:t xml:space="preserve"> | RE 590.186</w:t>
      </w:r>
      <w:r>
        <w:rPr>
          <w:color w:val="003CA0"/>
          <w:sz w:val="12"/>
        </w:rPr>
        <w:t xml:space="preserve"> | rel. Cristiano Zanin</w:t>
      </w:r>
    </w:p>
    <w:p>
      <w:pPr>
        <w:ind w:left="288"/>
      </w:pPr>
      <w:r>
        <w:rPr>
          <w:color w:val="1E1E1E"/>
          <w:sz w:val="18"/>
        </w:rPr>
        <w:t>“É constitucional a incidência do IOF sobre operações de crédito correspondentes a mútuo de recursos financeiros entre pessoas jurídicas ou entre pessoa jurídica e pessoa física, não se restringindo às operações realizadas por instituições financeiras”.</w:t>
        <w:br/>
        <w:t>[RE 590.186, rel. min. Cristiano Zanin, j. 9-10-2023, P, DJE de 17-10-2023, Tema 104, com mérito julgado.] Não há incompatibilidade material entre os arts. 1º, IV, da Lei 8.033/1990 e 153, V, da CF, pois a tributação de um negócio jurídico que tenha por objeto ações e respectivas bonificações insere-se na competência tributária atribuída à Uniã</w:t>
      </w:r>
    </w:p>
    <w:p>
      <w:pPr>
        <w:ind w:left="288"/>
      </w:pPr>
      <w:r>
        <w:rPr>
          <w:b/>
          <w:color w:val="003CA0"/>
          <w:sz w:val="16"/>
        </w:rPr>
        <w:t>[RE 588.149, rel. min. Gilmar Mendes, j. 16-2-2011, P, DJE de 6-6-2011, Tema 216, com mérito julgado.]</w:t>
      </w:r>
    </w:p>
    <w:p>
      <w:pPr>
        <w:ind w:left="144"/>
      </w:pPr>
      <w:r>
        <w:rPr>
          <w:b/>
          <w:color w:val="B45A00"/>
          <w:sz w:val="16"/>
        </w:rPr>
        <w:t>SUMULA</w:t>
      </w:r>
    </w:p>
    <w:p>
      <w:pPr>
        <w:ind w:left="288"/>
      </w:pPr>
      <w:r>
        <w:rPr>
          <w:color w:val="8C8C8C"/>
          <w:sz w:val="12"/>
        </w:rPr>
        <w:t>cf-art-153-inc-VI</w:t>
      </w:r>
    </w:p>
    <w:p>
      <w:pPr>
        <w:ind w:left="288"/>
      </w:pPr>
      <w:r>
        <w:rPr>
          <w:color w:val="1E1E1E"/>
          <w:sz w:val="18"/>
        </w:rPr>
        <w:t>É inconstitucional a taxa municipal de conservação de estradas de rodagem cuja base de cálculo seja idêntica à do imposto territorial rural.</w:t>
      </w:r>
    </w:p>
    <w:p>
      <w:pPr>
        <w:ind w:left="288"/>
      </w:pPr>
      <w:r>
        <w:rPr>
          <w:b/>
          <w:color w:val="003CA0"/>
          <w:sz w:val="16"/>
        </w:rPr>
        <w:t>[Súmula 595.]</w:t>
      </w:r>
    </w:p>
    <w:p>
      <w:pPr>
        <w:ind w:left="288"/>
      </w:pPr>
      <w:r>
        <w:rPr>
          <w:color w:val="8C8C8C"/>
          <w:sz w:val="12"/>
        </w:rPr>
        <w:t>cf-art-153-inc-VII</w:t>
      </w:r>
      <w:r>
        <w:rPr>
          <w:color w:val="003CA0"/>
          <w:sz w:val="12"/>
        </w:rPr>
        <w:t xml:space="preserve"> | ADO 55</w:t>
      </w:r>
      <w:r>
        <w:rPr>
          <w:color w:val="003CA0"/>
          <w:sz w:val="12"/>
        </w:rPr>
        <w:t xml:space="preserve"> | rel. Marco Aurélio</w:t>
      </w:r>
    </w:p>
    <w:p>
      <w:pPr>
        <w:ind w:left="288"/>
      </w:pPr>
      <w:r>
        <w:rPr>
          <w:color w:val="1E1E1E"/>
          <w:sz w:val="18"/>
        </w:rPr>
        <w:t>O Congresso Nacional está em mora na edição da lei complementar que regulamenta o imposto sobre grandes fortunas - IGF (CF/1988, art. 153, VII).</w:t>
      </w:r>
    </w:p>
    <w:p>
      <w:pPr>
        <w:ind w:left="288"/>
      </w:pPr>
      <w:r>
        <w:rPr>
          <w:b/>
          <w:color w:val="003CA0"/>
          <w:sz w:val="16"/>
        </w:rPr>
        <w:t>[ADO 55, rel. min. Marco Aurélio, red. do ac. min. Cristiano Zanin, j. 6-11-2025, P, Informativo STF 1.198.]</w:t>
      </w:r>
    </w:p>
    <w:p>
      <w:pPr>
        <w:ind w:left="144"/>
      </w:pPr>
      <w:r>
        <w:rPr>
          <w:b/>
          <w:color w:val="B45A00"/>
          <w:sz w:val="16"/>
        </w:rPr>
        <w:t>REPERCUSSAO GERAL</w:t>
      </w:r>
    </w:p>
    <w:p>
      <w:pPr>
        <w:ind w:left="288"/>
      </w:pPr>
      <w:r>
        <w:rPr>
          <w:color w:val="8C8C8C"/>
          <w:sz w:val="12"/>
        </w:rPr>
        <w:t>cf-art-153-par-1</w:t>
      </w:r>
      <w:r>
        <w:rPr>
          <w:color w:val="003CA0"/>
          <w:sz w:val="12"/>
        </w:rPr>
        <w:t xml:space="preserve"> | RE 570.680</w:t>
      </w:r>
      <w:r>
        <w:rPr>
          <w:color w:val="003CA0"/>
          <w:sz w:val="12"/>
        </w:rPr>
        <w:t xml:space="preserve"> | rel. Ricardo Lewandowski</w:t>
      </w:r>
    </w:p>
    <w:p>
      <w:pPr>
        <w:ind w:left="288"/>
      </w:pPr>
      <w:r>
        <w:rPr>
          <w:color w:val="1E1E1E"/>
          <w:sz w:val="18"/>
        </w:rPr>
        <w:t>É compatível com a Carta Magna a norma infraconstitucional que atribui a órgão integrante do Poder Executivo da União a faculdade de estabelecer as alíquotas do Imposto de Exportação. Competência que não é privativa do presidente da República. Inocorrência de ofensa aos arts. 84, caput, IV, e parágrafo único, e 153, § 1º, da CF ou ao princípio de reserva legal. Precedentes. Faculdade discricionária atribuída à Câmara de Comércio Exterior (CAMEX), que se circunscreve ao disposto no DL 1.578/1977 e às demais normas regulamentares.</w:t>
        <w:br/>
        <w:t>[RE 570.680, rel. min. Ricardo Lewandowski, j. 28-10-2009, P, DJE</w:t>
      </w:r>
    </w:p>
    <w:p>
      <w:pPr>
        <w:ind w:left="144"/>
      </w:pPr>
      <w:r>
        <w:rPr>
          <w:b/>
          <w:color w:val="B45A00"/>
          <w:sz w:val="16"/>
        </w:rPr>
        <w:t>JULGADOS CORRELATOS</w:t>
      </w:r>
    </w:p>
    <w:p>
      <w:pPr>
        <w:ind w:left="288"/>
      </w:pPr>
      <w:r>
        <w:rPr>
          <w:color w:val="8C8C8C"/>
          <w:sz w:val="12"/>
        </w:rPr>
        <w:t>cf-art-153-par-1</w:t>
      </w:r>
      <w:r>
        <w:rPr>
          <w:color w:val="003CA0"/>
          <w:sz w:val="12"/>
        </w:rPr>
        <w:t xml:space="preserve"> | RE 800.282</w:t>
      </w:r>
      <w:r>
        <w:rPr>
          <w:color w:val="003CA0"/>
          <w:sz w:val="12"/>
        </w:rPr>
        <w:t xml:space="preserve"> | rel. Roberto Barroso</w:t>
      </w:r>
    </w:p>
    <w:p>
      <w:pPr>
        <w:ind w:left="288"/>
      </w:pPr>
      <w:r>
        <w:rPr>
          <w:color w:val="1E1E1E"/>
          <w:sz w:val="18"/>
        </w:rPr>
        <w:t>A receita de impostos compõe a reserva necessária para fazer frente a toda e qualquer despesa uti universi, não havendo que se presumir que a majoração do IOF tenha ocorrido necessariamente para repor a perda dos valores anteriormente arrecadados por meio da CPMF. Não há qualquer evidência de que a majoração do IOF, perpetrada pela Portaria MF 348/1998, teve o condão de modificar a natureza jurídica do imposto, desviando sua finalidade e transformando-o em tributo com arrecadação vinculada.</w:t>
      </w:r>
    </w:p>
    <w:p>
      <w:pPr>
        <w:ind w:left="288"/>
      </w:pPr>
      <w:r>
        <w:rPr>
          <w:b/>
          <w:color w:val="003CA0"/>
          <w:sz w:val="16"/>
        </w:rPr>
        <w:t>[RE 800.282 AgR, rel. min. Roberto Barroso, j. 10-2-2015, 1ª T, DJE de 6-3-2015.]</w:t>
      </w:r>
    </w:p>
    <w:p>
      <w:pPr>
        <w:ind w:left="288"/>
      </w:pPr>
      <w:r>
        <w:rPr>
          <w:color w:val="8C8C8C"/>
          <w:sz w:val="12"/>
        </w:rPr>
        <w:t>cf-art-153-par-1</w:t>
      </w:r>
      <w:r>
        <w:rPr>
          <w:color w:val="003CA0"/>
          <w:sz w:val="12"/>
        </w:rPr>
        <w:t xml:space="preserve"> | RE 225.602</w:t>
      </w:r>
      <w:r>
        <w:rPr>
          <w:color w:val="003CA0"/>
          <w:sz w:val="12"/>
        </w:rPr>
        <w:t xml:space="preserve"> | rel. Carlos Velloso</w:t>
      </w:r>
    </w:p>
    <w:p>
      <w:pPr>
        <w:ind w:left="288"/>
      </w:pPr>
      <w:r>
        <w:rPr>
          <w:color w:val="1E1E1E"/>
          <w:sz w:val="18"/>
        </w:rPr>
        <w:t>Imposto de importação: alteração das alíquotas, por ato do Executivo, atendidas as condições e os limites estabelecidos em lei: CF, art. 153, § 1º. A lei de condições e de limites é lei ordinária, dado que a lei complementar somente será exigida se a Constituição, expressamente, assim determinar. No ponto, a Constituição excepcionou a regra inscrita no art. 146, II. A motivação do decreto que alterou as alíquotas encontra-se no procedimento administrativo de sua formação, mesmo porque os motivos do decreto não vêm nele próprio. Fato gerador do imposto de importação: a entrada do produto estran</w:t>
      </w:r>
    </w:p>
    <w:p>
      <w:pPr>
        <w:ind w:left="288"/>
      </w:pPr>
      <w:r>
        <w:rPr>
          <w:b/>
          <w:color w:val="003CA0"/>
          <w:sz w:val="16"/>
        </w:rPr>
        <w:t>[RE 225.602, rel. min. Carlos Velloso, j. 25-11-1998, P, DJ de 6-4-2001.]</w:t>
      </w:r>
    </w:p>
    <w:p>
      <w:pPr>
        <w:ind w:left="288"/>
      </w:pPr>
      <w:r>
        <w:rPr>
          <w:color w:val="8C8C8C"/>
          <w:sz w:val="12"/>
        </w:rPr>
        <w:t>cf-art-153-par-1</w:t>
      </w:r>
      <w:r>
        <w:rPr>
          <w:color w:val="003CA0"/>
          <w:sz w:val="12"/>
        </w:rPr>
        <w:t xml:space="preserve"> | AI 477.722</w:t>
      </w:r>
      <w:r>
        <w:rPr>
          <w:color w:val="003CA0"/>
          <w:sz w:val="12"/>
        </w:rPr>
        <w:t xml:space="preserve"> | rel. Gilmar Mendes</w:t>
      </w:r>
    </w:p>
    <w:p>
      <w:pPr>
        <w:ind w:left="288"/>
      </w:pPr>
      <w:r>
        <w:rPr>
          <w:color w:val="1E1E1E"/>
          <w:sz w:val="18"/>
        </w:rPr>
        <w:t>= AI 477.722 AgR, rel. min. Gilmar Mendes, j. 30-9-2008, 2ª T, DJE de 21-11-2008</w:t>
      </w:r>
    </w:p>
    <w:p>
      <w:pPr>
        <w:ind w:left="144"/>
      </w:pPr>
      <w:r>
        <w:rPr>
          <w:b/>
          <w:color w:val="B45A00"/>
          <w:sz w:val="16"/>
        </w:rPr>
        <w:t>CONTROLE CONCENTRADO</w:t>
      </w:r>
    </w:p>
    <w:p>
      <w:pPr>
        <w:ind w:left="288"/>
      </w:pPr>
      <w:r>
        <w:rPr>
          <w:color w:val="8C8C8C"/>
          <w:sz w:val="12"/>
        </w:rPr>
        <w:t>cf-art-153-par-2-inc-I</w:t>
      </w:r>
      <w:r>
        <w:rPr>
          <w:color w:val="003CA0"/>
          <w:sz w:val="12"/>
        </w:rPr>
        <w:t xml:space="preserve"> | ADI 2.010</w:t>
      </w:r>
      <w:r>
        <w:rPr>
          <w:color w:val="003CA0"/>
          <w:sz w:val="12"/>
        </w:rPr>
        <w:t xml:space="preserve"> | rel. Celso de Mello. A proibição constitucional do confisco em matéria tributária nada mais representa senão a interdição</w:t>
      </w:r>
    </w:p>
    <w:p>
      <w:pPr>
        <w:ind w:left="288"/>
      </w:pPr>
      <w:r>
        <w:rPr>
          <w:color w:val="1E1E1E"/>
          <w:sz w:val="18"/>
        </w:rPr>
        <w:t xml:space="preserve">Tratando-se de matéria sujeita a estrita previsão constitucional – CF, art. 153, § 2º, I; art. 153, § 4º; art. 156, § 1º; art. 182, § 4º, II; art. 195, § 9º (contribuição social devida pelo empregador) –, inexiste espaço de liberdade decisória para o Congresso Nacional, em tema de progressividade tributária, instituir alíquotas progressivas em situações não autorizadas pelo texto da Constituição. Inaplicabilidade, aos servidores estatais, da norma inscrita no art. 195, § 9º, da Constituição. (...) A tributação confiscatória é vedada pela CF. A jurisprudência do STF entende cabível, em sede de </w:t>
      </w:r>
    </w:p>
    <w:p>
      <w:pPr>
        <w:ind w:left="288"/>
      </w:pPr>
      <w:r>
        <w:rPr>
          <w:b/>
          <w:color w:val="003CA0"/>
          <w:sz w:val="16"/>
        </w:rPr>
        <w:t>[ADC 8 MC, rel. min. Celso de Mello, j. 13-10-1999, P, DJ de 4-4-2003.]</w:t>
      </w:r>
    </w:p>
    <w:p>
      <w:pPr>
        <w:ind w:left="144"/>
      </w:pPr>
      <w:r>
        <w:rPr>
          <w:b/>
          <w:color w:val="B45A00"/>
          <w:sz w:val="16"/>
        </w:rPr>
        <w:t>REPERCUSSAO GERAL</w:t>
      </w:r>
    </w:p>
    <w:p>
      <w:pPr>
        <w:ind w:left="288"/>
      </w:pPr>
      <w:r>
        <w:rPr>
          <w:color w:val="8C8C8C"/>
          <w:sz w:val="12"/>
        </w:rPr>
        <w:t>cf-art-153-par-3-inc-I</w:t>
      </w:r>
      <w:r>
        <w:rPr>
          <w:color w:val="003CA0"/>
          <w:sz w:val="12"/>
        </w:rPr>
        <w:t xml:space="preserve"> | RE 606.314</w:t>
      </w:r>
      <w:r>
        <w:rPr>
          <w:color w:val="003CA0"/>
          <w:sz w:val="12"/>
        </w:rPr>
        <w:t xml:space="preserve"> | rel. Roberto Barroso</w:t>
      </w:r>
    </w:p>
    <w:p>
      <w:pPr>
        <w:ind w:left="288"/>
      </w:pPr>
      <w:r>
        <w:rPr>
          <w:color w:val="1E1E1E"/>
          <w:sz w:val="18"/>
        </w:rPr>
        <w:t>É constitucional a fixação de alíquotas de IPI superiores a zero sobre garrafões, garrafas e tampas plásticas, ainda que utilizados para o acondicionamento de produtos essenciais.</w:t>
      </w:r>
    </w:p>
    <w:p>
      <w:pPr>
        <w:ind w:left="288"/>
      </w:pPr>
      <w:r>
        <w:rPr>
          <w:b/>
          <w:color w:val="003CA0"/>
          <w:sz w:val="16"/>
        </w:rPr>
        <w:t>[RE 606.314, rel. min. Roberto Barroso, j. 11-5-2021, P, DJE de 6-7-2021, RG, Tema 501, com mérito julgado.]</w:t>
      </w:r>
    </w:p>
    <w:p>
      <w:pPr>
        <w:ind w:left="288"/>
      </w:pPr>
      <w:r>
        <w:rPr>
          <w:color w:val="8C8C8C"/>
          <w:sz w:val="12"/>
        </w:rPr>
        <w:t>cf-art-153-par-3-inc-I</w:t>
      </w:r>
      <w:r>
        <w:rPr>
          <w:color w:val="003CA0"/>
          <w:sz w:val="12"/>
        </w:rPr>
        <w:t xml:space="preserve"> | RE 592.145</w:t>
      </w:r>
      <w:r>
        <w:rPr>
          <w:color w:val="003CA0"/>
          <w:sz w:val="12"/>
        </w:rPr>
        <w:t xml:space="preserve"> | rel. Marco Aurélio</w:t>
      </w:r>
    </w:p>
    <w:p>
      <w:pPr>
        <w:ind w:left="288"/>
      </w:pPr>
      <w:r>
        <w:rPr>
          <w:color w:val="1E1E1E"/>
          <w:sz w:val="18"/>
        </w:rPr>
        <w:t>(...) surge constitucional, sob o ângulo do caráter seletivo, em função da essencialidade do produto e do tratamento isonômico, o artigo 2º da Lei 8.393/1991, a revelar alíquota máxima de IPI de 18%, assegurada a isenção, quanto aos contribuintes situados na área de atuação da Superintendência de Desenvolvimento do Nordeste (SUDENE) e da Superintendência de Desenvolvimento da Amazônia (SUDAM), e autorização para redução de até 50% da alíquota, presentes contribuintes situados nos Estados do Espírito Santo e do Rio de Janeiro.</w:t>
      </w:r>
    </w:p>
    <w:p>
      <w:pPr>
        <w:ind w:left="288"/>
      </w:pPr>
      <w:r>
        <w:rPr>
          <w:b/>
          <w:color w:val="003CA0"/>
          <w:sz w:val="16"/>
        </w:rPr>
        <w:t>[RE 592.145, rel. min. Marco Aurélio, j. 5-4-2017, P, DJE de 1º-2-2018, Tema 80, com mérito julgado.]</w:t>
      </w:r>
    </w:p>
    <w:p>
      <w:pPr>
        <w:ind w:left="144"/>
      </w:pPr>
      <w:r>
        <w:rPr>
          <w:b/>
          <w:color w:val="B45A00"/>
          <w:sz w:val="16"/>
        </w:rPr>
        <w:t>JULGADOS CORRELATOS</w:t>
      </w:r>
    </w:p>
    <w:p>
      <w:pPr>
        <w:ind w:left="288"/>
      </w:pPr>
      <w:r>
        <w:rPr>
          <w:color w:val="8C8C8C"/>
          <w:sz w:val="12"/>
        </w:rPr>
        <w:t>cf-art-153-par-3-inc-I</w:t>
      </w:r>
      <w:r>
        <w:rPr>
          <w:color w:val="003CA0"/>
          <w:sz w:val="12"/>
        </w:rPr>
        <w:t xml:space="preserve"> | RE 429.306</w:t>
      </w:r>
      <w:r>
        <w:rPr>
          <w:color w:val="003CA0"/>
          <w:sz w:val="12"/>
        </w:rPr>
        <w:t xml:space="preserve"> | rel. Joaquim Barbosa</w:t>
      </w:r>
    </w:p>
    <w:p>
      <w:pPr>
        <w:ind w:left="288"/>
      </w:pPr>
      <w:r>
        <w:rPr>
          <w:color w:val="1E1E1E"/>
          <w:sz w:val="18"/>
        </w:rPr>
        <w:t>(...) não há violação do dever fundamental de prestação de serviços de saúde. O princípio da seletividade impõe que o poder público gradue a carga tributária conforme a essencialidade da operação ou do produto. Isso não significa haver imunidade, ainda que as operações ou os bens sejam essenciais ao ser humano. Em especial há que ser considerado o princípio da capacidade contributiva, da concorrência e da livre iniciativa, considerado o postulado da solidariedade no custeio das atividades estatais.</w:t>
      </w:r>
    </w:p>
    <w:p>
      <w:pPr>
        <w:ind w:left="288"/>
      </w:pPr>
      <w:r>
        <w:rPr>
          <w:b/>
          <w:color w:val="003CA0"/>
          <w:sz w:val="16"/>
        </w:rPr>
        <w:t>[RE 429.306, voto do rel. min. Joaquim Barbosa, j. 1º-2-2011, 2ª T, DJE de 16-3-2011.]</w:t>
      </w:r>
    </w:p>
    <w:p>
      <w:pPr>
        <w:ind w:left="288"/>
      </w:pPr>
      <w:r>
        <w:rPr>
          <w:color w:val="8C8C8C"/>
          <w:sz w:val="12"/>
        </w:rPr>
        <w:t>cf-art-153-par-3-inc-I</w:t>
      </w:r>
      <w:r>
        <w:rPr>
          <w:color w:val="003CA0"/>
          <w:sz w:val="12"/>
        </w:rPr>
        <w:t xml:space="preserve"> | RE 566.819</w:t>
      </w:r>
      <w:r>
        <w:rPr>
          <w:color w:val="003CA0"/>
          <w:sz w:val="12"/>
        </w:rPr>
        <w:t xml:space="preserve"> | rel. Marco Aurélio</w:t>
      </w:r>
    </w:p>
    <w:p>
      <w:pPr>
        <w:ind w:left="288"/>
      </w:pPr>
      <w:r>
        <w:rPr>
          <w:color w:val="1E1E1E"/>
          <w:sz w:val="18"/>
        </w:rPr>
        <w:t>Consoante dispõe o inciso I do § 3º do art. 153 da Carta Federal, o IPI é seletivo. Vale dizer sobre a possibilidade de haver alíquotas diferentes considerados não só os diversos insumos como também a variedade de produtos. Eis a essência do caráter seletivo. Ora, uma vez adquirido o insumo mediante incidência do tributo com certa alíquota, o creditamento faz-se ante o que realmente recolhido. A saída final do produto gera novo cálculo e, então, como já ocorreu o creditamento quanto ao que recolhido na aquisição do insumo, a incidência da alíquota dá-se sobre o preço, o valor total. Não se com</w:t>
      </w:r>
    </w:p>
    <w:p>
      <w:pPr>
        <w:ind w:left="288"/>
      </w:pPr>
      <w:r>
        <w:rPr>
          <w:b/>
          <w:color w:val="003CA0"/>
          <w:sz w:val="16"/>
        </w:rPr>
        <w:t>[RE 566.819, voto do rel. min. Marco Aurélio, j. 29-9-2010, P, DJE de 10-2-2011.]</w:t>
      </w:r>
    </w:p>
    <w:p>
      <w:pPr>
        <w:ind w:left="288"/>
      </w:pPr>
      <w:r>
        <w:rPr>
          <w:color w:val="8C8C8C"/>
          <w:sz w:val="12"/>
        </w:rPr>
        <w:t>cf-art-153-par-3-inc-I</w:t>
      </w:r>
      <w:r>
        <w:rPr>
          <w:color w:val="003CA0"/>
          <w:sz w:val="12"/>
        </w:rPr>
        <w:t xml:space="preserve"> | AC 1.657</w:t>
      </w:r>
      <w:r>
        <w:rPr>
          <w:color w:val="003CA0"/>
          <w:sz w:val="12"/>
        </w:rPr>
        <w:t xml:space="preserve"> | rel. Cezar Peluso</w:t>
      </w:r>
    </w:p>
    <w:p>
      <w:pPr>
        <w:ind w:left="288"/>
      </w:pPr>
      <w:r>
        <w:rPr>
          <w:color w:val="1E1E1E"/>
          <w:sz w:val="18"/>
        </w:rPr>
        <w:t>A elevada alíquota do IPI caracteriza-o, no setor da indústria do tabaco, como tributo dessa categoria, com a nítida função de desestímulo por indução na economia. E isso não pode deixar de interferir na decisão estratégica de cada empresa de produzir ou não produzir cigarros. É que, determinada a produzi-lo, deve a indústria submeter-se, é óbvio, às exigências normativas oponíveis a todos os participantes do setor, entre as quais a regularidade fiscal constitui requisito necessário, menos à concessão do que à preservação do registro especial, sem o qual a produção de cigarros é vedada e ilíci</w:t>
      </w:r>
    </w:p>
    <w:p>
      <w:pPr>
        <w:ind w:left="288"/>
      </w:pPr>
      <w:r>
        <w:rPr>
          <w:b/>
          <w:color w:val="003CA0"/>
          <w:sz w:val="16"/>
        </w:rPr>
        <w:t>[AC 1.657 MC, voto do rel. p/ o ac. min. Cezar Peluso, j. 27-6-2007, P, DJ de 31-8-2007.]</w:t>
      </w:r>
    </w:p>
    <w:p>
      <w:pPr>
        <w:ind w:left="288"/>
      </w:pPr>
      <w:r>
        <w:rPr>
          <w:color w:val="8C8C8C"/>
          <w:sz w:val="12"/>
        </w:rPr>
        <w:t>cf-art-153-par-3-inc-II</w:t>
      </w:r>
      <w:r>
        <w:rPr>
          <w:color w:val="003CA0"/>
          <w:sz w:val="12"/>
        </w:rPr>
        <w:t xml:space="preserve"> | ADI 7.135</w:t>
      </w:r>
      <w:r>
        <w:rPr>
          <w:color w:val="003CA0"/>
          <w:sz w:val="12"/>
        </w:rPr>
        <w:t xml:space="preserve"> | rel. Gilmar Mendes</w:t>
      </w:r>
    </w:p>
    <w:p>
      <w:pPr>
        <w:ind w:left="288"/>
      </w:pPr>
      <w:r>
        <w:rPr>
          <w:color w:val="1E1E1E"/>
          <w:sz w:val="18"/>
        </w:rPr>
        <w:t>Ação direta de inconstitucionalidade. Regime de suspensão do IPI. Limitação ao direito de creditamento. Constitucionalidade do § 5º do art. 29 da Lei nº 10.637/2002. (...) O princípio da não cumulatividade pressupõe a efetiva cobrança do tributo na operação anterior; inexistindo pagamento do imposto – como ocorre nos casos de suspensão que redunda na ulterior remissão do crédito tributário – não há crédito a ser apropriado pelo adquirente. A sistemática do art. 29, § 5º, da Lei nº 10.637/2002 representa uma escolha legislativa legítima, voltada à etapa inicial da cadeia produtiva, compatível c</w:t>
      </w:r>
    </w:p>
    <w:p>
      <w:pPr>
        <w:ind w:left="288"/>
      </w:pPr>
      <w:r>
        <w:rPr>
          <w:b/>
          <w:color w:val="003CA0"/>
          <w:sz w:val="16"/>
        </w:rPr>
        <w:t>[ADI 7.135, rel. min. Gilmar Mendes, j. 19.08.2025, P, DJE de 26.08.2025.]</w:t>
      </w:r>
    </w:p>
    <w:p>
      <w:pPr>
        <w:ind w:left="144"/>
      </w:pPr>
      <w:r>
        <w:rPr>
          <w:b/>
          <w:color w:val="B45A00"/>
          <w:sz w:val="16"/>
        </w:rPr>
        <w:t>REPERCUSSAO GERAL</w:t>
      </w:r>
    </w:p>
    <w:p>
      <w:pPr>
        <w:ind w:left="288"/>
      </w:pPr>
      <w:r>
        <w:rPr>
          <w:color w:val="8C8C8C"/>
          <w:sz w:val="12"/>
        </w:rPr>
        <w:t>cf-art-153-par-3-inc-II</w:t>
      </w:r>
      <w:r>
        <w:rPr>
          <w:color w:val="003CA0"/>
          <w:sz w:val="12"/>
        </w:rPr>
        <w:t xml:space="preserve"> | RE 592.891</w:t>
      </w:r>
      <w:r>
        <w:rPr>
          <w:color w:val="003CA0"/>
          <w:sz w:val="12"/>
        </w:rPr>
        <w:t xml:space="preserve"> | rel. Rosa Weber</w:t>
      </w:r>
    </w:p>
    <w:p>
      <w:pPr>
        <w:ind w:left="288"/>
      </w:pPr>
      <w:r>
        <w:rPr>
          <w:color w:val="1E1E1E"/>
          <w:sz w:val="18"/>
        </w:rPr>
        <w:t>À luz do postulado da razoabilidade, a regra da não cumulatividade esculpida no artigo 153, § 3º, II da Constituição, se compreendida como uma exigência de crédito presumido para creditamento diante de toda e qualquer isenção, cede espaço para a realização da igualdade, do pacto federativo, dos objetivos fundamentais da República Federativa do Brasil e da soberania nacional.</w:t>
      </w:r>
    </w:p>
    <w:p>
      <w:pPr>
        <w:ind w:left="288"/>
      </w:pPr>
      <w:r>
        <w:rPr>
          <w:b/>
          <w:color w:val="003CA0"/>
          <w:sz w:val="16"/>
        </w:rPr>
        <w:t>[RE 592.891, rel. min. Rosa Weber, j. 25-4-2019, P, DJE de 20-9-2019, Tema 322, com mérito julgado.]</w:t>
      </w:r>
    </w:p>
    <w:p>
      <w:pPr>
        <w:ind w:left="288"/>
      </w:pPr>
      <w:r>
        <w:rPr>
          <w:color w:val="8C8C8C"/>
          <w:sz w:val="12"/>
        </w:rPr>
        <w:t>cf-art-153-par-3-inc-II</w:t>
      </w:r>
      <w:r>
        <w:rPr>
          <w:color w:val="003CA0"/>
          <w:sz w:val="12"/>
        </w:rPr>
        <w:t xml:space="preserve"> | RE 723.651</w:t>
      </w:r>
      <w:r>
        <w:rPr>
          <w:color w:val="003CA0"/>
          <w:sz w:val="12"/>
        </w:rPr>
        <w:t xml:space="preserve"> | rel. Marco Aurélio</w:t>
      </w:r>
    </w:p>
    <w:p>
      <w:pPr>
        <w:ind w:left="288"/>
      </w:pPr>
      <w:r>
        <w:rPr>
          <w:color w:val="1E1E1E"/>
          <w:sz w:val="18"/>
        </w:rPr>
        <w:t>Incide, na importação de bens para uso próprio, o IPI, sendo neutro o fato de tratar-se de consumidor final.</w:t>
      </w:r>
    </w:p>
    <w:p>
      <w:pPr>
        <w:ind w:left="288"/>
      </w:pPr>
      <w:r>
        <w:rPr>
          <w:b/>
          <w:color w:val="003CA0"/>
          <w:sz w:val="16"/>
        </w:rPr>
        <w:t>[RE 723.651, rel. min. Marco Aurélio, j. 4-2-2016, P, DJE de 5-8-2016, Tema 643, com mérito julgado.]</w:t>
      </w:r>
    </w:p>
    <w:p>
      <w:pPr>
        <w:ind w:left="288"/>
      </w:pPr>
      <w:r>
        <w:rPr>
          <w:color w:val="8C8C8C"/>
          <w:sz w:val="12"/>
        </w:rPr>
        <w:t>cf-art-153-par-3-inc-II</w:t>
      </w:r>
      <w:r>
        <w:rPr>
          <w:color w:val="003CA0"/>
          <w:sz w:val="12"/>
        </w:rPr>
        <w:t xml:space="preserve"> | RE 398.365</w:t>
      </w:r>
      <w:r>
        <w:rPr>
          <w:color w:val="003CA0"/>
          <w:sz w:val="12"/>
        </w:rPr>
        <w:t xml:space="preserve"> | rel. Gilmar Mendes</w:t>
      </w:r>
    </w:p>
    <w:p>
      <w:pPr>
        <w:ind w:left="288"/>
      </w:pPr>
      <w:r>
        <w:rPr>
          <w:color w:val="1E1E1E"/>
          <w:sz w:val="18"/>
        </w:rPr>
        <w:t>Os princípios da não cumulatividade e da seletividade, previstos no art. 153, § 3º, I e II, da CF, não asseguram direito de crédito presumido de IPI para o contribuinte adquirente de insumos não tributados ou sujeitos à alíquota zero.</w:t>
        <w:br/>
        <w:t>[RE 398.365 RG, rel. min. Gilmar Mendes, j. 27-8-2015, P, DJE de 22-9-2015, Tema 844, com mérito julgado.] Antes do advento da Lei  9.779/1999, não havia base, quer sob o aspecto interpretativo em virtude do princípio da não cumulatividade, quer sob o aspecto legal expresso, para concluir-se pela procedência do direito ao creditamento, levando-se em conta a isenç</w:t>
      </w:r>
    </w:p>
    <w:p>
      <w:pPr>
        <w:ind w:left="144"/>
      </w:pPr>
      <w:r>
        <w:rPr>
          <w:b/>
          <w:color w:val="B45A00"/>
          <w:sz w:val="16"/>
        </w:rPr>
        <w:t>JULGADOS CORRELATOS</w:t>
      </w:r>
    </w:p>
    <w:p>
      <w:pPr>
        <w:ind w:left="288"/>
      </w:pPr>
      <w:r>
        <w:rPr>
          <w:color w:val="8C8C8C"/>
          <w:sz w:val="12"/>
        </w:rPr>
        <w:t>cf-art-153-par-3-inc-II</w:t>
      </w:r>
      <w:r>
        <w:rPr>
          <w:color w:val="003CA0"/>
          <w:sz w:val="12"/>
        </w:rPr>
        <w:t xml:space="preserve"> | RE 299.605</w:t>
      </w:r>
      <w:r>
        <w:rPr>
          <w:color w:val="003CA0"/>
          <w:sz w:val="12"/>
        </w:rPr>
        <w:t xml:space="preserve"> | rel. Edson Fachin</w:t>
      </w:r>
    </w:p>
    <w:p>
      <w:pPr>
        <w:ind w:left="288"/>
      </w:pPr>
      <w:r>
        <w:rPr>
          <w:color w:val="1E1E1E"/>
          <w:sz w:val="18"/>
        </w:rPr>
        <w:t>A mora injustificada ou irrazoável do fisco em restituir o valor devido ao contribuinte caracteriza a "resistência ilegítima" autorizadora da incidência da correção monetária.</w:t>
      </w:r>
    </w:p>
    <w:p>
      <w:pPr>
        <w:ind w:left="288"/>
      </w:pPr>
      <w:r>
        <w:rPr>
          <w:b/>
          <w:color w:val="003CA0"/>
          <w:sz w:val="16"/>
        </w:rPr>
        <w:t>[RE 299.605 AgR-ED-EDv, rel. min. Edson Fachin, j. 6-4-2016, P, DJE de 20-6-2016.]</w:t>
      </w:r>
    </w:p>
    <w:p>
      <w:pPr>
        <w:ind w:left="288"/>
      </w:pPr>
      <w:r>
        <w:rPr>
          <w:color w:val="8C8C8C"/>
          <w:sz w:val="12"/>
        </w:rPr>
        <w:t>cf-art-153-par-3-inc-II</w:t>
      </w:r>
      <w:r>
        <w:rPr>
          <w:color w:val="003CA0"/>
          <w:sz w:val="12"/>
        </w:rPr>
        <w:t xml:space="preserve"> | RE 523.416</w:t>
      </w:r>
      <w:r>
        <w:rPr>
          <w:color w:val="003CA0"/>
          <w:sz w:val="12"/>
        </w:rPr>
        <w:t xml:space="preserve"> | rel. Joaquim Barbosa</w:t>
      </w:r>
    </w:p>
    <w:p>
      <w:pPr>
        <w:ind w:left="288"/>
      </w:pPr>
      <w:r>
        <w:rPr>
          <w:color w:val="1E1E1E"/>
          <w:sz w:val="18"/>
        </w:rPr>
        <w:t>O regime de apuração e de escrituração de tributos "Simples" diminui a carga tributária bruta e a complexidade das obrigações acessórias. Em compensação, nega o direito ao aproveitamento de créditos relativos ao IPI.</w:t>
      </w:r>
    </w:p>
    <w:p>
      <w:pPr>
        <w:ind w:left="288"/>
      </w:pPr>
      <w:r>
        <w:rPr>
          <w:b/>
          <w:color w:val="003CA0"/>
          <w:sz w:val="16"/>
        </w:rPr>
        <w:t>[RE 523.416 AgR, voto do rel. min. Joaquim Barbosa, j. 18-10-2011, 2ª T, DJE de 4-11-2011.]</w:t>
      </w:r>
    </w:p>
    <w:p>
      <w:pPr>
        <w:ind w:left="288"/>
      </w:pPr>
      <w:r>
        <w:rPr>
          <w:color w:val="8C8C8C"/>
          <w:sz w:val="12"/>
        </w:rPr>
        <w:t>cf-art-153-par-3-inc-II</w:t>
      </w:r>
      <w:r>
        <w:rPr>
          <w:color w:val="003CA0"/>
          <w:sz w:val="12"/>
        </w:rPr>
        <w:t xml:space="preserve"> | AI 764.201</w:t>
      </w:r>
      <w:r>
        <w:rPr>
          <w:color w:val="003CA0"/>
          <w:sz w:val="12"/>
        </w:rPr>
        <w:t xml:space="preserve"> | rel. Cármen Lúcia</w:t>
      </w:r>
    </w:p>
    <w:p>
      <w:pPr>
        <w:ind w:left="288"/>
      </w:pPr>
      <w:r>
        <w:rPr>
          <w:color w:val="1E1E1E"/>
          <w:sz w:val="18"/>
        </w:rPr>
        <w:t>= AI 764.201 AgR, rel. min. Cármen Lúcia, j. 27-3-2012, 1ª T, DJE de 23-4-2012 Esta Corte entende que a atualização monetária do tributo, tal como previsto na Lei 8.383/1991, não ofende o princípio da não cumulatividade.</w:t>
      </w:r>
    </w:p>
    <w:p>
      <w:pPr>
        <w:ind w:left="288"/>
      </w:pPr>
      <w:r>
        <w:rPr>
          <w:b/>
          <w:color w:val="003CA0"/>
          <w:sz w:val="16"/>
        </w:rPr>
        <w:t>[RE 249.725 AgR, rel. min. Cezar Peluso, j. 15-12-2009, 2ª T, DJE de 19-2-2010.]</w:t>
      </w:r>
    </w:p>
    <w:p>
      <w:pPr>
        <w:ind w:left="288"/>
      </w:pPr>
      <w:r>
        <w:rPr>
          <w:color w:val="8C8C8C"/>
          <w:sz w:val="12"/>
        </w:rPr>
        <w:t>cf-art-153-par-3-inc-II</w:t>
      </w:r>
      <w:r>
        <w:rPr>
          <w:color w:val="003CA0"/>
          <w:sz w:val="12"/>
        </w:rPr>
        <w:t xml:space="preserve"> | AI 744.417</w:t>
      </w:r>
      <w:r>
        <w:rPr>
          <w:color w:val="003CA0"/>
          <w:sz w:val="12"/>
        </w:rPr>
        <w:t xml:space="preserve"> | rel. Rosa Weber</w:t>
      </w:r>
    </w:p>
    <w:p>
      <w:pPr>
        <w:ind w:left="288"/>
      </w:pPr>
      <w:r>
        <w:rPr>
          <w:color w:val="1E1E1E"/>
          <w:sz w:val="18"/>
        </w:rPr>
        <w:t>= AI 744.417 AgR, rel. min. Rosa Weber, j. 17-3-2015, 1ª T, DJE de 31-3-2015 Nos termos da jurisprudência deste Tribunal, não incide correção monetária sobre créditos escriturais de IPI.</w:t>
      </w:r>
    </w:p>
    <w:p>
      <w:pPr>
        <w:ind w:left="288"/>
      </w:pPr>
      <w:r>
        <w:rPr>
          <w:b/>
          <w:color w:val="003CA0"/>
          <w:sz w:val="16"/>
        </w:rPr>
        <w:t>[RE 410.795 AgR, rel. min. Joaquim Barbosa, j. 29-9-2009, 2ª T, DJE de 29-10-2009.]</w:t>
      </w:r>
    </w:p>
    <w:p>
      <w:pPr>
        <w:ind w:left="288"/>
      </w:pPr>
      <w:r>
        <w:rPr>
          <w:color w:val="8C8C8C"/>
          <w:sz w:val="12"/>
        </w:rPr>
        <w:t>cf-art-153-par-3-inc-II</w:t>
      </w:r>
      <w:r>
        <w:rPr>
          <w:color w:val="003CA0"/>
          <w:sz w:val="12"/>
        </w:rPr>
        <w:t xml:space="preserve"> | AI 488.293</w:t>
      </w:r>
      <w:r>
        <w:rPr>
          <w:color w:val="003CA0"/>
          <w:sz w:val="12"/>
        </w:rPr>
        <w:t xml:space="preserve"> | rel. Joaquim Barbosa</w:t>
      </w:r>
    </w:p>
    <w:p>
      <w:pPr>
        <w:ind w:left="288"/>
      </w:pPr>
      <w:r>
        <w:rPr>
          <w:color w:val="1E1E1E"/>
          <w:sz w:val="18"/>
        </w:rPr>
        <w:t>Vide AI 488.293 ED, rel. min. Joaquim Barbosa, j. 20-4-2010, 2ª T, DJE de 4-6-2010 A jurisprudência do STF firmou-se no sentido de não reconhecer, ao contribuinte, o direito de creditar-se do valor do IPI, quando pago em razão de operações de aquisição de bens destinados ao uso e/ou à integração no ativo fixo do seu próprio estabelecimento.</w:t>
      </w:r>
    </w:p>
    <w:p>
      <w:pPr>
        <w:ind w:left="288"/>
      </w:pPr>
      <w:r>
        <w:rPr>
          <w:b/>
          <w:color w:val="003CA0"/>
          <w:sz w:val="16"/>
        </w:rPr>
        <w:t>[RE 593.772 ED, rel. min. Celso de Mello, j. 24-3-2009, 2ª T, DJE de 30-4-2009.]</w:t>
      </w:r>
    </w:p>
    <w:p>
      <w:pPr>
        <w:ind w:left="288"/>
      </w:pPr>
      <w:r>
        <w:rPr>
          <w:color w:val="8C8C8C"/>
          <w:sz w:val="12"/>
        </w:rPr>
        <w:t>cf-art-153-par-3-inc-II</w:t>
      </w:r>
      <w:r>
        <w:rPr>
          <w:color w:val="003CA0"/>
          <w:sz w:val="12"/>
        </w:rPr>
        <w:t xml:space="preserve"> | ARE 903.348</w:t>
      </w:r>
      <w:r>
        <w:rPr>
          <w:color w:val="003CA0"/>
          <w:sz w:val="12"/>
        </w:rPr>
        <w:t xml:space="preserve"> | rel. Roberto Barroso</w:t>
      </w:r>
    </w:p>
    <w:p>
      <w:pPr>
        <w:ind w:left="288"/>
      </w:pPr>
      <w:r>
        <w:rPr>
          <w:color w:val="1E1E1E"/>
          <w:sz w:val="18"/>
        </w:rPr>
        <w:t>= ARE 903.348 AgR, rel. min. Roberto Barroso, j. 25-8-2015, 1ª T, DJE de 23-9-2015 = RE 496.715 AgR, rel. min. Joaquim Barbosa, j. 15-5-2012, 2ª T, DJE de 4-6-2012 Veículo importado por pessoa física que não é comerciante nem empresário, destinado ao uso próprio: não incidência do IPI: aplicabilidade do princípio da não cumulatividade: CF, art. 153, § 3º, II.</w:t>
      </w:r>
    </w:p>
    <w:p>
      <w:pPr>
        <w:ind w:left="288"/>
      </w:pPr>
      <w:r>
        <w:rPr>
          <w:b/>
          <w:color w:val="003CA0"/>
          <w:sz w:val="16"/>
        </w:rPr>
        <w:t>[RE 255.682 AgR e RE 272.230 AgR, rel. min. Carlos Velloso, j. 29-11-2005, 2ª T, DJ de 10-2-2006.]</w:t>
      </w:r>
    </w:p>
    <w:p>
      <w:pPr>
        <w:ind w:left="288"/>
      </w:pPr>
      <w:r>
        <w:rPr>
          <w:color w:val="8C8C8C"/>
          <w:sz w:val="12"/>
        </w:rPr>
        <w:t>cf-art-153-par-3-inc-II</w:t>
      </w:r>
      <w:r>
        <w:rPr>
          <w:color w:val="003CA0"/>
          <w:sz w:val="12"/>
        </w:rPr>
        <w:t xml:space="preserve"> | RE 550.170</w:t>
      </w:r>
      <w:r>
        <w:rPr>
          <w:color w:val="003CA0"/>
          <w:sz w:val="12"/>
        </w:rPr>
        <w:t xml:space="preserve"> | rel. Ricardo Lewandowski</w:t>
      </w:r>
    </w:p>
    <w:p>
      <w:pPr>
        <w:ind w:left="288"/>
      </w:pPr>
      <w:r>
        <w:rPr>
          <w:color w:val="1E1E1E"/>
          <w:sz w:val="18"/>
        </w:rPr>
        <w:t>= RE 550.170 AgR, rel. min. Ricardo Lewandowski, j. 7-6-2011, 1ª T, DJE de 4-8-2011</w:t>
      </w:r>
    </w:p>
    <w:p>
      <w:pPr>
        <w:ind w:left="288"/>
      </w:pPr>
      <w:r>
        <w:rPr>
          <w:color w:val="8C8C8C"/>
          <w:sz w:val="12"/>
        </w:rPr>
        <w:t>cf-art-153-par-3-inc-III</w:t>
      </w:r>
      <w:r>
        <w:rPr>
          <w:color w:val="003CA0"/>
          <w:sz w:val="12"/>
        </w:rPr>
        <w:t xml:space="preserve"> | RE 1.393.804</w:t>
      </w:r>
      <w:r>
        <w:rPr>
          <w:color w:val="003CA0"/>
          <w:sz w:val="12"/>
        </w:rPr>
        <w:t xml:space="preserve"> | rel. Roberto Barroso</w:t>
      </w:r>
    </w:p>
    <w:p>
      <w:pPr>
        <w:ind w:left="288"/>
      </w:pPr>
      <w:r>
        <w:rPr>
          <w:color w:val="1E1E1E"/>
          <w:sz w:val="18"/>
        </w:rPr>
        <w:t>É legítima a declaração segregada das receitas decorrentes da exportação de serviços para a Zona Franca de Manaus, como forma de possibilitar a eficaz aplicação das regras de imunidade alocadas no texto constitucional, notadamente as previstas nos arts. 149, § 2º, I; 153, IV, § 3º, III; e 155, II, § 2º, X, a. Permitir a tributação sobre operações imunes, mesmo na sistemática do Simples, seria equivocado, pois a Lei Complementar nº 123/2006 não pode se sobrepor às normas constitucionais imunizantes.</w:t>
      </w:r>
    </w:p>
    <w:p>
      <w:pPr>
        <w:ind w:left="288"/>
      </w:pPr>
      <w:r>
        <w:rPr>
          <w:b/>
          <w:color w:val="003CA0"/>
          <w:sz w:val="16"/>
        </w:rPr>
        <w:t>[RE 1.393.804 AgR, rel. min. Roberto Barroso, j. 5-12-2022, 1ª T, DJE de 7-12-2022.]</w:t>
      </w:r>
    </w:p>
    <w:p>
      <w:pPr>
        <w:ind w:left="288"/>
      </w:pPr>
      <w:r>
        <w:rPr>
          <w:color w:val="8C8C8C"/>
          <w:sz w:val="12"/>
        </w:rPr>
        <w:t>cf-art-153-par-3-inc-IV</w:t>
      </w:r>
      <w:r>
        <w:rPr>
          <w:color w:val="003CA0"/>
          <w:sz w:val="12"/>
        </w:rPr>
        <w:t xml:space="preserve"> | AI 360.461</w:t>
      </w:r>
      <w:r>
        <w:rPr>
          <w:color w:val="003CA0"/>
          <w:sz w:val="12"/>
        </w:rPr>
        <w:t xml:space="preserve"> | rel. Celso de Mello). (...) Isenção tributária: reserva constitucional de lei em sentido formal e postulado da separação de poderes. [AI 360.461 AgR</w:t>
      </w:r>
    </w:p>
    <w:p>
      <w:pPr>
        <w:ind w:left="288"/>
      </w:pPr>
      <w:r>
        <w:rPr>
          <w:color w:val="1E1E1E"/>
          <w:sz w:val="18"/>
        </w:rPr>
        <w:t xml:space="preserve">IPI. Açúcar de cana. Lei 8.393/1991 (art. 2º). Isenção fiscal. Critério espacial. Aplicabilidade. Exclusão de benefício. Alegada ofensa ao princípio da isonomia. Inocorrência. Norma legal destituída de conteúdo arbitrário. Atuação do judiciário como legislador positivo. Inadmissibilidade. Recurso improvido. Concessão de isenção tributária e utilização extrafiscal do IPI. (...) O postulado constitucional da isonomia. A questão da igualdade na lei e da igualdade perante a lei (RTJ 136/444-445, rel. p/ o ac. min. Celso de Mello). (...) Isenção tributária: reserva constitucional de lei em sentido </w:t>
      </w:r>
    </w:p>
    <w:p>
      <w:pPr>
        <w:ind w:left="288"/>
      </w:pPr>
      <w:r>
        <w:rPr>
          <w:b/>
          <w:color w:val="003CA0"/>
          <w:sz w:val="16"/>
        </w:rPr>
        <w:t>[AI 360.461 AgR, rel. min. Celso de Mello, j. 6-12-2005, 2ª T, DJE de 28-3-2008.]</w:t>
      </w:r>
    </w:p>
    <w:p>
      <w:pPr>
        <w:ind w:left="288"/>
      </w:pPr>
      <w:r>
        <w:rPr>
          <w:color w:val="8C8C8C"/>
          <w:sz w:val="12"/>
        </w:rPr>
        <w:t>cf-art-153-par-4</w:t>
      </w:r>
      <w:r>
        <w:rPr>
          <w:color w:val="003CA0"/>
          <w:sz w:val="12"/>
        </w:rPr>
        <w:t xml:space="preserve"> | RE 1.038.357</w:t>
      </w:r>
      <w:r>
        <w:rPr>
          <w:color w:val="003CA0"/>
          <w:sz w:val="12"/>
        </w:rPr>
        <w:t xml:space="preserve"> | rel. Dias Toffoli</w:t>
      </w:r>
    </w:p>
    <w:p>
      <w:pPr>
        <w:ind w:left="288"/>
      </w:pPr>
      <w:r>
        <w:rPr>
          <w:color w:val="1E1E1E"/>
          <w:sz w:val="18"/>
        </w:rPr>
        <w:t>Mostra-se alinhada com a redação originária do § 4º do art. 153 da Constituição Federal a progressividade das alíquotas do ITR a qual se refere à Lei nº 9.393/96, progressividade essa que leva em conta, de maneira conjugada, o grau de utilização (GU) e a área do imóvel.</w:t>
        <w:br/>
        <w:t>[RE 1.038.357-AgR, rel. min. Dias Toffoli, j. 6-2-2018, 2ª T, DJE de 26-2-2018.]</w:t>
      </w:r>
    </w:p>
    <w:p>
      <w:pPr>
        <w:ind w:left="144"/>
      </w:pPr>
      <w:r>
        <w:rPr>
          <w:b/>
          <w:color w:val="B45A00"/>
          <w:sz w:val="16"/>
        </w:rPr>
        <w:t>CONTROLE CONCENTRADO</w:t>
      </w:r>
    </w:p>
    <w:p>
      <w:pPr>
        <w:ind w:left="288"/>
      </w:pPr>
      <w:r>
        <w:rPr>
          <w:color w:val="8C8C8C"/>
          <w:sz w:val="12"/>
        </w:rPr>
        <w:t>cf-art-153-par-4-inc-I</w:t>
      </w:r>
      <w:r>
        <w:rPr>
          <w:color w:val="003CA0"/>
          <w:sz w:val="12"/>
        </w:rPr>
        <w:t xml:space="preserve"> | ADI 2.010</w:t>
      </w:r>
      <w:r>
        <w:rPr>
          <w:color w:val="003CA0"/>
          <w:sz w:val="12"/>
        </w:rPr>
        <w:t xml:space="preserve"> | rel. Celso de Mello</w:t>
      </w:r>
    </w:p>
    <w:p>
      <w:pPr>
        <w:ind w:left="288"/>
      </w:pPr>
      <w:r>
        <w:rPr>
          <w:color w:val="1E1E1E"/>
          <w:sz w:val="18"/>
        </w:rPr>
        <w:t>Tratando-se de matéria sujeita a estrita previsão constitucional – (...) (contribuição social devida pelo empregador) –, inexiste espaço de liberdade decisória para o Congresso Nacional, em tema de progressividade tributária, instituir alíquotas progressivas em situações não autorizadas pelo texto da Constituição (...).</w:t>
      </w:r>
    </w:p>
    <w:p>
      <w:pPr>
        <w:ind w:left="288"/>
      </w:pPr>
      <w:r>
        <w:rPr>
          <w:b/>
          <w:color w:val="003CA0"/>
          <w:sz w:val="16"/>
        </w:rPr>
        <w:t>[ADI 2.010 MC, rel. min. Celso de Mello, j. 30-9-1999, P, DJ de 12-4-2002.]</w:t>
      </w:r>
    </w:p>
    <w:p>
      <w:pPr>
        <w:ind w:left="288"/>
      </w:pPr>
      <w:r>
        <w:rPr>
          <w:color w:val="8C8C8C"/>
          <w:sz w:val="12"/>
        </w:rPr>
        <w:t>cf-art-153-par-4-inc-I</w:t>
      </w:r>
      <w:r>
        <w:rPr>
          <w:color w:val="003CA0"/>
          <w:sz w:val="12"/>
        </w:rPr>
        <w:t xml:space="preserve"> | RE 396.411</w:t>
      </w:r>
      <w:r>
        <w:rPr>
          <w:color w:val="003CA0"/>
          <w:sz w:val="12"/>
        </w:rPr>
        <w:t xml:space="preserve"> | rel. Joaquim Barbosa</w:t>
      </w:r>
    </w:p>
    <w:p>
      <w:pPr>
        <w:ind w:left="288"/>
      </w:pPr>
      <w:r>
        <w:rPr>
          <w:color w:val="1E1E1E"/>
          <w:sz w:val="18"/>
        </w:rPr>
        <w:t>= RE 396.411 AgR, rel. min. Joaquim Barbosa, j. 31-8-2010, 2ª T, DJE de 12-11-2010</w:t>
      </w:r>
    </w:p>
    <w:p>
      <w:pPr>
        <w:ind w:left="288"/>
      </w:pPr>
      <w:r>
        <w:rPr>
          <w:color w:val="8C8C8C"/>
          <w:sz w:val="12"/>
        </w:rPr>
        <w:t>cf-art-153-par-4-inc-III</w:t>
      </w:r>
    </w:p>
    <w:p>
      <w:pPr>
        <w:ind w:left="288"/>
      </w:pPr>
      <w:r>
        <w:rPr>
          <w:color w:val="1E1E1E"/>
          <w:sz w:val="18"/>
        </w:rPr>
        <w:t>§ 5º  O ouro, quando definido em lei como ativo financeiro ou instrumento cambial, sujeita-se exclusivamente à incidência do imposto de que trata o inciso V do caput deste artigo, devido na operação de origem; a alíquota mínima será de um por cento, assegurada a transferência do montante da arrecadação nos seguintes termos:</w:t>
      </w:r>
    </w:p>
    <w:p>
      <w:pPr>
        <w:ind w:left="144"/>
      </w:pPr>
      <w:r>
        <w:rPr>
          <w:b/>
          <w:color w:val="B45A00"/>
          <w:sz w:val="16"/>
        </w:rPr>
        <w:t>JULGADOS CORRELATOS</w:t>
      </w:r>
    </w:p>
    <w:p>
      <w:pPr>
        <w:ind w:left="288"/>
      </w:pPr>
      <w:r>
        <w:rPr>
          <w:color w:val="8C8C8C"/>
          <w:sz w:val="12"/>
        </w:rPr>
        <w:t>cf-art-153-par-4-inc-III</w:t>
      </w:r>
      <w:r>
        <w:rPr>
          <w:color w:val="003CA0"/>
          <w:sz w:val="12"/>
        </w:rPr>
        <w:t xml:space="preserve"> | RE 190.363</w:t>
      </w:r>
      <w:r>
        <w:rPr>
          <w:color w:val="003CA0"/>
          <w:sz w:val="12"/>
        </w:rPr>
        <w:t xml:space="preserve"> | rel. Carlos Velloso</w:t>
      </w:r>
    </w:p>
    <w:p>
      <w:pPr>
        <w:ind w:left="288"/>
      </w:pPr>
      <w:r>
        <w:rPr>
          <w:color w:val="1E1E1E"/>
          <w:sz w:val="18"/>
        </w:rPr>
        <w:t>O ouro, definido como ativo financeiro ou instrumento cambial, sujeita-se, exclusivamente, ao IOF, devido na operação de origem: CF, art. 153, § 5º. Inconstitucionalidade do inciso II do art. 1º da Lei 8.033/1990.</w:t>
      </w:r>
    </w:p>
    <w:p>
      <w:pPr>
        <w:ind w:left="288"/>
      </w:pPr>
      <w:r>
        <w:rPr>
          <w:b/>
          <w:color w:val="003CA0"/>
          <w:sz w:val="16"/>
        </w:rPr>
        <w:t>[RE 190.363, rel. min. Carlos Velloso, j. 13-5-1998, P, DJ de 12-6-1998.]</w:t>
      </w:r>
    </w:p>
    <w:p>
      <w:pPr>
        <w:ind w:left="288"/>
      </w:pPr>
      <w:r>
        <w:rPr>
          <w:color w:val="8C8C8C"/>
          <w:sz w:val="12"/>
        </w:rPr>
        <w:t>cf-art-153-par-4-inc-III</w:t>
      </w:r>
      <w:r>
        <w:rPr>
          <w:color w:val="003CA0"/>
          <w:sz w:val="12"/>
        </w:rPr>
        <w:t xml:space="preserve"> | RE 181.849</w:t>
      </w:r>
      <w:r>
        <w:rPr>
          <w:color w:val="003CA0"/>
          <w:sz w:val="12"/>
        </w:rPr>
        <w:t xml:space="preserve"> | rel. Dias Toffoli</w:t>
      </w:r>
    </w:p>
    <w:p>
      <w:pPr>
        <w:ind w:left="288"/>
      </w:pPr>
      <w:r>
        <w:rPr>
          <w:color w:val="1E1E1E"/>
          <w:sz w:val="18"/>
        </w:rPr>
        <w:t>= RE 181.849 AgR, rel. min. Dias Toffoli, j. 8-5-2012, 1ª T, DJE de 28-5-2012</w:t>
      </w:r>
    </w:p>
    <w:p>
      <w:pPr>
        <w:ind w:left="720"/>
      </w:pPr>
      <w:r>
        <w:rPr>
          <w:color w:val="003366"/>
          <w:sz w:val="18"/>
        </w:rPr>
        <w:t>I – importação de produtos estrangeiros;</w:t>
      </w:r>
    </w:p>
    <w:p>
      <w:pPr>
        <w:ind w:left="720"/>
      </w:pPr>
      <w:r>
        <w:rPr>
          <w:color w:val="003366"/>
          <w:sz w:val="18"/>
        </w:rPr>
        <w:t>II – exportação, para o exterior, de produtos nacionais ou nacionalizados;</w:t>
      </w:r>
    </w:p>
    <w:p>
      <w:pPr>
        <w:ind w:left="720"/>
      </w:pPr>
      <w:r>
        <w:rPr>
          <w:color w:val="003366"/>
          <w:sz w:val="18"/>
        </w:rPr>
        <w:t>III – renda e proventos de qualquer natureza;</w:t>
      </w:r>
    </w:p>
    <w:p>
      <w:pPr>
        <w:ind w:left="720"/>
      </w:pPr>
      <w:r>
        <w:rPr>
          <w:color w:val="003366"/>
          <w:sz w:val="18"/>
        </w:rPr>
        <w:t>IV – produtos industrializados;</w:t>
      </w:r>
    </w:p>
    <w:p>
      <w:pPr>
        <w:ind w:left="720"/>
      </w:pPr>
      <w:r>
        <w:rPr>
          <w:color w:val="003366"/>
          <w:sz w:val="18"/>
        </w:rPr>
        <w:t>V – operações de crédito, câmbio e seguro, ou relativas a títulos ou valores mob</w:t>
      </w:r>
    </w:p>
    <w:p>
      <w:pPr>
        <w:ind w:left="720"/>
      </w:pPr>
      <w:r>
        <w:rPr>
          <w:color w:val="003366"/>
          <w:sz w:val="18"/>
        </w:rPr>
        <w:t>VI – propriedade territorial rural;</w:t>
      </w:r>
    </w:p>
    <w:p>
      <w:pPr>
        <w:ind w:left="720"/>
      </w:pPr>
      <w:r>
        <w:rPr>
          <w:color w:val="003366"/>
          <w:sz w:val="18"/>
        </w:rPr>
        <w:t>VII – grandes fortunas, nos termos de lei complementar.</w:t>
      </w:r>
    </w:p>
    <w:p>
      <w:pPr>
        <w:ind w:left="720"/>
      </w:pPr>
      <w:r>
        <w:rPr>
          <w:color w:val="003366"/>
          <w:sz w:val="18"/>
        </w:rPr>
        <w:t>VIII – produção, extração, comercialização ou importação de bens e serviços prej</w:t>
      </w:r>
    </w:p>
    <w:p>
      <w:pPr>
        <w:ind w:left="432"/>
      </w:pPr>
      <w:r>
        <w:rPr>
          <w:color w:val="003366"/>
          <w:sz w:val="18"/>
        </w:rPr>
        <w:t>§ 1 É facultado ao Poder Executivo, atendidas as condições e os limites estabele</w:t>
      </w:r>
    </w:p>
    <w:p>
      <w:pPr>
        <w:ind w:left="432"/>
      </w:pPr>
      <w:r>
        <w:rPr>
          <w:color w:val="003366"/>
          <w:sz w:val="18"/>
        </w:rPr>
        <w:t>§ 2 O imposto previsto no inciso III:</w:t>
      </w:r>
    </w:p>
    <w:p>
      <w:pPr>
        <w:ind w:left="720"/>
      </w:pPr>
      <w:r>
        <w:rPr>
          <w:color w:val="003366"/>
          <w:sz w:val="18"/>
        </w:rPr>
        <w:t>I – será informado pelos critérios da generalidade, da universalidade e da progr</w:t>
      </w:r>
    </w:p>
    <w:p>
      <w:pPr>
        <w:ind w:left="720"/>
      </w:pPr>
      <w:r>
        <w:rPr>
          <w:color w:val="003366"/>
          <w:sz w:val="18"/>
        </w:rPr>
        <w:t>II – (Revogado pela Emenda Constitucional nº 20, de 1998)</w:t>
      </w:r>
    </w:p>
    <w:p>
      <w:pPr>
        <w:ind w:left="432"/>
      </w:pPr>
      <w:r>
        <w:rPr>
          <w:color w:val="003366"/>
          <w:sz w:val="18"/>
        </w:rPr>
        <w:t>§ 3 O imposto previsto no inciso IV:</w:t>
      </w:r>
    </w:p>
    <w:p>
      <w:pPr>
        <w:ind w:left="720"/>
      </w:pPr>
      <w:r>
        <w:rPr>
          <w:color w:val="003366"/>
          <w:sz w:val="18"/>
        </w:rPr>
        <w:t>I – será seletivo, em função da essencialidade do produto;</w:t>
      </w:r>
    </w:p>
    <w:p>
      <w:pPr>
        <w:ind w:left="720"/>
      </w:pPr>
      <w:r>
        <w:rPr>
          <w:color w:val="003366"/>
          <w:sz w:val="18"/>
        </w:rPr>
        <w:t>II – será não-cumulativo, compensando-se o que for devido em cada operação com o</w:t>
      </w:r>
    </w:p>
    <w:p>
      <w:pPr>
        <w:ind w:left="720"/>
      </w:pPr>
      <w:r>
        <w:rPr>
          <w:color w:val="003366"/>
          <w:sz w:val="18"/>
        </w:rPr>
        <w:t>III – não incidirá sobre produtos industrializados destinados ao exterior.</w:t>
      </w:r>
    </w:p>
    <w:p>
      <w:pPr>
        <w:ind w:left="720"/>
      </w:pPr>
      <w:r>
        <w:rPr>
          <w:color w:val="003366"/>
          <w:sz w:val="18"/>
        </w:rPr>
        <w:t>IV – terá reduzido seu impacto sobre a aquisição de bens de capital pelo contrib</w:t>
      </w:r>
    </w:p>
    <w:p>
      <w:pPr>
        <w:ind w:left="432"/>
      </w:pPr>
      <w:r>
        <w:rPr>
          <w:color w:val="003366"/>
          <w:sz w:val="18"/>
        </w:rPr>
        <w:t>§ 4 O imposto previsto no inciso VI do caput: (Redação dada pela Emenda Constitu</w:t>
      </w:r>
    </w:p>
    <w:p>
      <w:pPr>
        <w:ind w:left="720"/>
      </w:pPr>
      <w:r>
        <w:rPr>
          <w:color w:val="003366"/>
          <w:sz w:val="18"/>
        </w:rPr>
        <w:t>I – será progressivo e terá suas alíquotas fixadas de forma a desestimular a man</w:t>
      </w:r>
    </w:p>
    <w:p>
      <w:pPr>
        <w:ind w:left="720"/>
      </w:pPr>
      <w:r>
        <w:rPr>
          <w:color w:val="003366"/>
          <w:sz w:val="18"/>
        </w:rPr>
        <w:t>II – não incidirá sobre pequenas glebas rurais, definidas em lei, quando as expl</w:t>
      </w:r>
    </w:p>
    <w:p>
      <w:pPr>
        <w:ind w:left="720"/>
      </w:pPr>
      <w:r>
        <w:rPr>
          <w:color w:val="003366"/>
          <w:sz w:val="18"/>
        </w:rPr>
        <w:t>III – será fiscalizado e cobrado pelos Municípios que assim optarem, na forma da</w:t>
      </w:r>
    </w:p>
    <w:p>
      <w:pPr>
        <w:ind w:left="432"/>
      </w:pPr>
      <w:r>
        <w:rPr>
          <w:color w:val="003366"/>
          <w:sz w:val="18"/>
        </w:rPr>
        <w:t>§ 5 O ouro, quando definido em lei como ativo financeiro ou instrumento cambial,</w:t>
      </w:r>
    </w:p>
    <w:p>
      <w:pPr>
        <w:ind w:left="720"/>
      </w:pPr>
      <w:r>
        <w:rPr>
          <w:color w:val="003366"/>
          <w:sz w:val="18"/>
        </w:rPr>
        <w:t>I – trinta por cento para o Estado, o Distrito Federal ou o Território, conforme</w:t>
      </w:r>
    </w:p>
    <w:p>
      <w:pPr>
        <w:ind w:left="720"/>
      </w:pPr>
      <w:r>
        <w:rPr>
          <w:color w:val="003366"/>
          <w:sz w:val="18"/>
        </w:rPr>
        <w:t>II – setenta por cento para o Município de origem.</w:t>
      </w:r>
    </w:p>
    <w:p>
      <w:pPr>
        <w:ind w:left="432"/>
      </w:pPr>
      <w:r>
        <w:rPr>
          <w:color w:val="003366"/>
          <w:sz w:val="18"/>
        </w:rPr>
        <w:t>§ 6 O imposto previsto no inciso VIII do caput deste artigo: (Incluído pela Emen</w:t>
      </w:r>
    </w:p>
    <w:p>
      <w:pPr>
        <w:ind w:left="720"/>
      </w:pPr>
      <w:r>
        <w:rPr>
          <w:color w:val="003366"/>
          <w:sz w:val="18"/>
        </w:rPr>
        <w:t>I – não incidirá sobre as exportações nem sobre as operações com energia elétric</w:t>
      </w:r>
    </w:p>
    <w:p>
      <w:pPr>
        <w:ind w:left="720"/>
      </w:pPr>
      <w:r>
        <w:rPr>
          <w:color w:val="003366"/>
          <w:sz w:val="18"/>
        </w:rPr>
        <w:t>II – incidirá uma única vez sobre o bem ou serviço; (Incluído pela Emenda Consti</w:t>
      </w:r>
    </w:p>
    <w:p>
      <w:pPr>
        <w:ind w:left="720"/>
      </w:pPr>
      <w:r>
        <w:rPr>
          <w:color w:val="003366"/>
          <w:sz w:val="18"/>
        </w:rPr>
        <w:t>III – não integrará sua própria base de cálculo; (Incluído pela Emenda Constituc</w:t>
      </w:r>
    </w:p>
    <w:p>
      <w:pPr>
        <w:ind w:left="720"/>
      </w:pPr>
      <w:r>
        <w:rPr>
          <w:color w:val="003366"/>
          <w:sz w:val="18"/>
        </w:rPr>
        <w:t xml:space="preserve">IV – integrará a base de cálculo dos tributos previstos nos arts. 155, II, 156, </w:t>
      </w:r>
    </w:p>
    <w:p>
      <w:pPr>
        <w:ind w:left="720"/>
      </w:pPr>
      <w:r>
        <w:rPr>
          <w:color w:val="003366"/>
          <w:sz w:val="18"/>
        </w:rPr>
        <w:t>V – poderá ter o mesmo fato gerador e base de cálculo de outros tributos; (Inclu</w:t>
      </w:r>
    </w:p>
    <w:p>
      <w:pPr>
        <w:ind w:left="720"/>
      </w:pPr>
      <w:r>
        <w:rPr>
          <w:color w:val="003366"/>
          <w:sz w:val="18"/>
        </w:rPr>
        <w:t xml:space="preserve">VI – terá suas alíquotas fixadas em lei ordinária, podendo ser específicas, por </w:t>
      </w:r>
    </w:p>
    <w:p>
      <w:pPr>
        <w:ind w:left="720"/>
      </w:pPr>
      <w:r>
        <w:rPr>
          <w:color w:val="003366"/>
          <w:sz w:val="18"/>
        </w:rPr>
        <w:t xml:space="preserve">VII – na extração, o imposto será cobrado independentemente da destinação, caso </w:t>
      </w:r>
    </w:p>
    <w:p>
      <w:r>
        <w:rPr>
          <w:b/>
          <w:color w:val="003366"/>
          <w:sz w:val="20"/>
        </w:rPr>
        <w:t>Art. 154 A União poderá instituir:</w:t>
      </w:r>
      <w:r>
        <w:rPr>
          <w:color w:val="8C8C8C"/>
          <w:sz w:val="14"/>
        </w:rPr>
        <w:t xml:space="preserve">  [7 decisoes]</w:t>
      </w:r>
    </w:p>
    <w:p>
      <w:pPr>
        <w:ind w:left="144"/>
      </w:pPr>
      <w:r>
        <w:rPr>
          <w:b/>
          <w:color w:val="B45A00"/>
          <w:sz w:val="16"/>
        </w:rPr>
        <w:t>REPERCUSSAO GERAL</w:t>
      </w:r>
    </w:p>
    <w:p>
      <w:pPr>
        <w:ind w:left="288"/>
      </w:pPr>
      <w:r>
        <w:rPr>
          <w:color w:val="8C8C8C"/>
          <w:sz w:val="12"/>
        </w:rPr>
        <w:t>cf-art-154</w:t>
      </w:r>
      <w:r>
        <w:rPr>
          <w:color w:val="003CA0"/>
          <w:sz w:val="12"/>
        </w:rPr>
        <w:t xml:space="preserve"> | RE 1.224.696</w:t>
      </w:r>
      <w:r>
        <w:rPr>
          <w:color w:val="003CA0"/>
          <w:sz w:val="12"/>
        </w:rPr>
        <w:t xml:space="preserve"> | rel. Marco Aurélio</w:t>
      </w:r>
    </w:p>
    <w:p>
      <w:pPr>
        <w:ind w:left="288"/>
      </w:pPr>
      <w:r>
        <w:rPr>
          <w:color w:val="1E1E1E"/>
          <w:sz w:val="18"/>
        </w:rPr>
        <w:t>É constitucional o artigo 5º da Lei nº 9.779/1999, no que autorizada a cobrança de Imposto de Renda sobre resultados financeiros verificados na liquidação de contratos de swap para fins de hedge.</w:t>
      </w:r>
    </w:p>
    <w:p>
      <w:pPr>
        <w:ind w:left="288"/>
      </w:pPr>
      <w:r>
        <w:rPr>
          <w:b/>
          <w:color w:val="003CA0"/>
          <w:sz w:val="16"/>
        </w:rPr>
        <w:t>[RE 1.224.696, rel. min. Marco Aurélio, j. 7-6-2021, P, DJE de 18-6-2021, Tema 185, com mérito julgado.]</w:t>
      </w:r>
    </w:p>
    <w:p>
      <w:pPr>
        <w:ind w:left="144"/>
      </w:pPr>
      <w:r>
        <w:rPr>
          <w:b/>
          <w:color w:val="B45A00"/>
          <w:sz w:val="16"/>
        </w:rPr>
        <w:t>CONTROLE CONCENTRADO</w:t>
      </w:r>
    </w:p>
    <w:p>
      <w:pPr>
        <w:ind w:left="288"/>
      </w:pPr>
      <w:r>
        <w:rPr>
          <w:color w:val="8C8C8C"/>
          <w:sz w:val="12"/>
        </w:rPr>
        <w:t>cf-art-154-inc-I</w:t>
      </w:r>
      <w:r>
        <w:rPr>
          <w:color w:val="003CA0"/>
          <w:sz w:val="12"/>
        </w:rPr>
        <w:t xml:space="preserve"> | ADC 3</w:t>
      </w:r>
      <w:r>
        <w:rPr>
          <w:color w:val="003CA0"/>
          <w:sz w:val="12"/>
        </w:rPr>
        <w:t xml:space="preserve"> | rel. Nelson Jobim</w:t>
      </w:r>
    </w:p>
    <w:p>
      <w:pPr>
        <w:ind w:left="288"/>
      </w:pPr>
      <w:r>
        <w:rPr>
          <w:color w:val="1E1E1E"/>
          <w:sz w:val="18"/>
        </w:rPr>
        <w:t>Contribuições para o Fundo de Manutenção e Desenvolvimento do Ensino Fundamental e de Valorização do Magistério. (...) Vedação do art. 154, I, da CF, que não atinge essa contribuição, somente impostos. Não se trata de outra fonte para a seguridade social. Imprecisão quanto à hipótese de incidência (...).</w:t>
      </w:r>
    </w:p>
    <w:p>
      <w:pPr>
        <w:ind w:left="288"/>
      </w:pPr>
      <w:r>
        <w:rPr>
          <w:b/>
          <w:color w:val="003CA0"/>
          <w:sz w:val="16"/>
        </w:rPr>
        <w:t>[ADC 3, rel. min. Nelson Jobim, j. 1º-12-1999, P, DJ de 9-5-2003.]</w:t>
      </w:r>
    </w:p>
    <w:p>
      <w:pPr>
        <w:ind w:left="144"/>
      </w:pPr>
      <w:r>
        <w:rPr>
          <w:b/>
          <w:color w:val="B45A00"/>
          <w:sz w:val="16"/>
        </w:rPr>
        <w:t>REPERCUSSAO GERAL</w:t>
      </w:r>
    </w:p>
    <w:p>
      <w:pPr>
        <w:ind w:left="288"/>
      </w:pPr>
      <w:r>
        <w:rPr>
          <w:color w:val="8C8C8C"/>
          <w:sz w:val="12"/>
        </w:rPr>
        <w:t>cf-art-154-inc-I</w:t>
      </w:r>
      <w:r>
        <w:rPr>
          <w:color w:val="003CA0"/>
          <w:sz w:val="12"/>
        </w:rPr>
        <w:t xml:space="preserve"> | RE 878.313</w:t>
      </w:r>
      <w:r>
        <w:rPr>
          <w:color w:val="003CA0"/>
          <w:sz w:val="12"/>
        </w:rPr>
        <w:t xml:space="preserve"> | rel. Gilmar Mendes</w:t>
      </w:r>
    </w:p>
    <w:p>
      <w:pPr>
        <w:ind w:left="288"/>
      </w:pPr>
      <w:r>
        <w:rPr>
          <w:color w:val="1E1E1E"/>
          <w:sz w:val="18"/>
        </w:rPr>
        <w:t>O objetivo da contribuição estampada na Lei Complementar 110/2001 não é exclusivamente a recomposição financeira das perdas das contas do Fundo de Garantia do Tempo de Serviço - FGTS em face dos expurgos inflacionários decorrentes dos planos econômicos Verão e Collor. A LC 110/2001 determinou que as receitas arrecadadas deverão ser incorporadas ao Fundo de Garantia do Tempo de Serviço - FGTS (art. 3º, § 1º), bem como autorizou que tais receitas fossem utilizadas para fins de complementar a atualização monetária resultante da aplicação, cumulativa, dos percentuais de dezesseis inteiros e sessen</w:t>
      </w:r>
    </w:p>
    <w:p>
      <w:pPr>
        <w:ind w:left="144"/>
      </w:pPr>
      <w:r>
        <w:rPr>
          <w:b/>
          <w:color w:val="B45A00"/>
          <w:sz w:val="16"/>
        </w:rPr>
        <w:t>JULGADOS CORRELATOS</w:t>
      </w:r>
    </w:p>
    <w:p>
      <w:pPr>
        <w:ind w:left="288"/>
      </w:pPr>
      <w:r>
        <w:rPr>
          <w:color w:val="8C8C8C"/>
          <w:sz w:val="12"/>
        </w:rPr>
        <w:t>cf-art-154-inc-I</w:t>
      </w:r>
      <w:r>
        <w:rPr>
          <w:color w:val="003CA0"/>
          <w:sz w:val="12"/>
        </w:rPr>
        <w:t xml:space="preserve"> | RE 351.322</w:t>
      </w:r>
      <w:r>
        <w:rPr>
          <w:color w:val="003CA0"/>
          <w:sz w:val="12"/>
        </w:rPr>
        <w:t xml:space="preserve"> | rel. Joaquim Barbosa</w:t>
      </w:r>
    </w:p>
    <w:p>
      <w:pPr>
        <w:ind w:left="288"/>
      </w:pPr>
      <w:r>
        <w:rPr>
          <w:color w:val="1E1E1E"/>
          <w:sz w:val="18"/>
        </w:rPr>
        <w:t>Adicional de Indenização do Trabalhador Portuário Avulso. ATP. Decreto 1.035/1993. (...) Esta Corte já definiu a diferenciação entre lei complementar de normas gerais em matéria tributária e lei complementar para instituição de tributo. (...) O art. 146, III, da Constituição, invocado pela parte-agravante, refere-se ao campo reservado às normas gerais em matéria tributária. Em sentido diverso, o TRF 3ª Região examinou a regra-matriz do tributo para concluir que não se tratava de contribuição destinada ao custeio de seguridade social ou de interesse de categoria profissional específica. Segundo</w:t>
      </w:r>
    </w:p>
    <w:p>
      <w:pPr>
        <w:ind w:left="288"/>
      </w:pPr>
      <w:r>
        <w:rPr>
          <w:b/>
          <w:color w:val="003CA0"/>
          <w:sz w:val="16"/>
        </w:rPr>
        <w:t>[RE 351.322 AgR, rel. min. Joaquim Barbosa, j. 20-4-2010, 2ª T, DJE de 28-5-2010.]</w:t>
      </w:r>
    </w:p>
    <w:p>
      <w:pPr>
        <w:ind w:left="288"/>
      </w:pPr>
      <w:r>
        <w:rPr>
          <w:color w:val="8C8C8C"/>
          <w:sz w:val="12"/>
        </w:rPr>
        <w:t>cf-art-154-inc-I</w:t>
      </w:r>
      <w:r>
        <w:rPr>
          <w:color w:val="003CA0"/>
          <w:sz w:val="12"/>
        </w:rPr>
        <w:t xml:space="preserve"> | AI 333.820</w:t>
      </w:r>
      <w:r>
        <w:rPr>
          <w:color w:val="003CA0"/>
          <w:sz w:val="12"/>
        </w:rPr>
        <w:t xml:space="preserve"> | rel. Nelson Jobim</w:t>
      </w:r>
    </w:p>
    <w:p>
      <w:pPr>
        <w:ind w:left="288"/>
      </w:pPr>
      <w:r>
        <w:rPr>
          <w:color w:val="1E1E1E"/>
          <w:sz w:val="18"/>
        </w:rPr>
        <w:t>Vide AI 333.820 AgR, rel. min. Nelson Jobim, j. 18-6-2002, 2ª T, DJ de 23-8-2002 O tratamento dispensado à referida contribuição social (SAT) não exige a edição de lei complementar (CF, art. 154, I), por não se registrar a hipótese inscrita no art. 195, § 4º, da Carta Política, resultando consequentemente legítima a disciplinação normativa dessa exação tributária mediante legislação de caráter meramente ordinário.</w:t>
      </w:r>
    </w:p>
    <w:p>
      <w:pPr>
        <w:ind w:left="288"/>
      </w:pPr>
      <w:r>
        <w:rPr>
          <w:b/>
          <w:color w:val="003CA0"/>
          <w:sz w:val="16"/>
        </w:rPr>
        <w:t>[AI 439.713 AgR, rel. min. Celso de Mello, j. 9-9-2003, 2ª T, DJ de 14-11-2003.]</w:t>
      </w:r>
    </w:p>
    <w:p>
      <w:pPr>
        <w:ind w:left="288"/>
      </w:pPr>
      <w:r>
        <w:rPr>
          <w:color w:val="8C8C8C"/>
          <w:sz w:val="12"/>
        </w:rPr>
        <w:t>cf-art-154-inc-I</w:t>
      </w:r>
      <w:r>
        <w:rPr>
          <w:color w:val="003CA0"/>
          <w:sz w:val="12"/>
        </w:rPr>
        <w:t xml:space="preserve"> | AI 333.820</w:t>
      </w:r>
      <w:r>
        <w:rPr>
          <w:color w:val="003CA0"/>
          <w:sz w:val="12"/>
        </w:rPr>
        <w:t xml:space="preserve"> | rel. Nelson Jobim</w:t>
      </w:r>
    </w:p>
    <w:p>
      <w:pPr>
        <w:ind w:left="288"/>
      </w:pPr>
      <w:r>
        <w:rPr>
          <w:color w:val="1E1E1E"/>
          <w:sz w:val="18"/>
        </w:rPr>
        <w:t>Lei 8.630/1993 incompatível com o art. 154, I, da CF, que exige lei complementar quando se institui imposto de competência residual. Ilegalidade do Decreto 1.035/1993 que extrapolou o poder regulamentar.</w:t>
      </w:r>
    </w:p>
    <w:p>
      <w:pPr>
        <w:ind w:left="288"/>
      </w:pPr>
      <w:r>
        <w:rPr>
          <w:b/>
          <w:color w:val="003CA0"/>
          <w:sz w:val="16"/>
        </w:rPr>
        <w:t>[AI 333.820 AgR, rel. min. Nelson Jobim, j. 18-6-2002, 2ª T, DJ de 23-8-2002.]</w:t>
      </w:r>
    </w:p>
    <w:p>
      <w:pPr>
        <w:ind w:left="288"/>
      </w:pPr>
      <w:r>
        <w:rPr>
          <w:color w:val="8C8C8C"/>
          <w:sz w:val="12"/>
        </w:rPr>
        <w:t>cf-art-154-inc-I</w:t>
      </w:r>
      <w:r>
        <w:rPr>
          <w:color w:val="003CA0"/>
          <w:sz w:val="12"/>
        </w:rPr>
        <w:t xml:space="preserve"> | RE 351.322</w:t>
      </w:r>
      <w:r>
        <w:rPr>
          <w:color w:val="003CA0"/>
          <w:sz w:val="12"/>
        </w:rPr>
        <w:t xml:space="preserve"> | rel. Joaquim Barbosa</w:t>
      </w:r>
    </w:p>
    <w:p>
      <w:pPr>
        <w:ind w:left="288"/>
      </w:pPr>
      <w:r>
        <w:rPr>
          <w:color w:val="1E1E1E"/>
          <w:sz w:val="18"/>
        </w:rPr>
        <w:t>Vide RE 351.322 AgR, rel. min. Joaquim Barbosa, j. 20-4-2010, 2ª T, DJE de 28-5-2010 II - na iminência ou no caso de guerra externa, impostos extraordinários, compreendidos ou não em sua competência tributária, os quais serão suprimidos, gradativamente, cessadas as causas de sua criação. Seção IV Dos Impostos dos Estados e do Distrito Federal SUMÁRIO</w:t>
      </w:r>
    </w:p>
    <w:p>
      <w:pPr>
        <w:ind w:left="720"/>
      </w:pPr>
      <w:r>
        <w:rPr>
          <w:color w:val="003366"/>
          <w:sz w:val="18"/>
        </w:rPr>
        <w:t xml:space="preserve">I – mediante lei complementar, impostos não previstos no artigo anterior, desde </w:t>
      </w:r>
    </w:p>
    <w:p>
      <w:pPr>
        <w:ind w:left="720"/>
      </w:pPr>
      <w:r>
        <w:rPr>
          <w:color w:val="003366"/>
          <w:sz w:val="18"/>
        </w:rPr>
        <w:t>II – na iminência ou no caso de guerra externa, impostos extraordinários, compre</w:t>
      </w:r>
    </w:p>
    <w:p>
      <w:pPr>
        <w:pStyle w:val="Heading3"/>
      </w:pPr>
      <w:r>
        <w:rPr>
          <w:color w:val="003366"/>
        </w:rPr>
        <w:t>Seção IV - DOS IMPOSTOS DOS ESTADOS E DO DISTRITO FEDERAL</w:t>
      </w:r>
    </w:p>
    <w:p>
      <w:r>
        <w:rPr>
          <w:b/>
          <w:color w:val="003366"/>
          <w:sz w:val="20"/>
        </w:rPr>
        <w:t>Art. 155 Compete aos Estados e ao Distrito Federal instituir impostos sobre: (Re</w:t>
      </w:r>
      <w:r>
        <w:rPr>
          <w:color w:val="8C8C8C"/>
          <w:sz w:val="14"/>
        </w:rPr>
        <w:t xml:space="preserve">  [163 decisoes]</w:t>
      </w:r>
    </w:p>
    <w:p>
      <w:pPr>
        <w:ind w:left="144"/>
      </w:pPr>
      <w:r>
        <w:rPr>
          <w:b/>
          <w:color w:val="B45A00"/>
          <w:sz w:val="16"/>
        </w:rPr>
        <w:t>SUMULA</w:t>
      </w:r>
    </w:p>
    <w:p>
      <w:pPr>
        <w:ind w:left="288"/>
      </w:pPr>
      <w:r>
        <w:rPr>
          <w:color w:val="8C8C8C"/>
          <w:sz w:val="12"/>
        </w:rPr>
        <w:t>cf-art-155-inc-I</w:t>
      </w:r>
    </w:p>
    <w:p>
      <w:pPr>
        <w:ind w:left="288"/>
      </w:pPr>
      <w:r>
        <w:rPr>
          <w:color w:val="1E1E1E"/>
          <w:sz w:val="18"/>
        </w:rPr>
        <w:t>É legítima a incidência do Imposto de Transmissão Causa Mortis no inventário por morte presumida.</w:t>
      </w:r>
    </w:p>
    <w:p>
      <w:pPr>
        <w:ind w:left="288"/>
      </w:pPr>
      <w:r>
        <w:rPr>
          <w:b/>
          <w:color w:val="003CA0"/>
          <w:sz w:val="16"/>
        </w:rPr>
        <w:t>[Súmula 331.]</w:t>
      </w:r>
    </w:p>
    <w:p>
      <w:pPr>
        <w:ind w:left="144"/>
      </w:pPr>
      <w:r>
        <w:rPr>
          <w:b/>
          <w:color w:val="B45A00"/>
          <w:sz w:val="16"/>
        </w:rPr>
        <w:t>REPERCUSSAO GERAL</w:t>
      </w:r>
    </w:p>
    <w:p>
      <w:pPr>
        <w:ind w:left="288"/>
      </w:pPr>
      <w:r>
        <w:rPr>
          <w:color w:val="8C8C8C"/>
          <w:sz w:val="12"/>
        </w:rPr>
        <w:t>cf-art-155-inc-I</w:t>
      </w:r>
      <w:r>
        <w:rPr>
          <w:color w:val="003CA0"/>
          <w:sz w:val="12"/>
        </w:rPr>
        <w:t xml:space="preserve"> | RE 1.363.013</w:t>
      </w:r>
      <w:r>
        <w:rPr>
          <w:color w:val="003CA0"/>
          <w:sz w:val="12"/>
        </w:rPr>
        <w:t xml:space="preserve"> | rel. Dias Toffoli</w:t>
      </w:r>
    </w:p>
    <w:p>
      <w:pPr>
        <w:ind w:left="288"/>
      </w:pPr>
      <w:r>
        <w:rPr>
          <w:color w:val="1E1E1E"/>
          <w:sz w:val="18"/>
        </w:rPr>
        <w:t>“É inconstitucional a incidência do imposto sobre transmissão causa mortis e doação (ITCMD) sobre o repasse aos beneficiários de valores e direitos relativos ao plano vida gerador de benefício livre (VGBL) ou ao plano gerador de benefício livre (PGBL) na hipótese de morte do titular do plano.”</w:t>
      </w:r>
    </w:p>
    <w:p>
      <w:pPr>
        <w:ind w:left="288"/>
      </w:pPr>
      <w:r>
        <w:rPr>
          <w:b/>
          <w:color w:val="003CA0"/>
          <w:sz w:val="16"/>
        </w:rPr>
        <w:t>[RE 1.363.013, rel. min. Dias Toffoli, j. 16.12.2024, P, DJE de 08.01.2025, Tema 1.214, com mérito julgado.]</w:t>
      </w:r>
    </w:p>
    <w:p>
      <w:pPr>
        <w:ind w:left="288"/>
      </w:pPr>
      <w:r>
        <w:rPr>
          <w:color w:val="8C8C8C"/>
          <w:sz w:val="12"/>
        </w:rPr>
        <w:t>cf-art-155-inc-I</w:t>
      </w:r>
      <w:r>
        <w:rPr>
          <w:color w:val="003CA0"/>
          <w:sz w:val="12"/>
        </w:rPr>
        <w:t xml:space="preserve"> | RE 851.108</w:t>
      </w:r>
      <w:r>
        <w:rPr>
          <w:color w:val="003CA0"/>
          <w:sz w:val="12"/>
        </w:rPr>
        <w:t xml:space="preserve"> | rel. Dias Toffoli</w:t>
      </w:r>
    </w:p>
    <w:p>
      <w:pPr>
        <w:ind w:left="288"/>
      </w:pPr>
      <w:r>
        <w:rPr>
          <w:color w:val="1E1E1E"/>
          <w:sz w:val="18"/>
        </w:rPr>
        <w:t>“É vedado aos estados e ao Distrito Federal instituir o ITCMD nas hipóteses referidas no art. 155, § 1º, III, da Constituição Federal sem a edição da lei complementar exigida pelo referido dispositivo constitucional.”</w:t>
      </w:r>
    </w:p>
    <w:p>
      <w:pPr>
        <w:ind w:left="288"/>
      </w:pPr>
      <w:r>
        <w:rPr>
          <w:b/>
          <w:color w:val="003CA0"/>
          <w:sz w:val="16"/>
        </w:rPr>
        <w:t>[RE 851.108, rel. min. Dias Toffoli, j. 1-3-2021, P, DJE de 20-4-2021, Tema 825, com mérito julgado.]</w:t>
      </w:r>
    </w:p>
    <w:p>
      <w:pPr>
        <w:ind w:left="288"/>
      </w:pPr>
      <w:r>
        <w:rPr>
          <w:color w:val="8C8C8C"/>
          <w:sz w:val="12"/>
        </w:rPr>
        <w:t>cf-art-155-inc-I</w:t>
      </w:r>
    </w:p>
    <w:p>
      <w:pPr>
        <w:ind w:left="288"/>
      </w:pPr>
      <w:r>
        <w:rPr>
          <w:color w:val="1E1E1E"/>
          <w:sz w:val="18"/>
        </w:rPr>
        <w:t>II - operações relativas à circulação de mercadorias e sobre prestações de serviços de transporte interestadual e intermunicipal e de comunicação, ainda que as operações e as prestações se iniciem no exterior; (Redação da EC 3/1993)</w:t>
      </w:r>
    </w:p>
    <w:p>
      <w:pPr>
        <w:ind w:left="144"/>
      </w:pPr>
      <w:r>
        <w:rPr>
          <w:b/>
          <w:color w:val="B45A00"/>
          <w:sz w:val="16"/>
        </w:rPr>
        <w:t>SUMULA VINCULANTE</w:t>
      </w:r>
    </w:p>
    <w:p>
      <w:pPr>
        <w:ind w:left="288"/>
      </w:pPr>
      <w:r>
        <w:rPr>
          <w:color w:val="8C8C8C"/>
          <w:sz w:val="12"/>
        </w:rPr>
        <w:t>cf-art-155-inc-I</w:t>
      </w:r>
    </w:p>
    <w:p>
      <w:pPr>
        <w:ind w:left="288"/>
      </w:pPr>
      <w:r>
        <w:rPr>
          <w:color w:val="1E1E1E"/>
          <w:sz w:val="18"/>
        </w:rPr>
        <w:t>O ICMS não incide sobre alienação de salvados de sinistro pelas seguradoras.</w:t>
      </w:r>
    </w:p>
    <w:p>
      <w:pPr>
        <w:ind w:left="288"/>
      </w:pPr>
      <w:r>
        <w:rPr>
          <w:b/>
          <w:color w:val="003CA0"/>
          <w:sz w:val="16"/>
        </w:rPr>
        <w:t>[Súmula Vinculante 32.]</w:t>
      </w:r>
    </w:p>
    <w:p>
      <w:pPr>
        <w:ind w:left="144"/>
      </w:pPr>
      <w:r>
        <w:rPr>
          <w:b/>
          <w:color w:val="B45A00"/>
          <w:sz w:val="16"/>
        </w:rPr>
        <w:t>SUMULA</w:t>
      </w:r>
    </w:p>
    <w:p>
      <w:pPr>
        <w:ind w:left="288"/>
      </w:pPr>
      <w:r>
        <w:rPr>
          <w:color w:val="8C8C8C"/>
          <w:sz w:val="12"/>
        </w:rPr>
        <w:t>cf-art-155-inc-I</w:t>
      </w:r>
    </w:p>
    <w:p>
      <w:pPr>
        <w:ind w:left="288"/>
      </w:pPr>
      <w:r>
        <w:rPr>
          <w:color w:val="1E1E1E"/>
          <w:sz w:val="18"/>
        </w:rPr>
        <w:t>É legítima a incidência do ICMS na comercialização de exemplares de obras cinematográficas, gravados em fitas de videocassete.</w:t>
      </w:r>
    </w:p>
    <w:p>
      <w:pPr>
        <w:ind w:left="288"/>
      </w:pPr>
      <w:r>
        <w:rPr>
          <w:b/>
          <w:color w:val="003CA0"/>
          <w:sz w:val="16"/>
        </w:rPr>
        <w:t>[Súmula 662.]</w:t>
      </w:r>
    </w:p>
    <w:p>
      <w:pPr>
        <w:ind w:left="288"/>
      </w:pPr>
      <w:r>
        <w:rPr>
          <w:color w:val="8C8C8C"/>
          <w:sz w:val="12"/>
        </w:rPr>
        <w:t>cf-art-155-inc-I</w:t>
      </w:r>
    </w:p>
    <w:p>
      <w:pPr>
        <w:ind w:left="288"/>
      </w:pPr>
      <w:r>
        <w:rPr>
          <w:color w:val="1E1E1E"/>
          <w:sz w:val="18"/>
        </w:rPr>
        <w:t>Não constitui fato gerador do imposto de circulação de mercadorias a saída física de máquinas, utensílios e implementos a título de comodato.</w:t>
      </w:r>
    </w:p>
    <w:p>
      <w:pPr>
        <w:ind w:left="288"/>
      </w:pPr>
      <w:r>
        <w:rPr>
          <w:b/>
          <w:color w:val="003CA0"/>
          <w:sz w:val="16"/>
        </w:rPr>
        <w:t>[Súmula 573.]</w:t>
      </w:r>
    </w:p>
    <w:p>
      <w:pPr>
        <w:ind w:left="144"/>
      </w:pPr>
      <w:r>
        <w:rPr>
          <w:b/>
          <w:color w:val="B45A00"/>
          <w:sz w:val="16"/>
        </w:rPr>
        <w:t>CONTROLE CONCENTRADO</w:t>
      </w:r>
    </w:p>
    <w:p>
      <w:pPr>
        <w:ind w:left="288"/>
      </w:pPr>
      <w:r>
        <w:rPr>
          <w:color w:val="8C8C8C"/>
          <w:sz w:val="12"/>
        </w:rPr>
        <w:t>cf-art-155-inc-I</w:t>
      </w:r>
      <w:r>
        <w:rPr>
          <w:color w:val="003CA0"/>
          <w:sz w:val="12"/>
        </w:rPr>
        <w:t xml:space="preserve"> | ADI 2.779</w:t>
      </w:r>
      <w:r>
        <w:rPr>
          <w:color w:val="003CA0"/>
          <w:sz w:val="12"/>
        </w:rPr>
        <w:t xml:space="preserve"> | rel. Luiz Fux</w:t>
      </w:r>
    </w:p>
    <w:p>
      <w:pPr>
        <w:ind w:left="288"/>
      </w:pPr>
      <w:r>
        <w:rPr>
          <w:color w:val="1E1E1E"/>
          <w:sz w:val="18"/>
        </w:rPr>
        <w:t>O art. 2º, II, da Lei Complementar federal 87/1996 é constitucional. 2. Referida norma possui eficácia técnica para regular a instituição e a cobrança do ICMS sobre o transporte marítimo, uma vez que contém os elementos necessários para a definição de todos os critérios da regra matriz de incidência tributária.</w:t>
        <w:br/>
        <w:t>[ADI 2.779, rel. min. Luiz Fux, red. do ac. min. Alexandre de Moraes, j. 20.05.2024, P, DJE de 22.05.2024.] É inconstitucional a incidência do ICMS sobre o licenciamento ou cessão do direito de uso de programas de computador.</w:t>
      </w:r>
    </w:p>
    <w:p>
      <w:pPr>
        <w:ind w:left="288"/>
      </w:pPr>
      <w:r>
        <w:rPr>
          <w:b/>
          <w:color w:val="003CA0"/>
          <w:sz w:val="16"/>
        </w:rPr>
        <w:t>[ADI 5.576, rel. min. Roberto Barroso, j. 3-8-2021, P, DJE de 10-9-2021.]</w:t>
      </w:r>
    </w:p>
    <w:p>
      <w:pPr>
        <w:ind w:left="288"/>
      </w:pPr>
      <w:r>
        <w:rPr>
          <w:color w:val="8C8C8C"/>
          <w:sz w:val="12"/>
        </w:rPr>
        <w:t>cf-art-155-inc-I</w:t>
      </w:r>
      <w:r>
        <w:rPr>
          <w:color w:val="003CA0"/>
          <w:sz w:val="12"/>
        </w:rPr>
        <w:t xml:space="preserve"> | ADI 5.481</w:t>
      </w:r>
      <w:r>
        <w:rPr>
          <w:color w:val="003CA0"/>
          <w:sz w:val="12"/>
        </w:rPr>
        <w:t xml:space="preserve"> | rel. Dias Toffoli</w:t>
      </w:r>
    </w:p>
    <w:p>
      <w:pPr>
        <w:ind w:left="288"/>
      </w:pPr>
      <w:r>
        <w:rPr>
          <w:color w:val="1E1E1E"/>
          <w:sz w:val="18"/>
        </w:rPr>
        <w:t>Leis 4.117/03 (Lei Noel) e 7.183/15 (nova Lei Noel) do Estado do Rio de Janeiro. Extração de petróleo. (...) As leis impugnadas incidiram em inconstitucionalidade, pois os fatos geradores do ICMS por elas descritos não retratam a existência de ato ou de negócio jurídico que transfira a titularidade de uma mercadoria. Seja no regime de concessão (Lei 9.478/97), seja no regime de partilha (Lei 12.351/10), a legislação estipula que o concessionário ou o contratado adquire, de modo originário, a propriedade do petróleo extraído ou de parcela dele. Ainda que se considerasse que a União efetivamente</w:t>
      </w:r>
    </w:p>
    <w:p>
      <w:pPr>
        <w:ind w:left="288"/>
      </w:pPr>
      <w:r>
        <w:rPr>
          <w:b/>
          <w:color w:val="003CA0"/>
          <w:sz w:val="16"/>
        </w:rPr>
        <w:t>[ADI 5.481, rel. min. Dias Toffoli, j. 29-3-2021, P, DJE de 4-5-2021.]</w:t>
      </w:r>
    </w:p>
    <w:p>
      <w:pPr>
        <w:ind w:left="288"/>
      </w:pPr>
      <w:r>
        <w:rPr>
          <w:color w:val="8C8C8C"/>
          <w:sz w:val="12"/>
        </w:rPr>
        <w:t>cf-art-155-inc-I</w:t>
      </w:r>
      <w:r>
        <w:rPr>
          <w:color w:val="003CA0"/>
          <w:sz w:val="12"/>
        </w:rPr>
        <w:t xml:space="preserve"> | ADI 2.669</w:t>
      </w:r>
    </w:p>
    <w:p>
      <w:pPr>
        <w:ind w:left="288"/>
      </w:pPr>
      <w:r>
        <w:rPr>
          <w:color w:val="1E1E1E"/>
          <w:sz w:val="18"/>
        </w:rPr>
        <w:t>LC 87/1996. Constitucionalidade. Mostra-se harmônica com a CF a incidência do ICMS sobre a prestação de serviço de transporte terrestre.</w:t>
      </w:r>
    </w:p>
    <w:p>
      <w:pPr>
        <w:ind w:left="288"/>
      </w:pPr>
      <w:r>
        <w:rPr>
          <w:b/>
          <w:color w:val="003CA0"/>
          <w:sz w:val="16"/>
        </w:rPr>
        <w:t>[ADI 2.669, red. do ac. min. Marco Aurélio, j. 5-2-2014, P, DJE de 6-8-2014.]</w:t>
      </w:r>
    </w:p>
    <w:p>
      <w:pPr>
        <w:ind w:left="288"/>
      </w:pPr>
      <w:r>
        <w:rPr>
          <w:color w:val="8C8C8C"/>
          <w:sz w:val="12"/>
        </w:rPr>
        <w:t>cf-art-155-inc-I</w:t>
      </w:r>
      <w:r>
        <w:rPr>
          <w:color w:val="003CA0"/>
          <w:sz w:val="12"/>
        </w:rPr>
        <w:t xml:space="preserve"> | ADI 4.389</w:t>
      </w:r>
      <w:r>
        <w:rPr>
          <w:color w:val="003CA0"/>
          <w:sz w:val="12"/>
        </w:rPr>
        <w:t xml:space="preserve"> | rel. Joaquim Barbosa</w:t>
      </w:r>
    </w:p>
    <w:p>
      <w:pPr>
        <w:ind w:left="288"/>
      </w:pPr>
      <w:r>
        <w:rPr>
          <w:color w:val="1E1E1E"/>
          <w:sz w:val="18"/>
        </w:rPr>
        <w:t>(...) o ISS não incide sobre operações de industrialização por encomenda de embalagens, destinadas à integração ou utilização direta em processo subsequente de industrialização ou de circulação de mercadoria. Presentes os requisitos constitucionais e legais, incidirá o ICMS.</w:t>
      </w:r>
    </w:p>
    <w:p>
      <w:pPr>
        <w:ind w:left="288"/>
      </w:pPr>
      <w:r>
        <w:rPr>
          <w:b/>
          <w:color w:val="003CA0"/>
          <w:sz w:val="16"/>
        </w:rPr>
        <w:t>[ADI 4.389 MC, rel. min. Joaquim Barbosa, j. 13-4-2011, P, DJE de 25-5-2011.]</w:t>
      </w:r>
    </w:p>
    <w:p>
      <w:pPr>
        <w:ind w:left="288"/>
      </w:pPr>
      <w:r>
        <w:rPr>
          <w:color w:val="8C8C8C"/>
          <w:sz w:val="12"/>
        </w:rPr>
        <w:t>cf-art-155-inc-I</w:t>
      </w:r>
      <w:r>
        <w:rPr>
          <w:color w:val="003CA0"/>
          <w:sz w:val="12"/>
        </w:rPr>
        <w:t xml:space="preserve"> | AI 533.202</w:t>
      </w:r>
      <w:r>
        <w:rPr>
          <w:color w:val="003CA0"/>
          <w:sz w:val="12"/>
        </w:rPr>
        <w:t xml:space="preserve"> | rel. Gilmar Mendes</w:t>
      </w:r>
    </w:p>
    <w:p>
      <w:pPr>
        <w:ind w:left="288"/>
      </w:pPr>
      <w:r>
        <w:rPr>
          <w:color w:val="1E1E1E"/>
          <w:sz w:val="18"/>
        </w:rPr>
        <w:t>Vide AI 533.202 AgR, rel. min. Gilmar Mendes, j. 30-9-2008, 2ª T, DJE de 21-11-2008 O perfil constitucional do ICMS exige a ocorrência de operação de circulação de mercadorias (ou serviços) para que ocorra a incidência e, portanto, o tributo não pode ser cobrado sobre operações apenas porque elas têm por objeto "bens", ou nas quais fique descaracterizada atividade mercantil-comercial.</w:t>
      </w:r>
    </w:p>
    <w:p>
      <w:pPr>
        <w:ind w:left="288"/>
      </w:pPr>
      <w:r>
        <w:rPr>
          <w:b/>
          <w:color w:val="003CA0"/>
          <w:sz w:val="16"/>
        </w:rPr>
        <w:t>[ADI 4.565 MC, rel. min. Joaquim Barbosa, j. 7-4-2011, P, DJE de 27-6-2011.]</w:t>
      </w:r>
    </w:p>
    <w:p>
      <w:pPr>
        <w:ind w:left="288"/>
      </w:pPr>
      <w:r>
        <w:rPr>
          <w:color w:val="8C8C8C"/>
          <w:sz w:val="12"/>
        </w:rPr>
        <w:t>cf-art-155-inc-I</w:t>
      </w:r>
      <w:r>
        <w:rPr>
          <w:color w:val="003CA0"/>
          <w:sz w:val="12"/>
        </w:rPr>
        <w:t xml:space="preserve"> | ADI 1.648</w:t>
      </w:r>
      <w:r>
        <w:rPr>
          <w:color w:val="003CA0"/>
          <w:sz w:val="12"/>
        </w:rPr>
        <w:t xml:space="preserve"> | rel. Gilmar Mendes</w:t>
      </w:r>
    </w:p>
    <w:p>
      <w:pPr>
        <w:ind w:left="288"/>
      </w:pPr>
      <w:r>
        <w:rPr>
          <w:color w:val="1E1E1E"/>
          <w:sz w:val="18"/>
        </w:rPr>
        <w:t>A alienação de salvados configura atividade integrante das operações de seguros e não tem natureza de circulação de mercadoria para fins de incidência do ICMS. Inconstitucionalidade da expressão "e as seguradoras" do inciso IV do art. 15 da Lei 6.763, com redação dada pelo art. 1º da Lei 9.758/1989 do Estado de Minas Gerais. Violação dos arts. 22, VII, e 153, V, da CF.</w:t>
      </w:r>
    </w:p>
    <w:p>
      <w:pPr>
        <w:ind w:left="288"/>
      </w:pPr>
      <w:r>
        <w:rPr>
          <w:b/>
          <w:color w:val="003CA0"/>
          <w:sz w:val="16"/>
        </w:rPr>
        <w:t>[ADI 1.648, rel. min. Gilmar Mendes, j. 16-2-2011, P, DJE de 9-12-2011.]</w:t>
      </w:r>
    </w:p>
    <w:p>
      <w:pPr>
        <w:ind w:left="288"/>
      </w:pPr>
      <w:r>
        <w:rPr>
          <w:color w:val="8C8C8C"/>
          <w:sz w:val="12"/>
        </w:rPr>
        <w:t>cf-art-155-inc-I</w:t>
      </w:r>
      <w:r>
        <w:rPr>
          <w:color w:val="003CA0"/>
          <w:sz w:val="12"/>
        </w:rPr>
        <w:t xml:space="preserve"> | ADC 49</w:t>
      </w:r>
      <w:r>
        <w:rPr>
          <w:color w:val="003CA0"/>
          <w:sz w:val="12"/>
        </w:rPr>
        <w:t xml:space="preserve"> | rel. Luís Roberto Barroso</w:t>
      </w:r>
    </w:p>
    <w:p>
      <w:pPr>
        <w:ind w:left="288"/>
      </w:pPr>
      <w:r>
        <w:rPr>
          <w:color w:val="1E1E1E"/>
          <w:sz w:val="18"/>
        </w:rPr>
        <w:t>“A não incidência de ICMS no deslocamento de bens de um estabelecimento para outro do mesmo contribuinte localizados em estados distintos, estabelecida no Tema 1.099/RG e na ADC 49, tem efeitos a partir do exercício financeiro de 2024, ressalvados os processos administrativos e judiciais pendentes de conclusão até a data de publicação da ata de julgamento da decisão de mérito da ADC 49 (29.04.2021).”</w:t>
      </w:r>
    </w:p>
    <w:p>
      <w:pPr>
        <w:ind w:left="288"/>
      </w:pPr>
      <w:r>
        <w:rPr>
          <w:b/>
          <w:color w:val="003CA0"/>
          <w:sz w:val="16"/>
        </w:rPr>
        <w:t>[RE 1.490.708 RG, rel. min. Luís Roberto Barroso, j. 3.2.2025, P, DJE de 12.2.2025, Tema 1.367, com mérito julgado.]</w:t>
      </w:r>
    </w:p>
    <w:p>
      <w:pPr>
        <w:ind w:left="144"/>
      </w:pPr>
      <w:r>
        <w:rPr>
          <w:b/>
          <w:color w:val="B45A00"/>
          <w:sz w:val="16"/>
        </w:rPr>
        <w:t>REPERCUSSAO GERAL</w:t>
      </w:r>
    </w:p>
    <w:p>
      <w:pPr>
        <w:ind w:left="288"/>
      </w:pPr>
      <w:r>
        <w:rPr>
          <w:color w:val="8C8C8C"/>
          <w:sz w:val="12"/>
        </w:rPr>
        <w:t>cf-art-155-inc-I</w:t>
      </w:r>
      <w:r>
        <w:rPr>
          <w:color w:val="003CA0"/>
          <w:sz w:val="12"/>
        </w:rPr>
        <w:t xml:space="preserve"> | ARE 1.255.885</w:t>
      </w:r>
      <w:r>
        <w:rPr>
          <w:color w:val="003CA0"/>
          <w:sz w:val="12"/>
        </w:rPr>
        <w:t xml:space="preserve"> | rel. Dias Toffoli</w:t>
      </w:r>
    </w:p>
    <w:p>
      <w:pPr>
        <w:ind w:left="288"/>
      </w:pPr>
      <w:r>
        <w:rPr>
          <w:color w:val="1E1E1E"/>
          <w:sz w:val="18"/>
        </w:rPr>
        <w:t>Não incide ICMS no deslocamento de bens de um estabelecimento para outro do mesmo contribuinte localizados em estados distintos, visto não haver a transferência da titularidade ou a realização de ato de mercancia.</w:t>
        <w:br/>
        <w:t>[ARE 1.255.885, rel. min. Dias Toffoli, j. 14-8-2020, P, DJE de 15-9-2020, Tema 1.099, com mérito julgado e reafirmação de jurisprudência.] O ICMS incide sobre a tarifa de assinatura básica mensal cobrada pelas prestadoras de serviço de telefonia, independentemente da franquia de minutos conferida ou não ao usuário.</w:t>
      </w:r>
    </w:p>
    <w:p>
      <w:pPr>
        <w:ind w:left="288"/>
      </w:pPr>
      <w:r>
        <w:rPr>
          <w:b/>
          <w:color w:val="003CA0"/>
          <w:sz w:val="16"/>
        </w:rPr>
        <w:t>[RE 912.888, rel. min. Teori Zavascki, j. 13-10-2016, P, DJE de 10-5-2017, Tema 827, com mérito julgado.]</w:t>
      </w:r>
    </w:p>
    <w:p>
      <w:pPr>
        <w:ind w:left="288"/>
      </w:pPr>
      <w:r>
        <w:rPr>
          <w:color w:val="8C8C8C"/>
          <w:sz w:val="12"/>
        </w:rPr>
        <w:t>cf-art-155-inc-I</w:t>
      </w:r>
      <w:r>
        <w:rPr>
          <w:color w:val="003CA0"/>
          <w:sz w:val="12"/>
        </w:rPr>
        <w:t xml:space="preserve"> | RE 540.829</w:t>
      </w:r>
    </w:p>
    <w:p>
      <w:pPr>
        <w:ind w:left="288"/>
      </w:pPr>
      <w:r>
        <w:rPr>
          <w:color w:val="1E1E1E"/>
          <w:sz w:val="18"/>
        </w:rPr>
        <w:t>(...) não incide o ICMS na operação de arrendamento mercantil internacional, salvo na hipótese de antecipação da opção de compra, quando configurada a transferência da titularidade do bem. Consectariamente, se não houver aquisição de mercadoria, mas mera posse decorrente do arrendamento, não se pode cogitar de circulação econômica.</w:t>
      </w:r>
    </w:p>
    <w:p>
      <w:pPr>
        <w:ind w:left="288"/>
      </w:pPr>
      <w:r>
        <w:rPr>
          <w:b/>
          <w:color w:val="003CA0"/>
          <w:sz w:val="16"/>
        </w:rPr>
        <w:t>[RE 540.829, red. do ac. min. Luiz Fux, j. 11-9-2014, P, DJE de 18-11-2014, Tema 297, com mérito julgado.]</w:t>
      </w:r>
    </w:p>
    <w:p>
      <w:pPr>
        <w:ind w:left="288"/>
      </w:pPr>
      <w:r>
        <w:rPr>
          <w:color w:val="8C8C8C"/>
          <w:sz w:val="12"/>
        </w:rPr>
        <w:t>cf-art-155-inc-I</w:t>
      </w:r>
      <w:r>
        <w:rPr>
          <w:color w:val="003CA0"/>
          <w:sz w:val="12"/>
        </w:rPr>
        <w:t xml:space="preserve"> | RE 607.056</w:t>
      </w:r>
      <w:r>
        <w:rPr>
          <w:color w:val="003CA0"/>
          <w:sz w:val="12"/>
        </w:rPr>
        <w:t xml:space="preserve"> | rel. Dias Toffoli</w:t>
      </w:r>
    </w:p>
    <w:p>
      <w:pPr>
        <w:ind w:left="288"/>
      </w:pPr>
      <w:r>
        <w:rPr>
          <w:color w:val="1E1E1E"/>
          <w:sz w:val="18"/>
        </w:rPr>
        <w:t>O fornecimento de água potável por empresas concessionárias desse serviço público não é tributável por meio do ICMS. As águas em estado natural são bens públicos e só podem ser exploradas por particulares mediante concessão, permissão ou autorização. O fornecimento de água tratada à população por empresas concessionárias, permissionárias ou autorizadas não caracteriza uma operação de circulação de mercadoria.</w:t>
      </w:r>
    </w:p>
    <w:p>
      <w:pPr>
        <w:ind w:left="288"/>
      </w:pPr>
      <w:r>
        <w:rPr>
          <w:b/>
          <w:color w:val="003CA0"/>
          <w:sz w:val="16"/>
        </w:rPr>
        <w:t>[RE 607.056, rel. min. Dias Toffoli, j. 10-4-2013, P, DJE de 16-5-2013, Tema 326, com mérito julgado.]</w:t>
      </w:r>
    </w:p>
    <w:p>
      <w:pPr>
        <w:ind w:left="288"/>
      </w:pPr>
      <w:r>
        <w:rPr>
          <w:color w:val="8C8C8C"/>
          <w:sz w:val="12"/>
        </w:rPr>
        <w:t>cf-art-155-inc-I</w:t>
      </w:r>
      <w:r>
        <w:rPr>
          <w:color w:val="003CA0"/>
          <w:sz w:val="12"/>
        </w:rPr>
        <w:t xml:space="preserve"> | AI 682.565</w:t>
      </w:r>
      <w:r>
        <w:rPr>
          <w:color w:val="003CA0"/>
          <w:sz w:val="12"/>
        </w:rPr>
        <w:t xml:space="preserve"> | rel. Eros Grau</w:t>
      </w:r>
    </w:p>
    <w:p>
      <w:pPr>
        <w:ind w:left="288"/>
      </w:pPr>
      <w:r>
        <w:rPr>
          <w:color w:val="1E1E1E"/>
          <w:sz w:val="18"/>
        </w:rPr>
        <w:t>Vide AI 682.565 AgR, rel. min. Eros Grau, j. 23-6-2009, 2ª T, DJE de 7-8-2009 A EC 33, de 2001, inseriu a alínea i no inciso XII do § 2º do art. 155 da CF, (...) Com a alteração constitucional a lei complementar ficou autorizada a dar tratamento isonômico na determinação da base de cálculo entre as operações ou prestações internas com as importações do exterior, de modo que o ICMS será calculado "por dentro" em ambos os casos.</w:t>
        <w:br/>
        <w:t>[RE 582.461, rel. min. Gilmar Mendes, j. 18-5-2011, P, DJE de 18-8-2011, Tema 214, com mérito julgado.]</w:t>
      </w:r>
    </w:p>
    <w:p>
      <w:pPr>
        <w:ind w:left="144"/>
      </w:pPr>
      <w:r>
        <w:rPr>
          <w:b/>
          <w:color w:val="B45A00"/>
          <w:sz w:val="16"/>
        </w:rPr>
        <w:t>JULGADOS CORRELATOS</w:t>
      </w:r>
    </w:p>
    <w:p>
      <w:pPr>
        <w:ind w:left="288"/>
      </w:pPr>
      <w:r>
        <w:rPr>
          <w:color w:val="8C8C8C"/>
          <w:sz w:val="12"/>
        </w:rPr>
        <w:t>cf-art-155-inc-I</w:t>
      </w:r>
      <w:r>
        <w:rPr>
          <w:color w:val="003CA0"/>
          <w:sz w:val="12"/>
        </w:rPr>
        <w:t xml:space="preserve"> | RE 572.020</w:t>
      </w:r>
    </w:p>
    <w:p>
      <w:pPr>
        <w:ind w:left="288"/>
      </w:pPr>
      <w:r>
        <w:rPr>
          <w:color w:val="1E1E1E"/>
          <w:sz w:val="18"/>
        </w:rPr>
        <w:t xml:space="preserve">Tributário. ICMS. Habilitação de aparelhos celulares. A lei geral de telecomunicações (art. 60, § 1º, da Lei 9.472/1997) não prevê o serviço de habilitação de telefonia móvel como atividade-fim, mas atividade-meio para o serviço de comunicação. A atividade em questão não se inclui na descrição de serviços de telecomunicação constante do art. 2º, III, da LC 87/1996, por corresponder a procedimento tipicamente protocolar, cuja finalidade refere-se a aspecto preparatório. Os serviços preparatórios, tais como habilitação, instalação, disponibilidade, assinatura, cadastro de usuário e equipamento, </w:t>
      </w:r>
    </w:p>
    <w:p>
      <w:pPr>
        <w:ind w:left="288"/>
      </w:pPr>
      <w:r>
        <w:rPr>
          <w:b/>
          <w:color w:val="003CA0"/>
          <w:sz w:val="16"/>
        </w:rPr>
        <w:t>[RE 572.020, red. do ac. min. Luiz Fux, j. 6-2-2014, P, DJE de 13-10-2014.]</w:t>
      </w:r>
    </w:p>
    <w:p>
      <w:pPr>
        <w:ind w:left="288"/>
      </w:pPr>
      <w:r>
        <w:rPr>
          <w:color w:val="8C8C8C"/>
          <w:sz w:val="12"/>
        </w:rPr>
        <w:t>cf-art-155-inc-I</w:t>
      </w:r>
      <w:r>
        <w:rPr>
          <w:color w:val="003CA0"/>
          <w:sz w:val="12"/>
        </w:rPr>
        <w:t xml:space="preserve"> | RE 254.893</w:t>
      </w:r>
      <w:r>
        <w:rPr>
          <w:color w:val="003CA0"/>
          <w:sz w:val="12"/>
        </w:rPr>
        <w:t xml:space="preserve"> | rel. Joaquim Barbosa</w:t>
      </w:r>
    </w:p>
    <w:p>
      <w:pPr>
        <w:ind w:left="288"/>
      </w:pPr>
      <w:r>
        <w:rPr>
          <w:color w:val="1E1E1E"/>
          <w:sz w:val="18"/>
        </w:rPr>
        <w:t>O IVVC [Imposto sobre Venda de Combustíveis a Varejo] e o ICMS são tributos diversos, com regras-matrizes próprias, de modo que não se configura "duplicidade de fatos geradores”.</w:t>
      </w:r>
    </w:p>
    <w:p>
      <w:pPr>
        <w:ind w:left="288"/>
      </w:pPr>
      <w:r>
        <w:rPr>
          <w:b/>
          <w:color w:val="003CA0"/>
          <w:sz w:val="16"/>
        </w:rPr>
        <w:t>[RE 254.893 AgR, rel. min. Joaquim Barbosa, j. 23-3-2010, 2ª T, DJE de 30-4-2010.]</w:t>
      </w:r>
    </w:p>
    <w:p>
      <w:pPr>
        <w:ind w:left="288"/>
      </w:pPr>
      <w:r>
        <w:rPr>
          <w:color w:val="8C8C8C"/>
          <w:sz w:val="12"/>
        </w:rPr>
        <w:t>cf-art-155-inc-I</w:t>
      </w:r>
      <w:r>
        <w:rPr>
          <w:color w:val="003CA0"/>
          <w:sz w:val="12"/>
        </w:rPr>
        <w:t xml:space="preserve"> | AI 682.565</w:t>
      </w:r>
      <w:r>
        <w:rPr>
          <w:color w:val="003CA0"/>
          <w:sz w:val="12"/>
        </w:rPr>
        <w:t xml:space="preserve"> | rel. Eros Grau</w:t>
      </w:r>
    </w:p>
    <w:p>
      <w:pPr>
        <w:ind w:left="288"/>
      </w:pPr>
      <w:r>
        <w:rPr>
          <w:color w:val="1E1E1E"/>
          <w:sz w:val="18"/>
        </w:rPr>
        <w:t>O STF fixou entendimento no sentido da ilegitimidade da cobrança de ICMS sobre água encanada, uma vez que se trata de serviço público essencial e não de mercadoria. Precedentes.</w:t>
      </w:r>
    </w:p>
    <w:p>
      <w:pPr>
        <w:ind w:left="288"/>
      </w:pPr>
      <w:r>
        <w:rPr>
          <w:b/>
          <w:color w:val="003CA0"/>
          <w:sz w:val="16"/>
        </w:rPr>
        <w:t>[AI 682.565 AgR, rel. min. Eros Grau, j. 23-6-2009, 2ª T, DJE de 7-8-2009.]</w:t>
      </w:r>
    </w:p>
    <w:p>
      <w:pPr>
        <w:ind w:left="288"/>
      </w:pPr>
      <w:r>
        <w:rPr>
          <w:color w:val="8C8C8C"/>
          <w:sz w:val="12"/>
        </w:rPr>
        <w:t>cf-art-155-inc-I</w:t>
      </w:r>
      <w:r>
        <w:rPr>
          <w:color w:val="003CA0"/>
          <w:sz w:val="12"/>
        </w:rPr>
        <w:t xml:space="preserve"> | RE 552.948</w:t>
      </w:r>
      <w:r>
        <w:rPr>
          <w:color w:val="003CA0"/>
          <w:sz w:val="12"/>
        </w:rPr>
        <w:t xml:space="preserve"> | rel. Ricardo Lewandowski</w:t>
      </w:r>
    </w:p>
    <w:p>
      <w:pPr>
        <w:ind w:left="288"/>
      </w:pPr>
      <w:r>
        <w:rPr>
          <w:color w:val="1E1E1E"/>
          <w:sz w:val="18"/>
        </w:rPr>
        <w:t>= RE 552.948 AgR, rel. min. Ricardo Lewandowski, j. 1º-6-2010, 1ª T, DJE de 6-8-2010 Vide RE 607.056, rel. min. Dias Toffoli, j. 10-4-2013, P, DJE de 16-5-2013, Tema 326 Vide AI 297.277 AgR, rel. min. Joaquim Barbosa, j. 6-4-2010, 2ª T, DJE de 7-5-2010 Tributo. ICMS. Transferência de bens. Incorporação de uma sociedade por outra. Não incidência. Inexistência de circulação de mercadorias. (...) Não incide ICMS na hipótese de incorporação de uma sociedade por outra.</w:t>
      </w:r>
    </w:p>
    <w:p>
      <w:pPr>
        <w:ind w:left="288"/>
      </w:pPr>
      <w:r>
        <w:rPr>
          <w:b/>
          <w:color w:val="003CA0"/>
          <w:sz w:val="16"/>
        </w:rPr>
        <w:t>[RE 208.932 ED-AgR, rel. min. Cezar Peluso, j. 17-3-2009, 1ª T, DJE de 17-4-2009.]</w:t>
      </w:r>
    </w:p>
    <w:p>
      <w:pPr>
        <w:ind w:left="288"/>
      </w:pPr>
      <w:r>
        <w:rPr>
          <w:color w:val="8C8C8C"/>
          <w:sz w:val="12"/>
        </w:rPr>
        <w:t>cf-art-155-inc-I</w:t>
      </w:r>
      <w:r>
        <w:rPr>
          <w:color w:val="003CA0"/>
          <w:sz w:val="12"/>
        </w:rPr>
        <w:t xml:space="preserve"> | AI 533.202</w:t>
      </w:r>
      <w:r>
        <w:rPr>
          <w:color w:val="003CA0"/>
          <w:sz w:val="12"/>
        </w:rPr>
        <w:t xml:space="preserve"> | rel. Gilmar Mendes</w:t>
      </w:r>
    </w:p>
    <w:p>
      <w:pPr>
        <w:ind w:left="288"/>
      </w:pPr>
      <w:r>
        <w:rPr>
          <w:color w:val="1E1E1E"/>
          <w:sz w:val="18"/>
        </w:rPr>
        <w:t>Confecção de rótulos e etiquetas sob encomenda. Incidência apenas de ISS, e não ICMS. Precedentes.</w:t>
      </w:r>
    </w:p>
    <w:p>
      <w:pPr>
        <w:ind w:left="288"/>
      </w:pPr>
      <w:r>
        <w:rPr>
          <w:b/>
          <w:color w:val="003CA0"/>
          <w:sz w:val="16"/>
        </w:rPr>
        <w:t>[AI 533.202 AgR, rel. min. Gilmar Mendes, j. 30-9-2008, 2ª T, DJE de 21-11-2008.]</w:t>
      </w:r>
    </w:p>
    <w:p>
      <w:pPr>
        <w:ind w:left="288"/>
      </w:pPr>
      <w:r>
        <w:rPr>
          <w:color w:val="8C8C8C"/>
          <w:sz w:val="12"/>
        </w:rPr>
        <w:t>cf-art-155-inc-I</w:t>
      </w:r>
      <w:r>
        <w:rPr>
          <w:color w:val="003CA0"/>
          <w:sz w:val="12"/>
        </w:rPr>
        <w:t xml:space="preserve"> | ADI 4.389</w:t>
      </w:r>
      <w:r>
        <w:rPr>
          <w:color w:val="003CA0"/>
          <w:sz w:val="12"/>
        </w:rPr>
        <w:t xml:space="preserve"> | rel. Joaquim Barbosa</w:t>
      </w:r>
    </w:p>
    <w:p>
      <w:pPr>
        <w:ind w:left="288"/>
      </w:pPr>
      <w:r>
        <w:rPr>
          <w:color w:val="1E1E1E"/>
          <w:sz w:val="18"/>
        </w:rPr>
        <w:t>Vide ADI 4.389 MC, rel. min. Joaquim Barbosa, j. 13-4-2011, P, DJE de 25-5-2011 ICMS. Créditos excedentes. Correção monetária. Legislação estadual. Inexistência. Não incide correção monetária sobre créditos excedentes de ICMS, vez que inexiste previsão na legislação ordinária.</w:t>
      </w:r>
    </w:p>
    <w:p>
      <w:pPr>
        <w:ind w:left="288"/>
      </w:pPr>
      <w:r>
        <w:rPr>
          <w:b/>
          <w:color w:val="003CA0"/>
          <w:sz w:val="16"/>
        </w:rPr>
        <w:t>[RE 470.932 AgR, rel. min. Eros Grau, j. 24-6-2008, 2ª T, DJE de 15-8-2008.]</w:t>
      </w:r>
    </w:p>
    <w:p>
      <w:pPr>
        <w:ind w:left="288"/>
      </w:pPr>
      <w:r>
        <w:rPr>
          <w:color w:val="8C8C8C"/>
          <w:sz w:val="12"/>
        </w:rPr>
        <w:t>cf-art-155-inc-I</w:t>
      </w:r>
      <w:r>
        <w:rPr>
          <w:color w:val="003CA0"/>
          <w:sz w:val="12"/>
        </w:rPr>
        <w:t xml:space="preserve"> | RE 386.808</w:t>
      </w:r>
      <w:r>
        <w:rPr>
          <w:color w:val="003CA0"/>
          <w:sz w:val="12"/>
        </w:rPr>
        <w:t xml:space="preserve"> | rel. Cármen Lúcia</w:t>
      </w:r>
    </w:p>
    <w:p>
      <w:pPr>
        <w:ind w:left="288"/>
      </w:pPr>
      <w:r>
        <w:rPr>
          <w:color w:val="1E1E1E"/>
          <w:sz w:val="18"/>
        </w:rPr>
        <w:t>= RE 386.808 AgR, rel. min. Cármen Lúcia, j. 8-2-2011, 1ª T, DJE de 3-3-2011 A autorização prevista no § 8º do art. 34 do ADCT de 1988 ficou restrita à tributação nova do então art. 155, I, b, hoje art. 155, II, da CF. ICMS. Produção. Ativo fixo. Saída. Ficção jurídica. Mostram-se inconstitucionais textos de convênio e de lei local – Convênio 66/1988 e Lei 6.374/1989 do Estado de São Paulo – reveladores, no campo da ficção jurídica (saída), da integração, ao ativo fixo, do que produzido pelo próprio estabelecimento, como fato gerador do ICMS.</w:t>
      </w:r>
    </w:p>
    <w:p>
      <w:pPr>
        <w:ind w:left="288"/>
      </w:pPr>
      <w:r>
        <w:rPr>
          <w:b/>
          <w:color w:val="003CA0"/>
          <w:sz w:val="16"/>
        </w:rPr>
        <w:t>[RE 158.834, red. do ac. min. Marco Aurélio, j. 23-10-2002, P, DJ de 5-9-2003.]</w:t>
      </w:r>
    </w:p>
    <w:p>
      <w:pPr>
        <w:ind w:left="288"/>
      </w:pPr>
      <w:r>
        <w:rPr>
          <w:color w:val="8C8C8C"/>
          <w:sz w:val="12"/>
        </w:rPr>
        <w:t>cf-art-155-inc-I</w:t>
      </w:r>
      <w:r>
        <w:rPr>
          <w:color w:val="003CA0"/>
          <w:sz w:val="12"/>
        </w:rPr>
        <w:t xml:space="preserve"> | RE 240.186</w:t>
      </w:r>
      <w:r>
        <w:rPr>
          <w:color w:val="003CA0"/>
          <w:sz w:val="12"/>
        </w:rPr>
        <w:t xml:space="preserve"> | rel. Ilmar Galvão</w:t>
      </w:r>
    </w:p>
    <w:p>
      <w:pPr>
        <w:ind w:left="288"/>
      </w:pPr>
      <w:r>
        <w:rPr>
          <w:color w:val="1E1E1E"/>
          <w:sz w:val="18"/>
        </w:rPr>
        <w:t>LC 65/1991. Inconstitucionalidade declarada pelo STJ, do seu art. 2º, que teria delegado ao Confaz [Conselho Nacional de Política Fazendária] competência para relacionar os produtos semielaborados sujeitos ao tributo, quando destinados ao exterior, bem como do Convênio ICMS 15/1991, vazado no referido dispositivo. O texto constitucional, no ponto, não incumbiu o legislador complementar de relacionar os produtos semielaborados sujeitos ao ICMS quando destinados ao exterior, mas apenas de defini-los. De outra parte, a lei complementar, no caso, não delegou ao Confaz competência normativa, mas, t</w:t>
      </w:r>
    </w:p>
    <w:p>
      <w:pPr>
        <w:ind w:left="288"/>
      </w:pPr>
      <w:r>
        <w:rPr>
          <w:b/>
          <w:color w:val="003CA0"/>
          <w:sz w:val="16"/>
        </w:rPr>
        <w:t>[RE 240.186, rel. min. Ilmar Galvão, j. 28-6-2000, P, DJ de 28-2-2003.]</w:t>
      </w:r>
    </w:p>
    <w:p>
      <w:pPr>
        <w:ind w:left="288"/>
      </w:pPr>
      <w:r>
        <w:rPr>
          <w:color w:val="8C8C8C"/>
          <w:sz w:val="12"/>
        </w:rPr>
        <w:t>cf-art-155-inc-I</w:t>
      </w:r>
      <w:r>
        <w:rPr>
          <w:color w:val="003CA0"/>
          <w:sz w:val="12"/>
        </w:rPr>
        <w:t xml:space="preserve"> | RE 400.525</w:t>
      </w:r>
      <w:r>
        <w:rPr>
          <w:color w:val="003CA0"/>
          <w:sz w:val="12"/>
        </w:rPr>
        <w:t xml:space="preserve"> | rel. Marco Aurélio</w:t>
      </w:r>
    </w:p>
    <w:p>
      <w:pPr>
        <w:ind w:left="288"/>
      </w:pPr>
      <w:r>
        <w:rPr>
          <w:color w:val="1E1E1E"/>
          <w:sz w:val="18"/>
        </w:rPr>
        <w:t>= RE 400.525 AgR, rel. min. Marco Aurélio, j. 25-3-2014, 1ª T, DJE de 9-4-2014 Empresa dedicada à comercialização de fitas de videoteipe por ela gravadas. Operação que se qualifica como de circulação de mercadorias, estando sujeita à incidência do ICMS (art. 155, II, da CF). Não configuração de prestação de serviço envolvendo fornecimento de mercadoria, no caso, do respectivo suporte físico (filmes), prevista no art. 8º, § 1º, do DL 406/1968 c/c item 63 da lista a ele anexa, somente possível quando o serviço de gravação é feito por solicitação de outrem.</w:t>
      </w:r>
    </w:p>
    <w:p>
      <w:pPr>
        <w:ind w:left="288"/>
      </w:pPr>
      <w:r>
        <w:rPr>
          <w:b/>
          <w:color w:val="003CA0"/>
          <w:sz w:val="16"/>
        </w:rPr>
        <w:t>[RE 179.560, rel. min. Ilmar Galvão, j. 30-3-1999, 1ª T, DJ de 28-5-1999.]</w:t>
      </w:r>
    </w:p>
    <w:p>
      <w:pPr>
        <w:ind w:left="288"/>
      </w:pPr>
      <w:r>
        <w:rPr>
          <w:color w:val="8C8C8C"/>
          <w:sz w:val="12"/>
        </w:rPr>
        <w:t>cf-art-155-inc-III</w:t>
      </w:r>
      <w:r>
        <w:rPr>
          <w:color w:val="003CA0"/>
          <w:sz w:val="12"/>
        </w:rPr>
        <w:t xml:space="preserve"> | ADI 5.654</w:t>
      </w:r>
      <w:r>
        <w:rPr>
          <w:color w:val="003CA0"/>
          <w:sz w:val="12"/>
        </w:rPr>
        <w:t xml:space="preserve"> | rel. Nunes Marques</w:t>
      </w:r>
    </w:p>
    <w:p>
      <w:pPr>
        <w:ind w:left="288"/>
      </w:pPr>
      <w:r>
        <w:rPr>
          <w:color w:val="1E1E1E"/>
          <w:sz w:val="18"/>
        </w:rPr>
        <w:t>De acordo com a jurisprudência consolidada do STF, firmada antes da EC n. 132/2023, o campo de incidência do IPVA restringe-se aos veículos automotores terrestres, não alcançando embarcações e aeronaves, sob pena de violação do art. 155, III, da CF/1988.</w:t>
      </w:r>
    </w:p>
    <w:p>
      <w:pPr>
        <w:ind w:left="288"/>
      </w:pPr>
      <w:r>
        <w:rPr>
          <w:b/>
          <w:color w:val="003CA0"/>
          <w:sz w:val="16"/>
        </w:rPr>
        <w:t>[ADI 5.654, rel. min. Nunes Marques, j. 9-12-2025, P, DJE de 26-1-2026.]</w:t>
      </w:r>
    </w:p>
    <w:p>
      <w:pPr>
        <w:ind w:left="144"/>
      </w:pPr>
      <w:r>
        <w:rPr>
          <w:b/>
          <w:color w:val="B45A00"/>
          <w:sz w:val="16"/>
        </w:rPr>
        <w:t>CONTROLE CONCENTRADO</w:t>
      </w:r>
    </w:p>
    <w:p>
      <w:pPr>
        <w:ind w:left="288"/>
      </w:pPr>
      <w:r>
        <w:rPr>
          <w:color w:val="8C8C8C"/>
          <w:sz w:val="12"/>
        </w:rPr>
        <w:t>cf-art-155-inc-III</w:t>
      </w:r>
      <w:r>
        <w:rPr>
          <w:color w:val="003CA0"/>
          <w:sz w:val="12"/>
        </w:rPr>
        <w:t xml:space="preserve"> | ADI 1.655</w:t>
      </w:r>
      <w:r>
        <w:rPr>
          <w:color w:val="003CA0"/>
          <w:sz w:val="12"/>
        </w:rPr>
        <w:t xml:space="preserve"> | rel. Maurício Corrêa</w:t>
      </w:r>
    </w:p>
    <w:p>
      <w:pPr>
        <w:ind w:left="288"/>
      </w:pPr>
      <w:r>
        <w:rPr>
          <w:color w:val="1E1E1E"/>
          <w:sz w:val="18"/>
        </w:rPr>
        <w:t>Cancelamento de multa e isenção do pagamento do IPVA. Matéria afeta à competência dos Estados e à do Distrito Federal. Benefício fiscal concedido exclusivamente àqueles filiados à Cooperativa de Transportes Escolares do Município de Macapá. Inconstitucionalidade. A CF outorga aos Estados e ao Distrito Federal a competência para instituir o IPVA e para conceder isenção, mas, ao mesmo tempo, proíbe o tratamento desigual entre contribuintes que se encontrem na mesma situação econômica. Observância aos princípios da isonomia e da liberdade de associação.</w:t>
      </w:r>
    </w:p>
    <w:p>
      <w:pPr>
        <w:ind w:left="288"/>
      </w:pPr>
      <w:r>
        <w:rPr>
          <w:b/>
          <w:color w:val="003CA0"/>
          <w:sz w:val="16"/>
        </w:rPr>
        <w:t>[ADI 1.655, rel. min. Maurício Corrêa, j. 3-3-2004, P, DJ de 2-4-2004.]</w:t>
      </w:r>
    </w:p>
    <w:p>
      <w:pPr>
        <w:ind w:left="288"/>
      </w:pPr>
      <w:r>
        <w:rPr>
          <w:color w:val="8C8C8C"/>
          <w:sz w:val="12"/>
        </w:rPr>
        <w:t>cf-art-155-inc-III</w:t>
      </w:r>
      <w:r>
        <w:rPr>
          <w:color w:val="003CA0"/>
          <w:sz w:val="12"/>
        </w:rPr>
        <w:t xml:space="preserve"> | ADI 2.298</w:t>
      </w:r>
      <w:r>
        <w:rPr>
          <w:color w:val="003CA0"/>
          <w:sz w:val="12"/>
        </w:rPr>
        <w:t xml:space="preserve"> | rel. Nunes Marques</w:t>
      </w:r>
    </w:p>
    <w:p>
      <w:pPr>
        <w:ind w:left="288"/>
      </w:pPr>
      <w:r>
        <w:rPr>
          <w:color w:val="1E1E1E"/>
          <w:sz w:val="18"/>
        </w:rPr>
        <w:t>O tipo e a utilização do veículo podem ser considerados critérios diferenciadores da sujeição ao Imposto sobre a Propriedade de Veículos Automotores (IPVA). Consiste em diferenciação com base na utilidade dada ao veículo a concessão de isenção em virtude de o automóvel ser objeto de contrato de arrendamento mercantil convencionado em benefício de taxista. A mera consideração do arrendamento mercantil na fórmula isentiva não tem o condão de transfigurar o fato gerador do IPVA, ausente alteração do sujeito passivo da obrigação tributária. Surge concretizado o princípio da igualdade ante o benefí</w:t>
      </w:r>
    </w:p>
    <w:p>
      <w:pPr>
        <w:ind w:left="288"/>
      </w:pPr>
      <w:r>
        <w:rPr>
          <w:b/>
          <w:color w:val="003CA0"/>
          <w:sz w:val="16"/>
        </w:rPr>
        <w:t>[ADI 2.298, rel. min. Nunes Marques, j. 26-9-2022, P, DJE de 24-10-2022.]</w:t>
      </w:r>
    </w:p>
    <w:p>
      <w:pPr>
        <w:ind w:left="288"/>
      </w:pPr>
      <w:r>
        <w:rPr>
          <w:color w:val="8C8C8C"/>
          <w:sz w:val="12"/>
        </w:rPr>
        <w:t>cf-art-155-inc-III</w:t>
      </w:r>
      <w:r>
        <w:rPr>
          <w:color w:val="003CA0"/>
          <w:sz w:val="12"/>
        </w:rPr>
        <w:t xml:space="preserve"> | RE 1.355.870</w:t>
      </w:r>
      <w:r>
        <w:rPr>
          <w:color w:val="003CA0"/>
          <w:sz w:val="12"/>
        </w:rPr>
        <w:t xml:space="preserve"> | rel. Luiz Fux</w:t>
      </w:r>
    </w:p>
    <w:p>
      <w:pPr>
        <w:ind w:left="288"/>
      </w:pPr>
      <w:r>
        <w:rPr>
          <w:color w:val="1E1E1E"/>
          <w:sz w:val="18"/>
        </w:rPr>
        <w:t>"É inconstitucional a eleição do credor fiduciário como contribuinte ou responsável tributário do Imposto sobre a Propriedade de Veículos Automotores (IPVA) incidente sobre veículo alienado fiduciariamente, ressalvada a hipótese da consolidação de sua propriedade plena sobre o bem."</w:t>
      </w:r>
    </w:p>
    <w:p>
      <w:pPr>
        <w:ind w:left="288"/>
      </w:pPr>
      <w:r>
        <w:rPr>
          <w:b/>
          <w:color w:val="003CA0"/>
          <w:sz w:val="16"/>
        </w:rPr>
        <w:t>[RE 1.355.870, rel. min. Luiz Fux, j. 06.10.2025, P, DJE de 14.10.2025, Tema 1.153, com mérito julgado.]</w:t>
      </w:r>
    </w:p>
    <w:p>
      <w:pPr>
        <w:ind w:left="288"/>
      </w:pPr>
      <w:r>
        <w:rPr>
          <w:color w:val="8C8C8C"/>
          <w:sz w:val="12"/>
        </w:rPr>
        <w:t>cf-art-155-inc-III</w:t>
      </w:r>
      <w:r>
        <w:rPr>
          <w:color w:val="003CA0"/>
          <w:sz w:val="12"/>
        </w:rPr>
        <w:t xml:space="preserve"> | RE 1.016.605</w:t>
      </w:r>
      <w:r>
        <w:rPr>
          <w:color w:val="003CA0"/>
          <w:sz w:val="12"/>
        </w:rPr>
        <w:t xml:space="preserve"> | rel. Luiz Fux</w:t>
      </w:r>
    </w:p>
    <w:p>
      <w:pPr>
        <w:ind w:left="288"/>
      </w:pPr>
      <w:r>
        <w:rPr>
          <w:color w:val="1E1E1E"/>
          <w:sz w:val="18"/>
        </w:rPr>
        <w:t>Constitucionalidade da cobrança do Imposto sobre a Propriedade de Veículos Automotores (IPVA) por Estado diverso da sede de empresa locadora de veículos, quando esta possuir filial em outro estado, onde igualmente exerce atividades comerciais (distinção do Tema 708, RE 1.016.605).</w:t>
      </w:r>
    </w:p>
    <w:p>
      <w:pPr>
        <w:ind w:left="288"/>
      </w:pPr>
      <w:r>
        <w:rPr>
          <w:b/>
          <w:color w:val="003CA0"/>
          <w:sz w:val="16"/>
        </w:rPr>
        <w:t>[ARE 1.357.421 RG, rel. min. Luiz Fux, j. 17-2-2022, P, DJE de 8-3-2022, Tema 1.198, com mérito pendente.]</w:t>
      </w:r>
    </w:p>
    <w:p>
      <w:pPr>
        <w:ind w:left="288"/>
      </w:pPr>
      <w:r>
        <w:rPr>
          <w:color w:val="8C8C8C"/>
          <w:sz w:val="12"/>
        </w:rPr>
        <w:t>cf-art-155-inc-III</w:t>
      </w:r>
      <w:r>
        <w:rPr>
          <w:color w:val="003CA0"/>
          <w:sz w:val="12"/>
        </w:rPr>
        <w:t xml:space="preserve"> | RE 1.334.045</w:t>
      </w:r>
      <w:r>
        <w:rPr>
          <w:color w:val="003CA0"/>
          <w:sz w:val="12"/>
        </w:rPr>
        <w:t xml:space="preserve"> | rel. Luiz Fux</w:t>
      </w:r>
    </w:p>
    <w:p>
      <w:pPr>
        <w:ind w:left="288"/>
      </w:pPr>
      <w:r>
        <w:rPr>
          <w:color w:val="1E1E1E"/>
          <w:sz w:val="18"/>
        </w:rPr>
        <w:t>É infraconstitucional, a ela se aplicando os efeitos da ausência de repercussão geral, a controvérsia relativa à revogação de isenção do imposto sobre a propriedade de veículos automotores (IPVA) concedida a pessoa com deficiência, em virtude da modificação dos critérios legais para gozo do benefício.</w:t>
      </w:r>
    </w:p>
    <w:p>
      <w:pPr>
        <w:ind w:left="288"/>
      </w:pPr>
      <w:r>
        <w:rPr>
          <w:b/>
          <w:color w:val="003CA0"/>
          <w:sz w:val="16"/>
        </w:rPr>
        <w:t>[RE 1.334.045 RG, rel. min. Luiz Fux, j. 14-10-2021, P, DJE de 27-10-2021, Tema 1.176, com repercussão geral negada.]</w:t>
      </w:r>
    </w:p>
    <w:p>
      <w:pPr>
        <w:ind w:left="288"/>
      </w:pPr>
      <w:r>
        <w:rPr>
          <w:color w:val="8C8C8C"/>
          <w:sz w:val="12"/>
        </w:rPr>
        <w:t>cf-art-155-inc-III</w:t>
      </w:r>
      <w:r>
        <w:rPr>
          <w:color w:val="003CA0"/>
          <w:sz w:val="12"/>
        </w:rPr>
        <w:t xml:space="preserve"> | RE 1.016.605</w:t>
      </w:r>
      <w:r>
        <w:rPr>
          <w:color w:val="003CA0"/>
          <w:sz w:val="12"/>
        </w:rPr>
        <w:t xml:space="preserve"> | rel. Marco Aurélio</w:t>
      </w:r>
    </w:p>
    <w:p>
      <w:pPr>
        <w:ind w:left="288"/>
      </w:pPr>
      <w:r>
        <w:rPr>
          <w:color w:val="1E1E1E"/>
          <w:sz w:val="18"/>
        </w:rPr>
        <w:t>A Constituição autoriza a cobrança do Imposto sobre a Propriedade de Veículos Automotores (IPVA) somente pelo Estado em que o contribuinte mantém sua sede ou domicílio tributário.</w:t>
        <w:br/>
        <w:t>[RE 1.016.605, rel. min. Marco Aurélio, red. do ac. min. Alexandre de Moraes, j. 16-9-2020, P, DJE de 16-12-2020, Tema 708, com mérito julgado.]</w:t>
      </w:r>
    </w:p>
    <w:p>
      <w:pPr>
        <w:ind w:left="288"/>
      </w:pPr>
      <w:r>
        <w:rPr>
          <w:color w:val="8C8C8C"/>
          <w:sz w:val="12"/>
        </w:rPr>
        <w:t>cf-art-155-par-1-inc-I</w:t>
      </w:r>
      <w:r>
        <w:rPr>
          <w:color w:val="003CA0"/>
          <w:sz w:val="12"/>
        </w:rPr>
        <w:t xml:space="preserve"> | RE 1.393.809</w:t>
      </w:r>
      <w:r>
        <w:rPr>
          <w:color w:val="003CA0"/>
          <w:sz w:val="12"/>
        </w:rPr>
        <w:t xml:space="preserve"> | rel. Edson Fachin</w:t>
      </w:r>
    </w:p>
    <w:p>
      <w:pPr>
        <w:ind w:left="288"/>
      </w:pPr>
      <w:r>
        <w:rPr>
          <w:color w:val="1E1E1E"/>
          <w:sz w:val="18"/>
        </w:rPr>
        <w:t>In casu, a partir das premissas assentadas no julgamento do Tema 825 da sistemática da repercussão geral — conclui-se que, no uso da competência privativa, poderão os estados e o Distrito Federal, por meio de lei ordinária, instituir o ITCMD no âmbito local, dando ensejo à cobrança válida do tributo, nas hipóteses do § 1º, incisos I e II, do art. 155.</w:t>
      </w:r>
    </w:p>
    <w:p>
      <w:pPr>
        <w:ind w:left="288"/>
      </w:pPr>
      <w:r>
        <w:rPr>
          <w:b/>
          <w:color w:val="003CA0"/>
          <w:sz w:val="16"/>
        </w:rPr>
        <w:t>[RE 1.393.809 ED-AgR, rel. min. Edson Fachin, j. 04.02.2025, 2ª T, DJE de 13.02.2025.]</w:t>
      </w:r>
    </w:p>
    <w:p>
      <w:pPr>
        <w:ind w:left="288"/>
      </w:pPr>
      <w:r>
        <w:rPr>
          <w:color w:val="8C8C8C"/>
          <w:sz w:val="12"/>
        </w:rPr>
        <w:t>cf-art-155-par-1-inc-II</w:t>
      </w:r>
      <w:r>
        <w:rPr>
          <w:color w:val="003CA0"/>
          <w:sz w:val="12"/>
        </w:rPr>
        <w:t xml:space="preserve"> | RE 1.393.809</w:t>
      </w:r>
      <w:r>
        <w:rPr>
          <w:color w:val="003CA0"/>
          <w:sz w:val="12"/>
        </w:rPr>
        <w:t xml:space="preserve"> | rel. Edson Fachin</w:t>
      </w:r>
    </w:p>
    <w:p>
      <w:pPr>
        <w:ind w:left="288"/>
      </w:pPr>
      <w:r>
        <w:rPr>
          <w:color w:val="1E1E1E"/>
          <w:sz w:val="18"/>
        </w:rPr>
        <w:t>In casu, a partir das premissas assentadas no julgamento do Tema 825 da sistemática da repercussão geral — conclui-se que, no uso da competência privativa, poderão os estados e o Distrito Federal, por meio de lei ordinária, instituir o ITCMD no âmbito local, dando ensejo à cobrança válida do tributo, nas hipóteses do § 1º, incisos I e II, do art. 155.</w:t>
      </w:r>
    </w:p>
    <w:p>
      <w:pPr>
        <w:ind w:left="288"/>
      </w:pPr>
      <w:r>
        <w:rPr>
          <w:b/>
          <w:color w:val="003CA0"/>
          <w:sz w:val="16"/>
        </w:rPr>
        <w:t>[RE 1.393.809 ED-AgR, rel. min. Edson Fachin, j. 04.02.2025, 2ª T, DJE de 13.02.2025.]</w:t>
      </w:r>
    </w:p>
    <w:p>
      <w:pPr>
        <w:ind w:left="288"/>
      </w:pPr>
      <w:r>
        <w:rPr>
          <w:color w:val="8C8C8C"/>
          <w:sz w:val="12"/>
        </w:rPr>
        <w:t>cf-art-155-par-1-inc-III</w:t>
      </w:r>
      <w:r>
        <w:rPr>
          <w:color w:val="003CA0"/>
          <w:sz w:val="12"/>
        </w:rPr>
        <w:t xml:space="preserve"> | RE 851.108</w:t>
      </w:r>
      <w:r>
        <w:rPr>
          <w:color w:val="003CA0"/>
          <w:sz w:val="12"/>
        </w:rPr>
        <w:t xml:space="preserve"> | rel. Dias Toffoli</w:t>
      </w:r>
    </w:p>
    <w:p>
      <w:pPr>
        <w:ind w:left="288"/>
      </w:pPr>
      <w:r>
        <w:rPr>
          <w:color w:val="1E1E1E"/>
          <w:sz w:val="18"/>
        </w:rPr>
        <w:t xml:space="preserve">Nas hipóteses previstas no artigo 155, §1º, III, da Constituição Federal, a competência para a instituição da exação foi expressamente condicionada à regulação por lei complementar. Há imprescindibilidade da edição de lei complementar para fins de instituição do ITCMD pelos Estados e Distrito Federal quando o doador tiver domicílio ou residência no exterior, bem como nas hipóteses em que o de cujus possuía bens, era residente ou domiciliado, ou teve o seu inventário processado no exterior. Inconcesso, aos entes federativos estaduais e ao DF, suprir a ausência da edição de lei complementar nos </w:t>
      </w:r>
    </w:p>
    <w:p>
      <w:pPr>
        <w:ind w:left="288"/>
      </w:pPr>
      <w:r>
        <w:rPr>
          <w:b/>
          <w:color w:val="003CA0"/>
          <w:sz w:val="16"/>
        </w:rPr>
        <w:t>[ADI 6.818, rel. min. Rosa Weber, j. 21-3-2022, P, DJE de 09-5-2022.]</w:t>
      </w:r>
    </w:p>
    <w:p>
      <w:pPr>
        <w:ind w:left="144"/>
      </w:pPr>
      <w:r>
        <w:rPr>
          <w:b/>
          <w:color w:val="B45A00"/>
          <w:sz w:val="16"/>
        </w:rPr>
        <w:t>REPERCUSSAO GERAL</w:t>
      </w:r>
    </w:p>
    <w:p>
      <w:pPr>
        <w:ind w:left="288"/>
      </w:pPr>
      <w:r>
        <w:rPr>
          <w:color w:val="8C8C8C"/>
          <w:sz w:val="12"/>
        </w:rPr>
        <w:t>cf-art-155-par-1-inc-III</w:t>
      </w:r>
      <w:r>
        <w:rPr>
          <w:color w:val="003CA0"/>
          <w:sz w:val="12"/>
        </w:rPr>
        <w:t xml:space="preserve"> | RE 851.108</w:t>
      </w:r>
      <w:r>
        <w:rPr>
          <w:color w:val="003CA0"/>
          <w:sz w:val="12"/>
        </w:rPr>
        <w:t xml:space="preserve"> | rel. Dias Toffoli</w:t>
      </w:r>
    </w:p>
    <w:p>
      <w:pPr>
        <w:ind w:left="288"/>
      </w:pPr>
      <w:r>
        <w:rPr>
          <w:color w:val="1E1E1E"/>
          <w:sz w:val="18"/>
        </w:rPr>
        <w:t>“É vedado aos estados e ao Distrito Federal instituir o ITCMD nas hipóteses referidas no art. 155, § 1º, III, da Constituição Federal sem a edição da lei complementar exigida pelo referido dispositivo constitucional.”</w:t>
      </w:r>
    </w:p>
    <w:p>
      <w:pPr>
        <w:ind w:left="288"/>
      </w:pPr>
      <w:r>
        <w:rPr>
          <w:b/>
          <w:color w:val="003CA0"/>
          <w:sz w:val="16"/>
        </w:rPr>
        <w:t>[RE 851.108, rel. min. Dias Toffoli, j. 1-3-2021, P, DJE de 20-4-2021, Tema 825, com mérito julgado.]</w:t>
      </w:r>
    </w:p>
    <w:p>
      <w:pPr>
        <w:ind w:left="144"/>
      </w:pPr>
      <w:r>
        <w:rPr>
          <w:b/>
          <w:color w:val="B45A00"/>
          <w:sz w:val="16"/>
        </w:rPr>
        <w:t>JULGADOS CORRELATOS</w:t>
      </w:r>
    </w:p>
    <w:p>
      <w:pPr>
        <w:ind w:left="288"/>
      </w:pPr>
      <w:r>
        <w:rPr>
          <w:color w:val="8C8C8C"/>
          <w:sz w:val="12"/>
        </w:rPr>
        <w:t>cf-art-155-par-1-inc-IV</w:t>
      </w:r>
      <w:r>
        <w:rPr>
          <w:color w:val="003CA0"/>
          <w:sz w:val="12"/>
        </w:rPr>
        <w:t xml:space="preserve"> | RE 218.086</w:t>
      </w:r>
      <w:r>
        <w:rPr>
          <w:color w:val="003CA0"/>
          <w:sz w:val="12"/>
        </w:rPr>
        <w:t xml:space="preserve"> | rel. Sydney Sanches</w:t>
      </w:r>
    </w:p>
    <w:p>
      <w:pPr>
        <w:ind w:left="288"/>
      </w:pPr>
      <w:r>
        <w:rPr>
          <w:color w:val="1E1E1E"/>
          <w:sz w:val="18"/>
        </w:rPr>
        <w:t xml:space="preserve">Como salientado na decisão agravada, "inexistem as alegadas ofensas aos arts. 155 e 1º da Carta Magna Federal, porquanto o acórdão recorrido não negou que o Estado-membro tenha competência para instituir impostos estaduais, nem que o Senado seja competente para fixar a alíquota máxima para os impostos de transmissão mortis causa e de doação, mas, sim, sustentou corretamente que ele, por força do art. 150, I, da Carta Magna, só pode aumentar tributo por lei estadual específica e não por meio de lei que se atrele genericamente a essa alíquota máxima fixada pelo Senado e varie posteriormente com </w:t>
      </w:r>
    </w:p>
    <w:p>
      <w:pPr>
        <w:ind w:left="288"/>
      </w:pPr>
      <w:r>
        <w:rPr>
          <w:b/>
          <w:color w:val="003CA0"/>
          <w:sz w:val="16"/>
        </w:rPr>
        <w:t>[RE 218.086 AgR, rel. min. Sydney Sanches, j. 8-2-2000, 1ª T, DJ de 17-3-2000.]</w:t>
      </w:r>
    </w:p>
    <w:p>
      <w:pPr>
        <w:ind w:left="288"/>
      </w:pPr>
      <w:r>
        <w:rPr>
          <w:color w:val="8C8C8C"/>
          <w:sz w:val="12"/>
        </w:rPr>
        <w:t>cf-art-155-par-1-inc-IV</w:t>
      </w:r>
      <w:r>
        <w:rPr>
          <w:color w:val="003CA0"/>
          <w:sz w:val="12"/>
        </w:rPr>
        <w:t xml:space="preserve"> | RE 213.266</w:t>
      </w:r>
      <w:r>
        <w:rPr>
          <w:color w:val="003CA0"/>
          <w:sz w:val="12"/>
        </w:rPr>
        <w:t xml:space="preserve"> | rel. Marco Aurélio</w:t>
      </w:r>
    </w:p>
    <w:p>
      <w:pPr>
        <w:ind w:left="288"/>
      </w:pPr>
      <w:r>
        <w:rPr>
          <w:color w:val="1E1E1E"/>
          <w:sz w:val="18"/>
        </w:rPr>
        <w:t>= RE 213.266, rel. min. Marco Aurélio, j. 20-10-1999, P, DJ de 17-12-1999 = RE 225.956, rel. min. Moreira Alves, j. 1º-12-1998, 2ª T, DJ de 12-3-1999 Ao Senado Federal compete a fixação da alíquota máxima para a cobrança do Imposto de Transmissão Causa Mortis, cabendo aos Estados a definição da alíquota interna exigível, mediante lei específica, observada a resolução expedida por essa Casa Legislativa.</w:t>
      </w:r>
    </w:p>
    <w:p>
      <w:pPr>
        <w:ind w:left="288"/>
      </w:pPr>
      <w:r>
        <w:rPr>
          <w:b/>
          <w:color w:val="003CA0"/>
          <w:sz w:val="16"/>
        </w:rPr>
        <w:t>[RE 224.786 AgR, rel. min. Maurício Corrêa, j. 24-8-1999, 2ª T, DJ de 4-2-2000.]</w:t>
      </w:r>
    </w:p>
    <w:p>
      <w:pPr>
        <w:ind w:left="288"/>
      </w:pPr>
      <w:r>
        <w:rPr>
          <w:color w:val="8C8C8C"/>
          <w:sz w:val="12"/>
        </w:rPr>
        <w:t>cf-art-155-par-1-inc-IV</w:t>
      </w:r>
      <w:r>
        <w:rPr>
          <w:color w:val="003CA0"/>
          <w:sz w:val="12"/>
        </w:rPr>
        <w:t xml:space="preserve"> | AI 150.617</w:t>
      </w:r>
      <w:r>
        <w:rPr>
          <w:color w:val="003CA0"/>
          <w:sz w:val="12"/>
        </w:rPr>
        <w:t xml:space="preserve"> | rel. Marco Aurélio</w:t>
      </w:r>
    </w:p>
    <w:p>
      <w:pPr>
        <w:ind w:left="288"/>
      </w:pPr>
      <w:r>
        <w:rPr>
          <w:color w:val="1E1E1E"/>
          <w:sz w:val="18"/>
        </w:rPr>
        <w:t>Tal como previsto na Carta pretérita, § 2º do art. 23, a atual reserva ao Senado Federal a fixação das alíquotas referentes ao imposto causa mortis – inciso IV do art. 155. Não há como falar em transgressão ao art. 34, §§ 3º e 4º, do ADCT, quando o provimento judicial repousa nessas premissas. Impossível é perquirir da lacuna indispensável a que se tenha como legítima a atuação da unidade federativa prevista no § 3º do art. 34 referido, valendo notar que, pela regra inserta no § 5º desse artigo, o afastamento da legislação anterior, para ensejar a atividade dos Estados, pressupõe incompatibili</w:t>
      </w:r>
    </w:p>
    <w:p>
      <w:pPr>
        <w:ind w:left="288"/>
      </w:pPr>
      <w:r>
        <w:rPr>
          <w:b/>
          <w:color w:val="003CA0"/>
          <w:sz w:val="16"/>
        </w:rPr>
        <w:t>[AI 150.617 AgR, rel. min. Marco Aurélio, j. 22-6-1993, 2ª T, DJ de 20-8-1993.]</w:t>
      </w:r>
    </w:p>
    <w:p>
      <w:pPr>
        <w:ind w:left="288"/>
      </w:pPr>
      <w:r>
        <w:rPr>
          <w:color w:val="8C8C8C"/>
          <w:sz w:val="12"/>
        </w:rPr>
        <w:t>cf-art-155-par-1-inc-IV</w:t>
      </w:r>
      <w:r>
        <w:rPr>
          <w:color w:val="003CA0"/>
          <w:sz w:val="12"/>
        </w:rPr>
        <w:t xml:space="preserve"> | AI 147.490</w:t>
      </w:r>
      <w:r>
        <w:rPr>
          <w:color w:val="003CA0"/>
          <w:sz w:val="12"/>
        </w:rPr>
        <w:t xml:space="preserve"> | rel. Ilmar Galvão</w:t>
      </w:r>
    </w:p>
    <w:p>
      <w:pPr>
        <w:ind w:left="288"/>
      </w:pPr>
      <w:r>
        <w:rPr>
          <w:color w:val="1E1E1E"/>
          <w:sz w:val="18"/>
        </w:rPr>
        <w:t>= AI 147.490 AgR, rel. min. Ilmar Galvão, j. 14-9-1993, 1ª T, DJ de 1º-10-1993</w:t>
      </w:r>
    </w:p>
    <w:p>
      <w:pPr>
        <w:ind w:left="144"/>
      </w:pPr>
      <w:r>
        <w:rPr>
          <w:b/>
          <w:color w:val="B45A00"/>
          <w:sz w:val="16"/>
        </w:rPr>
        <w:t>CONTROLE CONCENTRADO</w:t>
      </w:r>
    </w:p>
    <w:p>
      <w:pPr>
        <w:ind w:left="288"/>
      </w:pPr>
      <w:r>
        <w:rPr>
          <w:color w:val="8C8C8C"/>
          <w:sz w:val="12"/>
        </w:rPr>
        <w:t>cf-art-155-par-2</w:t>
      </w:r>
      <w:r>
        <w:rPr>
          <w:color w:val="003CA0"/>
          <w:sz w:val="12"/>
        </w:rPr>
        <w:t xml:space="preserve"> | ADI 2.663</w:t>
      </w:r>
      <w:r>
        <w:rPr>
          <w:color w:val="003CA0"/>
          <w:sz w:val="12"/>
        </w:rPr>
        <w:t xml:space="preserve"> | rel. Luiz Fux</w:t>
      </w:r>
    </w:p>
    <w:p>
      <w:pPr>
        <w:ind w:left="288"/>
      </w:pPr>
      <w:r>
        <w:rPr>
          <w:color w:val="1E1E1E"/>
          <w:sz w:val="18"/>
        </w:rPr>
        <w:t>A competência legislativa de Estado-membro para dispor sobre educação e ensino (art. 24, IX, da CRFB/1988) autoriza a fixação, por lei local, da possibilidade de concessão de bolsas de estudo a professores, em aprimoramento do sistema regional de ensino. O pacto federativo reclama, para a preservação do equilíbrio horizontal na tributação, a prévia deliberação dos Estados-membros para a concessão de benefícios fiscais relativamente ao ICMS, na forma prevista no art. 155, § 2º, XII, g, da Constituição e como disciplinado pela LC 24/1975, recepcionada pela atual ordem constitucional. In casu, pa</w:t>
      </w:r>
    </w:p>
    <w:p>
      <w:pPr>
        <w:ind w:left="144"/>
      </w:pPr>
      <w:r>
        <w:rPr>
          <w:b/>
          <w:color w:val="B45A00"/>
          <w:sz w:val="16"/>
        </w:rPr>
        <w:t>REPERCUSSAO GERAL</w:t>
      </w:r>
    </w:p>
    <w:p>
      <w:pPr>
        <w:ind w:left="288"/>
      </w:pPr>
      <w:r>
        <w:rPr>
          <w:color w:val="8C8C8C"/>
          <w:sz w:val="12"/>
        </w:rPr>
        <w:t>cf-art-155-par-2</w:t>
      </w:r>
      <w:r>
        <w:rPr>
          <w:color w:val="003CA0"/>
          <w:sz w:val="12"/>
        </w:rPr>
        <w:t xml:space="preserve"> | RE 1.367.394</w:t>
      </w:r>
      <w:r>
        <w:rPr>
          <w:color w:val="003CA0"/>
          <w:sz w:val="12"/>
        </w:rPr>
        <w:t xml:space="preserve"> | rel. Luiz Fux</w:t>
      </w:r>
    </w:p>
    <w:p>
      <w:pPr>
        <w:ind w:left="288"/>
      </w:pPr>
      <w:r>
        <w:rPr>
          <w:color w:val="1E1E1E"/>
          <w:sz w:val="18"/>
        </w:rPr>
        <w:t>É infraconstitucional, a ela se aplicando os efeitos da ausência de repercussão geral, a controvérsia relativa à existência de previsão em lei estadual autorizando o aproveitamento de crédito de Imposto Sobre a Circulação de Mercadorias e Serviços - ICMS, nas hipóteses de redução da base de cálculo ou de isenção do tributo.</w:t>
      </w:r>
    </w:p>
    <w:p>
      <w:pPr>
        <w:ind w:left="288"/>
      </w:pPr>
      <w:r>
        <w:rPr>
          <w:b/>
          <w:color w:val="003CA0"/>
          <w:sz w:val="16"/>
        </w:rPr>
        <w:t>[RE 1.367.394 RG, rel. min. Luiz Fux, j. 12-5-2022, P, DJE de 19-5-2022, Tema 1.215, com repercussão geral negada.]</w:t>
      </w:r>
    </w:p>
    <w:p>
      <w:pPr>
        <w:ind w:left="144"/>
      </w:pPr>
      <w:r>
        <w:rPr>
          <w:b/>
          <w:color w:val="B45A00"/>
          <w:sz w:val="16"/>
        </w:rPr>
        <w:t>JULGADOS CORRELATOS</w:t>
      </w:r>
    </w:p>
    <w:p>
      <w:pPr>
        <w:ind w:left="288"/>
      </w:pPr>
      <w:r>
        <w:rPr>
          <w:color w:val="8C8C8C"/>
          <w:sz w:val="12"/>
        </w:rPr>
        <w:t>cf-art-155-par-2</w:t>
      </w:r>
      <w:r>
        <w:rPr>
          <w:color w:val="003CA0"/>
          <w:sz w:val="12"/>
        </w:rPr>
        <w:t xml:space="preserve"> | RE 584.023</w:t>
      </w:r>
      <w:r>
        <w:rPr>
          <w:color w:val="003CA0"/>
          <w:sz w:val="12"/>
        </w:rPr>
        <w:t xml:space="preserve"> | rel. Celso de Mello</w:t>
      </w:r>
    </w:p>
    <w:p>
      <w:pPr>
        <w:ind w:left="288"/>
      </w:pPr>
      <w:r>
        <w:rPr>
          <w:color w:val="1E1E1E"/>
          <w:sz w:val="18"/>
        </w:rPr>
        <w:t>Firmou-se a jurisprudência do Plenário deste STF no sentido de que a vedação, pela legislação estadual, ao aproveitamento dos créditos do ICMS gerados pela entrada de insumos tributados, quando o contribuinte exerce, livremente, opção pela tributação das saídas mediante base de cálculo reduzida, não viola o princípio da não cumulatividade. Precedente: RE 584.023 AgR-EDv-AgR-segundo, rel. min. Celso de Mello, Tribunal Pleno, DJE de 11-12-2015.</w:t>
        <w:br/>
        <w:t>[AI 765.420 AgR-segundo, red. do ac. min. Rosa Weber, j. 21-2-2017, 1ª T, DJE de 4-8-2017.] I - será não cumulativo, compensando-se o que for devido em c</w:t>
      </w:r>
    </w:p>
    <w:p>
      <w:pPr>
        <w:ind w:left="144"/>
      </w:pPr>
      <w:r>
        <w:rPr>
          <w:b/>
          <w:color w:val="B45A00"/>
          <w:sz w:val="16"/>
        </w:rPr>
        <w:t>SUMULA</w:t>
      </w:r>
    </w:p>
    <w:p>
      <w:pPr>
        <w:ind w:left="288"/>
      </w:pPr>
      <w:r>
        <w:rPr>
          <w:color w:val="8C8C8C"/>
          <w:sz w:val="12"/>
        </w:rPr>
        <w:t>cf-art-155-par-2</w:t>
      </w:r>
    </w:p>
    <w:p>
      <w:pPr>
        <w:ind w:left="288"/>
      </w:pPr>
      <w:r>
        <w:rPr>
          <w:color w:val="1E1E1E"/>
          <w:sz w:val="18"/>
        </w:rPr>
        <w:t>Cabe a restituição do tributo pago indevidamente, quando reconhecido por decisão, que o contribuinte de jure não recuperou do contribuinte de facto o quantum respectivo.</w:t>
      </w:r>
    </w:p>
    <w:p>
      <w:pPr>
        <w:ind w:left="288"/>
      </w:pPr>
      <w:r>
        <w:rPr>
          <w:b/>
          <w:color w:val="003CA0"/>
          <w:sz w:val="16"/>
        </w:rPr>
        <w:t>[Súmula 546.]</w:t>
      </w:r>
    </w:p>
    <w:p>
      <w:pPr>
        <w:ind w:left="144"/>
      </w:pPr>
      <w:r>
        <w:rPr>
          <w:b/>
          <w:color w:val="B45A00"/>
          <w:sz w:val="16"/>
        </w:rPr>
        <w:t>CONTROLE CONCENTRADO</w:t>
      </w:r>
    </w:p>
    <w:p>
      <w:pPr>
        <w:ind w:left="288"/>
      </w:pPr>
      <w:r>
        <w:rPr>
          <w:color w:val="8C8C8C"/>
          <w:sz w:val="12"/>
        </w:rPr>
        <w:t>cf-art-155-par-2</w:t>
      </w:r>
      <w:r>
        <w:rPr>
          <w:color w:val="003CA0"/>
          <w:sz w:val="12"/>
        </w:rPr>
        <w:t xml:space="preserve"> | ADI 2.325</w:t>
      </w:r>
      <w:r>
        <w:rPr>
          <w:color w:val="003CA0"/>
          <w:sz w:val="12"/>
        </w:rPr>
        <w:t xml:space="preserve"> | rel. Marco Aurélio</w:t>
      </w:r>
    </w:p>
    <w:p>
      <w:pPr>
        <w:ind w:left="288"/>
      </w:pPr>
      <w:r>
        <w:rPr>
          <w:color w:val="1E1E1E"/>
          <w:sz w:val="18"/>
        </w:rPr>
        <w:t>A controvérsia constitucional deduzida nos autos das presentes ações diretas de inconstitucionalidade consiste em saber se a Lei Complementar nº 102, de 2000, e suas subsequentes (Leis Complementares nº 114, de 2002, 115, de 2002, 120, de 2005, 122, de 2006, 138, de 2010, e 171, de 2019), ao conferirem novas redações à Lei Complementar nº 87, de 1996 (Lei Kandir), mais restritivas no tocante aos aproveitamento e compensação de créditos de ICMS derivados de operações com mercadorias destinadas ao ativo permanente, energia elétrica e comunicações, afrontaram os princípios da anterioridade de exe</w:t>
      </w:r>
    </w:p>
    <w:p>
      <w:pPr>
        <w:ind w:left="288"/>
      </w:pPr>
      <w:r>
        <w:rPr>
          <w:b/>
          <w:color w:val="003CA0"/>
          <w:sz w:val="16"/>
        </w:rPr>
        <w:t>[RE 588.954 RG2JULG-ED, rel. min. Gilmar Mendes, j. 19.08.2024, P, DJE de 11.09.2024, Tema 218, com repercussão geral negada.]</w:t>
      </w:r>
    </w:p>
    <w:p>
      <w:pPr>
        <w:ind w:left="144"/>
      </w:pPr>
      <w:r>
        <w:rPr>
          <w:b/>
          <w:color w:val="B45A00"/>
          <w:sz w:val="16"/>
        </w:rPr>
        <w:t>REPERCUSSAO GERAL</w:t>
      </w:r>
    </w:p>
    <w:p>
      <w:pPr>
        <w:ind w:left="288"/>
      </w:pPr>
      <w:r>
        <w:rPr>
          <w:color w:val="8C8C8C"/>
          <w:sz w:val="12"/>
        </w:rPr>
        <w:t>cf-art-155-par-2</w:t>
      </w:r>
      <w:r>
        <w:rPr>
          <w:color w:val="003CA0"/>
          <w:sz w:val="12"/>
        </w:rPr>
        <w:t xml:space="preserve"> | RE 781.926</w:t>
      </w:r>
      <w:r>
        <w:rPr>
          <w:color w:val="003CA0"/>
          <w:sz w:val="12"/>
        </w:rPr>
        <w:t xml:space="preserve"> | rel. Dias Toffoli</w:t>
      </w:r>
    </w:p>
    <w:p>
      <w:pPr>
        <w:ind w:left="288"/>
      </w:pPr>
      <w:r>
        <w:rPr>
          <w:color w:val="1E1E1E"/>
          <w:sz w:val="18"/>
        </w:rPr>
        <w:t>“O diferimento do ICMS relativo à saída do álcool etílico anidro combustível (AEAC) das usinas ou destilarias para o momento da saída da gasolina C das distribuidoras (Convênios ICMS nº 80/97 e 110/07) não gera o direito de crédito do imposto para as distribuidoras”.</w:t>
        <w:br/>
        <w:t xml:space="preserve">[RE 781.926, rel. min. Dias Toffoli, j. 27-3-2023, P, DJE de 18-4-2023, com mérito julgado.] “É constitucional a imposição tributária de diferencial de alíquota do ICMS pelo Estado de destino na entrada de mercadoria em seu território devido por sociedade empresária aderente ao Simples Nacional, independentemente da posição desta </w:t>
      </w:r>
    </w:p>
    <w:p>
      <w:pPr>
        <w:ind w:left="288"/>
      </w:pPr>
      <w:r>
        <w:rPr>
          <w:b/>
          <w:color w:val="003CA0"/>
          <w:sz w:val="16"/>
        </w:rPr>
        <w:t>[RE 1.141.756, rel. min. Marco Aurélio, j. 28-9-2020, P, DJE de 10-11-2020, Tema 1.052, com mérito julgado.]</w:t>
      </w:r>
    </w:p>
    <w:p>
      <w:pPr>
        <w:ind w:left="288"/>
      </w:pPr>
      <w:r>
        <w:rPr>
          <w:color w:val="8C8C8C"/>
          <w:sz w:val="12"/>
        </w:rPr>
        <w:t>cf-art-155-par-2</w:t>
      </w:r>
      <w:r>
        <w:rPr>
          <w:color w:val="003CA0"/>
          <w:sz w:val="12"/>
        </w:rPr>
        <w:t xml:space="preserve"> | RE 601.967</w:t>
      </w:r>
    </w:p>
    <w:p>
      <w:pPr>
        <w:ind w:left="288"/>
      </w:pPr>
      <w:r>
        <w:rPr>
          <w:color w:val="1E1E1E"/>
          <w:sz w:val="18"/>
        </w:rPr>
        <w:t xml:space="preserve">A Constituição Federal trouxe, no artigo 155, §2º, I, a previsão do princípio da não-cumulatividade relativamente ao ICMS e, em seu inciso XII, alínea c, determina que compete à lei complementar regulamentar o regime de compensação do tributo. Dessa forma, embora a Constituição Federal tenha sido expressa sobre o direito de os contribuintes compensarem créditos decorrentes de ICMS, também conferiu às leis complementares a disciplina da questão. O contribuinte apenas poderá usufruir dos créditos de ICMS quando houver autorização da legislação complementar. Logo, o diferimento da compensação de </w:t>
      </w:r>
    </w:p>
    <w:p>
      <w:pPr>
        <w:ind w:left="288"/>
      </w:pPr>
      <w:r>
        <w:rPr>
          <w:b/>
          <w:color w:val="003CA0"/>
          <w:sz w:val="16"/>
        </w:rPr>
        <w:t>[RE 628.075, red. do ac. min. Gilmar Mendes, j. 18-8-2020, P, DJE de 1º-10-2020, Tema 490, com mérito julgado.]</w:t>
      </w:r>
    </w:p>
    <w:p>
      <w:pPr>
        <w:ind w:left="288"/>
      </w:pPr>
      <w:r>
        <w:rPr>
          <w:color w:val="8C8C8C"/>
          <w:sz w:val="12"/>
        </w:rPr>
        <w:t>cf-art-155-par-2</w:t>
      </w:r>
      <w:r>
        <w:rPr>
          <w:color w:val="003CA0"/>
          <w:sz w:val="12"/>
        </w:rPr>
        <w:t xml:space="preserve"> | RE 574.706</w:t>
      </w:r>
      <w:r>
        <w:rPr>
          <w:color w:val="003CA0"/>
          <w:sz w:val="12"/>
        </w:rPr>
        <w:t xml:space="preserve"> | rel. Cármen Lúcia</w:t>
      </w:r>
    </w:p>
    <w:p>
      <w:pPr>
        <w:ind w:left="288"/>
      </w:pPr>
      <w:r>
        <w:rPr>
          <w:color w:val="1E1E1E"/>
          <w:sz w:val="18"/>
        </w:rPr>
        <w:t>O ICMS não compõe a base de cálculo para incidência do PIS e da Cofins.</w:t>
      </w:r>
    </w:p>
    <w:p>
      <w:pPr>
        <w:ind w:left="288"/>
      </w:pPr>
      <w:r>
        <w:rPr>
          <w:b/>
          <w:color w:val="003CA0"/>
          <w:sz w:val="16"/>
        </w:rPr>
        <w:t>[RE 574.706, rel. min. Cármen Lúcia, j. 15-3-2017, P, DJE de 2-10-2017, Tema 69, com mérito julgado.]</w:t>
        <w:br/>
        <w:t xml:space="preserve">Vide RE 1.444.662 AgR, rel. min. Luís Roberto Barroso, j. 12-9-2023, P, DJE de 21-9-2023 </w:t>
        <w:br/>
        <w:t>Vide RE 1.489.562 RG, rel. min. Luís Roberto Barroso, j. 1</w:t>
      </w:r>
    </w:p>
    <w:p>
      <w:pPr>
        <w:ind w:left="288"/>
      </w:pPr>
      <w:r>
        <w:rPr>
          <w:color w:val="8C8C8C"/>
          <w:sz w:val="12"/>
        </w:rPr>
        <w:t>cf-art-155-par-2</w:t>
      </w:r>
      <w:r>
        <w:rPr>
          <w:color w:val="003CA0"/>
          <w:sz w:val="12"/>
        </w:rPr>
        <w:t xml:space="preserve"> | RE 439.796</w:t>
      </w:r>
      <w:r>
        <w:rPr>
          <w:color w:val="003CA0"/>
          <w:sz w:val="12"/>
        </w:rPr>
        <w:t xml:space="preserve"> | rel. Luiz Fux</w:t>
      </w:r>
    </w:p>
    <w:p>
      <w:pPr>
        <w:ind w:left="288"/>
      </w:pPr>
      <w:r>
        <w:rPr>
          <w:color w:val="1E1E1E"/>
          <w:sz w:val="18"/>
        </w:rPr>
        <w:t>A incidência do ICMS sobre operação de importação de bem não viola, em princípio, a regra da vedação à cumulatividade (art. 155, § 2º, I, da Constituição), pois, se não houver acumulação da carga tributária, nada haveria a ser compensado.</w:t>
        <w:br/>
        <w:t xml:space="preserve">[RE 439.796, rel. min. Luiz Fux, j. 6-11-2013, P, DJE de 17-3-2014, Tema 171, com mérito julgado.] A apropriação de créditos de ICMS na aquisição de mercadorias tem suporte na técnica da não cumulatividade, imposta para tal tributo pelo art. 155, § 2º, I, da Lei Maior, a fim de evitar que a sua incidência em cascata onere demasiadamente a atividade econômica </w:t>
      </w:r>
    </w:p>
    <w:p>
      <w:pPr>
        <w:ind w:left="288"/>
      </w:pPr>
      <w:r>
        <w:rPr>
          <w:b/>
          <w:color w:val="003CA0"/>
          <w:sz w:val="16"/>
        </w:rPr>
        <w:t>[RE 606.107, rel. min. Rosa Weber, j. 22-5-2013, P, DJE de 25-11-2013, Tema 283, com mérito julgado.]</w:t>
      </w:r>
    </w:p>
    <w:p>
      <w:pPr>
        <w:ind w:left="144"/>
      </w:pPr>
      <w:r>
        <w:rPr>
          <w:b/>
          <w:color w:val="B45A00"/>
          <w:sz w:val="16"/>
        </w:rPr>
        <w:t>JULGADOS CORRELATOS</w:t>
      </w:r>
    </w:p>
    <w:p>
      <w:pPr>
        <w:ind w:left="288"/>
      </w:pPr>
      <w:r>
        <w:rPr>
          <w:color w:val="8C8C8C"/>
          <w:sz w:val="12"/>
        </w:rPr>
        <w:t>cf-art-155-par-2</w:t>
      </w:r>
      <w:r>
        <w:rPr>
          <w:color w:val="003CA0"/>
          <w:sz w:val="12"/>
        </w:rPr>
        <w:t xml:space="preserve"> | RE 1.444.662</w:t>
      </w:r>
      <w:r>
        <w:rPr>
          <w:color w:val="003CA0"/>
          <w:sz w:val="12"/>
        </w:rPr>
        <w:t xml:space="preserve"> | rel. Luís Roberto Barroso</w:t>
      </w:r>
    </w:p>
    <w:p>
      <w:pPr>
        <w:ind w:left="288"/>
      </w:pPr>
      <w:r>
        <w:rPr>
          <w:color w:val="1E1E1E"/>
          <w:sz w:val="18"/>
        </w:rPr>
        <w:t>As obrigações tributárias decorrentes de fatos geradores de PIS e Cofins que ocorrerem de 15.03.2017 em diante serão necessariamente apuradas com a exclusão do ICMS. A contrario sensu, e excluindo as ações judiciais e administrativas em curso em 15.03.2017, o ICMS deve compor a base de cálculo das obrigações tributárias de PIS e Cofins decorrentes de fatos geradores que ocorrerem até o dia anterior àquele julgamento. Considera-se contrária ao paradigma do Tema 69 da repercussão geral qualquer exegese que exclua o ICMS da base de cálculo do PIS e da COFINS em relação aos fatos geradores ocorrid</w:t>
      </w:r>
    </w:p>
    <w:p>
      <w:pPr>
        <w:ind w:left="288"/>
      </w:pPr>
      <w:r>
        <w:rPr>
          <w:b/>
          <w:color w:val="003CA0"/>
          <w:sz w:val="16"/>
        </w:rPr>
        <w:t>[RE 477.323, rel. min. Marco Aurélio, j. 16-10-2014, P, DJE de 10-2-2015.]</w:t>
      </w:r>
    </w:p>
    <w:p>
      <w:pPr>
        <w:ind w:left="288"/>
      </w:pPr>
      <w:r>
        <w:rPr>
          <w:color w:val="8C8C8C"/>
          <w:sz w:val="12"/>
        </w:rPr>
        <w:t>cf-art-155-par-2</w:t>
      </w:r>
      <w:r>
        <w:rPr>
          <w:color w:val="003CA0"/>
          <w:sz w:val="12"/>
        </w:rPr>
        <w:t xml:space="preserve"> | RE 491.653</w:t>
      </w:r>
      <w:r>
        <w:rPr>
          <w:color w:val="003CA0"/>
          <w:sz w:val="12"/>
        </w:rPr>
        <w:t xml:space="preserve"> | rel. Ricardo Lewandowski</w:t>
      </w:r>
    </w:p>
    <w:p>
      <w:pPr>
        <w:ind w:left="288"/>
      </w:pPr>
      <w:r>
        <w:rPr>
          <w:color w:val="1E1E1E"/>
          <w:sz w:val="18"/>
        </w:rPr>
        <w:t>A jurisprudência desta Corte possui entendimento firmado no sentido de que, nas operações interestaduais, o creditamento do ICMS na operação subsequente deve corresponder ao montante que foi efetivamente recolhido na operação anterior.</w:t>
      </w:r>
    </w:p>
    <w:p>
      <w:pPr>
        <w:ind w:left="288"/>
      </w:pPr>
      <w:r>
        <w:rPr>
          <w:b/>
          <w:color w:val="003CA0"/>
          <w:sz w:val="16"/>
        </w:rPr>
        <w:t>[RE 491.653 AgR, rel. min. Ricardo Lewandowski, j. 8-5-2012, 2ª T, DJE de 21-5-2012.]</w:t>
      </w:r>
    </w:p>
    <w:p>
      <w:pPr>
        <w:ind w:left="288"/>
      </w:pPr>
      <w:r>
        <w:rPr>
          <w:color w:val="8C8C8C"/>
          <w:sz w:val="12"/>
        </w:rPr>
        <w:t>cf-art-155-par-2</w:t>
      </w:r>
      <w:r>
        <w:rPr>
          <w:color w:val="003CA0"/>
          <w:sz w:val="12"/>
        </w:rPr>
        <w:t xml:space="preserve"> | AI 559.807</w:t>
      </w:r>
      <w:r>
        <w:rPr>
          <w:color w:val="003CA0"/>
          <w:sz w:val="12"/>
        </w:rPr>
        <w:t xml:space="preserve"> | rel. Ayres Britto</w:t>
      </w:r>
    </w:p>
    <w:p>
      <w:pPr>
        <w:ind w:left="288"/>
      </w:pPr>
      <w:r>
        <w:rPr>
          <w:color w:val="1E1E1E"/>
          <w:sz w:val="18"/>
        </w:rPr>
        <w:t>A jurisprudência do STF entende que não há diferenciação entre operações de venda à vista e a prazo, para fins de incidência de ICMS.</w:t>
      </w:r>
    </w:p>
    <w:p>
      <w:pPr>
        <w:ind w:left="288"/>
      </w:pPr>
      <w:r>
        <w:rPr>
          <w:b/>
          <w:color w:val="003CA0"/>
          <w:sz w:val="16"/>
        </w:rPr>
        <w:t>[AI 559.807 AgR, rel. min. Ayres Britto, j. 13-12-2011, 2ª T, DJE de 17-2-2012.]</w:t>
      </w:r>
    </w:p>
    <w:p>
      <w:pPr>
        <w:ind w:left="288"/>
      </w:pPr>
      <w:r>
        <w:rPr>
          <w:color w:val="8C8C8C"/>
          <w:sz w:val="12"/>
        </w:rPr>
        <w:t>cf-art-155-par-2</w:t>
      </w:r>
      <w:r>
        <w:rPr>
          <w:color w:val="003CA0"/>
          <w:sz w:val="12"/>
        </w:rPr>
        <w:t xml:space="preserve"> | AI 848.549</w:t>
      </w:r>
      <w:r>
        <w:rPr>
          <w:color w:val="003CA0"/>
          <w:sz w:val="12"/>
        </w:rPr>
        <w:t xml:space="preserve"> | rel. Rosa Weber</w:t>
      </w:r>
    </w:p>
    <w:p>
      <w:pPr>
        <w:ind w:left="288"/>
      </w:pPr>
      <w:r>
        <w:rPr>
          <w:color w:val="1E1E1E"/>
          <w:sz w:val="18"/>
        </w:rPr>
        <w:t>= AI 848.549 AgR, rel. min. Rosa Weber, j. 18-6-2013, 1ª T, DJE de 1º-8-2013 ICMS. Princípio da não cumulatividade e isenção. Conclusão sobre a valia de lei estadual a prever que, no caso de a mercadoria ser alienada, intencionalmente, por importância inferior ao valor que serviu de base de cálculo na operação de que decorreu sua entrada, a anulação do crédito correspondente à diferença entre o valor referido e o que serviu de base ao cálculo na saída respectiva, isso presente contribuinte eventual, homenageia a essência do princípio da não cumulatividade.</w:t>
      </w:r>
    </w:p>
    <w:p>
      <w:pPr>
        <w:ind w:left="288"/>
      </w:pPr>
      <w:r>
        <w:rPr>
          <w:b/>
          <w:color w:val="003CA0"/>
          <w:sz w:val="16"/>
        </w:rPr>
        <w:t>[RE 437.006 ED, rel. min. Marco Aurélio, j. 26-10-2011, P, DJE de 10-2-2012.]</w:t>
      </w:r>
    </w:p>
    <w:p>
      <w:pPr>
        <w:ind w:left="288"/>
      </w:pPr>
      <w:r>
        <w:rPr>
          <w:color w:val="8C8C8C"/>
          <w:sz w:val="12"/>
        </w:rPr>
        <w:t>cf-art-155-par-2</w:t>
      </w:r>
      <w:r>
        <w:rPr>
          <w:color w:val="003CA0"/>
          <w:sz w:val="12"/>
        </w:rPr>
        <w:t xml:space="preserve"> | RE 392.370</w:t>
      </w:r>
      <w:r>
        <w:rPr>
          <w:color w:val="003CA0"/>
          <w:sz w:val="12"/>
        </w:rPr>
        <w:t xml:space="preserve"> | rel. Ellen Gracie</w:t>
      </w:r>
    </w:p>
    <w:p>
      <w:pPr>
        <w:ind w:left="288"/>
      </w:pPr>
      <w:r>
        <w:rPr>
          <w:color w:val="1E1E1E"/>
          <w:sz w:val="18"/>
        </w:rPr>
        <w:t>O acórdão embargado é claro e traduz a jurisprudência consolidada desta Corte no sentido de que não viola o princípio da não cumulatividade a vedação ao creditamento do ICMS relativo à entrada de insumos usados em industrialização de produtos cujas saídas foram isentas, conforme concluiu o Tribunal de origem.</w:t>
      </w:r>
    </w:p>
    <w:p>
      <w:pPr>
        <w:ind w:left="288"/>
      </w:pPr>
      <w:r>
        <w:rPr>
          <w:b/>
          <w:color w:val="003CA0"/>
          <w:sz w:val="16"/>
        </w:rPr>
        <w:t>[RE 392.370 AgR-segundo-ED, rel. min. Ellen Gracie, j. 14-12-2010, 2ª T, DJE de 9-2-2011.]</w:t>
      </w:r>
    </w:p>
    <w:p>
      <w:pPr>
        <w:ind w:left="288"/>
      </w:pPr>
      <w:r>
        <w:rPr>
          <w:color w:val="8C8C8C"/>
          <w:sz w:val="12"/>
        </w:rPr>
        <w:t>cf-art-155-par-2</w:t>
      </w:r>
      <w:r>
        <w:rPr>
          <w:color w:val="003CA0"/>
          <w:sz w:val="12"/>
        </w:rPr>
        <w:t xml:space="preserve"> | RE 447.470</w:t>
      </w:r>
      <w:r>
        <w:rPr>
          <w:color w:val="003CA0"/>
          <w:sz w:val="12"/>
        </w:rPr>
        <w:t xml:space="preserve"> | rel. Joaquim Barbosa</w:t>
      </w:r>
    </w:p>
    <w:p>
      <w:pPr>
        <w:ind w:left="288"/>
      </w:pPr>
      <w:r>
        <w:rPr>
          <w:color w:val="1E1E1E"/>
          <w:sz w:val="18"/>
        </w:rPr>
        <w:t>Imposto sobre circulação de mercadorias e prestação de serviços de comunicação e de transporte intermunicial e interestadual. Não cumulatividade. Diferença entre crédito físico e crédito financeiro. Discussão sobre o modelo adotado pela Constituição de 1988. Esta Corte tem sistematicamente entendido que a Constituição de 1988 não assegurou direito à adoção do modelo de crédito financeiro para fazer valer a não cumulatividade do ICMS, em toda e qualquer hipótese. (...) Assim, a adoção de modelo semelhante ao do crédito financeiro depende de expressa previsão constitucional ou legal, existente p</w:t>
      </w:r>
    </w:p>
    <w:p>
      <w:pPr>
        <w:ind w:left="288"/>
      </w:pPr>
      <w:r>
        <w:rPr>
          <w:b/>
          <w:color w:val="003CA0"/>
          <w:sz w:val="16"/>
        </w:rPr>
        <w:t>[RE 447.470 AgR, rel. min. Joaquim Barbosa, j. 14-9-2010, 2ª T, DJE de 8-10-2010.]</w:t>
      </w:r>
    </w:p>
    <w:p>
      <w:pPr>
        <w:ind w:left="288"/>
      </w:pPr>
      <w:r>
        <w:rPr>
          <w:color w:val="8C8C8C"/>
          <w:sz w:val="12"/>
        </w:rPr>
        <w:t>cf-art-155-par-2</w:t>
      </w:r>
      <w:r>
        <w:rPr>
          <w:color w:val="003CA0"/>
          <w:sz w:val="12"/>
        </w:rPr>
        <w:t xml:space="preserve"> | RE 313.019</w:t>
      </w:r>
      <w:r>
        <w:rPr>
          <w:color w:val="003CA0"/>
          <w:sz w:val="12"/>
        </w:rPr>
        <w:t xml:space="preserve"> | rel. Ayres Britto</w:t>
      </w:r>
    </w:p>
    <w:p>
      <w:pPr>
        <w:ind w:left="288"/>
      </w:pPr>
      <w:r>
        <w:rPr>
          <w:color w:val="1E1E1E"/>
          <w:sz w:val="18"/>
        </w:rPr>
        <w:t>Vide RE 313.019AgR, rel. min. Ayres Britto, j. 17-8-2010, 2ª T, DJE de 17-9-2010 Vide RE 598.460 AgR, rel. min. Eros Grau, j. 23-6-2009, 2ª T, DJE de 7-8-2009 Vide AI 445.278 AgR, rel. min. Celso de Mello, j. 18-4-2006, 1ª T, DJ de 30-6-2006 Conforme orientação firmada pelo STF, depende de lei autorizadora a correção monetária de créditos escriturais do ICMS. Orientação que também se aplica aos casos de créditos acumulados, transpostos de um período de apuração aos sucessivos.</w:t>
      </w:r>
    </w:p>
    <w:p>
      <w:pPr>
        <w:ind w:left="288"/>
      </w:pPr>
      <w:r>
        <w:rPr>
          <w:b/>
          <w:color w:val="003CA0"/>
          <w:sz w:val="16"/>
        </w:rPr>
        <w:t>[AI 388.888 AgR, rel. min. Joaquim Barbosa, j. 31-8-2010, 2ª T, DJE de 1º-10-2010.]</w:t>
      </w:r>
    </w:p>
    <w:p>
      <w:pPr>
        <w:ind w:left="288"/>
      </w:pPr>
      <w:r>
        <w:rPr>
          <w:color w:val="8C8C8C"/>
          <w:sz w:val="12"/>
        </w:rPr>
        <w:t>cf-art-155-par-2</w:t>
      </w:r>
      <w:r>
        <w:rPr>
          <w:color w:val="003CA0"/>
          <w:sz w:val="12"/>
        </w:rPr>
        <w:t xml:space="preserve"> | AI 464.841</w:t>
      </w:r>
      <w:r>
        <w:rPr>
          <w:color w:val="003CA0"/>
          <w:sz w:val="12"/>
        </w:rPr>
        <w:t xml:space="preserve"> | rel. Ayres Britto</w:t>
      </w:r>
    </w:p>
    <w:p>
      <w:pPr>
        <w:ind w:left="288"/>
      </w:pPr>
      <w:r>
        <w:rPr>
          <w:color w:val="1E1E1E"/>
          <w:sz w:val="18"/>
        </w:rPr>
        <w:t>= AI 464.841 AgR, rel. min. Ayres Britto, j. 8-11-2011, 2ª T, DJE de 19-12-2011 Vide AI 488.293 ED, rel. min. Joaquim Barbosa, j. 20-4-2010, 2ª T, DJE de 4-6-2010 A jurisprudência do STF é firme no sentido de que, em operações anteriores à LC 87/1996, não há direito a creditamento de bens destinados ao consumo ou à integração do ativo fixo para compensação de ICMS. Inexistência de afronta ao princípio constitucional da não cumulatividade.</w:t>
      </w:r>
    </w:p>
    <w:p>
      <w:pPr>
        <w:ind w:left="288"/>
      </w:pPr>
      <w:r>
        <w:rPr>
          <w:b/>
          <w:color w:val="003CA0"/>
          <w:sz w:val="16"/>
        </w:rPr>
        <w:t>[RE 313.019 AgR, rel. min. Ayres Britto, j. 17-8-2010, 2ª T, DJE de 17-9-2010.]</w:t>
      </w:r>
    </w:p>
    <w:p>
      <w:pPr>
        <w:ind w:left="288"/>
      </w:pPr>
      <w:r>
        <w:rPr>
          <w:color w:val="8C8C8C"/>
          <w:sz w:val="12"/>
        </w:rPr>
        <w:t>cf-art-155-par-2</w:t>
      </w:r>
      <w:r>
        <w:rPr>
          <w:color w:val="003CA0"/>
          <w:sz w:val="12"/>
        </w:rPr>
        <w:t xml:space="preserve"> | AI 579.298</w:t>
      </w:r>
      <w:r>
        <w:rPr>
          <w:color w:val="003CA0"/>
          <w:sz w:val="12"/>
        </w:rPr>
        <w:t xml:space="preserve"> | rel. Joaquim Barbosa</w:t>
      </w:r>
    </w:p>
    <w:p>
      <w:pPr>
        <w:ind w:left="288"/>
      </w:pPr>
      <w:r>
        <w:rPr>
          <w:color w:val="1E1E1E"/>
          <w:sz w:val="18"/>
        </w:rPr>
        <w:t>= AI 579.298 AgR, rel. min. Joaquim Barbosa, j. 16-6-2009, 2ª T, DJE de 1º-7-2009 Vide AI 646.962 AgR, rel. min. Ellen Gracie, j. 14-9-2010, 2ª T, DJE de 8-10-2010 Vide RE 598.460 AgR, rel. min. Eros Grau, j. 23-6-2009, 2ª T, DJE de 7-8-2009 O registro tardio dos créditos, por inércia do contribuinte ou por óbice do Fisco, não altera a classificação jurídica do direito. Segundo jurisprudência desta Corte, a aplicação de correção monetária aos créditos escriturais do ICMS registrados tardiamente depende de lei autorizadora ou de prova quanto ao obstáculo injustamente posto pelas autoridades fis</w:t>
      </w:r>
    </w:p>
    <w:p>
      <w:pPr>
        <w:ind w:left="288"/>
      </w:pPr>
      <w:r>
        <w:rPr>
          <w:b/>
          <w:color w:val="003CA0"/>
          <w:sz w:val="16"/>
        </w:rPr>
        <w:t>[AI 488.293 ED, rel. min. Joaquim Barbosa, j. 20-4-2010, 2ª T, DJE de 4-6-2010.]</w:t>
      </w:r>
    </w:p>
    <w:p>
      <w:pPr>
        <w:ind w:left="288"/>
      </w:pPr>
      <w:r>
        <w:rPr>
          <w:color w:val="8C8C8C"/>
          <w:sz w:val="12"/>
        </w:rPr>
        <w:t>cf-art-155-par-2</w:t>
      </w:r>
      <w:r>
        <w:rPr>
          <w:color w:val="003CA0"/>
          <w:sz w:val="12"/>
        </w:rPr>
        <w:t xml:space="preserve"> | RE 390.413</w:t>
      </w:r>
      <w:r>
        <w:rPr>
          <w:color w:val="003CA0"/>
          <w:sz w:val="12"/>
        </w:rPr>
        <w:t xml:space="preserve"> | rel. Ricardo Lewandowski</w:t>
      </w:r>
    </w:p>
    <w:p>
      <w:pPr>
        <w:ind w:left="288"/>
      </w:pPr>
      <w:r>
        <w:rPr>
          <w:color w:val="1E1E1E"/>
          <w:sz w:val="18"/>
        </w:rPr>
        <w:t>= RE 390.413 AgR, rel. min. Ricardo Lewandowski, j. 9-11-2010, 1ª T, DJE de 30-11-2010 Vide  AI 388.888 AgR, rel. min. Joaquim Barbosa, j. 31-8-2010, 2ª T, DJE de 1º-10-2010 Vide RE 410.795 AgR, rel. min. Joaquim Barbosa, j. 29-9-2009, 2ª T, DJE de 29-10-2009 ICMS. (...) Situação peculiar. Regime alternativo e opcional para apuração do tributo. Concessão de benefício condicionada ao não registro de créditos. Pretensão voltada à permanência do benefício, cumulado ao direito de registro de créditos proporcionais ao valor cobrado. Impossibilidade. Tratando-se de regime alternativo e facultativo d</w:t>
      </w:r>
    </w:p>
    <w:p>
      <w:pPr>
        <w:ind w:left="288"/>
      </w:pPr>
      <w:r>
        <w:rPr>
          <w:b/>
          <w:color w:val="003CA0"/>
          <w:sz w:val="16"/>
        </w:rPr>
        <w:t>[RE 248.182 AgR, rel. min. Joaquim Barbosa, j. 6-4-2010, 2ª T, DJE de 30-4-2010.]</w:t>
      </w:r>
    </w:p>
    <w:p>
      <w:pPr>
        <w:ind w:left="288"/>
      </w:pPr>
      <w:r>
        <w:rPr>
          <w:color w:val="8C8C8C"/>
          <w:sz w:val="12"/>
        </w:rPr>
        <w:t>cf-art-155-par-2</w:t>
      </w:r>
      <w:r>
        <w:rPr>
          <w:color w:val="003CA0"/>
          <w:sz w:val="12"/>
        </w:rPr>
        <w:t xml:space="preserve"> | RE 112.098</w:t>
      </w:r>
      <w:r>
        <w:rPr>
          <w:color w:val="003CA0"/>
          <w:sz w:val="12"/>
        </w:rPr>
        <w:t xml:space="preserve"> | rel. Ellen Gracie</w:t>
      </w:r>
    </w:p>
    <w:p>
      <w:pPr>
        <w:ind w:left="288"/>
      </w:pPr>
      <w:r>
        <w:rPr>
          <w:color w:val="1E1E1E"/>
          <w:sz w:val="18"/>
        </w:rPr>
        <w:t>O regime de diferimento, ao substituir o sujeito passivo da obrigação tributária, com o adiamento do recolhimento do imposto, em nada ofende o princípio da não cumulatividade (RE 112.098, DJ de 14-2-1992, e RE 102.354, DJ de 23-11-1984). O princípio da não cumulatividade do ICMS consiste em impedir que, nas diversas fases da circulação econômica de uma mercadoria, o valor do imposto seja maior que o percentual correspondente à sua alíquota prevista na legislação. O contribuinte deve compensar o tributo pago na entrada da mercadoria com o valor devido por ocasião da saída, incidindo a tributaçã</w:t>
      </w:r>
    </w:p>
    <w:p>
      <w:pPr>
        <w:ind w:left="288"/>
      </w:pPr>
      <w:r>
        <w:rPr>
          <w:b/>
          <w:color w:val="003CA0"/>
          <w:sz w:val="16"/>
        </w:rPr>
        <w:t>[RE 325.623 AgR, rel. min. Ellen Gracie, j. 14-3-2006, 2ª T, DJ de 7-12-2006.]</w:t>
      </w:r>
    </w:p>
    <w:p>
      <w:pPr>
        <w:ind w:left="288"/>
      </w:pPr>
      <w:r>
        <w:rPr>
          <w:color w:val="8C8C8C"/>
          <w:sz w:val="12"/>
        </w:rPr>
        <w:t>cf-art-155-par-2</w:t>
      </w:r>
      <w:r>
        <w:rPr>
          <w:color w:val="003CA0"/>
          <w:sz w:val="12"/>
        </w:rPr>
        <w:t xml:space="preserve"> | RE 572.925</w:t>
      </w:r>
      <w:r>
        <w:rPr>
          <w:color w:val="003CA0"/>
          <w:sz w:val="12"/>
        </w:rPr>
        <w:t xml:space="preserve"> | rel. Cármen Lúcia</w:t>
      </w:r>
    </w:p>
    <w:p>
      <w:pPr>
        <w:ind w:left="288"/>
      </w:pPr>
      <w:r>
        <w:rPr>
          <w:color w:val="1E1E1E"/>
          <w:sz w:val="18"/>
        </w:rPr>
        <w:t>= RE 572.925 AgR, rel. min. Cármen Lúcia, j. 15-2-2011, 1ª T, DJE de 25-3-2011 A jurisprudência desta Corte firmou entendimento no sentido de inexistir ofensa ao princípio da não cumulatividade na hipótese de a legislação estadual não consentir com a compensação de créditos de ICMS advindos da aquisição de bens destinados ao consumo e ao ativo fixo do contribuinte. Incidência do Verbete 546 da Súmula do STF, tendo em vista a não demonstração, por parte da agravante, de que suportou o encargo relativo ao imposto da compra, sem repassar ao consumidor.</w:t>
      </w:r>
    </w:p>
    <w:p>
      <w:pPr>
        <w:ind w:left="288"/>
      </w:pPr>
      <w:r>
        <w:rPr>
          <w:b/>
          <w:color w:val="003CA0"/>
          <w:sz w:val="16"/>
        </w:rPr>
        <w:t>[AI 487.396 AgR, rel. min. Eros Grau, j. 16-12-2004, 1ª T, DJ de 8-4-2005.]</w:t>
      </w:r>
    </w:p>
    <w:p>
      <w:pPr>
        <w:ind w:left="288"/>
      </w:pPr>
      <w:r>
        <w:rPr>
          <w:color w:val="8C8C8C"/>
          <w:sz w:val="12"/>
        </w:rPr>
        <w:t>cf-art-155-par-2</w:t>
      </w:r>
      <w:r>
        <w:rPr>
          <w:color w:val="003CA0"/>
          <w:sz w:val="12"/>
        </w:rPr>
        <w:t xml:space="preserve"> | AI 497.511</w:t>
      </w:r>
      <w:r>
        <w:rPr>
          <w:color w:val="003CA0"/>
          <w:sz w:val="12"/>
        </w:rPr>
        <w:t xml:space="preserve"> | rel. Ayres Britto</w:t>
      </w:r>
    </w:p>
    <w:p>
      <w:pPr>
        <w:ind w:left="288"/>
      </w:pPr>
      <w:r>
        <w:rPr>
          <w:color w:val="1E1E1E"/>
          <w:sz w:val="18"/>
        </w:rPr>
        <w:t xml:space="preserve">= AI 497.511 AgR, rel. min. Ayres Britto, j. 15-9-2009, 1ª T, DJE de 29-10-2009 O sistema de créditos e débitos, por meio do qual se apura o ICMS devido, tem por base valores certos, correspondentes ao tributo incidente sobre as diversas operações mercantis, ativas e passivas, realizadas no período considerado, razão pela qual tais valores, justamente com vista à observância do princípio da não cumulatividade, são insuscetíveis de alteração em face de quaisquer fatores econômicos ou financeiros. De ter-se em conta, ainda, que não há falar, no caso, em aplicação do princípio da isonomia, posto </w:t>
      </w:r>
    </w:p>
    <w:p>
      <w:pPr>
        <w:ind w:left="288"/>
      </w:pPr>
      <w:r>
        <w:rPr>
          <w:b/>
          <w:color w:val="003CA0"/>
          <w:sz w:val="16"/>
        </w:rPr>
        <w:t>[RE 195.902, rel. min. Ilmar Galvão, j. 30-6-1998, 1ª T, DJ de 20-11-1998.]</w:t>
      </w:r>
    </w:p>
    <w:p>
      <w:pPr>
        <w:ind w:left="288"/>
      </w:pPr>
      <w:r>
        <w:rPr>
          <w:color w:val="8C8C8C"/>
          <w:sz w:val="12"/>
        </w:rPr>
        <w:t>cf-art-155-par-2</w:t>
      </w:r>
      <w:r>
        <w:rPr>
          <w:color w:val="003CA0"/>
          <w:sz w:val="12"/>
        </w:rPr>
        <w:t xml:space="preserve"> | ARE 794.180</w:t>
      </w:r>
      <w:r>
        <w:rPr>
          <w:color w:val="003CA0"/>
          <w:sz w:val="12"/>
        </w:rPr>
        <w:t xml:space="preserve"> | rel. Celso de Mello</w:t>
      </w:r>
    </w:p>
    <w:p>
      <w:pPr>
        <w:ind w:left="288"/>
      </w:pPr>
      <w:r>
        <w:rPr>
          <w:color w:val="1E1E1E"/>
          <w:sz w:val="18"/>
        </w:rPr>
        <w:t>= ARE 794.180 AgR, rel. min. Celso de Mello, j. 25-3-2014, 2ª T, DJE de 9-4-2014 Longe fica de vulnerar o princípio da não cumulatividade conclusão sobre o direito do contribuinte à reposição do poder aquisitivo da moeda quanto a crédito tributário reconhecido, homenageando-se o equilíbrio da equação crédito e débito.</w:t>
      </w:r>
    </w:p>
    <w:p>
      <w:pPr>
        <w:ind w:left="288"/>
      </w:pPr>
      <w:r>
        <w:rPr>
          <w:b/>
          <w:color w:val="003CA0"/>
          <w:sz w:val="16"/>
        </w:rPr>
        <w:t>[AI 191.605 AgR, rel. min. Marco Aurélio, j. 17-11-1997, 2ª T, DJ de 6-2-1998.]</w:t>
      </w:r>
    </w:p>
    <w:p>
      <w:pPr>
        <w:ind w:left="288"/>
      </w:pPr>
      <w:r>
        <w:rPr>
          <w:color w:val="8C8C8C"/>
          <w:sz w:val="12"/>
        </w:rPr>
        <w:t>cf-art-155-par-2</w:t>
      </w:r>
      <w:r>
        <w:rPr>
          <w:color w:val="003CA0"/>
          <w:sz w:val="12"/>
        </w:rPr>
        <w:t xml:space="preserve"> | RE 158.891</w:t>
      </w:r>
      <w:r>
        <w:rPr>
          <w:color w:val="003CA0"/>
          <w:sz w:val="12"/>
        </w:rPr>
        <w:t xml:space="preserve"> | rel. Carlos Velloso</w:t>
      </w:r>
    </w:p>
    <w:p>
      <w:pPr>
        <w:ind w:left="288"/>
      </w:pPr>
      <w:r>
        <w:rPr>
          <w:color w:val="1E1E1E"/>
          <w:sz w:val="18"/>
        </w:rPr>
        <w:t>Legitimidade da correção monetária do ICMS paulista a partir do décimo dia seguinte à apuração do débito fiscal. Delegação regulamentar legítima: regulamento delegado intra legem, sem quebra do padrão jurídico posto na lei.</w:t>
      </w:r>
    </w:p>
    <w:p>
      <w:pPr>
        <w:ind w:left="288"/>
      </w:pPr>
      <w:r>
        <w:rPr>
          <w:b/>
          <w:color w:val="003CA0"/>
          <w:sz w:val="16"/>
        </w:rPr>
        <w:t>[RE 158.891 AgR, rel. min. Carlos Velloso, j. 26-9-1995, 2ª T, DJ de 1º-12-1995.]</w:t>
      </w:r>
    </w:p>
    <w:p>
      <w:pPr>
        <w:ind w:left="288"/>
      </w:pPr>
      <w:r>
        <w:rPr>
          <w:color w:val="8C8C8C"/>
          <w:sz w:val="12"/>
        </w:rPr>
        <w:t>cf-art-155-par-2</w:t>
      </w:r>
      <w:r>
        <w:rPr>
          <w:color w:val="003CA0"/>
          <w:sz w:val="12"/>
        </w:rPr>
        <w:t xml:space="preserve"> | RE 172.394</w:t>
      </w:r>
      <w:r>
        <w:rPr>
          <w:color w:val="003CA0"/>
          <w:sz w:val="12"/>
        </w:rPr>
        <w:t xml:space="preserve"> | rel. Ilmar Galvão</w:t>
      </w:r>
    </w:p>
    <w:p>
      <w:pPr>
        <w:ind w:left="288"/>
      </w:pPr>
      <w:r>
        <w:rPr>
          <w:color w:val="1E1E1E"/>
          <w:sz w:val="18"/>
        </w:rPr>
        <w:t xml:space="preserve">Prevista, no dispositivo legal sob enfoque, a atualização monetária dos débitos de ICMS, não há como se falar, no caso, em ofensa ao princípio da legalidade. De outra parte, não se compreendendo no campo reservado a lei, pelo Texto Fundamental, a definição do vencimento e do modo pelo qual se procederá a atualização monetária das obrigações tributárias, também não se pode ter por configurada delegação de poderes no cometimento de tais encargos, pelo legislador ordinário, ao poder regulamentar. De considerar-se, por fim, que o princípio da não cumulatividade não é infringido pelo fato de vir a </w:t>
      </w:r>
    </w:p>
    <w:p>
      <w:pPr>
        <w:ind w:left="288"/>
      </w:pPr>
      <w:r>
        <w:rPr>
          <w:b/>
          <w:color w:val="003CA0"/>
          <w:sz w:val="16"/>
        </w:rPr>
        <w:t>[RE 172.394, rel. min. Ilmar Galvão, j. 21-6-1995, P, DJ de 15-9-1995.]</w:t>
      </w:r>
    </w:p>
    <w:p>
      <w:pPr>
        <w:ind w:left="144"/>
      </w:pPr>
      <w:r>
        <w:rPr>
          <w:b/>
          <w:color w:val="B45A00"/>
          <w:sz w:val="16"/>
        </w:rPr>
        <w:t>CONTROLE CONCENTRADO</w:t>
      </w:r>
    </w:p>
    <w:p>
      <w:pPr>
        <w:ind w:left="288"/>
      </w:pPr>
      <w:r>
        <w:rPr>
          <w:color w:val="8C8C8C"/>
          <w:sz w:val="12"/>
        </w:rPr>
        <w:t>cf-art-155-par-2-inc-II</w:t>
      </w:r>
      <w:r>
        <w:rPr>
          <w:color w:val="003CA0"/>
          <w:sz w:val="12"/>
        </w:rPr>
        <w:t xml:space="preserve"> | ADI 286</w:t>
      </w:r>
      <w:r>
        <w:rPr>
          <w:color w:val="003CA0"/>
          <w:sz w:val="12"/>
        </w:rPr>
        <w:t xml:space="preserve"> | rel. Maurício Corrêa</w:t>
      </w:r>
    </w:p>
    <w:p>
      <w:pPr>
        <w:ind w:left="288"/>
      </w:pPr>
      <w:r>
        <w:rPr>
          <w:color w:val="1E1E1E"/>
          <w:sz w:val="18"/>
        </w:rPr>
        <w:t>A não incidência do tributo equivale a todas as situações de fato não contempladas pela regra jurídica da tributação e decorre da abrangência ditada pela própria norma. A isenção é a dispensa do pagamento de um tributo devido em face da ocorrência de seu fato gerador. Constitui exceção instituída por lei à regra jurídica da tributação. A norma legal impugnada concede verdadeira isenção do ICMS, sob o disfarce de não incidência. O art. 155, § 2º,  XII, g, da CF só admite a concessão de isenções, incentivos e benefícios fiscais por deliberação dos Estados e do Distrito Federal, mediante convênio</w:t>
      </w:r>
    </w:p>
    <w:p>
      <w:pPr>
        <w:ind w:left="288"/>
      </w:pPr>
      <w:r>
        <w:rPr>
          <w:b/>
          <w:color w:val="003CA0"/>
          <w:sz w:val="16"/>
        </w:rPr>
        <w:t>[ADI 286, rel. min. Maurício Corrêa, j. 22-5-2002, P, DJ de 30-8-2002.]</w:t>
      </w:r>
    </w:p>
    <w:p>
      <w:pPr>
        <w:ind w:left="144"/>
      </w:pPr>
      <w:r>
        <w:rPr>
          <w:b/>
          <w:color w:val="B45A00"/>
          <w:sz w:val="16"/>
        </w:rPr>
        <w:t>JULGADOS CORRELATOS</w:t>
      </w:r>
    </w:p>
    <w:p>
      <w:pPr>
        <w:ind w:left="288"/>
      </w:pPr>
      <w:r>
        <w:rPr>
          <w:color w:val="8C8C8C"/>
          <w:sz w:val="12"/>
        </w:rPr>
        <w:t>cf-art-155-par-2-inc-II</w:t>
      </w:r>
      <w:r>
        <w:rPr>
          <w:color w:val="003CA0"/>
          <w:sz w:val="12"/>
        </w:rPr>
        <w:t xml:space="preserve"> | AI 489.155</w:t>
      </w:r>
      <w:r>
        <w:rPr>
          <w:color w:val="003CA0"/>
          <w:sz w:val="12"/>
        </w:rPr>
        <w:t xml:space="preserve"> | rel. Ricardo Lewandowski</w:t>
      </w:r>
    </w:p>
    <w:p>
      <w:pPr>
        <w:ind w:left="288"/>
      </w:pPr>
      <w:r>
        <w:rPr>
          <w:color w:val="1E1E1E"/>
          <w:sz w:val="18"/>
        </w:rPr>
        <w:t>Este Tribunal possui o entendimento de que a isenção do ICM concedida na saída do produto não se comunica com a etapa anterior da entrada da matéria-prima tributada. Assim, no presente caso, não há se estender a isenção do tributo às matérias-primas adquiridas, visto que tal benefício fiscal foi concedido apenas ao produto final.</w:t>
      </w:r>
    </w:p>
    <w:p>
      <w:pPr>
        <w:ind w:left="288"/>
      </w:pPr>
      <w:r>
        <w:rPr>
          <w:b/>
          <w:color w:val="003CA0"/>
          <w:sz w:val="16"/>
        </w:rPr>
        <w:t>[AI 489.155 AgR, rel. min. Ricardo Lewandowski, j. 23-8-2011, 1ª T, DJE de 6-9-2011.]</w:t>
      </w:r>
    </w:p>
    <w:p>
      <w:pPr>
        <w:ind w:left="288"/>
      </w:pPr>
      <w:r>
        <w:rPr>
          <w:color w:val="8C8C8C"/>
          <w:sz w:val="12"/>
        </w:rPr>
        <w:t>cf-art-155-par-2-inc-II</w:t>
      </w:r>
      <w:r>
        <w:rPr>
          <w:color w:val="003CA0"/>
          <w:sz w:val="12"/>
        </w:rPr>
        <w:t xml:space="preserve"> | RE 104.962</w:t>
      </w:r>
      <w:r>
        <w:rPr>
          <w:color w:val="003CA0"/>
          <w:sz w:val="12"/>
        </w:rPr>
        <w:t xml:space="preserve"> | rel. Sepúlveda Pertence</w:t>
      </w:r>
    </w:p>
    <w:p>
      <w:pPr>
        <w:ind w:left="288"/>
      </w:pPr>
      <w:r>
        <w:rPr>
          <w:color w:val="1E1E1E"/>
          <w:sz w:val="18"/>
        </w:rPr>
        <w:t>O acórdão recorrido se harmoniza à jurisprudência do Supremo Tribunal de que não cabe, em ação declaratória, correção monetária do valor referente ao crédito de ICM, na importação de matérias-primas isentas (cf. RE 104.962 ED-Edv, Néri, RTJ 166/566).</w:t>
      </w:r>
    </w:p>
    <w:p>
      <w:pPr>
        <w:ind w:left="288"/>
      </w:pPr>
      <w:r>
        <w:rPr>
          <w:b/>
          <w:color w:val="003CA0"/>
          <w:sz w:val="16"/>
        </w:rPr>
        <w:t>[AI 546.670 AgR-AgR, rel. min. Sepúlveda Pertence, j. 25-6-2007, 1ª T, DJ de 17-8-2007.]</w:t>
      </w:r>
    </w:p>
    <w:p>
      <w:pPr>
        <w:ind w:left="144"/>
      </w:pPr>
      <w:r>
        <w:rPr>
          <w:b/>
          <w:color w:val="B45A00"/>
          <w:sz w:val="16"/>
        </w:rPr>
        <w:t>REPERCUSSAO GERAL</w:t>
      </w:r>
    </w:p>
    <w:p>
      <w:pPr>
        <w:ind w:left="288"/>
      </w:pPr>
      <w:r>
        <w:rPr>
          <w:color w:val="8C8C8C"/>
          <w:sz w:val="12"/>
        </w:rPr>
        <w:t>cf-art-155-par-2-inc-II-ali-b</w:t>
      </w:r>
      <w:r>
        <w:rPr>
          <w:color w:val="003CA0"/>
          <w:sz w:val="12"/>
        </w:rPr>
        <w:t xml:space="preserve"> | RE 635.688</w:t>
      </w:r>
      <w:r>
        <w:rPr>
          <w:color w:val="003CA0"/>
          <w:sz w:val="12"/>
        </w:rPr>
        <w:t xml:space="preserve"> | rel. Gilmar Mendes</w:t>
      </w:r>
    </w:p>
    <w:p>
      <w:pPr>
        <w:ind w:left="288"/>
      </w:pPr>
      <w:r>
        <w:rPr>
          <w:color w:val="1E1E1E"/>
          <w:sz w:val="18"/>
        </w:rPr>
        <w:t>ICMS. Não cumulatividade. Interpretação do disposto no art. 155, § 2º, II, da CF. Redução de base de cálculo. Isenção parcial. Anulação proporcional dos créditos relativos às operações anteriores, salvo determinação legal em contrário na legislação estadual.</w:t>
      </w:r>
    </w:p>
    <w:p>
      <w:pPr>
        <w:ind w:left="288"/>
      </w:pPr>
      <w:r>
        <w:rPr>
          <w:b/>
          <w:color w:val="003CA0"/>
          <w:sz w:val="16"/>
        </w:rPr>
        <w:t>[RE 635.688, rel. min. Gilmar Mendes, j. 16-10-2014, P, DJE de 13-2-2015, Tema 299, com mérito julgado.]</w:t>
      </w:r>
    </w:p>
    <w:p>
      <w:pPr>
        <w:ind w:left="288"/>
      </w:pPr>
      <w:r>
        <w:rPr>
          <w:color w:val="8C8C8C"/>
          <w:sz w:val="12"/>
        </w:rPr>
        <w:t>cf-art-155-par-2-inc-II-ali-b</w:t>
      </w:r>
      <w:r>
        <w:rPr>
          <w:color w:val="003CA0"/>
          <w:sz w:val="12"/>
        </w:rPr>
        <w:t xml:space="preserve"> | ADI 2.320</w:t>
      </w:r>
      <w:r>
        <w:rPr>
          <w:color w:val="003CA0"/>
          <w:sz w:val="12"/>
        </w:rPr>
        <w:t xml:space="preserve"> | rel. Eros Grau</w:t>
      </w:r>
    </w:p>
    <w:p>
      <w:pPr>
        <w:ind w:left="288"/>
      </w:pPr>
      <w:r>
        <w:rPr>
          <w:color w:val="1E1E1E"/>
          <w:sz w:val="18"/>
        </w:rPr>
        <w:t>= ADI 2.320, rel. min. Eros Grau, j. 15-2-2006, P, DJ de 16-3-2007 Vide RE 174.478, red. do ac. min. Cezar Peluso, j. 17-3-2005, P, DJE de 30-9-2005 Vide RE 477.323, rel. min. Marco Aurélio, j. 16-10-2014, P, DJE de 10-2-2015</w:t>
      </w:r>
    </w:p>
    <w:p>
      <w:pPr>
        <w:ind w:left="144"/>
      </w:pPr>
      <w:r>
        <w:rPr>
          <w:b/>
          <w:color w:val="B45A00"/>
          <w:sz w:val="16"/>
        </w:rPr>
        <w:t>JULGADOS CORRELATOS</w:t>
      </w:r>
    </w:p>
    <w:p>
      <w:pPr>
        <w:ind w:left="288"/>
      </w:pPr>
      <w:r>
        <w:rPr>
          <w:color w:val="8C8C8C"/>
          <w:sz w:val="12"/>
        </w:rPr>
        <w:t>cf-art-155-par-2-inc-II-ali-b</w:t>
      </w:r>
      <w:r>
        <w:rPr>
          <w:color w:val="003CA0"/>
          <w:sz w:val="12"/>
        </w:rPr>
        <w:t xml:space="preserve"> | RE 586.980</w:t>
      </w:r>
      <w:r>
        <w:rPr>
          <w:color w:val="003CA0"/>
          <w:sz w:val="12"/>
        </w:rPr>
        <w:t xml:space="preserve"> | rel. Dias Toffoli</w:t>
      </w:r>
    </w:p>
    <w:p>
      <w:pPr>
        <w:ind w:left="288"/>
      </w:pPr>
      <w:r>
        <w:rPr>
          <w:color w:val="1E1E1E"/>
          <w:sz w:val="18"/>
        </w:rPr>
        <w:t>Creditamento integral em saídas desoneradas pela redução da base de cálculo. Convênio que determina o exercício da opção entre uma ou outra hipótese. (...) A utilização da redução da base de cálculo foi condicionada à não utilização dos créditos integrais na hipótese. A incidência da redução do preço da mercadoria na saída e a possibilidade concomitante de lançar a integralidade dos créditos frustra os objetivos da administração tributária que impôs a opção para a consecução de fins predeterminados. O Poder Judiciário estaria atuando como legislador positivo se fosse reconhecida a possibilidad</w:t>
      </w:r>
    </w:p>
    <w:p>
      <w:pPr>
        <w:ind w:left="288"/>
      </w:pPr>
      <w:r>
        <w:rPr>
          <w:b/>
          <w:color w:val="003CA0"/>
          <w:sz w:val="16"/>
        </w:rPr>
        <w:t>[RE 586.980 AgR, rel. min. Dias Toffoli, j. 11-12-2012, 1ª T, DJE de 8-2-2012.]</w:t>
      </w:r>
    </w:p>
    <w:p>
      <w:pPr>
        <w:ind w:left="288"/>
      </w:pPr>
      <w:r>
        <w:rPr>
          <w:color w:val="8C8C8C"/>
          <w:sz w:val="12"/>
        </w:rPr>
        <w:t>cf-art-155-par-2-inc-II-ali-b</w:t>
      </w:r>
      <w:r>
        <w:rPr>
          <w:color w:val="003CA0"/>
          <w:sz w:val="12"/>
        </w:rPr>
        <w:t xml:space="preserve"> | AC 2.559</w:t>
      </w:r>
      <w:r>
        <w:rPr>
          <w:color w:val="003CA0"/>
          <w:sz w:val="12"/>
        </w:rPr>
        <w:t xml:space="preserve"> | rel. Celso de Mello</w:t>
      </w:r>
    </w:p>
    <w:p>
      <w:pPr>
        <w:ind w:left="288"/>
      </w:pPr>
      <w:r>
        <w:rPr>
          <w:color w:val="1E1E1E"/>
          <w:sz w:val="18"/>
        </w:rPr>
        <w:t>ICMS. Insumos destinados à impressão de livros, jornais e periódicos. Inexigibilidade de estorno dos créditos. Transgressão à norma constitucional da imunidade tributária. Cumulativa ocorrência, no caso, dos requisitos concernentes à plausibilidade jurídica e ao periculum in mora.</w:t>
      </w:r>
    </w:p>
    <w:p>
      <w:pPr>
        <w:ind w:left="288"/>
      </w:pPr>
      <w:r>
        <w:rPr>
          <w:b/>
          <w:color w:val="003CA0"/>
          <w:sz w:val="16"/>
        </w:rPr>
        <w:t>[AC 2.559 MC-REF, rel. min. Celso de Mello, j. 14-6-2010, 2ª T, DJE de 20-9-2011.]</w:t>
      </w:r>
    </w:p>
    <w:p>
      <w:pPr>
        <w:ind w:left="288"/>
      </w:pPr>
      <w:r>
        <w:rPr>
          <w:color w:val="8C8C8C"/>
          <w:sz w:val="12"/>
        </w:rPr>
        <w:t>cf-art-155-par-2-inc-II-ali-b</w:t>
      </w:r>
      <w:r>
        <w:rPr>
          <w:color w:val="003CA0"/>
          <w:sz w:val="12"/>
        </w:rPr>
        <w:t xml:space="preserve"> | RE 465.236</w:t>
      </w:r>
      <w:r>
        <w:rPr>
          <w:color w:val="003CA0"/>
          <w:sz w:val="12"/>
        </w:rPr>
        <w:t xml:space="preserve"> | rel. Joaquim Barbosa</w:t>
      </w:r>
    </w:p>
    <w:p>
      <w:pPr>
        <w:ind w:left="288"/>
      </w:pPr>
      <w:r>
        <w:rPr>
          <w:color w:val="1E1E1E"/>
          <w:sz w:val="18"/>
        </w:rPr>
        <w:t>Segundo orientação firmada pelo STF, as figuras da redução da base de cálculo e da isenção parcial se equiparam. Portanto, ausente autorização específica, pode a autoridade fiscal proibir o registro de créditos de ICMS proporcional ao valor exonerado (art. 155, § 2º, II, b, da Constituição).</w:t>
      </w:r>
    </w:p>
    <w:p>
      <w:pPr>
        <w:ind w:left="288"/>
      </w:pPr>
      <w:r>
        <w:rPr>
          <w:b/>
          <w:color w:val="003CA0"/>
          <w:sz w:val="16"/>
        </w:rPr>
        <w:t>[RE 465.236 AgR, rel. min. Joaquim Barbosa, j. 6-4-2010, 2ª T, DJE de 23-4-2010.]</w:t>
      </w:r>
    </w:p>
    <w:p>
      <w:pPr>
        <w:ind w:left="288"/>
      </w:pPr>
      <w:r>
        <w:rPr>
          <w:color w:val="8C8C8C"/>
          <w:sz w:val="12"/>
        </w:rPr>
        <w:t>cf-art-155-par-2-inc-II-ali-b</w:t>
      </w:r>
      <w:r>
        <w:rPr>
          <w:color w:val="003CA0"/>
          <w:sz w:val="12"/>
        </w:rPr>
        <w:t xml:space="preserve"> | RE 174.478</w:t>
      </w:r>
      <w:r>
        <w:rPr>
          <w:color w:val="003CA0"/>
          <w:sz w:val="12"/>
        </w:rPr>
        <w:t xml:space="preserve"> | rel. Gilmar Mendes</w:t>
      </w:r>
    </w:p>
    <w:p>
      <w:pPr>
        <w:ind w:left="288"/>
      </w:pPr>
      <w:r>
        <w:rPr>
          <w:color w:val="1E1E1E"/>
          <w:sz w:val="18"/>
        </w:rPr>
        <w:t>Vide RE 174.478, red. do ac. min. Cezar Peluso, j. 17-3-2005, P, DJE de 30-9-2005 ICMS. Imunidade. Estorno de créditos anteriores. Salvo determinação em contrário da legislação, a não incidência do ICMS acarretará a anulação do crédito relativo às operações anteriores. Art. 155, § 2º, II, b, CF/1988.</w:t>
      </w:r>
    </w:p>
    <w:p>
      <w:pPr>
        <w:ind w:left="288"/>
      </w:pPr>
      <w:r>
        <w:rPr>
          <w:b/>
          <w:color w:val="003CA0"/>
          <w:sz w:val="16"/>
        </w:rPr>
        <w:t>[AI 468.900 ED, rel. min. Gilmar Mendes, j. 30-9-2008, 2ª T, DJE de 21-11-2008.]</w:t>
      </w:r>
    </w:p>
    <w:p>
      <w:pPr>
        <w:ind w:left="288"/>
      </w:pPr>
      <w:r>
        <w:rPr>
          <w:color w:val="8C8C8C"/>
          <w:sz w:val="12"/>
        </w:rPr>
        <w:t>cf-art-155-par-2-inc-II-ali-b</w:t>
      </w:r>
      <w:r>
        <w:rPr>
          <w:color w:val="003CA0"/>
          <w:sz w:val="12"/>
        </w:rPr>
        <w:t xml:space="preserve"> | RE 199.147</w:t>
      </w:r>
    </w:p>
    <w:p>
      <w:pPr>
        <w:ind w:left="288"/>
      </w:pPr>
      <w:r>
        <w:rPr>
          <w:color w:val="1E1E1E"/>
          <w:sz w:val="18"/>
        </w:rPr>
        <w:t>ICMS. Isenção. Crédito. Anulação. Regra versus exceção. Consoante dispõe o § 2º do art. 155 da CF, a isenção ou a não incidência acarretam, em regra, a anulação do crédito referente a operações anteriores, devendo a exceção estar prevista expressamente em lei. ICMS. Isenção. Crédito. Substituição tributária. Inteligência do § 2º do art. 155 da CF. Em Direito, descabe confundir institutos, expressões e vocábulos. O preceito da alínea b do inciso II do § 2º do art. 155 da CF não é afastado ante a circunstância de o contribuinte atuar, em fase toda própria, inconfundível com a responsabilidade tr</w:t>
      </w:r>
    </w:p>
    <w:p>
      <w:pPr>
        <w:ind w:left="288"/>
      </w:pPr>
      <w:r>
        <w:rPr>
          <w:b/>
          <w:color w:val="003CA0"/>
          <w:sz w:val="16"/>
        </w:rPr>
        <w:t>[RE 199.147, red. do ac. min. Marco Aurélio, j. 16-4-2008, P, DJE de 14-11-2008.]</w:t>
      </w:r>
    </w:p>
    <w:p>
      <w:pPr>
        <w:ind w:left="144"/>
      </w:pPr>
      <w:r>
        <w:rPr>
          <w:b/>
          <w:color w:val="B45A00"/>
          <w:sz w:val="16"/>
        </w:rPr>
        <w:t>REPERCUSSAO GERAL</w:t>
      </w:r>
    </w:p>
    <w:p>
      <w:pPr>
        <w:ind w:left="288"/>
      </w:pPr>
      <w:r>
        <w:rPr>
          <w:color w:val="8C8C8C"/>
          <w:sz w:val="12"/>
        </w:rPr>
        <w:t>cf-art-155-par-2-inc-III</w:t>
      </w:r>
      <w:r>
        <w:rPr>
          <w:color w:val="003CA0"/>
          <w:sz w:val="12"/>
        </w:rPr>
        <w:t xml:space="preserve"> | RE 714.139</w:t>
      </w:r>
    </w:p>
    <w:p>
      <w:pPr>
        <w:ind w:left="288"/>
      </w:pPr>
      <w:r>
        <w:rPr>
          <w:color w:val="1E1E1E"/>
          <w:sz w:val="18"/>
        </w:rPr>
        <w:t xml:space="preserve">A Constituição Federal não obriga os entes competentes a adotar a seletividade no ICMS. Não obstante, é evidente a preocupação do constituinte de que, uma vez adotada a seletividade, haja a ponderação criteriosa das características intrínsecas do bem ou serviço em razão de sua essencialidade com outros elementos, tais como a capacidade econômica do consumidor final, a destinação do bem ou serviço e, ao cabo, a justiça fiscal, tendente à menor regressividade desse tributo indireto. O estado que adotar a seletividade no ICMS terá de conferir efetividade a esse preceito em sua eficácia positiva, </w:t>
      </w:r>
    </w:p>
    <w:p>
      <w:pPr>
        <w:ind w:left="288"/>
      </w:pPr>
      <w:r>
        <w:rPr>
          <w:b/>
          <w:color w:val="003CA0"/>
          <w:sz w:val="16"/>
        </w:rPr>
        <w:t>[RE 714.139, red. do ac. min. Dias Toffoli, j. 18-12-2021, P, DJE de 15-3-2022, Tema 745, com mérito julgado.]</w:t>
      </w:r>
    </w:p>
    <w:p>
      <w:pPr>
        <w:ind w:left="288"/>
      </w:pPr>
      <w:r>
        <w:rPr>
          <w:color w:val="8C8C8C"/>
          <w:sz w:val="12"/>
        </w:rPr>
        <w:t>cf-art-155-par-2-inc-III</w:t>
      </w:r>
    </w:p>
    <w:p>
      <w:pPr>
        <w:ind w:left="288"/>
      </w:pPr>
      <w:r>
        <w:rPr>
          <w:color w:val="1E1E1E"/>
          <w:sz w:val="18"/>
        </w:rPr>
        <w:t>IV - resolução do Senado Federal, de iniciativa do Presidente da República ou de um terço dos Senadores, aprovada pela maioria absoluta de seus membros, estabelecerá as alíquotas aplicáveis às operações e prestações, interestaduais e de exportação;</w:t>
      </w:r>
    </w:p>
    <w:p>
      <w:pPr>
        <w:ind w:left="144"/>
      </w:pPr>
      <w:r>
        <w:rPr>
          <w:b/>
          <w:color w:val="B45A00"/>
          <w:sz w:val="16"/>
        </w:rPr>
        <w:t>CONTROLE CONCENTRADO</w:t>
      </w:r>
    </w:p>
    <w:p>
      <w:pPr>
        <w:ind w:left="288"/>
      </w:pPr>
      <w:r>
        <w:rPr>
          <w:color w:val="8C8C8C"/>
          <w:sz w:val="12"/>
        </w:rPr>
        <w:t>cf-art-155-par-2-inc-III</w:t>
      </w:r>
      <w:r>
        <w:rPr>
          <w:color w:val="003CA0"/>
          <w:sz w:val="12"/>
        </w:rPr>
        <w:t xml:space="preserve"> | ADI 6.365</w:t>
      </w:r>
      <w:r>
        <w:rPr>
          <w:color w:val="003CA0"/>
          <w:sz w:val="12"/>
        </w:rPr>
        <w:t xml:space="preserve"> | rel. Luiz Fux</w:t>
      </w:r>
    </w:p>
    <w:p>
      <w:pPr>
        <w:ind w:left="288"/>
      </w:pPr>
      <w:r>
        <w:rPr>
          <w:color w:val="1E1E1E"/>
          <w:sz w:val="18"/>
        </w:rPr>
        <w:t>Artigos 6º, VI, 7º (redação original e aquela dada pela Lei Estadual 4.029/2022) e 8º da Lei 3.617/2019 do Estado do Tocantins. Contribuição ao Fundo Estadual do Transporte - FET incidente sobre o valor das operações com produtos de origem vegetal, mineral ou animal, inclusive os destinados à exportação. (...) In casu, o recolhimento criado pelo Estado do Tocantins apresenta características de imposto, pois incide sobre situação reveladora de riqueza relacionada exclusivamente aos contribuintes, não vinculada a qualquer atividade estatal. Ademais, por possuir fato gerador (operações de saída d</w:t>
      </w:r>
    </w:p>
    <w:p>
      <w:pPr>
        <w:ind w:left="288"/>
      </w:pPr>
      <w:r>
        <w:rPr>
          <w:b/>
          <w:color w:val="003CA0"/>
          <w:sz w:val="16"/>
        </w:rPr>
        <w:t>[ADI 6.365, rel. min. Luiz Fux, j. 14.02.2024, P, DJE de 22.2.2024.]</w:t>
      </w:r>
    </w:p>
    <w:p>
      <w:pPr>
        <w:ind w:left="288"/>
      </w:pPr>
      <w:r>
        <w:rPr>
          <w:color w:val="8C8C8C"/>
          <w:sz w:val="12"/>
        </w:rPr>
        <w:t>cf-art-155-par-2-inc-III</w:t>
      </w:r>
      <w:r>
        <w:rPr>
          <w:color w:val="003CA0"/>
          <w:sz w:val="12"/>
        </w:rPr>
        <w:t xml:space="preserve"> | ADI 4.565</w:t>
      </w:r>
      <w:r>
        <w:rPr>
          <w:color w:val="003CA0"/>
          <w:sz w:val="12"/>
        </w:rPr>
        <w:t xml:space="preserve"> | rel. Roberto Barroso</w:t>
      </w:r>
    </w:p>
    <w:p>
      <w:pPr>
        <w:ind w:left="288"/>
      </w:pPr>
      <w:r>
        <w:rPr>
          <w:color w:val="1E1E1E"/>
          <w:sz w:val="18"/>
        </w:rPr>
        <w:t>É competência do Senado Federal definir as alíquotas mínimas e máximas das operações internas (art. 155, § 2º, VI, da Constituição), sendo que tais alíquotas, normalmente, não podem ser inferiores às interestaduais (art. 155, § 2º, VII, da Constituição). Considerando que a alíquota geral nas operações interestaduais é de 12%, nos termos da Resolução 22/1989, do Senado Federal, é vedado aos Estados-membros estabelecer alíquotas internas inferiores a esse patamar, salvo deliberação em contrário no âmbito do CONFAZ.</w:t>
      </w:r>
    </w:p>
    <w:p>
      <w:pPr>
        <w:ind w:left="288"/>
      </w:pPr>
      <w:r>
        <w:rPr>
          <w:b/>
          <w:color w:val="003CA0"/>
          <w:sz w:val="16"/>
        </w:rPr>
        <w:t>[ADI 4.565, rel. min. Roberto Barroso, j. 24-2-2021, P, DJE de 10-3-2021.]</w:t>
      </w:r>
    </w:p>
    <w:p>
      <w:pPr>
        <w:ind w:left="144"/>
      </w:pPr>
      <w:r>
        <w:rPr>
          <w:b/>
          <w:color w:val="B45A00"/>
          <w:sz w:val="16"/>
        </w:rPr>
        <w:t>JULGADOS CORRELATOS</w:t>
      </w:r>
    </w:p>
    <w:p>
      <w:pPr>
        <w:ind w:left="288"/>
      </w:pPr>
      <w:r>
        <w:rPr>
          <w:color w:val="8C8C8C"/>
          <w:sz w:val="12"/>
        </w:rPr>
        <w:t>cf-art-155-par-2-inc-III</w:t>
      </w:r>
      <w:r>
        <w:rPr>
          <w:color w:val="003CA0"/>
          <w:sz w:val="12"/>
        </w:rPr>
        <w:t xml:space="preserve"> | AI 748.777</w:t>
      </w:r>
      <w:r>
        <w:rPr>
          <w:color w:val="003CA0"/>
          <w:sz w:val="12"/>
        </w:rPr>
        <w:t xml:space="preserve"> | rel. Ayres Britto</w:t>
      </w:r>
    </w:p>
    <w:p>
      <w:pPr>
        <w:ind w:left="288"/>
      </w:pPr>
      <w:r>
        <w:rPr>
          <w:color w:val="1E1E1E"/>
          <w:sz w:val="18"/>
        </w:rPr>
        <w:t>Segundo a jurisprudência do STF, não ofende a Carta Magna o estabelecimento de alíquotas do ICMS para operações interestaduais e de exportação em observância aos limites permitidos pela Resolução 129/1979 do Senado Federal no período que antecedeu a edição da Resolução 22/1989 também do Senado Federal, ou seja, entre os meses de março a maio de 1989.</w:t>
      </w:r>
    </w:p>
    <w:p>
      <w:pPr>
        <w:ind w:left="288"/>
      </w:pPr>
      <w:r>
        <w:rPr>
          <w:b/>
          <w:color w:val="003CA0"/>
          <w:sz w:val="16"/>
        </w:rPr>
        <w:t>[AI 748.777 AgR, rel. min. Ayres Britto, j. 13-12-2011, 2ª T, DJE de 17-2-2012.]</w:t>
      </w:r>
    </w:p>
    <w:p>
      <w:pPr>
        <w:ind w:left="288"/>
      </w:pPr>
      <w:r>
        <w:rPr>
          <w:color w:val="8C8C8C"/>
          <w:sz w:val="12"/>
        </w:rPr>
        <w:t>cf-art-155-par-2-inc-III</w:t>
      </w:r>
      <w:r>
        <w:rPr>
          <w:color w:val="003CA0"/>
          <w:sz w:val="12"/>
        </w:rPr>
        <w:t xml:space="preserve"> | RE 141.312</w:t>
      </w:r>
      <w:r>
        <w:rPr>
          <w:color w:val="003CA0"/>
          <w:sz w:val="12"/>
        </w:rPr>
        <w:t xml:space="preserve"> | rel. Rosa Weber</w:t>
      </w:r>
    </w:p>
    <w:p>
      <w:pPr>
        <w:ind w:left="288"/>
      </w:pPr>
      <w:r>
        <w:rPr>
          <w:color w:val="1E1E1E"/>
          <w:sz w:val="18"/>
        </w:rPr>
        <w:t>= RE 141.312 AgR, rel. min. Rosa Weber, j. 29-5-2012, 1ª T, DJE de 14-6-2012 Ação cível originária. Estados de São Paulo e Bahia. Termo de Acordo de Regime Especial 1/1998, celebrado entre o Distrito Federal e empresa particular. (...) Vício formal. Acordo firmado em desobediência à forma estabelecida na LC 24/1975. Fixação de alíquota de ICMS diversa da fixada na Resolução 22, do Senado Federal.</w:t>
      </w:r>
    </w:p>
    <w:p>
      <w:pPr>
        <w:ind w:left="288"/>
      </w:pPr>
      <w:r>
        <w:rPr>
          <w:b/>
          <w:color w:val="003CA0"/>
          <w:sz w:val="16"/>
        </w:rPr>
        <w:t>[ACO 541, rel. min. Gilmar Mendes, j. 19-4-2006, P, DJ de 30-6-2006.]</w:t>
      </w:r>
    </w:p>
    <w:p>
      <w:pPr>
        <w:ind w:left="288"/>
      </w:pPr>
      <w:r>
        <w:rPr>
          <w:color w:val="8C8C8C"/>
          <w:sz w:val="12"/>
        </w:rPr>
        <w:t>cf-art-155-par-2-inc-III</w:t>
      </w:r>
      <w:r>
        <w:rPr>
          <w:color w:val="003CA0"/>
          <w:sz w:val="12"/>
        </w:rPr>
        <w:t xml:space="preserve"> | RE 145.491</w:t>
      </w:r>
      <w:r>
        <w:rPr>
          <w:color w:val="003CA0"/>
          <w:sz w:val="12"/>
        </w:rPr>
        <w:t xml:space="preserve"> | rel. Carlos Velloso</w:t>
      </w:r>
    </w:p>
    <w:p>
      <w:pPr>
        <w:ind w:left="288"/>
      </w:pPr>
      <w:r>
        <w:rPr>
          <w:color w:val="1E1E1E"/>
          <w:sz w:val="18"/>
        </w:rPr>
        <w:t>Impossibilidade de a alíquota, nas operações de exportação, ser fixada pelo convênio. É que se à lei complementar não cabe fixar a alíquota, também não poderia fazê-lo o convênio. A fixação da alíquota, em tal caso, cabe ao Senado Federal: CF, art. 155, § 2º, IV.</w:t>
      </w:r>
    </w:p>
    <w:p>
      <w:pPr>
        <w:ind w:left="288"/>
      </w:pPr>
      <w:r>
        <w:rPr>
          <w:b/>
          <w:color w:val="003CA0"/>
          <w:sz w:val="16"/>
        </w:rPr>
        <w:t>[RE 145.491, rel. min. Carlos Velloso, j. 1º-12-1997, 2ª T, DJ de 20-2-1998.]</w:t>
      </w:r>
    </w:p>
    <w:p>
      <w:pPr>
        <w:ind w:left="288"/>
      </w:pPr>
      <w:r>
        <w:rPr>
          <w:color w:val="8C8C8C"/>
          <w:sz w:val="12"/>
        </w:rPr>
        <w:t>cf-art-155-par-2-inc-V-ali-a</w:t>
      </w:r>
    </w:p>
    <w:p>
      <w:pPr>
        <w:ind w:left="288"/>
      </w:pPr>
      <w:r>
        <w:rPr>
          <w:color w:val="1E1E1E"/>
          <w:sz w:val="18"/>
        </w:rPr>
        <w:t>b) fixar alíquotas máximas nas mesmas operações para resolver conflito específico que envolva interesse de Estados, mediante resolução de iniciativa da maioria absoluta e aprovada por dois terços de seus membros;</w:t>
      </w:r>
    </w:p>
    <w:p>
      <w:pPr>
        <w:ind w:left="144"/>
      </w:pPr>
      <w:r>
        <w:rPr>
          <w:b/>
          <w:color w:val="B45A00"/>
          <w:sz w:val="16"/>
        </w:rPr>
        <w:t>CONTROLE CONCENTRADO</w:t>
      </w:r>
    </w:p>
    <w:p>
      <w:pPr>
        <w:ind w:left="288"/>
      </w:pPr>
      <w:r>
        <w:rPr>
          <w:color w:val="8C8C8C"/>
          <w:sz w:val="12"/>
        </w:rPr>
        <w:t>cf-art-155-par-2-inc-V-ali-a</w:t>
      </w:r>
      <w:r>
        <w:rPr>
          <w:color w:val="003CA0"/>
          <w:sz w:val="12"/>
        </w:rPr>
        <w:t xml:space="preserve"> | ADI 1.601</w:t>
      </w:r>
    </w:p>
    <w:p>
      <w:pPr>
        <w:ind w:left="288"/>
      </w:pPr>
      <w:r>
        <w:rPr>
          <w:color w:val="1E1E1E"/>
          <w:sz w:val="18"/>
        </w:rPr>
        <w:t>É facultado também ao Senado, para resolver conflitos interestaduais, a fixação de uma alíquota máxima interna, e para essa fixação o quorum é mais qualificado, a iniciativa da resolução é por maioria absoluta e a sua aprovação é da maioria de 2/3. Sintetizando, os Estados têm liberdade de fixar as suas alíquotas internas, observada a alíquota interestadual como piso mínimo, e se decidirem ir aquém disto, terão de fazê-lo, por convênio, através de decisão uniforme. Se o Senado Federal exercer as faculdades que lhe estão atribuídas no § 2º, V, a, de fixar a máxima e a mínima, os Estados terão d</w:t>
      </w:r>
    </w:p>
    <w:p>
      <w:pPr>
        <w:ind w:left="288"/>
      </w:pPr>
      <w:r>
        <w:rPr>
          <w:b/>
          <w:color w:val="003CA0"/>
          <w:sz w:val="16"/>
        </w:rPr>
        <w:t>[ADI 1.601 MC, voto do red. do ac. min. Nelson Jobim, j. 11-12-1997, P, DJ de 19-12-2001.]</w:t>
      </w:r>
    </w:p>
    <w:p>
      <w:pPr>
        <w:ind w:left="288"/>
      </w:pPr>
      <w:r>
        <w:rPr>
          <w:color w:val="8C8C8C"/>
          <w:sz w:val="12"/>
        </w:rPr>
        <w:t>cf-art-155-par-2-inc-V-ali-a</w:t>
      </w:r>
    </w:p>
    <w:p>
      <w:pPr>
        <w:ind w:left="288"/>
      </w:pPr>
      <w:r>
        <w:rPr>
          <w:color w:val="1E1E1E"/>
          <w:sz w:val="18"/>
        </w:rPr>
        <w:t>VI - salvo deliberação em contrário dos Estados e do Distrito Federal, nos termos do disposto no inciso XII, g, as alíquotas internas, nas operações relativas à circulação de mercadorias e nas prestações de serviços, não poderão ser inferiores às previstas para as operações interestaduais; VII - nas operações e prestações que destinem bens e serviços a consumidor final, contribuinte ou não do imposto, localizado em outro Estado, adotar-se-á a alíquota interestadual e caberá ao Estado de localização do destinatário o imposto correspondente à diferença entre a alíquota interna do Estado destinat</w:t>
      </w:r>
    </w:p>
    <w:p>
      <w:pPr>
        <w:ind w:left="288"/>
      </w:pPr>
      <w:r>
        <w:rPr>
          <w:color w:val="8C8C8C"/>
          <w:sz w:val="12"/>
        </w:rPr>
        <w:t>cf-art-155-par-2-inc-V-ali-a</w:t>
      </w:r>
      <w:r>
        <w:rPr>
          <w:color w:val="003CA0"/>
          <w:sz w:val="12"/>
        </w:rPr>
        <w:t xml:space="preserve"> | ADI 7.158</w:t>
      </w:r>
      <w:r>
        <w:rPr>
          <w:color w:val="003CA0"/>
          <w:sz w:val="12"/>
        </w:rPr>
        <w:t xml:space="preserve"> | rel. Roberto Barroso</w:t>
      </w:r>
    </w:p>
    <w:p>
      <w:pPr>
        <w:ind w:left="288"/>
      </w:pPr>
      <w:r>
        <w:rPr>
          <w:color w:val="1E1E1E"/>
          <w:sz w:val="18"/>
        </w:rPr>
        <w:t>É constitucional o critério previsto no § 7º do art. 11 da Lei Complementar nº 87/1996, na redação dada pela Lei Complementar nº 190/2022, que considera como Estado destinatário, para efeito do recolhimento do diferencial de alíquota do ICMS, aquele em que efetivamente ocorrer a entrada física da mercadoria ou o fim da prestação do serviço, uma vez que conforme a Emenda Constitucional nº 87/2015.</w:t>
      </w:r>
    </w:p>
    <w:p>
      <w:pPr>
        <w:ind w:left="288"/>
      </w:pPr>
      <w:r>
        <w:rPr>
          <w:b/>
          <w:color w:val="003CA0"/>
          <w:sz w:val="16"/>
        </w:rPr>
        <w:t>[ADI 7.158, rel. min. Roberto Barroso, j. 7-2-2023, P, DJE de 10-2-2023.]</w:t>
      </w:r>
    </w:p>
    <w:p>
      <w:pPr>
        <w:ind w:left="288"/>
      </w:pPr>
      <w:r>
        <w:rPr>
          <w:color w:val="8C8C8C"/>
          <w:sz w:val="12"/>
        </w:rPr>
        <w:t>cf-art-155-par-2-inc-V-ali-a</w:t>
      </w:r>
      <w:r>
        <w:rPr>
          <w:color w:val="003CA0"/>
          <w:sz w:val="12"/>
        </w:rPr>
        <w:t xml:space="preserve"> | ADI 4.623</w:t>
      </w:r>
      <w:r>
        <w:rPr>
          <w:color w:val="003CA0"/>
          <w:sz w:val="12"/>
        </w:rPr>
        <w:t xml:space="preserve"> | rel. Cármen Lúcia</w:t>
      </w:r>
    </w:p>
    <w:p>
      <w:pPr>
        <w:ind w:left="288"/>
      </w:pPr>
      <w:r>
        <w:rPr>
          <w:color w:val="1E1E1E"/>
          <w:sz w:val="18"/>
        </w:rPr>
        <w:t>Nos termos do inc. VII do § 2º do art. 155 da Constituição da República, em operações interestaduais nas quais se destinem bens a consumidor final, incide a alíquota interestadual em favor do Estado de origem, apurando-se o valor do imposto, que seguirá destacado na nota fiscal, cabendo ao Estado de destino calcular a diferença entre a alíquota interna e a alíquota cobrada pelo Estado de origem, incidindo esse diferencial de alíquota sobre o valor da operação, calculando-se assim o montante do imposto a ser recolhido para o Estado de destino. Esse regime não conduz à diferenciação de lançament</w:t>
      </w:r>
    </w:p>
    <w:p>
      <w:pPr>
        <w:ind w:left="288"/>
      </w:pPr>
      <w:r>
        <w:rPr>
          <w:b/>
          <w:color w:val="003CA0"/>
          <w:sz w:val="16"/>
        </w:rPr>
        <w:t>[ADI 4.623, rel. min. Cármen Lúcia, j. 16-6-2020, P, DJE de 14-8-2020.]</w:t>
      </w:r>
    </w:p>
    <w:p>
      <w:pPr>
        <w:ind w:left="288"/>
      </w:pPr>
      <w:r>
        <w:rPr>
          <w:color w:val="8C8C8C"/>
          <w:sz w:val="12"/>
        </w:rPr>
        <w:t>cf-art-155-par-2-inc-V-ali-a</w:t>
      </w:r>
      <w:r>
        <w:rPr>
          <w:color w:val="003CA0"/>
          <w:sz w:val="12"/>
        </w:rPr>
        <w:t xml:space="preserve"> | ADI 4.705</w:t>
      </w:r>
      <w:r>
        <w:rPr>
          <w:color w:val="003CA0"/>
          <w:sz w:val="12"/>
        </w:rPr>
        <w:t xml:space="preserve"> | rel. Roberto Barroso</w:t>
      </w:r>
    </w:p>
    <w:p>
      <w:pPr>
        <w:ind w:left="288"/>
      </w:pPr>
      <w:r>
        <w:rPr>
          <w:color w:val="1E1E1E"/>
          <w:sz w:val="18"/>
        </w:rPr>
        <w:t>É inconstitucional lei estadual anterior à EC 87/2015 que estabeleça a cobrança de ICMS pelo Estado de destino nas operações interestaduais de venda de mercadoria ou bem realizadas de forma não presencial a consumidor final não contribuinte do imposto.</w:t>
      </w:r>
    </w:p>
    <w:p>
      <w:pPr>
        <w:ind w:left="288"/>
      </w:pPr>
      <w:r>
        <w:rPr>
          <w:b/>
          <w:color w:val="003CA0"/>
          <w:sz w:val="16"/>
        </w:rPr>
        <w:t>[ADI 4.705, rel. min. Roberto Barroso, j. 3-10-2019, P, DJE de 25-10-2019.]</w:t>
      </w:r>
    </w:p>
    <w:p>
      <w:pPr>
        <w:ind w:left="144"/>
      </w:pPr>
      <w:r>
        <w:rPr>
          <w:b/>
          <w:color w:val="B45A00"/>
          <w:sz w:val="16"/>
        </w:rPr>
        <w:t>REPERCUSSAO GERAL</w:t>
      </w:r>
    </w:p>
    <w:p>
      <w:pPr>
        <w:ind w:left="288"/>
      </w:pPr>
      <w:r>
        <w:rPr>
          <w:color w:val="8C8C8C"/>
          <w:sz w:val="12"/>
        </w:rPr>
        <w:t>cf-art-155-par-2-inc-V-ali-a</w:t>
      </w:r>
      <w:r>
        <w:rPr>
          <w:color w:val="003CA0"/>
          <w:sz w:val="12"/>
        </w:rPr>
        <w:t xml:space="preserve"> | RE 970.821</w:t>
      </w:r>
      <w:r>
        <w:rPr>
          <w:color w:val="003CA0"/>
          <w:sz w:val="12"/>
        </w:rPr>
        <w:t xml:space="preserve"> | rel. Edson Fachin</w:t>
      </w:r>
    </w:p>
    <w:p>
      <w:pPr>
        <w:ind w:left="288"/>
      </w:pPr>
      <w:r>
        <w:rPr>
          <w:color w:val="1E1E1E"/>
          <w:sz w:val="18"/>
        </w:rPr>
        <w:t>“É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w:t>
      </w:r>
    </w:p>
    <w:p>
      <w:pPr>
        <w:ind w:left="288"/>
      </w:pPr>
      <w:r>
        <w:rPr>
          <w:b/>
          <w:color w:val="003CA0"/>
          <w:sz w:val="16"/>
        </w:rPr>
        <w:t>[RE 970.821, rel. min. Edson Fachin, j. 11-5-2021, P, DJE de 19-8-2021, Tema 517, com mérito julgado.]</w:t>
      </w:r>
    </w:p>
    <w:p>
      <w:pPr>
        <w:ind w:left="288"/>
      </w:pPr>
      <w:r>
        <w:rPr>
          <w:color w:val="8C8C8C"/>
          <w:sz w:val="12"/>
        </w:rPr>
        <w:t>cf-art-155-par-2-inc-V-ali-a</w:t>
      </w:r>
      <w:r>
        <w:rPr>
          <w:color w:val="003CA0"/>
          <w:sz w:val="12"/>
        </w:rPr>
        <w:t xml:space="preserve"> | RE 1.287.019</w:t>
      </w:r>
    </w:p>
    <w:p>
      <w:pPr>
        <w:ind w:left="288"/>
      </w:pPr>
      <w:r>
        <w:rPr>
          <w:color w:val="1E1E1E"/>
          <w:sz w:val="18"/>
        </w:rPr>
        <w:t>A EC 87/15 criou nova relação jurídico-tributária entre o remetente do bem ou serviço (contribuinte) e o estado de destino nas operações com bens e serviços destinados a consumidor final não contribuinte do ICMS. O imposto incidente nessas operações e prestações, que antes era devido totalmente ao estado de origem, passou a ser dividido entre dois sujeitos ativos, cabendo ao estado de origem o ICMS calculado com base na alíquota interestadual e ao estado de destino, o diferencial entre a alíquota interestadual e sua alíquota interna. Convênio interestadual não pode suprir a ausência de lei com</w:t>
      </w:r>
    </w:p>
    <w:p>
      <w:pPr>
        <w:ind w:left="288"/>
      </w:pPr>
      <w:r>
        <w:rPr>
          <w:b/>
          <w:color w:val="003CA0"/>
          <w:sz w:val="16"/>
        </w:rPr>
        <w:t>[RE 1.287.019, red do ac. min. Dias Toffoli, j. 24-2-2021, P, DJE de 25-5-2021, Tema 1.093, com mérito julgado.]</w:t>
      </w:r>
    </w:p>
    <w:p>
      <w:pPr>
        <w:ind w:left="144"/>
      </w:pPr>
      <w:r>
        <w:rPr>
          <w:b/>
          <w:color w:val="B45A00"/>
          <w:sz w:val="16"/>
        </w:rPr>
        <w:t>JULGADOS CORRELATOS</w:t>
      </w:r>
    </w:p>
    <w:p>
      <w:pPr>
        <w:ind w:left="288"/>
      </w:pPr>
      <w:r>
        <w:rPr>
          <w:color w:val="8C8C8C"/>
          <w:sz w:val="12"/>
        </w:rPr>
        <w:t>cf-art-155-par-2-inc-V-ali-a</w:t>
      </w:r>
      <w:r>
        <w:rPr>
          <w:color w:val="003CA0"/>
          <w:sz w:val="12"/>
        </w:rPr>
        <w:t xml:space="preserve"> | RE 1.138.734</w:t>
      </w:r>
      <w:r>
        <w:rPr>
          <w:color w:val="003CA0"/>
          <w:sz w:val="12"/>
        </w:rPr>
        <w:t xml:space="preserve"> | rel. Dias Toffoli</w:t>
      </w:r>
    </w:p>
    <w:p>
      <w:pPr>
        <w:ind w:left="288"/>
      </w:pPr>
      <w:r>
        <w:rPr>
          <w:color w:val="1E1E1E"/>
          <w:sz w:val="18"/>
        </w:rPr>
        <w:t>À luz da interpretação histórica e teleológica do art. 155, § 2º, inciso VII, da Constituição Federal, com a redação conferida pela EC nº 87/15, não cabe ao Distrito Federal cobrar o ICMS-difal quanto à venda presencial de mercadorias em estabelecimento situado em outra unidade federada, com a entrega dessas lá mesmo, a consumidores finais não contribuintes do imposto fisicamente localizados no mesmo estabelecimento, muito embora estejam eles domiciliados no Distrito Federal.</w:t>
      </w:r>
    </w:p>
    <w:p>
      <w:pPr>
        <w:ind w:left="288"/>
      </w:pPr>
      <w:r>
        <w:rPr>
          <w:b/>
          <w:color w:val="003CA0"/>
          <w:sz w:val="16"/>
        </w:rPr>
        <w:t>[RE 1.138.734 AgR, rel. min. Dias Toffoli, j. 3-11-2022, 1ª T, DJE de 28-11-2022.]</w:t>
      </w:r>
    </w:p>
    <w:p>
      <w:pPr>
        <w:ind w:left="144"/>
      </w:pPr>
      <w:r>
        <w:rPr>
          <w:b/>
          <w:color w:val="B45A00"/>
          <w:sz w:val="16"/>
        </w:rPr>
        <w:t>REPERCUSSAO GERAL</w:t>
      </w:r>
    </w:p>
    <w:p>
      <w:pPr>
        <w:ind w:left="288"/>
      </w:pPr>
      <w:r>
        <w:rPr>
          <w:color w:val="8C8C8C"/>
          <w:sz w:val="12"/>
        </w:rPr>
        <w:t>cf-art-155-par-2-inc-VIII</w:t>
      </w:r>
      <w:r>
        <w:rPr>
          <w:color w:val="003CA0"/>
          <w:sz w:val="12"/>
        </w:rPr>
        <w:t xml:space="preserve"> | RE 970.821</w:t>
      </w:r>
      <w:r>
        <w:rPr>
          <w:color w:val="003CA0"/>
          <w:sz w:val="12"/>
        </w:rPr>
        <w:t xml:space="preserve"> | rel. Edson Fachin</w:t>
      </w:r>
    </w:p>
    <w:p>
      <w:pPr>
        <w:ind w:left="288"/>
      </w:pPr>
      <w:r>
        <w:rPr>
          <w:color w:val="1E1E1E"/>
          <w:sz w:val="18"/>
        </w:rPr>
        <w:t>“É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w:t>
      </w:r>
    </w:p>
    <w:p>
      <w:pPr>
        <w:ind w:left="288"/>
      </w:pPr>
      <w:r>
        <w:rPr>
          <w:b/>
          <w:color w:val="003CA0"/>
          <w:sz w:val="16"/>
        </w:rPr>
        <w:t>[RE 970.821, rel. min. Edson Fachin, j. 11-5-2021, P, DJE de 19-8-2021, Tema 517, com mérito julgado.]</w:t>
      </w:r>
    </w:p>
    <w:p>
      <w:pPr>
        <w:ind w:left="144"/>
      </w:pPr>
      <w:r>
        <w:rPr>
          <w:b/>
          <w:color w:val="B45A00"/>
          <w:sz w:val="16"/>
        </w:rPr>
        <w:t>JULGADOS CORRELATOS</w:t>
      </w:r>
    </w:p>
    <w:p>
      <w:pPr>
        <w:ind w:left="288"/>
      </w:pPr>
      <w:r>
        <w:rPr>
          <w:color w:val="8C8C8C"/>
          <w:sz w:val="12"/>
        </w:rPr>
        <w:t>cf-art-155-par-2-inc-VIII</w:t>
      </w:r>
      <w:r>
        <w:rPr>
          <w:color w:val="003CA0"/>
          <w:sz w:val="12"/>
        </w:rPr>
        <w:t xml:space="preserve"> | AI 568.695</w:t>
      </w:r>
      <w:r>
        <w:rPr>
          <w:color w:val="003CA0"/>
          <w:sz w:val="12"/>
        </w:rPr>
        <w:t xml:space="preserve"> | rel. Eros Grau</w:t>
      </w:r>
    </w:p>
    <w:p>
      <w:pPr>
        <w:ind w:left="288"/>
      </w:pPr>
      <w:r>
        <w:rPr>
          <w:color w:val="1E1E1E"/>
          <w:sz w:val="18"/>
        </w:rPr>
        <w:t>As construtoras que adquirem material em Estado instituidor de alíquota de ICMS mais favorável, ao utilizarem essas mercadorias como insumos em suas obras, não estão compelidas à satisfação do diferencial de alíquota do ICMS do Estado destinatário, uma vez que essas construtoras são, de regra, contribuintes do Imposto Sobre Serviços de Qualquer Natureza, de competência dos municípios.</w:t>
      </w:r>
    </w:p>
    <w:p>
      <w:pPr>
        <w:ind w:left="288"/>
      </w:pPr>
      <w:r>
        <w:rPr>
          <w:b/>
          <w:color w:val="003CA0"/>
          <w:sz w:val="16"/>
        </w:rPr>
        <w:t>[AI 568.695 AgR, rel. min. Eros Grau, j. 16-5-2006, 2ª T, DJ de 9-6-2006.]</w:t>
      </w:r>
    </w:p>
    <w:p>
      <w:pPr>
        <w:ind w:left="288"/>
      </w:pPr>
      <w:r>
        <w:rPr>
          <w:color w:val="8C8C8C"/>
          <w:sz w:val="12"/>
        </w:rPr>
        <w:t>cf-art-155-par-2-inc-VIII</w:t>
      </w:r>
      <w:r>
        <w:rPr>
          <w:color w:val="003CA0"/>
          <w:sz w:val="12"/>
        </w:rPr>
        <w:t xml:space="preserve"> | RE 356.335</w:t>
      </w:r>
      <w:r>
        <w:rPr>
          <w:color w:val="003CA0"/>
          <w:sz w:val="12"/>
        </w:rPr>
        <w:t xml:space="preserve"> | rel. Ellen Gracie</w:t>
      </w:r>
    </w:p>
    <w:p>
      <w:pPr>
        <w:ind w:left="288"/>
      </w:pPr>
      <w:r>
        <w:rPr>
          <w:color w:val="1E1E1E"/>
          <w:sz w:val="18"/>
        </w:rPr>
        <w:t>= RE 356.335 AgR, rel. min. Ellen Gracie, j. 1º-12-2009, 2ª T, DJE de 18-12-2009</w:t>
      </w:r>
    </w:p>
    <w:p>
      <w:pPr>
        <w:ind w:left="288"/>
      </w:pPr>
      <w:r>
        <w:rPr>
          <w:color w:val="8C8C8C"/>
          <w:sz w:val="12"/>
        </w:rPr>
        <w:t>cf-art-155-par-2-inc-IX</w:t>
      </w:r>
    </w:p>
    <w:p>
      <w:pPr>
        <w:ind w:left="288"/>
      </w:pPr>
      <w:r>
        <w:rPr>
          <w:color w:val="1E1E1E"/>
          <w:sz w:val="18"/>
        </w:rPr>
        <w:t>a)sobre a entrada de bem ou mercadoria importados do exterior por pessoa física ou jurídica, ainda que não seja contribuinte habitual do imposto, qualquer que seja a sua finalidade, assim como sobre o serviço prestado no exterior, cabendo o imposto ao Estado onde estiver situado o domicílio ou o estabelecimento do destinatário da mercadoria, bem ou serviço; (Redação da EC 33/2001)</w:t>
      </w:r>
    </w:p>
    <w:p>
      <w:pPr>
        <w:ind w:left="144"/>
      </w:pPr>
      <w:r>
        <w:rPr>
          <w:b/>
          <w:color w:val="B45A00"/>
          <w:sz w:val="16"/>
        </w:rPr>
        <w:t>SUMULA</w:t>
      </w:r>
    </w:p>
    <w:p>
      <w:pPr>
        <w:ind w:left="288"/>
      </w:pPr>
      <w:r>
        <w:rPr>
          <w:color w:val="8C8C8C"/>
          <w:sz w:val="12"/>
        </w:rPr>
        <w:t>cf-art-155-par-2-inc-IX</w:t>
      </w:r>
    </w:p>
    <w:p>
      <w:pPr>
        <w:ind w:left="288"/>
      </w:pPr>
      <w:r>
        <w:rPr>
          <w:color w:val="1E1E1E"/>
          <w:sz w:val="18"/>
        </w:rPr>
        <w:t>Na entrada de mercadoria importada do exterior, é legítima a cobrança do ICMS por ocasião do desembaraço aduaneiro.</w:t>
      </w:r>
    </w:p>
    <w:p>
      <w:pPr>
        <w:ind w:left="288"/>
      </w:pPr>
      <w:r>
        <w:rPr>
          <w:b/>
          <w:color w:val="003CA0"/>
          <w:sz w:val="16"/>
        </w:rPr>
        <w:t>[Súmula 661.]</w:t>
      </w:r>
    </w:p>
    <w:p>
      <w:pPr>
        <w:ind w:left="144"/>
      </w:pPr>
      <w:r>
        <w:rPr>
          <w:b/>
          <w:color w:val="B45A00"/>
          <w:sz w:val="16"/>
        </w:rPr>
        <w:t>REPERCUSSAO GERAL</w:t>
      </w:r>
    </w:p>
    <w:p>
      <w:pPr>
        <w:ind w:left="288"/>
      </w:pPr>
      <w:r>
        <w:rPr>
          <w:color w:val="8C8C8C"/>
          <w:sz w:val="12"/>
        </w:rPr>
        <w:t>cf-art-155-par-2-inc-IX</w:t>
      </w:r>
      <w:r>
        <w:rPr>
          <w:color w:val="003CA0"/>
          <w:sz w:val="12"/>
        </w:rPr>
        <w:t xml:space="preserve"> | RE 1.090.591</w:t>
      </w:r>
      <w:r>
        <w:rPr>
          <w:color w:val="003CA0"/>
          <w:sz w:val="12"/>
        </w:rPr>
        <w:t xml:space="preserve"> | rel. Marco Aurélio</w:t>
      </w:r>
    </w:p>
    <w:p>
      <w:pPr>
        <w:ind w:left="288"/>
      </w:pPr>
      <w:r>
        <w:rPr>
          <w:color w:val="1E1E1E"/>
          <w:sz w:val="18"/>
        </w:rPr>
        <w:t>É constitucional vincular o despacho aduaneiro ao recolhimento de diferença tributária apurada mediante arbitramento da autoridade fiscal.</w:t>
      </w:r>
    </w:p>
    <w:p>
      <w:pPr>
        <w:ind w:left="288"/>
      </w:pPr>
      <w:r>
        <w:rPr>
          <w:b/>
          <w:color w:val="003CA0"/>
          <w:sz w:val="16"/>
        </w:rPr>
        <w:t>[RE 1.090.591, voto do rel. min. Marco Aurélio, j. 16-9-2020, P, DJE de 5-10-2020, Tema 1.042, com mérito julgado.]</w:t>
      </w:r>
    </w:p>
    <w:p>
      <w:pPr>
        <w:ind w:left="288"/>
      </w:pPr>
      <w:r>
        <w:rPr>
          <w:color w:val="8C8C8C"/>
          <w:sz w:val="12"/>
        </w:rPr>
        <w:t>cf-art-155-par-2-inc-IX</w:t>
      </w:r>
      <w:r>
        <w:rPr>
          <w:color w:val="003CA0"/>
          <w:sz w:val="12"/>
        </w:rPr>
        <w:t xml:space="preserve"> | RE 1.221.330</w:t>
      </w:r>
      <w:r>
        <w:rPr>
          <w:color w:val="003CA0"/>
          <w:sz w:val="12"/>
        </w:rPr>
        <w:t xml:space="preserve"> | rel. Luiz Fux</w:t>
      </w:r>
    </w:p>
    <w:p>
      <w:pPr>
        <w:ind w:left="288"/>
      </w:pPr>
      <w:r>
        <w:rPr>
          <w:color w:val="1E1E1E"/>
          <w:sz w:val="18"/>
        </w:rPr>
        <w:t>I - Após a Emenda Constitucional 33/2001, é constitucional a incidência de ICMS sobre operações de importação efetuadas por pessoa, física ou jurídica, que não se dedica habitualmente ao comércio ou à prestação de serviços, devendo tal tributação estar prevista em lei complementar federal. II - As leis estaduais editadas após a EC 33/2001 e antes da entrada em vigor da Lei Complementar 114/2002, com o propósito de impor o ICMS sobre a referida operação, são válidas, mas produzem efeitos somente a partir da vigência da LC 114/2002.</w:t>
        <w:br/>
        <w:t>[RE 1.221.330, rel. min. Luiz Fux, red. do ac. min. Alexandre d</w:t>
      </w:r>
    </w:p>
    <w:p>
      <w:pPr>
        <w:ind w:left="288"/>
      </w:pPr>
      <w:r>
        <w:rPr>
          <w:b/>
          <w:color w:val="003CA0"/>
          <w:sz w:val="16"/>
        </w:rPr>
        <w:t>[RE 540.829, red. do ac. min. Luiz Fux, j. 11-9-2014, P, DJE de 18-11-2014, Tema 297.]</w:t>
      </w:r>
    </w:p>
    <w:p>
      <w:pPr>
        <w:ind w:left="288"/>
      </w:pPr>
      <w:r>
        <w:rPr>
          <w:color w:val="8C8C8C"/>
          <w:sz w:val="12"/>
        </w:rPr>
        <w:t>cf-art-155-par-2-inc-IX</w:t>
      </w:r>
      <w:r>
        <w:rPr>
          <w:color w:val="003CA0"/>
          <w:sz w:val="12"/>
        </w:rPr>
        <w:t xml:space="preserve"> | RE 439.796</w:t>
      </w:r>
      <w:r>
        <w:rPr>
          <w:color w:val="003CA0"/>
          <w:sz w:val="12"/>
        </w:rPr>
        <w:t xml:space="preserve"> | rel. Luiz Fux</w:t>
      </w:r>
    </w:p>
    <w:p>
      <w:pPr>
        <w:ind w:left="288"/>
      </w:pPr>
      <w:r>
        <w:rPr>
          <w:color w:val="1E1E1E"/>
          <w:sz w:val="18"/>
        </w:rPr>
        <w:t xml:space="preserve">Divergência entre as expressões "bem" e "mercadoria" (arts. 155, II, e 155, § 2º, IX, a, da Constituição). É constitucional a tributação das operações de circulação jurídica de bens amparadas pela importação. A operação de importação não descaracteriza, tão somente por si, a classificação do bem importado como mercadoria. Em sentido semelhante, a circunstância de o destinatário do bem não ser contribuinte habitual do tributo também não afeta a caracterização da operação de circulação de mercadoria. Ademais, a exoneração das operações de importação pode desequilibrar as relações pertinentes às </w:t>
      </w:r>
    </w:p>
    <w:p>
      <w:pPr>
        <w:ind w:left="144"/>
      </w:pPr>
      <w:r>
        <w:rPr>
          <w:b/>
          <w:color w:val="B45A00"/>
          <w:sz w:val="16"/>
        </w:rPr>
        <w:t>JULGADOS CORRELATOS</w:t>
      </w:r>
    </w:p>
    <w:p>
      <w:pPr>
        <w:ind w:left="288"/>
      </w:pPr>
      <w:r>
        <w:rPr>
          <w:color w:val="8C8C8C"/>
          <w:sz w:val="12"/>
        </w:rPr>
        <w:t>cf-art-155-par-2-inc-IX</w:t>
      </w:r>
      <w:r>
        <w:rPr>
          <w:color w:val="003CA0"/>
          <w:sz w:val="12"/>
        </w:rPr>
        <w:t xml:space="preserve"> | RE 917.950</w:t>
      </w:r>
      <w:r>
        <w:rPr>
          <w:color w:val="003CA0"/>
          <w:sz w:val="12"/>
        </w:rPr>
        <w:t xml:space="preserve"> | rel. Dias Toffoli</w:t>
      </w:r>
    </w:p>
    <w:p>
      <w:pPr>
        <w:ind w:left="288"/>
      </w:pPr>
      <w:r>
        <w:rPr>
          <w:color w:val="1E1E1E"/>
          <w:sz w:val="18"/>
        </w:rPr>
        <w:t>Após a EC 33/2002, houve alteração da competência tributária relativa ao ICMS, a fim de ampliar o sujeito passivo tributário do ICMS-Importação. A ausência de lei complementar federal não enseja a inconstitucionalidade de lei estadual editada por ente federativo após a EC 33/2002. Inibe apenas seus efeitos. Ineficácia da legislação estadual até 17.12.2002 (data da vigência da Lei Complementar 114/2002).</w:t>
        <w:br/>
        <w:t>[RE 917.950 AgR, red. do ac. min. Gilmar Mendes, j. 5-12-2017, 2ª T, DJE de 11-6-2018.] No esteio da pacífica jurisprudência da Corte, diante da atual Carta Política e dos termos previstos pela</w:t>
      </w:r>
    </w:p>
    <w:p>
      <w:pPr>
        <w:ind w:left="288"/>
      </w:pPr>
      <w:r>
        <w:rPr>
          <w:b/>
          <w:color w:val="003CA0"/>
          <w:sz w:val="16"/>
        </w:rPr>
        <w:t>[AI 674.396 AgR, rel. min. Ellen Gracie, j. 29-3-2011, 2ª T, DJE de 27-4-2011.]</w:t>
      </w:r>
    </w:p>
    <w:p>
      <w:pPr>
        <w:ind w:left="288"/>
      </w:pPr>
      <w:r>
        <w:rPr>
          <w:color w:val="8C8C8C"/>
          <w:sz w:val="12"/>
        </w:rPr>
        <w:t>cf-art-155-par-2-inc-IX</w:t>
      </w:r>
      <w:r>
        <w:rPr>
          <w:color w:val="003CA0"/>
          <w:sz w:val="12"/>
        </w:rPr>
        <w:t xml:space="preserve"> | RE 331.444</w:t>
      </w:r>
      <w:r>
        <w:rPr>
          <w:color w:val="003CA0"/>
          <w:sz w:val="12"/>
        </w:rPr>
        <w:t xml:space="preserve"> | rel. Dias Toffoli</w:t>
      </w:r>
    </w:p>
    <w:p>
      <w:pPr>
        <w:ind w:left="288"/>
      </w:pPr>
      <w:r>
        <w:rPr>
          <w:color w:val="1E1E1E"/>
          <w:sz w:val="18"/>
        </w:rPr>
        <w:t>= RE 331.444 AgR, rel. min. Dias Toffoli, j. 7-2-2012, 1ª T, DJE de 15-3-2012 De acordo com a Constituição de 1988, incide ICMS sobre a entrada de mercadoria importada do exterior. Desnecessária, portanto, a verificação da natureza jurídica do negócio internacional do qual decorre a importação, o qual não se encontra ao alcance do Fisco nacional. O disposto no art. 3º, VIII, da LC 87/1996 aplica-se exclusivamente às operações internas de leasing.</w:t>
      </w:r>
    </w:p>
    <w:p>
      <w:pPr>
        <w:ind w:left="288"/>
      </w:pPr>
      <w:r>
        <w:rPr>
          <w:b/>
          <w:color w:val="003CA0"/>
          <w:sz w:val="16"/>
        </w:rPr>
        <w:t>[RE 206.069, rel. min. Ellen Gracie, j. 1º-9-2005, P, DJ de 1º-9-2006.]</w:t>
      </w:r>
    </w:p>
    <w:p>
      <w:pPr>
        <w:ind w:left="288"/>
      </w:pPr>
      <w:r>
        <w:rPr>
          <w:color w:val="8C8C8C"/>
          <w:sz w:val="12"/>
        </w:rPr>
        <w:t>cf-art-155-par-2-inc-IX</w:t>
      </w:r>
      <w:r>
        <w:rPr>
          <w:color w:val="003CA0"/>
          <w:sz w:val="12"/>
        </w:rPr>
        <w:t xml:space="preserve"> | RE 268.586</w:t>
      </w:r>
      <w:r>
        <w:rPr>
          <w:color w:val="003CA0"/>
          <w:sz w:val="12"/>
        </w:rPr>
        <w:t xml:space="preserve"> | rel. Marco Aurélio</w:t>
      </w:r>
    </w:p>
    <w:p>
      <w:pPr>
        <w:ind w:left="288"/>
      </w:pPr>
      <w:r>
        <w:rPr>
          <w:color w:val="1E1E1E"/>
          <w:sz w:val="18"/>
        </w:rPr>
        <w:t>O ICMS cabe ao Estado em que localizado o porto de desembarque e o destinatário da mercadoria, não prevalecendo a forma sobre o conteúdo, no que procedida a importação por terceiro consignatário situado em outro Estado e beneficiário de sistema tributário mais favorável.</w:t>
      </w:r>
    </w:p>
    <w:p>
      <w:pPr>
        <w:ind w:left="288"/>
      </w:pPr>
      <w:r>
        <w:rPr>
          <w:b/>
          <w:color w:val="003CA0"/>
          <w:sz w:val="16"/>
        </w:rPr>
        <w:t>[RE 268.586, rel. min. Marco Aurélio, j. 24-5-2005, 1ª T, DJ de 18-11-2005.]</w:t>
      </w:r>
    </w:p>
    <w:p>
      <w:pPr>
        <w:ind w:left="288"/>
      </w:pPr>
      <w:r>
        <w:rPr>
          <w:color w:val="8C8C8C"/>
          <w:sz w:val="12"/>
        </w:rPr>
        <w:t>cf-art-155-par-2-inc-IX</w:t>
      </w:r>
      <w:r>
        <w:rPr>
          <w:color w:val="003CA0"/>
          <w:sz w:val="12"/>
        </w:rPr>
        <w:t xml:space="preserve"> | AI 816.070</w:t>
      </w:r>
      <w:r>
        <w:rPr>
          <w:color w:val="003CA0"/>
          <w:sz w:val="12"/>
        </w:rPr>
        <w:t xml:space="preserve"> | rel. Ricardo Lewandowski</w:t>
      </w:r>
    </w:p>
    <w:p>
      <w:pPr>
        <w:ind w:left="288"/>
      </w:pPr>
      <w:r>
        <w:rPr>
          <w:color w:val="1E1E1E"/>
          <w:sz w:val="18"/>
        </w:rPr>
        <w:t>= AI 816.070 AgR, rel. min. Ricardo Lewandowski, j. 2-12-2010, 1ª T, DJE de 1º-2-2011 ICMS incidente sobre mercadoria importada. Momento da ocorrência do fato gerador. CF, art. 155, § 2º, IX, a. O Plenário do STF, no julgamento do RE 193.817/RJ, em 23-10-1996, por maioria de votos, firmou orientação segundo a qual, em se cuidando de mercadoria importada, o fato gerador do ICMS não ocorre com a entrada no estabelecimento do importador, mas, sim, quando do recebimento da mercadoria, ao ensejo do respectivo desembaraço aduaneiro.</w:t>
      </w:r>
    </w:p>
    <w:p>
      <w:pPr>
        <w:ind w:left="288"/>
      </w:pPr>
      <w:r>
        <w:rPr>
          <w:b/>
          <w:color w:val="003CA0"/>
          <w:sz w:val="16"/>
        </w:rPr>
        <w:t>[RE 224.277, rel. min. Néri da Silveira, j. 25-5-1998, 2ª T, DJ de 26-6-1998.]</w:t>
      </w:r>
    </w:p>
    <w:p>
      <w:pPr>
        <w:ind w:left="288"/>
      </w:pPr>
      <w:r>
        <w:rPr>
          <w:color w:val="8C8C8C"/>
          <w:sz w:val="12"/>
        </w:rPr>
        <w:t>cf-art-155-par-2-inc-IX</w:t>
      </w:r>
      <w:r>
        <w:rPr>
          <w:color w:val="003CA0"/>
          <w:sz w:val="12"/>
        </w:rPr>
        <w:t xml:space="preserve"> | RE 299.079</w:t>
      </w:r>
      <w:r>
        <w:rPr>
          <w:color w:val="003CA0"/>
          <w:sz w:val="12"/>
        </w:rPr>
        <w:t xml:space="preserve"> | rel. Ayres Britto</w:t>
      </w:r>
    </w:p>
    <w:p>
      <w:pPr>
        <w:ind w:left="288"/>
      </w:pPr>
      <w:r>
        <w:rPr>
          <w:color w:val="1E1E1E"/>
          <w:sz w:val="18"/>
        </w:rPr>
        <w:t>Vide RE 299.079, rel. min. Ayres Britto, j. 30-6-2004, 1ª T, DJ de 16-6-2006</w:t>
      </w:r>
    </w:p>
    <w:p>
      <w:pPr>
        <w:ind w:left="144"/>
      </w:pPr>
      <w:r>
        <w:rPr>
          <w:b/>
          <w:color w:val="B45A00"/>
          <w:sz w:val="16"/>
        </w:rPr>
        <w:t>REPERCUSSAO GERAL</w:t>
      </w:r>
    </w:p>
    <w:p>
      <w:pPr>
        <w:ind w:left="288"/>
      </w:pPr>
      <w:r>
        <w:rPr>
          <w:color w:val="8C8C8C"/>
          <w:sz w:val="12"/>
        </w:rPr>
        <w:t>cf-art-155-par-2-inc-IX-ali-b</w:t>
      </w:r>
      <w:r>
        <w:rPr>
          <w:color w:val="003CA0"/>
          <w:sz w:val="12"/>
        </w:rPr>
        <w:t xml:space="preserve"> | RE 605.552</w:t>
      </w:r>
      <w:r>
        <w:rPr>
          <w:color w:val="003CA0"/>
          <w:sz w:val="12"/>
        </w:rPr>
        <w:t xml:space="preserve"> | rel. Dias Toffoli</w:t>
      </w:r>
    </w:p>
    <w:p>
      <w:pPr>
        <w:ind w:left="288"/>
      </w:pPr>
      <w:r>
        <w:rPr>
          <w:color w:val="1E1E1E"/>
          <w:sz w:val="18"/>
        </w:rPr>
        <w:t>A Corte tradicionalmente resolve as ambiguidades entre o ISS e o ICMS com base em critério objetivo: incide apenas o primeiro se o serviço está definido por lei complementar como tributável por tal imposto, ainda que sua prestação envolva a utilização ou o fornecimento de bens, ressalvadas as exceções previstas na lei; ou incide apenas o segundo se a operação de circulação de mercadorias envolver serviço não definido por aquela lei complementar. O critério objetivo pode ser afastado se o legislador complementar definir como tributáveis pelo ISS serviços que, ontologicamente, não são serviços o</w:t>
      </w:r>
    </w:p>
    <w:p>
      <w:pPr>
        <w:ind w:left="288"/>
      </w:pPr>
      <w:r>
        <w:rPr>
          <w:b/>
          <w:color w:val="003CA0"/>
          <w:sz w:val="16"/>
        </w:rPr>
        <w:t>[RE 605.552, rel. min. Dias Toffoli, j. 5-8-2020, P, DJE de 6-10-2020, Tema 379, com mérito julgado.]</w:t>
      </w:r>
    </w:p>
    <w:p>
      <w:pPr>
        <w:ind w:left="144"/>
      </w:pPr>
      <w:r>
        <w:rPr>
          <w:b/>
          <w:color w:val="B45A00"/>
          <w:sz w:val="16"/>
        </w:rPr>
        <w:t>SUMULA VINCULANTE</w:t>
      </w:r>
    </w:p>
    <w:p>
      <w:pPr>
        <w:ind w:left="288"/>
      </w:pPr>
      <w:r>
        <w:rPr>
          <w:color w:val="8C8C8C"/>
          <w:sz w:val="12"/>
        </w:rPr>
        <w:t>cf-art-155-par-2-inc-X</w:t>
      </w:r>
    </w:p>
    <w:p>
      <w:pPr>
        <w:ind w:left="288"/>
      </w:pPr>
      <w:r>
        <w:rPr>
          <w:color w:val="1E1E1E"/>
          <w:sz w:val="18"/>
        </w:rPr>
        <w:t>O ICMS não incide sobre alienação de salvados de sinistro pelas seguradoras.</w:t>
      </w:r>
    </w:p>
    <w:p>
      <w:pPr>
        <w:ind w:left="288"/>
      </w:pPr>
      <w:r>
        <w:rPr>
          <w:b/>
          <w:color w:val="003CA0"/>
          <w:sz w:val="16"/>
        </w:rPr>
        <w:t>[Súmula Vinculante 32.]</w:t>
      </w:r>
    </w:p>
    <w:p>
      <w:pPr>
        <w:ind w:left="144"/>
      </w:pPr>
      <w:r>
        <w:rPr>
          <w:b/>
          <w:color w:val="B45A00"/>
          <w:sz w:val="16"/>
        </w:rPr>
        <w:t>REPERCUSSAO GERAL</w:t>
      </w:r>
    </w:p>
    <w:p>
      <w:pPr>
        <w:ind w:left="288"/>
      </w:pPr>
      <w:r>
        <w:rPr>
          <w:color w:val="8C8C8C"/>
          <w:sz w:val="12"/>
        </w:rPr>
        <w:t>cf-art-155-par-2-inc-X</w:t>
      </w:r>
      <w:r>
        <w:rPr>
          <w:color w:val="003CA0"/>
          <w:sz w:val="12"/>
        </w:rPr>
        <w:t xml:space="preserve"> | RE 704.815</w:t>
      </w:r>
      <w:r>
        <w:rPr>
          <w:color w:val="003CA0"/>
          <w:sz w:val="12"/>
        </w:rPr>
        <w:t xml:space="preserve"> | rel. Dias Toffoli</w:t>
      </w:r>
    </w:p>
    <w:p>
      <w:pPr>
        <w:ind w:left="288"/>
      </w:pPr>
      <w:r>
        <w:rPr>
          <w:color w:val="1E1E1E"/>
          <w:sz w:val="18"/>
        </w:rPr>
        <w:t>A imunidade a que se refere o art. 155, § 2º, X, a, CF/88, não alcança, nas operações de exportação, o aproveitamento de créditos de ICMS decorrentes de aquisições de bens destinados ao uso e consumo da empresa, que depende de lei complementar para sua efetivação.</w:t>
        <w:br/>
        <w:t>[RE 704.815, rel. min. Dias Toffoli, red. do ac. min. Gilmar Mendes, j. 8-11-2023, P, DJE de 12-12-2023, Tema 633, com mérito julgado.] a) sobre operações que destinem mercadorias para o exterior, nem sobre serviços prestados a destinatários no exterior, assegurada a manutenção e o aproveitamento do montante do imposto cobrado nas op</w:t>
      </w:r>
    </w:p>
    <w:p>
      <w:pPr>
        <w:ind w:left="144"/>
      </w:pPr>
      <w:r>
        <w:rPr>
          <w:b/>
          <w:color w:val="B45A00"/>
          <w:sz w:val="16"/>
        </w:rPr>
        <w:t>CONTROLE CONCENTRADO</w:t>
      </w:r>
    </w:p>
    <w:p>
      <w:pPr>
        <w:ind w:left="288"/>
      </w:pPr>
      <w:r>
        <w:rPr>
          <w:color w:val="8C8C8C"/>
          <w:sz w:val="12"/>
        </w:rPr>
        <w:t>cf-art-155-par-2-inc-X</w:t>
      </w:r>
      <w:r>
        <w:rPr>
          <w:color w:val="003CA0"/>
          <w:sz w:val="12"/>
        </w:rPr>
        <w:t xml:space="preserve"> | ADI 6.365</w:t>
      </w:r>
      <w:r>
        <w:rPr>
          <w:color w:val="003CA0"/>
          <w:sz w:val="12"/>
        </w:rPr>
        <w:t xml:space="preserve"> | rel. Luiz Fux</w:t>
      </w:r>
    </w:p>
    <w:p>
      <w:pPr>
        <w:ind w:left="288"/>
      </w:pPr>
      <w:r>
        <w:rPr>
          <w:color w:val="1E1E1E"/>
          <w:sz w:val="18"/>
        </w:rPr>
        <w:t>Artigos 6º, VI, 7º (redação original e aquela dada pela Lei Estadual 4.029/2022) e 8º da Lei 3.617/2019 do Estado do Tocantins. Contribuição ao Fundo Estadual do Transporte - FET incidente sobre o valor das operações com produtos de origem vegetal, mineral ou animal, inclusive os destinados à exportação. (...) In casu, o recolhimento criado pelo Estado do Tocantins apresenta características de imposto, pois incide sobre situação reveladora de riqueza relacionada exclusivamente aos contribuintes, não vinculada a qualquer atividade estatal. Ademais, por possuir fato gerador (operações de saída d</w:t>
      </w:r>
    </w:p>
    <w:p>
      <w:pPr>
        <w:ind w:left="288"/>
      </w:pPr>
      <w:r>
        <w:rPr>
          <w:b/>
          <w:color w:val="003CA0"/>
          <w:sz w:val="16"/>
        </w:rPr>
        <w:t>[ADI 6.365, rel. min. Luiz Fux, j. 14.02.2024, P, DJE de 22.2.2024.]</w:t>
      </w:r>
    </w:p>
    <w:p>
      <w:pPr>
        <w:ind w:left="288"/>
      </w:pPr>
      <w:r>
        <w:rPr>
          <w:color w:val="8C8C8C"/>
          <w:sz w:val="12"/>
        </w:rPr>
        <w:t>cf-art-155-par-2-inc-X</w:t>
      </w:r>
      <w:r>
        <w:rPr>
          <w:color w:val="003CA0"/>
          <w:sz w:val="12"/>
        </w:rPr>
        <w:t xml:space="preserve"> | ADI 7.036</w:t>
      </w:r>
      <w:r>
        <w:rPr>
          <w:color w:val="003CA0"/>
          <w:sz w:val="12"/>
        </w:rPr>
        <w:t xml:space="preserve"> | rel. Nunes Marques</w:t>
      </w:r>
    </w:p>
    <w:p>
      <w:pPr>
        <w:ind w:left="288"/>
      </w:pPr>
      <w:r>
        <w:rPr>
          <w:color w:val="1E1E1E"/>
          <w:sz w:val="18"/>
        </w:rPr>
        <w:t>No que diz respeito ao ICMS, são imunes as operações que destinem mercadorias para o exterior (art. 155, § 2º, inciso X, alínea a, da Constituição Federal), de modo que inexiste competência dos estados ou do Distrito Federal que ampare a instituição ou a cobrança do ICMS na operação interestadual de saída do EAC ou do B100 de um estado ou do Distrito Federal para distribuidora de combustíveis localizada na Zona Franca de Manaus. Contrariam esse entendimento os §§ 2º e 3º da cláusula vigésima primeira do Convênio ICMS nº 110/07, uma vez que ensejam o dever de se pagar o ICMS relativamente a tal</w:t>
      </w:r>
    </w:p>
    <w:p>
      <w:pPr>
        <w:ind w:left="288"/>
      </w:pPr>
      <w:r>
        <w:rPr>
          <w:b/>
          <w:color w:val="003CA0"/>
          <w:sz w:val="16"/>
        </w:rPr>
        <w:t>[ADI 7.036, rel. min. Nunes Marques, red. do ac. min. Dias Toffoli, j. 1º-3-2023, P, DJE de 22-3-2023.]</w:t>
      </w:r>
    </w:p>
    <w:p>
      <w:pPr>
        <w:ind w:left="144"/>
      </w:pPr>
      <w:r>
        <w:rPr>
          <w:b/>
          <w:color w:val="B45A00"/>
          <w:sz w:val="16"/>
        </w:rPr>
        <w:t>REPERCUSSAO GERAL</w:t>
      </w:r>
    </w:p>
    <w:p>
      <w:pPr>
        <w:ind w:left="288"/>
      </w:pPr>
      <w:r>
        <w:rPr>
          <w:color w:val="8C8C8C"/>
          <w:sz w:val="12"/>
        </w:rPr>
        <w:t>cf-art-155-par-2-inc-X</w:t>
      </w:r>
      <w:r>
        <w:rPr>
          <w:color w:val="003CA0"/>
          <w:sz w:val="12"/>
        </w:rPr>
        <w:t xml:space="preserve"> | RE 754.917</w:t>
      </w:r>
      <w:r>
        <w:rPr>
          <w:color w:val="003CA0"/>
          <w:sz w:val="12"/>
        </w:rPr>
        <w:t xml:space="preserve"> | rel. Dias Toffoli</w:t>
      </w:r>
    </w:p>
    <w:p>
      <w:pPr>
        <w:ind w:left="288"/>
      </w:pPr>
      <w:r>
        <w:rPr>
          <w:color w:val="1E1E1E"/>
          <w:sz w:val="18"/>
        </w:rPr>
        <w:t>A imunidade a que se refere o art. 155, § 2º, X, a, da CF não alcança operações ou prestações anteriores à operação de exportação.</w:t>
      </w:r>
    </w:p>
    <w:p>
      <w:pPr>
        <w:ind w:left="288"/>
      </w:pPr>
      <w:r>
        <w:rPr>
          <w:b/>
          <w:color w:val="003CA0"/>
          <w:sz w:val="16"/>
        </w:rPr>
        <w:t>[RE 754.917, rel. min. Dias Toffoli, j. 5-8-2020, P, DJE de 6-10-2020, Tema 475, com mérito julgado.]</w:t>
      </w:r>
    </w:p>
    <w:p>
      <w:pPr>
        <w:ind w:left="288"/>
      </w:pPr>
      <w:r>
        <w:rPr>
          <w:color w:val="8C8C8C"/>
          <w:sz w:val="12"/>
        </w:rPr>
        <w:t>cf-art-155-par-2-inc-X</w:t>
      </w:r>
      <w:r>
        <w:rPr>
          <w:color w:val="003CA0"/>
          <w:sz w:val="12"/>
        </w:rPr>
        <w:t xml:space="preserve"> | RE 606.107</w:t>
      </w:r>
      <w:r>
        <w:rPr>
          <w:color w:val="003CA0"/>
          <w:sz w:val="12"/>
        </w:rPr>
        <w:t xml:space="preserve"> | rel. Rosa Weber</w:t>
      </w:r>
    </w:p>
    <w:p>
      <w:pPr>
        <w:ind w:left="288"/>
      </w:pPr>
      <w:r>
        <w:rPr>
          <w:color w:val="1E1E1E"/>
          <w:sz w:val="18"/>
        </w:rPr>
        <w:t xml:space="preserve">Assenta esta Suprema Corte a tese da inconstitucionalidade da incidência da contribuição ao PIS e da Cofins não cumulativas sobre os valores auferidos por empresa exportadora em razão da transferência a terceiros de créditos de ICMS. </w:t>
        <w:br/>
        <w:t>[RE 606.107, rel. min. Rosa Weber, j. 22-5-2013, P, DJE de 25-11-2013, Tema 283, com mérito julgado.]</w:t>
      </w:r>
    </w:p>
    <w:p>
      <w:pPr>
        <w:ind w:left="144"/>
      </w:pPr>
      <w:r>
        <w:rPr>
          <w:b/>
          <w:color w:val="B45A00"/>
          <w:sz w:val="16"/>
        </w:rPr>
        <w:t>JULGADOS CORRELATOS</w:t>
      </w:r>
    </w:p>
    <w:p>
      <w:pPr>
        <w:ind w:left="288"/>
      </w:pPr>
      <w:r>
        <w:rPr>
          <w:color w:val="8C8C8C"/>
          <w:sz w:val="12"/>
        </w:rPr>
        <w:t>cf-art-155-par-2-inc-X</w:t>
      </w:r>
      <w:r>
        <w:rPr>
          <w:color w:val="003CA0"/>
          <w:sz w:val="12"/>
        </w:rPr>
        <w:t xml:space="preserve"> | RE 1.393.804</w:t>
      </w:r>
      <w:r>
        <w:rPr>
          <w:color w:val="003CA0"/>
          <w:sz w:val="12"/>
        </w:rPr>
        <w:t xml:space="preserve"> | rel. Roberto Barroso</w:t>
      </w:r>
    </w:p>
    <w:p>
      <w:pPr>
        <w:ind w:left="288"/>
      </w:pPr>
      <w:r>
        <w:rPr>
          <w:color w:val="1E1E1E"/>
          <w:sz w:val="18"/>
        </w:rPr>
        <w:t>É legítima a declaração segregada das receitas decorrentes da exportação de serviços para a Zona Franca de Manaus, como forma de possibilitar a eficaz aplicação das regras de imunidade alocadas no texto constitucional, notadamente as previstas nos arts. 149, § 2º, I; 153, IV, § 3º, III; e 155, II, § 2º, X, a. Permitir a tributação sobre operações imunes, mesmo na sistemática do Simples, seria equivocado, pois a Lei Complementar nº 123/2006 não pode se sobrepor às normas constitucionais imunizantes.</w:t>
      </w:r>
    </w:p>
    <w:p>
      <w:pPr>
        <w:ind w:left="288"/>
      </w:pPr>
      <w:r>
        <w:rPr>
          <w:b/>
          <w:color w:val="003CA0"/>
          <w:sz w:val="16"/>
        </w:rPr>
        <w:t>[RE 1.393.804 AgR, rel. min. Roberto Barroso, j. 5-12-2022, 1ª T, DJE de 7-12-2022.]</w:t>
      </w:r>
    </w:p>
    <w:p>
      <w:pPr>
        <w:ind w:left="288"/>
      </w:pPr>
      <w:r>
        <w:rPr>
          <w:color w:val="8C8C8C"/>
          <w:sz w:val="12"/>
        </w:rPr>
        <w:t>cf-art-155-par-2-inc-X</w:t>
      </w:r>
      <w:r>
        <w:rPr>
          <w:color w:val="003CA0"/>
          <w:sz w:val="12"/>
        </w:rPr>
        <w:t xml:space="preserve"> | RE 248.499</w:t>
      </w:r>
      <w:r>
        <w:rPr>
          <w:color w:val="003CA0"/>
          <w:sz w:val="12"/>
        </w:rPr>
        <w:t xml:space="preserve"> | rel. Cezar Peluso</w:t>
      </w:r>
    </w:p>
    <w:p>
      <w:pPr>
        <w:ind w:left="288"/>
      </w:pPr>
      <w:r>
        <w:rPr>
          <w:color w:val="1E1E1E"/>
          <w:sz w:val="18"/>
        </w:rPr>
        <w:t>A imunidade do ICMS relativa à exportação de produtos industrializados abrange todas as operações que contribuíram para a exportação, independentemente da natureza da moeda empregada.</w:t>
        <w:br/>
        <w:t>[RE 248.499, rel. min. Cezar Peluso, j. 27-10-2009, 2ª T, DJE de 20-11-2009.] A CF, ao conceder imunidade tributária, relativamente ao ICMS, aos produtos industrializados destinados ao exterior, situou-se, apenas, numa das hipóteses de incidência do citado imposto: operações que destinem ao exterior tais produtos, excluídos os semielaborados definidos em lei complementar: art. 155, § 2º, X, a. Deixou expresso a C</w:t>
      </w:r>
    </w:p>
    <w:p>
      <w:pPr>
        <w:ind w:left="288"/>
      </w:pPr>
      <w:r>
        <w:rPr>
          <w:b/>
          <w:color w:val="003CA0"/>
          <w:sz w:val="16"/>
        </w:rPr>
        <w:t>[RE 212.637, rel. min. Carlos Velloso, j. 25-5-1999, 2ª T, DJ de 17-9-1999.]</w:t>
      </w:r>
    </w:p>
    <w:p>
      <w:pPr>
        <w:ind w:left="288"/>
      </w:pPr>
      <w:r>
        <w:rPr>
          <w:color w:val="8C8C8C"/>
          <w:sz w:val="12"/>
        </w:rPr>
        <w:t>cf-art-155-par-2-inc-X</w:t>
      </w:r>
      <w:r>
        <w:rPr>
          <w:color w:val="003CA0"/>
          <w:sz w:val="12"/>
        </w:rPr>
        <w:t xml:space="preserve"> | RE 205.634</w:t>
      </w:r>
      <w:r>
        <w:rPr>
          <w:color w:val="003CA0"/>
          <w:sz w:val="12"/>
        </w:rPr>
        <w:t xml:space="preserve"> | rel. Maurício Corrêa</w:t>
      </w:r>
    </w:p>
    <w:p>
      <w:pPr>
        <w:ind w:left="288"/>
      </w:pPr>
      <w:r>
        <w:rPr>
          <w:color w:val="1E1E1E"/>
          <w:sz w:val="18"/>
        </w:rPr>
        <w:t>A CF de 1988, ao revés, foi expressa ao excluir os semielaborados da não incidência do ICMS, art. 155, § 2º, X, a, condicionando a incidência da exação à edição de lei complementar que os definisse. Não editada a necessária lei complementar, os Estados e o Distrito Federal, em face da autorização contida no art. 34, § 8º, do ADCT/1988, editaram convênios definindo e conceituando o produto industrializado semielaborado, para a incidência do ICMS na sua exportação.</w:t>
      </w:r>
    </w:p>
    <w:p>
      <w:pPr>
        <w:ind w:left="288"/>
      </w:pPr>
      <w:r>
        <w:rPr>
          <w:b/>
          <w:color w:val="003CA0"/>
          <w:sz w:val="16"/>
        </w:rPr>
        <w:t>[RE 205.634, rel. min. Maurício Corrêa, j. 7-8-1997, P, DJ de 15-12-2000.]</w:t>
      </w:r>
    </w:p>
    <w:p>
      <w:pPr>
        <w:ind w:left="288"/>
      </w:pPr>
      <w:r>
        <w:rPr>
          <w:color w:val="8C8C8C"/>
          <w:sz w:val="12"/>
        </w:rPr>
        <w:t>cf-art-155-par-2-inc-X-ali-b</w:t>
      </w:r>
      <w:r>
        <w:rPr>
          <w:color w:val="003CA0"/>
          <w:sz w:val="12"/>
        </w:rPr>
        <w:t xml:space="preserve"> | ADI 6.250</w:t>
      </w:r>
      <w:r>
        <w:rPr>
          <w:color w:val="003CA0"/>
          <w:sz w:val="12"/>
        </w:rPr>
        <w:t xml:space="preserve"> | rel. Nunes Marques</w:t>
      </w:r>
    </w:p>
    <w:p>
      <w:pPr>
        <w:ind w:left="288"/>
      </w:pPr>
      <w:r>
        <w:rPr>
          <w:color w:val="1E1E1E"/>
          <w:sz w:val="18"/>
        </w:rPr>
        <w:t>É inadmissível a pretensão de incidência de ICMS sobre a extração de petróleo a partir de interpretação conforme à Constituição do art. 155, § 2º, X, “b”, da CF, porquanto representaria criação de nova hipótese de incidência tributária, o que refoge às atribuições do Poder Judiciário.</w:t>
      </w:r>
    </w:p>
    <w:p>
      <w:pPr>
        <w:ind w:left="288"/>
      </w:pPr>
      <w:r>
        <w:rPr>
          <w:b/>
          <w:color w:val="003CA0"/>
          <w:sz w:val="16"/>
        </w:rPr>
        <w:t>[ADI 6.250, rel. min. Nunes Marques, j. 29.09.2025, P, DJE de 03.10.2025.]</w:t>
      </w:r>
    </w:p>
    <w:p>
      <w:pPr>
        <w:ind w:left="144"/>
      </w:pPr>
      <w:r>
        <w:rPr>
          <w:b/>
          <w:color w:val="B45A00"/>
          <w:sz w:val="16"/>
        </w:rPr>
        <w:t>CONTROLE CONCENTRADO</w:t>
      </w:r>
    </w:p>
    <w:p>
      <w:pPr>
        <w:ind w:left="288"/>
      </w:pPr>
      <w:r>
        <w:rPr>
          <w:color w:val="8C8C8C"/>
          <w:sz w:val="12"/>
        </w:rPr>
        <w:t>cf-art-155-par-2-inc-X-ali-b</w:t>
      </w:r>
      <w:r>
        <w:rPr>
          <w:color w:val="003CA0"/>
          <w:sz w:val="12"/>
        </w:rPr>
        <w:t xml:space="preserve"> | ADI 3.103</w:t>
      </w:r>
      <w:r>
        <w:rPr>
          <w:color w:val="003CA0"/>
          <w:sz w:val="12"/>
        </w:rPr>
        <w:t xml:space="preserve"> | rel. Cezar Peluso</w:t>
      </w:r>
    </w:p>
    <w:p>
      <w:pPr>
        <w:ind w:left="288"/>
      </w:pPr>
      <w:r>
        <w:rPr>
          <w:color w:val="1E1E1E"/>
          <w:sz w:val="18"/>
        </w:rPr>
        <w:t>ICMS. Operações interestaduais com Gás Liquefeito de Petróleo (GLP), derivado de gás natural tributado na forma do Convênio ICMS 3/1999. Ato normativo. Protocolo 33/2003. Cláusulas primeira e segunda. Prescrição de deveres instrumentais, ou obrigações acessórias. Subsistência do regime de substituição tributária. Inexistência de ofensa à Constituição. Ação julgada improcedente. São constitucionais as cláusulas primeira e segunda do Protocolo 33/2003, que prescrevem deveres instrumentais, ou obrigações acessórias, nas operações com GLP sujeitas à substituição tributária prevista no Convênio ICM</w:t>
      </w:r>
    </w:p>
    <w:p>
      <w:pPr>
        <w:ind w:left="288"/>
      </w:pPr>
      <w:r>
        <w:rPr>
          <w:b/>
          <w:color w:val="003CA0"/>
          <w:sz w:val="16"/>
        </w:rPr>
        <w:t>[ADI 3.103, rel. min. Cezar Peluso, j. 1º-6-2006, P, DJ de 25-8-2006.]</w:t>
      </w:r>
    </w:p>
    <w:p>
      <w:pPr>
        <w:ind w:left="144"/>
      </w:pPr>
      <w:r>
        <w:rPr>
          <w:b/>
          <w:color w:val="B45A00"/>
          <w:sz w:val="16"/>
        </w:rPr>
        <w:t>REPERCUSSAO GERAL</w:t>
      </w:r>
    </w:p>
    <w:p>
      <w:pPr>
        <w:ind w:left="288"/>
      </w:pPr>
      <w:r>
        <w:rPr>
          <w:color w:val="8C8C8C"/>
          <w:sz w:val="12"/>
        </w:rPr>
        <w:t>cf-art-155-par-2-inc-X-ali-b</w:t>
      </w:r>
      <w:r>
        <w:rPr>
          <w:color w:val="003CA0"/>
          <w:sz w:val="12"/>
        </w:rPr>
        <w:t xml:space="preserve"> | RE 198088</w:t>
      </w:r>
    </w:p>
    <w:p>
      <w:pPr>
        <w:ind w:left="288"/>
      </w:pPr>
      <w:r>
        <w:rPr>
          <w:color w:val="1E1E1E"/>
          <w:sz w:val="18"/>
        </w:rPr>
        <w:t>De acordo com o artigo 20, §1º, da Constituição Federal, é assegurada à União (EC 102/2019), aos Estados, ao Distrito Federal e aos Municípios a participação no resultado da exploração, no respectivo território, de petróleo ou gás natural, de recursos hídricos para fins de geração de energia elétrica e de outros recursos minerais. Somente os Estados de destino (Estado em que situado o adquirente) podem instituir ICMS sobre as operações interestaduais de energia elétrica, nos termos do artigo 155, §2º, X, b, da Constituição Federal. Precedentes: RE 198088, Relator: Min. Ilmar Galvão, Tribunal P</w:t>
      </w:r>
    </w:p>
    <w:p>
      <w:pPr>
        <w:ind w:left="144"/>
      </w:pPr>
      <w:r>
        <w:rPr>
          <w:b/>
          <w:color w:val="B45A00"/>
          <w:sz w:val="16"/>
        </w:rPr>
        <w:t>JULGADOS CORRELATOS</w:t>
      </w:r>
    </w:p>
    <w:p>
      <w:pPr>
        <w:ind w:left="288"/>
      </w:pPr>
      <w:r>
        <w:rPr>
          <w:color w:val="8C8C8C"/>
          <w:sz w:val="12"/>
        </w:rPr>
        <w:t>cf-art-155-par-2-inc-X-ali-b</w:t>
      </w:r>
      <w:r>
        <w:rPr>
          <w:color w:val="003CA0"/>
          <w:sz w:val="12"/>
        </w:rPr>
        <w:t xml:space="preserve"> | RE 358.956</w:t>
      </w:r>
    </w:p>
    <w:p>
      <w:pPr>
        <w:ind w:left="288"/>
      </w:pPr>
      <w:r>
        <w:rPr>
          <w:color w:val="1E1E1E"/>
          <w:sz w:val="18"/>
        </w:rPr>
        <w:t>Recurso extraordinário. Decisão do Tribunal de Justiça do Estado do Rio de Janeiro que reconheceu a imunidade prevista no art. 155, § 2º, X, b, da CF. Incidência do ICMS sobre a operação de bombeamento e tancagem de combustível. Não comprovação de venda do produto em outros Estados. Não caracterização da operação tancagem como operação de destinação. Afronta ao art. 155, § 2º, X, b, CF/1988 por má aplicação.</w:t>
      </w:r>
    </w:p>
    <w:p>
      <w:pPr>
        <w:ind w:left="288"/>
      </w:pPr>
      <w:r>
        <w:rPr>
          <w:b/>
          <w:color w:val="003CA0"/>
          <w:sz w:val="16"/>
        </w:rPr>
        <w:t>[RE 358.956, red. do ac. min. Gilmar Mendes, j. 20-9-2005, 2ª T, DJE de 27-6-2008.]</w:t>
      </w:r>
    </w:p>
    <w:p>
      <w:pPr>
        <w:ind w:left="288"/>
      </w:pPr>
      <w:r>
        <w:rPr>
          <w:color w:val="8C8C8C"/>
          <w:sz w:val="12"/>
        </w:rPr>
        <w:t>cf-art-155-par-2-inc-X-ali-d</w:t>
      </w:r>
    </w:p>
    <w:p>
      <w:pPr>
        <w:ind w:left="288"/>
      </w:pPr>
      <w:r>
        <w:rPr>
          <w:color w:val="1E1E1E"/>
          <w:sz w:val="18"/>
        </w:rPr>
        <w:t>XI - não compreenderá, em sua base de cálculo, o montante do imposto sobre produtos industrializados, quando a operação, realizada entre contribuintes e relativa a produto destinado à industrialização ou à comercialização, configure fato gerador dos dois impostos;</w:t>
      </w:r>
    </w:p>
    <w:p>
      <w:pPr>
        <w:ind w:left="288"/>
      </w:pPr>
      <w:r>
        <w:rPr>
          <w:color w:val="8C8C8C"/>
          <w:sz w:val="12"/>
        </w:rPr>
        <w:t>cf-art-155-par-2-inc-X-ali-d</w:t>
      </w:r>
      <w:r>
        <w:rPr>
          <w:color w:val="003CA0"/>
          <w:sz w:val="12"/>
        </w:rPr>
        <w:t xml:space="preserve"> | RE 1.459.235</w:t>
      </w:r>
      <w:r>
        <w:rPr>
          <w:color w:val="003CA0"/>
          <w:sz w:val="12"/>
        </w:rPr>
        <w:t xml:space="preserve"> | rel. Edson Fachin</w:t>
      </w:r>
    </w:p>
    <w:p>
      <w:pPr>
        <w:ind w:left="288"/>
      </w:pPr>
      <w:r>
        <w:rPr>
          <w:color w:val="1E1E1E"/>
          <w:sz w:val="18"/>
        </w:rPr>
        <w:t>A exclusão do IPI da base de cálculo do ICMS prevista no art. 155, § 2º, XI, da Constituição não se aplica as operações submetidas à sistemática da substituição tributária. Esse entendimento se verifica mesmo nos casos em que a operação principal envolve contribuintes de ambos os impostos, tendo em conta que haverá operação substituída que se dá com não contribuinte ou consumidor final.</w:t>
        <w:br/>
        <w:t>[RE 1.459.235 AgR, rel. min. Edson Fachin, j. 07.08.2024, 2ª T, DJE de 15.08.2024.] Não inclusão, na base de cálculo do ICMS, do IPI, quando a operação, realizada entre contribuintes e relativa a produtos desti</w:t>
      </w:r>
    </w:p>
    <w:p>
      <w:pPr>
        <w:ind w:left="144"/>
      </w:pPr>
      <w:r>
        <w:rPr>
          <w:b/>
          <w:color w:val="B45A00"/>
          <w:sz w:val="16"/>
        </w:rPr>
        <w:t>CONTROLE CONCENTRADO</w:t>
      </w:r>
    </w:p>
    <w:p>
      <w:pPr>
        <w:ind w:left="288"/>
      </w:pPr>
      <w:r>
        <w:rPr>
          <w:color w:val="8C8C8C"/>
          <w:sz w:val="12"/>
        </w:rPr>
        <w:t>cf-art-155-par-2-inc-XII</w:t>
      </w:r>
      <w:r>
        <w:rPr>
          <w:color w:val="003CA0"/>
          <w:sz w:val="12"/>
        </w:rPr>
        <w:t xml:space="preserve"> | ADI 1.945</w:t>
      </w:r>
    </w:p>
    <w:p>
      <w:pPr>
        <w:ind w:left="288"/>
      </w:pPr>
      <w:r>
        <w:rPr>
          <w:color w:val="1E1E1E"/>
          <w:sz w:val="18"/>
        </w:rPr>
        <w:t>Ação direta de inconstitucionalidade. Direito tributário. ICMS. Lei estadual 7.098, de 30-12-1998, do Estado de Mato Grosso. Inconstitucionalidade formal. Matéria reservada à disciplina de lei complementar. Inexistência. Lei complementar federal (não estadual) é a exigida pela Constituição (arts. 146, III, e 155, § 2º, XII) como elo indispensável entre os princípios nela contidos e as normas de direito local.</w:t>
      </w:r>
    </w:p>
    <w:p>
      <w:pPr>
        <w:ind w:left="288"/>
      </w:pPr>
      <w:r>
        <w:rPr>
          <w:b/>
          <w:color w:val="003CA0"/>
          <w:sz w:val="16"/>
        </w:rPr>
        <w:t>[ADI 1.945 MC, red. do ac. min. Gilmar Mendes, j. 26-5-2010, P, DJE de 14-3-2011.]</w:t>
      </w:r>
    </w:p>
    <w:p>
      <w:pPr>
        <w:ind w:left="288"/>
      </w:pPr>
      <w:r>
        <w:rPr>
          <w:color w:val="8C8C8C"/>
          <w:sz w:val="12"/>
        </w:rPr>
        <w:t>cf-art-155-par-2-inc-XII</w:t>
      </w:r>
      <w:r>
        <w:rPr>
          <w:color w:val="003CA0"/>
          <w:sz w:val="12"/>
        </w:rPr>
        <w:t xml:space="preserve"> | RE 578.582</w:t>
      </w:r>
      <w:r>
        <w:rPr>
          <w:color w:val="003CA0"/>
          <w:sz w:val="12"/>
        </w:rPr>
        <w:t xml:space="preserve"> | rel. Dias Toffoli</w:t>
      </w:r>
    </w:p>
    <w:p>
      <w:pPr>
        <w:ind w:left="288"/>
      </w:pPr>
      <w:r>
        <w:rPr>
          <w:color w:val="1E1E1E"/>
          <w:sz w:val="18"/>
        </w:rPr>
        <w:t>= RE 578.582 AgR, rel. min. Dias Toffoli, j. 27-11-2012, 1ª T, DJE de 19-12-2012</w:t>
      </w:r>
    </w:p>
    <w:p>
      <w:pPr>
        <w:ind w:left="144"/>
      </w:pPr>
      <w:r>
        <w:rPr>
          <w:b/>
          <w:color w:val="B45A00"/>
          <w:sz w:val="16"/>
        </w:rPr>
        <w:t>REPERCUSSAO GERAL</w:t>
      </w:r>
    </w:p>
    <w:p>
      <w:pPr>
        <w:ind w:left="288"/>
      </w:pPr>
      <w:r>
        <w:rPr>
          <w:color w:val="8C8C8C"/>
          <w:sz w:val="12"/>
        </w:rPr>
        <w:t>cf-art-155-par-2-inc-XII-ali-b</w:t>
      </w:r>
      <w:r>
        <w:rPr>
          <w:color w:val="003CA0"/>
          <w:sz w:val="12"/>
        </w:rPr>
        <w:t xml:space="preserve"> | RE 598.677</w:t>
      </w:r>
      <w:r>
        <w:rPr>
          <w:color w:val="003CA0"/>
          <w:sz w:val="12"/>
        </w:rPr>
        <w:t xml:space="preserve"> | rel. Dias Toffoli</w:t>
      </w:r>
    </w:p>
    <w:p>
      <w:pPr>
        <w:ind w:left="288"/>
      </w:pPr>
      <w:r>
        <w:rPr>
          <w:color w:val="1E1E1E"/>
          <w:sz w:val="18"/>
        </w:rPr>
        <w:t>A antecipação, sem substituição tributária, do pagamento do ICMS para momento anterior à ocorrência do fato gerador necessita de lei em sentido estrito. A substituição tributária progressiva do ICMS reclama previsão em lei complementar federal.</w:t>
      </w:r>
    </w:p>
    <w:p>
      <w:pPr>
        <w:ind w:left="288"/>
      </w:pPr>
      <w:r>
        <w:rPr>
          <w:b/>
          <w:color w:val="003CA0"/>
          <w:sz w:val="16"/>
        </w:rPr>
        <w:t>[RE 598.677, voto do rel. min. Dias Toffoli, j. 29-3-2021, P, DJE de 5-5-2021, Tema 456, com mérito julgado.]</w:t>
      </w:r>
    </w:p>
    <w:p>
      <w:pPr>
        <w:ind w:left="144"/>
      </w:pPr>
      <w:r>
        <w:rPr>
          <w:b/>
          <w:color w:val="B45A00"/>
          <w:sz w:val="16"/>
        </w:rPr>
        <w:t>JULGADOS CORRELATOS</w:t>
      </w:r>
    </w:p>
    <w:p>
      <w:pPr>
        <w:ind w:left="288"/>
      </w:pPr>
      <w:r>
        <w:rPr>
          <w:color w:val="8C8C8C"/>
          <w:sz w:val="12"/>
        </w:rPr>
        <w:t>cf-art-155-par-2-inc-XII-ali-b</w:t>
      </w:r>
      <w:r>
        <w:rPr>
          <w:color w:val="003CA0"/>
          <w:sz w:val="12"/>
        </w:rPr>
        <w:t xml:space="preserve"> | RE 598.606</w:t>
      </w:r>
      <w:r>
        <w:rPr>
          <w:color w:val="003CA0"/>
          <w:sz w:val="12"/>
        </w:rPr>
        <w:t xml:space="preserve"> | rel. Ricardo Lewandowski</w:t>
      </w:r>
    </w:p>
    <w:p>
      <w:pPr>
        <w:ind w:left="288"/>
      </w:pPr>
      <w:r>
        <w:rPr>
          <w:color w:val="1E1E1E"/>
          <w:sz w:val="18"/>
        </w:rPr>
        <w:t>O entendimento desta Corte é no sentido de que, em operações interestaduais, a exigência antecipada do diferencial de alíquotas constitui espécie de substituição tributária e, dessa forma, está sujeita aos requisitos para a adoção desse instituto, entre eles, a previsão em lei.</w:t>
      </w:r>
    </w:p>
    <w:p>
      <w:pPr>
        <w:ind w:left="288"/>
      </w:pPr>
      <w:r>
        <w:rPr>
          <w:b/>
          <w:color w:val="003CA0"/>
          <w:sz w:val="16"/>
        </w:rPr>
        <w:t>[RE 598.606 AgR, rel. min. Ricardo Lewandowski, j. 28-6-2011, 1ª T, DJE de 15-8-2011.]</w:t>
      </w:r>
    </w:p>
    <w:p>
      <w:pPr>
        <w:ind w:left="288"/>
      </w:pPr>
      <w:r>
        <w:rPr>
          <w:color w:val="8C8C8C"/>
          <w:sz w:val="12"/>
        </w:rPr>
        <w:t>cf-art-155-par-2-inc-XII-ali-b</w:t>
      </w:r>
      <w:r>
        <w:rPr>
          <w:color w:val="003CA0"/>
          <w:sz w:val="12"/>
        </w:rPr>
        <w:t xml:space="preserve"> | AI 765.040</w:t>
      </w:r>
      <w:r>
        <w:rPr>
          <w:color w:val="003CA0"/>
          <w:sz w:val="12"/>
        </w:rPr>
        <w:t xml:space="preserve"> | rel. Eros Grau</w:t>
      </w:r>
    </w:p>
    <w:p>
      <w:pPr>
        <w:ind w:left="288"/>
      </w:pPr>
      <w:r>
        <w:rPr>
          <w:color w:val="1E1E1E"/>
          <w:sz w:val="18"/>
        </w:rPr>
        <w:t>O Supremo fixou entendimento no sentido da constitucionalidade do regime de substituição tributária. Entendeu-se que a substituição tributária já tinha previsão no sistema jurídico-tributário brasileiro na vigência do regime constitucional anterior. Na ordem constitucional vigente, a disciplina do instituto decorre tanto do recebimento do DL 406/1968 quanto dos Convênios ICM e ICMS celebrados com fundamento no art. 34, § 8º, do ADCT/1988 até a edição da LC 87/1996.</w:t>
      </w:r>
    </w:p>
    <w:p>
      <w:pPr>
        <w:ind w:left="288"/>
      </w:pPr>
      <w:r>
        <w:rPr>
          <w:b/>
          <w:color w:val="003CA0"/>
          <w:sz w:val="16"/>
        </w:rPr>
        <w:t>[AI 765.040 AgR, rel. min. Eros Grau, j. 27-10-2009, 2ª T, DJE de 20-11-2009.]</w:t>
      </w:r>
    </w:p>
    <w:p>
      <w:pPr>
        <w:ind w:left="288"/>
      </w:pPr>
      <w:r>
        <w:rPr>
          <w:color w:val="8C8C8C"/>
          <w:sz w:val="12"/>
        </w:rPr>
        <w:t>cf-art-155-par-2-inc-XII-ali-b</w:t>
      </w:r>
      <w:r>
        <w:rPr>
          <w:color w:val="003CA0"/>
          <w:sz w:val="12"/>
        </w:rPr>
        <w:t xml:space="preserve"> | RE 428.364</w:t>
      </w:r>
      <w:r>
        <w:rPr>
          <w:color w:val="003CA0"/>
          <w:sz w:val="12"/>
        </w:rPr>
        <w:t xml:space="preserve"> | rel. Ayres Britto</w:t>
      </w:r>
    </w:p>
    <w:p>
      <w:pPr>
        <w:ind w:left="288"/>
      </w:pPr>
      <w:r>
        <w:rPr>
          <w:color w:val="1E1E1E"/>
          <w:sz w:val="18"/>
        </w:rPr>
        <w:t>= RE 428.364 AgR, rel. min. Ayres Britto, j. 13-12-2011, 2ª T, DJE de 23-2-2012 É responsável tributário, por substituição, o industrial, o comerciante ou o prestador de serviço, relativamente ao imposto devido pelas anteriores ou subsequentes saídas de mercadorias ou, ainda, por serviços prestados por qualquer outra categoria de contribuinte. Legitimidade do regime de substituição tributária declarada pelo Pleno deste Tribunal.</w:t>
      </w:r>
    </w:p>
    <w:p>
      <w:pPr>
        <w:ind w:left="288"/>
      </w:pPr>
      <w:r>
        <w:rPr>
          <w:b/>
          <w:color w:val="003CA0"/>
          <w:sz w:val="16"/>
        </w:rPr>
        <w:t>[SS 2.242 AgR, rel. min. Maurício Corrêa, j. 28-4-2004, P, DJ de 21-5-2004.]</w:t>
      </w:r>
    </w:p>
    <w:p>
      <w:pPr>
        <w:ind w:left="288"/>
      </w:pPr>
      <w:r>
        <w:rPr>
          <w:color w:val="8C8C8C"/>
          <w:sz w:val="12"/>
        </w:rPr>
        <w:t>cf-art-155-par-2-inc-XII-ali-b</w:t>
      </w:r>
      <w:r>
        <w:rPr>
          <w:color w:val="003CA0"/>
          <w:sz w:val="12"/>
        </w:rPr>
        <w:t xml:space="preserve"> | RE 213.396</w:t>
      </w:r>
      <w:r>
        <w:rPr>
          <w:color w:val="003CA0"/>
          <w:sz w:val="12"/>
        </w:rPr>
        <w:t xml:space="preserve"> | rel. Ilmar Galvão</w:t>
      </w:r>
    </w:p>
    <w:p>
      <w:pPr>
        <w:ind w:left="288"/>
      </w:pPr>
      <w:r>
        <w:rPr>
          <w:color w:val="1E1E1E"/>
          <w:sz w:val="18"/>
        </w:rPr>
        <w:t>O regime de substituição tributária, referente ao ICM, já se achava previsto no DL 406/1968 (art. 128 do CTN e art. 6º, §§ 3º e 4º, do mencionado decreto-lei), normas recebidas pela Carta de 1988, não se podendo falar, nesse ponto, em omissão legislativa capaz de autorizar o exercício, pelos Estados, por meio do Convênio ICM 66/1988, da competência prevista no art. 34, § 8º, do ADCT/1988. Essa circunstância, entretanto, não inviabiliza o instituto que, relativamente a veículos novos, foi instituído pela Lei paulista 6.374/1989 (dispositivos indicados) e pelo Convênio ICMS 107/1989, destinado n</w:t>
      </w:r>
    </w:p>
    <w:p>
      <w:pPr>
        <w:ind w:left="288"/>
      </w:pPr>
      <w:r>
        <w:rPr>
          <w:b/>
          <w:color w:val="003CA0"/>
          <w:sz w:val="16"/>
        </w:rPr>
        <w:t>[RE 213.396, rel. min. Ilmar Galvão, j. 2-8-1999, P, DJ de 1º-12-2000.]</w:t>
      </w:r>
    </w:p>
    <w:p>
      <w:pPr>
        <w:ind w:left="288"/>
      </w:pPr>
      <w:r>
        <w:rPr>
          <w:color w:val="8C8C8C"/>
          <w:sz w:val="12"/>
        </w:rPr>
        <w:t>cf-art-155-par-2-inc-XII-ali-b</w:t>
      </w:r>
      <w:r>
        <w:rPr>
          <w:color w:val="003CA0"/>
          <w:sz w:val="12"/>
        </w:rPr>
        <w:t xml:space="preserve"> | RE 266.602</w:t>
      </w:r>
      <w:r>
        <w:rPr>
          <w:color w:val="003CA0"/>
          <w:sz w:val="12"/>
        </w:rPr>
        <w:t xml:space="preserve"> | rel. Ellen Gracie</w:t>
      </w:r>
    </w:p>
    <w:p>
      <w:pPr>
        <w:ind w:left="288"/>
      </w:pPr>
      <w:r>
        <w:rPr>
          <w:color w:val="1E1E1E"/>
          <w:sz w:val="18"/>
        </w:rPr>
        <w:t>= RE 266.602, rel. min. Ellen Gracie, j. 14-9-2006, P, DJ de 2-2-2007</w:t>
      </w:r>
    </w:p>
    <w:p>
      <w:pPr>
        <w:ind w:left="144"/>
      </w:pPr>
      <w:r>
        <w:rPr>
          <w:b/>
          <w:color w:val="B45A00"/>
          <w:sz w:val="16"/>
        </w:rPr>
        <w:t>REPERCUSSAO GERAL</w:t>
      </w:r>
    </w:p>
    <w:p>
      <w:pPr>
        <w:ind w:left="288"/>
      </w:pPr>
      <w:r>
        <w:rPr>
          <w:color w:val="8C8C8C"/>
          <w:sz w:val="12"/>
        </w:rPr>
        <w:t>cf-art-155-par-2-inc-XII-ali-c</w:t>
      </w:r>
      <w:r>
        <w:rPr>
          <w:color w:val="003CA0"/>
          <w:sz w:val="12"/>
        </w:rPr>
        <w:t xml:space="preserve"> | RE 601.967</w:t>
      </w:r>
    </w:p>
    <w:p>
      <w:pPr>
        <w:ind w:left="288"/>
      </w:pPr>
      <w:r>
        <w:rPr>
          <w:color w:val="1E1E1E"/>
          <w:sz w:val="18"/>
        </w:rPr>
        <w:t xml:space="preserve">A Constituição Federal trouxe, no artigo 155, §2º, I, a previsão do princípio da não-cumulatividade relativamente ao ICMS e, em seu inciso XII, alínea c, determina que compete à lei complementar regulamentar o regime de compensação do tributo. Dessa forma, embora a Constituição Federal tenha sido expressa sobre o direito de os contribuintes compensarem créditos decorrentes de ICMS, também conferiu às leis complementares a disciplina da questão. O contribuinte apenas poderá usufruir dos créditos de ICMS quando houver autorização da legislação complementar. Logo, o diferimento da compensação de </w:t>
      </w:r>
    </w:p>
    <w:p>
      <w:pPr>
        <w:ind w:left="144"/>
      </w:pPr>
      <w:r>
        <w:rPr>
          <w:b/>
          <w:color w:val="B45A00"/>
          <w:sz w:val="16"/>
        </w:rPr>
        <w:t>CONTROLE CONCENTRADO</w:t>
      </w:r>
    </w:p>
    <w:p>
      <w:pPr>
        <w:ind w:left="288"/>
      </w:pPr>
      <w:r>
        <w:rPr>
          <w:color w:val="8C8C8C"/>
          <w:sz w:val="12"/>
        </w:rPr>
        <w:t>cf-art-155-par-2-inc-XII-ali-g</w:t>
      </w:r>
      <w:r>
        <w:rPr>
          <w:color w:val="003CA0"/>
          <w:sz w:val="12"/>
        </w:rPr>
        <w:t xml:space="preserve"> | ADI 7.276</w:t>
      </w:r>
      <w:r>
        <w:rPr>
          <w:color w:val="003CA0"/>
          <w:sz w:val="12"/>
        </w:rPr>
        <w:t xml:space="preserve"> | rel. Cármen Lúcia</w:t>
      </w:r>
    </w:p>
    <w:p>
      <w:pPr>
        <w:ind w:left="288"/>
      </w:pPr>
      <w:r>
        <w:rPr>
          <w:color w:val="1E1E1E"/>
          <w:sz w:val="18"/>
        </w:rPr>
        <w:t>A reserva constitucional de convênio prevista na al. g do inc. XII do § 2º do art. 155 da Constituição da República não impede que a União, os Estados e o Distrito Federal celebrem convênios para execução de suas leis, serviços ou decisões, a fim de prestarem assistência uns aos outros para fiscalização ou permuta de informações, uniformização de procedimentos e normas inerentes ao exercício e competência tributária desses entes federados, nos termos dos arts. 102 e 199, do Código Tributário Nacional.</w:t>
        <w:br/>
        <w:t>[ADI 7.276, rel. min. Cármen Lúcia, j. 09.09.2024, P, DJE de 20.09.2024.] A antecipação tribu</w:t>
      </w:r>
    </w:p>
    <w:p>
      <w:pPr>
        <w:ind w:left="288"/>
      </w:pPr>
      <w:r>
        <w:rPr>
          <w:b/>
          <w:color w:val="003CA0"/>
          <w:sz w:val="16"/>
        </w:rPr>
        <w:t>[ADI 3.794 ED, rel. min. Roberto Barroso, j. 18-12-2014, P, DJE de 25-2-2015.]</w:t>
      </w:r>
    </w:p>
    <w:p>
      <w:pPr>
        <w:ind w:left="288"/>
      </w:pPr>
      <w:r>
        <w:rPr>
          <w:color w:val="8C8C8C"/>
          <w:sz w:val="12"/>
        </w:rPr>
        <w:t>cf-art-155-par-2-inc-XII-ali-g</w:t>
      </w:r>
      <w:r>
        <w:rPr>
          <w:color w:val="003CA0"/>
          <w:sz w:val="12"/>
        </w:rPr>
        <w:t xml:space="preserve"> | ADI 4.276</w:t>
      </w:r>
      <w:r>
        <w:rPr>
          <w:color w:val="003CA0"/>
          <w:sz w:val="12"/>
        </w:rPr>
        <w:t xml:space="preserve"> | rel. Luiz Fux</w:t>
      </w:r>
    </w:p>
    <w:p>
      <w:pPr>
        <w:ind w:left="288"/>
      </w:pPr>
      <w:r>
        <w:rPr>
          <w:color w:val="1E1E1E"/>
          <w:sz w:val="18"/>
        </w:rPr>
        <w:t>(...) padece de inconstitucionalidade formal a LC 358/2009 do Estado de Mato Grosso, porquanto concessiva de isenção fiscal, no que concerne ao ICMS, para as operações de aquisição de automóveis por oficiais de justiça estaduais sem o necessário amparo em convênio interestadual, caracterizando hipótese típica de guerra fiscal em desarmonia com a CF de 1988.</w:t>
      </w:r>
    </w:p>
    <w:p>
      <w:pPr>
        <w:ind w:left="288"/>
      </w:pPr>
      <w:r>
        <w:rPr>
          <w:b/>
          <w:color w:val="003CA0"/>
          <w:sz w:val="16"/>
        </w:rPr>
        <w:t>[ADI 4.276, rel. min. Luiz Fux, j. 20-8-2014, P, DJE de 18-9-2014.]</w:t>
      </w:r>
    </w:p>
    <w:p>
      <w:pPr>
        <w:ind w:left="288"/>
      </w:pPr>
      <w:r>
        <w:rPr>
          <w:color w:val="8C8C8C"/>
          <w:sz w:val="12"/>
        </w:rPr>
        <w:t>cf-art-155-par-2-inc-XII-ali-g</w:t>
      </w:r>
      <w:r>
        <w:rPr>
          <w:color w:val="003CA0"/>
          <w:sz w:val="12"/>
        </w:rPr>
        <w:t xml:space="preserve"> | RE 861.756</w:t>
      </w:r>
      <w:r>
        <w:rPr>
          <w:color w:val="003CA0"/>
          <w:sz w:val="12"/>
        </w:rPr>
        <w:t xml:space="preserve"> | rel. Cármen Lúcia</w:t>
      </w:r>
    </w:p>
    <w:p>
      <w:pPr>
        <w:ind w:left="288"/>
      </w:pPr>
      <w:r>
        <w:rPr>
          <w:color w:val="1E1E1E"/>
          <w:sz w:val="18"/>
        </w:rPr>
        <w:t>= RE 861.756 AgR, rel. min. Cármen Lúcia, j. 17-3-2015, 2ª T, DJE de 7-4-2015 Não há cogitar de inconstitucionalidade indireta, por violação de normas interpostas, na espécie vertente: a questão está na definição do alcance do art. 40 do ADCT, a saber, se esta norma de vigência temporária teria permitido a recepção do elenco pré-constitucional de incentivos à Zona Franca de Manaus, ainda que incompatíveis com o sistema constitucional do ICMS instituído desde 1988, no qual se insere a competência das unidades federativas para, mediante convênio, dispor sobre isenção e incentivos fiscais do novo</w:t>
      </w:r>
    </w:p>
    <w:p>
      <w:pPr>
        <w:ind w:left="288"/>
      </w:pPr>
      <w:r>
        <w:rPr>
          <w:b/>
          <w:color w:val="003CA0"/>
          <w:sz w:val="16"/>
        </w:rPr>
        <w:t>[ADI 310, rel. min. Cármen Lúcia, j. 19-2-2014, P, DJE de 9-9-2014.]</w:t>
      </w:r>
    </w:p>
    <w:p>
      <w:pPr>
        <w:ind w:left="288"/>
      </w:pPr>
      <w:r>
        <w:rPr>
          <w:color w:val="8C8C8C"/>
          <w:sz w:val="12"/>
        </w:rPr>
        <w:t>cf-art-155-par-2-inc-XII-ali-g</w:t>
      </w:r>
      <w:r>
        <w:rPr>
          <w:color w:val="003CA0"/>
          <w:sz w:val="12"/>
        </w:rPr>
        <w:t xml:space="preserve"> | ADI 3.702</w:t>
      </w:r>
      <w:r>
        <w:rPr>
          <w:color w:val="003CA0"/>
          <w:sz w:val="12"/>
        </w:rPr>
        <w:t xml:space="preserve"> | rel. Dias Toffoli</w:t>
      </w:r>
    </w:p>
    <w:p>
      <w:pPr>
        <w:ind w:left="288"/>
      </w:pPr>
      <w:r>
        <w:rPr>
          <w:color w:val="1E1E1E"/>
          <w:sz w:val="18"/>
        </w:rPr>
        <w:t>O decreto estadual prevê hipótese de diferimento do pagamento do ICMS sobre a importação de máquinas e equipamentos destinados à avicultura e à suinocultura para o momento da desincorporação desses equipamentos do ativo permanente do estabelecimento. (...) Os bens do ativo permanente do estabelecimento não fazem parte de qualquer cadeia de consumo mais ampla, restando ausente o caráter de posterior circulação jurídica, uma vez que, fadados a permanecer no estabelecimento, estando sujeitos à deterioração, ao perecimento ou à obsolescência. Nesses casos, o fato gerador do ICMS será uma operação,</w:t>
      </w:r>
    </w:p>
    <w:p>
      <w:pPr>
        <w:ind w:left="288"/>
      </w:pPr>
      <w:r>
        <w:rPr>
          <w:b/>
          <w:color w:val="003CA0"/>
          <w:sz w:val="16"/>
        </w:rPr>
        <w:t>[ADI 3.702, rel. min. Dias Toffoli, j. 1º-6-2011, P, DJE de 30-8-2011.]</w:t>
      </w:r>
    </w:p>
    <w:p>
      <w:pPr>
        <w:ind w:left="288"/>
      </w:pPr>
      <w:r>
        <w:rPr>
          <w:color w:val="8C8C8C"/>
          <w:sz w:val="12"/>
        </w:rPr>
        <w:t>cf-art-155-par-2-inc-XII-ali-g</w:t>
      </w:r>
      <w:r>
        <w:rPr>
          <w:color w:val="003CA0"/>
          <w:sz w:val="12"/>
        </w:rPr>
        <w:t xml:space="preserve"> | ADI 2.056</w:t>
      </w:r>
      <w:r>
        <w:rPr>
          <w:color w:val="003CA0"/>
          <w:sz w:val="12"/>
        </w:rPr>
        <w:t xml:space="preserve"> | rel. Gilmar Mendes</w:t>
      </w:r>
    </w:p>
    <w:p>
      <w:pPr>
        <w:ind w:left="288"/>
      </w:pPr>
      <w:r>
        <w:rPr>
          <w:color w:val="1E1E1E"/>
          <w:sz w:val="18"/>
        </w:rPr>
        <w:t>Vide ADI 2.056, rel. min. Gilmar Mendes, j. 30-5-2007, P, DJ de 17-8-2007 Tributo. Benefício. Alínea g do inciso XII do § 2º do art. 155 da CF. Discrepa do que previsto nesse preceito, a remeter a lei complementar, a concessão de benefício tributário a certo segmento econômico de forma a implicar tratamento diferenciado presente a localização do contribuinte.</w:t>
      </w:r>
    </w:p>
    <w:p>
      <w:pPr>
        <w:ind w:left="288"/>
      </w:pPr>
      <w:r>
        <w:rPr>
          <w:b/>
          <w:color w:val="003CA0"/>
          <w:sz w:val="16"/>
        </w:rPr>
        <w:t>[ADI 3.413, rel. min. Marco Aurélio, j. 1º-6-2011, P, DJE de 1º-8-2011.]</w:t>
      </w:r>
    </w:p>
    <w:p>
      <w:pPr>
        <w:ind w:left="288"/>
      </w:pPr>
      <w:r>
        <w:rPr>
          <w:color w:val="8C8C8C"/>
          <w:sz w:val="12"/>
        </w:rPr>
        <w:t>cf-art-155-par-2-inc-XII-ali-g</w:t>
      </w:r>
      <w:r>
        <w:rPr>
          <w:color w:val="003CA0"/>
          <w:sz w:val="12"/>
        </w:rPr>
        <w:t xml:space="preserve"> | ADI 2.376</w:t>
      </w:r>
      <w:r>
        <w:rPr>
          <w:color w:val="003CA0"/>
          <w:sz w:val="12"/>
        </w:rPr>
        <w:t xml:space="preserve"> | rel. Marco Aurélio</w:t>
      </w:r>
    </w:p>
    <w:p>
      <w:pPr>
        <w:ind w:left="288"/>
      </w:pPr>
      <w:r>
        <w:rPr>
          <w:color w:val="1E1E1E"/>
          <w:sz w:val="18"/>
        </w:rPr>
        <w:t>ICMS. Benefício fiscal. Isenção. Conflita com o disposto nos arts. 150, § 6º, e 155, § 2º, XII, g, da CF decreto concessivo de isenção, sem que precedido do consenso das unidades da Federação.</w:t>
      </w:r>
    </w:p>
    <w:p>
      <w:pPr>
        <w:ind w:left="288"/>
      </w:pPr>
      <w:r>
        <w:rPr>
          <w:b/>
          <w:color w:val="003CA0"/>
          <w:sz w:val="16"/>
        </w:rPr>
        <w:t>[ADI 2.376, rel. min. Marco Aurélio, j. 1º-6-2011, P, DJE de 1º-7-2011.]</w:t>
      </w:r>
    </w:p>
    <w:p>
      <w:pPr>
        <w:ind w:left="288"/>
      </w:pPr>
      <w:r>
        <w:rPr>
          <w:color w:val="8C8C8C"/>
          <w:sz w:val="12"/>
        </w:rPr>
        <w:t>cf-art-155-par-2-inc-XII-ali-g</w:t>
      </w:r>
      <w:r>
        <w:rPr>
          <w:color w:val="003CA0"/>
          <w:sz w:val="12"/>
        </w:rPr>
        <w:t xml:space="preserve"> | ADI 2.906</w:t>
      </w:r>
      <w:r>
        <w:rPr>
          <w:color w:val="003CA0"/>
          <w:sz w:val="12"/>
        </w:rPr>
        <w:t xml:space="preserve"> | rel. Marco Aurélio</w:t>
      </w:r>
    </w:p>
    <w:p>
      <w:pPr>
        <w:ind w:left="288"/>
      </w:pPr>
      <w:r>
        <w:rPr>
          <w:color w:val="1E1E1E"/>
          <w:sz w:val="18"/>
        </w:rPr>
        <w:t>“Guerra fiscal". Pronunciamento do Supremo. Drible. Surge inconstitucional lei do Estado que, para mitigar pronunciamento do Supremo, implica, quanto a recolhimento de tributo, dispensa de acessórios – multa e juros da mora – e parcelamento.</w:t>
      </w:r>
    </w:p>
    <w:p>
      <w:pPr>
        <w:ind w:left="288"/>
      </w:pPr>
      <w:r>
        <w:rPr>
          <w:b/>
          <w:color w:val="003CA0"/>
          <w:sz w:val="16"/>
        </w:rPr>
        <w:t>[ADI 2.906, rel. min. Marco Aurélio, j. 1º-6-2011, P, DJE de 29-6-2011.]</w:t>
      </w:r>
    </w:p>
    <w:p>
      <w:pPr>
        <w:ind w:left="288"/>
      </w:pPr>
      <w:r>
        <w:rPr>
          <w:color w:val="8C8C8C"/>
          <w:sz w:val="12"/>
        </w:rPr>
        <w:t>cf-art-155-par-2-inc-XII-ali-g</w:t>
      </w:r>
      <w:r>
        <w:rPr>
          <w:color w:val="003CA0"/>
          <w:sz w:val="12"/>
        </w:rPr>
        <w:t xml:space="preserve"> | ADI 3.421</w:t>
      </w:r>
      <w:r>
        <w:rPr>
          <w:color w:val="003CA0"/>
          <w:sz w:val="12"/>
        </w:rPr>
        <w:t xml:space="preserve"> | rel. Marco Aurélio</w:t>
      </w:r>
    </w:p>
    <w:p>
      <w:pPr>
        <w:ind w:left="288"/>
      </w:pPr>
      <w:r>
        <w:rPr>
          <w:color w:val="1E1E1E"/>
          <w:sz w:val="18"/>
        </w:rPr>
        <w:t>A disciplina legal em exame apresenta peculiaridades a merecerem reflexão para concluir estar configurada, ou não, a denominada "guerra fiscal". (...) Ao lado da imunidade, há a isenção e, quanto ao ICMS, visando a editar verdadeira autofagia, a alínea g do inciso XII do § 2º do art. 155 da CF remete a lei complementar regular a forma como, mediante deliberação dos Estados e do Distrito Federal, isenções, incentivos e benefícios fiscais serão concedidos e revogados. A lei complementar relativa à disciplina da matéria é a número 24/1975. Nela está disposto que, ante as peculiaridades do ICMS, b</w:t>
      </w:r>
    </w:p>
    <w:p>
      <w:pPr>
        <w:ind w:left="288"/>
      </w:pPr>
      <w:r>
        <w:rPr>
          <w:b/>
          <w:color w:val="003CA0"/>
          <w:sz w:val="16"/>
        </w:rPr>
        <w:t>[ADI 3.421, voto do rel. min. Marco Aurélio, j. 5-5-2010, P, DJE de 28-5-2010.]</w:t>
      </w:r>
    </w:p>
    <w:p>
      <w:pPr>
        <w:ind w:left="288"/>
      </w:pPr>
      <w:r>
        <w:rPr>
          <w:color w:val="8C8C8C"/>
          <w:sz w:val="12"/>
        </w:rPr>
        <w:t>cf-art-155-par-2-inc-XII-ali-g</w:t>
      </w:r>
      <w:r>
        <w:rPr>
          <w:color w:val="003CA0"/>
          <w:sz w:val="12"/>
        </w:rPr>
        <w:t xml:space="preserve"> | ADI 3.809</w:t>
      </w:r>
      <w:r>
        <w:rPr>
          <w:color w:val="003CA0"/>
          <w:sz w:val="12"/>
        </w:rPr>
        <w:t xml:space="preserve"> | rel. Eros Grau</w:t>
      </w:r>
    </w:p>
    <w:p>
      <w:pPr>
        <w:ind w:left="288"/>
      </w:pPr>
      <w:r>
        <w:rPr>
          <w:color w:val="1E1E1E"/>
          <w:sz w:val="18"/>
        </w:rPr>
        <w:t>Ação direta de inconstitucionalidade. Lei  8.366, de 7 de julho de 2006, do Estado do Espírito Santo. Lei que institui incentivo fiscal para as empresas que contratarem apenados e egressos. Matéria de índole tributária e não orçamentária. A concessão unilateral de benefícios fiscais, sem a prévia celebração de convênio intergovernamental, afronta ao disposto no art. 155, § 2º, XII, g, da Constituição do Brasil. (...) O texto normativo capixaba efetivamente viola o disposto no art. 155, § 2º, XII, g, Constituição do Brasil, ao conceder isenções fiscais às empresas que contratarem apenados e egr</w:t>
      </w:r>
    </w:p>
    <w:p>
      <w:pPr>
        <w:ind w:left="288"/>
      </w:pPr>
      <w:r>
        <w:rPr>
          <w:b/>
          <w:color w:val="003CA0"/>
          <w:sz w:val="16"/>
        </w:rPr>
        <w:t>[ADI 3.809, rel. min. Eros Grau, j. 14-6-2007, P, DJ de 14-9-2007.]</w:t>
      </w:r>
    </w:p>
    <w:p>
      <w:pPr>
        <w:ind w:left="288"/>
      </w:pPr>
      <w:r>
        <w:rPr>
          <w:color w:val="8C8C8C"/>
          <w:sz w:val="12"/>
        </w:rPr>
        <w:t>cf-art-155-par-2-inc-XII-ali-g</w:t>
      </w:r>
      <w:r>
        <w:rPr>
          <w:color w:val="003CA0"/>
          <w:sz w:val="12"/>
        </w:rPr>
        <w:t xml:space="preserve"> | ADI 2.529</w:t>
      </w:r>
      <w:r>
        <w:rPr>
          <w:color w:val="003CA0"/>
          <w:sz w:val="12"/>
        </w:rPr>
        <w:t xml:space="preserve"> | rel. Gilmar Mendes</w:t>
      </w:r>
    </w:p>
    <w:p>
      <w:pPr>
        <w:ind w:left="288"/>
      </w:pPr>
      <w:r>
        <w:rPr>
          <w:color w:val="1E1E1E"/>
          <w:sz w:val="18"/>
        </w:rPr>
        <w:t>A propósito da questão, (...) anota a PGR, verbis: "Do mesmo modo, o art. 6º da Lei Estadual sob análise incorre em vício de inconstitucionalidade material, ante a violação imposta por este ao art. 155, § 2º, XII, alínea g, da Constituição, segundo o qual cabe à lei complementar regular a forma como, mediante deliberação dos Estados e do Distrito Federal, isenções, incentivos e benefícios fiscais, referentes ao ICMS, serão concedidos e revogados. A lei complementar a que se refere o dispositivo constitucional supramencionado é aquela que disciplinará, exatamente, os mecanismos jurídicos nortea</w:t>
      </w:r>
    </w:p>
    <w:p>
      <w:pPr>
        <w:ind w:left="288"/>
      </w:pPr>
      <w:r>
        <w:rPr>
          <w:b/>
          <w:color w:val="003CA0"/>
          <w:sz w:val="16"/>
        </w:rPr>
        <w:t>[ADI 2.529, voto do rel. min. Gilmar Mendes, j. 14-6-2007, P, DJ de 6-9-2007.]</w:t>
      </w:r>
    </w:p>
    <w:p>
      <w:pPr>
        <w:ind w:left="288"/>
      </w:pPr>
      <w:r>
        <w:rPr>
          <w:color w:val="8C8C8C"/>
          <w:sz w:val="12"/>
        </w:rPr>
        <w:t>cf-art-155-par-2-inc-XII-ali-g</w:t>
      </w:r>
      <w:r>
        <w:rPr>
          <w:color w:val="003CA0"/>
          <w:sz w:val="12"/>
        </w:rPr>
        <w:t xml:space="preserve"> | ADI 2.056</w:t>
      </w:r>
      <w:r>
        <w:rPr>
          <w:color w:val="003CA0"/>
          <w:sz w:val="12"/>
        </w:rPr>
        <w:t xml:space="preserve"> | rel. Gilmar Mendes</w:t>
      </w:r>
    </w:p>
    <w:p>
      <w:pPr>
        <w:ind w:left="288"/>
      </w:pPr>
      <w:r>
        <w:rPr>
          <w:color w:val="1E1E1E"/>
          <w:sz w:val="18"/>
        </w:rPr>
        <w:t>Diferimento do ICMS em operações internas com produtos agropecuários. A contribuição criada pela lei estadual não possui natureza tributária, pois está despida do elemento essencial da compulsoriedade. Assim, não se submete aos limites constitucionais ao poder de tributar. O diferimento, pelo qual se transfere o momento do recolhimento do tributo cujo fato gerador já ocorreu, não pode ser confundido com a isenção ou com a imunidade e, dessa forma, pode ser disciplinado por lei estadual sem a prévia celebração de convênio.</w:t>
      </w:r>
    </w:p>
    <w:p>
      <w:pPr>
        <w:ind w:left="288"/>
      </w:pPr>
      <w:r>
        <w:rPr>
          <w:b/>
          <w:color w:val="003CA0"/>
          <w:sz w:val="16"/>
        </w:rPr>
        <w:t>[ADI 2.056, rel. min. Gilmar Mendes, j. 30-5-2007, P, DJ de 17-8-2007.]</w:t>
      </w:r>
    </w:p>
    <w:p>
      <w:pPr>
        <w:ind w:left="288"/>
      </w:pPr>
      <w:r>
        <w:rPr>
          <w:color w:val="8C8C8C"/>
          <w:sz w:val="12"/>
        </w:rPr>
        <w:t>cf-art-155-par-2-inc-XII-ali-g</w:t>
      </w:r>
      <w:r>
        <w:rPr>
          <w:color w:val="003CA0"/>
          <w:sz w:val="12"/>
        </w:rPr>
        <w:t xml:space="preserve"> | ADI 3.702</w:t>
      </w:r>
      <w:r>
        <w:rPr>
          <w:color w:val="003CA0"/>
          <w:sz w:val="12"/>
        </w:rPr>
        <w:t xml:space="preserve"> | rel. Dias Toffoli</w:t>
      </w:r>
    </w:p>
    <w:p>
      <w:pPr>
        <w:ind w:left="288"/>
      </w:pPr>
      <w:r>
        <w:rPr>
          <w:color w:val="1E1E1E"/>
          <w:sz w:val="18"/>
        </w:rPr>
        <w:t>Vide  ADI 3.702, rel. min. Dias Toffoli, j. 1º-6-2011, P, DJE de 30-8-2011 O art. 155, § 2º, XII, g, da CF só admite a concessão de isenções, incentivos e benefícios fiscais por deliberação dos Estados e do Distrito Federal, mediante convênio.</w:t>
      </w:r>
    </w:p>
    <w:p>
      <w:pPr>
        <w:ind w:left="288"/>
      </w:pPr>
      <w:r>
        <w:rPr>
          <w:b/>
          <w:color w:val="003CA0"/>
          <w:sz w:val="16"/>
        </w:rPr>
        <w:t>[ADI 286, rel. min. Maurício Corrêa, j. 22-5-2002, P, DJ de 30-8-2002.]</w:t>
      </w:r>
    </w:p>
    <w:p>
      <w:pPr>
        <w:ind w:left="288"/>
      </w:pPr>
      <w:r>
        <w:rPr>
          <w:color w:val="8C8C8C"/>
          <w:sz w:val="12"/>
        </w:rPr>
        <w:t>cf-art-155-par-2-inc-XII-ali-g</w:t>
      </w:r>
      <w:r>
        <w:rPr>
          <w:color w:val="003CA0"/>
          <w:sz w:val="12"/>
        </w:rPr>
        <w:t xml:space="preserve"> | ADI 1.247</w:t>
      </w:r>
      <w:r>
        <w:rPr>
          <w:color w:val="003CA0"/>
          <w:sz w:val="12"/>
        </w:rPr>
        <w:t xml:space="preserve"> | rel. Dias Toffoli</w:t>
      </w:r>
    </w:p>
    <w:p>
      <w:pPr>
        <w:ind w:left="288"/>
      </w:pPr>
      <w:r>
        <w:rPr>
          <w:color w:val="1E1E1E"/>
          <w:sz w:val="18"/>
        </w:rPr>
        <w:t>= ADI 1.247, rel. min. Dias Toffoli, j. 1º-6-2011, P, DJE de 17-8-2011 ICMS: "guerra fiscal": concessão unilateral de desoneração do tributo por um Estado federado, enquanto vigorem benefícios similares concedido por outros: liminar deferida. A orientação do Tribunal é particularmente severa na repressão à guerra fiscal entre as unidades federadas, mediante a prodigalização de isenções e benefícios fiscais atinentes ao ICMS, com afronta da norma constitucional do art. 155, § 2º, II, g; que submete sua concessão à decisão consensual dos Estados, na forma de lei complementar (...). As normas con</w:t>
      </w:r>
    </w:p>
    <w:p>
      <w:pPr>
        <w:ind w:left="288"/>
      </w:pPr>
      <w:r>
        <w:rPr>
          <w:b/>
          <w:color w:val="003CA0"/>
          <w:sz w:val="16"/>
        </w:rPr>
        <w:t>[ADI 2.377 MC, rel. min. Sepúlveda Pertence, j. 22-2-2001, P, DJ de 7-11-2003.]</w:t>
      </w:r>
    </w:p>
    <w:p>
      <w:pPr>
        <w:ind w:left="288"/>
      </w:pPr>
      <w:r>
        <w:rPr>
          <w:color w:val="8C8C8C"/>
          <w:sz w:val="12"/>
        </w:rPr>
        <w:t>cf-art-155-par-2-inc-XII-ali-g</w:t>
      </w:r>
      <w:r>
        <w:rPr>
          <w:color w:val="003CA0"/>
          <w:sz w:val="12"/>
        </w:rPr>
        <w:t xml:space="preserve"> | ADI 3.389</w:t>
      </w:r>
      <w:r>
        <w:rPr>
          <w:color w:val="003CA0"/>
          <w:sz w:val="12"/>
        </w:rPr>
        <w:t xml:space="preserve"> | rel. Joaquim Barbosa</w:t>
      </w:r>
    </w:p>
    <w:p>
      <w:pPr>
        <w:ind w:left="288"/>
      </w:pPr>
      <w:r>
        <w:rPr>
          <w:color w:val="1E1E1E"/>
          <w:sz w:val="18"/>
        </w:rPr>
        <w:t>= ADI 3.389 e ADI 3.673, rel. min. Joaquim Barbosa, j. 6-9-2007, P, DJ de 1º-2-2008</w:t>
      </w:r>
    </w:p>
    <w:p>
      <w:pPr>
        <w:ind w:left="144"/>
      </w:pPr>
      <w:r>
        <w:rPr>
          <w:b/>
          <w:color w:val="B45A00"/>
          <w:sz w:val="16"/>
        </w:rPr>
        <w:t>REPERCUSSAO GERAL</w:t>
      </w:r>
    </w:p>
    <w:p>
      <w:pPr>
        <w:ind w:left="288"/>
      </w:pPr>
      <w:r>
        <w:rPr>
          <w:color w:val="8C8C8C"/>
          <w:sz w:val="12"/>
        </w:rPr>
        <w:t>cf-art-155-par-2-inc-XII-ali-g</w:t>
      </w:r>
      <w:r>
        <w:rPr>
          <w:color w:val="003CA0"/>
          <w:sz w:val="12"/>
        </w:rPr>
        <w:t xml:space="preserve"> | RE 851.421</w:t>
      </w:r>
      <w:r>
        <w:rPr>
          <w:color w:val="003CA0"/>
          <w:sz w:val="12"/>
        </w:rPr>
        <w:t xml:space="preserve"> | rel. Roberto Barroso</w:t>
      </w:r>
    </w:p>
    <w:p>
      <w:pPr>
        <w:ind w:left="288"/>
      </w:pPr>
      <w:r>
        <w:rPr>
          <w:color w:val="1E1E1E"/>
          <w:sz w:val="18"/>
        </w:rPr>
        <w:t>(...) ‘é constitucional a lei estadual ou distrital que, com amparo em convênio do CONFAZ, conceda remissão de créditos de ICMS oriundos de benefícios fiscais anteriormente julgados inconstitucionais’.</w:t>
      </w:r>
    </w:p>
    <w:p>
      <w:pPr>
        <w:ind w:left="288"/>
      </w:pPr>
      <w:r>
        <w:rPr>
          <w:b/>
          <w:color w:val="003CA0"/>
          <w:sz w:val="16"/>
        </w:rPr>
        <w:t>[RE 851.421, rel. min. Roberto Barroso, j. 18-12-2021, P, DJE de 14-3-2022, Tema 817, com mérito julgado.]</w:t>
      </w:r>
    </w:p>
    <w:p>
      <w:pPr>
        <w:ind w:left="288"/>
      </w:pPr>
      <w:r>
        <w:rPr>
          <w:color w:val="8C8C8C"/>
          <w:sz w:val="12"/>
        </w:rPr>
        <w:t>cf-art-155-par-2-inc-XII-ali-g</w:t>
      </w:r>
      <w:r>
        <w:rPr>
          <w:color w:val="003CA0"/>
          <w:sz w:val="12"/>
        </w:rPr>
        <w:t xml:space="preserve"> | RE 1.003.758</w:t>
      </w:r>
    </w:p>
    <w:p>
      <w:pPr>
        <w:ind w:left="288"/>
      </w:pPr>
      <w:r>
        <w:rPr>
          <w:color w:val="1E1E1E"/>
          <w:sz w:val="18"/>
        </w:rPr>
        <w:t>A inadimplência do usuário não afasta a incidência ou a exigibilidade do ICMS sobre serviços de telecomunicações.</w:t>
        <w:br/>
        <w:t>[RE 1.003.758, red. do ac. min. Alexandre de Moraes, j. 14-5-2021, P, DJE de 28-5-2021, Tema 705, com mérito julgado.] Nos termos do artigo 155, § 2º, inciso XII, alínea g, da Constituição Federal, compete à lei complementar regulamentar a forma como os Estados e o Distrito Federal deliberarão sobre a instituição de isenções, incentivos e benefícios fiscais relativos ao ICMS. A LC 24/1975 efetiva o mandamento constitucional e retrata o alcance dos convênios celebrados pelos Estados</w:t>
      </w:r>
    </w:p>
    <w:p>
      <w:pPr>
        <w:ind w:left="288"/>
      </w:pPr>
      <w:r>
        <w:rPr>
          <w:b/>
          <w:color w:val="003CA0"/>
          <w:sz w:val="16"/>
        </w:rPr>
        <w:t>[RE 1.025.986, red. do ac. min. Alexandre de Moraes, j. 5-8-2020, P, DJE de 10-9-2020, Tema 1.012, com mérito julgado.]</w:t>
      </w:r>
    </w:p>
    <w:p>
      <w:pPr>
        <w:ind w:left="144"/>
      </w:pPr>
      <w:r>
        <w:rPr>
          <w:b/>
          <w:color w:val="B45A00"/>
          <w:sz w:val="16"/>
        </w:rPr>
        <w:t>JULGADOS CORRELATOS</w:t>
      </w:r>
    </w:p>
    <w:p>
      <w:pPr>
        <w:ind w:left="288"/>
      </w:pPr>
      <w:r>
        <w:rPr>
          <w:color w:val="8C8C8C"/>
          <w:sz w:val="12"/>
        </w:rPr>
        <w:t>cf-art-155-par-2-inc-XII-ali-g</w:t>
      </w:r>
      <w:r>
        <w:rPr>
          <w:color w:val="003CA0"/>
          <w:sz w:val="12"/>
        </w:rPr>
        <w:t xml:space="preserve"> | ACO 541</w:t>
      </w:r>
      <w:r>
        <w:rPr>
          <w:color w:val="003CA0"/>
          <w:sz w:val="12"/>
        </w:rPr>
        <w:t xml:space="preserve"> | rel. Gilmar Mendes</w:t>
      </w:r>
    </w:p>
    <w:p>
      <w:pPr>
        <w:ind w:left="288"/>
      </w:pPr>
      <w:r>
        <w:rPr>
          <w:color w:val="1E1E1E"/>
          <w:sz w:val="18"/>
        </w:rPr>
        <w:t>Ação cível originária. Estados de São Paulo e Bahia. Termo de Acordo de Regime Especial [TARE] 1/1998, celebrado entre o Distrito Federal e empresa particular. Possibilidade de desconstituição dos efeitos de acordo ou convênio administrativo após o término da vigência. Inocorrência de prejudicialidade. Ação prejudicada, apenas, no período entre 1º-7-1999 e 31-7-1999, por celebração do Tare 44/1999, dispondo sobre o mesmo objeto. (...) Passagem ficta de mercadorias. Inocorrência de fato gerador. Prejuízo na incidência do ICMS aos Estados requerentes. Violação do pacto federativo e princípios tr</w:t>
      </w:r>
    </w:p>
    <w:p>
      <w:pPr>
        <w:ind w:left="288"/>
      </w:pPr>
      <w:r>
        <w:rPr>
          <w:b/>
          <w:color w:val="003CA0"/>
          <w:sz w:val="16"/>
        </w:rPr>
        <w:t>[ACO 541, rel. min. Gilmar Mendes, j. 19-4-2006, P, DJ de 30-6-2006.]</w:t>
      </w:r>
    </w:p>
    <w:p>
      <w:pPr>
        <w:ind w:left="288"/>
      </w:pPr>
      <w:r>
        <w:rPr>
          <w:color w:val="8C8C8C"/>
          <w:sz w:val="12"/>
        </w:rPr>
        <w:t>cf-art-155-par-2-inc-XII-ali-g</w:t>
      </w:r>
      <w:r>
        <w:rPr>
          <w:color w:val="003CA0"/>
          <w:sz w:val="12"/>
        </w:rPr>
        <w:t xml:space="preserve"> | RE 403.205</w:t>
      </w:r>
      <w:r>
        <w:rPr>
          <w:color w:val="003CA0"/>
          <w:sz w:val="12"/>
        </w:rPr>
        <w:t xml:space="preserve"> | rel. Ellen Gracie</w:t>
      </w:r>
    </w:p>
    <w:p>
      <w:pPr>
        <w:ind w:left="288"/>
      </w:pPr>
      <w:r>
        <w:rPr>
          <w:color w:val="1E1E1E"/>
          <w:sz w:val="18"/>
        </w:rPr>
        <w:t>O poder público detém a faculdade de instituir benefícios fiscais, desde que observados determinados requisitos ou condições já definidos no texto constitucional e em legislação complementar. (...) É dever da administração pública perseguir a satisfação da finalidade legal. O pleno cumprimento da norma jurídica constitui o núcleo do ato administrativo. Concessão de benefício fiscal mediante ajuste entre administração pública e administrado. "Protocolo individual". Instrumento de intervenção econômica que impõe direitos e obrigações recíprocas. Dever jurídico da administração pública de atingir</w:t>
      </w:r>
    </w:p>
    <w:p>
      <w:pPr>
        <w:ind w:left="288"/>
      </w:pPr>
      <w:r>
        <w:rPr>
          <w:b/>
          <w:color w:val="003CA0"/>
          <w:sz w:val="16"/>
        </w:rPr>
        <w:t>[RE 403.205, rel. min. Ellen Gracie, j. 28-3-2006, 2ª T, DJ de 19-5-2006.]</w:t>
      </w:r>
    </w:p>
    <w:p>
      <w:pPr>
        <w:ind w:left="288"/>
      </w:pPr>
      <w:r>
        <w:rPr>
          <w:color w:val="8C8C8C"/>
          <w:sz w:val="12"/>
        </w:rPr>
        <w:t>cf-art-155-par-2-inc-XII-ali-g</w:t>
      </w:r>
    </w:p>
    <w:p>
      <w:pPr>
        <w:ind w:left="288"/>
      </w:pPr>
      <w:r>
        <w:rPr>
          <w:color w:val="1E1E1E"/>
          <w:sz w:val="18"/>
        </w:rPr>
        <w:t>h) definir os combustíveis e lubrificantes sobre os quais o imposto incidirá uma única vez, qualquer que seja a sua finalidade, hipótese em que não se aplicará o disposto no inciso X, b; (Incluída pela EC 33/2001) (Vide EC 33/2001)</w:t>
      </w:r>
    </w:p>
    <w:p>
      <w:pPr>
        <w:ind w:left="144"/>
      </w:pPr>
      <w:r>
        <w:rPr>
          <w:b/>
          <w:color w:val="B45A00"/>
          <w:sz w:val="16"/>
        </w:rPr>
        <w:t>REPERCUSSAO GERAL</w:t>
      </w:r>
    </w:p>
    <w:p>
      <w:pPr>
        <w:ind w:left="288"/>
      </w:pPr>
      <w:r>
        <w:rPr>
          <w:color w:val="8C8C8C"/>
          <w:sz w:val="12"/>
        </w:rPr>
        <w:t>cf-art-155-par-2-inc-XII-ali-i</w:t>
      </w:r>
      <w:r>
        <w:rPr>
          <w:color w:val="003CA0"/>
          <w:sz w:val="12"/>
        </w:rPr>
        <w:t xml:space="preserve"> | RE 582.461</w:t>
      </w:r>
      <w:r>
        <w:rPr>
          <w:color w:val="003CA0"/>
          <w:sz w:val="12"/>
        </w:rPr>
        <w:t xml:space="preserve"> | rel. Gilmar Mendes</w:t>
      </w:r>
    </w:p>
    <w:p>
      <w:pPr>
        <w:ind w:left="288"/>
      </w:pPr>
      <w:r>
        <w:rPr>
          <w:color w:val="1E1E1E"/>
          <w:sz w:val="18"/>
        </w:rPr>
        <w:t>(...) A EC 33, de 2001, inseriu a alínea i no inciso XII do § 2º do art. 155 da CF, para fazer constar que cabe à lei complementar “fixar a base de cálculo, de modo que o montante do imposto a integre, também na importação do exterior de bem, mercadoria ou serviço”. (...) Com a alteração constitucional a lei complementar ficou autorizada a dar tratamento isonômico na determinação da base de cálculo entre as operações ou prestações internas com as importações do exterior, de modo que o ICMS será calculado "por dentro" em ambos os casos.</w:t>
        <w:br/>
        <w:t>[RE 582.461, rel. min. Gilmar Mendes, j. 18-5-2011, P, DJE</w:t>
      </w:r>
    </w:p>
    <w:p>
      <w:pPr>
        <w:ind w:left="144"/>
      </w:pPr>
      <w:r>
        <w:rPr>
          <w:b/>
          <w:color w:val="B45A00"/>
          <w:sz w:val="16"/>
        </w:rPr>
        <w:t>SUMULA</w:t>
      </w:r>
    </w:p>
    <w:p>
      <w:pPr>
        <w:ind w:left="288"/>
      </w:pPr>
      <w:r>
        <w:rPr>
          <w:color w:val="8C8C8C"/>
          <w:sz w:val="12"/>
        </w:rPr>
        <w:t>cf-art-155-par-2-inc-XII-ali-i</w:t>
      </w:r>
    </w:p>
    <w:p>
      <w:pPr>
        <w:ind w:left="288"/>
      </w:pPr>
      <w:r>
        <w:rPr>
          <w:color w:val="1E1E1E"/>
          <w:sz w:val="18"/>
        </w:rPr>
        <w:t>É legítima a cobrança da Cofins, do PIS e do Finsocial sobre as operações relativas a energia elétrica, serviços de telecomunicações, derivados de petróleo, combustíveis e minerais do País.</w:t>
      </w:r>
    </w:p>
    <w:p>
      <w:pPr>
        <w:ind w:left="288"/>
      </w:pPr>
      <w:r>
        <w:rPr>
          <w:b/>
          <w:color w:val="003CA0"/>
          <w:sz w:val="16"/>
        </w:rPr>
        <w:t>[Súmula 659.]</w:t>
      </w:r>
    </w:p>
    <w:p>
      <w:pPr>
        <w:ind w:left="144"/>
      </w:pPr>
      <w:r>
        <w:rPr>
          <w:b/>
          <w:color w:val="B45A00"/>
          <w:sz w:val="16"/>
        </w:rPr>
        <w:t>REPERCUSSAO GERAL</w:t>
      </w:r>
    </w:p>
    <w:p>
      <w:pPr>
        <w:ind w:left="288"/>
      </w:pPr>
      <w:r>
        <w:rPr>
          <w:color w:val="8C8C8C"/>
          <w:sz w:val="12"/>
        </w:rPr>
        <w:t>cf-art-155-par-2-inc-XII-ali-i</w:t>
      </w:r>
      <w:r>
        <w:rPr>
          <w:color w:val="003CA0"/>
          <w:sz w:val="12"/>
        </w:rPr>
        <w:t xml:space="preserve"> | RE 593.824</w:t>
      </w:r>
      <w:r>
        <w:rPr>
          <w:color w:val="003CA0"/>
          <w:sz w:val="12"/>
        </w:rPr>
        <w:t xml:space="preserve"> | rel. Edson Fachin</w:t>
      </w:r>
    </w:p>
    <w:p>
      <w:pPr>
        <w:ind w:left="288"/>
      </w:pPr>
      <w:r>
        <w:rPr>
          <w:color w:val="1E1E1E"/>
          <w:sz w:val="18"/>
        </w:rPr>
        <w:t>A demanda de potência elétrica não é passível, por si só, de tributação via ICMS, porquanto somente integram a base de cálculo desse imposto os valores referentes àquelas operações em que haja efetivo consumo de energia elétrica pelo consumidor.</w:t>
      </w:r>
    </w:p>
    <w:p>
      <w:pPr>
        <w:ind w:left="288"/>
      </w:pPr>
      <w:r>
        <w:rPr>
          <w:b/>
          <w:color w:val="003CA0"/>
          <w:sz w:val="16"/>
        </w:rPr>
        <w:t>[RE 593.824, rel. min. Edson Fachin, j. 27-4-2020, P, DJE de 19-5-2020, Tema 176, com mérito julgado.]</w:t>
      </w:r>
    </w:p>
    <w:p>
      <w:pPr>
        <w:ind w:left="288"/>
      </w:pPr>
      <w:r>
        <w:rPr>
          <w:color w:val="8C8C8C"/>
          <w:sz w:val="12"/>
        </w:rPr>
        <w:t>cf-art-155-par-2-inc-XII-ali-i</w:t>
      </w:r>
      <w:r>
        <w:rPr>
          <w:color w:val="003CA0"/>
          <w:sz w:val="12"/>
        </w:rPr>
        <w:t xml:space="preserve"> | ARE 1.524.862</w:t>
      </w:r>
      <w:r>
        <w:rPr>
          <w:color w:val="003CA0"/>
          <w:sz w:val="12"/>
        </w:rPr>
        <w:t xml:space="preserve"> | rel. Edson Fachin</w:t>
      </w:r>
    </w:p>
    <w:p>
      <w:pPr>
        <w:ind w:left="288"/>
      </w:pPr>
      <w:r>
        <w:rPr>
          <w:color w:val="1E1E1E"/>
          <w:sz w:val="18"/>
        </w:rPr>
        <w:t>A imunidade tributária prevista no art. 155, § 3º, da Constituição Federal restringe-se expressamente ao fornecimento de energia elétrica, aos serviços de telecomunicações, aos derivados de petróleo, aos combustíveis e aos minerais do País, não comportando interpretação ampliativa para incluir atividades meio ou itens acessórios.</w:t>
      </w:r>
    </w:p>
    <w:p>
      <w:pPr>
        <w:ind w:left="288"/>
      </w:pPr>
      <w:r>
        <w:rPr>
          <w:b/>
          <w:color w:val="003CA0"/>
          <w:sz w:val="16"/>
        </w:rPr>
        <w:t>[ARE 1.524.862 AgR, rel. min. Edson Fachin, j. 12.03.2025, 2ª T, DJE de 21.03.2025.]</w:t>
      </w:r>
    </w:p>
    <w:p>
      <w:pPr>
        <w:ind w:left="288"/>
      </w:pPr>
      <w:r>
        <w:rPr>
          <w:color w:val="8C8C8C"/>
          <w:sz w:val="12"/>
        </w:rPr>
        <w:t>cf-art-155-par-2-inc-XII-ali-i</w:t>
      </w:r>
      <w:r>
        <w:rPr>
          <w:color w:val="003CA0"/>
          <w:sz w:val="12"/>
        </w:rPr>
        <w:t xml:space="preserve"> | AC 457</w:t>
      </w:r>
      <w:r>
        <w:rPr>
          <w:color w:val="003CA0"/>
          <w:sz w:val="12"/>
        </w:rPr>
        <w:t xml:space="preserve"> | rel. Ayres Britto</w:t>
      </w:r>
    </w:p>
    <w:p>
      <w:pPr>
        <w:ind w:left="288"/>
      </w:pPr>
      <w:r>
        <w:rPr>
          <w:color w:val="1E1E1E"/>
          <w:sz w:val="18"/>
        </w:rPr>
        <w:t>Ademais, de acordo com o art. 155, § 3º, da Magna Carta, o ICMS é o único imposto que poderá incidir sobre operações relativas a energia elétrica.</w:t>
      </w:r>
    </w:p>
    <w:p>
      <w:pPr>
        <w:ind w:left="288"/>
      </w:pPr>
      <w:r>
        <w:rPr>
          <w:b/>
          <w:color w:val="003CA0"/>
          <w:sz w:val="16"/>
        </w:rPr>
        <w:t>[AC 457 MC, rel. min. Ayres Britto, j. 26-10-2004, 1ª T, DJ de 11-2-2005.]</w:t>
      </w:r>
    </w:p>
    <w:p>
      <w:pPr>
        <w:ind w:left="288"/>
      </w:pPr>
      <w:r>
        <w:rPr>
          <w:color w:val="8C8C8C"/>
          <w:sz w:val="12"/>
        </w:rPr>
        <w:t>cf-art-155-par-2-inc-XII-ali-i</w:t>
      </w:r>
      <w:r>
        <w:rPr>
          <w:color w:val="003CA0"/>
          <w:sz w:val="12"/>
        </w:rPr>
        <w:t xml:space="preserve"> | RE 144.971</w:t>
      </w:r>
      <w:r>
        <w:rPr>
          <w:color w:val="003CA0"/>
          <w:sz w:val="12"/>
        </w:rPr>
        <w:t xml:space="preserve"> | rel. Carlos Velloso</w:t>
      </w:r>
    </w:p>
    <w:p>
      <w:pPr>
        <w:ind w:left="288"/>
      </w:pPr>
      <w:r>
        <w:rPr>
          <w:color w:val="1E1E1E"/>
          <w:sz w:val="18"/>
        </w:rPr>
        <w:t>Distribuidoras de derivados de petróleo, mineradoras, distribuidoras de energia elétrica e executoras de serviços de telecomunicações. CF, art. 155, § 3º. LC 70, de 1991. Legítima a incidência da Cofins sobre o faturamento da empresa. Inteligência do disposto no § 3º do art. 155, CF, em harmonia com a disposição do art. 195, caput, da mesma Carta. Precedente do STF: RE 144.971/DF, Velloso, Segunda Turma, RTJ 162/1075.</w:t>
      </w:r>
    </w:p>
    <w:p>
      <w:pPr>
        <w:ind w:left="288"/>
      </w:pPr>
      <w:r>
        <w:rPr>
          <w:b/>
          <w:color w:val="003CA0"/>
          <w:sz w:val="16"/>
        </w:rPr>
        <w:t>[RE 227.832, rel. min. Carlos Velloso, j. 1º-7-1999, P, DJ de 28-6-2002.]</w:t>
      </w:r>
    </w:p>
    <w:p>
      <w:pPr>
        <w:ind w:left="288"/>
      </w:pPr>
      <w:r>
        <w:rPr>
          <w:color w:val="8C8C8C"/>
          <w:sz w:val="12"/>
        </w:rPr>
        <w:t>cf-art-155-par-2-inc-XII-ali-i</w:t>
      </w:r>
      <w:r>
        <w:rPr>
          <w:color w:val="003CA0"/>
          <w:sz w:val="12"/>
        </w:rPr>
        <w:t xml:space="preserve"> | RE 144.971</w:t>
      </w:r>
      <w:r>
        <w:rPr>
          <w:color w:val="003CA0"/>
          <w:sz w:val="12"/>
        </w:rPr>
        <w:t xml:space="preserve"> | rel. Carlos Velloso</w:t>
      </w:r>
    </w:p>
    <w:p>
      <w:pPr>
        <w:ind w:left="288"/>
      </w:pPr>
      <w:r>
        <w:rPr>
          <w:color w:val="1E1E1E"/>
          <w:sz w:val="18"/>
        </w:rPr>
        <w:t>Legítima a incidência do PIS, sob o pálio da CF/1967, não obstante o princípio do imposto único sobre minerais (CF/1967, art. 21, IX). Também é legítima a incidência da mencionada contribuição, sob a CF/1988, art. 155, § 3º.</w:t>
      </w:r>
    </w:p>
    <w:p>
      <w:pPr>
        <w:ind w:left="288"/>
      </w:pPr>
      <w:r>
        <w:rPr>
          <w:b/>
          <w:color w:val="003CA0"/>
          <w:sz w:val="16"/>
        </w:rPr>
        <w:t>[RE 144.971, rel. min. Carlos Velloso, j. 13-5-1996, 2ª T, DJ de 27-9-1996.]</w:t>
      </w:r>
    </w:p>
    <w:p>
      <w:pPr>
        <w:ind w:left="288"/>
      </w:pPr>
      <w:r>
        <w:rPr>
          <w:color w:val="8C8C8C"/>
          <w:sz w:val="12"/>
        </w:rPr>
        <w:t>cf-art-155-par-4-inc-I</w:t>
      </w:r>
      <w:r>
        <w:rPr>
          <w:color w:val="003CA0"/>
          <w:sz w:val="12"/>
        </w:rPr>
        <w:t xml:space="preserve"> | ADI 6.250</w:t>
      </w:r>
      <w:r>
        <w:rPr>
          <w:color w:val="003CA0"/>
          <w:sz w:val="12"/>
        </w:rPr>
        <w:t xml:space="preserve"> | rel. Nunes Marques</w:t>
      </w:r>
    </w:p>
    <w:p>
      <w:pPr>
        <w:ind w:left="288"/>
      </w:pPr>
      <w:r>
        <w:rPr>
          <w:color w:val="1E1E1E"/>
          <w:sz w:val="18"/>
        </w:rPr>
        <w:t>Não se verifica violação à garantia da imunidade tributária recíproca pela norma inscrita no art. 155, § 4º, I, da CF/1988, que apenas define o sujeito ativo do ICMS incidente sobre combustíveis e lubrificantes derivados de petróleo, inexistindo tributação do Estado do Rio de Janeiro por outro ente federativo.</w:t>
      </w:r>
    </w:p>
    <w:p>
      <w:pPr>
        <w:ind w:left="288"/>
      </w:pPr>
      <w:r>
        <w:rPr>
          <w:b/>
          <w:color w:val="003CA0"/>
          <w:sz w:val="16"/>
        </w:rPr>
        <w:t>[ADI 6.250, rel. min. Nunes Marques, j. 29.09.2025, P, DJE de 03.10.2025.]</w:t>
      </w:r>
    </w:p>
    <w:p>
      <w:pPr>
        <w:ind w:left="288"/>
      </w:pPr>
      <w:r>
        <w:rPr>
          <w:color w:val="8C8C8C"/>
          <w:sz w:val="12"/>
        </w:rPr>
        <w:t>cf-art-155-par-4-inc-I</w:t>
      </w:r>
    </w:p>
    <w:p>
      <w:pPr>
        <w:ind w:left="288"/>
      </w:pPr>
      <w:r>
        <w:rPr>
          <w:color w:val="1E1E1E"/>
          <w:sz w:val="18"/>
        </w:rPr>
        <w:t>II - nas operações interestaduais, entre contribuintes, com gás natural e seus derivados, e lubrificantes e combustíveis não incluídos no inciso I deste parágrafo, o imposto será repartido entre os Estados de origem e de destino, mantendo-se a mesma proporcionalidade que ocorre nas operações com as demais mercadorias; (Incluído pela EC 33/2001) III - nas operações interestaduais com gás natural e seus derivados, e lubrificantes e combustíveis não incluídos no inciso I deste parágrafo, destinadas a não contribuinte, o imposto caberá ao Estado de origem; (Incluído pela EC 33/2001)</w:t>
      </w:r>
    </w:p>
    <w:p>
      <w:pPr>
        <w:ind w:left="288"/>
      </w:pPr>
      <w:r>
        <w:rPr>
          <w:color w:val="8C8C8C"/>
          <w:sz w:val="12"/>
        </w:rPr>
        <w:t>cf-art-155-par-4-inc-IV-ali-a</w:t>
      </w:r>
    </w:p>
    <w:p>
      <w:pPr>
        <w:ind w:left="288"/>
      </w:pPr>
      <w:r>
        <w:rPr>
          <w:color w:val="1E1E1E"/>
          <w:sz w:val="18"/>
        </w:rPr>
        <w:t>b) poderão ser específicas, por unidade de medida adotada, ou ad valorem, incidindo sobre o valor da operação ou sobre o preço que o produto ou seu similar alcançaria em uma venda em condições de livre concorrência; (Incluída pela EC 33/2001)</w:t>
      </w:r>
    </w:p>
    <w:p>
      <w:pPr>
        <w:ind w:left="144"/>
      </w:pPr>
      <w:r>
        <w:rPr>
          <w:b/>
          <w:color w:val="B45A00"/>
          <w:sz w:val="16"/>
        </w:rPr>
        <w:t>CONTROLE CONCENTRADO</w:t>
      </w:r>
    </w:p>
    <w:p>
      <w:pPr>
        <w:ind w:left="288"/>
      </w:pPr>
      <w:r>
        <w:rPr>
          <w:color w:val="8C8C8C"/>
          <w:sz w:val="12"/>
        </w:rPr>
        <w:t>cf-art-155-par-5</w:t>
      </w:r>
      <w:r>
        <w:rPr>
          <w:color w:val="003CA0"/>
          <w:sz w:val="12"/>
        </w:rPr>
        <w:t xml:space="preserve"> | ADI 4.171</w:t>
      </w:r>
    </w:p>
    <w:p>
      <w:pPr>
        <w:ind w:left="288"/>
      </w:pPr>
      <w:r>
        <w:rPr>
          <w:color w:val="1E1E1E"/>
          <w:sz w:val="18"/>
        </w:rPr>
        <w:t>O Convênio 110/2007, com a redação dos Convênios 101/2008 e 136/2008, atribuiu às refinarias de petróleo (que efetuam a venda de gasolina A às distribuidoras) a responsabilidade tributária pelo recolhimento do ICMS incidente sobre as operações comerciais interestaduais com o álcool etílico anidro combustível (AEAC) e biodiesel (B100), realizadas entre as usinas e destilarias, de um lado, e as distribuidoras de combustíveis, de outro (§ 5º da Cláusula Vigésima Primeira). Os §§ 10 e 11 da Cláusula Vigésima Primeira do Convênio ICMS 110/2007 preveem o estorno do crédito, condizente com a saída de</w:t>
      </w:r>
    </w:p>
    <w:p>
      <w:pPr>
        <w:ind w:left="288"/>
      </w:pPr>
      <w:r>
        <w:rPr>
          <w:b/>
          <w:color w:val="003CA0"/>
          <w:sz w:val="16"/>
        </w:rPr>
        <w:t>[ADI 4.171, red. do ac. min. Ricardo Lewandowski, j. 20-5-2015, P, DJE de 21-8-2015.]</w:t>
      </w:r>
    </w:p>
    <w:p>
      <w:pPr>
        <w:ind w:left="288"/>
      </w:pPr>
      <w:r>
        <w:rPr>
          <w:color w:val="8C8C8C"/>
          <w:sz w:val="12"/>
        </w:rPr>
        <w:t>cf-art-155-par-6-inc-II</w:t>
      </w:r>
      <w:r>
        <w:rPr>
          <w:color w:val="003CA0"/>
          <w:sz w:val="12"/>
        </w:rPr>
        <w:t xml:space="preserve"> | ADI 5.654</w:t>
      </w:r>
      <w:r>
        <w:rPr>
          <w:color w:val="003CA0"/>
          <w:sz w:val="12"/>
        </w:rPr>
        <w:t xml:space="preserve"> | rel. Nunes Marques</w:t>
      </w:r>
    </w:p>
    <w:p>
      <w:pPr>
        <w:ind w:left="288"/>
      </w:pPr>
      <w:r>
        <w:rPr>
          <w:color w:val="1E1E1E"/>
          <w:sz w:val="18"/>
        </w:rPr>
        <w:t>No tocante às alíquotas diferenciadas conforme a potência e a cilindrada dos motores de veículos terrestres, tem-se critério objetivo relacionado ao tipo do bem, não estando configurada progressividade tributária nem afronta ao art. 155, § 6º, II, da CF/1988.</w:t>
      </w:r>
    </w:p>
    <w:p>
      <w:pPr>
        <w:ind w:left="288"/>
      </w:pPr>
      <w:r>
        <w:rPr>
          <w:b/>
          <w:color w:val="003CA0"/>
          <w:sz w:val="16"/>
        </w:rPr>
        <w:t>[ADI 5.654, rel. min. Nunes Marques, j. 9-12-2025, P, DJE de 26-1-2026.]</w:t>
      </w:r>
    </w:p>
    <w:p>
      <w:pPr>
        <w:ind w:left="288"/>
      </w:pPr>
      <w:r>
        <w:rPr>
          <w:color w:val="8C8C8C"/>
          <w:sz w:val="12"/>
        </w:rPr>
        <w:t>cf-art-155-par-6-inc-II</w:t>
      </w:r>
    </w:p>
    <w:p>
      <w:pPr>
        <w:ind w:left="288"/>
      </w:pPr>
      <w:r>
        <w:rPr>
          <w:color w:val="1E1E1E"/>
          <w:sz w:val="18"/>
        </w:rPr>
        <w:t>Seção V Dos Impostos dos Municípios SUMÁRIO</w:t>
      </w:r>
    </w:p>
    <w:p>
      <w:pPr>
        <w:ind w:left="720"/>
      </w:pPr>
      <w:r>
        <w:rPr>
          <w:color w:val="003366"/>
          <w:sz w:val="18"/>
        </w:rPr>
        <w:t>I – transmissão causa mortis e doação, de quaisquer bens ou direitos; (Redação d</w:t>
      </w:r>
    </w:p>
    <w:p>
      <w:pPr>
        <w:ind w:left="720"/>
      </w:pPr>
      <w:r>
        <w:rPr>
          <w:color w:val="003366"/>
          <w:sz w:val="18"/>
        </w:rPr>
        <w:t>II – operações relativas à circulação de mercadorias e sobre prestações de servi</w:t>
      </w:r>
    </w:p>
    <w:p>
      <w:pPr>
        <w:ind w:left="720"/>
      </w:pPr>
      <w:r>
        <w:rPr>
          <w:color w:val="003366"/>
          <w:sz w:val="18"/>
        </w:rPr>
        <w:t>III – propriedade de veículos automotores. (Redação dada pela Emenda Constitucio</w:t>
      </w:r>
    </w:p>
    <w:p>
      <w:pPr>
        <w:ind w:left="432"/>
      </w:pPr>
      <w:r>
        <w:rPr>
          <w:color w:val="003366"/>
          <w:sz w:val="18"/>
        </w:rPr>
        <w:t xml:space="preserve">§ 1 O imposto previsto no inciso I: (Redação dada pela Emenda Constitucional nº </w:t>
      </w:r>
    </w:p>
    <w:p>
      <w:pPr>
        <w:ind w:left="720"/>
      </w:pPr>
      <w:r>
        <w:rPr>
          <w:color w:val="003366"/>
          <w:sz w:val="18"/>
        </w:rPr>
        <w:t>I – relativamente a bens imóveis e respectivos direitos, compete ao Estado da si</w:t>
      </w:r>
    </w:p>
    <w:p>
      <w:pPr>
        <w:ind w:left="720"/>
      </w:pPr>
      <w:r>
        <w:rPr>
          <w:color w:val="003366"/>
          <w:sz w:val="18"/>
        </w:rPr>
        <w:t>II – relativamente a bens móveis, títulos e créditos, compete ao Estado onde era</w:t>
      </w:r>
    </w:p>
    <w:p>
      <w:pPr>
        <w:ind w:left="720"/>
      </w:pPr>
      <w:r>
        <w:rPr>
          <w:color w:val="003366"/>
          <w:sz w:val="18"/>
        </w:rPr>
        <w:t>III – terá competência para sua instituição regulada por lei complementar:</w:t>
      </w:r>
    </w:p>
    <w:p>
      <w:pPr>
        <w:ind w:left="1008"/>
      </w:pPr>
      <w:r>
        <w:rPr>
          <w:color w:val="003366"/>
          <w:sz w:val="18"/>
        </w:rPr>
        <w:t>a) se o doador tiver domicilio ou residência no exterior;</w:t>
      </w:r>
    </w:p>
    <w:p>
      <w:pPr>
        <w:ind w:left="1008"/>
      </w:pPr>
      <w:r>
        <w:rPr>
          <w:color w:val="003366"/>
          <w:sz w:val="18"/>
        </w:rPr>
        <w:t>b) se o de cujus possuía bens, era residente ou domiciliado ou teve o seu invent</w:t>
      </w:r>
    </w:p>
    <w:p>
      <w:pPr>
        <w:ind w:left="720"/>
      </w:pPr>
      <w:r>
        <w:rPr>
          <w:color w:val="003366"/>
          <w:sz w:val="18"/>
        </w:rPr>
        <w:t>IV – terá suas alíquotas máximas fixadas pelo Senado Federal;</w:t>
      </w:r>
    </w:p>
    <w:p>
      <w:pPr>
        <w:ind w:left="720"/>
      </w:pPr>
      <w:r>
        <w:rPr>
          <w:color w:val="003366"/>
          <w:sz w:val="18"/>
        </w:rPr>
        <w:t>V – não incidirá sobre as doações destinadas, no âmbito do Poder Executivo da Un</w:t>
      </w:r>
    </w:p>
    <w:p>
      <w:pPr>
        <w:ind w:left="720"/>
      </w:pPr>
      <w:r>
        <w:rPr>
          <w:color w:val="003366"/>
          <w:sz w:val="18"/>
        </w:rPr>
        <w:t>VI – será progressivo em razão do valor do quinhão, do legado ou da doação; (Inc</w:t>
      </w:r>
    </w:p>
    <w:p>
      <w:pPr>
        <w:ind w:left="720"/>
      </w:pPr>
      <w:r>
        <w:rPr>
          <w:color w:val="003366"/>
          <w:sz w:val="18"/>
        </w:rPr>
        <w:t>VII – não incidirá sobre as transmissões e as doações para as instituições sem f</w:t>
      </w:r>
    </w:p>
    <w:p>
      <w:pPr>
        <w:ind w:left="432"/>
      </w:pPr>
      <w:r>
        <w:rPr>
          <w:color w:val="003366"/>
          <w:sz w:val="18"/>
        </w:rPr>
        <w:t>§ 2 O imposto previsto no inciso II atenderá ao seguinte: (Redação dada pela Eme</w:t>
      </w:r>
    </w:p>
    <w:p>
      <w:pPr>
        <w:ind w:left="720"/>
      </w:pPr>
      <w:r>
        <w:rPr>
          <w:color w:val="003366"/>
          <w:sz w:val="18"/>
        </w:rPr>
        <w:t>I – será não-cumulativo, compensando-se o que for devido em cada operação relati</w:t>
      </w:r>
    </w:p>
    <w:p>
      <w:pPr>
        <w:ind w:left="720"/>
      </w:pPr>
      <w:r>
        <w:rPr>
          <w:color w:val="003366"/>
          <w:sz w:val="18"/>
        </w:rPr>
        <w:t>II – a isenção ou não-incidência, salvo determinação em contrário da legislação:</w:t>
      </w:r>
    </w:p>
    <w:p>
      <w:pPr>
        <w:ind w:left="1008"/>
      </w:pPr>
      <w:r>
        <w:rPr>
          <w:color w:val="003366"/>
          <w:sz w:val="18"/>
        </w:rPr>
        <w:t>a) não implicará crédito para compensação com o montante devido nas operações ou</w:t>
      </w:r>
    </w:p>
    <w:p>
      <w:pPr>
        <w:ind w:left="1008"/>
      </w:pPr>
      <w:r>
        <w:rPr>
          <w:color w:val="003366"/>
          <w:sz w:val="18"/>
        </w:rPr>
        <w:t>b) acarretará a anulação do crédito relativo às operações anteriores;</w:t>
      </w:r>
    </w:p>
    <w:p>
      <w:pPr>
        <w:ind w:left="720"/>
      </w:pPr>
      <w:r>
        <w:rPr>
          <w:color w:val="003366"/>
          <w:sz w:val="18"/>
        </w:rPr>
        <w:t>III – poderá ser seletivo, em função da essencialidade das mercadorias e dos ser</w:t>
      </w:r>
    </w:p>
    <w:p>
      <w:pPr>
        <w:ind w:left="720"/>
      </w:pPr>
      <w:r>
        <w:rPr>
          <w:color w:val="003366"/>
          <w:sz w:val="18"/>
        </w:rPr>
        <w:t>IV – resolução do Senado Federal, de iniciativa do Presidente da República ou de</w:t>
      </w:r>
    </w:p>
    <w:p>
      <w:pPr>
        <w:ind w:left="720"/>
      </w:pPr>
      <w:r>
        <w:rPr>
          <w:color w:val="003366"/>
          <w:sz w:val="18"/>
        </w:rPr>
        <w:t>V – é facultado ao Senado Federal:</w:t>
      </w:r>
    </w:p>
    <w:p>
      <w:pPr>
        <w:ind w:left="1008"/>
      </w:pPr>
      <w:r>
        <w:rPr>
          <w:color w:val="003366"/>
          <w:sz w:val="18"/>
        </w:rPr>
        <w:t>a) estabelecer alíquotas mínimas nas operações internas, mediante resolução de i</w:t>
      </w:r>
    </w:p>
    <w:p>
      <w:pPr>
        <w:ind w:left="1008"/>
      </w:pPr>
      <w:r>
        <w:rPr>
          <w:color w:val="003366"/>
          <w:sz w:val="18"/>
        </w:rPr>
        <w:t>b) fixar alíquotas máximas nas mesmas operações para resolver conflito específic</w:t>
      </w:r>
    </w:p>
    <w:p>
      <w:pPr>
        <w:ind w:left="720"/>
      </w:pPr>
      <w:r>
        <w:rPr>
          <w:color w:val="003366"/>
          <w:sz w:val="18"/>
        </w:rPr>
        <w:t>VI – salvo deliberação em contrário dos Estados e do Distrito Federal, nos termo</w:t>
      </w:r>
    </w:p>
    <w:p>
      <w:pPr>
        <w:ind w:left="720"/>
      </w:pPr>
      <w:r>
        <w:rPr>
          <w:color w:val="003366"/>
          <w:sz w:val="18"/>
        </w:rPr>
        <w:t>VII – nas operações e prestações que destinem bens e serviços a consumidor final</w:t>
      </w:r>
    </w:p>
    <w:p>
      <w:pPr>
        <w:ind w:left="1008"/>
      </w:pPr>
      <w:r>
        <w:rPr>
          <w:color w:val="003366"/>
          <w:sz w:val="18"/>
        </w:rPr>
        <w:t>a) (revogada); (Redação dada pela Emenda Constitucional nº 87, de 2015)</w:t>
      </w:r>
    </w:p>
    <w:p>
      <w:pPr>
        <w:ind w:left="1008"/>
      </w:pPr>
      <w:r>
        <w:rPr>
          <w:color w:val="003366"/>
          <w:sz w:val="18"/>
        </w:rPr>
        <w:t>b) (revogada); (Redação dada pela Emenda Constitucional nº 87, de 2015)</w:t>
      </w:r>
    </w:p>
    <w:p>
      <w:pPr>
        <w:ind w:left="720"/>
      </w:pPr>
      <w:r>
        <w:rPr>
          <w:color w:val="003366"/>
          <w:sz w:val="18"/>
        </w:rPr>
        <w:t>VIII – a responsabilidade pelo recolhimento do imposto correspondente à diferenç</w:t>
      </w:r>
    </w:p>
    <w:p>
      <w:pPr>
        <w:ind w:left="1008"/>
      </w:pPr>
      <w:r>
        <w:rPr>
          <w:color w:val="003366"/>
          <w:sz w:val="18"/>
        </w:rPr>
        <w:t>a) ao destinatário, quando este for contribuinte do imposto; (Incluído pela Emen</w:t>
      </w:r>
    </w:p>
    <w:p>
      <w:pPr>
        <w:ind w:left="1008"/>
      </w:pPr>
      <w:r>
        <w:rPr>
          <w:color w:val="003366"/>
          <w:sz w:val="18"/>
        </w:rPr>
        <w:t>b) ao remetente, quando o destinatário não for contribuinte do imposto; (Incluíd</w:t>
      </w:r>
    </w:p>
    <w:p>
      <w:pPr>
        <w:ind w:left="720"/>
      </w:pPr>
      <w:r>
        <w:rPr>
          <w:color w:val="003366"/>
          <w:sz w:val="18"/>
        </w:rPr>
        <w:t>IX – incidirá também:</w:t>
      </w:r>
    </w:p>
    <w:p>
      <w:pPr>
        <w:ind w:left="1008"/>
      </w:pPr>
      <w:r>
        <w:rPr>
          <w:color w:val="003366"/>
          <w:sz w:val="18"/>
        </w:rPr>
        <w:t>a) sobre a entrada de bem ou mercadoria importados do exterior por pessoa física</w:t>
      </w:r>
    </w:p>
    <w:p>
      <w:pPr>
        <w:ind w:left="1008"/>
      </w:pPr>
      <w:r>
        <w:rPr>
          <w:color w:val="003366"/>
          <w:sz w:val="18"/>
        </w:rPr>
        <w:t>b) sobre o valor total da operação, quando mercadorias forem fornecidas com serv</w:t>
      </w:r>
    </w:p>
    <w:p>
      <w:pPr>
        <w:ind w:left="720"/>
      </w:pPr>
      <w:r>
        <w:rPr>
          <w:color w:val="003366"/>
          <w:sz w:val="18"/>
        </w:rPr>
        <w:t>X – não incidirá:</w:t>
      </w:r>
    </w:p>
    <w:p>
      <w:pPr>
        <w:ind w:left="1008"/>
      </w:pPr>
      <w:r>
        <w:rPr>
          <w:color w:val="003366"/>
          <w:sz w:val="18"/>
        </w:rPr>
        <w:t xml:space="preserve">a) sobre operações que destinem mercadorias para o exterior, nem sobre serviços </w:t>
      </w:r>
    </w:p>
    <w:p>
      <w:pPr>
        <w:ind w:left="1008"/>
      </w:pPr>
      <w:r>
        <w:rPr>
          <w:color w:val="003366"/>
          <w:sz w:val="18"/>
        </w:rPr>
        <w:t>b) sobre operações que destinem a outros Estados petróleo, inclusive lubrificant</w:t>
      </w:r>
    </w:p>
    <w:p>
      <w:pPr>
        <w:ind w:left="1008"/>
      </w:pPr>
      <w:r>
        <w:rPr>
          <w:color w:val="003366"/>
          <w:sz w:val="18"/>
        </w:rPr>
        <w:t>c) sobre o ouro, nas hipóteses definidas no art. 153, § 5º;</w:t>
      </w:r>
    </w:p>
    <w:p>
      <w:pPr>
        <w:ind w:left="1008"/>
      </w:pPr>
      <w:r>
        <w:rPr>
          <w:color w:val="003366"/>
          <w:sz w:val="18"/>
        </w:rPr>
        <w:t>d) nas prestações de serviço de comunicação nas modalidades de radiodifusão sono</w:t>
      </w:r>
    </w:p>
    <w:p>
      <w:pPr>
        <w:ind w:left="720"/>
      </w:pPr>
      <w:r>
        <w:rPr>
          <w:color w:val="003366"/>
          <w:sz w:val="18"/>
        </w:rPr>
        <w:t>XI – não compreenderá, em sua base de cálculo, o montante do imposto sobre produ</w:t>
      </w:r>
    </w:p>
    <w:p>
      <w:pPr>
        <w:ind w:left="720"/>
      </w:pPr>
      <w:r>
        <w:rPr>
          <w:color w:val="003366"/>
          <w:sz w:val="18"/>
        </w:rPr>
        <w:t>XII – cabe à lei complementar:</w:t>
      </w:r>
    </w:p>
    <w:p>
      <w:pPr>
        <w:ind w:left="1008"/>
      </w:pPr>
      <w:r>
        <w:rPr>
          <w:color w:val="003366"/>
          <w:sz w:val="18"/>
        </w:rPr>
        <w:t>a) definir seus contribuintes;</w:t>
      </w:r>
    </w:p>
    <w:p>
      <w:pPr>
        <w:ind w:left="1008"/>
      </w:pPr>
      <w:r>
        <w:rPr>
          <w:color w:val="003366"/>
          <w:sz w:val="18"/>
        </w:rPr>
        <w:t>b) dispor sobre substituição tributária;</w:t>
      </w:r>
    </w:p>
    <w:p>
      <w:pPr>
        <w:ind w:left="1008"/>
      </w:pPr>
      <w:r>
        <w:rPr>
          <w:color w:val="003366"/>
          <w:sz w:val="18"/>
        </w:rPr>
        <w:t>c) disciplinar o regime de compensação do imposto;</w:t>
      </w:r>
    </w:p>
    <w:p>
      <w:pPr>
        <w:ind w:left="1008"/>
      </w:pPr>
      <w:r>
        <w:rPr>
          <w:color w:val="003366"/>
          <w:sz w:val="18"/>
        </w:rPr>
        <w:t>d) fixar, para efeito de sua cobrança e definição do estabelecimento responsável</w:t>
      </w:r>
    </w:p>
    <w:p>
      <w:pPr>
        <w:ind w:left="1008"/>
      </w:pPr>
      <w:r>
        <w:rPr>
          <w:color w:val="003366"/>
          <w:sz w:val="18"/>
        </w:rPr>
        <w:t>e) excluir da incidência do imposto, nas exportações para o exterior, serviços e</w:t>
      </w:r>
    </w:p>
    <w:p>
      <w:pPr>
        <w:ind w:left="1008"/>
      </w:pPr>
      <w:r>
        <w:rPr>
          <w:color w:val="003366"/>
          <w:sz w:val="18"/>
        </w:rPr>
        <w:t>f) prever casos de manutenção de crédito, relativamente à remessa para outro Est</w:t>
      </w:r>
    </w:p>
    <w:p>
      <w:pPr>
        <w:ind w:left="1008"/>
      </w:pPr>
      <w:r>
        <w:rPr>
          <w:color w:val="003366"/>
          <w:sz w:val="18"/>
        </w:rPr>
        <w:t>g) regular a forma como, mediante deliberação dos Estados e do Distrito Federal,</w:t>
      </w:r>
    </w:p>
    <w:p>
      <w:pPr>
        <w:ind w:left="1008"/>
      </w:pPr>
      <w:r>
        <w:rPr>
          <w:color w:val="003366"/>
          <w:sz w:val="18"/>
        </w:rPr>
        <w:t>h) definir os combustíveis e lubrificantes sobre os quais o imposto incidirá uma</w:t>
      </w:r>
    </w:p>
    <w:p>
      <w:pPr>
        <w:ind w:left="1008"/>
      </w:pPr>
      <w:r>
        <w:rPr>
          <w:color w:val="003366"/>
          <w:sz w:val="18"/>
        </w:rPr>
        <w:t xml:space="preserve">i) fixar a base de cálculo, de modo que o montante do imposto a integre, também </w:t>
      </w:r>
    </w:p>
    <w:p>
      <w:pPr>
        <w:ind w:left="432"/>
      </w:pPr>
      <w:r>
        <w:rPr>
          <w:color w:val="003366"/>
          <w:sz w:val="18"/>
        </w:rPr>
        <w:t xml:space="preserve">§ 3 À exceção dos impostos de que tratam o inciso II do caput deste artigo e os </w:t>
      </w:r>
    </w:p>
    <w:p>
      <w:pPr>
        <w:ind w:left="432"/>
      </w:pPr>
      <w:r>
        <w:rPr>
          <w:color w:val="003366"/>
          <w:sz w:val="18"/>
        </w:rPr>
        <w:t>§ 4 Na hipótese do inciso XII, h, observar-se-á o seguinte: (Incluído pela Emend</w:t>
      </w:r>
    </w:p>
    <w:p>
      <w:pPr>
        <w:ind w:left="720"/>
      </w:pPr>
      <w:r>
        <w:rPr>
          <w:color w:val="003366"/>
          <w:sz w:val="18"/>
        </w:rPr>
        <w:t>I – nas operações com os lubrificantes e combustíveis derivados de petróleo, o i</w:t>
      </w:r>
    </w:p>
    <w:p>
      <w:pPr>
        <w:ind w:left="720"/>
      </w:pPr>
      <w:r>
        <w:rPr>
          <w:color w:val="003366"/>
          <w:sz w:val="18"/>
        </w:rPr>
        <w:t>II – nas operações interestaduais, entre contribuintes, com gás natural e seus d</w:t>
      </w:r>
    </w:p>
    <w:p>
      <w:pPr>
        <w:ind w:left="720"/>
      </w:pPr>
      <w:r>
        <w:rPr>
          <w:color w:val="003366"/>
          <w:sz w:val="18"/>
        </w:rPr>
        <w:t>III – nas operações interestaduais com gás natural e seus derivados, e lubrifica</w:t>
      </w:r>
    </w:p>
    <w:p>
      <w:pPr>
        <w:ind w:left="720"/>
      </w:pPr>
      <w:r>
        <w:rPr>
          <w:color w:val="003366"/>
          <w:sz w:val="18"/>
        </w:rPr>
        <w:t xml:space="preserve">IV – as alíquotas do imposto serão definidas mediante deliberação dos Estados e </w:t>
      </w:r>
    </w:p>
    <w:p>
      <w:pPr>
        <w:ind w:left="1008"/>
      </w:pPr>
      <w:r>
        <w:rPr>
          <w:color w:val="003366"/>
          <w:sz w:val="18"/>
        </w:rPr>
        <w:t xml:space="preserve">a) serão uniformes em todo o território nacional, podendo ser diferenciadas por </w:t>
      </w:r>
    </w:p>
    <w:p>
      <w:pPr>
        <w:ind w:left="1008"/>
      </w:pPr>
      <w:r>
        <w:rPr>
          <w:color w:val="003366"/>
          <w:sz w:val="18"/>
        </w:rPr>
        <w:t>b) poderão ser específicas, por unidade de medida adotada, ou ad valorem, incidi</w:t>
      </w:r>
    </w:p>
    <w:p>
      <w:pPr>
        <w:ind w:left="1008"/>
      </w:pPr>
      <w:r>
        <w:rPr>
          <w:color w:val="003366"/>
          <w:sz w:val="18"/>
        </w:rPr>
        <w:t>c) poderão ser reduzidas e restabelecidas, não se lhes aplicando o disposto no a</w:t>
      </w:r>
    </w:p>
    <w:p>
      <w:pPr>
        <w:ind w:left="432"/>
      </w:pPr>
      <w:r>
        <w:rPr>
          <w:color w:val="003366"/>
          <w:sz w:val="18"/>
        </w:rPr>
        <w:t>§ 5 As regras necessárias à aplicação do disposto no § 4º, inclusive as relativa</w:t>
      </w:r>
    </w:p>
    <w:p>
      <w:pPr>
        <w:ind w:left="432"/>
      </w:pPr>
      <w:r>
        <w:rPr>
          <w:color w:val="003366"/>
          <w:sz w:val="18"/>
        </w:rPr>
        <w:t>§ 6 O imposto previsto no inciso III: (Incluído pela Emenda Constitucional nº 42</w:t>
      </w:r>
    </w:p>
    <w:p>
      <w:pPr>
        <w:ind w:left="720"/>
      </w:pPr>
      <w:r>
        <w:rPr>
          <w:color w:val="003366"/>
          <w:sz w:val="18"/>
        </w:rPr>
        <w:t>I – terá alíquotas mínimas fixadas pelo Senado Federal; (Incluído pela Emenda Co</w:t>
      </w:r>
    </w:p>
    <w:p>
      <w:pPr>
        <w:ind w:left="720"/>
      </w:pPr>
      <w:r>
        <w:rPr>
          <w:color w:val="003366"/>
          <w:sz w:val="18"/>
        </w:rPr>
        <w:t>II – poderá ter alíquotas diferenciadas em função do tipo, do valor, da utilizaç</w:t>
      </w:r>
    </w:p>
    <w:p>
      <w:pPr>
        <w:ind w:left="720"/>
      </w:pPr>
      <w:r>
        <w:rPr>
          <w:color w:val="003366"/>
          <w:sz w:val="18"/>
        </w:rPr>
        <w:t>III – incidirá sobre a propriedade de veículos automotores terrestres, aquáticos</w:t>
      </w:r>
    </w:p>
    <w:p>
      <w:pPr>
        <w:ind w:left="1008"/>
      </w:pPr>
      <w:r>
        <w:rPr>
          <w:color w:val="003366"/>
          <w:sz w:val="18"/>
        </w:rPr>
        <w:t xml:space="preserve">a) aeronaves agrícolas e de operador certificado para prestar serviços aéreos a </w:t>
      </w:r>
    </w:p>
    <w:p>
      <w:pPr>
        <w:ind w:left="1008"/>
      </w:pPr>
      <w:r>
        <w:rPr>
          <w:color w:val="003366"/>
          <w:sz w:val="18"/>
        </w:rPr>
        <w:t>b) embarcações de pessoa jurídica que detenha outorga para prestar serviços de t</w:t>
      </w:r>
    </w:p>
    <w:p>
      <w:pPr>
        <w:ind w:left="1008"/>
      </w:pPr>
      <w:r>
        <w:rPr>
          <w:color w:val="003366"/>
          <w:sz w:val="18"/>
        </w:rPr>
        <w:t>c) plataformas suscetíveis de se locomoverem na água por meios próprios, inclusi</w:t>
      </w:r>
    </w:p>
    <w:p>
      <w:pPr>
        <w:ind w:left="1008"/>
      </w:pPr>
      <w:r>
        <w:rPr>
          <w:color w:val="003366"/>
          <w:sz w:val="18"/>
        </w:rPr>
        <w:t>d) tratores e máquinas agrícolas. (Incluído pela Emenda Constitucional nº 132, d</w:t>
      </w:r>
    </w:p>
    <w:p>
      <w:pPr>
        <w:ind w:left="1008"/>
      </w:pPr>
      <w:r>
        <w:rPr>
          <w:color w:val="003366"/>
          <w:sz w:val="18"/>
        </w:rPr>
        <w:t>e) veículos terrestres de passageiros, caminhonetes e mistos com 20 (vinte) anos</w:t>
      </w:r>
    </w:p>
    <w:p>
      <w:pPr>
        <w:pStyle w:val="Heading3"/>
      </w:pPr>
      <w:r>
        <w:rPr>
          <w:color w:val="003366"/>
        </w:rPr>
        <w:t>Seção V - DOS IMPOSTOS DOS MUNICÍPIOS</w:t>
      </w:r>
    </w:p>
    <w:p>
      <w:r>
        <w:rPr>
          <w:b/>
          <w:color w:val="003366"/>
          <w:sz w:val="20"/>
        </w:rPr>
        <w:t>Art. 156 Compete aos Municípios instituir impostos sobre:</w:t>
      </w:r>
      <w:r>
        <w:rPr>
          <w:color w:val="8C8C8C"/>
          <w:sz w:val="14"/>
        </w:rPr>
        <w:t xml:space="preserve">  [34 decisoes]</w:t>
      </w:r>
    </w:p>
    <w:p>
      <w:pPr>
        <w:ind w:left="144"/>
      </w:pPr>
      <w:r>
        <w:rPr>
          <w:b/>
          <w:color w:val="B45A00"/>
          <w:sz w:val="16"/>
        </w:rPr>
        <w:t>REPERCUSSAO GERAL</w:t>
      </w:r>
    </w:p>
    <w:p>
      <w:pPr>
        <w:ind w:left="288"/>
      </w:pPr>
      <w:r>
        <w:rPr>
          <w:color w:val="8C8C8C"/>
          <w:sz w:val="12"/>
        </w:rPr>
        <w:t>cf-art-156-inc-I</w:t>
      </w:r>
      <w:r>
        <w:rPr>
          <w:color w:val="003CA0"/>
          <w:sz w:val="12"/>
        </w:rPr>
        <w:t xml:space="preserve"> | ARE 1.245.097</w:t>
      </w:r>
      <w:r>
        <w:rPr>
          <w:color w:val="003CA0"/>
          <w:sz w:val="12"/>
        </w:rPr>
        <w:t xml:space="preserve"> | rel. Roberto Barroso</w:t>
      </w:r>
    </w:p>
    <w:p>
      <w:pPr>
        <w:ind w:left="288"/>
      </w:pPr>
      <w:r>
        <w:rPr>
          <w:color w:val="1E1E1E"/>
          <w:sz w:val="18"/>
        </w:rPr>
        <w:t>“É constitucional a lei municipal que delega ao Poder Executivo a avaliação individualizada, para fins de cobrança do IPTU, de imóvel novo não previsto na Planta Genérica de Valores, desde que fixados em lei os critérios para a avaliação técnica e assegurado ao contribuinte o direito ao contraditório.”</w:t>
        <w:br/>
        <w:t>[ARE 1.245.097, rel. min. Roberto Barroso, j. 5-6-2023, P, DJE de 27-7-2023, Tema 1.084, com mérito julgado.] Declaração de inconstitucionalidade da alteração dos limites intermunicipais por ausência de observância do § 4º do art. 18 da Constituição da República. A exigência da realização de ple</w:t>
      </w:r>
    </w:p>
    <w:p>
      <w:pPr>
        <w:ind w:left="144"/>
      </w:pPr>
      <w:r>
        <w:rPr>
          <w:b/>
          <w:color w:val="B45A00"/>
          <w:sz w:val="16"/>
        </w:rPr>
        <w:t>SUMULA</w:t>
      </w:r>
    </w:p>
    <w:p>
      <w:pPr>
        <w:ind w:left="288"/>
      </w:pPr>
      <w:r>
        <w:rPr>
          <w:color w:val="8C8C8C"/>
          <w:sz w:val="12"/>
        </w:rPr>
        <w:t>cf-art-156-inc-I</w:t>
      </w:r>
    </w:p>
    <w:p>
      <w:pPr>
        <w:ind w:left="288"/>
      </w:pPr>
      <w:r>
        <w:rPr>
          <w:color w:val="1E1E1E"/>
          <w:sz w:val="18"/>
        </w:rPr>
        <w:t>É inconstitucional a lei que estabelece alíquotas progressivas para o Imposto de Transmissão Inter Vivos de Bens Imóveis (ITBI) com base no valor venal do imóvel.</w:t>
      </w:r>
    </w:p>
    <w:p>
      <w:pPr>
        <w:ind w:left="288"/>
      </w:pPr>
      <w:r>
        <w:rPr>
          <w:b/>
          <w:color w:val="003CA0"/>
          <w:sz w:val="16"/>
        </w:rPr>
        <w:t>[Súmula 656.]</w:t>
      </w:r>
    </w:p>
    <w:p>
      <w:pPr>
        <w:ind w:left="144"/>
      </w:pPr>
      <w:r>
        <w:rPr>
          <w:b/>
          <w:color w:val="B45A00"/>
          <w:sz w:val="16"/>
        </w:rPr>
        <w:t>REPERCUSSAO GERAL</w:t>
      </w:r>
    </w:p>
    <w:p>
      <w:pPr>
        <w:ind w:left="288"/>
      </w:pPr>
      <w:r>
        <w:rPr>
          <w:color w:val="8C8C8C"/>
          <w:sz w:val="12"/>
        </w:rPr>
        <w:t>cf-art-156-inc-I</w:t>
      </w:r>
      <w:r>
        <w:rPr>
          <w:color w:val="003CA0"/>
          <w:sz w:val="12"/>
        </w:rPr>
        <w:t xml:space="preserve"> | ARE 1.294.969</w:t>
      </w:r>
      <w:r>
        <w:rPr>
          <w:color w:val="003CA0"/>
          <w:sz w:val="12"/>
        </w:rPr>
        <w:t xml:space="preserve"> | rel. Luiz Fux</w:t>
      </w:r>
    </w:p>
    <w:p>
      <w:pPr>
        <w:ind w:left="288"/>
      </w:pPr>
      <w:r>
        <w:rPr>
          <w:color w:val="1E1E1E"/>
          <w:sz w:val="18"/>
        </w:rPr>
        <w:t>Incidência do Imposto de Transmissão de Bens Imóveis (ITBI) na cessão de direitos de compra e venda, ausente a transferência de propriedade pelo registro imobiliário.</w:t>
        <w:br/>
        <w:t>[ARE 1.294.969, rel. min. Luiz Fux, j. 11-2-2022, P, DJE de 19-2-2022, Tema 1.124, com mérito pendente.] A cobrança de ITBI [Imposto de Transmissão Inter Vivos de Bens Imóveis] é devida no momento do registro da compra e venda na matrícula do imóvel.</w:t>
      </w:r>
    </w:p>
    <w:p>
      <w:pPr>
        <w:ind w:left="288"/>
      </w:pPr>
      <w:r>
        <w:rPr>
          <w:b/>
          <w:color w:val="003CA0"/>
          <w:sz w:val="16"/>
        </w:rPr>
        <w:t>[ARE 759.964 AgR, rel. min. Edson Fachin, j. 15-9-2015, 1ª T, DJE de 29-9-2015.]</w:t>
      </w:r>
    </w:p>
    <w:p>
      <w:pPr>
        <w:ind w:left="288"/>
      </w:pPr>
      <w:r>
        <w:rPr>
          <w:color w:val="8C8C8C"/>
          <w:sz w:val="12"/>
        </w:rPr>
        <w:t>cf-art-156-inc-I</w:t>
      </w:r>
      <w:r>
        <w:rPr>
          <w:color w:val="003CA0"/>
          <w:sz w:val="12"/>
        </w:rPr>
        <w:t xml:space="preserve"> | ARE 1.526.080</w:t>
      </w:r>
      <w:r>
        <w:rPr>
          <w:color w:val="003CA0"/>
          <w:sz w:val="12"/>
        </w:rPr>
        <w:t xml:space="preserve"> | rel. Dias Toffoli</w:t>
      </w:r>
    </w:p>
    <w:p>
      <w:pPr>
        <w:ind w:left="288"/>
      </w:pPr>
      <w:r>
        <w:rPr>
          <w:color w:val="1E1E1E"/>
          <w:sz w:val="18"/>
        </w:rPr>
        <w:t>= ARE 1.526.080 AgR, rel. min. Dias Toffoli, j. 07.04.2025, 2ª T, DJE de 09.04.2025.] (...) o STF assentou que os contratos de promessa não constituem fato gerador para a incidência do Imposto sobre a Transmissão de Bens Imóveis.</w:t>
      </w:r>
    </w:p>
    <w:p>
      <w:pPr>
        <w:ind w:left="288"/>
      </w:pPr>
      <w:r>
        <w:rPr>
          <w:b/>
          <w:color w:val="003CA0"/>
          <w:sz w:val="16"/>
        </w:rPr>
        <w:t>[RE 666.096 AgR, voto da rel. min. Cármen Lúcia, j. 30-10-2012, 2ª T, DJE de 21-11-2012.]</w:t>
      </w:r>
    </w:p>
    <w:p>
      <w:pPr>
        <w:ind w:left="288"/>
      </w:pPr>
      <w:r>
        <w:rPr>
          <w:color w:val="8C8C8C"/>
          <w:sz w:val="12"/>
        </w:rPr>
        <w:t>cf-art-156-inc-I</w:t>
      </w:r>
      <w:r>
        <w:rPr>
          <w:color w:val="003CA0"/>
          <w:sz w:val="12"/>
        </w:rPr>
        <w:t xml:space="preserve"> | AI 782.703</w:t>
      </w:r>
      <w:r>
        <w:rPr>
          <w:color w:val="003CA0"/>
          <w:sz w:val="12"/>
        </w:rPr>
        <w:t xml:space="preserve"> | rel. Dias Toffoli</w:t>
      </w:r>
    </w:p>
    <w:p>
      <w:pPr>
        <w:ind w:left="288"/>
      </w:pPr>
      <w:r>
        <w:rPr>
          <w:color w:val="1E1E1E"/>
          <w:sz w:val="18"/>
        </w:rPr>
        <w:t>= AI 782.703 AgR, rel. min. Dias Toffoli, j. 8-10-2013, 1ª T, DJE de 25-11-2013</w:t>
      </w:r>
    </w:p>
    <w:p>
      <w:pPr>
        <w:ind w:left="144"/>
      </w:pPr>
      <w:r>
        <w:rPr>
          <w:b/>
          <w:color w:val="B45A00"/>
          <w:sz w:val="16"/>
        </w:rPr>
        <w:t>SUMULA VINCULANTE</w:t>
      </w:r>
    </w:p>
    <w:p>
      <w:pPr>
        <w:ind w:left="288"/>
      </w:pPr>
      <w:r>
        <w:rPr>
          <w:color w:val="8C8C8C"/>
          <w:sz w:val="12"/>
        </w:rPr>
        <w:t>cf-art-156-inc-III</w:t>
      </w:r>
    </w:p>
    <w:p>
      <w:pPr>
        <w:ind w:left="288"/>
      </w:pPr>
      <w:r>
        <w:rPr>
          <w:color w:val="1E1E1E"/>
          <w:sz w:val="18"/>
        </w:rPr>
        <w:t>É inconstitucional a incidência do Imposto sobre Serviços de Qualquer Natureza – ISS sobre operações de locação de bens móveis.</w:t>
      </w:r>
    </w:p>
    <w:p>
      <w:pPr>
        <w:ind w:left="288"/>
      </w:pPr>
      <w:r>
        <w:rPr>
          <w:b/>
          <w:color w:val="003CA0"/>
          <w:sz w:val="16"/>
        </w:rPr>
        <w:t>[Súmula Vinculante 31.]</w:t>
      </w:r>
    </w:p>
    <w:p>
      <w:pPr>
        <w:ind w:left="144"/>
      </w:pPr>
      <w:r>
        <w:rPr>
          <w:b/>
          <w:color w:val="B45A00"/>
          <w:sz w:val="16"/>
        </w:rPr>
        <w:t>CONTROLE CONCENTRADO</w:t>
      </w:r>
    </w:p>
    <w:p>
      <w:pPr>
        <w:ind w:left="288"/>
      </w:pPr>
      <w:r>
        <w:rPr>
          <w:color w:val="8C8C8C"/>
          <w:sz w:val="12"/>
        </w:rPr>
        <w:t>cf-art-156-inc-III</w:t>
      </w:r>
      <w:r>
        <w:rPr>
          <w:color w:val="003CA0"/>
          <w:sz w:val="12"/>
        </w:rPr>
        <w:t xml:space="preserve"> | ADI 4.784</w:t>
      </w:r>
      <w:r>
        <w:rPr>
          <w:color w:val="003CA0"/>
          <w:sz w:val="12"/>
        </w:rPr>
        <w:t xml:space="preserve"> | rel. Flávio Dino</w:t>
      </w:r>
    </w:p>
    <w:p>
      <w:pPr>
        <w:ind w:left="288"/>
      </w:pPr>
      <w:r>
        <w:rPr>
          <w:color w:val="1E1E1E"/>
          <w:sz w:val="18"/>
        </w:rPr>
        <w:t>A tese pela qual reconhecida a constitucionalidade da “cobrança do Imposto sobre Serviços de Qualquer Natureza (ISS) sobre a franquia postal”, comporta explicitação, para assentar que a exação sobre “serviços de coleta, remessa ou entrega de correspondências, documentos, objetos, bens ou valores” não incide sobre os serviços considerados postais.</w:t>
        <w:br/>
        <w:t>[ADI 4.784 ED, rel. min. Flávio Dino, j. 12.08.2024, P, DJE de 09.09.2024.]</w:t>
        <w:br/>
        <w:t>Vide ADI 4.784, rel. min. Roberto Barroso, j. 12.09.2023, P, DJE de 06.11.2023 Não é devida a leitura da hospedagem como uma obrigação de dar, porquanto não se depreende dela,</w:t>
      </w:r>
    </w:p>
    <w:p>
      <w:pPr>
        <w:ind w:left="288"/>
      </w:pPr>
      <w:r>
        <w:rPr>
          <w:b/>
          <w:color w:val="003CA0"/>
          <w:sz w:val="16"/>
        </w:rPr>
        <w:t>[ADI 3.089, red. do ac. min. Joaquim Barbosa, j. 13-2-2008, P, DJE de 1º-8-2008.]</w:t>
        <w:br/>
        <w:t>= RE 756.915 RG, rel. min. Gilmar Mendes, j. 17-10-2013, P, DJE de 12-11-2013, Tema 688</w:t>
      </w:r>
    </w:p>
    <w:p>
      <w:pPr>
        <w:ind w:left="288"/>
      </w:pPr>
      <w:r>
        <w:rPr>
          <w:color w:val="8C8C8C"/>
          <w:sz w:val="12"/>
        </w:rPr>
        <w:t>cf-art-156-inc-III</w:t>
      </w:r>
      <w:r>
        <w:rPr>
          <w:color w:val="003CA0"/>
          <w:sz w:val="12"/>
        </w:rPr>
        <w:t xml:space="preserve"> | RE 882.461</w:t>
      </w:r>
      <w:r>
        <w:rPr>
          <w:color w:val="003CA0"/>
          <w:sz w:val="12"/>
        </w:rPr>
        <w:t xml:space="preserve"> | rel. Dias Toffoli</w:t>
      </w:r>
    </w:p>
    <w:p>
      <w:pPr>
        <w:ind w:left="288"/>
      </w:pPr>
      <w:r>
        <w:rPr>
          <w:color w:val="1E1E1E"/>
          <w:sz w:val="18"/>
        </w:rPr>
        <w:t>“1. É inconstitucional a incidência do ISS a que se refere o subitem 14.05 da lista anexa à LC nº 116/03 se o objeto é destinado à industrialização ou à comercialização; 2. As multas moratórias instituídas pela União, pelos estados, pelo Distrito Federal e pelos municípios devem observar o teto de 20% do débito tributário”.</w:t>
      </w:r>
    </w:p>
    <w:p>
      <w:pPr>
        <w:ind w:left="288"/>
      </w:pPr>
      <w:r>
        <w:rPr>
          <w:b/>
          <w:color w:val="003CA0"/>
          <w:sz w:val="16"/>
        </w:rPr>
        <w:t>[RE 882.461, rel. min. Dias Toffoli, j. 26.02.2025, P, DJE de 30.04.2025, Tema 816, com mérito julgado.]</w:t>
      </w:r>
    </w:p>
    <w:p>
      <w:pPr>
        <w:ind w:left="144"/>
      </w:pPr>
      <w:r>
        <w:rPr>
          <w:b/>
          <w:color w:val="B45A00"/>
          <w:sz w:val="16"/>
        </w:rPr>
        <w:t>REPERCUSSAO GERAL</w:t>
      </w:r>
    </w:p>
    <w:p>
      <w:pPr>
        <w:ind w:left="288"/>
      </w:pPr>
      <w:r>
        <w:rPr>
          <w:color w:val="8C8C8C"/>
          <w:sz w:val="12"/>
        </w:rPr>
        <w:t>cf-art-156-inc-III</w:t>
      </w:r>
      <w:r>
        <w:rPr>
          <w:color w:val="003CA0"/>
          <w:sz w:val="12"/>
        </w:rPr>
        <w:t xml:space="preserve"> | RE 688.223</w:t>
      </w:r>
      <w:r>
        <w:rPr>
          <w:color w:val="003CA0"/>
          <w:sz w:val="12"/>
        </w:rPr>
        <w:t xml:space="preserve"> | rel. Dias Toffoli</w:t>
      </w:r>
    </w:p>
    <w:p>
      <w:pPr>
        <w:ind w:left="288"/>
      </w:pPr>
      <w:r>
        <w:rPr>
          <w:color w:val="1E1E1E"/>
          <w:sz w:val="18"/>
        </w:rPr>
        <w:t>Recentemente, o Tribunal Pleno, no julgamento das ADI nºs 1.945/MT e 5.659/MG, consignou que a tradicional distinção entre software de prateleira (padronizado) e por encomenda (personalizado) não é mais suficiente para a definição da competência para a tributação dos negócios jurídicos que envolvam programas de computador em suas diversas modalidades. Na mesma oportunidade, a Corte aduziu que o legislador complementar, adotando critério objetivo, buscou dirimir conflitos de competências em matéria tributária envolvendo softwares, estabelecendo, no subitem 1.05 da lista anexa à LC nº 116/03, qu</w:t>
      </w:r>
    </w:p>
    <w:p>
      <w:pPr>
        <w:ind w:left="288"/>
      </w:pPr>
      <w:r>
        <w:rPr>
          <w:b/>
          <w:color w:val="003CA0"/>
          <w:sz w:val="16"/>
        </w:rPr>
        <w:t>[RE 688.223, rel. min. Dias Toffoli, j. 6-12-2021, P, DJE de 3-3-2022, Tema 590, com mérito julgado.]</w:t>
      </w:r>
    </w:p>
    <w:p>
      <w:pPr>
        <w:ind w:left="288"/>
      </w:pPr>
      <w:r>
        <w:rPr>
          <w:color w:val="8C8C8C"/>
          <w:sz w:val="12"/>
        </w:rPr>
        <w:t>cf-art-156-inc-III</w:t>
      </w:r>
      <w:r>
        <w:rPr>
          <w:color w:val="003CA0"/>
          <w:sz w:val="12"/>
        </w:rPr>
        <w:t xml:space="preserve"> | RE 605.552</w:t>
      </w:r>
      <w:r>
        <w:rPr>
          <w:color w:val="003CA0"/>
          <w:sz w:val="12"/>
        </w:rPr>
        <w:t xml:space="preserve"> | rel. Dias Toffoli</w:t>
      </w:r>
    </w:p>
    <w:p>
      <w:pPr>
        <w:ind w:left="288"/>
      </w:pPr>
      <w:r>
        <w:rPr>
          <w:color w:val="1E1E1E"/>
          <w:sz w:val="18"/>
        </w:rPr>
        <w:t>A Corte tradicionalmente resolve as ambiguidades entre o ISS e o ICMS com base em critério objetivo: incide apenas o primeiro se o serviço está definido por lei complementar como tributável por tal imposto, ainda que sua prestação envolva a utilização ou o fornecimento de bens, ressalvadas as exceções previstas na lei; ou incide apenas o segundo se a operação de circulação de mercadorias envolver serviço não definido por aquela lei complementar. O critério objetivo pode ser afastado se o legislador complementar definir como tributáveis pelo ISS serviços que, ontologicamente, não são serviços o</w:t>
      </w:r>
    </w:p>
    <w:p>
      <w:pPr>
        <w:ind w:left="288"/>
      </w:pPr>
      <w:r>
        <w:rPr>
          <w:b/>
          <w:color w:val="003CA0"/>
          <w:sz w:val="16"/>
        </w:rPr>
        <w:t>[RE 605.552, rel. min. Dias Toffoli, j. 5-8-2020, P, DJE de 6-10-2020, Tema 379, com mérito julgado.]</w:t>
      </w:r>
    </w:p>
    <w:p>
      <w:pPr>
        <w:ind w:left="288"/>
      </w:pPr>
      <w:r>
        <w:rPr>
          <w:color w:val="8C8C8C"/>
          <w:sz w:val="12"/>
        </w:rPr>
        <w:t>cf-art-156-inc-III</w:t>
      </w:r>
      <w:r>
        <w:rPr>
          <w:color w:val="003CA0"/>
          <w:sz w:val="12"/>
        </w:rPr>
        <w:t xml:space="preserve"> | RE 784.439</w:t>
      </w:r>
      <w:r>
        <w:rPr>
          <w:color w:val="003CA0"/>
          <w:sz w:val="12"/>
        </w:rPr>
        <w:t xml:space="preserve"> | rel. Rosa Weber</w:t>
      </w:r>
    </w:p>
    <w:p>
      <w:pPr>
        <w:ind w:left="288"/>
      </w:pPr>
      <w:r>
        <w:rPr>
          <w:color w:val="1E1E1E"/>
          <w:sz w:val="18"/>
        </w:rPr>
        <w:t>Imposto sobre Serviços de Qualquer Natureza - ISS. Art. 156, III, da Carta Política. Opção constitucional pela limitação da capacidade tributária dos municípios por meio da atribuição à lei complementar da função de definir os serviços tributáveis pelo ISS. Listas de serviços anexas ao Decreto-lei 406/1968 e Lei complementar 116/2003. Caráter taxativo compatível com a Constituição da República. (...) Tese de repercussão geral: “É taxativa a lista de serviços sujeitos ao ISS a que se refere o art. 156, III, da Constituição Federal, admitindo-se, contudo, a incidência do tributo sobre as ativida</w:t>
      </w:r>
    </w:p>
    <w:p>
      <w:pPr>
        <w:ind w:left="288"/>
      </w:pPr>
      <w:r>
        <w:rPr>
          <w:b/>
          <w:color w:val="003CA0"/>
          <w:sz w:val="16"/>
        </w:rPr>
        <w:t>[RE 1.535.322 AgR, rel. min. Alexandre de Moraes, j. 07.04.2025, 1ª T, DJE de 14.04.2025.]</w:t>
      </w:r>
    </w:p>
    <w:p>
      <w:pPr>
        <w:ind w:left="144"/>
      </w:pPr>
      <w:r>
        <w:rPr>
          <w:b/>
          <w:color w:val="B45A00"/>
          <w:sz w:val="16"/>
        </w:rPr>
        <w:t>JULGADOS CORRELATOS</w:t>
      </w:r>
    </w:p>
    <w:p>
      <w:pPr>
        <w:ind w:left="288"/>
      </w:pPr>
      <w:r>
        <w:rPr>
          <w:color w:val="8C8C8C"/>
          <w:sz w:val="12"/>
        </w:rPr>
        <w:t>cf-art-156-inc-III</w:t>
      </w:r>
      <w:r>
        <w:rPr>
          <w:color w:val="003CA0"/>
          <w:sz w:val="12"/>
        </w:rPr>
        <w:t xml:space="preserve"> | RCL 14.290</w:t>
      </w:r>
      <w:r>
        <w:rPr>
          <w:color w:val="003CA0"/>
          <w:sz w:val="12"/>
        </w:rPr>
        <w:t xml:space="preserve"> | rel. Rosa Weber</w:t>
      </w:r>
    </w:p>
    <w:p>
      <w:pPr>
        <w:ind w:left="288"/>
      </w:pPr>
      <w:r>
        <w:rPr>
          <w:color w:val="1E1E1E"/>
          <w:sz w:val="18"/>
        </w:rPr>
        <w:t>A Súmula Vinculante 31, que assenta a inconstitucionalidade da incidência do Imposto sobre Serviços de Qualquer Natureza (ISSQN) nas operações de locação de bens móveis, somente pode ser aplicada em relações contratuais complexas se a locação de bens móveis estiver claramente segmentada da prestação de serviços, seja no que diz com o seu objeto, seja no que concerne ao valor específico da contrapartida financeira. Hipótese em que contratada a locação de maquinário e equipamentos conjuntamente com a disponibilização de mão de obra especializada para operá-los, sem haver, contudo, previsão de re</w:t>
      </w:r>
    </w:p>
    <w:p>
      <w:pPr>
        <w:ind w:left="288"/>
      </w:pPr>
      <w:r>
        <w:rPr>
          <w:b/>
          <w:color w:val="003CA0"/>
          <w:sz w:val="16"/>
        </w:rPr>
        <w:t>[Rcl 14.290 AgR, rel. min. Rosa Weber, j. 22-5-2014, P, DJE de 20-6-2014.]</w:t>
      </w:r>
    </w:p>
    <w:p>
      <w:pPr>
        <w:ind w:left="288"/>
      </w:pPr>
      <w:r>
        <w:rPr>
          <w:color w:val="8C8C8C"/>
          <w:sz w:val="12"/>
        </w:rPr>
        <w:t>cf-art-156-inc-III</w:t>
      </w:r>
      <w:r>
        <w:rPr>
          <w:color w:val="003CA0"/>
          <w:sz w:val="12"/>
        </w:rPr>
        <w:t xml:space="preserve"> | ADI 4.389</w:t>
      </w:r>
      <w:r>
        <w:rPr>
          <w:color w:val="003CA0"/>
          <w:sz w:val="12"/>
        </w:rPr>
        <w:t xml:space="preserve"> | rel. Roberto Barroso</w:t>
      </w:r>
    </w:p>
    <w:p>
      <w:pPr>
        <w:ind w:left="288"/>
      </w:pPr>
      <w:r>
        <w:rPr>
          <w:color w:val="1E1E1E"/>
          <w:sz w:val="18"/>
        </w:rPr>
        <w:t>Os serviços de composição gráfica realizados em fichas telefônicas são prestados em caráter privado. A despeito da atividade não estar acobertada pela imunidade, não há como reconhecer a incidência do ISS na hipótese em virtude de os serviços serem meramente residuais em relação à operação de circulação de tais mercadorias. Aplicam-se ao caso as conclusões do STF sobre a composição de serviços gráficos em embalagens (ADI 4.389 MC).</w:t>
      </w:r>
    </w:p>
    <w:p>
      <w:pPr>
        <w:ind w:left="288"/>
      </w:pPr>
      <w:r>
        <w:rPr>
          <w:b/>
          <w:color w:val="003CA0"/>
          <w:sz w:val="16"/>
        </w:rPr>
        <w:t>[RE 592.752 AgR, rel. min. Roberto Barroso, j. 18-3-2014, 1ª T, DJE de 14-4-2014.]</w:t>
      </w:r>
    </w:p>
    <w:p>
      <w:pPr>
        <w:ind w:left="288"/>
      </w:pPr>
      <w:r>
        <w:rPr>
          <w:color w:val="8C8C8C"/>
          <w:sz w:val="12"/>
        </w:rPr>
        <w:t>cf-art-156-inc-III</w:t>
      </w:r>
      <w:r>
        <w:rPr>
          <w:color w:val="003CA0"/>
          <w:sz w:val="12"/>
        </w:rPr>
        <w:t xml:space="preserve"> | ADI 4.389</w:t>
      </w:r>
      <w:r>
        <w:rPr>
          <w:color w:val="003CA0"/>
          <w:sz w:val="12"/>
        </w:rPr>
        <w:t xml:space="preserve"> | rel. Joaquim Barbosa</w:t>
      </w:r>
    </w:p>
    <w:p>
      <w:pPr>
        <w:ind w:left="288"/>
      </w:pPr>
      <w:r>
        <w:rPr>
          <w:color w:val="1E1E1E"/>
          <w:sz w:val="18"/>
        </w:rPr>
        <w:t>Vide ADI 4.389 MC, rel. min. Joaquim Barbosa, j. 13-4-2011, P, DJE de 25-5-2011 Vide AI 533.202 AgR, rel. min. Gilmar Mendes, j. 30-9-2008, 2ª T, DJE de 21-11-2008 A Súmula Vinculante 31 não exonera a prestação de serviços concomitante à locação de bens móveis do pagamento do ISS. Se houver ao mesmo tempo locação de bem móvel e prestação de serviços, o ISS incide sobre o segundo fato, sem atingir o primeiro.</w:t>
      </w:r>
    </w:p>
    <w:p>
      <w:pPr>
        <w:ind w:left="288"/>
      </w:pPr>
      <w:r>
        <w:rPr>
          <w:b/>
          <w:color w:val="003CA0"/>
          <w:sz w:val="16"/>
        </w:rPr>
        <w:t>[ARE 656.709 AgR, rel. min. Joaquim Barbosa, j. 14-2-2012, 2ª T, DJE de 8-3-2012.]</w:t>
      </w:r>
    </w:p>
    <w:p>
      <w:pPr>
        <w:ind w:left="288"/>
      </w:pPr>
      <w:r>
        <w:rPr>
          <w:color w:val="8C8C8C"/>
          <w:sz w:val="12"/>
        </w:rPr>
        <w:t>cf-art-156-inc-III</w:t>
      </w:r>
      <w:r>
        <w:rPr>
          <w:color w:val="003CA0"/>
          <w:sz w:val="12"/>
        </w:rPr>
        <w:t xml:space="preserve"> | AI 622.421</w:t>
      </w:r>
      <w:r>
        <w:rPr>
          <w:color w:val="003CA0"/>
          <w:sz w:val="12"/>
        </w:rPr>
        <w:t xml:space="preserve"> | rel. Joaquim Barbosa</w:t>
      </w:r>
    </w:p>
    <w:p>
      <w:pPr>
        <w:ind w:left="288"/>
      </w:pPr>
      <w:r>
        <w:rPr>
          <w:color w:val="1E1E1E"/>
          <w:sz w:val="18"/>
        </w:rPr>
        <w:t>A caracterização de parte da atividade como prestação de serviços não pode ser meramente pressuposta, dado que a constituição do crédito tributário é atividade administrativa plenamente vinculada, que não pode destoar do que permite a legislação (proibição do excesso da carga tributária) e o próprio quadro fático (motivação, contraditório e ampla defesa) (...).</w:t>
      </w:r>
    </w:p>
    <w:p>
      <w:pPr>
        <w:ind w:left="288"/>
      </w:pPr>
      <w:r>
        <w:rPr>
          <w:b/>
          <w:color w:val="003CA0"/>
          <w:sz w:val="16"/>
        </w:rPr>
        <w:t>[AI 622.421 AgR, rel. min. Joaquim Barbosa, j. 6-4-2010, 2ª T, DJE de 30-4-2010.]</w:t>
      </w:r>
    </w:p>
    <w:p>
      <w:pPr>
        <w:ind w:left="288"/>
      </w:pPr>
      <w:r>
        <w:rPr>
          <w:color w:val="8C8C8C"/>
          <w:sz w:val="12"/>
        </w:rPr>
        <w:t>cf-art-156-inc-III</w:t>
      </w:r>
      <w:r>
        <w:rPr>
          <w:color w:val="003CA0"/>
          <w:sz w:val="12"/>
        </w:rPr>
        <w:t xml:space="preserve"> | AI 533.202</w:t>
      </w:r>
      <w:r>
        <w:rPr>
          <w:color w:val="003CA0"/>
          <w:sz w:val="12"/>
        </w:rPr>
        <w:t xml:space="preserve"> | rel. Gilmar Mendes</w:t>
      </w:r>
    </w:p>
    <w:p>
      <w:pPr>
        <w:ind w:left="288"/>
      </w:pPr>
      <w:r>
        <w:rPr>
          <w:color w:val="1E1E1E"/>
          <w:sz w:val="18"/>
        </w:rPr>
        <w:t>Confecção de rótulos e etiquetas sob encomenda. Incidência apenas de ISS, e não ICMS.</w:t>
      </w:r>
    </w:p>
    <w:p>
      <w:pPr>
        <w:ind w:left="288"/>
      </w:pPr>
      <w:r>
        <w:rPr>
          <w:b/>
          <w:color w:val="003CA0"/>
          <w:sz w:val="16"/>
        </w:rPr>
        <w:t>[AI 533.202 AgR, rel. min. Gilmar Mendes, j. 30-9-2008, 2ª T, DJE de 21-11-2008.]</w:t>
      </w:r>
    </w:p>
    <w:p>
      <w:pPr>
        <w:ind w:left="288"/>
      </w:pPr>
      <w:r>
        <w:rPr>
          <w:color w:val="8C8C8C"/>
          <w:sz w:val="12"/>
        </w:rPr>
        <w:t>cf-art-156-inc-III</w:t>
      </w:r>
      <w:r>
        <w:rPr>
          <w:color w:val="003CA0"/>
          <w:sz w:val="12"/>
        </w:rPr>
        <w:t xml:space="preserve"> | ADI 4.389</w:t>
      </w:r>
      <w:r>
        <w:rPr>
          <w:color w:val="003CA0"/>
          <w:sz w:val="12"/>
        </w:rPr>
        <w:t xml:space="preserve"> | rel. Joaquim Barbosa</w:t>
      </w:r>
    </w:p>
    <w:p>
      <w:pPr>
        <w:ind w:left="288"/>
      </w:pPr>
      <w:r>
        <w:rPr>
          <w:color w:val="1E1E1E"/>
          <w:sz w:val="18"/>
        </w:rPr>
        <w:t>Vide ADI 4.389 MC, rel. min. Joaquim Barbosa, j. 13-4-2011, P, DJE de 25-5-2011 ISS: competência para tributação: local da prestação do serviço.</w:t>
      </w:r>
    </w:p>
    <w:p>
      <w:pPr>
        <w:ind w:left="288"/>
      </w:pPr>
      <w:r>
        <w:rPr>
          <w:b/>
          <w:color w:val="003CA0"/>
          <w:sz w:val="16"/>
        </w:rPr>
        <w:t>[AI 571.353 AgR, rel. min. Sepúlveda Pertence, j. 21-6-2007, 1ª T DJ de 10-8-2007.]</w:t>
      </w:r>
    </w:p>
    <w:p>
      <w:pPr>
        <w:ind w:left="288"/>
      </w:pPr>
      <w:r>
        <w:rPr>
          <w:color w:val="8C8C8C"/>
          <w:sz w:val="12"/>
        </w:rPr>
        <w:t>cf-art-156-inc-III</w:t>
      </w:r>
      <w:r>
        <w:rPr>
          <w:color w:val="003CA0"/>
          <w:sz w:val="12"/>
        </w:rPr>
        <w:t xml:space="preserve"> | RE 236.604</w:t>
      </w:r>
      <w:r>
        <w:rPr>
          <w:color w:val="003CA0"/>
          <w:sz w:val="12"/>
        </w:rPr>
        <w:t xml:space="preserve"> | rel. Carlos Velloso</w:t>
      </w:r>
    </w:p>
    <w:p>
      <w:pPr>
        <w:ind w:left="288"/>
      </w:pPr>
      <w:r>
        <w:rPr>
          <w:color w:val="1E1E1E"/>
          <w:sz w:val="18"/>
        </w:rPr>
        <w:t>Constitucional. Tributário. ISS. Construção civil. DL 406/1968, art. 9º, § 2º, a e b. Dedução do valor dos materiais e subempreitadas no cálculo do preço do serviço. DL 406/1968, art. 9º, § 2º, a e b: dispositivos recebidos pela CF/1988. Citados dispositivos do art. 9º, § 2º, cuidam da base de cálculo do ISS e não configuram isenção. Inocorrência de ofensa ao art. 151, III; art. 34, ADCT/1988; art. 150, II, e 145, § 1º, CF/1988. RE 236.604/PR, Velloso, Plenário, 26-5-1999, RTJ 170/1001.</w:t>
      </w:r>
    </w:p>
    <w:p>
      <w:pPr>
        <w:ind w:left="288"/>
      </w:pPr>
      <w:r>
        <w:rPr>
          <w:b/>
          <w:color w:val="003CA0"/>
          <w:sz w:val="16"/>
        </w:rPr>
        <w:t>[RE 214.414 AgR, rel. min. Carlos Velloso, j. 5-11-2002, 2ª T, DJ de 29-11-2002.]</w:t>
      </w:r>
    </w:p>
    <w:p>
      <w:pPr>
        <w:ind w:left="288"/>
      </w:pPr>
      <w:r>
        <w:rPr>
          <w:color w:val="8C8C8C"/>
          <w:sz w:val="12"/>
        </w:rPr>
        <w:t>cf-art-156-inc-III</w:t>
      </w:r>
      <w:r>
        <w:rPr>
          <w:color w:val="003CA0"/>
          <w:sz w:val="12"/>
        </w:rPr>
        <w:t xml:space="preserve"> | RE 116.121</w:t>
      </w:r>
      <w:r>
        <w:rPr>
          <w:color w:val="003CA0"/>
          <w:sz w:val="12"/>
        </w:rPr>
        <w:t xml:space="preserve"> | rel. Octavio Gallotti</w:t>
      </w:r>
    </w:p>
    <w:p>
      <w:pPr>
        <w:ind w:left="288"/>
      </w:pPr>
      <w:r>
        <w:rPr>
          <w:color w:val="1E1E1E"/>
          <w:sz w:val="18"/>
        </w:rPr>
        <w:t>A terminologia constitucional do ISS revela o objeto da tributação. Conflita com a Lei Maior dispositivo que imponha o tributo considerado contrato de locação de bem móvel. Em Direito, os institutos, as expressões e os vocábulos têm sentido próprio, descabendo confundir a locação de serviços com a de móveis, práticas diversas regidas pelo Código Civil, cujas definições são de observância inafastável – art. 110 do CTN.</w:t>
      </w:r>
    </w:p>
    <w:p>
      <w:pPr>
        <w:ind w:left="288"/>
      </w:pPr>
      <w:r>
        <w:rPr>
          <w:b/>
          <w:color w:val="003CA0"/>
          <w:sz w:val="16"/>
        </w:rPr>
        <w:t>[RE 116.121, rel. min. Octavio Gallotti, j. 11-11-2000, P, DJ de 25-5-2001.]</w:t>
      </w:r>
    </w:p>
    <w:p>
      <w:pPr>
        <w:ind w:left="288"/>
      </w:pPr>
      <w:r>
        <w:rPr>
          <w:color w:val="8C8C8C"/>
          <w:sz w:val="12"/>
        </w:rPr>
        <w:t>cf-art-156-inc-III</w:t>
      </w:r>
      <w:r>
        <w:rPr>
          <w:color w:val="003CA0"/>
          <w:sz w:val="12"/>
        </w:rPr>
        <w:t xml:space="preserve"> | AI 721.711</w:t>
      </w:r>
      <w:r>
        <w:rPr>
          <w:color w:val="003CA0"/>
          <w:sz w:val="12"/>
        </w:rPr>
        <w:t xml:space="preserve"> | rel. Celso de Mello</w:t>
      </w:r>
    </w:p>
    <w:p>
      <w:pPr>
        <w:ind w:left="288"/>
      </w:pPr>
      <w:r>
        <w:rPr>
          <w:color w:val="1E1E1E"/>
          <w:sz w:val="18"/>
        </w:rPr>
        <w:t>= AI 721.711 AgR, rel. min. Celso de Mello, j. 10-3-2009, 2ª T, DJE de 3-4-2009 A instituição do Imposto sobre Vendas a Varejo de Combustíveis Líquidos e Gasosos por lei municipal não ofende o preceito constitucional inscrito no inciso III do art. 156, já que o art. 34, § 1º, das Disposições Transitórias da CF de 1988 determinou que a norma contida no texto permanente entraria em vigor com a sua promulgação, tendo o § 6º excepcionado o tributo do princípio da anterioridade.</w:t>
      </w:r>
    </w:p>
    <w:p>
      <w:pPr>
        <w:ind w:left="288"/>
      </w:pPr>
      <w:r>
        <w:rPr>
          <w:b/>
          <w:color w:val="003CA0"/>
          <w:sz w:val="16"/>
        </w:rPr>
        <w:t>[RE 205.165, rel. min. Maurício Corrêa, j. 17-8-1999, 2ª T, DJ de 8-10-1999.]</w:t>
      </w:r>
    </w:p>
    <w:p>
      <w:pPr>
        <w:ind w:left="288"/>
      </w:pPr>
      <w:r>
        <w:rPr>
          <w:color w:val="8C8C8C"/>
          <w:sz w:val="12"/>
        </w:rPr>
        <w:t>cf-art-156-inc-III</w:t>
      </w:r>
      <w:r>
        <w:rPr>
          <w:color w:val="003CA0"/>
          <w:sz w:val="12"/>
        </w:rPr>
        <w:t xml:space="preserve"> | AI 633.316</w:t>
      </w:r>
      <w:r>
        <w:rPr>
          <w:color w:val="003CA0"/>
          <w:sz w:val="12"/>
        </w:rPr>
        <w:t xml:space="preserve"> | rel. Dias Toffoli</w:t>
      </w:r>
    </w:p>
    <w:p>
      <w:pPr>
        <w:ind w:left="288"/>
      </w:pPr>
      <w:r>
        <w:rPr>
          <w:color w:val="1E1E1E"/>
          <w:sz w:val="18"/>
        </w:rPr>
        <w:t>= AI 633.316 AgR, rel. min. Dias Toffoli, j. 7-2-2012, 1ª T, DJE de 16-3-2012 A competência prevista em tal preceito, relativamente à instituição de imposto pela União, consideradas as comunicações, não obstaculizava a cobrança de ISS relativamente a atividades paralelas como as de locação de aparelhos, mesas, terminais, colocação e retirada de troncos.</w:t>
      </w:r>
    </w:p>
    <w:p>
      <w:pPr>
        <w:ind w:left="288"/>
      </w:pPr>
      <w:r>
        <w:rPr>
          <w:b/>
          <w:color w:val="003CA0"/>
          <w:sz w:val="16"/>
        </w:rPr>
        <w:t>[RE 163.725, rel. min. Marco Aurélio, j. 15-6-1999, 2ª T, DJ de 27-8-1999.]</w:t>
      </w:r>
    </w:p>
    <w:p>
      <w:pPr>
        <w:ind w:left="144"/>
      </w:pPr>
      <w:r>
        <w:rPr>
          <w:b/>
          <w:color w:val="B45A00"/>
          <w:sz w:val="16"/>
        </w:rPr>
        <w:t>CONTROLE CONCENTRADO</w:t>
      </w:r>
    </w:p>
    <w:p>
      <w:pPr>
        <w:ind w:left="288"/>
      </w:pPr>
      <w:r>
        <w:rPr>
          <w:color w:val="8C8C8C"/>
          <w:sz w:val="12"/>
        </w:rPr>
        <w:t>cf-art-156-par-1</w:t>
      </w:r>
      <w:r>
        <w:rPr>
          <w:color w:val="003CA0"/>
          <w:sz w:val="12"/>
        </w:rPr>
        <w:t xml:space="preserve"> | ADC 8</w:t>
      </w:r>
      <w:r>
        <w:rPr>
          <w:color w:val="003CA0"/>
          <w:sz w:val="12"/>
        </w:rPr>
        <w:t xml:space="preserve"> | rel. Celso de Mello</w:t>
      </w:r>
    </w:p>
    <w:p>
      <w:pPr>
        <w:ind w:left="288"/>
      </w:pPr>
      <w:r>
        <w:rPr>
          <w:color w:val="1E1E1E"/>
          <w:sz w:val="18"/>
        </w:rPr>
        <w:t>Tratando-se de matéria sujeita a estrita previsão constitucional – CF, art. 153, § 2º, I; art. 153, § 4º; art. 156, § 1º; art. 182, § 4º, II; art. 195, § 9º (contribuição social devida pelo empregador) –, inexiste espaço de liberdade decisória para o Congresso Nacional, em tema de progressividade tributária, instituir alíquotas progressivas em situações não autorizadas pelo texto da Constituição.</w:t>
      </w:r>
    </w:p>
    <w:p>
      <w:pPr>
        <w:ind w:left="288"/>
      </w:pPr>
      <w:r>
        <w:rPr>
          <w:b/>
          <w:color w:val="003CA0"/>
          <w:sz w:val="16"/>
        </w:rPr>
        <w:t>[ADC 8 MC, rel. min. Celso de Mello, j. 13-10-1999, P, DJ de 4-4-2003.]</w:t>
      </w:r>
    </w:p>
    <w:p>
      <w:pPr>
        <w:ind w:left="144"/>
      </w:pPr>
      <w:r>
        <w:rPr>
          <w:b/>
          <w:color w:val="B45A00"/>
          <w:sz w:val="16"/>
        </w:rPr>
        <w:t>SUMULA</w:t>
      </w:r>
    </w:p>
    <w:p>
      <w:pPr>
        <w:ind w:left="288"/>
      </w:pPr>
      <w:r>
        <w:rPr>
          <w:color w:val="8C8C8C"/>
          <w:sz w:val="12"/>
        </w:rPr>
        <w:t>cf-art-156-par-1-inc-I</w:t>
      </w:r>
    </w:p>
    <w:p>
      <w:pPr>
        <w:ind w:left="288"/>
      </w:pPr>
      <w:r>
        <w:rPr>
          <w:color w:val="1E1E1E"/>
          <w:sz w:val="18"/>
        </w:rPr>
        <w:t>É inconstitucional a lei municipal que tenha estabelecido, antes da EC 29/2000, alíquotas progressivas para o IPTU, salvo se destinada a assegurar o cumprimento da função social da propriedade urbana.</w:t>
      </w:r>
    </w:p>
    <w:p>
      <w:pPr>
        <w:ind w:left="288"/>
      </w:pPr>
      <w:r>
        <w:rPr>
          <w:b/>
          <w:color w:val="003CA0"/>
          <w:sz w:val="16"/>
        </w:rPr>
        <w:t>[Súmula 668.]</w:t>
      </w:r>
    </w:p>
    <w:p>
      <w:pPr>
        <w:ind w:left="144"/>
      </w:pPr>
      <w:r>
        <w:rPr>
          <w:b/>
          <w:color w:val="B45A00"/>
          <w:sz w:val="16"/>
        </w:rPr>
        <w:t>REPERCUSSAO GERAL</w:t>
      </w:r>
    </w:p>
    <w:p>
      <w:pPr>
        <w:ind w:left="288"/>
      </w:pPr>
      <w:r>
        <w:rPr>
          <w:color w:val="8C8C8C"/>
          <w:sz w:val="12"/>
        </w:rPr>
        <w:t>cf-art-156-par-1-inc-I</w:t>
      </w:r>
      <w:r>
        <w:rPr>
          <w:color w:val="003CA0"/>
          <w:sz w:val="12"/>
        </w:rPr>
        <w:t xml:space="preserve"> | RE 602.347</w:t>
      </w:r>
      <w:r>
        <w:rPr>
          <w:color w:val="003CA0"/>
          <w:sz w:val="12"/>
        </w:rPr>
        <w:t xml:space="preserve"> | rel. Edson Fachin</w:t>
      </w:r>
    </w:p>
    <w:p>
      <w:pPr>
        <w:ind w:left="288"/>
      </w:pPr>
      <w:r>
        <w:rPr>
          <w:color w:val="1E1E1E"/>
          <w:sz w:val="18"/>
        </w:rPr>
        <w:t>O IPTU é exigível com base na alíquota mínima prevista na lei municipal, de modo que o critério quantitativo da regra matriz de incidência tributária seja proporcional e o menos gravoso possível ao contribuinte.</w:t>
        <w:br/>
        <w:t>[RE 602.347, rel. min. Edson Fachin, j. 4-11-2015, P, DJE de 12-4-2016, Tema 226, com mérito julgado.] IPTU. Progressividade. Função social da propriedade. EC 29/2000. Lei posterior. Surge legítima, sob o ângulo constitucional, lei a prever alíquotas diversas, presentes imóveis residenciais e comerciais, uma vez editada após a EC 29/2000.</w:t>
        <w:br/>
        <w:t>[RE 586.693, rel. min. Marco Aurélio, j. 25-5-2</w:t>
      </w:r>
    </w:p>
    <w:p>
      <w:pPr>
        <w:ind w:left="288"/>
      </w:pPr>
      <w:r>
        <w:rPr>
          <w:b/>
          <w:color w:val="003CA0"/>
          <w:sz w:val="16"/>
        </w:rPr>
        <w:t>[AI 712.743 QO-RG, rel. min. Ellen Gracie, j. 12-3-2009, P, DJE de 8-5-2009.]</w:t>
      </w:r>
    </w:p>
    <w:p>
      <w:pPr>
        <w:ind w:left="144"/>
      </w:pPr>
      <w:r>
        <w:rPr>
          <w:b/>
          <w:color w:val="B45A00"/>
          <w:sz w:val="16"/>
        </w:rPr>
        <w:t>JULGADOS CORRELATOS</w:t>
      </w:r>
    </w:p>
    <w:p>
      <w:pPr>
        <w:ind w:left="288"/>
      </w:pPr>
      <w:r>
        <w:rPr>
          <w:color w:val="8C8C8C"/>
          <w:sz w:val="12"/>
        </w:rPr>
        <w:t>cf-art-156-par-1-inc-I</w:t>
      </w:r>
      <w:r>
        <w:rPr>
          <w:color w:val="003CA0"/>
          <w:sz w:val="12"/>
        </w:rPr>
        <w:t xml:space="preserve"> | RE 355.046</w:t>
      </w:r>
      <w:r>
        <w:rPr>
          <w:color w:val="003CA0"/>
          <w:sz w:val="12"/>
        </w:rPr>
        <w:t xml:space="preserve"> | rel. Ellen Gracie</w:t>
      </w:r>
    </w:p>
    <w:p>
      <w:pPr>
        <w:ind w:left="288"/>
      </w:pPr>
      <w:r>
        <w:rPr>
          <w:color w:val="1E1E1E"/>
          <w:sz w:val="18"/>
        </w:rPr>
        <w:t>IPTU. Progressividade antes da EC 29/2000. Impossibilidade, ainda que pela via de alíquotas de isenções graduais. A utilização do instituto da isenção como instrumento de graduação de alíquotas, com aplicação à generalidade dos contribuintes, não corresponde à sua natureza jurídica. Nesse caso, a isenção deixa de atuar como benefício fiscal. De norma de exceção que é, passa a compor o aspecto quantitativo da norma tributária impositiva, modelando toda a tabela de alíquotas e tendo como efeito a vedada progressividade. Aplicação da Súmula 668 do STF.</w:t>
      </w:r>
    </w:p>
    <w:p>
      <w:pPr>
        <w:ind w:left="288"/>
      </w:pPr>
      <w:r>
        <w:rPr>
          <w:b/>
          <w:color w:val="003CA0"/>
          <w:sz w:val="16"/>
        </w:rPr>
        <w:t>[RE 355.046, rel. min. Ellen Gracie, j. 1º-8-2011, P, DJE de 31-8-2011.]</w:t>
      </w:r>
    </w:p>
    <w:p>
      <w:pPr>
        <w:ind w:left="288"/>
      </w:pPr>
      <w:r>
        <w:rPr>
          <w:color w:val="8C8C8C"/>
          <w:sz w:val="12"/>
        </w:rPr>
        <w:t>cf-art-156-par-1-inc-I</w:t>
      </w:r>
      <w:r>
        <w:rPr>
          <w:color w:val="003CA0"/>
          <w:sz w:val="12"/>
        </w:rPr>
        <w:t xml:space="preserve"> | RE 543.023</w:t>
      </w:r>
      <w:r>
        <w:rPr>
          <w:color w:val="003CA0"/>
          <w:sz w:val="12"/>
        </w:rPr>
        <w:t xml:space="preserve"> | rel. Ayres Britto</w:t>
      </w:r>
    </w:p>
    <w:p>
      <w:pPr>
        <w:ind w:left="288"/>
      </w:pPr>
      <w:r>
        <w:rPr>
          <w:color w:val="1E1E1E"/>
          <w:sz w:val="18"/>
        </w:rPr>
        <w:t>= RE 543.023 AgR, rel. min. Ayres Britto, j. 16-8-2011, 2ª T, DJE de 19-10-2011 É inconstitucional a progressividade do IPTU do Município do Rio de Janeiro anterior à EC 29/2000. Súmula 668 do STF. Não se configura, no caso, excepcionalidade suficiente a autorizar a aplicação de efeitos ex nunc à declaração de inconstitucionalidade.</w:t>
      </w:r>
    </w:p>
    <w:p>
      <w:pPr>
        <w:ind w:left="288"/>
      </w:pPr>
      <w:r>
        <w:rPr>
          <w:b/>
          <w:color w:val="003CA0"/>
          <w:sz w:val="16"/>
        </w:rPr>
        <w:t>[AI 573.560 AgR, rel. min. Eros Grau, j. 27-3-2007, 2ª T, DJ de 4-5-2007.]</w:t>
      </w:r>
    </w:p>
    <w:p>
      <w:pPr>
        <w:ind w:left="288"/>
      </w:pPr>
      <w:r>
        <w:rPr>
          <w:color w:val="8C8C8C"/>
          <w:sz w:val="12"/>
        </w:rPr>
        <w:t>cf-art-156-par-1-inc-I</w:t>
      </w:r>
      <w:r>
        <w:rPr>
          <w:color w:val="003CA0"/>
          <w:sz w:val="12"/>
        </w:rPr>
        <w:t xml:space="preserve"> | RE 550.637</w:t>
      </w:r>
      <w:r>
        <w:rPr>
          <w:color w:val="003CA0"/>
          <w:sz w:val="12"/>
        </w:rPr>
        <w:t xml:space="preserve"> | rel. Dias Toffoli</w:t>
      </w:r>
    </w:p>
    <w:p>
      <w:pPr>
        <w:ind w:left="288"/>
      </w:pPr>
      <w:r>
        <w:rPr>
          <w:color w:val="1E1E1E"/>
          <w:sz w:val="18"/>
        </w:rPr>
        <w:t>= RE 550.637 AgR, rel. min. Dias Toffoli, j. 31-5-2011, 1ª T, DJE de 23-8-2011 Vide RE 349.917 AgR-ED, rel. min. Dias Toffoli, j. 16-5-2011, 1ª T, DJE de 17-5-2011 Vide AI 651.389 AgR, rel. min. Menezes Direito, j. 10-6-2008, 1ª T, DJE de 8-8-2008 IPTU. Não se admite a progressividade fiscal decorrente da capacidade econômica do contribuinte, dada a natureza real do imposto. A progressividade da alíquota do IPTU, com base no valor venal do imóvel, só é admissível para o fim extrafiscal de assegurar o cumprimento da função social da propriedade urbana (art. 156, I, § 1º, e art. 182, § 4º, II, C</w:t>
      </w:r>
    </w:p>
    <w:p>
      <w:pPr>
        <w:ind w:left="288"/>
      </w:pPr>
      <w:r>
        <w:rPr>
          <w:b/>
          <w:color w:val="003CA0"/>
          <w:sz w:val="16"/>
        </w:rPr>
        <w:t>[AI 468.801 AgR, rel. min. Eros Grau, j. 21-9-2004, 1ª T, DJ de 15-10-2004.]</w:t>
      </w:r>
    </w:p>
    <w:p>
      <w:pPr>
        <w:ind w:left="144"/>
      </w:pPr>
      <w:r>
        <w:rPr>
          <w:b/>
          <w:color w:val="B45A00"/>
          <w:sz w:val="16"/>
        </w:rPr>
        <w:t>REPERCUSSAO GERAL</w:t>
      </w:r>
    </w:p>
    <w:p>
      <w:pPr>
        <w:ind w:left="288"/>
      </w:pPr>
      <w:r>
        <w:rPr>
          <w:color w:val="8C8C8C"/>
          <w:sz w:val="12"/>
        </w:rPr>
        <w:t>cf-art-156-par-1-inc-II</w:t>
      </w:r>
      <w:r>
        <w:rPr>
          <w:color w:val="003CA0"/>
          <w:sz w:val="12"/>
        </w:rPr>
        <w:t xml:space="preserve"> | RE 666.156</w:t>
      </w:r>
      <w:r>
        <w:rPr>
          <w:color w:val="003CA0"/>
          <w:sz w:val="12"/>
        </w:rPr>
        <w:t xml:space="preserve"> | rel. Roberto Barroso</w:t>
      </w:r>
    </w:p>
    <w:p>
      <w:pPr>
        <w:ind w:left="288"/>
      </w:pPr>
      <w:r>
        <w:rPr>
          <w:color w:val="1E1E1E"/>
          <w:sz w:val="18"/>
        </w:rPr>
        <w:t>Esta Corte, em diversos precedentes de ambas as Turmas, manifestou-se pela possibilidade da instituição de alíquotas diferenciadas de IPTU com base na destinação e situação do imóvel (residencial ou comercial, edificado ou não edificado), em período anterior à edição da Emenda Constitucional 29/2000. Entendeu-se que tal prática não se confunde com o estabelecimento de alíquotas progressivas, cuja constitucionalidade, em momento anterior à emenda constitucional, foi reconhecida apenas para assegurar o cumprimento da função social da propriedade. (...) São constitucionais as leis municipais ante</w:t>
      </w:r>
    </w:p>
    <w:p>
      <w:pPr>
        <w:ind w:left="144"/>
      </w:pPr>
      <w:r>
        <w:rPr>
          <w:b/>
          <w:color w:val="B45A00"/>
          <w:sz w:val="16"/>
        </w:rPr>
        <w:t>JULGADOS CORRELATOS</w:t>
      </w:r>
    </w:p>
    <w:p>
      <w:pPr>
        <w:ind w:left="288"/>
      </w:pPr>
      <w:r>
        <w:rPr>
          <w:color w:val="8C8C8C"/>
          <w:sz w:val="12"/>
        </w:rPr>
        <w:t>cf-art-156-par-1-inc-II</w:t>
      </w:r>
      <w:r>
        <w:rPr>
          <w:color w:val="003CA0"/>
          <w:sz w:val="12"/>
        </w:rPr>
        <w:t xml:space="preserve"> | RE 457.482</w:t>
      </w:r>
      <w:r>
        <w:rPr>
          <w:color w:val="003CA0"/>
          <w:sz w:val="12"/>
        </w:rPr>
        <w:t xml:space="preserve"> | rel. Cármen Lúcia</w:t>
      </w:r>
    </w:p>
    <w:p>
      <w:pPr>
        <w:ind w:left="288"/>
      </w:pPr>
      <w:r>
        <w:rPr>
          <w:color w:val="1E1E1E"/>
          <w:sz w:val="18"/>
        </w:rPr>
        <w:t>(...) a jurisprudência deste STF firmou-se no sentido de que a cobrança do IPTU em alíquotas diferenciadas em razão da destinação dos imóveis não afronta a Constituição da República.</w:t>
      </w:r>
    </w:p>
    <w:p>
      <w:pPr>
        <w:ind w:left="288"/>
      </w:pPr>
      <w:r>
        <w:rPr>
          <w:b/>
          <w:color w:val="003CA0"/>
          <w:sz w:val="16"/>
        </w:rPr>
        <w:t>[RE 457.482 AgR, voto da rel. min. Cármen Lúcia, j. 20-11-2007, 1ª T, DJE de 9-5-2008.]</w:t>
        <w:br/>
        <w:t>= RE 595.080 AgR, rel. min. Joaquim Barbosa, j. 31-8-2010, 2ª T, DJE de 1º-10-2010</w:t>
      </w:r>
    </w:p>
    <w:p>
      <w:pPr>
        <w:ind w:left="288"/>
      </w:pPr>
      <w:r>
        <w:rPr>
          <w:color w:val="8C8C8C"/>
          <w:sz w:val="12"/>
        </w:rPr>
        <w:t>cf-art-156-par-2</w:t>
      </w:r>
      <w:r>
        <w:rPr>
          <w:color w:val="003CA0"/>
          <w:sz w:val="12"/>
        </w:rPr>
        <w:t xml:space="preserve"> | RE 1.495.108</w:t>
      </w:r>
      <w:r>
        <w:rPr>
          <w:color w:val="003CA0"/>
          <w:sz w:val="12"/>
        </w:rPr>
        <w:t xml:space="preserve"> | rel. Luís Roberto Barroso</w:t>
      </w:r>
    </w:p>
    <w:p>
      <w:pPr>
        <w:ind w:left="288"/>
      </w:pPr>
      <w:r>
        <w:rPr>
          <w:color w:val="1E1E1E"/>
          <w:sz w:val="18"/>
        </w:rPr>
        <w:t>I - não incide sobre a transmissão de bens ou direitos incorporados ao patrimônio de pessoa jurídica em realização de capital, nem sobre a transmissão de bens ou direitos decorrente de fusão, incorporação, cisão ou extinção de pessoa jurídica, salvo se, nesses casos, a atividade preponderante do adquirente for a compra e venda desses bens ou direitos, locação de bens imóveis ou arrendamento mercantil; Alcance da imunidade do ITBI, prevista no inciso I do § 2º do art. 156 da Constituição, para a transferência de bens e direitos em integralização de capital social, quando a atividade preponderan</w:t>
      </w:r>
    </w:p>
    <w:p>
      <w:pPr>
        <w:ind w:left="288"/>
      </w:pPr>
      <w:r>
        <w:rPr>
          <w:b/>
          <w:color w:val="003CA0"/>
          <w:sz w:val="16"/>
        </w:rPr>
        <w:t>[RE 1.495.108 RG, rel. min. Luís Roberto Barroso, j. 05.11.2024, P, DJE de 08.11.2024, Tema 1.348, com mérito pendente.]</w:t>
      </w:r>
    </w:p>
    <w:p>
      <w:pPr>
        <w:ind w:left="144"/>
      </w:pPr>
      <w:r>
        <w:rPr>
          <w:b/>
          <w:color w:val="B45A00"/>
          <w:sz w:val="16"/>
        </w:rPr>
        <w:t>REPERCUSSAO GERAL</w:t>
      </w:r>
    </w:p>
    <w:p>
      <w:pPr>
        <w:ind w:left="288"/>
      </w:pPr>
      <w:r>
        <w:rPr>
          <w:color w:val="8C8C8C"/>
          <w:sz w:val="12"/>
        </w:rPr>
        <w:t>cf-art-156-par-2</w:t>
      </w:r>
      <w:r>
        <w:rPr>
          <w:color w:val="003CA0"/>
          <w:sz w:val="12"/>
        </w:rPr>
        <w:t xml:space="preserve"> | RE 796.376</w:t>
      </w:r>
    </w:p>
    <w:p>
      <w:pPr>
        <w:ind w:left="288"/>
      </w:pPr>
      <w:r>
        <w:rPr>
          <w:color w:val="1E1E1E"/>
          <w:sz w:val="18"/>
        </w:rPr>
        <w:t>A Constituição de 1988 imunizou a integralização do capital por meio de bens imóveis, não incidindo o ITBI sobre o valor do bem dado em pagamento do capital subscrito pelo sócio ou acionista da pessoa jurídica (art. 156, § 2º,). A norma não imuniza qualquer incorporação de bens ou direitos ao patrimônio da pessoa jurídica, mas exclusivamente o pagamento, em bens ou direitos, que o sócio faz para integralização do capital social subscrito. Portanto, sobre a diferença do valor dos bens imóveis que superar o capital subscrito a ser integralizado, incidirá a tributação pelo ITBI. (...) Tema 796, f</w:t>
      </w:r>
    </w:p>
    <w:p>
      <w:pPr>
        <w:ind w:left="288"/>
      </w:pPr>
      <w:r>
        <w:rPr>
          <w:b/>
          <w:color w:val="003CA0"/>
          <w:sz w:val="16"/>
        </w:rPr>
        <w:t>[RE 796.376, red. do ac. min. Alexandre de Moraes, j. 5-8-2020, P, DJE de 25-8-2020, Tema 796, com mérito julgado.]</w:t>
      </w:r>
    </w:p>
    <w:p>
      <w:pPr>
        <w:ind w:left="144"/>
      </w:pPr>
      <w:r>
        <w:rPr>
          <w:b/>
          <w:color w:val="B45A00"/>
          <w:sz w:val="16"/>
        </w:rPr>
        <w:t>JULGADOS CORRELATOS</w:t>
      </w:r>
    </w:p>
    <w:p>
      <w:pPr>
        <w:ind w:left="288"/>
      </w:pPr>
      <w:r>
        <w:rPr>
          <w:color w:val="8C8C8C"/>
          <w:sz w:val="12"/>
        </w:rPr>
        <w:t>cf-art-156-par-3</w:t>
      </w:r>
      <w:r>
        <w:rPr>
          <w:color w:val="003CA0"/>
          <w:sz w:val="12"/>
        </w:rPr>
        <w:t xml:space="preserve"> | RE 450.342</w:t>
      </w:r>
      <w:r>
        <w:rPr>
          <w:color w:val="003CA0"/>
          <w:sz w:val="12"/>
        </w:rPr>
        <w:t xml:space="preserve"> | rel. Celso de Mello</w:t>
      </w:r>
    </w:p>
    <w:p>
      <w:pPr>
        <w:ind w:left="288"/>
      </w:pPr>
      <w:r>
        <w:rPr>
          <w:color w:val="1E1E1E"/>
          <w:sz w:val="18"/>
        </w:rPr>
        <w:t>Não se revelam tributáveis, mediante ISS, serviços executados por instituições autorizadas a funcionar pelo Banco Central, eis que esse tributo municipal não pode incidir sobre categoria de serviços não prevista na lista elaborada pela União Federal, anexa à LC 56/1987, pois mencionada lista – que se reveste de taxatividade quanto ao que nela se contém – relaciona, em numerus clausus, os serviços e atividades passíveis da incidência dessa espécie tributária local. Precedentes. As ressalvas normativas contidas nos itens 44, 46 e 48 da lista de serviços anexa à LC 56/1987 – que excluem, do âmbit</w:t>
      </w:r>
    </w:p>
    <w:p>
      <w:pPr>
        <w:ind w:left="288"/>
      </w:pPr>
      <w:r>
        <w:rPr>
          <w:b/>
          <w:color w:val="003CA0"/>
          <w:sz w:val="16"/>
        </w:rPr>
        <w:t>[RE 450.342 AgR, rel. min. Celso de Mello, j. 5-9-2006, 2ª T, DJ de 3-8-2007.]</w:t>
      </w:r>
    </w:p>
    <w:p>
      <w:pPr>
        <w:ind w:left="288"/>
      </w:pPr>
      <w:r>
        <w:rPr>
          <w:color w:val="8C8C8C"/>
          <w:sz w:val="12"/>
        </w:rPr>
        <w:t>cf-art-156-par-3</w:t>
      </w:r>
      <w:r>
        <w:rPr>
          <w:color w:val="003CA0"/>
          <w:sz w:val="12"/>
        </w:rPr>
        <w:t xml:space="preserve"> | RE 601.493</w:t>
      </w:r>
      <w:r>
        <w:rPr>
          <w:color w:val="003CA0"/>
          <w:sz w:val="12"/>
        </w:rPr>
        <w:t xml:space="preserve"> | rel. Ricardo Lewandowski</w:t>
      </w:r>
    </w:p>
    <w:p>
      <w:pPr>
        <w:ind w:left="288"/>
      </w:pPr>
      <w:r>
        <w:rPr>
          <w:color w:val="1E1E1E"/>
          <w:sz w:val="18"/>
        </w:rPr>
        <w:t>= RE 601.493 ED-segundos, rel. min. Ricardo Lewandowski, j. 20-3-2012, 2ª T, DJE de 2-4-2012</w:t>
      </w:r>
    </w:p>
    <w:p>
      <w:pPr>
        <w:ind w:left="288"/>
      </w:pPr>
      <w:r>
        <w:rPr>
          <w:color w:val="8C8C8C"/>
          <w:sz w:val="12"/>
        </w:rPr>
        <w:t>cf-art-156-par-3-inc-III</w:t>
      </w:r>
    </w:p>
    <w:p>
      <w:pPr>
        <w:ind w:left="288"/>
      </w:pPr>
      <w:r>
        <w:rPr>
          <w:color w:val="1E1E1E"/>
          <w:sz w:val="18"/>
        </w:rPr>
        <w:t>Seção VI Da Repartição das Receitas Tributárias SUMÁRIO</w:t>
      </w:r>
    </w:p>
    <w:p>
      <w:pPr>
        <w:ind w:left="720"/>
      </w:pPr>
      <w:r>
        <w:rPr>
          <w:color w:val="003366"/>
          <w:sz w:val="18"/>
        </w:rPr>
        <w:t>I – propriedade predial e territorial urbana;</w:t>
      </w:r>
    </w:p>
    <w:p>
      <w:pPr>
        <w:ind w:left="720"/>
      </w:pPr>
      <w:r>
        <w:rPr>
          <w:color w:val="003366"/>
          <w:sz w:val="18"/>
        </w:rPr>
        <w:t>II – transmissão &amp;quot;inter vivos&amp;quot;, a qualquer título, por ato oneroso, de</w:t>
      </w:r>
    </w:p>
    <w:p>
      <w:pPr>
        <w:ind w:left="720"/>
      </w:pPr>
      <w:r>
        <w:rPr>
          <w:color w:val="003366"/>
          <w:sz w:val="18"/>
        </w:rPr>
        <w:t>III – serviços de qualquer natureza, não compreendidos no art. 155, II, definido</w:t>
      </w:r>
    </w:p>
    <w:p>
      <w:pPr>
        <w:ind w:left="720"/>
      </w:pPr>
      <w:r>
        <w:rPr>
          <w:color w:val="003366"/>
          <w:sz w:val="18"/>
        </w:rPr>
        <w:t>IV – (Revogado pela Emenda Constitucional nº 3, de 1993)</w:t>
      </w:r>
    </w:p>
    <w:p>
      <w:pPr>
        <w:ind w:left="432"/>
      </w:pPr>
      <w:r>
        <w:rPr>
          <w:color w:val="003366"/>
          <w:sz w:val="18"/>
        </w:rPr>
        <w:t>§ 1 Sem prejuízo da progressividade no tempo a que se refere o art. 182, § 4º, i</w:t>
      </w:r>
    </w:p>
    <w:p>
      <w:pPr>
        <w:ind w:left="720"/>
      </w:pPr>
      <w:r>
        <w:rPr>
          <w:color w:val="003366"/>
          <w:sz w:val="18"/>
        </w:rPr>
        <w:t>III – ter sua base de cálculo atualizada pelo Poder Executivo, conforme critério</w:t>
      </w:r>
    </w:p>
    <w:p>
      <w:pPr>
        <w:ind w:left="432"/>
      </w:pPr>
      <w:r>
        <w:rPr>
          <w:color w:val="003366"/>
          <w:sz w:val="18"/>
        </w:rPr>
        <w:t>§ 1 A O imposto previsto no inciso I do caput deste artigo não incide sobre temp</w:t>
      </w:r>
    </w:p>
    <w:p>
      <w:pPr>
        <w:ind w:left="432"/>
      </w:pPr>
      <w:r>
        <w:rPr>
          <w:color w:val="003366"/>
          <w:sz w:val="18"/>
        </w:rPr>
        <w:t>§ 2 O imposto previsto no inciso II:</w:t>
      </w:r>
    </w:p>
    <w:p>
      <w:pPr>
        <w:ind w:left="720"/>
      </w:pPr>
      <w:r>
        <w:rPr>
          <w:color w:val="003366"/>
          <w:sz w:val="18"/>
        </w:rPr>
        <w:t>I – não incide sobre a transmissão de bens ou direitos incorporados ao patrimôni</w:t>
      </w:r>
    </w:p>
    <w:p>
      <w:pPr>
        <w:ind w:left="720"/>
      </w:pPr>
      <w:r>
        <w:rPr>
          <w:color w:val="003366"/>
          <w:sz w:val="18"/>
        </w:rPr>
        <w:t>II – compete ao Município da situação do bem.</w:t>
      </w:r>
    </w:p>
    <w:p>
      <w:pPr>
        <w:ind w:left="432"/>
      </w:pPr>
      <w:r>
        <w:rPr>
          <w:color w:val="003366"/>
          <w:sz w:val="18"/>
        </w:rPr>
        <w:t>§ 3 Em relação ao imposto previsto no inciso III do caput deste artigo, cabe à l</w:t>
      </w:r>
    </w:p>
    <w:p>
      <w:pPr>
        <w:ind w:left="720"/>
      </w:pPr>
      <w:r>
        <w:rPr>
          <w:color w:val="003366"/>
          <w:sz w:val="18"/>
        </w:rPr>
        <w:t>I – fixar as suas alíquotas máximas e mínimas; (Redação dada pela Emenda Constit</w:t>
      </w:r>
    </w:p>
    <w:p>
      <w:pPr>
        <w:ind w:left="720"/>
      </w:pPr>
      <w:r>
        <w:rPr>
          <w:color w:val="003366"/>
          <w:sz w:val="18"/>
        </w:rPr>
        <w:t>II – excluir da sua incidência exportações de serviços para o exterior. (Incluíd</w:t>
      </w:r>
    </w:p>
    <w:p>
      <w:pPr>
        <w:ind w:left="432"/>
      </w:pPr>
      <w:r>
        <w:rPr>
          <w:color w:val="003366"/>
          <w:sz w:val="18"/>
        </w:rPr>
        <w:t>§ 4 (Revogado pela Emenda Constitucional nº 3, de 1993)</w:t>
        <w:br/>
        <w:t>Seção V-A</w:t>
        <w:br/>
        <w:t>(Incluído pela</w:t>
      </w:r>
    </w:p>
    <w:p>
      <w:pPr>
        <w:ind w:left="432"/>
      </w:pPr>
      <w:r>
        <w:rPr>
          <w:color w:val="003366"/>
          <w:sz w:val="18"/>
        </w:rPr>
        <w:t xml:space="preserve">§ 1 O imposto previsto no caput será informado pelo princípio da neutralidade e </w:t>
      </w:r>
    </w:p>
    <w:p>
      <w:pPr>
        <w:ind w:left="720"/>
      </w:pPr>
      <w:r>
        <w:rPr>
          <w:color w:val="003366"/>
          <w:sz w:val="18"/>
        </w:rPr>
        <w:t>I – incidirá sobre operações com bens materiais ou imateriais, inclusive direito</w:t>
      </w:r>
    </w:p>
    <w:p>
      <w:pPr>
        <w:ind w:left="720"/>
      </w:pPr>
      <w:r>
        <w:rPr>
          <w:color w:val="003366"/>
          <w:sz w:val="18"/>
        </w:rPr>
        <w:t>II – incidirá também sobre a importação de bens materiais ou imateriais, inclusi</w:t>
      </w:r>
    </w:p>
    <w:p>
      <w:pPr>
        <w:ind w:left="720"/>
      </w:pPr>
      <w:r>
        <w:rPr>
          <w:color w:val="003366"/>
          <w:sz w:val="18"/>
        </w:rPr>
        <w:t xml:space="preserve">III – não incidirá sobre as exportações, assegurados ao exportador a manutenção </w:t>
      </w:r>
    </w:p>
    <w:p>
      <w:pPr>
        <w:ind w:left="720"/>
      </w:pPr>
      <w:r>
        <w:rPr>
          <w:color w:val="003366"/>
          <w:sz w:val="18"/>
        </w:rPr>
        <w:t xml:space="preserve">IV – terá legislação única e uniforme em todo o território nacional, ressalvado </w:t>
      </w:r>
    </w:p>
    <w:p>
      <w:pPr>
        <w:ind w:left="720"/>
      </w:pPr>
      <w:r>
        <w:rPr>
          <w:color w:val="003366"/>
          <w:sz w:val="18"/>
        </w:rPr>
        <w:t>V – cada ente federativo fixará sua alíquota própria por lei específica; (Incluí</w:t>
      </w:r>
    </w:p>
    <w:p>
      <w:pPr>
        <w:ind w:left="720"/>
      </w:pPr>
      <w:r>
        <w:rPr>
          <w:color w:val="003366"/>
          <w:sz w:val="18"/>
        </w:rPr>
        <w:t>VI – a alíquota fixada pelo ente federativo na forma do inciso V será a mesma pa</w:t>
      </w:r>
    </w:p>
    <w:p>
      <w:pPr>
        <w:ind w:left="720"/>
      </w:pPr>
      <w:r>
        <w:rPr>
          <w:color w:val="003366"/>
          <w:sz w:val="18"/>
        </w:rPr>
        <w:t>VII – será cobrado pelo somatório das alíquotas do Estado e do Município de dest</w:t>
      </w:r>
    </w:p>
    <w:p>
      <w:pPr>
        <w:ind w:left="720"/>
      </w:pPr>
      <w:r>
        <w:rPr>
          <w:color w:val="003366"/>
          <w:sz w:val="18"/>
        </w:rPr>
        <w:t>VIII – será não cumulativo, compensando-se o imposto devido pelo contribuinte co</w:t>
      </w:r>
    </w:p>
    <w:p>
      <w:pPr>
        <w:ind w:left="720"/>
      </w:pPr>
      <w:r>
        <w:rPr>
          <w:color w:val="003366"/>
          <w:sz w:val="18"/>
        </w:rPr>
        <w:t xml:space="preserve">IX – não integrará sua própria base de cálculo nem a dos tributos previstos nos </w:t>
      </w:r>
    </w:p>
    <w:p>
      <w:pPr>
        <w:ind w:left="720"/>
      </w:pPr>
      <w:r>
        <w:rPr>
          <w:color w:val="003366"/>
          <w:sz w:val="18"/>
        </w:rPr>
        <w:t>X – não será objeto de concessão de incentivos e benefícios financeiros ou fisca</w:t>
      </w:r>
    </w:p>
    <w:p>
      <w:pPr>
        <w:ind w:left="720"/>
      </w:pPr>
      <w:r>
        <w:rPr>
          <w:color w:val="003366"/>
          <w:sz w:val="18"/>
        </w:rPr>
        <w:t>XI – não incidirá nas prestações de serviço de comunicação nas modalidades de ra</w:t>
      </w:r>
    </w:p>
    <w:p>
      <w:pPr>
        <w:ind w:left="720"/>
      </w:pPr>
      <w:r>
        <w:rPr>
          <w:color w:val="003366"/>
          <w:sz w:val="18"/>
        </w:rPr>
        <w:t xml:space="preserve">XII – resolução do Senado Federal fixará alíquota de referência do imposto para </w:t>
      </w:r>
    </w:p>
    <w:p>
      <w:pPr>
        <w:ind w:left="720"/>
      </w:pPr>
      <w:r>
        <w:rPr>
          <w:color w:val="003366"/>
          <w:sz w:val="18"/>
        </w:rPr>
        <w:t>XIII – sempre que possível, terá seu valor informado, de forma específica, no re</w:t>
      </w:r>
    </w:p>
    <w:p>
      <w:pPr>
        <w:ind w:left="432"/>
      </w:pPr>
      <w:r>
        <w:rPr>
          <w:color w:val="003366"/>
          <w:sz w:val="18"/>
        </w:rPr>
        <w:t>§ 2 Para fins do disposto no § 1º, V, o Distrito Federal exercerá as competência</w:t>
      </w:r>
    </w:p>
    <w:p>
      <w:pPr>
        <w:ind w:left="432"/>
      </w:pPr>
      <w:r>
        <w:rPr>
          <w:color w:val="003366"/>
          <w:sz w:val="18"/>
        </w:rPr>
        <w:t>§ 3 Lei complementar poderá definir como sujeito passivo do imposto a pessoa que</w:t>
      </w:r>
    </w:p>
    <w:p>
      <w:pPr>
        <w:ind w:left="432"/>
      </w:pPr>
      <w:r>
        <w:rPr>
          <w:color w:val="003366"/>
          <w:sz w:val="18"/>
        </w:rPr>
        <w:t>§ 4 Para fins de distribuição do produto da arrecadação do imposto, o Comitê Ges</w:t>
      </w:r>
    </w:p>
    <w:p>
      <w:pPr>
        <w:ind w:left="720"/>
      </w:pPr>
      <w:r>
        <w:rPr>
          <w:color w:val="003366"/>
          <w:sz w:val="18"/>
        </w:rPr>
        <w:t>I – reterá montante equivalente ao saldo acumulado de créditos do imposto não co</w:t>
      </w:r>
    </w:p>
    <w:p>
      <w:pPr>
        <w:ind w:left="720"/>
      </w:pPr>
      <w:r>
        <w:rPr>
          <w:color w:val="003366"/>
          <w:sz w:val="18"/>
        </w:rPr>
        <w:t>II – distribuirá o produto da arrecadação do imposto, deduzida a retenção de que</w:t>
      </w:r>
    </w:p>
    <w:p>
      <w:pPr>
        <w:ind w:left="432"/>
      </w:pPr>
      <w:r>
        <w:rPr>
          <w:color w:val="003366"/>
          <w:sz w:val="18"/>
        </w:rPr>
        <w:t>§ 5 Lei complementar disporá sobre: (Incluído pela Emenda Constitucional nº 132,</w:t>
      </w:r>
    </w:p>
    <w:p>
      <w:pPr>
        <w:ind w:left="720"/>
      </w:pPr>
      <w:r>
        <w:rPr>
          <w:color w:val="003366"/>
          <w:sz w:val="18"/>
        </w:rPr>
        <w:t>I – as regras para a distribuição do produto da arrecadação do imposto, discipli</w:t>
      </w:r>
    </w:p>
    <w:p>
      <w:pPr>
        <w:ind w:left="1008"/>
      </w:pPr>
      <w:r>
        <w:rPr>
          <w:color w:val="003366"/>
          <w:sz w:val="18"/>
        </w:rPr>
        <w:t>a) a sua forma de cálculo; (Incluído pela Emenda Constitucional nº 132, de 2023)</w:t>
      </w:r>
    </w:p>
    <w:p>
      <w:pPr>
        <w:ind w:left="1008"/>
      </w:pPr>
      <w:r>
        <w:rPr>
          <w:color w:val="003366"/>
          <w:sz w:val="18"/>
        </w:rPr>
        <w:t>b) o tratamento em relação às operações em que o imposto não seja recolhido temp</w:t>
      </w:r>
    </w:p>
    <w:p>
      <w:pPr>
        <w:ind w:left="1008"/>
      </w:pPr>
      <w:r>
        <w:rPr>
          <w:color w:val="003366"/>
          <w:sz w:val="18"/>
        </w:rPr>
        <w:t>c) as regras de distribuição aplicáveis aos regimes favorecidos, específicos e d</w:t>
      </w:r>
    </w:p>
    <w:p>
      <w:pPr>
        <w:ind w:left="720"/>
      </w:pPr>
      <w:r>
        <w:rPr>
          <w:color w:val="003366"/>
          <w:sz w:val="18"/>
        </w:rPr>
        <w:t>II – o regime de compensação, podendo estabelecer hipóteses em que o aproveitame</w:t>
      </w:r>
    </w:p>
    <w:p>
      <w:pPr>
        <w:ind w:left="1008"/>
      </w:pPr>
      <w:r>
        <w:rPr>
          <w:color w:val="003366"/>
          <w:sz w:val="18"/>
        </w:rPr>
        <w:t>a) o adquirente possa efetuar o recolhimento do imposto incidente nas suas aquis</w:t>
      </w:r>
    </w:p>
    <w:p>
      <w:pPr>
        <w:ind w:left="1008"/>
      </w:pPr>
      <w:r>
        <w:rPr>
          <w:color w:val="003366"/>
          <w:sz w:val="18"/>
        </w:rPr>
        <w:t>b) o recolhimento do imposto ocorra na liquidação financeira da operação; (Inclu</w:t>
      </w:r>
    </w:p>
    <w:p>
      <w:pPr>
        <w:ind w:left="720"/>
      </w:pPr>
      <w:r>
        <w:rPr>
          <w:color w:val="003366"/>
          <w:sz w:val="18"/>
        </w:rPr>
        <w:t>III – a forma e o prazo para ressarcimento de créditos acumulados pelo contribui</w:t>
      </w:r>
    </w:p>
    <w:p>
      <w:pPr>
        <w:ind w:left="720"/>
      </w:pPr>
      <w:r>
        <w:rPr>
          <w:color w:val="003366"/>
          <w:sz w:val="18"/>
        </w:rPr>
        <w:t>IV – os critérios para a definição do destino da operação, que poderá ser, inclu</w:t>
      </w:r>
    </w:p>
    <w:p>
      <w:pPr>
        <w:ind w:left="720"/>
      </w:pPr>
      <w:r>
        <w:rPr>
          <w:color w:val="003366"/>
          <w:sz w:val="18"/>
        </w:rPr>
        <w:t xml:space="preserve">V – a forma de desoneração da aquisição de bens de capital pelos contribuintes, </w:t>
      </w:r>
    </w:p>
    <w:p>
      <w:pPr>
        <w:ind w:left="1008"/>
      </w:pPr>
      <w:r>
        <w:rPr>
          <w:color w:val="003366"/>
          <w:sz w:val="18"/>
        </w:rPr>
        <w:t xml:space="preserve">a) crédito integral e imediato do imposto; (Incluído pela Emenda Constitucional </w:t>
      </w:r>
    </w:p>
    <w:p>
      <w:pPr>
        <w:ind w:left="1008"/>
      </w:pPr>
      <w:r>
        <w:rPr>
          <w:color w:val="003366"/>
          <w:sz w:val="18"/>
        </w:rPr>
        <w:t>b) diferimento; ou (Incluído pela Emenda Constitucional nº 132, de 2023)</w:t>
      </w:r>
    </w:p>
    <w:p>
      <w:pPr>
        <w:ind w:left="1008"/>
      </w:pPr>
      <w:r>
        <w:rPr>
          <w:color w:val="003366"/>
          <w:sz w:val="18"/>
        </w:rPr>
        <w:t>c) redução em 100% (cem por cento) das alíquotas do imposto; (Incluído pela Emen</w:t>
      </w:r>
    </w:p>
    <w:p>
      <w:pPr>
        <w:ind w:left="720"/>
      </w:pPr>
      <w:r>
        <w:rPr>
          <w:color w:val="003366"/>
          <w:sz w:val="18"/>
        </w:rPr>
        <w:t>VI – as hipóteses de diferimento e desoneração do imposto aplicáveis aos regimes</w:t>
      </w:r>
    </w:p>
    <w:p>
      <w:pPr>
        <w:ind w:left="720"/>
      </w:pPr>
      <w:r>
        <w:rPr>
          <w:color w:val="003366"/>
          <w:sz w:val="18"/>
        </w:rPr>
        <w:t>VII – o processo administrativo fiscal do imposto; (Incluído pela Emenda Constit</w:t>
      </w:r>
    </w:p>
    <w:p>
      <w:pPr>
        <w:ind w:left="720"/>
      </w:pPr>
      <w:r>
        <w:rPr>
          <w:color w:val="003366"/>
          <w:sz w:val="18"/>
        </w:rPr>
        <w:t>VIII – as hipóteses de devolução do imposto a pessoas físicas, inclusive os limi</w:t>
      </w:r>
    </w:p>
    <w:p>
      <w:pPr>
        <w:ind w:left="720"/>
      </w:pPr>
      <w:r>
        <w:rPr>
          <w:color w:val="003366"/>
          <w:sz w:val="18"/>
        </w:rPr>
        <w:t>IX – os critérios para as obrigações tributárias acessórias, visando à sua simpl</w:t>
      </w:r>
    </w:p>
    <w:p>
      <w:pPr>
        <w:ind w:left="432"/>
      </w:pPr>
      <w:r>
        <w:rPr>
          <w:color w:val="003366"/>
          <w:sz w:val="18"/>
        </w:rPr>
        <w:t>§ 6 Lei complementar disporá sobre regimes específicos de tributação para: (Incl</w:t>
      </w:r>
    </w:p>
    <w:p>
      <w:pPr>
        <w:ind w:left="720"/>
      </w:pPr>
      <w:r>
        <w:rPr>
          <w:color w:val="003366"/>
          <w:sz w:val="18"/>
        </w:rPr>
        <w:t>I – combustíveis e lubrificantes sobre os quais o imposto incidirá uma única vez</w:t>
      </w:r>
    </w:p>
    <w:p>
      <w:pPr>
        <w:ind w:left="1008"/>
      </w:pPr>
      <w:r>
        <w:rPr>
          <w:color w:val="003366"/>
          <w:sz w:val="18"/>
        </w:rPr>
        <w:t>a) serão as alíquotas uniformes em todo o território nacional, específicas por u</w:t>
      </w:r>
    </w:p>
    <w:p>
      <w:pPr>
        <w:ind w:left="1008"/>
      </w:pPr>
      <w:r>
        <w:rPr>
          <w:color w:val="003366"/>
          <w:sz w:val="18"/>
        </w:rPr>
        <w:t>b) será vedada a apropriação de créditos em relação às aquisições dos produtos d</w:t>
      </w:r>
    </w:p>
    <w:p>
      <w:pPr>
        <w:ind w:left="1008"/>
      </w:pPr>
      <w:r>
        <w:rPr>
          <w:color w:val="003366"/>
          <w:sz w:val="18"/>
        </w:rPr>
        <w:t>c) será concedido crédito nas aquisições dos produtos de que trata este inciso p</w:t>
      </w:r>
    </w:p>
    <w:p>
      <w:pPr>
        <w:ind w:left="720"/>
      </w:pPr>
      <w:r>
        <w:rPr>
          <w:color w:val="003366"/>
          <w:sz w:val="18"/>
        </w:rPr>
        <w:t>II – serviços financeiros, operações com bens imóveis, planos de assistência à s</w:t>
      </w:r>
    </w:p>
    <w:p>
      <w:pPr>
        <w:ind w:left="1008"/>
      </w:pPr>
      <w:r>
        <w:rPr>
          <w:color w:val="003366"/>
          <w:sz w:val="18"/>
        </w:rPr>
        <w:t>a) alterações nas alíquotas, nas regras de creditamento e na base de cálculo, ad</w:t>
      </w:r>
    </w:p>
    <w:p>
      <w:pPr>
        <w:ind w:left="1008"/>
      </w:pPr>
      <w:r>
        <w:rPr>
          <w:color w:val="003366"/>
          <w:sz w:val="18"/>
        </w:rPr>
        <w:t>b) hipóteses em que o imposto incidirá sobre a receita ou o faturamento, com alí</w:t>
      </w:r>
    </w:p>
    <w:p>
      <w:pPr>
        <w:ind w:left="720"/>
      </w:pPr>
      <w:r>
        <w:rPr>
          <w:color w:val="003366"/>
          <w:sz w:val="18"/>
        </w:rPr>
        <w:t>III – sociedades cooperativas, que será optativo, com vistas a assegurar sua com</w:t>
      </w:r>
    </w:p>
    <w:p>
      <w:pPr>
        <w:ind w:left="1008"/>
      </w:pPr>
      <w:r>
        <w:rPr>
          <w:color w:val="003366"/>
          <w:sz w:val="18"/>
        </w:rPr>
        <w:t>a) as hipóteses em que o imposto não incidirá sobre as operações realizadas entr</w:t>
      </w:r>
    </w:p>
    <w:p>
      <w:pPr>
        <w:ind w:left="1008"/>
      </w:pPr>
      <w:r>
        <w:rPr>
          <w:color w:val="003366"/>
          <w:sz w:val="18"/>
        </w:rPr>
        <w:t>b) o regime de aproveitamento do crédito das etapas anteriores; (Incluído pela E</w:t>
      </w:r>
    </w:p>
    <w:p>
      <w:pPr>
        <w:ind w:left="720"/>
      </w:pPr>
      <w:r>
        <w:rPr>
          <w:color w:val="003366"/>
          <w:sz w:val="18"/>
        </w:rPr>
        <w:t>IV – serviços de hotelaria, parques de diversão e parques temáticos, agências de</w:t>
      </w:r>
    </w:p>
    <w:p>
      <w:pPr>
        <w:ind w:left="720"/>
      </w:pPr>
      <w:r>
        <w:rPr>
          <w:color w:val="003366"/>
          <w:sz w:val="18"/>
        </w:rPr>
        <w:t>V – operações alcançadas por tratado ou convenção internacional, inclusive refer</w:t>
      </w:r>
    </w:p>
    <w:p>
      <w:pPr>
        <w:ind w:left="720"/>
      </w:pPr>
      <w:r>
        <w:rPr>
          <w:color w:val="003366"/>
          <w:sz w:val="18"/>
        </w:rPr>
        <w:t xml:space="preserve">VI – serviços de transporte coletivo de passageiros rodoviário intermunicipal e </w:t>
      </w:r>
    </w:p>
    <w:p>
      <w:pPr>
        <w:ind w:left="432"/>
      </w:pPr>
      <w:r>
        <w:rPr>
          <w:color w:val="003366"/>
          <w:sz w:val="18"/>
        </w:rPr>
        <w:t>§ 7 A isenção e a imunidade: (Incluído pela Emenda Constitucional nº 132, de 202</w:t>
      </w:r>
    </w:p>
    <w:p>
      <w:pPr>
        <w:ind w:left="720"/>
      </w:pPr>
      <w:r>
        <w:rPr>
          <w:color w:val="003366"/>
          <w:sz w:val="18"/>
        </w:rPr>
        <w:t xml:space="preserve">I – não implicarão crédito para compensação com o montante devido nas operações </w:t>
      </w:r>
    </w:p>
    <w:p>
      <w:pPr>
        <w:ind w:left="720"/>
      </w:pPr>
      <w:r>
        <w:rPr>
          <w:color w:val="003366"/>
          <w:sz w:val="18"/>
        </w:rPr>
        <w:t xml:space="preserve">II – acarretarão a anulação do crédito relativo às operações anteriores, salvo, </w:t>
      </w:r>
    </w:p>
    <w:p>
      <w:pPr>
        <w:ind w:left="432"/>
      </w:pPr>
      <w:r>
        <w:rPr>
          <w:color w:val="003366"/>
          <w:sz w:val="18"/>
        </w:rPr>
        <w:t xml:space="preserve">§ 8 Para fins do disposto neste artigo, a lei complementar de que trata o caput </w:t>
      </w:r>
    </w:p>
    <w:p>
      <w:pPr>
        <w:ind w:left="432"/>
      </w:pPr>
      <w:r>
        <w:rPr>
          <w:color w:val="003366"/>
          <w:sz w:val="18"/>
        </w:rPr>
        <w:t>§ 9 Qualquer alteração na legislação federal que reduza ou eleve a arrecadação d</w:t>
      </w:r>
    </w:p>
    <w:p>
      <w:pPr>
        <w:ind w:left="720"/>
      </w:pPr>
      <w:r>
        <w:rPr>
          <w:color w:val="003366"/>
          <w:sz w:val="18"/>
        </w:rPr>
        <w:t>I – deverá ser compensada pela elevação ou redução, pelo Senado Federal, das alí</w:t>
      </w:r>
    </w:p>
    <w:p>
      <w:pPr>
        <w:ind w:left="720"/>
      </w:pPr>
      <w:r>
        <w:rPr>
          <w:color w:val="003366"/>
          <w:sz w:val="18"/>
        </w:rPr>
        <w:t xml:space="preserve">II – somente entrará em vigor com o início da produção de efeitos do ajuste das </w:t>
      </w:r>
    </w:p>
    <w:p>
      <w:pPr>
        <w:ind w:left="432"/>
      </w:pPr>
      <w:r>
        <w:rPr>
          <w:color w:val="003366"/>
          <w:sz w:val="18"/>
        </w:rPr>
        <w:t>§ 10 Os Estados, o Distrito Federal e os Municípios poderão optar por vincular s</w:t>
      </w:r>
    </w:p>
    <w:p>
      <w:pPr>
        <w:ind w:left="432"/>
      </w:pPr>
      <w:r>
        <w:rPr>
          <w:color w:val="003366"/>
          <w:sz w:val="18"/>
        </w:rPr>
        <w:t xml:space="preserve">§ 11 Projeto de lei complementar em tramitação no Congresso Nacional que reduza </w:t>
      </w:r>
    </w:p>
    <w:p>
      <w:pPr>
        <w:ind w:left="432"/>
      </w:pPr>
      <w:r>
        <w:rPr>
          <w:color w:val="003366"/>
          <w:sz w:val="18"/>
        </w:rPr>
        <w:t>§ 12 A devolução de que trata o § 5º, VIII, não será considerada nas bases de cá</w:t>
      </w:r>
    </w:p>
    <w:p>
      <w:pPr>
        <w:ind w:left="432"/>
      </w:pPr>
      <w:r>
        <w:rPr>
          <w:color w:val="003366"/>
          <w:sz w:val="18"/>
        </w:rPr>
        <w:t>§ 13 A devolução de que trata o § 5º, VIII, será obrigatória nas operações de fo</w:t>
      </w:r>
    </w:p>
    <w:p>
      <w:r>
        <w:rPr>
          <w:b/>
          <w:color w:val="003366"/>
          <w:sz w:val="20"/>
        </w:rPr>
        <w:t>Art. 156 B. Os Estados, o Distrito Federal e os Municípios exercerão de forma in</w:t>
      </w:r>
      <w:r>
        <w:rPr>
          <w:color w:val="8C8C8C"/>
          <w:sz w:val="14"/>
        </w:rPr>
        <w:t xml:space="preserve">  [34 decisoes]</w:t>
      </w:r>
    </w:p>
    <w:p>
      <w:pPr>
        <w:ind w:left="144"/>
      </w:pPr>
      <w:r>
        <w:rPr>
          <w:b/>
          <w:color w:val="B45A00"/>
          <w:sz w:val="16"/>
        </w:rPr>
        <w:t>REPERCUSSAO GERAL</w:t>
      </w:r>
    </w:p>
    <w:p>
      <w:pPr>
        <w:ind w:left="288"/>
      </w:pPr>
      <w:r>
        <w:rPr>
          <w:color w:val="8C8C8C"/>
          <w:sz w:val="12"/>
        </w:rPr>
        <w:t>cf-art-156-inc-I</w:t>
      </w:r>
      <w:r>
        <w:rPr>
          <w:color w:val="003CA0"/>
          <w:sz w:val="12"/>
        </w:rPr>
        <w:t xml:space="preserve"> | ARE 1.245.097</w:t>
      </w:r>
      <w:r>
        <w:rPr>
          <w:color w:val="003CA0"/>
          <w:sz w:val="12"/>
        </w:rPr>
        <w:t xml:space="preserve"> | rel. Roberto Barroso</w:t>
      </w:r>
    </w:p>
    <w:p>
      <w:pPr>
        <w:ind w:left="288"/>
      </w:pPr>
      <w:r>
        <w:rPr>
          <w:color w:val="1E1E1E"/>
          <w:sz w:val="18"/>
        </w:rPr>
        <w:t>“É constitucional a lei municipal que delega ao Poder Executivo a avaliação individualizada, para fins de cobrança do IPTU, de imóvel novo não previsto na Planta Genérica de Valores, desde que fixados em lei os critérios para a avaliação técnica e assegurado ao contribuinte o direito ao contraditório.”</w:t>
        <w:br/>
        <w:t>[ARE 1.245.097, rel. min. Roberto Barroso, j. 5-6-2023, P, DJE de 27-7-2023, Tema 1.084, com mérito julgado.] Declaração de inconstitucionalidade da alteração dos limites intermunicipais por ausência de observância do § 4º do art. 18 da Constituição da República. A exigência da realização de ple</w:t>
      </w:r>
    </w:p>
    <w:p>
      <w:pPr>
        <w:ind w:left="144"/>
      </w:pPr>
      <w:r>
        <w:rPr>
          <w:b/>
          <w:color w:val="B45A00"/>
          <w:sz w:val="16"/>
        </w:rPr>
        <w:t>SUMULA</w:t>
      </w:r>
    </w:p>
    <w:p>
      <w:pPr>
        <w:ind w:left="288"/>
      </w:pPr>
      <w:r>
        <w:rPr>
          <w:color w:val="8C8C8C"/>
          <w:sz w:val="12"/>
        </w:rPr>
        <w:t>cf-art-156-inc-I</w:t>
      </w:r>
    </w:p>
    <w:p>
      <w:pPr>
        <w:ind w:left="288"/>
      </w:pPr>
      <w:r>
        <w:rPr>
          <w:color w:val="1E1E1E"/>
          <w:sz w:val="18"/>
        </w:rPr>
        <w:t>É inconstitucional a lei que estabelece alíquotas progressivas para o Imposto de Transmissão Inter Vivos de Bens Imóveis (ITBI) com base no valor venal do imóvel.</w:t>
      </w:r>
    </w:p>
    <w:p>
      <w:pPr>
        <w:ind w:left="288"/>
      </w:pPr>
      <w:r>
        <w:rPr>
          <w:b/>
          <w:color w:val="003CA0"/>
          <w:sz w:val="16"/>
        </w:rPr>
        <w:t>[Súmula 656.]</w:t>
      </w:r>
    </w:p>
    <w:p>
      <w:pPr>
        <w:ind w:left="144"/>
      </w:pPr>
      <w:r>
        <w:rPr>
          <w:b/>
          <w:color w:val="B45A00"/>
          <w:sz w:val="16"/>
        </w:rPr>
        <w:t>REPERCUSSAO GERAL</w:t>
      </w:r>
    </w:p>
    <w:p>
      <w:pPr>
        <w:ind w:left="288"/>
      </w:pPr>
      <w:r>
        <w:rPr>
          <w:color w:val="8C8C8C"/>
          <w:sz w:val="12"/>
        </w:rPr>
        <w:t>cf-art-156-inc-I</w:t>
      </w:r>
      <w:r>
        <w:rPr>
          <w:color w:val="003CA0"/>
          <w:sz w:val="12"/>
        </w:rPr>
        <w:t xml:space="preserve"> | ARE 1.294.969</w:t>
      </w:r>
      <w:r>
        <w:rPr>
          <w:color w:val="003CA0"/>
          <w:sz w:val="12"/>
        </w:rPr>
        <w:t xml:space="preserve"> | rel. Luiz Fux</w:t>
      </w:r>
    </w:p>
    <w:p>
      <w:pPr>
        <w:ind w:left="288"/>
      </w:pPr>
      <w:r>
        <w:rPr>
          <w:color w:val="1E1E1E"/>
          <w:sz w:val="18"/>
        </w:rPr>
        <w:t>Incidência do Imposto de Transmissão de Bens Imóveis (ITBI) na cessão de direitos de compra e venda, ausente a transferência de propriedade pelo registro imobiliário.</w:t>
        <w:br/>
        <w:t>[ARE 1.294.969, rel. min. Luiz Fux, j. 11-2-2022, P, DJE de 19-2-2022, Tema 1.124, com mérito pendente.] A cobrança de ITBI [Imposto de Transmissão Inter Vivos de Bens Imóveis] é devida no momento do registro da compra e venda na matrícula do imóvel.</w:t>
      </w:r>
    </w:p>
    <w:p>
      <w:pPr>
        <w:ind w:left="288"/>
      </w:pPr>
      <w:r>
        <w:rPr>
          <w:b/>
          <w:color w:val="003CA0"/>
          <w:sz w:val="16"/>
        </w:rPr>
        <w:t>[ARE 759.964 AgR, rel. min. Edson Fachin, j. 15-9-2015, 1ª T, DJE de 29-9-2015.]</w:t>
      </w:r>
    </w:p>
    <w:p>
      <w:pPr>
        <w:ind w:left="288"/>
      </w:pPr>
      <w:r>
        <w:rPr>
          <w:color w:val="8C8C8C"/>
          <w:sz w:val="12"/>
        </w:rPr>
        <w:t>cf-art-156-inc-I</w:t>
      </w:r>
      <w:r>
        <w:rPr>
          <w:color w:val="003CA0"/>
          <w:sz w:val="12"/>
        </w:rPr>
        <w:t xml:space="preserve"> | ARE 1.526.080</w:t>
      </w:r>
      <w:r>
        <w:rPr>
          <w:color w:val="003CA0"/>
          <w:sz w:val="12"/>
        </w:rPr>
        <w:t xml:space="preserve"> | rel. Dias Toffoli</w:t>
      </w:r>
    </w:p>
    <w:p>
      <w:pPr>
        <w:ind w:left="288"/>
      </w:pPr>
      <w:r>
        <w:rPr>
          <w:color w:val="1E1E1E"/>
          <w:sz w:val="18"/>
        </w:rPr>
        <w:t>= ARE 1.526.080 AgR, rel. min. Dias Toffoli, j. 07.04.2025, 2ª T, DJE de 09.04.2025.] (...) o STF assentou que os contratos de promessa não constituem fato gerador para a incidência do Imposto sobre a Transmissão de Bens Imóveis.</w:t>
      </w:r>
    </w:p>
    <w:p>
      <w:pPr>
        <w:ind w:left="288"/>
      </w:pPr>
      <w:r>
        <w:rPr>
          <w:b/>
          <w:color w:val="003CA0"/>
          <w:sz w:val="16"/>
        </w:rPr>
        <w:t>[RE 666.096 AgR, voto da rel. min. Cármen Lúcia, j. 30-10-2012, 2ª T, DJE de 21-11-2012.]</w:t>
      </w:r>
    </w:p>
    <w:p>
      <w:pPr>
        <w:ind w:left="288"/>
      </w:pPr>
      <w:r>
        <w:rPr>
          <w:color w:val="8C8C8C"/>
          <w:sz w:val="12"/>
        </w:rPr>
        <w:t>cf-art-156-inc-I</w:t>
      </w:r>
      <w:r>
        <w:rPr>
          <w:color w:val="003CA0"/>
          <w:sz w:val="12"/>
        </w:rPr>
        <w:t xml:space="preserve"> | AI 782.703</w:t>
      </w:r>
      <w:r>
        <w:rPr>
          <w:color w:val="003CA0"/>
          <w:sz w:val="12"/>
        </w:rPr>
        <w:t xml:space="preserve"> | rel. Dias Toffoli</w:t>
      </w:r>
    </w:p>
    <w:p>
      <w:pPr>
        <w:ind w:left="288"/>
      </w:pPr>
      <w:r>
        <w:rPr>
          <w:color w:val="1E1E1E"/>
          <w:sz w:val="18"/>
        </w:rPr>
        <w:t>= AI 782.703 AgR, rel. min. Dias Toffoli, j. 8-10-2013, 1ª T, DJE de 25-11-2013</w:t>
      </w:r>
    </w:p>
    <w:p>
      <w:pPr>
        <w:ind w:left="144"/>
      </w:pPr>
      <w:r>
        <w:rPr>
          <w:b/>
          <w:color w:val="B45A00"/>
          <w:sz w:val="16"/>
        </w:rPr>
        <w:t>SUMULA VINCULANTE</w:t>
      </w:r>
    </w:p>
    <w:p>
      <w:pPr>
        <w:ind w:left="288"/>
      </w:pPr>
      <w:r>
        <w:rPr>
          <w:color w:val="8C8C8C"/>
          <w:sz w:val="12"/>
        </w:rPr>
        <w:t>cf-art-156-inc-III</w:t>
      </w:r>
    </w:p>
    <w:p>
      <w:pPr>
        <w:ind w:left="288"/>
      </w:pPr>
      <w:r>
        <w:rPr>
          <w:color w:val="1E1E1E"/>
          <w:sz w:val="18"/>
        </w:rPr>
        <w:t>É inconstitucional a incidência do Imposto sobre Serviços de Qualquer Natureza – ISS sobre operações de locação de bens móveis.</w:t>
      </w:r>
    </w:p>
    <w:p>
      <w:pPr>
        <w:ind w:left="288"/>
      </w:pPr>
      <w:r>
        <w:rPr>
          <w:b/>
          <w:color w:val="003CA0"/>
          <w:sz w:val="16"/>
        </w:rPr>
        <w:t>[Súmula Vinculante 31.]</w:t>
      </w:r>
    </w:p>
    <w:p>
      <w:pPr>
        <w:ind w:left="144"/>
      </w:pPr>
      <w:r>
        <w:rPr>
          <w:b/>
          <w:color w:val="B45A00"/>
          <w:sz w:val="16"/>
        </w:rPr>
        <w:t>CONTROLE CONCENTRADO</w:t>
      </w:r>
    </w:p>
    <w:p>
      <w:pPr>
        <w:ind w:left="288"/>
      </w:pPr>
      <w:r>
        <w:rPr>
          <w:color w:val="8C8C8C"/>
          <w:sz w:val="12"/>
        </w:rPr>
        <w:t>cf-art-156-inc-III</w:t>
      </w:r>
      <w:r>
        <w:rPr>
          <w:color w:val="003CA0"/>
          <w:sz w:val="12"/>
        </w:rPr>
        <w:t xml:space="preserve"> | ADI 4.784</w:t>
      </w:r>
      <w:r>
        <w:rPr>
          <w:color w:val="003CA0"/>
          <w:sz w:val="12"/>
        </w:rPr>
        <w:t xml:space="preserve"> | rel. Flávio Dino</w:t>
      </w:r>
    </w:p>
    <w:p>
      <w:pPr>
        <w:ind w:left="288"/>
      </w:pPr>
      <w:r>
        <w:rPr>
          <w:color w:val="1E1E1E"/>
          <w:sz w:val="18"/>
        </w:rPr>
        <w:t>A tese pela qual reconhecida a constitucionalidade da “cobrança do Imposto sobre Serviços de Qualquer Natureza (ISS) sobre a franquia postal”, comporta explicitação, para assentar que a exação sobre “serviços de coleta, remessa ou entrega de correspondências, documentos, objetos, bens ou valores” não incide sobre os serviços considerados postais.</w:t>
        <w:br/>
        <w:t>[ADI 4.784 ED, rel. min. Flávio Dino, j. 12.08.2024, P, DJE de 09.09.2024.]</w:t>
        <w:br/>
        <w:t>Vide ADI 4.784, rel. min. Roberto Barroso, j. 12.09.2023, P, DJE de 06.11.2023 Não é devida a leitura da hospedagem como uma obrigação de dar, porquanto não se depreende dela,</w:t>
      </w:r>
    </w:p>
    <w:p>
      <w:pPr>
        <w:ind w:left="288"/>
      </w:pPr>
      <w:r>
        <w:rPr>
          <w:b/>
          <w:color w:val="003CA0"/>
          <w:sz w:val="16"/>
        </w:rPr>
        <w:t>[ADI 3.089, red. do ac. min. Joaquim Barbosa, j. 13-2-2008, P, DJE de 1º-8-2008.]</w:t>
        <w:br/>
        <w:t>= RE 756.915 RG, rel. min. Gilmar Mendes, j. 17-10-2013, P, DJE de 12-11-2013, Tema 688</w:t>
      </w:r>
    </w:p>
    <w:p>
      <w:pPr>
        <w:ind w:left="288"/>
      </w:pPr>
      <w:r>
        <w:rPr>
          <w:color w:val="8C8C8C"/>
          <w:sz w:val="12"/>
        </w:rPr>
        <w:t>cf-art-156-inc-III</w:t>
      </w:r>
      <w:r>
        <w:rPr>
          <w:color w:val="003CA0"/>
          <w:sz w:val="12"/>
        </w:rPr>
        <w:t xml:space="preserve"> | RE 882.461</w:t>
      </w:r>
      <w:r>
        <w:rPr>
          <w:color w:val="003CA0"/>
          <w:sz w:val="12"/>
        </w:rPr>
        <w:t xml:space="preserve"> | rel. Dias Toffoli</w:t>
      </w:r>
    </w:p>
    <w:p>
      <w:pPr>
        <w:ind w:left="288"/>
      </w:pPr>
      <w:r>
        <w:rPr>
          <w:color w:val="1E1E1E"/>
          <w:sz w:val="18"/>
        </w:rPr>
        <w:t>“1. É inconstitucional a incidência do ISS a que se refere o subitem 14.05 da lista anexa à LC nº 116/03 se o objeto é destinado à industrialização ou à comercialização; 2. As multas moratórias instituídas pela União, pelos estados, pelo Distrito Federal e pelos municípios devem observar o teto de 20% do débito tributário”.</w:t>
      </w:r>
    </w:p>
    <w:p>
      <w:pPr>
        <w:ind w:left="288"/>
      </w:pPr>
      <w:r>
        <w:rPr>
          <w:b/>
          <w:color w:val="003CA0"/>
          <w:sz w:val="16"/>
        </w:rPr>
        <w:t>[RE 882.461, rel. min. Dias Toffoli, j. 26.02.2025, P, DJE de 30.04.2025, Tema 816, com mérito julgado.]</w:t>
      </w:r>
    </w:p>
    <w:p>
      <w:pPr>
        <w:ind w:left="144"/>
      </w:pPr>
      <w:r>
        <w:rPr>
          <w:b/>
          <w:color w:val="B45A00"/>
          <w:sz w:val="16"/>
        </w:rPr>
        <w:t>REPERCUSSAO GERAL</w:t>
      </w:r>
    </w:p>
    <w:p>
      <w:pPr>
        <w:ind w:left="288"/>
      </w:pPr>
      <w:r>
        <w:rPr>
          <w:color w:val="8C8C8C"/>
          <w:sz w:val="12"/>
        </w:rPr>
        <w:t>cf-art-156-inc-III</w:t>
      </w:r>
      <w:r>
        <w:rPr>
          <w:color w:val="003CA0"/>
          <w:sz w:val="12"/>
        </w:rPr>
        <w:t xml:space="preserve"> | RE 688.223</w:t>
      </w:r>
      <w:r>
        <w:rPr>
          <w:color w:val="003CA0"/>
          <w:sz w:val="12"/>
        </w:rPr>
        <w:t xml:space="preserve"> | rel. Dias Toffoli</w:t>
      </w:r>
    </w:p>
    <w:p>
      <w:pPr>
        <w:ind w:left="288"/>
      </w:pPr>
      <w:r>
        <w:rPr>
          <w:color w:val="1E1E1E"/>
          <w:sz w:val="18"/>
        </w:rPr>
        <w:t>Recentemente, o Tribunal Pleno, no julgamento das ADI nºs 1.945/MT e 5.659/MG, consignou que a tradicional distinção entre software de prateleira (padronizado) e por encomenda (personalizado) não é mais suficiente para a definição da competência para a tributação dos negócios jurídicos que envolvam programas de computador em suas diversas modalidades. Na mesma oportunidade, a Corte aduziu que o legislador complementar, adotando critério objetivo, buscou dirimir conflitos de competências em matéria tributária envolvendo softwares, estabelecendo, no subitem 1.05 da lista anexa à LC nº 116/03, qu</w:t>
      </w:r>
    </w:p>
    <w:p>
      <w:pPr>
        <w:ind w:left="288"/>
      </w:pPr>
      <w:r>
        <w:rPr>
          <w:b/>
          <w:color w:val="003CA0"/>
          <w:sz w:val="16"/>
        </w:rPr>
        <w:t>[RE 688.223, rel. min. Dias Toffoli, j. 6-12-2021, P, DJE de 3-3-2022, Tema 590, com mérito julgado.]</w:t>
      </w:r>
    </w:p>
    <w:p>
      <w:pPr>
        <w:ind w:left="288"/>
      </w:pPr>
      <w:r>
        <w:rPr>
          <w:color w:val="8C8C8C"/>
          <w:sz w:val="12"/>
        </w:rPr>
        <w:t>cf-art-156-inc-III</w:t>
      </w:r>
      <w:r>
        <w:rPr>
          <w:color w:val="003CA0"/>
          <w:sz w:val="12"/>
        </w:rPr>
        <w:t xml:space="preserve"> | RE 605.552</w:t>
      </w:r>
      <w:r>
        <w:rPr>
          <w:color w:val="003CA0"/>
          <w:sz w:val="12"/>
        </w:rPr>
        <w:t xml:space="preserve"> | rel. Dias Toffoli</w:t>
      </w:r>
    </w:p>
    <w:p>
      <w:pPr>
        <w:ind w:left="288"/>
      </w:pPr>
      <w:r>
        <w:rPr>
          <w:color w:val="1E1E1E"/>
          <w:sz w:val="18"/>
        </w:rPr>
        <w:t>A Corte tradicionalmente resolve as ambiguidades entre o ISS e o ICMS com base em critério objetivo: incide apenas o primeiro se o serviço está definido por lei complementar como tributável por tal imposto, ainda que sua prestação envolva a utilização ou o fornecimento de bens, ressalvadas as exceções previstas na lei; ou incide apenas o segundo se a operação de circulação de mercadorias envolver serviço não definido por aquela lei complementar. O critério objetivo pode ser afastado se o legislador complementar definir como tributáveis pelo ISS serviços que, ontologicamente, não são serviços o</w:t>
      </w:r>
    </w:p>
    <w:p>
      <w:pPr>
        <w:ind w:left="288"/>
      </w:pPr>
      <w:r>
        <w:rPr>
          <w:b/>
          <w:color w:val="003CA0"/>
          <w:sz w:val="16"/>
        </w:rPr>
        <w:t>[RE 605.552, rel. min. Dias Toffoli, j. 5-8-2020, P, DJE de 6-10-2020, Tema 379, com mérito julgado.]</w:t>
      </w:r>
    </w:p>
    <w:p>
      <w:pPr>
        <w:ind w:left="288"/>
      </w:pPr>
      <w:r>
        <w:rPr>
          <w:color w:val="8C8C8C"/>
          <w:sz w:val="12"/>
        </w:rPr>
        <w:t>cf-art-156-inc-III</w:t>
      </w:r>
      <w:r>
        <w:rPr>
          <w:color w:val="003CA0"/>
          <w:sz w:val="12"/>
        </w:rPr>
        <w:t xml:space="preserve"> | RE 784.439</w:t>
      </w:r>
      <w:r>
        <w:rPr>
          <w:color w:val="003CA0"/>
          <w:sz w:val="12"/>
        </w:rPr>
        <w:t xml:space="preserve"> | rel. Rosa Weber</w:t>
      </w:r>
    </w:p>
    <w:p>
      <w:pPr>
        <w:ind w:left="288"/>
      </w:pPr>
      <w:r>
        <w:rPr>
          <w:color w:val="1E1E1E"/>
          <w:sz w:val="18"/>
        </w:rPr>
        <w:t>Imposto sobre Serviços de Qualquer Natureza - ISS. Art. 156, III, da Carta Política. Opção constitucional pela limitação da capacidade tributária dos municípios por meio da atribuição à lei complementar da função de definir os serviços tributáveis pelo ISS. Listas de serviços anexas ao Decreto-lei 406/1968 e Lei complementar 116/2003. Caráter taxativo compatível com a Constituição da República. (...) Tese de repercussão geral: “É taxativa a lista de serviços sujeitos ao ISS a que se refere o art. 156, III, da Constituição Federal, admitindo-se, contudo, a incidência do tributo sobre as ativida</w:t>
      </w:r>
    </w:p>
    <w:p>
      <w:pPr>
        <w:ind w:left="288"/>
      </w:pPr>
      <w:r>
        <w:rPr>
          <w:b/>
          <w:color w:val="003CA0"/>
          <w:sz w:val="16"/>
        </w:rPr>
        <w:t>[RE 1.535.322 AgR, rel. min. Alexandre de Moraes, j. 07.04.2025, 1ª T, DJE de 14.04.2025.]</w:t>
      </w:r>
    </w:p>
    <w:p>
      <w:pPr>
        <w:ind w:left="144"/>
      </w:pPr>
      <w:r>
        <w:rPr>
          <w:b/>
          <w:color w:val="B45A00"/>
          <w:sz w:val="16"/>
        </w:rPr>
        <w:t>JULGADOS CORRELATOS</w:t>
      </w:r>
    </w:p>
    <w:p>
      <w:pPr>
        <w:ind w:left="288"/>
      </w:pPr>
      <w:r>
        <w:rPr>
          <w:color w:val="8C8C8C"/>
          <w:sz w:val="12"/>
        </w:rPr>
        <w:t>cf-art-156-inc-III</w:t>
      </w:r>
      <w:r>
        <w:rPr>
          <w:color w:val="003CA0"/>
          <w:sz w:val="12"/>
        </w:rPr>
        <w:t xml:space="preserve"> | RCL 14.290</w:t>
      </w:r>
      <w:r>
        <w:rPr>
          <w:color w:val="003CA0"/>
          <w:sz w:val="12"/>
        </w:rPr>
        <w:t xml:space="preserve"> | rel. Rosa Weber</w:t>
      </w:r>
    </w:p>
    <w:p>
      <w:pPr>
        <w:ind w:left="288"/>
      </w:pPr>
      <w:r>
        <w:rPr>
          <w:color w:val="1E1E1E"/>
          <w:sz w:val="18"/>
        </w:rPr>
        <w:t>A Súmula Vinculante 31, que assenta a inconstitucionalidade da incidência do Imposto sobre Serviços de Qualquer Natureza (ISSQN) nas operações de locação de bens móveis, somente pode ser aplicada em relações contratuais complexas se a locação de bens móveis estiver claramente segmentada da prestação de serviços, seja no que diz com o seu objeto, seja no que concerne ao valor específico da contrapartida financeira. Hipótese em que contratada a locação de maquinário e equipamentos conjuntamente com a disponibilização de mão de obra especializada para operá-los, sem haver, contudo, previsão de re</w:t>
      </w:r>
    </w:p>
    <w:p>
      <w:pPr>
        <w:ind w:left="288"/>
      </w:pPr>
      <w:r>
        <w:rPr>
          <w:b/>
          <w:color w:val="003CA0"/>
          <w:sz w:val="16"/>
        </w:rPr>
        <w:t>[Rcl 14.290 AgR, rel. min. Rosa Weber, j. 22-5-2014, P, DJE de 20-6-2014.]</w:t>
      </w:r>
    </w:p>
    <w:p>
      <w:pPr>
        <w:ind w:left="288"/>
      </w:pPr>
      <w:r>
        <w:rPr>
          <w:color w:val="8C8C8C"/>
          <w:sz w:val="12"/>
        </w:rPr>
        <w:t>cf-art-156-inc-III</w:t>
      </w:r>
      <w:r>
        <w:rPr>
          <w:color w:val="003CA0"/>
          <w:sz w:val="12"/>
        </w:rPr>
        <w:t xml:space="preserve"> | ADI 4.389</w:t>
      </w:r>
      <w:r>
        <w:rPr>
          <w:color w:val="003CA0"/>
          <w:sz w:val="12"/>
        </w:rPr>
        <w:t xml:space="preserve"> | rel. Roberto Barroso</w:t>
      </w:r>
    </w:p>
    <w:p>
      <w:pPr>
        <w:ind w:left="288"/>
      </w:pPr>
      <w:r>
        <w:rPr>
          <w:color w:val="1E1E1E"/>
          <w:sz w:val="18"/>
        </w:rPr>
        <w:t>Os serviços de composição gráfica realizados em fichas telefônicas são prestados em caráter privado. A despeito da atividade não estar acobertada pela imunidade, não há como reconhecer a incidência do ISS na hipótese em virtude de os serviços serem meramente residuais em relação à operação de circulação de tais mercadorias. Aplicam-se ao caso as conclusões do STF sobre a composição de serviços gráficos em embalagens (ADI 4.389 MC).</w:t>
      </w:r>
    </w:p>
    <w:p>
      <w:pPr>
        <w:ind w:left="288"/>
      </w:pPr>
      <w:r>
        <w:rPr>
          <w:b/>
          <w:color w:val="003CA0"/>
          <w:sz w:val="16"/>
        </w:rPr>
        <w:t>[RE 592.752 AgR, rel. min. Roberto Barroso, j. 18-3-2014, 1ª T, DJE de 14-4-2014.]</w:t>
      </w:r>
    </w:p>
    <w:p>
      <w:pPr>
        <w:ind w:left="288"/>
      </w:pPr>
      <w:r>
        <w:rPr>
          <w:color w:val="8C8C8C"/>
          <w:sz w:val="12"/>
        </w:rPr>
        <w:t>cf-art-156-inc-III</w:t>
      </w:r>
      <w:r>
        <w:rPr>
          <w:color w:val="003CA0"/>
          <w:sz w:val="12"/>
        </w:rPr>
        <w:t xml:space="preserve"> | ADI 4.389</w:t>
      </w:r>
      <w:r>
        <w:rPr>
          <w:color w:val="003CA0"/>
          <w:sz w:val="12"/>
        </w:rPr>
        <w:t xml:space="preserve"> | rel. Joaquim Barbosa</w:t>
      </w:r>
    </w:p>
    <w:p>
      <w:pPr>
        <w:ind w:left="288"/>
      </w:pPr>
      <w:r>
        <w:rPr>
          <w:color w:val="1E1E1E"/>
          <w:sz w:val="18"/>
        </w:rPr>
        <w:t>Vide ADI 4.389 MC, rel. min. Joaquim Barbosa, j. 13-4-2011, P, DJE de 25-5-2011 Vide AI 533.202 AgR, rel. min. Gilmar Mendes, j. 30-9-2008, 2ª T, DJE de 21-11-2008 A Súmula Vinculante 31 não exonera a prestação de serviços concomitante à locação de bens móveis do pagamento do ISS. Se houver ao mesmo tempo locação de bem móvel e prestação de serviços, o ISS incide sobre o segundo fato, sem atingir o primeiro.</w:t>
      </w:r>
    </w:p>
    <w:p>
      <w:pPr>
        <w:ind w:left="288"/>
      </w:pPr>
      <w:r>
        <w:rPr>
          <w:b/>
          <w:color w:val="003CA0"/>
          <w:sz w:val="16"/>
        </w:rPr>
        <w:t>[ARE 656.709 AgR, rel. min. Joaquim Barbosa, j. 14-2-2012, 2ª T, DJE de 8-3-2012.]</w:t>
      </w:r>
    </w:p>
    <w:p>
      <w:pPr>
        <w:ind w:left="288"/>
      </w:pPr>
      <w:r>
        <w:rPr>
          <w:color w:val="8C8C8C"/>
          <w:sz w:val="12"/>
        </w:rPr>
        <w:t>cf-art-156-inc-III</w:t>
      </w:r>
      <w:r>
        <w:rPr>
          <w:color w:val="003CA0"/>
          <w:sz w:val="12"/>
        </w:rPr>
        <w:t xml:space="preserve"> | AI 622.421</w:t>
      </w:r>
      <w:r>
        <w:rPr>
          <w:color w:val="003CA0"/>
          <w:sz w:val="12"/>
        </w:rPr>
        <w:t xml:space="preserve"> | rel. Joaquim Barbosa</w:t>
      </w:r>
    </w:p>
    <w:p>
      <w:pPr>
        <w:ind w:left="288"/>
      </w:pPr>
      <w:r>
        <w:rPr>
          <w:color w:val="1E1E1E"/>
          <w:sz w:val="18"/>
        </w:rPr>
        <w:t>A caracterização de parte da atividade como prestação de serviços não pode ser meramente pressuposta, dado que a constituição do crédito tributário é atividade administrativa plenamente vinculada, que não pode destoar do que permite a legislação (proibição do excesso da carga tributária) e o próprio quadro fático (motivação, contraditório e ampla defesa) (...).</w:t>
      </w:r>
    </w:p>
    <w:p>
      <w:pPr>
        <w:ind w:left="288"/>
      </w:pPr>
      <w:r>
        <w:rPr>
          <w:b/>
          <w:color w:val="003CA0"/>
          <w:sz w:val="16"/>
        </w:rPr>
        <w:t>[AI 622.421 AgR, rel. min. Joaquim Barbosa, j. 6-4-2010, 2ª T, DJE de 30-4-2010.]</w:t>
      </w:r>
    </w:p>
    <w:p>
      <w:pPr>
        <w:ind w:left="288"/>
      </w:pPr>
      <w:r>
        <w:rPr>
          <w:color w:val="8C8C8C"/>
          <w:sz w:val="12"/>
        </w:rPr>
        <w:t>cf-art-156-inc-III</w:t>
      </w:r>
      <w:r>
        <w:rPr>
          <w:color w:val="003CA0"/>
          <w:sz w:val="12"/>
        </w:rPr>
        <w:t xml:space="preserve"> | AI 533.202</w:t>
      </w:r>
      <w:r>
        <w:rPr>
          <w:color w:val="003CA0"/>
          <w:sz w:val="12"/>
        </w:rPr>
        <w:t xml:space="preserve"> | rel. Gilmar Mendes</w:t>
      </w:r>
    </w:p>
    <w:p>
      <w:pPr>
        <w:ind w:left="288"/>
      </w:pPr>
      <w:r>
        <w:rPr>
          <w:color w:val="1E1E1E"/>
          <w:sz w:val="18"/>
        </w:rPr>
        <w:t>Confecção de rótulos e etiquetas sob encomenda. Incidência apenas de ISS, e não ICMS.</w:t>
      </w:r>
    </w:p>
    <w:p>
      <w:pPr>
        <w:ind w:left="288"/>
      </w:pPr>
      <w:r>
        <w:rPr>
          <w:b/>
          <w:color w:val="003CA0"/>
          <w:sz w:val="16"/>
        </w:rPr>
        <w:t>[AI 533.202 AgR, rel. min. Gilmar Mendes, j. 30-9-2008, 2ª T, DJE de 21-11-2008.]</w:t>
      </w:r>
    </w:p>
    <w:p>
      <w:pPr>
        <w:ind w:left="288"/>
      </w:pPr>
      <w:r>
        <w:rPr>
          <w:color w:val="8C8C8C"/>
          <w:sz w:val="12"/>
        </w:rPr>
        <w:t>cf-art-156-inc-III</w:t>
      </w:r>
      <w:r>
        <w:rPr>
          <w:color w:val="003CA0"/>
          <w:sz w:val="12"/>
        </w:rPr>
        <w:t xml:space="preserve"> | ADI 4.389</w:t>
      </w:r>
      <w:r>
        <w:rPr>
          <w:color w:val="003CA0"/>
          <w:sz w:val="12"/>
        </w:rPr>
        <w:t xml:space="preserve"> | rel. Joaquim Barbosa</w:t>
      </w:r>
    </w:p>
    <w:p>
      <w:pPr>
        <w:ind w:left="288"/>
      </w:pPr>
      <w:r>
        <w:rPr>
          <w:color w:val="1E1E1E"/>
          <w:sz w:val="18"/>
        </w:rPr>
        <w:t>Vide ADI 4.389 MC, rel. min. Joaquim Barbosa, j. 13-4-2011, P, DJE de 25-5-2011 ISS: competência para tributação: local da prestação do serviço.</w:t>
      </w:r>
    </w:p>
    <w:p>
      <w:pPr>
        <w:ind w:left="288"/>
      </w:pPr>
      <w:r>
        <w:rPr>
          <w:b/>
          <w:color w:val="003CA0"/>
          <w:sz w:val="16"/>
        </w:rPr>
        <w:t>[AI 571.353 AgR, rel. min. Sepúlveda Pertence, j. 21-6-2007, 1ª T DJ de 10-8-2007.]</w:t>
      </w:r>
    </w:p>
    <w:p>
      <w:pPr>
        <w:ind w:left="288"/>
      </w:pPr>
      <w:r>
        <w:rPr>
          <w:color w:val="8C8C8C"/>
          <w:sz w:val="12"/>
        </w:rPr>
        <w:t>cf-art-156-inc-III</w:t>
      </w:r>
      <w:r>
        <w:rPr>
          <w:color w:val="003CA0"/>
          <w:sz w:val="12"/>
        </w:rPr>
        <w:t xml:space="preserve"> | RE 236.604</w:t>
      </w:r>
      <w:r>
        <w:rPr>
          <w:color w:val="003CA0"/>
          <w:sz w:val="12"/>
        </w:rPr>
        <w:t xml:space="preserve"> | rel. Carlos Velloso</w:t>
      </w:r>
    </w:p>
    <w:p>
      <w:pPr>
        <w:ind w:left="288"/>
      </w:pPr>
      <w:r>
        <w:rPr>
          <w:color w:val="1E1E1E"/>
          <w:sz w:val="18"/>
        </w:rPr>
        <w:t>Constitucional. Tributário. ISS. Construção civil. DL 406/1968, art. 9º, § 2º, a e b. Dedução do valor dos materiais e subempreitadas no cálculo do preço do serviço. DL 406/1968, art. 9º, § 2º, a e b: dispositivos recebidos pela CF/1988. Citados dispositivos do art. 9º, § 2º, cuidam da base de cálculo do ISS e não configuram isenção. Inocorrência de ofensa ao art. 151, III; art. 34, ADCT/1988; art. 150, II, e 145, § 1º, CF/1988. RE 236.604/PR, Velloso, Plenário, 26-5-1999, RTJ 170/1001.</w:t>
      </w:r>
    </w:p>
    <w:p>
      <w:pPr>
        <w:ind w:left="288"/>
      </w:pPr>
      <w:r>
        <w:rPr>
          <w:b/>
          <w:color w:val="003CA0"/>
          <w:sz w:val="16"/>
        </w:rPr>
        <w:t>[RE 214.414 AgR, rel. min. Carlos Velloso, j. 5-11-2002, 2ª T, DJ de 29-11-2002.]</w:t>
      </w:r>
    </w:p>
    <w:p>
      <w:pPr>
        <w:ind w:left="288"/>
      </w:pPr>
      <w:r>
        <w:rPr>
          <w:color w:val="8C8C8C"/>
          <w:sz w:val="12"/>
        </w:rPr>
        <w:t>cf-art-156-inc-III</w:t>
      </w:r>
      <w:r>
        <w:rPr>
          <w:color w:val="003CA0"/>
          <w:sz w:val="12"/>
        </w:rPr>
        <w:t xml:space="preserve"> | RE 116.121</w:t>
      </w:r>
      <w:r>
        <w:rPr>
          <w:color w:val="003CA0"/>
          <w:sz w:val="12"/>
        </w:rPr>
        <w:t xml:space="preserve"> | rel. Octavio Gallotti</w:t>
      </w:r>
    </w:p>
    <w:p>
      <w:pPr>
        <w:ind w:left="288"/>
      </w:pPr>
      <w:r>
        <w:rPr>
          <w:color w:val="1E1E1E"/>
          <w:sz w:val="18"/>
        </w:rPr>
        <w:t>A terminologia constitucional do ISS revela o objeto da tributação. Conflita com a Lei Maior dispositivo que imponha o tributo considerado contrato de locação de bem móvel. Em Direito, os institutos, as expressões e os vocábulos têm sentido próprio, descabendo confundir a locação de serviços com a de móveis, práticas diversas regidas pelo Código Civil, cujas definições são de observância inafastável – art. 110 do CTN.</w:t>
      </w:r>
    </w:p>
    <w:p>
      <w:pPr>
        <w:ind w:left="288"/>
      </w:pPr>
      <w:r>
        <w:rPr>
          <w:b/>
          <w:color w:val="003CA0"/>
          <w:sz w:val="16"/>
        </w:rPr>
        <w:t>[RE 116.121, rel. min. Octavio Gallotti, j. 11-11-2000, P, DJ de 25-5-2001.]</w:t>
      </w:r>
    </w:p>
    <w:p>
      <w:pPr>
        <w:ind w:left="288"/>
      </w:pPr>
      <w:r>
        <w:rPr>
          <w:color w:val="8C8C8C"/>
          <w:sz w:val="12"/>
        </w:rPr>
        <w:t>cf-art-156-inc-III</w:t>
      </w:r>
      <w:r>
        <w:rPr>
          <w:color w:val="003CA0"/>
          <w:sz w:val="12"/>
        </w:rPr>
        <w:t xml:space="preserve"> | AI 721.711</w:t>
      </w:r>
      <w:r>
        <w:rPr>
          <w:color w:val="003CA0"/>
          <w:sz w:val="12"/>
        </w:rPr>
        <w:t xml:space="preserve"> | rel. Celso de Mello</w:t>
      </w:r>
    </w:p>
    <w:p>
      <w:pPr>
        <w:ind w:left="288"/>
      </w:pPr>
      <w:r>
        <w:rPr>
          <w:color w:val="1E1E1E"/>
          <w:sz w:val="18"/>
        </w:rPr>
        <w:t>= AI 721.711 AgR, rel. min. Celso de Mello, j. 10-3-2009, 2ª T, DJE de 3-4-2009 A instituição do Imposto sobre Vendas a Varejo de Combustíveis Líquidos e Gasosos por lei municipal não ofende o preceito constitucional inscrito no inciso III do art. 156, já que o art. 34, § 1º, das Disposições Transitórias da CF de 1988 determinou que a norma contida no texto permanente entraria em vigor com a sua promulgação, tendo o § 6º excepcionado o tributo do princípio da anterioridade.</w:t>
      </w:r>
    </w:p>
    <w:p>
      <w:pPr>
        <w:ind w:left="288"/>
      </w:pPr>
      <w:r>
        <w:rPr>
          <w:b/>
          <w:color w:val="003CA0"/>
          <w:sz w:val="16"/>
        </w:rPr>
        <w:t>[RE 205.165, rel. min. Maurício Corrêa, j. 17-8-1999, 2ª T, DJ de 8-10-1999.]</w:t>
      </w:r>
    </w:p>
    <w:p>
      <w:pPr>
        <w:ind w:left="288"/>
      </w:pPr>
      <w:r>
        <w:rPr>
          <w:color w:val="8C8C8C"/>
          <w:sz w:val="12"/>
        </w:rPr>
        <w:t>cf-art-156-inc-III</w:t>
      </w:r>
      <w:r>
        <w:rPr>
          <w:color w:val="003CA0"/>
          <w:sz w:val="12"/>
        </w:rPr>
        <w:t xml:space="preserve"> | AI 633.316</w:t>
      </w:r>
      <w:r>
        <w:rPr>
          <w:color w:val="003CA0"/>
          <w:sz w:val="12"/>
        </w:rPr>
        <w:t xml:space="preserve"> | rel. Dias Toffoli</w:t>
      </w:r>
    </w:p>
    <w:p>
      <w:pPr>
        <w:ind w:left="288"/>
      </w:pPr>
      <w:r>
        <w:rPr>
          <w:color w:val="1E1E1E"/>
          <w:sz w:val="18"/>
        </w:rPr>
        <w:t>= AI 633.316 AgR, rel. min. Dias Toffoli, j. 7-2-2012, 1ª T, DJE de 16-3-2012 A competência prevista em tal preceito, relativamente à instituição de imposto pela União, consideradas as comunicações, não obstaculizava a cobrança de ISS relativamente a atividades paralelas como as de locação de aparelhos, mesas, terminais, colocação e retirada de troncos.</w:t>
      </w:r>
    </w:p>
    <w:p>
      <w:pPr>
        <w:ind w:left="288"/>
      </w:pPr>
      <w:r>
        <w:rPr>
          <w:b/>
          <w:color w:val="003CA0"/>
          <w:sz w:val="16"/>
        </w:rPr>
        <w:t>[RE 163.725, rel. min. Marco Aurélio, j. 15-6-1999, 2ª T, DJ de 27-8-1999.]</w:t>
      </w:r>
    </w:p>
    <w:p>
      <w:pPr>
        <w:ind w:left="144"/>
      </w:pPr>
      <w:r>
        <w:rPr>
          <w:b/>
          <w:color w:val="B45A00"/>
          <w:sz w:val="16"/>
        </w:rPr>
        <w:t>CONTROLE CONCENTRADO</w:t>
      </w:r>
    </w:p>
    <w:p>
      <w:pPr>
        <w:ind w:left="288"/>
      </w:pPr>
      <w:r>
        <w:rPr>
          <w:color w:val="8C8C8C"/>
          <w:sz w:val="12"/>
        </w:rPr>
        <w:t>cf-art-156-par-1</w:t>
      </w:r>
      <w:r>
        <w:rPr>
          <w:color w:val="003CA0"/>
          <w:sz w:val="12"/>
        </w:rPr>
        <w:t xml:space="preserve"> | ADC 8</w:t>
      </w:r>
      <w:r>
        <w:rPr>
          <w:color w:val="003CA0"/>
          <w:sz w:val="12"/>
        </w:rPr>
        <w:t xml:space="preserve"> | rel. Celso de Mello</w:t>
      </w:r>
    </w:p>
    <w:p>
      <w:pPr>
        <w:ind w:left="288"/>
      </w:pPr>
      <w:r>
        <w:rPr>
          <w:color w:val="1E1E1E"/>
          <w:sz w:val="18"/>
        </w:rPr>
        <w:t>Tratando-se de matéria sujeita a estrita previsão constitucional – CF, art. 153, § 2º, I; art. 153, § 4º; art. 156, § 1º; art. 182, § 4º, II; art. 195, § 9º (contribuição social devida pelo empregador) –, inexiste espaço de liberdade decisória para o Congresso Nacional, em tema de progressividade tributária, instituir alíquotas progressivas em situações não autorizadas pelo texto da Constituição.</w:t>
      </w:r>
    </w:p>
    <w:p>
      <w:pPr>
        <w:ind w:left="288"/>
      </w:pPr>
      <w:r>
        <w:rPr>
          <w:b/>
          <w:color w:val="003CA0"/>
          <w:sz w:val="16"/>
        </w:rPr>
        <w:t>[ADC 8 MC, rel. min. Celso de Mello, j. 13-10-1999, P, DJ de 4-4-2003.]</w:t>
      </w:r>
    </w:p>
    <w:p>
      <w:pPr>
        <w:ind w:left="144"/>
      </w:pPr>
      <w:r>
        <w:rPr>
          <w:b/>
          <w:color w:val="B45A00"/>
          <w:sz w:val="16"/>
        </w:rPr>
        <w:t>SUMULA</w:t>
      </w:r>
    </w:p>
    <w:p>
      <w:pPr>
        <w:ind w:left="288"/>
      </w:pPr>
      <w:r>
        <w:rPr>
          <w:color w:val="8C8C8C"/>
          <w:sz w:val="12"/>
        </w:rPr>
        <w:t>cf-art-156-par-1-inc-I</w:t>
      </w:r>
    </w:p>
    <w:p>
      <w:pPr>
        <w:ind w:left="288"/>
      </w:pPr>
      <w:r>
        <w:rPr>
          <w:color w:val="1E1E1E"/>
          <w:sz w:val="18"/>
        </w:rPr>
        <w:t>É inconstitucional a lei municipal que tenha estabelecido, antes da EC 29/2000, alíquotas progressivas para o IPTU, salvo se destinada a assegurar o cumprimento da função social da propriedade urbana.</w:t>
      </w:r>
    </w:p>
    <w:p>
      <w:pPr>
        <w:ind w:left="288"/>
      </w:pPr>
      <w:r>
        <w:rPr>
          <w:b/>
          <w:color w:val="003CA0"/>
          <w:sz w:val="16"/>
        </w:rPr>
        <w:t>[Súmula 668.]</w:t>
      </w:r>
    </w:p>
    <w:p>
      <w:pPr>
        <w:ind w:left="144"/>
      </w:pPr>
      <w:r>
        <w:rPr>
          <w:b/>
          <w:color w:val="B45A00"/>
          <w:sz w:val="16"/>
        </w:rPr>
        <w:t>REPERCUSSAO GERAL</w:t>
      </w:r>
    </w:p>
    <w:p>
      <w:pPr>
        <w:ind w:left="288"/>
      </w:pPr>
      <w:r>
        <w:rPr>
          <w:color w:val="8C8C8C"/>
          <w:sz w:val="12"/>
        </w:rPr>
        <w:t>cf-art-156-par-1-inc-I</w:t>
      </w:r>
      <w:r>
        <w:rPr>
          <w:color w:val="003CA0"/>
          <w:sz w:val="12"/>
        </w:rPr>
        <w:t xml:space="preserve"> | RE 602.347</w:t>
      </w:r>
      <w:r>
        <w:rPr>
          <w:color w:val="003CA0"/>
          <w:sz w:val="12"/>
        </w:rPr>
        <w:t xml:space="preserve"> | rel. Edson Fachin</w:t>
      </w:r>
    </w:p>
    <w:p>
      <w:pPr>
        <w:ind w:left="288"/>
      </w:pPr>
      <w:r>
        <w:rPr>
          <w:color w:val="1E1E1E"/>
          <w:sz w:val="18"/>
        </w:rPr>
        <w:t>O IPTU é exigível com base na alíquota mínima prevista na lei municipal, de modo que o critério quantitativo da regra matriz de incidência tributária seja proporcional e o menos gravoso possível ao contribuinte.</w:t>
        <w:br/>
        <w:t>[RE 602.347, rel. min. Edson Fachin, j. 4-11-2015, P, DJE de 12-4-2016, Tema 226, com mérito julgado.] IPTU. Progressividade. Função social da propriedade. EC 29/2000. Lei posterior. Surge legítima, sob o ângulo constitucional, lei a prever alíquotas diversas, presentes imóveis residenciais e comerciais, uma vez editada após a EC 29/2000.</w:t>
        <w:br/>
        <w:t>[RE 586.693, rel. min. Marco Aurélio, j. 25-5-2</w:t>
      </w:r>
    </w:p>
    <w:p>
      <w:pPr>
        <w:ind w:left="288"/>
      </w:pPr>
      <w:r>
        <w:rPr>
          <w:b/>
          <w:color w:val="003CA0"/>
          <w:sz w:val="16"/>
        </w:rPr>
        <w:t>[AI 712.743 QO-RG, rel. min. Ellen Gracie, j. 12-3-2009, P, DJE de 8-5-2009.]</w:t>
      </w:r>
    </w:p>
    <w:p>
      <w:pPr>
        <w:ind w:left="144"/>
      </w:pPr>
      <w:r>
        <w:rPr>
          <w:b/>
          <w:color w:val="B45A00"/>
          <w:sz w:val="16"/>
        </w:rPr>
        <w:t>JULGADOS CORRELATOS</w:t>
      </w:r>
    </w:p>
    <w:p>
      <w:pPr>
        <w:ind w:left="288"/>
      </w:pPr>
      <w:r>
        <w:rPr>
          <w:color w:val="8C8C8C"/>
          <w:sz w:val="12"/>
        </w:rPr>
        <w:t>cf-art-156-par-1-inc-I</w:t>
      </w:r>
      <w:r>
        <w:rPr>
          <w:color w:val="003CA0"/>
          <w:sz w:val="12"/>
        </w:rPr>
        <w:t xml:space="preserve"> | RE 355.046</w:t>
      </w:r>
      <w:r>
        <w:rPr>
          <w:color w:val="003CA0"/>
          <w:sz w:val="12"/>
        </w:rPr>
        <w:t xml:space="preserve"> | rel. Ellen Gracie</w:t>
      </w:r>
    </w:p>
    <w:p>
      <w:pPr>
        <w:ind w:left="288"/>
      </w:pPr>
      <w:r>
        <w:rPr>
          <w:color w:val="1E1E1E"/>
          <w:sz w:val="18"/>
        </w:rPr>
        <w:t>IPTU. Progressividade antes da EC 29/2000. Impossibilidade, ainda que pela via de alíquotas de isenções graduais. A utilização do instituto da isenção como instrumento de graduação de alíquotas, com aplicação à generalidade dos contribuintes, não corresponde à sua natureza jurídica. Nesse caso, a isenção deixa de atuar como benefício fiscal. De norma de exceção que é, passa a compor o aspecto quantitativo da norma tributária impositiva, modelando toda a tabela de alíquotas e tendo como efeito a vedada progressividade. Aplicação da Súmula 668 do STF.</w:t>
      </w:r>
    </w:p>
    <w:p>
      <w:pPr>
        <w:ind w:left="288"/>
      </w:pPr>
      <w:r>
        <w:rPr>
          <w:b/>
          <w:color w:val="003CA0"/>
          <w:sz w:val="16"/>
        </w:rPr>
        <w:t>[RE 355.046, rel. min. Ellen Gracie, j. 1º-8-2011, P, DJE de 31-8-2011.]</w:t>
      </w:r>
    </w:p>
    <w:p>
      <w:pPr>
        <w:ind w:left="288"/>
      </w:pPr>
      <w:r>
        <w:rPr>
          <w:color w:val="8C8C8C"/>
          <w:sz w:val="12"/>
        </w:rPr>
        <w:t>cf-art-156-par-1-inc-I</w:t>
      </w:r>
      <w:r>
        <w:rPr>
          <w:color w:val="003CA0"/>
          <w:sz w:val="12"/>
        </w:rPr>
        <w:t xml:space="preserve"> | RE 543.023</w:t>
      </w:r>
      <w:r>
        <w:rPr>
          <w:color w:val="003CA0"/>
          <w:sz w:val="12"/>
        </w:rPr>
        <w:t xml:space="preserve"> | rel. Ayres Britto</w:t>
      </w:r>
    </w:p>
    <w:p>
      <w:pPr>
        <w:ind w:left="288"/>
      </w:pPr>
      <w:r>
        <w:rPr>
          <w:color w:val="1E1E1E"/>
          <w:sz w:val="18"/>
        </w:rPr>
        <w:t>= RE 543.023 AgR, rel. min. Ayres Britto, j. 16-8-2011, 2ª T, DJE de 19-10-2011 É inconstitucional a progressividade do IPTU do Município do Rio de Janeiro anterior à EC 29/2000. Súmula 668 do STF. Não se configura, no caso, excepcionalidade suficiente a autorizar a aplicação de efeitos ex nunc à declaração de inconstitucionalidade.</w:t>
      </w:r>
    </w:p>
    <w:p>
      <w:pPr>
        <w:ind w:left="288"/>
      </w:pPr>
      <w:r>
        <w:rPr>
          <w:b/>
          <w:color w:val="003CA0"/>
          <w:sz w:val="16"/>
        </w:rPr>
        <w:t>[AI 573.560 AgR, rel. min. Eros Grau, j. 27-3-2007, 2ª T, DJ de 4-5-2007.]</w:t>
      </w:r>
    </w:p>
    <w:p>
      <w:pPr>
        <w:ind w:left="288"/>
      </w:pPr>
      <w:r>
        <w:rPr>
          <w:color w:val="8C8C8C"/>
          <w:sz w:val="12"/>
        </w:rPr>
        <w:t>cf-art-156-par-1-inc-I</w:t>
      </w:r>
      <w:r>
        <w:rPr>
          <w:color w:val="003CA0"/>
          <w:sz w:val="12"/>
        </w:rPr>
        <w:t xml:space="preserve"> | RE 550.637</w:t>
      </w:r>
      <w:r>
        <w:rPr>
          <w:color w:val="003CA0"/>
          <w:sz w:val="12"/>
        </w:rPr>
        <w:t xml:space="preserve"> | rel. Dias Toffoli</w:t>
      </w:r>
    </w:p>
    <w:p>
      <w:pPr>
        <w:ind w:left="288"/>
      </w:pPr>
      <w:r>
        <w:rPr>
          <w:color w:val="1E1E1E"/>
          <w:sz w:val="18"/>
        </w:rPr>
        <w:t>= RE 550.637 AgR, rel. min. Dias Toffoli, j. 31-5-2011, 1ª T, DJE de 23-8-2011 Vide RE 349.917 AgR-ED, rel. min. Dias Toffoli, j. 16-5-2011, 1ª T, DJE de 17-5-2011 Vide AI 651.389 AgR, rel. min. Menezes Direito, j. 10-6-2008, 1ª T, DJE de 8-8-2008 IPTU. Não se admite a progressividade fiscal decorrente da capacidade econômica do contribuinte, dada a natureza real do imposto. A progressividade da alíquota do IPTU, com base no valor venal do imóvel, só é admissível para o fim extrafiscal de assegurar o cumprimento da função social da propriedade urbana (art. 156, I, § 1º, e art. 182, § 4º, II, C</w:t>
      </w:r>
    </w:p>
    <w:p>
      <w:pPr>
        <w:ind w:left="288"/>
      </w:pPr>
      <w:r>
        <w:rPr>
          <w:b/>
          <w:color w:val="003CA0"/>
          <w:sz w:val="16"/>
        </w:rPr>
        <w:t>[AI 468.801 AgR, rel. min. Eros Grau, j. 21-9-2004, 1ª T, DJ de 15-10-2004.]</w:t>
      </w:r>
    </w:p>
    <w:p>
      <w:pPr>
        <w:ind w:left="144"/>
      </w:pPr>
      <w:r>
        <w:rPr>
          <w:b/>
          <w:color w:val="B45A00"/>
          <w:sz w:val="16"/>
        </w:rPr>
        <w:t>REPERCUSSAO GERAL</w:t>
      </w:r>
    </w:p>
    <w:p>
      <w:pPr>
        <w:ind w:left="288"/>
      </w:pPr>
      <w:r>
        <w:rPr>
          <w:color w:val="8C8C8C"/>
          <w:sz w:val="12"/>
        </w:rPr>
        <w:t>cf-art-156-par-1-inc-II</w:t>
      </w:r>
      <w:r>
        <w:rPr>
          <w:color w:val="003CA0"/>
          <w:sz w:val="12"/>
        </w:rPr>
        <w:t xml:space="preserve"> | RE 666.156</w:t>
      </w:r>
      <w:r>
        <w:rPr>
          <w:color w:val="003CA0"/>
          <w:sz w:val="12"/>
        </w:rPr>
        <w:t xml:space="preserve"> | rel. Roberto Barroso</w:t>
      </w:r>
    </w:p>
    <w:p>
      <w:pPr>
        <w:ind w:left="288"/>
      </w:pPr>
      <w:r>
        <w:rPr>
          <w:color w:val="1E1E1E"/>
          <w:sz w:val="18"/>
        </w:rPr>
        <w:t>Esta Corte, em diversos precedentes de ambas as Turmas, manifestou-se pela possibilidade da instituição de alíquotas diferenciadas de IPTU com base na destinação e situação do imóvel (residencial ou comercial, edificado ou não edificado), em período anterior à edição da Emenda Constitucional 29/2000. Entendeu-se que tal prática não se confunde com o estabelecimento de alíquotas progressivas, cuja constitucionalidade, em momento anterior à emenda constitucional, foi reconhecida apenas para assegurar o cumprimento da função social da propriedade. (...) São constitucionais as leis municipais ante</w:t>
      </w:r>
    </w:p>
    <w:p>
      <w:pPr>
        <w:ind w:left="144"/>
      </w:pPr>
      <w:r>
        <w:rPr>
          <w:b/>
          <w:color w:val="B45A00"/>
          <w:sz w:val="16"/>
        </w:rPr>
        <w:t>JULGADOS CORRELATOS</w:t>
      </w:r>
    </w:p>
    <w:p>
      <w:pPr>
        <w:ind w:left="288"/>
      </w:pPr>
      <w:r>
        <w:rPr>
          <w:color w:val="8C8C8C"/>
          <w:sz w:val="12"/>
        </w:rPr>
        <w:t>cf-art-156-par-1-inc-II</w:t>
      </w:r>
      <w:r>
        <w:rPr>
          <w:color w:val="003CA0"/>
          <w:sz w:val="12"/>
        </w:rPr>
        <w:t xml:space="preserve"> | RE 457.482</w:t>
      </w:r>
      <w:r>
        <w:rPr>
          <w:color w:val="003CA0"/>
          <w:sz w:val="12"/>
        </w:rPr>
        <w:t xml:space="preserve"> | rel. Cármen Lúcia</w:t>
      </w:r>
    </w:p>
    <w:p>
      <w:pPr>
        <w:ind w:left="288"/>
      </w:pPr>
      <w:r>
        <w:rPr>
          <w:color w:val="1E1E1E"/>
          <w:sz w:val="18"/>
        </w:rPr>
        <w:t>(...) a jurisprudência deste STF firmou-se no sentido de que a cobrança do IPTU em alíquotas diferenciadas em razão da destinação dos imóveis não afronta a Constituição da República.</w:t>
      </w:r>
    </w:p>
    <w:p>
      <w:pPr>
        <w:ind w:left="288"/>
      </w:pPr>
      <w:r>
        <w:rPr>
          <w:b/>
          <w:color w:val="003CA0"/>
          <w:sz w:val="16"/>
        </w:rPr>
        <w:t>[RE 457.482 AgR, voto da rel. min. Cármen Lúcia, j. 20-11-2007, 1ª T, DJE de 9-5-2008.]</w:t>
        <w:br/>
        <w:t>= RE 595.080 AgR, rel. min. Joaquim Barbosa, j. 31-8-2010, 2ª T, DJE de 1º-10-2010</w:t>
      </w:r>
    </w:p>
    <w:p>
      <w:pPr>
        <w:ind w:left="288"/>
      </w:pPr>
      <w:r>
        <w:rPr>
          <w:color w:val="8C8C8C"/>
          <w:sz w:val="12"/>
        </w:rPr>
        <w:t>cf-art-156-par-2</w:t>
      </w:r>
      <w:r>
        <w:rPr>
          <w:color w:val="003CA0"/>
          <w:sz w:val="12"/>
        </w:rPr>
        <w:t xml:space="preserve"> | RE 1.495.108</w:t>
      </w:r>
      <w:r>
        <w:rPr>
          <w:color w:val="003CA0"/>
          <w:sz w:val="12"/>
        </w:rPr>
        <w:t xml:space="preserve"> | rel. Luís Roberto Barroso</w:t>
      </w:r>
    </w:p>
    <w:p>
      <w:pPr>
        <w:ind w:left="288"/>
      </w:pPr>
      <w:r>
        <w:rPr>
          <w:color w:val="1E1E1E"/>
          <w:sz w:val="18"/>
        </w:rPr>
        <w:t>I - não incide sobre a transmissão de bens ou direitos incorporados ao patrimônio de pessoa jurídica em realização de capital, nem sobre a transmissão de bens ou direitos decorrente de fusão, incorporação, cisão ou extinção de pessoa jurídica, salvo se, nesses casos, a atividade preponderante do adquirente for a compra e venda desses bens ou direitos, locação de bens imóveis ou arrendamento mercantil; Alcance da imunidade do ITBI, prevista no inciso I do § 2º do art. 156 da Constituição, para a transferência de bens e direitos em integralização de capital social, quando a atividade preponderan</w:t>
      </w:r>
    </w:p>
    <w:p>
      <w:pPr>
        <w:ind w:left="288"/>
      </w:pPr>
      <w:r>
        <w:rPr>
          <w:b/>
          <w:color w:val="003CA0"/>
          <w:sz w:val="16"/>
        </w:rPr>
        <w:t>[RE 1.495.108 RG, rel. min. Luís Roberto Barroso, j. 05.11.2024, P, DJE de 08.11.2024, Tema 1.348, com mérito pendente.]</w:t>
      </w:r>
    </w:p>
    <w:p>
      <w:pPr>
        <w:ind w:left="144"/>
      </w:pPr>
      <w:r>
        <w:rPr>
          <w:b/>
          <w:color w:val="B45A00"/>
          <w:sz w:val="16"/>
        </w:rPr>
        <w:t>REPERCUSSAO GERAL</w:t>
      </w:r>
    </w:p>
    <w:p>
      <w:pPr>
        <w:ind w:left="288"/>
      </w:pPr>
      <w:r>
        <w:rPr>
          <w:color w:val="8C8C8C"/>
          <w:sz w:val="12"/>
        </w:rPr>
        <w:t>cf-art-156-par-2</w:t>
      </w:r>
      <w:r>
        <w:rPr>
          <w:color w:val="003CA0"/>
          <w:sz w:val="12"/>
        </w:rPr>
        <w:t xml:space="preserve"> | RE 796.376</w:t>
      </w:r>
    </w:p>
    <w:p>
      <w:pPr>
        <w:ind w:left="288"/>
      </w:pPr>
      <w:r>
        <w:rPr>
          <w:color w:val="1E1E1E"/>
          <w:sz w:val="18"/>
        </w:rPr>
        <w:t>A Constituição de 1988 imunizou a integralização do capital por meio de bens imóveis, não incidindo o ITBI sobre o valor do bem dado em pagamento do capital subscrito pelo sócio ou acionista da pessoa jurídica (art. 156, § 2º,). A norma não imuniza qualquer incorporação de bens ou direitos ao patrimônio da pessoa jurídica, mas exclusivamente o pagamento, em bens ou direitos, que o sócio faz para integralização do capital social subscrito. Portanto, sobre a diferença do valor dos bens imóveis que superar o capital subscrito a ser integralizado, incidirá a tributação pelo ITBI. (...) Tema 796, f</w:t>
      </w:r>
    </w:p>
    <w:p>
      <w:pPr>
        <w:ind w:left="288"/>
      </w:pPr>
      <w:r>
        <w:rPr>
          <w:b/>
          <w:color w:val="003CA0"/>
          <w:sz w:val="16"/>
        </w:rPr>
        <w:t>[RE 796.376, red. do ac. min. Alexandre de Moraes, j. 5-8-2020, P, DJE de 25-8-2020, Tema 796, com mérito julgado.]</w:t>
      </w:r>
    </w:p>
    <w:p>
      <w:pPr>
        <w:ind w:left="144"/>
      </w:pPr>
      <w:r>
        <w:rPr>
          <w:b/>
          <w:color w:val="B45A00"/>
          <w:sz w:val="16"/>
        </w:rPr>
        <w:t>JULGADOS CORRELATOS</w:t>
      </w:r>
    </w:p>
    <w:p>
      <w:pPr>
        <w:ind w:left="288"/>
      </w:pPr>
      <w:r>
        <w:rPr>
          <w:color w:val="8C8C8C"/>
          <w:sz w:val="12"/>
        </w:rPr>
        <w:t>cf-art-156-par-3</w:t>
      </w:r>
      <w:r>
        <w:rPr>
          <w:color w:val="003CA0"/>
          <w:sz w:val="12"/>
        </w:rPr>
        <w:t xml:space="preserve"> | RE 450.342</w:t>
      </w:r>
      <w:r>
        <w:rPr>
          <w:color w:val="003CA0"/>
          <w:sz w:val="12"/>
        </w:rPr>
        <w:t xml:space="preserve"> | rel. Celso de Mello</w:t>
      </w:r>
    </w:p>
    <w:p>
      <w:pPr>
        <w:ind w:left="288"/>
      </w:pPr>
      <w:r>
        <w:rPr>
          <w:color w:val="1E1E1E"/>
          <w:sz w:val="18"/>
        </w:rPr>
        <w:t>Não se revelam tributáveis, mediante ISS, serviços executados por instituições autorizadas a funcionar pelo Banco Central, eis que esse tributo municipal não pode incidir sobre categoria de serviços não prevista na lista elaborada pela União Federal, anexa à LC 56/1987, pois mencionada lista – que se reveste de taxatividade quanto ao que nela se contém – relaciona, em numerus clausus, os serviços e atividades passíveis da incidência dessa espécie tributária local. Precedentes. As ressalvas normativas contidas nos itens 44, 46 e 48 da lista de serviços anexa à LC 56/1987 – que excluem, do âmbit</w:t>
      </w:r>
    </w:p>
    <w:p>
      <w:pPr>
        <w:ind w:left="288"/>
      </w:pPr>
      <w:r>
        <w:rPr>
          <w:b/>
          <w:color w:val="003CA0"/>
          <w:sz w:val="16"/>
        </w:rPr>
        <w:t>[RE 450.342 AgR, rel. min. Celso de Mello, j. 5-9-2006, 2ª T, DJ de 3-8-2007.]</w:t>
      </w:r>
    </w:p>
    <w:p>
      <w:pPr>
        <w:ind w:left="288"/>
      </w:pPr>
      <w:r>
        <w:rPr>
          <w:color w:val="8C8C8C"/>
          <w:sz w:val="12"/>
        </w:rPr>
        <w:t>cf-art-156-par-3</w:t>
      </w:r>
      <w:r>
        <w:rPr>
          <w:color w:val="003CA0"/>
          <w:sz w:val="12"/>
        </w:rPr>
        <w:t xml:space="preserve"> | RE 601.493</w:t>
      </w:r>
      <w:r>
        <w:rPr>
          <w:color w:val="003CA0"/>
          <w:sz w:val="12"/>
        </w:rPr>
        <w:t xml:space="preserve"> | rel. Ricardo Lewandowski</w:t>
      </w:r>
    </w:p>
    <w:p>
      <w:pPr>
        <w:ind w:left="288"/>
      </w:pPr>
      <w:r>
        <w:rPr>
          <w:color w:val="1E1E1E"/>
          <w:sz w:val="18"/>
        </w:rPr>
        <w:t>= RE 601.493 ED-segundos, rel. min. Ricardo Lewandowski, j. 20-3-2012, 2ª T, DJE de 2-4-2012</w:t>
      </w:r>
    </w:p>
    <w:p>
      <w:pPr>
        <w:ind w:left="288"/>
      </w:pPr>
      <w:r>
        <w:rPr>
          <w:color w:val="8C8C8C"/>
          <w:sz w:val="12"/>
        </w:rPr>
        <w:t>cf-art-156-par-3-inc-III</w:t>
      </w:r>
    </w:p>
    <w:p>
      <w:pPr>
        <w:ind w:left="288"/>
      </w:pPr>
      <w:r>
        <w:rPr>
          <w:color w:val="1E1E1E"/>
          <w:sz w:val="18"/>
        </w:rPr>
        <w:t>Seção VI Da Repartição das Receitas Tributárias SUMÁRIO</w:t>
      </w:r>
    </w:p>
    <w:p>
      <w:pPr>
        <w:ind w:left="720"/>
      </w:pPr>
      <w:r>
        <w:rPr>
          <w:color w:val="003366"/>
          <w:sz w:val="18"/>
        </w:rPr>
        <w:t>I – editar regulamento único e uniformizar a interpretação e a aplicação da legi</w:t>
      </w:r>
    </w:p>
    <w:p>
      <w:pPr>
        <w:ind w:left="720"/>
      </w:pPr>
      <w:r>
        <w:rPr>
          <w:color w:val="003366"/>
          <w:sz w:val="18"/>
        </w:rPr>
        <w:t>II – arrecadar o imposto, efetuar as compensações e distribuir o produto da arre</w:t>
      </w:r>
    </w:p>
    <w:p>
      <w:pPr>
        <w:ind w:left="720"/>
      </w:pPr>
      <w:r>
        <w:rPr>
          <w:color w:val="003366"/>
          <w:sz w:val="18"/>
        </w:rPr>
        <w:t>III – decidir o contencioso administrativo. (Incluído pela Emenda Constitucional</w:t>
      </w:r>
    </w:p>
    <w:p>
      <w:pPr>
        <w:ind w:left="432"/>
      </w:pPr>
      <w:r>
        <w:rPr>
          <w:color w:val="003366"/>
          <w:sz w:val="18"/>
        </w:rPr>
        <w:t>§ 1 O Comitê Gestor do Imposto sobre Bens e Serviços, entidade pública sob regim</w:t>
      </w:r>
    </w:p>
    <w:p>
      <w:pPr>
        <w:ind w:left="432"/>
      </w:pPr>
      <w:r>
        <w:rPr>
          <w:color w:val="003366"/>
          <w:sz w:val="18"/>
        </w:rPr>
        <w:t>§ 2 Na forma da lei complementar: (Incluído pela Emenda Constitucional nº 132, d</w:t>
      </w:r>
    </w:p>
    <w:p>
      <w:pPr>
        <w:ind w:left="720"/>
      </w:pPr>
      <w:r>
        <w:rPr>
          <w:color w:val="003366"/>
          <w:sz w:val="18"/>
        </w:rPr>
        <w:t>I – os Estados, o Distrito Federal e os Municípios serão representados, de forma</w:t>
      </w:r>
    </w:p>
    <w:p>
      <w:pPr>
        <w:ind w:left="720"/>
      </w:pPr>
      <w:r>
        <w:rPr>
          <w:color w:val="003366"/>
          <w:sz w:val="18"/>
        </w:rPr>
        <w:t>II – será assegurada a alternância na presidência do Comitê Gestor entre o conju</w:t>
      </w:r>
    </w:p>
    <w:p>
      <w:pPr>
        <w:ind w:left="720"/>
      </w:pPr>
      <w:r>
        <w:rPr>
          <w:color w:val="003366"/>
          <w:sz w:val="18"/>
        </w:rPr>
        <w:t>III – o Comitê Gestor será financiado por percentual do produto da arrecadação d</w:t>
      </w:r>
    </w:p>
    <w:p>
      <w:pPr>
        <w:ind w:left="720"/>
      </w:pPr>
      <w:r>
        <w:rPr>
          <w:color w:val="003366"/>
          <w:sz w:val="18"/>
        </w:rPr>
        <w:t>IV – o controle externo do Comitê Gestor será exercido pelos Estados, pelo Distr</w:t>
      </w:r>
    </w:p>
    <w:p>
      <w:pPr>
        <w:ind w:left="720"/>
      </w:pPr>
      <w:r>
        <w:rPr>
          <w:color w:val="003366"/>
          <w:sz w:val="18"/>
        </w:rPr>
        <w:t>V – a fiscalização, o lançamento, a cobrança, a representação administrativa e a</w:t>
      </w:r>
    </w:p>
    <w:p>
      <w:pPr>
        <w:ind w:left="720"/>
      </w:pPr>
      <w:r>
        <w:rPr>
          <w:color w:val="003366"/>
          <w:sz w:val="18"/>
        </w:rPr>
        <w:t xml:space="preserve">VI – as competências exclusivas das carreiras da administração tributária e das </w:t>
      </w:r>
    </w:p>
    <w:p>
      <w:pPr>
        <w:ind w:left="720"/>
      </w:pPr>
      <w:r>
        <w:rPr>
          <w:color w:val="003366"/>
          <w:sz w:val="18"/>
        </w:rPr>
        <w:t>VII – serão estabelecidas a estrutura e a gestão do Comitê Gestor, cabendo ao re</w:t>
      </w:r>
    </w:p>
    <w:p>
      <w:pPr>
        <w:ind w:left="432"/>
      </w:pPr>
      <w:r>
        <w:rPr>
          <w:color w:val="003366"/>
          <w:sz w:val="18"/>
        </w:rPr>
        <w:t>§ 3 A participação dos entes federativos na instância máxima de deliberação do C</w:t>
      </w:r>
    </w:p>
    <w:p>
      <w:pPr>
        <w:ind w:left="720"/>
      </w:pPr>
      <w:r>
        <w:rPr>
          <w:color w:val="003366"/>
          <w:sz w:val="18"/>
        </w:rPr>
        <w:t>I – 27 (vinte e sete) membros, representando cada Estado e o Distrito Federal; (</w:t>
      </w:r>
    </w:p>
    <w:p>
      <w:pPr>
        <w:ind w:left="720"/>
      </w:pPr>
      <w:r>
        <w:rPr>
          <w:color w:val="003366"/>
          <w:sz w:val="18"/>
        </w:rPr>
        <w:t>II – 27 (vinte e sete) membros, representando o conjunto dos Municípios e do Dis</w:t>
      </w:r>
    </w:p>
    <w:p>
      <w:pPr>
        <w:ind w:left="1008"/>
      </w:pPr>
      <w:r>
        <w:rPr>
          <w:color w:val="003366"/>
          <w:sz w:val="18"/>
        </w:rPr>
        <w:t>a) 14 (quatorze) representantes, com base nos votos de cada Município, com valor</w:t>
      </w:r>
    </w:p>
    <w:p>
      <w:pPr>
        <w:ind w:left="1008"/>
      </w:pPr>
      <w:r>
        <w:rPr>
          <w:color w:val="003366"/>
          <w:sz w:val="18"/>
        </w:rPr>
        <w:t>b) 13 (treze) representantes, com base nos votos de cada Município ponderados pe</w:t>
      </w:r>
    </w:p>
    <w:p>
      <w:pPr>
        <w:ind w:left="432"/>
      </w:pPr>
      <w:r>
        <w:rPr>
          <w:color w:val="003366"/>
          <w:sz w:val="18"/>
        </w:rPr>
        <w:t xml:space="preserve">§ 4 As deliberações no âmbito do Comitê Gestor do Imposto sobre Bens e Serviços </w:t>
      </w:r>
    </w:p>
    <w:p>
      <w:pPr>
        <w:ind w:left="720"/>
      </w:pPr>
      <w:r>
        <w:rPr>
          <w:color w:val="003366"/>
          <w:sz w:val="18"/>
        </w:rPr>
        <w:t>I – em relação ao conjunto dos Estados e do Distrito Federal: (Incluído pela Eme</w:t>
      </w:r>
    </w:p>
    <w:p>
      <w:pPr>
        <w:ind w:left="1008"/>
      </w:pPr>
      <w:r>
        <w:rPr>
          <w:color w:val="003366"/>
          <w:sz w:val="18"/>
        </w:rPr>
        <w:t>a) da maioria absoluta de seus representantes; e (Incluído pela Emenda Constituc</w:t>
      </w:r>
    </w:p>
    <w:p>
      <w:pPr>
        <w:ind w:left="1008"/>
      </w:pPr>
      <w:r>
        <w:rPr>
          <w:color w:val="003366"/>
          <w:sz w:val="18"/>
        </w:rPr>
        <w:t>b) de representantes dos Estados e do Distrito Federal que correspondam a mais d</w:t>
      </w:r>
    </w:p>
    <w:p>
      <w:pPr>
        <w:ind w:left="720"/>
      </w:pPr>
      <w:r>
        <w:rPr>
          <w:color w:val="003366"/>
          <w:sz w:val="18"/>
        </w:rPr>
        <w:t>II – em relação ao conjunto dos Municípios e do Distrito Federal, da maioria abs</w:t>
      </w:r>
    </w:p>
    <w:p>
      <w:pPr>
        <w:ind w:left="432"/>
      </w:pPr>
      <w:r>
        <w:rPr>
          <w:color w:val="003366"/>
          <w:sz w:val="18"/>
        </w:rPr>
        <w:t>§ 5 O Presidente do Comitê Gestor do Imposto sobre Bens e Serviços deverá ter no</w:t>
      </w:r>
    </w:p>
    <w:p>
      <w:pPr>
        <w:ind w:left="432"/>
      </w:pPr>
      <w:r>
        <w:rPr>
          <w:color w:val="003366"/>
          <w:sz w:val="18"/>
        </w:rPr>
        <w:t>§ 6 O Comitê Gestor do Imposto sobre Bens e Serviços, a administração tributária</w:t>
      </w:r>
    </w:p>
    <w:p>
      <w:pPr>
        <w:ind w:left="432"/>
      </w:pPr>
      <w:r>
        <w:rPr>
          <w:color w:val="003366"/>
          <w:sz w:val="18"/>
        </w:rPr>
        <w:t>§ 7 O Comitê Gestor do Imposto sobre Bens e Serviços e a administração tributári</w:t>
      </w:r>
    </w:p>
    <w:p>
      <w:pPr>
        <w:ind w:left="432"/>
      </w:pPr>
      <w:r>
        <w:rPr>
          <w:color w:val="003366"/>
          <w:sz w:val="18"/>
        </w:rPr>
        <w:t>§ 8 Lei complementar poderá prever a integração do contencioso administrativo re</w:t>
      </w:r>
    </w:p>
    <w:p>
      <w:pPr>
        <w:pStyle w:val="Heading3"/>
      </w:pPr>
      <w:r>
        <w:rPr>
          <w:color w:val="003366"/>
        </w:rPr>
        <w:t>Seção VI - DA REPARTIÇÃO DAS RECEITAS TRIBUTÁRIAS</w:t>
      </w:r>
    </w:p>
    <w:p>
      <w:r>
        <w:rPr>
          <w:b/>
          <w:color w:val="003366"/>
          <w:sz w:val="20"/>
        </w:rPr>
        <w:t>Art. 157 Pertencem aos Estados e ao Distrito Federal:</w:t>
      </w:r>
      <w:r>
        <w:rPr>
          <w:color w:val="8C8C8C"/>
          <w:sz w:val="14"/>
        </w:rPr>
        <w:t xml:space="preserve">  [3 decisoes]</w:t>
      </w:r>
    </w:p>
    <w:p>
      <w:pPr>
        <w:ind w:left="288"/>
      </w:pPr>
      <w:r>
        <w:rPr>
          <w:color w:val="8C8C8C"/>
          <w:sz w:val="12"/>
        </w:rPr>
        <w:t>cf-art-157</w:t>
      </w:r>
    </w:p>
    <w:p>
      <w:pPr>
        <w:ind w:left="288"/>
      </w:pPr>
      <w:r>
        <w:rPr>
          <w:color w:val="1E1E1E"/>
          <w:sz w:val="18"/>
        </w:rPr>
        <w:t>I - o produto da arrecadação do imposto da União sobre renda e proventos de qualquer natureza, incidente na fonte, sobre rendimentos pagos, a qualquer título, por eles, suas autarquias e pelas fundações que instituírem e mantiverem;</w:t>
      </w:r>
    </w:p>
    <w:p>
      <w:pPr>
        <w:ind w:left="144"/>
      </w:pPr>
      <w:r>
        <w:rPr>
          <w:b/>
          <w:color w:val="B45A00"/>
          <w:sz w:val="16"/>
        </w:rPr>
        <w:t>REPERCUSSAO GERAL</w:t>
      </w:r>
    </w:p>
    <w:p>
      <w:pPr>
        <w:ind w:left="288"/>
      </w:pPr>
      <w:r>
        <w:rPr>
          <w:color w:val="8C8C8C"/>
          <w:sz w:val="12"/>
        </w:rPr>
        <w:t>cf-art-157</w:t>
      </w:r>
      <w:r>
        <w:rPr>
          <w:color w:val="003CA0"/>
          <w:sz w:val="12"/>
        </w:rPr>
        <w:t xml:space="preserve"> | RE 1.293.453</w:t>
      </w:r>
      <w:r>
        <w:rPr>
          <w:color w:val="003CA0"/>
          <w:sz w:val="12"/>
        </w:rPr>
        <w:t xml:space="preserve"> | rel. Alexandre de Moraes</w:t>
      </w:r>
    </w:p>
    <w:p>
      <w:pPr>
        <w:ind w:left="288"/>
      </w:pPr>
      <w:r>
        <w:rPr>
          <w:color w:val="1E1E1E"/>
          <w:sz w:val="18"/>
        </w:rPr>
        <w:t>Pertence ao Município, aos Estados e ao Distrito Federal a titularidade das receitas arrecadadas a título de imposto de renda retido na fonte incidente sobre valores pagos por eles, suas autarquias e fundações a pessoas físicas ou jurídicas contratadas para a prestação de bens ou serviços, conforme disposto nos arts. 158, I, e 157, I, da Constituição Federal.</w:t>
        <w:br/>
        <w:t>[RE 1.293.453, rel. min. Alexandre de Moraes, j. 11-10-2021, Plenário, DJE de 22-10-2021, Tema 1.130, com mérito julgado.] É dos Estados e Distrito Federal a titularidade do que arrecadado, considerado Imposto de Renda, incidente na fonte</w:t>
      </w:r>
    </w:p>
    <w:p>
      <w:pPr>
        <w:ind w:left="144"/>
      </w:pPr>
      <w:r>
        <w:rPr>
          <w:b/>
          <w:color w:val="B45A00"/>
          <w:sz w:val="16"/>
        </w:rPr>
        <w:t>JULGADOS CORRELATOS</w:t>
      </w:r>
    </w:p>
    <w:p>
      <w:pPr>
        <w:ind w:left="288"/>
      </w:pPr>
      <w:r>
        <w:rPr>
          <w:color w:val="8C8C8C"/>
          <w:sz w:val="12"/>
        </w:rPr>
        <w:t>cf-art-157</w:t>
      </w:r>
      <w:r>
        <w:rPr>
          <w:color w:val="003CA0"/>
          <w:sz w:val="12"/>
        </w:rPr>
        <w:t xml:space="preserve"> | ARE 1.467.922.</w:t>
      </w:r>
      <w:r>
        <w:rPr>
          <w:color w:val="003CA0"/>
          <w:sz w:val="12"/>
        </w:rPr>
        <w:t xml:space="preserve"> | rel. André Mendonça</w:t>
      </w:r>
    </w:p>
    <w:p>
      <w:pPr>
        <w:ind w:left="288"/>
      </w:pPr>
      <w:r>
        <w:rPr>
          <w:color w:val="1E1E1E"/>
          <w:sz w:val="18"/>
        </w:rPr>
        <w:t>O Estado-membro é parte legítima para figurar no polo passivo de ações que versem sobre a restituição de imposto de renda retido na fonte incidente sobre rendimentos pagos a seus servidores públicos.</w:t>
        <w:br/>
        <w:t>[ARE 1.467.922.ED-AgR, rel. min. André Mendonça, j. 12.11.2024, 2ª T, DJE de 25.11.2024.] O direito subjetivo do ente federativo beneficiado com a participação no produto da arrecadação do Imposto de Renda Retido na Fonte - IRRF, nos termos dos arts. 157, I, e 158, I, da Constituição Federal, somente existirá a partir do momento em que o ente federativo competente criar o tributo e ocorrer seu fat</w:t>
      </w:r>
    </w:p>
    <w:p>
      <w:pPr>
        <w:ind w:left="288"/>
      </w:pPr>
      <w:r>
        <w:rPr>
          <w:b/>
          <w:color w:val="003CA0"/>
          <w:sz w:val="16"/>
        </w:rPr>
        <w:t>[RE 248.447, rel. min. Joaquim Barbosa, j. 24-11-2009, 2ª T, DJE de 18-12-2009.]</w:t>
      </w:r>
    </w:p>
    <w:p>
      <w:pPr>
        <w:ind w:left="720"/>
      </w:pPr>
      <w:r>
        <w:rPr>
          <w:color w:val="003366"/>
          <w:sz w:val="18"/>
        </w:rPr>
        <w:t>I – o produto da arrecadação do imposto da União sobre renda e proventos de qual</w:t>
      </w:r>
    </w:p>
    <w:p>
      <w:pPr>
        <w:ind w:left="720"/>
      </w:pPr>
      <w:r>
        <w:rPr>
          <w:color w:val="003366"/>
          <w:sz w:val="18"/>
        </w:rPr>
        <w:t xml:space="preserve">II – vinte por cento do produto da arrecadação do imposto que a União instituir </w:t>
      </w:r>
    </w:p>
    <w:p>
      <w:r>
        <w:rPr>
          <w:b/>
          <w:color w:val="003366"/>
          <w:sz w:val="20"/>
        </w:rPr>
        <w:t>Art. 158 Pertencem aos Municípios:</w:t>
      </w:r>
      <w:r>
        <w:rPr>
          <w:color w:val="8C8C8C"/>
          <w:sz w:val="14"/>
        </w:rPr>
        <w:t xml:space="preserve">  [4 decisoes]</w:t>
      </w:r>
    </w:p>
    <w:p>
      <w:pPr>
        <w:ind w:left="288"/>
      </w:pPr>
      <w:r>
        <w:rPr>
          <w:color w:val="8C8C8C"/>
          <w:sz w:val="12"/>
        </w:rPr>
        <w:t>cf-art-158</w:t>
      </w:r>
    </w:p>
    <w:p>
      <w:pPr>
        <w:ind w:left="288"/>
      </w:pPr>
      <w:r>
        <w:rPr>
          <w:color w:val="1E1E1E"/>
          <w:sz w:val="18"/>
        </w:rPr>
        <w:t>I - o produto da arrecadação do imposto da União sobre renda e proventos de qualquer natureza, incidente na fonte, sobre rendimentos pagos, a qualquer título, por eles, suas autarquias e pelas fundações que instituírem e mantiverem;</w:t>
      </w:r>
    </w:p>
    <w:p>
      <w:pPr>
        <w:ind w:left="144"/>
      </w:pPr>
      <w:r>
        <w:rPr>
          <w:b/>
          <w:color w:val="B45A00"/>
          <w:sz w:val="16"/>
        </w:rPr>
        <w:t>REPERCUSSAO GERAL</w:t>
      </w:r>
    </w:p>
    <w:p>
      <w:pPr>
        <w:ind w:left="288"/>
      </w:pPr>
      <w:r>
        <w:rPr>
          <w:color w:val="8C8C8C"/>
          <w:sz w:val="12"/>
        </w:rPr>
        <w:t>cf-art-158</w:t>
      </w:r>
      <w:r>
        <w:rPr>
          <w:color w:val="003CA0"/>
          <w:sz w:val="12"/>
        </w:rPr>
        <w:t xml:space="preserve"> | RE 1.293.453</w:t>
      </w:r>
      <w:r>
        <w:rPr>
          <w:color w:val="003CA0"/>
          <w:sz w:val="12"/>
        </w:rPr>
        <w:t xml:space="preserve"> | rel. Alexandre de Moraes</w:t>
      </w:r>
    </w:p>
    <w:p>
      <w:pPr>
        <w:ind w:left="288"/>
      </w:pPr>
      <w:r>
        <w:rPr>
          <w:color w:val="1E1E1E"/>
          <w:sz w:val="18"/>
        </w:rPr>
        <w:t>Pertence ao Município, aos Estados e ao Distrito Federal a titularidade das receitas arrecadadas a título de imposto de renda retido na fonte incidente sobre valores pagos por eles, suas autarquias e fundações a pessoas físicas ou jurídicas contratadas para a prestação de bens ou serviços, conforme disposto nos arts. 158, I, e 157, I, da Constituição Federal.</w:t>
        <w:br/>
        <w:t>[RE 1.293.453, rel. min. Alexandre de Moraes, j. 11-10-2021, Plenário, DJE de 22-10-2021, Tema 1.130, com mérito julgado.] A expressão "produto da arrecadação" prevista no art. 158, I, da Constituição da República não permite interpretaçã</w:t>
      </w:r>
    </w:p>
    <w:p>
      <w:pPr>
        <w:ind w:left="144"/>
      </w:pPr>
      <w:r>
        <w:rPr>
          <w:b/>
          <w:color w:val="B45A00"/>
          <w:sz w:val="16"/>
        </w:rPr>
        <w:t>JULGADOS CORRELATOS</w:t>
      </w:r>
    </w:p>
    <w:p>
      <w:pPr>
        <w:ind w:left="288"/>
      </w:pPr>
      <w:r>
        <w:rPr>
          <w:color w:val="8C8C8C"/>
          <w:sz w:val="12"/>
        </w:rPr>
        <w:t>cf-art-158</w:t>
      </w:r>
      <w:r>
        <w:rPr>
          <w:color w:val="003CA0"/>
          <w:sz w:val="12"/>
        </w:rPr>
        <w:t xml:space="preserve"> | ACO 2.866</w:t>
      </w:r>
      <w:r>
        <w:rPr>
          <w:color w:val="003CA0"/>
          <w:sz w:val="12"/>
        </w:rPr>
        <w:t xml:space="preserve"> | rel. Marco Aurélio</w:t>
      </w:r>
    </w:p>
    <w:p>
      <w:pPr>
        <w:ind w:left="288"/>
      </w:pPr>
      <w:r>
        <w:rPr>
          <w:color w:val="1E1E1E"/>
          <w:sz w:val="18"/>
        </w:rPr>
        <w:t>A Constituição Federal, ao dispor no art. 158, I, que pertencem aos Municípios “ o produto da arrecadação do imposto da União sobre renda e proventos de qualquer natureza, incidente na fonte, sobre rendimentos pagos, a qualquer título, por eles, suas autarquias e pelas fundações que instituírem e mantiverem.”, optou por não restringir expressamente o termo ‘rendimentos pagos’, por sua vez, a expressão ‘a qualquer título’ demonstra nitidamente a intenção de ampliar as hipóteses de abrangência do referido termo. Desse modo, o conceito de rendimentos constante do referido dispositivo constitucion</w:t>
      </w:r>
    </w:p>
    <w:p>
      <w:pPr>
        <w:ind w:left="288"/>
      </w:pPr>
      <w:r>
        <w:rPr>
          <w:color w:val="8C8C8C"/>
          <w:sz w:val="12"/>
        </w:rPr>
        <w:t>cf-art-158-par-1</w:t>
      </w:r>
    </w:p>
    <w:p>
      <w:pPr>
        <w:ind w:left="288"/>
      </w:pPr>
      <w:r>
        <w:rPr>
          <w:color w:val="1E1E1E"/>
          <w:sz w:val="18"/>
        </w:rPr>
        <w:t>I - 65% (sessenta e cinco por cento), no mínimo, na proporção do valor adicionado nas operações relativas à circulação de mercadorias e nas prestações de serviços, realizadas em seus territórios; (Redação dada pela EC n.108/2020) II - até 35% (trinta e cinco por cento), de acordo com o que dispuser lei estadual, observada, obrigatoriamente, a distribuição de, no mínimo, 10 (dez) pontos percentuais com base em indicadores de melhoria nos resultados de aprendizagem e de aumento da equidade, considerado o nível socioeconômico dos educandos. (Redação dada pela EC n.108/2020)</w:t>
      </w:r>
    </w:p>
    <w:p>
      <w:pPr>
        <w:ind w:left="720"/>
      </w:pPr>
      <w:r>
        <w:rPr>
          <w:color w:val="003366"/>
          <w:sz w:val="18"/>
        </w:rPr>
        <w:t>I – o produto da arrecadação do imposto da União sobre renda e proventos de qual</w:t>
      </w:r>
    </w:p>
    <w:p>
      <w:pPr>
        <w:ind w:left="720"/>
      </w:pPr>
      <w:r>
        <w:rPr>
          <w:color w:val="003366"/>
          <w:sz w:val="18"/>
        </w:rPr>
        <w:t>II – cinqüenta por cento do produto da arrecadação do imposto da União sobre a p</w:t>
      </w:r>
    </w:p>
    <w:p>
      <w:pPr>
        <w:ind w:left="720"/>
      </w:pPr>
      <w:r>
        <w:rPr>
          <w:color w:val="003366"/>
          <w:sz w:val="18"/>
        </w:rPr>
        <w:t>III – 50% (cinquenta por cento) do produto da arrecadação do imposto do Estado s</w:t>
      </w:r>
    </w:p>
    <w:p>
      <w:pPr>
        <w:ind w:left="720"/>
      </w:pPr>
      <w:r>
        <w:rPr>
          <w:color w:val="003366"/>
          <w:sz w:val="18"/>
        </w:rPr>
        <w:t xml:space="preserve">IV – 25% (vinte e cinco por cento): (Redação dada pela Emenda Constitucional nº </w:t>
      </w:r>
    </w:p>
    <w:p>
      <w:pPr>
        <w:ind w:left="1008"/>
      </w:pPr>
      <w:r>
        <w:rPr>
          <w:color w:val="003366"/>
          <w:sz w:val="18"/>
        </w:rPr>
        <w:t>a) do produto da arrecadação do imposto do Estado sobre operações relativas à ci</w:t>
      </w:r>
    </w:p>
    <w:p>
      <w:pPr>
        <w:ind w:left="1008"/>
      </w:pPr>
      <w:r>
        <w:rPr>
          <w:color w:val="003366"/>
          <w:sz w:val="18"/>
        </w:rPr>
        <w:t>b) do produto da arrecadação do imposto previsto no art. 156-A distribuída aos E</w:t>
      </w:r>
    </w:p>
    <w:p>
      <w:pPr>
        <w:ind w:left="432"/>
      </w:pPr>
      <w:r>
        <w:rPr>
          <w:color w:val="003366"/>
          <w:sz w:val="18"/>
        </w:rPr>
        <w:t>§ 1 As parcelas de receita pertencentes aos Municípios mencionadas no inciso IV,</w:t>
      </w:r>
    </w:p>
    <w:p>
      <w:pPr>
        <w:ind w:left="720"/>
      </w:pPr>
      <w:r>
        <w:rPr>
          <w:color w:val="003366"/>
          <w:sz w:val="18"/>
        </w:rPr>
        <w:t>I – 65% (sessenta e cinco por cento), no mínimo, na proporção do valor adicionad</w:t>
      </w:r>
    </w:p>
    <w:p>
      <w:pPr>
        <w:ind w:left="720"/>
      </w:pPr>
      <w:r>
        <w:rPr>
          <w:color w:val="003366"/>
          <w:sz w:val="18"/>
        </w:rPr>
        <w:t>II – até 35% (trinta e cinco por cento), de acordo com o que dispuser lei estadu</w:t>
      </w:r>
    </w:p>
    <w:p>
      <w:pPr>
        <w:ind w:left="432"/>
      </w:pPr>
      <w:r>
        <w:rPr>
          <w:color w:val="003366"/>
          <w:sz w:val="18"/>
        </w:rPr>
        <w:t>§ 2 As parcelas de receita pertencentes aos Municípios mencionadas no inciso IV,</w:t>
      </w:r>
    </w:p>
    <w:p>
      <w:pPr>
        <w:ind w:left="720"/>
      </w:pPr>
      <w:r>
        <w:rPr>
          <w:color w:val="003366"/>
          <w:sz w:val="18"/>
        </w:rPr>
        <w:t>I – 80% (oitenta por cento) na proporção da população; (Incluído pela Emenda Con</w:t>
      </w:r>
    </w:p>
    <w:p>
      <w:pPr>
        <w:ind w:left="720"/>
      </w:pPr>
      <w:r>
        <w:rPr>
          <w:color w:val="003366"/>
          <w:sz w:val="18"/>
        </w:rPr>
        <w:t>II – 10% (dez por cento) com base em indicadores de melhoria nos resultados de a</w:t>
      </w:r>
    </w:p>
    <w:p>
      <w:pPr>
        <w:ind w:left="720"/>
      </w:pPr>
      <w:r>
        <w:rPr>
          <w:color w:val="003366"/>
          <w:sz w:val="18"/>
        </w:rPr>
        <w:t xml:space="preserve">III – 5% (cinco por cento) com base em indicadores de preservação ambiental, de </w:t>
      </w:r>
    </w:p>
    <w:p>
      <w:pPr>
        <w:ind w:left="720"/>
      </w:pPr>
      <w:r>
        <w:rPr>
          <w:color w:val="003366"/>
          <w:sz w:val="18"/>
        </w:rPr>
        <w:t>IV – 5% (cinco por cento) em montantes iguais para todos os Municípios do Estado</w:t>
      </w:r>
    </w:p>
    <w:p>
      <w:r>
        <w:rPr>
          <w:b/>
          <w:color w:val="003366"/>
          <w:sz w:val="20"/>
        </w:rPr>
        <w:t>Art. 159 A União entregará: (Vide Emenda Constitucional nº 55, de 2007)</w:t>
      </w:r>
      <w:r>
        <w:rPr>
          <w:color w:val="8C8C8C"/>
          <w:sz w:val="14"/>
        </w:rPr>
        <w:t xml:space="preserve">  [6 decisoes]</w:t>
      </w:r>
    </w:p>
    <w:p>
      <w:pPr>
        <w:ind w:left="288"/>
      </w:pPr>
      <w:r>
        <w:rPr>
          <w:color w:val="8C8C8C"/>
          <w:sz w:val="12"/>
        </w:rPr>
        <w:t>cf-art-159</w:t>
      </w:r>
    </w:p>
    <w:p>
      <w:pPr>
        <w:ind w:left="288"/>
      </w:pPr>
      <w:r>
        <w:rPr>
          <w:color w:val="1E1E1E"/>
          <w:sz w:val="18"/>
        </w:rPr>
        <w:t>I - do produto da arrecadação dos impostos sobre renda e proventos de qualquer natureza e sobre produtos industrializados e do imposto previsto no art. 153, VIII, 50% (cinquenta por cento), da seguinte forma: (Redação dada pela EC n. 132/2023)</w:t>
      </w:r>
    </w:p>
    <w:p>
      <w:pPr>
        <w:ind w:left="144"/>
      </w:pPr>
      <w:r>
        <w:rPr>
          <w:b/>
          <w:color w:val="B45A00"/>
          <w:sz w:val="16"/>
        </w:rPr>
        <w:t>JULGADOS CORRELATOS</w:t>
      </w:r>
    </w:p>
    <w:p>
      <w:pPr>
        <w:ind w:left="288"/>
      </w:pPr>
      <w:r>
        <w:rPr>
          <w:color w:val="8C8C8C"/>
          <w:sz w:val="12"/>
        </w:rPr>
        <w:t>cf-art-159-ali-a</w:t>
      </w:r>
      <w:r>
        <w:rPr>
          <w:color w:val="003CA0"/>
          <w:sz w:val="12"/>
        </w:rPr>
        <w:t xml:space="preserve"> | ACO 758</w:t>
      </w:r>
      <w:r>
        <w:rPr>
          <w:color w:val="003CA0"/>
          <w:sz w:val="12"/>
        </w:rPr>
        <w:t xml:space="preserve"> | rel. Marco Aurélio</w:t>
      </w:r>
    </w:p>
    <w:p>
      <w:pPr>
        <w:ind w:left="288"/>
      </w:pPr>
      <w:r>
        <w:rPr>
          <w:color w:val="1E1E1E"/>
          <w:sz w:val="18"/>
        </w:rPr>
        <w:t>A participação dos Estados, no que arrecadado pela União, faz-se segundo o figurino constitucional, sendo impróprio subtrair valores destinados aos Programas PIN e Proterra.</w:t>
        <w:br/>
        <w:t>[ACO 758, rel. min. Marco Aurélio, j. 19-12-2016, P, DJE de 1º-8-2017.]</w:t>
      </w:r>
    </w:p>
    <w:p>
      <w:pPr>
        <w:ind w:left="144"/>
      </w:pPr>
      <w:r>
        <w:rPr>
          <w:b/>
          <w:color w:val="B45A00"/>
          <w:sz w:val="16"/>
        </w:rPr>
        <w:t>CONTROLE CONCENTRADO</w:t>
      </w:r>
    </w:p>
    <w:p>
      <w:pPr>
        <w:ind w:left="288"/>
      </w:pPr>
      <w:r>
        <w:rPr>
          <w:color w:val="8C8C8C"/>
          <w:sz w:val="12"/>
        </w:rPr>
        <w:t>cf-art-159-ali-b</w:t>
      </w:r>
      <w:r>
        <w:rPr>
          <w:color w:val="003CA0"/>
          <w:sz w:val="12"/>
        </w:rPr>
        <w:t xml:space="preserve"> | ADPF 1.043</w:t>
      </w:r>
      <w:r>
        <w:rPr>
          <w:color w:val="003CA0"/>
          <w:sz w:val="12"/>
        </w:rPr>
        <w:t xml:space="preserve"> | rel. Cristiano Zanin</w:t>
      </w:r>
    </w:p>
    <w:p>
      <w:pPr>
        <w:ind w:left="288"/>
      </w:pPr>
      <w:r>
        <w:rPr>
          <w:color w:val="1E1E1E"/>
          <w:sz w:val="18"/>
        </w:rPr>
        <w:t>Decisão Normativa do Tribunal de Contas da União (TCU) 201/2022 que altera coeficientes de distribuição do Fundo de Participação dos Municípios, com fundamento no Censo demográfico de 2022, quando ainda não havia sido finalizado. Violação a preceito fundamental, decorrente da abruta alteração dos coeficientes do FPM, contrariamente à legítima expectativa das administrações municipais, e em desobediência ao disposto na Lei Complementar 165/2019.</w:t>
        <w:br/>
        <w:t>[ADPF 1.043, rel. min. Cristiano Zanin, j. 11.03.2024, P, DJE de 15.03.2024.]</w:t>
      </w:r>
    </w:p>
    <w:p>
      <w:pPr>
        <w:ind w:left="144"/>
      </w:pPr>
      <w:r>
        <w:rPr>
          <w:b/>
          <w:color w:val="B45A00"/>
          <w:sz w:val="16"/>
        </w:rPr>
        <w:t>REPERCUSSAO GERAL</w:t>
      </w:r>
    </w:p>
    <w:p>
      <w:pPr>
        <w:ind w:left="288"/>
      </w:pPr>
      <w:r>
        <w:rPr>
          <w:color w:val="8C8C8C"/>
          <w:sz w:val="12"/>
        </w:rPr>
        <w:t>cf-art-159-ali-b</w:t>
      </w:r>
      <w:r>
        <w:rPr>
          <w:color w:val="003CA0"/>
          <w:sz w:val="12"/>
        </w:rPr>
        <w:t xml:space="preserve"> | RE 1.346.658</w:t>
      </w:r>
      <w:r>
        <w:rPr>
          <w:color w:val="003CA0"/>
          <w:sz w:val="12"/>
        </w:rPr>
        <w:t xml:space="preserve"> | rel. Luiz Fux</w:t>
      </w:r>
    </w:p>
    <w:p>
      <w:pPr>
        <w:ind w:left="288"/>
      </w:pPr>
      <w:r>
        <w:rPr>
          <w:color w:val="1E1E1E"/>
          <w:sz w:val="18"/>
        </w:rPr>
        <w:t>É inconstitucional a dedução dos valores advindos das contribuições ao Programa de Integração Nacional - PIN e ao Programa de Redistribuição de Terras e de Estímulo à Agroindústria do Norte e do Nordeste - PROTERRA da base de cálculo do Fundo de Participação dos Municípios - FPM.</w:t>
        <w:br/>
        <w:t>[RE 1.346.658 RG, rel. min. Luiz Fux, j. 9-12-2021, P, DJE de 17-2-2021, Tema 1.187, com mérito julgado.]</w:t>
      </w:r>
    </w:p>
    <w:p>
      <w:pPr>
        <w:ind w:left="144"/>
      </w:pPr>
      <w:r>
        <w:rPr>
          <w:b/>
          <w:color w:val="B45A00"/>
          <w:sz w:val="16"/>
        </w:rPr>
        <w:t>JULGADOS CORRELATOS</w:t>
      </w:r>
    </w:p>
    <w:p>
      <w:pPr>
        <w:ind w:left="288"/>
      </w:pPr>
      <w:r>
        <w:rPr>
          <w:color w:val="8C8C8C"/>
          <w:sz w:val="12"/>
        </w:rPr>
        <w:t>cf-art-159-ali-b</w:t>
      </w:r>
      <w:r>
        <w:rPr>
          <w:color w:val="003CA0"/>
          <w:sz w:val="12"/>
        </w:rPr>
        <w:t xml:space="preserve"> | MS 26.464</w:t>
      </w:r>
      <w:r>
        <w:rPr>
          <w:color w:val="003CA0"/>
          <w:sz w:val="12"/>
        </w:rPr>
        <w:t xml:space="preserve"> | rel. Cármen Lúcia</w:t>
      </w:r>
    </w:p>
    <w:p>
      <w:pPr>
        <w:ind w:left="288"/>
      </w:pPr>
      <w:r>
        <w:rPr>
          <w:color w:val="1E1E1E"/>
          <w:sz w:val="18"/>
        </w:rPr>
        <w:t>Fundo de Participação dos Municípios. Cálculo do coeficiente de participação segundo critérios demográficos. (...) O critério legal estabelecido no art. 2º da LC  91/1997 reduz a participação dos Municípios que recebem mais que o permitido pelos seus índices populacionais e conduz a maior participação daqueles que percebem menos do que deveriam. A LC  91/1997 não assegura aos Municípios sujeitos ao fator de redução o direito de perceber o mesmo valor dos Municípios que, com a mesma população, não estejam sujeitos ao redutor.</w:t>
        <w:br/>
        <w:t>[MS 26.464, rel. min. Cármen Lúcia, j. 7-4-2008, P, DJE de 16-5-2008.</w:t>
      </w:r>
    </w:p>
    <w:p>
      <w:pPr>
        <w:ind w:left="288"/>
      </w:pPr>
      <w:r>
        <w:rPr>
          <w:color w:val="8C8C8C"/>
          <w:sz w:val="12"/>
        </w:rPr>
        <w:t>cf-art-159-par-2</w:t>
      </w:r>
    </w:p>
    <w:p>
      <w:pPr>
        <w:ind w:left="288"/>
      </w:pPr>
      <w:r>
        <w:rPr>
          <w:color w:val="1E1E1E"/>
          <w:sz w:val="18"/>
        </w:rPr>
        <w:t>§ 3º Os Estados entregarão aos respectivos Municípios 25% (vinte e cinco por cento) dos recursos que receberem nos termos do inciso II docaputdeste artigo, observados os critérios estabelecidos no art. 158, § 1º, para a parcela relativa ao imposto sobre produtos industrializados, e no art. 158, § 2º, para a parcela relativa ao imposto previsto no art. 153, VIII. (Redação dada pela EC n. 132/2023)</w:t>
      </w:r>
    </w:p>
    <w:p>
      <w:pPr>
        <w:ind w:left="720"/>
      </w:pPr>
      <w:r>
        <w:rPr>
          <w:color w:val="003366"/>
          <w:sz w:val="18"/>
        </w:rPr>
        <w:t>I – do produto da arrecadação dos impostos sobre renda e proventos de qualquer n</w:t>
      </w:r>
    </w:p>
    <w:p>
      <w:pPr>
        <w:ind w:left="1008"/>
      </w:pPr>
      <w:r>
        <w:rPr>
          <w:color w:val="003366"/>
          <w:sz w:val="18"/>
        </w:rPr>
        <w:t>a) vinte e um inteiros e cinco décimos por cento ao Fundo de Participação dos Es</w:t>
      </w:r>
    </w:p>
    <w:p>
      <w:pPr>
        <w:ind w:left="1008"/>
      </w:pPr>
      <w:r>
        <w:rPr>
          <w:color w:val="003366"/>
          <w:sz w:val="18"/>
        </w:rPr>
        <w:t xml:space="preserve">b) vinte e dois inteiros e cinco décimos por cento ao Fundo de Participação dos </w:t>
      </w:r>
    </w:p>
    <w:p>
      <w:pPr>
        <w:ind w:left="1008"/>
      </w:pPr>
      <w:r>
        <w:rPr>
          <w:color w:val="003366"/>
          <w:sz w:val="18"/>
        </w:rPr>
        <w:t>c) três por cento, para aplicação em programas de financiamento ao setor produti</w:t>
      </w:r>
    </w:p>
    <w:p>
      <w:pPr>
        <w:ind w:left="1008"/>
      </w:pPr>
      <w:r>
        <w:rPr>
          <w:color w:val="003366"/>
          <w:sz w:val="18"/>
        </w:rPr>
        <w:t>d) um por cento ao Fundo de Participação dos Municípios, que será entregue no pr</w:t>
      </w:r>
    </w:p>
    <w:p>
      <w:pPr>
        <w:ind w:left="1008"/>
      </w:pPr>
      <w:r>
        <w:rPr>
          <w:color w:val="003366"/>
          <w:sz w:val="18"/>
        </w:rPr>
        <w:t xml:space="preserve">e) 1% (um por cento) ao Fundo de Participação dos Municípios, que será entregue </w:t>
      </w:r>
    </w:p>
    <w:p>
      <w:pPr>
        <w:ind w:left="1008"/>
      </w:pPr>
      <w:r>
        <w:rPr>
          <w:color w:val="003366"/>
          <w:sz w:val="18"/>
        </w:rPr>
        <w:t xml:space="preserve">f) 1% (um por cento) ao Fundo de Participação dos Municípios, que será entregue </w:t>
      </w:r>
    </w:p>
    <w:p>
      <w:pPr>
        <w:ind w:left="720"/>
      </w:pPr>
      <w:r>
        <w:rPr>
          <w:color w:val="003366"/>
          <w:sz w:val="18"/>
        </w:rPr>
        <w:t>II – do produto da arrecadação do imposto sobre produtos industrializados e do i</w:t>
      </w:r>
    </w:p>
    <w:p>
      <w:pPr>
        <w:ind w:left="720"/>
      </w:pPr>
      <w:r>
        <w:rPr>
          <w:color w:val="003366"/>
          <w:sz w:val="18"/>
        </w:rPr>
        <w:t>III – do produto da arrecadação da contribuição de intervenção no domínio econôm</w:t>
      </w:r>
    </w:p>
    <w:p>
      <w:pPr>
        <w:ind w:left="432"/>
      </w:pPr>
      <w:r>
        <w:rPr>
          <w:color w:val="003366"/>
          <w:sz w:val="18"/>
        </w:rPr>
        <w:t>§ 1 Para efeito de cálculo da entrega a ser efetuada de acordo com o previsto no</w:t>
      </w:r>
    </w:p>
    <w:p>
      <w:pPr>
        <w:ind w:left="432"/>
      </w:pPr>
      <w:r>
        <w:rPr>
          <w:color w:val="003366"/>
          <w:sz w:val="18"/>
        </w:rPr>
        <w:t>§ 2 A nenhuma unidade federada poderá ser destinada parcela superior a vinte por</w:t>
      </w:r>
    </w:p>
    <w:p>
      <w:pPr>
        <w:ind w:left="432"/>
      </w:pPr>
      <w:r>
        <w:rPr>
          <w:color w:val="003366"/>
          <w:sz w:val="18"/>
        </w:rPr>
        <w:t>§ 3 Os Estados entregarão aos respectivos Municípios 25% (vinte e cinco por cent</w:t>
      </w:r>
    </w:p>
    <w:p>
      <w:pPr>
        <w:ind w:left="432"/>
      </w:pPr>
      <w:r>
        <w:rPr>
          <w:color w:val="003366"/>
          <w:sz w:val="18"/>
        </w:rPr>
        <w:t>§ 4 Do montante de recursos de que trata o inciso III que cabe a cada Estado, vi</w:t>
      </w:r>
    </w:p>
    <w:p>
      <w:r>
        <w:rPr>
          <w:b/>
          <w:color w:val="003366"/>
          <w:sz w:val="20"/>
        </w:rPr>
        <w:t xml:space="preserve">Art. 159 A. Fica instituído o Fundo Nacional de Desenvolvimento Regional, com o </w:t>
      </w:r>
      <w:r>
        <w:rPr>
          <w:color w:val="8C8C8C"/>
          <w:sz w:val="14"/>
        </w:rPr>
        <w:t xml:space="preserve">  [6 decisoes]</w:t>
      </w:r>
    </w:p>
    <w:p>
      <w:pPr>
        <w:ind w:left="288"/>
      </w:pPr>
      <w:r>
        <w:rPr>
          <w:color w:val="8C8C8C"/>
          <w:sz w:val="12"/>
        </w:rPr>
        <w:t>cf-art-159</w:t>
      </w:r>
    </w:p>
    <w:p>
      <w:pPr>
        <w:ind w:left="288"/>
      </w:pPr>
      <w:r>
        <w:rPr>
          <w:color w:val="1E1E1E"/>
          <w:sz w:val="18"/>
        </w:rPr>
        <w:t>I - do produto da arrecadação dos impostos sobre renda e proventos de qualquer natureza e sobre produtos industrializados e do imposto previsto no art. 153, VIII, 50% (cinquenta por cento), da seguinte forma: (Redação dada pela EC n. 132/2023)</w:t>
      </w:r>
    </w:p>
    <w:p>
      <w:pPr>
        <w:ind w:left="144"/>
      </w:pPr>
      <w:r>
        <w:rPr>
          <w:b/>
          <w:color w:val="B45A00"/>
          <w:sz w:val="16"/>
        </w:rPr>
        <w:t>JULGADOS CORRELATOS</w:t>
      </w:r>
    </w:p>
    <w:p>
      <w:pPr>
        <w:ind w:left="288"/>
      </w:pPr>
      <w:r>
        <w:rPr>
          <w:color w:val="8C8C8C"/>
          <w:sz w:val="12"/>
        </w:rPr>
        <w:t>cf-art-159-ali-a</w:t>
      </w:r>
      <w:r>
        <w:rPr>
          <w:color w:val="003CA0"/>
          <w:sz w:val="12"/>
        </w:rPr>
        <w:t xml:space="preserve"> | ACO 758</w:t>
      </w:r>
      <w:r>
        <w:rPr>
          <w:color w:val="003CA0"/>
          <w:sz w:val="12"/>
        </w:rPr>
        <w:t xml:space="preserve"> | rel. Marco Aurélio</w:t>
      </w:r>
    </w:p>
    <w:p>
      <w:pPr>
        <w:ind w:left="288"/>
      </w:pPr>
      <w:r>
        <w:rPr>
          <w:color w:val="1E1E1E"/>
          <w:sz w:val="18"/>
        </w:rPr>
        <w:t>A participação dos Estados, no que arrecadado pela União, faz-se segundo o figurino constitucional, sendo impróprio subtrair valores destinados aos Programas PIN e Proterra.</w:t>
        <w:br/>
        <w:t>[ACO 758, rel. min. Marco Aurélio, j. 19-12-2016, P, DJE de 1º-8-2017.]</w:t>
      </w:r>
    </w:p>
    <w:p>
      <w:pPr>
        <w:ind w:left="144"/>
      </w:pPr>
      <w:r>
        <w:rPr>
          <w:b/>
          <w:color w:val="B45A00"/>
          <w:sz w:val="16"/>
        </w:rPr>
        <w:t>CONTROLE CONCENTRADO</w:t>
      </w:r>
    </w:p>
    <w:p>
      <w:pPr>
        <w:ind w:left="288"/>
      </w:pPr>
      <w:r>
        <w:rPr>
          <w:color w:val="8C8C8C"/>
          <w:sz w:val="12"/>
        </w:rPr>
        <w:t>cf-art-159-ali-b</w:t>
      </w:r>
      <w:r>
        <w:rPr>
          <w:color w:val="003CA0"/>
          <w:sz w:val="12"/>
        </w:rPr>
        <w:t xml:space="preserve"> | ADPF 1.043</w:t>
      </w:r>
      <w:r>
        <w:rPr>
          <w:color w:val="003CA0"/>
          <w:sz w:val="12"/>
        </w:rPr>
        <w:t xml:space="preserve"> | rel. Cristiano Zanin</w:t>
      </w:r>
    </w:p>
    <w:p>
      <w:pPr>
        <w:ind w:left="288"/>
      </w:pPr>
      <w:r>
        <w:rPr>
          <w:color w:val="1E1E1E"/>
          <w:sz w:val="18"/>
        </w:rPr>
        <w:t>Decisão Normativa do Tribunal de Contas da União (TCU) 201/2022 que altera coeficientes de distribuição do Fundo de Participação dos Municípios, com fundamento no Censo demográfico de 2022, quando ainda não havia sido finalizado. Violação a preceito fundamental, decorrente da abruta alteração dos coeficientes do FPM, contrariamente à legítima expectativa das administrações municipais, e em desobediência ao disposto na Lei Complementar 165/2019.</w:t>
        <w:br/>
        <w:t>[ADPF 1.043, rel. min. Cristiano Zanin, j. 11.03.2024, P, DJE de 15.03.2024.]</w:t>
      </w:r>
    </w:p>
    <w:p>
      <w:pPr>
        <w:ind w:left="144"/>
      </w:pPr>
      <w:r>
        <w:rPr>
          <w:b/>
          <w:color w:val="B45A00"/>
          <w:sz w:val="16"/>
        </w:rPr>
        <w:t>REPERCUSSAO GERAL</w:t>
      </w:r>
    </w:p>
    <w:p>
      <w:pPr>
        <w:ind w:left="288"/>
      </w:pPr>
      <w:r>
        <w:rPr>
          <w:color w:val="8C8C8C"/>
          <w:sz w:val="12"/>
        </w:rPr>
        <w:t>cf-art-159-ali-b</w:t>
      </w:r>
      <w:r>
        <w:rPr>
          <w:color w:val="003CA0"/>
          <w:sz w:val="12"/>
        </w:rPr>
        <w:t xml:space="preserve"> | RE 1.346.658</w:t>
      </w:r>
      <w:r>
        <w:rPr>
          <w:color w:val="003CA0"/>
          <w:sz w:val="12"/>
        </w:rPr>
        <w:t xml:space="preserve"> | rel. Luiz Fux</w:t>
      </w:r>
    </w:p>
    <w:p>
      <w:pPr>
        <w:ind w:left="288"/>
      </w:pPr>
      <w:r>
        <w:rPr>
          <w:color w:val="1E1E1E"/>
          <w:sz w:val="18"/>
        </w:rPr>
        <w:t>É inconstitucional a dedução dos valores advindos das contribuições ao Programa de Integração Nacional - PIN e ao Programa de Redistribuição de Terras e de Estímulo à Agroindústria do Norte e do Nordeste - PROTERRA da base de cálculo do Fundo de Participação dos Municípios - FPM.</w:t>
        <w:br/>
        <w:t>[RE 1.346.658 RG, rel. min. Luiz Fux, j. 9-12-2021, P, DJE de 17-2-2021, Tema 1.187, com mérito julgado.]</w:t>
      </w:r>
    </w:p>
    <w:p>
      <w:pPr>
        <w:ind w:left="144"/>
      </w:pPr>
      <w:r>
        <w:rPr>
          <w:b/>
          <w:color w:val="B45A00"/>
          <w:sz w:val="16"/>
        </w:rPr>
        <w:t>JULGADOS CORRELATOS</w:t>
      </w:r>
    </w:p>
    <w:p>
      <w:pPr>
        <w:ind w:left="288"/>
      </w:pPr>
      <w:r>
        <w:rPr>
          <w:color w:val="8C8C8C"/>
          <w:sz w:val="12"/>
        </w:rPr>
        <w:t>cf-art-159-ali-b</w:t>
      </w:r>
      <w:r>
        <w:rPr>
          <w:color w:val="003CA0"/>
          <w:sz w:val="12"/>
        </w:rPr>
        <w:t xml:space="preserve"> | MS 26.464</w:t>
      </w:r>
      <w:r>
        <w:rPr>
          <w:color w:val="003CA0"/>
          <w:sz w:val="12"/>
        </w:rPr>
        <w:t xml:space="preserve"> | rel. Cármen Lúcia</w:t>
      </w:r>
    </w:p>
    <w:p>
      <w:pPr>
        <w:ind w:left="288"/>
      </w:pPr>
      <w:r>
        <w:rPr>
          <w:color w:val="1E1E1E"/>
          <w:sz w:val="18"/>
        </w:rPr>
        <w:t>Fundo de Participação dos Municípios. Cálculo do coeficiente de participação segundo critérios demográficos. (...) O critério legal estabelecido no art. 2º da LC  91/1997 reduz a participação dos Municípios que recebem mais que o permitido pelos seus índices populacionais e conduz a maior participação daqueles que percebem menos do que deveriam. A LC  91/1997 não assegura aos Municípios sujeitos ao fator de redução o direito de perceber o mesmo valor dos Municípios que, com a mesma população, não estejam sujeitos ao redutor.</w:t>
        <w:br/>
        <w:t>[MS 26.464, rel. min. Cármen Lúcia, j. 7-4-2008, P, DJE de 16-5-2008.</w:t>
      </w:r>
    </w:p>
    <w:p>
      <w:pPr>
        <w:ind w:left="288"/>
      </w:pPr>
      <w:r>
        <w:rPr>
          <w:color w:val="8C8C8C"/>
          <w:sz w:val="12"/>
        </w:rPr>
        <w:t>cf-art-159-par-2</w:t>
      </w:r>
    </w:p>
    <w:p>
      <w:pPr>
        <w:ind w:left="288"/>
      </w:pPr>
      <w:r>
        <w:rPr>
          <w:color w:val="1E1E1E"/>
          <w:sz w:val="18"/>
        </w:rPr>
        <w:t>§ 3º Os Estados entregarão aos respectivos Municípios 25% (vinte e cinco por cento) dos recursos que receberem nos termos do inciso II docaputdeste artigo, observados os critérios estabelecidos no art. 158, § 1º, para a parcela relativa ao imposto sobre produtos industrializados, e no art. 158, § 2º, para a parcela relativa ao imposto previsto no art. 153, VIII. (Redação dada pela EC n. 132/2023)</w:t>
      </w:r>
    </w:p>
    <w:p>
      <w:pPr>
        <w:ind w:left="720"/>
      </w:pPr>
      <w:r>
        <w:rPr>
          <w:color w:val="003366"/>
          <w:sz w:val="18"/>
        </w:rPr>
        <w:t>I – realização de estudos, projetos e obras de infraestrutura; (Incluído pela Em</w:t>
      </w:r>
    </w:p>
    <w:p>
      <w:pPr>
        <w:ind w:left="720"/>
      </w:pPr>
      <w:r>
        <w:rPr>
          <w:color w:val="003366"/>
          <w:sz w:val="18"/>
        </w:rPr>
        <w:t>II – fomento a atividades produtivas com elevado potencial de geração de emprego</w:t>
      </w:r>
    </w:p>
    <w:p>
      <w:pPr>
        <w:ind w:left="720"/>
      </w:pPr>
      <w:r>
        <w:rPr>
          <w:color w:val="003366"/>
          <w:sz w:val="18"/>
        </w:rPr>
        <w:t>III – promoção de ações com vistas ao desenvolvimento científico e tecnológico e</w:t>
      </w:r>
    </w:p>
    <w:p>
      <w:pPr>
        <w:ind w:left="432"/>
      </w:pPr>
      <w:r>
        <w:rPr>
          <w:color w:val="003366"/>
          <w:sz w:val="18"/>
        </w:rPr>
        <w:t>§ 1 É vedada a retenção ou qualquer restrição ao recebimento dos recursos de que</w:t>
      </w:r>
    </w:p>
    <w:p>
      <w:pPr>
        <w:ind w:left="432"/>
      </w:pPr>
      <w:r>
        <w:rPr>
          <w:color w:val="003366"/>
          <w:sz w:val="18"/>
        </w:rPr>
        <w:t>§ 2 Na aplicação dos recursos de que trata o caput, os Estados e o Distrito Fede</w:t>
      </w:r>
    </w:p>
    <w:p>
      <w:pPr>
        <w:ind w:left="432"/>
      </w:pPr>
      <w:r>
        <w:rPr>
          <w:color w:val="003366"/>
          <w:sz w:val="18"/>
        </w:rPr>
        <w:t xml:space="preserve">§ 3 Observado o disposto neste artigo, caberá aos Estados e ao Distrito Federal </w:t>
      </w:r>
    </w:p>
    <w:p>
      <w:pPr>
        <w:ind w:left="432"/>
      </w:pPr>
      <w:r>
        <w:rPr>
          <w:color w:val="003366"/>
          <w:sz w:val="18"/>
        </w:rPr>
        <w:t>§ 4 Os recursos de que trata o caput serão entregues aos Estados e ao Distrito F</w:t>
      </w:r>
    </w:p>
    <w:p>
      <w:pPr>
        <w:ind w:left="720"/>
      </w:pPr>
      <w:r>
        <w:rPr>
          <w:color w:val="003366"/>
          <w:sz w:val="18"/>
        </w:rPr>
        <w:t>I – população do Estado ou do Distrito Federal, com peso de 30% (trinta por cent</w:t>
      </w:r>
    </w:p>
    <w:p>
      <w:pPr>
        <w:ind w:left="720"/>
      </w:pPr>
      <w:r>
        <w:rPr>
          <w:color w:val="003366"/>
          <w:sz w:val="18"/>
        </w:rPr>
        <w:t>II – coeficiente individual de participação do Estado ou do Distrito Federal nos</w:t>
      </w:r>
    </w:p>
    <w:p>
      <w:pPr>
        <w:ind w:left="432"/>
      </w:pPr>
      <w:r>
        <w:rPr>
          <w:color w:val="003366"/>
          <w:sz w:val="18"/>
        </w:rPr>
        <w:t>§ 5 O Tribunal de Contas da União será o órgão responsável por regulamentar e ca</w:t>
      </w:r>
    </w:p>
    <w:p>
      <w:r>
        <w:rPr>
          <w:b/>
          <w:color w:val="003366"/>
          <w:sz w:val="20"/>
        </w:rPr>
        <w:t>Art. 160 É vedada a retenção ou qualquer restrição à entrega e ao emprego dos re</w:t>
      </w:r>
      <w:r>
        <w:rPr>
          <w:color w:val="8C8C8C"/>
          <w:sz w:val="14"/>
        </w:rPr>
        <w:t xml:space="preserve">  [8 decisoes]</w:t>
      </w:r>
    </w:p>
    <w:p>
      <w:pPr>
        <w:ind w:left="144"/>
      </w:pPr>
      <w:r>
        <w:rPr>
          <w:b/>
          <w:color w:val="B45A00"/>
          <w:sz w:val="16"/>
        </w:rPr>
        <w:t>CONTROLE CONCENTRADO</w:t>
      </w:r>
    </w:p>
    <w:p>
      <w:pPr>
        <w:ind w:left="288"/>
      </w:pPr>
      <w:r>
        <w:rPr>
          <w:color w:val="8C8C8C"/>
          <w:sz w:val="12"/>
        </w:rPr>
        <w:t>cf-art-160</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 mensagem normativa do parágrafo único do art. 11 da LRF, de instigação ao exercício pleno das competências impositivas fiscais tributárias dos Entes locais, não conflita com a Constituição Federal, traduzindo-se como fundamento de subsidiariedade, congruente com o Princípio Federativo, e desincentivando dependência de transferências voluntárias.</w:t>
      </w:r>
    </w:p>
    <w:p>
      <w:pPr>
        <w:ind w:left="288"/>
      </w:pPr>
      <w:r>
        <w:rPr>
          <w:b/>
          <w:color w:val="003CA0"/>
          <w:sz w:val="16"/>
        </w:rPr>
        <w:t>[ADI 2.238, rel. min. Alexandre de Moraes, j. 24-6-2020, P, DJE de 15-9-2020.]</w:t>
      </w:r>
    </w:p>
    <w:p>
      <w:pPr>
        <w:ind w:left="144"/>
      </w:pPr>
      <w:r>
        <w:rPr>
          <w:b/>
          <w:color w:val="B45A00"/>
          <w:sz w:val="16"/>
        </w:rPr>
        <w:t>JULGADOS CORRELATOS</w:t>
      </w:r>
    </w:p>
    <w:p>
      <w:pPr>
        <w:ind w:left="288"/>
      </w:pPr>
      <w:r>
        <w:rPr>
          <w:color w:val="8C8C8C"/>
          <w:sz w:val="12"/>
        </w:rPr>
        <w:t>cf-art-160</w:t>
      </w:r>
      <w:r>
        <w:rPr>
          <w:color w:val="003CA0"/>
          <w:sz w:val="12"/>
        </w:rPr>
        <w:t xml:space="preserve"> | ACO 1.357</w:t>
      </w:r>
      <w:r>
        <w:rPr>
          <w:color w:val="003CA0"/>
          <w:sz w:val="12"/>
        </w:rPr>
        <w:t xml:space="preserve"> | rel. Edson Fachin</w:t>
      </w:r>
    </w:p>
    <w:p>
      <w:pPr>
        <w:ind w:left="288"/>
      </w:pPr>
      <w:r>
        <w:rPr>
          <w:color w:val="1E1E1E"/>
          <w:sz w:val="18"/>
        </w:rPr>
        <w:t>A publicação da Portaria PGFN 708/2009 importa em reconhecimento do pedido por parte da União e alcança o pleito do Estado do Rio de Janeiro, porquanto impede que o ente central deixe de repassar as quotas do FPE [Fundo de Participação dos Estados], quando pendente discussão quanto à exigibilidade dos créditos ainda não constituídos ou contestados em processos administrativos e judiciais de índole fiscal.</w:t>
        <w:br/>
        <w:t>[ACO 1.357 AgR, rel. min. Edson Fachin, j. 1º-9-2017, P, DJE de 12-9-2017.] Suspensão de liminar. (...) A tutela jurisdicional pretendida pela agravante, consubstanciada no recebimento dos ho</w:t>
      </w:r>
    </w:p>
    <w:p>
      <w:pPr>
        <w:ind w:left="144"/>
      </w:pPr>
      <w:r>
        <w:rPr>
          <w:b/>
          <w:color w:val="B45A00"/>
          <w:sz w:val="16"/>
        </w:rPr>
        <w:t>CONTROLE CONCENTRADO</w:t>
      </w:r>
    </w:p>
    <w:p>
      <w:pPr>
        <w:ind w:left="288"/>
      </w:pPr>
      <w:r>
        <w:rPr>
          <w:color w:val="8C8C8C"/>
          <w:sz w:val="12"/>
        </w:rPr>
        <w:t>cf-art-160-par-1</w:t>
      </w:r>
      <w:r>
        <w:rPr>
          <w:color w:val="003CA0"/>
          <w:sz w:val="12"/>
        </w:rPr>
        <w:t xml:space="preserve"> | ADI 1.106</w:t>
      </w:r>
      <w:r>
        <w:rPr>
          <w:color w:val="003CA0"/>
          <w:sz w:val="12"/>
        </w:rPr>
        <w:t xml:space="preserve"> | rel. Maurício Corrêa</w:t>
      </w:r>
    </w:p>
    <w:p>
      <w:pPr>
        <w:ind w:left="288"/>
      </w:pPr>
      <w:r>
        <w:rPr>
          <w:color w:val="1E1E1E"/>
          <w:sz w:val="18"/>
        </w:rPr>
        <w:t>É vedado ao Estado impor condições para entrega aos Municípios das parcelas que lhes compete na repartição das receitas tributárias, salvo como condição ao recebimento de seus créditos ou ao cumprimento dos limites de aplicação de recursos em serviços de saúde (CF, art. 160, parágrafo único, I e II). Município em débito com o recolhimento de contribuições previdenciárias descontadas de seus servidores. Retenção do repasse da parcela do ICMS até a regularização do débito. Legitimidade da medida, em consonância com as exceções admitidas pela CF.</w:t>
      </w:r>
    </w:p>
    <w:p>
      <w:pPr>
        <w:ind w:left="288"/>
      </w:pPr>
      <w:r>
        <w:rPr>
          <w:b/>
          <w:color w:val="003CA0"/>
          <w:sz w:val="16"/>
        </w:rPr>
        <w:t>[ADI 1.106, rel. min. Maurício Corrêa, j. 5-9-2002, P, DJ de 13-12-2002.]</w:t>
      </w:r>
    </w:p>
    <w:p>
      <w:pPr>
        <w:ind w:left="144"/>
      </w:pPr>
      <w:r>
        <w:rPr>
          <w:b/>
          <w:color w:val="B45A00"/>
          <w:sz w:val="16"/>
        </w:rPr>
        <w:t>JULGADOS CORRELATOS</w:t>
      </w:r>
    </w:p>
    <w:p>
      <w:pPr>
        <w:ind w:left="288"/>
      </w:pPr>
      <w:r>
        <w:rPr>
          <w:color w:val="8C8C8C"/>
          <w:sz w:val="12"/>
        </w:rPr>
        <w:t>cf-art-160-par-1</w:t>
      </w:r>
      <w:r>
        <w:rPr>
          <w:color w:val="003CA0"/>
          <w:sz w:val="12"/>
        </w:rPr>
        <w:t xml:space="preserve"> | ACO 471</w:t>
      </w:r>
      <w:r>
        <w:rPr>
          <w:color w:val="003CA0"/>
          <w:sz w:val="12"/>
        </w:rPr>
        <w:t xml:space="preserve"> | rel. Carlos Velloso</w:t>
      </w:r>
    </w:p>
    <w:p>
      <w:pPr>
        <w:ind w:left="288"/>
      </w:pPr>
      <w:r>
        <w:rPr>
          <w:color w:val="1E1E1E"/>
          <w:sz w:val="18"/>
        </w:rPr>
        <w:t>Legitimidade da retenção, por parte da União, de crédito do Estado cota do Fundo de Participação dos Estados – em razão de o Estado-membro não ter se manifestado no sentido do recolhimento das contribuições retidas enquanto perdurou a liminar deferida na ACO 471/PR.</w:t>
      </w:r>
    </w:p>
    <w:p>
      <w:pPr>
        <w:ind w:left="288"/>
      </w:pPr>
      <w:r>
        <w:rPr>
          <w:b/>
          <w:color w:val="003CA0"/>
          <w:sz w:val="16"/>
        </w:rPr>
        <w:t>[MS 24.269, rel. min. Carlos Velloso, j. 14-11-2002, P, DJ de 13-12-2002.]</w:t>
      </w:r>
    </w:p>
    <w:p>
      <w:pPr>
        <w:ind w:left="288"/>
      </w:pPr>
      <w:r>
        <w:rPr>
          <w:color w:val="8C8C8C"/>
          <w:sz w:val="12"/>
        </w:rPr>
        <w:t>cf-art-160-par-1</w:t>
      </w:r>
      <w:r>
        <w:rPr>
          <w:color w:val="003CA0"/>
          <w:sz w:val="12"/>
        </w:rPr>
        <w:t xml:space="preserve"> | RE 509.984</w:t>
      </w:r>
      <w:r>
        <w:rPr>
          <w:color w:val="003CA0"/>
          <w:sz w:val="12"/>
        </w:rPr>
        <w:t xml:space="preserve"> | rel. Ayres Britto</w:t>
      </w:r>
    </w:p>
    <w:p>
      <w:pPr>
        <w:ind w:left="288"/>
      </w:pPr>
      <w:r>
        <w:rPr>
          <w:color w:val="1E1E1E"/>
          <w:sz w:val="18"/>
        </w:rPr>
        <w:t>= RE 509.984 AgR, rel. min. Ayres Britto, j. 28-2-2012, 2ª T, DJE de 30-3-2012</w:t>
      </w:r>
    </w:p>
    <w:p>
      <w:pPr>
        <w:ind w:left="144"/>
      </w:pPr>
      <w:r>
        <w:rPr>
          <w:b/>
          <w:color w:val="B45A00"/>
          <w:sz w:val="16"/>
        </w:rPr>
        <w:t>REPERCUSSAO GERAL</w:t>
      </w:r>
    </w:p>
    <w:p>
      <w:pPr>
        <w:ind w:left="288"/>
      </w:pPr>
      <w:r>
        <w:rPr>
          <w:color w:val="8C8C8C"/>
          <w:sz w:val="12"/>
        </w:rPr>
        <w:t>cf-art-160-par-1-inc-I</w:t>
      </w:r>
      <w:r>
        <w:rPr>
          <w:color w:val="003CA0"/>
          <w:sz w:val="12"/>
        </w:rPr>
        <w:t xml:space="preserve"> | RE 1.067.086</w:t>
      </w:r>
      <w:r>
        <w:rPr>
          <w:color w:val="003CA0"/>
          <w:sz w:val="12"/>
        </w:rPr>
        <w:t xml:space="preserve"> | rel. Rosa Weber</w:t>
      </w:r>
    </w:p>
    <w:p>
      <w:pPr>
        <w:ind w:left="288"/>
      </w:pPr>
      <w:r>
        <w:rPr>
          <w:color w:val="1E1E1E"/>
          <w:sz w:val="18"/>
        </w:rPr>
        <w:t>A inscrição de entes federados em cadastro de inadimplentes (ou outro que dê causa à negativa de realização de convênios, acordos, ajustes ou outros instrumentos congêneres que impliquem transferência voluntária de recursos), pressupõe o respeito aos princípios do contraditório, da ampla defesa e do devido processo legal, somente reconhecido: a) após o julgamento de tomada de contas especial ou procedimento análogo perante o Tribunal de Contas, nos casos de descumprimento parcial ou total de convênio, prestação de contas rejeitada, ou existência de débito decorrente de ressarcimento de recurso</w:t>
      </w:r>
    </w:p>
    <w:p>
      <w:pPr>
        <w:ind w:left="288"/>
      </w:pPr>
      <w:r>
        <w:rPr>
          <w:b/>
          <w:color w:val="003CA0"/>
          <w:sz w:val="16"/>
        </w:rPr>
        <w:t>[ACO 3.700 MC-REF, rel. min. Flávio Dino, j. 17.02.2025, P, DJE de 24.02.2025.]</w:t>
      </w:r>
    </w:p>
    <w:p>
      <w:pPr>
        <w:ind w:left="144"/>
      </w:pPr>
      <w:r>
        <w:rPr>
          <w:b/>
          <w:color w:val="B45A00"/>
          <w:sz w:val="16"/>
        </w:rPr>
        <w:t>JULGADOS CORRELATOS</w:t>
      </w:r>
    </w:p>
    <w:p>
      <w:pPr>
        <w:ind w:left="288"/>
      </w:pPr>
      <w:r>
        <w:rPr>
          <w:color w:val="8C8C8C"/>
          <w:sz w:val="12"/>
        </w:rPr>
        <w:t>cf-art-160-par-1-inc-I</w:t>
      </w:r>
      <w:r>
        <w:rPr>
          <w:color w:val="003CA0"/>
          <w:sz w:val="12"/>
        </w:rPr>
        <w:t xml:space="preserve"> | RE 1.373.653</w:t>
      </w:r>
      <w:r>
        <w:rPr>
          <w:color w:val="003CA0"/>
          <w:sz w:val="12"/>
        </w:rPr>
        <w:t xml:space="preserve"> | rel. Cármen Lúcia</w:t>
      </w:r>
    </w:p>
    <w:p>
      <w:pPr>
        <w:ind w:left="288"/>
      </w:pPr>
      <w:r>
        <w:rPr>
          <w:color w:val="1E1E1E"/>
          <w:sz w:val="18"/>
        </w:rPr>
        <w:t xml:space="preserve">O texto constitucional, ao tratar da participação dos municípios no produto da arrecadação do ICMS, referiu-se à arrecadação efetiva, cuja apuração compete ao próprio estado-membro. Nessa toada, podem ser realizadas certas deduções da arrecadação bruta, como restituições, retificações e compensações, se existirem. É à luz da arrecadação efetiva que se chega aos montantes a serem entregues aos municípios a título de participação. Esse procedimento faz parte da própria apuração do produto da efetiva arrecadação do ICMS, estando intimamente conectada com a autoadministração do estado-membro, não </w:t>
      </w:r>
    </w:p>
    <w:p>
      <w:pPr>
        <w:ind w:left="288"/>
      </w:pPr>
      <w:r>
        <w:rPr>
          <w:b/>
          <w:color w:val="003CA0"/>
          <w:sz w:val="16"/>
        </w:rPr>
        <w:t>[RE 1.373.653 AgR, rel. min. Cármen Lúcia, red. do ac. min. Dias Toffoli, j. 14-9-2022, 1ª T, DJE de 3-10-2022.]</w:t>
      </w:r>
    </w:p>
    <w:p>
      <w:pPr>
        <w:ind w:left="288"/>
      </w:pPr>
      <w:r>
        <w:rPr>
          <w:color w:val="8C8C8C"/>
          <w:sz w:val="12"/>
        </w:rPr>
        <w:t>cf-art-160-par-1-inc-I</w:t>
      </w:r>
      <w:r>
        <w:rPr>
          <w:color w:val="003CA0"/>
          <w:sz w:val="12"/>
        </w:rPr>
        <w:t xml:space="preserve"> | RE 396.989</w:t>
      </w:r>
      <w:r>
        <w:rPr>
          <w:color w:val="003CA0"/>
          <w:sz w:val="12"/>
        </w:rPr>
        <w:t xml:space="preserve"> | rel. Marco Aurélio</w:t>
      </w:r>
    </w:p>
    <w:p>
      <w:pPr>
        <w:ind w:left="288"/>
      </w:pPr>
      <w:r>
        <w:rPr>
          <w:color w:val="1E1E1E"/>
          <w:sz w:val="18"/>
        </w:rPr>
        <w:t>Contraria a essência do direito público a representação do Município por pessoa jurídica de direito privado. (...) Discrepa, a mais não poder, da Lei Fundamental a retenção e a compensação de verbas municipais com débito de energia elétrica perante a sociedade de economia mista.</w:t>
        <w:br/>
        <w:t>[RE 396.989, rel. min. Marco Aurélio, j. 4-10-2005, 1ª T, DJ de 3-3-2006.]</w:t>
      </w:r>
    </w:p>
    <w:p>
      <w:pPr>
        <w:ind w:left="432"/>
      </w:pPr>
      <w:r>
        <w:rPr>
          <w:color w:val="003366"/>
          <w:sz w:val="18"/>
        </w:rPr>
        <w:t>§ 1 A vedação prevista neste artigo não impede a União e os Estados de condicion</w:t>
      </w:r>
    </w:p>
    <w:p>
      <w:pPr>
        <w:ind w:left="432"/>
      </w:pPr>
      <w:r>
        <w:rPr>
          <w:color w:val="003366"/>
          <w:sz w:val="18"/>
        </w:rPr>
        <w:t>§ 2 Os contratos, os acordos, os ajustes, os convênios, os parcelamentos ou as r</w:t>
      </w:r>
    </w:p>
    <w:p>
      <w:r>
        <w:rPr>
          <w:b/>
          <w:color w:val="003366"/>
          <w:sz w:val="20"/>
        </w:rPr>
        <w:t>Art. 161 Cabe à lei complementar:</w:t>
      </w:r>
      <w:r>
        <w:rPr>
          <w:color w:val="8C8C8C"/>
          <w:sz w:val="14"/>
        </w:rPr>
        <w:t xml:space="preserve">  [8 decisoes]</w:t>
      </w:r>
    </w:p>
    <w:p>
      <w:pPr>
        <w:ind w:left="288"/>
      </w:pPr>
      <w:r>
        <w:rPr>
          <w:color w:val="8C8C8C"/>
          <w:sz w:val="12"/>
        </w:rPr>
        <w:t>cf-art-161-inc-I</w:t>
      </w:r>
    </w:p>
    <w:p>
      <w:pPr>
        <w:ind w:left="288"/>
      </w:pPr>
      <w:r>
        <w:rPr>
          <w:color w:val="1E1E1E"/>
          <w:sz w:val="18"/>
        </w:rPr>
        <w:t>II - estabelecer normas sobre a entrega dos recursos de que trata o art. 159, especialmente sobre os critérios de rateio dos fundos previstos em seu inciso I, objetivando promover o equilíbrio sócioeconômico entre Estados e entre Municípios;</w:t>
      </w:r>
    </w:p>
    <w:p>
      <w:pPr>
        <w:ind w:left="144"/>
      </w:pPr>
      <w:r>
        <w:rPr>
          <w:b/>
          <w:color w:val="B45A00"/>
          <w:sz w:val="16"/>
        </w:rPr>
        <w:t>CONTROLE CONCENTRADO</w:t>
      </w:r>
    </w:p>
    <w:p>
      <w:pPr>
        <w:ind w:left="288"/>
      </w:pPr>
      <w:r>
        <w:rPr>
          <w:color w:val="8C8C8C"/>
          <w:sz w:val="12"/>
        </w:rPr>
        <w:t>cf-art-161-inc-I</w:t>
      </w:r>
      <w:r>
        <w:rPr>
          <w:color w:val="003CA0"/>
          <w:sz w:val="12"/>
        </w:rPr>
        <w:t xml:space="preserve"> | ADI 5.069</w:t>
      </w:r>
      <w:r>
        <w:rPr>
          <w:color w:val="003CA0"/>
          <w:sz w:val="12"/>
        </w:rPr>
        <w:t xml:space="preserve"> | rel. Cármen Lúcia</w:t>
      </w:r>
    </w:p>
    <w:p>
      <w:pPr>
        <w:ind w:left="288"/>
      </w:pPr>
      <w:r>
        <w:rPr>
          <w:color w:val="1E1E1E"/>
          <w:sz w:val="18"/>
        </w:rPr>
        <w:t>Ao alterar os critérios de rateio instituídos pela Lei Complementar n. 62/1989 com a edição da Lei Complementar nacional n. 143/2013, o legislador estabeleceu transição desarrazoadamente alargada entre a metodologia de rateio originária, cuja inconstitucionalidade foi reconhecida por este Supremo Tribunal, e a nova sistemática instituída pela Lei de 2013, com aptidão de realizar a justa distribuição dos recursos para dar cumprimento à principal finalidade do Fundo: redução das desigualdades regionais. É inadmissível constitucionalmente a manutenção dissimulada de sistemática de rateio cuja inc</w:t>
      </w:r>
    </w:p>
    <w:p>
      <w:pPr>
        <w:ind w:left="288"/>
      </w:pPr>
      <w:r>
        <w:rPr>
          <w:color w:val="8C8C8C"/>
          <w:sz w:val="12"/>
        </w:rPr>
        <w:t>cf-art-161-par-unico</w:t>
      </w:r>
      <w:r>
        <w:rPr>
          <w:color w:val="003CA0"/>
          <w:sz w:val="12"/>
        </w:rPr>
        <w:t xml:space="preserve"> | ADI 825</w:t>
      </w:r>
      <w:r>
        <w:rPr>
          <w:color w:val="003CA0"/>
          <w:sz w:val="12"/>
        </w:rPr>
        <w:t xml:space="preserve"> | rel. Alexandre de Moraes</w:t>
      </w:r>
    </w:p>
    <w:p>
      <w:pPr>
        <w:ind w:left="288"/>
      </w:pPr>
      <w:r>
        <w:rPr>
          <w:color w:val="1E1E1E"/>
          <w:sz w:val="18"/>
        </w:rPr>
        <w:t>É inconstitucional a atribuição, aos Tribunais de Contas estaduais, de competência para homologação dos cálculos das cotas do ICMS devidas aos Municípios, por violação ao princípio da separação dos Poderes (art. 2º da CF), afastada a alegação de simetria com o modelo federal (arts. 75 e 161, parágrafo único, da CF).</w:t>
      </w:r>
    </w:p>
    <w:p>
      <w:pPr>
        <w:ind w:left="288"/>
      </w:pPr>
      <w:r>
        <w:rPr>
          <w:b/>
          <w:color w:val="003CA0"/>
          <w:sz w:val="16"/>
        </w:rPr>
        <w:t>[ADI 825, rel. min. Alexandre de Moraes, j. 25-10-2018, P, DJE de 27-6-2019.]</w:t>
      </w:r>
    </w:p>
    <w:p>
      <w:pPr>
        <w:ind w:left="144"/>
      </w:pPr>
      <w:r>
        <w:rPr>
          <w:b/>
          <w:color w:val="B45A00"/>
          <w:sz w:val="16"/>
        </w:rPr>
        <w:t>JULGADOS CORRELATOS</w:t>
      </w:r>
    </w:p>
    <w:p>
      <w:pPr>
        <w:ind w:left="288"/>
      </w:pPr>
      <w:r>
        <w:rPr>
          <w:color w:val="8C8C8C"/>
          <w:sz w:val="12"/>
        </w:rPr>
        <w:t>cf-art-161-par-unico</w:t>
      </w:r>
      <w:r>
        <w:rPr>
          <w:color w:val="003CA0"/>
          <w:sz w:val="12"/>
        </w:rPr>
        <w:t xml:space="preserve"> | MS 27.224</w:t>
      </w:r>
      <w:r>
        <w:rPr>
          <w:color w:val="003CA0"/>
          <w:sz w:val="12"/>
        </w:rPr>
        <w:t xml:space="preserve"> | rel. Eros Grau</w:t>
      </w:r>
    </w:p>
    <w:p>
      <w:pPr>
        <w:ind w:left="288"/>
      </w:pPr>
      <w:r>
        <w:rPr>
          <w:color w:val="1E1E1E"/>
          <w:sz w:val="18"/>
        </w:rPr>
        <w:t>O TCU está adstrito aos dados fornecidos pelo IBGE para a elaboração dos coeficientes do FPM [Fundo de Participação dos Municípios]. A desconstituição do acórdão prolatado pela Corte de Contas pressupõe a anulação – administrativa ou judicial – da estimativa populacional. Não há preceito legal que determine ao TCU, após o recebimento das estimativas demográficas, a oitiva prévia dos Municípios. A impugnação aos dados populacionais deve ser apresentada diretamente ao IBGE, nos termos do disposto no art. 102, § 1º, da Lei 8.443/1992.</w:t>
      </w:r>
    </w:p>
    <w:p>
      <w:pPr>
        <w:ind w:left="288"/>
      </w:pPr>
      <w:r>
        <w:rPr>
          <w:b/>
          <w:color w:val="003CA0"/>
          <w:sz w:val="16"/>
        </w:rPr>
        <w:t>[MS 27.224 AgR, rel. min. Eros Grau, j. 20-8-2009, P, DJE de 25-9-2009.]</w:t>
      </w:r>
    </w:p>
    <w:p>
      <w:pPr>
        <w:ind w:left="288"/>
      </w:pPr>
      <w:r>
        <w:rPr>
          <w:color w:val="8C8C8C"/>
          <w:sz w:val="12"/>
        </w:rPr>
        <w:t>cf-art-161-par-unico</w:t>
      </w:r>
      <w:r>
        <w:rPr>
          <w:color w:val="003CA0"/>
          <w:sz w:val="12"/>
        </w:rPr>
        <w:t xml:space="preserve"> | MS 26.471</w:t>
      </w:r>
      <w:r>
        <w:rPr>
          <w:color w:val="003CA0"/>
          <w:sz w:val="12"/>
        </w:rPr>
        <w:t xml:space="preserve"> | rel. Ricardo Lewandowski</w:t>
      </w:r>
    </w:p>
    <w:p>
      <w:pPr>
        <w:ind w:left="288"/>
      </w:pPr>
      <w:r>
        <w:rPr>
          <w:color w:val="1E1E1E"/>
          <w:sz w:val="18"/>
        </w:rPr>
        <w:t>Vide MS 26.471 AgR e MS 26.491 AgR, rel. min. Ricardo Lewandowski, j. 25-6-2008, P, DJE de 8-8-2008 Vide MS 26.469, rel. min. Eros Grau, j. 22-11-2007, P, DJE de 28-3-2008 Vide MS 27.224 AgR, rel. min. Eros Grau, j. 20-8-2009, P, DJE de 25-9-2009 Fundo de Participação dos Municípios. Distribuição de recursos segundo critérios demográficos. Art. 161, II e parágrafo único, da Constituição. LC 91/1997 e 106/2001. Sistemática que reduziu o impacto inicial sobre os Municípios sujeitos ao fator redutor de ordem demográfica, compensando-se as diferenças nos repasses dos exercícios seguintes. Inexistê</w:t>
      </w:r>
    </w:p>
    <w:p>
      <w:pPr>
        <w:ind w:left="288"/>
      </w:pPr>
      <w:r>
        <w:rPr>
          <w:b/>
          <w:color w:val="003CA0"/>
          <w:sz w:val="16"/>
        </w:rPr>
        <w:t>[MS 26.469, rel. min. Eros Grau, j. 22-11-2007, P, DJE de 28-3-2008.]</w:t>
      </w:r>
    </w:p>
    <w:p>
      <w:pPr>
        <w:ind w:left="288"/>
      </w:pPr>
      <w:r>
        <w:rPr>
          <w:color w:val="8C8C8C"/>
          <w:sz w:val="12"/>
        </w:rPr>
        <w:t>cf-art-161-par-unico</w:t>
      </w:r>
      <w:r>
        <w:rPr>
          <w:color w:val="003CA0"/>
          <w:sz w:val="12"/>
        </w:rPr>
        <w:t xml:space="preserve"> | MS 26.471</w:t>
      </w:r>
      <w:r>
        <w:rPr>
          <w:color w:val="003CA0"/>
          <w:sz w:val="12"/>
        </w:rPr>
        <w:t xml:space="preserve"> | rel. Ricardo Lewandowski</w:t>
      </w:r>
    </w:p>
    <w:p>
      <w:pPr>
        <w:ind w:left="288"/>
      </w:pPr>
      <w:r>
        <w:rPr>
          <w:color w:val="1E1E1E"/>
          <w:sz w:val="18"/>
        </w:rPr>
        <w:t>= MS 26.471 AgR e MS 26.491 AgR, rel. min. Ricardo Lewandowski, j. 25-6-2008, P, DJE de 8-8-2008 Vide MS 27.224 AgR, rel. min. Eros Grau, j. 20-8-2009, P, DJE de 25-9-2009 Vide MS 26.236 AgR, rel. min. Joaquim Barbosa, j. 1º-7-2009, P, DJE de 21-8-2009 Vide MS 26.464, rel. min. Cármen Lúcia, j. 7-4-2008, P, DJE de 16-5-2008 A Carta Federal delegou à lei complementar o estabelecimento de normas sobre a entrega dos recursos referidos no art. 159 e sobre os critérios de rateio dos fundos previstos no seu inciso I. Competência do TCU para efetuar cálculo das quotas referentes a esses fundos. Não s</w:t>
      </w:r>
    </w:p>
    <w:p>
      <w:pPr>
        <w:ind w:left="288"/>
      </w:pPr>
      <w:r>
        <w:rPr>
          <w:b/>
          <w:color w:val="003CA0"/>
          <w:sz w:val="16"/>
        </w:rPr>
        <w:t>[MS 24.014, rel. min. Néri da Silveira, j. 22-4-2005, P, DJ de 14-6-2002.]</w:t>
      </w:r>
    </w:p>
    <w:p>
      <w:pPr>
        <w:ind w:left="288"/>
      </w:pPr>
      <w:r>
        <w:rPr>
          <w:color w:val="8C8C8C"/>
          <w:sz w:val="12"/>
        </w:rPr>
        <w:t>cf-art-161-par-unico</w:t>
      </w:r>
      <w:r>
        <w:rPr>
          <w:color w:val="003CA0"/>
          <w:sz w:val="12"/>
        </w:rPr>
        <w:t xml:space="preserve"> | MS 24.098</w:t>
      </w:r>
      <w:r>
        <w:rPr>
          <w:color w:val="003CA0"/>
          <w:sz w:val="12"/>
        </w:rPr>
        <w:t xml:space="preserve"> | rel. Cezar Peluso</w:t>
      </w:r>
    </w:p>
    <w:p>
      <w:pPr>
        <w:ind w:left="288"/>
      </w:pPr>
      <w:r>
        <w:rPr>
          <w:color w:val="1E1E1E"/>
          <w:sz w:val="18"/>
        </w:rPr>
        <w:t>Não se admite mandado de segurança, impetrado por Município, contra o TCU, para impugnar estimativa populacional que, elaborada pelo IBGE, serviu de base para fixação ou alteração da quota referente ao Fundo de Participação dos Municípios.</w:t>
      </w:r>
    </w:p>
    <w:p>
      <w:pPr>
        <w:ind w:left="288"/>
      </w:pPr>
      <w:r>
        <w:rPr>
          <w:b/>
          <w:color w:val="003CA0"/>
          <w:sz w:val="16"/>
        </w:rPr>
        <w:t>[MS 24.098, rel. min. Cezar Peluso, j. 24-4-2004, P, DJ de 29-4-2004.]</w:t>
      </w:r>
    </w:p>
    <w:p>
      <w:pPr>
        <w:ind w:left="288"/>
      </w:pPr>
      <w:r>
        <w:rPr>
          <w:color w:val="8C8C8C"/>
          <w:sz w:val="12"/>
        </w:rPr>
        <w:t>cf-art-161-par-unico</w:t>
      </w:r>
      <w:r>
        <w:rPr>
          <w:color w:val="003CA0"/>
          <w:sz w:val="12"/>
        </w:rPr>
        <w:t xml:space="preserve"> | MS 23.632</w:t>
      </w:r>
      <w:r>
        <w:rPr>
          <w:color w:val="003CA0"/>
          <w:sz w:val="12"/>
        </w:rPr>
        <w:t xml:space="preserve"> | rel. Ayres Britto</w:t>
      </w:r>
    </w:p>
    <w:p>
      <w:pPr>
        <w:ind w:left="288"/>
      </w:pPr>
      <w:r>
        <w:rPr>
          <w:color w:val="1E1E1E"/>
          <w:sz w:val="18"/>
        </w:rPr>
        <w:t>= MS 23.632, rel. min. Ayres Britto, j. 18-9-2008, P, DJE de 14-11-2008</w:t>
      </w:r>
    </w:p>
    <w:p>
      <w:pPr>
        <w:ind w:left="720"/>
      </w:pPr>
      <w:r>
        <w:rPr>
          <w:color w:val="003366"/>
          <w:sz w:val="18"/>
        </w:rPr>
        <w:t>I – definir valor adicionado para fins do disposto no art. 158, § 1º, I; (Redaçã</w:t>
      </w:r>
    </w:p>
    <w:p>
      <w:pPr>
        <w:ind w:left="720"/>
      </w:pPr>
      <w:r>
        <w:rPr>
          <w:color w:val="003366"/>
          <w:sz w:val="18"/>
        </w:rPr>
        <w:t>II – estabelecer normas sobre a entrega dos recursos de que trata o art. 159, es</w:t>
      </w:r>
    </w:p>
    <w:p>
      <w:pPr>
        <w:ind w:left="720"/>
      </w:pPr>
      <w:r>
        <w:rPr>
          <w:color w:val="003366"/>
          <w:sz w:val="18"/>
        </w:rPr>
        <w:t xml:space="preserve">III – dispor sobre o acompanhamento, pelos beneficiários, do cálculo das quotas </w:t>
      </w:r>
    </w:p>
    <w:p>
      <w:r>
        <w:rPr>
          <w:b/>
          <w:color w:val="003366"/>
          <w:sz w:val="20"/>
        </w:rPr>
        <w:t>Art. 162 A União, os Estados, o Distrito Federal e os Municípios divulgarão, até</w:t>
      </w:r>
      <w:r>
        <w:rPr>
          <w:color w:val="8C8C8C"/>
          <w:sz w:val="14"/>
        </w:rPr>
        <w:t xml:space="preserve">  [1 decisoes]</w:t>
      </w:r>
    </w:p>
    <w:p>
      <w:pPr>
        <w:ind w:left="288"/>
      </w:pPr>
      <w:r>
        <w:rPr>
          <w:color w:val="8C8C8C"/>
          <w:sz w:val="12"/>
        </w:rPr>
        <w:t>cf-art-162-par-unico</w:t>
      </w:r>
    </w:p>
    <w:p>
      <w:pPr>
        <w:ind w:left="288"/>
      </w:pPr>
      <w:r>
        <w:rPr>
          <w:color w:val="1E1E1E"/>
          <w:sz w:val="18"/>
        </w:rPr>
        <w:t>CAPÍTULO II Das Finanças Públicas SUMÁRIO Seção I Normas Gerais SUMÁRIO</w:t>
      </w:r>
    </w:p>
    <w:p>
      <w:pPr>
        <w:pStyle w:val="Heading2"/>
      </w:pPr>
      <w:r>
        <w:rPr>
          <w:color w:val="003366"/>
        </w:rPr>
        <w:t>CAPÍTULO II - DAS FINANÇAS PÚBLICAS</w:t>
      </w:r>
    </w:p>
    <w:p>
      <w:pPr>
        <w:pStyle w:val="Heading3"/>
      </w:pPr>
      <w:r>
        <w:rPr>
          <w:color w:val="003366"/>
        </w:rPr>
        <w:t>Seção I - NORMAS GERAIS</w:t>
      </w:r>
    </w:p>
    <w:p>
      <w:r>
        <w:rPr>
          <w:b/>
          <w:color w:val="003366"/>
          <w:sz w:val="20"/>
        </w:rPr>
        <w:t>Art. 163 Lei complementar disporá sobre:</w:t>
      </w:r>
      <w:r>
        <w:rPr>
          <w:color w:val="8C8C8C"/>
          <w:sz w:val="14"/>
        </w:rPr>
        <w:t xml:space="preserve">  [3 decisoes]</w:t>
      </w:r>
    </w:p>
    <w:p>
      <w:pPr>
        <w:ind w:left="144"/>
      </w:pPr>
      <w:r>
        <w:rPr>
          <w:b/>
          <w:color w:val="B45A00"/>
          <w:sz w:val="16"/>
        </w:rPr>
        <w:t>CONTROLE CONCENTRADO</w:t>
      </w:r>
    </w:p>
    <w:p>
      <w:pPr>
        <w:ind w:left="288"/>
      </w:pPr>
      <w:r>
        <w:rPr>
          <w:color w:val="8C8C8C"/>
          <w:sz w:val="12"/>
        </w:rPr>
        <w:t>cf-art-163</w:t>
      </w:r>
      <w:r>
        <w:rPr>
          <w:color w:val="003CA0"/>
          <w:sz w:val="12"/>
        </w:rPr>
        <w:t xml:space="preserve"> | ADI 2.238</w:t>
      </w:r>
      <w:r>
        <w:rPr>
          <w:color w:val="003CA0"/>
          <w:sz w:val="12"/>
        </w:rPr>
        <w:t xml:space="preserve"> | rel. Alexandre de Moraes</w:t>
      </w:r>
    </w:p>
    <w:p>
      <w:pPr>
        <w:ind w:left="288"/>
      </w:pPr>
      <w:r>
        <w:rPr>
          <w:color w:val="1E1E1E"/>
          <w:sz w:val="18"/>
        </w:rPr>
        <w:t>O fato de ter se referido à lei complementar no singular, e não no plural não significa que todas as matérias referidas nos incisos do art. 163 devessem ser disciplinadas por um mesmo diploma legislativo, mas sim a imposição constitucional de uma espécie normativa específica para regulamentar as matérias previstas nesse artigo. A exigência constitucional em estatuir que a regulamentação das matérias compreendidas em finanças públicas há de fazer-se necessariamente pela espécie normativa “lei complementar” foi observada pelo Congresso Nacional, tendo, portanto, sido respeitada a reserva legal a</w:t>
      </w:r>
    </w:p>
    <w:p>
      <w:pPr>
        <w:ind w:left="288"/>
      </w:pPr>
      <w:r>
        <w:rPr>
          <w:b/>
          <w:color w:val="003CA0"/>
          <w:sz w:val="16"/>
        </w:rPr>
        <w:t>[ADI 2.238, voto do rel. min. Alexandre de Moraes, j. 24-6-2020, P, DJE de 15-9-2020.]</w:t>
      </w:r>
    </w:p>
    <w:p>
      <w:pPr>
        <w:ind w:left="288"/>
      </w:pPr>
      <w:r>
        <w:rPr>
          <w:color w:val="8C8C8C"/>
          <w:sz w:val="12"/>
        </w:rPr>
        <w:t>cf-art-163-inc-I</w:t>
      </w:r>
      <w:r>
        <w:rPr>
          <w:color w:val="003CA0"/>
          <w:sz w:val="12"/>
        </w:rPr>
        <w:t xml:space="preserve"> | ADI 2.261</w:t>
      </w:r>
      <w:r>
        <w:rPr>
          <w:color w:val="003CA0"/>
          <w:sz w:val="12"/>
        </w:rPr>
        <w:t xml:space="preserve"> | rel. Alexandre de Moraes</w:t>
      </w:r>
    </w:p>
    <w:p>
      <w:pPr>
        <w:ind w:left="288"/>
      </w:pPr>
      <w:r>
        <w:rPr>
          <w:color w:val="1E1E1E"/>
          <w:sz w:val="18"/>
        </w:rPr>
        <w:t>Embora imponham a observância do regime de legislação complementar para a elaboração de lei geral em matéria de Finanças Públicas, os arts. 163 da CF e 30 da EC 19/98 não estipulam que essa normatização deva ser formalizada necessariamente em uma lei única.</w:t>
      </w:r>
    </w:p>
    <w:p>
      <w:pPr>
        <w:ind w:left="288"/>
      </w:pPr>
      <w:r>
        <w:rPr>
          <w:b/>
          <w:color w:val="003CA0"/>
          <w:sz w:val="16"/>
        </w:rPr>
        <w:t>[ADI 2.261, rel. min. Alexandre de Moraes, j. 21-8-2019, P, DJE de 28-8-2020.]</w:t>
      </w:r>
    </w:p>
    <w:p>
      <w:pPr>
        <w:ind w:left="288"/>
      </w:pPr>
      <w:r>
        <w:rPr>
          <w:color w:val="8C8C8C"/>
          <w:sz w:val="12"/>
        </w:rPr>
        <w:t>cf-art-163-inc-II</w:t>
      </w:r>
      <w:r>
        <w:rPr>
          <w:color w:val="003CA0"/>
          <w:sz w:val="12"/>
        </w:rPr>
        <w:t xml:space="preserve"> | ADI 686</w:t>
      </w:r>
      <w:r>
        <w:rPr>
          <w:color w:val="003CA0"/>
          <w:sz w:val="12"/>
        </w:rPr>
        <w:t xml:space="preserve"> | rel. Ilmar Galvão</w:t>
      </w:r>
    </w:p>
    <w:p>
      <w:pPr>
        <w:ind w:left="288"/>
      </w:pPr>
      <w:r>
        <w:rPr>
          <w:color w:val="1E1E1E"/>
          <w:sz w:val="18"/>
        </w:rPr>
        <w:t xml:space="preserve">Ação direta de inconstitucionalidade. Lei 8.388/1991, que estabelece diretrizes para que a União possa realizar a consolidação e o reescalonamento de dívidas das administrações direta e indireta dos entes federados. Alegada ofensa aos arts. 52, VI a IX, e 163 da CF. Ausência de plausibilidade do fundamento do pedido declaratório, tendo em vista que se trata de lei que cogita da consolidação e do reescalonamento de dívidas dos Estados e Municípios junto a órgãos e entidades controladas pela União, isto é, débitos já existentes, e não de contratações que resultem em aumento da dívida pública de </w:t>
      </w:r>
    </w:p>
    <w:p>
      <w:pPr>
        <w:ind w:left="288"/>
      </w:pPr>
      <w:r>
        <w:rPr>
          <w:b/>
          <w:color w:val="003CA0"/>
          <w:sz w:val="16"/>
        </w:rPr>
        <w:t>[ADI 686 MC, rel. min. Ilmar Galvão, j. 26-3-1992, P, DJ de 6-4-2001.]</w:t>
      </w:r>
    </w:p>
    <w:p>
      <w:pPr>
        <w:ind w:left="720"/>
      </w:pPr>
      <w:r>
        <w:rPr>
          <w:color w:val="003366"/>
          <w:sz w:val="18"/>
        </w:rPr>
        <w:t>I – finanças públicas;</w:t>
      </w:r>
    </w:p>
    <w:p>
      <w:pPr>
        <w:ind w:left="720"/>
      </w:pPr>
      <w:r>
        <w:rPr>
          <w:color w:val="003366"/>
          <w:sz w:val="18"/>
        </w:rPr>
        <w:t>II – dívida pública externa e interna, incluída a das autarquias, fundações e de</w:t>
      </w:r>
    </w:p>
    <w:p>
      <w:pPr>
        <w:ind w:left="720"/>
      </w:pPr>
      <w:r>
        <w:rPr>
          <w:color w:val="003366"/>
          <w:sz w:val="18"/>
        </w:rPr>
        <w:t>III – concessão de garantias pelas entidades públicas;</w:t>
      </w:r>
    </w:p>
    <w:p>
      <w:pPr>
        <w:ind w:left="720"/>
      </w:pPr>
      <w:r>
        <w:rPr>
          <w:color w:val="003366"/>
          <w:sz w:val="18"/>
        </w:rPr>
        <w:t>IV – emissão e resgate de títulos da dívida pública;</w:t>
      </w:r>
    </w:p>
    <w:p>
      <w:pPr>
        <w:ind w:left="720"/>
      </w:pPr>
      <w:r>
        <w:rPr>
          <w:color w:val="003366"/>
          <w:sz w:val="18"/>
        </w:rPr>
        <w:t>V – fiscalização financeira da administração pública direta e indireta; (Redação</w:t>
      </w:r>
    </w:p>
    <w:p>
      <w:pPr>
        <w:ind w:left="720"/>
      </w:pPr>
      <w:r>
        <w:rPr>
          <w:color w:val="003366"/>
          <w:sz w:val="18"/>
        </w:rPr>
        <w:t>VI – operações de câmbio realizadas por órgãos e entidades da União, dos Estados</w:t>
      </w:r>
    </w:p>
    <w:p>
      <w:pPr>
        <w:ind w:left="720"/>
      </w:pPr>
      <w:r>
        <w:rPr>
          <w:color w:val="003366"/>
          <w:sz w:val="18"/>
        </w:rPr>
        <w:t>VII – compatibilização das funções das instituições oficiais de crédito da União</w:t>
      </w:r>
    </w:p>
    <w:p>
      <w:pPr>
        <w:ind w:left="720"/>
      </w:pPr>
      <w:r>
        <w:rPr>
          <w:color w:val="003366"/>
          <w:sz w:val="18"/>
        </w:rPr>
        <w:t>VIII – sustentabilidade da dívida, especificando: (Incluído pela Emenda Constitu</w:t>
      </w:r>
    </w:p>
    <w:p>
      <w:pPr>
        <w:ind w:left="1008"/>
      </w:pPr>
      <w:r>
        <w:rPr>
          <w:color w:val="003366"/>
          <w:sz w:val="18"/>
        </w:rPr>
        <w:t xml:space="preserve">a) indicadores de sua apuração; (Incluído pela Emenda Constitucional nº 109, de </w:t>
      </w:r>
    </w:p>
    <w:p>
      <w:pPr>
        <w:ind w:left="1008"/>
      </w:pPr>
      <w:r>
        <w:rPr>
          <w:color w:val="003366"/>
          <w:sz w:val="18"/>
        </w:rPr>
        <w:t xml:space="preserve">b) níveis de compatibilidade dos resultados fiscais com a trajetória da dívida; </w:t>
      </w:r>
    </w:p>
    <w:p>
      <w:pPr>
        <w:ind w:left="1008"/>
      </w:pPr>
      <w:r>
        <w:rPr>
          <w:color w:val="003366"/>
          <w:sz w:val="18"/>
        </w:rPr>
        <w:t xml:space="preserve">c) trajetória de convergência do montante da dívida com os limites definidos em </w:t>
      </w:r>
    </w:p>
    <w:p>
      <w:pPr>
        <w:ind w:left="1008"/>
      </w:pPr>
      <w:r>
        <w:rPr>
          <w:color w:val="003366"/>
          <w:sz w:val="18"/>
        </w:rPr>
        <w:t>d) medidas de ajuste, suspensões e vedações; (Incluído pela Emenda Constituciona</w:t>
      </w:r>
    </w:p>
    <w:p>
      <w:pPr>
        <w:ind w:left="1008"/>
      </w:pPr>
      <w:r>
        <w:rPr>
          <w:color w:val="003366"/>
          <w:sz w:val="18"/>
        </w:rPr>
        <w:t>e) planejamento de alienação de ativos com vistas à redução do montante da dívid</w:t>
      </w:r>
    </w:p>
    <w:p>
      <w:pPr>
        <w:ind w:left="720"/>
      </w:pPr>
      <w:r>
        <w:rPr>
          <w:color w:val="003366"/>
          <w:sz w:val="18"/>
        </w:rPr>
        <w:t>IX – condições e limites para concessão, ampliação ou prorrogação de incentivo o</w:t>
      </w:r>
    </w:p>
    <w:p>
      <w:r>
        <w:rPr>
          <w:b/>
          <w:color w:val="003366"/>
          <w:sz w:val="20"/>
        </w:rPr>
        <w:t>Art. 163 A. A União, os Estados, o Distrito Federal e os Municípios disponibiliz</w:t>
      </w:r>
      <w:r>
        <w:rPr>
          <w:color w:val="8C8C8C"/>
          <w:sz w:val="14"/>
        </w:rPr>
        <w:t xml:space="preserve">  [3 decisoes]</w:t>
      </w:r>
    </w:p>
    <w:p>
      <w:pPr>
        <w:ind w:left="144"/>
      </w:pPr>
      <w:r>
        <w:rPr>
          <w:b/>
          <w:color w:val="B45A00"/>
          <w:sz w:val="16"/>
        </w:rPr>
        <w:t>CONTROLE CONCENTRADO</w:t>
      </w:r>
    </w:p>
    <w:p>
      <w:pPr>
        <w:ind w:left="288"/>
      </w:pPr>
      <w:r>
        <w:rPr>
          <w:color w:val="8C8C8C"/>
          <w:sz w:val="12"/>
        </w:rPr>
        <w:t>cf-art-163</w:t>
      </w:r>
      <w:r>
        <w:rPr>
          <w:color w:val="003CA0"/>
          <w:sz w:val="12"/>
        </w:rPr>
        <w:t xml:space="preserve"> | ADI 2.238</w:t>
      </w:r>
      <w:r>
        <w:rPr>
          <w:color w:val="003CA0"/>
          <w:sz w:val="12"/>
        </w:rPr>
        <w:t xml:space="preserve"> | rel. Alexandre de Moraes</w:t>
      </w:r>
    </w:p>
    <w:p>
      <w:pPr>
        <w:ind w:left="288"/>
      </w:pPr>
      <w:r>
        <w:rPr>
          <w:color w:val="1E1E1E"/>
          <w:sz w:val="18"/>
        </w:rPr>
        <w:t>O fato de ter se referido à lei complementar no singular, e não no plural não significa que todas as matérias referidas nos incisos do art. 163 devessem ser disciplinadas por um mesmo diploma legislativo, mas sim a imposição constitucional de uma espécie normativa específica para regulamentar as matérias previstas nesse artigo. A exigência constitucional em estatuir que a regulamentação das matérias compreendidas em finanças públicas há de fazer-se necessariamente pela espécie normativa “lei complementar” foi observada pelo Congresso Nacional, tendo, portanto, sido respeitada a reserva legal a</w:t>
      </w:r>
    </w:p>
    <w:p>
      <w:pPr>
        <w:ind w:left="288"/>
      </w:pPr>
      <w:r>
        <w:rPr>
          <w:b/>
          <w:color w:val="003CA0"/>
          <w:sz w:val="16"/>
        </w:rPr>
        <w:t>[ADI 2.238, voto do rel. min. Alexandre de Moraes, j. 24-6-2020, P, DJE de 15-9-2020.]</w:t>
      </w:r>
    </w:p>
    <w:p>
      <w:pPr>
        <w:ind w:left="288"/>
      </w:pPr>
      <w:r>
        <w:rPr>
          <w:color w:val="8C8C8C"/>
          <w:sz w:val="12"/>
        </w:rPr>
        <w:t>cf-art-163-inc-I</w:t>
      </w:r>
      <w:r>
        <w:rPr>
          <w:color w:val="003CA0"/>
          <w:sz w:val="12"/>
        </w:rPr>
        <w:t xml:space="preserve"> | ADI 2.261</w:t>
      </w:r>
      <w:r>
        <w:rPr>
          <w:color w:val="003CA0"/>
          <w:sz w:val="12"/>
        </w:rPr>
        <w:t xml:space="preserve"> | rel. Alexandre de Moraes</w:t>
      </w:r>
    </w:p>
    <w:p>
      <w:pPr>
        <w:ind w:left="288"/>
      </w:pPr>
      <w:r>
        <w:rPr>
          <w:color w:val="1E1E1E"/>
          <w:sz w:val="18"/>
        </w:rPr>
        <w:t>Embora imponham a observância do regime de legislação complementar para a elaboração de lei geral em matéria de Finanças Públicas, os arts. 163 da CF e 30 da EC 19/98 não estipulam que essa normatização deva ser formalizada necessariamente em uma lei única.</w:t>
      </w:r>
    </w:p>
    <w:p>
      <w:pPr>
        <w:ind w:left="288"/>
      </w:pPr>
      <w:r>
        <w:rPr>
          <w:b/>
          <w:color w:val="003CA0"/>
          <w:sz w:val="16"/>
        </w:rPr>
        <w:t>[ADI 2.261, rel. min. Alexandre de Moraes, j. 21-8-2019, P, DJE de 28-8-2020.]</w:t>
      </w:r>
    </w:p>
    <w:p>
      <w:pPr>
        <w:ind w:left="288"/>
      </w:pPr>
      <w:r>
        <w:rPr>
          <w:color w:val="8C8C8C"/>
          <w:sz w:val="12"/>
        </w:rPr>
        <w:t>cf-art-163-inc-II</w:t>
      </w:r>
      <w:r>
        <w:rPr>
          <w:color w:val="003CA0"/>
          <w:sz w:val="12"/>
        </w:rPr>
        <w:t xml:space="preserve"> | ADI 686</w:t>
      </w:r>
      <w:r>
        <w:rPr>
          <w:color w:val="003CA0"/>
          <w:sz w:val="12"/>
        </w:rPr>
        <w:t xml:space="preserve"> | rel. Ilmar Galvão</w:t>
      </w:r>
    </w:p>
    <w:p>
      <w:pPr>
        <w:ind w:left="288"/>
      </w:pPr>
      <w:r>
        <w:rPr>
          <w:color w:val="1E1E1E"/>
          <w:sz w:val="18"/>
        </w:rPr>
        <w:t xml:space="preserve">Ação direta de inconstitucionalidade. Lei 8.388/1991, que estabelece diretrizes para que a União possa realizar a consolidação e o reescalonamento de dívidas das administrações direta e indireta dos entes federados. Alegada ofensa aos arts. 52, VI a IX, e 163 da CF. Ausência de plausibilidade do fundamento do pedido declaratório, tendo em vista que se trata de lei que cogita da consolidação e do reescalonamento de dívidas dos Estados e Municípios junto a órgãos e entidades controladas pela União, isto é, débitos já existentes, e não de contratações que resultem em aumento da dívida pública de </w:t>
      </w:r>
    </w:p>
    <w:p>
      <w:pPr>
        <w:ind w:left="288"/>
      </w:pPr>
      <w:r>
        <w:rPr>
          <w:b/>
          <w:color w:val="003CA0"/>
          <w:sz w:val="16"/>
        </w:rPr>
        <w:t>[ADI 686 MC, rel. min. Ilmar Galvão, j. 26-3-1992, P, DJ de 6-4-2001.]</w:t>
      </w:r>
    </w:p>
    <w:p>
      <w:r>
        <w:rPr>
          <w:b/>
          <w:color w:val="003366"/>
          <w:sz w:val="20"/>
        </w:rPr>
        <w:t>Art. 164 A competência da União para emitir moeda será exercida exclusivamente p</w:t>
      </w:r>
      <w:r>
        <w:rPr>
          <w:color w:val="8C8C8C"/>
          <w:sz w:val="14"/>
        </w:rPr>
        <w:t xml:space="preserve">  [6 decisoes]</w:t>
      </w:r>
    </w:p>
    <w:p>
      <w:pPr>
        <w:ind w:left="144"/>
      </w:pPr>
      <w:r>
        <w:rPr>
          <w:b/>
          <w:color w:val="B45A00"/>
          <w:sz w:val="16"/>
        </w:rPr>
        <w:t>CONTROLE CONCENTRADO</w:t>
      </w:r>
    </w:p>
    <w:p>
      <w:pPr>
        <w:ind w:left="288"/>
      </w:pPr>
      <w:r>
        <w:rPr>
          <w:color w:val="8C8C8C"/>
          <w:sz w:val="12"/>
        </w:rPr>
        <w:t>cf-art-164</w:t>
      </w:r>
      <w:r>
        <w:rPr>
          <w:color w:val="003CA0"/>
          <w:sz w:val="12"/>
        </w:rPr>
        <w:t xml:space="preserve"> | ADI 6.936</w:t>
      </w:r>
      <w:r>
        <w:rPr>
          <w:color w:val="003CA0"/>
          <w:sz w:val="12"/>
        </w:rPr>
        <w:t xml:space="preserve"> | rel. Dias Toffoli</w:t>
      </w:r>
    </w:p>
    <w:p>
      <w:pPr>
        <w:ind w:left="288"/>
      </w:pPr>
      <w:r>
        <w:rPr>
          <w:color w:val="1E1E1E"/>
          <w:sz w:val="18"/>
        </w:rPr>
        <w:t>A Constituição Federal atribuiu à União a competência material para emissão de moedas, ficando a cargo do Banco Central do Brasil a competência exclusiva para essa atividade, na forma dos arts. 21, VII e 164 do Texto Constitucional. A competência constitucional para emissão de moeda, todavia, não se confunde com a atividade material de confecção ou fabricação de papel-moeda e moeda metálica. A Constituição não atribuiu à Casa da Moeda do Brasil a exclusividade dessa última função, que decorre, na verdade, de dispositivo contido na Lei Federal n. 5.895/1973. Tratando-se de exclusividade que der</w:t>
      </w:r>
    </w:p>
    <w:p>
      <w:pPr>
        <w:ind w:left="288"/>
      </w:pPr>
      <w:r>
        <w:rPr>
          <w:color w:val="8C8C8C"/>
          <w:sz w:val="12"/>
        </w:rPr>
        <w:t>cf-art-164-par-3</w:t>
      </w:r>
      <w:r>
        <w:rPr>
          <w:color w:val="003CA0"/>
          <w:sz w:val="12"/>
        </w:rPr>
        <w:t xml:space="preserve"> | ADI 3.577</w:t>
      </w:r>
      <w:r>
        <w:rPr>
          <w:color w:val="003CA0"/>
          <w:sz w:val="12"/>
        </w:rPr>
        <w:t xml:space="preserve"> | rel. Dias Toffoli</w:t>
      </w:r>
    </w:p>
    <w:p>
      <w:pPr>
        <w:ind w:left="288"/>
      </w:pPr>
      <w:r>
        <w:rPr>
          <w:color w:val="1E1E1E"/>
          <w:sz w:val="18"/>
        </w:rPr>
        <w:t>O art. 29, caput e parágrafo único, da Medida Provisória 2.192-70/2001 possibilita que os depósitos judiciais outrora geridos por instituição financeira oficial sejam mantidos na instituição financeira privatizada ou na instituição adquirente do controle acionário daquela, estabelecendo, com isso, generalização incompatível com art. 164, § 3º, da Constituição Federal, segundo o qual os depósitos públicos deverão ser mantidos preferencialmente em instituições financeiras oficiais.</w:t>
      </w:r>
    </w:p>
    <w:p>
      <w:pPr>
        <w:ind w:left="288"/>
      </w:pPr>
      <w:r>
        <w:rPr>
          <w:b/>
          <w:color w:val="003CA0"/>
          <w:sz w:val="16"/>
        </w:rPr>
        <w:t>[ADI 3.577, rel. min. Dias Toffoli, j. 14-2-2020, P, DJE de 6-4-2020.]</w:t>
      </w:r>
    </w:p>
    <w:p>
      <w:pPr>
        <w:ind w:left="288"/>
      </w:pPr>
      <w:r>
        <w:rPr>
          <w:color w:val="8C8C8C"/>
          <w:sz w:val="12"/>
        </w:rPr>
        <w:t>cf-art-164-par-3</w:t>
      </w:r>
      <w:r>
        <w:rPr>
          <w:color w:val="003CA0"/>
          <w:sz w:val="12"/>
        </w:rPr>
        <w:t xml:space="preserve"> | ADI 2.661</w:t>
      </w:r>
      <w:r>
        <w:rPr>
          <w:color w:val="003CA0"/>
          <w:sz w:val="12"/>
        </w:rPr>
        <w:t xml:space="preserve"> | rel. Celso de Mello</w:t>
      </w:r>
    </w:p>
    <w:p>
      <w:pPr>
        <w:ind w:left="288"/>
      </w:pPr>
      <w:r>
        <w:rPr>
          <w:color w:val="1E1E1E"/>
          <w:sz w:val="18"/>
        </w:rPr>
        <w:t>As disponibilidades de caixa dos Estados-membros, dos órgãos ou entidades que os integram e das empresas por eles controladas deverão ser depositadas em instituições financeiras oficiais, cabendo, unicamente, à União Federal, mediante lei de caráter nacional, definir as exceções autorizadas pelo art. 164, § 3º, da Constituição da República</w:t>
      </w:r>
    </w:p>
    <w:p>
      <w:pPr>
        <w:ind w:left="288"/>
      </w:pPr>
      <w:r>
        <w:rPr>
          <w:b/>
          <w:color w:val="003CA0"/>
          <w:sz w:val="16"/>
        </w:rPr>
        <w:t>[ADI 2.661 MC, rel. min. Celso de Mello, j. 5-6-2002, P, DJ de 23-8-2002.]</w:t>
      </w:r>
    </w:p>
    <w:p>
      <w:pPr>
        <w:ind w:left="288"/>
      </w:pPr>
      <w:r>
        <w:rPr>
          <w:color w:val="8C8C8C"/>
          <w:sz w:val="12"/>
        </w:rPr>
        <w:t>cf-art-164-par-3</w:t>
      </w:r>
      <w:r>
        <w:rPr>
          <w:color w:val="003CA0"/>
          <w:sz w:val="12"/>
        </w:rPr>
        <w:t xml:space="preserve"> | ADI 3.075</w:t>
      </w:r>
      <w:r>
        <w:rPr>
          <w:color w:val="003CA0"/>
          <w:sz w:val="12"/>
        </w:rPr>
        <w:t xml:space="preserve"> | rel. Gilmar Mendes</w:t>
      </w:r>
    </w:p>
    <w:p>
      <w:pPr>
        <w:ind w:left="288"/>
      </w:pPr>
      <w:r>
        <w:rPr>
          <w:color w:val="1E1E1E"/>
          <w:sz w:val="18"/>
        </w:rPr>
        <w:t>= ADI 3.075, rel. min. Gilmar Mendes, j. 24-9-2014, P, DJE de 5-11-2014</w:t>
      </w:r>
    </w:p>
    <w:p>
      <w:pPr>
        <w:ind w:left="144"/>
      </w:pPr>
      <w:r>
        <w:rPr>
          <w:b/>
          <w:color w:val="B45A00"/>
          <w:sz w:val="16"/>
        </w:rPr>
        <w:t>JULGADOS CORRELATOS</w:t>
      </w:r>
    </w:p>
    <w:p>
      <w:pPr>
        <w:ind w:left="288"/>
      </w:pPr>
      <w:r>
        <w:rPr>
          <w:color w:val="8C8C8C"/>
          <w:sz w:val="12"/>
        </w:rPr>
        <w:t>cf-art-164-par-3</w:t>
      </w:r>
      <w:r>
        <w:rPr>
          <w:color w:val="003CA0"/>
          <w:sz w:val="12"/>
        </w:rPr>
        <w:t xml:space="preserve"> | RCL 3.872</w:t>
      </w:r>
      <w:r>
        <w:rPr>
          <w:color w:val="003CA0"/>
          <w:sz w:val="12"/>
        </w:rPr>
        <w:t xml:space="preserve"> | rel. Carlos Velloso</w:t>
      </w:r>
    </w:p>
    <w:p>
      <w:pPr>
        <w:ind w:left="288"/>
      </w:pPr>
      <w:r>
        <w:rPr>
          <w:color w:val="1E1E1E"/>
          <w:sz w:val="18"/>
        </w:rPr>
        <w:t>Constitucional. Estados, Distrito Federal e Municípios: disponibilidade de caixa: depósito em instituições financeiras oficiais. CF, art. 164, § 3º. Servidores públicos: crédito da folha de pagamento em conta em banco privado: inocorrência de ofensa ao art. 164, § 3º, CF.</w:t>
      </w:r>
    </w:p>
    <w:p>
      <w:pPr>
        <w:ind w:left="288"/>
      </w:pPr>
      <w:r>
        <w:rPr>
          <w:b/>
          <w:color w:val="003CA0"/>
          <w:sz w:val="16"/>
        </w:rPr>
        <w:t>[Rcl 3.872 AgR, rel. min. Carlos Velloso, j. 14-12-2003, P, DJ de 12-5-2006.]</w:t>
      </w:r>
    </w:p>
    <w:p>
      <w:pPr>
        <w:ind w:left="288"/>
      </w:pPr>
      <w:r>
        <w:rPr>
          <w:color w:val="8C8C8C"/>
          <w:sz w:val="12"/>
        </w:rPr>
        <w:t>cf-art-164-par-3</w:t>
      </w:r>
      <w:r>
        <w:rPr>
          <w:color w:val="003CA0"/>
          <w:sz w:val="12"/>
        </w:rPr>
        <w:t xml:space="preserve"> | AI 837.677</w:t>
      </w:r>
      <w:r>
        <w:rPr>
          <w:color w:val="003CA0"/>
          <w:sz w:val="12"/>
        </w:rPr>
        <w:t xml:space="preserve"> | rel. Rosa Weber</w:t>
      </w:r>
    </w:p>
    <w:p>
      <w:pPr>
        <w:ind w:left="288"/>
      </w:pPr>
      <w:r>
        <w:rPr>
          <w:color w:val="1E1E1E"/>
          <w:sz w:val="18"/>
        </w:rPr>
        <w:t>= AI 837.677 AgR, rel. min. Rosa Weber, j. 3-4-2012, 2ª T, DJE de 8-5-2012 Seção II Dos Orçamentos SUMÁRIO</w:t>
      </w:r>
    </w:p>
    <w:p>
      <w:pPr>
        <w:ind w:left="432"/>
      </w:pPr>
      <w:r>
        <w:rPr>
          <w:color w:val="003366"/>
          <w:sz w:val="18"/>
        </w:rPr>
        <w:t xml:space="preserve">§ 1 É vedado ao banco central conceder, direta ou indiretamente, empréstimos ao </w:t>
      </w:r>
    </w:p>
    <w:p>
      <w:pPr>
        <w:ind w:left="432"/>
      </w:pPr>
      <w:r>
        <w:rPr>
          <w:color w:val="003366"/>
          <w:sz w:val="18"/>
        </w:rPr>
        <w:t>§ 2 O banco central poderá comprar e vender títulos de emissão do Tesouro Nacion</w:t>
      </w:r>
    </w:p>
    <w:p>
      <w:pPr>
        <w:ind w:left="432"/>
      </w:pPr>
      <w:r>
        <w:rPr>
          <w:color w:val="003366"/>
          <w:sz w:val="18"/>
        </w:rPr>
        <w:t>§ 3 As disponibilidades de caixa da União serão depositadas no banco central; as</w:t>
      </w:r>
    </w:p>
    <w:p>
      <w:r>
        <w:rPr>
          <w:b/>
          <w:color w:val="003366"/>
          <w:sz w:val="20"/>
        </w:rPr>
        <w:t>Art. 164 A. A União, os Estados, o Distrito Federal e os Municípios devem conduz</w:t>
      </w:r>
      <w:r>
        <w:rPr>
          <w:color w:val="8C8C8C"/>
          <w:sz w:val="14"/>
        </w:rPr>
        <w:t xml:space="preserve">  [6 decisoes]</w:t>
      </w:r>
    </w:p>
    <w:p>
      <w:pPr>
        <w:ind w:left="144"/>
      </w:pPr>
      <w:r>
        <w:rPr>
          <w:b/>
          <w:color w:val="B45A00"/>
          <w:sz w:val="16"/>
        </w:rPr>
        <w:t>CONTROLE CONCENTRADO</w:t>
      </w:r>
    </w:p>
    <w:p>
      <w:pPr>
        <w:ind w:left="288"/>
      </w:pPr>
      <w:r>
        <w:rPr>
          <w:color w:val="8C8C8C"/>
          <w:sz w:val="12"/>
        </w:rPr>
        <w:t>cf-art-164</w:t>
      </w:r>
      <w:r>
        <w:rPr>
          <w:color w:val="003CA0"/>
          <w:sz w:val="12"/>
        </w:rPr>
        <w:t xml:space="preserve"> | ADI 6.936</w:t>
      </w:r>
      <w:r>
        <w:rPr>
          <w:color w:val="003CA0"/>
          <w:sz w:val="12"/>
        </w:rPr>
        <w:t xml:space="preserve"> | rel. Dias Toffoli</w:t>
      </w:r>
    </w:p>
    <w:p>
      <w:pPr>
        <w:ind w:left="288"/>
      </w:pPr>
      <w:r>
        <w:rPr>
          <w:color w:val="1E1E1E"/>
          <w:sz w:val="18"/>
        </w:rPr>
        <w:t>A Constituição Federal atribuiu à União a competência material para emissão de moedas, ficando a cargo do Banco Central do Brasil a competência exclusiva para essa atividade, na forma dos arts. 21, VII e 164 do Texto Constitucional. A competência constitucional para emissão de moeda, todavia, não se confunde com a atividade material de confecção ou fabricação de papel-moeda e moeda metálica. A Constituição não atribuiu à Casa da Moeda do Brasil a exclusividade dessa última função, que decorre, na verdade, de dispositivo contido na Lei Federal n. 5.895/1973. Tratando-se de exclusividade que der</w:t>
      </w:r>
    </w:p>
    <w:p>
      <w:pPr>
        <w:ind w:left="288"/>
      </w:pPr>
      <w:r>
        <w:rPr>
          <w:color w:val="8C8C8C"/>
          <w:sz w:val="12"/>
        </w:rPr>
        <w:t>cf-art-164-par-3</w:t>
      </w:r>
      <w:r>
        <w:rPr>
          <w:color w:val="003CA0"/>
          <w:sz w:val="12"/>
        </w:rPr>
        <w:t xml:space="preserve"> | ADI 3.577</w:t>
      </w:r>
      <w:r>
        <w:rPr>
          <w:color w:val="003CA0"/>
          <w:sz w:val="12"/>
        </w:rPr>
        <w:t xml:space="preserve"> | rel. Dias Toffoli</w:t>
      </w:r>
    </w:p>
    <w:p>
      <w:pPr>
        <w:ind w:left="288"/>
      </w:pPr>
      <w:r>
        <w:rPr>
          <w:color w:val="1E1E1E"/>
          <w:sz w:val="18"/>
        </w:rPr>
        <w:t>O art. 29, caput e parágrafo único, da Medida Provisória 2.192-70/2001 possibilita que os depósitos judiciais outrora geridos por instituição financeira oficial sejam mantidos na instituição financeira privatizada ou na instituição adquirente do controle acionário daquela, estabelecendo, com isso, generalização incompatível com art. 164, § 3º, da Constituição Federal, segundo o qual os depósitos públicos deverão ser mantidos preferencialmente em instituições financeiras oficiais.</w:t>
      </w:r>
    </w:p>
    <w:p>
      <w:pPr>
        <w:ind w:left="288"/>
      </w:pPr>
      <w:r>
        <w:rPr>
          <w:b/>
          <w:color w:val="003CA0"/>
          <w:sz w:val="16"/>
        </w:rPr>
        <w:t>[ADI 3.577, rel. min. Dias Toffoli, j. 14-2-2020, P, DJE de 6-4-2020.]</w:t>
      </w:r>
    </w:p>
    <w:p>
      <w:pPr>
        <w:ind w:left="288"/>
      </w:pPr>
      <w:r>
        <w:rPr>
          <w:color w:val="8C8C8C"/>
          <w:sz w:val="12"/>
        </w:rPr>
        <w:t>cf-art-164-par-3</w:t>
      </w:r>
      <w:r>
        <w:rPr>
          <w:color w:val="003CA0"/>
          <w:sz w:val="12"/>
        </w:rPr>
        <w:t xml:space="preserve"> | ADI 2.661</w:t>
      </w:r>
      <w:r>
        <w:rPr>
          <w:color w:val="003CA0"/>
          <w:sz w:val="12"/>
        </w:rPr>
        <w:t xml:space="preserve"> | rel. Celso de Mello</w:t>
      </w:r>
    </w:p>
    <w:p>
      <w:pPr>
        <w:ind w:left="288"/>
      </w:pPr>
      <w:r>
        <w:rPr>
          <w:color w:val="1E1E1E"/>
          <w:sz w:val="18"/>
        </w:rPr>
        <w:t>As disponibilidades de caixa dos Estados-membros, dos órgãos ou entidades que os integram e das empresas por eles controladas deverão ser depositadas em instituições financeiras oficiais, cabendo, unicamente, à União Federal, mediante lei de caráter nacional, definir as exceções autorizadas pelo art. 164, § 3º, da Constituição da República</w:t>
      </w:r>
    </w:p>
    <w:p>
      <w:pPr>
        <w:ind w:left="288"/>
      </w:pPr>
      <w:r>
        <w:rPr>
          <w:b/>
          <w:color w:val="003CA0"/>
          <w:sz w:val="16"/>
        </w:rPr>
        <w:t>[ADI 2.661 MC, rel. min. Celso de Mello, j. 5-6-2002, P, DJ de 23-8-2002.]</w:t>
      </w:r>
    </w:p>
    <w:p>
      <w:pPr>
        <w:ind w:left="288"/>
      </w:pPr>
      <w:r>
        <w:rPr>
          <w:color w:val="8C8C8C"/>
          <w:sz w:val="12"/>
        </w:rPr>
        <w:t>cf-art-164-par-3</w:t>
      </w:r>
      <w:r>
        <w:rPr>
          <w:color w:val="003CA0"/>
          <w:sz w:val="12"/>
        </w:rPr>
        <w:t xml:space="preserve"> | ADI 3.075</w:t>
      </w:r>
      <w:r>
        <w:rPr>
          <w:color w:val="003CA0"/>
          <w:sz w:val="12"/>
        </w:rPr>
        <w:t xml:space="preserve"> | rel. Gilmar Mendes</w:t>
      </w:r>
    </w:p>
    <w:p>
      <w:pPr>
        <w:ind w:left="288"/>
      </w:pPr>
      <w:r>
        <w:rPr>
          <w:color w:val="1E1E1E"/>
          <w:sz w:val="18"/>
        </w:rPr>
        <w:t>= ADI 3.075, rel. min. Gilmar Mendes, j. 24-9-2014, P, DJE de 5-11-2014</w:t>
      </w:r>
    </w:p>
    <w:p>
      <w:pPr>
        <w:ind w:left="144"/>
      </w:pPr>
      <w:r>
        <w:rPr>
          <w:b/>
          <w:color w:val="B45A00"/>
          <w:sz w:val="16"/>
        </w:rPr>
        <w:t>JULGADOS CORRELATOS</w:t>
      </w:r>
    </w:p>
    <w:p>
      <w:pPr>
        <w:ind w:left="288"/>
      </w:pPr>
      <w:r>
        <w:rPr>
          <w:color w:val="8C8C8C"/>
          <w:sz w:val="12"/>
        </w:rPr>
        <w:t>cf-art-164-par-3</w:t>
      </w:r>
      <w:r>
        <w:rPr>
          <w:color w:val="003CA0"/>
          <w:sz w:val="12"/>
        </w:rPr>
        <w:t xml:space="preserve"> | RCL 3.872</w:t>
      </w:r>
      <w:r>
        <w:rPr>
          <w:color w:val="003CA0"/>
          <w:sz w:val="12"/>
        </w:rPr>
        <w:t xml:space="preserve"> | rel. Carlos Velloso</w:t>
      </w:r>
    </w:p>
    <w:p>
      <w:pPr>
        <w:ind w:left="288"/>
      </w:pPr>
      <w:r>
        <w:rPr>
          <w:color w:val="1E1E1E"/>
          <w:sz w:val="18"/>
        </w:rPr>
        <w:t>Constitucional. Estados, Distrito Federal e Municípios: disponibilidade de caixa: depósito em instituições financeiras oficiais. CF, art. 164, § 3º. Servidores públicos: crédito da folha de pagamento em conta em banco privado: inocorrência de ofensa ao art. 164, § 3º, CF.</w:t>
      </w:r>
    </w:p>
    <w:p>
      <w:pPr>
        <w:ind w:left="288"/>
      </w:pPr>
      <w:r>
        <w:rPr>
          <w:b/>
          <w:color w:val="003CA0"/>
          <w:sz w:val="16"/>
        </w:rPr>
        <w:t>[Rcl 3.872 AgR, rel. min. Carlos Velloso, j. 14-12-2003, P, DJ de 12-5-2006.]</w:t>
      </w:r>
    </w:p>
    <w:p>
      <w:pPr>
        <w:ind w:left="288"/>
      </w:pPr>
      <w:r>
        <w:rPr>
          <w:color w:val="8C8C8C"/>
          <w:sz w:val="12"/>
        </w:rPr>
        <w:t>cf-art-164-par-3</w:t>
      </w:r>
      <w:r>
        <w:rPr>
          <w:color w:val="003CA0"/>
          <w:sz w:val="12"/>
        </w:rPr>
        <w:t xml:space="preserve"> | AI 837.677</w:t>
      </w:r>
      <w:r>
        <w:rPr>
          <w:color w:val="003CA0"/>
          <w:sz w:val="12"/>
        </w:rPr>
        <w:t xml:space="preserve"> | rel. Rosa Weber</w:t>
      </w:r>
    </w:p>
    <w:p>
      <w:pPr>
        <w:ind w:left="288"/>
      </w:pPr>
      <w:r>
        <w:rPr>
          <w:color w:val="1E1E1E"/>
          <w:sz w:val="18"/>
        </w:rPr>
        <w:t>= AI 837.677 AgR, rel. min. Rosa Weber, j. 3-4-2012, 2ª T, DJE de 8-5-2012 Seção II Dos Orçamentos SUMÁRIO</w:t>
      </w:r>
    </w:p>
    <w:p>
      <w:pPr>
        <w:pStyle w:val="Heading3"/>
      </w:pPr>
      <w:r>
        <w:rPr>
          <w:color w:val="003366"/>
        </w:rPr>
        <w:t>Seção II - DOS ORÇAMENTOS</w:t>
      </w:r>
    </w:p>
    <w:p>
      <w:r>
        <w:rPr>
          <w:b/>
          <w:color w:val="003366"/>
          <w:sz w:val="20"/>
        </w:rPr>
        <w:t>Art. 165 Leis de iniciativa do Poder Executivo estabelecerão:</w:t>
      </w:r>
      <w:r>
        <w:rPr>
          <w:color w:val="8C8C8C"/>
          <w:sz w:val="14"/>
        </w:rPr>
        <w:t xml:space="preserve">  [26 decisoes]</w:t>
      </w:r>
    </w:p>
    <w:p>
      <w:pPr>
        <w:ind w:left="144"/>
      </w:pPr>
      <w:r>
        <w:rPr>
          <w:b/>
          <w:color w:val="B45A00"/>
          <w:sz w:val="16"/>
        </w:rPr>
        <w:t>CONTROLE CONCENTRADO</w:t>
      </w:r>
    </w:p>
    <w:p>
      <w:pPr>
        <w:ind w:left="288"/>
      </w:pPr>
      <w:r>
        <w:rPr>
          <w:color w:val="8C8C8C"/>
          <w:sz w:val="12"/>
        </w:rPr>
        <w:t>cf-art-165</w:t>
      </w:r>
      <w:r>
        <w:rPr>
          <w:color w:val="003CA0"/>
          <w:sz w:val="12"/>
        </w:rPr>
        <w:t xml:space="preserve"> | ADI 2.674</w:t>
      </w:r>
      <w:r>
        <w:rPr>
          <w:color w:val="003CA0"/>
          <w:sz w:val="12"/>
        </w:rPr>
        <w:t xml:space="preserve"> | rel. Nunes Marques</w:t>
      </w:r>
    </w:p>
    <w:p>
      <w:pPr>
        <w:ind w:left="288"/>
      </w:pPr>
      <w:r>
        <w:rPr>
          <w:color w:val="1E1E1E"/>
          <w:sz w:val="18"/>
        </w:rPr>
        <w:t>A Constituição de 1988, ao disciplinar o orçamento público dos entes da Federação, prevê de forma categórica, no art. 165, a iniciativa do Poder Executivo para a propositura de leis voltadas a estabelecer o plano plurianual, as diretrizes orçamentárias e os orçamentos anuais, em função da competência técnica do dirigente da Administração Pública para gerir as finanças e definir as políticas do ente. (...) A elaboração de ato normativo que afeta receitas orçamentárias a partir de projeto de lei de iniciativa popular usurpa a iniciativa exclusiva do Governador do Estado, subtraindo de sua alçada</w:t>
      </w:r>
    </w:p>
    <w:p>
      <w:pPr>
        <w:ind w:left="144"/>
      </w:pPr>
      <w:r>
        <w:rPr>
          <w:b/>
          <w:color w:val="B45A00"/>
          <w:sz w:val="16"/>
        </w:rPr>
        <w:t>REPERCUSSAO GERAL</w:t>
      </w:r>
    </w:p>
    <w:p>
      <w:pPr>
        <w:ind w:left="288"/>
      </w:pPr>
      <w:r>
        <w:rPr>
          <w:color w:val="8C8C8C"/>
          <w:sz w:val="12"/>
        </w:rPr>
        <w:t>cf-art-165</w:t>
      </w:r>
      <w:r>
        <w:rPr>
          <w:color w:val="003CA0"/>
          <w:sz w:val="12"/>
        </w:rPr>
        <w:t xml:space="preserve"> | ARE 743.480</w:t>
      </w:r>
      <w:r>
        <w:rPr>
          <w:color w:val="003CA0"/>
          <w:sz w:val="12"/>
        </w:rPr>
        <w:t xml:space="preserve"> | rel. Gilmar Mendes</w:t>
      </w:r>
    </w:p>
    <w:p>
      <w:pPr>
        <w:ind w:left="288"/>
      </w:pPr>
      <w:r>
        <w:rPr>
          <w:color w:val="1E1E1E"/>
          <w:sz w:val="18"/>
        </w:rPr>
        <w:t>A norma não reserva à iniciativa privativa do presidente da República toda e qualquer lei que cuide de tributos, senão apenas a matéria tributária dos Territórios. Também não incide, na espécie, o art. 165 da CF, uma vez que a restrição nele prevista limita-se às leis orçamentárias plano plurianual, lei de diretrizes orçamentárias e lei orçamentária anual e não alcança os diplomas que aumentem ou reduzam exações fiscais. Ainda que acarretem diminuição das receitas arrecadadas, as leis que concedem benefícios fiscais tais como isenções, remissões, redução de base de cálculo ou alíquota não pode</w:t>
      </w:r>
    </w:p>
    <w:p>
      <w:pPr>
        <w:ind w:left="288"/>
      </w:pPr>
      <w:r>
        <w:rPr>
          <w:b/>
          <w:color w:val="003CA0"/>
          <w:sz w:val="16"/>
        </w:rPr>
        <w:t>[ARE 743.480 RG, voto do rel. min. Gilmar Mendes, j. 10-10-2013, P, DJE de 20-11-2013, Tema 682, com mérito julgado.]</w:t>
      </w:r>
    </w:p>
    <w:p>
      <w:pPr>
        <w:ind w:left="144"/>
      </w:pPr>
      <w:r>
        <w:rPr>
          <w:b/>
          <w:color w:val="B45A00"/>
          <w:sz w:val="16"/>
        </w:rPr>
        <w:t>CONTROLE CONCENTRADO</w:t>
      </w:r>
    </w:p>
    <w:p>
      <w:pPr>
        <w:ind w:left="288"/>
      </w:pPr>
      <w:r>
        <w:rPr>
          <w:color w:val="8C8C8C"/>
          <w:sz w:val="12"/>
        </w:rPr>
        <w:t>cf-art-165-inc-I</w:t>
      </w:r>
      <w:r>
        <w:rPr>
          <w:color w:val="003CA0"/>
          <w:sz w:val="12"/>
        </w:rPr>
        <w:t xml:space="preserve"> | ADI 748</w:t>
      </w:r>
      <w:r>
        <w:rPr>
          <w:color w:val="003CA0"/>
          <w:sz w:val="12"/>
        </w:rPr>
        <w:t xml:space="preserve"> | rel. Celso de Mello</w:t>
      </w:r>
    </w:p>
    <w:p>
      <w:pPr>
        <w:ind w:left="288"/>
      </w:pPr>
      <w:r>
        <w:rPr>
          <w:color w:val="1E1E1E"/>
          <w:sz w:val="18"/>
        </w:rPr>
        <w:t>A previsão do calendário rotativo escolar na lei que institui o Plano Plurianual parece legitimar o exercício, pelo chefe do Executivo, do seu poder regulamentar, tornando possível, desse modo, a implantação dessa proposta pedagógica mediante decreto.</w:t>
      </w:r>
    </w:p>
    <w:p>
      <w:pPr>
        <w:ind w:left="288"/>
      </w:pPr>
      <w:r>
        <w:rPr>
          <w:b/>
          <w:color w:val="003CA0"/>
          <w:sz w:val="16"/>
        </w:rPr>
        <w:t>[ADI 748 MC, rel. min. Celso de Mello, j. 1º-7-1992, P, DJ de 6-11-1992.]</w:t>
      </w:r>
    </w:p>
    <w:p>
      <w:pPr>
        <w:ind w:left="288"/>
      </w:pPr>
      <w:r>
        <w:rPr>
          <w:color w:val="8C8C8C"/>
          <w:sz w:val="12"/>
        </w:rPr>
        <w:t>cf-art-165-inc-II</w:t>
      </w:r>
      <w:r>
        <w:rPr>
          <w:color w:val="003CA0"/>
          <w:sz w:val="12"/>
        </w:rPr>
        <w:t xml:space="preserve"> | ADI 2.464</w:t>
      </w:r>
      <w:r>
        <w:rPr>
          <w:color w:val="003CA0"/>
          <w:sz w:val="12"/>
        </w:rPr>
        <w:t xml:space="preserve"> | rel. Ellen Gracie</w:t>
      </w:r>
    </w:p>
    <w:p>
      <w:pPr>
        <w:ind w:left="288"/>
      </w:pPr>
      <w:r>
        <w:rPr>
          <w:color w:val="1E1E1E"/>
          <w:sz w:val="18"/>
        </w:rPr>
        <w:t>Ação direta de inconstitucionalidade. Lei 553/2000 do Estado do Amapá. Desconto no pagamento antecipado do IPVA e parcelamento do valor devido. Benefícios tributários. Lei de iniciativa parlamentar. (...) A reserva de iniciativa prevista no art. 165, II, da Carta Magna, por referir-se a normas concernentes às diretrizes orçamentárias, não se aplica a normas que tratam de direito tributário, como são aquelas que concedem benefícios fiscais.</w:t>
      </w:r>
    </w:p>
    <w:p>
      <w:pPr>
        <w:ind w:left="288"/>
      </w:pPr>
      <w:r>
        <w:rPr>
          <w:b/>
          <w:color w:val="003CA0"/>
          <w:sz w:val="16"/>
        </w:rPr>
        <w:t>[ADI 2.464, rel. min. Ellen Gracie, j. 11-4-2007, P, DJ de 25-5-2007.]</w:t>
      </w:r>
    </w:p>
    <w:p>
      <w:pPr>
        <w:ind w:left="288"/>
      </w:pPr>
      <w:r>
        <w:rPr>
          <w:color w:val="8C8C8C"/>
          <w:sz w:val="12"/>
        </w:rPr>
        <w:t>cf-art-165-inc-II</w:t>
      </w:r>
      <w:r>
        <w:rPr>
          <w:color w:val="003CA0"/>
          <w:sz w:val="12"/>
        </w:rPr>
        <w:t xml:space="preserve"> | RE 601.348</w:t>
      </w:r>
      <w:r>
        <w:rPr>
          <w:color w:val="003CA0"/>
          <w:sz w:val="12"/>
        </w:rPr>
        <w:t xml:space="preserve"> | rel. Ricardo Lewandowski</w:t>
      </w:r>
    </w:p>
    <w:p>
      <w:pPr>
        <w:ind w:left="288"/>
      </w:pPr>
      <w:r>
        <w:rPr>
          <w:color w:val="1E1E1E"/>
          <w:sz w:val="18"/>
        </w:rPr>
        <w:t>= RE 601.348 ED, rel. min. Ricardo Lewandowski, j. 22-11-2011, 2ª T, DJE de 7-12-2011</w:t>
      </w:r>
    </w:p>
    <w:p>
      <w:pPr>
        <w:ind w:left="288"/>
      </w:pPr>
      <w:r>
        <w:rPr>
          <w:color w:val="8C8C8C"/>
          <w:sz w:val="12"/>
        </w:rPr>
        <w:t>cf-art-165-inc-III</w:t>
      </w:r>
      <w:r>
        <w:rPr>
          <w:color w:val="003CA0"/>
          <w:sz w:val="12"/>
        </w:rPr>
        <w:t xml:space="preserve"> | ADI 2.680</w:t>
      </w:r>
      <w:r>
        <w:rPr>
          <w:color w:val="003CA0"/>
          <w:sz w:val="12"/>
        </w:rPr>
        <w:t xml:space="preserve"> | rel. Gilmar Mendes</w:t>
      </w:r>
    </w:p>
    <w:p>
      <w:pPr>
        <w:ind w:left="288"/>
      </w:pPr>
      <w:r>
        <w:rPr>
          <w:color w:val="1E1E1E"/>
          <w:sz w:val="18"/>
        </w:rPr>
        <w:t>Inconstitucionalidade da norma que determina a execução obrigatória de orçamento elaborado com participação popular, inserida no § 4º do artigo 149 da Constituição Estadual. Vinculação da vontade popular na elaboração de leis orçamentárias contraria a competência exclusiva do Chefe do Poder Executivo.</w:t>
      </w:r>
    </w:p>
    <w:p>
      <w:pPr>
        <w:ind w:left="288"/>
      </w:pPr>
      <w:r>
        <w:rPr>
          <w:b/>
          <w:color w:val="003CA0"/>
          <w:sz w:val="16"/>
        </w:rPr>
        <w:t>[ADI 2.680, rel. min. Gilmar Mendes, j. 29-5-2020, P, DJE de 16-6-2020.]</w:t>
      </w:r>
    </w:p>
    <w:p>
      <w:pPr>
        <w:ind w:left="288"/>
      </w:pPr>
      <w:r>
        <w:rPr>
          <w:color w:val="8C8C8C"/>
          <w:sz w:val="12"/>
        </w:rPr>
        <w:t>cf-art-165-inc-III</w:t>
      </w:r>
      <w:r>
        <w:rPr>
          <w:color w:val="003CA0"/>
          <w:sz w:val="12"/>
        </w:rPr>
        <w:t xml:space="preserve"> | ADI 4.180</w:t>
      </w:r>
      <w:r>
        <w:rPr>
          <w:color w:val="003CA0"/>
          <w:sz w:val="12"/>
        </w:rPr>
        <w:t xml:space="preserve"> | rel. Gilmar Mendes</w:t>
      </w:r>
    </w:p>
    <w:p>
      <w:pPr>
        <w:ind w:left="288"/>
      </w:pPr>
      <w:r>
        <w:rPr>
          <w:color w:val="1E1E1E"/>
          <w:sz w:val="18"/>
        </w:rPr>
        <w:t>Ação direta de inconstitucionalidade. "Brasília Music Festival". Lei distrital 3.189/2003. Previsão de encargos orçamentários às Secretarias de Estado de Cultura e de Segurança Pública. Projeto de lei encaminhado por parlamentar. Vício de iniciativa. Violação aos arts. 61, § 1º, II, b; e 165, III, da CF.</w:t>
      </w:r>
    </w:p>
    <w:p>
      <w:pPr>
        <w:ind w:left="288"/>
      </w:pPr>
      <w:r>
        <w:rPr>
          <w:b/>
          <w:color w:val="003CA0"/>
          <w:sz w:val="16"/>
        </w:rPr>
        <w:t>[ADI 4.180, rel. min. Gilmar Mendes, j. 11-9-2014, P, DJE de 7-10-2014.]</w:t>
      </w:r>
    </w:p>
    <w:p>
      <w:pPr>
        <w:ind w:left="288"/>
      </w:pPr>
      <w:r>
        <w:rPr>
          <w:color w:val="8C8C8C"/>
          <w:sz w:val="12"/>
        </w:rPr>
        <w:t>cf-art-165-inc-III</w:t>
      </w:r>
      <w:r>
        <w:rPr>
          <w:color w:val="003CA0"/>
          <w:sz w:val="12"/>
        </w:rPr>
        <w:t xml:space="preserve"> | ADI 820</w:t>
      </w:r>
      <w:r>
        <w:rPr>
          <w:color w:val="003CA0"/>
          <w:sz w:val="12"/>
        </w:rPr>
        <w:t xml:space="preserve"> | rel. Eros Grau</w:t>
      </w:r>
    </w:p>
    <w:p>
      <w:pPr>
        <w:ind w:left="288"/>
      </w:pPr>
      <w:r>
        <w:rPr>
          <w:color w:val="1E1E1E"/>
          <w:sz w:val="18"/>
        </w:rPr>
        <w:t>Art. 202 da Constituição do Estado do Rio Grande do Sul. Lei estadual 9.723. Manutenção e desenvolvimento do ensino público. Aplicação mínima de 35% da receita resultante de impostos. Destinação de 10% desses recursos à manutenção e conservação das escolas públicas estaduais.</w:t>
      </w:r>
    </w:p>
    <w:p>
      <w:pPr>
        <w:ind w:left="288"/>
      </w:pPr>
      <w:r>
        <w:rPr>
          <w:b/>
          <w:color w:val="003CA0"/>
          <w:sz w:val="16"/>
        </w:rPr>
        <w:t>[ADI 820, rel. min. Eros Grau, j. 15-3-2007, P, DJE de 29-2-2008.]</w:t>
      </w:r>
    </w:p>
    <w:p>
      <w:pPr>
        <w:ind w:left="288"/>
      </w:pPr>
      <w:r>
        <w:rPr>
          <w:color w:val="8C8C8C"/>
          <w:sz w:val="12"/>
        </w:rPr>
        <w:t>cf-art-165-inc-III</w:t>
      </w:r>
      <w:r>
        <w:rPr>
          <w:color w:val="003CA0"/>
          <w:sz w:val="12"/>
        </w:rPr>
        <w:t xml:space="preserve"> | ADI 584</w:t>
      </w:r>
      <w:r>
        <w:rPr>
          <w:color w:val="003CA0"/>
          <w:sz w:val="12"/>
        </w:rPr>
        <w:t xml:space="preserve"> | rel. Dias Toffoli</w:t>
      </w:r>
    </w:p>
    <w:p>
      <w:pPr>
        <w:ind w:left="288"/>
      </w:pPr>
      <w:r>
        <w:rPr>
          <w:color w:val="1E1E1E"/>
          <w:sz w:val="18"/>
        </w:rPr>
        <w:t>= ADI 584, rel. min. Dias Toffoli, j. 19-3-2014, P, DJE de 9-4-2014 Lei do Estado do Rio Grande do Sul. Instituição do Polo Estadual da Música Erudita. Estrutura e atribuições de órgãos e secretarias da administração pública. Matéria de iniciativa privativa do chefe do Poder Executivo. Precedentes. Exigência de consignação de dotação orçamentária para execução da lei. Matéria de iniciativa do Poder Executivo.</w:t>
      </w:r>
    </w:p>
    <w:p>
      <w:pPr>
        <w:ind w:left="288"/>
      </w:pPr>
      <w:r>
        <w:rPr>
          <w:b/>
          <w:color w:val="003CA0"/>
          <w:sz w:val="16"/>
        </w:rPr>
        <w:t>[ADI 2.808, rel. min. Gilmar Mendes, j. 16-8-2006, P, DJ de 17-11-2006.]</w:t>
      </w:r>
    </w:p>
    <w:p>
      <w:pPr>
        <w:ind w:left="288"/>
      </w:pPr>
      <w:r>
        <w:rPr>
          <w:color w:val="8C8C8C"/>
          <w:sz w:val="12"/>
        </w:rPr>
        <w:t>cf-art-165-inc-III</w:t>
      </w:r>
      <w:r>
        <w:rPr>
          <w:color w:val="003CA0"/>
          <w:sz w:val="12"/>
        </w:rPr>
        <w:t xml:space="preserve"> | ADI 1.144</w:t>
      </w:r>
      <w:r>
        <w:rPr>
          <w:color w:val="003CA0"/>
          <w:sz w:val="12"/>
        </w:rPr>
        <w:t xml:space="preserve"> | rel. Eros Grau</w:t>
      </w:r>
    </w:p>
    <w:p>
      <w:pPr>
        <w:ind w:left="288"/>
      </w:pPr>
      <w:r>
        <w:rPr>
          <w:color w:val="1E1E1E"/>
          <w:sz w:val="18"/>
        </w:rPr>
        <w:t>Lei 10.238/1994 do Estado do Rio Grande do Sul. Instituição do Programa Estadual de Iluminação Pública, destinado aos Municípios. Criação de um conselho para administrar o programa. (...) O texto normativo, ao cercear a iniciativa para a elaboração da lei orçamentária, colide com o disposto no art. 165, III, da Constituição de 1988.</w:t>
      </w:r>
    </w:p>
    <w:p>
      <w:pPr>
        <w:ind w:left="288"/>
      </w:pPr>
      <w:r>
        <w:rPr>
          <w:b/>
          <w:color w:val="003CA0"/>
          <w:sz w:val="16"/>
        </w:rPr>
        <w:t>[ADI 1.144, rel. min. Eros Grau, j. 16-8-2006, P, DJ de 8-9-2006.]</w:t>
      </w:r>
    </w:p>
    <w:p>
      <w:pPr>
        <w:ind w:left="288"/>
      </w:pPr>
      <w:r>
        <w:rPr>
          <w:color w:val="8C8C8C"/>
          <w:sz w:val="12"/>
        </w:rPr>
        <w:t>cf-art-165-inc-III</w:t>
      </w:r>
      <w:r>
        <w:rPr>
          <w:color w:val="003CA0"/>
          <w:sz w:val="12"/>
        </w:rPr>
        <w:t xml:space="preserve"> | ADI 882</w:t>
      </w:r>
      <w:r>
        <w:rPr>
          <w:color w:val="003CA0"/>
          <w:sz w:val="12"/>
        </w:rPr>
        <w:t xml:space="preserve"> | rel. Maurício Corrêa</w:t>
      </w:r>
    </w:p>
    <w:p>
      <w:pPr>
        <w:ind w:left="288"/>
      </w:pPr>
      <w:r>
        <w:rPr>
          <w:color w:val="1E1E1E"/>
          <w:sz w:val="18"/>
        </w:rPr>
        <w:t>Orçamento anual. Competência privativa. Por força de vinculação administrativo-constitucional, a competência para propor orçamento anual é privativa do chefe do Poder Executivo.</w:t>
      </w:r>
    </w:p>
    <w:p>
      <w:pPr>
        <w:ind w:left="288"/>
      </w:pPr>
      <w:r>
        <w:rPr>
          <w:b/>
          <w:color w:val="003CA0"/>
          <w:sz w:val="16"/>
        </w:rPr>
        <w:t>[ADI 882, rel. min. Maurício Corrêa, j. 19-2-2004, P, DJ de 23-4-2004.]</w:t>
      </w:r>
    </w:p>
    <w:p>
      <w:pPr>
        <w:ind w:left="288"/>
      </w:pPr>
      <w:r>
        <w:rPr>
          <w:color w:val="8C8C8C"/>
          <w:sz w:val="12"/>
        </w:rPr>
        <w:t>cf-art-165-inc-III</w:t>
      </w:r>
      <w:r>
        <w:rPr>
          <w:color w:val="003CA0"/>
          <w:sz w:val="12"/>
        </w:rPr>
        <w:t xml:space="preserve"> | ADI 2.447</w:t>
      </w:r>
      <w:r>
        <w:rPr>
          <w:color w:val="003CA0"/>
          <w:sz w:val="12"/>
        </w:rPr>
        <w:t xml:space="preserve"> | rel. Joaquim Barbosa</w:t>
      </w:r>
    </w:p>
    <w:p>
      <w:pPr>
        <w:ind w:left="288"/>
      </w:pPr>
      <w:r>
        <w:rPr>
          <w:color w:val="1E1E1E"/>
          <w:sz w:val="18"/>
        </w:rPr>
        <w:t>= ADI 2.447, rel. min. Joaquim Barbosa, j. 4-3-2009, P, DJE de 4-12-2009 Dispositivo que, ao submeter à Câmara Legislativa distrital a autorização ou aprovação de convênios, acordos ou contratos de que resultem encargos não previstos na lei orçamentária, contraria a separação de poderes, inscrita no art. 2º da CF.</w:t>
      </w:r>
    </w:p>
    <w:p>
      <w:pPr>
        <w:ind w:left="288"/>
      </w:pPr>
      <w:r>
        <w:rPr>
          <w:b/>
          <w:color w:val="003CA0"/>
          <w:sz w:val="16"/>
        </w:rPr>
        <w:t>[ADI 1.166, rel. min. Ilmar Galvão, j. 5-9-2002, P, DJ de 25-10-2002.]</w:t>
      </w:r>
    </w:p>
    <w:p>
      <w:pPr>
        <w:ind w:left="144"/>
      </w:pPr>
      <w:r>
        <w:rPr>
          <w:b/>
          <w:color w:val="B45A00"/>
          <w:sz w:val="16"/>
        </w:rPr>
        <w:t>JULGADOS CORRELATOS</w:t>
      </w:r>
    </w:p>
    <w:p>
      <w:pPr>
        <w:ind w:left="288"/>
      </w:pPr>
      <w:r>
        <w:rPr>
          <w:color w:val="8C8C8C"/>
          <w:sz w:val="12"/>
        </w:rPr>
        <w:t>cf-art-165-inc-III</w:t>
      </w:r>
      <w:r>
        <w:rPr>
          <w:color w:val="003CA0"/>
          <w:sz w:val="12"/>
        </w:rPr>
        <w:t xml:space="preserve"> | ACO 3.414</w:t>
      </w:r>
      <w:r>
        <w:rPr>
          <w:color w:val="003CA0"/>
          <w:sz w:val="12"/>
        </w:rPr>
        <w:t xml:space="preserve"> | rel. Gilmar Mendes</w:t>
      </w:r>
    </w:p>
    <w:p>
      <w:pPr>
        <w:ind w:left="288"/>
      </w:pPr>
      <w:r>
        <w:rPr>
          <w:color w:val="1E1E1E"/>
          <w:sz w:val="18"/>
        </w:rPr>
        <w:t>Uso de recursos do FCDF para o pagamento de despesas do exercício anterior ao do orçamento vigente. Impossibilidade. Ofensa aos arts. 165, III, XIV, c/c art. 167, II, ambos da CF e ao princípio da anualidade orçamentária (...).</w:t>
      </w:r>
    </w:p>
    <w:p>
      <w:pPr>
        <w:ind w:left="288"/>
      </w:pPr>
      <w:r>
        <w:rPr>
          <w:b/>
          <w:color w:val="003CA0"/>
          <w:sz w:val="16"/>
        </w:rPr>
        <w:t>[ACO 3.414 AgR, rel. min. Gilmar Mendes, j. 18-12-2021, P, DJE de 15-2-2022.]</w:t>
      </w:r>
    </w:p>
    <w:p>
      <w:pPr>
        <w:ind w:left="288"/>
      </w:pPr>
      <w:r>
        <w:rPr>
          <w:color w:val="8C8C8C"/>
          <w:sz w:val="12"/>
        </w:rPr>
        <w:t>cf-art-165-par-1</w:t>
      </w:r>
    </w:p>
    <w:p>
      <w:pPr>
        <w:ind w:left="288"/>
      </w:pPr>
      <w:r>
        <w:rPr>
          <w:color w:val="1E1E1E"/>
          <w:sz w:val="18"/>
        </w:rPr>
        <w:t>§ 2º A lei de diretrizes orçamentárias compreenderá as metas e prioridades da administração pública federal, estabelecerá as diretrizes de política fiscal e respectivas metas, em consonância com trajetória sustentável da dívida pública, orientará a elaboração da lei orçamentária anual, disporá sobre as alterações na legislação tributária e estabelecerá a política de aplicação das agências financeiras oficiais de fomento. (Redação dada pela EC n. 109/2021)</w:t>
      </w:r>
    </w:p>
    <w:p>
      <w:pPr>
        <w:ind w:left="144"/>
      </w:pPr>
      <w:r>
        <w:rPr>
          <w:b/>
          <w:color w:val="B45A00"/>
          <w:sz w:val="16"/>
        </w:rPr>
        <w:t>CONTROLE CONCENTRADO</w:t>
      </w:r>
    </w:p>
    <w:p>
      <w:pPr>
        <w:ind w:left="288"/>
      </w:pPr>
      <w:r>
        <w:rPr>
          <w:color w:val="8C8C8C"/>
          <w:sz w:val="12"/>
        </w:rPr>
        <w:t>cf-art-165-par-4</w:t>
      </w:r>
      <w:r>
        <w:rPr>
          <w:color w:val="003CA0"/>
          <w:sz w:val="12"/>
        </w:rPr>
        <w:t xml:space="preserve"> | ADI 224</w:t>
      </w:r>
      <w:r>
        <w:rPr>
          <w:color w:val="003CA0"/>
          <w:sz w:val="12"/>
        </w:rPr>
        <w:t xml:space="preserve"> | rel. Paulo Brossard</w:t>
      </w:r>
    </w:p>
    <w:p>
      <w:pPr>
        <w:ind w:left="288"/>
      </w:pPr>
      <w:r>
        <w:rPr>
          <w:color w:val="1E1E1E"/>
          <w:sz w:val="18"/>
        </w:rPr>
        <w:t>O "Programa Nacional de Petroquímica" [PNP] não prevê investimentos governamentais, nem despesas de capital e outras, que devam ser levadas ao Orçamento. Inexistência de ofensa ao art. 167, I e seu § 1º, da Constituição. Estão sob reserva de lei os "planos e programas nacionais, regionais e setoriais", a que se referem os arts. 48, IV, e 165, § 4º, da CF: a) os que implicam em investimentos ou despesas para a União, e, neste caso, necessariamente inseridos no seu orçamento, art. 165, §§ 1º e 4º; b) os que, ainda que não impliquem investimentos ou despesas para a União, estejam previstos na Con</w:t>
      </w:r>
    </w:p>
    <w:p>
      <w:pPr>
        <w:ind w:left="288"/>
      </w:pPr>
      <w:r>
        <w:rPr>
          <w:b/>
          <w:color w:val="003CA0"/>
          <w:sz w:val="16"/>
        </w:rPr>
        <w:t>[ADI 224 QO, rel. min. Paulo Brossard, j. 13-10-1994, P, DJ de 2-12-1994.]</w:t>
      </w:r>
    </w:p>
    <w:p>
      <w:pPr>
        <w:ind w:left="288"/>
      </w:pPr>
      <w:r>
        <w:rPr>
          <w:color w:val="8C8C8C"/>
          <w:sz w:val="12"/>
        </w:rPr>
        <w:t>cf-art-165-par-5</w:t>
      </w:r>
      <w:r>
        <w:rPr>
          <w:color w:val="003CA0"/>
          <w:sz w:val="12"/>
        </w:rPr>
        <w:t xml:space="preserve"> | ADI 3.949</w:t>
      </w:r>
      <w:r>
        <w:rPr>
          <w:color w:val="003CA0"/>
          <w:sz w:val="12"/>
        </w:rPr>
        <w:t xml:space="preserve"> | rel. Gilmar Mendes</w:t>
      </w:r>
    </w:p>
    <w:p>
      <w:pPr>
        <w:ind w:left="288"/>
      </w:pPr>
      <w:r>
        <w:rPr>
          <w:color w:val="1E1E1E"/>
          <w:sz w:val="18"/>
        </w:rPr>
        <w:t>Apesar da existência de termo final de vigência da CPMF e da DRU [Desvinculação das Receitas da União] (31-12-2007), não seria exigível outro comportamento do Poder Executivo, na elaboração da proposta orçamentária, e do Poder Legislativo, na sua aprovação, que não o de levar em consideração, na estimativa de receitas, os recursos financeiros provenientes dessas receitas derivadas, as quais já eram objeto de proposta de emenda constitucional (PEC 50, de 2007). O princípio da universalidade em matéria orçamentária exige que todas as receitas sejam previstas na lei orçamentária, sem possibilidad</w:t>
      </w:r>
    </w:p>
    <w:p>
      <w:pPr>
        <w:ind w:left="288"/>
      </w:pPr>
      <w:r>
        <w:rPr>
          <w:b/>
          <w:color w:val="003CA0"/>
          <w:sz w:val="16"/>
        </w:rPr>
        <w:t>[ADI 3.949 MC, rel. min. Gilmar Mendes, j. 14-8-2008, P, DJE de 7-8-2009.]</w:t>
      </w:r>
    </w:p>
    <w:p>
      <w:pPr>
        <w:ind w:left="288"/>
      </w:pPr>
      <w:r>
        <w:rPr>
          <w:color w:val="8C8C8C"/>
          <w:sz w:val="12"/>
        </w:rPr>
        <w:t>cf-art-165-par-5-inc-II</w:t>
      </w:r>
    </w:p>
    <w:p>
      <w:pPr>
        <w:ind w:left="288"/>
      </w:pPr>
      <w:r>
        <w:rPr>
          <w:color w:val="1E1E1E"/>
          <w:sz w:val="18"/>
        </w:rPr>
        <w:t>III - o orçamento da seguridade social, abrangendo todas as entidades e órgãos a ela vinculados, da administração direta ou indireta, bem como os fundos e fundações instituídos e mantidos pelo Poder Público.</w:t>
      </w:r>
    </w:p>
    <w:p>
      <w:pPr>
        <w:ind w:left="288"/>
      </w:pPr>
      <w:r>
        <w:rPr>
          <w:color w:val="8C8C8C"/>
          <w:sz w:val="12"/>
        </w:rPr>
        <w:t>cf-art-165-par-5-inc-II</w:t>
      </w:r>
      <w:r>
        <w:rPr>
          <w:color w:val="003CA0"/>
          <w:sz w:val="12"/>
        </w:rPr>
        <w:t xml:space="preserve"> | ADI 1.417</w:t>
      </w:r>
      <w:r>
        <w:rPr>
          <w:color w:val="003CA0"/>
          <w:sz w:val="12"/>
        </w:rPr>
        <w:t xml:space="preserve"> | rel. Octavio Gallotti</w:t>
      </w:r>
    </w:p>
    <w:p>
      <w:pPr>
        <w:ind w:left="288"/>
      </w:pPr>
      <w:r>
        <w:rPr>
          <w:color w:val="1E1E1E"/>
          <w:sz w:val="18"/>
        </w:rPr>
        <w:t>Não compromete a autonomia do orçamento da seguridade social (...) a atribuição, à Secretaria da Receita Federal de administração e fiscalização da contribuição em causa.</w:t>
      </w:r>
    </w:p>
    <w:p>
      <w:pPr>
        <w:ind w:left="288"/>
      </w:pPr>
      <w:r>
        <w:rPr>
          <w:b/>
          <w:color w:val="003CA0"/>
          <w:sz w:val="16"/>
        </w:rPr>
        <w:t>[ADI 1.417, rel. min. Octavio Gallotti, j. 2-8-1999, P, DJ de 23-3-2001.]</w:t>
      </w:r>
    </w:p>
    <w:p>
      <w:pPr>
        <w:ind w:left="288"/>
      </w:pPr>
      <w:r>
        <w:rPr>
          <w:color w:val="8C8C8C"/>
          <w:sz w:val="12"/>
        </w:rPr>
        <w:t>cf-art-165-par-5-inc-II</w:t>
      </w:r>
      <w:r>
        <w:rPr>
          <w:color w:val="003CA0"/>
          <w:sz w:val="12"/>
        </w:rPr>
        <w:t xml:space="preserve"> | ADI 763</w:t>
      </w:r>
      <w:r>
        <w:rPr>
          <w:color w:val="003CA0"/>
          <w:sz w:val="12"/>
        </w:rPr>
        <w:t xml:space="preserve"> | rel. Edson Fachin</w:t>
      </w:r>
    </w:p>
    <w:p>
      <w:pPr>
        <w:ind w:left="288"/>
      </w:pPr>
      <w:r>
        <w:rPr>
          <w:color w:val="1E1E1E"/>
          <w:sz w:val="18"/>
        </w:rPr>
        <w:t>= ADI 763, rel. min. Edson Fachin, j. 25-11-2015, P, DJE de 4-12-2015</w:t>
      </w:r>
    </w:p>
    <w:p>
      <w:pPr>
        <w:ind w:left="144"/>
      </w:pPr>
      <w:r>
        <w:rPr>
          <w:b/>
          <w:color w:val="B45A00"/>
          <w:sz w:val="16"/>
        </w:rPr>
        <w:t>JULGADOS CORRELATOS</w:t>
      </w:r>
    </w:p>
    <w:p>
      <w:pPr>
        <w:ind w:left="288"/>
      </w:pPr>
      <w:r>
        <w:rPr>
          <w:color w:val="8C8C8C"/>
          <w:sz w:val="12"/>
        </w:rPr>
        <w:t>cf-art-165-par-6</w:t>
      </w:r>
      <w:r>
        <w:rPr>
          <w:color w:val="003CA0"/>
          <w:sz w:val="12"/>
        </w:rPr>
        <w:t xml:space="preserve"> | RMS 26.899</w:t>
      </w:r>
      <w:r>
        <w:rPr>
          <w:color w:val="003CA0"/>
          <w:sz w:val="12"/>
        </w:rPr>
        <w:t xml:space="preserve"> | rel. Cármen Lúcia</w:t>
      </w:r>
    </w:p>
    <w:p>
      <w:pPr>
        <w:ind w:left="288"/>
      </w:pPr>
      <w:r>
        <w:rPr>
          <w:color w:val="1E1E1E"/>
          <w:sz w:val="18"/>
        </w:rPr>
        <w:t>O não cumprimento de portaria do ministro da Justiça que reconheceu o recorrente como anistiado político, fixando-lhe indenização de valor certo e determinado, caracteriza-se ato omissivo da administração pública. Configurado o direito líquido e certo do recorrente, por se tratar de cumprimento de obrigação de fazer, e não cobrança de valores anteriores à impetração da presente ação mandamental. Não incidência das Súmulas 269 e 271 do STF. Demonstrada a existência de prévia dotação orçamentária, não há afronta ao princípio da legalidade da despesa pública.</w:t>
      </w:r>
    </w:p>
    <w:p>
      <w:pPr>
        <w:ind w:left="288"/>
      </w:pPr>
      <w:r>
        <w:rPr>
          <w:b/>
          <w:color w:val="003CA0"/>
          <w:sz w:val="16"/>
        </w:rPr>
        <w:t>[RMS 26.899, rel. min. Cármen Lúcia, j. 25-5-2010, 1ª T, DJE de 6-8-2010.]</w:t>
      </w:r>
    </w:p>
    <w:p>
      <w:pPr>
        <w:ind w:left="288"/>
      </w:pPr>
      <w:r>
        <w:rPr>
          <w:color w:val="8C8C8C"/>
          <w:sz w:val="12"/>
        </w:rPr>
        <w:t>cf-art-165-par-6</w:t>
      </w:r>
      <w:r>
        <w:rPr>
          <w:color w:val="003CA0"/>
          <w:sz w:val="12"/>
        </w:rPr>
        <w:t xml:space="preserve"> | AI 798.495</w:t>
      </w:r>
      <w:r>
        <w:rPr>
          <w:color w:val="003CA0"/>
          <w:sz w:val="12"/>
        </w:rPr>
        <w:t xml:space="preserve"> | rel. Gilmar Mendes</w:t>
      </w:r>
    </w:p>
    <w:p>
      <w:pPr>
        <w:ind w:left="288"/>
      </w:pPr>
      <w:r>
        <w:rPr>
          <w:color w:val="1E1E1E"/>
          <w:sz w:val="18"/>
        </w:rPr>
        <w:t>Vide AI 798.495 AgR, rel. min. Gilmar Mendes, j. 16-11-2010, 2ª T, DJE de 30-11-2010</w:t>
      </w:r>
    </w:p>
    <w:p>
      <w:pPr>
        <w:ind w:left="144"/>
      </w:pPr>
      <w:r>
        <w:rPr>
          <w:b/>
          <w:color w:val="B45A00"/>
          <w:sz w:val="16"/>
        </w:rPr>
        <w:t>CONTROLE CONCENTRADO</w:t>
      </w:r>
    </w:p>
    <w:p>
      <w:pPr>
        <w:ind w:left="288"/>
      </w:pPr>
      <w:r>
        <w:rPr>
          <w:color w:val="8C8C8C"/>
          <w:sz w:val="12"/>
        </w:rPr>
        <w:t>cf-art-165-par-8</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55: alegação de contrariedade ao art. 165, § 8º, da CF: improcedência. O dispositivo impugnado, que permite a contratação de operação de crédito por antecipação da receita, é compatível com a ressalva do § 8º do art. 165 da Constituição.</w:t>
      </w:r>
    </w:p>
    <w:p>
      <w:pPr>
        <w:ind w:left="288"/>
      </w:pPr>
      <w:r>
        <w:rPr>
          <w:b/>
          <w:color w:val="003CA0"/>
          <w:sz w:val="16"/>
        </w:rPr>
        <w:t>[ADI 3.652, rel. min. Sepúlveda Pertence, j. 19-12-2006, P, DJ de 16-3-2007.]</w:t>
      </w:r>
    </w:p>
    <w:p>
      <w:pPr>
        <w:ind w:left="288"/>
      </w:pPr>
      <w:r>
        <w:rPr>
          <w:color w:val="8C8C8C"/>
          <w:sz w:val="12"/>
        </w:rPr>
        <w:t>cf-art-165-par-9-inc-I</w:t>
      </w:r>
      <w:r>
        <w:rPr>
          <w:color w:val="003CA0"/>
          <w:sz w:val="12"/>
        </w:rPr>
        <w:t xml:space="preserve"> | ADI 4.081</w:t>
      </w:r>
      <w:r>
        <w:rPr>
          <w:color w:val="003CA0"/>
          <w:sz w:val="12"/>
        </w:rPr>
        <w:t xml:space="preserve"> | rel. Edson Fachin</w:t>
      </w:r>
    </w:p>
    <w:p>
      <w:pPr>
        <w:ind w:left="288"/>
      </w:pPr>
      <w:r>
        <w:rPr>
          <w:color w:val="1E1E1E"/>
          <w:sz w:val="18"/>
        </w:rPr>
        <w:t>A CF de 1988 é expressa em seu art. 165, § 9º, I, no sentido de que cabe à lei complementar de âmbito nacional dispor sobre a elaboração do plano plurianual, de modo que é incabível ao Tribunal de Contas de Estado-membro tratar da matéria por meio de ato infralegal.</w:t>
      </w:r>
    </w:p>
    <w:p>
      <w:pPr>
        <w:ind w:left="288"/>
      </w:pPr>
      <w:r>
        <w:rPr>
          <w:b/>
          <w:color w:val="003CA0"/>
          <w:sz w:val="16"/>
        </w:rPr>
        <w:t>[ADI 4.081, rel. min. Edson Fachin, j. 25-11-2015, P, DJE de 4-12-2015.]</w:t>
      </w:r>
    </w:p>
    <w:p>
      <w:pPr>
        <w:ind w:left="288"/>
      </w:pPr>
      <w:r>
        <w:rPr>
          <w:color w:val="8C8C8C"/>
          <w:sz w:val="12"/>
        </w:rPr>
        <w:t>cf-art-165-par-9-inc-II</w:t>
      </w:r>
      <w:r>
        <w:rPr>
          <w:color w:val="003CA0"/>
          <w:sz w:val="12"/>
        </w:rPr>
        <w:t xml:space="preserve"> | ADI 2.250</w:t>
      </w:r>
      <w:r>
        <w:rPr>
          <w:color w:val="003CA0"/>
          <w:sz w:val="12"/>
        </w:rPr>
        <w:t xml:space="preserve"> | rel. Alexandre de Moraes</w:t>
      </w:r>
    </w:p>
    <w:p>
      <w:pPr>
        <w:ind w:left="288"/>
      </w:pPr>
      <w:r>
        <w:rPr>
          <w:color w:val="1E1E1E"/>
          <w:sz w:val="18"/>
        </w:rPr>
        <w:t xml:space="preserve">Lei complementar 101/2000. Lei de Responsabilidade Fiscal (LRF). Artigos 35 e 51. Princípio federativo. Compatibilidade. (...) O art. 35 da LRF tem a missão de coibir o endividamento gerado a partir de operações internas entre entes da Federação, dados os riscos deste tipo de avença para o equilíbrio das contas públicas. A vedação por ele estabelecida, embora ampla, não é excessiva, uma vez que visa à contenção de quadro de endividamento crônico, cujos impactos sobre a harmonia federativa são sensivelmente relevantes. O art. 51 da LRF não veicula qualquer condicionamento material da autonomia </w:t>
      </w:r>
    </w:p>
    <w:p>
      <w:pPr>
        <w:ind w:left="288"/>
      </w:pPr>
      <w:r>
        <w:rPr>
          <w:b/>
          <w:color w:val="003CA0"/>
          <w:sz w:val="16"/>
        </w:rPr>
        <w:t>[ADI 2.250, rel. min. Alexandre de Moraes, j. 21-8-2019, P, DJE de 9-9-2020.]</w:t>
      </w:r>
    </w:p>
    <w:p>
      <w:pPr>
        <w:ind w:left="288"/>
      </w:pPr>
      <w:r>
        <w:rPr>
          <w:color w:val="8C8C8C"/>
          <w:sz w:val="12"/>
        </w:rPr>
        <w:t>cf-art-165-par-9-inc-II</w:t>
      </w:r>
      <w:r>
        <w:rPr>
          <w:color w:val="003CA0"/>
          <w:sz w:val="12"/>
        </w:rPr>
        <w:t xml:space="preserve"> | ADI 2.855</w:t>
      </w:r>
      <w:r>
        <w:rPr>
          <w:color w:val="003CA0"/>
          <w:sz w:val="12"/>
        </w:rPr>
        <w:t xml:space="preserve"> | rel. Marco Aurélio</w:t>
      </w:r>
    </w:p>
    <w:p>
      <w:pPr>
        <w:ind w:left="288"/>
      </w:pPr>
      <w:r>
        <w:rPr>
          <w:color w:val="1E1E1E"/>
          <w:sz w:val="18"/>
        </w:rPr>
        <w:t>Depósitos judiciais. Iniciativa de lei. Ao Judiciário não cabe a iniciativa de lei visando disciplinar o Sistema Financeiro de Conta Única de Depósitos. (...) Diferença entre a remuneração das contas e rendimento previsto em lei. Utilização pelo Judiciário. Surge conflitante com a Carta da República lei do Estado, de iniciativa do Judiciário, a dispor sobre Sistema Financeiro de Conta Única de Depósitos Judiciais com aporte de diferença de acessórios em benefício do Poder Judiciário.</w:t>
      </w:r>
    </w:p>
    <w:p>
      <w:pPr>
        <w:ind w:left="288"/>
      </w:pPr>
      <w:r>
        <w:rPr>
          <w:b/>
          <w:color w:val="003CA0"/>
          <w:sz w:val="16"/>
        </w:rPr>
        <w:t>[ADI 2.855, rel. min. Marco Aurélio, j. 12-5-2010, P, DJE de 17-9-2010.]</w:t>
      </w:r>
    </w:p>
    <w:p>
      <w:pPr>
        <w:ind w:left="288"/>
      </w:pPr>
      <w:r>
        <w:rPr>
          <w:color w:val="8C8C8C"/>
          <w:sz w:val="12"/>
        </w:rPr>
        <w:t>cf-art-165-par-9-inc-II</w:t>
      </w:r>
      <w:r>
        <w:rPr>
          <w:color w:val="003CA0"/>
          <w:sz w:val="12"/>
        </w:rPr>
        <w:t xml:space="preserve"> | ADI 2.909</w:t>
      </w:r>
      <w:r>
        <w:rPr>
          <w:color w:val="003CA0"/>
          <w:sz w:val="12"/>
        </w:rPr>
        <w:t xml:space="preserve"> | rel. Ayres Britto</w:t>
      </w:r>
    </w:p>
    <w:p>
      <w:pPr>
        <w:ind w:left="288"/>
      </w:pPr>
      <w:r>
        <w:rPr>
          <w:color w:val="1E1E1E"/>
          <w:sz w:val="18"/>
        </w:rPr>
        <w:t>Vide ADI 2.909, rel. min. Ayres Britto, j. 12-5-2010, P, DJE de 11-6-2010</w:t>
      </w:r>
    </w:p>
    <w:p>
      <w:pPr>
        <w:ind w:left="720"/>
      </w:pPr>
      <w:r>
        <w:rPr>
          <w:color w:val="003366"/>
          <w:sz w:val="18"/>
        </w:rPr>
        <w:t>I – o plano plurianual;</w:t>
      </w:r>
    </w:p>
    <w:p>
      <w:pPr>
        <w:ind w:left="720"/>
      </w:pPr>
      <w:r>
        <w:rPr>
          <w:color w:val="003366"/>
          <w:sz w:val="18"/>
        </w:rPr>
        <w:t>II – as diretrizes orçamentárias;</w:t>
      </w:r>
    </w:p>
    <w:p>
      <w:pPr>
        <w:ind w:left="720"/>
      </w:pPr>
      <w:r>
        <w:rPr>
          <w:color w:val="003366"/>
          <w:sz w:val="18"/>
        </w:rPr>
        <w:t>III – os orçamentos anuais.</w:t>
      </w:r>
    </w:p>
    <w:p>
      <w:pPr>
        <w:ind w:left="432"/>
      </w:pPr>
      <w:r>
        <w:rPr>
          <w:color w:val="003366"/>
          <w:sz w:val="18"/>
        </w:rPr>
        <w:t>§ 1 A lei que instituir o plano plurianual estabelecerá, de forma regionalizada,</w:t>
      </w:r>
    </w:p>
    <w:p>
      <w:pPr>
        <w:ind w:left="432"/>
      </w:pPr>
      <w:r>
        <w:rPr>
          <w:color w:val="003366"/>
          <w:sz w:val="18"/>
        </w:rPr>
        <w:t>§ 2 A lei de diretrizes orçamentárias compreenderá as metas e prioridades da adm</w:t>
      </w:r>
    </w:p>
    <w:p>
      <w:pPr>
        <w:ind w:left="432"/>
      </w:pPr>
      <w:r>
        <w:rPr>
          <w:color w:val="003366"/>
          <w:sz w:val="18"/>
        </w:rPr>
        <w:t>§ 3 O Poder Executivo publicará, até trinta dias após o encerramento de cada bim</w:t>
      </w:r>
    </w:p>
    <w:p>
      <w:pPr>
        <w:ind w:left="432"/>
      </w:pPr>
      <w:r>
        <w:rPr>
          <w:color w:val="003366"/>
          <w:sz w:val="18"/>
        </w:rPr>
        <w:t>§ 4 Os planos e programas nacionais, regionais e setoriais previstos nesta Const</w:t>
      </w:r>
    </w:p>
    <w:p>
      <w:pPr>
        <w:ind w:left="432"/>
      </w:pPr>
      <w:r>
        <w:rPr>
          <w:color w:val="003366"/>
          <w:sz w:val="18"/>
        </w:rPr>
        <w:t>§ 5 A lei orçamentária anual compreenderá:</w:t>
      </w:r>
    </w:p>
    <w:p>
      <w:pPr>
        <w:ind w:left="720"/>
      </w:pPr>
      <w:r>
        <w:rPr>
          <w:color w:val="003366"/>
          <w:sz w:val="18"/>
        </w:rPr>
        <w:t>I – o orçamento fiscal referente aos Poderes da União, seus fundos, órgãos e ent</w:t>
      </w:r>
    </w:p>
    <w:p>
      <w:pPr>
        <w:ind w:left="720"/>
      </w:pPr>
      <w:r>
        <w:rPr>
          <w:color w:val="003366"/>
          <w:sz w:val="18"/>
        </w:rPr>
        <w:t>II – o orçamento de investimento das empresas em que a União, direta ou indireta</w:t>
      </w:r>
    </w:p>
    <w:p>
      <w:pPr>
        <w:ind w:left="720"/>
      </w:pPr>
      <w:r>
        <w:rPr>
          <w:color w:val="003366"/>
          <w:sz w:val="18"/>
        </w:rPr>
        <w:t>III – o orçamento da seguridade social, abrangendo todas as entidades e órgãos a</w:t>
      </w:r>
    </w:p>
    <w:p>
      <w:pPr>
        <w:ind w:left="432"/>
      </w:pPr>
      <w:r>
        <w:rPr>
          <w:color w:val="003366"/>
          <w:sz w:val="18"/>
        </w:rPr>
        <w:t>§ 6 O projeto de lei orçamentária será acompanhado de demonstrativo regionalizad</w:t>
      </w:r>
    </w:p>
    <w:p>
      <w:pPr>
        <w:ind w:left="432"/>
      </w:pPr>
      <w:r>
        <w:rPr>
          <w:color w:val="003366"/>
          <w:sz w:val="18"/>
        </w:rPr>
        <w:t xml:space="preserve">§ 7 Os orçamentos previstos no § 5º, I e II, deste artigo, compatibilizados com </w:t>
      </w:r>
    </w:p>
    <w:p>
      <w:pPr>
        <w:ind w:left="432"/>
      </w:pPr>
      <w:r>
        <w:rPr>
          <w:color w:val="003366"/>
          <w:sz w:val="18"/>
        </w:rPr>
        <w:t>§ 8 A lei orçamentária anual não conterá dispositivo estranho à previsão da rece</w:t>
      </w:r>
    </w:p>
    <w:p>
      <w:pPr>
        <w:ind w:left="432"/>
      </w:pPr>
      <w:r>
        <w:rPr>
          <w:color w:val="003366"/>
          <w:sz w:val="18"/>
        </w:rPr>
        <w:t>§ 9 Cabe à lei complementar:</w:t>
      </w:r>
    </w:p>
    <w:p>
      <w:pPr>
        <w:ind w:left="720"/>
      </w:pPr>
      <w:r>
        <w:rPr>
          <w:color w:val="003366"/>
          <w:sz w:val="18"/>
        </w:rPr>
        <w:t>I – dispor sobre o exercício financeiro, a vigência, os prazos, a elaboração e a</w:t>
      </w:r>
    </w:p>
    <w:p>
      <w:pPr>
        <w:ind w:left="720"/>
      </w:pPr>
      <w:r>
        <w:rPr>
          <w:color w:val="003366"/>
          <w:sz w:val="18"/>
        </w:rPr>
        <w:t>II – estabelecer normas de gestão financeira e patrimonial da administração dire</w:t>
      </w:r>
    </w:p>
    <w:p>
      <w:pPr>
        <w:ind w:left="720"/>
      </w:pPr>
      <w:r>
        <w:rPr>
          <w:color w:val="003366"/>
          <w:sz w:val="18"/>
        </w:rPr>
        <w:t>III – dispor sobre critérios para a execução equitativa, além de procedimentos q</w:t>
      </w:r>
    </w:p>
    <w:p>
      <w:pPr>
        <w:ind w:left="432"/>
      </w:pPr>
      <w:r>
        <w:rPr>
          <w:color w:val="003366"/>
          <w:sz w:val="18"/>
        </w:rPr>
        <w:t>§ 10 A administração tem o dever de executar as programações orçamentárias, adot</w:t>
      </w:r>
    </w:p>
    <w:p>
      <w:pPr>
        <w:ind w:left="432"/>
      </w:pPr>
      <w:r>
        <w:rPr>
          <w:color w:val="003366"/>
          <w:sz w:val="18"/>
        </w:rPr>
        <w:t>§ 11 O disposto no § 10 deste artigo, nos termos da lei de diretrizes orçamentár</w:t>
      </w:r>
    </w:p>
    <w:p>
      <w:pPr>
        <w:ind w:left="720"/>
      </w:pPr>
      <w:r>
        <w:rPr>
          <w:color w:val="003366"/>
          <w:sz w:val="18"/>
        </w:rPr>
        <w:t>I – subordina-se ao cumprimento de dispositivos constitucionais e legais que est</w:t>
      </w:r>
    </w:p>
    <w:p>
      <w:pPr>
        <w:ind w:left="720"/>
      </w:pPr>
      <w:r>
        <w:rPr>
          <w:color w:val="003366"/>
          <w:sz w:val="18"/>
        </w:rPr>
        <w:t>II – não se aplica nos casos de impedimentos de ordem técnica devidamente justif</w:t>
      </w:r>
    </w:p>
    <w:p>
      <w:pPr>
        <w:ind w:left="720"/>
      </w:pPr>
      <w:r>
        <w:rPr>
          <w:color w:val="003366"/>
          <w:sz w:val="18"/>
        </w:rPr>
        <w:t>III – aplica-se exclusivamente às despesas primárias discricionárias.</w:t>
      </w:r>
    </w:p>
    <w:p>
      <w:pPr>
        <w:ind w:left="432"/>
      </w:pPr>
      <w:r>
        <w:rPr>
          <w:color w:val="003366"/>
          <w:sz w:val="18"/>
        </w:rPr>
        <w:t>§ 12 Integrará a lei de diretrizes orçamentárias, para o exercício a que se refe</w:t>
      </w:r>
    </w:p>
    <w:p>
      <w:pPr>
        <w:ind w:left="432"/>
      </w:pPr>
      <w:r>
        <w:rPr>
          <w:color w:val="003366"/>
          <w:sz w:val="18"/>
        </w:rPr>
        <w:t>§ 13 O disposto no inciso III do § 9º e nos §§ 10, 11 e 12 deste artigo aplica-s</w:t>
      </w:r>
    </w:p>
    <w:p>
      <w:pPr>
        <w:ind w:left="432"/>
      </w:pPr>
      <w:r>
        <w:rPr>
          <w:color w:val="003366"/>
          <w:sz w:val="18"/>
        </w:rPr>
        <w:t>§ 14 A lei orçamentária anual poderá conter previsões de despesas para exercício</w:t>
      </w:r>
    </w:p>
    <w:p>
      <w:pPr>
        <w:ind w:left="432"/>
      </w:pPr>
      <w:r>
        <w:rPr>
          <w:color w:val="003366"/>
          <w:sz w:val="18"/>
        </w:rPr>
        <w:t>§ 15 A União organizará e manterá registro centralizado de projetos de investime</w:t>
      </w:r>
    </w:p>
    <w:p>
      <w:pPr>
        <w:ind w:left="432"/>
      </w:pPr>
      <w:r>
        <w:rPr>
          <w:color w:val="003366"/>
          <w:sz w:val="18"/>
        </w:rPr>
        <w:t>§ 16 As leis de que trata este artigo devem observar, no que couber, os resultad</w:t>
      </w:r>
    </w:p>
    <w:p>
      <w:pPr>
        <w:ind w:left="432"/>
      </w:pPr>
      <w:r>
        <w:rPr>
          <w:color w:val="003366"/>
          <w:sz w:val="18"/>
        </w:rPr>
        <w:t>§ 17 Para o cumprimento do disposto no inciso I do § 11 deste artigo, o Poder Ex</w:t>
      </w:r>
    </w:p>
    <w:p>
      <w:pPr>
        <w:ind w:left="432"/>
      </w:pPr>
      <w:r>
        <w:rPr>
          <w:color w:val="003366"/>
          <w:sz w:val="18"/>
        </w:rPr>
        <w:t>§ 18 A partir do exercício financeiro de 2026, serão excluídas do limite individ</w:t>
      </w:r>
    </w:p>
    <w:p>
      <w:pPr>
        <w:ind w:left="432"/>
      </w:pPr>
      <w:r>
        <w:rPr>
          <w:color w:val="003366"/>
          <w:sz w:val="18"/>
        </w:rPr>
        <w:t xml:space="preserve">§ 19 A partir de 2026, o limite individualizado para o Poder Executivo é aquele </w:t>
      </w:r>
    </w:p>
    <w:p>
      <w:pPr>
        <w:ind w:left="432"/>
      </w:pPr>
      <w:r>
        <w:rPr>
          <w:color w:val="003366"/>
          <w:sz w:val="18"/>
        </w:rPr>
        <w:t>§ 20 O disposto nos §§ 18 e 19 deste artigo não implicará revisão da base de cál</w:t>
      </w:r>
    </w:p>
    <w:p>
      <w:pPr>
        <w:ind w:left="432"/>
      </w:pPr>
      <w:r>
        <w:rPr>
          <w:color w:val="003366"/>
          <w:sz w:val="18"/>
        </w:rPr>
        <w:t>§ 21 A partir de 2027, as despesas anuais da União com precatórios e requisições</w:t>
      </w:r>
    </w:p>
    <w:p>
      <w:pPr>
        <w:ind w:left="432"/>
      </w:pPr>
      <w:r>
        <w:rPr>
          <w:color w:val="003366"/>
          <w:sz w:val="18"/>
        </w:rPr>
        <w:t>§ 22 Para o exercício financeiro de 2026, não será computado na meta de resultad</w:t>
      </w:r>
    </w:p>
    <w:p>
      <w:r>
        <w:rPr>
          <w:b/>
          <w:color w:val="003366"/>
          <w:sz w:val="20"/>
        </w:rPr>
        <w:t>Art. 166 Os projetos de lei relativos ao plano plurianual, às diretrizes orçamen</w:t>
      </w:r>
      <w:r>
        <w:rPr>
          <w:color w:val="8C8C8C"/>
          <w:sz w:val="14"/>
        </w:rPr>
        <w:t xml:space="preserve">  [9 decisoes]</w:t>
      </w:r>
    </w:p>
    <w:p>
      <w:pPr>
        <w:ind w:left="144"/>
      </w:pPr>
      <w:r>
        <w:rPr>
          <w:b/>
          <w:color w:val="B45A00"/>
          <w:sz w:val="16"/>
        </w:rPr>
        <w:t>CONTROLE CONCENTRADO</w:t>
      </w:r>
    </w:p>
    <w:p>
      <w:pPr>
        <w:ind w:left="288"/>
      </w:pPr>
      <w:r>
        <w:rPr>
          <w:color w:val="8C8C8C"/>
          <w:sz w:val="12"/>
        </w:rPr>
        <w:t>cf-art-166</w:t>
      </w:r>
      <w:r>
        <w:rPr>
          <w:color w:val="003CA0"/>
          <w:sz w:val="12"/>
        </w:rPr>
        <w:t xml:space="preserve"> | ADI 7.058</w:t>
      </w:r>
    </w:p>
    <w:p>
      <w:pPr>
        <w:ind w:left="288"/>
      </w:pPr>
      <w:r>
        <w:rPr>
          <w:color w:val="1E1E1E"/>
          <w:sz w:val="18"/>
        </w:rPr>
        <w:t>O art. 12, XXVII, da Lei de Diretrizes Orçamentárias se limitou a especificar os critérios para apuração do valor a ser destinado ao Fundo Eleitoral instituído pelo art. 16-C da Lei 9.504/1997, que veio a ser fixado via Lei Orçamentaria Anual. Inexistência de contrariedade a disciplina constitucional orçamentaria ou as disposições estabelecidas no plano plurianual.</w:t>
      </w:r>
    </w:p>
    <w:p>
      <w:pPr>
        <w:ind w:left="288"/>
      </w:pPr>
      <w:r>
        <w:rPr>
          <w:b/>
          <w:color w:val="003CA0"/>
          <w:sz w:val="16"/>
        </w:rPr>
        <w:t>[ADI 7.058 MC, red. do ac. min. Nunes Marques, j. 3-3-2022, P, DJE de 26-5-2022.]</w:t>
      </w:r>
    </w:p>
    <w:p>
      <w:pPr>
        <w:ind w:left="288"/>
      </w:pPr>
      <w:r>
        <w:rPr>
          <w:color w:val="8C8C8C"/>
          <w:sz w:val="12"/>
        </w:rPr>
        <w:t>cf-art-166-par-1-inc-I</w:t>
      </w:r>
      <w:r>
        <w:rPr>
          <w:color w:val="003CA0"/>
          <w:sz w:val="12"/>
        </w:rPr>
        <w:t xml:space="preserve"> | ADI 5.468</w:t>
      </w:r>
      <w:r>
        <w:rPr>
          <w:color w:val="003CA0"/>
          <w:sz w:val="12"/>
        </w:rPr>
        <w:t xml:space="preserve"> | rel. Luiz Fux</w:t>
      </w:r>
    </w:p>
    <w:p>
      <w:pPr>
        <w:ind w:left="288"/>
      </w:pPr>
      <w:r>
        <w:rPr>
          <w:color w:val="1E1E1E"/>
          <w:sz w:val="18"/>
        </w:rPr>
        <w:t>O relatório da Comissão Mista de Planos, Orçamentos Públicos e Fiscalização (CMO) do Congresso Nacional, mercê de ostentar confessadamente motivação ideologicamente enviesada, não vincula, per se, a apreciação pelas Casas Legislativas do Parlamento Federal.</w:t>
        <w:br/>
        <w:t>[ADI 5.468, rel. min. Luiz Fux, j. 30-6-2016, P, DJE de 2-8-2017.] II - examinar e emitir parecer sobre os planos e programas nacionais, regionais e setoriais previstos nesta Constituição e exercer o acompanhamento e a fiscalização orçamentária, sem prejuízo da atuação das demais comissões do Congresso Nacional e de suas Casas, criadas de a</w:t>
      </w:r>
    </w:p>
    <w:p>
      <w:pPr>
        <w:ind w:left="288"/>
      </w:pPr>
      <w:r>
        <w:rPr>
          <w:color w:val="8C8C8C"/>
          <w:sz w:val="12"/>
        </w:rPr>
        <w:t>cf-art-166-par-2</w:t>
      </w:r>
      <w:r>
        <w:rPr>
          <w:color w:val="003CA0"/>
          <w:sz w:val="12"/>
        </w:rPr>
        <w:t xml:space="preserve"> | ADPF 854</w:t>
      </w:r>
      <w:r>
        <w:rPr>
          <w:color w:val="003CA0"/>
          <w:sz w:val="12"/>
        </w:rPr>
        <w:t xml:space="preserve"> | rel. Flávio Dino</w:t>
      </w:r>
    </w:p>
    <w:p>
      <w:pPr>
        <w:ind w:left="288"/>
      </w:pPr>
      <w:r>
        <w:rPr>
          <w:color w:val="1E1E1E"/>
          <w:sz w:val="18"/>
        </w:rPr>
        <w:t>A LC nº. 210/2024 constitui avanço no cumprimento das determinações do Plenário desta Corte, ao estabelecer regras acerca da proposição e execução de emendas parlamentares. A referida lei complementar deve ser aplicada em consonância com a Constituição, interpretada pelas decisões do Plenário do STF. Inexiste bloqueio generalizado à execução de emendas parlamentares, cabendo ao ordenador de despesas competente a análise e deliberação motivada, caso a caso, acerca do cumprimento das determinações desta Corte e da LC nº. 210/2024 para a continuidade da execução das emendas.</w:t>
      </w:r>
    </w:p>
    <w:p>
      <w:pPr>
        <w:ind w:left="288"/>
      </w:pPr>
      <w:r>
        <w:rPr>
          <w:b/>
          <w:color w:val="003CA0"/>
          <w:sz w:val="16"/>
        </w:rPr>
        <w:t>[ADPF 854 REF, rel. min. Flávio Dino, j. 04.12.2024, P, DJE de 14.03.2025.]</w:t>
      </w:r>
    </w:p>
    <w:p>
      <w:pPr>
        <w:ind w:left="288"/>
      </w:pPr>
      <w:r>
        <w:rPr>
          <w:color w:val="8C8C8C"/>
          <w:sz w:val="12"/>
        </w:rPr>
        <w:t>cf-art-166-par-2</w:t>
      </w:r>
      <w:r>
        <w:rPr>
          <w:color w:val="003CA0"/>
          <w:sz w:val="12"/>
        </w:rPr>
        <w:t xml:space="preserve"> | RP 9</w:t>
      </w:r>
      <w:r>
        <w:rPr>
          <w:color w:val="003CA0"/>
          <w:sz w:val="12"/>
        </w:rPr>
        <w:t xml:space="preserve"> | rel. Rosa Weber</w:t>
      </w:r>
    </w:p>
    <w:p>
      <w:pPr>
        <w:ind w:left="288"/>
      </w:pPr>
      <w:r>
        <w:rPr>
          <w:color w:val="1E1E1E"/>
          <w:sz w:val="18"/>
        </w:rPr>
        <w:t>As emendas parlamentares ao orçamento possuem autorização constitucional (CF, art. 166) e objetivam, em princípio, viabilizar aos congressistas a oportunidade de atender diretamente as reivindicações mais concretas e urgentes da população que representam, contemplando a dotação financeira necessária ao atendimento de suas necessidades. A experiência histórica, no entanto, comprova que as emendas orçamentárias têm se distanciado, cada vez mais, do seu objetivo original de representar instrumento legítimo de aprimoramento das políticas públicas nacionais e regionais, para servirem ao proveito de</w:t>
      </w:r>
    </w:p>
    <w:p>
      <w:pPr>
        <w:ind w:left="288"/>
      </w:pPr>
      <w:r>
        <w:rPr>
          <w:color w:val="8C8C8C"/>
          <w:sz w:val="12"/>
        </w:rPr>
        <w:t>cf-art-166-par-2</w:t>
      </w:r>
      <w:r>
        <w:rPr>
          <w:color w:val="003CA0"/>
          <w:sz w:val="12"/>
        </w:rPr>
        <w:t xml:space="preserve"> | RP 9</w:t>
      </w:r>
      <w:r>
        <w:rPr>
          <w:color w:val="003CA0"/>
          <w:sz w:val="12"/>
        </w:rPr>
        <w:t xml:space="preserve"> | rel. Rosa Weber</w:t>
      </w:r>
    </w:p>
    <w:p>
      <w:pPr>
        <w:ind w:left="288"/>
      </w:pPr>
      <w:r>
        <w:rPr>
          <w:color w:val="1E1E1E"/>
          <w:sz w:val="18"/>
        </w:rPr>
        <w:t>As emendas parlamentares ao orçamento possuem autorização constitucional (CF, art. 166) e objetivam, em princípio, viabilizar aos congressistas a oportunidade de atender diretamente as reivindicações mais concretas e urgentes da população que representam, contemplando a dotação financeira necessária ao atendimento de suas necessidades. A experiência histórica, no entanto, comprova que as emendas orçamentárias têm se distanciado, cada vez mais, do seu objetivo original de representar instrumento legítimo de aprimoramento das políticas públicas nacionais e regionais, para servirem ao proveito de</w:t>
      </w:r>
    </w:p>
    <w:p>
      <w:pPr>
        <w:ind w:left="288"/>
      </w:pPr>
      <w:r>
        <w:rPr>
          <w:color w:val="8C8C8C"/>
          <w:sz w:val="12"/>
        </w:rPr>
        <w:t>cf-art-166-par-3</w:t>
      </w:r>
      <w:r>
        <w:rPr>
          <w:color w:val="003CA0"/>
          <w:sz w:val="12"/>
        </w:rPr>
        <w:t xml:space="preserve"> | ADI 2.810</w:t>
      </w:r>
      <w:r>
        <w:rPr>
          <w:color w:val="003CA0"/>
          <w:sz w:val="12"/>
        </w:rPr>
        <w:t xml:space="preserve"> | rel. Roberto Barroso</w:t>
      </w:r>
    </w:p>
    <w:p>
      <w:pPr>
        <w:ind w:left="288"/>
      </w:pPr>
      <w:r>
        <w:rPr>
          <w:color w:val="1E1E1E"/>
          <w:sz w:val="18"/>
        </w:rPr>
        <w:t>Os dispositivos impugnados resultam de emenda parlamentar a projeto de lei de iniciativa do Executivo. Por meio da referida emenda, conferiu-se a um grupo de servidores do poder Executivo um aumento de remuneração não previsto no projeto de lei original. Ocorre que o art. 61, § 1º, II, a, e o art. 63, I, da CF vedam o aumento da despesa prevista nos projetos de iniciativa exclusiva do chefe do Poder Executivo, ressalvando apenas o disposto no art. 166, §§ 3º e 4º, CF.</w:t>
      </w:r>
    </w:p>
    <w:p>
      <w:pPr>
        <w:ind w:left="288"/>
      </w:pPr>
      <w:r>
        <w:rPr>
          <w:b/>
          <w:color w:val="003CA0"/>
          <w:sz w:val="16"/>
        </w:rPr>
        <w:t>[ADI 2.810, voto do rel. min. Roberto Barroso, j. 20-4-2016, P, DJE de 10-5-2016.]</w:t>
      </w:r>
    </w:p>
    <w:p>
      <w:pPr>
        <w:ind w:left="288"/>
      </w:pPr>
      <w:r>
        <w:rPr>
          <w:color w:val="8C8C8C"/>
          <w:sz w:val="12"/>
        </w:rPr>
        <w:t>cf-art-166-par-3</w:t>
      </w:r>
      <w:r>
        <w:rPr>
          <w:color w:val="003CA0"/>
          <w:sz w:val="12"/>
        </w:rPr>
        <w:t xml:space="preserve"> | ADI 865</w:t>
      </w:r>
      <w:r>
        <w:rPr>
          <w:color w:val="003CA0"/>
          <w:sz w:val="12"/>
        </w:rPr>
        <w:t xml:space="preserve"> | rel. Celso de Mello)</w:t>
      </w:r>
    </w:p>
    <w:p>
      <w:pPr>
        <w:ind w:left="288"/>
      </w:pPr>
      <w:r>
        <w:rPr>
          <w:color w:val="1E1E1E"/>
          <w:sz w:val="18"/>
        </w:rPr>
        <w:t>O poder de emendar projetos de lei, que se reveste de natureza eminentemente constitucional, qualifica-se como prerrogativa de ordem político-jurídica inerente ao exercício da atividade legislativa. Essa prerrogativa institucional, precisamente por não traduzir corolário do poder de iniciar o processo de formação das leis (RTJ 36/382, 385 – RTJ 37/113 – RDA 102/261), pode ser legitimamente exercida pelos membros do Legislativo, ainda que se cuide de proposições constitucionalmente sujeitas à cláusula de reserva de iniciativa (ADI 865/MA, rel. min. Celso de Mello), desde que, respeitadas as lim</w:t>
      </w:r>
    </w:p>
    <w:p>
      <w:pPr>
        <w:ind w:left="288"/>
      </w:pPr>
      <w:r>
        <w:rPr>
          <w:b/>
          <w:color w:val="003CA0"/>
          <w:sz w:val="16"/>
        </w:rPr>
        <w:t>[ADI 1.050 MC, rel. min. Celso de Mello, j. 21-9-1994, P, DJ de 23-4-2004.]</w:t>
      </w:r>
    </w:p>
    <w:p>
      <w:pPr>
        <w:ind w:left="288"/>
      </w:pPr>
      <w:r>
        <w:rPr>
          <w:color w:val="8C8C8C"/>
          <w:sz w:val="12"/>
        </w:rPr>
        <w:t>cf-art-166-par-3-inc-I</w:t>
      </w:r>
      <w:r>
        <w:rPr>
          <w:color w:val="003CA0"/>
          <w:sz w:val="12"/>
        </w:rPr>
        <w:t xml:space="preserve"> | ADI 5.468</w:t>
      </w:r>
      <w:r>
        <w:rPr>
          <w:color w:val="003CA0"/>
          <w:sz w:val="12"/>
        </w:rPr>
        <w:t xml:space="preserve"> | rel. Luiz Fux</w:t>
      </w:r>
    </w:p>
    <w:p>
      <w:pPr>
        <w:ind w:left="288"/>
      </w:pPr>
      <w:r>
        <w:rPr>
          <w:color w:val="1E1E1E"/>
          <w:sz w:val="18"/>
        </w:rPr>
        <w:t>Fiscalização abstrata de normas orçamentárias. Anexo de lei orçamentária anual (LOA – Lei 13.225/2016). (...) Legítimo controle orçamentário pelo Poder Legislativo. Ausência do abuso do poder de emenda. Inocorrência de desvio de finalidade ou de desproporcionalidade. (...) O abuso do poder de emenda, assim como do descumprimento das premissas de proporcionalidade (ou de razoabilidade), não pode ser acolhido quando suscitado de forma genérica, diante da ausência de impugnação específica e adequada dos requisitos normativos reveladores desses excessos invocados – em quaisquer das tradições teóri</w:t>
      </w:r>
    </w:p>
    <w:p>
      <w:pPr>
        <w:ind w:left="288"/>
      </w:pPr>
      <w:r>
        <w:rPr>
          <w:color w:val="8C8C8C"/>
          <w:sz w:val="12"/>
        </w:rPr>
        <w:t>cf-art-166-par-4</w:t>
      </w:r>
      <w:r>
        <w:rPr>
          <w:color w:val="003CA0"/>
          <w:sz w:val="12"/>
        </w:rPr>
        <w:t xml:space="preserve"> | ADI 4.629</w:t>
      </w:r>
      <w:r>
        <w:rPr>
          <w:color w:val="003CA0"/>
          <w:sz w:val="12"/>
        </w:rPr>
        <w:t xml:space="preserve"> | rel. Alexandre de Moraes</w:t>
      </w:r>
    </w:p>
    <w:p>
      <w:pPr>
        <w:ind w:left="288"/>
      </w:pPr>
      <w:r>
        <w:rPr>
          <w:color w:val="1E1E1E"/>
          <w:sz w:val="18"/>
        </w:rPr>
        <w:t>O art. 35, § 2º, I, do ADCT dispõe que a lei do plano plurianual tem vigência até ‘o final do primeiro exercício financeiro do mandato presidencial subsequente’, com início no segundo ano de mandato. Assim, no ano em que for editado o PPA, a Lei de Diretrizes Orçamentárias deve ser compatível com o plano então vigente (CF, art. 166, § 4º).</w:t>
      </w:r>
    </w:p>
    <w:p>
      <w:pPr>
        <w:ind w:left="288"/>
      </w:pPr>
      <w:r>
        <w:rPr>
          <w:b/>
          <w:color w:val="003CA0"/>
          <w:sz w:val="16"/>
        </w:rPr>
        <w:t>[ADI 4.629, rel. min. Alexandre de Moraes, j. 20-9-2019, P, DJE de 3-10-2019.]</w:t>
      </w:r>
    </w:p>
    <w:p>
      <w:pPr>
        <w:ind w:left="432"/>
      </w:pPr>
      <w:r>
        <w:rPr>
          <w:color w:val="003366"/>
          <w:sz w:val="18"/>
        </w:rPr>
        <w:t>§ 1 Caberá a uma Comissão mista permanente de Senadores e Deputados:</w:t>
      </w:r>
    </w:p>
    <w:p>
      <w:pPr>
        <w:ind w:left="720"/>
      </w:pPr>
      <w:r>
        <w:rPr>
          <w:color w:val="003366"/>
          <w:sz w:val="18"/>
        </w:rPr>
        <w:t>I – examinar e emitir parecer sobre os projetos referidos neste artigo e sobre a</w:t>
      </w:r>
    </w:p>
    <w:p>
      <w:pPr>
        <w:ind w:left="720"/>
      </w:pPr>
      <w:r>
        <w:rPr>
          <w:color w:val="003366"/>
          <w:sz w:val="18"/>
        </w:rPr>
        <w:t xml:space="preserve">II – examinar e emitir parecer sobre os planos e programas nacionais, regionais </w:t>
      </w:r>
    </w:p>
    <w:p>
      <w:pPr>
        <w:ind w:left="432"/>
      </w:pPr>
      <w:r>
        <w:rPr>
          <w:color w:val="003366"/>
          <w:sz w:val="18"/>
        </w:rPr>
        <w:t>§ 2 As emendas serão apresentadas na Comissão mista, que sobre elas emitirá pare</w:t>
      </w:r>
    </w:p>
    <w:p>
      <w:pPr>
        <w:ind w:left="432"/>
      </w:pPr>
      <w:r>
        <w:rPr>
          <w:color w:val="003366"/>
          <w:sz w:val="18"/>
        </w:rPr>
        <w:t>§ 3 As emendas ao projeto de lei do orçamento anual ou aos projetos que o modifi</w:t>
      </w:r>
    </w:p>
    <w:p>
      <w:pPr>
        <w:ind w:left="720"/>
      </w:pPr>
      <w:r>
        <w:rPr>
          <w:color w:val="003366"/>
          <w:sz w:val="18"/>
        </w:rPr>
        <w:t>I – sejam compatíveis com o plano plurianual e com a lei de diretrizes orçamentá</w:t>
      </w:r>
    </w:p>
    <w:p>
      <w:pPr>
        <w:ind w:left="720"/>
      </w:pPr>
      <w:r>
        <w:rPr>
          <w:color w:val="003366"/>
          <w:sz w:val="18"/>
        </w:rPr>
        <w:t>II – indiquem os recursos necessários, admitidos apenas os provenientes de anula</w:t>
      </w:r>
    </w:p>
    <w:p>
      <w:pPr>
        <w:ind w:left="1008"/>
      </w:pPr>
      <w:r>
        <w:rPr>
          <w:color w:val="003366"/>
          <w:sz w:val="18"/>
        </w:rPr>
        <w:t>a) dotações para pessoal e seus encargos;</w:t>
      </w:r>
    </w:p>
    <w:p>
      <w:pPr>
        <w:ind w:left="1008"/>
      </w:pPr>
      <w:r>
        <w:rPr>
          <w:color w:val="003366"/>
          <w:sz w:val="18"/>
        </w:rPr>
        <w:t>b) serviço da dívida;</w:t>
      </w:r>
    </w:p>
    <w:p>
      <w:pPr>
        <w:ind w:left="1008"/>
      </w:pPr>
      <w:r>
        <w:rPr>
          <w:color w:val="003366"/>
          <w:sz w:val="18"/>
        </w:rPr>
        <w:t>c) transferências tributárias constitucionais para Estados, Municípios e Distrit</w:t>
      </w:r>
    </w:p>
    <w:p>
      <w:pPr>
        <w:ind w:left="720"/>
      </w:pPr>
      <w:r>
        <w:rPr>
          <w:color w:val="003366"/>
          <w:sz w:val="18"/>
        </w:rPr>
        <w:t>III – sejam relacionadas:</w:t>
      </w:r>
    </w:p>
    <w:p>
      <w:pPr>
        <w:ind w:left="1008"/>
      </w:pPr>
      <w:r>
        <w:rPr>
          <w:color w:val="003366"/>
          <w:sz w:val="18"/>
        </w:rPr>
        <w:t>a) com a correção de erros ou omissões; ou</w:t>
      </w:r>
    </w:p>
    <w:p>
      <w:pPr>
        <w:ind w:left="1008"/>
      </w:pPr>
      <w:r>
        <w:rPr>
          <w:color w:val="003366"/>
          <w:sz w:val="18"/>
        </w:rPr>
        <w:t>b) com os dispositivos do texto do projeto de lei.</w:t>
      </w:r>
    </w:p>
    <w:p>
      <w:pPr>
        <w:ind w:left="432"/>
      </w:pPr>
      <w:r>
        <w:rPr>
          <w:color w:val="003366"/>
          <w:sz w:val="18"/>
        </w:rPr>
        <w:t>§ 4 As emendas ao projeto de lei de diretrizes orçamentárias não poderão ser apr</w:t>
      </w:r>
    </w:p>
    <w:p>
      <w:pPr>
        <w:ind w:left="432"/>
      </w:pPr>
      <w:r>
        <w:rPr>
          <w:color w:val="003366"/>
          <w:sz w:val="18"/>
        </w:rPr>
        <w:t xml:space="preserve">§ 5 O Presidente da República poderá enviar mensagem ao Congresso Nacional para </w:t>
      </w:r>
    </w:p>
    <w:p>
      <w:pPr>
        <w:ind w:left="432"/>
      </w:pPr>
      <w:r>
        <w:rPr>
          <w:color w:val="003366"/>
          <w:sz w:val="18"/>
        </w:rPr>
        <w:t>§ 6 Os projetos de lei do plano plurianual, das diretrizes orçamentárias e do or</w:t>
      </w:r>
    </w:p>
    <w:p>
      <w:pPr>
        <w:ind w:left="432"/>
      </w:pPr>
      <w:r>
        <w:rPr>
          <w:color w:val="003366"/>
          <w:sz w:val="18"/>
        </w:rPr>
        <w:t>§ 7 Aplicam-se aos projetos mencionados neste artigo, no que não contrariar o di</w:t>
      </w:r>
    </w:p>
    <w:p>
      <w:pPr>
        <w:ind w:left="432"/>
      </w:pPr>
      <w:r>
        <w:rPr>
          <w:color w:val="003366"/>
          <w:sz w:val="18"/>
        </w:rPr>
        <w:t>§ 8 Os recursos que, em decorrência de veto, emenda ou rejeição do projeto de le</w:t>
      </w:r>
    </w:p>
    <w:p>
      <w:pPr>
        <w:ind w:left="432"/>
      </w:pPr>
      <w:r>
        <w:rPr>
          <w:color w:val="003366"/>
          <w:sz w:val="18"/>
        </w:rPr>
        <w:t>§ 9 As emendas individuais ao projeto de lei orçamentária serão aprovadas no lim</w:t>
      </w:r>
    </w:p>
    <w:p>
      <w:pPr>
        <w:ind w:left="432"/>
      </w:pPr>
      <w:r>
        <w:rPr>
          <w:color w:val="003366"/>
          <w:sz w:val="18"/>
        </w:rPr>
        <w:t>§ 9 A Do limite a que se refere o § 9º deste artigo, 1,55% (um inteiro e cinquen</w:t>
      </w:r>
    </w:p>
    <w:p>
      <w:pPr>
        <w:ind w:left="432"/>
      </w:pPr>
      <w:r>
        <w:rPr>
          <w:color w:val="003366"/>
          <w:sz w:val="18"/>
        </w:rPr>
        <w:t>§ 10 A execução do montante destinado a ações e serviços públicos de saúde previ</w:t>
      </w:r>
    </w:p>
    <w:p>
      <w:pPr>
        <w:ind w:left="432"/>
      </w:pPr>
      <w:r>
        <w:rPr>
          <w:color w:val="003366"/>
          <w:sz w:val="18"/>
        </w:rPr>
        <w:t>§ 11 É obrigatória a execução orçamentária e financeira das programações oriunda</w:t>
      </w:r>
    </w:p>
    <w:p>
      <w:pPr>
        <w:ind w:left="432"/>
      </w:pPr>
      <w:r>
        <w:rPr>
          <w:color w:val="003366"/>
          <w:sz w:val="18"/>
        </w:rPr>
        <w:t>§ 12 A garantia de execução de que trata o § 11 deste artigo aplica-se também às</w:t>
      </w:r>
    </w:p>
    <w:p>
      <w:pPr>
        <w:ind w:left="432"/>
      </w:pPr>
      <w:r>
        <w:rPr>
          <w:color w:val="003366"/>
          <w:sz w:val="18"/>
        </w:rPr>
        <w:t>§ 13 As programações orçamentárias previstas nos §§ 11 e 12 deste artigo não ser</w:t>
      </w:r>
    </w:p>
    <w:p>
      <w:pPr>
        <w:ind w:left="432"/>
      </w:pPr>
      <w:r>
        <w:rPr>
          <w:color w:val="003366"/>
          <w:sz w:val="18"/>
        </w:rPr>
        <w:t>§ 14 Para fins de cumprimento do disposto nos §§ 11 e 12 deste artigo, os órgãos</w:t>
      </w:r>
    </w:p>
    <w:p>
      <w:pPr>
        <w:ind w:left="720"/>
      </w:pPr>
      <w:r>
        <w:rPr>
          <w:color w:val="003366"/>
          <w:sz w:val="18"/>
        </w:rPr>
        <w:t>I – (revogado); (Redação dada pela Emenda Constitucional nº 100, de 2019) (Produ</w:t>
      </w:r>
    </w:p>
    <w:p>
      <w:pPr>
        <w:ind w:left="720"/>
      </w:pPr>
      <w:r>
        <w:rPr>
          <w:color w:val="003366"/>
          <w:sz w:val="18"/>
        </w:rPr>
        <w:t>II – (revogado); (Redação dada pela Emenda Constitucional nº 100, de 2019) (Prod</w:t>
      </w:r>
    </w:p>
    <w:p>
      <w:pPr>
        <w:ind w:left="720"/>
      </w:pPr>
      <w:r>
        <w:rPr>
          <w:color w:val="003366"/>
          <w:sz w:val="18"/>
        </w:rPr>
        <w:t>III – (revogado); (Redação dada pela Emenda Constitucional nº 100, de 2019) (Pro</w:t>
      </w:r>
    </w:p>
    <w:p>
      <w:pPr>
        <w:ind w:left="720"/>
      </w:pPr>
      <w:r>
        <w:rPr>
          <w:color w:val="003366"/>
          <w:sz w:val="18"/>
        </w:rPr>
        <w:t>IV – (revogado). (Redação dada pela Emenda Constitucional nº 100, de 2019) (Prod</w:t>
      </w:r>
    </w:p>
    <w:p>
      <w:pPr>
        <w:ind w:left="432"/>
      </w:pPr>
      <w:r>
        <w:rPr>
          <w:color w:val="003366"/>
          <w:sz w:val="18"/>
        </w:rPr>
        <w:t>§ 15 (Revogado) (Redação dada pela Emenda Constitucional nº 100, de 2019) (Produ</w:t>
      </w:r>
    </w:p>
    <w:p>
      <w:pPr>
        <w:ind w:left="432"/>
      </w:pPr>
      <w:r>
        <w:rPr>
          <w:color w:val="003366"/>
          <w:sz w:val="18"/>
        </w:rPr>
        <w:t xml:space="preserve">§ 16 Quando a transferência obrigatória da União para a execução da programação </w:t>
      </w:r>
    </w:p>
    <w:p>
      <w:pPr>
        <w:ind w:left="432"/>
      </w:pPr>
      <w:r>
        <w:rPr>
          <w:color w:val="003366"/>
          <w:sz w:val="18"/>
        </w:rPr>
        <w:t>§ 17 Os restos a pagar provenientes das programações orçamentárias previstas nos</w:t>
      </w:r>
    </w:p>
    <w:p>
      <w:pPr>
        <w:ind w:left="432"/>
      </w:pPr>
      <w:r>
        <w:rPr>
          <w:color w:val="003366"/>
          <w:sz w:val="18"/>
        </w:rPr>
        <w:t>§ 18 Se for verificado que a reestimativa da receita e da despesa poderá resulta</w:t>
      </w:r>
    </w:p>
    <w:p>
      <w:pPr>
        <w:ind w:left="432"/>
      </w:pPr>
      <w:r>
        <w:rPr>
          <w:color w:val="003366"/>
          <w:sz w:val="18"/>
        </w:rPr>
        <w:t xml:space="preserve">§ 19 Considera-se equitativa a execução das programações de caráter obrigatório </w:t>
      </w:r>
    </w:p>
    <w:p>
      <w:pPr>
        <w:ind w:left="432"/>
      </w:pPr>
      <w:r>
        <w:rPr>
          <w:color w:val="003366"/>
          <w:sz w:val="18"/>
        </w:rPr>
        <w:t>§ 20 As programações de que trata o § 12 deste artigo, quando versarem sobre o i</w:t>
      </w:r>
    </w:p>
    <w:p>
      <w:r>
        <w:rPr>
          <w:b/>
          <w:color w:val="003366"/>
          <w:sz w:val="20"/>
        </w:rPr>
        <w:t>Art. 166 A. As emendas individuais impositivas apresentadas ao projeto de lei or</w:t>
      </w:r>
      <w:r>
        <w:rPr>
          <w:color w:val="8C8C8C"/>
          <w:sz w:val="14"/>
        </w:rPr>
        <w:t xml:space="preserve">  [9 decisoes]</w:t>
      </w:r>
    </w:p>
    <w:p>
      <w:pPr>
        <w:ind w:left="144"/>
      </w:pPr>
      <w:r>
        <w:rPr>
          <w:b/>
          <w:color w:val="B45A00"/>
          <w:sz w:val="16"/>
        </w:rPr>
        <w:t>CONTROLE CONCENTRADO</w:t>
      </w:r>
    </w:p>
    <w:p>
      <w:pPr>
        <w:ind w:left="288"/>
      </w:pPr>
      <w:r>
        <w:rPr>
          <w:color w:val="8C8C8C"/>
          <w:sz w:val="12"/>
        </w:rPr>
        <w:t>cf-art-166</w:t>
      </w:r>
      <w:r>
        <w:rPr>
          <w:color w:val="003CA0"/>
          <w:sz w:val="12"/>
        </w:rPr>
        <w:t xml:space="preserve"> | ADI 7.058</w:t>
      </w:r>
    </w:p>
    <w:p>
      <w:pPr>
        <w:ind w:left="288"/>
      </w:pPr>
      <w:r>
        <w:rPr>
          <w:color w:val="1E1E1E"/>
          <w:sz w:val="18"/>
        </w:rPr>
        <w:t>O art. 12, XXVII, da Lei de Diretrizes Orçamentárias se limitou a especificar os critérios para apuração do valor a ser destinado ao Fundo Eleitoral instituído pelo art. 16-C da Lei 9.504/1997, que veio a ser fixado via Lei Orçamentaria Anual. Inexistência de contrariedade a disciplina constitucional orçamentaria ou as disposições estabelecidas no plano plurianual.</w:t>
      </w:r>
    </w:p>
    <w:p>
      <w:pPr>
        <w:ind w:left="288"/>
      </w:pPr>
      <w:r>
        <w:rPr>
          <w:b/>
          <w:color w:val="003CA0"/>
          <w:sz w:val="16"/>
        </w:rPr>
        <w:t>[ADI 7.058 MC, red. do ac. min. Nunes Marques, j. 3-3-2022, P, DJE de 26-5-2022.]</w:t>
      </w:r>
    </w:p>
    <w:p>
      <w:pPr>
        <w:ind w:left="288"/>
      </w:pPr>
      <w:r>
        <w:rPr>
          <w:color w:val="8C8C8C"/>
          <w:sz w:val="12"/>
        </w:rPr>
        <w:t>cf-art-166-par-1-inc-I</w:t>
      </w:r>
      <w:r>
        <w:rPr>
          <w:color w:val="003CA0"/>
          <w:sz w:val="12"/>
        </w:rPr>
        <w:t xml:space="preserve"> | ADI 5.468</w:t>
      </w:r>
      <w:r>
        <w:rPr>
          <w:color w:val="003CA0"/>
          <w:sz w:val="12"/>
        </w:rPr>
        <w:t xml:space="preserve"> | rel. Luiz Fux</w:t>
      </w:r>
    </w:p>
    <w:p>
      <w:pPr>
        <w:ind w:left="288"/>
      </w:pPr>
      <w:r>
        <w:rPr>
          <w:color w:val="1E1E1E"/>
          <w:sz w:val="18"/>
        </w:rPr>
        <w:t>O relatório da Comissão Mista de Planos, Orçamentos Públicos e Fiscalização (CMO) do Congresso Nacional, mercê de ostentar confessadamente motivação ideologicamente enviesada, não vincula, per se, a apreciação pelas Casas Legislativas do Parlamento Federal.</w:t>
        <w:br/>
        <w:t>[ADI 5.468, rel. min. Luiz Fux, j. 30-6-2016, P, DJE de 2-8-2017.] II - examinar e emitir parecer sobre os planos e programas nacionais, regionais e setoriais previstos nesta Constituição e exercer o acompanhamento e a fiscalização orçamentária, sem prejuízo da atuação das demais comissões do Congresso Nacional e de suas Casas, criadas de a</w:t>
      </w:r>
    </w:p>
    <w:p>
      <w:pPr>
        <w:ind w:left="288"/>
      </w:pPr>
      <w:r>
        <w:rPr>
          <w:color w:val="8C8C8C"/>
          <w:sz w:val="12"/>
        </w:rPr>
        <w:t>cf-art-166-par-2</w:t>
      </w:r>
      <w:r>
        <w:rPr>
          <w:color w:val="003CA0"/>
          <w:sz w:val="12"/>
        </w:rPr>
        <w:t xml:space="preserve"> | ADPF 854</w:t>
      </w:r>
      <w:r>
        <w:rPr>
          <w:color w:val="003CA0"/>
          <w:sz w:val="12"/>
        </w:rPr>
        <w:t xml:space="preserve"> | rel. Flávio Dino</w:t>
      </w:r>
    </w:p>
    <w:p>
      <w:pPr>
        <w:ind w:left="288"/>
      </w:pPr>
      <w:r>
        <w:rPr>
          <w:color w:val="1E1E1E"/>
          <w:sz w:val="18"/>
        </w:rPr>
        <w:t>A LC nº. 210/2024 constitui avanço no cumprimento das determinações do Plenário desta Corte, ao estabelecer regras acerca da proposição e execução de emendas parlamentares. A referida lei complementar deve ser aplicada em consonância com a Constituição, interpretada pelas decisões do Plenário do STF. Inexiste bloqueio generalizado à execução de emendas parlamentares, cabendo ao ordenador de despesas competente a análise e deliberação motivada, caso a caso, acerca do cumprimento das determinações desta Corte e da LC nº. 210/2024 para a continuidade da execução das emendas.</w:t>
      </w:r>
    </w:p>
    <w:p>
      <w:pPr>
        <w:ind w:left="288"/>
      </w:pPr>
      <w:r>
        <w:rPr>
          <w:b/>
          <w:color w:val="003CA0"/>
          <w:sz w:val="16"/>
        </w:rPr>
        <w:t>[ADPF 854 REF, rel. min. Flávio Dino, j. 04.12.2024, P, DJE de 14.03.2025.]</w:t>
      </w:r>
    </w:p>
    <w:p>
      <w:pPr>
        <w:ind w:left="288"/>
      </w:pPr>
      <w:r>
        <w:rPr>
          <w:color w:val="8C8C8C"/>
          <w:sz w:val="12"/>
        </w:rPr>
        <w:t>cf-art-166-par-2</w:t>
      </w:r>
      <w:r>
        <w:rPr>
          <w:color w:val="003CA0"/>
          <w:sz w:val="12"/>
        </w:rPr>
        <w:t xml:space="preserve"> | RP 9</w:t>
      </w:r>
      <w:r>
        <w:rPr>
          <w:color w:val="003CA0"/>
          <w:sz w:val="12"/>
        </w:rPr>
        <w:t xml:space="preserve"> | rel. Rosa Weber</w:t>
      </w:r>
    </w:p>
    <w:p>
      <w:pPr>
        <w:ind w:left="288"/>
      </w:pPr>
      <w:r>
        <w:rPr>
          <w:color w:val="1E1E1E"/>
          <w:sz w:val="18"/>
        </w:rPr>
        <w:t>As emendas parlamentares ao orçamento possuem autorização constitucional (CF, art. 166) e objetivam, em princípio, viabilizar aos congressistas a oportunidade de atender diretamente as reivindicações mais concretas e urgentes da população que representam, contemplando a dotação financeira necessária ao atendimento de suas necessidades. A experiência histórica, no entanto, comprova que as emendas orçamentárias têm se distanciado, cada vez mais, do seu objetivo original de representar instrumento legítimo de aprimoramento das políticas públicas nacionais e regionais, para servirem ao proveito de</w:t>
      </w:r>
    </w:p>
    <w:p>
      <w:pPr>
        <w:ind w:left="288"/>
      </w:pPr>
      <w:r>
        <w:rPr>
          <w:color w:val="8C8C8C"/>
          <w:sz w:val="12"/>
        </w:rPr>
        <w:t>cf-art-166-par-2</w:t>
      </w:r>
      <w:r>
        <w:rPr>
          <w:color w:val="003CA0"/>
          <w:sz w:val="12"/>
        </w:rPr>
        <w:t xml:space="preserve"> | RP 9</w:t>
      </w:r>
      <w:r>
        <w:rPr>
          <w:color w:val="003CA0"/>
          <w:sz w:val="12"/>
        </w:rPr>
        <w:t xml:space="preserve"> | rel. Rosa Weber</w:t>
      </w:r>
    </w:p>
    <w:p>
      <w:pPr>
        <w:ind w:left="288"/>
      </w:pPr>
      <w:r>
        <w:rPr>
          <w:color w:val="1E1E1E"/>
          <w:sz w:val="18"/>
        </w:rPr>
        <w:t>As emendas parlamentares ao orçamento possuem autorização constitucional (CF, art. 166) e objetivam, em princípio, viabilizar aos congressistas a oportunidade de atender diretamente as reivindicações mais concretas e urgentes da população que representam, contemplando a dotação financeira necessária ao atendimento de suas necessidades. A experiência histórica, no entanto, comprova que as emendas orçamentárias têm se distanciado, cada vez mais, do seu objetivo original de representar instrumento legítimo de aprimoramento das políticas públicas nacionais e regionais, para servirem ao proveito de</w:t>
      </w:r>
    </w:p>
    <w:p>
      <w:pPr>
        <w:ind w:left="288"/>
      </w:pPr>
      <w:r>
        <w:rPr>
          <w:color w:val="8C8C8C"/>
          <w:sz w:val="12"/>
        </w:rPr>
        <w:t>cf-art-166-par-3</w:t>
      </w:r>
      <w:r>
        <w:rPr>
          <w:color w:val="003CA0"/>
          <w:sz w:val="12"/>
        </w:rPr>
        <w:t xml:space="preserve"> | ADI 2.810</w:t>
      </w:r>
      <w:r>
        <w:rPr>
          <w:color w:val="003CA0"/>
          <w:sz w:val="12"/>
        </w:rPr>
        <w:t xml:space="preserve"> | rel. Roberto Barroso</w:t>
      </w:r>
    </w:p>
    <w:p>
      <w:pPr>
        <w:ind w:left="288"/>
      </w:pPr>
      <w:r>
        <w:rPr>
          <w:color w:val="1E1E1E"/>
          <w:sz w:val="18"/>
        </w:rPr>
        <w:t>Os dispositivos impugnados resultam de emenda parlamentar a projeto de lei de iniciativa do Executivo. Por meio da referida emenda, conferiu-se a um grupo de servidores do poder Executivo um aumento de remuneração não previsto no projeto de lei original. Ocorre que o art. 61, § 1º, II, a, e o art. 63, I, da CF vedam o aumento da despesa prevista nos projetos de iniciativa exclusiva do chefe do Poder Executivo, ressalvando apenas o disposto no art. 166, §§ 3º e 4º, CF.</w:t>
      </w:r>
    </w:p>
    <w:p>
      <w:pPr>
        <w:ind w:left="288"/>
      </w:pPr>
      <w:r>
        <w:rPr>
          <w:b/>
          <w:color w:val="003CA0"/>
          <w:sz w:val="16"/>
        </w:rPr>
        <w:t>[ADI 2.810, voto do rel. min. Roberto Barroso, j. 20-4-2016, P, DJE de 10-5-2016.]</w:t>
      </w:r>
    </w:p>
    <w:p>
      <w:pPr>
        <w:ind w:left="288"/>
      </w:pPr>
      <w:r>
        <w:rPr>
          <w:color w:val="8C8C8C"/>
          <w:sz w:val="12"/>
        </w:rPr>
        <w:t>cf-art-166-par-3</w:t>
      </w:r>
      <w:r>
        <w:rPr>
          <w:color w:val="003CA0"/>
          <w:sz w:val="12"/>
        </w:rPr>
        <w:t xml:space="preserve"> | ADI 865</w:t>
      </w:r>
      <w:r>
        <w:rPr>
          <w:color w:val="003CA0"/>
          <w:sz w:val="12"/>
        </w:rPr>
        <w:t xml:space="preserve"> | rel. Celso de Mello)</w:t>
      </w:r>
    </w:p>
    <w:p>
      <w:pPr>
        <w:ind w:left="288"/>
      </w:pPr>
      <w:r>
        <w:rPr>
          <w:color w:val="1E1E1E"/>
          <w:sz w:val="18"/>
        </w:rPr>
        <w:t>O poder de emendar projetos de lei, que se reveste de natureza eminentemente constitucional, qualifica-se como prerrogativa de ordem político-jurídica inerente ao exercício da atividade legislativa. Essa prerrogativa institucional, precisamente por não traduzir corolário do poder de iniciar o processo de formação das leis (RTJ 36/382, 385 – RTJ 37/113 – RDA 102/261), pode ser legitimamente exercida pelos membros do Legislativo, ainda que se cuide de proposições constitucionalmente sujeitas à cláusula de reserva de iniciativa (ADI 865/MA, rel. min. Celso de Mello), desde que, respeitadas as lim</w:t>
      </w:r>
    </w:p>
    <w:p>
      <w:pPr>
        <w:ind w:left="288"/>
      </w:pPr>
      <w:r>
        <w:rPr>
          <w:b/>
          <w:color w:val="003CA0"/>
          <w:sz w:val="16"/>
        </w:rPr>
        <w:t>[ADI 1.050 MC, rel. min. Celso de Mello, j. 21-9-1994, P, DJ de 23-4-2004.]</w:t>
      </w:r>
    </w:p>
    <w:p>
      <w:pPr>
        <w:ind w:left="288"/>
      </w:pPr>
      <w:r>
        <w:rPr>
          <w:color w:val="8C8C8C"/>
          <w:sz w:val="12"/>
        </w:rPr>
        <w:t>cf-art-166-par-3-inc-I</w:t>
      </w:r>
      <w:r>
        <w:rPr>
          <w:color w:val="003CA0"/>
          <w:sz w:val="12"/>
        </w:rPr>
        <w:t xml:space="preserve"> | ADI 5.468</w:t>
      </w:r>
      <w:r>
        <w:rPr>
          <w:color w:val="003CA0"/>
          <w:sz w:val="12"/>
        </w:rPr>
        <w:t xml:space="preserve"> | rel. Luiz Fux</w:t>
      </w:r>
    </w:p>
    <w:p>
      <w:pPr>
        <w:ind w:left="288"/>
      </w:pPr>
      <w:r>
        <w:rPr>
          <w:color w:val="1E1E1E"/>
          <w:sz w:val="18"/>
        </w:rPr>
        <w:t>Fiscalização abstrata de normas orçamentárias. Anexo de lei orçamentária anual (LOA – Lei 13.225/2016). (...) Legítimo controle orçamentário pelo Poder Legislativo. Ausência do abuso do poder de emenda. Inocorrência de desvio de finalidade ou de desproporcionalidade. (...) O abuso do poder de emenda, assim como do descumprimento das premissas de proporcionalidade (ou de razoabilidade), não pode ser acolhido quando suscitado de forma genérica, diante da ausência de impugnação específica e adequada dos requisitos normativos reveladores desses excessos invocados – em quaisquer das tradições teóri</w:t>
      </w:r>
    </w:p>
    <w:p>
      <w:pPr>
        <w:ind w:left="288"/>
      </w:pPr>
      <w:r>
        <w:rPr>
          <w:color w:val="8C8C8C"/>
          <w:sz w:val="12"/>
        </w:rPr>
        <w:t>cf-art-166-par-4</w:t>
      </w:r>
      <w:r>
        <w:rPr>
          <w:color w:val="003CA0"/>
          <w:sz w:val="12"/>
        </w:rPr>
        <w:t xml:space="preserve"> | ADI 4.629</w:t>
      </w:r>
      <w:r>
        <w:rPr>
          <w:color w:val="003CA0"/>
          <w:sz w:val="12"/>
        </w:rPr>
        <w:t xml:space="preserve"> | rel. Alexandre de Moraes</w:t>
      </w:r>
    </w:p>
    <w:p>
      <w:pPr>
        <w:ind w:left="288"/>
      </w:pPr>
      <w:r>
        <w:rPr>
          <w:color w:val="1E1E1E"/>
          <w:sz w:val="18"/>
        </w:rPr>
        <w:t>O art. 35, § 2º, I, do ADCT dispõe que a lei do plano plurianual tem vigência até ‘o final do primeiro exercício financeiro do mandato presidencial subsequente’, com início no segundo ano de mandato. Assim, no ano em que for editado o PPA, a Lei de Diretrizes Orçamentárias deve ser compatível com o plano então vigente (CF, art. 166, § 4º).</w:t>
      </w:r>
    </w:p>
    <w:p>
      <w:pPr>
        <w:ind w:left="288"/>
      </w:pPr>
      <w:r>
        <w:rPr>
          <w:b/>
          <w:color w:val="003CA0"/>
          <w:sz w:val="16"/>
        </w:rPr>
        <w:t>[ADI 4.629, rel. min. Alexandre de Moraes, j. 20-9-2019, P, DJE de 3-10-2019.]</w:t>
      </w:r>
    </w:p>
    <w:p>
      <w:pPr>
        <w:ind w:left="720"/>
      </w:pPr>
      <w:r>
        <w:rPr>
          <w:color w:val="003366"/>
          <w:sz w:val="18"/>
        </w:rPr>
        <w:t>I – transferência especial; ou (Incluído pela Emenda Constitucional nº 105, de 2</w:t>
      </w:r>
    </w:p>
    <w:p>
      <w:pPr>
        <w:ind w:left="720"/>
      </w:pPr>
      <w:r>
        <w:rPr>
          <w:color w:val="003366"/>
          <w:sz w:val="18"/>
        </w:rPr>
        <w:t>II – transferência com finalidade definida. (Incluído pela Emenda Constitucional</w:t>
      </w:r>
    </w:p>
    <w:p>
      <w:pPr>
        <w:ind w:left="432"/>
      </w:pPr>
      <w:r>
        <w:rPr>
          <w:color w:val="003366"/>
          <w:sz w:val="18"/>
        </w:rPr>
        <w:t>§ 1 Os recursos transferidos na forma do caput deste artigo não integrarão a rec</w:t>
      </w:r>
    </w:p>
    <w:p>
      <w:pPr>
        <w:ind w:left="720"/>
      </w:pPr>
      <w:r>
        <w:rPr>
          <w:color w:val="003366"/>
          <w:sz w:val="18"/>
        </w:rPr>
        <w:t>I – despesas com pessoal e encargos sociais relativas a ativos e inativos, e com</w:t>
      </w:r>
    </w:p>
    <w:p>
      <w:pPr>
        <w:ind w:left="720"/>
      </w:pPr>
      <w:r>
        <w:rPr>
          <w:color w:val="003366"/>
          <w:sz w:val="18"/>
        </w:rPr>
        <w:t>II – encargos referentes ao serviço da dívida. (Incluído pela Emenda Constitucio</w:t>
      </w:r>
    </w:p>
    <w:p>
      <w:pPr>
        <w:ind w:left="432"/>
      </w:pPr>
      <w:r>
        <w:rPr>
          <w:color w:val="003366"/>
          <w:sz w:val="18"/>
        </w:rPr>
        <w:t xml:space="preserve">§ 2 Na transferência especial a que se refere o inciso I do caput deste artigo, </w:t>
      </w:r>
    </w:p>
    <w:p>
      <w:pPr>
        <w:ind w:left="720"/>
      </w:pPr>
      <w:r>
        <w:rPr>
          <w:color w:val="003366"/>
          <w:sz w:val="18"/>
        </w:rPr>
        <w:t>I – serão repassados diretamente ao ente federado beneficiado, independentemente</w:t>
      </w:r>
    </w:p>
    <w:p>
      <w:pPr>
        <w:ind w:left="720"/>
      </w:pPr>
      <w:r>
        <w:rPr>
          <w:color w:val="003366"/>
          <w:sz w:val="18"/>
        </w:rPr>
        <w:t xml:space="preserve">II – pertencerão ao ente federado no ato da efetiva transferência financeira; e </w:t>
      </w:r>
    </w:p>
    <w:p>
      <w:pPr>
        <w:ind w:left="720"/>
      </w:pPr>
      <w:r>
        <w:rPr>
          <w:color w:val="003366"/>
          <w:sz w:val="18"/>
        </w:rPr>
        <w:t>III – serão aplicadas em programações finalísticas das áreas de competência do P</w:t>
      </w:r>
    </w:p>
    <w:p>
      <w:pPr>
        <w:ind w:left="432"/>
      </w:pPr>
      <w:r>
        <w:rPr>
          <w:color w:val="003366"/>
          <w:sz w:val="18"/>
        </w:rPr>
        <w:t>§ 3 O ente federado beneficiado da transferência especial a que se refere o inci</w:t>
      </w:r>
    </w:p>
    <w:p>
      <w:pPr>
        <w:ind w:left="432"/>
      </w:pPr>
      <w:r>
        <w:rPr>
          <w:color w:val="003366"/>
          <w:sz w:val="18"/>
        </w:rPr>
        <w:t>§ 4 Na transferência com finalidade definida a que se refere o inciso II do capu</w:t>
      </w:r>
    </w:p>
    <w:p>
      <w:pPr>
        <w:ind w:left="720"/>
      </w:pPr>
      <w:r>
        <w:rPr>
          <w:color w:val="003366"/>
          <w:sz w:val="18"/>
        </w:rPr>
        <w:t>I – vinculados à programação estabelecida na emenda parlamentar; e (Incluído pel</w:t>
      </w:r>
    </w:p>
    <w:p>
      <w:pPr>
        <w:ind w:left="720"/>
      </w:pPr>
      <w:r>
        <w:rPr>
          <w:color w:val="003366"/>
          <w:sz w:val="18"/>
        </w:rPr>
        <w:t xml:space="preserve">II – aplicados nas áreas de competência constitucional da União. (Incluído pela </w:t>
      </w:r>
    </w:p>
    <w:p>
      <w:pPr>
        <w:ind w:left="432"/>
      </w:pPr>
      <w:r>
        <w:rPr>
          <w:color w:val="003366"/>
          <w:sz w:val="18"/>
        </w:rPr>
        <w:t>§ 5 Pelo menos 70% (setenta por cento) das transferências especiais de que trata</w:t>
      </w:r>
    </w:p>
    <w:p>
      <w:r>
        <w:rPr>
          <w:b/>
          <w:color w:val="003366"/>
          <w:sz w:val="20"/>
        </w:rPr>
        <w:t>Art. 167 São vedados:</w:t>
      </w:r>
      <w:r>
        <w:rPr>
          <w:color w:val="8C8C8C"/>
          <w:sz w:val="14"/>
        </w:rPr>
        <w:t xml:space="preserve">  [38 decisoes]</w:t>
      </w:r>
    </w:p>
    <w:p>
      <w:pPr>
        <w:ind w:left="144"/>
      </w:pPr>
      <w:r>
        <w:rPr>
          <w:b/>
          <w:color w:val="B45A00"/>
          <w:sz w:val="16"/>
        </w:rPr>
        <w:t>JULGADOS CORRELATOS</w:t>
      </w:r>
    </w:p>
    <w:p>
      <w:pPr>
        <w:ind w:left="288"/>
      </w:pPr>
      <w:r>
        <w:rPr>
          <w:color w:val="8C8C8C"/>
          <w:sz w:val="12"/>
        </w:rPr>
        <w:t>cf-art-167-inc-I</w:t>
      </w:r>
      <w:r>
        <w:rPr>
          <w:color w:val="003CA0"/>
          <w:sz w:val="12"/>
        </w:rPr>
        <w:t xml:space="preserve"> | PET 2.836</w:t>
      </w:r>
      <w:r>
        <w:rPr>
          <w:color w:val="003CA0"/>
          <w:sz w:val="12"/>
        </w:rPr>
        <w:t xml:space="preserve"> | rel. Carlos Velloso</w:t>
      </w:r>
    </w:p>
    <w:p>
      <w:pPr>
        <w:ind w:left="288"/>
      </w:pPr>
      <w:r>
        <w:rPr>
          <w:color w:val="1E1E1E"/>
          <w:sz w:val="18"/>
        </w:rPr>
        <w:t>Determinação judicial de construção de creches pelo Município. Despesas públicas: necessidade de autorização orçamentária: CF, art. 167. Fumus boni juris e periculum in mora ocorrentes. Concessão de efeito suspensivo ao recurso extraordinário diante da possibilidade de ocorrência de graves prejuízos aos cofres públicos municipais.</w:t>
      </w:r>
    </w:p>
    <w:p>
      <w:pPr>
        <w:ind w:left="288"/>
      </w:pPr>
      <w:r>
        <w:rPr>
          <w:b/>
          <w:color w:val="003CA0"/>
          <w:sz w:val="16"/>
        </w:rPr>
        <w:t>[Pet 2.836 QO, rel. min. Carlos Velloso, j. 11-2-2003, 2ª T, DJ de 14-3-2003.]</w:t>
      </w:r>
    </w:p>
    <w:p>
      <w:pPr>
        <w:ind w:left="144"/>
      </w:pPr>
      <w:r>
        <w:rPr>
          <w:b/>
          <w:color w:val="B45A00"/>
          <w:sz w:val="16"/>
        </w:rPr>
        <w:t>CONTROLE CONCENTRADO</w:t>
      </w:r>
    </w:p>
    <w:p>
      <w:pPr>
        <w:ind w:left="288"/>
      </w:pPr>
      <w:r>
        <w:rPr>
          <w:color w:val="8C8C8C"/>
          <w:sz w:val="12"/>
        </w:rPr>
        <w:t>cf-art-167-inc-II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56, parágrafo único: procedência, em parte, para atribuir interpretação conforme à expressão "abertura de novos elementos de despesa".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Constituição, que veda "a realização de despesas ou a assunção de ob</w:t>
      </w:r>
    </w:p>
    <w:p>
      <w:pPr>
        <w:ind w:left="288"/>
      </w:pPr>
      <w:r>
        <w:rPr>
          <w:b/>
          <w:color w:val="003CA0"/>
          <w:sz w:val="16"/>
        </w:rPr>
        <w:t>[ADI 3.652, rel. min. Sepúlveda Pertence, j. 19-12-2006, P, DJ de 16-3-2007.]</w:t>
      </w:r>
    </w:p>
    <w:p>
      <w:pPr>
        <w:ind w:left="288"/>
      </w:pPr>
      <w:r>
        <w:rPr>
          <w:color w:val="8C8C8C"/>
          <w:sz w:val="12"/>
        </w:rPr>
        <w:t>cf-art-167-inc-II</w:t>
      </w:r>
      <w:r>
        <w:rPr>
          <w:color w:val="003CA0"/>
          <w:sz w:val="12"/>
        </w:rPr>
        <w:t xml:space="preserve"> | ADI 352</w:t>
      </w:r>
      <w:r>
        <w:rPr>
          <w:color w:val="003CA0"/>
          <w:sz w:val="12"/>
        </w:rPr>
        <w:t xml:space="preserve"> | rel. Celso de Mello</w:t>
      </w:r>
    </w:p>
    <w:p>
      <w:pPr>
        <w:ind w:left="288"/>
      </w:pPr>
      <w:r>
        <w:rPr>
          <w:color w:val="1E1E1E"/>
          <w:sz w:val="18"/>
        </w:rPr>
        <w:t>Reveste-se de plausibilidade jurídica, no entanto, a tese, sustentada em ação direta, de que o legislador estadual, condicionado em sua ação normativa por princípios superiores enunciados na CF, não pode, ao fixar a despesa pública, autorizar gastos que excedam os créditos orçamentários ou adicionais, ou omitir-lhes a correspondente fonte de custeio, com a necessária indicação dos recursos existentes.</w:t>
      </w:r>
    </w:p>
    <w:p>
      <w:pPr>
        <w:ind w:left="288"/>
      </w:pPr>
      <w:r>
        <w:rPr>
          <w:b/>
          <w:color w:val="003CA0"/>
          <w:sz w:val="16"/>
        </w:rPr>
        <w:t>[ADI 352 MC, rel. min. Celso de Mello, j. 29-8-1990, P, DJ de 8-3-1991.]</w:t>
      </w:r>
    </w:p>
    <w:p>
      <w:pPr>
        <w:ind w:left="144"/>
      </w:pPr>
      <w:r>
        <w:rPr>
          <w:b/>
          <w:color w:val="B45A00"/>
          <w:sz w:val="16"/>
        </w:rPr>
        <w:t>JULGADOS CORRELATOS</w:t>
      </w:r>
    </w:p>
    <w:p>
      <w:pPr>
        <w:ind w:left="288"/>
      </w:pPr>
      <w:r>
        <w:rPr>
          <w:color w:val="8C8C8C"/>
          <w:sz w:val="12"/>
        </w:rPr>
        <w:t>cf-art-167-inc-II</w:t>
      </w:r>
      <w:r>
        <w:rPr>
          <w:color w:val="003CA0"/>
          <w:sz w:val="12"/>
        </w:rPr>
        <w:t xml:space="preserve"> | ACO 3.414</w:t>
      </w:r>
      <w:r>
        <w:rPr>
          <w:color w:val="003CA0"/>
          <w:sz w:val="12"/>
        </w:rPr>
        <w:t xml:space="preserve"> | rel. Gilmar Mendes</w:t>
      </w:r>
    </w:p>
    <w:p>
      <w:pPr>
        <w:ind w:left="288"/>
      </w:pPr>
      <w:r>
        <w:rPr>
          <w:color w:val="1E1E1E"/>
          <w:sz w:val="18"/>
        </w:rPr>
        <w:t>Uso de recursos do FCDF para o pagamento de despesas do exercício anterior ao do orçamento vigente. Impossibilidade. Ofensa aos arts. 165, III, XIV, c/c art. 167, II, ambos da CF e ao princípio da anualidade orçamentária (...).</w:t>
      </w:r>
    </w:p>
    <w:p>
      <w:pPr>
        <w:ind w:left="288"/>
      </w:pPr>
      <w:r>
        <w:rPr>
          <w:b/>
          <w:color w:val="003CA0"/>
          <w:sz w:val="16"/>
        </w:rPr>
        <w:t>[ACO 3.414 AgR, rel. min. Gilmar Mendes, j. 18-12-2021, P, DJE de 15-2-2022.]</w:t>
      </w:r>
    </w:p>
    <w:p>
      <w:pPr>
        <w:ind w:left="288"/>
      </w:pPr>
      <w:r>
        <w:rPr>
          <w:color w:val="8C8C8C"/>
          <w:sz w:val="12"/>
        </w:rPr>
        <w:t>cf-art-167-inc-II</w:t>
      </w:r>
    </w:p>
    <w:p>
      <w:pPr>
        <w:ind w:left="288"/>
      </w:pPr>
      <w:r>
        <w:rPr>
          <w:color w:val="1E1E1E"/>
          <w:sz w:val="18"/>
        </w:rPr>
        <w:t>III - a realização de operações de créditos que excedam o montante das despesas de capital, ressalvadas as autorizadas mediante créditos suplementares ou especiais com finalidade precisa, aprovados pelo Poder Legislativo por maioria absoluta;</w:t>
      </w:r>
    </w:p>
    <w:p>
      <w:pPr>
        <w:ind w:left="144"/>
      </w:pPr>
      <w:r>
        <w:rPr>
          <w:b/>
          <w:color w:val="B45A00"/>
          <w:sz w:val="16"/>
        </w:rPr>
        <w:t>CONTROLE CONCENTRADO</w:t>
      </w:r>
    </w:p>
    <w:p>
      <w:pPr>
        <w:ind w:left="288"/>
      </w:pPr>
      <w:r>
        <w:rPr>
          <w:color w:val="8C8C8C"/>
          <w:sz w:val="12"/>
        </w:rPr>
        <w:t>cf-art-167-inc-II</w:t>
      </w:r>
      <w:r>
        <w:rPr>
          <w:color w:val="003CA0"/>
          <w:sz w:val="12"/>
        </w:rPr>
        <w:t xml:space="preserve"> | ADI 6.660</w:t>
      </w:r>
      <w:r>
        <w:rPr>
          <w:color w:val="003CA0"/>
          <w:sz w:val="12"/>
        </w:rPr>
        <w:t xml:space="preserve"> | rel. Rosa Weber</w:t>
      </w:r>
    </w:p>
    <w:p>
      <w:pPr>
        <w:ind w:left="288"/>
      </w:pPr>
      <w:r>
        <w:rPr>
          <w:color w:val="1E1E1E"/>
          <w:sz w:val="18"/>
        </w:rPr>
        <w:t>Lei 12.305, de 18 de dezembro de 2002, do Estado de Pernambuco, alterada pela lei 12.337/2003, que dispõe sobre os depósitos judiciais e extrajudiciais à disposição do Poder Judiciário Estadual ou da Secretaria da Fazenda. (...) Criação, pela lei estadual impugnada, de um endividamento inconstitucional afastado das hipóteses de dívida pública albergadas pela Carta Magna – violação do artigo 167, III.</w:t>
      </w:r>
    </w:p>
    <w:p>
      <w:pPr>
        <w:ind w:left="288"/>
      </w:pPr>
      <w:r>
        <w:rPr>
          <w:b/>
          <w:color w:val="003CA0"/>
          <w:sz w:val="16"/>
        </w:rPr>
        <w:t>[ADI 6.660, rel. min. Rosa Weber, j. 21-6-2022, P, DJE de 29-6-2022.]</w:t>
      </w:r>
    </w:p>
    <w:p>
      <w:pPr>
        <w:ind w:left="288"/>
      </w:pPr>
      <w:r>
        <w:rPr>
          <w:color w:val="8C8C8C"/>
          <w:sz w:val="12"/>
        </w:rPr>
        <w:t>cf-art-167-inc-II</w:t>
      </w:r>
      <w:r>
        <w:rPr>
          <w:color w:val="003CA0"/>
          <w:sz w:val="12"/>
        </w:rPr>
        <w:t xml:space="preserve"> | ADI 5.683</w:t>
      </w:r>
      <w:r>
        <w:rPr>
          <w:color w:val="003CA0"/>
          <w:sz w:val="12"/>
        </w:rPr>
        <w:t xml:space="preserve"> | rel. Roberto Barroso</w:t>
      </w:r>
    </w:p>
    <w:p>
      <w:pPr>
        <w:ind w:left="288"/>
      </w:pPr>
      <w:r>
        <w:rPr>
          <w:color w:val="1E1E1E"/>
          <w:sz w:val="18"/>
        </w:rPr>
        <w:t>A vedação do art. 167, III, da CF não impede a contratação de operações de crédito para o custeio de despesas correntes. Proíbe-se, somente, a contratação que exceda o montante das despesas de capital. Aliás, a mera autorização legislativa não afronta essa regra constitucional, mas apenas a contratação em si, se não respeitar os limites estabelecidos.</w:t>
      </w:r>
    </w:p>
    <w:p>
      <w:pPr>
        <w:ind w:left="288"/>
      </w:pPr>
      <w:r>
        <w:rPr>
          <w:b/>
          <w:color w:val="003CA0"/>
          <w:sz w:val="16"/>
        </w:rPr>
        <w:t>[ADI 5.683, rel. min. Roberto Barroso, j. 22-4-2022, P, DJE de 19-5-2022.]</w:t>
      </w:r>
    </w:p>
    <w:p>
      <w:pPr>
        <w:ind w:left="288"/>
      </w:pPr>
      <w:r>
        <w:rPr>
          <w:color w:val="8C8C8C"/>
          <w:sz w:val="12"/>
        </w:rPr>
        <w:t>cf-art-167-inc-II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Ao prever limite textualmente diverso da regra do art. 167, III, da CF, o art. 12, § 2º, da LRF enseja interpretações distorcidas do teto a ser aplicado às receitas decorrentes de operações de crédito, pelo que a ação deve ser parcialmente provida, nesse ponto, para dar interpretação conforme ao dispositivo para o fim de explicitar que a proibição não abrange operações de crédito autorizadas mediante créditos suplementares ou especiais com finalidade precisa, aprovados pelo Poder Legisl</w:t>
      </w:r>
    </w:p>
    <w:p>
      <w:pPr>
        <w:ind w:left="288"/>
      </w:pPr>
      <w:r>
        <w:rPr>
          <w:b/>
          <w:color w:val="003CA0"/>
          <w:sz w:val="16"/>
        </w:rPr>
        <w:t>[ADI 2.238, rel. min. Alexandre de Moraes, j. 24-6-2020, P, DJE de 15-9-2020.]</w:t>
      </w:r>
    </w:p>
    <w:p>
      <w:pPr>
        <w:ind w:left="288"/>
      </w:pPr>
      <w:r>
        <w:rPr>
          <w:color w:val="8C8C8C"/>
          <w:sz w:val="12"/>
        </w:rPr>
        <w:t>cf-art-167-inc-II</w:t>
      </w:r>
      <w:r>
        <w:rPr>
          <w:color w:val="003CA0"/>
          <w:sz w:val="12"/>
        </w:rPr>
        <w:t xml:space="preserve"> | ADI 3.516</w:t>
      </w:r>
      <w:r>
        <w:rPr>
          <w:color w:val="003CA0"/>
          <w:sz w:val="12"/>
        </w:rPr>
        <w:t xml:space="preserve"> | rel. Edson Fachin</w:t>
      </w:r>
    </w:p>
    <w:p>
      <w:pPr>
        <w:ind w:left="288"/>
      </w:pPr>
      <w:r>
        <w:rPr>
          <w:color w:val="1E1E1E"/>
          <w:sz w:val="18"/>
        </w:rP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 (Redação da EC 42/2003) A ressal</w:t>
      </w:r>
    </w:p>
    <w:p>
      <w:pPr>
        <w:ind w:left="288"/>
      </w:pPr>
      <w:r>
        <w:rPr>
          <w:b/>
          <w:color w:val="003CA0"/>
          <w:sz w:val="16"/>
        </w:rPr>
        <w:t>[ADI 3.516, rel. min. Edson Fachin, j. 16.12.2024, P, DJE de 06.02.2025.]</w:t>
      </w:r>
    </w:p>
    <w:p>
      <w:pPr>
        <w:ind w:left="288"/>
      </w:pPr>
      <w:r>
        <w:rPr>
          <w:color w:val="8C8C8C"/>
          <w:sz w:val="12"/>
        </w:rPr>
        <w:t>cf-art-167-inc-II</w:t>
      </w:r>
      <w:r>
        <w:rPr>
          <w:color w:val="003CA0"/>
          <w:sz w:val="12"/>
        </w:rPr>
        <w:t xml:space="preserve"> | ADI 5.635</w:t>
      </w:r>
      <w:r>
        <w:rPr>
          <w:color w:val="003CA0"/>
          <w:sz w:val="12"/>
        </w:rPr>
        <w:t xml:space="preserve"> | rel. Luís Roberto Barroso</w:t>
      </w:r>
    </w:p>
    <w:p>
      <w:pPr>
        <w:ind w:left="288"/>
      </w:pPr>
      <w:r>
        <w:rPr>
          <w:color w:val="1E1E1E"/>
          <w:sz w:val="18"/>
        </w:rPr>
        <w:t>“São constitucionais as Leis nºs 7.428/2016 e 8.645/2019, ambas do Estado do Rio de Janeiro, que instituíram o Fundo Estadual de Equilíbrio Fiscal – FEEF e, posteriormente, o Fundo Orçamentário Temporário – FOT, fundos atípicos cujas receitas não estão vinculadas a um programa governamental específico e detalhado”.</w:t>
        <w:br/>
        <w:t>[ADI 5.635, rel. min. Luís Roberto Barroso, j. 18-10-2023, P, DJE de 24-11-2023.] O Estado de Mato Grosso do Sul adotou sistema de rateio no qual os recursos destinados aos órgãos da área-meio são posteriormente atribuídos aos da área-fim, mediante transposição, remanejamento ou tra</w:t>
      </w:r>
    </w:p>
    <w:p>
      <w:pPr>
        <w:ind w:left="288"/>
      </w:pPr>
      <w:r>
        <w:rPr>
          <w:b/>
          <w:color w:val="003CA0"/>
          <w:sz w:val="16"/>
        </w:rPr>
        <w:t>[ADI 6.045, rel. min. Marco Aurélio, j. 22-6-2020, P, DJE de 17-7-2020.]</w:t>
      </w:r>
    </w:p>
    <w:p>
      <w:pPr>
        <w:ind w:left="288"/>
      </w:pPr>
      <w:r>
        <w:rPr>
          <w:color w:val="8C8C8C"/>
          <w:sz w:val="12"/>
        </w:rPr>
        <w:t>cf-art-167-inc-II</w:t>
      </w:r>
      <w:r>
        <w:rPr>
          <w:color w:val="003CA0"/>
          <w:sz w:val="12"/>
        </w:rPr>
        <w:t xml:space="preserve"> | ADI 5.897</w:t>
      </w:r>
      <w:r>
        <w:rPr>
          <w:color w:val="003CA0"/>
          <w:sz w:val="12"/>
        </w:rPr>
        <w:t xml:space="preserve"> | rel. Luiz Fux</w:t>
      </w:r>
    </w:p>
    <w:p>
      <w:pPr>
        <w:ind w:left="288"/>
      </w:pPr>
      <w:r>
        <w:rPr>
          <w:color w:val="1E1E1E"/>
          <w:sz w:val="18"/>
        </w:rPr>
        <w:t>O artigo 167, IV, da Constituição Federal veda o estabelecimento de vinculação de receitas proveniente de impostos, quando não previstas ou autorizadas na Constituição Federal, porquanto cerceia o poder de gestão financeira do chefe do Poder Executivo e obsta o custeio das despesas urgentes, imprevistas ou extraordinárias, que se façam necessárias ao longo do exercício financeiro, tanto mais que deve dar-se aplicação aos recursos de receita pública consoante critérios de responsabilidade fiscal consentâneos com os anseios democráticos. (...) A vedação à vinculação da receita é norma que preser</w:t>
      </w:r>
    </w:p>
    <w:p>
      <w:pPr>
        <w:ind w:left="288"/>
      </w:pPr>
      <w:r>
        <w:rPr>
          <w:b/>
          <w:color w:val="003CA0"/>
          <w:sz w:val="16"/>
        </w:rPr>
        <w:t>[ADI 5.897, rel. min. Luiz Fux, j. 24-4-2019, P, DJE de 2-8-2019.]</w:t>
      </w:r>
    </w:p>
    <w:p>
      <w:pPr>
        <w:ind w:left="288"/>
      </w:pPr>
      <w:r>
        <w:rPr>
          <w:color w:val="8C8C8C"/>
          <w:sz w:val="12"/>
        </w:rPr>
        <w:t>cf-art-167-inc-II</w:t>
      </w:r>
      <w:r>
        <w:rPr>
          <w:color w:val="003CA0"/>
          <w:sz w:val="12"/>
        </w:rPr>
        <w:t xml:space="preserve"> | RE 226.855</w:t>
      </w:r>
      <w:r>
        <w:rPr>
          <w:color w:val="003CA0"/>
          <w:sz w:val="12"/>
        </w:rPr>
        <w:t xml:space="preserve"> | rel. Moreira Alves</w:t>
      </w:r>
    </w:p>
    <w:p>
      <w:pPr>
        <w:ind w:left="288"/>
      </w:pPr>
      <w:r>
        <w:rPr>
          <w:color w:val="1E1E1E"/>
          <w:sz w:val="18"/>
        </w:rPr>
        <w:t>(...) esta Suprema Corte considera constitucionais ambas as contribuições criadas pela LC 110/2001 (...). Os dois tributos tinham por objetivo custear os dispêndios da União decorrentes de decisão do STF, que considerou devido o reajuste dos saldos do FGTS (RE 226.855, rel. min. Moreira Alves, Pleno, DJ de 13-10-2000). As restrições previstas nos arts. 157, II, e 167, IV, da Constituição são aplicáveis aos impostos, e, no caso em exame, trata-se da espécie tributária contribuição, nitidamente caracterizada pela prévia escolha da destinação específica do produto arrecadado.</w:t>
      </w:r>
    </w:p>
    <w:p>
      <w:pPr>
        <w:ind w:left="288"/>
      </w:pPr>
      <w:r>
        <w:rPr>
          <w:b/>
          <w:color w:val="003CA0"/>
          <w:sz w:val="16"/>
        </w:rPr>
        <w:t>[ADI 2.556 e ADI 2.568, voto do rel. min. Joaquim Barbosa, j. 13-6-2012, P, DJE de 20-9-2012.]</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Ação direta de inconstitucionalidade contra o inciso V do § 3º do art. 120 da Constituição do Estado de Santa Catarina, com a redação dada pela EC 14, promulgada em 10 de novembro de 1997. Vinculação, por dotação orçamentária, de parte da receita corrente do Estado a programas de desenvolvimento da agricultura, pecuária e abastecimento. Inconstitucionalidade. Afronta à iniciativa privativa do chefe do Poder Executivo em tema de diretrizes orçamentárias. Precedentes. Violação ao art. 167, IV, da CF.</w:t>
      </w:r>
    </w:p>
    <w:p>
      <w:pPr>
        <w:ind w:left="288"/>
      </w:pPr>
      <w:r>
        <w:rPr>
          <w:b/>
          <w:color w:val="003CA0"/>
          <w:sz w:val="16"/>
        </w:rPr>
        <w:t>[ADI 1.759, rel. min. Gilmar Mendes, j. 14-4-2010, P, DJE de 20-8-2010.]</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Vide ADI 1.750, rel. min. Eros Grau, j. 20-9-2006, P, DJ de 13-10-2006 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3CA0"/>
          <w:sz w:val="16"/>
        </w:rPr>
        <w:t>[ADI 2.447, rel. min. Joaquim Barbosa, j. 4-3-2009, P, DJE de 4-12-2009.]</w:t>
      </w:r>
    </w:p>
    <w:p>
      <w:pPr>
        <w:ind w:left="288"/>
      </w:pPr>
      <w:r>
        <w:rPr>
          <w:color w:val="8C8C8C"/>
          <w:sz w:val="12"/>
        </w:rPr>
        <w:t>cf-art-167-inc-II</w:t>
      </w:r>
      <w:r>
        <w:rPr>
          <w:color w:val="003CA0"/>
          <w:sz w:val="12"/>
        </w:rPr>
        <w:t xml:space="preserve"> | ADI 2.529</w:t>
      </w:r>
      <w:r>
        <w:rPr>
          <w:color w:val="003CA0"/>
          <w:sz w:val="12"/>
        </w:rPr>
        <w:t xml:space="preserve"> | rel. Gilmar Mendes</w:t>
      </w:r>
    </w:p>
    <w:p>
      <w:pPr>
        <w:ind w:left="288"/>
      </w:pPr>
      <w:r>
        <w:rPr>
          <w:color w:val="1E1E1E"/>
          <w:sz w:val="18"/>
        </w:rPr>
        <w:t>Ação direta de inconstitucionalidade. Lei 13.133/2001 do Estado do Paraná, que instituiu o Programa de Incentivo à Cultura, vinculando parte da receita do ICMS ao Fundo Estadual de Cultura. Violação ao art. 167, IV, da CF.</w:t>
      </w:r>
    </w:p>
    <w:p>
      <w:pPr>
        <w:ind w:left="288"/>
      </w:pPr>
      <w:r>
        <w:rPr>
          <w:b/>
          <w:color w:val="003CA0"/>
          <w:sz w:val="16"/>
        </w:rPr>
        <w:t>[ADI 2.529, rel. min. Gilmar Mendes, j. 14-6-2007, P, DJ de 6-9-2007.]</w:t>
      </w:r>
    </w:p>
    <w:p>
      <w:pPr>
        <w:ind w:left="288"/>
      </w:pPr>
      <w:r>
        <w:rPr>
          <w:color w:val="8C8C8C"/>
          <w:sz w:val="12"/>
        </w:rPr>
        <w:t>cf-art-167-inc-II</w:t>
      </w:r>
      <w:r>
        <w:rPr>
          <w:color w:val="003CA0"/>
          <w:sz w:val="12"/>
        </w:rPr>
        <w:t xml:space="preserve"> | ADI 820</w:t>
      </w:r>
      <w:r>
        <w:rPr>
          <w:color w:val="003CA0"/>
          <w:sz w:val="12"/>
        </w:rPr>
        <w:t xml:space="preserve"> | rel. Eros Grau</w:t>
      </w:r>
    </w:p>
    <w:p>
      <w:pPr>
        <w:ind w:left="288"/>
      </w:pPr>
      <w:r>
        <w:rPr>
          <w:color w:val="1E1E1E"/>
          <w:sz w:val="18"/>
        </w:rPr>
        <w:t>Art. 202 da Constituição do Estado do Rio Grande do Sul. Lei estadual 9.723. Manutenção e desenvolvimento do ensino público. Aplicação mínima de 35% da receita resultante de impostos. Destinação de 10% desses recursos à manutenção e conservação das escolas públicas Estaduais. (...) A determinação de aplicação de parte dos recursos destinados à educação na "manutenção e conservação das escolas públicas estaduais" vinculou a receita de impostos a uma despesa específica – afronta ao disposto no art. 167, IV, da CF/1988.</w:t>
      </w:r>
    </w:p>
    <w:p>
      <w:pPr>
        <w:ind w:left="288"/>
      </w:pPr>
      <w:r>
        <w:rPr>
          <w:b/>
          <w:color w:val="003CA0"/>
          <w:sz w:val="16"/>
        </w:rPr>
        <w:t>[ADI 820, rel. min. Eros Grau, j. 15-3-2007, P, DJE de 29-2-2008.]</w:t>
      </w:r>
    </w:p>
    <w:p>
      <w:pPr>
        <w:ind w:left="288"/>
      </w:pPr>
      <w:r>
        <w:rPr>
          <w:color w:val="8C8C8C"/>
          <w:sz w:val="12"/>
        </w:rPr>
        <w:t>cf-art-167-inc-II</w:t>
      </w:r>
      <w:r>
        <w:rPr>
          <w:color w:val="003CA0"/>
          <w:sz w:val="12"/>
        </w:rPr>
        <w:t xml:space="preserve"> | ADI 584</w:t>
      </w:r>
      <w:r>
        <w:rPr>
          <w:color w:val="003CA0"/>
          <w:sz w:val="12"/>
        </w:rPr>
        <w:t xml:space="preserve"> | rel. Dias Toffoli</w:t>
      </w:r>
    </w:p>
    <w:p>
      <w:pPr>
        <w:ind w:left="288"/>
      </w:pPr>
      <w:r>
        <w:rPr>
          <w:color w:val="1E1E1E"/>
          <w:sz w:val="18"/>
        </w:rPr>
        <w:t xml:space="preserve">= ADI 584, rel. min. Dias Toffoli, j. 19-3-2014, P, DJE de 9-4-2014 Lei estadual 12.223, de 3-1-2005. Fundo Partilhado de Combate às Desigualdades Sociais e Regionais do Estado do Rio Grande do Sul. (...) As normas em estudo, ao possibilitarem o direcionamento, pelos contribuintes, do valor devido a título de ICMS para o chamado Fundo Partilhado de Combate às Desigualdades Sociais e Regionais do Estado do Rio Grande do Sul, compensando-se, em contrapartida, o valor despendido sob a forma de crédito fiscal presumido, criaram, na verdade, um mecanismo de redirecionamento da receita de ICMS para </w:t>
      </w:r>
    </w:p>
    <w:p>
      <w:pPr>
        <w:ind w:left="288"/>
      </w:pPr>
      <w:r>
        <w:rPr>
          <w:b/>
          <w:color w:val="003CA0"/>
          <w:sz w:val="16"/>
        </w:rPr>
        <w:t>[ADI 3.576, rel. min. Ellen Gracie, j. 22-11-2006, P, DJ de 2-2-2007.]</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88"/>
      </w:pPr>
      <w:r>
        <w:rPr>
          <w:b/>
          <w:color w:val="003CA0"/>
          <w:sz w:val="16"/>
        </w:rPr>
        <w:t>[ADI 1.750, rel. min. Eros Grau, j. 20-9-2006, P, DJ de 13-10-2006.]</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Vide ADI 1.759, rel. min. Gilmar Mendes, j. 14-04-2010, P, DJE de 20-8-2010 Preceito de lei estadual que destina 3% dos emolumentos cobrados pelas serventias extrajudiciais ao Fundo Especial para Instalação, Desenvolvimento e Aperfeiçoamento das Atividades dos Juizados Especiais Cíveis e Criminais do Estado do Mato Grosso do Sul não ofende o disposto no art. 167, IV, da CF.</w:t>
      </w:r>
    </w:p>
    <w:p>
      <w:pPr>
        <w:ind w:left="288"/>
      </w:pPr>
      <w:r>
        <w:rPr>
          <w:b/>
          <w:color w:val="003CA0"/>
          <w:sz w:val="16"/>
        </w:rPr>
        <w:t>[ADI 2.129, rel. min. Eros Grau, j. 26-4-2006, P, DJ de 16-6-2006.]</w:t>
      </w:r>
    </w:p>
    <w:p>
      <w:pPr>
        <w:ind w:left="288"/>
      </w:pPr>
      <w:r>
        <w:rPr>
          <w:color w:val="8C8C8C"/>
          <w:sz w:val="12"/>
        </w:rPr>
        <w:t>cf-art-167-inc-II</w:t>
      </w:r>
      <w:r>
        <w:rPr>
          <w:color w:val="003CA0"/>
          <w:sz w:val="12"/>
        </w:rPr>
        <w:t xml:space="preserve"> | ADI 2.059</w:t>
      </w:r>
      <w:r>
        <w:rPr>
          <w:color w:val="003CA0"/>
          <w:sz w:val="12"/>
        </w:rPr>
        <w:t xml:space="preserve"> | rel. Eros Grau</w:t>
      </w:r>
    </w:p>
    <w:p>
      <w:pPr>
        <w:ind w:left="288"/>
      </w:pPr>
      <w:r>
        <w:rPr>
          <w:color w:val="1E1E1E"/>
          <w:sz w:val="18"/>
        </w:rPr>
        <w:t>= ADI 2.059, rel. min. Eros Grau, j. 26-4-2006, P, DJ de 9-6-2006 Observe-se, ainda, que o art. 7º da lei estadual impugnada determinou que, do valor do crédito fiscal previsto no seu art. 3º, 40% deverá ser recolhido para apoiar os produtores e 10% para a pesquisa do algodão. Tem-se aqui inequívoca afronta ao disposto no art. 167, IV, da CF, que veda a vinculação de receita de impostos a órgão, fundo ou despesas. Ressalte-se que esta Corte houve por bem declarar a inconstitucionalidade de lei paulista que destinou 1% do ICMS ao fornecimento de programas habitacionais, por afronta ao dispositi</w:t>
      </w:r>
    </w:p>
    <w:p>
      <w:pPr>
        <w:ind w:left="288"/>
      </w:pPr>
      <w:r>
        <w:rPr>
          <w:b/>
          <w:color w:val="003CA0"/>
          <w:sz w:val="16"/>
        </w:rPr>
        <w:t>[ADI 2.722, voto do rel. min. Gilmar Mendes, j. 15-9-2005, P, DJ de 19-12-2006.]</w:t>
      </w:r>
    </w:p>
    <w:p>
      <w:pPr>
        <w:ind w:left="288"/>
      </w:pPr>
      <w:r>
        <w:rPr>
          <w:color w:val="8C8C8C"/>
          <w:sz w:val="12"/>
        </w:rPr>
        <w:t>cf-art-167-inc-II</w:t>
      </w:r>
      <w:r>
        <w:rPr>
          <w:color w:val="003CA0"/>
          <w:sz w:val="12"/>
        </w:rPr>
        <w:t xml:space="preserve"> | ADI 1.689</w:t>
      </w:r>
      <w:r>
        <w:rPr>
          <w:color w:val="003CA0"/>
          <w:sz w:val="12"/>
        </w:rPr>
        <w:t xml:space="preserve"> | rel. Sydney Sanches</w:t>
      </w:r>
    </w:p>
    <w:p>
      <w:pPr>
        <w:ind w:left="288"/>
      </w:pPr>
      <w:r>
        <w:rPr>
          <w:color w:val="1E1E1E"/>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w:t>
      </w:r>
    </w:p>
    <w:p>
      <w:pPr>
        <w:ind w:left="288"/>
      </w:pPr>
      <w:r>
        <w:rPr>
          <w:b/>
          <w:color w:val="003CA0"/>
          <w:sz w:val="16"/>
        </w:rPr>
        <w:t>[ADI 1.689, rel. min. Sydney Sanches, j. 12-3-2003, P, DJ de 2-5-2003.]</w:t>
      </w:r>
    </w:p>
    <w:p>
      <w:pPr>
        <w:ind w:left="288"/>
      </w:pPr>
      <w:r>
        <w:rPr>
          <w:color w:val="8C8C8C"/>
          <w:sz w:val="12"/>
        </w:rPr>
        <w:t>cf-art-167-inc-II</w:t>
      </w:r>
      <w:r>
        <w:rPr>
          <w:color w:val="003CA0"/>
          <w:sz w:val="12"/>
        </w:rPr>
        <w:t xml:space="preserve"> | ADI 5.635</w:t>
      </w:r>
      <w:r>
        <w:rPr>
          <w:color w:val="003CA0"/>
          <w:sz w:val="12"/>
        </w:rPr>
        <w:t xml:space="preserve"> | rel. Luís Roberto Barroso</w:t>
      </w:r>
    </w:p>
    <w:p>
      <w:pPr>
        <w:ind w:left="288"/>
      </w:pPr>
      <w:r>
        <w:rPr>
          <w:color w:val="1E1E1E"/>
          <w:sz w:val="18"/>
        </w:rPr>
        <w:t>“(i) É constitucional a exigência de depósito de percentual de benefícios fiscais de ICMS para o Fundo Orçamentário Temporário (FOT), nos termos da ADI 5.635; e (ii) é infraconstitucional e fática a controvérsia sobre a possibilidade de exigir o depósito ao FOT em benefícios fiscais de ICMS concedidos por prazo certo e sob condição.</w:t>
      </w:r>
    </w:p>
    <w:p>
      <w:pPr>
        <w:ind w:left="288"/>
      </w:pPr>
      <w:r>
        <w:rPr>
          <w:b/>
          <w:color w:val="003CA0"/>
          <w:sz w:val="16"/>
        </w:rPr>
        <w:t>[RE 1.506.320 RG, rel. min. Luís Roberto Barroso, j. 11.04.2025, P, DJE de 22.04.2025, Tema 1.386, com mérito julgado.]</w:t>
      </w:r>
    </w:p>
    <w:p>
      <w:pPr>
        <w:ind w:left="144"/>
      </w:pPr>
      <w:r>
        <w:rPr>
          <w:b/>
          <w:color w:val="B45A00"/>
          <w:sz w:val="16"/>
        </w:rPr>
        <w:t>REPERCUSSAO GERAL</w:t>
      </w:r>
    </w:p>
    <w:p>
      <w:pPr>
        <w:ind w:left="288"/>
      </w:pPr>
      <w:r>
        <w:rPr>
          <w:color w:val="8C8C8C"/>
          <w:sz w:val="12"/>
        </w:rPr>
        <w:t>cf-art-167-inc-II</w:t>
      </w:r>
      <w:r>
        <w:rPr>
          <w:color w:val="003CA0"/>
          <w:sz w:val="12"/>
        </w:rPr>
        <w:t xml:space="preserve"> | RE 585.535</w:t>
      </w:r>
      <w:r>
        <w:rPr>
          <w:color w:val="003CA0"/>
          <w:sz w:val="12"/>
        </w:rPr>
        <w:t xml:space="preserve"> | rel. Ellen Gracie</w:t>
      </w:r>
    </w:p>
    <w:p>
      <w:pPr>
        <w:ind w:left="288"/>
      </w:pPr>
      <w:r>
        <w:rPr>
          <w:color w:val="1E1E1E"/>
          <w:sz w:val="18"/>
        </w:rPr>
        <w:t>ICMS. Majoração de alíquota. (...) A Lei paulista 9.903, de 30-12-1997, apenas impôs a divulgação, pelo chefe do Executivo, do emprego dos recursos provenientes do aumento da alíquota de 17% para 18%, previsto no mesmo diploma. A proibição de vinculação de receita de impostos prevista no art. 167, IV, da CF impede a fixação de uma prévia destinação desses recursos, o que não se verificou no presente caso.</w:t>
        <w:br/>
        <w:t>[RE 585.535, rel. min. Ellen Gracie, j. 1º-2-2010, P, DJE de 21-5-2010, Tema 92, com mérito julgado.]</w:t>
        <w:br/>
        <w:t>Vide RE 183.906, rel. min. Marco Aurélio, j. 18-9-1997, P, DJ de 30-4-1998</w:t>
      </w:r>
    </w:p>
    <w:p>
      <w:pPr>
        <w:ind w:left="144"/>
      </w:pPr>
      <w:r>
        <w:rPr>
          <w:b/>
          <w:color w:val="B45A00"/>
          <w:sz w:val="16"/>
        </w:rPr>
        <w:t>JULGADOS CORRELATOS</w:t>
      </w:r>
    </w:p>
    <w:p>
      <w:pPr>
        <w:ind w:left="288"/>
      </w:pPr>
      <w:r>
        <w:rPr>
          <w:color w:val="8C8C8C"/>
          <w:sz w:val="12"/>
        </w:rPr>
        <w:t>cf-art-167-inc-II</w:t>
      </w:r>
      <w:r>
        <w:rPr>
          <w:color w:val="003CA0"/>
          <w:sz w:val="12"/>
        </w:rPr>
        <w:t xml:space="preserve"> | RCL 60.128</w:t>
      </w:r>
      <w:r>
        <w:rPr>
          <w:color w:val="003CA0"/>
          <w:sz w:val="12"/>
        </w:rPr>
        <w:t xml:space="preserve"> | rel. Luiz Fux</w:t>
      </w:r>
    </w:p>
    <w:p>
      <w:pPr>
        <w:ind w:left="288"/>
      </w:pPr>
      <w:r>
        <w:rPr>
          <w:color w:val="1E1E1E"/>
          <w:sz w:val="18"/>
        </w:rPr>
        <w:t>Não se admite a constrição indiscriminada de verbas públicas, inclusive na fase de pagamento, por meio de decisões judiciais, sob pena de afronta ao preceito contido no art. 167, VI, da CF, ao modelo constitucional de organização orçamentária das finanças públicas e ao princípio da continuidade dos serviços públicos (art. 175 da Constituição Federal).</w:t>
        <w:br/>
        <w:t>[Rcl 60.128 AgR, rel. min. Luiz Fux, red. do ac. min. Alexandre de Moraes, j. 9-10-2023, 1ª T, DJE de 19-10-2023.] Preceito de lei estadual que destina 5% dos emolumentos cobrados pelas serventias extrajudiciais e não oficializadas ao Fundo Estad</w:t>
      </w:r>
    </w:p>
    <w:p>
      <w:pPr>
        <w:ind w:left="288"/>
      </w:pPr>
      <w:r>
        <w:rPr>
          <w:b/>
          <w:color w:val="003CA0"/>
          <w:sz w:val="16"/>
        </w:rPr>
        <w:t>[RE 218.874, rel. min. Eros Grau, j. 7-11-2007, P, DJ de 1º-2-2008.]</w:t>
      </w:r>
    </w:p>
    <w:p>
      <w:pPr>
        <w:ind w:left="144"/>
      </w:pPr>
      <w:r>
        <w:rPr>
          <w:b/>
          <w:color w:val="B45A00"/>
          <w:sz w:val="16"/>
        </w:rPr>
        <w:t>CONTROLE CONCENTRADO</w:t>
      </w:r>
    </w:p>
    <w:p>
      <w:pPr>
        <w:ind w:left="288"/>
      </w:pPr>
      <w:r>
        <w:rPr>
          <w:color w:val="8C8C8C"/>
          <w:sz w:val="12"/>
        </w:rPr>
        <w:t>cf-art-167-inc-V</w:t>
      </w:r>
      <w:r>
        <w:rPr>
          <w:color w:val="003CA0"/>
          <w:sz w:val="12"/>
        </w:rPr>
        <w:t xml:space="preserve"> | ADI 4.049</w:t>
      </w:r>
      <w:r>
        <w:rPr>
          <w:color w:val="003CA0"/>
          <w:sz w:val="12"/>
        </w:rPr>
        <w:t xml:space="preserve"> | rel. Ayres Britto</w:t>
      </w:r>
    </w:p>
    <w:p>
      <w:pPr>
        <w:ind w:left="288"/>
      </w:pPr>
      <w:r>
        <w:rPr>
          <w:color w:val="1E1E1E"/>
          <w:sz w:val="18"/>
        </w:rPr>
        <w:t>Medida cautelar em ação direta de inconstitucionalidade. MP 402, de 23-11-2007, convertida na Lei 11.656, de 16-4-2008. Abertura de crédito extraordinário. (...) Violação que alcança o inciso V do mesmo artigo, na medida em que o ato normativo adversado vem a categorizar como de natureza extraordinária crédito que, em verdade, não passa de especial, ou suplementar.</w:t>
      </w:r>
    </w:p>
    <w:p>
      <w:pPr>
        <w:ind w:left="288"/>
      </w:pPr>
      <w:r>
        <w:rPr>
          <w:b/>
          <w:color w:val="003CA0"/>
          <w:sz w:val="16"/>
        </w:rPr>
        <w:t>[ADI 4.049 MC, rel. min. Ayres Britto, j. 5-11-2008, P, DJE de 8-5-2009.]</w:t>
      </w:r>
    </w:p>
    <w:p>
      <w:pPr>
        <w:ind w:left="288"/>
      </w:pPr>
      <w:r>
        <w:rPr>
          <w:color w:val="8C8C8C"/>
          <w:sz w:val="12"/>
        </w:rPr>
        <w:t>cf-art-167-inc-VI</w:t>
      </w:r>
      <w:r>
        <w:rPr>
          <w:color w:val="003CA0"/>
          <w:sz w:val="12"/>
        </w:rPr>
        <w:t xml:space="preserve"> | ADPF 616</w:t>
      </w:r>
      <w:r>
        <w:rPr>
          <w:color w:val="003CA0"/>
          <w:sz w:val="12"/>
        </w:rPr>
        <w:t xml:space="preserve"> | rel. Roberto Barroso</w:t>
      </w:r>
    </w:p>
    <w:p>
      <w:pPr>
        <w:ind w:left="288"/>
      </w:pPr>
      <w:r>
        <w:rPr>
          <w:color w:val="1E1E1E"/>
          <w:sz w:val="18"/>
        </w:rPr>
        <w:t>Os recursos públicos vinculados ao orçamento de estatais prestadoras de serviço público essencial, em regime não concorrencial e sem intuito lucrativo primário não podem ser bloqueados ou sequestrados por decisão judicial para pagamento de suas dívidas, em virtude do disposto no art. 100 da CF/1988, e dos princípios da legalidade orçamentária (art. 167, VI, da CF), da separação dos poderes (arts. 2°, 60, § 4°, III, da CF) e da eficiência da administração pública (art. 37, caput, da CF).</w:t>
        <w:br/>
        <w:t>[ADPF 616, rel. min. Roberto Barroso, j. 21-5-2021, P, DJE 21-6-2021.] Verbas estaduais não podem ser objeto</w:t>
      </w:r>
    </w:p>
    <w:p>
      <w:pPr>
        <w:ind w:left="288"/>
      </w:pPr>
      <w:r>
        <w:rPr>
          <w:b/>
          <w:color w:val="003CA0"/>
          <w:sz w:val="16"/>
        </w:rPr>
        <w:t>[ADPF 485, rel. min. Roberto Barroso, j. 7-12-2020, P, DJE de 4-2-2021.]</w:t>
      </w:r>
    </w:p>
    <w:p>
      <w:pPr>
        <w:ind w:left="288"/>
      </w:pPr>
      <w:r>
        <w:rPr>
          <w:color w:val="8C8C8C"/>
          <w:sz w:val="12"/>
        </w:rPr>
        <w:t>cf-art-167-inc-VI</w:t>
      </w:r>
      <w:r>
        <w:rPr>
          <w:color w:val="003CA0"/>
          <w:sz w:val="12"/>
        </w:rPr>
        <w:t xml:space="preserve"> | ADPF 484</w:t>
      </w:r>
      <w:r>
        <w:rPr>
          <w:color w:val="003CA0"/>
          <w:sz w:val="12"/>
        </w:rPr>
        <w:t xml:space="preserve"> | rel. Luiz Fux</w:t>
      </w:r>
    </w:p>
    <w:p>
      <w:pPr>
        <w:ind w:left="288"/>
      </w:pPr>
      <w:r>
        <w:rPr>
          <w:color w:val="1E1E1E"/>
          <w:sz w:val="18"/>
        </w:rPr>
        <w:t>O artigo 167, VI, da Constituição proíbe a transposição, o remanejamento ou a transferência de recursos de uma categoria de programação para outra ou de um órgão para outro, sem prévia autorização legislativa, mandamento esse que também vincula o Judiciário. Isso porque as regras sobre aprovação e gestão orçamentárias consagram mecanismos de freios e contrapesos essenciais ao regular funcionamento das instituições republicanas e democráticas e à concretização do princípio da separação dos poderes.</w:t>
        <w:br/>
        <w:t>[ADPF 484, rel. min. Luiz Fux, j. 4-6-2020, P, DJE de 10-11-2020.] As reiteradas decisões do Trib</w:t>
      </w:r>
    </w:p>
    <w:p>
      <w:pPr>
        <w:ind w:left="288"/>
      </w:pPr>
      <w:r>
        <w:rPr>
          <w:b/>
          <w:color w:val="003CA0"/>
          <w:sz w:val="16"/>
        </w:rPr>
        <w:t>[ADPF 405 MC, rel. min. Rosa Weber, j. 14-6-2017, P, DJE de 5-2-2018.]</w:t>
      </w:r>
    </w:p>
    <w:p>
      <w:pPr>
        <w:ind w:left="288"/>
      </w:pPr>
      <w:r>
        <w:rPr>
          <w:color w:val="8C8C8C"/>
          <w:sz w:val="12"/>
        </w:rPr>
        <w:t>cf-art-167-inc-VI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52, § 2º: alegação de ofensa ao art. 167 da CF: improcedência. Não há vinculação de receita, mas apenas distribuição dos superávit orçamentário aos poderes e ao Ministério Público: improcedência. (...)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w:t>
      </w:r>
    </w:p>
    <w:p>
      <w:pPr>
        <w:ind w:left="288"/>
      </w:pPr>
      <w:r>
        <w:rPr>
          <w:b/>
          <w:color w:val="003CA0"/>
          <w:sz w:val="16"/>
        </w:rPr>
        <w:t>[ADI 3.652, rel. min. Sepúlveda Pertence, j. 19-12-2006, P, DJ de 16-3-2007.]</w:t>
      </w:r>
    </w:p>
    <w:p>
      <w:pPr>
        <w:ind w:left="288"/>
      </w:pPr>
      <w:r>
        <w:rPr>
          <w:color w:val="8C8C8C"/>
          <w:sz w:val="12"/>
        </w:rPr>
        <w:t>cf-art-167-inc-VI</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w:t>
      </w:r>
    </w:p>
    <w:p>
      <w:pPr>
        <w:ind w:left="288"/>
      </w:pPr>
      <w:r>
        <w:rPr>
          <w:b/>
          <w:color w:val="003CA0"/>
          <w:sz w:val="16"/>
        </w:rPr>
        <w:t>[ADI 3.401, rel. min. Gilmar Mendes, j. 26-4-2006, P, DJ de 23-2-2007.]</w:t>
      </w:r>
    </w:p>
    <w:p>
      <w:pPr>
        <w:ind w:left="288"/>
      </w:pPr>
      <w:r>
        <w:rPr>
          <w:color w:val="8C8C8C"/>
          <w:sz w:val="12"/>
        </w:rPr>
        <w:t>cf-art-167-inc-VII</w:t>
      </w:r>
    </w:p>
    <w:p>
      <w:pPr>
        <w:ind w:left="288"/>
      </w:pPr>
      <w:r>
        <w:rPr>
          <w:color w:val="1E1E1E"/>
          <w:sz w:val="18"/>
        </w:rPr>
        <w:t>VIII - a utilização, sem autorização legislativa específica, de recursos dos orçamentos fiscal e da seguridade social para suprir necessidade ou cobrir déficit de empresas, fundações e fundos, inclusive dos mencionados no art. 165, § 5º;</w:t>
      </w:r>
    </w:p>
    <w:p>
      <w:pPr>
        <w:ind w:left="288"/>
      </w:pPr>
      <w:r>
        <w:rPr>
          <w:color w:val="8C8C8C"/>
          <w:sz w:val="12"/>
        </w:rPr>
        <w:t>cf-art-167-inc-IX</w:t>
      </w:r>
    </w:p>
    <w:p>
      <w:pPr>
        <w:ind w:left="288"/>
      </w:pPr>
      <w:r>
        <w:rPr>
          <w:color w:val="1E1E1E"/>
          <w:sz w:val="18"/>
        </w:rPr>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 (Incluído pela EC 19/1998)</w:t>
      </w:r>
    </w:p>
    <w:p>
      <w:pPr>
        <w:ind w:left="288"/>
      </w:pPr>
      <w:r>
        <w:rPr>
          <w:color w:val="8C8C8C"/>
          <w:sz w:val="12"/>
        </w:rPr>
        <w:t>cf-art-167-inc-IX</w:t>
      </w:r>
      <w:r>
        <w:rPr>
          <w:color w:val="003CA0"/>
          <w:sz w:val="12"/>
        </w:rPr>
        <w:t xml:space="preserve"> | ADI 5.683</w:t>
      </w:r>
      <w:r>
        <w:rPr>
          <w:color w:val="003CA0"/>
          <w:sz w:val="12"/>
        </w:rPr>
        <w:t xml:space="preserve"> | rel. Roberto Barroso</w:t>
      </w:r>
    </w:p>
    <w:p>
      <w:pPr>
        <w:ind w:left="288"/>
      </w:pPr>
      <w:r>
        <w:rPr>
          <w:color w:val="1E1E1E"/>
          <w:sz w:val="18"/>
        </w:rPr>
        <w:t>A Constituição Federal, em seu art. 167, X, veda a concessão de empréstimos por instituições financeiras estatais para o pagamento de despesas com pessoal ativo, inativo e pensionista. Impede-se, portanto, a alocação dessas receitas para o custeio de pessoal ativo e inativo. Não há na regra uma vedação absoluta à contratação de empréstimos junto a instituições financeiras estatais. A vedação estabelecida no art. 167, X, da CF diz respeito apenas a instituições financeiras estatais. A proibição não alcança as contratações realizadas com instituições financeiras privadas.</w:t>
      </w:r>
    </w:p>
    <w:p>
      <w:pPr>
        <w:ind w:left="288"/>
      </w:pPr>
      <w:r>
        <w:rPr>
          <w:b/>
          <w:color w:val="003CA0"/>
          <w:sz w:val="16"/>
        </w:rPr>
        <w:t>[ADI 5.683, rel. min. Roberto Barroso, j. 22-4-2022, P, DJE de 19-5-2022.]</w:t>
      </w:r>
    </w:p>
    <w:p>
      <w:pPr>
        <w:ind w:left="288"/>
      </w:pPr>
      <w:r>
        <w:rPr>
          <w:color w:val="8C8C8C"/>
          <w:sz w:val="12"/>
        </w:rPr>
        <w:t>cf-art-167-inc-IX</w:t>
      </w:r>
      <w:r>
        <w:rPr>
          <w:color w:val="003CA0"/>
          <w:sz w:val="12"/>
        </w:rPr>
        <w:t xml:space="preserve"> | ADPF 485</w:t>
      </w:r>
      <w:r>
        <w:rPr>
          <w:color w:val="003CA0"/>
          <w:sz w:val="12"/>
        </w:rPr>
        <w:t xml:space="preserve"> | rel. Roberto Barroso</w:t>
      </w:r>
    </w:p>
    <w:p>
      <w:pPr>
        <w:ind w:left="288"/>
      </w:pPr>
      <w:r>
        <w:rPr>
          <w:color w:val="1E1E1E"/>
          <w:sz w:val="18"/>
        </w:rPr>
        <w:t>Verbas estaduais não podem ser objeto de bloqueio, penhora e/ou sequestro para pagamento de valores devidos em ações trabalhistas, ainda que as empresas reclamadas detenham créditos a receber da administração pública estadual, em virtude do disposto no art. 167, VI e X, da CF, e do princípio da separação de poderes (art. 2º da CF).</w:t>
      </w:r>
    </w:p>
    <w:p>
      <w:pPr>
        <w:ind w:left="288"/>
      </w:pPr>
      <w:r>
        <w:rPr>
          <w:b/>
          <w:color w:val="003CA0"/>
          <w:sz w:val="16"/>
        </w:rPr>
        <w:t>[ADPF 485, rel. min. Roberto Barroso, j. 7-12-2020, P, DJE de 4-2-2021.]</w:t>
      </w:r>
    </w:p>
    <w:p>
      <w:pPr>
        <w:ind w:left="288"/>
      </w:pPr>
      <w:r>
        <w:rPr>
          <w:color w:val="8C8C8C"/>
          <w:sz w:val="12"/>
        </w:rPr>
        <w:t>cf-art-167-inc-IX</w:t>
      </w:r>
      <w:r>
        <w:rPr>
          <w:color w:val="003CA0"/>
          <w:sz w:val="12"/>
        </w:rPr>
        <w:t xml:space="preserve"> | ADPF 405</w:t>
      </w:r>
      <w:r>
        <w:rPr>
          <w:color w:val="003CA0"/>
          <w:sz w:val="12"/>
        </w:rPr>
        <w:t xml:space="preserve"> | rel. Rosa Weber</w:t>
      </w:r>
    </w:p>
    <w:p>
      <w:pPr>
        <w:ind w:left="288"/>
      </w:pPr>
      <w:r>
        <w:rPr>
          <w:color w:val="1E1E1E"/>
          <w:sz w:val="18"/>
        </w:rPr>
        <w:t>As reiteradas decisões do Tribunal de Justiça do Estado do Rio de Janeiro e do TRT 1ª Região que resultaram em bloqueio, arresto, penhora, sequestro e liberação de valores administrados pelo Poder Executivo do Estado do Rio de Janeiro para atender demandas relativas a pagamento de salário de servidores ativos e inativos, satisfação imediata de créditos de prestadores de serviços e tutelas provisórias definidoras de prioridades na aplicação de recursos públicos traduzem, em seu conjunto, ato do poder público passível de controle pela via da arguição de descumprimento de preceito fundamental (..</w:t>
      </w:r>
    </w:p>
    <w:p>
      <w:pPr>
        <w:ind w:left="288"/>
      </w:pPr>
      <w:r>
        <w:rPr>
          <w:color w:val="8C8C8C"/>
          <w:sz w:val="12"/>
        </w:rPr>
        <w:t>cf-art-167-par-1</w:t>
      </w:r>
    </w:p>
    <w:p>
      <w:pPr>
        <w:ind w:left="288"/>
      </w:pPr>
      <w:r>
        <w:rPr>
          <w:color w:val="1E1E1E"/>
          <w:sz w:val="18"/>
        </w:rPr>
        <w:t>§ 2º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subsequente.</w:t>
      </w:r>
    </w:p>
    <w:p>
      <w:pPr>
        <w:ind w:left="288"/>
      </w:pPr>
      <w:r>
        <w:rPr>
          <w:color w:val="8C8C8C"/>
          <w:sz w:val="12"/>
        </w:rPr>
        <w:t>cf-art-167-par-1</w:t>
      </w:r>
      <w:r>
        <w:rPr>
          <w:color w:val="003CA0"/>
          <w:sz w:val="12"/>
        </w:rPr>
        <w:t xml:space="preserve"> | ADI 4.049</w:t>
      </w:r>
      <w:r>
        <w:rPr>
          <w:color w:val="003CA0"/>
          <w:sz w:val="12"/>
        </w:rPr>
        <w:t xml:space="preserve"> | rel. Ayres Britto</w:t>
      </w:r>
    </w:p>
    <w:p>
      <w:pPr>
        <w:ind w:left="288"/>
      </w:pPr>
      <w:r>
        <w:rPr>
          <w:color w:val="1E1E1E"/>
          <w:sz w:val="18"/>
        </w:rPr>
        <w:t>Medida provisória que abre crédito extraordinário não se exaure no ato de sua primeira aplicação. Ela somente se exaure ao final do exercício financeiro para o qual foi aberto o crédito extraordinário nela referido. Hipótese em que a abertura do crédito se deu nos últimos quatro meses do exercício, projetando-se, nos limites de seus saldos, para o orçamento do exercício financeiro subsequente (§ 2º do art. 167 da CF).</w:t>
      </w:r>
    </w:p>
    <w:p>
      <w:pPr>
        <w:ind w:left="288"/>
      </w:pPr>
      <w:r>
        <w:rPr>
          <w:b/>
          <w:color w:val="003CA0"/>
          <w:sz w:val="16"/>
        </w:rPr>
        <w:t>[ADI 4.049 MC, rel. min. Ayres Britto, j. 5-11-2008, P, DJE de 8-5-2009.]</w:t>
      </w:r>
    </w:p>
    <w:p>
      <w:pPr>
        <w:ind w:left="288"/>
      </w:pPr>
      <w:r>
        <w:rPr>
          <w:color w:val="8C8C8C"/>
          <w:sz w:val="12"/>
        </w:rPr>
        <w:t>cf-art-167-par-3</w:t>
      </w:r>
      <w:r>
        <w:rPr>
          <w:color w:val="003CA0"/>
          <w:sz w:val="12"/>
        </w:rPr>
        <w:t xml:space="preserve"> | ADI 4.048</w:t>
      </w:r>
      <w:r>
        <w:rPr>
          <w:color w:val="003CA0"/>
          <w:sz w:val="12"/>
        </w:rPr>
        <w:t xml:space="preserve"> | rel. Gilmar Mendes</w:t>
      </w:r>
    </w:p>
    <w:p>
      <w:pPr>
        <w:ind w:left="288"/>
      </w:pPr>
      <w:r>
        <w:rPr>
          <w:color w:val="1E1E1E"/>
          <w:sz w:val="18"/>
        </w:rPr>
        <w:t>Limites constitucionais à atividade legislativa excepcional do Poder Executivo na edição de medidas provisórias para abertura de crédito extraordinário. Interpretação do art. 167, § 3º, c/c o art. 62, § 1º,  I, d, da Constituição. Além dos requisitos de relevância e urgência (art. 62), a Constituição exige que a abertura do crédito extraordinário seja feita apenas para atender a despesas imprevisíveis e urgentes. Ao contrário do que ocorre em relação aos requisitos de relevância e urgência (art. 62), que se submetem a uma ampla margem de discricionariedade por parte do presidente da República,</w:t>
      </w:r>
    </w:p>
    <w:p>
      <w:pPr>
        <w:ind w:left="288"/>
      </w:pPr>
      <w:r>
        <w:rPr>
          <w:b/>
          <w:color w:val="003CA0"/>
          <w:sz w:val="16"/>
        </w:rPr>
        <w:t>[ADI 4.048 MC, rel. min. Gilmar Mendes, j. 14-5-2008, P, DJE de 22-8-2008.]</w:t>
      </w:r>
    </w:p>
    <w:p>
      <w:pPr>
        <w:ind w:left="288"/>
      </w:pPr>
      <w:r>
        <w:rPr>
          <w:color w:val="8C8C8C"/>
          <w:sz w:val="12"/>
        </w:rPr>
        <w:t>cf-art-167-par-3</w:t>
      </w:r>
      <w:r>
        <w:rPr>
          <w:color w:val="003CA0"/>
          <w:sz w:val="12"/>
        </w:rPr>
        <w:t xml:space="preserve"> | ADI 4.049</w:t>
      </w:r>
      <w:r>
        <w:rPr>
          <w:color w:val="003CA0"/>
          <w:sz w:val="12"/>
        </w:rPr>
        <w:t xml:space="preserve"> | rel. Ayres Britto</w:t>
      </w:r>
    </w:p>
    <w:p>
      <w:pPr>
        <w:ind w:left="288"/>
      </w:pPr>
      <w:r>
        <w:rPr>
          <w:color w:val="1E1E1E"/>
          <w:sz w:val="18"/>
        </w:rPr>
        <w:t>= ADI 4.049 MC, rel. min. Ayres Britto, j. 5-11-2008, P, DJE de 8-5-2009 § 4º É permitida a vinculação das receitas a que se referem os arts. 155, 156, 156-A, 157, 158 e as alíneas a, b, d, e e f do inciso I e o inciso II do caput do art. 159 desta Constituição para pagamento de débitos com a União e para prestar-lhe garantia ou contragarantia. (Redação dada pela EC n. 132/2023)</w:t>
      </w:r>
    </w:p>
    <w:p>
      <w:pPr>
        <w:ind w:left="720"/>
      </w:pPr>
      <w:r>
        <w:rPr>
          <w:color w:val="003366"/>
          <w:sz w:val="18"/>
        </w:rPr>
        <w:t>I – o início de programas ou projetos não incluídos na lei orçamentária anual;</w:t>
      </w:r>
    </w:p>
    <w:p>
      <w:pPr>
        <w:ind w:left="720"/>
      </w:pPr>
      <w:r>
        <w:rPr>
          <w:color w:val="003366"/>
          <w:sz w:val="18"/>
        </w:rPr>
        <w:t>II – a realização de despesas ou a assunção de obrigações diretas que excedam os</w:t>
      </w:r>
    </w:p>
    <w:p>
      <w:pPr>
        <w:ind w:left="720"/>
      </w:pPr>
      <w:r>
        <w:rPr>
          <w:color w:val="003366"/>
          <w:sz w:val="18"/>
        </w:rPr>
        <w:t xml:space="preserve">III – a realização de operações de créditos que excedam o montante das despesas </w:t>
      </w:r>
    </w:p>
    <w:p>
      <w:pPr>
        <w:ind w:left="720"/>
      </w:pPr>
      <w:r>
        <w:rPr>
          <w:color w:val="003366"/>
          <w:sz w:val="18"/>
        </w:rPr>
        <w:t xml:space="preserve">IV – a vinculação de receita de impostos a órgão, fundo ou despesa, ressalvadas </w:t>
      </w:r>
    </w:p>
    <w:p>
      <w:pPr>
        <w:ind w:left="720"/>
      </w:pPr>
      <w:r>
        <w:rPr>
          <w:color w:val="003366"/>
          <w:sz w:val="18"/>
        </w:rPr>
        <w:t>V – a abertura de crédito suplementar ou especial sem prévia autorização legisla</w:t>
      </w:r>
    </w:p>
    <w:p>
      <w:pPr>
        <w:ind w:left="720"/>
      </w:pPr>
      <w:r>
        <w:rPr>
          <w:color w:val="003366"/>
          <w:sz w:val="18"/>
        </w:rPr>
        <w:t>VI – a transposição, o remanejamento ou a transferência de recursos de uma categ</w:t>
      </w:r>
    </w:p>
    <w:p>
      <w:pPr>
        <w:ind w:left="720"/>
      </w:pPr>
      <w:r>
        <w:rPr>
          <w:color w:val="003366"/>
          <w:sz w:val="18"/>
        </w:rPr>
        <w:t>VII – a concessão ou utilização de créditos ilimitados;</w:t>
      </w:r>
    </w:p>
    <w:p>
      <w:pPr>
        <w:ind w:left="720"/>
      </w:pPr>
      <w:r>
        <w:rPr>
          <w:color w:val="003366"/>
          <w:sz w:val="18"/>
        </w:rPr>
        <w:t>VIII – a utilização, sem autorização legislativa específica, de recursos dos orç</w:t>
      </w:r>
    </w:p>
    <w:p>
      <w:pPr>
        <w:ind w:left="720"/>
      </w:pPr>
      <w:r>
        <w:rPr>
          <w:color w:val="003366"/>
          <w:sz w:val="18"/>
        </w:rPr>
        <w:t>IX – a instituição de fundos de qualquer natureza, sem prévia autorização legisl</w:t>
      </w:r>
    </w:p>
    <w:p>
      <w:pPr>
        <w:ind w:left="720"/>
      </w:pPr>
      <w:r>
        <w:rPr>
          <w:color w:val="003366"/>
          <w:sz w:val="18"/>
        </w:rPr>
        <w:t>X – a transferência voluntária de recursos e a concessão de empréstimos, inclusi</w:t>
      </w:r>
    </w:p>
    <w:p>
      <w:pPr>
        <w:ind w:left="720"/>
      </w:pPr>
      <w:r>
        <w:rPr>
          <w:color w:val="003366"/>
          <w:sz w:val="18"/>
        </w:rPr>
        <w:t>XI – a utilização dos recursos provenientes das contribuições sociais de que tra</w:t>
      </w:r>
    </w:p>
    <w:p>
      <w:pPr>
        <w:ind w:left="720"/>
      </w:pPr>
      <w:r>
        <w:rPr>
          <w:color w:val="003366"/>
          <w:sz w:val="18"/>
        </w:rPr>
        <w:t xml:space="preserve">XII – na forma estabelecida na lei complementar de que trata o § 22 do art. 40, </w:t>
      </w:r>
    </w:p>
    <w:p>
      <w:pPr>
        <w:ind w:left="720"/>
      </w:pPr>
      <w:r>
        <w:rPr>
          <w:color w:val="003366"/>
          <w:sz w:val="18"/>
        </w:rPr>
        <w:t>XIII – a transferência voluntária de recursos, a concessão de avais, as garantia</w:t>
      </w:r>
    </w:p>
    <w:p>
      <w:pPr>
        <w:ind w:left="432"/>
      </w:pPr>
      <w:r>
        <w:rPr>
          <w:color w:val="003366"/>
          <w:sz w:val="18"/>
        </w:rPr>
        <w:t xml:space="preserve">§ 1 Nenhum investimento cuja execução ultrapasse um exercício financeiro poderá </w:t>
      </w:r>
    </w:p>
    <w:p>
      <w:pPr>
        <w:ind w:left="432"/>
      </w:pPr>
      <w:r>
        <w:rPr>
          <w:color w:val="003366"/>
          <w:sz w:val="18"/>
        </w:rPr>
        <w:t>§ 2 Os créditos especiais e extraordinários terão vigência no exercício financei</w:t>
      </w:r>
    </w:p>
    <w:p>
      <w:pPr>
        <w:ind w:left="432"/>
      </w:pPr>
      <w:r>
        <w:rPr>
          <w:color w:val="003366"/>
          <w:sz w:val="18"/>
        </w:rPr>
        <w:t>§ 3 A abertura de crédito extraordinário somente será admitida para atender a de</w:t>
      </w:r>
    </w:p>
    <w:p>
      <w:pPr>
        <w:ind w:left="432"/>
      </w:pPr>
      <w:r>
        <w:rPr>
          <w:color w:val="003366"/>
          <w:sz w:val="18"/>
        </w:rPr>
        <w:t>§ 4 É permitida a vinculação das receitas a que se referem os arts. 155, 156, 15</w:t>
      </w:r>
    </w:p>
    <w:p>
      <w:pPr>
        <w:ind w:left="432"/>
      </w:pPr>
      <w:r>
        <w:rPr>
          <w:color w:val="003366"/>
          <w:sz w:val="18"/>
        </w:rPr>
        <w:t>§ 5 A transposição, o remanejamento ou a transferência de recursos de uma catego</w:t>
      </w:r>
    </w:p>
    <w:p>
      <w:pPr>
        <w:ind w:left="432"/>
      </w:pPr>
      <w:r>
        <w:rPr>
          <w:color w:val="003366"/>
          <w:sz w:val="18"/>
        </w:rPr>
        <w:t>§ 6 Para fins da apuração ao término do exercício financeiro do cumprimento do l</w:t>
      </w:r>
    </w:p>
    <w:p>
      <w:pPr>
        <w:ind w:left="432"/>
      </w:pPr>
      <w:r>
        <w:rPr>
          <w:color w:val="003366"/>
          <w:sz w:val="18"/>
        </w:rPr>
        <w:t>§ 7 A lei não imporá nem transferirá qualquer encargo financeiro decorrente da p</w:t>
      </w:r>
    </w:p>
    <w:p>
      <w:r>
        <w:rPr>
          <w:b/>
          <w:color w:val="003366"/>
          <w:sz w:val="20"/>
        </w:rPr>
        <w:t>Art. 167 A. Apurado que, no período de 12 (doze) meses, a relação entre despesas</w:t>
      </w:r>
      <w:r>
        <w:rPr>
          <w:color w:val="8C8C8C"/>
          <w:sz w:val="14"/>
        </w:rPr>
        <w:t xml:space="preserve">  [38 decisoes]</w:t>
      </w:r>
    </w:p>
    <w:p>
      <w:pPr>
        <w:ind w:left="144"/>
      </w:pPr>
      <w:r>
        <w:rPr>
          <w:b/>
          <w:color w:val="B45A00"/>
          <w:sz w:val="16"/>
        </w:rPr>
        <w:t>JULGADOS CORRELATOS</w:t>
      </w:r>
    </w:p>
    <w:p>
      <w:pPr>
        <w:ind w:left="288"/>
      </w:pPr>
      <w:r>
        <w:rPr>
          <w:color w:val="8C8C8C"/>
          <w:sz w:val="12"/>
        </w:rPr>
        <w:t>cf-art-167-inc-I</w:t>
      </w:r>
      <w:r>
        <w:rPr>
          <w:color w:val="003CA0"/>
          <w:sz w:val="12"/>
        </w:rPr>
        <w:t xml:space="preserve"> | PET 2.836</w:t>
      </w:r>
      <w:r>
        <w:rPr>
          <w:color w:val="003CA0"/>
          <w:sz w:val="12"/>
        </w:rPr>
        <w:t xml:space="preserve"> | rel. Carlos Velloso</w:t>
      </w:r>
    </w:p>
    <w:p>
      <w:pPr>
        <w:ind w:left="288"/>
      </w:pPr>
      <w:r>
        <w:rPr>
          <w:color w:val="1E1E1E"/>
          <w:sz w:val="18"/>
        </w:rPr>
        <w:t>Determinação judicial de construção de creches pelo Município. Despesas públicas: necessidade de autorização orçamentária: CF, art. 167. Fumus boni juris e periculum in mora ocorrentes. Concessão de efeito suspensivo ao recurso extraordinário diante da possibilidade de ocorrência de graves prejuízos aos cofres públicos municipais.</w:t>
      </w:r>
    </w:p>
    <w:p>
      <w:pPr>
        <w:ind w:left="288"/>
      </w:pPr>
      <w:r>
        <w:rPr>
          <w:b/>
          <w:color w:val="003CA0"/>
          <w:sz w:val="16"/>
        </w:rPr>
        <w:t>[Pet 2.836 QO, rel. min. Carlos Velloso, j. 11-2-2003, 2ª T, DJ de 14-3-2003.]</w:t>
      </w:r>
    </w:p>
    <w:p>
      <w:pPr>
        <w:ind w:left="144"/>
      </w:pPr>
      <w:r>
        <w:rPr>
          <w:b/>
          <w:color w:val="B45A00"/>
          <w:sz w:val="16"/>
        </w:rPr>
        <w:t>CONTROLE CONCENTRADO</w:t>
      </w:r>
    </w:p>
    <w:p>
      <w:pPr>
        <w:ind w:left="288"/>
      </w:pPr>
      <w:r>
        <w:rPr>
          <w:color w:val="8C8C8C"/>
          <w:sz w:val="12"/>
        </w:rPr>
        <w:t>cf-art-167-inc-II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56, parágrafo único: procedência, em parte, para atribuir interpretação conforme à expressão "abertura de novos elementos de despesa".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Constituição, que veda "a realização de despesas ou a assunção de ob</w:t>
      </w:r>
    </w:p>
    <w:p>
      <w:pPr>
        <w:ind w:left="288"/>
      </w:pPr>
      <w:r>
        <w:rPr>
          <w:b/>
          <w:color w:val="003CA0"/>
          <w:sz w:val="16"/>
        </w:rPr>
        <w:t>[ADI 3.652, rel. min. Sepúlveda Pertence, j. 19-12-2006, P, DJ de 16-3-2007.]</w:t>
      </w:r>
    </w:p>
    <w:p>
      <w:pPr>
        <w:ind w:left="288"/>
      </w:pPr>
      <w:r>
        <w:rPr>
          <w:color w:val="8C8C8C"/>
          <w:sz w:val="12"/>
        </w:rPr>
        <w:t>cf-art-167-inc-II</w:t>
      </w:r>
      <w:r>
        <w:rPr>
          <w:color w:val="003CA0"/>
          <w:sz w:val="12"/>
        </w:rPr>
        <w:t xml:space="preserve"> | ADI 352</w:t>
      </w:r>
      <w:r>
        <w:rPr>
          <w:color w:val="003CA0"/>
          <w:sz w:val="12"/>
        </w:rPr>
        <w:t xml:space="preserve"> | rel. Celso de Mello</w:t>
      </w:r>
    </w:p>
    <w:p>
      <w:pPr>
        <w:ind w:left="288"/>
      </w:pPr>
      <w:r>
        <w:rPr>
          <w:color w:val="1E1E1E"/>
          <w:sz w:val="18"/>
        </w:rPr>
        <w:t>Reveste-se de plausibilidade jurídica, no entanto, a tese, sustentada em ação direta, de que o legislador estadual, condicionado em sua ação normativa por princípios superiores enunciados na CF, não pode, ao fixar a despesa pública, autorizar gastos que excedam os créditos orçamentários ou adicionais, ou omitir-lhes a correspondente fonte de custeio, com a necessária indicação dos recursos existentes.</w:t>
      </w:r>
    </w:p>
    <w:p>
      <w:pPr>
        <w:ind w:left="288"/>
      </w:pPr>
      <w:r>
        <w:rPr>
          <w:b/>
          <w:color w:val="003CA0"/>
          <w:sz w:val="16"/>
        </w:rPr>
        <w:t>[ADI 352 MC, rel. min. Celso de Mello, j. 29-8-1990, P, DJ de 8-3-1991.]</w:t>
      </w:r>
    </w:p>
    <w:p>
      <w:pPr>
        <w:ind w:left="144"/>
      </w:pPr>
      <w:r>
        <w:rPr>
          <w:b/>
          <w:color w:val="B45A00"/>
          <w:sz w:val="16"/>
        </w:rPr>
        <w:t>JULGADOS CORRELATOS</w:t>
      </w:r>
    </w:p>
    <w:p>
      <w:pPr>
        <w:ind w:left="288"/>
      </w:pPr>
      <w:r>
        <w:rPr>
          <w:color w:val="8C8C8C"/>
          <w:sz w:val="12"/>
        </w:rPr>
        <w:t>cf-art-167-inc-II</w:t>
      </w:r>
      <w:r>
        <w:rPr>
          <w:color w:val="003CA0"/>
          <w:sz w:val="12"/>
        </w:rPr>
        <w:t xml:space="preserve"> | ACO 3.414</w:t>
      </w:r>
      <w:r>
        <w:rPr>
          <w:color w:val="003CA0"/>
          <w:sz w:val="12"/>
        </w:rPr>
        <w:t xml:space="preserve"> | rel. Gilmar Mendes</w:t>
      </w:r>
    </w:p>
    <w:p>
      <w:pPr>
        <w:ind w:left="288"/>
      </w:pPr>
      <w:r>
        <w:rPr>
          <w:color w:val="1E1E1E"/>
          <w:sz w:val="18"/>
        </w:rPr>
        <w:t>Uso de recursos do FCDF para o pagamento de despesas do exercício anterior ao do orçamento vigente. Impossibilidade. Ofensa aos arts. 165, III, XIV, c/c art. 167, II, ambos da CF e ao princípio da anualidade orçamentária (...).</w:t>
      </w:r>
    </w:p>
    <w:p>
      <w:pPr>
        <w:ind w:left="288"/>
      </w:pPr>
      <w:r>
        <w:rPr>
          <w:b/>
          <w:color w:val="003CA0"/>
          <w:sz w:val="16"/>
        </w:rPr>
        <w:t>[ACO 3.414 AgR, rel. min. Gilmar Mendes, j. 18-12-2021, P, DJE de 15-2-2022.]</w:t>
      </w:r>
    </w:p>
    <w:p>
      <w:pPr>
        <w:ind w:left="288"/>
      </w:pPr>
      <w:r>
        <w:rPr>
          <w:color w:val="8C8C8C"/>
          <w:sz w:val="12"/>
        </w:rPr>
        <w:t>cf-art-167-inc-II</w:t>
      </w:r>
    </w:p>
    <w:p>
      <w:pPr>
        <w:ind w:left="288"/>
      </w:pPr>
      <w:r>
        <w:rPr>
          <w:color w:val="1E1E1E"/>
          <w:sz w:val="18"/>
        </w:rPr>
        <w:t>III - a realização de operações de créditos que excedam o montante das despesas de capital, ressalvadas as autorizadas mediante créditos suplementares ou especiais com finalidade precisa, aprovados pelo Poder Legislativo por maioria absoluta;</w:t>
      </w:r>
    </w:p>
    <w:p>
      <w:pPr>
        <w:ind w:left="144"/>
      </w:pPr>
      <w:r>
        <w:rPr>
          <w:b/>
          <w:color w:val="B45A00"/>
          <w:sz w:val="16"/>
        </w:rPr>
        <w:t>CONTROLE CONCENTRADO</w:t>
      </w:r>
    </w:p>
    <w:p>
      <w:pPr>
        <w:ind w:left="288"/>
      </w:pPr>
      <w:r>
        <w:rPr>
          <w:color w:val="8C8C8C"/>
          <w:sz w:val="12"/>
        </w:rPr>
        <w:t>cf-art-167-inc-II</w:t>
      </w:r>
      <w:r>
        <w:rPr>
          <w:color w:val="003CA0"/>
          <w:sz w:val="12"/>
        </w:rPr>
        <w:t xml:space="preserve"> | ADI 6.660</w:t>
      </w:r>
      <w:r>
        <w:rPr>
          <w:color w:val="003CA0"/>
          <w:sz w:val="12"/>
        </w:rPr>
        <w:t xml:space="preserve"> | rel. Rosa Weber</w:t>
      </w:r>
    </w:p>
    <w:p>
      <w:pPr>
        <w:ind w:left="288"/>
      </w:pPr>
      <w:r>
        <w:rPr>
          <w:color w:val="1E1E1E"/>
          <w:sz w:val="18"/>
        </w:rPr>
        <w:t>Lei 12.305, de 18 de dezembro de 2002, do Estado de Pernambuco, alterada pela lei 12.337/2003, que dispõe sobre os depósitos judiciais e extrajudiciais à disposição do Poder Judiciário Estadual ou da Secretaria da Fazenda. (...) Criação, pela lei estadual impugnada, de um endividamento inconstitucional afastado das hipóteses de dívida pública albergadas pela Carta Magna – violação do artigo 167, III.</w:t>
      </w:r>
    </w:p>
    <w:p>
      <w:pPr>
        <w:ind w:left="288"/>
      </w:pPr>
      <w:r>
        <w:rPr>
          <w:b/>
          <w:color w:val="003CA0"/>
          <w:sz w:val="16"/>
        </w:rPr>
        <w:t>[ADI 6.660, rel. min. Rosa Weber, j. 21-6-2022, P, DJE de 29-6-2022.]</w:t>
      </w:r>
    </w:p>
    <w:p>
      <w:pPr>
        <w:ind w:left="288"/>
      </w:pPr>
      <w:r>
        <w:rPr>
          <w:color w:val="8C8C8C"/>
          <w:sz w:val="12"/>
        </w:rPr>
        <w:t>cf-art-167-inc-II</w:t>
      </w:r>
      <w:r>
        <w:rPr>
          <w:color w:val="003CA0"/>
          <w:sz w:val="12"/>
        </w:rPr>
        <w:t xml:space="preserve"> | ADI 5.683</w:t>
      </w:r>
      <w:r>
        <w:rPr>
          <w:color w:val="003CA0"/>
          <w:sz w:val="12"/>
        </w:rPr>
        <w:t xml:space="preserve"> | rel. Roberto Barroso</w:t>
      </w:r>
    </w:p>
    <w:p>
      <w:pPr>
        <w:ind w:left="288"/>
      </w:pPr>
      <w:r>
        <w:rPr>
          <w:color w:val="1E1E1E"/>
          <w:sz w:val="18"/>
        </w:rPr>
        <w:t>A vedação do art. 167, III, da CF não impede a contratação de operações de crédito para o custeio de despesas correntes. Proíbe-se, somente, a contratação que exceda o montante das despesas de capital. Aliás, a mera autorização legislativa não afronta essa regra constitucional, mas apenas a contratação em si, se não respeitar os limites estabelecidos.</w:t>
      </w:r>
    </w:p>
    <w:p>
      <w:pPr>
        <w:ind w:left="288"/>
      </w:pPr>
      <w:r>
        <w:rPr>
          <w:b/>
          <w:color w:val="003CA0"/>
          <w:sz w:val="16"/>
        </w:rPr>
        <w:t>[ADI 5.683, rel. min. Roberto Barroso, j. 22-4-2022, P, DJE de 19-5-2022.]</w:t>
      </w:r>
    </w:p>
    <w:p>
      <w:pPr>
        <w:ind w:left="288"/>
      </w:pPr>
      <w:r>
        <w:rPr>
          <w:color w:val="8C8C8C"/>
          <w:sz w:val="12"/>
        </w:rPr>
        <w:t>cf-art-167-inc-II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Ao prever limite textualmente diverso da regra do art. 167, III, da CF, o art. 12, § 2º, da LRF enseja interpretações distorcidas do teto a ser aplicado às receitas decorrentes de operações de crédito, pelo que a ação deve ser parcialmente provida, nesse ponto, para dar interpretação conforme ao dispositivo para o fim de explicitar que a proibição não abrange operações de crédito autorizadas mediante créditos suplementares ou especiais com finalidade precisa, aprovados pelo Poder Legisl</w:t>
      </w:r>
    </w:p>
    <w:p>
      <w:pPr>
        <w:ind w:left="288"/>
      </w:pPr>
      <w:r>
        <w:rPr>
          <w:b/>
          <w:color w:val="003CA0"/>
          <w:sz w:val="16"/>
        </w:rPr>
        <w:t>[ADI 2.238, rel. min. Alexandre de Moraes, j. 24-6-2020, P, DJE de 15-9-2020.]</w:t>
      </w:r>
    </w:p>
    <w:p>
      <w:pPr>
        <w:ind w:left="288"/>
      </w:pPr>
      <w:r>
        <w:rPr>
          <w:color w:val="8C8C8C"/>
          <w:sz w:val="12"/>
        </w:rPr>
        <w:t>cf-art-167-inc-II</w:t>
      </w:r>
      <w:r>
        <w:rPr>
          <w:color w:val="003CA0"/>
          <w:sz w:val="12"/>
        </w:rPr>
        <w:t xml:space="preserve"> | ADI 3.516</w:t>
      </w:r>
      <w:r>
        <w:rPr>
          <w:color w:val="003CA0"/>
          <w:sz w:val="12"/>
        </w:rPr>
        <w:t xml:space="preserve"> | rel. Edson Fachin</w:t>
      </w:r>
    </w:p>
    <w:p>
      <w:pPr>
        <w:ind w:left="288"/>
      </w:pPr>
      <w:r>
        <w:rPr>
          <w:color w:val="1E1E1E"/>
          <w:sz w:val="18"/>
        </w:rP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 (Redação da EC 42/2003) A ressal</w:t>
      </w:r>
    </w:p>
    <w:p>
      <w:pPr>
        <w:ind w:left="288"/>
      </w:pPr>
      <w:r>
        <w:rPr>
          <w:b/>
          <w:color w:val="003CA0"/>
          <w:sz w:val="16"/>
        </w:rPr>
        <w:t>[ADI 3.516, rel. min. Edson Fachin, j. 16.12.2024, P, DJE de 06.02.2025.]</w:t>
      </w:r>
    </w:p>
    <w:p>
      <w:pPr>
        <w:ind w:left="288"/>
      </w:pPr>
      <w:r>
        <w:rPr>
          <w:color w:val="8C8C8C"/>
          <w:sz w:val="12"/>
        </w:rPr>
        <w:t>cf-art-167-inc-II</w:t>
      </w:r>
      <w:r>
        <w:rPr>
          <w:color w:val="003CA0"/>
          <w:sz w:val="12"/>
        </w:rPr>
        <w:t xml:space="preserve"> | ADI 5.635</w:t>
      </w:r>
      <w:r>
        <w:rPr>
          <w:color w:val="003CA0"/>
          <w:sz w:val="12"/>
        </w:rPr>
        <w:t xml:space="preserve"> | rel. Luís Roberto Barroso</w:t>
      </w:r>
    </w:p>
    <w:p>
      <w:pPr>
        <w:ind w:left="288"/>
      </w:pPr>
      <w:r>
        <w:rPr>
          <w:color w:val="1E1E1E"/>
          <w:sz w:val="18"/>
        </w:rPr>
        <w:t>“São constitucionais as Leis nºs 7.428/2016 e 8.645/2019, ambas do Estado do Rio de Janeiro, que instituíram o Fundo Estadual de Equilíbrio Fiscal – FEEF e, posteriormente, o Fundo Orçamentário Temporário – FOT, fundos atípicos cujas receitas não estão vinculadas a um programa governamental específico e detalhado”.</w:t>
        <w:br/>
        <w:t>[ADI 5.635, rel. min. Luís Roberto Barroso, j. 18-10-2023, P, DJE de 24-11-2023.] O Estado de Mato Grosso do Sul adotou sistema de rateio no qual os recursos destinados aos órgãos da área-meio são posteriormente atribuídos aos da área-fim, mediante transposição, remanejamento ou tra</w:t>
      </w:r>
    </w:p>
    <w:p>
      <w:pPr>
        <w:ind w:left="288"/>
      </w:pPr>
      <w:r>
        <w:rPr>
          <w:b/>
          <w:color w:val="003CA0"/>
          <w:sz w:val="16"/>
        </w:rPr>
        <w:t>[ADI 6.045, rel. min. Marco Aurélio, j. 22-6-2020, P, DJE de 17-7-2020.]</w:t>
      </w:r>
    </w:p>
    <w:p>
      <w:pPr>
        <w:ind w:left="288"/>
      </w:pPr>
      <w:r>
        <w:rPr>
          <w:color w:val="8C8C8C"/>
          <w:sz w:val="12"/>
        </w:rPr>
        <w:t>cf-art-167-inc-II</w:t>
      </w:r>
      <w:r>
        <w:rPr>
          <w:color w:val="003CA0"/>
          <w:sz w:val="12"/>
        </w:rPr>
        <w:t xml:space="preserve"> | ADI 5.897</w:t>
      </w:r>
      <w:r>
        <w:rPr>
          <w:color w:val="003CA0"/>
          <w:sz w:val="12"/>
        </w:rPr>
        <w:t xml:space="preserve"> | rel. Luiz Fux</w:t>
      </w:r>
    </w:p>
    <w:p>
      <w:pPr>
        <w:ind w:left="288"/>
      </w:pPr>
      <w:r>
        <w:rPr>
          <w:color w:val="1E1E1E"/>
          <w:sz w:val="18"/>
        </w:rPr>
        <w:t>O artigo 167, IV, da Constituição Federal veda o estabelecimento de vinculação de receitas proveniente de impostos, quando não previstas ou autorizadas na Constituição Federal, porquanto cerceia o poder de gestão financeira do chefe do Poder Executivo e obsta o custeio das despesas urgentes, imprevistas ou extraordinárias, que se façam necessárias ao longo do exercício financeiro, tanto mais que deve dar-se aplicação aos recursos de receita pública consoante critérios de responsabilidade fiscal consentâneos com os anseios democráticos. (...) A vedação à vinculação da receita é norma que preser</w:t>
      </w:r>
    </w:p>
    <w:p>
      <w:pPr>
        <w:ind w:left="288"/>
      </w:pPr>
      <w:r>
        <w:rPr>
          <w:b/>
          <w:color w:val="003CA0"/>
          <w:sz w:val="16"/>
        </w:rPr>
        <w:t>[ADI 5.897, rel. min. Luiz Fux, j. 24-4-2019, P, DJE de 2-8-2019.]</w:t>
      </w:r>
    </w:p>
    <w:p>
      <w:pPr>
        <w:ind w:left="288"/>
      </w:pPr>
      <w:r>
        <w:rPr>
          <w:color w:val="8C8C8C"/>
          <w:sz w:val="12"/>
        </w:rPr>
        <w:t>cf-art-167-inc-II</w:t>
      </w:r>
      <w:r>
        <w:rPr>
          <w:color w:val="003CA0"/>
          <w:sz w:val="12"/>
        </w:rPr>
        <w:t xml:space="preserve"> | RE 226.855</w:t>
      </w:r>
      <w:r>
        <w:rPr>
          <w:color w:val="003CA0"/>
          <w:sz w:val="12"/>
        </w:rPr>
        <w:t xml:space="preserve"> | rel. Moreira Alves</w:t>
      </w:r>
    </w:p>
    <w:p>
      <w:pPr>
        <w:ind w:left="288"/>
      </w:pPr>
      <w:r>
        <w:rPr>
          <w:color w:val="1E1E1E"/>
          <w:sz w:val="18"/>
        </w:rPr>
        <w:t>(...) esta Suprema Corte considera constitucionais ambas as contribuições criadas pela LC 110/2001 (...). Os dois tributos tinham por objetivo custear os dispêndios da União decorrentes de decisão do STF, que considerou devido o reajuste dos saldos do FGTS (RE 226.855, rel. min. Moreira Alves, Pleno, DJ de 13-10-2000). As restrições previstas nos arts. 157, II, e 167, IV, da Constituição são aplicáveis aos impostos, e, no caso em exame, trata-se da espécie tributária contribuição, nitidamente caracterizada pela prévia escolha da destinação específica do produto arrecadado.</w:t>
      </w:r>
    </w:p>
    <w:p>
      <w:pPr>
        <w:ind w:left="288"/>
      </w:pPr>
      <w:r>
        <w:rPr>
          <w:b/>
          <w:color w:val="003CA0"/>
          <w:sz w:val="16"/>
        </w:rPr>
        <w:t>[ADI 2.556 e ADI 2.568, voto do rel. min. Joaquim Barbosa, j. 13-6-2012, P, DJE de 20-9-2012.]</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Ação direta de inconstitucionalidade contra o inciso V do § 3º do art. 120 da Constituição do Estado de Santa Catarina, com a redação dada pela EC 14, promulgada em 10 de novembro de 1997. Vinculação, por dotação orçamentária, de parte da receita corrente do Estado a programas de desenvolvimento da agricultura, pecuária e abastecimento. Inconstitucionalidade. Afronta à iniciativa privativa do chefe do Poder Executivo em tema de diretrizes orçamentárias. Precedentes. Violação ao art. 167, IV, da CF.</w:t>
      </w:r>
    </w:p>
    <w:p>
      <w:pPr>
        <w:ind w:left="288"/>
      </w:pPr>
      <w:r>
        <w:rPr>
          <w:b/>
          <w:color w:val="003CA0"/>
          <w:sz w:val="16"/>
        </w:rPr>
        <w:t>[ADI 1.759, rel. min. Gilmar Mendes, j. 14-4-2010, P, DJE de 20-8-2010.]</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Vide ADI 1.750, rel. min. Eros Grau, j. 20-9-2006, P, DJ de 13-10-2006 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3CA0"/>
          <w:sz w:val="16"/>
        </w:rPr>
        <w:t>[ADI 2.447, rel. min. Joaquim Barbosa, j. 4-3-2009, P, DJE de 4-12-2009.]</w:t>
      </w:r>
    </w:p>
    <w:p>
      <w:pPr>
        <w:ind w:left="288"/>
      </w:pPr>
      <w:r>
        <w:rPr>
          <w:color w:val="8C8C8C"/>
          <w:sz w:val="12"/>
        </w:rPr>
        <w:t>cf-art-167-inc-II</w:t>
      </w:r>
      <w:r>
        <w:rPr>
          <w:color w:val="003CA0"/>
          <w:sz w:val="12"/>
        </w:rPr>
        <w:t xml:space="preserve"> | ADI 2.529</w:t>
      </w:r>
      <w:r>
        <w:rPr>
          <w:color w:val="003CA0"/>
          <w:sz w:val="12"/>
        </w:rPr>
        <w:t xml:space="preserve"> | rel. Gilmar Mendes</w:t>
      </w:r>
    </w:p>
    <w:p>
      <w:pPr>
        <w:ind w:left="288"/>
      </w:pPr>
      <w:r>
        <w:rPr>
          <w:color w:val="1E1E1E"/>
          <w:sz w:val="18"/>
        </w:rPr>
        <w:t>Ação direta de inconstitucionalidade. Lei 13.133/2001 do Estado do Paraná, que instituiu o Programa de Incentivo à Cultura, vinculando parte da receita do ICMS ao Fundo Estadual de Cultura. Violação ao art. 167, IV, da CF.</w:t>
      </w:r>
    </w:p>
    <w:p>
      <w:pPr>
        <w:ind w:left="288"/>
      </w:pPr>
      <w:r>
        <w:rPr>
          <w:b/>
          <w:color w:val="003CA0"/>
          <w:sz w:val="16"/>
        </w:rPr>
        <w:t>[ADI 2.529, rel. min. Gilmar Mendes, j. 14-6-2007, P, DJ de 6-9-2007.]</w:t>
      </w:r>
    </w:p>
    <w:p>
      <w:pPr>
        <w:ind w:left="288"/>
      </w:pPr>
      <w:r>
        <w:rPr>
          <w:color w:val="8C8C8C"/>
          <w:sz w:val="12"/>
        </w:rPr>
        <w:t>cf-art-167-inc-II</w:t>
      </w:r>
      <w:r>
        <w:rPr>
          <w:color w:val="003CA0"/>
          <w:sz w:val="12"/>
        </w:rPr>
        <w:t xml:space="preserve"> | ADI 820</w:t>
      </w:r>
      <w:r>
        <w:rPr>
          <w:color w:val="003CA0"/>
          <w:sz w:val="12"/>
        </w:rPr>
        <w:t xml:space="preserve"> | rel. Eros Grau</w:t>
      </w:r>
    </w:p>
    <w:p>
      <w:pPr>
        <w:ind w:left="288"/>
      </w:pPr>
      <w:r>
        <w:rPr>
          <w:color w:val="1E1E1E"/>
          <w:sz w:val="18"/>
        </w:rPr>
        <w:t>Art. 202 da Constituição do Estado do Rio Grande do Sul. Lei estadual 9.723. Manutenção e desenvolvimento do ensino público. Aplicação mínima de 35% da receita resultante de impostos. Destinação de 10% desses recursos à manutenção e conservação das escolas públicas Estaduais. (...) A determinação de aplicação de parte dos recursos destinados à educação na "manutenção e conservação das escolas públicas estaduais" vinculou a receita de impostos a uma despesa específica – afronta ao disposto no art. 167, IV, da CF/1988.</w:t>
      </w:r>
    </w:p>
    <w:p>
      <w:pPr>
        <w:ind w:left="288"/>
      </w:pPr>
      <w:r>
        <w:rPr>
          <w:b/>
          <w:color w:val="003CA0"/>
          <w:sz w:val="16"/>
        </w:rPr>
        <w:t>[ADI 820, rel. min. Eros Grau, j. 15-3-2007, P, DJE de 29-2-2008.]</w:t>
      </w:r>
    </w:p>
    <w:p>
      <w:pPr>
        <w:ind w:left="288"/>
      </w:pPr>
      <w:r>
        <w:rPr>
          <w:color w:val="8C8C8C"/>
          <w:sz w:val="12"/>
        </w:rPr>
        <w:t>cf-art-167-inc-II</w:t>
      </w:r>
      <w:r>
        <w:rPr>
          <w:color w:val="003CA0"/>
          <w:sz w:val="12"/>
        </w:rPr>
        <w:t xml:space="preserve"> | ADI 584</w:t>
      </w:r>
      <w:r>
        <w:rPr>
          <w:color w:val="003CA0"/>
          <w:sz w:val="12"/>
        </w:rPr>
        <w:t xml:space="preserve"> | rel. Dias Toffoli</w:t>
      </w:r>
    </w:p>
    <w:p>
      <w:pPr>
        <w:ind w:left="288"/>
      </w:pPr>
      <w:r>
        <w:rPr>
          <w:color w:val="1E1E1E"/>
          <w:sz w:val="18"/>
        </w:rPr>
        <w:t xml:space="preserve">= ADI 584, rel. min. Dias Toffoli, j. 19-3-2014, P, DJE de 9-4-2014 Lei estadual 12.223, de 3-1-2005. Fundo Partilhado de Combate às Desigualdades Sociais e Regionais do Estado do Rio Grande do Sul. (...) As normas em estudo, ao possibilitarem o direcionamento, pelos contribuintes, do valor devido a título de ICMS para o chamado Fundo Partilhado de Combate às Desigualdades Sociais e Regionais do Estado do Rio Grande do Sul, compensando-se, em contrapartida, o valor despendido sob a forma de crédito fiscal presumido, criaram, na verdade, um mecanismo de redirecionamento da receita de ICMS para </w:t>
      </w:r>
    </w:p>
    <w:p>
      <w:pPr>
        <w:ind w:left="288"/>
      </w:pPr>
      <w:r>
        <w:rPr>
          <w:b/>
          <w:color w:val="003CA0"/>
          <w:sz w:val="16"/>
        </w:rPr>
        <w:t>[ADI 3.576, rel. min. Ellen Gracie, j. 22-11-2006, P, DJ de 2-2-2007.]</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88"/>
      </w:pPr>
      <w:r>
        <w:rPr>
          <w:b/>
          <w:color w:val="003CA0"/>
          <w:sz w:val="16"/>
        </w:rPr>
        <w:t>[ADI 1.750, rel. min. Eros Grau, j. 20-9-2006, P, DJ de 13-10-2006.]</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Vide ADI 1.759, rel. min. Gilmar Mendes, j. 14-04-2010, P, DJE de 20-8-2010 Preceito de lei estadual que destina 3% dos emolumentos cobrados pelas serventias extrajudiciais ao Fundo Especial para Instalação, Desenvolvimento e Aperfeiçoamento das Atividades dos Juizados Especiais Cíveis e Criminais do Estado do Mato Grosso do Sul não ofende o disposto no art. 167, IV, da CF.</w:t>
      </w:r>
    </w:p>
    <w:p>
      <w:pPr>
        <w:ind w:left="288"/>
      </w:pPr>
      <w:r>
        <w:rPr>
          <w:b/>
          <w:color w:val="003CA0"/>
          <w:sz w:val="16"/>
        </w:rPr>
        <w:t>[ADI 2.129, rel. min. Eros Grau, j. 26-4-2006, P, DJ de 16-6-2006.]</w:t>
      </w:r>
    </w:p>
    <w:p>
      <w:pPr>
        <w:ind w:left="288"/>
      </w:pPr>
      <w:r>
        <w:rPr>
          <w:color w:val="8C8C8C"/>
          <w:sz w:val="12"/>
        </w:rPr>
        <w:t>cf-art-167-inc-II</w:t>
      </w:r>
      <w:r>
        <w:rPr>
          <w:color w:val="003CA0"/>
          <w:sz w:val="12"/>
        </w:rPr>
        <w:t xml:space="preserve"> | ADI 2.059</w:t>
      </w:r>
      <w:r>
        <w:rPr>
          <w:color w:val="003CA0"/>
          <w:sz w:val="12"/>
        </w:rPr>
        <w:t xml:space="preserve"> | rel. Eros Grau</w:t>
      </w:r>
    </w:p>
    <w:p>
      <w:pPr>
        <w:ind w:left="288"/>
      </w:pPr>
      <w:r>
        <w:rPr>
          <w:color w:val="1E1E1E"/>
          <w:sz w:val="18"/>
        </w:rPr>
        <w:t>= ADI 2.059, rel. min. Eros Grau, j. 26-4-2006, P, DJ de 9-6-2006 Observe-se, ainda, que o art. 7º da lei estadual impugnada determinou que, do valor do crédito fiscal previsto no seu art. 3º, 40% deverá ser recolhido para apoiar os produtores e 10% para a pesquisa do algodão. Tem-se aqui inequívoca afronta ao disposto no art. 167, IV, da CF, que veda a vinculação de receita de impostos a órgão, fundo ou despesas. Ressalte-se que esta Corte houve por bem declarar a inconstitucionalidade de lei paulista que destinou 1% do ICMS ao fornecimento de programas habitacionais, por afronta ao dispositi</w:t>
      </w:r>
    </w:p>
    <w:p>
      <w:pPr>
        <w:ind w:left="288"/>
      </w:pPr>
      <w:r>
        <w:rPr>
          <w:b/>
          <w:color w:val="003CA0"/>
          <w:sz w:val="16"/>
        </w:rPr>
        <w:t>[ADI 2.722, voto do rel. min. Gilmar Mendes, j. 15-9-2005, P, DJ de 19-12-2006.]</w:t>
      </w:r>
    </w:p>
    <w:p>
      <w:pPr>
        <w:ind w:left="288"/>
      </w:pPr>
      <w:r>
        <w:rPr>
          <w:color w:val="8C8C8C"/>
          <w:sz w:val="12"/>
        </w:rPr>
        <w:t>cf-art-167-inc-II</w:t>
      </w:r>
      <w:r>
        <w:rPr>
          <w:color w:val="003CA0"/>
          <w:sz w:val="12"/>
        </w:rPr>
        <w:t xml:space="preserve"> | ADI 1.689</w:t>
      </w:r>
      <w:r>
        <w:rPr>
          <w:color w:val="003CA0"/>
          <w:sz w:val="12"/>
        </w:rPr>
        <w:t xml:space="preserve"> | rel. Sydney Sanches</w:t>
      </w:r>
    </w:p>
    <w:p>
      <w:pPr>
        <w:ind w:left="288"/>
      </w:pPr>
      <w:r>
        <w:rPr>
          <w:color w:val="1E1E1E"/>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w:t>
      </w:r>
    </w:p>
    <w:p>
      <w:pPr>
        <w:ind w:left="288"/>
      </w:pPr>
      <w:r>
        <w:rPr>
          <w:b/>
          <w:color w:val="003CA0"/>
          <w:sz w:val="16"/>
        </w:rPr>
        <w:t>[ADI 1.689, rel. min. Sydney Sanches, j. 12-3-2003, P, DJ de 2-5-2003.]</w:t>
      </w:r>
    </w:p>
    <w:p>
      <w:pPr>
        <w:ind w:left="288"/>
      </w:pPr>
      <w:r>
        <w:rPr>
          <w:color w:val="8C8C8C"/>
          <w:sz w:val="12"/>
        </w:rPr>
        <w:t>cf-art-167-inc-II</w:t>
      </w:r>
      <w:r>
        <w:rPr>
          <w:color w:val="003CA0"/>
          <w:sz w:val="12"/>
        </w:rPr>
        <w:t xml:space="preserve"> | ADI 5.635</w:t>
      </w:r>
      <w:r>
        <w:rPr>
          <w:color w:val="003CA0"/>
          <w:sz w:val="12"/>
        </w:rPr>
        <w:t xml:space="preserve"> | rel. Luís Roberto Barroso</w:t>
      </w:r>
    </w:p>
    <w:p>
      <w:pPr>
        <w:ind w:left="288"/>
      </w:pPr>
      <w:r>
        <w:rPr>
          <w:color w:val="1E1E1E"/>
          <w:sz w:val="18"/>
        </w:rPr>
        <w:t>“(i) É constitucional a exigência de depósito de percentual de benefícios fiscais de ICMS para o Fundo Orçamentário Temporário (FOT), nos termos da ADI 5.635; e (ii) é infraconstitucional e fática a controvérsia sobre a possibilidade de exigir o depósito ao FOT em benefícios fiscais de ICMS concedidos por prazo certo e sob condição.</w:t>
      </w:r>
    </w:p>
    <w:p>
      <w:pPr>
        <w:ind w:left="288"/>
      </w:pPr>
      <w:r>
        <w:rPr>
          <w:b/>
          <w:color w:val="003CA0"/>
          <w:sz w:val="16"/>
        </w:rPr>
        <w:t>[RE 1.506.320 RG, rel. min. Luís Roberto Barroso, j. 11.04.2025, P, DJE de 22.04.2025, Tema 1.386, com mérito julgado.]</w:t>
      </w:r>
    </w:p>
    <w:p>
      <w:pPr>
        <w:ind w:left="144"/>
      </w:pPr>
      <w:r>
        <w:rPr>
          <w:b/>
          <w:color w:val="B45A00"/>
          <w:sz w:val="16"/>
        </w:rPr>
        <w:t>REPERCUSSAO GERAL</w:t>
      </w:r>
    </w:p>
    <w:p>
      <w:pPr>
        <w:ind w:left="288"/>
      </w:pPr>
      <w:r>
        <w:rPr>
          <w:color w:val="8C8C8C"/>
          <w:sz w:val="12"/>
        </w:rPr>
        <w:t>cf-art-167-inc-II</w:t>
      </w:r>
      <w:r>
        <w:rPr>
          <w:color w:val="003CA0"/>
          <w:sz w:val="12"/>
        </w:rPr>
        <w:t xml:space="preserve"> | RE 585.535</w:t>
      </w:r>
      <w:r>
        <w:rPr>
          <w:color w:val="003CA0"/>
          <w:sz w:val="12"/>
        </w:rPr>
        <w:t xml:space="preserve"> | rel. Ellen Gracie</w:t>
      </w:r>
    </w:p>
    <w:p>
      <w:pPr>
        <w:ind w:left="288"/>
      </w:pPr>
      <w:r>
        <w:rPr>
          <w:color w:val="1E1E1E"/>
          <w:sz w:val="18"/>
        </w:rPr>
        <w:t>ICMS. Majoração de alíquota. (...) A Lei paulista 9.903, de 30-12-1997, apenas impôs a divulgação, pelo chefe do Executivo, do emprego dos recursos provenientes do aumento da alíquota de 17% para 18%, previsto no mesmo diploma. A proibição de vinculação de receita de impostos prevista no art. 167, IV, da CF impede a fixação de uma prévia destinação desses recursos, o que não se verificou no presente caso.</w:t>
        <w:br/>
        <w:t>[RE 585.535, rel. min. Ellen Gracie, j. 1º-2-2010, P, DJE de 21-5-2010, Tema 92, com mérito julgado.]</w:t>
        <w:br/>
        <w:t>Vide RE 183.906, rel. min. Marco Aurélio, j. 18-9-1997, P, DJ de 30-4-1998</w:t>
      </w:r>
    </w:p>
    <w:p>
      <w:pPr>
        <w:ind w:left="144"/>
      </w:pPr>
      <w:r>
        <w:rPr>
          <w:b/>
          <w:color w:val="B45A00"/>
          <w:sz w:val="16"/>
        </w:rPr>
        <w:t>JULGADOS CORRELATOS</w:t>
      </w:r>
    </w:p>
    <w:p>
      <w:pPr>
        <w:ind w:left="288"/>
      </w:pPr>
      <w:r>
        <w:rPr>
          <w:color w:val="8C8C8C"/>
          <w:sz w:val="12"/>
        </w:rPr>
        <w:t>cf-art-167-inc-II</w:t>
      </w:r>
      <w:r>
        <w:rPr>
          <w:color w:val="003CA0"/>
          <w:sz w:val="12"/>
        </w:rPr>
        <w:t xml:space="preserve"> | RCL 60.128</w:t>
      </w:r>
      <w:r>
        <w:rPr>
          <w:color w:val="003CA0"/>
          <w:sz w:val="12"/>
        </w:rPr>
        <w:t xml:space="preserve"> | rel. Luiz Fux</w:t>
      </w:r>
    </w:p>
    <w:p>
      <w:pPr>
        <w:ind w:left="288"/>
      </w:pPr>
      <w:r>
        <w:rPr>
          <w:color w:val="1E1E1E"/>
          <w:sz w:val="18"/>
        </w:rPr>
        <w:t>Não se admite a constrição indiscriminada de verbas públicas, inclusive na fase de pagamento, por meio de decisões judiciais, sob pena de afronta ao preceito contido no art. 167, VI, da CF, ao modelo constitucional de organização orçamentária das finanças públicas e ao princípio da continuidade dos serviços públicos (art. 175 da Constituição Federal).</w:t>
        <w:br/>
        <w:t>[Rcl 60.128 AgR, rel. min. Luiz Fux, red. do ac. min. Alexandre de Moraes, j. 9-10-2023, 1ª T, DJE de 19-10-2023.] Preceito de lei estadual que destina 5% dos emolumentos cobrados pelas serventias extrajudiciais e não oficializadas ao Fundo Estad</w:t>
      </w:r>
    </w:p>
    <w:p>
      <w:pPr>
        <w:ind w:left="288"/>
      </w:pPr>
      <w:r>
        <w:rPr>
          <w:b/>
          <w:color w:val="003CA0"/>
          <w:sz w:val="16"/>
        </w:rPr>
        <w:t>[RE 218.874, rel. min. Eros Grau, j. 7-11-2007, P, DJ de 1º-2-2008.]</w:t>
      </w:r>
    </w:p>
    <w:p>
      <w:pPr>
        <w:ind w:left="144"/>
      </w:pPr>
      <w:r>
        <w:rPr>
          <w:b/>
          <w:color w:val="B45A00"/>
          <w:sz w:val="16"/>
        </w:rPr>
        <w:t>CONTROLE CONCENTRADO</w:t>
      </w:r>
    </w:p>
    <w:p>
      <w:pPr>
        <w:ind w:left="288"/>
      </w:pPr>
      <w:r>
        <w:rPr>
          <w:color w:val="8C8C8C"/>
          <w:sz w:val="12"/>
        </w:rPr>
        <w:t>cf-art-167-inc-V</w:t>
      </w:r>
      <w:r>
        <w:rPr>
          <w:color w:val="003CA0"/>
          <w:sz w:val="12"/>
        </w:rPr>
        <w:t xml:space="preserve"> | ADI 4.049</w:t>
      </w:r>
      <w:r>
        <w:rPr>
          <w:color w:val="003CA0"/>
          <w:sz w:val="12"/>
        </w:rPr>
        <w:t xml:space="preserve"> | rel. Ayres Britto</w:t>
      </w:r>
    </w:p>
    <w:p>
      <w:pPr>
        <w:ind w:left="288"/>
      </w:pPr>
      <w:r>
        <w:rPr>
          <w:color w:val="1E1E1E"/>
          <w:sz w:val="18"/>
        </w:rPr>
        <w:t>Medida cautelar em ação direta de inconstitucionalidade. MP 402, de 23-11-2007, convertida na Lei 11.656, de 16-4-2008. Abertura de crédito extraordinário. (...) Violação que alcança o inciso V do mesmo artigo, na medida em que o ato normativo adversado vem a categorizar como de natureza extraordinária crédito que, em verdade, não passa de especial, ou suplementar.</w:t>
      </w:r>
    </w:p>
    <w:p>
      <w:pPr>
        <w:ind w:left="288"/>
      </w:pPr>
      <w:r>
        <w:rPr>
          <w:b/>
          <w:color w:val="003CA0"/>
          <w:sz w:val="16"/>
        </w:rPr>
        <w:t>[ADI 4.049 MC, rel. min. Ayres Britto, j. 5-11-2008, P, DJE de 8-5-2009.]</w:t>
      </w:r>
    </w:p>
    <w:p>
      <w:pPr>
        <w:ind w:left="288"/>
      </w:pPr>
      <w:r>
        <w:rPr>
          <w:color w:val="8C8C8C"/>
          <w:sz w:val="12"/>
        </w:rPr>
        <w:t>cf-art-167-inc-VI</w:t>
      </w:r>
      <w:r>
        <w:rPr>
          <w:color w:val="003CA0"/>
          <w:sz w:val="12"/>
        </w:rPr>
        <w:t xml:space="preserve"> | ADPF 616</w:t>
      </w:r>
      <w:r>
        <w:rPr>
          <w:color w:val="003CA0"/>
          <w:sz w:val="12"/>
        </w:rPr>
        <w:t xml:space="preserve"> | rel. Roberto Barroso</w:t>
      </w:r>
    </w:p>
    <w:p>
      <w:pPr>
        <w:ind w:left="288"/>
      </w:pPr>
      <w:r>
        <w:rPr>
          <w:color w:val="1E1E1E"/>
          <w:sz w:val="18"/>
        </w:rPr>
        <w:t>Os recursos públicos vinculados ao orçamento de estatais prestadoras de serviço público essencial, em regime não concorrencial e sem intuito lucrativo primário não podem ser bloqueados ou sequestrados por decisão judicial para pagamento de suas dívidas, em virtude do disposto no art. 100 da CF/1988, e dos princípios da legalidade orçamentária (art. 167, VI, da CF), da separação dos poderes (arts. 2°, 60, § 4°, III, da CF) e da eficiência da administração pública (art. 37, caput, da CF).</w:t>
        <w:br/>
        <w:t>[ADPF 616, rel. min. Roberto Barroso, j. 21-5-2021, P, DJE 21-6-2021.] Verbas estaduais não podem ser objeto</w:t>
      </w:r>
    </w:p>
    <w:p>
      <w:pPr>
        <w:ind w:left="288"/>
      </w:pPr>
      <w:r>
        <w:rPr>
          <w:b/>
          <w:color w:val="003CA0"/>
          <w:sz w:val="16"/>
        </w:rPr>
        <w:t>[ADPF 485, rel. min. Roberto Barroso, j. 7-12-2020, P, DJE de 4-2-2021.]</w:t>
      </w:r>
    </w:p>
    <w:p>
      <w:pPr>
        <w:ind w:left="288"/>
      </w:pPr>
      <w:r>
        <w:rPr>
          <w:color w:val="8C8C8C"/>
          <w:sz w:val="12"/>
        </w:rPr>
        <w:t>cf-art-167-inc-VI</w:t>
      </w:r>
      <w:r>
        <w:rPr>
          <w:color w:val="003CA0"/>
          <w:sz w:val="12"/>
        </w:rPr>
        <w:t xml:space="preserve"> | ADPF 484</w:t>
      </w:r>
      <w:r>
        <w:rPr>
          <w:color w:val="003CA0"/>
          <w:sz w:val="12"/>
        </w:rPr>
        <w:t xml:space="preserve"> | rel. Luiz Fux</w:t>
      </w:r>
    </w:p>
    <w:p>
      <w:pPr>
        <w:ind w:left="288"/>
      </w:pPr>
      <w:r>
        <w:rPr>
          <w:color w:val="1E1E1E"/>
          <w:sz w:val="18"/>
        </w:rPr>
        <w:t>O artigo 167, VI, da Constituição proíbe a transposição, o remanejamento ou a transferência de recursos de uma categoria de programação para outra ou de um órgão para outro, sem prévia autorização legislativa, mandamento esse que também vincula o Judiciário. Isso porque as regras sobre aprovação e gestão orçamentárias consagram mecanismos de freios e contrapesos essenciais ao regular funcionamento das instituições republicanas e democráticas e à concretização do princípio da separação dos poderes.</w:t>
        <w:br/>
        <w:t>[ADPF 484, rel. min. Luiz Fux, j. 4-6-2020, P, DJE de 10-11-2020.] As reiteradas decisões do Trib</w:t>
      </w:r>
    </w:p>
    <w:p>
      <w:pPr>
        <w:ind w:left="288"/>
      </w:pPr>
      <w:r>
        <w:rPr>
          <w:b/>
          <w:color w:val="003CA0"/>
          <w:sz w:val="16"/>
        </w:rPr>
        <w:t>[ADPF 405 MC, rel. min. Rosa Weber, j. 14-6-2017, P, DJE de 5-2-2018.]</w:t>
      </w:r>
    </w:p>
    <w:p>
      <w:pPr>
        <w:ind w:left="288"/>
      </w:pPr>
      <w:r>
        <w:rPr>
          <w:color w:val="8C8C8C"/>
          <w:sz w:val="12"/>
        </w:rPr>
        <w:t>cf-art-167-inc-VI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52, § 2º: alegação de ofensa ao art. 167 da CF: improcedência. Não há vinculação de receita, mas apenas distribuição dos superávit orçamentário aos poderes e ao Ministério Público: improcedência. (...)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w:t>
      </w:r>
    </w:p>
    <w:p>
      <w:pPr>
        <w:ind w:left="288"/>
      </w:pPr>
      <w:r>
        <w:rPr>
          <w:b/>
          <w:color w:val="003CA0"/>
          <w:sz w:val="16"/>
        </w:rPr>
        <w:t>[ADI 3.652, rel. min. Sepúlveda Pertence, j. 19-12-2006, P, DJ de 16-3-2007.]</w:t>
      </w:r>
    </w:p>
    <w:p>
      <w:pPr>
        <w:ind w:left="288"/>
      </w:pPr>
      <w:r>
        <w:rPr>
          <w:color w:val="8C8C8C"/>
          <w:sz w:val="12"/>
        </w:rPr>
        <w:t>cf-art-167-inc-VI</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w:t>
      </w:r>
    </w:p>
    <w:p>
      <w:pPr>
        <w:ind w:left="288"/>
      </w:pPr>
      <w:r>
        <w:rPr>
          <w:b/>
          <w:color w:val="003CA0"/>
          <w:sz w:val="16"/>
        </w:rPr>
        <w:t>[ADI 3.401, rel. min. Gilmar Mendes, j. 26-4-2006, P, DJ de 23-2-2007.]</w:t>
      </w:r>
    </w:p>
    <w:p>
      <w:pPr>
        <w:ind w:left="288"/>
      </w:pPr>
      <w:r>
        <w:rPr>
          <w:color w:val="8C8C8C"/>
          <w:sz w:val="12"/>
        </w:rPr>
        <w:t>cf-art-167-inc-VII</w:t>
      </w:r>
    </w:p>
    <w:p>
      <w:pPr>
        <w:ind w:left="288"/>
      </w:pPr>
      <w:r>
        <w:rPr>
          <w:color w:val="1E1E1E"/>
          <w:sz w:val="18"/>
        </w:rPr>
        <w:t>VIII - a utilização, sem autorização legislativa específica, de recursos dos orçamentos fiscal e da seguridade social para suprir necessidade ou cobrir déficit de empresas, fundações e fundos, inclusive dos mencionados no art. 165, § 5º;</w:t>
      </w:r>
    </w:p>
    <w:p>
      <w:pPr>
        <w:ind w:left="288"/>
      </w:pPr>
      <w:r>
        <w:rPr>
          <w:color w:val="8C8C8C"/>
          <w:sz w:val="12"/>
        </w:rPr>
        <w:t>cf-art-167-inc-IX</w:t>
      </w:r>
    </w:p>
    <w:p>
      <w:pPr>
        <w:ind w:left="288"/>
      </w:pPr>
      <w:r>
        <w:rPr>
          <w:color w:val="1E1E1E"/>
          <w:sz w:val="18"/>
        </w:rPr>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 (Incluído pela EC 19/1998)</w:t>
      </w:r>
    </w:p>
    <w:p>
      <w:pPr>
        <w:ind w:left="288"/>
      </w:pPr>
      <w:r>
        <w:rPr>
          <w:color w:val="8C8C8C"/>
          <w:sz w:val="12"/>
        </w:rPr>
        <w:t>cf-art-167-inc-IX</w:t>
      </w:r>
      <w:r>
        <w:rPr>
          <w:color w:val="003CA0"/>
          <w:sz w:val="12"/>
        </w:rPr>
        <w:t xml:space="preserve"> | ADI 5.683</w:t>
      </w:r>
      <w:r>
        <w:rPr>
          <w:color w:val="003CA0"/>
          <w:sz w:val="12"/>
        </w:rPr>
        <w:t xml:space="preserve"> | rel. Roberto Barroso</w:t>
      </w:r>
    </w:p>
    <w:p>
      <w:pPr>
        <w:ind w:left="288"/>
      </w:pPr>
      <w:r>
        <w:rPr>
          <w:color w:val="1E1E1E"/>
          <w:sz w:val="18"/>
        </w:rPr>
        <w:t>A Constituição Federal, em seu art. 167, X, veda a concessão de empréstimos por instituições financeiras estatais para o pagamento de despesas com pessoal ativo, inativo e pensionista. Impede-se, portanto, a alocação dessas receitas para o custeio de pessoal ativo e inativo. Não há na regra uma vedação absoluta à contratação de empréstimos junto a instituições financeiras estatais. A vedação estabelecida no art. 167, X, da CF diz respeito apenas a instituições financeiras estatais. A proibição não alcança as contratações realizadas com instituições financeiras privadas.</w:t>
      </w:r>
    </w:p>
    <w:p>
      <w:pPr>
        <w:ind w:left="288"/>
      </w:pPr>
      <w:r>
        <w:rPr>
          <w:b/>
          <w:color w:val="003CA0"/>
          <w:sz w:val="16"/>
        </w:rPr>
        <w:t>[ADI 5.683, rel. min. Roberto Barroso, j. 22-4-2022, P, DJE de 19-5-2022.]</w:t>
      </w:r>
    </w:p>
    <w:p>
      <w:pPr>
        <w:ind w:left="288"/>
      </w:pPr>
      <w:r>
        <w:rPr>
          <w:color w:val="8C8C8C"/>
          <w:sz w:val="12"/>
        </w:rPr>
        <w:t>cf-art-167-inc-IX</w:t>
      </w:r>
      <w:r>
        <w:rPr>
          <w:color w:val="003CA0"/>
          <w:sz w:val="12"/>
        </w:rPr>
        <w:t xml:space="preserve"> | ADPF 485</w:t>
      </w:r>
      <w:r>
        <w:rPr>
          <w:color w:val="003CA0"/>
          <w:sz w:val="12"/>
        </w:rPr>
        <w:t xml:space="preserve"> | rel. Roberto Barroso</w:t>
      </w:r>
    </w:p>
    <w:p>
      <w:pPr>
        <w:ind w:left="288"/>
      </w:pPr>
      <w:r>
        <w:rPr>
          <w:color w:val="1E1E1E"/>
          <w:sz w:val="18"/>
        </w:rPr>
        <w:t>Verbas estaduais não podem ser objeto de bloqueio, penhora e/ou sequestro para pagamento de valores devidos em ações trabalhistas, ainda que as empresas reclamadas detenham créditos a receber da administração pública estadual, em virtude do disposto no art. 167, VI e X, da CF, e do princípio da separação de poderes (art. 2º da CF).</w:t>
      </w:r>
    </w:p>
    <w:p>
      <w:pPr>
        <w:ind w:left="288"/>
      </w:pPr>
      <w:r>
        <w:rPr>
          <w:b/>
          <w:color w:val="003CA0"/>
          <w:sz w:val="16"/>
        </w:rPr>
        <w:t>[ADPF 485, rel. min. Roberto Barroso, j. 7-12-2020, P, DJE de 4-2-2021.]</w:t>
      </w:r>
    </w:p>
    <w:p>
      <w:pPr>
        <w:ind w:left="288"/>
      </w:pPr>
      <w:r>
        <w:rPr>
          <w:color w:val="8C8C8C"/>
          <w:sz w:val="12"/>
        </w:rPr>
        <w:t>cf-art-167-inc-IX</w:t>
      </w:r>
      <w:r>
        <w:rPr>
          <w:color w:val="003CA0"/>
          <w:sz w:val="12"/>
        </w:rPr>
        <w:t xml:space="preserve"> | ADPF 405</w:t>
      </w:r>
      <w:r>
        <w:rPr>
          <w:color w:val="003CA0"/>
          <w:sz w:val="12"/>
        </w:rPr>
        <w:t xml:space="preserve"> | rel. Rosa Weber</w:t>
      </w:r>
    </w:p>
    <w:p>
      <w:pPr>
        <w:ind w:left="288"/>
      </w:pPr>
      <w:r>
        <w:rPr>
          <w:color w:val="1E1E1E"/>
          <w:sz w:val="18"/>
        </w:rPr>
        <w:t>As reiteradas decisões do Tribunal de Justiça do Estado do Rio de Janeiro e do TRT 1ª Região que resultaram em bloqueio, arresto, penhora, sequestro e liberação de valores administrados pelo Poder Executivo do Estado do Rio de Janeiro para atender demandas relativas a pagamento de salário de servidores ativos e inativos, satisfação imediata de créditos de prestadores de serviços e tutelas provisórias definidoras de prioridades na aplicação de recursos públicos traduzem, em seu conjunto, ato do poder público passível de controle pela via da arguição de descumprimento de preceito fundamental (..</w:t>
      </w:r>
    </w:p>
    <w:p>
      <w:pPr>
        <w:ind w:left="288"/>
      </w:pPr>
      <w:r>
        <w:rPr>
          <w:color w:val="8C8C8C"/>
          <w:sz w:val="12"/>
        </w:rPr>
        <w:t>cf-art-167-par-1</w:t>
      </w:r>
    </w:p>
    <w:p>
      <w:pPr>
        <w:ind w:left="288"/>
      </w:pPr>
      <w:r>
        <w:rPr>
          <w:color w:val="1E1E1E"/>
          <w:sz w:val="18"/>
        </w:rPr>
        <w:t>§ 2º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subsequente.</w:t>
      </w:r>
    </w:p>
    <w:p>
      <w:pPr>
        <w:ind w:left="288"/>
      </w:pPr>
      <w:r>
        <w:rPr>
          <w:color w:val="8C8C8C"/>
          <w:sz w:val="12"/>
        </w:rPr>
        <w:t>cf-art-167-par-1</w:t>
      </w:r>
      <w:r>
        <w:rPr>
          <w:color w:val="003CA0"/>
          <w:sz w:val="12"/>
        </w:rPr>
        <w:t xml:space="preserve"> | ADI 4.049</w:t>
      </w:r>
      <w:r>
        <w:rPr>
          <w:color w:val="003CA0"/>
          <w:sz w:val="12"/>
        </w:rPr>
        <w:t xml:space="preserve"> | rel. Ayres Britto</w:t>
      </w:r>
    </w:p>
    <w:p>
      <w:pPr>
        <w:ind w:left="288"/>
      </w:pPr>
      <w:r>
        <w:rPr>
          <w:color w:val="1E1E1E"/>
          <w:sz w:val="18"/>
        </w:rPr>
        <w:t>Medida provisória que abre crédito extraordinário não se exaure no ato de sua primeira aplicação. Ela somente se exaure ao final do exercício financeiro para o qual foi aberto o crédito extraordinário nela referido. Hipótese em que a abertura do crédito se deu nos últimos quatro meses do exercício, projetando-se, nos limites de seus saldos, para o orçamento do exercício financeiro subsequente (§ 2º do art. 167 da CF).</w:t>
      </w:r>
    </w:p>
    <w:p>
      <w:pPr>
        <w:ind w:left="288"/>
      </w:pPr>
      <w:r>
        <w:rPr>
          <w:b/>
          <w:color w:val="003CA0"/>
          <w:sz w:val="16"/>
        </w:rPr>
        <w:t>[ADI 4.049 MC, rel. min. Ayres Britto, j. 5-11-2008, P, DJE de 8-5-2009.]</w:t>
      </w:r>
    </w:p>
    <w:p>
      <w:pPr>
        <w:ind w:left="288"/>
      </w:pPr>
      <w:r>
        <w:rPr>
          <w:color w:val="8C8C8C"/>
          <w:sz w:val="12"/>
        </w:rPr>
        <w:t>cf-art-167-par-3</w:t>
      </w:r>
      <w:r>
        <w:rPr>
          <w:color w:val="003CA0"/>
          <w:sz w:val="12"/>
        </w:rPr>
        <w:t xml:space="preserve"> | ADI 4.048</w:t>
      </w:r>
      <w:r>
        <w:rPr>
          <w:color w:val="003CA0"/>
          <w:sz w:val="12"/>
        </w:rPr>
        <w:t xml:space="preserve"> | rel. Gilmar Mendes</w:t>
      </w:r>
    </w:p>
    <w:p>
      <w:pPr>
        <w:ind w:left="288"/>
      </w:pPr>
      <w:r>
        <w:rPr>
          <w:color w:val="1E1E1E"/>
          <w:sz w:val="18"/>
        </w:rPr>
        <w:t>Limites constitucionais à atividade legislativa excepcional do Poder Executivo na edição de medidas provisórias para abertura de crédito extraordinário. Interpretação do art. 167, § 3º, c/c o art. 62, § 1º,  I, d, da Constituição. Além dos requisitos de relevância e urgência (art. 62), a Constituição exige que a abertura do crédito extraordinário seja feita apenas para atender a despesas imprevisíveis e urgentes. Ao contrário do que ocorre em relação aos requisitos de relevância e urgência (art. 62), que se submetem a uma ampla margem de discricionariedade por parte do presidente da República,</w:t>
      </w:r>
    </w:p>
    <w:p>
      <w:pPr>
        <w:ind w:left="288"/>
      </w:pPr>
      <w:r>
        <w:rPr>
          <w:b/>
          <w:color w:val="003CA0"/>
          <w:sz w:val="16"/>
        </w:rPr>
        <w:t>[ADI 4.048 MC, rel. min. Gilmar Mendes, j. 14-5-2008, P, DJE de 22-8-2008.]</w:t>
      </w:r>
    </w:p>
    <w:p>
      <w:pPr>
        <w:ind w:left="288"/>
      </w:pPr>
      <w:r>
        <w:rPr>
          <w:color w:val="8C8C8C"/>
          <w:sz w:val="12"/>
        </w:rPr>
        <w:t>cf-art-167-par-3</w:t>
      </w:r>
      <w:r>
        <w:rPr>
          <w:color w:val="003CA0"/>
          <w:sz w:val="12"/>
        </w:rPr>
        <w:t xml:space="preserve"> | ADI 4.049</w:t>
      </w:r>
      <w:r>
        <w:rPr>
          <w:color w:val="003CA0"/>
          <w:sz w:val="12"/>
        </w:rPr>
        <w:t xml:space="preserve"> | rel. Ayres Britto</w:t>
      </w:r>
    </w:p>
    <w:p>
      <w:pPr>
        <w:ind w:left="288"/>
      </w:pPr>
      <w:r>
        <w:rPr>
          <w:color w:val="1E1E1E"/>
          <w:sz w:val="18"/>
        </w:rPr>
        <w:t>= ADI 4.049 MC, rel. min. Ayres Britto, j. 5-11-2008, P, DJE de 8-5-2009 § 4º É permitida a vinculação das receitas a que se referem os arts. 155, 156, 156-A, 157, 158 e as alíneas a, b, d, e e f do inciso I e o inciso II do caput do art. 159 desta Constituição para pagamento de débitos com a União e para prestar-lhe garantia ou contragarantia. (Redação dada pela EC n. 132/2023)</w:t>
      </w:r>
    </w:p>
    <w:p>
      <w:pPr>
        <w:ind w:left="720"/>
      </w:pPr>
      <w:r>
        <w:rPr>
          <w:color w:val="003366"/>
          <w:sz w:val="18"/>
        </w:rPr>
        <w:t>I – concessão, a qualquer título, de vantagem, aumento, reajuste ou adequação de</w:t>
      </w:r>
    </w:p>
    <w:p>
      <w:pPr>
        <w:ind w:left="720"/>
      </w:pPr>
      <w:r>
        <w:rPr>
          <w:color w:val="003366"/>
          <w:sz w:val="18"/>
        </w:rPr>
        <w:t>II – criação de cargo, emprego ou função que implique aumento de despesa; (Inclu</w:t>
      </w:r>
    </w:p>
    <w:p>
      <w:pPr>
        <w:ind w:left="720"/>
      </w:pPr>
      <w:r>
        <w:rPr>
          <w:color w:val="003366"/>
          <w:sz w:val="18"/>
        </w:rPr>
        <w:t>III – alteração de estrutura de carreira que implique aumento de despesa; (Inclu</w:t>
      </w:r>
    </w:p>
    <w:p>
      <w:pPr>
        <w:ind w:left="720"/>
      </w:pPr>
      <w:r>
        <w:rPr>
          <w:color w:val="003366"/>
          <w:sz w:val="18"/>
        </w:rPr>
        <w:t>IV – admissão ou contratação de pessoal, a qualquer título, ressalvadas: (Incluí</w:t>
      </w:r>
    </w:p>
    <w:p>
      <w:pPr>
        <w:ind w:left="1008"/>
      </w:pPr>
      <w:r>
        <w:rPr>
          <w:color w:val="003366"/>
          <w:sz w:val="18"/>
        </w:rPr>
        <w:t>a) as reposições de cargos de chefia e de direção que não acarretem aumento de d</w:t>
      </w:r>
    </w:p>
    <w:p>
      <w:pPr>
        <w:ind w:left="1008"/>
      </w:pPr>
      <w:r>
        <w:rPr>
          <w:color w:val="003366"/>
          <w:sz w:val="18"/>
        </w:rPr>
        <w:t>b) as reposições decorrentes de vacâncias de cargos efetivos ou vitalícios; (Inc</w:t>
      </w:r>
    </w:p>
    <w:p>
      <w:pPr>
        <w:ind w:left="1008"/>
      </w:pPr>
      <w:r>
        <w:rPr>
          <w:color w:val="003366"/>
          <w:sz w:val="18"/>
        </w:rPr>
        <w:t>c) as contratações temporárias de que trata o inciso IX do caput do art. 37 dest</w:t>
      </w:r>
    </w:p>
    <w:p>
      <w:pPr>
        <w:ind w:left="1008"/>
      </w:pPr>
      <w:r>
        <w:rPr>
          <w:color w:val="003366"/>
          <w:sz w:val="18"/>
        </w:rPr>
        <w:t>d) as reposições de temporários para prestação de serviço militar e de alunos de</w:t>
      </w:r>
    </w:p>
    <w:p>
      <w:pPr>
        <w:ind w:left="720"/>
      </w:pPr>
      <w:r>
        <w:rPr>
          <w:color w:val="003366"/>
          <w:sz w:val="18"/>
        </w:rPr>
        <w:t>V – realização de concurso público, exceto para as reposições de vacâncias previ</w:t>
      </w:r>
    </w:p>
    <w:p>
      <w:pPr>
        <w:ind w:left="720"/>
      </w:pPr>
      <w:r>
        <w:rPr>
          <w:color w:val="003366"/>
          <w:sz w:val="18"/>
        </w:rPr>
        <w:t>VI – criação ou majoração de auxílios, vantagens, bônus, abonos, verbas de repre</w:t>
      </w:r>
    </w:p>
    <w:p>
      <w:pPr>
        <w:ind w:left="720"/>
      </w:pPr>
      <w:r>
        <w:rPr>
          <w:color w:val="003366"/>
          <w:sz w:val="18"/>
        </w:rPr>
        <w:t>VII – criação de despesa obrigatória; (Incluído pela Emenda Constitucional nº 10</w:t>
      </w:r>
    </w:p>
    <w:p>
      <w:pPr>
        <w:ind w:left="720"/>
      </w:pPr>
      <w:r>
        <w:rPr>
          <w:color w:val="003366"/>
          <w:sz w:val="18"/>
        </w:rPr>
        <w:t>VIII – adoção de medida que implique reajuste de despesa obrigatória acima da va</w:t>
      </w:r>
    </w:p>
    <w:p>
      <w:pPr>
        <w:ind w:left="720"/>
      </w:pPr>
      <w:r>
        <w:rPr>
          <w:color w:val="003366"/>
          <w:sz w:val="18"/>
        </w:rPr>
        <w:t>IX – criação ou expansão de programas e linhas de financiamento, bem como remiss</w:t>
      </w:r>
    </w:p>
    <w:p>
      <w:pPr>
        <w:ind w:left="720"/>
      </w:pPr>
      <w:r>
        <w:rPr>
          <w:color w:val="003366"/>
          <w:sz w:val="18"/>
        </w:rPr>
        <w:t>X – concessão ou ampliação de incentivo ou benefício de natureza tributária. (In</w:t>
      </w:r>
    </w:p>
    <w:p>
      <w:pPr>
        <w:ind w:left="432"/>
      </w:pPr>
      <w:r>
        <w:rPr>
          <w:color w:val="003366"/>
          <w:sz w:val="18"/>
        </w:rPr>
        <w:t>§ 1 Apurado que a despesa corrente supera 85% (oitenta e cinco por cento) da rec</w:t>
      </w:r>
    </w:p>
    <w:p>
      <w:pPr>
        <w:ind w:left="432"/>
      </w:pPr>
      <w:r>
        <w:rPr>
          <w:color w:val="003366"/>
          <w:sz w:val="18"/>
        </w:rPr>
        <w:t>§ 2 O ato de que trata o § 1º deste artigo deve ser submetido, em regime de urgê</w:t>
      </w:r>
    </w:p>
    <w:p>
      <w:pPr>
        <w:ind w:left="432"/>
      </w:pPr>
      <w:r>
        <w:rPr>
          <w:color w:val="003366"/>
          <w:sz w:val="18"/>
        </w:rPr>
        <w:t>§ 3 O ato perde a eficácia, reconhecida a validade dos atos praticados na sua vi</w:t>
      </w:r>
    </w:p>
    <w:p>
      <w:pPr>
        <w:ind w:left="720"/>
      </w:pPr>
      <w:r>
        <w:rPr>
          <w:color w:val="003366"/>
          <w:sz w:val="18"/>
        </w:rPr>
        <w:t>I – rejeitado pelo Poder Legislativo; (Incluído pela Emenda Constitucional nº 10</w:t>
      </w:r>
    </w:p>
    <w:p>
      <w:pPr>
        <w:ind w:left="720"/>
      </w:pPr>
      <w:r>
        <w:rPr>
          <w:color w:val="003366"/>
          <w:sz w:val="18"/>
        </w:rPr>
        <w:t xml:space="preserve">II – transcorrido o prazo de 180 (cento e oitenta) dias sem que se ultime a sua </w:t>
      </w:r>
    </w:p>
    <w:p>
      <w:pPr>
        <w:ind w:left="720"/>
      </w:pPr>
      <w:r>
        <w:rPr>
          <w:color w:val="003366"/>
          <w:sz w:val="18"/>
        </w:rPr>
        <w:t>III – apurado que não mais se verifica a hipótese prevista no § 1º deste artigo,</w:t>
      </w:r>
    </w:p>
    <w:p>
      <w:pPr>
        <w:ind w:left="432"/>
      </w:pPr>
      <w:r>
        <w:rPr>
          <w:color w:val="003366"/>
          <w:sz w:val="18"/>
        </w:rPr>
        <w:t>§ 4 A apuração referida neste artigo deve ser realizada bimestralmente. (Incluíd</w:t>
      </w:r>
    </w:p>
    <w:p>
      <w:pPr>
        <w:ind w:left="432"/>
      </w:pPr>
      <w:r>
        <w:rPr>
          <w:color w:val="003366"/>
          <w:sz w:val="18"/>
        </w:rPr>
        <w:t>§ 5 As disposições de que trata este artigo: (Incluído pela Emenda Constituciona</w:t>
      </w:r>
    </w:p>
    <w:p>
      <w:pPr>
        <w:ind w:left="720"/>
      </w:pPr>
      <w:r>
        <w:rPr>
          <w:color w:val="003366"/>
          <w:sz w:val="18"/>
        </w:rPr>
        <w:t>I – não constituem obrigação de pagamento futuro pelo ente da Federação ou direi</w:t>
      </w:r>
    </w:p>
    <w:p>
      <w:pPr>
        <w:ind w:left="720"/>
      </w:pPr>
      <w:r>
        <w:rPr>
          <w:color w:val="003366"/>
          <w:sz w:val="18"/>
        </w:rPr>
        <w:t>II – não revogam, dispensam ou suspendem o cumprimento de dispositivos constituc</w:t>
      </w:r>
    </w:p>
    <w:p>
      <w:pPr>
        <w:ind w:left="432"/>
      </w:pPr>
      <w:r>
        <w:rPr>
          <w:color w:val="003366"/>
          <w:sz w:val="18"/>
        </w:rPr>
        <w:t>§ 6 Ocorrendo a hipótese de que trata o caput deste artigo, até que todas as med</w:t>
      </w:r>
    </w:p>
    <w:p>
      <w:pPr>
        <w:ind w:left="720"/>
      </w:pPr>
      <w:r>
        <w:rPr>
          <w:color w:val="003366"/>
          <w:sz w:val="18"/>
        </w:rPr>
        <w:t>I – a concessão, por qualquer outro ente da Federação, de garantias ao ente envo</w:t>
      </w:r>
    </w:p>
    <w:p>
      <w:pPr>
        <w:ind w:left="720"/>
      </w:pPr>
      <w:r>
        <w:rPr>
          <w:color w:val="003366"/>
          <w:sz w:val="18"/>
        </w:rPr>
        <w:t xml:space="preserve">II – a tomada de operação de crédito por parte do ente envolvido com outro ente </w:t>
      </w:r>
    </w:p>
    <w:p>
      <w:r>
        <w:rPr>
          <w:b/>
          <w:color w:val="003366"/>
          <w:sz w:val="20"/>
        </w:rPr>
        <w:t>Art. 167 B. Durante a vigência de estado de calamidade pública de âmbito naciona</w:t>
      </w:r>
      <w:r>
        <w:rPr>
          <w:color w:val="8C8C8C"/>
          <w:sz w:val="14"/>
        </w:rPr>
        <w:t xml:space="preserve">  [38 decisoes]</w:t>
      </w:r>
    </w:p>
    <w:p>
      <w:pPr>
        <w:ind w:left="144"/>
      </w:pPr>
      <w:r>
        <w:rPr>
          <w:b/>
          <w:color w:val="B45A00"/>
          <w:sz w:val="16"/>
        </w:rPr>
        <w:t>JULGADOS CORRELATOS</w:t>
      </w:r>
    </w:p>
    <w:p>
      <w:pPr>
        <w:ind w:left="288"/>
      </w:pPr>
      <w:r>
        <w:rPr>
          <w:color w:val="8C8C8C"/>
          <w:sz w:val="12"/>
        </w:rPr>
        <w:t>cf-art-167-inc-I</w:t>
      </w:r>
      <w:r>
        <w:rPr>
          <w:color w:val="003CA0"/>
          <w:sz w:val="12"/>
        </w:rPr>
        <w:t xml:space="preserve"> | PET 2.836</w:t>
      </w:r>
      <w:r>
        <w:rPr>
          <w:color w:val="003CA0"/>
          <w:sz w:val="12"/>
        </w:rPr>
        <w:t xml:space="preserve"> | rel. Carlos Velloso</w:t>
      </w:r>
    </w:p>
    <w:p>
      <w:pPr>
        <w:ind w:left="288"/>
      </w:pPr>
      <w:r>
        <w:rPr>
          <w:color w:val="1E1E1E"/>
          <w:sz w:val="18"/>
        </w:rPr>
        <w:t>Determinação judicial de construção de creches pelo Município. Despesas públicas: necessidade de autorização orçamentária: CF, art. 167. Fumus boni juris e periculum in mora ocorrentes. Concessão de efeito suspensivo ao recurso extraordinário diante da possibilidade de ocorrência de graves prejuízos aos cofres públicos municipais.</w:t>
      </w:r>
    </w:p>
    <w:p>
      <w:pPr>
        <w:ind w:left="288"/>
      </w:pPr>
      <w:r>
        <w:rPr>
          <w:b/>
          <w:color w:val="003CA0"/>
          <w:sz w:val="16"/>
        </w:rPr>
        <w:t>[Pet 2.836 QO, rel. min. Carlos Velloso, j. 11-2-2003, 2ª T, DJ de 14-3-2003.]</w:t>
      </w:r>
    </w:p>
    <w:p>
      <w:pPr>
        <w:ind w:left="144"/>
      </w:pPr>
      <w:r>
        <w:rPr>
          <w:b/>
          <w:color w:val="B45A00"/>
          <w:sz w:val="16"/>
        </w:rPr>
        <w:t>CONTROLE CONCENTRADO</w:t>
      </w:r>
    </w:p>
    <w:p>
      <w:pPr>
        <w:ind w:left="288"/>
      </w:pPr>
      <w:r>
        <w:rPr>
          <w:color w:val="8C8C8C"/>
          <w:sz w:val="12"/>
        </w:rPr>
        <w:t>cf-art-167-inc-II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56, parágrafo único: procedência, em parte, para atribuir interpretação conforme à expressão "abertura de novos elementos de despesa".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Constituição, que veda "a realização de despesas ou a assunção de ob</w:t>
      </w:r>
    </w:p>
    <w:p>
      <w:pPr>
        <w:ind w:left="288"/>
      </w:pPr>
      <w:r>
        <w:rPr>
          <w:b/>
          <w:color w:val="003CA0"/>
          <w:sz w:val="16"/>
        </w:rPr>
        <w:t>[ADI 3.652, rel. min. Sepúlveda Pertence, j. 19-12-2006, P, DJ de 16-3-2007.]</w:t>
      </w:r>
    </w:p>
    <w:p>
      <w:pPr>
        <w:ind w:left="288"/>
      </w:pPr>
      <w:r>
        <w:rPr>
          <w:color w:val="8C8C8C"/>
          <w:sz w:val="12"/>
        </w:rPr>
        <w:t>cf-art-167-inc-II</w:t>
      </w:r>
      <w:r>
        <w:rPr>
          <w:color w:val="003CA0"/>
          <w:sz w:val="12"/>
        </w:rPr>
        <w:t xml:space="preserve"> | ADI 352</w:t>
      </w:r>
      <w:r>
        <w:rPr>
          <w:color w:val="003CA0"/>
          <w:sz w:val="12"/>
        </w:rPr>
        <w:t xml:space="preserve"> | rel. Celso de Mello</w:t>
      </w:r>
    </w:p>
    <w:p>
      <w:pPr>
        <w:ind w:left="288"/>
      </w:pPr>
      <w:r>
        <w:rPr>
          <w:color w:val="1E1E1E"/>
          <w:sz w:val="18"/>
        </w:rPr>
        <w:t>Reveste-se de plausibilidade jurídica, no entanto, a tese, sustentada em ação direta, de que o legislador estadual, condicionado em sua ação normativa por princípios superiores enunciados na CF, não pode, ao fixar a despesa pública, autorizar gastos que excedam os créditos orçamentários ou adicionais, ou omitir-lhes a correspondente fonte de custeio, com a necessária indicação dos recursos existentes.</w:t>
      </w:r>
    </w:p>
    <w:p>
      <w:pPr>
        <w:ind w:left="288"/>
      </w:pPr>
      <w:r>
        <w:rPr>
          <w:b/>
          <w:color w:val="003CA0"/>
          <w:sz w:val="16"/>
        </w:rPr>
        <w:t>[ADI 352 MC, rel. min. Celso de Mello, j. 29-8-1990, P, DJ de 8-3-1991.]</w:t>
      </w:r>
    </w:p>
    <w:p>
      <w:pPr>
        <w:ind w:left="144"/>
      </w:pPr>
      <w:r>
        <w:rPr>
          <w:b/>
          <w:color w:val="B45A00"/>
          <w:sz w:val="16"/>
        </w:rPr>
        <w:t>JULGADOS CORRELATOS</w:t>
      </w:r>
    </w:p>
    <w:p>
      <w:pPr>
        <w:ind w:left="288"/>
      </w:pPr>
      <w:r>
        <w:rPr>
          <w:color w:val="8C8C8C"/>
          <w:sz w:val="12"/>
        </w:rPr>
        <w:t>cf-art-167-inc-II</w:t>
      </w:r>
      <w:r>
        <w:rPr>
          <w:color w:val="003CA0"/>
          <w:sz w:val="12"/>
        </w:rPr>
        <w:t xml:space="preserve"> | ACO 3.414</w:t>
      </w:r>
      <w:r>
        <w:rPr>
          <w:color w:val="003CA0"/>
          <w:sz w:val="12"/>
        </w:rPr>
        <w:t xml:space="preserve"> | rel. Gilmar Mendes</w:t>
      </w:r>
    </w:p>
    <w:p>
      <w:pPr>
        <w:ind w:left="288"/>
      </w:pPr>
      <w:r>
        <w:rPr>
          <w:color w:val="1E1E1E"/>
          <w:sz w:val="18"/>
        </w:rPr>
        <w:t>Uso de recursos do FCDF para o pagamento de despesas do exercício anterior ao do orçamento vigente. Impossibilidade. Ofensa aos arts. 165, III, XIV, c/c art. 167, II, ambos da CF e ao princípio da anualidade orçamentária (...).</w:t>
      </w:r>
    </w:p>
    <w:p>
      <w:pPr>
        <w:ind w:left="288"/>
      </w:pPr>
      <w:r>
        <w:rPr>
          <w:b/>
          <w:color w:val="003CA0"/>
          <w:sz w:val="16"/>
        </w:rPr>
        <w:t>[ACO 3.414 AgR, rel. min. Gilmar Mendes, j. 18-12-2021, P, DJE de 15-2-2022.]</w:t>
      </w:r>
    </w:p>
    <w:p>
      <w:pPr>
        <w:ind w:left="288"/>
      </w:pPr>
      <w:r>
        <w:rPr>
          <w:color w:val="8C8C8C"/>
          <w:sz w:val="12"/>
        </w:rPr>
        <w:t>cf-art-167-inc-II</w:t>
      </w:r>
    </w:p>
    <w:p>
      <w:pPr>
        <w:ind w:left="288"/>
      </w:pPr>
      <w:r>
        <w:rPr>
          <w:color w:val="1E1E1E"/>
          <w:sz w:val="18"/>
        </w:rPr>
        <w:t>III - a realização de operações de créditos que excedam o montante das despesas de capital, ressalvadas as autorizadas mediante créditos suplementares ou especiais com finalidade precisa, aprovados pelo Poder Legislativo por maioria absoluta;</w:t>
      </w:r>
    </w:p>
    <w:p>
      <w:pPr>
        <w:ind w:left="144"/>
      </w:pPr>
      <w:r>
        <w:rPr>
          <w:b/>
          <w:color w:val="B45A00"/>
          <w:sz w:val="16"/>
        </w:rPr>
        <w:t>CONTROLE CONCENTRADO</w:t>
      </w:r>
    </w:p>
    <w:p>
      <w:pPr>
        <w:ind w:left="288"/>
      </w:pPr>
      <w:r>
        <w:rPr>
          <w:color w:val="8C8C8C"/>
          <w:sz w:val="12"/>
        </w:rPr>
        <w:t>cf-art-167-inc-II</w:t>
      </w:r>
      <w:r>
        <w:rPr>
          <w:color w:val="003CA0"/>
          <w:sz w:val="12"/>
        </w:rPr>
        <w:t xml:space="preserve"> | ADI 6.660</w:t>
      </w:r>
      <w:r>
        <w:rPr>
          <w:color w:val="003CA0"/>
          <w:sz w:val="12"/>
        </w:rPr>
        <w:t xml:space="preserve"> | rel. Rosa Weber</w:t>
      </w:r>
    </w:p>
    <w:p>
      <w:pPr>
        <w:ind w:left="288"/>
      </w:pPr>
      <w:r>
        <w:rPr>
          <w:color w:val="1E1E1E"/>
          <w:sz w:val="18"/>
        </w:rPr>
        <w:t>Lei 12.305, de 18 de dezembro de 2002, do Estado de Pernambuco, alterada pela lei 12.337/2003, que dispõe sobre os depósitos judiciais e extrajudiciais à disposição do Poder Judiciário Estadual ou da Secretaria da Fazenda. (...) Criação, pela lei estadual impugnada, de um endividamento inconstitucional afastado das hipóteses de dívida pública albergadas pela Carta Magna – violação do artigo 167, III.</w:t>
      </w:r>
    </w:p>
    <w:p>
      <w:pPr>
        <w:ind w:left="288"/>
      </w:pPr>
      <w:r>
        <w:rPr>
          <w:b/>
          <w:color w:val="003CA0"/>
          <w:sz w:val="16"/>
        </w:rPr>
        <w:t>[ADI 6.660, rel. min. Rosa Weber, j. 21-6-2022, P, DJE de 29-6-2022.]</w:t>
      </w:r>
    </w:p>
    <w:p>
      <w:pPr>
        <w:ind w:left="288"/>
      </w:pPr>
      <w:r>
        <w:rPr>
          <w:color w:val="8C8C8C"/>
          <w:sz w:val="12"/>
        </w:rPr>
        <w:t>cf-art-167-inc-II</w:t>
      </w:r>
      <w:r>
        <w:rPr>
          <w:color w:val="003CA0"/>
          <w:sz w:val="12"/>
        </w:rPr>
        <w:t xml:space="preserve"> | ADI 5.683</w:t>
      </w:r>
      <w:r>
        <w:rPr>
          <w:color w:val="003CA0"/>
          <w:sz w:val="12"/>
        </w:rPr>
        <w:t xml:space="preserve"> | rel. Roberto Barroso</w:t>
      </w:r>
    </w:p>
    <w:p>
      <w:pPr>
        <w:ind w:left="288"/>
      </w:pPr>
      <w:r>
        <w:rPr>
          <w:color w:val="1E1E1E"/>
          <w:sz w:val="18"/>
        </w:rPr>
        <w:t>A vedação do art. 167, III, da CF não impede a contratação de operações de crédito para o custeio de despesas correntes. Proíbe-se, somente, a contratação que exceda o montante das despesas de capital. Aliás, a mera autorização legislativa não afronta essa regra constitucional, mas apenas a contratação em si, se não respeitar os limites estabelecidos.</w:t>
      </w:r>
    </w:p>
    <w:p>
      <w:pPr>
        <w:ind w:left="288"/>
      </w:pPr>
      <w:r>
        <w:rPr>
          <w:b/>
          <w:color w:val="003CA0"/>
          <w:sz w:val="16"/>
        </w:rPr>
        <w:t>[ADI 5.683, rel. min. Roberto Barroso, j. 22-4-2022, P, DJE de 19-5-2022.]</w:t>
      </w:r>
    </w:p>
    <w:p>
      <w:pPr>
        <w:ind w:left="288"/>
      </w:pPr>
      <w:r>
        <w:rPr>
          <w:color w:val="8C8C8C"/>
          <w:sz w:val="12"/>
        </w:rPr>
        <w:t>cf-art-167-inc-II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Ao prever limite textualmente diverso da regra do art. 167, III, da CF, o art. 12, § 2º, da LRF enseja interpretações distorcidas do teto a ser aplicado às receitas decorrentes de operações de crédito, pelo que a ação deve ser parcialmente provida, nesse ponto, para dar interpretação conforme ao dispositivo para o fim de explicitar que a proibição não abrange operações de crédito autorizadas mediante créditos suplementares ou especiais com finalidade precisa, aprovados pelo Poder Legisl</w:t>
      </w:r>
    </w:p>
    <w:p>
      <w:pPr>
        <w:ind w:left="288"/>
      </w:pPr>
      <w:r>
        <w:rPr>
          <w:b/>
          <w:color w:val="003CA0"/>
          <w:sz w:val="16"/>
        </w:rPr>
        <w:t>[ADI 2.238, rel. min. Alexandre de Moraes, j. 24-6-2020, P, DJE de 15-9-2020.]</w:t>
      </w:r>
    </w:p>
    <w:p>
      <w:pPr>
        <w:ind w:left="288"/>
      </w:pPr>
      <w:r>
        <w:rPr>
          <w:color w:val="8C8C8C"/>
          <w:sz w:val="12"/>
        </w:rPr>
        <w:t>cf-art-167-inc-II</w:t>
      </w:r>
      <w:r>
        <w:rPr>
          <w:color w:val="003CA0"/>
          <w:sz w:val="12"/>
        </w:rPr>
        <w:t xml:space="preserve"> | ADI 3.516</w:t>
      </w:r>
      <w:r>
        <w:rPr>
          <w:color w:val="003CA0"/>
          <w:sz w:val="12"/>
        </w:rPr>
        <w:t xml:space="preserve"> | rel. Edson Fachin</w:t>
      </w:r>
    </w:p>
    <w:p>
      <w:pPr>
        <w:ind w:left="288"/>
      </w:pPr>
      <w:r>
        <w:rPr>
          <w:color w:val="1E1E1E"/>
          <w:sz w:val="18"/>
        </w:rP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 (Redação da EC 42/2003) A ressal</w:t>
      </w:r>
    </w:p>
    <w:p>
      <w:pPr>
        <w:ind w:left="288"/>
      </w:pPr>
      <w:r>
        <w:rPr>
          <w:b/>
          <w:color w:val="003CA0"/>
          <w:sz w:val="16"/>
        </w:rPr>
        <w:t>[ADI 3.516, rel. min. Edson Fachin, j. 16.12.2024, P, DJE de 06.02.2025.]</w:t>
      </w:r>
    </w:p>
    <w:p>
      <w:pPr>
        <w:ind w:left="288"/>
      </w:pPr>
      <w:r>
        <w:rPr>
          <w:color w:val="8C8C8C"/>
          <w:sz w:val="12"/>
        </w:rPr>
        <w:t>cf-art-167-inc-II</w:t>
      </w:r>
      <w:r>
        <w:rPr>
          <w:color w:val="003CA0"/>
          <w:sz w:val="12"/>
        </w:rPr>
        <w:t xml:space="preserve"> | ADI 5.635</w:t>
      </w:r>
      <w:r>
        <w:rPr>
          <w:color w:val="003CA0"/>
          <w:sz w:val="12"/>
        </w:rPr>
        <w:t xml:space="preserve"> | rel. Luís Roberto Barroso</w:t>
      </w:r>
    </w:p>
    <w:p>
      <w:pPr>
        <w:ind w:left="288"/>
      </w:pPr>
      <w:r>
        <w:rPr>
          <w:color w:val="1E1E1E"/>
          <w:sz w:val="18"/>
        </w:rPr>
        <w:t>“São constitucionais as Leis nºs 7.428/2016 e 8.645/2019, ambas do Estado do Rio de Janeiro, que instituíram o Fundo Estadual de Equilíbrio Fiscal – FEEF e, posteriormente, o Fundo Orçamentário Temporário – FOT, fundos atípicos cujas receitas não estão vinculadas a um programa governamental específico e detalhado”.</w:t>
        <w:br/>
        <w:t>[ADI 5.635, rel. min. Luís Roberto Barroso, j. 18-10-2023, P, DJE de 24-11-2023.] O Estado de Mato Grosso do Sul adotou sistema de rateio no qual os recursos destinados aos órgãos da área-meio são posteriormente atribuídos aos da área-fim, mediante transposição, remanejamento ou tra</w:t>
      </w:r>
    </w:p>
    <w:p>
      <w:pPr>
        <w:ind w:left="288"/>
      </w:pPr>
      <w:r>
        <w:rPr>
          <w:b/>
          <w:color w:val="003CA0"/>
          <w:sz w:val="16"/>
        </w:rPr>
        <w:t>[ADI 6.045, rel. min. Marco Aurélio, j. 22-6-2020, P, DJE de 17-7-2020.]</w:t>
      </w:r>
    </w:p>
    <w:p>
      <w:pPr>
        <w:ind w:left="288"/>
      </w:pPr>
      <w:r>
        <w:rPr>
          <w:color w:val="8C8C8C"/>
          <w:sz w:val="12"/>
        </w:rPr>
        <w:t>cf-art-167-inc-II</w:t>
      </w:r>
      <w:r>
        <w:rPr>
          <w:color w:val="003CA0"/>
          <w:sz w:val="12"/>
        </w:rPr>
        <w:t xml:space="preserve"> | ADI 5.897</w:t>
      </w:r>
      <w:r>
        <w:rPr>
          <w:color w:val="003CA0"/>
          <w:sz w:val="12"/>
        </w:rPr>
        <w:t xml:space="preserve"> | rel. Luiz Fux</w:t>
      </w:r>
    </w:p>
    <w:p>
      <w:pPr>
        <w:ind w:left="288"/>
      </w:pPr>
      <w:r>
        <w:rPr>
          <w:color w:val="1E1E1E"/>
          <w:sz w:val="18"/>
        </w:rPr>
        <w:t>O artigo 167, IV, da Constituição Federal veda o estabelecimento de vinculação de receitas proveniente de impostos, quando não previstas ou autorizadas na Constituição Federal, porquanto cerceia o poder de gestão financeira do chefe do Poder Executivo e obsta o custeio das despesas urgentes, imprevistas ou extraordinárias, que se façam necessárias ao longo do exercício financeiro, tanto mais que deve dar-se aplicação aos recursos de receita pública consoante critérios de responsabilidade fiscal consentâneos com os anseios democráticos. (...) A vedação à vinculação da receita é norma que preser</w:t>
      </w:r>
    </w:p>
    <w:p>
      <w:pPr>
        <w:ind w:left="288"/>
      </w:pPr>
      <w:r>
        <w:rPr>
          <w:b/>
          <w:color w:val="003CA0"/>
          <w:sz w:val="16"/>
        </w:rPr>
        <w:t>[ADI 5.897, rel. min. Luiz Fux, j. 24-4-2019, P, DJE de 2-8-2019.]</w:t>
      </w:r>
    </w:p>
    <w:p>
      <w:pPr>
        <w:ind w:left="288"/>
      </w:pPr>
      <w:r>
        <w:rPr>
          <w:color w:val="8C8C8C"/>
          <w:sz w:val="12"/>
        </w:rPr>
        <w:t>cf-art-167-inc-II</w:t>
      </w:r>
      <w:r>
        <w:rPr>
          <w:color w:val="003CA0"/>
          <w:sz w:val="12"/>
        </w:rPr>
        <w:t xml:space="preserve"> | RE 226.855</w:t>
      </w:r>
      <w:r>
        <w:rPr>
          <w:color w:val="003CA0"/>
          <w:sz w:val="12"/>
        </w:rPr>
        <w:t xml:space="preserve"> | rel. Moreira Alves</w:t>
      </w:r>
    </w:p>
    <w:p>
      <w:pPr>
        <w:ind w:left="288"/>
      </w:pPr>
      <w:r>
        <w:rPr>
          <w:color w:val="1E1E1E"/>
          <w:sz w:val="18"/>
        </w:rPr>
        <w:t>(...) esta Suprema Corte considera constitucionais ambas as contribuições criadas pela LC 110/2001 (...). Os dois tributos tinham por objetivo custear os dispêndios da União decorrentes de decisão do STF, que considerou devido o reajuste dos saldos do FGTS (RE 226.855, rel. min. Moreira Alves, Pleno, DJ de 13-10-2000). As restrições previstas nos arts. 157, II, e 167, IV, da Constituição são aplicáveis aos impostos, e, no caso em exame, trata-se da espécie tributária contribuição, nitidamente caracterizada pela prévia escolha da destinação específica do produto arrecadado.</w:t>
      </w:r>
    </w:p>
    <w:p>
      <w:pPr>
        <w:ind w:left="288"/>
      </w:pPr>
      <w:r>
        <w:rPr>
          <w:b/>
          <w:color w:val="003CA0"/>
          <w:sz w:val="16"/>
        </w:rPr>
        <w:t>[ADI 2.556 e ADI 2.568, voto do rel. min. Joaquim Barbosa, j. 13-6-2012, P, DJE de 20-9-2012.]</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Ação direta de inconstitucionalidade contra o inciso V do § 3º do art. 120 da Constituição do Estado de Santa Catarina, com a redação dada pela EC 14, promulgada em 10 de novembro de 1997. Vinculação, por dotação orçamentária, de parte da receita corrente do Estado a programas de desenvolvimento da agricultura, pecuária e abastecimento. Inconstitucionalidade. Afronta à iniciativa privativa do chefe do Poder Executivo em tema de diretrizes orçamentárias. Precedentes. Violação ao art. 167, IV, da CF.</w:t>
      </w:r>
    </w:p>
    <w:p>
      <w:pPr>
        <w:ind w:left="288"/>
      </w:pPr>
      <w:r>
        <w:rPr>
          <w:b/>
          <w:color w:val="003CA0"/>
          <w:sz w:val="16"/>
        </w:rPr>
        <w:t>[ADI 1.759, rel. min. Gilmar Mendes, j. 14-4-2010, P, DJE de 20-8-2010.]</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Vide ADI 1.750, rel. min. Eros Grau, j. 20-9-2006, P, DJ de 13-10-2006 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3CA0"/>
          <w:sz w:val="16"/>
        </w:rPr>
        <w:t>[ADI 2.447, rel. min. Joaquim Barbosa, j. 4-3-2009, P, DJE de 4-12-2009.]</w:t>
      </w:r>
    </w:p>
    <w:p>
      <w:pPr>
        <w:ind w:left="288"/>
      </w:pPr>
      <w:r>
        <w:rPr>
          <w:color w:val="8C8C8C"/>
          <w:sz w:val="12"/>
        </w:rPr>
        <w:t>cf-art-167-inc-II</w:t>
      </w:r>
      <w:r>
        <w:rPr>
          <w:color w:val="003CA0"/>
          <w:sz w:val="12"/>
        </w:rPr>
        <w:t xml:space="preserve"> | ADI 2.529</w:t>
      </w:r>
      <w:r>
        <w:rPr>
          <w:color w:val="003CA0"/>
          <w:sz w:val="12"/>
        </w:rPr>
        <w:t xml:space="preserve"> | rel. Gilmar Mendes</w:t>
      </w:r>
    </w:p>
    <w:p>
      <w:pPr>
        <w:ind w:left="288"/>
      </w:pPr>
      <w:r>
        <w:rPr>
          <w:color w:val="1E1E1E"/>
          <w:sz w:val="18"/>
        </w:rPr>
        <w:t>Ação direta de inconstitucionalidade. Lei 13.133/2001 do Estado do Paraná, que instituiu o Programa de Incentivo à Cultura, vinculando parte da receita do ICMS ao Fundo Estadual de Cultura. Violação ao art. 167, IV, da CF.</w:t>
      </w:r>
    </w:p>
    <w:p>
      <w:pPr>
        <w:ind w:left="288"/>
      </w:pPr>
      <w:r>
        <w:rPr>
          <w:b/>
          <w:color w:val="003CA0"/>
          <w:sz w:val="16"/>
        </w:rPr>
        <w:t>[ADI 2.529, rel. min. Gilmar Mendes, j. 14-6-2007, P, DJ de 6-9-2007.]</w:t>
      </w:r>
    </w:p>
    <w:p>
      <w:pPr>
        <w:ind w:left="288"/>
      </w:pPr>
      <w:r>
        <w:rPr>
          <w:color w:val="8C8C8C"/>
          <w:sz w:val="12"/>
        </w:rPr>
        <w:t>cf-art-167-inc-II</w:t>
      </w:r>
      <w:r>
        <w:rPr>
          <w:color w:val="003CA0"/>
          <w:sz w:val="12"/>
        </w:rPr>
        <w:t xml:space="preserve"> | ADI 820</w:t>
      </w:r>
      <w:r>
        <w:rPr>
          <w:color w:val="003CA0"/>
          <w:sz w:val="12"/>
        </w:rPr>
        <w:t xml:space="preserve"> | rel. Eros Grau</w:t>
      </w:r>
    </w:p>
    <w:p>
      <w:pPr>
        <w:ind w:left="288"/>
      </w:pPr>
      <w:r>
        <w:rPr>
          <w:color w:val="1E1E1E"/>
          <w:sz w:val="18"/>
        </w:rPr>
        <w:t>Art. 202 da Constituição do Estado do Rio Grande do Sul. Lei estadual 9.723. Manutenção e desenvolvimento do ensino público. Aplicação mínima de 35% da receita resultante de impostos. Destinação de 10% desses recursos à manutenção e conservação das escolas públicas Estaduais. (...) A determinação de aplicação de parte dos recursos destinados à educação na "manutenção e conservação das escolas públicas estaduais" vinculou a receita de impostos a uma despesa específica – afronta ao disposto no art. 167, IV, da CF/1988.</w:t>
      </w:r>
    </w:p>
    <w:p>
      <w:pPr>
        <w:ind w:left="288"/>
      </w:pPr>
      <w:r>
        <w:rPr>
          <w:b/>
          <w:color w:val="003CA0"/>
          <w:sz w:val="16"/>
        </w:rPr>
        <w:t>[ADI 820, rel. min. Eros Grau, j. 15-3-2007, P, DJE de 29-2-2008.]</w:t>
      </w:r>
    </w:p>
    <w:p>
      <w:pPr>
        <w:ind w:left="288"/>
      </w:pPr>
      <w:r>
        <w:rPr>
          <w:color w:val="8C8C8C"/>
          <w:sz w:val="12"/>
        </w:rPr>
        <w:t>cf-art-167-inc-II</w:t>
      </w:r>
      <w:r>
        <w:rPr>
          <w:color w:val="003CA0"/>
          <w:sz w:val="12"/>
        </w:rPr>
        <w:t xml:space="preserve"> | ADI 584</w:t>
      </w:r>
      <w:r>
        <w:rPr>
          <w:color w:val="003CA0"/>
          <w:sz w:val="12"/>
        </w:rPr>
        <w:t xml:space="preserve"> | rel. Dias Toffoli</w:t>
      </w:r>
    </w:p>
    <w:p>
      <w:pPr>
        <w:ind w:left="288"/>
      </w:pPr>
      <w:r>
        <w:rPr>
          <w:color w:val="1E1E1E"/>
          <w:sz w:val="18"/>
        </w:rPr>
        <w:t xml:space="preserve">= ADI 584, rel. min. Dias Toffoli, j. 19-3-2014, P, DJE de 9-4-2014 Lei estadual 12.223, de 3-1-2005. Fundo Partilhado de Combate às Desigualdades Sociais e Regionais do Estado do Rio Grande do Sul. (...) As normas em estudo, ao possibilitarem o direcionamento, pelos contribuintes, do valor devido a título de ICMS para o chamado Fundo Partilhado de Combate às Desigualdades Sociais e Regionais do Estado do Rio Grande do Sul, compensando-se, em contrapartida, o valor despendido sob a forma de crédito fiscal presumido, criaram, na verdade, um mecanismo de redirecionamento da receita de ICMS para </w:t>
      </w:r>
    </w:p>
    <w:p>
      <w:pPr>
        <w:ind w:left="288"/>
      </w:pPr>
      <w:r>
        <w:rPr>
          <w:b/>
          <w:color w:val="003CA0"/>
          <w:sz w:val="16"/>
        </w:rPr>
        <w:t>[ADI 3.576, rel. min. Ellen Gracie, j. 22-11-2006, P, DJ de 2-2-2007.]</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88"/>
      </w:pPr>
      <w:r>
        <w:rPr>
          <w:b/>
          <w:color w:val="003CA0"/>
          <w:sz w:val="16"/>
        </w:rPr>
        <w:t>[ADI 1.750, rel. min. Eros Grau, j. 20-9-2006, P, DJ de 13-10-2006.]</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Vide ADI 1.759, rel. min. Gilmar Mendes, j. 14-04-2010, P, DJE de 20-8-2010 Preceito de lei estadual que destina 3% dos emolumentos cobrados pelas serventias extrajudiciais ao Fundo Especial para Instalação, Desenvolvimento e Aperfeiçoamento das Atividades dos Juizados Especiais Cíveis e Criminais do Estado do Mato Grosso do Sul não ofende o disposto no art. 167, IV, da CF.</w:t>
      </w:r>
    </w:p>
    <w:p>
      <w:pPr>
        <w:ind w:left="288"/>
      </w:pPr>
      <w:r>
        <w:rPr>
          <w:b/>
          <w:color w:val="003CA0"/>
          <w:sz w:val="16"/>
        </w:rPr>
        <w:t>[ADI 2.129, rel. min. Eros Grau, j. 26-4-2006, P, DJ de 16-6-2006.]</w:t>
      </w:r>
    </w:p>
    <w:p>
      <w:pPr>
        <w:ind w:left="288"/>
      </w:pPr>
      <w:r>
        <w:rPr>
          <w:color w:val="8C8C8C"/>
          <w:sz w:val="12"/>
        </w:rPr>
        <w:t>cf-art-167-inc-II</w:t>
      </w:r>
      <w:r>
        <w:rPr>
          <w:color w:val="003CA0"/>
          <w:sz w:val="12"/>
        </w:rPr>
        <w:t xml:space="preserve"> | ADI 2.059</w:t>
      </w:r>
      <w:r>
        <w:rPr>
          <w:color w:val="003CA0"/>
          <w:sz w:val="12"/>
        </w:rPr>
        <w:t xml:space="preserve"> | rel. Eros Grau</w:t>
      </w:r>
    </w:p>
    <w:p>
      <w:pPr>
        <w:ind w:left="288"/>
      </w:pPr>
      <w:r>
        <w:rPr>
          <w:color w:val="1E1E1E"/>
          <w:sz w:val="18"/>
        </w:rPr>
        <w:t>= ADI 2.059, rel. min. Eros Grau, j. 26-4-2006, P, DJ de 9-6-2006 Observe-se, ainda, que o art. 7º da lei estadual impugnada determinou que, do valor do crédito fiscal previsto no seu art. 3º, 40% deverá ser recolhido para apoiar os produtores e 10% para a pesquisa do algodão. Tem-se aqui inequívoca afronta ao disposto no art. 167, IV, da CF, que veda a vinculação de receita de impostos a órgão, fundo ou despesas. Ressalte-se que esta Corte houve por bem declarar a inconstitucionalidade de lei paulista que destinou 1% do ICMS ao fornecimento de programas habitacionais, por afronta ao dispositi</w:t>
      </w:r>
    </w:p>
    <w:p>
      <w:pPr>
        <w:ind w:left="288"/>
      </w:pPr>
      <w:r>
        <w:rPr>
          <w:b/>
          <w:color w:val="003CA0"/>
          <w:sz w:val="16"/>
        </w:rPr>
        <w:t>[ADI 2.722, voto do rel. min. Gilmar Mendes, j. 15-9-2005, P, DJ de 19-12-2006.]</w:t>
      </w:r>
    </w:p>
    <w:p>
      <w:pPr>
        <w:ind w:left="288"/>
      </w:pPr>
      <w:r>
        <w:rPr>
          <w:color w:val="8C8C8C"/>
          <w:sz w:val="12"/>
        </w:rPr>
        <w:t>cf-art-167-inc-II</w:t>
      </w:r>
      <w:r>
        <w:rPr>
          <w:color w:val="003CA0"/>
          <w:sz w:val="12"/>
        </w:rPr>
        <w:t xml:space="preserve"> | ADI 1.689</w:t>
      </w:r>
      <w:r>
        <w:rPr>
          <w:color w:val="003CA0"/>
          <w:sz w:val="12"/>
        </w:rPr>
        <w:t xml:space="preserve"> | rel. Sydney Sanches</w:t>
      </w:r>
    </w:p>
    <w:p>
      <w:pPr>
        <w:ind w:left="288"/>
      </w:pPr>
      <w:r>
        <w:rPr>
          <w:color w:val="1E1E1E"/>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w:t>
      </w:r>
    </w:p>
    <w:p>
      <w:pPr>
        <w:ind w:left="288"/>
      </w:pPr>
      <w:r>
        <w:rPr>
          <w:b/>
          <w:color w:val="003CA0"/>
          <w:sz w:val="16"/>
        </w:rPr>
        <w:t>[ADI 1.689, rel. min. Sydney Sanches, j. 12-3-2003, P, DJ de 2-5-2003.]</w:t>
      </w:r>
    </w:p>
    <w:p>
      <w:pPr>
        <w:ind w:left="288"/>
      </w:pPr>
      <w:r>
        <w:rPr>
          <w:color w:val="8C8C8C"/>
          <w:sz w:val="12"/>
        </w:rPr>
        <w:t>cf-art-167-inc-II</w:t>
      </w:r>
      <w:r>
        <w:rPr>
          <w:color w:val="003CA0"/>
          <w:sz w:val="12"/>
        </w:rPr>
        <w:t xml:space="preserve"> | ADI 5.635</w:t>
      </w:r>
      <w:r>
        <w:rPr>
          <w:color w:val="003CA0"/>
          <w:sz w:val="12"/>
        </w:rPr>
        <w:t xml:space="preserve"> | rel. Luís Roberto Barroso</w:t>
      </w:r>
    </w:p>
    <w:p>
      <w:pPr>
        <w:ind w:left="288"/>
      </w:pPr>
      <w:r>
        <w:rPr>
          <w:color w:val="1E1E1E"/>
          <w:sz w:val="18"/>
        </w:rPr>
        <w:t>“(i) É constitucional a exigência de depósito de percentual de benefícios fiscais de ICMS para o Fundo Orçamentário Temporário (FOT), nos termos da ADI 5.635; e (ii) é infraconstitucional e fática a controvérsia sobre a possibilidade de exigir o depósito ao FOT em benefícios fiscais de ICMS concedidos por prazo certo e sob condição.</w:t>
      </w:r>
    </w:p>
    <w:p>
      <w:pPr>
        <w:ind w:left="288"/>
      </w:pPr>
      <w:r>
        <w:rPr>
          <w:b/>
          <w:color w:val="003CA0"/>
          <w:sz w:val="16"/>
        </w:rPr>
        <w:t>[RE 1.506.320 RG, rel. min. Luís Roberto Barroso, j. 11.04.2025, P, DJE de 22.04.2025, Tema 1.386, com mérito julgado.]</w:t>
      </w:r>
    </w:p>
    <w:p>
      <w:pPr>
        <w:ind w:left="144"/>
      </w:pPr>
      <w:r>
        <w:rPr>
          <w:b/>
          <w:color w:val="B45A00"/>
          <w:sz w:val="16"/>
        </w:rPr>
        <w:t>REPERCUSSAO GERAL</w:t>
      </w:r>
    </w:p>
    <w:p>
      <w:pPr>
        <w:ind w:left="288"/>
      </w:pPr>
      <w:r>
        <w:rPr>
          <w:color w:val="8C8C8C"/>
          <w:sz w:val="12"/>
        </w:rPr>
        <w:t>cf-art-167-inc-II</w:t>
      </w:r>
      <w:r>
        <w:rPr>
          <w:color w:val="003CA0"/>
          <w:sz w:val="12"/>
        </w:rPr>
        <w:t xml:space="preserve"> | RE 585.535</w:t>
      </w:r>
      <w:r>
        <w:rPr>
          <w:color w:val="003CA0"/>
          <w:sz w:val="12"/>
        </w:rPr>
        <w:t xml:space="preserve"> | rel. Ellen Gracie</w:t>
      </w:r>
    </w:p>
    <w:p>
      <w:pPr>
        <w:ind w:left="288"/>
      </w:pPr>
      <w:r>
        <w:rPr>
          <w:color w:val="1E1E1E"/>
          <w:sz w:val="18"/>
        </w:rPr>
        <w:t>ICMS. Majoração de alíquota. (...) A Lei paulista 9.903, de 30-12-1997, apenas impôs a divulgação, pelo chefe do Executivo, do emprego dos recursos provenientes do aumento da alíquota de 17% para 18%, previsto no mesmo diploma. A proibição de vinculação de receita de impostos prevista no art. 167, IV, da CF impede a fixação de uma prévia destinação desses recursos, o que não se verificou no presente caso.</w:t>
        <w:br/>
        <w:t>[RE 585.535, rel. min. Ellen Gracie, j. 1º-2-2010, P, DJE de 21-5-2010, Tema 92, com mérito julgado.]</w:t>
        <w:br/>
        <w:t>Vide RE 183.906, rel. min. Marco Aurélio, j. 18-9-1997, P, DJ de 30-4-1998</w:t>
      </w:r>
    </w:p>
    <w:p>
      <w:pPr>
        <w:ind w:left="144"/>
      </w:pPr>
      <w:r>
        <w:rPr>
          <w:b/>
          <w:color w:val="B45A00"/>
          <w:sz w:val="16"/>
        </w:rPr>
        <w:t>JULGADOS CORRELATOS</w:t>
      </w:r>
    </w:p>
    <w:p>
      <w:pPr>
        <w:ind w:left="288"/>
      </w:pPr>
      <w:r>
        <w:rPr>
          <w:color w:val="8C8C8C"/>
          <w:sz w:val="12"/>
        </w:rPr>
        <w:t>cf-art-167-inc-II</w:t>
      </w:r>
      <w:r>
        <w:rPr>
          <w:color w:val="003CA0"/>
          <w:sz w:val="12"/>
        </w:rPr>
        <w:t xml:space="preserve"> | RCL 60.128</w:t>
      </w:r>
      <w:r>
        <w:rPr>
          <w:color w:val="003CA0"/>
          <w:sz w:val="12"/>
        </w:rPr>
        <w:t xml:space="preserve"> | rel. Luiz Fux</w:t>
      </w:r>
    </w:p>
    <w:p>
      <w:pPr>
        <w:ind w:left="288"/>
      </w:pPr>
      <w:r>
        <w:rPr>
          <w:color w:val="1E1E1E"/>
          <w:sz w:val="18"/>
        </w:rPr>
        <w:t>Não se admite a constrição indiscriminada de verbas públicas, inclusive na fase de pagamento, por meio de decisões judiciais, sob pena de afronta ao preceito contido no art. 167, VI, da CF, ao modelo constitucional de organização orçamentária das finanças públicas e ao princípio da continuidade dos serviços públicos (art. 175 da Constituição Federal).</w:t>
        <w:br/>
        <w:t>[Rcl 60.128 AgR, rel. min. Luiz Fux, red. do ac. min. Alexandre de Moraes, j. 9-10-2023, 1ª T, DJE de 19-10-2023.] Preceito de lei estadual que destina 5% dos emolumentos cobrados pelas serventias extrajudiciais e não oficializadas ao Fundo Estad</w:t>
      </w:r>
    </w:p>
    <w:p>
      <w:pPr>
        <w:ind w:left="288"/>
      </w:pPr>
      <w:r>
        <w:rPr>
          <w:b/>
          <w:color w:val="003CA0"/>
          <w:sz w:val="16"/>
        </w:rPr>
        <w:t>[RE 218.874, rel. min. Eros Grau, j. 7-11-2007, P, DJ de 1º-2-2008.]</w:t>
      </w:r>
    </w:p>
    <w:p>
      <w:pPr>
        <w:ind w:left="144"/>
      </w:pPr>
      <w:r>
        <w:rPr>
          <w:b/>
          <w:color w:val="B45A00"/>
          <w:sz w:val="16"/>
        </w:rPr>
        <w:t>CONTROLE CONCENTRADO</w:t>
      </w:r>
    </w:p>
    <w:p>
      <w:pPr>
        <w:ind w:left="288"/>
      </w:pPr>
      <w:r>
        <w:rPr>
          <w:color w:val="8C8C8C"/>
          <w:sz w:val="12"/>
        </w:rPr>
        <w:t>cf-art-167-inc-V</w:t>
      </w:r>
      <w:r>
        <w:rPr>
          <w:color w:val="003CA0"/>
          <w:sz w:val="12"/>
        </w:rPr>
        <w:t xml:space="preserve"> | ADI 4.049</w:t>
      </w:r>
      <w:r>
        <w:rPr>
          <w:color w:val="003CA0"/>
          <w:sz w:val="12"/>
        </w:rPr>
        <w:t xml:space="preserve"> | rel. Ayres Britto</w:t>
      </w:r>
    </w:p>
    <w:p>
      <w:pPr>
        <w:ind w:left="288"/>
      </w:pPr>
      <w:r>
        <w:rPr>
          <w:color w:val="1E1E1E"/>
          <w:sz w:val="18"/>
        </w:rPr>
        <w:t>Medida cautelar em ação direta de inconstitucionalidade. MP 402, de 23-11-2007, convertida na Lei 11.656, de 16-4-2008. Abertura de crédito extraordinário. (...) Violação que alcança o inciso V do mesmo artigo, na medida em que o ato normativo adversado vem a categorizar como de natureza extraordinária crédito que, em verdade, não passa de especial, ou suplementar.</w:t>
      </w:r>
    </w:p>
    <w:p>
      <w:pPr>
        <w:ind w:left="288"/>
      </w:pPr>
      <w:r>
        <w:rPr>
          <w:b/>
          <w:color w:val="003CA0"/>
          <w:sz w:val="16"/>
        </w:rPr>
        <w:t>[ADI 4.049 MC, rel. min. Ayres Britto, j. 5-11-2008, P, DJE de 8-5-2009.]</w:t>
      </w:r>
    </w:p>
    <w:p>
      <w:pPr>
        <w:ind w:left="288"/>
      </w:pPr>
      <w:r>
        <w:rPr>
          <w:color w:val="8C8C8C"/>
          <w:sz w:val="12"/>
        </w:rPr>
        <w:t>cf-art-167-inc-VI</w:t>
      </w:r>
      <w:r>
        <w:rPr>
          <w:color w:val="003CA0"/>
          <w:sz w:val="12"/>
        </w:rPr>
        <w:t xml:space="preserve"> | ADPF 616</w:t>
      </w:r>
      <w:r>
        <w:rPr>
          <w:color w:val="003CA0"/>
          <w:sz w:val="12"/>
        </w:rPr>
        <w:t xml:space="preserve"> | rel. Roberto Barroso</w:t>
      </w:r>
    </w:p>
    <w:p>
      <w:pPr>
        <w:ind w:left="288"/>
      </w:pPr>
      <w:r>
        <w:rPr>
          <w:color w:val="1E1E1E"/>
          <w:sz w:val="18"/>
        </w:rPr>
        <w:t>Os recursos públicos vinculados ao orçamento de estatais prestadoras de serviço público essencial, em regime não concorrencial e sem intuito lucrativo primário não podem ser bloqueados ou sequestrados por decisão judicial para pagamento de suas dívidas, em virtude do disposto no art. 100 da CF/1988, e dos princípios da legalidade orçamentária (art. 167, VI, da CF), da separação dos poderes (arts. 2°, 60, § 4°, III, da CF) e da eficiência da administração pública (art. 37, caput, da CF).</w:t>
        <w:br/>
        <w:t>[ADPF 616, rel. min. Roberto Barroso, j. 21-5-2021, P, DJE 21-6-2021.] Verbas estaduais não podem ser objeto</w:t>
      </w:r>
    </w:p>
    <w:p>
      <w:pPr>
        <w:ind w:left="288"/>
      </w:pPr>
      <w:r>
        <w:rPr>
          <w:b/>
          <w:color w:val="003CA0"/>
          <w:sz w:val="16"/>
        </w:rPr>
        <w:t>[ADPF 485, rel. min. Roberto Barroso, j. 7-12-2020, P, DJE de 4-2-2021.]</w:t>
      </w:r>
    </w:p>
    <w:p>
      <w:pPr>
        <w:ind w:left="288"/>
      </w:pPr>
      <w:r>
        <w:rPr>
          <w:color w:val="8C8C8C"/>
          <w:sz w:val="12"/>
        </w:rPr>
        <w:t>cf-art-167-inc-VI</w:t>
      </w:r>
      <w:r>
        <w:rPr>
          <w:color w:val="003CA0"/>
          <w:sz w:val="12"/>
        </w:rPr>
        <w:t xml:space="preserve"> | ADPF 484</w:t>
      </w:r>
      <w:r>
        <w:rPr>
          <w:color w:val="003CA0"/>
          <w:sz w:val="12"/>
        </w:rPr>
        <w:t xml:space="preserve"> | rel. Luiz Fux</w:t>
      </w:r>
    </w:p>
    <w:p>
      <w:pPr>
        <w:ind w:left="288"/>
      </w:pPr>
      <w:r>
        <w:rPr>
          <w:color w:val="1E1E1E"/>
          <w:sz w:val="18"/>
        </w:rPr>
        <w:t>O artigo 167, VI, da Constituição proíbe a transposição, o remanejamento ou a transferência de recursos de uma categoria de programação para outra ou de um órgão para outro, sem prévia autorização legislativa, mandamento esse que também vincula o Judiciário. Isso porque as regras sobre aprovação e gestão orçamentárias consagram mecanismos de freios e contrapesos essenciais ao regular funcionamento das instituições republicanas e democráticas e à concretização do princípio da separação dos poderes.</w:t>
        <w:br/>
        <w:t>[ADPF 484, rel. min. Luiz Fux, j. 4-6-2020, P, DJE de 10-11-2020.] As reiteradas decisões do Trib</w:t>
      </w:r>
    </w:p>
    <w:p>
      <w:pPr>
        <w:ind w:left="288"/>
      </w:pPr>
      <w:r>
        <w:rPr>
          <w:b/>
          <w:color w:val="003CA0"/>
          <w:sz w:val="16"/>
        </w:rPr>
        <w:t>[ADPF 405 MC, rel. min. Rosa Weber, j. 14-6-2017, P, DJE de 5-2-2018.]</w:t>
      </w:r>
    </w:p>
    <w:p>
      <w:pPr>
        <w:ind w:left="288"/>
      </w:pPr>
      <w:r>
        <w:rPr>
          <w:color w:val="8C8C8C"/>
          <w:sz w:val="12"/>
        </w:rPr>
        <w:t>cf-art-167-inc-VI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52, § 2º: alegação de ofensa ao art. 167 da CF: improcedência. Não há vinculação de receita, mas apenas distribuição dos superávit orçamentário aos poderes e ao Ministério Público: improcedência. (...)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w:t>
      </w:r>
    </w:p>
    <w:p>
      <w:pPr>
        <w:ind w:left="288"/>
      </w:pPr>
      <w:r>
        <w:rPr>
          <w:b/>
          <w:color w:val="003CA0"/>
          <w:sz w:val="16"/>
        </w:rPr>
        <w:t>[ADI 3.652, rel. min. Sepúlveda Pertence, j. 19-12-2006, P, DJ de 16-3-2007.]</w:t>
      </w:r>
    </w:p>
    <w:p>
      <w:pPr>
        <w:ind w:left="288"/>
      </w:pPr>
      <w:r>
        <w:rPr>
          <w:color w:val="8C8C8C"/>
          <w:sz w:val="12"/>
        </w:rPr>
        <w:t>cf-art-167-inc-VI</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w:t>
      </w:r>
    </w:p>
    <w:p>
      <w:pPr>
        <w:ind w:left="288"/>
      </w:pPr>
      <w:r>
        <w:rPr>
          <w:b/>
          <w:color w:val="003CA0"/>
          <w:sz w:val="16"/>
        </w:rPr>
        <w:t>[ADI 3.401, rel. min. Gilmar Mendes, j. 26-4-2006, P, DJ de 23-2-2007.]</w:t>
      </w:r>
    </w:p>
    <w:p>
      <w:pPr>
        <w:ind w:left="288"/>
      </w:pPr>
      <w:r>
        <w:rPr>
          <w:color w:val="8C8C8C"/>
          <w:sz w:val="12"/>
        </w:rPr>
        <w:t>cf-art-167-inc-VII</w:t>
      </w:r>
    </w:p>
    <w:p>
      <w:pPr>
        <w:ind w:left="288"/>
      </w:pPr>
      <w:r>
        <w:rPr>
          <w:color w:val="1E1E1E"/>
          <w:sz w:val="18"/>
        </w:rPr>
        <w:t>VIII - a utilização, sem autorização legislativa específica, de recursos dos orçamentos fiscal e da seguridade social para suprir necessidade ou cobrir déficit de empresas, fundações e fundos, inclusive dos mencionados no art. 165, § 5º;</w:t>
      </w:r>
    </w:p>
    <w:p>
      <w:pPr>
        <w:ind w:left="288"/>
      </w:pPr>
      <w:r>
        <w:rPr>
          <w:color w:val="8C8C8C"/>
          <w:sz w:val="12"/>
        </w:rPr>
        <w:t>cf-art-167-inc-IX</w:t>
      </w:r>
    </w:p>
    <w:p>
      <w:pPr>
        <w:ind w:left="288"/>
      </w:pPr>
      <w:r>
        <w:rPr>
          <w:color w:val="1E1E1E"/>
          <w:sz w:val="18"/>
        </w:rPr>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 (Incluído pela EC 19/1998)</w:t>
      </w:r>
    </w:p>
    <w:p>
      <w:pPr>
        <w:ind w:left="288"/>
      </w:pPr>
      <w:r>
        <w:rPr>
          <w:color w:val="8C8C8C"/>
          <w:sz w:val="12"/>
        </w:rPr>
        <w:t>cf-art-167-inc-IX</w:t>
      </w:r>
      <w:r>
        <w:rPr>
          <w:color w:val="003CA0"/>
          <w:sz w:val="12"/>
        </w:rPr>
        <w:t xml:space="preserve"> | ADI 5.683</w:t>
      </w:r>
      <w:r>
        <w:rPr>
          <w:color w:val="003CA0"/>
          <w:sz w:val="12"/>
        </w:rPr>
        <w:t xml:space="preserve"> | rel. Roberto Barroso</w:t>
      </w:r>
    </w:p>
    <w:p>
      <w:pPr>
        <w:ind w:left="288"/>
      </w:pPr>
      <w:r>
        <w:rPr>
          <w:color w:val="1E1E1E"/>
          <w:sz w:val="18"/>
        </w:rPr>
        <w:t>A Constituição Federal, em seu art. 167, X, veda a concessão de empréstimos por instituições financeiras estatais para o pagamento de despesas com pessoal ativo, inativo e pensionista. Impede-se, portanto, a alocação dessas receitas para o custeio de pessoal ativo e inativo. Não há na regra uma vedação absoluta à contratação de empréstimos junto a instituições financeiras estatais. A vedação estabelecida no art. 167, X, da CF diz respeito apenas a instituições financeiras estatais. A proibição não alcança as contratações realizadas com instituições financeiras privadas.</w:t>
      </w:r>
    </w:p>
    <w:p>
      <w:pPr>
        <w:ind w:left="288"/>
      </w:pPr>
      <w:r>
        <w:rPr>
          <w:b/>
          <w:color w:val="003CA0"/>
          <w:sz w:val="16"/>
        </w:rPr>
        <w:t>[ADI 5.683, rel. min. Roberto Barroso, j. 22-4-2022, P, DJE de 19-5-2022.]</w:t>
      </w:r>
    </w:p>
    <w:p>
      <w:pPr>
        <w:ind w:left="288"/>
      </w:pPr>
      <w:r>
        <w:rPr>
          <w:color w:val="8C8C8C"/>
          <w:sz w:val="12"/>
        </w:rPr>
        <w:t>cf-art-167-inc-IX</w:t>
      </w:r>
      <w:r>
        <w:rPr>
          <w:color w:val="003CA0"/>
          <w:sz w:val="12"/>
        </w:rPr>
        <w:t xml:space="preserve"> | ADPF 485</w:t>
      </w:r>
      <w:r>
        <w:rPr>
          <w:color w:val="003CA0"/>
          <w:sz w:val="12"/>
        </w:rPr>
        <w:t xml:space="preserve"> | rel. Roberto Barroso</w:t>
      </w:r>
    </w:p>
    <w:p>
      <w:pPr>
        <w:ind w:left="288"/>
      </w:pPr>
      <w:r>
        <w:rPr>
          <w:color w:val="1E1E1E"/>
          <w:sz w:val="18"/>
        </w:rPr>
        <w:t>Verbas estaduais não podem ser objeto de bloqueio, penhora e/ou sequestro para pagamento de valores devidos em ações trabalhistas, ainda que as empresas reclamadas detenham créditos a receber da administração pública estadual, em virtude do disposto no art. 167, VI e X, da CF, e do princípio da separação de poderes (art. 2º da CF).</w:t>
      </w:r>
    </w:p>
    <w:p>
      <w:pPr>
        <w:ind w:left="288"/>
      </w:pPr>
      <w:r>
        <w:rPr>
          <w:b/>
          <w:color w:val="003CA0"/>
          <w:sz w:val="16"/>
        </w:rPr>
        <w:t>[ADPF 485, rel. min. Roberto Barroso, j. 7-12-2020, P, DJE de 4-2-2021.]</w:t>
      </w:r>
    </w:p>
    <w:p>
      <w:pPr>
        <w:ind w:left="288"/>
      </w:pPr>
      <w:r>
        <w:rPr>
          <w:color w:val="8C8C8C"/>
          <w:sz w:val="12"/>
        </w:rPr>
        <w:t>cf-art-167-inc-IX</w:t>
      </w:r>
      <w:r>
        <w:rPr>
          <w:color w:val="003CA0"/>
          <w:sz w:val="12"/>
        </w:rPr>
        <w:t xml:space="preserve"> | ADPF 405</w:t>
      </w:r>
      <w:r>
        <w:rPr>
          <w:color w:val="003CA0"/>
          <w:sz w:val="12"/>
        </w:rPr>
        <w:t xml:space="preserve"> | rel. Rosa Weber</w:t>
      </w:r>
    </w:p>
    <w:p>
      <w:pPr>
        <w:ind w:left="288"/>
      </w:pPr>
      <w:r>
        <w:rPr>
          <w:color w:val="1E1E1E"/>
          <w:sz w:val="18"/>
        </w:rPr>
        <w:t>As reiteradas decisões do Tribunal de Justiça do Estado do Rio de Janeiro e do TRT 1ª Região que resultaram em bloqueio, arresto, penhora, sequestro e liberação de valores administrados pelo Poder Executivo do Estado do Rio de Janeiro para atender demandas relativas a pagamento de salário de servidores ativos e inativos, satisfação imediata de créditos de prestadores de serviços e tutelas provisórias definidoras de prioridades na aplicação de recursos públicos traduzem, em seu conjunto, ato do poder público passível de controle pela via da arguição de descumprimento de preceito fundamental (..</w:t>
      </w:r>
    </w:p>
    <w:p>
      <w:pPr>
        <w:ind w:left="288"/>
      </w:pPr>
      <w:r>
        <w:rPr>
          <w:color w:val="8C8C8C"/>
          <w:sz w:val="12"/>
        </w:rPr>
        <w:t>cf-art-167-par-1</w:t>
      </w:r>
    </w:p>
    <w:p>
      <w:pPr>
        <w:ind w:left="288"/>
      </w:pPr>
      <w:r>
        <w:rPr>
          <w:color w:val="1E1E1E"/>
          <w:sz w:val="18"/>
        </w:rPr>
        <w:t>§ 2º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subsequente.</w:t>
      </w:r>
    </w:p>
    <w:p>
      <w:pPr>
        <w:ind w:left="288"/>
      </w:pPr>
      <w:r>
        <w:rPr>
          <w:color w:val="8C8C8C"/>
          <w:sz w:val="12"/>
        </w:rPr>
        <w:t>cf-art-167-par-1</w:t>
      </w:r>
      <w:r>
        <w:rPr>
          <w:color w:val="003CA0"/>
          <w:sz w:val="12"/>
        </w:rPr>
        <w:t xml:space="preserve"> | ADI 4.049</w:t>
      </w:r>
      <w:r>
        <w:rPr>
          <w:color w:val="003CA0"/>
          <w:sz w:val="12"/>
        </w:rPr>
        <w:t xml:space="preserve"> | rel. Ayres Britto</w:t>
      </w:r>
    </w:p>
    <w:p>
      <w:pPr>
        <w:ind w:left="288"/>
      </w:pPr>
      <w:r>
        <w:rPr>
          <w:color w:val="1E1E1E"/>
          <w:sz w:val="18"/>
        </w:rPr>
        <w:t>Medida provisória que abre crédito extraordinário não se exaure no ato de sua primeira aplicação. Ela somente se exaure ao final do exercício financeiro para o qual foi aberto o crédito extraordinário nela referido. Hipótese em que a abertura do crédito se deu nos últimos quatro meses do exercício, projetando-se, nos limites de seus saldos, para o orçamento do exercício financeiro subsequente (§ 2º do art. 167 da CF).</w:t>
      </w:r>
    </w:p>
    <w:p>
      <w:pPr>
        <w:ind w:left="288"/>
      </w:pPr>
      <w:r>
        <w:rPr>
          <w:b/>
          <w:color w:val="003CA0"/>
          <w:sz w:val="16"/>
        </w:rPr>
        <w:t>[ADI 4.049 MC, rel. min. Ayres Britto, j. 5-11-2008, P, DJE de 8-5-2009.]</w:t>
      </w:r>
    </w:p>
    <w:p>
      <w:pPr>
        <w:ind w:left="288"/>
      </w:pPr>
      <w:r>
        <w:rPr>
          <w:color w:val="8C8C8C"/>
          <w:sz w:val="12"/>
        </w:rPr>
        <w:t>cf-art-167-par-3</w:t>
      </w:r>
      <w:r>
        <w:rPr>
          <w:color w:val="003CA0"/>
          <w:sz w:val="12"/>
        </w:rPr>
        <w:t xml:space="preserve"> | ADI 4.048</w:t>
      </w:r>
      <w:r>
        <w:rPr>
          <w:color w:val="003CA0"/>
          <w:sz w:val="12"/>
        </w:rPr>
        <w:t xml:space="preserve"> | rel. Gilmar Mendes</w:t>
      </w:r>
    </w:p>
    <w:p>
      <w:pPr>
        <w:ind w:left="288"/>
      </w:pPr>
      <w:r>
        <w:rPr>
          <w:color w:val="1E1E1E"/>
          <w:sz w:val="18"/>
        </w:rPr>
        <w:t>Limites constitucionais à atividade legislativa excepcional do Poder Executivo na edição de medidas provisórias para abertura de crédito extraordinário. Interpretação do art. 167, § 3º, c/c o art. 62, § 1º,  I, d, da Constituição. Além dos requisitos de relevância e urgência (art. 62), a Constituição exige que a abertura do crédito extraordinário seja feita apenas para atender a despesas imprevisíveis e urgentes. Ao contrário do que ocorre em relação aos requisitos de relevância e urgência (art. 62), que se submetem a uma ampla margem de discricionariedade por parte do presidente da República,</w:t>
      </w:r>
    </w:p>
    <w:p>
      <w:pPr>
        <w:ind w:left="288"/>
      </w:pPr>
      <w:r>
        <w:rPr>
          <w:b/>
          <w:color w:val="003CA0"/>
          <w:sz w:val="16"/>
        </w:rPr>
        <w:t>[ADI 4.048 MC, rel. min. Gilmar Mendes, j. 14-5-2008, P, DJE de 22-8-2008.]</w:t>
      </w:r>
    </w:p>
    <w:p>
      <w:pPr>
        <w:ind w:left="288"/>
      </w:pPr>
      <w:r>
        <w:rPr>
          <w:color w:val="8C8C8C"/>
          <w:sz w:val="12"/>
        </w:rPr>
        <w:t>cf-art-167-par-3</w:t>
      </w:r>
      <w:r>
        <w:rPr>
          <w:color w:val="003CA0"/>
          <w:sz w:val="12"/>
        </w:rPr>
        <w:t xml:space="preserve"> | ADI 4.049</w:t>
      </w:r>
      <w:r>
        <w:rPr>
          <w:color w:val="003CA0"/>
          <w:sz w:val="12"/>
        </w:rPr>
        <w:t xml:space="preserve"> | rel. Ayres Britto</w:t>
      </w:r>
    </w:p>
    <w:p>
      <w:pPr>
        <w:ind w:left="288"/>
      </w:pPr>
      <w:r>
        <w:rPr>
          <w:color w:val="1E1E1E"/>
          <w:sz w:val="18"/>
        </w:rPr>
        <w:t>= ADI 4.049 MC, rel. min. Ayres Britto, j. 5-11-2008, P, DJE de 8-5-2009 § 4º É permitida a vinculação das receitas a que se referem os arts. 155, 156, 156-A, 157, 158 e as alíneas a, b, d, e e f do inciso I e o inciso II do caput do art. 159 desta Constituição para pagamento de débitos com a União e para prestar-lhe garantia ou contragarantia. (Redação dada pela EC n. 132/2023)</w:t>
      </w:r>
    </w:p>
    <w:p>
      <w:r>
        <w:rPr>
          <w:b/>
          <w:color w:val="003366"/>
          <w:sz w:val="20"/>
        </w:rPr>
        <w:t>Art. 167 C. Com o propósito exclusivo de enfrentamento da calamidade pública e d</w:t>
      </w:r>
      <w:r>
        <w:rPr>
          <w:color w:val="8C8C8C"/>
          <w:sz w:val="14"/>
        </w:rPr>
        <w:t xml:space="preserve">  [38 decisoes]</w:t>
      </w:r>
    </w:p>
    <w:p>
      <w:pPr>
        <w:ind w:left="144"/>
      </w:pPr>
      <w:r>
        <w:rPr>
          <w:b/>
          <w:color w:val="B45A00"/>
          <w:sz w:val="16"/>
        </w:rPr>
        <w:t>JULGADOS CORRELATOS</w:t>
      </w:r>
    </w:p>
    <w:p>
      <w:pPr>
        <w:ind w:left="288"/>
      </w:pPr>
      <w:r>
        <w:rPr>
          <w:color w:val="8C8C8C"/>
          <w:sz w:val="12"/>
        </w:rPr>
        <w:t>cf-art-167-inc-I</w:t>
      </w:r>
      <w:r>
        <w:rPr>
          <w:color w:val="003CA0"/>
          <w:sz w:val="12"/>
        </w:rPr>
        <w:t xml:space="preserve"> | PET 2.836</w:t>
      </w:r>
      <w:r>
        <w:rPr>
          <w:color w:val="003CA0"/>
          <w:sz w:val="12"/>
        </w:rPr>
        <w:t xml:space="preserve"> | rel. Carlos Velloso</w:t>
      </w:r>
    </w:p>
    <w:p>
      <w:pPr>
        <w:ind w:left="288"/>
      </w:pPr>
      <w:r>
        <w:rPr>
          <w:color w:val="1E1E1E"/>
          <w:sz w:val="18"/>
        </w:rPr>
        <w:t>Determinação judicial de construção de creches pelo Município. Despesas públicas: necessidade de autorização orçamentária: CF, art. 167. Fumus boni juris e periculum in mora ocorrentes. Concessão de efeito suspensivo ao recurso extraordinário diante da possibilidade de ocorrência de graves prejuízos aos cofres públicos municipais.</w:t>
      </w:r>
    </w:p>
    <w:p>
      <w:pPr>
        <w:ind w:left="288"/>
      </w:pPr>
      <w:r>
        <w:rPr>
          <w:b/>
          <w:color w:val="003CA0"/>
          <w:sz w:val="16"/>
        </w:rPr>
        <w:t>[Pet 2.836 QO, rel. min. Carlos Velloso, j. 11-2-2003, 2ª T, DJ de 14-3-2003.]</w:t>
      </w:r>
    </w:p>
    <w:p>
      <w:pPr>
        <w:ind w:left="144"/>
      </w:pPr>
      <w:r>
        <w:rPr>
          <w:b/>
          <w:color w:val="B45A00"/>
          <w:sz w:val="16"/>
        </w:rPr>
        <w:t>CONTROLE CONCENTRADO</w:t>
      </w:r>
    </w:p>
    <w:p>
      <w:pPr>
        <w:ind w:left="288"/>
      </w:pPr>
      <w:r>
        <w:rPr>
          <w:color w:val="8C8C8C"/>
          <w:sz w:val="12"/>
        </w:rPr>
        <w:t>cf-art-167-inc-II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56, parágrafo único: procedência, em parte, para atribuir interpretação conforme à expressão "abertura de novos elementos de despesa".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Constituição, que veda "a realização de despesas ou a assunção de ob</w:t>
      </w:r>
    </w:p>
    <w:p>
      <w:pPr>
        <w:ind w:left="288"/>
      </w:pPr>
      <w:r>
        <w:rPr>
          <w:b/>
          <w:color w:val="003CA0"/>
          <w:sz w:val="16"/>
        </w:rPr>
        <w:t>[ADI 3.652, rel. min. Sepúlveda Pertence, j. 19-12-2006, P, DJ de 16-3-2007.]</w:t>
      </w:r>
    </w:p>
    <w:p>
      <w:pPr>
        <w:ind w:left="288"/>
      </w:pPr>
      <w:r>
        <w:rPr>
          <w:color w:val="8C8C8C"/>
          <w:sz w:val="12"/>
        </w:rPr>
        <w:t>cf-art-167-inc-II</w:t>
      </w:r>
      <w:r>
        <w:rPr>
          <w:color w:val="003CA0"/>
          <w:sz w:val="12"/>
        </w:rPr>
        <w:t xml:space="preserve"> | ADI 352</w:t>
      </w:r>
      <w:r>
        <w:rPr>
          <w:color w:val="003CA0"/>
          <w:sz w:val="12"/>
        </w:rPr>
        <w:t xml:space="preserve"> | rel. Celso de Mello</w:t>
      </w:r>
    </w:p>
    <w:p>
      <w:pPr>
        <w:ind w:left="288"/>
      </w:pPr>
      <w:r>
        <w:rPr>
          <w:color w:val="1E1E1E"/>
          <w:sz w:val="18"/>
        </w:rPr>
        <w:t>Reveste-se de plausibilidade jurídica, no entanto, a tese, sustentada em ação direta, de que o legislador estadual, condicionado em sua ação normativa por princípios superiores enunciados na CF, não pode, ao fixar a despesa pública, autorizar gastos que excedam os créditos orçamentários ou adicionais, ou omitir-lhes a correspondente fonte de custeio, com a necessária indicação dos recursos existentes.</w:t>
      </w:r>
    </w:p>
    <w:p>
      <w:pPr>
        <w:ind w:left="288"/>
      </w:pPr>
      <w:r>
        <w:rPr>
          <w:b/>
          <w:color w:val="003CA0"/>
          <w:sz w:val="16"/>
        </w:rPr>
        <w:t>[ADI 352 MC, rel. min. Celso de Mello, j. 29-8-1990, P, DJ de 8-3-1991.]</w:t>
      </w:r>
    </w:p>
    <w:p>
      <w:pPr>
        <w:ind w:left="144"/>
      </w:pPr>
      <w:r>
        <w:rPr>
          <w:b/>
          <w:color w:val="B45A00"/>
          <w:sz w:val="16"/>
        </w:rPr>
        <w:t>JULGADOS CORRELATOS</w:t>
      </w:r>
    </w:p>
    <w:p>
      <w:pPr>
        <w:ind w:left="288"/>
      </w:pPr>
      <w:r>
        <w:rPr>
          <w:color w:val="8C8C8C"/>
          <w:sz w:val="12"/>
        </w:rPr>
        <w:t>cf-art-167-inc-II</w:t>
      </w:r>
      <w:r>
        <w:rPr>
          <w:color w:val="003CA0"/>
          <w:sz w:val="12"/>
        </w:rPr>
        <w:t xml:space="preserve"> | ACO 3.414</w:t>
      </w:r>
      <w:r>
        <w:rPr>
          <w:color w:val="003CA0"/>
          <w:sz w:val="12"/>
        </w:rPr>
        <w:t xml:space="preserve"> | rel. Gilmar Mendes</w:t>
      </w:r>
    </w:p>
    <w:p>
      <w:pPr>
        <w:ind w:left="288"/>
      </w:pPr>
      <w:r>
        <w:rPr>
          <w:color w:val="1E1E1E"/>
          <w:sz w:val="18"/>
        </w:rPr>
        <w:t>Uso de recursos do FCDF para o pagamento de despesas do exercício anterior ao do orçamento vigente. Impossibilidade. Ofensa aos arts. 165, III, XIV, c/c art. 167, II, ambos da CF e ao princípio da anualidade orçamentária (...).</w:t>
      </w:r>
    </w:p>
    <w:p>
      <w:pPr>
        <w:ind w:left="288"/>
      </w:pPr>
      <w:r>
        <w:rPr>
          <w:b/>
          <w:color w:val="003CA0"/>
          <w:sz w:val="16"/>
        </w:rPr>
        <w:t>[ACO 3.414 AgR, rel. min. Gilmar Mendes, j. 18-12-2021, P, DJE de 15-2-2022.]</w:t>
      </w:r>
    </w:p>
    <w:p>
      <w:pPr>
        <w:ind w:left="288"/>
      </w:pPr>
      <w:r>
        <w:rPr>
          <w:color w:val="8C8C8C"/>
          <w:sz w:val="12"/>
        </w:rPr>
        <w:t>cf-art-167-inc-II</w:t>
      </w:r>
    </w:p>
    <w:p>
      <w:pPr>
        <w:ind w:left="288"/>
      </w:pPr>
      <w:r>
        <w:rPr>
          <w:color w:val="1E1E1E"/>
          <w:sz w:val="18"/>
        </w:rPr>
        <w:t>III - a realização de operações de créditos que excedam o montante das despesas de capital, ressalvadas as autorizadas mediante créditos suplementares ou especiais com finalidade precisa, aprovados pelo Poder Legislativo por maioria absoluta;</w:t>
      </w:r>
    </w:p>
    <w:p>
      <w:pPr>
        <w:ind w:left="144"/>
      </w:pPr>
      <w:r>
        <w:rPr>
          <w:b/>
          <w:color w:val="B45A00"/>
          <w:sz w:val="16"/>
        </w:rPr>
        <w:t>CONTROLE CONCENTRADO</w:t>
      </w:r>
    </w:p>
    <w:p>
      <w:pPr>
        <w:ind w:left="288"/>
      </w:pPr>
      <w:r>
        <w:rPr>
          <w:color w:val="8C8C8C"/>
          <w:sz w:val="12"/>
        </w:rPr>
        <w:t>cf-art-167-inc-II</w:t>
      </w:r>
      <w:r>
        <w:rPr>
          <w:color w:val="003CA0"/>
          <w:sz w:val="12"/>
        </w:rPr>
        <w:t xml:space="preserve"> | ADI 6.660</w:t>
      </w:r>
      <w:r>
        <w:rPr>
          <w:color w:val="003CA0"/>
          <w:sz w:val="12"/>
        </w:rPr>
        <w:t xml:space="preserve"> | rel. Rosa Weber</w:t>
      </w:r>
    </w:p>
    <w:p>
      <w:pPr>
        <w:ind w:left="288"/>
      </w:pPr>
      <w:r>
        <w:rPr>
          <w:color w:val="1E1E1E"/>
          <w:sz w:val="18"/>
        </w:rPr>
        <w:t>Lei 12.305, de 18 de dezembro de 2002, do Estado de Pernambuco, alterada pela lei 12.337/2003, que dispõe sobre os depósitos judiciais e extrajudiciais à disposição do Poder Judiciário Estadual ou da Secretaria da Fazenda. (...) Criação, pela lei estadual impugnada, de um endividamento inconstitucional afastado das hipóteses de dívida pública albergadas pela Carta Magna – violação do artigo 167, III.</w:t>
      </w:r>
    </w:p>
    <w:p>
      <w:pPr>
        <w:ind w:left="288"/>
      </w:pPr>
      <w:r>
        <w:rPr>
          <w:b/>
          <w:color w:val="003CA0"/>
          <w:sz w:val="16"/>
        </w:rPr>
        <w:t>[ADI 6.660, rel. min. Rosa Weber, j. 21-6-2022, P, DJE de 29-6-2022.]</w:t>
      </w:r>
    </w:p>
    <w:p>
      <w:pPr>
        <w:ind w:left="288"/>
      </w:pPr>
      <w:r>
        <w:rPr>
          <w:color w:val="8C8C8C"/>
          <w:sz w:val="12"/>
        </w:rPr>
        <w:t>cf-art-167-inc-II</w:t>
      </w:r>
      <w:r>
        <w:rPr>
          <w:color w:val="003CA0"/>
          <w:sz w:val="12"/>
        </w:rPr>
        <w:t xml:space="preserve"> | ADI 5.683</w:t>
      </w:r>
      <w:r>
        <w:rPr>
          <w:color w:val="003CA0"/>
          <w:sz w:val="12"/>
        </w:rPr>
        <w:t xml:space="preserve"> | rel. Roberto Barroso</w:t>
      </w:r>
    </w:p>
    <w:p>
      <w:pPr>
        <w:ind w:left="288"/>
      </w:pPr>
      <w:r>
        <w:rPr>
          <w:color w:val="1E1E1E"/>
          <w:sz w:val="18"/>
        </w:rPr>
        <w:t>A vedação do art. 167, III, da CF não impede a contratação de operações de crédito para o custeio de despesas correntes. Proíbe-se, somente, a contratação que exceda o montante das despesas de capital. Aliás, a mera autorização legislativa não afronta essa regra constitucional, mas apenas a contratação em si, se não respeitar os limites estabelecidos.</w:t>
      </w:r>
    </w:p>
    <w:p>
      <w:pPr>
        <w:ind w:left="288"/>
      </w:pPr>
      <w:r>
        <w:rPr>
          <w:b/>
          <w:color w:val="003CA0"/>
          <w:sz w:val="16"/>
        </w:rPr>
        <w:t>[ADI 5.683, rel. min. Roberto Barroso, j. 22-4-2022, P, DJE de 19-5-2022.]</w:t>
      </w:r>
    </w:p>
    <w:p>
      <w:pPr>
        <w:ind w:left="288"/>
      </w:pPr>
      <w:r>
        <w:rPr>
          <w:color w:val="8C8C8C"/>
          <w:sz w:val="12"/>
        </w:rPr>
        <w:t>cf-art-167-inc-II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Ao prever limite textualmente diverso da regra do art. 167, III, da CF, o art. 12, § 2º, da LRF enseja interpretações distorcidas do teto a ser aplicado às receitas decorrentes de operações de crédito, pelo que a ação deve ser parcialmente provida, nesse ponto, para dar interpretação conforme ao dispositivo para o fim de explicitar que a proibição não abrange operações de crédito autorizadas mediante créditos suplementares ou especiais com finalidade precisa, aprovados pelo Poder Legisl</w:t>
      </w:r>
    </w:p>
    <w:p>
      <w:pPr>
        <w:ind w:left="288"/>
      </w:pPr>
      <w:r>
        <w:rPr>
          <w:b/>
          <w:color w:val="003CA0"/>
          <w:sz w:val="16"/>
        </w:rPr>
        <w:t>[ADI 2.238, rel. min. Alexandre de Moraes, j. 24-6-2020, P, DJE de 15-9-2020.]</w:t>
      </w:r>
    </w:p>
    <w:p>
      <w:pPr>
        <w:ind w:left="288"/>
      </w:pPr>
      <w:r>
        <w:rPr>
          <w:color w:val="8C8C8C"/>
          <w:sz w:val="12"/>
        </w:rPr>
        <w:t>cf-art-167-inc-II</w:t>
      </w:r>
      <w:r>
        <w:rPr>
          <w:color w:val="003CA0"/>
          <w:sz w:val="12"/>
        </w:rPr>
        <w:t xml:space="preserve"> | ADI 3.516</w:t>
      </w:r>
      <w:r>
        <w:rPr>
          <w:color w:val="003CA0"/>
          <w:sz w:val="12"/>
        </w:rPr>
        <w:t xml:space="preserve"> | rel. Edson Fachin</w:t>
      </w:r>
    </w:p>
    <w:p>
      <w:pPr>
        <w:ind w:left="288"/>
      </w:pPr>
      <w:r>
        <w:rPr>
          <w:color w:val="1E1E1E"/>
          <w:sz w:val="18"/>
        </w:rP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 (Redação da EC 42/2003) A ressal</w:t>
      </w:r>
    </w:p>
    <w:p>
      <w:pPr>
        <w:ind w:left="288"/>
      </w:pPr>
      <w:r>
        <w:rPr>
          <w:b/>
          <w:color w:val="003CA0"/>
          <w:sz w:val="16"/>
        </w:rPr>
        <w:t>[ADI 3.516, rel. min. Edson Fachin, j. 16.12.2024, P, DJE de 06.02.2025.]</w:t>
      </w:r>
    </w:p>
    <w:p>
      <w:pPr>
        <w:ind w:left="288"/>
      </w:pPr>
      <w:r>
        <w:rPr>
          <w:color w:val="8C8C8C"/>
          <w:sz w:val="12"/>
        </w:rPr>
        <w:t>cf-art-167-inc-II</w:t>
      </w:r>
      <w:r>
        <w:rPr>
          <w:color w:val="003CA0"/>
          <w:sz w:val="12"/>
        </w:rPr>
        <w:t xml:space="preserve"> | ADI 5.635</w:t>
      </w:r>
      <w:r>
        <w:rPr>
          <w:color w:val="003CA0"/>
          <w:sz w:val="12"/>
        </w:rPr>
        <w:t xml:space="preserve"> | rel. Luís Roberto Barroso</w:t>
      </w:r>
    </w:p>
    <w:p>
      <w:pPr>
        <w:ind w:left="288"/>
      </w:pPr>
      <w:r>
        <w:rPr>
          <w:color w:val="1E1E1E"/>
          <w:sz w:val="18"/>
        </w:rPr>
        <w:t>“São constitucionais as Leis nºs 7.428/2016 e 8.645/2019, ambas do Estado do Rio de Janeiro, que instituíram o Fundo Estadual de Equilíbrio Fiscal – FEEF e, posteriormente, o Fundo Orçamentário Temporário – FOT, fundos atípicos cujas receitas não estão vinculadas a um programa governamental específico e detalhado”.</w:t>
        <w:br/>
        <w:t>[ADI 5.635, rel. min. Luís Roberto Barroso, j. 18-10-2023, P, DJE de 24-11-2023.] O Estado de Mato Grosso do Sul adotou sistema de rateio no qual os recursos destinados aos órgãos da área-meio são posteriormente atribuídos aos da área-fim, mediante transposição, remanejamento ou tra</w:t>
      </w:r>
    </w:p>
    <w:p>
      <w:pPr>
        <w:ind w:left="288"/>
      </w:pPr>
      <w:r>
        <w:rPr>
          <w:b/>
          <w:color w:val="003CA0"/>
          <w:sz w:val="16"/>
        </w:rPr>
        <w:t>[ADI 6.045, rel. min. Marco Aurélio, j. 22-6-2020, P, DJE de 17-7-2020.]</w:t>
      </w:r>
    </w:p>
    <w:p>
      <w:pPr>
        <w:ind w:left="288"/>
      </w:pPr>
      <w:r>
        <w:rPr>
          <w:color w:val="8C8C8C"/>
          <w:sz w:val="12"/>
        </w:rPr>
        <w:t>cf-art-167-inc-II</w:t>
      </w:r>
      <w:r>
        <w:rPr>
          <w:color w:val="003CA0"/>
          <w:sz w:val="12"/>
        </w:rPr>
        <w:t xml:space="preserve"> | ADI 5.897</w:t>
      </w:r>
      <w:r>
        <w:rPr>
          <w:color w:val="003CA0"/>
          <w:sz w:val="12"/>
        </w:rPr>
        <w:t xml:space="preserve"> | rel. Luiz Fux</w:t>
      </w:r>
    </w:p>
    <w:p>
      <w:pPr>
        <w:ind w:left="288"/>
      </w:pPr>
      <w:r>
        <w:rPr>
          <w:color w:val="1E1E1E"/>
          <w:sz w:val="18"/>
        </w:rPr>
        <w:t>O artigo 167, IV, da Constituição Federal veda o estabelecimento de vinculação de receitas proveniente de impostos, quando não previstas ou autorizadas na Constituição Federal, porquanto cerceia o poder de gestão financeira do chefe do Poder Executivo e obsta o custeio das despesas urgentes, imprevistas ou extraordinárias, que se façam necessárias ao longo do exercício financeiro, tanto mais que deve dar-se aplicação aos recursos de receita pública consoante critérios de responsabilidade fiscal consentâneos com os anseios democráticos. (...) A vedação à vinculação da receita é norma que preser</w:t>
      </w:r>
    </w:p>
    <w:p>
      <w:pPr>
        <w:ind w:left="288"/>
      </w:pPr>
      <w:r>
        <w:rPr>
          <w:b/>
          <w:color w:val="003CA0"/>
          <w:sz w:val="16"/>
        </w:rPr>
        <w:t>[ADI 5.897, rel. min. Luiz Fux, j. 24-4-2019, P, DJE de 2-8-2019.]</w:t>
      </w:r>
    </w:p>
    <w:p>
      <w:pPr>
        <w:ind w:left="288"/>
      </w:pPr>
      <w:r>
        <w:rPr>
          <w:color w:val="8C8C8C"/>
          <w:sz w:val="12"/>
        </w:rPr>
        <w:t>cf-art-167-inc-II</w:t>
      </w:r>
      <w:r>
        <w:rPr>
          <w:color w:val="003CA0"/>
          <w:sz w:val="12"/>
        </w:rPr>
        <w:t xml:space="preserve"> | RE 226.855</w:t>
      </w:r>
      <w:r>
        <w:rPr>
          <w:color w:val="003CA0"/>
          <w:sz w:val="12"/>
        </w:rPr>
        <w:t xml:space="preserve"> | rel. Moreira Alves</w:t>
      </w:r>
    </w:p>
    <w:p>
      <w:pPr>
        <w:ind w:left="288"/>
      </w:pPr>
      <w:r>
        <w:rPr>
          <w:color w:val="1E1E1E"/>
          <w:sz w:val="18"/>
        </w:rPr>
        <w:t>(...) esta Suprema Corte considera constitucionais ambas as contribuições criadas pela LC 110/2001 (...). Os dois tributos tinham por objetivo custear os dispêndios da União decorrentes de decisão do STF, que considerou devido o reajuste dos saldos do FGTS (RE 226.855, rel. min. Moreira Alves, Pleno, DJ de 13-10-2000). As restrições previstas nos arts. 157, II, e 167, IV, da Constituição são aplicáveis aos impostos, e, no caso em exame, trata-se da espécie tributária contribuição, nitidamente caracterizada pela prévia escolha da destinação específica do produto arrecadado.</w:t>
      </w:r>
    </w:p>
    <w:p>
      <w:pPr>
        <w:ind w:left="288"/>
      </w:pPr>
      <w:r>
        <w:rPr>
          <w:b/>
          <w:color w:val="003CA0"/>
          <w:sz w:val="16"/>
        </w:rPr>
        <w:t>[ADI 2.556 e ADI 2.568, voto do rel. min. Joaquim Barbosa, j. 13-6-2012, P, DJE de 20-9-2012.]</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Ação direta de inconstitucionalidade contra o inciso V do § 3º do art. 120 da Constituição do Estado de Santa Catarina, com a redação dada pela EC 14, promulgada em 10 de novembro de 1997. Vinculação, por dotação orçamentária, de parte da receita corrente do Estado a programas de desenvolvimento da agricultura, pecuária e abastecimento. Inconstitucionalidade. Afronta à iniciativa privativa do chefe do Poder Executivo em tema de diretrizes orçamentárias. Precedentes. Violação ao art. 167, IV, da CF.</w:t>
      </w:r>
    </w:p>
    <w:p>
      <w:pPr>
        <w:ind w:left="288"/>
      </w:pPr>
      <w:r>
        <w:rPr>
          <w:b/>
          <w:color w:val="003CA0"/>
          <w:sz w:val="16"/>
        </w:rPr>
        <w:t>[ADI 1.759, rel. min. Gilmar Mendes, j. 14-4-2010, P, DJE de 20-8-2010.]</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Vide ADI 1.750, rel. min. Eros Grau, j. 20-9-2006, P, DJ de 13-10-2006 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3CA0"/>
          <w:sz w:val="16"/>
        </w:rPr>
        <w:t>[ADI 2.447, rel. min. Joaquim Barbosa, j. 4-3-2009, P, DJE de 4-12-2009.]</w:t>
      </w:r>
    </w:p>
    <w:p>
      <w:pPr>
        <w:ind w:left="288"/>
      </w:pPr>
      <w:r>
        <w:rPr>
          <w:color w:val="8C8C8C"/>
          <w:sz w:val="12"/>
        </w:rPr>
        <w:t>cf-art-167-inc-II</w:t>
      </w:r>
      <w:r>
        <w:rPr>
          <w:color w:val="003CA0"/>
          <w:sz w:val="12"/>
        </w:rPr>
        <w:t xml:space="preserve"> | ADI 2.529</w:t>
      </w:r>
      <w:r>
        <w:rPr>
          <w:color w:val="003CA0"/>
          <w:sz w:val="12"/>
        </w:rPr>
        <w:t xml:space="preserve"> | rel. Gilmar Mendes</w:t>
      </w:r>
    </w:p>
    <w:p>
      <w:pPr>
        <w:ind w:left="288"/>
      </w:pPr>
      <w:r>
        <w:rPr>
          <w:color w:val="1E1E1E"/>
          <w:sz w:val="18"/>
        </w:rPr>
        <w:t>Ação direta de inconstitucionalidade. Lei 13.133/2001 do Estado do Paraná, que instituiu o Programa de Incentivo à Cultura, vinculando parte da receita do ICMS ao Fundo Estadual de Cultura. Violação ao art. 167, IV, da CF.</w:t>
      </w:r>
    </w:p>
    <w:p>
      <w:pPr>
        <w:ind w:left="288"/>
      </w:pPr>
      <w:r>
        <w:rPr>
          <w:b/>
          <w:color w:val="003CA0"/>
          <w:sz w:val="16"/>
        </w:rPr>
        <w:t>[ADI 2.529, rel. min. Gilmar Mendes, j. 14-6-2007, P, DJ de 6-9-2007.]</w:t>
      </w:r>
    </w:p>
    <w:p>
      <w:pPr>
        <w:ind w:left="288"/>
      </w:pPr>
      <w:r>
        <w:rPr>
          <w:color w:val="8C8C8C"/>
          <w:sz w:val="12"/>
        </w:rPr>
        <w:t>cf-art-167-inc-II</w:t>
      </w:r>
      <w:r>
        <w:rPr>
          <w:color w:val="003CA0"/>
          <w:sz w:val="12"/>
        </w:rPr>
        <w:t xml:space="preserve"> | ADI 820</w:t>
      </w:r>
      <w:r>
        <w:rPr>
          <w:color w:val="003CA0"/>
          <w:sz w:val="12"/>
        </w:rPr>
        <w:t xml:space="preserve"> | rel. Eros Grau</w:t>
      </w:r>
    </w:p>
    <w:p>
      <w:pPr>
        <w:ind w:left="288"/>
      </w:pPr>
      <w:r>
        <w:rPr>
          <w:color w:val="1E1E1E"/>
          <w:sz w:val="18"/>
        </w:rPr>
        <w:t>Art. 202 da Constituição do Estado do Rio Grande do Sul. Lei estadual 9.723. Manutenção e desenvolvimento do ensino público. Aplicação mínima de 35% da receita resultante de impostos. Destinação de 10% desses recursos à manutenção e conservação das escolas públicas Estaduais. (...) A determinação de aplicação de parte dos recursos destinados à educação na "manutenção e conservação das escolas públicas estaduais" vinculou a receita de impostos a uma despesa específica – afronta ao disposto no art. 167, IV, da CF/1988.</w:t>
      </w:r>
    </w:p>
    <w:p>
      <w:pPr>
        <w:ind w:left="288"/>
      </w:pPr>
      <w:r>
        <w:rPr>
          <w:b/>
          <w:color w:val="003CA0"/>
          <w:sz w:val="16"/>
        </w:rPr>
        <w:t>[ADI 820, rel. min. Eros Grau, j. 15-3-2007, P, DJE de 29-2-2008.]</w:t>
      </w:r>
    </w:p>
    <w:p>
      <w:pPr>
        <w:ind w:left="288"/>
      </w:pPr>
      <w:r>
        <w:rPr>
          <w:color w:val="8C8C8C"/>
          <w:sz w:val="12"/>
        </w:rPr>
        <w:t>cf-art-167-inc-II</w:t>
      </w:r>
      <w:r>
        <w:rPr>
          <w:color w:val="003CA0"/>
          <w:sz w:val="12"/>
        </w:rPr>
        <w:t xml:space="preserve"> | ADI 584</w:t>
      </w:r>
      <w:r>
        <w:rPr>
          <w:color w:val="003CA0"/>
          <w:sz w:val="12"/>
        </w:rPr>
        <w:t xml:space="preserve"> | rel. Dias Toffoli</w:t>
      </w:r>
    </w:p>
    <w:p>
      <w:pPr>
        <w:ind w:left="288"/>
      </w:pPr>
      <w:r>
        <w:rPr>
          <w:color w:val="1E1E1E"/>
          <w:sz w:val="18"/>
        </w:rPr>
        <w:t xml:space="preserve">= ADI 584, rel. min. Dias Toffoli, j. 19-3-2014, P, DJE de 9-4-2014 Lei estadual 12.223, de 3-1-2005. Fundo Partilhado de Combate às Desigualdades Sociais e Regionais do Estado do Rio Grande do Sul. (...) As normas em estudo, ao possibilitarem o direcionamento, pelos contribuintes, do valor devido a título de ICMS para o chamado Fundo Partilhado de Combate às Desigualdades Sociais e Regionais do Estado do Rio Grande do Sul, compensando-se, em contrapartida, o valor despendido sob a forma de crédito fiscal presumido, criaram, na verdade, um mecanismo de redirecionamento da receita de ICMS para </w:t>
      </w:r>
    </w:p>
    <w:p>
      <w:pPr>
        <w:ind w:left="288"/>
      </w:pPr>
      <w:r>
        <w:rPr>
          <w:b/>
          <w:color w:val="003CA0"/>
          <w:sz w:val="16"/>
        </w:rPr>
        <w:t>[ADI 3.576, rel. min. Ellen Gracie, j. 22-11-2006, P, DJ de 2-2-2007.]</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88"/>
      </w:pPr>
      <w:r>
        <w:rPr>
          <w:b/>
          <w:color w:val="003CA0"/>
          <w:sz w:val="16"/>
        </w:rPr>
        <w:t>[ADI 1.750, rel. min. Eros Grau, j. 20-9-2006, P, DJ de 13-10-2006.]</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Vide ADI 1.759, rel. min. Gilmar Mendes, j. 14-04-2010, P, DJE de 20-8-2010 Preceito de lei estadual que destina 3% dos emolumentos cobrados pelas serventias extrajudiciais ao Fundo Especial para Instalação, Desenvolvimento e Aperfeiçoamento das Atividades dos Juizados Especiais Cíveis e Criminais do Estado do Mato Grosso do Sul não ofende o disposto no art. 167, IV, da CF.</w:t>
      </w:r>
    </w:p>
    <w:p>
      <w:pPr>
        <w:ind w:left="288"/>
      </w:pPr>
      <w:r>
        <w:rPr>
          <w:b/>
          <w:color w:val="003CA0"/>
          <w:sz w:val="16"/>
        </w:rPr>
        <w:t>[ADI 2.129, rel. min. Eros Grau, j. 26-4-2006, P, DJ de 16-6-2006.]</w:t>
      </w:r>
    </w:p>
    <w:p>
      <w:pPr>
        <w:ind w:left="288"/>
      </w:pPr>
      <w:r>
        <w:rPr>
          <w:color w:val="8C8C8C"/>
          <w:sz w:val="12"/>
        </w:rPr>
        <w:t>cf-art-167-inc-II</w:t>
      </w:r>
      <w:r>
        <w:rPr>
          <w:color w:val="003CA0"/>
          <w:sz w:val="12"/>
        </w:rPr>
        <w:t xml:space="preserve"> | ADI 2.059</w:t>
      </w:r>
      <w:r>
        <w:rPr>
          <w:color w:val="003CA0"/>
          <w:sz w:val="12"/>
        </w:rPr>
        <w:t xml:space="preserve"> | rel. Eros Grau</w:t>
      </w:r>
    </w:p>
    <w:p>
      <w:pPr>
        <w:ind w:left="288"/>
      </w:pPr>
      <w:r>
        <w:rPr>
          <w:color w:val="1E1E1E"/>
          <w:sz w:val="18"/>
        </w:rPr>
        <w:t>= ADI 2.059, rel. min. Eros Grau, j. 26-4-2006, P, DJ de 9-6-2006 Observe-se, ainda, que o art. 7º da lei estadual impugnada determinou que, do valor do crédito fiscal previsto no seu art. 3º, 40% deverá ser recolhido para apoiar os produtores e 10% para a pesquisa do algodão. Tem-se aqui inequívoca afronta ao disposto no art. 167, IV, da CF, que veda a vinculação de receita de impostos a órgão, fundo ou despesas. Ressalte-se que esta Corte houve por bem declarar a inconstitucionalidade de lei paulista que destinou 1% do ICMS ao fornecimento de programas habitacionais, por afronta ao dispositi</w:t>
      </w:r>
    </w:p>
    <w:p>
      <w:pPr>
        <w:ind w:left="288"/>
      </w:pPr>
      <w:r>
        <w:rPr>
          <w:b/>
          <w:color w:val="003CA0"/>
          <w:sz w:val="16"/>
        </w:rPr>
        <w:t>[ADI 2.722, voto do rel. min. Gilmar Mendes, j. 15-9-2005, P, DJ de 19-12-2006.]</w:t>
      </w:r>
    </w:p>
    <w:p>
      <w:pPr>
        <w:ind w:left="288"/>
      </w:pPr>
      <w:r>
        <w:rPr>
          <w:color w:val="8C8C8C"/>
          <w:sz w:val="12"/>
        </w:rPr>
        <w:t>cf-art-167-inc-II</w:t>
      </w:r>
      <w:r>
        <w:rPr>
          <w:color w:val="003CA0"/>
          <w:sz w:val="12"/>
        </w:rPr>
        <w:t xml:space="preserve"> | ADI 1.689</w:t>
      </w:r>
      <w:r>
        <w:rPr>
          <w:color w:val="003CA0"/>
          <w:sz w:val="12"/>
        </w:rPr>
        <w:t xml:space="preserve"> | rel. Sydney Sanches</w:t>
      </w:r>
    </w:p>
    <w:p>
      <w:pPr>
        <w:ind w:left="288"/>
      </w:pPr>
      <w:r>
        <w:rPr>
          <w:color w:val="1E1E1E"/>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w:t>
      </w:r>
    </w:p>
    <w:p>
      <w:pPr>
        <w:ind w:left="288"/>
      </w:pPr>
      <w:r>
        <w:rPr>
          <w:b/>
          <w:color w:val="003CA0"/>
          <w:sz w:val="16"/>
        </w:rPr>
        <w:t>[ADI 1.689, rel. min. Sydney Sanches, j. 12-3-2003, P, DJ de 2-5-2003.]</w:t>
      </w:r>
    </w:p>
    <w:p>
      <w:pPr>
        <w:ind w:left="288"/>
      </w:pPr>
      <w:r>
        <w:rPr>
          <w:color w:val="8C8C8C"/>
          <w:sz w:val="12"/>
        </w:rPr>
        <w:t>cf-art-167-inc-II</w:t>
      </w:r>
      <w:r>
        <w:rPr>
          <w:color w:val="003CA0"/>
          <w:sz w:val="12"/>
        </w:rPr>
        <w:t xml:space="preserve"> | ADI 5.635</w:t>
      </w:r>
      <w:r>
        <w:rPr>
          <w:color w:val="003CA0"/>
          <w:sz w:val="12"/>
        </w:rPr>
        <w:t xml:space="preserve"> | rel. Luís Roberto Barroso</w:t>
      </w:r>
    </w:p>
    <w:p>
      <w:pPr>
        <w:ind w:left="288"/>
      </w:pPr>
      <w:r>
        <w:rPr>
          <w:color w:val="1E1E1E"/>
          <w:sz w:val="18"/>
        </w:rPr>
        <w:t>“(i) É constitucional a exigência de depósito de percentual de benefícios fiscais de ICMS para o Fundo Orçamentário Temporário (FOT), nos termos da ADI 5.635; e (ii) é infraconstitucional e fática a controvérsia sobre a possibilidade de exigir o depósito ao FOT em benefícios fiscais de ICMS concedidos por prazo certo e sob condição.</w:t>
      </w:r>
    </w:p>
    <w:p>
      <w:pPr>
        <w:ind w:left="288"/>
      </w:pPr>
      <w:r>
        <w:rPr>
          <w:b/>
          <w:color w:val="003CA0"/>
          <w:sz w:val="16"/>
        </w:rPr>
        <w:t>[RE 1.506.320 RG, rel. min. Luís Roberto Barroso, j. 11.04.2025, P, DJE de 22.04.2025, Tema 1.386, com mérito julgado.]</w:t>
      </w:r>
    </w:p>
    <w:p>
      <w:pPr>
        <w:ind w:left="144"/>
      </w:pPr>
      <w:r>
        <w:rPr>
          <w:b/>
          <w:color w:val="B45A00"/>
          <w:sz w:val="16"/>
        </w:rPr>
        <w:t>REPERCUSSAO GERAL</w:t>
      </w:r>
    </w:p>
    <w:p>
      <w:pPr>
        <w:ind w:left="288"/>
      </w:pPr>
      <w:r>
        <w:rPr>
          <w:color w:val="8C8C8C"/>
          <w:sz w:val="12"/>
        </w:rPr>
        <w:t>cf-art-167-inc-II</w:t>
      </w:r>
      <w:r>
        <w:rPr>
          <w:color w:val="003CA0"/>
          <w:sz w:val="12"/>
        </w:rPr>
        <w:t xml:space="preserve"> | RE 585.535</w:t>
      </w:r>
      <w:r>
        <w:rPr>
          <w:color w:val="003CA0"/>
          <w:sz w:val="12"/>
        </w:rPr>
        <w:t xml:space="preserve"> | rel. Ellen Gracie</w:t>
      </w:r>
    </w:p>
    <w:p>
      <w:pPr>
        <w:ind w:left="288"/>
      </w:pPr>
      <w:r>
        <w:rPr>
          <w:color w:val="1E1E1E"/>
          <w:sz w:val="18"/>
        </w:rPr>
        <w:t>ICMS. Majoração de alíquota. (...) A Lei paulista 9.903, de 30-12-1997, apenas impôs a divulgação, pelo chefe do Executivo, do emprego dos recursos provenientes do aumento da alíquota de 17% para 18%, previsto no mesmo diploma. A proibição de vinculação de receita de impostos prevista no art. 167, IV, da CF impede a fixação de uma prévia destinação desses recursos, o que não se verificou no presente caso.</w:t>
        <w:br/>
        <w:t>[RE 585.535, rel. min. Ellen Gracie, j. 1º-2-2010, P, DJE de 21-5-2010, Tema 92, com mérito julgado.]</w:t>
        <w:br/>
        <w:t>Vide RE 183.906, rel. min. Marco Aurélio, j. 18-9-1997, P, DJ de 30-4-1998</w:t>
      </w:r>
    </w:p>
    <w:p>
      <w:pPr>
        <w:ind w:left="144"/>
      </w:pPr>
      <w:r>
        <w:rPr>
          <w:b/>
          <w:color w:val="B45A00"/>
          <w:sz w:val="16"/>
        </w:rPr>
        <w:t>JULGADOS CORRELATOS</w:t>
      </w:r>
    </w:p>
    <w:p>
      <w:pPr>
        <w:ind w:left="288"/>
      </w:pPr>
      <w:r>
        <w:rPr>
          <w:color w:val="8C8C8C"/>
          <w:sz w:val="12"/>
        </w:rPr>
        <w:t>cf-art-167-inc-II</w:t>
      </w:r>
      <w:r>
        <w:rPr>
          <w:color w:val="003CA0"/>
          <w:sz w:val="12"/>
        </w:rPr>
        <w:t xml:space="preserve"> | RCL 60.128</w:t>
      </w:r>
      <w:r>
        <w:rPr>
          <w:color w:val="003CA0"/>
          <w:sz w:val="12"/>
        </w:rPr>
        <w:t xml:space="preserve"> | rel. Luiz Fux</w:t>
      </w:r>
    </w:p>
    <w:p>
      <w:pPr>
        <w:ind w:left="288"/>
      </w:pPr>
      <w:r>
        <w:rPr>
          <w:color w:val="1E1E1E"/>
          <w:sz w:val="18"/>
        </w:rPr>
        <w:t>Não se admite a constrição indiscriminada de verbas públicas, inclusive na fase de pagamento, por meio de decisões judiciais, sob pena de afronta ao preceito contido no art. 167, VI, da CF, ao modelo constitucional de organização orçamentária das finanças públicas e ao princípio da continuidade dos serviços públicos (art. 175 da Constituição Federal).</w:t>
        <w:br/>
        <w:t>[Rcl 60.128 AgR, rel. min. Luiz Fux, red. do ac. min. Alexandre de Moraes, j. 9-10-2023, 1ª T, DJE de 19-10-2023.] Preceito de lei estadual que destina 5% dos emolumentos cobrados pelas serventias extrajudiciais e não oficializadas ao Fundo Estad</w:t>
      </w:r>
    </w:p>
    <w:p>
      <w:pPr>
        <w:ind w:left="288"/>
      </w:pPr>
      <w:r>
        <w:rPr>
          <w:b/>
          <w:color w:val="003CA0"/>
          <w:sz w:val="16"/>
        </w:rPr>
        <w:t>[RE 218.874, rel. min. Eros Grau, j. 7-11-2007, P, DJ de 1º-2-2008.]</w:t>
      </w:r>
    </w:p>
    <w:p>
      <w:pPr>
        <w:ind w:left="144"/>
      </w:pPr>
      <w:r>
        <w:rPr>
          <w:b/>
          <w:color w:val="B45A00"/>
          <w:sz w:val="16"/>
        </w:rPr>
        <w:t>CONTROLE CONCENTRADO</w:t>
      </w:r>
    </w:p>
    <w:p>
      <w:pPr>
        <w:ind w:left="288"/>
      </w:pPr>
      <w:r>
        <w:rPr>
          <w:color w:val="8C8C8C"/>
          <w:sz w:val="12"/>
        </w:rPr>
        <w:t>cf-art-167-inc-V</w:t>
      </w:r>
      <w:r>
        <w:rPr>
          <w:color w:val="003CA0"/>
          <w:sz w:val="12"/>
        </w:rPr>
        <w:t xml:space="preserve"> | ADI 4.049</w:t>
      </w:r>
      <w:r>
        <w:rPr>
          <w:color w:val="003CA0"/>
          <w:sz w:val="12"/>
        </w:rPr>
        <w:t xml:space="preserve"> | rel. Ayres Britto</w:t>
      </w:r>
    </w:p>
    <w:p>
      <w:pPr>
        <w:ind w:left="288"/>
      </w:pPr>
      <w:r>
        <w:rPr>
          <w:color w:val="1E1E1E"/>
          <w:sz w:val="18"/>
        </w:rPr>
        <w:t>Medida cautelar em ação direta de inconstitucionalidade. MP 402, de 23-11-2007, convertida na Lei 11.656, de 16-4-2008. Abertura de crédito extraordinário. (...) Violação que alcança o inciso V do mesmo artigo, na medida em que o ato normativo adversado vem a categorizar como de natureza extraordinária crédito que, em verdade, não passa de especial, ou suplementar.</w:t>
      </w:r>
    </w:p>
    <w:p>
      <w:pPr>
        <w:ind w:left="288"/>
      </w:pPr>
      <w:r>
        <w:rPr>
          <w:b/>
          <w:color w:val="003CA0"/>
          <w:sz w:val="16"/>
        </w:rPr>
        <w:t>[ADI 4.049 MC, rel. min. Ayres Britto, j. 5-11-2008, P, DJE de 8-5-2009.]</w:t>
      </w:r>
    </w:p>
    <w:p>
      <w:pPr>
        <w:ind w:left="288"/>
      </w:pPr>
      <w:r>
        <w:rPr>
          <w:color w:val="8C8C8C"/>
          <w:sz w:val="12"/>
        </w:rPr>
        <w:t>cf-art-167-inc-VI</w:t>
      </w:r>
      <w:r>
        <w:rPr>
          <w:color w:val="003CA0"/>
          <w:sz w:val="12"/>
        </w:rPr>
        <w:t xml:space="preserve"> | ADPF 616</w:t>
      </w:r>
      <w:r>
        <w:rPr>
          <w:color w:val="003CA0"/>
          <w:sz w:val="12"/>
        </w:rPr>
        <w:t xml:space="preserve"> | rel. Roberto Barroso</w:t>
      </w:r>
    </w:p>
    <w:p>
      <w:pPr>
        <w:ind w:left="288"/>
      </w:pPr>
      <w:r>
        <w:rPr>
          <w:color w:val="1E1E1E"/>
          <w:sz w:val="18"/>
        </w:rPr>
        <w:t>Os recursos públicos vinculados ao orçamento de estatais prestadoras de serviço público essencial, em regime não concorrencial e sem intuito lucrativo primário não podem ser bloqueados ou sequestrados por decisão judicial para pagamento de suas dívidas, em virtude do disposto no art. 100 da CF/1988, e dos princípios da legalidade orçamentária (art. 167, VI, da CF), da separação dos poderes (arts. 2°, 60, § 4°, III, da CF) e da eficiência da administração pública (art. 37, caput, da CF).</w:t>
        <w:br/>
        <w:t>[ADPF 616, rel. min. Roberto Barroso, j. 21-5-2021, P, DJE 21-6-2021.] Verbas estaduais não podem ser objeto</w:t>
      </w:r>
    </w:p>
    <w:p>
      <w:pPr>
        <w:ind w:left="288"/>
      </w:pPr>
      <w:r>
        <w:rPr>
          <w:b/>
          <w:color w:val="003CA0"/>
          <w:sz w:val="16"/>
        </w:rPr>
        <w:t>[ADPF 485, rel. min. Roberto Barroso, j. 7-12-2020, P, DJE de 4-2-2021.]</w:t>
      </w:r>
    </w:p>
    <w:p>
      <w:pPr>
        <w:ind w:left="288"/>
      </w:pPr>
      <w:r>
        <w:rPr>
          <w:color w:val="8C8C8C"/>
          <w:sz w:val="12"/>
        </w:rPr>
        <w:t>cf-art-167-inc-VI</w:t>
      </w:r>
      <w:r>
        <w:rPr>
          <w:color w:val="003CA0"/>
          <w:sz w:val="12"/>
        </w:rPr>
        <w:t xml:space="preserve"> | ADPF 484</w:t>
      </w:r>
      <w:r>
        <w:rPr>
          <w:color w:val="003CA0"/>
          <w:sz w:val="12"/>
        </w:rPr>
        <w:t xml:space="preserve"> | rel. Luiz Fux</w:t>
      </w:r>
    </w:p>
    <w:p>
      <w:pPr>
        <w:ind w:left="288"/>
      </w:pPr>
      <w:r>
        <w:rPr>
          <w:color w:val="1E1E1E"/>
          <w:sz w:val="18"/>
        </w:rPr>
        <w:t>O artigo 167, VI, da Constituição proíbe a transposição, o remanejamento ou a transferência de recursos de uma categoria de programação para outra ou de um órgão para outro, sem prévia autorização legislativa, mandamento esse que também vincula o Judiciário. Isso porque as regras sobre aprovação e gestão orçamentárias consagram mecanismos de freios e contrapesos essenciais ao regular funcionamento das instituições republicanas e democráticas e à concretização do princípio da separação dos poderes.</w:t>
        <w:br/>
        <w:t>[ADPF 484, rel. min. Luiz Fux, j. 4-6-2020, P, DJE de 10-11-2020.] As reiteradas decisões do Trib</w:t>
      </w:r>
    </w:p>
    <w:p>
      <w:pPr>
        <w:ind w:left="288"/>
      </w:pPr>
      <w:r>
        <w:rPr>
          <w:b/>
          <w:color w:val="003CA0"/>
          <w:sz w:val="16"/>
        </w:rPr>
        <w:t>[ADPF 405 MC, rel. min. Rosa Weber, j. 14-6-2017, P, DJE de 5-2-2018.]</w:t>
      </w:r>
    </w:p>
    <w:p>
      <w:pPr>
        <w:ind w:left="288"/>
      </w:pPr>
      <w:r>
        <w:rPr>
          <w:color w:val="8C8C8C"/>
          <w:sz w:val="12"/>
        </w:rPr>
        <w:t>cf-art-167-inc-VI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52, § 2º: alegação de ofensa ao art. 167 da CF: improcedência. Não há vinculação de receita, mas apenas distribuição dos superávit orçamentário aos poderes e ao Ministério Público: improcedência. (...)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w:t>
      </w:r>
    </w:p>
    <w:p>
      <w:pPr>
        <w:ind w:left="288"/>
      </w:pPr>
      <w:r>
        <w:rPr>
          <w:b/>
          <w:color w:val="003CA0"/>
          <w:sz w:val="16"/>
        </w:rPr>
        <w:t>[ADI 3.652, rel. min. Sepúlveda Pertence, j. 19-12-2006, P, DJ de 16-3-2007.]</w:t>
      </w:r>
    </w:p>
    <w:p>
      <w:pPr>
        <w:ind w:left="288"/>
      </w:pPr>
      <w:r>
        <w:rPr>
          <w:color w:val="8C8C8C"/>
          <w:sz w:val="12"/>
        </w:rPr>
        <w:t>cf-art-167-inc-VI</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w:t>
      </w:r>
    </w:p>
    <w:p>
      <w:pPr>
        <w:ind w:left="288"/>
      </w:pPr>
      <w:r>
        <w:rPr>
          <w:b/>
          <w:color w:val="003CA0"/>
          <w:sz w:val="16"/>
        </w:rPr>
        <w:t>[ADI 3.401, rel. min. Gilmar Mendes, j. 26-4-2006, P, DJ de 23-2-2007.]</w:t>
      </w:r>
    </w:p>
    <w:p>
      <w:pPr>
        <w:ind w:left="288"/>
      </w:pPr>
      <w:r>
        <w:rPr>
          <w:color w:val="8C8C8C"/>
          <w:sz w:val="12"/>
        </w:rPr>
        <w:t>cf-art-167-inc-VII</w:t>
      </w:r>
    </w:p>
    <w:p>
      <w:pPr>
        <w:ind w:left="288"/>
      </w:pPr>
      <w:r>
        <w:rPr>
          <w:color w:val="1E1E1E"/>
          <w:sz w:val="18"/>
        </w:rPr>
        <w:t>VIII - a utilização, sem autorização legislativa específica, de recursos dos orçamentos fiscal e da seguridade social para suprir necessidade ou cobrir déficit de empresas, fundações e fundos, inclusive dos mencionados no art. 165, § 5º;</w:t>
      </w:r>
    </w:p>
    <w:p>
      <w:pPr>
        <w:ind w:left="288"/>
      </w:pPr>
      <w:r>
        <w:rPr>
          <w:color w:val="8C8C8C"/>
          <w:sz w:val="12"/>
        </w:rPr>
        <w:t>cf-art-167-inc-IX</w:t>
      </w:r>
    </w:p>
    <w:p>
      <w:pPr>
        <w:ind w:left="288"/>
      </w:pPr>
      <w:r>
        <w:rPr>
          <w:color w:val="1E1E1E"/>
          <w:sz w:val="18"/>
        </w:rPr>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 (Incluído pela EC 19/1998)</w:t>
      </w:r>
    </w:p>
    <w:p>
      <w:pPr>
        <w:ind w:left="288"/>
      </w:pPr>
      <w:r>
        <w:rPr>
          <w:color w:val="8C8C8C"/>
          <w:sz w:val="12"/>
        </w:rPr>
        <w:t>cf-art-167-inc-IX</w:t>
      </w:r>
      <w:r>
        <w:rPr>
          <w:color w:val="003CA0"/>
          <w:sz w:val="12"/>
        </w:rPr>
        <w:t xml:space="preserve"> | ADI 5.683</w:t>
      </w:r>
      <w:r>
        <w:rPr>
          <w:color w:val="003CA0"/>
          <w:sz w:val="12"/>
        </w:rPr>
        <w:t xml:space="preserve"> | rel. Roberto Barroso</w:t>
      </w:r>
    </w:p>
    <w:p>
      <w:pPr>
        <w:ind w:left="288"/>
      </w:pPr>
      <w:r>
        <w:rPr>
          <w:color w:val="1E1E1E"/>
          <w:sz w:val="18"/>
        </w:rPr>
        <w:t>A Constituição Federal, em seu art. 167, X, veda a concessão de empréstimos por instituições financeiras estatais para o pagamento de despesas com pessoal ativo, inativo e pensionista. Impede-se, portanto, a alocação dessas receitas para o custeio de pessoal ativo e inativo. Não há na regra uma vedação absoluta à contratação de empréstimos junto a instituições financeiras estatais. A vedação estabelecida no art. 167, X, da CF diz respeito apenas a instituições financeiras estatais. A proibição não alcança as contratações realizadas com instituições financeiras privadas.</w:t>
      </w:r>
    </w:p>
    <w:p>
      <w:pPr>
        <w:ind w:left="288"/>
      </w:pPr>
      <w:r>
        <w:rPr>
          <w:b/>
          <w:color w:val="003CA0"/>
          <w:sz w:val="16"/>
        </w:rPr>
        <w:t>[ADI 5.683, rel. min. Roberto Barroso, j. 22-4-2022, P, DJE de 19-5-2022.]</w:t>
      </w:r>
    </w:p>
    <w:p>
      <w:pPr>
        <w:ind w:left="288"/>
      </w:pPr>
      <w:r>
        <w:rPr>
          <w:color w:val="8C8C8C"/>
          <w:sz w:val="12"/>
        </w:rPr>
        <w:t>cf-art-167-inc-IX</w:t>
      </w:r>
      <w:r>
        <w:rPr>
          <w:color w:val="003CA0"/>
          <w:sz w:val="12"/>
        </w:rPr>
        <w:t xml:space="preserve"> | ADPF 485</w:t>
      </w:r>
      <w:r>
        <w:rPr>
          <w:color w:val="003CA0"/>
          <w:sz w:val="12"/>
        </w:rPr>
        <w:t xml:space="preserve"> | rel. Roberto Barroso</w:t>
      </w:r>
    </w:p>
    <w:p>
      <w:pPr>
        <w:ind w:left="288"/>
      </w:pPr>
      <w:r>
        <w:rPr>
          <w:color w:val="1E1E1E"/>
          <w:sz w:val="18"/>
        </w:rPr>
        <w:t>Verbas estaduais não podem ser objeto de bloqueio, penhora e/ou sequestro para pagamento de valores devidos em ações trabalhistas, ainda que as empresas reclamadas detenham créditos a receber da administração pública estadual, em virtude do disposto no art. 167, VI e X, da CF, e do princípio da separação de poderes (art. 2º da CF).</w:t>
      </w:r>
    </w:p>
    <w:p>
      <w:pPr>
        <w:ind w:left="288"/>
      </w:pPr>
      <w:r>
        <w:rPr>
          <w:b/>
          <w:color w:val="003CA0"/>
          <w:sz w:val="16"/>
        </w:rPr>
        <w:t>[ADPF 485, rel. min. Roberto Barroso, j. 7-12-2020, P, DJE de 4-2-2021.]</w:t>
      </w:r>
    </w:p>
    <w:p>
      <w:pPr>
        <w:ind w:left="288"/>
      </w:pPr>
      <w:r>
        <w:rPr>
          <w:color w:val="8C8C8C"/>
          <w:sz w:val="12"/>
        </w:rPr>
        <w:t>cf-art-167-inc-IX</w:t>
      </w:r>
      <w:r>
        <w:rPr>
          <w:color w:val="003CA0"/>
          <w:sz w:val="12"/>
        </w:rPr>
        <w:t xml:space="preserve"> | ADPF 405</w:t>
      </w:r>
      <w:r>
        <w:rPr>
          <w:color w:val="003CA0"/>
          <w:sz w:val="12"/>
        </w:rPr>
        <w:t xml:space="preserve"> | rel. Rosa Weber</w:t>
      </w:r>
    </w:p>
    <w:p>
      <w:pPr>
        <w:ind w:left="288"/>
      </w:pPr>
      <w:r>
        <w:rPr>
          <w:color w:val="1E1E1E"/>
          <w:sz w:val="18"/>
        </w:rPr>
        <w:t>As reiteradas decisões do Tribunal de Justiça do Estado do Rio de Janeiro e do TRT 1ª Região que resultaram em bloqueio, arresto, penhora, sequestro e liberação de valores administrados pelo Poder Executivo do Estado do Rio de Janeiro para atender demandas relativas a pagamento de salário de servidores ativos e inativos, satisfação imediata de créditos de prestadores de serviços e tutelas provisórias definidoras de prioridades na aplicação de recursos públicos traduzem, em seu conjunto, ato do poder público passível de controle pela via da arguição de descumprimento de preceito fundamental (..</w:t>
      </w:r>
    </w:p>
    <w:p>
      <w:pPr>
        <w:ind w:left="288"/>
      </w:pPr>
      <w:r>
        <w:rPr>
          <w:color w:val="8C8C8C"/>
          <w:sz w:val="12"/>
        </w:rPr>
        <w:t>cf-art-167-par-1</w:t>
      </w:r>
    </w:p>
    <w:p>
      <w:pPr>
        <w:ind w:left="288"/>
      </w:pPr>
      <w:r>
        <w:rPr>
          <w:color w:val="1E1E1E"/>
          <w:sz w:val="18"/>
        </w:rPr>
        <w:t>§ 2º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subsequente.</w:t>
      </w:r>
    </w:p>
    <w:p>
      <w:pPr>
        <w:ind w:left="288"/>
      </w:pPr>
      <w:r>
        <w:rPr>
          <w:color w:val="8C8C8C"/>
          <w:sz w:val="12"/>
        </w:rPr>
        <w:t>cf-art-167-par-1</w:t>
      </w:r>
      <w:r>
        <w:rPr>
          <w:color w:val="003CA0"/>
          <w:sz w:val="12"/>
        </w:rPr>
        <w:t xml:space="preserve"> | ADI 4.049</w:t>
      </w:r>
      <w:r>
        <w:rPr>
          <w:color w:val="003CA0"/>
          <w:sz w:val="12"/>
        </w:rPr>
        <w:t xml:space="preserve"> | rel. Ayres Britto</w:t>
      </w:r>
    </w:p>
    <w:p>
      <w:pPr>
        <w:ind w:left="288"/>
      </w:pPr>
      <w:r>
        <w:rPr>
          <w:color w:val="1E1E1E"/>
          <w:sz w:val="18"/>
        </w:rPr>
        <w:t>Medida provisória que abre crédito extraordinário não se exaure no ato de sua primeira aplicação. Ela somente se exaure ao final do exercício financeiro para o qual foi aberto o crédito extraordinário nela referido. Hipótese em que a abertura do crédito se deu nos últimos quatro meses do exercício, projetando-se, nos limites de seus saldos, para o orçamento do exercício financeiro subsequente (§ 2º do art. 167 da CF).</w:t>
      </w:r>
    </w:p>
    <w:p>
      <w:pPr>
        <w:ind w:left="288"/>
      </w:pPr>
      <w:r>
        <w:rPr>
          <w:b/>
          <w:color w:val="003CA0"/>
          <w:sz w:val="16"/>
        </w:rPr>
        <w:t>[ADI 4.049 MC, rel. min. Ayres Britto, j. 5-11-2008, P, DJE de 8-5-2009.]</w:t>
      </w:r>
    </w:p>
    <w:p>
      <w:pPr>
        <w:ind w:left="288"/>
      </w:pPr>
      <w:r>
        <w:rPr>
          <w:color w:val="8C8C8C"/>
          <w:sz w:val="12"/>
        </w:rPr>
        <w:t>cf-art-167-par-3</w:t>
      </w:r>
      <w:r>
        <w:rPr>
          <w:color w:val="003CA0"/>
          <w:sz w:val="12"/>
        </w:rPr>
        <w:t xml:space="preserve"> | ADI 4.048</w:t>
      </w:r>
      <w:r>
        <w:rPr>
          <w:color w:val="003CA0"/>
          <w:sz w:val="12"/>
        </w:rPr>
        <w:t xml:space="preserve"> | rel. Gilmar Mendes</w:t>
      </w:r>
    </w:p>
    <w:p>
      <w:pPr>
        <w:ind w:left="288"/>
      </w:pPr>
      <w:r>
        <w:rPr>
          <w:color w:val="1E1E1E"/>
          <w:sz w:val="18"/>
        </w:rPr>
        <w:t>Limites constitucionais à atividade legislativa excepcional do Poder Executivo na edição de medidas provisórias para abertura de crédito extraordinário. Interpretação do art. 167, § 3º, c/c o art. 62, § 1º,  I, d, da Constituição. Além dos requisitos de relevância e urgência (art. 62), a Constituição exige que a abertura do crédito extraordinário seja feita apenas para atender a despesas imprevisíveis e urgentes. Ao contrário do que ocorre em relação aos requisitos de relevância e urgência (art. 62), que se submetem a uma ampla margem de discricionariedade por parte do presidente da República,</w:t>
      </w:r>
    </w:p>
    <w:p>
      <w:pPr>
        <w:ind w:left="288"/>
      </w:pPr>
      <w:r>
        <w:rPr>
          <w:b/>
          <w:color w:val="003CA0"/>
          <w:sz w:val="16"/>
        </w:rPr>
        <w:t>[ADI 4.048 MC, rel. min. Gilmar Mendes, j. 14-5-2008, P, DJE de 22-8-2008.]</w:t>
      </w:r>
    </w:p>
    <w:p>
      <w:pPr>
        <w:ind w:left="288"/>
      </w:pPr>
      <w:r>
        <w:rPr>
          <w:color w:val="8C8C8C"/>
          <w:sz w:val="12"/>
        </w:rPr>
        <w:t>cf-art-167-par-3</w:t>
      </w:r>
      <w:r>
        <w:rPr>
          <w:color w:val="003CA0"/>
          <w:sz w:val="12"/>
        </w:rPr>
        <w:t xml:space="preserve"> | ADI 4.049</w:t>
      </w:r>
      <w:r>
        <w:rPr>
          <w:color w:val="003CA0"/>
          <w:sz w:val="12"/>
        </w:rPr>
        <w:t xml:space="preserve"> | rel. Ayres Britto</w:t>
      </w:r>
    </w:p>
    <w:p>
      <w:pPr>
        <w:ind w:left="288"/>
      </w:pPr>
      <w:r>
        <w:rPr>
          <w:color w:val="1E1E1E"/>
          <w:sz w:val="18"/>
        </w:rPr>
        <w:t>= ADI 4.049 MC, rel. min. Ayres Britto, j. 5-11-2008, P, DJE de 8-5-2009 § 4º É permitida a vinculação das receitas a que se referem os arts. 155, 156, 156-A, 157, 158 e as alíneas a, b, d, e e f do inciso I e o inciso II do caput do art. 159 desta Constituição para pagamento de débitos com a União e para prestar-lhe garantia ou contragarantia. (Redação dada pela EC n. 132/2023)</w:t>
      </w:r>
    </w:p>
    <w:p>
      <w:r>
        <w:rPr>
          <w:b/>
          <w:color w:val="003366"/>
          <w:sz w:val="20"/>
        </w:rPr>
        <w:t>Art. 167 D. As proposições legislativas e os atos do Poder Executivo com propósi</w:t>
      </w:r>
      <w:r>
        <w:rPr>
          <w:color w:val="8C8C8C"/>
          <w:sz w:val="14"/>
        </w:rPr>
        <w:t xml:space="preserve">  [38 decisoes]</w:t>
      </w:r>
    </w:p>
    <w:p>
      <w:pPr>
        <w:ind w:left="144"/>
      </w:pPr>
      <w:r>
        <w:rPr>
          <w:b/>
          <w:color w:val="B45A00"/>
          <w:sz w:val="16"/>
        </w:rPr>
        <w:t>JULGADOS CORRELATOS</w:t>
      </w:r>
    </w:p>
    <w:p>
      <w:pPr>
        <w:ind w:left="288"/>
      </w:pPr>
      <w:r>
        <w:rPr>
          <w:color w:val="8C8C8C"/>
          <w:sz w:val="12"/>
        </w:rPr>
        <w:t>cf-art-167-inc-I</w:t>
      </w:r>
      <w:r>
        <w:rPr>
          <w:color w:val="003CA0"/>
          <w:sz w:val="12"/>
        </w:rPr>
        <w:t xml:space="preserve"> | PET 2.836</w:t>
      </w:r>
      <w:r>
        <w:rPr>
          <w:color w:val="003CA0"/>
          <w:sz w:val="12"/>
        </w:rPr>
        <w:t xml:space="preserve"> | rel. Carlos Velloso</w:t>
      </w:r>
    </w:p>
    <w:p>
      <w:pPr>
        <w:ind w:left="288"/>
      </w:pPr>
      <w:r>
        <w:rPr>
          <w:color w:val="1E1E1E"/>
          <w:sz w:val="18"/>
        </w:rPr>
        <w:t>Determinação judicial de construção de creches pelo Município. Despesas públicas: necessidade de autorização orçamentária: CF, art. 167. Fumus boni juris e periculum in mora ocorrentes. Concessão de efeito suspensivo ao recurso extraordinário diante da possibilidade de ocorrência de graves prejuízos aos cofres públicos municipais.</w:t>
      </w:r>
    </w:p>
    <w:p>
      <w:pPr>
        <w:ind w:left="288"/>
      </w:pPr>
      <w:r>
        <w:rPr>
          <w:b/>
          <w:color w:val="003CA0"/>
          <w:sz w:val="16"/>
        </w:rPr>
        <w:t>[Pet 2.836 QO, rel. min. Carlos Velloso, j. 11-2-2003, 2ª T, DJ de 14-3-2003.]</w:t>
      </w:r>
    </w:p>
    <w:p>
      <w:pPr>
        <w:ind w:left="144"/>
      </w:pPr>
      <w:r>
        <w:rPr>
          <w:b/>
          <w:color w:val="B45A00"/>
          <w:sz w:val="16"/>
        </w:rPr>
        <w:t>CONTROLE CONCENTRADO</w:t>
      </w:r>
    </w:p>
    <w:p>
      <w:pPr>
        <w:ind w:left="288"/>
      </w:pPr>
      <w:r>
        <w:rPr>
          <w:color w:val="8C8C8C"/>
          <w:sz w:val="12"/>
        </w:rPr>
        <w:t>cf-art-167-inc-II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56, parágrafo único: procedência, em parte, para atribuir interpretação conforme à expressão "abertura de novos elementos de despesa".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Constituição, que veda "a realização de despesas ou a assunção de ob</w:t>
      </w:r>
    </w:p>
    <w:p>
      <w:pPr>
        <w:ind w:left="288"/>
      </w:pPr>
      <w:r>
        <w:rPr>
          <w:b/>
          <w:color w:val="003CA0"/>
          <w:sz w:val="16"/>
        </w:rPr>
        <w:t>[ADI 3.652, rel. min. Sepúlveda Pertence, j. 19-12-2006, P, DJ de 16-3-2007.]</w:t>
      </w:r>
    </w:p>
    <w:p>
      <w:pPr>
        <w:ind w:left="288"/>
      </w:pPr>
      <w:r>
        <w:rPr>
          <w:color w:val="8C8C8C"/>
          <w:sz w:val="12"/>
        </w:rPr>
        <w:t>cf-art-167-inc-II</w:t>
      </w:r>
      <w:r>
        <w:rPr>
          <w:color w:val="003CA0"/>
          <w:sz w:val="12"/>
        </w:rPr>
        <w:t xml:space="preserve"> | ADI 352</w:t>
      </w:r>
      <w:r>
        <w:rPr>
          <w:color w:val="003CA0"/>
          <w:sz w:val="12"/>
        </w:rPr>
        <w:t xml:space="preserve"> | rel. Celso de Mello</w:t>
      </w:r>
    </w:p>
    <w:p>
      <w:pPr>
        <w:ind w:left="288"/>
      </w:pPr>
      <w:r>
        <w:rPr>
          <w:color w:val="1E1E1E"/>
          <w:sz w:val="18"/>
        </w:rPr>
        <w:t>Reveste-se de plausibilidade jurídica, no entanto, a tese, sustentada em ação direta, de que o legislador estadual, condicionado em sua ação normativa por princípios superiores enunciados na CF, não pode, ao fixar a despesa pública, autorizar gastos que excedam os créditos orçamentários ou adicionais, ou omitir-lhes a correspondente fonte de custeio, com a necessária indicação dos recursos existentes.</w:t>
      </w:r>
    </w:p>
    <w:p>
      <w:pPr>
        <w:ind w:left="288"/>
      </w:pPr>
      <w:r>
        <w:rPr>
          <w:b/>
          <w:color w:val="003CA0"/>
          <w:sz w:val="16"/>
        </w:rPr>
        <w:t>[ADI 352 MC, rel. min. Celso de Mello, j. 29-8-1990, P, DJ de 8-3-1991.]</w:t>
      </w:r>
    </w:p>
    <w:p>
      <w:pPr>
        <w:ind w:left="144"/>
      </w:pPr>
      <w:r>
        <w:rPr>
          <w:b/>
          <w:color w:val="B45A00"/>
          <w:sz w:val="16"/>
        </w:rPr>
        <w:t>JULGADOS CORRELATOS</w:t>
      </w:r>
    </w:p>
    <w:p>
      <w:pPr>
        <w:ind w:left="288"/>
      </w:pPr>
      <w:r>
        <w:rPr>
          <w:color w:val="8C8C8C"/>
          <w:sz w:val="12"/>
        </w:rPr>
        <w:t>cf-art-167-inc-II</w:t>
      </w:r>
      <w:r>
        <w:rPr>
          <w:color w:val="003CA0"/>
          <w:sz w:val="12"/>
        </w:rPr>
        <w:t xml:space="preserve"> | ACO 3.414</w:t>
      </w:r>
      <w:r>
        <w:rPr>
          <w:color w:val="003CA0"/>
          <w:sz w:val="12"/>
        </w:rPr>
        <w:t xml:space="preserve"> | rel. Gilmar Mendes</w:t>
      </w:r>
    </w:p>
    <w:p>
      <w:pPr>
        <w:ind w:left="288"/>
      </w:pPr>
      <w:r>
        <w:rPr>
          <w:color w:val="1E1E1E"/>
          <w:sz w:val="18"/>
        </w:rPr>
        <w:t>Uso de recursos do FCDF para o pagamento de despesas do exercício anterior ao do orçamento vigente. Impossibilidade. Ofensa aos arts. 165, III, XIV, c/c art. 167, II, ambos da CF e ao princípio da anualidade orçamentária (...).</w:t>
      </w:r>
    </w:p>
    <w:p>
      <w:pPr>
        <w:ind w:left="288"/>
      </w:pPr>
      <w:r>
        <w:rPr>
          <w:b/>
          <w:color w:val="003CA0"/>
          <w:sz w:val="16"/>
        </w:rPr>
        <w:t>[ACO 3.414 AgR, rel. min. Gilmar Mendes, j. 18-12-2021, P, DJE de 15-2-2022.]</w:t>
      </w:r>
    </w:p>
    <w:p>
      <w:pPr>
        <w:ind w:left="288"/>
      </w:pPr>
      <w:r>
        <w:rPr>
          <w:color w:val="8C8C8C"/>
          <w:sz w:val="12"/>
        </w:rPr>
        <w:t>cf-art-167-inc-II</w:t>
      </w:r>
    </w:p>
    <w:p>
      <w:pPr>
        <w:ind w:left="288"/>
      </w:pPr>
      <w:r>
        <w:rPr>
          <w:color w:val="1E1E1E"/>
          <w:sz w:val="18"/>
        </w:rPr>
        <w:t>III - a realização de operações de créditos que excedam o montante das despesas de capital, ressalvadas as autorizadas mediante créditos suplementares ou especiais com finalidade precisa, aprovados pelo Poder Legislativo por maioria absoluta;</w:t>
      </w:r>
    </w:p>
    <w:p>
      <w:pPr>
        <w:ind w:left="144"/>
      </w:pPr>
      <w:r>
        <w:rPr>
          <w:b/>
          <w:color w:val="B45A00"/>
          <w:sz w:val="16"/>
        </w:rPr>
        <w:t>CONTROLE CONCENTRADO</w:t>
      </w:r>
    </w:p>
    <w:p>
      <w:pPr>
        <w:ind w:left="288"/>
      </w:pPr>
      <w:r>
        <w:rPr>
          <w:color w:val="8C8C8C"/>
          <w:sz w:val="12"/>
        </w:rPr>
        <w:t>cf-art-167-inc-II</w:t>
      </w:r>
      <w:r>
        <w:rPr>
          <w:color w:val="003CA0"/>
          <w:sz w:val="12"/>
        </w:rPr>
        <w:t xml:space="preserve"> | ADI 6.660</w:t>
      </w:r>
      <w:r>
        <w:rPr>
          <w:color w:val="003CA0"/>
          <w:sz w:val="12"/>
        </w:rPr>
        <w:t xml:space="preserve"> | rel. Rosa Weber</w:t>
      </w:r>
    </w:p>
    <w:p>
      <w:pPr>
        <w:ind w:left="288"/>
      </w:pPr>
      <w:r>
        <w:rPr>
          <w:color w:val="1E1E1E"/>
          <w:sz w:val="18"/>
        </w:rPr>
        <w:t>Lei 12.305, de 18 de dezembro de 2002, do Estado de Pernambuco, alterada pela lei 12.337/2003, que dispõe sobre os depósitos judiciais e extrajudiciais à disposição do Poder Judiciário Estadual ou da Secretaria da Fazenda. (...) Criação, pela lei estadual impugnada, de um endividamento inconstitucional afastado das hipóteses de dívida pública albergadas pela Carta Magna – violação do artigo 167, III.</w:t>
      </w:r>
    </w:p>
    <w:p>
      <w:pPr>
        <w:ind w:left="288"/>
      </w:pPr>
      <w:r>
        <w:rPr>
          <w:b/>
          <w:color w:val="003CA0"/>
          <w:sz w:val="16"/>
        </w:rPr>
        <w:t>[ADI 6.660, rel. min. Rosa Weber, j. 21-6-2022, P, DJE de 29-6-2022.]</w:t>
      </w:r>
    </w:p>
    <w:p>
      <w:pPr>
        <w:ind w:left="288"/>
      </w:pPr>
      <w:r>
        <w:rPr>
          <w:color w:val="8C8C8C"/>
          <w:sz w:val="12"/>
        </w:rPr>
        <w:t>cf-art-167-inc-II</w:t>
      </w:r>
      <w:r>
        <w:rPr>
          <w:color w:val="003CA0"/>
          <w:sz w:val="12"/>
        </w:rPr>
        <w:t xml:space="preserve"> | ADI 5.683</w:t>
      </w:r>
      <w:r>
        <w:rPr>
          <w:color w:val="003CA0"/>
          <w:sz w:val="12"/>
        </w:rPr>
        <w:t xml:space="preserve"> | rel. Roberto Barroso</w:t>
      </w:r>
    </w:p>
    <w:p>
      <w:pPr>
        <w:ind w:left="288"/>
      </w:pPr>
      <w:r>
        <w:rPr>
          <w:color w:val="1E1E1E"/>
          <w:sz w:val="18"/>
        </w:rPr>
        <w:t>A vedação do art. 167, III, da CF não impede a contratação de operações de crédito para o custeio de despesas correntes. Proíbe-se, somente, a contratação que exceda o montante das despesas de capital. Aliás, a mera autorização legislativa não afronta essa regra constitucional, mas apenas a contratação em si, se não respeitar os limites estabelecidos.</w:t>
      </w:r>
    </w:p>
    <w:p>
      <w:pPr>
        <w:ind w:left="288"/>
      </w:pPr>
      <w:r>
        <w:rPr>
          <w:b/>
          <w:color w:val="003CA0"/>
          <w:sz w:val="16"/>
        </w:rPr>
        <w:t>[ADI 5.683, rel. min. Roberto Barroso, j. 22-4-2022, P, DJE de 19-5-2022.]</w:t>
      </w:r>
    </w:p>
    <w:p>
      <w:pPr>
        <w:ind w:left="288"/>
      </w:pPr>
      <w:r>
        <w:rPr>
          <w:color w:val="8C8C8C"/>
          <w:sz w:val="12"/>
        </w:rPr>
        <w:t>cf-art-167-inc-II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Ao prever limite textualmente diverso da regra do art. 167, III, da CF, o art. 12, § 2º, da LRF enseja interpretações distorcidas do teto a ser aplicado às receitas decorrentes de operações de crédito, pelo que a ação deve ser parcialmente provida, nesse ponto, para dar interpretação conforme ao dispositivo para o fim de explicitar que a proibição não abrange operações de crédito autorizadas mediante créditos suplementares ou especiais com finalidade precisa, aprovados pelo Poder Legisl</w:t>
      </w:r>
    </w:p>
    <w:p>
      <w:pPr>
        <w:ind w:left="288"/>
      </w:pPr>
      <w:r>
        <w:rPr>
          <w:b/>
          <w:color w:val="003CA0"/>
          <w:sz w:val="16"/>
        </w:rPr>
        <w:t>[ADI 2.238, rel. min. Alexandre de Moraes, j. 24-6-2020, P, DJE de 15-9-2020.]</w:t>
      </w:r>
    </w:p>
    <w:p>
      <w:pPr>
        <w:ind w:left="288"/>
      </w:pPr>
      <w:r>
        <w:rPr>
          <w:color w:val="8C8C8C"/>
          <w:sz w:val="12"/>
        </w:rPr>
        <w:t>cf-art-167-inc-II</w:t>
      </w:r>
      <w:r>
        <w:rPr>
          <w:color w:val="003CA0"/>
          <w:sz w:val="12"/>
        </w:rPr>
        <w:t xml:space="preserve"> | ADI 3.516</w:t>
      </w:r>
      <w:r>
        <w:rPr>
          <w:color w:val="003CA0"/>
          <w:sz w:val="12"/>
        </w:rPr>
        <w:t xml:space="preserve"> | rel. Edson Fachin</w:t>
      </w:r>
    </w:p>
    <w:p>
      <w:pPr>
        <w:ind w:left="288"/>
      </w:pPr>
      <w:r>
        <w:rPr>
          <w:color w:val="1E1E1E"/>
          <w:sz w:val="18"/>
        </w:rP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 (Redação da EC 42/2003) A ressal</w:t>
      </w:r>
    </w:p>
    <w:p>
      <w:pPr>
        <w:ind w:left="288"/>
      </w:pPr>
      <w:r>
        <w:rPr>
          <w:b/>
          <w:color w:val="003CA0"/>
          <w:sz w:val="16"/>
        </w:rPr>
        <w:t>[ADI 3.516, rel. min. Edson Fachin, j. 16.12.2024, P, DJE de 06.02.2025.]</w:t>
      </w:r>
    </w:p>
    <w:p>
      <w:pPr>
        <w:ind w:left="288"/>
      </w:pPr>
      <w:r>
        <w:rPr>
          <w:color w:val="8C8C8C"/>
          <w:sz w:val="12"/>
        </w:rPr>
        <w:t>cf-art-167-inc-II</w:t>
      </w:r>
      <w:r>
        <w:rPr>
          <w:color w:val="003CA0"/>
          <w:sz w:val="12"/>
        </w:rPr>
        <w:t xml:space="preserve"> | ADI 5.635</w:t>
      </w:r>
      <w:r>
        <w:rPr>
          <w:color w:val="003CA0"/>
          <w:sz w:val="12"/>
        </w:rPr>
        <w:t xml:space="preserve"> | rel. Luís Roberto Barroso</w:t>
      </w:r>
    </w:p>
    <w:p>
      <w:pPr>
        <w:ind w:left="288"/>
      </w:pPr>
      <w:r>
        <w:rPr>
          <w:color w:val="1E1E1E"/>
          <w:sz w:val="18"/>
        </w:rPr>
        <w:t>“São constitucionais as Leis nºs 7.428/2016 e 8.645/2019, ambas do Estado do Rio de Janeiro, que instituíram o Fundo Estadual de Equilíbrio Fiscal – FEEF e, posteriormente, o Fundo Orçamentário Temporário – FOT, fundos atípicos cujas receitas não estão vinculadas a um programa governamental específico e detalhado”.</w:t>
        <w:br/>
        <w:t>[ADI 5.635, rel. min. Luís Roberto Barroso, j. 18-10-2023, P, DJE de 24-11-2023.] O Estado de Mato Grosso do Sul adotou sistema de rateio no qual os recursos destinados aos órgãos da área-meio são posteriormente atribuídos aos da área-fim, mediante transposição, remanejamento ou tra</w:t>
      </w:r>
    </w:p>
    <w:p>
      <w:pPr>
        <w:ind w:left="288"/>
      </w:pPr>
      <w:r>
        <w:rPr>
          <w:b/>
          <w:color w:val="003CA0"/>
          <w:sz w:val="16"/>
        </w:rPr>
        <w:t>[ADI 6.045, rel. min. Marco Aurélio, j. 22-6-2020, P, DJE de 17-7-2020.]</w:t>
      </w:r>
    </w:p>
    <w:p>
      <w:pPr>
        <w:ind w:left="288"/>
      </w:pPr>
      <w:r>
        <w:rPr>
          <w:color w:val="8C8C8C"/>
          <w:sz w:val="12"/>
        </w:rPr>
        <w:t>cf-art-167-inc-II</w:t>
      </w:r>
      <w:r>
        <w:rPr>
          <w:color w:val="003CA0"/>
          <w:sz w:val="12"/>
        </w:rPr>
        <w:t xml:space="preserve"> | ADI 5.897</w:t>
      </w:r>
      <w:r>
        <w:rPr>
          <w:color w:val="003CA0"/>
          <w:sz w:val="12"/>
        </w:rPr>
        <w:t xml:space="preserve"> | rel. Luiz Fux</w:t>
      </w:r>
    </w:p>
    <w:p>
      <w:pPr>
        <w:ind w:left="288"/>
      </w:pPr>
      <w:r>
        <w:rPr>
          <w:color w:val="1E1E1E"/>
          <w:sz w:val="18"/>
        </w:rPr>
        <w:t>O artigo 167, IV, da Constituição Federal veda o estabelecimento de vinculação de receitas proveniente de impostos, quando não previstas ou autorizadas na Constituição Federal, porquanto cerceia o poder de gestão financeira do chefe do Poder Executivo e obsta o custeio das despesas urgentes, imprevistas ou extraordinárias, que se façam necessárias ao longo do exercício financeiro, tanto mais que deve dar-se aplicação aos recursos de receita pública consoante critérios de responsabilidade fiscal consentâneos com os anseios democráticos. (...) A vedação à vinculação da receita é norma que preser</w:t>
      </w:r>
    </w:p>
    <w:p>
      <w:pPr>
        <w:ind w:left="288"/>
      </w:pPr>
      <w:r>
        <w:rPr>
          <w:b/>
          <w:color w:val="003CA0"/>
          <w:sz w:val="16"/>
        </w:rPr>
        <w:t>[ADI 5.897, rel. min. Luiz Fux, j. 24-4-2019, P, DJE de 2-8-2019.]</w:t>
      </w:r>
    </w:p>
    <w:p>
      <w:pPr>
        <w:ind w:left="288"/>
      </w:pPr>
      <w:r>
        <w:rPr>
          <w:color w:val="8C8C8C"/>
          <w:sz w:val="12"/>
        </w:rPr>
        <w:t>cf-art-167-inc-II</w:t>
      </w:r>
      <w:r>
        <w:rPr>
          <w:color w:val="003CA0"/>
          <w:sz w:val="12"/>
        </w:rPr>
        <w:t xml:space="preserve"> | RE 226.855</w:t>
      </w:r>
      <w:r>
        <w:rPr>
          <w:color w:val="003CA0"/>
          <w:sz w:val="12"/>
        </w:rPr>
        <w:t xml:space="preserve"> | rel. Moreira Alves</w:t>
      </w:r>
    </w:p>
    <w:p>
      <w:pPr>
        <w:ind w:left="288"/>
      </w:pPr>
      <w:r>
        <w:rPr>
          <w:color w:val="1E1E1E"/>
          <w:sz w:val="18"/>
        </w:rPr>
        <w:t>(...) esta Suprema Corte considera constitucionais ambas as contribuições criadas pela LC 110/2001 (...). Os dois tributos tinham por objetivo custear os dispêndios da União decorrentes de decisão do STF, que considerou devido o reajuste dos saldos do FGTS (RE 226.855, rel. min. Moreira Alves, Pleno, DJ de 13-10-2000). As restrições previstas nos arts. 157, II, e 167, IV, da Constituição são aplicáveis aos impostos, e, no caso em exame, trata-se da espécie tributária contribuição, nitidamente caracterizada pela prévia escolha da destinação específica do produto arrecadado.</w:t>
      </w:r>
    </w:p>
    <w:p>
      <w:pPr>
        <w:ind w:left="288"/>
      </w:pPr>
      <w:r>
        <w:rPr>
          <w:b/>
          <w:color w:val="003CA0"/>
          <w:sz w:val="16"/>
        </w:rPr>
        <w:t>[ADI 2.556 e ADI 2.568, voto do rel. min. Joaquim Barbosa, j. 13-6-2012, P, DJE de 20-9-2012.]</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Ação direta de inconstitucionalidade contra o inciso V do § 3º do art. 120 da Constituição do Estado de Santa Catarina, com a redação dada pela EC 14, promulgada em 10 de novembro de 1997. Vinculação, por dotação orçamentária, de parte da receita corrente do Estado a programas de desenvolvimento da agricultura, pecuária e abastecimento. Inconstitucionalidade. Afronta à iniciativa privativa do chefe do Poder Executivo em tema de diretrizes orçamentárias. Precedentes. Violação ao art. 167, IV, da CF.</w:t>
      </w:r>
    </w:p>
    <w:p>
      <w:pPr>
        <w:ind w:left="288"/>
      </w:pPr>
      <w:r>
        <w:rPr>
          <w:b/>
          <w:color w:val="003CA0"/>
          <w:sz w:val="16"/>
        </w:rPr>
        <w:t>[ADI 1.759, rel. min. Gilmar Mendes, j. 14-4-2010, P, DJE de 20-8-2010.]</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Vide ADI 1.750, rel. min. Eros Grau, j. 20-9-2006, P, DJ de 13-10-2006 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3CA0"/>
          <w:sz w:val="16"/>
        </w:rPr>
        <w:t>[ADI 2.447, rel. min. Joaquim Barbosa, j. 4-3-2009, P, DJE de 4-12-2009.]</w:t>
      </w:r>
    </w:p>
    <w:p>
      <w:pPr>
        <w:ind w:left="288"/>
      </w:pPr>
      <w:r>
        <w:rPr>
          <w:color w:val="8C8C8C"/>
          <w:sz w:val="12"/>
        </w:rPr>
        <w:t>cf-art-167-inc-II</w:t>
      </w:r>
      <w:r>
        <w:rPr>
          <w:color w:val="003CA0"/>
          <w:sz w:val="12"/>
        </w:rPr>
        <w:t xml:space="preserve"> | ADI 2.529</w:t>
      </w:r>
      <w:r>
        <w:rPr>
          <w:color w:val="003CA0"/>
          <w:sz w:val="12"/>
        </w:rPr>
        <w:t xml:space="preserve"> | rel. Gilmar Mendes</w:t>
      </w:r>
    </w:p>
    <w:p>
      <w:pPr>
        <w:ind w:left="288"/>
      </w:pPr>
      <w:r>
        <w:rPr>
          <w:color w:val="1E1E1E"/>
          <w:sz w:val="18"/>
        </w:rPr>
        <w:t>Ação direta de inconstitucionalidade. Lei 13.133/2001 do Estado do Paraná, que instituiu o Programa de Incentivo à Cultura, vinculando parte da receita do ICMS ao Fundo Estadual de Cultura. Violação ao art. 167, IV, da CF.</w:t>
      </w:r>
    </w:p>
    <w:p>
      <w:pPr>
        <w:ind w:left="288"/>
      </w:pPr>
      <w:r>
        <w:rPr>
          <w:b/>
          <w:color w:val="003CA0"/>
          <w:sz w:val="16"/>
        </w:rPr>
        <w:t>[ADI 2.529, rel. min. Gilmar Mendes, j. 14-6-2007, P, DJ de 6-9-2007.]</w:t>
      </w:r>
    </w:p>
    <w:p>
      <w:pPr>
        <w:ind w:left="288"/>
      </w:pPr>
      <w:r>
        <w:rPr>
          <w:color w:val="8C8C8C"/>
          <w:sz w:val="12"/>
        </w:rPr>
        <w:t>cf-art-167-inc-II</w:t>
      </w:r>
      <w:r>
        <w:rPr>
          <w:color w:val="003CA0"/>
          <w:sz w:val="12"/>
        </w:rPr>
        <w:t xml:space="preserve"> | ADI 820</w:t>
      </w:r>
      <w:r>
        <w:rPr>
          <w:color w:val="003CA0"/>
          <w:sz w:val="12"/>
        </w:rPr>
        <w:t xml:space="preserve"> | rel. Eros Grau</w:t>
      </w:r>
    </w:p>
    <w:p>
      <w:pPr>
        <w:ind w:left="288"/>
      </w:pPr>
      <w:r>
        <w:rPr>
          <w:color w:val="1E1E1E"/>
          <w:sz w:val="18"/>
        </w:rPr>
        <w:t>Art. 202 da Constituição do Estado do Rio Grande do Sul. Lei estadual 9.723. Manutenção e desenvolvimento do ensino público. Aplicação mínima de 35% da receita resultante de impostos. Destinação de 10% desses recursos à manutenção e conservação das escolas públicas Estaduais. (...) A determinação de aplicação de parte dos recursos destinados à educação na "manutenção e conservação das escolas públicas estaduais" vinculou a receita de impostos a uma despesa específica – afronta ao disposto no art. 167, IV, da CF/1988.</w:t>
      </w:r>
    </w:p>
    <w:p>
      <w:pPr>
        <w:ind w:left="288"/>
      </w:pPr>
      <w:r>
        <w:rPr>
          <w:b/>
          <w:color w:val="003CA0"/>
          <w:sz w:val="16"/>
        </w:rPr>
        <w:t>[ADI 820, rel. min. Eros Grau, j. 15-3-2007, P, DJE de 29-2-2008.]</w:t>
      </w:r>
    </w:p>
    <w:p>
      <w:pPr>
        <w:ind w:left="288"/>
      </w:pPr>
      <w:r>
        <w:rPr>
          <w:color w:val="8C8C8C"/>
          <w:sz w:val="12"/>
        </w:rPr>
        <w:t>cf-art-167-inc-II</w:t>
      </w:r>
      <w:r>
        <w:rPr>
          <w:color w:val="003CA0"/>
          <w:sz w:val="12"/>
        </w:rPr>
        <w:t xml:space="preserve"> | ADI 584</w:t>
      </w:r>
      <w:r>
        <w:rPr>
          <w:color w:val="003CA0"/>
          <w:sz w:val="12"/>
        </w:rPr>
        <w:t xml:space="preserve"> | rel. Dias Toffoli</w:t>
      </w:r>
    </w:p>
    <w:p>
      <w:pPr>
        <w:ind w:left="288"/>
      </w:pPr>
      <w:r>
        <w:rPr>
          <w:color w:val="1E1E1E"/>
          <w:sz w:val="18"/>
        </w:rPr>
        <w:t xml:space="preserve">= ADI 584, rel. min. Dias Toffoli, j. 19-3-2014, P, DJE de 9-4-2014 Lei estadual 12.223, de 3-1-2005. Fundo Partilhado de Combate às Desigualdades Sociais e Regionais do Estado do Rio Grande do Sul. (...) As normas em estudo, ao possibilitarem o direcionamento, pelos contribuintes, do valor devido a título de ICMS para o chamado Fundo Partilhado de Combate às Desigualdades Sociais e Regionais do Estado do Rio Grande do Sul, compensando-se, em contrapartida, o valor despendido sob a forma de crédito fiscal presumido, criaram, na verdade, um mecanismo de redirecionamento da receita de ICMS para </w:t>
      </w:r>
    </w:p>
    <w:p>
      <w:pPr>
        <w:ind w:left="288"/>
      </w:pPr>
      <w:r>
        <w:rPr>
          <w:b/>
          <w:color w:val="003CA0"/>
          <w:sz w:val="16"/>
        </w:rPr>
        <w:t>[ADI 3.576, rel. min. Ellen Gracie, j. 22-11-2006, P, DJ de 2-2-2007.]</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88"/>
      </w:pPr>
      <w:r>
        <w:rPr>
          <w:b/>
          <w:color w:val="003CA0"/>
          <w:sz w:val="16"/>
        </w:rPr>
        <w:t>[ADI 1.750, rel. min. Eros Grau, j. 20-9-2006, P, DJ de 13-10-2006.]</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Vide ADI 1.759, rel. min. Gilmar Mendes, j. 14-04-2010, P, DJE de 20-8-2010 Preceito de lei estadual que destina 3% dos emolumentos cobrados pelas serventias extrajudiciais ao Fundo Especial para Instalação, Desenvolvimento e Aperfeiçoamento das Atividades dos Juizados Especiais Cíveis e Criminais do Estado do Mato Grosso do Sul não ofende o disposto no art. 167, IV, da CF.</w:t>
      </w:r>
    </w:p>
    <w:p>
      <w:pPr>
        <w:ind w:left="288"/>
      </w:pPr>
      <w:r>
        <w:rPr>
          <w:b/>
          <w:color w:val="003CA0"/>
          <w:sz w:val="16"/>
        </w:rPr>
        <w:t>[ADI 2.129, rel. min. Eros Grau, j. 26-4-2006, P, DJ de 16-6-2006.]</w:t>
      </w:r>
    </w:p>
    <w:p>
      <w:pPr>
        <w:ind w:left="288"/>
      </w:pPr>
      <w:r>
        <w:rPr>
          <w:color w:val="8C8C8C"/>
          <w:sz w:val="12"/>
        </w:rPr>
        <w:t>cf-art-167-inc-II</w:t>
      </w:r>
      <w:r>
        <w:rPr>
          <w:color w:val="003CA0"/>
          <w:sz w:val="12"/>
        </w:rPr>
        <w:t xml:space="preserve"> | ADI 2.059</w:t>
      </w:r>
      <w:r>
        <w:rPr>
          <w:color w:val="003CA0"/>
          <w:sz w:val="12"/>
        </w:rPr>
        <w:t xml:space="preserve"> | rel. Eros Grau</w:t>
      </w:r>
    </w:p>
    <w:p>
      <w:pPr>
        <w:ind w:left="288"/>
      </w:pPr>
      <w:r>
        <w:rPr>
          <w:color w:val="1E1E1E"/>
          <w:sz w:val="18"/>
        </w:rPr>
        <w:t>= ADI 2.059, rel. min. Eros Grau, j. 26-4-2006, P, DJ de 9-6-2006 Observe-se, ainda, que o art. 7º da lei estadual impugnada determinou que, do valor do crédito fiscal previsto no seu art. 3º, 40% deverá ser recolhido para apoiar os produtores e 10% para a pesquisa do algodão. Tem-se aqui inequívoca afronta ao disposto no art. 167, IV, da CF, que veda a vinculação de receita de impostos a órgão, fundo ou despesas. Ressalte-se que esta Corte houve por bem declarar a inconstitucionalidade de lei paulista que destinou 1% do ICMS ao fornecimento de programas habitacionais, por afronta ao dispositi</w:t>
      </w:r>
    </w:p>
    <w:p>
      <w:pPr>
        <w:ind w:left="288"/>
      </w:pPr>
      <w:r>
        <w:rPr>
          <w:b/>
          <w:color w:val="003CA0"/>
          <w:sz w:val="16"/>
        </w:rPr>
        <w:t>[ADI 2.722, voto do rel. min. Gilmar Mendes, j. 15-9-2005, P, DJ de 19-12-2006.]</w:t>
      </w:r>
    </w:p>
    <w:p>
      <w:pPr>
        <w:ind w:left="288"/>
      </w:pPr>
      <w:r>
        <w:rPr>
          <w:color w:val="8C8C8C"/>
          <w:sz w:val="12"/>
        </w:rPr>
        <w:t>cf-art-167-inc-II</w:t>
      </w:r>
      <w:r>
        <w:rPr>
          <w:color w:val="003CA0"/>
          <w:sz w:val="12"/>
        </w:rPr>
        <w:t xml:space="preserve"> | ADI 1.689</w:t>
      </w:r>
      <w:r>
        <w:rPr>
          <w:color w:val="003CA0"/>
          <w:sz w:val="12"/>
        </w:rPr>
        <w:t xml:space="preserve"> | rel. Sydney Sanches</w:t>
      </w:r>
    </w:p>
    <w:p>
      <w:pPr>
        <w:ind w:left="288"/>
      </w:pPr>
      <w:r>
        <w:rPr>
          <w:color w:val="1E1E1E"/>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w:t>
      </w:r>
    </w:p>
    <w:p>
      <w:pPr>
        <w:ind w:left="288"/>
      </w:pPr>
      <w:r>
        <w:rPr>
          <w:b/>
          <w:color w:val="003CA0"/>
          <w:sz w:val="16"/>
        </w:rPr>
        <w:t>[ADI 1.689, rel. min. Sydney Sanches, j. 12-3-2003, P, DJ de 2-5-2003.]</w:t>
      </w:r>
    </w:p>
    <w:p>
      <w:pPr>
        <w:ind w:left="288"/>
      </w:pPr>
      <w:r>
        <w:rPr>
          <w:color w:val="8C8C8C"/>
          <w:sz w:val="12"/>
        </w:rPr>
        <w:t>cf-art-167-inc-II</w:t>
      </w:r>
      <w:r>
        <w:rPr>
          <w:color w:val="003CA0"/>
          <w:sz w:val="12"/>
        </w:rPr>
        <w:t xml:space="preserve"> | ADI 5.635</w:t>
      </w:r>
      <w:r>
        <w:rPr>
          <w:color w:val="003CA0"/>
          <w:sz w:val="12"/>
        </w:rPr>
        <w:t xml:space="preserve"> | rel. Luís Roberto Barroso</w:t>
      </w:r>
    </w:p>
    <w:p>
      <w:pPr>
        <w:ind w:left="288"/>
      </w:pPr>
      <w:r>
        <w:rPr>
          <w:color w:val="1E1E1E"/>
          <w:sz w:val="18"/>
        </w:rPr>
        <w:t>“(i) É constitucional a exigência de depósito de percentual de benefícios fiscais de ICMS para o Fundo Orçamentário Temporário (FOT), nos termos da ADI 5.635; e (ii) é infraconstitucional e fática a controvérsia sobre a possibilidade de exigir o depósito ao FOT em benefícios fiscais de ICMS concedidos por prazo certo e sob condição.</w:t>
      </w:r>
    </w:p>
    <w:p>
      <w:pPr>
        <w:ind w:left="288"/>
      </w:pPr>
      <w:r>
        <w:rPr>
          <w:b/>
          <w:color w:val="003CA0"/>
          <w:sz w:val="16"/>
        </w:rPr>
        <w:t>[RE 1.506.320 RG, rel. min. Luís Roberto Barroso, j. 11.04.2025, P, DJE de 22.04.2025, Tema 1.386, com mérito julgado.]</w:t>
      </w:r>
    </w:p>
    <w:p>
      <w:pPr>
        <w:ind w:left="144"/>
      </w:pPr>
      <w:r>
        <w:rPr>
          <w:b/>
          <w:color w:val="B45A00"/>
          <w:sz w:val="16"/>
        </w:rPr>
        <w:t>REPERCUSSAO GERAL</w:t>
      </w:r>
    </w:p>
    <w:p>
      <w:pPr>
        <w:ind w:left="288"/>
      </w:pPr>
      <w:r>
        <w:rPr>
          <w:color w:val="8C8C8C"/>
          <w:sz w:val="12"/>
        </w:rPr>
        <w:t>cf-art-167-inc-II</w:t>
      </w:r>
      <w:r>
        <w:rPr>
          <w:color w:val="003CA0"/>
          <w:sz w:val="12"/>
        </w:rPr>
        <w:t xml:space="preserve"> | RE 585.535</w:t>
      </w:r>
      <w:r>
        <w:rPr>
          <w:color w:val="003CA0"/>
          <w:sz w:val="12"/>
        </w:rPr>
        <w:t xml:space="preserve"> | rel. Ellen Gracie</w:t>
      </w:r>
    </w:p>
    <w:p>
      <w:pPr>
        <w:ind w:left="288"/>
      </w:pPr>
      <w:r>
        <w:rPr>
          <w:color w:val="1E1E1E"/>
          <w:sz w:val="18"/>
        </w:rPr>
        <w:t>ICMS. Majoração de alíquota. (...) A Lei paulista 9.903, de 30-12-1997, apenas impôs a divulgação, pelo chefe do Executivo, do emprego dos recursos provenientes do aumento da alíquota de 17% para 18%, previsto no mesmo diploma. A proibição de vinculação de receita de impostos prevista no art. 167, IV, da CF impede a fixação de uma prévia destinação desses recursos, o que não se verificou no presente caso.</w:t>
        <w:br/>
        <w:t>[RE 585.535, rel. min. Ellen Gracie, j. 1º-2-2010, P, DJE de 21-5-2010, Tema 92, com mérito julgado.]</w:t>
        <w:br/>
        <w:t>Vide RE 183.906, rel. min. Marco Aurélio, j. 18-9-1997, P, DJ de 30-4-1998</w:t>
      </w:r>
    </w:p>
    <w:p>
      <w:pPr>
        <w:ind w:left="144"/>
      </w:pPr>
      <w:r>
        <w:rPr>
          <w:b/>
          <w:color w:val="B45A00"/>
          <w:sz w:val="16"/>
        </w:rPr>
        <w:t>JULGADOS CORRELATOS</w:t>
      </w:r>
    </w:p>
    <w:p>
      <w:pPr>
        <w:ind w:left="288"/>
      </w:pPr>
      <w:r>
        <w:rPr>
          <w:color w:val="8C8C8C"/>
          <w:sz w:val="12"/>
        </w:rPr>
        <w:t>cf-art-167-inc-II</w:t>
      </w:r>
      <w:r>
        <w:rPr>
          <w:color w:val="003CA0"/>
          <w:sz w:val="12"/>
        </w:rPr>
        <w:t xml:space="preserve"> | RCL 60.128</w:t>
      </w:r>
      <w:r>
        <w:rPr>
          <w:color w:val="003CA0"/>
          <w:sz w:val="12"/>
        </w:rPr>
        <w:t xml:space="preserve"> | rel. Luiz Fux</w:t>
      </w:r>
    </w:p>
    <w:p>
      <w:pPr>
        <w:ind w:left="288"/>
      </w:pPr>
      <w:r>
        <w:rPr>
          <w:color w:val="1E1E1E"/>
          <w:sz w:val="18"/>
        </w:rPr>
        <w:t>Não se admite a constrição indiscriminada de verbas públicas, inclusive na fase de pagamento, por meio de decisões judiciais, sob pena de afronta ao preceito contido no art. 167, VI, da CF, ao modelo constitucional de organização orçamentária das finanças públicas e ao princípio da continuidade dos serviços públicos (art. 175 da Constituição Federal).</w:t>
        <w:br/>
        <w:t>[Rcl 60.128 AgR, rel. min. Luiz Fux, red. do ac. min. Alexandre de Moraes, j. 9-10-2023, 1ª T, DJE de 19-10-2023.] Preceito de lei estadual que destina 5% dos emolumentos cobrados pelas serventias extrajudiciais e não oficializadas ao Fundo Estad</w:t>
      </w:r>
    </w:p>
    <w:p>
      <w:pPr>
        <w:ind w:left="288"/>
      </w:pPr>
      <w:r>
        <w:rPr>
          <w:b/>
          <w:color w:val="003CA0"/>
          <w:sz w:val="16"/>
        </w:rPr>
        <w:t>[RE 218.874, rel. min. Eros Grau, j. 7-11-2007, P, DJ de 1º-2-2008.]</w:t>
      </w:r>
    </w:p>
    <w:p>
      <w:pPr>
        <w:ind w:left="144"/>
      </w:pPr>
      <w:r>
        <w:rPr>
          <w:b/>
          <w:color w:val="B45A00"/>
          <w:sz w:val="16"/>
        </w:rPr>
        <w:t>CONTROLE CONCENTRADO</w:t>
      </w:r>
    </w:p>
    <w:p>
      <w:pPr>
        <w:ind w:left="288"/>
      </w:pPr>
      <w:r>
        <w:rPr>
          <w:color w:val="8C8C8C"/>
          <w:sz w:val="12"/>
        </w:rPr>
        <w:t>cf-art-167-inc-V</w:t>
      </w:r>
      <w:r>
        <w:rPr>
          <w:color w:val="003CA0"/>
          <w:sz w:val="12"/>
        </w:rPr>
        <w:t xml:space="preserve"> | ADI 4.049</w:t>
      </w:r>
      <w:r>
        <w:rPr>
          <w:color w:val="003CA0"/>
          <w:sz w:val="12"/>
        </w:rPr>
        <w:t xml:space="preserve"> | rel. Ayres Britto</w:t>
      </w:r>
    </w:p>
    <w:p>
      <w:pPr>
        <w:ind w:left="288"/>
      </w:pPr>
      <w:r>
        <w:rPr>
          <w:color w:val="1E1E1E"/>
          <w:sz w:val="18"/>
        </w:rPr>
        <w:t>Medida cautelar em ação direta de inconstitucionalidade. MP 402, de 23-11-2007, convertida na Lei 11.656, de 16-4-2008. Abertura de crédito extraordinário. (...) Violação que alcança o inciso V do mesmo artigo, na medida em que o ato normativo adversado vem a categorizar como de natureza extraordinária crédito que, em verdade, não passa de especial, ou suplementar.</w:t>
      </w:r>
    </w:p>
    <w:p>
      <w:pPr>
        <w:ind w:left="288"/>
      </w:pPr>
      <w:r>
        <w:rPr>
          <w:b/>
          <w:color w:val="003CA0"/>
          <w:sz w:val="16"/>
        </w:rPr>
        <w:t>[ADI 4.049 MC, rel. min. Ayres Britto, j. 5-11-2008, P, DJE de 8-5-2009.]</w:t>
      </w:r>
    </w:p>
    <w:p>
      <w:pPr>
        <w:ind w:left="288"/>
      </w:pPr>
      <w:r>
        <w:rPr>
          <w:color w:val="8C8C8C"/>
          <w:sz w:val="12"/>
        </w:rPr>
        <w:t>cf-art-167-inc-VI</w:t>
      </w:r>
      <w:r>
        <w:rPr>
          <w:color w:val="003CA0"/>
          <w:sz w:val="12"/>
        </w:rPr>
        <w:t xml:space="preserve"> | ADPF 616</w:t>
      </w:r>
      <w:r>
        <w:rPr>
          <w:color w:val="003CA0"/>
          <w:sz w:val="12"/>
        </w:rPr>
        <w:t xml:space="preserve"> | rel. Roberto Barroso</w:t>
      </w:r>
    </w:p>
    <w:p>
      <w:pPr>
        <w:ind w:left="288"/>
      </w:pPr>
      <w:r>
        <w:rPr>
          <w:color w:val="1E1E1E"/>
          <w:sz w:val="18"/>
        </w:rPr>
        <w:t>Os recursos públicos vinculados ao orçamento de estatais prestadoras de serviço público essencial, em regime não concorrencial e sem intuito lucrativo primário não podem ser bloqueados ou sequestrados por decisão judicial para pagamento de suas dívidas, em virtude do disposto no art. 100 da CF/1988, e dos princípios da legalidade orçamentária (art. 167, VI, da CF), da separação dos poderes (arts. 2°, 60, § 4°, III, da CF) e da eficiência da administração pública (art. 37, caput, da CF).</w:t>
        <w:br/>
        <w:t>[ADPF 616, rel. min. Roberto Barroso, j. 21-5-2021, P, DJE 21-6-2021.] Verbas estaduais não podem ser objeto</w:t>
      </w:r>
    </w:p>
    <w:p>
      <w:pPr>
        <w:ind w:left="288"/>
      </w:pPr>
      <w:r>
        <w:rPr>
          <w:b/>
          <w:color w:val="003CA0"/>
          <w:sz w:val="16"/>
        </w:rPr>
        <w:t>[ADPF 485, rel. min. Roberto Barroso, j. 7-12-2020, P, DJE de 4-2-2021.]</w:t>
      </w:r>
    </w:p>
    <w:p>
      <w:pPr>
        <w:ind w:left="288"/>
      </w:pPr>
      <w:r>
        <w:rPr>
          <w:color w:val="8C8C8C"/>
          <w:sz w:val="12"/>
        </w:rPr>
        <w:t>cf-art-167-inc-VI</w:t>
      </w:r>
      <w:r>
        <w:rPr>
          <w:color w:val="003CA0"/>
          <w:sz w:val="12"/>
        </w:rPr>
        <w:t xml:space="preserve"> | ADPF 484</w:t>
      </w:r>
      <w:r>
        <w:rPr>
          <w:color w:val="003CA0"/>
          <w:sz w:val="12"/>
        </w:rPr>
        <w:t xml:space="preserve"> | rel. Luiz Fux</w:t>
      </w:r>
    </w:p>
    <w:p>
      <w:pPr>
        <w:ind w:left="288"/>
      </w:pPr>
      <w:r>
        <w:rPr>
          <w:color w:val="1E1E1E"/>
          <w:sz w:val="18"/>
        </w:rPr>
        <w:t>O artigo 167, VI, da Constituição proíbe a transposição, o remanejamento ou a transferência de recursos de uma categoria de programação para outra ou de um órgão para outro, sem prévia autorização legislativa, mandamento esse que também vincula o Judiciário. Isso porque as regras sobre aprovação e gestão orçamentárias consagram mecanismos de freios e contrapesos essenciais ao regular funcionamento das instituições republicanas e democráticas e à concretização do princípio da separação dos poderes.</w:t>
        <w:br/>
        <w:t>[ADPF 484, rel. min. Luiz Fux, j. 4-6-2020, P, DJE de 10-11-2020.] As reiteradas decisões do Trib</w:t>
      </w:r>
    </w:p>
    <w:p>
      <w:pPr>
        <w:ind w:left="288"/>
      </w:pPr>
      <w:r>
        <w:rPr>
          <w:b/>
          <w:color w:val="003CA0"/>
          <w:sz w:val="16"/>
        </w:rPr>
        <w:t>[ADPF 405 MC, rel. min. Rosa Weber, j. 14-6-2017, P, DJE de 5-2-2018.]</w:t>
      </w:r>
    </w:p>
    <w:p>
      <w:pPr>
        <w:ind w:left="288"/>
      </w:pPr>
      <w:r>
        <w:rPr>
          <w:color w:val="8C8C8C"/>
          <w:sz w:val="12"/>
        </w:rPr>
        <w:t>cf-art-167-inc-VI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52, § 2º: alegação de ofensa ao art. 167 da CF: improcedência. Não há vinculação de receita, mas apenas distribuição dos superávit orçamentário aos poderes e ao Ministério Público: improcedência. (...)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w:t>
      </w:r>
    </w:p>
    <w:p>
      <w:pPr>
        <w:ind w:left="288"/>
      </w:pPr>
      <w:r>
        <w:rPr>
          <w:b/>
          <w:color w:val="003CA0"/>
          <w:sz w:val="16"/>
        </w:rPr>
        <w:t>[ADI 3.652, rel. min. Sepúlveda Pertence, j. 19-12-2006, P, DJ de 16-3-2007.]</w:t>
      </w:r>
    </w:p>
    <w:p>
      <w:pPr>
        <w:ind w:left="288"/>
      </w:pPr>
      <w:r>
        <w:rPr>
          <w:color w:val="8C8C8C"/>
          <w:sz w:val="12"/>
        </w:rPr>
        <w:t>cf-art-167-inc-VI</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w:t>
      </w:r>
    </w:p>
    <w:p>
      <w:pPr>
        <w:ind w:left="288"/>
      </w:pPr>
      <w:r>
        <w:rPr>
          <w:b/>
          <w:color w:val="003CA0"/>
          <w:sz w:val="16"/>
        </w:rPr>
        <w:t>[ADI 3.401, rel. min. Gilmar Mendes, j. 26-4-2006, P, DJ de 23-2-2007.]</w:t>
      </w:r>
    </w:p>
    <w:p>
      <w:pPr>
        <w:ind w:left="288"/>
      </w:pPr>
      <w:r>
        <w:rPr>
          <w:color w:val="8C8C8C"/>
          <w:sz w:val="12"/>
        </w:rPr>
        <w:t>cf-art-167-inc-VII</w:t>
      </w:r>
    </w:p>
    <w:p>
      <w:pPr>
        <w:ind w:left="288"/>
      </w:pPr>
      <w:r>
        <w:rPr>
          <w:color w:val="1E1E1E"/>
          <w:sz w:val="18"/>
        </w:rPr>
        <w:t>VIII - a utilização, sem autorização legislativa específica, de recursos dos orçamentos fiscal e da seguridade social para suprir necessidade ou cobrir déficit de empresas, fundações e fundos, inclusive dos mencionados no art. 165, § 5º;</w:t>
      </w:r>
    </w:p>
    <w:p>
      <w:pPr>
        <w:ind w:left="288"/>
      </w:pPr>
      <w:r>
        <w:rPr>
          <w:color w:val="8C8C8C"/>
          <w:sz w:val="12"/>
        </w:rPr>
        <w:t>cf-art-167-inc-IX</w:t>
      </w:r>
    </w:p>
    <w:p>
      <w:pPr>
        <w:ind w:left="288"/>
      </w:pPr>
      <w:r>
        <w:rPr>
          <w:color w:val="1E1E1E"/>
          <w:sz w:val="18"/>
        </w:rPr>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 (Incluído pela EC 19/1998)</w:t>
      </w:r>
    </w:p>
    <w:p>
      <w:pPr>
        <w:ind w:left="288"/>
      </w:pPr>
      <w:r>
        <w:rPr>
          <w:color w:val="8C8C8C"/>
          <w:sz w:val="12"/>
        </w:rPr>
        <w:t>cf-art-167-inc-IX</w:t>
      </w:r>
      <w:r>
        <w:rPr>
          <w:color w:val="003CA0"/>
          <w:sz w:val="12"/>
        </w:rPr>
        <w:t xml:space="preserve"> | ADI 5.683</w:t>
      </w:r>
      <w:r>
        <w:rPr>
          <w:color w:val="003CA0"/>
          <w:sz w:val="12"/>
        </w:rPr>
        <w:t xml:space="preserve"> | rel. Roberto Barroso</w:t>
      </w:r>
    </w:p>
    <w:p>
      <w:pPr>
        <w:ind w:left="288"/>
      </w:pPr>
      <w:r>
        <w:rPr>
          <w:color w:val="1E1E1E"/>
          <w:sz w:val="18"/>
        </w:rPr>
        <w:t>A Constituição Federal, em seu art. 167, X, veda a concessão de empréstimos por instituições financeiras estatais para o pagamento de despesas com pessoal ativo, inativo e pensionista. Impede-se, portanto, a alocação dessas receitas para o custeio de pessoal ativo e inativo. Não há na regra uma vedação absoluta à contratação de empréstimos junto a instituições financeiras estatais. A vedação estabelecida no art. 167, X, da CF diz respeito apenas a instituições financeiras estatais. A proibição não alcança as contratações realizadas com instituições financeiras privadas.</w:t>
      </w:r>
    </w:p>
    <w:p>
      <w:pPr>
        <w:ind w:left="288"/>
      </w:pPr>
      <w:r>
        <w:rPr>
          <w:b/>
          <w:color w:val="003CA0"/>
          <w:sz w:val="16"/>
        </w:rPr>
        <w:t>[ADI 5.683, rel. min. Roberto Barroso, j. 22-4-2022, P, DJE de 19-5-2022.]</w:t>
      </w:r>
    </w:p>
    <w:p>
      <w:pPr>
        <w:ind w:left="288"/>
      </w:pPr>
      <w:r>
        <w:rPr>
          <w:color w:val="8C8C8C"/>
          <w:sz w:val="12"/>
        </w:rPr>
        <w:t>cf-art-167-inc-IX</w:t>
      </w:r>
      <w:r>
        <w:rPr>
          <w:color w:val="003CA0"/>
          <w:sz w:val="12"/>
        </w:rPr>
        <w:t xml:space="preserve"> | ADPF 485</w:t>
      </w:r>
      <w:r>
        <w:rPr>
          <w:color w:val="003CA0"/>
          <w:sz w:val="12"/>
        </w:rPr>
        <w:t xml:space="preserve"> | rel. Roberto Barroso</w:t>
      </w:r>
    </w:p>
    <w:p>
      <w:pPr>
        <w:ind w:left="288"/>
      </w:pPr>
      <w:r>
        <w:rPr>
          <w:color w:val="1E1E1E"/>
          <w:sz w:val="18"/>
        </w:rPr>
        <w:t>Verbas estaduais não podem ser objeto de bloqueio, penhora e/ou sequestro para pagamento de valores devidos em ações trabalhistas, ainda que as empresas reclamadas detenham créditos a receber da administração pública estadual, em virtude do disposto no art. 167, VI e X, da CF, e do princípio da separação de poderes (art. 2º da CF).</w:t>
      </w:r>
    </w:p>
    <w:p>
      <w:pPr>
        <w:ind w:left="288"/>
      </w:pPr>
      <w:r>
        <w:rPr>
          <w:b/>
          <w:color w:val="003CA0"/>
          <w:sz w:val="16"/>
        </w:rPr>
        <w:t>[ADPF 485, rel. min. Roberto Barroso, j. 7-12-2020, P, DJE de 4-2-2021.]</w:t>
      </w:r>
    </w:p>
    <w:p>
      <w:pPr>
        <w:ind w:left="288"/>
      </w:pPr>
      <w:r>
        <w:rPr>
          <w:color w:val="8C8C8C"/>
          <w:sz w:val="12"/>
        </w:rPr>
        <w:t>cf-art-167-inc-IX</w:t>
      </w:r>
      <w:r>
        <w:rPr>
          <w:color w:val="003CA0"/>
          <w:sz w:val="12"/>
        </w:rPr>
        <w:t xml:space="preserve"> | ADPF 405</w:t>
      </w:r>
      <w:r>
        <w:rPr>
          <w:color w:val="003CA0"/>
          <w:sz w:val="12"/>
        </w:rPr>
        <w:t xml:space="preserve"> | rel. Rosa Weber</w:t>
      </w:r>
    </w:p>
    <w:p>
      <w:pPr>
        <w:ind w:left="288"/>
      </w:pPr>
      <w:r>
        <w:rPr>
          <w:color w:val="1E1E1E"/>
          <w:sz w:val="18"/>
        </w:rPr>
        <w:t>As reiteradas decisões do Tribunal de Justiça do Estado do Rio de Janeiro e do TRT 1ª Região que resultaram em bloqueio, arresto, penhora, sequestro e liberação de valores administrados pelo Poder Executivo do Estado do Rio de Janeiro para atender demandas relativas a pagamento de salário de servidores ativos e inativos, satisfação imediata de créditos de prestadores de serviços e tutelas provisórias definidoras de prioridades na aplicação de recursos públicos traduzem, em seu conjunto, ato do poder público passível de controle pela via da arguição de descumprimento de preceito fundamental (..</w:t>
      </w:r>
    </w:p>
    <w:p>
      <w:pPr>
        <w:ind w:left="288"/>
      </w:pPr>
      <w:r>
        <w:rPr>
          <w:color w:val="8C8C8C"/>
          <w:sz w:val="12"/>
        </w:rPr>
        <w:t>cf-art-167-par-1</w:t>
      </w:r>
    </w:p>
    <w:p>
      <w:pPr>
        <w:ind w:left="288"/>
      </w:pPr>
      <w:r>
        <w:rPr>
          <w:color w:val="1E1E1E"/>
          <w:sz w:val="18"/>
        </w:rPr>
        <w:t>§ 2º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subsequente.</w:t>
      </w:r>
    </w:p>
    <w:p>
      <w:pPr>
        <w:ind w:left="288"/>
      </w:pPr>
      <w:r>
        <w:rPr>
          <w:color w:val="8C8C8C"/>
          <w:sz w:val="12"/>
        </w:rPr>
        <w:t>cf-art-167-par-1</w:t>
      </w:r>
      <w:r>
        <w:rPr>
          <w:color w:val="003CA0"/>
          <w:sz w:val="12"/>
        </w:rPr>
        <w:t xml:space="preserve"> | ADI 4.049</w:t>
      </w:r>
      <w:r>
        <w:rPr>
          <w:color w:val="003CA0"/>
          <w:sz w:val="12"/>
        </w:rPr>
        <w:t xml:space="preserve"> | rel. Ayres Britto</w:t>
      </w:r>
    </w:p>
    <w:p>
      <w:pPr>
        <w:ind w:left="288"/>
      </w:pPr>
      <w:r>
        <w:rPr>
          <w:color w:val="1E1E1E"/>
          <w:sz w:val="18"/>
        </w:rPr>
        <w:t>Medida provisória que abre crédito extraordinário não se exaure no ato de sua primeira aplicação. Ela somente se exaure ao final do exercício financeiro para o qual foi aberto o crédito extraordinário nela referido. Hipótese em que a abertura do crédito se deu nos últimos quatro meses do exercício, projetando-se, nos limites de seus saldos, para o orçamento do exercício financeiro subsequente (§ 2º do art. 167 da CF).</w:t>
      </w:r>
    </w:p>
    <w:p>
      <w:pPr>
        <w:ind w:left="288"/>
      </w:pPr>
      <w:r>
        <w:rPr>
          <w:b/>
          <w:color w:val="003CA0"/>
          <w:sz w:val="16"/>
        </w:rPr>
        <w:t>[ADI 4.049 MC, rel. min. Ayres Britto, j. 5-11-2008, P, DJE de 8-5-2009.]</w:t>
      </w:r>
    </w:p>
    <w:p>
      <w:pPr>
        <w:ind w:left="288"/>
      </w:pPr>
      <w:r>
        <w:rPr>
          <w:color w:val="8C8C8C"/>
          <w:sz w:val="12"/>
        </w:rPr>
        <w:t>cf-art-167-par-3</w:t>
      </w:r>
      <w:r>
        <w:rPr>
          <w:color w:val="003CA0"/>
          <w:sz w:val="12"/>
        </w:rPr>
        <w:t xml:space="preserve"> | ADI 4.048</w:t>
      </w:r>
      <w:r>
        <w:rPr>
          <w:color w:val="003CA0"/>
          <w:sz w:val="12"/>
        </w:rPr>
        <w:t xml:space="preserve"> | rel. Gilmar Mendes</w:t>
      </w:r>
    </w:p>
    <w:p>
      <w:pPr>
        <w:ind w:left="288"/>
      </w:pPr>
      <w:r>
        <w:rPr>
          <w:color w:val="1E1E1E"/>
          <w:sz w:val="18"/>
        </w:rPr>
        <w:t>Limites constitucionais à atividade legislativa excepcional do Poder Executivo na edição de medidas provisórias para abertura de crédito extraordinário. Interpretação do art. 167, § 3º, c/c o art. 62, § 1º,  I, d, da Constituição. Além dos requisitos de relevância e urgência (art. 62), a Constituição exige que a abertura do crédito extraordinário seja feita apenas para atender a despesas imprevisíveis e urgentes. Ao contrário do que ocorre em relação aos requisitos de relevância e urgência (art. 62), que se submetem a uma ampla margem de discricionariedade por parte do presidente da República,</w:t>
      </w:r>
    </w:p>
    <w:p>
      <w:pPr>
        <w:ind w:left="288"/>
      </w:pPr>
      <w:r>
        <w:rPr>
          <w:b/>
          <w:color w:val="003CA0"/>
          <w:sz w:val="16"/>
        </w:rPr>
        <w:t>[ADI 4.048 MC, rel. min. Gilmar Mendes, j. 14-5-2008, P, DJE de 22-8-2008.]</w:t>
      </w:r>
    </w:p>
    <w:p>
      <w:pPr>
        <w:ind w:left="288"/>
      </w:pPr>
      <w:r>
        <w:rPr>
          <w:color w:val="8C8C8C"/>
          <w:sz w:val="12"/>
        </w:rPr>
        <w:t>cf-art-167-par-3</w:t>
      </w:r>
      <w:r>
        <w:rPr>
          <w:color w:val="003CA0"/>
          <w:sz w:val="12"/>
        </w:rPr>
        <w:t xml:space="preserve"> | ADI 4.049</w:t>
      </w:r>
      <w:r>
        <w:rPr>
          <w:color w:val="003CA0"/>
          <w:sz w:val="12"/>
        </w:rPr>
        <w:t xml:space="preserve"> | rel. Ayres Britto</w:t>
      </w:r>
    </w:p>
    <w:p>
      <w:pPr>
        <w:ind w:left="288"/>
      </w:pPr>
      <w:r>
        <w:rPr>
          <w:color w:val="1E1E1E"/>
          <w:sz w:val="18"/>
        </w:rPr>
        <w:t>= ADI 4.049 MC, rel. min. Ayres Britto, j. 5-11-2008, P, DJE de 8-5-2009 § 4º É permitida a vinculação das receitas a que se referem os arts. 155, 156, 156-A, 157, 158 e as alíneas a, b, d, e e f do inciso I e o inciso II do caput do art. 159 desta Constituição para pagamento de débitos com a União e para prestar-lhe garantia ou contragarantia. (Redação dada pela EC n. 132/2023)</w:t>
      </w:r>
    </w:p>
    <w:p>
      <w:r>
        <w:rPr>
          <w:b/>
          <w:color w:val="003366"/>
          <w:sz w:val="20"/>
        </w:rPr>
        <w:t xml:space="preserve">Art. 167 E. Fica dispensada, durante a integralidade do exercício financeiro em </w:t>
      </w:r>
      <w:r>
        <w:rPr>
          <w:color w:val="8C8C8C"/>
          <w:sz w:val="14"/>
        </w:rPr>
        <w:t xml:space="preserve">  [38 decisoes]</w:t>
      </w:r>
    </w:p>
    <w:p>
      <w:pPr>
        <w:ind w:left="144"/>
      </w:pPr>
      <w:r>
        <w:rPr>
          <w:b/>
          <w:color w:val="B45A00"/>
          <w:sz w:val="16"/>
        </w:rPr>
        <w:t>JULGADOS CORRELATOS</w:t>
      </w:r>
    </w:p>
    <w:p>
      <w:pPr>
        <w:ind w:left="288"/>
      </w:pPr>
      <w:r>
        <w:rPr>
          <w:color w:val="8C8C8C"/>
          <w:sz w:val="12"/>
        </w:rPr>
        <w:t>cf-art-167-inc-I</w:t>
      </w:r>
      <w:r>
        <w:rPr>
          <w:color w:val="003CA0"/>
          <w:sz w:val="12"/>
        </w:rPr>
        <w:t xml:space="preserve"> | PET 2.836</w:t>
      </w:r>
      <w:r>
        <w:rPr>
          <w:color w:val="003CA0"/>
          <w:sz w:val="12"/>
        </w:rPr>
        <w:t xml:space="preserve"> | rel. Carlos Velloso</w:t>
      </w:r>
    </w:p>
    <w:p>
      <w:pPr>
        <w:ind w:left="288"/>
      </w:pPr>
      <w:r>
        <w:rPr>
          <w:color w:val="1E1E1E"/>
          <w:sz w:val="18"/>
        </w:rPr>
        <w:t>Determinação judicial de construção de creches pelo Município. Despesas públicas: necessidade de autorização orçamentária: CF, art. 167. Fumus boni juris e periculum in mora ocorrentes. Concessão de efeito suspensivo ao recurso extraordinário diante da possibilidade de ocorrência de graves prejuízos aos cofres públicos municipais.</w:t>
      </w:r>
    </w:p>
    <w:p>
      <w:pPr>
        <w:ind w:left="288"/>
      </w:pPr>
      <w:r>
        <w:rPr>
          <w:b/>
          <w:color w:val="003CA0"/>
          <w:sz w:val="16"/>
        </w:rPr>
        <w:t>[Pet 2.836 QO, rel. min. Carlos Velloso, j. 11-2-2003, 2ª T, DJ de 14-3-2003.]</w:t>
      </w:r>
    </w:p>
    <w:p>
      <w:pPr>
        <w:ind w:left="144"/>
      </w:pPr>
      <w:r>
        <w:rPr>
          <w:b/>
          <w:color w:val="B45A00"/>
          <w:sz w:val="16"/>
        </w:rPr>
        <w:t>CONTROLE CONCENTRADO</w:t>
      </w:r>
    </w:p>
    <w:p>
      <w:pPr>
        <w:ind w:left="288"/>
      </w:pPr>
      <w:r>
        <w:rPr>
          <w:color w:val="8C8C8C"/>
          <w:sz w:val="12"/>
        </w:rPr>
        <w:t>cf-art-167-inc-II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56, parágrafo único: procedência, em parte, para atribuir interpretação conforme à expressão "abertura de novos elementos de despesa".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Constituição, que veda "a realização de despesas ou a assunção de ob</w:t>
      </w:r>
    </w:p>
    <w:p>
      <w:pPr>
        <w:ind w:left="288"/>
      </w:pPr>
      <w:r>
        <w:rPr>
          <w:b/>
          <w:color w:val="003CA0"/>
          <w:sz w:val="16"/>
        </w:rPr>
        <w:t>[ADI 3.652, rel. min. Sepúlveda Pertence, j. 19-12-2006, P, DJ de 16-3-2007.]</w:t>
      </w:r>
    </w:p>
    <w:p>
      <w:pPr>
        <w:ind w:left="288"/>
      </w:pPr>
      <w:r>
        <w:rPr>
          <w:color w:val="8C8C8C"/>
          <w:sz w:val="12"/>
        </w:rPr>
        <w:t>cf-art-167-inc-II</w:t>
      </w:r>
      <w:r>
        <w:rPr>
          <w:color w:val="003CA0"/>
          <w:sz w:val="12"/>
        </w:rPr>
        <w:t xml:space="preserve"> | ADI 352</w:t>
      </w:r>
      <w:r>
        <w:rPr>
          <w:color w:val="003CA0"/>
          <w:sz w:val="12"/>
        </w:rPr>
        <w:t xml:space="preserve"> | rel. Celso de Mello</w:t>
      </w:r>
    </w:p>
    <w:p>
      <w:pPr>
        <w:ind w:left="288"/>
      </w:pPr>
      <w:r>
        <w:rPr>
          <w:color w:val="1E1E1E"/>
          <w:sz w:val="18"/>
        </w:rPr>
        <w:t>Reveste-se de plausibilidade jurídica, no entanto, a tese, sustentada em ação direta, de que o legislador estadual, condicionado em sua ação normativa por princípios superiores enunciados na CF, não pode, ao fixar a despesa pública, autorizar gastos que excedam os créditos orçamentários ou adicionais, ou omitir-lhes a correspondente fonte de custeio, com a necessária indicação dos recursos existentes.</w:t>
      </w:r>
    </w:p>
    <w:p>
      <w:pPr>
        <w:ind w:left="288"/>
      </w:pPr>
      <w:r>
        <w:rPr>
          <w:b/>
          <w:color w:val="003CA0"/>
          <w:sz w:val="16"/>
        </w:rPr>
        <w:t>[ADI 352 MC, rel. min. Celso de Mello, j. 29-8-1990, P, DJ de 8-3-1991.]</w:t>
      </w:r>
    </w:p>
    <w:p>
      <w:pPr>
        <w:ind w:left="144"/>
      </w:pPr>
      <w:r>
        <w:rPr>
          <w:b/>
          <w:color w:val="B45A00"/>
          <w:sz w:val="16"/>
        </w:rPr>
        <w:t>JULGADOS CORRELATOS</w:t>
      </w:r>
    </w:p>
    <w:p>
      <w:pPr>
        <w:ind w:left="288"/>
      </w:pPr>
      <w:r>
        <w:rPr>
          <w:color w:val="8C8C8C"/>
          <w:sz w:val="12"/>
        </w:rPr>
        <w:t>cf-art-167-inc-II</w:t>
      </w:r>
      <w:r>
        <w:rPr>
          <w:color w:val="003CA0"/>
          <w:sz w:val="12"/>
        </w:rPr>
        <w:t xml:space="preserve"> | ACO 3.414</w:t>
      </w:r>
      <w:r>
        <w:rPr>
          <w:color w:val="003CA0"/>
          <w:sz w:val="12"/>
        </w:rPr>
        <w:t xml:space="preserve"> | rel. Gilmar Mendes</w:t>
      </w:r>
    </w:p>
    <w:p>
      <w:pPr>
        <w:ind w:left="288"/>
      </w:pPr>
      <w:r>
        <w:rPr>
          <w:color w:val="1E1E1E"/>
          <w:sz w:val="18"/>
        </w:rPr>
        <w:t>Uso de recursos do FCDF para o pagamento de despesas do exercício anterior ao do orçamento vigente. Impossibilidade. Ofensa aos arts. 165, III, XIV, c/c art. 167, II, ambos da CF e ao princípio da anualidade orçamentária (...).</w:t>
      </w:r>
    </w:p>
    <w:p>
      <w:pPr>
        <w:ind w:left="288"/>
      </w:pPr>
      <w:r>
        <w:rPr>
          <w:b/>
          <w:color w:val="003CA0"/>
          <w:sz w:val="16"/>
        </w:rPr>
        <w:t>[ACO 3.414 AgR, rel. min. Gilmar Mendes, j. 18-12-2021, P, DJE de 15-2-2022.]</w:t>
      </w:r>
    </w:p>
    <w:p>
      <w:pPr>
        <w:ind w:left="288"/>
      </w:pPr>
      <w:r>
        <w:rPr>
          <w:color w:val="8C8C8C"/>
          <w:sz w:val="12"/>
        </w:rPr>
        <w:t>cf-art-167-inc-II</w:t>
      </w:r>
    </w:p>
    <w:p>
      <w:pPr>
        <w:ind w:left="288"/>
      </w:pPr>
      <w:r>
        <w:rPr>
          <w:color w:val="1E1E1E"/>
          <w:sz w:val="18"/>
        </w:rPr>
        <w:t>III - a realização de operações de créditos que excedam o montante das despesas de capital, ressalvadas as autorizadas mediante créditos suplementares ou especiais com finalidade precisa, aprovados pelo Poder Legislativo por maioria absoluta;</w:t>
      </w:r>
    </w:p>
    <w:p>
      <w:pPr>
        <w:ind w:left="144"/>
      </w:pPr>
      <w:r>
        <w:rPr>
          <w:b/>
          <w:color w:val="B45A00"/>
          <w:sz w:val="16"/>
        </w:rPr>
        <w:t>CONTROLE CONCENTRADO</w:t>
      </w:r>
    </w:p>
    <w:p>
      <w:pPr>
        <w:ind w:left="288"/>
      </w:pPr>
      <w:r>
        <w:rPr>
          <w:color w:val="8C8C8C"/>
          <w:sz w:val="12"/>
        </w:rPr>
        <w:t>cf-art-167-inc-II</w:t>
      </w:r>
      <w:r>
        <w:rPr>
          <w:color w:val="003CA0"/>
          <w:sz w:val="12"/>
        </w:rPr>
        <w:t xml:space="preserve"> | ADI 6.660</w:t>
      </w:r>
      <w:r>
        <w:rPr>
          <w:color w:val="003CA0"/>
          <w:sz w:val="12"/>
        </w:rPr>
        <w:t xml:space="preserve"> | rel. Rosa Weber</w:t>
      </w:r>
    </w:p>
    <w:p>
      <w:pPr>
        <w:ind w:left="288"/>
      </w:pPr>
      <w:r>
        <w:rPr>
          <w:color w:val="1E1E1E"/>
          <w:sz w:val="18"/>
        </w:rPr>
        <w:t>Lei 12.305, de 18 de dezembro de 2002, do Estado de Pernambuco, alterada pela lei 12.337/2003, que dispõe sobre os depósitos judiciais e extrajudiciais à disposição do Poder Judiciário Estadual ou da Secretaria da Fazenda. (...) Criação, pela lei estadual impugnada, de um endividamento inconstitucional afastado das hipóteses de dívida pública albergadas pela Carta Magna – violação do artigo 167, III.</w:t>
      </w:r>
    </w:p>
    <w:p>
      <w:pPr>
        <w:ind w:left="288"/>
      </w:pPr>
      <w:r>
        <w:rPr>
          <w:b/>
          <w:color w:val="003CA0"/>
          <w:sz w:val="16"/>
        </w:rPr>
        <w:t>[ADI 6.660, rel. min. Rosa Weber, j. 21-6-2022, P, DJE de 29-6-2022.]</w:t>
      </w:r>
    </w:p>
    <w:p>
      <w:pPr>
        <w:ind w:left="288"/>
      </w:pPr>
      <w:r>
        <w:rPr>
          <w:color w:val="8C8C8C"/>
          <w:sz w:val="12"/>
        </w:rPr>
        <w:t>cf-art-167-inc-II</w:t>
      </w:r>
      <w:r>
        <w:rPr>
          <w:color w:val="003CA0"/>
          <w:sz w:val="12"/>
        </w:rPr>
        <w:t xml:space="preserve"> | ADI 5.683</w:t>
      </w:r>
      <w:r>
        <w:rPr>
          <w:color w:val="003CA0"/>
          <w:sz w:val="12"/>
        </w:rPr>
        <w:t xml:space="preserve"> | rel. Roberto Barroso</w:t>
      </w:r>
    </w:p>
    <w:p>
      <w:pPr>
        <w:ind w:left="288"/>
      </w:pPr>
      <w:r>
        <w:rPr>
          <w:color w:val="1E1E1E"/>
          <w:sz w:val="18"/>
        </w:rPr>
        <w:t>A vedação do art. 167, III, da CF não impede a contratação de operações de crédito para o custeio de despesas correntes. Proíbe-se, somente, a contratação que exceda o montante das despesas de capital. Aliás, a mera autorização legislativa não afronta essa regra constitucional, mas apenas a contratação em si, se não respeitar os limites estabelecidos.</w:t>
      </w:r>
    </w:p>
    <w:p>
      <w:pPr>
        <w:ind w:left="288"/>
      </w:pPr>
      <w:r>
        <w:rPr>
          <w:b/>
          <w:color w:val="003CA0"/>
          <w:sz w:val="16"/>
        </w:rPr>
        <w:t>[ADI 5.683, rel. min. Roberto Barroso, j. 22-4-2022, P, DJE de 19-5-2022.]</w:t>
      </w:r>
    </w:p>
    <w:p>
      <w:pPr>
        <w:ind w:left="288"/>
      </w:pPr>
      <w:r>
        <w:rPr>
          <w:color w:val="8C8C8C"/>
          <w:sz w:val="12"/>
        </w:rPr>
        <w:t>cf-art-167-inc-II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Ao prever limite textualmente diverso da regra do art. 167, III, da CF, o art. 12, § 2º, da LRF enseja interpretações distorcidas do teto a ser aplicado às receitas decorrentes de operações de crédito, pelo que a ação deve ser parcialmente provida, nesse ponto, para dar interpretação conforme ao dispositivo para o fim de explicitar que a proibição não abrange operações de crédito autorizadas mediante créditos suplementares ou especiais com finalidade precisa, aprovados pelo Poder Legisl</w:t>
      </w:r>
    </w:p>
    <w:p>
      <w:pPr>
        <w:ind w:left="288"/>
      </w:pPr>
      <w:r>
        <w:rPr>
          <w:b/>
          <w:color w:val="003CA0"/>
          <w:sz w:val="16"/>
        </w:rPr>
        <w:t>[ADI 2.238, rel. min. Alexandre de Moraes, j. 24-6-2020, P, DJE de 15-9-2020.]</w:t>
      </w:r>
    </w:p>
    <w:p>
      <w:pPr>
        <w:ind w:left="288"/>
      </w:pPr>
      <w:r>
        <w:rPr>
          <w:color w:val="8C8C8C"/>
          <w:sz w:val="12"/>
        </w:rPr>
        <w:t>cf-art-167-inc-II</w:t>
      </w:r>
      <w:r>
        <w:rPr>
          <w:color w:val="003CA0"/>
          <w:sz w:val="12"/>
        </w:rPr>
        <w:t xml:space="preserve"> | ADI 3.516</w:t>
      </w:r>
      <w:r>
        <w:rPr>
          <w:color w:val="003CA0"/>
          <w:sz w:val="12"/>
        </w:rPr>
        <w:t xml:space="preserve"> | rel. Edson Fachin</w:t>
      </w:r>
    </w:p>
    <w:p>
      <w:pPr>
        <w:ind w:left="288"/>
      </w:pPr>
      <w:r>
        <w:rPr>
          <w:color w:val="1E1E1E"/>
          <w:sz w:val="18"/>
        </w:rP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 (Redação da EC 42/2003) A ressal</w:t>
      </w:r>
    </w:p>
    <w:p>
      <w:pPr>
        <w:ind w:left="288"/>
      </w:pPr>
      <w:r>
        <w:rPr>
          <w:b/>
          <w:color w:val="003CA0"/>
          <w:sz w:val="16"/>
        </w:rPr>
        <w:t>[ADI 3.516, rel. min. Edson Fachin, j. 16.12.2024, P, DJE de 06.02.2025.]</w:t>
      </w:r>
    </w:p>
    <w:p>
      <w:pPr>
        <w:ind w:left="288"/>
      </w:pPr>
      <w:r>
        <w:rPr>
          <w:color w:val="8C8C8C"/>
          <w:sz w:val="12"/>
        </w:rPr>
        <w:t>cf-art-167-inc-II</w:t>
      </w:r>
      <w:r>
        <w:rPr>
          <w:color w:val="003CA0"/>
          <w:sz w:val="12"/>
        </w:rPr>
        <w:t xml:space="preserve"> | ADI 5.635</w:t>
      </w:r>
      <w:r>
        <w:rPr>
          <w:color w:val="003CA0"/>
          <w:sz w:val="12"/>
        </w:rPr>
        <w:t xml:space="preserve"> | rel. Luís Roberto Barroso</w:t>
      </w:r>
    </w:p>
    <w:p>
      <w:pPr>
        <w:ind w:left="288"/>
      </w:pPr>
      <w:r>
        <w:rPr>
          <w:color w:val="1E1E1E"/>
          <w:sz w:val="18"/>
        </w:rPr>
        <w:t>“São constitucionais as Leis nºs 7.428/2016 e 8.645/2019, ambas do Estado do Rio de Janeiro, que instituíram o Fundo Estadual de Equilíbrio Fiscal – FEEF e, posteriormente, o Fundo Orçamentário Temporário – FOT, fundos atípicos cujas receitas não estão vinculadas a um programa governamental específico e detalhado”.</w:t>
        <w:br/>
        <w:t>[ADI 5.635, rel. min. Luís Roberto Barroso, j. 18-10-2023, P, DJE de 24-11-2023.] O Estado de Mato Grosso do Sul adotou sistema de rateio no qual os recursos destinados aos órgãos da área-meio são posteriormente atribuídos aos da área-fim, mediante transposição, remanejamento ou tra</w:t>
      </w:r>
    </w:p>
    <w:p>
      <w:pPr>
        <w:ind w:left="288"/>
      </w:pPr>
      <w:r>
        <w:rPr>
          <w:b/>
          <w:color w:val="003CA0"/>
          <w:sz w:val="16"/>
        </w:rPr>
        <w:t>[ADI 6.045, rel. min. Marco Aurélio, j. 22-6-2020, P, DJE de 17-7-2020.]</w:t>
      </w:r>
    </w:p>
    <w:p>
      <w:pPr>
        <w:ind w:left="288"/>
      </w:pPr>
      <w:r>
        <w:rPr>
          <w:color w:val="8C8C8C"/>
          <w:sz w:val="12"/>
        </w:rPr>
        <w:t>cf-art-167-inc-II</w:t>
      </w:r>
      <w:r>
        <w:rPr>
          <w:color w:val="003CA0"/>
          <w:sz w:val="12"/>
        </w:rPr>
        <w:t xml:space="preserve"> | ADI 5.897</w:t>
      </w:r>
      <w:r>
        <w:rPr>
          <w:color w:val="003CA0"/>
          <w:sz w:val="12"/>
        </w:rPr>
        <w:t xml:space="preserve"> | rel. Luiz Fux</w:t>
      </w:r>
    </w:p>
    <w:p>
      <w:pPr>
        <w:ind w:left="288"/>
      </w:pPr>
      <w:r>
        <w:rPr>
          <w:color w:val="1E1E1E"/>
          <w:sz w:val="18"/>
        </w:rPr>
        <w:t>O artigo 167, IV, da Constituição Federal veda o estabelecimento de vinculação de receitas proveniente de impostos, quando não previstas ou autorizadas na Constituição Federal, porquanto cerceia o poder de gestão financeira do chefe do Poder Executivo e obsta o custeio das despesas urgentes, imprevistas ou extraordinárias, que se façam necessárias ao longo do exercício financeiro, tanto mais que deve dar-se aplicação aos recursos de receita pública consoante critérios de responsabilidade fiscal consentâneos com os anseios democráticos. (...) A vedação à vinculação da receita é norma que preser</w:t>
      </w:r>
    </w:p>
    <w:p>
      <w:pPr>
        <w:ind w:left="288"/>
      </w:pPr>
      <w:r>
        <w:rPr>
          <w:b/>
          <w:color w:val="003CA0"/>
          <w:sz w:val="16"/>
        </w:rPr>
        <w:t>[ADI 5.897, rel. min. Luiz Fux, j. 24-4-2019, P, DJE de 2-8-2019.]</w:t>
      </w:r>
    </w:p>
    <w:p>
      <w:pPr>
        <w:ind w:left="288"/>
      </w:pPr>
      <w:r>
        <w:rPr>
          <w:color w:val="8C8C8C"/>
          <w:sz w:val="12"/>
        </w:rPr>
        <w:t>cf-art-167-inc-II</w:t>
      </w:r>
      <w:r>
        <w:rPr>
          <w:color w:val="003CA0"/>
          <w:sz w:val="12"/>
        </w:rPr>
        <w:t xml:space="preserve"> | RE 226.855</w:t>
      </w:r>
      <w:r>
        <w:rPr>
          <w:color w:val="003CA0"/>
          <w:sz w:val="12"/>
        </w:rPr>
        <w:t xml:space="preserve"> | rel. Moreira Alves</w:t>
      </w:r>
    </w:p>
    <w:p>
      <w:pPr>
        <w:ind w:left="288"/>
      </w:pPr>
      <w:r>
        <w:rPr>
          <w:color w:val="1E1E1E"/>
          <w:sz w:val="18"/>
        </w:rPr>
        <w:t>(...) esta Suprema Corte considera constitucionais ambas as contribuições criadas pela LC 110/2001 (...). Os dois tributos tinham por objetivo custear os dispêndios da União decorrentes de decisão do STF, que considerou devido o reajuste dos saldos do FGTS (RE 226.855, rel. min. Moreira Alves, Pleno, DJ de 13-10-2000). As restrições previstas nos arts. 157, II, e 167, IV, da Constituição são aplicáveis aos impostos, e, no caso em exame, trata-se da espécie tributária contribuição, nitidamente caracterizada pela prévia escolha da destinação específica do produto arrecadado.</w:t>
      </w:r>
    </w:p>
    <w:p>
      <w:pPr>
        <w:ind w:left="288"/>
      </w:pPr>
      <w:r>
        <w:rPr>
          <w:b/>
          <w:color w:val="003CA0"/>
          <w:sz w:val="16"/>
        </w:rPr>
        <w:t>[ADI 2.556 e ADI 2.568, voto do rel. min. Joaquim Barbosa, j. 13-6-2012, P, DJE de 20-9-2012.]</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Ação direta de inconstitucionalidade contra o inciso V do § 3º do art. 120 da Constituição do Estado de Santa Catarina, com a redação dada pela EC 14, promulgada em 10 de novembro de 1997. Vinculação, por dotação orçamentária, de parte da receita corrente do Estado a programas de desenvolvimento da agricultura, pecuária e abastecimento. Inconstitucionalidade. Afronta à iniciativa privativa do chefe do Poder Executivo em tema de diretrizes orçamentárias. Precedentes. Violação ao art. 167, IV, da CF.</w:t>
      </w:r>
    </w:p>
    <w:p>
      <w:pPr>
        <w:ind w:left="288"/>
      </w:pPr>
      <w:r>
        <w:rPr>
          <w:b/>
          <w:color w:val="003CA0"/>
          <w:sz w:val="16"/>
        </w:rPr>
        <w:t>[ADI 1.759, rel. min. Gilmar Mendes, j. 14-4-2010, P, DJE de 20-8-2010.]</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Vide ADI 1.750, rel. min. Eros Grau, j. 20-9-2006, P, DJ de 13-10-2006 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3CA0"/>
          <w:sz w:val="16"/>
        </w:rPr>
        <w:t>[ADI 2.447, rel. min. Joaquim Barbosa, j. 4-3-2009, P, DJE de 4-12-2009.]</w:t>
      </w:r>
    </w:p>
    <w:p>
      <w:pPr>
        <w:ind w:left="288"/>
      </w:pPr>
      <w:r>
        <w:rPr>
          <w:color w:val="8C8C8C"/>
          <w:sz w:val="12"/>
        </w:rPr>
        <w:t>cf-art-167-inc-II</w:t>
      </w:r>
      <w:r>
        <w:rPr>
          <w:color w:val="003CA0"/>
          <w:sz w:val="12"/>
        </w:rPr>
        <w:t xml:space="preserve"> | ADI 2.529</w:t>
      </w:r>
      <w:r>
        <w:rPr>
          <w:color w:val="003CA0"/>
          <w:sz w:val="12"/>
        </w:rPr>
        <w:t xml:space="preserve"> | rel. Gilmar Mendes</w:t>
      </w:r>
    </w:p>
    <w:p>
      <w:pPr>
        <w:ind w:left="288"/>
      </w:pPr>
      <w:r>
        <w:rPr>
          <w:color w:val="1E1E1E"/>
          <w:sz w:val="18"/>
        </w:rPr>
        <w:t>Ação direta de inconstitucionalidade. Lei 13.133/2001 do Estado do Paraná, que instituiu o Programa de Incentivo à Cultura, vinculando parte da receita do ICMS ao Fundo Estadual de Cultura. Violação ao art. 167, IV, da CF.</w:t>
      </w:r>
    </w:p>
    <w:p>
      <w:pPr>
        <w:ind w:left="288"/>
      </w:pPr>
      <w:r>
        <w:rPr>
          <w:b/>
          <w:color w:val="003CA0"/>
          <w:sz w:val="16"/>
        </w:rPr>
        <w:t>[ADI 2.529, rel. min. Gilmar Mendes, j. 14-6-2007, P, DJ de 6-9-2007.]</w:t>
      </w:r>
    </w:p>
    <w:p>
      <w:pPr>
        <w:ind w:left="288"/>
      </w:pPr>
      <w:r>
        <w:rPr>
          <w:color w:val="8C8C8C"/>
          <w:sz w:val="12"/>
        </w:rPr>
        <w:t>cf-art-167-inc-II</w:t>
      </w:r>
      <w:r>
        <w:rPr>
          <w:color w:val="003CA0"/>
          <w:sz w:val="12"/>
        </w:rPr>
        <w:t xml:space="preserve"> | ADI 820</w:t>
      </w:r>
      <w:r>
        <w:rPr>
          <w:color w:val="003CA0"/>
          <w:sz w:val="12"/>
        </w:rPr>
        <w:t xml:space="preserve"> | rel. Eros Grau</w:t>
      </w:r>
    </w:p>
    <w:p>
      <w:pPr>
        <w:ind w:left="288"/>
      </w:pPr>
      <w:r>
        <w:rPr>
          <w:color w:val="1E1E1E"/>
          <w:sz w:val="18"/>
        </w:rPr>
        <w:t>Art. 202 da Constituição do Estado do Rio Grande do Sul. Lei estadual 9.723. Manutenção e desenvolvimento do ensino público. Aplicação mínima de 35% da receita resultante de impostos. Destinação de 10% desses recursos à manutenção e conservação das escolas públicas Estaduais. (...) A determinação de aplicação de parte dos recursos destinados à educação na "manutenção e conservação das escolas públicas estaduais" vinculou a receita de impostos a uma despesa específica – afronta ao disposto no art. 167, IV, da CF/1988.</w:t>
      </w:r>
    </w:p>
    <w:p>
      <w:pPr>
        <w:ind w:left="288"/>
      </w:pPr>
      <w:r>
        <w:rPr>
          <w:b/>
          <w:color w:val="003CA0"/>
          <w:sz w:val="16"/>
        </w:rPr>
        <w:t>[ADI 820, rel. min. Eros Grau, j. 15-3-2007, P, DJE de 29-2-2008.]</w:t>
      </w:r>
    </w:p>
    <w:p>
      <w:pPr>
        <w:ind w:left="288"/>
      </w:pPr>
      <w:r>
        <w:rPr>
          <w:color w:val="8C8C8C"/>
          <w:sz w:val="12"/>
        </w:rPr>
        <w:t>cf-art-167-inc-II</w:t>
      </w:r>
      <w:r>
        <w:rPr>
          <w:color w:val="003CA0"/>
          <w:sz w:val="12"/>
        </w:rPr>
        <w:t xml:space="preserve"> | ADI 584</w:t>
      </w:r>
      <w:r>
        <w:rPr>
          <w:color w:val="003CA0"/>
          <w:sz w:val="12"/>
        </w:rPr>
        <w:t xml:space="preserve"> | rel. Dias Toffoli</w:t>
      </w:r>
    </w:p>
    <w:p>
      <w:pPr>
        <w:ind w:left="288"/>
      </w:pPr>
      <w:r>
        <w:rPr>
          <w:color w:val="1E1E1E"/>
          <w:sz w:val="18"/>
        </w:rPr>
        <w:t xml:space="preserve">= ADI 584, rel. min. Dias Toffoli, j. 19-3-2014, P, DJE de 9-4-2014 Lei estadual 12.223, de 3-1-2005. Fundo Partilhado de Combate às Desigualdades Sociais e Regionais do Estado do Rio Grande do Sul. (...) As normas em estudo, ao possibilitarem o direcionamento, pelos contribuintes, do valor devido a título de ICMS para o chamado Fundo Partilhado de Combate às Desigualdades Sociais e Regionais do Estado do Rio Grande do Sul, compensando-se, em contrapartida, o valor despendido sob a forma de crédito fiscal presumido, criaram, na verdade, um mecanismo de redirecionamento da receita de ICMS para </w:t>
      </w:r>
    </w:p>
    <w:p>
      <w:pPr>
        <w:ind w:left="288"/>
      </w:pPr>
      <w:r>
        <w:rPr>
          <w:b/>
          <w:color w:val="003CA0"/>
          <w:sz w:val="16"/>
        </w:rPr>
        <w:t>[ADI 3.576, rel. min. Ellen Gracie, j. 22-11-2006, P, DJ de 2-2-2007.]</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88"/>
      </w:pPr>
      <w:r>
        <w:rPr>
          <w:b/>
          <w:color w:val="003CA0"/>
          <w:sz w:val="16"/>
        </w:rPr>
        <w:t>[ADI 1.750, rel. min. Eros Grau, j. 20-9-2006, P, DJ de 13-10-2006.]</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Vide ADI 1.759, rel. min. Gilmar Mendes, j. 14-04-2010, P, DJE de 20-8-2010 Preceito de lei estadual que destina 3% dos emolumentos cobrados pelas serventias extrajudiciais ao Fundo Especial para Instalação, Desenvolvimento e Aperfeiçoamento das Atividades dos Juizados Especiais Cíveis e Criminais do Estado do Mato Grosso do Sul não ofende o disposto no art. 167, IV, da CF.</w:t>
      </w:r>
    </w:p>
    <w:p>
      <w:pPr>
        <w:ind w:left="288"/>
      </w:pPr>
      <w:r>
        <w:rPr>
          <w:b/>
          <w:color w:val="003CA0"/>
          <w:sz w:val="16"/>
        </w:rPr>
        <w:t>[ADI 2.129, rel. min. Eros Grau, j. 26-4-2006, P, DJ de 16-6-2006.]</w:t>
      </w:r>
    </w:p>
    <w:p>
      <w:pPr>
        <w:ind w:left="288"/>
      </w:pPr>
      <w:r>
        <w:rPr>
          <w:color w:val="8C8C8C"/>
          <w:sz w:val="12"/>
        </w:rPr>
        <w:t>cf-art-167-inc-II</w:t>
      </w:r>
      <w:r>
        <w:rPr>
          <w:color w:val="003CA0"/>
          <w:sz w:val="12"/>
        </w:rPr>
        <w:t xml:space="preserve"> | ADI 2.059</w:t>
      </w:r>
      <w:r>
        <w:rPr>
          <w:color w:val="003CA0"/>
          <w:sz w:val="12"/>
        </w:rPr>
        <w:t xml:space="preserve"> | rel. Eros Grau</w:t>
      </w:r>
    </w:p>
    <w:p>
      <w:pPr>
        <w:ind w:left="288"/>
      </w:pPr>
      <w:r>
        <w:rPr>
          <w:color w:val="1E1E1E"/>
          <w:sz w:val="18"/>
        </w:rPr>
        <w:t>= ADI 2.059, rel. min. Eros Grau, j. 26-4-2006, P, DJ de 9-6-2006 Observe-se, ainda, que o art. 7º da lei estadual impugnada determinou que, do valor do crédito fiscal previsto no seu art. 3º, 40% deverá ser recolhido para apoiar os produtores e 10% para a pesquisa do algodão. Tem-se aqui inequívoca afronta ao disposto no art. 167, IV, da CF, que veda a vinculação de receita de impostos a órgão, fundo ou despesas. Ressalte-se que esta Corte houve por bem declarar a inconstitucionalidade de lei paulista que destinou 1% do ICMS ao fornecimento de programas habitacionais, por afronta ao dispositi</w:t>
      </w:r>
    </w:p>
    <w:p>
      <w:pPr>
        <w:ind w:left="288"/>
      </w:pPr>
      <w:r>
        <w:rPr>
          <w:b/>
          <w:color w:val="003CA0"/>
          <w:sz w:val="16"/>
        </w:rPr>
        <w:t>[ADI 2.722, voto do rel. min. Gilmar Mendes, j. 15-9-2005, P, DJ de 19-12-2006.]</w:t>
      </w:r>
    </w:p>
    <w:p>
      <w:pPr>
        <w:ind w:left="288"/>
      </w:pPr>
      <w:r>
        <w:rPr>
          <w:color w:val="8C8C8C"/>
          <w:sz w:val="12"/>
        </w:rPr>
        <w:t>cf-art-167-inc-II</w:t>
      </w:r>
      <w:r>
        <w:rPr>
          <w:color w:val="003CA0"/>
          <w:sz w:val="12"/>
        </w:rPr>
        <w:t xml:space="preserve"> | ADI 1.689</w:t>
      </w:r>
      <w:r>
        <w:rPr>
          <w:color w:val="003CA0"/>
          <w:sz w:val="12"/>
        </w:rPr>
        <w:t xml:space="preserve"> | rel. Sydney Sanches</w:t>
      </w:r>
    </w:p>
    <w:p>
      <w:pPr>
        <w:ind w:left="288"/>
      </w:pPr>
      <w:r>
        <w:rPr>
          <w:color w:val="1E1E1E"/>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w:t>
      </w:r>
    </w:p>
    <w:p>
      <w:pPr>
        <w:ind w:left="288"/>
      </w:pPr>
      <w:r>
        <w:rPr>
          <w:b/>
          <w:color w:val="003CA0"/>
          <w:sz w:val="16"/>
        </w:rPr>
        <w:t>[ADI 1.689, rel. min. Sydney Sanches, j. 12-3-2003, P, DJ de 2-5-2003.]</w:t>
      </w:r>
    </w:p>
    <w:p>
      <w:pPr>
        <w:ind w:left="288"/>
      </w:pPr>
      <w:r>
        <w:rPr>
          <w:color w:val="8C8C8C"/>
          <w:sz w:val="12"/>
        </w:rPr>
        <w:t>cf-art-167-inc-II</w:t>
      </w:r>
      <w:r>
        <w:rPr>
          <w:color w:val="003CA0"/>
          <w:sz w:val="12"/>
        </w:rPr>
        <w:t xml:space="preserve"> | ADI 5.635</w:t>
      </w:r>
      <w:r>
        <w:rPr>
          <w:color w:val="003CA0"/>
          <w:sz w:val="12"/>
        </w:rPr>
        <w:t xml:space="preserve"> | rel. Luís Roberto Barroso</w:t>
      </w:r>
    </w:p>
    <w:p>
      <w:pPr>
        <w:ind w:left="288"/>
      </w:pPr>
      <w:r>
        <w:rPr>
          <w:color w:val="1E1E1E"/>
          <w:sz w:val="18"/>
        </w:rPr>
        <w:t>“(i) É constitucional a exigência de depósito de percentual de benefícios fiscais de ICMS para o Fundo Orçamentário Temporário (FOT), nos termos da ADI 5.635; e (ii) é infraconstitucional e fática a controvérsia sobre a possibilidade de exigir o depósito ao FOT em benefícios fiscais de ICMS concedidos por prazo certo e sob condição.</w:t>
      </w:r>
    </w:p>
    <w:p>
      <w:pPr>
        <w:ind w:left="288"/>
      </w:pPr>
      <w:r>
        <w:rPr>
          <w:b/>
          <w:color w:val="003CA0"/>
          <w:sz w:val="16"/>
        </w:rPr>
        <w:t>[RE 1.506.320 RG, rel. min. Luís Roberto Barroso, j. 11.04.2025, P, DJE de 22.04.2025, Tema 1.386, com mérito julgado.]</w:t>
      </w:r>
    </w:p>
    <w:p>
      <w:pPr>
        <w:ind w:left="144"/>
      </w:pPr>
      <w:r>
        <w:rPr>
          <w:b/>
          <w:color w:val="B45A00"/>
          <w:sz w:val="16"/>
        </w:rPr>
        <w:t>REPERCUSSAO GERAL</w:t>
      </w:r>
    </w:p>
    <w:p>
      <w:pPr>
        <w:ind w:left="288"/>
      </w:pPr>
      <w:r>
        <w:rPr>
          <w:color w:val="8C8C8C"/>
          <w:sz w:val="12"/>
        </w:rPr>
        <w:t>cf-art-167-inc-II</w:t>
      </w:r>
      <w:r>
        <w:rPr>
          <w:color w:val="003CA0"/>
          <w:sz w:val="12"/>
        </w:rPr>
        <w:t xml:space="preserve"> | RE 585.535</w:t>
      </w:r>
      <w:r>
        <w:rPr>
          <w:color w:val="003CA0"/>
          <w:sz w:val="12"/>
        </w:rPr>
        <w:t xml:space="preserve"> | rel. Ellen Gracie</w:t>
      </w:r>
    </w:p>
    <w:p>
      <w:pPr>
        <w:ind w:left="288"/>
      </w:pPr>
      <w:r>
        <w:rPr>
          <w:color w:val="1E1E1E"/>
          <w:sz w:val="18"/>
        </w:rPr>
        <w:t>ICMS. Majoração de alíquota. (...) A Lei paulista 9.903, de 30-12-1997, apenas impôs a divulgação, pelo chefe do Executivo, do emprego dos recursos provenientes do aumento da alíquota de 17% para 18%, previsto no mesmo diploma. A proibição de vinculação de receita de impostos prevista no art. 167, IV, da CF impede a fixação de uma prévia destinação desses recursos, o que não se verificou no presente caso.</w:t>
        <w:br/>
        <w:t>[RE 585.535, rel. min. Ellen Gracie, j. 1º-2-2010, P, DJE de 21-5-2010, Tema 92, com mérito julgado.]</w:t>
        <w:br/>
        <w:t>Vide RE 183.906, rel. min. Marco Aurélio, j. 18-9-1997, P, DJ de 30-4-1998</w:t>
      </w:r>
    </w:p>
    <w:p>
      <w:pPr>
        <w:ind w:left="144"/>
      </w:pPr>
      <w:r>
        <w:rPr>
          <w:b/>
          <w:color w:val="B45A00"/>
          <w:sz w:val="16"/>
        </w:rPr>
        <w:t>JULGADOS CORRELATOS</w:t>
      </w:r>
    </w:p>
    <w:p>
      <w:pPr>
        <w:ind w:left="288"/>
      </w:pPr>
      <w:r>
        <w:rPr>
          <w:color w:val="8C8C8C"/>
          <w:sz w:val="12"/>
        </w:rPr>
        <w:t>cf-art-167-inc-II</w:t>
      </w:r>
      <w:r>
        <w:rPr>
          <w:color w:val="003CA0"/>
          <w:sz w:val="12"/>
        </w:rPr>
        <w:t xml:space="preserve"> | RCL 60.128</w:t>
      </w:r>
      <w:r>
        <w:rPr>
          <w:color w:val="003CA0"/>
          <w:sz w:val="12"/>
        </w:rPr>
        <w:t xml:space="preserve"> | rel. Luiz Fux</w:t>
      </w:r>
    </w:p>
    <w:p>
      <w:pPr>
        <w:ind w:left="288"/>
      </w:pPr>
      <w:r>
        <w:rPr>
          <w:color w:val="1E1E1E"/>
          <w:sz w:val="18"/>
        </w:rPr>
        <w:t>Não se admite a constrição indiscriminada de verbas públicas, inclusive na fase de pagamento, por meio de decisões judiciais, sob pena de afronta ao preceito contido no art. 167, VI, da CF, ao modelo constitucional de organização orçamentária das finanças públicas e ao princípio da continuidade dos serviços públicos (art. 175 da Constituição Federal).</w:t>
        <w:br/>
        <w:t>[Rcl 60.128 AgR, rel. min. Luiz Fux, red. do ac. min. Alexandre de Moraes, j. 9-10-2023, 1ª T, DJE de 19-10-2023.] Preceito de lei estadual que destina 5% dos emolumentos cobrados pelas serventias extrajudiciais e não oficializadas ao Fundo Estad</w:t>
      </w:r>
    </w:p>
    <w:p>
      <w:pPr>
        <w:ind w:left="288"/>
      </w:pPr>
      <w:r>
        <w:rPr>
          <w:b/>
          <w:color w:val="003CA0"/>
          <w:sz w:val="16"/>
        </w:rPr>
        <w:t>[RE 218.874, rel. min. Eros Grau, j. 7-11-2007, P, DJ de 1º-2-2008.]</w:t>
      </w:r>
    </w:p>
    <w:p>
      <w:pPr>
        <w:ind w:left="144"/>
      </w:pPr>
      <w:r>
        <w:rPr>
          <w:b/>
          <w:color w:val="B45A00"/>
          <w:sz w:val="16"/>
        </w:rPr>
        <w:t>CONTROLE CONCENTRADO</w:t>
      </w:r>
    </w:p>
    <w:p>
      <w:pPr>
        <w:ind w:left="288"/>
      </w:pPr>
      <w:r>
        <w:rPr>
          <w:color w:val="8C8C8C"/>
          <w:sz w:val="12"/>
        </w:rPr>
        <w:t>cf-art-167-inc-V</w:t>
      </w:r>
      <w:r>
        <w:rPr>
          <w:color w:val="003CA0"/>
          <w:sz w:val="12"/>
        </w:rPr>
        <w:t xml:space="preserve"> | ADI 4.049</w:t>
      </w:r>
      <w:r>
        <w:rPr>
          <w:color w:val="003CA0"/>
          <w:sz w:val="12"/>
        </w:rPr>
        <w:t xml:space="preserve"> | rel. Ayres Britto</w:t>
      </w:r>
    </w:p>
    <w:p>
      <w:pPr>
        <w:ind w:left="288"/>
      </w:pPr>
      <w:r>
        <w:rPr>
          <w:color w:val="1E1E1E"/>
          <w:sz w:val="18"/>
        </w:rPr>
        <w:t>Medida cautelar em ação direta de inconstitucionalidade. MP 402, de 23-11-2007, convertida na Lei 11.656, de 16-4-2008. Abertura de crédito extraordinário. (...) Violação que alcança o inciso V do mesmo artigo, na medida em que o ato normativo adversado vem a categorizar como de natureza extraordinária crédito que, em verdade, não passa de especial, ou suplementar.</w:t>
      </w:r>
    </w:p>
    <w:p>
      <w:pPr>
        <w:ind w:left="288"/>
      </w:pPr>
      <w:r>
        <w:rPr>
          <w:b/>
          <w:color w:val="003CA0"/>
          <w:sz w:val="16"/>
        </w:rPr>
        <w:t>[ADI 4.049 MC, rel. min. Ayres Britto, j. 5-11-2008, P, DJE de 8-5-2009.]</w:t>
      </w:r>
    </w:p>
    <w:p>
      <w:pPr>
        <w:ind w:left="288"/>
      </w:pPr>
      <w:r>
        <w:rPr>
          <w:color w:val="8C8C8C"/>
          <w:sz w:val="12"/>
        </w:rPr>
        <w:t>cf-art-167-inc-VI</w:t>
      </w:r>
      <w:r>
        <w:rPr>
          <w:color w:val="003CA0"/>
          <w:sz w:val="12"/>
        </w:rPr>
        <w:t xml:space="preserve"> | ADPF 616</w:t>
      </w:r>
      <w:r>
        <w:rPr>
          <w:color w:val="003CA0"/>
          <w:sz w:val="12"/>
        </w:rPr>
        <w:t xml:space="preserve"> | rel. Roberto Barroso</w:t>
      </w:r>
    </w:p>
    <w:p>
      <w:pPr>
        <w:ind w:left="288"/>
      </w:pPr>
      <w:r>
        <w:rPr>
          <w:color w:val="1E1E1E"/>
          <w:sz w:val="18"/>
        </w:rPr>
        <w:t>Os recursos públicos vinculados ao orçamento de estatais prestadoras de serviço público essencial, em regime não concorrencial e sem intuito lucrativo primário não podem ser bloqueados ou sequestrados por decisão judicial para pagamento de suas dívidas, em virtude do disposto no art. 100 da CF/1988, e dos princípios da legalidade orçamentária (art. 167, VI, da CF), da separação dos poderes (arts. 2°, 60, § 4°, III, da CF) e da eficiência da administração pública (art. 37, caput, da CF).</w:t>
        <w:br/>
        <w:t>[ADPF 616, rel. min. Roberto Barroso, j. 21-5-2021, P, DJE 21-6-2021.] Verbas estaduais não podem ser objeto</w:t>
      </w:r>
    </w:p>
    <w:p>
      <w:pPr>
        <w:ind w:left="288"/>
      </w:pPr>
      <w:r>
        <w:rPr>
          <w:b/>
          <w:color w:val="003CA0"/>
          <w:sz w:val="16"/>
        </w:rPr>
        <w:t>[ADPF 485, rel. min. Roberto Barroso, j. 7-12-2020, P, DJE de 4-2-2021.]</w:t>
      </w:r>
    </w:p>
    <w:p>
      <w:pPr>
        <w:ind w:left="288"/>
      </w:pPr>
      <w:r>
        <w:rPr>
          <w:color w:val="8C8C8C"/>
          <w:sz w:val="12"/>
        </w:rPr>
        <w:t>cf-art-167-inc-VI</w:t>
      </w:r>
      <w:r>
        <w:rPr>
          <w:color w:val="003CA0"/>
          <w:sz w:val="12"/>
        </w:rPr>
        <w:t xml:space="preserve"> | ADPF 484</w:t>
      </w:r>
      <w:r>
        <w:rPr>
          <w:color w:val="003CA0"/>
          <w:sz w:val="12"/>
        </w:rPr>
        <w:t xml:space="preserve"> | rel. Luiz Fux</w:t>
      </w:r>
    </w:p>
    <w:p>
      <w:pPr>
        <w:ind w:left="288"/>
      </w:pPr>
      <w:r>
        <w:rPr>
          <w:color w:val="1E1E1E"/>
          <w:sz w:val="18"/>
        </w:rPr>
        <w:t>O artigo 167, VI, da Constituição proíbe a transposição, o remanejamento ou a transferência de recursos de uma categoria de programação para outra ou de um órgão para outro, sem prévia autorização legislativa, mandamento esse que também vincula o Judiciário. Isso porque as regras sobre aprovação e gestão orçamentárias consagram mecanismos de freios e contrapesos essenciais ao regular funcionamento das instituições republicanas e democráticas e à concretização do princípio da separação dos poderes.</w:t>
        <w:br/>
        <w:t>[ADPF 484, rel. min. Luiz Fux, j. 4-6-2020, P, DJE de 10-11-2020.] As reiteradas decisões do Trib</w:t>
      </w:r>
    </w:p>
    <w:p>
      <w:pPr>
        <w:ind w:left="288"/>
      </w:pPr>
      <w:r>
        <w:rPr>
          <w:b/>
          <w:color w:val="003CA0"/>
          <w:sz w:val="16"/>
        </w:rPr>
        <w:t>[ADPF 405 MC, rel. min. Rosa Weber, j. 14-6-2017, P, DJE de 5-2-2018.]</w:t>
      </w:r>
    </w:p>
    <w:p>
      <w:pPr>
        <w:ind w:left="288"/>
      </w:pPr>
      <w:r>
        <w:rPr>
          <w:color w:val="8C8C8C"/>
          <w:sz w:val="12"/>
        </w:rPr>
        <w:t>cf-art-167-inc-VI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52, § 2º: alegação de ofensa ao art. 167 da CF: improcedência. Não há vinculação de receita, mas apenas distribuição dos superávit orçamentário aos poderes e ao Ministério Público: improcedência. (...)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w:t>
      </w:r>
    </w:p>
    <w:p>
      <w:pPr>
        <w:ind w:left="288"/>
      </w:pPr>
      <w:r>
        <w:rPr>
          <w:b/>
          <w:color w:val="003CA0"/>
          <w:sz w:val="16"/>
        </w:rPr>
        <w:t>[ADI 3.652, rel. min. Sepúlveda Pertence, j. 19-12-2006, P, DJ de 16-3-2007.]</w:t>
      </w:r>
    </w:p>
    <w:p>
      <w:pPr>
        <w:ind w:left="288"/>
      </w:pPr>
      <w:r>
        <w:rPr>
          <w:color w:val="8C8C8C"/>
          <w:sz w:val="12"/>
        </w:rPr>
        <w:t>cf-art-167-inc-VI</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w:t>
      </w:r>
    </w:p>
    <w:p>
      <w:pPr>
        <w:ind w:left="288"/>
      </w:pPr>
      <w:r>
        <w:rPr>
          <w:b/>
          <w:color w:val="003CA0"/>
          <w:sz w:val="16"/>
        </w:rPr>
        <w:t>[ADI 3.401, rel. min. Gilmar Mendes, j. 26-4-2006, P, DJ de 23-2-2007.]</w:t>
      </w:r>
    </w:p>
    <w:p>
      <w:pPr>
        <w:ind w:left="288"/>
      </w:pPr>
      <w:r>
        <w:rPr>
          <w:color w:val="8C8C8C"/>
          <w:sz w:val="12"/>
        </w:rPr>
        <w:t>cf-art-167-inc-VII</w:t>
      </w:r>
    </w:p>
    <w:p>
      <w:pPr>
        <w:ind w:left="288"/>
      </w:pPr>
      <w:r>
        <w:rPr>
          <w:color w:val="1E1E1E"/>
          <w:sz w:val="18"/>
        </w:rPr>
        <w:t>VIII - a utilização, sem autorização legislativa específica, de recursos dos orçamentos fiscal e da seguridade social para suprir necessidade ou cobrir déficit de empresas, fundações e fundos, inclusive dos mencionados no art. 165, § 5º;</w:t>
      </w:r>
    </w:p>
    <w:p>
      <w:pPr>
        <w:ind w:left="288"/>
      </w:pPr>
      <w:r>
        <w:rPr>
          <w:color w:val="8C8C8C"/>
          <w:sz w:val="12"/>
        </w:rPr>
        <w:t>cf-art-167-inc-IX</w:t>
      </w:r>
    </w:p>
    <w:p>
      <w:pPr>
        <w:ind w:left="288"/>
      </w:pPr>
      <w:r>
        <w:rPr>
          <w:color w:val="1E1E1E"/>
          <w:sz w:val="18"/>
        </w:rPr>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 (Incluído pela EC 19/1998)</w:t>
      </w:r>
    </w:p>
    <w:p>
      <w:pPr>
        <w:ind w:left="288"/>
      </w:pPr>
      <w:r>
        <w:rPr>
          <w:color w:val="8C8C8C"/>
          <w:sz w:val="12"/>
        </w:rPr>
        <w:t>cf-art-167-inc-IX</w:t>
      </w:r>
      <w:r>
        <w:rPr>
          <w:color w:val="003CA0"/>
          <w:sz w:val="12"/>
        </w:rPr>
        <w:t xml:space="preserve"> | ADI 5.683</w:t>
      </w:r>
      <w:r>
        <w:rPr>
          <w:color w:val="003CA0"/>
          <w:sz w:val="12"/>
        </w:rPr>
        <w:t xml:space="preserve"> | rel. Roberto Barroso</w:t>
      </w:r>
    </w:p>
    <w:p>
      <w:pPr>
        <w:ind w:left="288"/>
      </w:pPr>
      <w:r>
        <w:rPr>
          <w:color w:val="1E1E1E"/>
          <w:sz w:val="18"/>
        </w:rPr>
        <w:t>A Constituição Federal, em seu art. 167, X, veda a concessão de empréstimos por instituições financeiras estatais para o pagamento de despesas com pessoal ativo, inativo e pensionista. Impede-se, portanto, a alocação dessas receitas para o custeio de pessoal ativo e inativo. Não há na regra uma vedação absoluta à contratação de empréstimos junto a instituições financeiras estatais. A vedação estabelecida no art. 167, X, da CF diz respeito apenas a instituições financeiras estatais. A proibição não alcança as contratações realizadas com instituições financeiras privadas.</w:t>
      </w:r>
    </w:p>
    <w:p>
      <w:pPr>
        <w:ind w:left="288"/>
      </w:pPr>
      <w:r>
        <w:rPr>
          <w:b/>
          <w:color w:val="003CA0"/>
          <w:sz w:val="16"/>
        </w:rPr>
        <w:t>[ADI 5.683, rel. min. Roberto Barroso, j. 22-4-2022, P, DJE de 19-5-2022.]</w:t>
      </w:r>
    </w:p>
    <w:p>
      <w:pPr>
        <w:ind w:left="288"/>
      </w:pPr>
      <w:r>
        <w:rPr>
          <w:color w:val="8C8C8C"/>
          <w:sz w:val="12"/>
        </w:rPr>
        <w:t>cf-art-167-inc-IX</w:t>
      </w:r>
      <w:r>
        <w:rPr>
          <w:color w:val="003CA0"/>
          <w:sz w:val="12"/>
        </w:rPr>
        <w:t xml:space="preserve"> | ADPF 485</w:t>
      </w:r>
      <w:r>
        <w:rPr>
          <w:color w:val="003CA0"/>
          <w:sz w:val="12"/>
        </w:rPr>
        <w:t xml:space="preserve"> | rel. Roberto Barroso</w:t>
      </w:r>
    </w:p>
    <w:p>
      <w:pPr>
        <w:ind w:left="288"/>
      </w:pPr>
      <w:r>
        <w:rPr>
          <w:color w:val="1E1E1E"/>
          <w:sz w:val="18"/>
        </w:rPr>
        <w:t>Verbas estaduais não podem ser objeto de bloqueio, penhora e/ou sequestro para pagamento de valores devidos em ações trabalhistas, ainda que as empresas reclamadas detenham créditos a receber da administração pública estadual, em virtude do disposto no art. 167, VI e X, da CF, e do princípio da separação de poderes (art. 2º da CF).</w:t>
      </w:r>
    </w:p>
    <w:p>
      <w:pPr>
        <w:ind w:left="288"/>
      </w:pPr>
      <w:r>
        <w:rPr>
          <w:b/>
          <w:color w:val="003CA0"/>
          <w:sz w:val="16"/>
        </w:rPr>
        <w:t>[ADPF 485, rel. min. Roberto Barroso, j. 7-12-2020, P, DJE de 4-2-2021.]</w:t>
      </w:r>
    </w:p>
    <w:p>
      <w:pPr>
        <w:ind w:left="288"/>
      </w:pPr>
      <w:r>
        <w:rPr>
          <w:color w:val="8C8C8C"/>
          <w:sz w:val="12"/>
        </w:rPr>
        <w:t>cf-art-167-inc-IX</w:t>
      </w:r>
      <w:r>
        <w:rPr>
          <w:color w:val="003CA0"/>
          <w:sz w:val="12"/>
        </w:rPr>
        <w:t xml:space="preserve"> | ADPF 405</w:t>
      </w:r>
      <w:r>
        <w:rPr>
          <w:color w:val="003CA0"/>
          <w:sz w:val="12"/>
        </w:rPr>
        <w:t xml:space="preserve"> | rel. Rosa Weber</w:t>
      </w:r>
    </w:p>
    <w:p>
      <w:pPr>
        <w:ind w:left="288"/>
      </w:pPr>
      <w:r>
        <w:rPr>
          <w:color w:val="1E1E1E"/>
          <w:sz w:val="18"/>
        </w:rPr>
        <w:t>As reiteradas decisões do Tribunal de Justiça do Estado do Rio de Janeiro e do TRT 1ª Região que resultaram em bloqueio, arresto, penhora, sequestro e liberação de valores administrados pelo Poder Executivo do Estado do Rio de Janeiro para atender demandas relativas a pagamento de salário de servidores ativos e inativos, satisfação imediata de créditos de prestadores de serviços e tutelas provisórias definidoras de prioridades na aplicação de recursos públicos traduzem, em seu conjunto, ato do poder público passível de controle pela via da arguição de descumprimento de preceito fundamental (..</w:t>
      </w:r>
    </w:p>
    <w:p>
      <w:pPr>
        <w:ind w:left="288"/>
      </w:pPr>
      <w:r>
        <w:rPr>
          <w:color w:val="8C8C8C"/>
          <w:sz w:val="12"/>
        </w:rPr>
        <w:t>cf-art-167-par-1</w:t>
      </w:r>
    </w:p>
    <w:p>
      <w:pPr>
        <w:ind w:left="288"/>
      </w:pPr>
      <w:r>
        <w:rPr>
          <w:color w:val="1E1E1E"/>
          <w:sz w:val="18"/>
        </w:rPr>
        <w:t>§ 2º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subsequente.</w:t>
      </w:r>
    </w:p>
    <w:p>
      <w:pPr>
        <w:ind w:left="288"/>
      </w:pPr>
      <w:r>
        <w:rPr>
          <w:color w:val="8C8C8C"/>
          <w:sz w:val="12"/>
        </w:rPr>
        <w:t>cf-art-167-par-1</w:t>
      </w:r>
      <w:r>
        <w:rPr>
          <w:color w:val="003CA0"/>
          <w:sz w:val="12"/>
        </w:rPr>
        <w:t xml:space="preserve"> | ADI 4.049</w:t>
      </w:r>
      <w:r>
        <w:rPr>
          <w:color w:val="003CA0"/>
          <w:sz w:val="12"/>
        </w:rPr>
        <w:t xml:space="preserve"> | rel. Ayres Britto</w:t>
      </w:r>
    </w:p>
    <w:p>
      <w:pPr>
        <w:ind w:left="288"/>
      </w:pPr>
      <w:r>
        <w:rPr>
          <w:color w:val="1E1E1E"/>
          <w:sz w:val="18"/>
        </w:rPr>
        <w:t>Medida provisória que abre crédito extraordinário não se exaure no ato de sua primeira aplicação. Ela somente se exaure ao final do exercício financeiro para o qual foi aberto o crédito extraordinário nela referido. Hipótese em que a abertura do crédito se deu nos últimos quatro meses do exercício, projetando-se, nos limites de seus saldos, para o orçamento do exercício financeiro subsequente (§ 2º do art. 167 da CF).</w:t>
      </w:r>
    </w:p>
    <w:p>
      <w:pPr>
        <w:ind w:left="288"/>
      </w:pPr>
      <w:r>
        <w:rPr>
          <w:b/>
          <w:color w:val="003CA0"/>
          <w:sz w:val="16"/>
        </w:rPr>
        <w:t>[ADI 4.049 MC, rel. min. Ayres Britto, j. 5-11-2008, P, DJE de 8-5-2009.]</w:t>
      </w:r>
    </w:p>
    <w:p>
      <w:pPr>
        <w:ind w:left="288"/>
      </w:pPr>
      <w:r>
        <w:rPr>
          <w:color w:val="8C8C8C"/>
          <w:sz w:val="12"/>
        </w:rPr>
        <w:t>cf-art-167-par-3</w:t>
      </w:r>
      <w:r>
        <w:rPr>
          <w:color w:val="003CA0"/>
          <w:sz w:val="12"/>
        </w:rPr>
        <w:t xml:space="preserve"> | ADI 4.048</w:t>
      </w:r>
      <w:r>
        <w:rPr>
          <w:color w:val="003CA0"/>
          <w:sz w:val="12"/>
        </w:rPr>
        <w:t xml:space="preserve"> | rel. Gilmar Mendes</w:t>
      </w:r>
    </w:p>
    <w:p>
      <w:pPr>
        <w:ind w:left="288"/>
      </w:pPr>
      <w:r>
        <w:rPr>
          <w:color w:val="1E1E1E"/>
          <w:sz w:val="18"/>
        </w:rPr>
        <w:t>Limites constitucionais à atividade legislativa excepcional do Poder Executivo na edição de medidas provisórias para abertura de crédito extraordinário. Interpretação do art. 167, § 3º, c/c o art. 62, § 1º,  I, d, da Constituição. Além dos requisitos de relevância e urgência (art. 62), a Constituição exige que a abertura do crédito extraordinário seja feita apenas para atender a despesas imprevisíveis e urgentes. Ao contrário do que ocorre em relação aos requisitos de relevância e urgência (art. 62), que se submetem a uma ampla margem de discricionariedade por parte do presidente da República,</w:t>
      </w:r>
    </w:p>
    <w:p>
      <w:pPr>
        <w:ind w:left="288"/>
      </w:pPr>
      <w:r>
        <w:rPr>
          <w:b/>
          <w:color w:val="003CA0"/>
          <w:sz w:val="16"/>
        </w:rPr>
        <w:t>[ADI 4.048 MC, rel. min. Gilmar Mendes, j. 14-5-2008, P, DJE de 22-8-2008.]</w:t>
      </w:r>
    </w:p>
    <w:p>
      <w:pPr>
        <w:ind w:left="288"/>
      </w:pPr>
      <w:r>
        <w:rPr>
          <w:color w:val="8C8C8C"/>
          <w:sz w:val="12"/>
        </w:rPr>
        <w:t>cf-art-167-par-3</w:t>
      </w:r>
      <w:r>
        <w:rPr>
          <w:color w:val="003CA0"/>
          <w:sz w:val="12"/>
        </w:rPr>
        <w:t xml:space="preserve"> | ADI 4.049</w:t>
      </w:r>
      <w:r>
        <w:rPr>
          <w:color w:val="003CA0"/>
          <w:sz w:val="12"/>
        </w:rPr>
        <w:t xml:space="preserve"> | rel. Ayres Britto</w:t>
      </w:r>
    </w:p>
    <w:p>
      <w:pPr>
        <w:ind w:left="288"/>
      </w:pPr>
      <w:r>
        <w:rPr>
          <w:color w:val="1E1E1E"/>
          <w:sz w:val="18"/>
        </w:rPr>
        <w:t>= ADI 4.049 MC, rel. min. Ayres Britto, j. 5-11-2008, P, DJE de 8-5-2009 § 4º É permitida a vinculação das receitas a que se referem os arts. 155, 156, 156-A, 157, 158 e as alíneas a, b, d, e e f do inciso I e o inciso II do caput do art. 159 desta Constituição para pagamento de débitos com a União e para prestar-lhe garantia ou contragarantia. (Redação dada pela EC n. 132/2023)</w:t>
      </w:r>
    </w:p>
    <w:p>
      <w:r>
        <w:rPr>
          <w:b/>
          <w:color w:val="003366"/>
          <w:sz w:val="20"/>
        </w:rPr>
        <w:t>Art. 167 F. Durante a vigência da calamidade pública de âmbito nacional de que t</w:t>
      </w:r>
      <w:r>
        <w:rPr>
          <w:color w:val="8C8C8C"/>
          <w:sz w:val="14"/>
        </w:rPr>
        <w:t xml:space="preserve">  [38 decisoes]</w:t>
      </w:r>
    </w:p>
    <w:p>
      <w:pPr>
        <w:ind w:left="144"/>
      </w:pPr>
      <w:r>
        <w:rPr>
          <w:b/>
          <w:color w:val="B45A00"/>
          <w:sz w:val="16"/>
        </w:rPr>
        <w:t>JULGADOS CORRELATOS</w:t>
      </w:r>
    </w:p>
    <w:p>
      <w:pPr>
        <w:ind w:left="288"/>
      </w:pPr>
      <w:r>
        <w:rPr>
          <w:color w:val="8C8C8C"/>
          <w:sz w:val="12"/>
        </w:rPr>
        <w:t>cf-art-167-inc-I</w:t>
      </w:r>
      <w:r>
        <w:rPr>
          <w:color w:val="003CA0"/>
          <w:sz w:val="12"/>
        </w:rPr>
        <w:t xml:space="preserve"> | PET 2.836</w:t>
      </w:r>
      <w:r>
        <w:rPr>
          <w:color w:val="003CA0"/>
          <w:sz w:val="12"/>
        </w:rPr>
        <w:t xml:space="preserve"> | rel. Carlos Velloso</w:t>
      </w:r>
    </w:p>
    <w:p>
      <w:pPr>
        <w:ind w:left="288"/>
      </w:pPr>
      <w:r>
        <w:rPr>
          <w:color w:val="1E1E1E"/>
          <w:sz w:val="18"/>
        </w:rPr>
        <w:t>Determinação judicial de construção de creches pelo Município. Despesas públicas: necessidade de autorização orçamentária: CF, art. 167. Fumus boni juris e periculum in mora ocorrentes. Concessão de efeito suspensivo ao recurso extraordinário diante da possibilidade de ocorrência de graves prejuízos aos cofres públicos municipais.</w:t>
      </w:r>
    </w:p>
    <w:p>
      <w:pPr>
        <w:ind w:left="288"/>
      </w:pPr>
      <w:r>
        <w:rPr>
          <w:b/>
          <w:color w:val="003CA0"/>
          <w:sz w:val="16"/>
        </w:rPr>
        <w:t>[Pet 2.836 QO, rel. min. Carlos Velloso, j. 11-2-2003, 2ª T, DJ de 14-3-2003.]</w:t>
      </w:r>
    </w:p>
    <w:p>
      <w:pPr>
        <w:ind w:left="144"/>
      </w:pPr>
      <w:r>
        <w:rPr>
          <w:b/>
          <w:color w:val="B45A00"/>
          <w:sz w:val="16"/>
        </w:rPr>
        <w:t>CONTROLE CONCENTRADO</w:t>
      </w:r>
    </w:p>
    <w:p>
      <w:pPr>
        <w:ind w:left="288"/>
      </w:pPr>
      <w:r>
        <w:rPr>
          <w:color w:val="8C8C8C"/>
          <w:sz w:val="12"/>
        </w:rPr>
        <w:t>cf-art-167-inc-II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56, parágrafo único: procedência, em parte, para atribuir interpretação conforme à expressão "abertura de novos elementos de despesa".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Constituição, que veda "a realização de despesas ou a assunção de ob</w:t>
      </w:r>
    </w:p>
    <w:p>
      <w:pPr>
        <w:ind w:left="288"/>
      </w:pPr>
      <w:r>
        <w:rPr>
          <w:b/>
          <w:color w:val="003CA0"/>
          <w:sz w:val="16"/>
        </w:rPr>
        <w:t>[ADI 3.652, rel. min. Sepúlveda Pertence, j. 19-12-2006, P, DJ de 16-3-2007.]</w:t>
      </w:r>
    </w:p>
    <w:p>
      <w:pPr>
        <w:ind w:left="288"/>
      </w:pPr>
      <w:r>
        <w:rPr>
          <w:color w:val="8C8C8C"/>
          <w:sz w:val="12"/>
        </w:rPr>
        <w:t>cf-art-167-inc-II</w:t>
      </w:r>
      <w:r>
        <w:rPr>
          <w:color w:val="003CA0"/>
          <w:sz w:val="12"/>
        </w:rPr>
        <w:t xml:space="preserve"> | ADI 352</w:t>
      </w:r>
      <w:r>
        <w:rPr>
          <w:color w:val="003CA0"/>
          <w:sz w:val="12"/>
        </w:rPr>
        <w:t xml:space="preserve"> | rel. Celso de Mello</w:t>
      </w:r>
    </w:p>
    <w:p>
      <w:pPr>
        <w:ind w:left="288"/>
      </w:pPr>
      <w:r>
        <w:rPr>
          <w:color w:val="1E1E1E"/>
          <w:sz w:val="18"/>
        </w:rPr>
        <w:t>Reveste-se de plausibilidade jurídica, no entanto, a tese, sustentada em ação direta, de que o legislador estadual, condicionado em sua ação normativa por princípios superiores enunciados na CF, não pode, ao fixar a despesa pública, autorizar gastos que excedam os créditos orçamentários ou adicionais, ou omitir-lhes a correspondente fonte de custeio, com a necessária indicação dos recursos existentes.</w:t>
      </w:r>
    </w:p>
    <w:p>
      <w:pPr>
        <w:ind w:left="288"/>
      </w:pPr>
      <w:r>
        <w:rPr>
          <w:b/>
          <w:color w:val="003CA0"/>
          <w:sz w:val="16"/>
        </w:rPr>
        <w:t>[ADI 352 MC, rel. min. Celso de Mello, j. 29-8-1990, P, DJ de 8-3-1991.]</w:t>
      </w:r>
    </w:p>
    <w:p>
      <w:pPr>
        <w:ind w:left="144"/>
      </w:pPr>
      <w:r>
        <w:rPr>
          <w:b/>
          <w:color w:val="B45A00"/>
          <w:sz w:val="16"/>
        </w:rPr>
        <w:t>JULGADOS CORRELATOS</w:t>
      </w:r>
    </w:p>
    <w:p>
      <w:pPr>
        <w:ind w:left="288"/>
      </w:pPr>
      <w:r>
        <w:rPr>
          <w:color w:val="8C8C8C"/>
          <w:sz w:val="12"/>
        </w:rPr>
        <w:t>cf-art-167-inc-II</w:t>
      </w:r>
      <w:r>
        <w:rPr>
          <w:color w:val="003CA0"/>
          <w:sz w:val="12"/>
        </w:rPr>
        <w:t xml:space="preserve"> | ACO 3.414</w:t>
      </w:r>
      <w:r>
        <w:rPr>
          <w:color w:val="003CA0"/>
          <w:sz w:val="12"/>
        </w:rPr>
        <w:t xml:space="preserve"> | rel. Gilmar Mendes</w:t>
      </w:r>
    </w:p>
    <w:p>
      <w:pPr>
        <w:ind w:left="288"/>
      </w:pPr>
      <w:r>
        <w:rPr>
          <w:color w:val="1E1E1E"/>
          <w:sz w:val="18"/>
        </w:rPr>
        <w:t>Uso de recursos do FCDF para o pagamento de despesas do exercício anterior ao do orçamento vigente. Impossibilidade. Ofensa aos arts. 165, III, XIV, c/c art. 167, II, ambos da CF e ao princípio da anualidade orçamentária (...).</w:t>
      </w:r>
    </w:p>
    <w:p>
      <w:pPr>
        <w:ind w:left="288"/>
      </w:pPr>
      <w:r>
        <w:rPr>
          <w:b/>
          <w:color w:val="003CA0"/>
          <w:sz w:val="16"/>
        </w:rPr>
        <w:t>[ACO 3.414 AgR, rel. min. Gilmar Mendes, j. 18-12-2021, P, DJE de 15-2-2022.]</w:t>
      </w:r>
    </w:p>
    <w:p>
      <w:pPr>
        <w:ind w:left="288"/>
      </w:pPr>
      <w:r>
        <w:rPr>
          <w:color w:val="8C8C8C"/>
          <w:sz w:val="12"/>
        </w:rPr>
        <w:t>cf-art-167-inc-II</w:t>
      </w:r>
    </w:p>
    <w:p>
      <w:pPr>
        <w:ind w:left="288"/>
      </w:pPr>
      <w:r>
        <w:rPr>
          <w:color w:val="1E1E1E"/>
          <w:sz w:val="18"/>
        </w:rPr>
        <w:t>III - a realização de operações de créditos que excedam o montante das despesas de capital, ressalvadas as autorizadas mediante créditos suplementares ou especiais com finalidade precisa, aprovados pelo Poder Legislativo por maioria absoluta;</w:t>
      </w:r>
    </w:p>
    <w:p>
      <w:pPr>
        <w:ind w:left="144"/>
      </w:pPr>
      <w:r>
        <w:rPr>
          <w:b/>
          <w:color w:val="B45A00"/>
          <w:sz w:val="16"/>
        </w:rPr>
        <w:t>CONTROLE CONCENTRADO</w:t>
      </w:r>
    </w:p>
    <w:p>
      <w:pPr>
        <w:ind w:left="288"/>
      </w:pPr>
      <w:r>
        <w:rPr>
          <w:color w:val="8C8C8C"/>
          <w:sz w:val="12"/>
        </w:rPr>
        <w:t>cf-art-167-inc-II</w:t>
      </w:r>
      <w:r>
        <w:rPr>
          <w:color w:val="003CA0"/>
          <w:sz w:val="12"/>
        </w:rPr>
        <w:t xml:space="preserve"> | ADI 6.660</w:t>
      </w:r>
      <w:r>
        <w:rPr>
          <w:color w:val="003CA0"/>
          <w:sz w:val="12"/>
        </w:rPr>
        <w:t xml:space="preserve"> | rel. Rosa Weber</w:t>
      </w:r>
    </w:p>
    <w:p>
      <w:pPr>
        <w:ind w:left="288"/>
      </w:pPr>
      <w:r>
        <w:rPr>
          <w:color w:val="1E1E1E"/>
          <w:sz w:val="18"/>
        </w:rPr>
        <w:t>Lei 12.305, de 18 de dezembro de 2002, do Estado de Pernambuco, alterada pela lei 12.337/2003, que dispõe sobre os depósitos judiciais e extrajudiciais à disposição do Poder Judiciário Estadual ou da Secretaria da Fazenda. (...) Criação, pela lei estadual impugnada, de um endividamento inconstitucional afastado das hipóteses de dívida pública albergadas pela Carta Magna – violação do artigo 167, III.</w:t>
      </w:r>
    </w:p>
    <w:p>
      <w:pPr>
        <w:ind w:left="288"/>
      </w:pPr>
      <w:r>
        <w:rPr>
          <w:b/>
          <w:color w:val="003CA0"/>
          <w:sz w:val="16"/>
        </w:rPr>
        <w:t>[ADI 6.660, rel. min. Rosa Weber, j. 21-6-2022, P, DJE de 29-6-2022.]</w:t>
      </w:r>
    </w:p>
    <w:p>
      <w:pPr>
        <w:ind w:left="288"/>
      </w:pPr>
      <w:r>
        <w:rPr>
          <w:color w:val="8C8C8C"/>
          <w:sz w:val="12"/>
        </w:rPr>
        <w:t>cf-art-167-inc-II</w:t>
      </w:r>
      <w:r>
        <w:rPr>
          <w:color w:val="003CA0"/>
          <w:sz w:val="12"/>
        </w:rPr>
        <w:t xml:space="preserve"> | ADI 5.683</w:t>
      </w:r>
      <w:r>
        <w:rPr>
          <w:color w:val="003CA0"/>
          <w:sz w:val="12"/>
        </w:rPr>
        <w:t xml:space="preserve"> | rel. Roberto Barroso</w:t>
      </w:r>
    </w:p>
    <w:p>
      <w:pPr>
        <w:ind w:left="288"/>
      </w:pPr>
      <w:r>
        <w:rPr>
          <w:color w:val="1E1E1E"/>
          <w:sz w:val="18"/>
        </w:rPr>
        <w:t>A vedação do art. 167, III, da CF não impede a contratação de operações de crédito para o custeio de despesas correntes. Proíbe-se, somente, a contratação que exceda o montante das despesas de capital. Aliás, a mera autorização legislativa não afronta essa regra constitucional, mas apenas a contratação em si, se não respeitar os limites estabelecidos.</w:t>
      </w:r>
    </w:p>
    <w:p>
      <w:pPr>
        <w:ind w:left="288"/>
      </w:pPr>
      <w:r>
        <w:rPr>
          <w:b/>
          <w:color w:val="003CA0"/>
          <w:sz w:val="16"/>
        </w:rPr>
        <w:t>[ADI 5.683, rel. min. Roberto Barroso, j. 22-4-2022, P, DJE de 19-5-2022.]</w:t>
      </w:r>
    </w:p>
    <w:p>
      <w:pPr>
        <w:ind w:left="288"/>
      </w:pPr>
      <w:r>
        <w:rPr>
          <w:color w:val="8C8C8C"/>
          <w:sz w:val="12"/>
        </w:rPr>
        <w:t>cf-art-167-inc-II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Ao prever limite textualmente diverso da regra do art. 167, III, da CF, o art. 12, § 2º, da LRF enseja interpretações distorcidas do teto a ser aplicado às receitas decorrentes de operações de crédito, pelo que a ação deve ser parcialmente provida, nesse ponto, para dar interpretação conforme ao dispositivo para o fim de explicitar que a proibição não abrange operações de crédito autorizadas mediante créditos suplementares ou especiais com finalidade precisa, aprovados pelo Poder Legisl</w:t>
      </w:r>
    </w:p>
    <w:p>
      <w:pPr>
        <w:ind w:left="288"/>
      </w:pPr>
      <w:r>
        <w:rPr>
          <w:b/>
          <w:color w:val="003CA0"/>
          <w:sz w:val="16"/>
        </w:rPr>
        <w:t>[ADI 2.238, rel. min. Alexandre de Moraes, j. 24-6-2020, P, DJE de 15-9-2020.]</w:t>
      </w:r>
    </w:p>
    <w:p>
      <w:pPr>
        <w:ind w:left="288"/>
      </w:pPr>
      <w:r>
        <w:rPr>
          <w:color w:val="8C8C8C"/>
          <w:sz w:val="12"/>
        </w:rPr>
        <w:t>cf-art-167-inc-II</w:t>
      </w:r>
      <w:r>
        <w:rPr>
          <w:color w:val="003CA0"/>
          <w:sz w:val="12"/>
        </w:rPr>
        <w:t xml:space="preserve"> | ADI 3.516</w:t>
      </w:r>
      <w:r>
        <w:rPr>
          <w:color w:val="003CA0"/>
          <w:sz w:val="12"/>
        </w:rPr>
        <w:t xml:space="preserve"> | rel. Edson Fachin</w:t>
      </w:r>
    </w:p>
    <w:p>
      <w:pPr>
        <w:ind w:left="288"/>
      </w:pPr>
      <w:r>
        <w:rPr>
          <w:color w:val="1E1E1E"/>
          <w:sz w:val="18"/>
        </w:rP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 (Redação da EC 42/2003) A ressal</w:t>
      </w:r>
    </w:p>
    <w:p>
      <w:pPr>
        <w:ind w:left="288"/>
      </w:pPr>
      <w:r>
        <w:rPr>
          <w:b/>
          <w:color w:val="003CA0"/>
          <w:sz w:val="16"/>
        </w:rPr>
        <w:t>[ADI 3.516, rel. min. Edson Fachin, j. 16.12.2024, P, DJE de 06.02.2025.]</w:t>
      </w:r>
    </w:p>
    <w:p>
      <w:pPr>
        <w:ind w:left="288"/>
      </w:pPr>
      <w:r>
        <w:rPr>
          <w:color w:val="8C8C8C"/>
          <w:sz w:val="12"/>
        </w:rPr>
        <w:t>cf-art-167-inc-II</w:t>
      </w:r>
      <w:r>
        <w:rPr>
          <w:color w:val="003CA0"/>
          <w:sz w:val="12"/>
        </w:rPr>
        <w:t xml:space="preserve"> | ADI 5.635</w:t>
      </w:r>
      <w:r>
        <w:rPr>
          <w:color w:val="003CA0"/>
          <w:sz w:val="12"/>
        </w:rPr>
        <w:t xml:space="preserve"> | rel. Luís Roberto Barroso</w:t>
      </w:r>
    </w:p>
    <w:p>
      <w:pPr>
        <w:ind w:left="288"/>
      </w:pPr>
      <w:r>
        <w:rPr>
          <w:color w:val="1E1E1E"/>
          <w:sz w:val="18"/>
        </w:rPr>
        <w:t>“São constitucionais as Leis nºs 7.428/2016 e 8.645/2019, ambas do Estado do Rio de Janeiro, que instituíram o Fundo Estadual de Equilíbrio Fiscal – FEEF e, posteriormente, o Fundo Orçamentário Temporário – FOT, fundos atípicos cujas receitas não estão vinculadas a um programa governamental específico e detalhado”.</w:t>
        <w:br/>
        <w:t>[ADI 5.635, rel. min. Luís Roberto Barroso, j. 18-10-2023, P, DJE de 24-11-2023.] O Estado de Mato Grosso do Sul adotou sistema de rateio no qual os recursos destinados aos órgãos da área-meio são posteriormente atribuídos aos da área-fim, mediante transposição, remanejamento ou tra</w:t>
      </w:r>
    </w:p>
    <w:p>
      <w:pPr>
        <w:ind w:left="288"/>
      </w:pPr>
      <w:r>
        <w:rPr>
          <w:b/>
          <w:color w:val="003CA0"/>
          <w:sz w:val="16"/>
        </w:rPr>
        <w:t>[ADI 6.045, rel. min. Marco Aurélio, j. 22-6-2020, P, DJE de 17-7-2020.]</w:t>
      </w:r>
    </w:p>
    <w:p>
      <w:pPr>
        <w:ind w:left="288"/>
      </w:pPr>
      <w:r>
        <w:rPr>
          <w:color w:val="8C8C8C"/>
          <w:sz w:val="12"/>
        </w:rPr>
        <w:t>cf-art-167-inc-II</w:t>
      </w:r>
      <w:r>
        <w:rPr>
          <w:color w:val="003CA0"/>
          <w:sz w:val="12"/>
        </w:rPr>
        <w:t xml:space="preserve"> | ADI 5.897</w:t>
      </w:r>
      <w:r>
        <w:rPr>
          <w:color w:val="003CA0"/>
          <w:sz w:val="12"/>
        </w:rPr>
        <w:t xml:space="preserve"> | rel. Luiz Fux</w:t>
      </w:r>
    </w:p>
    <w:p>
      <w:pPr>
        <w:ind w:left="288"/>
      </w:pPr>
      <w:r>
        <w:rPr>
          <w:color w:val="1E1E1E"/>
          <w:sz w:val="18"/>
        </w:rPr>
        <w:t>O artigo 167, IV, da Constituição Federal veda o estabelecimento de vinculação de receitas proveniente de impostos, quando não previstas ou autorizadas na Constituição Federal, porquanto cerceia o poder de gestão financeira do chefe do Poder Executivo e obsta o custeio das despesas urgentes, imprevistas ou extraordinárias, que se façam necessárias ao longo do exercício financeiro, tanto mais que deve dar-se aplicação aos recursos de receita pública consoante critérios de responsabilidade fiscal consentâneos com os anseios democráticos. (...) A vedação à vinculação da receita é norma que preser</w:t>
      </w:r>
    </w:p>
    <w:p>
      <w:pPr>
        <w:ind w:left="288"/>
      </w:pPr>
      <w:r>
        <w:rPr>
          <w:b/>
          <w:color w:val="003CA0"/>
          <w:sz w:val="16"/>
        </w:rPr>
        <w:t>[ADI 5.897, rel. min. Luiz Fux, j. 24-4-2019, P, DJE de 2-8-2019.]</w:t>
      </w:r>
    </w:p>
    <w:p>
      <w:pPr>
        <w:ind w:left="288"/>
      </w:pPr>
      <w:r>
        <w:rPr>
          <w:color w:val="8C8C8C"/>
          <w:sz w:val="12"/>
        </w:rPr>
        <w:t>cf-art-167-inc-II</w:t>
      </w:r>
      <w:r>
        <w:rPr>
          <w:color w:val="003CA0"/>
          <w:sz w:val="12"/>
        </w:rPr>
        <w:t xml:space="preserve"> | RE 226.855</w:t>
      </w:r>
      <w:r>
        <w:rPr>
          <w:color w:val="003CA0"/>
          <w:sz w:val="12"/>
        </w:rPr>
        <w:t xml:space="preserve"> | rel. Moreira Alves</w:t>
      </w:r>
    </w:p>
    <w:p>
      <w:pPr>
        <w:ind w:left="288"/>
      </w:pPr>
      <w:r>
        <w:rPr>
          <w:color w:val="1E1E1E"/>
          <w:sz w:val="18"/>
        </w:rPr>
        <w:t>(...) esta Suprema Corte considera constitucionais ambas as contribuições criadas pela LC 110/2001 (...). Os dois tributos tinham por objetivo custear os dispêndios da União decorrentes de decisão do STF, que considerou devido o reajuste dos saldos do FGTS (RE 226.855, rel. min. Moreira Alves, Pleno, DJ de 13-10-2000). As restrições previstas nos arts. 157, II, e 167, IV, da Constituição são aplicáveis aos impostos, e, no caso em exame, trata-se da espécie tributária contribuição, nitidamente caracterizada pela prévia escolha da destinação específica do produto arrecadado.</w:t>
      </w:r>
    </w:p>
    <w:p>
      <w:pPr>
        <w:ind w:left="288"/>
      </w:pPr>
      <w:r>
        <w:rPr>
          <w:b/>
          <w:color w:val="003CA0"/>
          <w:sz w:val="16"/>
        </w:rPr>
        <w:t>[ADI 2.556 e ADI 2.568, voto do rel. min. Joaquim Barbosa, j. 13-6-2012, P, DJE de 20-9-2012.]</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Ação direta de inconstitucionalidade contra o inciso V do § 3º do art. 120 da Constituição do Estado de Santa Catarina, com a redação dada pela EC 14, promulgada em 10 de novembro de 1997. Vinculação, por dotação orçamentária, de parte da receita corrente do Estado a programas de desenvolvimento da agricultura, pecuária e abastecimento. Inconstitucionalidade. Afronta à iniciativa privativa do chefe do Poder Executivo em tema de diretrizes orçamentárias. Precedentes. Violação ao art. 167, IV, da CF.</w:t>
      </w:r>
    </w:p>
    <w:p>
      <w:pPr>
        <w:ind w:left="288"/>
      </w:pPr>
      <w:r>
        <w:rPr>
          <w:b/>
          <w:color w:val="003CA0"/>
          <w:sz w:val="16"/>
        </w:rPr>
        <w:t>[ADI 1.759, rel. min. Gilmar Mendes, j. 14-4-2010, P, DJE de 20-8-2010.]</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Vide ADI 1.750, rel. min. Eros Grau, j. 20-9-2006, P, DJ de 13-10-2006 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3CA0"/>
          <w:sz w:val="16"/>
        </w:rPr>
        <w:t>[ADI 2.447, rel. min. Joaquim Barbosa, j. 4-3-2009, P, DJE de 4-12-2009.]</w:t>
      </w:r>
    </w:p>
    <w:p>
      <w:pPr>
        <w:ind w:left="288"/>
      </w:pPr>
      <w:r>
        <w:rPr>
          <w:color w:val="8C8C8C"/>
          <w:sz w:val="12"/>
        </w:rPr>
        <w:t>cf-art-167-inc-II</w:t>
      </w:r>
      <w:r>
        <w:rPr>
          <w:color w:val="003CA0"/>
          <w:sz w:val="12"/>
        </w:rPr>
        <w:t xml:space="preserve"> | ADI 2.529</w:t>
      </w:r>
      <w:r>
        <w:rPr>
          <w:color w:val="003CA0"/>
          <w:sz w:val="12"/>
        </w:rPr>
        <w:t xml:space="preserve"> | rel. Gilmar Mendes</w:t>
      </w:r>
    </w:p>
    <w:p>
      <w:pPr>
        <w:ind w:left="288"/>
      </w:pPr>
      <w:r>
        <w:rPr>
          <w:color w:val="1E1E1E"/>
          <w:sz w:val="18"/>
        </w:rPr>
        <w:t>Ação direta de inconstitucionalidade. Lei 13.133/2001 do Estado do Paraná, que instituiu o Programa de Incentivo à Cultura, vinculando parte da receita do ICMS ao Fundo Estadual de Cultura. Violação ao art. 167, IV, da CF.</w:t>
      </w:r>
    </w:p>
    <w:p>
      <w:pPr>
        <w:ind w:left="288"/>
      </w:pPr>
      <w:r>
        <w:rPr>
          <w:b/>
          <w:color w:val="003CA0"/>
          <w:sz w:val="16"/>
        </w:rPr>
        <w:t>[ADI 2.529, rel. min. Gilmar Mendes, j. 14-6-2007, P, DJ de 6-9-2007.]</w:t>
      </w:r>
    </w:p>
    <w:p>
      <w:pPr>
        <w:ind w:left="288"/>
      </w:pPr>
      <w:r>
        <w:rPr>
          <w:color w:val="8C8C8C"/>
          <w:sz w:val="12"/>
        </w:rPr>
        <w:t>cf-art-167-inc-II</w:t>
      </w:r>
      <w:r>
        <w:rPr>
          <w:color w:val="003CA0"/>
          <w:sz w:val="12"/>
        </w:rPr>
        <w:t xml:space="preserve"> | ADI 820</w:t>
      </w:r>
      <w:r>
        <w:rPr>
          <w:color w:val="003CA0"/>
          <w:sz w:val="12"/>
        </w:rPr>
        <w:t xml:space="preserve"> | rel. Eros Grau</w:t>
      </w:r>
    </w:p>
    <w:p>
      <w:pPr>
        <w:ind w:left="288"/>
      </w:pPr>
      <w:r>
        <w:rPr>
          <w:color w:val="1E1E1E"/>
          <w:sz w:val="18"/>
        </w:rPr>
        <w:t>Art. 202 da Constituição do Estado do Rio Grande do Sul. Lei estadual 9.723. Manutenção e desenvolvimento do ensino público. Aplicação mínima de 35% da receita resultante de impostos. Destinação de 10% desses recursos à manutenção e conservação das escolas públicas Estaduais. (...) A determinação de aplicação de parte dos recursos destinados à educação na "manutenção e conservação das escolas públicas estaduais" vinculou a receita de impostos a uma despesa específica – afronta ao disposto no art. 167, IV, da CF/1988.</w:t>
      </w:r>
    </w:p>
    <w:p>
      <w:pPr>
        <w:ind w:left="288"/>
      </w:pPr>
      <w:r>
        <w:rPr>
          <w:b/>
          <w:color w:val="003CA0"/>
          <w:sz w:val="16"/>
        </w:rPr>
        <w:t>[ADI 820, rel. min. Eros Grau, j. 15-3-2007, P, DJE de 29-2-2008.]</w:t>
      </w:r>
    </w:p>
    <w:p>
      <w:pPr>
        <w:ind w:left="288"/>
      </w:pPr>
      <w:r>
        <w:rPr>
          <w:color w:val="8C8C8C"/>
          <w:sz w:val="12"/>
        </w:rPr>
        <w:t>cf-art-167-inc-II</w:t>
      </w:r>
      <w:r>
        <w:rPr>
          <w:color w:val="003CA0"/>
          <w:sz w:val="12"/>
        </w:rPr>
        <w:t xml:space="preserve"> | ADI 584</w:t>
      </w:r>
      <w:r>
        <w:rPr>
          <w:color w:val="003CA0"/>
          <w:sz w:val="12"/>
        </w:rPr>
        <w:t xml:space="preserve"> | rel. Dias Toffoli</w:t>
      </w:r>
    </w:p>
    <w:p>
      <w:pPr>
        <w:ind w:left="288"/>
      </w:pPr>
      <w:r>
        <w:rPr>
          <w:color w:val="1E1E1E"/>
          <w:sz w:val="18"/>
        </w:rPr>
        <w:t xml:space="preserve">= ADI 584, rel. min. Dias Toffoli, j. 19-3-2014, P, DJE de 9-4-2014 Lei estadual 12.223, de 3-1-2005. Fundo Partilhado de Combate às Desigualdades Sociais e Regionais do Estado do Rio Grande do Sul. (...) As normas em estudo, ao possibilitarem o direcionamento, pelos contribuintes, do valor devido a título de ICMS para o chamado Fundo Partilhado de Combate às Desigualdades Sociais e Regionais do Estado do Rio Grande do Sul, compensando-se, em contrapartida, o valor despendido sob a forma de crédito fiscal presumido, criaram, na verdade, um mecanismo de redirecionamento da receita de ICMS para </w:t>
      </w:r>
    </w:p>
    <w:p>
      <w:pPr>
        <w:ind w:left="288"/>
      </w:pPr>
      <w:r>
        <w:rPr>
          <w:b/>
          <w:color w:val="003CA0"/>
          <w:sz w:val="16"/>
        </w:rPr>
        <w:t>[ADI 3.576, rel. min. Ellen Gracie, j. 22-11-2006, P, DJ de 2-2-2007.]</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88"/>
      </w:pPr>
      <w:r>
        <w:rPr>
          <w:b/>
          <w:color w:val="003CA0"/>
          <w:sz w:val="16"/>
        </w:rPr>
        <w:t>[ADI 1.750, rel. min. Eros Grau, j. 20-9-2006, P, DJ de 13-10-2006.]</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Vide ADI 1.759, rel. min. Gilmar Mendes, j. 14-04-2010, P, DJE de 20-8-2010 Preceito de lei estadual que destina 3% dos emolumentos cobrados pelas serventias extrajudiciais ao Fundo Especial para Instalação, Desenvolvimento e Aperfeiçoamento das Atividades dos Juizados Especiais Cíveis e Criminais do Estado do Mato Grosso do Sul não ofende o disposto no art. 167, IV, da CF.</w:t>
      </w:r>
    </w:p>
    <w:p>
      <w:pPr>
        <w:ind w:left="288"/>
      </w:pPr>
      <w:r>
        <w:rPr>
          <w:b/>
          <w:color w:val="003CA0"/>
          <w:sz w:val="16"/>
        </w:rPr>
        <w:t>[ADI 2.129, rel. min. Eros Grau, j. 26-4-2006, P, DJ de 16-6-2006.]</w:t>
      </w:r>
    </w:p>
    <w:p>
      <w:pPr>
        <w:ind w:left="288"/>
      </w:pPr>
      <w:r>
        <w:rPr>
          <w:color w:val="8C8C8C"/>
          <w:sz w:val="12"/>
        </w:rPr>
        <w:t>cf-art-167-inc-II</w:t>
      </w:r>
      <w:r>
        <w:rPr>
          <w:color w:val="003CA0"/>
          <w:sz w:val="12"/>
        </w:rPr>
        <w:t xml:space="preserve"> | ADI 2.059</w:t>
      </w:r>
      <w:r>
        <w:rPr>
          <w:color w:val="003CA0"/>
          <w:sz w:val="12"/>
        </w:rPr>
        <w:t xml:space="preserve"> | rel. Eros Grau</w:t>
      </w:r>
    </w:p>
    <w:p>
      <w:pPr>
        <w:ind w:left="288"/>
      </w:pPr>
      <w:r>
        <w:rPr>
          <w:color w:val="1E1E1E"/>
          <w:sz w:val="18"/>
        </w:rPr>
        <w:t>= ADI 2.059, rel. min. Eros Grau, j. 26-4-2006, P, DJ de 9-6-2006 Observe-se, ainda, que o art. 7º da lei estadual impugnada determinou que, do valor do crédito fiscal previsto no seu art. 3º, 40% deverá ser recolhido para apoiar os produtores e 10% para a pesquisa do algodão. Tem-se aqui inequívoca afronta ao disposto no art. 167, IV, da CF, que veda a vinculação de receita de impostos a órgão, fundo ou despesas. Ressalte-se que esta Corte houve por bem declarar a inconstitucionalidade de lei paulista que destinou 1% do ICMS ao fornecimento de programas habitacionais, por afronta ao dispositi</w:t>
      </w:r>
    </w:p>
    <w:p>
      <w:pPr>
        <w:ind w:left="288"/>
      </w:pPr>
      <w:r>
        <w:rPr>
          <w:b/>
          <w:color w:val="003CA0"/>
          <w:sz w:val="16"/>
        </w:rPr>
        <w:t>[ADI 2.722, voto do rel. min. Gilmar Mendes, j. 15-9-2005, P, DJ de 19-12-2006.]</w:t>
      </w:r>
    </w:p>
    <w:p>
      <w:pPr>
        <w:ind w:left="288"/>
      </w:pPr>
      <w:r>
        <w:rPr>
          <w:color w:val="8C8C8C"/>
          <w:sz w:val="12"/>
        </w:rPr>
        <w:t>cf-art-167-inc-II</w:t>
      </w:r>
      <w:r>
        <w:rPr>
          <w:color w:val="003CA0"/>
          <w:sz w:val="12"/>
        </w:rPr>
        <w:t xml:space="preserve"> | ADI 1.689</w:t>
      </w:r>
      <w:r>
        <w:rPr>
          <w:color w:val="003CA0"/>
          <w:sz w:val="12"/>
        </w:rPr>
        <w:t xml:space="preserve"> | rel. Sydney Sanches</w:t>
      </w:r>
    </w:p>
    <w:p>
      <w:pPr>
        <w:ind w:left="288"/>
      </w:pPr>
      <w:r>
        <w:rPr>
          <w:color w:val="1E1E1E"/>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w:t>
      </w:r>
    </w:p>
    <w:p>
      <w:pPr>
        <w:ind w:left="288"/>
      </w:pPr>
      <w:r>
        <w:rPr>
          <w:b/>
          <w:color w:val="003CA0"/>
          <w:sz w:val="16"/>
        </w:rPr>
        <w:t>[ADI 1.689, rel. min. Sydney Sanches, j. 12-3-2003, P, DJ de 2-5-2003.]</w:t>
      </w:r>
    </w:p>
    <w:p>
      <w:pPr>
        <w:ind w:left="288"/>
      </w:pPr>
      <w:r>
        <w:rPr>
          <w:color w:val="8C8C8C"/>
          <w:sz w:val="12"/>
        </w:rPr>
        <w:t>cf-art-167-inc-II</w:t>
      </w:r>
      <w:r>
        <w:rPr>
          <w:color w:val="003CA0"/>
          <w:sz w:val="12"/>
        </w:rPr>
        <w:t xml:space="preserve"> | ADI 5.635</w:t>
      </w:r>
      <w:r>
        <w:rPr>
          <w:color w:val="003CA0"/>
          <w:sz w:val="12"/>
        </w:rPr>
        <w:t xml:space="preserve"> | rel. Luís Roberto Barroso</w:t>
      </w:r>
    </w:p>
    <w:p>
      <w:pPr>
        <w:ind w:left="288"/>
      </w:pPr>
      <w:r>
        <w:rPr>
          <w:color w:val="1E1E1E"/>
          <w:sz w:val="18"/>
        </w:rPr>
        <w:t>“(i) É constitucional a exigência de depósito de percentual de benefícios fiscais de ICMS para o Fundo Orçamentário Temporário (FOT), nos termos da ADI 5.635; e (ii) é infraconstitucional e fática a controvérsia sobre a possibilidade de exigir o depósito ao FOT em benefícios fiscais de ICMS concedidos por prazo certo e sob condição.</w:t>
      </w:r>
    </w:p>
    <w:p>
      <w:pPr>
        <w:ind w:left="288"/>
      </w:pPr>
      <w:r>
        <w:rPr>
          <w:b/>
          <w:color w:val="003CA0"/>
          <w:sz w:val="16"/>
        </w:rPr>
        <w:t>[RE 1.506.320 RG, rel. min. Luís Roberto Barroso, j. 11.04.2025, P, DJE de 22.04.2025, Tema 1.386, com mérito julgado.]</w:t>
      </w:r>
    </w:p>
    <w:p>
      <w:pPr>
        <w:ind w:left="144"/>
      </w:pPr>
      <w:r>
        <w:rPr>
          <w:b/>
          <w:color w:val="B45A00"/>
          <w:sz w:val="16"/>
        </w:rPr>
        <w:t>REPERCUSSAO GERAL</w:t>
      </w:r>
    </w:p>
    <w:p>
      <w:pPr>
        <w:ind w:left="288"/>
      </w:pPr>
      <w:r>
        <w:rPr>
          <w:color w:val="8C8C8C"/>
          <w:sz w:val="12"/>
        </w:rPr>
        <w:t>cf-art-167-inc-II</w:t>
      </w:r>
      <w:r>
        <w:rPr>
          <w:color w:val="003CA0"/>
          <w:sz w:val="12"/>
        </w:rPr>
        <w:t xml:space="preserve"> | RE 585.535</w:t>
      </w:r>
      <w:r>
        <w:rPr>
          <w:color w:val="003CA0"/>
          <w:sz w:val="12"/>
        </w:rPr>
        <w:t xml:space="preserve"> | rel. Ellen Gracie</w:t>
      </w:r>
    </w:p>
    <w:p>
      <w:pPr>
        <w:ind w:left="288"/>
      </w:pPr>
      <w:r>
        <w:rPr>
          <w:color w:val="1E1E1E"/>
          <w:sz w:val="18"/>
        </w:rPr>
        <w:t>ICMS. Majoração de alíquota. (...) A Lei paulista 9.903, de 30-12-1997, apenas impôs a divulgação, pelo chefe do Executivo, do emprego dos recursos provenientes do aumento da alíquota de 17% para 18%, previsto no mesmo diploma. A proibição de vinculação de receita de impostos prevista no art. 167, IV, da CF impede a fixação de uma prévia destinação desses recursos, o que não se verificou no presente caso.</w:t>
        <w:br/>
        <w:t>[RE 585.535, rel. min. Ellen Gracie, j. 1º-2-2010, P, DJE de 21-5-2010, Tema 92, com mérito julgado.]</w:t>
        <w:br/>
        <w:t>Vide RE 183.906, rel. min. Marco Aurélio, j. 18-9-1997, P, DJ de 30-4-1998</w:t>
      </w:r>
    </w:p>
    <w:p>
      <w:pPr>
        <w:ind w:left="144"/>
      </w:pPr>
      <w:r>
        <w:rPr>
          <w:b/>
          <w:color w:val="B45A00"/>
          <w:sz w:val="16"/>
        </w:rPr>
        <w:t>JULGADOS CORRELATOS</w:t>
      </w:r>
    </w:p>
    <w:p>
      <w:pPr>
        <w:ind w:left="288"/>
      </w:pPr>
      <w:r>
        <w:rPr>
          <w:color w:val="8C8C8C"/>
          <w:sz w:val="12"/>
        </w:rPr>
        <w:t>cf-art-167-inc-II</w:t>
      </w:r>
      <w:r>
        <w:rPr>
          <w:color w:val="003CA0"/>
          <w:sz w:val="12"/>
        </w:rPr>
        <w:t xml:space="preserve"> | RCL 60.128</w:t>
      </w:r>
      <w:r>
        <w:rPr>
          <w:color w:val="003CA0"/>
          <w:sz w:val="12"/>
        </w:rPr>
        <w:t xml:space="preserve"> | rel. Luiz Fux</w:t>
      </w:r>
    </w:p>
    <w:p>
      <w:pPr>
        <w:ind w:left="288"/>
      </w:pPr>
      <w:r>
        <w:rPr>
          <w:color w:val="1E1E1E"/>
          <w:sz w:val="18"/>
        </w:rPr>
        <w:t>Não se admite a constrição indiscriminada de verbas públicas, inclusive na fase de pagamento, por meio de decisões judiciais, sob pena de afronta ao preceito contido no art. 167, VI, da CF, ao modelo constitucional de organização orçamentária das finanças públicas e ao princípio da continuidade dos serviços públicos (art. 175 da Constituição Federal).</w:t>
        <w:br/>
        <w:t>[Rcl 60.128 AgR, rel. min. Luiz Fux, red. do ac. min. Alexandre de Moraes, j. 9-10-2023, 1ª T, DJE de 19-10-2023.] Preceito de lei estadual que destina 5% dos emolumentos cobrados pelas serventias extrajudiciais e não oficializadas ao Fundo Estad</w:t>
      </w:r>
    </w:p>
    <w:p>
      <w:pPr>
        <w:ind w:left="288"/>
      </w:pPr>
      <w:r>
        <w:rPr>
          <w:b/>
          <w:color w:val="003CA0"/>
          <w:sz w:val="16"/>
        </w:rPr>
        <w:t>[RE 218.874, rel. min. Eros Grau, j. 7-11-2007, P, DJ de 1º-2-2008.]</w:t>
      </w:r>
    </w:p>
    <w:p>
      <w:pPr>
        <w:ind w:left="144"/>
      </w:pPr>
      <w:r>
        <w:rPr>
          <w:b/>
          <w:color w:val="B45A00"/>
          <w:sz w:val="16"/>
        </w:rPr>
        <w:t>CONTROLE CONCENTRADO</w:t>
      </w:r>
    </w:p>
    <w:p>
      <w:pPr>
        <w:ind w:left="288"/>
      </w:pPr>
      <w:r>
        <w:rPr>
          <w:color w:val="8C8C8C"/>
          <w:sz w:val="12"/>
        </w:rPr>
        <w:t>cf-art-167-inc-V</w:t>
      </w:r>
      <w:r>
        <w:rPr>
          <w:color w:val="003CA0"/>
          <w:sz w:val="12"/>
        </w:rPr>
        <w:t xml:space="preserve"> | ADI 4.049</w:t>
      </w:r>
      <w:r>
        <w:rPr>
          <w:color w:val="003CA0"/>
          <w:sz w:val="12"/>
        </w:rPr>
        <w:t xml:space="preserve"> | rel. Ayres Britto</w:t>
      </w:r>
    </w:p>
    <w:p>
      <w:pPr>
        <w:ind w:left="288"/>
      </w:pPr>
      <w:r>
        <w:rPr>
          <w:color w:val="1E1E1E"/>
          <w:sz w:val="18"/>
        </w:rPr>
        <w:t>Medida cautelar em ação direta de inconstitucionalidade. MP 402, de 23-11-2007, convertida na Lei 11.656, de 16-4-2008. Abertura de crédito extraordinário. (...) Violação que alcança o inciso V do mesmo artigo, na medida em que o ato normativo adversado vem a categorizar como de natureza extraordinária crédito que, em verdade, não passa de especial, ou suplementar.</w:t>
      </w:r>
    </w:p>
    <w:p>
      <w:pPr>
        <w:ind w:left="288"/>
      </w:pPr>
      <w:r>
        <w:rPr>
          <w:b/>
          <w:color w:val="003CA0"/>
          <w:sz w:val="16"/>
        </w:rPr>
        <w:t>[ADI 4.049 MC, rel. min. Ayres Britto, j. 5-11-2008, P, DJE de 8-5-2009.]</w:t>
      </w:r>
    </w:p>
    <w:p>
      <w:pPr>
        <w:ind w:left="288"/>
      </w:pPr>
      <w:r>
        <w:rPr>
          <w:color w:val="8C8C8C"/>
          <w:sz w:val="12"/>
        </w:rPr>
        <w:t>cf-art-167-inc-VI</w:t>
      </w:r>
      <w:r>
        <w:rPr>
          <w:color w:val="003CA0"/>
          <w:sz w:val="12"/>
        </w:rPr>
        <w:t xml:space="preserve"> | ADPF 616</w:t>
      </w:r>
      <w:r>
        <w:rPr>
          <w:color w:val="003CA0"/>
          <w:sz w:val="12"/>
        </w:rPr>
        <w:t xml:space="preserve"> | rel. Roberto Barroso</w:t>
      </w:r>
    </w:p>
    <w:p>
      <w:pPr>
        <w:ind w:left="288"/>
      </w:pPr>
      <w:r>
        <w:rPr>
          <w:color w:val="1E1E1E"/>
          <w:sz w:val="18"/>
        </w:rPr>
        <w:t>Os recursos públicos vinculados ao orçamento de estatais prestadoras de serviço público essencial, em regime não concorrencial e sem intuito lucrativo primário não podem ser bloqueados ou sequestrados por decisão judicial para pagamento de suas dívidas, em virtude do disposto no art. 100 da CF/1988, e dos princípios da legalidade orçamentária (art. 167, VI, da CF), da separação dos poderes (arts. 2°, 60, § 4°, III, da CF) e da eficiência da administração pública (art. 37, caput, da CF).</w:t>
        <w:br/>
        <w:t>[ADPF 616, rel. min. Roberto Barroso, j. 21-5-2021, P, DJE 21-6-2021.] Verbas estaduais não podem ser objeto</w:t>
      </w:r>
    </w:p>
    <w:p>
      <w:pPr>
        <w:ind w:left="288"/>
      </w:pPr>
      <w:r>
        <w:rPr>
          <w:b/>
          <w:color w:val="003CA0"/>
          <w:sz w:val="16"/>
        </w:rPr>
        <w:t>[ADPF 485, rel. min. Roberto Barroso, j. 7-12-2020, P, DJE de 4-2-2021.]</w:t>
      </w:r>
    </w:p>
    <w:p>
      <w:pPr>
        <w:ind w:left="288"/>
      </w:pPr>
      <w:r>
        <w:rPr>
          <w:color w:val="8C8C8C"/>
          <w:sz w:val="12"/>
        </w:rPr>
        <w:t>cf-art-167-inc-VI</w:t>
      </w:r>
      <w:r>
        <w:rPr>
          <w:color w:val="003CA0"/>
          <w:sz w:val="12"/>
        </w:rPr>
        <w:t xml:space="preserve"> | ADPF 484</w:t>
      </w:r>
      <w:r>
        <w:rPr>
          <w:color w:val="003CA0"/>
          <w:sz w:val="12"/>
        </w:rPr>
        <w:t xml:space="preserve"> | rel. Luiz Fux</w:t>
      </w:r>
    </w:p>
    <w:p>
      <w:pPr>
        <w:ind w:left="288"/>
      </w:pPr>
      <w:r>
        <w:rPr>
          <w:color w:val="1E1E1E"/>
          <w:sz w:val="18"/>
        </w:rPr>
        <w:t>O artigo 167, VI, da Constituição proíbe a transposição, o remanejamento ou a transferência de recursos de uma categoria de programação para outra ou de um órgão para outro, sem prévia autorização legislativa, mandamento esse que também vincula o Judiciário. Isso porque as regras sobre aprovação e gestão orçamentárias consagram mecanismos de freios e contrapesos essenciais ao regular funcionamento das instituições republicanas e democráticas e à concretização do princípio da separação dos poderes.</w:t>
        <w:br/>
        <w:t>[ADPF 484, rel. min. Luiz Fux, j. 4-6-2020, P, DJE de 10-11-2020.] As reiteradas decisões do Trib</w:t>
      </w:r>
    </w:p>
    <w:p>
      <w:pPr>
        <w:ind w:left="288"/>
      </w:pPr>
      <w:r>
        <w:rPr>
          <w:b/>
          <w:color w:val="003CA0"/>
          <w:sz w:val="16"/>
        </w:rPr>
        <w:t>[ADPF 405 MC, rel. min. Rosa Weber, j. 14-6-2017, P, DJE de 5-2-2018.]</w:t>
      </w:r>
    </w:p>
    <w:p>
      <w:pPr>
        <w:ind w:left="288"/>
      </w:pPr>
      <w:r>
        <w:rPr>
          <w:color w:val="8C8C8C"/>
          <w:sz w:val="12"/>
        </w:rPr>
        <w:t>cf-art-167-inc-VI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52, § 2º: alegação de ofensa ao art. 167 da CF: improcedência. Não há vinculação de receita, mas apenas distribuição dos superávit orçamentário aos poderes e ao Ministério Público: improcedência. (...)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w:t>
      </w:r>
    </w:p>
    <w:p>
      <w:pPr>
        <w:ind w:left="288"/>
      </w:pPr>
      <w:r>
        <w:rPr>
          <w:b/>
          <w:color w:val="003CA0"/>
          <w:sz w:val="16"/>
        </w:rPr>
        <w:t>[ADI 3.652, rel. min. Sepúlveda Pertence, j. 19-12-2006, P, DJ de 16-3-2007.]</w:t>
      </w:r>
    </w:p>
    <w:p>
      <w:pPr>
        <w:ind w:left="288"/>
      </w:pPr>
      <w:r>
        <w:rPr>
          <w:color w:val="8C8C8C"/>
          <w:sz w:val="12"/>
        </w:rPr>
        <w:t>cf-art-167-inc-VI</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w:t>
      </w:r>
    </w:p>
    <w:p>
      <w:pPr>
        <w:ind w:left="288"/>
      </w:pPr>
      <w:r>
        <w:rPr>
          <w:b/>
          <w:color w:val="003CA0"/>
          <w:sz w:val="16"/>
        </w:rPr>
        <w:t>[ADI 3.401, rel. min. Gilmar Mendes, j. 26-4-2006, P, DJ de 23-2-2007.]</w:t>
      </w:r>
    </w:p>
    <w:p>
      <w:pPr>
        <w:ind w:left="288"/>
      </w:pPr>
      <w:r>
        <w:rPr>
          <w:color w:val="8C8C8C"/>
          <w:sz w:val="12"/>
        </w:rPr>
        <w:t>cf-art-167-inc-VII</w:t>
      </w:r>
    </w:p>
    <w:p>
      <w:pPr>
        <w:ind w:left="288"/>
      </w:pPr>
      <w:r>
        <w:rPr>
          <w:color w:val="1E1E1E"/>
          <w:sz w:val="18"/>
        </w:rPr>
        <w:t>VIII - a utilização, sem autorização legislativa específica, de recursos dos orçamentos fiscal e da seguridade social para suprir necessidade ou cobrir déficit de empresas, fundações e fundos, inclusive dos mencionados no art. 165, § 5º;</w:t>
      </w:r>
    </w:p>
    <w:p>
      <w:pPr>
        <w:ind w:left="288"/>
      </w:pPr>
      <w:r>
        <w:rPr>
          <w:color w:val="8C8C8C"/>
          <w:sz w:val="12"/>
        </w:rPr>
        <w:t>cf-art-167-inc-IX</w:t>
      </w:r>
    </w:p>
    <w:p>
      <w:pPr>
        <w:ind w:left="288"/>
      </w:pPr>
      <w:r>
        <w:rPr>
          <w:color w:val="1E1E1E"/>
          <w:sz w:val="18"/>
        </w:rPr>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 (Incluído pela EC 19/1998)</w:t>
      </w:r>
    </w:p>
    <w:p>
      <w:pPr>
        <w:ind w:left="288"/>
      </w:pPr>
      <w:r>
        <w:rPr>
          <w:color w:val="8C8C8C"/>
          <w:sz w:val="12"/>
        </w:rPr>
        <w:t>cf-art-167-inc-IX</w:t>
      </w:r>
      <w:r>
        <w:rPr>
          <w:color w:val="003CA0"/>
          <w:sz w:val="12"/>
        </w:rPr>
        <w:t xml:space="preserve"> | ADI 5.683</w:t>
      </w:r>
      <w:r>
        <w:rPr>
          <w:color w:val="003CA0"/>
          <w:sz w:val="12"/>
        </w:rPr>
        <w:t xml:space="preserve"> | rel. Roberto Barroso</w:t>
      </w:r>
    </w:p>
    <w:p>
      <w:pPr>
        <w:ind w:left="288"/>
      </w:pPr>
      <w:r>
        <w:rPr>
          <w:color w:val="1E1E1E"/>
          <w:sz w:val="18"/>
        </w:rPr>
        <w:t>A Constituição Federal, em seu art. 167, X, veda a concessão de empréstimos por instituições financeiras estatais para o pagamento de despesas com pessoal ativo, inativo e pensionista. Impede-se, portanto, a alocação dessas receitas para o custeio de pessoal ativo e inativo. Não há na regra uma vedação absoluta à contratação de empréstimos junto a instituições financeiras estatais. A vedação estabelecida no art. 167, X, da CF diz respeito apenas a instituições financeiras estatais. A proibição não alcança as contratações realizadas com instituições financeiras privadas.</w:t>
      </w:r>
    </w:p>
    <w:p>
      <w:pPr>
        <w:ind w:left="288"/>
      </w:pPr>
      <w:r>
        <w:rPr>
          <w:b/>
          <w:color w:val="003CA0"/>
          <w:sz w:val="16"/>
        </w:rPr>
        <w:t>[ADI 5.683, rel. min. Roberto Barroso, j. 22-4-2022, P, DJE de 19-5-2022.]</w:t>
      </w:r>
    </w:p>
    <w:p>
      <w:pPr>
        <w:ind w:left="288"/>
      </w:pPr>
      <w:r>
        <w:rPr>
          <w:color w:val="8C8C8C"/>
          <w:sz w:val="12"/>
        </w:rPr>
        <w:t>cf-art-167-inc-IX</w:t>
      </w:r>
      <w:r>
        <w:rPr>
          <w:color w:val="003CA0"/>
          <w:sz w:val="12"/>
        </w:rPr>
        <w:t xml:space="preserve"> | ADPF 485</w:t>
      </w:r>
      <w:r>
        <w:rPr>
          <w:color w:val="003CA0"/>
          <w:sz w:val="12"/>
        </w:rPr>
        <w:t xml:space="preserve"> | rel. Roberto Barroso</w:t>
      </w:r>
    </w:p>
    <w:p>
      <w:pPr>
        <w:ind w:left="288"/>
      </w:pPr>
      <w:r>
        <w:rPr>
          <w:color w:val="1E1E1E"/>
          <w:sz w:val="18"/>
        </w:rPr>
        <w:t>Verbas estaduais não podem ser objeto de bloqueio, penhora e/ou sequestro para pagamento de valores devidos em ações trabalhistas, ainda que as empresas reclamadas detenham créditos a receber da administração pública estadual, em virtude do disposto no art. 167, VI e X, da CF, e do princípio da separação de poderes (art. 2º da CF).</w:t>
      </w:r>
    </w:p>
    <w:p>
      <w:pPr>
        <w:ind w:left="288"/>
      </w:pPr>
      <w:r>
        <w:rPr>
          <w:b/>
          <w:color w:val="003CA0"/>
          <w:sz w:val="16"/>
        </w:rPr>
        <w:t>[ADPF 485, rel. min. Roberto Barroso, j. 7-12-2020, P, DJE de 4-2-2021.]</w:t>
      </w:r>
    </w:p>
    <w:p>
      <w:pPr>
        <w:ind w:left="288"/>
      </w:pPr>
      <w:r>
        <w:rPr>
          <w:color w:val="8C8C8C"/>
          <w:sz w:val="12"/>
        </w:rPr>
        <w:t>cf-art-167-inc-IX</w:t>
      </w:r>
      <w:r>
        <w:rPr>
          <w:color w:val="003CA0"/>
          <w:sz w:val="12"/>
        </w:rPr>
        <w:t xml:space="preserve"> | ADPF 405</w:t>
      </w:r>
      <w:r>
        <w:rPr>
          <w:color w:val="003CA0"/>
          <w:sz w:val="12"/>
        </w:rPr>
        <w:t xml:space="preserve"> | rel. Rosa Weber</w:t>
      </w:r>
    </w:p>
    <w:p>
      <w:pPr>
        <w:ind w:left="288"/>
      </w:pPr>
      <w:r>
        <w:rPr>
          <w:color w:val="1E1E1E"/>
          <w:sz w:val="18"/>
        </w:rPr>
        <w:t>As reiteradas decisões do Tribunal de Justiça do Estado do Rio de Janeiro e do TRT 1ª Região que resultaram em bloqueio, arresto, penhora, sequestro e liberação de valores administrados pelo Poder Executivo do Estado do Rio de Janeiro para atender demandas relativas a pagamento de salário de servidores ativos e inativos, satisfação imediata de créditos de prestadores de serviços e tutelas provisórias definidoras de prioridades na aplicação de recursos públicos traduzem, em seu conjunto, ato do poder público passível de controle pela via da arguição de descumprimento de preceito fundamental (..</w:t>
      </w:r>
    </w:p>
    <w:p>
      <w:pPr>
        <w:ind w:left="288"/>
      </w:pPr>
      <w:r>
        <w:rPr>
          <w:color w:val="8C8C8C"/>
          <w:sz w:val="12"/>
        </w:rPr>
        <w:t>cf-art-167-par-1</w:t>
      </w:r>
    </w:p>
    <w:p>
      <w:pPr>
        <w:ind w:left="288"/>
      </w:pPr>
      <w:r>
        <w:rPr>
          <w:color w:val="1E1E1E"/>
          <w:sz w:val="18"/>
        </w:rPr>
        <w:t>§ 2º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subsequente.</w:t>
      </w:r>
    </w:p>
    <w:p>
      <w:pPr>
        <w:ind w:left="288"/>
      </w:pPr>
      <w:r>
        <w:rPr>
          <w:color w:val="8C8C8C"/>
          <w:sz w:val="12"/>
        </w:rPr>
        <w:t>cf-art-167-par-1</w:t>
      </w:r>
      <w:r>
        <w:rPr>
          <w:color w:val="003CA0"/>
          <w:sz w:val="12"/>
        </w:rPr>
        <w:t xml:space="preserve"> | ADI 4.049</w:t>
      </w:r>
      <w:r>
        <w:rPr>
          <w:color w:val="003CA0"/>
          <w:sz w:val="12"/>
        </w:rPr>
        <w:t xml:space="preserve"> | rel. Ayres Britto</w:t>
      </w:r>
    </w:p>
    <w:p>
      <w:pPr>
        <w:ind w:left="288"/>
      </w:pPr>
      <w:r>
        <w:rPr>
          <w:color w:val="1E1E1E"/>
          <w:sz w:val="18"/>
        </w:rPr>
        <w:t>Medida provisória que abre crédito extraordinário não se exaure no ato de sua primeira aplicação. Ela somente se exaure ao final do exercício financeiro para o qual foi aberto o crédito extraordinário nela referido. Hipótese em que a abertura do crédito se deu nos últimos quatro meses do exercício, projetando-se, nos limites de seus saldos, para o orçamento do exercício financeiro subsequente (§ 2º do art. 167 da CF).</w:t>
      </w:r>
    </w:p>
    <w:p>
      <w:pPr>
        <w:ind w:left="288"/>
      </w:pPr>
      <w:r>
        <w:rPr>
          <w:b/>
          <w:color w:val="003CA0"/>
          <w:sz w:val="16"/>
        </w:rPr>
        <w:t>[ADI 4.049 MC, rel. min. Ayres Britto, j. 5-11-2008, P, DJE de 8-5-2009.]</w:t>
      </w:r>
    </w:p>
    <w:p>
      <w:pPr>
        <w:ind w:left="288"/>
      </w:pPr>
      <w:r>
        <w:rPr>
          <w:color w:val="8C8C8C"/>
          <w:sz w:val="12"/>
        </w:rPr>
        <w:t>cf-art-167-par-3</w:t>
      </w:r>
      <w:r>
        <w:rPr>
          <w:color w:val="003CA0"/>
          <w:sz w:val="12"/>
        </w:rPr>
        <w:t xml:space="preserve"> | ADI 4.048</w:t>
      </w:r>
      <w:r>
        <w:rPr>
          <w:color w:val="003CA0"/>
          <w:sz w:val="12"/>
        </w:rPr>
        <w:t xml:space="preserve"> | rel. Gilmar Mendes</w:t>
      </w:r>
    </w:p>
    <w:p>
      <w:pPr>
        <w:ind w:left="288"/>
      </w:pPr>
      <w:r>
        <w:rPr>
          <w:color w:val="1E1E1E"/>
          <w:sz w:val="18"/>
        </w:rPr>
        <w:t>Limites constitucionais à atividade legislativa excepcional do Poder Executivo na edição de medidas provisórias para abertura de crédito extraordinário. Interpretação do art. 167, § 3º, c/c o art. 62, § 1º,  I, d, da Constituição. Além dos requisitos de relevância e urgência (art. 62), a Constituição exige que a abertura do crédito extraordinário seja feita apenas para atender a despesas imprevisíveis e urgentes. Ao contrário do que ocorre em relação aos requisitos de relevância e urgência (art. 62), que se submetem a uma ampla margem de discricionariedade por parte do presidente da República,</w:t>
      </w:r>
    </w:p>
    <w:p>
      <w:pPr>
        <w:ind w:left="288"/>
      </w:pPr>
      <w:r>
        <w:rPr>
          <w:b/>
          <w:color w:val="003CA0"/>
          <w:sz w:val="16"/>
        </w:rPr>
        <w:t>[ADI 4.048 MC, rel. min. Gilmar Mendes, j. 14-5-2008, P, DJE de 22-8-2008.]</w:t>
      </w:r>
    </w:p>
    <w:p>
      <w:pPr>
        <w:ind w:left="288"/>
      </w:pPr>
      <w:r>
        <w:rPr>
          <w:color w:val="8C8C8C"/>
          <w:sz w:val="12"/>
        </w:rPr>
        <w:t>cf-art-167-par-3</w:t>
      </w:r>
      <w:r>
        <w:rPr>
          <w:color w:val="003CA0"/>
          <w:sz w:val="12"/>
        </w:rPr>
        <w:t xml:space="preserve"> | ADI 4.049</w:t>
      </w:r>
      <w:r>
        <w:rPr>
          <w:color w:val="003CA0"/>
          <w:sz w:val="12"/>
        </w:rPr>
        <w:t xml:space="preserve"> | rel. Ayres Britto</w:t>
      </w:r>
    </w:p>
    <w:p>
      <w:pPr>
        <w:ind w:left="288"/>
      </w:pPr>
      <w:r>
        <w:rPr>
          <w:color w:val="1E1E1E"/>
          <w:sz w:val="18"/>
        </w:rPr>
        <w:t>= ADI 4.049 MC, rel. min. Ayres Britto, j. 5-11-2008, P, DJE de 8-5-2009 § 4º É permitida a vinculação das receitas a que se referem os arts. 155, 156, 156-A, 157, 158 e as alíneas a, b, d, e e f do inciso I e o inciso II do caput do art. 159 desta Constituição para pagamento de débitos com a União e para prestar-lhe garantia ou contragarantia. (Redação dada pela EC n. 132/2023)</w:t>
      </w:r>
    </w:p>
    <w:p>
      <w:pPr>
        <w:ind w:left="720"/>
      </w:pPr>
      <w:r>
        <w:rPr>
          <w:color w:val="003366"/>
          <w:sz w:val="18"/>
        </w:rPr>
        <w:t>I – são dispensados, durante a integralidade do exercício financeiro em que vigo</w:t>
      </w:r>
    </w:p>
    <w:p>
      <w:pPr>
        <w:ind w:left="720"/>
      </w:pPr>
      <w:r>
        <w:rPr>
          <w:color w:val="003366"/>
          <w:sz w:val="18"/>
        </w:rPr>
        <w:t>II – o superávit financeiro apurado em 31 de dezembro do ano imediatamente anter</w:t>
      </w:r>
    </w:p>
    <w:p>
      <w:pPr>
        <w:ind w:left="432"/>
      </w:pPr>
      <w:r>
        <w:rPr>
          <w:color w:val="003366"/>
          <w:sz w:val="18"/>
        </w:rPr>
        <w:t>§ 1 Lei complementar pode definir outras suspensões, dispensas e afastamentos ap</w:t>
      </w:r>
    </w:p>
    <w:p>
      <w:pPr>
        <w:ind w:left="432"/>
      </w:pPr>
      <w:r>
        <w:rPr>
          <w:color w:val="003366"/>
          <w:sz w:val="18"/>
        </w:rPr>
        <w:t>§ 2 O disposto no inciso II do caput deste artigo não se aplica às fontes de rec</w:t>
      </w:r>
    </w:p>
    <w:p>
      <w:pPr>
        <w:ind w:left="720"/>
      </w:pPr>
      <w:r>
        <w:rPr>
          <w:color w:val="003366"/>
          <w:sz w:val="18"/>
        </w:rPr>
        <w:t>I – decorrentes de repartição de receitas a Estados, ao Distrito Federal e a Mun</w:t>
      </w:r>
    </w:p>
    <w:p>
      <w:pPr>
        <w:ind w:left="720"/>
      </w:pPr>
      <w:r>
        <w:rPr>
          <w:color w:val="003366"/>
          <w:sz w:val="18"/>
        </w:rPr>
        <w:t>II – decorrentes das vinculações estabelecidas pelos arts. 195, 198, 201, 212, 2</w:t>
      </w:r>
    </w:p>
    <w:p>
      <w:pPr>
        <w:ind w:left="720"/>
      </w:pPr>
      <w:r>
        <w:rPr>
          <w:color w:val="003366"/>
          <w:sz w:val="18"/>
        </w:rPr>
        <w:t>III – destinadas ao registro de receitas oriundas da arrecadação de doações ou d</w:t>
      </w:r>
    </w:p>
    <w:p>
      <w:r>
        <w:rPr>
          <w:b/>
          <w:color w:val="003366"/>
          <w:sz w:val="20"/>
        </w:rPr>
        <w:t>Art. 167 G. Na hipótese de que trata o art. 167-B, aplicam-se à União, até o tér</w:t>
      </w:r>
      <w:r>
        <w:rPr>
          <w:color w:val="8C8C8C"/>
          <w:sz w:val="14"/>
        </w:rPr>
        <w:t xml:space="preserve">  [38 decisoes]</w:t>
      </w:r>
    </w:p>
    <w:p>
      <w:pPr>
        <w:ind w:left="144"/>
      </w:pPr>
      <w:r>
        <w:rPr>
          <w:b/>
          <w:color w:val="B45A00"/>
          <w:sz w:val="16"/>
        </w:rPr>
        <w:t>JULGADOS CORRELATOS</w:t>
      </w:r>
    </w:p>
    <w:p>
      <w:pPr>
        <w:ind w:left="288"/>
      </w:pPr>
      <w:r>
        <w:rPr>
          <w:color w:val="8C8C8C"/>
          <w:sz w:val="12"/>
        </w:rPr>
        <w:t>cf-art-167-inc-I</w:t>
      </w:r>
      <w:r>
        <w:rPr>
          <w:color w:val="003CA0"/>
          <w:sz w:val="12"/>
        </w:rPr>
        <w:t xml:space="preserve"> | PET 2.836</w:t>
      </w:r>
      <w:r>
        <w:rPr>
          <w:color w:val="003CA0"/>
          <w:sz w:val="12"/>
        </w:rPr>
        <w:t xml:space="preserve"> | rel. Carlos Velloso</w:t>
      </w:r>
    </w:p>
    <w:p>
      <w:pPr>
        <w:ind w:left="288"/>
      </w:pPr>
      <w:r>
        <w:rPr>
          <w:color w:val="1E1E1E"/>
          <w:sz w:val="18"/>
        </w:rPr>
        <w:t>Determinação judicial de construção de creches pelo Município. Despesas públicas: necessidade de autorização orçamentária: CF, art. 167. Fumus boni juris e periculum in mora ocorrentes. Concessão de efeito suspensivo ao recurso extraordinário diante da possibilidade de ocorrência de graves prejuízos aos cofres públicos municipais.</w:t>
      </w:r>
    </w:p>
    <w:p>
      <w:pPr>
        <w:ind w:left="288"/>
      </w:pPr>
      <w:r>
        <w:rPr>
          <w:b/>
          <w:color w:val="003CA0"/>
          <w:sz w:val="16"/>
        </w:rPr>
        <w:t>[Pet 2.836 QO, rel. min. Carlos Velloso, j. 11-2-2003, 2ª T, DJ de 14-3-2003.]</w:t>
      </w:r>
    </w:p>
    <w:p>
      <w:pPr>
        <w:ind w:left="144"/>
      </w:pPr>
      <w:r>
        <w:rPr>
          <w:b/>
          <w:color w:val="B45A00"/>
          <w:sz w:val="16"/>
        </w:rPr>
        <w:t>CONTROLE CONCENTRADO</w:t>
      </w:r>
    </w:p>
    <w:p>
      <w:pPr>
        <w:ind w:left="288"/>
      </w:pPr>
      <w:r>
        <w:rPr>
          <w:color w:val="8C8C8C"/>
          <w:sz w:val="12"/>
        </w:rPr>
        <w:t>cf-art-167-inc-II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56, parágrafo único: procedência, em parte, para atribuir interpretação conforme à expressão "abertura de novos elementos de despesa".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Constituição, que veda "a realização de despesas ou a assunção de ob</w:t>
      </w:r>
    </w:p>
    <w:p>
      <w:pPr>
        <w:ind w:left="288"/>
      </w:pPr>
      <w:r>
        <w:rPr>
          <w:b/>
          <w:color w:val="003CA0"/>
          <w:sz w:val="16"/>
        </w:rPr>
        <w:t>[ADI 3.652, rel. min. Sepúlveda Pertence, j. 19-12-2006, P, DJ de 16-3-2007.]</w:t>
      </w:r>
    </w:p>
    <w:p>
      <w:pPr>
        <w:ind w:left="288"/>
      </w:pPr>
      <w:r>
        <w:rPr>
          <w:color w:val="8C8C8C"/>
          <w:sz w:val="12"/>
        </w:rPr>
        <w:t>cf-art-167-inc-II</w:t>
      </w:r>
      <w:r>
        <w:rPr>
          <w:color w:val="003CA0"/>
          <w:sz w:val="12"/>
        </w:rPr>
        <w:t xml:space="preserve"> | ADI 352</w:t>
      </w:r>
      <w:r>
        <w:rPr>
          <w:color w:val="003CA0"/>
          <w:sz w:val="12"/>
        </w:rPr>
        <w:t xml:space="preserve"> | rel. Celso de Mello</w:t>
      </w:r>
    </w:p>
    <w:p>
      <w:pPr>
        <w:ind w:left="288"/>
      </w:pPr>
      <w:r>
        <w:rPr>
          <w:color w:val="1E1E1E"/>
          <w:sz w:val="18"/>
        </w:rPr>
        <w:t>Reveste-se de plausibilidade jurídica, no entanto, a tese, sustentada em ação direta, de que o legislador estadual, condicionado em sua ação normativa por princípios superiores enunciados na CF, não pode, ao fixar a despesa pública, autorizar gastos que excedam os créditos orçamentários ou adicionais, ou omitir-lhes a correspondente fonte de custeio, com a necessária indicação dos recursos existentes.</w:t>
      </w:r>
    </w:p>
    <w:p>
      <w:pPr>
        <w:ind w:left="288"/>
      </w:pPr>
      <w:r>
        <w:rPr>
          <w:b/>
          <w:color w:val="003CA0"/>
          <w:sz w:val="16"/>
        </w:rPr>
        <w:t>[ADI 352 MC, rel. min. Celso de Mello, j. 29-8-1990, P, DJ de 8-3-1991.]</w:t>
      </w:r>
    </w:p>
    <w:p>
      <w:pPr>
        <w:ind w:left="144"/>
      </w:pPr>
      <w:r>
        <w:rPr>
          <w:b/>
          <w:color w:val="B45A00"/>
          <w:sz w:val="16"/>
        </w:rPr>
        <w:t>JULGADOS CORRELATOS</w:t>
      </w:r>
    </w:p>
    <w:p>
      <w:pPr>
        <w:ind w:left="288"/>
      </w:pPr>
      <w:r>
        <w:rPr>
          <w:color w:val="8C8C8C"/>
          <w:sz w:val="12"/>
        </w:rPr>
        <w:t>cf-art-167-inc-II</w:t>
      </w:r>
      <w:r>
        <w:rPr>
          <w:color w:val="003CA0"/>
          <w:sz w:val="12"/>
        </w:rPr>
        <w:t xml:space="preserve"> | ACO 3.414</w:t>
      </w:r>
      <w:r>
        <w:rPr>
          <w:color w:val="003CA0"/>
          <w:sz w:val="12"/>
        </w:rPr>
        <w:t xml:space="preserve"> | rel. Gilmar Mendes</w:t>
      </w:r>
    </w:p>
    <w:p>
      <w:pPr>
        <w:ind w:left="288"/>
      </w:pPr>
      <w:r>
        <w:rPr>
          <w:color w:val="1E1E1E"/>
          <w:sz w:val="18"/>
        </w:rPr>
        <w:t>Uso de recursos do FCDF para o pagamento de despesas do exercício anterior ao do orçamento vigente. Impossibilidade. Ofensa aos arts. 165, III, XIV, c/c art. 167, II, ambos da CF e ao princípio da anualidade orçamentária (...).</w:t>
      </w:r>
    </w:p>
    <w:p>
      <w:pPr>
        <w:ind w:left="288"/>
      </w:pPr>
      <w:r>
        <w:rPr>
          <w:b/>
          <w:color w:val="003CA0"/>
          <w:sz w:val="16"/>
        </w:rPr>
        <w:t>[ACO 3.414 AgR, rel. min. Gilmar Mendes, j. 18-12-2021, P, DJE de 15-2-2022.]</w:t>
      </w:r>
    </w:p>
    <w:p>
      <w:pPr>
        <w:ind w:left="288"/>
      </w:pPr>
      <w:r>
        <w:rPr>
          <w:color w:val="8C8C8C"/>
          <w:sz w:val="12"/>
        </w:rPr>
        <w:t>cf-art-167-inc-II</w:t>
      </w:r>
    </w:p>
    <w:p>
      <w:pPr>
        <w:ind w:left="288"/>
      </w:pPr>
      <w:r>
        <w:rPr>
          <w:color w:val="1E1E1E"/>
          <w:sz w:val="18"/>
        </w:rPr>
        <w:t>III - a realização de operações de créditos que excedam o montante das despesas de capital, ressalvadas as autorizadas mediante créditos suplementares ou especiais com finalidade precisa, aprovados pelo Poder Legislativo por maioria absoluta;</w:t>
      </w:r>
    </w:p>
    <w:p>
      <w:pPr>
        <w:ind w:left="144"/>
      </w:pPr>
      <w:r>
        <w:rPr>
          <w:b/>
          <w:color w:val="B45A00"/>
          <w:sz w:val="16"/>
        </w:rPr>
        <w:t>CONTROLE CONCENTRADO</w:t>
      </w:r>
    </w:p>
    <w:p>
      <w:pPr>
        <w:ind w:left="288"/>
      </w:pPr>
      <w:r>
        <w:rPr>
          <w:color w:val="8C8C8C"/>
          <w:sz w:val="12"/>
        </w:rPr>
        <w:t>cf-art-167-inc-II</w:t>
      </w:r>
      <w:r>
        <w:rPr>
          <w:color w:val="003CA0"/>
          <w:sz w:val="12"/>
        </w:rPr>
        <w:t xml:space="preserve"> | ADI 6.660</w:t>
      </w:r>
      <w:r>
        <w:rPr>
          <w:color w:val="003CA0"/>
          <w:sz w:val="12"/>
        </w:rPr>
        <w:t xml:space="preserve"> | rel. Rosa Weber</w:t>
      </w:r>
    </w:p>
    <w:p>
      <w:pPr>
        <w:ind w:left="288"/>
      </w:pPr>
      <w:r>
        <w:rPr>
          <w:color w:val="1E1E1E"/>
          <w:sz w:val="18"/>
        </w:rPr>
        <w:t>Lei 12.305, de 18 de dezembro de 2002, do Estado de Pernambuco, alterada pela lei 12.337/2003, que dispõe sobre os depósitos judiciais e extrajudiciais à disposição do Poder Judiciário Estadual ou da Secretaria da Fazenda. (...) Criação, pela lei estadual impugnada, de um endividamento inconstitucional afastado das hipóteses de dívida pública albergadas pela Carta Magna – violação do artigo 167, III.</w:t>
      </w:r>
    </w:p>
    <w:p>
      <w:pPr>
        <w:ind w:left="288"/>
      </w:pPr>
      <w:r>
        <w:rPr>
          <w:b/>
          <w:color w:val="003CA0"/>
          <w:sz w:val="16"/>
        </w:rPr>
        <w:t>[ADI 6.660, rel. min. Rosa Weber, j. 21-6-2022, P, DJE de 29-6-2022.]</w:t>
      </w:r>
    </w:p>
    <w:p>
      <w:pPr>
        <w:ind w:left="288"/>
      </w:pPr>
      <w:r>
        <w:rPr>
          <w:color w:val="8C8C8C"/>
          <w:sz w:val="12"/>
        </w:rPr>
        <w:t>cf-art-167-inc-II</w:t>
      </w:r>
      <w:r>
        <w:rPr>
          <w:color w:val="003CA0"/>
          <w:sz w:val="12"/>
        </w:rPr>
        <w:t xml:space="preserve"> | ADI 5.683</w:t>
      </w:r>
      <w:r>
        <w:rPr>
          <w:color w:val="003CA0"/>
          <w:sz w:val="12"/>
        </w:rPr>
        <w:t xml:space="preserve"> | rel. Roberto Barroso</w:t>
      </w:r>
    </w:p>
    <w:p>
      <w:pPr>
        <w:ind w:left="288"/>
      </w:pPr>
      <w:r>
        <w:rPr>
          <w:color w:val="1E1E1E"/>
          <w:sz w:val="18"/>
        </w:rPr>
        <w:t>A vedação do art. 167, III, da CF não impede a contratação de operações de crédito para o custeio de despesas correntes. Proíbe-se, somente, a contratação que exceda o montante das despesas de capital. Aliás, a mera autorização legislativa não afronta essa regra constitucional, mas apenas a contratação em si, se não respeitar os limites estabelecidos.</w:t>
      </w:r>
    </w:p>
    <w:p>
      <w:pPr>
        <w:ind w:left="288"/>
      </w:pPr>
      <w:r>
        <w:rPr>
          <w:b/>
          <w:color w:val="003CA0"/>
          <w:sz w:val="16"/>
        </w:rPr>
        <w:t>[ADI 5.683, rel. min. Roberto Barroso, j. 22-4-2022, P, DJE de 19-5-2022.]</w:t>
      </w:r>
    </w:p>
    <w:p>
      <w:pPr>
        <w:ind w:left="288"/>
      </w:pPr>
      <w:r>
        <w:rPr>
          <w:color w:val="8C8C8C"/>
          <w:sz w:val="12"/>
        </w:rPr>
        <w:t>cf-art-167-inc-II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Ao prever limite textualmente diverso da regra do art. 167, III, da CF, o art. 12, § 2º, da LRF enseja interpretações distorcidas do teto a ser aplicado às receitas decorrentes de operações de crédito, pelo que a ação deve ser parcialmente provida, nesse ponto, para dar interpretação conforme ao dispositivo para o fim de explicitar que a proibição não abrange operações de crédito autorizadas mediante créditos suplementares ou especiais com finalidade precisa, aprovados pelo Poder Legisl</w:t>
      </w:r>
    </w:p>
    <w:p>
      <w:pPr>
        <w:ind w:left="288"/>
      </w:pPr>
      <w:r>
        <w:rPr>
          <w:b/>
          <w:color w:val="003CA0"/>
          <w:sz w:val="16"/>
        </w:rPr>
        <w:t>[ADI 2.238, rel. min. Alexandre de Moraes, j. 24-6-2020, P, DJE de 15-9-2020.]</w:t>
      </w:r>
    </w:p>
    <w:p>
      <w:pPr>
        <w:ind w:left="288"/>
      </w:pPr>
      <w:r>
        <w:rPr>
          <w:color w:val="8C8C8C"/>
          <w:sz w:val="12"/>
        </w:rPr>
        <w:t>cf-art-167-inc-II</w:t>
      </w:r>
      <w:r>
        <w:rPr>
          <w:color w:val="003CA0"/>
          <w:sz w:val="12"/>
        </w:rPr>
        <w:t xml:space="preserve"> | ADI 3.516</w:t>
      </w:r>
      <w:r>
        <w:rPr>
          <w:color w:val="003CA0"/>
          <w:sz w:val="12"/>
        </w:rPr>
        <w:t xml:space="preserve"> | rel. Edson Fachin</w:t>
      </w:r>
    </w:p>
    <w:p>
      <w:pPr>
        <w:ind w:left="288"/>
      </w:pPr>
      <w:r>
        <w:rPr>
          <w:color w:val="1E1E1E"/>
          <w:sz w:val="18"/>
        </w:rP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 (Redação da EC 42/2003) A ressal</w:t>
      </w:r>
    </w:p>
    <w:p>
      <w:pPr>
        <w:ind w:left="288"/>
      </w:pPr>
      <w:r>
        <w:rPr>
          <w:b/>
          <w:color w:val="003CA0"/>
          <w:sz w:val="16"/>
        </w:rPr>
        <w:t>[ADI 3.516, rel. min. Edson Fachin, j. 16.12.2024, P, DJE de 06.02.2025.]</w:t>
      </w:r>
    </w:p>
    <w:p>
      <w:pPr>
        <w:ind w:left="288"/>
      </w:pPr>
      <w:r>
        <w:rPr>
          <w:color w:val="8C8C8C"/>
          <w:sz w:val="12"/>
        </w:rPr>
        <w:t>cf-art-167-inc-II</w:t>
      </w:r>
      <w:r>
        <w:rPr>
          <w:color w:val="003CA0"/>
          <w:sz w:val="12"/>
        </w:rPr>
        <w:t xml:space="preserve"> | ADI 5.635</w:t>
      </w:r>
      <w:r>
        <w:rPr>
          <w:color w:val="003CA0"/>
          <w:sz w:val="12"/>
        </w:rPr>
        <w:t xml:space="preserve"> | rel. Luís Roberto Barroso</w:t>
      </w:r>
    </w:p>
    <w:p>
      <w:pPr>
        <w:ind w:left="288"/>
      </w:pPr>
      <w:r>
        <w:rPr>
          <w:color w:val="1E1E1E"/>
          <w:sz w:val="18"/>
        </w:rPr>
        <w:t>“São constitucionais as Leis nºs 7.428/2016 e 8.645/2019, ambas do Estado do Rio de Janeiro, que instituíram o Fundo Estadual de Equilíbrio Fiscal – FEEF e, posteriormente, o Fundo Orçamentário Temporário – FOT, fundos atípicos cujas receitas não estão vinculadas a um programa governamental específico e detalhado”.</w:t>
        <w:br/>
        <w:t>[ADI 5.635, rel. min. Luís Roberto Barroso, j. 18-10-2023, P, DJE de 24-11-2023.] O Estado de Mato Grosso do Sul adotou sistema de rateio no qual os recursos destinados aos órgãos da área-meio são posteriormente atribuídos aos da área-fim, mediante transposição, remanejamento ou tra</w:t>
      </w:r>
    </w:p>
    <w:p>
      <w:pPr>
        <w:ind w:left="288"/>
      </w:pPr>
      <w:r>
        <w:rPr>
          <w:b/>
          <w:color w:val="003CA0"/>
          <w:sz w:val="16"/>
        </w:rPr>
        <w:t>[ADI 6.045, rel. min. Marco Aurélio, j. 22-6-2020, P, DJE de 17-7-2020.]</w:t>
      </w:r>
    </w:p>
    <w:p>
      <w:pPr>
        <w:ind w:left="288"/>
      </w:pPr>
      <w:r>
        <w:rPr>
          <w:color w:val="8C8C8C"/>
          <w:sz w:val="12"/>
        </w:rPr>
        <w:t>cf-art-167-inc-II</w:t>
      </w:r>
      <w:r>
        <w:rPr>
          <w:color w:val="003CA0"/>
          <w:sz w:val="12"/>
        </w:rPr>
        <w:t xml:space="preserve"> | ADI 5.897</w:t>
      </w:r>
      <w:r>
        <w:rPr>
          <w:color w:val="003CA0"/>
          <w:sz w:val="12"/>
        </w:rPr>
        <w:t xml:space="preserve"> | rel. Luiz Fux</w:t>
      </w:r>
    </w:p>
    <w:p>
      <w:pPr>
        <w:ind w:left="288"/>
      </w:pPr>
      <w:r>
        <w:rPr>
          <w:color w:val="1E1E1E"/>
          <w:sz w:val="18"/>
        </w:rPr>
        <w:t>O artigo 167, IV, da Constituição Federal veda o estabelecimento de vinculação de receitas proveniente de impostos, quando não previstas ou autorizadas na Constituição Federal, porquanto cerceia o poder de gestão financeira do chefe do Poder Executivo e obsta o custeio das despesas urgentes, imprevistas ou extraordinárias, que se façam necessárias ao longo do exercício financeiro, tanto mais que deve dar-se aplicação aos recursos de receita pública consoante critérios de responsabilidade fiscal consentâneos com os anseios democráticos. (...) A vedação à vinculação da receita é norma que preser</w:t>
      </w:r>
    </w:p>
    <w:p>
      <w:pPr>
        <w:ind w:left="288"/>
      </w:pPr>
      <w:r>
        <w:rPr>
          <w:b/>
          <w:color w:val="003CA0"/>
          <w:sz w:val="16"/>
        </w:rPr>
        <w:t>[ADI 5.897, rel. min. Luiz Fux, j. 24-4-2019, P, DJE de 2-8-2019.]</w:t>
      </w:r>
    </w:p>
    <w:p>
      <w:pPr>
        <w:ind w:left="288"/>
      </w:pPr>
      <w:r>
        <w:rPr>
          <w:color w:val="8C8C8C"/>
          <w:sz w:val="12"/>
        </w:rPr>
        <w:t>cf-art-167-inc-II</w:t>
      </w:r>
      <w:r>
        <w:rPr>
          <w:color w:val="003CA0"/>
          <w:sz w:val="12"/>
        </w:rPr>
        <w:t xml:space="preserve"> | RE 226.855</w:t>
      </w:r>
      <w:r>
        <w:rPr>
          <w:color w:val="003CA0"/>
          <w:sz w:val="12"/>
        </w:rPr>
        <w:t xml:space="preserve"> | rel. Moreira Alves</w:t>
      </w:r>
    </w:p>
    <w:p>
      <w:pPr>
        <w:ind w:left="288"/>
      </w:pPr>
      <w:r>
        <w:rPr>
          <w:color w:val="1E1E1E"/>
          <w:sz w:val="18"/>
        </w:rPr>
        <w:t>(...) esta Suprema Corte considera constitucionais ambas as contribuições criadas pela LC 110/2001 (...). Os dois tributos tinham por objetivo custear os dispêndios da União decorrentes de decisão do STF, que considerou devido o reajuste dos saldos do FGTS (RE 226.855, rel. min. Moreira Alves, Pleno, DJ de 13-10-2000). As restrições previstas nos arts. 157, II, e 167, IV, da Constituição são aplicáveis aos impostos, e, no caso em exame, trata-se da espécie tributária contribuição, nitidamente caracterizada pela prévia escolha da destinação específica do produto arrecadado.</w:t>
      </w:r>
    </w:p>
    <w:p>
      <w:pPr>
        <w:ind w:left="288"/>
      </w:pPr>
      <w:r>
        <w:rPr>
          <w:b/>
          <w:color w:val="003CA0"/>
          <w:sz w:val="16"/>
        </w:rPr>
        <w:t>[ADI 2.556 e ADI 2.568, voto do rel. min. Joaquim Barbosa, j. 13-6-2012, P, DJE de 20-9-2012.]</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Ação direta de inconstitucionalidade contra o inciso V do § 3º do art. 120 da Constituição do Estado de Santa Catarina, com a redação dada pela EC 14, promulgada em 10 de novembro de 1997. Vinculação, por dotação orçamentária, de parte da receita corrente do Estado a programas de desenvolvimento da agricultura, pecuária e abastecimento. Inconstitucionalidade. Afronta à iniciativa privativa do chefe do Poder Executivo em tema de diretrizes orçamentárias. Precedentes. Violação ao art. 167, IV, da CF.</w:t>
      </w:r>
    </w:p>
    <w:p>
      <w:pPr>
        <w:ind w:left="288"/>
      </w:pPr>
      <w:r>
        <w:rPr>
          <w:b/>
          <w:color w:val="003CA0"/>
          <w:sz w:val="16"/>
        </w:rPr>
        <w:t>[ADI 1.759, rel. min. Gilmar Mendes, j. 14-4-2010, P, DJE de 20-8-2010.]</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Vide ADI 1.750, rel. min. Eros Grau, j. 20-9-2006, P, DJ de 13-10-2006 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3CA0"/>
          <w:sz w:val="16"/>
        </w:rPr>
        <w:t>[ADI 2.447, rel. min. Joaquim Barbosa, j. 4-3-2009, P, DJE de 4-12-2009.]</w:t>
      </w:r>
    </w:p>
    <w:p>
      <w:pPr>
        <w:ind w:left="288"/>
      </w:pPr>
      <w:r>
        <w:rPr>
          <w:color w:val="8C8C8C"/>
          <w:sz w:val="12"/>
        </w:rPr>
        <w:t>cf-art-167-inc-II</w:t>
      </w:r>
      <w:r>
        <w:rPr>
          <w:color w:val="003CA0"/>
          <w:sz w:val="12"/>
        </w:rPr>
        <w:t xml:space="preserve"> | ADI 2.529</w:t>
      </w:r>
      <w:r>
        <w:rPr>
          <w:color w:val="003CA0"/>
          <w:sz w:val="12"/>
        </w:rPr>
        <w:t xml:space="preserve"> | rel. Gilmar Mendes</w:t>
      </w:r>
    </w:p>
    <w:p>
      <w:pPr>
        <w:ind w:left="288"/>
      </w:pPr>
      <w:r>
        <w:rPr>
          <w:color w:val="1E1E1E"/>
          <w:sz w:val="18"/>
        </w:rPr>
        <w:t>Ação direta de inconstitucionalidade. Lei 13.133/2001 do Estado do Paraná, que instituiu o Programa de Incentivo à Cultura, vinculando parte da receita do ICMS ao Fundo Estadual de Cultura. Violação ao art. 167, IV, da CF.</w:t>
      </w:r>
    </w:p>
    <w:p>
      <w:pPr>
        <w:ind w:left="288"/>
      </w:pPr>
      <w:r>
        <w:rPr>
          <w:b/>
          <w:color w:val="003CA0"/>
          <w:sz w:val="16"/>
        </w:rPr>
        <w:t>[ADI 2.529, rel. min. Gilmar Mendes, j. 14-6-2007, P, DJ de 6-9-2007.]</w:t>
      </w:r>
    </w:p>
    <w:p>
      <w:pPr>
        <w:ind w:left="288"/>
      </w:pPr>
      <w:r>
        <w:rPr>
          <w:color w:val="8C8C8C"/>
          <w:sz w:val="12"/>
        </w:rPr>
        <w:t>cf-art-167-inc-II</w:t>
      </w:r>
      <w:r>
        <w:rPr>
          <w:color w:val="003CA0"/>
          <w:sz w:val="12"/>
        </w:rPr>
        <w:t xml:space="preserve"> | ADI 820</w:t>
      </w:r>
      <w:r>
        <w:rPr>
          <w:color w:val="003CA0"/>
          <w:sz w:val="12"/>
        </w:rPr>
        <w:t xml:space="preserve"> | rel. Eros Grau</w:t>
      </w:r>
    </w:p>
    <w:p>
      <w:pPr>
        <w:ind w:left="288"/>
      </w:pPr>
      <w:r>
        <w:rPr>
          <w:color w:val="1E1E1E"/>
          <w:sz w:val="18"/>
        </w:rPr>
        <w:t>Art. 202 da Constituição do Estado do Rio Grande do Sul. Lei estadual 9.723. Manutenção e desenvolvimento do ensino público. Aplicação mínima de 35% da receita resultante de impostos. Destinação de 10% desses recursos à manutenção e conservação das escolas públicas Estaduais. (...) A determinação de aplicação de parte dos recursos destinados à educação na "manutenção e conservação das escolas públicas estaduais" vinculou a receita de impostos a uma despesa específica – afronta ao disposto no art. 167, IV, da CF/1988.</w:t>
      </w:r>
    </w:p>
    <w:p>
      <w:pPr>
        <w:ind w:left="288"/>
      </w:pPr>
      <w:r>
        <w:rPr>
          <w:b/>
          <w:color w:val="003CA0"/>
          <w:sz w:val="16"/>
        </w:rPr>
        <w:t>[ADI 820, rel. min. Eros Grau, j. 15-3-2007, P, DJE de 29-2-2008.]</w:t>
      </w:r>
    </w:p>
    <w:p>
      <w:pPr>
        <w:ind w:left="288"/>
      </w:pPr>
      <w:r>
        <w:rPr>
          <w:color w:val="8C8C8C"/>
          <w:sz w:val="12"/>
        </w:rPr>
        <w:t>cf-art-167-inc-II</w:t>
      </w:r>
      <w:r>
        <w:rPr>
          <w:color w:val="003CA0"/>
          <w:sz w:val="12"/>
        </w:rPr>
        <w:t xml:space="preserve"> | ADI 584</w:t>
      </w:r>
      <w:r>
        <w:rPr>
          <w:color w:val="003CA0"/>
          <w:sz w:val="12"/>
        </w:rPr>
        <w:t xml:space="preserve"> | rel. Dias Toffoli</w:t>
      </w:r>
    </w:p>
    <w:p>
      <w:pPr>
        <w:ind w:left="288"/>
      </w:pPr>
      <w:r>
        <w:rPr>
          <w:color w:val="1E1E1E"/>
          <w:sz w:val="18"/>
        </w:rPr>
        <w:t xml:space="preserve">= ADI 584, rel. min. Dias Toffoli, j. 19-3-2014, P, DJE de 9-4-2014 Lei estadual 12.223, de 3-1-2005. Fundo Partilhado de Combate às Desigualdades Sociais e Regionais do Estado do Rio Grande do Sul. (...) As normas em estudo, ao possibilitarem o direcionamento, pelos contribuintes, do valor devido a título de ICMS para o chamado Fundo Partilhado de Combate às Desigualdades Sociais e Regionais do Estado do Rio Grande do Sul, compensando-se, em contrapartida, o valor despendido sob a forma de crédito fiscal presumido, criaram, na verdade, um mecanismo de redirecionamento da receita de ICMS para </w:t>
      </w:r>
    </w:p>
    <w:p>
      <w:pPr>
        <w:ind w:left="288"/>
      </w:pPr>
      <w:r>
        <w:rPr>
          <w:b/>
          <w:color w:val="003CA0"/>
          <w:sz w:val="16"/>
        </w:rPr>
        <w:t>[ADI 3.576, rel. min. Ellen Gracie, j. 22-11-2006, P, DJ de 2-2-2007.]</w:t>
      </w:r>
    </w:p>
    <w:p>
      <w:pPr>
        <w:ind w:left="288"/>
      </w:pPr>
      <w:r>
        <w:rPr>
          <w:color w:val="8C8C8C"/>
          <w:sz w:val="12"/>
        </w:rPr>
        <w:t>cf-art-167-inc-II</w:t>
      </w:r>
      <w:r>
        <w:rPr>
          <w:color w:val="003CA0"/>
          <w:sz w:val="12"/>
        </w:rPr>
        <w:t xml:space="preserve"> | ADI 1.750</w:t>
      </w:r>
      <w:r>
        <w:rPr>
          <w:color w:val="003CA0"/>
          <w:sz w:val="12"/>
        </w:rPr>
        <w:t xml:space="preserve"> | rel. Eros Grau</w:t>
      </w:r>
    </w:p>
    <w:p>
      <w:pPr>
        <w:ind w:left="288"/>
      </w:pPr>
      <w:r>
        <w:rPr>
          <w:color w:val="1E1E1E"/>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88"/>
      </w:pPr>
      <w:r>
        <w:rPr>
          <w:b/>
          <w:color w:val="003CA0"/>
          <w:sz w:val="16"/>
        </w:rPr>
        <w:t>[ADI 1.750, rel. min. Eros Grau, j. 20-9-2006, P, DJ de 13-10-2006.]</w:t>
      </w:r>
    </w:p>
    <w:p>
      <w:pPr>
        <w:ind w:left="288"/>
      </w:pPr>
      <w:r>
        <w:rPr>
          <w:color w:val="8C8C8C"/>
          <w:sz w:val="12"/>
        </w:rPr>
        <w:t>cf-art-167-inc-II</w:t>
      </w:r>
      <w:r>
        <w:rPr>
          <w:color w:val="003CA0"/>
          <w:sz w:val="12"/>
        </w:rPr>
        <w:t xml:space="preserve"> | ADI 1.759</w:t>
      </w:r>
      <w:r>
        <w:rPr>
          <w:color w:val="003CA0"/>
          <w:sz w:val="12"/>
        </w:rPr>
        <w:t xml:space="preserve"> | rel. Gilmar Mendes</w:t>
      </w:r>
    </w:p>
    <w:p>
      <w:pPr>
        <w:ind w:left="288"/>
      </w:pPr>
      <w:r>
        <w:rPr>
          <w:color w:val="1E1E1E"/>
          <w:sz w:val="18"/>
        </w:rPr>
        <w:t>Vide ADI 1.759, rel. min. Gilmar Mendes, j. 14-04-2010, P, DJE de 20-8-2010 Preceito de lei estadual que destina 3% dos emolumentos cobrados pelas serventias extrajudiciais ao Fundo Especial para Instalação, Desenvolvimento e Aperfeiçoamento das Atividades dos Juizados Especiais Cíveis e Criminais do Estado do Mato Grosso do Sul não ofende o disposto no art. 167, IV, da CF.</w:t>
      </w:r>
    </w:p>
    <w:p>
      <w:pPr>
        <w:ind w:left="288"/>
      </w:pPr>
      <w:r>
        <w:rPr>
          <w:b/>
          <w:color w:val="003CA0"/>
          <w:sz w:val="16"/>
        </w:rPr>
        <w:t>[ADI 2.129, rel. min. Eros Grau, j. 26-4-2006, P, DJ de 16-6-2006.]</w:t>
      </w:r>
    </w:p>
    <w:p>
      <w:pPr>
        <w:ind w:left="288"/>
      </w:pPr>
      <w:r>
        <w:rPr>
          <w:color w:val="8C8C8C"/>
          <w:sz w:val="12"/>
        </w:rPr>
        <w:t>cf-art-167-inc-II</w:t>
      </w:r>
      <w:r>
        <w:rPr>
          <w:color w:val="003CA0"/>
          <w:sz w:val="12"/>
        </w:rPr>
        <w:t xml:space="preserve"> | ADI 2.059</w:t>
      </w:r>
      <w:r>
        <w:rPr>
          <w:color w:val="003CA0"/>
          <w:sz w:val="12"/>
        </w:rPr>
        <w:t xml:space="preserve"> | rel. Eros Grau</w:t>
      </w:r>
    </w:p>
    <w:p>
      <w:pPr>
        <w:ind w:left="288"/>
      </w:pPr>
      <w:r>
        <w:rPr>
          <w:color w:val="1E1E1E"/>
          <w:sz w:val="18"/>
        </w:rPr>
        <w:t>= ADI 2.059, rel. min. Eros Grau, j. 26-4-2006, P, DJ de 9-6-2006 Observe-se, ainda, que o art. 7º da lei estadual impugnada determinou que, do valor do crédito fiscal previsto no seu art. 3º, 40% deverá ser recolhido para apoiar os produtores e 10% para a pesquisa do algodão. Tem-se aqui inequívoca afronta ao disposto no art. 167, IV, da CF, que veda a vinculação de receita de impostos a órgão, fundo ou despesas. Ressalte-se que esta Corte houve por bem declarar a inconstitucionalidade de lei paulista que destinou 1% do ICMS ao fornecimento de programas habitacionais, por afronta ao dispositi</w:t>
      </w:r>
    </w:p>
    <w:p>
      <w:pPr>
        <w:ind w:left="288"/>
      </w:pPr>
      <w:r>
        <w:rPr>
          <w:b/>
          <w:color w:val="003CA0"/>
          <w:sz w:val="16"/>
        </w:rPr>
        <w:t>[ADI 2.722, voto do rel. min. Gilmar Mendes, j. 15-9-2005, P, DJ de 19-12-2006.]</w:t>
      </w:r>
    </w:p>
    <w:p>
      <w:pPr>
        <w:ind w:left="288"/>
      </w:pPr>
      <w:r>
        <w:rPr>
          <w:color w:val="8C8C8C"/>
          <w:sz w:val="12"/>
        </w:rPr>
        <w:t>cf-art-167-inc-II</w:t>
      </w:r>
      <w:r>
        <w:rPr>
          <w:color w:val="003CA0"/>
          <w:sz w:val="12"/>
        </w:rPr>
        <w:t xml:space="preserve"> | ADI 1.689</w:t>
      </w:r>
      <w:r>
        <w:rPr>
          <w:color w:val="003CA0"/>
          <w:sz w:val="12"/>
        </w:rPr>
        <w:t xml:space="preserve"> | rel. Sydney Sanches</w:t>
      </w:r>
    </w:p>
    <w:p>
      <w:pPr>
        <w:ind w:left="288"/>
      </w:pPr>
      <w:r>
        <w:rPr>
          <w:color w:val="1E1E1E"/>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w:t>
      </w:r>
    </w:p>
    <w:p>
      <w:pPr>
        <w:ind w:left="288"/>
      </w:pPr>
      <w:r>
        <w:rPr>
          <w:b/>
          <w:color w:val="003CA0"/>
          <w:sz w:val="16"/>
        </w:rPr>
        <w:t>[ADI 1.689, rel. min. Sydney Sanches, j. 12-3-2003, P, DJ de 2-5-2003.]</w:t>
      </w:r>
    </w:p>
    <w:p>
      <w:pPr>
        <w:ind w:left="288"/>
      </w:pPr>
      <w:r>
        <w:rPr>
          <w:color w:val="8C8C8C"/>
          <w:sz w:val="12"/>
        </w:rPr>
        <w:t>cf-art-167-inc-II</w:t>
      </w:r>
      <w:r>
        <w:rPr>
          <w:color w:val="003CA0"/>
          <w:sz w:val="12"/>
        </w:rPr>
        <w:t xml:space="preserve"> | ADI 5.635</w:t>
      </w:r>
      <w:r>
        <w:rPr>
          <w:color w:val="003CA0"/>
          <w:sz w:val="12"/>
        </w:rPr>
        <w:t xml:space="preserve"> | rel. Luís Roberto Barroso</w:t>
      </w:r>
    </w:p>
    <w:p>
      <w:pPr>
        <w:ind w:left="288"/>
      </w:pPr>
      <w:r>
        <w:rPr>
          <w:color w:val="1E1E1E"/>
          <w:sz w:val="18"/>
        </w:rPr>
        <w:t>“(i) É constitucional a exigência de depósito de percentual de benefícios fiscais de ICMS para o Fundo Orçamentário Temporário (FOT), nos termos da ADI 5.635; e (ii) é infraconstitucional e fática a controvérsia sobre a possibilidade de exigir o depósito ao FOT em benefícios fiscais de ICMS concedidos por prazo certo e sob condição.</w:t>
      </w:r>
    </w:p>
    <w:p>
      <w:pPr>
        <w:ind w:left="288"/>
      </w:pPr>
      <w:r>
        <w:rPr>
          <w:b/>
          <w:color w:val="003CA0"/>
          <w:sz w:val="16"/>
        </w:rPr>
        <w:t>[RE 1.506.320 RG, rel. min. Luís Roberto Barroso, j. 11.04.2025, P, DJE de 22.04.2025, Tema 1.386, com mérito julgado.]</w:t>
      </w:r>
    </w:p>
    <w:p>
      <w:pPr>
        <w:ind w:left="144"/>
      </w:pPr>
      <w:r>
        <w:rPr>
          <w:b/>
          <w:color w:val="B45A00"/>
          <w:sz w:val="16"/>
        </w:rPr>
        <w:t>REPERCUSSAO GERAL</w:t>
      </w:r>
    </w:p>
    <w:p>
      <w:pPr>
        <w:ind w:left="288"/>
      </w:pPr>
      <w:r>
        <w:rPr>
          <w:color w:val="8C8C8C"/>
          <w:sz w:val="12"/>
        </w:rPr>
        <w:t>cf-art-167-inc-II</w:t>
      </w:r>
      <w:r>
        <w:rPr>
          <w:color w:val="003CA0"/>
          <w:sz w:val="12"/>
        </w:rPr>
        <w:t xml:space="preserve"> | RE 585.535</w:t>
      </w:r>
      <w:r>
        <w:rPr>
          <w:color w:val="003CA0"/>
          <w:sz w:val="12"/>
        </w:rPr>
        <w:t xml:space="preserve"> | rel. Ellen Gracie</w:t>
      </w:r>
    </w:p>
    <w:p>
      <w:pPr>
        <w:ind w:left="288"/>
      </w:pPr>
      <w:r>
        <w:rPr>
          <w:color w:val="1E1E1E"/>
          <w:sz w:val="18"/>
        </w:rPr>
        <w:t>ICMS. Majoração de alíquota. (...) A Lei paulista 9.903, de 30-12-1997, apenas impôs a divulgação, pelo chefe do Executivo, do emprego dos recursos provenientes do aumento da alíquota de 17% para 18%, previsto no mesmo diploma. A proibição de vinculação de receita de impostos prevista no art. 167, IV, da CF impede a fixação de uma prévia destinação desses recursos, o que não se verificou no presente caso.</w:t>
        <w:br/>
        <w:t>[RE 585.535, rel. min. Ellen Gracie, j. 1º-2-2010, P, DJE de 21-5-2010, Tema 92, com mérito julgado.]</w:t>
        <w:br/>
        <w:t>Vide RE 183.906, rel. min. Marco Aurélio, j. 18-9-1997, P, DJ de 30-4-1998</w:t>
      </w:r>
    </w:p>
    <w:p>
      <w:pPr>
        <w:ind w:left="144"/>
      </w:pPr>
      <w:r>
        <w:rPr>
          <w:b/>
          <w:color w:val="B45A00"/>
          <w:sz w:val="16"/>
        </w:rPr>
        <w:t>JULGADOS CORRELATOS</w:t>
      </w:r>
    </w:p>
    <w:p>
      <w:pPr>
        <w:ind w:left="288"/>
      </w:pPr>
      <w:r>
        <w:rPr>
          <w:color w:val="8C8C8C"/>
          <w:sz w:val="12"/>
        </w:rPr>
        <w:t>cf-art-167-inc-II</w:t>
      </w:r>
      <w:r>
        <w:rPr>
          <w:color w:val="003CA0"/>
          <w:sz w:val="12"/>
        </w:rPr>
        <w:t xml:space="preserve"> | RCL 60.128</w:t>
      </w:r>
      <w:r>
        <w:rPr>
          <w:color w:val="003CA0"/>
          <w:sz w:val="12"/>
        </w:rPr>
        <w:t xml:space="preserve"> | rel. Luiz Fux</w:t>
      </w:r>
    </w:p>
    <w:p>
      <w:pPr>
        <w:ind w:left="288"/>
      </w:pPr>
      <w:r>
        <w:rPr>
          <w:color w:val="1E1E1E"/>
          <w:sz w:val="18"/>
        </w:rPr>
        <w:t>Não se admite a constrição indiscriminada de verbas públicas, inclusive na fase de pagamento, por meio de decisões judiciais, sob pena de afronta ao preceito contido no art. 167, VI, da CF, ao modelo constitucional de organização orçamentária das finanças públicas e ao princípio da continuidade dos serviços públicos (art. 175 da Constituição Federal).</w:t>
        <w:br/>
        <w:t>[Rcl 60.128 AgR, rel. min. Luiz Fux, red. do ac. min. Alexandre de Moraes, j. 9-10-2023, 1ª T, DJE de 19-10-2023.] Preceito de lei estadual que destina 5% dos emolumentos cobrados pelas serventias extrajudiciais e não oficializadas ao Fundo Estad</w:t>
      </w:r>
    </w:p>
    <w:p>
      <w:pPr>
        <w:ind w:left="288"/>
      </w:pPr>
      <w:r>
        <w:rPr>
          <w:b/>
          <w:color w:val="003CA0"/>
          <w:sz w:val="16"/>
        </w:rPr>
        <w:t>[RE 218.874, rel. min. Eros Grau, j. 7-11-2007, P, DJ de 1º-2-2008.]</w:t>
      </w:r>
    </w:p>
    <w:p>
      <w:pPr>
        <w:ind w:left="144"/>
      </w:pPr>
      <w:r>
        <w:rPr>
          <w:b/>
          <w:color w:val="B45A00"/>
          <w:sz w:val="16"/>
        </w:rPr>
        <w:t>CONTROLE CONCENTRADO</w:t>
      </w:r>
    </w:p>
    <w:p>
      <w:pPr>
        <w:ind w:left="288"/>
      </w:pPr>
      <w:r>
        <w:rPr>
          <w:color w:val="8C8C8C"/>
          <w:sz w:val="12"/>
        </w:rPr>
        <w:t>cf-art-167-inc-V</w:t>
      </w:r>
      <w:r>
        <w:rPr>
          <w:color w:val="003CA0"/>
          <w:sz w:val="12"/>
        </w:rPr>
        <w:t xml:space="preserve"> | ADI 4.049</w:t>
      </w:r>
      <w:r>
        <w:rPr>
          <w:color w:val="003CA0"/>
          <w:sz w:val="12"/>
        </w:rPr>
        <w:t xml:space="preserve"> | rel. Ayres Britto</w:t>
      </w:r>
    </w:p>
    <w:p>
      <w:pPr>
        <w:ind w:left="288"/>
      </w:pPr>
      <w:r>
        <w:rPr>
          <w:color w:val="1E1E1E"/>
          <w:sz w:val="18"/>
        </w:rPr>
        <w:t>Medida cautelar em ação direta de inconstitucionalidade. MP 402, de 23-11-2007, convertida na Lei 11.656, de 16-4-2008. Abertura de crédito extraordinário. (...) Violação que alcança o inciso V do mesmo artigo, na medida em que o ato normativo adversado vem a categorizar como de natureza extraordinária crédito que, em verdade, não passa de especial, ou suplementar.</w:t>
      </w:r>
    </w:p>
    <w:p>
      <w:pPr>
        <w:ind w:left="288"/>
      </w:pPr>
      <w:r>
        <w:rPr>
          <w:b/>
          <w:color w:val="003CA0"/>
          <w:sz w:val="16"/>
        </w:rPr>
        <w:t>[ADI 4.049 MC, rel. min. Ayres Britto, j. 5-11-2008, P, DJE de 8-5-2009.]</w:t>
      </w:r>
    </w:p>
    <w:p>
      <w:pPr>
        <w:ind w:left="288"/>
      </w:pPr>
      <w:r>
        <w:rPr>
          <w:color w:val="8C8C8C"/>
          <w:sz w:val="12"/>
        </w:rPr>
        <w:t>cf-art-167-inc-VI</w:t>
      </w:r>
      <w:r>
        <w:rPr>
          <w:color w:val="003CA0"/>
          <w:sz w:val="12"/>
        </w:rPr>
        <w:t xml:space="preserve"> | ADPF 616</w:t>
      </w:r>
      <w:r>
        <w:rPr>
          <w:color w:val="003CA0"/>
          <w:sz w:val="12"/>
        </w:rPr>
        <w:t xml:space="preserve"> | rel. Roberto Barroso</w:t>
      </w:r>
    </w:p>
    <w:p>
      <w:pPr>
        <w:ind w:left="288"/>
      </w:pPr>
      <w:r>
        <w:rPr>
          <w:color w:val="1E1E1E"/>
          <w:sz w:val="18"/>
        </w:rPr>
        <w:t>Os recursos públicos vinculados ao orçamento de estatais prestadoras de serviço público essencial, em regime não concorrencial e sem intuito lucrativo primário não podem ser bloqueados ou sequestrados por decisão judicial para pagamento de suas dívidas, em virtude do disposto no art. 100 da CF/1988, e dos princípios da legalidade orçamentária (art. 167, VI, da CF), da separação dos poderes (arts. 2°, 60, § 4°, III, da CF) e da eficiência da administração pública (art. 37, caput, da CF).</w:t>
        <w:br/>
        <w:t>[ADPF 616, rel. min. Roberto Barroso, j. 21-5-2021, P, DJE 21-6-2021.] Verbas estaduais não podem ser objeto</w:t>
      </w:r>
    </w:p>
    <w:p>
      <w:pPr>
        <w:ind w:left="288"/>
      </w:pPr>
      <w:r>
        <w:rPr>
          <w:b/>
          <w:color w:val="003CA0"/>
          <w:sz w:val="16"/>
        </w:rPr>
        <w:t>[ADPF 485, rel. min. Roberto Barroso, j. 7-12-2020, P, DJE de 4-2-2021.]</w:t>
      </w:r>
    </w:p>
    <w:p>
      <w:pPr>
        <w:ind w:left="288"/>
      </w:pPr>
      <w:r>
        <w:rPr>
          <w:color w:val="8C8C8C"/>
          <w:sz w:val="12"/>
        </w:rPr>
        <w:t>cf-art-167-inc-VI</w:t>
      </w:r>
      <w:r>
        <w:rPr>
          <w:color w:val="003CA0"/>
          <w:sz w:val="12"/>
        </w:rPr>
        <w:t xml:space="preserve"> | ADPF 484</w:t>
      </w:r>
      <w:r>
        <w:rPr>
          <w:color w:val="003CA0"/>
          <w:sz w:val="12"/>
        </w:rPr>
        <w:t xml:space="preserve"> | rel. Luiz Fux</w:t>
      </w:r>
    </w:p>
    <w:p>
      <w:pPr>
        <w:ind w:left="288"/>
      </w:pPr>
      <w:r>
        <w:rPr>
          <w:color w:val="1E1E1E"/>
          <w:sz w:val="18"/>
        </w:rPr>
        <w:t>O artigo 167, VI, da Constituição proíbe a transposição, o remanejamento ou a transferência de recursos de uma categoria de programação para outra ou de um órgão para outro, sem prévia autorização legislativa, mandamento esse que também vincula o Judiciário. Isso porque as regras sobre aprovação e gestão orçamentárias consagram mecanismos de freios e contrapesos essenciais ao regular funcionamento das instituições republicanas e democráticas e à concretização do princípio da separação dos poderes.</w:t>
        <w:br/>
        <w:t>[ADPF 484, rel. min. Luiz Fux, j. 4-6-2020, P, DJE de 10-11-2020.] As reiteradas decisões do Trib</w:t>
      </w:r>
    </w:p>
    <w:p>
      <w:pPr>
        <w:ind w:left="288"/>
      </w:pPr>
      <w:r>
        <w:rPr>
          <w:b/>
          <w:color w:val="003CA0"/>
          <w:sz w:val="16"/>
        </w:rPr>
        <w:t>[ADPF 405 MC, rel. min. Rosa Weber, j. 14-6-2017, P, DJE de 5-2-2018.]</w:t>
      </w:r>
    </w:p>
    <w:p>
      <w:pPr>
        <w:ind w:left="288"/>
      </w:pPr>
      <w:r>
        <w:rPr>
          <w:color w:val="8C8C8C"/>
          <w:sz w:val="12"/>
        </w:rPr>
        <w:t>cf-art-167-inc-VI</w:t>
      </w:r>
      <w:r>
        <w:rPr>
          <w:color w:val="003CA0"/>
          <w:sz w:val="12"/>
        </w:rPr>
        <w:t xml:space="preserve"> | ADI 3.652</w:t>
      </w:r>
      <w:r>
        <w:rPr>
          <w:color w:val="003CA0"/>
          <w:sz w:val="12"/>
        </w:rPr>
        <w:t xml:space="preserve"> | rel. Sepúlveda Pertence</w:t>
      </w:r>
    </w:p>
    <w:p>
      <w:pPr>
        <w:ind w:left="288"/>
      </w:pPr>
      <w:r>
        <w:rPr>
          <w:color w:val="1E1E1E"/>
          <w:sz w:val="18"/>
        </w:rPr>
        <w:t>Ação direta de inconstitucionalidade: Lei estadual (RR) 503/2005, art. 52, § 2º: alegação de ofensa ao art. 167 da CF: improcedência. Não há vinculação de receita, mas apenas distribuição dos superávit orçamentário aos poderes e ao Ministério Público: improcedência. (...)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w:t>
      </w:r>
    </w:p>
    <w:p>
      <w:pPr>
        <w:ind w:left="288"/>
      </w:pPr>
      <w:r>
        <w:rPr>
          <w:b/>
          <w:color w:val="003CA0"/>
          <w:sz w:val="16"/>
        </w:rPr>
        <w:t>[ADI 3.652, rel. min. Sepúlveda Pertence, j. 19-12-2006, P, DJ de 16-3-2007.]</w:t>
      </w:r>
    </w:p>
    <w:p>
      <w:pPr>
        <w:ind w:left="288"/>
      </w:pPr>
      <w:r>
        <w:rPr>
          <w:color w:val="8C8C8C"/>
          <w:sz w:val="12"/>
        </w:rPr>
        <w:t>cf-art-167-inc-VI</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w:t>
      </w:r>
    </w:p>
    <w:p>
      <w:pPr>
        <w:ind w:left="288"/>
      </w:pPr>
      <w:r>
        <w:rPr>
          <w:b/>
          <w:color w:val="003CA0"/>
          <w:sz w:val="16"/>
        </w:rPr>
        <w:t>[ADI 3.401, rel. min. Gilmar Mendes, j. 26-4-2006, P, DJ de 23-2-2007.]</w:t>
      </w:r>
    </w:p>
    <w:p>
      <w:pPr>
        <w:ind w:left="288"/>
      </w:pPr>
      <w:r>
        <w:rPr>
          <w:color w:val="8C8C8C"/>
          <w:sz w:val="12"/>
        </w:rPr>
        <w:t>cf-art-167-inc-VII</w:t>
      </w:r>
    </w:p>
    <w:p>
      <w:pPr>
        <w:ind w:left="288"/>
      </w:pPr>
      <w:r>
        <w:rPr>
          <w:color w:val="1E1E1E"/>
          <w:sz w:val="18"/>
        </w:rPr>
        <w:t>VIII - a utilização, sem autorização legislativa específica, de recursos dos orçamentos fiscal e da seguridade social para suprir necessidade ou cobrir déficit de empresas, fundações e fundos, inclusive dos mencionados no art. 165, § 5º;</w:t>
      </w:r>
    </w:p>
    <w:p>
      <w:pPr>
        <w:ind w:left="288"/>
      </w:pPr>
      <w:r>
        <w:rPr>
          <w:color w:val="8C8C8C"/>
          <w:sz w:val="12"/>
        </w:rPr>
        <w:t>cf-art-167-inc-IX</w:t>
      </w:r>
    </w:p>
    <w:p>
      <w:pPr>
        <w:ind w:left="288"/>
      </w:pPr>
      <w:r>
        <w:rPr>
          <w:color w:val="1E1E1E"/>
          <w:sz w:val="18"/>
        </w:rPr>
        <w:t>X - a transferência voluntária de recursos e a concessão de empréstimos, inclusive por antecipação de receita, pelos Governos Federal e Estaduais e suas instituições financeiras, para pagamento de despesas com pessoal ativo, inativo e pensionista, dos Estados, do Distrito Federal e dos Municípios. (Incluído pela EC 19/1998)</w:t>
      </w:r>
    </w:p>
    <w:p>
      <w:pPr>
        <w:ind w:left="288"/>
      </w:pPr>
      <w:r>
        <w:rPr>
          <w:color w:val="8C8C8C"/>
          <w:sz w:val="12"/>
        </w:rPr>
        <w:t>cf-art-167-inc-IX</w:t>
      </w:r>
      <w:r>
        <w:rPr>
          <w:color w:val="003CA0"/>
          <w:sz w:val="12"/>
        </w:rPr>
        <w:t xml:space="preserve"> | ADI 5.683</w:t>
      </w:r>
      <w:r>
        <w:rPr>
          <w:color w:val="003CA0"/>
          <w:sz w:val="12"/>
        </w:rPr>
        <w:t xml:space="preserve"> | rel. Roberto Barroso</w:t>
      </w:r>
    </w:p>
    <w:p>
      <w:pPr>
        <w:ind w:left="288"/>
      </w:pPr>
      <w:r>
        <w:rPr>
          <w:color w:val="1E1E1E"/>
          <w:sz w:val="18"/>
        </w:rPr>
        <w:t>A Constituição Federal, em seu art. 167, X, veda a concessão de empréstimos por instituições financeiras estatais para o pagamento de despesas com pessoal ativo, inativo e pensionista. Impede-se, portanto, a alocação dessas receitas para o custeio de pessoal ativo e inativo. Não há na regra uma vedação absoluta à contratação de empréstimos junto a instituições financeiras estatais. A vedação estabelecida no art. 167, X, da CF diz respeito apenas a instituições financeiras estatais. A proibição não alcança as contratações realizadas com instituições financeiras privadas.</w:t>
      </w:r>
    </w:p>
    <w:p>
      <w:pPr>
        <w:ind w:left="288"/>
      </w:pPr>
      <w:r>
        <w:rPr>
          <w:b/>
          <w:color w:val="003CA0"/>
          <w:sz w:val="16"/>
        </w:rPr>
        <w:t>[ADI 5.683, rel. min. Roberto Barroso, j. 22-4-2022, P, DJE de 19-5-2022.]</w:t>
      </w:r>
    </w:p>
    <w:p>
      <w:pPr>
        <w:ind w:left="288"/>
      </w:pPr>
      <w:r>
        <w:rPr>
          <w:color w:val="8C8C8C"/>
          <w:sz w:val="12"/>
        </w:rPr>
        <w:t>cf-art-167-inc-IX</w:t>
      </w:r>
      <w:r>
        <w:rPr>
          <w:color w:val="003CA0"/>
          <w:sz w:val="12"/>
        </w:rPr>
        <w:t xml:space="preserve"> | ADPF 485</w:t>
      </w:r>
      <w:r>
        <w:rPr>
          <w:color w:val="003CA0"/>
          <w:sz w:val="12"/>
        </w:rPr>
        <w:t xml:space="preserve"> | rel. Roberto Barroso</w:t>
      </w:r>
    </w:p>
    <w:p>
      <w:pPr>
        <w:ind w:left="288"/>
      </w:pPr>
      <w:r>
        <w:rPr>
          <w:color w:val="1E1E1E"/>
          <w:sz w:val="18"/>
        </w:rPr>
        <w:t>Verbas estaduais não podem ser objeto de bloqueio, penhora e/ou sequestro para pagamento de valores devidos em ações trabalhistas, ainda que as empresas reclamadas detenham créditos a receber da administração pública estadual, em virtude do disposto no art. 167, VI e X, da CF, e do princípio da separação de poderes (art. 2º da CF).</w:t>
      </w:r>
    </w:p>
    <w:p>
      <w:pPr>
        <w:ind w:left="288"/>
      </w:pPr>
      <w:r>
        <w:rPr>
          <w:b/>
          <w:color w:val="003CA0"/>
          <w:sz w:val="16"/>
        </w:rPr>
        <w:t>[ADPF 485, rel. min. Roberto Barroso, j. 7-12-2020, P, DJE de 4-2-2021.]</w:t>
      </w:r>
    </w:p>
    <w:p>
      <w:pPr>
        <w:ind w:left="288"/>
      </w:pPr>
      <w:r>
        <w:rPr>
          <w:color w:val="8C8C8C"/>
          <w:sz w:val="12"/>
        </w:rPr>
        <w:t>cf-art-167-inc-IX</w:t>
      </w:r>
      <w:r>
        <w:rPr>
          <w:color w:val="003CA0"/>
          <w:sz w:val="12"/>
        </w:rPr>
        <w:t xml:space="preserve"> | ADPF 405</w:t>
      </w:r>
      <w:r>
        <w:rPr>
          <w:color w:val="003CA0"/>
          <w:sz w:val="12"/>
        </w:rPr>
        <w:t xml:space="preserve"> | rel. Rosa Weber</w:t>
      </w:r>
    </w:p>
    <w:p>
      <w:pPr>
        <w:ind w:left="288"/>
      </w:pPr>
      <w:r>
        <w:rPr>
          <w:color w:val="1E1E1E"/>
          <w:sz w:val="18"/>
        </w:rPr>
        <w:t>As reiteradas decisões do Tribunal de Justiça do Estado do Rio de Janeiro e do TRT 1ª Região que resultaram em bloqueio, arresto, penhora, sequestro e liberação de valores administrados pelo Poder Executivo do Estado do Rio de Janeiro para atender demandas relativas a pagamento de salário de servidores ativos e inativos, satisfação imediata de créditos de prestadores de serviços e tutelas provisórias definidoras de prioridades na aplicação de recursos públicos traduzem, em seu conjunto, ato do poder público passível de controle pela via da arguição de descumprimento de preceito fundamental (..</w:t>
      </w:r>
    </w:p>
    <w:p>
      <w:pPr>
        <w:ind w:left="288"/>
      </w:pPr>
      <w:r>
        <w:rPr>
          <w:color w:val="8C8C8C"/>
          <w:sz w:val="12"/>
        </w:rPr>
        <w:t>cf-art-167-par-1</w:t>
      </w:r>
    </w:p>
    <w:p>
      <w:pPr>
        <w:ind w:left="288"/>
      </w:pPr>
      <w:r>
        <w:rPr>
          <w:color w:val="1E1E1E"/>
          <w:sz w:val="18"/>
        </w:rPr>
        <w:t>§ 2º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subsequente.</w:t>
      </w:r>
    </w:p>
    <w:p>
      <w:pPr>
        <w:ind w:left="288"/>
      </w:pPr>
      <w:r>
        <w:rPr>
          <w:color w:val="8C8C8C"/>
          <w:sz w:val="12"/>
        </w:rPr>
        <w:t>cf-art-167-par-1</w:t>
      </w:r>
      <w:r>
        <w:rPr>
          <w:color w:val="003CA0"/>
          <w:sz w:val="12"/>
        </w:rPr>
        <w:t xml:space="preserve"> | ADI 4.049</w:t>
      </w:r>
      <w:r>
        <w:rPr>
          <w:color w:val="003CA0"/>
          <w:sz w:val="12"/>
        </w:rPr>
        <w:t xml:space="preserve"> | rel. Ayres Britto</w:t>
      </w:r>
    </w:p>
    <w:p>
      <w:pPr>
        <w:ind w:left="288"/>
      </w:pPr>
      <w:r>
        <w:rPr>
          <w:color w:val="1E1E1E"/>
          <w:sz w:val="18"/>
        </w:rPr>
        <w:t>Medida provisória que abre crédito extraordinário não se exaure no ato de sua primeira aplicação. Ela somente se exaure ao final do exercício financeiro para o qual foi aberto o crédito extraordinário nela referido. Hipótese em que a abertura do crédito se deu nos últimos quatro meses do exercício, projetando-se, nos limites de seus saldos, para o orçamento do exercício financeiro subsequente (§ 2º do art. 167 da CF).</w:t>
      </w:r>
    </w:p>
    <w:p>
      <w:pPr>
        <w:ind w:left="288"/>
      </w:pPr>
      <w:r>
        <w:rPr>
          <w:b/>
          <w:color w:val="003CA0"/>
          <w:sz w:val="16"/>
        </w:rPr>
        <w:t>[ADI 4.049 MC, rel. min. Ayres Britto, j. 5-11-2008, P, DJE de 8-5-2009.]</w:t>
      </w:r>
    </w:p>
    <w:p>
      <w:pPr>
        <w:ind w:left="288"/>
      </w:pPr>
      <w:r>
        <w:rPr>
          <w:color w:val="8C8C8C"/>
          <w:sz w:val="12"/>
        </w:rPr>
        <w:t>cf-art-167-par-3</w:t>
      </w:r>
      <w:r>
        <w:rPr>
          <w:color w:val="003CA0"/>
          <w:sz w:val="12"/>
        </w:rPr>
        <w:t xml:space="preserve"> | ADI 4.048</w:t>
      </w:r>
      <w:r>
        <w:rPr>
          <w:color w:val="003CA0"/>
          <w:sz w:val="12"/>
        </w:rPr>
        <w:t xml:space="preserve"> | rel. Gilmar Mendes</w:t>
      </w:r>
    </w:p>
    <w:p>
      <w:pPr>
        <w:ind w:left="288"/>
      </w:pPr>
      <w:r>
        <w:rPr>
          <w:color w:val="1E1E1E"/>
          <w:sz w:val="18"/>
        </w:rPr>
        <w:t>Limites constitucionais à atividade legislativa excepcional do Poder Executivo na edição de medidas provisórias para abertura de crédito extraordinário. Interpretação do art. 167, § 3º, c/c o art. 62, § 1º,  I, d, da Constituição. Além dos requisitos de relevância e urgência (art. 62), a Constituição exige que a abertura do crédito extraordinário seja feita apenas para atender a despesas imprevisíveis e urgentes. Ao contrário do que ocorre em relação aos requisitos de relevância e urgência (art. 62), que se submetem a uma ampla margem de discricionariedade por parte do presidente da República,</w:t>
      </w:r>
    </w:p>
    <w:p>
      <w:pPr>
        <w:ind w:left="288"/>
      </w:pPr>
      <w:r>
        <w:rPr>
          <w:b/>
          <w:color w:val="003CA0"/>
          <w:sz w:val="16"/>
        </w:rPr>
        <w:t>[ADI 4.048 MC, rel. min. Gilmar Mendes, j. 14-5-2008, P, DJE de 22-8-2008.]</w:t>
      </w:r>
    </w:p>
    <w:p>
      <w:pPr>
        <w:ind w:left="288"/>
      </w:pPr>
      <w:r>
        <w:rPr>
          <w:color w:val="8C8C8C"/>
          <w:sz w:val="12"/>
        </w:rPr>
        <w:t>cf-art-167-par-3</w:t>
      </w:r>
      <w:r>
        <w:rPr>
          <w:color w:val="003CA0"/>
          <w:sz w:val="12"/>
        </w:rPr>
        <w:t xml:space="preserve"> | ADI 4.049</w:t>
      </w:r>
      <w:r>
        <w:rPr>
          <w:color w:val="003CA0"/>
          <w:sz w:val="12"/>
        </w:rPr>
        <w:t xml:space="preserve"> | rel. Ayres Britto</w:t>
      </w:r>
    </w:p>
    <w:p>
      <w:pPr>
        <w:ind w:left="288"/>
      </w:pPr>
      <w:r>
        <w:rPr>
          <w:color w:val="1E1E1E"/>
          <w:sz w:val="18"/>
        </w:rPr>
        <w:t>= ADI 4.049 MC, rel. min. Ayres Britto, j. 5-11-2008, P, DJE de 8-5-2009 § 4º É permitida a vinculação das receitas a que se referem os arts. 155, 156, 156-A, 157, 158 e as alíneas a, b, d, e e f do inciso I e o inciso II do caput do art. 159 desta Constituição para pagamento de débitos com a União e para prestar-lhe garantia ou contragarantia. (Redação dada pela EC n. 132/2023)</w:t>
      </w:r>
    </w:p>
    <w:p>
      <w:pPr>
        <w:ind w:left="432"/>
      </w:pPr>
      <w:r>
        <w:rPr>
          <w:color w:val="003366"/>
          <w:sz w:val="18"/>
        </w:rPr>
        <w:t>§ 1 Na hipótese de medidas de combate à calamidade pública cuja vigência e efeit</w:t>
      </w:r>
    </w:p>
    <w:p>
      <w:pPr>
        <w:ind w:left="432"/>
      </w:pPr>
      <w:r>
        <w:rPr>
          <w:color w:val="003366"/>
          <w:sz w:val="18"/>
        </w:rPr>
        <w:t xml:space="preserve">§ 2 Na hipótese de que trata o art. 167-B, não se aplica a alínea &amp;quot;c&amp;quot; </w:t>
      </w:r>
    </w:p>
    <w:p>
      <w:pPr>
        <w:ind w:left="432"/>
      </w:pPr>
      <w:r>
        <w:rPr>
          <w:color w:val="003366"/>
          <w:sz w:val="18"/>
        </w:rPr>
        <w:t>§ 3 É facultada aos Estados, ao Distrito Federal e aos Municípios a aplicação da</w:t>
      </w:r>
    </w:p>
    <w:p>
      <w:r>
        <w:rPr>
          <w:b/>
          <w:color w:val="003366"/>
          <w:sz w:val="20"/>
        </w:rPr>
        <w:t>Art. 168 Os recursos correspondentes às dotações orçamentárias, compreendidos os</w:t>
      </w:r>
      <w:r>
        <w:rPr>
          <w:color w:val="8C8C8C"/>
          <w:sz w:val="14"/>
        </w:rPr>
        <w:t xml:space="preserve">  [14 decisoes]</w:t>
      </w:r>
    </w:p>
    <w:p>
      <w:pPr>
        <w:ind w:left="144"/>
      </w:pPr>
      <w:r>
        <w:rPr>
          <w:b/>
          <w:color w:val="B45A00"/>
          <w:sz w:val="16"/>
        </w:rPr>
        <w:t>JULGADOS CORRELATOS</w:t>
      </w:r>
    </w:p>
    <w:p>
      <w:pPr>
        <w:ind w:left="288"/>
      </w:pPr>
      <w:r>
        <w:rPr>
          <w:color w:val="8C8C8C"/>
          <w:sz w:val="12"/>
        </w:rPr>
        <w:t>cf-art-168</w:t>
      </w:r>
      <w:r>
        <w:rPr>
          <w:color w:val="003CA0"/>
          <w:sz w:val="12"/>
        </w:rPr>
        <w:t xml:space="preserve"> | SS 5.648</w:t>
      </w:r>
      <w:r>
        <w:rPr>
          <w:color w:val="003CA0"/>
          <w:sz w:val="12"/>
        </w:rPr>
        <w:t xml:space="preserve"> | rel. Rosa Weber</w:t>
      </w:r>
    </w:p>
    <w:p>
      <w:pPr>
        <w:ind w:left="288"/>
      </w:pPr>
      <w:r>
        <w:rPr>
          <w:color w:val="1E1E1E"/>
          <w:sz w:val="18"/>
        </w:rPr>
        <w:t>Não cabe ao Chefe do Poder Executivo reter as parcelas duodecimais titularizadas pela Câmara legislativa municipal ou contingenciá-las em face da frustração das metas fiscais, incumbindo ao próprio órgão legislativo, no exercício de sua autonomia orçamentária e com respeito e atenção ao dever de responsabilidade fiscal, realizar os ajustes orçamentários necessários, sem prejuízo da fiscalização exercida pelos órgãos de controle interno, externo e judicial.</w:t>
        <w:br/>
        <w:t>[SS 5.648 MC-REF, rel. min. Rosa Weber, j. 28-8-2023, P, DJE de 4-9-2023.]</w:t>
      </w:r>
    </w:p>
    <w:p>
      <w:pPr>
        <w:ind w:left="144"/>
      </w:pPr>
      <w:r>
        <w:rPr>
          <w:b/>
          <w:color w:val="B45A00"/>
          <w:sz w:val="16"/>
        </w:rPr>
        <w:t>CONTROLE CONCENTRADO</w:t>
      </w:r>
    </w:p>
    <w:p>
      <w:pPr>
        <w:ind w:left="288"/>
      </w:pPr>
      <w:r>
        <w:rPr>
          <w:color w:val="8C8C8C"/>
          <w:sz w:val="12"/>
        </w:rPr>
        <w:t>cf-art-168</w:t>
      </w:r>
      <w:r>
        <w:rPr>
          <w:color w:val="003CA0"/>
          <w:sz w:val="12"/>
        </w:rPr>
        <w:t xml:space="preserve"> | ADPF 384</w:t>
      </w:r>
      <w:r>
        <w:rPr>
          <w:color w:val="003CA0"/>
          <w:sz w:val="12"/>
        </w:rPr>
        <w:t xml:space="preserve"> | rel. Edson Fachin</w:t>
      </w:r>
    </w:p>
    <w:p>
      <w:pPr>
        <w:ind w:left="288"/>
      </w:pPr>
      <w:r>
        <w:rPr>
          <w:color w:val="1E1E1E"/>
          <w:sz w:val="18"/>
        </w:rPr>
        <w:t>A retenção do repasse de duodécimos por parte do Poder Executivo configura ato abusivo e atentatório a ordem constitucional brasileira.</w:t>
      </w:r>
    </w:p>
    <w:p>
      <w:pPr>
        <w:ind w:left="288"/>
      </w:pPr>
      <w:r>
        <w:rPr>
          <w:b/>
          <w:color w:val="003CA0"/>
          <w:sz w:val="16"/>
        </w:rPr>
        <w:t>[ADPF 384, rel. min. Edson Fachin, j. 6-8-2020, P, DJE de 8-10-2020.]</w:t>
      </w:r>
    </w:p>
    <w:p>
      <w:pPr>
        <w:ind w:left="288"/>
      </w:pPr>
      <w:r>
        <w:rPr>
          <w:color w:val="8C8C8C"/>
          <w:sz w:val="12"/>
        </w:rPr>
        <w:t>cf-art-168</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 Caracterizada a violação dos arts. 167, VI, e 168 da CF, pois a norma impugnada autoriza o remanejamento do Poder Executivo para o Poder Judiciário sem prévia autorização legislativa.</w:t>
      </w:r>
    </w:p>
    <w:p>
      <w:pPr>
        <w:ind w:left="288"/>
      </w:pPr>
      <w:r>
        <w:rPr>
          <w:b/>
          <w:color w:val="003CA0"/>
          <w:sz w:val="16"/>
        </w:rPr>
        <w:t>[ADI 3.401, rel. min. Gilmar Mendes, j. 26-4-2006, P, DJ de 23-2-2007.]</w:t>
      </w:r>
    </w:p>
    <w:p>
      <w:pPr>
        <w:ind w:left="288"/>
      </w:pPr>
      <w:r>
        <w:rPr>
          <w:color w:val="8C8C8C"/>
          <w:sz w:val="12"/>
        </w:rPr>
        <w:t>cf-art-168</w:t>
      </w:r>
      <w:r>
        <w:rPr>
          <w:color w:val="003CA0"/>
          <w:sz w:val="12"/>
        </w:rPr>
        <w:t xml:space="preserve"> | MS 34.483</w:t>
      </w:r>
      <w:r>
        <w:rPr>
          <w:color w:val="003CA0"/>
          <w:sz w:val="12"/>
        </w:rPr>
        <w:t xml:space="preserve"> | rel. Dias Toffoli</w:t>
      </w:r>
    </w:p>
    <w:p>
      <w:pPr>
        <w:ind w:left="288"/>
      </w:pPr>
      <w:r>
        <w:rPr>
          <w:color w:val="1E1E1E"/>
          <w:sz w:val="18"/>
        </w:rPr>
        <w:t>O direito prescrito no art. 168 da CF/1988 instrumentaliza o postulado da Separação de Poderes e, dessa perspectiva, institui um dos fundamentos essenciais para a permanência do Estado Democrático de Direito, impedindo a sujeição dos demais Poderes e órgãos autônomos da República a arbítrios e ilegalidades perpetradas no âmbito do Poder Executivo respectivo. É dever de cada um dos Poderes, por ato próprio, proceder aos ajustes necessários, com limitação de empenho (despesa), ante a frustração de receitas que inviabilize o cumprimento de suas obrigações (LC 101/2000, art. 9º), operando-se esses</w:t>
      </w:r>
    </w:p>
    <w:p>
      <w:pPr>
        <w:ind w:left="288"/>
      </w:pPr>
      <w:r>
        <w:rPr>
          <w:color w:val="8C8C8C"/>
          <w:sz w:val="12"/>
        </w:rPr>
        <w:t>cf-art-168</w:t>
      </w:r>
      <w:r>
        <w:rPr>
          <w:color w:val="003CA0"/>
          <w:sz w:val="12"/>
        </w:rPr>
        <w:t xml:space="preserve"> | ADI 6357</w:t>
      </w:r>
      <w:r>
        <w:rPr>
          <w:color w:val="003CA0"/>
          <w:sz w:val="12"/>
        </w:rPr>
        <w:t xml:space="preserve"> | rel. ALEXANDRE DE MORAES</w:t>
      </w:r>
    </w:p>
    <w:p>
      <w:pPr>
        <w:ind w:left="288"/>
      </w:pPr>
      <w:r>
        <w:rPr>
          <w:color w:val="1E1E1E"/>
          <w:sz w:val="18"/>
        </w:rPr>
        <w:t>À falta de apresentação de razões específicas, não pode a ação ser conhecida quanto ao pedido de interpretação conforme à Constituição dos arts. 19 e 20 da LRF, pois, segundo a jurisprudência desta SUPREMA CORTE, o déficit de impugnação específica inviabiliza os pedidos veiculados em Ação Direta de Inconstitucionalidade. Precedentes. Ausente pedido de aditamento, a alteração substancial do art. 21 da LRF pela Lei Complementar 173/2020, que estabeleceu o “Programa Federativo de Enfrentamento ao Coronavírus SARS-CoV-2 (Covid-19)”, prejudica a análise do pedido em relação ao dispositivo. Suspenso</w:t>
      </w:r>
    </w:p>
    <w:p>
      <w:pPr>
        <w:ind w:left="288"/>
      </w:pPr>
      <w:r>
        <w:rPr>
          <w:color w:val="8C8C8C"/>
          <w:sz w:val="12"/>
        </w:rPr>
        <w:t>cf-art-168-inc-I</w:t>
      </w:r>
      <w:r>
        <w:rPr>
          <w:color w:val="003CA0"/>
          <w:sz w:val="12"/>
        </w:rPr>
        <w:t xml:space="preserve"> | ADI 2.114</w:t>
      </w:r>
      <w:r>
        <w:rPr>
          <w:color w:val="003CA0"/>
          <w:sz w:val="12"/>
        </w:rPr>
        <w:t xml:space="preserve"> | rel. Nunes Marques</w:t>
      </w:r>
    </w:p>
    <w:p>
      <w:pPr>
        <w:ind w:left="288"/>
      </w:pPr>
      <w:r>
        <w:rPr>
          <w:color w:val="1E1E1E"/>
          <w:sz w:val="18"/>
        </w:rPr>
        <w:t>É inconstitucional lei que verse sobre criação de cargos, empregos e funções sem prévia dotação orçamentária e autorização específica na Lei de Diretrizes Orçamentárias.</w:t>
        <w:br/>
        <w:t>[ADI 2.114, rel. min. Nunes Marques, j. 13-3-2023, P, DJE de 17-4-2023.] Ação direta de inconstitucionalidade contra a Lei nº 14.434/2022, que altera a Lei nº 7.498/1986 para instituir o piso salarial nacional do enfermeiro, do técnico de enfermagem, do auxiliar de enfermagem e da parteira, a ser aplicado (a) aos profissionais contratados sob o regime da CLT, (b) aos servidores públicos civis da União, das autarquias e fundaçõ</w:t>
      </w:r>
    </w:p>
    <w:p>
      <w:pPr>
        <w:ind w:left="288"/>
      </w:pPr>
      <w:r>
        <w:rPr>
          <w:b/>
          <w:color w:val="003CA0"/>
          <w:sz w:val="16"/>
        </w:rPr>
        <w:t>[ADI 3.599, rel. min. Gilmar Mendes, j. 21-5-2007, P, DJ de 14-9-2007.]</w:t>
      </w:r>
    </w:p>
    <w:p>
      <w:pPr>
        <w:ind w:left="144"/>
      </w:pPr>
      <w:r>
        <w:rPr>
          <w:b/>
          <w:color w:val="B45A00"/>
          <w:sz w:val="16"/>
        </w:rPr>
        <w:t>REPERCUSSAO GERAL</w:t>
      </w:r>
    </w:p>
    <w:p>
      <w:pPr>
        <w:ind w:left="288"/>
      </w:pPr>
      <w:r>
        <w:rPr>
          <w:color w:val="8C8C8C"/>
          <w:sz w:val="12"/>
        </w:rPr>
        <w:t>cf-art-168-inc-I</w:t>
      </w:r>
      <w:r>
        <w:rPr>
          <w:color w:val="003CA0"/>
          <w:sz w:val="12"/>
        </w:rPr>
        <w:t xml:space="preserve"> | RE 1.341.179</w:t>
      </w:r>
      <w:r>
        <w:rPr>
          <w:color w:val="003CA0"/>
          <w:sz w:val="12"/>
        </w:rPr>
        <w:t xml:space="preserve"> | rel. Luiz Fux</w:t>
      </w:r>
    </w:p>
    <w:p>
      <w:pPr>
        <w:ind w:left="288"/>
      </w:pPr>
      <w:r>
        <w:rPr>
          <w:color w:val="1E1E1E"/>
          <w:sz w:val="18"/>
        </w:rPr>
        <w:t>É infraconstitucional, a ela se aplicando os efeitos da ausência de repercussão geral, a controvérsia relativa ao termo inicial do reajuste do auxílio-alimentação dos servidores do Poder Judiciário da União, considerando-se as disposições da Portaria Conjunta nº 1/2016 do Conselho Nacional de Justiça e da Portaria 297/2016 do Conselho da Justiça Federal.</w:t>
      </w:r>
    </w:p>
    <w:p>
      <w:pPr>
        <w:ind w:left="288"/>
      </w:pPr>
      <w:r>
        <w:rPr>
          <w:b/>
          <w:color w:val="003CA0"/>
          <w:sz w:val="16"/>
        </w:rPr>
        <w:t>[RE 1.341.179 RG, rel. min. Luiz Fux, j. 1-9-2022, P, DJE de 8-9-2022, Tema 1.230, com repercussão geral negada.]</w:t>
      </w:r>
    </w:p>
    <w:p>
      <w:pPr>
        <w:ind w:left="288"/>
      </w:pPr>
      <w:r>
        <w:rPr>
          <w:color w:val="8C8C8C"/>
          <w:sz w:val="12"/>
        </w:rPr>
        <w:t>cf-art-168-inc-I</w:t>
      </w:r>
      <w:r>
        <w:rPr>
          <w:color w:val="003CA0"/>
          <w:sz w:val="12"/>
        </w:rPr>
        <w:t xml:space="preserve"> | RE 905.357</w:t>
      </w:r>
      <w:r>
        <w:rPr>
          <w:color w:val="003CA0"/>
          <w:sz w:val="12"/>
        </w:rPr>
        <w:t xml:space="preserve"> | rel. Alexandre de Moraes</w:t>
      </w:r>
    </w:p>
    <w:p>
      <w:pPr>
        <w:ind w:left="288"/>
      </w:pPr>
      <w:r>
        <w:rPr>
          <w:color w:val="1E1E1E"/>
          <w:sz w:val="18"/>
        </w:rPr>
        <w:t>Segundo dispõe o art. 169, § 1º, da Constituição, para a concessão de vantagens ou aumento de remuneração aos agentes públicos, exige-se o preenchimento de dois requisitos cumulativos: (I) dotação na Lei Orçamentária Anual e (II) autorização na Lei de Diretrizes Orçamentárias. Assim sendo, não há direito à revisão geral anual da remuneração dos servidores públicos, quando se encontra prevista unicamente na Lei de Diretrizes Orçamentárias, pois é necessária, também, a dotação na Lei Orçamentária Anual.</w:t>
      </w:r>
    </w:p>
    <w:p>
      <w:pPr>
        <w:ind w:left="288"/>
      </w:pPr>
      <w:r>
        <w:rPr>
          <w:b/>
          <w:color w:val="003CA0"/>
          <w:sz w:val="16"/>
        </w:rPr>
        <w:t>[RE 905.357, rel. min. Alexandre de Moraes, j. 29-11-2019, P, DJE de 18-12-2019, Tema 864, com mérito julgado.]</w:t>
      </w:r>
    </w:p>
    <w:p>
      <w:pPr>
        <w:ind w:left="144"/>
      </w:pPr>
      <w:r>
        <w:rPr>
          <w:b/>
          <w:color w:val="B45A00"/>
          <w:sz w:val="16"/>
        </w:rPr>
        <w:t>JULGADOS CORRELATOS</w:t>
      </w:r>
    </w:p>
    <w:p>
      <w:pPr>
        <w:ind w:left="288"/>
      </w:pPr>
      <w:r>
        <w:rPr>
          <w:color w:val="8C8C8C"/>
          <w:sz w:val="12"/>
        </w:rPr>
        <w:t>cf-art-168-inc-I</w:t>
      </w:r>
      <w:r>
        <w:rPr>
          <w:color w:val="003CA0"/>
          <w:sz w:val="12"/>
        </w:rPr>
        <w:t xml:space="preserve"> | ARE 644.940</w:t>
      </w:r>
      <w:r>
        <w:rPr>
          <w:color w:val="003CA0"/>
          <w:sz w:val="12"/>
        </w:rPr>
        <w:t xml:space="preserve"> | rel. Marco Aurélio</w:t>
      </w:r>
    </w:p>
    <w:p>
      <w:pPr>
        <w:ind w:left="288"/>
      </w:pPr>
      <w:r>
        <w:rPr>
          <w:color w:val="1E1E1E"/>
          <w:sz w:val="18"/>
        </w:rPr>
        <w:t>A questão referente ao orçamento não repercute na espécie. Não se faz em jogo plus remuneratório, mas a simples reposição do poder aquisitivo de parcela alimentar. Ora, a predominar a necessidade de contar-se com previsão orçamentária, ter-se-ia como inadequado, por exemplo, o outrora gatilho salarial, porquanto impossível, de início, mensurar a inflação exata do período. As formas de diminuição da despesa estão previstas na CF. Depois, tenha-se presente consubstanciar a Carta da República um grande todo. Há de levar-se em conta sempre a interpretação sistemática, buscando-se, assim, alcance d</w:t>
      </w:r>
    </w:p>
    <w:p>
      <w:pPr>
        <w:ind w:left="288"/>
      </w:pPr>
      <w:r>
        <w:rPr>
          <w:b/>
          <w:color w:val="003CA0"/>
          <w:sz w:val="16"/>
        </w:rPr>
        <w:t>[ARE 644.940 AgR, voto do rel. min. Marco Aurélio, j. 3-9-2013, 1ª T, DJE de 12-2-2014.]</w:t>
      </w:r>
    </w:p>
    <w:p>
      <w:pPr>
        <w:ind w:left="144"/>
      </w:pPr>
      <w:r>
        <w:rPr>
          <w:b/>
          <w:color w:val="B45A00"/>
          <w:sz w:val="16"/>
        </w:rPr>
        <w:t>CONTROLE CONCENTRADO</w:t>
      </w:r>
    </w:p>
    <w:p>
      <w:pPr>
        <w:ind w:left="288"/>
      </w:pPr>
      <w:r>
        <w:rPr>
          <w:color w:val="8C8C8C"/>
          <w:sz w:val="12"/>
        </w:rPr>
        <w:t>cf-art-168-inc-II</w:t>
      </w:r>
      <w:r>
        <w:rPr>
          <w:color w:val="003CA0"/>
          <w:sz w:val="12"/>
        </w:rPr>
        <w:t xml:space="preserve"> | ADI 2.114</w:t>
      </w:r>
      <w:r>
        <w:rPr>
          <w:color w:val="003CA0"/>
          <w:sz w:val="12"/>
        </w:rPr>
        <w:t xml:space="preserve"> | rel. Nunes Marques</w:t>
      </w:r>
    </w:p>
    <w:p>
      <w:pPr>
        <w:ind w:left="288"/>
      </w:pPr>
      <w:r>
        <w:rPr>
          <w:color w:val="1E1E1E"/>
          <w:sz w:val="18"/>
        </w:rPr>
        <w:t>É inconstitucional lei que verse sobre criação de cargos, empregos e funções sem prévia dotação orçamentária e autorização específica na Lei de Diretrizes Orçamentárias.</w:t>
        <w:br/>
        <w:t>[ADI 2.114, rel. min. Nunes Marques, j. 13-3-2023, P, DJE de 17-4-2023.] Vide [ADI 2.114-ED-segundos, rel. min. Nunes Marques, j. 27.11.2023, P, DJE de 24.1.2024.]</w:t>
      </w:r>
    </w:p>
    <w:p>
      <w:pPr>
        <w:ind w:left="144"/>
      </w:pPr>
      <w:r>
        <w:rPr>
          <w:b/>
          <w:color w:val="B45A00"/>
          <w:sz w:val="16"/>
        </w:rPr>
        <w:t>REPERCUSSAO GERAL</w:t>
      </w:r>
    </w:p>
    <w:p>
      <w:pPr>
        <w:ind w:left="288"/>
      </w:pPr>
      <w:r>
        <w:rPr>
          <w:color w:val="8C8C8C"/>
          <w:sz w:val="12"/>
        </w:rPr>
        <w:t>cf-art-168-inc-II</w:t>
      </w:r>
      <w:r>
        <w:rPr>
          <w:color w:val="003CA0"/>
          <w:sz w:val="12"/>
        </w:rPr>
        <w:t xml:space="preserve"> | RE 905.357</w:t>
      </w:r>
      <w:r>
        <w:rPr>
          <w:color w:val="003CA0"/>
          <w:sz w:val="12"/>
        </w:rPr>
        <w:t xml:space="preserve"> | rel. Alexandre de Moraes</w:t>
      </w:r>
    </w:p>
    <w:p>
      <w:pPr>
        <w:ind w:left="288"/>
      </w:pPr>
      <w:r>
        <w:rPr>
          <w:color w:val="1E1E1E"/>
          <w:sz w:val="18"/>
        </w:rPr>
        <w:t>Segundo dispõe o art. 169, § 1º, da Constituição, para a concessão de vantagens ou aumento de remuneração aos agentes públicos, exige-se o preenchimento de dois requisitos cumulativos: (I) dotação na Lei Orçamentária Anual e (II) autorização na Lei de Diretrizes Orçamentárias. Assim sendo, não há direito à revisão geral anual da remuneração dos servidores públicos, quando se encontra prevista unicamente na Lei de Diretrizes Orçamentárias, pois é necessária, também, a dotação na Lei Orçamentária Anual.</w:t>
      </w:r>
    </w:p>
    <w:p>
      <w:pPr>
        <w:ind w:left="288"/>
      </w:pPr>
      <w:r>
        <w:rPr>
          <w:b/>
          <w:color w:val="003CA0"/>
          <w:sz w:val="16"/>
        </w:rPr>
        <w:t>[RE 905.357, rel. min. Alexandre de Moraes, j. 29-11-2019, P, DJE de 18-12-2019, Tema 864, com mérito julgado.]</w:t>
      </w:r>
    </w:p>
    <w:p>
      <w:pPr>
        <w:ind w:left="288"/>
      </w:pPr>
      <w:r>
        <w:rPr>
          <w:color w:val="8C8C8C"/>
          <w:sz w:val="12"/>
        </w:rPr>
        <w:t>cf-art-168-inc-II</w:t>
      </w:r>
    </w:p>
    <w:p>
      <w:pPr>
        <w:ind w:left="288"/>
      </w:pPr>
      <w:r>
        <w:rPr>
          <w:color w:val="1E1E1E"/>
          <w:sz w:val="18"/>
        </w:rPr>
        <w:t>§ 2º Decorrido o prazo estabelecido na lei complementar referida neste artigo para a adaptação aos parâmetros ali previstos, serão imediatamente suspensos todos os repasses de verbas federais ou estaduais aos Estados, ao Distrito Federal e aos Municípios que não observarem os referidos limites. (Incluído pela EC 19/1998) § 3º Para o cumprimento dos limites estabelecidos com base neste artigo, durante o prazo fixado na lei complementar referida no caput, a União, os Estados, o Distrito Federal e os Municípios adotarão as seguintes providências: (Incluído pela EC 19/1998)</w:t>
      </w:r>
    </w:p>
    <w:p>
      <w:pPr>
        <w:ind w:left="144"/>
      </w:pPr>
      <w:r>
        <w:rPr>
          <w:b/>
          <w:color w:val="B45A00"/>
          <w:sz w:val="16"/>
        </w:rPr>
        <w:t>JULGADOS CORRELATOS</w:t>
      </w:r>
    </w:p>
    <w:p>
      <w:pPr>
        <w:ind w:left="288"/>
      </w:pPr>
      <w:r>
        <w:rPr>
          <w:color w:val="8C8C8C"/>
          <w:sz w:val="12"/>
        </w:rPr>
        <w:t>cf-art-168-inc-II</w:t>
      </w:r>
      <w:r>
        <w:rPr>
          <w:color w:val="003CA0"/>
          <w:sz w:val="12"/>
        </w:rPr>
        <w:t xml:space="preserve"> | RE 428.991</w:t>
      </w:r>
      <w:r>
        <w:rPr>
          <w:color w:val="003CA0"/>
          <w:sz w:val="12"/>
        </w:rPr>
        <w:t xml:space="preserve"> | rel. Marco Aurélio</w:t>
      </w:r>
    </w:p>
    <w:p>
      <w:pPr>
        <w:ind w:left="288"/>
      </w:pPr>
      <w:r>
        <w:rPr>
          <w:color w:val="1E1E1E"/>
          <w:sz w:val="18"/>
        </w:rPr>
        <w:t xml:space="preserve">(...) a questão jurídica que está posta a julgamento da Suprema Corte diz com a necessidade de obediência aos limites de gastos da administração pública estabelecidos em lei complementar (...). No caso, trata-se especificamente de atualização dos valores relativos ao vale-refeição. E o argumento posto pela administração foi de que a interrupção desse reajustamento devia-se à necessidade de cumprir os limites estabelecidos com base no art. 169 (...). Ocorre que o próprio dispositivo constitucional, no seu § 3º, estabelece as medidas indispensáveis para que seja alcançado esse limite em caso de </w:t>
      </w:r>
    </w:p>
    <w:p>
      <w:pPr>
        <w:ind w:left="288"/>
      </w:pPr>
      <w:r>
        <w:rPr>
          <w:b/>
          <w:color w:val="003CA0"/>
          <w:sz w:val="16"/>
        </w:rPr>
        <w:t>[RE 428.991, rel. min. Marco Aurélio, voto do min. Menezes Direito, j. 26-8-2008, 1ª T, DJE de 31-10-2008.]</w:t>
      </w:r>
    </w:p>
    <w:p>
      <w:pPr>
        <w:ind w:left="288"/>
      </w:pPr>
      <w:r>
        <w:rPr>
          <w:color w:val="8C8C8C"/>
          <w:sz w:val="12"/>
        </w:rPr>
        <w:t>cf-art-168-inc-II</w:t>
      </w:r>
    </w:p>
    <w:p>
      <w:pPr>
        <w:ind w:left="288"/>
      </w:pPr>
      <w:r>
        <w:rPr>
          <w:color w:val="1E1E1E"/>
          <w:sz w:val="18"/>
        </w:rPr>
        <w:t>§ 4º Se as medidas adotadas com base no parágrafo anterior não forem suficientes para assegurar o cumprimento da determinação da lei complementar referida neste artigo, o servidor estável poderá perder o cargo, desde que ato normativo motivado de cada um dos Poderes especifique a atividade funcional, o órgão ou unidade administrativa objeto da redução de pessoal. (Incluído pela EC 19/1998) § 5º O servidor que perder o cargo na forma do parágrafo anterior fará jus a indenização correspondente a um mês de remuneração por ano de serviço. (Incluído pela EC 19/1998) § 6º O cargo objeto da redução p</w:t>
      </w:r>
    </w:p>
    <w:p>
      <w:pPr>
        <w:ind w:left="432"/>
      </w:pPr>
      <w:r>
        <w:rPr>
          <w:color w:val="003366"/>
          <w:sz w:val="18"/>
        </w:rPr>
        <w:t>§ 1 É vedada a transferência a fundos de recursos financeiros oriundos de repass</w:t>
      </w:r>
    </w:p>
    <w:p>
      <w:pPr>
        <w:ind w:left="432"/>
      </w:pPr>
      <w:r>
        <w:rPr>
          <w:color w:val="003366"/>
          <w:sz w:val="18"/>
        </w:rPr>
        <w:t>§ 2 O saldo financeiro decorrente dos recursos entregues na forma do caput deste</w:t>
      </w:r>
    </w:p>
    <w:p>
      <w:r>
        <w:rPr>
          <w:b/>
          <w:color w:val="003366"/>
          <w:sz w:val="20"/>
        </w:rPr>
        <w:t>Art. 169 A despesa com pessoal ativo e inativo e pensionistas da União, dos Esta</w:t>
      </w:r>
      <w:r>
        <w:rPr>
          <w:color w:val="8C8C8C"/>
          <w:sz w:val="14"/>
        </w:rPr>
        <w:t xml:space="preserve">  [58 decisoes]</w:t>
      </w:r>
    </w:p>
    <w:p>
      <w:pPr>
        <w:ind w:left="144"/>
      </w:pPr>
      <w:r>
        <w:rPr>
          <w:b/>
          <w:color w:val="B45A00"/>
          <w:sz w:val="16"/>
        </w:rPr>
        <w:t>CONTROLE CONCENTRADO</w:t>
      </w:r>
    </w:p>
    <w:p>
      <w:pPr>
        <w:ind w:left="288"/>
      </w:pPr>
      <w:r>
        <w:rPr>
          <w:color w:val="8C8C8C"/>
          <w:sz w:val="12"/>
        </w:rPr>
        <w:t>cf-art-169</w:t>
      </w:r>
      <w:r>
        <w:rPr>
          <w:color w:val="003CA0"/>
          <w:sz w:val="12"/>
        </w:rPr>
        <w:t xml:space="preserve"> | ADI 6.930</w:t>
      </w:r>
      <w:r>
        <w:rPr>
          <w:color w:val="003CA0"/>
          <w:sz w:val="12"/>
        </w:rPr>
        <w:t xml:space="preserve"> | rel. Roberto Barroso</w:t>
      </w:r>
    </w:p>
    <w:p>
      <w:pPr>
        <w:ind w:left="288"/>
      </w:pPr>
      <w:r>
        <w:rPr>
          <w:color w:val="1E1E1E"/>
          <w:sz w:val="18"/>
        </w:rPr>
        <w:t>(...) conferir interpretação conforme a Constituição ao art. 8º, IV e V, da LC nº 159/2017, com a redação conferida pela LC nº 178/2021, para autorizar a reposição de cargos vagos pelos entes federados que aderirem ao Regime de Recuperação Fiscal instituído por aquele diploma normativo, desde que observados os requisitos legais pertinentes; e (ii) conferir interpretação conforme a Constituição ao art. 2º, § 4º, da LC nº 159/2017, com a redação conferida pela LC nº 178/2021, de modo a excluir da regra do teto de gastos os investimentos executados com recursos afetados aos fundos públicos especi</w:t>
      </w:r>
    </w:p>
    <w:p>
      <w:pPr>
        <w:ind w:left="288"/>
      </w:pPr>
      <w:r>
        <w:rPr>
          <w:b/>
          <w:color w:val="003CA0"/>
          <w:sz w:val="16"/>
        </w:rPr>
        <w:t>[RE 1.316.010, rel. min. Flávio Dino, j. 13.10.2025, P, DJE de 28.11.2025, Tema 1.164, com mérito julgado.]</w:t>
      </w:r>
    </w:p>
    <w:p>
      <w:pPr>
        <w:ind w:left="288"/>
      </w:pPr>
      <w:r>
        <w:rPr>
          <w:color w:val="8C8C8C"/>
          <w:sz w:val="12"/>
        </w:rPr>
        <w:t>cf-art-169-par-3</w:t>
      </w:r>
      <w:r>
        <w:rPr>
          <w:color w:val="003CA0"/>
          <w:sz w:val="12"/>
        </w:rPr>
        <w:t xml:space="preserve"> | ADI 7.765</w:t>
      </w:r>
      <w:r>
        <w:rPr>
          <w:color w:val="003CA0"/>
          <w:sz w:val="12"/>
        </w:rPr>
        <w:t xml:space="preserve"> | rel. Dias Toffoli</w:t>
      </w:r>
    </w:p>
    <w:p>
      <w:pPr>
        <w:ind w:left="288"/>
      </w:pPr>
      <w:r>
        <w:rPr>
          <w:color w:val="1E1E1E"/>
          <w:sz w:val="18"/>
        </w:rPr>
        <w:t>Artigos 43 e 44 da Lei nº 14.973/24. Obrigação acessória. Pessoas jurídicas que usufruem de benefícios fiscais. Prestação de informações sobre os incentivos, as renúncias, os benefícios ou as imunidades de natureza tributária de que usufruem e o valor do crédito tributário correspondente. Constitucionalidade. (...) Inexiste violação do princípio da simplicidade tributária. A própria lei previu que a prestação, por parte das pessoas jurídicas que usufruem de benefícios fiscais, daquelas informações deve ser feita por meio de declaração eletrônica, em formato simplificado. Atualmente, essa decla</w:t>
      </w:r>
    </w:p>
    <w:p>
      <w:pPr>
        <w:ind w:left="288"/>
      </w:pPr>
      <w:r>
        <w:rPr>
          <w:b/>
          <w:color w:val="003CA0"/>
          <w:sz w:val="16"/>
        </w:rPr>
        <w:t>[ADI 7.765, rel. min. Dias Toffoli, j. 20.10.2025, P, DJE de 22.10.2025.]</w:t>
      </w:r>
    </w:p>
    <w:p>
      <w:pPr>
        <w:ind w:left="288"/>
      </w:pPr>
      <w:r>
        <w:rPr>
          <w:color w:val="8C8C8C"/>
          <w:sz w:val="12"/>
        </w:rPr>
        <w:t>cf-art-169-par-3-inc-I</w:t>
      </w:r>
      <w:r>
        <w:rPr>
          <w:color w:val="003CA0"/>
          <w:sz w:val="12"/>
        </w:rPr>
        <w:t xml:space="preserve"> | ADI 4.295</w:t>
      </w:r>
      <w:r>
        <w:rPr>
          <w:color w:val="003CA0"/>
          <w:sz w:val="12"/>
        </w:rPr>
        <w:t xml:space="preserve"> | rel. Marco Aurélio</w:t>
      </w:r>
    </w:p>
    <w:p>
      <w:pPr>
        <w:ind w:left="288"/>
      </w:pPr>
      <w:r>
        <w:rPr>
          <w:color w:val="1E1E1E"/>
          <w:sz w:val="18"/>
        </w:rPr>
        <w:t>II - será permitida a apropriação de créditos dos tributos previstos nos arts. 156-A e 195, V, pelo adquirente não optante pelo regime único de que trata o § 1º de bens materiais ou imateriais, inclusive direitos, e de serviços do optante, em montante equivalente ao cobrado por meio do regime único. (Incluído pela EC n. 132/2023) § 1º-A. Quando houver deficit atuarial, a contribuição ordinária dos aposentados e pensionistas poderá incidir sobre o valor dos proventos de aposentadoria e de pensões que supere o salário-mínimo. (Incluído pela EC 103/2019) O art. 13 do diploma legal, que prevê a ob</w:t>
      </w:r>
    </w:p>
    <w:p>
      <w:pPr>
        <w:ind w:left="288"/>
      </w:pPr>
      <w:r>
        <w:rPr>
          <w:b/>
          <w:color w:val="003CA0"/>
          <w:sz w:val="16"/>
        </w:rPr>
        <w:t>[ADI 4.295, rel. min. Marco Aurélio, red. do ac. Gilmar Mendes, j. 21.8.2023, P, DJE de 2.10.2023.]</w:t>
      </w:r>
    </w:p>
    <w:p>
      <w:pPr>
        <w:ind w:left="288"/>
      </w:pPr>
      <w:r>
        <w:rPr>
          <w:color w:val="8C8C8C"/>
          <w:sz w:val="12"/>
        </w:rPr>
        <w:t>cf-art-169-par-3-inc-I</w:t>
      </w:r>
    </w:p>
    <w:p>
      <w:pPr>
        <w:ind w:left="288"/>
      </w:pPr>
      <w:r>
        <w:rPr>
          <w:color w:val="1E1E1E"/>
          <w:sz w:val="18"/>
        </w:rPr>
        <w:t>§ 1º-B. Demonstrada a insuficiência da medida prevista no § 1º-A para equacionar o deficit atuarial, é facultada a instituição de contribuição extraordinária, no âmbito da União, dos servidores públicos ativos, dos aposentados e dos pensionistas. (Incluído pela EC 103/2019) § 1º-C. A contribuição extraordinária de que trata o § 1º-B deverá ser instituída simultaneamente com outras medidas para equacionamento do deficit e vigorará por período determinado, contado da data de sua instituição. (Incluído pela EC 103/2019) Art. 149-B Os tributos previstos nos arts. 156-A e 195, V, observarão as mesm</w:t>
      </w:r>
    </w:p>
    <w:p>
      <w:pPr>
        <w:ind w:left="288"/>
      </w:pPr>
      <w:r>
        <w:rPr>
          <w:color w:val="8C8C8C"/>
          <w:sz w:val="12"/>
        </w:rPr>
        <w:t>cf-art-169-par-3-inc-II</w:t>
      </w:r>
    </w:p>
    <w:p>
      <w:pPr>
        <w:ind w:left="288"/>
      </w:pPr>
      <w:r>
        <w:rPr>
          <w:color w:val="1E1E1E"/>
          <w:sz w:val="18"/>
        </w:rPr>
        <w:t>III - regimes específicos, diferenciados ou favorecidos de tributação; (Incluído pela EC n. 132/2023) IV - regras de não cumulatividade e de creditamento. (Incluído pela EC n. 132/2023) Parágrafo único. Os tributos de que trata o caput observarão as imunidades previstas no art. 150, VI, não se aplicando a ambos os tributos o disposto no art. 195, § 7º. (Incluído pela EC n. 132/2023) Art. 149-C O produto da arrecadação do imposto previsto no art. 156-A e da contribuição prevista no art. 195, V, incidentes sobre operações contratadas pela administração pública direta, por autarquias e por fundaç</w:t>
      </w:r>
    </w:p>
    <w:p>
      <w:pPr>
        <w:ind w:left="288"/>
      </w:pPr>
      <w:r>
        <w:rPr>
          <w:color w:val="8C8C8C"/>
          <w:sz w:val="12"/>
        </w:rPr>
        <w:t>cf-art-169-par-3</w:t>
      </w:r>
    </w:p>
    <w:p>
      <w:pPr>
        <w:ind w:left="288"/>
      </w:pPr>
      <w:r>
        <w:rPr>
          <w:color w:val="1E1E1E"/>
          <w:sz w:val="18"/>
        </w:rPr>
        <w:t>e) fonogramas e videofonogramas musicais produzidos no Brasil contendo obras musicais ou literomusicais de autores brasileiros e/ou obras em geral interpretadas por artistas brasileiros bem como os suportes materiais ou arquivos digitais que os contenham, salvo na etapa de replicação industrial de mídias ópticas de leitura a laser. (Incluída pela EC 75/2013)</w:t>
      </w:r>
    </w:p>
    <w:p>
      <w:pPr>
        <w:ind w:left="144"/>
      </w:pPr>
      <w:r>
        <w:rPr>
          <w:b/>
          <w:color w:val="B45A00"/>
          <w:sz w:val="16"/>
        </w:rPr>
        <w:t>REPERCUSSAO GERAL</w:t>
      </w:r>
    </w:p>
    <w:p>
      <w:pPr>
        <w:ind w:left="288"/>
      </w:pPr>
      <w:r>
        <w:rPr>
          <w:color w:val="8C8C8C"/>
          <w:sz w:val="12"/>
        </w:rPr>
        <w:t>cf-art-169-par-3</w:t>
      </w:r>
      <w:r>
        <w:rPr>
          <w:color w:val="003CA0"/>
          <w:sz w:val="12"/>
        </w:rPr>
        <w:t xml:space="preserve"> | ARE 1.244.302</w:t>
      </w:r>
      <w:r>
        <w:rPr>
          <w:color w:val="003CA0"/>
          <w:sz w:val="12"/>
        </w:rPr>
        <w:t xml:space="preserve"> | rel. Gilmar Mendes</w:t>
      </w:r>
    </w:p>
    <w:p>
      <w:pPr>
        <w:ind w:left="288"/>
      </w:pPr>
      <w:r>
        <w:rPr>
          <w:color w:val="1E1E1E"/>
          <w:sz w:val="18"/>
        </w:rPr>
        <w:t>“A imunidade tributária prevista no art. 150, inciso VI, alínea ‘e’, da Constituição Federal não se aplica às importações de suportes materiais produzidos fora do Brasil, ainda que contenham obra musical de artista brasileiro.”</w:t>
        <w:br/>
        <w:t>[ARE 1.244.302, rel. min. Gilmar Mendes, j. 09.09.2024, P, DJE de 16.09.2024, Tema 1.083, com mérito julgado.] VIII - produção, extração, comercialização ou importação de bens e serviços prejudiciais à saúde ou ao meio ambiente, nos termos de lei complementar. (Incluído pela EC n. 132/2023)</w:t>
      </w:r>
    </w:p>
    <w:p>
      <w:pPr>
        <w:ind w:left="288"/>
      </w:pPr>
      <w:r>
        <w:rPr>
          <w:color w:val="8C8C8C"/>
          <w:sz w:val="12"/>
        </w:rPr>
        <w:t>cf-art-169-par-6-inc-II</w:t>
      </w:r>
    </w:p>
    <w:p>
      <w:pPr>
        <w:ind w:left="288"/>
      </w:pPr>
      <w:r>
        <w:rPr>
          <w:color w:val="1E1E1E"/>
          <w:sz w:val="18"/>
        </w:rPr>
        <w:t>III - não integrará sua própria base de cálculo; (Incluído pela EC n. 132/2023) IV - integrará a base de cálculo dos tributos previstos nos arts. 155, II, 156, III, 156-A e 195, V; (Incluído pela EC n. 132/2023) V - poderá ter o mesmo fato gerador e base de cálculo de outros tributos; (Incluído pela EC n. 132/2023) VI - terá suas alíquotas fixadas em lei ordinária, podendo ser específicas, por unidade de medida adotada, ou ad valorem; (Incluído pela EC n. 132/2023) VII - na extração, o imposto será cobrado independentemente da destinação, caso em que a alíquota máxima corresponderá a 1% (um po</w:t>
      </w:r>
    </w:p>
    <w:p>
      <w:pPr>
        <w:ind w:left="288"/>
      </w:pPr>
      <w:r>
        <w:rPr>
          <w:color w:val="8C8C8C"/>
          <w:sz w:val="12"/>
        </w:rPr>
        <w:t>cf-art-169-par-6-inc-II-ali-b</w:t>
      </w:r>
    </w:p>
    <w:p>
      <w:pPr>
        <w:ind w:left="288"/>
      </w:pPr>
      <w:r>
        <w:rPr>
          <w:color w:val="1E1E1E"/>
          <w:sz w:val="18"/>
        </w:rPr>
        <w:t>III - incidirá sobre a propriedade de veículos automotores terrestres, aquáticos e aéreos, excetuados: (Incluído pela EC 132/2023)</w:t>
      </w:r>
    </w:p>
    <w:p>
      <w:pPr>
        <w:ind w:left="288"/>
      </w:pPr>
      <w:r>
        <w:rPr>
          <w:color w:val="8C8C8C"/>
          <w:sz w:val="12"/>
        </w:rPr>
        <w:t>cf-art-169-par-6-inc-II-ali-a</w:t>
      </w:r>
    </w:p>
    <w:p>
      <w:pPr>
        <w:ind w:left="288"/>
      </w:pPr>
      <w:r>
        <w:rPr>
          <w:color w:val="1E1E1E"/>
          <w:sz w:val="18"/>
        </w:rPr>
        <w:t>b) embarcações de pessoa jurídica que detenha outorga para prestar serviços de transporte aquaviário ou de pessoa física ou jurídica que pratique pesca industrial, artesanal, científica ou de subsistência; (Incluído pela EC 132/2023) c) plataformas suscetíveis de se locomoverem na água por meios próprios, inclusive aquelas cuja finalidade principal seja a exploração de atividades econômicas em águas territoriais e na zona econômica exclusiva e embarcações que tenham essa mesma finalidade principal; (Incluído pela EC 132/2023)</w:t>
      </w:r>
    </w:p>
    <w:p>
      <w:pPr>
        <w:ind w:left="288"/>
      </w:pPr>
      <w:r>
        <w:rPr>
          <w:color w:val="8C8C8C"/>
          <w:sz w:val="12"/>
        </w:rPr>
        <w:t>cf-art-169-par-6-inc-II-ali-e</w:t>
      </w:r>
    </w:p>
    <w:p>
      <w:pPr>
        <w:ind w:left="288"/>
      </w:pPr>
      <w:r>
        <w:rPr>
          <w:color w:val="1E1E1E"/>
          <w:sz w:val="18"/>
        </w:rPr>
        <w:t>IV - (Revogado pela EC 3/1993). III - ter sua base de cálculo atualizada pelo Poder Executivo, conforme critérios estabelecidos em lei municipal. (Incluído pela EC n. 132/2023) § 1º-A - O imposto previsto no inciso I do caput deste artigo não incide sobre templos de qualquer culto, ainda que as entidades abrangidas pela imunidade de que trata a alínea "b" do inciso VI do caput do art. 150 desta Constituição sejam apenas locatárias do bem imóvel. (Incluído pela EC n. 116/22)</w:t>
      </w:r>
    </w:p>
    <w:p>
      <w:pPr>
        <w:ind w:left="288"/>
      </w:pPr>
      <w:r>
        <w:rPr>
          <w:color w:val="8C8C8C"/>
          <w:sz w:val="12"/>
        </w:rPr>
        <w:t>cf-art-169-par-4-inc-II</w:t>
      </w:r>
    </w:p>
    <w:p>
      <w:pPr>
        <w:ind w:left="288"/>
      </w:pPr>
      <w:r>
        <w:rPr>
          <w:color w:val="1E1E1E"/>
          <w:sz w:val="18"/>
        </w:rPr>
        <w:t>Art. 156-A. Lei complementar instituirá imposto sobre bens e serviços de competência compartilhada entre Estados, Distrito Federal e Municípios. (Incluído pela EC n. 132/2023)</w:t>
      </w:r>
    </w:p>
    <w:p>
      <w:pPr>
        <w:ind w:left="288"/>
      </w:pPr>
      <w:r>
        <w:rPr>
          <w:color w:val="8C8C8C"/>
          <w:sz w:val="12"/>
        </w:rPr>
        <w:t>cf-art-169-par-1-inc-I</w:t>
      </w:r>
    </w:p>
    <w:p>
      <w:pPr>
        <w:ind w:left="288"/>
      </w:pPr>
      <w:r>
        <w:rPr>
          <w:color w:val="1E1E1E"/>
          <w:sz w:val="18"/>
        </w:rPr>
        <w:t>II - incidirá também sobre a importação de bens materiais ou imateriais, inclusive direitos, ou de serviços realizada por pessoa física ou jurídica, ainda que não seja sujeito passivo habitual do imposto, qualquer que seja a sua finalidade; (Incluído pela EC n. 132/2023) III - não incidirá sobre as exportações, assegurados ao exportador a manutenção e o aproveitamento dos créditos relativos às operações nas quais seja adquirente de bem material ou imaterial, inclusive direitos, ou serviço, observado o disposto no § 5º, III; (Incluído pela EC n. 132/2023) IV - terá legislação única e uniforme e</w:t>
      </w:r>
    </w:p>
    <w:p>
      <w:pPr>
        <w:ind w:left="288"/>
      </w:pPr>
      <w:r>
        <w:rPr>
          <w:color w:val="8C8C8C"/>
          <w:sz w:val="12"/>
        </w:rPr>
        <w:t>cf-art-169-par-4</w:t>
      </w:r>
    </w:p>
    <w:p>
      <w:pPr>
        <w:ind w:left="288"/>
      </w:pPr>
      <w:r>
        <w:rPr>
          <w:color w:val="1E1E1E"/>
          <w:sz w:val="18"/>
        </w:rPr>
        <w:t>I - reterá montante equivalente ao saldo acumulado de créditos do imposto não compensados pelos contribuintes e não ressarcidos ao final de cada período de apuração e aos valores decorrentes do cumprimento do § 5º, VIII; (Incluído pela EC n. 132/2023) II - distribuirá o produto da arrecadação do imposto, deduzida a retenção de que trata o inciso I deste parágrafo, ao ente federativo de destino das operações que não tenham gerado creditamento. (Incluído pela EC n. 132/2023)</w:t>
      </w:r>
    </w:p>
    <w:p>
      <w:pPr>
        <w:ind w:left="288"/>
      </w:pPr>
      <w:r>
        <w:rPr>
          <w:color w:val="8C8C8C"/>
          <w:sz w:val="12"/>
        </w:rPr>
        <w:t>cf-art-169-par-5-inc-I-ali-c</w:t>
      </w:r>
    </w:p>
    <w:p>
      <w:pPr>
        <w:ind w:left="288"/>
      </w:pPr>
      <w:r>
        <w:rPr>
          <w:color w:val="1E1E1E"/>
          <w:sz w:val="18"/>
        </w:rPr>
        <w:t>II - o regime de compensação, podendo estabelecer hipóteses em que o aproveitamento do crédito ficará condicionado à verificação do efetivo recolhimento do imposto incidente sobre a operação com bens materiais ou imateriais, inclusive direitos, ou com serviços, desde que: (Incluído pela EC n. 132/2023)</w:t>
      </w:r>
    </w:p>
    <w:p>
      <w:pPr>
        <w:ind w:left="288"/>
      </w:pPr>
      <w:r>
        <w:rPr>
          <w:color w:val="8C8C8C"/>
          <w:sz w:val="12"/>
        </w:rPr>
        <w:t>cf-art-169-par-5-inc-I-ali-b</w:t>
      </w:r>
    </w:p>
    <w:p>
      <w:pPr>
        <w:ind w:left="288"/>
      </w:pPr>
      <w:r>
        <w:rPr>
          <w:color w:val="1E1E1E"/>
          <w:sz w:val="18"/>
        </w:rPr>
        <w:t>III - a forma e o prazo para ressarcimento de créditos acumulados pelo contribuinte; (Incluído pela EC n. 132/2023) IV - os critérios para a definição do destino da operação, que poderá ser, inclusive, o local da entrega, da disponibilização ou da localização do bem, o da prestação ou da disponibilização do serviço ou o do domicílio ou da localização do adquirente ou destinatário do bem ou serviço, admitidas diferenciações em razão das características da operação; (Incluído pela EC n. 132/2023) V - a forma de desoneração da aquisição de bens de capital pelos contribuintes, que poderá ser imple</w:t>
      </w:r>
    </w:p>
    <w:p>
      <w:pPr>
        <w:ind w:left="288"/>
      </w:pPr>
      <w:r>
        <w:rPr>
          <w:color w:val="8C8C8C"/>
          <w:sz w:val="12"/>
        </w:rPr>
        <w:t>cf-art-169-par-5-inc-I-ali-c</w:t>
      </w:r>
    </w:p>
    <w:p>
      <w:pPr>
        <w:ind w:left="288"/>
      </w:pPr>
      <w:r>
        <w:rPr>
          <w:color w:val="1E1E1E"/>
          <w:sz w:val="18"/>
        </w:rPr>
        <w:t>VI - as hipóteses de diferimento e desoneração do imposto aplicáveis aos regimes aduaneiros especiais e às zonas de processamento de exportação; (Incluído pela EC n. 132/2023) VII - o processo administrativo fiscal do imposto; (Incluído pela EC n. 132/2023) VIII - as hipóteses de devolução do imposto a pessoas físicas, inclusive os limites e os beneficiários, com o objetivo de reduzir as desigualdades de renda; (Incluído pela EC n. 132/2023) IX - os critérios para as obrigações tributárias acessórias, visando à sua simplificação. (Incluído pela EC n. 132/2023)</w:t>
      </w:r>
    </w:p>
    <w:p>
      <w:pPr>
        <w:ind w:left="288"/>
      </w:pPr>
      <w:r>
        <w:rPr>
          <w:color w:val="8C8C8C"/>
          <w:sz w:val="12"/>
        </w:rPr>
        <w:t>cf-art-169-par-6-inc-I</w:t>
      </w:r>
    </w:p>
    <w:p>
      <w:pPr>
        <w:ind w:left="288"/>
      </w:pPr>
      <w:r>
        <w:rPr>
          <w:color w:val="1E1E1E"/>
          <w:sz w:val="18"/>
        </w:rPr>
        <w:t>a) serão as alíquotas uniformes em todo o território nacional, específicas por unidade de medida e diferenciadas por produto, admitida a não aplicação do disposto no § 1º, V a VII; (Incluída pela EC n. 132/2023)</w:t>
      </w:r>
    </w:p>
    <w:p>
      <w:pPr>
        <w:ind w:left="288"/>
      </w:pPr>
      <w:r>
        <w:rPr>
          <w:color w:val="8C8C8C"/>
          <w:sz w:val="12"/>
        </w:rPr>
        <w:t>cf-art-169-par-6-inc-II</w:t>
      </w:r>
    </w:p>
    <w:p>
      <w:pPr>
        <w:ind w:left="288"/>
      </w:pPr>
      <w:r>
        <w:rPr>
          <w:color w:val="1E1E1E"/>
          <w:sz w:val="18"/>
        </w:rPr>
        <w:t>a) alterações nas alíquotas, nas regras de creditamento e na base de cálculo, admitida, em relação aos adquirentes dos bens e serviços de que trata este inciso, a não aplicação do disposto no § 1º, VIII; (Incluída pela EC n. 132/2023) b) hipóteses em que o imposto incidirá sobre a receita ou o faturamento, com alíquota uniforme em todo o território nacional, admitida a não aplicação do disposto no § 1º, V a VII, e, em relação aos adquirentes dos bens e serviços de que trata este inciso, também do disposto no § 1º, VIII; (Incluída pela EC n. 132/2023) III - sociedades cooperativas, que será opt</w:t>
      </w:r>
    </w:p>
    <w:p>
      <w:pPr>
        <w:ind w:left="288"/>
      </w:pPr>
      <w:r>
        <w:rPr>
          <w:color w:val="8C8C8C"/>
          <w:sz w:val="12"/>
        </w:rPr>
        <w:t>cf-art-169-par-6-inc-II-ali-b</w:t>
      </w:r>
    </w:p>
    <w:p>
      <w:pPr>
        <w:ind w:left="288"/>
      </w:pPr>
      <w:r>
        <w:rPr>
          <w:color w:val="1E1E1E"/>
          <w:sz w:val="18"/>
        </w:rPr>
        <w:t>IV - serviços de hotelaria, parques de diversão e parques temáticos, agências de viagens e de turismo, bares e restaurantes, atividade esportiva desenvolvida por Sociedade Anônima do Futebol e aviação regional, podendo prever hipóteses de alterações nas alíquotas, nas bases de cálculo e nas regras de creditamento, admitida a não aplicação do disposto no § 1º, V a VIII; (Incluído pela EC n. 132/2023) V - operações alcançadas por tratado ou convenção internacional, inclusive referentes a missões diplomáticas, repartições consulares, representações de organismos internacionais e respectivos funci</w:t>
      </w:r>
    </w:p>
    <w:p>
      <w:pPr>
        <w:ind w:left="288"/>
      </w:pPr>
      <w:r>
        <w:rPr>
          <w:color w:val="8C8C8C"/>
          <w:sz w:val="12"/>
        </w:rPr>
        <w:t>cf-art-169-par-7-inc-I</w:t>
      </w:r>
    </w:p>
    <w:p>
      <w:pPr>
        <w:ind w:left="288"/>
      </w:pPr>
      <w:r>
        <w:rPr>
          <w:color w:val="1E1E1E"/>
          <w:sz w:val="18"/>
        </w:rPr>
        <w:t>II - acarretarão a anulação do crédito relativo às operações anteriores, salvo, na hipótese da imunidade, inclusive em relação ao inciso XI do § 1º, quando determinado em contrário em lei complementar. (Incluído pela EC n. 132/2023) § 8º Para fins do disposto neste artigo, a lei complementar de que trata o caput poderá estabelecer o conceito de operações com serviços, seu conteúdo e alcance, admitida essa definição para qualquer operação que não seja classificada como operação com bens materiais ou imateriais, inclusive direitos. (Incluído pela EC n. 132/2023) § 9º Qualquer alteração na legisl</w:t>
      </w:r>
    </w:p>
    <w:p>
      <w:pPr>
        <w:ind w:left="288"/>
      </w:pPr>
      <w:r>
        <w:rPr>
          <w:color w:val="8C8C8C"/>
          <w:sz w:val="12"/>
        </w:rPr>
        <w:t>cf-art-169-par-7-inc-II</w:t>
      </w:r>
    </w:p>
    <w:p>
      <w:pPr>
        <w:ind w:left="288"/>
      </w:pPr>
      <w:r>
        <w:rPr>
          <w:color w:val="1E1E1E"/>
          <w:sz w:val="18"/>
        </w:rPr>
        <w:t xml:space="preserve">§ 10. Os Estados, o Distrito Federal e os Municípios poderão optar por vincular suas alíquotas à alíquota de referência de que trata o § 1º, XII. (Incluído pela EC n. 132/2023) § 11. Projeto de lei complementar em tramitação no Congresso Nacional que reduza ou aumente a arrecadação do imposto somente será apreciado se acompanhado de estimativa de impacto no valor das alíquotas de referência de que trata o § 1º, XII. (Incluído pela EC n. 132/2023) § 12. A devolução de que trata o § 5º, VIII, não será considerada nas bases de cálculo de que tratam os arts. 29-A, 198, § 2º, 204, parágrafo único, </w:t>
      </w:r>
    </w:p>
    <w:p>
      <w:pPr>
        <w:ind w:left="288"/>
      </w:pPr>
      <w:r>
        <w:rPr>
          <w:color w:val="8C8C8C"/>
          <w:sz w:val="12"/>
        </w:rPr>
        <w:t>cf-art-169-par-7-inc-II</w:t>
      </w:r>
    </w:p>
    <w:p>
      <w:pPr>
        <w:ind w:left="288"/>
      </w:pPr>
      <w:r>
        <w:rPr>
          <w:color w:val="1E1E1E"/>
          <w:sz w:val="18"/>
        </w:rPr>
        <w:t>III - decidir o contencioso administrativo. (Incluído pela EC n. 132/2023)</w:t>
      </w:r>
    </w:p>
    <w:p>
      <w:pPr>
        <w:ind w:left="288"/>
      </w:pPr>
      <w:r>
        <w:rPr>
          <w:color w:val="8C8C8C"/>
          <w:sz w:val="12"/>
        </w:rPr>
        <w:t>cf-art-169-par-2</w:t>
      </w:r>
    </w:p>
    <w:p>
      <w:pPr>
        <w:ind w:left="288"/>
      </w:pPr>
      <w:r>
        <w:rPr>
          <w:color w:val="1E1E1E"/>
          <w:sz w:val="18"/>
        </w:rPr>
        <w:t>I - os Estados, o Distrito Federal e os Municípios serão representados, de forma paritária, na instância máxima de deliberação do Comitê Gestor do Imposto sobre Bens e Serviços; (Incluído pela EC n. 132/2023)</w:t>
      </w:r>
    </w:p>
    <w:p>
      <w:pPr>
        <w:ind w:left="288"/>
      </w:pPr>
      <w:r>
        <w:rPr>
          <w:color w:val="8C8C8C"/>
          <w:sz w:val="12"/>
        </w:rPr>
        <w:t>cf-art-169-par-2-inc-II</w:t>
      </w:r>
    </w:p>
    <w:p>
      <w:pPr>
        <w:ind w:left="288"/>
      </w:pPr>
      <w:r>
        <w:rPr>
          <w:color w:val="1E1E1E"/>
          <w:sz w:val="18"/>
        </w:rPr>
        <w:t>III - o Comitê Gestor será financiado por percentual do produto da arrecadação do imposto destinado a cada ente federativo; (Incluído pela EC n. 132/2023) IV - o controle externo do Comitê Gestor será exercido pelos Estados, pelo Distrito Federal e pelos Municípios; (Incluído pela EC n. 132/2023) V - a fiscalização, o lançamento, a cobrança, a representação administrativa e a representação judicial relativos ao imposto serão realizados, no âmbito de suas respectivas competências, pelas administrações tributárias e procuradorias dos Estados, do Distrito Federal e dos Municípios, que poderão def</w:t>
      </w:r>
    </w:p>
    <w:p>
      <w:pPr>
        <w:ind w:left="288"/>
      </w:pPr>
      <w:r>
        <w:rPr>
          <w:color w:val="8C8C8C"/>
          <w:sz w:val="12"/>
        </w:rPr>
        <w:t>cf-art-169-par-5</w:t>
      </w:r>
    </w:p>
    <w:p>
      <w:pPr>
        <w:ind w:left="288"/>
      </w:pPr>
      <w:r>
        <w:rPr>
          <w:color w:val="1E1E1E"/>
          <w:sz w:val="18"/>
        </w:rPr>
        <w:t>§ 6º O Comitê Gestor do Imposto sobre Bens e Serviços, a administração tributária da União e a Procuradoria-Geral da Fazenda Nacional compartilharão informações fiscais relacionadas aos tributos previstos nos arts. 156-A e 195, V, e atuarão com vistas a harmonizar normas, interpretações, obrigações acessórias e procedimentos a eles relativos. (Incluído pela EC n. 132/2023)</w:t>
      </w:r>
    </w:p>
    <w:p>
      <w:pPr>
        <w:ind w:left="288"/>
      </w:pPr>
      <w:r>
        <w:rPr>
          <w:color w:val="8C8C8C"/>
          <w:sz w:val="12"/>
        </w:rPr>
        <w:t>cf-art-169-par-7</w:t>
      </w:r>
    </w:p>
    <w:p>
      <w:pPr>
        <w:ind w:left="288"/>
      </w:pPr>
      <w:r>
        <w:rPr>
          <w:color w:val="1E1E1E"/>
          <w:sz w:val="18"/>
        </w:rPr>
        <w:t>§ 8º Lei complementar poderá prever a integração do contencioso administrativo relativo aos tributos previstos nos arts. 156-A e 195, V. (Incluído pela EC n. 132/2023) a) do produto da arrecadação do imposto do Estado sobre operações relativas à circulação de mercadorias e sobre prestações de serviços de transporte interestadual e intermunicipal e de comunicação; (Incluída pela EC n. 132/2023)</w:t>
      </w:r>
    </w:p>
    <w:p>
      <w:pPr>
        <w:ind w:left="144"/>
      </w:pPr>
      <w:r>
        <w:rPr>
          <w:b/>
          <w:color w:val="B45A00"/>
          <w:sz w:val="16"/>
        </w:rPr>
        <w:t>CONTROLE CONCENTRADO</w:t>
      </w:r>
    </w:p>
    <w:p>
      <w:pPr>
        <w:ind w:left="288"/>
      </w:pPr>
      <w:r>
        <w:rPr>
          <w:color w:val="8C8C8C"/>
          <w:sz w:val="12"/>
        </w:rPr>
        <w:t>cf-art-169-par-7</w:t>
      </w:r>
      <w:r>
        <w:rPr>
          <w:color w:val="003CA0"/>
          <w:sz w:val="12"/>
        </w:rPr>
        <w:t xml:space="preserve"> | ADI 3.837</w:t>
      </w:r>
      <w:r>
        <w:rPr>
          <w:color w:val="003CA0"/>
          <w:sz w:val="12"/>
        </w:rPr>
        <w:t xml:space="preserve"> | rel. Nunes Marques</w:t>
      </w:r>
    </w:p>
    <w:p>
      <w:pPr>
        <w:ind w:left="288"/>
      </w:pPr>
      <w:r>
        <w:rPr>
          <w:color w:val="1E1E1E"/>
          <w:sz w:val="18"/>
        </w:rPr>
        <w:t>De acordo com o art. 158, IV, “a”, da Constituição Federal, pertencem aos Municípios 25% (vinte e cinto por cento) do produto da arrecadação do ICMS. (...) A extinção do crédito tributário por compensação ou transação implica aumento da disponibilidade de receita e impõe ao Estado o dever de entregar a respectiva quota aos Municípios, porque receita pública é fenômeno anterior ao recolhimento do imposto. A quitação ocorre, contabilmente, mediante supressão de passivo, sem ingresso de valores ao erário, havendo comutatividade entre o benefício obtido e o implemento do contribuinte.</w:t>
        <w:br/>
        <w:t xml:space="preserve">[ADI 3.837, </w:t>
      </w:r>
    </w:p>
    <w:p>
      <w:pPr>
        <w:ind w:left="288"/>
      </w:pPr>
      <w:r>
        <w:rPr>
          <w:color w:val="8C8C8C"/>
          <w:sz w:val="12"/>
        </w:rPr>
        <w:t>cf-art-169-par-2-inc-I</w:t>
      </w:r>
    </w:p>
    <w:p>
      <w:pPr>
        <w:ind w:left="288"/>
      </w:pPr>
      <w:r>
        <w:rPr>
          <w:color w:val="1E1E1E"/>
          <w:sz w:val="18"/>
        </w:rPr>
        <w:t>II - 10% (dez por cento) com base em indicadores de melhoria nos resultados de aprendizagem e de aumento da equidade, considerado o nível socioeconômico dos educandos, de acordo com o que dispuser lei estadual; (Incluído pela EC n. 132/2023) III - 5% (cinco por cento) com base em indicadores de preservação ambiental, de acordo com o que dispuser lei estadual; (Incluído pela EC n. 132/2023) IV - 5% (cinco por cento) em montantes iguais para todos os Municípios do Estado. (Incluído pela EC n. 132/2023)</w:t>
      </w:r>
    </w:p>
    <w:p>
      <w:pPr>
        <w:ind w:left="288"/>
      </w:pPr>
      <w:r>
        <w:rPr>
          <w:color w:val="8C8C8C"/>
          <w:sz w:val="12"/>
        </w:rPr>
        <w:t>cf-art-169-par-2-inc-I-ali-f</w:t>
      </w:r>
    </w:p>
    <w:p>
      <w:pPr>
        <w:ind w:left="288"/>
      </w:pPr>
      <w:r>
        <w:rPr>
          <w:color w:val="1E1E1E"/>
          <w:sz w:val="18"/>
        </w:rPr>
        <w:t>Art. 159-A. Fica instituído o Fundo Nacional de Desenvolvimento Regional, com o objetivo de reduzir as desigualdades regionais e sociais, nos termos do art. 3º, III, mediante a entrega de recursos da União aos Estados e ao Distrito Federal para: (Incluído pela EC n. 132/2023)</w:t>
      </w:r>
    </w:p>
    <w:p>
      <w:pPr>
        <w:ind w:left="288"/>
      </w:pPr>
      <w:r>
        <w:rPr>
          <w:color w:val="8C8C8C"/>
          <w:sz w:val="12"/>
        </w:rPr>
        <w:t>cf-art-169-par-2-inc-II</w:t>
      </w:r>
    </w:p>
    <w:p>
      <w:pPr>
        <w:ind w:left="288"/>
      </w:pPr>
      <w:r>
        <w:rPr>
          <w:color w:val="1E1E1E"/>
          <w:sz w:val="18"/>
        </w:rPr>
        <w:t>III - promoção de ações com vistas ao desenvolvimento científico e tecnológico e à inovação. (Incluído pela EC n. 132/2023)</w:t>
      </w:r>
    </w:p>
    <w:p>
      <w:pPr>
        <w:ind w:left="288"/>
      </w:pPr>
      <w:r>
        <w:rPr>
          <w:color w:val="8C8C8C"/>
          <w:sz w:val="12"/>
        </w:rPr>
        <w:t>cf-art-169-par-4-inc-I</w:t>
      </w:r>
    </w:p>
    <w:p>
      <w:pPr>
        <w:ind w:left="288"/>
      </w:pPr>
      <w:r>
        <w:rPr>
          <w:color w:val="1E1E1E"/>
          <w:sz w:val="18"/>
        </w:rPr>
        <w:t>II - coeficiente individual de participação do Estado ou do Distrito Federal nos recursos de que trata o art. 159, I, a, da Constituição Federal, com peso de 70% (setenta por cento). (Incluído pela EC n. 132/2023)</w:t>
      </w:r>
    </w:p>
    <w:p>
      <w:pPr>
        <w:ind w:left="288"/>
      </w:pPr>
      <w:r>
        <w:rPr>
          <w:color w:val="8C8C8C"/>
          <w:sz w:val="12"/>
        </w:rPr>
        <w:t>cf-art-169-par-5</w:t>
      </w:r>
    </w:p>
    <w:p>
      <w:pPr>
        <w:ind w:left="288"/>
      </w:pPr>
      <w:r>
        <w:rPr>
          <w:color w:val="1E1E1E"/>
          <w:sz w:val="18"/>
        </w:rPr>
        <w:t>§ 2º Os contratos, os acordos, os ajustes, os convênios, os parcelamentos ou as renegociações de débitos de qualquer espécie, inclusive tributários, firmados pela União com os entes federativos conterão cláusulas para autorizar a dedução dos valores devidos dos montantes a serem repassados relacionados às respectivas cotas nos Fundos de Participação ou aos precatórios federais. (Incluído pela EC n. 113/2021) VIII - sustentabilidade da dívida, especificando: (Incluído pela EC n. 109/2021)</w:t>
      </w:r>
    </w:p>
    <w:p>
      <w:pPr>
        <w:ind w:left="288"/>
      </w:pPr>
      <w:r>
        <w:rPr>
          <w:color w:val="8C8C8C"/>
          <w:sz w:val="12"/>
        </w:rPr>
        <w:t>cf-art-169-par-5-ali-e</w:t>
      </w:r>
      <w:r>
        <w:rPr>
          <w:color w:val="003CA0"/>
          <w:sz w:val="12"/>
        </w:rPr>
        <w:t xml:space="preserve"> | ADI 7.697</w:t>
      </w:r>
      <w:r>
        <w:rPr>
          <w:color w:val="003CA0"/>
          <w:sz w:val="12"/>
        </w:rPr>
        <w:t xml:space="preserve"> | rel. Flávio Dino</w:t>
      </w:r>
    </w:p>
    <w:p>
      <w:pPr>
        <w:ind w:left="288"/>
      </w:pPr>
      <w:r>
        <w:rPr>
          <w:color w:val="1E1E1E"/>
          <w:sz w:val="18"/>
        </w:rPr>
        <w:t>IX - condições e limites para concessão, ampliação ou prorrogação de incentivo ou benefício de natureza tributária. (Incluído pela EC n. 135/2024) Parágrafo único. A lei complementar de que trata o inciso VIII do caput deste artigo pode autorizar a aplicação das vedações previstas no art. 167-A desta Constituição. (Incluído pela EC n. 109/2021) Art. 163-A. A União, os Estados, o Distrito Federal e os Municípios disponibilizarão suas informações e dados contábeis, orçamentários e fiscais, conforme periodicidade, formato e sistema estabelecidos pelo órgão central de contabilidade da União, de fo</w:t>
      </w:r>
    </w:p>
    <w:p>
      <w:pPr>
        <w:ind w:left="288"/>
      </w:pPr>
      <w:r>
        <w:rPr>
          <w:b/>
          <w:color w:val="003CA0"/>
          <w:sz w:val="16"/>
        </w:rPr>
        <w:t>[ADPF 1.230 REF, rel. min. Cristiano Zanin, j. 06.08.2025, P, DJE de 13.08.2025.]</w:t>
      </w:r>
    </w:p>
    <w:p>
      <w:pPr>
        <w:ind w:left="288"/>
      </w:pPr>
      <w:r>
        <w:rPr>
          <w:color w:val="8C8C8C"/>
          <w:sz w:val="12"/>
        </w:rPr>
        <w:t>cf-art-169-par-5-ali-e</w:t>
      </w:r>
      <w:r>
        <w:rPr>
          <w:color w:val="003CA0"/>
          <w:sz w:val="12"/>
        </w:rPr>
        <w:t xml:space="preserve"> | RE 1.007.271</w:t>
      </w:r>
      <w:r>
        <w:rPr>
          <w:color w:val="003CA0"/>
          <w:sz w:val="12"/>
        </w:rPr>
        <w:t xml:space="preserve"> | rel. Edson Fachin</w:t>
      </w:r>
    </w:p>
    <w:p>
      <w:pPr>
        <w:ind w:left="288"/>
      </w:pPr>
      <w:r>
        <w:rPr>
          <w:color w:val="1E1E1E"/>
          <w:sz w:val="18"/>
        </w:rPr>
        <w:t>É constitucional a previsão, em lei federal, de medidas sancionatórias ao ente federativo que descumprir os critérios e exigências aplicáveis aos regimes próprios de previdência social. Admite-se o controle judicial das exigências feitas pela União no exercício da fiscalização desses regimes. Nesse caso, o ente fiscalizado deverá demonstrar, de forma técnica: (i) a inexistência do déficit atuarial apontado; ou, (ii) caso reconheça o desequilíbrio, a impertinência das medidas impostas pela União e a existência de plano alternativo capaz de assegurar, de maneira equivalente, a sustentabilidade d</w:t>
      </w:r>
    </w:p>
    <w:p>
      <w:pPr>
        <w:ind w:left="288"/>
      </w:pPr>
      <w:r>
        <w:rPr>
          <w:b/>
          <w:color w:val="003CA0"/>
          <w:sz w:val="16"/>
        </w:rPr>
        <w:t>[RE 1.007.271, rel. min. Edson Fachin, red. do ac. min. Flávio Dino, j. 13.12.2024, P, DJE de 13.02.2025, Tema 968, com mérito julgado.]</w:t>
      </w:r>
    </w:p>
    <w:p>
      <w:pPr>
        <w:ind w:left="288"/>
      </w:pPr>
      <w:r>
        <w:rPr>
          <w:color w:val="8C8C8C"/>
          <w:sz w:val="12"/>
        </w:rPr>
        <w:t>cf-art-169-par-5-ali-e</w:t>
      </w:r>
    </w:p>
    <w:p>
      <w:pPr>
        <w:ind w:left="288"/>
      </w:pPr>
      <w:r>
        <w:rPr>
          <w:color w:val="1E1E1E"/>
          <w:sz w:val="18"/>
        </w:rPr>
        <w:t>Parágrafo único. A elaboração e a execução de planos e orçamentos devem refletir a compatibilidade dos indicadores fiscais com a sustentabilidade da dívida. (Incluído pela EC n. 109/2021) III - dispor sobre critérios para a execução equitativa, além de procedimentos que serão adotados quando houver impedimentos legais e técnicos, cumprimento de restos a pagar e limitação das programações de caráter obrigatório, para a realização do disposto nos §§ 11 e 12 do art. 166. (Redação da EC 100/2019) § 10. A administração tem o dever de executar as programações orçamentárias, adotando os meios e as me</w:t>
      </w:r>
    </w:p>
    <w:p>
      <w:pPr>
        <w:ind w:left="288"/>
      </w:pPr>
      <w:r>
        <w:rPr>
          <w:color w:val="8C8C8C"/>
          <w:sz w:val="12"/>
        </w:rPr>
        <w:t>cf-art-169-par-5-inc-II</w:t>
      </w:r>
      <w:r>
        <w:rPr>
          <w:color w:val="003CA0"/>
          <w:sz w:val="12"/>
        </w:rPr>
        <w:t xml:space="preserve"> | ADPF 854</w:t>
      </w:r>
      <w:r>
        <w:rPr>
          <w:color w:val="003CA0"/>
          <w:sz w:val="12"/>
        </w:rPr>
        <w:t xml:space="preserve"> | rel. Flávio Dino</w:t>
      </w:r>
    </w:p>
    <w:p>
      <w:pPr>
        <w:ind w:left="288"/>
      </w:pPr>
      <w:r>
        <w:rPr>
          <w:color w:val="1E1E1E"/>
          <w:sz w:val="18"/>
        </w:rPr>
        <w:t>O processo orçamentário, regido pela Constituição, exige atuação parlamentar regular e presencial, sendo a apresentação de emendas prerrogativa inerente ao exercício efetivo do mandato legislativo. Disso decorre a impossibilidade de parlamentares situados permanentemente no exterior influenciarem na destinação de recursos públicos por meio de emendas ao Orçamento da União. Impedimento de ordem técnica, nos termos dos arts. 165, § 11, II, e 166, § 13, da Constituição, e art. 10, XXIII, da LC 210/2024, configurado pela afronta aos princípios da legalidade e da moralidade (art. 37, caput, da CF),</w:t>
      </w:r>
    </w:p>
    <w:p>
      <w:pPr>
        <w:ind w:left="288"/>
      </w:pPr>
      <w:r>
        <w:rPr>
          <w:b/>
          <w:color w:val="003CA0"/>
          <w:sz w:val="16"/>
        </w:rPr>
        <w:t>[ADPF 854 REF-quarto, rel. min. Flávio Dino, j. 9-2-2026, P, DJE de 23-2-2026.]</w:t>
      </w:r>
    </w:p>
    <w:p>
      <w:pPr>
        <w:ind w:left="288"/>
      </w:pPr>
      <w:r>
        <w:rPr>
          <w:color w:val="8C8C8C"/>
          <w:sz w:val="12"/>
        </w:rPr>
        <w:t>cf-art-169-par-5-inc-II</w:t>
      </w:r>
      <w:r>
        <w:rPr>
          <w:color w:val="003CA0"/>
          <w:sz w:val="12"/>
        </w:rPr>
        <w:t xml:space="preserve"> | ADI 5.274</w:t>
      </w:r>
      <w:r>
        <w:rPr>
          <w:color w:val="003CA0"/>
          <w:sz w:val="12"/>
        </w:rPr>
        <w:t xml:space="preserve"> | rel. Cármen Lúcia</w:t>
      </w:r>
    </w:p>
    <w:p>
      <w:pPr>
        <w:ind w:left="288"/>
      </w:pPr>
      <w:r>
        <w:rPr>
          <w:color w:val="1E1E1E"/>
          <w:sz w:val="18"/>
        </w:rPr>
        <w:t>III - aplica-se exclusivamente às despesas primárias discricionárias. (Incluído pela EC 102/2019) § 12.  Integrará a lei de diretrizes orçamentárias, para o exercício a que se refere e, pelo menos, para os 2 (dois) exercícios subsequentes, anexo com previsão de agregados fiscais e a proporção dos recursos para investimentos que serão alocados na lei orçamentária anual para a continuidade daqueles em andamento. (Incluído pela EC 102/2019) § 13. O disposto no inciso III do § 9º e nos §§ 10, 11 e 12 deste artigo aplica-se exclusivamente aos orçamentos fiscal e da seguridade social da União. (Incl</w:t>
      </w:r>
    </w:p>
    <w:p>
      <w:pPr>
        <w:ind w:left="288"/>
      </w:pPr>
      <w:r>
        <w:rPr>
          <w:b/>
          <w:color w:val="003CA0"/>
          <w:sz w:val="16"/>
        </w:rPr>
        <w:t>[ADI 5.274, rel. min. Cármen Lúcia, j. 19-10-2021, Plenário, DJE de 30-11-2021.]</w:t>
      </w:r>
    </w:p>
    <w:p>
      <w:pPr>
        <w:ind w:left="288"/>
      </w:pPr>
      <w:r>
        <w:rPr>
          <w:color w:val="8C8C8C"/>
          <w:sz w:val="12"/>
        </w:rPr>
        <w:t>cf-art-169-par-5-inc-II</w:t>
      </w:r>
      <w:r>
        <w:rPr>
          <w:color w:val="003CA0"/>
          <w:sz w:val="12"/>
        </w:rPr>
        <w:t xml:space="preserve"> | ADI 6.308</w:t>
      </w:r>
      <w:r>
        <w:rPr>
          <w:color w:val="003CA0"/>
          <w:sz w:val="12"/>
        </w:rPr>
        <w:t xml:space="preserve"> | rel. Roberto Barroso</w:t>
      </w:r>
    </w:p>
    <w:p>
      <w:pPr>
        <w:ind w:left="288"/>
      </w:pPr>
      <w:r>
        <w:rPr>
          <w:color w:val="1E1E1E"/>
          <w:sz w:val="18"/>
        </w:rPr>
        <w:t>Ação direta de inconstitucionalidade contra dispositivos da Constituição do Estado de Roraima, da Lei de Diretrizes Orçamentárias e da Lei Orçamentária Anual (para o exercício de 2020) desse mesmo ente federado. As normas impugnadas estabelecem, em síntese, limites para aprovação de emendas parlamentares impositivas em patamar diferente do imposto pelo art. 166, §§ 9º e 12, da CF/1988, com a redação dada pelas Emendas Constitucionais 86/2015 e nº 100/2019, e pelo art. 2º da EC 100/2019. (...) A figura das emendas parlamentares impositivas em matéria de orçamento público, tanto individuais como</w:t>
      </w:r>
    </w:p>
    <w:p>
      <w:pPr>
        <w:ind w:left="288"/>
      </w:pPr>
      <w:r>
        <w:rPr>
          <w:color w:val="8C8C8C"/>
          <w:sz w:val="12"/>
        </w:rPr>
        <w:t>cf-art-169-par-5-inc-II</w:t>
      </w:r>
      <w:r>
        <w:rPr>
          <w:color w:val="003CA0"/>
          <w:sz w:val="12"/>
        </w:rPr>
        <w:t xml:space="preserve"> | ADI 7.060</w:t>
      </w:r>
      <w:r>
        <w:rPr>
          <w:color w:val="003CA0"/>
          <w:sz w:val="12"/>
        </w:rPr>
        <w:t xml:space="preserve"> | rel. Dias Toffoli</w:t>
      </w:r>
    </w:p>
    <w:p>
      <w:pPr>
        <w:ind w:left="288"/>
      </w:pPr>
      <w:r>
        <w:rPr>
          <w:color w:val="1E1E1E"/>
          <w:sz w:val="18"/>
        </w:rPr>
        <w:t>A Emenda Constitucional nº 86, promulgada em 17 de março de 2015, originária da “PEC do Orçamento Impositivo”, passou a prever as chamadas emendas impositivas à Lei Orçamentária Anual (LOA) e representa uma exceção às emendas parlamentares autorizativas, tendo por escopo tornar obrigatória a execução das emendas parlamentares individuais (art. 166, § 11, da CF).</w:t>
        <w:br/>
        <w:t>[ADI 7.060, rel. min. Dias Toffoli, j. 3-7-2023, P, DJE de 3-8-2023.] § 12. A garantia de execução de que trata o § 11 deste artigo aplica-se também às programações incluídas por todas as emendas de iniciativa de bancada de parlamentar</w:t>
      </w:r>
    </w:p>
    <w:p>
      <w:pPr>
        <w:ind w:left="288"/>
      </w:pPr>
      <w:r>
        <w:rPr>
          <w:color w:val="8C8C8C"/>
          <w:sz w:val="12"/>
        </w:rPr>
        <w:t>cf-art-169-par-5-inc-II</w:t>
      </w:r>
      <w:r>
        <w:rPr>
          <w:color w:val="003CA0"/>
          <w:sz w:val="12"/>
        </w:rPr>
        <w:t xml:space="preserve"> | ADI 6.308</w:t>
      </w:r>
      <w:r>
        <w:rPr>
          <w:color w:val="003CA0"/>
          <w:sz w:val="12"/>
        </w:rPr>
        <w:t xml:space="preserve"> | rel. Roberto Barroso</w:t>
      </w:r>
    </w:p>
    <w:p>
      <w:pPr>
        <w:ind w:left="288"/>
      </w:pPr>
      <w:r>
        <w:rPr>
          <w:color w:val="1E1E1E"/>
          <w:sz w:val="18"/>
        </w:rPr>
        <w:t>Ação direta de inconstitucionalidade contra dispositivos da Constituição do Estado de Roraima, da Lei de Diretrizes Orçamentárias e da Lei Orçamentária Anual (para o exercício de 2020) desse mesmo ente federado. As normas impugnadas estabelecem, em síntese, limites para aprovação de emendas parlamentares impositivas em patamar diferente do imposto pelo art. 166, §§ 9º e 12, da CF/1988, com a redação dada pelas Emendas Constitucionais 86/2015 e 100/2019, e pelo art. 2º da EC 100/2019. (...) A figura das emendas parlamentares impositivas em matéria de orçamento público, tanto individuais como co</w:t>
      </w:r>
    </w:p>
    <w:p>
      <w:pPr>
        <w:ind w:left="288"/>
      </w:pPr>
      <w:r>
        <w:rPr>
          <w:b/>
          <w:color w:val="003CA0"/>
          <w:sz w:val="16"/>
        </w:rPr>
        <w:t>[ADPF 854 REF-quarto, rel. min. Flávio Dino, j. 9-2-2026, P, DJE de 23-2-2026.]</w:t>
      </w:r>
    </w:p>
    <w:p>
      <w:pPr>
        <w:ind w:left="288"/>
      </w:pPr>
      <w:r>
        <w:rPr>
          <w:color w:val="8C8C8C"/>
          <w:sz w:val="12"/>
        </w:rPr>
        <w:t>cf-art-169-par-5-inc-II</w:t>
      </w:r>
    </w:p>
    <w:p>
      <w:pPr>
        <w:ind w:left="288"/>
      </w:pPr>
      <w:r>
        <w:rPr>
          <w:color w:val="1E1E1E"/>
          <w:sz w:val="18"/>
        </w:rPr>
        <w:t>§ 14. Para fins de cumprimento do disposto nos §§ 11 e 12 deste artigo, os órgãos de execução deverão observar, nos termos da lei de diretrizes orçamentárias, cronograma para análise e verificação de eventuais impedimentos das programações e demais procedimentos necessários à viabilização da execução dos respectivos montantes. (Redação da EC 100/2019)</w:t>
      </w:r>
    </w:p>
    <w:p>
      <w:pPr>
        <w:ind w:left="288"/>
      </w:pPr>
      <w:r>
        <w:rPr>
          <w:color w:val="8C8C8C"/>
          <w:sz w:val="12"/>
        </w:rPr>
        <w:t>cf-art-169-par-5-inc-II</w:t>
      </w:r>
    </w:p>
    <w:p>
      <w:pPr>
        <w:ind w:left="288"/>
      </w:pPr>
      <w:r>
        <w:rPr>
          <w:color w:val="1E1E1E"/>
          <w:sz w:val="18"/>
        </w:rPr>
        <w:t>III - (revogado); (Redação da EC 100/2019) IV - (revogado). (Redação da EC 100/2019) § 15. (Revogado) (Redação da EC 100/2019) § 16. Quando a transferência obrigatória da União para a execução da programação prevista nos §§ 11 e 12 deste artigo for destinada a Estados, ao Distrito Federal e a Municípios, independerá da adimplência do ente federativo destinatário e não integrará a base de cálculo da receita corrente líquida para fins de aplicação dos limites de despesa de pessoal de que trata o caput do art. 169. (Redação da EC 100/2019) § 17. Os restos a pagar provenientes das programações orç</w:t>
      </w:r>
    </w:p>
    <w:p>
      <w:pPr>
        <w:ind w:left="288"/>
      </w:pPr>
      <w:r>
        <w:rPr>
          <w:color w:val="8C8C8C"/>
          <w:sz w:val="12"/>
        </w:rPr>
        <w:t>cf-art-169-par-5-inc-II</w:t>
      </w:r>
      <w:r>
        <w:rPr>
          <w:color w:val="003CA0"/>
          <w:sz w:val="12"/>
        </w:rPr>
        <w:t xml:space="preserve"> | ADI 5.274</w:t>
      </w:r>
      <w:r>
        <w:rPr>
          <w:color w:val="003CA0"/>
          <w:sz w:val="12"/>
        </w:rPr>
        <w:t xml:space="preserve"> | rel. Cármen Lúcia</w:t>
      </w:r>
    </w:p>
    <w:p>
      <w:pPr>
        <w:ind w:left="288"/>
      </w:pPr>
      <w:r>
        <w:rPr>
          <w:color w:val="1E1E1E"/>
          <w:sz w:val="18"/>
        </w:rPr>
        <w:t>Ao enumerarem percentuais específicos para as emendas impositivas, de execução obrigatória, os §§ 9º a 20 do art. 166 da Constituição da República buscaram compatibilizar a discricionariedade do Executivo e a importância do Legislativo na elaboração do orçamento, harmonizando e reequilibrando a divisão entre os Poderes. As Emendas Constitucionais 86/2015 e 100/2019 reforçaram o anterior caráter autorizativo das previsões orçamentárias, nos termos da norma constitucional originária, modificada desde as alterações da Constituição da República. A norma questionada, promulgada em 18.12.2014, foi i</w:t>
      </w:r>
    </w:p>
    <w:p>
      <w:pPr>
        <w:ind w:left="288"/>
      </w:pPr>
      <w:r>
        <w:rPr>
          <w:b/>
          <w:color w:val="003CA0"/>
          <w:sz w:val="16"/>
        </w:rPr>
        <w:t>[ADI 5.274, rel. min. Cármen Lúcia, j. 19-10-2021, Plenário, DJE de 30-11-2021.]</w:t>
      </w:r>
    </w:p>
    <w:p>
      <w:pPr>
        <w:ind w:left="288"/>
      </w:pPr>
      <w:r>
        <w:rPr>
          <w:color w:val="8C8C8C"/>
          <w:sz w:val="12"/>
        </w:rPr>
        <w:t>cf-art-169-par-5-inc-II</w:t>
      </w:r>
      <w:r>
        <w:rPr>
          <w:color w:val="003CA0"/>
          <w:sz w:val="12"/>
        </w:rPr>
        <w:t xml:space="preserve"> | ADI 7.697</w:t>
      </w:r>
      <w:r>
        <w:rPr>
          <w:color w:val="003CA0"/>
          <w:sz w:val="12"/>
        </w:rPr>
        <w:t xml:space="preserve"> | rel. Flávio Dino</w:t>
      </w:r>
    </w:p>
    <w:p>
      <w:pPr>
        <w:ind w:left="288"/>
      </w:pPr>
      <w:r>
        <w:rPr>
          <w:color w:val="1E1E1E"/>
          <w:sz w:val="18"/>
        </w:rPr>
        <w:t>Art. 166-A. As emendas individuais impositivas apresentadas ao projeto de lei orçamentária anual poderão alocar recursos a Estados, ao Distrito Federal e a Municípios por meio de: (Incluído pela EC 105/2019) Não é compatível com a Constituição Federal a execução de emendas ao orçamento que não obedeçam a critérios técnicos de eficiência, transparência e rastreabilidade, de modo que fica impedida qualquer interpretação que confira caráter absoluto à impositividade de emendas parlamentares. É dever do Poder Executivo aferir, de modo motivado e transparente, se as emendas parlamentares estão apta</w:t>
      </w:r>
    </w:p>
    <w:p>
      <w:pPr>
        <w:ind w:left="288"/>
      </w:pPr>
      <w:r>
        <w:rPr>
          <w:color w:val="8C8C8C"/>
          <w:sz w:val="12"/>
        </w:rPr>
        <w:t>cf-art-169-par-5-inc-II</w:t>
      </w:r>
    </w:p>
    <w:p>
      <w:pPr>
        <w:ind w:left="288"/>
      </w:pPr>
      <w:r>
        <w:rPr>
          <w:color w:val="1E1E1E"/>
          <w:sz w:val="18"/>
        </w:rPr>
        <w:t>§ 1º Os recursos transferidos na forma do caput deste artigo não integrarão a receita do Estado, do Distrito Federal e dos Municípios para fins de repartição e para o cálculo dos limites da despesa com pessoal ativo e inativo, nos termos do § 16 do art. 166, e de endividamento do ente federado, vedada, em qualquer caso, a aplicação dos recursos a que se refere o caput deste artigo no pagamento de: (Incluído pela EC 105/2019)</w:t>
      </w:r>
    </w:p>
    <w:p>
      <w:pPr>
        <w:ind w:left="288"/>
      </w:pPr>
      <w:r>
        <w:rPr>
          <w:color w:val="8C8C8C"/>
          <w:sz w:val="12"/>
        </w:rPr>
        <w:t>cf-art-169-par-2-inc-II</w:t>
      </w:r>
    </w:p>
    <w:p>
      <w:pPr>
        <w:ind w:left="288"/>
      </w:pPr>
      <w:r>
        <w:rPr>
          <w:color w:val="1E1E1E"/>
          <w:sz w:val="18"/>
        </w:rPr>
        <w:t>III - serão aplicadas em programações finalísticas das áreas de competência do Poder Executivo do ente federado beneficiado, observado o disposto no § 5º deste artigo. (Incluído pela EC 105/2019)</w:t>
      </w:r>
    </w:p>
    <w:p>
      <w:pPr>
        <w:ind w:left="288"/>
      </w:pPr>
      <w:r>
        <w:rPr>
          <w:color w:val="8C8C8C"/>
          <w:sz w:val="12"/>
        </w:rPr>
        <w:t>cf-art-169-par-5</w:t>
      </w:r>
    </w:p>
    <w:p>
      <w:pPr>
        <w:ind w:left="288"/>
      </w:pPr>
      <w:r>
        <w:rPr>
          <w:color w:val="1E1E1E"/>
          <w:sz w:val="18"/>
        </w:rPr>
        <w:t>§ 5º A transposição, o remanejamento ou a transferência de recursos de uma categoria de programação para outra poderão ser admitidos, no âmbito das atividades de ciência, tecnologia e inovação, com o objetivo de viabilizar os resultados de projetos restritos a essas funções, mediante ato do Poder Executivo, sem necessidade da prévia autorização legislativa prevista no inciso VI deste artigo. (Incluído pela EC 85/2015) § 6º Para fins da apuração ao término do exercício financeiro do cumprimento do limite de que trata o inciso III do caput deste artigo, as receitas das operações de crédito efetu</w:t>
      </w:r>
    </w:p>
    <w:p>
      <w:pPr>
        <w:ind w:left="288"/>
      </w:pPr>
      <w:r>
        <w:rPr>
          <w:color w:val="8C8C8C"/>
          <w:sz w:val="12"/>
        </w:rPr>
        <w:t>cf-art-169-par-5-inc-II</w:t>
      </w:r>
    </w:p>
    <w:p>
      <w:pPr>
        <w:ind w:left="288"/>
      </w:pPr>
      <w:r>
        <w:rPr>
          <w:color w:val="1E1E1E"/>
          <w:sz w:val="18"/>
        </w:rPr>
        <w:t>III - alteração de estrutura de carreira que implique aumento de despesa; (Incluído pela EC n. 109/2021) IV - admissão ou contratação de pessoal, a qualquer título, ressalvadas: (Incluído pela EC n. 109/2021)</w:t>
      </w:r>
    </w:p>
    <w:p>
      <w:pPr>
        <w:ind w:left="288"/>
      </w:pPr>
      <w:r>
        <w:rPr>
          <w:color w:val="8C8C8C"/>
          <w:sz w:val="12"/>
        </w:rPr>
        <w:t>cf-art-169-par-5-inc-II-ali-d</w:t>
      </w:r>
    </w:p>
    <w:p>
      <w:pPr>
        <w:ind w:left="288"/>
      </w:pPr>
      <w:r>
        <w:rPr>
          <w:color w:val="1E1E1E"/>
          <w:sz w:val="18"/>
        </w:rPr>
        <w:t>V - realização de concurso público, exceto para as reposições de vacâncias previstas no inciso IV deste caput; (Incluído pela EC 109/2021) VI - criação ou majoração de auxílios, vantagens, bônus, abonos, verbas de representação ou benefícios de qualquer natureza, inclusive os de cunho indenizatório, em favor de membros de Poder, do Ministério Público ou da Defensoria Pública e de servidores e empregados públicos e de militares, ou ainda de seus dependentes, exceto quando derivados de sentença judicial transitada em julgado ou de determinação legal anterior ao início da aplicação das medidas de</w:t>
      </w:r>
    </w:p>
    <w:p>
      <w:pPr>
        <w:ind w:left="288"/>
      </w:pPr>
      <w:r>
        <w:rPr>
          <w:color w:val="8C8C8C"/>
          <w:sz w:val="12"/>
        </w:rPr>
        <w:t>cf-art-169-par-3-inc-II</w:t>
      </w:r>
    </w:p>
    <w:p>
      <w:pPr>
        <w:ind w:left="288"/>
      </w:pPr>
      <w:r>
        <w:rPr>
          <w:color w:val="1E1E1E"/>
          <w:sz w:val="18"/>
        </w:rPr>
        <w:t>III - apurado que não mais se verifica a hipótese prevista no § 1º deste artigo, mesmo após a sua aprovação pelo Poder Legislativo. (Incluído pela EC 109/2021)</w:t>
      </w:r>
    </w:p>
    <w:p>
      <w:pPr>
        <w:ind w:left="288"/>
      </w:pPr>
      <w:r>
        <w:rPr>
          <w:color w:val="8C8C8C"/>
          <w:sz w:val="12"/>
        </w:rPr>
        <w:t>cf-art-169-par-6-inc-I</w:t>
      </w:r>
    </w:p>
    <w:p>
      <w:pPr>
        <w:ind w:left="288"/>
      </w:pPr>
      <w:r>
        <w:rPr>
          <w:color w:val="1E1E1E"/>
          <w:sz w:val="18"/>
        </w:rPr>
        <w:t>II - a tomada de operação de crédito por parte do ente envolvido com outro ente da Federação, diretamente ou por intermédio de seus fundos, autarquias, fundações ou empresas estatais dependentes, ainda que sob a forma de novação, refinanciamento ou postergação de dívida contraída anteriormente, ressalvados os financiamentos destinados a projetos específicos celebrados na forma de operações típicas das agências financeiras oficiais de fomento. (Incluído pela EC 109/2021) Art. 167-B. Durante a vigência de estado de calamidade pública de âmbito nacional, decretado pelo Congresso Nacional por inic</w:t>
      </w:r>
    </w:p>
    <w:p>
      <w:pPr>
        <w:ind w:left="288"/>
      </w:pPr>
      <w:r>
        <w:rPr>
          <w:color w:val="8C8C8C"/>
          <w:sz w:val="12"/>
        </w:rPr>
        <w:t>cf-art-169-par-6-inc-I</w:t>
      </w:r>
      <w:r>
        <w:rPr>
          <w:color w:val="003CA0"/>
          <w:sz w:val="12"/>
        </w:rPr>
        <w:t xml:space="preserve"> | ADI 6.970</w:t>
      </w:r>
      <w:r>
        <w:rPr>
          <w:color w:val="003CA0"/>
          <w:sz w:val="12"/>
        </w:rPr>
        <w:t xml:space="preserve"> | rel. Cármen Lúcia</w:t>
      </w:r>
    </w:p>
    <w:p>
      <w:pPr>
        <w:ind w:left="288"/>
      </w:pPr>
      <w:r>
        <w:rPr>
          <w:color w:val="1E1E1E"/>
          <w:sz w:val="18"/>
        </w:rPr>
        <w:t>Lei n. 14.128, de 26 de março de 2021. Compensação financeira aos trabalhadores da área da saúde. Covid-19. Morte ou incapacitação permanente para o trabalho. (...) Enfrentamento da crise sanitária causada pela covid-19 e de suas consequências sociais e econômicas. Art. 167-D da Constituição da República. (...) É constitucional a compensação financeira de caráter indenizatório prevista na Lei n. 14.128/2021, inserida no regime fiscal excepcional disposto nas Emendas Constitucionais n. 106/2020 e n. 109/2021, no contexto de enfrentamento das “consequências sociais e econômicas” da crise sanitár</w:t>
      </w:r>
    </w:p>
    <w:p>
      <w:pPr>
        <w:ind w:left="288"/>
      </w:pPr>
      <w:r>
        <w:rPr>
          <w:b/>
          <w:color w:val="003CA0"/>
          <w:sz w:val="16"/>
        </w:rPr>
        <w:t>[ADI 6.970, rel. min. Cármen Lúcia, j. 16-8-2022, P, DJE de 29-8-2022.]</w:t>
      </w:r>
    </w:p>
    <w:p>
      <w:pPr>
        <w:ind w:left="288"/>
      </w:pPr>
      <w:r>
        <w:rPr>
          <w:color w:val="8C8C8C"/>
          <w:sz w:val="12"/>
        </w:rPr>
        <w:t>cf-art-169-par-6-inc-I</w:t>
      </w:r>
    </w:p>
    <w:p>
      <w:pPr>
        <w:ind w:left="288"/>
      </w:pPr>
      <w:r>
        <w:rPr>
          <w:color w:val="1E1E1E"/>
          <w:sz w:val="18"/>
        </w:rPr>
        <w:t>Parágrafo único. Durante a vigência da calamidade pública de âmbito nacional de que trata o art. 167-B, não se aplica o disposto no § 3º do art. 195 desta Constituição. (Incluído pela EC 109/2021) Art. 167-E. Fica dispensada, durante a integralidade do exercício financeiro em que vigore a calamidade pública de âmbito nacional, a observância do inciso III do caput do art. 167 desta Constituição. (Incluído pela EC 109/2021) Art. 167-F. Durante a vigência da calamidade pública de âmbito nacional de que trata o art. 167-B desta Constituição: (Incluído pela EC 109/2021) I - são dispensados, durante</w:t>
      </w:r>
    </w:p>
    <w:p>
      <w:pPr>
        <w:ind w:left="288"/>
      </w:pPr>
      <w:r>
        <w:rPr>
          <w:color w:val="8C8C8C"/>
          <w:sz w:val="12"/>
        </w:rPr>
        <w:t>cf-art-169-par-2-inc-II</w:t>
      </w:r>
    </w:p>
    <w:p>
      <w:pPr>
        <w:ind w:left="288"/>
      </w:pPr>
      <w:r>
        <w:rPr>
          <w:color w:val="1E1E1E"/>
          <w:sz w:val="18"/>
        </w:rPr>
        <w:t>III - destinadas ao registro de receitas oriundas da arrecadação de doações ou de empréstimos compulsórios, de transferências recebidas para o atendimento de finalidades determinadas ou das receitas de capital produto de operações de financiamento celebradas com finalidades contratualmente determinadas. (Incluído pela EC 109/2021) Art. 167-G. Na hipótese de que trata o art. 167-B, aplicam-se à União, até o término da calamidade pública, as vedações previstas no art. 167-A desta Constituição. (Incluído pela EC 109/2021)</w:t>
      </w:r>
    </w:p>
    <w:p>
      <w:pPr>
        <w:ind w:left="288"/>
      </w:pPr>
      <w:r>
        <w:rPr>
          <w:color w:val="8C8C8C"/>
          <w:sz w:val="12"/>
        </w:rPr>
        <w:t>cf-art-169-par-1</w:t>
      </w:r>
    </w:p>
    <w:p>
      <w:pPr>
        <w:ind w:left="288"/>
      </w:pPr>
      <w:r>
        <w:rPr>
          <w:color w:val="1E1E1E"/>
          <w:sz w:val="18"/>
        </w:rPr>
        <w:t xml:space="preserve">§ 2º Na hipótese de que trata o art. 167-B, não se aplica a alínea "c" do inciso I do caput do art. 159 desta Constituição, devendo a transferência a que se refere aquele dispositivo ser efetuada nos mesmos montantes transferidos no exercício anterior à decretação da calamidade. (Incluído pela EC 109/2021) § 3º É facultada aos Estados, ao Distrito Federal e aos Municípios a aplicação das vedações referidas no caput, nos termos deste artigo, e, até que as tenham adotado na integralidade, estarão submetidos às restrições do § 6º do art. 167-A desta Constituição, enquanto perdurarem seus efeitos </w:t>
      </w:r>
    </w:p>
    <w:p>
      <w:pPr>
        <w:ind w:left="144"/>
      </w:pPr>
      <w:r>
        <w:rPr>
          <w:b/>
          <w:color w:val="B45A00"/>
          <w:sz w:val="16"/>
        </w:rPr>
        <w:t>JULGADOS CORRELATOS</w:t>
      </w:r>
    </w:p>
    <w:p>
      <w:pPr>
        <w:ind w:left="288"/>
      </w:pPr>
      <w:r>
        <w:rPr>
          <w:color w:val="8C8C8C"/>
          <w:sz w:val="12"/>
        </w:rPr>
        <w:t>cf-art-169-par-1</w:t>
      </w:r>
      <w:r>
        <w:rPr>
          <w:color w:val="003CA0"/>
          <w:sz w:val="12"/>
        </w:rPr>
        <w:t xml:space="preserve"> | SS 5.638</w:t>
      </w:r>
      <w:r>
        <w:rPr>
          <w:color w:val="003CA0"/>
          <w:sz w:val="12"/>
        </w:rPr>
        <w:t xml:space="preserve"> | rel. Rosa Weber</w:t>
      </w:r>
    </w:p>
    <w:p>
      <w:pPr>
        <w:ind w:left="288"/>
      </w:pPr>
      <w:r>
        <w:rPr>
          <w:color w:val="1E1E1E"/>
          <w:sz w:val="18"/>
        </w:rPr>
        <w:t>Desde a EC nº 109/2021, acha-se expressamente vedada a transferência de valores oriundos de repasses duodecimais a fundos, assim como apropriação pelo órgão dos valores não utilizados no exercício, cabendo o repasse das sobras orçamentárias ao caixa único do Tesouro do ente federado (CF, art. 168, §§ 1º e 2º).</w:t>
        <w:br/>
        <w:t>[SS 5.638 MC-REF, rel. min. Rosa Weber, j. 25-9-2023, P, DJE de 2-10-2023.]</w:t>
      </w:r>
    </w:p>
    <w:p>
      <w:pPr>
        <w:ind w:left="288"/>
      </w:pPr>
      <w:r>
        <w:rPr>
          <w:color w:val="8C8C8C"/>
          <w:sz w:val="12"/>
        </w:rPr>
        <w:t>cf-art-169-par-2</w:t>
      </w:r>
      <w:r>
        <w:rPr>
          <w:color w:val="003CA0"/>
          <w:sz w:val="12"/>
        </w:rPr>
        <w:t xml:space="preserve"> | SS 5.638</w:t>
      </w:r>
      <w:r>
        <w:rPr>
          <w:color w:val="003CA0"/>
          <w:sz w:val="12"/>
        </w:rPr>
        <w:t xml:space="preserve"> | rel. Rosa Weber</w:t>
      </w:r>
    </w:p>
    <w:p>
      <w:pPr>
        <w:ind w:left="288"/>
      </w:pPr>
      <w:r>
        <w:rPr>
          <w:color w:val="1E1E1E"/>
          <w:sz w:val="18"/>
        </w:rPr>
        <w:t>Desde a EC nº 109/2021, acha-se expressamente vedada a transferência de valores oriundos de repasses duodecimais a fundos, assim como apropriação pelo órgão dos valores não utilizados no exercício, cabendo o repasse das sobras orçamentárias ao caixa único do Tesouro do ente federado (CF, art. 168, §§ 1º e 2º).</w:t>
        <w:br/>
        <w:t>[SS 5.638 MC-REF, rel. min. Rosa Weber, j. 25-9-2023, P, DJE de 2-10-2023.] TÍTULO VII Da Ordem Econômica e Financeira SUMÁRIO CAPÍTULO I Dos Princípios Gerais da Atividade Econômica SUMÁRIO</w:t>
      </w:r>
    </w:p>
    <w:p>
      <w:pPr>
        <w:ind w:left="432"/>
      </w:pPr>
      <w:r>
        <w:rPr>
          <w:color w:val="003366"/>
          <w:sz w:val="18"/>
        </w:rPr>
        <w:t>§ 1 A concessão de qualquer vantagem ou aumento de remuneração, a criação de car</w:t>
      </w:r>
    </w:p>
    <w:p>
      <w:pPr>
        <w:ind w:left="720"/>
      </w:pPr>
      <w:r>
        <w:rPr>
          <w:color w:val="003366"/>
          <w:sz w:val="18"/>
        </w:rPr>
        <w:t>I – se houver prévia dotação orçamentária suficiente para atender às projeções d</w:t>
      </w:r>
    </w:p>
    <w:p>
      <w:pPr>
        <w:ind w:left="720"/>
      </w:pPr>
      <w:r>
        <w:rPr>
          <w:color w:val="003366"/>
          <w:sz w:val="18"/>
        </w:rPr>
        <w:t>II – se houver autorização específica na lei de diretrizes orçamentárias, ressal</w:t>
      </w:r>
    </w:p>
    <w:p>
      <w:pPr>
        <w:ind w:left="432"/>
      </w:pPr>
      <w:r>
        <w:rPr>
          <w:color w:val="003366"/>
          <w:sz w:val="18"/>
        </w:rPr>
        <w:t>§ 2 Decorrido o prazo estabelecido na lei complementar referida neste artigo par</w:t>
      </w:r>
    </w:p>
    <w:p>
      <w:pPr>
        <w:ind w:left="432"/>
      </w:pPr>
      <w:r>
        <w:rPr>
          <w:color w:val="003366"/>
          <w:sz w:val="18"/>
        </w:rPr>
        <w:t xml:space="preserve">§ 3 Para o cumprimento dos limites estabelecidos com base neste artigo, durante </w:t>
      </w:r>
    </w:p>
    <w:p>
      <w:pPr>
        <w:ind w:left="720"/>
      </w:pPr>
      <w:r>
        <w:rPr>
          <w:color w:val="003366"/>
          <w:sz w:val="18"/>
        </w:rPr>
        <w:t xml:space="preserve">I – redução em pelo menos vinte por cento das despesas com cargos em comissão e </w:t>
      </w:r>
    </w:p>
    <w:p>
      <w:pPr>
        <w:ind w:left="720"/>
      </w:pPr>
      <w:r>
        <w:rPr>
          <w:color w:val="003366"/>
          <w:sz w:val="18"/>
        </w:rPr>
        <w:t>II – exoneração dos servidores não estáveis. (Incluído pela Emenda Constituciona</w:t>
      </w:r>
    </w:p>
    <w:p>
      <w:pPr>
        <w:ind w:left="432"/>
      </w:pPr>
      <w:r>
        <w:rPr>
          <w:color w:val="003366"/>
          <w:sz w:val="18"/>
        </w:rPr>
        <w:t xml:space="preserve">§ 4 Se as medidas adotadas com base no parágrafo anterior não forem suficientes </w:t>
      </w:r>
    </w:p>
    <w:p>
      <w:pPr>
        <w:ind w:left="432"/>
      </w:pPr>
      <w:r>
        <w:rPr>
          <w:color w:val="003366"/>
          <w:sz w:val="18"/>
        </w:rPr>
        <w:t>§ 5 O servidor que perder o cargo na forma do parágrafo anterior fará jus a inde</w:t>
      </w:r>
    </w:p>
    <w:p>
      <w:pPr>
        <w:ind w:left="432"/>
      </w:pPr>
      <w:r>
        <w:rPr>
          <w:color w:val="003366"/>
          <w:sz w:val="18"/>
        </w:rPr>
        <w:t>§ 6 O cargo objeto da redução prevista nos parágrafos anteriores será considerad</w:t>
      </w:r>
    </w:p>
    <w:p>
      <w:pPr>
        <w:ind w:left="432"/>
      </w:pPr>
      <w:r>
        <w:rPr>
          <w:color w:val="003366"/>
          <w:sz w:val="18"/>
        </w:rPr>
        <w:t xml:space="preserve">§ 7 Lei federal disporá sobre as normas gerais a serem obedecidas na efetivação </w:t>
      </w:r>
    </w:p>
    <w:p>
      <w:pPr>
        <w:pStyle w:val="Heading1"/>
      </w:pPr>
      <w:r>
        <w:rPr>
          <w:color w:val="003366"/>
        </w:rPr>
        <w:t>TÍTULO VII</w:t>
      </w:r>
    </w:p>
    <w:p>
      <w:pPr>
        <w:pStyle w:val="Heading2"/>
      </w:pPr>
      <w:r>
        <w:rPr>
          <w:color w:val="003366"/>
        </w:rPr>
        <w:t>CAPÍTULO I - DOS PRINCÍPIOS GERAIS DA ATIVIDADE ECONÔMICA</w:t>
      </w:r>
    </w:p>
    <w:p>
      <w:r>
        <w:rPr>
          <w:b/>
          <w:color w:val="003366"/>
          <w:sz w:val="20"/>
        </w:rPr>
        <w:t>Art. 170 A ordem econômica, fundada na valorização do trabalho humano e na livre</w:t>
      </w:r>
      <w:r>
        <w:rPr>
          <w:color w:val="8C8C8C"/>
          <w:sz w:val="14"/>
        </w:rPr>
        <w:t xml:space="preserve">  [86 decisoes]</w:t>
      </w:r>
    </w:p>
    <w:p>
      <w:pPr>
        <w:ind w:left="288"/>
      </w:pPr>
      <w:r>
        <w:rPr>
          <w:color w:val="8C8C8C"/>
          <w:sz w:val="12"/>
        </w:rPr>
        <w:t>cf-art-170</w:t>
      </w:r>
      <w:r>
        <w:rPr>
          <w:color w:val="003CA0"/>
          <w:sz w:val="12"/>
        </w:rPr>
        <w:t xml:space="preserve"> | ADI 7.596</w:t>
      </w:r>
      <w:r>
        <w:rPr>
          <w:color w:val="003CA0"/>
          <w:sz w:val="12"/>
        </w:rPr>
        <w:t xml:space="preserve"> | rel. Nunes Marques</w:t>
      </w:r>
    </w:p>
    <w:p>
      <w:pPr>
        <w:ind w:left="288"/>
      </w:pPr>
      <w:r>
        <w:rPr>
          <w:color w:val="1E1E1E"/>
          <w:sz w:val="18"/>
        </w:rPr>
        <w:t>O RenovaBio, instituído pela Lei n. 13.576/2017, concretiza compromissos internacionais de mitigação de gases de efeito estufa assumidos pelo Brasil no Acordo de Paris, consubstanciando política pública voltada à transição energética e à sustentabilidade ambiental. (...) O princípio do poluidor-pagador é observado na medida em que o ônus da política ambiental recai verdadeiramente sobre os consumidores que optam por combustíveis fósseis. A disciplina legal não ofende os princípios da livre iniciativa e da livre concorrência, uma vez que o programa estabelece regras uniformes para todos os dist</w:t>
      </w:r>
    </w:p>
    <w:p>
      <w:pPr>
        <w:ind w:left="288"/>
      </w:pPr>
      <w:r>
        <w:rPr>
          <w:b/>
          <w:color w:val="003CA0"/>
          <w:sz w:val="16"/>
        </w:rPr>
        <w:t>[ADI 7.596 e ADI 7.617, rel. min. Nunes Marques, j. 17.11.2025, P, DJE de 24.11.2025.]</w:t>
      </w:r>
    </w:p>
    <w:p>
      <w:pPr>
        <w:ind w:left="288"/>
      </w:pPr>
      <w:r>
        <w:rPr>
          <w:color w:val="8C8C8C"/>
          <w:sz w:val="12"/>
        </w:rPr>
        <w:t>cf-art-170</w:t>
      </w:r>
      <w:r>
        <w:rPr>
          <w:color w:val="003CA0"/>
          <w:sz w:val="12"/>
        </w:rPr>
        <w:t xml:space="preserve"> | ADPF 1.058</w:t>
      </w:r>
      <w:r>
        <w:rPr>
          <w:color w:val="003CA0"/>
          <w:sz w:val="12"/>
        </w:rPr>
        <w:t xml:space="preserve"> | rel. Gilmar Mendes</w:t>
      </w:r>
    </w:p>
    <w:p>
      <w:pPr>
        <w:ind w:left="288"/>
      </w:pPr>
      <w:r>
        <w:rPr>
          <w:color w:val="1E1E1E"/>
          <w:sz w:val="18"/>
        </w:rPr>
        <w:t xml:space="preserve">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(CLT/1943, art. 4º, § 2º). (...) É inconstitucional — por violar os princípios da legalidade, da livre iniciativa e da intervenção mínima </w:t>
      </w:r>
    </w:p>
    <w:p>
      <w:pPr>
        <w:ind w:left="288"/>
      </w:pPr>
      <w:r>
        <w:rPr>
          <w:b/>
          <w:color w:val="003CA0"/>
          <w:sz w:val="16"/>
        </w:rPr>
        <w:t>[ADPF 1.058 MC-Ref, rel. min. Gilmar Mendes, j. 13-11-2025, P, Informativo STF 1.199.]</w:t>
      </w:r>
    </w:p>
    <w:p>
      <w:pPr>
        <w:ind w:left="288"/>
      </w:pPr>
      <w:r>
        <w:rPr>
          <w:color w:val="8C8C8C"/>
          <w:sz w:val="12"/>
        </w:rPr>
        <w:t>cf-art-170</w:t>
      </w:r>
      <w:r>
        <w:rPr>
          <w:color w:val="003CA0"/>
          <w:sz w:val="12"/>
        </w:rPr>
        <w:t xml:space="preserve"> | ADI 7.379</w:t>
      </w:r>
      <w:r>
        <w:rPr>
          <w:color w:val="003CA0"/>
          <w:sz w:val="12"/>
        </w:rPr>
        <w:t xml:space="preserve"> | rel. Gilmar Mendes</w:t>
      </w:r>
    </w:p>
    <w:p>
      <w:pPr>
        <w:ind w:left="288"/>
      </w:pPr>
      <w:r>
        <w:rPr>
          <w:color w:val="1E1E1E"/>
          <w:sz w:val="18"/>
        </w:rPr>
        <w:t>Trata-se de ação direta de inconstitucionalidade ajuizada pela Associação Brasileira de Provedores de Internet e Telecomunicações – ABRINT contra o artigo 1º, § 7º, da Lei Estadual nº 17.649/2018, de Santa Catarina, que condiciona a fruição de regime especial de ICMS à equivalência de preços entre serviços de comunicação multimídia (SCM) ofertados isoladamente e em conjunto com serviços de valor adicionado (SVAs). (...) Inexiste ofensa aos princípios da livre iniciativa e da ordem econômica, pois não há imposição de regras de precificação às empresas, mas simples condicionamento à fruição de u</w:t>
      </w:r>
    </w:p>
    <w:p>
      <w:pPr>
        <w:ind w:left="288"/>
      </w:pPr>
      <w:r>
        <w:rPr>
          <w:b/>
          <w:color w:val="003CA0"/>
          <w:sz w:val="16"/>
        </w:rPr>
        <w:t>[ADI 7.379, rel. min. Gilmar Mendes, j. 22.09.2025, P, DJE de 01.10.2025.]</w:t>
      </w:r>
    </w:p>
    <w:p>
      <w:pPr>
        <w:ind w:left="288"/>
      </w:pPr>
      <w:r>
        <w:rPr>
          <w:color w:val="8C8C8C"/>
          <w:sz w:val="12"/>
        </w:rPr>
        <w:t>cf-art-170</w:t>
      </w:r>
      <w:r>
        <w:rPr>
          <w:color w:val="003CA0"/>
          <w:sz w:val="12"/>
        </w:rPr>
        <w:t xml:space="preserve"> | ADI 7.640</w:t>
      </w:r>
      <w:r>
        <w:rPr>
          <w:color w:val="003CA0"/>
          <w:sz w:val="12"/>
        </w:rPr>
        <w:t xml:space="preserve"> | rel. Luiz Fux</w:t>
      </w:r>
    </w:p>
    <w:p>
      <w:pPr>
        <w:ind w:left="288"/>
      </w:pPr>
      <w:r>
        <w:rPr>
          <w:color w:val="1E1E1E"/>
          <w:sz w:val="18"/>
        </w:rPr>
        <w:t>A União, no exercício de sua competência legislativa privativa sobre o serviço de loterias, não pode instituir tratamento diferenciado entre os entes federativos, privilegiando determinados Estados em detrimento de outros ou privilegiando a si própria em detrimento dos Estados-membros, mediante a obstaculização do exercício de competências materiais franqueadas aos Estados pela Constituição. (...) À luz dos princípios da livre iniciativa e da livre concorrência, fundamentos da ordem econômica constitucional, o exercício de atividades econômicas por particulares deve ser protegido da coerção ar</w:t>
      </w:r>
    </w:p>
    <w:p>
      <w:pPr>
        <w:ind w:left="288"/>
      </w:pPr>
      <w:r>
        <w:rPr>
          <w:b/>
          <w:color w:val="003CA0"/>
          <w:sz w:val="16"/>
        </w:rPr>
        <w:t>[ADI 7.640, rel. min. Luiz Fux, j. 15.09.2025, P, DJE de 12.11.2025.]</w:t>
      </w:r>
    </w:p>
    <w:p>
      <w:pPr>
        <w:ind w:left="288"/>
      </w:pPr>
      <w:r>
        <w:rPr>
          <w:color w:val="8C8C8C"/>
          <w:sz w:val="12"/>
        </w:rPr>
        <w:t>cf-art-170</w:t>
      </w:r>
      <w:r>
        <w:rPr>
          <w:color w:val="003CA0"/>
          <w:sz w:val="12"/>
        </w:rPr>
        <w:t xml:space="preserve"> | ADI 7.719</w:t>
      </w:r>
      <w:r>
        <w:rPr>
          <w:color w:val="003CA0"/>
          <w:sz w:val="12"/>
        </w:rPr>
        <w:t xml:space="preserve"> | rel. Dias Toffoli</w:t>
      </w:r>
    </w:p>
    <w:p>
      <w:pPr>
        <w:ind w:left="288"/>
      </w:pPr>
      <w:r>
        <w:rPr>
          <w:color w:val="1E1E1E"/>
          <w:sz w:val="18"/>
        </w:rPr>
        <w:t>“São inconstitucionais as leis que obrigam supermercados ou similares a fornecer gratuitamente sacolas ou embalagens para as compras, por violação do princípio da livre iniciativa (arts. 1º, inciso IV, e 170 da Constituição).”</w:t>
      </w:r>
    </w:p>
    <w:p>
      <w:pPr>
        <w:ind w:left="288"/>
      </w:pPr>
      <w:r>
        <w:rPr>
          <w:b/>
          <w:color w:val="003CA0"/>
          <w:sz w:val="16"/>
        </w:rPr>
        <w:t>[ADI 7.719, rel. min. Dias Toffoli, j. 19.08.2025, P, DJE de 15.09.2025.]</w:t>
      </w:r>
    </w:p>
    <w:p>
      <w:pPr>
        <w:ind w:left="288"/>
      </w:pPr>
      <w:r>
        <w:rPr>
          <w:color w:val="8C8C8C"/>
          <w:sz w:val="12"/>
        </w:rPr>
        <w:t>cf-art-170</w:t>
      </w:r>
      <w:r>
        <w:rPr>
          <w:color w:val="003CA0"/>
          <w:sz w:val="12"/>
        </w:rPr>
        <w:t xml:space="preserve"> | ADPF 165</w:t>
      </w:r>
      <w:r>
        <w:rPr>
          <w:color w:val="003CA0"/>
          <w:sz w:val="12"/>
        </w:rPr>
        <w:t xml:space="preserve"> | rel. Cristiano Zanin</w:t>
      </w:r>
    </w:p>
    <w:p>
      <w:pPr>
        <w:ind w:left="288"/>
      </w:pPr>
      <w:r>
        <w:rPr>
          <w:color w:val="1E1E1E"/>
          <w:sz w:val="18"/>
        </w:rPr>
        <w:t>1. É constitucional a adoção dos Planos Econômicos Bresser, Verão, Collor I e Collor II, por configurarem medidas legítimas de política econômica voltadas à preservação da ordem monetária. 2. A homologação do acordo coletivo firmado entre instituições financeiras e entidades representativas de poupadores possui eficácia para a solução de demandas individuais e coletivas relativas aos expurgos inflacionários, sem necessidade de manifestação individual de todos os interessados.</w:t>
      </w:r>
    </w:p>
    <w:p>
      <w:pPr>
        <w:ind w:left="288"/>
      </w:pPr>
      <w:r>
        <w:rPr>
          <w:b/>
          <w:color w:val="003CA0"/>
          <w:sz w:val="16"/>
        </w:rPr>
        <w:t>[ADPF 165, rel. min. Cristiano Zanin, j. 26.05.2025, P, DJE de 10.06.2025.]</w:t>
      </w:r>
    </w:p>
    <w:p>
      <w:pPr>
        <w:ind w:left="288"/>
      </w:pPr>
      <w:r>
        <w:rPr>
          <w:color w:val="8C8C8C"/>
          <w:sz w:val="12"/>
        </w:rPr>
        <w:t>cf-art-170</w:t>
      </w:r>
      <w:r>
        <w:rPr>
          <w:color w:val="003CA0"/>
          <w:sz w:val="12"/>
        </w:rPr>
        <w:t xml:space="preserve"> | ADI 5.826</w:t>
      </w:r>
      <w:r>
        <w:rPr>
          <w:color w:val="003CA0"/>
          <w:sz w:val="12"/>
        </w:rPr>
        <w:t xml:space="preserve"> | rel. Edson Fachin</w:t>
      </w:r>
    </w:p>
    <w:p>
      <w:pPr>
        <w:ind w:left="288"/>
      </w:pPr>
      <w:r>
        <w:rPr>
          <w:color w:val="1E1E1E"/>
          <w:sz w:val="18"/>
        </w:rPr>
        <w:t xml:space="preserve">Contrato de trabalho intermitente. Regras instituídas pela Lei nº 13.467/2017 e pela Medida Provisória nº 808/2017. (...) A regulamentação do contrato intermitente, nos termos estabelecidos pelas normas questionadas, encontra fundamento de validade nos arts. 1º, IV, e 170, caput, da Constituição Federal, os quais consagram a livre iniciativa e o valor social do trabalho. A flexibilização promovida pela Reforma Trabalhista visa à ampliação do mercado de trabalho, sem prejuízo das garantias mínimas asseguradas pela ordem constitucional trabalhista. Uma vez que a contratação intermitente observa </w:t>
      </w:r>
    </w:p>
    <w:p>
      <w:pPr>
        <w:ind w:left="288"/>
      </w:pPr>
      <w:r>
        <w:rPr>
          <w:b/>
          <w:color w:val="003CA0"/>
          <w:sz w:val="16"/>
        </w:rPr>
        <w:t>[ADI 5.826 e ADI 5.829, rel. min. Edson Fachin, red. do ac. min. Nunes Marques, j. 16.12.2024, P, DJE de 13.02.2025.]</w:t>
      </w:r>
    </w:p>
    <w:p>
      <w:pPr>
        <w:ind w:left="288"/>
      </w:pPr>
      <w:r>
        <w:rPr>
          <w:color w:val="8C8C8C"/>
          <w:sz w:val="12"/>
        </w:rPr>
        <w:t>cf-art-170</w:t>
      </w:r>
      <w:r>
        <w:rPr>
          <w:color w:val="003CA0"/>
          <w:sz w:val="12"/>
        </w:rPr>
        <w:t xml:space="preserve"> | ADI 5.431</w:t>
      </w:r>
      <w:r>
        <w:rPr>
          <w:color w:val="003CA0"/>
          <w:sz w:val="12"/>
        </w:rPr>
        <w:t xml:space="preserve"> | rel. Gilmar Mendes</w:t>
      </w:r>
    </w:p>
    <w:p>
      <w:pPr>
        <w:ind w:left="288"/>
      </w:pPr>
      <w:r>
        <w:rPr>
          <w:color w:val="1E1E1E"/>
          <w:sz w:val="18"/>
        </w:rPr>
        <w:t>Responsabilidade solidária do representante, no país, do transportador estrangeiro pelo recolhimento do imposto de importação. (...) parágrafo único do art. 32 do Decreto-Lei 37/1966, com a redação conferida pelo art. 77 da Medida Provisória 2.158-35/2001. (...) A norma impugnada não afronta os princípios constitucionais da vedação ao confisco, da capacidade contributiva e da livre iniciativa, porque o representante do transportador estrangeiro, na condição de terceira pessoa vinculada ao fato gerador da obrigação tributária relacionada à atividade de importação, possui responsabilidade pelo c</w:t>
      </w:r>
    </w:p>
    <w:p>
      <w:pPr>
        <w:ind w:left="288"/>
      </w:pPr>
      <w:r>
        <w:rPr>
          <w:b/>
          <w:color w:val="003CA0"/>
          <w:sz w:val="16"/>
        </w:rPr>
        <w:t>[ADI 5.431, rel. min. Gilmar Mendes, j. 02.12.2024, P, DJE de 06.12.2024.]</w:t>
      </w:r>
    </w:p>
    <w:p>
      <w:pPr>
        <w:ind w:left="144"/>
      </w:pPr>
      <w:r>
        <w:rPr>
          <w:b/>
          <w:color w:val="B45A00"/>
          <w:sz w:val="16"/>
        </w:rPr>
        <w:t>CONTROLE CONCENTRADO</w:t>
      </w:r>
    </w:p>
    <w:p>
      <w:pPr>
        <w:ind w:left="288"/>
      </w:pPr>
      <w:r>
        <w:rPr>
          <w:color w:val="8C8C8C"/>
          <w:sz w:val="12"/>
        </w:rPr>
        <w:t>cf-art-170</w:t>
      </w:r>
      <w:r>
        <w:rPr>
          <w:color w:val="003CA0"/>
          <w:sz w:val="12"/>
        </w:rPr>
        <w:t xml:space="preserve"> | ADI 4.849</w:t>
      </w:r>
      <w:r>
        <w:rPr>
          <w:color w:val="003CA0"/>
          <w:sz w:val="12"/>
        </w:rPr>
        <w:t xml:space="preserve"> | rel. Luiz Fux</w:t>
      </w:r>
    </w:p>
    <w:p>
      <w:pPr>
        <w:ind w:left="288"/>
      </w:pPr>
      <w:r>
        <w:rPr>
          <w:color w:val="1E1E1E"/>
          <w:sz w:val="18"/>
        </w:rPr>
        <w:t>Limitações impostas pelo legislador ao alcance da legislação das cooperativas de trabalho. Restrição efetuada pelo legislador à luz de critérios técnicos. Respeito aos princípios atinentes ao regime jurídico das cooperativas. Observância do princípio da proporcionalidade. Inocorrência de violação ao princípio da livre iniciativa e ao livre exercício de atividade profissional.</w:t>
        <w:br/>
        <w:t>[ADI 4.849, rel. min. Luiz Fux, j. 07.05.2024, P, DJE de 22.05.2024.] Ao contribuinte alegadamente inadimplente é garantido o direito de insurgir-se contra a exigência tributária que repute indevida ou a aplicação de rest</w:t>
      </w:r>
    </w:p>
    <w:p>
      <w:pPr>
        <w:ind w:left="288"/>
      </w:pPr>
      <w:r>
        <w:rPr>
          <w:b/>
          <w:color w:val="003CA0"/>
          <w:sz w:val="16"/>
        </w:rPr>
        <w:t>[ADI 3.952, rel. min. Joaquim Barbosa, red. do ac. min, Cármen Lúcia, j. 29.11.2023, P, DJE de 08.03.2024.]</w:t>
      </w:r>
    </w:p>
    <w:p>
      <w:pPr>
        <w:ind w:left="288"/>
      </w:pPr>
      <w:r>
        <w:rPr>
          <w:color w:val="8C8C8C"/>
          <w:sz w:val="12"/>
        </w:rPr>
        <w:t>cf-art-170</w:t>
      </w:r>
      <w:r>
        <w:rPr>
          <w:color w:val="003CA0"/>
          <w:sz w:val="12"/>
        </w:rPr>
        <w:t xml:space="preserve"> | ADI 6.218</w:t>
      </w:r>
      <w:r>
        <w:rPr>
          <w:color w:val="003CA0"/>
          <w:sz w:val="12"/>
        </w:rPr>
        <w:t xml:space="preserve"> | rel. Nunes Marques</w:t>
      </w:r>
    </w:p>
    <w:p>
      <w:pPr>
        <w:ind w:left="288"/>
      </w:pPr>
      <w:r>
        <w:rPr>
          <w:color w:val="1E1E1E"/>
          <w:sz w:val="18"/>
        </w:rPr>
        <w:t>A livre iniciativa (CF, art. 1º, IV e 170, caput) não se revela um fim em si mesmo, mas um meio para atingir os objetivos fundamentais da República, inclusive a tutela e preservação do meio ambiente para as presentes e futuras gerações (CF, art. 225).</w:t>
        <w:br/>
        <w:t>[ADI 6.218, rel. min. Nunes Marques, red. do ac. min. Rosa Weber, j. 3-7-2023, P, DJE de 21-8-2023.] Art. 171 da Constituição Estadual do Mato Grosso. Prestação de serviços financeiros ao estado. Desrespeito à livre iniciativa. (...) “É inconstitucional dispositivo de Constituição estadual que veda a prestação de serviços de arrecadação e movimen</w:t>
      </w:r>
    </w:p>
    <w:p>
      <w:pPr>
        <w:ind w:left="288"/>
      </w:pPr>
      <w:r>
        <w:rPr>
          <w:b/>
          <w:color w:val="003CA0"/>
          <w:sz w:val="16"/>
        </w:rPr>
        <w:t>[ADI 4.017 e ADI 4.103, rel. min. Luiz Fux, j. 19-5-2022, P, DJE de 23-9-2022.]</w:t>
      </w:r>
    </w:p>
    <w:p>
      <w:pPr>
        <w:ind w:left="288"/>
      </w:pPr>
      <w:r>
        <w:rPr>
          <w:color w:val="8C8C8C"/>
          <w:sz w:val="12"/>
        </w:rPr>
        <w:t>cf-art-170</w:t>
      </w:r>
      <w:r>
        <w:rPr>
          <w:color w:val="003CA0"/>
          <w:sz w:val="12"/>
        </w:rPr>
        <w:t xml:space="preserve"> | ADI 4.637</w:t>
      </w:r>
      <w:r>
        <w:rPr>
          <w:color w:val="003CA0"/>
          <w:sz w:val="12"/>
        </w:rPr>
        <w:t xml:space="preserve"> | rel. Gilmar Mendes</w:t>
      </w:r>
    </w:p>
    <w:p>
      <w:pPr>
        <w:ind w:left="288"/>
      </w:pPr>
      <w:r>
        <w:rPr>
          <w:color w:val="1E1E1E"/>
          <w:sz w:val="18"/>
        </w:rPr>
        <w:t>Empresa Individual de Responsabilidade Limitada (EIRELI). Art. 980–A do Código Civil, com redação dada pelo Art. 2º da Lei 12.441, de 11 de julho de 2011. Exigência de integralização de capital social não inferior a 100 (cem) vezes o maior salário-mínimo vigente no País. Constitucionalidade. (...) Livre iniciativa. Art. 170 da Constituição Federal. Ausência de violação. Inexistência de obstáculo ao livre exercício de atividade econômica. A exigência de capital social mínimo não impede o livre exercício de atividade econômica, é requisito para limitação da responsabilidade do empresário.</w:t>
      </w:r>
    </w:p>
    <w:p>
      <w:pPr>
        <w:ind w:left="288"/>
      </w:pPr>
      <w:r>
        <w:rPr>
          <w:b/>
          <w:color w:val="003CA0"/>
          <w:sz w:val="16"/>
        </w:rPr>
        <w:t>[ADI 4.637, rel. min. Gilmar Mendes, j. 7-12-2020, P, DJE de 4-2-2021.]</w:t>
      </w:r>
    </w:p>
    <w:p>
      <w:pPr>
        <w:ind w:left="288"/>
      </w:pPr>
      <w:r>
        <w:rPr>
          <w:color w:val="8C8C8C"/>
          <w:sz w:val="12"/>
        </w:rPr>
        <w:t>cf-art-170</w:t>
      </w:r>
      <w:r>
        <w:rPr>
          <w:color w:val="003CA0"/>
          <w:sz w:val="12"/>
        </w:rPr>
        <w:t xml:space="preserve"> | ADI 5.452</w:t>
      </w:r>
      <w:r>
        <w:rPr>
          <w:color w:val="003CA0"/>
          <w:sz w:val="12"/>
        </w:rPr>
        <w:t xml:space="preserve"> | rel. Cármen Lúcia</w:t>
      </w:r>
    </w:p>
    <w:p>
      <w:pPr>
        <w:ind w:left="288"/>
      </w:pPr>
      <w:r>
        <w:rPr>
          <w:color w:val="1E1E1E"/>
          <w:sz w:val="18"/>
        </w:rPr>
        <w:t>O caput do art. 52 da Lei 13.146/2015, pelo qual fixada cota de veículos adaptados a pessoas com deficiência em locadoras, consubstancia disciplina legítima da ordem econômica. Não se vislumbra, na espécie, contrariedade ao princípio da livre iniciativa, porque concretiza os direitos fundamentais de mobilidade pessoal e de acesso a tecnologia assistiva.</w:t>
      </w:r>
    </w:p>
    <w:p>
      <w:pPr>
        <w:ind w:left="288"/>
      </w:pPr>
      <w:r>
        <w:rPr>
          <w:b/>
          <w:color w:val="003CA0"/>
          <w:sz w:val="16"/>
        </w:rPr>
        <w:t>[ADI 5.452, voto da rel. min. Cármen Lúcia, j. 22-8-2020, P, DJE de 6-10-2020.]</w:t>
      </w:r>
    </w:p>
    <w:p>
      <w:pPr>
        <w:ind w:left="288"/>
      </w:pPr>
      <w:r>
        <w:rPr>
          <w:color w:val="8C8C8C"/>
          <w:sz w:val="12"/>
        </w:rPr>
        <w:t>cf-art-170</w:t>
      </w:r>
      <w:r>
        <w:rPr>
          <w:color w:val="003CA0"/>
          <w:sz w:val="12"/>
        </w:rPr>
        <w:t xml:space="preserve"> | ADI 6.375</w:t>
      </w:r>
    </w:p>
    <w:p>
      <w:pPr>
        <w:ind w:left="288"/>
      </w:pPr>
      <w:r>
        <w:rPr>
          <w:color w:val="1E1E1E"/>
          <w:sz w:val="18"/>
        </w:rPr>
        <w:t>(...) a Medida Provisória 927/2020 foi editada para tentar atenuar os trágicos efeitos sociais e econômicos decorrentes da pandemia do coronavírus (covid-19), reconhecida pelo Decreto Legislativo 6/2020. Com efeito, os dispositivos da referida MP são direcionados à manutenção de empregos e da atividade empresarial, de modo a permitir a conciliação entre esse binômio (manutenção de empregos e atividade empresarial) durante o período de pandemia. Dessa forma, observo que, em rigor, essas medidas emergenciais não seriam inconstitucionais, uma vez que pretendem compatibilizar os valores sociais do</w:t>
      </w:r>
    </w:p>
    <w:p>
      <w:pPr>
        <w:ind w:left="288"/>
      </w:pPr>
      <w:r>
        <w:rPr>
          <w:b/>
          <w:color w:val="003CA0"/>
          <w:sz w:val="16"/>
        </w:rPr>
        <w:t>[ADI 6.375 MC, voto do red. do ac. min. Alexandre de Moraes, j. 11-5-2020, P, DJE de 9-11-2020.]</w:t>
      </w:r>
    </w:p>
    <w:p>
      <w:pPr>
        <w:ind w:left="288"/>
      </w:pPr>
      <w:r>
        <w:rPr>
          <w:color w:val="8C8C8C"/>
          <w:sz w:val="12"/>
        </w:rPr>
        <w:t>cf-art-170</w:t>
      </w:r>
      <w:r>
        <w:rPr>
          <w:color w:val="003CA0"/>
          <w:sz w:val="12"/>
        </w:rPr>
        <w:t xml:space="preserve"> | ADC 48</w:t>
      </w:r>
      <w:r>
        <w:rPr>
          <w:color w:val="003CA0"/>
          <w:sz w:val="12"/>
        </w:rPr>
        <w:t xml:space="preserve"> | rel. Roberto Barroso</w:t>
      </w:r>
    </w:p>
    <w:p>
      <w:pPr>
        <w:ind w:left="288"/>
      </w:pPr>
      <w:r>
        <w:rPr>
          <w:color w:val="1E1E1E"/>
          <w:sz w:val="18"/>
        </w:rPr>
        <w:t>É legítima a terceirização das atividades-fim de uma empresa. Como já foi decidido pelo Supremo Tribunal Federal, a Constituição não impõe uma única forma de estruturar a produção. Ao contrário, o princípio constitucional da livre iniciativa garante aos agentes econômicos liberdade para eleger suas estratégias empresariais dentro do marco vigente (CF/1988, art. 170).</w:t>
      </w:r>
    </w:p>
    <w:p>
      <w:pPr>
        <w:ind w:left="288"/>
      </w:pPr>
      <w:r>
        <w:rPr>
          <w:b/>
          <w:color w:val="003CA0"/>
          <w:sz w:val="16"/>
        </w:rPr>
        <w:t>[ADC 48, rel. min. Roberto Barroso, j. 15-4-2020, P, DJE de 19-5-2020.]</w:t>
      </w:r>
    </w:p>
    <w:p>
      <w:pPr>
        <w:ind w:left="288"/>
      </w:pPr>
      <w:r>
        <w:rPr>
          <w:color w:val="8C8C8C"/>
          <w:sz w:val="12"/>
        </w:rPr>
        <w:t>cf-art-170</w:t>
      </w:r>
      <w:r>
        <w:rPr>
          <w:color w:val="003CA0"/>
          <w:sz w:val="12"/>
        </w:rPr>
        <w:t xml:space="preserve"> | ADI 3.961</w:t>
      </w:r>
      <w:r>
        <w:rPr>
          <w:color w:val="003CA0"/>
          <w:sz w:val="12"/>
        </w:rPr>
        <w:t xml:space="preserve"> | rel. Roberto Barroso</w:t>
      </w:r>
    </w:p>
    <w:p>
      <w:pPr>
        <w:ind w:left="288"/>
      </w:pPr>
      <w:r>
        <w:rPr>
          <w:color w:val="1E1E1E"/>
          <w:sz w:val="18"/>
        </w:rPr>
        <w:t>A Lei 11.442/2007 (i) regulamentou a contratação de transportadores autônomos de carga por proprietários de carga e por empresas transportadoras de carga; (ii) autorizou a terceirização da atividade-fim pelas empresas transportadoras; e (iii) afastou a configuração de vínculo de emprego nessa hipótese. É legítima a terceirização das atividades-fim de uma empresa. Como já foi decidido pelo Supremo Tribunal Federal, a Constituição não impõe uma única forma de estruturar a produção. Ao contrário, o princípio constitucional da livre iniciativa garante aos agentes econômicos liberdade para eleger s</w:t>
      </w:r>
    </w:p>
    <w:p>
      <w:pPr>
        <w:ind w:left="288"/>
      </w:pPr>
      <w:r>
        <w:rPr>
          <w:b/>
          <w:color w:val="003CA0"/>
          <w:sz w:val="16"/>
        </w:rPr>
        <w:t>[ADPF 449, rel. min. Luiz Fux, j. 8-5-2019, P, DJE de 2-9-2019.]</w:t>
      </w:r>
    </w:p>
    <w:p>
      <w:pPr>
        <w:ind w:left="288"/>
      </w:pPr>
      <w:r>
        <w:rPr>
          <w:color w:val="8C8C8C"/>
          <w:sz w:val="12"/>
        </w:rPr>
        <w:t>cf-art-170</w:t>
      </w:r>
      <w:r>
        <w:rPr>
          <w:color w:val="003CA0"/>
          <w:sz w:val="12"/>
        </w:rPr>
        <w:t xml:space="preserve"> | ADI 2.649</w:t>
      </w:r>
      <w:r>
        <w:rPr>
          <w:color w:val="003CA0"/>
          <w:sz w:val="12"/>
        </w:rPr>
        <w:t xml:space="preserve"> | rel. Cármen Lúcia</w:t>
      </w:r>
    </w:p>
    <w:p>
      <w:pPr>
        <w:ind w:left="288"/>
      </w:pPr>
      <w:r>
        <w:rPr>
          <w:color w:val="1E1E1E"/>
          <w:sz w:val="18"/>
        </w:rPr>
        <w:t>(...) Associação Brasileira das Empresas de Transporte Rodoviário Intermunicipal, Interestadual e Internacional de Passageiros (ABRATI). Constitucionalidade da Lei 8.899, de 29 de junho de 1994, que concede passe livre às pessoas portadoras de deficiência. Alegação de afronta aos princípios da ordem econômica, da isonomia, da livre iniciativa e do direito de propriedade, além de ausência de indicação de fonte de custeio (arts. 1º, IV; 5º, XXII; e 170 da CF): improcedência. Em 30-3-2007, o Brasil assinou, na sede da ONU, a Convenção sobre os Direitos das Pessoas com Deficiência, bem como seu Pr</w:t>
      </w:r>
    </w:p>
    <w:p>
      <w:pPr>
        <w:ind w:left="288"/>
      </w:pPr>
      <w:r>
        <w:rPr>
          <w:b/>
          <w:color w:val="003CA0"/>
          <w:sz w:val="16"/>
        </w:rPr>
        <w:t>[ADI 2.649, rel. min. Cármen Lúcia, j. 8-5-2008, P, DJE de 17-10-2008.]</w:t>
      </w:r>
    </w:p>
    <w:p>
      <w:pPr>
        <w:ind w:left="288"/>
      </w:pPr>
      <w:r>
        <w:rPr>
          <w:color w:val="8C8C8C"/>
          <w:sz w:val="12"/>
        </w:rPr>
        <w:t>cf-art-170</w:t>
      </w:r>
      <w:r>
        <w:rPr>
          <w:color w:val="003CA0"/>
          <w:sz w:val="12"/>
        </w:rPr>
        <w:t xml:space="preserve"> | ADI 845</w:t>
      </w:r>
      <w:r>
        <w:rPr>
          <w:color w:val="003CA0"/>
          <w:sz w:val="12"/>
        </w:rPr>
        <w:t xml:space="preserve"> | rel. Eros Grau</w:t>
      </w:r>
    </w:p>
    <w:p>
      <w:pPr>
        <w:ind w:left="288"/>
      </w:pPr>
      <w:r>
        <w:rPr>
          <w:color w:val="1E1E1E"/>
          <w:sz w:val="18"/>
        </w:rPr>
        <w:t>Os transportes coletivos de passageiros consubstanciam serviço público, área na qual o princípio da livre iniciativa (...) não se expressa como faculdade de criar e explorar atividade econômica a título privado. A prestação desses serviços pelo setor privado dá-se em regime de concessão ou permissão, observado o disposto no art. 175 e seu parágrafo único da CF. A lei estadual deve dispor sobre as condições dessa prestação, quando de serviços públicos da competência do Estado-membro se tratar.</w:t>
      </w:r>
    </w:p>
    <w:p>
      <w:pPr>
        <w:ind w:left="288"/>
      </w:pPr>
      <w:r>
        <w:rPr>
          <w:b/>
          <w:color w:val="003CA0"/>
          <w:sz w:val="16"/>
        </w:rPr>
        <w:t>[ADI 845, rel. min. Eros Grau, j. 22-11-2007, P, DJE de 7-3-2008.]</w:t>
      </w:r>
    </w:p>
    <w:p>
      <w:pPr>
        <w:ind w:left="288"/>
      </w:pPr>
      <w:r>
        <w:rPr>
          <w:color w:val="8C8C8C"/>
          <w:sz w:val="12"/>
        </w:rPr>
        <w:t>cf-art-170</w:t>
      </w:r>
      <w:r>
        <w:rPr>
          <w:color w:val="003CA0"/>
          <w:sz w:val="12"/>
        </w:rPr>
        <w:t xml:space="preserve"> | ADI 3.112</w:t>
      </w:r>
      <w:r>
        <w:rPr>
          <w:color w:val="003CA0"/>
          <w:sz w:val="12"/>
        </w:rPr>
        <w:t xml:space="preserve"> | rel. Ricardo Lewandowski</w:t>
      </w:r>
    </w:p>
    <w:p>
      <w:pPr>
        <w:ind w:left="288"/>
      </w:pPr>
      <w:r>
        <w:rPr>
          <w:color w:val="1E1E1E"/>
          <w:sz w:val="18"/>
        </w:rPr>
        <w:t>No tocante ao art. 35, sustentou-se não apenas a inconstitucionalidade material do dispositivo como também a formal. Esta por ofensa ao art. 49, XV, da Constituição, porque o Congresso Nacional não teria competência para deflagrar a realização de referendo, mas apenas para autorizá-lo; aquela por violar o art. 5º, caput, do mesmo diploma, nos tópicos em que garante o direito individual à segurança e à propriedade. Tenho que tais ponderações encontram-se prejudicadas, assim como o argumento de que teria havido violação ao art. 170, caput, e parágrafo único, da Carta Magna, porquanto o referendo</w:t>
      </w:r>
    </w:p>
    <w:p>
      <w:pPr>
        <w:ind w:left="288"/>
      </w:pPr>
      <w:r>
        <w:rPr>
          <w:b/>
          <w:color w:val="003CA0"/>
          <w:sz w:val="16"/>
        </w:rPr>
        <w:t>[ADI 3.112, voto do rel. min. Ricardo Lewandowski, j. 2-5-2007, P, DJ de 26-10-2007.]</w:t>
      </w:r>
    </w:p>
    <w:p>
      <w:pPr>
        <w:ind w:left="288"/>
      </w:pPr>
      <w:r>
        <w:rPr>
          <w:color w:val="8C8C8C"/>
          <w:sz w:val="12"/>
        </w:rPr>
        <w:t>cf-art-170</w:t>
      </w:r>
      <w:r>
        <w:rPr>
          <w:color w:val="003CA0"/>
          <w:sz w:val="12"/>
        </w:rPr>
        <w:t xml:space="preserve"> | ADI 1.950</w:t>
      </w:r>
      <w:r>
        <w:rPr>
          <w:color w:val="003CA0"/>
          <w:sz w:val="12"/>
        </w:rPr>
        <w:t xml:space="preserve"> | rel. Eros Grau</w:t>
      </w:r>
    </w:p>
    <w:p>
      <w:pPr>
        <w:ind w:left="288"/>
      </w:pPr>
      <w:r>
        <w:rPr>
          <w:color w:val="1E1E1E"/>
          <w:sz w:val="18"/>
        </w:rPr>
        <w:t xml:space="preserve">A livre iniciativa é expressão de liberdade titulada não apenas pela empresa mas também pelo trabalho. Por isso a Constituição, ao contemplá-la, cogita também da "iniciativa do Estado"; não a privilegia, portanto, como bem pertinente apenas à empresa. Se de um lado a Constituição assegura a livre iniciativa, de outro determina ao Estado a adoção de todas as providências tendentes a garantir o efetivo exercício do direito à educação, à cultura e ao desporto (arts. 23, V; 205; 208; 215; e 217, § 3º, da Constituição). Na composição entre esses princípios e regras há de ser preservado o interesse </w:t>
      </w:r>
    </w:p>
    <w:p>
      <w:pPr>
        <w:ind w:left="288"/>
      </w:pPr>
      <w:r>
        <w:rPr>
          <w:b/>
          <w:color w:val="003CA0"/>
          <w:sz w:val="16"/>
        </w:rPr>
        <w:t>[ADI 1.950, rel. min. Eros Grau, j. 3-11-2005, P, DJ de 2-6-2006.]</w:t>
      </w:r>
    </w:p>
    <w:p>
      <w:pPr>
        <w:ind w:left="288"/>
      </w:pPr>
      <w:r>
        <w:rPr>
          <w:color w:val="8C8C8C"/>
          <w:sz w:val="12"/>
        </w:rPr>
        <w:t>cf-art-170</w:t>
      </w:r>
      <w:r>
        <w:rPr>
          <w:color w:val="003CA0"/>
          <w:sz w:val="12"/>
        </w:rPr>
        <w:t xml:space="preserve"> | ADI 319</w:t>
      </w:r>
      <w:r>
        <w:rPr>
          <w:color w:val="003CA0"/>
          <w:sz w:val="12"/>
        </w:rPr>
        <w:t xml:space="preserve"> | rel. Moreira Alves</w:t>
      </w:r>
    </w:p>
    <w:p>
      <w:pPr>
        <w:ind w:left="288"/>
      </w:pPr>
      <w:r>
        <w:rPr>
          <w:color w:val="1E1E1E"/>
          <w:sz w:val="18"/>
        </w:rPr>
        <w:t>Em face da atual Constituição, para conciliar o fundamento da livre iniciativa e do princípio da livre concorrência com os da defesa do consumidor e da redução das desigualdades sociais, em conformidade com os ditames da justiça social, pode o Estado, por via legislativa, regular a política de preços de bens e de serviços, abusivo que é o poder econômico que visa ao aumento arbitrário dos lucros.</w:t>
      </w:r>
    </w:p>
    <w:p>
      <w:pPr>
        <w:ind w:left="288"/>
      </w:pPr>
      <w:r>
        <w:rPr>
          <w:b/>
          <w:color w:val="003CA0"/>
          <w:sz w:val="16"/>
        </w:rPr>
        <w:t>[ADI 319 QO, rel. min. Moreira Alves, j. 3-3-1993, P, DJ de 30-4-1993.]</w:t>
      </w:r>
    </w:p>
    <w:p>
      <w:pPr>
        <w:ind w:left="288"/>
      </w:pPr>
      <w:r>
        <w:rPr>
          <w:color w:val="8C8C8C"/>
          <w:sz w:val="12"/>
        </w:rPr>
        <w:t>cf-art-170</w:t>
      </w:r>
      <w:r>
        <w:rPr>
          <w:color w:val="003CA0"/>
          <w:sz w:val="12"/>
        </w:rPr>
        <w:t xml:space="preserve"> | ARE 1.532.603</w:t>
      </w:r>
      <w:r>
        <w:rPr>
          <w:color w:val="003CA0"/>
          <w:sz w:val="12"/>
        </w:rPr>
        <w:t xml:space="preserve"> | rel. Gilmar Mendes</w:t>
      </w:r>
    </w:p>
    <w:p>
      <w:pPr>
        <w:ind w:left="288"/>
      </w:pPr>
      <w:r>
        <w:rPr>
          <w:color w:val="1E1E1E"/>
          <w:sz w:val="18"/>
        </w:rPr>
        <w:t>Competência e ônus da prova nos processos que discutem a existência de fraude no contrato civil/comercial de prestação de serviços; e a licitude da contratação de pessoa jurídica ou trabalhador autônomo para essa finalidade.</w:t>
      </w:r>
    </w:p>
    <w:p>
      <w:pPr>
        <w:ind w:left="288"/>
      </w:pPr>
      <w:r>
        <w:rPr>
          <w:b/>
          <w:color w:val="003CA0"/>
          <w:sz w:val="16"/>
        </w:rPr>
        <w:t>[ARE 1.532.603 RG, rel. min. Gilmar Mendes, j. 11.04.2025, P, DJE de 24.04.2025, Tema 1.389, com mérito pendente.]</w:t>
      </w:r>
    </w:p>
    <w:p>
      <w:pPr>
        <w:ind w:left="288"/>
      </w:pPr>
      <w:r>
        <w:rPr>
          <w:color w:val="8C8C8C"/>
          <w:sz w:val="12"/>
        </w:rPr>
        <w:t>cf-art-170</w:t>
      </w:r>
      <w:r>
        <w:rPr>
          <w:color w:val="003CA0"/>
          <w:sz w:val="12"/>
        </w:rPr>
        <w:t xml:space="preserve"> | RE 1.343.346</w:t>
      </w:r>
      <w:r>
        <w:rPr>
          <w:color w:val="003CA0"/>
          <w:sz w:val="12"/>
        </w:rPr>
        <w:t xml:space="preserve"> | rel. Luiz Fux</w:t>
      </w:r>
    </w:p>
    <w:p>
      <w:pPr>
        <w:ind w:left="288"/>
      </w:pPr>
      <w:r>
        <w:rPr>
          <w:color w:val="1E1E1E"/>
          <w:sz w:val="18"/>
        </w:rPr>
        <w:t>(In)constitucionalidade de marco regulatório municipal dos serviços cemiteriais, funerários e de cremação, à luz das normas constitucionais da ordem econômica.</w:t>
      </w:r>
    </w:p>
    <w:p>
      <w:pPr>
        <w:ind w:left="288"/>
      </w:pPr>
      <w:r>
        <w:rPr>
          <w:b/>
          <w:color w:val="003CA0"/>
          <w:sz w:val="16"/>
        </w:rPr>
        <w:t>[RE 1.343.346 RG, rel. min. Luiz Fux, j. 11.10.2024, P, DJE de 16.10.2024, Tema 1.332, com mérito pendente.]</w:t>
      </w:r>
    </w:p>
    <w:p>
      <w:pPr>
        <w:ind w:left="144"/>
      </w:pPr>
      <w:r>
        <w:rPr>
          <w:b/>
          <w:color w:val="B45A00"/>
          <w:sz w:val="16"/>
        </w:rPr>
        <w:t>REPERCUSSAO GERAL</w:t>
      </w:r>
    </w:p>
    <w:p>
      <w:pPr>
        <w:ind w:left="288"/>
      </w:pPr>
      <w:r>
        <w:rPr>
          <w:color w:val="8C8C8C"/>
          <w:sz w:val="12"/>
        </w:rPr>
        <w:t>cf-art-170</w:t>
      </w:r>
      <w:r>
        <w:rPr>
          <w:color w:val="003CA0"/>
          <w:sz w:val="12"/>
        </w:rPr>
        <w:t xml:space="preserve"> | ADPF 324</w:t>
      </w:r>
      <w:r>
        <w:rPr>
          <w:color w:val="003CA0"/>
          <w:sz w:val="12"/>
        </w:rPr>
        <w:t xml:space="preserve"> | rel. Luís Roberto Barroso</w:t>
      </w:r>
    </w:p>
    <w:p>
      <w:pPr>
        <w:ind w:left="288"/>
      </w:pPr>
      <w:r>
        <w:rPr>
          <w:color w:val="1E1E1E"/>
          <w:sz w:val="18"/>
        </w:rPr>
        <w:t>Conforme decisão proferida pelo Supremo Tribunal Federal nos autos da ADPF 324, Rel. Min. Luís Roberto Barroso, a terceirização das atividades-meio ou das atividades-fim de uma empresa tem amparo nos princípios constitucionais da livre iniciativa e da livre concorrência, que asseguram aos agentes econômicos a liberdade de decidir como estruturarão seu negócio (art. 170, caput e inc. IV, CF). Do mesmo modo, a decisão sobre quanto pagar ao empregado é tomada por cada empresa, de acordo com suas capacidades econômicas, e protegida pelos mesmos princípios constitucionais. Portanto, não se pode suj</w:t>
      </w:r>
    </w:p>
    <w:p>
      <w:pPr>
        <w:ind w:left="288"/>
      </w:pPr>
      <w:r>
        <w:rPr>
          <w:b/>
          <w:color w:val="003CA0"/>
          <w:sz w:val="16"/>
        </w:rPr>
        <w:t>[RE 635.546, red. do ac. min. Roberto Barroso, j. 29-3-2021, P, DJE de 19-5-2021, Tema 373, com mérito julgado.]</w:t>
      </w:r>
    </w:p>
    <w:p>
      <w:pPr>
        <w:ind w:left="288"/>
      </w:pPr>
      <w:r>
        <w:rPr>
          <w:color w:val="8C8C8C"/>
          <w:sz w:val="12"/>
        </w:rPr>
        <w:t>cf-art-170</w:t>
      </w:r>
      <w:r>
        <w:rPr>
          <w:color w:val="003CA0"/>
          <w:sz w:val="12"/>
        </w:rPr>
        <w:t xml:space="preserve"> | RE 902.261</w:t>
      </w:r>
      <w:r>
        <w:rPr>
          <w:color w:val="003CA0"/>
          <w:sz w:val="12"/>
        </w:rPr>
        <w:t xml:space="preserve"> | rel. Marco Aurélio</w:t>
      </w:r>
    </w:p>
    <w:p>
      <w:pPr>
        <w:ind w:left="288"/>
      </w:pPr>
      <w:r>
        <w:rPr>
          <w:color w:val="1E1E1E"/>
          <w:sz w:val="18"/>
        </w:rPr>
        <w:t>A Lei 6.385/1976 conferiu à CVM competência para o exercício do poder de polícia, no âmbito do mercado de valores mobiliários, inclusive no que tange às atividades de auditoria e aos serviços de consultoria. Essa competência específica da CVM de regular os serviços de auditoria e consultoria, que se extrai da própria Lei 6.385/1976, inclui necessariamente a de definir, por meio de critérios técnicos e de segurança, regras que preservem a objetividade e a independência da atuação do auditor no âmbito do mercado de valores mobiliários. As regras da IN 308/1999, antes de configurar qualquer afron</w:t>
      </w:r>
    </w:p>
    <w:p>
      <w:pPr>
        <w:ind w:left="288"/>
      </w:pPr>
      <w:r>
        <w:rPr>
          <w:b/>
          <w:color w:val="003CA0"/>
          <w:sz w:val="16"/>
        </w:rPr>
        <w:t>[RE 902.261, rel. min. Marco Aurélio, j. 22-9-2020, P, DJE de 9-10-2020, Tema 969, com mérito julgado.]</w:t>
      </w:r>
    </w:p>
    <w:p>
      <w:pPr>
        <w:ind w:left="288"/>
      </w:pPr>
      <w:r>
        <w:rPr>
          <w:color w:val="8C8C8C"/>
          <w:sz w:val="12"/>
        </w:rPr>
        <w:t>cf-art-170</w:t>
      </w:r>
      <w:r>
        <w:rPr>
          <w:color w:val="003CA0"/>
          <w:sz w:val="12"/>
        </w:rPr>
        <w:t xml:space="preserve"> | ARE 884.325</w:t>
      </w:r>
      <w:r>
        <w:rPr>
          <w:color w:val="003CA0"/>
          <w:sz w:val="12"/>
        </w:rPr>
        <w:t xml:space="preserve"> | rel. Edson Fachin</w:t>
      </w:r>
    </w:p>
    <w:p>
      <w:pPr>
        <w:ind w:left="288"/>
      </w:pPr>
      <w:r>
        <w:rPr>
          <w:color w:val="1E1E1E"/>
          <w:sz w:val="18"/>
        </w:rPr>
        <w:t>A responsabilidade civil do Estado ocorre sempre que preenchidos os seguintes requisitos: a) dano; b) ação administrativa; c) nexo causal entre o dano e ação administrativa. Precedentes. A atuação do Estado sobre o domínio econômico por meio de normas de direção pode, potencialmente, atingir a lucratividade dos agentes econômicos. A política de fixação de preços constitui, em si mesma, uma limitação de lucros, razão pela qual a indenizabilidade de eventual dano atinge somente o efetivo prejuízo econômico, apurado por meio de perícia técnica. Hipótese em que não se demonstrou o efetivo prejuízo</w:t>
      </w:r>
    </w:p>
    <w:p>
      <w:pPr>
        <w:ind w:left="288"/>
      </w:pPr>
      <w:r>
        <w:rPr>
          <w:b/>
          <w:color w:val="003CA0"/>
          <w:sz w:val="16"/>
        </w:rPr>
        <w:t>[ARE 884.325, rel. min. Edson Fachin, j. 18-8-2020, P, DJE de 4-9-2020, Tema 826, com mérito julgado.]</w:t>
      </w:r>
    </w:p>
    <w:p>
      <w:pPr>
        <w:ind w:left="288"/>
      </w:pPr>
      <w:r>
        <w:rPr>
          <w:color w:val="8C8C8C"/>
          <w:sz w:val="12"/>
        </w:rPr>
        <w:t>cf-art-170</w:t>
      </w:r>
      <w:r>
        <w:rPr>
          <w:color w:val="003CA0"/>
          <w:sz w:val="12"/>
        </w:rPr>
        <w:t xml:space="preserve"> | RE 1.054.110</w:t>
      </w:r>
      <w:r>
        <w:rPr>
          <w:color w:val="003CA0"/>
          <w:sz w:val="12"/>
        </w:rPr>
        <w:t xml:space="preserve"> | rel. Roberto Barroso</w:t>
      </w:r>
    </w:p>
    <w:p>
      <w:pPr>
        <w:ind w:left="288"/>
      </w:pPr>
      <w:r>
        <w:rPr>
          <w:color w:val="1E1E1E"/>
          <w:sz w:val="18"/>
        </w:rPr>
        <w:t>A proibição ou restrição da atividade de transporte privado individual por motorista cadastrado em aplicativo é inconstitucional, por violação aos princípios da livre iniciativa e da livre concorrência; e no exercício de sua competência para regulamentação e fiscalização do transporte privado individual de passageiros, os Municípios e o Distrito Federal não podem contrariar os parâmetros fixados pelo legislador federal (CF/1988, art. 22, XI).</w:t>
      </w:r>
    </w:p>
    <w:p>
      <w:pPr>
        <w:ind w:left="288"/>
      </w:pPr>
      <w:r>
        <w:rPr>
          <w:b/>
          <w:color w:val="003CA0"/>
          <w:sz w:val="16"/>
        </w:rPr>
        <w:t>[RE 1.054.110, rel. min. Roberto Barroso, j. 9-5-2019, P, DJE de 6-9-2019, Tema 967, com mérito julgado.]</w:t>
      </w:r>
    </w:p>
    <w:p>
      <w:pPr>
        <w:ind w:left="288"/>
      </w:pPr>
      <w:r>
        <w:rPr>
          <w:color w:val="8C8C8C"/>
          <w:sz w:val="12"/>
        </w:rPr>
        <w:t>cf-art-170</w:t>
      </w:r>
      <w:r>
        <w:rPr>
          <w:color w:val="003CA0"/>
          <w:sz w:val="12"/>
        </w:rPr>
        <w:t xml:space="preserve"> | RE 839.950</w:t>
      </w:r>
      <w:r>
        <w:rPr>
          <w:color w:val="003CA0"/>
          <w:sz w:val="12"/>
        </w:rPr>
        <w:t xml:space="preserve"> | rel. Luiz Fux</w:t>
      </w:r>
    </w:p>
    <w:p>
      <w:pPr>
        <w:ind w:left="288"/>
      </w:pPr>
      <w:r>
        <w:rPr>
          <w:color w:val="1E1E1E"/>
          <w:sz w:val="18"/>
        </w:rPr>
        <w:t>O princípio da livre iniciativa, plasmado no art. 1º, IV, da Constituição como fundamento da República e reiterado no art. 170 do texto constitucional, veda a adoção de medidas que, direta ou indiretamente, destinem-se à manutenção artificial de postos de trabalho, em detrimento das reconfigurações de mercado necessárias à inovação e ao desenvolvimento, mormente porque essa providência não é capaz de gerar riqueza para trabalhadores ou consumidores. (...) São inconstitucionais as leis que obrigam supermercados ou similares à prestação de serviços de acondicionamento ou embalagem das compras, p</w:t>
      </w:r>
    </w:p>
    <w:p>
      <w:pPr>
        <w:ind w:left="288"/>
      </w:pPr>
      <w:r>
        <w:rPr>
          <w:b/>
          <w:color w:val="003CA0"/>
          <w:sz w:val="16"/>
        </w:rPr>
        <w:t>[RE 839.950, rel. min. Luiz Fux, j. 24-10-2018, P, DJE de 2-4-2020, Tema 525, com mérito julgado.]</w:t>
      </w:r>
    </w:p>
    <w:p>
      <w:pPr>
        <w:ind w:left="288"/>
      </w:pPr>
      <w:r>
        <w:rPr>
          <w:color w:val="8C8C8C"/>
          <w:sz w:val="12"/>
        </w:rPr>
        <w:t>cf-art-170</w:t>
      </w:r>
      <w:r>
        <w:rPr>
          <w:color w:val="003CA0"/>
          <w:sz w:val="12"/>
        </w:rPr>
        <w:t xml:space="preserve"> | RE 958.252</w:t>
      </w:r>
      <w:r>
        <w:rPr>
          <w:color w:val="003CA0"/>
          <w:sz w:val="12"/>
        </w:rPr>
        <w:t xml:space="preserve"> | rel. Luiz Fux</w:t>
      </w:r>
    </w:p>
    <w:p>
      <w:pPr>
        <w:ind w:left="288"/>
      </w:pPr>
      <w:r>
        <w:rPr>
          <w:color w:val="1E1E1E"/>
          <w:sz w:val="18"/>
        </w:rPr>
        <w:t>É lícita a terceirização ou qualquer outra forma de divisão do trabalho entre pessoas jurídicas distintas, independentemente do objeto social das empresas envolvidas, mantida a responsabilidade subsidiária da empresa contratante’.</w:t>
      </w:r>
    </w:p>
    <w:p>
      <w:pPr>
        <w:ind w:left="288"/>
      </w:pPr>
      <w:r>
        <w:rPr>
          <w:b/>
          <w:color w:val="003CA0"/>
          <w:sz w:val="16"/>
        </w:rPr>
        <w:t>[RE 958.252, rel. min. Luiz Fux, j. 30-8-2018, P, DJE de 13-9-2019, Tema 725, com mérito julgado.]</w:t>
      </w:r>
    </w:p>
    <w:p>
      <w:pPr>
        <w:ind w:left="288"/>
      </w:pPr>
      <w:r>
        <w:rPr>
          <w:color w:val="8C8C8C"/>
          <w:sz w:val="12"/>
        </w:rPr>
        <w:t>cf-art-170</w:t>
      </w:r>
      <w:r>
        <w:rPr>
          <w:color w:val="003CA0"/>
          <w:sz w:val="12"/>
        </w:rPr>
        <w:t xml:space="preserve"> | ARE 1.280.820</w:t>
      </w:r>
      <w:r>
        <w:rPr>
          <w:color w:val="003CA0"/>
          <w:sz w:val="12"/>
        </w:rPr>
        <w:t xml:space="preserve"> | rel. Gilmar Mendes</w:t>
      </w:r>
    </w:p>
    <w:p>
      <w:pPr>
        <w:ind w:left="288"/>
      </w:pPr>
      <w:r>
        <w:rPr>
          <w:color w:val="1E1E1E"/>
          <w:sz w:val="18"/>
        </w:rPr>
        <w:t>“1. É compatível com a Constituição a exigência de registro de cooperativas na Organização das Cooperativas Brasileiras – OCB ou em entidade estadual correspondente, prevista no art. 107 da Lei nº 5.764/71, como condição para obtenção de registro no RNTRC. 2. Tal exigência configura expressão legítima do dever estatal de fomentar e organizar o cooperativismo, não violando a liberdade de associação nem a livre iniciativa.”</w:t>
      </w:r>
    </w:p>
    <w:p>
      <w:pPr>
        <w:ind w:left="288"/>
      </w:pPr>
      <w:r>
        <w:rPr>
          <w:b/>
          <w:color w:val="003CA0"/>
          <w:sz w:val="16"/>
        </w:rPr>
        <w:t>[ARE 1.280.820, rel. min. Gilmar Mendes, j. 12.08.2025, 2ª T, DJE de 14.08.2025.]</w:t>
      </w:r>
    </w:p>
    <w:p>
      <w:pPr>
        <w:ind w:left="288"/>
      </w:pPr>
      <w:r>
        <w:rPr>
          <w:color w:val="8C8C8C"/>
          <w:sz w:val="12"/>
        </w:rPr>
        <w:t>cf-art-170</w:t>
      </w:r>
      <w:r>
        <w:rPr>
          <w:color w:val="003CA0"/>
          <w:sz w:val="12"/>
        </w:rPr>
        <w:t xml:space="preserve"> | ARE 1.546.400</w:t>
      </w:r>
      <w:r>
        <w:rPr>
          <w:color w:val="003CA0"/>
          <w:sz w:val="12"/>
        </w:rPr>
        <w:t xml:space="preserve"> | rel. Flávio Dino</w:t>
      </w:r>
    </w:p>
    <w:p>
      <w:pPr>
        <w:ind w:left="288"/>
      </w:pPr>
      <w:r>
        <w:rPr>
          <w:color w:val="1E1E1E"/>
          <w:sz w:val="18"/>
        </w:rPr>
        <w:t>A jurisprudência do Supremo Tribunal Federal entende que lei municipal que fixa distância mínima entre postos de combustíveis, por motivos de segurança, não ofende o princípio da livre concorrência. (...) A Súmula Vinculante 49 não se aplica ao caso, haja vista que a restrição à livre concorrência se justifica em razões de segurança.</w:t>
      </w:r>
    </w:p>
    <w:p>
      <w:pPr>
        <w:ind w:left="288"/>
      </w:pPr>
      <w:r>
        <w:rPr>
          <w:b/>
          <w:color w:val="003CA0"/>
          <w:sz w:val="16"/>
        </w:rPr>
        <w:t>[ARE 1.546.400 AgR, rel. min. Flávio Dino, j. 10.06.2025, 1ª T, DJE de 13.06.2025.]</w:t>
      </w:r>
    </w:p>
    <w:p>
      <w:pPr>
        <w:ind w:left="144"/>
      </w:pPr>
      <w:r>
        <w:rPr>
          <w:b/>
          <w:color w:val="B45A00"/>
          <w:sz w:val="16"/>
        </w:rPr>
        <w:t>JULGADOS CORRELATOS</w:t>
      </w:r>
    </w:p>
    <w:p>
      <w:pPr>
        <w:ind w:left="288"/>
      </w:pPr>
      <w:r>
        <w:rPr>
          <w:color w:val="8C8C8C"/>
          <w:sz w:val="12"/>
        </w:rPr>
        <w:t>cf-art-170</w:t>
      </w:r>
      <w:r>
        <w:rPr>
          <w:color w:val="003CA0"/>
          <w:sz w:val="12"/>
        </w:rPr>
        <w:t xml:space="preserve"> | RCL 62.430</w:t>
      </w:r>
      <w:r>
        <w:rPr>
          <w:color w:val="003CA0"/>
          <w:sz w:val="12"/>
        </w:rPr>
        <w:t xml:space="preserve"> | rel. Edson Fachin</w:t>
      </w:r>
    </w:p>
    <w:p>
      <w:pPr>
        <w:ind w:left="288"/>
      </w:pPr>
      <w:r>
        <w:rPr>
          <w:color w:val="1E1E1E"/>
          <w:sz w:val="18"/>
        </w:rPr>
        <w:t>Tema nº 725 da Repercussão Geral (RE nº 958.252) e ADPF nº 324. (...) Existência de aderência estrita entre o ato reclamado e os paradigmas do STF. (...) Procedência do pedido para se afirmar a licitude do fenômeno da contratação de pessoa jurídica unipessoal para a prestação de serviço a empresa tomadora de serviço, destacando-se não somente a compatibilidade dos valores do trabalho e da livre iniciativa na terceirização do trabalho assentada nos precedentes obrigatórios, mas também a ausência de condição de vulnerabilidade na opção pelo contrato firmado na relação jurídica estabelecida que j</w:t>
      </w:r>
    </w:p>
    <w:p>
      <w:pPr>
        <w:ind w:left="288"/>
      </w:pPr>
      <w:r>
        <w:rPr>
          <w:b/>
          <w:color w:val="003CA0"/>
          <w:sz w:val="16"/>
        </w:rPr>
        <w:t>[Rcl 62.430 AgR-segundo, rel. min. Edson Fachin, red. do ac. Dias Toffoli, j. 06.02.2024, 2ª T, DJE de 06.03.2024.]</w:t>
      </w:r>
    </w:p>
    <w:p>
      <w:pPr>
        <w:ind w:left="288"/>
      </w:pPr>
      <w:r>
        <w:rPr>
          <w:color w:val="8C8C8C"/>
          <w:sz w:val="12"/>
        </w:rPr>
        <w:t>cf-art-170</w:t>
      </w:r>
      <w:r>
        <w:rPr>
          <w:color w:val="003CA0"/>
          <w:sz w:val="12"/>
        </w:rPr>
        <w:t xml:space="preserve"> | RCL 59.842</w:t>
      </w:r>
      <w:r>
        <w:rPr>
          <w:color w:val="003CA0"/>
          <w:sz w:val="12"/>
        </w:rPr>
        <w:t xml:space="preserve"> | rel. Edson Fachin</w:t>
      </w:r>
    </w:p>
    <w:p>
      <w:pPr>
        <w:ind w:left="288"/>
      </w:pPr>
      <w:r>
        <w:rPr>
          <w:color w:val="1E1E1E"/>
          <w:sz w:val="18"/>
        </w:rPr>
        <w:t>É lícito o fenômeno do contrato de associação e/ou sociedade firmado por escritório de advocacia com advogados, destacando-se não apenas a compatibilidade dos valores do trabalho e da livre iniciativa na terceirização do trabalho assentada nos precedentes obrigatórios, mas também a ausência de condição de vulnerabilidade na opção pelo contrato firmado que justifique a proteção estatal por meio do Poder Judiciário na formação de vínculo empregatício.</w:t>
      </w:r>
    </w:p>
    <w:p>
      <w:pPr>
        <w:ind w:left="288"/>
      </w:pPr>
      <w:r>
        <w:rPr>
          <w:b/>
          <w:color w:val="003CA0"/>
          <w:sz w:val="16"/>
        </w:rPr>
        <w:t>[Rcl 59.842 AgR, rel. min. Edson Fachin, red. do ac. min. Dias Toffoli, j. 26-6-2023, 2ª T, DJE de 18-8-2023.]</w:t>
      </w:r>
    </w:p>
    <w:p>
      <w:pPr>
        <w:ind w:left="288"/>
      </w:pPr>
      <w:r>
        <w:rPr>
          <w:color w:val="8C8C8C"/>
          <w:sz w:val="12"/>
        </w:rPr>
        <w:t>cf-art-170</w:t>
      </w:r>
      <w:r>
        <w:rPr>
          <w:color w:val="003CA0"/>
          <w:sz w:val="12"/>
        </w:rPr>
        <w:t xml:space="preserve"> | RCL 56.285</w:t>
      </w:r>
      <w:r>
        <w:rPr>
          <w:color w:val="003CA0"/>
          <w:sz w:val="12"/>
        </w:rPr>
        <w:t xml:space="preserve"> | rel. Roberto Barroso</w:t>
      </w:r>
    </w:p>
    <w:p>
      <w:pPr>
        <w:ind w:left="288"/>
      </w:pPr>
      <w:r>
        <w:rPr>
          <w:color w:val="1E1E1E"/>
          <w:sz w:val="18"/>
        </w:rPr>
        <w:t xml:space="preserve">O contrato de emprego não é a única forma de se estabelecerem relações de trabalho, pois um mesmo mercado pode comportar alguns profissionais que sejam contratados pelo regime da Consolidação das Leis do Trabalho e outros profissionais cuja atuação tenha um caráter de eventualidade ou maior autonomia. São lícitos, ainda que para a execução da atividade-fim da empresa, os contratos de terceirização de mão de obra, parceria, sociedade e de prestação de serviços por pessoa jurídica (pejotização), desde que o contrato seja real; isto é, de que não haja relação de emprego com a empresa tomadora do </w:t>
      </w:r>
    </w:p>
    <w:p>
      <w:pPr>
        <w:ind w:left="288"/>
      </w:pPr>
      <w:r>
        <w:rPr>
          <w:b/>
          <w:color w:val="003CA0"/>
          <w:sz w:val="16"/>
        </w:rPr>
        <w:t>[ARE 1.104.226 AgR, rel. min. Roberto Barroso, j. 27-4-2018, 1ª T, DJE de 25-5-2018.]</w:t>
      </w:r>
    </w:p>
    <w:p>
      <w:pPr>
        <w:ind w:left="288"/>
      </w:pPr>
      <w:r>
        <w:rPr>
          <w:color w:val="8C8C8C"/>
          <w:sz w:val="12"/>
        </w:rPr>
        <w:t>cf-art-170</w:t>
      </w:r>
      <w:r>
        <w:rPr>
          <w:color w:val="003CA0"/>
          <w:sz w:val="12"/>
        </w:rPr>
        <w:t xml:space="preserve"> | RE 597.165</w:t>
      </w:r>
      <w:r>
        <w:rPr>
          <w:color w:val="003CA0"/>
          <w:sz w:val="12"/>
        </w:rPr>
        <w:t xml:space="preserve"> | rel. Celso de Mello</w:t>
      </w:r>
    </w:p>
    <w:p>
      <w:pPr>
        <w:ind w:left="288"/>
      </w:pPr>
      <w:r>
        <w:rPr>
          <w:color w:val="1E1E1E"/>
          <w:sz w:val="18"/>
        </w:rPr>
        <w:t>O estatuto constitucional das franquias individuais e liberdades públicas, ao delinear o regime jurídico a que estas estão sujeitas – e considerado o substrato ético que as informa –, permite que sobre elas incidam limitações de ordem jurídica (RTJ 173/807-808), destinadas, de um lado, a proteger a integridade do interesse social e, de outro, a assegurar a coexistência harmoniosa das liberdades, pois nenhum direito ou garantia pode ser exercido em detrimento da ordem pública ou com desrespeito aos direitos e garantias de terceiros. A regulação estatal no domínio econômico, por isso mesmo, seja</w:t>
      </w:r>
    </w:p>
    <w:p>
      <w:pPr>
        <w:ind w:left="288"/>
      </w:pPr>
      <w:r>
        <w:rPr>
          <w:b/>
          <w:color w:val="003CA0"/>
          <w:sz w:val="16"/>
        </w:rPr>
        <w:t>[RE 597.165 AgR, rel. min. Celso de Mello, j. 4-11-2014, 2ª T, DJE de 9-12-2014.]</w:t>
      </w:r>
    </w:p>
    <w:p>
      <w:pPr>
        <w:ind w:left="288"/>
      </w:pPr>
      <w:r>
        <w:rPr>
          <w:color w:val="8C8C8C"/>
          <w:sz w:val="12"/>
        </w:rPr>
        <w:t>cf-art-170</w:t>
      </w:r>
      <w:r>
        <w:rPr>
          <w:color w:val="003CA0"/>
          <w:sz w:val="12"/>
        </w:rPr>
        <w:t xml:space="preserve"> | AC 1.657</w:t>
      </w:r>
    </w:p>
    <w:p>
      <w:pPr>
        <w:ind w:left="288"/>
      </w:pPr>
      <w:r>
        <w:rPr>
          <w:color w:val="1E1E1E"/>
          <w:sz w:val="18"/>
        </w:rPr>
        <w:t>A defesa da livre concorrência é imperativo de ordem constitucional (art. 170, IV) que deve harmonizar-se com o princípio da livre iniciativa (art. 170, caput). Lembro que "livre iniciativa e livre concorrência, esta como base do chamado livre mercado, não coincidem necessariamente. Ou seja, livre concorrência nem sempre conduz à livre iniciativa e vice-versa (cf. FARINA; AZEVEDO; SAES: Competitividade: mercado, estado e organizações. São Paulo, 1997. cap. IV). Daí a necessária presença do Estado regulador e fiscalizador, capaz de disciplinar a competitividade enquanto fator relevante na forma</w:t>
      </w:r>
    </w:p>
    <w:p>
      <w:pPr>
        <w:ind w:left="288"/>
      </w:pPr>
      <w:r>
        <w:rPr>
          <w:b/>
          <w:color w:val="003CA0"/>
          <w:sz w:val="16"/>
        </w:rPr>
        <w:t>[AC 1.657 MC, voto do ac. min. Cezar Peluso, j. 27-6-2007, P, DJ de 31-8-2007.]</w:t>
      </w:r>
    </w:p>
    <w:p>
      <w:pPr>
        <w:ind w:left="288"/>
      </w:pPr>
      <w:r>
        <w:rPr>
          <w:color w:val="8C8C8C"/>
          <w:sz w:val="12"/>
        </w:rPr>
        <w:t>cf-art-170</w:t>
      </w:r>
      <w:r>
        <w:rPr>
          <w:color w:val="003CA0"/>
          <w:sz w:val="12"/>
        </w:rPr>
        <w:t xml:space="preserve"> | RMS 25.104</w:t>
      </w:r>
      <w:r>
        <w:rPr>
          <w:color w:val="003CA0"/>
          <w:sz w:val="12"/>
        </w:rPr>
        <w:t xml:space="preserve"> | rel. Eros Grau</w:t>
      </w:r>
    </w:p>
    <w:p>
      <w:pPr>
        <w:ind w:left="288"/>
      </w:pPr>
      <w:r>
        <w:rPr>
          <w:color w:val="1E1E1E"/>
          <w:sz w:val="18"/>
        </w:rPr>
        <w:t>A má-fé do candidato à vaga de juiz classista resta configurada quando viola preceito constante dos atos constitutivos do sindicato e declara falsamente, em nome da entidade sindical, o cumprimento de todas as disposições legais e estatutárias para a formação de lista enviada ao TRT. O trabalho consubstancia valor social constitucionalmente protegido (arts. 1º, IV, e 170, da Constituição do Brasil/1988), que sobreleva o direito do recorrente a perceber remuneração pelos serviços prestados até o seu afastamento liminar. Entendimento contrário implica sufragar o enriquecimento ilícito da adminis</w:t>
      </w:r>
    </w:p>
    <w:p>
      <w:pPr>
        <w:ind w:left="288"/>
      </w:pPr>
      <w:r>
        <w:rPr>
          <w:b/>
          <w:color w:val="003CA0"/>
          <w:sz w:val="16"/>
        </w:rPr>
        <w:t>[RMS 25.104, rel. min. Eros Grau, j. 21-2-2006, 1ª T, DJ de 31-3-2006.]</w:t>
      </w:r>
    </w:p>
    <w:p>
      <w:pPr>
        <w:ind w:left="288"/>
      </w:pPr>
      <w:r>
        <w:rPr>
          <w:color w:val="8C8C8C"/>
          <w:sz w:val="12"/>
        </w:rPr>
        <w:t>cf-art-170</w:t>
      </w:r>
      <w:r>
        <w:rPr>
          <w:color w:val="003CA0"/>
          <w:sz w:val="12"/>
        </w:rPr>
        <w:t xml:space="preserve"> | RE 205.193</w:t>
      </w:r>
      <w:r>
        <w:rPr>
          <w:color w:val="003CA0"/>
          <w:sz w:val="12"/>
        </w:rPr>
        <w:t xml:space="preserve"> | rel. Celso de Mello</w:t>
      </w:r>
    </w:p>
    <w:p>
      <w:pPr>
        <w:ind w:left="288"/>
      </w:pPr>
      <w:r>
        <w:rPr>
          <w:color w:val="1E1E1E"/>
          <w:sz w:val="18"/>
        </w:rPr>
        <w:t>A possibilidade de intervenção do Estado no domínio econômico não exonera o poder público do dever jurídico de respeitar os postulados que emergem do ordenamento constitucional brasileiro. Razões de Estado – que muitas vezes configuram fundamentos políticos destinados a justificar, pragmaticamente, ex parte principis, a inaceitável adoção de medidas de caráter normativo – não podem ser invocadas para viabilizar o descumprimento da própria Constituição. As normas de ordem pública – que também se sujeitam à cláusula inscrita no art. 5º, XXXVI, da Carta Política (RTJ 143/724) – não podem frustrar</w:t>
      </w:r>
    </w:p>
    <w:p>
      <w:pPr>
        <w:ind w:left="288"/>
      </w:pPr>
      <w:r>
        <w:rPr>
          <w:b/>
          <w:color w:val="003CA0"/>
          <w:sz w:val="16"/>
        </w:rPr>
        <w:t>[RE 205.193, rel. min. Celso de Mello, j. 25-2-1997, 1ª T, DJ de 6-6-1997.]</w:t>
      </w:r>
    </w:p>
    <w:p>
      <w:pPr>
        <w:ind w:left="144"/>
      </w:pPr>
      <w:r>
        <w:rPr>
          <w:b/>
          <w:color w:val="B45A00"/>
          <w:sz w:val="16"/>
        </w:rPr>
        <w:t>CONTROLE CONCENTRADO</w:t>
      </w:r>
    </w:p>
    <w:p>
      <w:pPr>
        <w:ind w:left="288"/>
      </w:pPr>
      <w:r>
        <w:rPr>
          <w:color w:val="8C8C8C"/>
          <w:sz w:val="12"/>
        </w:rPr>
        <w:t>cf-art-170-inc-II</w:t>
      </w:r>
      <w:r>
        <w:rPr>
          <w:color w:val="003CA0"/>
          <w:sz w:val="12"/>
        </w:rPr>
        <w:t xml:space="preserve"> | ADI 5.457</w:t>
      </w:r>
      <w:r>
        <w:rPr>
          <w:color w:val="003CA0"/>
          <w:sz w:val="12"/>
        </w:rPr>
        <w:t xml:space="preserve"> | rel. Nunes Marques</w:t>
      </w:r>
    </w:p>
    <w:p>
      <w:pPr>
        <w:ind w:left="288"/>
      </w:pPr>
      <w:r>
        <w:rPr>
          <w:color w:val="1E1E1E"/>
          <w:sz w:val="18"/>
        </w:rPr>
        <w:t>Lei n. 4.218, de 8 de outubro de 2015, do Estado do Amazonas. Transferência de valores existentes em depósito judicial ou administrativo, até o limite de 70%, para a conta única do Estado. Fundo de reserva, destinado a garantir a devolução dos depósitos, com saldo mínimo correspondente a 30% do montante do qual feitas as transferências para a conta única. (...) A utilização dos recursos financeiros, presentes ou futuros, de pessoas jurídicas de direito privado para a satisfação de precatórios ou qualquer outra finalidade pelo Estado do Amazonas viola o direito de propriedade das empresas públi</w:t>
      </w:r>
    </w:p>
    <w:p>
      <w:pPr>
        <w:ind w:left="144"/>
      </w:pPr>
      <w:r>
        <w:rPr>
          <w:b/>
          <w:color w:val="B45A00"/>
          <w:sz w:val="16"/>
        </w:rPr>
        <w:t>JULGADOS CORRELATOS</w:t>
      </w:r>
    </w:p>
    <w:p>
      <w:pPr>
        <w:ind w:left="288"/>
      </w:pPr>
      <w:r>
        <w:rPr>
          <w:color w:val="8C8C8C"/>
          <w:sz w:val="12"/>
        </w:rPr>
        <w:t>cf-art-170-inc-II</w:t>
      </w:r>
      <w:r>
        <w:rPr>
          <w:color w:val="003CA0"/>
          <w:sz w:val="12"/>
        </w:rPr>
        <w:t xml:space="preserve"> | RE 140.436</w:t>
      </w:r>
      <w:r>
        <w:rPr>
          <w:color w:val="003CA0"/>
          <w:sz w:val="12"/>
        </w:rPr>
        <w:t xml:space="preserve"> | rel. Carlos Velloso</w:t>
      </w:r>
    </w:p>
    <w:p>
      <w:pPr>
        <w:ind w:left="288"/>
      </w:pPr>
      <w:r>
        <w:rPr>
          <w:color w:val="1E1E1E"/>
          <w:sz w:val="18"/>
        </w:rPr>
        <w:t>Se a restrição ao direito de construir advinda da limitação administrativa causa aniquilamento da propriedade privada, resulta, em favor do proprietário, o direito à indenização. Todavia, o direito de edificar é relativo, dado que condicionado à função social da propriedade. Se as restrições decorrentes da limitação administrativa preexistiam à aquisição do terreno, assim já do conhecimento dos adquirentes, não podem estes, com base em tais restrições, pedir indenização ao poder público.</w:t>
      </w:r>
    </w:p>
    <w:p>
      <w:pPr>
        <w:ind w:left="288"/>
      </w:pPr>
      <w:r>
        <w:rPr>
          <w:b/>
          <w:color w:val="003CA0"/>
          <w:sz w:val="16"/>
        </w:rPr>
        <w:t>[RE 140.436, rel. min. Carlos Velloso, j. 25-5-1999, 2ª T, DJ de 6-8-1999.]</w:t>
      </w:r>
    </w:p>
    <w:p>
      <w:pPr>
        <w:ind w:left="288"/>
      </w:pPr>
      <w:r>
        <w:rPr>
          <w:color w:val="8C8C8C"/>
          <w:sz w:val="12"/>
        </w:rPr>
        <w:t>cf-art-170-inc-II</w:t>
      </w:r>
      <w:r>
        <w:rPr>
          <w:color w:val="003CA0"/>
          <w:sz w:val="12"/>
        </w:rPr>
        <w:t xml:space="preserve"> | AI 526.272</w:t>
      </w:r>
      <w:r>
        <w:rPr>
          <w:color w:val="003CA0"/>
          <w:sz w:val="12"/>
        </w:rPr>
        <w:t xml:space="preserve"> | rel. Ellen Gracie</w:t>
      </w:r>
    </w:p>
    <w:p>
      <w:pPr>
        <w:ind w:left="288"/>
      </w:pPr>
      <w:r>
        <w:rPr>
          <w:color w:val="1E1E1E"/>
          <w:sz w:val="18"/>
        </w:rPr>
        <w:t>= AI 526.272 AgR, rel. min. Ellen Gracie, j. 1º-2-2011, 2ª T, DJE de 22-2-2011</w:t>
      </w:r>
    </w:p>
    <w:p>
      <w:pPr>
        <w:ind w:left="144"/>
      </w:pPr>
      <w:r>
        <w:rPr>
          <w:b/>
          <w:color w:val="B45A00"/>
          <w:sz w:val="16"/>
        </w:rPr>
        <w:t>CONTROLE CONCENTRADO</w:t>
      </w:r>
    </w:p>
    <w:p>
      <w:pPr>
        <w:ind w:left="288"/>
      </w:pPr>
      <w:r>
        <w:rPr>
          <w:color w:val="8C8C8C"/>
          <w:sz w:val="12"/>
        </w:rPr>
        <w:t>cf-art-170-inc-III</w:t>
      </w:r>
      <w:r>
        <w:rPr>
          <w:color w:val="003CA0"/>
          <w:sz w:val="12"/>
        </w:rPr>
        <w:t xml:space="preserve"> | ADI 4.613</w:t>
      </w:r>
      <w:r>
        <w:rPr>
          <w:color w:val="003CA0"/>
          <w:sz w:val="12"/>
        </w:rPr>
        <w:t xml:space="preserve"> | rel. Dias Toffoli</w:t>
      </w:r>
    </w:p>
    <w:p>
      <w:pPr>
        <w:ind w:left="288"/>
      </w:pPr>
      <w:r>
        <w:rPr>
          <w:color w:val="1E1E1E"/>
          <w:sz w:val="18"/>
        </w:rPr>
        <w:t>A Lei 12.006/2009 acrescentou, no Código de Trânsito Brasileiro, dispositivos que determinavam a veiculação de mensagens educativas de trânsito em peças publicitárias de produtos da indústria automobilística (arts. 77-A e 77-E). As normas não trazem qualquer restrição à plena liberdade de comunicação das empresas ou à livre iniciativa e não excluem, ademais, a responsabilidade do Estado em promover, por ato próprio, publicações de mensagens educativas de trânsito. Trata-se, apenas, de cooperação da indústria automobilística, consectária da proteção ao consumidor e da função social da proprieda</w:t>
      </w:r>
    </w:p>
    <w:p>
      <w:pPr>
        <w:ind w:left="288"/>
      </w:pPr>
      <w:r>
        <w:rPr>
          <w:b/>
          <w:color w:val="003CA0"/>
          <w:sz w:val="16"/>
        </w:rPr>
        <w:t>[ADI 4.613, rel. min. Dias Toffoli, j. 20-9-2018, P, DJE de 3-12-2018.]</w:t>
      </w:r>
    </w:p>
    <w:p>
      <w:pPr>
        <w:ind w:left="288"/>
      </w:pPr>
      <w:r>
        <w:rPr>
          <w:color w:val="8C8C8C"/>
          <w:sz w:val="12"/>
        </w:rPr>
        <w:t>cf-art-170-inc-III</w:t>
      </w:r>
      <w:r>
        <w:rPr>
          <w:color w:val="003CA0"/>
          <w:sz w:val="12"/>
        </w:rPr>
        <w:t xml:space="preserve"> | ADI 3.934</w:t>
      </w:r>
      <w:r>
        <w:rPr>
          <w:color w:val="003CA0"/>
          <w:sz w:val="12"/>
        </w:rPr>
        <w:t xml:space="preserve"> | rel. Ricardo Lewandowski</w:t>
      </w:r>
    </w:p>
    <w:p>
      <w:pPr>
        <w:ind w:left="288"/>
      </w:pPr>
      <w:r>
        <w:rPr>
          <w:color w:val="1E1E1E"/>
          <w:sz w:val="18"/>
        </w:rPr>
        <w:t>Falência e recuperação judicial. Inexistência de ofensa aos arts. 1º, III e IV; 6º; 7º, I; e 170 da CF de 1988. (...) Inexiste reserva constitucional de lei complementar para a execução dos créditos trabalhistas decorrente de falência ou recuperação judicial. Não há, também, inconstitucionalidade quanto à ausência de sucessão de créditos trabalhistas. Igualmente não existe ofensa à Constituição no tocante ao limite de conversão de créditos trabalhistas em quirografários. Diploma legal que objetiva prestigiar a função social da empresa e assegurar, tanto quanto possível, a preservação dos posto</w:t>
      </w:r>
    </w:p>
    <w:p>
      <w:pPr>
        <w:ind w:left="288"/>
      </w:pPr>
      <w:r>
        <w:rPr>
          <w:b/>
          <w:color w:val="003CA0"/>
          <w:sz w:val="16"/>
        </w:rPr>
        <w:t>[ADI 3.934, rel. min. Ricardo Lewandowski, j. 27-5-2009, P, DJE de 6-11-2009.]</w:t>
      </w:r>
    </w:p>
    <w:p>
      <w:pPr>
        <w:ind w:left="144"/>
      </w:pPr>
      <w:r>
        <w:rPr>
          <w:b/>
          <w:color w:val="B45A00"/>
          <w:sz w:val="16"/>
        </w:rPr>
        <w:t>SUMULA VINCULANTE</w:t>
      </w:r>
    </w:p>
    <w:p>
      <w:pPr>
        <w:ind w:left="288"/>
      </w:pPr>
      <w:r>
        <w:rPr>
          <w:color w:val="8C8C8C"/>
          <w:sz w:val="12"/>
        </w:rPr>
        <w:t>cf-art-170-inc-IV</w:t>
      </w:r>
    </w:p>
    <w:p>
      <w:pPr>
        <w:ind w:left="288"/>
      </w:pPr>
      <w:r>
        <w:rPr>
          <w:color w:val="1E1E1E"/>
          <w:sz w:val="18"/>
        </w:rPr>
        <w:t>Ofende o princípio da livre concorrência lei municipal que impede a instalação de estabelecimentos comerciais do mesmo ramo em determinada área.</w:t>
      </w:r>
    </w:p>
    <w:p>
      <w:pPr>
        <w:ind w:left="288"/>
      </w:pPr>
      <w:r>
        <w:rPr>
          <w:b/>
          <w:color w:val="003CA0"/>
          <w:sz w:val="16"/>
        </w:rPr>
        <w:t>[Súmula Vinculante 49.]</w:t>
      </w:r>
    </w:p>
    <w:p>
      <w:pPr>
        <w:ind w:left="288"/>
      </w:pPr>
      <w:r>
        <w:rPr>
          <w:color w:val="8C8C8C"/>
          <w:sz w:val="12"/>
        </w:rPr>
        <w:t>cf-art-170-inc-IV</w:t>
      </w:r>
      <w:r>
        <w:rPr>
          <w:color w:val="003CA0"/>
          <w:sz w:val="12"/>
        </w:rPr>
        <w:t xml:space="preserve"> | ADI 3.465</w:t>
      </w:r>
      <w:r>
        <w:rPr>
          <w:color w:val="003CA0"/>
          <w:sz w:val="12"/>
        </w:rPr>
        <w:t xml:space="preserve"> | rel. Luís Roberto Barroso</w:t>
      </w:r>
    </w:p>
    <w:p>
      <w:pPr>
        <w:ind w:left="288"/>
      </w:pPr>
      <w:r>
        <w:rPr>
          <w:color w:val="1E1E1E"/>
          <w:sz w:val="18"/>
        </w:rPr>
        <w:t>MP nº 227/04, convertida na Lei nº 11.116/05. (...) Biodiesel. Registro especial. PIS/COFINS. (...) Ação direta da qual se conhece em parte e, quanto a essa parte, julgada parcialmente procedente para dar interpretação conforme à Constituição: (i) ao art. 5º da Lei nº 11.116/2005, no sentido de determinar que (a) eventual elevação da carga tributária deverá respeitar a anterioridade nonagesimal e que, (b) em havendo o aumento da renúncia de receitas, o Poder Executivo deverá elaborar estudo de impacto orçamentário e financeiro; (ii) ao art. 2º, III e § 2º, do mesmo diploma legal, no sentido de</w:t>
      </w:r>
    </w:p>
    <w:p>
      <w:pPr>
        <w:ind w:left="288"/>
      </w:pPr>
      <w:r>
        <w:rPr>
          <w:b/>
          <w:color w:val="003CA0"/>
          <w:sz w:val="16"/>
        </w:rPr>
        <w:t>[ADI 3.465, rel. min. Luís Roberto Barroso, red. do ac. min. Dias Toffoli, j. 29.09.2025, P, DJE de 14.10.2025.]</w:t>
      </w:r>
    </w:p>
    <w:p>
      <w:pPr>
        <w:ind w:left="288"/>
      </w:pPr>
      <w:r>
        <w:rPr>
          <w:color w:val="8C8C8C"/>
          <w:sz w:val="12"/>
        </w:rPr>
        <w:t>cf-art-170-inc-IV</w:t>
      </w:r>
      <w:r>
        <w:rPr>
          <w:color w:val="003CA0"/>
          <w:sz w:val="12"/>
        </w:rPr>
        <w:t xml:space="preserve"> | ADI 5.127</w:t>
      </w:r>
      <w:r>
        <w:rPr>
          <w:color w:val="003CA0"/>
          <w:sz w:val="12"/>
        </w:rPr>
        <w:t xml:space="preserve"> | rel. Nunes Marques</w:t>
      </w:r>
    </w:p>
    <w:p>
      <w:pPr>
        <w:ind w:left="288"/>
      </w:pPr>
      <w:r>
        <w:rPr>
          <w:color w:val="1E1E1E"/>
          <w:sz w:val="18"/>
        </w:rPr>
        <w:t>No julgamento da ADI 5.127, o Supremo firmou o entendimento pela indispensável pertinência temática entre o objeto da emenda parlamentar e o texto originário da medida provisória. A ampliação do escopo da medida provisória por meio de projeto de lei de conversão, no âmbito do Poder Legislativo, não resulta em inconstitucionalidade formal, desde que guardada a afinidade de matérias e observado o devido processo legislativo. A instituição das Zonas de Processamento de Exportação (ZPEs) representa política pública com nítido caráter extrafiscal, direcionada à concretização dos objetivos fundament</w:t>
      </w:r>
    </w:p>
    <w:p>
      <w:pPr>
        <w:ind w:left="288"/>
      </w:pPr>
      <w:r>
        <w:rPr>
          <w:b/>
          <w:color w:val="003CA0"/>
          <w:sz w:val="16"/>
        </w:rPr>
        <w:t>[ADI 7.174, rel. min. Nunes Marques, j. 29.11.2024, P, DJE de 18.12.2024.]</w:t>
      </w:r>
    </w:p>
    <w:p>
      <w:pPr>
        <w:ind w:left="144"/>
      </w:pPr>
      <w:r>
        <w:rPr>
          <w:b/>
          <w:color w:val="B45A00"/>
          <w:sz w:val="16"/>
        </w:rPr>
        <w:t>CONTROLE CONCENTRADO</w:t>
      </w:r>
    </w:p>
    <w:p>
      <w:pPr>
        <w:ind w:left="288"/>
      </w:pPr>
      <w:r>
        <w:rPr>
          <w:color w:val="8C8C8C"/>
          <w:sz w:val="12"/>
        </w:rPr>
        <w:t>cf-art-170-inc-IV</w:t>
      </w:r>
      <w:r>
        <w:rPr>
          <w:color w:val="003CA0"/>
          <w:sz w:val="12"/>
        </w:rPr>
        <w:t xml:space="preserve"> | ADI 5.472</w:t>
      </w:r>
      <w:r>
        <w:rPr>
          <w:color w:val="003CA0"/>
          <w:sz w:val="12"/>
        </w:rPr>
        <w:t xml:space="preserve"> | rel. Edson Fachin</w:t>
      </w:r>
    </w:p>
    <w:p>
      <w:pPr>
        <w:ind w:left="288"/>
      </w:pPr>
      <w:r>
        <w:rPr>
          <w:color w:val="1E1E1E"/>
          <w:sz w:val="18"/>
        </w:rPr>
        <w:t>Ofende a vedação à discriminação tributária de natureza espacial a fixação de reserva de mercado a prestadores domiciliados em determinado Estado-membro como requisito para a fruição de regime tributário favorecido e de acesso a investimentos públicos. (...) Há desequilíbrio concorrencial no mercado interno, quando ato legislativo incentiva a concentração de mercados e eventual cartelização das cadeias produtivas. No caso, atentam contra a livre concorrência os requisitos para fruição dos subsídios financeiros e econômicos criados por ente federativo às sociedades empresárias do ramo automobil</w:t>
      </w:r>
    </w:p>
    <w:p>
      <w:pPr>
        <w:ind w:left="288"/>
      </w:pPr>
      <w:r>
        <w:rPr>
          <w:b/>
          <w:color w:val="003CA0"/>
          <w:sz w:val="16"/>
        </w:rPr>
        <w:t>[ADI 5.472, rel. min. Edson Fachin, j. 1º-8-2018, P, DJE de 14-8-2018.]</w:t>
      </w:r>
    </w:p>
    <w:p>
      <w:pPr>
        <w:ind w:left="144"/>
      </w:pPr>
      <w:r>
        <w:rPr>
          <w:b/>
          <w:color w:val="B45A00"/>
          <w:sz w:val="16"/>
        </w:rPr>
        <w:t>REPERCUSSAO GERAL</w:t>
      </w:r>
    </w:p>
    <w:p>
      <w:pPr>
        <w:ind w:left="288"/>
      </w:pPr>
      <w:r>
        <w:rPr>
          <w:color w:val="8C8C8C"/>
          <w:sz w:val="12"/>
        </w:rPr>
        <w:t>cf-art-170-inc-IV</w:t>
      </w:r>
      <w:r>
        <w:rPr>
          <w:color w:val="003CA0"/>
          <w:sz w:val="12"/>
        </w:rPr>
        <w:t xml:space="preserve"> | ARE 1.266.095</w:t>
      </w:r>
      <w:r>
        <w:rPr>
          <w:color w:val="003CA0"/>
          <w:sz w:val="12"/>
        </w:rPr>
        <w:t xml:space="preserve"> | rel. Dias Toffoli</w:t>
      </w:r>
    </w:p>
    <w:p>
      <w:pPr>
        <w:ind w:left="288"/>
      </w:pPr>
      <w:r>
        <w:rPr>
          <w:color w:val="1E1E1E"/>
          <w:sz w:val="18"/>
        </w:rPr>
        <w:t>Discussão sobre a exclusividade da propriedade industrial em razão da demora na concessão do registro de marca pelo INPI concomitante ao surgimento de uso mundialmente consagrado da mesma marca por concorrente.</w:t>
      </w:r>
    </w:p>
    <w:p>
      <w:pPr>
        <w:ind w:left="288"/>
      </w:pPr>
      <w:r>
        <w:rPr>
          <w:b/>
          <w:color w:val="003CA0"/>
          <w:sz w:val="16"/>
        </w:rPr>
        <w:t>[ARE 1.266.095 RG, rel. min. Dias Toffoli, j. 17-3-2022, P, DJE de 25-4-2022, Tema 1.205, com mérito pendente.]</w:t>
      </w:r>
    </w:p>
    <w:p>
      <w:pPr>
        <w:ind w:left="288"/>
      </w:pPr>
      <w:r>
        <w:rPr>
          <w:color w:val="8C8C8C"/>
          <w:sz w:val="12"/>
        </w:rPr>
        <w:t>cf-art-170-inc-IV</w:t>
      </w:r>
      <w:r>
        <w:rPr>
          <w:color w:val="003CA0"/>
          <w:sz w:val="12"/>
        </w:rPr>
        <w:t xml:space="preserve"> | ARE 1.378.976</w:t>
      </w:r>
      <w:r>
        <w:rPr>
          <w:color w:val="003CA0"/>
          <w:sz w:val="12"/>
        </w:rPr>
        <w:t xml:space="preserve"> | rel. André Mendonça</w:t>
      </w:r>
    </w:p>
    <w:p>
      <w:pPr>
        <w:ind w:left="288"/>
      </w:pPr>
      <w:r>
        <w:rPr>
          <w:color w:val="1E1E1E"/>
          <w:sz w:val="18"/>
        </w:rPr>
        <w:t>“Ofende o princípio da livre concorrência lei municipal pela qual se estabelece limite máximo de estabelecimentos farmacêuticos e drogarias que podem estar abertos fora do horário definido como regular pela norma municipal.”</w:t>
      </w:r>
    </w:p>
    <w:p>
      <w:pPr>
        <w:ind w:left="288"/>
      </w:pPr>
      <w:r>
        <w:rPr>
          <w:b/>
          <w:color w:val="003CA0"/>
          <w:sz w:val="16"/>
        </w:rPr>
        <w:t>[ARE 1.378.976 AgR-EDv, rel. min. André Mendonça, j. 02.06.2025, P, DJE de 03.07.2025.]</w:t>
      </w:r>
    </w:p>
    <w:p>
      <w:pPr>
        <w:ind w:left="144"/>
      </w:pPr>
      <w:r>
        <w:rPr>
          <w:b/>
          <w:color w:val="B45A00"/>
          <w:sz w:val="16"/>
        </w:rPr>
        <w:t>JULGADOS CORRELATOS</w:t>
      </w:r>
    </w:p>
    <w:p>
      <w:pPr>
        <w:ind w:left="288"/>
      </w:pPr>
      <w:r>
        <w:rPr>
          <w:color w:val="8C8C8C"/>
          <w:sz w:val="12"/>
        </w:rPr>
        <w:t>cf-art-170-inc-IV</w:t>
      </w:r>
      <w:r>
        <w:rPr>
          <w:color w:val="003CA0"/>
          <w:sz w:val="12"/>
        </w:rPr>
        <w:t xml:space="preserve"> | ARE 884.000</w:t>
      </w:r>
      <w:r>
        <w:rPr>
          <w:color w:val="003CA0"/>
          <w:sz w:val="12"/>
        </w:rPr>
        <w:t xml:space="preserve"> | rel. Dias Toffoli</w:t>
      </w:r>
    </w:p>
    <w:p>
      <w:pPr>
        <w:ind w:left="288"/>
      </w:pPr>
      <w:r>
        <w:rPr>
          <w:color w:val="1E1E1E"/>
          <w:sz w:val="18"/>
        </w:rPr>
        <w:t>Decreto distrital 30.008/2009. Estabelecimento de norma para a consignação em folha de pagamento de empregados pertencentes ao quadro de pessoal das empresas públicas e sociedades de economia mista do Distrito Federal. Exclusividade de concessão de empréstimo consignado pactuado entre determinada instituição financeira e o ente federado. (...) os contratos de exclusividade pactuados entre instituição financeira e ente federado violam os princípios da livre concorrência e da livre escolha do consumidor.</w:t>
      </w:r>
    </w:p>
    <w:p>
      <w:pPr>
        <w:ind w:left="288"/>
      </w:pPr>
      <w:r>
        <w:rPr>
          <w:b/>
          <w:color w:val="003CA0"/>
          <w:sz w:val="16"/>
        </w:rPr>
        <w:t>[ARE 884.000 AgR-segundo, rel. min. Dias Toffoli, j. 8-6-2018, 2ª T, DJE de 26-6-2018.]</w:t>
      </w:r>
    </w:p>
    <w:p>
      <w:pPr>
        <w:ind w:left="288"/>
      </w:pPr>
      <w:r>
        <w:rPr>
          <w:color w:val="8C8C8C"/>
          <w:sz w:val="12"/>
        </w:rPr>
        <w:t>cf-art-170-inc-IV</w:t>
      </w:r>
      <w:r>
        <w:rPr>
          <w:color w:val="003CA0"/>
          <w:sz w:val="12"/>
        </w:rPr>
        <w:t xml:space="preserve"> | AI 518.405</w:t>
      </w:r>
      <w:r>
        <w:rPr>
          <w:color w:val="003CA0"/>
          <w:sz w:val="12"/>
        </w:rPr>
        <w:t xml:space="preserve"> | rel. Joaquim Barbosa</w:t>
      </w:r>
    </w:p>
    <w:p>
      <w:pPr>
        <w:ind w:left="288"/>
      </w:pPr>
      <w:r>
        <w:rPr>
          <w:color w:val="1E1E1E"/>
          <w:sz w:val="18"/>
        </w:rPr>
        <w:t>A imunidade tributária prevista no art. 150, VI, a, da Constituição aplica-se às operações de importação de bens realizadas por Municípios, quando o ente público for o importador do bem (identidade entre o "contribuinte de direito" e o "contribuinte de fato"). Compete ao ente tributante provar que as operações de importação desoneradas estão influindo negativamente no mercado, a ponto de violar o art. 170 da Constituição. Impossibilidade de presumir risco à livre-iniciativa e à concorrência.</w:t>
      </w:r>
    </w:p>
    <w:p>
      <w:pPr>
        <w:ind w:left="288"/>
      </w:pPr>
      <w:r>
        <w:rPr>
          <w:b/>
          <w:color w:val="003CA0"/>
          <w:sz w:val="16"/>
        </w:rPr>
        <w:t>[AI 518.405 AgR, rel. min. Joaquim Barbosa, j. 6-4-2010, 2ª T, DJE de 30-4-2010.]</w:t>
      </w:r>
    </w:p>
    <w:p>
      <w:pPr>
        <w:ind w:left="288"/>
      </w:pPr>
      <w:r>
        <w:rPr>
          <w:color w:val="8C8C8C"/>
          <w:sz w:val="12"/>
        </w:rPr>
        <w:t>cf-art-170-inc-IV</w:t>
      </w:r>
      <w:r>
        <w:rPr>
          <w:color w:val="003CA0"/>
          <w:sz w:val="12"/>
        </w:rPr>
        <w:t xml:space="preserve"> | AI 671.412</w:t>
      </w:r>
      <w:r>
        <w:rPr>
          <w:color w:val="003CA0"/>
          <w:sz w:val="12"/>
        </w:rPr>
        <w:t xml:space="preserve"> | rel. Eros Grau</w:t>
      </w:r>
    </w:p>
    <w:p>
      <w:pPr>
        <w:ind w:left="288"/>
      </w:pPr>
      <w:r>
        <w:rPr>
          <w:color w:val="1E1E1E"/>
          <w:sz w:val="18"/>
        </w:rPr>
        <w:t>Vide AI 671.412 AgR, rel. min. Eros Grau, j. 1º-4-2008, 2ª T, DJE de 25-4-2008 A garantia da ordem econômica autoriza a custódia cautelar, se as atividades ilícitas do grupo criminoso a que, supostamente, pertence o paciente repercutem negativamente no comércio lícito e, portanto, alcançam um indeterminado contingente de trabalhadores e comerciantes honestos. Vulneração do princípio constitucional da livre concorrência.</w:t>
      </w:r>
    </w:p>
    <w:p>
      <w:pPr>
        <w:ind w:left="288"/>
      </w:pPr>
      <w:r>
        <w:rPr>
          <w:b/>
          <w:color w:val="003CA0"/>
          <w:sz w:val="16"/>
        </w:rPr>
        <w:t>[HC 91.285, rel. min. Ayres Britto, j. 13-11-2007, 1ª T, DJE de 25-4-2008.]</w:t>
      </w:r>
    </w:p>
    <w:p>
      <w:pPr>
        <w:ind w:left="144"/>
      </w:pPr>
      <w:r>
        <w:rPr>
          <w:b/>
          <w:color w:val="B45A00"/>
          <w:sz w:val="16"/>
        </w:rPr>
        <w:t>CONTROLE CONCENTRADO</w:t>
      </w:r>
    </w:p>
    <w:p>
      <w:pPr>
        <w:ind w:left="288"/>
      </w:pPr>
      <w:r>
        <w:rPr>
          <w:color w:val="8C8C8C"/>
          <w:sz w:val="12"/>
        </w:rPr>
        <w:t>cf-art-170-inc-V</w:t>
      </w:r>
      <w:r>
        <w:rPr>
          <w:color w:val="003CA0"/>
          <w:sz w:val="12"/>
        </w:rPr>
        <w:t xml:space="preserve"> | ADI 6.921</w:t>
      </w:r>
      <w:r>
        <w:rPr>
          <w:color w:val="003CA0"/>
          <w:sz w:val="12"/>
        </w:rPr>
        <w:t xml:space="preserve"> | rel. Alexandre de Moraes</w:t>
      </w:r>
    </w:p>
    <w:p>
      <w:pPr>
        <w:ind w:left="288"/>
      </w:pPr>
      <w:r>
        <w:rPr>
          <w:color w:val="1E1E1E"/>
          <w:sz w:val="18"/>
        </w:rPr>
        <w:t>Medida Provisória 1018/2020. Conversão na Lei 14.173/2021. Emenda parlamentar. Inclusão do art. 32, §15, da Lei 12.485/2011. Carregamento de canais de programação de distribuição obrigatória por distribuidoras de tv por assinatura (must-carry). (...) O princípio da livre iniciativa, garantido no art. 170 da Constituição, não proíbe o Estado de atuar subsidiariamente sobre a dinâmica econômica para garantir o alcance de objetivos indispensáveis para a manutenção da coesão social, entre eles a proteção do consumidor e a redução das desigualdades regionais e sociais (art. 170, V e VII, da CF), be</w:t>
      </w:r>
    </w:p>
    <w:p>
      <w:pPr>
        <w:ind w:left="288"/>
      </w:pPr>
      <w:r>
        <w:rPr>
          <w:b/>
          <w:color w:val="003CA0"/>
          <w:sz w:val="16"/>
        </w:rPr>
        <w:t>[ADI 6.407, rel. min. Gilmar Mendes, j. 3-5-2021, P, DJE de 13-5-2021.]</w:t>
      </w:r>
    </w:p>
    <w:p>
      <w:pPr>
        <w:ind w:left="288"/>
      </w:pPr>
      <w:r>
        <w:rPr>
          <w:color w:val="8C8C8C"/>
          <w:sz w:val="12"/>
        </w:rPr>
        <w:t>cf-art-170-inc-V</w:t>
      </w:r>
      <w:r>
        <w:rPr>
          <w:color w:val="003CA0"/>
          <w:sz w:val="12"/>
        </w:rPr>
        <w:t xml:space="preserve"> | ADI 6.123</w:t>
      </w:r>
    </w:p>
    <w:p>
      <w:pPr>
        <w:ind w:left="288"/>
      </w:pPr>
      <w:r>
        <w:rPr>
          <w:color w:val="1E1E1E"/>
          <w:sz w:val="18"/>
        </w:rPr>
        <w:t>Dispositivos do Código de Defesa do Consumidor do Estado de Pernambuco (Lei Estadual 16.559/2019). (...) Os arts. 20, § 3º, VII, 107, 108, 109, 133, 134, 137, 138 e 139 da lei pernambucana estabelecem diversas obrigações voltadas a uma maior transparência e garantia de acesso facilitado a informações essenciais por parte dos usuários dos serviços prestados pelas operadoras de planos e seguros de saúde. Embora os dispositivos legais tenham essas empresas como destinatárias, sua principal finalidade é a implementação de um modelo de informação ao consumidor. (...) O princípio da livre iniciativa</w:t>
      </w:r>
    </w:p>
    <w:p>
      <w:pPr>
        <w:ind w:left="288"/>
      </w:pPr>
      <w:r>
        <w:rPr>
          <w:b/>
          <w:color w:val="003CA0"/>
          <w:sz w:val="16"/>
        </w:rPr>
        <w:t>[ADI 6.123, red.do ac. min. Alexandre de Moraes, j. 8-4-2021, P, DJE de 16-4-2021.]</w:t>
      </w:r>
    </w:p>
    <w:p>
      <w:pPr>
        <w:ind w:left="288"/>
      </w:pPr>
      <w:r>
        <w:rPr>
          <w:color w:val="8C8C8C"/>
          <w:sz w:val="12"/>
        </w:rPr>
        <w:t>cf-art-170-inc-V</w:t>
      </w:r>
      <w:r>
        <w:rPr>
          <w:color w:val="003CA0"/>
          <w:sz w:val="12"/>
        </w:rPr>
        <w:t xml:space="preserve"> | ADI 4.613</w:t>
      </w:r>
      <w:r>
        <w:rPr>
          <w:color w:val="003CA0"/>
          <w:sz w:val="12"/>
        </w:rPr>
        <w:t xml:space="preserve"> | rel. Dias Toffoli</w:t>
      </w:r>
    </w:p>
    <w:p>
      <w:pPr>
        <w:ind w:left="288"/>
      </w:pPr>
      <w:r>
        <w:rPr>
          <w:color w:val="1E1E1E"/>
          <w:sz w:val="18"/>
        </w:rPr>
        <w:t>A Lei 12.006/2009 acrescentou, no Código de Trânsito Brasileiro, dispositivos que determinavam a veiculação de mensagens educativas de trânsito em peças publicitárias de produtos da indústria automobilística (arts. 77-A e 77-E). As normas não trazem qualquer restrição à plena liberdade de comunicação das empresas ou à livre iniciativa e não excluem, ademais, a responsabilidade do Estado em promover, por ato próprio, publicações de mensagens educativas de trânsito. Trata-se, apenas, de cooperação da indústria automobilística, consectária da proteção ao consumidor e da função social da proprieda</w:t>
      </w:r>
    </w:p>
    <w:p>
      <w:pPr>
        <w:ind w:left="288"/>
      </w:pPr>
      <w:r>
        <w:rPr>
          <w:b/>
          <w:color w:val="003CA0"/>
          <w:sz w:val="16"/>
        </w:rPr>
        <w:t>[ADI 4.613, rel. min. Dias Toffoli, j. 20-9-2018, P, DJE de 3-12-2018.]</w:t>
      </w:r>
    </w:p>
    <w:p>
      <w:pPr>
        <w:ind w:left="288"/>
      </w:pPr>
      <w:r>
        <w:rPr>
          <w:color w:val="8C8C8C"/>
          <w:sz w:val="12"/>
        </w:rPr>
        <w:t>cf-art-170-inc-V</w:t>
      </w:r>
      <w:r>
        <w:rPr>
          <w:color w:val="003CA0"/>
          <w:sz w:val="12"/>
        </w:rPr>
        <w:t xml:space="preserve"> | ADI 1.980</w:t>
      </w:r>
      <w:r>
        <w:rPr>
          <w:color w:val="003CA0"/>
          <w:sz w:val="12"/>
        </w:rPr>
        <w:t xml:space="preserve"> | rel. Cezar Peluso</w:t>
      </w:r>
    </w:p>
    <w:p>
      <w:pPr>
        <w:ind w:left="288"/>
      </w:pPr>
      <w:r>
        <w:rPr>
          <w:color w:val="1E1E1E"/>
          <w:sz w:val="18"/>
        </w:rPr>
        <w:t>A competência do Estado para instituir regras de efetiva proteção aos consumidores nasce-lhe do art. 24, V e VIII, c/c o § 2º (...). Cumpre ao Estado legislar concorrentemente, de forma específica, adaptando as normas gerais de "produção e consumo" e de "responsabilidade por dano ao (...) consumidor" expedidas pela União às peculiaridades e circunstâncias locais. E foi o que fez a legislação impugnada, pretendendo dar concreção e efetividade aos ditames da legislação federal correlativa, em tema de comercialização de combustíveis.</w:t>
      </w:r>
    </w:p>
    <w:p>
      <w:pPr>
        <w:ind w:left="288"/>
      </w:pPr>
      <w:r>
        <w:rPr>
          <w:b/>
          <w:color w:val="003CA0"/>
          <w:sz w:val="16"/>
        </w:rPr>
        <w:t>[ADI 1.980, voto do rel. min. Cezar Peluso, j. 16-4-2009, P, DJE de 7-8-2009.]</w:t>
      </w:r>
    </w:p>
    <w:p>
      <w:pPr>
        <w:ind w:left="288"/>
      </w:pPr>
      <w:r>
        <w:rPr>
          <w:color w:val="8C8C8C"/>
          <w:sz w:val="12"/>
        </w:rPr>
        <w:t>cf-art-170-inc-V</w:t>
      </w:r>
      <w:r>
        <w:rPr>
          <w:color w:val="003CA0"/>
          <w:sz w:val="12"/>
        </w:rPr>
        <w:t xml:space="preserve"> | ADI 2.832</w:t>
      </w:r>
      <w:r>
        <w:rPr>
          <w:color w:val="003CA0"/>
          <w:sz w:val="12"/>
        </w:rPr>
        <w:t xml:space="preserve"> | rel. Ricardo Lewandowski</w:t>
      </w:r>
    </w:p>
    <w:p>
      <w:pPr>
        <w:ind w:left="288"/>
      </w:pPr>
      <w:r>
        <w:rPr>
          <w:color w:val="1E1E1E"/>
          <w:sz w:val="18"/>
        </w:rPr>
        <w:t>= ADI 2.832, rel. min. Ricardo Lewandowski, j. 7-5-2008, P, DJE de 20-6-2008 Aparenta inconstitucionalidade a resolução de autoridade estadual que, sob pretexto do exercício do poder de polícia, discipline horário de funcionamento de estabelecimentos comerciais, matéria de consumo e assuntos análogos.</w:t>
      </w:r>
    </w:p>
    <w:p>
      <w:pPr>
        <w:ind w:left="288"/>
      </w:pPr>
      <w:r>
        <w:rPr>
          <w:b/>
          <w:color w:val="003CA0"/>
          <w:sz w:val="16"/>
        </w:rPr>
        <w:t>[ADI 3.731 MC, rel. min. Cezar Peluso, j. 29-8-2007, P, DJ de 11-10-2007.]</w:t>
      </w:r>
    </w:p>
    <w:p>
      <w:pPr>
        <w:ind w:left="288"/>
      </w:pPr>
      <w:r>
        <w:rPr>
          <w:color w:val="8C8C8C"/>
          <w:sz w:val="12"/>
        </w:rPr>
        <w:t>cf-art-170-inc-V</w:t>
      </w:r>
      <w:r>
        <w:rPr>
          <w:color w:val="003CA0"/>
          <w:sz w:val="12"/>
        </w:rPr>
        <w:t xml:space="preserve"> | ADI 2.591</w:t>
      </w:r>
      <w:r>
        <w:rPr>
          <w:color w:val="003CA0"/>
          <w:sz w:val="12"/>
        </w:rPr>
        <w:t xml:space="preserve"> | rel. Eros Grau</w:t>
      </w:r>
    </w:p>
    <w:p>
      <w:pPr>
        <w:ind w:left="288"/>
      </w:pPr>
      <w:r>
        <w:rPr>
          <w:color w:val="1E1E1E"/>
          <w:sz w:val="18"/>
        </w:rPr>
        <w:t>As instituições financeiras estão, todas elas, alcançadas pela incidência das normas veiculadas pelo Código de Defesa do Consumidor. "Consumidor", para os efeitos do Código de Defesa do Consumidor, é toda pessoa física ou jurídica que utiliza, como destinatário final, atividade bancária, financeira e de crédito.</w:t>
      </w:r>
    </w:p>
    <w:p>
      <w:pPr>
        <w:ind w:left="288"/>
      </w:pPr>
      <w:r>
        <w:rPr>
          <w:b/>
          <w:color w:val="003CA0"/>
          <w:sz w:val="16"/>
        </w:rPr>
        <w:t>[ADI 2.591 ED, rel. min. Eros Grau, j. 14-12-2006, P, DJ de 13-4-2007.]</w:t>
      </w:r>
    </w:p>
    <w:p>
      <w:pPr>
        <w:ind w:left="288"/>
      </w:pPr>
      <w:r>
        <w:rPr>
          <w:color w:val="8C8C8C"/>
          <w:sz w:val="12"/>
        </w:rPr>
        <w:t>cf-art-170-inc-V</w:t>
      </w:r>
      <w:r>
        <w:rPr>
          <w:color w:val="003CA0"/>
          <w:sz w:val="12"/>
        </w:rPr>
        <w:t xml:space="preserve"> | AI 745.853</w:t>
      </w:r>
      <w:r>
        <w:rPr>
          <w:color w:val="003CA0"/>
          <w:sz w:val="12"/>
        </w:rPr>
        <w:t xml:space="preserve"> | rel. Luiz Fux</w:t>
      </w:r>
    </w:p>
    <w:p>
      <w:pPr>
        <w:ind w:left="288"/>
      </w:pPr>
      <w:r>
        <w:rPr>
          <w:color w:val="1E1E1E"/>
          <w:sz w:val="18"/>
        </w:rPr>
        <w:t>= AI 745.853 AgR, rel. min. Luiz Fux, j. 20-3-2012, 1ª T, DJE de 17-4-2012 Comercialização de produtos por meio de vasilhames, recipientes ou embalagens reutilizáveis. Gás liquefeito de petróleo engarrafado [GLP]. Diretrizes relativas à requalificação dos botijões. (...) O texto normativo questionado contém diretrizes relativamente ao consumo de produtos acondicionados em recipientes reutilizáveis – matéria em relação à qual o Estado-membro detém competência legislativa (art. 24, V, da Constituição do Brasil). Quanto ao GLP, a lei impugnada determina que o titular da marca estampada em vasilha</w:t>
      </w:r>
    </w:p>
    <w:p>
      <w:pPr>
        <w:ind w:left="288"/>
      </w:pPr>
      <w:r>
        <w:rPr>
          <w:b/>
          <w:color w:val="003CA0"/>
          <w:sz w:val="16"/>
        </w:rPr>
        <w:t>[ADI 2.359, rel. min. Eros Grau, j. 27-9-2005, P, DJ de 7-12-2006.]</w:t>
      </w:r>
    </w:p>
    <w:p>
      <w:pPr>
        <w:ind w:left="288"/>
      </w:pPr>
      <w:r>
        <w:rPr>
          <w:color w:val="8C8C8C"/>
          <w:sz w:val="12"/>
        </w:rPr>
        <w:t>cf-art-170-inc-V</w:t>
      </w:r>
      <w:r>
        <w:rPr>
          <w:color w:val="003CA0"/>
          <w:sz w:val="12"/>
        </w:rPr>
        <w:t xml:space="preserve"> | ADI 2.818</w:t>
      </w:r>
      <w:r>
        <w:rPr>
          <w:color w:val="003CA0"/>
          <w:sz w:val="12"/>
        </w:rPr>
        <w:t xml:space="preserve"> | rel. Dias Toffoli</w:t>
      </w:r>
    </w:p>
    <w:p>
      <w:pPr>
        <w:ind w:left="288"/>
      </w:pPr>
      <w:r>
        <w:rPr>
          <w:color w:val="1E1E1E"/>
          <w:sz w:val="18"/>
        </w:rPr>
        <w:t>= ADI 2.818, rel. min. Dias Toffoli, j. 9-5-2013, P, DJE de 1º-8-2013</w:t>
      </w:r>
    </w:p>
    <w:p>
      <w:pPr>
        <w:ind w:left="144"/>
      </w:pPr>
      <w:r>
        <w:rPr>
          <w:b/>
          <w:color w:val="B45A00"/>
          <w:sz w:val="16"/>
        </w:rPr>
        <w:t>REPERCUSSAO GERAL</w:t>
      </w:r>
    </w:p>
    <w:p>
      <w:pPr>
        <w:ind w:left="288"/>
      </w:pPr>
      <w:r>
        <w:rPr>
          <w:color w:val="8C8C8C"/>
          <w:sz w:val="12"/>
        </w:rPr>
        <w:t>cf-art-170-inc-V</w:t>
      </w:r>
      <w:r>
        <w:rPr>
          <w:color w:val="003CA0"/>
          <w:sz w:val="12"/>
        </w:rPr>
        <w:t xml:space="preserve"> | RE 636.331</w:t>
      </w:r>
      <w:r>
        <w:rPr>
          <w:color w:val="003CA0"/>
          <w:sz w:val="12"/>
        </w:rPr>
        <w:t xml:space="preserve"> | rel. Gilmar Mendes</w:t>
      </w:r>
    </w:p>
    <w:p>
      <w:pPr>
        <w:ind w:left="288"/>
      </w:pPr>
      <w:r>
        <w:rPr>
          <w:color w:val="1E1E1E"/>
          <w:sz w:val="18"/>
        </w:rPr>
        <w:t xml:space="preserve">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w:t>
        <w:br/>
        <w:t>[RE 636.331, rel. min. Gilmar Mendes, j. 25-5-2017, P, DJE de 13-11-2017, Tema 210, com mérito julgado.] Em relação à afronta ao art. 178, da CF/1988, o Plenário do SUPREMO TRIBUNAL FEDERAL, no RE 636.331-RG (Rel. Min. GILMAR MENDES, Tema 210), examinou a repercussão geral da questão constitucional debatida neste rec</w:t>
      </w:r>
    </w:p>
    <w:p>
      <w:pPr>
        <w:ind w:left="288"/>
      </w:pPr>
      <w:r>
        <w:rPr>
          <w:b/>
          <w:color w:val="003CA0"/>
          <w:sz w:val="16"/>
        </w:rPr>
        <w:t>[RE 1.047.443 AgR, rel. min. Alexandre de Moraes, j. 04.02.2025, 1ª T, DJE de 11.02.2025.]</w:t>
      </w:r>
    </w:p>
    <w:p>
      <w:pPr>
        <w:ind w:left="144"/>
      </w:pPr>
      <w:r>
        <w:rPr>
          <w:b/>
          <w:color w:val="B45A00"/>
          <w:sz w:val="16"/>
        </w:rPr>
        <w:t>JULGADOS CORRELATOS</w:t>
      </w:r>
    </w:p>
    <w:p>
      <w:pPr>
        <w:ind w:left="288"/>
      </w:pPr>
      <w:r>
        <w:rPr>
          <w:color w:val="8C8C8C"/>
          <w:sz w:val="12"/>
        </w:rPr>
        <w:t>cf-art-170-inc-V</w:t>
      </w:r>
      <w:r>
        <w:rPr>
          <w:color w:val="003CA0"/>
          <w:sz w:val="12"/>
        </w:rPr>
        <w:t xml:space="preserve"> | RMS 23.732</w:t>
      </w:r>
      <w:r>
        <w:rPr>
          <w:color w:val="003CA0"/>
          <w:sz w:val="12"/>
        </w:rPr>
        <w:t xml:space="preserve"> | rel. Gilmar Mendes</w:t>
      </w:r>
    </w:p>
    <w:p>
      <w:pPr>
        <w:ind w:left="288"/>
      </w:pPr>
      <w:r>
        <w:rPr>
          <w:color w:val="1E1E1E"/>
          <w:sz w:val="18"/>
        </w:rPr>
        <w:t>Tais dispositivos buscam realizar o postulado constitucional da defesa do consumidor, consagrado expressamente nos arts. 5º, XXXII, e 170, V, da CF/1988. Nesse sentido, não viola a Constituição a obrigação de afixar etiquetas indicativas do preço diretamente nas mercadorias. (...) não há que se falar em ofensa ao princípio da proporcionalidade, pois o ato impugnado revelou-se adequado e necessário, atingindo sua finalidade de proteção e defesa do consumidor, tal qual estabelece o art. 5º, XXXII, da CF de 1988.</w:t>
      </w:r>
    </w:p>
    <w:p>
      <w:pPr>
        <w:ind w:left="288"/>
      </w:pPr>
      <w:r>
        <w:rPr>
          <w:b/>
          <w:color w:val="003CA0"/>
          <w:sz w:val="16"/>
        </w:rPr>
        <w:t>[RMS 23.732, voto do rel. min. Gilmar Mendes, j. 17-11-2009, 2ª T, DJE de 19-2-2010.]</w:t>
      </w:r>
    </w:p>
    <w:p>
      <w:pPr>
        <w:ind w:left="288"/>
      </w:pPr>
      <w:r>
        <w:rPr>
          <w:color w:val="8C8C8C"/>
          <w:sz w:val="12"/>
        </w:rPr>
        <w:t>cf-art-170-inc-V</w:t>
      </w:r>
      <w:r>
        <w:rPr>
          <w:color w:val="003CA0"/>
          <w:sz w:val="12"/>
        </w:rPr>
        <w:t xml:space="preserve"> | RE 189.170</w:t>
      </w:r>
    </w:p>
    <w:p>
      <w:pPr>
        <w:ind w:left="288"/>
      </w:pPr>
      <w:r>
        <w:rPr>
          <w:color w:val="1E1E1E"/>
          <w:sz w:val="18"/>
        </w:rPr>
        <w:t>Farmácia. Fixação de horário de funcionamento. Assunto de interesse local. A fixação de horário de funcionamento para o comércio dentro da área municipal pode ser feita por lei local, visando ao interesse do consumidor e evitando a dominação do mercado por oligopólio.</w:t>
      </w:r>
    </w:p>
    <w:p>
      <w:pPr>
        <w:ind w:left="288"/>
      </w:pPr>
      <w:r>
        <w:rPr>
          <w:b/>
          <w:color w:val="003CA0"/>
          <w:sz w:val="16"/>
        </w:rPr>
        <w:t>[RE 189.170, red.do ac. min. Maurício Corrêa, j. 1º-2-2001, P, DJ de 8-8-2003.]</w:t>
      </w:r>
    </w:p>
    <w:p>
      <w:pPr>
        <w:ind w:left="288"/>
      </w:pPr>
      <w:r>
        <w:rPr>
          <w:color w:val="8C8C8C"/>
          <w:sz w:val="12"/>
        </w:rPr>
        <w:t>cf-art-170-inc-V</w:t>
      </w:r>
      <w:r>
        <w:rPr>
          <w:color w:val="003CA0"/>
          <w:sz w:val="12"/>
        </w:rPr>
        <w:t xml:space="preserve"> | AI 729.307</w:t>
      </w:r>
      <w:r>
        <w:rPr>
          <w:color w:val="003CA0"/>
          <w:sz w:val="12"/>
        </w:rPr>
        <w:t xml:space="preserve"> | rel. Cármen Lúcia</w:t>
      </w:r>
    </w:p>
    <w:p>
      <w:pPr>
        <w:ind w:left="288"/>
      </w:pPr>
      <w:r>
        <w:rPr>
          <w:color w:val="1E1E1E"/>
          <w:sz w:val="18"/>
        </w:rPr>
        <w:t>= AI 729.307 ED, rel. min. Cármen Lúcia, j. 27-10-2009, 1ª T, DJE de 4-12-2009</w:t>
      </w:r>
    </w:p>
    <w:p>
      <w:pPr>
        <w:ind w:left="144"/>
      </w:pPr>
      <w:r>
        <w:rPr>
          <w:b/>
          <w:color w:val="B45A00"/>
          <w:sz w:val="16"/>
        </w:rPr>
        <w:t>CONTROLE CONCENTRADO</w:t>
      </w:r>
    </w:p>
    <w:p>
      <w:pPr>
        <w:ind w:left="288"/>
      </w:pPr>
      <w:r>
        <w:rPr>
          <w:color w:val="8C8C8C"/>
          <w:sz w:val="12"/>
        </w:rPr>
        <w:t>cf-art-170-inc-VI</w:t>
      </w:r>
      <w:r>
        <w:rPr>
          <w:color w:val="003CA0"/>
          <w:sz w:val="12"/>
        </w:rPr>
        <w:t xml:space="preserve"> | ADPF 101</w:t>
      </w:r>
      <w:r>
        <w:rPr>
          <w:color w:val="003CA0"/>
          <w:sz w:val="12"/>
        </w:rPr>
        <w:t xml:space="preserve"> | rel. Cármen Lúcia</w:t>
      </w:r>
    </w:p>
    <w:p>
      <w:pPr>
        <w:ind w:left="288"/>
      </w:pPr>
      <w:r>
        <w:rPr>
          <w:color w:val="1E1E1E"/>
          <w:sz w:val="18"/>
        </w:rPr>
        <w:t>Constitucionalidade de atos normativos proibitivos da importação de pneus usados. Reciclagem de pneus usados: ausência de eliminação total dos seus efeitos nocivos à saúde e ao meio ambiente equilibrado. Afrontas aos princípios constitucionais da saúde e do meio ambiente ecologicamente equilibrado. (...) Desenvolvimento sustentável: crescimento econômico com garantia paralela e superiormente respeitada da saúde da população, cujos direitos devem ser observados em face das necessidades atuais e daquelas previsíveis e a serem prevenidas para garantia e respeito às gerações futuras. Atendimento a</w:t>
      </w:r>
    </w:p>
    <w:p>
      <w:pPr>
        <w:ind w:left="288"/>
      </w:pPr>
      <w:r>
        <w:rPr>
          <w:b/>
          <w:color w:val="003CA0"/>
          <w:sz w:val="16"/>
        </w:rPr>
        <w:t>[ADPF 101, rel. min. Cármen Lúcia, j. 24-6-2009, P, DJE de 4-6-2012.]</w:t>
      </w:r>
    </w:p>
    <w:p>
      <w:pPr>
        <w:ind w:left="288"/>
      </w:pPr>
      <w:r>
        <w:rPr>
          <w:color w:val="8C8C8C"/>
          <w:sz w:val="12"/>
        </w:rPr>
        <w:t>cf-art-170-inc-VI</w:t>
      </w:r>
      <w:r>
        <w:rPr>
          <w:color w:val="003CA0"/>
          <w:sz w:val="12"/>
        </w:rPr>
        <w:t xml:space="preserve"> | ADI 3.540</w:t>
      </w:r>
      <w:r>
        <w:rPr>
          <w:color w:val="003CA0"/>
          <w:sz w:val="12"/>
        </w:rPr>
        <w:t xml:space="preserve"> | rel. Celso de Mello</w:t>
      </w:r>
    </w:p>
    <w:p>
      <w:pPr>
        <w:ind w:left="288"/>
      </w:pPr>
      <w:r>
        <w:rPr>
          <w:color w:val="1E1E1E"/>
          <w:sz w:val="18"/>
        </w:rPr>
        <w:t>A atividade econômica não pode ser exercida em desarmonia com os princípios destinados a tornar efetiva a proteção ao meio ambiente. A incolumidade do meio ambiente não pode ser comprometida por interesses empresariais nem ficar dependente de motivações de índole meramente econômica, ainda mais se se tiver presente que a atividade econômica, considerada a disciplina constitucional que a rege, está subordinada, dentre outros princípios gerais, àquele que privilegia a "defesa do meio ambiente" (CF, art. 170, VI), que traduz conceito amplo e abrangente das noções de meio ambiente natural, de meio</w:t>
      </w:r>
    </w:p>
    <w:p>
      <w:pPr>
        <w:ind w:left="288"/>
      </w:pPr>
      <w:r>
        <w:rPr>
          <w:b/>
          <w:color w:val="003CA0"/>
          <w:sz w:val="16"/>
        </w:rPr>
        <w:t>[ADI 3.540 MC, rel. min. Celso de Mello, j. 1º-9-2005, P, DJ de 3-2-2006.]</w:t>
      </w:r>
    </w:p>
    <w:p>
      <w:pPr>
        <w:ind w:left="144"/>
      </w:pPr>
      <w:r>
        <w:rPr>
          <w:b/>
          <w:color w:val="B45A00"/>
          <w:sz w:val="16"/>
        </w:rPr>
        <w:t>REPERCUSSAO GERAL</w:t>
      </w:r>
    </w:p>
    <w:p>
      <w:pPr>
        <w:ind w:left="288"/>
      </w:pPr>
      <w:r>
        <w:rPr>
          <w:color w:val="8C8C8C"/>
          <w:sz w:val="12"/>
        </w:rPr>
        <w:t>cf-art-170-inc-VI</w:t>
      </w:r>
      <w:r>
        <w:rPr>
          <w:color w:val="003CA0"/>
          <w:sz w:val="12"/>
        </w:rPr>
        <w:t xml:space="preserve"> | RE 607.109</w:t>
      </w:r>
      <w:r>
        <w:rPr>
          <w:color w:val="003CA0"/>
          <w:sz w:val="12"/>
        </w:rPr>
        <w:t xml:space="preserve"> | rel. Rosa Weber</w:t>
      </w:r>
    </w:p>
    <w:p>
      <w:pPr>
        <w:ind w:left="288"/>
      </w:pPr>
      <w:r>
        <w:rPr>
          <w:color w:val="1E1E1E"/>
          <w:sz w:val="18"/>
        </w:rPr>
        <w:t>Artigos 47 e 48 da Lei federal 11.196/2005. Possibilidade de apuração de créditos de PIS/Cofins na aquisição de insumos recicláveis. Coexistência dos regimes cumulativo e não-cumulativo da contribuição ao PIS/Cofins. Dualidade de alíquotas. Prejuízos econômicos ao contribuinte industrial dedicado à reciclagem. Inconstitucionalidade de tratamento tributário prejudicial à indústria de reciclagem. Princípio do protetor recebedor. Possibilidade concreta de os créditos fiscais superarem o valor do PIS/Cofins recolhido na etapa anterior da cadeia de produção. (...) Ética ambiental. Estado Socioambie</w:t>
      </w:r>
    </w:p>
    <w:p>
      <w:pPr>
        <w:ind w:left="144"/>
      </w:pPr>
      <w:r>
        <w:rPr>
          <w:b/>
          <w:color w:val="B45A00"/>
          <w:sz w:val="16"/>
        </w:rPr>
        <w:t>CONTROLE CONCENTRADO</w:t>
      </w:r>
    </w:p>
    <w:p>
      <w:pPr>
        <w:ind w:left="288"/>
      </w:pPr>
      <w:r>
        <w:rPr>
          <w:color w:val="8C8C8C"/>
          <w:sz w:val="12"/>
        </w:rPr>
        <w:t>cf-art-170-inc-VII</w:t>
      </w:r>
      <w:r>
        <w:rPr>
          <w:color w:val="003CA0"/>
          <w:sz w:val="12"/>
        </w:rPr>
        <w:t xml:space="preserve"> | ADI 6.921</w:t>
      </w:r>
      <w:r>
        <w:rPr>
          <w:color w:val="003CA0"/>
          <w:sz w:val="12"/>
        </w:rPr>
        <w:t xml:space="preserve"> | rel. Alexandre de Moraes</w:t>
      </w:r>
    </w:p>
    <w:p>
      <w:pPr>
        <w:ind w:left="288"/>
      </w:pPr>
      <w:r>
        <w:rPr>
          <w:color w:val="1E1E1E"/>
          <w:sz w:val="18"/>
        </w:rPr>
        <w:t>Medida Provisória 1018/2020. Conversão na Lei 14.173/2021. Emenda parlamentar. Inclusão do art. 32, §15, da Lei 12.485/2011. Carregamento de canais de programação de distribuição obrigatória por distribuidoras de tv por assinatura (must-carry). (...) O princípio da livre iniciativa, garantido no art. 170 da Constituição, não proíbe o Estado de atuar subsidiariamente sobre a dinâmica econômica para garantir o alcance de objetivos indispensáveis para a manutenção da coesão social, entre eles a proteção do consumidor e a redução das desigualdades regionais e sociais (art. 170, V e VII, da CF), be</w:t>
      </w:r>
    </w:p>
    <w:p>
      <w:pPr>
        <w:ind w:left="288"/>
      </w:pPr>
      <w:r>
        <w:rPr>
          <w:b/>
          <w:color w:val="003CA0"/>
          <w:sz w:val="16"/>
        </w:rPr>
        <w:t>[ADI 5.657, rel. min. Luiz Fux, j. 17-11-2022, P, DJE de 28-4-2023.]</w:t>
      </w:r>
    </w:p>
    <w:p>
      <w:pPr>
        <w:ind w:left="288"/>
      </w:pPr>
      <w:r>
        <w:rPr>
          <w:color w:val="8C8C8C"/>
          <w:sz w:val="12"/>
        </w:rPr>
        <w:t>cf-art-170-inc-VIII</w:t>
      </w:r>
      <w:r>
        <w:rPr>
          <w:color w:val="003CA0"/>
          <w:sz w:val="12"/>
        </w:rPr>
        <w:t xml:space="preserve"> | ADI 7.222</w:t>
      </w:r>
      <w:r>
        <w:rPr>
          <w:color w:val="003CA0"/>
          <w:sz w:val="12"/>
        </w:rPr>
        <w:t xml:space="preserve"> | rel. Roberto Barroso</w:t>
      </w:r>
    </w:p>
    <w:p>
      <w:pPr>
        <w:ind w:left="288"/>
      </w:pPr>
      <w:r>
        <w:rPr>
          <w:color w:val="1E1E1E"/>
          <w:sz w:val="18"/>
        </w:rPr>
        <w:t>Ação direta de inconstitucionalidade contra a Lei nº 14.434/2022, que altera a Lei nº 7.498/1986 para instituir o piso salarial nacional do enfermeiro, do técnico de enfermagem, do auxiliar de enfermagem e da parteira, a ser aplicado (a) aos profissionais contratados sob o regime da CLT, (b) aos servidores públicos civis da União, das autarquias e fundações públicas federais e (c) aos servidores dos Estados, do Distrito Federal e dos Municípios, de suas autarquias e fundações. (...) valores e bens jurídicos constitucionais substantivos impõem a avaliação prévia acerca (a) do impacto financeiro</w:t>
      </w:r>
    </w:p>
    <w:p>
      <w:pPr>
        <w:ind w:left="288"/>
      </w:pPr>
      <w:r>
        <w:rPr>
          <w:b/>
          <w:color w:val="003CA0"/>
          <w:sz w:val="16"/>
        </w:rPr>
        <w:t>[ADI 7.222 MC-REF, rel. min. Roberto Barroso, j. 19-9-2022, P, DJE de 22-11-2022.]</w:t>
        <w:br/>
        <w:t>Vide ADI 7.222 MC-REF-segundo, rel. min. Roberto Barroso, red. do ac. min. Roberto Barroso e min. Gilmar Mendes (voto conjunto), j. 3-7-2023, P, DJE de 25-8-2023.</w:t>
      </w:r>
    </w:p>
    <w:p>
      <w:pPr>
        <w:ind w:left="288"/>
      </w:pPr>
      <w:r>
        <w:rPr>
          <w:color w:val="8C8C8C"/>
          <w:sz w:val="12"/>
        </w:rPr>
        <w:t>cf-art-170-inc-VIII</w:t>
      </w:r>
      <w:r>
        <w:rPr>
          <w:color w:val="003CA0"/>
          <w:sz w:val="12"/>
        </w:rPr>
        <w:t xml:space="preserve"> | ADPF 449</w:t>
      </w:r>
      <w:r>
        <w:rPr>
          <w:color w:val="003CA0"/>
          <w:sz w:val="12"/>
        </w:rPr>
        <w:t xml:space="preserve"> | rel. Luiz Fux</w:t>
      </w:r>
    </w:p>
    <w:p>
      <w:pPr>
        <w:ind w:left="288"/>
      </w:pPr>
      <w:r>
        <w:rPr>
          <w:color w:val="1E1E1E"/>
          <w:sz w:val="18"/>
        </w:rPr>
        <w:t>O motorista particular, em sua atividade laboral, é protegido pela liberdade fundamental insculpida no art. 5º, XIII, da Carta Magna, submetendo-se apenas à regulação proporcionalmente definida em lei federal, pelo que o art. 3º, VIII, da Lei Federal 12.965/2014 (Marco Civil da Internet) e a Lei Federal 12.587/2012, alterada pela Lei 13.640 de 26 de março de 2018, garantem a operação de serviços remunerados de transporte de passageiros por aplicativos. (...) A proibição legal do livre exercício da profissão de transporte individual remunerado afronta o princípio da busca pelo pleno emprego, in</w:t>
      </w:r>
    </w:p>
    <w:p>
      <w:pPr>
        <w:ind w:left="288"/>
      </w:pPr>
      <w:r>
        <w:rPr>
          <w:b/>
          <w:color w:val="003CA0"/>
          <w:sz w:val="16"/>
        </w:rPr>
        <w:t>[ADPF 449, rel. min. Luiz Fux, j. 8-5-2019, P, DJE de 2-9-2019.]</w:t>
      </w:r>
    </w:p>
    <w:p>
      <w:pPr>
        <w:ind w:left="144"/>
      </w:pPr>
      <w:r>
        <w:rPr>
          <w:b/>
          <w:color w:val="B45A00"/>
          <w:sz w:val="16"/>
        </w:rPr>
        <w:t>REPERCUSSAO GERAL</w:t>
      </w:r>
    </w:p>
    <w:p>
      <w:pPr>
        <w:ind w:left="288"/>
      </w:pPr>
      <w:r>
        <w:rPr>
          <w:color w:val="8C8C8C"/>
          <w:sz w:val="12"/>
        </w:rPr>
        <w:t>cf-art-170-inc-VIII</w:t>
      </w:r>
      <w:r>
        <w:rPr>
          <w:color w:val="003CA0"/>
          <w:sz w:val="12"/>
        </w:rPr>
        <w:t xml:space="preserve"> | RE 607.109</w:t>
      </w:r>
      <w:r>
        <w:rPr>
          <w:color w:val="003CA0"/>
          <w:sz w:val="12"/>
        </w:rPr>
        <w:t xml:space="preserve"> | rel. Rosa Weber</w:t>
      </w:r>
    </w:p>
    <w:p>
      <w:pPr>
        <w:ind w:left="288"/>
      </w:pPr>
      <w:r>
        <w:rPr>
          <w:color w:val="1E1E1E"/>
          <w:sz w:val="18"/>
        </w:rPr>
        <w:t>Artigos 47 e 48 da Lei federal 11.196/2005. Possibilidade de apuração de créditos de PIS/Cofins na aquisição de insumos recicláveis. Coexistência dos regimes cumulativo e não-cumulativo da contribuição ao PIS/Cofins. Dualidade de alíquotas. Prejuízos econômicos ao contribuinte industrial dedicado à reciclagem. Inconstitucionalidade de tratamento tributário prejudicial à indústria de reciclagem. Princípio do protetor recebedor. Possibilidade concreta de os créditos fiscais superarem o valor do PIS/Cofins recolhido na etapa anterior da cadeia de produção. (...) Ética ambiental. Estado Socioambie</w:t>
      </w:r>
    </w:p>
    <w:p>
      <w:pPr>
        <w:ind w:left="288"/>
      </w:pPr>
      <w:r>
        <w:rPr>
          <w:color w:val="8C8C8C"/>
          <w:sz w:val="12"/>
        </w:rPr>
        <w:t>cf-art-170-inc-IX</w:t>
      </w:r>
      <w:r>
        <w:rPr>
          <w:color w:val="003CA0"/>
          <w:sz w:val="12"/>
        </w:rPr>
        <w:t xml:space="preserve"> | ADI 7.096</w:t>
      </w:r>
      <w:r>
        <w:rPr>
          <w:color w:val="003CA0"/>
          <w:sz w:val="12"/>
        </w:rPr>
        <w:t xml:space="preserve"> | rel. Gilmar Mendes</w:t>
      </w:r>
    </w:p>
    <w:p>
      <w:pPr>
        <w:ind w:left="288"/>
      </w:pPr>
      <w:r>
        <w:rPr>
          <w:color w:val="1E1E1E"/>
          <w:sz w:val="18"/>
        </w:rPr>
        <w:t>(...) art. 2º da Lei Complementar nº 188/2021, que acrescentou o art. 18-F à Lei Complementar nº 123/2006 (Estatuto Nacional da Microempresa e da Empresa de Pequeno Porte), dispondo sobre o enquadramento de transportadores autônomos de cargas como Microempreendedores Individuais (MEI), no regime do Simples Nacional. (...) A inclusão dos transportadores autônomos no MEI visa fomentar a formalização e ampliar a base contributiva, em consonância com os arts. 146, III, “d”, 170, IX e 179 da Constituição Federal.</w:t>
      </w:r>
    </w:p>
    <w:p>
      <w:pPr>
        <w:ind w:left="288"/>
      </w:pPr>
      <w:r>
        <w:rPr>
          <w:b/>
          <w:color w:val="003CA0"/>
          <w:sz w:val="16"/>
        </w:rPr>
        <w:t>[ADI 7.096, rel. min. Gilmar Mendes, j. 09.06.2025, P, DJE de 25.06.2025.]</w:t>
      </w:r>
    </w:p>
    <w:p>
      <w:pPr>
        <w:ind w:left="144"/>
      </w:pPr>
      <w:r>
        <w:rPr>
          <w:b/>
          <w:color w:val="B45A00"/>
          <w:sz w:val="16"/>
        </w:rPr>
        <w:t>CONTROLE CONCENTRADO</w:t>
      </w:r>
    </w:p>
    <w:p>
      <w:pPr>
        <w:ind w:left="288"/>
      </w:pPr>
      <w:r>
        <w:rPr>
          <w:color w:val="8C8C8C"/>
          <w:sz w:val="12"/>
        </w:rPr>
        <w:t>cf-art-170-inc-IX</w:t>
      </w:r>
      <w:r>
        <w:rPr>
          <w:color w:val="003CA0"/>
          <w:sz w:val="12"/>
        </w:rPr>
        <w:t xml:space="preserve"> | ADI 4.033</w:t>
      </w:r>
      <w:r>
        <w:rPr>
          <w:color w:val="003CA0"/>
          <w:sz w:val="12"/>
        </w:rPr>
        <w:t xml:space="preserve"> | rel. Joaquim Barbosa</w:t>
      </w:r>
    </w:p>
    <w:p>
      <w:pPr>
        <w:ind w:left="288"/>
      </w:pPr>
      <w:r>
        <w:rPr>
          <w:color w:val="1E1E1E"/>
          <w:sz w:val="18"/>
        </w:rPr>
        <w:t>Contribuição social patronal. Isenção concedida às microempresas e empresas de pequeno porte. Simples Nacional ("Supersimples"). LC 123/2006, art. 13, § 3º. (...) O fomento da micro e da pequena empresa foi elevado à condição de princípio constitucional, de modo a orientar todos os entes federados a conferir tratamento favorecido aos empreendedores que contam com menos recursos para fazer frente à concorrência. Por tal motivo, a literalidade da complexa legislação tributária deve ceder à interpretação mais adequada e harmônica com a finalidade de assegurar equivalência de condições para as emp</w:t>
      </w:r>
    </w:p>
    <w:p>
      <w:pPr>
        <w:ind w:left="288"/>
      </w:pPr>
      <w:r>
        <w:rPr>
          <w:b/>
          <w:color w:val="003CA0"/>
          <w:sz w:val="16"/>
        </w:rPr>
        <w:t>[ADI 4.033, rel. min. Joaquim Barbosa, j. 15-9-2010, P, DJE de 7-2-2011.]</w:t>
      </w:r>
    </w:p>
    <w:p>
      <w:pPr>
        <w:ind w:left="144"/>
      </w:pPr>
      <w:r>
        <w:rPr>
          <w:b/>
          <w:color w:val="B45A00"/>
          <w:sz w:val="16"/>
        </w:rPr>
        <w:t>REPERCUSSAO GERAL</w:t>
      </w:r>
    </w:p>
    <w:p>
      <w:pPr>
        <w:ind w:left="288"/>
      </w:pPr>
      <w:r>
        <w:rPr>
          <w:color w:val="8C8C8C"/>
          <w:sz w:val="12"/>
        </w:rPr>
        <w:t>cf-art-170-inc-IX</w:t>
      </w:r>
      <w:r>
        <w:rPr>
          <w:color w:val="003CA0"/>
          <w:sz w:val="12"/>
        </w:rPr>
        <w:t xml:space="preserve"> | RE 627.543</w:t>
      </w:r>
      <w:r>
        <w:rPr>
          <w:color w:val="003CA0"/>
          <w:sz w:val="12"/>
        </w:rPr>
        <w:t xml:space="preserve"> | rel. Dias Toffoli</w:t>
      </w:r>
    </w:p>
    <w:p>
      <w:pPr>
        <w:ind w:left="288"/>
      </w:pPr>
      <w:r>
        <w:rPr>
          <w:color w:val="1E1E1E"/>
          <w:sz w:val="18"/>
        </w:rPr>
        <w:t>A condicionante do inciso V do art. 17 da LC 123/2006 não se caracteriza, a priori, como fator de desequilíbrio concorrencial, pois se constitui em exigência imposta a todas as pequenas e microempresas (MPE), bem como a todos os microempreendedores individuais (MEI), devendo ser contextualizada, por representar, também, forma indireta de se reprovar a infração das leis fiscais e de se garantir a neutralidade, com enfoque na livre concorrência. (...) Não se trata, na espécie, de forma de cobrança indireta de tributo, mas de requisito para fins de fruição a regime tributário diferenciado e facul</w:t>
      </w:r>
    </w:p>
    <w:p>
      <w:pPr>
        <w:ind w:left="288"/>
      </w:pPr>
      <w:r>
        <w:rPr>
          <w:b/>
          <w:color w:val="003CA0"/>
          <w:sz w:val="16"/>
        </w:rPr>
        <w:t>[RE 627.543, rel. min. Dias Toffoli, j. 30-10-2013, P, DJE de 29-10-2014, Tema 363, com mérito julgado.]</w:t>
      </w:r>
    </w:p>
    <w:p>
      <w:pPr>
        <w:ind w:left="144"/>
      </w:pPr>
      <w:r>
        <w:rPr>
          <w:b/>
          <w:color w:val="B45A00"/>
          <w:sz w:val="16"/>
        </w:rPr>
        <w:t>SUMULA VINCULANTE</w:t>
      </w:r>
    </w:p>
    <w:p>
      <w:pPr>
        <w:ind w:left="288"/>
      </w:pPr>
      <w:r>
        <w:rPr>
          <w:color w:val="8C8C8C"/>
          <w:sz w:val="12"/>
        </w:rPr>
        <w:t>cf-art-170-par-unico</w:t>
      </w:r>
    </w:p>
    <w:p>
      <w:pPr>
        <w:ind w:left="288"/>
      </w:pPr>
      <w:r>
        <w:rPr>
          <w:color w:val="1E1E1E"/>
          <w:sz w:val="18"/>
        </w:rPr>
        <w:t>Ofende o princípio da livre concorrência lei municipal que impede a instalação de estabelecimentos comerciais do mesmo ramo em determinada área.</w:t>
      </w:r>
    </w:p>
    <w:p>
      <w:pPr>
        <w:ind w:left="288"/>
      </w:pPr>
      <w:r>
        <w:rPr>
          <w:b/>
          <w:color w:val="003CA0"/>
          <w:sz w:val="16"/>
        </w:rPr>
        <w:t>[Súmula Vinculante 49.]</w:t>
      </w:r>
    </w:p>
    <w:p>
      <w:pPr>
        <w:ind w:left="288"/>
      </w:pPr>
      <w:r>
        <w:rPr>
          <w:color w:val="8C8C8C"/>
          <w:sz w:val="12"/>
        </w:rPr>
        <w:t>cf-art-170-par-unico</w:t>
      </w:r>
      <w:r>
        <w:rPr>
          <w:color w:val="003CA0"/>
          <w:sz w:val="12"/>
        </w:rPr>
        <w:t xml:space="preserve"> | RE 486.175</w:t>
      </w:r>
      <w:r>
        <w:rPr>
          <w:color w:val="003CA0"/>
          <w:sz w:val="12"/>
        </w:rPr>
        <w:t xml:space="preserve"> | rel. Gilmar Mendes</w:t>
      </w:r>
    </w:p>
    <w:p>
      <w:pPr>
        <w:ind w:left="288"/>
      </w:pPr>
      <w:r>
        <w:rPr>
          <w:color w:val="1E1E1E"/>
          <w:sz w:val="18"/>
        </w:rPr>
        <w:t>Lei n. 13.711/2011 do Estado do Rio Grande do Sul. Modificação legislativa. Conhecimento parcial. Regime especial de fiscalização. ICMS. Devedores contumazes. Reserva de lei complementar. Inexistência. Princípios da legalidade, da isonomia tributária e da liberdade de trabalho e comércio. Violação. Ausência. Sanção política não configurada. (...) O regime especial, por disciplinar obrigações acessórias voltadas à fiscalização e arrecadação, não está sujeito à reserva de lei complementar. Não há violação ao princípio da legalidade tributária, uma vez que os dispositivos impugnados instituem obr</w:t>
      </w:r>
    </w:p>
    <w:p>
      <w:pPr>
        <w:ind w:left="288"/>
      </w:pPr>
      <w:r>
        <w:rPr>
          <w:b/>
          <w:color w:val="003CA0"/>
          <w:sz w:val="16"/>
        </w:rPr>
        <w:t>[ADI 4.854, rel. min. Nunes Marques, j. 25.08.2025, P, DJE de 26.09.2025.]</w:t>
      </w:r>
    </w:p>
    <w:p>
      <w:pPr>
        <w:ind w:left="144"/>
      </w:pPr>
      <w:r>
        <w:rPr>
          <w:b/>
          <w:color w:val="B45A00"/>
          <w:sz w:val="16"/>
        </w:rPr>
        <w:t>CONTROLE CONCENTRADO</w:t>
      </w:r>
    </w:p>
    <w:p>
      <w:pPr>
        <w:ind w:left="288"/>
      </w:pPr>
      <w:r>
        <w:rPr>
          <w:color w:val="8C8C8C"/>
          <w:sz w:val="12"/>
        </w:rPr>
        <w:t>cf-art-170-par-unico</w:t>
      </w:r>
      <w:r>
        <w:rPr>
          <w:color w:val="003CA0"/>
          <w:sz w:val="12"/>
        </w:rPr>
        <w:t xml:space="preserve"> | ADI 4.829</w:t>
      </w:r>
      <w:r>
        <w:rPr>
          <w:color w:val="003CA0"/>
          <w:sz w:val="12"/>
        </w:rPr>
        <w:t xml:space="preserve"> | rel. Rosa Weber</w:t>
      </w:r>
    </w:p>
    <w:p>
      <w:pPr>
        <w:ind w:left="288"/>
      </w:pPr>
      <w:r>
        <w:rPr>
          <w:color w:val="1E1E1E"/>
          <w:sz w:val="18"/>
        </w:rPr>
        <w:t>Os arts. 170, parágrafo único, e 173, caput, da CF autorizam o legislador a restringir o livre exercício de atividade econômica para preservar outros direitos e valores constitucionais, destacando-se, no caso de serviços estratégicos de tecnologia da informação contratados pela União, os imperativos da soberania, da segurança nacional e da proteção da privacidade de contribuintes e destinatários de programas governamentais. Interesse público a legitimar decisão do legislador no sentido da prestação de serviços estratégicos de tecnologia da informação com exclusividade por empresa pública feder</w:t>
      </w:r>
    </w:p>
    <w:p>
      <w:pPr>
        <w:ind w:left="288"/>
      </w:pPr>
      <w:r>
        <w:rPr>
          <w:b/>
          <w:color w:val="003CA0"/>
          <w:sz w:val="16"/>
        </w:rPr>
        <w:t>[ADI 4.829, rel. min. Rosa Weber, j. 22-3-2021, P, DJE de 12-4-2021.]</w:t>
      </w:r>
    </w:p>
    <w:p>
      <w:pPr>
        <w:ind w:left="288"/>
      </w:pPr>
      <w:r>
        <w:rPr>
          <w:color w:val="8C8C8C"/>
          <w:sz w:val="12"/>
        </w:rPr>
        <w:t>cf-art-170-par-unico</w:t>
      </w:r>
      <w:r>
        <w:rPr>
          <w:color w:val="003CA0"/>
          <w:sz w:val="12"/>
        </w:rPr>
        <w:t xml:space="preserve"> | ADC 66</w:t>
      </w:r>
      <w:r>
        <w:rPr>
          <w:color w:val="003CA0"/>
          <w:sz w:val="12"/>
        </w:rPr>
        <w:t xml:space="preserve"> | rel. Cármen Lúcia</w:t>
      </w:r>
    </w:p>
    <w:p>
      <w:pPr>
        <w:ind w:left="288"/>
      </w:pPr>
      <w:r>
        <w:rPr>
          <w:color w:val="1E1E1E"/>
          <w:sz w:val="18"/>
        </w:rPr>
        <w:t>A norma do art. 129 da Lei 11.196/2005 harmoniza-se com as diretrizes constitucionais, especialmente com o inc. IV do art. 1º da Constituição da República, pelo qual estabeleceu a liberdade de iniciativa situando-a como fundamento da República Federativa do Brasil. Dessa liberdade econômica emanam a garantia de livre exercício de qualquer trabalho, ofício ou profissão e o livre exercício de qualquer atividade econômica, consagrados respectivamente no inc. XIII do art. 5º e no parágrafo único do art. 170 da Constituição da República.</w:t>
      </w:r>
    </w:p>
    <w:p>
      <w:pPr>
        <w:ind w:left="288"/>
      </w:pPr>
      <w:r>
        <w:rPr>
          <w:b/>
          <w:color w:val="003CA0"/>
          <w:sz w:val="16"/>
        </w:rPr>
        <w:t>[ADC 66, voto da rel. min. Cármen Lúcia, j. 21-12-2020, P, DJE de 19-3-2021.]</w:t>
      </w:r>
    </w:p>
    <w:p>
      <w:pPr>
        <w:ind w:left="288"/>
      </w:pPr>
      <w:r>
        <w:rPr>
          <w:color w:val="8C8C8C"/>
          <w:sz w:val="12"/>
        </w:rPr>
        <w:t>cf-art-170-par-unico</w:t>
      </w:r>
      <w:r>
        <w:rPr>
          <w:color w:val="003CA0"/>
          <w:sz w:val="12"/>
        </w:rPr>
        <w:t xml:space="preserve"> | ADI 5.135</w:t>
      </w:r>
      <w:r>
        <w:rPr>
          <w:color w:val="003CA0"/>
          <w:sz w:val="12"/>
        </w:rPr>
        <w:t xml:space="preserve"> | rel. Roberto Barroso</w:t>
      </w:r>
    </w:p>
    <w:p>
      <w:pPr>
        <w:ind w:left="288"/>
      </w:pPr>
      <w:r>
        <w:rPr>
          <w:color w:val="1E1E1E"/>
          <w:sz w:val="18"/>
        </w:rPr>
        <w:t>O parágrafo único do art. 1º da Lei 9.492/1997, inserido pela Lei 12.767/2012, que inclui as Certidões de Dívida Ativa (CDA) no rol dos títulos sujeitos a protesto, é compatível com a CF, tanto do ponto de vista formal quanto material. (...) Em primeiro lugar, não há efetiva restrição a direitos fundamentais dos contribuintes. De um lado, inexiste afronta ao devido processo legal, uma vez que (i) o fato de a execução fiscal ser o instrumento típico para a cobrança judicial da Dívida Ativa não exclui mecanismos extrajudiciais, como o protesto de CDA, e (ii) o protesto não impede o devedor de ac</w:t>
      </w:r>
    </w:p>
    <w:p>
      <w:pPr>
        <w:ind w:left="288"/>
      </w:pPr>
      <w:r>
        <w:rPr>
          <w:b/>
          <w:color w:val="003CA0"/>
          <w:sz w:val="16"/>
        </w:rPr>
        <w:t>[ADI 5.135, rel. min. Roberto Barroso, j. 9-11-2016, P, DJE de 7-2-2018.]</w:t>
      </w:r>
    </w:p>
    <w:p>
      <w:pPr>
        <w:ind w:left="288"/>
      </w:pPr>
      <w:r>
        <w:rPr>
          <w:color w:val="8C8C8C"/>
          <w:sz w:val="12"/>
        </w:rPr>
        <w:t>cf-art-170-par-unico</w:t>
      </w:r>
      <w:r>
        <w:rPr>
          <w:color w:val="003CA0"/>
          <w:sz w:val="12"/>
        </w:rPr>
        <w:t xml:space="preserve"> | ADI 173</w:t>
      </w:r>
      <w:r>
        <w:rPr>
          <w:color w:val="003CA0"/>
          <w:sz w:val="12"/>
        </w:rPr>
        <w:t xml:space="preserve"> | rel. Joaquim Barbosa</w:t>
      </w:r>
    </w:p>
    <w:p>
      <w:pPr>
        <w:ind w:left="288"/>
      </w:pPr>
      <w:r>
        <w:rPr>
          <w:color w:val="1E1E1E"/>
          <w:sz w:val="18"/>
        </w:rPr>
        <w:t>Ações diretas de inconstitucionalidade ajuizadas contra os arts. 1º, I, II, III e IV, § 1º a § 3º, e 2º da Lei 7.711/1988 (...). (...) Esta Corte tem historicamente confirmado e garantido a proibição constitucional às sanções políticas, invocando, para tanto, o direito ao exercício de atividades econômicas e profissionais lícitas (...), a violação do devido processo legal substantivo (falta de proporcionalidade e razoabilidade de medidas gravosas que se predispõem a substituir os mecanismos de cobrança de créditos tributários) e a violação do devido processo legal manifestado no direito de ace</w:t>
      </w:r>
    </w:p>
    <w:p>
      <w:pPr>
        <w:ind w:left="288"/>
      </w:pPr>
      <w:r>
        <w:rPr>
          <w:b/>
          <w:color w:val="003CA0"/>
          <w:sz w:val="16"/>
        </w:rPr>
        <w:t>[ADI 1.454, rel. min. Ellen Gracie, j. 20-6-2007, P, DJ de 3-8-2007.]</w:t>
      </w:r>
    </w:p>
    <w:p>
      <w:pPr>
        <w:ind w:left="288"/>
      </w:pPr>
      <w:r>
        <w:rPr>
          <w:color w:val="8C8C8C"/>
          <w:sz w:val="12"/>
        </w:rPr>
        <w:t>cf-art-170-par-unico</w:t>
      </w:r>
      <w:r>
        <w:rPr>
          <w:color w:val="003CA0"/>
          <w:sz w:val="12"/>
        </w:rPr>
        <w:t xml:space="preserve"> | ACO 1.129</w:t>
      </w:r>
      <w:r>
        <w:rPr>
          <w:color w:val="003CA0"/>
          <w:sz w:val="12"/>
        </w:rPr>
        <w:t xml:space="preserve"> | rel. Luiz Fux</w:t>
      </w:r>
    </w:p>
    <w:p>
      <w:pPr>
        <w:ind w:left="288"/>
      </w:pPr>
      <w:r>
        <w:rPr>
          <w:color w:val="1E1E1E"/>
          <w:sz w:val="18"/>
        </w:rPr>
        <w:t>Vide ACO 1.129 AgR, rel. min. Luiz Fux, j. 24-3-2015, 1ª T, DJE de 15-4-2015</w:t>
      </w:r>
    </w:p>
    <w:p>
      <w:pPr>
        <w:ind w:left="144"/>
      </w:pPr>
      <w:r>
        <w:rPr>
          <w:b/>
          <w:color w:val="B45A00"/>
          <w:sz w:val="16"/>
        </w:rPr>
        <w:t>REPERCUSSAO GERAL</w:t>
      </w:r>
    </w:p>
    <w:p>
      <w:pPr>
        <w:ind w:left="288"/>
      </w:pPr>
      <w:r>
        <w:rPr>
          <w:color w:val="8C8C8C"/>
          <w:sz w:val="12"/>
        </w:rPr>
        <w:t>cf-art-170-par-unico</w:t>
      </w:r>
      <w:r>
        <w:rPr>
          <w:color w:val="003CA0"/>
          <w:sz w:val="12"/>
        </w:rPr>
        <w:t xml:space="preserve"> | ARE 914.045</w:t>
      </w:r>
      <w:r>
        <w:rPr>
          <w:color w:val="003CA0"/>
          <w:sz w:val="12"/>
        </w:rPr>
        <w:t xml:space="preserve"> | rel. Edson Fachin</w:t>
      </w:r>
    </w:p>
    <w:p>
      <w:pPr>
        <w:ind w:left="288"/>
      </w:pPr>
      <w:r>
        <w:rPr>
          <w:color w:val="1E1E1E"/>
          <w:sz w:val="18"/>
        </w:rPr>
        <w:t>O STF tem reiteradamente entendido que é inconstitucional restrição imposta pelo Estado ao livre exercício de atividade econômica ou profissional, quanto aquelas forem utilizadas como meio de cobrança indireta de tributos.</w:t>
        <w:br/>
        <w:t>[ARE 914.045 RG, rel. min. Edson Fachin, j. 15-10-2015, P, DJE de 19-11-2015, Tema 856, com mérito julgado.]</w:t>
        <w:br/>
        <w:t>Vide RE 565.048, rel. min. Marco Aurélio, j. 29-5-2014, P, DJE de 9-10-2014, Tema 31, com mérito julgado Discrepa, a mais não poder, da Carta Federal a sanção política objetivando a cobrança de tributos – Verbetes 70, 323 e 547 da Súmula do Supremo. (...) Consubstanci</w:t>
      </w:r>
    </w:p>
    <w:p>
      <w:pPr>
        <w:ind w:left="144"/>
      </w:pPr>
      <w:r>
        <w:rPr>
          <w:b/>
          <w:color w:val="B45A00"/>
          <w:sz w:val="16"/>
        </w:rPr>
        <w:t>JULGADOS CORRELATOS</w:t>
      </w:r>
    </w:p>
    <w:p>
      <w:pPr>
        <w:ind w:left="288"/>
      </w:pPr>
      <w:r>
        <w:rPr>
          <w:color w:val="8C8C8C"/>
          <w:sz w:val="12"/>
        </w:rPr>
        <w:t>cf-art-170-par-unico</w:t>
      </w:r>
      <w:r>
        <w:rPr>
          <w:color w:val="003CA0"/>
          <w:sz w:val="12"/>
        </w:rPr>
        <w:t xml:space="preserve"> | RE 550.769</w:t>
      </w:r>
      <w:r>
        <w:rPr>
          <w:color w:val="003CA0"/>
          <w:sz w:val="12"/>
        </w:rPr>
        <w:t xml:space="preserve"> | rel. Joaquim Barbosa</w:t>
      </w:r>
    </w:p>
    <w:p>
      <w:pPr>
        <w:ind w:left="288"/>
      </w:pPr>
      <w:r>
        <w:rPr>
          <w:color w:val="1E1E1E"/>
          <w:sz w:val="18"/>
        </w:rPr>
        <w:t>A orientação firmada pelo STF rechaça a aplicação de sanção política em matéria tributária. Contudo, para se caracterizar como sanção política, a norma extraída da interpretação do art. 2º, II, do DL 1.593/1977 deve atentar contra os seguintes parâmetros: (1) relevância do valor dos créditos tributários em aberto, cujo não pagamento implica a restrição ao funcionamento da empresa; (2) manutenção proporcional e razoável do devido processo legal de controle do ato de aplicação da penalidade; e (3) manutenção proporcional e razoável do devido processo legal de controle da validade dos créditos tr</w:t>
      </w:r>
    </w:p>
    <w:p>
      <w:pPr>
        <w:ind w:left="288"/>
      </w:pPr>
      <w:r>
        <w:rPr>
          <w:b/>
          <w:color w:val="003CA0"/>
          <w:sz w:val="16"/>
        </w:rPr>
        <w:t>[RE 550.769, rel. min. Joaquim Barbosa, j. 22-5-2013, P, DJE de 3-4-2014.]</w:t>
      </w:r>
    </w:p>
    <w:p>
      <w:pPr>
        <w:ind w:left="288"/>
      </w:pPr>
      <w:r>
        <w:rPr>
          <w:color w:val="8C8C8C"/>
          <w:sz w:val="12"/>
        </w:rPr>
        <w:t>cf-art-170-par-unico</w:t>
      </w:r>
      <w:r>
        <w:rPr>
          <w:color w:val="003CA0"/>
          <w:sz w:val="12"/>
        </w:rPr>
        <w:t xml:space="preserve"> | ADI 173</w:t>
      </w:r>
      <w:r>
        <w:rPr>
          <w:color w:val="003CA0"/>
          <w:sz w:val="12"/>
        </w:rPr>
        <w:t xml:space="preserve"> | rel. Joaquim Barbosa</w:t>
      </w:r>
    </w:p>
    <w:p>
      <w:pPr>
        <w:ind w:left="288"/>
      </w:pPr>
      <w:r>
        <w:rPr>
          <w:color w:val="1E1E1E"/>
          <w:sz w:val="18"/>
        </w:rPr>
        <w:t>Vide ADI 173 e ADI 394, rel. min. Joaquim Barbosa, j. 25-9-2008, P, DJE de 20-3-2009 Tributário. Norma local que condiciona a concessão de regime especial de tributação à apresentação de CND [Certidão Negativa de Débitos]. Meio indireto de cobrança de tributo. Ofensa ao princípio da livre atividade econômica.</w:t>
      </w:r>
    </w:p>
    <w:p>
      <w:pPr>
        <w:ind w:left="288"/>
      </w:pPr>
      <w:r>
        <w:rPr>
          <w:b/>
          <w:color w:val="003CA0"/>
          <w:sz w:val="16"/>
        </w:rPr>
        <w:t>[AI 798.210 AgR, rel. min. Gilmar Mendes, j. 8-5-2012, 2ª T, DJE de 24-5-2012.]</w:t>
      </w:r>
    </w:p>
    <w:p>
      <w:pPr>
        <w:ind w:left="288"/>
      </w:pPr>
      <w:r>
        <w:rPr>
          <w:color w:val="8C8C8C"/>
          <w:sz w:val="12"/>
        </w:rPr>
        <w:t>cf-art-170-par-unico</w:t>
      </w:r>
      <w:r>
        <w:rPr>
          <w:color w:val="003CA0"/>
          <w:sz w:val="12"/>
        </w:rPr>
        <w:t xml:space="preserve"> | AI 677.242</w:t>
      </w:r>
      <w:r>
        <w:rPr>
          <w:color w:val="003CA0"/>
          <w:sz w:val="12"/>
        </w:rPr>
        <w:t xml:space="preserve"> | rel. Cármen Lúcia</w:t>
      </w:r>
    </w:p>
    <w:p>
      <w:pPr>
        <w:ind w:left="288"/>
      </w:pPr>
      <w:r>
        <w:rPr>
          <w:color w:val="1E1E1E"/>
          <w:sz w:val="18"/>
        </w:rPr>
        <w:t>Tributário. Inscrição no Cadastro Nacional de Pessoa Jurídica. Impossibilidade de aplicação de restrições para compelir o contribuinte inadimplente a pagar o tributo devido.</w:t>
      </w:r>
    </w:p>
    <w:p>
      <w:pPr>
        <w:ind w:left="288"/>
      </w:pPr>
      <w:r>
        <w:rPr>
          <w:b/>
          <w:color w:val="003CA0"/>
          <w:sz w:val="16"/>
        </w:rPr>
        <w:t>[AI 677.242 AgR, rel. min. Cármen Lúcia, j. 13-10-2009, 1ª T, DJE de 13-11-2009.]</w:t>
      </w:r>
    </w:p>
    <w:p>
      <w:pPr>
        <w:ind w:left="288"/>
      </w:pPr>
      <w:r>
        <w:rPr>
          <w:color w:val="8C8C8C"/>
          <w:sz w:val="12"/>
        </w:rPr>
        <w:t>cf-art-170-par-unico</w:t>
      </w:r>
      <w:r>
        <w:rPr>
          <w:color w:val="003CA0"/>
          <w:sz w:val="12"/>
        </w:rPr>
        <w:t xml:space="preserve"> | AI 798.210</w:t>
      </w:r>
      <w:r>
        <w:rPr>
          <w:color w:val="003CA0"/>
          <w:sz w:val="12"/>
        </w:rPr>
        <w:t xml:space="preserve"> | rel. Gilmar Mendes</w:t>
      </w:r>
    </w:p>
    <w:p>
      <w:pPr>
        <w:ind w:left="288"/>
      </w:pPr>
      <w:r>
        <w:rPr>
          <w:color w:val="1E1E1E"/>
          <w:sz w:val="18"/>
        </w:rPr>
        <w:t>Vide AI 798.210, rel. min. Gilmar Mendes, j. 10-4-2012, dec. monocrática, DJE de 16-4-2012 Vide RE 496.893 AgR, rel. min. Sepúlveda Pertence, j. 2-3-2007, 1ª T, DJ de 20-4-2007 Apreensão de mercadorias como forma de coerção ao pagamento de tributos: impossibilidade. É da jurisprudência do Supremo Tribunal que não é dado à Fazenda Pública obstaculizar a atividade empresarial com a imposição de penalidades no intuito de receber imposto atrasado (RE 413.782, 17-3-2005, Marco Aurélio).</w:t>
      </w:r>
    </w:p>
    <w:p>
      <w:pPr>
        <w:ind w:left="288"/>
      </w:pPr>
      <w:r>
        <w:rPr>
          <w:b/>
          <w:color w:val="003CA0"/>
          <w:sz w:val="16"/>
        </w:rPr>
        <w:t>[RE 496.893 AgR, rel. min. Sepúlveda Pertence, j. 2-3-2007, 1ª T, DJ de 20-4-2007.]</w:t>
      </w:r>
    </w:p>
    <w:p>
      <w:pPr>
        <w:ind w:left="288"/>
      </w:pPr>
      <w:r>
        <w:rPr>
          <w:color w:val="8C8C8C"/>
          <w:sz w:val="12"/>
        </w:rPr>
        <w:t>cf-art-170-par-unico</w:t>
      </w:r>
      <w:r>
        <w:rPr>
          <w:color w:val="003CA0"/>
          <w:sz w:val="12"/>
        </w:rPr>
        <w:t xml:space="preserve"> | RE 527.633</w:t>
      </w:r>
      <w:r>
        <w:rPr>
          <w:color w:val="003CA0"/>
          <w:sz w:val="12"/>
        </w:rPr>
        <w:t xml:space="preserve"> | rel. Ricardo Lewandowski</w:t>
      </w:r>
    </w:p>
    <w:p>
      <w:pPr>
        <w:ind w:left="288"/>
      </w:pPr>
      <w:r>
        <w:rPr>
          <w:color w:val="1E1E1E"/>
          <w:sz w:val="18"/>
        </w:rPr>
        <w:t>= RE 527.633 AgR, rel. min. Ricardo Lewandowski, j. 2-12-2010, 1ª T, DJE de 1º-2-2011 Vide AI 677.242 AgR, rel. min. Cármen Lúcia, j. 13-10-2009, 1ª T, DJE de 13-11-2009</w:t>
      </w:r>
    </w:p>
    <w:p>
      <w:pPr>
        <w:ind w:left="720"/>
      </w:pPr>
      <w:r>
        <w:rPr>
          <w:color w:val="003366"/>
          <w:sz w:val="18"/>
        </w:rPr>
        <w:t>I – soberania nacional;</w:t>
      </w:r>
    </w:p>
    <w:p>
      <w:pPr>
        <w:ind w:left="720"/>
      </w:pPr>
      <w:r>
        <w:rPr>
          <w:color w:val="003366"/>
          <w:sz w:val="18"/>
        </w:rPr>
        <w:t>II – propriedade privada;</w:t>
      </w:r>
    </w:p>
    <w:p>
      <w:pPr>
        <w:ind w:left="720"/>
      </w:pPr>
      <w:r>
        <w:rPr>
          <w:color w:val="003366"/>
          <w:sz w:val="18"/>
        </w:rPr>
        <w:t>III – função social da propriedade;</w:t>
      </w:r>
    </w:p>
    <w:p>
      <w:pPr>
        <w:ind w:left="720"/>
      </w:pPr>
      <w:r>
        <w:rPr>
          <w:color w:val="003366"/>
          <w:sz w:val="18"/>
        </w:rPr>
        <w:t>IV – livre concorrência;</w:t>
      </w:r>
    </w:p>
    <w:p>
      <w:pPr>
        <w:ind w:left="720"/>
      </w:pPr>
      <w:r>
        <w:rPr>
          <w:color w:val="003366"/>
          <w:sz w:val="18"/>
        </w:rPr>
        <w:t>V – defesa do consumidor;</w:t>
      </w:r>
    </w:p>
    <w:p>
      <w:pPr>
        <w:ind w:left="720"/>
      </w:pPr>
      <w:r>
        <w:rPr>
          <w:color w:val="003366"/>
          <w:sz w:val="18"/>
        </w:rPr>
        <w:t>VI – defesa do meio ambiente, inclusive mediante tratamento diferenciado conform</w:t>
      </w:r>
    </w:p>
    <w:p>
      <w:pPr>
        <w:ind w:left="720"/>
      </w:pPr>
      <w:r>
        <w:rPr>
          <w:color w:val="003366"/>
          <w:sz w:val="18"/>
        </w:rPr>
        <w:t>VII – redução das desigualdades regionais e sociais;</w:t>
      </w:r>
    </w:p>
    <w:p>
      <w:pPr>
        <w:ind w:left="720"/>
      </w:pPr>
      <w:r>
        <w:rPr>
          <w:color w:val="003366"/>
          <w:sz w:val="18"/>
        </w:rPr>
        <w:t>VIII – busca do pleno emprego;</w:t>
      </w:r>
    </w:p>
    <w:p>
      <w:pPr>
        <w:ind w:left="720"/>
      </w:pPr>
      <w:r>
        <w:rPr>
          <w:color w:val="003366"/>
          <w:sz w:val="18"/>
        </w:rPr>
        <w:t>IX – tratamento favorecido para as empresas de pequeno porte constituídas sob as</w:t>
      </w:r>
    </w:p>
    <w:p>
      <w:r>
        <w:rPr>
          <w:b/>
          <w:color w:val="003366"/>
          <w:sz w:val="20"/>
        </w:rPr>
        <w:t>Art. 171 (Revogado pela Emenda Constitucional nº 6, de 1995)</w:t>
      </w:r>
    </w:p>
    <w:p>
      <w:r>
        <w:rPr>
          <w:b/>
          <w:color w:val="003366"/>
          <w:sz w:val="20"/>
        </w:rPr>
        <w:t>Art. 172 A lei disciplinará, com base no interesse nacional, os investimentos de</w:t>
      </w:r>
    </w:p>
    <w:p>
      <w:r>
        <w:rPr>
          <w:b/>
          <w:color w:val="003366"/>
          <w:sz w:val="20"/>
        </w:rPr>
        <w:t xml:space="preserve">Art. 173 Ressalvados os casos previstos nesta Constituição, a exploração direta </w:t>
      </w:r>
      <w:r>
        <w:rPr>
          <w:color w:val="8C8C8C"/>
          <w:sz w:val="14"/>
        </w:rPr>
        <w:t xml:space="preserve">  [33 decisoes]</w:t>
      </w:r>
    </w:p>
    <w:p>
      <w:pPr>
        <w:ind w:left="144"/>
      </w:pPr>
      <w:r>
        <w:rPr>
          <w:b/>
          <w:color w:val="B45A00"/>
          <w:sz w:val="16"/>
        </w:rPr>
        <w:t>CONTROLE CONCENTRADO</w:t>
      </w:r>
    </w:p>
    <w:p>
      <w:pPr>
        <w:ind w:left="288"/>
      </w:pPr>
      <w:r>
        <w:rPr>
          <w:color w:val="8C8C8C"/>
          <w:sz w:val="12"/>
        </w:rPr>
        <w:t>cf-art-173</w:t>
      </w:r>
      <w:r>
        <w:rPr>
          <w:color w:val="003CA0"/>
          <w:sz w:val="12"/>
        </w:rPr>
        <w:t xml:space="preserve"> | ADI 4.829</w:t>
      </w:r>
      <w:r>
        <w:rPr>
          <w:color w:val="003CA0"/>
          <w:sz w:val="12"/>
        </w:rPr>
        <w:t xml:space="preserve"> | rel. Rosa Weber</w:t>
      </w:r>
    </w:p>
    <w:p>
      <w:pPr>
        <w:ind w:left="288"/>
      </w:pPr>
      <w:r>
        <w:rPr>
          <w:color w:val="1E1E1E"/>
          <w:sz w:val="18"/>
        </w:rPr>
        <w:t>Os arts. 170, parágrafo único, e 173, caput, da CF autorizam o legislador a restringir o livre exercício de atividade econômica para preservar outros direitos e valores constitucionais, destacando-se, no caso de serviços estratégicos de tecnologia da informação contratados pela União, os imperativos da soberania, da segurança nacional e da proteção da privacidade de contribuintes e destinatários de programas governamentais. Interesse público a legitimar decisão do legislador no sentido da prestação de serviços estratégicos de tecnologia da informação com exclusividade por empresa pública feder</w:t>
      </w:r>
    </w:p>
    <w:p>
      <w:pPr>
        <w:ind w:left="288"/>
      </w:pPr>
      <w:r>
        <w:rPr>
          <w:b/>
          <w:color w:val="003CA0"/>
          <w:sz w:val="16"/>
        </w:rPr>
        <w:t>[ADI 4.829, rel. min. Rosa Weber, j. 22-3-2021, P, DJE de 12-4-2021.]</w:t>
      </w:r>
    </w:p>
    <w:p>
      <w:pPr>
        <w:ind w:left="144"/>
      </w:pPr>
      <w:r>
        <w:rPr>
          <w:b/>
          <w:color w:val="B45A00"/>
          <w:sz w:val="16"/>
        </w:rPr>
        <w:t>JULGADOS CORRELATOS</w:t>
      </w:r>
    </w:p>
    <w:p>
      <w:pPr>
        <w:ind w:left="288"/>
      </w:pPr>
      <w:r>
        <w:rPr>
          <w:color w:val="8C8C8C"/>
          <w:sz w:val="12"/>
        </w:rPr>
        <w:t>cf-art-173</w:t>
      </w:r>
      <w:r>
        <w:rPr>
          <w:color w:val="003CA0"/>
          <w:sz w:val="12"/>
        </w:rPr>
        <w:t xml:space="preserve"> | RE 407.099</w:t>
      </w:r>
      <w:r>
        <w:rPr>
          <w:color w:val="003CA0"/>
          <w:sz w:val="12"/>
        </w:rPr>
        <w:t xml:space="preserve"> | rel. Carlos Velloso</w:t>
      </w:r>
    </w:p>
    <w:p>
      <w:pPr>
        <w:ind w:left="288"/>
      </w:pPr>
      <w:r>
        <w:rPr>
          <w:color w:val="1E1E1E"/>
          <w:sz w:val="18"/>
        </w:rPr>
        <w:t>Quer dizer, o art. 173 da CF está cuidando da hipótese em que o Estado esteja na condição de agente empresarial, isto é, esteja explorando, diretamente, atividade econômica em concorrência com a iniciativa privada. Os parágrafos, então, do citado art. 173 aplicam-se com observância do comando constante do caput. Se não houver concorrência – existindo monopólio, CF, art. 177 – não haverá aplicação do disposto no § 1º do mencionado art. 173.</w:t>
      </w:r>
    </w:p>
    <w:p>
      <w:pPr>
        <w:ind w:left="288"/>
      </w:pPr>
      <w:r>
        <w:rPr>
          <w:b/>
          <w:color w:val="003CA0"/>
          <w:sz w:val="16"/>
        </w:rPr>
        <w:t>[RE 407.099, voto do rel. min. Carlos Velloso, j. 22-6-2004, 2ª T, DJ de 6-8-2004.]</w:t>
      </w:r>
    </w:p>
    <w:p>
      <w:pPr>
        <w:ind w:left="144"/>
      </w:pPr>
      <w:r>
        <w:rPr>
          <w:b/>
          <w:color w:val="B45A00"/>
          <w:sz w:val="16"/>
        </w:rPr>
        <w:t>CONTROLE CONCENTRADO</w:t>
      </w:r>
    </w:p>
    <w:p>
      <w:pPr>
        <w:ind w:left="288"/>
      </w:pPr>
      <w:r>
        <w:rPr>
          <w:color w:val="8C8C8C"/>
          <w:sz w:val="12"/>
        </w:rPr>
        <w:t>cf-art-173-par-1</w:t>
      </w:r>
      <w:r>
        <w:rPr>
          <w:color w:val="003CA0"/>
          <w:sz w:val="12"/>
        </w:rPr>
        <w:t xml:space="preserve"> | ADI 7.331</w:t>
      </w:r>
      <w:r>
        <w:rPr>
          <w:color w:val="003CA0"/>
          <w:sz w:val="12"/>
        </w:rPr>
        <w:t xml:space="preserve"> | rel. Ricardo Lewandowski</w:t>
      </w:r>
    </w:p>
    <w:p>
      <w:pPr>
        <w:ind w:left="288"/>
      </w:pPr>
      <w:r>
        <w:rPr>
          <w:color w:val="1E1E1E"/>
          <w:sz w:val="18"/>
        </w:rPr>
        <w:t>“1. São constitucionais as normas dos incisos I e II do § 2° do art. 17 da Lei 13.303/2016, que impõem vedações à indicação de membros para o Conselho de Administração e para a diretoria das empresas estatais previstas (art. 173, § 1º, da CF/88).”</w:t>
        <w:br/>
        <w:t>[ADI 7.331, rel. min. Ricardo Lewandowski, red. do ac. min. André Mendonça, j. 09.05.2024, P, DJE de 12.08.2024.] A liberdade negocial das empresas estatais deve ser idêntica à das empresas privadas, com exceção das limitações impostas pela Constituição Federal e pelo Estatuto da Empresa Pública, que é lei federal (CF, art. 173, § 1º).</w:t>
        <w:br/>
        <w:t>[ADI 1.846, re</w:t>
      </w:r>
    </w:p>
    <w:p>
      <w:pPr>
        <w:ind w:left="144"/>
      </w:pPr>
      <w:r>
        <w:rPr>
          <w:b/>
          <w:color w:val="B45A00"/>
          <w:sz w:val="16"/>
        </w:rPr>
        <w:t>JULGADOS CORRELATOS</w:t>
      </w:r>
    </w:p>
    <w:p>
      <w:pPr>
        <w:ind w:left="288"/>
      </w:pPr>
      <w:r>
        <w:rPr>
          <w:color w:val="8C8C8C"/>
          <w:sz w:val="12"/>
        </w:rPr>
        <w:t>cf-art-173-par-1</w:t>
      </w:r>
      <w:r>
        <w:rPr>
          <w:color w:val="003CA0"/>
          <w:sz w:val="12"/>
        </w:rPr>
        <w:t xml:space="preserve"> | AI 468.580</w:t>
      </w:r>
      <w:r>
        <w:rPr>
          <w:color w:val="003CA0"/>
          <w:sz w:val="12"/>
        </w:rPr>
        <w:t xml:space="preserve"> | rel. Ellen Gracie</w:t>
      </w:r>
    </w:p>
    <w:p>
      <w:pPr>
        <w:ind w:left="288"/>
      </w:pPr>
      <w:r>
        <w:rPr>
          <w:color w:val="1E1E1E"/>
          <w:sz w:val="18"/>
        </w:rPr>
        <w:t>Esta Corte orientou-se no sentido de que as disposições constitucionais que regem os atos administrativos não podem ser invocadas para estender aos funcionários de sociedade de economia mista, que seguem a CLT, uma estabilidade aplicável somente aos servidores públicos, estes, sim, submetidos a uma relação de direito administrativo. A aplicação das normas de dispensa trabalhista aos empregados de pessoas jurídicas de direito privado está em consonância com o disposto no § 1º do art. 173 da Lei Maior, sem ofensa ao art. 37, caput e II, da Carta Federal.</w:t>
      </w:r>
    </w:p>
    <w:p>
      <w:pPr>
        <w:ind w:left="288"/>
      </w:pPr>
      <w:r>
        <w:rPr>
          <w:b/>
          <w:color w:val="003CA0"/>
          <w:sz w:val="16"/>
        </w:rPr>
        <w:t>[AI 468.580 AgR, rel. min. Ellen Gracie, j. 13-12-2005, 2ª T, DJ de 24-2-2006.]</w:t>
      </w:r>
    </w:p>
    <w:p>
      <w:pPr>
        <w:ind w:left="288"/>
      </w:pPr>
      <w:r>
        <w:rPr>
          <w:color w:val="8C8C8C"/>
          <w:sz w:val="12"/>
        </w:rPr>
        <w:t>cf-art-173-par-1</w:t>
      </w:r>
      <w:r>
        <w:rPr>
          <w:color w:val="003CA0"/>
          <w:sz w:val="12"/>
        </w:rPr>
        <w:t xml:space="preserve"> | MS 21.322</w:t>
      </w:r>
      <w:r>
        <w:rPr>
          <w:color w:val="003CA0"/>
          <w:sz w:val="12"/>
        </w:rPr>
        <w:t xml:space="preserve"> | rel. Paulo Brossard</w:t>
      </w:r>
    </w:p>
    <w:p>
      <w:pPr>
        <w:ind w:left="288"/>
      </w:pPr>
      <w:r>
        <w:rPr>
          <w:color w:val="1E1E1E"/>
          <w:sz w:val="18"/>
        </w:rPr>
        <w:t>Pela vigente ordem constitucional, em regra, o acesso aos empregos públicos opera-se mediante concurso público, que pode não ser de igual conteúdo, mas há de ser público. As autarquias, empresas públicas ou sociedades de economia mista estão sujeitas à regra, que envolve a administração direta, indireta ou fundacional, de qualquer dos poderes da União, dos Estados, do Distrito Federal e dos Municípios. Sociedade de economia mista destinada a explorar atividade econômica está igualmente sujeita a esse princípio, que não colide com o expresso no art. 173, § 1º.</w:t>
      </w:r>
    </w:p>
    <w:p>
      <w:pPr>
        <w:ind w:left="288"/>
      </w:pPr>
      <w:r>
        <w:rPr>
          <w:b/>
          <w:color w:val="003CA0"/>
          <w:sz w:val="16"/>
        </w:rPr>
        <w:t>[MS 21.322, rel. min. Paulo Brossard, j. 3-12-1992, P, DJ de 23-4-1993.]</w:t>
      </w:r>
    </w:p>
    <w:p>
      <w:pPr>
        <w:ind w:left="288"/>
      </w:pPr>
      <w:r>
        <w:rPr>
          <w:color w:val="8C8C8C"/>
          <w:sz w:val="12"/>
        </w:rPr>
        <w:t>cf-art-173-par-1</w:t>
      </w:r>
      <w:r>
        <w:rPr>
          <w:color w:val="003CA0"/>
          <w:sz w:val="12"/>
        </w:rPr>
        <w:t xml:space="preserve"> | RE 558.833</w:t>
      </w:r>
      <w:r>
        <w:rPr>
          <w:color w:val="003CA0"/>
          <w:sz w:val="12"/>
        </w:rPr>
        <w:t xml:space="preserve"> | rel. Ellen Gracie</w:t>
      </w:r>
    </w:p>
    <w:p>
      <w:pPr>
        <w:ind w:left="288"/>
      </w:pPr>
      <w:r>
        <w:rPr>
          <w:color w:val="1E1E1E"/>
          <w:sz w:val="18"/>
        </w:rPr>
        <w:t>= RE 558.833 AgR, rel. min. Ellen Gracie, j. 8-9-2009, 2ª T, DJE de 25-9-2009</w:t>
      </w:r>
    </w:p>
    <w:p>
      <w:pPr>
        <w:ind w:left="144"/>
      </w:pPr>
      <w:r>
        <w:rPr>
          <w:b/>
          <w:color w:val="B45A00"/>
          <w:sz w:val="16"/>
        </w:rPr>
        <w:t>SUMULA</w:t>
      </w:r>
    </w:p>
    <w:p>
      <w:pPr>
        <w:ind w:left="288"/>
      </w:pPr>
      <w:r>
        <w:rPr>
          <w:color w:val="8C8C8C"/>
          <w:sz w:val="12"/>
        </w:rPr>
        <w:t>cf-art-173-par-1-inc-II</w:t>
      </w:r>
    </w:p>
    <w:p>
      <w:pPr>
        <w:ind w:left="288"/>
      </w:pPr>
      <w:r>
        <w:rPr>
          <w:color w:val="1E1E1E"/>
          <w:sz w:val="18"/>
        </w:rPr>
        <w:t>É competente a Justiça comum para julgar as causas em que é parte sociedade de economia mista.</w:t>
      </w:r>
    </w:p>
    <w:p>
      <w:pPr>
        <w:ind w:left="288"/>
      </w:pPr>
      <w:r>
        <w:rPr>
          <w:b/>
          <w:color w:val="003CA0"/>
          <w:sz w:val="16"/>
        </w:rPr>
        <w:t>[Súmula 556.]</w:t>
      </w:r>
    </w:p>
    <w:p>
      <w:pPr>
        <w:ind w:left="144"/>
      </w:pPr>
      <w:r>
        <w:rPr>
          <w:b/>
          <w:color w:val="B45A00"/>
          <w:sz w:val="16"/>
        </w:rPr>
        <w:t>CONTROLE CONCENTRADO</w:t>
      </w:r>
    </w:p>
    <w:p>
      <w:pPr>
        <w:ind w:left="288"/>
      </w:pPr>
      <w:r>
        <w:rPr>
          <w:color w:val="8C8C8C"/>
          <w:sz w:val="12"/>
        </w:rPr>
        <w:t>cf-art-173-par-1-inc-II</w:t>
      </w:r>
      <w:r>
        <w:rPr>
          <w:color w:val="003CA0"/>
          <w:sz w:val="12"/>
        </w:rPr>
        <w:t xml:space="preserve"> | ADI 6.584</w:t>
      </w:r>
      <w:r>
        <w:rPr>
          <w:color w:val="003CA0"/>
          <w:sz w:val="12"/>
        </w:rPr>
        <w:t xml:space="preserve"> | rel. Gilmar Mendes</w:t>
      </w:r>
    </w:p>
    <w:p>
      <w:pPr>
        <w:ind w:left="288"/>
      </w:pPr>
      <w:r>
        <w:rPr>
          <w:color w:val="1E1E1E"/>
          <w:sz w:val="18"/>
        </w:rPr>
        <w:t>Teto remuneratório aos empregados de empresas públicas e sociedades de economia mista não dependentes do erário do Distrito Federal. Violação ao art. 37 da Constituição Federal. Medida cautelar confirmada. Inconstitucionalidade da Emenda à Lei Orgânica do Distrito Federal n. 99/2017. Interpretação conforme à Constituição ao artigo 19, X, da LODF, de modo que a expressão “empregos públicos” se limite às entidades que recebam recursos do Distrito Federal para pagamento de despesas de pessoal ou de custeio em geral. Ação julgada procedente.</w:t>
      </w:r>
    </w:p>
    <w:p>
      <w:pPr>
        <w:ind w:left="288"/>
      </w:pPr>
      <w:r>
        <w:rPr>
          <w:b/>
          <w:color w:val="003CA0"/>
          <w:sz w:val="16"/>
        </w:rPr>
        <w:t>[ADI 6.584, rel. min. Gilmar Mendes, j. 21-5-2021, P, DJE de 2-6-2021,]</w:t>
      </w:r>
    </w:p>
    <w:p>
      <w:pPr>
        <w:ind w:left="288"/>
      </w:pPr>
      <w:r>
        <w:rPr>
          <w:color w:val="8C8C8C"/>
          <w:sz w:val="12"/>
        </w:rPr>
        <w:t>cf-art-173-par-1-inc-II</w:t>
      </w:r>
      <w:r>
        <w:rPr>
          <w:color w:val="003CA0"/>
          <w:sz w:val="12"/>
        </w:rPr>
        <w:t xml:space="preserve"> | ADI 3.403</w:t>
      </w:r>
      <w:r>
        <w:rPr>
          <w:color w:val="003CA0"/>
          <w:sz w:val="12"/>
        </w:rPr>
        <w:t xml:space="preserve"> | rel. Joaquim Barbosa</w:t>
      </w:r>
    </w:p>
    <w:p>
      <w:pPr>
        <w:ind w:left="288"/>
      </w:pPr>
      <w:r>
        <w:rPr>
          <w:color w:val="1E1E1E"/>
          <w:sz w:val="18"/>
        </w:rPr>
        <w:t>(...) se a Constituição preconiza um sistema unificado de saúde, é justificável, ao menos do ponto de vista constitucional, que se criem programas públicos de saúde restritos a servidores? Salvo casos de demonstrada adequação, isso não ofenderia também a isonomia constitucional e a própria concepção de serviço de saúde pública na Constituição de 1988? De qualquer sorte, nem é preciso responder a essas dúvidas para a solução do caso. Dado que a norma tem como destinatários apenas os servidores de empresas públicas estaduais, e considerando que a estas a Constituição estatui regime o mais próxim</w:t>
      </w:r>
    </w:p>
    <w:p>
      <w:pPr>
        <w:ind w:left="288"/>
      </w:pPr>
      <w:r>
        <w:rPr>
          <w:b/>
          <w:color w:val="003CA0"/>
          <w:sz w:val="16"/>
        </w:rPr>
        <w:t>[ADI 3.403, voto do rel. min. Joaquim Barbosa, j. 18-6-2007, P, DJ de 24-8-2007.]</w:t>
      </w:r>
    </w:p>
    <w:p>
      <w:pPr>
        <w:ind w:left="288"/>
      </w:pPr>
      <w:r>
        <w:rPr>
          <w:color w:val="8C8C8C"/>
          <w:sz w:val="12"/>
        </w:rPr>
        <w:t>cf-art-173-par-1-inc-II</w:t>
      </w:r>
      <w:r>
        <w:rPr>
          <w:color w:val="003CA0"/>
          <w:sz w:val="12"/>
        </w:rPr>
        <w:t xml:space="preserve"> | ADI 1.998</w:t>
      </w:r>
      <w:r>
        <w:rPr>
          <w:color w:val="003CA0"/>
          <w:sz w:val="12"/>
        </w:rPr>
        <w:t xml:space="preserve"> | rel. Maurício Corrêa</w:t>
      </w:r>
    </w:p>
    <w:p>
      <w:pPr>
        <w:ind w:left="288"/>
      </w:pPr>
      <w:r>
        <w:rPr>
          <w:color w:val="1E1E1E"/>
          <w:sz w:val="18"/>
        </w:rPr>
        <w:t>O processo de privatização das empresas públicas e das sociedades de economia mista é distinto daquele realizado pelas empresas privadas quando submetidas à incorporação, fusão ou cisão, dadas as exigências peculiares do programa de desestatização e da cogente observância dos princípios moralizadores que regem os atos da administração pública, sob pena de invalidação. Empresas públicas e sociedades de economia mista. Prazo diferenciado daquele previsto para as empresas privadas para apresentação de balanço contábil. Afronta ao § 1º e inciso II do art. 173 da CF. Alegação improcedente.</w:t>
      </w:r>
    </w:p>
    <w:p>
      <w:pPr>
        <w:ind w:left="288"/>
      </w:pPr>
      <w:r>
        <w:rPr>
          <w:b/>
          <w:color w:val="003CA0"/>
          <w:sz w:val="16"/>
        </w:rPr>
        <w:t>[ADI 1.998, rel. min. Maurício Corrêa, j. 17-3-2004, P, DJ de 7-5-2004.]</w:t>
      </w:r>
    </w:p>
    <w:p>
      <w:pPr>
        <w:ind w:left="288"/>
      </w:pPr>
      <w:r>
        <w:rPr>
          <w:color w:val="8C8C8C"/>
          <w:sz w:val="12"/>
        </w:rPr>
        <w:t>cf-art-173-par-1-inc-II</w:t>
      </w:r>
      <w:r>
        <w:rPr>
          <w:color w:val="003CA0"/>
          <w:sz w:val="12"/>
        </w:rPr>
        <w:t xml:space="preserve"> | ADI 1.515</w:t>
      </w:r>
      <w:r>
        <w:rPr>
          <w:color w:val="003CA0"/>
          <w:sz w:val="12"/>
        </w:rPr>
        <w:t xml:space="preserve"> | rel. Sydney Sanches</w:t>
      </w:r>
    </w:p>
    <w:p>
      <w:pPr>
        <w:ind w:left="288"/>
      </w:pPr>
      <w:r>
        <w:rPr>
          <w:color w:val="1E1E1E"/>
          <w:sz w:val="18"/>
        </w:rPr>
        <w:t>Servidor da administração indireta: férias: adiantamento da remuneração. Ação direta de inconstitucionalidade do art. 1º da Lei 1.139, de 10-7-1996, do Distrito Federal, que diz: "Art. 1º O adiantamento da remuneração de férias a servidor da administração direta, indireta, autárquica e fundacional do Distrito Federal será concedido no percentual de 40% (...) da remuneração líquida do respectivo mês, mediante solicitação expressa do servidor". A expressão "servidor da administração indireta" abrange o servidor das empresas públicas e das sociedades de economia mista. Sucede que tais empresas es</w:t>
      </w:r>
    </w:p>
    <w:p>
      <w:pPr>
        <w:ind w:left="288"/>
      </w:pPr>
      <w:r>
        <w:rPr>
          <w:b/>
          <w:color w:val="003CA0"/>
          <w:sz w:val="16"/>
        </w:rPr>
        <w:t>[ADI 1.515, rel. min. Sydney Sanches, j. 12-2-2003, P, DJ de 11-4-2003.]</w:t>
      </w:r>
    </w:p>
    <w:p>
      <w:pPr>
        <w:ind w:left="288"/>
      </w:pPr>
      <w:r>
        <w:rPr>
          <w:color w:val="8C8C8C"/>
          <w:sz w:val="12"/>
        </w:rPr>
        <w:t>cf-art-173-par-1-inc-II</w:t>
      </w:r>
      <w:r>
        <w:rPr>
          <w:color w:val="003CA0"/>
          <w:sz w:val="12"/>
        </w:rPr>
        <w:t xml:space="preserve"> | RE 790.059</w:t>
      </w:r>
      <w:r>
        <w:rPr>
          <w:color w:val="003CA0"/>
          <w:sz w:val="12"/>
        </w:rPr>
        <w:t xml:space="preserve"> | rel. Luiz Fux</w:t>
      </w:r>
    </w:p>
    <w:p>
      <w:pPr>
        <w:ind w:left="288"/>
      </w:pPr>
      <w:r>
        <w:rPr>
          <w:color w:val="1E1E1E"/>
          <w:sz w:val="18"/>
        </w:rPr>
        <w:t>Constitucionalidade da extensão do privilégio fazendário da prescrição quinquenal às pretensões contrárias aos Correios.</w:t>
      </w:r>
    </w:p>
    <w:p>
      <w:pPr>
        <w:ind w:left="288"/>
      </w:pPr>
      <w:r>
        <w:rPr>
          <w:b/>
          <w:color w:val="003CA0"/>
          <w:sz w:val="16"/>
        </w:rPr>
        <w:t>[RE 790.059 RG, rel. min. Luiz Fux, j. 13.06.2025, P, DJE de 23.06.2025, Tema 1.407, com mérito pendente.]</w:t>
      </w:r>
    </w:p>
    <w:p>
      <w:pPr>
        <w:ind w:left="144"/>
      </w:pPr>
      <w:r>
        <w:rPr>
          <w:b/>
          <w:color w:val="B45A00"/>
          <w:sz w:val="16"/>
        </w:rPr>
        <w:t>REPERCUSSAO GERAL</w:t>
      </w:r>
    </w:p>
    <w:p>
      <w:pPr>
        <w:ind w:left="288"/>
      </w:pPr>
      <w:r>
        <w:rPr>
          <w:color w:val="8C8C8C"/>
          <w:sz w:val="12"/>
        </w:rPr>
        <w:t>cf-art-173-par-1-inc-II</w:t>
      </w:r>
      <w:r>
        <w:rPr>
          <w:color w:val="003CA0"/>
          <w:sz w:val="12"/>
        </w:rPr>
        <w:t xml:space="preserve"> | RE 716.378</w:t>
      </w:r>
      <w:r>
        <w:rPr>
          <w:color w:val="003CA0"/>
          <w:sz w:val="12"/>
        </w:rPr>
        <w:t xml:space="preserve"> | rel. Dias Toffoli</w:t>
      </w:r>
    </w:p>
    <w:p>
      <w:pPr>
        <w:ind w:left="288"/>
      </w:pPr>
      <w:r>
        <w:rPr>
          <w:color w:val="1E1E1E"/>
          <w:sz w:val="18"/>
        </w:rPr>
        <w:t>A qualificação de uma fundação instituída pelo Estado como sujeita ao regime público ou privado depende (i) do estatuto de sua criação ou autorização e (ii) das atividades por ela realizadas. As atividades de cunho econômico e as passíveis de delegação, quando definidas como objetos de fundação instituída ou mantida pelo Poder Público, submetem-se ao regime jurídico de direito privado.</w:t>
      </w:r>
    </w:p>
    <w:p>
      <w:pPr>
        <w:ind w:left="288"/>
      </w:pPr>
      <w:r>
        <w:rPr>
          <w:b/>
          <w:color w:val="003CA0"/>
          <w:sz w:val="16"/>
        </w:rPr>
        <w:t>[RE 716.378, rel. min. Dias Toffoli, j. 7-8-2019, P, DJE de 30-6-2020, Tema 545, com mérito julgado.]</w:t>
      </w:r>
    </w:p>
    <w:p>
      <w:pPr>
        <w:ind w:left="288"/>
      </w:pPr>
      <w:r>
        <w:rPr>
          <w:color w:val="8C8C8C"/>
          <w:sz w:val="12"/>
        </w:rPr>
        <w:t>cf-art-173-par-1-inc-II</w:t>
      </w:r>
      <w:r>
        <w:rPr>
          <w:color w:val="003CA0"/>
          <w:sz w:val="12"/>
        </w:rPr>
        <w:t xml:space="preserve"> | RE 577.494</w:t>
      </w:r>
      <w:r>
        <w:rPr>
          <w:color w:val="003CA0"/>
          <w:sz w:val="12"/>
        </w:rPr>
        <w:t xml:space="preserve"> | rel. Edson Fachin</w:t>
      </w:r>
    </w:p>
    <w:p>
      <w:pPr>
        <w:ind w:left="288"/>
      </w:pPr>
      <w:r>
        <w:rPr>
          <w:color w:val="1E1E1E"/>
          <w:sz w:val="18"/>
        </w:rPr>
        <w:t>Não ofende o art. 173, §1º, II, da Constituição Federal, a escolha legislativa de reputar não equivalentes a situação das empresas privadas com relação a das sociedades de economia mista, das empresas públicas e respectivas subsidiárias que exploram atividade econômica, para fins de submissão ao regime tributário das contribuições para o PIS e para o PASEP, à luz dos princípios da igualdade tributária e da seletividade no financiamento da Seguridade Social.</w:t>
      </w:r>
    </w:p>
    <w:p>
      <w:pPr>
        <w:ind w:left="288"/>
      </w:pPr>
      <w:r>
        <w:rPr>
          <w:b/>
          <w:color w:val="003CA0"/>
          <w:sz w:val="16"/>
        </w:rPr>
        <w:t>[RE 577.494, rel. min. Edson Fachin, j. 13-12-2018, P, DJE de 1º-3-2019, Tema 64, com mérito julgado.]</w:t>
      </w:r>
    </w:p>
    <w:p>
      <w:pPr>
        <w:ind w:left="288"/>
      </w:pPr>
      <w:r>
        <w:rPr>
          <w:color w:val="8C8C8C"/>
          <w:sz w:val="12"/>
        </w:rPr>
        <w:t>cf-art-173-par-1-inc-II</w:t>
      </w:r>
      <w:r>
        <w:rPr>
          <w:color w:val="003CA0"/>
          <w:sz w:val="12"/>
        </w:rPr>
        <w:t xml:space="preserve"> | RE 589.998</w:t>
      </w:r>
      <w:r>
        <w:rPr>
          <w:color w:val="003CA0"/>
          <w:sz w:val="12"/>
        </w:rPr>
        <w:t xml:space="preserve"> | rel. Roberto Barroso</w:t>
      </w:r>
    </w:p>
    <w:p>
      <w:pPr>
        <w:ind w:left="288"/>
      </w:pPr>
      <w:r>
        <w:rPr>
          <w:color w:val="1E1E1E"/>
          <w:sz w:val="18"/>
        </w:rPr>
        <w:t>Embargos de declaração providos em parte para fixar a seguinte tese de julgamento: A Empresa Brasileira de Correios e Telégrafos - ECT tem o dever jurídico de motivar, em ato formal, a demissão de seus empregados.</w:t>
      </w:r>
    </w:p>
    <w:p>
      <w:pPr>
        <w:ind w:left="288"/>
      </w:pPr>
      <w:r>
        <w:rPr>
          <w:b/>
          <w:color w:val="003CA0"/>
          <w:sz w:val="16"/>
        </w:rPr>
        <w:t>[RE 589.998-ED, rel. min. Roberto Barroso, j. 10-10-2018, P, DJE de 5-12-2018, Tema 131, com mérito julgado.]</w:t>
      </w:r>
    </w:p>
    <w:p>
      <w:pPr>
        <w:ind w:left="288"/>
      </w:pPr>
      <w:r>
        <w:rPr>
          <w:color w:val="8C8C8C"/>
          <w:sz w:val="12"/>
        </w:rPr>
        <w:t>cf-art-173-par-1-inc-II</w:t>
      </w:r>
      <w:r>
        <w:rPr>
          <w:color w:val="003CA0"/>
          <w:sz w:val="12"/>
        </w:rPr>
        <w:t xml:space="preserve"> | RE 589.998</w:t>
      </w:r>
      <w:r>
        <w:rPr>
          <w:color w:val="003CA0"/>
          <w:sz w:val="12"/>
        </w:rPr>
        <w:t xml:space="preserve"> | rel. Ricardo Lewandowski</w:t>
      </w:r>
    </w:p>
    <w:p>
      <w:pPr>
        <w:ind w:left="288"/>
      </w:pPr>
      <w:r>
        <w:rPr>
          <w:color w:val="1E1E1E"/>
          <w:sz w:val="18"/>
        </w:rPr>
        <w:t>Vide RE 589.998, rel. min. Ricardo Lewandowski, j. 20-3-2013, P, DJE de 12-9-2013, Tema 131, com mérito julgado Os privilégios da Fazenda Pública são inextensíveis às sociedades de economia mista que executam atividades em regime de concorrência ou que tenham como objetivo distribuir lucros aos seus acionistas.</w:t>
      </w:r>
    </w:p>
    <w:p>
      <w:pPr>
        <w:ind w:left="288"/>
      </w:pPr>
      <w:r>
        <w:rPr>
          <w:b/>
          <w:color w:val="003CA0"/>
          <w:sz w:val="16"/>
        </w:rPr>
        <w:t>[RE 599.628, red. do ac. min. Joaquim Barbosa, j. 25-5-2011, P, DJE de 17-10-2011, Tema 253, com mérito julgado.]</w:t>
      </w:r>
    </w:p>
    <w:p>
      <w:pPr>
        <w:ind w:left="144"/>
      </w:pPr>
      <w:r>
        <w:rPr>
          <w:b/>
          <w:color w:val="B45A00"/>
          <w:sz w:val="16"/>
        </w:rPr>
        <w:t>JULGADOS CORRELATOS</w:t>
      </w:r>
    </w:p>
    <w:p>
      <w:pPr>
        <w:ind w:left="288"/>
      </w:pPr>
      <w:r>
        <w:rPr>
          <w:color w:val="8C8C8C"/>
          <w:sz w:val="12"/>
        </w:rPr>
        <w:t>cf-art-173-par-1-inc-II</w:t>
      </w:r>
      <w:r>
        <w:rPr>
          <w:color w:val="003CA0"/>
          <w:sz w:val="12"/>
        </w:rPr>
        <w:t xml:space="preserve"> | AI 489.874</w:t>
      </w:r>
      <w:r>
        <w:rPr>
          <w:color w:val="003CA0"/>
          <w:sz w:val="12"/>
        </w:rPr>
        <w:t xml:space="preserve"> | rel. Marco Aurélio</w:t>
      </w:r>
    </w:p>
    <w:p>
      <w:pPr>
        <w:ind w:left="288"/>
      </w:pPr>
      <w:r>
        <w:rPr>
          <w:color w:val="1E1E1E"/>
          <w:sz w:val="18"/>
        </w:rPr>
        <w:t>Longe fica de vulnerar o art. 173, § 1º, II, da CF, pronunciamento no sentido de ser devida indenização em virtude de rompimento de relação jurídica mantida por sociedade anônima de economia mista com particular.</w:t>
      </w:r>
    </w:p>
    <w:p>
      <w:pPr>
        <w:ind w:left="288"/>
      </w:pPr>
      <w:r>
        <w:rPr>
          <w:b/>
          <w:color w:val="003CA0"/>
          <w:sz w:val="16"/>
        </w:rPr>
        <w:t>[AI 489.874 AgR, rel. min. Marco Aurélio, j. 1º-4-2008, 1ª T, DJE de 9-5-2008.]</w:t>
      </w:r>
    </w:p>
    <w:p>
      <w:pPr>
        <w:ind w:left="288"/>
      </w:pPr>
      <w:r>
        <w:rPr>
          <w:color w:val="8C8C8C"/>
          <w:sz w:val="12"/>
        </w:rPr>
        <w:t>cf-art-173-par-1-inc-II</w:t>
      </w:r>
      <w:r>
        <w:rPr>
          <w:color w:val="003CA0"/>
          <w:sz w:val="12"/>
        </w:rPr>
        <w:t xml:space="preserve"> | AI 680.939</w:t>
      </w:r>
      <w:r>
        <w:rPr>
          <w:color w:val="003CA0"/>
          <w:sz w:val="12"/>
        </w:rPr>
        <w:t xml:space="preserve"> | rel. Eros Grau</w:t>
      </w:r>
    </w:p>
    <w:p>
      <w:pPr>
        <w:ind w:left="288"/>
      </w:pPr>
      <w:r>
        <w:rPr>
          <w:color w:val="1E1E1E"/>
          <w:sz w:val="18"/>
        </w:rPr>
        <w:t>Após a Constituição do Brasil de 1988, é nula a contratação para a investidura em cargo ou emprego público sem prévia aprovação em concurso público. Tal contratação não gera efeitos trabalhistas, salvo o pagamento do saldo de salários dos dias efetivamente trabalhados, sob pena de enriquecimento sem causa do poder público. Precedentes. A regra constitucional que submete as empresas públicas e sociedades de economia mista ao regime jurídico próprio das empresas privadas (...) não elide a aplicação, a esses entes, do preceituado no art. 37, II, da CF/1988, que se refere à investidura em cargo ou</w:t>
      </w:r>
    </w:p>
    <w:p>
      <w:pPr>
        <w:ind w:left="288"/>
      </w:pPr>
      <w:r>
        <w:rPr>
          <w:b/>
          <w:color w:val="003CA0"/>
          <w:sz w:val="16"/>
        </w:rPr>
        <w:t>[AI 680.939 AgR, rel. min. Eros Grau, j. 27-11-2007, 2ª T, DJE de 1º-2-2008.]</w:t>
      </w:r>
    </w:p>
    <w:p>
      <w:pPr>
        <w:ind w:left="288"/>
      </w:pPr>
      <w:r>
        <w:rPr>
          <w:color w:val="8C8C8C"/>
          <w:sz w:val="12"/>
        </w:rPr>
        <w:t>cf-art-173-par-1-inc-II</w:t>
      </w:r>
      <w:r>
        <w:rPr>
          <w:color w:val="003CA0"/>
          <w:sz w:val="12"/>
        </w:rPr>
        <w:t xml:space="preserve"> | MS 22.357</w:t>
      </w:r>
      <w:r>
        <w:rPr>
          <w:color w:val="003CA0"/>
          <w:sz w:val="12"/>
        </w:rPr>
        <w:t xml:space="preserve"> | rel. Gilmar Mendes</w:t>
      </w:r>
    </w:p>
    <w:p>
      <w:pPr>
        <w:ind w:left="288"/>
      </w:pPr>
      <w:r>
        <w:rPr>
          <w:color w:val="1E1E1E"/>
          <w:sz w:val="18"/>
        </w:rPr>
        <w:t>Acórdão do TCU. Prestação de contas da Empresa Brasileira de Infraestrutura Aeroportuária (INFRAERO). Emprego público. Regularização de admissões. Contratações realizadas em conformidade com a legislação vigente à época. Admissões realizadas por processo seletivo sem concurso público, validadas por decisão administrativa e acórdão anterior do TCU. Transcurso de mais de dez anos desde a concessão da liminar no mandado de segurança. Obrigatoriedade da observância do princípio da segurança jurídica enquanto subprincípio do Estado de Direito.</w:t>
      </w:r>
    </w:p>
    <w:p>
      <w:pPr>
        <w:ind w:left="288"/>
      </w:pPr>
      <w:r>
        <w:rPr>
          <w:b/>
          <w:color w:val="003CA0"/>
          <w:sz w:val="16"/>
        </w:rPr>
        <w:t>[MS 22.357, rel. min. Gilmar Mendes, j. 27-5-2004, P, DJ de 5-11-2004.]</w:t>
      </w:r>
    </w:p>
    <w:p>
      <w:pPr>
        <w:ind w:left="288"/>
      </w:pPr>
      <w:r>
        <w:rPr>
          <w:color w:val="8C8C8C"/>
          <w:sz w:val="12"/>
        </w:rPr>
        <w:t>cf-art-173-par-1-inc-II</w:t>
      </w:r>
      <w:r>
        <w:rPr>
          <w:color w:val="003CA0"/>
          <w:sz w:val="12"/>
        </w:rPr>
        <w:t xml:space="preserve"> | AI 349.477</w:t>
      </w:r>
      <w:r>
        <w:rPr>
          <w:color w:val="003CA0"/>
          <w:sz w:val="12"/>
        </w:rPr>
        <w:t xml:space="preserve"> | rel. Celso de Mello</w:t>
      </w:r>
    </w:p>
    <w:p>
      <w:pPr>
        <w:ind w:left="288"/>
      </w:pPr>
      <w:r>
        <w:rPr>
          <w:color w:val="1E1E1E"/>
          <w:sz w:val="18"/>
        </w:rPr>
        <w:t>Aplicabilidade estrita da prerrogativa processual do prazo recursal em dobro (CPC, art. 188). Paranaprevidência. Entidade paraestatal (ente de cooperação). Inaplicabilidade do benefício extraordinário da ampliação do prazo recursal (...). As empresas governamentais (sociedades de economia mista e empresas públicas) e os entes de cooperação (serviços sociais autônomos e organizações sociais) qualificam-se como pessoas jurídicas de direito privado e, nessa condição, não dispõem dos benefícios processuais inerentes à Fazenda Pública (União, Estados-membros, Distrito Federal, Municípios e respecti</w:t>
      </w:r>
    </w:p>
    <w:p>
      <w:pPr>
        <w:ind w:left="288"/>
      </w:pPr>
      <w:r>
        <w:rPr>
          <w:b/>
          <w:color w:val="003CA0"/>
          <w:sz w:val="16"/>
        </w:rPr>
        <w:t>[AI 349.477 AgR, rel. min. Celso de Mello, j. 11-2-2003, 2ª T, DJ de 28-2-2003.]</w:t>
      </w:r>
    </w:p>
    <w:p>
      <w:pPr>
        <w:ind w:left="288"/>
      </w:pPr>
      <w:r>
        <w:rPr>
          <w:color w:val="8C8C8C"/>
          <w:sz w:val="12"/>
        </w:rPr>
        <w:t>cf-art-173-par-1-inc-II</w:t>
      </w:r>
      <w:r>
        <w:rPr>
          <w:color w:val="003CA0"/>
          <w:sz w:val="12"/>
        </w:rPr>
        <w:t xml:space="preserve"> | AI 841.548</w:t>
      </w:r>
      <w:r>
        <w:rPr>
          <w:color w:val="003CA0"/>
          <w:sz w:val="12"/>
        </w:rPr>
        <w:t xml:space="preserve"> | rel. Cezar Peluso</w:t>
      </w:r>
    </w:p>
    <w:p>
      <w:pPr>
        <w:ind w:left="288"/>
      </w:pPr>
      <w:r>
        <w:rPr>
          <w:color w:val="1E1E1E"/>
          <w:sz w:val="18"/>
        </w:rPr>
        <w:t>Vide AI 841.548 RG, rel. min. Cezar Peluso, j. 9-6-2011, P, DJE de 31-8-2011, Tema 411 À Empresa Brasileira de Correios e Telégrafos, pessoa jurídica equiparada à Fazenda Pública, é aplicável o privilégio da impenhorabilidade de seus bens, rendas e serviços. Recepção do art. 12 do DL 509/1969 e não incidência da restrição contida no art. 173, § 1º, da CF, que submete a empresa pública, a sociedade de economia mista e outras entidades que explorem atividade econômica ao regime próprio das empresas privadas, inclusive quanto às obrigações trabalhistas e tributárias. Empresa pública que não exerc</w:t>
      </w:r>
    </w:p>
    <w:p>
      <w:pPr>
        <w:ind w:left="288"/>
      </w:pPr>
      <w:r>
        <w:rPr>
          <w:b/>
          <w:color w:val="003CA0"/>
          <w:sz w:val="16"/>
        </w:rPr>
        <w:t>[RE 220.906, rel. min. Maurício Corrêa, j. 16-11-2000, P, DJ de 14-11-2002.]</w:t>
      </w:r>
    </w:p>
    <w:p>
      <w:pPr>
        <w:ind w:left="288"/>
      </w:pPr>
      <w:r>
        <w:rPr>
          <w:color w:val="8C8C8C"/>
          <w:sz w:val="12"/>
        </w:rPr>
        <w:t>cf-art-173-par-1-inc-II</w:t>
      </w:r>
      <w:r>
        <w:rPr>
          <w:color w:val="003CA0"/>
          <w:sz w:val="12"/>
        </w:rPr>
        <w:t xml:space="preserve"> | RE 407.099</w:t>
      </w:r>
      <w:r>
        <w:rPr>
          <w:color w:val="003CA0"/>
          <w:sz w:val="12"/>
        </w:rPr>
        <w:t xml:space="preserve"> | rel. Carlos Velloso</w:t>
      </w:r>
    </w:p>
    <w:p>
      <w:pPr>
        <w:ind w:left="288"/>
      </w:pPr>
      <w:r>
        <w:rPr>
          <w:color w:val="1E1E1E"/>
          <w:sz w:val="18"/>
        </w:rPr>
        <w:t>= RE 407.099, rel. min. Carlos Velloso, j. 22-6-2004, 2ª T, DJ de 6-8-2004</w:t>
      </w:r>
    </w:p>
    <w:p>
      <w:pPr>
        <w:ind w:left="144"/>
      </w:pPr>
      <w:r>
        <w:rPr>
          <w:b/>
          <w:color w:val="B45A00"/>
          <w:sz w:val="16"/>
        </w:rPr>
        <w:t>CONTROLE CONCENTRADO</w:t>
      </w:r>
    </w:p>
    <w:p>
      <w:pPr>
        <w:ind w:left="288"/>
      </w:pPr>
      <w:r>
        <w:rPr>
          <w:color w:val="8C8C8C"/>
          <w:sz w:val="12"/>
        </w:rPr>
        <w:t>cf-art-173-par-1-inc-III</w:t>
      </w:r>
      <w:r>
        <w:rPr>
          <w:color w:val="003CA0"/>
          <w:sz w:val="12"/>
        </w:rPr>
        <w:t xml:space="preserve"> | ADI 5.942</w:t>
      </w:r>
    </w:p>
    <w:p>
      <w:pPr>
        <w:ind w:left="288"/>
      </w:pPr>
      <w:r>
        <w:rPr>
          <w:color w:val="1E1E1E"/>
          <w:sz w:val="18"/>
        </w:rPr>
        <w:t>O Decreto 9.355/2018 estabelece o procedimento especial de cessão de direitos de exploração, desenvolvimento e produção de petróleo, gás natural e outros hidrocarbonetos fluidos pela Petróleo Brasileiro S.A., na forma estabelecida na legislação a que remete - sabidamente a Lei 9.478/1997 e a Lei 12.351/2010, que tratam da transferência do contrato de concessão e, especificamente, da cessão de direitos e obrigações relativos ao contrato de partilha de produção. A cessão dos direitos e obrigações relativos ao contrato de partilha de produção foi regulamentada pelo artigo 31 da Lei 12.351/2010, q</w:t>
      </w:r>
    </w:p>
    <w:p>
      <w:pPr>
        <w:ind w:left="288"/>
      </w:pPr>
      <w:r>
        <w:rPr>
          <w:b/>
          <w:color w:val="003CA0"/>
          <w:sz w:val="16"/>
        </w:rPr>
        <w:t>[ADI 5.942, red. do ac. min. Luiz Fux, j. 13-10-2020, P, DJE de 8-2-2021.]</w:t>
      </w:r>
    </w:p>
    <w:p>
      <w:pPr>
        <w:ind w:left="288"/>
      </w:pPr>
      <w:r>
        <w:rPr>
          <w:color w:val="8C8C8C"/>
          <w:sz w:val="12"/>
        </w:rPr>
        <w:t>cf-art-173-par-1-inc-III</w:t>
      </w:r>
      <w:r>
        <w:rPr>
          <w:color w:val="003CA0"/>
          <w:sz w:val="12"/>
        </w:rPr>
        <w:t xml:space="preserve"> | ADI 5.624</w:t>
      </w:r>
      <w:r>
        <w:rPr>
          <w:color w:val="003CA0"/>
          <w:sz w:val="12"/>
        </w:rPr>
        <w:t xml:space="preserve"> | rel. Ricardo Lewandowski</w:t>
      </w:r>
    </w:p>
    <w:p>
      <w:pPr>
        <w:ind w:left="288"/>
      </w:pPr>
      <w:r>
        <w:rPr>
          <w:color w:val="1E1E1E"/>
          <w:sz w:val="18"/>
        </w:rPr>
        <w:t>A alienação do controle acionário de empresas públicas e sociedades de economia mista exige autorização legislativa e licitação pública. A transferência do controle de subsidiárias e controladas não exige a anuência do Poder Legislativo e poderá ser operacionalizada sem processo de licitação pública, desde que garantida a competitividade entre os potenciais interessados e observados os princípios da administração pública constantes do art. 37 da Constituição da República.</w:t>
      </w:r>
    </w:p>
    <w:p>
      <w:pPr>
        <w:ind w:left="288"/>
      </w:pPr>
      <w:r>
        <w:rPr>
          <w:b/>
          <w:color w:val="003CA0"/>
          <w:sz w:val="16"/>
        </w:rPr>
        <w:t>[ADI 5.624 MC REF, rel. min. Ricardo Lewandowski, j. 6-6-2019, P, DJE de 29-11-2019.]</w:t>
      </w:r>
    </w:p>
    <w:p>
      <w:pPr>
        <w:ind w:left="288"/>
      </w:pPr>
      <w:r>
        <w:rPr>
          <w:color w:val="8C8C8C"/>
          <w:sz w:val="12"/>
        </w:rPr>
        <w:t>cf-art-173-par-1-inc-IV</w:t>
      </w:r>
      <w:r>
        <w:rPr>
          <w:color w:val="003CA0"/>
          <w:sz w:val="12"/>
        </w:rPr>
        <w:t xml:space="preserve"> | ADI 238</w:t>
      </w:r>
      <w:r>
        <w:rPr>
          <w:color w:val="003CA0"/>
          <w:sz w:val="12"/>
        </w:rPr>
        <w:t xml:space="preserve"> | rel. Joaquim Barbosa</w:t>
      </w:r>
    </w:p>
    <w:p>
      <w:pPr>
        <w:ind w:left="288"/>
      </w:pPr>
      <w:r>
        <w:rPr>
          <w:color w:val="1E1E1E"/>
          <w:sz w:val="18"/>
        </w:rPr>
        <w:t>Viola a reserva de lei para dispor sobre norma de direito comercial voltada à organização e estruturação das empresas públicas e das sociedades de economia mista norma constitucional estadual que estabelece número de vagas, nos órgãos de administração das pessoas jurídicas, para ser preenchidas por representantes dos empregados.</w:t>
      </w:r>
    </w:p>
    <w:p>
      <w:pPr>
        <w:ind w:left="288"/>
      </w:pPr>
      <w:r>
        <w:rPr>
          <w:b/>
          <w:color w:val="003CA0"/>
          <w:sz w:val="16"/>
        </w:rPr>
        <w:t>[ADI 238, rel. min. Joaquim Barbosa, j. 24-2-2010, P, DJE de 9-4-2010.]</w:t>
      </w:r>
    </w:p>
    <w:p>
      <w:pPr>
        <w:ind w:left="288"/>
      </w:pPr>
      <w:r>
        <w:rPr>
          <w:color w:val="8C8C8C"/>
          <w:sz w:val="12"/>
        </w:rPr>
        <w:t>cf-art-173-par-2</w:t>
      </w:r>
      <w:r>
        <w:rPr>
          <w:color w:val="003CA0"/>
          <w:sz w:val="12"/>
        </w:rPr>
        <w:t xml:space="preserve"> | RE 790.059</w:t>
      </w:r>
      <w:r>
        <w:rPr>
          <w:color w:val="003CA0"/>
          <w:sz w:val="12"/>
        </w:rPr>
        <w:t xml:space="preserve"> | rel. Luiz Fux</w:t>
      </w:r>
    </w:p>
    <w:p>
      <w:pPr>
        <w:ind w:left="288"/>
      </w:pPr>
      <w:r>
        <w:rPr>
          <w:color w:val="1E1E1E"/>
          <w:sz w:val="18"/>
        </w:rPr>
        <w:t>Constitucionalidade da extensão do privilégio fazendário da prescrição quinquenal às pretensões contrárias aos Correios.</w:t>
      </w:r>
    </w:p>
    <w:p>
      <w:pPr>
        <w:ind w:left="288"/>
      </w:pPr>
      <w:r>
        <w:rPr>
          <w:b/>
          <w:color w:val="003CA0"/>
          <w:sz w:val="16"/>
        </w:rPr>
        <w:t>[RE 790.059 RG, rel. min. Luiz Fux, j. 13.06.2025, P, DJE de 23.06.2025, Tema 1.407, com mérito pendente.]</w:t>
      </w:r>
    </w:p>
    <w:p>
      <w:pPr>
        <w:ind w:left="144"/>
      </w:pPr>
      <w:r>
        <w:rPr>
          <w:b/>
          <w:color w:val="B45A00"/>
          <w:sz w:val="16"/>
        </w:rPr>
        <w:t>JULGADOS CORRELATOS</w:t>
      </w:r>
    </w:p>
    <w:p>
      <w:pPr>
        <w:ind w:left="288"/>
      </w:pPr>
      <w:r>
        <w:rPr>
          <w:color w:val="8C8C8C"/>
          <w:sz w:val="12"/>
        </w:rPr>
        <w:t>cf-art-173-par-2</w:t>
      </w:r>
      <w:r>
        <w:rPr>
          <w:color w:val="003CA0"/>
          <w:sz w:val="12"/>
        </w:rPr>
        <w:t xml:space="preserve"> | RE 596.729</w:t>
      </w:r>
      <w:r>
        <w:rPr>
          <w:color w:val="003CA0"/>
          <w:sz w:val="12"/>
        </w:rPr>
        <w:t xml:space="preserve"> | rel. Ricardo Lewandowski</w:t>
      </w:r>
    </w:p>
    <w:p>
      <w:pPr>
        <w:ind w:left="288"/>
      </w:pPr>
      <w:r>
        <w:rPr>
          <w:color w:val="1E1E1E"/>
          <w:sz w:val="18"/>
        </w:rPr>
        <w:t>Este Tribunal possui entendimento no sentido de que o art. 173, § 2º, da Constituição não se aplica às empresas públicas prestadoras de serviços públicos. Dessa afirmação, porém, não se pode inferir que a Constituição tenha garantido a essas entidades a isenção de custas processuais ou o privilégio do prazo em dobro para a interposição de recursos.</w:t>
      </w:r>
    </w:p>
    <w:p>
      <w:pPr>
        <w:ind w:left="288"/>
      </w:pPr>
      <w:r>
        <w:rPr>
          <w:b/>
          <w:color w:val="003CA0"/>
          <w:sz w:val="16"/>
        </w:rPr>
        <w:t>[RE 596.729 AgR, rel. min. Ricardo Lewandowski, j. 19-10-2010, 1ª T, DJE de 10-11-2010.]</w:t>
      </w:r>
    </w:p>
    <w:p>
      <w:pPr>
        <w:ind w:left="288"/>
      </w:pPr>
      <w:r>
        <w:rPr>
          <w:color w:val="8C8C8C"/>
          <w:sz w:val="12"/>
        </w:rPr>
        <w:t>cf-art-173-par-2</w:t>
      </w:r>
      <w:r>
        <w:rPr>
          <w:color w:val="003CA0"/>
          <w:sz w:val="12"/>
        </w:rPr>
        <w:t xml:space="preserve"> | RE 220.906</w:t>
      </w:r>
      <w:r>
        <w:rPr>
          <w:color w:val="003CA0"/>
          <w:sz w:val="12"/>
        </w:rPr>
        <w:t xml:space="preserve"> | rel. Maurício Corrêa</w:t>
      </w:r>
    </w:p>
    <w:p>
      <w:pPr>
        <w:ind w:left="288"/>
      </w:pPr>
      <w:r>
        <w:rPr>
          <w:color w:val="1E1E1E"/>
          <w:sz w:val="18"/>
        </w:rPr>
        <w:t xml:space="preserve">Vide RE 220.906, voto do rel. min. Maurício Corrêa, j. 16-11-2000, P, DJ de 14-11-2002 A Empresa Brasileira de Correios e Telégrafos é uma empresa pública, entidade da administração indireta da União, como tal tendo sido criada pelo DL 509, (...) de 1969. Seu capital é detido integralmente pela União Federal (art. 6º) e ela goza dos mesmos privilégios concedidos à Fazenda Pública, "quer em relação a imunidade tributária, direta ou indireta, impenhorabilidade de seus bens, rendas e serviços, quer no concernente a foro, prazos e custas processuais". Leia-se o texto do art. 12 do decreto-lei. No </w:t>
      </w:r>
    </w:p>
    <w:p>
      <w:pPr>
        <w:ind w:left="288"/>
      </w:pPr>
      <w:r>
        <w:rPr>
          <w:b/>
          <w:color w:val="003CA0"/>
          <w:sz w:val="16"/>
        </w:rPr>
        <w:t>[ACO 765 QO, voto do red. do ac. min. Eros Grau, j. 1º-6-2005, P, DJE de 7-11-2008.]</w:t>
      </w:r>
    </w:p>
    <w:p>
      <w:pPr>
        <w:ind w:left="288"/>
      </w:pPr>
      <w:r>
        <w:rPr>
          <w:color w:val="8C8C8C"/>
          <w:sz w:val="12"/>
        </w:rPr>
        <w:t>cf-art-173-par-2</w:t>
      </w:r>
      <w:r>
        <w:rPr>
          <w:color w:val="003CA0"/>
          <w:sz w:val="12"/>
        </w:rPr>
        <w:t xml:space="preserve"> | RE 220.906</w:t>
      </w:r>
      <w:r>
        <w:rPr>
          <w:color w:val="003CA0"/>
          <w:sz w:val="12"/>
        </w:rPr>
        <w:t xml:space="preserve"> | rel. Maurício Corrêa</w:t>
      </w:r>
    </w:p>
    <w:p>
      <w:pPr>
        <w:ind w:left="288"/>
      </w:pPr>
      <w:r>
        <w:rPr>
          <w:color w:val="1E1E1E"/>
          <w:sz w:val="18"/>
        </w:rPr>
        <w:t>Assim, não se aplicam às empresas públicas, às sociedades de economia mista e a outras entidades estatais ou paraestatais que explorem serviços públicos a restrição contida no art. 173, § 1º, da CF, isto é, a submissão ao regime jurídico próprio das empresas privadas, inclusive quanto às obrigações trabalhistas e tributárias, nem a vedação do gozo de privilégios fiscais não extensivos às do setor privado (CF, art. 173, § 2º).</w:t>
      </w:r>
    </w:p>
    <w:p>
      <w:pPr>
        <w:ind w:left="288"/>
      </w:pPr>
      <w:r>
        <w:rPr>
          <w:b/>
          <w:color w:val="003CA0"/>
          <w:sz w:val="16"/>
        </w:rPr>
        <w:t>[RE 220.906, voto do rel. min. Maurício Corrêa, j. 16-11-2000, P, DJ de 14-11-2002.]</w:t>
      </w:r>
    </w:p>
    <w:p>
      <w:pPr>
        <w:ind w:left="288"/>
      </w:pPr>
      <w:r>
        <w:rPr>
          <w:color w:val="8C8C8C"/>
          <w:sz w:val="12"/>
        </w:rPr>
        <w:t>cf-art-173-par-2</w:t>
      </w:r>
      <w:r>
        <w:rPr>
          <w:color w:val="003CA0"/>
          <w:sz w:val="12"/>
        </w:rPr>
        <w:t xml:space="preserve"> | RE 596.729</w:t>
      </w:r>
      <w:r>
        <w:rPr>
          <w:color w:val="003CA0"/>
          <w:sz w:val="12"/>
        </w:rPr>
        <w:t xml:space="preserve"> | rel. Ricardo Lewandowski</w:t>
      </w:r>
    </w:p>
    <w:p>
      <w:pPr>
        <w:ind w:left="288"/>
      </w:pPr>
      <w:r>
        <w:rPr>
          <w:color w:val="1E1E1E"/>
          <w:sz w:val="18"/>
        </w:rPr>
        <w:t>Vide RE 596.729 AgR, rel. min. Ricardo Lewandowski, j. 19-10-2010, 1ª T, DJE de 10-11-2010</w:t>
      </w:r>
    </w:p>
    <w:p>
      <w:pPr>
        <w:ind w:left="288"/>
      </w:pPr>
      <w:r>
        <w:rPr>
          <w:color w:val="8C8C8C"/>
          <w:sz w:val="12"/>
        </w:rPr>
        <w:t>cf-art-173-par-4</w:t>
      </w:r>
      <w:r>
        <w:rPr>
          <w:color w:val="003CA0"/>
          <w:sz w:val="12"/>
        </w:rPr>
        <w:t xml:space="preserve"> | RMS 28.487</w:t>
      </w:r>
      <w:r>
        <w:rPr>
          <w:color w:val="003CA0"/>
          <w:sz w:val="12"/>
        </w:rPr>
        <w:t xml:space="preserve"> | rel. Dias Toffoli</w:t>
      </w:r>
    </w:p>
    <w:p>
      <w:pPr>
        <w:ind w:left="288"/>
      </w:pPr>
      <w:r>
        <w:rPr>
          <w:color w:val="1E1E1E"/>
          <w:sz w:val="18"/>
        </w:rPr>
        <w:t>O percentual de desconto obrigatório e linear nas vendas de determinados medicamentos ao poder público, chamado Coeficiente de Adequação de Preço (CAP), opera como fator de ajuste de preços, permitindo, assim, que se chegue ao Preço Máximo de Venda ao Governo (PMVG), o que vai ao encontro da reprovação constitucional do aumento arbitrário de lucros (art. 173, § 4º, CF/1988).</w:t>
      </w:r>
    </w:p>
    <w:p>
      <w:pPr>
        <w:ind w:left="288"/>
      </w:pPr>
      <w:r>
        <w:rPr>
          <w:b/>
          <w:color w:val="003CA0"/>
          <w:sz w:val="16"/>
        </w:rPr>
        <w:t>[RMS 28.487, rel. min. Dias Toffoli, j. 26-2-2013, 1ª T, DJE de 15-3-2013.]</w:t>
      </w:r>
    </w:p>
    <w:p>
      <w:pPr>
        <w:ind w:left="288"/>
      </w:pPr>
      <w:r>
        <w:rPr>
          <w:color w:val="8C8C8C"/>
          <w:sz w:val="12"/>
        </w:rPr>
        <w:t>cf-art-173-par-4</w:t>
      </w:r>
      <w:r>
        <w:rPr>
          <w:color w:val="003CA0"/>
          <w:sz w:val="12"/>
        </w:rPr>
        <w:t xml:space="preserve"> | AI 268.857</w:t>
      </w:r>
      <w:r>
        <w:rPr>
          <w:color w:val="003CA0"/>
          <w:sz w:val="12"/>
        </w:rPr>
        <w:t xml:space="preserve"> | rel. Marco Aurélio</w:t>
      </w:r>
    </w:p>
    <w:p>
      <w:pPr>
        <w:ind w:left="288"/>
      </w:pPr>
      <w:r>
        <w:rPr>
          <w:color w:val="1E1E1E"/>
          <w:sz w:val="18"/>
        </w:rPr>
        <w:t>A Lei Delegada 4/1962 foi recepcionada pela CF de 1988, no que revela o instrumento normativo como meio para reprimir o abuso do poder econômico que vise à dominação dos mercados, à eliminação da concorrência e ao aumento arbitrário dos lucros – § 4º do art. 173 –, bem como quanto à atuação fiscalizadora do Estado, art. 174, ambos da Carta Política em vigor.</w:t>
      </w:r>
    </w:p>
    <w:p>
      <w:pPr>
        <w:ind w:left="288"/>
      </w:pPr>
      <w:r>
        <w:rPr>
          <w:b/>
          <w:color w:val="003CA0"/>
          <w:sz w:val="16"/>
        </w:rPr>
        <w:t>[AI 268.857 AgR, rel. min. Marco Aurélio, j. 20-2-2001, 2ª T, DJ de 4-5-2001.]</w:t>
      </w:r>
    </w:p>
    <w:p>
      <w:pPr>
        <w:ind w:left="288"/>
      </w:pPr>
      <w:r>
        <w:rPr>
          <w:color w:val="8C8C8C"/>
          <w:sz w:val="12"/>
        </w:rPr>
        <w:t>cf-art-173-par-4</w:t>
      </w:r>
      <w:r>
        <w:rPr>
          <w:color w:val="003CA0"/>
          <w:sz w:val="12"/>
        </w:rPr>
        <w:t xml:space="preserve"> | RE 242.550</w:t>
      </w:r>
      <w:r>
        <w:rPr>
          <w:color w:val="003CA0"/>
          <w:sz w:val="12"/>
        </w:rPr>
        <w:t xml:space="preserve"> | rel. Ilmar Galvão</w:t>
      </w:r>
    </w:p>
    <w:p>
      <w:pPr>
        <w:ind w:left="288"/>
      </w:pPr>
      <w:r>
        <w:rPr>
          <w:color w:val="1E1E1E"/>
          <w:sz w:val="18"/>
        </w:rPr>
        <w:t>Ausência da alegada negativa à empresa do direito de continuar exercendo o comércio de ouro e de pedras preciosas, ou de reconhecimento, ao Estado ou ao Banco Central do poder de estabelecer restrição à dita atividade, muito menos que pudesse ser tida por exorbitante dos lindes do poder de fiscalização e repressão ao abuso do poder econômico ou de punição de atos contrários à ordem econômica e financeira e economia popular.</w:t>
      </w:r>
    </w:p>
    <w:p>
      <w:pPr>
        <w:ind w:left="288"/>
      </w:pPr>
      <w:r>
        <w:rPr>
          <w:b/>
          <w:color w:val="003CA0"/>
          <w:sz w:val="16"/>
        </w:rPr>
        <w:t>[RE 242.550, rel. min. Ilmar Galvão, j. 28-9-1999, 1ª T, DJ de 10-12-1999.]</w:t>
      </w:r>
    </w:p>
    <w:p>
      <w:pPr>
        <w:ind w:left="432"/>
      </w:pPr>
      <w:r>
        <w:rPr>
          <w:color w:val="003366"/>
          <w:sz w:val="18"/>
        </w:rPr>
        <w:t>§ 1 A lei estabelecerá o estatuto jurídico da empresa pública, da sociedade de e</w:t>
      </w:r>
    </w:p>
    <w:p>
      <w:pPr>
        <w:ind w:left="720"/>
      </w:pPr>
      <w:r>
        <w:rPr>
          <w:color w:val="003366"/>
          <w:sz w:val="18"/>
        </w:rPr>
        <w:t>I – sua função social e formas de fiscalização pelo Estado e pela sociedade; (In</w:t>
      </w:r>
    </w:p>
    <w:p>
      <w:pPr>
        <w:ind w:left="720"/>
      </w:pPr>
      <w:r>
        <w:rPr>
          <w:color w:val="003366"/>
          <w:sz w:val="18"/>
        </w:rPr>
        <w:t>II – a sujeição ao regime jurídico próprio das empresas privadas, inclusive quan</w:t>
      </w:r>
    </w:p>
    <w:p>
      <w:pPr>
        <w:ind w:left="720"/>
      </w:pPr>
      <w:r>
        <w:rPr>
          <w:color w:val="003366"/>
          <w:sz w:val="18"/>
        </w:rPr>
        <w:t>III – licitação e contratação de obras, serviços, compras e alienações, observad</w:t>
      </w:r>
    </w:p>
    <w:p>
      <w:pPr>
        <w:ind w:left="720"/>
      </w:pPr>
      <w:r>
        <w:rPr>
          <w:color w:val="003366"/>
          <w:sz w:val="18"/>
        </w:rPr>
        <w:t>IV – a constituição e o funcionamento dos conselhos de administração e fiscal, c</w:t>
      </w:r>
    </w:p>
    <w:p>
      <w:pPr>
        <w:ind w:left="720"/>
      </w:pPr>
      <w:r>
        <w:rPr>
          <w:color w:val="003366"/>
          <w:sz w:val="18"/>
        </w:rPr>
        <w:t>V – os mandatos, a avaliação de desempenho e a responsabilidade dos administrado</w:t>
      </w:r>
    </w:p>
    <w:p>
      <w:pPr>
        <w:ind w:left="432"/>
      </w:pPr>
      <w:r>
        <w:rPr>
          <w:color w:val="003366"/>
          <w:sz w:val="18"/>
        </w:rPr>
        <w:t xml:space="preserve">§ 2 As empresas públicas e as sociedades de economia mista não poderão gozar de </w:t>
      </w:r>
    </w:p>
    <w:p>
      <w:pPr>
        <w:ind w:left="432"/>
      </w:pPr>
      <w:r>
        <w:rPr>
          <w:color w:val="003366"/>
          <w:sz w:val="18"/>
        </w:rPr>
        <w:t>§ 3 A lei regulamentará as relações da empresa pública com o Estado e a sociedad</w:t>
      </w:r>
    </w:p>
    <w:p>
      <w:pPr>
        <w:ind w:left="432"/>
      </w:pPr>
      <w:r>
        <w:rPr>
          <w:color w:val="003366"/>
          <w:sz w:val="18"/>
        </w:rPr>
        <w:t xml:space="preserve">§ 4 lei reprimirá o abuso do poder econômico que vise à dominação dos mercados, </w:t>
      </w:r>
    </w:p>
    <w:p>
      <w:pPr>
        <w:ind w:left="432"/>
      </w:pPr>
      <w:r>
        <w:rPr>
          <w:color w:val="003366"/>
          <w:sz w:val="18"/>
        </w:rPr>
        <w:t xml:space="preserve">§ 5 A lei, sem prejuízo da responsabilidade individual dos dirigentes da pessoa </w:t>
      </w:r>
    </w:p>
    <w:p>
      <w:r>
        <w:rPr>
          <w:b/>
          <w:color w:val="003366"/>
          <w:sz w:val="20"/>
        </w:rPr>
        <w:t>Art. 174 Como agente normativo e regulador da atividade econômica, o Estado exer</w:t>
      </w:r>
      <w:r>
        <w:rPr>
          <w:color w:val="8C8C8C"/>
          <w:sz w:val="14"/>
        </w:rPr>
        <w:t xml:space="preserve">  [5 decisoes]</w:t>
      </w:r>
    </w:p>
    <w:p>
      <w:pPr>
        <w:ind w:left="144"/>
      </w:pPr>
      <w:r>
        <w:rPr>
          <w:b/>
          <w:color w:val="B45A00"/>
          <w:sz w:val="16"/>
        </w:rPr>
        <w:t>CONTROLE CONCENTRADO</w:t>
      </w:r>
    </w:p>
    <w:p>
      <w:pPr>
        <w:ind w:left="288"/>
      </w:pPr>
      <w:r>
        <w:rPr>
          <w:color w:val="8C8C8C"/>
          <w:sz w:val="12"/>
        </w:rPr>
        <w:t>cf-art-174</w:t>
      </w:r>
      <w:r>
        <w:rPr>
          <w:color w:val="003CA0"/>
          <w:sz w:val="12"/>
        </w:rPr>
        <w:t xml:space="preserve"> | ADI 7.015</w:t>
      </w:r>
      <w:r>
        <w:rPr>
          <w:color w:val="003CA0"/>
          <w:sz w:val="12"/>
        </w:rPr>
        <w:t xml:space="preserve"> | rel. Gilmar Mendes</w:t>
      </w:r>
    </w:p>
    <w:p>
      <w:pPr>
        <w:ind w:left="288"/>
      </w:pPr>
      <w:r>
        <w:rPr>
          <w:color w:val="1E1E1E"/>
          <w:sz w:val="18"/>
        </w:rPr>
        <w:t>Suspensão de exigibilidade de parcelas. Parcelamento especial. PROFUT. Lei Federal 14.117, de 2021. Limite temporal do benefício. Período de calamidade pública. Pandemia Covid-19. Decreto Legislativo 6, de 2020. Vigência. Data de julgamento. (...) Interpretação restritiva que vinculasse o art. 1º à vigência do Decreto Legislativo 6/2020 seria ofensiva à principiologia constitucional, notadamente, à legalidade, à segurança jurídica, à não surpresa dos contribuintes e à isonomia. Mudança da situação fática. Retomada do público nos estádios. Arrefecimento da pandemia da Covid-19. Flexibilização d</w:t>
      </w:r>
    </w:p>
    <w:p>
      <w:pPr>
        <w:ind w:left="288"/>
      </w:pPr>
      <w:r>
        <w:rPr>
          <w:b/>
          <w:color w:val="003CA0"/>
          <w:sz w:val="16"/>
        </w:rPr>
        <w:t>[ADI 7.015, rel. min. Gilmar Mendes, j. 5-12-2022, P, DJE de 18-1-2023.]</w:t>
      </w:r>
    </w:p>
    <w:p>
      <w:pPr>
        <w:ind w:left="288"/>
      </w:pPr>
      <w:r>
        <w:rPr>
          <w:color w:val="8C8C8C"/>
          <w:sz w:val="12"/>
        </w:rPr>
        <w:t>cf-art-174</w:t>
      </w:r>
      <w:r>
        <w:rPr>
          <w:color w:val="003CA0"/>
          <w:sz w:val="12"/>
        </w:rPr>
        <w:t xml:space="preserve"> | ADI 6.625</w:t>
      </w:r>
      <w:r>
        <w:rPr>
          <w:color w:val="003CA0"/>
          <w:sz w:val="12"/>
        </w:rPr>
        <w:t xml:space="preserve"> | rel. Ricardo Lewandowski</w:t>
      </w:r>
    </w:p>
    <w:p>
      <w:pPr>
        <w:ind w:left="288"/>
      </w:pPr>
      <w:r>
        <w:rPr>
          <w:color w:val="1E1E1E"/>
          <w:sz w:val="18"/>
        </w:rPr>
        <w:t>Vide ADI 6.625-MC-Ref, rel. min. Ricardo Lewandowski, j. 8-3-2021, P, DJE de 12-4-2021 Constitucionalidade da instituição de política cooperativista no âmbito estadual, a ser estimulada pelo Poder Público, por conferir eficácia ao art. 174 da Constituição Federal.</w:t>
      </w:r>
    </w:p>
    <w:p>
      <w:pPr>
        <w:ind w:left="288"/>
      </w:pPr>
      <w:r>
        <w:rPr>
          <w:b/>
          <w:color w:val="003CA0"/>
          <w:sz w:val="16"/>
        </w:rPr>
        <w:t>[ADI 2.811, rel. min. Rosa Weber, j. 25-10-2019, P, DJE de 7-11-2019.]</w:t>
      </w:r>
    </w:p>
    <w:p>
      <w:pPr>
        <w:ind w:left="144"/>
      </w:pPr>
      <w:r>
        <w:rPr>
          <w:b/>
          <w:color w:val="B45A00"/>
          <w:sz w:val="16"/>
        </w:rPr>
        <w:t>REPERCUSSAO GERAL</w:t>
      </w:r>
    </w:p>
    <w:p>
      <w:pPr>
        <w:ind w:left="288"/>
      </w:pPr>
      <w:r>
        <w:rPr>
          <w:color w:val="8C8C8C"/>
          <w:sz w:val="12"/>
        </w:rPr>
        <w:t>cf-art-174</w:t>
      </w:r>
      <w:r>
        <w:rPr>
          <w:color w:val="003CA0"/>
          <w:sz w:val="12"/>
        </w:rPr>
        <w:t xml:space="preserve"> | ARE 884.325</w:t>
      </w:r>
      <w:r>
        <w:rPr>
          <w:color w:val="003CA0"/>
          <w:sz w:val="12"/>
        </w:rPr>
        <w:t xml:space="preserve"> | rel. Edson Fachin</w:t>
      </w:r>
    </w:p>
    <w:p>
      <w:pPr>
        <w:ind w:left="288"/>
      </w:pPr>
      <w:r>
        <w:rPr>
          <w:color w:val="1E1E1E"/>
          <w:sz w:val="18"/>
        </w:rPr>
        <w:t>A responsabilidade civil do Estado ocorre sempre que preenchidos os seguintes requisitos: a) dano; b) ação administrativa; c) nexo causal entre o dano e ação administrativa. Precedentes. A atuação do Estado sobre o domínio econômico por meio de normas de direção pode, potencialmente, atingir a lucratividade dos agentes econômicos. A política de fixação de preços constitui, em si mesma, uma limitação de lucros, razão pela qual a indenizabilidade de eventual dano atinge somente o efetivo prejuízo econômico, apurado por meio de perícia técnica. Hipótese em que não se demonstrou o efetivo prejuízo</w:t>
      </w:r>
    </w:p>
    <w:p>
      <w:pPr>
        <w:ind w:left="288"/>
      </w:pPr>
      <w:r>
        <w:rPr>
          <w:b/>
          <w:color w:val="003CA0"/>
          <w:sz w:val="16"/>
        </w:rPr>
        <w:t>[ARE 884.325, rel. min. Edson Fachin, j. 18-8-2020, P, DJE de 4-9-2020, Tema 826, com mérito julgado.]</w:t>
      </w:r>
    </w:p>
    <w:p>
      <w:pPr>
        <w:ind w:left="144"/>
      </w:pPr>
      <w:r>
        <w:rPr>
          <w:b/>
          <w:color w:val="B45A00"/>
          <w:sz w:val="16"/>
        </w:rPr>
        <w:t>CONTROLE CONCENTRADO</w:t>
      </w:r>
    </w:p>
    <w:p>
      <w:pPr>
        <w:ind w:left="288"/>
      </w:pPr>
      <w:r>
        <w:rPr>
          <w:color w:val="8C8C8C"/>
          <w:sz w:val="12"/>
        </w:rPr>
        <w:t>cf-art-174-par-2</w:t>
      </w:r>
      <w:r>
        <w:rPr>
          <w:color w:val="003CA0"/>
          <w:sz w:val="12"/>
        </w:rPr>
        <w:t xml:space="preserve"> | ADI 1.924</w:t>
      </w:r>
      <w:r>
        <w:rPr>
          <w:color w:val="003CA0"/>
          <w:sz w:val="12"/>
        </w:rPr>
        <w:t xml:space="preserve"> | rel. Rosa Weber</w:t>
      </w:r>
    </w:p>
    <w:p>
      <w:pPr>
        <w:ind w:left="288"/>
      </w:pPr>
      <w:r>
        <w:rPr>
          <w:color w:val="1E1E1E"/>
          <w:sz w:val="18"/>
        </w:rPr>
        <w:t>Serviço Nacional de Aprendizagem do Cooperativismo. Contribuição para o seu financiamento. (...) A contribuição para o SESCOOP tem natureza jurídica de contribuição de intervenção no domínio econômico (art. 149 da Constituição) destinada a incentivar o cooperativismo como forma de organização da atividade econômica, com amparo no § 2º do artigo 174 da Carta Política. (...) O estímulo ao cooperativismo é finalidade pública, por expressa previsão constitucional — ‘a lei apoiará e estimulará o cooperativismo’ (art. 174, § 2º, da CF) – e o dever de prestar contas ao TCU está previsto, em caráter m</w:t>
      </w:r>
    </w:p>
    <w:p>
      <w:pPr>
        <w:ind w:left="288"/>
      </w:pPr>
      <w:r>
        <w:rPr>
          <w:b/>
          <w:color w:val="003CA0"/>
          <w:sz w:val="16"/>
        </w:rPr>
        <w:t>[ADI 1.924, rel. min. Rosa Weber, j. 16-9-2020, P, DJE de 5-10-2020.]</w:t>
      </w:r>
    </w:p>
    <w:p>
      <w:pPr>
        <w:ind w:left="288"/>
      </w:pPr>
      <w:r>
        <w:rPr>
          <w:color w:val="8C8C8C"/>
          <w:sz w:val="12"/>
        </w:rPr>
        <w:t>cf-art-174-par-2</w:t>
      </w:r>
      <w:r>
        <w:rPr>
          <w:color w:val="003CA0"/>
          <w:sz w:val="12"/>
        </w:rPr>
        <w:t xml:space="preserve"> | ARE 1.280.820</w:t>
      </w:r>
      <w:r>
        <w:rPr>
          <w:color w:val="003CA0"/>
          <w:sz w:val="12"/>
        </w:rPr>
        <w:t xml:space="preserve"> | rel. Gilmar Mendes</w:t>
      </w:r>
    </w:p>
    <w:p>
      <w:pPr>
        <w:ind w:left="288"/>
      </w:pPr>
      <w:r>
        <w:rPr>
          <w:color w:val="1E1E1E"/>
          <w:sz w:val="18"/>
        </w:rPr>
        <w:t>“1. É compatível com a Constituição a exigência de registro de cooperativas na Organização das Cooperativas Brasileiras – OCB ou em entidade estadual correspondente, prevista no art. 107 da Lei nº 5.764/71, como condição para obtenção de registro no RNTRC. 2. Tal exigência configura expressão legítima do dever estatal de fomentar e organizar o cooperativismo, não violando a liberdade de associação nem a livre iniciativa.”</w:t>
      </w:r>
    </w:p>
    <w:p>
      <w:pPr>
        <w:ind w:left="288"/>
      </w:pPr>
      <w:r>
        <w:rPr>
          <w:b/>
          <w:color w:val="003CA0"/>
          <w:sz w:val="16"/>
        </w:rPr>
        <w:t>[ARE 1.280.820, rel. min. Gilmar Mendes, j. 12.08.2025, 2ª T, DJE de 14.08.2025.]</w:t>
      </w:r>
    </w:p>
    <w:p>
      <w:pPr>
        <w:ind w:left="432"/>
      </w:pPr>
      <w:r>
        <w:rPr>
          <w:color w:val="003366"/>
          <w:sz w:val="18"/>
        </w:rPr>
        <w:t xml:space="preserve">§ 1 A lei estabelecerá as diretrizes e bases do planejamento do desenvolvimento </w:t>
      </w:r>
    </w:p>
    <w:p>
      <w:pPr>
        <w:ind w:left="432"/>
      </w:pPr>
      <w:r>
        <w:rPr>
          <w:color w:val="003366"/>
          <w:sz w:val="18"/>
        </w:rPr>
        <w:t>§ 2 A lei apoiará e estimulará o cooperativismo e outras formas de associativism</w:t>
      </w:r>
    </w:p>
    <w:p>
      <w:pPr>
        <w:ind w:left="432"/>
      </w:pPr>
      <w:r>
        <w:rPr>
          <w:color w:val="003366"/>
          <w:sz w:val="18"/>
        </w:rPr>
        <w:t>§ 3 O Estado favorecerá a organização da atividade garimpeira em cooperativas, l</w:t>
      </w:r>
    </w:p>
    <w:p>
      <w:pPr>
        <w:ind w:left="432"/>
      </w:pPr>
      <w:r>
        <w:rPr>
          <w:color w:val="003366"/>
          <w:sz w:val="18"/>
        </w:rPr>
        <w:t>§ 4 As cooperativas a que se refere o parágrafo anterior terão prioridade na aut</w:t>
      </w:r>
    </w:p>
    <w:p>
      <w:r>
        <w:rPr>
          <w:b/>
          <w:color w:val="003366"/>
          <w:sz w:val="20"/>
        </w:rPr>
        <w:t>Art. 175 Incumbe ao Poder Público, na forma da lei, diretamente ou sob regime de</w:t>
      </w:r>
      <w:r>
        <w:rPr>
          <w:color w:val="8C8C8C"/>
          <w:sz w:val="14"/>
        </w:rPr>
        <w:t xml:space="preserve">  [31 decisoes]</w:t>
      </w:r>
    </w:p>
    <w:p>
      <w:pPr>
        <w:ind w:left="288"/>
      </w:pPr>
      <w:r>
        <w:rPr>
          <w:color w:val="8C8C8C"/>
          <w:sz w:val="12"/>
        </w:rPr>
        <w:t>cf-art-175</w:t>
      </w:r>
      <w:r>
        <w:rPr>
          <w:color w:val="003CA0"/>
          <w:sz w:val="12"/>
        </w:rPr>
        <w:t xml:space="preserve"> | ADI 7.332</w:t>
      </w:r>
      <w:r>
        <w:rPr>
          <w:color w:val="003CA0"/>
          <w:sz w:val="12"/>
        </w:rPr>
        <w:t xml:space="preserve"> | rel. Dias Toffoli</w:t>
      </w:r>
    </w:p>
    <w:p>
      <w:pPr>
        <w:ind w:left="288"/>
      </w:pPr>
      <w:r>
        <w:rPr>
          <w:color w:val="1E1E1E"/>
          <w:sz w:val="18"/>
        </w:rPr>
        <w:t>É inconstitucional — por violar as competências administrativa e legislativa da União para dispor sobre energia elétrica, bem como por interferir nas relações contratuais entre as concessionárias e o poder concedente federal (CF/1988, art. 21, XII, b; 22, IV; e 175) — norma estadual que obriga as empresas geradoras, transmissoras e distribuidoras de energia a destinarem percentual mínimo de seus recursos a projetos específicos.</w:t>
      </w:r>
    </w:p>
    <w:p>
      <w:pPr>
        <w:ind w:left="288"/>
      </w:pPr>
      <w:r>
        <w:rPr>
          <w:b/>
          <w:color w:val="003CA0"/>
          <w:sz w:val="16"/>
        </w:rPr>
        <w:t>[ADI 7.332, rel. min. Dias Toffoli, j. 04.11.2025, P, Informativo STF 1.197.]</w:t>
      </w:r>
    </w:p>
    <w:p>
      <w:pPr>
        <w:ind w:left="288"/>
      </w:pPr>
      <w:r>
        <w:rPr>
          <w:color w:val="8C8C8C"/>
          <w:sz w:val="12"/>
        </w:rPr>
        <w:t>cf-art-175</w:t>
      </w:r>
      <w:r>
        <w:rPr>
          <w:color w:val="003CA0"/>
          <w:sz w:val="12"/>
        </w:rPr>
        <w:t xml:space="preserve"> | ADI 4.763</w:t>
      </w:r>
      <w:r>
        <w:rPr>
          <w:color w:val="003CA0"/>
          <w:sz w:val="12"/>
        </w:rPr>
        <w:t xml:space="preserve"> | rel. Edson Fachin</w:t>
      </w:r>
    </w:p>
    <w:p>
      <w:pPr>
        <w:ind w:left="288"/>
      </w:pPr>
      <w:r>
        <w:rPr>
          <w:color w:val="1E1E1E"/>
          <w:sz w:val="18"/>
        </w:rPr>
        <w:t xml:space="preserve">A Lei federal 8.987/1995, ao estabelecer normas gerais sobre o regime de concessão e permissão da prestação de serviços públicos previsto no art. 175 da Constituição Federal, dispondo em seu art. 16 acerca da possibilidade de outorga de concessão ou permissão no caso de inviabilidade técnica ou econômica injustificada, introduziu regramento geral permissivo quanto à exclusividade de exploração de serviços públicos. Não afasta de forma clara (clear statement rule), no entanto, a possibilidade de que os Estados, no exercício de sua atribuição concorrente para legislar sobre consumo (art. 24, V, </w:t>
      </w:r>
    </w:p>
    <w:p>
      <w:pPr>
        <w:ind w:left="288"/>
      </w:pPr>
      <w:r>
        <w:rPr>
          <w:b/>
          <w:color w:val="003CA0"/>
          <w:sz w:val="16"/>
        </w:rPr>
        <w:t>[ADI 4.763, rel. min. Edson Fachin, j. 06.10.2025, P, DJE de 24.11.2025.]</w:t>
      </w:r>
    </w:p>
    <w:p>
      <w:pPr>
        <w:ind w:left="288"/>
      </w:pPr>
      <w:r>
        <w:rPr>
          <w:color w:val="8C8C8C"/>
          <w:sz w:val="12"/>
        </w:rPr>
        <w:t>cf-art-175</w:t>
      </w:r>
      <w:r>
        <w:rPr>
          <w:color w:val="003CA0"/>
          <w:sz w:val="12"/>
        </w:rPr>
        <w:t xml:space="preserve"> | ADI 3.816</w:t>
      </w:r>
      <w:r>
        <w:rPr>
          <w:color w:val="003CA0"/>
          <w:sz w:val="12"/>
        </w:rPr>
        <w:t xml:space="preserve"> | rel. Nunes Marques</w:t>
      </w:r>
    </w:p>
    <w:p>
      <w:pPr>
        <w:ind w:left="288"/>
      </w:pPr>
      <w:r>
        <w:rPr>
          <w:color w:val="1E1E1E"/>
          <w:sz w:val="18"/>
        </w:rPr>
        <w:t>A previsão de isenção de pedágio para veículos de pessoas com deficiência não configura, por si só, à míngua de elementos precisos, alteração substancial do contrato de concessão, tampouco enseja desequilíbrio econômico-financeiro apto a justificar a declaração de inconstitucionalidade, consistindo em instrumento de efetivação de direitos fundamentais dessas pessoas, em especial o de ir e vir e o de acessibilidade.</w:t>
      </w:r>
    </w:p>
    <w:p>
      <w:pPr>
        <w:ind w:left="288"/>
      </w:pPr>
      <w:r>
        <w:rPr>
          <w:b/>
          <w:color w:val="003CA0"/>
          <w:sz w:val="16"/>
        </w:rPr>
        <w:t>[ADI 3.816, rel. min. Nunes Marques, j. 31.03.2025, P, DJE de 11.04.2025.]</w:t>
      </w:r>
    </w:p>
    <w:p>
      <w:pPr>
        <w:ind w:left="144"/>
      </w:pPr>
      <w:r>
        <w:rPr>
          <w:b/>
          <w:color w:val="B45A00"/>
          <w:sz w:val="16"/>
        </w:rPr>
        <w:t>CONTROLE CONCENTRADO</w:t>
      </w:r>
    </w:p>
    <w:p>
      <w:pPr>
        <w:ind w:left="288"/>
      </w:pPr>
      <w:r>
        <w:rPr>
          <w:color w:val="8C8C8C"/>
          <w:sz w:val="12"/>
        </w:rPr>
        <w:t>cf-art-175</w:t>
      </w:r>
      <w:r>
        <w:rPr>
          <w:color w:val="003CA0"/>
          <w:sz w:val="12"/>
        </w:rPr>
        <w:t xml:space="preserve"> | ADI 3.497</w:t>
      </w:r>
      <w:r>
        <w:rPr>
          <w:color w:val="003CA0"/>
          <w:sz w:val="12"/>
        </w:rPr>
        <w:t xml:space="preserve"> | rel. Dias Toffoli</w:t>
      </w:r>
    </w:p>
    <w:p>
      <w:pPr>
        <w:ind w:left="288"/>
      </w:pPr>
      <w:r>
        <w:rPr>
          <w:color w:val="1E1E1E"/>
          <w:sz w:val="18"/>
        </w:rPr>
        <w:t>Ao considerar o sentido literal do § 2º do art. 1º da Lei nº 9.074/95, incluído pelo art. 26 da Lei nº 10.864/03, a norma estipula, diretamente, o prazo de duração do contrato, retirando do Poder Executivo qualquer discricionariedade para estabelecer prazos menores nos editais de licitação e respectivos contratos, ainda que, comprovadamente, sejam mais adequados ao caso concreto. O prazo de 25 (vinte e cinco) anos previsto nesse dispositivo, para ser interpretado em conformidade com a Constituição, deve ser entendido como o prazo máximo (ou o prazo limite) da outorga dos “portos secos”. O mesm</w:t>
      </w:r>
    </w:p>
    <w:p>
      <w:pPr>
        <w:ind w:left="288"/>
      </w:pPr>
      <w:r>
        <w:rPr>
          <w:b/>
          <w:color w:val="003CA0"/>
          <w:sz w:val="16"/>
        </w:rPr>
        <w:t>[ADI 7.451, rel. min. Alexandre de Moraes, j. 11.03.2024, P, DJE de 18.03.2024.]</w:t>
      </w:r>
    </w:p>
    <w:p>
      <w:pPr>
        <w:ind w:left="288"/>
      </w:pPr>
      <w:r>
        <w:rPr>
          <w:color w:val="8C8C8C"/>
          <w:sz w:val="12"/>
        </w:rPr>
        <w:t>cf-art-175</w:t>
      </w:r>
      <w:r>
        <w:rPr>
          <w:color w:val="003CA0"/>
          <w:sz w:val="12"/>
        </w:rPr>
        <w:t xml:space="preserve"> | ADI 7.241</w:t>
      </w:r>
      <w:r>
        <w:rPr>
          <w:color w:val="003CA0"/>
          <w:sz w:val="12"/>
        </w:rPr>
        <w:t xml:space="preserve"> | rel. Dias Toffoli</w:t>
      </w:r>
    </w:p>
    <w:p>
      <w:pPr>
        <w:ind w:left="288"/>
      </w:pPr>
      <w:r>
        <w:rPr>
          <w:color w:val="1E1E1E"/>
          <w:sz w:val="18"/>
        </w:rPr>
        <w:t>A lei estadual questionada mantém válidas e prorrogadas automaticamente permissões já exauridas de serviço público de transporte alternativo intermunicipal de passageiros, prevendo a prorrogação automática das permissões, por 10 (dez) anos, em caso de não realização de nova licitação. A lei estadual impugnada propõe-se não só a restaurar a vigência de permissões vencidas, em ofensa ao procedimento licitatório que deve preceder a delegação de serviços públicos, mas também a prorrogar automaticamente essas permissões caso não seja realizado procedimento licitatório subsequente, restando nítida a</w:t>
      </w:r>
    </w:p>
    <w:p>
      <w:pPr>
        <w:ind w:left="288"/>
      </w:pPr>
      <w:r>
        <w:rPr>
          <w:b/>
          <w:color w:val="003CA0"/>
          <w:sz w:val="16"/>
        </w:rPr>
        <w:t>[ADI 2.946, rel. min. Dias Toffoli, j. 9-3-2022, P, DJE de 18-5-2022.]</w:t>
      </w:r>
    </w:p>
    <w:p>
      <w:pPr>
        <w:ind w:left="288"/>
      </w:pPr>
      <w:r>
        <w:rPr>
          <w:color w:val="8C8C8C"/>
          <w:sz w:val="12"/>
        </w:rPr>
        <w:t>cf-art-175</w:t>
      </w:r>
      <w:r>
        <w:rPr>
          <w:color w:val="003CA0"/>
          <w:sz w:val="12"/>
        </w:rPr>
        <w:t xml:space="preserve"> | ADPF 46</w:t>
      </w:r>
    </w:p>
    <w:p>
      <w:pPr>
        <w:ind w:left="288"/>
      </w:pPr>
      <w:r>
        <w:rPr>
          <w:color w:val="1E1E1E"/>
          <w:sz w:val="18"/>
        </w:rPr>
        <w:t>O serviço postal – conjunto de atividades que torna possível o envio de correspondência, ou objeto postal, de um remetente para endereço final e determinado – não consubstancia atividade econômica em sentido estrito. Serviço postal é serviço público. A atividade econômica em sentido amplo é gênero que compreende duas espécies, o serviço público e a atividade econômica em sentido estrito. Monopólio é de atividade econômica em sentido estrito, empreendida por agentes econômicos privados. A exclusividade da prestação dos serviços públicos é expressão de uma situação de privilégio. Monopólio e pri</w:t>
      </w:r>
    </w:p>
    <w:p>
      <w:pPr>
        <w:ind w:left="288"/>
      </w:pPr>
      <w:r>
        <w:rPr>
          <w:b/>
          <w:color w:val="003CA0"/>
          <w:sz w:val="16"/>
        </w:rPr>
        <w:t>[ADPF 46, red. do ac. min. Eros Grau, j. 5-8-2009, P, DJE de 26-2-2010.]</w:t>
      </w:r>
    </w:p>
    <w:p>
      <w:pPr>
        <w:ind w:left="288"/>
      </w:pPr>
      <w:r>
        <w:rPr>
          <w:color w:val="8C8C8C"/>
          <w:sz w:val="12"/>
        </w:rPr>
        <w:t>cf-art-175</w:t>
      </w:r>
      <w:r>
        <w:rPr>
          <w:color w:val="003CA0"/>
          <w:sz w:val="12"/>
        </w:rPr>
        <w:t xml:space="preserve"> | RE 627.051</w:t>
      </w:r>
      <w:r>
        <w:rPr>
          <w:color w:val="003CA0"/>
          <w:sz w:val="12"/>
        </w:rPr>
        <w:t xml:space="preserve"> | rel. Dias Toffoli</w:t>
      </w:r>
    </w:p>
    <w:p>
      <w:pPr>
        <w:ind w:left="288"/>
      </w:pPr>
      <w:r>
        <w:rPr>
          <w:color w:val="1E1E1E"/>
          <w:sz w:val="18"/>
        </w:rPr>
        <w:t>Vide RE 627.051, rel. min. Dias Toffoli, j. 12-11-2014, P, DJE de 11-2-2015, Tema 402 Ação direta de inconstitucionalidade. Art. 39 da Lei 10.741, de 1º-10-2003 (Estatuto do Idoso), que assegura gratuidade dos transportes públicos urbanos e semiurbanos aos que têm mais de 65 anos. Direito constitucional. Norma constitucional de eficácia plena e aplicabilidade imediata. Norma legal que repete a norma constitucional garantidora do direito. Improcedência da ação. O art. 39 da Lei 10.741/2003 (Estatuto do Idoso) apenas repete o que dispõe o § 2º do art. 230 da CF. A norma constitucional é de eficá</w:t>
      </w:r>
    </w:p>
    <w:p>
      <w:pPr>
        <w:ind w:left="288"/>
      </w:pPr>
      <w:r>
        <w:rPr>
          <w:b/>
          <w:color w:val="003CA0"/>
          <w:sz w:val="16"/>
        </w:rPr>
        <w:t>[ADI 3.768, rel. min. Cármen Lúcia, j. 19-9-2007, P, DJ de 26-10-2007.]</w:t>
      </w:r>
    </w:p>
    <w:p>
      <w:pPr>
        <w:ind w:left="288"/>
      </w:pPr>
      <w:r>
        <w:rPr>
          <w:color w:val="8C8C8C"/>
          <w:sz w:val="12"/>
        </w:rPr>
        <w:t>cf-art-175</w:t>
      </w:r>
      <w:r>
        <w:rPr>
          <w:color w:val="003CA0"/>
          <w:sz w:val="12"/>
        </w:rPr>
        <w:t xml:space="preserve"> | ADI 3.729</w:t>
      </w:r>
      <w:r>
        <w:rPr>
          <w:color w:val="003CA0"/>
          <w:sz w:val="12"/>
        </w:rPr>
        <w:t xml:space="preserve"> | rel. Gilmar Mendes</w:t>
      </w:r>
    </w:p>
    <w:p>
      <w:pPr>
        <w:ind w:left="288"/>
      </w:pPr>
      <w:r>
        <w:rPr>
          <w:color w:val="1E1E1E"/>
          <w:sz w:val="18"/>
        </w:rPr>
        <w:t>Ação direta de inconstitucionalidade contra a expressão "energia elétrica", contida no caput do art. 1º da Lei 11.260/2002 do Estado de São Paulo, que proíbe o corte de energia elétrica, água e gás canalizado por falta de pagamento, sem prévia comunicação ao usuário. (...) Violação aos arts. 21, XII, b; 22, IV, e 175, caput e parágrafo único, I, II e III, da CF.</w:t>
      </w:r>
    </w:p>
    <w:p>
      <w:pPr>
        <w:ind w:left="288"/>
      </w:pPr>
      <w:r>
        <w:rPr>
          <w:b/>
          <w:color w:val="003CA0"/>
          <w:sz w:val="16"/>
        </w:rPr>
        <w:t>[ADI 3.729, rel. min. Gilmar Mendes, j. 17-9-2007, P, DJ de 9-11-2007.]</w:t>
      </w:r>
    </w:p>
    <w:p>
      <w:pPr>
        <w:ind w:left="288"/>
      </w:pPr>
      <w:r>
        <w:rPr>
          <w:color w:val="8C8C8C"/>
          <w:sz w:val="12"/>
        </w:rPr>
        <w:t>cf-art-175</w:t>
      </w:r>
      <w:r>
        <w:rPr>
          <w:color w:val="003CA0"/>
          <w:sz w:val="12"/>
        </w:rPr>
        <w:t xml:space="preserve"> | ADI 1.863</w:t>
      </w:r>
      <w:r>
        <w:rPr>
          <w:color w:val="003CA0"/>
          <w:sz w:val="12"/>
        </w:rPr>
        <w:t xml:space="preserve"> | rel. Eros Grau</w:t>
      </w:r>
    </w:p>
    <w:p>
      <w:pPr>
        <w:ind w:left="288"/>
      </w:pPr>
      <w:r>
        <w:rPr>
          <w:color w:val="1E1E1E"/>
          <w:sz w:val="18"/>
        </w:rPr>
        <w:t>Parágrafo único do art. 191 da Lei federal 9.472/1997. Delegação e concessão de serviço público. Organização dos serviços de telecomunicações. Modalidade de licitação. Leilão. Processo de desestatização. Privatização. Alienação do controle acionário. Ausência de processo licitatório. (...) As privatizações – desestatizações – foram implementadas mediante a realização de leilão, modalidade de licitação prevista no art. 22 da Lei 8.666/1993 que a um só tempo transfere o controle acionário da empresa estatal e preserva a delegação de serviço público. O preceito impugnado não é inconstitucional. A</w:t>
      </w:r>
    </w:p>
    <w:p>
      <w:pPr>
        <w:ind w:left="288"/>
      </w:pPr>
      <w:r>
        <w:rPr>
          <w:b/>
          <w:color w:val="003CA0"/>
          <w:sz w:val="16"/>
        </w:rPr>
        <w:t>[ADI 1.863, rel. min. Eros Grau, j. 6-9-2007, P, DJE de 15-2-2008.]</w:t>
      </w:r>
    </w:p>
    <w:p>
      <w:pPr>
        <w:ind w:left="288"/>
      </w:pPr>
      <w:r>
        <w:rPr>
          <w:color w:val="8C8C8C"/>
          <w:sz w:val="12"/>
        </w:rPr>
        <w:t>cf-art-175</w:t>
      </w:r>
      <w:r>
        <w:rPr>
          <w:color w:val="003CA0"/>
          <w:sz w:val="12"/>
        </w:rPr>
        <w:t xml:space="preserve"> | ADI 3.521</w:t>
      </w:r>
      <w:r>
        <w:rPr>
          <w:color w:val="003CA0"/>
          <w:sz w:val="12"/>
        </w:rPr>
        <w:t xml:space="preserve"> | rel. Eros Grau</w:t>
      </w:r>
    </w:p>
    <w:p>
      <w:pPr>
        <w:ind w:left="288"/>
      </w:pPr>
      <w:r>
        <w:rPr>
          <w:color w:val="1E1E1E"/>
          <w:sz w:val="18"/>
        </w:rPr>
        <w:t>O art. 42 da lei complementar estadual afirma a continuidade das delegações de prestação de serviços públicos praticadas ao tempo da instituição da agência, bem assim sua competência para regulá-las e fiscalizá-las. Preservação da continuidade da prestação dos serviços públicos. Hipótese de não violação de preceitos constitucionais. O art. 43, acrescentado à LC 94 pela LC 95, autoriza a manutenção, até 2008, de "outorgas vencidas, com caráter precário" ou que estiverem em vigor com prazo indeterminado. Permite, ainda que essa prestação se dê em condições irregulares, a manutenção do vínculo es</w:t>
      </w:r>
    </w:p>
    <w:p>
      <w:pPr>
        <w:ind w:left="288"/>
      </w:pPr>
      <w:r>
        <w:rPr>
          <w:b/>
          <w:color w:val="003CA0"/>
          <w:sz w:val="16"/>
        </w:rPr>
        <w:t>[ADI 3.521, rel. min. Eros Grau, j. 28-9-2006, P, DJ de 16-3-2007.]</w:t>
      </w:r>
    </w:p>
    <w:p>
      <w:pPr>
        <w:ind w:left="288"/>
      </w:pPr>
      <w:r>
        <w:rPr>
          <w:color w:val="8C8C8C"/>
          <w:sz w:val="12"/>
        </w:rPr>
        <w:t>cf-art-175</w:t>
      </w:r>
      <w:r>
        <w:rPr>
          <w:color w:val="003CA0"/>
          <w:sz w:val="12"/>
        </w:rPr>
        <w:t xml:space="preserve"> | RE 412.921</w:t>
      </w:r>
      <w:r>
        <w:rPr>
          <w:color w:val="003CA0"/>
          <w:sz w:val="12"/>
        </w:rPr>
        <w:t xml:space="preserve"> | rel. Ricardo Lewandowski</w:t>
      </w:r>
    </w:p>
    <w:p>
      <w:pPr>
        <w:ind w:left="288"/>
      </w:pPr>
      <w:r>
        <w:rPr>
          <w:color w:val="1E1E1E"/>
          <w:sz w:val="18"/>
        </w:rPr>
        <w:t>= RE 412.921 AgR, rel. min. Ricardo Lewandowski, j. 22-2-2011, 1ª T, DJE de 15-3-2011 Vide RE 422.591, rel. min. Dias Toffoli, j. 1º-12-2010, P, DJE de 11-3-2011 Impossibilidade de interferência do Estado-membro nas relações jurídico-contratuais entre o poder concedente federal ou municipal e as empresas concessionárias. Inviabilidade da alteração, por lei estadual, das condições previstas na licitação e formalmente estipuladas em contrato de concessão de serviços públicos, sob regime federal e municipal.</w:t>
      </w:r>
    </w:p>
    <w:p>
      <w:pPr>
        <w:ind w:left="288"/>
      </w:pPr>
      <w:r>
        <w:rPr>
          <w:b/>
          <w:color w:val="003CA0"/>
          <w:sz w:val="16"/>
        </w:rPr>
        <w:t>[ADI 2.337 MC, rel. min. Celso de Mello, j. 20-2-2002, P, DJ de 21-6-2002.]</w:t>
      </w:r>
    </w:p>
    <w:p>
      <w:pPr>
        <w:ind w:left="288"/>
      </w:pPr>
      <w:r>
        <w:rPr>
          <w:color w:val="8C8C8C"/>
          <w:sz w:val="12"/>
        </w:rPr>
        <w:t>cf-art-175</w:t>
      </w:r>
      <w:r>
        <w:rPr>
          <w:color w:val="003CA0"/>
          <w:sz w:val="12"/>
        </w:rPr>
        <w:t xml:space="preserve"> | ADI 2.340</w:t>
      </w:r>
      <w:r>
        <w:rPr>
          <w:color w:val="003CA0"/>
          <w:sz w:val="12"/>
        </w:rPr>
        <w:t xml:space="preserve"> | rel. Ricardo Lewandowski</w:t>
      </w:r>
    </w:p>
    <w:p>
      <w:pPr>
        <w:ind w:left="288"/>
      </w:pPr>
      <w:r>
        <w:rPr>
          <w:color w:val="1E1E1E"/>
          <w:sz w:val="18"/>
        </w:rPr>
        <w:t>= ADI 2.340, rel. min. Ricardo Lewandowski, j. 6-3-2013, P, DJE de 10-5-2013</w:t>
      </w:r>
    </w:p>
    <w:p>
      <w:pPr>
        <w:ind w:left="144"/>
      </w:pPr>
      <w:r>
        <w:rPr>
          <w:b/>
          <w:color w:val="B45A00"/>
          <w:sz w:val="16"/>
        </w:rPr>
        <w:t>REPERCUSSAO GERAL</w:t>
      </w:r>
    </w:p>
    <w:p>
      <w:pPr>
        <w:ind w:left="288"/>
      </w:pPr>
      <w:r>
        <w:rPr>
          <w:color w:val="8C8C8C"/>
          <w:sz w:val="12"/>
        </w:rPr>
        <w:t>cf-art-175</w:t>
      </w:r>
      <w:r>
        <w:rPr>
          <w:color w:val="003CA0"/>
          <w:sz w:val="12"/>
        </w:rPr>
        <w:t xml:space="preserve"> | RE 1.498.128</w:t>
      </w:r>
      <w:r>
        <w:rPr>
          <w:color w:val="003CA0"/>
          <w:sz w:val="12"/>
        </w:rPr>
        <w:t xml:space="preserve"> | rel. Luís Roberto Barroso-</w:t>
      </w:r>
    </w:p>
    <w:p>
      <w:pPr>
        <w:ind w:left="288"/>
      </w:pPr>
      <w:r>
        <w:rPr>
          <w:color w:val="1E1E1E"/>
          <w:sz w:val="18"/>
        </w:rPr>
        <w:t>“A execução do serviço público de loteria por agentes privados depende de delegação estatal precedida de licitação”.</w:t>
        <w:br/>
        <w:t>[RE 1.498.128 RG, rel. min. Luís Roberto Barroso-, j. 27.09.2024, P, DJE de 01.10.2024, Tema 1.323, com mérito julgado e reafirmação da jurisprudência.] “A execução do serviço público de loteria por agentes privados depende de delegação estatal precedida de licitação”.</w:t>
      </w:r>
    </w:p>
    <w:p>
      <w:pPr>
        <w:ind w:left="288"/>
      </w:pPr>
      <w:r>
        <w:rPr>
          <w:b/>
          <w:color w:val="003CA0"/>
          <w:sz w:val="16"/>
        </w:rPr>
        <w:t>[RE 1.498.128 RG, rel. min. Luís Roberto Barroso, j. 27.09.2024, P, DJE de 01.10.2024, Tema 1.323, com mérito julgado.]</w:t>
      </w:r>
    </w:p>
    <w:p>
      <w:pPr>
        <w:ind w:left="288"/>
      </w:pPr>
      <w:r>
        <w:rPr>
          <w:color w:val="8C8C8C"/>
          <w:sz w:val="12"/>
        </w:rPr>
        <w:t>cf-art-175</w:t>
      </w:r>
      <w:r>
        <w:rPr>
          <w:color w:val="003CA0"/>
          <w:sz w:val="12"/>
        </w:rPr>
        <w:t xml:space="preserve"> | RE 1.001.104</w:t>
      </w:r>
      <w:r>
        <w:rPr>
          <w:color w:val="003CA0"/>
          <w:sz w:val="12"/>
        </w:rPr>
        <w:t xml:space="preserve"> | rel. Marco Aurélio</w:t>
      </w:r>
    </w:p>
    <w:p>
      <w:pPr>
        <w:ind w:left="288"/>
      </w:pPr>
      <w:r>
        <w:rPr>
          <w:color w:val="1E1E1E"/>
          <w:sz w:val="18"/>
        </w:rPr>
        <w:t>Salvo situações excepcionais, devidamente comprovadas, o implemento de transporte público coletivo pressupõe prévia licitação.</w:t>
        <w:br/>
        <w:t>[RE 1.001.104, rel. min. Marco Aurélio, j. 15-5-2020, P, DJE de 19-6-2020, Tema 854, com mérito julgado.] Imunidade recíproca. Empresa Brasileira de Correios e Telégrafos. Peculiaridades do Serviço Postal. Exercício de atividades em regime de exclusividade e em concorrência com particulares. Irrelevância. ICMS. Transporte de encomendas. Indissociabilidade do serviço postal. Incidência da Imunidade do art. 150, VI, a, da Constituição. Condição de sujeito passivo de obri</w:t>
      </w:r>
    </w:p>
    <w:p>
      <w:pPr>
        <w:ind w:left="288"/>
      </w:pPr>
      <w:r>
        <w:rPr>
          <w:b/>
          <w:color w:val="003CA0"/>
          <w:sz w:val="16"/>
        </w:rPr>
        <w:t>[RE 627.051, rel. min. Dias Toffoli, j. 12-11-2014, P, DJE de 11-2-2015, Tema 402, com mérito julgado.]</w:t>
      </w:r>
    </w:p>
    <w:p>
      <w:pPr>
        <w:ind w:left="288"/>
      </w:pPr>
      <w:r>
        <w:rPr>
          <w:color w:val="8C8C8C"/>
          <w:sz w:val="12"/>
        </w:rPr>
        <w:t>cf-art-175</w:t>
      </w:r>
      <w:r>
        <w:rPr>
          <w:color w:val="003CA0"/>
          <w:sz w:val="12"/>
        </w:rPr>
        <w:t xml:space="preserve"> | ADPF 46</w:t>
      </w:r>
      <w:r>
        <w:rPr>
          <w:color w:val="003CA0"/>
          <w:sz w:val="12"/>
        </w:rPr>
        <w:t xml:space="preserve"> | rel. Eros Grau</w:t>
      </w:r>
    </w:p>
    <w:p>
      <w:pPr>
        <w:ind w:left="288"/>
      </w:pPr>
      <w:r>
        <w:rPr>
          <w:color w:val="1E1E1E"/>
          <w:sz w:val="18"/>
        </w:rPr>
        <w:t xml:space="preserve">Vide ADPF 46, red.do ac. min. Eros Grau, j. 5-8-2009, P, DJE de 26-2-2010 Às empresas prestadoras de serviço público incumbe o dever-poder de prestar o serviço público. Para tanto a elas é atribuído, pelo poder concedente, o também dever-poder de usar o domínio público necessário à execução do serviço, bem como de promover desapropriações e constituir servidões de áreas por ele, poder concedente, declaradas de utilidade pública. As faixas de domínio público de vias públicas constituem bem público, inserido na categoria dos bens de uso comum do povo. Os bens de uso comum do povo são entendidos </w:t>
      </w:r>
    </w:p>
    <w:p>
      <w:pPr>
        <w:ind w:left="288"/>
      </w:pPr>
      <w:r>
        <w:rPr>
          <w:b/>
          <w:color w:val="003CA0"/>
          <w:sz w:val="16"/>
        </w:rPr>
        <w:t>[RE 581.947, rel. min. Eros Grau, j. 27-5-2010, P, DJE de 27-8-2010, Tema 261, com mérito julgado.]</w:t>
      </w:r>
    </w:p>
    <w:p>
      <w:pPr>
        <w:ind w:left="288"/>
      </w:pPr>
      <w:r>
        <w:rPr>
          <w:color w:val="8C8C8C"/>
          <w:sz w:val="12"/>
        </w:rPr>
        <w:t>cf-art-175</w:t>
      </w:r>
      <w:r>
        <w:rPr>
          <w:color w:val="003CA0"/>
          <w:sz w:val="12"/>
        </w:rPr>
        <w:t xml:space="preserve"> | RE 581.947</w:t>
      </w:r>
      <w:r>
        <w:rPr>
          <w:color w:val="003CA0"/>
          <w:sz w:val="12"/>
        </w:rPr>
        <w:t xml:space="preserve"> | rel. Luiz Fux</w:t>
      </w:r>
    </w:p>
    <w:p>
      <w:pPr>
        <w:ind w:left="288"/>
      </w:pPr>
      <w:r>
        <w:rPr>
          <w:color w:val="1E1E1E"/>
          <w:sz w:val="18"/>
        </w:rPr>
        <w:t>Vide RE 581.947 ED, rel. min. Luiz Fux, j. 18-12-2013, P, DJE de 19-3-2014 O Decreto nº 84.398, de 1980, que regulamenta o art. 151 do Código de Águas, foi recepcionado pela Constituição da República, porquanto não extravasa os limites do poder regulamentar pela previsão de não onerosidade na ocupação de faixas marginais por empresa prestadora de serviço público. Questão de mérito relativa à necessidade de harmonização e uniformidade do sistema regulatório atinente aos serviços públicos que, no caso da ocupação de equipamentos necessários à prestação do serviço de energia elétrica, não deve on</w:t>
      </w:r>
    </w:p>
    <w:p>
      <w:pPr>
        <w:ind w:left="288"/>
      </w:pPr>
      <w:r>
        <w:rPr>
          <w:b/>
          <w:color w:val="003CA0"/>
          <w:sz w:val="16"/>
        </w:rPr>
        <w:t>[RE 899.095 AgR-ED-EDv, rel. min. André Mendonça, j. 24.02.2025, P, DJE de 24.03.2025.]</w:t>
      </w:r>
    </w:p>
    <w:p>
      <w:pPr>
        <w:ind w:left="144"/>
      </w:pPr>
      <w:r>
        <w:rPr>
          <w:b/>
          <w:color w:val="B45A00"/>
          <w:sz w:val="16"/>
        </w:rPr>
        <w:t>JULGADOS CORRELATOS</w:t>
      </w:r>
    </w:p>
    <w:p>
      <w:pPr>
        <w:ind w:left="288"/>
      </w:pPr>
      <w:r>
        <w:rPr>
          <w:color w:val="8C8C8C"/>
          <w:sz w:val="12"/>
        </w:rPr>
        <w:t>cf-art-175</w:t>
      </w:r>
      <w:r>
        <w:rPr>
          <w:color w:val="003CA0"/>
          <w:sz w:val="12"/>
        </w:rPr>
        <w:t xml:space="preserve"> | RE 1.002.310</w:t>
      </w:r>
      <w:r>
        <w:rPr>
          <w:color w:val="003CA0"/>
          <w:sz w:val="12"/>
        </w:rPr>
        <w:t xml:space="preserve"> | rel. Gilmar Mendes</w:t>
      </w:r>
    </w:p>
    <w:p>
      <w:pPr>
        <w:ind w:left="288"/>
      </w:pPr>
      <w:r>
        <w:rPr>
          <w:color w:val="1E1E1E"/>
          <w:sz w:val="18"/>
        </w:rPr>
        <w:t>Serviço de transporte individual de passageiro. Táxis. Prorrogação das atuais autorizações ou permissões que estiverem com o prazo vencido, ou em vigor por prazo indeterminado, por quinze anos, admitida prorrogação por igual período. Serviço de utilidade pública prestado por particular. Não caracterização como serviço público. Inaplicabilidade do art. 175 ou do art. 37, XXI, da CF. Inexigibilidade de licitação. Necessidade de mera autorização do poder público para a prestação do serviço pelo particular.</w:t>
        <w:br/>
        <w:t>[RE 1.002.310 AgR, rel. min. Gilmar Mendes, j. 30-6-2017, 2ª T, DJE de 3-8-2017.] Recurso e</w:t>
      </w:r>
    </w:p>
    <w:p>
      <w:pPr>
        <w:ind w:left="288"/>
      </w:pPr>
      <w:r>
        <w:rPr>
          <w:b/>
          <w:color w:val="003CA0"/>
          <w:sz w:val="16"/>
        </w:rPr>
        <w:t>[MS 27.516, rel. min. Ellen Gracie, j. 22-10-2008, P, DJE de 5-12-2008.]</w:t>
      </w:r>
    </w:p>
    <w:p>
      <w:pPr>
        <w:ind w:left="288"/>
      </w:pPr>
      <w:r>
        <w:rPr>
          <w:color w:val="8C8C8C"/>
          <w:sz w:val="12"/>
        </w:rPr>
        <w:t>cf-art-175-par-unico</w:t>
      </w:r>
    </w:p>
    <w:p>
      <w:pPr>
        <w:ind w:left="288"/>
      </w:pPr>
      <w:r>
        <w:rPr>
          <w:color w:val="1E1E1E"/>
          <w:sz w:val="18"/>
        </w:rPr>
        <w:t>I - o regime das empresas concessionárias e permissionárias de serviços públicos, o caráter especial de seu contrato e de sua prorrogação, bem como as condições de caducidade, fiscalização e rescisão da concessão ou permissão;</w:t>
      </w:r>
    </w:p>
    <w:p>
      <w:pPr>
        <w:ind w:left="144"/>
      </w:pPr>
      <w:r>
        <w:rPr>
          <w:b/>
          <w:color w:val="B45A00"/>
          <w:sz w:val="16"/>
        </w:rPr>
        <w:t>CONTROLE CONCENTRADO</w:t>
      </w:r>
    </w:p>
    <w:p>
      <w:pPr>
        <w:ind w:left="288"/>
      </w:pPr>
      <w:r>
        <w:rPr>
          <w:color w:val="8C8C8C"/>
          <w:sz w:val="12"/>
        </w:rPr>
        <w:t>cf-art-175-par-unico</w:t>
      </w:r>
      <w:r>
        <w:rPr>
          <w:color w:val="003CA0"/>
          <w:sz w:val="12"/>
        </w:rPr>
        <w:t xml:space="preserve"> | ADI 7.048</w:t>
      </w:r>
      <w:r>
        <w:rPr>
          <w:color w:val="003CA0"/>
          <w:sz w:val="12"/>
        </w:rPr>
        <w:t xml:space="preserve"> | rel. Cármen Lúcia</w:t>
      </w:r>
    </w:p>
    <w:p>
      <w:pPr>
        <w:ind w:left="288"/>
      </w:pPr>
      <w:r>
        <w:rPr>
          <w:color w:val="1E1E1E"/>
          <w:sz w:val="18"/>
        </w:rPr>
        <w:t>Decreto n. 65.574/2021 e Decreto n. 65.575/2021do Estado de São Paulo. 3. Prorrogação antecipada, pelo prazo de 25 anos, da concessão do serviço de transporte coletivo intermunicipal por ônibus e trólebus no Corredor Metropolitano São Mateus – Jabaquara com a incorporação, na condição de novos investimentos, do Sistema BRT-ABC e do Sistema Remanescente. Possibilidade. Estudo técnico que fundamente vantagem da prorrogação do contrato de parceira em relação à realização de nova licitação para o empreendimento. Demonstração de vantajosidade para a administração pública.</w:t>
        <w:br/>
        <w:t>[ADI 7.048, rel. min. Cárm</w:t>
      </w:r>
    </w:p>
    <w:p>
      <w:pPr>
        <w:ind w:left="288"/>
      </w:pPr>
      <w:r>
        <w:rPr>
          <w:b/>
          <w:color w:val="003CA0"/>
          <w:sz w:val="16"/>
        </w:rPr>
        <w:t>[ADI 5.991 MC, rel. min. Cármen Lúcia, j. 20-2-2020, P, DJE de 6-7-2020.]</w:t>
      </w:r>
    </w:p>
    <w:p>
      <w:pPr>
        <w:ind w:left="288"/>
      </w:pPr>
      <w:r>
        <w:rPr>
          <w:color w:val="8C8C8C"/>
          <w:sz w:val="12"/>
        </w:rPr>
        <w:t>cf-art-175-par-unico</w:t>
      </w:r>
      <w:r>
        <w:rPr>
          <w:color w:val="003CA0"/>
          <w:sz w:val="12"/>
        </w:rPr>
        <w:t xml:space="preserve"> | ADI 1.746</w:t>
      </w:r>
      <w:r>
        <w:rPr>
          <w:color w:val="003CA0"/>
          <w:sz w:val="12"/>
        </w:rPr>
        <w:t xml:space="preserve"> | rel. Marco Aurélio</w:t>
      </w:r>
    </w:p>
    <w:p>
      <w:pPr>
        <w:ind w:left="288"/>
      </w:pPr>
      <w:r>
        <w:rPr>
          <w:color w:val="1E1E1E"/>
          <w:sz w:val="18"/>
        </w:rPr>
        <w:t>Municípios. Organização autônoma de serviços de água e esgoto. Rompimento do ajuste. Indenização. Projeção no tempo. Implica ofensa aos princípios ligados à concessão, ao ajuste administrativo, a projeção, no tempo, de pagamento de indenização considerado o rompimento de contrato administrativo, ante a organização, pelo próprio Município, de serviços de água e esgoto.</w:t>
      </w:r>
    </w:p>
    <w:p>
      <w:pPr>
        <w:ind w:left="288"/>
      </w:pPr>
      <w:r>
        <w:rPr>
          <w:b/>
          <w:color w:val="003CA0"/>
          <w:sz w:val="16"/>
        </w:rPr>
        <w:t>[ADI 1.746, rel. min. Marco Aurélio, j. 18-9-2014, P, DJE de 13-11-2014.]</w:t>
      </w:r>
    </w:p>
    <w:p>
      <w:pPr>
        <w:ind w:left="288"/>
      </w:pPr>
      <w:r>
        <w:rPr>
          <w:color w:val="8C8C8C"/>
          <w:sz w:val="12"/>
        </w:rPr>
        <w:t>cf-art-175-par-unico</w:t>
      </w:r>
      <w:r>
        <w:rPr>
          <w:color w:val="003CA0"/>
          <w:sz w:val="12"/>
        </w:rPr>
        <w:t xml:space="preserve"> | MS 40.336</w:t>
      </w:r>
      <w:r>
        <w:rPr>
          <w:color w:val="003CA0"/>
          <w:sz w:val="12"/>
        </w:rPr>
        <w:t xml:space="preserve"> | rel. Gilmar Mendes</w:t>
      </w:r>
    </w:p>
    <w:p>
      <w:pPr>
        <w:ind w:left="288"/>
      </w:pPr>
      <w:r>
        <w:rPr>
          <w:color w:val="1E1E1E"/>
          <w:sz w:val="18"/>
        </w:rPr>
        <w:t>O regime da Lei 8.987/95 estrutura dois fluxos paralelos e coordenados: de um lado, o procedimento de apuração da inadimplência contratual e de extinção do contrato por caducidade; de outro, o processo de definição dos haveres e deveres decorrentes da reversão dos bens ao poder concedente, conforme previsto nos arts. 36 e 38, § 5º. Ambos os fluxos devem tramitar conjuntamente e integrar um único procedimento administrativo, sem que disso decorra, necessariamente, a exigência de que os cálculos da indenização estejam concluídos como condição de validade do decreto de caducidade. Admitir o contr</w:t>
      </w:r>
    </w:p>
    <w:p>
      <w:pPr>
        <w:ind w:left="288"/>
      </w:pPr>
      <w:r>
        <w:rPr>
          <w:b/>
          <w:color w:val="003CA0"/>
          <w:sz w:val="16"/>
        </w:rPr>
        <w:t>[MS 40.336 ED-AgR, rel. min. Gilmar Mendes, j. 11.11.2025, P, DJE de 18.11.2025.]</w:t>
      </w:r>
    </w:p>
    <w:p>
      <w:pPr>
        <w:ind w:left="144"/>
      </w:pPr>
      <w:r>
        <w:rPr>
          <w:b/>
          <w:color w:val="B45A00"/>
          <w:sz w:val="16"/>
        </w:rPr>
        <w:t>JULGADOS CORRELATOS</w:t>
      </w:r>
    </w:p>
    <w:p>
      <w:pPr>
        <w:ind w:left="288"/>
      </w:pPr>
      <w:r>
        <w:rPr>
          <w:color w:val="8C8C8C"/>
          <w:sz w:val="12"/>
        </w:rPr>
        <w:t>cf-art-175-par-unico</w:t>
      </w:r>
      <w:r>
        <w:rPr>
          <w:color w:val="003CA0"/>
          <w:sz w:val="12"/>
        </w:rPr>
        <w:t xml:space="preserve"> | RMS 34.203</w:t>
      </w:r>
      <w:r>
        <w:rPr>
          <w:color w:val="003CA0"/>
          <w:sz w:val="12"/>
        </w:rPr>
        <w:t xml:space="preserve"> | rel. Dias Toffoli</w:t>
      </w:r>
    </w:p>
    <w:p>
      <w:pPr>
        <w:ind w:left="288"/>
      </w:pPr>
      <w:r>
        <w:rPr>
          <w:color w:val="1E1E1E"/>
          <w:sz w:val="18"/>
        </w:rPr>
        <w:t>O contrato administrativo se encerra no prazo nele definido, salvo a realização de ajuste, ao final do termo, pela prorrogação contratual, se atendidas as exigências legais para tanto e se presente o interesse público na permanência do contrato. Nesse passo, é incongruente com a natureza da prorrogação contratual a ideia de sua formalização em momento antecedente ao término do contrato, como também é incongruente com sua natureza a garantia indissolúvel de sua realização já no instrumento contratual. A discricionariedade da prorrogação é uma das marcas mais acentuadas do contrato administrativ</w:t>
      </w:r>
    </w:p>
    <w:p>
      <w:pPr>
        <w:ind w:left="288"/>
      </w:pPr>
      <w:r>
        <w:rPr>
          <w:b/>
          <w:color w:val="003CA0"/>
          <w:sz w:val="16"/>
        </w:rPr>
        <w:t>[RMS 34.203, rel. min. Dias Toffoli, j. 21-11-2017, 2ª T, DJE de 20-3-2018.]</w:t>
      </w:r>
    </w:p>
    <w:p>
      <w:pPr>
        <w:ind w:left="144"/>
      </w:pPr>
      <w:r>
        <w:rPr>
          <w:b/>
          <w:color w:val="B45A00"/>
          <w:sz w:val="16"/>
        </w:rPr>
        <w:t>CONTROLE CONCENTRADO</w:t>
      </w:r>
    </w:p>
    <w:p>
      <w:pPr>
        <w:ind w:left="288"/>
      </w:pPr>
      <w:r>
        <w:rPr>
          <w:color w:val="8C8C8C"/>
          <w:sz w:val="12"/>
        </w:rPr>
        <w:t>cf-art-175-par-unico-inc-II</w:t>
      </w:r>
      <w:r>
        <w:rPr>
          <w:color w:val="003CA0"/>
          <w:sz w:val="12"/>
        </w:rPr>
        <w:t xml:space="preserve"> | ADI 5.575</w:t>
      </w:r>
      <w:r>
        <w:rPr>
          <w:color w:val="003CA0"/>
          <w:sz w:val="12"/>
        </w:rPr>
        <w:t xml:space="preserve"> | rel. Luiz Fux</w:t>
      </w:r>
    </w:p>
    <w:p>
      <w:pPr>
        <w:ind w:left="288"/>
      </w:pPr>
      <w:r>
        <w:rPr>
          <w:color w:val="1E1E1E"/>
          <w:sz w:val="18"/>
        </w:rPr>
        <w:t>(...) a relação entre o usuário e a prestadora do serviço público possui natureza específica, informada por princípios próprios, notadamente o da solidariedade social (artigo 3º, I, da Constituição Federal), que não pode ser simplesmente aproximada da corriqueira relação consumerista, na qual prepondera a ótica individualista. (...) Não é por outra razão que a sede específica para a instituição das balizas infraconstitucionais nesse tema reside no artigo 175, parágrafo único, da Constituição Federal, cujo inciso II expressamente reclama a atuação do legislador para a disciplina dos “direitos d</w:t>
      </w:r>
    </w:p>
    <w:p>
      <w:pPr>
        <w:ind w:left="288"/>
      </w:pPr>
      <w:r>
        <w:rPr>
          <w:b/>
          <w:color w:val="003CA0"/>
          <w:sz w:val="16"/>
        </w:rPr>
        <w:t>[ADI 5.575, voto do rel. min. Luiz Fux, j. 25-10-2018, P, DJE de 7-11-2018.]</w:t>
      </w:r>
    </w:p>
    <w:p>
      <w:pPr>
        <w:ind w:left="288"/>
      </w:pPr>
      <w:r>
        <w:rPr>
          <w:color w:val="8C8C8C"/>
          <w:sz w:val="12"/>
        </w:rPr>
        <w:t>cf-art-175-par-unico-inc-III</w:t>
      </w:r>
      <w:r>
        <w:rPr>
          <w:color w:val="003CA0"/>
          <w:sz w:val="12"/>
        </w:rPr>
        <w:t xml:space="preserve"> | ADI 7.324</w:t>
      </w:r>
      <w:r>
        <w:rPr>
          <w:color w:val="003CA0"/>
          <w:sz w:val="12"/>
        </w:rPr>
        <w:t xml:space="preserve"> | rel. Alexandre de Moraes</w:t>
      </w:r>
    </w:p>
    <w:p>
      <w:pPr>
        <w:ind w:left="288"/>
      </w:pPr>
      <w:r>
        <w:rPr>
          <w:color w:val="1E1E1E"/>
          <w:sz w:val="18"/>
        </w:rPr>
        <w:t xml:space="preserve">Lei nº 14.385/2022. Atribuição à ANEEL para destinar aos usuários os valores de repetição de indébito tributário das distribuidoras de energia elétrica. Política tarifária. (...) A norma impugnada não disciplina a repetição do indébito tributário, mas apenas a destinação dos valores correspondentes na composição das tarifas, sendo legítimo que, havendo restituição do indébito às distribuidoras, tal montante repercuta em favor dos usuários, para manutenção da modicidade e do equilíbrio econômico-financeiro das concessões. (...) A revisão tarifária está sujeita a prazo prescricional, pelo que a </w:t>
      </w:r>
    </w:p>
    <w:p>
      <w:pPr>
        <w:ind w:left="288"/>
      </w:pPr>
      <w:r>
        <w:rPr>
          <w:b/>
          <w:color w:val="003CA0"/>
          <w:sz w:val="16"/>
        </w:rPr>
        <w:t>[ADI 7.324, rel. min. Alexandre de Moraes, j. 14.08.2025, P, DJE de 10.12.2025.]</w:t>
      </w:r>
    </w:p>
    <w:p>
      <w:pPr>
        <w:ind w:left="288"/>
      </w:pPr>
      <w:r>
        <w:rPr>
          <w:color w:val="8C8C8C"/>
          <w:sz w:val="12"/>
        </w:rPr>
        <w:t>cf-art-175-par-unico-inc-III</w:t>
      </w:r>
      <w:r>
        <w:rPr>
          <w:color w:val="003CA0"/>
          <w:sz w:val="12"/>
        </w:rPr>
        <w:t xml:space="preserve"> | ADI 3.343</w:t>
      </w:r>
    </w:p>
    <w:p>
      <w:pPr>
        <w:ind w:left="288"/>
      </w:pPr>
      <w:r>
        <w:rPr>
          <w:color w:val="1E1E1E"/>
          <w:sz w:val="18"/>
        </w:rPr>
        <w:t>A Lei 3.449/2004 do Distrito Federal, ao proibir a cobrança da tarifa de assinatura básica "pelas concessionárias prestadoras de serviços de água, luz, gás, TV a cabo e telefonia no Distrito Federal" (art. 1º, caput), incorreu em inconstitucionalidade formal, porquanto necessariamente inserida a fixação da "política tarifária" no âmbito de poderes inerentes à titularidade de determinado serviço público, como prevê o art. 175, parágrafo único, III, da Constituição, elemento indispensável para a preservação do equilíbrio econômico-financeiro do contrato de concessão e, por consequência, da manut</w:t>
      </w:r>
    </w:p>
    <w:p>
      <w:pPr>
        <w:ind w:left="288"/>
      </w:pPr>
      <w:r>
        <w:rPr>
          <w:b/>
          <w:color w:val="003CA0"/>
          <w:sz w:val="16"/>
        </w:rPr>
        <w:t>[ADI 3.343, red.do ac. min. Luiz Fux, j. 1º-9-2011, P, DJE de 22-11-2011.]</w:t>
      </w:r>
    </w:p>
    <w:p>
      <w:pPr>
        <w:ind w:left="288"/>
      </w:pPr>
      <w:r>
        <w:rPr>
          <w:color w:val="8C8C8C"/>
          <w:sz w:val="12"/>
        </w:rPr>
        <w:t>cf-art-175-par-unico-inc-III</w:t>
      </w:r>
      <w:r>
        <w:rPr>
          <w:color w:val="003CA0"/>
          <w:sz w:val="12"/>
        </w:rPr>
        <w:t xml:space="preserve"> | ADI 3.225</w:t>
      </w:r>
      <w:r>
        <w:rPr>
          <w:color w:val="003CA0"/>
          <w:sz w:val="12"/>
        </w:rPr>
        <w:t xml:space="preserve"> | rel. Cezar Peluso</w:t>
      </w:r>
    </w:p>
    <w:p>
      <w:pPr>
        <w:ind w:left="288"/>
      </w:pPr>
      <w:r>
        <w:rPr>
          <w:color w:val="1E1E1E"/>
          <w:sz w:val="18"/>
        </w:rPr>
        <w:t>(...) a exigência constante do art. 112, § 2º, da Constituição fluminense consagra mera restrição material à atividade do legislador estadual, que com ela se vê impedido de conceder gratuidade sem proceder à necessária indicação da fonte de custeio. É assente a jurisprudência da Corte no sentido de que as regras do processo legislativo federal que devem [ser] reproduzidas no âmbito estadual são apenas as de cunho substantivo, coisa que se não reconhece ao dispositivo atacado. É que este não se destina a promover alterações no perfil do processo legislativo, considerado em si mesmo; volta-se, a</w:t>
      </w:r>
    </w:p>
    <w:p>
      <w:pPr>
        <w:ind w:left="288"/>
      </w:pPr>
      <w:r>
        <w:rPr>
          <w:b/>
          <w:color w:val="003CA0"/>
          <w:sz w:val="16"/>
        </w:rPr>
        <w:t>[ADI 3.225, voto do rel. min. Cezar Peluso, j. 17-9-2007, P, DJ de 26-10-2007.]</w:t>
      </w:r>
    </w:p>
    <w:p>
      <w:pPr>
        <w:ind w:left="288"/>
      </w:pPr>
      <w:r>
        <w:rPr>
          <w:color w:val="8C8C8C"/>
          <w:sz w:val="12"/>
        </w:rPr>
        <w:t>cf-art-175-par-unico-inc-III</w:t>
      </w:r>
      <w:r>
        <w:rPr>
          <w:color w:val="003CA0"/>
          <w:sz w:val="12"/>
        </w:rPr>
        <w:t xml:space="preserve"> | RE 1.538.690</w:t>
      </w:r>
      <w:r>
        <w:rPr>
          <w:color w:val="003CA0"/>
          <w:sz w:val="12"/>
        </w:rPr>
        <w:t xml:space="preserve"> | rel. Luís Roberto Barroso</w:t>
      </w:r>
    </w:p>
    <w:p>
      <w:pPr>
        <w:ind w:left="288"/>
      </w:pPr>
      <w:r>
        <w:rPr>
          <w:color w:val="1E1E1E"/>
          <w:sz w:val="18"/>
        </w:rPr>
        <w:t>“É infraconstitucional a controvérsia sobre o excesso de poder regulamentar de atos do Poder Executivo que disciplinam a destinação de recursos da Conta de Desenvolvimento Energético (CDE)”.</w:t>
      </w:r>
    </w:p>
    <w:p>
      <w:pPr>
        <w:ind w:left="288"/>
      </w:pPr>
      <w:r>
        <w:rPr>
          <w:b/>
          <w:color w:val="003CA0"/>
          <w:sz w:val="16"/>
        </w:rPr>
        <w:t>[RE 1.538.690 RG, rel. min. Luís Roberto Barroso, j. 11.04.2025, P, DJE de 30.05.2025, Tema 1.387, com repercussão geral negada.]</w:t>
      </w:r>
    </w:p>
    <w:p>
      <w:pPr>
        <w:ind w:left="144"/>
      </w:pPr>
      <w:r>
        <w:rPr>
          <w:b/>
          <w:color w:val="B45A00"/>
          <w:sz w:val="16"/>
        </w:rPr>
        <w:t>REPERCUSSAO GERAL</w:t>
      </w:r>
    </w:p>
    <w:p>
      <w:pPr>
        <w:ind w:left="288"/>
      </w:pPr>
      <w:r>
        <w:rPr>
          <w:color w:val="8C8C8C"/>
          <w:sz w:val="12"/>
        </w:rPr>
        <w:t>cf-art-175-par-unico-inc-III</w:t>
      </w:r>
      <w:r>
        <w:rPr>
          <w:color w:val="003CA0"/>
          <w:sz w:val="12"/>
        </w:rPr>
        <w:t xml:space="preserve"> | RE 576.189</w:t>
      </w:r>
      <w:r>
        <w:rPr>
          <w:color w:val="003CA0"/>
          <w:sz w:val="12"/>
        </w:rPr>
        <w:t xml:space="preserve"> | rel. Ricardo Lewandowski</w:t>
      </w:r>
    </w:p>
    <w:p>
      <w:pPr>
        <w:ind w:left="288"/>
      </w:pPr>
      <w:r>
        <w:rPr>
          <w:color w:val="1E1E1E"/>
          <w:sz w:val="18"/>
        </w:rPr>
        <w:t>Os encargos de capacidade emergencial e de aquisição de energia elétrica emergencial, instituídos pela Lei 10.438/2002, não possuem natureza tributária. Encargos destituídos de compulsoriedade, razão pela qual correspondem a tarifas ou preços públicos. Verbas que constituem receita originária e privada, destinada a remunerar concessionárias, permissionárias e autorizadas pelos custos do serviço, incluindo sua manutenção, melhora e expansão, e medidas para prevenir momentos de escassez. O art. 175, III, da CF autoriza a subordinação dos referidos encargos à política tarifária governamental.</w:t>
        <w:br/>
        <w:t>[RE</w:t>
      </w:r>
    </w:p>
    <w:p>
      <w:pPr>
        <w:ind w:left="144"/>
      </w:pPr>
      <w:r>
        <w:rPr>
          <w:b/>
          <w:color w:val="B45A00"/>
          <w:sz w:val="16"/>
        </w:rPr>
        <w:t>JULGADOS CORRELATOS</w:t>
      </w:r>
    </w:p>
    <w:p>
      <w:pPr>
        <w:ind w:left="288"/>
      </w:pPr>
      <w:r>
        <w:rPr>
          <w:color w:val="8C8C8C"/>
          <w:sz w:val="12"/>
        </w:rPr>
        <w:t>cf-art-175-par-unico-inc-III</w:t>
      </w:r>
      <w:r>
        <w:rPr>
          <w:color w:val="003CA0"/>
          <w:sz w:val="12"/>
        </w:rPr>
        <w:t xml:space="preserve"> | RE 544.289</w:t>
      </w:r>
      <w:r>
        <w:rPr>
          <w:color w:val="003CA0"/>
          <w:sz w:val="12"/>
        </w:rPr>
        <w:t xml:space="preserve"> | rel. Ricardo Lewandowski</w:t>
      </w:r>
    </w:p>
    <w:p>
      <w:pPr>
        <w:ind w:left="288"/>
      </w:pPr>
      <w:r>
        <w:rPr>
          <w:color w:val="1E1E1E"/>
          <w:sz w:val="18"/>
        </w:rPr>
        <w:t>O quantitativo cobrado dos usuários das redes de água e esgoto é tido como preço público.</w:t>
      </w:r>
    </w:p>
    <w:p>
      <w:pPr>
        <w:ind w:left="288"/>
      </w:pPr>
      <w:r>
        <w:rPr>
          <w:b/>
          <w:color w:val="003CA0"/>
          <w:sz w:val="16"/>
        </w:rPr>
        <w:t>[RE 544.289 AgR, rel. min. Ricardo Lewandowski, j. 26-5-2009, 1ª T, DJE de 19-6-2009.]</w:t>
      </w:r>
    </w:p>
    <w:p>
      <w:pPr>
        <w:ind w:left="288"/>
      </w:pPr>
      <w:r>
        <w:rPr>
          <w:color w:val="8C8C8C"/>
          <w:sz w:val="12"/>
        </w:rPr>
        <w:t>cf-art-175-par-unico-inc-III</w:t>
      </w:r>
      <w:r>
        <w:rPr>
          <w:color w:val="003CA0"/>
          <w:sz w:val="12"/>
        </w:rPr>
        <w:t xml:space="preserve"> | RE 581.085</w:t>
      </w:r>
      <w:r>
        <w:rPr>
          <w:color w:val="003CA0"/>
          <w:sz w:val="12"/>
        </w:rPr>
        <w:t xml:space="preserve"> | rel. Dias Toffoli</w:t>
      </w:r>
    </w:p>
    <w:p>
      <w:pPr>
        <w:ind w:left="288"/>
      </w:pPr>
      <w:r>
        <w:rPr>
          <w:color w:val="1E1E1E"/>
          <w:sz w:val="18"/>
        </w:rPr>
        <w:t>= RE 581.085 ED-AgR, rel. min. Dias Toffoli, j. 25-9-2012, 1ª T, DJE de 25-9-2012</w:t>
      </w:r>
    </w:p>
    <w:p>
      <w:pPr>
        <w:ind w:left="144"/>
      </w:pPr>
      <w:r>
        <w:rPr>
          <w:b/>
          <w:color w:val="B45A00"/>
          <w:sz w:val="16"/>
        </w:rPr>
        <w:t>CONTROLE CONCENTRADO</w:t>
      </w:r>
    </w:p>
    <w:p>
      <w:pPr>
        <w:ind w:left="288"/>
      </w:pPr>
      <w:r>
        <w:rPr>
          <w:color w:val="8C8C8C"/>
          <w:sz w:val="12"/>
        </w:rPr>
        <w:t>cf-art-175-par-unico-inc-IV</w:t>
      </w:r>
      <w:r>
        <w:rPr>
          <w:color w:val="003CA0"/>
          <w:sz w:val="12"/>
        </w:rPr>
        <w:t xml:space="preserve"> | ADI 3.944</w:t>
      </w:r>
      <w:r>
        <w:rPr>
          <w:color w:val="003CA0"/>
          <w:sz w:val="12"/>
        </w:rPr>
        <w:t xml:space="preserve"> | rel. Ayres Britto</w:t>
      </w:r>
    </w:p>
    <w:p>
      <w:pPr>
        <w:ind w:left="288"/>
      </w:pPr>
      <w:r>
        <w:rPr>
          <w:color w:val="1E1E1E"/>
          <w:sz w:val="18"/>
        </w:rPr>
        <w:t>Consignação de canal de radiofrequência (ou autorização de uso de espectro de radiofrequência) não se confunde com concessão ou autorização do serviço público de radiodifusão de sons e imagens. A primeira (consignação), regulada pela Lei 9.472/1997, é acessória da segunda (concessão ou permissão). A norma inscrita no art. 7º do Decreto 5.820/2006 (e também nos arts. 8º a 10) cuida de autorização de uso do espectro de radiofrequências, e não de outorga de concessão do serviço público de radiodifusão de sons e imagens. O que se deu, na verdade, foi o seguinte: diante da evolução tecnológica, e p</w:t>
      </w:r>
    </w:p>
    <w:p>
      <w:pPr>
        <w:ind w:left="288"/>
      </w:pPr>
      <w:r>
        <w:rPr>
          <w:b/>
          <w:color w:val="003CA0"/>
          <w:sz w:val="16"/>
        </w:rPr>
        <w:t>[ADI 3.944, rel. min. Ayres Britto, j. 5-8-2010, P, DJE de 1º-10-2010.]</w:t>
      </w:r>
    </w:p>
    <w:p>
      <w:pPr>
        <w:ind w:left="720"/>
      </w:pPr>
      <w:r>
        <w:rPr>
          <w:color w:val="003366"/>
          <w:sz w:val="18"/>
        </w:rPr>
        <w:t>I – o regime das empresas concessionárias e permissionárias de serviços públicos</w:t>
      </w:r>
    </w:p>
    <w:p>
      <w:pPr>
        <w:ind w:left="720"/>
      </w:pPr>
      <w:r>
        <w:rPr>
          <w:color w:val="003366"/>
          <w:sz w:val="18"/>
        </w:rPr>
        <w:t>II – os direitos dos usuários;</w:t>
      </w:r>
    </w:p>
    <w:p>
      <w:pPr>
        <w:ind w:left="720"/>
      </w:pPr>
      <w:r>
        <w:rPr>
          <w:color w:val="003366"/>
          <w:sz w:val="18"/>
        </w:rPr>
        <w:t>III – política tarifária;</w:t>
      </w:r>
    </w:p>
    <w:p>
      <w:pPr>
        <w:ind w:left="720"/>
      </w:pPr>
      <w:r>
        <w:rPr>
          <w:color w:val="003366"/>
          <w:sz w:val="18"/>
        </w:rPr>
        <w:t>IV – a obrigação de manter serviço adequado.</w:t>
      </w:r>
    </w:p>
    <w:p>
      <w:r>
        <w:rPr>
          <w:b/>
          <w:color w:val="003366"/>
          <w:sz w:val="20"/>
        </w:rPr>
        <w:t>Art. 176 As jazidas, em lavra ou não, e demais recursos minerais e os potenciais</w:t>
      </w:r>
      <w:r>
        <w:rPr>
          <w:color w:val="8C8C8C"/>
          <w:sz w:val="14"/>
        </w:rPr>
        <w:t xml:space="preserve">  [8 decisoes]</w:t>
      </w:r>
    </w:p>
    <w:p>
      <w:pPr>
        <w:ind w:left="144"/>
      </w:pPr>
      <w:r>
        <w:rPr>
          <w:b/>
          <w:color w:val="B45A00"/>
          <w:sz w:val="16"/>
        </w:rPr>
        <w:t>CONTROLE CONCENTRADO</w:t>
      </w:r>
    </w:p>
    <w:p>
      <w:pPr>
        <w:ind w:left="288"/>
      </w:pPr>
      <w:r>
        <w:rPr>
          <w:color w:val="8C8C8C"/>
          <w:sz w:val="12"/>
        </w:rPr>
        <w:t>cf-art-176</w:t>
      </w:r>
      <w:r>
        <w:rPr>
          <w:color w:val="003CA0"/>
          <w:sz w:val="12"/>
        </w:rPr>
        <w:t xml:space="preserve"> | ADI 3.273</w:t>
      </w:r>
    </w:p>
    <w:p>
      <w:pPr>
        <w:ind w:left="288"/>
      </w:pPr>
      <w:r>
        <w:rPr>
          <w:color w:val="1E1E1E"/>
          <w:sz w:val="18"/>
        </w:rPr>
        <w:t>O conceito de monopólio pressupõe apenas um agente apto a desenvolver as atividades econômicas a ele correspondentes. Não se presta a explicitar características da propriedade, que é sempre exclusiva, sendo redundantes e desprovidas de significado as expressões "monopólio da propriedade" ou "monopólio do bem". (...) A Constituição do Brasil enumera atividades que consubstanciam monopólio da União (art. 177) e os bens que são de sua exclusiva propriedade (art. 20). A existência ou o desenvolvimento de uma atividade econômica sem que a propriedade do bem empregado no processo produtivo ou comerc</w:t>
      </w:r>
    </w:p>
    <w:p>
      <w:pPr>
        <w:ind w:left="288"/>
      </w:pPr>
      <w:r>
        <w:rPr>
          <w:b/>
          <w:color w:val="003CA0"/>
          <w:sz w:val="16"/>
        </w:rPr>
        <w:t>[ADI 3.273 e ADI 3.366, red. do ac. min. Eros Grau, j. 16-3-2005, P, DJ de 2-3-2007.]</w:t>
      </w:r>
    </w:p>
    <w:p>
      <w:pPr>
        <w:ind w:left="144"/>
      </w:pPr>
      <w:r>
        <w:rPr>
          <w:b/>
          <w:color w:val="B45A00"/>
          <w:sz w:val="16"/>
        </w:rPr>
        <w:t>JULGADOS CORRELATOS</w:t>
      </w:r>
    </w:p>
    <w:p>
      <w:pPr>
        <w:ind w:left="288"/>
      </w:pPr>
      <w:r>
        <w:rPr>
          <w:color w:val="8C8C8C"/>
          <w:sz w:val="12"/>
        </w:rPr>
        <w:t>cf-art-176</w:t>
      </w:r>
      <w:r>
        <w:rPr>
          <w:color w:val="003CA0"/>
          <w:sz w:val="12"/>
        </w:rPr>
        <w:t xml:space="preserve"> | RE 189.964</w:t>
      </w:r>
      <w:r>
        <w:rPr>
          <w:color w:val="003CA0"/>
          <w:sz w:val="12"/>
        </w:rPr>
        <w:t xml:space="preserve"> | rel. Carlos Velloso</w:t>
      </w:r>
    </w:p>
    <w:p>
      <w:pPr>
        <w:ind w:left="288"/>
      </w:pPr>
      <w:r>
        <w:rPr>
          <w:color w:val="1E1E1E"/>
          <w:sz w:val="18"/>
        </w:rPr>
        <w:t>Jazidas de minerais, areia, pedras e cascalho: não são indenizáveis, em princípio, salvo existência de concessão de lavra.</w:t>
      </w:r>
    </w:p>
    <w:p>
      <w:pPr>
        <w:ind w:left="288"/>
      </w:pPr>
      <w:r>
        <w:rPr>
          <w:b/>
          <w:color w:val="003CA0"/>
          <w:sz w:val="16"/>
        </w:rPr>
        <w:t>[RE 189.964, rel. min. Carlos Velloso, j. 7-5-1996, 2ª T, DJ de 21-6-1996.]</w:t>
      </w:r>
    </w:p>
    <w:p>
      <w:pPr>
        <w:ind w:left="288"/>
      </w:pPr>
      <w:r>
        <w:rPr>
          <w:color w:val="8C8C8C"/>
          <w:sz w:val="12"/>
        </w:rPr>
        <w:t>cf-art-176</w:t>
      </w:r>
      <w:r>
        <w:rPr>
          <w:color w:val="003CA0"/>
          <w:sz w:val="12"/>
        </w:rPr>
        <w:t xml:space="preserve"> | RE 140.254</w:t>
      </w:r>
      <w:r>
        <w:rPr>
          <w:color w:val="003CA0"/>
          <w:sz w:val="12"/>
        </w:rPr>
        <w:t xml:space="preserve"> | rel. Celso de Mello</w:t>
      </w:r>
    </w:p>
    <w:p>
      <w:pPr>
        <w:ind w:left="288"/>
      </w:pPr>
      <w:r>
        <w:rPr>
          <w:color w:val="1E1E1E"/>
          <w:sz w:val="18"/>
        </w:rPr>
        <w:t>O sistema de direito constitucional positivo vigente no Brasil – fiel à tradição republicana iniciada com a Constituição de 1934 instituiu verdadeira separação jurídica entre a propriedade do solo e a propriedade mineral (que incide sobre as jazidas, em lavra ou não, e demais recursos minerais existentes no imóvel) e atribuiu, à União Federal, a titularidade da propriedade mineral, para o específico efeito de exploração econômica e/ou de aproveitamento industrial. A propriedade mineral submete-se ao regime de dominialidade pública. Os bens que a compõem qualificam-se como bens públicos dominia</w:t>
      </w:r>
    </w:p>
    <w:p>
      <w:pPr>
        <w:ind w:left="288"/>
      </w:pPr>
      <w:r>
        <w:rPr>
          <w:b/>
          <w:color w:val="003CA0"/>
          <w:sz w:val="16"/>
        </w:rPr>
        <w:t>[RE 140.254 AgR, rel. min. Celso de Mello, j. 5-12-1995, 1ª T, DJ de 6-6-1997.]</w:t>
      </w:r>
    </w:p>
    <w:p>
      <w:pPr>
        <w:ind w:left="288"/>
      </w:pPr>
      <w:r>
        <w:rPr>
          <w:color w:val="8C8C8C"/>
          <w:sz w:val="12"/>
        </w:rPr>
        <w:t>cf-art-176</w:t>
      </w:r>
    </w:p>
    <w:p>
      <w:pPr>
        <w:ind w:left="288"/>
      </w:pPr>
      <w:r>
        <w:rPr>
          <w:color w:val="1E1E1E"/>
          <w:sz w:val="18"/>
        </w:rPr>
        <w:t>§ 1º A pesquisa e a lavra de recursos minerais e o aproveitamento dos potenciais a que se refere o caput deste artigo somente poderão ser efetuados mediante autorização ou concessão da União, no interesse nacional, por brasileiros ou empresa constituída sob as leis brasileiras e que tenha sua sede e administração no País, na forma da lei, que estabelecerá as condições específicas quando essas atividades se desenvolverem em faixa de fronteira ou terras indígenas. (Redação da EC 6/1995)</w:t>
      </w:r>
    </w:p>
    <w:p>
      <w:pPr>
        <w:ind w:left="144"/>
      </w:pPr>
      <w:r>
        <w:rPr>
          <w:b/>
          <w:color w:val="B45A00"/>
          <w:sz w:val="16"/>
        </w:rPr>
        <w:t>CONTROLE CONCENTRADO</w:t>
      </w:r>
    </w:p>
    <w:p>
      <w:pPr>
        <w:ind w:left="288"/>
      </w:pPr>
      <w:r>
        <w:rPr>
          <w:color w:val="8C8C8C"/>
          <w:sz w:val="12"/>
        </w:rPr>
        <w:t>cf-art-176</w:t>
      </w:r>
      <w:r>
        <w:rPr>
          <w:color w:val="003CA0"/>
          <w:sz w:val="12"/>
        </w:rPr>
        <w:t xml:space="preserve"> | ADI 2.005-6</w:t>
      </w:r>
      <w:r>
        <w:rPr>
          <w:color w:val="003CA0"/>
          <w:sz w:val="12"/>
        </w:rPr>
        <w:t xml:space="preserve"> | rel. Néri da Silveira</w:t>
      </w:r>
    </w:p>
    <w:p>
      <w:pPr>
        <w:ind w:left="288"/>
      </w:pPr>
      <w:r>
        <w:rPr>
          <w:color w:val="1E1E1E"/>
          <w:sz w:val="18"/>
        </w:rPr>
        <w:t>De fato, não podem a medida provisória ou a GCE [Câmara de Gestão da Crise de Energia Elétrica], por via de delegação, dispor normativamente, de molde a afastar, pura e simplesmente, a aplicação de leis que se destinam à disciplina da regra maior do art. 176, § 1º, da Constituição, no que concerne a potencial hidráulico. De fato, esse dispositivo resultante da EC 6, de 15-8-1995, não pode ser objeto de disciplina por medida provisória, a teor do art. 246 da Constituição. Nesse sentido, o Plenário decidiu múltiplas vezes, a partir da decisão na ADI 2.005-6/DF.</w:t>
      </w:r>
    </w:p>
    <w:p>
      <w:pPr>
        <w:ind w:left="288"/>
      </w:pPr>
      <w:r>
        <w:rPr>
          <w:b/>
          <w:color w:val="003CA0"/>
          <w:sz w:val="16"/>
        </w:rPr>
        <w:t>[ADI 2.473 MC, voto do rel. min. Néri da Silveira, j. 13-9-2001, P, DJ de 7-11-2003.]</w:t>
      </w:r>
    </w:p>
    <w:p>
      <w:pPr>
        <w:ind w:left="288"/>
      </w:pPr>
      <w:r>
        <w:rPr>
          <w:color w:val="8C8C8C"/>
          <w:sz w:val="12"/>
        </w:rPr>
        <w:t>cf-art-176</w:t>
      </w:r>
      <w:r>
        <w:rPr>
          <w:color w:val="003CA0"/>
          <w:sz w:val="12"/>
        </w:rPr>
        <w:t xml:space="preserve"> | ADI 1.597</w:t>
      </w:r>
      <w:r>
        <w:rPr>
          <w:color w:val="003CA0"/>
          <w:sz w:val="12"/>
        </w:rPr>
        <w:t xml:space="preserve"> | rel. Flávio Dino</w:t>
      </w:r>
    </w:p>
    <w:p>
      <w:pPr>
        <w:ind w:left="288"/>
      </w:pPr>
      <w:r>
        <w:rPr>
          <w:color w:val="1E1E1E"/>
          <w:sz w:val="18"/>
        </w:rPr>
        <w:t xml:space="preserve">= ADI 1.597 MC, red. do ac. min. Maurício Corrêa, j. 19-11-1997, P, DJ de 19-12-2002 Omissão legislativa verificada, em virtude de quase 37 anos de inércia quanto à edição de leis reclamadas pelos arts. 176, § 1º, e 231, CF. Demonstração da atual impossibilidade de os povos indígenas perceberem quaisquer resultados do empreendimento hidrelétrico de Belo Monte e outros similares. O direito dos povos indígenas sobre seus territórios tradicionais, o dever de proteção a esse direito e o estabelecimento de mecanismos de reparação por danos decorrentes da exploração de recursos presentes nas terras </w:t>
      </w:r>
    </w:p>
    <w:p>
      <w:pPr>
        <w:ind w:left="288"/>
      </w:pPr>
      <w:r>
        <w:rPr>
          <w:b/>
          <w:color w:val="003CA0"/>
          <w:sz w:val="16"/>
        </w:rPr>
        <w:t>[MI 7.490 MC-REF, rel. min. Flávio Dino, j. 25.06.2025, P, DJE de 16.07.2025.]</w:t>
      </w:r>
    </w:p>
    <w:p>
      <w:pPr>
        <w:ind w:left="144"/>
      </w:pPr>
      <w:r>
        <w:rPr>
          <w:b/>
          <w:color w:val="B45A00"/>
          <w:sz w:val="16"/>
        </w:rPr>
        <w:t>JULGADOS CORRELATOS</w:t>
      </w:r>
    </w:p>
    <w:p>
      <w:pPr>
        <w:ind w:left="288"/>
      </w:pPr>
      <w:r>
        <w:rPr>
          <w:color w:val="8C8C8C"/>
          <w:sz w:val="12"/>
        </w:rPr>
        <w:t>cf-art-176</w:t>
      </w:r>
      <w:r>
        <w:rPr>
          <w:color w:val="003CA0"/>
          <w:sz w:val="12"/>
        </w:rPr>
        <w:t xml:space="preserve"> | RE 140.254</w:t>
      </w:r>
      <w:r>
        <w:rPr>
          <w:color w:val="003CA0"/>
          <w:sz w:val="12"/>
        </w:rPr>
        <w:t xml:space="preserve"> | rel. Celso de Mello</w:t>
      </w:r>
    </w:p>
    <w:p>
      <w:pPr>
        <w:ind w:left="288"/>
      </w:pPr>
      <w:r>
        <w:rPr>
          <w:color w:val="1E1E1E"/>
          <w:sz w:val="18"/>
        </w:rPr>
        <w:t xml:space="preserve">O sistema minerário vigente no Brasil atribui, à concessão de lavra – que constitui verdadeira res in commercio –, caráter negocial e conteúdo de natureza econômico-financeira. O impedimento causado pelo poder público na exploração empresarial das jazidas legitimamente concedidas gera o dever estatal de indenizar o minerador que detém, por efeito de regular delegação presidencial, o direito de industrializar e de aproveitar o produto resultante da extração mineral. Objeto de indenização há de ser o título de concessão de lavra, enquanto bem jurídico suscetível de apreciação econômica, e não a </w:t>
      </w:r>
    </w:p>
    <w:p>
      <w:pPr>
        <w:ind w:left="288"/>
      </w:pPr>
      <w:r>
        <w:rPr>
          <w:b/>
          <w:color w:val="003CA0"/>
          <w:sz w:val="16"/>
        </w:rPr>
        <w:t>[RE 140.254 AgR, rel. min. Celso de Mello, j. 5-12-1995, 1ª T, DJ de 6-6-1997.]</w:t>
      </w:r>
    </w:p>
    <w:p>
      <w:pPr>
        <w:ind w:left="288"/>
      </w:pPr>
      <w:r>
        <w:rPr>
          <w:color w:val="8C8C8C"/>
          <w:sz w:val="12"/>
        </w:rPr>
        <w:t>cf-art-176-par-2</w:t>
      </w:r>
      <w:r>
        <w:rPr>
          <w:color w:val="003CA0"/>
          <w:sz w:val="12"/>
        </w:rPr>
        <w:t xml:space="preserve"> | RE 228.800</w:t>
      </w:r>
      <w:r>
        <w:rPr>
          <w:color w:val="003CA0"/>
          <w:sz w:val="12"/>
        </w:rPr>
        <w:t xml:space="preserve"> | rel. Sepúlveda Pertence</w:t>
      </w:r>
    </w:p>
    <w:p>
      <w:pPr>
        <w:ind w:left="288"/>
      </w:pPr>
      <w:r>
        <w:rPr>
          <w:color w:val="1E1E1E"/>
          <w:sz w:val="18"/>
        </w:rPr>
        <w:t xml:space="preserve">Na verdade – na alternativa que lhe confiara a Lei fundamental – o que a Lei 7.990/1989 instituiu, ao estabelecer no art. 6º que “a compensação financeira pela exploração de recursos minerais, para fins de aproveitamento econômico, será de até 3% sobre o valor do faturamento líquido resultante da venda do produto mineral”, não foi verdadeira compensação financeira: foi, sim, genuína “participação no resultado da exploração”, entendido o resultado não como o lucro do explorador, mas como aquilo que resulta da exploração, interpretação que revela o paralelo existente entre a norma do art. 20, § </w:t>
      </w:r>
    </w:p>
    <w:p>
      <w:pPr>
        <w:ind w:left="288"/>
      </w:pPr>
      <w:r>
        <w:rPr>
          <w:b/>
          <w:color w:val="003CA0"/>
          <w:sz w:val="16"/>
        </w:rPr>
        <w:t>[RE 228.800, voto do rel. min. Sepúlveda Pertence, j. 25-9-2001, 1ª T, DJ de 16-11-2001.]</w:t>
      </w:r>
    </w:p>
    <w:p>
      <w:pPr>
        <w:ind w:left="432"/>
      </w:pPr>
      <w:r>
        <w:rPr>
          <w:color w:val="003366"/>
          <w:sz w:val="18"/>
        </w:rPr>
        <w:t xml:space="preserve">§ 1 A pesquisa e a lavra de recursos minerais e o aproveitamento dos potenciais </w:t>
      </w:r>
    </w:p>
    <w:p>
      <w:pPr>
        <w:ind w:left="432"/>
      </w:pPr>
      <w:r>
        <w:rPr>
          <w:color w:val="003366"/>
          <w:sz w:val="18"/>
        </w:rPr>
        <w:t>§ 2 É assegurada participação ao proprietário do solo nos resultados da lavra, n</w:t>
      </w:r>
    </w:p>
    <w:p>
      <w:pPr>
        <w:ind w:left="432"/>
      </w:pPr>
      <w:r>
        <w:rPr>
          <w:color w:val="003366"/>
          <w:sz w:val="18"/>
        </w:rPr>
        <w:t>§ 3 A autorização de pesquisa será sempre por prazo determinado, e as autorizaçõ</w:t>
      </w:r>
    </w:p>
    <w:p>
      <w:pPr>
        <w:ind w:left="432"/>
      </w:pPr>
      <w:r>
        <w:rPr>
          <w:color w:val="003366"/>
          <w:sz w:val="18"/>
        </w:rPr>
        <w:t>§ 4 Não dependerá de autorização ou concessão o aproveitamento do potencial de e</w:t>
      </w:r>
    </w:p>
    <w:p>
      <w:r>
        <w:rPr>
          <w:b/>
          <w:color w:val="003366"/>
          <w:sz w:val="20"/>
        </w:rPr>
        <w:t>Art. 177 Constituem monopólio da União:</w:t>
      </w:r>
      <w:r>
        <w:rPr>
          <w:color w:val="8C8C8C"/>
          <w:sz w:val="14"/>
        </w:rPr>
        <w:t xml:space="preserve">  [6 decisoes]</w:t>
      </w:r>
    </w:p>
    <w:p>
      <w:pPr>
        <w:ind w:left="288"/>
      </w:pPr>
      <w:r>
        <w:rPr>
          <w:color w:val="8C8C8C"/>
          <w:sz w:val="12"/>
        </w:rPr>
        <w:t>cf-art-177-inc-III</w:t>
      </w:r>
    </w:p>
    <w:p>
      <w:pPr>
        <w:ind w:left="288"/>
      </w:pPr>
      <w:r>
        <w:rPr>
          <w:color w:val="1E1E1E"/>
          <w:sz w:val="18"/>
        </w:rPr>
        <w:t>IV - o transporte marítimo do petróleo bruto de origem nacional ou de derivados básicos de petróleo produzidos no País, bem assim o transporte, por meio de conduto, de petróleo bruto, seus derivados e gás natural de qualquer origem; (Vide EC 9/1995) V - a pesquisa, a lavra, o enriquecimento, o reprocessamento, a industrialização e o comércio de minérios e minerais nucleares e seus derivados, com exceção dos radioisótopos cuja produção, comercialização e utilização poderão ser autorizadas sob regime de permissão, conforme as alíneas b e c do inciso XXIII do caput do art. 21 desta Constituição F</w:t>
      </w:r>
    </w:p>
    <w:p>
      <w:pPr>
        <w:ind w:left="144"/>
      </w:pPr>
      <w:r>
        <w:rPr>
          <w:b/>
          <w:color w:val="B45A00"/>
          <w:sz w:val="16"/>
        </w:rPr>
        <w:t>CONTROLE CONCENTRADO</w:t>
      </w:r>
    </w:p>
    <w:p>
      <w:pPr>
        <w:ind w:left="288"/>
      </w:pPr>
      <w:r>
        <w:rPr>
          <w:color w:val="8C8C8C"/>
          <w:sz w:val="12"/>
        </w:rPr>
        <w:t>cf-art-177-par-1</w:t>
      </w:r>
      <w:r>
        <w:rPr>
          <w:color w:val="003CA0"/>
          <w:sz w:val="12"/>
        </w:rPr>
        <w:t xml:space="preserve"> | ADI 3.273</w:t>
      </w:r>
    </w:p>
    <w:p>
      <w:pPr>
        <w:ind w:left="288"/>
      </w:pPr>
      <w:r>
        <w:rPr>
          <w:color w:val="1E1E1E"/>
          <w:sz w:val="18"/>
        </w:rPr>
        <w:t>O conceito de monopólio pressupõe apenas um agente apto a desenvolver as atividades econômicas a ele correspondentes. Não se presta a explicitar características da propriedade, que é sempre exclusiva, sendo redundantes e desprovidas de significado as expressões "monopólio da propriedade" ou "monopólio do bem". (...) A Constituição do Brasil enumera atividades que consubstanciam monopólio da União (art. 177) e os bens que são de sua exclusiva propriedade (art. 20). A existência ou o desenvolvimento de uma atividade econômica sem que a propriedade do bem empregado no processo produtivo ou comerc</w:t>
      </w:r>
    </w:p>
    <w:p>
      <w:pPr>
        <w:ind w:left="288"/>
      </w:pPr>
      <w:r>
        <w:rPr>
          <w:b/>
          <w:color w:val="003CA0"/>
          <w:sz w:val="16"/>
        </w:rPr>
        <w:t>[ADI 3.273 e ADI 3.366, red. do ac. min. Eros Grau, j. 16-3-2005, P, DJ de 2-3-2007.]</w:t>
      </w:r>
    </w:p>
    <w:p>
      <w:pPr>
        <w:ind w:left="144"/>
      </w:pPr>
      <w:r>
        <w:rPr>
          <w:b/>
          <w:color w:val="B45A00"/>
          <w:sz w:val="16"/>
        </w:rPr>
        <w:t>JULGADOS CORRELATOS</w:t>
      </w:r>
    </w:p>
    <w:p>
      <w:pPr>
        <w:ind w:left="288"/>
      </w:pPr>
      <w:r>
        <w:rPr>
          <w:color w:val="8C8C8C"/>
          <w:sz w:val="12"/>
        </w:rPr>
        <w:t>cf-art-177-par-2</w:t>
      </w:r>
      <w:r>
        <w:rPr>
          <w:color w:val="003CA0"/>
          <w:sz w:val="12"/>
        </w:rPr>
        <w:t xml:space="preserve"> | RE 229.440</w:t>
      </w:r>
      <w:r>
        <w:rPr>
          <w:color w:val="003CA0"/>
          <w:sz w:val="12"/>
        </w:rPr>
        <w:t xml:space="preserve"> | rel. Ilmar Galvão</w:t>
      </w:r>
    </w:p>
    <w:p>
      <w:pPr>
        <w:ind w:left="288"/>
      </w:pPr>
      <w:r>
        <w:rPr>
          <w:color w:val="1E1E1E"/>
          <w:sz w:val="18"/>
        </w:rPr>
        <w:t>Combustíveis derivados de petróleo e álcool carburante. Produtos vedados ao transportador-revendedor-retalhista. Portaria 250/1991 do antigo Ministério da Infraestrutura. Alegada ofensa ao art. 170, parágrafo único, da Constituição. Ato ministerial que se limita a explicitar os termos da Resolução 4, de 24-5-1988, legitimamente editada pelo antigo Conselho Nacional de Petróleo, no exercício de atribuição que lhe fora conferida pelo DL 395, de 29-4-1983, que limitou a atividade do transportador-revendedor-retalhista à entrega, a domicílio, de óleo diesel, óleos combustíveis e querosene iluminan</w:t>
      </w:r>
    </w:p>
    <w:p>
      <w:pPr>
        <w:ind w:left="288"/>
      </w:pPr>
      <w:r>
        <w:rPr>
          <w:b/>
          <w:color w:val="003CA0"/>
          <w:sz w:val="16"/>
        </w:rPr>
        <w:t>[RE 229.440, rel. min. Ilmar Galvão, j. 15-6-1999, 1ª T, DJ de 5-11-1999.]</w:t>
      </w:r>
    </w:p>
    <w:p>
      <w:pPr>
        <w:ind w:left="288"/>
      </w:pPr>
      <w:r>
        <w:rPr>
          <w:color w:val="8C8C8C"/>
          <w:sz w:val="12"/>
        </w:rPr>
        <w:t>cf-art-177-par-2</w:t>
      </w:r>
      <w:r>
        <w:rPr>
          <w:color w:val="003CA0"/>
          <w:sz w:val="12"/>
        </w:rPr>
        <w:t xml:space="preserve"> | AI 636.883</w:t>
      </w:r>
      <w:r>
        <w:rPr>
          <w:color w:val="003CA0"/>
          <w:sz w:val="12"/>
        </w:rPr>
        <w:t xml:space="preserve"> | rel. Cármen Lúcia</w:t>
      </w:r>
    </w:p>
    <w:p>
      <w:pPr>
        <w:ind w:left="288"/>
      </w:pPr>
      <w:r>
        <w:rPr>
          <w:color w:val="1E1E1E"/>
          <w:sz w:val="18"/>
        </w:rPr>
        <w:t>= AI 636.883 AgR, rel. min. Cármen Lúcia, j. 8-2-2011, 1ª T, DJE de 1º-3-2011</w:t>
      </w:r>
    </w:p>
    <w:p>
      <w:pPr>
        <w:ind w:left="144"/>
      </w:pPr>
      <w:r>
        <w:rPr>
          <w:b/>
          <w:color w:val="B45A00"/>
          <w:sz w:val="16"/>
        </w:rPr>
        <w:t>CONTROLE CONCENTRADO</w:t>
      </w:r>
    </w:p>
    <w:p>
      <w:pPr>
        <w:ind w:left="288"/>
      </w:pPr>
      <w:r>
        <w:rPr>
          <w:color w:val="8C8C8C"/>
          <w:sz w:val="12"/>
        </w:rPr>
        <w:t>cf-art-177-par-4-inc-II</w:t>
      </w:r>
      <w:r>
        <w:rPr>
          <w:color w:val="003CA0"/>
          <w:sz w:val="12"/>
        </w:rPr>
        <w:t xml:space="preserve"> | ADI 2.925</w:t>
      </w:r>
    </w:p>
    <w:p>
      <w:pPr>
        <w:ind w:left="288"/>
      </w:pPr>
      <w:r>
        <w:rPr>
          <w:color w:val="1E1E1E"/>
          <w:sz w:val="18"/>
        </w:rPr>
        <w:t>Lei orçamentária. Contribuição de Intervenção no Domínio Econômico. Importação e comercialização de petróleo e derivados, gás natural e derivados e álcool combustível. Cide. Destinação. Art. 177, § 4º, da CF. É inconstitucional interpretação da Lei Orçamentária 10.640, de 14-1-2003, que implique abertura de crédito suplementar em rubrica estranha à destinação do que arrecadado a partir do disposto no § 4º do art. 177 da CF, ante a natureza exaustiva das alíneas a, b e c do inciso II do citado parágrafo.</w:t>
      </w:r>
    </w:p>
    <w:p>
      <w:pPr>
        <w:ind w:left="288"/>
      </w:pPr>
      <w:r>
        <w:rPr>
          <w:b/>
          <w:color w:val="003CA0"/>
          <w:sz w:val="16"/>
        </w:rPr>
        <w:t>[ADI 2.925, red. do ac. min. Marco Aurélio, j. 19-12-2003, P, DJ de 14-3-2005.]</w:t>
      </w:r>
    </w:p>
    <w:p>
      <w:pPr>
        <w:ind w:left="144"/>
      </w:pPr>
      <w:r>
        <w:rPr>
          <w:b/>
          <w:color w:val="B45A00"/>
          <w:sz w:val="16"/>
        </w:rPr>
        <w:t>JULGADOS CORRELATOS</w:t>
      </w:r>
    </w:p>
    <w:p>
      <w:pPr>
        <w:ind w:left="288"/>
      </w:pPr>
      <w:r>
        <w:rPr>
          <w:color w:val="8C8C8C"/>
          <w:sz w:val="12"/>
        </w:rPr>
        <w:t>cf-art-177-par-4-inc-II</w:t>
      </w:r>
      <w:r>
        <w:rPr>
          <w:color w:val="003CA0"/>
          <w:sz w:val="12"/>
        </w:rPr>
        <w:t xml:space="preserve"> | RE 646.966</w:t>
      </w:r>
      <w:r>
        <w:rPr>
          <w:color w:val="003CA0"/>
          <w:sz w:val="12"/>
        </w:rPr>
        <w:t xml:space="preserve"> | rel. Cármen Lúcia</w:t>
      </w:r>
    </w:p>
    <w:p>
      <w:pPr>
        <w:ind w:left="288"/>
      </w:pPr>
      <w:r>
        <w:rPr>
          <w:color w:val="1E1E1E"/>
          <w:sz w:val="18"/>
        </w:rPr>
        <w:t>(...) o programa de equalização de custos de produção de cana-de-açúcar para a Região Nordeste constitui apenas uma das maneiras de o Estado implementar as medidas de intervenção no domínio econômico, não havendo que se falar em obrigatoriedade de repasse dos recursos da Contribuição de Intervenção no Domínio Econômico aos produtores de cana-de-açúcar daquela região.</w:t>
      </w:r>
    </w:p>
    <w:p>
      <w:pPr>
        <w:ind w:left="288"/>
      </w:pPr>
      <w:r>
        <w:rPr>
          <w:b/>
          <w:color w:val="003CA0"/>
          <w:sz w:val="16"/>
        </w:rPr>
        <w:t>[RE 646.966 AgR, voto da rel. min. Cármen Lúcia, j. 30-10-2012, 2ª T, DJE de 22-11-2012.]</w:t>
      </w:r>
    </w:p>
    <w:p>
      <w:pPr>
        <w:ind w:left="720"/>
      </w:pPr>
      <w:r>
        <w:rPr>
          <w:color w:val="003366"/>
          <w:sz w:val="18"/>
        </w:rPr>
        <w:t>I – a pesquisa e a lavra das jazidas de petróleo e gás natural e outros hidrocar</w:t>
      </w:r>
    </w:p>
    <w:p>
      <w:pPr>
        <w:ind w:left="720"/>
      </w:pPr>
      <w:r>
        <w:rPr>
          <w:color w:val="003366"/>
          <w:sz w:val="18"/>
        </w:rPr>
        <w:t>II – a refinação do petróleo nacional ou estrangeiro;</w:t>
      </w:r>
    </w:p>
    <w:p>
      <w:pPr>
        <w:ind w:left="720"/>
      </w:pPr>
      <w:r>
        <w:rPr>
          <w:color w:val="003366"/>
          <w:sz w:val="18"/>
        </w:rPr>
        <w:t>III – a importação e exportação dos produtos e derivados básicos resultantes das</w:t>
      </w:r>
    </w:p>
    <w:p>
      <w:pPr>
        <w:ind w:left="720"/>
      </w:pPr>
      <w:r>
        <w:rPr>
          <w:color w:val="003366"/>
          <w:sz w:val="18"/>
        </w:rPr>
        <w:t xml:space="preserve">IV – o transporte marítimo do petróleo bruto de origem nacional ou de derivados </w:t>
      </w:r>
    </w:p>
    <w:p>
      <w:pPr>
        <w:ind w:left="720"/>
      </w:pPr>
      <w:r>
        <w:rPr>
          <w:color w:val="003366"/>
          <w:sz w:val="18"/>
        </w:rPr>
        <w:t>V – a pesquisa, a lavra, o enriquecimento, o reprocessamento, a industrialização</w:t>
      </w:r>
    </w:p>
    <w:p>
      <w:pPr>
        <w:ind w:left="432"/>
      </w:pPr>
      <w:r>
        <w:rPr>
          <w:color w:val="003366"/>
          <w:sz w:val="18"/>
        </w:rPr>
        <w:t xml:space="preserve">§ 1 A União poderá contratar com empresas estatais ou privadas a realização das </w:t>
      </w:r>
    </w:p>
    <w:p>
      <w:pPr>
        <w:ind w:left="432"/>
      </w:pPr>
      <w:r>
        <w:rPr>
          <w:color w:val="003366"/>
          <w:sz w:val="18"/>
        </w:rPr>
        <w:t>§ 2 A lei a que se refere o § 1º disporá sobre: (Incluído pela Emenda Constituci</w:t>
      </w:r>
    </w:p>
    <w:p>
      <w:pPr>
        <w:ind w:left="720"/>
      </w:pPr>
      <w:r>
        <w:rPr>
          <w:color w:val="003366"/>
          <w:sz w:val="18"/>
        </w:rPr>
        <w:t>I – a garantia do fornecimento dos derivados de petróleo em todo o território na</w:t>
      </w:r>
    </w:p>
    <w:p>
      <w:pPr>
        <w:ind w:left="720"/>
      </w:pPr>
      <w:r>
        <w:rPr>
          <w:color w:val="003366"/>
          <w:sz w:val="18"/>
        </w:rPr>
        <w:t xml:space="preserve">II – as condições de contratação; (Incluído pela Emenda Constitucional nº 9, de </w:t>
      </w:r>
    </w:p>
    <w:p>
      <w:pPr>
        <w:ind w:left="720"/>
      </w:pPr>
      <w:r>
        <w:rPr>
          <w:color w:val="003366"/>
          <w:sz w:val="18"/>
        </w:rPr>
        <w:t>III – a estrutura e atribuições do órgão regulador do monopólio da União; (Inclu</w:t>
      </w:r>
    </w:p>
    <w:p>
      <w:pPr>
        <w:ind w:left="432"/>
      </w:pPr>
      <w:r>
        <w:rPr>
          <w:color w:val="003366"/>
          <w:sz w:val="18"/>
        </w:rPr>
        <w:t xml:space="preserve">§ 3 A lei disporá sobre o transporte e a utilização de materiais radioativos no </w:t>
      </w:r>
    </w:p>
    <w:p>
      <w:pPr>
        <w:ind w:left="432"/>
      </w:pPr>
      <w:r>
        <w:rPr>
          <w:color w:val="003366"/>
          <w:sz w:val="18"/>
        </w:rPr>
        <w:t>§ 4 A lei que instituir contribuição de intervenção no domínio econômico relativ</w:t>
      </w:r>
    </w:p>
    <w:p>
      <w:pPr>
        <w:ind w:left="720"/>
      </w:pPr>
      <w:r>
        <w:rPr>
          <w:color w:val="003366"/>
          <w:sz w:val="18"/>
        </w:rPr>
        <w:t xml:space="preserve">I – a alíquota da contribuição poderá ser: (Incluído pela Emenda Constitucional </w:t>
      </w:r>
    </w:p>
    <w:p>
      <w:pPr>
        <w:ind w:left="1008"/>
      </w:pPr>
      <w:r>
        <w:rPr>
          <w:color w:val="003366"/>
          <w:sz w:val="18"/>
        </w:rPr>
        <w:t xml:space="preserve">a) diferenciada por produto ou uso; (Incluído pela Emenda Constitucional nº 33, </w:t>
      </w:r>
    </w:p>
    <w:p>
      <w:pPr>
        <w:ind w:left="1008"/>
      </w:pPr>
      <w:r>
        <w:rPr>
          <w:color w:val="003366"/>
          <w:sz w:val="18"/>
        </w:rPr>
        <w:t>b) reduzida e restabelecida por ato do Poder Executivo, não se lhe aplicando o d</w:t>
      </w:r>
    </w:p>
    <w:p>
      <w:pPr>
        <w:ind w:left="720"/>
      </w:pPr>
      <w:r>
        <w:rPr>
          <w:color w:val="003366"/>
          <w:sz w:val="18"/>
        </w:rPr>
        <w:t>II – os recursos arrecadados serão destinados: (Incluído pela Emenda Constitucio</w:t>
      </w:r>
    </w:p>
    <w:p>
      <w:pPr>
        <w:ind w:left="1008"/>
      </w:pPr>
      <w:r>
        <w:rPr>
          <w:color w:val="003366"/>
          <w:sz w:val="18"/>
        </w:rPr>
        <w:t>a) ao pagamento de subsídios a preços ou transporte de álcool combustível, gás n</w:t>
      </w:r>
    </w:p>
    <w:p>
      <w:pPr>
        <w:ind w:left="1008"/>
      </w:pPr>
      <w:r>
        <w:rPr>
          <w:color w:val="003366"/>
          <w:sz w:val="18"/>
        </w:rPr>
        <w:t>b) ao financiamento de projetos ambientais relacionados com a indústria do petró</w:t>
      </w:r>
    </w:p>
    <w:p>
      <w:pPr>
        <w:ind w:left="1008"/>
      </w:pPr>
      <w:r>
        <w:rPr>
          <w:color w:val="003366"/>
          <w:sz w:val="18"/>
        </w:rPr>
        <w:t>c) ao financiamento de programas de infra-estrutura de transportes. (Incluído pe</w:t>
      </w:r>
    </w:p>
    <w:p>
      <w:pPr>
        <w:ind w:left="1008"/>
      </w:pPr>
      <w:r>
        <w:rPr>
          <w:color w:val="003366"/>
          <w:sz w:val="18"/>
        </w:rPr>
        <w:t>d) ao pagamento de subsídios a tarifas de transporte público coletivo de passage</w:t>
      </w:r>
    </w:p>
    <w:p>
      <w:r>
        <w:rPr>
          <w:b/>
          <w:color w:val="003366"/>
          <w:sz w:val="20"/>
        </w:rPr>
        <w:t>Art. 178 A lei disporá sobre a ordenação dos transportes aéreo, aquático e terre</w:t>
      </w:r>
      <w:r>
        <w:rPr>
          <w:color w:val="8C8C8C"/>
          <w:sz w:val="14"/>
        </w:rPr>
        <w:t xml:space="preserve">  [5 decisoes]</w:t>
      </w:r>
    </w:p>
    <w:p>
      <w:pPr>
        <w:ind w:left="288"/>
      </w:pPr>
      <w:r>
        <w:rPr>
          <w:color w:val="8C8C8C"/>
          <w:sz w:val="12"/>
        </w:rPr>
        <w:t>cf-art-178</w:t>
      </w:r>
      <w:r>
        <w:rPr>
          <w:color w:val="003CA0"/>
          <w:sz w:val="12"/>
        </w:rPr>
        <w:t xml:space="preserve"> | RE 1.520.841</w:t>
      </w:r>
      <w:r>
        <w:rPr>
          <w:color w:val="003CA0"/>
          <w:sz w:val="12"/>
        </w:rPr>
        <w:t xml:space="preserve"> | rel. Luís Roberto Barroso</w:t>
      </w:r>
    </w:p>
    <w:p>
      <w:pPr>
        <w:ind w:left="288"/>
      </w:pPr>
      <w:r>
        <w:rPr>
          <w:color w:val="1E1E1E"/>
          <w:sz w:val="18"/>
        </w:rPr>
        <w:t>“1. A pretensão indenizatória por danos materiais em transporte aéreo internacional de carga e mercadoria está sujeita aos limites previstos em normas e tratados internacionais firmados pelo Brasil, em especial as Convenções de Varsóvia e de Montreal; 2. É infraconstitucional e fática a controvérsia sobre o afastamento da limitação à pretensão indenizatória quando a transportadora tem conhecimento do valor da carga ou age com dolo ou culpa grave.”</w:t>
      </w:r>
    </w:p>
    <w:p>
      <w:pPr>
        <w:ind w:left="288"/>
      </w:pPr>
      <w:r>
        <w:rPr>
          <w:b/>
          <w:color w:val="003CA0"/>
          <w:sz w:val="16"/>
        </w:rPr>
        <w:t>[RE 1.520.841 RG, rel. min. Luís Roberto Barroso, j. 3.2.2025, P, DJE de 12.2.2025, Tema 1.366, com mérito julgado.]</w:t>
      </w:r>
    </w:p>
    <w:p>
      <w:pPr>
        <w:ind w:left="288"/>
      </w:pPr>
      <w:r>
        <w:rPr>
          <w:color w:val="8C8C8C"/>
          <w:sz w:val="12"/>
        </w:rPr>
        <w:t>cf-art-178</w:t>
      </w:r>
      <w:r>
        <w:rPr>
          <w:color w:val="003CA0"/>
          <w:sz w:val="12"/>
        </w:rPr>
        <w:t xml:space="preserve"> | RE 1.394.401</w:t>
      </w:r>
      <w:r>
        <w:rPr>
          <w:color w:val="003CA0"/>
          <w:sz w:val="12"/>
        </w:rPr>
        <w:t xml:space="preserve"> | rel. Luís Roberto Barroso</w:t>
      </w:r>
    </w:p>
    <w:p>
      <w:pPr>
        <w:ind w:left="288"/>
      </w:pPr>
      <w:r>
        <w:rPr>
          <w:color w:val="1E1E1E"/>
          <w:sz w:val="18"/>
        </w:rPr>
        <w:t>Embargos de declaração opostos contra acórdão em que esta Corte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Superveniência de julgado, sob o rito da repercussão geral, em que esta Corte decidiu que “[n]ão se aplicam as Convenções de Varsóvia e Montreal às hipóteses de danos extrapatrimoniais decorrentes de contrato de transporte aéreo</w:t>
      </w:r>
    </w:p>
    <w:p>
      <w:pPr>
        <w:ind w:left="288"/>
      </w:pPr>
      <w:r>
        <w:rPr>
          <w:b/>
          <w:color w:val="003CA0"/>
          <w:sz w:val="16"/>
        </w:rPr>
        <w:t>[ARE 766.618 ED, rel. min. Luís Roberto Barroso, j. 30.11.2023, P, DJE de 25.03.2024, Tema 210, com mérito julgado.]</w:t>
      </w:r>
    </w:p>
    <w:p>
      <w:pPr>
        <w:ind w:left="288"/>
      </w:pPr>
      <w:r>
        <w:rPr>
          <w:color w:val="8C8C8C"/>
          <w:sz w:val="12"/>
        </w:rPr>
        <w:t>cf-art-178</w:t>
      </w:r>
      <w:r>
        <w:rPr>
          <w:color w:val="003CA0"/>
          <w:sz w:val="12"/>
        </w:rPr>
        <w:t xml:space="preserve"> | RE 636.331</w:t>
      </w:r>
      <w:r>
        <w:rPr>
          <w:color w:val="003CA0"/>
          <w:sz w:val="12"/>
        </w:rPr>
        <w:t xml:space="preserve"> | rel. Gilmar Mendes</w:t>
      </w:r>
    </w:p>
    <w:p>
      <w:pPr>
        <w:ind w:left="288"/>
      </w:pPr>
      <w:r>
        <w:rPr>
          <w:color w:val="1E1E1E"/>
          <w:sz w:val="18"/>
        </w:rPr>
        <w:t xml:space="preserve">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w:t>
        <w:br/>
        <w:t>[RE 636.331, rel. min. Gilmar Mendes, j. 25-5-2017, P, DJE de 13-11-2017, Tema 210, com mérito julgado.] A Convenção de Montreal é plenamente aplicável à discussão, conforme consolidado no Tema 210 da repercussão geral. O Artigo 22, item 3, da Convenção de Montreal estabelece dois limites indenizatórios: um para carg</w:t>
      </w:r>
    </w:p>
    <w:p>
      <w:pPr>
        <w:ind w:left="288"/>
      </w:pPr>
      <w:r>
        <w:rPr>
          <w:b/>
          <w:color w:val="003CA0"/>
          <w:sz w:val="16"/>
        </w:rPr>
        <w:t>[RE 1.525.098 ED-AgR, rel. min. Flávio Dino, j. 12.08.2025, 1ª T, DJE de 18.08.2025.]</w:t>
      </w:r>
    </w:p>
    <w:p>
      <w:pPr>
        <w:ind w:left="288"/>
      </w:pPr>
      <w:r>
        <w:rPr>
          <w:color w:val="8C8C8C"/>
          <w:sz w:val="12"/>
        </w:rPr>
        <w:t>cf-art-178</w:t>
      </w:r>
      <w:r>
        <w:rPr>
          <w:color w:val="003CA0"/>
          <w:sz w:val="12"/>
        </w:rPr>
        <w:t xml:space="preserve"> | RE 636.331</w:t>
      </w:r>
      <w:r>
        <w:rPr>
          <w:color w:val="003CA0"/>
          <w:sz w:val="12"/>
        </w:rPr>
        <w:t xml:space="preserve"> | rel. GILMAR MENDES</w:t>
      </w:r>
    </w:p>
    <w:p>
      <w:pPr>
        <w:ind w:left="288"/>
      </w:pPr>
      <w:r>
        <w:rPr>
          <w:color w:val="1E1E1E"/>
          <w:sz w:val="18"/>
        </w:rPr>
        <w:t>Em relação à afronta ao art. 178, da CF/1988, o Plenário do SUPREMO TRIBUNAL FEDERAL, no RE 636.331-RG (Rel. Min. GILMAR MENDES, Tema 210), examinou a repercussão geral da questão constitucional debatida neste recurso 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Entretanto, em casos nos quais se debate vício na prestação de serviço de tr</w:t>
      </w:r>
    </w:p>
    <w:p>
      <w:pPr>
        <w:ind w:left="288"/>
      </w:pPr>
      <w:r>
        <w:rPr>
          <w:b/>
          <w:color w:val="003CA0"/>
          <w:sz w:val="16"/>
        </w:rPr>
        <w:t>[RE 1.047.443 AgR, rel. min. Alexandre de Moraes, j. 04.02.2025, 1ª T, DJE de 11.02.2025.]</w:t>
      </w:r>
    </w:p>
    <w:p>
      <w:pPr>
        <w:ind w:left="144"/>
      </w:pPr>
      <w:r>
        <w:rPr>
          <w:b/>
          <w:color w:val="B45A00"/>
          <w:sz w:val="16"/>
        </w:rPr>
        <w:t>JULGADOS CORRELATOS</w:t>
      </w:r>
    </w:p>
    <w:p>
      <w:pPr>
        <w:ind w:left="288"/>
      </w:pPr>
      <w:r>
        <w:rPr>
          <w:color w:val="8C8C8C"/>
          <w:sz w:val="12"/>
        </w:rPr>
        <w:t>cf-art-178</w:t>
      </w:r>
      <w:r>
        <w:rPr>
          <w:color w:val="003CA0"/>
          <w:sz w:val="12"/>
        </w:rPr>
        <w:t xml:space="preserve"> | RE 1.445.494</w:t>
      </w:r>
      <w:r>
        <w:rPr>
          <w:color w:val="003CA0"/>
          <w:sz w:val="12"/>
        </w:rPr>
        <w:t xml:space="preserve"> | rel. Edson Fachin</w:t>
      </w:r>
    </w:p>
    <w:p>
      <w:pPr>
        <w:ind w:left="288"/>
      </w:pPr>
      <w:r>
        <w:rPr>
          <w:color w:val="1E1E1E"/>
          <w:sz w:val="18"/>
        </w:rPr>
        <w:t xml:space="preserve">Aplica-se o Tema 210 da sistemática da Repercussão Geral às discussões acerca do direito de regresso para reparação de danos decorrentes de extravio ou dano de mercadoria em transporte aéreo internacional. </w:t>
        <w:br/>
        <w:t>[RE 1.445.494 AgR, rel. min. Edson Fachin, j. 18.03.2024, 2ª T, DJE de 22.03.2024.] No caso de transporte internacional de carga, a responsabilidade do transportador por destruição, perda, avaria ou atraso da carga segue a regra do artigo 22 da Convenção de Montreal, que estipula como limite a quantia de 17 Direitos Especiais de Saque por quilograma ou o valor declarado, no caso de “declara</w:t>
      </w:r>
    </w:p>
    <w:p>
      <w:pPr>
        <w:ind w:left="288"/>
      </w:pPr>
      <w:r>
        <w:rPr>
          <w:b/>
          <w:color w:val="003CA0"/>
          <w:sz w:val="16"/>
        </w:rPr>
        <w:t>[RE 172.720, rel. min. Marco Aurélio, j. 6-2-1996, 2ª T, DJ de 21-2-1997.]</w:t>
      </w:r>
    </w:p>
    <w:p>
      <w:r>
        <w:rPr>
          <w:b/>
          <w:color w:val="003366"/>
          <w:sz w:val="20"/>
        </w:rPr>
        <w:t xml:space="preserve">Art. 179 A União, os Estados, o Distrito Federal e os Municípios dispensarão às </w:t>
      </w:r>
      <w:r>
        <w:rPr>
          <w:color w:val="8C8C8C"/>
          <w:sz w:val="14"/>
        </w:rPr>
        <w:t xml:space="preserve">  [5 decisoes]</w:t>
      </w:r>
    </w:p>
    <w:p>
      <w:pPr>
        <w:ind w:left="288"/>
      </w:pPr>
      <w:r>
        <w:rPr>
          <w:color w:val="8C8C8C"/>
          <w:sz w:val="12"/>
        </w:rPr>
        <w:t>cf-art-179</w:t>
      </w:r>
      <w:r>
        <w:rPr>
          <w:color w:val="003CA0"/>
          <w:sz w:val="12"/>
        </w:rPr>
        <w:t xml:space="preserve"> | ADI 7.765</w:t>
      </w:r>
      <w:r>
        <w:rPr>
          <w:color w:val="003CA0"/>
          <w:sz w:val="12"/>
        </w:rPr>
        <w:t xml:space="preserve"> | rel. Dias Toffoli</w:t>
      </w:r>
    </w:p>
    <w:p>
      <w:pPr>
        <w:ind w:left="288"/>
      </w:pPr>
      <w:r>
        <w:rPr>
          <w:color w:val="1E1E1E"/>
          <w:sz w:val="18"/>
        </w:rPr>
        <w:t>Artigos 43 e 44 da Lei nº 14.973/24. Obrigação acessória. Pessoas jurídicas que usufruem de benefícios fiscais. Prestação de informações sobre os incentivos, as renúncias, os benefícios ou as imunidades de natureza tributária de que usufruem e o valor do crédito tributário correspondente. Constitucionalidade. A LC nº 123/06, que estabelece normas gerais relativas ao tratamento diferenciado e favorecido a ser dispensado às microempresas e às empresas de pequeno porte, inclusive no que se refere à apuração e ao recolhimento de impostos e contribuições e ao cumprimento de obrigações tributárias a</w:t>
      </w:r>
    </w:p>
    <w:p>
      <w:pPr>
        <w:ind w:left="288"/>
      </w:pPr>
      <w:r>
        <w:rPr>
          <w:b/>
          <w:color w:val="003CA0"/>
          <w:sz w:val="16"/>
        </w:rPr>
        <w:t>[ADI 7.765, rel. min. Dias Toffoli, j. 20.10.2025, P, DJE de 22.10.2025.]</w:t>
      </w:r>
    </w:p>
    <w:p>
      <w:pPr>
        <w:ind w:left="288"/>
      </w:pPr>
      <w:r>
        <w:rPr>
          <w:color w:val="8C8C8C"/>
          <w:sz w:val="12"/>
        </w:rPr>
        <w:t>cf-art-179</w:t>
      </w:r>
      <w:r>
        <w:rPr>
          <w:color w:val="003CA0"/>
          <w:sz w:val="12"/>
        </w:rPr>
        <w:t xml:space="preserve"> | ADI 7.096</w:t>
      </w:r>
      <w:r>
        <w:rPr>
          <w:color w:val="003CA0"/>
          <w:sz w:val="12"/>
        </w:rPr>
        <w:t xml:space="preserve"> | rel. Gilmar Mendes</w:t>
      </w:r>
    </w:p>
    <w:p>
      <w:pPr>
        <w:ind w:left="288"/>
      </w:pPr>
      <w:r>
        <w:rPr>
          <w:color w:val="1E1E1E"/>
          <w:sz w:val="18"/>
        </w:rPr>
        <w:t>(...) art. 2º da Lei Complementar nº 188/2021, que acrescentou o art. 18-F à Lei Complementar nº 123/2006 (Estatuto Nacional da Microempresa e da Empresa de Pequeno Porte), dispondo sobre o enquadramento de transportadores autônomos de cargas como Microempreendedores Individuais (MEI), no regime do Simples Nacional. (...) A inclusão dos transportadores autônomos no MEI visa fomentar a formalização e ampliar a base contributiva, em consonância com os arts. 146, III, “d”, 170, IX e 179 da Constituição Federal.</w:t>
      </w:r>
    </w:p>
    <w:p>
      <w:pPr>
        <w:ind w:left="288"/>
      </w:pPr>
      <w:r>
        <w:rPr>
          <w:b/>
          <w:color w:val="003CA0"/>
          <w:sz w:val="16"/>
        </w:rPr>
        <w:t>[ADI 7.096, rel. min. Gilmar Mendes, j. 09.06.2025, P, DJE de 25.06.2025.]</w:t>
      </w:r>
    </w:p>
    <w:p>
      <w:pPr>
        <w:ind w:left="144"/>
      </w:pPr>
      <w:r>
        <w:rPr>
          <w:b/>
          <w:color w:val="B45A00"/>
          <w:sz w:val="16"/>
        </w:rPr>
        <w:t>CONTROLE CONCENTRADO</w:t>
      </w:r>
    </w:p>
    <w:p>
      <w:pPr>
        <w:ind w:left="288"/>
      </w:pPr>
      <w:r>
        <w:rPr>
          <w:color w:val="8C8C8C"/>
          <w:sz w:val="12"/>
        </w:rPr>
        <w:t>cf-art-179</w:t>
      </w:r>
      <w:r>
        <w:rPr>
          <w:color w:val="003CA0"/>
          <w:sz w:val="12"/>
        </w:rPr>
        <w:t xml:space="preserve"> | ADI 1.643</w:t>
      </w:r>
      <w:r>
        <w:rPr>
          <w:color w:val="003CA0"/>
          <w:sz w:val="12"/>
        </w:rPr>
        <w:t xml:space="preserve"> | rel. Maurício Corrêa</w:t>
      </w:r>
    </w:p>
    <w:p>
      <w:pPr>
        <w:ind w:left="288"/>
      </w:pPr>
      <w:r>
        <w:rPr>
          <w:color w:val="1E1E1E"/>
          <w:sz w:val="18"/>
        </w:rPr>
        <w:t>Por disposição constitucional (CF, art. 179), as microempresas e as empresas de pequeno porte devem ser beneficiadas, nos termos da lei, pela "simplificação de suas obrigações administrativas, tributárias, previdenciárias e creditícias, ou pela eliminação ou redução destas" (CF, art. 179). Não há ofensa ao princípio da isonomia tributária se a lei, por motivos extrafiscais, imprime tratamento desigual a microempresas e empresas de pequeno porte de capacidade contributiva distinta, afastando do regime do Simples aquelas cujos sócios têm condição de disputar o mercado de trabalho sem assistência</w:t>
      </w:r>
    </w:p>
    <w:p>
      <w:pPr>
        <w:ind w:left="288"/>
      </w:pPr>
      <w:r>
        <w:rPr>
          <w:b/>
          <w:color w:val="003CA0"/>
          <w:sz w:val="16"/>
        </w:rPr>
        <w:t>[ADI 1.643, rel. min. Maurício Corrêa, j. 5-12-2003, P, DJ de 14-3-2003.]</w:t>
      </w:r>
    </w:p>
    <w:p>
      <w:pPr>
        <w:ind w:left="144"/>
      </w:pPr>
      <w:r>
        <w:rPr>
          <w:b/>
          <w:color w:val="B45A00"/>
          <w:sz w:val="16"/>
        </w:rPr>
        <w:t>REPERCUSSAO GERAL</w:t>
      </w:r>
    </w:p>
    <w:p>
      <w:pPr>
        <w:ind w:left="288"/>
      </w:pPr>
      <w:r>
        <w:rPr>
          <w:color w:val="8C8C8C"/>
          <w:sz w:val="12"/>
        </w:rPr>
        <w:t>cf-art-179</w:t>
      </w:r>
      <w:r>
        <w:rPr>
          <w:color w:val="003CA0"/>
          <w:sz w:val="12"/>
        </w:rPr>
        <w:t xml:space="preserve"> | ARE 1.460.254</w:t>
      </w:r>
      <w:r>
        <w:rPr>
          <w:color w:val="003CA0"/>
          <w:sz w:val="12"/>
        </w:rPr>
        <w:t xml:space="preserve"> | rel. Luís Roberto Barroso</w:t>
      </w:r>
    </w:p>
    <w:p>
      <w:pPr>
        <w:ind w:left="288"/>
      </w:pPr>
      <w:r>
        <w:rPr>
          <w:color w:val="1E1E1E"/>
          <w:sz w:val="18"/>
        </w:rPr>
        <w:t>“A cobrança do ICMS-DIFAL de empresas optantes do Simples Nacional deve ter fundamento em lei estadual em sentido estrito”.</w:t>
        <w:br/>
        <w:t>[ARE 1.460.254 RG, rel. min. Luís Roberto Barroso, j. 20-11-2023, P, DJE de 27-11-2023, Tema 1.284, com mérito julgado.] “É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w:t>
        <w:br/>
        <w:t>[RE 970.821, rel. min. Edson Fachin, j. 11-5-2</w:t>
      </w:r>
    </w:p>
    <w:p>
      <w:pPr>
        <w:ind w:left="288"/>
      </w:pPr>
      <w:r>
        <w:rPr>
          <w:b/>
          <w:color w:val="003CA0"/>
          <w:sz w:val="16"/>
        </w:rPr>
        <w:t>[RE 627.543, rel. min. Dias Toffoli, j. 30-10-2013, P, DJE de 29-10-2014, Tema 363, com mérito julgado.]</w:t>
      </w:r>
    </w:p>
    <w:p>
      <w:pPr>
        <w:ind w:left="144"/>
      </w:pPr>
      <w:r>
        <w:rPr>
          <w:b/>
          <w:color w:val="B45A00"/>
          <w:sz w:val="16"/>
        </w:rPr>
        <w:t>JULGADOS CORRELATOS</w:t>
      </w:r>
    </w:p>
    <w:p>
      <w:pPr>
        <w:ind w:left="288"/>
      </w:pPr>
      <w:r>
        <w:rPr>
          <w:color w:val="8C8C8C"/>
          <w:sz w:val="12"/>
        </w:rPr>
        <w:t>cf-art-179</w:t>
      </w:r>
      <w:r>
        <w:rPr>
          <w:color w:val="003CA0"/>
          <w:sz w:val="12"/>
        </w:rPr>
        <w:t xml:space="preserve"> | MI 73</w:t>
      </w:r>
      <w:r>
        <w:rPr>
          <w:color w:val="003CA0"/>
          <w:sz w:val="12"/>
        </w:rPr>
        <w:t xml:space="preserve"> | rel. Moreira Alves</w:t>
      </w:r>
    </w:p>
    <w:p>
      <w:pPr>
        <w:ind w:left="288"/>
      </w:pPr>
      <w:r>
        <w:rPr>
          <w:color w:val="1E1E1E"/>
          <w:sz w:val="18"/>
        </w:rPr>
        <w:t>Inexistência, no caso, de falta de regulamentação do art. 179 da CF, por permanecer em vigor a Lei 7.256/1984 que estabelece normas integrantes do Estatuto da Microempresa, relativas ao tratamento diferenciado, simplificado e favorecido, nos campos administrativo, tributário, previdenciário, trabalhista, creditício e de desenvolvimento empresarial.</w:t>
      </w:r>
    </w:p>
    <w:p>
      <w:pPr>
        <w:ind w:left="288"/>
      </w:pPr>
      <w:r>
        <w:rPr>
          <w:b/>
          <w:color w:val="003CA0"/>
          <w:sz w:val="16"/>
        </w:rPr>
        <w:t>[MI 73, rel. min. Moreira Alves, j. 7-10-1994, P, DJ de 19-12-1994.]</w:t>
      </w:r>
    </w:p>
    <w:p>
      <w:r>
        <w:rPr>
          <w:b/>
          <w:color w:val="003366"/>
          <w:sz w:val="20"/>
        </w:rPr>
        <w:t>Art. 180 A União, os Estados, o Distrito Federal e os Municípios promoverão e in</w:t>
      </w:r>
    </w:p>
    <w:p>
      <w:r>
        <w:rPr>
          <w:b/>
          <w:color w:val="003366"/>
          <w:sz w:val="20"/>
        </w:rPr>
        <w:t>Art. 181 O atendimento de requisição de documento ou informação de natureza come</w:t>
      </w:r>
      <w:r>
        <w:rPr>
          <w:color w:val="8C8C8C"/>
          <w:sz w:val="14"/>
        </w:rPr>
        <w:t xml:space="preserve">  [1 decisoes]</w:t>
      </w:r>
    </w:p>
    <w:p>
      <w:pPr>
        <w:ind w:left="288"/>
      </w:pPr>
      <w:r>
        <w:rPr>
          <w:color w:val="8C8C8C"/>
          <w:sz w:val="12"/>
        </w:rPr>
        <w:t>cf-art-181</w:t>
      </w:r>
    </w:p>
    <w:p>
      <w:pPr>
        <w:ind w:left="288"/>
      </w:pPr>
      <w:r>
        <w:rPr>
          <w:color w:val="1E1E1E"/>
          <w:sz w:val="18"/>
        </w:rPr>
        <w:t>CAPÍTULO II Da Política Urbana SUMÁRIO</w:t>
      </w:r>
    </w:p>
    <w:p>
      <w:pPr>
        <w:pStyle w:val="Heading2"/>
      </w:pPr>
      <w:r>
        <w:rPr>
          <w:color w:val="003366"/>
        </w:rPr>
        <w:t>CAPÍTULO II - DA POLÍTICA URBANA</w:t>
      </w:r>
    </w:p>
    <w:p>
      <w:r>
        <w:rPr>
          <w:b/>
          <w:color w:val="003366"/>
          <w:sz w:val="20"/>
        </w:rPr>
        <w:t>Art. 182 A política de desenvolvimento urbano, executada pelo Poder Público muni</w:t>
      </w:r>
      <w:r>
        <w:rPr>
          <w:color w:val="8C8C8C"/>
          <w:sz w:val="14"/>
        </w:rPr>
        <w:t xml:space="preserve">  [15 decisoes]</w:t>
      </w:r>
    </w:p>
    <w:p>
      <w:pPr>
        <w:ind w:left="288"/>
      </w:pPr>
      <w:r>
        <w:rPr>
          <w:color w:val="8C8C8C"/>
          <w:sz w:val="12"/>
        </w:rPr>
        <w:t>cf-art-182</w:t>
      </w:r>
      <w:r>
        <w:rPr>
          <w:color w:val="003CA0"/>
          <w:sz w:val="12"/>
        </w:rPr>
        <w:t xml:space="preserve"> | ARE 1.536.905</w:t>
      </w:r>
      <w:r>
        <w:rPr>
          <w:color w:val="003CA0"/>
          <w:sz w:val="12"/>
        </w:rPr>
        <w:t xml:space="preserve"> | rel. Alexandre de Moraes</w:t>
      </w:r>
    </w:p>
    <w:p>
      <w:pPr>
        <w:ind w:left="288"/>
      </w:pPr>
      <w:r>
        <w:rPr>
          <w:color w:val="1E1E1E"/>
          <w:sz w:val="18"/>
        </w:rPr>
        <w:t xml:space="preserve">A necessidade de controle administrativo prévio para a intervenção no espaço urbano constitui preceito derivado da norma do art. 30, VIII, da Constituição Federal, que pressupõe a existência de uma proibição genérica do exercício dos direitos preexistentes dos particulares, calcado na função social da propriedade. Os municípios têm o poder-dever de realizar o controle prévio do uso, do parcelamento e da ocupação do solo urbano, no exercício de sua competência constitucional de execução da política de desenvolvimento urbano, com o objetivo de ordenar o pleno desenvolvimento das funções sociais </w:t>
      </w:r>
    </w:p>
    <w:p>
      <w:pPr>
        <w:ind w:left="288"/>
      </w:pPr>
      <w:r>
        <w:rPr>
          <w:b/>
          <w:color w:val="003CA0"/>
          <w:sz w:val="16"/>
        </w:rPr>
        <w:t>[ARE 1.536.905 AgR, rel. min. Alexandre de Moraes, j. 30.04.2025, P, DJE de 07.05.2025.]</w:t>
      </w:r>
    </w:p>
    <w:p>
      <w:pPr>
        <w:ind w:left="144"/>
      </w:pPr>
      <w:r>
        <w:rPr>
          <w:b/>
          <w:color w:val="B45A00"/>
          <w:sz w:val="16"/>
        </w:rPr>
        <w:t>REPERCUSSAO GERAL</w:t>
      </w:r>
    </w:p>
    <w:p>
      <w:pPr>
        <w:ind w:left="288"/>
      </w:pPr>
      <w:r>
        <w:rPr>
          <w:color w:val="8C8C8C"/>
          <w:sz w:val="12"/>
        </w:rPr>
        <w:t>cf-art-182</w:t>
      </w:r>
      <w:r>
        <w:rPr>
          <w:color w:val="003CA0"/>
          <w:sz w:val="12"/>
        </w:rPr>
        <w:t xml:space="preserve"> | RE 695.911</w:t>
      </w:r>
      <w:r>
        <w:rPr>
          <w:color w:val="003CA0"/>
          <w:sz w:val="12"/>
        </w:rPr>
        <w:t xml:space="preserve"> | rel. Dias Toffoli</w:t>
      </w:r>
    </w:p>
    <w:p>
      <w:pPr>
        <w:ind w:left="288"/>
      </w:pPr>
      <w:r>
        <w:rPr>
          <w:color w:val="1E1E1E"/>
          <w:sz w:val="18"/>
        </w:rPr>
        <w:t>É inconstitucional a cobrança por parte de associação de taxa de manutenção e conservação de loteamento imobiliário urbano de proprietário não associado até o advento da Lei 13.465/17, ou de anterior lei municipal que discipline a questão, a partir da qual se torna possível a cotização dos proprietários de imóveis, titulares de direitos ou moradores em loteamentos de acesso controlado, que i) já possuindo lote, adiram ao ato constitutivo das entidades equiparadas a administradoras de imóveis ou (ii) sendo novos adquirentes de lotes, o ato constitutivo da obrigação esteja registrado no competen</w:t>
      </w:r>
    </w:p>
    <w:p>
      <w:pPr>
        <w:ind w:left="144"/>
      </w:pPr>
      <w:r>
        <w:rPr>
          <w:b/>
          <w:color w:val="B45A00"/>
          <w:sz w:val="16"/>
        </w:rPr>
        <w:t>JULGADOS CORRELATOS</w:t>
      </w:r>
    </w:p>
    <w:p>
      <w:pPr>
        <w:ind w:left="288"/>
      </w:pPr>
      <w:r>
        <w:rPr>
          <w:color w:val="8C8C8C"/>
          <w:sz w:val="12"/>
        </w:rPr>
        <w:t>cf-art-182</w:t>
      </w:r>
      <w:r>
        <w:rPr>
          <w:color w:val="003CA0"/>
          <w:sz w:val="12"/>
        </w:rPr>
        <w:t xml:space="preserve"> | RE 387.047</w:t>
      </w:r>
      <w:r>
        <w:rPr>
          <w:color w:val="003CA0"/>
          <w:sz w:val="12"/>
        </w:rPr>
        <w:t xml:space="preserve"> | rel. Eros Grau</w:t>
      </w:r>
    </w:p>
    <w:p>
      <w:pPr>
        <w:ind w:left="288"/>
      </w:pPr>
      <w:r>
        <w:rPr>
          <w:color w:val="1E1E1E"/>
          <w:sz w:val="18"/>
        </w:rPr>
        <w:t xml:space="preserve">Solo criado é o solo artificialmente criado pelo homem (sobre ou sob o solo natural), resultado da construção praticada em volume superior ao permitido nos limites de um coeficiente único de aproveitamento. (...) Não há, na hipótese, obrigação. Não se trata de tributo. Não se trata de imposto. Faculdade atribuível ao proprietário de imóvel, mercê da qual se lhe permite o exercício do direito de construir acima do coeficiente único de aproveitamento adotado em determinada área, desde que satisfeita prestação de dar que consubstancia ônus. Onde não há obrigação não pode haver tributo. Distinção </w:t>
      </w:r>
    </w:p>
    <w:p>
      <w:pPr>
        <w:ind w:left="288"/>
      </w:pPr>
      <w:r>
        <w:rPr>
          <w:b/>
          <w:color w:val="003CA0"/>
          <w:sz w:val="16"/>
        </w:rPr>
        <w:t>[RE 387.047, rel. min. Eros Grau, j. 6-3-2008, P, DJE de 2-5-2008.]</w:t>
      </w:r>
    </w:p>
    <w:p>
      <w:pPr>
        <w:ind w:left="288"/>
      </w:pPr>
      <w:r>
        <w:rPr>
          <w:color w:val="8C8C8C"/>
          <w:sz w:val="12"/>
        </w:rPr>
        <w:t>cf-art-182</w:t>
      </w:r>
      <w:r>
        <w:rPr>
          <w:color w:val="003CA0"/>
          <w:sz w:val="12"/>
        </w:rPr>
        <w:t xml:space="preserve"> | RE 235.736</w:t>
      </w:r>
      <w:r>
        <w:rPr>
          <w:color w:val="003CA0"/>
          <w:sz w:val="12"/>
        </w:rPr>
        <w:t xml:space="preserve"> | rel. Ilmar Galvão</w:t>
      </w:r>
    </w:p>
    <w:p>
      <w:pPr>
        <w:ind w:left="288"/>
      </w:pPr>
      <w:r>
        <w:rPr>
          <w:color w:val="1E1E1E"/>
          <w:sz w:val="18"/>
        </w:rPr>
        <w:t xml:space="preserve">Município de Belo Horizonte. Pedido de licença de instalação de posto de revenda de combustíveis. Superveniência de lei (Lei 6.978/1995, art. 4º, § 1º) exigindo distância mínima de duzentos metros de estabelecimentos como escolas, igrejas e supermercados (...). Requerimento de licença que gerou mera expectativa de direito, insuscetível – segundo a orientação assentada na jurisprudência do STF –, de impedir a incidência das novas exigências instituídas por lei superveniente, inspiradas não no propósito de estabelecer reserva de mercado, como sustentado, mas na necessidade de ordenação física e </w:t>
      </w:r>
    </w:p>
    <w:p>
      <w:pPr>
        <w:ind w:left="288"/>
      </w:pPr>
      <w:r>
        <w:rPr>
          <w:b/>
          <w:color w:val="003CA0"/>
          <w:sz w:val="16"/>
        </w:rPr>
        <w:t>[RE 235.736, rel. min. Ilmar Galvão, j. 21-3-2000, 1ª T, DJ de 26-5-2000.]</w:t>
      </w:r>
    </w:p>
    <w:p>
      <w:pPr>
        <w:ind w:left="288"/>
      </w:pPr>
      <w:r>
        <w:rPr>
          <w:color w:val="8C8C8C"/>
          <w:sz w:val="12"/>
        </w:rPr>
        <w:t>cf-art-182</w:t>
      </w:r>
      <w:r>
        <w:rPr>
          <w:color w:val="003CA0"/>
          <w:sz w:val="12"/>
        </w:rPr>
        <w:t xml:space="preserve"> | RE 212.780</w:t>
      </w:r>
      <w:r>
        <w:rPr>
          <w:color w:val="003CA0"/>
          <w:sz w:val="12"/>
        </w:rPr>
        <w:t xml:space="preserve"> | rel. Ilmar Galvão</w:t>
      </w:r>
    </w:p>
    <w:p>
      <w:pPr>
        <w:ind w:left="288"/>
      </w:pPr>
      <w:r>
        <w:rPr>
          <w:color w:val="1E1E1E"/>
          <w:sz w:val="18"/>
        </w:rPr>
        <w:t>Loteamento urbano. Aprovação por ato administrativo, com definição do parcelamento. Registro imobiliário. Ato que não tem o efeito de autorizar a edificação, faculdade jurídica que somente se manifesta validamente diante de licença expedida com observância das regras vigentes à data de sua expedição.</w:t>
      </w:r>
    </w:p>
    <w:p>
      <w:pPr>
        <w:ind w:left="288"/>
      </w:pPr>
      <w:r>
        <w:rPr>
          <w:b/>
          <w:color w:val="003CA0"/>
          <w:sz w:val="16"/>
        </w:rPr>
        <w:t>[RE 212.780, rel. min. Ilmar Galvão, j. 27-4-1999, 1ª T, DJ de 25-6-1999.]</w:t>
      </w:r>
    </w:p>
    <w:p>
      <w:pPr>
        <w:ind w:left="144"/>
      </w:pPr>
      <w:r>
        <w:rPr>
          <w:b/>
          <w:color w:val="B45A00"/>
          <w:sz w:val="16"/>
        </w:rPr>
        <w:t>CONTROLE CONCENTRADO</w:t>
      </w:r>
    </w:p>
    <w:p>
      <w:pPr>
        <w:ind w:left="288"/>
      </w:pPr>
      <w:r>
        <w:rPr>
          <w:color w:val="8C8C8C"/>
          <w:sz w:val="12"/>
        </w:rPr>
        <w:t>cf-art-182-par-1</w:t>
      </w:r>
      <w:r>
        <w:rPr>
          <w:color w:val="003CA0"/>
          <w:sz w:val="12"/>
        </w:rPr>
        <w:t xml:space="preserve"> | ADI 5.696</w:t>
      </w:r>
      <w:r>
        <w:rPr>
          <w:color w:val="003CA0"/>
          <w:sz w:val="12"/>
        </w:rPr>
        <w:t xml:space="preserve"> | rel. Alexandre de Moraes</w:t>
      </w:r>
    </w:p>
    <w:p>
      <w:pPr>
        <w:ind w:left="288"/>
      </w:pPr>
      <w:r>
        <w:rPr>
          <w:color w:val="1E1E1E"/>
          <w:sz w:val="18"/>
        </w:rPr>
        <w:t>A Constituição, em matéria de Direito Urbanístico, embora prevista a competência material da União para a edição de diretrizes para o desenvolvimento urbano (art. 21, XX, da CF) e regras gerais sobre direito urbanístico (art. 24, I, c/c § 1º, da CF), conferiu protagonismo aos Municípios na concepção e execução dessas políticas públicas (art. 30, I e VIII, c/c art. 182, da CF), como previsto na Lei Federal 10.257/2001, ao atribuir aos Poderes Públicos municipais a edição dos planos diretores, como instrumentos de política urbana.</w:t>
      </w:r>
    </w:p>
    <w:p>
      <w:pPr>
        <w:ind w:left="288"/>
      </w:pPr>
      <w:r>
        <w:rPr>
          <w:b/>
          <w:color w:val="003CA0"/>
          <w:sz w:val="16"/>
        </w:rPr>
        <w:t>[ADI 5.696, rel. min. Alexandre de Moraes, j. 25-10-2019, P, DJE de 11-11-2019.]</w:t>
      </w:r>
    </w:p>
    <w:p>
      <w:pPr>
        <w:ind w:left="288"/>
      </w:pPr>
      <w:r>
        <w:rPr>
          <w:color w:val="8C8C8C"/>
          <w:sz w:val="12"/>
        </w:rPr>
        <w:t>cf-art-182-par-1</w:t>
      </w:r>
      <w:r>
        <w:rPr>
          <w:color w:val="003CA0"/>
          <w:sz w:val="12"/>
        </w:rPr>
        <w:t xml:space="preserve"> | ADI 826</w:t>
      </w:r>
      <w:r>
        <w:rPr>
          <w:color w:val="003CA0"/>
          <w:sz w:val="12"/>
        </w:rPr>
        <w:t xml:space="preserve"> | rel. Sydney Sanches</w:t>
      </w:r>
    </w:p>
    <w:p>
      <w:pPr>
        <w:ind w:left="288"/>
      </w:pPr>
      <w:r>
        <w:rPr>
          <w:color w:val="1E1E1E"/>
          <w:sz w:val="18"/>
        </w:rPr>
        <w:t>O caput do art. 195 da Constituição do Estado do Amapá estabelece que "o plano diretor, instrumento básico da política de desenvolvimento econômico e social e de expansão urbana, aprovado pela Câmara Municipal, é obrigatório para os Municípios com mais de cinco mil habitantes". Essa norma constitucional estadual estendeu aos Municípios com número de habitantes superior a cinco mil a imposição que a CF só fez àqueles com mais de vinte mil (art. 182, § 1º). Desse modo, violou o princípio da autonomia dos Municípios com mais de cinco mil e até vinte mil habitantes, em face do que dispõem os arts.</w:t>
      </w:r>
    </w:p>
    <w:p>
      <w:pPr>
        <w:ind w:left="288"/>
      </w:pPr>
      <w:r>
        <w:rPr>
          <w:b/>
          <w:color w:val="003CA0"/>
          <w:sz w:val="16"/>
        </w:rPr>
        <w:t>[ADI 826, rel. min. Sydney Sanches, j. 17-9-1998, P, DJ de 12-3-1999.]</w:t>
      </w:r>
    </w:p>
    <w:p>
      <w:pPr>
        <w:ind w:left="144"/>
      </w:pPr>
      <w:r>
        <w:rPr>
          <w:b/>
          <w:color w:val="B45A00"/>
          <w:sz w:val="16"/>
        </w:rPr>
        <w:t>REPERCUSSAO GERAL</w:t>
      </w:r>
    </w:p>
    <w:p>
      <w:pPr>
        <w:ind w:left="288"/>
      </w:pPr>
      <w:r>
        <w:rPr>
          <w:color w:val="8C8C8C"/>
          <w:sz w:val="12"/>
        </w:rPr>
        <w:t>cf-art-182-par-1</w:t>
      </w:r>
      <w:r>
        <w:rPr>
          <w:color w:val="003CA0"/>
          <w:sz w:val="12"/>
        </w:rPr>
        <w:t xml:space="preserve"> | RE 607.940</w:t>
      </w:r>
      <w:r>
        <w:rPr>
          <w:color w:val="003CA0"/>
          <w:sz w:val="12"/>
        </w:rPr>
        <w:t xml:space="preserve"> | rel. Teori Zavascki</w:t>
      </w:r>
    </w:p>
    <w:p>
      <w:pPr>
        <w:ind w:left="288"/>
      </w:pPr>
      <w:r>
        <w:rPr>
          <w:color w:val="1E1E1E"/>
          <w:sz w:val="18"/>
        </w:rPr>
        <w:t>Os Municípios com mais de vinte mil habitantes e o Distrito Federal podem legislar sobre programas e projetos específicos de ordenamento do espaço urbano por meio de leis que sejam compatíveis com as diretrizes fixadas no plano diretor.</w:t>
        <w:br/>
        <w:t>[RE 607.940, rel. min. Teori Zavascki, j. 29-10-2015, P, DJE de 26-2-2016, Tema 348, com mérito julgado.]</w:t>
      </w:r>
    </w:p>
    <w:p>
      <w:pPr>
        <w:ind w:left="144"/>
      </w:pPr>
      <w:r>
        <w:rPr>
          <w:b/>
          <w:color w:val="B45A00"/>
          <w:sz w:val="16"/>
        </w:rPr>
        <w:t>JULGADOS CORRELATOS</w:t>
      </w:r>
    </w:p>
    <w:p>
      <w:pPr>
        <w:ind w:left="288"/>
      </w:pPr>
      <w:r>
        <w:rPr>
          <w:color w:val="8C8C8C"/>
          <w:sz w:val="12"/>
        </w:rPr>
        <w:t>cf-art-182-par-1</w:t>
      </w:r>
      <w:r>
        <w:rPr>
          <w:color w:val="003CA0"/>
          <w:sz w:val="12"/>
        </w:rPr>
        <w:t xml:space="preserve"> | RE 178.836</w:t>
      </w:r>
      <w:r>
        <w:rPr>
          <w:color w:val="003CA0"/>
          <w:sz w:val="12"/>
        </w:rPr>
        <w:t xml:space="preserve"> | rel. Carlos Velloso</w:t>
      </w:r>
    </w:p>
    <w:p>
      <w:pPr>
        <w:ind w:left="288"/>
      </w:pPr>
      <w:r>
        <w:rPr>
          <w:color w:val="1E1E1E"/>
          <w:sz w:val="18"/>
        </w:rPr>
        <w:t>Direito de construir. Limitação administrativa. O direito de edificar é relativo, dado que condicionado à função social da propriedade: CF, art. 5º, XXII e XXIII. Inocorrência de direito adquirido: no caso, quando foi requerido o alvará de construção, já existia a lei que impedia o tipo de imóvel no local. Inocorrência de ofensa aos §§ 1º e 2º do art. 182, CF.</w:t>
      </w:r>
    </w:p>
    <w:p>
      <w:pPr>
        <w:ind w:left="288"/>
      </w:pPr>
      <w:r>
        <w:rPr>
          <w:b/>
          <w:color w:val="003CA0"/>
          <w:sz w:val="16"/>
        </w:rPr>
        <w:t>[RE 178.836, rel. min. Carlos Velloso, j. 8-6-1999, 2ª T, DJ de 20-8-1999.]</w:t>
      </w:r>
    </w:p>
    <w:p>
      <w:pPr>
        <w:ind w:left="144"/>
      </w:pPr>
      <w:r>
        <w:rPr>
          <w:b/>
          <w:color w:val="B45A00"/>
          <w:sz w:val="16"/>
        </w:rPr>
        <w:t>SUMULA</w:t>
      </w:r>
    </w:p>
    <w:p>
      <w:pPr>
        <w:ind w:left="288"/>
      </w:pPr>
      <w:r>
        <w:rPr>
          <w:color w:val="8C8C8C"/>
          <w:sz w:val="12"/>
        </w:rPr>
        <w:t>cf-art-182-par-2</w:t>
      </w:r>
    </w:p>
    <w:p>
      <w:pPr>
        <w:ind w:left="288"/>
      </w:pPr>
      <w:r>
        <w:rPr>
          <w:color w:val="1E1E1E"/>
          <w:sz w:val="18"/>
        </w:rPr>
        <w:t>É inconstitucional a lei municipal que tenha estabelecido, antes da EC 29/2000, alíquotas progressivas para o IPTU, salvo se destinada a assegurar o cumprimento da função social da propriedade urbana.</w:t>
      </w:r>
    </w:p>
    <w:p>
      <w:pPr>
        <w:ind w:left="288"/>
      </w:pPr>
      <w:r>
        <w:rPr>
          <w:b/>
          <w:color w:val="003CA0"/>
          <w:sz w:val="16"/>
        </w:rPr>
        <w:t>[Súmula 668.]</w:t>
      </w:r>
    </w:p>
    <w:p>
      <w:pPr>
        <w:ind w:left="144"/>
      </w:pPr>
      <w:r>
        <w:rPr>
          <w:b/>
          <w:color w:val="B45A00"/>
          <w:sz w:val="16"/>
        </w:rPr>
        <w:t>JULGADOS CORRELATOS</w:t>
      </w:r>
    </w:p>
    <w:p>
      <w:pPr>
        <w:ind w:left="288"/>
      </w:pPr>
      <w:r>
        <w:rPr>
          <w:color w:val="8C8C8C"/>
          <w:sz w:val="12"/>
        </w:rPr>
        <w:t>cf-art-182-par-3</w:t>
      </w:r>
      <w:r>
        <w:rPr>
          <w:color w:val="003CA0"/>
          <w:sz w:val="12"/>
        </w:rPr>
        <w:t xml:space="preserve"> | RE 184.069</w:t>
      </w:r>
      <w:r>
        <w:rPr>
          <w:color w:val="003CA0"/>
          <w:sz w:val="12"/>
        </w:rPr>
        <w:t xml:space="preserve"> | rel. Néri da Silveira</w:t>
      </w:r>
    </w:p>
    <w:p>
      <w:pPr>
        <w:ind w:left="288"/>
      </w:pPr>
      <w:r>
        <w:rPr>
          <w:color w:val="1E1E1E"/>
          <w:sz w:val="18"/>
        </w:rPr>
        <w:t>Já assentou a Corte que o "depósito prévio não importa o pagamento definitivo e justo conforme o art. 5º, XXIV, da Lei Maior de 1988", com o que não existe "incompatibilidade do art. 3º do DL 1.075/1970 e do art. 15 e seus parágrafos, DL 3.365/1941, com os dispositivos constitucionais aludidos (...)" (RE  184.069/SP, rel. min. Néri da Silveira, DJ de 8-3-2002). Também a Primeira Turma decidiu que a "norma do art. 3º do DL 1.075/1970, que permite ao desapropriante o pagamento de metade do valor arbitrado, para imitir-se provisoriamente na posse de imóvel urbano, já não era incompatível com a Ca</w:t>
      </w:r>
    </w:p>
    <w:p>
      <w:pPr>
        <w:ind w:left="288"/>
      </w:pPr>
      <w:r>
        <w:rPr>
          <w:b/>
          <w:color w:val="003CA0"/>
          <w:sz w:val="16"/>
        </w:rPr>
        <w:t>[RE 191.078, rel. min. Menezes Direito, j. 15-4-2008, 1ª T, DJE de 20-6-2008.]</w:t>
      </w:r>
    </w:p>
    <w:p>
      <w:pPr>
        <w:ind w:left="288"/>
      </w:pPr>
      <w:r>
        <w:rPr>
          <w:color w:val="8C8C8C"/>
          <w:sz w:val="12"/>
        </w:rPr>
        <w:t>cf-art-182-par-4</w:t>
      </w:r>
      <w:r>
        <w:rPr>
          <w:color w:val="003CA0"/>
          <w:sz w:val="12"/>
        </w:rPr>
        <w:t xml:space="preserve"> | ARE 1.521.864</w:t>
      </w:r>
      <w:r>
        <w:rPr>
          <w:color w:val="003CA0"/>
          <w:sz w:val="12"/>
        </w:rPr>
        <w:t xml:space="preserve"> | rel. Flávio Dino</w:t>
      </w:r>
    </w:p>
    <w:p>
      <w:pPr>
        <w:ind w:left="288"/>
      </w:pPr>
      <w:r>
        <w:rPr>
          <w:color w:val="1E1E1E"/>
          <w:sz w:val="18"/>
        </w:rPr>
        <w:t>O Município não pode se eximir da responsabilidade de promover o adequado ordenamento territorial e o pleno desenvolvimento das funções sociais da cidade, devendo aplicar os instrumentos de política urbana previstos no art. 182, § 4º, da Constituição Federal, e nos arts. 5º e 7º do Estatuto da Cidade. A omissão do Município, que se limita à fiscalização sem a adoção de medidas efetivas para sanar situação de risco, configura inércia administrativa inconstitucional.</w:t>
      </w:r>
    </w:p>
    <w:p>
      <w:pPr>
        <w:ind w:left="288"/>
      </w:pPr>
      <w:r>
        <w:rPr>
          <w:b/>
          <w:color w:val="003CA0"/>
          <w:sz w:val="16"/>
        </w:rPr>
        <w:t>[ARE 1.521.864 ED-AgR-segundo, rel. min. Flávio Dino, j. 26.11.2025, 1ª T, DJE de 03.12.2025.]</w:t>
      </w:r>
    </w:p>
    <w:p>
      <w:pPr>
        <w:ind w:left="144"/>
      </w:pPr>
      <w:r>
        <w:rPr>
          <w:b/>
          <w:color w:val="B45A00"/>
          <w:sz w:val="16"/>
        </w:rPr>
        <w:t>SUMULA</w:t>
      </w:r>
    </w:p>
    <w:p>
      <w:pPr>
        <w:ind w:left="288"/>
      </w:pPr>
      <w:r>
        <w:rPr>
          <w:color w:val="8C8C8C"/>
          <w:sz w:val="12"/>
        </w:rPr>
        <w:t>cf-art-182-par-4-inc-II</w:t>
      </w:r>
    </w:p>
    <w:p>
      <w:pPr>
        <w:ind w:left="288"/>
      </w:pPr>
      <w:r>
        <w:rPr>
          <w:color w:val="1E1E1E"/>
          <w:sz w:val="18"/>
        </w:rPr>
        <w:t>É inconstitucional a lei municipal que tenha estabelecido, antes da EC 29/2000, alíquotas progressivas para o IPTU, salvo se destinada a assegurar o cumprimento da função social da propriedade urbana.</w:t>
      </w:r>
    </w:p>
    <w:p>
      <w:pPr>
        <w:ind w:left="288"/>
      </w:pPr>
      <w:r>
        <w:rPr>
          <w:b/>
          <w:color w:val="003CA0"/>
          <w:sz w:val="16"/>
        </w:rPr>
        <w:t>[Súmula 668.]</w:t>
      </w:r>
    </w:p>
    <w:p>
      <w:pPr>
        <w:ind w:left="144"/>
      </w:pPr>
      <w:r>
        <w:rPr>
          <w:b/>
          <w:color w:val="B45A00"/>
          <w:sz w:val="16"/>
        </w:rPr>
        <w:t>JULGADOS CORRELATOS</w:t>
      </w:r>
    </w:p>
    <w:p>
      <w:pPr>
        <w:ind w:left="288"/>
      </w:pPr>
      <w:r>
        <w:rPr>
          <w:color w:val="8C8C8C"/>
          <w:sz w:val="12"/>
        </w:rPr>
        <w:t>cf-art-182-par-4-inc-II</w:t>
      </w:r>
      <w:r>
        <w:rPr>
          <w:color w:val="003CA0"/>
          <w:sz w:val="12"/>
        </w:rPr>
        <w:t xml:space="preserve"> | RE 194.036</w:t>
      </w:r>
      <w:r>
        <w:rPr>
          <w:color w:val="003CA0"/>
          <w:sz w:val="12"/>
        </w:rPr>
        <w:t xml:space="preserve"> | rel. Ilmar Galvão</w:t>
      </w:r>
    </w:p>
    <w:p>
      <w:pPr>
        <w:ind w:left="288"/>
      </w:pPr>
      <w:r>
        <w:rPr>
          <w:color w:val="1E1E1E"/>
          <w:sz w:val="18"/>
        </w:rPr>
        <w:t>IPTU calculado com base em alíquota progressiva, em razão da área do terreno e do valor venal do imóvel e das edificações. Ilegitimidade da exigência, nos moldes explicitados, por ofensa ao art. 182, § 4º, II, da CF, que limita a faculdade contida no art. 156, § 1º, à observância do disposto em lei federal e à utilização do fator tempo para a graduação do tributo.</w:t>
      </w:r>
    </w:p>
    <w:p>
      <w:pPr>
        <w:ind w:left="288"/>
      </w:pPr>
      <w:r>
        <w:rPr>
          <w:b/>
          <w:color w:val="003CA0"/>
          <w:sz w:val="16"/>
        </w:rPr>
        <w:t>[RE 194.036, rel. min. Ilmar Galvão, j. 24-4-1997, P, DJ de 20-6-1997.]</w:t>
      </w:r>
    </w:p>
    <w:p>
      <w:pPr>
        <w:ind w:left="288"/>
      </w:pPr>
      <w:r>
        <w:rPr>
          <w:color w:val="8C8C8C"/>
          <w:sz w:val="12"/>
        </w:rPr>
        <w:t>cf-art-182-par-4-inc-II</w:t>
      </w:r>
    </w:p>
    <w:p>
      <w:pPr>
        <w:ind w:left="288"/>
      </w:pPr>
      <w:r>
        <w:rPr>
          <w:color w:val="1E1E1E"/>
          <w:sz w:val="18"/>
        </w:rPr>
        <w:t>III - desapropriação com pagamento mediante títulos da dívida pública de emissão previamente aprovada pelo Senado Federal, com prazo de resgate de até dez anos, em parcelas anuais, iguais e sucessivas, assegurados o valor real da indenização e os juros legais.</w:t>
      </w:r>
    </w:p>
    <w:p>
      <w:pPr>
        <w:ind w:left="432"/>
      </w:pPr>
      <w:r>
        <w:rPr>
          <w:color w:val="003366"/>
          <w:sz w:val="18"/>
        </w:rPr>
        <w:t>§ 1 O plano diretor, aprovado pela Câmara Municipal, obrigatório para cidades co</w:t>
      </w:r>
    </w:p>
    <w:p>
      <w:pPr>
        <w:ind w:left="432"/>
      </w:pPr>
      <w:r>
        <w:rPr>
          <w:color w:val="003366"/>
          <w:sz w:val="18"/>
        </w:rPr>
        <w:t>§ 2 A propriedade urbana cumpre sua função social quando atende às exigências fu</w:t>
      </w:r>
    </w:p>
    <w:p>
      <w:pPr>
        <w:ind w:left="432"/>
      </w:pPr>
      <w:r>
        <w:rPr>
          <w:color w:val="003366"/>
          <w:sz w:val="18"/>
        </w:rPr>
        <w:t>§ 3 As desapropriações de imóveis urbanos serão feitas com prévia e justa indeni</w:t>
      </w:r>
    </w:p>
    <w:p>
      <w:pPr>
        <w:ind w:left="432"/>
      </w:pPr>
      <w:r>
        <w:rPr>
          <w:color w:val="003366"/>
          <w:sz w:val="18"/>
        </w:rPr>
        <w:t>§ 4 É facultado ao Poder Público municipal, mediante lei específica para área in</w:t>
      </w:r>
    </w:p>
    <w:p>
      <w:pPr>
        <w:ind w:left="720"/>
      </w:pPr>
      <w:r>
        <w:rPr>
          <w:color w:val="003366"/>
          <w:sz w:val="18"/>
        </w:rPr>
        <w:t>I – parcelamento ou edificação compulsórios;</w:t>
      </w:r>
    </w:p>
    <w:p>
      <w:pPr>
        <w:ind w:left="720"/>
      </w:pPr>
      <w:r>
        <w:rPr>
          <w:color w:val="003366"/>
          <w:sz w:val="18"/>
        </w:rPr>
        <w:t>II – imposto sobre a propriedade predial e territorial urbana progressivo no tem</w:t>
      </w:r>
    </w:p>
    <w:p>
      <w:pPr>
        <w:ind w:left="720"/>
      </w:pPr>
      <w:r>
        <w:rPr>
          <w:color w:val="003366"/>
          <w:sz w:val="18"/>
        </w:rPr>
        <w:t>III – desapropriação com pagamento mediante títulos da dívida pública de emissão</w:t>
      </w:r>
    </w:p>
    <w:p>
      <w:r>
        <w:rPr>
          <w:b/>
          <w:color w:val="003366"/>
          <w:sz w:val="20"/>
        </w:rPr>
        <w:t>Art. 183 Aquele que possuir como sua área urbana de até duzentos e cinqüenta met</w:t>
      </w:r>
      <w:r>
        <w:rPr>
          <w:color w:val="8C8C8C"/>
          <w:sz w:val="14"/>
        </w:rPr>
        <w:t xml:space="preserve">  [4 decisoes]</w:t>
      </w:r>
    </w:p>
    <w:p>
      <w:pPr>
        <w:ind w:left="144"/>
      </w:pPr>
      <w:r>
        <w:rPr>
          <w:b/>
          <w:color w:val="B45A00"/>
          <w:sz w:val="16"/>
        </w:rPr>
        <w:t>REPERCUSSAO GERAL</w:t>
      </w:r>
    </w:p>
    <w:p>
      <w:pPr>
        <w:ind w:left="288"/>
      </w:pPr>
      <w:r>
        <w:rPr>
          <w:color w:val="8C8C8C"/>
          <w:sz w:val="12"/>
        </w:rPr>
        <w:t>cf-art-183</w:t>
      </w:r>
      <w:r>
        <w:rPr>
          <w:color w:val="003CA0"/>
          <w:sz w:val="12"/>
        </w:rPr>
        <w:t xml:space="preserve"> | RE 422.349</w:t>
      </w:r>
      <w:r>
        <w:rPr>
          <w:color w:val="003CA0"/>
          <w:sz w:val="12"/>
        </w:rPr>
        <w:t xml:space="preserve"> | rel. Dias Toffoli</w:t>
      </w:r>
    </w:p>
    <w:p>
      <w:pPr>
        <w:ind w:left="288"/>
      </w:pPr>
      <w:r>
        <w:rPr>
          <w:color w:val="1E1E1E"/>
          <w:sz w:val="18"/>
        </w:rPr>
        <w:t>(...) preenchidos os requisitos do art. 183 da CF, o reconhecimento do direito à usucapião especial urbana não pode ser obstado por legislação infraconstitucional que estabeleça módulos urbanos na respectiva área em que situado o imóvel (dimensão do lote).</w:t>
      </w:r>
    </w:p>
    <w:p>
      <w:pPr>
        <w:ind w:left="288"/>
      </w:pPr>
      <w:r>
        <w:rPr>
          <w:b/>
          <w:color w:val="003CA0"/>
          <w:sz w:val="16"/>
        </w:rPr>
        <w:t>[RE 422.349, rel. min. Dias Toffoli, j. 29-4-2015, P, DJE de 5-8-2015, Tema 815, com mérito julgado.]</w:t>
      </w:r>
    </w:p>
    <w:p>
      <w:pPr>
        <w:ind w:left="144"/>
      </w:pPr>
      <w:r>
        <w:rPr>
          <w:b/>
          <w:color w:val="B45A00"/>
          <w:sz w:val="16"/>
        </w:rPr>
        <w:t>JULGADOS CORRELATOS</w:t>
      </w:r>
    </w:p>
    <w:p>
      <w:pPr>
        <w:ind w:left="288"/>
      </w:pPr>
      <w:r>
        <w:rPr>
          <w:color w:val="8C8C8C"/>
          <w:sz w:val="12"/>
        </w:rPr>
        <w:t>cf-art-183</w:t>
      </w:r>
      <w:r>
        <w:rPr>
          <w:color w:val="003CA0"/>
          <w:sz w:val="12"/>
        </w:rPr>
        <w:t xml:space="preserve"> | RE 172.726</w:t>
      </w:r>
      <w:r>
        <w:rPr>
          <w:color w:val="003CA0"/>
          <w:sz w:val="12"/>
        </w:rPr>
        <w:t xml:space="preserve"> | rel. Marco Aurélio</w:t>
      </w:r>
    </w:p>
    <w:p>
      <w:pPr>
        <w:ind w:left="288"/>
      </w:pPr>
      <w:r>
        <w:rPr>
          <w:color w:val="1E1E1E"/>
          <w:sz w:val="18"/>
        </w:rPr>
        <w:t>Usucapião urbano especial. Art. 183 da CF. Longe fica de vulnerar o preceito decisão no sentido de obstáculo ao reconhecimento da prescrição aquisitiva em face de acordo homologado judicialmente.</w:t>
      </w:r>
    </w:p>
    <w:p>
      <w:pPr>
        <w:ind w:left="288"/>
      </w:pPr>
      <w:r>
        <w:rPr>
          <w:b/>
          <w:color w:val="003CA0"/>
          <w:sz w:val="16"/>
        </w:rPr>
        <w:t>[RE 172.726, rel. min. Marco Aurélio, j. 14-12-1998, 2ª T, DJ de 14-5-1999.]</w:t>
      </w:r>
    </w:p>
    <w:p>
      <w:pPr>
        <w:ind w:left="288"/>
      </w:pPr>
      <w:r>
        <w:rPr>
          <w:color w:val="8C8C8C"/>
          <w:sz w:val="12"/>
        </w:rPr>
        <w:t>cf-art-183-par-3</w:t>
      </w:r>
      <w:r>
        <w:rPr>
          <w:color w:val="003CA0"/>
          <w:sz w:val="12"/>
        </w:rPr>
        <w:t xml:space="preserve"> | RE 218.324</w:t>
      </w:r>
      <w:r>
        <w:rPr>
          <w:color w:val="003CA0"/>
          <w:sz w:val="12"/>
        </w:rPr>
        <w:t xml:space="preserve"> | rel. Joaquim Barbosa</w:t>
      </w:r>
    </w:p>
    <w:p>
      <w:pPr>
        <w:ind w:left="288"/>
      </w:pPr>
      <w:r>
        <w:rPr>
          <w:color w:val="1E1E1E"/>
          <w:sz w:val="18"/>
        </w:rPr>
        <w:t>Usucapião de domínio útil de bem público (terreno de marinha). (...) O ajuizamento de ação contra o foreiro, na qual se pretende usucapião do domínio útil do bem, não viola a regra de que os bens públicos não se adquirem por usucapião.</w:t>
      </w:r>
    </w:p>
    <w:p>
      <w:pPr>
        <w:ind w:left="288"/>
      </w:pPr>
      <w:r>
        <w:rPr>
          <w:b/>
          <w:color w:val="003CA0"/>
          <w:sz w:val="16"/>
        </w:rPr>
        <w:t>[RE 218.324 AgR, rel. min. Joaquim Barbosa, j. 20-4-2010, 2ª T, DJE de 28-5-2010.]</w:t>
      </w:r>
    </w:p>
    <w:p>
      <w:pPr>
        <w:ind w:left="288"/>
      </w:pPr>
      <w:r>
        <w:rPr>
          <w:color w:val="8C8C8C"/>
          <w:sz w:val="12"/>
        </w:rPr>
        <w:t>cf-art-183-par-3</w:t>
      </w:r>
    </w:p>
    <w:p>
      <w:pPr>
        <w:ind w:left="288"/>
      </w:pPr>
      <w:r>
        <w:rPr>
          <w:color w:val="1E1E1E"/>
          <w:sz w:val="18"/>
        </w:rPr>
        <w:t>CAPÍTULO III Da Política Agrícola e Fundiária e da Reforma Agrária SUMÁRIO</w:t>
      </w:r>
    </w:p>
    <w:p>
      <w:pPr>
        <w:ind w:left="432"/>
      </w:pPr>
      <w:r>
        <w:rPr>
          <w:color w:val="003366"/>
          <w:sz w:val="18"/>
        </w:rPr>
        <w:t>§ 1 O título de domínio e a concessão de uso serão conferidos ao homem ou à mulh</w:t>
      </w:r>
    </w:p>
    <w:p>
      <w:pPr>
        <w:ind w:left="432"/>
      </w:pPr>
      <w:r>
        <w:rPr>
          <w:color w:val="003366"/>
          <w:sz w:val="18"/>
        </w:rPr>
        <w:t>§ 2 Esse direito não será reconhecido ao mesmo possuidor mais de uma vez.</w:t>
      </w:r>
    </w:p>
    <w:p>
      <w:pPr>
        <w:ind w:left="432"/>
      </w:pPr>
      <w:r>
        <w:rPr>
          <w:color w:val="003366"/>
          <w:sz w:val="18"/>
        </w:rPr>
        <w:t>§ 3 Os imóveis públicos não serão adquiridos por usucapião.</w:t>
      </w:r>
    </w:p>
    <w:p>
      <w:pPr>
        <w:pStyle w:val="Heading2"/>
      </w:pPr>
      <w:r>
        <w:rPr>
          <w:color w:val="003366"/>
        </w:rPr>
        <w:t>CAPÍTULO III - DA POLÍTICA AGRÍCOLA E FUNDIÁRIA E DA REFORMA AGRÁRIA Regulamento</w:t>
      </w:r>
    </w:p>
    <w:p>
      <w:r>
        <w:rPr>
          <w:b/>
          <w:color w:val="003366"/>
          <w:sz w:val="20"/>
        </w:rPr>
        <w:t>Art. 184 Compete à União desapropriar por interesse social, para fins de reforma</w:t>
      </w:r>
      <w:r>
        <w:rPr>
          <w:color w:val="8C8C8C"/>
          <w:sz w:val="14"/>
        </w:rPr>
        <w:t xml:space="preserve">  [20 decisoes]</w:t>
      </w:r>
    </w:p>
    <w:p>
      <w:pPr>
        <w:ind w:left="144"/>
      </w:pPr>
      <w:r>
        <w:rPr>
          <w:b/>
          <w:color w:val="B45A00"/>
          <w:sz w:val="16"/>
        </w:rPr>
        <w:t>SUMULA</w:t>
      </w:r>
    </w:p>
    <w:p>
      <w:pPr>
        <w:ind w:left="288"/>
      </w:pPr>
      <w:r>
        <w:rPr>
          <w:color w:val="8C8C8C"/>
          <w:sz w:val="12"/>
        </w:rPr>
        <w:t>cf-art-184</w:t>
      </w:r>
    </w:p>
    <w:p>
      <w:pPr>
        <w:ind w:left="288"/>
      </w:pPr>
      <w:r>
        <w:rPr>
          <w:color w:val="1E1E1E"/>
          <w:sz w:val="18"/>
        </w:rPr>
        <w:t>Na desapropriação, direta ou indireta, a taxa dos juros compensatórios é de 12% ao ano.</w:t>
      </w:r>
    </w:p>
    <w:p>
      <w:pPr>
        <w:ind w:left="288"/>
      </w:pPr>
      <w:r>
        <w:rPr>
          <w:b/>
          <w:color w:val="003CA0"/>
          <w:sz w:val="16"/>
        </w:rPr>
        <w:t>[Súmula 618.]</w:t>
      </w:r>
    </w:p>
    <w:p>
      <w:pPr>
        <w:ind w:left="144"/>
      </w:pPr>
      <w:r>
        <w:rPr>
          <w:b/>
          <w:color w:val="B45A00"/>
          <w:sz w:val="16"/>
        </w:rPr>
        <w:t>CONTROLE CONCENTRADO</w:t>
      </w:r>
    </w:p>
    <w:p>
      <w:pPr>
        <w:ind w:left="288"/>
      </w:pPr>
      <w:r>
        <w:rPr>
          <w:color w:val="8C8C8C"/>
          <w:sz w:val="12"/>
        </w:rPr>
        <w:t>cf-art-184</w:t>
      </w:r>
      <w:r>
        <w:rPr>
          <w:color w:val="003CA0"/>
          <w:sz w:val="12"/>
        </w:rPr>
        <w:t xml:space="preserve"> | ADI 2.213</w:t>
      </w:r>
      <w:r>
        <w:rPr>
          <w:color w:val="003CA0"/>
          <w:sz w:val="12"/>
        </w:rPr>
        <w:t xml:space="preserve"> | rel. Nunes Marques</w:t>
      </w:r>
    </w:p>
    <w:p>
      <w:pPr>
        <w:ind w:left="288"/>
      </w:pPr>
      <w:r>
        <w:rPr>
          <w:color w:val="1E1E1E"/>
          <w:sz w:val="18"/>
        </w:rPr>
        <w:t>É constitucional a fixação de prazo mínimo para o início do procedimento de vistoria em que se avaliará o cumprimento da função social de imóvel objeto de esbulho possessório ou invasão motivada por conflito agrário ou fundiário de caráter coletivo. Disposição que encontra respaldo também no art. 4º do Decreto n. 2.250/1997. Contudo, a ocupação apta a atrair a aplicação do § 6º do art. 2º da Lei n. 8.629/1993 deve ser anterior ou contemporâneo aos procedimentos expropriatórios e atingir porção significativa do imóvel. (...) O processo de reforma agrária não pode ser conduzido de maneira arbitr</w:t>
      </w:r>
    </w:p>
    <w:p>
      <w:pPr>
        <w:ind w:left="144"/>
      </w:pPr>
      <w:r>
        <w:rPr>
          <w:b/>
          <w:color w:val="B45A00"/>
          <w:sz w:val="16"/>
        </w:rPr>
        <w:t>JULGADOS CORRELATOS</w:t>
      </w:r>
    </w:p>
    <w:p>
      <w:pPr>
        <w:ind w:left="288"/>
      </w:pPr>
      <w:r>
        <w:rPr>
          <w:color w:val="8C8C8C"/>
          <w:sz w:val="12"/>
        </w:rPr>
        <w:t>cf-art-184</w:t>
      </w:r>
      <w:r>
        <w:rPr>
          <w:color w:val="003CA0"/>
          <w:sz w:val="12"/>
        </w:rPr>
        <w:t xml:space="preserve"> | MS 25.119</w:t>
      </w:r>
      <w:r>
        <w:rPr>
          <w:color w:val="003CA0"/>
          <w:sz w:val="12"/>
        </w:rPr>
        <w:t xml:space="preserve"> | rel. Nunes Marques</w:t>
      </w:r>
    </w:p>
    <w:p>
      <w:pPr>
        <w:ind w:left="288"/>
      </w:pPr>
      <w:r>
        <w:rPr>
          <w:color w:val="1E1E1E"/>
          <w:sz w:val="18"/>
        </w:rPr>
        <w:t>Nos termos do art. 2º, § 6º, da Lei n. 8.629/1993, não pode haver avaliação, vistoria ou desapropriação em imóvel rural objeto de esbulho possessório ou de invasão motivada por conflito agrário ou fundiário de caráter coletivo, bem como nos dois anos seguintes à desocupação.</w:t>
        <w:br/>
        <w:t xml:space="preserve">[MS 25.119 AgR, rel. min. Nunes Marques, j. 19-9-2022, P, DJE de 29-9-2022.] Os Estados-membros e os Municípios não dispõem do poder de desapropriar imóveis rurais, por interesse social, para efeito de reforma agrária, inclusive para fins de implementação de projetos de assentamento rural ou de estabelecimento de colônias </w:t>
      </w:r>
    </w:p>
    <w:p>
      <w:pPr>
        <w:ind w:left="288"/>
      </w:pPr>
      <w:r>
        <w:rPr>
          <w:b/>
          <w:color w:val="003CA0"/>
          <w:sz w:val="16"/>
        </w:rPr>
        <w:t>[MS 32.752 AgR, rel. min. Celso de Mello, j. 17-6-2015, P, DJE de 10-8-2015.]</w:t>
      </w:r>
    </w:p>
    <w:p>
      <w:pPr>
        <w:ind w:left="288"/>
      </w:pPr>
      <w:r>
        <w:rPr>
          <w:color w:val="8C8C8C"/>
          <w:sz w:val="12"/>
        </w:rPr>
        <w:t>cf-art-184</w:t>
      </w:r>
      <w:r>
        <w:rPr>
          <w:color w:val="003CA0"/>
          <w:sz w:val="12"/>
        </w:rPr>
        <w:t xml:space="preserve"> | RE 595.168</w:t>
      </w:r>
      <w:r>
        <w:rPr>
          <w:color w:val="003CA0"/>
          <w:sz w:val="12"/>
        </w:rPr>
        <w:t xml:space="preserve"> | rel. Ricardo Lewandowski</w:t>
      </w:r>
    </w:p>
    <w:p>
      <w:pPr>
        <w:ind w:left="288"/>
      </w:pPr>
      <w:r>
        <w:rPr>
          <w:color w:val="1E1E1E"/>
          <w:sz w:val="18"/>
        </w:rPr>
        <w:t>Exaurido o período vintenário para resgate dos títulos da dívida agrária, o pagamento complementar da indenização fixada na decisão final da ação expropriatória deve ser efetuado na forma do art. 100 da Constituição, e não em títulos da dívida agrária complementares, em atenção ao princípio da prévia e justa indenização nas desapropriações por interesse social e em observância ao sistema de pagamento das condenações judiciais impostas à Fazenda Pública.</w:t>
      </w:r>
    </w:p>
    <w:p>
      <w:pPr>
        <w:ind w:left="288"/>
      </w:pPr>
      <w:r>
        <w:rPr>
          <w:b/>
          <w:color w:val="003CA0"/>
          <w:sz w:val="16"/>
        </w:rPr>
        <w:t>[RE 595.168, rel. min. Ricardo Lewandowski, j. 6-8-2013, 2ª T, DJE de 25-3-2014.]</w:t>
      </w:r>
    </w:p>
    <w:p>
      <w:pPr>
        <w:ind w:left="288"/>
      </w:pPr>
      <w:r>
        <w:rPr>
          <w:color w:val="8C8C8C"/>
          <w:sz w:val="12"/>
        </w:rPr>
        <w:t>cf-art-184</w:t>
      </w:r>
      <w:r>
        <w:rPr>
          <w:color w:val="003CA0"/>
          <w:sz w:val="12"/>
        </w:rPr>
        <w:t xml:space="preserve"> | MS 26.192</w:t>
      </w:r>
      <w:r>
        <w:rPr>
          <w:color w:val="003CA0"/>
          <w:sz w:val="12"/>
        </w:rPr>
        <w:t xml:space="preserve"> | rel. Joaquim Barbosa</w:t>
      </w:r>
    </w:p>
    <w:p>
      <w:pPr>
        <w:ind w:left="288"/>
      </w:pPr>
      <w:r>
        <w:rPr>
          <w:color w:val="1E1E1E"/>
          <w:sz w:val="18"/>
        </w:rPr>
        <w:t>Mandado de segurança impetrado contra decreto presidencial que declarou de interesse social, para fins de estabelecimento e a manutenção de colônias ou cooperativas de povoamento de trabalho agrícola, o imóvel conhecido como "Fazenda Tambauzinho" (arts. 5º, XXIV, e 84, IV, da Constituição e art. 2º, III, da Lei 4.132/1962). (...) Suposto desvio de finalidade, na medida em que o decreto presidencial teria por real objetivo realizar reforma agrária cuja viabilidade já fora rechaçada pelo Judiciário local. Argumentação improcedente, pois a desapropriação para fins de reforma agrária não esgota os</w:t>
      </w:r>
    </w:p>
    <w:p>
      <w:pPr>
        <w:ind w:left="288"/>
      </w:pPr>
      <w:r>
        <w:rPr>
          <w:b/>
          <w:color w:val="003CA0"/>
          <w:sz w:val="16"/>
        </w:rPr>
        <w:t>[MS 26.192, rel. min. Joaquim Barbosa, j. 11-5-2011, P, DJE de 23-8-2011.]</w:t>
      </w:r>
    </w:p>
    <w:p>
      <w:pPr>
        <w:ind w:left="288"/>
      </w:pPr>
      <w:r>
        <w:rPr>
          <w:color w:val="8C8C8C"/>
          <w:sz w:val="12"/>
        </w:rPr>
        <w:t>cf-art-184</w:t>
      </w:r>
      <w:r>
        <w:rPr>
          <w:color w:val="003CA0"/>
          <w:sz w:val="12"/>
        </w:rPr>
        <w:t xml:space="preserve"> | MS 25.284</w:t>
      </w:r>
      <w:r>
        <w:rPr>
          <w:color w:val="003CA0"/>
          <w:sz w:val="12"/>
        </w:rPr>
        <w:t xml:space="preserve"> | rel. Marco Aurélio</w:t>
      </w:r>
    </w:p>
    <w:p>
      <w:pPr>
        <w:ind w:left="288"/>
      </w:pPr>
      <w:r>
        <w:rPr>
          <w:color w:val="1E1E1E"/>
          <w:sz w:val="18"/>
        </w:rPr>
        <w:t>Não coabitam o mesmo teto, sob o ângulo constitucional, reserva extrativista e reforma agrária.</w:t>
      </w:r>
    </w:p>
    <w:p>
      <w:pPr>
        <w:ind w:left="288"/>
      </w:pPr>
      <w:r>
        <w:rPr>
          <w:b/>
          <w:color w:val="003CA0"/>
          <w:sz w:val="16"/>
        </w:rPr>
        <w:t>[MS 25.284, rel. min. Marco Aurélio, j. 17-6-2010, P, DJE de 13-8-2010.]</w:t>
      </w:r>
    </w:p>
    <w:p>
      <w:pPr>
        <w:ind w:left="288"/>
      </w:pPr>
      <w:r>
        <w:rPr>
          <w:color w:val="8C8C8C"/>
          <w:sz w:val="12"/>
        </w:rPr>
        <w:t>cf-art-184</w:t>
      </w:r>
      <w:r>
        <w:rPr>
          <w:color w:val="003CA0"/>
          <w:sz w:val="12"/>
        </w:rPr>
        <w:t xml:space="preserve"> | MS 25.391</w:t>
      </w:r>
      <w:r>
        <w:rPr>
          <w:color w:val="003CA0"/>
          <w:sz w:val="12"/>
        </w:rPr>
        <w:t xml:space="preserve"> | rel. Ayres Britto</w:t>
      </w:r>
    </w:p>
    <w:p>
      <w:pPr>
        <w:ind w:left="288"/>
      </w:pPr>
      <w:r>
        <w:rPr>
          <w:color w:val="1E1E1E"/>
          <w:sz w:val="18"/>
        </w:rPr>
        <w:t>O imóvel rural situado em área de cobertura florestal primária, incidente no Ecossistema da Floresta Amazônica, é passível de desapropriação para fins de reforma agrária, desde que as terras sejam destinadas à criação de projetos de assentamento agroextrativista (parágrafo único do art. 1º da Portaria/MEPF 88/1999 e § 6º do art. 37-A do Código Florestal).</w:t>
      </w:r>
    </w:p>
    <w:p>
      <w:pPr>
        <w:ind w:left="288"/>
      </w:pPr>
      <w:r>
        <w:rPr>
          <w:b/>
          <w:color w:val="003CA0"/>
          <w:sz w:val="16"/>
        </w:rPr>
        <w:t>[MS 25.391, rel. min. Ayres Britto, j. 12-5-2010, P, DJE de 1º-10-2010.]</w:t>
      </w:r>
    </w:p>
    <w:p>
      <w:pPr>
        <w:ind w:left="288"/>
      </w:pPr>
      <w:r>
        <w:rPr>
          <w:color w:val="8C8C8C"/>
          <w:sz w:val="12"/>
        </w:rPr>
        <w:t>cf-art-184</w:t>
      </w:r>
      <w:r>
        <w:rPr>
          <w:color w:val="003CA0"/>
          <w:sz w:val="12"/>
        </w:rPr>
        <w:t xml:space="preserve"> | MS 28.406</w:t>
      </w:r>
      <w:r>
        <w:rPr>
          <w:color w:val="003CA0"/>
          <w:sz w:val="12"/>
        </w:rPr>
        <w:t xml:space="preserve"> | rel. Dias Toffoli</w:t>
      </w:r>
    </w:p>
    <w:p>
      <w:pPr>
        <w:ind w:left="288"/>
      </w:pPr>
      <w:r>
        <w:rPr>
          <w:color w:val="1E1E1E"/>
          <w:sz w:val="18"/>
        </w:rPr>
        <w:t>= MS 28.406 AgR, rel. min. Dias Toffoli, j. 20-3-2013, P, DJE de 30-4-2013 Na ação de desapropriação não há espaço para discussões acerca do senhorio do bem desapropriado. Daí não proceder a alegação de que a matéria alusiva à propriedade da gleba desapropriada está protegida pelo manto da coisa julgada material. (...) No mérito, há desrespeito à decisão proferida no RE 52.331; pois, ao determinar o levantamento dos valores complementares pelos interessados, o juízo reclamado desconsiderou o fato de que, no julgamento do mencionado apelo extremo, este Supremo Tribunal proclamou pertencerem à U</w:t>
      </w:r>
    </w:p>
    <w:p>
      <w:pPr>
        <w:ind w:left="288"/>
      </w:pPr>
      <w:r>
        <w:rPr>
          <w:b/>
          <w:color w:val="003CA0"/>
          <w:sz w:val="16"/>
        </w:rPr>
        <w:t>[Rcl 3.437, rel. min. Ayres Britto, j. 18-10-2007, P, DJE de 2-5-2008.]</w:t>
      </w:r>
    </w:p>
    <w:p>
      <w:pPr>
        <w:ind w:left="288"/>
      </w:pPr>
      <w:r>
        <w:rPr>
          <w:color w:val="8C8C8C"/>
          <w:sz w:val="12"/>
        </w:rPr>
        <w:t>cf-art-184</w:t>
      </w:r>
      <w:r>
        <w:rPr>
          <w:color w:val="003CA0"/>
          <w:sz w:val="12"/>
        </w:rPr>
        <w:t xml:space="preserve"> | STA 85</w:t>
      </w:r>
      <w:r>
        <w:rPr>
          <w:color w:val="003CA0"/>
          <w:sz w:val="12"/>
        </w:rPr>
        <w:t xml:space="preserve"> | rel. Ellen Gracie</w:t>
      </w:r>
    </w:p>
    <w:p>
      <w:pPr>
        <w:ind w:left="288"/>
      </w:pPr>
      <w:r>
        <w:rPr>
          <w:color w:val="1E1E1E"/>
          <w:sz w:val="18"/>
        </w:rPr>
        <w:t>A decisão impugnada no presente pedido de suspensão concedeu antecipação de tutela para sobrestar o processo administrativo de desapropriação, até que se providenciasse a exclusão das áreas destacadas do imóvel expropriando e transferidas para outras matrículas. Existência de grave lesão à ordem pública, considerada em termos de ordem administrativa, dado que a decisão impugnada no presente pedido de suspensão impede a administração de executar uma política pública, qual seja, a implementação da reforma agrária. Inexistência de contradição entre os fundamentos da decisão ora agravada e a sua c</w:t>
      </w:r>
    </w:p>
    <w:p>
      <w:pPr>
        <w:ind w:left="288"/>
      </w:pPr>
      <w:r>
        <w:rPr>
          <w:b/>
          <w:color w:val="003CA0"/>
          <w:sz w:val="16"/>
        </w:rPr>
        <w:t>[STA 85 ED, rel. min. Ellen Gracie, j. 12-9-2007, P, DJ de 11-10-2007.]</w:t>
      </w:r>
    </w:p>
    <w:p>
      <w:pPr>
        <w:ind w:left="288"/>
      </w:pPr>
      <w:r>
        <w:rPr>
          <w:color w:val="8C8C8C"/>
          <w:sz w:val="12"/>
        </w:rPr>
        <w:t>cf-art-184</w:t>
      </w:r>
      <w:r>
        <w:rPr>
          <w:color w:val="003CA0"/>
          <w:sz w:val="12"/>
        </w:rPr>
        <w:t xml:space="preserve"> | RE 348.769</w:t>
      </w:r>
      <w:r>
        <w:rPr>
          <w:color w:val="003CA0"/>
          <w:sz w:val="12"/>
        </w:rPr>
        <w:t xml:space="preserve"> | rel. Sepúlveda Pertence</w:t>
      </w:r>
    </w:p>
    <w:p>
      <w:pPr>
        <w:ind w:left="288"/>
      </w:pPr>
      <w:r>
        <w:rPr>
          <w:color w:val="1E1E1E"/>
          <w:sz w:val="18"/>
        </w:rPr>
        <w:t>Desapropriação: princípio constitucional da justa indenização. Determinar a incidência automática de um percentual qualquer – no caso, de 60% – para reduzir o valor do imóvel regularmente definido por perito judicial, sem que seja demonstrada a sua efetiva depreciação em razão da presença de posseiros no local, ofende o princípio constitucional da justa indenização.</w:t>
      </w:r>
    </w:p>
    <w:p>
      <w:pPr>
        <w:ind w:left="288"/>
      </w:pPr>
      <w:r>
        <w:rPr>
          <w:b/>
          <w:color w:val="003CA0"/>
          <w:sz w:val="16"/>
        </w:rPr>
        <w:t>[RE 348.769, rel. min. Sepúlveda Pertence, j. 2-5-2006, 1ª T, DJ de 19-5-2006.]</w:t>
      </w:r>
    </w:p>
    <w:p>
      <w:pPr>
        <w:ind w:left="288"/>
      </w:pPr>
      <w:r>
        <w:rPr>
          <w:color w:val="8C8C8C"/>
          <w:sz w:val="12"/>
        </w:rPr>
        <w:t>cf-art-184</w:t>
      </w:r>
      <w:r>
        <w:rPr>
          <w:color w:val="003CA0"/>
          <w:sz w:val="12"/>
        </w:rPr>
        <w:t xml:space="preserve"> | RCL 2.020</w:t>
      </w:r>
      <w:r>
        <w:rPr>
          <w:color w:val="003CA0"/>
          <w:sz w:val="12"/>
        </w:rPr>
        <w:t xml:space="preserve"> | rel. Ilmar Galvão</w:t>
      </w:r>
    </w:p>
    <w:p>
      <w:pPr>
        <w:ind w:left="288"/>
      </w:pPr>
      <w:r>
        <w:rPr>
          <w:color w:val="1E1E1E"/>
          <w:sz w:val="18"/>
        </w:rPr>
        <w:t>Em nosso sistema jurídico-processual a desapropriação rege-se pelo princípio segundo o qual a indenização não será paga senão a quem demonstre ser o titular do domínio do imóvel que lhe serve de objeto (cf. art. 34 do DL 3.365/1941; art. 13 do DL 554/1969; e § 2º do art. 6º da LC  76/1993).</w:t>
      </w:r>
    </w:p>
    <w:p>
      <w:pPr>
        <w:ind w:left="288"/>
      </w:pPr>
      <w:r>
        <w:rPr>
          <w:b/>
          <w:color w:val="003CA0"/>
          <w:sz w:val="16"/>
        </w:rPr>
        <w:t>[Rcl 2.020, rel. min. Ilmar Galvão, j. 2-10-2002, P, DJ de 22-11-2002.]</w:t>
      </w:r>
    </w:p>
    <w:p>
      <w:pPr>
        <w:ind w:left="288"/>
      </w:pPr>
      <w:r>
        <w:rPr>
          <w:color w:val="8C8C8C"/>
          <w:sz w:val="12"/>
        </w:rPr>
        <w:t>cf-art-184</w:t>
      </w:r>
      <w:r>
        <w:rPr>
          <w:color w:val="003CA0"/>
          <w:sz w:val="12"/>
        </w:rPr>
        <w:t xml:space="preserve"> | MS 23.073</w:t>
      </w:r>
      <w:r>
        <w:rPr>
          <w:color w:val="003CA0"/>
          <w:sz w:val="12"/>
        </w:rPr>
        <w:t xml:space="preserve"> | rel. Marco Aurélio</w:t>
      </w:r>
    </w:p>
    <w:p>
      <w:pPr>
        <w:ind w:left="288"/>
      </w:pPr>
      <w:r>
        <w:rPr>
          <w:color w:val="1E1E1E"/>
          <w:sz w:val="18"/>
        </w:rPr>
        <w:t>Desapropriação. Reforma agrária. Projeto de reflorestamento. Em curso projeto de reflorestamento, devidamente registrado – Lei 8.629/1993 – ou aprovado – MP 1.577, de 1997 – e observado o respectivo cronograma, tem-se como insubsistente decreto revelando interesse social para fins de reforma agrária do imóvel.</w:t>
      </w:r>
    </w:p>
    <w:p>
      <w:pPr>
        <w:ind w:left="288"/>
      </w:pPr>
      <w:r>
        <w:rPr>
          <w:b/>
          <w:color w:val="003CA0"/>
          <w:sz w:val="16"/>
        </w:rPr>
        <w:t>[MS 23.073, rel. min. Marco Aurélio, j. 25-11-1999, P, DJ de 31-3-2000.]</w:t>
      </w:r>
    </w:p>
    <w:p>
      <w:pPr>
        <w:ind w:left="288"/>
      </w:pPr>
      <w:r>
        <w:rPr>
          <w:color w:val="8C8C8C"/>
          <w:sz w:val="12"/>
        </w:rPr>
        <w:t>cf-art-184</w:t>
      </w:r>
      <w:r>
        <w:rPr>
          <w:color w:val="003CA0"/>
          <w:sz w:val="12"/>
        </w:rPr>
        <w:t xml:space="preserve"> | MS 22.187</w:t>
      </w:r>
      <w:r>
        <w:rPr>
          <w:color w:val="003CA0"/>
          <w:sz w:val="12"/>
        </w:rPr>
        <w:t xml:space="preserve"> | rel. Néri da Silveira</w:t>
      </w:r>
    </w:p>
    <w:p>
      <w:pPr>
        <w:ind w:left="288"/>
      </w:pPr>
      <w:r>
        <w:rPr>
          <w:color w:val="1E1E1E"/>
          <w:sz w:val="18"/>
        </w:rPr>
        <w:t>A só menção equivocada à área do imóvel não basta a afirmar-se a nulidade do ato declaratório, nem a circunstância de dele não constar o nome do titular do domínio expropriado.</w:t>
      </w:r>
    </w:p>
    <w:p>
      <w:pPr>
        <w:ind w:left="288"/>
      </w:pPr>
      <w:r>
        <w:rPr>
          <w:b/>
          <w:color w:val="003CA0"/>
          <w:sz w:val="16"/>
        </w:rPr>
        <w:t>[MS 22.187, rel. min. Néri da Silveira, j. 11-12-1995, P, DJ de 5-5-2000.]</w:t>
      </w:r>
    </w:p>
    <w:p>
      <w:pPr>
        <w:ind w:left="288"/>
      </w:pPr>
      <w:r>
        <w:rPr>
          <w:color w:val="8C8C8C"/>
          <w:sz w:val="12"/>
        </w:rPr>
        <w:t>cf-art-184</w:t>
      </w:r>
      <w:r>
        <w:rPr>
          <w:color w:val="003CA0"/>
          <w:sz w:val="12"/>
        </w:rPr>
        <w:t xml:space="preserve"> | MS 22.164</w:t>
      </w:r>
      <w:r>
        <w:rPr>
          <w:color w:val="003CA0"/>
          <w:sz w:val="12"/>
        </w:rPr>
        <w:t xml:space="preserve"> | rel. Celso de Mello</w:t>
      </w:r>
    </w:p>
    <w:p>
      <w:pPr>
        <w:ind w:left="288"/>
      </w:pPr>
      <w:r>
        <w:rPr>
          <w:color w:val="1E1E1E"/>
          <w:sz w:val="18"/>
        </w:rPr>
        <w:t>O postulado constitucional do due process of law, em sua destinação jurídica, também está vocacionado à proteção da propriedade. Ninguém será privado de seus bens sem o devido processo legal (CF, art. 5º, LIV). A União Federal – mesmo tratando-se de execução e implementação do programa de reforma agrária – não está dispensada da obrigação de respeitar, no desempenho de sua atividade de expropriação, por interesse social, os princípios constitucionais que, em tema de propriedade, protegem as pessoas contra a eventual expansão arbitrária do poder estatal. A cláusula de garantia dominial que emer</w:t>
      </w:r>
    </w:p>
    <w:p>
      <w:pPr>
        <w:ind w:left="288"/>
      </w:pPr>
      <w:r>
        <w:rPr>
          <w:b/>
          <w:color w:val="003CA0"/>
          <w:sz w:val="16"/>
        </w:rPr>
        <w:t>[MS 22.164, rel. min. Celso de Mello, j. 30-10-1995, P, DJ de 17-11-1995.]</w:t>
      </w:r>
    </w:p>
    <w:p>
      <w:pPr>
        <w:ind w:left="288"/>
      </w:pPr>
      <w:r>
        <w:rPr>
          <w:color w:val="8C8C8C"/>
          <w:sz w:val="12"/>
        </w:rPr>
        <w:t>cf-art-184-par-2</w:t>
      </w:r>
      <w:r>
        <w:rPr>
          <w:color w:val="003CA0"/>
          <w:sz w:val="12"/>
        </w:rPr>
        <w:t xml:space="preserve"> | MS 24.163</w:t>
      </w:r>
      <w:r>
        <w:rPr>
          <w:color w:val="003CA0"/>
          <w:sz w:val="12"/>
        </w:rPr>
        <w:t xml:space="preserve"> | rel. Marco Aurélio</w:t>
      </w:r>
    </w:p>
    <w:p>
      <w:pPr>
        <w:ind w:left="288"/>
      </w:pPr>
      <w:r>
        <w:rPr>
          <w:color w:val="1E1E1E"/>
          <w:sz w:val="18"/>
        </w:rPr>
        <w:t>A ausência de efeito suspensivo no recurso administrativo interposto contra o laudo agronômico de fiscalização não impede a edição do decreto do presidente da República, que apenas declara o imóvel de interesse social para fins de reforma agrária, mera condição para a propositura da ação de desapropriação (art. 184, § 2º, da Constituição do Brasil/1988). A perda do direito de propriedade ocorrerá somente ao cabo da ação de desapropriação. Precedente (MS 24.163, rel. min. Marco Aurélio, DJ de 19-9-2003 e MS 24.484, rel. min. Eros Grau, DJ de 2-6-2006).</w:t>
      </w:r>
    </w:p>
    <w:p>
      <w:pPr>
        <w:ind w:left="288"/>
      </w:pPr>
      <w:r>
        <w:rPr>
          <w:b/>
          <w:color w:val="003CA0"/>
          <w:sz w:val="16"/>
        </w:rPr>
        <w:t>[MS 25.534, rel. min. Eros Grau, j. 13-9-2006, P, DJ de 10-11-2006.]</w:t>
      </w:r>
    </w:p>
    <w:p>
      <w:pPr>
        <w:ind w:left="144"/>
      </w:pPr>
      <w:r>
        <w:rPr>
          <w:b/>
          <w:color w:val="B45A00"/>
          <w:sz w:val="16"/>
        </w:rPr>
        <w:t>CONTROLE CONCENTRADO</w:t>
      </w:r>
    </w:p>
    <w:p>
      <w:pPr>
        <w:ind w:left="288"/>
      </w:pPr>
      <w:r>
        <w:rPr>
          <w:color w:val="8C8C8C"/>
          <w:sz w:val="12"/>
        </w:rPr>
        <w:t>cf-art-184-par-3</w:t>
      </w:r>
      <w:r>
        <w:rPr>
          <w:color w:val="003CA0"/>
          <w:sz w:val="12"/>
        </w:rPr>
        <w:t xml:space="preserve"> | ADI 1.187</w:t>
      </w:r>
    </w:p>
    <w:p>
      <w:pPr>
        <w:ind w:left="288"/>
      </w:pPr>
      <w:r>
        <w:rPr>
          <w:color w:val="1E1E1E"/>
          <w:sz w:val="18"/>
        </w:rPr>
        <w:t>Procedimento contraditório especial, de rito sumário, para o processo de desapropriação de imóvel rural, por interesse social, para fins de reforma agrária: 1) depósito em dinheiro, pelo expropriante, do valor da indenização das benfeitorias, inclusive culturas e pastagens artificais; 2) depósito em títulos da dívida agrária, para a terra nua. Arts. 14 e 15 da LC 76, de 6-7-1993.</w:t>
      </w:r>
    </w:p>
    <w:p>
      <w:pPr>
        <w:ind w:left="288"/>
      </w:pPr>
      <w:r>
        <w:rPr>
          <w:b/>
          <w:color w:val="003CA0"/>
          <w:sz w:val="16"/>
        </w:rPr>
        <w:t>[ADI 1.187, red. do ac. min. Maurício Corrêa, j. 27-3-1996, P, DJ de 30-5-1997.]</w:t>
      </w:r>
    </w:p>
    <w:p>
      <w:pPr>
        <w:ind w:left="144"/>
      </w:pPr>
      <w:r>
        <w:rPr>
          <w:b/>
          <w:color w:val="B45A00"/>
          <w:sz w:val="16"/>
        </w:rPr>
        <w:t>JULGADOS CORRELATOS</w:t>
      </w:r>
    </w:p>
    <w:p>
      <w:pPr>
        <w:ind w:left="288"/>
      </w:pPr>
      <w:r>
        <w:rPr>
          <w:color w:val="8C8C8C"/>
          <w:sz w:val="12"/>
        </w:rPr>
        <w:t>cf-art-184-par-3</w:t>
      </w:r>
      <w:r>
        <w:rPr>
          <w:color w:val="003CA0"/>
          <w:sz w:val="12"/>
        </w:rPr>
        <w:t xml:space="preserve"> | MS 23.744</w:t>
      </w:r>
      <w:r>
        <w:rPr>
          <w:color w:val="003CA0"/>
          <w:sz w:val="12"/>
        </w:rPr>
        <w:t xml:space="preserve"> | rel. Maurício Corrêa</w:t>
      </w:r>
    </w:p>
    <w:p>
      <w:pPr>
        <w:ind w:left="288"/>
      </w:pPr>
      <w:r>
        <w:rPr>
          <w:color w:val="1E1E1E"/>
          <w:sz w:val="18"/>
        </w:rPr>
        <w:t>A primeira fase do procedimento expropriatório destina-se ao levantamento de dados e informações do imóvel expropriando, no qual os técnicos do órgão fundiário são autorizados a ingressar (Lei 8.629/1993, art. 2º, § 2º). A segunda, ao procedimento judicial, disciplinado por lei complementar, conforme previsto no § 3º do art. 184 da CF, durante a qual a administração poderá, novamente, vistoriar a área com a finalidade de avaliar a terra nua e as benfeitorias (LC 76/1993, art. 2º, § 2º).</w:t>
      </w:r>
    </w:p>
    <w:p>
      <w:pPr>
        <w:ind w:left="288"/>
      </w:pPr>
      <w:r>
        <w:rPr>
          <w:b/>
          <w:color w:val="003CA0"/>
          <w:sz w:val="16"/>
        </w:rPr>
        <w:t>[MS 23.744, rel. min. Maurício Corrêa, j. 21-6-2001, P, DJ de 17-8-2001.]</w:t>
      </w:r>
    </w:p>
    <w:p>
      <w:pPr>
        <w:ind w:left="288"/>
      </w:pPr>
      <w:r>
        <w:rPr>
          <w:color w:val="8C8C8C"/>
          <w:sz w:val="12"/>
        </w:rPr>
        <w:t>cf-art-184-par-3</w:t>
      </w:r>
      <w:r>
        <w:rPr>
          <w:color w:val="003CA0"/>
          <w:sz w:val="12"/>
        </w:rPr>
        <w:t xml:space="preserve"> | MS 21.348</w:t>
      </w:r>
      <w:r>
        <w:rPr>
          <w:color w:val="003CA0"/>
          <w:sz w:val="12"/>
        </w:rPr>
        <w:t xml:space="preserve"> | rel. Celso de Mello</w:t>
      </w:r>
    </w:p>
    <w:p>
      <w:pPr>
        <w:ind w:left="288"/>
      </w:pPr>
      <w:r>
        <w:rPr>
          <w:color w:val="1E1E1E"/>
          <w:sz w:val="18"/>
        </w:rPr>
        <w:t>Desapropriação-sanção (CF, art. 184). Tutela constitucional do direito de propriedade. Ausência de recepção do DL 554/1969 pela nova Constituição. Inviabilidade da declaração expropriatória, por interesse social, ante a inexistência das leis reclamadas pelo texto constitucional (art. 184, § 3º, e art. 185, I). Edição superveniente da LC 76/1993 e da Lei 8.629/1993. Irrelevância. Impossibilidade de sua aplicação retroativa.</w:t>
      </w:r>
    </w:p>
    <w:p>
      <w:pPr>
        <w:ind w:left="288"/>
      </w:pPr>
      <w:r>
        <w:rPr>
          <w:b/>
          <w:color w:val="003CA0"/>
          <w:sz w:val="16"/>
        </w:rPr>
        <w:t>[MS 21.348, rel. min. Celso de Mello, j. 2-9-1993, P, DJ de 8-10-1993.]</w:t>
      </w:r>
    </w:p>
    <w:p>
      <w:pPr>
        <w:ind w:left="288"/>
      </w:pPr>
      <w:r>
        <w:rPr>
          <w:color w:val="8C8C8C"/>
          <w:sz w:val="12"/>
        </w:rPr>
        <w:t>cf-art-184-par-3</w:t>
      </w:r>
      <w:r>
        <w:rPr>
          <w:color w:val="003CA0"/>
          <w:sz w:val="12"/>
        </w:rPr>
        <w:t xml:space="preserve"> | RE 206.707</w:t>
      </w:r>
      <w:r>
        <w:rPr>
          <w:color w:val="003CA0"/>
          <w:sz w:val="12"/>
        </w:rPr>
        <w:t xml:space="preserve"> | rel. Dias Toffoli</w:t>
      </w:r>
    </w:p>
    <w:p>
      <w:pPr>
        <w:ind w:left="288"/>
      </w:pPr>
      <w:r>
        <w:rPr>
          <w:color w:val="1E1E1E"/>
          <w:sz w:val="18"/>
        </w:rPr>
        <w:t>= RE 206.707 AgR, rel. min. Dias Toffoli, j. 26-4-2011, 1ª T, DJE de 1º-8-2011</w:t>
      </w:r>
    </w:p>
    <w:p>
      <w:pPr>
        <w:ind w:left="288"/>
      </w:pPr>
      <w:r>
        <w:rPr>
          <w:color w:val="8C8C8C"/>
          <w:sz w:val="12"/>
        </w:rPr>
        <w:t>cf-art-184-par-5</w:t>
      </w:r>
      <w:r>
        <w:rPr>
          <w:color w:val="003CA0"/>
          <w:sz w:val="12"/>
        </w:rPr>
        <w:t xml:space="preserve"> | RE 169.628</w:t>
      </w:r>
      <w:r>
        <w:rPr>
          <w:color w:val="003CA0"/>
          <w:sz w:val="12"/>
        </w:rPr>
        <w:t xml:space="preserve"> | rel. Moreira Alves</w:t>
      </w:r>
    </w:p>
    <w:p>
      <w:pPr>
        <w:ind w:left="288"/>
      </w:pPr>
      <w:r>
        <w:rPr>
          <w:color w:val="1E1E1E"/>
          <w:sz w:val="18"/>
        </w:rPr>
        <w:t>Alcance da imunidade tributária relativa aos títulos da dívida agrária. Há pouco, em 28-9-1999, a Segunda Turma desta Corte, ao julgar o RE 169.628, relator o eminente ministro Maurício Corrêa, decidiu, por unanimidade de votos, que o § 5º do art. 184 da Constituição, embora aluda à isenção de tributos com relação às operações de transferência de imóveis desapropriados para fins de reforma agrária, não concede isenção, mas, sim, imunidade, que por sua vez tem por fim não onerar o procedimento expropriatório ou dificultar a realização da reforma agrária, sendo que os títulos da dívida agrária c</w:t>
      </w:r>
    </w:p>
    <w:p>
      <w:pPr>
        <w:ind w:left="288"/>
      </w:pPr>
      <w:r>
        <w:rPr>
          <w:b/>
          <w:color w:val="003CA0"/>
          <w:sz w:val="16"/>
        </w:rPr>
        <w:t>[RE 168.110, rel. min. Moreira Alves, j. 4-4-2000, 1ª T, DJ de 19-5-2000.]</w:t>
      </w:r>
    </w:p>
    <w:p>
      <w:pPr>
        <w:ind w:left="432"/>
      </w:pPr>
      <w:r>
        <w:rPr>
          <w:color w:val="003366"/>
          <w:sz w:val="18"/>
        </w:rPr>
        <w:t>§ 1 As benfeitorias úteis e necessárias serão indenizadas em dinheiro.</w:t>
      </w:r>
    </w:p>
    <w:p>
      <w:pPr>
        <w:ind w:left="432"/>
      </w:pPr>
      <w:r>
        <w:rPr>
          <w:color w:val="003366"/>
          <w:sz w:val="18"/>
        </w:rPr>
        <w:t>§ 2 O decreto que declarar o imóvel como de interesse social, para fins de refor</w:t>
      </w:r>
    </w:p>
    <w:p>
      <w:pPr>
        <w:ind w:left="432"/>
      </w:pPr>
      <w:r>
        <w:rPr>
          <w:color w:val="003366"/>
          <w:sz w:val="18"/>
        </w:rPr>
        <w:t xml:space="preserve">§ 3 Cabe à lei complementar estabelecer procedimento contraditório especial, de </w:t>
      </w:r>
    </w:p>
    <w:p>
      <w:pPr>
        <w:ind w:left="432"/>
      </w:pPr>
      <w:r>
        <w:rPr>
          <w:color w:val="003366"/>
          <w:sz w:val="18"/>
        </w:rPr>
        <w:t>§ 4 O orçamento fixará anualmente o volume total de títulos da dívida agrária, a</w:t>
      </w:r>
    </w:p>
    <w:p>
      <w:pPr>
        <w:ind w:left="432"/>
      </w:pPr>
      <w:r>
        <w:rPr>
          <w:color w:val="003366"/>
          <w:sz w:val="18"/>
        </w:rPr>
        <w:t>§ 5 São isentas de impostos federais, estaduais e municipais as operações de tra</w:t>
      </w:r>
    </w:p>
    <w:p>
      <w:r>
        <w:rPr>
          <w:b/>
          <w:color w:val="003366"/>
          <w:sz w:val="20"/>
        </w:rPr>
        <w:t>Art. 185 São insuscetíveis de desapropriação para fins de reforma agrária:</w:t>
      </w:r>
      <w:r>
        <w:rPr>
          <w:color w:val="8C8C8C"/>
          <w:sz w:val="14"/>
        </w:rPr>
        <w:t xml:space="preserve">  [16 decisoes]</w:t>
      </w:r>
    </w:p>
    <w:p>
      <w:pPr>
        <w:ind w:left="144"/>
      </w:pPr>
      <w:r>
        <w:rPr>
          <w:b/>
          <w:color w:val="B45A00"/>
          <w:sz w:val="16"/>
        </w:rPr>
        <w:t>CONTROLE CONCENTRADO</w:t>
      </w:r>
    </w:p>
    <w:p>
      <w:pPr>
        <w:ind w:left="288"/>
      </w:pPr>
      <w:r>
        <w:rPr>
          <w:color w:val="8C8C8C"/>
          <w:sz w:val="12"/>
        </w:rPr>
        <w:t>cf-art-185</w:t>
      </w:r>
      <w:r>
        <w:rPr>
          <w:color w:val="003CA0"/>
          <w:sz w:val="12"/>
        </w:rPr>
        <w:t xml:space="preserve"> | ADI 2.213</w:t>
      </w:r>
      <w:r>
        <w:rPr>
          <w:color w:val="003CA0"/>
          <w:sz w:val="12"/>
        </w:rPr>
        <w:t xml:space="preserve"> | rel. Nunes Marques</w:t>
      </w:r>
    </w:p>
    <w:p>
      <w:pPr>
        <w:ind w:left="288"/>
      </w:pPr>
      <w:r>
        <w:rPr>
          <w:color w:val="1E1E1E"/>
          <w:sz w:val="18"/>
        </w:rPr>
        <w:t>Não configura inovação ao rol do art. 185 da Constituição Federal, cujo caráter é exemplificativo, norma mediante a qual estabelecido que imóveis que integram o Programa de Arrendamento Rural não serão objeto de desapropriação para fins de reforma agrária enquanto se mantiverem arrendados, desde que preenchidos os requisitos previstos em regulamento.</w:t>
        <w:br/>
        <w:t>[ADI 2.213, rel. min. Nunes Marques, j. 19.12.2023, P, DJE de 01.03.2024.]</w:t>
      </w:r>
    </w:p>
    <w:p>
      <w:pPr>
        <w:ind w:left="144"/>
      </w:pPr>
      <w:r>
        <w:rPr>
          <w:b/>
          <w:color w:val="B45A00"/>
          <w:sz w:val="16"/>
        </w:rPr>
        <w:t>JULGADOS CORRELATOS</w:t>
      </w:r>
    </w:p>
    <w:p>
      <w:pPr>
        <w:ind w:left="288"/>
      </w:pPr>
      <w:r>
        <w:rPr>
          <w:color w:val="8C8C8C"/>
          <w:sz w:val="12"/>
        </w:rPr>
        <w:t>cf-art-185-inc-I</w:t>
      </w:r>
      <w:r>
        <w:rPr>
          <w:color w:val="003CA0"/>
          <w:sz w:val="12"/>
        </w:rPr>
        <w:t xml:space="preserve"> | MS 25.870</w:t>
      </w:r>
      <w:r>
        <w:rPr>
          <w:color w:val="003CA0"/>
          <w:sz w:val="12"/>
        </w:rPr>
        <w:t xml:space="preserve"> | rel. Marco Aurélio</w:t>
      </w:r>
    </w:p>
    <w:p>
      <w:pPr>
        <w:ind w:left="288"/>
      </w:pPr>
      <w:r>
        <w:rPr>
          <w:color w:val="1E1E1E"/>
          <w:sz w:val="18"/>
        </w:rPr>
        <w:t>O óbice à desapropriação retratado no fracionamento da propriedade, e consideração de cota parte alcançada, pressupõe não ser o herdeiro dono de outro imóvel.</w:t>
      </w:r>
    </w:p>
    <w:p>
      <w:pPr>
        <w:ind w:left="288"/>
      </w:pPr>
      <w:r>
        <w:rPr>
          <w:b/>
          <w:color w:val="003CA0"/>
          <w:sz w:val="16"/>
        </w:rPr>
        <w:t>[MS 25.870, rel. min. Marco Aurélio, j. 1º-9-2011, P, DJE de 28-9-2011.]</w:t>
      </w:r>
    </w:p>
    <w:p>
      <w:pPr>
        <w:ind w:left="288"/>
      </w:pPr>
      <w:r>
        <w:rPr>
          <w:color w:val="8C8C8C"/>
          <w:sz w:val="12"/>
        </w:rPr>
        <w:t>cf-art-185-inc-I</w:t>
      </w:r>
      <w:r>
        <w:rPr>
          <w:color w:val="003CA0"/>
          <w:sz w:val="12"/>
        </w:rPr>
        <w:t xml:space="preserve"> | MS 24.890</w:t>
      </w:r>
      <w:r>
        <w:rPr>
          <w:color w:val="003CA0"/>
          <w:sz w:val="12"/>
        </w:rPr>
        <w:t xml:space="preserve"> | rel. Ellen Gracie</w:t>
      </w:r>
    </w:p>
    <w:p>
      <w:pPr>
        <w:ind w:left="288"/>
      </w:pPr>
      <w:r>
        <w:rPr>
          <w:color w:val="1E1E1E"/>
          <w:sz w:val="18"/>
        </w:rPr>
        <w:t>A divisão de imóvel rural, em frações que configurem médias propriedades rurais, decorridos mais de seis meses da data da comunicação para levantamento de dados e informações, mas antes da edição do decreto presidencial, impede a desapropriação para fins de reforma agrária. Não incidência, na espécie, do que dispõe o § 4º do art. 2º da Lei 8.629/1993.</w:t>
      </w:r>
    </w:p>
    <w:p>
      <w:pPr>
        <w:ind w:left="288"/>
      </w:pPr>
      <w:r>
        <w:rPr>
          <w:b/>
          <w:color w:val="003CA0"/>
          <w:sz w:val="16"/>
        </w:rPr>
        <w:t>[MS 24.890, rel. min. Ellen Gracie, j. 27-11-2008, P, DJE de 13-2-2009.]</w:t>
      </w:r>
    </w:p>
    <w:p>
      <w:pPr>
        <w:ind w:left="288"/>
      </w:pPr>
      <w:r>
        <w:rPr>
          <w:color w:val="8C8C8C"/>
          <w:sz w:val="12"/>
        </w:rPr>
        <w:t>cf-art-185-inc-I</w:t>
      </w:r>
      <w:r>
        <w:rPr>
          <w:color w:val="003CA0"/>
          <w:sz w:val="12"/>
        </w:rPr>
        <w:t xml:space="preserve"> | MS 24.171</w:t>
      </w:r>
      <w:r>
        <w:rPr>
          <w:color w:val="003CA0"/>
          <w:sz w:val="12"/>
        </w:rPr>
        <w:t xml:space="preserve"> | rel. Sepúlveda Pertence</w:t>
      </w:r>
    </w:p>
    <w:p>
      <w:pPr>
        <w:ind w:left="288"/>
      </w:pPr>
      <w:r>
        <w:rPr>
          <w:color w:val="1E1E1E"/>
          <w:sz w:val="18"/>
        </w:rPr>
        <w:t>= MS 24.171, rel. min. Sepúlveda Pertence, j. 20-8-2003, P, DJ de 12-9-2003 Mandado de segurança. Desapropriação. (...) As discussões sobre a correção do cálculo do grau de utilização da terra (GUT) bem como sobre a desconsideração da reserva legal na totalização da área para efeito de cálculo do GUT e a inadequação da área para assentamento de famílias implicam análise de matéria de fato que se traduz em dilação probatória, incabível na via eleita. A administração tem o ônus de demonstrar, com base em todo o acervo documental de que dispõe, a multiplicidade de propriedades rurais no patrimôni</w:t>
      </w:r>
    </w:p>
    <w:p>
      <w:pPr>
        <w:ind w:left="288"/>
      </w:pPr>
      <w:r>
        <w:rPr>
          <w:b/>
          <w:color w:val="003CA0"/>
          <w:sz w:val="16"/>
        </w:rPr>
        <w:t>[MS 25.142, rel. min. Joaquim Barbosa, j. 1º-8-2008, P, DJE de 19-9-2008.]</w:t>
      </w:r>
    </w:p>
    <w:p>
      <w:pPr>
        <w:ind w:left="288"/>
      </w:pPr>
      <w:r>
        <w:rPr>
          <w:color w:val="8C8C8C"/>
          <w:sz w:val="12"/>
        </w:rPr>
        <w:t>cf-art-185-inc-I</w:t>
      </w:r>
      <w:r>
        <w:rPr>
          <w:color w:val="003CA0"/>
          <w:sz w:val="12"/>
        </w:rPr>
        <w:t xml:space="preserve"> | MS 24.595</w:t>
      </w:r>
      <w:r>
        <w:rPr>
          <w:color w:val="003CA0"/>
          <w:sz w:val="12"/>
        </w:rPr>
        <w:t xml:space="preserve"> | rel. Celso de Mello</w:t>
      </w:r>
    </w:p>
    <w:p>
      <w:pPr>
        <w:ind w:left="288"/>
      </w:pPr>
      <w:r>
        <w:rPr>
          <w:color w:val="1E1E1E"/>
          <w:sz w:val="18"/>
        </w:rPr>
        <w:t>É possível decretar-se a desapropriação-sanção, mesmo que se trate de pequena ou de média propriedade rural, se resultar comprovado que o proprietário afetado pelo ato presidencial também possui outra propriedade imobiliária rural. Não incidência, em tal situação, da cláusula constitucional de inexpropriabilidade (CF, art. 185, I, in fine), porque descaracterizada, documentalmente (certidão do registro imobiliário), na espécie, a condição de unititularidade dominial da impetrante. A questão do conflito entre o conteúdo da declaração expropriatória e o teor do registro imobiliário: quod non est</w:t>
      </w:r>
    </w:p>
    <w:p>
      <w:pPr>
        <w:ind w:left="288"/>
      </w:pPr>
      <w:r>
        <w:rPr>
          <w:b/>
          <w:color w:val="003CA0"/>
          <w:sz w:val="16"/>
        </w:rPr>
        <w:t>[MS 24.595, rel. min. Celso de Mello, j. 20-9-2006, P, DJ de 9-2-2007.]</w:t>
      </w:r>
    </w:p>
    <w:p>
      <w:pPr>
        <w:ind w:left="288"/>
      </w:pPr>
      <w:r>
        <w:rPr>
          <w:color w:val="8C8C8C"/>
          <w:sz w:val="12"/>
        </w:rPr>
        <w:t>cf-art-185-inc-I</w:t>
      </w:r>
      <w:r>
        <w:rPr>
          <w:color w:val="003CA0"/>
          <w:sz w:val="12"/>
        </w:rPr>
        <w:t xml:space="preserve"> | MS 28.168</w:t>
      </w:r>
      <w:r>
        <w:rPr>
          <w:color w:val="003CA0"/>
          <w:sz w:val="12"/>
        </w:rPr>
        <w:t xml:space="preserve"> | rel. Marco Aurélio</w:t>
      </w:r>
    </w:p>
    <w:p>
      <w:pPr>
        <w:ind w:left="288"/>
      </w:pPr>
      <w:r>
        <w:rPr>
          <w:color w:val="1E1E1E"/>
          <w:sz w:val="18"/>
        </w:rPr>
        <w:t xml:space="preserve">= MS 28.168, rel. min. Marco Aurélio, j. 4-4-2013, P, DJE de 26-4-2013 Vide MS 23.006, rel. min. Celso de Mello, j. 11-6-2003, P, DJ de 29-8-2003 Desapropriação: reforma agrária: alegação improcedente de fracionamento da propriedade rural, em virtude de doação, do qual resultaram diversas outras, caracterizadas como médias propriedades rurais (CF, art. 185, I; Lei 8.629/1993, art. 4º, parágrafo único.) Caso em que o imóvel rural desapropriado foi doado, por escritura pública, com cláusula de reserva de usufruto vitalício em favor dos doadores, extinta com o falecimento do doador-sobrevivente: </w:t>
      </w:r>
    </w:p>
    <w:p>
      <w:pPr>
        <w:ind w:left="288"/>
      </w:pPr>
      <w:r>
        <w:rPr>
          <w:b/>
          <w:color w:val="003CA0"/>
          <w:sz w:val="16"/>
        </w:rPr>
        <w:t>[MS 25.304, rel. min. Sepúlveda Pertence, j. 14-6-2006, P, DJ de 15-9-2006.]</w:t>
      </w:r>
    </w:p>
    <w:p>
      <w:pPr>
        <w:ind w:left="288"/>
      </w:pPr>
      <w:r>
        <w:rPr>
          <w:color w:val="8C8C8C"/>
          <w:sz w:val="12"/>
        </w:rPr>
        <w:t>cf-art-185-inc-I</w:t>
      </w:r>
      <w:r>
        <w:rPr>
          <w:color w:val="003CA0"/>
          <w:sz w:val="12"/>
        </w:rPr>
        <w:t xml:space="preserve"> | MS 25.299</w:t>
      </w:r>
      <w:r>
        <w:rPr>
          <w:color w:val="003CA0"/>
          <w:sz w:val="12"/>
        </w:rPr>
        <w:t xml:space="preserve"> | rel. Sepúlveda Pertence</w:t>
      </w:r>
    </w:p>
    <w:p>
      <w:pPr>
        <w:ind w:left="288"/>
      </w:pPr>
      <w:r>
        <w:rPr>
          <w:color w:val="1E1E1E"/>
          <w:sz w:val="18"/>
        </w:rPr>
        <w:t xml:space="preserve">= MS 25.299, rel. min. Sepúlveda Pertence, j. 14-6-2006, P, DJ de 8-9-2006 A saisine torna múltipla apenas a titularidade do imóvel rural, que permanece uma única propriedade até que sobrevenha a partilha (art. 1.791 e parágrafo único do vigente Código Civil). A finalidade do art. 46, § 6º, do Estatuto da Terra (Lei 4.504/1964) é instrumentar o cálculo do coeficiente de progressividade do ITR. O preceito não deve ser usado como parâmetro de dimensionamento de imóveis rurais destinados à reforma agrária, matéria afeta à Lei 8.629/1993. A existência de condomínio sobre o imóvel rural não impede </w:t>
      </w:r>
    </w:p>
    <w:p>
      <w:pPr>
        <w:ind w:left="288"/>
      </w:pPr>
      <w:r>
        <w:rPr>
          <w:b/>
          <w:color w:val="003CA0"/>
          <w:sz w:val="16"/>
        </w:rPr>
        <w:t>[MS 24.573, red. do ac. min. Eros Grau, j. 12-6-2006, P, DJ de 15-12-2006.]</w:t>
      </w:r>
    </w:p>
    <w:p>
      <w:pPr>
        <w:ind w:left="288"/>
      </w:pPr>
      <w:r>
        <w:rPr>
          <w:color w:val="8C8C8C"/>
          <w:sz w:val="12"/>
        </w:rPr>
        <w:t>cf-art-185-inc-I</w:t>
      </w:r>
      <w:r>
        <w:rPr>
          <w:color w:val="003CA0"/>
          <w:sz w:val="12"/>
        </w:rPr>
        <w:t xml:space="preserve"> | MS 24.924</w:t>
      </w:r>
      <w:r>
        <w:rPr>
          <w:color w:val="003CA0"/>
          <w:sz w:val="12"/>
        </w:rPr>
        <w:t xml:space="preserve"> | rel. Celso de Mello</w:t>
      </w:r>
    </w:p>
    <w:p>
      <w:pPr>
        <w:ind w:left="288"/>
      </w:pPr>
      <w:r>
        <w:rPr>
          <w:color w:val="1E1E1E"/>
          <w:sz w:val="18"/>
        </w:rPr>
        <w:t>= MS 24.924, red. do ac. min. Joaquim Barbosa, j. 24-2-2011, P, DJE de 7-11-2011 A pequena e a média propriedades rurais, cujas dimensões físicas ajustem-se aos parâmetros fixados em sede legal (Lei 8.629/1993, art. 4º, II e III), não estão sujeitas, em tema de reforma agrária (CF, art. 184), ao poder expropriatório da União Federal, em face da cláusula de inexpropriabilidade fundada no art. 185, I, da Constituição da República, desde que o proprietário de tais prédios rústicos – sejam eles produtivos ou não – não possua outra propriedade rural. A prova negativa do domínio, para os fins do art</w:t>
      </w:r>
    </w:p>
    <w:p>
      <w:pPr>
        <w:ind w:left="288"/>
      </w:pPr>
      <w:r>
        <w:rPr>
          <w:b/>
          <w:color w:val="003CA0"/>
          <w:sz w:val="16"/>
        </w:rPr>
        <w:t>[MS 23.006, rel. min. Celso de Mello, j. 11-6-2003, P, DJ de 29-8-2003.]</w:t>
      </w:r>
    </w:p>
    <w:p>
      <w:pPr>
        <w:ind w:left="288"/>
      </w:pPr>
      <w:r>
        <w:rPr>
          <w:color w:val="8C8C8C"/>
          <w:sz w:val="12"/>
        </w:rPr>
        <w:t>cf-art-185-inc-I</w:t>
      </w:r>
      <w:r>
        <w:rPr>
          <w:color w:val="003CA0"/>
          <w:sz w:val="12"/>
        </w:rPr>
        <w:t xml:space="preserve"> | MS 24.595</w:t>
      </w:r>
      <w:r>
        <w:rPr>
          <w:color w:val="003CA0"/>
          <w:sz w:val="12"/>
        </w:rPr>
        <w:t xml:space="preserve"> | rel. Celso de Mello</w:t>
      </w:r>
    </w:p>
    <w:p>
      <w:pPr>
        <w:ind w:left="288"/>
      </w:pPr>
      <w:r>
        <w:rPr>
          <w:color w:val="1E1E1E"/>
          <w:sz w:val="18"/>
        </w:rPr>
        <w:t>Vide MS 24.595, rel. min. Celso de Mello, j. 20-9-2006, P, DJ de 9-2-2007 Esta Corte tem se orientado no sentido de que, se do desdobramento do imóvel, ainda que ocorrido durante a fase administrativa do procedimento expropriatório, resultarem glebas, objeto de matrícula e registro próprios, que se caracterizam como médias propriedades rurais, e desde que seu proprietário não possua outra, não será possível sua desapropriação-sanção para fins de reforma agrária. É o que sucede, no caso, em virtude de doação a filhos como adiantamento de legítima.</w:t>
      </w:r>
    </w:p>
    <w:p>
      <w:pPr>
        <w:ind w:left="288"/>
      </w:pPr>
      <w:r>
        <w:rPr>
          <w:b/>
          <w:color w:val="003CA0"/>
          <w:sz w:val="16"/>
        </w:rPr>
        <w:t>[MS 22.591, rel. min. Moreira Alves, j. 20-8-1999, P, DJ de 14-11-2003.]</w:t>
      </w:r>
    </w:p>
    <w:p>
      <w:pPr>
        <w:ind w:left="288"/>
      </w:pPr>
      <w:r>
        <w:rPr>
          <w:color w:val="8C8C8C"/>
          <w:sz w:val="12"/>
        </w:rPr>
        <w:t>cf-art-185-inc-I</w:t>
      </w:r>
      <w:r>
        <w:rPr>
          <w:color w:val="003CA0"/>
          <w:sz w:val="12"/>
        </w:rPr>
        <w:t xml:space="preserve"> | MS 21.919</w:t>
      </w:r>
      <w:r>
        <w:rPr>
          <w:color w:val="003CA0"/>
          <w:sz w:val="12"/>
        </w:rPr>
        <w:t xml:space="preserve"> | rel. Celso de Mello</w:t>
      </w:r>
    </w:p>
    <w:p>
      <w:pPr>
        <w:ind w:left="288"/>
      </w:pPr>
      <w:r>
        <w:rPr>
          <w:color w:val="1E1E1E"/>
          <w:sz w:val="18"/>
        </w:rPr>
        <w:t>Reforma agrária. Desapropriação-sanção (CF, art. 184). Média propriedade rural (CF, art. 185, I). Lei 8.629/1993. Área resultante de divisão amigável. Inexpropriabilidade. Irrelevância de ser, ou não, improdutivo o imóvel rural.</w:t>
      </w:r>
    </w:p>
    <w:p>
      <w:pPr>
        <w:ind w:left="288"/>
      </w:pPr>
      <w:r>
        <w:rPr>
          <w:b/>
          <w:color w:val="003CA0"/>
          <w:sz w:val="16"/>
        </w:rPr>
        <w:t>[MS 21.919, rel. min. Celso de Mello, j. 22-9-1994, P, DJ de 6-6-1997.]</w:t>
      </w:r>
    </w:p>
    <w:p>
      <w:pPr>
        <w:ind w:left="144"/>
      </w:pPr>
      <w:r>
        <w:rPr>
          <w:b/>
          <w:color w:val="B45A00"/>
          <w:sz w:val="16"/>
        </w:rPr>
        <w:t>CONTROLE CONCENTRADO</w:t>
      </w:r>
    </w:p>
    <w:p>
      <w:pPr>
        <w:ind w:left="288"/>
      </w:pPr>
      <w:r>
        <w:rPr>
          <w:color w:val="8C8C8C"/>
          <w:sz w:val="12"/>
        </w:rPr>
        <w:t>cf-art-185-inc-II</w:t>
      </w:r>
      <w:r>
        <w:rPr>
          <w:color w:val="003CA0"/>
          <w:sz w:val="12"/>
        </w:rPr>
        <w:t xml:space="preserve"> | ADI 2.213</w:t>
      </w:r>
      <w:r>
        <w:rPr>
          <w:color w:val="003CA0"/>
          <w:sz w:val="12"/>
        </w:rPr>
        <w:t xml:space="preserve"> | rel. Celso de Mello</w:t>
      </w:r>
    </w:p>
    <w:p>
      <w:pPr>
        <w:ind w:left="288"/>
      </w:pPr>
      <w:r>
        <w:rPr>
          <w:color w:val="1E1E1E"/>
          <w:sz w:val="18"/>
        </w:rPr>
        <w:t>O esbulho possessório – mesmo tratando-se de propriedades alegadamente improdutivas – constitui ato revestido de ilicitude jurídica. Revela-se contrária ao direito, porque constitui atividade à margem da lei, sem qualquer vinculação ao sistema jurídico, a conduta daqueles que, particulares, movimentos ou organizações sociais, visam, pelo emprego arbitrário da força e pela ocupação ilícita de prédios públicos e de imóveis rurais, a constranger, de modo autoritário, o poder público a promover ações expropriatórias, para efeito de execução do programa de reforma agrária. O processo de reforma agr</w:t>
      </w:r>
    </w:p>
    <w:p>
      <w:pPr>
        <w:ind w:left="288"/>
      </w:pPr>
      <w:r>
        <w:rPr>
          <w:b/>
          <w:color w:val="003CA0"/>
          <w:sz w:val="16"/>
        </w:rPr>
        <w:t>[ADI 2.213 MC, rel. min. Celso de Mello, j. 4-4-2002, P, DJ de 23-4-2004.]</w:t>
      </w:r>
    </w:p>
    <w:p>
      <w:pPr>
        <w:ind w:left="288"/>
      </w:pPr>
      <w:r>
        <w:rPr>
          <w:color w:val="8C8C8C"/>
          <w:sz w:val="12"/>
        </w:rPr>
        <w:t>cf-art-185-inc-II</w:t>
      </w:r>
      <w:r>
        <w:rPr>
          <w:color w:val="003CA0"/>
          <w:sz w:val="12"/>
        </w:rPr>
        <w:t xml:space="preserve"> | MS 32.752</w:t>
      </w:r>
      <w:r>
        <w:rPr>
          <w:color w:val="003CA0"/>
          <w:sz w:val="12"/>
        </w:rPr>
        <w:t xml:space="preserve"> | rel. Celso de Mello</w:t>
      </w:r>
    </w:p>
    <w:p>
      <w:pPr>
        <w:ind w:left="288"/>
      </w:pPr>
      <w:r>
        <w:rPr>
          <w:color w:val="1E1E1E"/>
          <w:sz w:val="18"/>
        </w:rPr>
        <w:t>= MS 32.752 AgR, rel. min. Celso de Mello, j. 17-6-2015, P, DJE de 10-8-2015</w:t>
      </w:r>
    </w:p>
    <w:p>
      <w:pPr>
        <w:ind w:left="144"/>
      </w:pPr>
      <w:r>
        <w:rPr>
          <w:b/>
          <w:color w:val="B45A00"/>
          <w:sz w:val="16"/>
        </w:rPr>
        <w:t>JULGADOS CORRELATOS</w:t>
      </w:r>
    </w:p>
    <w:p>
      <w:pPr>
        <w:ind w:left="288"/>
      </w:pPr>
      <w:r>
        <w:rPr>
          <w:color w:val="8C8C8C"/>
          <w:sz w:val="12"/>
        </w:rPr>
        <w:t>cf-art-185-inc-II</w:t>
      </w:r>
      <w:r>
        <w:rPr>
          <w:color w:val="003CA0"/>
          <w:sz w:val="12"/>
        </w:rPr>
        <w:t xml:space="preserve"> | MS 25.022</w:t>
      </w:r>
      <w:r>
        <w:rPr>
          <w:color w:val="003CA0"/>
          <w:sz w:val="12"/>
        </w:rPr>
        <w:t xml:space="preserve"> | rel. Marco Aurélio</w:t>
      </w:r>
    </w:p>
    <w:p>
      <w:pPr>
        <w:ind w:left="288"/>
      </w:pPr>
      <w:r>
        <w:rPr>
          <w:color w:val="1E1E1E"/>
          <w:sz w:val="18"/>
        </w:rPr>
        <w:t>Reforma agrária. Invasão do imóvel. Ocorrendo o esbulho em data posterior à vistoria, surge desinfluente quanto à aferição da produtividade.</w:t>
      </w:r>
    </w:p>
    <w:p>
      <w:pPr>
        <w:ind w:left="288"/>
      </w:pPr>
      <w:r>
        <w:rPr>
          <w:b/>
          <w:color w:val="003CA0"/>
          <w:sz w:val="16"/>
        </w:rPr>
        <w:t>[MS 25.022, rel. min. Marco Aurélio, j. 27-10-2005, P, DJ de 16-12-2005.]</w:t>
      </w:r>
    </w:p>
    <w:p>
      <w:pPr>
        <w:ind w:left="288"/>
      </w:pPr>
      <w:r>
        <w:rPr>
          <w:color w:val="8C8C8C"/>
          <w:sz w:val="12"/>
        </w:rPr>
        <w:t>cf-art-185-inc-II</w:t>
      </w:r>
      <w:r>
        <w:rPr>
          <w:color w:val="003CA0"/>
          <w:sz w:val="12"/>
        </w:rPr>
        <w:t xml:space="preserve"> | MS 23.054</w:t>
      </w:r>
    </w:p>
    <w:p>
      <w:pPr>
        <w:ind w:left="288"/>
      </w:pPr>
      <w:r>
        <w:rPr>
          <w:color w:val="1E1E1E"/>
          <w:sz w:val="18"/>
        </w:rPr>
        <w:t>Mandado de segurança. Desapropriação para fins de reforma agrária. (...) Configuração de plausibilidade da impetração de modo a obstar medidas tendentes a dificultar a própria produtividade do imóvel, especialmente se, como no caso, a invasão ocorre em áreas onde haja água, passagens ou caminhos. Ocupação pelos "sem-terra" de fração que, embora diminuta, é representativa para a administração da propriedade denominada Engenho Dependência. Superação da jurisprudência do STF firmada no MS 23.054/PB, DJ de 4-5-2001, e MS 23.857/MS, DJ de 13-6-2003, segundo a qual, a ínfima extensão de área invadid</w:t>
      </w:r>
    </w:p>
    <w:p>
      <w:pPr>
        <w:ind w:left="288"/>
      </w:pPr>
      <w:r>
        <w:rPr>
          <w:b/>
          <w:color w:val="003CA0"/>
          <w:sz w:val="16"/>
        </w:rPr>
        <w:t>[MS 24.764, red.do ac. min. Gilmar Mendes, j. 6-10-2005, P, DJ de 24-3-2006.]</w:t>
      </w:r>
    </w:p>
    <w:p>
      <w:pPr>
        <w:ind w:left="288"/>
      </w:pPr>
      <w:r>
        <w:rPr>
          <w:color w:val="8C8C8C"/>
          <w:sz w:val="12"/>
        </w:rPr>
        <w:t>cf-art-185-inc-II</w:t>
      </w:r>
      <w:r>
        <w:rPr>
          <w:color w:val="003CA0"/>
          <w:sz w:val="12"/>
        </w:rPr>
        <w:t xml:space="preserve"> | MS 22.193</w:t>
      </w:r>
    </w:p>
    <w:p>
      <w:pPr>
        <w:ind w:left="288"/>
      </w:pPr>
      <w:r>
        <w:rPr>
          <w:color w:val="1E1E1E"/>
          <w:sz w:val="18"/>
        </w:rPr>
        <w:t>Caracterizado que a propriedade é produtiva, não se opera a desapropriação-sanção, por interesse social para os fins de reforma agrária, em virtude de imperativo constitucional que excepciona, para a reforma agrária, a atuação estatal, passando o processo de indenização, em princípio, a submeter-se às regras constantes do inciso XXIV do art. 5º da CF, "mediante justa e prévia indenização".</w:t>
      </w:r>
    </w:p>
    <w:p>
      <w:pPr>
        <w:ind w:left="288"/>
      </w:pPr>
      <w:r>
        <w:rPr>
          <w:b/>
          <w:color w:val="003CA0"/>
          <w:sz w:val="16"/>
        </w:rPr>
        <w:t>[MS 22.193, red.do ac. min. Maurício Corrêa, j. 21-3-1996, P, DJ de 29-11-1996.]</w:t>
      </w:r>
    </w:p>
    <w:p>
      <w:pPr>
        <w:ind w:left="144"/>
      </w:pPr>
      <w:r>
        <w:rPr>
          <w:b/>
          <w:color w:val="B45A00"/>
          <w:sz w:val="16"/>
        </w:rPr>
        <w:t>CONTROLE CONCENTRADO</w:t>
      </w:r>
    </w:p>
    <w:p>
      <w:pPr>
        <w:ind w:left="288"/>
      </w:pPr>
      <w:r>
        <w:rPr>
          <w:color w:val="8C8C8C"/>
          <w:sz w:val="12"/>
        </w:rPr>
        <w:t>cf-art-185-par-unico</w:t>
      </w:r>
      <w:r>
        <w:rPr>
          <w:color w:val="003CA0"/>
          <w:sz w:val="12"/>
        </w:rPr>
        <w:t xml:space="preserve"> | ADI 3.865</w:t>
      </w:r>
      <w:r>
        <w:rPr>
          <w:color w:val="003CA0"/>
          <w:sz w:val="12"/>
        </w:rPr>
        <w:t xml:space="preserve"> | rel. Edson Fachin</w:t>
      </w:r>
    </w:p>
    <w:p>
      <w:pPr>
        <w:ind w:left="288"/>
      </w:pPr>
      <w:r>
        <w:rPr>
          <w:color w:val="1E1E1E"/>
          <w:sz w:val="18"/>
        </w:rPr>
        <w:t xml:space="preserve">Os arts. 6º e 9º da Lei 8.629/93 mostram-se constitucionalmente válidos, porquanto o art. 185 da Constituição da República exige, para a aplicação da cláusula de insucetibilidade de desapropriação para fins de reforma agrária, a função social e o caráter produtivo da propriedade como requisitos simultâneos. O parágrafo único do art. 185 da Constituição da República, ao definir que a lei fixará normas para o cumprimento da função social, alberga cláusula semanticamente plural e, portanto, compatível com a manifestação concretizadora do legislador no sentido de conjugar funcionalização social e </w:t>
      </w:r>
    </w:p>
    <w:p>
      <w:pPr>
        <w:ind w:left="720"/>
      </w:pPr>
      <w:r>
        <w:rPr>
          <w:color w:val="003366"/>
          <w:sz w:val="18"/>
        </w:rPr>
        <w:t>I – a pequena e média propriedade rural, assim definida em lei, desde que seu pr</w:t>
      </w:r>
    </w:p>
    <w:p>
      <w:pPr>
        <w:ind w:left="720"/>
      </w:pPr>
      <w:r>
        <w:rPr>
          <w:color w:val="003366"/>
          <w:sz w:val="18"/>
        </w:rPr>
        <w:t>II – a propriedade produtiva.</w:t>
      </w:r>
    </w:p>
    <w:p>
      <w:r>
        <w:rPr>
          <w:b/>
          <w:color w:val="003366"/>
          <w:sz w:val="20"/>
        </w:rPr>
        <w:t>Art. 186 A função social é cumprida quando a propriedade rural atende, simultane</w:t>
      </w:r>
      <w:r>
        <w:rPr>
          <w:color w:val="8C8C8C"/>
          <w:sz w:val="14"/>
        </w:rPr>
        <w:t xml:space="preserve">  [2 decisoes]</w:t>
      </w:r>
    </w:p>
    <w:p>
      <w:pPr>
        <w:ind w:left="144"/>
      </w:pPr>
      <w:r>
        <w:rPr>
          <w:b/>
          <w:color w:val="B45A00"/>
          <w:sz w:val="16"/>
        </w:rPr>
        <w:t>JULGADOS CORRELATOS</w:t>
      </w:r>
    </w:p>
    <w:p>
      <w:pPr>
        <w:ind w:left="288"/>
      </w:pPr>
      <w:r>
        <w:rPr>
          <w:color w:val="8C8C8C"/>
          <w:sz w:val="12"/>
        </w:rPr>
        <w:t>cf-art-186</w:t>
      </w:r>
      <w:r>
        <w:rPr>
          <w:color w:val="003CA0"/>
          <w:sz w:val="12"/>
        </w:rPr>
        <w:t xml:space="preserve"> | MS 22.478</w:t>
      </w:r>
      <w:r>
        <w:rPr>
          <w:color w:val="003CA0"/>
          <w:sz w:val="12"/>
        </w:rPr>
        <w:t xml:space="preserve"> | rel. Maurício Corrêa</w:t>
      </w:r>
    </w:p>
    <w:p>
      <w:pPr>
        <w:ind w:left="288"/>
      </w:pPr>
      <w:r>
        <w:rPr>
          <w:color w:val="1E1E1E"/>
          <w:sz w:val="18"/>
        </w:rPr>
        <w:t>Esta Corte já decidiu que o art. 6º da Lei  8.629/1993, ao definir o imóvel produtivo, a pequena e a média propriedade rural e a função social da propriedade, não extrapola os critérios estabelecidos no art. 186 da CF; antes, confere-lhe eficácia total (MS  22.478/PR, Maurício Corrêa, DJ de 26-9-1997).</w:t>
      </w:r>
    </w:p>
    <w:p>
      <w:pPr>
        <w:ind w:left="288"/>
      </w:pPr>
      <w:r>
        <w:rPr>
          <w:b/>
          <w:color w:val="003CA0"/>
          <w:sz w:val="16"/>
        </w:rPr>
        <w:t>[MS 23.312, rel. min. Maurício Corrêa, j. 16-12-1999, P, DJ de 25-2-2000.]</w:t>
      </w:r>
    </w:p>
    <w:p>
      <w:pPr>
        <w:ind w:left="288"/>
      </w:pPr>
      <w:r>
        <w:rPr>
          <w:color w:val="8C8C8C"/>
          <w:sz w:val="12"/>
        </w:rPr>
        <w:t>cf-art-186-inc-II</w:t>
      </w:r>
      <w:r>
        <w:rPr>
          <w:color w:val="003CA0"/>
          <w:sz w:val="12"/>
        </w:rPr>
        <w:t xml:space="preserve"> | MS 22.164</w:t>
      </w:r>
      <w:r>
        <w:rPr>
          <w:color w:val="003CA0"/>
          <w:sz w:val="12"/>
        </w:rPr>
        <w:t xml:space="preserve"> | rel. Celso de Mello</w:t>
      </w:r>
    </w:p>
    <w:p>
      <w:pPr>
        <w:ind w:left="288"/>
      </w:pPr>
      <w:r>
        <w:rPr>
          <w:color w:val="1E1E1E"/>
          <w:sz w:val="18"/>
        </w:rPr>
        <w:t>A própria Constituição da República, ao impor ao poder público o dever de fazer respeitar a integridade do patrimônio ambiental, não o inibe, quando necessária a intervenção estatal na esfera dominial privada, de promover a desapropriação de imóveis rurais para fins de reforma agrária, especialmente porque um dos instrumentos de realização da função social da propriedade consiste, precisamente, na submissão do domínio à necessidade de o seu titular utilizar adequadamente os recursos naturais disponíveis e de fazer preservar o equilíbrio do meio ambiente (CF, art. 186, II), sob pena de, em desc</w:t>
      </w:r>
    </w:p>
    <w:p>
      <w:pPr>
        <w:ind w:left="288"/>
      </w:pPr>
      <w:r>
        <w:rPr>
          <w:b/>
          <w:color w:val="003CA0"/>
          <w:sz w:val="16"/>
        </w:rPr>
        <w:t>[MS 22.164, rel. min. Celso de Mello, j. 30-10-1995, P, DJ de 17-11-1995.]</w:t>
      </w:r>
    </w:p>
    <w:p>
      <w:pPr>
        <w:ind w:left="720"/>
      </w:pPr>
      <w:r>
        <w:rPr>
          <w:color w:val="003366"/>
          <w:sz w:val="18"/>
        </w:rPr>
        <w:t>I – aproveitamento racional e adequado;</w:t>
      </w:r>
    </w:p>
    <w:p>
      <w:pPr>
        <w:ind w:left="720"/>
      </w:pPr>
      <w:r>
        <w:rPr>
          <w:color w:val="003366"/>
          <w:sz w:val="18"/>
        </w:rPr>
        <w:t>II – utilização adequada dos recursos naturais disponíveis e preservação do meio</w:t>
      </w:r>
    </w:p>
    <w:p>
      <w:pPr>
        <w:ind w:left="720"/>
      </w:pPr>
      <w:r>
        <w:rPr>
          <w:color w:val="003366"/>
          <w:sz w:val="18"/>
        </w:rPr>
        <w:t>III – observância das disposições que regulam as relações de trabalho;</w:t>
      </w:r>
    </w:p>
    <w:p>
      <w:pPr>
        <w:ind w:left="720"/>
      </w:pPr>
      <w:r>
        <w:rPr>
          <w:color w:val="003366"/>
          <w:sz w:val="18"/>
        </w:rPr>
        <w:t>IV – exploração que favoreça o bem-estar dos proprietários e dos trabalhadores.</w:t>
      </w:r>
    </w:p>
    <w:p>
      <w:r>
        <w:rPr>
          <w:b/>
          <w:color w:val="003366"/>
          <w:sz w:val="20"/>
        </w:rPr>
        <w:t>Art. 187 A política agrícola será planejada e executada na forma da lei, com a p</w:t>
      </w:r>
      <w:r>
        <w:rPr>
          <w:color w:val="8C8C8C"/>
          <w:sz w:val="14"/>
        </w:rPr>
        <w:t xml:space="preserve">  [2 decisoes]</w:t>
      </w:r>
    </w:p>
    <w:p>
      <w:pPr>
        <w:ind w:left="144"/>
      </w:pPr>
      <w:r>
        <w:rPr>
          <w:b/>
          <w:color w:val="B45A00"/>
          <w:sz w:val="16"/>
        </w:rPr>
        <w:t>CONTROLE CONCENTRADO</w:t>
      </w:r>
    </w:p>
    <w:p>
      <w:pPr>
        <w:ind w:left="288"/>
      </w:pPr>
      <w:r>
        <w:rPr>
          <w:color w:val="8C8C8C"/>
          <w:sz w:val="12"/>
        </w:rPr>
        <w:t>cf-art-187</w:t>
      </w:r>
      <w:r>
        <w:rPr>
          <w:color w:val="003CA0"/>
          <w:sz w:val="12"/>
        </w:rPr>
        <w:t xml:space="preserve"> | ADI 244</w:t>
      </w:r>
      <w:r>
        <w:rPr>
          <w:color w:val="003CA0"/>
          <w:sz w:val="12"/>
        </w:rPr>
        <w:t xml:space="preserve"> | rel. Sepúlveda Pertence</w:t>
      </w:r>
    </w:p>
    <w:p>
      <w:pPr>
        <w:ind w:left="288"/>
      </w:pPr>
      <w:r>
        <w:rPr>
          <w:color w:val="1E1E1E"/>
          <w:sz w:val="18"/>
        </w:rPr>
        <w:t>Além das modalidades explícitas, mas espasmódicas, de democracia direta – o plebiscito, o referendo e a iniciativa popular (art. 14) –, a Constituição da República aventa oportunidades tópicas de participação popular na administração pública (v.g., art. 5º, XXXVIII e LXXIII; art. 29, XII e XIII; art. 37, § 3º; art. 74, § 2º; art. 187; art. 194, parágrafo único, VII; art. 204, II; art. 206, VI; art. 224).</w:t>
      </w:r>
    </w:p>
    <w:p>
      <w:pPr>
        <w:ind w:left="288"/>
      </w:pPr>
      <w:r>
        <w:rPr>
          <w:b/>
          <w:color w:val="003CA0"/>
          <w:sz w:val="16"/>
        </w:rPr>
        <w:t>[ADI 244, rel. min. Sepúlveda Pertence, j. 11-9-2002, P, DJ de 31-10-2002.]</w:t>
      </w:r>
    </w:p>
    <w:p>
      <w:pPr>
        <w:ind w:left="288"/>
      </w:pPr>
      <w:r>
        <w:rPr>
          <w:color w:val="8C8C8C"/>
          <w:sz w:val="12"/>
        </w:rPr>
        <w:t>cf-art-187-inc-IV</w:t>
      </w:r>
      <w:r>
        <w:rPr>
          <w:color w:val="003CA0"/>
          <w:sz w:val="12"/>
        </w:rPr>
        <w:t xml:space="preserve"> | ADPF 437</w:t>
      </w:r>
      <w:r>
        <w:rPr>
          <w:color w:val="003CA0"/>
          <w:sz w:val="12"/>
        </w:rPr>
        <w:t xml:space="preserve"> | rel. Rosa Weber</w:t>
      </w:r>
    </w:p>
    <w:p>
      <w:pPr>
        <w:ind w:left="288"/>
      </w:pPr>
      <w:r>
        <w:rPr>
          <w:color w:val="1E1E1E"/>
          <w:sz w:val="18"/>
        </w:rPr>
        <w:t>As atividades de assistência técnica e extensão rural, positivadas no art. 187, IV, da Constituição da República como instrumentos de realização da política agrícola do Estado, traduzem atividades estatais típicas.</w:t>
      </w:r>
    </w:p>
    <w:p>
      <w:pPr>
        <w:ind w:left="288"/>
      </w:pPr>
      <w:r>
        <w:rPr>
          <w:b/>
          <w:color w:val="003CA0"/>
          <w:sz w:val="16"/>
        </w:rPr>
        <w:t>[ADPF 437, rel. min. Rosa Weber, j. 16-9-2020, P, DJE de 5-10-2020.]</w:t>
      </w:r>
    </w:p>
    <w:p>
      <w:pPr>
        <w:ind w:left="720"/>
      </w:pPr>
      <w:r>
        <w:rPr>
          <w:color w:val="003366"/>
          <w:sz w:val="18"/>
        </w:rPr>
        <w:t>I – os instrumentos creditícios e fiscais;</w:t>
      </w:r>
    </w:p>
    <w:p>
      <w:pPr>
        <w:ind w:left="720"/>
      </w:pPr>
      <w:r>
        <w:rPr>
          <w:color w:val="003366"/>
          <w:sz w:val="18"/>
        </w:rPr>
        <w:t>II – os preços compatíveis com os custos de produção e a garantia de comercializ</w:t>
      </w:r>
    </w:p>
    <w:p>
      <w:pPr>
        <w:ind w:left="720"/>
      </w:pPr>
      <w:r>
        <w:rPr>
          <w:color w:val="003366"/>
          <w:sz w:val="18"/>
        </w:rPr>
        <w:t>III – o incentivo à pesquisa e à tecnologia;</w:t>
      </w:r>
    </w:p>
    <w:p>
      <w:pPr>
        <w:ind w:left="720"/>
      </w:pPr>
      <w:r>
        <w:rPr>
          <w:color w:val="003366"/>
          <w:sz w:val="18"/>
        </w:rPr>
        <w:t>IV – a assistência técnica e extensão rural;</w:t>
      </w:r>
    </w:p>
    <w:p>
      <w:pPr>
        <w:ind w:left="720"/>
      </w:pPr>
      <w:r>
        <w:rPr>
          <w:color w:val="003366"/>
          <w:sz w:val="18"/>
        </w:rPr>
        <w:t>V – o seguro agrícola;</w:t>
      </w:r>
    </w:p>
    <w:p>
      <w:pPr>
        <w:ind w:left="720"/>
      </w:pPr>
      <w:r>
        <w:rPr>
          <w:color w:val="003366"/>
          <w:sz w:val="18"/>
        </w:rPr>
        <w:t>VI – o cooperativismo;</w:t>
      </w:r>
    </w:p>
    <w:p>
      <w:pPr>
        <w:ind w:left="720"/>
      </w:pPr>
      <w:r>
        <w:rPr>
          <w:color w:val="003366"/>
          <w:sz w:val="18"/>
        </w:rPr>
        <w:t>VII – a eletrificação rural e irrigação;</w:t>
      </w:r>
    </w:p>
    <w:p>
      <w:pPr>
        <w:ind w:left="720"/>
      </w:pPr>
      <w:r>
        <w:rPr>
          <w:color w:val="003366"/>
          <w:sz w:val="18"/>
        </w:rPr>
        <w:t>VIII – a habitação para o trabalhador rural.</w:t>
      </w:r>
    </w:p>
    <w:p>
      <w:pPr>
        <w:ind w:left="432"/>
      </w:pPr>
      <w:r>
        <w:rPr>
          <w:color w:val="003366"/>
          <w:sz w:val="18"/>
        </w:rPr>
        <w:t>§ 1 Incluem-se no planejamento agrícola as atividades agro-industriais, agropecu</w:t>
      </w:r>
    </w:p>
    <w:p>
      <w:pPr>
        <w:ind w:left="432"/>
      </w:pPr>
      <w:r>
        <w:rPr>
          <w:color w:val="003366"/>
          <w:sz w:val="18"/>
        </w:rPr>
        <w:t>§ 2 Serão compatibilizadas as ações de política agrícola e de reforma agrária.</w:t>
      </w:r>
    </w:p>
    <w:p>
      <w:r>
        <w:rPr>
          <w:b/>
          <w:color w:val="003366"/>
          <w:sz w:val="20"/>
        </w:rPr>
        <w:t xml:space="preserve">Art. 188 A destinação de terras públicas e devolutas será compatibilizada com a </w:t>
      </w:r>
      <w:r>
        <w:rPr>
          <w:color w:val="8C8C8C"/>
          <w:sz w:val="14"/>
        </w:rPr>
        <w:t xml:space="preserve">  [3 decisoes]</w:t>
      </w:r>
    </w:p>
    <w:p>
      <w:pPr>
        <w:ind w:left="144"/>
      </w:pPr>
      <w:r>
        <w:rPr>
          <w:b/>
          <w:color w:val="B45A00"/>
          <w:sz w:val="16"/>
        </w:rPr>
        <w:t>CONTROLE CONCENTRADO</w:t>
      </w:r>
    </w:p>
    <w:p>
      <w:pPr>
        <w:ind w:left="288"/>
      </w:pPr>
      <w:r>
        <w:rPr>
          <w:color w:val="8C8C8C"/>
          <w:sz w:val="12"/>
        </w:rPr>
        <w:t>cf-art-188</w:t>
      </w:r>
      <w:r>
        <w:rPr>
          <w:color w:val="003CA0"/>
          <w:sz w:val="12"/>
        </w:rPr>
        <w:t xml:space="preserve"> | ADI 5.623</w:t>
      </w:r>
      <w:r>
        <w:rPr>
          <w:color w:val="003CA0"/>
          <w:sz w:val="12"/>
        </w:rPr>
        <w:t xml:space="preserve"> | rel. Cármen Lúcia</w:t>
      </w:r>
    </w:p>
    <w:p>
      <w:pPr>
        <w:ind w:left="288"/>
      </w:pPr>
      <w:r>
        <w:rPr>
          <w:color w:val="1E1E1E"/>
          <w:sz w:val="18"/>
        </w:rPr>
        <w:t>Lei n. 13.178/2015. Ratificação pela União de registros imobiliários decorrentes de títulos expedidos pelos Estados de alienação e concessão de terras devolutas situadas nas faixas de fronteira. Necessidade de observância à política agrícola e ao plano nacional de reforma agrária. Art. 188 da constituição da república. Função social da propriedade.</w:t>
      </w:r>
    </w:p>
    <w:p>
      <w:pPr>
        <w:ind w:left="288"/>
      </w:pPr>
      <w:r>
        <w:rPr>
          <w:b/>
          <w:color w:val="003CA0"/>
          <w:sz w:val="16"/>
        </w:rPr>
        <w:t>[ADI 5.623, rel. min. Cármen Lúcia, j. 28-11-2022, P, DJE de 1º-12-2022.]</w:t>
      </w:r>
    </w:p>
    <w:p>
      <w:pPr>
        <w:ind w:left="288"/>
      </w:pPr>
      <w:r>
        <w:rPr>
          <w:color w:val="8C8C8C"/>
          <w:sz w:val="12"/>
        </w:rPr>
        <w:t>cf-art-188-par-1</w:t>
      </w:r>
      <w:r>
        <w:rPr>
          <w:color w:val="003CA0"/>
          <w:sz w:val="12"/>
        </w:rPr>
        <w:t xml:space="preserve"> | ADI 6.596</w:t>
      </w:r>
      <w:r>
        <w:rPr>
          <w:color w:val="003CA0"/>
          <w:sz w:val="12"/>
        </w:rPr>
        <w:t xml:space="preserve"> | rel. Rosa Weber</w:t>
      </w:r>
    </w:p>
    <w:p>
      <w:pPr>
        <w:ind w:left="288"/>
      </w:pPr>
      <w:r>
        <w:rPr>
          <w:color w:val="1E1E1E"/>
          <w:sz w:val="18"/>
        </w:rPr>
        <w:t>O art. 188, § 1º, da Constituição Federal, ao exigir autorização do Congresso Nacional para a alienação ou a concessão de terras públicas com área superior a 2.500 hectares, aplica-se a todos os entes da federação. Traduz interesse nacional – e republicano – na transferência de bens de grande extensão a uma única pessoa física ou jurídica. Descabe a imposição do mesmo limite territorial mínimo aos demais entes federados, por não se tratar de aspecto de reprodução obrigatória. O Constituinte estadual, ao impor prévia autorização legislativa para a alienação ou a concessão de terras públicas, at</w:t>
      </w:r>
    </w:p>
    <w:p>
      <w:pPr>
        <w:ind w:left="144"/>
      </w:pPr>
      <w:r>
        <w:rPr>
          <w:b/>
          <w:color w:val="B45A00"/>
          <w:sz w:val="16"/>
        </w:rPr>
        <w:t>JULGADOS CORRELATOS</w:t>
      </w:r>
    </w:p>
    <w:p>
      <w:pPr>
        <w:ind w:left="288"/>
      </w:pPr>
      <w:r>
        <w:rPr>
          <w:color w:val="8C8C8C"/>
          <w:sz w:val="12"/>
        </w:rPr>
        <w:t>cf-art-188-par-1</w:t>
      </w:r>
      <w:r>
        <w:rPr>
          <w:color w:val="003CA0"/>
          <w:sz w:val="12"/>
        </w:rPr>
        <w:t xml:space="preserve"> | ACO 3.568</w:t>
      </w:r>
      <w:r>
        <w:rPr>
          <w:color w:val="003CA0"/>
          <w:sz w:val="12"/>
        </w:rPr>
        <w:t xml:space="preserve"> | rel. Ricardo Lewandowski</w:t>
      </w:r>
    </w:p>
    <w:p>
      <w:pPr>
        <w:ind w:left="288"/>
      </w:pPr>
      <w:r>
        <w:rPr>
          <w:color w:val="1E1E1E"/>
          <w:sz w:val="18"/>
        </w:rPr>
        <w:t>A cessão de uso de bem público por parte da Administração serve para que órgãos da mesma pessoa jurídica - ou de pessoas diversas - fiquem incumbidos de desenvolver atividades que, de algum modo, traduzam interesse para a coletividade. É assente em nosso ordenamento a necessidade de autorização legislativa para que essa espécie contratual se dê entre entidades integrantes de esferas distintas, na forma dos arts. 48, V, e art. 188, § 1º, ambos da Constituição Federal, e do art. 4º, § 1º, da Constituição do Estado de Pernambuco. É que a cessão de bens de uso comum do povo a outros entes não supõ</w:t>
      </w:r>
    </w:p>
    <w:p>
      <w:pPr>
        <w:ind w:left="432"/>
      </w:pPr>
      <w:r>
        <w:rPr>
          <w:color w:val="003366"/>
          <w:sz w:val="18"/>
        </w:rPr>
        <w:t>§ 1 A alienação ou a concessão, a qualquer título, de terras públicas com área s</w:t>
      </w:r>
    </w:p>
    <w:p>
      <w:pPr>
        <w:ind w:left="432"/>
      </w:pPr>
      <w:r>
        <w:rPr>
          <w:color w:val="003366"/>
          <w:sz w:val="18"/>
        </w:rPr>
        <w:t>§ 2 Excetuam-se do disposto no parágrafo anterior as alienações ou as concessões</w:t>
      </w:r>
    </w:p>
    <w:p>
      <w:r>
        <w:rPr>
          <w:b/>
          <w:color w:val="003366"/>
          <w:sz w:val="20"/>
        </w:rPr>
        <w:t>Art. 189 Os beneficiários da distribuição de imóveis rurais pela reforma agrária</w:t>
      </w:r>
    </w:p>
    <w:p>
      <w:r>
        <w:rPr>
          <w:b/>
          <w:color w:val="003366"/>
          <w:sz w:val="20"/>
        </w:rPr>
        <w:t xml:space="preserve">Art. 190 A lei regulará e limitará a aquisição ou o arrendamento de propriedade </w:t>
      </w:r>
    </w:p>
    <w:p>
      <w:r>
        <w:rPr>
          <w:b/>
          <w:color w:val="003366"/>
          <w:sz w:val="20"/>
        </w:rPr>
        <w:t>Art. 191 Aquele que, não sendo proprietário de imóvel rural ou urbano, possua co</w:t>
      </w:r>
      <w:r>
        <w:rPr>
          <w:color w:val="8C8C8C"/>
          <w:sz w:val="14"/>
        </w:rPr>
        <w:t xml:space="preserve">  [2 decisoes]</w:t>
      </w:r>
    </w:p>
    <w:p>
      <w:pPr>
        <w:ind w:left="144"/>
      </w:pPr>
      <w:r>
        <w:rPr>
          <w:b/>
          <w:color w:val="B45A00"/>
          <w:sz w:val="16"/>
        </w:rPr>
        <w:t>JULGADOS CORRELATOS</w:t>
      </w:r>
    </w:p>
    <w:p>
      <w:pPr>
        <w:ind w:left="288"/>
      </w:pPr>
      <w:r>
        <w:rPr>
          <w:color w:val="8C8C8C"/>
          <w:sz w:val="12"/>
        </w:rPr>
        <w:t>cf-art-191-par-unico</w:t>
      </w:r>
      <w:r>
        <w:rPr>
          <w:color w:val="003CA0"/>
          <w:sz w:val="12"/>
        </w:rPr>
        <w:t xml:space="preserve"> | AI 852.804</w:t>
      </w:r>
      <w:r>
        <w:rPr>
          <w:color w:val="003CA0"/>
          <w:sz w:val="12"/>
        </w:rPr>
        <w:t xml:space="preserve"> | rel. Luiz Fux</w:t>
      </w:r>
    </w:p>
    <w:p>
      <w:pPr>
        <w:ind w:left="288"/>
      </w:pPr>
      <w:r>
        <w:rPr>
          <w:color w:val="1E1E1E"/>
          <w:sz w:val="18"/>
        </w:rPr>
        <w:t>A área objeto da presente ação constitui bem público dominical, sobre o qual não pode incidir usucapião, nos termos dos arts. 183, § 3º, e 191, parágrafo único, da CF. Em que pese a demonstração pelo autor da posse mansa e pacífica do bem por período superior a vinte anos, sendo o imóvel propriedade da União, impossível a sua aquisição pela usucapião.</w:t>
      </w:r>
    </w:p>
    <w:p>
      <w:pPr>
        <w:ind w:left="288"/>
      </w:pPr>
      <w:r>
        <w:rPr>
          <w:b/>
          <w:color w:val="003CA0"/>
          <w:sz w:val="16"/>
        </w:rPr>
        <w:t>[AI 852.804 AgR, rel. min. Luiz Fux, j. 4-12-2012, 1ª T, DJE de 1º-2-2013.]</w:t>
      </w:r>
    </w:p>
    <w:p>
      <w:pPr>
        <w:ind w:left="288"/>
      </w:pPr>
      <w:r>
        <w:rPr>
          <w:color w:val="8C8C8C"/>
          <w:sz w:val="12"/>
        </w:rPr>
        <w:t>cf-art-191-par-unico</w:t>
      </w:r>
    </w:p>
    <w:p>
      <w:pPr>
        <w:ind w:left="288"/>
      </w:pPr>
      <w:r>
        <w:rPr>
          <w:color w:val="1E1E1E"/>
          <w:sz w:val="18"/>
        </w:rPr>
        <w:t>CAPÍTULO IV Do Sistema Financeiro Nacional SUMÁRIO</w:t>
      </w:r>
    </w:p>
    <w:p>
      <w:pPr>
        <w:pStyle w:val="Heading2"/>
      </w:pPr>
      <w:r>
        <w:rPr>
          <w:color w:val="003366"/>
        </w:rPr>
        <w:t>CAPÍTULO IV - DO SISTEMA FINANCEIRO NACIONAL</w:t>
      </w:r>
    </w:p>
    <w:p>
      <w:r>
        <w:rPr>
          <w:b/>
          <w:color w:val="003366"/>
          <w:sz w:val="20"/>
        </w:rPr>
        <w:t>Art. 192 O sistema financeiro nacional, estruturado de forma a promover o desenv</w:t>
      </w:r>
      <w:r>
        <w:rPr>
          <w:color w:val="8C8C8C"/>
          <w:sz w:val="14"/>
        </w:rPr>
        <w:t xml:space="preserve">  [6 decisoes]</w:t>
      </w:r>
    </w:p>
    <w:p>
      <w:pPr>
        <w:ind w:left="144"/>
      </w:pPr>
      <w:r>
        <w:rPr>
          <w:b/>
          <w:color w:val="B45A00"/>
          <w:sz w:val="16"/>
        </w:rPr>
        <w:t>SUMULA VINCULANTE</w:t>
      </w:r>
    </w:p>
    <w:p>
      <w:pPr>
        <w:ind w:left="288"/>
      </w:pPr>
      <w:r>
        <w:rPr>
          <w:color w:val="8C8C8C"/>
          <w:sz w:val="12"/>
        </w:rPr>
        <w:t>cf-art-192</w:t>
      </w:r>
    </w:p>
    <w:p>
      <w:pPr>
        <w:ind w:left="288"/>
      </w:pPr>
      <w:r>
        <w:rPr>
          <w:color w:val="1E1E1E"/>
          <w:sz w:val="18"/>
        </w:rPr>
        <w:t>A norma do § 3º do art. 192 da Constituição, revogada pela EC 40/2003, que limitava a taxa de juros reais a 12% ao ano, tinha sua aplicação condicionada à edição de lei complementar.</w:t>
      </w:r>
    </w:p>
    <w:p>
      <w:pPr>
        <w:ind w:left="288"/>
      </w:pPr>
      <w:r>
        <w:rPr>
          <w:b/>
          <w:color w:val="003CA0"/>
          <w:sz w:val="16"/>
        </w:rPr>
        <w:t>[Súmula Vinculante 7.]</w:t>
      </w:r>
    </w:p>
    <w:p>
      <w:pPr>
        <w:ind w:left="144"/>
      </w:pPr>
      <w:r>
        <w:rPr>
          <w:b/>
          <w:color w:val="B45A00"/>
          <w:sz w:val="16"/>
        </w:rPr>
        <w:t>CONTROLE CONCENTRADO</w:t>
      </w:r>
    </w:p>
    <w:p>
      <w:pPr>
        <w:ind w:left="288"/>
      </w:pPr>
      <w:r>
        <w:rPr>
          <w:color w:val="8C8C8C"/>
          <w:sz w:val="12"/>
        </w:rPr>
        <w:t>cf-art-192</w:t>
      </w:r>
      <w:r>
        <w:rPr>
          <w:color w:val="003CA0"/>
          <w:sz w:val="12"/>
        </w:rPr>
        <w:t xml:space="preserve"> | ADI 2.316</w:t>
      </w:r>
      <w:r>
        <w:rPr>
          <w:color w:val="003CA0"/>
          <w:sz w:val="12"/>
        </w:rPr>
        <w:t xml:space="preserve"> | rel. Nunes Marques</w:t>
      </w:r>
    </w:p>
    <w:p>
      <w:pPr>
        <w:ind w:left="288"/>
      </w:pPr>
      <w:r>
        <w:rPr>
          <w:color w:val="1E1E1E"/>
          <w:sz w:val="18"/>
        </w:rPr>
        <w:t>A regulação por meio de lei complementar prevista no art. 192 da Constituição Federal se refere à estrutura do Sistema Financeiro Nacional (SFN), e não aos negócios jurídicos celebrados nesse ambiente. Aludida exigência formal não se aplica, portanto, à periodicidade de capitalização dos juros contratados nos empréstimos concedidos pelas instituições integrantes do SFN.</w:t>
        <w:br/>
        <w:t>[ADI 2.316, rel. min. Nunes Marques, j. 01.07.2024, P, DJE de 22.08.2024.] A disciplina do Sistema Financeiro Nacional deve se dar mediante lei complementar (CF, art. 192), mas não se exige iniciativa privativa do Presidente da</w:t>
      </w:r>
    </w:p>
    <w:p>
      <w:pPr>
        <w:ind w:left="288"/>
      </w:pPr>
      <w:r>
        <w:rPr>
          <w:b/>
          <w:color w:val="003CA0"/>
          <w:sz w:val="16"/>
        </w:rPr>
        <w:t>[ADI 6.262 MC, rel. min. Edson Fachin, j. 20-12-2019, P, DJE de 22-4-2020.]</w:t>
      </w:r>
    </w:p>
    <w:p>
      <w:pPr>
        <w:ind w:left="288"/>
      </w:pPr>
      <w:r>
        <w:rPr>
          <w:color w:val="8C8C8C"/>
          <w:sz w:val="12"/>
        </w:rPr>
        <w:t>cf-art-192</w:t>
      </w:r>
      <w:r>
        <w:rPr>
          <w:color w:val="003CA0"/>
          <w:sz w:val="12"/>
        </w:rPr>
        <w:t xml:space="preserve"> | ADI 3.515</w:t>
      </w:r>
      <w:r>
        <w:rPr>
          <w:color w:val="003CA0"/>
          <w:sz w:val="12"/>
        </w:rPr>
        <w:t xml:space="preserve"> | rel. Cezar Peluso</w:t>
      </w:r>
    </w:p>
    <w:p>
      <w:pPr>
        <w:ind w:left="288"/>
      </w:pPr>
      <w:r>
        <w:rPr>
          <w:color w:val="1E1E1E"/>
          <w:sz w:val="18"/>
        </w:rPr>
        <w:t>Lei 12.775/2003 do Estado de Santa Catarina. Competência legislativa. Sistema financeiro nacional. Banco. Agência bancária. Adoção de equipamento que, embora indicado pelo Banco Central, ateste autenticidade das cédulas de dinheiro nas transações bancárias. Previsão de obrigatoriedade. Inadmissibilidade. Regras de fiscalização de operações financeiras e de autenticidade do ativo circulante. Competências exclusivas da União. Ofensa aos arts. 21, VIII, e 192 da CF.</w:t>
      </w:r>
    </w:p>
    <w:p>
      <w:pPr>
        <w:ind w:left="288"/>
      </w:pPr>
      <w:r>
        <w:rPr>
          <w:b/>
          <w:color w:val="003CA0"/>
          <w:sz w:val="16"/>
        </w:rPr>
        <w:t>[ADI 3.515, rel. min. Cezar Peluso, j. 1º-8-2011, P, DJE de 29-9-2011.]</w:t>
      </w:r>
    </w:p>
    <w:p>
      <w:pPr>
        <w:ind w:left="144"/>
      </w:pPr>
      <w:r>
        <w:rPr>
          <w:b/>
          <w:color w:val="B45A00"/>
          <w:sz w:val="16"/>
        </w:rPr>
        <w:t>JULGADOS CORRELATOS</w:t>
      </w:r>
    </w:p>
    <w:p>
      <w:pPr>
        <w:ind w:left="288"/>
      </w:pPr>
      <w:r>
        <w:rPr>
          <w:color w:val="8C8C8C"/>
          <w:sz w:val="12"/>
        </w:rPr>
        <w:t>cf-art-192</w:t>
      </w:r>
      <w:r>
        <w:rPr>
          <w:color w:val="003CA0"/>
          <w:sz w:val="12"/>
        </w:rPr>
        <w:t xml:space="preserve"> | RMS 28.194</w:t>
      </w:r>
      <w:r>
        <w:rPr>
          <w:color w:val="003CA0"/>
          <w:sz w:val="12"/>
        </w:rPr>
        <w:t xml:space="preserve"> | rel. Celso de Mello</w:t>
      </w:r>
    </w:p>
    <w:p>
      <w:pPr>
        <w:ind w:left="288"/>
      </w:pPr>
      <w:r>
        <w:rPr>
          <w:color w:val="1E1E1E"/>
          <w:sz w:val="18"/>
        </w:rPr>
        <w:t>O presidente do Banco Central do Brasil não dispõe de competência, seja para determinar a reserva de fundos para satisfação de crédito impugnado, seja para promover a alteração no quadro geral de credores, pois os poderes de administração, verificação e classificação dos créditos de liquidação extrajudicial de instituição financeira são conferidos por norma legal específica (Lei 6.024/1974, art. 16), apenas ao respectivo liquidante.</w:t>
      </w:r>
    </w:p>
    <w:p>
      <w:pPr>
        <w:ind w:left="288"/>
      </w:pPr>
      <w:r>
        <w:rPr>
          <w:b/>
          <w:color w:val="003CA0"/>
          <w:sz w:val="16"/>
        </w:rPr>
        <w:t>[RMS 28.194 ED, rel. min. Celso de Mello, j. 5-2-2013, 2ª T, DJE de 25-2-2013.]</w:t>
      </w:r>
    </w:p>
    <w:p>
      <w:pPr>
        <w:ind w:left="288"/>
      </w:pPr>
      <w:r>
        <w:rPr>
          <w:color w:val="8C8C8C"/>
          <w:sz w:val="12"/>
        </w:rPr>
        <w:t>cf-art-192-par-2</w:t>
      </w:r>
    </w:p>
    <w:p>
      <w:pPr>
        <w:ind w:left="288"/>
      </w:pPr>
      <w:r>
        <w:rPr>
          <w:color w:val="1E1E1E"/>
          <w:sz w:val="18"/>
        </w:rPr>
        <w:t>d) ao pagamento de subsídios a tarifas de transporte público coletivo de passageiros. (Incluído pela EC n. 132/2023)</w:t>
      </w:r>
    </w:p>
    <w:p>
      <w:pPr>
        <w:ind w:left="288"/>
      </w:pPr>
      <w:r>
        <w:rPr>
          <w:color w:val="8C8C8C"/>
          <w:sz w:val="12"/>
        </w:rPr>
        <w:t>cf-art-192-par-2</w:t>
      </w:r>
    </w:p>
    <w:p>
      <w:pPr>
        <w:ind w:left="288"/>
      </w:pPr>
      <w:r>
        <w:rPr>
          <w:color w:val="1E1E1E"/>
          <w:sz w:val="18"/>
        </w:rPr>
        <w:t>TÍTULO VIII Da Ordem Social SUMÁRIO CAPÍTULO I Disposição Geral SUMÁRIO</w:t>
      </w:r>
    </w:p>
    <w:p>
      <w:pPr>
        <w:ind w:left="720"/>
      </w:pPr>
      <w:r>
        <w:rPr>
          <w:color w:val="003366"/>
          <w:sz w:val="18"/>
        </w:rPr>
        <w:t>I – (Revogado). (Redação dada pela Emenda Constitucional nº 40, de 2003)</w:t>
      </w:r>
    </w:p>
    <w:p>
      <w:pPr>
        <w:ind w:left="720"/>
      </w:pPr>
      <w:r>
        <w:rPr>
          <w:color w:val="003366"/>
          <w:sz w:val="18"/>
        </w:rPr>
        <w:t>II – (Revogado). (Redação dada pela Emenda Constitucional nº 40, de 2003)</w:t>
      </w:r>
    </w:p>
    <w:p>
      <w:pPr>
        <w:ind w:left="720"/>
      </w:pPr>
      <w:r>
        <w:rPr>
          <w:color w:val="003366"/>
          <w:sz w:val="18"/>
        </w:rPr>
        <w:t>III – (Revogado) (Redação dada pela Emenda Constitucional nº 40, de 2003)</w:t>
      </w:r>
    </w:p>
    <w:p>
      <w:pPr>
        <w:ind w:left="1008"/>
      </w:pPr>
      <w:r>
        <w:rPr>
          <w:color w:val="003366"/>
          <w:sz w:val="18"/>
        </w:rPr>
        <w:t>a) (Revogado) (Redação dada pela Emenda Constitucional nº 40, de 2003)</w:t>
      </w:r>
    </w:p>
    <w:p>
      <w:pPr>
        <w:ind w:left="1008"/>
      </w:pPr>
      <w:r>
        <w:rPr>
          <w:color w:val="003366"/>
          <w:sz w:val="18"/>
        </w:rPr>
        <w:t>b) (Revogado) (Redação dada pela Emenda Constitucional nº 40, de 2003)</w:t>
      </w:r>
    </w:p>
    <w:p>
      <w:pPr>
        <w:ind w:left="720"/>
      </w:pPr>
      <w:r>
        <w:rPr>
          <w:color w:val="003366"/>
          <w:sz w:val="18"/>
        </w:rPr>
        <w:t>IV – (Revogado) (Redação dada pela Emenda Constitucional nº 40, de 2003)</w:t>
      </w:r>
    </w:p>
    <w:p>
      <w:pPr>
        <w:ind w:left="720"/>
      </w:pPr>
      <w:r>
        <w:rPr>
          <w:color w:val="003366"/>
          <w:sz w:val="18"/>
        </w:rPr>
        <w:t>V – (Revogado) (Redação dada pela Emenda Constitucional nº 40, de 2003)</w:t>
      </w:r>
    </w:p>
    <w:p>
      <w:pPr>
        <w:ind w:left="720"/>
      </w:pPr>
      <w:r>
        <w:rPr>
          <w:color w:val="003366"/>
          <w:sz w:val="18"/>
        </w:rPr>
        <w:t>VI – (Revogado) (Redação dada pela Emenda Constitucional nº 40, de 2003)</w:t>
      </w:r>
    </w:p>
    <w:p>
      <w:pPr>
        <w:ind w:left="720"/>
      </w:pPr>
      <w:r>
        <w:rPr>
          <w:color w:val="003366"/>
          <w:sz w:val="18"/>
        </w:rPr>
        <w:t>VII – (Revogado) (Redação dada pela Emenda Constitucional nº 40, de 2003)</w:t>
      </w:r>
    </w:p>
    <w:p>
      <w:pPr>
        <w:ind w:left="720"/>
      </w:pPr>
      <w:r>
        <w:rPr>
          <w:color w:val="003366"/>
          <w:sz w:val="18"/>
        </w:rPr>
        <w:t>VIII – (Revogado) (Redação dada pela Emenda Constitucional nº 40, de 2003)</w:t>
      </w:r>
    </w:p>
    <w:p>
      <w:pPr>
        <w:ind w:left="432"/>
      </w:pPr>
      <w:r>
        <w:rPr>
          <w:color w:val="003366"/>
          <w:sz w:val="18"/>
        </w:rPr>
        <w:t>§ 1 (Revogado) (Redação dada pela Emenda Constitucional nº 40, de 2003)</w:t>
      </w:r>
    </w:p>
    <w:p>
      <w:pPr>
        <w:ind w:left="432"/>
      </w:pPr>
      <w:r>
        <w:rPr>
          <w:color w:val="003366"/>
          <w:sz w:val="18"/>
        </w:rPr>
        <w:t>§ 2 (Revogado) (Redação dada pela Emenda Constitucional nº 40, de 2003)</w:t>
      </w:r>
    </w:p>
    <w:p>
      <w:pPr>
        <w:ind w:left="432"/>
      </w:pPr>
      <w:r>
        <w:rPr>
          <w:color w:val="003366"/>
          <w:sz w:val="18"/>
        </w:rPr>
        <w:t>§ 3 (Revogado) (Redação dada pela Emenda Constitucional nº 40, de 2003)</w:t>
      </w:r>
    </w:p>
    <w:p>
      <w:pPr>
        <w:pStyle w:val="Heading1"/>
      </w:pPr>
      <w:r>
        <w:rPr>
          <w:color w:val="003366"/>
        </w:rPr>
        <w:t>TÍTULO VIII</w:t>
      </w:r>
    </w:p>
    <w:p>
      <w:pPr>
        <w:pStyle w:val="Heading2"/>
      </w:pPr>
      <w:r>
        <w:rPr>
          <w:color w:val="003366"/>
        </w:rPr>
        <w:t>CAPÍTULO I - DISPOSIÇÃO GERAL</w:t>
      </w:r>
    </w:p>
    <w:p>
      <w:r>
        <w:rPr>
          <w:b/>
          <w:color w:val="003366"/>
          <w:sz w:val="20"/>
        </w:rPr>
        <w:t>Art. 193 A ordem social tem como base o primado do trabalho, e como objetivo o b</w:t>
      </w:r>
      <w:r>
        <w:rPr>
          <w:color w:val="8C8C8C"/>
          <w:sz w:val="14"/>
        </w:rPr>
        <w:t xml:space="preserve">  [2 decisoes]</w:t>
      </w:r>
    </w:p>
    <w:p>
      <w:pPr>
        <w:ind w:left="144"/>
      </w:pPr>
      <w:r>
        <w:rPr>
          <w:b/>
          <w:color w:val="B45A00"/>
          <w:sz w:val="16"/>
        </w:rPr>
        <w:t>CONTROLE CONCENTRADO</w:t>
      </w:r>
    </w:p>
    <w:p>
      <w:pPr>
        <w:ind w:left="288"/>
      </w:pPr>
      <w:r>
        <w:rPr>
          <w:color w:val="8C8C8C"/>
          <w:sz w:val="12"/>
        </w:rPr>
        <w:t>cf-art-193</w:t>
      </w:r>
      <w:r>
        <w:rPr>
          <w:color w:val="003CA0"/>
          <w:sz w:val="12"/>
        </w:rPr>
        <w:t xml:space="preserve"> | ADI 5.547</w:t>
      </w:r>
      <w:r>
        <w:rPr>
          <w:color w:val="003CA0"/>
          <w:sz w:val="12"/>
        </w:rPr>
        <w:t xml:space="preserve"> | rel. Edson Fachin</w:t>
      </w:r>
    </w:p>
    <w:p>
      <w:pPr>
        <w:ind w:left="288"/>
      </w:pPr>
      <w:r>
        <w:rPr>
          <w:color w:val="1E1E1E"/>
          <w:sz w:val="18"/>
        </w:rPr>
        <w:t>Resolução CONAMA 458/2013. (...) Disciplina que conduz justamente à conformação do amálgama que busca adequar a proteção ambiental à justiça social, que, enquanto valor e fundamento da ordem econômica (CRFB, art. 170, caput) e da ordem social (CRFB, art. 193), protege, ao lado da defesa do meio ambiente, o valor social do trabalho, fundamento do Estado de Direito efetivamente democrático (art. 1º, IV, da CRFB), e os objetivos republicanos de ‘construir uma sociedade livre, justa e solidária’ e ‘erradicar a pobreza e a marginalização e reduzir as desigualdades sociais e regionais’ (Art. 3º, I e</w:t>
      </w:r>
    </w:p>
    <w:p>
      <w:pPr>
        <w:ind w:left="288"/>
      </w:pPr>
      <w:r>
        <w:rPr>
          <w:b/>
          <w:color w:val="003CA0"/>
          <w:sz w:val="16"/>
        </w:rPr>
        <w:t>[ADI 5.547, rel. min. Edson Fachin, j. 22-9-2020, P, DJE de 6-10-2020.]</w:t>
      </w:r>
    </w:p>
    <w:p>
      <w:pPr>
        <w:ind w:left="288"/>
      </w:pPr>
      <w:r>
        <w:rPr>
          <w:color w:val="8C8C8C"/>
          <w:sz w:val="12"/>
        </w:rPr>
        <w:t>cf-art-193</w:t>
      </w:r>
    </w:p>
    <w:p>
      <w:pPr>
        <w:ind w:left="288"/>
      </w:pPr>
      <w:r>
        <w:rPr>
          <w:color w:val="1E1E1E"/>
          <w:sz w:val="18"/>
        </w:rPr>
        <w:t>CAPÍTULO II Da Seguridade Social SUMÁRIO Seção I Disposições Gerais SUMÁRIO</w:t>
      </w:r>
    </w:p>
    <w:p>
      <w:pPr>
        <w:pStyle w:val="Heading2"/>
      </w:pPr>
      <w:r>
        <w:rPr>
          <w:color w:val="003366"/>
        </w:rPr>
        <w:t>CAPÍTULO II - DA SEGURIDADE SOCIAL</w:t>
      </w:r>
    </w:p>
    <w:p>
      <w:pPr>
        <w:pStyle w:val="Heading3"/>
      </w:pPr>
      <w:r>
        <w:rPr>
          <w:color w:val="003366"/>
        </w:rPr>
        <w:t>Seção I - DISPOSIÇÕES GERAIS</w:t>
      </w:r>
    </w:p>
    <w:p>
      <w:r>
        <w:rPr>
          <w:b/>
          <w:color w:val="003366"/>
          <w:sz w:val="20"/>
        </w:rPr>
        <w:t>Art. 194 A seguridade social compreende um conjunto integrado de ações de inicia</w:t>
      </w:r>
      <w:r>
        <w:rPr>
          <w:color w:val="8C8C8C"/>
          <w:sz w:val="14"/>
        </w:rPr>
        <w:t xml:space="preserve">  [9 decisoes]</w:t>
      </w:r>
    </w:p>
    <w:p>
      <w:pPr>
        <w:ind w:left="144"/>
      </w:pPr>
      <w:r>
        <w:rPr>
          <w:b/>
          <w:color w:val="B45A00"/>
          <w:sz w:val="16"/>
        </w:rPr>
        <w:t>CONTROLE CONCENTRADO</w:t>
      </w:r>
    </w:p>
    <w:p>
      <w:pPr>
        <w:ind w:left="288"/>
      </w:pPr>
      <w:r>
        <w:rPr>
          <w:color w:val="8C8C8C"/>
          <w:sz w:val="12"/>
        </w:rPr>
        <w:t>cf-art-194</w:t>
      </w:r>
      <w:r>
        <w:rPr>
          <w:color w:val="003CA0"/>
          <w:sz w:val="12"/>
        </w:rPr>
        <w:t xml:space="preserve"> | ADI 2.556</w:t>
      </w:r>
    </w:p>
    <w:p>
      <w:pPr>
        <w:ind w:left="288"/>
      </w:pPr>
      <w:r>
        <w:rPr>
          <w:color w:val="1E1E1E"/>
          <w:sz w:val="18"/>
        </w:rPr>
        <w:t>(...) esta Suprema Corte considera constitucionais ambas as contribuições criadas pela LC 110/2001 (...). (...) Como o produto arrecadado não é destinado a qualquer dos programas ou iniciativas de seguridade social, definidos pelos arts. 194 e seguintes da Constituição, também são inaplicáveis ao caso as restrições próprias às respectivas contribuições de custeio (art. 195 da Constituição).</w:t>
      </w:r>
    </w:p>
    <w:p>
      <w:pPr>
        <w:ind w:left="288"/>
      </w:pPr>
      <w:r>
        <w:rPr>
          <w:b/>
          <w:color w:val="003CA0"/>
          <w:sz w:val="16"/>
        </w:rPr>
        <w:t>[ADI 2.556 e ADI 2.568, voto do min. Joaquim Barbosa, j. 13-6-2012, P, DJE de 20-9-2012.]</w:t>
      </w:r>
    </w:p>
    <w:p>
      <w:pPr>
        <w:ind w:left="288"/>
      </w:pPr>
      <w:r>
        <w:rPr>
          <w:color w:val="8C8C8C"/>
          <w:sz w:val="12"/>
        </w:rPr>
        <w:t>cf-art-194</w:t>
      </w:r>
      <w:r>
        <w:rPr>
          <w:color w:val="003CA0"/>
          <w:sz w:val="12"/>
        </w:rPr>
        <w:t xml:space="preserve"> | ADI 2.556</w:t>
      </w:r>
      <w:r>
        <w:rPr>
          <w:color w:val="003CA0"/>
          <w:sz w:val="12"/>
        </w:rPr>
        <w:t xml:space="preserve"> | rel. Moreira Alves</w:t>
      </w:r>
    </w:p>
    <w:p>
      <w:pPr>
        <w:ind w:left="288"/>
      </w:pPr>
      <w:r>
        <w:rPr>
          <w:color w:val="1E1E1E"/>
          <w:sz w:val="18"/>
        </w:rPr>
        <w:t>Vide ADI 2.556 MC, rel. min. Moreira Alves, j. 9-10-2002, P, DJ de 8-8-2003 Deve ser, ao final, enfatizado que o direito dos idosos à gratuidade de transporte coletivo urbano não está incluído no rol de benefícios da seguridade social. A despeito de estarem dispostas no Título VIII da Constituição da República, que trata da Ordem Social, as disposições relativas à seguridade social (saúde, previdência e assistência social), previstas no Capítulo II, não se confundem com aquelas afeitas aos idosos, situadas no Capítulo VI, sendo correto, por isso mesmo, afirmar que as normas constitucionais ati</w:t>
      </w:r>
    </w:p>
    <w:p>
      <w:pPr>
        <w:ind w:left="288"/>
      </w:pPr>
      <w:r>
        <w:rPr>
          <w:b/>
          <w:color w:val="003CA0"/>
          <w:sz w:val="16"/>
        </w:rPr>
        <w:t>[ADI 3.768, voto da min. Cármen Lúcia, j. 19-9-2007, P, DJ de 26-10-2007.]</w:t>
      </w:r>
    </w:p>
    <w:p>
      <w:pPr>
        <w:ind w:left="288"/>
      </w:pPr>
      <w:r>
        <w:rPr>
          <w:color w:val="8C8C8C"/>
          <w:sz w:val="12"/>
        </w:rPr>
        <w:t>cf-art-194</w:t>
      </w:r>
      <w:r>
        <w:rPr>
          <w:color w:val="003CA0"/>
          <w:sz w:val="12"/>
        </w:rPr>
        <w:t xml:space="preserve"> | ADC 8</w:t>
      </w:r>
      <w:r>
        <w:rPr>
          <w:color w:val="003CA0"/>
          <w:sz w:val="12"/>
        </w:rPr>
        <w:t xml:space="preserve"> | rel. Celso de Mello</w:t>
      </w:r>
    </w:p>
    <w:p>
      <w:pPr>
        <w:ind w:left="288"/>
      </w:pPr>
      <w:r>
        <w:rPr>
          <w:color w:val="1E1E1E"/>
          <w:sz w:val="18"/>
        </w:rPr>
        <w:t>A contribuição de seguridade social possui destinação constitucional específica. A contribuição de seguridade social não só se qualifica como modalidade autônoma de tributo (RTJ 143/684), como também representa espécie tributária essencialmente vinculada ao financiamento da Seguridade Social, em função de específica destinação constitucional.</w:t>
      </w:r>
    </w:p>
    <w:p>
      <w:pPr>
        <w:ind w:left="288"/>
      </w:pPr>
      <w:r>
        <w:rPr>
          <w:b/>
          <w:color w:val="003CA0"/>
          <w:sz w:val="16"/>
        </w:rPr>
        <w:t>[ADC 8 MC, rel. min. Celso de Mello, j. 13-10-1999, P, DJ de 4-4-2003.]</w:t>
      </w:r>
    </w:p>
    <w:p>
      <w:pPr>
        <w:ind w:left="144"/>
      </w:pPr>
      <w:r>
        <w:rPr>
          <w:b/>
          <w:color w:val="B45A00"/>
          <w:sz w:val="16"/>
        </w:rPr>
        <w:t>REPERCUSSAO GERAL</w:t>
      </w:r>
    </w:p>
    <w:p>
      <w:pPr>
        <w:ind w:left="288"/>
      </w:pPr>
      <w:r>
        <w:rPr>
          <w:color w:val="8C8C8C"/>
          <w:sz w:val="12"/>
        </w:rPr>
        <w:t>cf-art-194</w:t>
      </w:r>
      <w:r>
        <w:rPr>
          <w:color w:val="003CA0"/>
          <w:sz w:val="12"/>
        </w:rPr>
        <w:t xml:space="preserve"> | RE 636.941</w:t>
      </w:r>
      <w:r>
        <w:rPr>
          <w:color w:val="003CA0"/>
          <w:sz w:val="12"/>
        </w:rPr>
        <w:t xml:space="preserve"> | rel. Luiz Fux</w:t>
      </w:r>
    </w:p>
    <w:p>
      <w:pPr>
        <w:ind w:left="288"/>
      </w:pPr>
      <w:r>
        <w:rPr>
          <w:color w:val="1E1E1E"/>
          <w:sz w:val="18"/>
        </w:rPr>
        <w:t>A seguridade social prevista no art. 194 da CF/1988 compreende a previdência, a saúde e a assistência social, destacando-se que as duas últimas não estão vinculadas a qualquer tipo de contraprestação por parte dos seus usuários, a teor dos arts. 196 e 203, ambos da CF/1988.</w:t>
      </w:r>
    </w:p>
    <w:p>
      <w:pPr>
        <w:ind w:left="288"/>
      </w:pPr>
      <w:r>
        <w:rPr>
          <w:b/>
          <w:color w:val="003CA0"/>
          <w:sz w:val="16"/>
        </w:rPr>
        <w:t>[RE 636.941, rel. min. Luiz Fux, j. 13-2-2014, P, DJE de 4-4-2014, Tema 432, com mérito julgado.]</w:t>
      </w:r>
    </w:p>
    <w:p>
      <w:pPr>
        <w:ind w:left="144"/>
      </w:pPr>
      <w:r>
        <w:rPr>
          <w:b/>
          <w:color w:val="B45A00"/>
          <w:sz w:val="16"/>
        </w:rPr>
        <w:t>JULGADOS CORRELATOS</w:t>
      </w:r>
    </w:p>
    <w:p>
      <w:pPr>
        <w:ind w:left="288"/>
      </w:pPr>
      <w:r>
        <w:rPr>
          <w:color w:val="8C8C8C"/>
          <w:sz w:val="12"/>
        </w:rPr>
        <w:t>cf-art-194-par-unico-inc-IV</w:t>
      </w:r>
      <w:r>
        <w:rPr>
          <w:color w:val="003CA0"/>
          <w:sz w:val="12"/>
        </w:rPr>
        <w:t xml:space="preserve"> | AI 590.177</w:t>
      </w:r>
      <w:r>
        <w:rPr>
          <w:color w:val="003CA0"/>
          <w:sz w:val="12"/>
        </w:rPr>
        <w:t xml:space="preserve"> | rel. Cezar Peluso</w:t>
      </w:r>
    </w:p>
    <w:p>
      <w:pPr>
        <w:ind w:left="288"/>
      </w:pPr>
      <w:r>
        <w:rPr>
          <w:color w:val="1E1E1E"/>
          <w:sz w:val="18"/>
        </w:rPr>
        <w:t>Reajuste de benefício de prestação continuada. Índices aplicados para atualização do salário de benefício. Arts. 20, § 1º, e 28, § 5º, da Lei 8.212/1991. Princípios constitucionais da irredutibilidade do valor dos benefícios (art. 194, IV) e da preservação do valor real dos benefícios (art. 201, § 4º). Não violação. (...) Os índices de atualização dos salários-de-contribuição não se aplicam ao reajuste dos benefícios previdenciários de prestação continuada.</w:t>
      </w:r>
    </w:p>
    <w:p>
      <w:pPr>
        <w:ind w:left="288"/>
      </w:pPr>
      <w:r>
        <w:rPr>
          <w:b/>
          <w:color w:val="003CA0"/>
          <w:sz w:val="16"/>
        </w:rPr>
        <w:t>[AI 590.177 AgR, rel. min. Cezar Peluso, j. 6-3-2007, 2ª T, DJ de 27-4-2007.]</w:t>
      </w:r>
    </w:p>
    <w:p>
      <w:pPr>
        <w:ind w:left="288"/>
      </w:pPr>
      <w:r>
        <w:rPr>
          <w:color w:val="8C8C8C"/>
          <w:sz w:val="12"/>
        </w:rPr>
        <w:t>cf-art-194-par-unico-inc-IV</w:t>
      </w:r>
      <w:r>
        <w:rPr>
          <w:color w:val="003CA0"/>
          <w:sz w:val="12"/>
        </w:rPr>
        <w:t xml:space="preserve"> | RE 313.382</w:t>
      </w:r>
      <w:r>
        <w:rPr>
          <w:color w:val="003CA0"/>
          <w:sz w:val="12"/>
        </w:rPr>
        <w:t xml:space="preserve"> | rel. Maurício Corrêa</w:t>
      </w:r>
    </w:p>
    <w:p>
      <w:pPr>
        <w:ind w:left="288"/>
      </w:pPr>
      <w:r>
        <w:rPr>
          <w:color w:val="1E1E1E"/>
          <w:sz w:val="18"/>
        </w:rPr>
        <w:t>Conversão do benefício para URV. Observância das Leis 8.542/1992, 8.700/1993 e 8.880/1994. Inconstitucionalidade da palavra "nominal" contida no inciso I do art. 20 da Lei 8.880/1994, por ofensa à garantia constitucional do direito adquirido (CF, art. 5º, XXXVI). Improcedência. O referido vocábulo apenas traduz a vontade do legislador de que, no cálculo da média aritmética do valor a ser convertido para a nova moeda fossem considerados os reajustes e antecipações efetivamente concedidos nos meses de novembro e dezembro de 1993 e janeiro e fevereiro de 1994.</w:t>
      </w:r>
    </w:p>
    <w:p>
      <w:pPr>
        <w:ind w:left="288"/>
      </w:pPr>
      <w:r>
        <w:rPr>
          <w:b/>
          <w:color w:val="003CA0"/>
          <w:sz w:val="16"/>
        </w:rPr>
        <w:t>[RE 313.382, rel. min. Maurício Corrêa, j. 26-9-2002, P, DJ de 8-11-2002.]</w:t>
      </w:r>
    </w:p>
    <w:p>
      <w:pPr>
        <w:ind w:left="288"/>
      </w:pPr>
      <w:r>
        <w:rPr>
          <w:color w:val="8C8C8C"/>
          <w:sz w:val="12"/>
        </w:rPr>
        <w:t>cf-art-194-par-unico-inc-IV</w:t>
      </w:r>
      <w:r>
        <w:rPr>
          <w:color w:val="003CA0"/>
          <w:sz w:val="12"/>
        </w:rPr>
        <w:t xml:space="preserve"> | AI 587.822</w:t>
      </w:r>
      <w:r>
        <w:rPr>
          <w:color w:val="003CA0"/>
          <w:sz w:val="12"/>
        </w:rPr>
        <w:t xml:space="preserve"> | rel. Ayres Britto</w:t>
      </w:r>
    </w:p>
    <w:p>
      <w:pPr>
        <w:ind w:left="288"/>
      </w:pPr>
      <w:r>
        <w:rPr>
          <w:color w:val="1E1E1E"/>
          <w:sz w:val="18"/>
        </w:rPr>
        <w:t>= AI 587.822 AgR, rel. min. Ayres Britto, j. 14-9-2010, 2ª T, DJE de 3-11-2010 Ao determinar que "os valores dos benefícios em manutenção serão reajustados, de acordo com as suas respectivas datas, com base na variação integral do INPC", o art. 41, II, da Lei 8.213/1991 (posteriormente revogado pela Lei 8.542/1992) não infringiu o disposto nos arts. 194, IV, e 201, § 2º, CF, que asseguram, respectivamente, a irredutibilidade do valor dos benefícios e a preservação do seu valor real.</w:t>
      </w:r>
    </w:p>
    <w:p>
      <w:pPr>
        <w:ind w:left="288"/>
      </w:pPr>
      <w:r>
        <w:rPr>
          <w:b/>
          <w:color w:val="003CA0"/>
          <w:sz w:val="16"/>
        </w:rPr>
        <w:t>[RE 231.395, rel. min. Sepúlveda Pertence, j. 25-8-1998, 1ª T, DJ de 18-9-1998.]</w:t>
      </w:r>
    </w:p>
    <w:p>
      <w:pPr>
        <w:ind w:left="288"/>
      </w:pPr>
      <w:r>
        <w:rPr>
          <w:color w:val="8C8C8C"/>
          <w:sz w:val="12"/>
        </w:rPr>
        <w:t>cf-art-194-par-unico-inc-IV</w:t>
      </w:r>
      <w:r>
        <w:rPr>
          <w:color w:val="003CA0"/>
          <w:sz w:val="12"/>
        </w:rPr>
        <w:t xml:space="preserve"> | AI 779.912</w:t>
      </w:r>
      <w:r>
        <w:rPr>
          <w:color w:val="003CA0"/>
          <w:sz w:val="12"/>
        </w:rPr>
        <w:t xml:space="preserve"> | rel. Cármen Lúcia</w:t>
      </w:r>
    </w:p>
    <w:p>
      <w:pPr>
        <w:ind w:left="288"/>
      </w:pPr>
      <w:r>
        <w:rPr>
          <w:color w:val="1E1E1E"/>
          <w:sz w:val="18"/>
        </w:rPr>
        <w:t>= AI 779.912 AgR, rel. min. Cármen Lúcia, j. 2-12-2010, 1ª T, DJE de 1º-2-2011 Vide AI 548.735 AgR, rel. min. Cezar Peluso, j. 18-12-2006, 2ª T, DJ de 23-2-2007</w:t>
      </w:r>
    </w:p>
    <w:p>
      <w:pPr>
        <w:ind w:left="288"/>
      </w:pPr>
      <w:r>
        <w:rPr>
          <w:color w:val="8C8C8C"/>
          <w:sz w:val="12"/>
        </w:rPr>
        <w:t>cf-art-194-par-unico-inc-V</w:t>
      </w:r>
    </w:p>
    <w:p>
      <w:pPr>
        <w:ind w:left="288"/>
      </w:pPr>
      <w:r>
        <w:rPr>
          <w:color w:val="1E1E1E"/>
          <w:sz w:val="18"/>
        </w:rPr>
        <w:t>VI - diversidade da base de financiamento, identificando-se, em rubricas contábeis específicas para cada área, as receitas e as despesas vinculadas a ações de saúde, previdência e assistência social, preservado o caráter contributivo da previdência social; (Redação da EC 103/2019) VII - caráter democrático e descentralizado da administração, mediante gestão quadripartite, com participação dos trabalhadores, dos empregadores, dos aposentados e do Governo nos órgãos colegiados. (Redação da EC 20/1998)</w:t>
      </w:r>
    </w:p>
    <w:p>
      <w:pPr>
        <w:ind w:left="720"/>
      </w:pPr>
      <w:r>
        <w:rPr>
          <w:color w:val="003366"/>
          <w:sz w:val="18"/>
        </w:rPr>
        <w:t>I – universalidade da cobertura e do atendimento;</w:t>
      </w:r>
    </w:p>
    <w:p>
      <w:pPr>
        <w:ind w:left="720"/>
      </w:pPr>
      <w:r>
        <w:rPr>
          <w:color w:val="003366"/>
          <w:sz w:val="18"/>
        </w:rPr>
        <w:t>II – uniformidade e equivalência dos benefícios e serviços às populações urbanas</w:t>
      </w:r>
    </w:p>
    <w:p>
      <w:pPr>
        <w:ind w:left="720"/>
      </w:pPr>
      <w:r>
        <w:rPr>
          <w:color w:val="003366"/>
          <w:sz w:val="18"/>
        </w:rPr>
        <w:t>III – seletividade e distributividade na prestação dos benefícios e serviços;</w:t>
      </w:r>
    </w:p>
    <w:p>
      <w:pPr>
        <w:ind w:left="720"/>
      </w:pPr>
      <w:r>
        <w:rPr>
          <w:color w:val="003366"/>
          <w:sz w:val="18"/>
        </w:rPr>
        <w:t>IV – irredutibilidade do valor dos benefícios;</w:t>
      </w:r>
    </w:p>
    <w:p>
      <w:pPr>
        <w:ind w:left="720"/>
      </w:pPr>
      <w:r>
        <w:rPr>
          <w:color w:val="003366"/>
          <w:sz w:val="18"/>
        </w:rPr>
        <w:t>V – eqüidade na forma de participação no custeio;</w:t>
      </w:r>
    </w:p>
    <w:p>
      <w:pPr>
        <w:ind w:left="720"/>
      </w:pPr>
      <w:r>
        <w:rPr>
          <w:color w:val="003366"/>
          <w:sz w:val="18"/>
        </w:rPr>
        <w:t>VI – diversidade da base de financiamento, identificando-se, em rubricas contábe</w:t>
      </w:r>
    </w:p>
    <w:p>
      <w:pPr>
        <w:ind w:left="720"/>
      </w:pPr>
      <w:r>
        <w:rPr>
          <w:color w:val="003366"/>
          <w:sz w:val="18"/>
        </w:rPr>
        <w:t>VII – caráter democrático e descentralizado da administração, mediante gestão qu</w:t>
      </w:r>
    </w:p>
    <w:p>
      <w:r>
        <w:rPr>
          <w:b/>
          <w:color w:val="003366"/>
          <w:sz w:val="20"/>
        </w:rPr>
        <w:t>Art. 195 A seguridade social será financiada por toda a sociedade, de forma dire</w:t>
      </w:r>
      <w:r>
        <w:rPr>
          <w:color w:val="8C8C8C"/>
          <w:sz w:val="14"/>
        </w:rPr>
        <w:t xml:space="preserve">  [140 decisoes]</w:t>
      </w:r>
    </w:p>
    <w:p>
      <w:pPr>
        <w:ind w:left="144"/>
      </w:pPr>
      <w:r>
        <w:rPr>
          <w:b/>
          <w:color w:val="B45A00"/>
          <w:sz w:val="16"/>
        </w:rPr>
        <w:t>CONTROLE CONCENTRADO</w:t>
      </w:r>
    </w:p>
    <w:p>
      <w:pPr>
        <w:ind w:left="288"/>
      </w:pPr>
      <w:r>
        <w:rPr>
          <w:color w:val="8C8C8C"/>
          <w:sz w:val="12"/>
        </w:rPr>
        <w:t>cf-art-195</w:t>
      </w:r>
      <w:r>
        <w:rPr>
          <w:color w:val="003CA0"/>
          <w:sz w:val="12"/>
        </w:rPr>
        <w:t xml:space="preserve"> | ADI 763</w:t>
      </w:r>
      <w:r>
        <w:rPr>
          <w:color w:val="003CA0"/>
          <w:sz w:val="12"/>
        </w:rPr>
        <w:t xml:space="preserve"> | rel. Edson Fachin</w:t>
      </w:r>
    </w:p>
    <w:p>
      <w:pPr>
        <w:ind w:left="288"/>
      </w:pPr>
      <w:r>
        <w:rPr>
          <w:color w:val="1E1E1E"/>
          <w:sz w:val="18"/>
        </w:rPr>
        <w:t>O art. 33 da Lei 8.212/1991 não viola a CF, porque as incumbências de fiscalização e arrecadação imputadas à Receita Federal não modificam a destinação específica da contribuição em questão. O critério constitucional de afetação de receita orçamentária não se pauta no órgão de arrecadação, mas, sim, no custeio de políticas públicas direcionadas à Seguridade Social, conforme dispõe o art. 195 do Texto Constitucional.</w:t>
      </w:r>
    </w:p>
    <w:p>
      <w:pPr>
        <w:ind w:left="288"/>
      </w:pPr>
      <w:r>
        <w:rPr>
          <w:b/>
          <w:color w:val="003CA0"/>
          <w:sz w:val="16"/>
        </w:rPr>
        <w:t>[ADI 763, rel. min. Edson Fachin, j. 25-11-2015, P, DJE de 4-12-2015.]</w:t>
      </w:r>
    </w:p>
    <w:p>
      <w:pPr>
        <w:ind w:left="288"/>
      </w:pPr>
      <w:r>
        <w:rPr>
          <w:color w:val="8C8C8C"/>
          <w:sz w:val="12"/>
        </w:rPr>
        <w:t>cf-art-195</w:t>
      </w:r>
      <w:r>
        <w:rPr>
          <w:color w:val="003CA0"/>
          <w:sz w:val="12"/>
        </w:rPr>
        <w:t xml:space="preserve"> | ADI 3.105</w:t>
      </w:r>
    </w:p>
    <w:p>
      <w:pPr>
        <w:ind w:left="288"/>
      </w:pPr>
      <w:r>
        <w:rPr>
          <w:color w:val="1E1E1E"/>
          <w:sz w:val="18"/>
        </w:rPr>
        <w:t>Ação direta. Seguridade social. Servidor público. Vencimentos. Proventos de aposentadoria e pensões. Sujeição à incidência de contribuição previdenciária, por força de emenda constitucional. Ofensa a outros direitos e garantias individuais. Não ocorrência. Contribuição social. Exigência patrimonial de natureza tributária. Inexistência de norma de imunidade tributária absoluta. Regra não retroativa. Instrumento de atuação do Estado na área da previdência social. Obediência aos princípios da solidariedade e do equilíbrio financeiro e atuarial, bem como aos objetivos constitucionais de universali</w:t>
      </w:r>
    </w:p>
    <w:p>
      <w:pPr>
        <w:ind w:left="288"/>
      </w:pPr>
      <w:r>
        <w:rPr>
          <w:b/>
          <w:color w:val="003CA0"/>
          <w:sz w:val="16"/>
        </w:rPr>
        <w:t>[ADI 3.105, red. do ac. min. Cezar Peluso, j. 18-8-2004, P, DJ de 18-2-2005.]</w:t>
      </w:r>
    </w:p>
    <w:p>
      <w:pPr>
        <w:ind w:left="288"/>
      </w:pPr>
      <w:r>
        <w:rPr>
          <w:color w:val="8C8C8C"/>
          <w:sz w:val="12"/>
        </w:rPr>
        <w:t>cf-art-195</w:t>
      </w:r>
      <w:r>
        <w:rPr>
          <w:color w:val="003CA0"/>
          <w:sz w:val="12"/>
        </w:rPr>
        <w:t xml:space="preserve"> | ADI 1.417</w:t>
      </w:r>
      <w:r>
        <w:rPr>
          <w:color w:val="003CA0"/>
          <w:sz w:val="12"/>
        </w:rPr>
        <w:t xml:space="preserve"> | rel. Octavio Gallotti</w:t>
      </w:r>
    </w:p>
    <w:p>
      <w:pPr>
        <w:ind w:left="288"/>
      </w:pPr>
      <w:r>
        <w:rPr>
          <w:color w:val="1E1E1E"/>
          <w:sz w:val="18"/>
        </w:rPr>
        <w:t>Programa de Integração Social e de Formação do Patrimônio do Servidor Público (PIS/PASEP). (...) Inconstitucionalidade apenas do efeito retroativo imprimido à vigência da contribuição pela parte final do art. 18 da Lei 8.715/1998.</w:t>
      </w:r>
    </w:p>
    <w:p>
      <w:pPr>
        <w:ind w:left="288"/>
      </w:pPr>
      <w:r>
        <w:rPr>
          <w:b/>
          <w:color w:val="003CA0"/>
          <w:sz w:val="16"/>
        </w:rPr>
        <w:t>[ADI 1.417, rel. min. Octavio Gallotti, j. 2-8-1999, P, DJ de 23-3-2001.]</w:t>
      </w:r>
    </w:p>
    <w:p>
      <w:pPr>
        <w:ind w:left="288"/>
      </w:pPr>
      <w:r>
        <w:rPr>
          <w:color w:val="8C8C8C"/>
          <w:sz w:val="12"/>
        </w:rPr>
        <w:t>cf-art-195</w:t>
      </w:r>
      <w:r>
        <w:rPr>
          <w:color w:val="003CA0"/>
          <w:sz w:val="12"/>
        </w:rPr>
        <w:t xml:space="preserve"> | RE 564.787</w:t>
      </w:r>
      <w:r>
        <w:rPr>
          <w:color w:val="003CA0"/>
          <w:sz w:val="12"/>
        </w:rPr>
        <w:t xml:space="preserve"> | rel. Dias Toffoli</w:t>
      </w:r>
    </w:p>
    <w:p>
      <w:pPr>
        <w:ind w:left="288"/>
      </w:pPr>
      <w:r>
        <w:rPr>
          <w:color w:val="1E1E1E"/>
          <w:sz w:val="18"/>
        </w:rPr>
        <w:t>= RE 564.787 AgR, rel. min. Dias Toffoli, j. 2-12-2010, 1ª T, DJE de 15-3-2011</w:t>
      </w:r>
    </w:p>
    <w:p>
      <w:pPr>
        <w:ind w:left="144"/>
      </w:pPr>
      <w:r>
        <w:rPr>
          <w:b/>
          <w:color w:val="B45A00"/>
          <w:sz w:val="16"/>
        </w:rPr>
        <w:t>REPERCUSSAO GERAL</w:t>
      </w:r>
    </w:p>
    <w:p>
      <w:pPr>
        <w:ind w:left="288"/>
      </w:pPr>
      <w:r>
        <w:rPr>
          <w:color w:val="8C8C8C"/>
          <w:sz w:val="12"/>
        </w:rPr>
        <w:t>cf-art-195</w:t>
      </w:r>
      <w:r>
        <w:rPr>
          <w:color w:val="003CA0"/>
          <w:sz w:val="12"/>
        </w:rPr>
        <w:t xml:space="preserve"> | RE 599.362</w:t>
      </w:r>
      <w:r>
        <w:rPr>
          <w:color w:val="003CA0"/>
          <w:sz w:val="12"/>
        </w:rPr>
        <w:t xml:space="preserve"> | rel. Dias Toffoli</w:t>
      </w:r>
    </w:p>
    <w:p>
      <w:pPr>
        <w:ind w:left="288"/>
      </w:pPr>
      <w:r>
        <w:rPr>
          <w:color w:val="1E1E1E"/>
          <w:sz w:val="18"/>
        </w:rPr>
        <w:t>Recurso extraordinário ao qual o STF dá provimento para declarar a incidência da contribuição ao PIS/Pasep sobre os atos (negócios jurídicos) praticados pela impetrante com terceiros tomadores de serviço, objeto da impetração.</w:t>
      </w:r>
    </w:p>
    <w:p>
      <w:pPr>
        <w:ind w:left="288"/>
      </w:pPr>
      <w:r>
        <w:rPr>
          <w:b/>
          <w:color w:val="003CA0"/>
          <w:sz w:val="16"/>
        </w:rPr>
        <w:t>[RE 599.362, rel. min. Dias Toffoli, j. 6-11-2014, P, DJE de 10-2-2015, Tema 323, com mérito julgado.]</w:t>
      </w:r>
    </w:p>
    <w:p>
      <w:pPr>
        <w:ind w:left="288"/>
      </w:pPr>
      <w:r>
        <w:rPr>
          <w:color w:val="8C8C8C"/>
          <w:sz w:val="12"/>
        </w:rPr>
        <w:t>cf-art-195</w:t>
      </w:r>
      <w:r>
        <w:rPr>
          <w:color w:val="003CA0"/>
          <w:sz w:val="12"/>
        </w:rPr>
        <w:t xml:space="preserve"> | RE 598.085</w:t>
      </w:r>
      <w:r>
        <w:rPr>
          <w:color w:val="003CA0"/>
          <w:sz w:val="12"/>
        </w:rPr>
        <w:t xml:space="preserve"> | rel. Luiz Fux</w:t>
      </w:r>
    </w:p>
    <w:p>
      <w:pPr>
        <w:ind w:left="288"/>
      </w:pPr>
      <w:r>
        <w:rPr>
          <w:color w:val="1E1E1E"/>
          <w:sz w:val="18"/>
        </w:rPr>
        <w:t>= RE 598.085, rel. min. Luiz Fux, j. 6-11-2014, P, DJE de 10-2-2015, Tema 177, , com mérito julgado A Lei 5.764/1971, que define o regime jurídico das sociedades cooperativas e do ato cooperativo (arts. 79, 85, 86, 87, 88 e 111), e as leis ordinárias instituidoras de cada tributo, onde não conflitem com a ratio ora construída sobre o alcance, extensão e efetividade do art. 146, III, c, CF/1988, possuem regular aplicação. Acaso adotado o entendimento de que as cooperativas não possuem lucro ou faturamento quanto ao ato cooperativo praticado com terceiros não associados (não cooperados), inexist</w:t>
      </w:r>
    </w:p>
    <w:p>
      <w:pPr>
        <w:ind w:left="144"/>
      </w:pPr>
      <w:r>
        <w:rPr>
          <w:b/>
          <w:color w:val="B45A00"/>
          <w:sz w:val="16"/>
        </w:rPr>
        <w:t>JULGADOS CORRELATOS</w:t>
      </w:r>
    </w:p>
    <w:p>
      <w:pPr>
        <w:ind w:left="288"/>
      </w:pPr>
      <w:r>
        <w:rPr>
          <w:color w:val="8C8C8C"/>
          <w:sz w:val="12"/>
        </w:rPr>
        <w:t>cf-art-195</w:t>
      </w:r>
      <w:r>
        <w:rPr>
          <w:color w:val="003CA0"/>
          <w:sz w:val="12"/>
        </w:rPr>
        <w:t xml:space="preserve"> | AI 504.369</w:t>
      </w:r>
      <w:r>
        <w:rPr>
          <w:color w:val="003CA0"/>
          <w:sz w:val="12"/>
        </w:rPr>
        <w:t xml:space="preserve"> | rel. Ayres Britto</w:t>
      </w:r>
    </w:p>
    <w:p>
      <w:pPr>
        <w:ind w:left="288"/>
      </w:pPr>
      <w:r>
        <w:rPr>
          <w:color w:val="1E1E1E"/>
          <w:sz w:val="18"/>
        </w:rPr>
        <w:t>Aplica-se à compensação tributária as limitações previstas nas Leis 9.032/1995 e 9.129/1995 quanto aos créditos constituídos na sua vigência, mesmo que tenham as contribuições previdenciárias sido recolhidas anteriormente.</w:t>
      </w:r>
    </w:p>
    <w:p>
      <w:pPr>
        <w:ind w:left="288"/>
      </w:pPr>
      <w:r>
        <w:rPr>
          <w:b/>
          <w:color w:val="003CA0"/>
          <w:sz w:val="16"/>
        </w:rPr>
        <w:t>[AI 504.369 AgR-segundo, rel. min. Ayres Britto, j. 7-6-2011, 2ª T, DJE de 17-10-2011.]</w:t>
      </w:r>
    </w:p>
    <w:p>
      <w:pPr>
        <w:ind w:left="288"/>
      </w:pPr>
      <w:r>
        <w:rPr>
          <w:color w:val="8C8C8C"/>
          <w:sz w:val="12"/>
        </w:rPr>
        <w:t>cf-art-195</w:t>
      </w:r>
      <w:r>
        <w:rPr>
          <w:color w:val="003CA0"/>
          <w:sz w:val="12"/>
        </w:rPr>
        <w:t xml:space="preserve"> | AI 525.712</w:t>
      </w:r>
      <w:r>
        <w:rPr>
          <w:color w:val="003CA0"/>
          <w:sz w:val="12"/>
        </w:rPr>
        <w:t xml:space="preserve"> | rel. Roberto Barroso</w:t>
      </w:r>
    </w:p>
    <w:p>
      <w:pPr>
        <w:ind w:left="288"/>
      </w:pPr>
      <w:r>
        <w:rPr>
          <w:color w:val="1E1E1E"/>
          <w:sz w:val="18"/>
        </w:rPr>
        <w:t>= AI 525.712 AgR, rel. min. Roberto Barroso, j. 5-8-2014, 1ª T, DJE de 16-9-2014 Vide RE 254.459, rel. min. Ilmar Galvão, j. 23-5-2000, 1ª T, DJ de 10-8-2000 O STF possui o entendimento consolidado no sentido de que é legítima a cobrança da contribuição ao PIS, na forma disciplinada pela LC 7/1970, no período compreendido entre a declaração de inconstitucionalidade do DL 2.445/1988 e DL 2.449/1988 e a entrada em vigor da MP 1.212/1995. Precedentes. A Resolução do Senado Federal 49/1995, que conferiu efeitos erga omnes à decisão proferida no RE 148.754/RJ, rel. p/ o ac. min. Francisco Rezek, Tr</w:t>
      </w:r>
    </w:p>
    <w:p>
      <w:pPr>
        <w:ind w:left="288"/>
      </w:pPr>
      <w:r>
        <w:rPr>
          <w:b/>
          <w:color w:val="003CA0"/>
          <w:sz w:val="16"/>
        </w:rPr>
        <w:t>[AI 677.191 AgR, rel. min. Ellen Gracie, j. 8-6-2010, 2ª T, DJE de 25-6-2010.]</w:t>
      </w:r>
    </w:p>
    <w:p>
      <w:pPr>
        <w:ind w:left="288"/>
      </w:pPr>
      <w:r>
        <w:rPr>
          <w:color w:val="8C8C8C"/>
          <w:sz w:val="12"/>
        </w:rPr>
        <w:t>cf-art-195</w:t>
      </w:r>
      <w:r>
        <w:rPr>
          <w:color w:val="003CA0"/>
          <w:sz w:val="12"/>
        </w:rPr>
        <w:t xml:space="preserve"> | AI 806.555</w:t>
      </w:r>
      <w:r>
        <w:rPr>
          <w:color w:val="003CA0"/>
          <w:sz w:val="12"/>
        </w:rPr>
        <w:t xml:space="preserve"> | rel. Ricardo Lewandowski</w:t>
      </w:r>
    </w:p>
    <w:p>
      <w:pPr>
        <w:ind w:left="288"/>
      </w:pPr>
      <w:r>
        <w:rPr>
          <w:color w:val="1E1E1E"/>
          <w:sz w:val="18"/>
        </w:rPr>
        <w:t>= AI 806.555 AgR, rel. min. Ricardo Lewandowski, j. 2-12-2010, 1ª T, DJE de 1º-2-2011 Contribuição previdenciária: aposentado que retorna à atividade: CF, art. 201, § 4º; Lei 8.212/1991, art. 12: aplicação à espécie, mutatis mutandis, da decisão plenária da ADI 3.105, rel. p/ o ac. min. Peluso, DJ de 18-2-2005. A contribuição previdenciária do aposentado que retorna à atividade está amparada no princípio da universalidade do custeio da previdência social (CF, art. 195); o art. 201, § 4º, da CF, "remete à lei os casos em que a contribuição repercute nos benefícios".</w:t>
      </w:r>
    </w:p>
    <w:p>
      <w:pPr>
        <w:ind w:left="288"/>
      </w:pPr>
      <w:r>
        <w:rPr>
          <w:b/>
          <w:color w:val="003CA0"/>
          <w:sz w:val="16"/>
        </w:rPr>
        <w:t>[RE 437.640, rel. min. Sepúlveda Pertence, j. 5-9-2006, 1ª T, DJ de 2-3-2007.]</w:t>
      </w:r>
    </w:p>
    <w:p>
      <w:pPr>
        <w:ind w:left="288"/>
      </w:pPr>
      <w:r>
        <w:rPr>
          <w:color w:val="8C8C8C"/>
          <w:sz w:val="12"/>
        </w:rPr>
        <w:t>cf-art-195</w:t>
      </w:r>
      <w:r>
        <w:rPr>
          <w:color w:val="003CA0"/>
          <w:sz w:val="12"/>
        </w:rPr>
        <w:t xml:space="preserve"> | RE 372.506</w:t>
      </w:r>
      <w:r>
        <w:rPr>
          <w:color w:val="003CA0"/>
          <w:sz w:val="12"/>
        </w:rPr>
        <w:t xml:space="preserve"> | rel. Gilmar Mendes</w:t>
      </w:r>
    </w:p>
    <w:p>
      <w:pPr>
        <w:ind w:left="288"/>
      </w:pPr>
      <w:r>
        <w:rPr>
          <w:color w:val="1E1E1E"/>
          <w:sz w:val="18"/>
        </w:rPr>
        <w:t>= RE 372.506 AgR, rel. min. Gilmar Mendes, j. 7-2-2012, 2ª T, DJE de 23-2-2012 A MP 1.212, de 28-11-1995, que dispõe sobre as contribuições para o PIS e o Pasep, após inúmeras reedições, sendo a última delas a de número 1.676-38/1998, foi convertida na Lei 9.715, de 25-11-1998. A MP 1.724, de 29-10-1998, não constitui reedição das medidas anteriores. Trata-se de medida que veio a alterar a legislação tributária federal relativamente às contribuições para o PIS, o Pasep e a Cofins, mas que nem sequer foi objeto de reedição, porque antes disso foi promulgada a Lei 9.718/1998 versando sobre a mes</w:t>
      </w:r>
    </w:p>
    <w:p>
      <w:pPr>
        <w:ind w:left="288"/>
      </w:pPr>
      <w:r>
        <w:rPr>
          <w:b/>
          <w:color w:val="003CA0"/>
          <w:sz w:val="16"/>
        </w:rPr>
        <w:t>[RE 269.414 ED, rel. min. Ilmar Galvão, j. 5-12-2000, 1ª T, DJ de 16-3-2001.]</w:t>
      </w:r>
    </w:p>
    <w:p>
      <w:pPr>
        <w:ind w:left="288"/>
      </w:pPr>
      <w:r>
        <w:rPr>
          <w:color w:val="8C8C8C"/>
          <w:sz w:val="12"/>
        </w:rPr>
        <w:t>cf-art-195</w:t>
      </w:r>
      <w:r>
        <w:rPr>
          <w:color w:val="003CA0"/>
          <w:sz w:val="12"/>
        </w:rPr>
        <w:t xml:space="preserve"> | RE 564.787</w:t>
      </w:r>
      <w:r>
        <w:rPr>
          <w:color w:val="003CA0"/>
          <w:sz w:val="12"/>
        </w:rPr>
        <w:t xml:space="preserve"> | rel. Dias Toffoli</w:t>
      </w:r>
    </w:p>
    <w:p>
      <w:pPr>
        <w:ind w:left="288"/>
      </w:pPr>
      <w:r>
        <w:rPr>
          <w:color w:val="1E1E1E"/>
          <w:sz w:val="18"/>
        </w:rPr>
        <w:t xml:space="preserve">= RE 564.787 AgR, rel. min. Dias Toffoli, j. 2-12-2010, 1ª T, DJE de 15-3-2011 Contribuições previdenciárias. Autônomos e administradores. Pagamento indevido. Crédito utilizável para extinção, por compensação, de débitos da mesma natureza, até o limite de 30%, quando constituídos após a edição da Lei 9.129/1995. (...) Se o crédito se constituiu após o advento do referido diploma legal, é fora de dúvida que a sua extinção, mediante compensação, ou por outro qualquer meio, há de processar-se pelo regime nele estabelecido, e não pelo da lei anterior, posto aplicável, no caso, o princípio segundo </w:t>
      </w:r>
    </w:p>
    <w:p>
      <w:pPr>
        <w:ind w:left="288"/>
      </w:pPr>
      <w:r>
        <w:rPr>
          <w:b/>
          <w:color w:val="003CA0"/>
          <w:sz w:val="16"/>
        </w:rPr>
        <w:t>[RE 254.459, rel. min. Ilmar Galvão, j. 23-5-2000, 1ª T, DJ de 10-8-2000.]</w:t>
      </w:r>
    </w:p>
    <w:p>
      <w:pPr>
        <w:ind w:left="288"/>
      </w:pPr>
      <w:r>
        <w:rPr>
          <w:color w:val="8C8C8C"/>
          <w:sz w:val="12"/>
        </w:rPr>
        <w:t>cf-art-195</w:t>
      </w:r>
      <w:r>
        <w:rPr>
          <w:color w:val="003CA0"/>
          <w:sz w:val="12"/>
        </w:rPr>
        <w:t xml:space="preserve"> | AI 504.369</w:t>
      </w:r>
      <w:r>
        <w:rPr>
          <w:color w:val="003CA0"/>
          <w:sz w:val="12"/>
        </w:rPr>
        <w:t xml:space="preserve"> | rel. Ayres Britto</w:t>
      </w:r>
    </w:p>
    <w:p>
      <w:pPr>
        <w:ind w:left="288"/>
      </w:pPr>
      <w:r>
        <w:rPr>
          <w:color w:val="1E1E1E"/>
          <w:sz w:val="18"/>
        </w:rPr>
        <w:t>Vide AI 504.369 AgR-segundo, rel. min. Ayres Britto, j. 7-6-2011, 2ª T, DJE de 17-10-2011 O STF (sessão do dia 1º-7-1999), concluindo o julgamento dos RE 205.355 AgR; RE 227.832; RE 230.337; e RE 233.807, rel. min. Carlos Velloso, abrangendo as contribuições representadas pela Cofins, pelo PIS e pelo Finsocial sobre as operações relativas a energia elétrica, a serviços de telecomunicações e a derivados de petróleo, combustíveis e minerais, entendeu que, sendo elas contribuições sociais sobre o faturamento das empresas, destinadas ao financiamento da seguridade social, nos termos do art. 195, c</w:t>
      </w:r>
    </w:p>
    <w:p>
      <w:pPr>
        <w:ind w:left="288"/>
      </w:pPr>
      <w:r>
        <w:rPr>
          <w:b/>
          <w:color w:val="003CA0"/>
          <w:sz w:val="16"/>
        </w:rPr>
        <w:t>[RE 224.964, rel. min. Ilmar Galvão, j. 9-11-1999, 1ª T, DJ de 4-2-2000.]</w:t>
      </w:r>
    </w:p>
    <w:p>
      <w:pPr>
        <w:ind w:left="288"/>
      </w:pPr>
      <w:r>
        <w:rPr>
          <w:color w:val="8C8C8C"/>
          <w:sz w:val="12"/>
        </w:rPr>
        <w:t>cf-art-195</w:t>
      </w:r>
      <w:r>
        <w:rPr>
          <w:color w:val="003CA0"/>
          <w:sz w:val="12"/>
        </w:rPr>
        <w:t xml:space="preserve"> | RE 598.242</w:t>
      </w:r>
      <w:r>
        <w:rPr>
          <w:color w:val="003CA0"/>
          <w:sz w:val="12"/>
        </w:rPr>
        <w:t xml:space="preserve"> | rel. Eros Grau</w:t>
      </w:r>
    </w:p>
    <w:p>
      <w:pPr>
        <w:ind w:left="288"/>
      </w:pPr>
      <w:r>
        <w:rPr>
          <w:color w:val="1E1E1E"/>
          <w:sz w:val="18"/>
        </w:rPr>
        <w:t>= RE 598.242 AgR, rel. min. Eros Grau, j. 26-5-2009, 2ª T, DJE de 19-6-2009</w:t>
      </w:r>
    </w:p>
    <w:p>
      <w:pPr>
        <w:ind w:left="144"/>
      </w:pPr>
      <w:r>
        <w:rPr>
          <w:b/>
          <w:color w:val="B45A00"/>
          <w:sz w:val="16"/>
        </w:rPr>
        <w:t>SUMULA</w:t>
      </w:r>
    </w:p>
    <w:p>
      <w:pPr>
        <w:ind w:left="288"/>
      </w:pPr>
      <w:r>
        <w:rPr>
          <w:color w:val="8C8C8C"/>
          <w:sz w:val="12"/>
        </w:rPr>
        <w:t>cf-art-195-inc-I</w:t>
      </w:r>
    </w:p>
    <w:p>
      <w:pPr>
        <w:ind w:left="288"/>
      </w:pPr>
      <w:r>
        <w:rPr>
          <w:color w:val="1E1E1E"/>
          <w:sz w:val="18"/>
        </w:rPr>
        <w:t>É legítima a incidência da contribuição previdenciária sobre o 13º salário.</w:t>
      </w:r>
    </w:p>
    <w:p>
      <w:pPr>
        <w:ind w:left="288"/>
      </w:pPr>
      <w:r>
        <w:rPr>
          <w:b/>
          <w:color w:val="003CA0"/>
          <w:sz w:val="16"/>
        </w:rPr>
        <w:t>[Súmula 688.]</w:t>
      </w:r>
    </w:p>
    <w:p>
      <w:pPr>
        <w:ind w:left="288"/>
      </w:pPr>
      <w:r>
        <w:rPr>
          <w:color w:val="8C8C8C"/>
          <w:sz w:val="12"/>
        </w:rPr>
        <w:t>cf-art-195-inc-I</w:t>
      </w:r>
    </w:p>
    <w:p>
      <w:pPr>
        <w:ind w:left="288"/>
      </w:pPr>
      <w:r>
        <w:rPr>
          <w:color w:val="1E1E1E"/>
          <w:sz w:val="18"/>
        </w:rPr>
        <w:t>São constitucionais os arts. 7º da Lei 7.787/1989 e 1º da Lei 7.894/1989 e da Lei 8.147/1990, que majoraram a alíquota do Finsocial, quando devida a contribuição por empresas dedicadas exclusivamente à prestação de serviços.</w:t>
      </w:r>
    </w:p>
    <w:p>
      <w:pPr>
        <w:ind w:left="288"/>
      </w:pPr>
      <w:r>
        <w:rPr>
          <w:b/>
          <w:color w:val="003CA0"/>
          <w:sz w:val="16"/>
        </w:rPr>
        <w:t>[Súmula 658.]</w:t>
      </w:r>
    </w:p>
    <w:p>
      <w:pPr>
        <w:ind w:left="144"/>
      </w:pPr>
      <w:r>
        <w:rPr>
          <w:b/>
          <w:color w:val="B45A00"/>
          <w:sz w:val="16"/>
        </w:rPr>
        <w:t>CONTROLE CONCENTRADO</w:t>
      </w:r>
    </w:p>
    <w:p>
      <w:pPr>
        <w:ind w:left="288"/>
      </w:pPr>
      <w:r>
        <w:rPr>
          <w:color w:val="8C8C8C"/>
          <w:sz w:val="12"/>
        </w:rPr>
        <w:t>cf-art-195-inc-I</w:t>
      </w:r>
      <w:r>
        <w:rPr>
          <w:color w:val="003CA0"/>
          <w:sz w:val="12"/>
        </w:rPr>
        <w:t xml:space="preserve"> | ADI 4.673</w:t>
      </w:r>
      <w:r>
        <w:rPr>
          <w:color w:val="003CA0"/>
          <w:sz w:val="12"/>
        </w:rPr>
        <w:t xml:space="preserve"> | rel. Alexandre de Moraes</w:t>
      </w:r>
    </w:p>
    <w:p>
      <w:pPr>
        <w:ind w:left="288"/>
      </w:pPr>
      <w:r>
        <w:rPr>
          <w:color w:val="1E1E1E"/>
          <w:sz w:val="18"/>
        </w:rPr>
        <w:t xml:space="preserve">A contribuição social a cargo da empresa, prevista no art. 22, caput, III e § 1º, da Lei 8.212/1991, com a redação conferida pela Lei 9.876/1999, incidente sobre as remunerações pagas ou creditadas a qualquer título aos segurados contribuintes individuais que lhe prestem serviços, tem apoio nas hipóteses dos incisos I a IV do art. 195 da Constituição Federal, razão pela qual pode ser veiculada por legislação ordinária, sendo inexigível a edição de lei complementar (CF, art. 195, § 4º). É possível concluir, sem extrapolar as possibilidades semânticas, que o legislador constitucional, ao eleger </w:t>
      </w:r>
    </w:p>
    <w:p>
      <w:pPr>
        <w:ind w:left="288"/>
      </w:pPr>
      <w:r>
        <w:rPr>
          <w:b/>
          <w:color w:val="003CA0"/>
          <w:sz w:val="16"/>
        </w:rPr>
        <w:t>[ADI 4.673, rel. min. Alexandre de Moraes, j. 15-4-2020, P, DJE de 29-6-2020.]</w:t>
      </w:r>
    </w:p>
    <w:p>
      <w:pPr>
        <w:ind w:left="288"/>
      </w:pPr>
      <w:r>
        <w:rPr>
          <w:color w:val="8C8C8C"/>
          <w:sz w:val="12"/>
        </w:rPr>
        <w:t>cf-art-195-inc-I</w:t>
      </w:r>
      <w:r>
        <w:rPr>
          <w:color w:val="003CA0"/>
          <w:sz w:val="12"/>
        </w:rPr>
        <w:t xml:space="preserve"> | RE 1.072.485</w:t>
      </w:r>
      <w:r>
        <w:rPr>
          <w:color w:val="003CA0"/>
          <w:sz w:val="12"/>
        </w:rPr>
        <w:t xml:space="preserve"> | rel. Marco Aurélio</w:t>
      </w:r>
    </w:p>
    <w:p>
      <w:pPr>
        <w:ind w:left="288"/>
      </w:pPr>
      <w:r>
        <w:rPr>
          <w:color w:val="1E1E1E"/>
          <w:sz w:val="18"/>
        </w:rPr>
        <w:t>A mudança da jurisprudência é motivo ensejador de modulação dos efeitos, em respeito à segurança jurídica e ao sistema integrado de precedentes. CPC/2015 e decisões desta Corte. Embargos de declaração parcialmente providos, para atribuir efeitos ex nunc ao acórdão de mérito, a contar da publicação de sua ata de julgamento, ressalvadas as contribuições já pagas e não impugnadas judicialmente até essa mesma data, que não serão devolvidas pela União.</w:t>
      </w:r>
    </w:p>
    <w:p>
      <w:pPr>
        <w:ind w:left="288"/>
      </w:pPr>
      <w:r>
        <w:rPr>
          <w:b/>
          <w:color w:val="003CA0"/>
          <w:sz w:val="16"/>
        </w:rPr>
        <w:t>[RE 1.072.485 ED, rel. min. Marco Aurélio, red. do ac. min. Luís Roberto Barroso, j. 12.06.2024, P, DJE de 19.09.2024, Tema 985, com mérito julgado.]</w:t>
      </w:r>
    </w:p>
    <w:p>
      <w:pPr>
        <w:ind w:left="288"/>
      </w:pPr>
      <w:r>
        <w:rPr>
          <w:color w:val="8C8C8C"/>
          <w:sz w:val="12"/>
        </w:rPr>
        <w:t>cf-art-195-inc-I</w:t>
      </w:r>
      <w:r>
        <w:rPr>
          <w:color w:val="003CA0"/>
          <w:sz w:val="12"/>
        </w:rPr>
        <w:t xml:space="preserve"> | RE 718.874</w:t>
      </w:r>
      <w:r>
        <w:rPr>
          <w:color w:val="003CA0"/>
          <w:sz w:val="12"/>
        </w:rPr>
        <w:t xml:space="preserve"> | rel. Edson Fachin</w:t>
      </w:r>
    </w:p>
    <w:p>
      <w:pPr>
        <w:ind w:left="288"/>
      </w:pPr>
      <w:r>
        <w:rPr>
          <w:color w:val="1E1E1E"/>
          <w:sz w:val="18"/>
        </w:rPr>
        <w:t>É constitucional formal e materialmente a contribuição social do empregador rural pessoa física, instituída pela Lei 10.256/2001, incidente sobre a receita bruta obtida com a comercialização de sua produção”.</w:t>
        <w:br/>
        <w:t>[RE 718.874, rel. min. Edson Fachin, j. 30-3-2017, P, DJE de 3-10-2017, Tema 669, com mérito julgado.]</w:t>
        <w:br/>
        <w:t>Vide RE 596.177, rel. min. Ricardo Lewandowski, j. 1º-8-2011, P, DJE de 29-8-2011, Tema 202, com mérito julgado Contribuição social previdenciária. Empregador rural pessoa física. Incidência sobre a comercialização da produção. Art. 25 da Lei 8.212/1991, na redação dada pelo art. 1º da L</w:t>
      </w:r>
    </w:p>
    <w:p>
      <w:pPr>
        <w:ind w:left="288"/>
      </w:pPr>
      <w:r>
        <w:rPr>
          <w:b/>
          <w:color w:val="003CA0"/>
          <w:sz w:val="16"/>
        </w:rPr>
        <w:t>[RE 1.547.750 AgR-ED, rel. min. Gilmar Mendes, j. 06.10.2025, 2ª T, DJE de 07.10.2025.]</w:t>
      </w:r>
    </w:p>
    <w:p>
      <w:pPr>
        <w:ind w:left="144"/>
      </w:pPr>
      <w:r>
        <w:rPr>
          <w:b/>
          <w:color w:val="B45A00"/>
          <w:sz w:val="16"/>
        </w:rPr>
        <w:t>JULGADOS CORRELATOS</w:t>
      </w:r>
    </w:p>
    <w:p>
      <w:pPr>
        <w:ind w:left="288"/>
      </w:pPr>
      <w:r>
        <w:rPr>
          <w:color w:val="8C8C8C"/>
          <w:sz w:val="12"/>
        </w:rPr>
        <w:t>cf-art-195-inc-I</w:t>
      </w:r>
      <w:r>
        <w:rPr>
          <w:color w:val="003CA0"/>
          <w:sz w:val="12"/>
        </w:rPr>
        <w:t xml:space="preserve"> | ARE 1.344.834</w:t>
      </w:r>
    </w:p>
    <w:p>
      <w:pPr>
        <w:ind w:left="288"/>
      </w:pPr>
      <w:r>
        <w:rPr>
          <w:color w:val="1E1E1E"/>
          <w:sz w:val="18"/>
        </w:rPr>
        <w:t>As contribuições ao salário-educação, SAT/RAT, SESI/SENAI/SESC/SENAC/SEBRAE não incidem sobre o salário-maternidade.</w:t>
      </w:r>
    </w:p>
    <w:p>
      <w:pPr>
        <w:ind w:left="288"/>
      </w:pPr>
      <w:r>
        <w:rPr>
          <w:b/>
          <w:color w:val="003CA0"/>
          <w:sz w:val="16"/>
        </w:rPr>
        <w:t>[ARE 1.344.834 AgR, red. do ac. min. Roberto Barroso, j. 9-5-2022, 1ª T, DJE de 26-5-2022.]</w:t>
      </w:r>
    </w:p>
    <w:p>
      <w:pPr>
        <w:ind w:left="288"/>
      </w:pPr>
      <w:r>
        <w:rPr>
          <w:color w:val="8C8C8C"/>
          <w:sz w:val="12"/>
        </w:rPr>
        <w:t>cf-art-195-inc-I</w:t>
      </w:r>
      <w:r>
        <w:rPr>
          <w:color w:val="003CA0"/>
          <w:sz w:val="12"/>
        </w:rPr>
        <w:t xml:space="preserve"> | RE 875.868</w:t>
      </w:r>
      <w:r>
        <w:rPr>
          <w:color w:val="003CA0"/>
          <w:sz w:val="12"/>
        </w:rPr>
        <w:t xml:space="preserve"> | rel. Marco Aurélio</w:t>
      </w:r>
    </w:p>
    <w:p>
      <w:pPr>
        <w:ind w:left="288"/>
      </w:pPr>
      <w:r>
        <w:rPr>
          <w:color w:val="1E1E1E"/>
          <w:sz w:val="18"/>
        </w:rPr>
        <w:t>No regime de trabalho temporário das empresas urbanas, estabelecido por meio da Lei 6.019, de 1974, o vínculo do trabalhador temporário é com a empresa de locação de mão de obra, que recebe o preço ajustado com a contratante dos serviços. Sobre o valor devem incidir a Cofins e a contribuição ao PIS (...).</w:t>
      </w:r>
    </w:p>
    <w:p>
      <w:pPr>
        <w:ind w:left="288"/>
      </w:pPr>
      <w:r>
        <w:rPr>
          <w:b/>
          <w:color w:val="003CA0"/>
          <w:sz w:val="16"/>
        </w:rPr>
        <w:t>[RE 875.868 AgR, rel. min. Marco Aurélio, j. 18-8-2015, 1ª T, DJE de 4-9-2015.]</w:t>
      </w:r>
    </w:p>
    <w:p>
      <w:pPr>
        <w:ind w:left="288"/>
      </w:pPr>
      <w:r>
        <w:rPr>
          <w:color w:val="8C8C8C"/>
          <w:sz w:val="12"/>
        </w:rPr>
        <w:t>cf-art-195-inc-I</w:t>
      </w:r>
      <w:r>
        <w:rPr>
          <w:color w:val="003CA0"/>
          <w:sz w:val="12"/>
        </w:rPr>
        <w:t xml:space="preserve"> | AI 741.510</w:t>
      </w:r>
      <w:r>
        <w:rPr>
          <w:color w:val="003CA0"/>
          <w:sz w:val="12"/>
        </w:rPr>
        <w:t xml:space="preserve"> | rel. Dias Toffoli</w:t>
      </w:r>
    </w:p>
    <w:p>
      <w:pPr>
        <w:ind w:left="288"/>
      </w:pPr>
      <w:r>
        <w:rPr>
          <w:color w:val="1E1E1E"/>
          <w:sz w:val="18"/>
        </w:rPr>
        <w:t>A solução mais adequada recomenda reconhecer a distinção entre empresas corretoras de seguro e sociedades corretoras, admitindo que o predicado de instituição financeira deve ser atribuído tão somente a esta última. Isso porque a empresa corretora limita-se a intermediar a captação de clientes (corretagem propriamente dita), enquanto a sociedade, indo além do agenciamento, ocupa-se da gestão e distribuição de títulos e valores mobiliários.</w:t>
      </w:r>
    </w:p>
    <w:p>
      <w:pPr>
        <w:ind w:left="288"/>
      </w:pPr>
      <w:r>
        <w:rPr>
          <w:b/>
          <w:color w:val="003CA0"/>
          <w:sz w:val="16"/>
        </w:rPr>
        <w:t>[AI 741.510 AgR-segundo, rel. min. Dias Toffoli, j. 10-9-2013, 1ª T, DJE de 5-11-2013.]</w:t>
      </w:r>
    </w:p>
    <w:p>
      <w:pPr>
        <w:ind w:left="288"/>
      </w:pPr>
      <w:r>
        <w:rPr>
          <w:color w:val="8C8C8C"/>
          <w:sz w:val="12"/>
        </w:rPr>
        <w:t>cf-art-195-inc-I</w:t>
      </w:r>
      <w:r>
        <w:rPr>
          <w:color w:val="003CA0"/>
          <w:sz w:val="12"/>
        </w:rPr>
        <w:t xml:space="preserve"> | RE 585.181</w:t>
      </w:r>
      <w:r>
        <w:rPr>
          <w:color w:val="003CA0"/>
          <w:sz w:val="12"/>
        </w:rPr>
        <w:t xml:space="preserve"> | rel. Joaquim Barbosa</w:t>
      </w:r>
    </w:p>
    <w:p>
      <w:pPr>
        <w:ind w:left="288"/>
      </w:pPr>
      <w:r>
        <w:rPr>
          <w:color w:val="1E1E1E"/>
          <w:sz w:val="18"/>
        </w:rPr>
        <w:t>Esta Corte firmou o entendimento de que o termo "empregadores", contido no art. 195, I, em sua redação original, não pode ser interpretado estritamente, pois as contribuições para a seguridade social assentam na solidariedade geral, conforme o caput do mencionado artigo. Por isso, a nova redação do inciso I do art. 195, conforme a EC 20/1998, apenas explicitou o que o constituinte originário já previa.</w:t>
      </w:r>
    </w:p>
    <w:p>
      <w:pPr>
        <w:ind w:left="288"/>
      </w:pPr>
      <w:r>
        <w:rPr>
          <w:b/>
          <w:color w:val="003CA0"/>
          <w:sz w:val="16"/>
        </w:rPr>
        <w:t>[RE 585.181 AgR-segundo, rel. min. Joaquim Barbosa, j. 31-8-2010, 2ª T, DJE de 8-10-2010.]</w:t>
      </w:r>
    </w:p>
    <w:p>
      <w:pPr>
        <w:ind w:left="288"/>
      </w:pPr>
      <w:r>
        <w:rPr>
          <w:color w:val="8C8C8C"/>
          <w:sz w:val="12"/>
        </w:rPr>
        <w:t>cf-art-195-inc-I</w:t>
      </w:r>
      <w:r>
        <w:rPr>
          <w:color w:val="003CA0"/>
          <w:sz w:val="12"/>
        </w:rPr>
        <w:t xml:space="preserve"> | AI 736.870</w:t>
      </w:r>
      <w:r>
        <w:rPr>
          <w:color w:val="003CA0"/>
          <w:sz w:val="12"/>
        </w:rPr>
        <w:t xml:space="preserve"> | rel. Marco Aurélio</w:t>
      </w:r>
    </w:p>
    <w:p>
      <w:pPr>
        <w:ind w:left="288"/>
      </w:pPr>
      <w:r>
        <w:rPr>
          <w:color w:val="1E1E1E"/>
          <w:sz w:val="18"/>
        </w:rPr>
        <w:t>= AI 736.870 AgR, rel. min. Marco Aurélio, j. 18-6-2013, 1ª T, DJE de 1º-8-2013 Imposto de renda e proventos de qualquer natureza. Pessoa jurídica. CSLL. (...) Discussão que se reduz a se saber se os valores constituem custo ou despesa da empresa cedente e, portanto, devem ser tributados, ou se, ao contrário, trata-se de quantias que apenas transitam pela contabilidade da requerente, não vocacionadas a se incorporar ao patrimônio da empresa de agência de mão de obra temporária. (...) Trata-se, na verdade, de pedido para suspensão da exigibilidade dos créditos tributários (art. 151, V, do CTN).</w:t>
      </w:r>
    </w:p>
    <w:p>
      <w:pPr>
        <w:ind w:left="288"/>
      </w:pPr>
      <w:r>
        <w:rPr>
          <w:b/>
          <w:color w:val="003CA0"/>
          <w:sz w:val="16"/>
        </w:rPr>
        <w:t>[AC 2.051 MC-QO, rel. min. Joaquim Barbosa, j. 10-6-2008, 2ª T, DJE de 10-10-2008.]</w:t>
      </w:r>
    </w:p>
    <w:p>
      <w:pPr>
        <w:ind w:left="288"/>
      </w:pPr>
      <w:r>
        <w:rPr>
          <w:color w:val="8C8C8C"/>
          <w:sz w:val="12"/>
        </w:rPr>
        <w:t>cf-art-195-inc-I</w:t>
      </w:r>
      <w:r>
        <w:rPr>
          <w:color w:val="003CA0"/>
          <w:sz w:val="12"/>
        </w:rPr>
        <w:t xml:space="preserve"> | AI 663.176</w:t>
      </w:r>
      <w:r>
        <w:rPr>
          <w:color w:val="003CA0"/>
          <w:sz w:val="12"/>
        </w:rPr>
        <w:t xml:space="preserve"> | rel. Eros Grau</w:t>
      </w:r>
    </w:p>
    <w:p>
      <w:pPr>
        <w:ind w:left="288"/>
      </w:pPr>
      <w:r>
        <w:rPr>
          <w:color w:val="1E1E1E"/>
          <w:sz w:val="18"/>
        </w:rPr>
        <w:t>O STF fixou entendimento no sentido de que a contribuição destinada ao Incra e ao Funrural é devida por empresa urbana, porque destina-se a cobrir os riscos aos quais está sujeita toda a coletividade de trabalhadores.</w:t>
      </w:r>
    </w:p>
    <w:p>
      <w:pPr>
        <w:ind w:left="288"/>
      </w:pPr>
      <w:r>
        <w:rPr>
          <w:b/>
          <w:color w:val="003CA0"/>
          <w:sz w:val="16"/>
        </w:rPr>
        <w:t>[AI 663.176 AgR, rel. min. Eros Grau, j. 16-10-2007, 2ª T, DJ de 14-11-2007.]</w:t>
      </w:r>
    </w:p>
    <w:p>
      <w:pPr>
        <w:ind w:left="288"/>
      </w:pPr>
      <w:r>
        <w:rPr>
          <w:color w:val="8C8C8C"/>
          <w:sz w:val="12"/>
        </w:rPr>
        <w:t>cf-art-195-inc-I</w:t>
      </w:r>
      <w:r>
        <w:rPr>
          <w:color w:val="003CA0"/>
          <w:sz w:val="12"/>
        </w:rPr>
        <w:t xml:space="preserve"> | AI 557.826</w:t>
      </w:r>
      <w:r>
        <w:rPr>
          <w:color w:val="003CA0"/>
          <w:sz w:val="12"/>
        </w:rPr>
        <w:t xml:space="preserve"> | rel. Dias Toffoli</w:t>
      </w:r>
    </w:p>
    <w:p>
      <w:pPr>
        <w:ind w:left="288"/>
      </w:pPr>
      <w:r>
        <w:rPr>
          <w:color w:val="1E1E1E"/>
          <w:sz w:val="18"/>
        </w:rPr>
        <w:t>= AI 557.826 ED-ED, rel. min. Dias Toffoli, j. 2-12-2010, 1ª T, DJE de 22-3-2011 Contribuição para o Funrural: empresas urbanas: acórdão recorrido que se harmoniza com o entendimento do STF, no sentido de não haver óbice a que seja cobrada de empresa urbana a referida contribuição, destinada a cobrir os riscos a que se sujeita toda a coletividade de trabalhadores (...).</w:t>
      </w:r>
    </w:p>
    <w:p>
      <w:pPr>
        <w:ind w:left="288"/>
      </w:pPr>
      <w:r>
        <w:rPr>
          <w:b/>
          <w:color w:val="003CA0"/>
          <w:sz w:val="16"/>
        </w:rPr>
        <w:t>[AI 485.192 AgR, rel. min. Sepúlveda Pertence, j. 3-5-2005, 1ª T, DJ de 27-5-2005.]</w:t>
      </w:r>
    </w:p>
    <w:p>
      <w:pPr>
        <w:ind w:left="144"/>
      </w:pPr>
      <w:r>
        <w:rPr>
          <w:b/>
          <w:color w:val="B45A00"/>
          <w:sz w:val="16"/>
        </w:rPr>
        <w:t>REPERCUSSAO GERAL</w:t>
      </w:r>
    </w:p>
    <w:p>
      <w:pPr>
        <w:ind w:left="288"/>
      </w:pPr>
      <w:r>
        <w:rPr>
          <w:color w:val="8C8C8C"/>
          <w:sz w:val="12"/>
        </w:rPr>
        <w:t>cf-art-195-inc-I-ali-a</w:t>
      </w:r>
      <w:r>
        <w:rPr>
          <w:color w:val="003CA0"/>
          <w:sz w:val="12"/>
        </w:rPr>
        <w:t xml:space="preserve"> | RE 1.376.970</w:t>
      </w:r>
      <w:r>
        <w:rPr>
          <w:color w:val="003CA0"/>
          <w:sz w:val="12"/>
        </w:rPr>
        <w:t xml:space="preserve"> | rel. Luiz Fux</w:t>
      </w:r>
    </w:p>
    <w:p>
      <w:pPr>
        <w:ind w:left="288"/>
      </w:pPr>
      <w:r>
        <w:rPr>
          <w:color w:val="1E1E1E"/>
          <w:sz w:val="18"/>
        </w:rPr>
        <w:t>É infraconstitucional, a ela se aplicando os efeitos da ausência de repercussão geral, a controvérsia atinente à possibilidade de excluir os valores relativos ao imposto de renda da pessoa física e à contribuição previdenciária dos empregados e trabalhadores avulsos, retidos na fonte pelo empregador, da base de cálculo da contribuição previdenciária patronal e das contribuições destinadas ao seguro acidente do trabalho e risco ambiental do trabalho (SAT/RAT) e a terceiros.</w:t>
      </w:r>
    </w:p>
    <w:p>
      <w:pPr>
        <w:ind w:left="288"/>
      </w:pPr>
      <w:r>
        <w:rPr>
          <w:b/>
          <w:color w:val="003CA0"/>
          <w:sz w:val="16"/>
        </w:rPr>
        <w:t>[RE 1.376.970 RG, rel. min. Luiz Fux, j. 16-6-2022, P, DJE de 21-6-2022, Tema 1.221, com repercussão geral negada.]</w:t>
      </w:r>
    </w:p>
    <w:p>
      <w:pPr>
        <w:ind w:left="288"/>
      </w:pPr>
      <w:r>
        <w:rPr>
          <w:color w:val="8C8C8C"/>
          <w:sz w:val="12"/>
        </w:rPr>
        <w:t>cf-art-195-inc-I-ali-a</w:t>
      </w:r>
      <w:r>
        <w:rPr>
          <w:color w:val="003CA0"/>
          <w:sz w:val="12"/>
        </w:rPr>
        <w:t xml:space="preserve"> | RE 626.837</w:t>
      </w:r>
      <w:r>
        <w:rPr>
          <w:color w:val="003CA0"/>
          <w:sz w:val="12"/>
        </w:rPr>
        <w:t xml:space="preserve"> | rel. Dias Toffoli</w:t>
      </w:r>
    </w:p>
    <w:p>
      <w:pPr>
        <w:ind w:left="288"/>
      </w:pPr>
      <w:r>
        <w:rPr>
          <w:color w:val="1E1E1E"/>
          <w:sz w:val="18"/>
        </w:rPr>
        <w:t>Incide contribuição previdenciária sobre os rendimentos pagos aos exercentes de mandato eletivo decorrentes da prestação de serviços à União, a estados e ao Distrito Federal ou a municípios após o advento da Lei nº 10.887/2004, desde que não vinculados a regime próprio de previdência.</w:t>
      </w:r>
    </w:p>
    <w:p>
      <w:pPr>
        <w:ind w:left="288"/>
      </w:pPr>
      <w:r>
        <w:rPr>
          <w:b/>
          <w:color w:val="003CA0"/>
          <w:sz w:val="16"/>
        </w:rPr>
        <w:t>[RE 626.837, rel. min. Dias Toffoli, j. 25-5-2017, P, DJE de 1º-2-2018, Tema 691, com mérito julgado.]</w:t>
      </w:r>
    </w:p>
    <w:p>
      <w:pPr>
        <w:ind w:left="288"/>
      </w:pPr>
      <w:r>
        <w:rPr>
          <w:color w:val="8C8C8C"/>
          <w:sz w:val="12"/>
        </w:rPr>
        <w:t>cf-art-195-inc-I-ali-a</w:t>
      </w:r>
      <w:r>
        <w:rPr>
          <w:color w:val="003CA0"/>
          <w:sz w:val="12"/>
        </w:rPr>
        <w:t xml:space="preserve"> | RE 595.838</w:t>
      </w:r>
      <w:r>
        <w:rPr>
          <w:color w:val="003CA0"/>
          <w:sz w:val="12"/>
        </w:rPr>
        <w:t xml:space="preserve"> | rel. Dias Toffoli</w:t>
      </w:r>
    </w:p>
    <w:p>
      <w:pPr>
        <w:ind w:left="288"/>
      </w:pPr>
      <w:r>
        <w:rPr>
          <w:color w:val="1E1E1E"/>
          <w:sz w:val="18"/>
        </w:rPr>
        <w:t>O art. 22, IV, da Lei 8.212/1991, com a redação da Lei 9.876/1999, ao instituir contribuição previdenciária incidente sobre o valor bruto da nota fiscal ou fatura, extrapolou a norma do art. 195, I, a, da Constituição, descaracterizando a contribuição hipoteticamente incidente sobre os rendimentos do trabalho dos cooperados, tributando o faturamento da cooperativa, com evidente bis in idem. Representa, assim, nova fonte de custeio, a qual somente poderia ser instituída por lei complementar, com base no art. 195, § 4º – com a remissão feita ao art. 154, I, da Constituição.</w:t>
        <w:br/>
        <w:t>[RE 595.838, rel. min</w:t>
      </w:r>
    </w:p>
    <w:p>
      <w:pPr>
        <w:ind w:left="144"/>
      </w:pPr>
      <w:r>
        <w:rPr>
          <w:b/>
          <w:color w:val="B45A00"/>
          <w:sz w:val="16"/>
        </w:rPr>
        <w:t>JULGADOS CORRELATOS</w:t>
      </w:r>
    </w:p>
    <w:p>
      <w:pPr>
        <w:ind w:left="288"/>
      </w:pPr>
      <w:r>
        <w:rPr>
          <w:color w:val="8C8C8C"/>
          <w:sz w:val="12"/>
        </w:rPr>
        <w:t>cf-art-195-inc-I-ali-a</w:t>
      </w:r>
      <w:r>
        <w:rPr>
          <w:color w:val="003CA0"/>
          <w:sz w:val="12"/>
        </w:rPr>
        <w:t xml:space="preserve"> | RE 419.612</w:t>
      </w:r>
      <w:r>
        <w:rPr>
          <w:color w:val="003CA0"/>
          <w:sz w:val="12"/>
        </w:rPr>
        <w:t xml:space="preserve"> | rel. Joaquim Barbosa</w:t>
      </w:r>
    </w:p>
    <w:p>
      <w:pPr>
        <w:ind w:left="288"/>
      </w:pPr>
      <w:r>
        <w:rPr>
          <w:color w:val="1E1E1E"/>
          <w:sz w:val="18"/>
        </w:rPr>
        <w:t>Aplica-se à tributação da pessoa jurídica, para as contribuições destinadas ao custeio da seguridade social, calculadas com base na remuneração, o regime de competência. Assim, o tributo incide no momento em que surge a obrigação legal de pagamento, independentemente se esse irá ocorrer em oportunidade posterior.</w:t>
      </w:r>
    </w:p>
    <w:p>
      <w:pPr>
        <w:ind w:left="288"/>
      </w:pPr>
      <w:r>
        <w:rPr>
          <w:b/>
          <w:color w:val="003CA0"/>
          <w:sz w:val="16"/>
        </w:rPr>
        <w:t>[RE 419.612 AgR, rel. min. Joaquim Barbosa, j. 1º-3-2011, 2ª T, DJE de 6-4-2011.]</w:t>
      </w:r>
    </w:p>
    <w:p>
      <w:pPr>
        <w:ind w:left="288"/>
      </w:pPr>
      <w:r>
        <w:rPr>
          <w:color w:val="8C8C8C"/>
          <w:sz w:val="12"/>
        </w:rPr>
        <w:t>cf-art-195-inc-I-ali-a</w:t>
      </w:r>
      <w:r>
        <w:rPr>
          <w:color w:val="003CA0"/>
          <w:sz w:val="12"/>
        </w:rPr>
        <w:t xml:space="preserve"> | RE 393.946</w:t>
      </w:r>
      <w:r>
        <w:rPr>
          <w:color w:val="003CA0"/>
          <w:sz w:val="12"/>
        </w:rPr>
        <w:t xml:space="preserve"> | rel. Carlos Velloso</w:t>
      </w:r>
    </w:p>
    <w:p>
      <w:pPr>
        <w:ind w:left="288"/>
      </w:pPr>
      <w:r>
        <w:rPr>
          <w:color w:val="1E1E1E"/>
          <w:sz w:val="18"/>
        </w:rPr>
        <w:t>Contribuição social: seguridade. Retenção de 11% sobre o valor bruto da nota fiscal ou da fatura de prestação de serviço. Lei 8.212/1991, art. 31, com a redação da Lei 9.711/1998. Empresa contratante de serviços executados mediante cessão de mão de obra: obrigação de reter 11% do valor bruto da nota fiscal ou fatura de prestação de serviços e recolher a importância retida até o dia 2 do mês subsequente ao da emissão da respectiva nota fiscal ou fatura, em nome da empresa cedente da mão de obra: inocorrência de ofensa ao disposto nos arts. 150, § 7º; 150, IV; 195, § 4º; 154, I; e 148 da CF.</w:t>
      </w:r>
    </w:p>
    <w:p>
      <w:pPr>
        <w:ind w:left="288"/>
      </w:pPr>
      <w:r>
        <w:rPr>
          <w:b/>
          <w:color w:val="003CA0"/>
          <w:sz w:val="16"/>
        </w:rPr>
        <w:t>[RE 393.946, rel. min. Carlos Velloso, j. 3-11-2004, P, DJ de 1º-4-2005.]</w:t>
      </w:r>
    </w:p>
    <w:p>
      <w:pPr>
        <w:ind w:left="288"/>
      </w:pPr>
      <w:r>
        <w:rPr>
          <w:color w:val="8C8C8C"/>
          <w:sz w:val="12"/>
        </w:rPr>
        <w:t>cf-art-195-inc-I-ali-a</w:t>
      </w:r>
      <w:r>
        <w:rPr>
          <w:color w:val="003CA0"/>
          <w:sz w:val="12"/>
        </w:rPr>
        <w:t xml:space="preserve"> | RE 455.956</w:t>
      </w:r>
      <w:r>
        <w:rPr>
          <w:color w:val="003CA0"/>
          <w:sz w:val="12"/>
        </w:rPr>
        <w:t xml:space="preserve"> | rel. Ayres Britto</w:t>
      </w:r>
    </w:p>
    <w:p>
      <w:pPr>
        <w:ind w:left="288"/>
      </w:pPr>
      <w:r>
        <w:rPr>
          <w:color w:val="1E1E1E"/>
          <w:sz w:val="18"/>
        </w:rPr>
        <w:t>= RE 455.956 AgR, rel. min. Ayres Britto, j. 23-11-2010, 2ª T, DJE de 21-3-2011</w:t>
      </w:r>
    </w:p>
    <w:p>
      <w:pPr>
        <w:ind w:left="288"/>
      </w:pPr>
      <w:r>
        <w:rPr>
          <w:color w:val="8C8C8C"/>
          <w:sz w:val="12"/>
        </w:rPr>
        <w:t>cf-art-195-inc-I-ali-b</w:t>
      </w:r>
    </w:p>
    <w:p>
      <w:pPr>
        <w:ind w:left="288"/>
      </w:pPr>
      <w:r>
        <w:rPr>
          <w:color w:val="1E1E1E"/>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88"/>
      </w:pPr>
      <w:r>
        <w:rPr>
          <w:b/>
          <w:color w:val="003CA0"/>
          <w:sz w:val="16"/>
        </w:rPr>
        <w:t>[Súmula Vinculante 62]</w:t>
      </w:r>
    </w:p>
    <w:p>
      <w:pPr>
        <w:ind w:left="144"/>
      </w:pPr>
      <w:r>
        <w:rPr>
          <w:b/>
          <w:color w:val="B45A00"/>
          <w:sz w:val="16"/>
        </w:rPr>
        <w:t>CONTROLE CONCENTRADO</w:t>
      </w:r>
    </w:p>
    <w:p>
      <w:pPr>
        <w:ind w:left="288"/>
      </w:pPr>
      <w:r>
        <w:rPr>
          <w:color w:val="8C8C8C"/>
          <w:sz w:val="12"/>
        </w:rPr>
        <w:t>cf-art-195-inc-I-ali-b</w:t>
      </w:r>
      <w:r>
        <w:rPr>
          <w:color w:val="003CA0"/>
          <w:sz w:val="12"/>
        </w:rPr>
        <w:t xml:space="preserve"> | ADC 18</w:t>
      </w:r>
      <w:r>
        <w:rPr>
          <w:color w:val="003CA0"/>
          <w:sz w:val="12"/>
        </w:rPr>
        <w:t xml:space="preserve"> | rel. Menezes Direito</w:t>
      </w:r>
    </w:p>
    <w:p>
      <w:pPr>
        <w:ind w:left="288"/>
      </w:pPr>
      <w:r>
        <w:rPr>
          <w:color w:val="1E1E1E"/>
          <w:sz w:val="18"/>
        </w:rPr>
        <w:t xml:space="preserve">Ação declaratória de constitucionalidade. Art. 3º, § 2º, I, da Lei 9.718/1998. Cofins e PIS/Pasep. Base de cálculo. Faturamento (art. 195, I, b, da CF). Exclusão do valor relativo ao ICMS. O controle direto de constitucionalidade precede o controle difuso, não obstando o ajuizamento da ação direta o curso do julgamento do recurso extraordinário. Comprovada a divergência jurisprudencial entre juízes e tribunais pátrios relativamente à possibilidade de incluir o valor do ICMS na base de cálculo da Cofins e do PIS/Pasep, cabe deferir a medida cautelar para suspender o julgamento das demandas que </w:t>
      </w:r>
    </w:p>
    <w:p>
      <w:pPr>
        <w:ind w:left="288"/>
      </w:pPr>
      <w:r>
        <w:rPr>
          <w:b/>
          <w:color w:val="003CA0"/>
          <w:sz w:val="16"/>
        </w:rPr>
        <w:t>[ADC 18 MC, rel. min. Menezes Direito, j. 17-9-2008, P, DJE de 24-10-2008.]</w:t>
      </w:r>
    </w:p>
    <w:p>
      <w:pPr>
        <w:ind w:left="288"/>
      </w:pPr>
      <w:r>
        <w:rPr>
          <w:color w:val="8C8C8C"/>
          <w:sz w:val="12"/>
        </w:rPr>
        <w:t>cf-art-195-inc-I-ali-b</w:t>
      </w:r>
      <w:r>
        <w:rPr>
          <w:color w:val="003CA0"/>
          <w:sz w:val="12"/>
        </w:rPr>
        <w:t xml:space="preserve"> | AC 2.042</w:t>
      </w:r>
      <w:r>
        <w:rPr>
          <w:color w:val="003CA0"/>
          <w:sz w:val="12"/>
        </w:rPr>
        <w:t xml:space="preserve"> | rel. Cármen Lúcia</w:t>
      </w:r>
    </w:p>
    <w:p>
      <w:pPr>
        <w:ind w:left="288"/>
      </w:pPr>
      <w:r>
        <w:rPr>
          <w:color w:val="1E1E1E"/>
          <w:sz w:val="18"/>
        </w:rPr>
        <w:t>= AC 2.042 MC-REF, rel. min. Cármen Lúcia, j. 28-10-2008, 1ª T, DJE de 6-2-2009</w:t>
        <w:br/>
        <w:t>Vide RE 574.706, rel. min. Cármen Lúcia, j. 15-3-2017, P, DJE de 2-10-2017, Tema 69 “É constitucional a inclusão da contribuição ao Programa de Integração Social (PIS) e da Contribuição para Financiamento da Seguridade Social (Cofins) na base de cálculo da Contribuição Previdenciária sobre a Receita Bruta (CPRB)”.</w:t>
      </w:r>
    </w:p>
    <w:p>
      <w:pPr>
        <w:ind w:left="288"/>
      </w:pPr>
      <w:r>
        <w:rPr>
          <w:b/>
          <w:color w:val="003CA0"/>
          <w:sz w:val="16"/>
        </w:rPr>
        <w:t>[RE 1.341.464 RG, rel. min. André Mendonça, j. 03.06.2025, P, DJE de 03.07.2025, Tema 1.186, com mérito julgado.]</w:t>
      </w:r>
    </w:p>
    <w:p>
      <w:pPr>
        <w:ind w:left="288"/>
      </w:pPr>
      <w:r>
        <w:rPr>
          <w:color w:val="8C8C8C"/>
          <w:sz w:val="12"/>
        </w:rPr>
        <w:t>cf-art-195-inc-I-ali-b</w:t>
      </w:r>
      <w:r>
        <w:rPr>
          <w:color w:val="003CA0"/>
          <w:sz w:val="12"/>
        </w:rPr>
        <w:t xml:space="preserve"> | ADI 7.725</w:t>
      </w:r>
      <w:r>
        <w:rPr>
          <w:color w:val="003CA0"/>
          <w:sz w:val="12"/>
        </w:rPr>
        <w:t xml:space="preserve"> | rel. André Mendonça</w:t>
      </w:r>
    </w:p>
    <w:p>
      <w:pPr>
        <w:ind w:left="288"/>
      </w:pPr>
      <w:r>
        <w:rPr>
          <w:color w:val="1E1E1E"/>
          <w:sz w:val="18"/>
        </w:rPr>
        <w:t>“É constitucional a inclusão da contribuição ao Programa de Integração Social (PIS) e da Contribuição para Financiamento da Seguridade Social (Cofins) na base de cálculo da Contribuição Previdenciária sobre a Receita Bruta (CPRB)”.</w:t>
      </w:r>
    </w:p>
    <w:p>
      <w:pPr>
        <w:ind w:left="288"/>
      </w:pPr>
      <w:r>
        <w:rPr>
          <w:b/>
          <w:color w:val="003CA0"/>
          <w:sz w:val="16"/>
        </w:rPr>
        <w:t>[ADI 7.725, rel. min. André Mendonça, j. 02.06.2025, P, DJE de 03.07.2025, Tema 1.186, com mérito julgado.]</w:t>
      </w:r>
    </w:p>
    <w:p>
      <w:pPr>
        <w:ind w:left="288"/>
      </w:pPr>
      <w:r>
        <w:rPr>
          <w:color w:val="8C8C8C"/>
          <w:sz w:val="12"/>
        </w:rPr>
        <w:t>cf-art-195-inc-I-ali-b</w:t>
      </w:r>
      <w:r>
        <w:rPr>
          <w:color w:val="003CA0"/>
          <w:sz w:val="12"/>
        </w:rPr>
        <w:t xml:space="preserve"> | ARE 1.524.946</w:t>
      </w:r>
      <w:r>
        <w:rPr>
          <w:color w:val="003CA0"/>
          <w:sz w:val="12"/>
        </w:rPr>
        <w:t xml:space="preserve"> | rel. Luís Roberto Barroso</w:t>
      </w:r>
    </w:p>
    <w:p>
      <w:pPr>
        <w:ind w:left="288"/>
      </w:pPr>
      <w:r>
        <w:rPr>
          <w:color w:val="1E1E1E"/>
          <w:sz w:val="18"/>
        </w:rPr>
        <w:t>“É infraconstitucional a controvérsia sobre a inclusão do PIS e da COFINS na base de cálculo do IRPJ e da CSLL apurados sob o regime do lucro presumido”.</w:t>
      </w:r>
    </w:p>
    <w:p>
      <w:pPr>
        <w:ind w:left="288"/>
      </w:pPr>
      <w:r>
        <w:rPr>
          <w:b/>
          <w:color w:val="003CA0"/>
          <w:sz w:val="16"/>
        </w:rPr>
        <w:t>[ARE 1.524.946 RG, rel. min. Luís Roberto Barroso, j. 28.2.2025, P, DJE de 7.3.2025, Tema 1.379, com repercussão geral negada.]</w:t>
      </w:r>
    </w:p>
    <w:p>
      <w:pPr>
        <w:ind w:left="288"/>
      </w:pPr>
      <w:r>
        <w:rPr>
          <w:color w:val="8C8C8C"/>
          <w:sz w:val="12"/>
        </w:rPr>
        <w:t>cf-art-195-inc-I-ali-b</w:t>
      </w:r>
      <w:r>
        <w:rPr>
          <w:color w:val="003CA0"/>
          <w:sz w:val="12"/>
        </w:rPr>
        <w:t xml:space="preserve"> | RE 722.528</w:t>
      </w:r>
      <w:r>
        <w:rPr>
          <w:color w:val="003CA0"/>
          <w:sz w:val="12"/>
        </w:rPr>
        <w:t xml:space="preserve"> | rel. Dias Toffoli</w:t>
      </w:r>
    </w:p>
    <w:p>
      <w:pPr>
        <w:ind w:left="288"/>
      </w:pPr>
      <w:r>
        <w:rPr>
          <w:color w:val="1E1E1E"/>
          <w:sz w:val="18"/>
        </w:rPr>
        <w:t>“É constitucional a incidência de PIS e COFINS em relação a rendimentos auferidos em aplicações financeiras das entidades fechadas de previdência complementar (EFPC) “</w:t>
      </w:r>
    </w:p>
    <w:p>
      <w:pPr>
        <w:ind w:left="288"/>
      </w:pPr>
      <w:r>
        <w:rPr>
          <w:b/>
          <w:color w:val="003CA0"/>
          <w:sz w:val="16"/>
        </w:rPr>
        <w:t>[RE 722.528, rel. min. Dias Toffoli, red. do ac. min. Gilmar Mendes, j. 16.12.2024, P, DJE de 24.03.2025, Tema 1.280, com mérito julgado.]</w:t>
      </w:r>
    </w:p>
    <w:p>
      <w:pPr>
        <w:ind w:left="288"/>
      </w:pPr>
      <w:r>
        <w:rPr>
          <w:color w:val="8C8C8C"/>
          <w:sz w:val="12"/>
        </w:rPr>
        <w:t>cf-art-195-inc-I-ali-b</w:t>
      </w:r>
      <w:r>
        <w:rPr>
          <w:color w:val="003CA0"/>
          <w:sz w:val="12"/>
        </w:rPr>
        <w:t xml:space="preserve"> | RE 1.438.704</w:t>
      </w:r>
      <w:r>
        <w:rPr>
          <w:color w:val="003CA0"/>
          <w:sz w:val="12"/>
        </w:rPr>
        <w:t xml:space="preserve"> | rel. Luís Roberto Barroso</w:t>
      </w:r>
    </w:p>
    <w:p>
      <w:pPr>
        <w:ind w:left="288"/>
      </w:pPr>
      <w:r>
        <w:rPr>
          <w:color w:val="1E1E1E"/>
          <w:sz w:val="18"/>
        </w:rPr>
        <w:t>“É infraconstitucional a controvérsia sobre a incidência de PIS e COFINS sobre juros de mora e correção monetária (taxa Selic) recebidos em repetição de indébito tributário”.</w:t>
      </w:r>
    </w:p>
    <w:p>
      <w:pPr>
        <w:ind w:left="288"/>
      </w:pPr>
      <w:r>
        <w:rPr>
          <w:b/>
          <w:color w:val="003CA0"/>
          <w:sz w:val="16"/>
        </w:rPr>
        <w:t>[RE 1.438.704 RG, rel. min. Luís Roberto Barroso, j. 16.08.2024, P, DJE de 22.08.2024, Tema 1.314, com repercussão geral negada.]</w:t>
      </w:r>
    </w:p>
    <w:p>
      <w:pPr>
        <w:ind w:left="144"/>
      </w:pPr>
      <w:r>
        <w:rPr>
          <w:b/>
          <w:color w:val="B45A00"/>
          <w:sz w:val="16"/>
        </w:rPr>
        <w:t>REPERCUSSAO GERAL</w:t>
      </w:r>
    </w:p>
    <w:p>
      <w:pPr>
        <w:ind w:left="288"/>
      </w:pPr>
      <w:r>
        <w:rPr>
          <w:color w:val="8C8C8C"/>
          <w:sz w:val="12"/>
        </w:rPr>
        <w:t>cf-art-195-inc-I-ali-b</w:t>
      </w:r>
      <w:r>
        <w:rPr>
          <w:color w:val="003CA0"/>
          <w:sz w:val="12"/>
        </w:rPr>
        <w:t xml:space="preserve"> | RE 599.658</w:t>
      </w:r>
      <w:r>
        <w:rPr>
          <w:color w:val="003CA0"/>
          <w:sz w:val="12"/>
        </w:rPr>
        <w:t xml:space="preserve"> | rel. Luiz Fux</w:t>
      </w:r>
    </w:p>
    <w:p>
      <w:pPr>
        <w:ind w:left="288"/>
      </w:pPr>
      <w:r>
        <w:rPr>
          <w:color w:val="1E1E1E"/>
          <w:sz w:val="18"/>
        </w:rPr>
        <w:t>“É constitucional a incidência da contribuição para o PIS e da COFINS sobre as receitas auferidas com a locação de bens móveis ou imóveis, quando constituir atividade empresarial do contribuinte, considerando que o resultado econômico dessa operação coincide com o conceito de faturamento ou receita bruta, tomados como a soma das receitas oriundas do exercício das atividades empresariais, pressuposto desde a redação original do art. 195, I, da Constituição Federal.”</w:t>
      </w:r>
    </w:p>
    <w:p>
      <w:pPr>
        <w:ind w:left="288"/>
      </w:pPr>
      <w:r>
        <w:rPr>
          <w:b/>
          <w:color w:val="003CA0"/>
          <w:sz w:val="16"/>
        </w:rPr>
        <w:t>[RE 599.658, rel. min. Luiz Fux, red. do ac. min. Alexandre de Moraes, j. 11.04.2024, P, DJE de 14.06.2024, Tema 630, com mérito julgado e RE 659.412, rel. min. Marco Aurélio, red. do ac. min. Alexandre de Moraes, j. 11.04.2024, P, DJE de 14.06.2024,</w:t>
      </w:r>
    </w:p>
    <w:p>
      <w:pPr>
        <w:ind w:left="288"/>
      </w:pPr>
      <w:r>
        <w:rPr>
          <w:color w:val="8C8C8C"/>
          <w:sz w:val="12"/>
        </w:rPr>
        <w:t>cf-art-195-inc-I-ali-b</w:t>
      </w:r>
      <w:r>
        <w:rPr>
          <w:color w:val="003CA0"/>
          <w:sz w:val="12"/>
        </w:rPr>
        <w:t xml:space="preserve"> | RE 593.544</w:t>
      </w:r>
      <w:r>
        <w:rPr>
          <w:color w:val="003CA0"/>
          <w:sz w:val="12"/>
        </w:rPr>
        <w:t xml:space="preserve"> | rel. Luís Roberto Barroso</w:t>
      </w:r>
    </w:p>
    <w:p>
      <w:pPr>
        <w:ind w:left="288"/>
      </w:pPr>
      <w:r>
        <w:rPr>
          <w:color w:val="1E1E1E"/>
          <w:sz w:val="18"/>
        </w:rPr>
        <w:t>“Os créditos presumidos de IPI, instituídos pela Lei nº 9.363/1996, não integram a base de cálculo da contribuição para o PIS e da COFINS, sob a sistemática de apuração cumulativa (Lei nº 9.718/1998), pois não se amoldam ao conceito constitucional de faturamento.”.</w:t>
        <w:br/>
        <w:t>[RE 593.544, rel. min. Luís Roberto Barroso, j. 19.12.2023, P, DJE de 08.03.2024, Tema 504, com mérito julgado.] “As receitas brutas operacionais decorrentes da atividade empresarial típica das instituições financeiras integram a base de cálculo PIS/COFINS cobrado em face daquelas ante a Lei nº 9.718/98, mesmo em sua redação origina</w:t>
      </w:r>
    </w:p>
    <w:p>
      <w:pPr>
        <w:ind w:left="288"/>
      </w:pPr>
      <w:r>
        <w:rPr>
          <w:b/>
          <w:color w:val="003CA0"/>
          <w:sz w:val="16"/>
        </w:rPr>
        <w:t>[RE 1.049.811, rel. min. Marco Aurélio, red. do ac. min. Alexandre de Moraes, j. 21-3-2022, P, DJE de 17-6-2022, Tema 1.024, com mérito julgado.]</w:t>
      </w:r>
    </w:p>
    <w:p>
      <w:pPr>
        <w:ind w:left="288"/>
      </w:pPr>
      <w:r>
        <w:rPr>
          <w:color w:val="8C8C8C"/>
          <w:sz w:val="12"/>
        </w:rPr>
        <w:t>cf-art-195-inc-I-ali-b</w:t>
      </w:r>
      <w:r>
        <w:rPr>
          <w:color w:val="003CA0"/>
          <w:sz w:val="12"/>
        </w:rPr>
        <w:t xml:space="preserve"> | RE 1.244.117</w:t>
      </w:r>
      <w:r>
        <w:rPr>
          <w:color w:val="003CA0"/>
          <w:sz w:val="12"/>
        </w:rPr>
        <w:t xml:space="preserve"> | rel. Dias Toffoli</w:t>
      </w:r>
    </w:p>
    <w:p>
      <w:pPr>
        <w:ind w:left="288"/>
      </w:pPr>
      <w:r>
        <w:rPr>
          <w:color w:val="1E1E1E"/>
          <w:sz w:val="18"/>
        </w:rPr>
        <w:t>É infraconstitucional a ela se aplicando os efeitos da ausência de repercussão geral, a controvérsia relativa à inclusão da contribuição previdenciária substitutiva incidente sobre a receita bruta (CPRB) na base de cálculo da contribuição ao PIS e da COFINS.</w:t>
        <w:br/>
        <w:t>[RE 1.244.117 RG, rel. min. Dias Toffoli, j. 5-11-2020, P, DJE de 26-2-2021, Tema 1.111, com repercussão geral negada.] É constitucional formal e materialmente a contribuição social do empregador rural pessoa física, instituída pela Lei 10.256/2001, incidente sobre a receita bruta obtida com a comercialização de sua produção.</w:t>
      </w:r>
    </w:p>
    <w:p>
      <w:pPr>
        <w:ind w:left="288"/>
      </w:pPr>
      <w:r>
        <w:rPr>
          <w:b/>
          <w:color w:val="003CA0"/>
          <w:sz w:val="16"/>
        </w:rPr>
        <w:t>[RE 718.874, rel. min. Edson Fachin, j. 30-3-2017, P, DJE de 27-9-2017, Tema 669, com mérito julgado.]</w:t>
      </w:r>
    </w:p>
    <w:p>
      <w:pPr>
        <w:ind w:left="288"/>
      </w:pPr>
      <w:r>
        <w:rPr>
          <w:color w:val="8C8C8C"/>
          <w:sz w:val="12"/>
        </w:rPr>
        <w:t>cf-art-195-inc-I-ali-b</w:t>
      </w:r>
      <w:r>
        <w:rPr>
          <w:color w:val="003CA0"/>
          <w:sz w:val="12"/>
        </w:rPr>
        <w:t xml:space="preserve"> | RE 574.706</w:t>
      </w:r>
      <w:r>
        <w:rPr>
          <w:color w:val="003CA0"/>
          <w:sz w:val="12"/>
        </w:rPr>
        <w:t xml:space="preserve"> | rel. Cármen Lúcia</w:t>
      </w:r>
    </w:p>
    <w:p>
      <w:pPr>
        <w:ind w:left="288"/>
      </w:pPr>
      <w:r>
        <w:rPr>
          <w:color w:val="1E1E1E"/>
          <w:sz w:val="18"/>
        </w:rPr>
        <w:t xml:space="preserve">O ICMS não compõe a base de cálculo para incidência do PIS e da Cofins. </w:t>
        <w:br/>
        <w:t>[RE 574.706, rel. min. Cármen Lúcia, j. 15-3-2017, P, DJE de 2-10-2017, Tema 69, com mérito julgado.]</w:t>
        <w:br/>
        <w:t xml:space="preserve">Vide RE 1.444.662 AgR, rel. min. Luís Roberto Barroso, j. 12-9-2023, P, DJE de 21-9-2023   </w:t>
        <w:br/>
        <w:t>Vide RE 1.489.562 RG, rel. min. Luís Roberto Barroso, j. 18.10.2024, P, DJE de 23.10.2024, Tema 1.338, com mérito julgado Assenta esta Suprema Corte a tese da inconstitucionalidade da incidência da contribuição ao PIS e da Cofins não cumulativas sobre os valores auferidos por empresa exportadora em razão da transferência a terceiro</w:t>
      </w:r>
    </w:p>
    <w:p>
      <w:pPr>
        <w:ind w:left="288"/>
      </w:pPr>
      <w:r>
        <w:rPr>
          <w:b/>
          <w:color w:val="003CA0"/>
          <w:sz w:val="16"/>
        </w:rPr>
        <w:t>[RE 1.496.754 AgR, rel. min. Edson Fachin, j. 01.07.2025, 2ª T, DJE de 11.07.2025.]</w:t>
      </w:r>
    </w:p>
    <w:p>
      <w:pPr>
        <w:ind w:left="144"/>
      </w:pPr>
      <w:r>
        <w:rPr>
          <w:b/>
          <w:color w:val="B45A00"/>
          <w:sz w:val="16"/>
        </w:rPr>
        <w:t>JULGADOS CORRELATOS</w:t>
      </w:r>
    </w:p>
    <w:p>
      <w:pPr>
        <w:ind w:left="288"/>
      </w:pPr>
      <w:r>
        <w:rPr>
          <w:color w:val="8C8C8C"/>
          <w:sz w:val="12"/>
        </w:rPr>
        <w:t>cf-art-195-inc-I-ali-b</w:t>
      </w:r>
      <w:r>
        <w:rPr>
          <w:color w:val="003CA0"/>
          <w:sz w:val="12"/>
        </w:rPr>
        <w:t xml:space="preserve"> | RE 1.444.662</w:t>
      </w:r>
      <w:r>
        <w:rPr>
          <w:color w:val="003CA0"/>
          <w:sz w:val="12"/>
        </w:rPr>
        <w:t xml:space="preserve"> | rel. Luís Roberto Barroso</w:t>
      </w:r>
    </w:p>
    <w:p>
      <w:pPr>
        <w:ind w:left="288"/>
      </w:pPr>
      <w:r>
        <w:rPr>
          <w:color w:val="1E1E1E"/>
          <w:sz w:val="18"/>
        </w:rPr>
        <w:t>As obrigações tributárias decorrentes de fatos geradores de PIS e Cofins que ocorrerem de 15.03.2017 em diante serão necessariamente apuradas com a exclusão do ICMS. A contrario sensu, e excluindo as ações judiciais e administrativas em curso em 15.03.2017, o ICMS deve compor a base de cálculo das obrigações tributárias de PIS e Cofins decorrentes de fatos geradores que ocorrerem até o dia anterior àquele julgamento. Considera-se contrária ao paradigma do Tema 69 da repercussão geral qualquer exegese que exclua o ICMS da base de cálculo do PIS e da COFINS em relação aos fatos geradores ocorrid</w:t>
      </w:r>
    </w:p>
    <w:p>
      <w:pPr>
        <w:ind w:left="288"/>
      </w:pPr>
      <w:r>
        <w:rPr>
          <w:b/>
          <w:color w:val="003CA0"/>
          <w:sz w:val="16"/>
        </w:rPr>
        <w:t>[RE 444.601 ED, rel. min. Cezar Peluso, j. 7-11-2006, 2ª T, DJ de 15-12-2006.]</w:t>
      </w:r>
    </w:p>
    <w:p>
      <w:pPr>
        <w:ind w:left="288"/>
      </w:pPr>
      <w:r>
        <w:rPr>
          <w:color w:val="8C8C8C"/>
          <w:sz w:val="12"/>
        </w:rPr>
        <w:t>cf-art-195-inc-I-ali-b</w:t>
      </w:r>
      <w:r>
        <w:rPr>
          <w:color w:val="003CA0"/>
          <w:sz w:val="12"/>
        </w:rPr>
        <w:t xml:space="preserve"> | AI 843.086</w:t>
      </w:r>
      <w:r>
        <w:rPr>
          <w:color w:val="003CA0"/>
          <w:sz w:val="12"/>
        </w:rPr>
        <w:t xml:space="preserve"> | rel. Luiz Fux</w:t>
      </w:r>
    </w:p>
    <w:p>
      <w:pPr>
        <w:ind w:left="288"/>
      </w:pPr>
      <w:r>
        <w:rPr>
          <w:color w:val="1E1E1E"/>
          <w:sz w:val="18"/>
        </w:rPr>
        <w:t>= AI 843.086 AgR, rel. min. Luiz Fux, j. 22-11-2011, 1ª T, DJE de 13-12-2011</w:t>
      </w:r>
    </w:p>
    <w:p>
      <w:pPr>
        <w:ind w:left="144"/>
      </w:pPr>
      <w:r>
        <w:rPr>
          <w:b/>
          <w:color w:val="B45A00"/>
          <w:sz w:val="16"/>
        </w:rPr>
        <w:t>CONTROLE CONCENTRADO</w:t>
      </w:r>
    </w:p>
    <w:p>
      <w:pPr>
        <w:ind w:left="288"/>
      </w:pPr>
      <w:r>
        <w:rPr>
          <w:color w:val="8C8C8C"/>
          <w:sz w:val="12"/>
        </w:rPr>
        <w:t>cf-art-195-inc-I-ali-c</w:t>
      </w:r>
      <w:r>
        <w:rPr>
          <w:color w:val="003CA0"/>
          <w:sz w:val="12"/>
        </w:rPr>
        <w:t xml:space="preserve"> | RE 150.764</w:t>
      </w:r>
      <w:r>
        <w:rPr>
          <w:color w:val="003CA0"/>
          <w:sz w:val="12"/>
        </w:rPr>
        <w:t xml:space="preserve"> | rel. Marco Aurélio (DJ de 2-4-1993)</w:t>
      </w:r>
    </w:p>
    <w:p>
      <w:pPr>
        <w:ind w:left="288"/>
      </w:pPr>
      <w:r>
        <w:rPr>
          <w:color w:val="1E1E1E"/>
          <w:sz w:val="18"/>
        </w:rPr>
        <w:t>Procedência da arguição de inconstitucionalidade do art. 9º, por incompatibilidade com os arts. 195 da Constituição e 56 do ADCT/1988, que, não obstante já declarada pelo STF no julgamento do RE 150.764, 16-12-1992, rel. min. Marco Aurélio (DJ de 2-4-1993), teve o processo de suspensão do dispositivo arquivado, no Senado Federal, que, assim, negou-se a emprestar efeitos erga omnes à decisão proferida na via difusa do controle de normas.</w:t>
      </w:r>
    </w:p>
    <w:p>
      <w:pPr>
        <w:ind w:left="288"/>
      </w:pPr>
      <w:r>
        <w:rPr>
          <w:b/>
          <w:color w:val="003CA0"/>
          <w:sz w:val="16"/>
        </w:rPr>
        <w:t>[ADI 15, rel. min. Sepúlveda Pertence, j. 14-6-2007, P, DJ de 31-8-2007.]</w:t>
      </w:r>
    </w:p>
    <w:p>
      <w:pPr>
        <w:ind w:left="288"/>
      </w:pPr>
      <w:r>
        <w:rPr>
          <w:color w:val="8C8C8C"/>
          <w:sz w:val="12"/>
        </w:rPr>
        <w:t>cf-art-195-inc-I-ali-c</w:t>
      </w:r>
      <w:r>
        <w:rPr>
          <w:color w:val="003CA0"/>
          <w:sz w:val="12"/>
        </w:rPr>
        <w:t xml:space="preserve"> | ARE 1.493.235</w:t>
      </w:r>
      <w:r>
        <w:rPr>
          <w:color w:val="003CA0"/>
          <w:sz w:val="12"/>
        </w:rPr>
        <w:t xml:space="preserve"> | rel. Luís Roberto Barroso</w:t>
      </w:r>
    </w:p>
    <w:p>
      <w:pPr>
        <w:ind w:left="288"/>
      </w:pPr>
      <w:r>
        <w:rPr>
          <w:color w:val="1E1E1E"/>
          <w:sz w:val="18"/>
        </w:rPr>
        <w:t>“É infraconstitucional a controvérsia sobre a inclusão do ICMS na base de cálculo do IRPJ e da CSLL apurados sob o regime do lucro presumido”.</w:t>
      </w:r>
    </w:p>
    <w:p>
      <w:pPr>
        <w:ind w:left="288"/>
      </w:pPr>
      <w:r>
        <w:rPr>
          <w:b/>
          <w:color w:val="003CA0"/>
          <w:sz w:val="16"/>
        </w:rPr>
        <w:t>[ARE 1.493.235 RG, rel. min. Luís Roberto Barroso, j. 25.10.2024, P, DJE de 30.10.2024, Tema 1.345, com repercussão geral negada.]</w:t>
      </w:r>
    </w:p>
    <w:p>
      <w:pPr>
        <w:ind w:left="144"/>
      </w:pPr>
      <w:r>
        <w:rPr>
          <w:b/>
          <w:color w:val="B45A00"/>
          <w:sz w:val="16"/>
        </w:rPr>
        <w:t>REPERCUSSAO GERAL</w:t>
      </w:r>
    </w:p>
    <w:p>
      <w:pPr>
        <w:ind w:left="288"/>
      </w:pPr>
      <w:r>
        <w:rPr>
          <w:color w:val="8C8C8C"/>
          <w:sz w:val="12"/>
        </w:rPr>
        <w:t>cf-art-195-inc-I-ali-c</w:t>
      </w:r>
      <w:r>
        <w:rPr>
          <w:color w:val="003CA0"/>
          <w:sz w:val="12"/>
        </w:rPr>
        <w:t xml:space="preserve"> | RE 612.686</w:t>
      </w:r>
      <w:r>
        <w:rPr>
          <w:color w:val="003CA0"/>
          <w:sz w:val="12"/>
        </w:rPr>
        <w:t xml:space="preserve"> | rel. Dias Toffoli</w:t>
      </w:r>
    </w:p>
    <w:p>
      <w:pPr>
        <w:ind w:left="288"/>
      </w:pPr>
      <w:r>
        <w:rPr>
          <w:color w:val="1E1E1E"/>
          <w:sz w:val="18"/>
        </w:rPr>
        <w:t>É constitucional a cobrança, em face das entidades fechadas de previdência complementar não imunes, do imposto de renda retido na fonte (IRRF) e da contribuição social sobre o lucro líquido (CSLL).</w:t>
      </w:r>
    </w:p>
    <w:p>
      <w:pPr>
        <w:ind w:left="288"/>
      </w:pPr>
      <w:r>
        <w:rPr>
          <w:b/>
          <w:color w:val="003CA0"/>
          <w:sz w:val="16"/>
        </w:rPr>
        <w:t>[RE 612.686, rel. min. Dias Toffoli, j. 3-11-2022, P, DJE de 28-11-2022, Tema 699, com mérito julgado.]</w:t>
      </w:r>
    </w:p>
    <w:p>
      <w:pPr>
        <w:ind w:left="288"/>
      </w:pPr>
      <w:r>
        <w:rPr>
          <w:color w:val="8C8C8C"/>
          <w:sz w:val="12"/>
        </w:rPr>
        <w:t>cf-art-195-inc-I-ali-c</w:t>
      </w:r>
      <w:r>
        <w:rPr>
          <w:color w:val="003CA0"/>
          <w:sz w:val="12"/>
        </w:rPr>
        <w:t xml:space="preserve"> | RE 1.063.187</w:t>
      </w:r>
      <w:r>
        <w:rPr>
          <w:color w:val="003CA0"/>
          <w:sz w:val="12"/>
        </w:rPr>
        <w:t xml:space="preserve"> | rel. Dias Toffoli</w:t>
      </w:r>
    </w:p>
    <w:p>
      <w:pPr>
        <w:ind w:left="288"/>
      </w:pPr>
      <w:r>
        <w:rPr>
          <w:color w:val="1E1E1E"/>
          <w:sz w:val="18"/>
        </w:rPr>
        <w:t>É inconstitucional a incidência do IRPJ e da CSLL sobre os valores atinentes à taxa Selic recebidos em razão de repetição de indébito tributário.</w:t>
      </w:r>
    </w:p>
    <w:p>
      <w:pPr>
        <w:ind w:left="288"/>
      </w:pPr>
      <w:r>
        <w:rPr>
          <w:b/>
          <w:color w:val="003CA0"/>
          <w:sz w:val="16"/>
        </w:rPr>
        <w:t>[RE 1.063.187, rel. min. Dias Toffoli, j. 27-9-2021, P, DJE de 16-12-2022, Tema 962, com mérito julgado.]</w:t>
      </w:r>
    </w:p>
    <w:p>
      <w:pPr>
        <w:ind w:left="288"/>
      </w:pPr>
      <w:r>
        <w:rPr>
          <w:color w:val="8C8C8C"/>
          <w:sz w:val="12"/>
        </w:rPr>
        <w:t>cf-art-195-inc-I-ali-c</w:t>
      </w:r>
      <w:r>
        <w:rPr>
          <w:color w:val="003CA0"/>
          <w:sz w:val="12"/>
        </w:rPr>
        <w:t xml:space="preserve"> | RE 1.331.654</w:t>
      </w:r>
      <w:r>
        <w:rPr>
          <w:color w:val="003CA0"/>
          <w:sz w:val="12"/>
        </w:rPr>
        <w:t xml:space="preserve"> | rel. Luiz Fux</w:t>
      </w:r>
    </w:p>
    <w:p>
      <w:pPr>
        <w:ind w:left="288"/>
      </w:pPr>
      <w:r>
        <w:rPr>
          <w:color w:val="1E1E1E"/>
          <w:sz w:val="18"/>
        </w:rPr>
        <w:t>É infraconstitucional, a ela se aplicando os efeitos da ausência de repercussão geral, a controvérsia relativa à incidência do Imposto sobre a Renda das Pessoas Jurídicas - IRPJ e da Contribuição Social sobre o Lucro Líquido - CSLL sobre a correção monetária de rendimentos de aplicações financeiras.</w:t>
      </w:r>
    </w:p>
    <w:p>
      <w:pPr>
        <w:ind w:left="288"/>
      </w:pPr>
      <w:r>
        <w:rPr>
          <w:b/>
          <w:color w:val="003CA0"/>
          <w:sz w:val="16"/>
        </w:rPr>
        <w:t>[RE 1.331.654 RG, rel. min. Luiz Fux, j. 9-9-2021, P, DJE de 17-9-2021, Tema 1.168, com repercussão geral negada.]</w:t>
      </w:r>
    </w:p>
    <w:p>
      <w:pPr>
        <w:ind w:left="288"/>
      </w:pPr>
      <w:r>
        <w:rPr>
          <w:color w:val="8C8C8C"/>
          <w:sz w:val="12"/>
        </w:rPr>
        <w:t>cf-art-195-inc-I-ali-c</w:t>
      </w:r>
      <w:r>
        <w:rPr>
          <w:color w:val="003CA0"/>
          <w:sz w:val="12"/>
        </w:rPr>
        <w:t xml:space="preserve"> | RE 582.525</w:t>
      </w:r>
      <w:r>
        <w:rPr>
          <w:color w:val="003CA0"/>
          <w:sz w:val="12"/>
        </w:rPr>
        <w:t xml:space="preserve"> | rel. Joaquim Barbosa</w:t>
      </w:r>
    </w:p>
    <w:p>
      <w:pPr>
        <w:ind w:left="288"/>
      </w:pPr>
      <w:r>
        <w:rPr>
          <w:color w:val="1E1E1E"/>
          <w:sz w:val="18"/>
        </w:rPr>
        <w:t>O valor pago a título de CSLL não perde a característica de corresponder a parte dos lucros ou da renda do contribuinte pela circunstância de ser utilizado para solver obrigação tributária. É constitucional o art. 1º e parágrafo único da Lei 9.316/1996, que proíbe a dedução do valor da CSLL para fins de apuração do lucro real, base de cálculo do Imposto sobre a Renda das Pessoas Jurídicas.</w:t>
      </w:r>
    </w:p>
    <w:p>
      <w:pPr>
        <w:ind w:left="288"/>
      </w:pPr>
      <w:r>
        <w:rPr>
          <w:b/>
          <w:color w:val="003CA0"/>
          <w:sz w:val="16"/>
        </w:rPr>
        <w:t>[RE 582.525, rel. min. Joaquim Barbosa, j. 9-5-2013, P, DJE de 7-2-2014, Tema 75, com mérito julgado.]</w:t>
      </w:r>
    </w:p>
    <w:p>
      <w:pPr>
        <w:ind w:left="288"/>
      </w:pPr>
      <w:r>
        <w:rPr>
          <w:color w:val="8C8C8C"/>
          <w:sz w:val="12"/>
        </w:rPr>
        <w:t>cf-art-195-inc-I-ali-c</w:t>
      </w:r>
    </w:p>
    <w:p>
      <w:pPr>
        <w:ind w:left="288"/>
      </w:pPr>
      <w:r>
        <w:rPr>
          <w:color w:val="1E1E1E"/>
          <w:sz w:val="18"/>
        </w:rPr>
        <w:t>II - do trabalhador e dos demais segurados da previdência social, podendo ser adotadas alíquotas progressivas de acordo com o valor do salário de contribuição, não incidindo contribuição sobre aposentadoria e pensão concedidas pelo Regime Geral de Previdência Social; (Redação da EC 103/2019)</w:t>
      </w:r>
    </w:p>
    <w:p>
      <w:pPr>
        <w:ind w:left="144"/>
      </w:pPr>
      <w:r>
        <w:rPr>
          <w:b/>
          <w:color w:val="B45A00"/>
          <w:sz w:val="16"/>
        </w:rPr>
        <w:t>CONTROLE CONCENTRADO</w:t>
      </w:r>
    </w:p>
    <w:p>
      <w:pPr>
        <w:ind w:left="288"/>
      </w:pPr>
      <w:r>
        <w:rPr>
          <w:color w:val="8C8C8C"/>
          <w:sz w:val="12"/>
        </w:rPr>
        <w:t>cf-art-195-inc-I-ali-c</w:t>
      </w:r>
      <w:r>
        <w:rPr>
          <w:color w:val="003CA0"/>
          <w:sz w:val="12"/>
        </w:rPr>
        <w:t xml:space="preserve"> | ADI 3.105</w:t>
      </w:r>
    </w:p>
    <w:p>
      <w:pPr>
        <w:ind w:left="288"/>
      </w:pPr>
      <w:r>
        <w:rPr>
          <w:color w:val="1E1E1E"/>
          <w:sz w:val="18"/>
        </w:rPr>
        <w:t>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 Noutras palavras, não há, em nosso ordenamento, nenhuma norma jurídica válida que, como efeito específico do fato jurídico da aposentadoria, lhe imunize os proventos e as pensões, de modo absoluto, à tributação de</w:t>
      </w:r>
    </w:p>
    <w:p>
      <w:pPr>
        <w:ind w:left="288"/>
      </w:pPr>
      <w:r>
        <w:rPr>
          <w:b/>
          <w:color w:val="003CA0"/>
          <w:sz w:val="16"/>
        </w:rPr>
        <w:t>[ADI 3.105, red. do ac. min. Cezar Peluso, j. 18-8-2004, P, DJ de 18-2-2005.]</w:t>
      </w:r>
    </w:p>
    <w:p>
      <w:pPr>
        <w:ind w:left="288"/>
      </w:pPr>
      <w:r>
        <w:rPr>
          <w:color w:val="8C8C8C"/>
          <w:sz w:val="12"/>
        </w:rPr>
        <w:t>cf-art-195-inc-I-ali-c</w:t>
      </w:r>
      <w:r>
        <w:rPr>
          <w:color w:val="003CA0"/>
          <w:sz w:val="12"/>
        </w:rPr>
        <w:t xml:space="preserve"> | RE 1.508.285</w:t>
      </w:r>
      <w:r>
        <w:rPr>
          <w:color w:val="003CA0"/>
          <w:sz w:val="12"/>
        </w:rPr>
        <w:t xml:space="preserve"> | rel. Luís Roberto Barroso</w:t>
      </w:r>
    </w:p>
    <w:p>
      <w:pPr>
        <w:ind w:left="288"/>
      </w:pPr>
      <w:r>
        <w:rPr>
          <w:color w:val="1E1E1E"/>
          <w:sz w:val="18"/>
        </w:rPr>
        <w:t>Possibilidade de complementação de contribuição previdenciária para enquadramento em regra de transição prevista no art. 17 da Emenda Constitucional nº 103/2019.</w:t>
      </w:r>
    </w:p>
    <w:p>
      <w:pPr>
        <w:ind w:left="288"/>
      </w:pPr>
      <w:r>
        <w:rPr>
          <w:b/>
          <w:color w:val="003CA0"/>
          <w:sz w:val="16"/>
        </w:rPr>
        <w:t>[RE 1.508.285 RG, rel. min. Luís Roberto Barroso, j. 04.10.2024, P, DJE de 09.10.2024, Tema 1.329, com mérito pendente.]</w:t>
      </w:r>
    </w:p>
    <w:p>
      <w:pPr>
        <w:ind w:left="144"/>
      </w:pPr>
      <w:r>
        <w:rPr>
          <w:b/>
          <w:color w:val="B45A00"/>
          <w:sz w:val="16"/>
        </w:rPr>
        <w:t>REPERCUSSAO GERAL</w:t>
      </w:r>
    </w:p>
    <w:p>
      <w:pPr>
        <w:ind w:left="288"/>
      </w:pPr>
      <w:r>
        <w:rPr>
          <w:color w:val="8C8C8C"/>
          <w:sz w:val="12"/>
        </w:rPr>
        <w:t>cf-art-195-inc-I-ali-c</w:t>
      </w:r>
      <w:r>
        <w:rPr>
          <w:color w:val="003CA0"/>
          <w:sz w:val="12"/>
        </w:rPr>
        <w:t xml:space="preserve"> | RE 1.384.562</w:t>
      </w:r>
      <w:r>
        <w:rPr>
          <w:color w:val="003CA0"/>
          <w:sz w:val="12"/>
        </w:rPr>
        <w:t xml:space="preserve"> | rel. Luiz Fux</w:t>
      </w:r>
    </w:p>
    <w:p>
      <w:pPr>
        <w:ind w:left="288"/>
      </w:pPr>
      <w:r>
        <w:rPr>
          <w:color w:val="1E1E1E"/>
          <w:sz w:val="18"/>
        </w:rPr>
        <w:t>Constitucionalidade do art. 11, § 1º, incisos V a VIII, da Emenda Constitucional 103/2019, ante a previsão de alíquotas progressivas às contribuições previdenciárias dos servidores públicos federais.</w:t>
      </w:r>
    </w:p>
    <w:p>
      <w:pPr>
        <w:ind w:left="288"/>
      </w:pPr>
      <w:r>
        <w:rPr>
          <w:b/>
          <w:color w:val="003CA0"/>
          <w:sz w:val="16"/>
        </w:rPr>
        <w:t>[RE 1.384.562 RG, rel. min. Luiz Fux, j. 12-8-2022, P, DJE de 17-8-2022, Tema 1.226, com mérito pendente.]</w:t>
      </w:r>
    </w:p>
    <w:p>
      <w:pPr>
        <w:ind w:left="288"/>
      </w:pPr>
      <w:r>
        <w:rPr>
          <w:color w:val="8C8C8C"/>
          <w:sz w:val="12"/>
        </w:rPr>
        <w:t>cf-art-195-inc-I-ali-c</w:t>
      </w:r>
      <w:r>
        <w:rPr>
          <w:color w:val="003CA0"/>
          <w:sz w:val="12"/>
        </w:rPr>
        <w:t xml:space="preserve"> | RE 852.796</w:t>
      </w:r>
      <w:r>
        <w:rPr>
          <w:color w:val="003CA0"/>
          <w:sz w:val="12"/>
        </w:rPr>
        <w:t xml:space="preserve"> | rel. Dias Toffoli</w:t>
      </w:r>
    </w:p>
    <w:p>
      <w:pPr>
        <w:ind w:left="288"/>
      </w:pPr>
      <w:r>
        <w:rPr>
          <w:color w:val="1E1E1E"/>
          <w:sz w:val="18"/>
        </w:rPr>
        <w:t>“É constitucional a expressão ‘de forma não cumulativa’ constante do caput do art. 20 da Lei º 8.212/91.”</w:t>
      </w:r>
    </w:p>
    <w:p>
      <w:pPr>
        <w:ind w:left="288"/>
      </w:pPr>
      <w:r>
        <w:rPr>
          <w:b/>
          <w:color w:val="003CA0"/>
          <w:sz w:val="16"/>
        </w:rPr>
        <w:t>[RE 852.796, rel. min. Dias Toffoli, j. 14-5-2021, P, DJE de 17-6-2021, Tema 833, com merito julgado.]</w:t>
      </w:r>
    </w:p>
    <w:p>
      <w:pPr>
        <w:ind w:left="288"/>
      </w:pPr>
      <w:r>
        <w:rPr>
          <w:color w:val="8C8C8C"/>
          <w:sz w:val="12"/>
        </w:rPr>
        <w:t>cf-art-195-inc-I-ali-c</w:t>
      </w:r>
      <w:r>
        <w:rPr>
          <w:color w:val="003CA0"/>
          <w:sz w:val="12"/>
        </w:rPr>
        <w:t xml:space="preserve"> | RE 596.701</w:t>
      </w:r>
      <w:r>
        <w:rPr>
          <w:color w:val="003CA0"/>
          <w:sz w:val="12"/>
        </w:rPr>
        <w:t xml:space="preserve"> | rel. Edson Fachin</w:t>
      </w:r>
    </w:p>
    <w:p>
      <w:pPr>
        <w:ind w:left="288"/>
      </w:pPr>
      <w:r>
        <w:rPr>
          <w:color w:val="1E1E1E"/>
          <w:sz w:val="18"/>
        </w:rPr>
        <w:t>É constitucional a cobrança de contribuições sobre os proventos dos militares inativos, aqui compreendidos os Policiais Militares e o Corpo de Bombeiros dos Estados e do Distrito Federal e os integrantes das Forças Armadas, ainda que no período compreendido entre a vigência da Emenda Constitucional 20/98 e Emenda Constitucional 41/03, por serem titulares de regimes jurídicos distintos dos servidores públicos civis e porque a eles não se estende a interpretação integrativa dos textos dos artigos 40, §§ 8º e 12, e artigo 195, II, da Constituição da República</w:t>
      </w:r>
    </w:p>
    <w:p>
      <w:pPr>
        <w:ind w:left="288"/>
      </w:pPr>
      <w:r>
        <w:rPr>
          <w:b/>
          <w:color w:val="003CA0"/>
          <w:sz w:val="16"/>
        </w:rPr>
        <w:t>[RE 596.701, rel. min. Edson Fachin, j. 20-4-2020, P, DJE de 26-6-2020, Tema 160, com mérito julgado.]</w:t>
      </w:r>
    </w:p>
    <w:p>
      <w:pPr>
        <w:ind w:left="288"/>
      </w:pPr>
      <w:r>
        <w:rPr>
          <w:color w:val="8C8C8C"/>
          <w:sz w:val="12"/>
        </w:rPr>
        <w:t>cf-art-195-inc-I-ali-c</w:t>
      </w:r>
      <w:r>
        <w:rPr>
          <w:color w:val="003CA0"/>
          <w:sz w:val="12"/>
        </w:rPr>
        <w:t xml:space="preserve"> | RE 626.837</w:t>
      </w:r>
      <w:r>
        <w:rPr>
          <w:color w:val="003CA0"/>
          <w:sz w:val="12"/>
        </w:rPr>
        <w:t xml:space="preserve"> | rel. Dias Toffoli</w:t>
      </w:r>
    </w:p>
    <w:p>
      <w:pPr>
        <w:ind w:left="288"/>
      </w:pPr>
      <w:r>
        <w:rPr>
          <w:color w:val="1E1E1E"/>
          <w:sz w:val="18"/>
        </w:rPr>
        <w:t>Incide contribuição previdenciária sobre os rendimentos pagos aos exercentes de mandato eletivo decorrentes da prestação de serviços à União, a estados e ao Distrito Federal ou a municípios após o advento da Lei nº 10.887/2004, desde que não vinculados a regime próprio de previdência.</w:t>
      </w:r>
    </w:p>
    <w:p>
      <w:pPr>
        <w:ind w:left="288"/>
      </w:pPr>
      <w:r>
        <w:rPr>
          <w:b/>
          <w:color w:val="003CA0"/>
          <w:sz w:val="16"/>
        </w:rPr>
        <w:t>[RE 626.837, rel. min. Dias Toffoli, j. 25-5-2017, P, DJE de 1º-2-2018, Tema 691, com mérito julgado.]</w:t>
      </w:r>
    </w:p>
    <w:p>
      <w:pPr>
        <w:ind w:left="144"/>
      </w:pPr>
      <w:r>
        <w:rPr>
          <w:b/>
          <w:color w:val="B45A00"/>
          <w:sz w:val="16"/>
        </w:rPr>
        <w:t>JULGADOS CORRELATOS</w:t>
      </w:r>
    </w:p>
    <w:p>
      <w:pPr>
        <w:ind w:left="288"/>
      </w:pPr>
      <w:r>
        <w:rPr>
          <w:color w:val="8C8C8C"/>
          <w:sz w:val="12"/>
        </w:rPr>
        <w:t>cf-art-195-inc-I-ali-c</w:t>
      </w:r>
      <w:r>
        <w:rPr>
          <w:color w:val="003CA0"/>
          <w:sz w:val="12"/>
        </w:rPr>
        <w:t xml:space="preserve"> | RE 593.586</w:t>
      </w:r>
      <w:r>
        <w:rPr>
          <w:color w:val="003CA0"/>
          <w:sz w:val="12"/>
        </w:rPr>
        <w:t xml:space="preserve"> | rel. Joaquim Barbosa</w:t>
      </w:r>
    </w:p>
    <w:p>
      <w:pPr>
        <w:ind w:left="288"/>
      </w:pPr>
      <w:r>
        <w:rPr>
          <w:color w:val="1E1E1E"/>
          <w:sz w:val="18"/>
        </w:rPr>
        <w:t>É inconstitucional a cobrança, na vigência da EC 20/1998, de contribuição previdenciária sobre os proventos de inativos e pensionistas, conforme jurisprudência firmada neste STF. A restituição dos valores das contribuições descontadas indevidamente deverá ser feita em valores atualizados, com juros de mora contados a partir do trânsito em julgado da sentença, conforme dispõe o parágrafo único do art. 167 do CTN.</w:t>
      </w:r>
    </w:p>
    <w:p>
      <w:pPr>
        <w:ind w:left="288"/>
      </w:pPr>
      <w:r>
        <w:rPr>
          <w:b/>
          <w:color w:val="003CA0"/>
          <w:sz w:val="16"/>
        </w:rPr>
        <w:t>[RE 593.586 ED, rel. min. Joaquim Barbosa, j. 6-10-2009, 2ª T, DJE de 29-10-2009.]</w:t>
      </w:r>
    </w:p>
    <w:p>
      <w:pPr>
        <w:ind w:left="288"/>
      </w:pPr>
      <w:r>
        <w:rPr>
          <w:color w:val="8C8C8C"/>
          <w:sz w:val="12"/>
        </w:rPr>
        <w:t>cf-art-195-inc-I-ali-c</w:t>
      </w:r>
      <w:r>
        <w:rPr>
          <w:color w:val="003CA0"/>
          <w:sz w:val="12"/>
        </w:rPr>
        <w:t xml:space="preserve"> | RE 585.919</w:t>
      </w:r>
      <w:r>
        <w:rPr>
          <w:color w:val="003CA0"/>
          <w:sz w:val="12"/>
        </w:rPr>
        <w:t xml:space="preserve"> | rel. Luiz Fux</w:t>
      </w:r>
    </w:p>
    <w:p>
      <w:pPr>
        <w:ind w:left="288"/>
      </w:pPr>
      <w:r>
        <w:rPr>
          <w:color w:val="1E1E1E"/>
          <w:sz w:val="18"/>
        </w:rPr>
        <w:t>= RE 585.919 AgR, rel. min. Luiz Fux, j. 22-11-2011, 1ª T, DJE de 13-12-2011 Ação cautelar para afastar a exigibilidade da retenção da contribuição previdenciária prevista no art. 22, IV, da Lei 8.212/1991, incidente sobre o valor bruto da nota fiscal ou fatura emitida em decorrência dos serviços prestados por intermédio de cooperativa de trabalho. O efeito suspensivo concedido ao recurso extraordinário da autora, interposto nos autos da Apelação em Ação Declaratória 2002.61.00.005267-8 do TRF 3ª Região, limita-se até o julgamento do RE 546.323.</w:t>
      </w:r>
    </w:p>
    <w:p>
      <w:pPr>
        <w:ind w:left="288"/>
      </w:pPr>
      <w:r>
        <w:rPr>
          <w:b/>
          <w:color w:val="003CA0"/>
          <w:sz w:val="16"/>
        </w:rPr>
        <w:t>[AC 1.805 MC, rel. min. Cármen Lúcia, j. 20-11-2007, P, DJE de 30-5-2008.]</w:t>
      </w:r>
    </w:p>
    <w:p>
      <w:pPr>
        <w:ind w:left="288"/>
      </w:pPr>
      <w:r>
        <w:rPr>
          <w:color w:val="8C8C8C"/>
          <w:sz w:val="12"/>
        </w:rPr>
        <w:t>cf-art-195-inc-I-ali-c</w:t>
      </w:r>
      <w:r>
        <w:rPr>
          <w:color w:val="003CA0"/>
          <w:sz w:val="12"/>
        </w:rPr>
        <w:t xml:space="preserve"> | AC 2.111</w:t>
      </w:r>
      <w:r>
        <w:rPr>
          <w:color w:val="003CA0"/>
          <w:sz w:val="12"/>
        </w:rPr>
        <w:t xml:space="preserve"> | rel. Cezar Peluso</w:t>
      </w:r>
    </w:p>
    <w:p>
      <w:pPr>
        <w:ind w:left="288"/>
      </w:pPr>
      <w:r>
        <w:rPr>
          <w:color w:val="1E1E1E"/>
          <w:sz w:val="18"/>
        </w:rPr>
        <w:t>= AC 2.111 MC-AgR, rel. min. Cezar Peluso, j. 18-9-2008, P, DJE de 7-11-2008</w:t>
      </w:r>
    </w:p>
    <w:p>
      <w:pPr>
        <w:ind w:left="144"/>
      </w:pPr>
      <w:r>
        <w:rPr>
          <w:b/>
          <w:color w:val="B45A00"/>
          <w:sz w:val="16"/>
        </w:rPr>
        <w:t>CONTROLE CONCENTRADO</w:t>
      </w:r>
    </w:p>
    <w:p>
      <w:pPr>
        <w:ind w:left="288"/>
      </w:pPr>
      <w:r>
        <w:rPr>
          <w:color w:val="8C8C8C"/>
          <w:sz w:val="12"/>
        </w:rPr>
        <w:t>cf-art-195-inc-III</w:t>
      </w:r>
      <w:r>
        <w:rPr>
          <w:color w:val="003CA0"/>
          <w:sz w:val="12"/>
        </w:rPr>
        <w:t xml:space="preserve"> | ADI 7.451</w:t>
      </w:r>
      <w:r>
        <w:rPr>
          <w:color w:val="003CA0"/>
          <w:sz w:val="12"/>
        </w:rPr>
        <w:t xml:space="preserve"> | rel. Alexandre de Moraes</w:t>
      </w:r>
    </w:p>
    <w:p>
      <w:pPr>
        <w:ind w:left="288"/>
      </w:pPr>
      <w:r>
        <w:rPr>
          <w:color w:val="1E1E1E"/>
          <w:sz w:val="18"/>
        </w:rPr>
        <w:t>Constitucionalidade da Lei 14.455/2022. (...) A legislação impugnada autoriza o Poder Executivo federal a instituir a Loteria da Saúde e a Loteria do Turismo, com previsão de determinado percentual da arrecadação ser destinado ao Fundo Nacional de Saúde – FNS e à Agência Brasileira de Promoção Internacional do Turismo – EMBRATUR (5% ou 3,37%, a depender da modalidade). A atividade de loteria detém natureza jurídica de serviço público e não há previsão constitucional específica quanto à destinação de seus resultados econômicos. A seguridade social terá como uma de suas fontes de financiamento o</w:t>
      </w:r>
    </w:p>
    <w:p>
      <w:pPr>
        <w:ind w:left="144"/>
      </w:pPr>
      <w:r>
        <w:rPr>
          <w:b/>
          <w:color w:val="B45A00"/>
          <w:sz w:val="16"/>
        </w:rPr>
        <w:t>JULGADOS CORRELATOS</w:t>
      </w:r>
    </w:p>
    <w:p>
      <w:pPr>
        <w:ind w:left="288"/>
      </w:pPr>
      <w:r>
        <w:rPr>
          <w:color w:val="8C8C8C"/>
          <w:sz w:val="12"/>
        </w:rPr>
        <w:t>cf-art-195-inc-III</w:t>
      </w:r>
      <w:r>
        <w:rPr>
          <w:color w:val="003CA0"/>
          <w:sz w:val="12"/>
        </w:rPr>
        <w:t xml:space="preserve"> | RE 502.271</w:t>
      </w:r>
    </w:p>
    <w:p>
      <w:pPr>
        <w:ind w:left="288"/>
      </w:pPr>
      <w:r>
        <w:rPr>
          <w:color w:val="1E1E1E"/>
          <w:sz w:val="18"/>
        </w:rPr>
        <w:t>De fato, o art. 195, III, da Carta Magna, estabeleceu tão somente a possibilidade de a seguridade social ser financiada por receitas de prognóstico. Por conseguinte, tal disposição não se refere à exploração de jogos de azar mediante pagamento, feita por particular, a qual, além disso, não se constitui sequer como atividade autorizada por lei.</w:t>
      </w:r>
    </w:p>
    <w:p>
      <w:pPr>
        <w:ind w:left="288"/>
      </w:pPr>
      <w:r>
        <w:rPr>
          <w:b/>
          <w:color w:val="003CA0"/>
          <w:sz w:val="16"/>
        </w:rPr>
        <w:t>[RE 502.271 AgR, voto da min. Ellen Gracie, j. 10-6-2008, 2ª T, DJ de 27-6-2008.]</w:t>
      </w:r>
    </w:p>
    <w:p>
      <w:pPr>
        <w:ind w:left="288"/>
      </w:pPr>
      <w:r>
        <w:rPr>
          <w:color w:val="8C8C8C"/>
          <w:sz w:val="12"/>
        </w:rPr>
        <w:t>cf-art-195-inc-IV</w:t>
      </w:r>
      <w:r>
        <w:rPr>
          <w:color w:val="003CA0"/>
          <w:sz w:val="12"/>
        </w:rPr>
        <w:t xml:space="preserve"> | RE 559.937</w:t>
      </w:r>
      <w:r>
        <w:rPr>
          <w:color w:val="003CA0"/>
          <w:sz w:val="12"/>
        </w:rPr>
        <w:t xml:space="preserve"> | rel. Ricardo Lewandowski</w:t>
      </w:r>
    </w:p>
    <w:p>
      <w:pPr>
        <w:ind w:left="288"/>
      </w:pPr>
      <w:r>
        <w:rPr>
          <w:color w:val="1E1E1E"/>
          <w:sz w:val="18"/>
        </w:rPr>
        <w:t>Obra de arte nacional “repatriada”. (...) Aplica-se na espécie o entendimento firmado no julgamento do Tema 1 da Repercussão Geral (RE 559.937-RG/RS), no qual ficou assentado que o PIS/COFINS-Importação possui natureza de contribuição da seguridade social, tendo como fundamento a norma especial prevista no art. 195, IV, da Constituição Federal, a qual autoriza a cobrança de contribuição social do importador de bens ou serviços do exterior, ou de quem a lei a ele equiparar. Trata-se, portanto, de norma especial em relação ao comando geral do art. 149, § 2°, II, da Lei Maior.</w:t>
        <w:br/>
        <w:t>[ARE 1.257.518 AgR,</w:t>
      </w:r>
    </w:p>
    <w:p>
      <w:pPr>
        <w:ind w:left="288"/>
      </w:pPr>
      <w:r>
        <w:rPr>
          <w:color w:val="8C8C8C"/>
          <w:sz w:val="12"/>
        </w:rPr>
        <w:t>cf-art-195-par-1</w:t>
      </w:r>
    </w:p>
    <w:p>
      <w:pPr>
        <w:ind w:left="288"/>
      </w:pPr>
      <w:r>
        <w:rPr>
          <w:color w:val="1E1E1E"/>
          <w:sz w:val="18"/>
        </w:rPr>
        <w:t>§ 2º  A proposta de orçamento da seguridade social será elaborada de forma integrada pelos órgãos responsáveis pela saúde, previdência social e assistência social, tendo em vista as metas e prioridades estabelecidas na lei de diretrizes orçamentárias, assegurada a cada área a gestão de seus recursos.</w:t>
      </w:r>
    </w:p>
    <w:p>
      <w:pPr>
        <w:ind w:left="144"/>
      </w:pPr>
      <w:r>
        <w:rPr>
          <w:b/>
          <w:color w:val="B45A00"/>
          <w:sz w:val="16"/>
        </w:rPr>
        <w:t>CONTROLE CONCENTRADO</w:t>
      </w:r>
    </w:p>
    <w:p>
      <w:pPr>
        <w:ind w:left="288"/>
      </w:pPr>
      <w:r>
        <w:rPr>
          <w:color w:val="8C8C8C"/>
          <w:sz w:val="12"/>
        </w:rPr>
        <w:t>cf-art-195-par-4</w:t>
      </w:r>
      <w:r>
        <w:rPr>
          <w:color w:val="003CA0"/>
          <w:sz w:val="12"/>
        </w:rPr>
        <w:t xml:space="preserve"> | ADI 1.417</w:t>
      </w:r>
      <w:r>
        <w:rPr>
          <w:color w:val="003CA0"/>
          <w:sz w:val="12"/>
        </w:rPr>
        <w:t xml:space="preserve"> | rel. Octavio Gallotti</w:t>
      </w:r>
    </w:p>
    <w:p>
      <w:pPr>
        <w:ind w:left="288"/>
      </w:pPr>
      <w:r>
        <w:rPr>
          <w:color w:val="1E1E1E"/>
          <w:sz w:val="18"/>
        </w:rPr>
        <w:t>Programa de Integração Social e de Formação do Patrimônio do Servidor Público (PIS/PASEP). Medida provisória. Superação, por sua conversão em lei, da contestação do preenchimento dos requisitos de urgência e relevância. Sendo a contribuição expressamente autorizada pelo art. 239 da Constituição, a ela não se opõem as restrições constantes dos arts. 154, I, e 195, § 4º, da mesma Carta.</w:t>
      </w:r>
    </w:p>
    <w:p>
      <w:pPr>
        <w:ind w:left="288"/>
      </w:pPr>
      <w:r>
        <w:rPr>
          <w:b/>
          <w:color w:val="003CA0"/>
          <w:sz w:val="16"/>
        </w:rPr>
        <w:t>[ADI 1.417, rel. min. Octavio Gallotti, j. 2-8-1999, P, DJ de 23-3-2001.]</w:t>
      </w:r>
    </w:p>
    <w:p>
      <w:pPr>
        <w:ind w:left="288"/>
      </w:pPr>
      <w:r>
        <w:rPr>
          <w:color w:val="8C8C8C"/>
          <w:sz w:val="12"/>
        </w:rPr>
        <w:t>cf-art-195-par-4</w:t>
      </w:r>
      <w:r>
        <w:rPr>
          <w:color w:val="003CA0"/>
          <w:sz w:val="12"/>
        </w:rPr>
        <w:t xml:space="preserve"> | RE 432.413</w:t>
      </w:r>
      <w:r>
        <w:rPr>
          <w:color w:val="003CA0"/>
          <w:sz w:val="12"/>
        </w:rPr>
        <w:t xml:space="preserve"> | rel. Dias Toffoli</w:t>
      </w:r>
    </w:p>
    <w:p>
      <w:pPr>
        <w:ind w:left="288"/>
      </w:pPr>
      <w:r>
        <w:rPr>
          <w:color w:val="1E1E1E"/>
          <w:sz w:val="18"/>
        </w:rPr>
        <w:t>= RE 432.413 AgR, rel. min. Dias Toffoli, j. 19-10-2010, 1ª T, DJE de 23-3-2011 O § 4º do art. 195 da Constituição prevê que a lei complementar pode instituir outras fontes de receita para a seguridade social; desta forma, quando a Lei 8.870/1994 serve-se de outras fontes, criando contribuição nova, além das expressamente previstas, é ela inconstitucional, porque é lei ordinária, insuscetível de veicular tal matéria.</w:t>
      </w:r>
    </w:p>
    <w:p>
      <w:pPr>
        <w:ind w:left="288"/>
      </w:pPr>
      <w:r>
        <w:rPr>
          <w:b/>
          <w:color w:val="003CA0"/>
          <w:sz w:val="16"/>
        </w:rPr>
        <w:t>[ADI 1.103, red. do ac. min. Maurício Corrêa, j. 18-12-1996, P, DJ de 25-4-1997.]</w:t>
      </w:r>
    </w:p>
    <w:p>
      <w:pPr>
        <w:ind w:left="144"/>
      </w:pPr>
      <w:r>
        <w:rPr>
          <w:b/>
          <w:color w:val="B45A00"/>
          <w:sz w:val="16"/>
        </w:rPr>
        <w:t>REPERCUSSAO GERAL</w:t>
      </w:r>
    </w:p>
    <w:p>
      <w:pPr>
        <w:ind w:left="288"/>
      </w:pPr>
      <w:r>
        <w:rPr>
          <w:color w:val="8C8C8C"/>
          <w:sz w:val="12"/>
        </w:rPr>
        <w:t>cf-art-195-par-4</w:t>
      </w:r>
      <w:r>
        <w:rPr>
          <w:color w:val="003CA0"/>
          <w:sz w:val="12"/>
        </w:rPr>
        <w:t xml:space="preserve"> | RE 1.178.310</w:t>
      </w:r>
      <w:r>
        <w:rPr>
          <w:color w:val="003CA0"/>
          <w:sz w:val="12"/>
        </w:rPr>
        <w:t xml:space="preserve"> | rel. Marco Aurélio</w:t>
      </w:r>
    </w:p>
    <w:p>
      <w:pPr>
        <w:ind w:left="288"/>
      </w:pPr>
      <w:r>
        <w:rPr>
          <w:color w:val="1E1E1E"/>
          <w:sz w:val="18"/>
        </w:rPr>
        <w:t>Ao conferir nova redação ao artigo 8º, § 21, da Lei 10.865/2004, a de 12.844/2013 implicou majoração da alíquota da Cofins-Importação em relação a determinados setores da economia. (...) A situação concreta não atrai a observância do § 4º do artigo 195, combinado com o artigo 154, inciso I, ambos da Lei Maior, a teor dos quais somente por meio de lei complementar poderão ser instituídas outras fontes destinadas a garantir a manutenção ou a expansão da seguridade social. Não se tem a criação de novo tributo, mas acréscimo de alíquota já existente, sendo irrelevante a veiculação em dispositivo a</w:t>
      </w:r>
    </w:p>
    <w:p>
      <w:pPr>
        <w:ind w:left="288"/>
      </w:pPr>
      <w:r>
        <w:rPr>
          <w:b/>
          <w:color w:val="003CA0"/>
          <w:sz w:val="16"/>
        </w:rPr>
        <w:t>[RE 1.178.310, rel. min. Marco Aurélio, red. do ac. min. Alexandre de Moraes, j. 16-9-2020, P, DJE de 5-10-2020, Tema 1.047, com mérito julgado.]</w:t>
      </w:r>
    </w:p>
    <w:p>
      <w:pPr>
        <w:ind w:left="288"/>
      </w:pPr>
      <w:r>
        <w:rPr>
          <w:color w:val="8C8C8C"/>
          <w:sz w:val="12"/>
        </w:rPr>
        <w:t>cf-art-195-par-4</w:t>
      </w:r>
      <w:r>
        <w:rPr>
          <w:color w:val="003CA0"/>
          <w:sz w:val="12"/>
        </w:rPr>
        <w:t xml:space="preserve"> | RE 595.838</w:t>
      </w:r>
      <w:r>
        <w:rPr>
          <w:color w:val="003CA0"/>
          <w:sz w:val="12"/>
        </w:rPr>
        <w:t xml:space="preserve"> | rel. Dias Toffoli</w:t>
      </w:r>
    </w:p>
    <w:p>
      <w:pPr>
        <w:ind w:left="288"/>
      </w:pPr>
      <w:r>
        <w:rPr>
          <w:color w:val="1E1E1E"/>
          <w:sz w:val="18"/>
        </w:rPr>
        <w:t>O art. 22, IV, da Lei 8.212/1991, com a redação da Lei 9.876/1999, ao instituir contribuição previdenciária incidente sobre o valor bruto da nota fiscal ou fatura, extrapolou a norma do art. 195, I, a, da Constituição, descaracterizando a contribuição hipoteticamente incidente sobre os rendimentos do trabalho dos cooperados, tributando o faturamento da cooperativa, com evidente bis in idem. Representa, assim, nova fonte de custeio, a qual somente poderia ser instituída por lei complementar, com base no art. 195, § 4º – com a remissão feita ao art. 154, I, da Constituição.</w:t>
      </w:r>
    </w:p>
    <w:p>
      <w:pPr>
        <w:ind w:left="288"/>
      </w:pPr>
      <w:r>
        <w:rPr>
          <w:b/>
          <w:color w:val="003CA0"/>
          <w:sz w:val="16"/>
        </w:rPr>
        <w:t>[RE 595.838, rel. min. Dias Toffoli, j. 23-4-2014, P, DJE de 8-10-2014, Tema 166, com mérito julgado.]</w:t>
      </w:r>
    </w:p>
    <w:p>
      <w:pPr>
        <w:ind w:left="288"/>
      </w:pPr>
      <w:r>
        <w:rPr>
          <w:color w:val="8C8C8C"/>
          <w:sz w:val="12"/>
        </w:rPr>
        <w:t>cf-art-195-par-4</w:t>
      </w:r>
      <w:r>
        <w:rPr>
          <w:color w:val="003CA0"/>
          <w:sz w:val="12"/>
        </w:rPr>
        <w:t xml:space="preserve"> | RE 635.682</w:t>
      </w:r>
    </w:p>
    <w:p>
      <w:pPr>
        <w:ind w:left="288"/>
      </w:pPr>
      <w:r>
        <w:rPr>
          <w:color w:val="1E1E1E"/>
          <w:sz w:val="18"/>
        </w:rPr>
        <w:t xml:space="preserve">(...) o fato de a contribuição de intervenção no domínio econômico sujeitar-se ao art. 146, III, a, não leva à conclusão de que o tributo deva ser instituído mediante lei complementar. </w:t>
        <w:br/>
        <w:t>[RE 635.682, voto do min. Gilmar Mendes, j. 25-4-2013, P, DJE de 24-5-2013, Tema 227, com mérito julgado.] (...) o art. 56 da Lei 9.430/1996 é dispositivo legitimamente veiculado por legislação ordinária (art. 146, III, b, contrario sensu, e art. 150, § 6º, ambos da CF), que importou na revogação de dispositivo anteriormente vigente (sobre isenção de contribuição social) inserto em norma materialmente ordinária</w:t>
      </w:r>
    </w:p>
    <w:p>
      <w:pPr>
        <w:ind w:left="144"/>
      </w:pPr>
      <w:r>
        <w:rPr>
          <w:b/>
          <w:color w:val="B45A00"/>
          <w:sz w:val="16"/>
        </w:rPr>
        <w:t>JULGADOS CORRELATOS</w:t>
      </w:r>
    </w:p>
    <w:p>
      <w:pPr>
        <w:ind w:left="288"/>
      </w:pPr>
      <w:r>
        <w:rPr>
          <w:color w:val="8C8C8C"/>
          <w:sz w:val="12"/>
        </w:rPr>
        <w:t>cf-art-195-par-4</w:t>
      </w:r>
      <w:r>
        <w:rPr>
          <w:color w:val="003CA0"/>
          <w:sz w:val="12"/>
        </w:rPr>
        <w:t xml:space="preserve"> | AI 742.458</w:t>
      </w:r>
      <w:r>
        <w:rPr>
          <w:color w:val="003CA0"/>
          <w:sz w:val="12"/>
        </w:rPr>
        <w:t xml:space="preserve"> | rel. Eros Grau</w:t>
      </w:r>
    </w:p>
    <w:p>
      <w:pPr>
        <w:ind w:left="288"/>
      </w:pPr>
      <w:r>
        <w:rPr>
          <w:color w:val="1E1E1E"/>
          <w:sz w:val="18"/>
        </w:rPr>
        <w:t>A cobrança da contribuição ao Seguro de Acidente de Trabalho (SAT) incidente sobre o total das remunerações pagas tanto aos empregados quanto aos trabalhadores avulsos é legítima.</w:t>
      </w:r>
    </w:p>
    <w:p>
      <w:pPr>
        <w:ind w:left="288"/>
      </w:pPr>
      <w:r>
        <w:rPr>
          <w:b/>
          <w:color w:val="003CA0"/>
          <w:sz w:val="16"/>
        </w:rPr>
        <w:t>[AI 742.458 AgR, rel. min. Eros Grau, j. 14-4-2009, 2ª T, DJE de 15-5-2009.]</w:t>
      </w:r>
    </w:p>
    <w:p>
      <w:pPr>
        <w:ind w:left="288"/>
      </w:pPr>
      <w:r>
        <w:rPr>
          <w:color w:val="8C8C8C"/>
          <w:sz w:val="12"/>
        </w:rPr>
        <w:t>cf-art-195-par-4</w:t>
      </w:r>
      <w:r>
        <w:rPr>
          <w:color w:val="003CA0"/>
          <w:sz w:val="12"/>
        </w:rPr>
        <w:t xml:space="preserve"> | RE 459.099</w:t>
      </w:r>
      <w:r>
        <w:rPr>
          <w:color w:val="003CA0"/>
          <w:sz w:val="12"/>
        </w:rPr>
        <w:t xml:space="preserve"> | rel. Dias Toffoli</w:t>
      </w:r>
    </w:p>
    <w:p>
      <w:pPr>
        <w:ind w:left="288"/>
      </w:pPr>
      <w:r>
        <w:rPr>
          <w:color w:val="1E1E1E"/>
          <w:sz w:val="18"/>
        </w:rPr>
        <w:t>= RE 459.099 AgR, rel. min. Dias Toffoli, j. 13-8-2013, 1ª T, DJE de 18-10-2013 A Lei 9.506/1997, § 1º do art. 13, acrescentou a alínea h ao inciso I do art. 12 da Lei 8.212/1991, tornando segurado obrigatório do regime geral de previdência social o exercente de mandato eletivo, desde que não vinculado a regime próprio de previdência social. Todavia, não poderia a lei criar figura nova de segurado obrigatório da previdência social, tendo em vista o disposto no art. 195, II, CF. Ademais, a Lei 9.506/1997, § 1º do art. 13, ao criar figura nova de segurado obrigatório, instituiu fonte nova de cus</w:t>
      </w:r>
    </w:p>
    <w:p>
      <w:pPr>
        <w:ind w:left="288"/>
      </w:pPr>
      <w:r>
        <w:rPr>
          <w:b/>
          <w:color w:val="003CA0"/>
          <w:sz w:val="16"/>
        </w:rPr>
        <w:t>[RE 351.717, rel. min. Carlos Velloso, j. 8-10-2003, P, DJ de 21-11-2003.]</w:t>
      </w:r>
    </w:p>
    <w:p>
      <w:pPr>
        <w:ind w:left="288"/>
      </w:pPr>
      <w:r>
        <w:rPr>
          <w:color w:val="8C8C8C"/>
          <w:sz w:val="12"/>
        </w:rPr>
        <w:t>cf-art-195-par-4</w:t>
      </w:r>
      <w:r>
        <w:rPr>
          <w:color w:val="003CA0"/>
          <w:sz w:val="12"/>
        </w:rPr>
        <w:t xml:space="preserve"> | RE 343.801</w:t>
      </w:r>
      <w:r>
        <w:rPr>
          <w:color w:val="003CA0"/>
          <w:sz w:val="12"/>
        </w:rPr>
        <w:t xml:space="preserve"> | rel. Ayres Britto</w:t>
      </w:r>
    </w:p>
    <w:p>
      <w:pPr>
        <w:ind w:left="288"/>
      </w:pPr>
      <w:r>
        <w:rPr>
          <w:color w:val="1E1E1E"/>
          <w:sz w:val="18"/>
        </w:rPr>
        <w:t>= RE 343.801 AgR, rel. min. Ayres Britto, j. 20-3-2012, 2ª T, DJE de 26-6-2012 Contribuição para o custeio do Seguro de Acidente do Trabalho (SAT): Lei 7.787/1989, art. 3º, II; Lei 8.212/1991, art. 22, II: alegação no sentido de que são ofensivos ao art. 195, § 4º, c/c o art. 154, I, da CF: improcedência. Desnecessidade de observância da técnica da competência residual da União, CF, art. 154, I. Desnecessidade de lei complementar para a instituição da contribuição para o SAT.</w:t>
      </w:r>
    </w:p>
    <w:p>
      <w:pPr>
        <w:ind w:left="288"/>
      </w:pPr>
      <w:r>
        <w:rPr>
          <w:b/>
          <w:color w:val="003CA0"/>
          <w:sz w:val="16"/>
        </w:rPr>
        <w:t>[RE 343.446, rel. min. Carlos Velloso, j. 20-3-2003, P, DJ de 4-4-2003.]</w:t>
      </w:r>
    </w:p>
    <w:p>
      <w:pPr>
        <w:ind w:left="288"/>
      </w:pPr>
      <w:r>
        <w:rPr>
          <w:color w:val="8C8C8C"/>
          <w:sz w:val="12"/>
        </w:rPr>
        <w:t>cf-art-195-par-4</w:t>
      </w:r>
      <w:r>
        <w:rPr>
          <w:color w:val="003CA0"/>
          <w:sz w:val="12"/>
        </w:rPr>
        <w:t xml:space="preserve"> | AI 736.299</w:t>
      </w:r>
      <w:r>
        <w:rPr>
          <w:color w:val="003CA0"/>
          <w:sz w:val="12"/>
        </w:rPr>
        <w:t xml:space="preserve"> | rel. Gilmar Mendes</w:t>
      </w:r>
    </w:p>
    <w:p>
      <w:pPr>
        <w:ind w:left="288"/>
      </w:pPr>
      <w:r>
        <w:rPr>
          <w:color w:val="1E1E1E"/>
          <w:sz w:val="18"/>
        </w:rPr>
        <w:t>= AI 736.299 AgR, rel. min. Gilmar Mendes, j. 22-2-2011, 2ª T, DJE de 11-3-2011 Contribuições sociais: empresários. Autônomos e avulsos. (...) Contribuição social instituída pela LC 84, de 1996: constitucionalidade.</w:t>
      </w:r>
    </w:p>
    <w:p>
      <w:pPr>
        <w:ind w:left="288"/>
      </w:pPr>
      <w:r>
        <w:rPr>
          <w:b/>
          <w:color w:val="003CA0"/>
          <w:sz w:val="16"/>
        </w:rPr>
        <w:t>[RE 228.321, rel. min. Carlos Velloso, j. 1º-10-1998, P, DJ de 30-5-2003.]</w:t>
      </w:r>
    </w:p>
    <w:p>
      <w:pPr>
        <w:ind w:left="288"/>
      </w:pPr>
      <w:r>
        <w:rPr>
          <w:color w:val="8C8C8C"/>
          <w:sz w:val="12"/>
        </w:rPr>
        <w:t>cf-art-195-par-4</w:t>
      </w:r>
      <w:r>
        <w:rPr>
          <w:color w:val="003CA0"/>
          <w:sz w:val="12"/>
        </w:rPr>
        <w:t xml:space="preserve"> | AI 609.496</w:t>
      </w:r>
      <w:r>
        <w:rPr>
          <w:color w:val="003CA0"/>
          <w:sz w:val="12"/>
        </w:rPr>
        <w:t xml:space="preserve"> | rel. Ayres Britto</w:t>
      </w:r>
    </w:p>
    <w:p>
      <w:pPr>
        <w:ind w:left="288"/>
      </w:pPr>
      <w:r>
        <w:rPr>
          <w:color w:val="1E1E1E"/>
          <w:sz w:val="18"/>
        </w:rPr>
        <w:t>= AI 609.496 AgR, rel. min. Ayres Britto, j. 26-10-2010, 2ª T, DJE de 4-3-2011 A norma inscrita no art. 195, I, da Carta Política, por referir-se à contribuição social incidente sobre a folha de salários; expressão esta que apenas alcança a remuneração paga pela empresa em virtude da execução de trabalho subordinado, com vínculo empregatício; não abrange os valores pagos aos autônomos, aos avulsos e aos administradores, que constituem categorias de profissionais não empregados. Precedentes. A União Federal, para instituir validamente nova contribuição social, tendo presente a situação dos prof</w:t>
      </w:r>
    </w:p>
    <w:p>
      <w:pPr>
        <w:ind w:left="288"/>
      </w:pPr>
      <w:r>
        <w:rPr>
          <w:b/>
          <w:color w:val="003CA0"/>
          <w:sz w:val="16"/>
        </w:rPr>
        <w:t>[RE 186.984, rel. min. Celso de Mello, j. 21-2-1995, 1ª T, DJ de 25-8-1995.]</w:t>
      </w:r>
    </w:p>
    <w:p>
      <w:pPr>
        <w:ind w:left="288"/>
      </w:pPr>
      <w:r>
        <w:rPr>
          <w:color w:val="8C8C8C"/>
          <w:sz w:val="12"/>
        </w:rPr>
        <w:t>cf-art-195-par-5</w:t>
      </w:r>
      <w:r>
        <w:rPr>
          <w:color w:val="003CA0"/>
          <w:sz w:val="12"/>
        </w:rPr>
        <w:t xml:space="preserve"> | ADI 5.758</w:t>
      </w:r>
      <w:r>
        <w:rPr>
          <w:color w:val="003CA0"/>
          <w:sz w:val="12"/>
        </w:rPr>
        <w:t xml:space="preserve"> | rel. Nunes Marques</w:t>
      </w:r>
    </w:p>
    <w:p>
      <w:pPr>
        <w:ind w:left="288"/>
      </w:pPr>
      <w:r>
        <w:rPr>
          <w:color w:val="1E1E1E"/>
          <w:sz w:val="18"/>
        </w:rPr>
        <w:t>A Lei n. 17.110/2017 do Estado de Santa Catarina, ao dispor sobre o fornecimento de tratamento alternativo para os portadores de diabetes em uso de insulina, veicula normas sobre proteção e defesa da saúde, nos termos de sua competência legislativa concorrente quanto ao assunto (CF/1988, art. 24, XII). (...) O fornecimento da substância não caracteriza benefício novo, considerada a previsão de atendimento integral das pessoas pelos serviços públicos de saúde, de modo que o diploma impugnado não ofende a vedação constitucional de criação, majoração ou extensão de benefícios ou serviços de segur</w:t>
      </w:r>
    </w:p>
    <w:p>
      <w:pPr>
        <w:ind w:left="288"/>
      </w:pPr>
      <w:r>
        <w:rPr>
          <w:b/>
          <w:color w:val="003CA0"/>
          <w:sz w:val="16"/>
        </w:rPr>
        <w:t>[ADI 5.758, rel. min. Nunes Marques, j. 14.04.2025, P, DJE de 08.05.2025.]</w:t>
      </w:r>
    </w:p>
    <w:p>
      <w:pPr>
        <w:ind w:left="144"/>
      </w:pPr>
      <w:r>
        <w:rPr>
          <w:b/>
          <w:color w:val="B45A00"/>
          <w:sz w:val="16"/>
        </w:rPr>
        <w:t>CONTROLE CONCENTRADO</w:t>
      </w:r>
    </w:p>
    <w:p>
      <w:pPr>
        <w:ind w:left="288"/>
      </w:pPr>
      <w:r>
        <w:rPr>
          <w:color w:val="8C8C8C"/>
          <w:sz w:val="12"/>
        </w:rPr>
        <w:t>cf-art-195-par-5</w:t>
      </w:r>
      <w:r>
        <w:rPr>
          <w:color w:val="003CA0"/>
          <w:sz w:val="12"/>
        </w:rPr>
        <w:t xml:space="preserve"> | ADI 4.976</w:t>
      </w:r>
      <w:r>
        <w:rPr>
          <w:color w:val="003CA0"/>
          <w:sz w:val="12"/>
        </w:rPr>
        <w:t xml:space="preserve"> | rel. Ricardo Lewandowski</w:t>
      </w:r>
    </w:p>
    <w:p>
      <w:pPr>
        <w:ind w:left="288"/>
      </w:pPr>
      <w:r>
        <w:rPr>
          <w:color w:val="1E1E1E"/>
          <w:sz w:val="18"/>
        </w:rPr>
        <w:t>Mostra-se plenamente justificada a iniciativa dos legisladores federais – legítimos representantes que são da vontade popular – em premiar materialmente a incalculável visibilidade internacional positiva proporcionada por um grupo específico e restrito de atletas, bem como em evitar, mediante a instituição de pensão especial, que a extrema penúria material enfrentada por alguns deles ou por suas famílias ponha em xeque o profundo sentimento nacional em relação às seleções brasileiras que disputaram as Copas do Mundo de 1958, 1962 e 1970, as quais representam, ainda hoje, uma das expressões mai</w:t>
      </w:r>
    </w:p>
    <w:p>
      <w:pPr>
        <w:ind w:left="288"/>
      </w:pPr>
      <w:r>
        <w:rPr>
          <w:b/>
          <w:color w:val="003CA0"/>
          <w:sz w:val="16"/>
        </w:rPr>
        <w:t>[ADI 4.976, rel. min. Ricardo Lewandowski, j. 7-5-2014, P, DJE de 30-10-2014.]</w:t>
      </w:r>
    </w:p>
    <w:p>
      <w:pPr>
        <w:ind w:left="288"/>
      </w:pPr>
      <w:r>
        <w:rPr>
          <w:color w:val="8C8C8C"/>
          <w:sz w:val="12"/>
        </w:rPr>
        <w:t>cf-art-195-par-5</w:t>
      </w:r>
      <w:r>
        <w:rPr>
          <w:color w:val="003CA0"/>
          <w:sz w:val="12"/>
        </w:rPr>
        <w:t xml:space="preserve"> | ADI 3.853</w:t>
      </w:r>
      <w:r>
        <w:rPr>
          <w:color w:val="003CA0"/>
          <w:sz w:val="12"/>
        </w:rPr>
        <w:t xml:space="preserve"> | rel. Cármen Lúcia</w:t>
      </w:r>
    </w:p>
    <w:p>
      <w:pPr>
        <w:ind w:left="288"/>
      </w:pPr>
      <w:r>
        <w:rPr>
          <w:color w:val="1E1E1E"/>
          <w:sz w:val="18"/>
        </w:rPr>
        <w:t>Instituição de subsídio mensal e vitalício aos ex-governadores daquele Estado, de natureza idêntica ao percebido pelo atual chefe do Poder Executivo estadual. Garantia de pensão ao cônjuge supérstite, na metade do valor percebido em vida pelo titular. Segundo a nova redação acrescentada ao Ato das Disposições Constitucionais Gerais e Transitórias da Constituição de Mato Grosso do Sul, introduzida pela EC 35/2006, os ex-governadores sul-mato-grossenses que exerceram mandato integral, em "caráter permanente", receberiam subsídio mensal e vitalício, igual ao percebido pelo governador do Estado. P</w:t>
      </w:r>
    </w:p>
    <w:p>
      <w:pPr>
        <w:ind w:left="288"/>
      </w:pPr>
      <w:r>
        <w:rPr>
          <w:b/>
          <w:color w:val="003CA0"/>
          <w:sz w:val="16"/>
        </w:rPr>
        <w:t>[ADI 3.853, rel. min. Cármen Lúcia, j. 12-9-2007, P, DJ de 26-10-2007.]</w:t>
        <w:br/>
        <w:t>= [ADPF 745, rel. min. Cármen Lúcia, j. 18-10-2023, P, DJE de 7-12-2023.]</w:t>
      </w:r>
    </w:p>
    <w:p>
      <w:pPr>
        <w:ind w:left="288"/>
      </w:pPr>
      <w:r>
        <w:rPr>
          <w:color w:val="8C8C8C"/>
          <w:sz w:val="12"/>
        </w:rPr>
        <w:t>cf-art-195-par-5</w:t>
      </w:r>
      <w:r>
        <w:rPr>
          <w:color w:val="003CA0"/>
          <w:sz w:val="12"/>
        </w:rPr>
        <w:t xml:space="preserve"> | ADI 3.205</w:t>
      </w:r>
      <w:r>
        <w:rPr>
          <w:color w:val="003CA0"/>
          <w:sz w:val="12"/>
        </w:rPr>
        <w:t xml:space="preserve"> | rel. Sepúlveda Pertence</w:t>
      </w:r>
    </w:p>
    <w:p>
      <w:pPr>
        <w:ind w:left="288"/>
      </w:pPr>
      <w:r>
        <w:rPr>
          <w:color w:val="1E1E1E"/>
          <w:sz w:val="18"/>
        </w:rPr>
        <w:t>Ação direta de inconstitucionalidade: Lei estadual 2.207/2000 do Estado do Mato Grosso do Sul (redação do art. 1º da Lei estadual 2.417/2002), que isenta os aposentados e pensionistas do antigo sistema estadual de previdência da contribuição destinada ao custeio de plano de saúde dos servidores Estado: inconstitucionalidade declarada. (...) Seguridade social: norma que concede benefício: necessidade de previsão legal de fonte de custeio, inexistente no caso (CF, art. 195, § 5º): precedentes.</w:t>
      </w:r>
    </w:p>
    <w:p>
      <w:pPr>
        <w:ind w:left="288"/>
      </w:pPr>
      <w:r>
        <w:rPr>
          <w:b/>
          <w:color w:val="003CA0"/>
          <w:sz w:val="16"/>
        </w:rPr>
        <w:t>[ADI 3.205, rel. min. Sepúlveda Pertence, j. 19-10-2006, P, DJ de 17-11-2006.]</w:t>
      </w:r>
    </w:p>
    <w:p>
      <w:pPr>
        <w:ind w:left="288"/>
      </w:pPr>
      <w:r>
        <w:rPr>
          <w:color w:val="8C8C8C"/>
          <w:sz w:val="12"/>
        </w:rPr>
        <w:t>cf-art-195-par-5</w:t>
      </w:r>
      <w:r>
        <w:rPr>
          <w:color w:val="003CA0"/>
          <w:sz w:val="12"/>
        </w:rPr>
        <w:t xml:space="preserve"> | RE 1.512.490</w:t>
      </w:r>
      <w:r>
        <w:rPr>
          <w:color w:val="003CA0"/>
          <w:sz w:val="12"/>
        </w:rPr>
        <w:t xml:space="preserve"> | rel. Luís Roberto Barroso</w:t>
      </w:r>
    </w:p>
    <w:p>
      <w:pPr>
        <w:ind w:left="288"/>
      </w:pPr>
      <w:r>
        <w:rPr>
          <w:color w:val="1E1E1E"/>
          <w:sz w:val="18"/>
        </w:rPr>
        <w:t>“É infraconstitucional a controvérsia sobre o tamanho da propriedade rural descaracterizar, por si só, o regime de economia familiar para a concessão de aposentadoria por idade rural”</w:t>
      </w:r>
    </w:p>
    <w:p>
      <w:pPr>
        <w:ind w:left="288"/>
      </w:pPr>
      <w:r>
        <w:rPr>
          <w:b/>
          <w:color w:val="003CA0"/>
          <w:sz w:val="16"/>
        </w:rPr>
        <w:t>[RE 1.512.490 RG, rel. min. Luís Roberto Barroso, j. 29.11.2024, P, DJE de 5.12.2024, Tema 1.362, com repercussão geral negada.]</w:t>
      </w:r>
    </w:p>
    <w:p>
      <w:pPr>
        <w:ind w:left="144"/>
      </w:pPr>
      <w:r>
        <w:rPr>
          <w:b/>
          <w:color w:val="B45A00"/>
          <w:sz w:val="16"/>
        </w:rPr>
        <w:t>REPERCUSSAO GERAL</w:t>
      </w:r>
    </w:p>
    <w:p>
      <w:pPr>
        <w:ind w:left="288"/>
      </w:pPr>
      <w:r>
        <w:rPr>
          <w:color w:val="8C8C8C"/>
          <w:sz w:val="12"/>
        </w:rPr>
        <w:t>cf-art-195-par-5</w:t>
      </w:r>
      <w:r>
        <w:rPr>
          <w:color w:val="003CA0"/>
          <w:sz w:val="12"/>
        </w:rPr>
        <w:t xml:space="preserve"> | RE 586.068</w:t>
      </w:r>
      <w:r>
        <w:rPr>
          <w:color w:val="003CA0"/>
          <w:sz w:val="12"/>
        </w:rPr>
        <w:t xml:space="preserve"> | rel. Rosa Weber</w:t>
      </w:r>
    </w:p>
    <w:p>
      <w:pPr>
        <w:ind w:left="288"/>
      </w:pPr>
      <w:r>
        <w:rPr>
          <w:color w:val="1E1E1E"/>
          <w:sz w:val="18"/>
        </w:rPr>
        <w:t>Fixação das teses, as quais demandam análise conjunta: 1) é possível aplicar o artigo 741, parágrafo único, do CPC/73, atual art. 535, § 5º, do CPC/2015, aos feitos submetidos ao procedimento sumaríssimo, desde que o trânsito em julgado da fase de conhecimento seja posterior a 27.8.2001; 2) é admissível a invocação como fundamento da inexigibilidade de ser o título judicial fundado em aplicação ou interpretação tida como incompatível com a Constituição quando houver pronunciamento jurisdicional, contrário ao decidido pelo Plenário do Supremo Tribunal Federal, seja no controle difuso, seja no c</w:t>
      </w:r>
    </w:p>
    <w:p>
      <w:pPr>
        <w:ind w:left="288"/>
      </w:pPr>
      <w:r>
        <w:rPr>
          <w:b/>
          <w:color w:val="003CA0"/>
          <w:sz w:val="16"/>
        </w:rPr>
        <w:t>[RE 1.221.446, rel. min. Dias Toffoli, j. 21-6-2021, P, DJE de 4-8-2022, Tema 1.095, com mérito julgado.]</w:t>
      </w:r>
    </w:p>
    <w:p>
      <w:pPr>
        <w:ind w:left="288"/>
      </w:pPr>
      <w:r>
        <w:rPr>
          <w:color w:val="8C8C8C"/>
          <w:sz w:val="12"/>
        </w:rPr>
        <w:t>cf-art-195-par-5</w:t>
      </w:r>
      <w:r>
        <w:rPr>
          <w:color w:val="003CA0"/>
          <w:sz w:val="12"/>
        </w:rPr>
        <w:t xml:space="preserve"> | RE 381.367</w:t>
      </w:r>
    </w:p>
    <w:p>
      <w:pPr>
        <w:ind w:left="288"/>
      </w:pPr>
      <w:r>
        <w:rPr>
          <w:color w:val="1E1E1E"/>
          <w:sz w:val="18"/>
        </w:rPr>
        <w:t>No âmbito do Regime Geral de Previdência Social - RGPS, somente lei pode criar benefícios e vantagens previdenciárias, não havendo, por ora, previsão legal do direito à 'desaposentação' ou à reaposentação, sendo constitucional a regra do art. 18, § 2º, da Lei nº 8.213/91”; b) modular os efeitos do acórdão embargado e da tese de repercussão geral, de forma a preservar a desaposentação aos segurados que tiveram o direito reconhecido por decisão judicial transitada em julgado até a data deste julgamento; c) declarar a desnecessidade de repetição dos valores recebidos a título de desaposentação at</w:t>
      </w:r>
    </w:p>
    <w:p>
      <w:pPr>
        <w:ind w:left="288"/>
      </w:pPr>
      <w:r>
        <w:rPr>
          <w:b/>
          <w:color w:val="003CA0"/>
          <w:sz w:val="16"/>
        </w:rPr>
        <w:t>[RE 381.367 ED e RE 827.833 ED, red do ac. min. Alexandre de Moraes, j. 6-2-2020, P, DJE de 14-12-2020, RG, Tema 503, com mérito julgado.]</w:t>
      </w:r>
    </w:p>
    <w:p>
      <w:pPr>
        <w:ind w:left="288"/>
      </w:pPr>
      <w:r>
        <w:rPr>
          <w:color w:val="8C8C8C"/>
          <w:sz w:val="12"/>
        </w:rPr>
        <w:t>cf-art-195-par-5</w:t>
      </w:r>
      <w:r>
        <w:rPr>
          <w:color w:val="003CA0"/>
          <w:sz w:val="12"/>
        </w:rPr>
        <w:t xml:space="preserve"> | RE 597.389</w:t>
      </w:r>
      <w:r>
        <w:rPr>
          <w:color w:val="003CA0"/>
          <w:sz w:val="12"/>
        </w:rPr>
        <w:t xml:space="preserve"> | rel. Gilmar Mendes</w:t>
      </w:r>
    </w:p>
    <w:p>
      <w:pPr>
        <w:ind w:left="288"/>
      </w:pPr>
      <w:r>
        <w:rPr>
          <w:color w:val="1E1E1E"/>
          <w:sz w:val="18"/>
        </w:rPr>
        <w:t>(...) não se revela constitucionalmente possível, ao Poder Judiciário, sob o fundamento de isonomia, estender, em sede jurisdicional, majoração de benefício previdenciário, quando inexiste, na lei, a indicação de correspondente fonte de custeio total, sob pena de o tribunal, se assim proceder, atuar em ilegítima condição de legislador positivo, o que contraria o art. 2º da CF.</w:t>
        <w:br/>
        <w:t>[RE 597.389 QO-RG, rel. min. Gilmar Mendes, j. 22-4-2009, P, DJE de 21-8-2009, Tema 165, com mérito julgado.]</w:t>
      </w:r>
    </w:p>
    <w:p>
      <w:pPr>
        <w:ind w:left="144"/>
      </w:pPr>
      <w:r>
        <w:rPr>
          <w:b/>
          <w:color w:val="B45A00"/>
          <w:sz w:val="16"/>
        </w:rPr>
        <w:t>JULGADOS CORRELATOS</w:t>
      </w:r>
    </w:p>
    <w:p>
      <w:pPr>
        <w:ind w:left="288"/>
      </w:pPr>
      <w:r>
        <w:rPr>
          <w:color w:val="8C8C8C"/>
          <w:sz w:val="12"/>
        </w:rPr>
        <w:t>cf-art-195-par-5</w:t>
      </w:r>
      <w:r>
        <w:rPr>
          <w:color w:val="003CA0"/>
          <w:sz w:val="12"/>
        </w:rPr>
        <w:t xml:space="preserve"> | ADI 455</w:t>
      </w:r>
      <w:r>
        <w:rPr>
          <w:color w:val="003CA0"/>
          <w:sz w:val="12"/>
        </w:rPr>
        <w:t xml:space="preserve"> | rel. Sepúlveda Pertence. [RE 219.538 AgR</w:t>
      </w:r>
    </w:p>
    <w:p>
      <w:pPr>
        <w:ind w:left="288"/>
      </w:pPr>
      <w:r>
        <w:rPr>
          <w:color w:val="1E1E1E"/>
          <w:sz w:val="18"/>
        </w:rPr>
        <w:t>A Lei estadual 951/1976 previa regras específicas de custeio da pensão parlamentar. Precedente: ADI 455 MC, rel. min. Sepúlveda Pertence.</w:t>
      </w:r>
    </w:p>
    <w:p>
      <w:pPr>
        <w:ind w:left="288"/>
      </w:pPr>
      <w:r>
        <w:rPr>
          <w:b/>
          <w:color w:val="003CA0"/>
          <w:sz w:val="16"/>
        </w:rPr>
        <w:t>[RE 219.538 AgR, rel. min. Joaquim Barbosa, j. 10-8-2010, 2ª T, DJE de 8-10-2010.]</w:t>
      </w:r>
    </w:p>
    <w:p>
      <w:pPr>
        <w:ind w:left="288"/>
      </w:pPr>
      <w:r>
        <w:rPr>
          <w:color w:val="8C8C8C"/>
          <w:sz w:val="12"/>
        </w:rPr>
        <w:t>cf-art-195-par-5</w:t>
      </w:r>
      <w:r>
        <w:rPr>
          <w:color w:val="003CA0"/>
          <w:sz w:val="12"/>
        </w:rPr>
        <w:t xml:space="preserve"> | AI 598.382</w:t>
      </w:r>
      <w:r>
        <w:rPr>
          <w:color w:val="003CA0"/>
          <w:sz w:val="12"/>
        </w:rPr>
        <w:t xml:space="preserve"> | rel. Cezar Peluso</w:t>
      </w:r>
    </w:p>
    <w:p>
      <w:pPr>
        <w:ind w:left="288"/>
      </w:pPr>
      <w:r>
        <w:rPr>
          <w:color w:val="1E1E1E"/>
          <w:sz w:val="18"/>
        </w:rPr>
        <w:t>O disposto no art. 195, § 5º, da CF diz respeito apenas à previdência social, não se impondo ao regramento dos planos privados.</w:t>
      </w:r>
    </w:p>
    <w:p>
      <w:pPr>
        <w:ind w:left="288"/>
      </w:pPr>
      <w:r>
        <w:rPr>
          <w:b/>
          <w:color w:val="003CA0"/>
          <w:sz w:val="16"/>
        </w:rPr>
        <w:t>[AI 598.382 AgR, rel. min. Cezar Peluso, j. 31-3-2009, 2ª T, DJE de 30-4-2009.]</w:t>
      </w:r>
    </w:p>
    <w:p>
      <w:pPr>
        <w:ind w:left="288"/>
      </w:pPr>
      <w:r>
        <w:rPr>
          <w:color w:val="8C8C8C"/>
          <w:sz w:val="12"/>
        </w:rPr>
        <w:t>cf-art-195-par-5</w:t>
      </w:r>
      <w:r>
        <w:rPr>
          <w:color w:val="003CA0"/>
          <w:sz w:val="12"/>
        </w:rPr>
        <w:t xml:space="preserve"> | RE 596.637</w:t>
      </w:r>
      <w:r>
        <w:rPr>
          <w:color w:val="003CA0"/>
          <w:sz w:val="12"/>
        </w:rPr>
        <w:t xml:space="preserve"> | rel. Cármen Lúcia</w:t>
      </w:r>
    </w:p>
    <w:p>
      <w:pPr>
        <w:ind w:left="288"/>
      </w:pPr>
      <w:r>
        <w:rPr>
          <w:color w:val="1E1E1E"/>
          <w:sz w:val="18"/>
        </w:rPr>
        <w:t>= RE 596.637 AgR, rel. min. Cármen Lúcia, j. 8-9-2009, 1ª T, DJE de 2-10-2009 Inexigibilidade (...) da observância do art. 195, § 5º, da CF, quando o benefício é criado diretamente pela Constituição.</w:t>
      </w:r>
    </w:p>
    <w:p>
      <w:pPr>
        <w:ind w:left="288"/>
      </w:pPr>
      <w:r>
        <w:rPr>
          <w:b/>
          <w:color w:val="003CA0"/>
          <w:sz w:val="16"/>
        </w:rPr>
        <w:t>[RE 220.742, rel. min. Néri da Silveira, j. 3-3-2008, 2ª T, DJ de 4-9-1998.]</w:t>
      </w:r>
    </w:p>
    <w:p>
      <w:pPr>
        <w:ind w:left="288"/>
      </w:pPr>
      <w:r>
        <w:rPr>
          <w:color w:val="8C8C8C"/>
          <w:sz w:val="12"/>
        </w:rPr>
        <w:t>cf-art-195-par-5</w:t>
      </w:r>
      <w:r>
        <w:rPr>
          <w:color w:val="003CA0"/>
          <w:sz w:val="12"/>
        </w:rPr>
        <w:t xml:space="preserve"> | AI 792.329</w:t>
      </w:r>
      <w:r>
        <w:rPr>
          <w:color w:val="003CA0"/>
          <w:sz w:val="12"/>
        </w:rPr>
        <w:t xml:space="preserve"> | rel. Cármen Lúcia</w:t>
      </w:r>
    </w:p>
    <w:p>
      <w:pPr>
        <w:ind w:left="288"/>
      </w:pPr>
      <w:r>
        <w:rPr>
          <w:color w:val="1E1E1E"/>
          <w:sz w:val="18"/>
        </w:rPr>
        <w:t>= AI 792.329 AgR, rel. min. Cármen Lúcia, j. 17-8-2010, 1ª T, DJE de 3-9-2010 Vide RE 151.106 AgR, rel. min. Celso de Mello, j. 28-9-1993, 1ª T, DJ de 26-11-1993 A jurisprudência do STF firmou-se, de modo unânime e uniforme, no sentido da autoaplicabilidade das normas inscritas no art. 201, §§ 5º e 6º, da CF. (...) A exigência inscrita no art. 195, § 5º, da Carta Política traduz comando que tem, por destinatário exclusivo, o próprio legislador ordinário, no que se refere à criação, majoração ou extensão de outros benefícios ou serviços da seguridade social.</w:t>
      </w:r>
    </w:p>
    <w:p>
      <w:pPr>
        <w:ind w:left="288"/>
      </w:pPr>
      <w:r>
        <w:rPr>
          <w:b/>
          <w:color w:val="003CA0"/>
          <w:sz w:val="16"/>
        </w:rPr>
        <w:t>[RE 151.106 AgR, rel. min. Celso de Mello, j. 28-9-1993, 1ª T, DJ de 26-11-1993.]</w:t>
      </w:r>
    </w:p>
    <w:p>
      <w:pPr>
        <w:ind w:left="288"/>
      </w:pPr>
      <w:r>
        <w:rPr>
          <w:color w:val="8C8C8C"/>
          <w:sz w:val="12"/>
        </w:rPr>
        <w:t>cf-art-195-par-5</w:t>
      </w:r>
      <w:r>
        <w:rPr>
          <w:color w:val="003CA0"/>
          <w:sz w:val="12"/>
        </w:rPr>
        <w:t xml:space="preserve"> | RE 220.742</w:t>
      </w:r>
      <w:r>
        <w:rPr>
          <w:color w:val="003CA0"/>
          <w:sz w:val="12"/>
        </w:rPr>
        <w:t xml:space="preserve"> | rel. Néri da Silveira</w:t>
      </w:r>
    </w:p>
    <w:p>
      <w:pPr>
        <w:ind w:left="288"/>
      </w:pPr>
      <w:r>
        <w:rPr>
          <w:color w:val="1E1E1E"/>
          <w:sz w:val="18"/>
        </w:rPr>
        <w:t>Vide RE 220.742, rel. min. Néri da Silveira, j. 3-3-2008, 2ª T, DJ de 4-9-1998</w:t>
      </w:r>
    </w:p>
    <w:p>
      <w:pPr>
        <w:ind w:left="144"/>
      </w:pPr>
      <w:r>
        <w:rPr>
          <w:b/>
          <w:color w:val="B45A00"/>
          <w:sz w:val="16"/>
        </w:rPr>
        <w:t>SUMULA VINCULANTE</w:t>
      </w:r>
    </w:p>
    <w:p>
      <w:pPr>
        <w:ind w:left="288"/>
      </w:pPr>
      <w:r>
        <w:rPr>
          <w:color w:val="8C8C8C"/>
          <w:sz w:val="12"/>
        </w:rPr>
        <w:t>cf-art-195-par-6</w:t>
      </w:r>
    </w:p>
    <w:p>
      <w:pPr>
        <w:ind w:left="288"/>
      </w:pPr>
      <w:r>
        <w:rPr>
          <w:color w:val="1E1E1E"/>
          <w:sz w:val="18"/>
        </w:rPr>
        <w:t>Norma legal que altera o prazo de recolhimento de obrigação tributária não se sujeita ao princípio da anterioridade.</w:t>
      </w:r>
    </w:p>
    <w:p>
      <w:pPr>
        <w:ind w:left="288"/>
      </w:pPr>
      <w:r>
        <w:rPr>
          <w:b/>
          <w:color w:val="003CA0"/>
          <w:sz w:val="16"/>
        </w:rPr>
        <w:t>[Súmula Vinculante 50.]</w:t>
      </w:r>
    </w:p>
    <w:p>
      <w:pPr>
        <w:ind w:left="288"/>
      </w:pPr>
      <w:r>
        <w:rPr>
          <w:color w:val="8C8C8C"/>
          <w:sz w:val="12"/>
        </w:rPr>
        <w:t>cf-art-195-par-6</w:t>
      </w:r>
      <w:r>
        <w:rPr>
          <w:color w:val="003CA0"/>
          <w:sz w:val="12"/>
        </w:rPr>
        <w:t xml:space="preserve"> | ADI 3.465</w:t>
      </w:r>
      <w:r>
        <w:rPr>
          <w:color w:val="003CA0"/>
          <w:sz w:val="12"/>
        </w:rPr>
        <w:t xml:space="preserve"> | rel. Luís Roberto Barroso</w:t>
      </w:r>
    </w:p>
    <w:p>
      <w:pPr>
        <w:ind w:left="288"/>
      </w:pPr>
      <w:r>
        <w:rPr>
          <w:color w:val="1E1E1E"/>
          <w:sz w:val="18"/>
        </w:rPr>
        <w:t>MP nº 227/04, convertida na Lei nº 11.116/05. (...) Biodiesel. Registro especial. PIS/COFINS. (...) Ação direta da qual se conhece em parte e, quanto a essa parte, julgada parcialmente procedente para dar interpretação conforme à Constituição: (i) ao art. 5º da Lei nº 11.116/2005, no sentido de determinar que (a) eventual elevação da carga tributária deverá respeitar a anterioridade nonagesimal e que, (b) em havendo o aumento da renúncia de receitas, o Poder Executivo deverá elaborar estudo de impacto orçamentário e financeiro; (ii) ao art. 2º, III e § 2º, do mesmo diploma legal, no sentido de</w:t>
      </w:r>
    </w:p>
    <w:p>
      <w:pPr>
        <w:ind w:left="288"/>
      </w:pPr>
      <w:r>
        <w:rPr>
          <w:b/>
          <w:color w:val="003CA0"/>
          <w:sz w:val="16"/>
        </w:rPr>
        <w:t>[ADI 3.465, rel. min. Luís Roberto Barroso, red. do ac. min. Dias Toffoli, j. 29.09.2025, P, DJE de 14.10.2025.]</w:t>
      </w:r>
    </w:p>
    <w:p>
      <w:pPr>
        <w:ind w:left="288"/>
      </w:pPr>
      <w:r>
        <w:rPr>
          <w:color w:val="8C8C8C"/>
          <w:sz w:val="12"/>
        </w:rPr>
        <w:t>cf-art-195-par-6</w:t>
      </w:r>
      <w:r>
        <w:rPr>
          <w:color w:val="003CA0"/>
          <w:sz w:val="12"/>
        </w:rPr>
        <w:t xml:space="preserve"> | ADC 84</w:t>
      </w:r>
      <w:r>
        <w:rPr>
          <w:color w:val="003CA0"/>
          <w:sz w:val="12"/>
        </w:rPr>
        <w:t xml:space="preserve"> | rel. Cristiano Zanin</w:t>
      </w:r>
    </w:p>
    <w:p>
      <w:pPr>
        <w:ind w:left="288"/>
      </w:pPr>
      <w:r>
        <w:rPr>
          <w:color w:val="1E1E1E"/>
          <w:sz w:val="18"/>
        </w:rPr>
        <w:t>A incidência das alíquotas de 0,65% e 4% da contribuição ao PIS e da COFINS previstas no art. 1º do Decreto n. 8.426/2015, repristinado pelo Decreto n. 11.374/2023, não está sujeita a anterioridade nonagesimal.</w:t>
      </w:r>
    </w:p>
    <w:p>
      <w:pPr>
        <w:ind w:left="288"/>
      </w:pPr>
      <w:r>
        <w:rPr>
          <w:b/>
          <w:color w:val="003CA0"/>
          <w:sz w:val="16"/>
        </w:rPr>
        <w:t>[ADC 84, rel. min. Cristiano Zanin, j. 14.10.2024, P, DJE de 22.10.2024.]</w:t>
      </w:r>
    </w:p>
    <w:p>
      <w:pPr>
        <w:ind w:left="288"/>
      </w:pPr>
      <w:r>
        <w:rPr>
          <w:color w:val="8C8C8C"/>
          <w:sz w:val="12"/>
        </w:rPr>
        <w:t>cf-art-195-par-6</w:t>
      </w:r>
      <w:r>
        <w:rPr>
          <w:color w:val="003CA0"/>
          <w:sz w:val="12"/>
        </w:rPr>
        <w:t xml:space="preserve"> | ADI 7.181</w:t>
      </w:r>
      <w:r>
        <w:rPr>
          <w:color w:val="003CA0"/>
          <w:sz w:val="12"/>
        </w:rPr>
        <w:t xml:space="preserve"> | rel. Dias Toffoli</w:t>
      </w:r>
    </w:p>
    <w:p>
      <w:pPr>
        <w:ind w:left="288"/>
      </w:pPr>
      <w:r>
        <w:rPr>
          <w:color w:val="1E1E1E"/>
          <w:sz w:val="18"/>
        </w:rPr>
        <w:t>PIS/Pasep e COFINS. Medida Provisória nº 1.118/22. Revogação da possibilidade de as pessoas jurídicas adquirentes finais dos produtos a que se refere o caput do art. 9º da LC nº 192/22 manterem os créditos vinculados. Majoração indireta da carga tributária. Necessidade de observância da anterioridade nonagesimal.</w:t>
      </w:r>
    </w:p>
    <w:p>
      <w:pPr>
        <w:ind w:left="288"/>
      </w:pPr>
      <w:r>
        <w:rPr>
          <w:b/>
          <w:color w:val="003CA0"/>
          <w:sz w:val="16"/>
        </w:rPr>
        <w:t>[ADI 7.181 MC REF, rel. min. Dias Toffoli, j. 21-6-2022, P, DJE de 9-8-2022.]</w:t>
      </w:r>
    </w:p>
    <w:p>
      <w:pPr>
        <w:ind w:left="288"/>
      </w:pPr>
      <w:r>
        <w:rPr>
          <w:color w:val="8C8C8C"/>
          <w:sz w:val="12"/>
        </w:rPr>
        <w:t>cf-art-195-par-6</w:t>
      </w:r>
      <w:r>
        <w:rPr>
          <w:color w:val="003CA0"/>
          <w:sz w:val="12"/>
        </w:rPr>
        <w:t xml:space="preserve"> | ADI 5.277</w:t>
      </w:r>
      <w:r>
        <w:rPr>
          <w:color w:val="003CA0"/>
          <w:sz w:val="12"/>
        </w:rPr>
        <w:t xml:space="preserve"> | rel. Dias Toffoli</w:t>
      </w:r>
    </w:p>
    <w:p>
      <w:pPr>
        <w:ind w:left="288"/>
      </w:pPr>
      <w:r>
        <w:rPr>
          <w:color w:val="1E1E1E"/>
          <w:sz w:val="18"/>
        </w:rPr>
        <w:t>A majoração da contribuição ao PIS/Pasep ou da Cofins por meio de decreto autorizado submete-se à anterioridade nonagesimal prevista no art. 195, § 6º, da CF/88, correspondente a seu art. 150, III, c.</w:t>
      </w:r>
    </w:p>
    <w:p>
      <w:pPr>
        <w:ind w:left="288"/>
      </w:pPr>
      <w:r>
        <w:rPr>
          <w:b/>
          <w:color w:val="003CA0"/>
          <w:sz w:val="16"/>
        </w:rPr>
        <w:t>[ADI 5.277, rel. min. Dias Toffoli, j. 10-12-2020, P, DJE de 25-3-2021.]</w:t>
      </w:r>
    </w:p>
    <w:p>
      <w:pPr>
        <w:ind w:left="288"/>
      </w:pPr>
      <w:r>
        <w:rPr>
          <w:color w:val="8C8C8C"/>
          <w:sz w:val="12"/>
        </w:rPr>
        <w:t>cf-art-195-par-6</w:t>
      </w:r>
      <w:r>
        <w:rPr>
          <w:color w:val="003CA0"/>
          <w:sz w:val="12"/>
        </w:rPr>
        <w:t xml:space="preserve"> | ADI 1.135</w:t>
      </w:r>
    </w:p>
    <w:p>
      <w:pPr>
        <w:ind w:left="288"/>
      </w:pPr>
      <w:r>
        <w:rPr>
          <w:color w:val="1E1E1E"/>
          <w:sz w:val="18"/>
        </w:rPr>
        <w:t>Previdência social: contribuição social do servidor público: restabelecimento do sistema de alíquotas progressivas pela MP 560, de 26-7-1994, e suas sucessivas reedições, com vigência retroativa a 1º-7-1994 quando cessara a da Lei  8.688/1993, que inicialmente havia instituído: violação, no ponto, pela MP 560/1994 e suas reedições, da regra de anterioridade mitigada do art. 195, § 6º, da Constituição; consequente inconstitucionalidade da mencionada regra de vigência que, dada a solução de continuidade ocorrida, independe da existência ou não de majoração das alíquotas em relação àquelas fixada</w:t>
      </w:r>
    </w:p>
    <w:p>
      <w:pPr>
        <w:ind w:left="288"/>
      </w:pPr>
      <w:r>
        <w:rPr>
          <w:b/>
          <w:color w:val="003CA0"/>
          <w:sz w:val="16"/>
        </w:rPr>
        <w:t>[ADI 1.135, red. do ac. min. Sepúlveda Pertence, j. 13-8-1997, P, DJ de 5-12-1997.]</w:t>
      </w:r>
    </w:p>
    <w:p>
      <w:pPr>
        <w:ind w:left="288"/>
      </w:pPr>
      <w:r>
        <w:rPr>
          <w:color w:val="8C8C8C"/>
          <w:sz w:val="12"/>
        </w:rPr>
        <w:t>cf-art-195-par-6</w:t>
      </w:r>
      <w:r>
        <w:rPr>
          <w:color w:val="003CA0"/>
          <w:sz w:val="12"/>
        </w:rPr>
        <w:t xml:space="preserve"> | RE 367.001</w:t>
      </w:r>
      <w:r>
        <w:rPr>
          <w:color w:val="003CA0"/>
          <w:sz w:val="12"/>
        </w:rPr>
        <w:t xml:space="preserve"> | rel. Dias Toffoli</w:t>
      </w:r>
    </w:p>
    <w:p>
      <w:pPr>
        <w:ind w:left="288"/>
      </w:pPr>
      <w:r>
        <w:rPr>
          <w:color w:val="1E1E1E"/>
          <w:sz w:val="18"/>
        </w:rPr>
        <w:t>= RE 367.001 AgR, rel. min. Dias Toffoli, j. 30-10-2012, 1ª T, DJE de 5-12-2012 As reduções do percentual de crédito a ser apurado no REINTEGRA, assim como a revogação do benefício, ensejam a majoração indireta das contribuições para o PIS e COFINS e devem observar, quanto à sua vigência, o princípio da anterioridade nonagesimal, previsto no art. 195, § 6º, da Constituição Federal, não se lhes aplicando o princípio da anterioridade geral ou de exercício, previsto no art. 150, III, b.</w:t>
      </w:r>
    </w:p>
    <w:p>
      <w:pPr>
        <w:ind w:left="288"/>
      </w:pPr>
      <w:r>
        <w:rPr>
          <w:b/>
          <w:color w:val="003CA0"/>
          <w:sz w:val="16"/>
        </w:rPr>
        <w:t>[ARE 1.285.177, rel. min. Cristiano Zanin, j. 26.05.2025, P, DJE de 06.06.2025, Tema 1.108, com mérito julgado.]</w:t>
      </w:r>
    </w:p>
    <w:p>
      <w:pPr>
        <w:ind w:left="288"/>
      </w:pPr>
      <w:r>
        <w:rPr>
          <w:color w:val="8C8C8C"/>
          <w:sz w:val="12"/>
        </w:rPr>
        <w:t>cf-art-195-par-6</w:t>
      </w:r>
      <w:r>
        <w:rPr>
          <w:color w:val="003CA0"/>
          <w:sz w:val="12"/>
        </w:rPr>
        <w:t xml:space="preserve"> | ARE 1.527.985</w:t>
      </w:r>
      <w:r>
        <w:rPr>
          <w:color w:val="003CA0"/>
          <w:sz w:val="12"/>
        </w:rPr>
        <w:t xml:space="preserve"> | rel. Luís Roberto Barroso</w:t>
      </w:r>
    </w:p>
    <w:p>
      <w:pPr>
        <w:ind w:left="288"/>
      </w:pPr>
      <w:r>
        <w:rPr>
          <w:color w:val="1E1E1E"/>
          <w:sz w:val="18"/>
        </w:rPr>
        <w:t>“A aplicação das alíquotas integrais do AFRMM, a partir da revogação do Decreto nº 11.321/2022 pelo Decreto nº 11.374/2023, não está submetida à anterioridade tributária (exercício e nonagesimal).”</w:t>
      </w:r>
    </w:p>
    <w:p>
      <w:pPr>
        <w:ind w:left="288"/>
      </w:pPr>
      <w:r>
        <w:rPr>
          <w:b/>
          <w:color w:val="003CA0"/>
          <w:sz w:val="16"/>
        </w:rPr>
        <w:t>[ARE 1.527.985 RG, rel. min. Luís Roberto Barroso, j. 3.2.2025, P, DJE de 12.2.2025, Tema 1.368, com mérito julgado.]</w:t>
      </w:r>
    </w:p>
    <w:p>
      <w:pPr>
        <w:ind w:left="288"/>
      </w:pPr>
      <w:r>
        <w:rPr>
          <w:color w:val="8C8C8C"/>
          <w:sz w:val="12"/>
        </w:rPr>
        <w:t>cf-art-195-par-6</w:t>
      </w:r>
      <w:r>
        <w:rPr>
          <w:color w:val="003CA0"/>
          <w:sz w:val="12"/>
        </w:rPr>
        <w:t xml:space="preserve"> | RE 1.501.643</w:t>
      </w:r>
      <w:r>
        <w:rPr>
          <w:color w:val="003CA0"/>
          <w:sz w:val="12"/>
        </w:rPr>
        <w:t xml:space="preserve"> | rel. Luís Roberto Barroso</w:t>
      </w:r>
    </w:p>
    <w:p>
      <w:pPr>
        <w:ind w:left="288"/>
      </w:pPr>
      <w:r>
        <w:rPr>
          <w:color w:val="1E1E1E"/>
          <w:sz w:val="18"/>
        </w:rPr>
        <w:t>“A aplicação das alíquotas integrais do PIS e da COFINS, a partir da repristinação promovida pelo Decreto nº 11.374/2023, não está submetida à anterioridade nonagesimal”.</w:t>
      </w:r>
    </w:p>
    <w:p>
      <w:pPr>
        <w:ind w:left="288"/>
      </w:pPr>
      <w:r>
        <w:rPr>
          <w:b/>
          <w:color w:val="003CA0"/>
          <w:sz w:val="16"/>
        </w:rPr>
        <w:t>[RE 1.501.643 RG, rel. min. Luís Roberto Barroso, j. 18.10.2024, P, DJE de 22.10.2024, Tema 1.337, com mérito julgado.]</w:t>
      </w:r>
    </w:p>
    <w:p>
      <w:pPr>
        <w:ind w:left="144"/>
      </w:pPr>
      <w:r>
        <w:rPr>
          <w:b/>
          <w:color w:val="B45A00"/>
          <w:sz w:val="16"/>
        </w:rPr>
        <w:t>REPERCUSSAO GERAL</w:t>
      </w:r>
    </w:p>
    <w:p>
      <w:pPr>
        <w:ind w:left="288"/>
      </w:pPr>
      <w:r>
        <w:rPr>
          <w:color w:val="8C8C8C"/>
          <w:sz w:val="12"/>
        </w:rPr>
        <w:t>cf-art-195-par-6</w:t>
      </w:r>
      <w:r>
        <w:rPr>
          <w:color w:val="003CA0"/>
          <w:sz w:val="12"/>
        </w:rPr>
        <w:t xml:space="preserve"> | RE 848.353</w:t>
      </w:r>
      <w:r>
        <w:rPr>
          <w:color w:val="003CA0"/>
          <w:sz w:val="12"/>
        </w:rPr>
        <w:t xml:space="preserve"> | rel. Teori Zavascki</w:t>
      </w:r>
    </w:p>
    <w:p>
      <w:pPr>
        <w:ind w:left="288"/>
      </w:pPr>
      <w:r>
        <w:rPr>
          <w:color w:val="1E1E1E"/>
          <w:sz w:val="18"/>
        </w:rPr>
        <w:t>Contribuição ao PIS. EC 17/1997. Necessidade de observância ao princípio da anterioridade nonagesimal (CF/1988, art. 195, § 6º). (...) A contribuição ao PIS só pode ser exigida, na forma estabelecida pelo art. 2º da EC 17/1997, após decorridos noventa dias da data da publicação da referida emenda constitucional.</w:t>
        <w:br/>
        <w:t>[RE 848.353 RG, rel. min. Teori Zavascki, j. 12-5-2016, P, DJE de 23-5-2016, Tema 894, com mérito julgado.]</w:t>
        <w:br/>
        <w:t>Vide RE 587.008, rel. min. Dias Toffoli, j. 2-2-2011, P, DJE de 6-5-2011, Tema 107, com mérito julgado. Aplicação da anterioridade nonagesimal à majoração de alíquota feita na co</w:t>
      </w:r>
    </w:p>
    <w:p>
      <w:pPr>
        <w:ind w:left="144"/>
      </w:pPr>
      <w:r>
        <w:rPr>
          <w:b/>
          <w:color w:val="B45A00"/>
          <w:sz w:val="16"/>
        </w:rPr>
        <w:t>JULGADOS CORRELATOS</w:t>
      </w:r>
    </w:p>
    <w:p>
      <w:pPr>
        <w:ind w:left="288"/>
      </w:pPr>
      <w:r>
        <w:rPr>
          <w:color w:val="8C8C8C"/>
          <w:sz w:val="12"/>
        </w:rPr>
        <w:t>cf-art-195-par-6</w:t>
      </w:r>
      <w:r>
        <w:rPr>
          <w:color w:val="003CA0"/>
          <w:sz w:val="12"/>
        </w:rPr>
        <w:t xml:space="preserve"> | RE 183.119</w:t>
      </w:r>
      <w:r>
        <w:rPr>
          <w:color w:val="003CA0"/>
          <w:sz w:val="12"/>
        </w:rPr>
        <w:t xml:space="preserve"> | rel. Luiz Fux</w:t>
      </w:r>
    </w:p>
    <w:p>
      <w:pPr>
        <w:ind w:left="288"/>
      </w:pPr>
      <w:r>
        <w:rPr>
          <w:color w:val="1E1E1E"/>
          <w:sz w:val="18"/>
        </w:rPr>
        <w:t>(...) reconhecendo a constitucionalidade da Lei 7.689/1988, que instituiu a CSLL, bem como da majoração de suas alíquotas, efetivada pela Lei 7.856/1989, na linha dos precedentes desta Corte . (...) quanto à aplicação da base de cálculo majorada para o ano-base de 1989, aplicando o entendimento do Plenário no RE 183.119, reputo-a inconstitucional, declarando a incompatibilidade da parte final do caput do art. 1º da Lei 7.988/1989 (“correspondente ao períodobase de 1989”) com a Constituição Federal, sem redução de texto, somente em relação ao inciso II do mesmo dispositivo, com a consequente re</w:t>
      </w:r>
    </w:p>
    <w:p>
      <w:pPr>
        <w:ind w:left="288"/>
      </w:pPr>
      <w:r>
        <w:rPr>
          <w:b/>
          <w:color w:val="003CA0"/>
          <w:sz w:val="16"/>
        </w:rPr>
        <w:t>[RE 211.446-ED-ED, rel. min. Luiz Fux, j. 20-9-2018, P, DJE de 2-8-2019.]</w:t>
      </w:r>
    </w:p>
    <w:p>
      <w:pPr>
        <w:ind w:left="288"/>
      </w:pPr>
      <w:r>
        <w:rPr>
          <w:color w:val="8C8C8C"/>
          <w:sz w:val="12"/>
        </w:rPr>
        <w:t>cf-art-195-par-6</w:t>
      </w:r>
      <w:r>
        <w:rPr>
          <w:color w:val="003CA0"/>
          <w:sz w:val="12"/>
        </w:rPr>
        <w:t xml:space="preserve"> | RE 1.099.076</w:t>
      </w:r>
      <w:r>
        <w:rPr>
          <w:color w:val="003CA0"/>
          <w:sz w:val="12"/>
        </w:rPr>
        <w:t xml:space="preserve"> | rel. Dias Toffoli</w:t>
      </w:r>
    </w:p>
    <w:p>
      <w:pPr>
        <w:ind w:left="288"/>
      </w:pPr>
      <w:r>
        <w:rPr>
          <w:color w:val="1E1E1E"/>
          <w:sz w:val="18"/>
        </w:rPr>
        <w:t>REINTEGRA. (...) A alteração dos coeficientes de redução de alíquota pelo Poder Executivo perpetrada pelo Decreto 8.415/2015 não se submete à regra da anterioridade geral, por força de disposição expressa do art. 195, § 6º, da Constituição, o qual excepciona as contribuições sociais destinadas à Seguridade Social do disposto no art. 150, III, b, da Constituição Federal.</w:t>
      </w:r>
    </w:p>
    <w:p>
      <w:pPr>
        <w:ind w:left="288"/>
      </w:pPr>
      <w:r>
        <w:rPr>
          <w:b/>
          <w:color w:val="003CA0"/>
          <w:sz w:val="16"/>
        </w:rPr>
        <w:t>[RE 1.099.076-AgR-AgR-segundo, rel. min. Dias Toffoli, j. 9-4-2018, 2ª T, DJE de 27-4-2018.]</w:t>
      </w:r>
    </w:p>
    <w:p>
      <w:pPr>
        <w:ind w:left="288"/>
      </w:pPr>
      <w:r>
        <w:rPr>
          <w:color w:val="8C8C8C"/>
          <w:sz w:val="12"/>
        </w:rPr>
        <w:t>cf-art-195-par-6</w:t>
      </w:r>
      <w:r>
        <w:rPr>
          <w:color w:val="003CA0"/>
          <w:sz w:val="12"/>
        </w:rPr>
        <w:t xml:space="preserve"> | RE 218.947</w:t>
      </w:r>
      <w:r>
        <w:rPr>
          <w:color w:val="003CA0"/>
          <w:sz w:val="12"/>
        </w:rPr>
        <w:t xml:space="preserve"> | rel. Dias Toffoli</w:t>
      </w:r>
    </w:p>
    <w:p>
      <w:pPr>
        <w:ind w:left="288"/>
      </w:pPr>
      <w:r>
        <w:rPr>
          <w:color w:val="1E1E1E"/>
          <w:sz w:val="18"/>
        </w:rPr>
        <w:t>O Plenário da Corte reiteradamente tem declarado a inconstitucionalidade de leis, por ofensa ao princípio da irretroatividade, em virtude da inexigibilidade da CSLL dentro do prazo de noventa dias da publicação da norma (art. 195, § 6º, CF) que a institui ou majora sua alíquota. Indevida a majoração imposta pelo art. 11 da Lei 8.114/1990, no exercício de 1991, sobre o lucro apurado no ano-base 1990.</w:t>
      </w:r>
    </w:p>
    <w:p>
      <w:pPr>
        <w:ind w:left="288"/>
      </w:pPr>
      <w:r>
        <w:rPr>
          <w:b/>
          <w:color w:val="003CA0"/>
          <w:sz w:val="16"/>
        </w:rPr>
        <w:t>[RE 218.947 AgR-segundo, rel. min. Dias Toffoli, j. 4-2-2014, 1ª T, DJE de 26-2-2014.]</w:t>
      </w:r>
    </w:p>
    <w:p>
      <w:pPr>
        <w:ind w:left="288"/>
      </w:pPr>
      <w:r>
        <w:rPr>
          <w:color w:val="8C8C8C"/>
          <w:sz w:val="12"/>
        </w:rPr>
        <w:t>cf-art-195-par-6</w:t>
      </w:r>
      <w:r>
        <w:rPr>
          <w:color w:val="003CA0"/>
          <w:sz w:val="12"/>
        </w:rPr>
        <w:t xml:space="preserve"> | RE 509.832</w:t>
      </w:r>
      <w:r>
        <w:rPr>
          <w:color w:val="003CA0"/>
          <w:sz w:val="12"/>
        </w:rPr>
        <w:t xml:space="preserve"> | rel. Cezar Peluso</w:t>
      </w:r>
    </w:p>
    <w:p>
      <w:pPr>
        <w:ind w:left="288"/>
      </w:pPr>
      <w:r>
        <w:rPr>
          <w:color w:val="1E1E1E"/>
          <w:sz w:val="18"/>
        </w:rPr>
        <w:t>Tributo. Contribuição previdenciária do empregador. Majoração. Lei 7.787/1989. Eficácia obstada em razão da regra prevista no art. 195, § 6º, da CF. Exigibilidade do disposto no art. 33, II, a, do Decreto 90.187/1985, entre os meses de julho e setembro de 1989. (...) Enquanto as disposições tributárias da Lei 7.787/1989 vigeram sem eficácia, em razão do disposto no art. 195, § 6º, da CF, não houve revogação da norma inscrita no art. 33, II, a, do Decreto 90.817/1985.</w:t>
      </w:r>
    </w:p>
    <w:p>
      <w:pPr>
        <w:ind w:left="288"/>
      </w:pPr>
      <w:r>
        <w:rPr>
          <w:b/>
          <w:color w:val="003CA0"/>
          <w:sz w:val="16"/>
        </w:rPr>
        <w:t>[RE 509.832 AgR, rel. min. Cezar Peluso, j. 14-8-2012, 2ª T, DJE de 29-8-2012.]</w:t>
      </w:r>
    </w:p>
    <w:p>
      <w:pPr>
        <w:ind w:left="288"/>
      </w:pPr>
      <w:r>
        <w:rPr>
          <w:color w:val="8C8C8C"/>
          <w:sz w:val="12"/>
        </w:rPr>
        <w:t>cf-art-195-par-6</w:t>
      </w:r>
      <w:r>
        <w:rPr>
          <w:color w:val="003CA0"/>
          <w:sz w:val="12"/>
        </w:rPr>
        <w:t xml:space="preserve"> | RE 633.441</w:t>
      </w:r>
      <w:r>
        <w:rPr>
          <w:color w:val="003CA0"/>
          <w:sz w:val="12"/>
        </w:rPr>
        <w:t xml:space="preserve"> | rel. Gilmar Mendes</w:t>
      </w:r>
    </w:p>
    <w:p>
      <w:pPr>
        <w:ind w:left="288"/>
      </w:pPr>
      <w:r>
        <w:rPr>
          <w:color w:val="1E1E1E"/>
          <w:sz w:val="18"/>
        </w:rPr>
        <w:t>(...) esta Suprema Corte já considerou que a cobrança da CPMF sob o regime da EC 42/2003 não violou a regra da anterioridade de noventa dias.</w:t>
        <w:br/>
        <w:t>[RE 633.441 AgR, voto do min. Joaquim Barbosa, j. 18-10-2011, 2ª T, DJE de 14-11-2011.]</w:t>
        <w:br/>
        <w:t>Vide RE 566.032, rel. min. Gilmar Mendes, j. 25-6-2009, P, DJE de 23-10-2009, Tema 51 Não viola os princípios da anterioridade e irretroatividade tributárias o fato de a MP 812 ter sido publicada no sábado, 31-12-1994, desde que observado o princípio da anterioridade nonagesimal.</w:t>
      </w:r>
    </w:p>
    <w:p>
      <w:pPr>
        <w:ind w:left="288"/>
      </w:pPr>
      <w:r>
        <w:rPr>
          <w:b/>
          <w:color w:val="003CA0"/>
          <w:sz w:val="16"/>
        </w:rPr>
        <w:t>[RE 229.412 AgR, rel. min. Cezar Peluso, j. 9-6-2009, 2ª T, DJE de 1º-7-2009.]</w:t>
      </w:r>
    </w:p>
    <w:p>
      <w:pPr>
        <w:ind w:left="288"/>
      </w:pPr>
      <w:r>
        <w:rPr>
          <w:color w:val="8C8C8C"/>
          <w:sz w:val="12"/>
        </w:rPr>
        <w:t>cf-art-195-par-6</w:t>
      </w:r>
      <w:r>
        <w:rPr>
          <w:color w:val="003CA0"/>
          <w:sz w:val="12"/>
        </w:rPr>
        <w:t xml:space="preserve"> | RE 466.106</w:t>
      </w:r>
      <w:r>
        <w:rPr>
          <w:color w:val="003CA0"/>
          <w:sz w:val="12"/>
        </w:rPr>
        <w:t xml:space="preserve"> | rel. Celso de Mello</w:t>
      </w:r>
    </w:p>
    <w:p>
      <w:pPr>
        <w:ind w:left="288"/>
      </w:pPr>
      <w:r>
        <w:rPr>
          <w:color w:val="1E1E1E"/>
          <w:sz w:val="18"/>
        </w:rPr>
        <w:t>Se, quando da impetração do mandado de segurança pela empresa contribuinte, já se achava esgotado o prazo constitucional a que se refere o art. 195, § 6º, da Carta Política, apresenta-se destituída de utilidade e de significação jurídica a invocação do princípio da anterioridade mitigada, por não mais se revelar acolhível, em tal específica hipótese, a pretensão mandamental que objetivava afastar a alteração introduzida na base de cálculo relativa à contribuição pertinente ao PIS.</w:t>
      </w:r>
    </w:p>
    <w:p>
      <w:pPr>
        <w:ind w:left="288"/>
      </w:pPr>
      <w:r>
        <w:rPr>
          <w:b/>
          <w:color w:val="003CA0"/>
          <w:sz w:val="16"/>
        </w:rPr>
        <w:t>[RE 466.106 AgR, rel. min. Celso de Mello, j. 6-12-2005, 2ª T, DJ de 20-4-2006.]</w:t>
      </w:r>
    </w:p>
    <w:p>
      <w:pPr>
        <w:ind w:left="288"/>
      </w:pPr>
      <w:r>
        <w:rPr>
          <w:color w:val="8C8C8C"/>
          <w:sz w:val="12"/>
        </w:rPr>
        <w:t>cf-art-195-par-6</w:t>
      </w:r>
      <w:r>
        <w:rPr>
          <w:color w:val="003CA0"/>
          <w:sz w:val="12"/>
        </w:rPr>
        <w:t xml:space="preserve"> | RE 169.740</w:t>
      </w:r>
      <w:r>
        <w:rPr>
          <w:color w:val="003CA0"/>
          <w:sz w:val="12"/>
        </w:rPr>
        <w:t xml:space="preserve"> | rel. Ellen Gracie</w:t>
      </w:r>
    </w:p>
    <w:p>
      <w:pPr>
        <w:ind w:left="288"/>
      </w:pPr>
      <w:r>
        <w:rPr>
          <w:color w:val="1E1E1E"/>
          <w:sz w:val="18"/>
        </w:rPr>
        <w:t>Contribuição social. Anterioridade nonagesimal. Lei 8.787/1989, art. 8º. (...) Por ocasião do julgamento do RE 169.740, esta Suprema Corte fixou o entendimento de que o prazo da anterioridade nonagesimal (art. 195, § 6º, da Constituição) deve ter como termo a quo a edição da MP 63/1989 somente em relação àqueles dispositivos que foram repetidos no momento de sua conversão na Lei 7.787/1989. Na hipótese de mudança ou introdução de novos dispositivos no momento da conversão, a contagem do termo da noventena deve ter início com a edição desta lei.</w:t>
      </w:r>
    </w:p>
    <w:p>
      <w:pPr>
        <w:ind w:left="288"/>
      </w:pPr>
      <w:r>
        <w:rPr>
          <w:b/>
          <w:color w:val="003CA0"/>
          <w:sz w:val="16"/>
        </w:rPr>
        <w:t>[RE 199.198, rel. min. Ellen Gracie, j. 28-5-2002, 1ª T, DJ de 28-6-2002.]</w:t>
      </w:r>
    </w:p>
    <w:p>
      <w:pPr>
        <w:ind w:left="288"/>
      </w:pPr>
      <w:r>
        <w:rPr>
          <w:color w:val="8C8C8C"/>
          <w:sz w:val="12"/>
        </w:rPr>
        <w:t>cf-art-195-par-6</w:t>
      </w:r>
      <w:r>
        <w:rPr>
          <w:color w:val="003CA0"/>
          <w:sz w:val="12"/>
        </w:rPr>
        <w:t xml:space="preserve"> | RE 598.268</w:t>
      </w:r>
      <w:r>
        <w:rPr>
          <w:color w:val="003CA0"/>
          <w:sz w:val="12"/>
        </w:rPr>
        <w:t xml:space="preserve"> | rel. Eros Grau</w:t>
      </w:r>
    </w:p>
    <w:p>
      <w:pPr>
        <w:ind w:left="288"/>
      </w:pPr>
      <w:r>
        <w:rPr>
          <w:color w:val="1E1E1E"/>
          <w:sz w:val="18"/>
        </w:rPr>
        <w:t>= RE 598.268 AgR, rel. min. Eros Grau, j. 23-6-2009, 2ª T, DJE de 7-8-2009 Vide RE 232.896, rel. min. Carlos Velloso, j. 2-8-1999, P, DJ de 1º-10-1999 Contribuição social PIS/Pasep. Princípio da anterioridade nonagesimal: medida provisória: reedição. Princípio da anterioridade nonagesimal: contagem do prazo de noventa dias, medida provisória convertida em lei: conta-se o prazo de noventa dias a partir da veiculação da primeira medida provisória.</w:t>
      </w:r>
    </w:p>
    <w:p>
      <w:pPr>
        <w:ind w:left="288"/>
      </w:pPr>
      <w:r>
        <w:rPr>
          <w:b/>
          <w:color w:val="003CA0"/>
          <w:sz w:val="16"/>
        </w:rPr>
        <w:t>[RE 232.896, rel. min. Carlos Velloso, j. 2-8-1999, P, DJ de 1º-10-1999.]</w:t>
      </w:r>
    </w:p>
    <w:p>
      <w:pPr>
        <w:ind w:left="288"/>
      </w:pPr>
      <w:r>
        <w:rPr>
          <w:color w:val="8C8C8C"/>
          <w:sz w:val="12"/>
        </w:rPr>
        <w:t>cf-art-195-par-6</w:t>
      </w:r>
      <w:r>
        <w:rPr>
          <w:color w:val="003CA0"/>
          <w:sz w:val="12"/>
        </w:rPr>
        <w:t xml:space="preserve"> | RE 592.315</w:t>
      </w:r>
      <w:r>
        <w:rPr>
          <w:color w:val="003CA0"/>
          <w:sz w:val="12"/>
        </w:rPr>
        <w:t xml:space="preserve"> | rel. Dias Toffoli</w:t>
      </w:r>
    </w:p>
    <w:p>
      <w:pPr>
        <w:ind w:left="288"/>
      </w:pPr>
      <w:r>
        <w:rPr>
          <w:color w:val="1E1E1E"/>
          <w:sz w:val="18"/>
        </w:rPr>
        <w:t xml:space="preserve">= RE 592.315 AgR, rel. min. Dias Toffoli, j. 8-2-2011, 1ª T, DJE de 7-4-2011 Vide RE 199.198, rel. min. Ellen Gracie, j. 28-5-2002, 1ª T, DJ de 28-6-2002 Contribuição social. Atualização pela Ufir. Lei 8.383/1991. Inexistência de afronta aos princípios da irretroatividade e da anterioridade. Não há inconstitucionalidade na utilização da Ufir, prevista na Lei 8.383/1991, para atualização monetária da contribuição social sobre o lucro, por não representar majoração de tributo ou modificação da base de cálculo e do fato gerador. A alteração operada foi somente quanto ao índice de conversão, pois </w:t>
      </w:r>
    </w:p>
    <w:p>
      <w:pPr>
        <w:ind w:left="288"/>
      </w:pPr>
      <w:r>
        <w:rPr>
          <w:b/>
          <w:color w:val="003CA0"/>
          <w:sz w:val="16"/>
        </w:rPr>
        <w:t>[RE 201.618, rel. min. Ilmar Galvão, j. 20-5-1997, 1ª T, DJ de 1º-8-1997.]</w:t>
      </w:r>
    </w:p>
    <w:p>
      <w:pPr>
        <w:ind w:left="288"/>
      </w:pPr>
      <w:r>
        <w:rPr>
          <w:color w:val="8C8C8C"/>
          <w:sz w:val="12"/>
        </w:rPr>
        <w:t>cf-art-195-par-6</w:t>
      </w:r>
      <w:r>
        <w:rPr>
          <w:color w:val="003CA0"/>
          <w:sz w:val="12"/>
        </w:rPr>
        <w:t xml:space="preserve"> | RE 150.755</w:t>
      </w:r>
    </w:p>
    <w:p>
      <w:pPr>
        <w:ind w:left="288"/>
      </w:pPr>
      <w:r>
        <w:rPr>
          <w:color w:val="1E1E1E"/>
          <w:sz w:val="18"/>
        </w:rPr>
        <w:t>Contribuição para o Finsocial exigível das empresas prestadoras de serviço, segundo o art. 28 [da] Lei 7.738/1989: constitucionalidade, porque compreensível no art. 195, I, CF, mediante interpretação conforme a Constituição. O tributo instituído pelo art. 28 da Lei 7.738/1989, como resulta de sua explícita subordinação ao regime de anterioridade mitigada do art. 195, § 6º, CF, que delas é exclusivo, é modalidade das contribuições para o financiamento da seguridade social, e não imposto novo da competência residual da União.</w:t>
      </w:r>
    </w:p>
    <w:p>
      <w:pPr>
        <w:ind w:left="288"/>
      </w:pPr>
      <w:r>
        <w:rPr>
          <w:b/>
          <w:color w:val="003CA0"/>
          <w:sz w:val="16"/>
        </w:rPr>
        <w:t>[RE 150.755, red. do ac. min. Sepúlveda Pertence, j. 18-11-1992, P, DJ de 20-8-1993.]</w:t>
      </w:r>
    </w:p>
    <w:p>
      <w:pPr>
        <w:ind w:left="288"/>
      </w:pPr>
      <w:r>
        <w:rPr>
          <w:color w:val="8C8C8C"/>
          <w:sz w:val="12"/>
        </w:rPr>
        <w:t>cf-art-195-par-6</w:t>
      </w:r>
      <w:r>
        <w:rPr>
          <w:color w:val="003CA0"/>
          <w:sz w:val="12"/>
        </w:rPr>
        <w:t xml:space="preserve"> | RE 177.308</w:t>
      </w:r>
      <w:r>
        <w:rPr>
          <w:color w:val="003CA0"/>
          <w:sz w:val="12"/>
        </w:rPr>
        <w:t xml:space="preserve"> | rel. Ricardo Lewandowski</w:t>
      </w:r>
    </w:p>
    <w:p>
      <w:pPr>
        <w:ind w:left="288"/>
      </w:pPr>
      <w:r>
        <w:rPr>
          <w:color w:val="1E1E1E"/>
          <w:sz w:val="18"/>
        </w:rPr>
        <w:t>= RE 177.308 ED, rel. min. Ricardo Lewandowski, j. 10-4-2012, 2ª T, DJE de 2-5-2012</w:t>
      </w:r>
    </w:p>
    <w:p>
      <w:pPr>
        <w:ind w:left="288"/>
      </w:pPr>
      <w:r>
        <w:rPr>
          <w:color w:val="8C8C8C"/>
          <w:sz w:val="12"/>
        </w:rPr>
        <w:t>cf-art-195-par-7</w:t>
      </w:r>
      <w:r>
        <w:rPr>
          <w:color w:val="003CA0"/>
          <w:sz w:val="12"/>
        </w:rPr>
        <w:t xml:space="preserve"> | ADI 5.319</w:t>
      </w:r>
      <w:r>
        <w:rPr>
          <w:color w:val="003CA0"/>
          <w:sz w:val="12"/>
        </w:rPr>
        <w:t xml:space="preserve"> | rel. Nunes Marques</w:t>
      </w:r>
    </w:p>
    <w:p>
      <w:pPr>
        <w:ind w:left="288"/>
      </w:pPr>
      <w:r>
        <w:rPr>
          <w:color w:val="1E1E1E"/>
          <w:sz w:val="18"/>
        </w:rPr>
        <w:t>A imunidade tributária outorgada pelo art. 195, § 7º, da Constituição Federal às entidades beneficentes de assistência social é condicionada ao atendimento das exigências estabelecidas em lei. A relação jurídica entre Administração Pública e entidade beneficente é de trato sucessivo, considerada a evolução constante da sociedade, impondo, assim, fiscalização durante toda a vigência do Cebas. A jurisprudência do STF consolidou-se pela inexistência de direito adquirido a regime jurídico relativo a imunidade tributária, de modo que a concessão do Cebas não dispensa a instituição do atendimento de</w:t>
      </w:r>
    </w:p>
    <w:p>
      <w:pPr>
        <w:ind w:left="288"/>
      </w:pPr>
      <w:r>
        <w:rPr>
          <w:b/>
          <w:color w:val="003CA0"/>
          <w:sz w:val="16"/>
        </w:rPr>
        <w:t>[ADI 5.319, rel. min. Nunes Marques, j. 27-10-2025, P, DJE de 11-2-2026.]</w:t>
      </w:r>
    </w:p>
    <w:p>
      <w:pPr>
        <w:ind w:left="144"/>
      </w:pPr>
      <w:r>
        <w:rPr>
          <w:b/>
          <w:color w:val="B45A00"/>
          <w:sz w:val="16"/>
        </w:rPr>
        <w:t>CONTROLE CONCENTRADO</w:t>
      </w:r>
    </w:p>
    <w:p>
      <w:pPr>
        <w:ind w:left="288"/>
      </w:pPr>
      <w:r>
        <w:rPr>
          <w:color w:val="8C8C8C"/>
          <w:sz w:val="12"/>
        </w:rPr>
        <w:t>cf-art-195-par-7</w:t>
      </w:r>
      <w:r>
        <w:rPr>
          <w:color w:val="003CA0"/>
          <w:sz w:val="12"/>
        </w:rPr>
        <w:t xml:space="preserve"> | ADI 2.028</w:t>
      </w:r>
      <w:r>
        <w:rPr>
          <w:color w:val="003CA0"/>
          <w:sz w:val="12"/>
        </w:rPr>
        <w:t xml:space="preserve"> | rel. Cármen Lúcia</w:t>
      </w:r>
    </w:p>
    <w:p>
      <w:pPr>
        <w:ind w:left="288"/>
      </w:pPr>
      <w:r>
        <w:rPr>
          <w:color w:val="1E1E1E"/>
          <w:sz w:val="18"/>
        </w:rPr>
        <w:t>Nos exatos termos do voto proferido pelo eminente e saudoso min. Teori Zavascki, ao inaugurar a divergência: 1. "(...) fica evidenciado que (a) entidade beneficente de assistência social (art. 195, § 7º) não é conceito equiparável a entidade de assistência social sem fins lucrativos (art. 150, VI); (b) a CF não reúne elementos discursivos para dar concretização segura ao que se possa entender por modo beneficente de prestar assistência social; (c) a definição desta condição modal é indispensável para garantir que a imunidade do art. 195, § 7º, da CF cumpra a finalidade que lhe é designada pelo</w:t>
      </w:r>
    </w:p>
    <w:p>
      <w:pPr>
        <w:ind w:left="288"/>
      </w:pPr>
      <w:r>
        <w:rPr>
          <w:b/>
          <w:color w:val="003CA0"/>
          <w:sz w:val="16"/>
        </w:rPr>
        <w:t>[ADI 2.545 MC, rel. min. Cármen Lúcia, j. 1º-2-2002, P, DJ de 7-2-2003.]</w:t>
      </w:r>
    </w:p>
    <w:p>
      <w:pPr>
        <w:ind w:left="288"/>
      </w:pPr>
      <w:r>
        <w:rPr>
          <w:color w:val="8C8C8C"/>
          <w:sz w:val="12"/>
        </w:rPr>
        <w:t>cf-art-195-par-7</w:t>
      </w:r>
      <w:r>
        <w:rPr>
          <w:color w:val="003CA0"/>
          <w:sz w:val="12"/>
        </w:rPr>
        <w:t xml:space="preserve"> | ARE 833.669</w:t>
      </w:r>
      <w:r>
        <w:rPr>
          <w:color w:val="003CA0"/>
          <w:sz w:val="12"/>
        </w:rPr>
        <w:t xml:space="preserve"> | rel. Teori Zavascki</w:t>
      </w:r>
    </w:p>
    <w:p>
      <w:pPr>
        <w:ind w:left="288"/>
      </w:pPr>
      <w:r>
        <w:rPr>
          <w:color w:val="1E1E1E"/>
          <w:sz w:val="18"/>
        </w:rPr>
        <w:t>= ARE 833.669 AgR, rel. min. Teori Zavascki, j. 7-10-2014, 2ª T, DJE de 21-10-2014</w:t>
      </w:r>
    </w:p>
    <w:p>
      <w:pPr>
        <w:ind w:left="144"/>
      </w:pPr>
      <w:r>
        <w:rPr>
          <w:b/>
          <w:color w:val="B45A00"/>
          <w:sz w:val="16"/>
        </w:rPr>
        <w:t>REPERCUSSAO GERAL</w:t>
      </w:r>
    </w:p>
    <w:p>
      <w:pPr>
        <w:ind w:left="288"/>
      </w:pPr>
      <w:r>
        <w:rPr>
          <w:color w:val="8C8C8C"/>
          <w:sz w:val="12"/>
        </w:rPr>
        <w:t>cf-art-195-par-7</w:t>
      </w:r>
      <w:r>
        <w:rPr>
          <w:color w:val="003CA0"/>
          <w:sz w:val="12"/>
        </w:rPr>
        <w:t xml:space="preserve"> | RE 566.622</w:t>
      </w:r>
      <w:r>
        <w:rPr>
          <w:color w:val="003CA0"/>
          <w:sz w:val="12"/>
        </w:rPr>
        <w:t xml:space="preserve"> | rel. Marco Aurélio</w:t>
      </w:r>
    </w:p>
    <w:p>
      <w:pPr>
        <w:ind w:left="288"/>
      </w:pPr>
      <w:r>
        <w:rPr>
          <w:color w:val="1E1E1E"/>
          <w:sz w:val="18"/>
        </w:rPr>
        <w:t>Aspectos procedimentais referentes à certificação, fiscalização e controle administrativo são passíveis de definição em lei ordinária, somente exigível a lei complementar para a definição do modo beneficente de atuação das entidades de assistência social contempladas no art. 195, § 7º, da Lei Maior, especialmente no que se refere à instituição de contrapartidas a serem por elas observadas. É constitucional o art. 55, II, da Lei nº 8.212/1991, na redação original e nas redações que lhe foram dadas pelo art. 5º da Lei 9.429/1996 e pelo art. 3º da Medida Provisória nº 2.187-13/2001.</w:t>
      </w:r>
    </w:p>
    <w:p>
      <w:pPr>
        <w:ind w:left="288"/>
      </w:pPr>
      <w:r>
        <w:rPr>
          <w:b/>
          <w:color w:val="003CA0"/>
          <w:sz w:val="16"/>
        </w:rPr>
        <w:t>[RE 566.622 ED, red. do ac. min. Rosa Weber, j. 18-12-2019, P, DJE de 13-5-2020, Tema 32, com mérito julgado.]</w:t>
        <w:br/>
        <w:t>Vide RE 566.622, rel. min. Marco Aurélio, j. 23-2-2017, P, DJE de 1º-3-2017, Tema 32, com mérito julgado.</w:t>
      </w:r>
    </w:p>
    <w:p>
      <w:pPr>
        <w:ind w:left="288"/>
      </w:pPr>
      <w:r>
        <w:rPr>
          <w:color w:val="8C8C8C"/>
          <w:sz w:val="12"/>
        </w:rPr>
        <w:t>cf-art-195-par-7</w:t>
      </w:r>
      <w:r>
        <w:rPr>
          <w:color w:val="003CA0"/>
          <w:sz w:val="12"/>
        </w:rPr>
        <w:t xml:space="preserve"> | RE 566.622</w:t>
      </w:r>
      <w:r>
        <w:rPr>
          <w:color w:val="003CA0"/>
          <w:sz w:val="12"/>
        </w:rPr>
        <w:t xml:space="preserve"> | rel. Marco Aurélio</w:t>
      </w:r>
    </w:p>
    <w:p>
      <w:pPr>
        <w:ind w:left="288"/>
      </w:pPr>
      <w:r>
        <w:rPr>
          <w:color w:val="1E1E1E"/>
          <w:sz w:val="18"/>
        </w:rPr>
        <w:t>(...) o art. 55 da Lei 8.212, de 1991, prevê requisitos para o exercício da imunidade tributária, versada no § 7º do art. 195 da Carta da República, que revelam verdadeiras condições prévias ao aludido direito e, por isso, deve ser reconhecida a inconstitucionalidade formal desse dispositivo no que extrapola o definido no art. 14 do CTN, por violação ao art. 146, II, da CF. Os requisitos legais exigidos na parte final do mencionado § 7º, enquanto não editada nova lei complementar sobre a matéria, são somente aqueles do aludido art. 14 do Código.</w:t>
      </w:r>
    </w:p>
    <w:p>
      <w:pPr>
        <w:ind w:left="288"/>
      </w:pPr>
      <w:r>
        <w:rPr>
          <w:b/>
          <w:color w:val="003CA0"/>
          <w:sz w:val="16"/>
        </w:rPr>
        <w:t>[RE 566.622, voto do rel. min. Marco Aurélio, j. 23-2-2017, P, DJE de 1º-3-2017, Tema 32, com mérito julgado.]</w:t>
      </w:r>
    </w:p>
    <w:p>
      <w:pPr>
        <w:ind w:left="288"/>
      </w:pPr>
      <w:r>
        <w:rPr>
          <w:color w:val="8C8C8C"/>
          <w:sz w:val="12"/>
        </w:rPr>
        <w:t>cf-art-195-par-7</w:t>
      </w:r>
      <w:r>
        <w:rPr>
          <w:color w:val="003CA0"/>
          <w:sz w:val="12"/>
        </w:rPr>
        <w:t xml:space="preserve"> | RE 636.941</w:t>
      </w:r>
      <w:r>
        <w:rPr>
          <w:color w:val="003CA0"/>
          <w:sz w:val="12"/>
        </w:rPr>
        <w:t xml:space="preserve"> | rel. Luiz Fux</w:t>
      </w:r>
    </w:p>
    <w:p>
      <w:pPr>
        <w:ind w:left="288"/>
      </w:pPr>
      <w:r>
        <w:rPr>
          <w:color w:val="1E1E1E"/>
          <w:sz w:val="18"/>
        </w:rPr>
        <w:t>Vide RE 636.941, rel. min. Luiz Fux, j. 13-2-2014, P, DJE de 4-4-2014, Tema 432, com mérito julgado. Inaplicabilidade do art. 2º, II,  da Lei 9.715/1998 e do art. 13, IV, da MP 2.158-35/2001 às entidades que preenchem os requisitos do art. 55 da Lei 8.212/1991, e legislação superveniente, a qual não decorre do vício de inconstitucionalidade desses dispositivos legais, mas da imunidade em relação à contribuição ao PIS como técnica de interpretação conforme à Constituição.</w:t>
        <w:br/>
        <w:t>[RE 636.941, rel. min. Luiz Fux, j. 13-2-2014, P, DJE de 14-4-2014, Tema 432, com mérito julgado.]</w:t>
        <w:br/>
        <w:t>Vide RE 566.622, rel. min</w:t>
      </w:r>
    </w:p>
    <w:p>
      <w:pPr>
        <w:ind w:left="288"/>
      </w:pPr>
      <w:r>
        <w:rPr>
          <w:b/>
          <w:color w:val="003CA0"/>
          <w:sz w:val="16"/>
        </w:rPr>
        <w:t>[RE 1.366.444 AgR-terceiro, rel. min. André Mendonça, j. 28.10.2024, 2ª T, DJE de 11.11.2024.]</w:t>
      </w:r>
    </w:p>
    <w:p>
      <w:pPr>
        <w:ind w:left="144"/>
      </w:pPr>
      <w:r>
        <w:rPr>
          <w:b/>
          <w:color w:val="B45A00"/>
          <w:sz w:val="16"/>
        </w:rPr>
        <w:t>JULGADOS CORRELATOS</w:t>
      </w:r>
    </w:p>
    <w:p>
      <w:pPr>
        <w:ind w:left="288"/>
      </w:pPr>
      <w:r>
        <w:rPr>
          <w:color w:val="8C8C8C"/>
          <w:sz w:val="12"/>
        </w:rPr>
        <w:t>cf-art-195-par-7</w:t>
      </w:r>
      <w:r>
        <w:rPr>
          <w:color w:val="003CA0"/>
          <w:sz w:val="12"/>
        </w:rPr>
        <w:t xml:space="preserve"> | RE 1.243.414</w:t>
      </w:r>
      <w:r>
        <w:rPr>
          <w:color w:val="003CA0"/>
          <w:sz w:val="12"/>
        </w:rPr>
        <w:t xml:space="preserve"> | rel. Roberto Barroso</w:t>
      </w:r>
    </w:p>
    <w:p>
      <w:pPr>
        <w:ind w:left="288"/>
      </w:pPr>
      <w:r>
        <w:rPr>
          <w:color w:val="1E1E1E"/>
          <w:sz w:val="18"/>
        </w:rPr>
        <w:t>A imunidade tributária prevista no art. 195, § 7º, da CF/1988 busca alcançar somente as entidades não estatais que exerçam atividades de interesse coletivo em colaboração com o Estado. Pretende-se incentivar a iniciativa privada a desenvolver atividades de interesse público, em áreas cuja atuação estatal é deficiente. Apenas as entidades beneficentes de assistência social, que atendam aos requisitos legais, farão jus à imunidade.</w:t>
        <w:br/>
        <w:t xml:space="preserve">[RE 1.243.414 AgR-EDv, rel. min. Roberto Barroso, j. 4-9-2023, P, DJE de 12-9-2023.] A concessão do Certificado de Entidade Beneficente de Assistência Social – CEBAS </w:t>
      </w:r>
    </w:p>
    <w:p>
      <w:pPr>
        <w:ind w:left="288"/>
      </w:pPr>
      <w:r>
        <w:rPr>
          <w:b/>
          <w:color w:val="003CA0"/>
          <w:sz w:val="16"/>
        </w:rPr>
        <w:t>[ARE 741.918 AgR, rel. min. Marco Aurélio, j. 18-3-2014, 1ª T, DJE de 2-4-2014.]</w:t>
      </w:r>
    </w:p>
    <w:p>
      <w:pPr>
        <w:ind w:left="288"/>
      </w:pPr>
      <w:r>
        <w:rPr>
          <w:color w:val="8C8C8C"/>
          <w:sz w:val="12"/>
        </w:rPr>
        <w:t>cf-art-195-par-7</w:t>
      </w:r>
      <w:r>
        <w:rPr>
          <w:color w:val="003CA0"/>
          <w:sz w:val="12"/>
        </w:rPr>
        <w:t xml:space="preserve"> | RMS 27.093</w:t>
      </w:r>
      <w:r>
        <w:rPr>
          <w:color w:val="003CA0"/>
          <w:sz w:val="12"/>
        </w:rPr>
        <w:t xml:space="preserve"> | rel. Eros Grau</w:t>
      </w:r>
    </w:p>
    <w:p>
      <w:pPr>
        <w:ind w:left="288"/>
      </w:pPr>
      <w:r>
        <w:rPr>
          <w:color w:val="1E1E1E"/>
          <w:sz w:val="18"/>
        </w:rPr>
        <w:t>A imunidade das entidades beneficentes de assistência social às contribuições sociais obedece a regime jurídico definido na Constituição. O inciso II do art. 55 da Lei 8.212/1991 estabelece como uma das condições da isenção tributária das entidades filantrópicas a exigência de que possuam o Certificado de Entidade Beneficente de Assistência Social (CEBAS), renovável a cada três anos. A jurisprudência desta Corte é firme no sentido de afirmar a inexistência de direito adquirido a regime jurídico, motivo pelo qual não há razão para falar-se em direito à imunidade por prazo indeterminado. A exigê</w:t>
      </w:r>
    </w:p>
    <w:p>
      <w:pPr>
        <w:ind w:left="288"/>
      </w:pPr>
      <w:r>
        <w:rPr>
          <w:b/>
          <w:color w:val="003CA0"/>
          <w:sz w:val="16"/>
        </w:rPr>
        <w:t>[RMS 27.093, rel. min. Eros Grau, j. 2-9-2008, 2ª T, DJE de 14-11-2008.]</w:t>
      </w:r>
    </w:p>
    <w:p>
      <w:pPr>
        <w:ind w:left="288"/>
      </w:pPr>
      <w:r>
        <w:rPr>
          <w:color w:val="8C8C8C"/>
          <w:sz w:val="12"/>
        </w:rPr>
        <w:t>cf-art-195-par-7</w:t>
      </w:r>
      <w:r>
        <w:rPr>
          <w:color w:val="003CA0"/>
          <w:sz w:val="12"/>
        </w:rPr>
        <w:t xml:space="preserve"> | RMS 27.300</w:t>
      </w:r>
      <w:r>
        <w:rPr>
          <w:color w:val="003CA0"/>
          <w:sz w:val="12"/>
        </w:rPr>
        <w:t xml:space="preserve"> | rel. Cármen Lúcia</w:t>
      </w:r>
    </w:p>
    <w:p>
      <w:pPr>
        <w:ind w:left="288"/>
      </w:pPr>
      <w:r>
        <w:rPr>
          <w:color w:val="1E1E1E"/>
          <w:sz w:val="18"/>
        </w:rPr>
        <w:t>= RMS 27.300, rel. min. Cármen Lúcia, j. 25-10-2011, 1ª T, DJE de 23-11-2011 Contribuição previdenciária. Quota patronal. Entidade de fins assistenciais, filantrópicos e educacionais. Imunidade (CF, art. 195, § 7º). A cláusula inscrita no art. 195, § 7º, da Carta Política – não obstante referir-se impropriamente à isenção de contribuição para a seguridade social – contemplou as entidades beneficentes de assistência social com o favor constitucional da imunidade tributária, desde que por elas preenchidos os requisitos fixados em lei. A jurisprudência constitucional do STF já identificou, na clá</w:t>
      </w:r>
    </w:p>
    <w:p>
      <w:pPr>
        <w:ind w:left="288"/>
      </w:pPr>
      <w:r>
        <w:rPr>
          <w:b/>
          <w:color w:val="003CA0"/>
          <w:sz w:val="16"/>
        </w:rPr>
        <w:t>[RMS 22.192, rel. min. Celso de Mello, j. 28-11-1995, 1ª T, DJ de 19-12-1996.]</w:t>
      </w:r>
    </w:p>
    <w:p>
      <w:pPr>
        <w:ind w:left="288"/>
      </w:pPr>
      <w:r>
        <w:rPr>
          <w:color w:val="8C8C8C"/>
          <w:sz w:val="12"/>
        </w:rPr>
        <w:t>cf-art-195-par-7</w:t>
      </w:r>
    </w:p>
    <w:p>
      <w:pPr>
        <w:ind w:left="288"/>
      </w:pPr>
      <w:r>
        <w:rPr>
          <w:color w:val="1E1E1E"/>
          <w:sz w:val="18"/>
        </w:rPr>
        <w:t>§ 8º O produtor, o parceiro, o meeiro e o arrendatário rurais e o pescador artesanal, bem como os respectivos cônjuges, que exerçam suas atividades em regime de economia familiar, sem empregados permanentes, contribuirão para a seguridade social mediante a aplicação de uma alíquota sobre o resultado da comercialização da produção e farão jus aos benefícios nos termos da lei. (Redação da EC 20/1998)</w:t>
      </w:r>
    </w:p>
    <w:p>
      <w:pPr>
        <w:ind w:left="144"/>
      </w:pPr>
      <w:r>
        <w:rPr>
          <w:b/>
          <w:color w:val="B45A00"/>
          <w:sz w:val="16"/>
        </w:rPr>
        <w:t>REPERCUSSAO GERAL</w:t>
      </w:r>
    </w:p>
    <w:p>
      <w:pPr>
        <w:ind w:left="288"/>
      </w:pPr>
      <w:r>
        <w:rPr>
          <w:color w:val="8C8C8C"/>
          <w:sz w:val="12"/>
        </w:rPr>
        <w:t>cf-art-195-par-7</w:t>
      </w:r>
      <w:r>
        <w:rPr>
          <w:color w:val="003CA0"/>
          <w:sz w:val="12"/>
        </w:rPr>
        <w:t xml:space="preserve"> | RE 761.263</w:t>
      </w:r>
      <w:r>
        <w:rPr>
          <w:color w:val="003CA0"/>
          <w:sz w:val="12"/>
        </w:rPr>
        <w:t xml:space="preserve"> | rel. Alexandre de Moraes</w:t>
      </w:r>
    </w:p>
    <w:p>
      <w:pPr>
        <w:ind w:left="288"/>
      </w:pPr>
      <w:r>
        <w:rPr>
          <w:color w:val="1E1E1E"/>
          <w:sz w:val="18"/>
        </w:rPr>
        <w:t>É constitucional, formal e materialmente, a contribuição social do segurado especial prevista no art. 25 da Lei 8.212/1991.</w:t>
      </w:r>
    </w:p>
    <w:p>
      <w:pPr>
        <w:ind w:left="288"/>
      </w:pPr>
      <w:r>
        <w:rPr>
          <w:b/>
          <w:color w:val="003CA0"/>
          <w:sz w:val="16"/>
        </w:rPr>
        <w:t>[RE 761.263, rel. min. Alexandre de Moraes, j. 15-4-2020, P, DJE de 26-6-2020, Tema 723, com mérito julgado.]</w:t>
      </w:r>
    </w:p>
    <w:p>
      <w:pPr>
        <w:ind w:left="288"/>
      </w:pPr>
      <w:r>
        <w:rPr>
          <w:color w:val="8C8C8C"/>
          <w:sz w:val="12"/>
        </w:rPr>
        <w:t>cf-art-195-par-7</w:t>
      </w:r>
      <w:r>
        <w:rPr>
          <w:color w:val="003CA0"/>
          <w:sz w:val="12"/>
        </w:rPr>
        <w:t xml:space="preserve"> | RE 718.874</w:t>
      </w:r>
      <w:r>
        <w:rPr>
          <w:color w:val="003CA0"/>
          <w:sz w:val="12"/>
        </w:rPr>
        <w:t xml:space="preserve"> | rel. Edson Fachin</w:t>
      </w:r>
    </w:p>
    <w:p>
      <w:pPr>
        <w:ind w:left="288"/>
      </w:pPr>
      <w:r>
        <w:rPr>
          <w:color w:val="1E1E1E"/>
          <w:sz w:val="18"/>
        </w:rPr>
        <w:t>É constitucional formal e materialmente a contribuição social do empregador rural pessoa física, instituída pela Lei 10.256/2001, incidente sobre a receita bruta obtida com a comercialização de sua produção.</w:t>
      </w:r>
    </w:p>
    <w:p>
      <w:pPr>
        <w:ind w:left="288"/>
      </w:pPr>
      <w:r>
        <w:rPr>
          <w:b/>
          <w:color w:val="003CA0"/>
          <w:sz w:val="16"/>
        </w:rPr>
        <w:t>[RE 718.874, rel. min. Edson Fachin, j. 30-3-2017, P, DJE de 3-10-2017, Tema 669, com mérito julgado.]</w:t>
      </w:r>
    </w:p>
    <w:p>
      <w:pPr>
        <w:ind w:left="288"/>
      </w:pPr>
      <w:r>
        <w:rPr>
          <w:color w:val="8C8C8C"/>
          <w:sz w:val="12"/>
        </w:rPr>
        <w:t>cf-art-195-par-7</w:t>
      </w:r>
      <w:r>
        <w:rPr>
          <w:color w:val="003CA0"/>
          <w:sz w:val="12"/>
        </w:rPr>
        <w:t xml:space="preserve"> | RE 596.177</w:t>
      </w:r>
      <w:r>
        <w:rPr>
          <w:color w:val="003CA0"/>
          <w:sz w:val="12"/>
        </w:rPr>
        <w:t xml:space="preserve"> | rel. Ricardo Lewandowski</w:t>
      </w:r>
    </w:p>
    <w:p>
      <w:pPr>
        <w:ind w:left="288"/>
      </w:pPr>
      <w:r>
        <w:rPr>
          <w:color w:val="1E1E1E"/>
          <w:sz w:val="18"/>
        </w:rPr>
        <w:t>Vide RE 596.177, rel. min. Ricardo Lewandowski, j. 1º-8-2011, P, DJE de 29-8-2011, Tema 202, com mérito julgado Contribuição social previdenciária. Empregador rural pessoa física. Incidência sobre a comercialização da produção. Art. 25 da Lei 8.212/1991, na redação dada pelo art. 1º da Lei 8.540/1992. Inconstitucionalidade. (...) Necessidade de lei complementar para a instituição de nova fonte de custeio para a seguridade social. Recurso extraordinário conhecido e provido para reconhecer a inconstitucionalidade do art. 1º da Lei 8.540/1992, aplicando-se aos casos semelhantes o disposto no art.</w:t>
      </w:r>
    </w:p>
    <w:p>
      <w:pPr>
        <w:ind w:left="144"/>
      </w:pPr>
      <w:r>
        <w:rPr>
          <w:b/>
          <w:color w:val="B45A00"/>
          <w:sz w:val="16"/>
        </w:rPr>
        <w:t>JULGADOS CORRELATOS</w:t>
      </w:r>
    </w:p>
    <w:p>
      <w:pPr>
        <w:ind w:left="288"/>
      </w:pPr>
      <w:r>
        <w:rPr>
          <w:color w:val="8C8C8C"/>
          <w:sz w:val="12"/>
        </w:rPr>
        <w:t>cf-art-195-par-7</w:t>
      </w:r>
      <w:r>
        <w:rPr>
          <w:color w:val="003CA0"/>
          <w:sz w:val="12"/>
        </w:rPr>
        <w:t xml:space="preserve"> | RE 853.389</w:t>
      </w:r>
      <w:r>
        <w:rPr>
          <w:color w:val="003CA0"/>
          <w:sz w:val="12"/>
        </w:rPr>
        <w:t xml:space="preserve"> | rel. Nunes Marques</w:t>
      </w:r>
    </w:p>
    <w:p>
      <w:pPr>
        <w:ind w:left="288"/>
      </w:pPr>
      <w:r>
        <w:rPr>
          <w:color w:val="1E1E1E"/>
          <w:sz w:val="18"/>
        </w:rPr>
        <w:t>O produtor rural pessoa física sem empregados (e não enquadrado como segurado especial) está obrigado a pagar o tributo, nos termos do art. 12, V, “a”, da Lei federal n. 8.212/1991, não havendo, na espécie, duplicidade de recolhimento considerada a contribuição sobre folha de salários.</w:t>
        <w:br/>
        <w:t>[RE 853.389 AgR-segundo, rel. min. Nunes Marques, j. 4-9-2023, 2ª T, DJE de 22-9-2023.] § 9º As contribuições sociais previstas no inciso I do caput deste artigo poderão ter alíquotas diferenciadas em razão da atividade econômica, da utilização intensiva de mão de obra, do porte da empresa ou da condição estrutu</w:t>
      </w:r>
    </w:p>
    <w:p>
      <w:pPr>
        <w:ind w:left="144"/>
      </w:pPr>
      <w:r>
        <w:rPr>
          <w:b/>
          <w:color w:val="B45A00"/>
          <w:sz w:val="16"/>
        </w:rPr>
        <w:t>CONTROLE CONCENTRADO</w:t>
      </w:r>
    </w:p>
    <w:p>
      <w:pPr>
        <w:ind w:left="288"/>
      </w:pPr>
      <w:r>
        <w:rPr>
          <w:color w:val="8C8C8C"/>
          <w:sz w:val="12"/>
        </w:rPr>
        <w:t>cf-art-195-par-7</w:t>
      </w:r>
      <w:r>
        <w:rPr>
          <w:color w:val="003CA0"/>
          <w:sz w:val="12"/>
        </w:rPr>
        <w:t xml:space="preserve"> | ADI 4.101</w:t>
      </w:r>
      <w:r>
        <w:rPr>
          <w:color w:val="003CA0"/>
          <w:sz w:val="12"/>
        </w:rPr>
        <w:t xml:space="preserve"> | rel. Luiz Fux</w:t>
      </w:r>
    </w:p>
    <w:p>
      <w:pPr>
        <w:ind w:left="288"/>
      </w:pPr>
      <w:r>
        <w:rPr>
          <w:color w:val="1E1E1E"/>
          <w:sz w:val="18"/>
        </w:rPr>
        <w:t xml:space="preserve">As alíquotas diferenciadas da Contribuição Social sobre o Lucro Líquido – CSLL – para instituições financeiras e entidades assemelhadas estabelecidas pela Lei federal 11.727/2008, fruto de conversão da Medida Provisória 413/2007, modificada pela Medida Provisória 675/2015, convertida na Lei federal 13.169/2015 não ofendem o Texto Constitucional. (...) A Lei 11.727/2008, que elevou de 9% para 15% a alíquota da CSLL das instituições financeiras, e, posteriormente, pela Lei 13.169/15 de 15% para 17 e 20%, consideraram a atividade econômica dos contribuintes e não a sua lucratividade. O art. 195, </w:t>
      </w:r>
    </w:p>
    <w:p>
      <w:pPr>
        <w:ind w:left="288"/>
      </w:pPr>
      <w:r>
        <w:rPr>
          <w:b/>
          <w:color w:val="003CA0"/>
          <w:sz w:val="16"/>
        </w:rPr>
        <w:t>[ADI 4.101, rel. min. Luiz Fux, j. 16-6-2020, P, DJE de 6-7-2020.]</w:t>
      </w:r>
    </w:p>
    <w:p>
      <w:pPr>
        <w:ind w:left="288"/>
      </w:pPr>
      <w:r>
        <w:rPr>
          <w:color w:val="8C8C8C"/>
          <w:sz w:val="12"/>
        </w:rPr>
        <w:t>cf-art-195-par-7</w:t>
      </w:r>
      <w:r>
        <w:rPr>
          <w:color w:val="003CA0"/>
          <w:sz w:val="12"/>
        </w:rPr>
        <w:t xml:space="preserve"> | ADI 2.010</w:t>
      </w:r>
      <w:r>
        <w:rPr>
          <w:color w:val="003CA0"/>
          <w:sz w:val="12"/>
        </w:rPr>
        <w:t xml:space="preserve"> | rel. Celso de Mello</w:t>
      </w:r>
    </w:p>
    <w:p>
      <w:pPr>
        <w:ind w:left="288"/>
      </w:pPr>
      <w:r>
        <w:rPr>
          <w:color w:val="1E1E1E"/>
          <w:sz w:val="18"/>
        </w:rPr>
        <w:t>Relevo jurídico da tese segundo a qual o legislador comum, fora das hipóteses taxativamente indicadas no texto da Carta Política, não pode valer-se da progressividade na definição das alíquotas pertinentes à contribuição de seguridade social devida por servidores públicos em atividade.</w:t>
      </w:r>
    </w:p>
    <w:p>
      <w:pPr>
        <w:ind w:left="288"/>
      </w:pPr>
      <w:r>
        <w:rPr>
          <w:b/>
          <w:color w:val="003CA0"/>
          <w:sz w:val="16"/>
        </w:rPr>
        <w:t>[ADI 2.010 MC, rel. min. Celso de Mello, j. 30-9-1999, P, DJ de 12-4-2002.]</w:t>
      </w:r>
    </w:p>
    <w:p>
      <w:pPr>
        <w:ind w:left="288"/>
      </w:pPr>
      <w:r>
        <w:rPr>
          <w:color w:val="8C8C8C"/>
          <w:sz w:val="12"/>
        </w:rPr>
        <w:t>cf-art-195-par-7</w:t>
      </w:r>
      <w:r>
        <w:rPr>
          <w:color w:val="003CA0"/>
          <w:sz w:val="12"/>
        </w:rPr>
        <w:t xml:space="preserve"> | RE 346.197</w:t>
      </w:r>
      <w:r>
        <w:rPr>
          <w:color w:val="003CA0"/>
          <w:sz w:val="12"/>
        </w:rPr>
        <w:t xml:space="preserve"> | rel. Dias Toffoli</w:t>
      </w:r>
    </w:p>
    <w:p>
      <w:pPr>
        <w:ind w:left="288"/>
      </w:pPr>
      <w:r>
        <w:rPr>
          <w:color w:val="1E1E1E"/>
          <w:sz w:val="18"/>
        </w:rPr>
        <w:t>= RE 346.197 AgR, rel. min. Dias Toffoli, j. 16-10-2012, 1ª T, DJE de 12-11-2012 “É constitucional a inclusão da contribuição ao Programa de Integração Social (PIS) e da Contribuição para Financiamento da Seguridade Social (Cofins) na base de cálculo da Contribuição Previdenciária sobre a Receita Bruta (CPRB)”.</w:t>
      </w:r>
    </w:p>
    <w:p>
      <w:pPr>
        <w:ind w:left="288"/>
      </w:pPr>
      <w:r>
        <w:rPr>
          <w:b/>
          <w:color w:val="003CA0"/>
          <w:sz w:val="16"/>
        </w:rPr>
        <w:t>[RE 1.341.464, rel. min. André Mendonça, j. 02.06.2025, P, DJE de 03.07.2025, Tema 1.186, com mérito julgado.]</w:t>
      </w:r>
    </w:p>
    <w:p>
      <w:pPr>
        <w:ind w:left="144"/>
      </w:pPr>
      <w:r>
        <w:rPr>
          <w:b/>
          <w:color w:val="B45A00"/>
          <w:sz w:val="16"/>
        </w:rPr>
        <w:t>REPERCUSSAO GERAL</w:t>
      </w:r>
    </w:p>
    <w:p>
      <w:pPr>
        <w:ind w:left="288"/>
      </w:pPr>
      <w:r>
        <w:rPr>
          <w:color w:val="8C8C8C"/>
          <w:sz w:val="12"/>
        </w:rPr>
        <w:t>cf-art-195-par-7</w:t>
      </w:r>
      <w:r>
        <w:rPr>
          <w:color w:val="003CA0"/>
          <w:sz w:val="12"/>
        </w:rPr>
        <w:t xml:space="preserve"> | RE 1.285.845</w:t>
      </w:r>
      <w:r>
        <w:rPr>
          <w:color w:val="003CA0"/>
          <w:sz w:val="12"/>
        </w:rPr>
        <w:t xml:space="preserve"> | rel. Marco Aurélio</w:t>
      </w:r>
    </w:p>
    <w:p>
      <w:pPr>
        <w:ind w:left="288"/>
      </w:pPr>
      <w:r>
        <w:rPr>
          <w:color w:val="1E1E1E"/>
          <w:sz w:val="18"/>
        </w:rPr>
        <w:t>É constitucional a inclusão do Imposto Sobre Serviços de Qualquer Natureza -ISS na base de cálculo da Contribuição Previdenciária sobre a Receita Bruta – CPRB.</w:t>
      </w:r>
    </w:p>
    <w:p>
      <w:pPr>
        <w:ind w:left="288"/>
      </w:pPr>
      <w:r>
        <w:rPr>
          <w:b/>
          <w:color w:val="003CA0"/>
          <w:sz w:val="16"/>
        </w:rPr>
        <w:t>[RE 1.285.845, rel. min Marco Aurélio, red. do ac. min. Alexandre de Moraes, j. 21-6-2021, P, DJE de 8-7-2021, Tema 1.135, com mérito julgado.]</w:t>
      </w:r>
    </w:p>
    <w:p>
      <w:pPr>
        <w:ind w:left="288"/>
      </w:pPr>
      <w:r>
        <w:rPr>
          <w:color w:val="8C8C8C"/>
          <w:sz w:val="12"/>
        </w:rPr>
        <w:t>cf-art-195-par-7</w:t>
      </w:r>
      <w:r>
        <w:rPr>
          <w:color w:val="003CA0"/>
          <w:sz w:val="12"/>
        </w:rPr>
        <w:t xml:space="preserve"> | RE 1.187.264</w:t>
      </w:r>
      <w:r>
        <w:rPr>
          <w:color w:val="003CA0"/>
          <w:sz w:val="12"/>
        </w:rPr>
        <w:t xml:space="preserve"> | rel. Gilmar Mendes</w:t>
      </w:r>
    </w:p>
    <w:p>
      <w:pPr>
        <w:ind w:left="288"/>
      </w:pPr>
      <w:r>
        <w:rPr>
          <w:color w:val="1E1E1E"/>
          <w:sz w:val="18"/>
        </w:rPr>
        <w:t>É constitucional a inclusão do Imposto Sobre Circulação de Mercadorias e Serviços - ICMS na base de cálculo da Contribuição Previdenciária sobre a Receita Bruta - CPRB.</w:t>
        <w:br/>
        <w:t>[RE 1.187.264, red. do ac. min. Alexandre de Moraes, j. 24-2-2021, P, DJE de 20-5-2021, Tema 1.048, com mérito julgado.] Vide ARE 1.471.924 AgR, rel. min. Gilmar Mendes, j. 22.04.2024, 2ª T, DJE de 25.04.2024 É constitucional a alíquota adicional de 2,5% (dois e meio por cento), estabelecida pelo § 2° do art. 3° da Lei 7.787/1989, incidente sobre a folha de salários de bancos e entidades assemelhadas. É defeso ao Poder Judiciár</w:t>
      </w:r>
    </w:p>
    <w:p>
      <w:pPr>
        <w:ind w:left="288"/>
      </w:pPr>
      <w:r>
        <w:rPr>
          <w:b/>
          <w:color w:val="003CA0"/>
          <w:sz w:val="16"/>
        </w:rPr>
        <w:t>[RE 599.309, rel. min. Ricardo Lewandowski, j. 6-6-2018, P, DJE de 12-12-2019, Tema 470, com mérito julgado.]</w:t>
      </w:r>
    </w:p>
    <w:p>
      <w:pPr>
        <w:ind w:left="288"/>
      </w:pPr>
      <w:r>
        <w:rPr>
          <w:color w:val="8C8C8C"/>
          <w:sz w:val="12"/>
        </w:rPr>
        <w:t>cf-art-195-par-7</w:t>
      </w:r>
      <w:r>
        <w:rPr>
          <w:color w:val="003CA0"/>
          <w:sz w:val="12"/>
        </w:rPr>
        <w:t xml:space="preserve"> | RE 656.089</w:t>
      </w:r>
      <w:r>
        <w:rPr>
          <w:color w:val="003CA0"/>
          <w:sz w:val="12"/>
        </w:rPr>
        <w:t xml:space="preserve"> | rel. Dias Toffoli</w:t>
      </w:r>
    </w:p>
    <w:p>
      <w:pPr>
        <w:ind w:left="288"/>
      </w:pPr>
      <w:r>
        <w:rPr>
          <w:color w:val="1E1E1E"/>
          <w:sz w:val="18"/>
        </w:rPr>
        <w:t>É constitucional a previsão legal de diferenciação de alíquotas em relação às contribuições sociais incidentes sobre o faturamento ou a receita de instituições financeiras ou de entidades a elas legalmente equiparáveis.</w:t>
      </w:r>
    </w:p>
    <w:p>
      <w:pPr>
        <w:ind w:left="288"/>
      </w:pPr>
      <w:r>
        <w:rPr>
          <w:b/>
          <w:color w:val="003CA0"/>
          <w:sz w:val="16"/>
        </w:rPr>
        <w:t>[RE 656.089, rel. min. Dias Toffoli, j. 6-6-2018, P, DJE de 11-12-2019, Tema 515, com mérito julgado.]</w:t>
      </w:r>
    </w:p>
    <w:p>
      <w:pPr>
        <w:ind w:left="288"/>
      </w:pPr>
      <w:r>
        <w:rPr>
          <w:color w:val="8C8C8C"/>
          <w:sz w:val="12"/>
        </w:rPr>
        <w:t>cf-art-195-par-7</w:t>
      </w:r>
      <w:r>
        <w:rPr>
          <w:color w:val="003CA0"/>
          <w:sz w:val="12"/>
        </w:rPr>
        <w:t xml:space="preserve"> | RE 598.572</w:t>
      </w:r>
      <w:r>
        <w:rPr>
          <w:color w:val="003CA0"/>
          <w:sz w:val="12"/>
        </w:rPr>
        <w:t xml:space="preserve"> | rel. Edson Fachin</w:t>
      </w:r>
    </w:p>
    <w:p>
      <w:pPr>
        <w:ind w:left="288"/>
      </w:pPr>
      <w:r>
        <w:rPr>
          <w:color w:val="1E1E1E"/>
          <w:sz w:val="18"/>
        </w:rPr>
        <w:t>É constitucional a previsão legal de diferenciação de alíquotas em relação às contribuições previdenciárias incidentes sobre a folha de salários de instituições financeiras ou de entidades a elas legalmente equiparáveis, após a edição da EC 20/1998.</w:t>
      </w:r>
    </w:p>
    <w:p>
      <w:pPr>
        <w:ind w:left="288"/>
      </w:pPr>
      <w:r>
        <w:rPr>
          <w:b/>
          <w:color w:val="003CA0"/>
          <w:sz w:val="16"/>
        </w:rPr>
        <w:t>[RE 598.572, rel. min. Edson Fachin, j. 30-3-2016, P, DJE de 9-8-2016, Tema 204, com mérito julgado.]</w:t>
      </w:r>
    </w:p>
    <w:p>
      <w:pPr>
        <w:ind w:left="288"/>
      </w:pPr>
      <w:r>
        <w:rPr>
          <w:color w:val="8C8C8C"/>
          <w:sz w:val="12"/>
        </w:rPr>
        <w:t>cf-art-195-par-7</w:t>
      </w:r>
      <w:r>
        <w:rPr>
          <w:color w:val="003CA0"/>
          <w:sz w:val="12"/>
        </w:rPr>
        <w:t xml:space="preserve"> | RE 599.309</w:t>
      </w:r>
      <w:r>
        <w:rPr>
          <w:color w:val="003CA0"/>
          <w:sz w:val="12"/>
        </w:rPr>
        <w:t xml:space="preserve"> | rel. Ricardo Lewandowski</w:t>
      </w:r>
    </w:p>
    <w:p>
      <w:pPr>
        <w:ind w:left="288"/>
      </w:pPr>
      <w:r>
        <w:rPr>
          <w:color w:val="1E1E1E"/>
          <w:sz w:val="18"/>
        </w:rPr>
        <w:t>Vide RE 599.309, rel. min. Ricardo Lewandowski, j. 6-6-2018, P, DJE de 12-12-2019, Tema 470, com mérito julgado.</w:t>
      </w:r>
    </w:p>
    <w:p>
      <w:pPr>
        <w:ind w:left="144"/>
      </w:pPr>
      <w:r>
        <w:rPr>
          <w:b/>
          <w:color w:val="B45A00"/>
          <w:sz w:val="16"/>
        </w:rPr>
        <w:t>JULGADOS CORRELATOS</w:t>
      </w:r>
    </w:p>
    <w:p>
      <w:pPr>
        <w:ind w:left="288"/>
      </w:pPr>
      <w:r>
        <w:rPr>
          <w:color w:val="8C8C8C"/>
          <w:sz w:val="12"/>
        </w:rPr>
        <w:t>cf-art-195-par-7</w:t>
      </w:r>
      <w:r>
        <w:rPr>
          <w:color w:val="003CA0"/>
          <w:sz w:val="12"/>
        </w:rPr>
        <w:t xml:space="preserve"> | AC 1.109</w:t>
      </w:r>
    </w:p>
    <w:p>
      <w:pPr>
        <w:ind w:left="288"/>
      </w:pPr>
      <w:r>
        <w:rPr>
          <w:color w:val="1E1E1E"/>
          <w:sz w:val="18"/>
        </w:rPr>
        <w:t>Instituição financeira. Contribuição previdenciária sobre a folha de salários. Adicional. Parágrafo 1º do art. 22 da Lei 8.212/1991. A sobrecarga imposta aos bancos comerciais e às entidades financeiras, no tocante à contribuição previdenciária sobre a folha de salários, não fere, à primeira vista, o princípio da isonomia tributária, ante a expressa previsão constitucional (EC de revisão 1/1994 e EC 20/1998, que inseriu o § 9º no art. 195 do texto permanente).</w:t>
      </w:r>
    </w:p>
    <w:p>
      <w:pPr>
        <w:ind w:left="288"/>
      </w:pPr>
      <w:r>
        <w:rPr>
          <w:b/>
          <w:color w:val="003CA0"/>
          <w:sz w:val="16"/>
        </w:rPr>
        <w:t>[AC 1.109 MC, red. do ac. min. Ayres Britto, j. 31-5-2007, P, DJ de 19-10-2007.]</w:t>
      </w:r>
    </w:p>
    <w:p>
      <w:pPr>
        <w:ind w:left="288"/>
      </w:pPr>
      <w:r>
        <w:rPr>
          <w:color w:val="8C8C8C"/>
          <w:sz w:val="12"/>
        </w:rPr>
        <w:t>cf-art-195-par-7</w:t>
      </w:r>
      <w:r>
        <w:rPr>
          <w:color w:val="003CA0"/>
          <w:sz w:val="12"/>
        </w:rPr>
        <w:t xml:space="preserve"> | RE 1.542.700</w:t>
      </w:r>
      <w:r>
        <w:rPr>
          <w:color w:val="003CA0"/>
          <w:sz w:val="12"/>
        </w:rPr>
        <w:t xml:space="preserve"> | rel. Luís Roberto Barroso</w:t>
      </w:r>
    </w:p>
    <w:p>
      <w:pPr>
        <w:ind w:left="288"/>
      </w:pPr>
      <w:r>
        <w:rPr>
          <w:color w:val="1E1E1E"/>
          <w:sz w:val="18"/>
        </w:rPr>
        <w:t>§ 10. A lei definirá os critérios de transferência de recursos para o sistema único de saúde e ações de assistência social da União para os Estados, o Distrito Federal e os Municípios, e dos Estados para os Municípios, observada a respectiva contrapartida de recursos. (Incluído pela EC 20/1998) § 11. São vedados a moratória e o parcelamento em prazo superior a 60 (sessenta) meses e, na forma de lei complementar, a remissão e a anistia das contribuições sociais de que tratam a alínea "a" do inciso I e o inciso II do caput. (Redação da EC 103/2019) § 12. A lei definirá os setores de atividade ec</w:t>
      </w:r>
    </w:p>
    <w:p>
      <w:pPr>
        <w:ind w:left="288"/>
      </w:pPr>
      <w:r>
        <w:rPr>
          <w:b/>
          <w:color w:val="003CA0"/>
          <w:sz w:val="16"/>
        </w:rPr>
        <w:t>[RE 1.542.700 RG, rel. min. Luís Roberto Barroso, j. 06.05.2025, P, DJE de 09.05.2025, Tema 1.394, com repercussão geral negada.]</w:t>
      </w:r>
    </w:p>
    <w:p>
      <w:pPr>
        <w:ind w:left="288"/>
      </w:pPr>
      <w:r>
        <w:rPr>
          <w:color w:val="8C8C8C"/>
          <w:sz w:val="12"/>
        </w:rPr>
        <w:t>cf-art-195-par-7</w:t>
      </w:r>
      <w:r>
        <w:rPr>
          <w:color w:val="003CA0"/>
          <w:sz w:val="12"/>
        </w:rPr>
        <w:t xml:space="preserve"> | RE 1.509.608</w:t>
      </w:r>
      <w:r>
        <w:rPr>
          <w:color w:val="003CA0"/>
          <w:sz w:val="12"/>
        </w:rPr>
        <w:t xml:space="preserve"> | rel. Luís Roberto Barroso</w:t>
      </w:r>
    </w:p>
    <w:p>
      <w:pPr>
        <w:ind w:left="288"/>
      </w:pPr>
      <w:r>
        <w:rPr>
          <w:color w:val="1E1E1E"/>
          <w:sz w:val="18"/>
        </w:rPr>
        <w:t>“É infraconstitucional a controvérsia sobre a possibilidade de o contribuinte substituído calcular crédito de PIS/COFINS com o valor de ICMS destacado nas notas fiscais ou recolhido antecipadamente em substituição tributária.”</w:t>
      </w:r>
    </w:p>
    <w:p>
      <w:pPr>
        <w:ind w:left="288"/>
      </w:pPr>
      <w:r>
        <w:rPr>
          <w:b/>
          <w:color w:val="003CA0"/>
          <w:sz w:val="16"/>
        </w:rPr>
        <w:t>[RE 1.509.608 RG, rel. min. Luís Roberto Barroso, j. 13.12.2024, P, DJE de 18.12.2024, Tema 1.365, com repercussão geral negada.]</w:t>
      </w:r>
    </w:p>
    <w:p>
      <w:pPr>
        <w:ind w:left="144"/>
      </w:pPr>
      <w:r>
        <w:rPr>
          <w:b/>
          <w:color w:val="B45A00"/>
          <w:sz w:val="16"/>
        </w:rPr>
        <w:t>REPERCUSSAO GERAL</w:t>
      </w:r>
    </w:p>
    <w:p>
      <w:pPr>
        <w:ind w:left="288"/>
      </w:pPr>
      <w:r>
        <w:rPr>
          <w:color w:val="8C8C8C"/>
          <w:sz w:val="12"/>
        </w:rPr>
        <w:t>cf-art-195-par-7</w:t>
      </w:r>
      <w:r>
        <w:rPr>
          <w:color w:val="003CA0"/>
          <w:sz w:val="12"/>
        </w:rPr>
        <w:t xml:space="preserve"> | RE 841.979</w:t>
      </w:r>
      <w:r>
        <w:rPr>
          <w:color w:val="003CA0"/>
          <w:sz w:val="12"/>
        </w:rPr>
        <w:t xml:space="preserve"> | rel. Dias Toffoli</w:t>
      </w:r>
    </w:p>
    <w:p>
      <w:pPr>
        <w:ind w:left="288"/>
      </w:pPr>
      <w:r>
        <w:rPr>
          <w:color w:val="1E1E1E"/>
          <w:sz w:val="18"/>
        </w:rPr>
        <w:t>O legislador ordinário possui autonomia para disciplinar a não cumulatividade a que se refere o art. 195, § 12, da Constituição, respeitados os demais preceitos constitucionais, como a matriz constitucional da contribuição ao PIS e da COFINS e os princípios da razoabilidade, da isonomia, da livre concorrência e da proteção à confiança; II. É infraconstitucional, a ela se aplicando os efeitos da ausência de repercussão geral, a discussão sobre a expressão insumo presente no art. 3º, inciso II, das Leis nºs 10.637/02 e 10.833/03 e sobre a compatibilidade com essas leis das IN SRF nºs 247/02 (con</w:t>
      </w:r>
    </w:p>
    <w:p>
      <w:pPr>
        <w:ind w:left="288"/>
      </w:pPr>
      <w:r>
        <w:rPr>
          <w:b/>
          <w:color w:val="003CA0"/>
          <w:sz w:val="16"/>
        </w:rPr>
        <w:t>[RE 841.979, rel. min. Dias Toffoli, j. 28-11-2022, P, DJE de 9-2-2023, Tema 756, com mérito julgado.]</w:t>
      </w:r>
    </w:p>
    <w:p>
      <w:pPr>
        <w:ind w:left="288"/>
      </w:pPr>
      <w:r>
        <w:rPr>
          <w:color w:val="8C8C8C"/>
          <w:sz w:val="12"/>
        </w:rPr>
        <w:t>cf-art-195-par-7</w:t>
      </w:r>
      <w:r>
        <w:rPr>
          <w:color w:val="003CA0"/>
          <w:sz w:val="12"/>
        </w:rPr>
        <w:t xml:space="preserve"> | RE 1.178.310</w:t>
      </w:r>
      <w:r>
        <w:rPr>
          <w:color w:val="003CA0"/>
          <w:sz w:val="12"/>
        </w:rPr>
        <w:t xml:space="preserve"> | rel. Marco Aurélio</w:t>
      </w:r>
    </w:p>
    <w:p>
      <w:pPr>
        <w:ind w:left="288"/>
      </w:pPr>
      <w:r>
        <w:rPr>
          <w:color w:val="1E1E1E"/>
          <w:sz w:val="18"/>
        </w:rPr>
        <w:t>I- É constitucional o adicional de alíquota da Cofins-Importação previsto no § 21 do artigo 8º da Lei nº 10.865/2004; II- A vedação ao aproveitamento do crédito oriundo do adicional de alíquota, prevista no artigo 15, § 1º-A, da Lei nº 10.865/2004, com a redação dada pela Lei 13.137/2015, respeita o princípio constitucional da não cumulatividade.</w:t>
        <w:br/>
        <w:t>[RE 1.178.310, rel. min. Marco Aurélio, red. do ac. min. Alexandre de Moraes, j. 16-9-2020, P, DJE de 5-10-2020, Tema 1.047, com mérito julgado.] Revela-se constitucional o artigo 3º § 3º, incisos I e II, da Lei 10.637/2003, no que veda o creditamento</w:t>
      </w:r>
    </w:p>
    <w:p>
      <w:pPr>
        <w:ind w:left="288"/>
      </w:pPr>
      <w:r>
        <w:rPr>
          <w:b/>
          <w:color w:val="003CA0"/>
          <w:sz w:val="16"/>
        </w:rPr>
        <w:t>[RE 698.531, rel. min. Marco Aurélio, j. 29-6-2020, P, DJE de 13-8-2020 Tema 707, com mérito julgado.]</w:t>
      </w:r>
    </w:p>
    <w:p>
      <w:pPr>
        <w:ind w:left="288"/>
      </w:pPr>
      <w:r>
        <w:rPr>
          <w:color w:val="8C8C8C"/>
          <w:sz w:val="12"/>
        </w:rPr>
        <w:t>cf-art-195-par-7</w:t>
      </w:r>
      <w:r>
        <w:rPr>
          <w:color w:val="003CA0"/>
          <w:sz w:val="12"/>
        </w:rPr>
        <w:t xml:space="preserve"> | RE 587.108</w:t>
      </w:r>
      <w:r>
        <w:rPr>
          <w:color w:val="003CA0"/>
          <w:sz w:val="12"/>
        </w:rPr>
        <w:t xml:space="preserve"> | rel. Edson Fachin</w:t>
      </w:r>
    </w:p>
    <w:p>
      <w:pPr>
        <w:ind w:left="288"/>
      </w:pPr>
      <w:r>
        <w:rPr>
          <w:color w:val="1E1E1E"/>
          <w:sz w:val="18"/>
        </w:rPr>
        <w:t>Em relação às contribuições ao PIS/COFINS, não viola o princípio da não-cumulatividade a impossibilidade de creditamento de despesas ocorridas no sistema cumulativo, pois os créditos são presumidos e o direito ao desconto somente surge com as despesas incorridas em momento posterior ao início da vigência do regime não-cumulativo.</w:t>
      </w:r>
    </w:p>
    <w:p>
      <w:pPr>
        <w:ind w:left="288"/>
      </w:pPr>
      <w:r>
        <w:rPr>
          <w:b/>
          <w:color w:val="003CA0"/>
          <w:sz w:val="16"/>
        </w:rPr>
        <w:t>[RE 587.108, rel. min. Edson Fachin, j. 29-6-2020, P, DJE de 2-10-2020, Tema 179, com mérito julgado.]</w:t>
      </w:r>
    </w:p>
    <w:p>
      <w:pPr>
        <w:ind w:left="288"/>
      </w:pPr>
      <w:r>
        <w:rPr>
          <w:color w:val="8C8C8C"/>
          <w:sz w:val="12"/>
        </w:rPr>
        <w:t>cf-art-195-par-7</w:t>
      </w:r>
      <w:r>
        <w:rPr>
          <w:color w:val="003CA0"/>
          <w:sz w:val="12"/>
        </w:rPr>
        <w:t xml:space="preserve"> | RE 599.316</w:t>
      </w:r>
      <w:r>
        <w:rPr>
          <w:color w:val="003CA0"/>
          <w:sz w:val="12"/>
        </w:rPr>
        <w:t xml:space="preserve"> | rel. Marco Aurélio</w:t>
      </w:r>
    </w:p>
    <w:p>
      <w:pPr>
        <w:ind w:left="288"/>
      </w:pPr>
      <w:r>
        <w:rPr>
          <w:color w:val="1E1E1E"/>
          <w:sz w:val="18"/>
        </w:rPr>
        <w:t>Surge inconstitucional, por ofensa aos princípios da não cumulatividade e da isonomia, o artigo 31, cabeça, da Lei 10.865/2004, no que vedou o creditamento do PIS e da COFINS, relativamente ao ativo imobilizado adquirido até 30 de abril de 2004.</w:t>
      </w:r>
    </w:p>
    <w:p>
      <w:pPr>
        <w:ind w:left="288"/>
      </w:pPr>
      <w:r>
        <w:rPr>
          <w:b/>
          <w:color w:val="003CA0"/>
          <w:sz w:val="16"/>
        </w:rPr>
        <w:t>[RE 599.316, rel. min. Marco Aurélio, j. 29-6-2020, P, DJE de 6-10-2020, Tema 244, com mérito julgado.]</w:t>
      </w:r>
    </w:p>
    <w:p>
      <w:pPr>
        <w:ind w:left="288"/>
      </w:pPr>
      <w:r>
        <w:rPr>
          <w:color w:val="8C8C8C"/>
          <w:sz w:val="12"/>
        </w:rPr>
        <w:t>cf-art-195-par-7</w:t>
      </w:r>
      <w:r>
        <w:rPr>
          <w:color w:val="003CA0"/>
          <w:sz w:val="12"/>
        </w:rPr>
        <w:t xml:space="preserve"> | RE 607.642</w:t>
      </w:r>
      <w:r>
        <w:rPr>
          <w:color w:val="003CA0"/>
          <w:sz w:val="12"/>
        </w:rPr>
        <w:t xml:space="preserve"> | rel. Dias Toffoli</w:t>
      </w:r>
    </w:p>
    <w:p>
      <w:pPr>
        <w:ind w:left="288"/>
      </w:pPr>
      <w:r>
        <w:rPr>
          <w:color w:val="1E1E1E"/>
          <w:sz w:val="18"/>
        </w:rPr>
        <w:t>Com a edição da Emenda Constitucional 42/03, a não cumulatividade das contribuições incidentes sobre o faturamento ou a receita não pôde mais ser interpretada exclusivamente pelas prescrições das leis ordinárias. É de se extrair um conteúdo semântico mínimo da expressão ‘não cumulatividade’, o qual deve pautar o legislador ordinário, na esteira da jurisprudência da Corte. (...) O § 12 do art. 195 da Constituição autoriza a coexistência dos regimes cumulativo e não cumulativo. Ao cuidar da matéria quanto ao PIS/Cofins, o texto constitucional referiu apenas que a lei definirá os setores de ativi</w:t>
      </w:r>
    </w:p>
    <w:p>
      <w:pPr>
        <w:ind w:left="288"/>
      </w:pPr>
      <w:r>
        <w:rPr>
          <w:b/>
          <w:color w:val="003CA0"/>
          <w:sz w:val="16"/>
        </w:rPr>
        <w:t>[RE 607.642, rel. min. Dias Toffoli, j. 29-6-2020, P, DJE de 9-11-2020, Tema 337, com mérito julgado.]</w:t>
      </w:r>
    </w:p>
    <w:p>
      <w:pPr>
        <w:ind w:left="288"/>
      </w:pPr>
      <w:r>
        <w:rPr>
          <w:color w:val="8C8C8C"/>
          <w:sz w:val="12"/>
        </w:rPr>
        <w:t>cf-art-195-par-7</w:t>
      </w:r>
      <w:r>
        <w:rPr>
          <w:color w:val="003CA0"/>
          <w:sz w:val="12"/>
        </w:rPr>
        <w:t xml:space="preserve"> | RE 1.542.781</w:t>
      </w:r>
      <w:r>
        <w:rPr>
          <w:color w:val="003CA0"/>
          <w:sz w:val="12"/>
        </w:rPr>
        <w:t xml:space="preserve"> | rel. Gilmar Mendes</w:t>
      </w:r>
    </w:p>
    <w:p>
      <w:pPr>
        <w:ind w:left="288"/>
      </w:pPr>
      <w:r>
        <w:rPr>
          <w:color w:val="1E1E1E"/>
          <w:sz w:val="18"/>
        </w:rPr>
        <w:t>No caso dos autos, a impetrante é pessoa jurídica do comércio varejista de óleo diesel submetida ao regime de não cumulatividade, conforme o art. 3º da Lei 10.833/2003 e 10.637/2002, cujo inciso I, “b”, vedou o creditamento do PIS/COFINS na revenda de combustíveis, amparado no art. 195, § 12, da CF. O art. 9º, caput, da Lei Complementar n. 192, de 2022, reduziu a zero (até 31 de dezembro de 2022) a alíquota do PIS e da COFINS devidos por produtores, fabricantes e importadores dos combustíveis que menciona, não alcançando os comerciantes varejistas, que mesmo antes já eram beneficiados com a al</w:t>
      </w:r>
    </w:p>
    <w:p>
      <w:pPr>
        <w:ind w:left="288"/>
      </w:pPr>
      <w:r>
        <w:rPr>
          <w:b/>
          <w:color w:val="003CA0"/>
          <w:sz w:val="16"/>
        </w:rPr>
        <w:t>[RE 1.542.781 AgR, rel. min. Gilmar Mendes, j. 10.06.2025, 1ª T, DJE de 24.06.2025.]</w:t>
      </w:r>
    </w:p>
    <w:p>
      <w:pPr>
        <w:ind w:left="288"/>
      </w:pPr>
      <w:r>
        <w:rPr>
          <w:color w:val="8C8C8C"/>
          <w:sz w:val="12"/>
        </w:rPr>
        <w:t>cf-art-195-par-7</w:t>
      </w:r>
      <w:r>
        <w:rPr>
          <w:color w:val="003CA0"/>
          <w:sz w:val="12"/>
        </w:rPr>
        <w:t xml:space="preserve"> | RE 1.402.871</w:t>
      </w:r>
      <w:r>
        <w:rPr>
          <w:color w:val="003CA0"/>
          <w:sz w:val="12"/>
        </w:rPr>
        <w:t xml:space="preserve"> | rel. Edson Fachin</w:t>
      </w:r>
    </w:p>
    <w:p>
      <w:pPr>
        <w:ind w:left="288"/>
      </w:pPr>
      <w:r>
        <w:rPr>
          <w:color w:val="1E1E1E"/>
          <w:sz w:val="18"/>
        </w:rPr>
        <w:t xml:space="preserve">No RE nº 599.316/SC, Tema nº 244 do ementário da Repercussão Geral, este Supremo Tribunal Federal declarou a inconstitucionalidade do caput do art. 31 da Lei nº 10.865, de 2004, tendo fixado tese segundo a qual “surge inconstitucional, por ofensa aos princípios da não cumulatividade e da isonomia, o artigo 31, cabeça, da Lei nº 10.865/2004, no que vedou o creditamento da contribuição para o PIS e da COFINS, relativamente ao ativo imobilizado adquirido até 30 de abril de 2004”. Ocorre que, enquanto o caput do art. 31 da Lei nº 10.865, de 2004, se destina a vedar o aproveitamento de créditos de </w:t>
      </w:r>
    </w:p>
    <w:p>
      <w:pPr>
        <w:ind w:left="720"/>
      </w:pPr>
      <w:r>
        <w:rPr>
          <w:color w:val="003366"/>
          <w:sz w:val="18"/>
        </w:rPr>
        <w:t>I – do empregador, da empresa e da entidade a ela equiparada na forma da lei, in</w:t>
      </w:r>
    </w:p>
    <w:p>
      <w:pPr>
        <w:ind w:left="1008"/>
      </w:pPr>
      <w:r>
        <w:rPr>
          <w:color w:val="003366"/>
          <w:sz w:val="18"/>
        </w:rPr>
        <w:t>a) a folha de salários e demais rendimentos do trabalho pagos ou creditados, a q</w:t>
      </w:r>
    </w:p>
    <w:p>
      <w:pPr>
        <w:ind w:left="1008"/>
      </w:pPr>
      <w:r>
        <w:rPr>
          <w:color w:val="003366"/>
          <w:sz w:val="18"/>
        </w:rPr>
        <w:t>b) a receita ou o faturamento; (Incluído pela Emenda Constitucional nº 20, de 19</w:t>
      </w:r>
    </w:p>
    <w:p>
      <w:pPr>
        <w:ind w:left="1008"/>
      </w:pPr>
      <w:r>
        <w:rPr>
          <w:color w:val="003366"/>
          <w:sz w:val="18"/>
        </w:rPr>
        <w:t>c) o lucro; (Incluído pela Emenda Constitucional nº 20, de 1998)</w:t>
      </w:r>
    </w:p>
    <w:p>
      <w:pPr>
        <w:ind w:left="720"/>
      </w:pPr>
      <w:r>
        <w:rPr>
          <w:color w:val="003366"/>
          <w:sz w:val="18"/>
        </w:rPr>
        <w:t>II – do trabalhador e dos demais segurados da previdência social, podendo ser ad</w:t>
      </w:r>
    </w:p>
    <w:p>
      <w:pPr>
        <w:ind w:left="720"/>
      </w:pPr>
      <w:r>
        <w:rPr>
          <w:color w:val="003366"/>
          <w:sz w:val="18"/>
        </w:rPr>
        <w:t>III – sobre a receita de concursos de prognósticos.</w:t>
      </w:r>
    </w:p>
    <w:p>
      <w:pPr>
        <w:ind w:left="720"/>
      </w:pPr>
      <w:r>
        <w:rPr>
          <w:color w:val="003366"/>
          <w:sz w:val="18"/>
        </w:rPr>
        <w:t>IV – do importador de bens ou serviços do exterior, ou de quem a lei a ele equip</w:t>
      </w:r>
    </w:p>
    <w:p>
      <w:pPr>
        <w:ind w:left="720"/>
      </w:pPr>
      <w:r>
        <w:rPr>
          <w:color w:val="003366"/>
          <w:sz w:val="18"/>
        </w:rPr>
        <w:t>V – sobre bens e serviços, nos termos de lei complementar. (Incluído pela Emenda</w:t>
      </w:r>
    </w:p>
    <w:p>
      <w:pPr>
        <w:ind w:left="432"/>
      </w:pPr>
      <w:r>
        <w:rPr>
          <w:color w:val="003366"/>
          <w:sz w:val="18"/>
        </w:rPr>
        <w:t>§ 1 As receitas dos Estados, do Distrito Federal e dos Municípios destinadas à s</w:t>
      </w:r>
    </w:p>
    <w:p>
      <w:pPr>
        <w:ind w:left="432"/>
      </w:pPr>
      <w:r>
        <w:rPr>
          <w:color w:val="003366"/>
          <w:sz w:val="18"/>
        </w:rPr>
        <w:t>§ 2 A proposta de orçamento da seguridade social será elaborada de forma integra</w:t>
      </w:r>
    </w:p>
    <w:p>
      <w:pPr>
        <w:ind w:left="432"/>
      </w:pPr>
      <w:r>
        <w:rPr>
          <w:color w:val="003366"/>
          <w:sz w:val="18"/>
        </w:rPr>
        <w:t>§ 3 A pessoa jurídica em débito com o sistema da seguridade social, como estabel</w:t>
      </w:r>
    </w:p>
    <w:p>
      <w:pPr>
        <w:ind w:left="432"/>
      </w:pPr>
      <w:r>
        <w:rPr>
          <w:color w:val="003366"/>
          <w:sz w:val="18"/>
        </w:rPr>
        <w:t>§ 4 A lei poderá instituir outras fontes destinadas a garantir a manutenção ou e</w:t>
      </w:r>
    </w:p>
    <w:p>
      <w:pPr>
        <w:ind w:left="432"/>
      </w:pPr>
      <w:r>
        <w:rPr>
          <w:color w:val="003366"/>
          <w:sz w:val="18"/>
        </w:rPr>
        <w:t>§ 5 Nenhum benefício ou serviço da seguridade social poderá ser criado, majorado</w:t>
      </w:r>
    </w:p>
    <w:p>
      <w:pPr>
        <w:ind w:left="432"/>
      </w:pPr>
      <w:r>
        <w:rPr>
          <w:color w:val="003366"/>
          <w:sz w:val="18"/>
        </w:rPr>
        <w:t>§ 6 As contribuições sociais de que trata este artigo só poderão ser exigidas ap</w:t>
      </w:r>
    </w:p>
    <w:p>
      <w:pPr>
        <w:ind w:left="432"/>
      </w:pPr>
      <w:r>
        <w:rPr>
          <w:color w:val="003366"/>
          <w:sz w:val="18"/>
        </w:rPr>
        <w:t>§ 7 São isentas de contribuição para a seguridade social as entidades beneficent</w:t>
      </w:r>
    </w:p>
    <w:p>
      <w:pPr>
        <w:ind w:left="432"/>
      </w:pPr>
      <w:r>
        <w:rPr>
          <w:color w:val="003366"/>
          <w:sz w:val="18"/>
        </w:rPr>
        <w:t>§ 8 O produtor, o parceiro, o meeiro e o arrendatário rurais e o pescador artesa</w:t>
      </w:r>
    </w:p>
    <w:p>
      <w:pPr>
        <w:ind w:left="432"/>
      </w:pPr>
      <w:r>
        <w:rPr>
          <w:color w:val="003366"/>
          <w:sz w:val="18"/>
        </w:rPr>
        <w:t>§ 9 As contribuições sociais previstas no inciso I do caput deste artigo poderão</w:t>
      </w:r>
    </w:p>
    <w:p>
      <w:pPr>
        <w:ind w:left="432"/>
      </w:pPr>
      <w:r>
        <w:rPr>
          <w:color w:val="003366"/>
          <w:sz w:val="18"/>
        </w:rPr>
        <w:t>§ 10 A lei definirá os critérios de transferência de recursos para o sistema úni</w:t>
      </w:r>
    </w:p>
    <w:p>
      <w:pPr>
        <w:ind w:left="432"/>
      </w:pPr>
      <w:r>
        <w:rPr>
          <w:color w:val="003366"/>
          <w:sz w:val="18"/>
        </w:rPr>
        <w:t xml:space="preserve">§ 11 São vedados a moratória e o parcelamento em prazo superior a 60 (sessenta) </w:t>
      </w:r>
    </w:p>
    <w:p>
      <w:pPr>
        <w:ind w:left="432"/>
      </w:pPr>
      <w:r>
        <w:rPr>
          <w:color w:val="003366"/>
          <w:sz w:val="18"/>
        </w:rPr>
        <w:t>§ 12 A lei definirá os setores de atividade econômica para os quais as contribui</w:t>
      </w:r>
    </w:p>
    <w:p>
      <w:pPr>
        <w:ind w:left="432"/>
      </w:pPr>
      <w:r>
        <w:rPr>
          <w:color w:val="003366"/>
          <w:sz w:val="18"/>
        </w:rPr>
        <w:t>§ 13 (Revogado). (Redação dada pela Emenda Constitucional nº 103, de 2019)</w:t>
      </w:r>
    </w:p>
    <w:p>
      <w:pPr>
        <w:ind w:left="432"/>
      </w:pPr>
      <w:r>
        <w:rPr>
          <w:color w:val="003366"/>
          <w:sz w:val="18"/>
        </w:rPr>
        <w:t>§ 14 O segurado somente terá reconhecida como tempo de contribuição ao Regime Ge</w:t>
      </w:r>
    </w:p>
    <w:p>
      <w:pPr>
        <w:ind w:left="432"/>
      </w:pPr>
      <w:r>
        <w:rPr>
          <w:color w:val="003366"/>
          <w:sz w:val="18"/>
        </w:rPr>
        <w:t>§ 15 A contribuição prevista no inciso V do caput poderá ter sua alíquota fixada</w:t>
      </w:r>
    </w:p>
    <w:p>
      <w:pPr>
        <w:ind w:left="432"/>
      </w:pPr>
      <w:r>
        <w:rPr>
          <w:color w:val="003366"/>
          <w:sz w:val="18"/>
        </w:rPr>
        <w:t>§ 16 Aplica-se à contribuição prevista no inciso V do caput o disposto no art. 1</w:t>
      </w:r>
    </w:p>
    <w:p>
      <w:pPr>
        <w:ind w:left="432"/>
      </w:pPr>
      <w:r>
        <w:rPr>
          <w:color w:val="003366"/>
          <w:sz w:val="18"/>
        </w:rPr>
        <w:t>§ 17 A contribuição prevista no inciso V do caput não integrará sua própria base</w:t>
      </w:r>
    </w:p>
    <w:p>
      <w:pPr>
        <w:ind w:left="432"/>
      </w:pPr>
      <w:r>
        <w:rPr>
          <w:color w:val="003366"/>
          <w:sz w:val="18"/>
        </w:rPr>
        <w:t>§ 18 Lei estabelecerá as hipóteses de devolução da contribuição prevista no inci</w:t>
      </w:r>
    </w:p>
    <w:p>
      <w:pPr>
        <w:ind w:left="432"/>
      </w:pPr>
      <w:r>
        <w:rPr>
          <w:color w:val="003366"/>
          <w:sz w:val="18"/>
        </w:rPr>
        <w:t>§ 19 A devolução de que trata o § 18 não será computada na receita corrente líqu</w:t>
      </w:r>
    </w:p>
    <w:p>
      <w:pPr>
        <w:pStyle w:val="Heading3"/>
      </w:pPr>
      <w:r>
        <w:rPr>
          <w:color w:val="003366"/>
        </w:rPr>
        <w:t>Seção II - DA SAÚDE</w:t>
      </w:r>
    </w:p>
    <w:p>
      <w:r>
        <w:rPr>
          <w:b/>
          <w:color w:val="003366"/>
          <w:sz w:val="20"/>
        </w:rPr>
        <w:t>Art. 196 A saúde é direito de todos e dever do Estado, garantido mediante políti</w:t>
      </w:r>
      <w:r>
        <w:rPr>
          <w:color w:val="8C8C8C"/>
          <w:sz w:val="14"/>
        </w:rPr>
        <w:t xml:space="preserve">  [40 decisoes]</w:t>
      </w:r>
    </w:p>
    <w:p>
      <w:pPr>
        <w:ind w:left="288"/>
      </w:pPr>
      <w:r>
        <w:rPr>
          <w:color w:val="8C8C8C"/>
          <w:sz w:val="12"/>
        </w:rPr>
        <w:t>cf-art-196</w:t>
      </w:r>
      <w:r>
        <w:rPr>
          <w:color w:val="003CA0"/>
          <w:sz w:val="12"/>
        </w:rPr>
        <w:t xml:space="preserve"> | RE 566.471</w:t>
      </w:r>
    </w:p>
    <w:p>
      <w:pPr>
        <w:ind w:left="288"/>
      </w:pPr>
      <w:r>
        <w:rPr>
          <w:color w:val="1E1E1E"/>
          <w:sz w:val="18"/>
        </w:rPr>
        <w:t>A concessão judicial de medicamento registrado na ANVISA, mas não incorporado às listas de dispensação do Sistema Único de Saúde, deve observar as teses firmadas no julgamento do Tema 6 da Repercussão Geral (RE 566.471).</w:t>
      </w:r>
    </w:p>
    <w:p>
      <w:pPr>
        <w:ind w:left="288"/>
      </w:pPr>
      <w:r>
        <w:rPr>
          <w:b/>
          <w:color w:val="003CA0"/>
          <w:sz w:val="16"/>
        </w:rPr>
        <w:t>[Súmula Vinculante 61]</w:t>
      </w:r>
    </w:p>
    <w:p>
      <w:pPr>
        <w:ind w:left="288"/>
      </w:pPr>
      <w:r>
        <w:rPr>
          <w:color w:val="8C8C8C"/>
          <w:sz w:val="12"/>
        </w:rPr>
        <w:t>cf-art-196</w:t>
      </w:r>
      <w:r>
        <w:rPr>
          <w:color w:val="003CA0"/>
          <w:sz w:val="12"/>
        </w:rPr>
        <w:t xml:space="preserve"> | ADI 7.721</w:t>
      </w:r>
      <w:r>
        <w:rPr>
          <w:color w:val="003CA0"/>
          <w:sz w:val="12"/>
        </w:rPr>
        <w:t xml:space="preserve"> | rel. Luiz Fux</w:t>
      </w:r>
    </w:p>
    <w:p>
      <w:pPr>
        <w:ind w:left="288"/>
      </w:pPr>
      <w:r>
        <w:rPr>
          <w:color w:val="1E1E1E"/>
          <w:sz w:val="18"/>
        </w:rPr>
        <w:t>Novo marco regulatório das apostas de quota fixa (“bets”). Lei nº 14.790/2023. Impactos da publicidade de apostas na saúde mental, sobretudo de crianças e adolescentes, assim como nos orçamentos familiares, especialmente de pessoas beneficiárias de programas sociais e assistenciais. (...) Evidências dos imediatos, relevantes e deletérios impactos em curso, decorrentes de proteção insuficiente. (...) Provável agravamento do cenário pela inaplicação de normas já editadas. Pedidos de medidas cautelares parcialmente deferidos.</w:t>
      </w:r>
    </w:p>
    <w:p>
      <w:pPr>
        <w:ind w:left="288"/>
      </w:pPr>
      <w:r>
        <w:rPr>
          <w:b/>
          <w:color w:val="003CA0"/>
          <w:sz w:val="16"/>
        </w:rPr>
        <w:t>[ADI 7.721 MC-REF e ADI 7.723 MC REF, rel. min. Luiz Fux, j. 18.11.2024, P, DJE de 05.12.2024.]</w:t>
      </w:r>
    </w:p>
    <w:p>
      <w:pPr>
        <w:ind w:left="288"/>
      </w:pPr>
      <w:r>
        <w:rPr>
          <w:color w:val="8C8C8C"/>
          <w:sz w:val="12"/>
        </w:rPr>
        <w:t>cf-art-196</w:t>
      </w:r>
      <w:r>
        <w:rPr>
          <w:color w:val="003CA0"/>
          <w:sz w:val="12"/>
        </w:rPr>
        <w:t xml:space="preserve"> | ADPF 787</w:t>
      </w:r>
      <w:r>
        <w:rPr>
          <w:color w:val="003CA0"/>
          <w:sz w:val="12"/>
        </w:rPr>
        <w:t xml:space="preserve"> | rel. Gilmar Mendes</w:t>
      </w:r>
    </w:p>
    <w:p>
      <w:pPr>
        <w:ind w:left="288"/>
      </w:pPr>
      <w:r>
        <w:rPr>
          <w:color w:val="1E1E1E"/>
          <w:sz w:val="18"/>
        </w:rPr>
        <w:t>(...) é necessário garantir aos homens e mulheres trans acesso igualitário a todas as ações e programas de saúde do SUS, em especial aqueles relacionados à saúde sexual e reprodutiva, como agendamento de consultas nas especialidades de ginecologia, obstetrícia e urologia, independentemente de sua identidade de gênero, sendo fundamental eliminar obstáculos burocráticos que possam causar constrangimento à pessoa e atraso no acesso à prestação de saúde. (...) Essa realidade burocrática acaba por se afigurar atentatória ao direito social à saúde que é assegurado na Constituição a todas as pessoas.</w:t>
      </w:r>
    </w:p>
    <w:p>
      <w:pPr>
        <w:ind w:left="288"/>
      </w:pPr>
      <w:r>
        <w:rPr>
          <w:b/>
          <w:color w:val="003CA0"/>
          <w:sz w:val="16"/>
        </w:rPr>
        <w:t>[ADPF 787, rel. min. Gilmar Mendes, j. 17.10.2024, P, DJE de 18.12.2024.]</w:t>
      </w:r>
    </w:p>
    <w:p>
      <w:pPr>
        <w:ind w:left="288"/>
      </w:pPr>
      <w:r>
        <w:rPr>
          <w:color w:val="8C8C8C"/>
          <w:sz w:val="12"/>
        </w:rPr>
        <w:t>cf-art-196</w:t>
      </w:r>
      <w:r>
        <w:rPr>
          <w:color w:val="003CA0"/>
          <w:sz w:val="12"/>
        </w:rPr>
        <w:t xml:space="preserve"> | ADI 3.963</w:t>
      </w:r>
      <w:r>
        <w:rPr>
          <w:color w:val="003CA0"/>
          <w:sz w:val="12"/>
        </w:rPr>
        <w:t xml:space="preserve"> | rel. Nunes Marques</w:t>
      </w:r>
    </w:p>
    <w:p>
      <w:pPr>
        <w:ind w:left="288"/>
      </w:pPr>
      <w:r>
        <w:rPr>
          <w:color w:val="1E1E1E"/>
          <w:sz w:val="18"/>
        </w:rPr>
        <w:t>Licença para funcionamento dos estabelecimentos que executam atividades dedicadas ao combate a insetos e roedores, limpeza e higienização de reservatórios de água, bem como manipulação de produtos químicos para limpeza e conservação. Exigência na habilitação técnica para participação em licitação pública. (...) A exigibilidade de apresentação de licença de funcionamento prevista no art. 2º, § 1º, da Lei n. 3.978/2007 do Distrito Federal não constitui discrímen desarrazoado ou injustificável, porquanto não afeta a competitividade desejada. Antes, consiste em mecanismo de controle administrativo</w:t>
      </w:r>
    </w:p>
    <w:p>
      <w:pPr>
        <w:ind w:left="288"/>
      </w:pPr>
      <w:r>
        <w:rPr>
          <w:b/>
          <w:color w:val="003CA0"/>
          <w:sz w:val="16"/>
        </w:rPr>
        <w:t>[ADI 7.088 e ADI 7.183, rel. min. Luís Roberto Barroso, j. 10-11-2022, P, DJE de 10-1-2023.]</w:t>
      </w:r>
    </w:p>
    <w:p>
      <w:pPr>
        <w:ind w:left="288"/>
      </w:pPr>
      <w:r>
        <w:rPr>
          <w:color w:val="8C8C8C"/>
          <w:sz w:val="12"/>
        </w:rPr>
        <w:t>cf-art-196</w:t>
      </w:r>
      <w:r>
        <w:rPr>
          <w:color w:val="003CA0"/>
          <w:sz w:val="12"/>
        </w:rPr>
        <w:t xml:space="preserve"> | ADPF 709</w:t>
      </w:r>
    </w:p>
    <w:p>
      <w:pPr>
        <w:ind w:left="288"/>
      </w:pPr>
      <w:r>
        <w:rPr>
          <w:color w:val="1E1E1E"/>
          <w:sz w:val="18"/>
        </w:rPr>
        <w:t>(...) determinar à União a adoção imediata de todas as medidas necessárias à proteção da vida, da saúde e da segurança das populações indígenas que habitam as TIs Yanomami e Munduruku, diante da ameaça de ataques violentos e da presença de invasores, devendo destacar todo o efetivo necessário a tal fim e permanecer no local enquanto presente tal risco. Quanto à sistemática da intervenção da União em tais terras determino, ainda, que: (i) está vedada à União a atribuição de qualquer publicidade às suas ações, devendo abster-se de divulgar datas e outros elementos, que, ainda que genéricos, poss</w:t>
      </w:r>
    </w:p>
    <w:p>
      <w:pPr>
        <w:ind w:left="288"/>
      </w:pPr>
      <w:r>
        <w:rPr>
          <w:b/>
          <w:color w:val="003CA0"/>
          <w:sz w:val="16"/>
        </w:rPr>
        <w:t>[ADPF 709 TPI REF, voto do min. Roberto Barroso, j. 18-6-2021, P, DJE de 26-8-2021.]</w:t>
      </w:r>
    </w:p>
    <w:p>
      <w:pPr>
        <w:ind w:left="288"/>
      </w:pPr>
      <w:r>
        <w:rPr>
          <w:color w:val="8C8C8C"/>
          <w:sz w:val="12"/>
        </w:rPr>
        <w:t>cf-art-196</w:t>
      </w:r>
      <w:r>
        <w:rPr>
          <w:color w:val="003CA0"/>
          <w:sz w:val="12"/>
        </w:rPr>
        <w:t xml:space="preserve"> | ADPF 709</w:t>
      </w:r>
      <w:r>
        <w:rPr>
          <w:color w:val="003CA0"/>
          <w:sz w:val="12"/>
        </w:rPr>
        <w:t xml:space="preserve"> | rel. Roberto Barroso</w:t>
      </w:r>
    </w:p>
    <w:p>
      <w:pPr>
        <w:ind w:left="288"/>
      </w:pPr>
      <w:r>
        <w:rPr>
          <w:color w:val="1E1E1E"/>
          <w:sz w:val="18"/>
        </w:rPr>
        <w:t xml:space="preserve">Vide ADPF 709 MC REF, rel. min. Roberto Barroso, j. 5-8-2020, P, DJE de 7-10-2020 Segundo o caput do art. 40 da Lei 9.279/1996, a vigência da patente observará os prazos fixos de 20 (vinte) anos para invenções e de 15 (quinze) anos para modelos de utilidade, contados da data de depósito. A Lei de Propriedade Intelectual (LPI) prevê, ainda, uma regra adicional no parágrafo único do dispositivo: a contar da data de concessão da patente, o prazo de vigência não será inferior a 10 (dez) anos para a patente de invenção e a 7 (sete) anos para a patente de modelo de utilidade. Portanto, extrai-se do </w:t>
      </w:r>
    </w:p>
    <w:p>
      <w:pPr>
        <w:ind w:left="288"/>
      </w:pPr>
      <w:r>
        <w:rPr>
          <w:b/>
          <w:color w:val="003CA0"/>
          <w:sz w:val="16"/>
        </w:rPr>
        <w:t>[ADI 5.529, rel. min. Dias Toffoli, j. 12-5-2021, P, DJE de 1º-9-2021.]</w:t>
      </w:r>
    </w:p>
    <w:p>
      <w:pPr>
        <w:ind w:left="288"/>
      </w:pPr>
      <w:r>
        <w:rPr>
          <w:color w:val="8C8C8C"/>
          <w:sz w:val="12"/>
        </w:rPr>
        <w:t>cf-art-196</w:t>
      </w:r>
      <w:r>
        <w:rPr>
          <w:color w:val="003CA0"/>
          <w:sz w:val="12"/>
        </w:rPr>
        <w:t xml:space="preserve"> | ADI 6.625</w:t>
      </w:r>
      <w:r>
        <w:rPr>
          <w:color w:val="003CA0"/>
          <w:sz w:val="12"/>
        </w:rPr>
        <w:t xml:space="preserve"> | rel. Ricardo Lewandowski</w:t>
      </w:r>
    </w:p>
    <w:p>
      <w:pPr>
        <w:ind w:left="288"/>
      </w:pPr>
      <w:r>
        <w:rPr>
          <w:color w:val="1E1E1E"/>
          <w:sz w:val="18"/>
        </w:rPr>
        <w:t>A Lei 13.979/2020, com o propósito de enfrentar de maneira racional e tecnicamente adequada o surto pandêmico, permitiu que as autoridades adotassem, no âmbito das respectivas competências, determinadas medidas profiláticas e terapêuticas. Embora a vigência da Lei 13.979/2020, de forma tecnicamente imperfeita, esteja vinculada àquela do Decreto Legislativo 6/2020, que decretou a calamidade pública para fins exclusivamente fiscais, vencendo em 31 de dezembro de 2020, não se pode excluir, neste juízo precário e efêmero, a conjectura segundo a qual a verdadeira intenção dos legisladores tenha sid</w:t>
      </w:r>
    </w:p>
    <w:p>
      <w:pPr>
        <w:ind w:left="288"/>
      </w:pPr>
      <w:r>
        <w:rPr>
          <w:b/>
          <w:color w:val="003CA0"/>
          <w:sz w:val="16"/>
        </w:rPr>
        <w:t>[ADI 6.625 MC REF, rel. min. Ricardo Lewandowski, j. 8-3-2021, P, DJE de 12-4-2021.]</w:t>
      </w:r>
    </w:p>
    <w:p>
      <w:pPr>
        <w:ind w:left="288"/>
      </w:pPr>
      <w:r>
        <w:rPr>
          <w:color w:val="8C8C8C"/>
          <w:sz w:val="12"/>
        </w:rPr>
        <w:t>cf-art-196</w:t>
      </w:r>
      <w:r>
        <w:rPr>
          <w:color w:val="003CA0"/>
          <w:sz w:val="12"/>
        </w:rPr>
        <w:t xml:space="preserve"> | ADI 7.015</w:t>
      </w:r>
      <w:r>
        <w:rPr>
          <w:color w:val="003CA0"/>
          <w:sz w:val="12"/>
        </w:rPr>
        <w:t xml:space="preserve"> | rel. Gilmar Mendes</w:t>
      </w:r>
    </w:p>
    <w:p>
      <w:pPr>
        <w:ind w:left="288"/>
      </w:pPr>
      <w:r>
        <w:rPr>
          <w:color w:val="1E1E1E"/>
          <w:sz w:val="18"/>
        </w:rPr>
        <w:t xml:space="preserve">Vide ADI 7.015, rel. min. Gilmar Mendes, j. 5-12-2022, P, DJE de 18-1-2023 Na 2ª edição Plano Nacional de Operacionalização da Vacinação contra a Covid-19 estabeleceu-se a população que será imunizada prioritariamente, sem, no entanto, detalhar adequadamente, dentro daquele universo de cerca de setenta e sete milhões de pessoas, qual a ordem de cada grupo de pessoas. O perigo decorrente da alegada omissão sobre a discriminação categorizada dos primeiros brasileiros a serem vacinados – uma vez que a quantidade de vacinas disponíveis até o momento em solo nacional é muito inferior ao número das </w:t>
      </w:r>
    </w:p>
    <w:p>
      <w:pPr>
        <w:ind w:left="288"/>
      </w:pPr>
      <w:r>
        <w:rPr>
          <w:b/>
          <w:color w:val="003CA0"/>
          <w:sz w:val="16"/>
        </w:rPr>
        <w:t>[ADPF 754 TPI segunda REF, rel. min. Ricardo Lewandowski, j. 1º-3-2021, P, DJE de 11-3-2021.]</w:t>
      </w:r>
    </w:p>
    <w:p>
      <w:pPr>
        <w:ind w:left="288"/>
      </w:pPr>
      <w:r>
        <w:rPr>
          <w:color w:val="8C8C8C"/>
          <w:sz w:val="12"/>
        </w:rPr>
        <w:t>cf-art-196</w:t>
      </w:r>
      <w:r>
        <w:rPr>
          <w:color w:val="003CA0"/>
          <w:sz w:val="12"/>
        </w:rPr>
        <w:t xml:space="preserve"> | ADPF 742</w:t>
      </w:r>
    </w:p>
    <w:p>
      <w:pPr>
        <w:ind w:left="288"/>
      </w:pPr>
      <w:r>
        <w:rPr>
          <w:color w:val="1E1E1E"/>
          <w:sz w:val="18"/>
        </w:rPr>
        <w:t xml:space="preserve">Ante quadro de violação dos direitos fundamentais dos quilombolas considerada pandemia covid-19, cumpre à União a elaboração e implementação de plano nacional de enfrentamento e monitoramento. (...) Deve o Governo Federal adotar providências e protocolos sanitários que assegurem a vacinação dos quilombolas na fase prioritária. (...) A instituição de grupo de trabalho viabiliza a fiscalização quanto à execução das iniciativas decorrentes do plano de enfrentamento à pandemia nas comunidades quilombolas. (...) A inclusão do quesito raça/cor/etnia no registro dos casos de covid-19 possibilita, ao </w:t>
      </w:r>
    </w:p>
    <w:p>
      <w:pPr>
        <w:ind w:left="288"/>
      </w:pPr>
      <w:r>
        <w:rPr>
          <w:b/>
          <w:color w:val="003CA0"/>
          <w:sz w:val="16"/>
        </w:rPr>
        <w:t>[ADPF 742 MC, red. do ac. min. Edson Fachin, j. 24-2-2021, P, DJE de 29-4-2021.]</w:t>
      </w:r>
    </w:p>
    <w:p>
      <w:pPr>
        <w:ind w:left="288"/>
      </w:pPr>
      <w:r>
        <w:rPr>
          <w:color w:val="8C8C8C"/>
          <w:sz w:val="12"/>
        </w:rPr>
        <w:t>cf-art-196</w:t>
      </w:r>
      <w:r>
        <w:rPr>
          <w:color w:val="003CA0"/>
          <w:sz w:val="12"/>
        </w:rPr>
        <w:t xml:space="preserve"> | ADPF 709</w:t>
      </w:r>
      <w:r>
        <w:rPr>
          <w:color w:val="003CA0"/>
          <w:sz w:val="12"/>
        </w:rPr>
        <w:t xml:space="preserve"> | rel. Roberto Barroso</w:t>
      </w:r>
    </w:p>
    <w:p>
      <w:pPr>
        <w:ind w:left="288"/>
      </w:pPr>
      <w:r>
        <w:rPr>
          <w:color w:val="1E1E1E"/>
          <w:sz w:val="18"/>
        </w:rPr>
        <w:t>Ação que tem por objeto falhas e omissões do Poder Público no combate à pandemia da COVID-19 entre os Povos Indígenas, com alto risco de contágio e mesmo de extermínio de etnias. (...) Os Povos Indígenas são especialmente vulneráveis a doenças infectocontagiosas, para as quais apresentam baixa imunidade e taxa de mortalidade superior à média nacional. Há indícios de expansão acelerada do contágio da COVID-19 entre seus membros e alegação de insuficiência das ações promovidas pela União para sua contenção. (...) A análise aqui desenvolvida observou três diretrizes: (i) os princípios da precauçã</w:t>
      </w:r>
    </w:p>
    <w:p>
      <w:pPr>
        <w:ind w:left="288"/>
      </w:pPr>
      <w:r>
        <w:rPr>
          <w:b/>
          <w:color w:val="003CA0"/>
          <w:sz w:val="16"/>
        </w:rPr>
        <w:t>[ADPF 709 MC REF, rel. min. Roberto Barroso, j. 5-8-2020, P, DJE de 7-10-2020.]</w:t>
      </w:r>
    </w:p>
    <w:p>
      <w:pPr>
        <w:ind w:left="288"/>
      </w:pPr>
      <w:r>
        <w:rPr>
          <w:color w:val="8C8C8C"/>
          <w:sz w:val="12"/>
        </w:rPr>
        <w:t>cf-art-196</w:t>
      </w:r>
      <w:r>
        <w:rPr>
          <w:color w:val="003CA0"/>
          <w:sz w:val="12"/>
        </w:rPr>
        <w:t xml:space="preserve"> | ADPF 709</w:t>
      </w:r>
      <w:r>
        <w:rPr>
          <w:color w:val="003CA0"/>
          <w:sz w:val="12"/>
        </w:rPr>
        <w:t xml:space="preserve"> | rel. Roberto Barroso</w:t>
      </w:r>
    </w:p>
    <w:p>
      <w:pPr>
        <w:ind w:left="288"/>
      </w:pPr>
      <w:r>
        <w:rPr>
          <w:color w:val="1E1E1E"/>
          <w:sz w:val="18"/>
        </w:rPr>
        <w:t>Vide: ADPF 709 TPI REF, rel. min. Roberto Barroso, j. 18-6-2021, P, DJE de 26-8-2021 O ato impugnado consiste em portaria assinada pelo Secretário de Defesa Agropecuária do Ministério da Agricultura, Pecuária e Abastecimento – MAPA, que estabelece prazos para aprovação tácita de utilização de agrotóxicos, independentemente da conclusão de estudos técnicos relacionados aos efeitos nocivos ao meio ambiente ou as consequências à saúde da população brasileira. Trata-se de portaria, destinada ao público em geral com função similar a um decreto regulamentar, o qual, à pretexto de interpretar o texto</w:t>
      </w:r>
    </w:p>
    <w:p>
      <w:pPr>
        <w:ind w:left="288"/>
      </w:pPr>
      <w:r>
        <w:rPr>
          <w:b/>
          <w:color w:val="003CA0"/>
          <w:sz w:val="16"/>
        </w:rPr>
        <w:t>[ADPF 656 MC, rel. min. Ricardo Lewandowski, j. 22-6-2020, P, DJE de 31-8-2020.]</w:t>
      </w:r>
    </w:p>
    <w:p>
      <w:pPr>
        <w:ind w:left="288"/>
      </w:pPr>
      <w:r>
        <w:rPr>
          <w:color w:val="8C8C8C"/>
          <w:sz w:val="12"/>
        </w:rPr>
        <w:t>cf-art-196</w:t>
      </w:r>
      <w:r>
        <w:rPr>
          <w:color w:val="003CA0"/>
          <w:sz w:val="12"/>
        </w:rPr>
        <w:t xml:space="preserve"> | ADI 5.592</w:t>
      </w:r>
    </w:p>
    <w:p>
      <w:pPr>
        <w:ind w:left="288"/>
      </w:pPr>
      <w:r>
        <w:rPr>
          <w:color w:val="1E1E1E"/>
          <w:sz w:val="18"/>
        </w:rPr>
        <w:t>Apesar de submeter a incorporação do mecanismo de dispersão de substâncias químicas por aeronaves para combate ao mosquito transmissor do vírus da dengue, do vírus chikungunya e do vírus da zika à autorização da autoridade sanitária e à comprovação de eficácia da prática no combate ao mosquito, o legislador assumiu a positivação do instrumento sem a realização prévia de estudos em obediência ao princípio da precaução, o que pode levar à violação à sistemática de proteção ambiental contida no artigo 225 da Constituição Federal. (...) Em atendimento aos princípios da precaução e da prevenção, be</w:t>
      </w:r>
    </w:p>
    <w:p>
      <w:pPr>
        <w:ind w:left="288"/>
      </w:pPr>
      <w:r>
        <w:rPr>
          <w:b/>
          <w:color w:val="003CA0"/>
          <w:sz w:val="16"/>
        </w:rPr>
        <w:t>[ADI 5.592, red. do ac. min. Edson Fachin, j. 11-9-2019, P, DJE de 10-3-2020.]</w:t>
      </w:r>
    </w:p>
    <w:p>
      <w:pPr>
        <w:ind w:left="288"/>
      </w:pPr>
      <w:r>
        <w:rPr>
          <w:color w:val="8C8C8C"/>
          <w:sz w:val="12"/>
        </w:rPr>
        <w:t>cf-art-196</w:t>
      </w:r>
      <w:r>
        <w:rPr>
          <w:color w:val="003CA0"/>
          <w:sz w:val="12"/>
        </w:rPr>
        <w:t xml:space="preserve"> | ADI 1.931</w:t>
      </w:r>
      <w:r>
        <w:rPr>
          <w:color w:val="003CA0"/>
          <w:sz w:val="12"/>
        </w:rPr>
        <w:t xml:space="preserve"> | rel. Marco Aurélio</w:t>
      </w:r>
    </w:p>
    <w:p>
      <w:pPr>
        <w:ind w:left="288"/>
      </w:pPr>
      <w:r>
        <w:rPr>
          <w:color w:val="1E1E1E"/>
          <w:sz w:val="18"/>
        </w:rPr>
        <w:t>Planos de saúde. Regência. Observância. Os planos de saúde submetem-se aos ditantes constitucionais, à legislação da época em que contratados e às clausulas deles constantes – considerações.</w:t>
      </w:r>
    </w:p>
    <w:p>
      <w:pPr>
        <w:ind w:left="288"/>
      </w:pPr>
      <w:r>
        <w:rPr>
          <w:b/>
          <w:color w:val="003CA0"/>
          <w:sz w:val="16"/>
        </w:rPr>
        <w:t>[ADI 1.931, rel. min. Marco Aurélio, j. 7-2-2018, P, DJE de 8-6-2018.]</w:t>
      </w:r>
    </w:p>
    <w:p>
      <w:pPr>
        <w:ind w:left="288"/>
      </w:pPr>
      <w:r>
        <w:rPr>
          <w:color w:val="8C8C8C"/>
          <w:sz w:val="12"/>
        </w:rPr>
        <w:t>cf-art-196</w:t>
      </w:r>
      <w:r>
        <w:rPr>
          <w:color w:val="003CA0"/>
          <w:sz w:val="12"/>
        </w:rPr>
        <w:t xml:space="preserve"> | ADI 5.035</w:t>
      </w:r>
    </w:p>
    <w:p>
      <w:pPr>
        <w:ind w:left="288"/>
      </w:pPr>
      <w:r>
        <w:rPr>
          <w:color w:val="1E1E1E"/>
          <w:sz w:val="18"/>
        </w:rPr>
        <w:t>Direito fundamental à saude. Programa Mais Médicos. Conversão da Medida Provisória 621/2013 na Lei 12.871/13. Relevância e urgência configuradas pela carência de profissonais médicos em diversas regiões do país. Parceria acadêmica que atende ao binômio ensino-serviço. (...) A Constituição obriga o Estado brasileiro a perseguir um modelo de atenção à saúde capaz de oferecer acesso universal ao melhor e mais diversificado elenco de ações e serviços de saúde que possa ser custeado para todos, igualmente, e para cada um, isoladamente, quando circunstâncias extraordinárias assim o exigirem. A grave</w:t>
      </w:r>
    </w:p>
    <w:p>
      <w:pPr>
        <w:ind w:left="288"/>
      </w:pPr>
      <w:r>
        <w:rPr>
          <w:b/>
          <w:color w:val="003CA0"/>
          <w:sz w:val="16"/>
        </w:rPr>
        <w:t>[ADI 5.035, red. do ac. min. Alexandre de Moraes, j. 30-11-2017, P, DJE de 29-7-2020.]</w:t>
      </w:r>
    </w:p>
    <w:p>
      <w:pPr>
        <w:ind w:left="288"/>
      </w:pPr>
      <w:r>
        <w:rPr>
          <w:color w:val="8C8C8C"/>
          <w:sz w:val="12"/>
        </w:rPr>
        <w:t>cf-art-196</w:t>
      </w:r>
      <w:r>
        <w:rPr>
          <w:color w:val="003CA0"/>
          <w:sz w:val="12"/>
        </w:rPr>
        <w:t xml:space="preserve"> | ADI 3.937</w:t>
      </w:r>
      <w:r>
        <w:rPr>
          <w:color w:val="003CA0"/>
          <w:sz w:val="12"/>
        </w:rPr>
        <w:t xml:space="preserve"> | rel. Rosa Weber</w:t>
      </w:r>
    </w:p>
    <w:p>
      <w:pPr>
        <w:ind w:left="288"/>
      </w:pPr>
      <w:r>
        <w:rPr>
          <w:color w:val="1E1E1E"/>
          <w:sz w:val="18"/>
        </w:rPr>
        <w:t>O consenso dos órgãos oficiais de saúde geral e de saúde do trabalhador em torno da natureza altamente cancerígena do amianto crisotila, a existência de materiais alternativos à fibra de amianto e a ausência de revisão da legislação federal revelam a inconstitucionalidade superveniente (sob a óptica material) da Lei Federal 9.055/1995, por ofensa ao direito à saúde (art. 6º e 196, CF/88), ao dever estatal de redução dos riscos inerentes ao trabalho por meio de normas de saúde, higiene e segurança (art. 7º, inciso XXII, CF/88), e à proteção do meio ambiente (art. 225, CF/88). Diante da invalida</w:t>
      </w:r>
    </w:p>
    <w:p>
      <w:pPr>
        <w:ind w:left="288"/>
      </w:pPr>
      <w:r>
        <w:rPr>
          <w:b/>
          <w:color w:val="003CA0"/>
          <w:sz w:val="16"/>
        </w:rPr>
        <w:t>[ADI 4.066, rel. min. Rosa Weber, j. 24-8-2017, P, DJE de 7-3-2018.]</w:t>
      </w:r>
    </w:p>
    <w:p>
      <w:pPr>
        <w:ind w:left="288"/>
      </w:pPr>
      <w:r>
        <w:rPr>
          <w:color w:val="8C8C8C"/>
          <w:sz w:val="12"/>
        </w:rPr>
        <w:t>cf-art-196</w:t>
      </w:r>
      <w:r>
        <w:rPr>
          <w:color w:val="003CA0"/>
          <w:sz w:val="12"/>
        </w:rPr>
        <w:t xml:space="preserve"> | ADI 5.501</w:t>
      </w:r>
      <w:r>
        <w:rPr>
          <w:color w:val="003CA0"/>
          <w:sz w:val="12"/>
        </w:rPr>
        <w:t xml:space="preserve"> | rel. Ricardo Lewandowski</w:t>
      </w:r>
    </w:p>
    <w:p>
      <w:pPr>
        <w:ind w:left="288"/>
      </w:pPr>
      <w:r>
        <w:rPr>
          <w:color w:val="1E1E1E"/>
          <w:sz w:val="18"/>
        </w:rPr>
        <w:t>Observem a organicidade do Direito e o âmbito da Lei 13.269/2016, autorizadora da comercialização de substância química não submetida previamente a testes clínicos em seres humanos. Ao suspender exigibilidade de registro sanitário da fosfoetanolamina sintética, o ato atacado discrepa das balizas constitucionais concernentes ao dever estatal de reduzir o risco de doença e outros agravos à saúde dos cidadãos – art. 196 da CF. (...) É no mínimo temerária – e potencialmente danosa – a liberação genérica do medicamento sem a realização dos estudos clínicos correspondentes, em razão da ausência, até</w:t>
      </w:r>
    </w:p>
    <w:p>
      <w:pPr>
        <w:ind w:left="288"/>
      </w:pPr>
      <w:r>
        <w:rPr>
          <w:b/>
          <w:color w:val="003CA0"/>
          <w:sz w:val="16"/>
        </w:rPr>
        <w:t>[ADI 3.430, rel. min. Ricardo Lewandowski, j. 12-8-2009, P, DJE de 23-10-2009.]</w:t>
      </w:r>
    </w:p>
    <w:p>
      <w:pPr>
        <w:ind w:left="288"/>
      </w:pPr>
      <w:r>
        <w:rPr>
          <w:color w:val="8C8C8C"/>
          <w:sz w:val="12"/>
        </w:rPr>
        <w:t>cf-art-196</w:t>
      </w:r>
      <w:r>
        <w:rPr>
          <w:color w:val="003CA0"/>
          <w:sz w:val="12"/>
        </w:rPr>
        <w:t xml:space="preserve"> | STA 175</w:t>
      </w:r>
      <w:r>
        <w:rPr>
          <w:color w:val="003CA0"/>
          <w:sz w:val="12"/>
        </w:rPr>
        <w:t xml:space="preserve"> | rel. Gilmar Mendes</w:t>
      </w:r>
    </w:p>
    <w:p>
      <w:pPr>
        <w:ind w:left="288"/>
      </w:pPr>
      <w:r>
        <w:rPr>
          <w:color w:val="1E1E1E"/>
          <w:sz w:val="18"/>
        </w:rPr>
        <w:t>“I. Competência 1) Para fins de fixação de competência, as demandas relativas a medicamentos não incorporados na política pública do SUS e medicamentos oncológicos, ambos com registro na ANVISA, tramitarão perante a Justiça Federal, nos termos do art. 109, I, da Constituição Federal, quando o valor do tratamento anual específico do fármaco ou do princípio ativo, com base no Preço Máximo de Venda do Governo (PMVG situado na alíquota zero), divulgado pela Câmara de Regulação do Mercado de Medicamentos (CMED - Lei 10.742/2003), for igual ou superior ao valor de 210 salários mínimos, na forma do a</w:t>
      </w:r>
    </w:p>
    <w:p>
      <w:pPr>
        <w:ind w:left="288"/>
      </w:pPr>
      <w:r>
        <w:rPr>
          <w:b/>
          <w:color w:val="003CA0"/>
          <w:sz w:val="16"/>
        </w:rPr>
        <w:t>[RE 1.366.243 ED, rel. min. Gilmar Mendes, j. 16.12.2024, P, DJE de 5.2.2025, Tema 1.234, com mérito julgado.]</w:t>
      </w:r>
    </w:p>
    <w:p>
      <w:pPr>
        <w:ind w:left="288"/>
      </w:pPr>
      <w:r>
        <w:rPr>
          <w:color w:val="8C8C8C"/>
          <w:sz w:val="12"/>
        </w:rPr>
        <w:t>cf-art-196</w:t>
      </w:r>
      <w:r>
        <w:rPr>
          <w:color w:val="003CA0"/>
          <w:sz w:val="12"/>
        </w:rPr>
        <w:t xml:space="preserve"> | ARE 1.479.210</w:t>
      </w:r>
      <w:r>
        <w:rPr>
          <w:color w:val="003CA0"/>
          <w:sz w:val="12"/>
        </w:rPr>
        <w:t xml:space="preserve"> | rel. Alexandre de Moraes</w:t>
      </w:r>
    </w:p>
    <w:p>
      <w:pPr>
        <w:ind w:left="288"/>
      </w:pPr>
      <w:r>
        <w:rPr>
          <w:color w:val="1E1E1E"/>
          <w:sz w:val="18"/>
        </w:rPr>
        <w:t>Princípio da Legalidade e limites da Resolução RDC 327/2019 da ANVISA, que proíbe a manipulação de fórmulas magistrais contendo derivados ou fitofármacos à base de Cannabis e estabelece que os produtos de Cannabis devem ser dispensados exclusivamente por farmácias sem manipulação ou drogarias, mediante apresentação de prescrição por profissional médico, legalmente habilitado.</w:t>
      </w:r>
    </w:p>
    <w:p>
      <w:pPr>
        <w:ind w:left="288"/>
      </w:pPr>
      <w:r>
        <w:rPr>
          <w:b/>
          <w:color w:val="003CA0"/>
          <w:sz w:val="16"/>
        </w:rPr>
        <w:t>[ARE 1.479.210 RG, rel. min. Alexandre de Moraes, j. 18.10.2024, P, DJE de 29.10.2024, Tema 1.341, com mérito pendente.]</w:t>
      </w:r>
    </w:p>
    <w:p>
      <w:pPr>
        <w:ind w:left="144"/>
      </w:pPr>
      <w:r>
        <w:rPr>
          <w:b/>
          <w:color w:val="B45A00"/>
          <w:sz w:val="16"/>
        </w:rPr>
        <w:t>REPERCUSSAO GERAL</w:t>
      </w:r>
    </w:p>
    <w:p>
      <w:pPr>
        <w:ind w:left="288"/>
      </w:pPr>
      <w:r>
        <w:rPr>
          <w:color w:val="8C8C8C"/>
          <w:sz w:val="12"/>
        </w:rPr>
        <w:t>cf-art-196</w:t>
      </w:r>
      <w:r>
        <w:rPr>
          <w:color w:val="003CA0"/>
          <w:sz w:val="12"/>
        </w:rPr>
        <w:t xml:space="preserve"> | RE 566.471</w:t>
      </w:r>
      <w:r>
        <w:rPr>
          <w:color w:val="003CA0"/>
          <w:sz w:val="12"/>
        </w:rPr>
        <w:t xml:space="preserve"> | rel. Marco Aurélio</w:t>
      </w:r>
    </w:p>
    <w:p>
      <w:pPr>
        <w:ind w:left="288"/>
      </w:pPr>
      <w:r>
        <w:rPr>
          <w:color w:val="1E1E1E"/>
          <w:sz w:val="18"/>
        </w:rPr>
        <w:t xml:space="preserve">1. A ausência de inclusão de medicamento nas listas de dispensação do Sistema Único de Saúde - SUS (RENAME, RESME, REMUME, entre outras) impede, como regra geral, o fornecimento do fármaco por decisão judicial, independentemente do custo. 2. É possível, excepcionalmente, a concessão judicial de medicamento registrado na ANVISA, mas não incorporado às listas de dispensação do Sistema Único de Saúde, desde que preenchidos, cumulativamente, os seguintes requisitos, cujo ônus probatório incumbe ao autor da ação: (a) negativa de fornecimento do medicamento na via administrativa, nos termos do item </w:t>
      </w:r>
    </w:p>
    <w:p>
      <w:pPr>
        <w:ind w:left="288"/>
      </w:pPr>
      <w:r>
        <w:rPr>
          <w:b/>
          <w:color w:val="003CA0"/>
          <w:sz w:val="16"/>
        </w:rPr>
        <w:t>[RE 1.165.959, rel. min. Marco Aurélio, red. do ac. Min. Alexandre de Moraes, j. 18-6-2021, P, DJE de 22-10-2021, RG, Tema 1.161, com mérito em julgado.]</w:t>
      </w:r>
    </w:p>
    <w:p>
      <w:pPr>
        <w:ind w:left="288"/>
      </w:pPr>
      <w:r>
        <w:rPr>
          <w:color w:val="8C8C8C"/>
          <w:sz w:val="12"/>
        </w:rPr>
        <w:t>cf-art-196</w:t>
      </w:r>
      <w:r>
        <w:rPr>
          <w:color w:val="003CA0"/>
          <w:sz w:val="12"/>
        </w:rPr>
        <w:t xml:space="preserve"> | ACO 3.473</w:t>
      </w:r>
      <w:r>
        <w:rPr>
          <w:color w:val="003CA0"/>
          <w:sz w:val="12"/>
        </w:rPr>
        <w:t xml:space="preserve"> | rel. Rosa Weber</w:t>
      </w:r>
    </w:p>
    <w:p>
      <w:pPr>
        <w:ind w:left="288"/>
      </w:pPr>
      <w:r>
        <w:rPr>
          <w:color w:val="1E1E1E"/>
          <w:sz w:val="18"/>
        </w:rPr>
        <w:t>As condições da saúde pública decorrentes da calamidade provocada pelo novo Coronavírus, agravadas pelo recrudescimento da pandemia em todo território nacional, desautorizam qualquer retrocesso nas políticas públicas de saúde, especialmente a supressão de leitos de UTI habilitados (custeados) pela União. Comprovada a omissão estatal e identificado o gerenciamento errático em situação de emergência, como a que ora se apresenta, é viável a interferência judicial para a concretização do direito social à saúde, cujas ações e serviços são marcados constitucionalmente pelo acesso igualitário e unive</w:t>
      </w:r>
    </w:p>
    <w:p>
      <w:pPr>
        <w:ind w:left="288"/>
      </w:pPr>
      <w:r>
        <w:rPr>
          <w:b/>
          <w:color w:val="003CA0"/>
          <w:sz w:val="16"/>
        </w:rPr>
        <w:t>[ACO 3.473 MC REF, ACO 3.474 REF TP, ACO 3.475 REF TP, ACO 3.478 MC REF e ACO 3.483 REF TP, rel. min. Rosa Weber, j. 8-4-2021, P, DJE de 24-5-2021, com mérito julgado.]</w:t>
      </w:r>
    </w:p>
    <w:p>
      <w:pPr>
        <w:ind w:left="288"/>
      </w:pPr>
      <w:r>
        <w:rPr>
          <w:color w:val="8C8C8C"/>
          <w:sz w:val="12"/>
        </w:rPr>
        <w:t>cf-art-196</w:t>
      </w:r>
      <w:r>
        <w:rPr>
          <w:color w:val="003CA0"/>
          <w:sz w:val="12"/>
        </w:rPr>
        <w:t xml:space="preserve"> | ARE 1.267.879</w:t>
      </w:r>
      <w:r>
        <w:rPr>
          <w:color w:val="003CA0"/>
          <w:sz w:val="12"/>
        </w:rPr>
        <w:t xml:space="preserve"> | rel. Roberto Barroso</w:t>
      </w:r>
    </w:p>
    <w:p>
      <w:pPr>
        <w:ind w:left="288"/>
      </w:pPr>
      <w:r>
        <w:rPr>
          <w:color w:val="1E1E1E"/>
          <w:sz w:val="18"/>
        </w:rPr>
        <w:t>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 poder familiar.</w:t>
        <w:br/>
        <w:t xml:space="preserve">[ARE 1.267.879, rel. min. Roberto Barroso, j. 17-12-2020, P, DJE de 8-4-2021, Tema </w:t>
      </w:r>
    </w:p>
    <w:p>
      <w:pPr>
        <w:ind w:left="288"/>
      </w:pPr>
      <w:r>
        <w:rPr>
          <w:b/>
          <w:color w:val="003CA0"/>
          <w:sz w:val="16"/>
        </w:rPr>
        <w:t>[RE 855.178-ED, red. do ac. min. Edson Fachin, j. 23-5-2019, P, DJE de 16-4-2020, Tema 793.]</w:t>
      </w:r>
    </w:p>
    <w:p>
      <w:pPr>
        <w:ind w:left="288"/>
      </w:pPr>
      <w:r>
        <w:rPr>
          <w:color w:val="8C8C8C"/>
          <w:sz w:val="12"/>
        </w:rPr>
        <w:t>cf-art-196</w:t>
      </w:r>
      <w:r>
        <w:rPr>
          <w:color w:val="003CA0"/>
          <w:sz w:val="12"/>
        </w:rPr>
        <w:t xml:space="preserve"> | RE 657.718</w:t>
      </w:r>
    </w:p>
    <w:p>
      <w:pPr>
        <w:ind w:left="288"/>
      </w:pPr>
      <w:r>
        <w:rPr>
          <w:color w:val="1E1E1E"/>
          <w:sz w:val="18"/>
        </w:rPr>
        <w:t>O Estado não pode ser obrigado a fornecer medicamentos experimentais. A ausência de registro na ANVISA impede, como regra geral, o fornecimento de medicamento por decisão judicial. É possível, excepcionalmente, a concessão judicial de medicamento sem registro sanitário, em caso de mora irrazoável da ANVISA em apreciar o pedido de registro (prazo superior ao previsto na Lei 13.411/2016), quando preenchidos três requisitos: (i) a existência de pedido de registro do medicamento no Brasil (salvo no caso de medicamentos órfãos para doenças raras e ultrarraras); (ii) a existência de registro do medi</w:t>
      </w:r>
    </w:p>
    <w:p>
      <w:pPr>
        <w:ind w:left="288"/>
      </w:pPr>
      <w:r>
        <w:rPr>
          <w:b/>
          <w:color w:val="003CA0"/>
          <w:sz w:val="16"/>
        </w:rPr>
        <w:t>[RE 657.718, red. do ac. min. Roberto Barroso, j. 22-5-2019, P, DJE de 9-11-2020, Tema 500, com mérito julgado.]</w:t>
      </w:r>
    </w:p>
    <w:p>
      <w:pPr>
        <w:ind w:left="288"/>
      </w:pPr>
      <w:r>
        <w:rPr>
          <w:color w:val="8C8C8C"/>
          <w:sz w:val="12"/>
        </w:rPr>
        <w:t>cf-art-196</w:t>
      </w:r>
      <w:r>
        <w:rPr>
          <w:color w:val="003CA0"/>
          <w:sz w:val="12"/>
        </w:rPr>
        <w:t xml:space="preserve"> | RE 581.488</w:t>
      </w:r>
      <w:r>
        <w:rPr>
          <w:color w:val="003CA0"/>
          <w:sz w:val="12"/>
        </w:rPr>
        <w:t xml:space="preserve"> | rel. Dias Toffoli</w:t>
      </w:r>
    </w:p>
    <w:p>
      <w:pPr>
        <w:ind w:left="288"/>
      </w:pPr>
      <w:r>
        <w:rPr>
          <w:color w:val="1E1E1E"/>
          <w:sz w:val="18"/>
        </w:rPr>
        <w:t>Não fere o direito à saúde, tampouco a autonomia profissional do médico, o normativo que veda, no âmbito do SUS, a assistência diferenciada mediante pagamento ou que impõe necessidade de triagem dos pacientes em postos de saúde previamente à internação.</w:t>
      </w:r>
    </w:p>
    <w:p>
      <w:pPr>
        <w:ind w:left="288"/>
      </w:pPr>
      <w:r>
        <w:rPr>
          <w:b/>
          <w:color w:val="003CA0"/>
          <w:sz w:val="16"/>
        </w:rPr>
        <w:t>[RE 581.488, rel. min. Dias Toffoli, j. 3-12-2015, P, DJE de 8-4-2016, Tema 579, com mérito julgado.]</w:t>
      </w:r>
    </w:p>
    <w:p>
      <w:pPr>
        <w:ind w:left="288"/>
      </w:pPr>
      <w:r>
        <w:rPr>
          <w:color w:val="8C8C8C"/>
          <w:sz w:val="12"/>
        </w:rPr>
        <w:t>cf-art-196</w:t>
      </w:r>
      <w:r>
        <w:rPr>
          <w:color w:val="003CA0"/>
          <w:sz w:val="12"/>
        </w:rPr>
        <w:t xml:space="preserve"> | RE 226.835</w:t>
      </w:r>
      <w:r>
        <w:rPr>
          <w:color w:val="003CA0"/>
          <w:sz w:val="12"/>
        </w:rPr>
        <w:t xml:space="preserve"> | rel. Ilmar Galvão</w:t>
      </w:r>
    </w:p>
    <w:p>
      <w:pPr>
        <w:ind w:left="288"/>
      </w:pPr>
      <w:r>
        <w:rPr>
          <w:color w:val="1E1E1E"/>
          <w:sz w:val="18"/>
        </w:rPr>
        <w:t>Vide RE 226.835, rel. min. Ilmar Galvão, j. 14-12-1999, 1ª T, DJ de 10-3-2000 O tratamento médico adequado aos necessitados se insere no rol dos deveres do Estado, porquanto responsabilidade solidária dos entes federados. O polo passivo pode ser composto por qualquer um deles, isoladamente, ou conjuntamente.</w:t>
        <w:br/>
        <w:t>[RE 855.178 RG, rel. min. Luiz Fux, j. 5-3-2015, P, DJE de 16-3-2015, Tema 793, com mérito julgado.] Esta Suprema Corte, no julgamento do RE-RG 855.178, Rel. Min. Luiz Fux, DJe 16.3.2015 (tema 793), firmou entendimento segundo o qual constitui obrigação solidária entre os entes da federaçã</w:t>
      </w:r>
    </w:p>
    <w:p>
      <w:pPr>
        <w:ind w:left="288"/>
      </w:pPr>
      <w:r>
        <w:rPr>
          <w:b/>
          <w:color w:val="003CA0"/>
          <w:sz w:val="16"/>
        </w:rPr>
        <w:t>[Rcl 85.855 AgR, rel. min. Gilmar Mendes, j. 25-2-2026, 2ª T, DJE de 5-3-2026.]</w:t>
      </w:r>
    </w:p>
    <w:p>
      <w:pPr>
        <w:ind w:left="288"/>
      </w:pPr>
      <w:r>
        <w:rPr>
          <w:color w:val="8C8C8C"/>
          <w:sz w:val="12"/>
        </w:rPr>
        <w:t>cf-art-196</w:t>
      </w:r>
      <w:r>
        <w:rPr>
          <w:color w:val="003CA0"/>
          <w:sz w:val="12"/>
        </w:rPr>
        <w:t xml:space="preserve"> | RE 2.813</w:t>
      </w:r>
      <w:r>
        <w:rPr>
          <w:color w:val="003CA0"/>
          <w:sz w:val="12"/>
        </w:rPr>
        <w:t xml:space="preserve"> | rel. Gilmar Mendes</w:t>
      </w:r>
    </w:p>
    <w:p>
      <w:pPr>
        <w:ind w:left="288"/>
      </w:pPr>
      <w:r>
        <w:rPr>
          <w:color w:val="1E1E1E"/>
          <w:sz w:val="18"/>
        </w:rPr>
        <w:t>Suspensão temporária, pela Anvisa, da comercialização, distribuição, fabricação, importação, propaganda e uso do medicamento no brasil. (...) A discussão suscitada nos presentes autos foi elevada à condição de questão estrutural, sendo objeto de intensos debates no âmbito das audiências de conciliação. Na ocasião, como o Elevidys não havia sido registrado na Anvisa, a análise do medicamento era feita à luz do tema 500 da repercussão geral. No decorrer deste processo estrutural, adveio a aprovação condicionada no fármaco pela Anvisa, o que levou a discussão para o âmbito dos temas 6 e 1234, qua</w:t>
      </w:r>
    </w:p>
    <w:p>
      <w:pPr>
        <w:ind w:left="288"/>
      </w:pPr>
      <w:r>
        <w:rPr>
          <w:b/>
          <w:color w:val="003CA0"/>
          <w:sz w:val="16"/>
        </w:rPr>
        <w:t>[Rcl 68.709 TP-REF, rel. min. Gilmar Mendes, j. 13.10.2025, P, DJE de 20.10.2025.]</w:t>
      </w:r>
    </w:p>
    <w:p>
      <w:pPr>
        <w:ind w:left="288"/>
      </w:pPr>
      <w:r>
        <w:rPr>
          <w:color w:val="8C8C8C"/>
          <w:sz w:val="12"/>
        </w:rPr>
        <w:t>cf-art-196</w:t>
      </w:r>
      <w:r>
        <w:rPr>
          <w:color w:val="003CA0"/>
          <w:sz w:val="12"/>
        </w:rPr>
        <w:t xml:space="preserve"> | RCL 82.271</w:t>
      </w:r>
      <w:r>
        <w:rPr>
          <w:color w:val="003CA0"/>
          <w:sz w:val="12"/>
        </w:rPr>
        <w:t xml:space="preserve"> | rel. Dias Toffoli</w:t>
      </w:r>
    </w:p>
    <w:p>
      <w:pPr>
        <w:ind w:left="288"/>
      </w:pPr>
      <w:r>
        <w:rPr>
          <w:color w:val="1E1E1E"/>
          <w:sz w:val="18"/>
        </w:rPr>
        <w:t>O indeferimento de fornecimento de produto a base de canabidiol pelo poder público por ausência de comprovação do uso das alternativas terapêuticas disponíveis no Sistema Público de Saúde e da refratariedade aos tratamentos está em consonância com a tese do Tema nº 1.161 da RG.</w:t>
      </w:r>
    </w:p>
    <w:p>
      <w:pPr>
        <w:ind w:left="288"/>
      </w:pPr>
      <w:r>
        <w:rPr>
          <w:b/>
          <w:color w:val="003CA0"/>
          <w:sz w:val="16"/>
        </w:rPr>
        <w:t>[Rcl 82.271 AgR, rel. min. Dias Toffoli, j. 22.09.2025, 2ª T, DJE de 23.09.2025.]</w:t>
      </w:r>
    </w:p>
    <w:p>
      <w:pPr>
        <w:ind w:left="288"/>
      </w:pPr>
      <w:r>
        <w:rPr>
          <w:color w:val="8C8C8C"/>
          <w:sz w:val="12"/>
        </w:rPr>
        <w:t>cf-art-196</w:t>
      </w:r>
      <w:r>
        <w:rPr>
          <w:color w:val="003CA0"/>
          <w:sz w:val="12"/>
        </w:rPr>
        <w:t xml:space="preserve"> | MS 40.297</w:t>
      </w:r>
      <w:r>
        <w:rPr>
          <w:color w:val="003CA0"/>
          <w:sz w:val="12"/>
        </w:rPr>
        <w:t xml:space="preserve"> | rel. Flávio Dino</w:t>
      </w:r>
    </w:p>
    <w:p>
      <w:pPr>
        <w:ind w:left="288"/>
      </w:pPr>
      <w:r>
        <w:rPr>
          <w:color w:val="1E1E1E"/>
          <w:sz w:val="18"/>
        </w:rPr>
        <w:t>A Medida Provisória nº 1.287/2025, que institui a concessão de indenização às famílias de crianças com sequelas decorrentes da síndrome congênita do vírus da Zika, ainda não foi regulamentada nem operacionalizada pela administração pública, o que impede o acesso efetivo ao benefício. Há risco de perda do direito, pois a Medida Provisória deixará de valer em 2 de junho de 2025, caso não seja convertida em lei pelo Congresso Nacional. A omissão pode comprometer os direitos constitucionais das crianças e pessoas com deficiência, como o direito à saúde, à proteção integral e à dignidade (arts. 6º,</w:t>
      </w:r>
    </w:p>
    <w:p>
      <w:pPr>
        <w:ind w:left="288"/>
      </w:pPr>
      <w:r>
        <w:rPr>
          <w:b/>
          <w:color w:val="003CA0"/>
          <w:sz w:val="16"/>
        </w:rPr>
        <w:t>[MS 40.297 MC-REF rel. min. Flávio Dino, j. 10.06.2025, P, DJE de 06.08.2025.]</w:t>
      </w:r>
    </w:p>
    <w:p>
      <w:pPr>
        <w:ind w:left="288"/>
      </w:pPr>
      <w:r>
        <w:rPr>
          <w:color w:val="8C8C8C"/>
          <w:sz w:val="12"/>
        </w:rPr>
        <w:t>cf-art-196</w:t>
      </w:r>
      <w:r>
        <w:rPr>
          <w:color w:val="003CA0"/>
          <w:sz w:val="12"/>
        </w:rPr>
        <w:t xml:space="preserve"> | MS 39.747</w:t>
      </w:r>
      <w:r>
        <w:rPr>
          <w:color w:val="003CA0"/>
          <w:sz w:val="12"/>
        </w:rPr>
        <w:t xml:space="preserve"> | rel. Flávio Dino</w:t>
      </w:r>
    </w:p>
    <w:p>
      <w:pPr>
        <w:ind w:left="288"/>
      </w:pPr>
      <w:r>
        <w:rPr>
          <w:color w:val="1E1E1E"/>
          <w:sz w:val="18"/>
        </w:rPr>
        <w:t>O CNJ pode estabelecer metas administrativas para a melhoria dos serviços psiquiátricos, mas os cronogramas de interdição e fechamento, se necessário, devem ser ajustados conforme a capacidade de resposta dos estados. A relevante finalidade da Resolução CNJ nº 487/2023, que busca garantir um tratamento mais digno e adequado aos pacientes psiquiátricos, deve ser equilibrada com a necessidade de uma implementação realista e gradual das mudanças, sem cronogramas rígidos, e partindo de diálogos com os governos das 27 unidades federadas. (...) Medida cautelar deferida, em parte, para manter em func</w:t>
      </w:r>
    </w:p>
    <w:p>
      <w:pPr>
        <w:ind w:left="288"/>
      </w:pPr>
      <w:r>
        <w:rPr>
          <w:b/>
          <w:color w:val="003CA0"/>
          <w:sz w:val="16"/>
        </w:rPr>
        <w:t>[RE 1.319.935 AgR-ED, rel. min. Edson Fachin, j. 19.09.2023, P, DJE de 23.10.2023.]</w:t>
      </w:r>
    </w:p>
    <w:p>
      <w:pPr>
        <w:ind w:left="288"/>
      </w:pPr>
      <w:r>
        <w:rPr>
          <w:color w:val="8C8C8C"/>
          <w:sz w:val="12"/>
        </w:rPr>
        <w:t>cf-art-196</w:t>
      </w:r>
      <w:r>
        <w:rPr>
          <w:color w:val="003CA0"/>
          <w:sz w:val="12"/>
        </w:rPr>
        <w:t xml:space="preserve"> | RE 1.399.165</w:t>
      </w:r>
      <w:r>
        <w:rPr>
          <w:color w:val="003CA0"/>
          <w:sz w:val="12"/>
        </w:rPr>
        <w:t xml:space="preserve"> | rel. Edson Fachin</w:t>
      </w:r>
    </w:p>
    <w:p>
      <w:pPr>
        <w:ind w:left="288"/>
      </w:pPr>
      <w:r>
        <w:rPr>
          <w:color w:val="1E1E1E"/>
          <w:sz w:val="18"/>
        </w:rPr>
        <w:t>Esta Corte tem determinado o fornecimento do medicamento Zolgensma a crianças portadoras de Amiotrofia Muscular Espinhal, considerando a excepcionalidade do caso em questão, o direito à saúde previsto no art. 196 da Constituição da República, especialmente, o direito à vida, o que tem justificado a manutenção dos efeitos da antecipação de tutela (STP), porquanto, inexistente risco de lesão à ordem e à economia pública e julgado procedentes reclamações para restabelecer os efeitos dos acórdãos que obrigavam a União a fornecer o fármaco requerido. O STF tem reconhecido, ainda, a sua eficácia e i</w:t>
      </w:r>
    </w:p>
    <w:p>
      <w:pPr>
        <w:ind w:left="288"/>
      </w:pPr>
      <w:r>
        <w:rPr>
          <w:b/>
          <w:color w:val="003CA0"/>
          <w:sz w:val="16"/>
        </w:rPr>
        <w:t>[HC 188.820 MC-REF, rel. min. Edson Fachin, j. 24-2-2021, 2ª T, DJE de 24-3-2021.]</w:t>
      </w:r>
    </w:p>
    <w:p>
      <w:pPr>
        <w:ind w:left="288"/>
      </w:pPr>
      <w:r>
        <w:rPr>
          <w:color w:val="8C8C8C"/>
          <w:sz w:val="12"/>
        </w:rPr>
        <w:t>cf-art-196</w:t>
      </w:r>
      <w:r>
        <w:rPr>
          <w:color w:val="003CA0"/>
          <w:sz w:val="12"/>
        </w:rPr>
        <w:t xml:space="preserve"> | ACO 3.451</w:t>
      </w:r>
      <w:r>
        <w:rPr>
          <w:color w:val="003CA0"/>
          <w:sz w:val="12"/>
        </w:rPr>
        <w:t xml:space="preserve"> | rel. Ricardo Lewandowski</w:t>
      </w:r>
    </w:p>
    <w:p>
      <w:pPr>
        <w:ind w:left="288"/>
      </w:pPr>
      <w:r>
        <w:rPr>
          <w:color w:val="1E1E1E"/>
          <w:sz w:val="18"/>
        </w:rPr>
        <w:t>A Constituição Federal prevê, ao lado do direito subjetivo público à saúde, a obrigação de o Estado dar-lhe efetiva concreção, por meio de ‘políticas sociais e econômicas que visem à redução do risco de doença e de outros agravos e ao acesso universal e igualitário às ações e serviços para a sua promoção, proteção e recuperação’ (art. 196). Esse dever abrange todos os entes federados, inclusive as comunas, os quais, na seara da saúde, exercem uma competência administrativa comum, nos termos do art. 23, II, do Texto Constitucional. O federalismo cooperativo, adotado entre nós, exige que a União</w:t>
      </w:r>
    </w:p>
    <w:p>
      <w:pPr>
        <w:ind w:left="288"/>
      </w:pPr>
      <w:r>
        <w:rPr>
          <w:b/>
          <w:color w:val="003CA0"/>
          <w:sz w:val="16"/>
        </w:rPr>
        <w:t>[ACO 3.451 MC REF, rel. min. Ricardo Lewandowski, j. 24-2-2021, P, DJE de 10-3-2021.]</w:t>
      </w:r>
    </w:p>
    <w:p>
      <w:pPr>
        <w:ind w:left="288"/>
      </w:pPr>
      <w:r>
        <w:rPr>
          <w:color w:val="8C8C8C"/>
          <w:sz w:val="12"/>
        </w:rPr>
        <w:t>cf-art-196</w:t>
      </w:r>
      <w:r>
        <w:rPr>
          <w:color w:val="003CA0"/>
          <w:sz w:val="12"/>
        </w:rPr>
        <w:t xml:space="preserve"> | ACO 1.472</w:t>
      </w:r>
      <w:r>
        <w:rPr>
          <w:color w:val="003CA0"/>
          <w:sz w:val="12"/>
        </w:rPr>
        <w:t xml:space="preserve"> | rel. Ricardo Lewandowski</w:t>
      </w:r>
    </w:p>
    <w:p>
      <w:pPr>
        <w:ind w:left="288"/>
      </w:pPr>
      <w:r>
        <w:rPr>
          <w:color w:val="1E1E1E"/>
          <w:sz w:val="18"/>
        </w:rPr>
        <w:t>O direito fundamental à saúde dos portadores de transtornos mentais encontra arrimo não somente nos arts. 5º, 6º, 196 e 197 da Carta da República, como também nos arts. 2º, § 1º, e 6º, I, d, da Lei 8.080/1990, na Portaria 3.916/1998 do Ministério da Saúde, além dos arts. 2º, 3º e 12 da Lei 10.216/2001, que, conforme visto, redireciona o modelo assistencial em saúde mental no Brasil. A linha de argumentação desenvolvida pelo Estado requerido quanto à insuficiência orçamentária é inconsistente, porquanto comprovado que os recursos existem e que foram repassados pela União, não se podendo opor es</w:t>
      </w:r>
    </w:p>
    <w:p>
      <w:pPr>
        <w:ind w:left="288"/>
      </w:pPr>
      <w:r>
        <w:rPr>
          <w:b/>
          <w:color w:val="003CA0"/>
          <w:sz w:val="16"/>
        </w:rPr>
        <w:t>[ACO 1.472 AgR-segundo, rel. min. Ricardo Lewandowski, j. 1º-9-2017, P, DJE de 18-9-2017.]</w:t>
      </w:r>
    </w:p>
    <w:p>
      <w:pPr>
        <w:ind w:left="288"/>
      </w:pPr>
      <w:r>
        <w:rPr>
          <w:color w:val="8C8C8C"/>
          <w:sz w:val="12"/>
        </w:rPr>
        <w:t>cf-art-196</w:t>
      </w:r>
      <w:r>
        <w:rPr>
          <w:color w:val="003CA0"/>
          <w:sz w:val="12"/>
        </w:rPr>
        <w:t xml:space="preserve"> | AI 759.543</w:t>
      </w:r>
      <w:r>
        <w:rPr>
          <w:color w:val="003CA0"/>
          <w:sz w:val="12"/>
        </w:rPr>
        <w:t xml:space="preserve"> | rel. Celso de Mello</w:t>
      </w:r>
    </w:p>
    <w:p>
      <w:pPr>
        <w:ind w:left="288"/>
      </w:pPr>
      <w:r>
        <w:rPr>
          <w:color w:val="1E1E1E"/>
          <w:sz w:val="18"/>
        </w:rPr>
        <w:t>Ampliação e melhoria no atendimento à população no Hospital Municipal Souza Aguiar. Dever estatal de assistência à saúde resultante de norma constitucional. Obrigação jurídico-constitucional que se impõe aos Municípios (CF, art. 30, VII). Configuração, no caso, de típica hipótese de omissão inconstitucional imputável ao Município do Rio de Janeiro/RJ. Desrespeito à Constituição provocado por inércia estatal (RTJ 183/818-819). Comportamento que transgride a autoridade da Lei Fundamental da República (RTJ 185/794-796).</w:t>
        <w:br/>
        <w:t>[AI 759.543 AgR, rel. min. Celso de Mello, j. 17-12-2013, 2ª T, DJE de 12-2-2</w:t>
      </w:r>
    </w:p>
    <w:p>
      <w:pPr>
        <w:ind w:left="288"/>
      </w:pPr>
      <w:r>
        <w:rPr>
          <w:b/>
          <w:color w:val="003CA0"/>
          <w:sz w:val="16"/>
        </w:rPr>
        <w:t>[RE 668.722 AgR, rel. min. Dias Toffoli, j. 27-8-2013, 1ª T, DJE de 25-10-2013.]</w:t>
      </w:r>
    </w:p>
    <w:p>
      <w:pPr>
        <w:ind w:left="288"/>
      </w:pPr>
      <w:r>
        <w:rPr>
          <w:color w:val="8C8C8C"/>
          <w:sz w:val="12"/>
        </w:rPr>
        <w:t>cf-art-196</w:t>
      </w:r>
      <w:r>
        <w:rPr>
          <w:color w:val="003CA0"/>
          <w:sz w:val="12"/>
        </w:rPr>
        <w:t xml:space="preserve"> | RE 271.286</w:t>
      </w:r>
      <w:r>
        <w:rPr>
          <w:color w:val="003CA0"/>
          <w:sz w:val="12"/>
        </w:rPr>
        <w:t xml:space="preserve"> | rel. Celso de Mello</w:t>
      </w:r>
    </w:p>
    <w:p>
      <w:pPr>
        <w:ind w:left="288"/>
      </w:pPr>
      <w:r>
        <w:rPr>
          <w:color w:val="1E1E1E"/>
          <w:sz w:val="18"/>
        </w:rPr>
        <w:t>Vide RE 271.286 AgR, rel. min. Celso de Mello, j. 12-9-2000, 2ª T, DJ de 24-11-2000 Consolidou-se a jurisprudência desta Corte no sentido de que, embora o art. 196 da Constituição de 1988 traga norma de caráter programático, o Município não pode furtar-se do dever de propiciar os meios necessários ao gozo do direito à saúde por todos os cidadãos. Se uma pessoa necessita, para garantir o seu direito à saúde, de tratamento médico adequado, é dever solidário da União, do Estado e do Município providenciá-lo.</w:t>
      </w:r>
    </w:p>
    <w:p>
      <w:pPr>
        <w:ind w:left="288"/>
      </w:pPr>
      <w:r>
        <w:rPr>
          <w:b/>
          <w:color w:val="003CA0"/>
          <w:sz w:val="16"/>
        </w:rPr>
        <w:t>[AI 550.530 AgR, rel. min. Joaquim Barbosa, j. 26-6-2012, 2ª T, DJE de 16-8-2012.]</w:t>
      </w:r>
    </w:p>
    <w:p>
      <w:pPr>
        <w:ind w:left="288"/>
      </w:pPr>
      <w:r>
        <w:rPr>
          <w:color w:val="8C8C8C"/>
          <w:sz w:val="12"/>
        </w:rPr>
        <w:t>cf-art-196</w:t>
      </w:r>
      <w:r>
        <w:rPr>
          <w:color w:val="003CA0"/>
          <w:sz w:val="12"/>
        </w:rPr>
        <w:t xml:space="preserve"> | RE 429.306</w:t>
      </w:r>
      <w:r>
        <w:rPr>
          <w:color w:val="003CA0"/>
          <w:sz w:val="12"/>
        </w:rPr>
        <w:t xml:space="preserve"> | rel. Joaquim Barbosa</w:t>
      </w:r>
    </w:p>
    <w:p>
      <w:pPr>
        <w:ind w:left="288"/>
      </w:pPr>
      <w:r>
        <w:rPr>
          <w:color w:val="1E1E1E"/>
          <w:sz w:val="18"/>
        </w:rPr>
        <w:t>Vilipêndio do dever fundamental de prestação de serviços de saúde (art. 196 da Constituição), pois o bem tributado é equipamento médico (sistema de tomografia computadorizada). Impossibilidade. Não há imunidade à tributação de operações ou bens relacionados à saúde. Leitura do princípio da seletividade.</w:t>
      </w:r>
    </w:p>
    <w:p>
      <w:pPr>
        <w:ind w:left="288"/>
      </w:pPr>
      <w:r>
        <w:rPr>
          <w:b/>
          <w:color w:val="003CA0"/>
          <w:sz w:val="16"/>
        </w:rPr>
        <w:t>[RE 429.306, rel. min. Joaquim Barbosa, j. 1º-2-2011, 2ª T, DJE de 16-3-2011.]</w:t>
      </w:r>
    </w:p>
    <w:p>
      <w:pPr>
        <w:ind w:left="288"/>
      </w:pPr>
      <w:r>
        <w:rPr>
          <w:color w:val="8C8C8C"/>
          <w:sz w:val="12"/>
        </w:rPr>
        <w:t>cf-art-196</w:t>
      </w:r>
      <w:r>
        <w:rPr>
          <w:color w:val="003CA0"/>
          <w:sz w:val="12"/>
        </w:rPr>
        <w:t xml:space="preserve"> | AI 734.487</w:t>
      </w:r>
      <w:r>
        <w:rPr>
          <w:color w:val="003CA0"/>
          <w:sz w:val="12"/>
        </w:rPr>
        <w:t xml:space="preserve"> | rel. Ellen Gracie</w:t>
      </w:r>
    </w:p>
    <w:p>
      <w:pPr>
        <w:ind w:left="288"/>
      </w:pPr>
      <w:r>
        <w:rPr>
          <w:color w:val="1E1E1E"/>
          <w:sz w:val="18"/>
        </w:rPr>
        <w:t>O direito à saúde é prerrogativa constitucional indisponível, garantido mediante a implementação de políticas públicas, impondo ao Estado a obrigação de criar condições objetivas que possibilitem o efetivo acesso a tal serviço.</w:t>
      </w:r>
    </w:p>
    <w:p>
      <w:pPr>
        <w:ind w:left="288"/>
      </w:pPr>
      <w:r>
        <w:rPr>
          <w:b/>
          <w:color w:val="003CA0"/>
          <w:sz w:val="16"/>
        </w:rPr>
        <w:t>[AI 734.487 AgR, rel. min. Ellen Gracie, j. 3-8-2010, 2ª T, DJE de 20-8-2010.]</w:t>
      </w:r>
    </w:p>
    <w:p>
      <w:pPr>
        <w:ind w:left="288"/>
      </w:pPr>
      <w:r>
        <w:rPr>
          <w:color w:val="8C8C8C"/>
          <w:sz w:val="12"/>
        </w:rPr>
        <w:t>cf-art-196</w:t>
      </w:r>
      <w:r>
        <w:rPr>
          <w:color w:val="003CA0"/>
          <w:sz w:val="12"/>
        </w:rPr>
        <w:t xml:space="preserve"> | RE 436.996</w:t>
      </w:r>
      <w:r>
        <w:rPr>
          <w:color w:val="003CA0"/>
          <w:sz w:val="12"/>
        </w:rPr>
        <w:t xml:space="preserve"> | rel. Celso de Mello</w:t>
      </w:r>
    </w:p>
    <w:p>
      <w:pPr>
        <w:ind w:left="288"/>
      </w:pPr>
      <w:r>
        <w:rPr>
          <w:color w:val="1E1E1E"/>
          <w:sz w:val="18"/>
        </w:rPr>
        <w:t>Vide RE 436.996 AgR, rel. min. Celso de Mello, j. 22-11-2005, 2ª T, DJ de 3-2-2006 Vide RE 271.286 AgR, rel. min. Celso de Mello, j. 12-9-2000, 2ª T, DJ de 24-11-2000 Vítima de assalto ocorrido em região do Estado de Pernambuco ao qual se atribui omissão no desempenho da obrigação de oferecer à população local níveis eficientes e adequados de segurança pública. Prática criminosa que causou tetraplegia à vítima e que lhe impôs, para sobreviver, dependência absoluta em relação a sistema de ventilação pulmonar artificial. Necessidade de implantação de marcapasso diafragmático intramuscular (marca</w:t>
      </w:r>
    </w:p>
    <w:p>
      <w:pPr>
        <w:ind w:left="288"/>
      </w:pPr>
      <w:r>
        <w:rPr>
          <w:b/>
          <w:color w:val="003CA0"/>
          <w:sz w:val="16"/>
        </w:rPr>
        <w:t>[STA 223 AgR, rel. min. Celso de Mello, j. 14-4-2008, P, DJE de 9-4-2014.]</w:t>
      </w:r>
    </w:p>
    <w:p>
      <w:pPr>
        <w:ind w:left="288"/>
      </w:pPr>
      <w:r>
        <w:rPr>
          <w:color w:val="8C8C8C"/>
          <w:sz w:val="12"/>
        </w:rPr>
        <w:t>cf-art-196</w:t>
      </w:r>
      <w:r>
        <w:rPr>
          <w:color w:val="003CA0"/>
          <w:sz w:val="12"/>
        </w:rPr>
        <w:t xml:space="preserve"> | AC 1.657</w:t>
      </w:r>
    </w:p>
    <w:p>
      <w:pPr>
        <w:ind w:left="288"/>
      </w:pPr>
      <w:r>
        <w:rPr>
          <w:color w:val="1E1E1E"/>
          <w:sz w:val="18"/>
        </w:rPr>
        <w:t>American Virginia Indústria e Comércio Importação Exportação Ltda. pretende obter efeito suspensivo para recurso extraordinário admitido na origem, no qual se opõe a interdição de estabelecimentos seus, decorrente do cancelamento do registro especial para industrialização de cigarros, por descumprimento de obrigações tributárias. (...) Dadas as características do mercado de cigarros, que encontra na tributação dirigida um dos fatores determinantes do preço do produto, parece-me de todo compatível com o ordenamento limitar a liberdade de iniciativa a bem de outras finalidades jurídicas tão ou m</w:t>
      </w:r>
    </w:p>
    <w:p>
      <w:pPr>
        <w:ind w:left="288"/>
      </w:pPr>
      <w:r>
        <w:rPr>
          <w:b/>
          <w:color w:val="003CA0"/>
          <w:sz w:val="16"/>
        </w:rPr>
        <w:t>[AC 1.657 MC, voto do red. do ac. min. Cezar Peluso, j. 27-6-2007, P, DJ de 31-8-2007.]</w:t>
      </w:r>
    </w:p>
    <w:p>
      <w:pPr>
        <w:ind w:left="288"/>
      </w:pPr>
      <w:r>
        <w:rPr>
          <w:color w:val="8C8C8C"/>
          <w:sz w:val="12"/>
        </w:rPr>
        <w:t>cf-art-196</w:t>
      </w:r>
      <w:r>
        <w:rPr>
          <w:color w:val="003CA0"/>
          <w:sz w:val="12"/>
        </w:rPr>
        <w:t xml:space="preserve"> | RE 271.286</w:t>
      </w:r>
      <w:r>
        <w:rPr>
          <w:color w:val="003CA0"/>
          <w:sz w:val="12"/>
        </w:rPr>
        <w:t xml:space="preserve"> | rel. Celso de Mello</w:t>
      </w:r>
    </w:p>
    <w:p>
      <w:pPr>
        <w:ind w:left="288"/>
      </w:pPr>
      <w:r>
        <w:rPr>
          <w:color w:val="1E1E1E"/>
          <w:sz w:val="18"/>
        </w:rPr>
        <w:t>O direito à saúde – além de qualificar-se como direito fundamental que assiste a todas as pessoas – representa consequência constitucional indissociável do direito à vida. O poder público, qualquer que seja a esfera institucional de sua atuação no plano da organização federativa brasileira, não pode mostrar-se indiferente ao problema da saúde da população, sob pena de incidir, ainda que por censurável omissão, em grave comportamento inconstitucional. A interpretação da norma programática não pode transformá-la em promessa constitucional inconsequente. O caráter programático da regra inscrita n</w:t>
      </w:r>
    </w:p>
    <w:p>
      <w:pPr>
        <w:ind w:left="288"/>
      </w:pPr>
      <w:r>
        <w:rPr>
          <w:b/>
          <w:color w:val="003CA0"/>
          <w:sz w:val="16"/>
        </w:rPr>
        <w:t>[RE 271.286 AgR, rel. min. Celso de Mello, j. 12-9-2000, 2ª T, DJ de 24-11-2000.]</w:t>
      </w:r>
    </w:p>
    <w:p>
      <w:pPr>
        <w:ind w:left="288"/>
      </w:pPr>
      <w:r>
        <w:rPr>
          <w:color w:val="8C8C8C"/>
          <w:sz w:val="12"/>
        </w:rPr>
        <w:t>cf-art-196</w:t>
      </w:r>
      <w:r>
        <w:rPr>
          <w:color w:val="003CA0"/>
          <w:sz w:val="12"/>
        </w:rPr>
        <w:t xml:space="preserve"> | STA 175</w:t>
      </w:r>
      <w:r>
        <w:rPr>
          <w:color w:val="003CA0"/>
          <w:sz w:val="12"/>
        </w:rPr>
        <w:t xml:space="preserve"> | rel. Gilmar Mendes</w:t>
      </w:r>
    </w:p>
    <w:p>
      <w:pPr>
        <w:ind w:left="288"/>
      </w:pPr>
      <w:r>
        <w:rPr>
          <w:color w:val="1E1E1E"/>
          <w:sz w:val="18"/>
        </w:rPr>
        <w:t xml:space="preserve">= STA 175 AgR, rel. min. Gilmar Mendes, j. 17-3-2010, P, DJE de 30-4-2010 Vide RE 668.722 AgR, rel. min. Dias Toffoli, j. 27-8-2013, 1ª T, DJE de 25-10-2013 Vide AI 734.487 AgR, rel. min. Ellen Gracie, j. 3-8-2010, 2ª T, DJE de 20-8-2010 Acórdão recorrido que permitiu a internação hospitalar na modalidade "diferença de classe", em razão das condições pessoais do doente, que necessitava de quarto privativo. Pagamento por ele da diferença de custo dos serviços. Resolução 283/1991 do extinto Inamps [Instituto Nacional de Assistência Médica da Previdência Social]. O art. 196 da CF estabelece como </w:t>
      </w:r>
    </w:p>
    <w:p>
      <w:pPr>
        <w:ind w:left="288"/>
      </w:pPr>
      <w:r>
        <w:rPr>
          <w:b/>
          <w:color w:val="003CA0"/>
          <w:sz w:val="16"/>
        </w:rPr>
        <w:t>[RE 226.835, rel. min. Ilmar Galvão, j. 14-12-1999, 1ª T, DJ de 10-3-2000.]</w:t>
      </w:r>
    </w:p>
    <w:p>
      <w:pPr>
        <w:ind w:left="288"/>
      </w:pPr>
      <w:r>
        <w:rPr>
          <w:color w:val="8C8C8C"/>
          <w:sz w:val="12"/>
        </w:rPr>
        <w:t>cf-art-196</w:t>
      </w:r>
      <w:r>
        <w:rPr>
          <w:color w:val="003CA0"/>
          <w:sz w:val="12"/>
        </w:rPr>
        <w:t xml:space="preserve"> | RE 207.970</w:t>
      </w:r>
      <w:r>
        <w:rPr>
          <w:color w:val="003CA0"/>
          <w:sz w:val="12"/>
        </w:rPr>
        <w:t xml:space="preserve"> | rel. Moreira Alves</w:t>
      </w:r>
    </w:p>
    <w:p>
      <w:pPr>
        <w:ind w:left="288"/>
      </w:pPr>
      <w:r>
        <w:rPr>
          <w:color w:val="1E1E1E"/>
          <w:sz w:val="18"/>
        </w:rPr>
        <w:t>= RE 207.970, rel. min. Moreira Alves, j. 22-8-2000, 1ª T, DJ de 15-9-2000 Vide RE 581.488, rel. min. Dias Toffoli, j. 3-12-2015, P, DJE de 8-4-2016, Tema 579</w:t>
      </w:r>
    </w:p>
    <w:p>
      <w:r>
        <w:rPr>
          <w:b/>
          <w:color w:val="003366"/>
          <w:sz w:val="20"/>
        </w:rPr>
        <w:t>Art. 197 São de relevância pública as ações e serviços de saúde, cabendo ao Pode</w:t>
      </w:r>
      <w:r>
        <w:rPr>
          <w:color w:val="8C8C8C"/>
          <w:sz w:val="14"/>
        </w:rPr>
        <w:t xml:space="preserve">  [8 decisoes]</w:t>
      </w:r>
    </w:p>
    <w:p>
      <w:pPr>
        <w:ind w:left="288"/>
      </w:pPr>
      <w:r>
        <w:rPr>
          <w:color w:val="8C8C8C"/>
          <w:sz w:val="12"/>
        </w:rPr>
        <w:t>cf-art-197</w:t>
      </w:r>
      <w:r>
        <w:rPr>
          <w:color w:val="003CA0"/>
          <w:sz w:val="12"/>
        </w:rPr>
        <w:t xml:space="preserve"> | ADI 7.265</w:t>
      </w:r>
      <w:r>
        <w:rPr>
          <w:color w:val="003CA0"/>
          <w:sz w:val="12"/>
        </w:rPr>
        <w:t xml:space="preserve"> | rel. Luís Roberto Barroso</w:t>
      </w:r>
    </w:p>
    <w:p>
      <w:pPr>
        <w:ind w:left="288"/>
      </w:pPr>
      <w:r>
        <w:rPr>
          <w:color w:val="1E1E1E"/>
          <w:sz w:val="18"/>
        </w:rPr>
        <w:t>“1. É constitucional a imposição legal de cobertura de tratamentos ou procedimentos fora do rol da ANS, desde que preenchidos os parâmetros técnicos e jurídicos fixados nesta decisão. 2. Em caso de tratamento ou procedimento não previsto no rol da ANS, a cobertura deverá ser autorizada pela operadora de planos de assistência à saúde, desde que preenchidos, cumulativamente, os seguintes requisitos: (i) prescrição por médico ou odontólogo assistente habilitado; (ii) inexistência de negativa expressa da ANS ou de pendência de análise em proposta de atualização do rol (PAR); (iii) ausência de alte</w:t>
      </w:r>
    </w:p>
    <w:p>
      <w:pPr>
        <w:ind w:left="288"/>
      </w:pPr>
      <w:r>
        <w:rPr>
          <w:b/>
          <w:color w:val="003CA0"/>
          <w:sz w:val="16"/>
        </w:rPr>
        <w:t>[ADI 7.265, rel. min. Luís Roberto Barroso, j. 18.09.2025, P, Informativo STF 1.191.]</w:t>
      </w:r>
    </w:p>
    <w:p>
      <w:pPr>
        <w:ind w:left="288"/>
      </w:pPr>
      <w:r>
        <w:rPr>
          <w:color w:val="8C8C8C"/>
          <w:sz w:val="12"/>
        </w:rPr>
        <w:t>cf-art-197</w:t>
      </w:r>
      <w:r>
        <w:rPr>
          <w:color w:val="003CA0"/>
          <w:sz w:val="12"/>
        </w:rPr>
        <w:t xml:space="preserve"> | ADI 7.265</w:t>
      </w:r>
      <w:r>
        <w:rPr>
          <w:color w:val="003CA0"/>
          <w:sz w:val="12"/>
        </w:rPr>
        <w:t xml:space="preserve"> | rel. Luís Roberto Barroso</w:t>
      </w:r>
    </w:p>
    <w:p>
      <w:pPr>
        <w:ind w:left="288"/>
      </w:pPr>
      <w:r>
        <w:rPr>
          <w:color w:val="1E1E1E"/>
          <w:sz w:val="18"/>
        </w:rPr>
        <w:t>“1. É constitucional a imposição legal de cobertura de tratamentos ou procedimentos fora do rol da ANS, desde que preenchidos os parâmetros técnicos e jurídicos fixados nesta decisão. 2. Em caso de tratamento ou procedimento não previsto no rol da ANS, a cobertura deverá ser autorizada pela operadora de planos de assistência à saúde, desde que preenchidos, cumulativamente, os seguintes requisitos: (i) prescrição por médico ou odontólogo assistente habilitado; (ii) inexistência de negativa expressa da ANS ou de pendência de análise em proposta de atualização do rol (PAR); (iii) ausência de alte</w:t>
      </w:r>
    </w:p>
    <w:p>
      <w:pPr>
        <w:ind w:left="288"/>
      </w:pPr>
      <w:r>
        <w:rPr>
          <w:b/>
          <w:color w:val="003CA0"/>
          <w:sz w:val="16"/>
        </w:rPr>
        <w:t>[ADI 7.265, rel. min. Luís Roberto Barroso, j. 18.09.2025, P, DJE de 02.12.2025.]</w:t>
      </w:r>
    </w:p>
    <w:p>
      <w:pPr>
        <w:ind w:left="144"/>
      </w:pPr>
      <w:r>
        <w:rPr>
          <w:b/>
          <w:color w:val="B45A00"/>
          <w:sz w:val="16"/>
        </w:rPr>
        <w:t>CONTROLE CONCENTRADO</w:t>
      </w:r>
    </w:p>
    <w:p>
      <w:pPr>
        <w:ind w:left="288"/>
      </w:pPr>
      <w:r>
        <w:rPr>
          <w:color w:val="8C8C8C"/>
          <w:sz w:val="12"/>
        </w:rPr>
        <w:t>cf-art-197</w:t>
      </w:r>
      <w:r>
        <w:rPr>
          <w:color w:val="003CA0"/>
          <w:sz w:val="12"/>
        </w:rPr>
        <w:t xml:space="preserve"> | ADI 1.931</w:t>
      </w:r>
      <w:r>
        <w:rPr>
          <w:color w:val="003CA0"/>
          <w:sz w:val="12"/>
        </w:rPr>
        <w:t xml:space="preserve"> | rel. Marco Aurélio</w:t>
      </w:r>
    </w:p>
    <w:p>
      <w:pPr>
        <w:ind w:left="288"/>
      </w:pPr>
      <w:r>
        <w:rPr>
          <w:color w:val="1E1E1E"/>
          <w:sz w:val="18"/>
        </w:rPr>
        <w:t>Planos de saúde. Regência. Observância. Os planos de saúde submetem-se aos ditantes constitucionais, à legislação da época em que contratados e às clausulas deles constantes – considerações.</w:t>
        <w:br/>
        <w:t xml:space="preserve">[ADI 1.931, rel. min. Marco Aurélio, j. 7-2-2018, P, DJE de 8-6-2018.] Ação direta de inconstitucionalidade. Lei ordinária 9.656/1998. (...) Prestação de serviço médico pela rede do SUS e instituições conveniadas, em virtude da impossibilidade de atendimento pela operadora de plano de saúde. Ressarcimento à administração pública mediante condições preestabelecidas em resoluções internas da Câmara de Saúde </w:t>
      </w:r>
    </w:p>
    <w:p>
      <w:pPr>
        <w:ind w:left="288"/>
      </w:pPr>
      <w:r>
        <w:rPr>
          <w:b/>
          <w:color w:val="003CA0"/>
          <w:sz w:val="16"/>
        </w:rPr>
        <w:t>[ADI 1.931 MC, rel. min. Maurício Corrêa, j. 21-8-2003, P, DJ de 28-5-2004.]</w:t>
      </w:r>
    </w:p>
    <w:p>
      <w:pPr>
        <w:ind w:left="288"/>
      </w:pPr>
      <w:r>
        <w:rPr>
          <w:color w:val="8C8C8C"/>
          <w:sz w:val="12"/>
        </w:rPr>
        <w:t>cf-art-197</w:t>
      </w:r>
      <w:r>
        <w:rPr>
          <w:color w:val="003CA0"/>
          <w:sz w:val="12"/>
        </w:rPr>
        <w:t xml:space="preserve"> | RE 594.266</w:t>
      </w:r>
      <w:r>
        <w:rPr>
          <w:color w:val="003CA0"/>
          <w:sz w:val="12"/>
        </w:rPr>
        <w:t xml:space="preserve"> | rel. Dias Toffoli</w:t>
      </w:r>
    </w:p>
    <w:p>
      <w:pPr>
        <w:ind w:left="288"/>
      </w:pPr>
      <w:r>
        <w:rPr>
          <w:color w:val="1E1E1E"/>
          <w:sz w:val="18"/>
        </w:rPr>
        <w:t>= RE 594.266 ED, rel. min. Dias Toffoli, j. 2-12-2010, 1ª T, DJE de 15-3-2011</w:t>
      </w:r>
    </w:p>
    <w:p>
      <w:pPr>
        <w:ind w:left="144"/>
      </w:pPr>
      <w:r>
        <w:rPr>
          <w:b/>
          <w:color w:val="B45A00"/>
          <w:sz w:val="16"/>
        </w:rPr>
        <w:t>REPERCUSSAO GERAL</w:t>
      </w:r>
    </w:p>
    <w:p>
      <w:pPr>
        <w:ind w:left="288"/>
      </w:pPr>
      <w:r>
        <w:rPr>
          <w:color w:val="8C8C8C"/>
          <w:sz w:val="12"/>
        </w:rPr>
        <w:t>cf-art-197</w:t>
      </w:r>
      <w:r>
        <w:rPr>
          <w:color w:val="003CA0"/>
          <w:sz w:val="12"/>
        </w:rPr>
        <w:t xml:space="preserve"> | RE 666.094</w:t>
      </w:r>
      <w:r>
        <w:rPr>
          <w:color w:val="003CA0"/>
          <w:sz w:val="12"/>
        </w:rPr>
        <w:t xml:space="preserve"> | rel. Ricardo Roberto Barroso</w:t>
      </w:r>
    </w:p>
    <w:p>
      <w:pPr>
        <w:ind w:left="288"/>
      </w:pPr>
      <w:r>
        <w:rPr>
          <w:color w:val="1E1E1E"/>
          <w:sz w:val="18"/>
        </w:rPr>
        <w:t>O ressarcimento de serviços de saúde prestados por unidade privada em favor de paciente do Sistema Único de Saúde, em cumprimento de ordem judicial, deve utilizar como critério o mesmo que é adotado para o ressarcimento do Sistema Único de Saúde por serviços prestados a beneficiários de planos de saúde.</w:t>
      </w:r>
    </w:p>
    <w:p>
      <w:pPr>
        <w:ind w:left="288"/>
      </w:pPr>
      <w:r>
        <w:rPr>
          <w:b/>
          <w:color w:val="003CA0"/>
          <w:sz w:val="16"/>
        </w:rPr>
        <w:t>[RE 666.094, rel. min. Ricardo Roberto Barroso, j. 30-9-2021, P, DJE de 4-2-2022, Tema 1.033, com mérito julgado.]</w:t>
      </w:r>
    </w:p>
    <w:p>
      <w:pPr>
        <w:ind w:left="288"/>
      </w:pPr>
      <w:r>
        <w:rPr>
          <w:color w:val="8C8C8C"/>
          <w:sz w:val="12"/>
        </w:rPr>
        <w:t>cf-art-197</w:t>
      </w:r>
      <w:r>
        <w:rPr>
          <w:color w:val="003CA0"/>
          <w:sz w:val="12"/>
        </w:rPr>
        <w:t xml:space="preserve"> | RE 580.264</w:t>
      </w:r>
    </w:p>
    <w:p>
      <w:pPr>
        <w:ind w:left="288"/>
      </w:pPr>
      <w:r>
        <w:rPr>
          <w:color w:val="1E1E1E"/>
          <w:sz w:val="18"/>
        </w:rPr>
        <w:t>As sociedades de economia mista prestadoras de ações e serviços de saúde, cujo capital social seja majoritariamente estatal, gozam da imunidade tributária prevista na alínea a do inciso VI do art. 150 da CF.</w:t>
      </w:r>
    </w:p>
    <w:p>
      <w:pPr>
        <w:ind w:left="288"/>
      </w:pPr>
      <w:r>
        <w:rPr>
          <w:b/>
          <w:color w:val="003CA0"/>
          <w:sz w:val="16"/>
        </w:rPr>
        <w:t>[RE 580.264, red. do ac. min. Ayres Britto, j. 16-12-2010, P, DJE de 6-10-2011, Tema 115, com mérito julgado.]</w:t>
      </w:r>
    </w:p>
    <w:p>
      <w:pPr>
        <w:ind w:left="144"/>
      </w:pPr>
      <w:r>
        <w:rPr>
          <w:b/>
          <w:color w:val="B45A00"/>
          <w:sz w:val="16"/>
        </w:rPr>
        <w:t>JULGADOS CORRELATOS</w:t>
      </w:r>
    </w:p>
    <w:p>
      <w:pPr>
        <w:ind w:left="288"/>
      </w:pPr>
      <w:r>
        <w:rPr>
          <w:color w:val="8C8C8C"/>
          <w:sz w:val="12"/>
        </w:rPr>
        <w:t>cf-art-197</w:t>
      </w:r>
      <w:r>
        <w:rPr>
          <w:color w:val="003CA0"/>
          <w:sz w:val="12"/>
        </w:rPr>
        <w:t xml:space="preserve"> | ARE 727.864</w:t>
      </w:r>
      <w:r>
        <w:rPr>
          <w:color w:val="003CA0"/>
          <w:sz w:val="12"/>
        </w:rPr>
        <w:t xml:space="preserve"> | rel. Celso de Mello</w:t>
      </w:r>
    </w:p>
    <w:p>
      <w:pPr>
        <w:ind w:left="288"/>
      </w:pPr>
      <w:r>
        <w:rPr>
          <w:color w:val="1E1E1E"/>
          <w:sz w:val="18"/>
        </w:rPr>
        <w:t xml:space="preserve">Custeio, pelo Estado, de serviços hospitalares prestados por instituições privadas em benefício de pacientes do SUS atendidos pelo Samu [Serviço de Atendimento Móvel de Urgência] nos casos de urgência e de inexistência de leitos na rede pública. Dever estatal de assistência à saúde e de proteção à vida resultante de norma constitucional. Obrigação jurídico-constitucional que se impõe aos Estados. Configuração, no caso, de típica hipótese de omissão inconstitucional imputável ao Estado. Desrespeito à Constituição provocado por inércia estatal (...). Comportamento que transgride a autoridade da </w:t>
      </w:r>
    </w:p>
    <w:p>
      <w:pPr>
        <w:ind w:left="288"/>
      </w:pPr>
      <w:r>
        <w:rPr>
          <w:b/>
          <w:color w:val="003CA0"/>
          <w:sz w:val="16"/>
        </w:rPr>
        <w:t>[ARE 727.864 AgR, rel. min. Celso de Mello, j. 4-11-2014, 2ª T, DJE de 13-11-2014.]</w:t>
      </w:r>
    </w:p>
    <w:p>
      <w:pPr>
        <w:ind w:left="288"/>
      </w:pPr>
      <w:r>
        <w:rPr>
          <w:color w:val="8C8C8C"/>
          <w:sz w:val="12"/>
        </w:rPr>
        <w:t>cf-art-197</w:t>
      </w:r>
      <w:r>
        <w:rPr>
          <w:color w:val="003CA0"/>
          <w:sz w:val="12"/>
        </w:rPr>
        <w:t xml:space="preserve"> | STA 175</w:t>
      </w:r>
      <w:r>
        <w:rPr>
          <w:color w:val="003CA0"/>
          <w:sz w:val="12"/>
        </w:rPr>
        <w:t xml:space="preserve"> | rel. Gilmar Mendes</w:t>
      </w:r>
    </w:p>
    <w:p>
      <w:pPr>
        <w:ind w:left="288"/>
      </w:pPr>
      <w:r>
        <w:rPr>
          <w:color w:val="1E1E1E"/>
          <w:sz w:val="18"/>
        </w:rPr>
        <w:t>Cumpre assinalar que a essencialidade do direito à saúde fez com que o legislador constituinte qualificasse, como prestações de relevância pública, as ações e serviços de saúde (CF, art. 197), em ordem a legitimar a atuação do Ministério Público e do Poder Judiciário naquelas hipóteses em que os órgãos estatais, anomalamente, deixassem de respeitar o mandamento constitucional, frustrando-lhe, arbitrariamente, a eficácia jurídico-social, seja por intolerável omissão, seja por qualquer outra inaceitável modalidade de comportamento governamental desviante. Tenho para mim, desse modo, presente tal</w:t>
      </w:r>
    </w:p>
    <w:p>
      <w:pPr>
        <w:ind w:left="288"/>
      </w:pPr>
      <w:r>
        <w:rPr>
          <w:b/>
          <w:color w:val="003CA0"/>
          <w:sz w:val="16"/>
        </w:rPr>
        <w:t>[STA 175 AgR, rel. min. Gilmar Mendes, voto do min. Celso de Mello, j. 17-3-2010, P, DJE de 30-4-2010.]</w:t>
      </w:r>
    </w:p>
    <w:p>
      <w:r>
        <w:rPr>
          <w:b/>
          <w:color w:val="003366"/>
          <w:sz w:val="20"/>
        </w:rPr>
        <w:t>Art. 198 As ações e serviços públicos de saúde integram uma rede regionalizada e</w:t>
      </w:r>
      <w:r>
        <w:rPr>
          <w:color w:val="8C8C8C"/>
          <w:sz w:val="14"/>
        </w:rPr>
        <w:t xml:space="preserve">  [21 decisoes]</w:t>
      </w:r>
    </w:p>
    <w:p>
      <w:pPr>
        <w:ind w:left="288"/>
      </w:pPr>
      <w:r>
        <w:rPr>
          <w:color w:val="8C8C8C"/>
          <w:sz w:val="12"/>
        </w:rPr>
        <w:t>cf-art-198</w:t>
      </w:r>
      <w:r>
        <w:rPr>
          <w:color w:val="003CA0"/>
          <w:sz w:val="12"/>
        </w:rPr>
        <w:t xml:space="preserve"> | RE 566.471</w:t>
      </w:r>
    </w:p>
    <w:p>
      <w:pPr>
        <w:ind w:left="288"/>
      </w:pPr>
      <w:r>
        <w:rPr>
          <w:color w:val="1E1E1E"/>
          <w:sz w:val="18"/>
        </w:rPr>
        <w:t>A concessão judicial de medicamento registrado na ANVISA, mas não incorporado às listas de dispensação do Sistema Único de Saúde, deve observar as teses firmadas no julgamento do Tema 6 da Repercussão Geral (RE 566.471).</w:t>
      </w:r>
    </w:p>
    <w:p>
      <w:pPr>
        <w:ind w:left="288"/>
      </w:pPr>
      <w:r>
        <w:rPr>
          <w:b/>
          <w:color w:val="003CA0"/>
          <w:sz w:val="16"/>
        </w:rPr>
        <w:t>[Súmula Vinculante 61]</w:t>
      </w:r>
    </w:p>
    <w:p>
      <w:pPr>
        <w:ind w:left="288"/>
      </w:pPr>
      <w:r>
        <w:rPr>
          <w:color w:val="8C8C8C"/>
          <w:sz w:val="12"/>
        </w:rPr>
        <w:t>cf-art-198</w:t>
      </w:r>
      <w:r>
        <w:rPr>
          <w:color w:val="003CA0"/>
          <w:sz w:val="12"/>
        </w:rPr>
        <w:t xml:space="preserve"> | RE 1.366.243</w:t>
      </w:r>
    </w:p>
    <w:p>
      <w:pPr>
        <w:ind w:left="288"/>
      </w:pPr>
      <w:r>
        <w:rPr>
          <w:color w:val="1E1E1E"/>
          <w:sz w:val="18"/>
        </w:rPr>
        <w:t>O pedido e a análise administrativos de fármacos na rede pública de saúde, a judicialização do caso, bem ainda seus desdobramentos (administrativos e jurisdicionais), devem observar os termos dos 3 (três) acordos interfederativos (e seus fluxos) homologados pelo Supremo Tribunal Federal, em governança judicial colaborativa, no Tema 1.234 da sistemática da repercussão geral (RE 1.366.243).</w:t>
      </w:r>
    </w:p>
    <w:p>
      <w:pPr>
        <w:ind w:left="288"/>
      </w:pPr>
      <w:r>
        <w:rPr>
          <w:b/>
          <w:color w:val="003CA0"/>
          <w:sz w:val="16"/>
        </w:rPr>
        <w:t>[Súmula Vinculante 60]</w:t>
      </w:r>
    </w:p>
    <w:p>
      <w:pPr>
        <w:ind w:left="144"/>
      </w:pPr>
      <w:r>
        <w:rPr>
          <w:b/>
          <w:color w:val="B45A00"/>
          <w:sz w:val="16"/>
        </w:rPr>
        <w:t>CONTROLE CONCENTRADO</w:t>
      </w:r>
    </w:p>
    <w:p>
      <w:pPr>
        <w:ind w:left="288"/>
      </w:pPr>
      <w:r>
        <w:rPr>
          <w:color w:val="8C8C8C"/>
          <w:sz w:val="12"/>
        </w:rPr>
        <w:t>cf-art-198</w:t>
      </w:r>
      <w:r>
        <w:rPr>
          <w:color w:val="003CA0"/>
          <w:sz w:val="12"/>
        </w:rPr>
        <w:t xml:space="preserve"> | ADI 6.343</w:t>
      </w:r>
    </w:p>
    <w:p>
      <w:pPr>
        <w:ind w:left="288"/>
      </w:pPr>
      <w:r>
        <w:rPr>
          <w:color w:val="1E1E1E"/>
          <w:sz w:val="18"/>
        </w:rPr>
        <w:t>A União tem papel central, primordial e imprescindível de coordenação em uma pandemia internacional nos moldes que a própria Constituição estabeleceu no SUS. Em relação à saúde e assistência pública, a Constituição Federal consagra a existência de competência administrativa comum entre União, Estados, Distrito Federal e Municípios (art. 23, II e IX, da CF), bem como prevê competência concorrente entre União e Estados/Distrito Federal para legislar sobre proteção e defesa da saúde (art. 24, XII, da CF); permitindo aos Municípios suplementar a legislação federal e a estadual no que couber, desde</w:t>
      </w:r>
    </w:p>
    <w:p>
      <w:pPr>
        <w:ind w:left="288"/>
      </w:pPr>
      <w:r>
        <w:rPr>
          <w:b/>
          <w:color w:val="003CA0"/>
          <w:sz w:val="16"/>
        </w:rPr>
        <w:t>[ADI 6.343 MC-REF, red. do ac. min. Alexandre de Moraes, j. 6-5-2020, P, DJE de 17-11-2020.]</w:t>
      </w:r>
    </w:p>
    <w:p>
      <w:pPr>
        <w:ind w:left="288"/>
      </w:pPr>
      <w:r>
        <w:rPr>
          <w:color w:val="8C8C8C"/>
          <w:sz w:val="12"/>
        </w:rPr>
        <w:t>cf-art-198</w:t>
      </w:r>
      <w:r>
        <w:rPr>
          <w:color w:val="003CA0"/>
          <w:sz w:val="12"/>
        </w:rPr>
        <w:t xml:space="preserve"> | STA 175</w:t>
      </w:r>
      <w:r>
        <w:rPr>
          <w:color w:val="003CA0"/>
          <w:sz w:val="12"/>
        </w:rPr>
        <w:t xml:space="preserve"> | rel. Gilmar Mendes</w:t>
      </w:r>
    </w:p>
    <w:p>
      <w:pPr>
        <w:ind w:left="288"/>
      </w:pPr>
      <w:r>
        <w:rPr>
          <w:color w:val="1E1E1E"/>
          <w:sz w:val="18"/>
        </w:rPr>
        <w:t>"I. 1) Para fins de fixação de competência, as demandas relativas a medicamentos não incorporados na política pública do SUS e medicamentos oncológicos, ambos com registro na ANVISA, tramitarão perante a Justiça Federal, nos termos do art. 109, I, da Constituição Federal, quando o valor do tratamento anual específico do fármaco ou do princípio ativo, com base no Preço Máximo de Venda do Governo (PMVG situado na alíquota zero), divulgado pela Câmara de Regulação do Mercado de Medicamentos (CMED - Lei 10.742/2003), for igual ou superior ao valor de 210 salários mínimos, na forma do art. 292 do C</w:t>
      </w:r>
    </w:p>
    <w:p>
      <w:pPr>
        <w:ind w:left="288"/>
      </w:pPr>
      <w:r>
        <w:rPr>
          <w:b/>
          <w:color w:val="003CA0"/>
          <w:sz w:val="16"/>
        </w:rPr>
        <w:t>[RE 1.366.243 ED, rel. min. Gilmar Mendes, j. 16.12.2024, P, DJE de 5.2.2025, Tema 1.234, com mérito julgado.]</w:t>
      </w:r>
    </w:p>
    <w:p>
      <w:pPr>
        <w:ind w:left="144"/>
      </w:pPr>
      <w:r>
        <w:rPr>
          <w:b/>
          <w:color w:val="B45A00"/>
          <w:sz w:val="16"/>
        </w:rPr>
        <w:t>REPERCUSSAO GERAL</w:t>
      </w:r>
    </w:p>
    <w:p>
      <w:pPr>
        <w:ind w:left="288"/>
      </w:pPr>
      <w:r>
        <w:rPr>
          <w:color w:val="8C8C8C"/>
          <w:sz w:val="12"/>
        </w:rPr>
        <w:t>cf-art-198</w:t>
      </w:r>
      <w:r>
        <w:rPr>
          <w:color w:val="003CA0"/>
          <w:sz w:val="12"/>
        </w:rPr>
        <w:t xml:space="preserve"> | RE 566.471</w:t>
      </w:r>
      <w:r>
        <w:rPr>
          <w:color w:val="003CA0"/>
          <w:sz w:val="12"/>
        </w:rPr>
        <w:t xml:space="preserve"> | rel. Marco Aurélio</w:t>
      </w:r>
    </w:p>
    <w:p>
      <w:pPr>
        <w:ind w:left="288"/>
      </w:pPr>
      <w:r>
        <w:rPr>
          <w:color w:val="1E1E1E"/>
          <w:sz w:val="18"/>
        </w:rPr>
        <w:t xml:space="preserve">1. A ausência de inclusão de medicamento nas listas de dispensação do Sistema Único de Saúde - SUS (RENAME, RESME, REMUME, entre outras) impede, como regra geral, o fornecimento do fármaco por decisão judicial, independentemente do custo. 2. É possível, excepcionalmente, a concessão judicial de medicamento registrado na ANVISA, mas não incorporado às listas de dispensação do Sistema Único de Saúde, desde que preenchidos, cumulativamente, os seguintes requisitos, cujo ônus probatório incumbe ao autor da ação: (a) negativa de fornecimento do medicamento na via administrativa, nos termos do item </w:t>
      </w:r>
    </w:p>
    <w:p>
      <w:pPr>
        <w:ind w:left="144"/>
      </w:pPr>
      <w:r>
        <w:rPr>
          <w:b/>
          <w:color w:val="B45A00"/>
          <w:sz w:val="16"/>
        </w:rPr>
        <w:t>JULGADOS CORRELATOS</w:t>
      </w:r>
    </w:p>
    <w:p>
      <w:pPr>
        <w:ind w:left="288"/>
      </w:pPr>
      <w:r>
        <w:rPr>
          <w:color w:val="8C8C8C"/>
          <w:sz w:val="12"/>
        </w:rPr>
        <w:t>cf-art-198</w:t>
      </w:r>
      <w:r>
        <w:rPr>
          <w:color w:val="003CA0"/>
          <w:sz w:val="12"/>
        </w:rPr>
        <w:t xml:space="preserve"> | STA 328</w:t>
      </w:r>
      <w:r>
        <w:rPr>
          <w:color w:val="003CA0"/>
          <w:sz w:val="12"/>
        </w:rPr>
        <w:t xml:space="preserve"> | rel. Cezar Peluso</w:t>
      </w:r>
    </w:p>
    <w:p>
      <w:pPr>
        <w:ind w:left="288"/>
      </w:pPr>
      <w:r>
        <w:rPr>
          <w:color w:val="1E1E1E"/>
          <w:sz w:val="18"/>
        </w:rPr>
        <w:t>Para efeito de suspensão de antecipação de tutela, não constitui decisão genérica a que determina fornecimento de medicamentos a pacientes usuários do SUS residentes nos Municípios da comarca ou da seção judiciária, mediante prescrição expedida por médico vinculado ao SUS.</w:t>
      </w:r>
    </w:p>
    <w:p>
      <w:pPr>
        <w:ind w:left="288"/>
      </w:pPr>
      <w:r>
        <w:rPr>
          <w:b/>
          <w:color w:val="003CA0"/>
          <w:sz w:val="16"/>
        </w:rPr>
        <w:t>[STA 328 AgR, rel. min. Cezar Peluso, j. 24-6-2010, P, DJE de 13-8-2010.]</w:t>
      </w:r>
    </w:p>
    <w:p>
      <w:pPr>
        <w:ind w:left="288"/>
      </w:pPr>
      <w:r>
        <w:rPr>
          <w:color w:val="8C8C8C"/>
          <w:sz w:val="12"/>
        </w:rPr>
        <w:t>cf-art-198</w:t>
      </w:r>
      <w:r>
        <w:rPr>
          <w:color w:val="003CA0"/>
          <w:sz w:val="12"/>
        </w:rPr>
        <w:t xml:space="preserve"> | RE 195.192</w:t>
      </w:r>
      <w:r>
        <w:rPr>
          <w:color w:val="003CA0"/>
          <w:sz w:val="12"/>
        </w:rPr>
        <w:t xml:space="preserve"> | rel. Marco Aurélio</w:t>
      </w:r>
    </w:p>
    <w:p>
      <w:pPr>
        <w:ind w:left="288"/>
      </w:pPr>
      <w:r>
        <w:rPr>
          <w:color w:val="1E1E1E"/>
          <w:sz w:val="18"/>
        </w:rPr>
        <w:t>Incumbe ao Estado (gênero) proporcionar meios visando a alcançar a saúde, especialmente quando envolvida criança e adolescente. O SUS torna a responsabilidade linear alcançando a União, os Estados, o Distrito Federal e os Municípios.</w:t>
      </w:r>
    </w:p>
    <w:p>
      <w:pPr>
        <w:ind w:left="288"/>
      </w:pPr>
      <w:r>
        <w:rPr>
          <w:b/>
          <w:color w:val="003CA0"/>
          <w:sz w:val="16"/>
        </w:rPr>
        <w:t>[RE 195.192, rel. min. Marco Aurélio, j. 22-2-2000, 2ª T, DJ de 31-3-2000.]</w:t>
      </w:r>
    </w:p>
    <w:p>
      <w:pPr>
        <w:ind w:left="144"/>
      </w:pPr>
      <w:r>
        <w:rPr>
          <w:b/>
          <w:color w:val="B45A00"/>
          <w:sz w:val="16"/>
        </w:rPr>
        <w:t>CONTROLE CONCENTRADO</w:t>
      </w:r>
    </w:p>
    <w:p>
      <w:pPr>
        <w:ind w:left="288"/>
      </w:pPr>
      <w:r>
        <w:rPr>
          <w:color w:val="8C8C8C"/>
          <w:sz w:val="12"/>
        </w:rPr>
        <w:t>cf-art-198-inc-I</w:t>
      </w:r>
      <w:r>
        <w:rPr>
          <w:color w:val="003CA0"/>
          <w:sz w:val="12"/>
        </w:rPr>
        <w:t xml:space="preserve"> | ADI 6.341</w:t>
      </w:r>
    </w:p>
    <w:p>
      <w:pPr>
        <w:ind w:left="288"/>
      </w:pPr>
      <w:r>
        <w:rPr>
          <w:color w:val="1E1E1E"/>
          <w:sz w:val="18"/>
        </w:rPr>
        <w:t xml:space="preserve">A emergência internacional, reconhecida pela Organização Mundial da Saúde, não implica nem muito menos autoriza a outorga de discricionariedade sem controle ou sem contrapesos típicos do Estado Democrático de Direito. As regras constitucionais não servem apenas para proteger a liberdade individual, mas também o exercício da racionalidade coletiva, isto é, da capacidade de coordenar as ações de forma eficiente. O Estado Democrático de Direito implica o direito de examinar as razões governamentais e o direito de criticá-las. Os agentes públicos agem melhor, mesmo durante emergências, quando são </w:t>
      </w:r>
    </w:p>
    <w:p>
      <w:pPr>
        <w:ind w:left="288"/>
      </w:pPr>
      <w:r>
        <w:rPr>
          <w:b/>
          <w:color w:val="003CA0"/>
          <w:sz w:val="16"/>
        </w:rPr>
        <w:t>[ADI 6.341 MC-REF, red. do ac. min. Edson Fachin, j. 15-4-2020, P, DJE de 13-11-2020.]</w:t>
      </w:r>
    </w:p>
    <w:p>
      <w:pPr>
        <w:ind w:left="144"/>
      </w:pPr>
      <w:r>
        <w:rPr>
          <w:b/>
          <w:color w:val="B45A00"/>
          <w:sz w:val="16"/>
        </w:rPr>
        <w:t>JULGADOS CORRELATOS</w:t>
      </w:r>
    </w:p>
    <w:p>
      <w:pPr>
        <w:ind w:left="288"/>
      </w:pPr>
      <w:r>
        <w:rPr>
          <w:color w:val="8C8C8C"/>
          <w:sz w:val="12"/>
        </w:rPr>
        <w:t>cf-art-198-inc-I</w:t>
      </w:r>
      <w:r>
        <w:rPr>
          <w:color w:val="003CA0"/>
          <w:sz w:val="12"/>
        </w:rPr>
        <w:t xml:space="preserve"> | RE 261.268</w:t>
      </w:r>
      <w:r>
        <w:rPr>
          <w:color w:val="003CA0"/>
          <w:sz w:val="12"/>
        </w:rPr>
        <w:t xml:space="preserve"> | rel. Moreira Alves</w:t>
      </w:r>
    </w:p>
    <w:p>
      <w:pPr>
        <w:ind w:left="288"/>
      </w:pPr>
      <w:r>
        <w:rPr>
          <w:color w:val="1E1E1E"/>
          <w:sz w:val="18"/>
        </w:rPr>
        <w:t>"Diferença de classe" sem ônus para o SUS. Resolução 283 do extinto Inamps [Instituto Nacional de Assistência Médica da Previdência Social]. Art. 196 da CF. Competência da Justiça estadual, porque a direção do SUS, sendo única e descentralizada em cada esfera de governo (art. 198, I, da CF), cabe, no âmbito dos Estados, às respectivas secretarias de saúde ou órgão equivalente.</w:t>
      </w:r>
    </w:p>
    <w:p>
      <w:pPr>
        <w:ind w:left="288"/>
      </w:pPr>
      <w:r>
        <w:rPr>
          <w:b/>
          <w:color w:val="003CA0"/>
          <w:sz w:val="16"/>
        </w:rPr>
        <w:t>[RE 261.268, rel. min. Moreira Alves, j. 28-8-2001, 1ª T, DJ de 5-10-2001.]</w:t>
      </w:r>
    </w:p>
    <w:p>
      <w:pPr>
        <w:ind w:left="288"/>
      </w:pPr>
      <w:r>
        <w:rPr>
          <w:color w:val="8C8C8C"/>
          <w:sz w:val="12"/>
        </w:rPr>
        <w:t>cf-art-198-inc-II</w:t>
      </w:r>
      <w:r>
        <w:rPr>
          <w:color w:val="003CA0"/>
          <w:sz w:val="12"/>
        </w:rPr>
        <w:t xml:space="preserve"> | STA 175</w:t>
      </w:r>
    </w:p>
    <w:p>
      <w:pPr>
        <w:ind w:left="288"/>
      </w:pPr>
      <w:r>
        <w:rPr>
          <w:color w:val="1E1E1E"/>
          <w:sz w:val="18"/>
        </w:rPr>
        <w:t xml:space="preserve">(...) podemos concluir que, em geral, deverá ser privilegiado o tratamento fornecido pelo SUS em detrimento de opção diversa escolhida pelo paciente, sempre que não for comprovada a ineficácia ou a impropriedade da política de saúde existente. Essa conclusão não afasta, contudo, a possibilidade de o Poder Judiciário, ou de a própria administração, decidir que medida diferente da custeada pelo SUS deve ser fornecida a determinada pessoa que, por razões específicas do seu organismo, comprove que o tratamento fornecido não é eficaz no seu caso. Inclusive, como ressaltado pelo próprio ministro da </w:t>
      </w:r>
    </w:p>
    <w:p>
      <w:pPr>
        <w:ind w:left="288"/>
      </w:pPr>
      <w:r>
        <w:rPr>
          <w:b/>
          <w:color w:val="003CA0"/>
          <w:sz w:val="16"/>
        </w:rPr>
        <w:t>[STA 175 AgR, voto do min. Gilmar Mendes, j. 17-3-2010, P, DJE de 30-4-2010.]</w:t>
      </w:r>
    </w:p>
    <w:p>
      <w:pPr>
        <w:ind w:left="144"/>
      </w:pPr>
      <w:r>
        <w:rPr>
          <w:b/>
          <w:color w:val="B45A00"/>
          <w:sz w:val="16"/>
        </w:rPr>
        <w:t>REPERCUSSAO GERAL</w:t>
      </w:r>
    </w:p>
    <w:p>
      <w:pPr>
        <w:ind w:left="288"/>
      </w:pPr>
      <w:r>
        <w:rPr>
          <w:color w:val="8C8C8C"/>
          <w:sz w:val="12"/>
        </w:rPr>
        <w:t>cf-art-198-par-1</w:t>
      </w:r>
      <w:r>
        <w:rPr>
          <w:color w:val="003CA0"/>
          <w:sz w:val="12"/>
        </w:rPr>
        <w:t xml:space="preserve"> | RE 855.178</w:t>
      </w:r>
      <w:r>
        <w:rPr>
          <w:color w:val="003CA0"/>
          <w:sz w:val="12"/>
        </w:rPr>
        <w:t xml:space="preserve"> | rel. Luiz Fux</w:t>
      </w:r>
    </w:p>
    <w:p>
      <w:pPr>
        <w:ind w:left="288"/>
      </w:pPr>
      <w:r>
        <w:rPr>
          <w:color w:val="1E1E1E"/>
          <w:sz w:val="18"/>
        </w:rPr>
        <w:t>O tratamento médico adequado aos necessitados se insere no rol dos deveres do Estado, porquanto responsabilidade solidária dos entes federados. O polo passivo pode ser composto por qualquer um deles, isoladamente, ou conjuntamente.</w:t>
        <w:br/>
        <w:t>[RE 855.178-RG, rel. min. Luiz Fux, j. 5-3-2015, P, DJE de 16-3-2015, Tema 793, com mérito julgado.]</w:t>
      </w:r>
    </w:p>
    <w:p>
      <w:pPr>
        <w:ind w:left="144"/>
      </w:pPr>
      <w:r>
        <w:rPr>
          <w:b/>
          <w:color w:val="B45A00"/>
          <w:sz w:val="16"/>
        </w:rPr>
        <w:t>JULGADOS CORRELATOS</w:t>
      </w:r>
    </w:p>
    <w:p>
      <w:pPr>
        <w:ind w:left="288"/>
      </w:pPr>
      <w:r>
        <w:rPr>
          <w:color w:val="8C8C8C"/>
          <w:sz w:val="12"/>
        </w:rPr>
        <w:t>cf-art-198-par-1</w:t>
      </w:r>
      <w:r>
        <w:rPr>
          <w:color w:val="003CA0"/>
          <w:sz w:val="12"/>
        </w:rPr>
        <w:t xml:space="preserve"> | RE 195.192-3</w:t>
      </w:r>
    </w:p>
    <w:p>
      <w:pPr>
        <w:ind w:left="288"/>
      </w:pPr>
      <w:r>
        <w:rPr>
          <w:color w:val="1E1E1E"/>
          <w:sz w:val="18"/>
        </w:rPr>
        <w:t>Após refletir sobre as informações colhidas na Audiência Pública – Saúde e sobre a jurisprudência recente deste Tribunal, é possível afirmar que, em matéria de saúde pública, a responsabilidade dos entes da Federação deve ser efetivamente solidária. No RE 195.192-3/RS, a Segunda Turma deste Supremo Tribunal consignou o entendimento segundo o qual a responsabilidade pelas ações e serviços de saúde é da União, dos Estados e do Distrito Federal e dos Municípios.</w:t>
      </w:r>
    </w:p>
    <w:p>
      <w:pPr>
        <w:ind w:left="288"/>
      </w:pPr>
      <w:r>
        <w:rPr>
          <w:b/>
          <w:color w:val="003CA0"/>
          <w:sz w:val="16"/>
        </w:rPr>
        <w:t>[STA 175 AgR, voto do min. Gilmar Mendes, j. 17-3-2010, P, DJE de 30-4-2010.]</w:t>
      </w:r>
    </w:p>
    <w:p>
      <w:pPr>
        <w:ind w:left="288"/>
      </w:pPr>
      <w:r>
        <w:rPr>
          <w:color w:val="8C8C8C"/>
          <w:sz w:val="12"/>
        </w:rPr>
        <w:t>cf-art-198-par-1</w:t>
      </w:r>
      <w:r>
        <w:rPr>
          <w:color w:val="003CA0"/>
          <w:sz w:val="12"/>
        </w:rPr>
        <w:t xml:space="preserve"> | RE 607.385</w:t>
      </w:r>
      <w:r>
        <w:rPr>
          <w:color w:val="003CA0"/>
          <w:sz w:val="12"/>
        </w:rPr>
        <w:t xml:space="preserve"> | rel. Cármen Lúcia</w:t>
      </w:r>
    </w:p>
    <w:p>
      <w:pPr>
        <w:ind w:left="288"/>
      </w:pPr>
      <w:r>
        <w:rPr>
          <w:color w:val="1E1E1E"/>
          <w:sz w:val="18"/>
        </w:rPr>
        <w:t>= RE 607.385 AgR, rel. min. Cármen Lúcia, j. 21-6-2011, 1ª T, DJE de 1º-8-2011</w:t>
      </w:r>
    </w:p>
    <w:p>
      <w:pPr>
        <w:ind w:left="144"/>
      </w:pPr>
      <w:r>
        <w:rPr>
          <w:b/>
          <w:color w:val="B45A00"/>
          <w:sz w:val="16"/>
        </w:rPr>
        <w:t>CONTROLE CONCENTRADO</w:t>
      </w:r>
    </w:p>
    <w:p>
      <w:pPr>
        <w:ind w:left="288"/>
      </w:pPr>
      <w:r>
        <w:rPr>
          <w:color w:val="8C8C8C"/>
          <w:sz w:val="12"/>
        </w:rPr>
        <w:t>cf-art-198-par-2</w:t>
      </w:r>
      <w:r>
        <w:rPr>
          <w:color w:val="003CA0"/>
          <w:sz w:val="12"/>
        </w:rPr>
        <w:t xml:space="preserve"> | ADI 5.595</w:t>
      </w:r>
      <w:r>
        <w:rPr>
          <w:color w:val="003CA0"/>
          <w:sz w:val="12"/>
        </w:rPr>
        <w:t xml:space="preserve"> | rel. Ricardo Lewandowski</w:t>
      </w:r>
    </w:p>
    <w:p>
      <w:pPr>
        <w:ind w:left="288"/>
      </w:pPr>
      <w:r>
        <w:rPr>
          <w:color w:val="1E1E1E"/>
          <w:sz w:val="18"/>
        </w:rPr>
        <w:t xml:space="preserve">A Constituição atribuiu ao legislador ordinário a competência para definir critérios para a alocação de recursos orçamentários em ações e serviços de saúde, com cominações específicas, no §§ 2º e 3º do art. 198 para a satisfação da exigência constitucional então estabelecida, matéria que, não se qualificando como cláusula pétrea, pode ser objeto de alteração pelo legislador constituinte reformador. O próprio texto constitucional admite flexibilidade na fixação dos parâmetros referidos no art. 198, § 2º, CF, mediante: (a) a diferenciação de índices conforme o nível federativo; (b) a atribuição </w:t>
      </w:r>
    </w:p>
    <w:p>
      <w:pPr>
        <w:ind w:left="288"/>
      </w:pPr>
      <w:r>
        <w:rPr>
          <w:b/>
          <w:color w:val="003CA0"/>
          <w:sz w:val="16"/>
        </w:rPr>
        <w:t>[ADI 6.059, rel. min. Alexandre de Moraes, j. 27-9-2019, P, DJE de 15-10-2019.]</w:t>
      </w:r>
    </w:p>
    <w:p>
      <w:pPr>
        <w:ind w:left="288"/>
      </w:pPr>
      <w:r>
        <w:rPr>
          <w:color w:val="8C8C8C"/>
          <w:sz w:val="12"/>
        </w:rPr>
        <w:t>cf-art-198-par-2-inc-I</w:t>
      </w:r>
    </w:p>
    <w:p>
      <w:pPr>
        <w:ind w:left="288"/>
      </w:pPr>
      <w:r>
        <w:rPr>
          <w:color w:val="1E1E1E"/>
          <w:sz w:val="18"/>
        </w:rPr>
        <w:t>II - no caso dos Estados e do Distrito Federal, o produto da arrecadação dos impostos a que se referem os arts. 155 e 156-A e dos recursos de que tratam os arts. 157 e 159, I, a, e II, deduzidas as parcelas que forem transferidas aos respectivos Municípios; (Redação dada pela EC n. 132/2023) III - no caso dos Municípios e do Distrito Federal, o produto da arrecadação dos impostos a que se referem os arts. 156 e 156-A e dos recursos de que tratam os arts. 158 e 159, I, b, e § 3º. (Redação dada pela EC n. 132/2023)</w:t>
      </w:r>
    </w:p>
    <w:p>
      <w:pPr>
        <w:ind w:left="144"/>
      </w:pPr>
      <w:r>
        <w:rPr>
          <w:b/>
          <w:color w:val="B45A00"/>
          <w:sz w:val="16"/>
        </w:rPr>
        <w:t>JULGADOS CORRELATOS</w:t>
      </w:r>
    </w:p>
    <w:p>
      <w:pPr>
        <w:ind w:left="288"/>
      </w:pPr>
      <w:r>
        <w:rPr>
          <w:color w:val="8C8C8C"/>
          <w:sz w:val="12"/>
        </w:rPr>
        <w:t>cf-art-198-par-3</w:t>
      </w:r>
      <w:r>
        <w:rPr>
          <w:color w:val="003CA0"/>
          <w:sz w:val="12"/>
        </w:rPr>
        <w:t xml:space="preserve"> | ACO 2.075</w:t>
      </w:r>
      <w:r>
        <w:rPr>
          <w:color w:val="003CA0"/>
          <w:sz w:val="12"/>
        </w:rPr>
        <w:t xml:space="preserve"> | rel. Dias Toffoli</w:t>
      </w:r>
    </w:p>
    <w:p>
      <w:pPr>
        <w:ind w:left="288"/>
      </w:pPr>
      <w:r>
        <w:rPr>
          <w:color w:val="1E1E1E"/>
          <w:sz w:val="18"/>
        </w:rPr>
        <w:t>Agravo regimental na ação cível originária. Aplicação do percentual mínimo em saúde. EC 29/2000. Artigo 198, § 3º, da CF/88. Exigência de lei complementar para a definição de todos os elementos obrigacionais. (...) Até a edição da LC 141/12, parte dos critérios obrigacionais que apontavam a situação do ente político relativamente à obrigação constitucional de aplicação mínima do percentual de saúde era definida por atos infralegais. Tratava-se, até então, na esteira da jurisprudência da Suprema Corte, de normativos sem o adequado patamar de juridicidade para o estabelecimento de restrições a d</w:t>
      </w:r>
    </w:p>
    <w:p>
      <w:pPr>
        <w:ind w:left="288"/>
      </w:pPr>
      <w:r>
        <w:rPr>
          <w:b/>
          <w:color w:val="003CA0"/>
          <w:sz w:val="16"/>
        </w:rPr>
        <w:t>[ACO 2.075-AgR, rel. min. Dias Toffoli, j. 27-4-2018, P, DJE de 28-5-2018.]</w:t>
      </w:r>
    </w:p>
    <w:p>
      <w:pPr>
        <w:ind w:left="288"/>
      </w:pPr>
      <w:r>
        <w:rPr>
          <w:color w:val="8C8C8C"/>
          <w:sz w:val="12"/>
        </w:rPr>
        <w:t>cf-art-198-par-3-inc-I</w:t>
      </w:r>
      <w:r>
        <w:rPr>
          <w:color w:val="003CA0"/>
          <w:sz w:val="12"/>
        </w:rPr>
        <w:t xml:space="preserve"> | ADI 6.059</w:t>
      </w:r>
      <w:r>
        <w:rPr>
          <w:color w:val="003CA0"/>
          <w:sz w:val="12"/>
        </w:rPr>
        <w:t xml:space="preserve"> | rel. Alexandre de Moraes</w:t>
      </w:r>
    </w:p>
    <w:p>
      <w:pPr>
        <w:ind w:left="288"/>
      </w:pPr>
      <w:r>
        <w:rPr>
          <w:color w:val="1E1E1E"/>
          <w:sz w:val="18"/>
        </w:rPr>
        <w:t>Compete à União legislar, mediante lei complementar, sobre percentuais de alocação e critérios de rateio de recursos públicos para o financiamento do Sistema de Saúde (CF, art. 198, § 3º, I), o que foi atendido pela edição da Lei Complementar 141/2012.</w:t>
      </w:r>
    </w:p>
    <w:p>
      <w:pPr>
        <w:ind w:left="288"/>
      </w:pPr>
      <w:r>
        <w:rPr>
          <w:b/>
          <w:color w:val="003CA0"/>
          <w:sz w:val="16"/>
        </w:rPr>
        <w:t>[ADI 6.059, rel. min. Alexandre de Moraes, j. 27-9-2019, P, DJE de 15-10-2019.]</w:t>
      </w:r>
    </w:p>
    <w:p>
      <w:pPr>
        <w:ind w:left="144"/>
      </w:pPr>
      <w:r>
        <w:rPr>
          <w:b/>
          <w:color w:val="B45A00"/>
          <w:sz w:val="16"/>
        </w:rPr>
        <w:t>CONTROLE CONCENTRADO</w:t>
      </w:r>
    </w:p>
    <w:p>
      <w:pPr>
        <w:ind w:left="288"/>
      </w:pPr>
      <w:r>
        <w:rPr>
          <w:color w:val="8C8C8C"/>
          <w:sz w:val="12"/>
        </w:rPr>
        <w:t>cf-art-198-par-3-inc-I</w:t>
      </w:r>
      <w:r>
        <w:rPr>
          <w:color w:val="003CA0"/>
          <w:sz w:val="12"/>
        </w:rPr>
        <w:t xml:space="preserve"> | ADI 6.059</w:t>
      </w:r>
      <w:r>
        <w:rPr>
          <w:color w:val="003CA0"/>
          <w:sz w:val="12"/>
        </w:rPr>
        <w:t xml:space="preserve"> | rel. Alexandre de Moraes</w:t>
      </w:r>
    </w:p>
    <w:p>
      <w:pPr>
        <w:ind w:left="288"/>
      </w:pPr>
      <w:r>
        <w:rPr>
          <w:color w:val="1E1E1E"/>
          <w:sz w:val="18"/>
        </w:rPr>
        <w:t>Art. 138 da Constituição do Estado de Roraima, com a redação conferida pela Emenda Constitucional 48/2016. Vinculação de recursos do orçamento ao sistema estadual de saúde, no patamar mínimo de 18% (dezoito por cento). (...) As vinculações previstas no art. 198, § 2º, da CF não poderiam ser disciplinadas pelas Constituições Estaduais ou pelas Leis Orgânicas, sob pena de indesejado engessamento do processo legislativo para aprovação de tais normas, em prejuízo da reavaliação dos índices a cada quinquênio, conforme determina expressamente o art. 198, § 3º, da CF.</w:t>
      </w:r>
    </w:p>
    <w:p>
      <w:pPr>
        <w:ind w:left="288"/>
      </w:pPr>
      <w:r>
        <w:rPr>
          <w:b/>
          <w:color w:val="003CA0"/>
          <w:sz w:val="16"/>
        </w:rPr>
        <w:t>[ADI 6.059, rel. min. Alexandre de Moraes, j. 27-9-2019, P, DJE de 15-10-2019.]</w:t>
      </w:r>
    </w:p>
    <w:p>
      <w:pPr>
        <w:ind w:left="288"/>
      </w:pPr>
      <w:r>
        <w:rPr>
          <w:color w:val="8C8C8C"/>
          <w:sz w:val="12"/>
        </w:rPr>
        <w:t>cf-art-198-par-3-inc-I</w:t>
      </w:r>
      <w:r>
        <w:rPr>
          <w:color w:val="003CA0"/>
          <w:sz w:val="12"/>
        </w:rPr>
        <w:t xml:space="preserve"> | ADI 5.897</w:t>
      </w:r>
      <w:r>
        <w:rPr>
          <w:color w:val="003CA0"/>
          <w:sz w:val="12"/>
        </w:rPr>
        <w:t xml:space="preserve"> | rel. Luiz Fux</w:t>
      </w:r>
    </w:p>
    <w:p>
      <w:pPr>
        <w:ind w:left="288"/>
      </w:pPr>
      <w:r>
        <w:rPr>
          <w:color w:val="1E1E1E"/>
          <w:sz w:val="18"/>
        </w:rPr>
        <w:t xml:space="preserve">Emenda Constitucional 72/2016 do Estado de Santa Catarina e artigo 11 da Lei Complementar 141/2012. (...) O artigo 198, §3º, I, da Constituição Federal atribuiu ao legislador complementar federal a fixação dos percentuais a serem aplicados anualmente pelos Estados, Distrito Federal e Municípios, o que restou exaurido pelos artigos 6º a 8º da Lei Complementar 141/2012. A Emenda Constitucional 72/2016 do Estado de Santa Catarina, ao estabelecer percentuais que excedem aqueles estatuídos pela Lei Complementar federal 141/2012, no exercício do poder normativo conferido pelo artigo 198, §3º, I, da </w:t>
      </w:r>
    </w:p>
    <w:p>
      <w:pPr>
        <w:ind w:left="288"/>
      </w:pPr>
      <w:r>
        <w:rPr>
          <w:b/>
          <w:color w:val="003CA0"/>
          <w:sz w:val="16"/>
        </w:rPr>
        <w:t>[ADI 5.897, rel. min. Luiz Fux, j. 24-4-2019, P, DJE de 2-8-2019.]</w:t>
      </w:r>
    </w:p>
    <w:p>
      <w:pPr>
        <w:ind w:left="288"/>
      </w:pPr>
      <w:r>
        <w:rPr>
          <w:color w:val="8C8C8C"/>
          <w:sz w:val="12"/>
        </w:rPr>
        <w:t>cf-art-198-par-3-inc-I</w:t>
      </w:r>
    </w:p>
    <w:p>
      <w:pPr>
        <w:ind w:left="288"/>
      </w:pPr>
      <w:r>
        <w:rPr>
          <w:color w:val="1E1E1E"/>
          <w:sz w:val="18"/>
        </w:rPr>
        <w:t>II - os critérios de rateio dos recursos da União vinculados à saúde destinados aos Estados, ao Distrito Federal e aos Municípios, e dos Estados destinados a seus respectivos Municípios, objetivando a progressiva redução das disparidades regionais; (Incluído pela EC 29/2000)</w:t>
      </w:r>
    </w:p>
    <w:p>
      <w:pPr>
        <w:ind w:left="288"/>
      </w:pPr>
      <w:r>
        <w:rPr>
          <w:color w:val="8C8C8C"/>
          <w:sz w:val="12"/>
        </w:rPr>
        <w:t>cf-art-198-par-3-inc-I</w:t>
      </w:r>
      <w:r>
        <w:rPr>
          <w:color w:val="003CA0"/>
          <w:sz w:val="12"/>
        </w:rPr>
        <w:t xml:space="preserve"> | ADI 2.894</w:t>
      </w:r>
      <w:r>
        <w:rPr>
          <w:color w:val="003CA0"/>
          <w:sz w:val="12"/>
        </w:rPr>
        <w:t xml:space="preserve"> | rel. Sepúlveda Pertence</w:t>
      </w:r>
    </w:p>
    <w:p>
      <w:pPr>
        <w:ind w:left="288"/>
      </w:pPr>
      <w:r>
        <w:rPr>
          <w:color w:val="1E1E1E"/>
          <w:sz w:val="18"/>
        </w:rPr>
        <w:t>SUS: reserva à lei complementar da União do estabelecimento de "critérios de rateio dos recursos e disparidades regionais" (CF, art. 198, § 3º, II): consequente plausibilidade da arguição da invalidez de lei estadual que prescreve o repasse mensal aos Municípios dos "recursos mínimos próprios que o Estado deve aplicar em ações e serviços de saúde"; risco de grave comprometimento dos serviços estaduais de saúde (...).</w:t>
      </w:r>
    </w:p>
    <w:p>
      <w:pPr>
        <w:ind w:left="288"/>
      </w:pPr>
      <w:r>
        <w:rPr>
          <w:b/>
          <w:color w:val="003CA0"/>
          <w:sz w:val="16"/>
        </w:rPr>
        <w:t>[ADI 2.894 MC, rel. min. Sepúlveda Pertence, j. 7-8-2003, P, DJ de 17-10-2003.]</w:t>
      </w:r>
    </w:p>
    <w:p>
      <w:pPr>
        <w:ind w:left="720"/>
      </w:pPr>
      <w:r>
        <w:rPr>
          <w:color w:val="003366"/>
          <w:sz w:val="18"/>
        </w:rPr>
        <w:t>I – descentralização, com direção única em cada esfera de governo;</w:t>
      </w:r>
    </w:p>
    <w:p>
      <w:pPr>
        <w:ind w:left="720"/>
      </w:pPr>
      <w:r>
        <w:rPr>
          <w:color w:val="003366"/>
          <w:sz w:val="18"/>
        </w:rPr>
        <w:t>II – atendimento integral, com prioridade para as atividades preventivas, sem pr</w:t>
      </w:r>
    </w:p>
    <w:p>
      <w:pPr>
        <w:ind w:left="720"/>
      </w:pPr>
      <w:r>
        <w:rPr>
          <w:color w:val="003366"/>
          <w:sz w:val="18"/>
        </w:rPr>
        <w:t>III – participação da comunidade.</w:t>
      </w:r>
    </w:p>
    <w:p>
      <w:pPr>
        <w:ind w:left="432"/>
      </w:pPr>
      <w:r>
        <w:rPr>
          <w:color w:val="003366"/>
          <w:sz w:val="18"/>
        </w:rPr>
        <w:t>§ 1 O sistema único de saúde será financiado, nos termos do art. 195, com recurs</w:t>
      </w:r>
    </w:p>
    <w:p>
      <w:pPr>
        <w:ind w:left="432"/>
      </w:pPr>
      <w:r>
        <w:rPr>
          <w:color w:val="003366"/>
          <w:sz w:val="18"/>
        </w:rPr>
        <w:t>§ 2 A União, os Estados, o Distrito Federal e os Municípios aplicarão, anualment</w:t>
      </w:r>
    </w:p>
    <w:p>
      <w:pPr>
        <w:ind w:left="720"/>
      </w:pPr>
      <w:r>
        <w:rPr>
          <w:color w:val="003366"/>
          <w:sz w:val="18"/>
        </w:rPr>
        <w:t>I – no caso da União, a receita corrente líquida do respectivo exercício finance</w:t>
      </w:r>
    </w:p>
    <w:p>
      <w:pPr>
        <w:ind w:left="720"/>
      </w:pPr>
      <w:r>
        <w:rPr>
          <w:color w:val="003366"/>
          <w:sz w:val="18"/>
        </w:rPr>
        <w:t>II – no caso dos Estados e do Distrito Federal, o produto da arrecadação dos imp</w:t>
      </w:r>
    </w:p>
    <w:p>
      <w:pPr>
        <w:ind w:left="720"/>
      </w:pPr>
      <w:r>
        <w:rPr>
          <w:color w:val="003366"/>
          <w:sz w:val="18"/>
        </w:rPr>
        <w:t>III – no caso dos Municípios e do Distrito Federal, o produto da arrecadação dos</w:t>
      </w:r>
    </w:p>
    <w:p>
      <w:pPr>
        <w:ind w:left="432"/>
      </w:pPr>
      <w:r>
        <w:rPr>
          <w:color w:val="003366"/>
          <w:sz w:val="18"/>
        </w:rPr>
        <w:t>§ 3 Lei complementar, que será reavaliada pelo menos a cada cinco anos, estabele</w:t>
      </w:r>
    </w:p>
    <w:p>
      <w:pPr>
        <w:ind w:left="720"/>
      </w:pPr>
      <w:r>
        <w:rPr>
          <w:color w:val="003366"/>
          <w:sz w:val="18"/>
        </w:rPr>
        <w:t>I – os percentuais de que tratam os incisos II e III do § 2º; (Redação dada pela</w:t>
      </w:r>
    </w:p>
    <w:p>
      <w:pPr>
        <w:ind w:left="720"/>
      </w:pPr>
      <w:r>
        <w:rPr>
          <w:color w:val="003366"/>
          <w:sz w:val="18"/>
        </w:rPr>
        <w:t>IV – (revogado). (Redação dada pela Emenda Constitucional nº 86, de 2015)</w:t>
      </w:r>
    </w:p>
    <w:p>
      <w:pPr>
        <w:ind w:left="432"/>
      </w:pPr>
      <w:r>
        <w:rPr>
          <w:color w:val="003366"/>
          <w:sz w:val="18"/>
        </w:rPr>
        <w:t>§ 4 Os gestores locais do sistema único de saúde poderão admitir agentes comunit</w:t>
      </w:r>
    </w:p>
    <w:p>
      <w:pPr>
        <w:ind w:left="432"/>
      </w:pPr>
      <w:r>
        <w:rPr>
          <w:color w:val="003366"/>
          <w:sz w:val="18"/>
        </w:rPr>
        <w:t>§ 5 Lei federal disporá sobre o regime jurídico, o piso salarial profissional na</w:t>
      </w:r>
    </w:p>
    <w:p>
      <w:pPr>
        <w:ind w:left="432"/>
      </w:pPr>
      <w:r>
        <w:rPr>
          <w:color w:val="003366"/>
          <w:sz w:val="18"/>
        </w:rPr>
        <w:t>§ 6 Além das hipóteses previstas no § 1º do art. 41 e no § 4º do art. 169 da Con</w:t>
      </w:r>
    </w:p>
    <w:p>
      <w:pPr>
        <w:ind w:left="432"/>
      </w:pPr>
      <w:r>
        <w:rPr>
          <w:color w:val="003366"/>
          <w:sz w:val="18"/>
        </w:rPr>
        <w:t>§ 7 O vencimento dos agentes comunitários de saúde e dos agentes de combate às e</w:t>
      </w:r>
    </w:p>
    <w:p>
      <w:pPr>
        <w:ind w:left="432"/>
      </w:pPr>
      <w:r>
        <w:rPr>
          <w:color w:val="003366"/>
          <w:sz w:val="18"/>
        </w:rPr>
        <w:t>§ 8 Os recursos destinados ao pagamento do vencimento dos agentes comunitários d</w:t>
      </w:r>
    </w:p>
    <w:p>
      <w:pPr>
        <w:ind w:left="432"/>
      </w:pPr>
      <w:r>
        <w:rPr>
          <w:color w:val="003366"/>
          <w:sz w:val="18"/>
        </w:rPr>
        <w:t>§ 9 O vencimento dos agentes comunitários de saúde e dos agentes de combate às e</w:t>
      </w:r>
    </w:p>
    <w:p>
      <w:pPr>
        <w:ind w:left="432"/>
      </w:pPr>
      <w:r>
        <w:rPr>
          <w:color w:val="003366"/>
          <w:sz w:val="18"/>
        </w:rPr>
        <w:t xml:space="preserve">§ 10 Os agentes comunitários de saúde e os agentes de combate às endemias terão </w:t>
      </w:r>
    </w:p>
    <w:p>
      <w:pPr>
        <w:ind w:left="432"/>
      </w:pPr>
      <w:r>
        <w:rPr>
          <w:color w:val="003366"/>
          <w:sz w:val="18"/>
        </w:rPr>
        <w:t>§ 11 Os recursos financeiros repassados pela União aos Estados, ao Distrito Fede</w:t>
      </w:r>
    </w:p>
    <w:p>
      <w:pPr>
        <w:ind w:left="432"/>
      </w:pPr>
      <w:r>
        <w:rPr>
          <w:color w:val="003366"/>
          <w:sz w:val="18"/>
        </w:rPr>
        <w:t>§ 12 Lei federal instituirá pisos salariais profissionais nacionais para o enfer</w:t>
      </w:r>
    </w:p>
    <w:p>
      <w:pPr>
        <w:ind w:left="432"/>
      </w:pPr>
      <w:r>
        <w:rPr>
          <w:color w:val="003366"/>
          <w:sz w:val="18"/>
        </w:rPr>
        <w:t>§ 13 A União, os Estados, o Distrito Federal e os Municípios, até o final do exe</w:t>
      </w:r>
    </w:p>
    <w:p>
      <w:pPr>
        <w:ind w:left="432"/>
      </w:pPr>
      <w:r>
        <w:rPr>
          <w:color w:val="003366"/>
          <w:sz w:val="18"/>
        </w:rPr>
        <w:t>§ 14 Compete à União, nos termos da lei, prestar assistência financeira compleme</w:t>
      </w:r>
    </w:p>
    <w:p>
      <w:pPr>
        <w:ind w:left="432"/>
      </w:pPr>
      <w:r>
        <w:rPr>
          <w:color w:val="003366"/>
          <w:sz w:val="18"/>
        </w:rPr>
        <w:t>§ 15 Os recursos federais destinados aos pagamentos da assistência financeira co</w:t>
      </w:r>
    </w:p>
    <w:p>
      <w:r>
        <w:rPr>
          <w:b/>
          <w:color w:val="003366"/>
          <w:sz w:val="20"/>
        </w:rPr>
        <w:t>Art. 199 A assistência à saúde é livre à iniciativa privada.</w:t>
      </w:r>
      <w:r>
        <w:rPr>
          <w:color w:val="8C8C8C"/>
          <w:sz w:val="14"/>
        </w:rPr>
        <w:t xml:space="preserve">  [8 decisoes]</w:t>
      </w:r>
    </w:p>
    <w:p>
      <w:pPr>
        <w:ind w:left="144"/>
      </w:pPr>
      <w:r>
        <w:rPr>
          <w:b/>
          <w:color w:val="B45A00"/>
          <w:sz w:val="16"/>
        </w:rPr>
        <w:t>CONTROLE CONCENTRADO</w:t>
      </w:r>
    </w:p>
    <w:p>
      <w:pPr>
        <w:ind w:left="288"/>
      </w:pPr>
      <w:r>
        <w:rPr>
          <w:color w:val="8C8C8C"/>
          <w:sz w:val="12"/>
        </w:rPr>
        <w:t>cf-art-199</w:t>
      </w:r>
      <w:r>
        <w:rPr>
          <w:color w:val="003CA0"/>
          <w:sz w:val="12"/>
        </w:rPr>
        <w:t xml:space="preserve"> | ADI 4.197</w:t>
      </w:r>
      <w:r>
        <w:rPr>
          <w:color w:val="003CA0"/>
          <w:sz w:val="12"/>
        </w:rPr>
        <w:t xml:space="preserve"> | rel. Roberto Barroso</w:t>
      </w:r>
    </w:p>
    <w:p>
      <w:pPr>
        <w:ind w:left="288"/>
      </w:pPr>
      <w:r>
        <w:rPr>
          <w:color w:val="1E1E1E"/>
          <w:sz w:val="18"/>
        </w:rPr>
        <w:t>As fundações públicas de direito privado podem se dedicar à prestação de serviços públicos de saúde. Isso porque: (i) na ausência de um modelo de organização administrativa pré-definido pela Constituição, deve prevalecer a autonomia de cada ente federativo; (ii) seria ilógico que a Constituição permitisse o exercício de atividades de saúde por particulares, mas não por entidades privadas vinculadas ao poder público; e (iii) esta Corte já afastou o argumento de que não seria possível a instituição de fundações privadas pelo poder público.</w:t>
      </w:r>
    </w:p>
    <w:p>
      <w:pPr>
        <w:ind w:left="288"/>
      </w:pPr>
      <w:r>
        <w:rPr>
          <w:b/>
          <w:color w:val="003CA0"/>
          <w:sz w:val="16"/>
        </w:rPr>
        <w:t>[ADI 4.197, rel. min. Roberto Barroso, j. 1º-3-2023, P, DJE de 9-3-2023.]</w:t>
      </w:r>
    </w:p>
    <w:p>
      <w:pPr>
        <w:ind w:left="288"/>
      </w:pPr>
      <w:r>
        <w:rPr>
          <w:color w:val="8C8C8C"/>
          <w:sz w:val="12"/>
        </w:rPr>
        <w:t>cf-art-199-par-1</w:t>
      </w:r>
      <w:r>
        <w:rPr>
          <w:color w:val="003CA0"/>
          <w:sz w:val="12"/>
        </w:rPr>
        <w:t xml:space="preserve"> | ADI 7.265</w:t>
      </w:r>
      <w:r>
        <w:rPr>
          <w:color w:val="003CA0"/>
          <w:sz w:val="12"/>
        </w:rPr>
        <w:t xml:space="preserve"> | rel. Luís Roberto Barroso</w:t>
      </w:r>
    </w:p>
    <w:p>
      <w:pPr>
        <w:ind w:left="288"/>
      </w:pPr>
      <w:r>
        <w:rPr>
          <w:color w:val="1E1E1E"/>
          <w:sz w:val="18"/>
        </w:rPr>
        <w:t>“1. É constitucional a imposição legal de cobertura de tratamentos ou procedimentos fora do rol da ANS, desde que preenchidos os parâmetros técnicos e jurídicos fixados nesta decisão. 2. Em caso de tratamento ou procedimento não previsto no rol da ANS, a cobertura deverá ser autorizada pela operadora de planos de assistência à saúde, desde que preenchidos, cumulativamente, os seguintes requisitos: (i) prescrição por médico ou odontólogo assistente habilitado; (ii) inexistência de negativa expressa da ANS ou de pendência de análise em proposta de atualização do rol (PAR); (iii) ausência de alte</w:t>
      </w:r>
    </w:p>
    <w:p>
      <w:pPr>
        <w:ind w:left="288"/>
      </w:pPr>
      <w:r>
        <w:rPr>
          <w:b/>
          <w:color w:val="003CA0"/>
          <w:sz w:val="16"/>
        </w:rPr>
        <w:t>[ADI 7.265, rel. min. Luís Roberto Barroso, j. 18.09.2025, P, DJE de 02.12.2025.]</w:t>
      </w:r>
    </w:p>
    <w:p>
      <w:pPr>
        <w:ind w:left="144"/>
      </w:pPr>
      <w:r>
        <w:rPr>
          <w:b/>
          <w:color w:val="B45A00"/>
          <w:sz w:val="16"/>
        </w:rPr>
        <w:t>REPERCUSSAO GERAL</w:t>
      </w:r>
    </w:p>
    <w:p>
      <w:pPr>
        <w:ind w:left="288"/>
      </w:pPr>
      <w:r>
        <w:rPr>
          <w:color w:val="8C8C8C"/>
          <w:sz w:val="12"/>
        </w:rPr>
        <w:t>cf-art-199-par-1</w:t>
      </w:r>
      <w:r>
        <w:rPr>
          <w:color w:val="003CA0"/>
          <w:sz w:val="12"/>
        </w:rPr>
        <w:t xml:space="preserve"> | ARE 1.301.749</w:t>
      </w:r>
      <w:r>
        <w:rPr>
          <w:color w:val="003CA0"/>
          <w:sz w:val="12"/>
        </w:rPr>
        <w:t xml:space="preserve"> | rel. Luiz Fux</w:t>
      </w:r>
    </w:p>
    <w:p>
      <w:pPr>
        <w:ind w:left="288"/>
      </w:pPr>
      <w:r>
        <w:rPr>
          <w:color w:val="1E1E1E"/>
          <w:sz w:val="18"/>
        </w:rPr>
        <w:t>É infraconstitucional, a ela se aplicando os efeitos da ausência de repercussão geral, a controvérsia relativa à preservação do equilíbrio econômico-financeiro de contrato ou convênio firmado com hospitais particulares, para prestação de serviços de saúde em caráter complementar, mediante equiparação da Tabela de Procedimentos do SUS à Tabela Única Nacional de Equivalência de Procedimentos (Tunep), assim como eventual discussão referente à legitimidade para figurar no polo passivo da demanda.</w:t>
        <w:br/>
        <w:t xml:space="preserve">[ARE 1.301.749 RG, rel. min. Luiz Fux, j. 1º-4-2021, P, DJE de 13-4-2021, Tema 1.133, com repercussão </w:t>
      </w:r>
    </w:p>
    <w:p>
      <w:pPr>
        <w:ind w:left="144"/>
      </w:pPr>
      <w:r>
        <w:rPr>
          <w:b/>
          <w:color w:val="B45A00"/>
          <w:sz w:val="16"/>
        </w:rPr>
        <w:t>JULGADOS CORRELATOS</w:t>
      </w:r>
    </w:p>
    <w:p>
      <w:pPr>
        <w:ind w:left="288"/>
      </w:pPr>
      <w:r>
        <w:rPr>
          <w:color w:val="8C8C8C"/>
          <w:sz w:val="12"/>
        </w:rPr>
        <w:t>cf-art-199-par-1</w:t>
      </w:r>
      <w:r>
        <w:rPr>
          <w:color w:val="003CA0"/>
          <w:sz w:val="12"/>
        </w:rPr>
        <w:t xml:space="preserve"> | RE 516.671</w:t>
      </w:r>
      <w:r>
        <w:rPr>
          <w:color w:val="003CA0"/>
          <w:sz w:val="12"/>
        </w:rPr>
        <w:t xml:space="preserve"> | rel. Ricardo Lewandowski</w:t>
      </w:r>
    </w:p>
    <w:p>
      <w:pPr>
        <w:ind w:left="288"/>
      </w:pPr>
      <w:r>
        <w:rPr>
          <w:color w:val="1E1E1E"/>
          <w:sz w:val="18"/>
        </w:rPr>
        <w:t>O indivíduo tem liberdade para se utilizar, conjunta ou exclusivamente, do atendimento prestado pelo serviço público de saúde ou daquele disponibilizado por entidades particulares. Inexiste ofensa à Constituição no fato de o paciente, à custa de recursos próprios, complementar com o serviço privado o atendimento arcado pelo SUS.</w:t>
      </w:r>
    </w:p>
    <w:p>
      <w:pPr>
        <w:ind w:left="288"/>
      </w:pPr>
      <w:r>
        <w:rPr>
          <w:b/>
          <w:color w:val="003CA0"/>
          <w:sz w:val="16"/>
        </w:rPr>
        <w:t>[RE 516.671 AgR, rel. min. Ricardo Lewandowski, j. 1º-6-2010, 1ª T, DJE de 6-8-2010.]</w:t>
      </w:r>
    </w:p>
    <w:p>
      <w:pPr>
        <w:ind w:left="288"/>
      </w:pPr>
      <w:r>
        <w:rPr>
          <w:color w:val="8C8C8C"/>
          <w:sz w:val="12"/>
        </w:rPr>
        <w:t>cf-art-199-par-1</w:t>
      </w:r>
      <w:r>
        <w:rPr>
          <w:color w:val="003CA0"/>
          <w:sz w:val="12"/>
        </w:rPr>
        <w:t xml:space="preserve"> | RE 202.700</w:t>
      </w:r>
    </w:p>
    <w:p>
      <w:pPr>
        <w:ind w:left="288"/>
      </w:pPr>
      <w:r>
        <w:rPr>
          <w:color w:val="1E1E1E"/>
          <w:sz w:val="18"/>
        </w:rPr>
        <w:t>A CF assegura que a saúde é direito de todos e dever do Estado, facultada à iniciativa privada a participação de forma complementar no SUS, por meio de contrato ou convênio, tendo preferência as entidades filantrópicas e as sem fins lucrativos (CF, art. 199, § 1º). Por outro lado, assentou balizas entre previdência e assistência social, quando dispôs, no art. 201, caput e I, que os planos previdenciários, mediante contribuição, atenderão à cobertura dos eventos ali arrolados; e no art. 203, caput, fixou que a assistência social será prestada a quem dela necessitar, independentemente de contrib</w:t>
      </w:r>
    </w:p>
    <w:p>
      <w:pPr>
        <w:ind w:left="288"/>
      </w:pPr>
      <w:r>
        <w:rPr>
          <w:b/>
          <w:color w:val="003CA0"/>
          <w:sz w:val="16"/>
        </w:rPr>
        <w:t>[RE 202.700, voto do min. Maurício Corrêa, j. 8-11-2001, P, DJ de 1º-3-2002.]</w:t>
      </w:r>
    </w:p>
    <w:p>
      <w:pPr>
        <w:ind w:left="144"/>
      </w:pPr>
      <w:r>
        <w:rPr>
          <w:b/>
          <w:color w:val="B45A00"/>
          <w:sz w:val="16"/>
        </w:rPr>
        <w:t>CONTROLE CONCENTRADO</w:t>
      </w:r>
    </w:p>
    <w:p>
      <w:pPr>
        <w:ind w:left="288"/>
      </w:pPr>
      <w:r>
        <w:rPr>
          <w:color w:val="8C8C8C"/>
          <w:sz w:val="12"/>
        </w:rPr>
        <w:t>cf-art-199-par-4</w:t>
      </w:r>
      <w:r>
        <w:rPr>
          <w:color w:val="003CA0"/>
          <w:sz w:val="12"/>
        </w:rPr>
        <w:t xml:space="preserve"> | ADPF 54</w:t>
      </w:r>
    </w:p>
    <w:p>
      <w:pPr>
        <w:ind w:left="288"/>
      </w:pPr>
      <w:r>
        <w:rPr>
          <w:color w:val="1E1E1E"/>
          <w:sz w:val="18"/>
        </w:rPr>
        <w:t xml:space="preserve">Ao contrário do que sustentado por alguns, não é dado invocar, em prol da proteção dos fetos anencéfalos, a possibilidade de doação de seus órgãos. E não se pode fazê-lo por duas razões. A primeira por ser vedado obrigar a manutenção de uma gravidez tão somente para viabilizar a doação de órgãos, sob pena de coisificar a mulher e ferir, a mais não poder, a sua dignidade. A segunda por revelar-se praticamente impossível o aproveitamento dos órgãos de um feto anencéfalo. Essa última razão reforça a anterior, porquanto, se é inumano e impensável tratar a mulher como mero instrumento para atender </w:t>
      </w:r>
    </w:p>
    <w:p>
      <w:pPr>
        <w:ind w:left="288"/>
      </w:pPr>
      <w:r>
        <w:rPr>
          <w:b/>
          <w:color w:val="003CA0"/>
          <w:sz w:val="16"/>
        </w:rPr>
        <w:t>[ADPF 54, voto do min. Marco Aurélio, j. 12-4-2012, P, DJE de 30-4-2013.]</w:t>
      </w:r>
    </w:p>
    <w:p>
      <w:pPr>
        <w:ind w:left="288"/>
      </w:pPr>
      <w:r>
        <w:rPr>
          <w:color w:val="8C8C8C"/>
          <w:sz w:val="12"/>
        </w:rPr>
        <w:t>cf-art-199-par-4</w:t>
      </w:r>
      <w:r>
        <w:rPr>
          <w:color w:val="003CA0"/>
          <w:sz w:val="12"/>
        </w:rPr>
        <w:t xml:space="preserve"> | ADI 3.510</w:t>
      </w:r>
      <w:r>
        <w:rPr>
          <w:color w:val="003CA0"/>
          <w:sz w:val="12"/>
        </w:rPr>
        <w:t xml:space="preserve"> | rel. Ayres Britto</w:t>
      </w:r>
    </w:p>
    <w:p>
      <w:pPr>
        <w:ind w:left="288"/>
      </w:pPr>
      <w:r>
        <w:rPr>
          <w:color w:val="1E1E1E"/>
          <w:sz w:val="18"/>
        </w:rPr>
        <w:t>O § 4º do art. 199 da Constituição, versante sobre pesquisas com substâncias humanas para fins terapêuticos, faz parte da seção normativa dedicada à "Saúde" (Seção II do Capítulo II do Título VIII). Direito à saúde, positivado como um dos primeiros dos direitos sociais de natureza fundamental (art. 6º da CF) e também como o primeiro dos direitos constitutivos da seguridade social (cabeça do artigo constitucional de n. 194). Saúde que é "direito de todos e dever do Estado" (caput do art. 196 da Constituição), garantida mediante ações e serviços de pronto qualificados como "de relevância pública</w:t>
      </w:r>
    </w:p>
    <w:p>
      <w:pPr>
        <w:ind w:left="288"/>
      </w:pPr>
      <w:r>
        <w:rPr>
          <w:b/>
          <w:color w:val="003CA0"/>
          <w:sz w:val="16"/>
        </w:rPr>
        <w:t>[ADI 3.510, rel. min. Ayres Britto, j. 29-5-2008, P, DJE de 28-5-2010.]</w:t>
      </w:r>
    </w:p>
    <w:p>
      <w:pPr>
        <w:ind w:left="288"/>
      </w:pPr>
      <w:r>
        <w:rPr>
          <w:color w:val="8C8C8C"/>
          <w:sz w:val="12"/>
        </w:rPr>
        <w:t>cf-art-199-par-4</w:t>
      </w:r>
      <w:r>
        <w:rPr>
          <w:color w:val="003CA0"/>
          <w:sz w:val="12"/>
        </w:rPr>
        <w:t xml:space="preserve"> | ADI 3.512</w:t>
      </w:r>
      <w:r>
        <w:rPr>
          <w:color w:val="003CA0"/>
          <w:sz w:val="12"/>
        </w:rPr>
        <w:t xml:space="preserve"> | rel. Eros Grau</w:t>
      </w:r>
    </w:p>
    <w:p>
      <w:pPr>
        <w:ind w:left="288"/>
      </w:pPr>
      <w:r>
        <w:rPr>
          <w:color w:val="1E1E1E"/>
          <w:sz w:val="18"/>
        </w:rPr>
        <w:t>Lei 7.737/2004 do Estado do Espírito Santo. Garantia de meia entrada aos doadores regulares de sangue. Acesso a locais públicos de cultura, esporte e lazer. (...) A Constituição do Brasil, em seu art. 199, § 4º, veda todo tipo de comercialização de sangue, entretanto estabelece que a lei infraconstitucional disporá sobre as condições e requisitos que facilitem a coleta de sangue. O ato normativo estadual não determina recompensa financeira à doação ou estimula a comercialização de sangue. Na composição entre o princípio da livre iniciativa e o direito à vida, há de ser preservado o interesse d</w:t>
      </w:r>
    </w:p>
    <w:p>
      <w:pPr>
        <w:ind w:left="288"/>
      </w:pPr>
      <w:r>
        <w:rPr>
          <w:b/>
          <w:color w:val="003CA0"/>
          <w:sz w:val="16"/>
        </w:rPr>
        <w:t>[ADI 3.512, rel. min. Eros Grau, j. 15-2-2006, P, DJ de 23-6-2006.]</w:t>
      </w:r>
    </w:p>
    <w:p>
      <w:pPr>
        <w:ind w:left="432"/>
      </w:pPr>
      <w:r>
        <w:rPr>
          <w:color w:val="003366"/>
          <w:sz w:val="18"/>
        </w:rPr>
        <w:t>§ 1 As instituições privadas poderão participar de forma complementar do sistema</w:t>
      </w:r>
    </w:p>
    <w:p>
      <w:pPr>
        <w:ind w:left="432"/>
      </w:pPr>
      <w:r>
        <w:rPr>
          <w:color w:val="003366"/>
          <w:sz w:val="18"/>
        </w:rPr>
        <w:t>§ 2 É vedada a destinação de recursos públicos para auxílios ou subvenções às in</w:t>
      </w:r>
    </w:p>
    <w:p>
      <w:pPr>
        <w:ind w:left="432"/>
      </w:pPr>
      <w:r>
        <w:rPr>
          <w:color w:val="003366"/>
          <w:sz w:val="18"/>
        </w:rPr>
        <w:t>§ 3 É vedada a participação direta ou indireta de empresas ou capitais estrangei</w:t>
      </w:r>
    </w:p>
    <w:p>
      <w:pPr>
        <w:ind w:left="432"/>
      </w:pPr>
      <w:r>
        <w:rPr>
          <w:color w:val="003366"/>
          <w:sz w:val="18"/>
        </w:rPr>
        <w:t xml:space="preserve">§ 4 A lei disporá sobre as condições e os requisitos que facilitem a remoção de </w:t>
      </w:r>
    </w:p>
    <w:p>
      <w:r>
        <w:rPr>
          <w:b/>
          <w:color w:val="003366"/>
          <w:sz w:val="20"/>
        </w:rPr>
        <w:t>Art. 200 Ao sistema único de saúde compete, além de outras atribuições, nos term</w:t>
      </w:r>
      <w:r>
        <w:rPr>
          <w:color w:val="8C8C8C"/>
          <w:sz w:val="14"/>
        </w:rPr>
        <w:t xml:space="preserve">  [3 decisoes]</w:t>
      </w:r>
    </w:p>
    <w:p>
      <w:pPr>
        <w:ind w:left="288"/>
      </w:pPr>
      <w:r>
        <w:rPr>
          <w:color w:val="8C8C8C"/>
          <w:sz w:val="12"/>
        </w:rPr>
        <w:t>cf-art-200-inc-III</w:t>
      </w:r>
      <w:r>
        <w:rPr>
          <w:color w:val="003CA0"/>
          <w:sz w:val="12"/>
        </w:rPr>
        <w:t xml:space="preserve"> | ADI 7.187</w:t>
      </w:r>
      <w:r>
        <w:rPr>
          <w:color w:val="003CA0"/>
          <w:sz w:val="12"/>
        </w:rPr>
        <w:t xml:space="preserve"> | rel. Gilmar Mendes</w:t>
      </w:r>
    </w:p>
    <w:p>
      <w:pPr>
        <w:ind w:left="288"/>
      </w:pPr>
      <w:r>
        <w:rPr>
          <w:color w:val="1E1E1E"/>
          <w:sz w:val="18"/>
        </w:rPr>
        <w:t>Integração do julgado (...) quanto às alegações de que o Ministério da Educação (MEC) estaria descumprindo, por meio da Portaria MEC/SERES n. 531/2023, as determinações oriundas da medida cautelar concedida e do acórdão embargado. (...)O Plenário estabeleceu, nos termos do acórdão embargado, que a oferta de novas vagas em cursos de medicina pressupõe a aferição, pelo Ministério da Educação, de relevância e necessidade social da pretensão, na forma da Lei 12.871/2013. Igualmente se decidiu, quanto aos processos que ultrapassaram a fase inicial de análise documental (Decreto 9.235/2017, arts. 19</w:t>
      </w:r>
    </w:p>
    <w:p>
      <w:pPr>
        <w:ind w:left="288"/>
      </w:pPr>
      <w:r>
        <w:rPr>
          <w:b/>
          <w:color w:val="003CA0"/>
          <w:sz w:val="16"/>
        </w:rPr>
        <w:t>[ADI 7.187, rel. min. Gilmar Mendes, j. 26-11-2025, P, DJE de 11-2-2026.]</w:t>
      </w:r>
    </w:p>
    <w:p>
      <w:pPr>
        <w:ind w:left="144"/>
      </w:pPr>
      <w:r>
        <w:rPr>
          <w:b/>
          <w:color w:val="B45A00"/>
          <w:sz w:val="16"/>
        </w:rPr>
        <w:t>CONTROLE CONCENTRADO</w:t>
      </w:r>
    </w:p>
    <w:p>
      <w:pPr>
        <w:ind w:left="288"/>
      </w:pPr>
      <w:r>
        <w:rPr>
          <w:color w:val="8C8C8C"/>
          <w:sz w:val="12"/>
        </w:rPr>
        <w:t>cf-art-200-inc-III</w:t>
      </w:r>
      <w:r>
        <w:rPr>
          <w:color w:val="003CA0"/>
          <w:sz w:val="12"/>
        </w:rPr>
        <w:t xml:space="preserve"> | ADC 81</w:t>
      </w:r>
      <w:r>
        <w:rPr>
          <w:color w:val="003CA0"/>
          <w:sz w:val="12"/>
        </w:rPr>
        <w:t xml:space="preserve"> | rel. Gilmar Mendes</w:t>
      </w:r>
    </w:p>
    <w:p>
      <w:pPr>
        <w:ind w:left="288"/>
      </w:pPr>
      <w:r>
        <w:rPr>
          <w:color w:val="1E1E1E"/>
          <w:sz w:val="18"/>
        </w:rPr>
        <w:t>A política indutora de instalação de novos cursos de medicina de acordo com a necessidade social dos Municípios, com o incremento dos recursos humanos e financeiros da estrutura de saúde da localidade, mostra-se adequada ao objetivo de melhorar a distribuição dos serviços médicos no território nacional. Da mesma forma, sob a perspectiva do critério da necessidade, não há alternativa menos gravosa e que atenda aos mesmos objetivos propugnados pela Lei 12.871/2013. (...) o inciso III do art. 200 da Constituição prescreve que ao Sistema Único de Saúde compete “ordenar a formação de recursos human</w:t>
      </w:r>
    </w:p>
    <w:p>
      <w:pPr>
        <w:ind w:left="288"/>
      </w:pPr>
      <w:r>
        <w:rPr>
          <w:color w:val="8C8C8C"/>
          <w:sz w:val="12"/>
        </w:rPr>
        <w:t>cf-art-200-inc-VIII</w:t>
      </w:r>
    </w:p>
    <w:p>
      <w:pPr>
        <w:ind w:left="288"/>
      </w:pPr>
      <w:r>
        <w:rPr>
          <w:color w:val="1E1E1E"/>
          <w:sz w:val="18"/>
        </w:rPr>
        <w:t>Seção III Da Previdência Social SUMÁRIO</w:t>
      </w:r>
    </w:p>
    <w:p>
      <w:pPr>
        <w:ind w:left="720"/>
      </w:pPr>
      <w:r>
        <w:rPr>
          <w:color w:val="003366"/>
          <w:sz w:val="18"/>
        </w:rPr>
        <w:t>I – controlar e fiscalizar procedimentos, produtos e substâncias de interesse pa</w:t>
      </w:r>
    </w:p>
    <w:p>
      <w:pPr>
        <w:ind w:left="720"/>
      </w:pPr>
      <w:r>
        <w:rPr>
          <w:color w:val="003366"/>
          <w:sz w:val="18"/>
        </w:rPr>
        <w:t xml:space="preserve">II – executar as ações de vigilância sanitária e epidemiológica, bem como as de </w:t>
      </w:r>
    </w:p>
    <w:p>
      <w:pPr>
        <w:ind w:left="720"/>
      </w:pPr>
      <w:r>
        <w:rPr>
          <w:color w:val="003366"/>
          <w:sz w:val="18"/>
        </w:rPr>
        <w:t>III – ordenar a formação de recursos humanos na área de saúde;</w:t>
      </w:r>
    </w:p>
    <w:p>
      <w:pPr>
        <w:ind w:left="720"/>
      </w:pPr>
      <w:r>
        <w:rPr>
          <w:color w:val="003366"/>
          <w:sz w:val="18"/>
        </w:rPr>
        <w:t xml:space="preserve">IV – participar da formulação da política e da execução das ações de saneamento </w:t>
      </w:r>
    </w:p>
    <w:p>
      <w:pPr>
        <w:ind w:left="720"/>
      </w:pPr>
      <w:r>
        <w:rPr>
          <w:color w:val="003366"/>
          <w:sz w:val="18"/>
        </w:rPr>
        <w:t>V – incrementar, em sua área de atuação, o desenvolvimento científico e tecnológ</w:t>
      </w:r>
    </w:p>
    <w:p>
      <w:pPr>
        <w:ind w:left="720"/>
      </w:pPr>
      <w:r>
        <w:rPr>
          <w:color w:val="003366"/>
          <w:sz w:val="18"/>
        </w:rPr>
        <w:t>VI – fiscalizar e inspecionar alimentos, compreendido o controle de seu teor nut</w:t>
      </w:r>
    </w:p>
    <w:p>
      <w:pPr>
        <w:ind w:left="720"/>
      </w:pPr>
      <w:r>
        <w:rPr>
          <w:color w:val="003366"/>
          <w:sz w:val="18"/>
        </w:rPr>
        <w:t>VII – participar do controle e fiscalização da produção, transporte, guarda e ut</w:t>
      </w:r>
    </w:p>
    <w:p>
      <w:pPr>
        <w:ind w:left="720"/>
      </w:pPr>
      <w:r>
        <w:rPr>
          <w:color w:val="003366"/>
          <w:sz w:val="18"/>
        </w:rPr>
        <w:t>VIII – colaborar na proteção do meio ambiente, nele compreendido o do trabalho.</w:t>
      </w:r>
    </w:p>
    <w:p>
      <w:pPr>
        <w:pStyle w:val="Heading3"/>
      </w:pPr>
      <w:r>
        <w:rPr>
          <w:color w:val="003366"/>
        </w:rPr>
        <w:t>Seção III - DA PREVIDÊNCIA SOCIAL</w:t>
      </w:r>
    </w:p>
    <w:p>
      <w:r>
        <w:rPr>
          <w:b/>
          <w:color w:val="003366"/>
          <w:sz w:val="20"/>
        </w:rPr>
        <w:t>Art. 201 A previdência social será organizada sob a forma do Regime Geral de Pre</w:t>
      </w:r>
      <w:r>
        <w:rPr>
          <w:color w:val="8C8C8C"/>
          <w:sz w:val="14"/>
        </w:rPr>
        <w:t xml:space="preserve">  [69 decisoes]</w:t>
      </w:r>
    </w:p>
    <w:p>
      <w:pPr>
        <w:ind w:left="144"/>
      </w:pPr>
      <w:r>
        <w:rPr>
          <w:b/>
          <w:color w:val="B45A00"/>
          <w:sz w:val="16"/>
        </w:rPr>
        <w:t>CONTROLE CONCENTRADO</w:t>
      </w:r>
    </w:p>
    <w:p>
      <w:pPr>
        <w:ind w:left="288"/>
      </w:pPr>
      <w:r>
        <w:rPr>
          <w:color w:val="8C8C8C"/>
          <w:sz w:val="12"/>
        </w:rPr>
        <w:t>cf-art-201</w:t>
      </w:r>
      <w:r>
        <w:rPr>
          <w:color w:val="003CA0"/>
          <w:sz w:val="12"/>
        </w:rPr>
        <w:t xml:space="preserve"> | RE 626.489</w:t>
      </w:r>
      <w:r>
        <w:rPr>
          <w:color w:val="003CA0"/>
          <w:sz w:val="12"/>
        </w:rPr>
        <w:t xml:space="preserve"> | rel. Edson Fachin</w:t>
      </w:r>
    </w:p>
    <w:p>
      <w:pPr>
        <w:ind w:left="288"/>
      </w:pPr>
      <w:r>
        <w:rPr>
          <w:color w:val="1E1E1E"/>
          <w:sz w:val="18"/>
        </w:rPr>
        <w:t>O núcleo essencial do direito fundamental à previdência social é imprescritível, irrenunciável e indisponível, motivo pelo qual não deve ser afetada pelos efeitos do tempo e da inércia de seu titular a pretensão relativa ao direito ao recebimento de benefício previdenciário. Este Supremo Tribunal Federal, no RE 626.489, de relatoria do i. Min. Roberto Barroso, admitiu a instituição de prazo decadencial para a revisão do ato concessório porque atingida tão somente a pretensão de rediscutir a graduação pecuniária do benefício, isto é, a forma de cálculo ou o valor final da prestação, já que, con</w:t>
      </w:r>
    </w:p>
    <w:p>
      <w:pPr>
        <w:ind w:left="288"/>
      </w:pPr>
      <w:r>
        <w:rPr>
          <w:b/>
          <w:color w:val="003CA0"/>
          <w:sz w:val="16"/>
        </w:rPr>
        <w:t>[ADI 6.096, rel. min. Edson Fachin, j. 13-10-2020, P, DJE de 26-11-2020.]</w:t>
      </w:r>
    </w:p>
    <w:p>
      <w:pPr>
        <w:ind w:left="288"/>
      </w:pPr>
      <w:r>
        <w:rPr>
          <w:color w:val="8C8C8C"/>
          <w:sz w:val="12"/>
        </w:rPr>
        <w:t>cf-art-201</w:t>
      </w:r>
      <w:r>
        <w:rPr>
          <w:color w:val="003CA0"/>
          <w:sz w:val="12"/>
        </w:rPr>
        <w:t xml:space="preserve"> | ADI 3.105</w:t>
      </w:r>
    </w:p>
    <w:p>
      <w:pPr>
        <w:ind w:left="288"/>
      </w:pPr>
      <w:r>
        <w:rPr>
          <w:color w:val="1E1E1E"/>
          <w:sz w:val="18"/>
        </w:rPr>
        <w:t>Seguridade social. Servidor público. Vencimentos. Proventos de aposentadoria e pensões. Sujeição à incidência de contribuição previdenciária. Ofensa a direito adquirido no ato de aposentadoria. Não ocorrência. Contribuição social. Exigência patrimonial de natureza tributária. Inexistência de norma de imunidade tributária absoluta. EC 41/2003 (art. 4º, caput). Regra não retroativa. Incidência sobre fatos geradores ocorridos depois do início de sua vigência. Precedentes da Corte. Inteligência dos arts. 5º, XXXVI; 146, III; 149; 150, I e III; 194; 195, caput, II e § 6º, da CF; e art. 4º, caput, d</w:t>
      </w:r>
    </w:p>
    <w:p>
      <w:pPr>
        <w:ind w:left="288"/>
      </w:pPr>
      <w:r>
        <w:rPr>
          <w:b/>
          <w:color w:val="003CA0"/>
          <w:sz w:val="16"/>
        </w:rPr>
        <w:t>[ADI 3.105, red. do ac. min. Cezar Peluso, j. 18-8-2004, P, DJ de 18-2-2005.]</w:t>
      </w:r>
    </w:p>
    <w:p>
      <w:pPr>
        <w:ind w:left="288"/>
      </w:pPr>
      <w:r>
        <w:rPr>
          <w:color w:val="8C8C8C"/>
          <w:sz w:val="12"/>
        </w:rPr>
        <w:t>cf-art-201</w:t>
      </w:r>
      <w:r>
        <w:rPr>
          <w:color w:val="003CA0"/>
          <w:sz w:val="12"/>
        </w:rPr>
        <w:t xml:space="preserve"> | RE 1.520.468</w:t>
      </w:r>
      <w:r>
        <w:rPr>
          <w:color w:val="003CA0"/>
          <w:sz w:val="12"/>
        </w:rPr>
        <w:t xml:space="preserve"> | rel. Flávio Dino</w:t>
      </w:r>
    </w:p>
    <w:p>
      <w:pPr>
        <w:ind w:left="288"/>
      </w:pPr>
      <w:r>
        <w:rPr>
          <w:color w:val="1E1E1E"/>
          <w:sz w:val="18"/>
        </w:rPr>
        <w:t>“1) Compete ao juízo estadual, no exercício da jurisdição criminal, especialmente aquele responsável pela aplicação da Lei nº 11.340/2006 (Lei Maria da Penha), fixar a medida protetiva prevista no art. 9º, § 2º, II, da referida lei, inclusive quanto à requisição de pagamento de prestação pecuniária em favor da vítima afastada do local de trabalho, ainda que o cumprimento material da decisão fique sob o encargo do INSS e do empregador; 2) Nos termos do que dispõe o art. 109, I, da Constituição Federal, compete à Justiça Federal processar e julgar as ações regressivas que, com fundamento no art.</w:t>
      </w:r>
    </w:p>
    <w:p>
      <w:pPr>
        <w:ind w:left="288"/>
      </w:pPr>
      <w:r>
        <w:rPr>
          <w:b/>
          <w:color w:val="003CA0"/>
          <w:sz w:val="16"/>
        </w:rPr>
        <w:t>[RE 1.520.468, rel. min. Flávio Dino, j. 16-12-2025, P, DJE de 3-2-2026, Tema 1.370, com mérito julgado.]</w:t>
      </w:r>
    </w:p>
    <w:p>
      <w:pPr>
        <w:ind w:left="144"/>
      </w:pPr>
      <w:r>
        <w:rPr>
          <w:b/>
          <w:color w:val="B45A00"/>
          <w:sz w:val="16"/>
        </w:rPr>
        <w:t>REPERCUSSAO GERAL</w:t>
      </w:r>
    </w:p>
    <w:p>
      <w:pPr>
        <w:ind w:left="288"/>
      </w:pPr>
      <w:r>
        <w:rPr>
          <w:color w:val="8C8C8C"/>
          <w:sz w:val="12"/>
        </w:rPr>
        <w:t>cf-art-201</w:t>
      </w:r>
      <w:r>
        <w:rPr>
          <w:color w:val="003CA0"/>
          <w:sz w:val="12"/>
        </w:rPr>
        <w:t xml:space="preserve"> | RE 1.276.977</w:t>
      </w:r>
      <w:r>
        <w:rPr>
          <w:color w:val="003CA0"/>
          <w:sz w:val="12"/>
        </w:rPr>
        <w:t xml:space="preserve"> | rel. Marco Aurélio</w:t>
      </w:r>
    </w:p>
    <w:p>
      <w:pPr>
        <w:ind w:left="288"/>
      </w:pPr>
      <w:r>
        <w:rPr>
          <w:color w:val="1E1E1E"/>
          <w:sz w:val="18"/>
        </w:rPr>
        <w:t>“O segurado que implementou as condições para o benefício previdenciário após a vigência da Lei 9.876, de 26 de novembro de 1999, e antes da vigência das novas regras constitucionais introduzidas pela EC em 103/2019, que tornou a regra transitória definitiva, tem o direito de optar pela regra definitiva, acaso esta lhe seja mais favorável”.</w:t>
      </w:r>
    </w:p>
    <w:p>
      <w:pPr>
        <w:ind w:left="288"/>
      </w:pPr>
      <w:r>
        <w:rPr>
          <w:b/>
          <w:color w:val="003CA0"/>
          <w:sz w:val="16"/>
        </w:rPr>
        <w:t>[RE 1.276.977, rel. min. Marco Aurélio, red. do ac. min. Alexandre de Moraes, j. 1º-12-2022, P, DJE de 13-4-2023, Tema 1.102, com mérito julgado.]</w:t>
      </w:r>
    </w:p>
    <w:p>
      <w:pPr>
        <w:ind w:left="288"/>
      </w:pPr>
      <w:r>
        <w:rPr>
          <w:color w:val="8C8C8C"/>
          <w:sz w:val="12"/>
        </w:rPr>
        <w:t>cf-art-201</w:t>
      </w:r>
      <w:r>
        <w:rPr>
          <w:color w:val="003CA0"/>
          <w:sz w:val="12"/>
        </w:rPr>
        <w:t xml:space="preserve"> | RE 1.221.446</w:t>
      </w:r>
      <w:r>
        <w:rPr>
          <w:color w:val="003CA0"/>
          <w:sz w:val="12"/>
        </w:rPr>
        <w:t xml:space="preserve"> | rel. Dias Toffoli</w:t>
      </w:r>
    </w:p>
    <w:p>
      <w:pPr>
        <w:ind w:left="288"/>
      </w:pPr>
      <w:r>
        <w:rPr>
          <w:color w:val="1E1E1E"/>
          <w:sz w:val="18"/>
        </w:rPr>
        <w:t>No âmbito do Regime Geral de Previdência Social (RGPS), somente lei pode criar ou ampliar benefícios e vantagens previdenciárias, não havendo, por ora, previsão de extensão do auxílio da grande invalidez a todas às espécies de aposentadoria.</w:t>
      </w:r>
    </w:p>
    <w:p>
      <w:pPr>
        <w:ind w:left="288"/>
      </w:pPr>
      <w:r>
        <w:rPr>
          <w:b/>
          <w:color w:val="003CA0"/>
          <w:sz w:val="16"/>
        </w:rPr>
        <w:t>[RE 1.221.446, rel. min. Dias Toffoli, j. 21-6-2021, P, DJE de 4-8-2022, Tema 1.095, com mérito julgado.]</w:t>
      </w:r>
    </w:p>
    <w:p>
      <w:pPr>
        <w:ind w:left="288"/>
      </w:pPr>
      <w:r>
        <w:rPr>
          <w:color w:val="8C8C8C"/>
          <w:sz w:val="12"/>
        </w:rPr>
        <w:t>cf-art-201</w:t>
      </w:r>
      <w:r>
        <w:rPr>
          <w:color w:val="003CA0"/>
          <w:sz w:val="12"/>
        </w:rPr>
        <w:t xml:space="preserve"> | RE 381.367</w:t>
      </w:r>
    </w:p>
    <w:p>
      <w:pPr>
        <w:ind w:left="288"/>
      </w:pPr>
      <w:r>
        <w:rPr>
          <w:color w:val="1E1E1E"/>
          <w:sz w:val="18"/>
        </w:rPr>
        <w:t>No âmbito do Regime Geral de Previdência Social - RGPS, somente lei pode criar benefícios e vantagens previdenciárias, não havendo, por ora, previsão legal do direito à 'desaposentação' ou à reaposentação, sendo constitucional a regra do art. 18, § 2º, da Lei nº 8.213/91”; b) modular os efeitos do acórdão embargado e da tese de repercussão geral, de forma a preservar a desaposentação aos segurados que tiveram o direito reconhecido por decisão judicial transitada em julgado até a data deste julgamento; c) declarar a desnecessidade de repetição dos valores recebidos a título de desaposentação at</w:t>
      </w:r>
    </w:p>
    <w:p>
      <w:pPr>
        <w:ind w:left="288"/>
      </w:pPr>
      <w:r>
        <w:rPr>
          <w:b/>
          <w:color w:val="003CA0"/>
          <w:sz w:val="16"/>
        </w:rPr>
        <w:t>[RE 381.367 ED e RE 827.833 ED, red. do ac. min. Alexandre de Moraes, j. 6-2-2020, P, DJE de 14-12-2020, RG, Tema 503, com mérito julgado.]</w:t>
      </w:r>
    </w:p>
    <w:p>
      <w:pPr>
        <w:ind w:left="288"/>
      </w:pPr>
      <w:r>
        <w:rPr>
          <w:color w:val="8C8C8C"/>
          <w:sz w:val="12"/>
        </w:rPr>
        <w:t>cf-art-201</w:t>
      </w:r>
      <w:r>
        <w:rPr>
          <w:color w:val="003CA0"/>
          <w:sz w:val="12"/>
        </w:rPr>
        <w:t xml:space="preserve"> | RE 564.354</w:t>
      </w:r>
      <w:r>
        <w:rPr>
          <w:color w:val="003CA0"/>
          <w:sz w:val="12"/>
        </w:rPr>
        <w:t xml:space="preserve"> | rel. Roberto Barroso</w:t>
      </w:r>
    </w:p>
    <w:p>
      <w:pPr>
        <w:ind w:left="288"/>
      </w:pPr>
      <w:r>
        <w:rPr>
          <w:color w:val="1E1E1E"/>
          <w:sz w:val="18"/>
        </w:rPr>
        <w:t>(...) os benefícios concedidos entre 5-10-1988 e 5-4-1991 (período do buraco negro) não estão, em tese, excluídos da possibilidade de readequação segundo os tetos instituídos pelas EC 20/1998 e EC 41/2003, a ser aferida caso a caso, conforme os parâmetros definidos no julgamento do RE 564.354, em regime de repercussão geral.</w:t>
      </w:r>
    </w:p>
    <w:p>
      <w:pPr>
        <w:ind w:left="288"/>
      </w:pPr>
      <w:r>
        <w:rPr>
          <w:b/>
          <w:color w:val="003CA0"/>
          <w:sz w:val="16"/>
        </w:rPr>
        <w:t>[RE 937.595 RG, rel. min. Roberto Barroso, j. 2-2-2017, P, DJE de 16-5-2017, Tema 930, com mérito julgado.]</w:t>
        <w:br/>
        <w:t>Vide RE 564.354, rel. min. Cármen Lúcia, j. 8-9-2010, P, DJE de 15-2-2011, Tema 76, com mérito julgado.</w:t>
      </w:r>
    </w:p>
    <w:p>
      <w:pPr>
        <w:ind w:left="288"/>
      </w:pPr>
      <w:r>
        <w:rPr>
          <w:color w:val="8C8C8C"/>
          <w:sz w:val="12"/>
        </w:rPr>
        <w:t>cf-art-201</w:t>
      </w:r>
      <w:r>
        <w:rPr>
          <w:color w:val="003CA0"/>
          <w:sz w:val="12"/>
        </w:rPr>
        <w:t xml:space="preserve"> | RE 631.240</w:t>
      </w:r>
      <w:r>
        <w:rPr>
          <w:color w:val="003CA0"/>
          <w:sz w:val="12"/>
        </w:rPr>
        <w:t xml:space="preserve"> | rel. Roberto Barroso</w:t>
      </w:r>
    </w:p>
    <w:p>
      <w:pPr>
        <w:ind w:left="288"/>
      </w:pPr>
      <w:r>
        <w:rPr>
          <w:color w:val="1E1E1E"/>
          <w:sz w:val="18"/>
        </w:rPr>
        <w:t>Quanto às ações ajuizadas até a conclusão do presente julgamento (3-9-2014), sem que tenha havido prévio requerimento administrativo nas hipóteses em que exigível, será observado o seguinte: (i) caso a ação tenha sido ajuizada no âmbito de juizado Itinerante, a ausência de anterior pedido administrativo não deverá implicar a extinção do feito; (ii) caso o INSS já tenha apresentado contestação de mérito, está caracterizado o interesse em agir pela resistência à pretensão; (iii) as demais ações que não se enquadrem nos itens (i) e (ii) ficarão sobrestadas, observando-se a sistemática a seguir. N</w:t>
      </w:r>
    </w:p>
    <w:p>
      <w:pPr>
        <w:ind w:left="288"/>
      </w:pPr>
      <w:r>
        <w:rPr>
          <w:b/>
          <w:color w:val="003CA0"/>
          <w:sz w:val="16"/>
        </w:rPr>
        <w:t>[RE 631.240, rel. min. Roberto Barroso, j. 3-9-2014, P, DJE de 10-11-2014, Tema 350, com mérito julgado.]</w:t>
      </w:r>
    </w:p>
    <w:p>
      <w:pPr>
        <w:ind w:left="288"/>
      </w:pPr>
      <w:r>
        <w:rPr>
          <w:color w:val="8C8C8C"/>
          <w:sz w:val="12"/>
        </w:rPr>
        <w:t>cf-art-201</w:t>
      </w:r>
      <w:r>
        <w:rPr>
          <w:color w:val="003CA0"/>
          <w:sz w:val="12"/>
        </w:rPr>
        <w:t xml:space="preserve"> | RE 626.489</w:t>
      </w:r>
      <w:r>
        <w:rPr>
          <w:color w:val="003CA0"/>
          <w:sz w:val="12"/>
        </w:rPr>
        <w:t xml:space="preserve"> | rel. Roberto Barroso</w:t>
      </w:r>
    </w:p>
    <w:p>
      <w:pPr>
        <w:ind w:left="288"/>
      </w:pPr>
      <w:r>
        <w:rPr>
          <w:color w:val="1E1E1E"/>
          <w:sz w:val="18"/>
        </w:rPr>
        <w:t>O direito à previdência social constitui direito fundamental e, uma vez implementados os pressupostos de sua aquisição, não deve ser afetado pelo decurso do tempo. Como consequência, inexiste prazo decadencial para a concessão inicial do benefício previdenciário. É legítima, todavia, a instituição de prazo decadencial de dez anos para a revisão de benefício já concedido, com fundamento no princípio da segurança jurídica, no interesse em evitar a eternização dos litígios e na busca de equilíbrio financeiro e atuarial para o sistema previdenciário. O prazo decadencial de dez anos, instituído pel</w:t>
      </w:r>
    </w:p>
    <w:p>
      <w:pPr>
        <w:ind w:left="288"/>
      </w:pPr>
      <w:r>
        <w:rPr>
          <w:b/>
          <w:color w:val="003CA0"/>
          <w:sz w:val="16"/>
        </w:rPr>
        <w:t>[RE 626.489, rel. min. Roberto Barroso, j. 16-10-2013, P, DJE de 23-9-2014, Tema 313, com mérito julgado.]</w:t>
      </w:r>
    </w:p>
    <w:p>
      <w:pPr>
        <w:ind w:left="288"/>
      </w:pPr>
      <w:r>
        <w:rPr>
          <w:color w:val="8C8C8C"/>
          <w:sz w:val="12"/>
        </w:rPr>
        <w:t>cf-art-201</w:t>
      </w:r>
      <w:r>
        <w:rPr>
          <w:color w:val="003CA0"/>
          <w:sz w:val="12"/>
        </w:rPr>
        <w:t xml:space="preserve"> | RE 630.501</w:t>
      </w:r>
      <w:r>
        <w:rPr>
          <w:color w:val="003CA0"/>
          <w:sz w:val="12"/>
        </w:rPr>
        <w:t xml:space="preserve"> | rel. Cármen Lúcia</w:t>
      </w:r>
    </w:p>
    <w:p>
      <w:pPr>
        <w:ind w:left="288"/>
      </w:pPr>
      <w:r>
        <w:rPr>
          <w:color w:val="1E1E1E"/>
          <w:sz w:val="18"/>
        </w:rPr>
        <w:t>O direito adquirido ao melhor benefício implica a possibilidade de o segurado ver o seu benefício deferido ou revisado de modo que corresponda à maior renda possível no cotejo entre a renda mensal inicial obtida e as rendas mensais que estaria percebendo, naquele momento, se houvesse requerido em algum momento anterior o benefício, desde quando possível a aposentadoria proporcional.</w:t>
        <w:br/>
        <w:t>[RE 630.501, red. do ac. min. Marco Aurélio, voto da min. Ellen Gracie, j. 21-2-2013, P, DJE de 26-8-2013, Tema 334, com mérito julgado.] Não ofende o ato jurídico perfeito a aplicação imediata do art. 14 da EC 20/</w:t>
      </w:r>
    </w:p>
    <w:p>
      <w:pPr>
        <w:ind w:left="144"/>
      </w:pPr>
      <w:r>
        <w:rPr>
          <w:b/>
          <w:color w:val="B45A00"/>
          <w:sz w:val="16"/>
        </w:rPr>
        <w:t>JULGADOS CORRELATOS</w:t>
      </w:r>
    </w:p>
    <w:p>
      <w:pPr>
        <w:ind w:left="288"/>
      </w:pPr>
      <w:r>
        <w:rPr>
          <w:color w:val="8C8C8C"/>
          <w:sz w:val="12"/>
        </w:rPr>
        <w:t>cf-art-201</w:t>
      </w:r>
      <w:r>
        <w:rPr>
          <w:color w:val="003CA0"/>
          <w:sz w:val="12"/>
        </w:rPr>
        <w:t xml:space="preserve"> | ACO 3.529</w:t>
      </w:r>
      <w:r>
        <w:rPr>
          <w:color w:val="003CA0"/>
          <w:sz w:val="12"/>
        </w:rPr>
        <w:t xml:space="preserve"> | rel. Roberto Barroso</w:t>
      </w:r>
    </w:p>
    <w:p>
      <w:pPr>
        <w:ind w:left="288"/>
      </w:pPr>
      <w:r>
        <w:rPr>
          <w:color w:val="1E1E1E"/>
          <w:sz w:val="18"/>
        </w:rPr>
        <w:t>Ação cível originária que objetiva a emissão de Certificado de Regularidade Previdenciária – CRP, negado pela União em razão do descumprimento do art. 9º, §§ 2º e 3º, da Emenda Constitucional 103/2019. Diferentemente de precedentes anteriores, a questão principal consiste em saber se o Estado-autor tem direito à emissão do CRP quando descumpridas normas da própria Constituição Federal. A Reforma da Previdência restringiu o rol dos benefícios pagos pelos regimes próprios de previdência social às aposentadorias e pensões por morte (art. 9º, § 2º, da EC 103/2019). Com isso, impôs aos entes subnac</w:t>
      </w:r>
    </w:p>
    <w:p>
      <w:pPr>
        <w:ind w:left="288"/>
      </w:pPr>
      <w:r>
        <w:rPr>
          <w:b/>
          <w:color w:val="003CA0"/>
          <w:sz w:val="16"/>
        </w:rPr>
        <w:t>[ACO 3.529 MC-Ref, rel. min. Roberto Barroso, j. 4-11-2021, Plenário, DJE de 3-12-2021.]</w:t>
      </w:r>
    </w:p>
    <w:p>
      <w:pPr>
        <w:ind w:left="288"/>
      </w:pPr>
      <w:r>
        <w:rPr>
          <w:color w:val="8C8C8C"/>
          <w:sz w:val="12"/>
        </w:rPr>
        <w:t>cf-art-201</w:t>
      </w:r>
      <w:r>
        <w:rPr>
          <w:color w:val="003CA0"/>
          <w:sz w:val="12"/>
        </w:rPr>
        <w:t xml:space="preserve"> | AI 746.442</w:t>
      </w:r>
      <w:r>
        <w:rPr>
          <w:color w:val="003CA0"/>
          <w:sz w:val="12"/>
        </w:rPr>
        <w:t xml:space="preserve"> | rel. Cármen Lúcia</w:t>
      </w:r>
    </w:p>
    <w:p>
      <w:pPr>
        <w:ind w:left="288"/>
      </w:pPr>
      <w:r>
        <w:rPr>
          <w:color w:val="1E1E1E"/>
          <w:sz w:val="18"/>
        </w:rPr>
        <w:t>O julgamento pela ilegalidade do pagamento do benefício previdenciário não importa na obrigatoriedade da devolução das importâncias recebidas de boa-fé.</w:t>
      </w:r>
    </w:p>
    <w:p>
      <w:pPr>
        <w:ind w:left="288"/>
      </w:pPr>
      <w:r>
        <w:rPr>
          <w:b/>
          <w:color w:val="003CA0"/>
          <w:sz w:val="16"/>
        </w:rPr>
        <w:t>[AI 746.442 AgR, rel. min. Cármen Lúcia, j. 25-8-2009, 1ª T, DJE de 23-10-2009.]</w:t>
      </w:r>
    </w:p>
    <w:p>
      <w:pPr>
        <w:ind w:left="288"/>
      </w:pPr>
      <w:r>
        <w:rPr>
          <w:color w:val="8C8C8C"/>
          <w:sz w:val="12"/>
        </w:rPr>
        <w:t>cf-art-201</w:t>
      </w:r>
      <w:r>
        <w:rPr>
          <w:color w:val="003CA0"/>
          <w:sz w:val="12"/>
        </w:rPr>
        <w:t xml:space="preserve"> | AI 650.107</w:t>
      </w:r>
      <w:r>
        <w:rPr>
          <w:color w:val="003CA0"/>
          <w:sz w:val="12"/>
        </w:rPr>
        <w:t xml:space="preserve"> | rel. Celso de Mello</w:t>
      </w:r>
    </w:p>
    <w:p>
      <w:pPr>
        <w:ind w:left="288"/>
      </w:pPr>
      <w:r>
        <w:rPr>
          <w:color w:val="1E1E1E"/>
          <w:sz w:val="18"/>
        </w:rPr>
        <w:t>Contribuição previdenciária. Natureza tributária. Incidência de juros de mora a partir do trânsito em julgado de decisão que determina a devolução de valores indevidamente recolhidos (CTN, art. 167, parágrafo único).</w:t>
      </w:r>
    </w:p>
    <w:p>
      <w:pPr>
        <w:ind w:left="288"/>
      </w:pPr>
      <w:r>
        <w:rPr>
          <w:b/>
          <w:color w:val="003CA0"/>
          <w:sz w:val="16"/>
        </w:rPr>
        <w:t>[AI 650.107, rel. min. Celso de Mello, j. 26-8-2008, 2ª T, DJE de 3-10-2008.]</w:t>
      </w:r>
    </w:p>
    <w:p>
      <w:pPr>
        <w:ind w:left="288"/>
      </w:pPr>
      <w:r>
        <w:rPr>
          <w:color w:val="8C8C8C"/>
          <w:sz w:val="12"/>
        </w:rPr>
        <w:t>cf-art-201</w:t>
      </w:r>
      <w:r>
        <w:rPr>
          <w:color w:val="003CA0"/>
          <w:sz w:val="12"/>
        </w:rPr>
        <w:t xml:space="preserve"> | RE 565.498</w:t>
      </w:r>
      <w:r>
        <w:rPr>
          <w:color w:val="003CA0"/>
          <w:sz w:val="12"/>
        </w:rPr>
        <w:t xml:space="preserve"> | rel. Cezar Peluso</w:t>
      </w:r>
    </w:p>
    <w:p>
      <w:pPr>
        <w:ind w:left="288"/>
      </w:pPr>
      <w:r>
        <w:rPr>
          <w:color w:val="1E1E1E"/>
          <w:sz w:val="18"/>
        </w:rPr>
        <w:t>= RE 565.498 AgR, rel. min. Cezar Peluso, j. 6-10-2009, 2ª T, DJE de 27-11-2009 Tempo de serviço rural anterior à edição da Lei 8.213/1991. Exigência de recolhimento de contribuição como pressuposto para a concessão de aposentadoria. Impossibilidade. Norma destinada a fixar as condições de encargos e benefícios, que traz em seu bojo proibição absoluta de concessão de aposentadoria do trabalhador rural, quando não comprovado o recolhimento das contribuições anteriores. Vedação não constante da Constituição do Brasil. Precedente: ADI 1.664, rel. min. Octavio Gallotti, DJ de 19-2-1997.</w:t>
      </w:r>
    </w:p>
    <w:p>
      <w:pPr>
        <w:ind w:left="288"/>
      </w:pPr>
      <w:r>
        <w:rPr>
          <w:b/>
          <w:color w:val="003CA0"/>
          <w:sz w:val="16"/>
        </w:rPr>
        <w:t>[RE 344.446 AgR, rel. min. Eros Grau, j. 23-10-2007, 2ª T, DJ de 30-11-2007.]</w:t>
      </w:r>
    </w:p>
    <w:p>
      <w:pPr>
        <w:ind w:left="288"/>
      </w:pPr>
      <w:r>
        <w:rPr>
          <w:color w:val="8C8C8C"/>
          <w:sz w:val="12"/>
        </w:rPr>
        <w:t>cf-art-201</w:t>
      </w:r>
      <w:r>
        <w:rPr>
          <w:color w:val="003CA0"/>
          <w:sz w:val="12"/>
        </w:rPr>
        <w:t xml:space="preserve"> | RE 92.511</w:t>
      </w:r>
      <w:r>
        <w:rPr>
          <w:color w:val="003CA0"/>
          <w:sz w:val="12"/>
        </w:rPr>
        <w:t xml:space="preserve"> | rel. Sepúlveda Pertence</w:t>
      </w:r>
    </w:p>
    <w:p>
      <w:pPr>
        <w:ind w:left="288"/>
      </w:pPr>
      <w:r>
        <w:rPr>
          <w:color w:val="1E1E1E"/>
          <w:sz w:val="18"/>
        </w:rPr>
        <w:t>É firme a jurisprudência do STF, "o aposentado tem direito adquirido ao quantum de seus proventos calculado com base na legislação vigente ao tempo da aposentadoria, mas não aos critérios legais com base em que esse quantum foi estabelecido, pois não há direito adquirido a regime jurídico" (RE 92.511, Moreira Alves, RTJ 99/1267).</w:t>
      </w:r>
    </w:p>
    <w:p>
      <w:pPr>
        <w:ind w:left="288"/>
      </w:pPr>
      <w:r>
        <w:rPr>
          <w:b/>
          <w:color w:val="003CA0"/>
          <w:sz w:val="16"/>
        </w:rPr>
        <w:t>[AI 145.522 AgR, rel. min. Sepúlveda Pertence, j. 15-12-1998, 1ª T, DJ de 26-3-1999.]</w:t>
      </w:r>
    </w:p>
    <w:p>
      <w:pPr>
        <w:ind w:left="144"/>
      </w:pPr>
      <w:r>
        <w:rPr>
          <w:b/>
          <w:color w:val="B45A00"/>
          <w:sz w:val="16"/>
        </w:rPr>
        <w:t>CONTROLE CONCENTRADO</w:t>
      </w:r>
    </w:p>
    <w:p>
      <w:pPr>
        <w:ind w:left="288"/>
      </w:pPr>
      <w:r>
        <w:rPr>
          <w:color w:val="8C8C8C"/>
          <w:sz w:val="12"/>
        </w:rPr>
        <w:t>cf-art-201-inc-II</w:t>
      </w:r>
      <w:r>
        <w:rPr>
          <w:color w:val="003CA0"/>
          <w:sz w:val="12"/>
        </w:rPr>
        <w:t xml:space="preserve"> | ADI 1.946.</w:t>
      </w:r>
      <w:r>
        <w:rPr>
          <w:color w:val="003CA0"/>
          <w:sz w:val="12"/>
        </w:rPr>
        <w:t xml:space="preserve"> | rel. Nunes Marques</w:t>
      </w:r>
    </w:p>
    <w:p>
      <w:pPr>
        <w:ind w:left="288"/>
      </w:pPr>
      <w:r>
        <w:rPr>
          <w:color w:val="1E1E1E"/>
          <w:sz w:val="18"/>
        </w:rPr>
        <w:t>A exigência legal de carência para a percepção do benefício de salário-maternidade pelas seguradas contribuintes individuais e seguradas especiais (caso contribuam e requeiram benefício maior que o valor mínimo) foi reformulada, desde a propositura das ações diretas em julgamento, pela Medida Provisória n. 871/2019 e pela Lei n. 13.846/2019, remanescendo, porém, o período mínimo de 10 (dez) meses para a concessão do benefício. Viola o princípio da isonomia a imposição de carência para a concessão do salário-maternidade, tendo em vista que (i) revela presunção, pelo legislador previdenciário, d</w:t>
      </w:r>
    </w:p>
    <w:p>
      <w:pPr>
        <w:ind w:left="288"/>
      </w:pPr>
      <w:r>
        <w:rPr>
          <w:b/>
          <w:color w:val="003CA0"/>
          <w:sz w:val="16"/>
        </w:rPr>
        <w:t>[RE 1.455.046 RG, rel. min. Luís Roberto Barroso, j. 11.11.2024, P, DJE de 14.11.2024, Tema 1.353, com mérito pendente.]</w:t>
      </w:r>
    </w:p>
    <w:p>
      <w:pPr>
        <w:ind w:left="288"/>
      </w:pPr>
      <w:r>
        <w:rPr>
          <w:color w:val="8C8C8C"/>
          <w:sz w:val="12"/>
        </w:rPr>
        <w:t>cf-art-201-inc-III</w:t>
      </w:r>
      <w:r>
        <w:rPr>
          <w:color w:val="003CA0"/>
          <w:sz w:val="12"/>
        </w:rPr>
        <w:t xml:space="preserve"> | RE 1.504.945</w:t>
      </w:r>
      <w:r>
        <w:rPr>
          <w:color w:val="003CA0"/>
          <w:sz w:val="12"/>
        </w:rPr>
        <w:t xml:space="preserve"> | rel. Luís Roberto Barroso</w:t>
      </w:r>
    </w:p>
    <w:p>
      <w:pPr>
        <w:ind w:left="288"/>
      </w:pPr>
      <w:r>
        <w:rPr>
          <w:color w:val="1E1E1E"/>
          <w:sz w:val="18"/>
        </w:rPr>
        <w:t>“É infraconstitucional e pressupõe o exame de matéria fática a controvérsia sobre a ocorrência de prescrição de pretensão de recebimento de seguro-desemprego de pescador artesanal para o período de defeso de 2015/2016”.</w:t>
      </w:r>
    </w:p>
    <w:p>
      <w:pPr>
        <w:ind w:left="288"/>
      </w:pPr>
      <w:r>
        <w:rPr>
          <w:b/>
          <w:color w:val="003CA0"/>
          <w:sz w:val="16"/>
        </w:rPr>
        <w:t>[RE 1.504.945 RG, rel. min. Luís Roberto Barroso, j. 13.09.2024, P, DJE de 18.09.2024, Tema 1.321, com repercussão geral negada.]</w:t>
      </w:r>
    </w:p>
    <w:p>
      <w:pPr>
        <w:ind w:left="144"/>
      </w:pPr>
      <w:r>
        <w:rPr>
          <w:b/>
          <w:color w:val="B45A00"/>
          <w:sz w:val="16"/>
        </w:rPr>
        <w:t>REPERCUSSAO GERAL</w:t>
      </w:r>
    </w:p>
    <w:p>
      <w:pPr>
        <w:ind w:left="288"/>
      </w:pPr>
      <w:r>
        <w:rPr>
          <w:color w:val="8C8C8C"/>
          <w:sz w:val="12"/>
        </w:rPr>
        <w:t>cf-art-201-inc-IV</w:t>
      </w:r>
      <w:r>
        <w:rPr>
          <w:color w:val="003CA0"/>
          <w:sz w:val="12"/>
        </w:rPr>
        <w:t xml:space="preserve"> | RE 587.365</w:t>
      </w:r>
      <w:r>
        <w:rPr>
          <w:color w:val="003CA0"/>
          <w:sz w:val="12"/>
        </w:rPr>
        <w:t xml:space="preserve"> | rel. Ricardo Lewandowski</w:t>
      </w:r>
    </w:p>
    <w:p>
      <w:pPr>
        <w:ind w:left="288"/>
      </w:pPr>
      <w:r>
        <w:rPr>
          <w:color w:val="1E1E1E"/>
          <w:sz w:val="18"/>
        </w:rPr>
        <w:t>Segundo decorre do art. 201, IV, da Constituição, a renda do segurado preso é que deve ser utilizada como parâmetro para a concessão do benefício e não a de seus dependentes. Tal compreensão se extrai da redação dada ao referido dispositivo pela EC 20/1998, que restringiu o universo daqueles alcançados pelo auxílio-reclusão, a qual adotou o critério da seletividade para apurar a efetiva necessidade dos beneficiários. Diante disso, o art. 116 do Decreto 3.048/1999 não padece do vício da inconstitucionalidade.</w:t>
        <w:br/>
        <w:t>[RE 587.365, rel. min. Ricardo Lewandowski, j. 25-3-2009, P, DJE de 8-5-2009, Tema 89,</w:t>
      </w:r>
    </w:p>
    <w:p>
      <w:pPr>
        <w:ind w:left="144"/>
      </w:pPr>
      <w:r>
        <w:rPr>
          <w:b/>
          <w:color w:val="B45A00"/>
          <w:sz w:val="16"/>
        </w:rPr>
        <w:t>JULGADOS CORRELATOS</w:t>
      </w:r>
    </w:p>
    <w:p>
      <w:pPr>
        <w:ind w:left="288"/>
      </w:pPr>
      <w:r>
        <w:rPr>
          <w:color w:val="8C8C8C"/>
          <w:sz w:val="12"/>
        </w:rPr>
        <w:t>cf-art-201-inc-IV</w:t>
      </w:r>
      <w:r>
        <w:rPr>
          <w:color w:val="003CA0"/>
          <w:sz w:val="12"/>
        </w:rPr>
        <w:t xml:space="preserve"> | RE 486.413</w:t>
      </w:r>
      <w:r>
        <w:rPr>
          <w:color w:val="003CA0"/>
          <w:sz w:val="12"/>
        </w:rPr>
        <w:t xml:space="preserve"> | rel. Ricardo Lewandowski</w:t>
      </w:r>
    </w:p>
    <w:p>
      <w:pPr>
        <w:ind w:left="288"/>
      </w:pPr>
      <w:r>
        <w:rPr>
          <w:color w:val="1E1E1E"/>
          <w:sz w:val="18"/>
        </w:rPr>
        <w:t>Nos termos do art. 201, IV, da CF, o destinatário do auxílio-reclusão é o dependente do segurado recluso.</w:t>
      </w:r>
    </w:p>
    <w:p>
      <w:pPr>
        <w:ind w:left="288"/>
      </w:pPr>
      <w:r>
        <w:rPr>
          <w:b/>
          <w:color w:val="003CA0"/>
          <w:sz w:val="16"/>
        </w:rPr>
        <w:t>[RE 486.413, rel. min. Ricardo Lewandowski, j. 25-3-2009, P, DJE de 8-5-2009.]</w:t>
      </w:r>
    </w:p>
    <w:p>
      <w:pPr>
        <w:ind w:left="144"/>
      </w:pPr>
      <w:r>
        <w:rPr>
          <w:b/>
          <w:color w:val="B45A00"/>
          <w:sz w:val="16"/>
        </w:rPr>
        <w:t>REPERCUSSAO GERAL</w:t>
      </w:r>
    </w:p>
    <w:p>
      <w:pPr>
        <w:ind w:left="288"/>
      </w:pPr>
      <w:r>
        <w:rPr>
          <w:color w:val="8C8C8C"/>
          <w:sz w:val="12"/>
        </w:rPr>
        <w:t>cf-art-201-inc-V</w:t>
      </w:r>
      <w:r>
        <w:rPr>
          <w:color w:val="003CA0"/>
          <w:sz w:val="12"/>
        </w:rPr>
        <w:t xml:space="preserve"> | RE 883.168</w:t>
      </w:r>
      <w:r>
        <w:rPr>
          <w:color w:val="003CA0"/>
          <w:sz w:val="12"/>
        </w:rPr>
        <w:t xml:space="preserve"> | rel. Dias Toffoli</w:t>
      </w:r>
    </w:p>
    <w:p>
      <w:pPr>
        <w:ind w:left="288"/>
      </w:pPr>
      <w:r>
        <w:rPr>
          <w:color w:val="1E1E1E"/>
          <w:sz w:val="18"/>
        </w:rPr>
        <w:t>É incompatível com a Constituição Federal o reconhecimento de direitos previdenciários (pensão por morte) à pessoa que manteve, durante longo período e com aparência familiar, união com outra casada, porquanto o concubinato não se equipara, para fins de proteção estatal, às uniões afetivas resultantes do casamento e da união estável.</w:t>
      </w:r>
    </w:p>
    <w:p>
      <w:pPr>
        <w:ind w:left="288"/>
      </w:pPr>
      <w:r>
        <w:rPr>
          <w:b/>
          <w:color w:val="003CA0"/>
          <w:sz w:val="16"/>
        </w:rPr>
        <w:t>[RE 883.168, rel. min. Dias Toffoli, j. 3-8-2021, P, DJE de 7-10-2022, Tema 526, com mérito julgado.]</w:t>
      </w:r>
    </w:p>
    <w:p>
      <w:pPr>
        <w:ind w:left="288"/>
      </w:pPr>
      <w:r>
        <w:rPr>
          <w:color w:val="8C8C8C"/>
          <w:sz w:val="12"/>
        </w:rPr>
        <w:t>cf-art-201-inc-V</w:t>
      </w:r>
      <w:r>
        <w:rPr>
          <w:color w:val="003CA0"/>
          <w:sz w:val="12"/>
        </w:rPr>
        <w:t xml:space="preserve"> | RE 659.424</w:t>
      </w:r>
      <w:r>
        <w:rPr>
          <w:color w:val="003CA0"/>
          <w:sz w:val="12"/>
        </w:rPr>
        <w:t xml:space="preserve"> | rel. Celso de Mello</w:t>
      </w:r>
    </w:p>
    <w:p>
      <w:pPr>
        <w:ind w:left="288"/>
      </w:pPr>
      <w:r>
        <w:rPr>
          <w:color w:val="1E1E1E"/>
          <w:sz w:val="18"/>
        </w:rPr>
        <w:t>É inconstitucional, por transgressão ao princípio da isonomia entre homens e mulheres (CF, art. 5º, I), a exigência de requisitos legais diferenciados para efeito de outorga de pensão por morte de ex-servidores públicos em relação a seus respectivos cônjuges ou companheiros/companheiras (CF, art. 201, V).</w:t>
      </w:r>
    </w:p>
    <w:p>
      <w:pPr>
        <w:ind w:left="288"/>
      </w:pPr>
      <w:r>
        <w:rPr>
          <w:b/>
          <w:color w:val="003CA0"/>
          <w:sz w:val="16"/>
        </w:rPr>
        <w:t>[RE 659.424, rel. min. Celso de Mello, j. 13-10-2020, P, DJE de 26-11-2020, Tema 457, com mérito julgado.]</w:t>
      </w:r>
    </w:p>
    <w:p>
      <w:pPr>
        <w:ind w:left="144"/>
      </w:pPr>
      <w:r>
        <w:rPr>
          <w:b/>
          <w:color w:val="B45A00"/>
          <w:sz w:val="16"/>
        </w:rPr>
        <w:t>JULGADOS CORRELATOS</w:t>
      </w:r>
    </w:p>
    <w:p>
      <w:pPr>
        <w:ind w:left="288"/>
      </w:pPr>
      <w:r>
        <w:rPr>
          <w:color w:val="8C8C8C"/>
          <w:sz w:val="12"/>
        </w:rPr>
        <w:t>cf-art-201-inc-V</w:t>
      </w:r>
      <w:r>
        <w:rPr>
          <w:color w:val="003CA0"/>
          <w:sz w:val="12"/>
        </w:rPr>
        <w:t xml:space="preserve"> | MS 33.008</w:t>
      </w:r>
      <w:r>
        <w:rPr>
          <w:color w:val="003CA0"/>
          <w:sz w:val="12"/>
        </w:rPr>
        <w:t xml:space="preserve"> | rel. Roberto Barroso</w:t>
      </w:r>
    </w:p>
    <w:p>
      <w:pPr>
        <w:ind w:left="288"/>
      </w:pPr>
      <w:r>
        <w:rPr>
          <w:color w:val="1E1E1E"/>
          <w:sz w:val="18"/>
        </w:rPr>
        <w:t>Rateio entre companheira e viúva de servidor público. (...) É possível o reconhecimento de união estável de pessoa casada que esteja separada judicialmente ou de fato (CC/2002, art. 1.723, § 1º). O reconhecimento da referida união estável pode se dar administrativamente, não se exigindo necessariamente decisão judicial para configurar a situação de separação de fato. No caso concreto, embora comprovada administrativamente a separação de fato e a união estável, houve negativa de registro de pensão por morte, fundada unicamente na necessidade de separação judicial. Segurança concedida.</w:t>
      </w:r>
    </w:p>
    <w:p>
      <w:pPr>
        <w:ind w:left="288"/>
      </w:pPr>
      <w:r>
        <w:rPr>
          <w:b/>
          <w:color w:val="003CA0"/>
          <w:sz w:val="16"/>
        </w:rPr>
        <w:t>[MS 33.008, rel. min. Roberto Barroso, j. 3-5-2016, 1ª T, DJE de 14-9-2016.]</w:t>
      </w:r>
    </w:p>
    <w:p>
      <w:pPr>
        <w:ind w:left="288"/>
      </w:pPr>
      <w:r>
        <w:rPr>
          <w:color w:val="8C8C8C"/>
          <w:sz w:val="12"/>
        </w:rPr>
        <w:t>cf-art-201-inc-V</w:t>
      </w:r>
      <w:r>
        <w:rPr>
          <w:color w:val="003CA0"/>
          <w:sz w:val="12"/>
        </w:rPr>
        <w:t xml:space="preserve"> | RE 590.779</w:t>
      </w:r>
      <w:r>
        <w:rPr>
          <w:color w:val="003CA0"/>
          <w:sz w:val="12"/>
        </w:rPr>
        <w:t xml:space="preserve"> | rel. Marco Aurélio</w:t>
      </w:r>
    </w:p>
    <w:p>
      <w:pPr>
        <w:ind w:left="288"/>
      </w:pPr>
      <w:r>
        <w:rPr>
          <w:color w:val="1E1E1E"/>
          <w:sz w:val="18"/>
        </w:rPr>
        <w:t>Vide RE 590.779, rel. min. Marco Aurélio, j. 10-2-2009, 1ª T, DJE de 27-3-2009 A jurisprudência do STF admite a autoaplicabilidade do art. 201, V, da Constituição. Desse modo, o cônjuge varão tem direito à pensão por morte, ainda que o óbito da segurada tenha ocorrido em data anterior ao advento da Lei 8.213/1991.</w:t>
      </w:r>
    </w:p>
    <w:p>
      <w:pPr>
        <w:ind w:left="288"/>
      </w:pPr>
      <w:r>
        <w:rPr>
          <w:b/>
          <w:color w:val="003CA0"/>
          <w:sz w:val="16"/>
        </w:rPr>
        <w:t>[RE 285.276 AgR, rel. min. Roberto Barroso, j. 17-3-2015, 1ª T, DJE de 31-3-2015.]</w:t>
      </w:r>
    </w:p>
    <w:p>
      <w:pPr>
        <w:ind w:left="288"/>
      </w:pPr>
      <w:r>
        <w:rPr>
          <w:color w:val="8C8C8C"/>
          <w:sz w:val="12"/>
        </w:rPr>
        <w:t>cf-art-201-inc-V</w:t>
      </w:r>
      <w:r>
        <w:rPr>
          <w:color w:val="003CA0"/>
          <w:sz w:val="12"/>
        </w:rPr>
        <w:t xml:space="preserve"> | RE 207.282</w:t>
      </w:r>
      <w:r>
        <w:rPr>
          <w:color w:val="003CA0"/>
          <w:sz w:val="12"/>
        </w:rPr>
        <w:t xml:space="preserve"> | rel. Cezar Peluso</w:t>
      </w:r>
    </w:p>
    <w:p>
      <w:pPr>
        <w:ind w:left="288"/>
      </w:pPr>
      <w:r>
        <w:rPr>
          <w:color w:val="1E1E1E"/>
          <w:sz w:val="18"/>
        </w:rPr>
        <w:t>Servidor público. Associado obrigatório do instituto previdencial. Inclusão do cônjuge como dependente após a EC 20/1998. (...) Aplicabilidade direta e imediata do art. 201, V, da CF. (...) Independe da indicação de fonte de custeio, a inclusão do cônjuge, pelo servidor público, como seu dependente para fins previdenciários.</w:t>
      </w:r>
    </w:p>
    <w:p>
      <w:pPr>
        <w:ind w:left="288"/>
      </w:pPr>
      <w:r>
        <w:rPr>
          <w:b/>
          <w:color w:val="003CA0"/>
          <w:sz w:val="16"/>
        </w:rPr>
        <w:t>[RE 207.282, rel. min. Cezar Peluso, j. 2-3-2010, 2ª T, DJE de 19-3-2010.]</w:t>
      </w:r>
    </w:p>
    <w:p>
      <w:pPr>
        <w:ind w:left="288"/>
      </w:pPr>
      <w:r>
        <w:rPr>
          <w:color w:val="8C8C8C"/>
          <w:sz w:val="12"/>
        </w:rPr>
        <w:t>cf-art-201-inc-V</w:t>
      </w:r>
      <w:r>
        <w:rPr>
          <w:color w:val="003CA0"/>
          <w:sz w:val="12"/>
        </w:rPr>
        <w:t xml:space="preserve"> | MS 21.540</w:t>
      </w:r>
      <w:r>
        <w:rPr>
          <w:color w:val="003CA0"/>
          <w:sz w:val="12"/>
        </w:rPr>
        <w:t xml:space="preserve"> | rel. Octavio Gallotti (...). Inexistência de preterição a direito adquirido da autora de receber benefício com base em normas não recepcionadas pelo atual sistema constitucional: ADI 762</w:t>
      </w:r>
    </w:p>
    <w:p>
      <w:pPr>
        <w:ind w:left="288"/>
      </w:pPr>
      <w:r>
        <w:rPr>
          <w:color w:val="1E1E1E"/>
          <w:sz w:val="18"/>
        </w:rPr>
        <w:t>Previdenciário. Pensão. Pessoa designada. Direito intertemporal. Precedentes. O óbito do instituidor é o marco temporal para definição do regime jurídico a que está sujeita a concessão do benefício: MS 21.540, rel. min. Octavio Gallotti (...). Inexistência de preterição a direito adquirido da autora de receber benefício com base em normas não recepcionadas pelo atual sistema constitucional: ADI 762, da minha relatoria, DJ de 14-5-2004.</w:t>
      </w:r>
    </w:p>
    <w:p>
      <w:pPr>
        <w:ind w:left="288"/>
      </w:pPr>
      <w:r>
        <w:rPr>
          <w:b/>
          <w:color w:val="003CA0"/>
          <w:sz w:val="16"/>
        </w:rPr>
        <w:t>[RE 436.995 AgR, rel. min. Ellen Gracie, j. 11-11-2008, 2ª T, DJE de 28-11-2008.]</w:t>
      </w:r>
    </w:p>
    <w:p>
      <w:pPr>
        <w:ind w:left="288"/>
      </w:pPr>
      <w:r>
        <w:rPr>
          <w:color w:val="8C8C8C"/>
          <w:sz w:val="12"/>
        </w:rPr>
        <w:t>cf-art-201-inc-V</w:t>
      </w:r>
      <w:r>
        <w:rPr>
          <w:color w:val="003CA0"/>
          <w:sz w:val="12"/>
        </w:rPr>
        <w:t xml:space="preserve"> | RE 366.246</w:t>
      </w:r>
      <w:r>
        <w:rPr>
          <w:color w:val="003CA0"/>
          <w:sz w:val="12"/>
        </w:rPr>
        <w:t xml:space="preserve"> | rel. Marco Aurélio</w:t>
      </w:r>
    </w:p>
    <w:p>
      <w:pPr>
        <w:ind w:left="288"/>
      </w:pPr>
      <w:r>
        <w:rPr>
          <w:color w:val="1E1E1E"/>
          <w:sz w:val="18"/>
        </w:rPr>
        <w:t>Benefício previdenciário. Preceito constitucional de eficácia condicionada. Morte. Regulamentação posterior. Irrelevância. Art. 201, V, da CF. A circunstância de a morte do segurado haver ocorrido em data anterior à regulamentação do preceito constitucional não afasta o direito à pensão, devendo ser observados os parâmetros que passaram a viger.</w:t>
      </w:r>
    </w:p>
    <w:p>
      <w:pPr>
        <w:ind w:left="288"/>
      </w:pPr>
      <w:r>
        <w:rPr>
          <w:b/>
          <w:color w:val="003CA0"/>
          <w:sz w:val="16"/>
        </w:rPr>
        <w:t>[RE 366.246 AgR, rel. min. Marco Aurélio, j. 1º-4-2008, 1ª T, DJE de 20-6-2008.]</w:t>
      </w:r>
    </w:p>
    <w:p>
      <w:pPr>
        <w:ind w:left="288"/>
      </w:pPr>
      <w:r>
        <w:rPr>
          <w:color w:val="8C8C8C"/>
          <w:sz w:val="12"/>
        </w:rPr>
        <w:t>cf-art-201-inc-V</w:t>
      </w:r>
      <w:r>
        <w:rPr>
          <w:color w:val="003CA0"/>
          <w:sz w:val="12"/>
        </w:rPr>
        <w:t xml:space="preserve"> | RE 236.902</w:t>
      </w:r>
      <w:r>
        <w:rPr>
          <w:color w:val="003CA0"/>
          <w:sz w:val="12"/>
        </w:rPr>
        <w:t xml:space="preserve"> | rel. Néri da Silveira</w:t>
      </w:r>
    </w:p>
    <w:p>
      <w:pPr>
        <w:ind w:left="288"/>
      </w:pPr>
      <w:r>
        <w:rPr>
          <w:color w:val="1E1E1E"/>
          <w:sz w:val="18"/>
        </w:rPr>
        <w:t>O recurso extraordinário discute se o pagamento do benefício para a agravada constituiria tratamento não isonômico, em desfavor dos demais descendentes de Tiradentes, bem como se a beneficiária teria direito ao recebimento dos valores previstos na Lei 9.255, de 3 de janeiro de 1996, não obstante o fato de receber pensão decorrente da morte de seu pai. O benefício honorífico é de 1996, e o de natureza previdenciária remonta a 1967. A ora agravada recebe, portanto, dois benefícios distintos, a saber: a) um de caráter previdenciário, que decorre da morte de seu pai, em 1967; e b) outro de caráter</w:t>
      </w:r>
    </w:p>
    <w:p>
      <w:pPr>
        <w:ind w:left="288"/>
      </w:pPr>
      <w:r>
        <w:rPr>
          <w:b/>
          <w:color w:val="003CA0"/>
          <w:sz w:val="16"/>
        </w:rPr>
        <w:t>[AI 623.655 AgR, voto do min. Gilmar Mendes, j. 11-9-2007, 2ª T, DJ de 28-9-2007.]</w:t>
      </w:r>
    </w:p>
    <w:p>
      <w:pPr>
        <w:ind w:left="288"/>
      </w:pPr>
      <w:r>
        <w:rPr>
          <w:color w:val="8C8C8C"/>
          <w:sz w:val="12"/>
        </w:rPr>
        <w:t>cf-art-201-inc-V</w:t>
      </w:r>
      <w:r>
        <w:rPr>
          <w:color w:val="003CA0"/>
          <w:sz w:val="12"/>
        </w:rPr>
        <w:t xml:space="preserve"> | MS 21.540</w:t>
      </w:r>
      <w:r>
        <w:rPr>
          <w:color w:val="003CA0"/>
          <w:sz w:val="12"/>
        </w:rPr>
        <w:t xml:space="preserve"> | rel. Sepúlveda Pertence</w:t>
      </w:r>
    </w:p>
    <w:p>
      <w:pPr>
        <w:ind w:left="288"/>
      </w:pPr>
      <w:r>
        <w:rPr>
          <w:color w:val="1E1E1E"/>
          <w:sz w:val="18"/>
        </w:rPr>
        <w:t xml:space="preserve">Pensão por morte de servidora pública estadual, ocorrida antes da EC 20/1998: cônjuge varão: exigência de requisito de invalidez que afronta o princípio da isonomia. (...) No texto anterior à EC 20/1998, a Constituição se preocupou apenas em definir a correspondência entre o valor da pensão e a totalidade dos vencimentos ou proventos do servidor falecido, sem qualquer referência a outras questões, como, por exemplo, os possíveis beneficiários da pensão por morte (Precedente: MS 21.540, Gallotti, RTJ 159/787). No entanto, a lei estadual mineira, violando o princípio da igualdade do art. 5º, I, </w:t>
      </w:r>
    </w:p>
    <w:p>
      <w:pPr>
        <w:ind w:left="288"/>
      </w:pPr>
      <w:r>
        <w:rPr>
          <w:b/>
          <w:color w:val="003CA0"/>
          <w:sz w:val="16"/>
        </w:rPr>
        <w:t>[RE 385.397 AgR, rel. min. Sepúlveda Pertence, j. 29-6-2007, P, DJ de 6-9-2007.]</w:t>
      </w:r>
    </w:p>
    <w:p>
      <w:pPr>
        <w:ind w:left="288"/>
      </w:pPr>
      <w:r>
        <w:rPr>
          <w:color w:val="8C8C8C"/>
          <w:sz w:val="12"/>
        </w:rPr>
        <w:t>cf-art-201-inc-V</w:t>
      </w:r>
      <w:r>
        <w:rPr>
          <w:color w:val="003CA0"/>
          <w:sz w:val="12"/>
        </w:rPr>
        <w:t xml:space="preserve"> | RE 607.907</w:t>
      </w:r>
      <w:r>
        <w:rPr>
          <w:color w:val="003CA0"/>
          <w:sz w:val="12"/>
        </w:rPr>
        <w:t xml:space="preserve"> | rel. Luiz Fux</w:t>
      </w:r>
    </w:p>
    <w:p>
      <w:pPr>
        <w:ind w:left="288"/>
      </w:pPr>
      <w:r>
        <w:rPr>
          <w:color w:val="1E1E1E"/>
          <w:sz w:val="18"/>
        </w:rPr>
        <w:t>= RE 607.907 AgR, rel. min. Luiz Fux, j. 21-6-2011, 1ª T, DJE de 1º-8-2011 § 1º É vedada a adoção de requisitos ou critérios diferenciados para concessão de benefícios, ressalvada, nos termos de lei complementar, a possibilidade de previsão de idade e tempo de contribuição distintos da regra geral para concessão de aposentadoria exclusivamente em favor dos segurados: (Redação da EC 103/2019) “A atividade de vigilante, com ou sem o uso de arma de fogo, não se caracteriza como especial, para fins de concessão da aposentadoria de que trata o art. 201, § 1º, da Constituição.”</w:t>
      </w:r>
    </w:p>
    <w:p>
      <w:pPr>
        <w:ind w:left="288"/>
      </w:pPr>
      <w:r>
        <w:rPr>
          <w:b/>
          <w:color w:val="003CA0"/>
          <w:sz w:val="16"/>
        </w:rPr>
        <w:t>[RE 1.368.225, rel. min. Nunes Marques, red. do ac. min. Alexandre de Moraes, j. 18-2-2026, P, DJE de 4-3-2026, Tema 1.209, com mérito julgado.]</w:t>
      </w:r>
    </w:p>
    <w:p>
      <w:pPr>
        <w:ind w:left="288"/>
      </w:pPr>
      <w:r>
        <w:rPr>
          <w:color w:val="8C8C8C"/>
          <w:sz w:val="12"/>
        </w:rPr>
        <w:t>cf-art-201-par-2</w:t>
      </w:r>
      <w:r>
        <w:rPr>
          <w:color w:val="003CA0"/>
          <w:sz w:val="12"/>
        </w:rPr>
        <w:t xml:space="preserve"> | RE 597.022</w:t>
      </w:r>
      <w:r>
        <w:rPr>
          <w:color w:val="003CA0"/>
          <w:sz w:val="12"/>
        </w:rPr>
        <w:t xml:space="preserve"> | rel. Cármen Lúcia</w:t>
      </w:r>
    </w:p>
    <w:p>
      <w:pPr>
        <w:ind w:left="288"/>
      </w:pPr>
      <w:r>
        <w:rPr>
          <w:color w:val="1E1E1E"/>
          <w:sz w:val="18"/>
        </w:rPr>
        <w:t>Previdenciário. Revisão de benefício. Autoaplicabilidade do art. 201, § 2º (antigo § 5º), da Constituição da República.</w:t>
      </w:r>
    </w:p>
    <w:p>
      <w:pPr>
        <w:ind w:left="288"/>
      </w:pPr>
      <w:r>
        <w:rPr>
          <w:b/>
          <w:color w:val="003CA0"/>
          <w:sz w:val="16"/>
        </w:rPr>
        <w:t>[RE 597.022 AgR, rel. min. Cármen Lúcia, j. 27-10-2009, 1ª T, DJE de 20-11-2009.]</w:t>
      </w:r>
    </w:p>
    <w:p>
      <w:pPr>
        <w:ind w:left="288"/>
      </w:pPr>
      <w:r>
        <w:rPr>
          <w:color w:val="8C8C8C"/>
          <w:sz w:val="12"/>
        </w:rPr>
        <w:t>cf-art-201-par-2</w:t>
      </w:r>
      <w:r>
        <w:rPr>
          <w:color w:val="003CA0"/>
          <w:sz w:val="12"/>
        </w:rPr>
        <w:t xml:space="preserve"> | AI 482.810</w:t>
      </w:r>
      <w:r>
        <w:rPr>
          <w:color w:val="003CA0"/>
          <w:sz w:val="12"/>
        </w:rPr>
        <w:t xml:space="preserve"> | rel. Marco Aurélio</w:t>
      </w:r>
    </w:p>
    <w:p>
      <w:pPr>
        <w:ind w:left="288"/>
      </w:pPr>
      <w:r>
        <w:rPr>
          <w:color w:val="1E1E1E"/>
          <w:sz w:val="18"/>
        </w:rPr>
        <w:t>Longe fica de transgredir a Carta da República pronunciamento judicial que implique a satisfação dos proventos considerado o valor representado pelo salário mínimo.</w:t>
      </w:r>
    </w:p>
    <w:p>
      <w:pPr>
        <w:ind w:left="288"/>
      </w:pPr>
      <w:r>
        <w:rPr>
          <w:b/>
          <w:color w:val="003CA0"/>
          <w:sz w:val="16"/>
        </w:rPr>
        <w:t>[AI 482.810 AgR, rel. min. Marco Aurélio, j. 30-6-2009, 1ª T, DJE de 21-8-2009.]</w:t>
      </w:r>
    </w:p>
    <w:p>
      <w:pPr>
        <w:ind w:left="144"/>
      </w:pPr>
      <w:r>
        <w:rPr>
          <w:b/>
          <w:color w:val="B45A00"/>
          <w:sz w:val="16"/>
        </w:rPr>
        <w:t>SUMULA</w:t>
      </w:r>
    </w:p>
    <w:p>
      <w:pPr>
        <w:ind w:left="288"/>
      </w:pPr>
      <w:r>
        <w:rPr>
          <w:color w:val="8C8C8C"/>
          <w:sz w:val="12"/>
        </w:rPr>
        <w:t>cf-art-201-par-4</w:t>
      </w:r>
    </w:p>
    <w:p>
      <w:pPr>
        <w:ind w:left="288"/>
      </w:pPr>
      <w:r>
        <w:rPr>
          <w:color w:val="1E1E1E"/>
          <w:sz w:val="18"/>
        </w:rPr>
        <w:t>É legítima a incidência da contribuição previdenciária sobre o 13º salário.</w:t>
      </w:r>
    </w:p>
    <w:p>
      <w:pPr>
        <w:ind w:left="288"/>
      </w:pPr>
      <w:r>
        <w:rPr>
          <w:b/>
          <w:color w:val="003CA0"/>
          <w:sz w:val="16"/>
        </w:rPr>
        <w:t>[Súmula 688.]</w:t>
      </w:r>
    </w:p>
    <w:p>
      <w:pPr>
        <w:ind w:left="144"/>
      </w:pPr>
      <w:r>
        <w:rPr>
          <w:b/>
          <w:color w:val="B45A00"/>
          <w:sz w:val="16"/>
        </w:rPr>
        <w:t>REPERCUSSAO GERAL</w:t>
      </w:r>
    </w:p>
    <w:p>
      <w:pPr>
        <w:ind w:left="288"/>
      </w:pPr>
      <w:r>
        <w:rPr>
          <w:color w:val="8C8C8C"/>
          <w:sz w:val="12"/>
        </w:rPr>
        <w:t>cf-art-201-par-4</w:t>
      </w:r>
      <w:r>
        <w:rPr>
          <w:color w:val="003CA0"/>
          <w:sz w:val="12"/>
        </w:rPr>
        <w:t xml:space="preserve"> | RE 968.414</w:t>
      </w:r>
      <w:r>
        <w:rPr>
          <w:color w:val="003CA0"/>
          <w:sz w:val="12"/>
        </w:rPr>
        <w:t xml:space="preserve"> | rel. Marco Aurélio</w:t>
      </w:r>
    </w:p>
    <w:p>
      <w:pPr>
        <w:ind w:left="288"/>
      </w:pPr>
      <w:r>
        <w:rPr>
          <w:color w:val="1E1E1E"/>
          <w:sz w:val="18"/>
        </w:rPr>
        <w:t>Não encontra amparo no Texto Constitucional revisão de benefício previdenciário pelo valor nominal do salário mínimo.</w:t>
      </w:r>
    </w:p>
    <w:p>
      <w:pPr>
        <w:ind w:left="288"/>
      </w:pPr>
      <w:r>
        <w:rPr>
          <w:b/>
          <w:color w:val="003CA0"/>
          <w:sz w:val="16"/>
        </w:rPr>
        <w:t>[RE 968.414, rel. min. Marco Aurélio, j. 15-5-2020, P, DJE de 3-6-2020, Tema 996, com mérito julgado.]</w:t>
      </w:r>
    </w:p>
    <w:p>
      <w:pPr>
        <w:ind w:left="288"/>
      </w:pPr>
      <w:r>
        <w:rPr>
          <w:color w:val="8C8C8C"/>
          <w:sz w:val="12"/>
        </w:rPr>
        <w:t>cf-art-201-par-4</w:t>
      </w:r>
      <w:r>
        <w:rPr>
          <w:color w:val="003CA0"/>
          <w:sz w:val="12"/>
        </w:rPr>
        <w:t xml:space="preserve"> | RE 376.846</w:t>
      </w:r>
      <w:r>
        <w:rPr>
          <w:color w:val="003CA0"/>
          <w:sz w:val="12"/>
        </w:rPr>
        <w:t xml:space="preserve"> | rel. Carlos Velloso</w:t>
      </w:r>
    </w:p>
    <w:p>
      <w:pPr>
        <w:ind w:left="288"/>
      </w:pPr>
      <w:r>
        <w:rPr>
          <w:color w:val="1E1E1E"/>
          <w:sz w:val="18"/>
        </w:rPr>
        <w:t xml:space="preserve">Previdenciário. Reajuste de benefícios. Índices de correção monetária relativos aos anos de 1997, 1999, 2000, 2001, 2002 e 2003. Constitucionalidade. Percentuais superiores ao INPC. (...) O Plenário do STF, no julgamento do RE 376.846, rel. min. Carlos Velloso, DJ de 2-4-2004, afastou a alegação de inconstitucionalidade das normas que fixaram os índices de correção monetária de benefícios previdenciários empregados nos reajustes relativos aos anos de 1997, 1999, 2000 e 2001, que foram de um modo geral superiores ao INPC e observaram os comandos normativos de regência. Tratando-se de situações </w:t>
      </w:r>
    </w:p>
    <w:p>
      <w:pPr>
        <w:ind w:left="288"/>
      </w:pPr>
      <w:r>
        <w:rPr>
          <w:b/>
          <w:color w:val="003CA0"/>
          <w:sz w:val="16"/>
        </w:rPr>
        <w:t>[ARE 808.107 RG, rel. min. Teori Zavascki, j. 22-5-2014, P, DJE de 1º-8-2014, Tema 728, com mérito julgado.]</w:t>
      </w:r>
    </w:p>
    <w:p>
      <w:pPr>
        <w:ind w:left="144"/>
      </w:pPr>
      <w:r>
        <w:rPr>
          <w:b/>
          <w:color w:val="B45A00"/>
          <w:sz w:val="16"/>
        </w:rPr>
        <w:t>JULGADOS CORRELATOS</w:t>
      </w:r>
    </w:p>
    <w:p>
      <w:pPr>
        <w:ind w:left="288"/>
      </w:pPr>
      <w:r>
        <w:rPr>
          <w:color w:val="8C8C8C"/>
          <w:sz w:val="12"/>
        </w:rPr>
        <w:t>cf-art-201-par-4</w:t>
      </w:r>
      <w:r>
        <w:rPr>
          <w:color w:val="003CA0"/>
          <w:sz w:val="12"/>
        </w:rPr>
        <w:t xml:space="preserve"> | AI 668.444</w:t>
      </w:r>
      <w:r>
        <w:rPr>
          <w:color w:val="003CA0"/>
          <w:sz w:val="12"/>
        </w:rPr>
        <w:t xml:space="preserve"> | rel. Eros Grau</w:t>
      </w:r>
    </w:p>
    <w:p>
      <w:pPr>
        <w:ind w:left="288"/>
      </w:pPr>
      <w:r>
        <w:rPr>
          <w:color w:val="1E1E1E"/>
          <w:sz w:val="18"/>
        </w:rPr>
        <w:t>Este Tribunal fixou entendimento no sentido de que o disposto no art. 201, § 4º, da Constituição do Brasil, assegura a revisão dos benefícios previdenciários conforme critérios definidos em lei, ou seja, compete ao legislador ordinário definir as diretrizes para a conservação do valor real do benefício.</w:t>
      </w:r>
    </w:p>
    <w:p>
      <w:pPr>
        <w:ind w:left="288"/>
      </w:pPr>
      <w:r>
        <w:rPr>
          <w:b/>
          <w:color w:val="003CA0"/>
          <w:sz w:val="16"/>
        </w:rPr>
        <w:t>[AI 668.444 AgR, rel. min. Eros Grau, j. 13-11-2007, 2ª T, DJ de 7-12-2007.]</w:t>
      </w:r>
    </w:p>
    <w:p>
      <w:pPr>
        <w:ind w:left="288"/>
      </w:pPr>
      <w:r>
        <w:rPr>
          <w:color w:val="8C8C8C"/>
          <w:sz w:val="12"/>
        </w:rPr>
        <w:t>cf-art-201-par-4</w:t>
      </w:r>
      <w:r>
        <w:rPr>
          <w:color w:val="003CA0"/>
          <w:sz w:val="12"/>
        </w:rPr>
        <w:t xml:space="preserve"> | AI 689.077</w:t>
      </w:r>
      <w:r>
        <w:rPr>
          <w:color w:val="003CA0"/>
          <w:sz w:val="12"/>
        </w:rPr>
        <w:t xml:space="preserve"> | rel. Ricardo Lewandowski</w:t>
      </w:r>
    </w:p>
    <w:p>
      <w:pPr>
        <w:ind w:left="288"/>
      </w:pPr>
      <w:r>
        <w:rPr>
          <w:color w:val="1E1E1E"/>
          <w:sz w:val="18"/>
        </w:rPr>
        <w:t>= AI 689.077 AgR, rel. min. Ricardo Lewandowski, j. 30-6-2009, 1ª T, DJE de 21-8-2009 Reajuste de benefício de prestação continuada. Índices aplicados para atualização do salário de benefício. Arts. 20, § 1º, e 28, § 5º, da Lei 8.212/1991. Princípios constitucionais da irredutibilidade do valor dos benefícios (art. 194, IV) e da preservação do valor real dos benefícios (art. 201, § 4º). Não violação. (...) Os índices de atualização dos salários-de-contribuição não se aplicam ao reajuste dos benefícios previdenciários de prestação continuada.</w:t>
      </w:r>
    </w:p>
    <w:p>
      <w:pPr>
        <w:ind w:left="288"/>
      </w:pPr>
      <w:r>
        <w:rPr>
          <w:b/>
          <w:color w:val="003CA0"/>
          <w:sz w:val="16"/>
        </w:rPr>
        <w:t>[AI 590.177 AgR, rel. min. Cezar Peluso, j. 6-3-2007, 2ª T, DJ de 27-4-2007.]</w:t>
      </w:r>
    </w:p>
    <w:p>
      <w:pPr>
        <w:ind w:left="288"/>
      </w:pPr>
      <w:r>
        <w:rPr>
          <w:color w:val="8C8C8C"/>
          <w:sz w:val="12"/>
        </w:rPr>
        <w:t>cf-art-201-par-4</w:t>
      </w:r>
      <w:r>
        <w:rPr>
          <w:color w:val="003CA0"/>
          <w:sz w:val="12"/>
        </w:rPr>
        <w:t xml:space="preserve"> | RE 415.454</w:t>
      </w:r>
      <w:r>
        <w:rPr>
          <w:color w:val="003CA0"/>
          <w:sz w:val="12"/>
        </w:rPr>
        <w:t xml:space="preserve"> | rel. Gilmar Mendes</w:t>
      </w:r>
    </w:p>
    <w:p>
      <w:pPr>
        <w:ind w:left="288"/>
      </w:pPr>
      <w:r>
        <w:rPr>
          <w:color w:val="1E1E1E"/>
          <w:sz w:val="18"/>
        </w:rPr>
        <w:t>No caso concreto, a recorrida é pensionista do INSS desde 4-10-1994, recebendo (...) aproximadamente o valor de R$ 948,68. Acórdão recorrido que determinou a revisão do benefício de pensão por morte, com efeitos financeiros correspondentes à integralidade do salário de benefícios da previdência geral, a partir da vigência da Lei  9.032/1995. Concessão do referido benefício ocorrida em momento anterior à edição da Lei  9.032/1995. No caso concreto, ao momento da concessão, incidia a Lei  8.213, de 24 de julho de 1991. Na espécie, o benefício da pensão por morte configura-se como direito previde</w:t>
      </w:r>
    </w:p>
    <w:p>
      <w:pPr>
        <w:ind w:left="288"/>
      </w:pPr>
      <w:r>
        <w:rPr>
          <w:b/>
          <w:color w:val="003CA0"/>
          <w:sz w:val="16"/>
        </w:rPr>
        <w:t>[RE 415.454 e RE 416.827, rel. min. Gilmar Mendes, j. 8-2-2007, P, DJ de 26-10-2007.]</w:t>
      </w:r>
    </w:p>
    <w:p>
      <w:pPr>
        <w:ind w:left="288"/>
      </w:pPr>
      <w:r>
        <w:rPr>
          <w:color w:val="8C8C8C"/>
          <w:sz w:val="12"/>
        </w:rPr>
        <w:t>cf-art-201-par-4</w:t>
      </w:r>
      <w:r>
        <w:rPr>
          <w:color w:val="003CA0"/>
          <w:sz w:val="12"/>
        </w:rPr>
        <w:t xml:space="preserve"> | RE 603.344</w:t>
      </w:r>
      <w:r>
        <w:rPr>
          <w:color w:val="003CA0"/>
          <w:sz w:val="12"/>
        </w:rPr>
        <w:t xml:space="preserve"> | rel. Cármen Lúcia</w:t>
      </w:r>
    </w:p>
    <w:p>
      <w:pPr>
        <w:ind w:left="288"/>
      </w:pPr>
      <w:r>
        <w:rPr>
          <w:color w:val="1E1E1E"/>
          <w:sz w:val="18"/>
        </w:rPr>
        <w:t>= RE 603.344 ED-AgR, rel. min. Cármen Lúcia, j. 24-8-2010, 1ª T, DJE de 24-9-2010 Contribuição previdenciária: aposentado que retorna à atividade: CF, art. 201, § 4º; Lei 8.212/1991, art. 12: aplicação à espécie, mutatis mutandis, da decisão plenária da ADI 3.105, rel. p/ o ac. min. Peluso, DJ de 18-2-2005. A contribuição previdenciária do aposentado que retorna à atividade está amparada no princípio da universalidade do custeio da Previdência Social (CF, art. 195); o art. 201, § 4º, da CF "remete à lei os casos em que a contribuição repercute nos benefícios".</w:t>
      </w:r>
    </w:p>
    <w:p>
      <w:pPr>
        <w:ind w:left="288"/>
      </w:pPr>
      <w:r>
        <w:rPr>
          <w:b/>
          <w:color w:val="003CA0"/>
          <w:sz w:val="16"/>
        </w:rPr>
        <w:t>[RE 437.640, rel. min. Sepúlveda Pertence, j. 5-9-2006, 1ª T, DJ de 2-3-2007.]</w:t>
      </w:r>
    </w:p>
    <w:p>
      <w:pPr>
        <w:ind w:left="288"/>
      </w:pPr>
      <w:r>
        <w:rPr>
          <w:color w:val="8C8C8C"/>
          <w:sz w:val="12"/>
        </w:rPr>
        <w:t>cf-art-201-par-4</w:t>
      </w:r>
      <w:r>
        <w:rPr>
          <w:color w:val="003CA0"/>
          <w:sz w:val="12"/>
        </w:rPr>
        <w:t xml:space="preserve"> | RE 376.145</w:t>
      </w:r>
      <w:r>
        <w:rPr>
          <w:color w:val="003CA0"/>
          <w:sz w:val="12"/>
        </w:rPr>
        <w:t xml:space="preserve"> | rel. Ayres Britto</w:t>
      </w:r>
    </w:p>
    <w:p>
      <w:pPr>
        <w:ind w:left="288"/>
      </w:pPr>
      <w:r>
        <w:rPr>
          <w:color w:val="1E1E1E"/>
          <w:sz w:val="18"/>
        </w:rPr>
        <w:t>A adoção do INPC, como índice de reajuste dos benefícios previdenciários, não ofende a norma do art. 201, § 4º, da Carta de Outubro.</w:t>
      </w:r>
    </w:p>
    <w:p>
      <w:pPr>
        <w:ind w:left="288"/>
      </w:pPr>
      <w:r>
        <w:rPr>
          <w:b/>
          <w:color w:val="003CA0"/>
          <w:sz w:val="16"/>
        </w:rPr>
        <w:t>[RE 376.145 AgR, rel. min. Ayres Britto, j. 28-10-2003, 1ª T, DJ de 28-11-2003.]</w:t>
      </w:r>
    </w:p>
    <w:p>
      <w:pPr>
        <w:ind w:left="288"/>
      </w:pPr>
      <w:r>
        <w:rPr>
          <w:color w:val="8C8C8C"/>
          <w:sz w:val="12"/>
        </w:rPr>
        <w:t>cf-art-201-par-4</w:t>
      </w:r>
      <w:r>
        <w:rPr>
          <w:color w:val="003CA0"/>
          <w:sz w:val="12"/>
        </w:rPr>
        <w:t xml:space="preserve"> | AI 754.999</w:t>
      </w:r>
      <w:r>
        <w:rPr>
          <w:color w:val="003CA0"/>
          <w:sz w:val="12"/>
        </w:rPr>
        <w:t xml:space="preserve"> | rel. Eros Grau</w:t>
      </w:r>
    </w:p>
    <w:p>
      <w:pPr>
        <w:ind w:left="288"/>
      </w:pPr>
      <w:r>
        <w:rPr>
          <w:color w:val="1E1E1E"/>
          <w:sz w:val="18"/>
        </w:rPr>
        <w:t xml:space="preserve">= AI 754.999 AgR, rel. min. Eros Grau, j. 29-9-2009, 2ª T, DJE de 23-10-2009 A presunção de constitucionalidade da legislação infraconstitucional realizadora do reajuste previsto no art. 201, § 4º, da CF somente pode ser elidida mediante demonstração da impropriedade do percentual adotado para o reajuste. Os percentuais adotados excederam os índices do INPC ou destes ficaram abaixo, num dos exercícios, em percentual desprezível e explicável, certo que o INPC é o índice mais adequado para o reajuste dos benefícios, já que o IGP-DI [Índice Geral de Preços – Disponibilidade Interna] melhor serve </w:t>
      </w:r>
    </w:p>
    <w:p>
      <w:pPr>
        <w:ind w:left="288"/>
      </w:pPr>
      <w:r>
        <w:rPr>
          <w:b/>
          <w:color w:val="003CA0"/>
          <w:sz w:val="16"/>
        </w:rPr>
        <w:t>[RE 376.846, rel. min. Carlos Velloso, j. 24-9-2003, P, DJ de 2-4-2004.]</w:t>
      </w:r>
    </w:p>
    <w:p>
      <w:pPr>
        <w:ind w:left="288"/>
      </w:pPr>
      <w:r>
        <w:rPr>
          <w:color w:val="8C8C8C"/>
          <w:sz w:val="12"/>
        </w:rPr>
        <w:t>cf-art-201-par-4</w:t>
      </w:r>
      <w:r>
        <w:rPr>
          <w:color w:val="003CA0"/>
          <w:sz w:val="12"/>
        </w:rPr>
        <w:t xml:space="preserve"> | AI 676.547</w:t>
      </w:r>
      <w:r>
        <w:rPr>
          <w:color w:val="003CA0"/>
          <w:sz w:val="12"/>
        </w:rPr>
        <w:t xml:space="preserve"> | rel. Joaquim Barbosa</w:t>
      </w:r>
    </w:p>
    <w:p>
      <w:pPr>
        <w:ind w:left="288"/>
      </w:pPr>
      <w:r>
        <w:rPr>
          <w:color w:val="1E1E1E"/>
          <w:sz w:val="18"/>
        </w:rPr>
        <w:t>= AI 676.547 AgR, rel. min. Joaquim Barbosa, j. 26-6-2012, 2ª T, DJE de 24-9-2012</w:t>
        <w:br/>
        <w:t>Vide ARE 808.107 RG, rel. min. Teori Zavascki, j. 22-5-2014, P, DJE de 1º-8-2014, Tema 728 Recurso extraordinário. Declaração de inconstitucionalidade, por turma recursal, de dispositivos que regulamentam o reajuste de benefício previdenciário. Alegada violação ao art. 201, § 4º, da CF. Princípio da preservação do valor real dos benefícios. Concessão de medida liminar para suspensão dos processos que versem sobre a mesma controvérsia. Arts. 14, § 5º, e 15 da Lei 10.259, de 12-7-2001 – Lei dos Juizados Especiais F</w:t>
      </w:r>
    </w:p>
    <w:p>
      <w:pPr>
        <w:ind w:left="288"/>
      </w:pPr>
      <w:r>
        <w:rPr>
          <w:b/>
          <w:color w:val="003CA0"/>
          <w:sz w:val="16"/>
        </w:rPr>
        <w:t>[RE 376.852 MC, rel. min. Gilmar Mendes, j. 27-3-2003, P, DJ de 13-6-2003.]</w:t>
      </w:r>
    </w:p>
    <w:p>
      <w:pPr>
        <w:ind w:left="288"/>
      </w:pPr>
      <w:r>
        <w:rPr>
          <w:color w:val="8C8C8C"/>
          <w:sz w:val="12"/>
        </w:rPr>
        <w:t>cf-art-201-par-4</w:t>
      </w:r>
      <w:r>
        <w:rPr>
          <w:color w:val="003CA0"/>
          <w:sz w:val="12"/>
        </w:rPr>
        <w:t xml:space="preserve"> | RE 313.382</w:t>
      </w:r>
      <w:r>
        <w:rPr>
          <w:color w:val="003CA0"/>
          <w:sz w:val="12"/>
        </w:rPr>
        <w:t xml:space="preserve"> | rel. Maurício Corrêa</w:t>
      </w:r>
    </w:p>
    <w:p>
      <w:pPr>
        <w:ind w:left="288"/>
      </w:pPr>
      <w:r>
        <w:rPr>
          <w:color w:val="1E1E1E"/>
          <w:sz w:val="18"/>
        </w:rPr>
        <w:t>Conversão do benefício para URV. Observância das Leis 8.542/1992, 8.700/1993 e 8.880/1994. Inconstitucionalidade da palavra "nominal"  contida no inciso I do art. 20 da Lei 8.880/1994, por ofensa à garantia constitucional do direito adquirido (CF, art. 5º, XXXVI). Improcedência. O referido vocábulo apenas traduz a vontade do legislador de que, no cálculo da média aritmética do valor a ser convertido para a nova moeda fossem considerados os reajustes e antecipações efetivamente concedidos nos meses de novembro e dezembro de 1993 e janeiro e fevereiro de 1994.</w:t>
      </w:r>
    </w:p>
    <w:p>
      <w:pPr>
        <w:ind w:left="288"/>
      </w:pPr>
      <w:r>
        <w:rPr>
          <w:b/>
          <w:color w:val="003CA0"/>
          <w:sz w:val="16"/>
        </w:rPr>
        <w:t>[RE 313.382, rel. min. Maurício Corrêa, j. 26-9-2002, P, DJ de 8-11-2002.]</w:t>
      </w:r>
    </w:p>
    <w:p>
      <w:pPr>
        <w:ind w:left="288"/>
      </w:pPr>
      <w:r>
        <w:rPr>
          <w:color w:val="8C8C8C"/>
          <w:sz w:val="12"/>
        </w:rPr>
        <w:t>cf-art-201-par-4</w:t>
      </w:r>
      <w:r>
        <w:rPr>
          <w:color w:val="003CA0"/>
          <w:sz w:val="12"/>
        </w:rPr>
        <w:t xml:space="preserve"> | AI 587.822</w:t>
      </w:r>
      <w:r>
        <w:rPr>
          <w:color w:val="003CA0"/>
          <w:sz w:val="12"/>
        </w:rPr>
        <w:t xml:space="preserve"> | rel. Ayres Britto</w:t>
      </w:r>
    </w:p>
    <w:p>
      <w:pPr>
        <w:ind w:left="288"/>
      </w:pPr>
      <w:r>
        <w:rPr>
          <w:color w:val="1E1E1E"/>
          <w:sz w:val="18"/>
        </w:rPr>
        <w:t>= AI 587.822 AgR, rel. min. Ayres Britto, j. 14-9-2010, 2ª T, DJE de 3-11-2010</w:t>
      </w:r>
    </w:p>
    <w:p>
      <w:pPr>
        <w:ind w:left="288"/>
      </w:pPr>
      <w:r>
        <w:rPr>
          <w:color w:val="8C8C8C"/>
          <w:sz w:val="12"/>
        </w:rPr>
        <w:t>cf-art-201-par-6</w:t>
      </w:r>
      <w:r>
        <w:rPr>
          <w:color w:val="003CA0"/>
          <w:sz w:val="12"/>
        </w:rPr>
        <w:t xml:space="preserve"> | RE 272.761</w:t>
      </w:r>
    </w:p>
    <w:p>
      <w:pPr>
        <w:ind w:left="288"/>
      </w:pPr>
      <w:r>
        <w:rPr>
          <w:color w:val="1E1E1E"/>
          <w:sz w:val="18"/>
        </w:rPr>
        <w:t>Contribuição para a seguridade social. Incidência sobre a gratificação natalina (13º salário) paga aos empregados. Exigibilidade da contribuição.</w:t>
      </w:r>
    </w:p>
    <w:p>
      <w:pPr>
        <w:ind w:left="288"/>
      </w:pPr>
      <w:r>
        <w:rPr>
          <w:b/>
          <w:color w:val="003CA0"/>
          <w:sz w:val="16"/>
        </w:rPr>
        <w:t>[RE 272.761, red. do ac. min. Nelson Jobim, j. 13-2-2001, 2ª T, DJ de 22-3-2002.]</w:t>
      </w:r>
    </w:p>
    <w:p>
      <w:pPr>
        <w:ind w:left="144"/>
      </w:pPr>
      <w:r>
        <w:rPr>
          <w:b/>
          <w:color w:val="B45A00"/>
          <w:sz w:val="16"/>
        </w:rPr>
        <w:t>CONTROLE CONCENTRADO</w:t>
      </w:r>
    </w:p>
    <w:p>
      <w:pPr>
        <w:ind w:left="288"/>
      </w:pPr>
      <w:r>
        <w:rPr>
          <w:color w:val="8C8C8C"/>
          <w:sz w:val="12"/>
        </w:rPr>
        <w:t>cf-art-201-par-7</w:t>
      </w:r>
      <w:r>
        <w:rPr>
          <w:color w:val="003CA0"/>
          <w:sz w:val="12"/>
        </w:rPr>
        <w:t xml:space="preserve"> | ADI 2.110</w:t>
      </w:r>
      <w:r>
        <w:rPr>
          <w:color w:val="003CA0"/>
          <w:sz w:val="12"/>
        </w:rPr>
        <w:t xml:space="preserve"> | rel. Nunes Marques</w:t>
      </w:r>
    </w:p>
    <w:p>
      <w:pPr>
        <w:ind w:left="288"/>
      </w:pPr>
      <w:r>
        <w:rPr>
          <w:color w:val="1E1E1E"/>
          <w:sz w:val="18"/>
        </w:rPr>
        <w:t>A Constituição Federal, a partir da Emenda de n. 20/1998, não mais prevê a forma de cálculo do valor dos benefícios previdenciários, tendo a disciplina da matéria ficado a cargo de lei ordinária. A EC n. 20/1998 também estipulou a utilização do cálculo atuarial como fundamento para a disciplina legal dos benefícios previdenciários. O fator previdenciário, da maneira como estabelecido pela Lei n. 9.876/1999, está em linha com grandezas próprias do cálculo atuarial, de sorte que não interfere na concessão, ou não, do benefício e, por isso, não viola premissas constitucionais. Em verdade, o fator</w:t>
      </w:r>
    </w:p>
    <w:p>
      <w:pPr>
        <w:ind w:left="288"/>
      </w:pPr>
      <w:r>
        <w:rPr>
          <w:b/>
          <w:color w:val="003CA0"/>
          <w:sz w:val="16"/>
        </w:rPr>
        <w:t>[RE 639.856, rel. min. Gilmar Mendes, j. 19.08.2025, P, DJE de 11.09.2025, Tema 616, com mérito julgado.]</w:t>
      </w:r>
    </w:p>
    <w:p>
      <w:pPr>
        <w:ind w:left="144"/>
      </w:pPr>
      <w:r>
        <w:rPr>
          <w:b/>
          <w:color w:val="B45A00"/>
          <w:sz w:val="16"/>
        </w:rPr>
        <w:t>REPERCUSSAO GERAL</w:t>
      </w:r>
    </w:p>
    <w:p>
      <w:pPr>
        <w:ind w:left="288"/>
      </w:pPr>
      <w:r>
        <w:rPr>
          <w:color w:val="8C8C8C"/>
          <w:sz w:val="12"/>
        </w:rPr>
        <w:t>cf-art-201-par-7</w:t>
      </w:r>
      <w:r>
        <w:rPr>
          <w:color w:val="003CA0"/>
          <w:sz w:val="12"/>
        </w:rPr>
        <w:t xml:space="preserve"> | RE 1.221.630</w:t>
      </w:r>
      <w:r>
        <w:rPr>
          <w:color w:val="003CA0"/>
          <w:sz w:val="12"/>
        </w:rPr>
        <w:t xml:space="preserve"> | rel. Dias Toffoli</w:t>
      </w:r>
    </w:p>
    <w:p>
      <w:pPr>
        <w:ind w:left="288"/>
      </w:pPr>
      <w:r>
        <w:rPr>
          <w:color w:val="1E1E1E"/>
          <w:sz w:val="18"/>
        </w:rPr>
        <w:t>É constitucional o fator previdenciário previsto no art. 29, caput, incisos e parágrafos, da Lei nº 8.213/91, com a redação dada pelo art. 2º da Lei nº 9.876/99.</w:t>
        <w:br/>
        <w:t>[RE 1.221.630, rel. min. Dias Toffoli, j. 4-6-2020, P, DJE de 19-6-2020, Tema 1.091, com mérito julgado e reafirmação de jurisprudência.]</w:t>
      </w:r>
    </w:p>
    <w:p>
      <w:pPr>
        <w:ind w:left="144"/>
      </w:pPr>
      <w:r>
        <w:rPr>
          <w:b/>
          <w:color w:val="B45A00"/>
          <w:sz w:val="16"/>
        </w:rPr>
        <w:t>JULGADOS CORRELATOS</w:t>
      </w:r>
    </w:p>
    <w:p>
      <w:pPr>
        <w:ind w:left="288"/>
      </w:pPr>
      <w:r>
        <w:rPr>
          <w:color w:val="8C8C8C"/>
          <w:sz w:val="12"/>
        </w:rPr>
        <w:t>cf-art-201-par-7</w:t>
      </w:r>
      <w:r>
        <w:rPr>
          <w:color w:val="003CA0"/>
          <w:sz w:val="12"/>
        </w:rPr>
        <w:t xml:space="preserve"> | ADI 2.111</w:t>
      </w:r>
      <w:r>
        <w:rPr>
          <w:color w:val="003CA0"/>
          <w:sz w:val="12"/>
        </w:rPr>
        <w:t xml:space="preserve"> | rel. Sydney Sanches</w:t>
      </w:r>
    </w:p>
    <w:p>
      <w:pPr>
        <w:ind w:left="288"/>
      </w:pPr>
      <w:r>
        <w:rPr>
          <w:color w:val="1E1E1E"/>
          <w:sz w:val="18"/>
        </w:rPr>
        <w:t>O Plenário desta Corte, no julgamento da ADI 2.111 MC/DF, rel. min. Sydney Sanches, entendeu constitucional o fator previdenciário previsto no art. 29, caput, incisos e parágrafos, da Lei 8.213/1991, com redação dada pelo art. 2º da Lei 9.876/1999.</w:t>
      </w:r>
    </w:p>
    <w:p>
      <w:pPr>
        <w:ind w:left="288"/>
      </w:pPr>
      <w:r>
        <w:rPr>
          <w:b/>
          <w:color w:val="003CA0"/>
          <w:sz w:val="16"/>
        </w:rPr>
        <w:t>[ARE 648.195 AgR, rel. min. Ricardo Lewandowski, j. 13-12-2011, 2ª T, DJE de 14-2-2012.]</w:t>
      </w:r>
    </w:p>
    <w:p>
      <w:pPr>
        <w:ind w:left="288"/>
      </w:pPr>
      <w:r>
        <w:rPr>
          <w:color w:val="8C8C8C"/>
          <w:sz w:val="12"/>
        </w:rPr>
        <w:t>cf-art-201-par-7</w:t>
      </w:r>
      <w:r>
        <w:rPr>
          <w:color w:val="003CA0"/>
          <w:sz w:val="12"/>
        </w:rPr>
        <w:t xml:space="preserve"> | ARE 652.752</w:t>
      </w:r>
      <w:r>
        <w:rPr>
          <w:color w:val="003CA0"/>
          <w:sz w:val="12"/>
        </w:rPr>
        <w:t xml:space="preserve"> | rel. Celso de Mello</w:t>
      </w:r>
    </w:p>
    <w:p>
      <w:pPr>
        <w:ind w:left="288"/>
      </w:pPr>
      <w:r>
        <w:rPr>
          <w:color w:val="1E1E1E"/>
          <w:sz w:val="18"/>
        </w:rPr>
        <w:t>=  ARE 652.752 AgR, rel. min. Celso de Mello, j. 12-6-2012, 2ª T, DJE de 1º-8-2012 Aposentadoria concedida com proventos integrais, tendo em consideração o preenchimento dos requisitos legais exigidos. Pretensão de transformação do benefício com proventos proporcionais: impossibilidade.</w:t>
      </w:r>
    </w:p>
    <w:p>
      <w:pPr>
        <w:ind w:left="288"/>
      </w:pPr>
      <w:r>
        <w:rPr>
          <w:b/>
          <w:color w:val="003CA0"/>
          <w:sz w:val="16"/>
        </w:rPr>
        <w:t>[RE 352.391 AgR, rel. min. Carlos Velloso, j. 6-12-2005, 2ª T, DJ de 3-2-2006.]</w:t>
      </w:r>
    </w:p>
    <w:p>
      <w:pPr>
        <w:ind w:left="288"/>
      </w:pPr>
      <w:r>
        <w:rPr>
          <w:color w:val="8C8C8C"/>
          <w:sz w:val="12"/>
        </w:rPr>
        <w:t>cf-art-201-par-7</w:t>
      </w:r>
      <w:r>
        <w:rPr>
          <w:color w:val="003CA0"/>
          <w:sz w:val="12"/>
        </w:rPr>
        <w:t xml:space="preserve"> | AI 810.744</w:t>
      </w:r>
      <w:r>
        <w:rPr>
          <w:color w:val="003CA0"/>
          <w:sz w:val="12"/>
        </w:rPr>
        <w:t xml:space="preserve"> | rel. Ricardo Lewandowski</w:t>
      </w:r>
    </w:p>
    <w:p>
      <w:pPr>
        <w:ind w:left="288"/>
      </w:pPr>
      <w:r>
        <w:rPr>
          <w:color w:val="1E1E1E"/>
          <w:sz w:val="18"/>
        </w:rPr>
        <w:t>= AI 810.744 AgR, rel. min. Ricardo Lewandowski, j. 2-12-2010, 1ª T, DJE de 1º-2-2011 Aposentadoria: proventos: direito adquirido aos proventos conforme a lei regente ao tempo da reunião dos requisitos da inatividade, ainda quando só requerida após a lei menos favorável (Súmula 359, revista): aplicabilidade a fortiori à aposentadoria previdenciária.</w:t>
      </w:r>
    </w:p>
    <w:p>
      <w:pPr>
        <w:ind w:left="288"/>
      </w:pPr>
      <w:r>
        <w:rPr>
          <w:b/>
          <w:color w:val="003CA0"/>
          <w:sz w:val="16"/>
        </w:rPr>
        <w:t>[RE 243.415, rel. min. Sepúlveda Pertence, j. 14-12-1999, 1ª T, DJ de 11-2-2000.]</w:t>
      </w:r>
    </w:p>
    <w:p>
      <w:pPr>
        <w:ind w:left="288"/>
      </w:pPr>
      <w:r>
        <w:rPr>
          <w:color w:val="8C8C8C"/>
          <w:sz w:val="12"/>
        </w:rPr>
        <w:t>cf-art-201-par-7</w:t>
      </w:r>
      <w:r>
        <w:rPr>
          <w:color w:val="003CA0"/>
          <w:sz w:val="12"/>
        </w:rPr>
        <w:t xml:space="preserve"> | MS 26.196</w:t>
      </w:r>
      <w:r>
        <w:rPr>
          <w:color w:val="003CA0"/>
          <w:sz w:val="12"/>
        </w:rPr>
        <w:t xml:space="preserve"> | rel. Ayres Britto</w:t>
      </w:r>
    </w:p>
    <w:p>
      <w:pPr>
        <w:ind w:left="288"/>
      </w:pPr>
      <w:r>
        <w:rPr>
          <w:color w:val="1E1E1E"/>
          <w:sz w:val="18"/>
        </w:rPr>
        <w:t>= MS 26.196, rel. min. Ayres Britto, j. 18-11-2010, P, DJE de 1º-2-2011</w:t>
      </w:r>
    </w:p>
    <w:p>
      <w:pPr>
        <w:ind w:left="288"/>
      </w:pPr>
      <w:r>
        <w:rPr>
          <w:color w:val="8C8C8C"/>
          <w:sz w:val="12"/>
        </w:rPr>
        <w:t>cf-art-201-par-7-inc-I</w:t>
      </w:r>
    </w:p>
    <w:p>
      <w:pPr>
        <w:ind w:left="288"/>
      </w:pPr>
      <w:r>
        <w:rPr>
          <w:color w:val="1E1E1E"/>
          <w:sz w:val="18"/>
        </w:rPr>
        <w:t>II - 60 (sessenta) anos de idade, se homem, e 55 (cinquenta e cinco) anos de idade, se mulher, para os trabalhadores rurais e para os que exerçam suas atividades em regime de economia familiar, nestes incluídos o produtor rural, o garimpeiro e o pescador artesanal. (Redação da EC 103/2019)</w:t>
      </w:r>
    </w:p>
    <w:p>
      <w:pPr>
        <w:ind w:left="144"/>
      </w:pPr>
      <w:r>
        <w:rPr>
          <w:b/>
          <w:color w:val="B45A00"/>
          <w:sz w:val="16"/>
        </w:rPr>
        <w:t>CONTROLE CONCENTRADO</w:t>
      </w:r>
    </w:p>
    <w:p>
      <w:pPr>
        <w:ind w:left="288"/>
      </w:pPr>
      <w:r>
        <w:rPr>
          <w:color w:val="8C8C8C"/>
          <w:sz w:val="12"/>
        </w:rPr>
        <w:t>cf-art-201-par-8</w:t>
      </w:r>
      <w:r>
        <w:rPr>
          <w:color w:val="003CA0"/>
          <w:sz w:val="12"/>
        </w:rPr>
        <w:t xml:space="preserve"> | ADI 3.772</w:t>
      </w:r>
      <w:r>
        <w:rPr>
          <w:color w:val="003CA0"/>
          <w:sz w:val="12"/>
        </w:rPr>
        <w:t xml:space="preserve"> | rel. Alexandre de Moraes</w:t>
      </w:r>
    </w:p>
    <w:p>
      <w:pPr>
        <w:ind w:left="288"/>
      </w:pPr>
      <w:r>
        <w:rPr>
          <w:color w:val="1E1E1E"/>
          <w:sz w:val="18"/>
        </w:rPr>
        <w:t>Ação direta de inconstitucionalidade manejada contra o art. 1º da Lei federal 11.301/2006, que acrescentou o § 2º ao art. 67 da Lei 9.394/1996. Carreira de magistério. Aposentadoria especial para os exercentes de função de direção, coordenação e assessoramento pedagógico. Alegada ofensa aos arts. 40, § 5º, e 201, § 8º, da CF. Inocorrência. Ação julgada parcialmente procedente, com interpretação conforme. A função de magistério não se circunscreve apenas ao trabalho em sala de aula, abrangendo também a preparação de aulas, a correção de provas, o atendimento aos pais e alunos, a coordenação e o</w:t>
      </w:r>
    </w:p>
    <w:p>
      <w:pPr>
        <w:ind w:left="288"/>
      </w:pPr>
      <w:r>
        <w:rPr>
          <w:b/>
          <w:color w:val="003CA0"/>
          <w:sz w:val="16"/>
        </w:rPr>
        <w:t>[ADI 3.772, red. do ac. min. Ricardo Lewandowski, j. 29-10-2008, P, DJE de 29-10-2009.]</w:t>
        <w:br/>
        <w:t>= RE 1.039.644 RG, rel. min. Alexandre de Moraes, j. 13-10-2017, P, DJE de 13-11-2017, Tema 965</w:t>
      </w:r>
    </w:p>
    <w:p>
      <w:pPr>
        <w:ind w:left="288"/>
      </w:pPr>
      <w:r>
        <w:rPr>
          <w:color w:val="8C8C8C"/>
          <w:sz w:val="12"/>
        </w:rPr>
        <w:t>cf-art-201-par-8</w:t>
      </w:r>
      <w:r>
        <w:rPr>
          <w:color w:val="003CA0"/>
          <w:sz w:val="12"/>
        </w:rPr>
        <w:t xml:space="preserve"> | ADI 2.253</w:t>
      </w:r>
      <w:r>
        <w:rPr>
          <w:color w:val="003CA0"/>
          <w:sz w:val="12"/>
        </w:rPr>
        <w:t xml:space="preserve"> | rel. Maurício Corrêa</w:t>
      </w:r>
    </w:p>
    <w:p>
      <w:pPr>
        <w:ind w:left="288"/>
      </w:pPr>
      <w:r>
        <w:rPr>
          <w:color w:val="1E1E1E"/>
          <w:sz w:val="18"/>
        </w:rPr>
        <w:t>Vide ADI 2.253, rel. min. Maurício Corrêa, j. 25-3-2004, P, DJ de 7-5-2004</w:t>
      </w:r>
    </w:p>
    <w:p>
      <w:pPr>
        <w:ind w:left="144"/>
      </w:pPr>
      <w:r>
        <w:rPr>
          <w:b/>
          <w:color w:val="B45A00"/>
          <w:sz w:val="16"/>
        </w:rPr>
        <w:t>REPERCUSSAO GERAL</w:t>
      </w:r>
    </w:p>
    <w:p>
      <w:pPr>
        <w:ind w:left="288"/>
      </w:pPr>
      <w:r>
        <w:rPr>
          <w:color w:val="8C8C8C"/>
          <w:sz w:val="12"/>
        </w:rPr>
        <w:t>cf-art-201-par-8</w:t>
      </w:r>
      <w:r>
        <w:rPr>
          <w:color w:val="003CA0"/>
          <w:sz w:val="12"/>
        </w:rPr>
        <w:t xml:space="preserve"> | RE 1.039.644</w:t>
      </w:r>
      <w:r>
        <w:rPr>
          <w:color w:val="003CA0"/>
          <w:sz w:val="12"/>
        </w:rPr>
        <w:t xml:space="preserve"> | rel. Alexandre de Moraes</w:t>
      </w:r>
    </w:p>
    <w:p>
      <w:pPr>
        <w:ind w:left="288"/>
      </w:pPr>
      <w:r>
        <w:rPr>
          <w:color w:val="1E1E1E"/>
          <w:sz w:val="18"/>
        </w:rPr>
        <w:t>Para a concessão da aposentadoria especial de que trata o art. 40, § 5º, da Constituição, conta-se o tempo de efetivo exercício, pelo professor, da docência e das atividades de direção de unidade escolar e de coordenação e assessoramento pedagógico, desde que em estabelecimentos de educação infantil ou de ensino fundamental e médio.</w:t>
        <w:br/>
        <w:t>[RE 1.039.644 RG, rel. min. Alexandre de Moraes, j. 13-10-2017, P, DJE de 13-11-2017, Tema 965, com mérito julgado.]</w:t>
        <w:br/>
        <w:t>= ADI 3.772, red. do ac. min. Ricardo Lewandowski, j. 29-10-2008, P, DJE de 29-10-2009 (...)  reafirmação da jurisprudência desta Corte, a fim de as</w:t>
      </w:r>
    </w:p>
    <w:p>
      <w:pPr>
        <w:ind w:left="144"/>
      </w:pPr>
      <w:r>
        <w:rPr>
          <w:b/>
          <w:color w:val="B45A00"/>
          <w:sz w:val="16"/>
        </w:rPr>
        <w:t>JULGADOS CORRELATOS</w:t>
      </w:r>
    </w:p>
    <w:p>
      <w:pPr>
        <w:ind w:left="288"/>
      </w:pPr>
      <w:r>
        <w:rPr>
          <w:color w:val="8C8C8C"/>
          <w:sz w:val="12"/>
        </w:rPr>
        <w:t>cf-art-201-par-8</w:t>
      </w:r>
      <w:r>
        <w:rPr>
          <w:color w:val="003CA0"/>
          <w:sz w:val="12"/>
        </w:rPr>
        <w:t xml:space="preserve"> | ARE 742.005</w:t>
      </w:r>
      <w:r>
        <w:rPr>
          <w:color w:val="003CA0"/>
          <w:sz w:val="12"/>
        </w:rPr>
        <w:t xml:space="preserve"> | rel. Teori Zavascki</w:t>
      </w:r>
    </w:p>
    <w:p>
      <w:pPr>
        <w:ind w:left="288"/>
      </w:pPr>
      <w:r>
        <w:rPr>
          <w:color w:val="1E1E1E"/>
          <w:sz w:val="18"/>
        </w:rPr>
        <w:t>No regime anterior à EC 18/1981, a atividade de professor era considerada como especial (Decreto 53.831/1964, Anexo, Item 2.1.4). Foi a partir dessa emenda que a aposentadoria do professor passou a ser espécie de benefício por tempo de contribuição, com o requisito etário reduzido, e não mais uma aposentadoria especial.</w:t>
      </w:r>
    </w:p>
    <w:p>
      <w:pPr>
        <w:ind w:left="288"/>
      </w:pPr>
      <w:r>
        <w:rPr>
          <w:b/>
          <w:color w:val="003CA0"/>
          <w:sz w:val="16"/>
        </w:rPr>
        <w:t>[ARE 742.005 AgR, rel. min. Teori Zavascki, j. 18-3-2014, 2ª T, DJE de 1º-4-2014.]</w:t>
        <w:br/>
        <w:t>= ARE 703.550 RG, rel. min. Gilmar Mendes, j. 2-10-2014, P, DJE de 21-10-2014, Tema 772</w:t>
      </w:r>
    </w:p>
    <w:p>
      <w:pPr>
        <w:ind w:left="288"/>
      </w:pPr>
      <w:r>
        <w:rPr>
          <w:color w:val="8C8C8C"/>
          <w:sz w:val="12"/>
        </w:rPr>
        <w:t>cf-art-201-par-8</w:t>
      </w:r>
      <w:r>
        <w:rPr>
          <w:color w:val="003CA0"/>
          <w:sz w:val="12"/>
        </w:rPr>
        <w:t xml:space="preserve"> | ADI 3.772</w:t>
      </w:r>
    </w:p>
    <w:p>
      <w:pPr>
        <w:ind w:left="288"/>
      </w:pPr>
      <w:r>
        <w:rPr>
          <w:color w:val="1E1E1E"/>
          <w:sz w:val="18"/>
        </w:rPr>
        <w:t>Vide ADI 3.772, red. do ac. min. Ricardo Lewandowski, j. 29-10-2008, P, DJE de 29-10-2009 § 9º Para fins de aposentadoria, será assegurada a contagem recíproca do tempo de contribuição entre o Regime Geral de Previdência Social e os regimes próprios de previdência social, e destes entre si, observada a compensação financeira, de acordo com os critérios estabelecidos em lei. (Redação da EC 103/2019)</w:t>
      </w:r>
    </w:p>
    <w:p>
      <w:pPr>
        <w:ind w:left="144"/>
      </w:pPr>
      <w:r>
        <w:rPr>
          <w:b/>
          <w:color w:val="B45A00"/>
          <w:sz w:val="16"/>
        </w:rPr>
        <w:t>CONTROLE CONCENTRADO</w:t>
      </w:r>
    </w:p>
    <w:p>
      <w:pPr>
        <w:ind w:left="288"/>
      </w:pPr>
      <w:r>
        <w:rPr>
          <w:color w:val="8C8C8C"/>
          <w:sz w:val="12"/>
        </w:rPr>
        <w:t>cf-art-201-par-8</w:t>
      </w:r>
      <w:r>
        <w:rPr>
          <w:color w:val="003CA0"/>
          <w:sz w:val="12"/>
        </w:rPr>
        <w:t xml:space="preserve"> | ADI 4.420</w:t>
      </w:r>
      <w:r>
        <w:rPr>
          <w:color w:val="003CA0"/>
          <w:sz w:val="12"/>
        </w:rPr>
        <w:t xml:space="preserve"> | rel. Gilmar Mendes</w:t>
      </w:r>
    </w:p>
    <w:p>
      <w:pPr>
        <w:ind w:left="288"/>
      </w:pPr>
      <w:r>
        <w:rPr>
          <w:color w:val="1E1E1E"/>
          <w:sz w:val="18"/>
        </w:rPr>
        <w:t>(...) Lei 14.016, de 14-4-2010, do Estado de São Paulo (...). A extinção da Carteira de Previdência das Serventias Não Oficializadas da Justiça daquele Estado, embora possível por meio da referida lei, deve, contudo, respeitar o direito adquirido dos participantes que já faziam jus aos benefícios à época da edição da lei, bem como o direito à contagem recíproca do tempo de contribuição para aposentadoria pelo Regime Geral de Previdência Social (RGPS) (CF, art. 201, § 9º) dos participantes que ainda não haviam implementado os requisitos para a fruição dos benefícios. Ação direta de inconstituci</w:t>
      </w:r>
    </w:p>
    <w:p>
      <w:pPr>
        <w:ind w:left="288"/>
      </w:pPr>
      <w:r>
        <w:rPr>
          <w:b/>
          <w:color w:val="003CA0"/>
          <w:sz w:val="16"/>
        </w:rPr>
        <w:t>[ADI 1.798, rel. min. Gilmar Mendes, j. 27-8-2014, P, DJE de 5-11-2014.]</w:t>
      </w:r>
    </w:p>
    <w:p>
      <w:pPr>
        <w:ind w:left="144"/>
      </w:pPr>
      <w:r>
        <w:rPr>
          <w:b/>
          <w:color w:val="B45A00"/>
          <w:sz w:val="16"/>
        </w:rPr>
        <w:t>REPERCUSSAO GERAL</w:t>
      </w:r>
    </w:p>
    <w:p>
      <w:pPr>
        <w:ind w:left="288"/>
      </w:pPr>
      <w:r>
        <w:rPr>
          <w:color w:val="8C8C8C"/>
          <w:sz w:val="12"/>
        </w:rPr>
        <w:t>cf-art-201-par-8</w:t>
      </w:r>
      <w:r>
        <w:rPr>
          <w:color w:val="003CA0"/>
          <w:sz w:val="12"/>
        </w:rPr>
        <w:t xml:space="preserve"> | RE 650.851</w:t>
      </w:r>
      <w:r>
        <w:rPr>
          <w:color w:val="003CA0"/>
          <w:sz w:val="12"/>
        </w:rPr>
        <w:t xml:space="preserve"> | rel. Gilmar Mendes</w:t>
      </w:r>
    </w:p>
    <w:p>
      <w:pPr>
        <w:ind w:left="288"/>
      </w:pPr>
      <w:r>
        <w:rPr>
          <w:color w:val="1E1E1E"/>
          <w:sz w:val="18"/>
        </w:rPr>
        <w:t>Nota: A referência ao § 2º do art. 202 da Constituição, no acórdão abaixo, corresponde atualmente ao § 9º do art. 201, redação da EC 20/1998. A imposição de restrições, por legislação local, à contagem recíproca do tempo de contribuição na administração pública e na atividade privada para fins de concessão de aposentadoria viola o art. 202, § 2º, da CF, com redação anterior à EC 20/1998. Precedentes.</w:t>
      </w:r>
    </w:p>
    <w:p>
      <w:pPr>
        <w:ind w:left="288"/>
      </w:pPr>
      <w:r>
        <w:rPr>
          <w:b/>
          <w:color w:val="003CA0"/>
          <w:sz w:val="16"/>
        </w:rPr>
        <w:t>[RE 650.851 QO, rel. min. Gilmar Mendes, j. 1º-10-2014, P, DJE de 12-12-2014, Tema 522, com mérito julgado.]</w:t>
      </w:r>
    </w:p>
    <w:p>
      <w:pPr>
        <w:ind w:left="144"/>
      </w:pPr>
      <w:r>
        <w:rPr>
          <w:b/>
          <w:color w:val="B45A00"/>
          <w:sz w:val="16"/>
        </w:rPr>
        <w:t>JULGADOS CORRELATOS</w:t>
      </w:r>
    </w:p>
    <w:p>
      <w:pPr>
        <w:ind w:left="288"/>
      </w:pPr>
      <w:r>
        <w:rPr>
          <w:color w:val="8C8C8C"/>
          <w:sz w:val="12"/>
        </w:rPr>
        <w:t>cf-art-201-par-8</w:t>
      </w:r>
      <w:r>
        <w:rPr>
          <w:color w:val="003CA0"/>
          <w:sz w:val="12"/>
        </w:rPr>
        <w:t xml:space="preserve"> | ACO 2.988</w:t>
      </w:r>
      <w:r>
        <w:rPr>
          <w:color w:val="003CA0"/>
          <w:sz w:val="12"/>
        </w:rPr>
        <w:t xml:space="preserve"> | rel. Luís Roberto Barroso</w:t>
      </w:r>
    </w:p>
    <w:p>
      <w:pPr>
        <w:ind w:left="288"/>
      </w:pPr>
      <w:r>
        <w:rPr>
          <w:color w:val="1E1E1E"/>
          <w:sz w:val="18"/>
        </w:rPr>
        <w:t>Ação cível originária movida pelo Distrito Federal e pelo IPREV/DF em face da União e do Instituto Nacional do Seguro Social (INSS), com objetivo de tornar efetivo o sistema de compensação previdenciária do art. 201, § 9º, da CF/1988. Liminar deferida e confirmada em julgamento de mérito para autorizar a retenção pelo Distrito Federal, com o subsequente repasse ao IPREV/DF, do montante mensal das contribuições previdenciárias devidas ao Regime Geral de Previdência Social, até o valor do estoque da compensação previdenciária escriturado pelo INSS, constante do relatório do sistema Dataprev emit</w:t>
      </w:r>
    </w:p>
    <w:p>
      <w:pPr>
        <w:ind w:left="288"/>
      </w:pPr>
      <w:r>
        <w:rPr>
          <w:b/>
          <w:color w:val="003CA0"/>
          <w:sz w:val="16"/>
        </w:rPr>
        <w:t>[MS 26.461, rel. min. Ricardo Lewandowski, j. 2-2-2009, P, DJE de 6-3-2009.]</w:t>
      </w:r>
    </w:p>
    <w:p>
      <w:pPr>
        <w:ind w:left="288"/>
      </w:pPr>
      <w:r>
        <w:rPr>
          <w:color w:val="8C8C8C"/>
          <w:sz w:val="12"/>
        </w:rPr>
        <w:t>cf-art-201-par-8</w:t>
      </w:r>
      <w:r>
        <w:rPr>
          <w:color w:val="003CA0"/>
          <w:sz w:val="12"/>
        </w:rPr>
        <w:t xml:space="preserve"> | MS 27.699</w:t>
      </w:r>
      <w:r>
        <w:rPr>
          <w:color w:val="003CA0"/>
          <w:sz w:val="12"/>
        </w:rPr>
        <w:t xml:space="preserve"> | rel. Dias Toffoli</w:t>
      </w:r>
    </w:p>
    <w:p>
      <w:pPr>
        <w:ind w:left="288"/>
      </w:pPr>
      <w:r>
        <w:rPr>
          <w:color w:val="1E1E1E"/>
          <w:sz w:val="18"/>
        </w:rPr>
        <w:t>= MS 27.699 AgR, rel. min. Dias Toffoli, j. 21-8-2012, 1ª T, DJE de 4-9-2012 A contagem recíproca é um direito assegurado pela Constituição do Brasil. O acerto de contas que deve haver entre os diversos sistemas de previdência social não interfere na existência desse direito, sobretudo para fins de aposentadoria. Tendo exercido suas atividades em condições insalubres à época em que submetido aos regimes celetista e previdenciário, o servidor público possui direito adquirido à contagem desse tempo de serviço de forma diferenciada e para fins de aposentadoria. Não seria razoável negar esse direi</w:t>
      </w:r>
    </w:p>
    <w:p>
      <w:pPr>
        <w:ind w:left="288"/>
      </w:pPr>
      <w:r>
        <w:rPr>
          <w:b/>
          <w:color w:val="003CA0"/>
          <w:sz w:val="16"/>
        </w:rPr>
        <w:t>[RE 255.827, rel. min. Eros Grau, j. 25-10-2005, 1ª T, DJ de 2-12-2005.]</w:t>
      </w:r>
    </w:p>
    <w:p>
      <w:pPr>
        <w:ind w:left="288"/>
      </w:pPr>
      <w:r>
        <w:rPr>
          <w:color w:val="8C8C8C"/>
          <w:sz w:val="12"/>
        </w:rPr>
        <w:t>cf-art-201-par-8</w:t>
      </w:r>
      <w:r>
        <w:rPr>
          <w:color w:val="003CA0"/>
          <w:sz w:val="12"/>
        </w:rPr>
        <w:t xml:space="preserve"> | RE 333.246</w:t>
      </w:r>
      <w:r>
        <w:rPr>
          <w:color w:val="003CA0"/>
          <w:sz w:val="12"/>
        </w:rPr>
        <w:t xml:space="preserve"> | rel. Marco Aurélio</w:t>
      </w:r>
    </w:p>
    <w:p>
      <w:pPr>
        <w:ind w:left="288"/>
      </w:pPr>
      <w:r>
        <w:rPr>
          <w:color w:val="1E1E1E"/>
          <w:sz w:val="18"/>
        </w:rPr>
        <w:t>= RE 333.246 AgR, rel. min. Marco Aurélio, j. 8-11-2011, 1ª T, DJE de 7-12-2011 § 10. Lei complementar poderá disciplinar a cobertura de benefícios não programados, inclusive os decorrentes de acidente do trabalho, a ser atendida concorrentemente pelo Regime Geral de Previdência Social e pelo setor privado. (Redação da EC 103/2019)</w:t>
      </w:r>
    </w:p>
    <w:p>
      <w:pPr>
        <w:ind w:left="144"/>
      </w:pPr>
      <w:r>
        <w:rPr>
          <w:b/>
          <w:color w:val="B45A00"/>
          <w:sz w:val="16"/>
        </w:rPr>
        <w:t>REPERCUSSAO GERAL</w:t>
      </w:r>
    </w:p>
    <w:p>
      <w:pPr>
        <w:ind w:left="288"/>
      </w:pPr>
      <w:r>
        <w:rPr>
          <w:color w:val="8C8C8C"/>
          <w:sz w:val="12"/>
        </w:rPr>
        <w:t>cf-art-201-par-8</w:t>
      </w:r>
      <w:r>
        <w:rPr>
          <w:color w:val="003CA0"/>
          <w:sz w:val="12"/>
        </w:rPr>
        <w:t xml:space="preserve"> | RE 613.033</w:t>
      </w:r>
      <w:r>
        <w:rPr>
          <w:color w:val="003CA0"/>
          <w:sz w:val="12"/>
        </w:rPr>
        <w:t xml:space="preserve"> | rel. Dias Toffoli</w:t>
      </w:r>
    </w:p>
    <w:p>
      <w:pPr>
        <w:ind w:left="288"/>
      </w:pPr>
      <w:r>
        <w:rPr>
          <w:color w:val="1E1E1E"/>
          <w:sz w:val="18"/>
        </w:rPr>
        <w:t>(...) os benefícios previdenciários devem ser regulados pela lei vigente ao tempo em que preenchidos os requisitos necessários à sua concessão, não sendo possível a aplicação de lei posterior para o cálculo ou majoração de benefícios já concedidos pelo INSS, salvo quando expressamente previsto no novo diploma legal.</w:t>
        <w:br/>
        <w:t>[RE 613.033, rel. min. Dias Toffoli, j. 14-4-2011, P, DJE de 9-6-2011, Tema 388, com mérito julgado.] § 11. Os ganhos habituais do empregado, a qualquer título, serão incorporados ao salário para efeito de contribuição previdenciária e consequente repercussão em benefícios, nos cas</w:t>
      </w:r>
    </w:p>
    <w:p>
      <w:pPr>
        <w:ind w:left="288"/>
      </w:pPr>
      <w:r>
        <w:rPr>
          <w:b/>
          <w:color w:val="003CA0"/>
          <w:sz w:val="16"/>
        </w:rPr>
        <w:t>[RE 1.072.485 ED, rel. min. Marco Aurélio, red. do ac. min. Luís Roberto Barroso, j. 12.06.2024, P, DJE de 19.09.2024, Tema 985, com mérito julgado.]</w:t>
      </w:r>
    </w:p>
    <w:p>
      <w:pPr>
        <w:ind w:left="288"/>
      </w:pPr>
      <w:r>
        <w:rPr>
          <w:color w:val="8C8C8C"/>
          <w:sz w:val="12"/>
        </w:rPr>
        <w:t>cf-art-201-par-8</w:t>
      </w:r>
      <w:r>
        <w:rPr>
          <w:color w:val="003CA0"/>
          <w:sz w:val="12"/>
        </w:rPr>
        <w:t xml:space="preserve"> | RE 1.072.485</w:t>
      </w:r>
      <w:r>
        <w:rPr>
          <w:color w:val="003CA0"/>
          <w:sz w:val="12"/>
        </w:rPr>
        <w:t xml:space="preserve"> | rel. Marco Aurélio</w:t>
      </w:r>
    </w:p>
    <w:p>
      <w:pPr>
        <w:ind w:left="288"/>
      </w:pPr>
      <w:r>
        <w:rPr>
          <w:color w:val="1E1E1E"/>
          <w:sz w:val="18"/>
        </w:rPr>
        <w:t>É legítima a incidência de contribuição social sobre o valor satisfeito a título de terço constitucional de férias.</w:t>
        <w:br/>
        <w:t>[RE 1.072.485, rel. min. Marco Aurélio, j. 31-8-2020, P, DJE de 2-10-2020, Tema 985, com mérito julgado.] Não incide contribuição previdenciária sobre verba não incorporável aos proventos de aposentadoria do servidor público, tais como ‘terço de férias’, ‘serviços extraordinários’, ‘adicional noturno’ e ‘adicional de insalubridade.</w:t>
      </w:r>
    </w:p>
    <w:p>
      <w:pPr>
        <w:ind w:left="288"/>
      </w:pPr>
      <w:r>
        <w:rPr>
          <w:b/>
          <w:color w:val="003CA0"/>
          <w:sz w:val="16"/>
        </w:rPr>
        <w:t>[RE 593.068, rel. min. Roberto Barroso, j. 11-10-2018, P, DJE de 22-3-2019, Tema 163, com mérito julgado.]</w:t>
      </w:r>
    </w:p>
    <w:p>
      <w:pPr>
        <w:ind w:left="288"/>
      </w:pPr>
      <w:r>
        <w:rPr>
          <w:color w:val="8C8C8C"/>
          <w:sz w:val="12"/>
        </w:rPr>
        <w:t>cf-art-201-par-8</w:t>
      </w:r>
      <w:r>
        <w:rPr>
          <w:color w:val="003CA0"/>
          <w:sz w:val="12"/>
        </w:rPr>
        <w:t xml:space="preserve"> | RE 565.160</w:t>
      </w:r>
      <w:r>
        <w:rPr>
          <w:color w:val="003CA0"/>
          <w:sz w:val="12"/>
        </w:rPr>
        <w:t xml:space="preserve"> | rel. Marco Aurélio</w:t>
      </w:r>
    </w:p>
    <w:p>
      <w:pPr>
        <w:ind w:left="288"/>
      </w:pPr>
      <w:r>
        <w:rPr>
          <w:color w:val="1E1E1E"/>
          <w:sz w:val="18"/>
        </w:rPr>
        <w:t>A contribuição social a cargo do empregador incide sobre ganhos habituais do empregado, a qualquer título, quer anteriores, quer posteriores à EC 20/1998 – inteligência dos arts. 195, I, e 201, § 11, da CF.</w:t>
      </w:r>
    </w:p>
    <w:p>
      <w:pPr>
        <w:ind w:left="288"/>
      </w:pPr>
      <w:r>
        <w:rPr>
          <w:b/>
          <w:color w:val="003CA0"/>
          <w:sz w:val="16"/>
        </w:rPr>
        <w:t>[RE 565.160, rel. min. Marco Aurélio, j. 29-3-2017, P, DJE de 23-8-2017, Tema 20, com mérito julgado.]</w:t>
      </w:r>
    </w:p>
    <w:p>
      <w:pPr>
        <w:ind w:left="288"/>
      </w:pPr>
      <w:r>
        <w:rPr>
          <w:color w:val="8C8C8C"/>
          <w:sz w:val="12"/>
        </w:rPr>
        <w:t>cf-art-201-par-8</w:t>
      </w:r>
      <w:r>
        <w:rPr>
          <w:color w:val="003CA0"/>
          <w:sz w:val="12"/>
        </w:rPr>
        <w:t xml:space="preserve"> | RE 569.441</w:t>
      </w:r>
    </w:p>
    <w:p>
      <w:pPr>
        <w:ind w:left="288"/>
      </w:pPr>
      <w:r>
        <w:rPr>
          <w:color w:val="1E1E1E"/>
          <w:sz w:val="18"/>
        </w:rPr>
        <w:t>Segundo afirmado por precedentes de ambas as Turmas deste STF, a eficácia do preceito veiculado pelo art. 7º, XI, da CF – inclusive no que se refere à natureza jurídica dos valores pagos a trabalhadores sob a forma de participação nos lucros para fins tributários – depende de regulamentação. Na medida em que a disciplina do direito à participação nos lucros somente se operou com a edição da MP 794/1994 e que o fato gerador em causa concretizou-se antes da vigência desse ato normativo, deve incidir, sobre os valores em questão, a respectiva contribuição previdenciária.</w:t>
      </w:r>
    </w:p>
    <w:p>
      <w:pPr>
        <w:ind w:left="288"/>
      </w:pPr>
      <w:r>
        <w:rPr>
          <w:b/>
          <w:color w:val="003CA0"/>
          <w:sz w:val="16"/>
        </w:rPr>
        <w:t>[RE 569.441, red. do ac. min. Teori Zavascki, j. 30-10-2014, P, DJE de 10-2-2015, Tema 344, com mérito julgado.]</w:t>
      </w:r>
    </w:p>
    <w:p>
      <w:pPr>
        <w:ind w:left="144"/>
      </w:pPr>
      <w:r>
        <w:rPr>
          <w:b/>
          <w:color w:val="B45A00"/>
          <w:sz w:val="16"/>
        </w:rPr>
        <w:t>JULGADOS CORRELATOS</w:t>
      </w:r>
    </w:p>
    <w:p>
      <w:pPr>
        <w:ind w:left="288"/>
      </w:pPr>
      <w:r>
        <w:rPr>
          <w:color w:val="8C8C8C"/>
          <w:sz w:val="12"/>
        </w:rPr>
        <w:t>cf-art-201-par-8</w:t>
      </w:r>
      <w:r>
        <w:rPr>
          <w:color w:val="003CA0"/>
          <w:sz w:val="12"/>
        </w:rPr>
        <w:t xml:space="preserve"> | ARE 1.048.172</w:t>
      </w:r>
      <w:r>
        <w:rPr>
          <w:color w:val="003CA0"/>
          <w:sz w:val="12"/>
        </w:rPr>
        <w:t xml:space="preserve"> | rel. Dias Toffoli</w:t>
      </w:r>
    </w:p>
    <w:p>
      <w:pPr>
        <w:ind w:left="288"/>
      </w:pPr>
      <w:r>
        <w:rPr>
          <w:color w:val="1E1E1E"/>
          <w:sz w:val="18"/>
        </w:rPr>
        <w:t>O Tribunal Pleno, em sede de repercussão geral (Tema 20), fixou a tese no sentido de que "a contribuição social a cargo do empregador incide sobre ganhos habituais do empregado, quer anteriores ou posteriores à EC 20/1998". Desse modo, é válida a incidência de contribuição previdenciária patronal sobre os valores pagos a título de terço constitucional de férias, hora extra, adicionais de insalubridade, periculosidade e trabalho noturno, cuja natureza de contraprestação ao trabalho habitual prestado é patente.</w:t>
        <w:br/>
        <w:t>[ARE 1.048.172 AgR, rel. min. Dias Toffoli, j. 6-10-2017, 2ª T, DJE de 27-10-2017.] A</w:t>
      </w:r>
    </w:p>
    <w:p>
      <w:pPr>
        <w:ind w:left="288"/>
      </w:pPr>
      <w:r>
        <w:rPr>
          <w:b/>
          <w:color w:val="003CA0"/>
          <w:sz w:val="16"/>
        </w:rPr>
        <w:t>[RE 478.410, rel. min. Eros Grau, j. 10-3-2010, P, DJE de 14-5-2010.]</w:t>
      </w:r>
    </w:p>
    <w:p>
      <w:pPr>
        <w:ind w:left="288"/>
      </w:pPr>
      <w:r>
        <w:rPr>
          <w:color w:val="8C8C8C"/>
          <w:sz w:val="12"/>
        </w:rPr>
        <w:t>cf-art-201-par-8</w:t>
      </w:r>
      <w:r>
        <w:rPr>
          <w:color w:val="003CA0"/>
          <w:sz w:val="12"/>
        </w:rPr>
        <w:t xml:space="preserve"> | RE 463.348</w:t>
      </w:r>
      <w:r>
        <w:rPr>
          <w:color w:val="003CA0"/>
          <w:sz w:val="12"/>
        </w:rPr>
        <w:t xml:space="preserve"> | rel. Sepúlveda Pertence</w:t>
      </w:r>
    </w:p>
    <w:p>
      <w:pPr>
        <w:ind w:left="288"/>
      </w:pPr>
      <w:r>
        <w:rPr>
          <w:color w:val="1E1E1E"/>
          <w:sz w:val="18"/>
        </w:rPr>
        <w:t>Servidor público. Contribuição previdenciária: não incidência sobre a vantagem não incorporável ao vencimento para o cálculo dos proventos de aposentadoria, relativa ao exercício de função ou cargo comissionados (CF, art. 40, § 12, c/c art. 201, § 11, e art. 195, § 5º; Lei 9.527, de 10-12-1997).</w:t>
      </w:r>
    </w:p>
    <w:p>
      <w:pPr>
        <w:ind w:left="288"/>
      </w:pPr>
      <w:r>
        <w:rPr>
          <w:b/>
          <w:color w:val="003CA0"/>
          <w:sz w:val="16"/>
        </w:rPr>
        <w:t>[RE 463.348, rel. min. Sepúlveda Pertence, j. 14-2-2006, 1ª T, DJ de 7-4-2006.]</w:t>
      </w:r>
    </w:p>
    <w:p>
      <w:pPr>
        <w:ind w:left="288"/>
      </w:pPr>
      <w:r>
        <w:rPr>
          <w:color w:val="8C8C8C"/>
          <w:sz w:val="12"/>
        </w:rPr>
        <w:t>cf-art-201-par-8</w:t>
      </w:r>
      <w:r>
        <w:rPr>
          <w:color w:val="003CA0"/>
          <w:sz w:val="12"/>
        </w:rPr>
        <w:t xml:space="preserve"> | RE 467.624</w:t>
      </w:r>
      <w:r>
        <w:rPr>
          <w:color w:val="003CA0"/>
          <w:sz w:val="12"/>
        </w:rPr>
        <w:t xml:space="preserve"> | rel. Cármen Lúcia</w:t>
      </w:r>
    </w:p>
    <w:p>
      <w:pPr>
        <w:ind w:left="288"/>
      </w:pPr>
      <w:r>
        <w:rPr>
          <w:color w:val="1E1E1E"/>
          <w:sz w:val="18"/>
        </w:rPr>
        <w:t>= RE 467.624 AgR, rel. min. Cármen Lúcia, j. 26-5-2009, 1ª T, DJE de 1º-7-2009 A gratificação natalina, em virtude de sua natureza salarial, é hipótese de incidência da contribuição previdenciária.</w:t>
      </w:r>
    </w:p>
    <w:p>
      <w:pPr>
        <w:ind w:left="288"/>
      </w:pPr>
      <w:r>
        <w:rPr>
          <w:b/>
          <w:color w:val="003CA0"/>
          <w:sz w:val="16"/>
        </w:rPr>
        <w:t>[RE 411.102 ED, rel. min. Celso de Mello, j. 2-3-2004, 2ª T, DJ de 20-10-2006.]</w:t>
      </w:r>
    </w:p>
    <w:p>
      <w:pPr>
        <w:ind w:left="288"/>
      </w:pPr>
      <w:r>
        <w:rPr>
          <w:color w:val="8C8C8C"/>
          <w:sz w:val="12"/>
        </w:rPr>
        <w:t>cf-art-201-par-8</w:t>
      </w:r>
      <w:r>
        <w:rPr>
          <w:color w:val="003CA0"/>
          <w:sz w:val="12"/>
        </w:rPr>
        <w:t xml:space="preserve"> | RE 394.499</w:t>
      </w:r>
      <w:r>
        <w:rPr>
          <w:color w:val="003CA0"/>
          <w:sz w:val="12"/>
        </w:rPr>
        <w:t xml:space="preserve"> | rel. Marco Aurélio</w:t>
      </w:r>
    </w:p>
    <w:p>
      <w:pPr>
        <w:ind w:left="288"/>
      </w:pPr>
      <w:r>
        <w:rPr>
          <w:color w:val="1E1E1E"/>
          <w:sz w:val="18"/>
        </w:rPr>
        <w:t>= RE 394.499 AgR, rel. min. Marco Aurélio, j. 28-2-2012, 1ª T, DJE de 23-3-2012 § 12. Lei instituirá sistema especial de inclusão previdenciária, com alíquotas diferenciadas, para atender aos trabalhadores de baixa renda, inclusive os que se encontram em situação de informalidade, e àqueles sem renda própria que se dediquem exclusivamente ao trabalho doméstico no âmbito de sua residência, desde que pertencentes a famílias de baixa renda. (Redação da EC 103/2019)</w:t>
      </w:r>
    </w:p>
    <w:p>
      <w:pPr>
        <w:ind w:left="720"/>
      </w:pPr>
      <w:r>
        <w:rPr>
          <w:color w:val="003366"/>
          <w:sz w:val="18"/>
        </w:rPr>
        <w:t>I – cobertura dos eventos de incapacidade temporária ou permanente para o trabal</w:t>
      </w:r>
    </w:p>
    <w:p>
      <w:pPr>
        <w:ind w:left="720"/>
      </w:pPr>
      <w:r>
        <w:rPr>
          <w:color w:val="003366"/>
          <w:sz w:val="18"/>
        </w:rPr>
        <w:t>II – proteção à maternidade, especialmente à gestante; (Redação dada pela Emenda</w:t>
      </w:r>
    </w:p>
    <w:p>
      <w:pPr>
        <w:ind w:left="720"/>
      </w:pPr>
      <w:r>
        <w:rPr>
          <w:color w:val="003366"/>
          <w:sz w:val="18"/>
        </w:rPr>
        <w:t>III – proteção ao trabalhador em situação de desemprego involuntário; (Redação d</w:t>
      </w:r>
    </w:p>
    <w:p>
      <w:pPr>
        <w:ind w:left="720"/>
      </w:pPr>
      <w:r>
        <w:rPr>
          <w:color w:val="003366"/>
          <w:sz w:val="18"/>
        </w:rPr>
        <w:t>IV – salário-família e auxílio-reclusão para os dependentes dos segurados de bai</w:t>
      </w:r>
    </w:p>
    <w:p>
      <w:pPr>
        <w:ind w:left="720"/>
      </w:pPr>
      <w:r>
        <w:rPr>
          <w:color w:val="003366"/>
          <w:sz w:val="18"/>
        </w:rPr>
        <w:t>V – pensão por morte do segurado, homem ou mulher, ao cônjuge ou companheiro e d</w:t>
      </w:r>
    </w:p>
    <w:p>
      <w:pPr>
        <w:ind w:left="432"/>
      </w:pPr>
      <w:r>
        <w:rPr>
          <w:color w:val="003366"/>
          <w:sz w:val="18"/>
        </w:rPr>
        <w:t>§ 1 É vedada a adoção de requisitos ou critérios diferenciados para concessão de</w:t>
      </w:r>
    </w:p>
    <w:p>
      <w:pPr>
        <w:ind w:left="720"/>
      </w:pPr>
      <w:r>
        <w:rPr>
          <w:color w:val="003366"/>
          <w:sz w:val="18"/>
        </w:rPr>
        <w:t>I – com deficiência, previamente submetidos a avaliação biopsicossocial realizad</w:t>
      </w:r>
    </w:p>
    <w:p>
      <w:pPr>
        <w:ind w:left="720"/>
      </w:pPr>
      <w:r>
        <w:rPr>
          <w:color w:val="003366"/>
          <w:sz w:val="18"/>
        </w:rPr>
        <w:t xml:space="preserve">II – cujas atividades sejam exercidas com efetiva exposição a agentes químicos, </w:t>
      </w:r>
    </w:p>
    <w:p>
      <w:pPr>
        <w:ind w:left="432"/>
      </w:pPr>
      <w:r>
        <w:rPr>
          <w:color w:val="003366"/>
          <w:sz w:val="18"/>
        </w:rPr>
        <w:t xml:space="preserve">§ 2 Nenhum benefício que substitua o salário de contribuição ou o rendimento do </w:t>
      </w:r>
    </w:p>
    <w:p>
      <w:pPr>
        <w:ind w:left="432"/>
      </w:pPr>
      <w:r>
        <w:rPr>
          <w:color w:val="003366"/>
          <w:sz w:val="18"/>
        </w:rPr>
        <w:t>§ 3 Todos os salários de contribuição considerados para o cálculo de benefício s</w:t>
      </w:r>
    </w:p>
    <w:p>
      <w:pPr>
        <w:ind w:left="432"/>
      </w:pPr>
      <w:r>
        <w:rPr>
          <w:color w:val="003366"/>
          <w:sz w:val="18"/>
        </w:rPr>
        <w:t xml:space="preserve">§ 4 É assegurado o reajustamento dos benefícios para preservar-lhes, em caráter </w:t>
      </w:r>
    </w:p>
    <w:p>
      <w:pPr>
        <w:ind w:left="432"/>
      </w:pPr>
      <w:r>
        <w:rPr>
          <w:color w:val="003366"/>
          <w:sz w:val="18"/>
        </w:rPr>
        <w:t>§ 5 É vedada a filiação ao regime geral de previdência social, na qualidade de s</w:t>
      </w:r>
    </w:p>
    <w:p>
      <w:pPr>
        <w:ind w:left="432"/>
      </w:pPr>
      <w:r>
        <w:rPr>
          <w:color w:val="003366"/>
          <w:sz w:val="18"/>
        </w:rPr>
        <w:t>§ 6 A gratificação natalina dos aposentados e pensionistas terá por base o valor</w:t>
      </w:r>
    </w:p>
    <w:p>
      <w:pPr>
        <w:ind w:left="432"/>
      </w:pPr>
      <w:r>
        <w:rPr>
          <w:color w:val="003366"/>
          <w:sz w:val="18"/>
        </w:rPr>
        <w:t>§ 7 É assegurada aposentadoria no regime geral de previdência social, nos termos</w:t>
      </w:r>
    </w:p>
    <w:p>
      <w:pPr>
        <w:ind w:left="720"/>
      </w:pPr>
      <w:r>
        <w:rPr>
          <w:color w:val="003366"/>
          <w:sz w:val="18"/>
        </w:rPr>
        <w:t>I – 65 (sessenta e cinco) anos de idade, se homem, e 62 (sessenta e dois) anos d</w:t>
      </w:r>
    </w:p>
    <w:p>
      <w:pPr>
        <w:ind w:left="720"/>
      </w:pPr>
      <w:r>
        <w:rPr>
          <w:color w:val="003366"/>
          <w:sz w:val="18"/>
        </w:rPr>
        <w:t>II – 60 (sessenta) anos de idade, se homem, e 55 (cinquenta e cinco) anos de ida</w:t>
      </w:r>
    </w:p>
    <w:p>
      <w:pPr>
        <w:ind w:left="432"/>
      </w:pPr>
      <w:r>
        <w:rPr>
          <w:color w:val="003366"/>
          <w:sz w:val="18"/>
        </w:rPr>
        <w:t>§ 8 O requisito de idade a que se refere o inciso I do § 7º será reduzido em 5 (</w:t>
      </w:r>
    </w:p>
    <w:p>
      <w:pPr>
        <w:ind w:left="432"/>
      </w:pPr>
      <w:r>
        <w:rPr>
          <w:color w:val="003366"/>
          <w:sz w:val="18"/>
        </w:rPr>
        <w:t>§ 9 Para fins de aposentadoria, será assegurada a contagem recíproca do tempo de</w:t>
      </w:r>
    </w:p>
    <w:p>
      <w:pPr>
        <w:ind w:left="432"/>
      </w:pPr>
      <w:r>
        <w:rPr>
          <w:color w:val="003366"/>
          <w:sz w:val="18"/>
        </w:rPr>
        <w:t>§ 9 A. O tempo de serviço militar exercido nas atividades de que tratam os arts.</w:t>
      </w:r>
    </w:p>
    <w:p>
      <w:pPr>
        <w:ind w:left="432"/>
      </w:pPr>
      <w:r>
        <w:rPr>
          <w:color w:val="003366"/>
          <w:sz w:val="18"/>
        </w:rPr>
        <w:t>§ 10 Lei complementar poderá disciplinar a cobertura de benefícios não programad</w:t>
      </w:r>
    </w:p>
    <w:p>
      <w:pPr>
        <w:ind w:left="432"/>
      </w:pPr>
      <w:r>
        <w:rPr>
          <w:color w:val="003366"/>
          <w:sz w:val="18"/>
        </w:rPr>
        <w:t xml:space="preserve">§ 11 Os ganhos habituais do empregado, a qualquer título, serão incorporados ao </w:t>
      </w:r>
    </w:p>
    <w:p>
      <w:pPr>
        <w:ind w:left="432"/>
      </w:pPr>
      <w:r>
        <w:rPr>
          <w:color w:val="003366"/>
          <w:sz w:val="18"/>
        </w:rPr>
        <w:t>§ 12 Lei instituirá sistema especial de inclusão previdenciária, com alíquotas d</w:t>
      </w:r>
    </w:p>
    <w:p>
      <w:pPr>
        <w:ind w:left="432"/>
      </w:pPr>
      <w:r>
        <w:rPr>
          <w:color w:val="003366"/>
          <w:sz w:val="18"/>
        </w:rPr>
        <w:t>§ 13 A aposentadoria concedida ao segurado de que trata o § 12 terá valor de 1 (</w:t>
      </w:r>
    </w:p>
    <w:p>
      <w:pPr>
        <w:ind w:left="432"/>
      </w:pPr>
      <w:r>
        <w:rPr>
          <w:color w:val="003366"/>
          <w:sz w:val="18"/>
        </w:rPr>
        <w:t>§ 14 É vedada a contagem de tempo de contribuição fictício para efeito de conces</w:t>
      </w:r>
    </w:p>
    <w:p>
      <w:pPr>
        <w:ind w:left="432"/>
      </w:pPr>
      <w:r>
        <w:rPr>
          <w:color w:val="003366"/>
          <w:sz w:val="18"/>
        </w:rPr>
        <w:t>§ 15 Lei complementar estabelecerá vedações, regras e condições para a acumulaçã</w:t>
      </w:r>
    </w:p>
    <w:p>
      <w:pPr>
        <w:ind w:left="432"/>
      </w:pPr>
      <w:r>
        <w:rPr>
          <w:color w:val="003366"/>
          <w:sz w:val="18"/>
        </w:rPr>
        <w:t>§ 16 Os empregados dos consórcios públicos, das empresas públicas, das sociedade</w:t>
      </w:r>
    </w:p>
    <w:p>
      <w:r>
        <w:rPr>
          <w:b/>
          <w:color w:val="003366"/>
          <w:sz w:val="20"/>
        </w:rPr>
        <w:t>Art. 202 O regime de previdência privada, de caráter complementar e organizado d</w:t>
      </w:r>
      <w:r>
        <w:rPr>
          <w:color w:val="8C8C8C"/>
          <w:sz w:val="14"/>
        </w:rPr>
        <w:t xml:space="preserve">  [15 decisoes]</w:t>
      </w:r>
    </w:p>
    <w:p>
      <w:pPr>
        <w:ind w:left="144"/>
      </w:pPr>
      <w:r>
        <w:rPr>
          <w:b/>
          <w:color w:val="B45A00"/>
          <w:sz w:val="16"/>
        </w:rPr>
        <w:t>CONTROLE CONCENTRADO</w:t>
      </w:r>
    </w:p>
    <w:p>
      <w:pPr>
        <w:ind w:left="288"/>
      </w:pPr>
      <w:r>
        <w:rPr>
          <w:color w:val="8C8C8C"/>
          <w:sz w:val="12"/>
        </w:rPr>
        <w:t>cf-art-202</w:t>
      </w:r>
      <w:r>
        <w:rPr>
          <w:color w:val="003CA0"/>
          <w:sz w:val="12"/>
        </w:rPr>
        <w:t xml:space="preserve"> | ADI 3.948</w:t>
      </w:r>
      <w:r>
        <w:rPr>
          <w:color w:val="003CA0"/>
          <w:sz w:val="12"/>
        </w:rPr>
        <w:t xml:space="preserve"> | rel. Roberto Barroso</w:t>
      </w:r>
    </w:p>
    <w:p>
      <w:pPr>
        <w:ind w:left="288"/>
      </w:pPr>
      <w:r>
        <w:rPr>
          <w:color w:val="1E1E1E"/>
          <w:sz w:val="18"/>
        </w:rPr>
        <w:t>A Constituição prevê a criação de regimes de previdência complementar tanto para os segurados do regime geral (art. 202, CF) quanto para os servidores titulares de cargo efetivo, vinculados aos regimes próprios (art. 40, §§ 14 a 16, CF). Como exercentes de mandatos eletivos, os parlamentares não se inserem no regime próprio, mas, sim, no regime geral e, por isso, se submetem ao disposto no art. 202 da Carta Federal. A lei complementar que regula o regime de previdência privada, a que se refere o art. 202 e seu § 4º, destina-se à criação de regras e princípios gerais a que todos os regimes deve</w:t>
      </w:r>
    </w:p>
    <w:p>
      <w:pPr>
        <w:ind w:left="288"/>
      </w:pPr>
      <w:r>
        <w:rPr>
          <w:b/>
          <w:color w:val="003CA0"/>
          <w:sz w:val="16"/>
        </w:rPr>
        <w:t>[ADI 3.948, rel. min. Roberto Barroso, j. 15-4-2020, P, DJE de 5-10-2020.]</w:t>
      </w:r>
    </w:p>
    <w:p>
      <w:pPr>
        <w:ind w:left="288"/>
      </w:pPr>
      <w:r>
        <w:rPr>
          <w:color w:val="8C8C8C"/>
          <w:sz w:val="12"/>
        </w:rPr>
        <w:t>cf-art-202</w:t>
      </w:r>
      <w:r>
        <w:rPr>
          <w:color w:val="003CA0"/>
          <w:sz w:val="12"/>
        </w:rPr>
        <w:t xml:space="preserve"> | ADI 4.291</w:t>
      </w:r>
      <w:r>
        <w:rPr>
          <w:color w:val="003CA0"/>
          <w:sz w:val="12"/>
        </w:rPr>
        <w:t xml:space="preserve"> | rel. Marco Aurélio</w:t>
      </w:r>
    </w:p>
    <w:p>
      <w:pPr>
        <w:ind w:left="288"/>
      </w:pPr>
      <w:r>
        <w:rPr>
          <w:color w:val="1E1E1E"/>
          <w:sz w:val="18"/>
        </w:rPr>
        <w:t>A quebra da confiança sinalizada pelo Estado, ao criar, mediante lei, carteira previdenciária, vindo a administrá-la, gera a respectiva responsabilidade.</w:t>
      </w:r>
    </w:p>
    <w:p>
      <w:pPr>
        <w:ind w:left="288"/>
      </w:pPr>
      <w:r>
        <w:rPr>
          <w:b/>
          <w:color w:val="003CA0"/>
          <w:sz w:val="16"/>
        </w:rPr>
        <w:t>[ADI 4.291, rel. min. Marco Aurélio, j. 14-12-2011, P, DJE de 9-3-2012.]</w:t>
      </w:r>
    </w:p>
    <w:p>
      <w:pPr>
        <w:ind w:left="288"/>
      </w:pPr>
      <w:r>
        <w:rPr>
          <w:color w:val="8C8C8C"/>
          <w:sz w:val="12"/>
        </w:rPr>
        <w:t>cf-art-202</w:t>
      </w:r>
      <w:r>
        <w:rPr>
          <w:color w:val="003CA0"/>
          <w:sz w:val="12"/>
        </w:rPr>
        <w:t xml:space="preserve"> | RE 1.415.115</w:t>
      </w:r>
      <w:r>
        <w:rPr>
          <w:color w:val="003CA0"/>
          <w:sz w:val="12"/>
        </w:rPr>
        <w:t xml:space="preserve"> | rel. Alexandre de Moraes</w:t>
      </w:r>
    </w:p>
    <w:p>
      <w:pPr>
        <w:ind w:left="288"/>
      </w:pPr>
      <w:r>
        <w:rPr>
          <w:color w:val="1E1E1E"/>
          <w:sz w:val="18"/>
        </w:rPr>
        <w:t>Plano de previdência complementar. Cláusula que exige o mesmo tempo de contribuição para homens e mulheres para recebimento do benefício integral. Constitucionalidade, em face do artigo 5º, inciso I da Constituição Federal.</w:t>
      </w:r>
    </w:p>
    <w:p>
      <w:pPr>
        <w:ind w:left="288"/>
      </w:pPr>
      <w:r>
        <w:rPr>
          <w:b/>
          <w:color w:val="003CA0"/>
          <w:sz w:val="16"/>
        </w:rPr>
        <w:t>[RE 1.415.115 RG, rel. min. Alexandre de Moraes, j. 6-2-2026, P, DJE de 2-3-2026, Tema 1.423, com mérito pendente.]</w:t>
      </w:r>
    </w:p>
    <w:p>
      <w:pPr>
        <w:ind w:left="288"/>
      </w:pPr>
      <w:r>
        <w:rPr>
          <w:color w:val="8C8C8C"/>
          <w:sz w:val="12"/>
        </w:rPr>
        <w:t>cf-art-202</w:t>
      </w:r>
      <w:r>
        <w:rPr>
          <w:color w:val="003CA0"/>
          <w:sz w:val="12"/>
        </w:rPr>
        <w:t xml:space="preserve"> | RE 722.528</w:t>
      </w:r>
      <w:r>
        <w:rPr>
          <w:color w:val="003CA0"/>
          <w:sz w:val="12"/>
        </w:rPr>
        <w:t xml:space="preserve"> | rel. Dias Toffoli</w:t>
      </w:r>
    </w:p>
    <w:p>
      <w:pPr>
        <w:ind w:left="288"/>
      </w:pPr>
      <w:r>
        <w:rPr>
          <w:color w:val="1E1E1E"/>
          <w:sz w:val="18"/>
        </w:rPr>
        <w:t>“É constitucional a incidência de PIS e COFINS em relação a rendimentos auferidos em aplicações financeiras das entidades fechadas de previdência complementar (EFPC) “</w:t>
      </w:r>
    </w:p>
    <w:p>
      <w:pPr>
        <w:ind w:left="288"/>
      </w:pPr>
      <w:r>
        <w:rPr>
          <w:b/>
          <w:color w:val="003CA0"/>
          <w:sz w:val="16"/>
        </w:rPr>
        <w:t>[RE 722.528, rel. min. Dias Toffoli, red. do ac. min. Gilmar Mendes, j. 16.12.2024, P, DJE de 24.03.2025, Tema 1.280, com mérito julgado.]</w:t>
      </w:r>
    </w:p>
    <w:p>
      <w:pPr>
        <w:ind w:left="288"/>
      </w:pPr>
      <w:r>
        <w:rPr>
          <w:color w:val="8C8C8C"/>
          <w:sz w:val="12"/>
        </w:rPr>
        <w:t>cf-art-202</w:t>
      </w:r>
      <w:r>
        <w:rPr>
          <w:color w:val="003CA0"/>
          <w:sz w:val="12"/>
        </w:rPr>
        <w:t xml:space="preserve"> | ARE 1.481.694</w:t>
      </w:r>
      <w:r>
        <w:rPr>
          <w:color w:val="003CA0"/>
          <w:sz w:val="12"/>
        </w:rPr>
        <w:t xml:space="preserve"> | rel. Luís Roberto Barroso</w:t>
      </w:r>
    </w:p>
    <w:p>
      <w:pPr>
        <w:ind w:left="288"/>
      </w:pPr>
      <w:r>
        <w:rPr>
          <w:color w:val="1E1E1E"/>
          <w:sz w:val="18"/>
        </w:rPr>
        <w:t>“É infraconstitucional e pressupõe o exame de matéria fático-probatória a controvérsia sobre a responsabilidade de entidade gestora de fundo de previdência complementar pelo pagamento de benefício nos casos de falência da entidade patrocinadora ou de exaurimento da reserva pré-constituída”.</w:t>
      </w:r>
    </w:p>
    <w:p>
      <w:pPr>
        <w:ind w:left="288"/>
      </w:pPr>
      <w:r>
        <w:rPr>
          <w:b/>
          <w:color w:val="003CA0"/>
          <w:sz w:val="16"/>
        </w:rPr>
        <w:t>[ARE 1.481.694 RG, rel. min. Luís Roberto Barroso, j. 03.04.2024, P, DJE de 10.04.2024, Tema 1.296, com repercussão geral negada.]</w:t>
      </w:r>
    </w:p>
    <w:p>
      <w:pPr>
        <w:ind w:left="144"/>
      </w:pPr>
      <w:r>
        <w:rPr>
          <w:b/>
          <w:color w:val="B45A00"/>
          <w:sz w:val="16"/>
        </w:rPr>
        <w:t>REPERCUSSAO GERAL</w:t>
      </w:r>
    </w:p>
    <w:p>
      <w:pPr>
        <w:ind w:left="288"/>
      </w:pPr>
      <w:r>
        <w:rPr>
          <w:color w:val="8C8C8C"/>
          <w:sz w:val="12"/>
        </w:rPr>
        <w:t>cf-art-202</w:t>
      </w:r>
      <w:r>
        <w:rPr>
          <w:color w:val="003CA0"/>
          <w:sz w:val="12"/>
        </w:rPr>
        <w:t xml:space="preserve"> | RE 639.138</w:t>
      </w:r>
    </w:p>
    <w:p>
      <w:pPr>
        <w:ind w:left="288"/>
      </w:pPr>
      <w:r>
        <w:rPr>
          <w:color w:val="1E1E1E"/>
          <w:sz w:val="18"/>
        </w:rPr>
        <w:t>Revela-se inconstitucional, por violação ao princípio da isonomia (art. 5º, I, da Constituição da República), cláusula de contrato de previdência complementar que, ao prever regras distintas entre homens e mulheres para cálculo e concessão de complementação de aposentadoria, estabelece valor inferior do benefício para as mulheres, tendo em conta o seu menor tempo de contribuição.</w:t>
      </w:r>
    </w:p>
    <w:p>
      <w:pPr>
        <w:ind w:left="288"/>
      </w:pPr>
      <w:r>
        <w:rPr>
          <w:b/>
          <w:color w:val="003CA0"/>
          <w:sz w:val="16"/>
        </w:rPr>
        <w:t>[RE 639.138, red. do ac. min. Edson Fachin, j. 18-8-2020, P, DJE de 16-10-2020, Tema 452, com mérito julgado.]</w:t>
      </w:r>
    </w:p>
    <w:p>
      <w:pPr>
        <w:ind w:left="288"/>
      </w:pPr>
      <w:r>
        <w:rPr>
          <w:color w:val="8C8C8C"/>
          <w:sz w:val="12"/>
        </w:rPr>
        <w:t>cf-art-202</w:t>
      </w:r>
      <w:r>
        <w:rPr>
          <w:color w:val="003CA0"/>
          <w:sz w:val="12"/>
        </w:rPr>
        <w:t xml:space="preserve"> | RE 1.488.511</w:t>
      </w:r>
      <w:r>
        <w:rPr>
          <w:color w:val="003CA0"/>
          <w:sz w:val="12"/>
        </w:rPr>
        <w:t xml:space="preserve"> | rel. Flávio Dino</w:t>
      </w:r>
    </w:p>
    <w:p>
      <w:pPr>
        <w:ind w:left="288"/>
      </w:pPr>
      <w:r>
        <w:rPr>
          <w:color w:val="1E1E1E"/>
          <w:sz w:val="18"/>
        </w:rPr>
        <w:t>O princípio da isonomia material, conforme a tese do Tema 452, impõe que a aplicação das normas regulamentares dos planos de previdência complementar considere a correção de desigualdades estruturais, não sendo suficiente a mera igualdade formal se o efeito prático for a concessão de benefício inferior às mulheres em razão de seu menor tempo de contribuição. A previsão de cláusula contratual que desconsidera o tempo de contribuição reduzido constitucionalmente conferido às mulheres, resultando em benefício previdenciário inferior, configura violação direta à ratio decidendi do Tema 452.</w:t>
      </w:r>
    </w:p>
    <w:p>
      <w:pPr>
        <w:ind w:left="288"/>
      </w:pPr>
      <w:r>
        <w:rPr>
          <w:b/>
          <w:color w:val="003CA0"/>
          <w:sz w:val="16"/>
        </w:rPr>
        <w:t>[RE 1.488.511 AgR, rel. min. Flávio Dino, j. 01.09.2025, 1ª T, DJE de 07.10.2025.]</w:t>
      </w:r>
    </w:p>
    <w:p>
      <w:pPr>
        <w:ind w:left="144"/>
      </w:pPr>
      <w:r>
        <w:rPr>
          <w:b/>
          <w:color w:val="B45A00"/>
          <w:sz w:val="16"/>
        </w:rPr>
        <w:t>JULGADOS CORRELATOS</w:t>
      </w:r>
    </w:p>
    <w:p>
      <w:pPr>
        <w:ind w:left="288"/>
      </w:pPr>
      <w:r>
        <w:rPr>
          <w:color w:val="8C8C8C"/>
          <w:sz w:val="12"/>
        </w:rPr>
        <w:t>cf-art-202</w:t>
      </w:r>
      <w:r>
        <w:rPr>
          <w:color w:val="003CA0"/>
          <w:sz w:val="12"/>
        </w:rPr>
        <w:t xml:space="preserve"> | RE 482.207</w:t>
      </w:r>
      <w:r>
        <w:rPr>
          <w:color w:val="003CA0"/>
          <w:sz w:val="12"/>
        </w:rPr>
        <w:t xml:space="preserve"> | rel. Eros Grau</w:t>
      </w:r>
    </w:p>
    <w:p>
      <w:pPr>
        <w:ind w:left="288"/>
      </w:pPr>
      <w:r>
        <w:rPr>
          <w:color w:val="1E1E1E"/>
          <w:sz w:val="18"/>
        </w:rPr>
        <w:t>A faculdade que tem os interessados de aderirem a plano de previdência privada decorre de norma inserida no próprio Texto Constitucional (art. 202 da Constituição do Brasil/1988). Da não obrigatoriedade de adesão ao sistema de previdência privada decorre a possibilidade de os filiados desvincularem-se dos regimes de previdência complementar a que aderirem, especialmente porque a liberdade de associação comporta, em sua dimensão negativa, o direito de desfiliação, conforme já reconhecido pelo Supremo em outros julgados. Precedentes.</w:t>
      </w:r>
    </w:p>
    <w:p>
      <w:pPr>
        <w:ind w:left="288"/>
      </w:pPr>
      <w:r>
        <w:rPr>
          <w:b/>
          <w:color w:val="003CA0"/>
          <w:sz w:val="16"/>
        </w:rPr>
        <w:t>[RE 482.207 AgR, rel. min. Eros Grau, j. 12-5-2009, 2ª T, DJE de 29-5-2009.]</w:t>
      </w:r>
    </w:p>
    <w:p>
      <w:pPr>
        <w:ind w:left="288"/>
      </w:pPr>
      <w:r>
        <w:rPr>
          <w:color w:val="8C8C8C"/>
          <w:sz w:val="12"/>
        </w:rPr>
        <w:t>cf-art-202</w:t>
      </w:r>
      <w:r>
        <w:rPr>
          <w:color w:val="003CA0"/>
          <w:sz w:val="12"/>
        </w:rPr>
        <w:t xml:space="preserve"> | RE 772.765</w:t>
      </w:r>
      <w:r>
        <w:rPr>
          <w:color w:val="003CA0"/>
          <w:sz w:val="12"/>
        </w:rPr>
        <w:t xml:space="preserve"> | rel. Rosa Weber</w:t>
      </w:r>
    </w:p>
    <w:p>
      <w:pPr>
        <w:ind w:left="288"/>
      </w:pPr>
      <w:r>
        <w:rPr>
          <w:color w:val="1E1E1E"/>
          <w:sz w:val="18"/>
        </w:rPr>
        <w:t>= RE 772.765 AgR, rel. min. Rosa Weber, j. 24-1-2013, 1ª T, DJE de 5-9-2014 = RE 539.074 AgR, rel. min. Teori Zavascki, j. 18-8-2016, 2ª T, DJE de 6-9-2016</w:t>
      </w:r>
    </w:p>
    <w:p>
      <w:pPr>
        <w:ind w:left="288"/>
      </w:pPr>
      <w:r>
        <w:rPr>
          <w:color w:val="8C8C8C"/>
          <w:sz w:val="12"/>
        </w:rPr>
        <w:t>cf-art-202-par-1</w:t>
      </w:r>
    </w:p>
    <w:p>
      <w:pPr>
        <w:ind w:left="288"/>
      </w:pPr>
      <w:r>
        <w:rPr>
          <w:color w:val="1E1E1E"/>
          <w:sz w:val="18"/>
        </w:rPr>
        <w:t>§ 2° As contribuições do empregador, os benefícios e as condições contratuais previstas nos estatutos, regulamentos e planos de benefícios das entidades de previdência privada não integram o contrato de trabalho dos participantes, assim como, à exceção dos benefícios concedidos, não integram a remuneração dos participantes, nos termos da lei. (Redação da EC 20/1998) § 3º É vedado o aporte de recursos a entidade de previdência privada pela União, Estados, Distrito Federal e Municípios, suas autarquias, fundações, empresas públicas, sociedades de economia mista e outras entidades públicas, salvo</w:t>
      </w:r>
    </w:p>
    <w:p>
      <w:pPr>
        <w:ind w:left="288"/>
      </w:pPr>
      <w:r>
        <w:rPr>
          <w:color w:val="8C8C8C"/>
          <w:sz w:val="12"/>
        </w:rPr>
        <w:t>cf-art-202-par-1</w:t>
      </w:r>
      <w:r>
        <w:rPr>
          <w:color w:val="003CA0"/>
          <w:sz w:val="12"/>
        </w:rPr>
        <w:t xml:space="preserve"> | SL 164</w:t>
      </w:r>
      <w:r>
        <w:rPr>
          <w:color w:val="003CA0"/>
          <w:sz w:val="12"/>
        </w:rPr>
        <w:t xml:space="preserve"> | rel. Ellen Gracie</w:t>
      </w:r>
    </w:p>
    <w:p>
      <w:pPr>
        <w:ind w:left="288"/>
      </w:pPr>
      <w:r>
        <w:rPr>
          <w:color w:val="1E1E1E"/>
          <w:sz w:val="18"/>
        </w:rPr>
        <w:t>A imposição de imediato aporte de recursos a um sistema previdenciário fechado provoca lesão à ordem pública, considerada em termos de ordem econômica, por afronta ao disposto nos arts. 100 e 202, § 3º, da CF.</w:t>
      </w:r>
    </w:p>
    <w:p>
      <w:pPr>
        <w:ind w:left="288"/>
      </w:pPr>
      <w:r>
        <w:rPr>
          <w:b/>
          <w:color w:val="003CA0"/>
          <w:sz w:val="16"/>
        </w:rPr>
        <w:t>[SL 164 AgR, rel. min. Ellen Gracie, j. 16-4-2008, P, DJE de 13-6-2008.]</w:t>
      </w:r>
    </w:p>
    <w:p>
      <w:pPr>
        <w:ind w:left="288"/>
      </w:pPr>
      <w:r>
        <w:rPr>
          <w:color w:val="8C8C8C"/>
          <w:sz w:val="12"/>
        </w:rPr>
        <w:t>cf-art-202-par-1</w:t>
      </w:r>
      <w:r>
        <w:rPr>
          <w:color w:val="003CA0"/>
          <w:sz w:val="12"/>
        </w:rPr>
        <w:t xml:space="preserve"> | SL 129</w:t>
      </w:r>
      <w:r>
        <w:rPr>
          <w:color w:val="003CA0"/>
          <w:sz w:val="12"/>
        </w:rPr>
        <w:t xml:space="preserve"> | rel. Ellen Gracie</w:t>
      </w:r>
    </w:p>
    <w:p>
      <w:pPr>
        <w:ind w:left="288"/>
      </w:pPr>
      <w:r>
        <w:rPr>
          <w:color w:val="1E1E1E"/>
          <w:sz w:val="18"/>
        </w:rPr>
        <w:t>A imposição da continuidade de um sistema previdenciário fechado já em regime de liquidação extrajudicial provoca lesão à ordem administrativa por trazer inúmeras dificuldades à condução e à execução, pelo poder público, do próprio processo de liquidação.</w:t>
      </w:r>
    </w:p>
    <w:p>
      <w:pPr>
        <w:ind w:left="288"/>
      </w:pPr>
      <w:r>
        <w:rPr>
          <w:b/>
          <w:color w:val="003CA0"/>
          <w:sz w:val="16"/>
        </w:rPr>
        <w:t>[SL 129 AgR, rel. min. Ellen Gracie, j. 15-12-2006, P, DJ de 4-5-2007.]</w:t>
      </w:r>
    </w:p>
    <w:p>
      <w:pPr>
        <w:ind w:left="288"/>
      </w:pPr>
      <w:r>
        <w:rPr>
          <w:color w:val="8C8C8C"/>
          <w:sz w:val="12"/>
        </w:rPr>
        <w:t>cf-art-202-par-1</w:t>
      </w:r>
      <w:r>
        <w:rPr>
          <w:color w:val="003CA0"/>
          <w:sz w:val="12"/>
        </w:rPr>
        <w:t xml:space="preserve"> | SL 127</w:t>
      </w:r>
      <w:r>
        <w:rPr>
          <w:color w:val="003CA0"/>
          <w:sz w:val="12"/>
        </w:rPr>
        <w:t xml:space="preserve"> | rel. Gilmar Mendes</w:t>
      </w:r>
    </w:p>
    <w:p>
      <w:pPr>
        <w:ind w:left="288"/>
      </w:pPr>
      <w:r>
        <w:rPr>
          <w:color w:val="1E1E1E"/>
          <w:sz w:val="18"/>
        </w:rPr>
        <w:t>= SL 127 AgR-segundo, rel. min. Gilmar Mendes, j. 17-3-2010, P, DJE de 21-5-2010 § 4º Lei complementar disciplinará a relação entre a União, Estados, Distrito Federal ou Municípios, inclusive suas autarquias, fundações, sociedades de economia mista e empresas controladas direta ou indiretamente, enquanto patrocinadores de planos de benefícios previdenciários, e as entidades de previdência complementar. (Redação da EC 103/2019)</w:t>
      </w:r>
    </w:p>
    <w:p>
      <w:pPr>
        <w:ind w:left="144"/>
      </w:pPr>
      <w:r>
        <w:rPr>
          <w:b/>
          <w:color w:val="B45A00"/>
          <w:sz w:val="16"/>
        </w:rPr>
        <w:t>CONTROLE CONCENTRADO</w:t>
      </w:r>
    </w:p>
    <w:p>
      <w:pPr>
        <w:ind w:left="288"/>
      </w:pPr>
      <w:r>
        <w:rPr>
          <w:color w:val="8C8C8C"/>
          <w:sz w:val="12"/>
        </w:rPr>
        <w:t>cf-art-202-par-1</w:t>
      </w:r>
      <w:r>
        <w:rPr>
          <w:color w:val="003CA0"/>
          <w:sz w:val="12"/>
        </w:rPr>
        <w:t xml:space="preserve"> | ADI 3.948</w:t>
      </w:r>
      <w:r>
        <w:rPr>
          <w:color w:val="003CA0"/>
          <w:sz w:val="12"/>
        </w:rPr>
        <w:t xml:space="preserve"> | rel. Roberto Barroso</w:t>
      </w:r>
    </w:p>
    <w:p>
      <w:pPr>
        <w:ind w:left="288"/>
      </w:pPr>
      <w:r>
        <w:rPr>
          <w:color w:val="1E1E1E"/>
          <w:sz w:val="18"/>
        </w:rPr>
        <w:t>A Constituição prevê a criação de regimes de previdência complementar tanto para os segurados do regime geral (art. 202, CF) quanto para os servidores titulares de cargo efetivo, vinculados aos regimes próprios (art. 40, §§ 14 a 16, CF). Como exercentes de mandatos eletivos, os parlamentares não se inserem no regime próprio, mas, sim, no regime geral e, por isso, se submetem ao disposto no art. 202 da Carta Federal. A lei complementar que regula o regime de previdência privada, a que se refere o art. 202 e seu § 4º, destina-se à criação de regras e princípios gerais a que todos os regimes deve</w:t>
      </w:r>
    </w:p>
    <w:p>
      <w:pPr>
        <w:ind w:left="288"/>
      </w:pPr>
      <w:r>
        <w:rPr>
          <w:b/>
          <w:color w:val="003CA0"/>
          <w:sz w:val="16"/>
        </w:rPr>
        <w:t>[ADI 3.948, rel. min. Roberto Barroso, j. 15-4-2020, P, DJE de 5-10-2020.]</w:t>
      </w:r>
    </w:p>
    <w:p>
      <w:pPr>
        <w:ind w:left="288"/>
      </w:pPr>
      <w:r>
        <w:rPr>
          <w:color w:val="8C8C8C"/>
          <w:sz w:val="12"/>
        </w:rPr>
        <w:t>cf-art-202-par-5</w:t>
      </w:r>
    </w:p>
    <w:p>
      <w:pPr>
        <w:ind w:left="288"/>
      </w:pPr>
      <w:r>
        <w:rPr>
          <w:color w:val="1E1E1E"/>
          <w:sz w:val="18"/>
        </w:rPr>
        <w:t>§ 6º Lei complementar estabelecerá os requisitos para a designação dos membros das diretorias das entidades fechadas de previdência complementar instituídas pelos patrocinadores de que trata o § 4º e disciplinará a inserção dos participantes nos colegiados e instâncias de decisão em que seus interesses sejam objeto de discussão e deliberação. (Redação da EC 103/2019) Seção IV Da Assistência Social SUMÁRIO</w:t>
      </w:r>
    </w:p>
    <w:p>
      <w:pPr>
        <w:ind w:left="432"/>
      </w:pPr>
      <w:r>
        <w:rPr>
          <w:color w:val="003366"/>
          <w:sz w:val="18"/>
        </w:rPr>
        <w:t>§ 1 A lei complementar de que trata este artigo assegurará ao participante de pl</w:t>
      </w:r>
    </w:p>
    <w:p>
      <w:pPr>
        <w:ind w:left="432"/>
      </w:pPr>
      <w:r>
        <w:rPr>
          <w:color w:val="003366"/>
          <w:sz w:val="18"/>
        </w:rPr>
        <w:t>§ 2 As contribuições do empregador, os benefícios e as condições contratuais pre</w:t>
      </w:r>
    </w:p>
    <w:p>
      <w:pPr>
        <w:ind w:left="432"/>
      </w:pPr>
      <w:r>
        <w:rPr>
          <w:color w:val="003366"/>
          <w:sz w:val="18"/>
        </w:rPr>
        <w:t xml:space="preserve">§ 3 É vedado o aporte de recursos a entidade de previdência privada pela União, </w:t>
      </w:r>
    </w:p>
    <w:p>
      <w:pPr>
        <w:ind w:left="432"/>
      </w:pPr>
      <w:r>
        <w:rPr>
          <w:color w:val="003366"/>
          <w:sz w:val="18"/>
        </w:rPr>
        <w:t>§ 4 Lei complementar disciplinará a relação entre a União, Estados, Distrito Fed</w:t>
      </w:r>
    </w:p>
    <w:p>
      <w:pPr>
        <w:ind w:left="432"/>
      </w:pPr>
      <w:r>
        <w:rPr>
          <w:color w:val="003366"/>
          <w:sz w:val="18"/>
        </w:rPr>
        <w:t>§ 5 A lei complementar de que trata o § 4º aplicar-se-á, no que couber, às empre</w:t>
      </w:r>
    </w:p>
    <w:p>
      <w:pPr>
        <w:ind w:left="432"/>
      </w:pPr>
      <w:r>
        <w:rPr>
          <w:color w:val="003366"/>
          <w:sz w:val="18"/>
        </w:rPr>
        <w:t>§ 6 Lei complementar estabelecerá os requisitos para a designação dos membros da</w:t>
      </w:r>
    </w:p>
    <w:p>
      <w:pPr>
        <w:pStyle w:val="Heading3"/>
      </w:pPr>
      <w:r>
        <w:rPr>
          <w:color w:val="003366"/>
        </w:rPr>
        <w:t>Seção IV - DA ASSISTÊNCIA SOCIAL</w:t>
      </w:r>
    </w:p>
    <w:p>
      <w:r>
        <w:rPr>
          <w:b/>
          <w:color w:val="003366"/>
          <w:sz w:val="20"/>
        </w:rPr>
        <w:t>Art. 203 A assistência social será prestada a quem dela necessitar, independente</w:t>
      </w:r>
      <w:r>
        <w:rPr>
          <w:color w:val="8C8C8C"/>
          <w:sz w:val="14"/>
        </w:rPr>
        <w:t xml:space="preserve">  [9 decisoes]</w:t>
      </w:r>
    </w:p>
    <w:p>
      <w:pPr>
        <w:ind w:left="288"/>
      </w:pPr>
      <w:r>
        <w:rPr>
          <w:color w:val="8C8C8C"/>
          <w:sz w:val="12"/>
        </w:rPr>
        <w:t>cf-art-203</w:t>
      </w:r>
      <w:r>
        <w:rPr>
          <w:color w:val="003CA0"/>
          <w:sz w:val="12"/>
        </w:rPr>
        <w:t xml:space="preserve"> | RE 1.520.468</w:t>
      </w:r>
      <w:r>
        <w:rPr>
          <w:color w:val="003CA0"/>
          <w:sz w:val="12"/>
        </w:rPr>
        <w:t xml:space="preserve"> | rel. Flávio Dino</w:t>
      </w:r>
    </w:p>
    <w:p>
      <w:pPr>
        <w:ind w:left="288"/>
      </w:pPr>
      <w:r>
        <w:rPr>
          <w:color w:val="1E1E1E"/>
          <w:sz w:val="18"/>
        </w:rPr>
        <w:t>“1) Compete ao juízo estadual, no exercício da jurisdição criminal, especialmente aquele responsável pela aplicação da Lei nº 11.340/2006 (Lei Maria da Penha), fixar a medida protetiva prevista no art. 9º, § 2º, II, da referida lei, inclusive quanto à requisição de pagamento de prestação pecuniária em favor da vítima afastada do local de trabalho, ainda que o cumprimento material da decisão fique sob o encargo do INSS e do empregador; 2) Nos termos do que dispõe o art. 109, I, da Constituição Federal, compete à Justiça Federal processar e julgar as ações regressivas que, com fundamento no art.</w:t>
      </w:r>
    </w:p>
    <w:p>
      <w:pPr>
        <w:ind w:left="288"/>
      </w:pPr>
      <w:r>
        <w:rPr>
          <w:b/>
          <w:color w:val="003CA0"/>
          <w:sz w:val="16"/>
        </w:rPr>
        <w:t>[RE 1.520.468, rel. min. Flávio Dino, j. 16-12-2025, P, DJE de 3-2-2026, Tema 1.370, com mérito julgado.]</w:t>
      </w:r>
    </w:p>
    <w:p>
      <w:pPr>
        <w:ind w:left="288"/>
      </w:pPr>
      <w:r>
        <w:rPr>
          <w:color w:val="8C8C8C"/>
          <w:sz w:val="12"/>
        </w:rPr>
        <w:t>cf-art-203</w:t>
      </w:r>
      <w:r>
        <w:rPr>
          <w:color w:val="003CA0"/>
          <w:sz w:val="12"/>
        </w:rPr>
        <w:t xml:space="preserve"> | RE 1.532.265</w:t>
      </w:r>
      <w:r>
        <w:rPr>
          <w:color w:val="003CA0"/>
          <w:sz w:val="12"/>
        </w:rPr>
        <w:t xml:space="preserve"> | rel. Flávio Dino</w:t>
      </w:r>
    </w:p>
    <w:p>
      <w:pPr>
        <w:ind w:left="288"/>
      </w:pPr>
      <w:r>
        <w:rPr>
          <w:color w:val="1E1E1E"/>
          <w:sz w:val="18"/>
        </w:rPr>
        <w:t>O caso concreto revela situação excepcional de pessoa idosa com gravíssimas limitações de saúde, sem suporte familiar adequado e em lista de espera para acolhimento institucional desde 2022, o que impõe ao Poder Público o dever de assegurar o acolhimento em Instituição de Longa Permanência para Idosos (ILPI), de modo a dar concretude aos direitos fundamentais constantes dos artigos 203 e 230 da Constituição Federal. Não há afronta aos princípios da separação dos Poderes ou indevida interferência na discricionariedade do Poder Executivo, pois o Supremo Tribunal Federal possui jurisprudência con</w:t>
      </w:r>
    </w:p>
    <w:p>
      <w:pPr>
        <w:ind w:left="288"/>
      </w:pPr>
      <w:r>
        <w:rPr>
          <w:b/>
          <w:color w:val="003CA0"/>
          <w:sz w:val="16"/>
        </w:rPr>
        <w:t>[RE 1.532.265 AgR, rel. min. Flávio Dino, j. 13.10.2025, 1ª T, DJE de 21.10.2025.]</w:t>
      </w:r>
    </w:p>
    <w:p>
      <w:pPr>
        <w:ind w:left="144"/>
      </w:pPr>
      <w:r>
        <w:rPr>
          <w:b/>
          <w:color w:val="B45A00"/>
          <w:sz w:val="16"/>
        </w:rPr>
        <w:t>JULGADOS CORRELATOS</w:t>
      </w:r>
    </w:p>
    <w:p>
      <w:pPr>
        <w:ind w:left="288"/>
      </w:pPr>
      <w:r>
        <w:rPr>
          <w:color w:val="8C8C8C"/>
          <w:sz w:val="12"/>
        </w:rPr>
        <w:t>cf-art-203-inc-III</w:t>
      </w:r>
      <w:r>
        <w:rPr>
          <w:color w:val="003CA0"/>
          <w:sz w:val="12"/>
        </w:rPr>
        <w:t xml:space="preserve"> | ARE 1.369.122</w:t>
      </w:r>
      <w:r>
        <w:rPr>
          <w:color w:val="003CA0"/>
          <w:sz w:val="12"/>
        </w:rPr>
        <w:t xml:space="preserve"> | rel. Roberto Barroso</w:t>
      </w:r>
    </w:p>
    <w:p>
      <w:pPr>
        <w:ind w:left="288"/>
      </w:pPr>
      <w:r>
        <w:rPr>
          <w:color w:val="1E1E1E"/>
          <w:sz w:val="18"/>
        </w:rPr>
        <w:t>A instituição da contribuição ao SENAR se destina ao custeio das suas atividades de “organizar, administrar e executar em todo o território nacional o ensino da formação profissional rural e a promoção social do trabalhador rural”. Dessa forma, a finalidade primordial da contribuição não consiste em proteger o interesse da categoria dos empregadores rurais, mas sim em conferir recursos especificamente para o ensino profissional e o serviço social direcionados aos trabalhadores rurais, com vistas ao atendimento dos objetivos do art. 203, III, da Constituição Federal.</w:t>
      </w:r>
    </w:p>
    <w:p>
      <w:pPr>
        <w:ind w:left="288"/>
      </w:pPr>
      <w:r>
        <w:rPr>
          <w:b/>
          <w:color w:val="003CA0"/>
          <w:sz w:val="16"/>
        </w:rPr>
        <w:t>[ARE 1.369.122 AgR-segundo, rel. min. Roberto Barroso, j. 25-4-2023, 1ª T, DJE de 3-5-2023.]</w:t>
      </w:r>
    </w:p>
    <w:p>
      <w:pPr>
        <w:ind w:left="288"/>
      </w:pPr>
      <w:r>
        <w:rPr>
          <w:color w:val="8C8C8C"/>
          <w:sz w:val="12"/>
        </w:rPr>
        <w:t>cf-art-203-inc-IV</w:t>
      </w:r>
    </w:p>
    <w:p>
      <w:pPr>
        <w:ind w:left="288"/>
      </w:pPr>
      <w:r>
        <w:rPr>
          <w:color w:val="1E1E1E"/>
          <w:sz w:val="18"/>
        </w:rPr>
        <w:t>V - a garantia de um salário mínimo de benefício mensal à pessoa portadora de deficiência e ao idoso que comprovem não possuir meios de prover à própria manutenção ou de tê-la provida por sua família, conforme dispuser a lei.</w:t>
      </w:r>
    </w:p>
    <w:p>
      <w:pPr>
        <w:ind w:left="144"/>
      </w:pPr>
      <w:r>
        <w:rPr>
          <w:b/>
          <w:color w:val="B45A00"/>
          <w:sz w:val="16"/>
        </w:rPr>
        <w:t>REPERCUSSAO GERAL</w:t>
      </w:r>
    </w:p>
    <w:p>
      <w:pPr>
        <w:ind w:left="288"/>
      </w:pPr>
      <w:r>
        <w:rPr>
          <w:color w:val="8C8C8C"/>
          <w:sz w:val="12"/>
        </w:rPr>
        <w:t>cf-art-203-inc-IV</w:t>
      </w:r>
      <w:r>
        <w:rPr>
          <w:color w:val="003CA0"/>
          <w:sz w:val="12"/>
        </w:rPr>
        <w:t xml:space="preserve"> | RE 587.970</w:t>
      </w:r>
      <w:r>
        <w:rPr>
          <w:color w:val="003CA0"/>
          <w:sz w:val="12"/>
        </w:rPr>
        <w:t xml:space="preserve"> | rel. Marco Aurélio</w:t>
      </w:r>
    </w:p>
    <w:p>
      <w:pPr>
        <w:ind w:left="288"/>
      </w:pPr>
      <w:r>
        <w:rPr>
          <w:color w:val="1E1E1E"/>
          <w:sz w:val="18"/>
        </w:rPr>
        <w:t>A assistência social prevista no art. 203, V, da CF beneficia brasileiros natos, naturalizados e estrangeiros residentes no País, atendidos os requisitos constitucionais e legais.</w:t>
        <w:br/>
        <w:t>[RE 587.970, rel. min. Marco Aurélio, j. 20-4-2017, P, DJE de 22-9-2017, Tema 173, com mérito julgado.] Estatuto do Idoso dispõe, no art. 34, parágrafo único, que o benefício assistencial já concedido a qualquer membro da família não será computado para fins do cálculo da renda familiar per capita a que se refere a LOAS [Lei de Organização da Assistência Social]. Não exclusão dos benefícios assistenciais recebidos po</w:t>
      </w:r>
    </w:p>
    <w:p>
      <w:pPr>
        <w:ind w:left="288"/>
      </w:pPr>
      <w:r>
        <w:rPr>
          <w:b/>
          <w:color w:val="003CA0"/>
          <w:sz w:val="16"/>
        </w:rPr>
        <w:t>[RE 580.963, rel. min. Gilmar Mendes, j. 18-4-2013, P, DJE de 14-11-2013, Tema 312, com mérito julgado.]</w:t>
      </w:r>
    </w:p>
    <w:p>
      <w:pPr>
        <w:ind w:left="288"/>
      </w:pPr>
      <w:r>
        <w:rPr>
          <w:color w:val="8C8C8C"/>
          <w:sz w:val="12"/>
        </w:rPr>
        <w:t>cf-art-203-inc-IV</w:t>
      </w:r>
      <w:r>
        <w:rPr>
          <w:color w:val="003CA0"/>
          <w:sz w:val="12"/>
        </w:rPr>
        <w:t xml:space="preserve"> | RE 567.985</w:t>
      </w:r>
    </w:p>
    <w:p>
      <w:pPr>
        <w:ind w:left="288"/>
      </w:pPr>
      <w:r>
        <w:rPr>
          <w:color w:val="1E1E1E"/>
          <w:sz w:val="18"/>
        </w:rPr>
        <w:t>A Lei de Organização da Assistência Social (LOAS), ao regulamentar o art. 203, V, da Constituição da República, estabeleceu os critérios para que o benefício mensal de um salário mínimo seja concedido aos portadores de deficiência e aos idosos que comprovem não possuir meios de prover a própria manutenção ou de tê-la provida por sua família. (...) Declaração de inconstitucionalidade parcial, sem pronúncia de nulidade, do art. 20, § 3º, da Lei 8.742/1993.</w:t>
        <w:br/>
        <w:t>[RE 567.985, red. do ac. min.. Gilmar Mendes, j. 18-4-2013, P, DJE de 3-10-2013, Tema 27, com mérito julgado.]</w:t>
        <w:br/>
        <w:t xml:space="preserve">≠ ADI 1.232, red. do ac. min. </w:t>
      </w:r>
    </w:p>
    <w:p>
      <w:pPr>
        <w:ind w:left="144"/>
      </w:pPr>
      <w:r>
        <w:rPr>
          <w:b/>
          <w:color w:val="B45A00"/>
          <w:sz w:val="16"/>
        </w:rPr>
        <w:t>JULGADOS CORRELATOS</w:t>
      </w:r>
    </w:p>
    <w:p>
      <w:pPr>
        <w:ind w:left="288"/>
      </w:pPr>
      <w:r>
        <w:rPr>
          <w:color w:val="8C8C8C"/>
          <w:sz w:val="12"/>
        </w:rPr>
        <w:t>cf-art-203-inc-IV</w:t>
      </w:r>
      <w:r>
        <w:rPr>
          <w:color w:val="003CA0"/>
          <w:sz w:val="12"/>
        </w:rPr>
        <w:t xml:space="preserve"> | RE 401.127</w:t>
      </w:r>
      <w:r>
        <w:rPr>
          <w:color w:val="003CA0"/>
          <w:sz w:val="12"/>
        </w:rPr>
        <w:t xml:space="preserve"> | rel. Gilmar Mendes</w:t>
      </w:r>
    </w:p>
    <w:p>
      <w:pPr>
        <w:ind w:left="288"/>
      </w:pPr>
      <w:r>
        <w:rPr>
          <w:color w:val="1E1E1E"/>
          <w:sz w:val="18"/>
        </w:rPr>
        <w:t>Previdenciário. Renda mensal vitalícia. Art. 203, V, da CF. Dispositivo não autoaplicável, eficácia após edição da Lei 8.742, de 7-12-1993.</w:t>
      </w:r>
    </w:p>
    <w:p>
      <w:pPr>
        <w:ind w:left="288"/>
      </w:pPr>
      <w:r>
        <w:rPr>
          <w:b/>
          <w:color w:val="003CA0"/>
          <w:sz w:val="16"/>
        </w:rPr>
        <w:t>[RE 401.127 ED, rel. min. Gilmar Mendes, j. 30-11-2004, 2ª T, DJ de 17-12-2004.]</w:t>
      </w:r>
    </w:p>
    <w:p>
      <w:pPr>
        <w:ind w:left="288"/>
      </w:pPr>
      <w:r>
        <w:rPr>
          <w:color w:val="8C8C8C"/>
          <w:sz w:val="12"/>
        </w:rPr>
        <w:t>cf-art-203-inc-IV</w:t>
      </w:r>
      <w:r>
        <w:rPr>
          <w:color w:val="003CA0"/>
          <w:sz w:val="12"/>
        </w:rPr>
        <w:t xml:space="preserve"> | RE 214.427</w:t>
      </w:r>
      <w:r>
        <w:rPr>
          <w:color w:val="003CA0"/>
          <w:sz w:val="12"/>
        </w:rPr>
        <w:t xml:space="preserve"> | rel. Nelson Jobim</w:t>
      </w:r>
    </w:p>
    <w:p>
      <w:pPr>
        <w:ind w:left="288"/>
      </w:pPr>
      <w:r>
        <w:rPr>
          <w:color w:val="1E1E1E"/>
          <w:sz w:val="18"/>
        </w:rPr>
        <w:t>Embargos recebidos para explicitar que o inciso V do art. 203 da CF tornou-se de eficácia plena com o advento da Lei 8.742/1993.</w:t>
      </w:r>
    </w:p>
    <w:p>
      <w:pPr>
        <w:ind w:left="288"/>
      </w:pPr>
      <w:r>
        <w:rPr>
          <w:b/>
          <w:color w:val="003CA0"/>
          <w:sz w:val="16"/>
        </w:rPr>
        <w:t>[RE 214.427 AgR-ED-ED, rel. min. Nelson Jobim, j. 21-8-2001, 2ª T, DJ de 5-10-2001.]</w:t>
      </w:r>
    </w:p>
    <w:p>
      <w:pPr>
        <w:ind w:left="288"/>
      </w:pPr>
      <w:r>
        <w:rPr>
          <w:color w:val="8C8C8C"/>
          <w:sz w:val="12"/>
        </w:rPr>
        <w:t>cf-art-203-inc-IV</w:t>
      </w:r>
      <w:r>
        <w:rPr>
          <w:color w:val="003CA0"/>
          <w:sz w:val="12"/>
        </w:rPr>
        <w:t xml:space="preserve"> | RE 192.765</w:t>
      </w:r>
      <w:r>
        <w:rPr>
          <w:color w:val="003CA0"/>
          <w:sz w:val="12"/>
        </w:rPr>
        <w:t xml:space="preserve"> | rel. Ilmar Galvão</w:t>
      </w:r>
    </w:p>
    <w:p>
      <w:pPr>
        <w:ind w:left="288"/>
      </w:pPr>
      <w:r>
        <w:rPr>
          <w:color w:val="1E1E1E"/>
          <w:sz w:val="18"/>
        </w:rPr>
        <w:t>Procedência da alegação do Estado do Paraná de afronta ao art. 203, V, da CF, já que compete à União e não ao Estado a manutenção de benefício de prestação continuada à pessoa portadora de deficiência física.</w:t>
      </w:r>
    </w:p>
    <w:p>
      <w:pPr>
        <w:ind w:left="288"/>
      </w:pPr>
      <w:r>
        <w:rPr>
          <w:b/>
          <w:color w:val="003CA0"/>
          <w:sz w:val="16"/>
        </w:rPr>
        <w:t>[RE 192.765, rel. min. Ilmar Galvão, j. 20-4-1999, 1ª T, DJ de 13-8-1999.]</w:t>
      </w:r>
    </w:p>
    <w:p>
      <w:pPr>
        <w:ind w:left="720"/>
      </w:pPr>
      <w:r>
        <w:rPr>
          <w:color w:val="003366"/>
          <w:sz w:val="18"/>
        </w:rPr>
        <w:t>I – a proteção à família, à maternidade, à infância, à adolescência e à velhice;</w:t>
      </w:r>
    </w:p>
    <w:p>
      <w:pPr>
        <w:ind w:left="720"/>
      </w:pPr>
      <w:r>
        <w:rPr>
          <w:color w:val="003366"/>
          <w:sz w:val="18"/>
        </w:rPr>
        <w:t>II – o amparo às crianças e adolescentes carentes;</w:t>
      </w:r>
    </w:p>
    <w:p>
      <w:pPr>
        <w:ind w:left="720"/>
      </w:pPr>
      <w:r>
        <w:rPr>
          <w:color w:val="003366"/>
          <w:sz w:val="18"/>
        </w:rPr>
        <w:t>III – a promoção da integração ao mercado de trabalho;</w:t>
      </w:r>
    </w:p>
    <w:p>
      <w:pPr>
        <w:ind w:left="720"/>
      </w:pPr>
      <w:r>
        <w:rPr>
          <w:color w:val="003366"/>
          <w:sz w:val="18"/>
        </w:rPr>
        <w:t>IV – a habilitação e reabilitação das pessoas portadoras de deficiência e a prom</w:t>
      </w:r>
    </w:p>
    <w:p>
      <w:pPr>
        <w:ind w:left="720"/>
      </w:pPr>
      <w:r>
        <w:rPr>
          <w:color w:val="003366"/>
          <w:sz w:val="18"/>
        </w:rPr>
        <w:t>V – a garantia de um salário mínimo de benefício mensal à pessoa portadora de de</w:t>
      </w:r>
    </w:p>
    <w:p>
      <w:pPr>
        <w:ind w:left="720"/>
      </w:pPr>
      <w:r>
        <w:rPr>
          <w:color w:val="003366"/>
          <w:sz w:val="18"/>
        </w:rPr>
        <w:t>VI – a redução da vulnerabilidade socioeconômica de famílias em situação de pobr</w:t>
      </w:r>
    </w:p>
    <w:p>
      <w:r>
        <w:rPr>
          <w:b/>
          <w:color w:val="003366"/>
          <w:sz w:val="20"/>
        </w:rPr>
        <w:t xml:space="preserve">Art. 204 As ações governamentais na área da assistência social serão realizadas </w:t>
      </w:r>
      <w:r>
        <w:rPr>
          <w:color w:val="8C8C8C"/>
          <w:sz w:val="14"/>
        </w:rPr>
        <w:t xml:space="preserve">  [4 decisoes]</w:t>
      </w:r>
    </w:p>
    <w:p>
      <w:pPr>
        <w:ind w:left="288"/>
      </w:pPr>
      <w:r>
        <w:rPr>
          <w:color w:val="8C8C8C"/>
          <w:sz w:val="12"/>
        </w:rPr>
        <w:t>cf-art-204</w:t>
      </w:r>
    </w:p>
    <w:p>
      <w:pPr>
        <w:ind w:left="288"/>
      </w:pPr>
      <w:r>
        <w:rPr>
          <w:color w:val="1E1E1E"/>
          <w:sz w:val="18"/>
        </w:rPr>
        <w:t>I - descentralização político-administrativa, cabendo a coordenação e as normas gerais à esfera federal e a coordenação e a execução dos respectivos programas às esferas estadual e municipal, bem como a entidades beneficentes e de assistência social;</w:t>
      </w:r>
    </w:p>
    <w:p>
      <w:pPr>
        <w:ind w:left="144"/>
      </w:pPr>
      <w:r>
        <w:rPr>
          <w:b/>
          <w:color w:val="B45A00"/>
          <w:sz w:val="16"/>
        </w:rPr>
        <w:t>CONTROLE CONCENTRADO</w:t>
      </w:r>
    </w:p>
    <w:p>
      <w:pPr>
        <w:ind w:left="288"/>
      </w:pPr>
      <w:r>
        <w:rPr>
          <w:color w:val="8C8C8C"/>
          <w:sz w:val="12"/>
        </w:rPr>
        <w:t>cf-art-204-inc-II</w:t>
      </w:r>
      <w:r>
        <w:rPr>
          <w:color w:val="003CA0"/>
          <w:sz w:val="12"/>
        </w:rPr>
        <w:t xml:space="preserve"> | ADPF 622</w:t>
      </w:r>
      <w:r>
        <w:rPr>
          <w:color w:val="003CA0"/>
          <w:sz w:val="12"/>
        </w:rPr>
        <w:t xml:space="preserve"> | rel. Roberto Barroso</w:t>
      </w:r>
    </w:p>
    <w:p>
      <w:pPr>
        <w:ind w:left="288"/>
      </w:pPr>
      <w:r>
        <w:rPr>
          <w:color w:val="1E1E1E"/>
          <w:sz w:val="18"/>
        </w:rPr>
        <w:t>As novas regras que disciplinam o funcionamento do Conselho Nacional da Criança e do Adolescente - Conanda, a pretexto de regular, frustram a participação das entidades da sociedade civil na formulação de políticas públicas em favor de crianças e adolescentes e no controle da sua execução, como exigido pela Constituição. Tais regras contrariam norma constitucional expressa, que exige tal participação, e colocam em risco a proteção integral e prioritária da infância e da juventude (art. 227, caput e § 7º, e art. 204, II, CF).</w:t>
      </w:r>
    </w:p>
    <w:p>
      <w:pPr>
        <w:ind w:left="288"/>
      </w:pPr>
      <w:r>
        <w:rPr>
          <w:b/>
          <w:color w:val="003CA0"/>
          <w:sz w:val="16"/>
        </w:rPr>
        <w:t>[ADPF 622, rel. min. Roberto Barroso, j. 1º-3-2021, P, DJE de 21-5-2021.]</w:t>
      </w:r>
    </w:p>
    <w:p>
      <w:pPr>
        <w:ind w:left="288"/>
      </w:pPr>
      <w:r>
        <w:rPr>
          <w:color w:val="8C8C8C"/>
          <w:sz w:val="12"/>
        </w:rPr>
        <w:t>cf-art-204-inc-II</w:t>
      </w:r>
      <w:r>
        <w:rPr>
          <w:color w:val="003CA0"/>
          <w:sz w:val="12"/>
        </w:rPr>
        <w:t xml:space="preserve"> | ADI 244</w:t>
      </w:r>
      <w:r>
        <w:rPr>
          <w:color w:val="003CA0"/>
          <w:sz w:val="12"/>
        </w:rPr>
        <w:t xml:space="preserve"> | rel. Sepúlveda Pertence</w:t>
      </w:r>
    </w:p>
    <w:p>
      <w:pPr>
        <w:ind w:left="288"/>
      </w:pPr>
      <w:r>
        <w:rPr>
          <w:color w:val="1E1E1E"/>
          <w:sz w:val="18"/>
        </w:rPr>
        <w:t>Além das modalidades explícitas, mas espasmódicas, de democracia direta – o plebiscito, o referendo e a iniciativa popular (art. 14) –, a Constituição da República aventa oportunidades tópicas de participação popular na administração pública (v.g., art. 5º, XXXVIII e LXXIII; art. 29, XII e XIII; art. 37, § 3º; art. 74, § 2º; art. 187; art. 194, parágrafo único, VII; art. 204, II; art. 206, VI; art. 224).</w:t>
      </w:r>
    </w:p>
    <w:p>
      <w:pPr>
        <w:ind w:left="288"/>
      </w:pPr>
      <w:r>
        <w:rPr>
          <w:b/>
          <w:color w:val="003CA0"/>
          <w:sz w:val="16"/>
        </w:rPr>
        <w:t>[ADI 244, rel. min. Sepúlveda Pertence, j. 11-9-2002, P, DJ de 31-10-2002.]</w:t>
      </w:r>
    </w:p>
    <w:p>
      <w:pPr>
        <w:ind w:left="288"/>
      </w:pPr>
      <w:r>
        <w:rPr>
          <w:color w:val="8C8C8C"/>
          <w:sz w:val="12"/>
        </w:rPr>
        <w:t>cf-art-204-par-unico-inc-III</w:t>
      </w:r>
    </w:p>
    <w:p>
      <w:pPr>
        <w:ind w:left="288"/>
      </w:pPr>
      <w:r>
        <w:rPr>
          <w:color w:val="1E1E1E"/>
          <w:sz w:val="18"/>
        </w:rPr>
        <w:t>CAPÍTULO III Da Educação, da Cultura e do Desporto SUMÁRIO Seção I Da Educação SUMÁRIO</w:t>
      </w:r>
    </w:p>
    <w:p>
      <w:pPr>
        <w:ind w:left="720"/>
      </w:pPr>
      <w:r>
        <w:rPr>
          <w:color w:val="003366"/>
          <w:sz w:val="18"/>
        </w:rPr>
        <w:t xml:space="preserve">I – descentralização político-administrativa, cabendo a coordenação e as normas </w:t>
      </w:r>
    </w:p>
    <w:p>
      <w:pPr>
        <w:ind w:left="720"/>
      </w:pPr>
      <w:r>
        <w:rPr>
          <w:color w:val="003366"/>
          <w:sz w:val="18"/>
        </w:rPr>
        <w:t>II – participação da população, por meio de organizações representativas, na for</w:t>
      </w:r>
    </w:p>
    <w:p>
      <w:pPr>
        <w:ind w:left="720"/>
      </w:pPr>
      <w:r>
        <w:rPr>
          <w:color w:val="003366"/>
          <w:sz w:val="18"/>
        </w:rPr>
        <w:t>I – despesas com pessoal e encargos sociais; (Incluído pela Emenda Constituciona</w:t>
      </w:r>
    </w:p>
    <w:p>
      <w:pPr>
        <w:ind w:left="720"/>
      </w:pPr>
      <w:r>
        <w:rPr>
          <w:color w:val="003366"/>
          <w:sz w:val="18"/>
        </w:rPr>
        <w:t>II – serviço da dívida; (Incluído pela Emenda Constitucional nº 42, de 19.12.200</w:t>
      </w:r>
    </w:p>
    <w:p>
      <w:pPr>
        <w:ind w:left="720"/>
      </w:pPr>
      <w:r>
        <w:rPr>
          <w:color w:val="003366"/>
          <w:sz w:val="18"/>
        </w:rPr>
        <w:t>III – qualquer outra despesa corrente não vinculada diretamente aos investimento</w:t>
      </w:r>
    </w:p>
    <w:p>
      <w:pPr>
        <w:pStyle w:val="Heading2"/>
      </w:pPr>
      <w:r>
        <w:rPr>
          <w:color w:val="003366"/>
        </w:rPr>
        <w:t>CAPÍTULO III - DA EDUCAÇÃO, DA CULTURA E DO DESPORTO</w:t>
      </w:r>
    </w:p>
    <w:p>
      <w:pPr>
        <w:pStyle w:val="Heading3"/>
      </w:pPr>
      <w:r>
        <w:rPr>
          <w:color w:val="003366"/>
        </w:rPr>
        <w:t>Seção I - DA EDUCAÇÃO</w:t>
      </w:r>
    </w:p>
    <w:p>
      <w:r>
        <w:rPr>
          <w:b/>
          <w:color w:val="003366"/>
          <w:sz w:val="20"/>
        </w:rPr>
        <w:t>Art. 205 A educação, direito de todos e dever do Estado e da família, será promo</w:t>
      </w:r>
      <w:r>
        <w:rPr>
          <w:color w:val="8C8C8C"/>
          <w:sz w:val="14"/>
        </w:rPr>
        <w:t xml:space="preserve">  [16 decisoes]</w:t>
      </w:r>
    </w:p>
    <w:p>
      <w:pPr>
        <w:ind w:left="288"/>
      </w:pPr>
      <w:r>
        <w:rPr>
          <w:color w:val="8C8C8C"/>
          <w:sz w:val="12"/>
        </w:rPr>
        <w:t>cf-art-205</w:t>
      </w:r>
      <w:r>
        <w:rPr>
          <w:color w:val="003CA0"/>
          <w:sz w:val="12"/>
        </w:rPr>
        <w:t xml:space="preserve"> | ADI 4.927</w:t>
      </w:r>
      <w:r>
        <w:rPr>
          <w:color w:val="003CA0"/>
          <w:sz w:val="12"/>
        </w:rPr>
        <w:t xml:space="preserve"> | rel. Luiz Fux</w:t>
      </w:r>
    </w:p>
    <w:p>
      <w:pPr>
        <w:ind w:left="288"/>
      </w:pPr>
      <w:r>
        <w:rPr>
          <w:color w:val="1E1E1E"/>
          <w:sz w:val="18"/>
        </w:rPr>
        <w:t>É obra do legislador infraconstitucional, que criou esse instrumento de incentivo à educação, garantindo o efetivo acesso ao ensino, a inclusão das despesas de educação entre as parcelas dedutíveis da base de cálculo do imposto sobre a renda. A redução da carga tributária erige-se num estímulo para os indivíduos investirem na educação própria e de seus dependentes, efetivando-se o acesso ao direito garantido na Constituição. O direito à educação não implica um patamar específico de teto para dedução de despesas com educação na base de cálculo do imposto de renda. Do mesmo modo, a possibilidade</w:t>
      </w:r>
    </w:p>
    <w:p>
      <w:pPr>
        <w:ind w:left="288"/>
      </w:pPr>
      <w:r>
        <w:rPr>
          <w:b/>
          <w:color w:val="003CA0"/>
          <w:sz w:val="16"/>
        </w:rPr>
        <w:t>[ADI 4.927, rel. min. Luiz Fux, j. 24.03.2025, P, DJE de 14.05.2025.]</w:t>
      </w:r>
    </w:p>
    <w:p>
      <w:pPr>
        <w:ind w:left="144"/>
      </w:pPr>
      <w:r>
        <w:rPr>
          <w:b/>
          <w:color w:val="B45A00"/>
          <w:sz w:val="16"/>
        </w:rPr>
        <w:t>CONTROLE CONCENTRADO</w:t>
      </w:r>
    </w:p>
    <w:p>
      <w:pPr>
        <w:ind w:left="288"/>
      </w:pPr>
      <w:r>
        <w:rPr>
          <w:color w:val="8C8C8C"/>
          <w:sz w:val="12"/>
        </w:rPr>
        <w:t>cf-art-205</w:t>
      </w:r>
      <w:r>
        <w:rPr>
          <w:color w:val="003CA0"/>
          <w:sz w:val="12"/>
        </w:rPr>
        <w:t xml:space="preserve"> | ADI 5.668</w:t>
      </w:r>
      <w:r>
        <w:rPr>
          <w:color w:val="003CA0"/>
          <w:sz w:val="12"/>
        </w:rPr>
        <w:t xml:space="preserve"> | rel. Edson Fachin</w:t>
      </w:r>
    </w:p>
    <w:p>
      <w:pPr>
        <w:ind w:left="288"/>
      </w:pPr>
      <w:r>
        <w:rPr>
          <w:color w:val="1E1E1E"/>
          <w:sz w:val="18"/>
        </w:rPr>
        <w:t>O Estado Democrático de Direito é definido por um sentido expandido de igualdade. Entre os objetivos da República Federativa do Brasil, inscritos no art. 3º da Constituição Federal, materializa-se também o combate às desigualdades baseadas na construção social do gênero. O direito à educação, incluído em seu bojo a instrução pública e a privada, orienta-se para a consecução dos objetivos republicanos de liberdade e igualdade. É dever constitucional do Estado agir positivamente para a concretização de políticas públicas, incluídas as de cariz social e educativo, voltadas à promoção de igualdade</w:t>
      </w:r>
    </w:p>
    <w:p>
      <w:pPr>
        <w:ind w:left="288"/>
      </w:pPr>
      <w:r>
        <w:rPr>
          <w:b/>
          <w:color w:val="003CA0"/>
          <w:sz w:val="16"/>
        </w:rPr>
        <w:t>[ADPF 484, rel. min. Luiz Fux, j. 4-6-2020, P, DJE de 10-11-2020.]</w:t>
      </w:r>
    </w:p>
    <w:p>
      <w:pPr>
        <w:ind w:left="288"/>
      </w:pPr>
      <w:r>
        <w:rPr>
          <w:color w:val="8C8C8C"/>
          <w:sz w:val="12"/>
        </w:rPr>
        <w:t>cf-art-205</w:t>
      </w:r>
      <w:r>
        <w:rPr>
          <w:color w:val="003CA0"/>
          <w:sz w:val="12"/>
        </w:rPr>
        <w:t xml:space="preserve"> | ADI 5.752</w:t>
      </w:r>
      <w:r>
        <w:rPr>
          <w:color w:val="003CA0"/>
          <w:sz w:val="12"/>
        </w:rPr>
        <w:t xml:space="preserve"> | rel. Luiz Fux</w:t>
      </w:r>
    </w:p>
    <w:p>
      <w:pPr>
        <w:ind w:left="288"/>
      </w:pPr>
      <w:r>
        <w:rPr>
          <w:color w:val="1E1E1E"/>
          <w:sz w:val="18"/>
        </w:rPr>
        <w:t>O estagiário, diferentemente do empregado, tem como objetivo fundamental da sua jornada – seja perante entidade privada, seja em meio ao serviço público – agregar conhecimentos e desenvolver capacidades essenciais à sua inserção e progresso no mercado de trabalho e não contribuir, primordialmente, para o incremento de lucratividade/eficiência da instituição em que estagia. A Lei federal 11.788/2008 determina que o estágio não cria vínculo empregatício de qualquer natureza, observados os seguintes requisitos: (i) matrícula e frequência regular do educando em curso de educação superior, de educa</w:t>
      </w:r>
    </w:p>
    <w:p>
      <w:pPr>
        <w:ind w:left="288"/>
      </w:pPr>
      <w:r>
        <w:rPr>
          <w:b/>
          <w:color w:val="003CA0"/>
          <w:sz w:val="16"/>
        </w:rPr>
        <w:t>[ADI 5.752, rel. min. Luiz Fux, j. 18-10-2019, P, DJE de 4-11-2019.]</w:t>
      </w:r>
    </w:p>
    <w:p>
      <w:pPr>
        <w:ind w:left="288"/>
      </w:pPr>
      <w:r>
        <w:rPr>
          <w:color w:val="8C8C8C"/>
          <w:sz w:val="12"/>
        </w:rPr>
        <w:t>cf-art-205</w:t>
      </w:r>
      <w:r>
        <w:rPr>
          <w:color w:val="003CA0"/>
          <w:sz w:val="12"/>
        </w:rPr>
        <w:t xml:space="preserve"> | ADI 3.757</w:t>
      </w:r>
      <w:r>
        <w:rPr>
          <w:color w:val="003CA0"/>
          <w:sz w:val="12"/>
        </w:rPr>
        <w:t xml:space="preserve"> | rel. Dias Toffoli</w:t>
      </w:r>
    </w:p>
    <w:p>
      <w:pPr>
        <w:ind w:left="288"/>
      </w:pPr>
      <w:r>
        <w:rPr>
          <w:color w:val="1E1E1E"/>
          <w:sz w:val="18"/>
        </w:rPr>
        <w:t>É constitucional a norma estadual que assegura, no âmbito da educação superior: (i) a livre criação e a auto-organização de centros e diretórios acadêmicos, (ii) seu funcionamento no espaço físico da faculdade, (iii) a livre circulação das ideias por eles produzidas, (iv) o acesso dos seus membros às salas de aula e (v) a participação em órgãos colegiados, em observância aos mandamentos constitucionais da liberdade de associação (CF/1988, art. 5º, XVII), da promoção de uma educação plena e capacitadora para o exercício da cidadania (CF/1988, art. 205) e da gestão democrática da educação (CF/19</w:t>
      </w:r>
    </w:p>
    <w:p>
      <w:pPr>
        <w:ind w:left="288"/>
      </w:pPr>
      <w:r>
        <w:rPr>
          <w:b/>
          <w:color w:val="003CA0"/>
          <w:sz w:val="16"/>
        </w:rPr>
        <w:t>[ADI 3.757, rel. min. Dias Toffoli, j. 17-10-2018, P, DJE de 27-4-2020.]</w:t>
      </w:r>
    </w:p>
    <w:p>
      <w:pPr>
        <w:ind w:left="288"/>
      </w:pPr>
      <w:r>
        <w:rPr>
          <w:color w:val="8C8C8C"/>
          <w:sz w:val="12"/>
        </w:rPr>
        <w:t>cf-art-205</w:t>
      </w:r>
      <w:r>
        <w:rPr>
          <w:color w:val="003CA0"/>
          <w:sz w:val="12"/>
        </w:rPr>
        <w:t xml:space="preserve"> | ADI 2.163</w:t>
      </w:r>
    </w:p>
    <w:p>
      <w:pPr>
        <w:ind w:left="288"/>
      </w:pPr>
      <w:r>
        <w:rPr>
          <w:color w:val="1E1E1E"/>
          <w:sz w:val="18"/>
        </w:rPr>
        <w:t>Art. 1° da Lei 3.364/2000, do Estado do Rio de Janeiro. Meia-entrada. Concessão de desconto de 50% sobre o preço de ingressos para casas de diversões, praças disportivas e similares aos jovens de até 21 anos. (...) É legítima e adequada a atuação do Estado sobre o domínio econômico que visa garantir o efetivo exercício do direito à educação, à cultura e ao desporto, nos termos da Constituição Federal.</w:t>
      </w:r>
    </w:p>
    <w:p>
      <w:pPr>
        <w:ind w:left="288"/>
      </w:pPr>
      <w:r>
        <w:rPr>
          <w:b/>
          <w:color w:val="003CA0"/>
          <w:sz w:val="16"/>
        </w:rPr>
        <w:t>[ADI 2.163, red. do ac. min. Ricardo Lewandowski, j. 12-4-2018, P, DJE de 1º-8-2019.]</w:t>
      </w:r>
    </w:p>
    <w:p>
      <w:pPr>
        <w:ind w:left="288"/>
      </w:pPr>
      <w:r>
        <w:rPr>
          <w:color w:val="8C8C8C"/>
          <w:sz w:val="12"/>
        </w:rPr>
        <w:t>cf-art-205</w:t>
      </w:r>
      <w:r>
        <w:rPr>
          <w:color w:val="003CA0"/>
          <w:sz w:val="12"/>
        </w:rPr>
        <w:t xml:space="preserve"> | ADI 3.330</w:t>
      </w:r>
      <w:r>
        <w:rPr>
          <w:color w:val="003CA0"/>
          <w:sz w:val="12"/>
        </w:rPr>
        <w:t xml:space="preserve"> | rel. Ayres Britto</w:t>
      </w:r>
    </w:p>
    <w:p>
      <w:pPr>
        <w:ind w:left="288"/>
      </w:pPr>
      <w:r>
        <w:rPr>
          <w:color w:val="1E1E1E"/>
          <w:sz w:val="18"/>
        </w:rPr>
        <w:t xml:space="preserve">Programa Universidade para Todos (PROUNI). Ações afirmativas do Estado. Cumprimento do princípio constitucional da isonomia. (...) A educação, notadamente a escolar ou formal, é direito social que a todos deve alcançar. Por isso mesmo, dever do Estado e uma de suas políticas públicas de primeiríssima prioridade. A Lei 11.096/2005 não laborou no campo material reservado à lei complementar. Tratou, tão somente, de erigir um critério objetivo de contabilidade compensatória da aplicação financeira em gratuidade por parte das instituições educacionais. Critério que, se atendido, possibilita o gozo </w:t>
      </w:r>
    </w:p>
    <w:p>
      <w:pPr>
        <w:ind w:left="288"/>
      </w:pPr>
      <w:r>
        <w:rPr>
          <w:b/>
          <w:color w:val="003CA0"/>
          <w:sz w:val="16"/>
        </w:rPr>
        <w:t>[ADI 3.330, rel. min. Ayres Britto, j. 3-5-2012, P, DJE de 22-3-2013.]</w:t>
      </w:r>
    </w:p>
    <w:p>
      <w:pPr>
        <w:ind w:left="288"/>
      </w:pPr>
      <w:r>
        <w:rPr>
          <w:color w:val="8C8C8C"/>
          <w:sz w:val="12"/>
        </w:rPr>
        <w:t>cf-art-205</w:t>
      </w:r>
      <w:r>
        <w:rPr>
          <w:color w:val="003CA0"/>
          <w:sz w:val="12"/>
        </w:rPr>
        <w:t xml:space="preserve"> | ADI 1.864</w:t>
      </w:r>
    </w:p>
    <w:p>
      <w:pPr>
        <w:ind w:left="288"/>
      </w:pPr>
      <w:r>
        <w:rPr>
          <w:color w:val="1E1E1E"/>
          <w:sz w:val="18"/>
        </w:rPr>
        <w:t>O Paranaeducação é entidade instituída com o fim de auxiliar na gestão do Sistema Estadual de Educação, tendo como finalidades a prestação de apoio técnico, administrativo, financeiro e pedagógico, bem como o suprimento e aperfeiçoamento dos recursos humanos, administrativos e financeiros da Secretaria Estadual de Educação. Como se vê, o Paranaeducação tem atuação paralela à da Secretaria de Educação e com esta coopera, sendo mero auxiliar na execução da função pública – Educação. (...) Por fim, ao atribuir a uma entidade de direito privado, de maneira ampla, sem restrições ou limitações, a ge</w:t>
      </w:r>
    </w:p>
    <w:p>
      <w:pPr>
        <w:ind w:left="288"/>
      </w:pPr>
      <w:r>
        <w:rPr>
          <w:b/>
          <w:color w:val="003CA0"/>
          <w:sz w:val="16"/>
        </w:rPr>
        <w:t>[ADI 1.864, red. do ac. min. Joaquim Barbosa, j. 8-8-2007, P, DJE de 2-5-2008.]</w:t>
      </w:r>
    </w:p>
    <w:p>
      <w:pPr>
        <w:ind w:left="288"/>
      </w:pPr>
      <w:r>
        <w:rPr>
          <w:color w:val="8C8C8C"/>
          <w:sz w:val="12"/>
        </w:rPr>
        <w:t>cf-art-205</w:t>
      </w:r>
      <w:r>
        <w:rPr>
          <w:color w:val="003CA0"/>
          <w:sz w:val="12"/>
        </w:rPr>
        <w:t xml:space="preserve"> | RE 1.543.686</w:t>
      </w:r>
      <w:r>
        <w:rPr>
          <w:color w:val="003CA0"/>
          <w:sz w:val="12"/>
        </w:rPr>
        <w:t xml:space="preserve"> | rel. Luís Roberto Barroso</w:t>
      </w:r>
    </w:p>
    <w:p>
      <w:pPr>
        <w:ind w:left="288"/>
      </w:pPr>
      <w:r>
        <w:rPr>
          <w:color w:val="1E1E1E"/>
          <w:sz w:val="18"/>
        </w:rPr>
        <w:t>“É infraconstitucional a controvérsia sobre a juridicidade dos atos do Ministério da Educação sobre os requisitos e a oferta de financiamento estudantil pelo FIES”.</w:t>
      </w:r>
    </w:p>
    <w:p>
      <w:pPr>
        <w:ind w:left="288"/>
      </w:pPr>
      <w:r>
        <w:rPr>
          <w:b/>
          <w:color w:val="003CA0"/>
          <w:sz w:val="16"/>
        </w:rPr>
        <w:t>[RE 1.543.686 RG, rel. min. Luís Roberto Barroso, j. 24.06.2025, P, DJE de 02.07.2025, Tema 1.409, com repercussão geral negada.]</w:t>
      </w:r>
    </w:p>
    <w:p>
      <w:pPr>
        <w:ind w:left="144"/>
      </w:pPr>
      <w:r>
        <w:rPr>
          <w:b/>
          <w:color w:val="B45A00"/>
          <w:sz w:val="16"/>
        </w:rPr>
        <w:t>REPERCUSSAO GERAL</w:t>
      </w:r>
    </w:p>
    <w:p>
      <w:pPr>
        <w:ind w:left="288"/>
      </w:pPr>
      <w:r>
        <w:rPr>
          <w:color w:val="8C8C8C"/>
          <w:sz w:val="12"/>
        </w:rPr>
        <w:t>cf-art-205</w:t>
      </w:r>
      <w:r>
        <w:rPr>
          <w:color w:val="003CA0"/>
          <w:sz w:val="12"/>
        </w:rPr>
        <w:t xml:space="preserve"> | RE 1.008.166</w:t>
      </w:r>
      <w:r>
        <w:rPr>
          <w:color w:val="003CA0"/>
          <w:sz w:val="12"/>
        </w:rPr>
        <w:t xml:space="preserve"> | rel. Luiz Fux</w:t>
      </w:r>
    </w:p>
    <w:p>
      <w:pPr>
        <w:ind w:left="288"/>
      </w:pPr>
      <w:r>
        <w:rPr>
          <w:color w:val="1E1E1E"/>
          <w:sz w:val="18"/>
        </w:rPr>
        <w:t>A educação básica em todas as suas fases – educação infantil, ensino fundamental e ensino médio – constitui direito fundamental de todas as crianças e jovens, assegurado por normas constitucionais de eficácia plena e aplicabilidade direta e imediata. A educação infantil compreende creche (de zero a 3 anos) e a pré-escola (de 4 a 5 anos). Sua oferta pelo Poder Público pode ser exigida individualmente, como no caso examinado neste processo. O Poder Público tem o dever jurídico de dar efetividade integral às normas constitucionais sobre acesso à educação básica.</w:t>
        <w:br/>
        <w:t>[RE 1.008.166, rel. min. Luiz Fux,</w:t>
      </w:r>
    </w:p>
    <w:p>
      <w:pPr>
        <w:ind w:left="288"/>
      </w:pPr>
      <w:r>
        <w:rPr>
          <w:b/>
          <w:color w:val="003CA0"/>
          <w:sz w:val="16"/>
        </w:rPr>
        <w:t>[RE 888.815, red. do ac. min. Alexandre de Moraes, j. 12-9-2018, P, DJE de 21-3-2019, Tema 822, com mérito julgado.]</w:t>
      </w:r>
    </w:p>
    <w:p>
      <w:pPr>
        <w:ind w:left="288"/>
      </w:pPr>
      <w:r>
        <w:rPr>
          <w:color w:val="8C8C8C"/>
          <w:sz w:val="12"/>
        </w:rPr>
        <w:t>cf-art-205</w:t>
      </w:r>
      <w:r>
        <w:rPr>
          <w:color w:val="003CA0"/>
          <w:sz w:val="12"/>
        </w:rPr>
        <w:t xml:space="preserve"> | ARE 1.554.743</w:t>
      </w:r>
      <w:r>
        <w:rPr>
          <w:color w:val="003CA0"/>
          <w:sz w:val="12"/>
        </w:rPr>
        <w:t xml:space="preserve"> | rel. Dias Toffoli</w:t>
      </w:r>
    </w:p>
    <w:p>
      <w:pPr>
        <w:ind w:left="288"/>
      </w:pPr>
      <w:r>
        <w:rPr>
          <w:color w:val="1E1E1E"/>
          <w:sz w:val="18"/>
        </w:rPr>
        <w:t>Lei nº 7.386 do Município do Rio de Janeiro, de 26 de maio de 2022. Concessão de meia-entrada a professores de cursos preparatórios comunitários e/ou sociais em estabelecimentos que promovam lazer e entretenimento e estimulem a difusão cultural. (...) O discrímen adotado pelo legislador municipal no caso está plenamente justificado pela valorização dos profissionais da educação (arts. 6º e 205 da Constituição), aliada aos mandamentos constitucionais de promoção, fomento, apoio e incentivo, a serem adotados pelo Estado, à educação, à cultura e ao desporto (v.g. arts. 205, 215 e 217 da Constitui</w:t>
      </w:r>
    </w:p>
    <w:p>
      <w:pPr>
        <w:ind w:left="288"/>
      </w:pPr>
      <w:r>
        <w:rPr>
          <w:b/>
          <w:color w:val="003CA0"/>
          <w:sz w:val="16"/>
        </w:rPr>
        <w:t>[ARE 1.554.743 AgR, rel. min. Dias Toffoli, j. 15.09.2025, P, DJE de 08.10.2025.]</w:t>
      </w:r>
    </w:p>
    <w:p>
      <w:pPr>
        <w:ind w:left="144"/>
      </w:pPr>
      <w:r>
        <w:rPr>
          <w:b/>
          <w:color w:val="B45A00"/>
          <w:sz w:val="16"/>
        </w:rPr>
        <w:t>JULGADOS CORRELATOS</w:t>
      </w:r>
    </w:p>
    <w:p>
      <w:pPr>
        <w:ind w:left="288"/>
      </w:pPr>
      <w:r>
        <w:rPr>
          <w:color w:val="8C8C8C"/>
          <w:sz w:val="12"/>
        </w:rPr>
        <w:t>cf-art-205</w:t>
      </w:r>
      <w:r>
        <w:rPr>
          <w:color w:val="003CA0"/>
          <w:sz w:val="12"/>
        </w:rPr>
        <w:t xml:space="preserve"> | ARE 860.979</w:t>
      </w:r>
      <w:r>
        <w:rPr>
          <w:color w:val="003CA0"/>
          <w:sz w:val="12"/>
        </w:rPr>
        <w:t xml:space="preserve"> | rel. Gilmar Mendes</w:t>
      </w:r>
    </w:p>
    <w:p>
      <w:pPr>
        <w:ind w:left="288"/>
      </w:pPr>
      <w:r>
        <w:rPr>
          <w:color w:val="1E1E1E"/>
          <w:sz w:val="18"/>
        </w:rPr>
        <w:t>Educação de deficientes auditivos. Professores especializados em libras. Inadimplemento estatal de políticas públicas com previsão constitucional. Intervenção excepcional do Judiciário. (...) Cláusula da reserva do possível. Inoponibilidade. Núcleo de intangibilidade dos direitos fundamentais. Constitucionalidade e convencionalidade das políticas públicas de inserção dos portadores de necessidades especiais na sociedade.</w:t>
      </w:r>
    </w:p>
    <w:p>
      <w:pPr>
        <w:ind w:left="288"/>
      </w:pPr>
      <w:r>
        <w:rPr>
          <w:b/>
          <w:color w:val="003CA0"/>
          <w:sz w:val="16"/>
        </w:rPr>
        <w:t>[ARE 860.979 AgR, rel. min. Gilmar Mendes, j. 14-4-2015, 2ª T, DJE de 6-5-2015.]</w:t>
      </w:r>
    </w:p>
    <w:p>
      <w:pPr>
        <w:ind w:left="288"/>
      </w:pPr>
      <w:r>
        <w:rPr>
          <w:color w:val="8C8C8C"/>
          <w:sz w:val="12"/>
        </w:rPr>
        <w:t>cf-art-205</w:t>
      </w:r>
      <w:r>
        <w:rPr>
          <w:color w:val="003CA0"/>
          <w:sz w:val="12"/>
        </w:rPr>
        <w:t xml:space="preserve"> | RE 850.215</w:t>
      </w:r>
      <w:r>
        <w:rPr>
          <w:color w:val="003CA0"/>
          <w:sz w:val="12"/>
        </w:rPr>
        <w:t xml:space="preserve"> | rel. Cármen Lúcia</w:t>
      </w:r>
    </w:p>
    <w:p>
      <w:pPr>
        <w:ind w:left="288"/>
      </w:pPr>
      <w:r>
        <w:rPr>
          <w:color w:val="1E1E1E"/>
          <w:sz w:val="18"/>
        </w:rPr>
        <w:t>Ação civil pública. Implementação de políticas públicas. Obrigação de fazer: reforma de escola em situação precária. Possibilidade.</w:t>
      </w:r>
    </w:p>
    <w:p>
      <w:pPr>
        <w:ind w:left="288"/>
      </w:pPr>
      <w:r>
        <w:rPr>
          <w:b/>
          <w:color w:val="003CA0"/>
          <w:sz w:val="16"/>
        </w:rPr>
        <w:t>[RE 850.215 AgR, rel. min. Cármen Lúcia, j. 7-4-2015, 2ª T, DJE de 29-4-2015.]</w:t>
      </w:r>
    </w:p>
    <w:p>
      <w:pPr>
        <w:ind w:left="288"/>
      </w:pPr>
      <w:r>
        <w:rPr>
          <w:color w:val="8C8C8C"/>
          <w:sz w:val="12"/>
        </w:rPr>
        <w:t>cf-art-205</w:t>
      </w:r>
      <w:r>
        <w:rPr>
          <w:color w:val="003CA0"/>
          <w:sz w:val="12"/>
        </w:rPr>
        <w:t xml:space="preserve"> | ARE 661.288</w:t>
      </w:r>
      <w:r>
        <w:rPr>
          <w:color w:val="003CA0"/>
          <w:sz w:val="12"/>
        </w:rPr>
        <w:t xml:space="preserve"> | rel. Dias Toffoli</w:t>
      </w:r>
    </w:p>
    <w:p>
      <w:pPr>
        <w:ind w:left="288"/>
      </w:pPr>
      <w:r>
        <w:rPr>
          <w:color w:val="1E1E1E"/>
          <w:sz w:val="18"/>
        </w:rPr>
        <w:t xml:space="preserve">A Lei 2.600, de 8-7-2009, e o Decreto 2.716, de 28-12-2009, ambos do Município de Guararema, instituíram e regulamentaram o "cartão cidadão" como documento hábil e de porte obrigatório para acesso aos serviços públicos municipais de educação, saúde, esporte, lazer e assistência social. O programa foi instituído com intuito excludente e discriminatório, visando somente aos habitantes do Município, impondo, ainda, obstáculos aos próprios munícipes, caso não obtivessem o cartão ou não o detivessem quando do comparecimento perante os órgãos públicos. A política pública em questão trata de maneira </w:t>
      </w:r>
    </w:p>
    <w:p>
      <w:pPr>
        <w:ind w:left="288"/>
      </w:pPr>
      <w:r>
        <w:rPr>
          <w:b/>
          <w:color w:val="003CA0"/>
          <w:sz w:val="16"/>
        </w:rPr>
        <w:t>[ARE 661.288, rel. min. Dias Toffoli, j. 6-5-2014, 1ª T, DJE de 24-9-2014.]</w:t>
      </w:r>
    </w:p>
    <w:p>
      <w:pPr>
        <w:ind w:left="288"/>
      </w:pPr>
      <w:r>
        <w:rPr>
          <w:color w:val="8C8C8C"/>
          <w:sz w:val="12"/>
        </w:rPr>
        <w:t>cf-art-205</w:t>
      </w:r>
      <w:r>
        <w:rPr>
          <w:color w:val="003CA0"/>
          <w:sz w:val="12"/>
        </w:rPr>
        <w:t xml:space="preserve"> | STA 507</w:t>
      </w:r>
      <w:r>
        <w:rPr>
          <w:color w:val="003CA0"/>
          <w:sz w:val="12"/>
        </w:rPr>
        <w:t xml:space="preserve"> | rel. Cezar Peluso</w:t>
      </w:r>
    </w:p>
    <w:p>
      <w:pPr>
        <w:ind w:left="288"/>
      </w:pPr>
      <w:r>
        <w:rPr>
          <w:color w:val="1E1E1E"/>
          <w:sz w:val="18"/>
        </w:rPr>
        <w:t>Mudança de cidade durante o ano letivo pode implicar prejuízo a crianças em idade escolar, razão pela qual se posterga suspensão de decisão que determina lotação provisória, quando há outros servidores mais antigos com o mesmo interesse, para o fim das atividades escolares.</w:t>
      </w:r>
    </w:p>
    <w:p>
      <w:pPr>
        <w:ind w:left="288"/>
      </w:pPr>
      <w:r>
        <w:rPr>
          <w:b/>
          <w:color w:val="003CA0"/>
          <w:sz w:val="16"/>
        </w:rPr>
        <w:t>[STA 507 AgR, rel. min. Cezar Peluso, j. 19-5-2011, P, DJE de 6-6-2011.]</w:t>
      </w:r>
    </w:p>
    <w:p>
      <w:pPr>
        <w:ind w:left="288"/>
      </w:pPr>
      <w:r>
        <w:rPr>
          <w:color w:val="8C8C8C"/>
          <w:sz w:val="12"/>
        </w:rPr>
        <w:t>cf-art-205</w:t>
      </w:r>
      <w:r>
        <w:rPr>
          <w:color w:val="003CA0"/>
          <w:sz w:val="12"/>
        </w:rPr>
        <w:t xml:space="preserve"> | RE 594.018</w:t>
      </w:r>
      <w:r>
        <w:rPr>
          <w:color w:val="003CA0"/>
          <w:sz w:val="12"/>
        </w:rPr>
        <w:t xml:space="preserve"> | rel. Eros Grau</w:t>
      </w:r>
    </w:p>
    <w:p>
      <w:pPr>
        <w:ind w:left="288"/>
      </w:pPr>
      <w:r>
        <w:rPr>
          <w:color w:val="1E1E1E"/>
          <w:sz w:val="18"/>
        </w:rPr>
        <w:t>A educação é um direito fundamental e indisponível dos indivíduos. É dever do Estado propiciar meios que viabilizem o seu exercício. Dever a ele imposto pelo preceito veiculado pelo art. 205 da Constituição do Brasil. A omissão da administração importa afronta à Constituição.</w:t>
      </w:r>
    </w:p>
    <w:p>
      <w:pPr>
        <w:ind w:left="288"/>
      </w:pPr>
      <w:r>
        <w:rPr>
          <w:b/>
          <w:color w:val="003CA0"/>
          <w:sz w:val="16"/>
        </w:rPr>
        <w:t>[RE 594.018 AgR, rel. min. Eros Grau, j. 23-6-2009, 2ª T, DJE de 7-8-2009.]</w:t>
      </w:r>
    </w:p>
    <w:p>
      <w:pPr>
        <w:ind w:left="288"/>
      </w:pPr>
      <w:r>
        <w:rPr>
          <w:color w:val="8C8C8C"/>
          <w:sz w:val="12"/>
        </w:rPr>
        <w:t>cf-art-205</w:t>
      </w:r>
      <w:r>
        <w:rPr>
          <w:color w:val="003CA0"/>
          <w:sz w:val="12"/>
        </w:rPr>
        <w:t xml:space="preserve"> | AI 658.491</w:t>
      </w:r>
      <w:r>
        <w:rPr>
          <w:color w:val="003CA0"/>
          <w:sz w:val="12"/>
        </w:rPr>
        <w:t xml:space="preserve"> | rel. Dias Toffoli</w:t>
      </w:r>
    </w:p>
    <w:p>
      <w:pPr>
        <w:ind w:left="288"/>
      </w:pPr>
      <w:r>
        <w:rPr>
          <w:color w:val="1E1E1E"/>
          <w:sz w:val="18"/>
        </w:rPr>
        <w:t>= AI 658.491 AgR, rel. min. Dias Toffoli, j. 20-3-2012, 1ª T, DJE de 7-5-2012</w:t>
      </w:r>
    </w:p>
    <w:p>
      <w:r>
        <w:rPr>
          <w:b/>
          <w:color w:val="003366"/>
          <w:sz w:val="20"/>
        </w:rPr>
        <w:t>Art. 206 O ensino será ministrado com base nos seguintes princípios:</w:t>
      </w:r>
      <w:r>
        <w:rPr>
          <w:color w:val="8C8C8C"/>
          <w:sz w:val="14"/>
        </w:rPr>
        <w:t xml:space="preserve">  [28 decisoes]</w:t>
      </w:r>
    </w:p>
    <w:p>
      <w:pPr>
        <w:ind w:left="144"/>
      </w:pPr>
      <w:r>
        <w:rPr>
          <w:b/>
          <w:color w:val="B45A00"/>
          <w:sz w:val="16"/>
        </w:rPr>
        <w:t>CONTROLE CONCENTRADO</w:t>
      </w:r>
    </w:p>
    <w:p>
      <w:pPr>
        <w:ind w:left="288"/>
      </w:pPr>
      <w:r>
        <w:rPr>
          <w:color w:val="8C8C8C"/>
          <w:sz w:val="12"/>
        </w:rPr>
        <w:t>cf-art-206-inc-I</w:t>
      </w:r>
      <w:r>
        <w:rPr>
          <w:color w:val="003CA0"/>
          <w:sz w:val="12"/>
        </w:rPr>
        <w:t xml:space="preserve"> | ADI 3.324</w:t>
      </w:r>
      <w:r>
        <w:rPr>
          <w:color w:val="003CA0"/>
          <w:sz w:val="12"/>
        </w:rPr>
        <w:t xml:space="preserve"> | rel. Marco Aurélio</w:t>
      </w:r>
    </w:p>
    <w:p>
      <w:pPr>
        <w:ind w:left="288"/>
      </w:pPr>
      <w:r>
        <w:rPr>
          <w:color w:val="1E1E1E"/>
          <w:sz w:val="18"/>
        </w:rPr>
        <w:t>Universidade. Transferência obrigatória de aluno. Lei 9.536/1997. A constitucionalidade do art. 1º da Lei 9.536/1997, viabilizador da transferência de alunos, pressupõe a observância da natureza jurídica do estabelecimento educacional de origem, a congeneridade das instituições envolvidas – de privada para privada, de pública para pública –, mostrando-se inconstitucional interpretação que resulte na mesclagem – de privada para pública.</w:t>
      </w:r>
    </w:p>
    <w:p>
      <w:pPr>
        <w:ind w:left="288"/>
      </w:pPr>
      <w:r>
        <w:rPr>
          <w:b/>
          <w:color w:val="003CA0"/>
          <w:sz w:val="16"/>
        </w:rPr>
        <w:t>[ADI 3.324, rel. min. Marco Aurélio, j. 16-12-2004, P, DJ de 5-8-2005.]</w:t>
      </w:r>
    </w:p>
    <w:p>
      <w:pPr>
        <w:ind w:left="288"/>
      </w:pPr>
      <w:r>
        <w:rPr>
          <w:color w:val="8C8C8C"/>
          <w:sz w:val="12"/>
        </w:rPr>
        <w:t>cf-art-206-inc-I</w:t>
      </w:r>
      <w:r>
        <w:rPr>
          <w:color w:val="003CA0"/>
          <w:sz w:val="12"/>
        </w:rPr>
        <w:t xml:space="preserve"> | AI 858.241</w:t>
      </w:r>
      <w:r>
        <w:rPr>
          <w:color w:val="003CA0"/>
          <w:sz w:val="12"/>
        </w:rPr>
        <w:t xml:space="preserve"> | rel. Ricardo Lewandowski</w:t>
      </w:r>
    </w:p>
    <w:p>
      <w:pPr>
        <w:ind w:left="288"/>
      </w:pPr>
      <w:r>
        <w:rPr>
          <w:color w:val="1E1E1E"/>
          <w:sz w:val="18"/>
        </w:rPr>
        <w:t>= AI 858.241 AgR, rel. min. Ricardo Lewandowski, j. 10-12-2013, 2ª T, DJE de 3-2-2014 Vide RE 601.580, rel. min. Edson Fachin, j. 19-9-2018, P, DJE de 20-2-2020, Tema 57</w:t>
      </w:r>
    </w:p>
    <w:p>
      <w:pPr>
        <w:ind w:left="144"/>
      </w:pPr>
      <w:r>
        <w:rPr>
          <w:b/>
          <w:color w:val="B45A00"/>
          <w:sz w:val="16"/>
        </w:rPr>
        <w:t>JULGADOS CORRELATOS</w:t>
      </w:r>
    </w:p>
    <w:p>
      <w:pPr>
        <w:ind w:left="288"/>
      </w:pPr>
      <w:r>
        <w:rPr>
          <w:color w:val="8C8C8C"/>
          <w:sz w:val="12"/>
        </w:rPr>
        <w:t>cf-art-206-inc-I</w:t>
      </w:r>
      <w:r>
        <w:rPr>
          <w:color w:val="003CA0"/>
          <w:sz w:val="12"/>
        </w:rPr>
        <w:t xml:space="preserve"> | RE 464.217</w:t>
      </w:r>
      <w:r>
        <w:rPr>
          <w:color w:val="003CA0"/>
          <w:sz w:val="12"/>
        </w:rPr>
        <w:t xml:space="preserve"> | rel. Cezar Peluso</w:t>
      </w:r>
    </w:p>
    <w:p>
      <w:pPr>
        <w:ind w:left="288"/>
      </w:pPr>
      <w:r>
        <w:rPr>
          <w:color w:val="1E1E1E"/>
          <w:sz w:val="18"/>
        </w:rPr>
        <w:t>Policial militar. Remoção ex officio. Matrícula em instituição pública federal. Possibilidade. (...) O servidor público estadual, estudante de universidade pública do Estado, removido de ofício, pode ser matriculado em instituição congênere federal, caso não haja vaga na universidade de origem.</w:t>
      </w:r>
    </w:p>
    <w:p>
      <w:pPr>
        <w:ind w:left="288"/>
      </w:pPr>
      <w:r>
        <w:rPr>
          <w:b/>
          <w:color w:val="003CA0"/>
          <w:sz w:val="16"/>
        </w:rPr>
        <w:t>[RE 464.217 AgR, rel. min. Cezar Peluso, j. 7-8-2012, 2ª T, DJE de 20-8-2012.]</w:t>
      </w:r>
    </w:p>
    <w:p>
      <w:pPr>
        <w:ind w:left="288"/>
      </w:pPr>
      <w:r>
        <w:rPr>
          <w:color w:val="8C8C8C"/>
          <w:sz w:val="12"/>
        </w:rPr>
        <w:t>cf-art-206-inc-I</w:t>
      </w:r>
      <w:r>
        <w:rPr>
          <w:color w:val="003CA0"/>
          <w:sz w:val="12"/>
        </w:rPr>
        <w:t xml:space="preserve"> | RE 429.906</w:t>
      </w:r>
      <w:r>
        <w:rPr>
          <w:color w:val="003CA0"/>
          <w:sz w:val="12"/>
        </w:rPr>
        <w:t xml:space="preserve"> | rel. Eros Grau</w:t>
      </w:r>
    </w:p>
    <w:p>
      <w:pPr>
        <w:ind w:left="288"/>
      </w:pPr>
      <w:r>
        <w:rPr>
          <w:color w:val="1E1E1E"/>
          <w:sz w:val="18"/>
        </w:rPr>
        <w:t>O Supremo, ao analisar hipótese em que houvera conclusão de curso superior antes do trânsito em julgado da decisão em que se discutia a idoneidade do ato de matrícula do aluno, manifestou-se pela aplicação da teoria do fato consumado à espécie.</w:t>
      </w:r>
    </w:p>
    <w:p>
      <w:pPr>
        <w:ind w:left="288"/>
      </w:pPr>
      <w:r>
        <w:rPr>
          <w:b/>
          <w:color w:val="003CA0"/>
          <w:sz w:val="16"/>
        </w:rPr>
        <w:t>[RE 429.906 AgR, rel. min. Eros Grau, j. 19-8-2008, 2ª T, DJE de 12-9-2008.]</w:t>
      </w:r>
    </w:p>
    <w:p>
      <w:pPr>
        <w:ind w:left="288"/>
      </w:pPr>
      <w:r>
        <w:rPr>
          <w:color w:val="8C8C8C"/>
          <w:sz w:val="12"/>
        </w:rPr>
        <w:t>cf-art-206-inc-II</w:t>
      </w:r>
      <w:r>
        <w:rPr>
          <w:color w:val="003CA0"/>
          <w:sz w:val="12"/>
        </w:rPr>
        <w:t xml:space="preserve"> | ADPF 522</w:t>
      </w:r>
      <w:r>
        <w:rPr>
          <w:color w:val="003CA0"/>
          <w:sz w:val="12"/>
        </w:rPr>
        <w:t xml:space="preserve"> | rel. Marco Aurélio</w:t>
      </w:r>
    </w:p>
    <w:p>
      <w:pPr>
        <w:ind w:left="288"/>
      </w:pPr>
      <w:r>
        <w:rPr>
          <w:color w:val="1E1E1E"/>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w:t>
      </w:r>
    </w:p>
    <w:p>
      <w:pPr>
        <w:ind w:left="288"/>
      </w:pPr>
      <w:r>
        <w:rPr>
          <w:b/>
          <w:color w:val="003CA0"/>
          <w:sz w:val="16"/>
        </w:rPr>
        <w:t>[ADPF 522, rel. min. Marco Aurélio, red. do ac. min. Cristiano Zanin, j. 15-10-2025, P, DJE de 23-2-2026.]</w:t>
      </w:r>
    </w:p>
    <w:p>
      <w:pPr>
        <w:ind w:left="288"/>
      </w:pPr>
      <w:r>
        <w:rPr>
          <w:color w:val="8C8C8C"/>
          <w:sz w:val="12"/>
        </w:rPr>
        <w:t>cf-art-206-inc-II</w:t>
      </w:r>
      <w:r>
        <w:rPr>
          <w:color w:val="003CA0"/>
          <w:sz w:val="12"/>
        </w:rPr>
        <w:t xml:space="preserve"> | ADPF 1.151</w:t>
      </w:r>
      <w:r>
        <w:rPr>
          <w:color w:val="003CA0"/>
          <w:sz w:val="12"/>
        </w:rPr>
        <w:t xml:space="preserve"> | rel. Dias Toffoli</w:t>
      </w:r>
    </w:p>
    <w:p>
      <w:pPr>
        <w:ind w:left="288"/>
      </w:pPr>
      <w:r>
        <w:rPr>
          <w:color w:val="1E1E1E"/>
          <w:sz w:val="18"/>
        </w:rP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Ademais, a Constituição de 1988, ao enumerar os objetivos da República Federativa do Brasil, acaba por det</w:t>
      </w:r>
    </w:p>
    <w:p>
      <w:pPr>
        <w:ind w:left="288"/>
      </w:pPr>
      <w:r>
        <w:rPr>
          <w:b/>
          <w:color w:val="003CA0"/>
          <w:sz w:val="16"/>
        </w:rPr>
        <w:t>[ADPF 1.151, rel. min. Dias Toffoli, j. 09.12.2024, P, DJE de 13.12.2024.]</w:t>
      </w:r>
    </w:p>
    <w:p>
      <w:pPr>
        <w:ind w:left="144"/>
      </w:pPr>
      <w:r>
        <w:rPr>
          <w:b/>
          <w:color w:val="B45A00"/>
          <w:sz w:val="16"/>
        </w:rPr>
        <w:t>CONTROLE CONCENTRADO</w:t>
      </w:r>
    </w:p>
    <w:p>
      <w:pPr>
        <w:ind w:left="288"/>
      </w:pPr>
      <w:r>
        <w:rPr>
          <w:color w:val="8C8C8C"/>
          <w:sz w:val="12"/>
        </w:rPr>
        <w:t>cf-art-206-inc-II</w:t>
      </w:r>
      <w:r>
        <w:rPr>
          <w:color w:val="003CA0"/>
          <w:sz w:val="12"/>
        </w:rPr>
        <w:t xml:space="preserve"> | ADI 5.537</w:t>
      </w:r>
      <w:r>
        <w:rPr>
          <w:color w:val="003CA0"/>
          <w:sz w:val="12"/>
        </w:rPr>
        <w:t xml:space="preserve"> | rel. Roberto Barroso</w:t>
      </w:r>
    </w:p>
    <w:p>
      <w:pPr>
        <w:ind w:left="288"/>
      </w:pPr>
      <w:r>
        <w:rPr>
          <w:color w:val="1E1E1E"/>
          <w:sz w:val="18"/>
        </w:rPr>
        <w:t>Programa Escola Livre. Lei estadual. (...) Inconstitucionalidades materiais da Lei 7.800/2016 do Estado de Alagoas: Violação do direito à educação com o alcance pleno e emancipatório que lhe confere a Constituição. Supressão de domínios inteiros do saber do universo escolar. Incompatibilidade entre o suposto dever de neutralidade, previsto na lei, e os princípios constitucionais da liberdade de ensinar, de aprender e do pluralismo de ideias (...). Vedações genéricas de conduta que, a pretexto de evitarem a doutrinação de alunos, podem gerar a perseguição de professores que não compartilhem das</w:t>
      </w:r>
    </w:p>
    <w:p>
      <w:pPr>
        <w:ind w:left="288"/>
      </w:pPr>
      <w:r>
        <w:rPr>
          <w:b/>
          <w:color w:val="003CA0"/>
          <w:sz w:val="16"/>
        </w:rPr>
        <w:t>[ADI 5.537, rel. min. Roberto Barroso, j. 24-8-2020, P, DJE de 17-9-2020.]</w:t>
      </w:r>
    </w:p>
    <w:p>
      <w:pPr>
        <w:ind w:left="288"/>
      </w:pPr>
      <w:r>
        <w:rPr>
          <w:color w:val="8C8C8C"/>
          <w:sz w:val="12"/>
        </w:rPr>
        <w:t>cf-art-206-inc-II</w:t>
      </w:r>
      <w:r>
        <w:rPr>
          <w:color w:val="003CA0"/>
          <w:sz w:val="12"/>
        </w:rPr>
        <w:t xml:space="preserve"> | ADPF 460</w:t>
      </w:r>
      <w:r>
        <w:rPr>
          <w:color w:val="003CA0"/>
          <w:sz w:val="12"/>
        </w:rPr>
        <w:t xml:space="preserve"> | rel. Luiz Fux</w:t>
      </w:r>
    </w:p>
    <w:p>
      <w:pPr>
        <w:ind w:left="288"/>
      </w:pPr>
      <w:r>
        <w:rPr>
          <w:color w:val="1E1E1E"/>
          <w:sz w:val="18"/>
        </w:rPr>
        <w:t>A vedação da abordagem dos temas de ‘gênero’ e de ‘orientação sexual’ no âmbito escolar viola os princípios da liberdade, enquanto pressuposto para a cidadania; da liberdade de ensinar e aprender; da valorização dos profissionais da educação escolar; da gestão democrática do ensino; do padrão de qualidade social do ensino; da livre manifestação do pensamento; e da livre expressão da atividade intelectual, artística, científica e de comunicação, independentemente de censura ou licença (artigos 1º, II e V; 5º, IV e IX; e 206, II, V, VI e VII, da Constituição Federal). (...) A neutralidade ideoló</w:t>
      </w:r>
    </w:p>
    <w:p>
      <w:pPr>
        <w:ind w:left="288"/>
      </w:pPr>
      <w:r>
        <w:rPr>
          <w:b/>
          <w:color w:val="003CA0"/>
          <w:sz w:val="16"/>
        </w:rPr>
        <w:t>[ADPF 460, rel. min. Luiz Fux, j. 29-6-2020, P, DJE de 13-8-2020.]</w:t>
      </w:r>
    </w:p>
    <w:p>
      <w:pPr>
        <w:ind w:left="288"/>
      </w:pPr>
      <w:r>
        <w:rPr>
          <w:color w:val="8C8C8C"/>
          <w:sz w:val="12"/>
        </w:rPr>
        <w:t>cf-art-206-inc-II</w:t>
      </w:r>
      <w:r>
        <w:rPr>
          <w:color w:val="003CA0"/>
          <w:sz w:val="12"/>
        </w:rPr>
        <w:t xml:space="preserve"> | ADPF 467</w:t>
      </w:r>
      <w:r>
        <w:rPr>
          <w:color w:val="003CA0"/>
          <w:sz w:val="12"/>
        </w:rPr>
        <w:t xml:space="preserve"> | rel. Gilmar Mendes</w:t>
      </w:r>
    </w:p>
    <w:p>
      <w:pPr>
        <w:ind w:left="288"/>
      </w:pPr>
      <w:r>
        <w:rPr>
          <w:color w:val="1E1E1E"/>
          <w:sz w:val="18"/>
        </w:rPr>
        <w:t>(...) artigos 2º, caput, e 3º, caput, da Lei 3.491, de 28 de agosto de 2015, do município de Ipatinga (MG), que excluem da política municipal de ensino qualquer referência à diversidade de gênero e orientação sexual. Legislação reproduzida por diversos outros municípios. (...) Direito à liberdade de ensino, ao pluralismo de ideais e concepções pedagógicas e ao fomento à liberdade e à tolerância. Diversidade de gênero e orientação sexual. Normas constitucionais e internacionais proibitivas da discriminação: Declaração Universal dos Direitos Humanos, Convenção Americana sobre Direitos Humanos, P</w:t>
      </w:r>
    </w:p>
    <w:p>
      <w:pPr>
        <w:ind w:left="288"/>
      </w:pPr>
      <w:r>
        <w:rPr>
          <w:b/>
          <w:color w:val="003CA0"/>
          <w:sz w:val="16"/>
        </w:rPr>
        <w:t>[ADPF 467, rel. min. Gilmar Mendes, j. 29-5-2020, P, DJE de 7-7-2020.]</w:t>
      </w:r>
    </w:p>
    <w:p>
      <w:pPr>
        <w:ind w:left="288"/>
      </w:pPr>
      <w:r>
        <w:rPr>
          <w:color w:val="8C8C8C"/>
          <w:sz w:val="12"/>
        </w:rPr>
        <w:t>cf-art-206-inc-II</w:t>
      </w:r>
      <w:r>
        <w:rPr>
          <w:color w:val="003CA0"/>
          <w:sz w:val="12"/>
        </w:rPr>
        <w:t xml:space="preserve"> | ADPF 457</w:t>
      </w:r>
      <w:r>
        <w:rPr>
          <w:color w:val="003CA0"/>
          <w:sz w:val="12"/>
        </w:rPr>
        <w:t xml:space="preserve"> | rel. Alexandre de Moraes</w:t>
      </w:r>
    </w:p>
    <w:p>
      <w:pPr>
        <w:ind w:left="288"/>
      </w:pPr>
      <w:r>
        <w:rPr>
          <w:color w:val="1E1E1E"/>
          <w:sz w:val="18"/>
        </w:rPr>
        <w:t xml:space="preserve">O exercício da jurisdição constitucional baseia-se na necessidade de respeito absoluto à Constituição Federal, havendo, na evolução das Democracias modernas, a imprescindível necessidade de proteger a efetividade dos direitos e garantias fundamentais, em especial das minorias. Regentes da ministração do ensino no País, os princípios atinentes à liberdade de aprender, ensinar, pesquisar e divulgar o pensamento, a arte e o saber (art. 206, II, CF) e ao pluralismo de ideias e de concepções pedagógicas (art. 206, III, CF), amplamente reconduzíveis à proibição da censura em atividades culturais em </w:t>
      </w:r>
    </w:p>
    <w:p>
      <w:pPr>
        <w:ind w:left="288"/>
      </w:pPr>
      <w:r>
        <w:rPr>
          <w:b/>
          <w:color w:val="003CA0"/>
          <w:sz w:val="16"/>
        </w:rPr>
        <w:t>[ADPF 457, rel. min. Alexandre de Moraes, j. 27-4-2020, P, DJE de 3-6-2020.]</w:t>
      </w:r>
    </w:p>
    <w:p>
      <w:pPr>
        <w:ind w:left="288"/>
      </w:pPr>
      <w:r>
        <w:rPr>
          <w:color w:val="8C8C8C"/>
          <w:sz w:val="12"/>
        </w:rPr>
        <w:t>cf-art-206-inc-III</w:t>
      </w:r>
      <w:r>
        <w:rPr>
          <w:color w:val="003CA0"/>
          <w:sz w:val="12"/>
        </w:rPr>
        <w:t xml:space="preserve"> | ADPF 522</w:t>
      </w:r>
      <w:r>
        <w:rPr>
          <w:color w:val="003CA0"/>
          <w:sz w:val="12"/>
        </w:rPr>
        <w:t xml:space="preserve"> | rel. Marco Aurélio</w:t>
      </w:r>
    </w:p>
    <w:p>
      <w:pPr>
        <w:ind w:left="288"/>
      </w:pPr>
      <w:r>
        <w:rPr>
          <w:color w:val="1E1E1E"/>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w:t>
      </w:r>
    </w:p>
    <w:p>
      <w:pPr>
        <w:ind w:left="288"/>
      </w:pPr>
      <w:r>
        <w:rPr>
          <w:b/>
          <w:color w:val="003CA0"/>
          <w:sz w:val="16"/>
        </w:rPr>
        <w:t>[ADPF 522, rel. min. Marco Aurélio, red. do ac. min. Cristiano Zanin, j. 15-10-2025, P, DJE de 23-2-2026.]</w:t>
      </w:r>
    </w:p>
    <w:p>
      <w:pPr>
        <w:ind w:left="288"/>
      </w:pPr>
      <w:r>
        <w:rPr>
          <w:color w:val="8C8C8C"/>
          <w:sz w:val="12"/>
        </w:rPr>
        <w:t>cf-art-206-inc-III</w:t>
      </w:r>
      <w:r>
        <w:rPr>
          <w:color w:val="003CA0"/>
          <w:sz w:val="12"/>
        </w:rPr>
        <w:t xml:space="preserve"> | ADPF 1.151</w:t>
      </w:r>
      <w:r>
        <w:rPr>
          <w:color w:val="003CA0"/>
          <w:sz w:val="12"/>
        </w:rPr>
        <w:t xml:space="preserve"> | rel. Dias Toffoli</w:t>
      </w:r>
    </w:p>
    <w:p>
      <w:pPr>
        <w:ind w:left="288"/>
      </w:pPr>
      <w:r>
        <w:rPr>
          <w:color w:val="1E1E1E"/>
          <w:sz w:val="18"/>
        </w:rP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Ademais, a Constituição de 1988, ao enumerar os objetivos da República Federativa do Brasil, acaba por det</w:t>
      </w:r>
    </w:p>
    <w:p>
      <w:pPr>
        <w:ind w:left="288"/>
      </w:pPr>
      <w:r>
        <w:rPr>
          <w:b/>
          <w:color w:val="003CA0"/>
          <w:sz w:val="16"/>
        </w:rPr>
        <w:t>[ADPF 1.151, rel. min. Dias Toffoli, j. 09.12.2024, P, DJE de 13.12.2024.]</w:t>
      </w:r>
    </w:p>
    <w:p>
      <w:pPr>
        <w:ind w:left="288"/>
      </w:pPr>
      <w:r>
        <w:rPr>
          <w:color w:val="8C8C8C"/>
          <w:sz w:val="12"/>
        </w:rPr>
        <w:t>cf-art-206-inc-III</w:t>
      </w:r>
      <w:r>
        <w:rPr>
          <w:color w:val="003CA0"/>
          <w:sz w:val="12"/>
        </w:rPr>
        <w:t xml:space="preserve"> | ADI 5.537</w:t>
      </w:r>
      <w:r>
        <w:rPr>
          <w:color w:val="003CA0"/>
          <w:sz w:val="12"/>
        </w:rPr>
        <w:t xml:space="preserve"> | rel. Roberto Barroso</w:t>
      </w:r>
    </w:p>
    <w:p>
      <w:pPr>
        <w:ind w:left="288"/>
      </w:pPr>
      <w:r>
        <w:rPr>
          <w:color w:val="1E1E1E"/>
          <w:sz w:val="18"/>
        </w:rPr>
        <w:t>Programa Escola Livre. Lei estadual. (...) Inconstitucionalidades materiais da Lei 7.800/2016 do Estado de Alagoas: Violação do direito à educação com o alcance pleno e emancipatório que lhe confere a Constituição. Supressão de domínios inteiros do saber do universo escolar. Incompatibilidade entre o suposto dever de neutralidade, previsto na lei, e os princípios constitucionais da liberdade de ensinar, de aprender e do pluralismo de ideias (...). Vedações genéricas de conduta que, a pretexto de evitarem a doutrinação de alunos, podem gerar a perseguição de professores que não compartilhem das</w:t>
      </w:r>
    </w:p>
    <w:p>
      <w:pPr>
        <w:ind w:left="288"/>
      </w:pPr>
      <w:r>
        <w:rPr>
          <w:b/>
          <w:color w:val="003CA0"/>
          <w:sz w:val="16"/>
        </w:rPr>
        <w:t>[ADI 5.537, rel. min. Roberto Barroso, j. 24-8-2020, P, DJE de 17-9-2020.]</w:t>
      </w:r>
    </w:p>
    <w:p>
      <w:pPr>
        <w:ind w:left="288"/>
      </w:pPr>
      <w:r>
        <w:rPr>
          <w:color w:val="8C8C8C"/>
          <w:sz w:val="12"/>
        </w:rPr>
        <w:t>cf-art-206-inc-III</w:t>
      </w:r>
      <w:r>
        <w:rPr>
          <w:color w:val="003CA0"/>
          <w:sz w:val="12"/>
        </w:rPr>
        <w:t xml:space="preserve"> | ADPF 467</w:t>
      </w:r>
      <w:r>
        <w:rPr>
          <w:color w:val="003CA0"/>
          <w:sz w:val="12"/>
        </w:rPr>
        <w:t xml:space="preserve"> | rel. Gilmar Mendes</w:t>
      </w:r>
    </w:p>
    <w:p>
      <w:pPr>
        <w:ind w:left="288"/>
      </w:pPr>
      <w:r>
        <w:rPr>
          <w:color w:val="1E1E1E"/>
          <w:sz w:val="18"/>
        </w:rPr>
        <w:t>(...) artigos 2º, caput, e 3º, caput, da Lei 3.491, de 28 de agosto de 2015, do município de Ipatinga (MG), que excluem da política municipal de ensino qualquer referência à diversidade de gênero e orientação sexual. Legislação reproduzida por diversos outros municípios. (...) Direito à liberdade de ensino, ao pluralismo de ideais e concepções pedagógicas e ao fomento à liberdade e à tolerância. Diversidade de gênero e orientação sexual. Normas constitucionais e internacionais proibitivas da discriminação: Declaração Universal dos Direitos Humanos, Convenção Americana sobre Direitos Humanos, P</w:t>
      </w:r>
    </w:p>
    <w:p>
      <w:pPr>
        <w:ind w:left="288"/>
      </w:pPr>
      <w:r>
        <w:rPr>
          <w:b/>
          <w:color w:val="003CA0"/>
          <w:sz w:val="16"/>
        </w:rPr>
        <w:t>[ADPF 467, rel. min. Gilmar Mendes, j. 29-5-2020, P, DJE de 7-7-2020.]</w:t>
      </w:r>
    </w:p>
    <w:p>
      <w:pPr>
        <w:ind w:left="288"/>
      </w:pPr>
      <w:r>
        <w:rPr>
          <w:color w:val="8C8C8C"/>
          <w:sz w:val="12"/>
        </w:rPr>
        <w:t>cf-art-206-inc-III</w:t>
      </w:r>
      <w:r>
        <w:rPr>
          <w:color w:val="003CA0"/>
          <w:sz w:val="12"/>
        </w:rPr>
        <w:t xml:space="preserve"> | ADPF 457</w:t>
      </w:r>
      <w:r>
        <w:rPr>
          <w:color w:val="003CA0"/>
          <w:sz w:val="12"/>
        </w:rPr>
        <w:t xml:space="preserve"> | rel. Alexandre de Moraes</w:t>
      </w:r>
    </w:p>
    <w:p>
      <w:pPr>
        <w:ind w:left="288"/>
      </w:pPr>
      <w:r>
        <w:rPr>
          <w:color w:val="1E1E1E"/>
          <w:sz w:val="18"/>
        </w:rPr>
        <w:t xml:space="preserve">O exercício da jurisdição constitucional baseia-se na necessidade de respeito absoluto à Constituição Federal, havendo, na evolução das Democracias modernas, a imprescindível necessidade de proteger a efetividade dos direitos e garantias fundamentais, em especial das minorias. Regentes da ministração do ensino no País, os princípios atinentes à liberdade de aprender, ensinar, pesquisar e divulgar o pensamento, a arte e o saber (art. 206, II, CF) e ao pluralismo de ideias e de concepções pedagógicas (art. 206, III, CF), amplamente reconduzíveis à proibição da censura em atividades culturais em </w:t>
      </w:r>
    </w:p>
    <w:p>
      <w:pPr>
        <w:ind w:left="288"/>
      </w:pPr>
      <w:r>
        <w:rPr>
          <w:b/>
          <w:color w:val="003CA0"/>
          <w:sz w:val="16"/>
        </w:rPr>
        <w:t>[ADPF 457, rel. min. Alexandre de Moraes, j. 27-4-2020, P, DJE de 3-6-2020.]</w:t>
      </w:r>
    </w:p>
    <w:p>
      <w:pPr>
        <w:ind w:left="144"/>
      </w:pPr>
      <w:r>
        <w:rPr>
          <w:b/>
          <w:color w:val="B45A00"/>
          <w:sz w:val="16"/>
        </w:rPr>
        <w:t>SUMULA VINCULANTE</w:t>
      </w:r>
    </w:p>
    <w:p>
      <w:pPr>
        <w:ind w:left="288"/>
      </w:pPr>
      <w:r>
        <w:rPr>
          <w:color w:val="8C8C8C"/>
          <w:sz w:val="12"/>
        </w:rPr>
        <w:t>cf-art-206-inc-IV</w:t>
      </w:r>
    </w:p>
    <w:p>
      <w:pPr>
        <w:ind w:left="288"/>
      </w:pPr>
      <w:r>
        <w:rPr>
          <w:color w:val="1E1E1E"/>
          <w:sz w:val="18"/>
        </w:rPr>
        <w:t>A cobrança de taxa de matrícula nas universidades públicas viola o disposto no art. 206, IV, da CF.</w:t>
      </w:r>
    </w:p>
    <w:p>
      <w:pPr>
        <w:ind w:left="288"/>
      </w:pPr>
      <w:r>
        <w:rPr>
          <w:b/>
          <w:color w:val="003CA0"/>
          <w:sz w:val="16"/>
        </w:rPr>
        <w:t>[Súmula Vinculante 12.]</w:t>
      </w:r>
    </w:p>
    <w:p>
      <w:pPr>
        <w:ind w:left="288"/>
      </w:pPr>
      <w:r>
        <w:rPr>
          <w:color w:val="8C8C8C"/>
          <w:sz w:val="12"/>
        </w:rPr>
        <w:t>cf-art-206-inc-IV</w:t>
      </w:r>
      <w:r>
        <w:rPr>
          <w:color w:val="003CA0"/>
          <w:sz w:val="12"/>
        </w:rPr>
        <w:t xml:space="preserve"> | ADI 7.561</w:t>
      </w:r>
      <w:r>
        <w:rPr>
          <w:color w:val="003CA0"/>
          <w:sz w:val="12"/>
        </w:rPr>
        <w:t xml:space="preserve"> | rel. Gilmar Mendes</w:t>
      </w:r>
    </w:p>
    <w:p>
      <w:pPr>
        <w:ind w:left="288"/>
      </w:pPr>
      <w:r>
        <w:rPr>
          <w:color w:val="1E1E1E"/>
          <w:sz w:val="18"/>
        </w:rPr>
        <w:t>Colégios Militares. Sujeição a regime jurídico sui generis. Instituições de ensino de natureza pública, a despeito de certas peculiaridades. Destinatários da política pública de reserva de vagas a que se refere a Lei 12.711/2012. Possibilidade de enquadramento dos alunos provenientes de colégios militares. (...) A Lei 9.394/1996 (Lei de Diretrizes e Bases da Educação Nacional), ao dispor sobre a classificação das instituições de ensino, elenca as seguintes categorias: (i) públicas, assim compreendidas as criadas ou incorporadas, mantidas e administradas pelo Poder Público (art. 19, I); (ii) pr</w:t>
      </w:r>
    </w:p>
    <w:p>
      <w:pPr>
        <w:ind w:left="288"/>
      </w:pPr>
      <w:r>
        <w:rPr>
          <w:b/>
          <w:color w:val="003CA0"/>
          <w:sz w:val="16"/>
        </w:rPr>
        <w:t>[ADI 7.561, rel. min. Gilmar Mendes, j. 18.06.2025, P, DJE de 01.08.2025.</w:t>
      </w:r>
    </w:p>
    <w:p>
      <w:pPr>
        <w:ind w:left="144"/>
      </w:pPr>
      <w:r>
        <w:rPr>
          <w:b/>
          <w:color w:val="B45A00"/>
          <w:sz w:val="16"/>
        </w:rPr>
        <w:t>CONTROLE CONCENTRADO</w:t>
      </w:r>
    </w:p>
    <w:p>
      <w:pPr>
        <w:ind w:left="288"/>
      </w:pPr>
      <w:r>
        <w:rPr>
          <w:color w:val="8C8C8C"/>
          <w:sz w:val="12"/>
        </w:rPr>
        <w:t>cf-art-206-inc-IV</w:t>
      </w:r>
      <w:r>
        <w:rPr>
          <w:color w:val="003CA0"/>
          <w:sz w:val="12"/>
        </w:rPr>
        <w:t xml:space="preserve"> | ADI 5.082</w:t>
      </w:r>
      <w:r>
        <w:rPr>
          <w:color w:val="003CA0"/>
          <w:sz w:val="12"/>
        </w:rPr>
        <w:t xml:space="preserve"> | rel. Edson Fachin</w:t>
      </w:r>
    </w:p>
    <w:p>
      <w:pPr>
        <w:ind w:left="288"/>
      </w:pPr>
      <w:r>
        <w:rPr>
          <w:color w:val="1E1E1E"/>
          <w:sz w:val="18"/>
        </w:rPr>
        <w:t>Os Colégios Militares, integrantes do Sistema de Ensino do Exército e instituição secular da vida social brasileira, possuem peculiaridades aptas a diferenciá-los dos estabelecimentos oficiais de ensino e qualificá-los como instituições educacionais sui generis, por razões éticas, fiscais, legais e institucionais. A quota mensal escolar nos Colégios Militares não representa ofensa à regra constitucional de gratuidade do ensino público, uma vez que não há ofensa concreta ou potencial ao núcleo de intangibilidade do direito fundamental à educação. A contribuição dos alunos para o custeio das ati</w:t>
      </w:r>
    </w:p>
    <w:p>
      <w:pPr>
        <w:ind w:left="144"/>
      </w:pPr>
      <w:r>
        <w:rPr>
          <w:b/>
          <w:color w:val="B45A00"/>
          <w:sz w:val="16"/>
        </w:rPr>
        <w:t>REPERCUSSAO GERAL</w:t>
      </w:r>
    </w:p>
    <w:p>
      <w:pPr>
        <w:ind w:left="288"/>
      </w:pPr>
      <w:r>
        <w:rPr>
          <w:color w:val="8C8C8C"/>
          <w:sz w:val="12"/>
        </w:rPr>
        <w:t>cf-art-206-inc-IV</w:t>
      </w:r>
      <w:r>
        <w:rPr>
          <w:color w:val="003CA0"/>
          <w:sz w:val="12"/>
        </w:rPr>
        <w:t xml:space="preserve"> | RE 597.854</w:t>
      </w:r>
      <w:r>
        <w:rPr>
          <w:color w:val="003CA0"/>
          <w:sz w:val="12"/>
        </w:rPr>
        <w:t xml:space="preserve"> | rel. Edson Fachin</w:t>
      </w:r>
    </w:p>
    <w:p>
      <w:pPr>
        <w:ind w:left="288"/>
      </w:pPr>
      <w:r>
        <w:rPr>
          <w:color w:val="1E1E1E"/>
          <w:sz w:val="18"/>
        </w:rPr>
        <w:t>A garantia constitucional da gratuidade de ensino não obsta a cobrança, por universidades públicas, de mensalidade em curso de especialização.</w:t>
        <w:br/>
        <w:t>[RE 597.854, rel. min. Edson Fachin, j. 26-4-2017, P, DJE de 21-9-2017, Tema 535, com mérito julgado.]</w:t>
        <w:br/>
        <w:t>Vide RE 500.171, rel. min. Ricardo Lewandowski, j. 13-8-2008, P, DJE de 24-10-2008, Tema 40, com mérito julgado Modulação dos efeitos da decisão que declarou a inconstitucionalidade da cobrança da taxa de matrícula nas universidades públicas a partir da edição da Súmula Vinculante 12, ressalvado o direito daqueles que já haviam ajuizado ações com o mes</w:t>
      </w:r>
    </w:p>
    <w:p>
      <w:pPr>
        <w:ind w:left="144"/>
      </w:pPr>
      <w:r>
        <w:rPr>
          <w:b/>
          <w:color w:val="B45A00"/>
          <w:sz w:val="16"/>
        </w:rPr>
        <w:t>JULGADOS CORRELATOS</w:t>
      </w:r>
    </w:p>
    <w:p>
      <w:pPr>
        <w:ind w:left="288"/>
      </w:pPr>
      <w:r>
        <w:rPr>
          <w:color w:val="8C8C8C"/>
          <w:sz w:val="12"/>
        </w:rPr>
        <w:t>cf-art-206-inc-IV</w:t>
      </w:r>
      <w:r>
        <w:rPr>
          <w:color w:val="003CA0"/>
          <w:sz w:val="12"/>
        </w:rPr>
        <w:t xml:space="preserve"> | RE 357.148</w:t>
      </w:r>
      <w:r>
        <w:rPr>
          <w:color w:val="003CA0"/>
          <w:sz w:val="12"/>
        </w:rPr>
        <w:t xml:space="preserve"> | rel. Marco Aurélio</w:t>
      </w:r>
    </w:p>
    <w:p>
      <w:pPr>
        <w:ind w:left="288"/>
      </w:pPr>
      <w:r>
        <w:rPr>
          <w:color w:val="1E1E1E"/>
          <w:sz w:val="18"/>
        </w:rPr>
        <w:t>Ante o teor dos arts. 206, IV, e 208, VI, da Carta de 1988, descabe à instituição pública de ensino profissionalizante a cobrança de anuidade relativa à alimentação.</w:t>
      </w:r>
    </w:p>
    <w:p>
      <w:pPr>
        <w:ind w:left="288"/>
      </w:pPr>
      <w:r>
        <w:rPr>
          <w:b/>
          <w:color w:val="003CA0"/>
          <w:sz w:val="16"/>
        </w:rPr>
        <w:t>[RE 357.148, rel. min. Marco Aurélio, j. 27-11-2013, 1ª T, DJE de 28-3-2014.]</w:t>
      </w:r>
    </w:p>
    <w:p>
      <w:pPr>
        <w:ind w:left="288"/>
      </w:pPr>
      <w:r>
        <w:rPr>
          <w:color w:val="8C8C8C"/>
          <w:sz w:val="12"/>
        </w:rPr>
        <w:t>cf-art-206-inc-IV</w:t>
      </w:r>
    </w:p>
    <w:p>
      <w:pPr>
        <w:ind w:left="288"/>
      </w:pPr>
      <w:r>
        <w:rPr>
          <w:color w:val="1E1E1E"/>
          <w:sz w:val="18"/>
        </w:rPr>
        <w:t>V - valorização dos profissionais da educação escolar, garantidos, na forma da lei, planos de carreira, com ingresso exclusivamente por concurso público de provas e títulos, aos das redes públicas; (Redação da EC 53/2006)</w:t>
      </w:r>
    </w:p>
    <w:p>
      <w:pPr>
        <w:ind w:left="288"/>
      </w:pPr>
      <w:r>
        <w:rPr>
          <w:color w:val="8C8C8C"/>
          <w:sz w:val="12"/>
        </w:rPr>
        <w:t>cf-art-206-inc-IV</w:t>
      </w:r>
      <w:r>
        <w:rPr>
          <w:color w:val="003CA0"/>
          <w:sz w:val="12"/>
        </w:rPr>
        <w:t xml:space="preserve"> | AI 710.664</w:t>
      </w:r>
      <w:r>
        <w:rPr>
          <w:color w:val="003CA0"/>
          <w:sz w:val="12"/>
        </w:rPr>
        <w:t xml:space="preserve"> | rel. Eros Grau</w:t>
      </w:r>
    </w:p>
    <w:p>
      <w:pPr>
        <w:ind w:left="288"/>
      </w:pPr>
      <w:r>
        <w:rPr>
          <w:color w:val="1E1E1E"/>
          <w:sz w:val="18"/>
        </w:rPr>
        <w:t>Magistério superior. Professor titular. Provimento por meio de concurso público de provas e títulos. O art. 206, V, da Constituição, embora não tenha repetido a exigência do art. 176, § 3º, VI, da Constituição do Brasil/1969, não impede que a lei estabeleça, para o magistério superior, além da carreira que vai de professor auxiliar até professor adjunto, o cargo isolado de professor titular, cujo provimento se dá por meio de concurso público de provas e títulos, e não por simples promoção. Precedentes.</w:t>
      </w:r>
    </w:p>
    <w:p>
      <w:pPr>
        <w:ind w:left="288"/>
      </w:pPr>
      <w:r>
        <w:rPr>
          <w:b/>
          <w:color w:val="003CA0"/>
          <w:sz w:val="16"/>
        </w:rPr>
        <w:t>[AI 710.664 AgR, rel. min. Eros Grau, j. 5-8-2008, 2ª T, DJE de 22-8-2008.]</w:t>
      </w:r>
    </w:p>
    <w:p>
      <w:pPr>
        <w:ind w:left="288"/>
      </w:pPr>
      <w:r>
        <w:rPr>
          <w:color w:val="8C8C8C"/>
          <w:sz w:val="12"/>
        </w:rPr>
        <w:t>cf-art-206-inc-IV</w:t>
      </w:r>
      <w:r>
        <w:rPr>
          <w:color w:val="003CA0"/>
          <w:sz w:val="12"/>
        </w:rPr>
        <w:t xml:space="preserve"> | RE 141.081</w:t>
      </w:r>
      <w:r>
        <w:rPr>
          <w:color w:val="003CA0"/>
          <w:sz w:val="12"/>
        </w:rPr>
        <w:t xml:space="preserve"> | rel. Moreira Alves</w:t>
      </w:r>
    </w:p>
    <w:p>
      <w:pPr>
        <w:ind w:left="288"/>
      </w:pPr>
      <w:r>
        <w:rPr>
          <w:color w:val="1E1E1E"/>
          <w:sz w:val="18"/>
        </w:rPr>
        <w:t>= RE 141.081, rel. min. Moreira Alves, j. 25-6-1996, 1ª T, DJ de 5-9-1997 Reclamação ajuizada (...) contra acórdão prolatado pelo e. STJ, que reconheceu ao interessado o direito de promover-se, por promoção automática, ao cargo de professor titular. Alegada violação da autoridade de precedente específico da Corte, que decidira que a exigência de concurso específico não violava a autonomia universitária (art. 206 da Constituição). Reclamação conhecida e julgada procedente para cassar o acórdão reclamado.</w:t>
      </w:r>
    </w:p>
    <w:p>
      <w:pPr>
        <w:ind w:left="288"/>
      </w:pPr>
      <w:r>
        <w:rPr>
          <w:b/>
          <w:color w:val="003CA0"/>
          <w:sz w:val="16"/>
        </w:rPr>
        <w:t>[Rcl 2.280, rel. min. Joaquim Barbosa, j. 1º-4-2008, 2ª T, DJE de 18-4-2008.]</w:t>
      </w:r>
    </w:p>
    <w:p>
      <w:pPr>
        <w:ind w:left="144"/>
      </w:pPr>
      <w:r>
        <w:rPr>
          <w:b/>
          <w:color w:val="B45A00"/>
          <w:sz w:val="16"/>
        </w:rPr>
        <w:t>CONTROLE CONCENTRADO</w:t>
      </w:r>
    </w:p>
    <w:p>
      <w:pPr>
        <w:ind w:left="288"/>
      </w:pPr>
      <w:r>
        <w:rPr>
          <w:color w:val="8C8C8C"/>
          <w:sz w:val="12"/>
        </w:rPr>
        <w:t>cf-art-206-inc-VI</w:t>
      </w:r>
      <w:r>
        <w:rPr>
          <w:color w:val="003CA0"/>
          <w:sz w:val="12"/>
        </w:rPr>
        <w:t xml:space="preserve"> | ADI 6.543</w:t>
      </w:r>
      <w:r>
        <w:rPr>
          <w:color w:val="003CA0"/>
          <w:sz w:val="12"/>
        </w:rPr>
        <w:t xml:space="preserve"> | rel. Cármen Lúcia</w:t>
      </w:r>
    </w:p>
    <w:p>
      <w:pPr>
        <w:ind w:left="288"/>
      </w:pPr>
      <w:r>
        <w:rPr>
          <w:color w:val="1E1E1E"/>
          <w:sz w:val="18"/>
        </w:rPr>
        <w:t>Nomeação pelo Ministro da Educação de Diretor-Geral de Centro Federal de Educação Tecnológica, Escola Técnica Federal e Escola Agrotécnica Federal. Afronta aos princípios da isonomia, da impessoalidade, da proporcionalidade, da autonomia e da gestão democrática do ensino público.</w:t>
      </w:r>
    </w:p>
    <w:p>
      <w:pPr>
        <w:ind w:left="288"/>
      </w:pPr>
      <w:r>
        <w:rPr>
          <w:b/>
          <w:color w:val="003CA0"/>
          <w:sz w:val="16"/>
        </w:rPr>
        <w:t>[ADI 6.543, rel. min. Cármen Lúcia, j. 29-3-2021, P, DJE de 17-5-2021.]</w:t>
      </w:r>
    </w:p>
    <w:p>
      <w:pPr>
        <w:ind w:left="288"/>
      </w:pPr>
      <w:r>
        <w:rPr>
          <w:color w:val="8C8C8C"/>
          <w:sz w:val="12"/>
        </w:rPr>
        <w:t>cf-art-206-inc-VI</w:t>
      </w:r>
      <w:r>
        <w:rPr>
          <w:color w:val="003CA0"/>
          <w:sz w:val="12"/>
        </w:rPr>
        <w:t xml:space="preserve"> | ADI 3.757</w:t>
      </w:r>
      <w:r>
        <w:rPr>
          <w:color w:val="003CA0"/>
          <w:sz w:val="12"/>
        </w:rPr>
        <w:t xml:space="preserve"> | rel. Dias Toffoli</w:t>
      </w:r>
    </w:p>
    <w:p>
      <w:pPr>
        <w:ind w:left="288"/>
      </w:pPr>
      <w:r>
        <w:rPr>
          <w:color w:val="1E1E1E"/>
          <w:sz w:val="18"/>
        </w:rPr>
        <w:t>É constitucional a norma estadual que assegura, no âmbito da educação superior: (i) a livre criação e a auto-organização de centros e diretórios acadêmicos, (ii) seu funcionamento no espaço físico da faculdade, (iii) a livre circulação das ideias por eles produzidas, (iv) o acesso dos seus membros às salas de aula e (v) a participação em órgãos colegiados, em observância aos mandamentos constitucionais da liberdade de associação (CF/1988, art. 5º, XVII), da promoção de uma educação plena e capacitadora para o exercício da cidadania (CF/1988, art. 205) e da gestão democrática da educação (CF/19</w:t>
      </w:r>
    </w:p>
    <w:p>
      <w:pPr>
        <w:ind w:left="288"/>
      </w:pPr>
      <w:r>
        <w:rPr>
          <w:b/>
          <w:color w:val="003CA0"/>
          <w:sz w:val="16"/>
        </w:rPr>
        <w:t>[ADI 3.757, rel. min. Dias Toffoli, j. 17-10-2018, P, DJE de 27-4-2020.]</w:t>
      </w:r>
    </w:p>
    <w:p>
      <w:pPr>
        <w:ind w:left="288"/>
      </w:pPr>
      <w:r>
        <w:rPr>
          <w:color w:val="8C8C8C"/>
          <w:sz w:val="12"/>
        </w:rPr>
        <w:t>cf-art-206-inc-VI</w:t>
      </w:r>
      <w:r>
        <w:rPr>
          <w:color w:val="003CA0"/>
          <w:sz w:val="12"/>
        </w:rPr>
        <w:t xml:space="preserve"> | ADI 244</w:t>
      </w:r>
      <w:r>
        <w:rPr>
          <w:color w:val="003CA0"/>
          <w:sz w:val="12"/>
        </w:rPr>
        <w:t xml:space="preserve"> | rel. Sepúlveda Pertence</w:t>
      </w:r>
    </w:p>
    <w:p>
      <w:pPr>
        <w:ind w:left="288"/>
      </w:pPr>
      <w:r>
        <w:rPr>
          <w:color w:val="1E1E1E"/>
          <w:sz w:val="18"/>
        </w:rPr>
        <w:t>Além das modalidades explícitas, mas espasmódicas, de democracia direta – o plebiscito, o referendo e a iniciativa popular (art. 14) –, a Constituição da República aventa oportunidades tópicas de participação popular na administração pública (v.g., art. 5º, XXXVIII e LXXIII; art. 29, XII e XIII; art. 37 § 3º; art. 74, § 2º; art. 187; art. 194, parágrafo único, VII; art. 204, II; art. 206, VI; art. 224).</w:t>
      </w:r>
    </w:p>
    <w:p>
      <w:pPr>
        <w:ind w:left="288"/>
      </w:pPr>
      <w:r>
        <w:rPr>
          <w:b/>
          <w:color w:val="003CA0"/>
          <w:sz w:val="16"/>
        </w:rPr>
        <w:t>[ADI 244, rel. min. Sepúlveda Pertence, j. 11-9-2002, P, DJ de 31-10-2002.]</w:t>
      </w:r>
    </w:p>
    <w:p>
      <w:pPr>
        <w:ind w:left="288"/>
      </w:pPr>
      <w:r>
        <w:rPr>
          <w:color w:val="8C8C8C"/>
          <w:sz w:val="12"/>
        </w:rPr>
        <w:t>cf-art-206-inc-VI</w:t>
      </w:r>
      <w:r>
        <w:rPr>
          <w:color w:val="003CA0"/>
          <w:sz w:val="12"/>
        </w:rPr>
        <w:t xml:space="preserve"> | ADI 490</w:t>
      </w:r>
      <w:r>
        <w:rPr>
          <w:color w:val="003CA0"/>
          <w:sz w:val="12"/>
        </w:rPr>
        <w:t xml:space="preserve"> | rel. Octavio Gallotti</w:t>
      </w:r>
    </w:p>
    <w:p>
      <w:pPr>
        <w:ind w:left="288"/>
      </w:pPr>
      <w:r>
        <w:rPr>
          <w:color w:val="1E1E1E"/>
          <w:sz w:val="18"/>
        </w:rPr>
        <w:t>Inconstitucionalidade, perante a CF, do art. 199 da Constituição do Amazonas, na parte em que determina a realização de eleições para os cargos de direção dos estabelecimentos de ensino público. Não se confunde a qualificação de democrática da gestão do ensino público com modalidade de investidura, que há de coadunar-se com o princípio da livre escolha dos cargos em comissão do Executivo pelo chefe desse Poder (arts. 37, II, in fine, e 84, II e XXV, ambos da Constituição da República).</w:t>
      </w:r>
    </w:p>
    <w:p>
      <w:pPr>
        <w:ind w:left="288"/>
      </w:pPr>
      <w:r>
        <w:rPr>
          <w:b/>
          <w:color w:val="003CA0"/>
          <w:sz w:val="16"/>
        </w:rPr>
        <w:t>[ADI 490, rel. min. Octavio Gallotti, j. 15-9-1996, P, DJ de 20-6-1997.]</w:t>
      </w:r>
    </w:p>
    <w:p>
      <w:pPr>
        <w:ind w:left="288"/>
      </w:pPr>
      <w:r>
        <w:rPr>
          <w:color w:val="8C8C8C"/>
          <w:sz w:val="12"/>
        </w:rPr>
        <w:t>cf-art-206-inc-VI</w:t>
      </w:r>
      <w:r>
        <w:rPr>
          <w:color w:val="003CA0"/>
          <w:sz w:val="12"/>
        </w:rPr>
        <w:t xml:space="preserve"> | ADI 2.997</w:t>
      </w:r>
      <w:r>
        <w:rPr>
          <w:color w:val="003CA0"/>
          <w:sz w:val="12"/>
        </w:rPr>
        <w:t xml:space="preserve"> | rel. Cezar Peluso</w:t>
      </w:r>
    </w:p>
    <w:p>
      <w:pPr>
        <w:ind w:left="288"/>
      </w:pPr>
      <w:r>
        <w:rPr>
          <w:color w:val="1E1E1E"/>
          <w:sz w:val="18"/>
        </w:rPr>
        <w:t>= ADI 2.997, rel. min. Cezar Peluso, j. 12-8-2009, P, DJE de 12-3-2010</w:t>
      </w:r>
    </w:p>
    <w:p>
      <w:pPr>
        <w:ind w:left="720"/>
      </w:pPr>
      <w:r>
        <w:rPr>
          <w:color w:val="003366"/>
          <w:sz w:val="18"/>
        </w:rPr>
        <w:t>I – igualdade de condições para o acesso e permanência na escola;</w:t>
      </w:r>
    </w:p>
    <w:p>
      <w:pPr>
        <w:ind w:left="720"/>
      </w:pPr>
      <w:r>
        <w:rPr>
          <w:color w:val="003366"/>
          <w:sz w:val="18"/>
        </w:rPr>
        <w:t>II – liberdade de aprender, ensinar, pesquisar e divulgar o pensamento, a arte e</w:t>
      </w:r>
    </w:p>
    <w:p>
      <w:pPr>
        <w:ind w:left="720"/>
      </w:pPr>
      <w:r>
        <w:rPr>
          <w:color w:val="003366"/>
          <w:sz w:val="18"/>
        </w:rPr>
        <w:t>III – pluralismo de idéias e de concepções pedagógicas, e coexistência de instit</w:t>
      </w:r>
    </w:p>
    <w:p>
      <w:pPr>
        <w:ind w:left="720"/>
      </w:pPr>
      <w:r>
        <w:rPr>
          <w:color w:val="003366"/>
          <w:sz w:val="18"/>
        </w:rPr>
        <w:t>IV – gratuidade do ensino público em estabelecimentos oficiais;</w:t>
      </w:r>
    </w:p>
    <w:p>
      <w:pPr>
        <w:ind w:left="720"/>
      </w:pPr>
      <w:r>
        <w:rPr>
          <w:color w:val="003366"/>
          <w:sz w:val="18"/>
        </w:rPr>
        <w:t>V – valorização dos profissionais da educação escolar, garantidos, na forma da l</w:t>
      </w:r>
    </w:p>
    <w:p>
      <w:pPr>
        <w:ind w:left="720"/>
      </w:pPr>
      <w:r>
        <w:rPr>
          <w:color w:val="003366"/>
          <w:sz w:val="18"/>
        </w:rPr>
        <w:t>VI – gestão democrática do ensino público, na forma da lei;</w:t>
      </w:r>
    </w:p>
    <w:p>
      <w:pPr>
        <w:ind w:left="720"/>
      </w:pPr>
      <w:r>
        <w:rPr>
          <w:color w:val="003366"/>
          <w:sz w:val="18"/>
        </w:rPr>
        <w:t>VII – garantia de padrão de qualidade.</w:t>
      </w:r>
    </w:p>
    <w:p>
      <w:pPr>
        <w:ind w:left="720"/>
      </w:pPr>
      <w:r>
        <w:rPr>
          <w:color w:val="003366"/>
          <w:sz w:val="18"/>
        </w:rPr>
        <w:t>VIII – piso salarial profissional nacional para os profissionais da educação esc</w:t>
      </w:r>
    </w:p>
    <w:p>
      <w:pPr>
        <w:ind w:left="720"/>
      </w:pPr>
      <w:r>
        <w:rPr>
          <w:color w:val="003366"/>
          <w:sz w:val="18"/>
        </w:rPr>
        <w:t>IX – garantia do direito à educação e à aprendizagem ao longo da vida. (Incluído</w:t>
      </w:r>
    </w:p>
    <w:p>
      <w:r>
        <w:rPr>
          <w:b/>
          <w:color w:val="003366"/>
          <w:sz w:val="20"/>
        </w:rPr>
        <w:t>Art. 207 As universidades gozam de autonomia didático-científica, administrativa</w:t>
      </w:r>
      <w:r>
        <w:rPr>
          <w:color w:val="8C8C8C"/>
          <w:sz w:val="14"/>
        </w:rPr>
        <w:t xml:space="preserve">  [23 decisoes]</w:t>
      </w:r>
    </w:p>
    <w:p>
      <w:pPr>
        <w:ind w:left="288"/>
      </w:pPr>
      <w:r>
        <w:rPr>
          <w:color w:val="8C8C8C"/>
          <w:sz w:val="12"/>
        </w:rPr>
        <w:t>cf-art-207</w:t>
      </w:r>
      <w:r>
        <w:rPr>
          <w:color w:val="003CA0"/>
          <w:sz w:val="12"/>
        </w:rPr>
        <w:t xml:space="preserve"> | ADI 7.864</w:t>
      </w:r>
      <w:r>
        <w:rPr>
          <w:color w:val="003CA0"/>
          <w:sz w:val="12"/>
        </w:rPr>
        <w:t xml:space="preserve"> | rel. Flávio Dino</w:t>
      </w:r>
    </w:p>
    <w:p>
      <w:pPr>
        <w:ind w:left="288"/>
      </w:pPr>
      <w:r>
        <w:rPr>
          <w:color w:val="1E1E1E"/>
          <w:sz w:val="18"/>
        </w:rPr>
        <w:t>Resolução n º 2.434/2025, do Conselho Federal de Medicina. Responsabilidades e prerrogativas de autoridades educacionais. Coordenadores de cursos de graduação em medicina. (...) As normas impugnadas pretendem vincular diretamente as instituições de ensino superior, impondo-lhes a observância de condições de infraestrutura, recursos materiais, humanos e financeiros; a obrigatoriedade de consulta prévia e anuência em matéria de convênios; e, inclusive, o poder de interdição das atividades de ensino na área da saúde, entre outras disposições. Embora visando à regulamentação da responsabilidade té</w:t>
      </w:r>
    </w:p>
    <w:p>
      <w:pPr>
        <w:ind w:left="288"/>
      </w:pPr>
      <w:r>
        <w:rPr>
          <w:b/>
          <w:color w:val="003CA0"/>
          <w:sz w:val="16"/>
        </w:rPr>
        <w:t>[ADI 7.864 MC-REF, rel. min. Flávio Dino, j. 13.10.2025, P, DJE de 22.10.2025.]</w:t>
      </w:r>
    </w:p>
    <w:p>
      <w:pPr>
        <w:ind w:left="288"/>
      </w:pPr>
      <w:r>
        <w:rPr>
          <w:color w:val="8C8C8C"/>
          <w:sz w:val="12"/>
        </w:rPr>
        <w:t>cf-art-207</w:t>
      </w:r>
      <w:r>
        <w:rPr>
          <w:color w:val="003CA0"/>
          <w:sz w:val="12"/>
        </w:rPr>
        <w:t xml:space="preserve"> | ADI 3.901</w:t>
      </w:r>
      <w:r>
        <w:rPr>
          <w:color w:val="003CA0"/>
          <w:sz w:val="12"/>
        </w:rPr>
        <w:t xml:space="preserve"> | rel. Edson Fachin</w:t>
      </w:r>
    </w:p>
    <w:p>
      <w:pPr>
        <w:ind w:left="288"/>
      </w:pPr>
      <w:r>
        <w:rPr>
          <w:color w:val="1E1E1E"/>
          <w:sz w:val="18"/>
        </w:rPr>
        <w:t>Lei 6.140/1998 do estado do Pará que dispõe acerca do período de realização de provas de concursos públicos e exames vestibulares. (...) A determinação do período de realização dos exames de vestibulares não ofende a autonomia administrativa que gozam as universidades (art. 207, CF).</w:t>
      </w:r>
    </w:p>
    <w:p>
      <w:pPr>
        <w:ind w:left="288"/>
      </w:pPr>
      <w:r>
        <w:rPr>
          <w:b/>
          <w:color w:val="003CA0"/>
          <w:sz w:val="16"/>
        </w:rPr>
        <w:t>[ADI 3.901, rel. min. Edson Fachin, j. 22.09.2025, P, DJE de 26.11.2025.]</w:t>
      </w:r>
    </w:p>
    <w:p>
      <w:pPr>
        <w:ind w:left="144"/>
      </w:pPr>
      <w:r>
        <w:rPr>
          <w:b/>
          <w:color w:val="B45A00"/>
          <w:sz w:val="16"/>
        </w:rPr>
        <w:t>CONTROLE CONCENTRADO</w:t>
      </w:r>
    </w:p>
    <w:p>
      <w:pPr>
        <w:ind w:left="288"/>
      </w:pPr>
      <w:r>
        <w:rPr>
          <w:color w:val="8C8C8C"/>
          <w:sz w:val="12"/>
        </w:rPr>
        <w:t>cf-art-207</w:t>
      </w:r>
      <w:r>
        <w:rPr>
          <w:color w:val="003CA0"/>
          <w:sz w:val="12"/>
        </w:rPr>
        <w:t xml:space="preserve"> | ADPF 474</w:t>
      </w:r>
      <w:r>
        <w:rPr>
          <w:color w:val="003CA0"/>
          <w:sz w:val="12"/>
        </w:rPr>
        <w:t xml:space="preserve"> | rel. Rosa Weber</w:t>
      </w:r>
    </w:p>
    <w:p>
      <w:pPr>
        <w:ind w:left="288"/>
      </w:pPr>
      <w:r>
        <w:rPr>
          <w:color w:val="1E1E1E"/>
          <w:sz w:val="18"/>
        </w:rPr>
        <w:t>“O art. 207 da Constituição exige que o regime financeiro-orçamentário aplicável às universidades públicas lhes assegure um espaço mínimo de autogestão. Tal diretriz pode ser concretizada inclusive, mas não obrigatoriamente, pelo repasse orçamentário na forma de duodécimos”.</w:t>
        <w:br/>
        <w:t>[ADPF 474, rel. min. Rosa Weber, red. do ac. min. Luís Roberto Barroso, j. 09.09.2024, P, DJE de 20.09.2024.] Na coordenação do PNI, bem assim, especificamente, no tocante à exigência de comprovante de vacinação contra a Covid-19 em instituições federais de ensino, a União deve levar em consideração, por expresso mandament</w:t>
      </w:r>
    </w:p>
    <w:p>
      <w:pPr>
        <w:ind w:left="288"/>
      </w:pPr>
      <w:r>
        <w:rPr>
          <w:b/>
          <w:color w:val="003CA0"/>
          <w:sz w:val="16"/>
        </w:rPr>
        <w:t>[ADPF 706, rel. min. Rosa Weber, j. 18-11-2021, P, DJE de 29-3-2022.]</w:t>
      </w:r>
    </w:p>
    <w:p>
      <w:pPr>
        <w:ind w:left="288"/>
      </w:pPr>
      <w:r>
        <w:rPr>
          <w:color w:val="8C8C8C"/>
          <w:sz w:val="12"/>
        </w:rPr>
        <w:t>cf-art-207</w:t>
      </w:r>
      <w:r>
        <w:rPr>
          <w:color w:val="003CA0"/>
          <w:sz w:val="12"/>
        </w:rPr>
        <w:t xml:space="preserve"> | ADPF 759</w:t>
      </w:r>
    </w:p>
    <w:p>
      <w:pPr>
        <w:ind w:left="288"/>
      </w:pPr>
      <w:r>
        <w:rPr>
          <w:color w:val="1E1E1E"/>
          <w:sz w:val="18"/>
        </w:rPr>
        <w:t>A autonomia científica, didática e administrativa das universidades federais, prevista no art. 207 da Constituição Federal, concretiza-se pelas deliberações colegiadas tomadas por força dos arts. 53, 54, 55 e 56 da Lei 9.394/1996. A escolha de seu dirigente máximo pelo Chefe do Poder Executivo, a partir de lista tríplice, com atribuições eminentemente executivas, não prejudica ou perturba o exercício da autonomia universitária, não significando ato de fiscalização ou interferência na escolha ou execução de políticas próprias da instituição, escolhidas por decisão colegiada e participativa de s</w:t>
      </w:r>
    </w:p>
    <w:p>
      <w:pPr>
        <w:ind w:left="288"/>
      </w:pPr>
      <w:r>
        <w:rPr>
          <w:b/>
          <w:color w:val="003CA0"/>
          <w:sz w:val="16"/>
        </w:rPr>
        <w:t>[ADPF 759 MC REF, red. do ac. min. Alexandre de Moraes, j. 8-2-2021, P, DJE de 15-4-2021.]</w:t>
      </w:r>
    </w:p>
    <w:p>
      <w:pPr>
        <w:ind w:left="288"/>
      </w:pPr>
      <w:r>
        <w:rPr>
          <w:color w:val="8C8C8C"/>
          <w:sz w:val="12"/>
        </w:rPr>
        <w:t>cf-art-207</w:t>
      </w:r>
      <w:r>
        <w:rPr>
          <w:color w:val="003CA0"/>
          <w:sz w:val="12"/>
        </w:rPr>
        <w:t xml:space="preserve"> | ADPF 548</w:t>
      </w:r>
      <w:r>
        <w:rPr>
          <w:color w:val="003CA0"/>
          <w:sz w:val="12"/>
        </w:rPr>
        <w:t xml:space="preserve"> | rel. Cármen Lúcia</w:t>
      </w:r>
    </w:p>
    <w:p>
      <w:pPr>
        <w:ind w:left="288"/>
      </w:pPr>
      <w:r>
        <w:rPr>
          <w:color w:val="1E1E1E"/>
          <w:sz w:val="18"/>
        </w:rPr>
        <w:t xml:space="preserve">Afronta aos princípios da liberdade de manifestação de pensamento e da autonomia universitária. (...) Inconstitucionalidade de interpretação dos arts. 24 e 37 da Lei n. 9.504/1997 que conduza a atos judiciais ou administrativos que possibilitem, determinem ou promovam ingresso de agentes públicos em universidades públicas e privadas, recolhimento de documentos, interrupção de aulas, debates ou manifestações de docentes e discentes universitários, a atividade disciplinar docente e discente e coleta irregular de depoimentos pela prática de manifestação livre de ideias e divulgação de pensamento </w:t>
      </w:r>
    </w:p>
    <w:p>
      <w:pPr>
        <w:ind w:left="288"/>
      </w:pPr>
      <w:r>
        <w:rPr>
          <w:b/>
          <w:color w:val="003CA0"/>
          <w:sz w:val="16"/>
        </w:rPr>
        <w:t>[ADI 4.406, rel. min. Rosa Weber, j. 18-10-2019, P, DJE de 4-11-2019.]</w:t>
      </w:r>
    </w:p>
    <w:p>
      <w:pPr>
        <w:ind w:left="288"/>
      </w:pPr>
      <w:r>
        <w:rPr>
          <w:color w:val="8C8C8C"/>
          <w:sz w:val="12"/>
        </w:rPr>
        <w:t>cf-art-207</w:t>
      </w:r>
      <w:r>
        <w:rPr>
          <w:color w:val="003CA0"/>
          <w:sz w:val="12"/>
        </w:rPr>
        <w:t xml:space="preserve"> | ADI 2.367</w:t>
      </w:r>
      <w:r>
        <w:rPr>
          <w:color w:val="003CA0"/>
          <w:sz w:val="12"/>
        </w:rPr>
        <w:t xml:space="preserve"> | rel. Marco Aurélio</w:t>
      </w:r>
    </w:p>
    <w:p>
      <w:pPr>
        <w:ind w:left="288"/>
      </w:pPr>
      <w:r>
        <w:rPr>
          <w:color w:val="1E1E1E"/>
          <w:sz w:val="18"/>
        </w:rPr>
        <w:t>Surge conflitante com a autonomia universitária – artigo 207 da Constituição Federal – lei do Estado autorizando o Chefe do Poder Executivo local a criar campus universitário.</w:t>
      </w:r>
    </w:p>
    <w:p>
      <w:pPr>
        <w:ind w:left="288"/>
      </w:pPr>
      <w:r>
        <w:rPr>
          <w:b/>
          <w:color w:val="003CA0"/>
          <w:sz w:val="16"/>
        </w:rPr>
        <w:t>[ADI 2.367, rel. min. Marco Aurélio, j. 10-10-2019, P, DJE de 24-10-2019.]</w:t>
      </w:r>
    </w:p>
    <w:p>
      <w:pPr>
        <w:ind w:left="288"/>
      </w:pPr>
      <w:r>
        <w:rPr>
          <w:color w:val="8C8C8C"/>
          <w:sz w:val="12"/>
        </w:rPr>
        <w:t>cf-art-207</w:t>
      </w:r>
      <w:r>
        <w:rPr>
          <w:color w:val="003CA0"/>
          <w:sz w:val="12"/>
        </w:rPr>
        <w:t xml:space="preserve"> | ADI 5.215</w:t>
      </w:r>
      <w:r>
        <w:rPr>
          <w:color w:val="003CA0"/>
          <w:sz w:val="12"/>
        </w:rPr>
        <w:t xml:space="preserve"> | rel. Roberto Barroso</w:t>
      </w:r>
    </w:p>
    <w:p>
      <w:pPr>
        <w:ind w:left="288"/>
      </w:pPr>
      <w:r>
        <w:rPr>
          <w:color w:val="1E1E1E"/>
          <w:sz w:val="18"/>
        </w:rPr>
        <w:t>(...) as universidades estaduais também podem criar e organizar procuradorias jurídicas, em razão de sua autonomia didático-científica, administrativa, financeira e patrimonial (art. 207, caput, CF/88). Tais órgãos jurídicos exercem um papel fundamental na defesa dos interesses das universidades, inclusive em face dos próprios Estados-membros que as constituíram. Portanto, em razão da autonomia universitária e seguindo a lógica da jurisprudência do Supremo Tribunal Federal na matéria, a existência dessas procuradorias não viola o art. 132 da Constituição.</w:t>
      </w:r>
    </w:p>
    <w:p>
      <w:pPr>
        <w:ind w:left="288"/>
      </w:pPr>
      <w:r>
        <w:rPr>
          <w:b/>
          <w:color w:val="003CA0"/>
          <w:sz w:val="16"/>
        </w:rPr>
        <w:t>[ADI 5.215, rel. min. Roberto Barroso, j. 28-3-2019, P, DJE de 1º-8-2019.]</w:t>
      </w:r>
    </w:p>
    <w:p>
      <w:pPr>
        <w:ind w:left="288"/>
      </w:pPr>
      <w:r>
        <w:rPr>
          <w:color w:val="8C8C8C"/>
          <w:sz w:val="12"/>
        </w:rPr>
        <w:t>cf-art-207</w:t>
      </w:r>
      <w:r>
        <w:rPr>
          <w:color w:val="003CA0"/>
          <w:sz w:val="12"/>
        </w:rPr>
        <w:t xml:space="preserve"> | ADI 3.792</w:t>
      </w:r>
      <w:r>
        <w:rPr>
          <w:color w:val="003CA0"/>
          <w:sz w:val="12"/>
        </w:rPr>
        <w:t xml:space="preserve"> | rel. Dias Toffoli</w:t>
      </w:r>
    </w:p>
    <w:p>
      <w:pPr>
        <w:ind w:left="288"/>
      </w:pPr>
      <w:r>
        <w:rPr>
          <w:color w:val="1E1E1E"/>
          <w:sz w:val="18"/>
        </w:rPr>
        <w:t>A previsão da autonomia universitária vem consagrada no art. 207 da Carta Política. Embora não se revista de caráter de independência (...), atributo dos Poderes da República, revela a impossibilidade de exercício de tutela ou indevida ingerência no âmago próprio das suas funções, assegurando à universidade a discricionariedade de dispor ou propor (legislativamente) sobre sua estrutura e funcionamento administrativo, bem como sobre suas atividades pedagógicas. A determinação de que o escritório de prática jurídica preste serviço aos finais de semana, a fim de atender necessitados presos em dec</w:t>
      </w:r>
    </w:p>
    <w:p>
      <w:pPr>
        <w:ind w:left="288"/>
      </w:pPr>
      <w:r>
        <w:rPr>
          <w:b/>
          <w:color w:val="003CA0"/>
          <w:sz w:val="16"/>
        </w:rPr>
        <w:t>[ADI 3.792, rel. min. Dias Toffoli, j. 22-9-2016, P, DJE de 1º-8-2017.]</w:t>
      </w:r>
    </w:p>
    <w:p>
      <w:pPr>
        <w:ind w:left="288"/>
      </w:pPr>
      <w:r>
        <w:rPr>
          <w:color w:val="8C8C8C"/>
          <w:sz w:val="12"/>
        </w:rPr>
        <w:t>cf-art-207</w:t>
      </w:r>
      <w:r>
        <w:rPr>
          <w:color w:val="003CA0"/>
          <w:sz w:val="12"/>
        </w:rPr>
        <w:t xml:space="preserve"> | ADI 3.330</w:t>
      </w:r>
      <w:r>
        <w:rPr>
          <w:color w:val="003CA0"/>
          <w:sz w:val="12"/>
        </w:rPr>
        <w:t xml:space="preserve"> | rel. Ayres Britto</w:t>
      </w:r>
    </w:p>
    <w:p>
      <w:pPr>
        <w:ind w:left="288"/>
      </w:pPr>
      <w:r>
        <w:rPr>
          <w:color w:val="1E1E1E"/>
          <w:sz w:val="18"/>
        </w:rPr>
        <w:t>O Prouni [Programa Universidade para Todos] é um programa de ações afirmativas, que se operacionaliza mediante concessão de bolsas a alunos de baixa renda e diminuto grau de patrimonilização. Mas um programa concebido para operar por ato de adesão ou participação absolutamente voluntária, incompatível, portanto, com qualquer ideia de vinculação forçada. Inexistência de violação aos princípios constitucionais da autonomia universitária (art. 207) e da livre iniciativa (art. 170).</w:t>
      </w:r>
    </w:p>
    <w:p>
      <w:pPr>
        <w:ind w:left="288"/>
      </w:pPr>
      <w:r>
        <w:rPr>
          <w:b/>
          <w:color w:val="003CA0"/>
          <w:sz w:val="16"/>
        </w:rPr>
        <w:t>[ADI 3.330, rel. min. Ayres Britto, j. 3-5-2012, P, DJE de 22-3-2013.]</w:t>
      </w:r>
    </w:p>
    <w:p>
      <w:pPr>
        <w:ind w:left="288"/>
      </w:pPr>
      <w:r>
        <w:rPr>
          <w:color w:val="8C8C8C"/>
          <w:sz w:val="12"/>
        </w:rPr>
        <w:t>cf-art-207</w:t>
      </w:r>
      <w:r>
        <w:rPr>
          <w:color w:val="003CA0"/>
          <w:sz w:val="12"/>
        </w:rPr>
        <w:t xml:space="preserve"> | ADI 3.324</w:t>
      </w:r>
      <w:r>
        <w:rPr>
          <w:color w:val="003CA0"/>
          <w:sz w:val="12"/>
        </w:rPr>
        <w:t xml:space="preserve"> | rel. Marco Aurélio</w:t>
      </w:r>
    </w:p>
    <w:p>
      <w:pPr>
        <w:ind w:left="288"/>
      </w:pPr>
      <w:r>
        <w:rPr>
          <w:color w:val="1E1E1E"/>
          <w:sz w:val="18"/>
        </w:rPr>
        <w:t>(...) é consentânea com a Carta da República previsão normativa asseguradora, ao militar e ao dependente estudante, do acesso a instituição de ensino na localidade para onde é removido. Todavia, a transferência do local do serviço não pode se mostrar verdadeiro mecanismo para lograr-se a transposição da seara particular para a pública, sob pena de se colocar em plano secundário a isonomia – art. 5º, cabeça e inciso I –, a impessoalidade, a moralidade na administração pública, a igualdade de condições para o acesso e permanência na escola superior, prevista no inciso I do art. 206, bem como a v</w:t>
      </w:r>
    </w:p>
    <w:p>
      <w:pPr>
        <w:ind w:left="288"/>
      </w:pPr>
      <w:r>
        <w:rPr>
          <w:b/>
          <w:color w:val="003CA0"/>
          <w:sz w:val="16"/>
        </w:rPr>
        <w:t>[ADI 3.324, voto do rel. min. Marco Aurélio, j. 16-12-2004, P, DJ de 5-8-2005.]</w:t>
      </w:r>
    </w:p>
    <w:p>
      <w:pPr>
        <w:ind w:left="288"/>
      </w:pPr>
      <w:r>
        <w:rPr>
          <w:color w:val="8C8C8C"/>
          <w:sz w:val="12"/>
        </w:rPr>
        <w:t>cf-art-207</w:t>
      </w:r>
      <w:r>
        <w:rPr>
          <w:color w:val="003CA0"/>
          <w:sz w:val="12"/>
        </w:rPr>
        <w:t xml:space="preserve"> | RCL 23.849</w:t>
      </w:r>
      <w:r>
        <w:rPr>
          <w:color w:val="003CA0"/>
          <w:sz w:val="12"/>
        </w:rPr>
        <w:t xml:space="preserve"> | rel. Celso de Mello</w:t>
      </w:r>
    </w:p>
    <w:p>
      <w:pPr>
        <w:ind w:left="288"/>
      </w:pPr>
      <w:r>
        <w:rPr>
          <w:color w:val="1E1E1E"/>
          <w:sz w:val="18"/>
        </w:rPr>
        <w:t>= Rcl 23.849, rel. min. Celso de Mello, j. 16-6-2016, dec. monocrática, DJE de 21-6-2016 = AI 858.241 AgR, rel. min. Ricardo Lewandowski, j. 10-12-2013, 2ª T, DJE de 3-2-2014 Vide RE 601.580, rel. min. Edson Fachin, j. 19-9-2018, P, DJE de 20-2-2020, Tema 57 Lei 7.983/2001, que isenta do pagamento de taxa de inscrição os candidatos ao exame vestibular da Universidade Estadual do Rio Grande do Norte: constitucionalidade.</w:t>
      </w:r>
    </w:p>
    <w:p>
      <w:pPr>
        <w:ind w:left="288"/>
      </w:pPr>
      <w:r>
        <w:rPr>
          <w:b/>
          <w:color w:val="003CA0"/>
          <w:sz w:val="16"/>
        </w:rPr>
        <w:t>[ADI 2.643, rel. min. Carlos Velloso, j. 13-8-2003, P, DJ de 26-9-2003.]</w:t>
      </w:r>
    </w:p>
    <w:p>
      <w:pPr>
        <w:ind w:left="288"/>
      </w:pPr>
      <w:r>
        <w:rPr>
          <w:color w:val="8C8C8C"/>
          <w:sz w:val="12"/>
        </w:rPr>
        <w:t>cf-art-207</w:t>
      </w:r>
      <w:r>
        <w:rPr>
          <w:color w:val="003CA0"/>
          <w:sz w:val="12"/>
        </w:rPr>
        <w:t xml:space="preserve"> | ADI 2.806</w:t>
      </w:r>
      <w:r>
        <w:rPr>
          <w:color w:val="003CA0"/>
          <w:sz w:val="12"/>
        </w:rPr>
        <w:t xml:space="preserve"> | rel. Ilmar Galvão</w:t>
      </w:r>
    </w:p>
    <w:p>
      <w:pPr>
        <w:ind w:left="288"/>
      </w:pPr>
      <w:r>
        <w:rPr>
          <w:color w:val="1E1E1E"/>
          <w:sz w:val="18"/>
        </w:rPr>
        <w:t>Lei 11.830, de 16 de setembro de 2002, do Estado do Rio Grande do Sul. Adequação das atividades do serviço público estadual e dos estabelecimentos de ensino públicos e privados aos dias de guarda das diferentes religiões professadas no Estado. (...) Por fim, em relação às universidades, a Lei estadual 11.830/2002 viola a autonomia constitucionalmente garantida a tais organismos educacionais.</w:t>
      </w:r>
    </w:p>
    <w:p>
      <w:pPr>
        <w:ind w:left="288"/>
      </w:pPr>
      <w:r>
        <w:rPr>
          <w:b/>
          <w:color w:val="003CA0"/>
          <w:sz w:val="16"/>
        </w:rPr>
        <w:t>[ADI 2.806, rel. min. Ilmar Galvão, j. 23-4-2003, P, DJ de 27-6-2003.]</w:t>
      </w:r>
    </w:p>
    <w:p>
      <w:pPr>
        <w:ind w:left="288"/>
      </w:pPr>
      <w:r>
        <w:rPr>
          <w:color w:val="8C8C8C"/>
          <w:sz w:val="12"/>
        </w:rPr>
        <w:t>cf-art-207</w:t>
      </w:r>
      <w:r>
        <w:rPr>
          <w:color w:val="003CA0"/>
          <w:sz w:val="12"/>
        </w:rPr>
        <w:t xml:space="preserve"> | ADI 51</w:t>
      </w:r>
      <w:r>
        <w:rPr>
          <w:color w:val="003CA0"/>
          <w:sz w:val="12"/>
        </w:rPr>
        <w:t xml:space="preserve"> | rel. Paulo Brossard</w:t>
      </w:r>
    </w:p>
    <w:p>
      <w:pPr>
        <w:ind w:left="288"/>
      </w:pPr>
      <w:r>
        <w:rPr>
          <w:color w:val="1E1E1E"/>
          <w:sz w:val="18"/>
        </w:rPr>
        <w:t>Universidade federal. Autonomia (art. 207, CF). Ação direta de inconstitucionalidade. Resolução 2/1988 do Conselho Universitário da Universidade Federal do Rio de Janeiro, que dispõe sobre eleição do reitor e vice-reitor. Inconstitucionalidade. Ofensa ao inciso X e caput do art. 48 e inciso XXV do art. 84, ambos da CF.</w:t>
      </w:r>
    </w:p>
    <w:p>
      <w:pPr>
        <w:ind w:left="288"/>
      </w:pPr>
      <w:r>
        <w:rPr>
          <w:b/>
          <w:color w:val="003CA0"/>
          <w:sz w:val="16"/>
        </w:rPr>
        <w:t>[ADI 51, rel. min. Paulo Brossard, j. 25-10-1989, P, DJ de 17-9-1993.]</w:t>
      </w:r>
    </w:p>
    <w:p>
      <w:pPr>
        <w:ind w:left="288"/>
      </w:pPr>
      <w:r>
        <w:rPr>
          <w:color w:val="8C8C8C"/>
          <w:sz w:val="12"/>
        </w:rPr>
        <w:t>cf-art-207</w:t>
      </w:r>
      <w:r>
        <w:rPr>
          <w:color w:val="003CA0"/>
          <w:sz w:val="12"/>
        </w:rPr>
        <w:t xml:space="preserve"> | ADI 578</w:t>
      </w:r>
      <w:r>
        <w:rPr>
          <w:color w:val="003CA0"/>
          <w:sz w:val="12"/>
        </w:rPr>
        <w:t xml:space="preserve"> | rel. Maurício Corrêa</w:t>
      </w:r>
    </w:p>
    <w:p>
      <w:pPr>
        <w:ind w:left="288"/>
      </w:pPr>
      <w:r>
        <w:rPr>
          <w:color w:val="1E1E1E"/>
          <w:sz w:val="18"/>
        </w:rPr>
        <w:t>= ADI 578, rel. min. Maurício Corrêa, j. 3-3-1999, P, DJ de 18-5-2001</w:t>
      </w:r>
    </w:p>
    <w:p>
      <w:pPr>
        <w:ind w:left="144"/>
      </w:pPr>
      <w:r>
        <w:rPr>
          <w:b/>
          <w:color w:val="B45A00"/>
          <w:sz w:val="16"/>
        </w:rPr>
        <w:t>JULGADOS CORRELATOS</w:t>
      </w:r>
    </w:p>
    <w:p>
      <w:pPr>
        <w:ind w:left="288"/>
      </w:pPr>
      <w:r>
        <w:rPr>
          <w:color w:val="8C8C8C"/>
          <w:sz w:val="12"/>
        </w:rPr>
        <w:t>cf-art-207</w:t>
      </w:r>
      <w:r>
        <w:rPr>
          <w:color w:val="003CA0"/>
          <w:sz w:val="12"/>
        </w:rPr>
        <w:t xml:space="preserve"> | MS 27.800</w:t>
      </w:r>
      <w:r>
        <w:rPr>
          <w:color w:val="003CA0"/>
          <w:sz w:val="12"/>
        </w:rPr>
        <w:t xml:space="preserve"> | rel. Nunes Marques</w:t>
      </w:r>
    </w:p>
    <w:p>
      <w:pPr>
        <w:ind w:left="288"/>
      </w:pPr>
      <w:r>
        <w:rPr>
          <w:color w:val="1E1E1E"/>
          <w:sz w:val="18"/>
        </w:rPr>
        <w:t>O princípio da autonomia universitária (CF, art. 207) e diversas normas infraconstitucionais (Leis n. 9.394/1996 e 12.772/2012, além de resoluções do Conselho Nacional de Educação e da entidade educacional) conferem a Universidade Federal de Minas Gerais (UFMG) autoridade para gerir suas atividades de ensino, pesquisa e extensão. Os professores contratados sob regime de dedicação exclusiva que desempenhem atividades regulares de ensino na UFMG podem exercer a coordenação de turmas de pós-graduação lato sensu (especialização, aperfeiçoamento e outros).</w:t>
      </w:r>
    </w:p>
    <w:p>
      <w:pPr>
        <w:ind w:left="288"/>
      </w:pPr>
      <w:r>
        <w:rPr>
          <w:b/>
          <w:color w:val="003CA0"/>
          <w:sz w:val="16"/>
        </w:rPr>
        <w:t>[MS 27.800 AgR, rel. min. Nunes Marques, j. 2-7-2022, P, DJE de 3-8-2022.]</w:t>
      </w:r>
    </w:p>
    <w:p>
      <w:pPr>
        <w:ind w:left="288"/>
      </w:pPr>
      <w:r>
        <w:rPr>
          <w:color w:val="8C8C8C"/>
          <w:sz w:val="12"/>
        </w:rPr>
        <w:t>cf-art-207</w:t>
      </w:r>
      <w:r>
        <w:rPr>
          <w:color w:val="003CA0"/>
          <w:sz w:val="12"/>
        </w:rPr>
        <w:t xml:space="preserve"> | RE 566.365</w:t>
      </w:r>
      <w:r>
        <w:rPr>
          <w:color w:val="003CA0"/>
          <w:sz w:val="12"/>
        </w:rPr>
        <w:t xml:space="preserve"> | rel. Dias Toffoli</w:t>
      </w:r>
    </w:p>
    <w:p>
      <w:pPr>
        <w:ind w:left="288"/>
      </w:pPr>
      <w:r>
        <w:rPr>
          <w:color w:val="1E1E1E"/>
          <w:sz w:val="18"/>
        </w:rPr>
        <w:t>Não há direito líquido e certo à expedição de diploma com validade nacional se o curso de mestrado não é reconhecido, como expressamente prevê a lei. As universidades gozam de autonomia administrativa, o que não as exime do dever de cumprir as normas gerais da educação nacional.</w:t>
      </w:r>
    </w:p>
    <w:p>
      <w:pPr>
        <w:ind w:left="288"/>
      </w:pPr>
      <w:r>
        <w:rPr>
          <w:b/>
          <w:color w:val="003CA0"/>
          <w:sz w:val="16"/>
        </w:rPr>
        <w:t>[RE 566.365, rel. min. Dias Toffoli, j. 22-2-2011, 1ª T, DJE de 12-5-2011.]</w:t>
      </w:r>
    </w:p>
    <w:p>
      <w:pPr>
        <w:ind w:left="288"/>
      </w:pPr>
      <w:r>
        <w:rPr>
          <w:color w:val="8C8C8C"/>
          <w:sz w:val="12"/>
        </w:rPr>
        <w:t>cf-art-207</w:t>
      </w:r>
      <w:r>
        <w:rPr>
          <w:color w:val="003CA0"/>
          <w:sz w:val="12"/>
        </w:rPr>
        <w:t xml:space="preserve"> | RE 561.398</w:t>
      </w:r>
      <w:r>
        <w:rPr>
          <w:color w:val="003CA0"/>
          <w:sz w:val="12"/>
        </w:rPr>
        <w:t xml:space="preserve"> | rel. Joaquim Barbosa</w:t>
      </w:r>
    </w:p>
    <w:p>
      <w:pPr>
        <w:ind w:left="288"/>
      </w:pPr>
      <w:r>
        <w:rPr>
          <w:color w:val="1E1E1E"/>
          <w:sz w:val="18"/>
        </w:rPr>
        <w:t>Nos termos da jurisprudência deste Tribunal, o princípio da autonomia universitária não significa soberania das universidades, devendo essas se submeter às leis e demais atos normativos.</w:t>
      </w:r>
    </w:p>
    <w:p>
      <w:pPr>
        <w:ind w:left="288"/>
      </w:pPr>
      <w:r>
        <w:rPr>
          <w:b/>
          <w:color w:val="003CA0"/>
          <w:sz w:val="16"/>
        </w:rPr>
        <w:t>[RE 561.398 AgR, rel. min. Joaquim Barbosa, j. 23-6-2009, 2ª T, DJE de 7-8-2009.]</w:t>
      </w:r>
    </w:p>
    <w:p>
      <w:pPr>
        <w:ind w:left="288"/>
      </w:pPr>
      <w:r>
        <w:rPr>
          <w:color w:val="8C8C8C"/>
          <w:sz w:val="12"/>
        </w:rPr>
        <w:t>cf-art-207</w:t>
      </w:r>
      <w:r>
        <w:rPr>
          <w:color w:val="003CA0"/>
          <w:sz w:val="12"/>
        </w:rPr>
        <w:t xml:space="preserve"> | RMS 26.369</w:t>
      </w:r>
    </w:p>
    <w:p>
      <w:pPr>
        <w:ind w:left="288"/>
      </w:pPr>
      <w:r>
        <w:rPr>
          <w:color w:val="1E1E1E"/>
          <w:sz w:val="18"/>
        </w:rPr>
        <w:t>Recurso em mandado de segurança. Curso de pós-graduação. Expedição de diploma. Curso não credenciado pelo MEC [Ministério da Educação]. Ilegitimidade passiva do ministro de Estado. Mandado de segurança impetrado porque o diploma não foi expedido, em virtude de o curso de pós-graduação não estar credenciado no MEC. Ministro de Estado não é autoridade competente para determinar a expedição de diploma, tendo a universidade autonomia específica para a prática desse ato. Desqualificada a autoridade apontada como coatora, ministro de Estado da Educação, determina-se a remessa dos autos ao Tribunal c</w:t>
      </w:r>
    </w:p>
    <w:p>
      <w:pPr>
        <w:ind w:left="288"/>
      </w:pPr>
      <w:r>
        <w:rPr>
          <w:b/>
          <w:color w:val="003CA0"/>
          <w:sz w:val="16"/>
        </w:rPr>
        <w:t>[RMS 26.369, red. do ac. min. Menezes Direito, j. 9-9-2008, 1ª T, DJE de 19-12-2008.]</w:t>
      </w:r>
    </w:p>
    <w:p>
      <w:pPr>
        <w:ind w:left="288"/>
      </w:pPr>
      <w:r>
        <w:rPr>
          <w:color w:val="8C8C8C"/>
          <w:sz w:val="12"/>
        </w:rPr>
        <w:t>cf-art-207</w:t>
      </w:r>
      <w:r>
        <w:rPr>
          <w:color w:val="003CA0"/>
          <w:sz w:val="12"/>
        </w:rPr>
        <w:t xml:space="preserve"> | RE 83.962</w:t>
      </w:r>
      <w:r>
        <w:rPr>
          <w:color w:val="003CA0"/>
          <w:sz w:val="12"/>
        </w:rPr>
        <w:t xml:space="preserve"> | rel. Soares Muñoz</w:t>
      </w:r>
    </w:p>
    <w:p>
      <w:pPr>
        <w:ind w:left="288"/>
      </w:pPr>
      <w:r>
        <w:rPr>
          <w:color w:val="1E1E1E"/>
          <w:sz w:val="18"/>
        </w:rPr>
        <w:t xml:space="preserve">As universidades públicas são dotadas de autonomia suficiente para gerir seu pessoal, bem como o próprio patrimônio financeiro. O exercício dessa autonomia não pode, contudo, sobrepor-se ao quanto dispõem a Constituição e as leis (art. 207 da Constituição do Brasil/1988). Precedentes: RE 83.962, rel. min. Soares Muñoz, DJ de 17-4-1979, e ADI 1.599 MC, rel. min. Maurício Corrêa, DJ de 18-5-2001. As universidades públicas federais, entidades da administração indireta, são constituídas sob a forma de autarquias ou fundações públicas. Seus atos, além de sofrerem a fiscalização do TCU, submetem-se </w:t>
      </w:r>
    </w:p>
    <w:p>
      <w:pPr>
        <w:ind w:left="288"/>
      </w:pPr>
      <w:r>
        <w:rPr>
          <w:b/>
          <w:color w:val="003CA0"/>
          <w:sz w:val="16"/>
        </w:rPr>
        <w:t>[RMS 22.047 AgR, rel. min. Eros Grau, j. 21-2-2006, 1ª T, DJ de 31-3-2006.]</w:t>
      </w:r>
    </w:p>
    <w:p>
      <w:pPr>
        <w:ind w:left="288"/>
      </w:pPr>
      <w:r>
        <w:rPr>
          <w:color w:val="8C8C8C"/>
          <w:sz w:val="12"/>
        </w:rPr>
        <w:t>cf-art-207</w:t>
      </w:r>
      <w:r>
        <w:rPr>
          <w:color w:val="003CA0"/>
          <w:sz w:val="12"/>
        </w:rPr>
        <w:t xml:space="preserve"> | RE 134.795</w:t>
      </w:r>
      <w:r>
        <w:rPr>
          <w:color w:val="003CA0"/>
          <w:sz w:val="12"/>
        </w:rPr>
        <w:t xml:space="preserve"> | rel. Marco Aurélio</w:t>
      </w:r>
    </w:p>
    <w:p>
      <w:pPr>
        <w:ind w:left="288"/>
      </w:pPr>
      <w:r>
        <w:rPr>
          <w:color w:val="1E1E1E"/>
          <w:sz w:val="18"/>
        </w:rPr>
        <w:t>A transferência de alunos entre universidades congêneres é instituto que integra o sistema geral de ensino, não transgredindo a autonomia universitária, e é disciplina a ser realizada de modo abrangente, não em vista de cada uma das universidades existentes no País, como decorreria da conclusão sobre tratar-se de questão própria ao estatuto de cada qual. Precedente: RE 134.795, rel. min. Marco Aurélio, RTJ 144/644.</w:t>
      </w:r>
    </w:p>
    <w:p>
      <w:pPr>
        <w:ind w:left="288"/>
      </w:pPr>
      <w:r>
        <w:rPr>
          <w:b/>
          <w:color w:val="003CA0"/>
          <w:sz w:val="16"/>
        </w:rPr>
        <w:t>[RE 362.074 AgR, rel. min. Eros Grau, j. 29-3-2005, 1ª T, DJ de 22-4-2005.]</w:t>
      </w:r>
    </w:p>
    <w:p>
      <w:pPr>
        <w:ind w:left="288"/>
      </w:pPr>
      <w:r>
        <w:rPr>
          <w:color w:val="8C8C8C"/>
          <w:sz w:val="12"/>
        </w:rPr>
        <w:t>cf-art-207</w:t>
      </w:r>
      <w:r>
        <w:rPr>
          <w:color w:val="003CA0"/>
          <w:sz w:val="12"/>
        </w:rPr>
        <w:t xml:space="preserve"> | RE 331.285</w:t>
      </w:r>
      <w:r>
        <w:rPr>
          <w:color w:val="003CA0"/>
          <w:sz w:val="12"/>
        </w:rPr>
        <w:t xml:space="preserve"> | rel. Ilmar Galvão</w:t>
      </w:r>
    </w:p>
    <w:p>
      <w:pPr>
        <w:ind w:left="288"/>
      </w:pPr>
      <w:r>
        <w:rPr>
          <w:color w:val="1E1E1E"/>
          <w:sz w:val="18"/>
        </w:rPr>
        <w:t>O fato de gozarem as universidades da autonomia que lhes é constitucionalmente garantida não retira das autarquias dedicadas a esse mister a qualidade de integrantes da administração indireta, nem afasta, em consequência, a aplicação, a seus servidores, do regime jurídico comum a todo o funcionalismo, inclusive as regras remuneratórias.</w:t>
      </w:r>
    </w:p>
    <w:p>
      <w:pPr>
        <w:ind w:left="288"/>
      </w:pPr>
      <w:r>
        <w:rPr>
          <w:b/>
          <w:color w:val="003CA0"/>
          <w:sz w:val="16"/>
        </w:rPr>
        <w:t>[RE 331.285, rel. min. Ilmar Galvão, j. 25-3-2003, 1ª T, DJ de 2-5-2003.]</w:t>
      </w:r>
    </w:p>
    <w:p>
      <w:pPr>
        <w:ind w:left="288"/>
      </w:pPr>
      <w:r>
        <w:rPr>
          <w:color w:val="8C8C8C"/>
          <w:sz w:val="12"/>
        </w:rPr>
        <w:t>cf-art-207</w:t>
      </w:r>
      <w:r>
        <w:rPr>
          <w:color w:val="003CA0"/>
          <w:sz w:val="12"/>
        </w:rPr>
        <w:t xml:space="preserve"> | RMS 22.111</w:t>
      </w:r>
      <w:r>
        <w:rPr>
          <w:color w:val="003CA0"/>
          <w:sz w:val="12"/>
        </w:rPr>
        <w:t xml:space="preserve"> | rel. Sydney Sanches</w:t>
      </w:r>
    </w:p>
    <w:p>
      <w:pPr>
        <w:ind w:left="288"/>
      </w:pPr>
      <w:r>
        <w:rPr>
          <w:color w:val="1E1E1E"/>
          <w:sz w:val="18"/>
        </w:rPr>
        <w:t>Universidade Braz Cubas, de Mogi das Cruzes. Curso de Odontologia. Fechamento. Autonomia universitária. (...) O ato impugnado com a impetração se funda, também, no inciso II do art. 209 da CF, segundo o qual "o ensino é livre à iniciativa privada", desde que atendidas certas condições, entre as quais "autorização" e avaliação de qualidade pelo poder público. Vale dizer, o próprio ensino, pela empresa privada, depende de "autorização e avaliação de qualidade pelo poder público". Desde o advento, pelo menos, da CF, que é de 5-10-1988, anterior, portanto, à deliberação dos Conselhos da Universida</w:t>
      </w:r>
    </w:p>
    <w:p>
      <w:pPr>
        <w:ind w:left="288"/>
      </w:pPr>
      <w:r>
        <w:rPr>
          <w:b/>
          <w:color w:val="003CA0"/>
          <w:sz w:val="16"/>
        </w:rPr>
        <w:t>[RMS 22.111, rel. min. Sydney Sanches, j. 14-11-1996, P, DJ de 13-6-1997.]</w:t>
      </w:r>
    </w:p>
    <w:p>
      <w:pPr>
        <w:ind w:left="144"/>
      </w:pPr>
      <w:r>
        <w:rPr>
          <w:b/>
          <w:color w:val="B45A00"/>
          <w:sz w:val="16"/>
        </w:rPr>
        <w:t>REPERCUSSAO GERAL</w:t>
      </w:r>
    </w:p>
    <w:p>
      <w:pPr>
        <w:ind w:left="288"/>
      </w:pPr>
      <w:r>
        <w:rPr>
          <w:color w:val="8C8C8C"/>
          <w:sz w:val="12"/>
        </w:rPr>
        <w:t>cf-art-207-par-1</w:t>
      </w:r>
      <w:r>
        <w:rPr>
          <w:color w:val="003CA0"/>
          <w:sz w:val="12"/>
        </w:rPr>
        <w:t xml:space="preserve"> | RE 1.177.699</w:t>
      </w:r>
      <w:r>
        <w:rPr>
          <w:color w:val="003CA0"/>
          <w:sz w:val="12"/>
        </w:rPr>
        <w:t xml:space="preserve"> | rel. Edson Fachin</w:t>
      </w:r>
    </w:p>
    <w:p>
      <w:pPr>
        <w:ind w:left="288"/>
      </w:pPr>
      <w:r>
        <w:rPr>
          <w:color w:val="1E1E1E"/>
          <w:sz w:val="18"/>
        </w:rPr>
        <w:t>(...) “o candidato estrangeiro tem direito líquido e certo à nomeação em concurso público para provimento de cargos de professor, técnico e cientista em universidades e instituições de pesquisa científica e tecnológica federais, nos termos do art. 207, § 1º, da Constituição Federal, salvo se a restrição da nacionalidade estiver expressa no edital do certame com o exclusivo objetivo de preservar o interesse público e desde que, sem prejuízo de controle judicial, devidamente justificada”.</w:t>
        <w:br/>
        <w:t>[RE 1.177.699, rel. min. Edson Fachin, j. 27-3-2023, P, DJE de 5-5-2023, Tema 1.032, com mérito julgado.]</w:t>
      </w:r>
    </w:p>
    <w:p>
      <w:pPr>
        <w:ind w:left="432"/>
      </w:pPr>
      <w:r>
        <w:rPr>
          <w:color w:val="003366"/>
          <w:sz w:val="18"/>
        </w:rPr>
        <w:t>§ 1 É facultado às universidades admitir professores, técnicos e cientistas estr</w:t>
      </w:r>
    </w:p>
    <w:p>
      <w:pPr>
        <w:ind w:left="432"/>
      </w:pPr>
      <w:r>
        <w:rPr>
          <w:color w:val="003366"/>
          <w:sz w:val="18"/>
        </w:rPr>
        <w:t>§ 2 O disposto neste artigo aplica-se às instituições de pesquisa científica e t</w:t>
      </w:r>
    </w:p>
    <w:p>
      <w:r>
        <w:rPr>
          <w:b/>
          <w:color w:val="003366"/>
          <w:sz w:val="20"/>
        </w:rPr>
        <w:t>Art. 208 O dever do Estado com a educação será efetivado mediante a garantia de:</w:t>
      </w:r>
      <w:r>
        <w:rPr>
          <w:color w:val="8C8C8C"/>
          <w:sz w:val="14"/>
        </w:rPr>
        <w:t xml:space="preserve">  [19 decisoes]</w:t>
      </w:r>
    </w:p>
    <w:p>
      <w:pPr>
        <w:ind w:left="288"/>
      </w:pPr>
      <w:r>
        <w:rPr>
          <w:color w:val="8C8C8C"/>
          <w:sz w:val="12"/>
        </w:rPr>
        <w:t>cf-art-208</w:t>
      </w:r>
    </w:p>
    <w:p>
      <w:pPr>
        <w:ind w:left="288"/>
      </w:pPr>
      <w:r>
        <w:rPr>
          <w:color w:val="1E1E1E"/>
          <w:sz w:val="18"/>
        </w:rPr>
        <w:t>I - educação básica obrigatória e gratuita dos 4 (quatro) aos 17 (dezessete) anos de idade, assegurada inclusive sua oferta gratuita para todos os que a ela não tiveram acesso na idade própria; (Redação da EC 59/2009) (Vide EC 59/2009)</w:t>
      </w:r>
    </w:p>
    <w:p>
      <w:pPr>
        <w:ind w:left="144"/>
      </w:pPr>
      <w:r>
        <w:rPr>
          <w:b/>
          <w:color w:val="B45A00"/>
          <w:sz w:val="16"/>
        </w:rPr>
        <w:t>CONTROLE CONCENTRADO</w:t>
      </w:r>
    </w:p>
    <w:p>
      <w:pPr>
        <w:ind w:left="288"/>
      </w:pPr>
      <w:r>
        <w:rPr>
          <w:color w:val="8C8C8C"/>
          <w:sz w:val="12"/>
        </w:rPr>
        <w:t>cf-art-208</w:t>
      </w:r>
      <w:r>
        <w:rPr>
          <w:color w:val="003CA0"/>
          <w:sz w:val="12"/>
        </w:rPr>
        <w:t xml:space="preserve"> | ADPF 292</w:t>
      </w:r>
      <w:r>
        <w:rPr>
          <w:color w:val="003CA0"/>
          <w:sz w:val="12"/>
        </w:rPr>
        <w:t xml:space="preserve"> | rel. Luiz Fux</w:t>
      </w:r>
    </w:p>
    <w:p>
      <w:pPr>
        <w:ind w:left="288"/>
      </w:pPr>
      <w:r>
        <w:rPr>
          <w:color w:val="1E1E1E"/>
          <w:sz w:val="18"/>
        </w:rPr>
        <w:t>As Resoluções CNE/CEB 1/2010 e 6/2010, ao estabelecerem um critério único e objetivo para o ingresso às séries iniciais da Educação Infantil e do Ensino Fundamental da criança que tenha, respectivamente, quatro e seis anos de idade, completos até o dia 31 de março do ano em que ocorrer a matrícula, não violam os princípios da isonomia, da proporcionalidade e do acesso à educação. A efetividade das normas consagradoras do direito à educação encontrou suporte nas alterações promovidas pelo constituinte derivado, por meio das Emendas Constitucionais 53/2006 e 59/2009, que ampliaram a educação obr</w:t>
      </w:r>
    </w:p>
    <w:p>
      <w:pPr>
        <w:ind w:left="144"/>
      </w:pPr>
      <w:r>
        <w:rPr>
          <w:b/>
          <w:color w:val="B45A00"/>
          <w:sz w:val="16"/>
        </w:rPr>
        <w:t>REPERCUSSAO GERAL</w:t>
      </w:r>
    </w:p>
    <w:p>
      <w:pPr>
        <w:ind w:left="288"/>
      </w:pPr>
      <w:r>
        <w:rPr>
          <w:color w:val="8C8C8C"/>
          <w:sz w:val="12"/>
        </w:rPr>
        <w:t>cf-art-208</w:t>
      </w:r>
      <w:r>
        <w:rPr>
          <w:color w:val="003CA0"/>
          <w:sz w:val="12"/>
        </w:rPr>
        <w:t xml:space="preserve"> | RE 888.815</w:t>
      </w:r>
    </w:p>
    <w:p>
      <w:pPr>
        <w:ind w:left="288"/>
      </w:pPr>
      <w:r>
        <w:rPr>
          <w:color w:val="1E1E1E"/>
          <w:sz w:val="18"/>
        </w:rPr>
        <w:t>A Constituição Federal não veda de forma absoluta o ensino domiciliar, mas proíbe qualquer de suas espécies que não respeite o dever de solidariedade entre a família e o Estado como núcleo principal à formação educacional das crianças, jovens e adolescentes.</w:t>
      </w:r>
    </w:p>
    <w:p>
      <w:pPr>
        <w:ind w:left="288"/>
      </w:pPr>
      <w:r>
        <w:rPr>
          <w:b/>
          <w:color w:val="003CA0"/>
          <w:sz w:val="16"/>
        </w:rPr>
        <w:t>[RE 888.815, red. do ac. min. Alexandre de Moraes, j. 12-9-2018, P, DJE de 21-3-2019, Tema 822, com mérito julgado.]</w:t>
      </w:r>
    </w:p>
    <w:p>
      <w:pPr>
        <w:ind w:left="144"/>
      </w:pPr>
      <w:r>
        <w:rPr>
          <w:b/>
          <w:color w:val="B45A00"/>
          <w:sz w:val="16"/>
        </w:rPr>
        <w:t>CONTROLE CONCENTRADO</w:t>
      </w:r>
    </w:p>
    <w:p>
      <w:pPr>
        <w:ind w:left="288"/>
      </w:pPr>
      <w:r>
        <w:rPr>
          <w:color w:val="8C8C8C"/>
          <w:sz w:val="12"/>
        </w:rPr>
        <w:t>cf-art-208-inc-III</w:t>
      </w:r>
      <w:r>
        <w:rPr>
          <w:color w:val="003CA0"/>
          <w:sz w:val="12"/>
        </w:rPr>
        <w:t xml:space="preserve"> | ADI 6.590</w:t>
      </w:r>
      <w:r>
        <w:rPr>
          <w:color w:val="003CA0"/>
          <w:sz w:val="12"/>
        </w:rPr>
        <w:t xml:space="preserve"> | rel. Dias Toffoli</w:t>
      </w:r>
    </w:p>
    <w:p>
      <w:pPr>
        <w:ind w:left="288"/>
      </w:pPr>
      <w:r>
        <w:rPr>
          <w:color w:val="1E1E1E"/>
          <w:sz w:val="18"/>
        </w:rPr>
        <w:t xml:space="preserve">O paradigma da educação inclusiva é o resultado de um processo de conquistas sociais que afastaram a ideia de vivência segregada das pessoas com deficiência ou necessidades especiais para inseri-las no contexto da comunidade. Subverter esse paradigma significa, além de grave ofensa à Constituição de 1988, um retrocesso na proteção de direitos desses indivíduos. A Política Nacional de Educação Especial questionada contraria o paradigma da educação inclusiva, por claramente retirar a ênfase da matrícula no ensino regular, passando a apresentar esse último como mera alternativa dentro do sistema </w:t>
      </w:r>
    </w:p>
    <w:p>
      <w:pPr>
        <w:ind w:left="288"/>
      </w:pPr>
      <w:r>
        <w:rPr>
          <w:b/>
          <w:color w:val="003CA0"/>
          <w:sz w:val="16"/>
        </w:rPr>
        <w:t>[ADI 6.590 MC-REF, rel. min. Dias Toffoli, j. 21-12-2020, P, DJE de 12-2-2021.]</w:t>
      </w:r>
    </w:p>
    <w:p>
      <w:pPr>
        <w:ind w:left="288"/>
      </w:pPr>
      <w:r>
        <w:rPr>
          <w:color w:val="8C8C8C"/>
          <w:sz w:val="12"/>
        </w:rPr>
        <w:t>cf-art-208-inc-III</w:t>
      </w:r>
      <w:r>
        <w:rPr>
          <w:color w:val="003CA0"/>
          <w:sz w:val="12"/>
        </w:rPr>
        <w:t xml:space="preserve"> | ADI 5.357</w:t>
      </w:r>
      <w:r>
        <w:rPr>
          <w:color w:val="003CA0"/>
          <w:sz w:val="12"/>
        </w:rPr>
        <w:t xml:space="preserve"> | rel. Edson Fachin</w:t>
      </w:r>
    </w:p>
    <w:p>
      <w:pPr>
        <w:ind w:left="288"/>
      </w:pPr>
      <w:r>
        <w:rPr>
          <w:color w:val="1E1E1E"/>
          <w:sz w:val="18"/>
        </w:rPr>
        <w:t>Lei 13.146/2015. Estatuto da Pessoa com Deficiência. Ensino inclusivo. (...) A Convenção Internacional sobre os Direitos da Pessoa com Deficiência concretiza o princípio da igualdade como fundamento de uma sociedade democrática que respeita a dignidade humana. À luz da Convenção e, por consequência, da própria Constituição da República, o ensino inclusivo em todos os níveis de educação não é realidade estranha ao ordenamento jurídico pátrio, mas, sim, imperativo que se põe mediante regra explícita. Nessa toada, a Constituição da República prevê em diversos dispositivos a proteção da pessoa com</w:t>
      </w:r>
    </w:p>
    <w:p>
      <w:pPr>
        <w:ind w:left="288"/>
      </w:pPr>
      <w:r>
        <w:rPr>
          <w:b/>
          <w:color w:val="003CA0"/>
          <w:sz w:val="16"/>
        </w:rPr>
        <w:t>[RE 1.513.460, rel. min. Gilmar Mendes, j. 16-12-2025, P, DJE de 8-1-2026.]</w:t>
      </w:r>
    </w:p>
    <w:p>
      <w:pPr>
        <w:ind w:left="288"/>
      </w:pPr>
      <w:r>
        <w:rPr>
          <w:color w:val="8C8C8C"/>
          <w:sz w:val="12"/>
        </w:rPr>
        <w:t>cf-art-208-inc-III</w:t>
      </w:r>
      <w:r>
        <w:rPr>
          <w:color w:val="003CA0"/>
          <w:sz w:val="12"/>
        </w:rPr>
        <w:t xml:space="preserve"> | RE 1.178.538</w:t>
      </w:r>
      <w:r>
        <w:rPr>
          <w:color w:val="003CA0"/>
          <w:sz w:val="12"/>
        </w:rPr>
        <w:t xml:space="preserve"> | rel. Gilmar Mendes</w:t>
      </w:r>
    </w:p>
    <w:p>
      <w:pPr>
        <w:ind w:left="288"/>
      </w:pPr>
      <w:r>
        <w:rPr>
          <w:color w:val="1E1E1E"/>
          <w:sz w:val="18"/>
        </w:rPr>
        <w:t>A Constituição Federal, especialmente o art. 208, III, e a Convenção Internacional sobre os Direitos das Pessoas com Deficiência (com força de emenda constitucional) estabelecem o paradigma da educação inclusiva, garantindo atendimento educacional especializado e vedando a exclusão de pessoas com deficiência do sistema educacional. As Leis Federais 12.764/2012 e 13.146/2015 (Estatuto da Pessoa com Deficiência) reforçam a obrigatoriedade do ensino inclusivo e a vedação à recusa de matrícula de alunos com deficiência. A Lei 6.030/2015 do Município do Rio de Janeiro, que reserva 10% de vagas para</w:t>
      </w:r>
    </w:p>
    <w:p>
      <w:pPr>
        <w:ind w:left="288"/>
      </w:pPr>
      <w:r>
        <w:rPr>
          <w:b/>
          <w:color w:val="003CA0"/>
          <w:sz w:val="16"/>
        </w:rPr>
        <w:t>[RE 1.178.538 ED-AgR, rel. min. Gilmar Mendes, j. 05.11.2025, 2ª T, DJE de 17.12.2025.]</w:t>
      </w:r>
    </w:p>
    <w:p>
      <w:pPr>
        <w:ind w:left="288"/>
      </w:pPr>
      <w:r>
        <w:rPr>
          <w:color w:val="8C8C8C"/>
          <w:sz w:val="12"/>
        </w:rPr>
        <w:t>cf-art-208-inc-IV</w:t>
      </w:r>
      <w:r>
        <w:rPr>
          <w:color w:val="003CA0"/>
          <w:sz w:val="12"/>
        </w:rPr>
        <w:t xml:space="preserve"> | ADPF 292</w:t>
      </w:r>
      <w:r>
        <w:rPr>
          <w:color w:val="003CA0"/>
          <w:sz w:val="12"/>
        </w:rPr>
        <w:t xml:space="preserve"> | rel. Luiz Fux</w:t>
      </w:r>
    </w:p>
    <w:p>
      <w:pPr>
        <w:ind w:left="288"/>
      </w:pPr>
      <w:r>
        <w:rPr>
          <w:color w:val="1E1E1E"/>
          <w:sz w:val="18"/>
        </w:rPr>
        <w:t>As Resoluções CNE/CEB 1/2010 e 6/2010, ao estabelecerem um critério único e objetivo para o ingresso às séries iniciais da Educação Infantil e do Ensino Fundamental da criança que tenha, respectivamente, quatro e seis anos de idade, completos até o dia 31 de março do ano em que ocorrer a matrícula, não violam os princípios da isonomia, da proporcionalidade e do acesso à educação. A efetividade das normas consagradoras do direito à educação encontrou suporte nas alterações promovidas pelo constituinte derivado, por meio das Emendas Constitucionais 53/2006 e 59/2009, que ampliaram a educação obr</w:t>
      </w:r>
    </w:p>
    <w:p>
      <w:pPr>
        <w:ind w:left="144"/>
      </w:pPr>
      <w:r>
        <w:rPr>
          <w:b/>
          <w:color w:val="B45A00"/>
          <w:sz w:val="16"/>
        </w:rPr>
        <w:t>REPERCUSSAO GERAL</w:t>
      </w:r>
    </w:p>
    <w:p>
      <w:pPr>
        <w:ind w:left="288"/>
      </w:pPr>
      <w:r>
        <w:rPr>
          <w:color w:val="8C8C8C"/>
          <w:sz w:val="12"/>
        </w:rPr>
        <w:t>cf-art-208-inc-IV</w:t>
      </w:r>
      <w:r>
        <w:rPr>
          <w:color w:val="003CA0"/>
          <w:sz w:val="12"/>
        </w:rPr>
        <w:t xml:space="preserve"> | RE 1.008.166</w:t>
      </w:r>
      <w:r>
        <w:rPr>
          <w:color w:val="003CA0"/>
          <w:sz w:val="12"/>
        </w:rPr>
        <w:t xml:space="preserve"> | rel. Luiz Fux</w:t>
      </w:r>
    </w:p>
    <w:p>
      <w:pPr>
        <w:ind w:left="288"/>
      </w:pPr>
      <w:r>
        <w:rPr>
          <w:color w:val="1E1E1E"/>
          <w:sz w:val="18"/>
        </w:rPr>
        <w:t>A educação básica em todas as suas fases – educação infantil, ensino fundamental e ensino médio – constitui direito fundamental de todas as crianças e jovens, assegurado por normas constitucionais de eficácia plena e aplicabilidade direta e imediata. A educação infantil compreende creche (de zero a 3 anos) e a pré-escola (de 4 a 5 anos). Sua oferta pelo Poder Público pode ser exigida individualmente, como no caso examinado neste processo. O Poder Público tem o dever jurídico de dar efetividade integral às normas constitucionais sobre acesso à educação básica.</w:t>
        <w:br/>
        <w:t>[RE 1.008.166, rel. min. Luiz Fux,</w:t>
      </w:r>
    </w:p>
    <w:p>
      <w:pPr>
        <w:ind w:left="144"/>
      </w:pPr>
      <w:r>
        <w:rPr>
          <w:b/>
          <w:color w:val="B45A00"/>
          <w:sz w:val="16"/>
        </w:rPr>
        <w:t>JULGADOS CORRELATOS</w:t>
      </w:r>
    </w:p>
    <w:p>
      <w:pPr>
        <w:ind w:left="288"/>
      </w:pPr>
      <w:r>
        <w:rPr>
          <w:color w:val="8C8C8C"/>
          <w:sz w:val="12"/>
        </w:rPr>
        <w:t>cf-art-208-inc-IV</w:t>
      </w:r>
      <w:r>
        <w:rPr>
          <w:color w:val="003CA0"/>
          <w:sz w:val="12"/>
        </w:rPr>
        <w:t xml:space="preserve"> | RE 1.301.366</w:t>
      </w:r>
      <w:r>
        <w:rPr>
          <w:color w:val="003CA0"/>
          <w:sz w:val="12"/>
        </w:rPr>
        <w:t xml:space="preserve"> | rel. Ricardo Lewandowski</w:t>
      </w:r>
    </w:p>
    <w:p>
      <w:pPr>
        <w:ind w:left="288"/>
      </w:pPr>
      <w:r>
        <w:rPr>
          <w:color w:val="1E1E1E"/>
          <w:sz w:val="18"/>
        </w:rPr>
        <w:t>Esta Casa tem dado a máxima efetividade ao disposto nos artigos 208, IV e 227 da Constituição Federal em defesa do direito à educação básica, devendo ser respeitado o tratamento isonômico em relação a todas as crianças e adolescentes quanto à matrícula em escolas próximas a suas residências, com ampliação da oferta de vagas nas instituições de ensino públicas.</w:t>
        <w:br/>
        <w:t>[RE 1.301.366 AgR, rel. min. Ricardo Lewandowski, red. do ac. min. Edson Fachin, j. 13-10-2023, 2ª T, DJE de 8-2-2024.] A educação infantil representa prerrogativa constitucional indisponível, que, deferida às crianças, a estas assegura,</w:t>
      </w:r>
    </w:p>
    <w:p>
      <w:pPr>
        <w:ind w:left="288"/>
      </w:pPr>
      <w:r>
        <w:rPr>
          <w:b/>
          <w:color w:val="003CA0"/>
          <w:sz w:val="16"/>
        </w:rPr>
        <w:t>[RE 554.075 AgR, rel. min. Cármen Lúcia, j. 30-6-2009, 1ª T, DJE de 21-8-2009.]</w:t>
      </w:r>
    </w:p>
    <w:p>
      <w:pPr>
        <w:ind w:left="288"/>
      </w:pPr>
      <w:r>
        <w:rPr>
          <w:color w:val="8C8C8C"/>
          <w:sz w:val="12"/>
        </w:rPr>
        <w:t>cf-art-208-inc-IV</w:t>
      </w:r>
      <w:r>
        <w:rPr>
          <w:color w:val="003CA0"/>
          <w:sz w:val="12"/>
        </w:rPr>
        <w:t xml:space="preserve"> | AI 592.075</w:t>
      </w:r>
      <w:r>
        <w:rPr>
          <w:color w:val="003CA0"/>
          <w:sz w:val="12"/>
        </w:rPr>
        <w:t xml:space="preserve"> | rel. Ricardo Lewandowski</w:t>
      </w:r>
    </w:p>
    <w:p>
      <w:pPr>
        <w:ind w:left="288"/>
      </w:pPr>
      <w:r>
        <w:rPr>
          <w:color w:val="1E1E1E"/>
          <w:sz w:val="18"/>
        </w:rPr>
        <w:t>= AI 592.075 AgR, rel. min. Ricardo Lewandowski, j. 19-5-2009, 1ª T, DJE de 5-6-2009</w:t>
      </w:r>
    </w:p>
    <w:p>
      <w:pPr>
        <w:ind w:left="144"/>
      </w:pPr>
      <w:r>
        <w:rPr>
          <w:b/>
          <w:color w:val="B45A00"/>
          <w:sz w:val="16"/>
        </w:rPr>
        <w:t>CONTROLE CONCENTRADO</w:t>
      </w:r>
    </w:p>
    <w:p>
      <w:pPr>
        <w:ind w:left="288"/>
      </w:pPr>
      <w:r>
        <w:rPr>
          <w:color w:val="8C8C8C"/>
          <w:sz w:val="12"/>
        </w:rPr>
        <w:t>cf-art-208-inc-V</w:t>
      </w:r>
      <w:r>
        <w:rPr>
          <w:color w:val="003CA0"/>
          <w:sz w:val="12"/>
        </w:rPr>
        <w:t xml:space="preserve"> | ADI 4.868</w:t>
      </w:r>
      <w:r>
        <w:rPr>
          <w:color w:val="003CA0"/>
          <w:sz w:val="12"/>
        </w:rPr>
        <w:t xml:space="preserve"> | rel. Gilmar Mendes</w:t>
      </w:r>
    </w:p>
    <w:p>
      <w:pPr>
        <w:ind w:left="288"/>
      </w:pPr>
      <w:r>
        <w:rPr>
          <w:color w:val="1E1E1E"/>
          <w:sz w:val="18"/>
        </w:rPr>
        <w:t>Sistema de cotas para ingresso nas Universidades e faculdades públicas do Distrito Federal. Reserva de 40% das vagas para alunos que comprovem ter cursado integralmente os ensinos fundamental e médio em escolas públicas do Distrito Federal. Discriminação em razão da origem. Critério espacial que não se justifica em razão da política de ação afirmativa que busca garantir igualdade de oportunidade aos oriundos da escola pública. Ação direta de inconstitucionalidade julgada procedente para declarar a inconstitucionalidade da expressão ‘do Distrito Federal’, constante do artigo 1º da Lei Distrital</w:t>
      </w:r>
    </w:p>
    <w:p>
      <w:pPr>
        <w:ind w:left="288"/>
      </w:pPr>
      <w:r>
        <w:rPr>
          <w:b/>
          <w:color w:val="003CA0"/>
          <w:sz w:val="16"/>
        </w:rPr>
        <w:t>[ADI 4.868, rel. min. Gilmar Mendes, j. 27-3-2020, P, DJE de 15-4-2020.]</w:t>
      </w:r>
    </w:p>
    <w:p>
      <w:pPr>
        <w:ind w:left="288"/>
      </w:pPr>
      <w:r>
        <w:rPr>
          <w:color w:val="8C8C8C"/>
          <w:sz w:val="12"/>
        </w:rPr>
        <w:t>cf-art-208-inc-V</w:t>
      </w:r>
      <w:r>
        <w:rPr>
          <w:color w:val="003CA0"/>
          <w:sz w:val="12"/>
        </w:rPr>
        <w:t xml:space="preserve"> | ADPF 186</w:t>
      </w:r>
      <w:r>
        <w:rPr>
          <w:color w:val="003CA0"/>
          <w:sz w:val="12"/>
        </w:rPr>
        <w:t xml:space="preserve"> | rel. Ricardo Lewandowski</w:t>
      </w:r>
    </w:p>
    <w:p>
      <w:pPr>
        <w:ind w:left="288"/>
      </w:pPr>
      <w:r>
        <w:rPr>
          <w:color w:val="1E1E1E"/>
          <w:sz w:val="18"/>
        </w:rPr>
        <w:t>Atos que instituíram sistema de reserva de vagas com base em critério étnico-racial (cotas) no processo de seleção para ingresso em instituição pública de ensino superior. (...) Não contraria – ao contrário, prestigia – o princípio da igualdade material, previsto no caput do art. 5º da Carta da República, a possibilidade de o Estado lançar mão seja de políticas de cunho universalista, que abrangem um número indeterminado de indivíduos, mediante ações de natureza estrutural, seja de ações afirmativas, que atingem grupos sociais determinados, de maneira pontual, atribuindo a esses certas vantage</w:t>
      </w:r>
    </w:p>
    <w:p>
      <w:pPr>
        <w:ind w:left="288"/>
      </w:pPr>
      <w:r>
        <w:rPr>
          <w:b/>
          <w:color w:val="003CA0"/>
          <w:sz w:val="16"/>
        </w:rPr>
        <w:t>[ADPF 186, rel. min. Ricardo Lewandowski, j. 26-4-2012, P, DJE de 20-10-2014.]</w:t>
      </w:r>
    </w:p>
    <w:p>
      <w:pPr>
        <w:ind w:left="288"/>
      </w:pPr>
      <w:r>
        <w:rPr>
          <w:color w:val="8C8C8C"/>
          <w:sz w:val="12"/>
        </w:rPr>
        <w:t>cf-art-208-inc-V</w:t>
      </w:r>
      <w:r>
        <w:rPr>
          <w:color w:val="003CA0"/>
          <w:sz w:val="12"/>
        </w:rPr>
        <w:t xml:space="preserve"> | RE 597.285</w:t>
      </w:r>
      <w:r>
        <w:rPr>
          <w:color w:val="003CA0"/>
          <w:sz w:val="12"/>
        </w:rPr>
        <w:t xml:space="preserve"> | rel. Ricardo Lewandowski</w:t>
      </w:r>
    </w:p>
    <w:p>
      <w:pPr>
        <w:ind w:left="288"/>
      </w:pPr>
      <w:r>
        <w:rPr>
          <w:color w:val="1E1E1E"/>
          <w:sz w:val="18"/>
        </w:rPr>
        <w:t>= RE 597.285, rel. min. Ricardo Lewandowski, j. 9-5-2012, P, DJE de 18-3-2014, Tema 203 (...) é consentânea com a Carta da República previsão normativa asseguradora, ao militar e ao dependente estudante, do acesso a instituição de ensino na localidade para onde é removido. Todavia, a transferência do local do serviço não pode se mostrar verdadeiro mecanismo para lograr-se a transposição da seara particular para a pública, sob pena de se colocar em plano secundário a isonomia – art. 5º, cabeça e inciso I –, a impessoalidade, a moralidade na administração pública, a igualdade de condições para o</w:t>
      </w:r>
    </w:p>
    <w:p>
      <w:pPr>
        <w:ind w:left="288"/>
      </w:pPr>
      <w:r>
        <w:rPr>
          <w:b/>
          <w:color w:val="003CA0"/>
          <w:sz w:val="16"/>
        </w:rPr>
        <w:t>[ADI 3.324, voto do rel. min. Marco Aurélio, j. 16-12-2004, P, DJ de 5-8-2005.]</w:t>
      </w:r>
    </w:p>
    <w:p>
      <w:pPr>
        <w:ind w:left="288"/>
      </w:pPr>
      <w:r>
        <w:rPr>
          <w:color w:val="8C8C8C"/>
          <w:sz w:val="12"/>
        </w:rPr>
        <w:t>cf-art-208-inc-V</w:t>
      </w:r>
      <w:r>
        <w:rPr>
          <w:color w:val="003CA0"/>
          <w:sz w:val="12"/>
        </w:rPr>
        <w:t xml:space="preserve"> | AI 858.241</w:t>
      </w:r>
      <w:r>
        <w:rPr>
          <w:color w:val="003CA0"/>
          <w:sz w:val="12"/>
        </w:rPr>
        <w:t xml:space="preserve"> | rel. Ricardo Lewandowski</w:t>
      </w:r>
    </w:p>
    <w:p>
      <w:pPr>
        <w:ind w:left="288"/>
      </w:pPr>
      <w:r>
        <w:rPr>
          <w:color w:val="1E1E1E"/>
          <w:sz w:val="18"/>
        </w:rPr>
        <w:t>= AI 858.241 AgR, rel. min. Ricardo Lewandowski, j. 10-12-2013, 2ª T, DJE de 3-2-2014 Vide RE 601.580, rel. min. Edson Fachin, j. 19-9-2018, P, DJE de 20-2-2020, Tema 57</w:t>
      </w:r>
    </w:p>
    <w:p>
      <w:pPr>
        <w:ind w:left="144"/>
      </w:pPr>
      <w:r>
        <w:rPr>
          <w:b/>
          <w:color w:val="B45A00"/>
          <w:sz w:val="16"/>
        </w:rPr>
        <w:t>REPERCUSSAO GERAL</w:t>
      </w:r>
    </w:p>
    <w:p>
      <w:pPr>
        <w:ind w:left="288"/>
      </w:pPr>
      <w:r>
        <w:rPr>
          <w:color w:val="8C8C8C"/>
          <w:sz w:val="12"/>
        </w:rPr>
        <w:t>cf-art-208-inc-V</w:t>
      </w:r>
      <w:r>
        <w:rPr>
          <w:color w:val="003CA0"/>
          <w:sz w:val="12"/>
        </w:rPr>
        <w:t xml:space="preserve"> | RE 601.580</w:t>
      </w:r>
      <w:r>
        <w:rPr>
          <w:color w:val="003CA0"/>
          <w:sz w:val="12"/>
        </w:rPr>
        <w:t xml:space="preserve"> | rel. Edson Fachin</w:t>
      </w:r>
    </w:p>
    <w:p>
      <w:pPr>
        <w:ind w:left="288"/>
      </w:pPr>
      <w:r>
        <w:rPr>
          <w:color w:val="1E1E1E"/>
          <w:sz w:val="18"/>
        </w:rPr>
        <w:t>A transferência de servidor público federal civil ou militar estudante, ou seu dependente, prevista no art. 49, parágrafo único, da Lei 9.394/96, e regulamentada pela Lei 9.356/97, pode ser efetivada entre instituições pertencentes a qualquer sistema de ensino, na falta de universidade congênere à de origem. É constitucional a previsão legal que assegure, na hipótese de transferência ex officio de servidor, a matrícula em instituição pública, se inexistir instituição congênere à de origem.</w:t>
      </w:r>
    </w:p>
    <w:p>
      <w:pPr>
        <w:ind w:left="288"/>
      </w:pPr>
      <w:r>
        <w:rPr>
          <w:b/>
          <w:color w:val="003CA0"/>
          <w:sz w:val="16"/>
        </w:rPr>
        <w:t>[RE 601.580, rel. min. Edson Fachin, j. 19-9-2018, P, DJE de 20-2-2020, Tema 57, com mérito julgado.]</w:t>
      </w:r>
    </w:p>
    <w:p>
      <w:pPr>
        <w:ind w:left="288"/>
      </w:pPr>
      <w:r>
        <w:rPr>
          <w:color w:val="8C8C8C"/>
          <w:sz w:val="12"/>
        </w:rPr>
        <w:t>cf-art-208-inc-V</w:t>
      </w:r>
      <w:r>
        <w:rPr>
          <w:color w:val="003CA0"/>
          <w:sz w:val="12"/>
        </w:rPr>
        <w:t xml:space="preserve"> | ADPF 186</w:t>
      </w:r>
      <w:r>
        <w:rPr>
          <w:color w:val="003CA0"/>
          <w:sz w:val="12"/>
        </w:rPr>
        <w:t xml:space="preserve"> | rel. Ricardo Lewandowski</w:t>
      </w:r>
    </w:p>
    <w:p>
      <w:pPr>
        <w:ind w:left="288"/>
      </w:pPr>
      <w:r>
        <w:rPr>
          <w:color w:val="1E1E1E"/>
          <w:sz w:val="18"/>
        </w:rPr>
        <w:t>(...) embora não exista lei específica tratando do sistema de cotas, há toda uma base normativa legal que autoriza o uso de ações afirmativas, como a utilização de critério étnico-racial na seleção para ingresso no ensino superior, conforme ressaltei na ADPF 186/DF, de minha relatoria. (...) No mais, os outros argumentos levantados pelo recorrido foram analisados na ADPF 186/DF, em que considerei a constitucionalidade: (i) das políticas de ação afirmativa, (ii) da utilização dessas políticas na seleção para o ingresso no ensino superior, especialmente nas escolas públicas, (iii) do uso do crit</w:t>
      </w:r>
    </w:p>
    <w:p>
      <w:pPr>
        <w:ind w:left="288"/>
      </w:pPr>
      <w:r>
        <w:rPr>
          <w:b/>
          <w:color w:val="003CA0"/>
          <w:sz w:val="16"/>
        </w:rPr>
        <w:t>[RE 597.285, voto do rel. min. Ricardo Lewandowski, j. 9-5-2012, P, DJE de 18-3-2014, Tema 203, com mérito julgado.]</w:t>
      </w:r>
    </w:p>
    <w:p>
      <w:pPr>
        <w:ind w:left="288"/>
      </w:pPr>
      <w:r>
        <w:rPr>
          <w:color w:val="8C8C8C"/>
          <w:sz w:val="12"/>
        </w:rPr>
        <w:t>cf-art-208-inc-V</w:t>
      </w:r>
      <w:r>
        <w:rPr>
          <w:color w:val="003CA0"/>
          <w:sz w:val="12"/>
        </w:rPr>
        <w:t xml:space="preserve"> | ADPF 186</w:t>
      </w:r>
      <w:r>
        <w:rPr>
          <w:color w:val="003CA0"/>
          <w:sz w:val="12"/>
        </w:rPr>
        <w:t xml:space="preserve"> | rel. Ricardo Lewandowski</w:t>
      </w:r>
    </w:p>
    <w:p>
      <w:pPr>
        <w:ind w:left="288"/>
      </w:pPr>
      <w:r>
        <w:rPr>
          <w:color w:val="1E1E1E"/>
          <w:sz w:val="18"/>
        </w:rPr>
        <w:t>= ADPF 186, rel. min. Ricardo Lewandowski, j. 26-4-2012, P, DJE de 20-10-2014</w:t>
      </w:r>
    </w:p>
    <w:p>
      <w:pPr>
        <w:ind w:left="144"/>
      </w:pPr>
      <w:r>
        <w:rPr>
          <w:b/>
          <w:color w:val="B45A00"/>
          <w:sz w:val="16"/>
        </w:rPr>
        <w:t>JULGADOS CORRELATOS</w:t>
      </w:r>
    </w:p>
    <w:p>
      <w:pPr>
        <w:ind w:left="288"/>
      </w:pPr>
      <w:r>
        <w:rPr>
          <w:color w:val="8C8C8C"/>
          <w:sz w:val="12"/>
        </w:rPr>
        <w:t>cf-art-208-inc-V</w:t>
      </w:r>
      <w:r>
        <w:rPr>
          <w:color w:val="003CA0"/>
          <w:sz w:val="12"/>
        </w:rPr>
        <w:t xml:space="preserve"> | ADI 4.868</w:t>
      </w:r>
      <w:r>
        <w:rPr>
          <w:color w:val="003CA0"/>
          <w:sz w:val="12"/>
        </w:rPr>
        <w:t xml:space="preserve"> | rel. Luiz Fux</w:t>
      </w:r>
    </w:p>
    <w:p>
      <w:pPr>
        <w:ind w:left="288"/>
      </w:pPr>
      <w:r>
        <w:rPr>
          <w:color w:val="1E1E1E"/>
          <w:sz w:val="18"/>
        </w:rPr>
        <w:t>Bonificação para classificação no curso de medicina em Universidade Federal. Critério regional. Alegação de afronta ao julgamento da ADI 4.868 e RE 614.873 (tema 474-RG). Ocorrência. Precedentes que proíbem qualquer distinção entre brasileiros em razão da origem ou procedência. Bonificação adicional no certame em virtude da localidade onde foi concluído o ensino médio pelos candidatos oriundos da rede de ensino pública.</w:t>
        <w:br/>
        <w:t>[Rcl 68.736 TP-REF, rel. min. Luiz Fux, j. 01.07.2024, 1ª T, DJE de 02.08.2024.]</w:t>
      </w:r>
    </w:p>
    <w:p>
      <w:pPr>
        <w:ind w:left="288"/>
      </w:pPr>
      <w:r>
        <w:rPr>
          <w:color w:val="8C8C8C"/>
          <w:sz w:val="12"/>
        </w:rPr>
        <w:t>cf-art-208-inc-VI</w:t>
      </w:r>
    </w:p>
    <w:p>
      <w:pPr>
        <w:ind w:left="288"/>
      </w:pPr>
      <w:r>
        <w:rPr>
          <w:color w:val="1E1E1E"/>
          <w:sz w:val="18"/>
        </w:rPr>
        <w:t>VII - atendimento ao educando, em todas as etapas da educação básica, por meio de programas suplementares de material didático-escolar, transporte, alimentação e assistência à saúde. (Redação da EC 59/2009)</w:t>
      </w:r>
    </w:p>
    <w:p>
      <w:pPr>
        <w:ind w:left="720"/>
      </w:pPr>
      <w:r>
        <w:rPr>
          <w:color w:val="003366"/>
          <w:sz w:val="18"/>
        </w:rPr>
        <w:t>I – educação básica obrigatória e gratuita dos 4 (quatro) aos 17 (dezessete) ano</w:t>
      </w:r>
    </w:p>
    <w:p>
      <w:pPr>
        <w:ind w:left="720"/>
      </w:pPr>
      <w:r>
        <w:rPr>
          <w:color w:val="003366"/>
          <w:sz w:val="18"/>
        </w:rPr>
        <w:t>II – progressiva universalização do ensino médio gratuito; (Redação dada pela Em</w:t>
      </w:r>
    </w:p>
    <w:p>
      <w:pPr>
        <w:ind w:left="720"/>
      </w:pPr>
      <w:r>
        <w:rPr>
          <w:color w:val="003366"/>
          <w:sz w:val="18"/>
        </w:rPr>
        <w:t>III – atendimento educacional especializado aos portadores de deficiência, prefe</w:t>
      </w:r>
    </w:p>
    <w:p>
      <w:pPr>
        <w:ind w:left="720"/>
      </w:pPr>
      <w:r>
        <w:rPr>
          <w:color w:val="003366"/>
          <w:sz w:val="18"/>
        </w:rPr>
        <w:t>IV – educação infantil, em creche e pré-escola, às crianças até 5 (cinco) anos d</w:t>
      </w:r>
    </w:p>
    <w:p>
      <w:pPr>
        <w:ind w:left="720"/>
      </w:pPr>
      <w:r>
        <w:rPr>
          <w:color w:val="003366"/>
          <w:sz w:val="18"/>
        </w:rPr>
        <w:t>V – acesso aos níveis mais elevados do ensino, da pesquisa e da criação artístic</w:t>
      </w:r>
    </w:p>
    <w:p>
      <w:pPr>
        <w:ind w:left="720"/>
      </w:pPr>
      <w:r>
        <w:rPr>
          <w:color w:val="003366"/>
          <w:sz w:val="18"/>
        </w:rPr>
        <w:t>VI – oferta de ensino noturno regular, adequado às condições do educando;</w:t>
      </w:r>
    </w:p>
    <w:p>
      <w:pPr>
        <w:ind w:left="720"/>
      </w:pPr>
      <w:r>
        <w:rPr>
          <w:color w:val="003366"/>
          <w:sz w:val="18"/>
        </w:rPr>
        <w:t>VII – atendimento ao educando, em todas as etapas da educação básica, por meio d</w:t>
      </w:r>
    </w:p>
    <w:p>
      <w:pPr>
        <w:ind w:left="432"/>
      </w:pPr>
      <w:r>
        <w:rPr>
          <w:color w:val="003366"/>
          <w:sz w:val="18"/>
        </w:rPr>
        <w:t>§ 1 O acesso ao ensino obrigatório e gratuito é direito público subjetivo.</w:t>
      </w:r>
    </w:p>
    <w:p>
      <w:pPr>
        <w:ind w:left="432"/>
      </w:pPr>
      <w:r>
        <w:rPr>
          <w:color w:val="003366"/>
          <w:sz w:val="18"/>
        </w:rPr>
        <w:t>§ 2 O não-oferecimento do ensino obrigatório pelo Poder Público, ou sua oferta i</w:t>
      </w:r>
    </w:p>
    <w:p>
      <w:pPr>
        <w:ind w:left="432"/>
      </w:pPr>
      <w:r>
        <w:rPr>
          <w:color w:val="003366"/>
          <w:sz w:val="18"/>
        </w:rPr>
        <w:t>§ 3 Compete ao Poder Público recensear os educandos no ensino fundamental, fazer</w:t>
      </w:r>
    </w:p>
    <w:p>
      <w:r>
        <w:rPr>
          <w:b/>
          <w:color w:val="003366"/>
          <w:sz w:val="20"/>
        </w:rPr>
        <w:t>Art. 209 O ensino é livre à iniciativa privada, atendidas as seguintes condições</w:t>
      </w:r>
      <w:r>
        <w:rPr>
          <w:color w:val="8C8C8C"/>
          <w:sz w:val="14"/>
        </w:rPr>
        <w:t xml:space="preserve">  [3 decisoes]</w:t>
      </w:r>
    </w:p>
    <w:p>
      <w:pPr>
        <w:ind w:left="144"/>
      </w:pPr>
      <w:r>
        <w:rPr>
          <w:b/>
          <w:color w:val="B45A00"/>
          <w:sz w:val="16"/>
        </w:rPr>
        <w:t>CONTROLE CONCENTRADO</w:t>
      </w:r>
    </w:p>
    <w:p>
      <w:pPr>
        <w:ind w:left="288"/>
      </w:pPr>
      <w:r>
        <w:rPr>
          <w:color w:val="8C8C8C"/>
          <w:sz w:val="12"/>
        </w:rPr>
        <w:t>cf-art-209</w:t>
      </w:r>
      <w:r>
        <w:rPr>
          <w:color w:val="003CA0"/>
          <w:sz w:val="12"/>
        </w:rPr>
        <w:t xml:space="preserve"> | ADPF 706</w:t>
      </w:r>
      <w:r>
        <w:rPr>
          <w:color w:val="003CA0"/>
          <w:sz w:val="12"/>
        </w:rPr>
        <w:t xml:space="preserve"> | rel. Rosa Weber</w:t>
      </w:r>
    </w:p>
    <w:p>
      <w:pPr>
        <w:ind w:left="288"/>
      </w:pPr>
      <w:r>
        <w:rPr>
          <w:color w:val="1E1E1E"/>
          <w:sz w:val="18"/>
        </w:rPr>
        <w:t>Cabe a cada universidade ou instituição de ensino superior gerir os específicos contratos educacionais e efetuar eventuais negociações para descontos na contraprestação financeira de acordo com a peculiaridade de cada curso e com a realidade econômica particular de cada discente, sem prejuízo da apreciação judicial da avença, também à luz das especificidades contratuais surgidas após a eclosão da pandemia e da necessidade de manutenção da prestação do ensino sob o novel formato exigido. A concessão de descontos lineares gera relevante impacto na obtenção de recursos financeiros suficientes, em</w:t>
      </w:r>
    </w:p>
    <w:p>
      <w:pPr>
        <w:ind w:left="288"/>
      </w:pPr>
      <w:r>
        <w:rPr>
          <w:b/>
          <w:color w:val="003CA0"/>
          <w:sz w:val="16"/>
        </w:rPr>
        <w:t>[ADPF 706, rel. min. Rosa Weber, j. 18-11-2021, P, DJE de 29-3-2022.]</w:t>
      </w:r>
    </w:p>
    <w:p>
      <w:pPr>
        <w:ind w:left="288"/>
      </w:pPr>
      <w:r>
        <w:rPr>
          <w:color w:val="8C8C8C"/>
          <w:sz w:val="12"/>
        </w:rPr>
        <w:t>cf-art-209</w:t>
      </w:r>
      <w:r>
        <w:rPr>
          <w:color w:val="003CA0"/>
          <w:sz w:val="12"/>
        </w:rPr>
        <w:t xml:space="preserve"> | ADI 1.266</w:t>
      </w:r>
      <w:r>
        <w:rPr>
          <w:color w:val="003CA0"/>
          <w:sz w:val="12"/>
        </w:rPr>
        <w:t xml:space="preserve"> | rel. Eros Grau</w:t>
      </w:r>
    </w:p>
    <w:p>
      <w:pPr>
        <w:ind w:left="288"/>
      </w:pPr>
      <w:r>
        <w:rPr>
          <w:color w:val="1E1E1E"/>
          <w:sz w:val="18"/>
        </w:rPr>
        <w:t>Os serviços de educação, seja os prestados pelo Estado, seja os prestados por particulares, configuram serviço público não privativo, podendo ser prestados pelo setor privado independentemente de concessão, permissão ou autorização. Tratando-se de serviço público, incumbe às entidades educacionais particulares, na sua prestação, rigorosamente acatar as normas gerais de educação nacional e as dispostas pelo Estado-membro, no exercício de competência legislativa suplementar (§ 2º do art. 24 da Constituição do Brasil).</w:t>
      </w:r>
    </w:p>
    <w:p>
      <w:pPr>
        <w:ind w:left="288"/>
      </w:pPr>
      <w:r>
        <w:rPr>
          <w:b/>
          <w:color w:val="003CA0"/>
          <w:sz w:val="16"/>
        </w:rPr>
        <w:t>[ADI 1.266, rel. min. Eros Grau, j. 6-4-2005, P, DJ de 23-9-2005.]</w:t>
      </w:r>
    </w:p>
    <w:p>
      <w:pPr>
        <w:ind w:left="144"/>
      </w:pPr>
      <w:r>
        <w:rPr>
          <w:b/>
          <w:color w:val="B45A00"/>
          <w:sz w:val="16"/>
        </w:rPr>
        <w:t>JULGADOS CORRELATOS</w:t>
      </w:r>
    </w:p>
    <w:p>
      <w:pPr>
        <w:ind w:left="288"/>
      </w:pPr>
      <w:r>
        <w:rPr>
          <w:color w:val="8C8C8C"/>
          <w:sz w:val="12"/>
        </w:rPr>
        <w:t>cf-art-209</w:t>
      </w:r>
      <w:r>
        <w:rPr>
          <w:color w:val="003CA0"/>
          <w:sz w:val="12"/>
        </w:rPr>
        <w:t xml:space="preserve"> | AI 155.772</w:t>
      </w:r>
      <w:r>
        <w:rPr>
          <w:color w:val="003CA0"/>
          <w:sz w:val="12"/>
        </w:rPr>
        <w:t xml:space="preserve"> | rel. Marco Aurélio</w:t>
      </w:r>
    </w:p>
    <w:p>
      <w:pPr>
        <w:ind w:left="288"/>
      </w:pPr>
      <w:r>
        <w:rPr>
          <w:color w:val="1E1E1E"/>
          <w:sz w:val="18"/>
        </w:rPr>
        <w:t>É que o § 4º do art. 173 da CF reserva à lei a repressão ao abuso do poder econômico, no que vise à dominação dos mercados, à eliminação da concorrência e ao aumento arbitrário dos lucros. Assim, não se pode ter a Lei 8.039/1990, no particular, como conflitante com a autonomia assegurada no art. 209, nem com princípio estabelecido no inciso XXXVI do art. 5º, ambos da CF de 1988.</w:t>
      </w:r>
    </w:p>
    <w:p>
      <w:pPr>
        <w:ind w:left="288"/>
      </w:pPr>
      <w:r>
        <w:rPr>
          <w:b/>
          <w:color w:val="003CA0"/>
          <w:sz w:val="16"/>
        </w:rPr>
        <w:t>[AI 155.772 AgR, rel. min. Marco Aurélio, j. 30-11-1993, 2ª T, DJ de 27-5-1994.]</w:t>
      </w:r>
    </w:p>
    <w:p>
      <w:pPr>
        <w:ind w:left="720"/>
      </w:pPr>
      <w:r>
        <w:rPr>
          <w:color w:val="003366"/>
          <w:sz w:val="18"/>
        </w:rPr>
        <w:t>I – cumprimento das normas gerais da educação nacional;</w:t>
      </w:r>
    </w:p>
    <w:p>
      <w:pPr>
        <w:ind w:left="720"/>
      </w:pPr>
      <w:r>
        <w:rPr>
          <w:color w:val="003366"/>
          <w:sz w:val="18"/>
        </w:rPr>
        <w:t>II – autorização e avaliação de qualidade pelo Poder Público.</w:t>
      </w:r>
    </w:p>
    <w:p>
      <w:r>
        <w:rPr>
          <w:b/>
          <w:color w:val="003366"/>
          <w:sz w:val="20"/>
        </w:rPr>
        <w:t>Art. 210 Serão fixados conteúdos mínimos para o ensino fundamental, de maneira a</w:t>
      </w:r>
      <w:r>
        <w:rPr>
          <w:color w:val="8C8C8C"/>
          <w:sz w:val="14"/>
        </w:rPr>
        <w:t xml:space="preserve">  [2 decisoes]</w:t>
      </w:r>
    </w:p>
    <w:p>
      <w:pPr>
        <w:ind w:left="288"/>
      </w:pPr>
      <w:r>
        <w:rPr>
          <w:color w:val="8C8C8C"/>
          <w:sz w:val="12"/>
        </w:rPr>
        <w:t>cf-art-210-par-1</w:t>
      </w:r>
      <w:r>
        <w:rPr>
          <w:color w:val="003CA0"/>
          <w:sz w:val="12"/>
        </w:rPr>
        <w:t xml:space="preserve"> | ADI 3.268</w:t>
      </w:r>
      <w:r>
        <w:rPr>
          <w:color w:val="003CA0"/>
          <w:sz w:val="12"/>
        </w:rPr>
        <w:t xml:space="preserve"> | rel. Nunes Marques</w:t>
      </w:r>
    </w:p>
    <w:p>
      <w:pPr>
        <w:ind w:left="288"/>
      </w:pPr>
      <w:r>
        <w:rPr>
          <w:color w:val="1E1E1E"/>
          <w:sz w:val="18"/>
        </w:rPr>
        <w:t>O modelo confessional é ínsito ao ensino religioso. Revela-se, portanto, compatível com o princípio da laicidade, que não deve implicar antagonismo entre Estado e Igreja. Os professores de ensino religioso são os porta-vozes dos dogmas de fé, razão pela qual o credenciamento desses docentes pelas autoridades religiosas não viola os princípios da igualdade e impessoalidade.  Os conteúdos se imbricam com os dogmas de fé, de modo que a definição pelas autoridades religiosas não ocasiona qualquer fusão entre Estado e Igreja.</w:t>
      </w:r>
    </w:p>
    <w:p>
      <w:pPr>
        <w:ind w:left="288"/>
      </w:pPr>
      <w:r>
        <w:rPr>
          <w:b/>
          <w:color w:val="003CA0"/>
          <w:sz w:val="16"/>
        </w:rPr>
        <w:t>[ADI 3.268, rel. min. Nunes Marques, j. 17.02.2025, P, DJE de 11.03.2025.]</w:t>
      </w:r>
    </w:p>
    <w:p>
      <w:pPr>
        <w:ind w:left="144"/>
      </w:pPr>
      <w:r>
        <w:rPr>
          <w:b/>
          <w:color w:val="B45A00"/>
          <w:sz w:val="16"/>
        </w:rPr>
        <w:t>CONTROLE CONCENTRADO</w:t>
      </w:r>
    </w:p>
    <w:p>
      <w:pPr>
        <w:ind w:left="288"/>
      </w:pPr>
      <w:r>
        <w:rPr>
          <w:color w:val="8C8C8C"/>
          <w:sz w:val="12"/>
        </w:rPr>
        <w:t>cf-art-210-par-1</w:t>
      </w:r>
      <w:r>
        <w:rPr>
          <w:color w:val="003CA0"/>
          <w:sz w:val="12"/>
        </w:rPr>
        <w:t xml:space="preserve"> | ADI 4.439</w:t>
      </w:r>
    </w:p>
    <w:p>
      <w:pPr>
        <w:ind w:left="288"/>
      </w:pPr>
      <w:r>
        <w:rPr>
          <w:color w:val="1E1E1E"/>
          <w:sz w:val="18"/>
        </w:rPr>
        <w:t xml:space="preserve">A interdependência e complementariedade das noções de Estado Laico e Liberdade de Crença e de Culto são premissas básicas para a interpretação do ensino religioso de matrícula facultativa previsto na Constituição Federal, pois a matéria alcança a própria liberdade de expressão de pensamento sob a luz da tolerância e diversidade de opiniões. (...) A singularidade da previsão constitucional de ensino religioso, de matrícula facultativa, observado o binômio Laicidade do Estado (CF, art. 19, I)/Consagração da Liberdade religiosa (CF, art. 5º, VI), implica regulamentação integral do cumprimento do </w:t>
      </w:r>
    </w:p>
    <w:p>
      <w:pPr>
        <w:ind w:left="432"/>
      </w:pPr>
      <w:r>
        <w:rPr>
          <w:color w:val="003366"/>
          <w:sz w:val="18"/>
        </w:rPr>
        <w:t>§ 1 O ensino religioso, de matrícula facultativa, constituirá disciplina dos hor</w:t>
      </w:r>
    </w:p>
    <w:p>
      <w:pPr>
        <w:ind w:left="432"/>
      </w:pPr>
      <w:r>
        <w:rPr>
          <w:color w:val="003366"/>
          <w:sz w:val="18"/>
        </w:rPr>
        <w:t>§ 2 O ensino fundamental regular será ministrado em língua portuguesa, assegurad</w:t>
      </w:r>
    </w:p>
    <w:p>
      <w:r>
        <w:rPr>
          <w:b/>
          <w:color w:val="003366"/>
          <w:sz w:val="20"/>
        </w:rPr>
        <w:t xml:space="preserve">Art. 211 A União, os Estados, o Distrito Federal e os Municípios organizarão em </w:t>
      </w:r>
      <w:r>
        <w:rPr>
          <w:color w:val="8C8C8C"/>
          <w:sz w:val="14"/>
        </w:rPr>
        <w:t xml:space="preserve">  [8 decisoes]</w:t>
      </w:r>
    </w:p>
    <w:p>
      <w:pPr>
        <w:ind w:left="288"/>
      </w:pPr>
      <w:r>
        <w:rPr>
          <w:color w:val="8C8C8C"/>
          <w:sz w:val="12"/>
        </w:rPr>
        <w:t>cf-art-211</w:t>
      </w:r>
      <w:r>
        <w:rPr>
          <w:color w:val="003CA0"/>
          <w:sz w:val="12"/>
        </w:rPr>
        <w:t xml:space="preserve"> | ACO 1197</w:t>
      </w:r>
      <w:r>
        <w:rPr>
          <w:color w:val="003CA0"/>
          <w:sz w:val="12"/>
        </w:rPr>
        <w:t xml:space="preserve"> | rel. Flávio Dino</w:t>
      </w:r>
    </w:p>
    <w:p>
      <w:pPr>
        <w:ind w:left="288"/>
      </w:pPr>
      <w:r>
        <w:rPr>
          <w:color w:val="1E1E1E"/>
          <w:sz w:val="18"/>
        </w:rPr>
        <w:t>A jurisprudência plenária desta Corte assentou a impossibilidade jurídica das universidades públicas estaduais estabelecerem cursos de ensino superior ou unidades acadêmicas (campi ) fora do território estadual. Somente a União Federal, em tal contexto, possui legitimidade para realizar o credenciamento. Precedentes (ACO 1197 e ACO 1903 ED-terceiros-AgR). O mesmo raciocínio jurídico deve ser observado em relação aos estabelecimentos de educação superior criados por Municípios.</w:t>
      </w:r>
    </w:p>
    <w:p>
      <w:pPr>
        <w:ind w:left="288"/>
      </w:pPr>
      <w:r>
        <w:rPr>
          <w:b/>
          <w:color w:val="003CA0"/>
          <w:sz w:val="16"/>
        </w:rPr>
        <w:t>[ADPF 1.247 MC-ED-REF, rel. min. Flávio Dino, j. 06.10.2025, P, DJE de 13.10.2025.]</w:t>
      </w:r>
    </w:p>
    <w:p>
      <w:pPr>
        <w:ind w:left="144"/>
      </w:pPr>
      <w:r>
        <w:rPr>
          <w:b/>
          <w:color w:val="B45A00"/>
          <w:sz w:val="16"/>
        </w:rPr>
        <w:t>CONTROLE CONCENTRADO</w:t>
      </w:r>
    </w:p>
    <w:p>
      <w:pPr>
        <w:ind w:left="288"/>
      </w:pPr>
      <w:r>
        <w:rPr>
          <w:color w:val="8C8C8C"/>
          <w:sz w:val="12"/>
        </w:rPr>
        <w:t>cf-art-211</w:t>
      </w:r>
      <w:r>
        <w:rPr>
          <w:color w:val="003CA0"/>
          <w:sz w:val="12"/>
        </w:rPr>
        <w:t xml:space="preserve"> | ADI 7.253</w:t>
      </w:r>
      <w:r>
        <w:rPr>
          <w:color w:val="003CA0"/>
          <w:sz w:val="12"/>
        </w:rPr>
        <w:t xml:space="preserve"> | rel. Cármen Lúcia</w:t>
      </w:r>
    </w:p>
    <w:p>
      <w:pPr>
        <w:ind w:left="288"/>
      </w:pPr>
      <w:r>
        <w:rPr>
          <w:color w:val="1E1E1E"/>
          <w:sz w:val="18"/>
        </w:rPr>
        <w:t>O exercício, pela União, das funções de supervisão e avaliação das Instituições Privadas de Ensino Superior, ofertantes de cursos técnicos de nível médio, em colaboração com os Estados e o Distrito Federal, viabiliza uma gestão descentralizada e participativa para implementar política de expansão dos cursos técnicos, democratizando-se o acesso à educação e à qualificação para o mercado de trabalho, nos termos do art. 211 da Constituição da República.</w:t>
        <w:br/>
        <w:t>[ADI 7.253, rel. min. Cármen Lúcia, j. 22-5-2023, P, DJE de 6-6-2023.] Pacto federativo e repartição de competência. Piso nacional para os profes</w:t>
      </w:r>
    </w:p>
    <w:p>
      <w:pPr>
        <w:ind w:left="144"/>
      </w:pPr>
      <w:r>
        <w:rPr>
          <w:b/>
          <w:color w:val="B45A00"/>
          <w:sz w:val="16"/>
        </w:rPr>
        <w:t>JULGADOS CORRELATOS</w:t>
      </w:r>
    </w:p>
    <w:p>
      <w:pPr>
        <w:ind w:left="288"/>
      </w:pPr>
      <w:r>
        <w:rPr>
          <w:color w:val="8C8C8C"/>
          <w:sz w:val="12"/>
        </w:rPr>
        <w:t>cf-art-211</w:t>
      </w:r>
      <w:r>
        <w:rPr>
          <w:color w:val="003CA0"/>
          <w:sz w:val="12"/>
        </w:rPr>
        <w:t xml:space="preserve"> | ACO 1.197</w:t>
      </w:r>
      <w:r>
        <w:rPr>
          <w:color w:val="003CA0"/>
          <w:sz w:val="12"/>
        </w:rPr>
        <w:t xml:space="preserve"> | rel. Edson Fachin</w:t>
      </w:r>
    </w:p>
    <w:p>
      <w:pPr>
        <w:ind w:left="288"/>
      </w:pPr>
      <w:r>
        <w:rPr>
          <w:color w:val="1E1E1E"/>
          <w:sz w:val="18"/>
        </w:rPr>
        <w:t>Os estados não possuem competência para credenciar e autorizar o funcionamento de instituição de ensino superior oriunda de outra unidade da federação para atuar em seu território. (...) À luz do que dispõe o art. 10 da Lei de Diretrizes Básicas da Educação, compete aos Estados organizar, manter e desenvolver os órgãos e instituições oficiais dos seus sistemas de ensino. A única forma prevista em lei para que uma instituição de ensino superior estadual ofereça cursos em outro Estado é a modalidade de ensino à distância, na forma do art. 80 da Lei 9.394/1996, o que requer credenciamento por par</w:t>
      </w:r>
    </w:p>
    <w:p>
      <w:pPr>
        <w:ind w:left="144"/>
      </w:pPr>
      <w:r>
        <w:rPr>
          <w:b/>
          <w:color w:val="B45A00"/>
          <w:sz w:val="16"/>
        </w:rPr>
        <w:t>CONTROLE CONCENTRADO</w:t>
      </w:r>
    </w:p>
    <w:p>
      <w:pPr>
        <w:ind w:left="288"/>
      </w:pPr>
      <w:r>
        <w:rPr>
          <w:color w:val="8C8C8C"/>
          <w:sz w:val="12"/>
        </w:rPr>
        <w:t>cf-art-211</w:t>
      </w:r>
      <w:r>
        <w:rPr>
          <w:color w:val="003CA0"/>
          <w:sz w:val="12"/>
        </w:rPr>
        <w:t xml:space="preserve"> | ADI 3.757</w:t>
      </w:r>
      <w:r>
        <w:rPr>
          <w:color w:val="003CA0"/>
          <w:sz w:val="12"/>
        </w:rPr>
        <w:t xml:space="preserve"> | rel. Dias Toffoli</w:t>
      </w:r>
    </w:p>
    <w:p>
      <w:pPr>
        <w:ind w:left="288"/>
      </w:pPr>
      <w:r>
        <w:rPr>
          <w:color w:val="1E1E1E"/>
          <w:sz w:val="18"/>
        </w:rPr>
        <w:t>Teses: 1. É constitucional a norma estadual que assegura, no âmbito da educação superior: (i) a livre criação e a auto-organização de centros e diretórios acadêmicos, (ii) seu funcionamento no espaço físico da faculdade, (iii) a livre circulação das ideias por eles produzidas, (iv) o acesso dos seus membros às salas de aula e (v) a participação em órgãos colegiados, em observância aos mandamentos constitucionais da liberdade de associação (CF/1988, art. 5º, XVII), da promoção de uma educação plena e capacitadora para o exercício da cidadania (CF/1988, art. 205) e da gestão democrática da educa</w:t>
      </w:r>
    </w:p>
    <w:p>
      <w:pPr>
        <w:ind w:left="288"/>
      </w:pPr>
      <w:r>
        <w:rPr>
          <w:b/>
          <w:color w:val="003CA0"/>
          <w:sz w:val="16"/>
        </w:rPr>
        <w:t>[ADI 3.757, rel. min. Dias Toffoli, j. 17-10-2018, P, DJE de 27-4-2020.]</w:t>
      </w:r>
    </w:p>
    <w:p>
      <w:pPr>
        <w:ind w:left="288"/>
      </w:pPr>
      <w:r>
        <w:rPr>
          <w:color w:val="8C8C8C"/>
          <w:sz w:val="12"/>
        </w:rPr>
        <w:t>cf-art-211</w:t>
      </w:r>
      <w:r>
        <w:rPr>
          <w:color w:val="003CA0"/>
          <w:sz w:val="12"/>
        </w:rPr>
        <w:t xml:space="preserve"> | ADI 1.749</w:t>
      </w:r>
    </w:p>
    <w:p>
      <w:pPr>
        <w:ind w:left="288"/>
      </w:pPr>
      <w:r>
        <w:rPr>
          <w:color w:val="1E1E1E"/>
          <w:sz w:val="18"/>
        </w:rPr>
        <w:t>EC 14/1996 e Lei 9.424/1996. Fundo de Manutenção e Desenvolvimento do Ensino Fundamental e de Valorização do Magistério. Atribuição de nova função à União – redistributiva e supletiva da garantia de equalização de oportunidades educacionais. Alegada ofensa ao princípio federativo. Não ferimento à autonomia estadual. Causa petendi aberta, que permite examinar a questão por fundamento diverso daquele alegado pelo requerente. Declaração de inconstitucionalidade que não se mostra possível, porque se atacaria o acessório e não o principal.</w:t>
      </w:r>
    </w:p>
    <w:p>
      <w:pPr>
        <w:ind w:left="288"/>
      </w:pPr>
      <w:r>
        <w:rPr>
          <w:b/>
          <w:color w:val="003CA0"/>
          <w:sz w:val="16"/>
        </w:rPr>
        <w:t>[ADI 1.749, red. do ac. min. Nelson Jobim, j. 25-11-1999, P, DJ de 15-4-2005.]</w:t>
      </w:r>
    </w:p>
    <w:p>
      <w:pPr>
        <w:ind w:left="144"/>
      </w:pPr>
      <w:r>
        <w:rPr>
          <w:b/>
          <w:color w:val="B45A00"/>
          <w:sz w:val="16"/>
        </w:rPr>
        <w:t>JULGADOS CORRELATOS</w:t>
      </w:r>
    </w:p>
    <w:p>
      <w:pPr>
        <w:ind w:left="288"/>
      </w:pPr>
      <w:r>
        <w:rPr>
          <w:color w:val="8C8C8C"/>
          <w:sz w:val="12"/>
        </w:rPr>
        <w:t>cf-art-211-par-2</w:t>
      </w:r>
      <w:r>
        <w:rPr>
          <w:color w:val="003CA0"/>
          <w:sz w:val="12"/>
        </w:rPr>
        <w:t xml:space="preserve"> | RE 436.996</w:t>
      </w:r>
      <w:r>
        <w:rPr>
          <w:color w:val="003CA0"/>
          <w:sz w:val="12"/>
        </w:rPr>
        <w:t xml:space="preserve"> | rel. Celso de Mello</w:t>
      </w:r>
    </w:p>
    <w:p>
      <w:pPr>
        <w:ind w:left="288"/>
      </w:pPr>
      <w:r>
        <w:rPr>
          <w:color w:val="1E1E1E"/>
          <w:sz w:val="18"/>
        </w:rPr>
        <w:t xml:space="preserve">Os Municípios – que atuarão, prioritariamente, no ensino fundamental e na educação infantil (CF, art. 211, § 2º) – não poderão demitir-se do mandato constitucional, juridicamente vinculante, que lhes foi outorgado pelo art. 208, IV, da Lei Fundamental da República e que representa fator de limitação da discricionariedade político-administrativa dos entes municipais, cujas opções, tratando-se do atendimento das crianças em creche (CF, art. 208, IV), não podem ser exercidas de modo a comprometer, com apoio em juízo de simples conveniência ou de mera oportunidade, a eficácia desse direito básico </w:t>
      </w:r>
    </w:p>
    <w:p>
      <w:pPr>
        <w:ind w:left="288"/>
      </w:pPr>
      <w:r>
        <w:rPr>
          <w:b/>
          <w:color w:val="003CA0"/>
          <w:sz w:val="16"/>
        </w:rPr>
        <w:t>[RE 436.996 AgR, rel. min. Celso de Mello, j. 22-11-2005, 2ª T, DJ de 3-2-2006.]</w:t>
      </w:r>
    </w:p>
    <w:p>
      <w:pPr>
        <w:ind w:left="288"/>
      </w:pPr>
      <w:r>
        <w:rPr>
          <w:color w:val="8C8C8C"/>
          <w:sz w:val="12"/>
        </w:rPr>
        <w:t>cf-art-211-par-2</w:t>
      </w:r>
      <w:r>
        <w:rPr>
          <w:color w:val="003CA0"/>
          <w:sz w:val="12"/>
        </w:rPr>
        <w:t xml:space="preserve"> | RE 582.825</w:t>
      </w:r>
      <w:r>
        <w:rPr>
          <w:color w:val="003CA0"/>
          <w:sz w:val="12"/>
        </w:rPr>
        <w:t xml:space="preserve"> | rel. Ayres Britto</w:t>
      </w:r>
    </w:p>
    <w:p>
      <w:pPr>
        <w:ind w:left="288"/>
      </w:pPr>
      <w:r>
        <w:rPr>
          <w:color w:val="1E1E1E"/>
          <w:sz w:val="18"/>
        </w:rPr>
        <w:t>= RE 582.825, rel. min. Ayres Britto, j. 22-3-2012, dec. monocrática, DJE de 17-4-2012</w:t>
      </w:r>
    </w:p>
    <w:p>
      <w:pPr>
        <w:ind w:left="144"/>
      </w:pPr>
      <w:r>
        <w:rPr>
          <w:b/>
          <w:color w:val="B45A00"/>
          <w:sz w:val="16"/>
        </w:rPr>
        <w:t>CONTROLE CONCENTRADO</w:t>
      </w:r>
    </w:p>
    <w:p>
      <w:pPr>
        <w:ind w:left="288"/>
      </w:pPr>
      <w:r>
        <w:rPr>
          <w:color w:val="8C8C8C"/>
          <w:sz w:val="12"/>
        </w:rPr>
        <w:t>cf-art-211-par-3</w:t>
      </w:r>
      <w:r>
        <w:rPr>
          <w:color w:val="003CA0"/>
          <w:sz w:val="12"/>
        </w:rPr>
        <w:t xml:space="preserve"> | ADI 4.167</w:t>
      </w:r>
      <w:r>
        <w:rPr>
          <w:color w:val="003CA0"/>
          <w:sz w:val="12"/>
        </w:rPr>
        <w:t xml:space="preserve"> | rel. Joaquim Barbosa). Na presente ação</w:t>
      </w:r>
    </w:p>
    <w:p>
      <w:pPr>
        <w:ind w:left="288"/>
      </w:pPr>
      <w:r>
        <w:rPr>
          <w:color w:val="1E1E1E"/>
          <w:sz w:val="18"/>
        </w:rPr>
        <w:t>Criação de unidades de ensino técnico pela União. Cooperação com Estados, Distrito Federal e Municípios. (...) Não há inconstitucionalidade no atual § 7º do art. 3º da Lei 8.948/1994 (correspondente ao antigo § 6º), que autoriza a União ‘a realizar investimentos em obras e equipamentos, mediante repasses financeiros, para os fins mencionados no parágrafo anterior (...)’. A Constituição não impõe que o custeio dos serviços de educação profissional provenha exclusivamente do orçamento federal. Em realidade, estabelece que o ensino médio – do qual o ensino técnico é um exemplo – é de atuação prio</w:t>
      </w:r>
    </w:p>
    <w:p>
      <w:pPr>
        <w:ind w:left="288"/>
      </w:pPr>
      <w:r>
        <w:rPr>
          <w:b/>
          <w:color w:val="003CA0"/>
          <w:sz w:val="16"/>
        </w:rPr>
        <w:t>[ADI 1.629, rel. min. Roberto Barroso, j. 23-8-2019, P, DJE de 6-9-2019.]</w:t>
      </w:r>
    </w:p>
    <w:p>
      <w:pPr>
        <w:ind w:left="432"/>
      </w:pPr>
      <w:r>
        <w:rPr>
          <w:color w:val="003366"/>
          <w:sz w:val="18"/>
        </w:rPr>
        <w:t>§ 1 A União organizará o sistema federal de ensino e o dos Territórios, financia</w:t>
      </w:r>
    </w:p>
    <w:p>
      <w:pPr>
        <w:ind w:left="432"/>
      </w:pPr>
      <w:r>
        <w:rPr>
          <w:color w:val="003366"/>
          <w:sz w:val="18"/>
        </w:rPr>
        <w:t>§ 2 Os Municípios atuarão prioritariamente no ensino fundamental e na educação i</w:t>
      </w:r>
    </w:p>
    <w:p>
      <w:pPr>
        <w:ind w:left="432"/>
      </w:pPr>
      <w:r>
        <w:rPr>
          <w:color w:val="003366"/>
          <w:sz w:val="18"/>
        </w:rPr>
        <w:t>§ 3 Os Estados e o Distrito Federal atuarão prioritariamente no ensino fundament</w:t>
      </w:r>
    </w:p>
    <w:p>
      <w:pPr>
        <w:ind w:left="432"/>
      </w:pPr>
      <w:r>
        <w:rPr>
          <w:color w:val="003366"/>
          <w:sz w:val="18"/>
        </w:rPr>
        <w:t>§ 4 Na organização de seus sistemas de ensino, a União, os Estados, o Distrito F</w:t>
      </w:r>
    </w:p>
    <w:p>
      <w:pPr>
        <w:ind w:left="432"/>
      </w:pPr>
      <w:r>
        <w:rPr>
          <w:color w:val="003366"/>
          <w:sz w:val="18"/>
        </w:rPr>
        <w:t>§ 5 A educação básica pública atenderá prioritariamente ao ensino regular. (Incl</w:t>
      </w:r>
    </w:p>
    <w:p>
      <w:pPr>
        <w:ind w:left="432"/>
      </w:pPr>
      <w:r>
        <w:rPr>
          <w:color w:val="003366"/>
          <w:sz w:val="18"/>
        </w:rPr>
        <w:t>§ 6 A União, os Estados, o Distrito Federal e os Municípios exercerão ação redis</w:t>
      </w:r>
    </w:p>
    <w:p>
      <w:pPr>
        <w:ind w:left="432"/>
      </w:pPr>
      <w:r>
        <w:rPr>
          <w:color w:val="003366"/>
          <w:sz w:val="18"/>
        </w:rPr>
        <w:t>§ 7 O padrão mínimo de qualidade de que trata o § 1º deste artigo considerará as</w:t>
      </w:r>
    </w:p>
    <w:p>
      <w:r>
        <w:rPr>
          <w:b/>
          <w:color w:val="003366"/>
          <w:sz w:val="20"/>
        </w:rPr>
        <w:t>Art. 212 A União aplicará, anualmente, nunca menos de dezoito, e os Estados, o D</w:t>
      </w:r>
      <w:r>
        <w:rPr>
          <w:color w:val="8C8C8C"/>
          <w:sz w:val="14"/>
        </w:rPr>
        <w:t xml:space="preserve">  [9 decisoes]</w:t>
      </w:r>
    </w:p>
    <w:p>
      <w:pPr>
        <w:ind w:left="144"/>
      </w:pPr>
      <w:r>
        <w:rPr>
          <w:b/>
          <w:color w:val="B45A00"/>
          <w:sz w:val="16"/>
        </w:rPr>
        <w:t>CONTROLE CONCENTRADO</w:t>
      </w:r>
    </w:p>
    <w:p>
      <w:pPr>
        <w:ind w:left="288"/>
      </w:pPr>
      <w:r>
        <w:rPr>
          <w:color w:val="8C8C8C"/>
          <w:sz w:val="12"/>
        </w:rPr>
        <w:t>cf-art-212</w:t>
      </w:r>
      <w:r>
        <w:rPr>
          <w:color w:val="003CA0"/>
          <w:sz w:val="12"/>
        </w:rPr>
        <w:t xml:space="preserve"> | ADI 6.275</w:t>
      </w:r>
      <w:r>
        <w:rPr>
          <w:color w:val="003CA0"/>
          <w:sz w:val="12"/>
        </w:rPr>
        <w:t xml:space="preserve"> | rel. Alexandre de Moraes</w:t>
      </w:r>
    </w:p>
    <w:p>
      <w:pPr>
        <w:ind w:left="288"/>
      </w:pPr>
      <w:r>
        <w:rPr>
          <w:color w:val="1E1E1E"/>
          <w:sz w:val="18"/>
        </w:rPr>
        <w:t>A gradação de percentual mínimo de recursos destinados à manutenção e ao desenvolvimento do ensino não pode acarretar restrições às competências constitucionais do Poder Executivo para a elaboração das propostas de leis orçamentárias. Inteligência do art. 165 da Constituição Federal.</w:t>
      </w:r>
    </w:p>
    <w:p>
      <w:pPr>
        <w:ind w:left="288"/>
      </w:pPr>
      <w:r>
        <w:rPr>
          <w:b/>
          <w:color w:val="003CA0"/>
          <w:sz w:val="16"/>
        </w:rPr>
        <w:t>[ADI 6.275, rel. min. Alexandre de Moraes, j. 8-6-2020, P, DJE de 19-8-2020.]</w:t>
      </w:r>
    </w:p>
    <w:p>
      <w:pPr>
        <w:ind w:left="288"/>
      </w:pPr>
      <w:r>
        <w:rPr>
          <w:color w:val="8C8C8C"/>
          <w:sz w:val="12"/>
        </w:rPr>
        <w:t>cf-art-212</w:t>
      </w:r>
      <w:r>
        <w:rPr>
          <w:color w:val="003CA0"/>
          <w:sz w:val="12"/>
        </w:rPr>
        <w:t xml:space="preserve"> | ADI 2.447</w:t>
      </w:r>
      <w:r>
        <w:rPr>
          <w:color w:val="003CA0"/>
          <w:sz w:val="12"/>
        </w:rPr>
        <w:t xml:space="preserve"> | rel. Joaquim Barbosa</w:t>
      </w:r>
    </w:p>
    <w:p>
      <w:pPr>
        <w:ind w:left="288"/>
      </w:pPr>
      <w:r>
        <w:rPr>
          <w:color w:val="1E1E1E"/>
          <w:sz w:val="18"/>
        </w:rPr>
        <w:t>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3CA0"/>
          <w:sz w:val="16"/>
        </w:rPr>
        <w:t>[ADI 2.447, rel. min. Joaquim Barbosa, j. 4-3-2009, P, DJE de 4-12-2009.]</w:t>
      </w:r>
    </w:p>
    <w:p>
      <w:pPr>
        <w:ind w:left="288"/>
      </w:pPr>
      <w:r>
        <w:rPr>
          <w:color w:val="8C8C8C"/>
          <w:sz w:val="12"/>
        </w:rPr>
        <w:t>cf-art-212</w:t>
      </w:r>
      <w:r>
        <w:rPr>
          <w:color w:val="003CA0"/>
          <w:sz w:val="12"/>
        </w:rPr>
        <w:t xml:space="preserve"> | ADI 1.689</w:t>
      </w:r>
      <w:r>
        <w:rPr>
          <w:color w:val="003CA0"/>
          <w:sz w:val="12"/>
        </w:rPr>
        <w:t xml:space="preserve"> | rel. Sydney Sanches</w:t>
      </w:r>
    </w:p>
    <w:p>
      <w:pPr>
        <w:ind w:left="288"/>
      </w:pPr>
      <w:r>
        <w:rPr>
          <w:color w:val="1E1E1E"/>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w:t>
      </w:r>
    </w:p>
    <w:p>
      <w:pPr>
        <w:ind w:left="288"/>
      </w:pPr>
      <w:r>
        <w:rPr>
          <w:b/>
          <w:color w:val="003CA0"/>
          <w:sz w:val="16"/>
        </w:rPr>
        <w:t>[ADI 1.689, rel. min. Sydney Sanches, j. 12-3-2003, P, DJ de 2-5-2003.]</w:t>
      </w:r>
    </w:p>
    <w:p>
      <w:pPr>
        <w:ind w:left="144"/>
      </w:pPr>
      <w:r>
        <w:rPr>
          <w:b/>
          <w:color w:val="B45A00"/>
          <w:sz w:val="16"/>
        </w:rPr>
        <w:t>JULGADOS CORRELATOS</w:t>
      </w:r>
    </w:p>
    <w:p>
      <w:pPr>
        <w:ind w:left="288"/>
      </w:pPr>
      <w:r>
        <w:rPr>
          <w:color w:val="8C8C8C"/>
          <w:sz w:val="12"/>
        </w:rPr>
        <w:t>cf-art-212</w:t>
      </w:r>
      <w:r>
        <w:rPr>
          <w:color w:val="003CA0"/>
          <w:sz w:val="12"/>
        </w:rPr>
        <w:t xml:space="preserve"> | ACO 3.564</w:t>
      </w:r>
    </w:p>
    <w:p>
      <w:pPr>
        <w:ind w:left="288"/>
      </w:pPr>
      <w:r>
        <w:rPr>
          <w:color w:val="1E1E1E"/>
          <w:sz w:val="18"/>
        </w:rPr>
        <w:t>Não é dado aos entes federados compensarem a diferença apurada no cômputo do percentual mínimo de gastos com educação relativo a determinado exercício financeiro no primeiro trimestre do ano seguinte, sob pena de gerar situação de incerteza quanto ao cumprimento do mesmo percentual neste e de violar os princípios orçamentários da anualidade e do planejamento. Com base no sistema constitucional orçamentário erigido na vigente Constituição da República, o art. 4º, § 4º, da Lei nº 7.348, de 1985, não foi materialmente recepcionado. Na esteira do contexto da calamidade pública motivado pela pandem</w:t>
      </w:r>
    </w:p>
    <w:p>
      <w:pPr>
        <w:ind w:left="288"/>
      </w:pPr>
      <w:r>
        <w:rPr>
          <w:b/>
          <w:color w:val="003CA0"/>
          <w:sz w:val="16"/>
        </w:rPr>
        <w:t>[ACO 3.564 Ref-TP, red. do ac. min. André Mendonça, j. 9-5-2022, P, DJE de 1º-6-2022.]</w:t>
      </w:r>
    </w:p>
    <w:p>
      <w:pPr>
        <w:ind w:left="288"/>
      </w:pPr>
      <w:r>
        <w:rPr>
          <w:color w:val="8C8C8C"/>
          <w:sz w:val="12"/>
        </w:rPr>
        <w:t>cf-art-212</w:t>
      </w:r>
      <w:r>
        <w:rPr>
          <w:color w:val="003CA0"/>
          <w:sz w:val="12"/>
        </w:rPr>
        <w:t xml:space="preserve"> | ACO 2.799</w:t>
      </w:r>
      <w:r>
        <w:rPr>
          <w:color w:val="003CA0"/>
          <w:sz w:val="12"/>
        </w:rPr>
        <w:t xml:space="preserve"> | rel. Cármen Lúcia</w:t>
      </w:r>
    </w:p>
    <w:p>
      <w:pPr>
        <w:ind w:left="288"/>
      </w:pPr>
      <w:r>
        <w:rPr>
          <w:color w:val="1E1E1E"/>
          <w:sz w:val="18"/>
        </w:rPr>
        <w:t>No art. 212 da Constituição da República se exige que os Estados apliquem, no mínimo, vinte e cinco por cento (25%) de sua receita resultante de impostos em manutenção e desenvolvimento do ensino. Na Lei de Diretrizes e Bases da Educação Nacional se considera, para efeitos de gastos com manutenção e desenvolvimento do ensino, a remuneração paga aos profissionais da educação que não estejam em desvio de função ou exercendo atividade que não contribua diretamente para o ensino. Impossibilidade de se incluir o pagamento de proventos de inativos no conceito de gastos com manutenção e desenvolvimen</w:t>
      </w:r>
    </w:p>
    <w:p>
      <w:pPr>
        <w:ind w:left="288"/>
      </w:pPr>
      <w:r>
        <w:rPr>
          <w:b/>
          <w:color w:val="003CA0"/>
          <w:sz w:val="16"/>
        </w:rPr>
        <w:t>[ACO 2.799 AgR, rel. min. Cármen Lúcia, j. 3-4-2020, P, DJE de 23-4-2020.]</w:t>
      </w:r>
    </w:p>
    <w:p>
      <w:pPr>
        <w:ind w:left="144"/>
      </w:pPr>
      <w:r>
        <w:rPr>
          <w:b/>
          <w:color w:val="B45A00"/>
          <w:sz w:val="16"/>
        </w:rPr>
        <w:t>SUMULA</w:t>
      </w:r>
    </w:p>
    <w:p>
      <w:pPr>
        <w:ind w:left="288"/>
      </w:pPr>
      <w:r>
        <w:rPr>
          <w:color w:val="8C8C8C"/>
          <w:sz w:val="12"/>
        </w:rPr>
        <w:t>cf-art-212-par-5</w:t>
      </w:r>
    </w:p>
    <w:p>
      <w:pPr>
        <w:ind w:left="288"/>
      </w:pPr>
      <w:r>
        <w:rPr>
          <w:color w:val="1E1E1E"/>
          <w:sz w:val="18"/>
        </w:rPr>
        <w:t>É constitucional a cobrança da contribuição do salário-educação, seja sob a Carta de 1969, seja sob a CF de 1988, e no regime da Lei 9.424/1996.</w:t>
      </w:r>
    </w:p>
    <w:p>
      <w:pPr>
        <w:ind w:left="288"/>
      </w:pPr>
      <w:r>
        <w:rPr>
          <w:b/>
          <w:color w:val="003CA0"/>
          <w:sz w:val="16"/>
        </w:rPr>
        <w:t>[Súmula 732.]</w:t>
      </w:r>
    </w:p>
    <w:p>
      <w:pPr>
        <w:ind w:left="144"/>
      </w:pPr>
      <w:r>
        <w:rPr>
          <w:b/>
          <w:color w:val="B45A00"/>
          <w:sz w:val="16"/>
        </w:rPr>
        <w:t>CONTROLE CONCENTRADO</w:t>
      </w:r>
    </w:p>
    <w:p>
      <w:pPr>
        <w:ind w:left="288"/>
      </w:pPr>
      <w:r>
        <w:rPr>
          <w:color w:val="8C8C8C"/>
          <w:sz w:val="12"/>
        </w:rPr>
        <w:t>cf-art-212-par-5</w:t>
      </w:r>
      <w:r>
        <w:rPr>
          <w:color w:val="003CA0"/>
          <w:sz w:val="12"/>
        </w:rPr>
        <w:t xml:space="preserve"> | ADC 3</w:t>
      </w:r>
      <w:r>
        <w:rPr>
          <w:color w:val="003CA0"/>
          <w:sz w:val="12"/>
        </w:rPr>
        <w:t xml:space="preserve"> | rel. Nelson Jobim</w:t>
      </w:r>
    </w:p>
    <w:p>
      <w:pPr>
        <w:ind w:left="288"/>
      </w:pPr>
      <w:r>
        <w:rPr>
          <w:color w:val="1E1E1E"/>
          <w:sz w:val="18"/>
        </w:rPr>
        <w:t>Ação declaratória de constitucionalidade do art. 15, Lei 9.424/1996. Salário-educação. Contribuições para o Fundo de Manutenção e Desenvolvimento do Ensino Fundamental e de Valorização do Magistério. Decisões judiciais controvertidas. Alegações de inconstitucionalidade formal e material. Formal: lei complementar. Desnecessidade. Natureza da contribuição social. Parágrafo 5º do art. 212 da CF, que remete só à lei. (...) A CF, quanto ao salário-educação, define a finalidade: financiamento do ensino fundamental e o sujeito passivo da contribuição: as empresas. Não resta dúvida. Constitucionalidad</w:t>
      </w:r>
    </w:p>
    <w:p>
      <w:pPr>
        <w:ind w:left="288"/>
      </w:pPr>
      <w:r>
        <w:rPr>
          <w:b/>
          <w:color w:val="003CA0"/>
          <w:sz w:val="16"/>
        </w:rPr>
        <w:t>[ADC 3, rel. min. Nelson Jobim, j. 1º-12-1999, P, DJ de 9-5-2003.]</w:t>
        <w:br/>
        <w:t>= RE 660.933 RG, rel. min. Joaquim Barbosa, j. 2-2-2012, P, DJE de 23-2-2012, Tema 518</w:t>
      </w:r>
    </w:p>
    <w:p>
      <w:pPr>
        <w:ind w:left="288"/>
      </w:pPr>
      <w:r>
        <w:rPr>
          <w:color w:val="8C8C8C"/>
          <w:sz w:val="12"/>
        </w:rPr>
        <w:t>cf-art-212-par-5</w:t>
      </w:r>
      <w:r>
        <w:rPr>
          <w:color w:val="003CA0"/>
          <w:sz w:val="12"/>
        </w:rPr>
        <w:t xml:space="preserve"> | ADI 550-2</w:t>
      </w:r>
      <w:r>
        <w:rPr>
          <w:color w:val="003CA0"/>
          <w:sz w:val="12"/>
        </w:rPr>
        <w:t xml:space="preserve"> | rel. Carlos Velloso</w:t>
      </w:r>
    </w:p>
    <w:p>
      <w:pPr>
        <w:ind w:left="288"/>
      </w:pPr>
      <w:r>
        <w:rPr>
          <w:color w:val="1E1E1E"/>
          <w:sz w:val="18"/>
        </w:rPr>
        <w:t>Destinação de parcelas da receita tributária a fins preestabelecidos. Constituição do Estado do Rio de Janeiro, § 1º do art. 306; parte final dos §§ 2º e 5º do art. 311; e art. 329. (...) É que, no ponto, a CF faculta aos Estados e ao Distrito Federal vincular parcela de sua receita orçamentária a entidades públicas de fomento ao ensino e à pesquisa científica e tecnológica. CF, art. 212, § 5º. Precedentes do STF: ADI 550-2/MT, ADI 336/SE e ADI 422/DF.</w:t>
      </w:r>
    </w:p>
    <w:p>
      <w:pPr>
        <w:ind w:left="288"/>
      </w:pPr>
      <w:r>
        <w:rPr>
          <w:b/>
          <w:color w:val="003CA0"/>
          <w:sz w:val="16"/>
        </w:rPr>
        <w:t>[ADI 780 MC, rel. min. Carlos Velloso, j. 11-3-1993, P, DJ de 16-4-1993.]</w:t>
      </w:r>
    </w:p>
    <w:p>
      <w:pPr>
        <w:ind w:left="144"/>
      </w:pPr>
      <w:r>
        <w:rPr>
          <w:b/>
          <w:color w:val="B45A00"/>
          <w:sz w:val="16"/>
        </w:rPr>
        <w:t>REPERCUSSAO GERAL</w:t>
      </w:r>
    </w:p>
    <w:p>
      <w:pPr>
        <w:ind w:left="288"/>
      </w:pPr>
      <w:r>
        <w:rPr>
          <w:color w:val="8C8C8C"/>
          <w:sz w:val="12"/>
        </w:rPr>
        <w:t>cf-art-212-par-5</w:t>
      </w:r>
      <w:r>
        <w:rPr>
          <w:color w:val="003CA0"/>
          <w:sz w:val="12"/>
        </w:rPr>
        <w:t xml:space="preserve"> | RE 660.933</w:t>
      </w:r>
      <w:r>
        <w:rPr>
          <w:color w:val="003CA0"/>
          <w:sz w:val="12"/>
        </w:rPr>
        <w:t xml:space="preserve"> | rel. Joaquim Barbosa</w:t>
      </w:r>
    </w:p>
    <w:p>
      <w:pPr>
        <w:ind w:left="288"/>
      </w:pPr>
      <w:r>
        <w:rPr>
          <w:color w:val="1E1E1E"/>
          <w:sz w:val="18"/>
        </w:rPr>
        <w:t>Contribuição destinada ao custeio da educação básica. Salário-educação. Cobrança nos termos do DL 1.422/1975 e dos Decretos 76.923/1975 e 87.043/1982. Constitucionalidade segundo as Cartas de 1969 e 1988. Precedentes. Nos termos da Súmula 732/STF, é constitucional a cobrança da contribuição do salário-educação, seja sob a Carta de 1969, seja sob a CF de 1988, e no regime da Lei 9.424/1996. A cobrança da exação, nos termos do DL 1.422/1975 e dos Decretos 76.923/1975 e 87.043/1982, é compatível com as Constituições de 1969 e 1988. Precedentes.</w:t>
        <w:br/>
        <w:t>[RE 660.933 RG, rel. min. Joaquim Barbosa, j. 2-2-20</w:t>
      </w:r>
    </w:p>
    <w:p>
      <w:pPr>
        <w:ind w:left="432"/>
      </w:pPr>
      <w:r>
        <w:rPr>
          <w:color w:val="003366"/>
          <w:sz w:val="18"/>
        </w:rPr>
        <w:t xml:space="preserve">§ 1 A parcela da arrecadação de impostos transferida pela União aos Estados, ao </w:t>
      </w:r>
    </w:p>
    <w:p>
      <w:pPr>
        <w:ind w:left="432"/>
      </w:pPr>
      <w:r>
        <w:rPr>
          <w:color w:val="003366"/>
          <w:sz w:val="18"/>
        </w:rPr>
        <w:t>§ 2 Para efeito do cumprimento do disposto no &amp;quot;caput&amp;quot; deste artigo, se</w:t>
      </w:r>
    </w:p>
    <w:p>
      <w:pPr>
        <w:ind w:left="432"/>
      </w:pPr>
      <w:r>
        <w:rPr>
          <w:color w:val="003366"/>
          <w:sz w:val="18"/>
        </w:rPr>
        <w:t>§ 3 A distribuição dos recursos públicos assegurará prioridade ao atendimento da</w:t>
      </w:r>
    </w:p>
    <w:p>
      <w:pPr>
        <w:ind w:left="432"/>
      </w:pPr>
      <w:r>
        <w:rPr>
          <w:color w:val="003366"/>
          <w:sz w:val="18"/>
        </w:rPr>
        <w:t>§ 4 Os programas suplementares de alimentação e assistência à saúde previstos no</w:t>
      </w:r>
    </w:p>
    <w:p>
      <w:pPr>
        <w:ind w:left="432"/>
      </w:pPr>
      <w:r>
        <w:rPr>
          <w:color w:val="003366"/>
          <w:sz w:val="18"/>
        </w:rPr>
        <w:t>§ 5 A educação básica pública terá como fonte adicional de financiamento a contr</w:t>
      </w:r>
    </w:p>
    <w:p>
      <w:pPr>
        <w:ind w:left="432"/>
      </w:pPr>
      <w:r>
        <w:rPr>
          <w:color w:val="003366"/>
          <w:sz w:val="18"/>
        </w:rPr>
        <w:t>§ 6 As cotas estaduais e municipais da arrecadação da contribuição social do sal</w:t>
      </w:r>
    </w:p>
    <w:p>
      <w:pPr>
        <w:ind w:left="432"/>
      </w:pPr>
      <w:r>
        <w:rPr>
          <w:color w:val="003366"/>
          <w:sz w:val="18"/>
        </w:rPr>
        <w:t>§ 7 É vedado o uso dos recursos referidos no caput e nos §§ 5º e 6º deste artigo</w:t>
      </w:r>
    </w:p>
    <w:p>
      <w:pPr>
        <w:ind w:left="432"/>
      </w:pPr>
      <w:r>
        <w:rPr>
          <w:color w:val="003366"/>
          <w:sz w:val="18"/>
        </w:rPr>
        <w:t>§ 8 Na hipótese de extinção ou de substituição de impostos, serão redefinidos os</w:t>
      </w:r>
    </w:p>
    <w:p>
      <w:pPr>
        <w:ind w:left="432"/>
      </w:pPr>
      <w:r>
        <w:rPr>
          <w:color w:val="003366"/>
          <w:sz w:val="18"/>
        </w:rPr>
        <w:t>§ 9 A lei disporá sobre normas de fiscalização, de avaliação e de controle das d</w:t>
      </w:r>
    </w:p>
    <w:p>
      <w:r>
        <w:rPr>
          <w:b/>
          <w:color w:val="003366"/>
          <w:sz w:val="20"/>
        </w:rPr>
        <w:t xml:space="preserve">Art. 212 A. Os Estados, o Distrito Federal e os Municípios destinarão parte dos </w:t>
      </w:r>
      <w:r>
        <w:rPr>
          <w:color w:val="8C8C8C"/>
          <w:sz w:val="14"/>
        </w:rPr>
        <w:t xml:space="preserve">  [9 decisoes]</w:t>
      </w:r>
    </w:p>
    <w:p>
      <w:pPr>
        <w:ind w:left="144"/>
      </w:pPr>
      <w:r>
        <w:rPr>
          <w:b/>
          <w:color w:val="B45A00"/>
          <w:sz w:val="16"/>
        </w:rPr>
        <w:t>CONTROLE CONCENTRADO</w:t>
      </w:r>
    </w:p>
    <w:p>
      <w:pPr>
        <w:ind w:left="288"/>
      </w:pPr>
      <w:r>
        <w:rPr>
          <w:color w:val="8C8C8C"/>
          <w:sz w:val="12"/>
        </w:rPr>
        <w:t>cf-art-212</w:t>
      </w:r>
      <w:r>
        <w:rPr>
          <w:color w:val="003CA0"/>
          <w:sz w:val="12"/>
        </w:rPr>
        <w:t xml:space="preserve"> | ADI 6.275</w:t>
      </w:r>
      <w:r>
        <w:rPr>
          <w:color w:val="003CA0"/>
          <w:sz w:val="12"/>
        </w:rPr>
        <w:t xml:space="preserve"> | rel. Alexandre de Moraes</w:t>
      </w:r>
    </w:p>
    <w:p>
      <w:pPr>
        <w:ind w:left="288"/>
      </w:pPr>
      <w:r>
        <w:rPr>
          <w:color w:val="1E1E1E"/>
          <w:sz w:val="18"/>
        </w:rPr>
        <w:t>A gradação de percentual mínimo de recursos destinados à manutenção e ao desenvolvimento do ensino não pode acarretar restrições às competências constitucionais do Poder Executivo para a elaboração das propostas de leis orçamentárias. Inteligência do art. 165 da Constituição Federal.</w:t>
      </w:r>
    </w:p>
    <w:p>
      <w:pPr>
        <w:ind w:left="288"/>
      </w:pPr>
      <w:r>
        <w:rPr>
          <w:b/>
          <w:color w:val="003CA0"/>
          <w:sz w:val="16"/>
        </w:rPr>
        <w:t>[ADI 6.275, rel. min. Alexandre de Moraes, j. 8-6-2020, P, DJE de 19-8-2020.]</w:t>
      </w:r>
    </w:p>
    <w:p>
      <w:pPr>
        <w:ind w:left="288"/>
      </w:pPr>
      <w:r>
        <w:rPr>
          <w:color w:val="8C8C8C"/>
          <w:sz w:val="12"/>
        </w:rPr>
        <w:t>cf-art-212</w:t>
      </w:r>
      <w:r>
        <w:rPr>
          <w:color w:val="003CA0"/>
          <w:sz w:val="12"/>
        </w:rPr>
        <w:t xml:space="preserve"> | ADI 2.447</w:t>
      </w:r>
      <w:r>
        <w:rPr>
          <w:color w:val="003CA0"/>
          <w:sz w:val="12"/>
        </w:rPr>
        <w:t xml:space="preserve"> | rel. Joaquim Barbosa</w:t>
      </w:r>
    </w:p>
    <w:p>
      <w:pPr>
        <w:ind w:left="288"/>
      </w:pPr>
      <w:r>
        <w:rPr>
          <w:color w:val="1E1E1E"/>
          <w:sz w:val="18"/>
        </w:rPr>
        <w:t>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88"/>
      </w:pPr>
      <w:r>
        <w:rPr>
          <w:b/>
          <w:color w:val="003CA0"/>
          <w:sz w:val="16"/>
        </w:rPr>
        <w:t>[ADI 2.447, rel. min. Joaquim Barbosa, j. 4-3-2009, P, DJE de 4-12-2009.]</w:t>
      </w:r>
    </w:p>
    <w:p>
      <w:pPr>
        <w:ind w:left="288"/>
      </w:pPr>
      <w:r>
        <w:rPr>
          <w:color w:val="8C8C8C"/>
          <w:sz w:val="12"/>
        </w:rPr>
        <w:t>cf-art-212</w:t>
      </w:r>
      <w:r>
        <w:rPr>
          <w:color w:val="003CA0"/>
          <w:sz w:val="12"/>
        </w:rPr>
        <w:t xml:space="preserve"> | ADI 1.689</w:t>
      </w:r>
      <w:r>
        <w:rPr>
          <w:color w:val="003CA0"/>
          <w:sz w:val="12"/>
        </w:rPr>
        <w:t xml:space="preserve"> | rel. Sydney Sanches</w:t>
      </w:r>
    </w:p>
    <w:p>
      <w:pPr>
        <w:ind w:left="288"/>
      </w:pPr>
      <w:r>
        <w:rPr>
          <w:color w:val="1E1E1E"/>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w:t>
      </w:r>
    </w:p>
    <w:p>
      <w:pPr>
        <w:ind w:left="288"/>
      </w:pPr>
      <w:r>
        <w:rPr>
          <w:b/>
          <w:color w:val="003CA0"/>
          <w:sz w:val="16"/>
        </w:rPr>
        <w:t>[ADI 1.689, rel. min. Sydney Sanches, j. 12-3-2003, P, DJ de 2-5-2003.]</w:t>
      </w:r>
    </w:p>
    <w:p>
      <w:pPr>
        <w:ind w:left="144"/>
      </w:pPr>
      <w:r>
        <w:rPr>
          <w:b/>
          <w:color w:val="B45A00"/>
          <w:sz w:val="16"/>
        </w:rPr>
        <w:t>JULGADOS CORRELATOS</w:t>
      </w:r>
    </w:p>
    <w:p>
      <w:pPr>
        <w:ind w:left="288"/>
      </w:pPr>
      <w:r>
        <w:rPr>
          <w:color w:val="8C8C8C"/>
          <w:sz w:val="12"/>
        </w:rPr>
        <w:t>cf-art-212</w:t>
      </w:r>
      <w:r>
        <w:rPr>
          <w:color w:val="003CA0"/>
          <w:sz w:val="12"/>
        </w:rPr>
        <w:t xml:space="preserve"> | ACO 3.564</w:t>
      </w:r>
    </w:p>
    <w:p>
      <w:pPr>
        <w:ind w:left="288"/>
      </w:pPr>
      <w:r>
        <w:rPr>
          <w:color w:val="1E1E1E"/>
          <w:sz w:val="18"/>
        </w:rPr>
        <w:t>Não é dado aos entes federados compensarem a diferença apurada no cômputo do percentual mínimo de gastos com educação relativo a determinado exercício financeiro no primeiro trimestre do ano seguinte, sob pena de gerar situação de incerteza quanto ao cumprimento do mesmo percentual neste e de violar os princípios orçamentários da anualidade e do planejamento. Com base no sistema constitucional orçamentário erigido na vigente Constituição da República, o art. 4º, § 4º, da Lei nº 7.348, de 1985, não foi materialmente recepcionado. Na esteira do contexto da calamidade pública motivado pela pandem</w:t>
      </w:r>
    </w:p>
    <w:p>
      <w:pPr>
        <w:ind w:left="288"/>
      </w:pPr>
      <w:r>
        <w:rPr>
          <w:b/>
          <w:color w:val="003CA0"/>
          <w:sz w:val="16"/>
        </w:rPr>
        <w:t>[ACO 3.564 Ref-TP, red. do ac. min. André Mendonça, j. 9-5-2022, P, DJE de 1º-6-2022.]</w:t>
      </w:r>
    </w:p>
    <w:p>
      <w:pPr>
        <w:ind w:left="288"/>
      </w:pPr>
      <w:r>
        <w:rPr>
          <w:color w:val="8C8C8C"/>
          <w:sz w:val="12"/>
        </w:rPr>
        <w:t>cf-art-212</w:t>
      </w:r>
      <w:r>
        <w:rPr>
          <w:color w:val="003CA0"/>
          <w:sz w:val="12"/>
        </w:rPr>
        <w:t xml:space="preserve"> | ACO 2.799</w:t>
      </w:r>
      <w:r>
        <w:rPr>
          <w:color w:val="003CA0"/>
          <w:sz w:val="12"/>
        </w:rPr>
        <w:t xml:space="preserve"> | rel. Cármen Lúcia</w:t>
      </w:r>
    </w:p>
    <w:p>
      <w:pPr>
        <w:ind w:left="288"/>
      </w:pPr>
      <w:r>
        <w:rPr>
          <w:color w:val="1E1E1E"/>
          <w:sz w:val="18"/>
        </w:rPr>
        <w:t>No art. 212 da Constituição da República se exige que os Estados apliquem, no mínimo, vinte e cinco por cento (25%) de sua receita resultante de impostos em manutenção e desenvolvimento do ensino. Na Lei de Diretrizes e Bases da Educação Nacional se considera, para efeitos de gastos com manutenção e desenvolvimento do ensino, a remuneração paga aos profissionais da educação que não estejam em desvio de função ou exercendo atividade que não contribua diretamente para o ensino. Impossibilidade de se incluir o pagamento de proventos de inativos no conceito de gastos com manutenção e desenvolvimen</w:t>
      </w:r>
    </w:p>
    <w:p>
      <w:pPr>
        <w:ind w:left="288"/>
      </w:pPr>
      <w:r>
        <w:rPr>
          <w:b/>
          <w:color w:val="003CA0"/>
          <w:sz w:val="16"/>
        </w:rPr>
        <w:t>[ACO 2.799 AgR, rel. min. Cármen Lúcia, j. 3-4-2020, P, DJE de 23-4-2020.]</w:t>
      </w:r>
    </w:p>
    <w:p>
      <w:pPr>
        <w:ind w:left="144"/>
      </w:pPr>
      <w:r>
        <w:rPr>
          <w:b/>
          <w:color w:val="B45A00"/>
          <w:sz w:val="16"/>
        </w:rPr>
        <w:t>SUMULA</w:t>
      </w:r>
    </w:p>
    <w:p>
      <w:pPr>
        <w:ind w:left="288"/>
      </w:pPr>
      <w:r>
        <w:rPr>
          <w:color w:val="8C8C8C"/>
          <w:sz w:val="12"/>
        </w:rPr>
        <w:t>cf-art-212-par-5</w:t>
      </w:r>
    </w:p>
    <w:p>
      <w:pPr>
        <w:ind w:left="288"/>
      </w:pPr>
      <w:r>
        <w:rPr>
          <w:color w:val="1E1E1E"/>
          <w:sz w:val="18"/>
        </w:rPr>
        <w:t>É constitucional a cobrança da contribuição do salário-educação, seja sob a Carta de 1969, seja sob a CF de 1988, e no regime da Lei 9.424/1996.</w:t>
      </w:r>
    </w:p>
    <w:p>
      <w:pPr>
        <w:ind w:left="288"/>
      </w:pPr>
      <w:r>
        <w:rPr>
          <w:b/>
          <w:color w:val="003CA0"/>
          <w:sz w:val="16"/>
        </w:rPr>
        <w:t>[Súmula 732.]</w:t>
      </w:r>
    </w:p>
    <w:p>
      <w:pPr>
        <w:ind w:left="144"/>
      </w:pPr>
      <w:r>
        <w:rPr>
          <w:b/>
          <w:color w:val="B45A00"/>
          <w:sz w:val="16"/>
        </w:rPr>
        <w:t>CONTROLE CONCENTRADO</w:t>
      </w:r>
    </w:p>
    <w:p>
      <w:pPr>
        <w:ind w:left="288"/>
      </w:pPr>
      <w:r>
        <w:rPr>
          <w:color w:val="8C8C8C"/>
          <w:sz w:val="12"/>
        </w:rPr>
        <w:t>cf-art-212-par-5</w:t>
      </w:r>
      <w:r>
        <w:rPr>
          <w:color w:val="003CA0"/>
          <w:sz w:val="12"/>
        </w:rPr>
        <w:t xml:space="preserve"> | ADC 3</w:t>
      </w:r>
      <w:r>
        <w:rPr>
          <w:color w:val="003CA0"/>
          <w:sz w:val="12"/>
        </w:rPr>
        <w:t xml:space="preserve"> | rel. Nelson Jobim</w:t>
      </w:r>
    </w:p>
    <w:p>
      <w:pPr>
        <w:ind w:left="288"/>
      </w:pPr>
      <w:r>
        <w:rPr>
          <w:color w:val="1E1E1E"/>
          <w:sz w:val="18"/>
        </w:rPr>
        <w:t>Ação declaratória de constitucionalidade do art. 15, Lei 9.424/1996. Salário-educação. Contribuições para o Fundo de Manutenção e Desenvolvimento do Ensino Fundamental e de Valorização do Magistério. Decisões judiciais controvertidas. Alegações de inconstitucionalidade formal e material. Formal: lei complementar. Desnecessidade. Natureza da contribuição social. Parágrafo 5º do art. 212 da CF, que remete só à lei. (...) A CF, quanto ao salário-educação, define a finalidade: financiamento do ensino fundamental e o sujeito passivo da contribuição: as empresas. Não resta dúvida. Constitucionalidad</w:t>
      </w:r>
    </w:p>
    <w:p>
      <w:pPr>
        <w:ind w:left="288"/>
      </w:pPr>
      <w:r>
        <w:rPr>
          <w:b/>
          <w:color w:val="003CA0"/>
          <w:sz w:val="16"/>
        </w:rPr>
        <w:t>[ADC 3, rel. min. Nelson Jobim, j. 1º-12-1999, P, DJ de 9-5-2003.]</w:t>
        <w:br/>
        <w:t>= RE 660.933 RG, rel. min. Joaquim Barbosa, j. 2-2-2012, P, DJE de 23-2-2012, Tema 518</w:t>
      </w:r>
    </w:p>
    <w:p>
      <w:pPr>
        <w:ind w:left="288"/>
      </w:pPr>
      <w:r>
        <w:rPr>
          <w:color w:val="8C8C8C"/>
          <w:sz w:val="12"/>
        </w:rPr>
        <w:t>cf-art-212-par-5</w:t>
      </w:r>
      <w:r>
        <w:rPr>
          <w:color w:val="003CA0"/>
          <w:sz w:val="12"/>
        </w:rPr>
        <w:t xml:space="preserve"> | ADI 550-2</w:t>
      </w:r>
      <w:r>
        <w:rPr>
          <w:color w:val="003CA0"/>
          <w:sz w:val="12"/>
        </w:rPr>
        <w:t xml:space="preserve"> | rel. Carlos Velloso</w:t>
      </w:r>
    </w:p>
    <w:p>
      <w:pPr>
        <w:ind w:left="288"/>
      </w:pPr>
      <w:r>
        <w:rPr>
          <w:color w:val="1E1E1E"/>
          <w:sz w:val="18"/>
        </w:rPr>
        <w:t>Destinação de parcelas da receita tributária a fins preestabelecidos. Constituição do Estado do Rio de Janeiro, § 1º do art. 306; parte final dos §§ 2º e 5º do art. 311; e art. 329. (...) É que, no ponto, a CF faculta aos Estados e ao Distrito Federal vincular parcela de sua receita orçamentária a entidades públicas de fomento ao ensino e à pesquisa científica e tecnológica. CF, art. 212, § 5º. Precedentes do STF: ADI 550-2/MT, ADI 336/SE e ADI 422/DF.</w:t>
      </w:r>
    </w:p>
    <w:p>
      <w:pPr>
        <w:ind w:left="288"/>
      </w:pPr>
      <w:r>
        <w:rPr>
          <w:b/>
          <w:color w:val="003CA0"/>
          <w:sz w:val="16"/>
        </w:rPr>
        <w:t>[ADI 780 MC, rel. min. Carlos Velloso, j. 11-3-1993, P, DJ de 16-4-1993.]</w:t>
      </w:r>
    </w:p>
    <w:p>
      <w:pPr>
        <w:ind w:left="144"/>
      </w:pPr>
      <w:r>
        <w:rPr>
          <w:b/>
          <w:color w:val="B45A00"/>
          <w:sz w:val="16"/>
        </w:rPr>
        <w:t>REPERCUSSAO GERAL</w:t>
      </w:r>
    </w:p>
    <w:p>
      <w:pPr>
        <w:ind w:left="288"/>
      </w:pPr>
      <w:r>
        <w:rPr>
          <w:color w:val="8C8C8C"/>
          <w:sz w:val="12"/>
        </w:rPr>
        <w:t>cf-art-212-par-5</w:t>
      </w:r>
      <w:r>
        <w:rPr>
          <w:color w:val="003CA0"/>
          <w:sz w:val="12"/>
        </w:rPr>
        <w:t xml:space="preserve"> | RE 660.933</w:t>
      </w:r>
      <w:r>
        <w:rPr>
          <w:color w:val="003CA0"/>
          <w:sz w:val="12"/>
        </w:rPr>
        <w:t xml:space="preserve"> | rel. Joaquim Barbosa</w:t>
      </w:r>
    </w:p>
    <w:p>
      <w:pPr>
        <w:ind w:left="288"/>
      </w:pPr>
      <w:r>
        <w:rPr>
          <w:color w:val="1E1E1E"/>
          <w:sz w:val="18"/>
        </w:rPr>
        <w:t>Contribuição destinada ao custeio da educação básica. Salário-educação. Cobrança nos termos do DL 1.422/1975 e dos Decretos 76.923/1975 e 87.043/1982. Constitucionalidade segundo as Cartas de 1969 e 1988. Precedentes. Nos termos da Súmula 732/STF, é constitucional a cobrança da contribuição do salário-educação, seja sob a Carta de 1969, seja sob a CF de 1988, e no regime da Lei 9.424/1996. A cobrança da exação, nos termos do DL 1.422/1975 e dos Decretos 76.923/1975 e 87.043/1982, é compatível com as Constituições de 1969 e 1988. Precedentes.</w:t>
        <w:br/>
        <w:t>[RE 660.933 RG, rel. min. Joaquim Barbosa, j. 2-2-20</w:t>
      </w:r>
    </w:p>
    <w:p>
      <w:pPr>
        <w:ind w:left="720"/>
      </w:pPr>
      <w:r>
        <w:rPr>
          <w:color w:val="003366"/>
          <w:sz w:val="18"/>
        </w:rPr>
        <w:t>I – a distribuição dos recursos e de responsabilidades entre o Distrito Federal,</w:t>
      </w:r>
    </w:p>
    <w:p>
      <w:pPr>
        <w:ind w:left="720"/>
      </w:pPr>
      <w:r>
        <w:rPr>
          <w:color w:val="003366"/>
          <w:sz w:val="18"/>
        </w:rPr>
        <w:t>II – os fundos referidos no inciso I do caput deste artigo serão constituídos po</w:t>
      </w:r>
    </w:p>
    <w:p>
      <w:pPr>
        <w:ind w:left="1008"/>
      </w:pPr>
      <w:r>
        <w:rPr>
          <w:color w:val="003366"/>
          <w:sz w:val="18"/>
        </w:rPr>
        <w:t>a) das parcelas dos Estados no imposto de que trata o art. 156-A; (Incluído pela</w:t>
      </w:r>
    </w:p>
    <w:p>
      <w:pPr>
        <w:ind w:left="1008"/>
      </w:pPr>
      <w:r>
        <w:rPr>
          <w:color w:val="003366"/>
          <w:sz w:val="18"/>
        </w:rPr>
        <w:t>b) da parcela do Distrito Federal no imposto de que trata o art. 156-A, relativa</w:t>
      </w:r>
    </w:p>
    <w:p>
      <w:pPr>
        <w:ind w:left="1008"/>
      </w:pPr>
      <w:r>
        <w:rPr>
          <w:color w:val="003366"/>
          <w:sz w:val="18"/>
        </w:rPr>
        <w:t xml:space="preserve">c) dos recursos a que se referem os incisos I, II e III do caput do art. 155, o </w:t>
      </w:r>
    </w:p>
    <w:p>
      <w:pPr>
        <w:ind w:left="720"/>
      </w:pPr>
      <w:r>
        <w:rPr>
          <w:color w:val="003366"/>
          <w:sz w:val="18"/>
        </w:rPr>
        <w:t>III – os recursos referidos no inciso II do caput deste artigo serão distribuído</w:t>
      </w:r>
    </w:p>
    <w:p>
      <w:pPr>
        <w:ind w:left="720"/>
      </w:pPr>
      <w:r>
        <w:rPr>
          <w:color w:val="003366"/>
          <w:sz w:val="18"/>
        </w:rPr>
        <w:t>IV – a União complementará os recursos dos fundos a que se refere o inciso II do</w:t>
      </w:r>
    </w:p>
    <w:p>
      <w:pPr>
        <w:ind w:left="720"/>
      </w:pPr>
      <w:r>
        <w:rPr>
          <w:color w:val="003366"/>
          <w:sz w:val="18"/>
        </w:rPr>
        <w:t>V – a complementação da União será equivalente a, no mínimo, 23% (vinte e três p</w:t>
      </w:r>
    </w:p>
    <w:p>
      <w:pPr>
        <w:ind w:left="1008"/>
      </w:pPr>
      <w:r>
        <w:rPr>
          <w:color w:val="003366"/>
          <w:sz w:val="18"/>
        </w:rPr>
        <w:t>a) 10 (dez) pontos percentuais no âmbito de cada Estado e do Distrito Federal, s</w:t>
      </w:r>
    </w:p>
    <w:p>
      <w:pPr>
        <w:ind w:left="1008"/>
      </w:pPr>
      <w:r>
        <w:rPr>
          <w:color w:val="003366"/>
          <w:sz w:val="18"/>
        </w:rPr>
        <w:t>b) no mínimo, 10,5 (dez inteiros e cinco décimos) pontos percentuais em cada red</w:t>
      </w:r>
    </w:p>
    <w:p>
      <w:pPr>
        <w:ind w:left="1008"/>
      </w:pPr>
      <w:r>
        <w:rPr>
          <w:color w:val="003366"/>
          <w:sz w:val="18"/>
        </w:rPr>
        <w:t>c) 2,5 (dois inteiros e cinco décimos) pontos percentuais nas redes públicas que</w:t>
      </w:r>
    </w:p>
    <w:p>
      <w:pPr>
        <w:ind w:left="720"/>
      </w:pPr>
      <w:r>
        <w:rPr>
          <w:color w:val="003366"/>
          <w:sz w:val="18"/>
        </w:rPr>
        <w:t>VI – o VAAT será calculado, na forma da lei de que trata o inciso X do caput des</w:t>
      </w:r>
    </w:p>
    <w:p>
      <w:pPr>
        <w:ind w:left="720"/>
      </w:pPr>
      <w:r>
        <w:rPr>
          <w:color w:val="003366"/>
          <w:sz w:val="18"/>
        </w:rPr>
        <w:t>VII – os recursos de que tratam os incisos II e IV do caput deste artigo serão a</w:t>
      </w:r>
    </w:p>
    <w:p>
      <w:pPr>
        <w:ind w:left="720"/>
      </w:pPr>
      <w:r>
        <w:rPr>
          <w:color w:val="003366"/>
          <w:sz w:val="18"/>
        </w:rPr>
        <w:t>VIII – a vinculação de recursos à manutenção e ao desenvolvimento do ensino esta</w:t>
      </w:r>
    </w:p>
    <w:p>
      <w:pPr>
        <w:ind w:left="720"/>
      </w:pPr>
      <w:r>
        <w:rPr>
          <w:color w:val="003366"/>
          <w:sz w:val="18"/>
        </w:rPr>
        <w:t>IX – o disposto no caput do art. 160 desta Constituição aplica-se aos recursos r</w:t>
      </w:r>
    </w:p>
    <w:p>
      <w:pPr>
        <w:ind w:left="720"/>
      </w:pPr>
      <w:r>
        <w:rPr>
          <w:color w:val="003366"/>
          <w:sz w:val="18"/>
        </w:rPr>
        <w:t xml:space="preserve">X – a lei disporá, observadas as garantias estabelecidas nos incisos I, II, III </w:t>
      </w:r>
    </w:p>
    <w:p>
      <w:pPr>
        <w:ind w:left="1008"/>
      </w:pPr>
      <w:r>
        <w:rPr>
          <w:color w:val="003366"/>
          <w:sz w:val="18"/>
        </w:rPr>
        <w:t>a) a organização dos fundos referidos no inciso I do caput deste artigo e a dist</w:t>
      </w:r>
    </w:p>
    <w:p>
      <w:pPr>
        <w:ind w:left="1008"/>
      </w:pPr>
      <w:r>
        <w:rPr>
          <w:color w:val="003366"/>
          <w:sz w:val="18"/>
        </w:rPr>
        <w:t>b) a forma de cálculo do VAAF decorrente do inciso III do caput deste artigo e d</w:t>
      </w:r>
    </w:p>
    <w:p>
      <w:pPr>
        <w:ind w:left="1008"/>
      </w:pPr>
      <w:r>
        <w:rPr>
          <w:color w:val="003366"/>
          <w:sz w:val="18"/>
        </w:rPr>
        <w:t>c) a forma de cálculo para distribuição prevista na alínea &amp;quot;c&amp;quot; do inci</w:t>
      </w:r>
    </w:p>
    <w:p>
      <w:pPr>
        <w:ind w:left="1008"/>
      </w:pPr>
      <w:r>
        <w:rPr>
          <w:color w:val="003366"/>
          <w:sz w:val="18"/>
        </w:rPr>
        <w:t>d) a transparência, o monitoramento, a fiscalização e o controle interno, extern</w:t>
      </w:r>
    </w:p>
    <w:p>
      <w:pPr>
        <w:ind w:left="1008"/>
      </w:pPr>
      <w:r>
        <w:rPr>
          <w:color w:val="003366"/>
          <w:sz w:val="18"/>
        </w:rPr>
        <w:t>e) o conteúdo e a periodicidade da avaliação, por parte do órgão responsável, do</w:t>
      </w:r>
    </w:p>
    <w:p>
      <w:pPr>
        <w:ind w:left="720"/>
      </w:pPr>
      <w:r>
        <w:rPr>
          <w:color w:val="003366"/>
          <w:sz w:val="18"/>
        </w:rPr>
        <w:t xml:space="preserve">XI – proporção não inferior a 70% (setenta por cento) de cada fundo referido no </w:t>
      </w:r>
    </w:p>
    <w:p>
      <w:pPr>
        <w:ind w:left="720"/>
      </w:pPr>
      <w:r>
        <w:rPr>
          <w:color w:val="003366"/>
          <w:sz w:val="18"/>
        </w:rPr>
        <w:t>XII – lei específica disporá sobre o piso salarial profissional nacional para os</w:t>
      </w:r>
    </w:p>
    <w:p>
      <w:pPr>
        <w:ind w:left="720"/>
      </w:pPr>
      <w:r>
        <w:rPr>
          <w:color w:val="003366"/>
          <w:sz w:val="18"/>
        </w:rPr>
        <w:t>XIII – a utilização dos recursos a que se refere o § 5º do art. 212 desta Consti</w:t>
      </w:r>
    </w:p>
    <w:p>
      <w:pPr>
        <w:ind w:left="432"/>
      </w:pPr>
      <w:r>
        <w:rPr>
          <w:color w:val="003366"/>
          <w:sz w:val="18"/>
        </w:rPr>
        <w:t>§ 1 O cálculo do VAAT, referido no inciso VI do caput deste artigo, deverá consi</w:t>
      </w:r>
    </w:p>
    <w:p>
      <w:pPr>
        <w:ind w:left="720"/>
      </w:pPr>
      <w:r>
        <w:rPr>
          <w:color w:val="003366"/>
          <w:sz w:val="18"/>
        </w:rPr>
        <w:t>I – receitas de Estados, do Distrito Federal e de Municípios vinculadas à manute</w:t>
      </w:r>
    </w:p>
    <w:p>
      <w:pPr>
        <w:ind w:left="720"/>
      </w:pPr>
      <w:r>
        <w:rPr>
          <w:color w:val="003366"/>
          <w:sz w:val="18"/>
        </w:rPr>
        <w:t>II – cotas estaduais e municipais da arrecadação do salário-educação de que trat</w:t>
      </w:r>
    </w:p>
    <w:p>
      <w:pPr>
        <w:ind w:left="720"/>
      </w:pPr>
      <w:r>
        <w:rPr>
          <w:color w:val="003366"/>
          <w:sz w:val="18"/>
        </w:rPr>
        <w:t>III – complementação da União transferida a Estados, ao Distrito Federal e a Mun</w:t>
      </w:r>
    </w:p>
    <w:p>
      <w:pPr>
        <w:ind w:left="432"/>
      </w:pPr>
      <w:r>
        <w:rPr>
          <w:color w:val="003366"/>
          <w:sz w:val="18"/>
        </w:rPr>
        <w:t xml:space="preserve">§ 2 Além das ponderações previstas na alínea &amp;quot;a&amp;quot; do inciso X do caput </w:t>
      </w:r>
    </w:p>
    <w:p>
      <w:pPr>
        <w:ind w:left="432"/>
      </w:pPr>
      <w:r>
        <w:rPr>
          <w:color w:val="003366"/>
          <w:sz w:val="18"/>
        </w:rPr>
        <w:t xml:space="preserve">§ 3 Será destinada à educação infantil a proporção de 50% (cinquenta por cento) </w:t>
      </w:r>
    </w:p>
    <w:p>
      <w:r>
        <w:rPr>
          <w:b/>
          <w:color w:val="003366"/>
          <w:sz w:val="20"/>
        </w:rPr>
        <w:t xml:space="preserve">Art. 213 Os recursos públicos serão destinados às escolas públicas, podendo ser </w:t>
      </w:r>
      <w:r>
        <w:rPr>
          <w:color w:val="8C8C8C"/>
          <w:sz w:val="14"/>
        </w:rPr>
        <w:t xml:space="preserve">  [2 decisoes]</w:t>
      </w:r>
    </w:p>
    <w:p>
      <w:pPr>
        <w:ind w:left="144"/>
      </w:pPr>
      <w:r>
        <w:rPr>
          <w:b/>
          <w:color w:val="B45A00"/>
          <w:sz w:val="16"/>
        </w:rPr>
        <w:t>CONTROLE CONCENTRADO</w:t>
      </w:r>
    </w:p>
    <w:p>
      <w:pPr>
        <w:ind w:left="288"/>
      </w:pPr>
      <w:r>
        <w:rPr>
          <w:color w:val="8C8C8C"/>
          <w:sz w:val="12"/>
        </w:rPr>
        <w:t>cf-art-213</w:t>
      </w:r>
      <w:r>
        <w:rPr>
          <w:color w:val="003CA0"/>
          <w:sz w:val="12"/>
        </w:rPr>
        <w:t xml:space="preserve"> | ADI 1.924</w:t>
      </w:r>
      <w:r>
        <w:rPr>
          <w:color w:val="003CA0"/>
          <w:sz w:val="12"/>
        </w:rPr>
        <w:t xml:space="preserve"> | rel. Rosa Weber</w:t>
      </w:r>
    </w:p>
    <w:p>
      <w:pPr>
        <w:ind w:left="288"/>
      </w:pPr>
      <w:r>
        <w:rPr>
          <w:color w:val="1E1E1E"/>
          <w:sz w:val="18"/>
        </w:rPr>
        <w:t>Serviço Nacional de Aprendizagem do Cooperativismo. Contribuição para o seu financiamento. (...) O âmbito do art. 213 da Constituição é a destinação dos recursos públicos gerais, oriundos dos impostos, às entidades de ensino, não abrangendo contribuições com finalidade específica dirigida ao financiamento de entidades semipúblicas como o SESCOOP, cuja atividades de ensino constituem meio de intervenção da União no domínio econômico, para apoio ao cooperativismo.</w:t>
      </w:r>
    </w:p>
    <w:p>
      <w:pPr>
        <w:ind w:left="288"/>
      </w:pPr>
      <w:r>
        <w:rPr>
          <w:b/>
          <w:color w:val="003CA0"/>
          <w:sz w:val="16"/>
        </w:rPr>
        <w:t>[ADI 1.924, rel. min. Rosa Weber, j. 16-9-2020, P, DJE de 5-10-2020.]</w:t>
      </w:r>
    </w:p>
    <w:p>
      <w:pPr>
        <w:ind w:left="288"/>
      </w:pPr>
      <w:r>
        <w:rPr>
          <w:color w:val="8C8C8C"/>
          <w:sz w:val="12"/>
        </w:rPr>
        <w:t>cf-art-213-inc-II</w:t>
      </w:r>
    </w:p>
    <w:p>
      <w:pPr>
        <w:ind w:left="288"/>
      </w:pPr>
      <w:r>
        <w:rPr>
          <w:color w:val="1E1E1E"/>
          <w:sz w:val="18"/>
        </w:rPr>
        <w:t>§ 1º Os recursos de que trata este artigo poderão ser destinados a bolsas de estudo para o ensino fundamental e médio, na forma da lei, para os que demonstrarem insuficiência de recursos, quando houver falta de vagas e cursos regulares da rede pública na localidade da residência do educando, ficando o Poder Público obrigado a investir prioritariamente na expansão de sua rede na localidade.</w:t>
      </w:r>
    </w:p>
    <w:p>
      <w:pPr>
        <w:ind w:left="720"/>
      </w:pPr>
      <w:r>
        <w:rPr>
          <w:color w:val="003366"/>
          <w:sz w:val="18"/>
        </w:rPr>
        <w:t>I – comprovem finalidade não-lucrativa e apliquem seus excedentes financeiros em</w:t>
      </w:r>
    </w:p>
    <w:p>
      <w:pPr>
        <w:ind w:left="720"/>
      </w:pPr>
      <w:r>
        <w:rPr>
          <w:color w:val="003366"/>
          <w:sz w:val="18"/>
        </w:rPr>
        <w:t>II – assegurem a destinação de seu patrimônio a outra escola comunitária, filant</w:t>
      </w:r>
    </w:p>
    <w:p>
      <w:pPr>
        <w:ind w:left="432"/>
      </w:pPr>
      <w:r>
        <w:rPr>
          <w:color w:val="003366"/>
          <w:sz w:val="18"/>
        </w:rPr>
        <w:t>§ 1 Os recursos de que trata este artigo poderão ser destinados a bolsas de estu</w:t>
      </w:r>
    </w:p>
    <w:p>
      <w:pPr>
        <w:ind w:left="432"/>
      </w:pPr>
      <w:r>
        <w:rPr>
          <w:color w:val="003366"/>
          <w:sz w:val="18"/>
        </w:rPr>
        <w:t>§ 2 As atividades de pesquisa, de extensão e de estímulo e fomento à inovação re</w:t>
      </w:r>
    </w:p>
    <w:p>
      <w:r>
        <w:rPr>
          <w:b/>
          <w:color w:val="003366"/>
          <w:sz w:val="20"/>
        </w:rPr>
        <w:t>Art. 214 A lei estabelecerá o plano nacional de educação, de duração decenal, co</w:t>
      </w:r>
      <w:r>
        <w:rPr>
          <w:color w:val="8C8C8C"/>
          <w:sz w:val="14"/>
        </w:rPr>
        <w:t xml:space="preserve">  [1 decisoes]</w:t>
      </w:r>
    </w:p>
    <w:p>
      <w:pPr>
        <w:ind w:left="288"/>
      </w:pPr>
      <w:r>
        <w:rPr>
          <w:color w:val="8C8C8C"/>
          <w:sz w:val="12"/>
        </w:rPr>
        <w:t>cf-art-214-inc-V</w:t>
      </w:r>
    </w:p>
    <w:p>
      <w:pPr>
        <w:ind w:left="288"/>
      </w:pPr>
      <w:r>
        <w:rPr>
          <w:color w:val="1E1E1E"/>
          <w:sz w:val="18"/>
        </w:rPr>
        <w:t>Seção II Da Cultura SUMÁRIO</w:t>
      </w:r>
    </w:p>
    <w:p>
      <w:pPr>
        <w:ind w:left="720"/>
      </w:pPr>
      <w:r>
        <w:rPr>
          <w:color w:val="003366"/>
          <w:sz w:val="18"/>
        </w:rPr>
        <w:t>I – erradicação do analfabetismo;</w:t>
      </w:r>
    </w:p>
    <w:p>
      <w:pPr>
        <w:ind w:left="720"/>
      </w:pPr>
      <w:r>
        <w:rPr>
          <w:color w:val="003366"/>
          <w:sz w:val="18"/>
        </w:rPr>
        <w:t>II – universalização do atendimento escolar;</w:t>
      </w:r>
    </w:p>
    <w:p>
      <w:pPr>
        <w:ind w:left="720"/>
      </w:pPr>
      <w:r>
        <w:rPr>
          <w:color w:val="003366"/>
          <w:sz w:val="18"/>
        </w:rPr>
        <w:t>III – melhoria da qualidade do ensino;</w:t>
      </w:r>
    </w:p>
    <w:p>
      <w:pPr>
        <w:ind w:left="720"/>
      </w:pPr>
      <w:r>
        <w:rPr>
          <w:color w:val="003366"/>
          <w:sz w:val="18"/>
        </w:rPr>
        <w:t>IV – formação para o trabalho;</w:t>
      </w:r>
    </w:p>
    <w:p>
      <w:pPr>
        <w:ind w:left="720"/>
      </w:pPr>
      <w:r>
        <w:rPr>
          <w:color w:val="003366"/>
          <w:sz w:val="18"/>
        </w:rPr>
        <w:t>V – promoção humanística, científica e tecnológica do País.</w:t>
      </w:r>
    </w:p>
    <w:p>
      <w:pPr>
        <w:ind w:left="720"/>
      </w:pPr>
      <w:r>
        <w:rPr>
          <w:color w:val="003366"/>
          <w:sz w:val="18"/>
        </w:rPr>
        <w:t xml:space="preserve">VI – estabelecimento de meta de aplicação de recursos públicos em educação como </w:t>
      </w:r>
    </w:p>
    <w:p>
      <w:pPr>
        <w:pStyle w:val="Heading3"/>
      </w:pPr>
      <w:r>
        <w:rPr>
          <w:color w:val="003366"/>
        </w:rPr>
        <w:t>Seção II - DA CULTURA</w:t>
      </w:r>
    </w:p>
    <w:p>
      <w:r>
        <w:rPr>
          <w:b/>
          <w:color w:val="003366"/>
          <w:sz w:val="20"/>
        </w:rPr>
        <w:t>Art. 215 O Estado garantirá a todos o pleno exercício dos direitos culturais e a</w:t>
      </w:r>
      <w:r>
        <w:rPr>
          <w:color w:val="8C8C8C"/>
          <w:sz w:val="14"/>
        </w:rPr>
        <w:t xml:space="preserve">  [11 decisoes]</w:t>
      </w:r>
    </w:p>
    <w:p>
      <w:pPr>
        <w:ind w:left="144"/>
      </w:pPr>
      <w:r>
        <w:rPr>
          <w:b/>
          <w:color w:val="B45A00"/>
          <w:sz w:val="16"/>
        </w:rPr>
        <w:t>CONTROLE CONCENTRADO</w:t>
      </w:r>
    </w:p>
    <w:p>
      <w:pPr>
        <w:ind w:left="288"/>
      </w:pPr>
      <w:r>
        <w:rPr>
          <w:color w:val="8C8C8C"/>
          <w:sz w:val="12"/>
        </w:rPr>
        <w:t>cf-art-215</w:t>
      </w:r>
      <w:r>
        <w:rPr>
          <w:color w:val="003CA0"/>
          <w:sz w:val="12"/>
        </w:rPr>
        <w:t xml:space="preserve"> | ADI 2.163</w:t>
      </w:r>
    </w:p>
    <w:p>
      <w:pPr>
        <w:ind w:left="288"/>
      </w:pPr>
      <w:r>
        <w:rPr>
          <w:color w:val="1E1E1E"/>
          <w:sz w:val="18"/>
        </w:rPr>
        <w:t>Art. 1° da Lei 3.364/2000, do Estado do Rio de Janeiro. Meia-entrada. Concessão de desconto de 50% sobre o preço de ingressos para casas de diversões, praças disportivas e similares aos jovens de até 21 anos. (...) É legítima e adequada a atuação do Estado sobre o domínio econômico que visa garantir o efetivo exercício do direito à educação, à cultura e ao desporto, nos termos da Constituição Federal.</w:t>
      </w:r>
    </w:p>
    <w:p>
      <w:pPr>
        <w:ind w:left="288"/>
      </w:pPr>
      <w:r>
        <w:rPr>
          <w:b/>
          <w:color w:val="003CA0"/>
          <w:sz w:val="16"/>
        </w:rPr>
        <w:t>[ADI 2.163, red. do ac. min. Ricardo Lewandowski, j. 12-4-2018, P, DJE de 1º-8-2019.]</w:t>
      </w:r>
    </w:p>
    <w:p>
      <w:pPr>
        <w:ind w:left="144"/>
      </w:pPr>
      <w:r>
        <w:rPr>
          <w:b/>
          <w:color w:val="B45A00"/>
          <w:sz w:val="16"/>
        </w:rPr>
        <w:t>REPERCUSSAO GERAL</w:t>
      </w:r>
    </w:p>
    <w:p>
      <w:pPr>
        <w:ind w:left="288"/>
      </w:pPr>
      <w:r>
        <w:rPr>
          <w:color w:val="8C8C8C"/>
          <w:sz w:val="12"/>
        </w:rPr>
        <w:t>cf-art-215</w:t>
      </w:r>
      <w:r>
        <w:rPr>
          <w:color w:val="003CA0"/>
          <w:sz w:val="12"/>
        </w:rPr>
        <w:t xml:space="preserve"> | RE 627.432</w:t>
      </w:r>
      <w:r>
        <w:rPr>
          <w:color w:val="003CA0"/>
          <w:sz w:val="12"/>
        </w:rPr>
        <w:t xml:space="preserve"> | rel. Dias Toffoli</w:t>
      </w:r>
    </w:p>
    <w:p>
      <w:pPr>
        <w:ind w:left="288"/>
      </w:pPr>
      <w:r>
        <w:rPr>
          <w:color w:val="1E1E1E"/>
          <w:sz w:val="18"/>
        </w:rPr>
        <w:t>São constitucionais a denominada cota de tela, consistente na obrigatoriedade de exibição de filmes nacionais nos cinemas brasileiros, e as sanções administrativas decorrentes da inobservância da cota.</w:t>
      </w:r>
    </w:p>
    <w:p>
      <w:pPr>
        <w:ind w:left="288"/>
      </w:pPr>
      <w:r>
        <w:rPr>
          <w:b/>
          <w:color w:val="003CA0"/>
          <w:sz w:val="16"/>
        </w:rPr>
        <w:t>[RE 627.432, rel. min. Dias Toffoli, j. 18-3-2021, P, DJE de 26-5-2021, Tema 704, com mérito julgado.]</w:t>
      </w:r>
    </w:p>
    <w:p>
      <w:pPr>
        <w:ind w:left="288"/>
      </w:pPr>
      <w:r>
        <w:rPr>
          <w:color w:val="8C8C8C"/>
          <w:sz w:val="12"/>
        </w:rPr>
        <w:t>cf-art-215</w:t>
      </w:r>
      <w:r>
        <w:rPr>
          <w:color w:val="003CA0"/>
          <w:sz w:val="12"/>
        </w:rPr>
        <w:t xml:space="preserve"> | ARE 1.554.743</w:t>
      </w:r>
      <w:r>
        <w:rPr>
          <w:color w:val="003CA0"/>
          <w:sz w:val="12"/>
        </w:rPr>
        <w:t xml:space="preserve"> | rel. Dias Toffoli</w:t>
      </w:r>
    </w:p>
    <w:p>
      <w:pPr>
        <w:ind w:left="288"/>
      </w:pPr>
      <w:r>
        <w:rPr>
          <w:color w:val="1E1E1E"/>
          <w:sz w:val="18"/>
        </w:rPr>
        <w:t>Lei nº 7.386 do Município do Rio de Janeiro, de 26 de maio de 2022. Concessão de meia-entrada a professores de cursos preparatórios comunitários e/ou sociais em estabelecimentos que promovam lazer e entretenimento e estimulem a difusão cultural. (...) O discrímen adotado pelo legislador municipal no caso está plenamente justificado pela valorização dos profissionais da educação (arts. 6º e 205 da Constituição), aliada aos mandamentos constitucionais de promoção, fomento, apoio e incentivo, a serem adotados pelo Estado, à educação, à cultura e ao desporto (v.g. arts. 205, 215 e 217 da Constitui</w:t>
      </w:r>
    </w:p>
    <w:p>
      <w:pPr>
        <w:ind w:left="288"/>
      </w:pPr>
      <w:r>
        <w:rPr>
          <w:b/>
          <w:color w:val="003CA0"/>
          <w:sz w:val="16"/>
        </w:rPr>
        <w:t>[ARE 1.554.743 AgR, rel. min. Dias Toffoli, j. 15.09.2025, P, DJE de 08.10.2025.]</w:t>
      </w:r>
    </w:p>
    <w:p>
      <w:pPr>
        <w:ind w:left="144"/>
      </w:pPr>
      <w:r>
        <w:rPr>
          <w:b/>
          <w:color w:val="B45A00"/>
          <w:sz w:val="16"/>
        </w:rPr>
        <w:t>JULGADOS CORRELATOS</w:t>
      </w:r>
    </w:p>
    <w:p>
      <w:pPr>
        <w:ind w:left="288"/>
      </w:pPr>
      <w:r>
        <w:rPr>
          <w:color w:val="8C8C8C"/>
          <w:sz w:val="12"/>
        </w:rPr>
        <w:t>cf-art-215</w:t>
      </w:r>
      <w:r>
        <w:rPr>
          <w:color w:val="003CA0"/>
          <w:sz w:val="12"/>
        </w:rPr>
        <w:t xml:space="preserve"> | RE 153.531</w:t>
      </w:r>
      <w:r>
        <w:rPr>
          <w:color w:val="003CA0"/>
          <w:sz w:val="12"/>
        </w:rPr>
        <w:t xml:space="preserve"> | rel. Francisco Rezek</w:t>
      </w:r>
    </w:p>
    <w:p>
      <w:pPr>
        <w:ind w:left="288"/>
      </w:pPr>
      <w:r>
        <w:rPr>
          <w:color w:val="1E1E1E"/>
          <w:sz w:val="18"/>
        </w:rPr>
        <w:t>A obrigação de o Estado garantir a todos o pleno exercício de direitos culturais, incentivando a valorização e a difusão das manifestações, não prescinde da observância da norma do inciso VII do art. 225 da CF, no que veda prática que acabe por submeter os animais a crueldade. Procedimento discrepante da norma constitucional denominado "farra do boi".</w:t>
      </w:r>
    </w:p>
    <w:p>
      <w:pPr>
        <w:ind w:left="288"/>
      </w:pPr>
      <w:r>
        <w:rPr>
          <w:b/>
          <w:color w:val="003CA0"/>
          <w:sz w:val="16"/>
        </w:rPr>
        <w:t>[RE 153.531, rel. min. Francisco Rezek, j. 13-6-1997, 2ª T, DJ de 13-3-1998.]</w:t>
      </w:r>
    </w:p>
    <w:p>
      <w:pPr>
        <w:ind w:left="288"/>
      </w:pPr>
      <w:r>
        <w:rPr>
          <w:color w:val="8C8C8C"/>
          <w:sz w:val="12"/>
        </w:rPr>
        <w:t>cf-art-215</w:t>
      </w:r>
      <w:r>
        <w:rPr>
          <w:color w:val="003CA0"/>
          <w:sz w:val="12"/>
        </w:rPr>
        <w:t xml:space="preserve"> | ADI 1.856</w:t>
      </w:r>
      <w:r>
        <w:rPr>
          <w:color w:val="003CA0"/>
          <w:sz w:val="12"/>
        </w:rPr>
        <w:t xml:space="preserve"> | rel. Celso de Mello</w:t>
      </w:r>
    </w:p>
    <w:p>
      <w:pPr>
        <w:ind w:left="288"/>
      </w:pPr>
      <w:r>
        <w:rPr>
          <w:color w:val="1E1E1E"/>
          <w:sz w:val="18"/>
        </w:rPr>
        <w:t>Vide ADI 1.856, rel. min. Celso de Mello, j. 26-5-2011, P, DJE de 14-10-2011</w:t>
      </w:r>
    </w:p>
    <w:p>
      <w:pPr>
        <w:ind w:left="144"/>
      </w:pPr>
      <w:r>
        <w:rPr>
          <w:b/>
          <w:color w:val="B45A00"/>
          <w:sz w:val="16"/>
        </w:rPr>
        <w:t>CONTROLE CONCENTRADO</w:t>
      </w:r>
    </w:p>
    <w:p>
      <w:pPr>
        <w:ind w:left="288"/>
      </w:pPr>
      <w:r>
        <w:rPr>
          <w:color w:val="8C8C8C"/>
          <w:sz w:val="12"/>
        </w:rPr>
        <w:t>cf-art-215-par-1</w:t>
      </w:r>
      <w:r>
        <w:rPr>
          <w:color w:val="003CA0"/>
          <w:sz w:val="12"/>
        </w:rPr>
        <w:t xml:space="preserve"> | ADI 5.783</w:t>
      </w:r>
      <w:r>
        <w:rPr>
          <w:color w:val="003CA0"/>
          <w:sz w:val="12"/>
        </w:rPr>
        <w:t xml:space="preserve"> | rel. Rosa Weber</w:t>
      </w:r>
    </w:p>
    <w:p>
      <w:pPr>
        <w:ind w:left="288"/>
      </w:pPr>
      <w:r>
        <w:rPr>
          <w:color w:val="1E1E1E"/>
          <w:sz w:val="18"/>
        </w:rPr>
        <w:t>Impugnado o art. 3º, § 2º, da Lei nº 12.910/2013 do Estado da Bahia, que impõe prazo à regularização fundiária das terras tradicionalmente ocupadas pelas comunidades de fundo e fecho de pasto mediante a concessão de uso (...). Dada a íntima relação entre a posse das terras coletivas e a reprodução física e cultural das comunidades tradicionais, os direitos territoriais resultam abrangidos pelo direito fundamental à cultura (art. 215, CF), em particular no que diz com a proteção dos grupos participantes do processo civilizatório nacional (§ 1º). Suas diferentes formas de expressão e modos de cr</w:t>
      </w:r>
    </w:p>
    <w:p>
      <w:pPr>
        <w:ind w:left="144"/>
      </w:pPr>
      <w:r>
        <w:rPr>
          <w:b/>
          <w:color w:val="B45A00"/>
          <w:sz w:val="16"/>
        </w:rPr>
        <w:t>JULGADOS CORRELATOS</w:t>
      </w:r>
    </w:p>
    <w:p>
      <w:pPr>
        <w:ind w:left="288"/>
      </w:pPr>
      <w:r>
        <w:rPr>
          <w:color w:val="8C8C8C"/>
          <w:sz w:val="12"/>
        </w:rPr>
        <w:t>cf-art-215-par-1</w:t>
      </w:r>
      <w:r>
        <w:rPr>
          <w:color w:val="003CA0"/>
          <w:sz w:val="12"/>
        </w:rPr>
        <w:t xml:space="preserve"> | RE 494.601</w:t>
      </w:r>
    </w:p>
    <w:p>
      <w:pPr>
        <w:ind w:left="288"/>
      </w:pPr>
      <w:r>
        <w:rPr>
          <w:color w:val="1E1E1E"/>
          <w:sz w:val="18"/>
        </w:rPr>
        <w:t>A prática e os rituais relacionados ao sacrifício animal são patrimônio cultural imaterial e constituem os modos de criar, fazer e viver de diversas comunidades religiosas, particularmente das que vivenciam a liberdade religiosa a partir de práticas não institucionais. A dimensão comunitária da liberdade religiosa é digna de proteção constitucional e não atenta contra o princípio da laicidade. O sentido de laicidade empregado no texto constitucional destina-se a afastar a invocação de motivos religiosos no espaço público como justificativa para a imposição de obrigações. A validade de justific</w:t>
      </w:r>
    </w:p>
    <w:p>
      <w:pPr>
        <w:ind w:left="288"/>
      </w:pPr>
      <w:r>
        <w:rPr>
          <w:b/>
          <w:color w:val="003CA0"/>
          <w:sz w:val="16"/>
        </w:rPr>
        <w:t>[RE 494.601, red. do ac. min. Edson Fachin, j. 28-3-2019, P, DJE de 19-11-2019.]</w:t>
      </w:r>
    </w:p>
    <w:p>
      <w:pPr>
        <w:ind w:left="288"/>
      </w:pPr>
      <w:r>
        <w:rPr>
          <w:color w:val="8C8C8C"/>
          <w:sz w:val="12"/>
        </w:rPr>
        <w:t>cf-art-215-par-1</w:t>
      </w:r>
      <w:r>
        <w:rPr>
          <w:color w:val="003CA0"/>
          <w:sz w:val="12"/>
        </w:rPr>
        <w:t xml:space="preserve"> | PET 3.388</w:t>
      </w:r>
      <w:r>
        <w:rPr>
          <w:color w:val="003CA0"/>
          <w:sz w:val="12"/>
        </w:rPr>
        <w:t xml:space="preserve"> | rel. Ayres Britto</w:t>
      </w:r>
    </w:p>
    <w:p>
      <w:pPr>
        <w:ind w:left="288"/>
      </w:pPr>
      <w:r>
        <w:rPr>
          <w:color w:val="1E1E1E"/>
          <w:sz w:val="18"/>
        </w:rPr>
        <w:t>No caso, os índios a desfrutar de um espaço fundiário que lhes assegure meios dignos de subsistência econômica para mais eficazmente poderem preservar sua identidade somática, linguística e cultural. Processo de uma aculturação que não se dilui no convívio com os não índios, pois a aculturação de que trata a Constituição não é perda de identidade étnica, mas somatório de mundividências. Uma soma, e não uma subtração. Ganho, e não perda. Relações interétnicas de mútuo proveito, a caracterizar ganhos culturais incessantemente cumulativos. Concretização constitucional do valor da inclusão comunit</w:t>
      </w:r>
    </w:p>
    <w:p>
      <w:pPr>
        <w:ind w:left="288"/>
      </w:pPr>
      <w:r>
        <w:rPr>
          <w:b/>
          <w:color w:val="003CA0"/>
          <w:sz w:val="16"/>
        </w:rPr>
        <w:t>[Pet 3.388, rel. min. Ayres Britto, j. 19-3-2009, P, DJE de 1º-7-2010.]</w:t>
      </w:r>
    </w:p>
    <w:p>
      <w:pPr>
        <w:ind w:left="288"/>
      </w:pPr>
      <w:r>
        <w:rPr>
          <w:color w:val="8C8C8C"/>
          <w:sz w:val="12"/>
        </w:rPr>
        <w:t>cf-art-215-par-1</w:t>
      </w:r>
      <w:r>
        <w:rPr>
          <w:color w:val="003CA0"/>
          <w:sz w:val="12"/>
        </w:rPr>
        <w:t xml:space="preserve"> | HC 80.240</w:t>
      </w:r>
      <w:r>
        <w:rPr>
          <w:color w:val="003CA0"/>
          <w:sz w:val="12"/>
        </w:rPr>
        <w:t xml:space="preserve"> | rel. Sepúlveda Pertence</w:t>
      </w:r>
    </w:p>
    <w:p>
      <w:pPr>
        <w:ind w:left="288"/>
      </w:pPr>
      <w:r>
        <w:rPr>
          <w:color w:val="1E1E1E"/>
          <w:sz w:val="18"/>
        </w:rPr>
        <w:t>CPI: intimação de indígena para prestar depoimento na condição de testemunha, fora do seu habitat: violação às normas constitucionais que conferem proteção específica aos povos indígenas (CF, arts. 215, 216 e 231). (...) A tutela constitucional do grupo indígena, que visa a proteger, além da posse e usufruto das terras originariamente dos índios, a respectiva identidade cultural, se estende ao indivíduo que o compõe, quanto à remoção de suas terras, que é sempre ato de opção, de vontade própria, não podendo se apresentar como imposição, salvo hipóteses excepcionais. Ademais, o depoimento do ín</w:t>
      </w:r>
    </w:p>
    <w:p>
      <w:pPr>
        <w:ind w:left="288"/>
      </w:pPr>
      <w:r>
        <w:rPr>
          <w:b/>
          <w:color w:val="003CA0"/>
          <w:sz w:val="16"/>
        </w:rPr>
        <w:t>[HC 80.240, rel. min. Sepúlveda Pertence, j. 20-6-2001, 2ª T, DJ de 14-10-2005.]</w:t>
      </w:r>
    </w:p>
    <w:p>
      <w:pPr>
        <w:ind w:left="288"/>
      </w:pPr>
      <w:r>
        <w:rPr>
          <w:color w:val="8C8C8C"/>
          <w:sz w:val="12"/>
        </w:rPr>
        <w:t>cf-art-215-par-1</w:t>
      </w:r>
    </w:p>
    <w:p>
      <w:pPr>
        <w:ind w:left="288"/>
      </w:pPr>
      <w:r>
        <w:rPr>
          <w:color w:val="1E1E1E"/>
          <w:sz w:val="18"/>
        </w:rPr>
        <w:t>§ 2º A lei disporá sobre a fixação de datas comemorativas de alta significação para os diferentes segmentos étnicos nacionais.</w:t>
      </w:r>
    </w:p>
    <w:p>
      <w:pPr>
        <w:ind w:left="144"/>
      </w:pPr>
      <w:r>
        <w:rPr>
          <w:b/>
          <w:color w:val="B45A00"/>
          <w:sz w:val="16"/>
        </w:rPr>
        <w:t>CONTROLE CONCENTRADO</w:t>
      </w:r>
    </w:p>
    <w:p>
      <w:pPr>
        <w:ind w:left="288"/>
      </w:pPr>
      <w:r>
        <w:rPr>
          <w:color w:val="8C8C8C"/>
          <w:sz w:val="12"/>
        </w:rPr>
        <w:t>cf-art-215-par-1</w:t>
      </w:r>
      <w:r>
        <w:rPr>
          <w:color w:val="003CA0"/>
          <w:sz w:val="12"/>
        </w:rPr>
        <w:t xml:space="preserve"> | ADPF 634</w:t>
      </w:r>
      <w:r>
        <w:rPr>
          <w:color w:val="003CA0"/>
          <w:sz w:val="12"/>
        </w:rPr>
        <w:t xml:space="preserve"> | rel. Cármen Lúcia</w:t>
      </w:r>
    </w:p>
    <w:p>
      <w:pPr>
        <w:ind w:left="288"/>
      </w:pPr>
      <w:r>
        <w:rPr>
          <w:color w:val="1E1E1E"/>
          <w:sz w:val="18"/>
        </w:rPr>
        <w:t>Instituição do feriado municipal comemorativo do Dia da Consciência Negra. Competência municipal para instituição de feriado de alta significação étnica. Interesse local.</w:t>
        <w:br/>
        <w:t>[ADPF 634, rel. min. Cármen Lúcia, j. 30-11-2022, P, DJE de 13-4-2023.]</w:t>
      </w:r>
    </w:p>
    <w:p>
      <w:pPr>
        <w:ind w:left="432"/>
      </w:pPr>
      <w:r>
        <w:rPr>
          <w:color w:val="003366"/>
          <w:sz w:val="18"/>
        </w:rPr>
        <w:t>§ 1 O Estado protegerá as manifestações das culturas populares, indígenas e afro</w:t>
      </w:r>
    </w:p>
    <w:p>
      <w:r>
        <w:rPr>
          <w:b/>
          <w:color w:val="003366"/>
          <w:sz w:val="20"/>
        </w:rPr>
        <w:t xml:space="preserve">Art. 216 Constituem patrimônio cultural brasileiro os bens de natureza material </w:t>
      </w:r>
      <w:r>
        <w:rPr>
          <w:color w:val="8C8C8C"/>
          <w:sz w:val="14"/>
        </w:rPr>
        <w:t xml:space="preserve">  [10 decisoes]</w:t>
      </w:r>
    </w:p>
    <w:p>
      <w:pPr>
        <w:ind w:left="144"/>
      </w:pPr>
      <w:r>
        <w:rPr>
          <w:b/>
          <w:color w:val="B45A00"/>
          <w:sz w:val="16"/>
        </w:rPr>
        <w:t>JULGADOS CORRELATOS</w:t>
      </w:r>
    </w:p>
    <w:p>
      <w:pPr>
        <w:ind w:left="288"/>
      </w:pPr>
      <w:r>
        <w:rPr>
          <w:color w:val="8C8C8C"/>
          <w:sz w:val="12"/>
        </w:rPr>
        <w:t>cf-art-216</w:t>
      </w:r>
      <w:r>
        <w:rPr>
          <w:color w:val="003CA0"/>
          <w:sz w:val="12"/>
        </w:rPr>
        <w:t xml:space="preserve"> | ACO 1.966</w:t>
      </w:r>
      <w:r>
        <w:rPr>
          <w:color w:val="003CA0"/>
          <w:sz w:val="12"/>
        </w:rPr>
        <w:t xml:space="preserve"> | rel. Luiz Fux</w:t>
      </w:r>
    </w:p>
    <w:p>
      <w:pPr>
        <w:ind w:left="288"/>
      </w:pPr>
      <w:r>
        <w:rPr>
          <w:color w:val="1E1E1E"/>
          <w:sz w:val="18"/>
        </w:rPr>
        <w:t>A proteção jurídica do patrimônio cultural brasileiro, enquanto direito fundamental de terceira geração, é matéria expressamente prevista no Texto Constitucional (art. 216 da CRFB/1988). A ordem constitucional vigente recepcionou o DL 25/1937, que, ao organizar a proteção do patrimônio histórico e artístico nacional, estabeleceu disciplina própria e específica ao instituto do tombamento, como meio de proteção de diversas dimensões do patrimônio cultural brasileiro.</w:t>
        <w:br/>
        <w:t>[ACO 1.966 AgR, rel. min. Luiz Fux, j. 17-11-2017, P, DJE de 27-11-2017.]</w:t>
      </w:r>
    </w:p>
    <w:p>
      <w:pPr>
        <w:ind w:left="144"/>
      </w:pPr>
      <w:r>
        <w:rPr>
          <w:b/>
          <w:color w:val="B45A00"/>
          <w:sz w:val="16"/>
        </w:rPr>
        <w:t>CONTROLE CONCENTRADO</w:t>
      </w:r>
    </w:p>
    <w:p>
      <w:pPr>
        <w:ind w:left="288"/>
      </w:pPr>
      <w:r>
        <w:rPr>
          <w:color w:val="8C8C8C"/>
          <w:sz w:val="12"/>
        </w:rPr>
        <w:t>cf-art-216-inc-II</w:t>
      </w:r>
      <w:r>
        <w:rPr>
          <w:color w:val="003CA0"/>
          <w:sz w:val="12"/>
        </w:rPr>
        <w:t xml:space="preserve"> | ADI 4.269</w:t>
      </w:r>
      <w:r>
        <w:rPr>
          <w:color w:val="003CA0"/>
          <w:sz w:val="12"/>
        </w:rPr>
        <w:t xml:space="preserve"> | rel. Edson Fachin</w:t>
      </w:r>
    </w:p>
    <w:p>
      <w:pPr>
        <w:ind w:left="288"/>
      </w:pPr>
      <w:r>
        <w:rPr>
          <w:color w:val="1E1E1E"/>
          <w:sz w:val="18"/>
        </w:rPr>
        <w:t xml:space="preserve">Revela-se de importância ímpar a promoção de regularização fundiária nas terras ocupadas de domínio da União na Amazônia Legal, de modo a assegurar a inclusão social das comunidades que ali vivem, por meio da concessão de títulos de propriedade ou concessão de direito real de uso às áreas habitadas, redução da pobreza, acesso aos programas sociais de incentivo à produção sustentável, bem como melhorando as condições de fiscalização ambiental e responsabilização pelas lesões causadas à Floresta Amazônica. O artigo 4º, §2º da Lei nº 11.952/2009 vai de encontro à proteção adequada das terras dos </w:t>
      </w:r>
    </w:p>
    <w:p>
      <w:pPr>
        <w:ind w:left="288"/>
      </w:pPr>
      <w:r>
        <w:rPr>
          <w:color w:val="8C8C8C"/>
          <w:sz w:val="12"/>
        </w:rPr>
        <w:t>cf-art-216-inc-V</w:t>
      </w:r>
      <w:r>
        <w:rPr>
          <w:color w:val="003CA0"/>
          <w:sz w:val="12"/>
        </w:rPr>
        <w:t xml:space="preserve"> | ADI 3.525</w:t>
      </w:r>
      <w:r>
        <w:rPr>
          <w:color w:val="003CA0"/>
          <w:sz w:val="12"/>
        </w:rPr>
        <w:t xml:space="preserve"> | rel. Gilmar Mendes</w:t>
      </w:r>
    </w:p>
    <w:p>
      <w:pPr>
        <w:ind w:left="288"/>
      </w:pPr>
      <w:r>
        <w:rPr>
          <w:color w:val="1E1E1E"/>
          <w:sz w:val="18"/>
        </w:rPr>
        <w:t>Ação direta de inconstitucionalidade. Art. 251 da Constituição do Estado de Mato Grosso e Lei estadual 7.782/2002, "que declara integrantes do patrimônio científico-cultural do Estado os sítios paleontológicos e arqueológicos localizados em Municípios do Estado de Mato Grosso". Violação aos arts. 23, III, e 216, V, da Constituição.</w:t>
      </w:r>
    </w:p>
    <w:p>
      <w:pPr>
        <w:ind w:left="288"/>
      </w:pPr>
      <w:r>
        <w:rPr>
          <w:b/>
          <w:color w:val="003CA0"/>
          <w:sz w:val="16"/>
        </w:rPr>
        <w:t>[ADI 3.525, rel. min. Gilmar Mendes, j. 30-8-2007, P, DJ de 26-10-2007.]</w:t>
      </w:r>
    </w:p>
    <w:p>
      <w:pPr>
        <w:ind w:left="288"/>
      </w:pPr>
      <w:r>
        <w:rPr>
          <w:color w:val="8C8C8C"/>
          <w:sz w:val="12"/>
        </w:rPr>
        <w:t>cf-art-216-inc-V</w:t>
      </w:r>
      <w:r>
        <w:rPr>
          <w:color w:val="003CA0"/>
          <w:sz w:val="12"/>
        </w:rPr>
        <w:t xml:space="preserve"> | ADI 2.544</w:t>
      </w:r>
      <w:r>
        <w:rPr>
          <w:color w:val="003CA0"/>
          <w:sz w:val="12"/>
        </w:rPr>
        <w:t xml:space="preserve"> | rel. Sepúlveda Pertence</w:t>
      </w:r>
    </w:p>
    <w:p>
      <w:pPr>
        <w:ind w:left="288"/>
      </w:pPr>
      <w:r>
        <w:rPr>
          <w:color w:val="1E1E1E"/>
          <w:sz w:val="18"/>
        </w:rPr>
        <w:t>Federação: competência comum: proteção do patrimônio comum, incluído o dos sítios de valor arqueológico (CF, arts. 23, III, e 216, V): encargo que não comporta demissão unilateral. Lei estadual 11.380, de 1999, do Estado do Rio Grande do Sul confere aos Municípios em que se localizam a proteção, a guarda e a responsabilidade pelos sítios arqueológicos e seus acervos, no Estado, o que vale por excluir, a propósito de tais bens do patrimônio cultural brasileiro (CF, art. 216, V), o dever de proteção e guarda e a consequente responsabilidade não apenas do Estado, mas também da própria União, incl</w:t>
      </w:r>
    </w:p>
    <w:p>
      <w:pPr>
        <w:ind w:left="288"/>
      </w:pPr>
      <w:r>
        <w:rPr>
          <w:b/>
          <w:color w:val="003CA0"/>
          <w:sz w:val="16"/>
        </w:rPr>
        <w:t>[ADI 2.544, rel. min. Sepúlveda Pertence, j. 28-6-2006, P, DJ de 17-11-2006.]</w:t>
      </w:r>
    </w:p>
    <w:p>
      <w:pPr>
        <w:ind w:left="288"/>
      </w:pPr>
      <w:r>
        <w:rPr>
          <w:color w:val="8C8C8C"/>
          <w:sz w:val="12"/>
        </w:rPr>
        <w:t>cf-art-216-par-1</w:t>
      </w:r>
      <w:r>
        <w:rPr>
          <w:color w:val="003CA0"/>
          <w:sz w:val="12"/>
        </w:rPr>
        <w:t xml:space="preserve"> | ADI 5.783</w:t>
      </w:r>
      <w:r>
        <w:rPr>
          <w:color w:val="003CA0"/>
          <w:sz w:val="12"/>
        </w:rPr>
        <w:t xml:space="preserve"> | rel. Rosa Weber</w:t>
      </w:r>
    </w:p>
    <w:p>
      <w:pPr>
        <w:ind w:left="288"/>
      </w:pPr>
      <w:r>
        <w:rPr>
          <w:color w:val="1E1E1E"/>
          <w:sz w:val="18"/>
        </w:rPr>
        <w:t>Impugnado o art. 3º, § 2º, da Lei nº 12.910/2013 do Estado da Bahia, que impõe prazo à regularização fundiária das terras tradicionalmente ocupadas pelas comunidades de fundo e fecho de pasto mediante a concessão de uso (...). Dada a íntima relação entre a posse das terras coletivas e a reprodução física e cultural das comunidades tradicionais, os direitos territoriais resultam abrangidos pelo direito fundamental à cultura (art. 215, CF), em particular no que diz com a proteção dos grupos participantes do processo civilizatório nacional (§ 1º). Suas diferentes formas de expressão e modos de cr</w:t>
      </w:r>
    </w:p>
    <w:p>
      <w:pPr>
        <w:ind w:left="288"/>
      </w:pPr>
      <w:r>
        <w:rPr>
          <w:b/>
          <w:color w:val="003CA0"/>
          <w:sz w:val="16"/>
        </w:rPr>
        <w:t>[RE 1.499.300 AgR-segundo, rel. min. Dias Toffoli, j. 19.08.2025, 2ª T, DJE de 11.09.2025.]</w:t>
      </w:r>
    </w:p>
    <w:p>
      <w:pPr>
        <w:ind w:left="288"/>
      </w:pPr>
      <w:r>
        <w:rPr>
          <w:color w:val="8C8C8C"/>
          <w:sz w:val="12"/>
        </w:rPr>
        <w:t>cf-art-216-par-1</w:t>
      </w:r>
      <w:r>
        <w:rPr>
          <w:color w:val="003CA0"/>
          <w:sz w:val="12"/>
        </w:rPr>
        <w:t xml:space="preserve"> | ARE 1.416.029</w:t>
      </w:r>
      <w:r>
        <w:rPr>
          <w:color w:val="003CA0"/>
          <w:sz w:val="12"/>
        </w:rPr>
        <w:t xml:space="preserve"> | rel. Luiz Fux</w:t>
      </w:r>
    </w:p>
    <w:p>
      <w:pPr>
        <w:ind w:left="288"/>
      </w:pPr>
      <w:r>
        <w:rPr>
          <w:color w:val="1E1E1E"/>
          <w:sz w:val="18"/>
        </w:rPr>
        <w:t>O art. 216, §1º, da Constituição Federal, impõe ao Poder Público, com a colaboração da comunidade, a responsabilidade pela promoção e proteção do patrimônio cultural brasileiro por meio do tombamento. A competência para o tombamento é comum entre todos os entes federativos, nos termos dos arts. 23, III, 30, IX e 216, §1º, da Constituição Federal. O tombamento atribui ao bem um regime jurídico especial de proteção, criando obrigações para o proprietário, para todos os entes públicos envolvidos e para a sociedade, operando efeitos erga omnes, no sentido de impedir a prática de atos que acarretem</w:t>
      </w:r>
    </w:p>
    <w:p>
      <w:pPr>
        <w:ind w:left="288"/>
      </w:pPr>
      <w:r>
        <w:rPr>
          <w:b/>
          <w:color w:val="003CA0"/>
          <w:sz w:val="16"/>
        </w:rPr>
        <w:t>[ARE 1.416.029 AgR, rel. min. Luiz Fux, j. 25.06.2025, 1ª T, DJE de 18.07.2025.]</w:t>
      </w:r>
    </w:p>
    <w:p>
      <w:pPr>
        <w:ind w:left="144"/>
      </w:pPr>
      <w:r>
        <w:rPr>
          <w:b/>
          <w:color w:val="B45A00"/>
          <w:sz w:val="16"/>
        </w:rPr>
        <w:t>JULGADOS CORRELATOS</w:t>
      </w:r>
    </w:p>
    <w:p>
      <w:pPr>
        <w:ind w:left="288"/>
      </w:pPr>
      <w:r>
        <w:rPr>
          <w:color w:val="8C8C8C"/>
          <w:sz w:val="12"/>
        </w:rPr>
        <w:t>cf-art-216-par-1</w:t>
      </w:r>
      <w:r>
        <w:rPr>
          <w:color w:val="003CA0"/>
          <w:sz w:val="12"/>
        </w:rPr>
        <w:t xml:space="preserve"> | ARE 1.390.160</w:t>
      </w:r>
      <w:r>
        <w:rPr>
          <w:color w:val="003CA0"/>
          <w:sz w:val="12"/>
        </w:rPr>
        <w:t xml:space="preserve"> | rel. Roberto Barroso</w:t>
      </w:r>
    </w:p>
    <w:p>
      <w:pPr>
        <w:ind w:left="288"/>
      </w:pPr>
      <w:r>
        <w:rPr>
          <w:color w:val="1E1E1E"/>
          <w:sz w:val="18"/>
        </w:rPr>
        <w:t>(...) nos termos do art. 216, § 1º, da Constituição Federal, a expressão Poder Público possui como destinatárias todas as esferas de atuação estatal, seja federal, estadual ou municipal, incluindo a divisão tripartite de poderes (Legislativo, Executivo e Judiciário).</w:t>
      </w:r>
    </w:p>
    <w:p>
      <w:pPr>
        <w:ind w:left="288"/>
      </w:pPr>
      <w:r>
        <w:rPr>
          <w:b/>
          <w:color w:val="003CA0"/>
          <w:sz w:val="16"/>
        </w:rPr>
        <w:t>[ARE 1.390.160 AgR, rel. min. Roberto Barroso, j. 19-12-2022, 1ª T, DJE de 6-2-2023.]</w:t>
      </w:r>
    </w:p>
    <w:p>
      <w:pPr>
        <w:ind w:left="288"/>
      </w:pPr>
      <w:r>
        <w:rPr>
          <w:color w:val="8C8C8C"/>
          <w:sz w:val="12"/>
        </w:rPr>
        <w:t>cf-art-216-par-1</w:t>
      </w:r>
      <w:r>
        <w:rPr>
          <w:color w:val="003CA0"/>
          <w:sz w:val="12"/>
        </w:rPr>
        <w:t xml:space="preserve"> | ACO 1.208</w:t>
      </w:r>
      <w:r>
        <w:rPr>
          <w:color w:val="003CA0"/>
          <w:sz w:val="12"/>
        </w:rPr>
        <w:t xml:space="preserve"> | rel. Gilmar Mendes</w:t>
      </w:r>
    </w:p>
    <w:p>
      <w:pPr>
        <w:ind w:left="288"/>
      </w:pPr>
      <w:r>
        <w:rPr>
          <w:color w:val="1E1E1E"/>
          <w:sz w:val="18"/>
        </w:rPr>
        <w:t>Tombamento de bem público da União por Estado. (...) Hierarquia verticalizada, prevista na Lei de Desapropriação (DL 3.365/1941). Inaplicabilidade no tombamento. Regramento específico. DL 25/1937 (arts. 2º, 5º e 11). (...) Possibilidade de o Estado tombar bem da União. Doutrina.</w:t>
      </w:r>
    </w:p>
    <w:p>
      <w:pPr>
        <w:ind w:left="288"/>
      </w:pPr>
      <w:r>
        <w:rPr>
          <w:b/>
          <w:color w:val="003CA0"/>
          <w:sz w:val="16"/>
        </w:rPr>
        <w:t>[ACO 1.208 AgR, rel. min. Gilmar Mendes, j. 24-11-2017, P, DJE de 4-12-2017.]</w:t>
      </w:r>
    </w:p>
    <w:p>
      <w:pPr>
        <w:ind w:left="288"/>
      </w:pPr>
      <w:r>
        <w:rPr>
          <w:color w:val="8C8C8C"/>
          <w:sz w:val="12"/>
        </w:rPr>
        <w:t>cf-art-216-par-1</w:t>
      </w:r>
      <w:r>
        <w:rPr>
          <w:color w:val="003CA0"/>
          <w:sz w:val="12"/>
        </w:rPr>
        <w:t xml:space="preserve"> | RE 219.292</w:t>
      </w:r>
      <w:r>
        <w:rPr>
          <w:color w:val="003CA0"/>
          <w:sz w:val="12"/>
        </w:rPr>
        <w:t xml:space="preserve"> | rel. Octavio Gallotti</w:t>
      </w:r>
    </w:p>
    <w:p>
      <w:pPr>
        <w:ind w:left="288"/>
      </w:pPr>
      <w:r>
        <w:rPr>
          <w:color w:val="1E1E1E"/>
          <w:sz w:val="18"/>
        </w:rPr>
        <w:t>Tombamento de bem imóvel para limitar sua destinação às atividades artístico-culturais. Preservação a ser atendida por meio de desapropriação. Não pelo emprego da modalidade do chamado tombamento de uso. Recurso da municipalidade do qual não se conhece, porquanto não configurada a alegada contrariedade, pelo acórdão recorrido, do disposto no art. 216, § 1º, da Constituição.</w:t>
        <w:br/>
        <w:t>[RE 219.292, rel. min. Octavio Gallotti, j. 7-12-1999, 1ª T, DJ de 23-6-2000.] No tocante ao § 1º do art. 216 da CF, não ofende esse dispositivo constitucional a afirmação constante do acórdão recorrido no sentido de que há</w:t>
      </w:r>
    </w:p>
    <w:p>
      <w:pPr>
        <w:ind w:left="288"/>
      </w:pPr>
      <w:r>
        <w:rPr>
          <w:b/>
          <w:color w:val="003CA0"/>
          <w:sz w:val="16"/>
        </w:rPr>
        <w:t>[RE 182.782, rel. min. Moreira Alves, j. 14-11-1995, 1ª T, DJ de 9-2-1996.]</w:t>
      </w:r>
    </w:p>
    <w:p>
      <w:pPr>
        <w:ind w:left="288"/>
      </w:pPr>
      <w:r>
        <w:rPr>
          <w:color w:val="8C8C8C"/>
          <w:sz w:val="12"/>
        </w:rPr>
        <w:t>cf-art-216-par-6-inc-III</w:t>
      </w:r>
    </w:p>
    <w:p>
      <w:pPr>
        <w:ind w:left="288"/>
      </w:pPr>
      <w:r>
        <w:rPr>
          <w:color w:val="1E1E1E"/>
          <w:sz w:val="18"/>
        </w:rPr>
        <w:t>Seção III Do Desporto SUMÁRIO</w:t>
      </w:r>
    </w:p>
    <w:p>
      <w:pPr>
        <w:ind w:left="720"/>
      </w:pPr>
      <w:r>
        <w:rPr>
          <w:color w:val="003366"/>
          <w:sz w:val="18"/>
        </w:rPr>
        <w:t>I – as formas de expressão;</w:t>
      </w:r>
    </w:p>
    <w:p>
      <w:pPr>
        <w:ind w:left="720"/>
      </w:pPr>
      <w:r>
        <w:rPr>
          <w:color w:val="003366"/>
          <w:sz w:val="18"/>
        </w:rPr>
        <w:t>II – os modos de criar, fazer e viver;</w:t>
      </w:r>
    </w:p>
    <w:p>
      <w:pPr>
        <w:ind w:left="720"/>
      </w:pPr>
      <w:r>
        <w:rPr>
          <w:color w:val="003366"/>
          <w:sz w:val="18"/>
        </w:rPr>
        <w:t>III – as criações científicas, artísticas e tecnológicas;</w:t>
      </w:r>
    </w:p>
    <w:p>
      <w:pPr>
        <w:ind w:left="720"/>
      </w:pPr>
      <w:r>
        <w:rPr>
          <w:color w:val="003366"/>
          <w:sz w:val="18"/>
        </w:rPr>
        <w:t>IV – as obras, objetos, documentos, edificações e demais espaços destinados às m</w:t>
      </w:r>
    </w:p>
    <w:p>
      <w:pPr>
        <w:ind w:left="720"/>
      </w:pPr>
      <w:r>
        <w:rPr>
          <w:color w:val="003366"/>
          <w:sz w:val="18"/>
        </w:rPr>
        <w:t>V – os conjuntos urbanos e sítios de valor histórico, paisagístico, artístico, a</w:t>
      </w:r>
    </w:p>
    <w:p>
      <w:pPr>
        <w:ind w:left="432"/>
      </w:pPr>
      <w:r>
        <w:rPr>
          <w:color w:val="003366"/>
          <w:sz w:val="18"/>
        </w:rPr>
        <w:t>§ 1 O Poder Público, com a colaboração da comunidade, promoverá e protegerá o pa</w:t>
      </w:r>
    </w:p>
    <w:p>
      <w:pPr>
        <w:ind w:left="432"/>
      </w:pPr>
      <w:r>
        <w:rPr>
          <w:color w:val="003366"/>
          <w:sz w:val="18"/>
        </w:rPr>
        <w:t>§ 2 Cabem à administração pública, na forma da lei, a gestão da documentação gov</w:t>
      </w:r>
    </w:p>
    <w:p>
      <w:pPr>
        <w:ind w:left="432"/>
      </w:pPr>
      <w:r>
        <w:rPr>
          <w:color w:val="003366"/>
          <w:sz w:val="18"/>
        </w:rPr>
        <w:t>§ 3 A lei estabelecerá incentivos para a produção e o conhecimento de bens e val</w:t>
      </w:r>
    </w:p>
    <w:p>
      <w:pPr>
        <w:ind w:left="432"/>
      </w:pPr>
      <w:r>
        <w:rPr>
          <w:color w:val="003366"/>
          <w:sz w:val="18"/>
        </w:rPr>
        <w:t>§ 4 Os danos e ameaças ao patrimônio cultural serão punidos, na forma da lei.</w:t>
      </w:r>
    </w:p>
    <w:p>
      <w:pPr>
        <w:ind w:left="432"/>
      </w:pPr>
      <w:r>
        <w:rPr>
          <w:color w:val="003366"/>
          <w:sz w:val="18"/>
        </w:rPr>
        <w:t xml:space="preserve">§ 5 Ficam tombados todos os documentos e os sítios detentores de reminiscências </w:t>
      </w:r>
    </w:p>
    <w:p>
      <w:pPr>
        <w:ind w:left="432"/>
      </w:pPr>
      <w:r>
        <w:rPr>
          <w:color w:val="003366"/>
          <w:sz w:val="18"/>
        </w:rPr>
        <w:t>§ 6 É facultado aos Estados e ao Distrito Federal vincular a fundo estadual de f</w:t>
      </w:r>
    </w:p>
    <w:p>
      <w:pPr>
        <w:ind w:left="720"/>
      </w:pPr>
      <w:r>
        <w:rPr>
          <w:color w:val="003366"/>
          <w:sz w:val="18"/>
        </w:rPr>
        <w:t>I – despesas com pessoal e encargos sociais; (Incluído pela Emenda Constituciona</w:t>
      </w:r>
    </w:p>
    <w:p>
      <w:pPr>
        <w:ind w:left="720"/>
      </w:pPr>
      <w:r>
        <w:rPr>
          <w:color w:val="003366"/>
          <w:sz w:val="18"/>
        </w:rPr>
        <w:t>II – serviço da dívida; (Incluído pela Emenda Constitucional nº 42, de 19.12.200</w:t>
      </w:r>
    </w:p>
    <w:p>
      <w:pPr>
        <w:ind w:left="720"/>
      </w:pPr>
      <w:r>
        <w:rPr>
          <w:color w:val="003366"/>
          <w:sz w:val="18"/>
        </w:rPr>
        <w:t>III – qualquer outra despesa corrente não vinculada diretamente aos investimento</w:t>
      </w:r>
    </w:p>
    <w:p>
      <w:r>
        <w:rPr>
          <w:b/>
          <w:color w:val="003366"/>
          <w:sz w:val="20"/>
        </w:rPr>
        <w:t xml:space="preserve">Art. 216 A. O Sistema Nacional de Cultura, organizado em regime de colaboração, </w:t>
      </w:r>
      <w:r>
        <w:rPr>
          <w:color w:val="8C8C8C"/>
          <w:sz w:val="14"/>
        </w:rPr>
        <w:t xml:space="preserve">  [10 decisoes]</w:t>
      </w:r>
    </w:p>
    <w:p>
      <w:pPr>
        <w:ind w:left="144"/>
      </w:pPr>
      <w:r>
        <w:rPr>
          <w:b/>
          <w:color w:val="B45A00"/>
          <w:sz w:val="16"/>
        </w:rPr>
        <w:t>JULGADOS CORRELATOS</w:t>
      </w:r>
    </w:p>
    <w:p>
      <w:pPr>
        <w:ind w:left="288"/>
      </w:pPr>
      <w:r>
        <w:rPr>
          <w:color w:val="8C8C8C"/>
          <w:sz w:val="12"/>
        </w:rPr>
        <w:t>cf-art-216</w:t>
      </w:r>
      <w:r>
        <w:rPr>
          <w:color w:val="003CA0"/>
          <w:sz w:val="12"/>
        </w:rPr>
        <w:t xml:space="preserve"> | ACO 1.966</w:t>
      </w:r>
      <w:r>
        <w:rPr>
          <w:color w:val="003CA0"/>
          <w:sz w:val="12"/>
        </w:rPr>
        <w:t xml:space="preserve"> | rel. Luiz Fux</w:t>
      </w:r>
    </w:p>
    <w:p>
      <w:pPr>
        <w:ind w:left="288"/>
      </w:pPr>
      <w:r>
        <w:rPr>
          <w:color w:val="1E1E1E"/>
          <w:sz w:val="18"/>
        </w:rPr>
        <w:t>A proteção jurídica do patrimônio cultural brasileiro, enquanto direito fundamental de terceira geração, é matéria expressamente prevista no Texto Constitucional (art. 216 da CRFB/1988). A ordem constitucional vigente recepcionou o DL 25/1937, que, ao organizar a proteção do patrimônio histórico e artístico nacional, estabeleceu disciplina própria e específica ao instituto do tombamento, como meio de proteção de diversas dimensões do patrimônio cultural brasileiro.</w:t>
        <w:br/>
        <w:t>[ACO 1.966 AgR, rel. min. Luiz Fux, j. 17-11-2017, P, DJE de 27-11-2017.]</w:t>
      </w:r>
    </w:p>
    <w:p>
      <w:pPr>
        <w:ind w:left="144"/>
      </w:pPr>
      <w:r>
        <w:rPr>
          <w:b/>
          <w:color w:val="B45A00"/>
          <w:sz w:val="16"/>
        </w:rPr>
        <w:t>CONTROLE CONCENTRADO</w:t>
      </w:r>
    </w:p>
    <w:p>
      <w:pPr>
        <w:ind w:left="288"/>
      </w:pPr>
      <w:r>
        <w:rPr>
          <w:color w:val="8C8C8C"/>
          <w:sz w:val="12"/>
        </w:rPr>
        <w:t>cf-art-216-inc-II</w:t>
      </w:r>
      <w:r>
        <w:rPr>
          <w:color w:val="003CA0"/>
          <w:sz w:val="12"/>
        </w:rPr>
        <w:t xml:space="preserve"> | ADI 4.269</w:t>
      </w:r>
      <w:r>
        <w:rPr>
          <w:color w:val="003CA0"/>
          <w:sz w:val="12"/>
        </w:rPr>
        <w:t xml:space="preserve"> | rel. Edson Fachin</w:t>
      </w:r>
    </w:p>
    <w:p>
      <w:pPr>
        <w:ind w:left="288"/>
      </w:pPr>
      <w:r>
        <w:rPr>
          <w:color w:val="1E1E1E"/>
          <w:sz w:val="18"/>
        </w:rPr>
        <w:t xml:space="preserve">Revela-se de importância ímpar a promoção de regularização fundiária nas terras ocupadas de domínio da União na Amazônia Legal, de modo a assegurar a inclusão social das comunidades que ali vivem, por meio da concessão de títulos de propriedade ou concessão de direito real de uso às áreas habitadas, redução da pobreza, acesso aos programas sociais de incentivo à produção sustentável, bem como melhorando as condições de fiscalização ambiental e responsabilização pelas lesões causadas à Floresta Amazônica. O artigo 4º, §2º da Lei nº 11.952/2009 vai de encontro à proteção adequada das terras dos </w:t>
      </w:r>
    </w:p>
    <w:p>
      <w:pPr>
        <w:ind w:left="288"/>
      </w:pPr>
      <w:r>
        <w:rPr>
          <w:color w:val="8C8C8C"/>
          <w:sz w:val="12"/>
        </w:rPr>
        <w:t>cf-art-216-inc-V</w:t>
      </w:r>
      <w:r>
        <w:rPr>
          <w:color w:val="003CA0"/>
          <w:sz w:val="12"/>
        </w:rPr>
        <w:t xml:space="preserve"> | ADI 3.525</w:t>
      </w:r>
      <w:r>
        <w:rPr>
          <w:color w:val="003CA0"/>
          <w:sz w:val="12"/>
        </w:rPr>
        <w:t xml:space="preserve"> | rel. Gilmar Mendes</w:t>
      </w:r>
    </w:p>
    <w:p>
      <w:pPr>
        <w:ind w:left="288"/>
      </w:pPr>
      <w:r>
        <w:rPr>
          <w:color w:val="1E1E1E"/>
          <w:sz w:val="18"/>
        </w:rPr>
        <w:t>Ação direta de inconstitucionalidade. Art. 251 da Constituição do Estado de Mato Grosso e Lei estadual 7.782/2002, "que declara integrantes do patrimônio científico-cultural do Estado os sítios paleontológicos e arqueológicos localizados em Municípios do Estado de Mato Grosso". Violação aos arts. 23, III, e 216, V, da Constituição.</w:t>
      </w:r>
    </w:p>
    <w:p>
      <w:pPr>
        <w:ind w:left="288"/>
      </w:pPr>
      <w:r>
        <w:rPr>
          <w:b/>
          <w:color w:val="003CA0"/>
          <w:sz w:val="16"/>
        </w:rPr>
        <w:t>[ADI 3.525, rel. min. Gilmar Mendes, j. 30-8-2007, P, DJ de 26-10-2007.]</w:t>
      </w:r>
    </w:p>
    <w:p>
      <w:pPr>
        <w:ind w:left="288"/>
      </w:pPr>
      <w:r>
        <w:rPr>
          <w:color w:val="8C8C8C"/>
          <w:sz w:val="12"/>
        </w:rPr>
        <w:t>cf-art-216-inc-V</w:t>
      </w:r>
      <w:r>
        <w:rPr>
          <w:color w:val="003CA0"/>
          <w:sz w:val="12"/>
        </w:rPr>
        <w:t xml:space="preserve"> | ADI 2.544</w:t>
      </w:r>
      <w:r>
        <w:rPr>
          <w:color w:val="003CA0"/>
          <w:sz w:val="12"/>
        </w:rPr>
        <w:t xml:space="preserve"> | rel. Sepúlveda Pertence</w:t>
      </w:r>
    </w:p>
    <w:p>
      <w:pPr>
        <w:ind w:left="288"/>
      </w:pPr>
      <w:r>
        <w:rPr>
          <w:color w:val="1E1E1E"/>
          <w:sz w:val="18"/>
        </w:rPr>
        <w:t>Federação: competência comum: proteção do patrimônio comum, incluído o dos sítios de valor arqueológico (CF, arts. 23, III, e 216, V): encargo que não comporta demissão unilateral. Lei estadual 11.380, de 1999, do Estado do Rio Grande do Sul confere aos Municípios em que se localizam a proteção, a guarda e a responsabilidade pelos sítios arqueológicos e seus acervos, no Estado, o que vale por excluir, a propósito de tais bens do patrimônio cultural brasileiro (CF, art. 216, V), o dever de proteção e guarda e a consequente responsabilidade não apenas do Estado, mas também da própria União, incl</w:t>
      </w:r>
    </w:p>
    <w:p>
      <w:pPr>
        <w:ind w:left="288"/>
      </w:pPr>
      <w:r>
        <w:rPr>
          <w:b/>
          <w:color w:val="003CA0"/>
          <w:sz w:val="16"/>
        </w:rPr>
        <w:t>[ADI 2.544, rel. min. Sepúlveda Pertence, j. 28-6-2006, P, DJ de 17-11-2006.]</w:t>
      </w:r>
    </w:p>
    <w:p>
      <w:pPr>
        <w:ind w:left="288"/>
      </w:pPr>
      <w:r>
        <w:rPr>
          <w:color w:val="8C8C8C"/>
          <w:sz w:val="12"/>
        </w:rPr>
        <w:t>cf-art-216-par-1</w:t>
      </w:r>
      <w:r>
        <w:rPr>
          <w:color w:val="003CA0"/>
          <w:sz w:val="12"/>
        </w:rPr>
        <w:t xml:space="preserve"> | ADI 5.783</w:t>
      </w:r>
      <w:r>
        <w:rPr>
          <w:color w:val="003CA0"/>
          <w:sz w:val="12"/>
        </w:rPr>
        <w:t xml:space="preserve"> | rel. Rosa Weber</w:t>
      </w:r>
    </w:p>
    <w:p>
      <w:pPr>
        <w:ind w:left="288"/>
      </w:pPr>
      <w:r>
        <w:rPr>
          <w:color w:val="1E1E1E"/>
          <w:sz w:val="18"/>
        </w:rPr>
        <w:t>Impugnado o art. 3º, § 2º, da Lei nº 12.910/2013 do Estado da Bahia, que impõe prazo à regularização fundiária das terras tradicionalmente ocupadas pelas comunidades de fundo e fecho de pasto mediante a concessão de uso (...). Dada a íntima relação entre a posse das terras coletivas e a reprodução física e cultural das comunidades tradicionais, os direitos territoriais resultam abrangidos pelo direito fundamental à cultura (art. 215, CF), em particular no que diz com a proteção dos grupos participantes do processo civilizatório nacional (§ 1º). Suas diferentes formas de expressão e modos de cr</w:t>
      </w:r>
    </w:p>
    <w:p>
      <w:pPr>
        <w:ind w:left="288"/>
      </w:pPr>
      <w:r>
        <w:rPr>
          <w:b/>
          <w:color w:val="003CA0"/>
          <w:sz w:val="16"/>
        </w:rPr>
        <w:t>[RE 1.499.300 AgR-segundo, rel. min. Dias Toffoli, j. 19.08.2025, 2ª T, DJE de 11.09.2025.]</w:t>
      </w:r>
    </w:p>
    <w:p>
      <w:pPr>
        <w:ind w:left="288"/>
      </w:pPr>
      <w:r>
        <w:rPr>
          <w:color w:val="8C8C8C"/>
          <w:sz w:val="12"/>
        </w:rPr>
        <w:t>cf-art-216-par-1</w:t>
      </w:r>
      <w:r>
        <w:rPr>
          <w:color w:val="003CA0"/>
          <w:sz w:val="12"/>
        </w:rPr>
        <w:t xml:space="preserve"> | ARE 1.416.029</w:t>
      </w:r>
      <w:r>
        <w:rPr>
          <w:color w:val="003CA0"/>
          <w:sz w:val="12"/>
        </w:rPr>
        <w:t xml:space="preserve"> | rel. Luiz Fux</w:t>
      </w:r>
    </w:p>
    <w:p>
      <w:pPr>
        <w:ind w:left="288"/>
      </w:pPr>
      <w:r>
        <w:rPr>
          <w:color w:val="1E1E1E"/>
          <w:sz w:val="18"/>
        </w:rPr>
        <w:t>O art. 216, §1º, da Constituição Federal, impõe ao Poder Público, com a colaboração da comunidade, a responsabilidade pela promoção e proteção do patrimônio cultural brasileiro por meio do tombamento. A competência para o tombamento é comum entre todos os entes federativos, nos termos dos arts. 23, III, 30, IX e 216, §1º, da Constituição Federal. O tombamento atribui ao bem um regime jurídico especial de proteção, criando obrigações para o proprietário, para todos os entes públicos envolvidos e para a sociedade, operando efeitos erga omnes, no sentido de impedir a prática de atos que acarretem</w:t>
      </w:r>
    </w:p>
    <w:p>
      <w:pPr>
        <w:ind w:left="288"/>
      </w:pPr>
      <w:r>
        <w:rPr>
          <w:b/>
          <w:color w:val="003CA0"/>
          <w:sz w:val="16"/>
        </w:rPr>
        <w:t>[ARE 1.416.029 AgR, rel. min. Luiz Fux, j. 25.06.2025, 1ª T, DJE de 18.07.2025.]</w:t>
      </w:r>
    </w:p>
    <w:p>
      <w:pPr>
        <w:ind w:left="144"/>
      </w:pPr>
      <w:r>
        <w:rPr>
          <w:b/>
          <w:color w:val="B45A00"/>
          <w:sz w:val="16"/>
        </w:rPr>
        <w:t>JULGADOS CORRELATOS</w:t>
      </w:r>
    </w:p>
    <w:p>
      <w:pPr>
        <w:ind w:left="288"/>
      </w:pPr>
      <w:r>
        <w:rPr>
          <w:color w:val="8C8C8C"/>
          <w:sz w:val="12"/>
        </w:rPr>
        <w:t>cf-art-216-par-1</w:t>
      </w:r>
      <w:r>
        <w:rPr>
          <w:color w:val="003CA0"/>
          <w:sz w:val="12"/>
        </w:rPr>
        <w:t xml:space="preserve"> | ARE 1.390.160</w:t>
      </w:r>
      <w:r>
        <w:rPr>
          <w:color w:val="003CA0"/>
          <w:sz w:val="12"/>
        </w:rPr>
        <w:t xml:space="preserve"> | rel. Roberto Barroso</w:t>
      </w:r>
    </w:p>
    <w:p>
      <w:pPr>
        <w:ind w:left="288"/>
      </w:pPr>
      <w:r>
        <w:rPr>
          <w:color w:val="1E1E1E"/>
          <w:sz w:val="18"/>
        </w:rPr>
        <w:t>(...) nos termos do art. 216, § 1º, da Constituição Federal, a expressão Poder Público possui como destinatárias todas as esferas de atuação estatal, seja federal, estadual ou municipal, incluindo a divisão tripartite de poderes (Legislativo, Executivo e Judiciário).</w:t>
      </w:r>
    </w:p>
    <w:p>
      <w:pPr>
        <w:ind w:left="288"/>
      </w:pPr>
      <w:r>
        <w:rPr>
          <w:b/>
          <w:color w:val="003CA0"/>
          <w:sz w:val="16"/>
        </w:rPr>
        <w:t>[ARE 1.390.160 AgR, rel. min. Roberto Barroso, j. 19-12-2022, 1ª T, DJE de 6-2-2023.]</w:t>
      </w:r>
    </w:p>
    <w:p>
      <w:pPr>
        <w:ind w:left="288"/>
      </w:pPr>
      <w:r>
        <w:rPr>
          <w:color w:val="8C8C8C"/>
          <w:sz w:val="12"/>
        </w:rPr>
        <w:t>cf-art-216-par-1</w:t>
      </w:r>
      <w:r>
        <w:rPr>
          <w:color w:val="003CA0"/>
          <w:sz w:val="12"/>
        </w:rPr>
        <w:t xml:space="preserve"> | ACO 1.208</w:t>
      </w:r>
      <w:r>
        <w:rPr>
          <w:color w:val="003CA0"/>
          <w:sz w:val="12"/>
        </w:rPr>
        <w:t xml:space="preserve"> | rel. Gilmar Mendes</w:t>
      </w:r>
    </w:p>
    <w:p>
      <w:pPr>
        <w:ind w:left="288"/>
      </w:pPr>
      <w:r>
        <w:rPr>
          <w:color w:val="1E1E1E"/>
          <w:sz w:val="18"/>
        </w:rPr>
        <w:t>Tombamento de bem público da União por Estado. (...) Hierarquia verticalizada, prevista na Lei de Desapropriação (DL 3.365/1941). Inaplicabilidade no tombamento. Regramento específico. DL 25/1937 (arts. 2º, 5º e 11). (...) Possibilidade de o Estado tombar bem da União. Doutrina.</w:t>
      </w:r>
    </w:p>
    <w:p>
      <w:pPr>
        <w:ind w:left="288"/>
      </w:pPr>
      <w:r>
        <w:rPr>
          <w:b/>
          <w:color w:val="003CA0"/>
          <w:sz w:val="16"/>
        </w:rPr>
        <w:t>[ACO 1.208 AgR, rel. min. Gilmar Mendes, j. 24-11-2017, P, DJE de 4-12-2017.]</w:t>
      </w:r>
    </w:p>
    <w:p>
      <w:pPr>
        <w:ind w:left="288"/>
      </w:pPr>
      <w:r>
        <w:rPr>
          <w:color w:val="8C8C8C"/>
          <w:sz w:val="12"/>
        </w:rPr>
        <w:t>cf-art-216-par-1</w:t>
      </w:r>
      <w:r>
        <w:rPr>
          <w:color w:val="003CA0"/>
          <w:sz w:val="12"/>
        </w:rPr>
        <w:t xml:space="preserve"> | RE 219.292</w:t>
      </w:r>
      <w:r>
        <w:rPr>
          <w:color w:val="003CA0"/>
          <w:sz w:val="12"/>
        </w:rPr>
        <w:t xml:space="preserve"> | rel. Octavio Gallotti</w:t>
      </w:r>
    </w:p>
    <w:p>
      <w:pPr>
        <w:ind w:left="288"/>
      </w:pPr>
      <w:r>
        <w:rPr>
          <w:color w:val="1E1E1E"/>
          <w:sz w:val="18"/>
        </w:rPr>
        <w:t>Tombamento de bem imóvel para limitar sua destinação às atividades artístico-culturais. Preservação a ser atendida por meio de desapropriação. Não pelo emprego da modalidade do chamado tombamento de uso. Recurso da municipalidade do qual não se conhece, porquanto não configurada a alegada contrariedade, pelo acórdão recorrido, do disposto no art. 216, § 1º, da Constituição.</w:t>
        <w:br/>
        <w:t>[RE 219.292, rel. min. Octavio Gallotti, j. 7-12-1999, 1ª T, DJ de 23-6-2000.] No tocante ao § 1º do art. 216 da CF, não ofende esse dispositivo constitucional a afirmação constante do acórdão recorrido no sentido de que há</w:t>
      </w:r>
    </w:p>
    <w:p>
      <w:pPr>
        <w:ind w:left="288"/>
      </w:pPr>
      <w:r>
        <w:rPr>
          <w:b/>
          <w:color w:val="003CA0"/>
          <w:sz w:val="16"/>
        </w:rPr>
        <w:t>[RE 182.782, rel. min. Moreira Alves, j. 14-11-1995, 1ª T, DJ de 9-2-1996.]</w:t>
      </w:r>
    </w:p>
    <w:p>
      <w:pPr>
        <w:ind w:left="288"/>
      </w:pPr>
      <w:r>
        <w:rPr>
          <w:color w:val="8C8C8C"/>
          <w:sz w:val="12"/>
        </w:rPr>
        <w:t>cf-art-216-par-6-inc-III</w:t>
      </w:r>
    </w:p>
    <w:p>
      <w:pPr>
        <w:ind w:left="288"/>
      </w:pPr>
      <w:r>
        <w:rPr>
          <w:color w:val="1E1E1E"/>
          <w:sz w:val="18"/>
        </w:rPr>
        <w:t>Seção III Do Desporto SUMÁRIO</w:t>
      </w:r>
    </w:p>
    <w:p>
      <w:pPr>
        <w:ind w:left="432"/>
      </w:pPr>
      <w:r>
        <w:rPr>
          <w:color w:val="003366"/>
          <w:sz w:val="18"/>
        </w:rPr>
        <w:t xml:space="preserve">§ 1 O Sistema Nacional de Cultura fundamenta-se na política nacional de cultura </w:t>
      </w:r>
    </w:p>
    <w:p>
      <w:pPr>
        <w:ind w:left="720"/>
      </w:pPr>
      <w:r>
        <w:rPr>
          <w:color w:val="003366"/>
          <w:sz w:val="18"/>
        </w:rPr>
        <w:t>I – diversidade das expressões culturais; Incluído pela Emenda Constitucional nº</w:t>
      </w:r>
    </w:p>
    <w:p>
      <w:pPr>
        <w:ind w:left="720"/>
      </w:pPr>
      <w:r>
        <w:rPr>
          <w:color w:val="003366"/>
          <w:sz w:val="18"/>
        </w:rPr>
        <w:t>II – universalização do acesso aos bens e serviços culturais; Incluído pela Emen</w:t>
      </w:r>
    </w:p>
    <w:p>
      <w:pPr>
        <w:ind w:left="720"/>
      </w:pPr>
      <w:r>
        <w:rPr>
          <w:color w:val="003366"/>
          <w:sz w:val="18"/>
        </w:rPr>
        <w:t>III – fomento à produção, difusão e circulação de conhecimento e bens culturais;</w:t>
      </w:r>
    </w:p>
    <w:p>
      <w:pPr>
        <w:ind w:left="720"/>
      </w:pPr>
      <w:r>
        <w:rPr>
          <w:color w:val="003366"/>
          <w:sz w:val="18"/>
        </w:rPr>
        <w:t>IV – cooperação entre os entes federados, os agentes públicos e privados atuante</w:t>
      </w:r>
    </w:p>
    <w:p>
      <w:pPr>
        <w:ind w:left="720"/>
      </w:pPr>
      <w:r>
        <w:rPr>
          <w:color w:val="003366"/>
          <w:sz w:val="18"/>
        </w:rPr>
        <w:t>V – integração e interação na execução das políticas, programas, projetos e açõe</w:t>
      </w:r>
    </w:p>
    <w:p>
      <w:pPr>
        <w:ind w:left="720"/>
      </w:pPr>
      <w:r>
        <w:rPr>
          <w:color w:val="003366"/>
          <w:sz w:val="18"/>
        </w:rPr>
        <w:t>VI – complementaridade nos papéis dos agentes culturais; Incluído pela Emenda Co</w:t>
      </w:r>
    </w:p>
    <w:p>
      <w:pPr>
        <w:ind w:left="720"/>
      </w:pPr>
      <w:r>
        <w:rPr>
          <w:color w:val="003366"/>
          <w:sz w:val="18"/>
        </w:rPr>
        <w:t>VII – transversalidade das políticas culturais; Incluído pela Emenda Constitucio</w:t>
      </w:r>
    </w:p>
    <w:p>
      <w:pPr>
        <w:ind w:left="720"/>
      </w:pPr>
      <w:r>
        <w:rPr>
          <w:color w:val="003366"/>
          <w:sz w:val="18"/>
        </w:rPr>
        <w:t>VIII – autonomia dos entes federados e das instituições da sociedade civil; Incl</w:t>
      </w:r>
    </w:p>
    <w:p>
      <w:pPr>
        <w:ind w:left="720"/>
      </w:pPr>
      <w:r>
        <w:rPr>
          <w:color w:val="003366"/>
          <w:sz w:val="18"/>
        </w:rPr>
        <w:t>IX – transparência e compartilhamento das informações; Incluído pela Emenda Cons</w:t>
      </w:r>
    </w:p>
    <w:p>
      <w:pPr>
        <w:ind w:left="720"/>
      </w:pPr>
      <w:r>
        <w:rPr>
          <w:color w:val="003366"/>
          <w:sz w:val="18"/>
        </w:rPr>
        <w:t xml:space="preserve">X – democratização dos processos decisórios com participação e controle social; </w:t>
      </w:r>
    </w:p>
    <w:p>
      <w:pPr>
        <w:ind w:left="720"/>
      </w:pPr>
      <w:r>
        <w:rPr>
          <w:color w:val="003366"/>
          <w:sz w:val="18"/>
        </w:rPr>
        <w:t>XI – descentralização articulada e pactuada da gestão, dos recursos e das ações;</w:t>
      </w:r>
    </w:p>
    <w:p>
      <w:pPr>
        <w:ind w:left="720"/>
      </w:pPr>
      <w:r>
        <w:rPr>
          <w:color w:val="003366"/>
          <w:sz w:val="18"/>
        </w:rPr>
        <w:t>XII – ampliação progressiva dos recursos contidos nos orçamentos públicos para a</w:t>
      </w:r>
    </w:p>
    <w:p>
      <w:pPr>
        <w:ind w:left="432"/>
      </w:pPr>
      <w:r>
        <w:rPr>
          <w:color w:val="003366"/>
          <w:sz w:val="18"/>
        </w:rPr>
        <w:t>§ 2 Constitui a estrutura do Sistema Nacional de Cultura, nas respectivas esfera</w:t>
      </w:r>
    </w:p>
    <w:p>
      <w:pPr>
        <w:ind w:left="720"/>
      </w:pPr>
      <w:r>
        <w:rPr>
          <w:color w:val="003366"/>
          <w:sz w:val="18"/>
        </w:rPr>
        <w:t>I – órgãos gestores da cultura; Incluído pela Emenda Constitucional nº 71, de 20</w:t>
      </w:r>
    </w:p>
    <w:p>
      <w:pPr>
        <w:ind w:left="720"/>
      </w:pPr>
      <w:r>
        <w:rPr>
          <w:color w:val="003366"/>
          <w:sz w:val="18"/>
        </w:rPr>
        <w:t xml:space="preserve">II – conselhos de política cultural; Incluído pela Emenda Constitucional nº 71, </w:t>
      </w:r>
    </w:p>
    <w:p>
      <w:pPr>
        <w:ind w:left="720"/>
      </w:pPr>
      <w:r>
        <w:rPr>
          <w:color w:val="003366"/>
          <w:sz w:val="18"/>
        </w:rPr>
        <w:t>III – conferências de cultura; Incluído pela Emenda Constitucional nº 71, de 201</w:t>
      </w:r>
    </w:p>
    <w:p>
      <w:pPr>
        <w:ind w:left="720"/>
      </w:pPr>
      <w:r>
        <w:rPr>
          <w:color w:val="003366"/>
          <w:sz w:val="18"/>
        </w:rPr>
        <w:t>IV – comissões intergestores; Incluído pela Emenda Constitucional nº 71, de 2012</w:t>
      </w:r>
    </w:p>
    <w:p>
      <w:pPr>
        <w:ind w:left="720"/>
      </w:pPr>
      <w:r>
        <w:rPr>
          <w:color w:val="003366"/>
          <w:sz w:val="18"/>
        </w:rPr>
        <w:t>V – planos de cultura; Incluído pela Emenda Constitucional nº 71, de 2012</w:t>
      </w:r>
    </w:p>
    <w:p>
      <w:pPr>
        <w:ind w:left="720"/>
      </w:pPr>
      <w:r>
        <w:rPr>
          <w:color w:val="003366"/>
          <w:sz w:val="18"/>
        </w:rPr>
        <w:t>VI – sistemas de financiamento à cultura; Incluído pela Emenda Constitucional nº</w:t>
      </w:r>
    </w:p>
    <w:p>
      <w:pPr>
        <w:ind w:left="720"/>
      </w:pPr>
      <w:r>
        <w:rPr>
          <w:color w:val="003366"/>
          <w:sz w:val="18"/>
        </w:rPr>
        <w:t>VII – sistemas de informações e indicadores culturais; Incluído pela Emenda Cons</w:t>
      </w:r>
    </w:p>
    <w:p>
      <w:pPr>
        <w:ind w:left="720"/>
      </w:pPr>
      <w:r>
        <w:rPr>
          <w:color w:val="003366"/>
          <w:sz w:val="18"/>
        </w:rPr>
        <w:t>VIII – programas de formação na área da cultura; e Incluído pela Emenda Constitu</w:t>
      </w:r>
    </w:p>
    <w:p>
      <w:pPr>
        <w:ind w:left="720"/>
      </w:pPr>
      <w:r>
        <w:rPr>
          <w:color w:val="003366"/>
          <w:sz w:val="18"/>
        </w:rPr>
        <w:t>IX – sistemas setoriais de cultura. Incluído pela Emenda Constitucional nº 71, d</w:t>
      </w:r>
    </w:p>
    <w:p>
      <w:pPr>
        <w:ind w:left="432"/>
      </w:pPr>
      <w:r>
        <w:rPr>
          <w:color w:val="003366"/>
          <w:sz w:val="18"/>
        </w:rPr>
        <w:t>§ 3 Lei federal disporá sobre a regulamentação do Sistema Nacional de Cultura, b</w:t>
      </w:r>
    </w:p>
    <w:p>
      <w:pPr>
        <w:ind w:left="432"/>
      </w:pPr>
      <w:r>
        <w:rPr>
          <w:color w:val="003366"/>
          <w:sz w:val="18"/>
        </w:rPr>
        <w:t xml:space="preserve">§ 4 Os Estados, o Distrito Federal e os Municípios organizarão seus respectivos </w:t>
      </w:r>
    </w:p>
    <w:p>
      <w:pPr>
        <w:pStyle w:val="Heading3"/>
      </w:pPr>
      <w:r>
        <w:rPr>
          <w:color w:val="003366"/>
        </w:rPr>
        <w:t>Seção III - DO DESPORTO</w:t>
      </w:r>
    </w:p>
    <w:p>
      <w:r>
        <w:rPr>
          <w:b/>
          <w:color w:val="003366"/>
          <w:sz w:val="20"/>
        </w:rPr>
        <w:t xml:space="preserve">Art. 217 É dever do Estado fomentar práticas desportivas formais e não-formais, </w:t>
      </w:r>
      <w:r>
        <w:rPr>
          <w:color w:val="8C8C8C"/>
          <w:sz w:val="14"/>
        </w:rPr>
        <w:t xml:space="preserve">  [13 decisoes]</w:t>
      </w:r>
    </w:p>
    <w:p>
      <w:pPr>
        <w:ind w:left="144"/>
      </w:pPr>
      <w:r>
        <w:rPr>
          <w:b/>
          <w:color w:val="B45A00"/>
          <w:sz w:val="16"/>
        </w:rPr>
        <w:t>CONTROLE CONCENTRADO</w:t>
      </w:r>
    </w:p>
    <w:p>
      <w:pPr>
        <w:ind w:left="288"/>
      </w:pPr>
      <w:r>
        <w:rPr>
          <w:color w:val="8C8C8C"/>
          <w:sz w:val="12"/>
        </w:rPr>
        <w:t>cf-art-217</w:t>
      </w:r>
      <w:r>
        <w:rPr>
          <w:color w:val="003CA0"/>
          <w:sz w:val="12"/>
        </w:rPr>
        <w:t xml:space="preserve"> | ADI 2.163</w:t>
      </w:r>
    </w:p>
    <w:p>
      <w:pPr>
        <w:ind w:left="288"/>
      </w:pPr>
      <w:r>
        <w:rPr>
          <w:color w:val="1E1E1E"/>
          <w:sz w:val="18"/>
        </w:rPr>
        <w:t>Art. 1° da Lei 3.364/2000, do Estado do Rio de Janeiro. Meia-entrada. Concessão de desconto de 50% sobre o preço de ingressos para casas de diversões, praças disportivas e similares aos jovens de até 21 anos. (...) É legítima e adequada a atuação do Estado sobre o domínio econômico que visa garantir o efetivo exercício do direito à educação, à cultura e ao desporto, nos termos da Constituição Federal.</w:t>
      </w:r>
    </w:p>
    <w:p>
      <w:pPr>
        <w:ind w:left="288"/>
      </w:pPr>
      <w:r>
        <w:rPr>
          <w:b/>
          <w:color w:val="003CA0"/>
          <w:sz w:val="16"/>
        </w:rPr>
        <w:t>[ADI 2.163, red. do ac. min. Ricardo Lewandowski, j. 12-4-2018, P, DJE de 1º-8-2019.]</w:t>
      </w:r>
    </w:p>
    <w:p>
      <w:pPr>
        <w:ind w:left="288"/>
      </w:pPr>
      <w:r>
        <w:rPr>
          <w:color w:val="8C8C8C"/>
          <w:sz w:val="12"/>
        </w:rPr>
        <w:t>cf-art-217</w:t>
      </w:r>
      <w:r>
        <w:rPr>
          <w:color w:val="003CA0"/>
          <w:sz w:val="12"/>
        </w:rPr>
        <w:t xml:space="preserve"> | ADI 7.580</w:t>
      </w:r>
      <w:r>
        <w:rPr>
          <w:color w:val="003CA0"/>
          <w:sz w:val="12"/>
        </w:rPr>
        <w:t xml:space="preserve"> | rel. Flávio Dino</w:t>
      </w:r>
    </w:p>
    <w:p>
      <w:pPr>
        <w:ind w:left="288"/>
      </w:pPr>
      <w:r>
        <w:rPr>
          <w:color w:val="1E1E1E"/>
          <w:sz w:val="18"/>
        </w:rPr>
        <w:t xml:space="preserve">Art. 217, I, da Constituição Federal. ADI nº 7.580/DF. Intervenção judicial justificada. Indício de ilícitos vinculados à própria entidade desportiva. (...) Os elementos fáticos do caso, com graves indícios de confusão patrimonial, blindagem de ativos e frustração de credores, atraem a ressalva fixada na ADI 7.580/DF, justificando uma intervenção estatal pontual. A intervenção estatal, mesmo que motivada, deve ser a menos invasiva possível, preservando os mecanismos de autorregulação do sistema desportivo e contando com a participação da entidade de cúpula do desporto (Confederação Brasileira </w:t>
      </w:r>
    </w:p>
    <w:p>
      <w:pPr>
        <w:ind w:left="288"/>
      </w:pPr>
      <w:r>
        <w:rPr>
          <w:b/>
          <w:color w:val="003CA0"/>
          <w:sz w:val="16"/>
        </w:rPr>
        <w:t>[Rcl 85.536 MC-REF, rel. min. Flávio Dino, j. 9-2-2026, 1ª T, DJE de 13-2-2026.]</w:t>
      </w:r>
    </w:p>
    <w:p>
      <w:pPr>
        <w:ind w:left="288"/>
      </w:pPr>
      <w:r>
        <w:rPr>
          <w:color w:val="8C8C8C"/>
          <w:sz w:val="12"/>
        </w:rPr>
        <w:t>cf-art-217</w:t>
      </w:r>
      <w:r>
        <w:rPr>
          <w:color w:val="003CA0"/>
          <w:sz w:val="12"/>
        </w:rPr>
        <w:t xml:space="preserve"> | ARE 1.554.743</w:t>
      </w:r>
      <w:r>
        <w:rPr>
          <w:color w:val="003CA0"/>
          <w:sz w:val="12"/>
        </w:rPr>
        <w:t xml:space="preserve"> | rel. Dias Toffoli</w:t>
      </w:r>
    </w:p>
    <w:p>
      <w:pPr>
        <w:ind w:left="288"/>
      </w:pPr>
      <w:r>
        <w:rPr>
          <w:color w:val="1E1E1E"/>
          <w:sz w:val="18"/>
        </w:rPr>
        <w:t>Lei nº 7.386 do Município do Rio de Janeiro, de 26 de maio de 2022. Concessão de meia-entrada a professores de cursos preparatórios comunitários e/ou sociais em estabelecimentos que promovam lazer e entretenimento e estimulem a difusão cultural. (...) O discrímen adotado pelo legislador municipal no caso está plenamente justificado pela valorização dos profissionais da educação (arts. 6º e 205 da Constituição), aliada aos mandamentos constitucionais de promoção, fomento, apoio e incentivo, a serem adotados pelo Estado, à educação, à cultura e ao desporto (v.g. arts. 205, 215 e 217 da Constitui</w:t>
      </w:r>
    </w:p>
    <w:p>
      <w:pPr>
        <w:ind w:left="288"/>
      </w:pPr>
      <w:r>
        <w:rPr>
          <w:b/>
          <w:color w:val="003CA0"/>
          <w:sz w:val="16"/>
        </w:rPr>
        <w:t>[ARE 1.554.743 AgR, rel. min. Dias Toffoli, j. 15.09.2025, P, DJE de 08.10.2025.]</w:t>
      </w:r>
    </w:p>
    <w:p>
      <w:pPr>
        <w:ind w:left="288"/>
      </w:pPr>
      <w:r>
        <w:rPr>
          <w:color w:val="8C8C8C"/>
          <w:sz w:val="12"/>
        </w:rPr>
        <w:t>cf-art-217-inc-I</w:t>
      </w:r>
      <w:r>
        <w:rPr>
          <w:color w:val="003CA0"/>
          <w:sz w:val="12"/>
        </w:rPr>
        <w:t xml:space="preserve"> | ADI 7.580</w:t>
      </w:r>
      <w:r>
        <w:rPr>
          <w:color w:val="003CA0"/>
          <w:sz w:val="12"/>
        </w:rPr>
        <w:t xml:space="preserve"> | rel. Gilmar Mendes</w:t>
      </w:r>
    </w:p>
    <w:p>
      <w:pPr>
        <w:ind w:left="288"/>
      </w:pPr>
      <w:r>
        <w:rPr>
          <w:color w:val="1E1E1E"/>
          <w:sz w:val="18"/>
        </w:rPr>
        <w:t>A Constituição Federal assegura às entidades desportivas um certo poder de autonormação e de autogoverno, o que demonstra a existência de uma esfera, notadamente em relação a assuntos de natureza estritamente interna corporis, de imunidade à intervenção externa, inclusive aquela derivada do Estado. (...) A autonomia conferida às entidades desportivas ostenta uma intensa proteção constitucional, o que não significa a impossibilidade de prescrição de limites. Essa autonomia encontra limitações expressas no texto constitucional e é passível de restrição, mediante ato infraconstitucional, que enco</w:t>
      </w:r>
    </w:p>
    <w:p>
      <w:pPr>
        <w:ind w:left="288"/>
      </w:pPr>
      <w:r>
        <w:rPr>
          <w:b/>
          <w:color w:val="003CA0"/>
          <w:sz w:val="16"/>
        </w:rPr>
        <w:t>[ADI 7.580 MC-REF, rel. min. Gilmar Mendes, j. 12.08.2025, P, DJE de 22.10.2025.]</w:t>
      </w:r>
    </w:p>
    <w:p>
      <w:pPr>
        <w:ind w:left="288"/>
      </w:pPr>
      <w:r>
        <w:rPr>
          <w:color w:val="8C8C8C"/>
          <w:sz w:val="12"/>
        </w:rPr>
        <w:t>cf-art-217-inc-I</w:t>
      </w:r>
      <w:r>
        <w:rPr>
          <w:color w:val="003CA0"/>
          <w:sz w:val="12"/>
        </w:rPr>
        <w:t xml:space="preserve"> | ADI 5.450</w:t>
      </w:r>
      <w:r>
        <w:rPr>
          <w:color w:val="003CA0"/>
          <w:sz w:val="12"/>
        </w:rPr>
        <w:t xml:space="preserve"> | rel. Alexandre de Moraes</w:t>
      </w:r>
    </w:p>
    <w:p>
      <w:pPr>
        <w:ind w:left="288"/>
      </w:pPr>
      <w:r>
        <w:rPr>
          <w:color w:val="1E1E1E"/>
          <w:sz w:val="18"/>
        </w:rPr>
        <w:t xml:space="preserve">As condições impostas pela Lei 13.155/2015 para a adesão e manutenção de clubes e entidades desportivas no Programa de Responsabilidade Fiscal do Futebol Brasileiro, PROFUT, mostram-se necessárias e adequadas para a melhoria da gestão responsável e profissional dessas entidades, afirmada a relevância e o interesse social do futebol e de outras práticas desportivas como patrimônio público cultural (art. 216 da CF). Não bastasse o caráter voluntário da adesão, as exigências estabelecidas no PROFUT atenderam ao princípio da razoabilidade, uma vez que respeitadas as necessárias proporcionalidade, </w:t>
      </w:r>
    </w:p>
    <w:p>
      <w:pPr>
        <w:ind w:left="288"/>
      </w:pPr>
      <w:r>
        <w:rPr>
          <w:b/>
          <w:color w:val="003CA0"/>
          <w:sz w:val="16"/>
        </w:rPr>
        <w:t>[ADI 5.450, rel. min. Alexandre de Moraes, j. 18-12-2019, P, DJE de 16-4-2020.]</w:t>
      </w:r>
    </w:p>
    <w:p>
      <w:pPr>
        <w:ind w:left="288"/>
      </w:pPr>
      <w:r>
        <w:rPr>
          <w:color w:val="8C8C8C"/>
          <w:sz w:val="12"/>
        </w:rPr>
        <w:t>cf-art-217-inc-I</w:t>
      </w:r>
      <w:r>
        <w:rPr>
          <w:color w:val="003CA0"/>
          <w:sz w:val="12"/>
        </w:rPr>
        <w:t xml:space="preserve"> | ADI 2.937</w:t>
      </w:r>
      <w:r>
        <w:rPr>
          <w:color w:val="003CA0"/>
          <w:sz w:val="12"/>
        </w:rPr>
        <w:t xml:space="preserve"> | rel. Cezar Peluso</w:t>
      </w:r>
    </w:p>
    <w:p>
      <w:pPr>
        <w:ind w:left="288"/>
      </w:pPr>
      <w:r>
        <w:rPr>
          <w:color w:val="1E1E1E"/>
          <w:sz w:val="18"/>
        </w:rPr>
        <w:t xml:space="preserve">Ação direta proposta contra a validez constitucional do Estatuto do Torcedor (...). No que tange à autonomia das entidades desportivas, ao direito de livre associação e à não intervenção estatal, tampouco assiste razão ao requerente. Seria até desnecessário a respeito, mas faço-o por excesso de zelo, relembrar a velhíssima e aturada lição de que nenhum direito, garantia ou prerrogativa ostenta caráter absoluto. (...) Tem-se a alegação de ofensa aos incisos XVII e XVIII do art. 5º da Constituição da República, sob desavisada asserção de que "a autonomia desportiva (art. 217, I), diferentemente </w:t>
      </w:r>
    </w:p>
    <w:p>
      <w:pPr>
        <w:ind w:left="288"/>
      </w:pPr>
      <w:r>
        <w:rPr>
          <w:b/>
          <w:color w:val="003CA0"/>
          <w:sz w:val="16"/>
        </w:rPr>
        <w:t>[ADI 2.937, voto do rel. min. Cezar Peluso, j. 23-2-2012, P, DJE de 29-5-2012.]</w:t>
      </w:r>
    </w:p>
    <w:p>
      <w:pPr>
        <w:ind w:left="144"/>
      </w:pPr>
      <w:r>
        <w:rPr>
          <w:b/>
          <w:color w:val="B45A00"/>
          <w:sz w:val="16"/>
        </w:rPr>
        <w:t>JULGADOS CORRELATOS</w:t>
      </w:r>
    </w:p>
    <w:p>
      <w:pPr>
        <w:ind w:left="288"/>
      </w:pPr>
      <w:r>
        <w:rPr>
          <w:color w:val="8C8C8C"/>
          <w:sz w:val="12"/>
        </w:rPr>
        <w:t>cf-art-217-inc-I</w:t>
      </w:r>
      <w:r>
        <w:rPr>
          <w:color w:val="003CA0"/>
          <w:sz w:val="12"/>
        </w:rPr>
        <w:t xml:space="preserve"> | RE 881.864</w:t>
      </w:r>
      <w:r>
        <w:rPr>
          <w:color w:val="003CA0"/>
          <w:sz w:val="12"/>
        </w:rPr>
        <w:t xml:space="preserve"> | rel. Marco Aurélio</w:t>
      </w:r>
    </w:p>
    <w:p>
      <w:pPr>
        <w:ind w:left="288"/>
      </w:pPr>
      <w:r>
        <w:rPr>
          <w:color w:val="1E1E1E"/>
          <w:sz w:val="18"/>
        </w:rPr>
        <w:t>O art. 217, I, da CF não permite transformar entidade desportiva em instância revisora de pronunciamento judicial alcançado pela preclusão maior.</w:t>
        <w:br/>
        <w:t>[RE 881.864 AgR, rel. min. Marco Aurélio, j. 18-4-2017, 1ª T, DJE de 10-10-2017.]</w:t>
      </w:r>
    </w:p>
    <w:p>
      <w:pPr>
        <w:ind w:left="144"/>
      </w:pPr>
      <w:r>
        <w:rPr>
          <w:b/>
          <w:color w:val="B45A00"/>
          <w:sz w:val="16"/>
        </w:rPr>
        <w:t>CONTROLE CONCENTRADO</w:t>
      </w:r>
    </w:p>
    <w:p>
      <w:pPr>
        <w:ind w:left="288"/>
      </w:pPr>
      <w:r>
        <w:rPr>
          <w:color w:val="8C8C8C"/>
          <w:sz w:val="12"/>
        </w:rPr>
        <w:t>cf-art-217-inc-II</w:t>
      </w:r>
      <w:r>
        <w:rPr>
          <w:color w:val="003CA0"/>
          <w:sz w:val="12"/>
        </w:rPr>
        <w:t xml:space="preserve"> | ADI 1.750</w:t>
      </w:r>
      <w:r>
        <w:rPr>
          <w:color w:val="003CA0"/>
          <w:sz w:val="12"/>
        </w:rPr>
        <w:t xml:space="preserve"> | rel. Eros Grau</w:t>
      </w:r>
    </w:p>
    <w:p>
      <w:pPr>
        <w:ind w:left="288"/>
      </w:pPr>
      <w:r>
        <w:rPr>
          <w:color w:val="1E1E1E"/>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88"/>
      </w:pPr>
      <w:r>
        <w:rPr>
          <w:b/>
          <w:color w:val="003CA0"/>
          <w:sz w:val="16"/>
        </w:rPr>
        <w:t>[ADI 1.750, rel. min. Eros Grau, j. 20-9-2006, P, DJ de 13-10-2006.]</w:t>
      </w:r>
    </w:p>
    <w:p>
      <w:pPr>
        <w:ind w:left="288"/>
      </w:pPr>
      <w:r>
        <w:rPr>
          <w:color w:val="8C8C8C"/>
          <w:sz w:val="12"/>
        </w:rPr>
        <w:t>cf-art-217-inc-III</w:t>
      </w:r>
      <w:r>
        <w:rPr>
          <w:color w:val="003CA0"/>
          <w:sz w:val="12"/>
        </w:rPr>
        <w:t xml:space="preserve"> | ADI 2.937</w:t>
      </w:r>
      <w:r>
        <w:rPr>
          <w:color w:val="003CA0"/>
          <w:sz w:val="12"/>
        </w:rPr>
        <w:t xml:space="preserve"> | rel. Cezar Peluso</w:t>
      </w:r>
    </w:p>
    <w:p>
      <w:pPr>
        <w:ind w:left="288"/>
      </w:pPr>
      <w:r>
        <w:rPr>
          <w:color w:val="1E1E1E"/>
          <w:sz w:val="18"/>
        </w:rPr>
        <w:t xml:space="preserve">Ação direta proposta contra a validez constitucional do Estatuto do Torcedor (...). Deve-se ressaltar (...) que a Lei 10.671/2003 se destina a reger ações apenas no plano do desporto profissional, circunstância que o autor parece tomar como fonte de sua suposta "não generalidade". É a própria Constituição da República, no entanto, que impõe essa distinção, ao exigir, no art. 217, III, "o tratamento diferenciado para o desporto profissional e o não profissional". O discrímen na regulação, portanto, é mais que legítimo, já que encontra amparo no texto mesmo da Constituição da República, sem que </w:t>
      </w:r>
    </w:p>
    <w:p>
      <w:pPr>
        <w:ind w:left="288"/>
      </w:pPr>
      <w:r>
        <w:rPr>
          <w:b/>
          <w:color w:val="003CA0"/>
          <w:sz w:val="16"/>
        </w:rPr>
        <w:t>[ADI 2.937, voto do rel. min. Cezar Peluso, j. 23-2-2012, P, DJE de 29-5-2012.]</w:t>
      </w:r>
    </w:p>
    <w:p>
      <w:pPr>
        <w:ind w:left="288"/>
      </w:pPr>
      <w:r>
        <w:rPr>
          <w:color w:val="8C8C8C"/>
          <w:sz w:val="12"/>
        </w:rPr>
        <w:t>cf-art-217-inc-IV</w:t>
      </w:r>
      <w:r>
        <w:rPr>
          <w:color w:val="003CA0"/>
          <w:sz w:val="12"/>
        </w:rPr>
        <w:t xml:space="preserve"> | ADI 4.976</w:t>
      </w:r>
      <w:r>
        <w:rPr>
          <w:color w:val="003CA0"/>
          <w:sz w:val="12"/>
        </w:rPr>
        <w:t xml:space="preserve"> | rel. Ricardo Lewandowski</w:t>
      </w:r>
    </w:p>
    <w:p>
      <w:pPr>
        <w:ind w:left="288"/>
      </w:pPr>
      <w:r>
        <w:rPr>
          <w:color w:val="1E1E1E"/>
          <w:sz w:val="18"/>
        </w:rPr>
        <w:t>(...) José Afonso da Silva bem esclarece que a expressão "de criação nacional", inserta na Carta Magna, "não significa" – necessariamente – "que seja de invenção brasileira, mas que seja prática desportiva que já se tenha incorporado aos hábitos e costumes nacionais". Isso quer dizer, a meu sentir, que o futebol, como esporte plenamente incorporado aos costumes nacionais, deve ser protegido e incentivado por expressa imposição constitucional, mediante qualquer meio que a administração pública considerar apropriado. É escusado lembrar que, por mais que alguém, entre nós, seja indiferente ou mes</w:t>
      </w:r>
    </w:p>
    <w:p>
      <w:pPr>
        <w:ind w:left="288"/>
      </w:pPr>
      <w:r>
        <w:rPr>
          <w:b/>
          <w:color w:val="003CA0"/>
          <w:sz w:val="16"/>
        </w:rPr>
        <w:t>[ADI 4.976, voto do rel. min. Ricardo Lewandowski, j. 7-5-2014, P, DJE de 30-10-2014.]</w:t>
      </w:r>
    </w:p>
    <w:p>
      <w:pPr>
        <w:ind w:left="288"/>
      </w:pPr>
      <w:r>
        <w:rPr>
          <w:color w:val="8C8C8C"/>
          <w:sz w:val="12"/>
        </w:rPr>
        <w:t>cf-art-217-par-1</w:t>
      </w:r>
      <w:r>
        <w:rPr>
          <w:color w:val="003CA0"/>
          <w:sz w:val="12"/>
        </w:rPr>
        <w:t xml:space="preserve"> | ADI 2.139</w:t>
      </w:r>
    </w:p>
    <w:p>
      <w:pPr>
        <w:ind w:left="288"/>
      </w:pPr>
      <w:r>
        <w:rPr>
          <w:color w:val="1E1E1E"/>
          <w:sz w:val="18"/>
        </w:rPr>
        <w:t>No inciso XXXV do art. 5º, previu-se que "a lei não excluirá da apreciação do Poder Judiciário lesão ou ameaça a direito". (...) O próprio legislador constituinte de 1988 limitou a condição de ter-se o exaurimento da fase administrativa, para chegar-se à formalização de pleito no Judiciário. Fê-lo no tocante ao desporto, (...) no § 1º do art. 217 (...). Vale dizer que, sob o ângulo constitucional, o livre acesso ao Judiciário sofre uma mitigação e, aí, consubstanciando o preceito respectivo exceção, cabe tão só o empréstimo de interpretação estrita. Destarte, a necessidade de esgotamento da fa</w:t>
      </w:r>
    </w:p>
    <w:p>
      <w:pPr>
        <w:ind w:left="288"/>
      </w:pPr>
      <w:r>
        <w:rPr>
          <w:b/>
          <w:color w:val="003CA0"/>
          <w:sz w:val="16"/>
        </w:rPr>
        <w:t>[ADI 2.139 MC e ADI 2.160 MC, voto do red. do ac. min. Marco Aurélio, j. 13-5-2009, P, DJE de 23-10-2009.]</w:t>
      </w:r>
    </w:p>
    <w:p>
      <w:pPr>
        <w:ind w:left="288"/>
      </w:pPr>
      <w:r>
        <w:rPr>
          <w:color w:val="8C8C8C"/>
          <w:sz w:val="12"/>
        </w:rPr>
        <w:t>cf-art-217-par-3</w:t>
      </w:r>
      <w:r>
        <w:rPr>
          <w:color w:val="003CA0"/>
          <w:sz w:val="12"/>
        </w:rPr>
        <w:t xml:space="preserve"> | ADI 1.950</w:t>
      </w:r>
      <w:r>
        <w:rPr>
          <w:color w:val="003CA0"/>
          <w:sz w:val="12"/>
        </w:rPr>
        <w:t xml:space="preserve"> | rel. Eros Grau</w:t>
      </w:r>
    </w:p>
    <w:p>
      <w:pPr>
        <w:ind w:left="288"/>
      </w:pPr>
      <w:r>
        <w:rPr>
          <w:color w:val="1E1E1E"/>
          <w:sz w:val="18"/>
        </w:rPr>
        <w:t>Lei 7.844/1992 do Estado de São Paulo. Meia entrada assegurada aos estudantes regularmente matriculados em estabelecimentos de ensino. Ingresso em casas de diversão, esporte, cultura e lazer. (...) A livre iniciativa é expressão de liberdade titulada não apenas pela empresa mas também pelo trabalho. Por isso a Constituição, ao contemplá-la, cogita também da "iniciativa do Estado"; não a privilegia, portanto, como bem pertinente apenas à empresa. Se de um lado a Constituição assegura a livre iniciativa, de outro determina ao Estado a adoção de todas as providências tendentes a garantir o efetiv</w:t>
      </w:r>
    </w:p>
    <w:p>
      <w:pPr>
        <w:ind w:left="288"/>
      </w:pPr>
      <w:r>
        <w:rPr>
          <w:b/>
          <w:color w:val="003CA0"/>
          <w:sz w:val="16"/>
        </w:rPr>
        <w:t>[ADI 1.950, rel. min. Eros Grau, j. 3-11-2005, P, DJ de 2-6-2006.]</w:t>
      </w:r>
    </w:p>
    <w:p>
      <w:pPr>
        <w:ind w:left="288"/>
      </w:pPr>
      <w:r>
        <w:rPr>
          <w:color w:val="8C8C8C"/>
          <w:sz w:val="12"/>
        </w:rPr>
        <w:t>cf-art-217-par-3</w:t>
      </w:r>
    </w:p>
    <w:p>
      <w:pPr>
        <w:ind w:left="288"/>
      </w:pPr>
      <w:r>
        <w:rPr>
          <w:color w:val="1E1E1E"/>
          <w:sz w:val="18"/>
        </w:rPr>
        <w:t>CAPÍTULO IV Da Ciência, Tecnologia e Inovação (Redação da EC 85/2015) SUMÁRIO</w:t>
      </w:r>
    </w:p>
    <w:p>
      <w:pPr>
        <w:ind w:left="720"/>
      </w:pPr>
      <w:r>
        <w:rPr>
          <w:color w:val="003366"/>
          <w:sz w:val="18"/>
        </w:rPr>
        <w:t>I – a autonomia das entidades desportivas dirigentes e associações, quanto a sua</w:t>
      </w:r>
    </w:p>
    <w:p>
      <w:pPr>
        <w:ind w:left="720"/>
      </w:pPr>
      <w:r>
        <w:rPr>
          <w:color w:val="003366"/>
          <w:sz w:val="18"/>
        </w:rPr>
        <w:t>II – a destinação de recursos públicos para a promoção prioritária do desporto e</w:t>
      </w:r>
    </w:p>
    <w:p>
      <w:pPr>
        <w:ind w:left="720"/>
      </w:pPr>
      <w:r>
        <w:rPr>
          <w:color w:val="003366"/>
          <w:sz w:val="18"/>
        </w:rPr>
        <w:t>III – o tratamento diferenciado para o desporto profissional e o não- profission</w:t>
      </w:r>
    </w:p>
    <w:p>
      <w:pPr>
        <w:ind w:left="720"/>
      </w:pPr>
      <w:r>
        <w:rPr>
          <w:color w:val="003366"/>
          <w:sz w:val="18"/>
        </w:rPr>
        <w:t>IV – a proteção e o incentivo às manifestações desportivas de criação nacional.</w:t>
      </w:r>
    </w:p>
    <w:p>
      <w:pPr>
        <w:ind w:left="432"/>
      </w:pPr>
      <w:r>
        <w:rPr>
          <w:color w:val="003366"/>
          <w:sz w:val="18"/>
        </w:rPr>
        <w:t>§ 1 O Poder Judiciário só admitirá ações relativas à disciplina e às competições</w:t>
      </w:r>
    </w:p>
    <w:p>
      <w:pPr>
        <w:ind w:left="432"/>
      </w:pPr>
      <w:r>
        <w:rPr>
          <w:color w:val="003366"/>
          <w:sz w:val="18"/>
        </w:rPr>
        <w:t>§ 2 A justiça desportiva terá o prazo máximo de sessenta dias, contados da insta</w:t>
      </w:r>
    </w:p>
    <w:p>
      <w:pPr>
        <w:ind w:left="432"/>
      </w:pPr>
      <w:r>
        <w:rPr>
          <w:color w:val="003366"/>
          <w:sz w:val="18"/>
        </w:rPr>
        <w:t>§ 3 O Poder Público incentivará o lazer, como forma de promoção social.</w:t>
      </w:r>
    </w:p>
    <w:p>
      <w:pPr>
        <w:pStyle w:val="Heading2"/>
      </w:pPr>
      <w:r>
        <w:rPr>
          <w:color w:val="003366"/>
        </w:rPr>
        <w:t>CAPÍTULO IV - DA CIÊNCIA, TECNOLOGIA E INOVAÇÃO</w:t>
      </w:r>
    </w:p>
    <w:p>
      <w:r>
        <w:rPr>
          <w:b/>
          <w:color w:val="003366"/>
          <w:sz w:val="20"/>
        </w:rPr>
        <w:t>Art. 218 O Estado promoverá e incentivará o desenvolvimento científico, a pesqui</w:t>
      </w:r>
      <w:r>
        <w:rPr>
          <w:color w:val="8C8C8C"/>
          <w:sz w:val="14"/>
        </w:rPr>
        <w:t xml:space="preserve">  [5 decisoes]</w:t>
      </w:r>
    </w:p>
    <w:p>
      <w:pPr>
        <w:ind w:left="288"/>
      </w:pPr>
      <w:r>
        <w:rPr>
          <w:color w:val="8C8C8C"/>
          <w:sz w:val="12"/>
        </w:rPr>
        <w:t>cf-art-218</w:t>
      </w:r>
      <w:r>
        <w:rPr>
          <w:color w:val="003CA0"/>
          <w:sz w:val="12"/>
        </w:rPr>
        <w:t xml:space="preserve"> | ADO 73</w:t>
      </w:r>
      <w:r>
        <w:rPr>
          <w:color w:val="003CA0"/>
          <w:sz w:val="12"/>
        </w:rPr>
        <w:t xml:space="preserve"> | rel. Luís Roberto Barroso</w:t>
      </w:r>
    </w:p>
    <w:p>
      <w:pPr>
        <w:ind w:left="288"/>
      </w:pPr>
      <w:r>
        <w:rPr>
          <w:color w:val="1E1E1E"/>
          <w:sz w:val="18"/>
        </w:rPr>
        <w:t xml:space="preserve">Ação direta de inconstitucionalidade por omissão contra mora atribuída ao Congresso Nacional na regulamentação da proteção do trabalhador em face da automação, prevista no art. 7º, XXVII, da CF. (...) Desde a Primeira Revolução Industrial, a evolução da tecnologia empregada nos meios de produção tem repercussões sobre a oferta e a qualidade dos postos de trabalho. (...) A Revolução Tecnológica ou Digital insere novos elementos nessa equação, especialmente com o avanço e lapidação da inteligência artificial, sendo impossível parar a História e o desenvolvimento tecnológico. Estudos da OCDE, da </w:t>
      </w:r>
    </w:p>
    <w:p>
      <w:pPr>
        <w:ind w:left="288"/>
      </w:pPr>
      <w:r>
        <w:rPr>
          <w:b/>
          <w:color w:val="003CA0"/>
          <w:sz w:val="16"/>
        </w:rPr>
        <w:t>[ADO 73, rel. min. Luís Roberto Barroso, j. 09.10.2025, P, DJE de 18.12.2025.]</w:t>
      </w:r>
    </w:p>
    <w:p>
      <w:pPr>
        <w:ind w:left="144"/>
      </w:pPr>
      <w:r>
        <w:rPr>
          <w:b/>
          <w:color w:val="B45A00"/>
          <w:sz w:val="16"/>
        </w:rPr>
        <w:t>CONTROLE CONCENTRADO</w:t>
      </w:r>
    </w:p>
    <w:p>
      <w:pPr>
        <w:ind w:left="288"/>
      </w:pPr>
      <w:r>
        <w:rPr>
          <w:color w:val="8C8C8C"/>
          <w:sz w:val="12"/>
        </w:rPr>
        <w:t>cf-art-218</w:t>
      </w:r>
      <w:r>
        <w:rPr>
          <w:color w:val="003CA0"/>
          <w:sz w:val="12"/>
        </w:rPr>
        <w:t xml:space="preserve"> | ADI 3.510</w:t>
      </w:r>
      <w:r>
        <w:rPr>
          <w:color w:val="003CA0"/>
          <w:sz w:val="12"/>
        </w:rPr>
        <w:t xml:space="preserve"> | rel. Ayres Britto</w:t>
      </w:r>
    </w:p>
    <w:p>
      <w:pPr>
        <w:ind w:left="288"/>
      </w:pPr>
      <w:r>
        <w:rPr>
          <w:color w:val="1E1E1E"/>
          <w:sz w:val="18"/>
        </w:rPr>
        <w:t xml:space="preserve">O termo "ciência", enquanto atividade individual, faz parte do catálogo dos direitos fundamentais da pessoa humana (inciso IX do art. 5º da CF). Liberdade de expressão que se afigura como clássico direito constitucional-civil ou genuíno direito de personalidade. Por isso que exigente do máximo de proteção jurídica, até como signo de vida coletiva civilizada. Tão qualificadora do indivíduo e da sociedade é essa vocação para os misteres da Ciência que o Magno Texto Federal abre todo um autonomizado capítulo para prestigiá-la por modo superlativo (Capítulo de n. IV do Ttulo VIII). A regra de que </w:t>
      </w:r>
    </w:p>
    <w:p>
      <w:pPr>
        <w:ind w:left="288"/>
      </w:pPr>
      <w:r>
        <w:rPr>
          <w:b/>
          <w:color w:val="003CA0"/>
          <w:sz w:val="16"/>
        </w:rPr>
        <w:t>[ADI 3.510, rel. min. Ayres Britto, j. 29-5-2008, P, DJE de 28-5-2010.]</w:t>
      </w:r>
    </w:p>
    <w:p>
      <w:pPr>
        <w:ind w:left="288"/>
      </w:pPr>
      <w:r>
        <w:rPr>
          <w:color w:val="8C8C8C"/>
          <w:sz w:val="12"/>
        </w:rPr>
        <w:t>cf-art-218-par-3</w:t>
      </w:r>
    </w:p>
    <w:p>
      <w:pPr>
        <w:ind w:left="288"/>
      </w:pPr>
      <w:r>
        <w:rPr>
          <w:color w:val="1E1E1E"/>
          <w:sz w:val="18"/>
        </w:rPr>
        <w:t>§ 4º  A lei apoiará e estimulará as empresas que invistam em pesquisa, criação de tecnologia adequada ao País, formação e aperfeiçoamento de seus recursos humanos e que pratiquem sistemas de remuneração que assegurem ao empregado, desvinculada do salário, participação nos ganhos econômicos resultantes da produtividade de seu trabalho.</w:t>
      </w:r>
    </w:p>
    <w:p>
      <w:pPr>
        <w:ind w:left="288"/>
      </w:pPr>
      <w:r>
        <w:rPr>
          <w:color w:val="8C8C8C"/>
          <w:sz w:val="12"/>
        </w:rPr>
        <w:t>cf-art-218-par-5</w:t>
      </w:r>
      <w:r>
        <w:rPr>
          <w:color w:val="003CA0"/>
          <w:sz w:val="12"/>
        </w:rPr>
        <w:t xml:space="preserve"> | ADI 550</w:t>
      </w:r>
      <w:r>
        <w:rPr>
          <w:color w:val="003CA0"/>
          <w:sz w:val="12"/>
        </w:rPr>
        <w:t xml:space="preserve"> | rel. Ilmar Galvão</w:t>
      </w:r>
    </w:p>
    <w:p>
      <w:pPr>
        <w:ind w:left="288"/>
      </w:pPr>
      <w:r>
        <w:rPr>
          <w:color w:val="1E1E1E"/>
          <w:sz w:val="18"/>
        </w:rPr>
        <w:t>Dispositivo da Constituição estadual que, ao destinar 2% da receita tributária do Estado de Mato Grosso à mencionada entidade de fomento científico, o fez nos limites do art. 218, § 5º, da Carta da República, o que evidencia a improcedência da ação nesse ponto.</w:t>
      </w:r>
    </w:p>
    <w:p>
      <w:pPr>
        <w:ind w:left="288"/>
      </w:pPr>
      <w:r>
        <w:rPr>
          <w:b/>
          <w:color w:val="003CA0"/>
          <w:sz w:val="16"/>
        </w:rPr>
        <w:t>[ADI 550, rel. min. Ilmar Galvão, j. 29-8-2002, P, DJ de 18-10-2002.]</w:t>
      </w:r>
    </w:p>
    <w:p>
      <w:pPr>
        <w:ind w:left="288"/>
      </w:pPr>
      <w:r>
        <w:rPr>
          <w:color w:val="8C8C8C"/>
          <w:sz w:val="12"/>
        </w:rPr>
        <w:t>cf-art-218-par-5</w:t>
      </w:r>
      <w:r>
        <w:rPr>
          <w:color w:val="003CA0"/>
          <w:sz w:val="12"/>
        </w:rPr>
        <w:t xml:space="preserve"> | ADI 336</w:t>
      </w:r>
      <w:r>
        <w:rPr>
          <w:color w:val="003CA0"/>
          <w:sz w:val="12"/>
        </w:rPr>
        <w:t xml:space="preserve"> | rel. Eros Grau</w:t>
      </w:r>
    </w:p>
    <w:p>
      <w:pPr>
        <w:ind w:left="288"/>
      </w:pPr>
      <w:r>
        <w:rPr>
          <w:color w:val="1E1E1E"/>
          <w:sz w:val="18"/>
        </w:rPr>
        <w:t>= ADI 336, rel. min. Eros Grau, j. 10-2-2010, P, DJE de 17-9-2010</w:t>
      </w:r>
    </w:p>
    <w:p>
      <w:pPr>
        <w:ind w:left="432"/>
      </w:pPr>
      <w:r>
        <w:rPr>
          <w:color w:val="003366"/>
          <w:sz w:val="18"/>
        </w:rPr>
        <w:t>§ 1 A pesquisa científica básica e tecnológica receberá tratamento prioritário d</w:t>
      </w:r>
    </w:p>
    <w:p>
      <w:pPr>
        <w:ind w:left="432"/>
      </w:pPr>
      <w:r>
        <w:rPr>
          <w:color w:val="003366"/>
          <w:sz w:val="18"/>
        </w:rPr>
        <w:t>§ 2 A pesquisa tecnológica voltar-se-á preponderantemente para a solução dos pro</w:t>
      </w:r>
    </w:p>
    <w:p>
      <w:pPr>
        <w:ind w:left="432"/>
      </w:pPr>
      <w:r>
        <w:rPr>
          <w:color w:val="003366"/>
          <w:sz w:val="18"/>
        </w:rPr>
        <w:t>§ 3 O Estado apoiará a formação de recursos humanos nas áreas de ciência, pesqui</w:t>
      </w:r>
    </w:p>
    <w:p>
      <w:pPr>
        <w:ind w:left="432"/>
      </w:pPr>
      <w:r>
        <w:rPr>
          <w:color w:val="003366"/>
          <w:sz w:val="18"/>
        </w:rPr>
        <w:t xml:space="preserve">§ 4 A lei apoiará e estimulará as empresas que invistam em pesquisa, criação de </w:t>
      </w:r>
    </w:p>
    <w:p>
      <w:pPr>
        <w:ind w:left="432"/>
      </w:pPr>
      <w:r>
        <w:rPr>
          <w:color w:val="003366"/>
          <w:sz w:val="18"/>
        </w:rPr>
        <w:t>§ 5 É facultado aos Estados e ao Distrito Federal vincular parcela de sua receit</w:t>
      </w:r>
    </w:p>
    <w:p>
      <w:pPr>
        <w:ind w:left="432"/>
      </w:pPr>
      <w:r>
        <w:rPr>
          <w:color w:val="003366"/>
          <w:sz w:val="18"/>
        </w:rPr>
        <w:t>§ 6 O Estado, na execução das atividades previstas no caput , estimulará a artic</w:t>
      </w:r>
    </w:p>
    <w:p>
      <w:pPr>
        <w:ind w:left="432"/>
      </w:pPr>
      <w:r>
        <w:rPr>
          <w:color w:val="003366"/>
          <w:sz w:val="18"/>
        </w:rPr>
        <w:t>§ 7 O Estado promoverá e incentivará a atuação no exterior das instituições públ</w:t>
      </w:r>
    </w:p>
    <w:p>
      <w:r>
        <w:rPr>
          <w:b/>
          <w:color w:val="003366"/>
          <w:sz w:val="20"/>
        </w:rPr>
        <w:t>Art. 219 O mercado interno integra o patrimônio nacional e será incentivado de m</w:t>
      </w:r>
      <w:r>
        <w:rPr>
          <w:color w:val="8C8C8C"/>
          <w:sz w:val="14"/>
        </w:rPr>
        <w:t xml:space="preserve">  [1 decisoes]</w:t>
      </w:r>
    </w:p>
    <w:p>
      <w:pPr>
        <w:ind w:left="288"/>
      </w:pPr>
      <w:r>
        <w:rPr>
          <w:color w:val="8C8C8C"/>
          <w:sz w:val="12"/>
        </w:rPr>
        <w:t>cf-art-219</w:t>
      </w:r>
    </w:p>
    <w:p>
      <w:pPr>
        <w:ind w:left="288"/>
      </w:pPr>
      <w:r>
        <w:rPr>
          <w:color w:val="1E1E1E"/>
          <w:sz w:val="18"/>
        </w:rPr>
        <w:t>CAPÍTULO V Da Comunicação Social SUMÁRIO</w:t>
      </w:r>
    </w:p>
    <w:p>
      <w:r>
        <w:rPr>
          <w:b/>
          <w:color w:val="003366"/>
          <w:sz w:val="20"/>
        </w:rPr>
        <w:t>Art. 219 A. A União, os Estados, o Distrito Federal e os Municípios poderão firm</w:t>
      </w:r>
      <w:r>
        <w:rPr>
          <w:color w:val="8C8C8C"/>
          <w:sz w:val="14"/>
        </w:rPr>
        <w:t xml:space="preserve">  [1 decisoes]</w:t>
      </w:r>
    </w:p>
    <w:p>
      <w:pPr>
        <w:ind w:left="288"/>
      </w:pPr>
      <w:r>
        <w:rPr>
          <w:color w:val="8C8C8C"/>
          <w:sz w:val="12"/>
        </w:rPr>
        <w:t>cf-art-219</w:t>
      </w:r>
    </w:p>
    <w:p>
      <w:pPr>
        <w:ind w:left="288"/>
      </w:pPr>
      <w:r>
        <w:rPr>
          <w:color w:val="1E1E1E"/>
          <w:sz w:val="18"/>
        </w:rPr>
        <w:t>CAPÍTULO V Da Comunicação Social SUMÁRIO</w:t>
      </w:r>
    </w:p>
    <w:p>
      <w:r>
        <w:rPr>
          <w:b/>
          <w:color w:val="003366"/>
          <w:sz w:val="20"/>
        </w:rPr>
        <w:t>Art. 219 B. O Sistema Nacional de Ciência, Tecnologia e Inovação (SNCTI) será or</w:t>
      </w:r>
      <w:r>
        <w:rPr>
          <w:color w:val="8C8C8C"/>
          <w:sz w:val="14"/>
        </w:rPr>
        <w:t xml:space="preserve">  [1 decisoes]</w:t>
      </w:r>
    </w:p>
    <w:p>
      <w:pPr>
        <w:ind w:left="288"/>
      </w:pPr>
      <w:r>
        <w:rPr>
          <w:color w:val="8C8C8C"/>
          <w:sz w:val="12"/>
        </w:rPr>
        <w:t>cf-art-219</w:t>
      </w:r>
    </w:p>
    <w:p>
      <w:pPr>
        <w:ind w:left="288"/>
      </w:pPr>
      <w:r>
        <w:rPr>
          <w:color w:val="1E1E1E"/>
          <w:sz w:val="18"/>
        </w:rPr>
        <w:t>CAPÍTULO V Da Comunicação Social SUMÁRIO</w:t>
      </w:r>
    </w:p>
    <w:p>
      <w:pPr>
        <w:ind w:left="432"/>
      </w:pPr>
      <w:r>
        <w:rPr>
          <w:color w:val="003366"/>
          <w:sz w:val="18"/>
        </w:rPr>
        <w:t>§ 1 Lei federal disporá sobre as normas gerais do SNCTI. (Incluído pela Emenda C</w:t>
      </w:r>
    </w:p>
    <w:p>
      <w:pPr>
        <w:ind w:left="432"/>
      </w:pPr>
      <w:r>
        <w:rPr>
          <w:color w:val="003366"/>
          <w:sz w:val="18"/>
        </w:rPr>
        <w:t>§ 2 Os Estados, o Distrito Federal e os Municípios legislarão concorrentemente s</w:t>
      </w:r>
    </w:p>
    <w:p>
      <w:pPr>
        <w:pStyle w:val="Heading2"/>
      </w:pPr>
      <w:r>
        <w:rPr>
          <w:color w:val="003366"/>
        </w:rPr>
        <w:t>CAPÍTULO V - DA COMUNICAÇÃO SOCIAL</w:t>
      </w:r>
    </w:p>
    <w:p>
      <w:r>
        <w:rPr>
          <w:b/>
          <w:color w:val="003366"/>
          <w:sz w:val="20"/>
        </w:rPr>
        <w:t>Art. 220 A manifestação do pensamento, a criação, a expressão e a informação, so</w:t>
      </w:r>
      <w:r>
        <w:rPr>
          <w:color w:val="8C8C8C"/>
          <w:sz w:val="14"/>
        </w:rPr>
        <w:t xml:space="preserve">  [28 decisoes]</w:t>
      </w:r>
    </w:p>
    <w:p>
      <w:pPr>
        <w:ind w:left="288"/>
      </w:pPr>
      <w:r>
        <w:rPr>
          <w:color w:val="8C8C8C"/>
          <w:sz w:val="12"/>
        </w:rPr>
        <w:t>cf-art-220</w:t>
      </w:r>
      <w:r>
        <w:rPr>
          <w:color w:val="003CA0"/>
          <w:sz w:val="12"/>
        </w:rPr>
        <w:t xml:space="preserve"> | ADI 6.792</w:t>
      </w:r>
      <w:r>
        <w:rPr>
          <w:color w:val="003CA0"/>
          <w:sz w:val="12"/>
        </w:rPr>
        <w:t xml:space="preserve"> | rel. Rosa Weber</w:t>
      </w:r>
    </w:p>
    <w:p>
      <w:pPr>
        <w:ind w:left="288"/>
      </w:pPr>
      <w:r>
        <w:rPr>
          <w:color w:val="1E1E1E"/>
          <w:sz w:val="18"/>
        </w:rPr>
        <w:t>“1. Constitui assédio judicial comprometedor da liberdade de expressão o ajuizamento de inúmeras ações a respeito dos mesmos fatos, em comarcas diversas, com o intuito ou o efeito de constranger jornalista ou órgão de imprensa, dificultar sua defesa ou torná-la excessivamente onerosa. 2. Caracterizado o assédio judicial, a parte demandada poderá requerer a reunião de todas as ações no foro de seu domicílio. 3. A responsabilidade civil de jornalistas ou de órgãos de imprensa somente estará configurada em caso inequívoco de dolo ou de culpa grave (evidente negligência profissional na apuração do</w:t>
      </w:r>
    </w:p>
    <w:p>
      <w:pPr>
        <w:ind w:left="288"/>
      </w:pPr>
      <w:r>
        <w:rPr>
          <w:b/>
          <w:color w:val="003CA0"/>
          <w:sz w:val="16"/>
        </w:rPr>
        <w:t>[ADI 6.792 e ADI 7.055, rel. min. Rosa Weber, red. do ac. Luís Roberto Barroso, j. 22.05.2024, P, DJE de 04.04.2025.]</w:t>
      </w:r>
    </w:p>
    <w:p>
      <w:pPr>
        <w:ind w:left="288"/>
      </w:pPr>
      <w:r>
        <w:rPr>
          <w:color w:val="8C8C8C"/>
          <w:sz w:val="12"/>
        </w:rPr>
        <w:t>cf-art-220</w:t>
      </w:r>
      <w:r>
        <w:rPr>
          <w:color w:val="003CA0"/>
          <w:sz w:val="12"/>
        </w:rPr>
        <w:t xml:space="preserve"> | ADI 3.311</w:t>
      </w:r>
      <w:r>
        <w:rPr>
          <w:color w:val="003CA0"/>
          <w:sz w:val="12"/>
        </w:rPr>
        <w:t xml:space="preserve"> | rel. Rosa Weber</w:t>
      </w:r>
    </w:p>
    <w:p>
      <w:pPr>
        <w:ind w:left="288"/>
      </w:pPr>
      <w:r>
        <w:rPr>
          <w:color w:val="1E1E1E"/>
          <w:sz w:val="18"/>
        </w:rPr>
        <w:t>A propaganda comercial encontra proteção constitucional, por ser manifestação da liberdade de expressão e comunicação. Na arquitetura dos direitos fundamentais, que não comporta direitos absolutos, sujeita-se a restrições, desde que proporcionais, na proteção de outros valores públicos. A atividade empresarial, em todas as suas facetas, inclusive a publicitária, submete-se aos princípios da ordem econômica e há compatibilizar-se com a concretização dos demais direitos fundamentais.</w:t>
        <w:br/>
        <w:t>[ADI 3.311, rel. min. Rosa Weber, j. 14-9-2022, P, DJE de 29-9-2022.] A liberdade religiosa não é exercível apena</w:t>
      </w:r>
    </w:p>
    <w:p>
      <w:pPr>
        <w:ind w:left="288"/>
      </w:pPr>
      <w:r>
        <w:rPr>
          <w:b/>
          <w:color w:val="003CA0"/>
          <w:sz w:val="16"/>
        </w:rPr>
        <w:t>[ADI 2.566, red. do ac. min. Edson Fachin, j. 16-5-2018, P, DJE de 23-10-2018.]</w:t>
      </w:r>
    </w:p>
    <w:p>
      <w:pPr>
        <w:ind w:left="288"/>
      </w:pPr>
      <w:r>
        <w:rPr>
          <w:color w:val="8C8C8C"/>
          <w:sz w:val="12"/>
        </w:rPr>
        <w:t>cf-art-220</w:t>
      </w:r>
      <w:r>
        <w:rPr>
          <w:color w:val="003CA0"/>
          <w:sz w:val="12"/>
        </w:rPr>
        <w:t xml:space="preserve"> | ADPF 130</w:t>
      </w:r>
      <w:r>
        <w:rPr>
          <w:color w:val="003CA0"/>
          <w:sz w:val="12"/>
        </w:rPr>
        <w:t xml:space="preserve"> | rel. Ayres Britto</w:t>
      </w:r>
    </w:p>
    <w:p>
      <w:pPr>
        <w:ind w:left="288"/>
      </w:pPr>
      <w:r>
        <w:rPr>
          <w:color w:val="1E1E1E"/>
          <w:sz w:val="18"/>
        </w:rPr>
        <w:t xml:space="preserve">A Constituição reservou à imprensa todo um bloco normativo, com o apropriado nome "Da Comunicação Social" (capítulo V do título VIII). A imprensa como plexo ou conjunto de "atividades" ganha a dimensão de instituição-ideia, de modo a poder influenciar cada pessoa per se e até mesmo formar o que se convencionou chamar de opinião pública. Pelo que ela, Constituição, destinou à imprensa o direito de controlar e revelar as coisas respeitantes à vida do Estado e da própria sociedade. A imprensa como alternativa à explicação ou versão estatal de tudo que possa repercutir no seio da sociedade e como </w:t>
      </w:r>
    </w:p>
    <w:p>
      <w:pPr>
        <w:ind w:left="288"/>
      </w:pPr>
      <w:r>
        <w:rPr>
          <w:b/>
          <w:color w:val="003CA0"/>
          <w:sz w:val="16"/>
        </w:rPr>
        <w:t>[ADPF 130, rel. min. Ayres Britto, j. 30-4-2009, P, DJE de 6-11-2009.]</w:t>
      </w:r>
    </w:p>
    <w:p>
      <w:pPr>
        <w:ind w:left="288"/>
      </w:pPr>
      <w:r>
        <w:rPr>
          <w:color w:val="8C8C8C"/>
          <w:sz w:val="12"/>
        </w:rPr>
        <w:t>cf-art-220</w:t>
      </w:r>
      <w:r>
        <w:rPr>
          <w:color w:val="003CA0"/>
          <w:sz w:val="12"/>
        </w:rPr>
        <w:t xml:space="preserve"> | RCL 18.566</w:t>
      </w:r>
      <w:r>
        <w:rPr>
          <w:color w:val="003CA0"/>
          <w:sz w:val="12"/>
        </w:rPr>
        <w:t xml:space="preserve"> | rel. Celso de Mello</w:t>
      </w:r>
    </w:p>
    <w:p>
      <w:pPr>
        <w:ind w:left="288"/>
      </w:pPr>
      <w:r>
        <w:rPr>
          <w:color w:val="1E1E1E"/>
          <w:sz w:val="18"/>
        </w:rPr>
        <w:t>= Rcl 18.566 MC, rel. min. Celso de Mello, j. 12-9-2014, dec. monocrática, DJE de 17-9-201 = Rcl 45.682-AgR, red. do ac. min. Marco Aurélio, j. 19-3-2021, 1ª T, DJE de 28-5-2021 Vide Rcl 22.238, rel. min. Roberto Barroso, j. 6-3-2018, 1ª T, DJE de 10-5-2018 Lei 8.069/1990. Divulgação total ou parcial por qualquer meio de comunicação, nome, ato ou documento de procedimento policial, administrativo ou judicial relativo à criança ou adolescente a que se atribua ato infracional. Publicidade indevida. Penalidade: suspensão da programação da emissora até por dois dias, bem como da publicação do peri</w:t>
      </w:r>
    </w:p>
    <w:p>
      <w:pPr>
        <w:ind w:left="288"/>
      </w:pPr>
      <w:r>
        <w:rPr>
          <w:b/>
          <w:color w:val="003CA0"/>
          <w:sz w:val="16"/>
        </w:rPr>
        <w:t>[ADI 869, red. do ac. min. Maurício Corrêa, j. 4-8-1999, P, DJ de 4-6-2004.]</w:t>
      </w:r>
    </w:p>
    <w:p>
      <w:pPr>
        <w:ind w:left="288"/>
      </w:pPr>
      <w:r>
        <w:rPr>
          <w:color w:val="8C8C8C"/>
          <w:sz w:val="12"/>
        </w:rPr>
        <w:t>cf-art-220</w:t>
      </w:r>
      <w:r>
        <w:rPr>
          <w:color w:val="003CA0"/>
          <w:sz w:val="12"/>
        </w:rPr>
        <w:t xml:space="preserve"> | RE 1.037.396</w:t>
      </w:r>
      <w:r>
        <w:rPr>
          <w:color w:val="003CA0"/>
          <w:sz w:val="12"/>
        </w:rPr>
        <w:t xml:space="preserve"> | rel. Dias Toffoli</w:t>
      </w:r>
    </w:p>
    <w:p>
      <w:pPr>
        <w:ind w:left="288"/>
      </w:pPr>
      <w:r>
        <w:rPr>
          <w:color w:val="1E1E1E"/>
          <w:sz w:val="18"/>
        </w:rPr>
        <w:t>“Reconhecimento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direitos fundamentais e da democracia). Interpretação do art. 19 do MCI 2. Enquant</w:t>
      </w:r>
    </w:p>
    <w:p>
      <w:pPr>
        <w:ind w:left="288"/>
      </w:pPr>
      <w:r>
        <w:rPr>
          <w:b/>
          <w:color w:val="003CA0"/>
          <w:sz w:val="16"/>
        </w:rPr>
        <w:t>[RE 1.037.396, rel. min. Dias Toffoli, j. 26.06.2025, P, DJE de 05.11.2025, Tema 987, com mérito julgado e RE 1.057.258, rel. min. Luiz Fux, j. 26.06.2025, P, DJE de 05.11.2025, Tema 533, com mérito julgado.]</w:t>
      </w:r>
    </w:p>
    <w:p>
      <w:pPr>
        <w:ind w:left="288"/>
      </w:pPr>
      <w:r>
        <w:rPr>
          <w:color w:val="8C8C8C"/>
          <w:sz w:val="12"/>
        </w:rPr>
        <w:t>cf-art-220</w:t>
      </w:r>
      <w:r>
        <w:rPr>
          <w:color w:val="003CA0"/>
          <w:sz w:val="12"/>
        </w:rPr>
        <w:t xml:space="preserve"> | RE 1.075.412</w:t>
      </w:r>
      <w:r>
        <w:rPr>
          <w:color w:val="003CA0"/>
          <w:sz w:val="12"/>
        </w:rPr>
        <w:t xml:space="preserve"> | rel. Edson Fachin</w:t>
      </w:r>
    </w:p>
    <w:p>
      <w:pPr>
        <w:ind w:left="288"/>
      </w:pPr>
      <w:r>
        <w:rPr>
          <w:color w:val="1E1E1E"/>
          <w:sz w:val="18"/>
        </w:rPr>
        <w:t>“1.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contraditório pelo veículo; 2. Na hipótese de entrevistas realizadas e transmitidas ao viv</w:t>
      </w:r>
    </w:p>
    <w:p>
      <w:pPr>
        <w:ind w:left="288"/>
      </w:pPr>
      <w:r>
        <w:rPr>
          <w:b/>
          <w:color w:val="003CA0"/>
          <w:sz w:val="16"/>
        </w:rPr>
        <w:t>[RE 1.075.412 ED, rel. min. Edson Fachin, j. 20.03.2025, P, DJE de 27.06.2025, Tema 995, com mérito julgado.]</w:t>
      </w:r>
    </w:p>
    <w:p>
      <w:pPr>
        <w:ind w:left="288"/>
      </w:pPr>
      <w:r>
        <w:rPr>
          <w:color w:val="8C8C8C"/>
          <w:sz w:val="12"/>
        </w:rPr>
        <w:t>cf-art-220</w:t>
      </w:r>
      <w:r>
        <w:rPr>
          <w:color w:val="003CA0"/>
          <w:sz w:val="12"/>
        </w:rPr>
        <w:t xml:space="preserve"> | RE 1.026.923</w:t>
      </w:r>
      <w:r>
        <w:rPr>
          <w:color w:val="003CA0"/>
          <w:sz w:val="12"/>
        </w:rPr>
        <w:t xml:space="preserve"> | rel. Marco Aurélio</w:t>
      </w:r>
    </w:p>
    <w:p>
      <w:pPr>
        <w:ind w:left="288"/>
      </w:pPr>
      <w:r>
        <w:rPr>
          <w:color w:val="1E1E1E"/>
          <w:sz w:val="18"/>
        </w:rPr>
        <w:t>Presente razoável e adequada finalidade de fazer chegar ao maior número de brasileiros diversas informações de interesse público, é constitucional o artigo 38, e, da Lei 4.117/1962, com a redação dada pela Lei 13.644/2018, ao prever a obrigatoriedade de transmissão de programas oficiais dos Poderes Executivo, Legislativo e Judiciário (‘Voz do Brasil’), em faixa horária pré-determinada e de maior audiência.</w:t>
        <w:br/>
        <w:t xml:space="preserve">[RE 1.026.923, red. do ac. min. Alexandre de Moraes, j. 16-11-2020, P, DJE de 24-2-2021, Tema 1.039, com mérito julgado.] Ante conflito entre a liberdade de expressão de agente político, na </w:t>
      </w:r>
    </w:p>
    <w:p>
      <w:pPr>
        <w:ind w:left="144"/>
      </w:pPr>
      <w:r>
        <w:rPr>
          <w:b/>
          <w:color w:val="B45A00"/>
          <w:sz w:val="16"/>
        </w:rPr>
        <w:t>JULGADOS CORRELATOS</w:t>
      </w:r>
    </w:p>
    <w:p>
      <w:pPr>
        <w:ind w:left="288"/>
      </w:pPr>
      <w:r>
        <w:rPr>
          <w:color w:val="8C8C8C"/>
          <w:sz w:val="12"/>
        </w:rPr>
        <w:t>cf-art-220</w:t>
      </w:r>
      <w:r>
        <w:rPr>
          <w:color w:val="003CA0"/>
          <w:sz w:val="12"/>
        </w:rPr>
        <w:t xml:space="preserve"> | RE 638.360</w:t>
      </w:r>
      <w:r>
        <w:rPr>
          <w:color w:val="003CA0"/>
          <w:sz w:val="12"/>
        </w:rPr>
        <w:t xml:space="preserve"> | rel. Dias Toffoli</w:t>
      </w:r>
    </w:p>
    <w:p>
      <w:pPr>
        <w:ind w:left="288"/>
      </w:pPr>
      <w:r>
        <w:rPr>
          <w:color w:val="1E1E1E"/>
          <w:sz w:val="18"/>
        </w:rPr>
        <w:t>A liberdade de informação jornalística não legitima a utilização de informações sigilosas obtidas por meios ilícitos.</w:t>
      </w:r>
    </w:p>
    <w:p>
      <w:pPr>
        <w:ind w:left="288"/>
      </w:pPr>
      <w:r>
        <w:rPr>
          <w:b/>
          <w:color w:val="003CA0"/>
          <w:sz w:val="16"/>
        </w:rPr>
        <w:t>[RE 638.360-segundo AgR, rel. min. Dias Toffoli, j. em 24-4-2020, 2ª T, DJE de 28-5-2020.]</w:t>
      </w:r>
    </w:p>
    <w:p>
      <w:pPr>
        <w:ind w:left="288"/>
      </w:pPr>
      <w:r>
        <w:rPr>
          <w:color w:val="8C8C8C"/>
          <w:sz w:val="12"/>
        </w:rPr>
        <w:t>cf-art-220</w:t>
      </w:r>
      <w:r>
        <w:rPr>
          <w:color w:val="003CA0"/>
          <w:sz w:val="12"/>
        </w:rPr>
        <w:t xml:space="preserve"> | ADPF 130</w:t>
      </w:r>
      <w:r>
        <w:rPr>
          <w:color w:val="003CA0"/>
          <w:sz w:val="12"/>
        </w:rPr>
        <w:t xml:space="preserve"> | rel. Cezar Peluso</w:t>
      </w:r>
    </w:p>
    <w:p>
      <w:pPr>
        <w:ind w:left="288"/>
      </w:pPr>
      <w:r>
        <w:rPr>
          <w:color w:val="1E1E1E"/>
          <w:sz w:val="18"/>
        </w:rPr>
        <w:t>Liberdade de imprensa. Decisão liminar. Proibição de reprodução de dados relativos ao autor de ação inibitória ajuizada contra empresa jornalística. Ato decisório fundado na expressa invocação da inviolabilidade constitucional de direitos da personalidade, notadamente o da privacidade, mediante proteção de sigilo legal de dados cobertos por segredo de justiça. Contraste teórico entre a liberdade de imprensa e os direitos previstos nos arts. 5º, X e XII, e 220, caput, da CF. Ofensa à autoridade do acórdão proferido na ADPF 130, que deu por não recebida a Lei de Imprensa. Não ocorrência. Matéria</w:t>
      </w:r>
    </w:p>
    <w:p>
      <w:pPr>
        <w:ind w:left="288"/>
      </w:pPr>
      <w:r>
        <w:rPr>
          <w:b/>
          <w:color w:val="003CA0"/>
          <w:sz w:val="16"/>
        </w:rPr>
        <w:t>[Rcl 9.428, rel. min. Cezar Peluso, j. 10-12-2009, P, DJE de 25-6-2010.]</w:t>
      </w:r>
    </w:p>
    <w:p>
      <w:pPr>
        <w:ind w:left="288"/>
      </w:pPr>
      <w:r>
        <w:rPr>
          <w:color w:val="8C8C8C"/>
          <w:sz w:val="12"/>
        </w:rPr>
        <w:t>cf-art-220</w:t>
      </w:r>
      <w:r>
        <w:rPr>
          <w:color w:val="003CA0"/>
          <w:sz w:val="12"/>
        </w:rPr>
        <w:t xml:space="preserve"> | RP 930</w:t>
      </w:r>
      <w:r>
        <w:rPr>
          <w:color w:val="003CA0"/>
          <w:sz w:val="12"/>
        </w:rPr>
        <w:t xml:space="preserve"> | rel. Rodrigues Alckmin</w:t>
      </w:r>
    </w:p>
    <w:p>
      <w:pPr>
        <w:ind w:left="288"/>
      </w:pPr>
      <w:r>
        <w:rPr>
          <w:color w:val="1E1E1E"/>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w:t>
      </w:r>
    </w:p>
    <w:p>
      <w:pPr>
        <w:ind w:left="288"/>
      </w:pPr>
      <w:r>
        <w:rPr>
          <w:b/>
          <w:color w:val="003CA0"/>
          <w:sz w:val="16"/>
        </w:rPr>
        <w:t>[RE 511.961, rel. min. Gilmar Mendes, j. 17-6-2009, P, DJE de 13-11-2009.]</w:t>
      </w:r>
    </w:p>
    <w:p>
      <w:pPr>
        <w:ind w:left="288"/>
      </w:pPr>
      <w:r>
        <w:rPr>
          <w:color w:val="8C8C8C"/>
          <w:sz w:val="12"/>
        </w:rPr>
        <w:t>cf-art-220</w:t>
      </w:r>
      <w:r>
        <w:rPr>
          <w:color w:val="003CA0"/>
          <w:sz w:val="12"/>
        </w:rPr>
        <w:t xml:space="preserve"> | RE 208.685</w:t>
      </w:r>
      <w:r>
        <w:rPr>
          <w:color w:val="003CA0"/>
          <w:sz w:val="12"/>
        </w:rPr>
        <w:t xml:space="preserve"> | rel. Ellen Gracie</w:t>
      </w:r>
    </w:p>
    <w:p>
      <w:pPr>
        <w:ind w:left="288"/>
      </w:pPr>
      <w:r>
        <w:rPr>
          <w:color w:val="1E1E1E"/>
          <w:sz w:val="18"/>
        </w:rPr>
        <w:t>Direito à informação (CF, art. 220). Dano moral. A simples reprodução, pela imprensa, de acusação de mau uso de verbas públicas, prática de nepotismo e tráfico de influência, objeto de representação devidamente formulada perante o TST por federação de sindicatos, não constitui abuso de direito. Dano moral indevido.</w:t>
      </w:r>
    </w:p>
    <w:p>
      <w:pPr>
        <w:ind w:left="288"/>
      </w:pPr>
      <w:r>
        <w:rPr>
          <w:b/>
          <w:color w:val="003CA0"/>
          <w:sz w:val="16"/>
        </w:rPr>
        <w:t>[RE 208.685, rel. min. Ellen Gracie, j. 24-6-2003, 2ª T, DJ de 22-8-2003.]</w:t>
      </w:r>
    </w:p>
    <w:p>
      <w:pPr>
        <w:ind w:left="288"/>
      </w:pPr>
      <w:r>
        <w:rPr>
          <w:color w:val="8C8C8C"/>
          <w:sz w:val="12"/>
        </w:rPr>
        <w:t>cf-art-220</w:t>
      </w:r>
      <w:r>
        <w:rPr>
          <w:color w:val="003CA0"/>
          <w:sz w:val="12"/>
        </w:rPr>
        <w:t xml:space="preserve"> | PET 2.702</w:t>
      </w:r>
      <w:r>
        <w:rPr>
          <w:color w:val="003CA0"/>
          <w:sz w:val="12"/>
        </w:rPr>
        <w:t xml:space="preserve"> | rel. Sepúlveda Pertence</w:t>
      </w:r>
    </w:p>
    <w:p>
      <w:pPr>
        <w:ind w:left="288"/>
      </w:pPr>
      <w:r>
        <w:rPr>
          <w:color w:val="1E1E1E"/>
          <w:sz w:val="18"/>
        </w:rPr>
        <w:t>Liminar deferida em primeiro grau e confirmada pelo Tribunal de Justiça, que proíbe empresa jornalística de publicar conversas telefônicas entre o requerente – então governador de Estado e, ainda hoje, pretendente à Presidência da República – e outras pessoas, objeto de interceptação ilícita e gravação por terceiros, a cujo conteúdo teve acesso o jornal. Interposição pela empresa de recurso extraordinário pendente de admissão no Tribunal a quo. Propositura pela recorrente de ação cautelar – que o STF recebe como petição – a pleitear, liminarmente, (1) autorização de publicação imediata da maté</w:t>
      </w:r>
    </w:p>
    <w:p>
      <w:pPr>
        <w:ind w:left="288"/>
      </w:pPr>
      <w:r>
        <w:rPr>
          <w:b/>
          <w:color w:val="003CA0"/>
          <w:sz w:val="16"/>
        </w:rPr>
        <w:t>[Pet 2.702 MC, rel. min. Sepúlveda Pertence, j. 18-9-2002, P, DJ de 19-9-2003.]</w:t>
      </w:r>
    </w:p>
    <w:p>
      <w:pPr>
        <w:ind w:left="144"/>
      </w:pPr>
      <w:r>
        <w:rPr>
          <w:b/>
          <w:color w:val="B45A00"/>
          <w:sz w:val="16"/>
        </w:rPr>
        <w:t>CONTROLE CONCENTRADO</w:t>
      </w:r>
    </w:p>
    <w:p>
      <w:pPr>
        <w:ind w:left="288"/>
      </w:pPr>
      <w:r>
        <w:rPr>
          <w:color w:val="8C8C8C"/>
          <w:sz w:val="12"/>
        </w:rPr>
        <w:t>cf-art-220-par-1</w:t>
      </w:r>
      <w:r>
        <w:rPr>
          <w:color w:val="003CA0"/>
          <w:sz w:val="12"/>
        </w:rPr>
        <w:t xml:space="preserve"> | ADI 4.451</w:t>
      </w:r>
      <w:r>
        <w:rPr>
          <w:color w:val="003CA0"/>
          <w:sz w:val="12"/>
        </w:rPr>
        <w:t xml:space="preserve"> | rel. Alexandre de Moraes</w:t>
      </w:r>
    </w:p>
    <w:p>
      <w:pPr>
        <w:ind w:left="288"/>
      </w:pPr>
      <w:r>
        <w:rPr>
          <w:color w:val="1E1E1E"/>
          <w:sz w:val="18"/>
        </w:rPr>
        <w:t>A Democracia não existirá e a livre participação política não florescerá onde a liberdade de expressão for ceifada, pois esta constitui condição essencial ao pluralismo de ideias, que por sua vez é um valor estruturante para o salutar funcionamento do sistema democrático. A livre discussão, a ampla participação política e o princípio democrático estão interligados com a liberdade de expressão, tendo por objeto não somente a proteção de pensamentos e ideias, mas também opiniões, crenças, realização de juízo de valor e críticas a agentes públicos, no sentido de garantir a real participação dos c</w:t>
      </w:r>
    </w:p>
    <w:p>
      <w:pPr>
        <w:ind w:left="288"/>
      </w:pPr>
      <w:r>
        <w:rPr>
          <w:b/>
          <w:color w:val="003CA0"/>
          <w:sz w:val="16"/>
        </w:rPr>
        <w:t>[ADI 4.451, rel. min. Alexandre de Moraes, j. 21-6-2018, P, DJE de 6-3-2019.]</w:t>
      </w:r>
    </w:p>
    <w:p>
      <w:pPr>
        <w:ind w:left="288"/>
      </w:pPr>
      <w:r>
        <w:rPr>
          <w:color w:val="8C8C8C"/>
          <w:sz w:val="12"/>
        </w:rPr>
        <w:t>cf-art-220-par-1</w:t>
      </w:r>
      <w:r>
        <w:rPr>
          <w:color w:val="003CA0"/>
          <w:sz w:val="12"/>
        </w:rPr>
        <w:t xml:space="preserve"> | ADPF 130</w:t>
      </w:r>
      <w:r>
        <w:rPr>
          <w:color w:val="003CA0"/>
          <w:sz w:val="12"/>
        </w:rPr>
        <w:t xml:space="preserve"> | rel. Ayres Britto</w:t>
      </w:r>
    </w:p>
    <w:p>
      <w:pPr>
        <w:ind w:left="288"/>
      </w:pPr>
      <w:r>
        <w:rPr>
          <w:color w:val="1E1E1E"/>
          <w:sz w:val="18"/>
        </w:rPr>
        <w:t>A uma atividade que já era "livre" (incisos IV e IX do art. 5º), a CF acrescentou o qualificativo de "plena" (§ 1º do art. 220). Liberdade plena que, repelente de qualquer censura prévia, diz respeito à essência mesma do jornalismo (o chamado "núcleo duro" da atividade). Assim entendidas as coordenadas de tempo e de conteúdo da manifestação do pensamento, da informação e da criação lato sensu, sem o que não se tem o desembaraçado trânsito das ideias e opiniões, tanto quanto da informação e da criação. Interdição à lei quanto às matérias nuclearmente de imprensa, retratadas no tempo de início e</w:t>
      </w:r>
    </w:p>
    <w:p>
      <w:pPr>
        <w:ind w:left="288"/>
      </w:pPr>
      <w:r>
        <w:rPr>
          <w:b/>
          <w:color w:val="003CA0"/>
          <w:sz w:val="16"/>
        </w:rPr>
        <w:t>[ADPF 130, rel. min. Ayres Britto, j. 30-4-2009, P, DJE de 6-11-2009.]</w:t>
      </w:r>
    </w:p>
    <w:p>
      <w:pPr>
        <w:ind w:left="288"/>
      </w:pPr>
      <w:r>
        <w:rPr>
          <w:color w:val="8C8C8C"/>
          <w:sz w:val="12"/>
        </w:rPr>
        <w:t>cf-art-220-par-1</w:t>
      </w:r>
      <w:r>
        <w:rPr>
          <w:color w:val="003CA0"/>
          <w:sz w:val="12"/>
        </w:rPr>
        <w:t xml:space="preserve"> | ADI 4.451</w:t>
      </w:r>
      <w:r>
        <w:rPr>
          <w:color w:val="003CA0"/>
          <w:sz w:val="12"/>
        </w:rPr>
        <w:t xml:space="preserve"> | rel. Alexandre de Moraes</w:t>
      </w:r>
    </w:p>
    <w:p>
      <w:pPr>
        <w:ind w:left="288"/>
      </w:pPr>
      <w:r>
        <w:rPr>
          <w:color w:val="1E1E1E"/>
          <w:sz w:val="18"/>
        </w:rPr>
        <w:t>Vide ADI 4.451, rel. min. Alexandre de Moraes, j. 21-6-2018, P, DJE de 6-3-2019 Vide Rcl 22.238, rel. min. Roberto Barroso, j. 6-3-2018, 1ª T, DJE de 10-5-2018 Lei 11.300/2006 (minirreforma eleitoral). (...) Proibição de divulgação de pesquisas eleitorais quinze dias antes do pleito. Inconstitucionalidade. Garantia da liberdade de expressão e do direito à informação livre e plural no Estado Democrático de Direito.</w:t>
      </w:r>
    </w:p>
    <w:p>
      <w:pPr>
        <w:ind w:left="288"/>
      </w:pPr>
      <w:r>
        <w:rPr>
          <w:b/>
          <w:color w:val="003CA0"/>
          <w:sz w:val="16"/>
        </w:rPr>
        <w:t>[ADI 3.741, rel. min. Ricardo Lewandowski, j. 6-9-2006, P, DJ de 23-2-2007.]</w:t>
      </w:r>
    </w:p>
    <w:p>
      <w:pPr>
        <w:ind w:left="144"/>
      </w:pPr>
      <w:r>
        <w:rPr>
          <w:b/>
          <w:color w:val="B45A00"/>
          <w:sz w:val="16"/>
        </w:rPr>
        <w:t>JULGADOS CORRELATOS</w:t>
      </w:r>
    </w:p>
    <w:p>
      <w:pPr>
        <w:ind w:left="288"/>
      </w:pPr>
      <w:r>
        <w:rPr>
          <w:color w:val="8C8C8C"/>
          <w:sz w:val="12"/>
        </w:rPr>
        <w:t>cf-art-220-par-1</w:t>
      </w:r>
      <w:r>
        <w:rPr>
          <w:color w:val="003CA0"/>
          <w:sz w:val="12"/>
        </w:rPr>
        <w:t xml:space="preserve"> | AI 705.630</w:t>
      </w:r>
      <w:r>
        <w:rPr>
          <w:color w:val="003CA0"/>
          <w:sz w:val="12"/>
        </w:rPr>
        <w:t xml:space="preserve"> | rel. Celso de Mello</w:t>
      </w:r>
    </w:p>
    <w:p>
      <w:pPr>
        <w:ind w:left="288"/>
      </w:pPr>
      <w:r>
        <w:rPr>
          <w:color w:val="1E1E1E"/>
          <w:sz w:val="18"/>
        </w:rPr>
        <w:t>A liberdade de imprensa, enquanto projeção das liberdades de comunicação e de manifestação do pensamento, reveste-se de conteúdo abrangente, por compreender, entre outras prerrogativas relevantes que lhe são inerentes, o direito de informar, o direito de buscar a informação, o direito de opinar e o direito de criticar. A crítica jornalística, desse modo, traduz direito impregnado de qualificação constitucional, plenamente oponível aos que exercem qualquer atividade de interesse da coletividade em geral, pois o interesse social, que legitima o direito de criticar, sobrepõe-se a eventuais suscet</w:t>
      </w:r>
    </w:p>
    <w:p>
      <w:pPr>
        <w:ind w:left="288"/>
      </w:pPr>
      <w:r>
        <w:rPr>
          <w:b/>
          <w:color w:val="003CA0"/>
          <w:sz w:val="16"/>
        </w:rPr>
        <w:t>[AI 705.630 AgR, rel. min. Celso de Mello, j. 22-3-2011, 2ª T, DJE de 6-4-2011.]</w:t>
      </w:r>
    </w:p>
    <w:p>
      <w:pPr>
        <w:ind w:left="144"/>
      </w:pPr>
      <w:r>
        <w:rPr>
          <w:b/>
          <w:color w:val="B45A00"/>
          <w:sz w:val="16"/>
        </w:rPr>
        <w:t>CONTROLE CONCENTRADO</w:t>
      </w:r>
    </w:p>
    <w:p>
      <w:pPr>
        <w:ind w:left="288"/>
      </w:pPr>
      <w:r>
        <w:rPr>
          <w:color w:val="8C8C8C"/>
          <w:sz w:val="12"/>
        </w:rPr>
        <w:t>cf-art-220-par-2</w:t>
      </w:r>
      <w:r>
        <w:rPr>
          <w:color w:val="003CA0"/>
          <w:sz w:val="12"/>
        </w:rPr>
        <w:t xml:space="preserve"> | ADI 5.136</w:t>
      </w:r>
      <w:r>
        <w:rPr>
          <w:color w:val="003CA0"/>
          <w:sz w:val="12"/>
        </w:rPr>
        <w:t xml:space="preserve"> | rel. Gilmar Mendes</w:t>
      </w:r>
    </w:p>
    <w:p>
      <w:pPr>
        <w:ind w:left="288"/>
      </w:pPr>
      <w:r>
        <w:rPr>
          <w:color w:val="1E1E1E"/>
          <w:sz w:val="18"/>
        </w:rPr>
        <w:t>Ação direta de inconstitucionalidade. Parágrafo 1º do art. 28 da Lei 12.663/2012 ("Lei Geral da Copa"). Violação da liberdade de expressão. Inexistência. Aplicação do princípio da proporcionalidade. Juízo de ponderação do legislador para limitar manifestações que tenderiam a gerar maiores conflitos e atentar contra a segurança dos participantes de evento de grande porte.</w:t>
      </w:r>
    </w:p>
    <w:p>
      <w:pPr>
        <w:ind w:left="288"/>
      </w:pPr>
      <w:r>
        <w:rPr>
          <w:b/>
          <w:color w:val="003CA0"/>
          <w:sz w:val="16"/>
        </w:rPr>
        <w:t>[ADI 5.136 MC, rel. min. Gilmar Mendes, j. 1º-7-2014, P, DJE de 30-10-2014.]</w:t>
      </w:r>
    </w:p>
    <w:p>
      <w:pPr>
        <w:ind w:left="288"/>
      </w:pPr>
      <w:r>
        <w:rPr>
          <w:color w:val="8C8C8C"/>
          <w:sz w:val="12"/>
        </w:rPr>
        <w:t>cf-art-220-par-2</w:t>
      </w:r>
      <w:r>
        <w:rPr>
          <w:color w:val="003CA0"/>
          <w:sz w:val="12"/>
        </w:rPr>
        <w:t xml:space="preserve"> | HC 85.629</w:t>
      </w:r>
      <w:r>
        <w:rPr>
          <w:color w:val="003CA0"/>
          <w:sz w:val="12"/>
        </w:rPr>
        <w:t xml:space="preserve"> | rel. Ellen Gracie)</w:t>
      </w:r>
    </w:p>
    <w:p>
      <w:pPr>
        <w:ind w:left="288"/>
      </w:pPr>
      <w:r>
        <w:rPr>
          <w:color w:val="1E1E1E"/>
          <w:sz w:val="18"/>
        </w:rPr>
        <w:t>Cabe observar, bem por isso, que a responsabilização a posteriori, em regular processo judicial, daquele que comete abuso no exercício da liberdade de informação não traduz ofensa ao que dispõem os §§ 1º e 2º do art. 220 da CF, pois é o próprio estatuto constitucional que estabelece, em favor da pessoa injustamente lesada, a possibilidade de receber indenização "por dano material, moral ou à imagem" (CF, art. 5º, V e X). Se é certo que o direito de informar, considerado o que prescreve o art. 220 da Carta Política, tem fundamento constitucional (HC 85.629/RS, rel. min. Ellen Gracie), não é men</w:t>
      </w:r>
    </w:p>
    <w:p>
      <w:pPr>
        <w:ind w:left="288"/>
      </w:pPr>
      <w:r>
        <w:rPr>
          <w:b/>
          <w:color w:val="003CA0"/>
          <w:sz w:val="16"/>
        </w:rPr>
        <w:t>[ADPF 130, rel. min. Ayres Britto, voto do min. Celso de Mello, j. 30-4-2009, P, DJE de 6-11-2009.]</w:t>
      </w:r>
    </w:p>
    <w:p>
      <w:pPr>
        <w:ind w:left="288"/>
      </w:pPr>
      <w:r>
        <w:rPr>
          <w:color w:val="8C8C8C"/>
          <w:sz w:val="12"/>
        </w:rPr>
        <w:t>cf-art-220-par-2</w:t>
      </w:r>
      <w:r>
        <w:rPr>
          <w:color w:val="003CA0"/>
          <w:sz w:val="12"/>
        </w:rPr>
        <w:t xml:space="preserve"> | AC 2.695</w:t>
      </w:r>
      <w:r>
        <w:rPr>
          <w:color w:val="003CA0"/>
          <w:sz w:val="12"/>
        </w:rPr>
        <w:t xml:space="preserve"> | rel. Celso de Mello</w:t>
      </w:r>
    </w:p>
    <w:p>
      <w:pPr>
        <w:ind w:left="288"/>
      </w:pPr>
      <w:r>
        <w:rPr>
          <w:color w:val="1E1E1E"/>
          <w:sz w:val="18"/>
        </w:rPr>
        <w:t>= AC 2.695 MC, rel. min. Celso de Mello, j. 25-11-2010, dec. monocrática, DJE de 1º-12-2010 Vide Rcl 9.428, rel. min. Cezar Peluso, j. 10-12-2009, P, DJE de 25-6-2010</w:t>
      </w:r>
    </w:p>
    <w:p>
      <w:pPr>
        <w:ind w:left="288"/>
      </w:pPr>
      <w:r>
        <w:rPr>
          <w:color w:val="8C8C8C"/>
          <w:sz w:val="12"/>
        </w:rPr>
        <w:t>cf-art-220-par-3</w:t>
      </w:r>
    </w:p>
    <w:p>
      <w:pPr>
        <w:ind w:left="288"/>
      </w:pPr>
      <w:r>
        <w:rPr>
          <w:color w:val="1E1E1E"/>
          <w:sz w:val="18"/>
        </w:rPr>
        <w:t>I - regular as diversões e espetáculos públicos, cabendo ao Poder Público informar sobre a natureza deles, as faixas etárias a que não se recomendem, locais e horários em que sua apresentação se mostre inadequada;</w:t>
      </w:r>
    </w:p>
    <w:p>
      <w:pPr>
        <w:ind w:left="144"/>
      </w:pPr>
      <w:r>
        <w:rPr>
          <w:b/>
          <w:color w:val="B45A00"/>
          <w:sz w:val="16"/>
        </w:rPr>
        <w:t>JULGADOS CORRELATOS</w:t>
      </w:r>
    </w:p>
    <w:p>
      <w:pPr>
        <w:ind w:left="288"/>
      </w:pPr>
      <w:r>
        <w:rPr>
          <w:color w:val="8C8C8C"/>
          <w:sz w:val="12"/>
        </w:rPr>
        <w:t>cf-art-220-par-3</w:t>
      </w:r>
      <w:r>
        <w:rPr>
          <w:color w:val="003CA0"/>
          <w:sz w:val="12"/>
        </w:rPr>
        <w:t xml:space="preserve"> | RE 169.247</w:t>
      </w:r>
      <w:r>
        <w:rPr>
          <w:color w:val="003CA0"/>
          <w:sz w:val="12"/>
        </w:rPr>
        <w:t xml:space="preserve"> | rel. Néri da Silveira</w:t>
      </w:r>
    </w:p>
    <w:p>
      <w:pPr>
        <w:ind w:left="288"/>
      </w:pPr>
      <w:r>
        <w:rPr>
          <w:color w:val="1E1E1E"/>
          <w:sz w:val="18"/>
        </w:rPr>
        <w:t>Não se compreende, no rol de competências comuns da União, dos Estados, do Distrito Federal e dos Municípios, ut art. 23 da CF, a matéria concernente à disciplina de "diversões e espetáculos públicos", que, a teor do art. 220, § 3º, I, do Diploma Maior, compete à lei federal regular, estipulando-se, na mesma norma, que "caberá ao poder público informar sobre a natureza deles, as faixas etárias a que não se recomendem, locais e horários em que sua apresentação se mostre inadequada". (...) Ao Município fica reservada a competência, ut art. 30, I, da Lei Maior, para exercer poder de polícia quant</w:t>
      </w:r>
    </w:p>
    <w:p>
      <w:pPr>
        <w:ind w:left="288"/>
      </w:pPr>
      <w:r>
        <w:rPr>
          <w:b/>
          <w:color w:val="003CA0"/>
          <w:sz w:val="16"/>
        </w:rPr>
        <w:t>[RE 169.247, rel. min. Néri da Silveira, j. 8-4-2002, 2ª T, DJ de 1º-8-2003.]</w:t>
      </w:r>
    </w:p>
    <w:p>
      <w:pPr>
        <w:ind w:left="288"/>
      </w:pPr>
      <w:r>
        <w:rPr>
          <w:color w:val="8C8C8C"/>
          <w:sz w:val="12"/>
        </w:rPr>
        <w:t>cf-art-220-par-3</w:t>
      </w:r>
    </w:p>
    <w:p>
      <w:pPr>
        <w:ind w:left="288"/>
      </w:pPr>
      <w:r>
        <w:rPr>
          <w:color w:val="1E1E1E"/>
          <w:sz w:val="18"/>
        </w:rPr>
        <w:t>II - estabelecer os meios legais que garantam à pessoa e à família a possibilidade de se defenderem de programas ou programações de rádio e televisão que contrariem o disposto no art. 221, bem como da propaganda de produtos, práticas e serviços que possam ser nocivos à saúde e ao meio ambiente.</w:t>
      </w:r>
    </w:p>
    <w:p>
      <w:pPr>
        <w:ind w:left="144"/>
      </w:pPr>
      <w:r>
        <w:rPr>
          <w:b/>
          <w:color w:val="B45A00"/>
          <w:sz w:val="16"/>
        </w:rPr>
        <w:t>CONTROLE CONCENTRADO</w:t>
      </w:r>
    </w:p>
    <w:p>
      <w:pPr>
        <w:ind w:left="288"/>
      </w:pPr>
      <w:r>
        <w:rPr>
          <w:color w:val="8C8C8C"/>
          <w:sz w:val="12"/>
        </w:rPr>
        <w:t>cf-art-220-par-3</w:t>
      </w:r>
      <w:r>
        <w:rPr>
          <w:color w:val="003CA0"/>
          <w:sz w:val="12"/>
        </w:rPr>
        <w:t xml:space="preserve"> | ADI 2.404</w:t>
      </w:r>
      <w:r>
        <w:rPr>
          <w:color w:val="003CA0"/>
          <w:sz w:val="12"/>
        </w:rPr>
        <w:t xml:space="preserve"> | rel. Dias Toffoli</w:t>
      </w:r>
    </w:p>
    <w:p>
      <w:pPr>
        <w:ind w:left="288"/>
      </w:pPr>
      <w:r>
        <w:rPr>
          <w:color w:val="1E1E1E"/>
          <w:sz w:val="18"/>
        </w:rPr>
        <w:t>A própria Constituição da República delineou as regras de sopesamento entre os valores da liberdade de expressão dos meios de comunicação e da proteção da criança e do adolescente. Apesar da garantia constitucional da liberdade de expressão, livre de censura ou licença, a própria Carta de 1988 conferiu à União, com exclusividade, no art. 21, XVI, o desempenho da atividade material de "exercer a classificação, para efeito indicativo, de diversões públicas e de programas de rádio e televisão". A CF estabeleceu mecanismo apto a oferecer aos telespectadores das diversões públicas e de programas de</w:t>
      </w:r>
    </w:p>
    <w:p>
      <w:pPr>
        <w:ind w:left="288"/>
      </w:pPr>
      <w:r>
        <w:rPr>
          <w:color w:val="8C8C8C"/>
          <w:sz w:val="12"/>
        </w:rPr>
        <w:t>cf-art-220-par-4</w:t>
      </w:r>
      <w:r>
        <w:rPr>
          <w:color w:val="003CA0"/>
          <w:sz w:val="12"/>
        </w:rPr>
        <w:t xml:space="preserve"> | ADI 3.311</w:t>
      </w:r>
      <w:r>
        <w:rPr>
          <w:color w:val="003CA0"/>
          <w:sz w:val="12"/>
        </w:rPr>
        <w:t xml:space="preserve"> | rel. Rosa Weber</w:t>
      </w:r>
    </w:p>
    <w:p>
      <w:pPr>
        <w:ind w:left="288"/>
      </w:pPr>
      <w:r>
        <w:rPr>
          <w:color w:val="1E1E1E"/>
          <w:sz w:val="18"/>
        </w:rPr>
        <w:t>O art. 220, § 4º, CF, no sentido de que a propaganda do “tabaco, bebidas alcoólicas, agrotóxicos, medicamentos e terapias” pode sofrer “restrições legais” explicita a possibilidade e a importância das limitações publicitárias dos produtos notadamente nocivos. A propaganda comercial pode sofrer restrição legal de variada intensidade e, de modo proporcional, ser afastada para a tutela de outros direitos fundamentais. A expressão “restrição”, no art. 220, § 4º, CF, não traduz limitação apriorística à ponderação de valores resultante da aplicação do princípio da proporcionalidade no caso concreto.</w:t>
      </w:r>
    </w:p>
    <w:p>
      <w:pPr>
        <w:ind w:left="288"/>
      </w:pPr>
      <w:r>
        <w:rPr>
          <w:b/>
          <w:color w:val="003CA0"/>
          <w:sz w:val="16"/>
        </w:rPr>
        <w:t>[ADI 3.311, rel. min. Rosa Weber, j. 14-9-2022, P, DJE de 29-9-2022.]</w:t>
      </w:r>
    </w:p>
    <w:p>
      <w:pPr>
        <w:ind w:left="288"/>
      </w:pPr>
      <w:r>
        <w:rPr>
          <w:color w:val="8C8C8C"/>
          <w:sz w:val="12"/>
        </w:rPr>
        <w:t>cf-art-220-par-4</w:t>
      </w:r>
      <w:r>
        <w:rPr>
          <w:color w:val="003CA0"/>
          <w:sz w:val="12"/>
        </w:rPr>
        <w:t xml:space="preserve"> | ADI 5.424</w:t>
      </w:r>
      <w:r>
        <w:rPr>
          <w:color w:val="003CA0"/>
          <w:sz w:val="12"/>
        </w:rPr>
        <w:t xml:space="preserve"> | rel. Dias Toffoli</w:t>
      </w:r>
    </w:p>
    <w:p>
      <w:pPr>
        <w:ind w:left="288"/>
      </w:pPr>
      <w:r>
        <w:rPr>
          <w:color w:val="1E1E1E"/>
          <w:sz w:val="18"/>
        </w:rPr>
        <w:t>Lei 16.751/2015 do Estado de Santa Catarina, ao vedar a propaganda de medicamentos e similares nos meios de comunicação sonoros, audiovisuais e escritos daquele Estado, usurpou a competência privativa da União para legislar sobre propaganda comercial (art. 22, inciso XXIX, da Constituição), especificamente em tema de medicamentos (art. 220, § 4º, da CF/88), além de ter contrariado o regramento federal sobre a matéria, que permite que medicamentos anódinos e de venda livre sejam anunciados nos órgãos de comunicação social, 1com a condição de conterem advertências quanto ao seu abuso, conforme i</w:t>
      </w:r>
    </w:p>
    <w:p>
      <w:pPr>
        <w:ind w:left="288"/>
      </w:pPr>
      <w:r>
        <w:rPr>
          <w:b/>
          <w:color w:val="003CA0"/>
          <w:sz w:val="16"/>
        </w:rPr>
        <w:t>[ADI 5.424, rel. min. Dias Toffoli, j. 19-9-2018, P, DJE de 3-12-2018.]</w:t>
      </w:r>
    </w:p>
    <w:p>
      <w:pPr>
        <w:ind w:left="288"/>
      </w:pPr>
      <w:r>
        <w:rPr>
          <w:color w:val="8C8C8C"/>
          <w:sz w:val="12"/>
        </w:rPr>
        <w:t>cf-art-220-par-4</w:t>
      </w:r>
      <w:r>
        <w:rPr>
          <w:color w:val="003CA0"/>
          <w:sz w:val="12"/>
        </w:rPr>
        <w:t xml:space="preserve"> | ADI 1.755</w:t>
      </w:r>
      <w:r>
        <w:rPr>
          <w:color w:val="003CA0"/>
          <w:sz w:val="12"/>
        </w:rPr>
        <w:t xml:space="preserve"> | rel. Nelson Jobim</w:t>
      </w:r>
    </w:p>
    <w:p>
      <w:pPr>
        <w:ind w:left="288"/>
      </w:pPr>
      <w:r>
        <w:rPr>
          <w:color w:val="1E1E1E"/>
          <w:sz w:val="18"/>
        </w:rPr>
        <w:t>Constitucional. Lei federal. Restrições ao uso e à propaganda de produtos fumígeros, bebidas alcoólicas, etc. Impugnação do dispositivo que define o que é bebida alcoólica para os fins de propaganda. Alegada discriminação legal quanto às bebidas com teor alcoólico inferior a treze graus Gay Lussac. A subtração da norma do corpo da lei implica em atuar este Tribunal como legislador positivo, o que lhe é vedado. Matéria para ser dirimida no âmbito do Congresso Nacional.</w:t>
      </w:r>
    </w:p>
    <w:p>
      <w:pPr>
        <w:ind w:left="288"/>
      </w:pPr>
      <w:r>
        <w:rPr>
          <w:b/>
          <w:color w:val="003CA0"/>
          <w:sz w:val="16"/>
        </w:rPr>
        <w:t>[ADI 1.755, rel. min. Nelson Jobim, j. 15-10-1998, P, DJ de 18-5-2001.]</w:t>
      </w:r>
    </w:p>
    <w:p>
      <w:pPr>
        <w:ind w:left="288"/>
      </w:pPr>
      <w:r>
        <w:rPr>
          <w:color w:val="8C8C8C"/>
          <w:sz w:val="12"/>
        </w:rPr>
        <w:t>cf-art-220-par-4</w:t>
      </w:r>
      <w:r>
        <w:rPr>
          <w:color w:val="003CA0"/>
          <w:sz w:val="12"/>
        </w:rPr>
        <w:t xml:space="preserve"> | ADO 22</w:t>
      </w:r>
      <w:r>
        <w:rPr>
          <w:color w:val="003CA0"/>
          <w:sz w:val="12"/>
        </w:rPr>
        <w:t xml:space="preserve"> | rel. Cármen Lúcia</w:t>
      </w:r>
    </w:p>
    <w:p>
      <w:pPr>
        <w:ind w:left="288"/>
      </w:pPr>
      <w:r>
        <w:rPr>
          <w:color w:val="1E1E1E"/>
          <w:sz w:val="18"/>
        </w:rPr>
        <w:t>= ADO 22, rel. min. Cármen Lúcia, j. 22-4-2015, P, DJE de 3-8-2015</w:t>
      </w:r>
    </w:p>
    <w:p>
      <w:pPr>
        <w:ind w:left="288"/>
      </w:pPr>
      <w:r>
        <w:rPr>
          <w:color w:val="8C8C8C"/>
          <w:sz w:val="12"/>
        </w:rPr>
        <w:t>cf-art-220-par-5</w:t>
      </w:r>
      <w:r>
        <w:rPr>
          <w:color w:val="003CA0"/>
          <w:sz w:val="12"/>
        </w:rPr>
        <w:t xml:space="preserve"> | ADPF 130</w:t>
      </w:r>
      <w:r>
        <w:rPr>
          <w:color w:val="003CA0"/>
          <w:sz w:val="12"/>
        </w:rPr>
        <w:t xml:space="preserve"> | rel. Ayres Britto</w:t>
      </w:r>
    </w:p>
    <w:p>
      <w:pPr>
        <w:ind w:left="288"/>
      </w:pPr>
      <w:r>
        <w:rPr>
          <w:color w:val="1E1E1E"/>
          <w:sz w:val="18"/>
        </w:rPr>
        <w:t>A plena liberdade de imprensa é um patrimônio imaterial que corresponde ao mais eloquente atestado de evolução político-cultural de todo um povo. Pelo seu reconhecido condão de vitalizar por muitos modos a Constituição, tirando-a mais vezes do papel, a imprensa passa a manter com a democracia a mais entranhada relação de mútua dependência ou retroalimentação. Assim visualizada como verdadeira irmã siamesa da democracia, a imprensa passa a desfrutar de uma liberdade de atuação ainda maior que a liberdade de pensamento, de informação e de expressão dos indivíduos em si mesmos considerados. O § 5</w:t>
      </w:r>
    </w:p>
    <w:p>
      <w:pPr>
        <w:ind w:left="288"/>
      </w:pPr>
      <w:r>
        <w:rPr>
          <w:b/>
          <w:color w:val="003CA0"/>
          <w:sz w:val="16"/>
        </w:rPr>
        <w:t>[ADPF 130, rel. min. Ayres Britto, j. 30-4-2009, P, DJE de 6-11-2009.]</w:t>
      </w:r>
    </w:p>
    <w:p>
      <w:pPr>
        <w:ind w:left="432"/>
      </w:pPr>
      <w:r>
        <w:rPr>
          <w:color w:val="003366"/>
          <w:sz w:val="18"/>
        </w:rPr>
        <w:t>§ 1 Nenhuma lei conterá dispositivo que possa constituir embaraço à plena liberd</w:t>
      </w:r>
    </w:p>
    <w:p>
      <w:pPr>
        <w:ind w:left="432"/>
      </w:pPr>
      <w:r>
        <w:rPr>
          <w:color w:val="003366"/>
          <w:sz w:val="18"/>
        </w:rPr>
        <w:t>§ 2 É vedada toda e qualquer censura de natureza política, ideológica e artístic</w:t>
      </w:r>
    </w:p>
    <w:p>
      <w:pPr>
        <w:ind w:left="432"/>
      </w:pPr>
      <w:r>
        <w:rPr>
          <w:color w:val="003366"/>
          <w:sz w:val="18"/>
        </w:rPr>
        <w:t>§ 3 Compete à lei federal:</w:t>
      </w:r>
    </w:p>
    <w:p>
      <w:pPr>
        <w:ind w:left="720"/>
      </w:pPr>
      <w:r>
        <w:rPr>
          <w:color w:val="003366"/>
          <w:sz w:val="18"/>
        </w:rPr>
        <w:t>I – regular as diversões e espetáculos públicos, cabendo ao Poder Público inform</w:t>
      </w:r>
    </w:p>
    <w:p>
      <w:pPr>
        <w:ind w:left="720"/>
      </w:pPr>
      <w:r>
        <w:rPr>
          <w:color w:val="003366"/>
          <w:sz w:val="18"/>
        </w:rPr>
        <w:t>II – estabelecer os meios legais que garantam à pessoa e à família a possibilida</w:t>
      </w:r>
    </w:p>
    <w:p>
      <w:pPr>
        <w:ind w:left="432"/>
      </w:pPr>
      <w:r>
        <w:rPr>
          <w:color w:val="003366"/>
          <w:sz w:val="18"/>
        </w:rPr>
        <w:t>§ 4 A propaganda comercial de tabaco, bebidas alcoólicas, agrotóxicos, medicamen</w:t>
      </w:r>
    </w:p>
    <w:p>
      <w:pPr>
        <w:ind w:left="432"/>
      </w:pPr>
      <w:r>
        <w:rPr>
          <w:color w:val="003366"/>
          <w:sz w:val="18"/>
        </w:rPr>
        <w:t>§ 5 Os meios de comunicação social não podem, direta ou indiretamente, ser objet</w:t>
      </w:r>
    </w:p>
    <w:p>
      <w:pPr>
        <w:ind w:left="432"/>
      </w:pPr>
      <w:r>
        <w:rPr>
          <w:color w:val="003366"/>
          <w:sz w:val="18"/>
        </w:rPr>
        <w:t>§ 6 A publicação de veículo impresso de comunicação independe de licença de auto</w:t>
      </w:r>
    </w:p>
    <w:p>
      <w:r>
        <w:rPr>
          <w:b/>
          <w:color w:val="003366"/>
          <w:sz w:val="20"/>
        </w:rPr>
        <w:t>Art. 221 A produção e a programação das emissoras de rádio e televisão atenderão</w:t>
      </w:r>
      <w:r>
        <w:rPr>
          <w:color w:val="8C8C8C"/>
          <w:sz w:val="14"/>
        </w:rPr>
        <w:t xml:space="preserve">  [4 decisoes]</w:t>
      </w:r>
    </w:p>
    <w:p>
      <w:pPr>
        <w:ind w:left="144"/>
      </w:pPr>
      <w:r>
        <w:rPr>
          <w:b/>
          <w:color w:val="B45A00"/>
          <w:sz w:val="16"/>
        </w:rPr>
        <w:t>JULGADOS CORRELATOS</w:t>
      </w:r>
    </w:p>
    <w:p>
      <w:pPr>
        <w:ind w:left="288"/>
      </w:pPr>
      <w:r>
        <w:rPr>
          <w:color w:val="8C8C8C"/>
          <w:sz w:val="12"/>
        </w:rPr>
        <w:t>cf-art-221</w:t>
      </w:r>
      <w:r>
        <w:rPr>
          <w:color w:val="003CA0"/>
          <w:sz w:val="12"/>
        </w:rPr>
        <w:t xml:space="preserve"> | RE 113.505</w:t>
      </w:r>
      <w:r>
        <w:rPr>
          <w:color w:val="003CA0"/>
          <w:sz w:val="12"/>
        </w:rPr>
        <w:t xml:space="preserve"> | rel. Moreira Alves</w:t>
      </w:r>
    </w:p>
    <w:p>
      <w:pPr>
        <w:ind w:left="288"/>
      </w:pPr>
      <w:r>
        <w:rPr>
          <w:color w:val="1E1E1E"/>
          <w:sz w:val="18"/>
        </w:rPr>
        <w:t>Fixação, em videocassete e, depois, em videotape, por uma empresa de televisão, de programas de outra, para posterior utilização de pequenos trechos dessa fixação a título de ilustração em programa de crítica para premiação. (...) Tendo em vista a natureza do direito de autor, a interpretação extensiva da exceção em que se traduz o direito de citação é admitida pela doutrina. Essa admissão tanto mais se justifica quanto é certo que o inciso III do art. 49 da Lei 5.988/1973 é reprodução quase literal do inciso V do art. 666 do CC/1916, redigido este numa época em que não havia organismos de rad</w:t>
      </w:r>
    </w:p>
    <w:p>
      <w:pPr>
        <w:ind w:left="288"/>
      </w:pPr>
      <w:r>
        <w:rPr>
          <w:b/>
          <w:color w:val="003CA0"/>
          <w:sz w:val="16"/>
        </w:rPr>
        <w:t>[RE 113.505, rel. min. Moreira Alves, j. 28-2-1989, 1ª T, DJ de 12-5-1989.]</w:t>
      </w:r>
    </w:p>
    <w:p>
      <w:pPr>
        <w:ind w:left="144"/>
      </w:pPr>
      <w:r>
        <w:rPr>
          <w:b/>
          <w:color w:val="B45A00"/>
          <w:sz w:val="16"/>
        </w:rPr>
        <w:t>CONTROLE CONCENTRADO</w:t>
      </w:r>
    </w:p>
    <w:p>
      <w:pPr>
        <w:ind w:left="288"/>
      </w:pPr>
      <w:r>
        <w:rPr>
          <w:color w:val="8C8C8C"/>
          <w:sz w:val="12"/>
        </w:rPr>
        <w:t>cf-art-221-inc-II</w:t>
      </w:r>
      <w:r>
        <w:rPr>
          <w:color w:val="003CA0"/>
          <w:sz w:val="12"/>
        </w:rPr>
        <w:t xml:space="preserve"> | ADI 6.921</w:t>
      </w:r>
      <w:r>
        <w:rPr>
          <w:color w:val="003CA0"/>
          <w:sz w:val="12"/>
        </w:rPr>
        <w:t xml:space="preserve"> | rel. Alexandre de Moraes</w:t>
      </w:r>
    </w:p>
    <w:p>
      <w:pPr>
        <w:ind w:left="288"/>
      </w:pPr>
      <w:r>
        <w:rPr>
          <w:color w:val="1E1E1E"/>
          <w:sz w:val="18"/>
        </w:rPr>
        <w:t>Medida Provisória 1018/2020. Conversão na Lei 14.173/2021. Emenda parlamentar. Inclusão do art. 32, §15, da Lei 12.485/2011. Carregamento de canais de programação de distribuição obrigatória por distribuidoras de tv por assinatura (must-carry). (...) O princípio da livre iniciativa, garantido no art. 170 da Constituição, não proíbe o Estado de atuar subsidiariamente sobre a dinâmica econômica para garantir o alcance de objetivos indispensáveis para a manutenção da coesão social, entre eles a proteção do consumidor e a redução das desigualdades regionais e sociais (art. 170, V e VII, da CF), be</w:t>
      </w:r>
    </w:p>
    <w:p>
      <w:pPr>
        <w:ind w:left="288"/>
      </w:pPr>
      <w:r>
        <w:rPr>
          <w:color w:val="8C8C8C"/>
          <w:sz w:val="12"/>
        </w:rPr>
        <w:t>cf-art-221-inc-III</w:t>
      </w:r>
      <w:r>
        <w:rPr>
          <w:color w:val="003CA0"/>
          <w:sz w:val="12"/>
        </w:rPr>
        <w:t xml:space="preserve"> | ADI 6.921</w:t>
      </w:r>
      <w:r>
        <w:rPr>
          <w:color w:val="003CA0"/>
          <w:sz w:val="12"/>
        </w:rPr>
        <w:t xml:space="preserve"> | rel. Alexandre de Moraes</w:t>
      </w:r>
    </w:p>
    <w:p>
      <w:pPr>
        <w:ind w:left="288"/>
      </w:pPr>
      <w:r>
        <w:rPr>
          <w:color w:val="1E1E1E"/>
          <w:sz w:val="18"/>
        </w:rPr>
        <w:t>Medida Provisória 1018/2020. Conversão na Lei 14.173/2021. Emenda parlamentar. Inclusão do art. 32, §15, da Lei 12.485/2011. Carregamento de canais de programação de distribuição obrigatória por distribuidoras de tv por assinatura (must-carry). (...) O princípio da livre iniciativa, garantido no art. 170 da Constituição, não proíbe o Estado de atuar subsidiariamente sobre a dinâmica econômica para garantir o alcance de objetivos indispensáveis para a manutenção da coesão social, entre eles a proteção do consumidor e a redução das desigualdades regionais e sociais (art. 170, V e VII, da CF), be</w:t>
      </w:r>
    </w:p>
    <w:p>
      <w:pPr>
        <w:ind w:left="144"/>
      </w:pPr>
      <w:r>
        <w:rPr>
          <w:b/>
          <w:color w:val="B45A00"/>
          <w:sz w:val="16"/>
        </w:rPr>
        <w:t>REPERCUSSAO GERAL</w:t>
      </w:r>
    </w:p>
    <w:p>
      <w:pPr>
        <w:ind w:left="288"/>
      </w:pPr>
      <w:r>
        <w:rPr>
          <w:color w:val="8C8C8C"/>
          <w:sz w:val="12"/>
        </w:rPr>
        <w:t>cf-art-221-inc-III</w:t>
      </w:r>
      <w:r>
        <w:rPr>
          <w:color w:val="003CA0"/>
          <w:sz w:val="12"/>
        </w:rPr>
        <w:t xml:space="preserve"> | RE 1.070.522</w:t>
      </w:r>
      <w:r>
        <w:rPr>
          <w:color w:val="003CA0"/>
          <w:sz w:val="12"/>
        </w:rPr>
        <w:t xml:space="preserve"> | rel. Luiz Fux</w:t>
      </w:r>
    </w:p>
    <w:p>
      <w:pPr>
        <w:ind w:left="288"/>
      </w:pPr>
      <w:r>
        <w:rPr>
          <w:color w:val="1E1E1E"/>
          <w:sz w:val="18"/>
        </w:rPr>
        <w:t>Verifica-se que o conceito de programação especial de produção local é compatível com o art. 221 da CF/88, que preceitua os princípios norteadores da produção e da programação das emissoras de rádio. A Constituição eleva à condição de princípios a ‘promoção da cultura nacional e regional e estímulo à produção independente que objetive sua divulgação’ (art. 221, inc. II) e a ‘regionalização da produção cultural, artística e jornalística, conforme percentuais estabelecidos em lei’ (art. 221, III). A divulgação do modo de vida, dos costumes e dos acontecimentos locais fortalece o senso de pertenc</w:t>
      </w:r>
    </w:p>
    <w:p>
      <w:pPr>
        <w:ind w:left="288"/>
      </w:pPr>
      <w:r>
        <w:rPr>
          <w:b/>
          <w:color w:val="003CA0"/>
          <w:sz w:val="16"/>
        </w:rPr>
        <w:t>[RE 1.070.522, rel. min. Luiz Fux, j. 18-3-2021, P, DJE de 26-5-2021, Tema 1.013, com mérito julgado.]</w:t>
      </w:r>
    </w:p>
    <w:p>
      <w:pPr>
        <w:ind w:left="720"/>
      </w:pPr>
      <w:r>
        <w:rPr>
          <w:color w:val="003366"/>
          <w:sz w:val="18"/>
        </w:rPr>
        <w:t>I – preferência a finalidades educativas, artísticas, culturais e informativas;</w:t>
      </w:r>
    </w:p>
    <w:p>
      <w:pPr>
        <w:ind w:left="720"/>
      </w:pPr>
      <w:r>
        <w:rPr>
          <w:color w:val="003366"/>
          <w:sz w:val="18"/>
        </w:rPr>
        <w:t xml:space="preserve">II – promoção da cultura nacional e regional e estímulo à produção independente </w:t>
      </w:r>
    </w:p>
    <w:p>
      <w:pPr>
        <w:ind w:left="720"/>
      </w:pPr>
      <w:r>
        <w:rPr>
          <w:color w:val="003366"/>
          <w:sz w:val="18"/>
        </w:rPr>
        <w:t>III – regionalização da produção cultural, artística e jornalística, conforme pe</w:t>
      </w:r>
    </w:p>
    <w:p>
      <w:pPr>
        <w:ind w:left="720"/>
      </w:pPr>
      <w:r>
        <w:rPr>
          <w:color w:val="003366"/>
          <w:sz w:val="18"/>
        </w:rPr>
        <w:t>IV – respeito aos valores éticos e sociais da pessoa e da família.</w:t>
      </w:r>
    </w:p>
    <w:p>
      <w:r>
        <w:rPr>
          <w:b/>
          <w:color w:val="003366"/>
          <w:sz w:val="20"/>
        </w:rPr>
        <w:t>Art. 222 A propriedade de empresa jornalística e de radiodifusão sonora e de son</w:t>
      </w:r>
      <w:r>
        <w:rPr>
          <w:color w:val="8C8C8C"/>
          <w:sz w:val="14"/>
        </w:rPr>
        <w:t xml:space="preserve">  [2 decisoes]</w:t>
      </w:r>
    </w:p>
    <w:p>
      <w:pPr>
        <w:ind w:left="288"/>
      </w:pPr>
      <w:r>
        <w:rPr>
          <w:color w:val="8C8C8C"/>
          <w:sz w:val="12"/>
        </w:rPr>
        <w:t>cf-art-222</w:t>
      </w:r>
    </w:p>
    <w:p>
      <w:pPr>
        <w:ind w:left="288"/>
      </w:pPr>
      <w:r>
        <w:rPr>
          <w:color w:val="1E1E1E"/>
          <w:sz w:val="18"/>
        </w:rPr>
        <w:t>§ 1º Em qualquer caso, pelo menos setenta por cento do capital total e do capital votante das empresas jornalísticas e de radiodifusão sonora e de sons e imagens deverá pertencer, direta ou indiretamente, a brasileiros natos ou naturalizados há mais de dez anos, que exercerão obrigatoriamente a gestão das atividades e estabelecerão o conteúdo da programação. (Redação da EC 36/2002)</w:t>
      </w:r>
    </w:p>
    <w:p>
      <w:pPr>
        <w:ind w:left="288"/>
      </w:pPr>
      <w:r>
        <w:rPr>
          <w:color w:val="8C8C8C"/>
          <w:sz w:val="12"/>
        </w:rPr>
        <w:t>cf-art-222-par-2</w:t>
      </w:r>
    </w:p>
    <w:p>
      <w:pPr>
        <w:ind w:left="288"/>
      </w:pPr>
      <w:r>
        <w:rPr>
          <w:color w:val="1E1E1E"/>
          <w:sz w:val="18"/>
        </w:rPr>
        <w:t>§ 3º Os meios de comunicação social eletrônica, independentemente da tecnologia utilizada para a prestação do serviço, deverão observar os princípios enunciados no art. 221, na forma de lei específica, que também garantira a prioridade de profissionais brasileiros na execução de produções nacionais. (Incluído pela EC 36/2002)</w:t>
      </w:r>
    </w:p>
    <w:p>
      <w:pPr>
        <w:ind w:left="432"/>
      </w:pPr>
      <w:r>
        <w:rPr>
          <w:color w:val="003366"/>
          <w:sz w:val="18"/>
        </w:rPr>
        <w:t>§ 1 Em qualquer caso, pelo menos setenta por cento do capital total e do capital</w:t>
      </w:r>
    </w:p>
    <w:p>
      <w:pPr>
        <w:ind w:left="432"/>
      </w:pPr>
      <w:r>
        <w:rPr>
          <w:color w:val="003366"/>
          <w:sz w:val="18"/>
        </w:rPr>
        <w:t>§ 2 A responsabilidade editorial e as atividades de seleção e direção da program</w:t>
      </w:r>
    </w:p>
    <w:p>
      <w:pPr>
        <w:ind w:left="432"/>
      </w:pPr>
      <w:r>
        <w:rPr>
          <w:color w:val="003366"/>
          <w:sz w:val="18"/>
        </w:rPr>
        <w:t>§ 3 Os meios de comunicação social eletrônica, independentemente da tecnologia u</w:t>
      </w:r>
    </w:p>
    <w:p>
      <w:pPr>
        <w:ind w:left="432"/>
      </w:pPr>
      <w:r>
        <w:rPr>
          <w:color w:val="003366"/>
          <w:sz w:val="18"/>
        </w:rPr>
        <w:t>§ 4 Lei disciplinará a participação de capital estrangeiro nas empresas de que t</w:t>
      </w:r>
    </w:p>
    <w:p>
      <w:pPr>
        <w:ind w:left="432"/>
      </w:pPr>
      <w:r>
        <w:rPr>
          <w:color w:val="003366"/>
          <w:sz w:val="18"/>
        </w:rPr>
        <w:t xml:space="preserve">§ 5 As alterações de controle societário das empresas de que trata o § 1º serão </w:t>
      </w:r>
    </w:p>
    <w:p>
      <w:r>
        <w:rPr>
          <w:b/>
          <w:color w:val="003366"/>
          <w:sz w:val="20"/>
        </w:rPr>
        <w:t>Art. 223 Compete ao Poder Executivo outorgar e renovar concessão, permissão e au</w:t>
      </w:r>
      <w:r>
        <w:rPr>
          <w:color w:val="8C8C8C"/>
          <w:sz w:val="14"/>
        </w:rPr>
        <w:t xml:space="preserve">  [2 decisoes]</w:t>
      </w:r>
    </w:p>
    <w:p>
      <w:pPr>
        <w:ind w:left="144"/>
      </w:pPr>
      <w:r>
        <w:rPr>
          <w:b/>
          <w:color w:val="B45A00"/>
          <w:sz w:val="16"/>
        </w:rPr>
        <w:t>CONTROLE CONCENTRADO</w:t>
      </w:r>
    </w:p>
    <w:p>
      <w:pPr>
        <w:ind w:left="288"/>
      </w:pPr>
      <w:r>
        <w:rPr>
          <w:color w:val="8C8C8C"/>
          <w:sz w:val="12"/>
        </w:rPr>
        <w:t>cf-art-223</w:t>
      </w:r>
      <w:r>
        <w:rPr>
          <w:color w:val="003CA0"/>
          <w:sz w:val="12"/>
        </w:rPr>
        <w:t xml:space="preserve"> | ADPF 235</w:t>
      </w:r>
      <w:r>
        <w:rPr>
          <w:color w:val="003CA0"/>
          <w:sz w:val="12"/>
        </w:rPr>
        <w:t xml:space="preserve"> | rel. Luiz Fux</w:t>
      </w:r>
    </w:p>
    <w:p>
      <w:pPr>
        <w:ind w:left="288"/>
      </w:pPr>
      <w:r>
        <w:rPr>
          <w:color w:val="1E1E1E"/>
          <w:sz w:val="18"/>
        </w:rPr>
        <w:t>(...) é formalmente inconstitucional a Lei 416/08, do Município de Augustinópolis/TO, que autoriza o Poder Executivo Municipal a conceder a exploração do Serviço de Radiodifusão Comunitária no âmbito do território do Município, mercê da inexistência, na sistemática jurídico-constitucional atual, de espaço para que o legislador local busque tratar geral e abstratamente sobre o tema da exploração do Serviço de Radiodifusão Comunitária.</w:t>
      </w:r>
    </w:p>
    <w:p>
      <w:pPr>
        <w:ind w:left="288"/>
      </w:pPr>
      <w:r>
        <w:rPr>
          <w:b/>
          <w:color w:val="003CA0"/>
          <w:sz w:val="16"/>
        </w:rPr>
        <w:t>[ADPF 235, rel. min. Luiz Fux, j. 14-8-2019, P, DJE de 30-8-2019.]</w:t>
      </w:r>
    </w:p>
    <w:p>
      <w:pPr>
        <w:ind w:left="288"/>
      </w:pPr>
      <w:r>
        <w:rPr>
          <w:color w:val="8C8C8C"/>
          <w:sz w:val="12"/>
        </w:rPr>
        <w:t>cf-art-223</w:t>
      </w:r>
      <w:r>
        <w:rPr>
          <w:color w:val="003CA0"/>
          <w:sz w:val="12"/>
        </w:rPr>
        <w:t xml:space="preserve"> | ADI 3.944</w:t>
      </w:r>
      <w:r>
        <w:rPr>
          <w:color w:val="003CA0"/>
          <w:sz w:val="12"/>
        </w:rPr>
        <w:t xml:space="preserve"> | rel. Ayres Britto</w:t>
      </w:r>
    </w:p>
    <w:p>
      <w:pPr>
        <w:ind w:left="288"/>
      </w:pPr>
      <w:r>
        <w:rPr>
          <w:color w:val="1E1E1E"/>
          <w:sz w:val="18"/>
        </w:rPr>
        <w:t>A norma inscrita no art. 7º do Decreto 5.820/2006 (e também nos arts. 8º a 10) cuida de autorização de uso do espectro de radiofrequências, e não de outorga de concessão do serviço público de radiodifusão de sons e imagens. O que se deu, na verdade, foi o seguinte: diante da evolução tecnológica, e para a instituição no País da tecnologia digital de transmissão de sons e imagens, sem interrupção da transmissão de sinais analógicos, fez-se imprescindível a consignação temporária de mais um canal às atuais concessionárias do serviço de radiodifusão de sons e imagens. Isso para que veiculassem, s</w:t>
      </w:r>
    </w:p>
    <w:p>
      <w:pPr>
        <w:ind w:left="288"/>
      </w:pPr>
      <w:r>
        <w:rPr>
          <w:b/>
          <w:color w:val="003CA0"/>
          <w:sz w:val="16"/>
        </w:rPr>
        <w:t>[ADI 3.944, rel. min. Ayres Britto, j. 5-8-2010, P, DJE de 1º-10-2010.]</w:t>
      </w:r>
    </w:p>
    <w:p>
      <w:pPr>
        <w:ind w:left="432"/>
      </w:pPr>
      <w:r>
        <w:rPr>
          <w:color w:val="003366"/>
          <w:sz w:val="18"/>
        </w:rPr>
        <w:t>§ 1 O Congresso Nacional apreciará o ato no prazo do art. 64, § 2º e § 4º, a con</w:t>
      </w:r>
    </w:p>
    <w:p>
      <w:pPr>
        <w:ind w:left="432"/>
      </w:pPr>
      <w:r>
        <w:rPr>
          <w:color w:val="003366"/>
          <w:sz w:val="18"/>
        </w:rPr>
        <w:t>§ 2 A não renovação da concessão ou permissão dependerá de aprovação de, no míni</w:t>
      </w:r>
    </w:p>
    <w:p>
      <w:pPr>
        <w:ind w:left="432"/>
      </w:pPr>
      <w:r>
        <w:rPr>
          <w:color w:val="003366"/>
          <w:sz w:val="18"/>
        </w:rPr>
        <w:t>§ 3 O ato de outorga ou renovação somente produzirá efeitos legais após delibera</w:t>
      </w:r>
    </w:p>
    <w:p>
      <w:pPr>
        <w:ind w:left="432"/>
      </w:pPr>
      <w:r>
        <w:rPr>
          <w:color w:val="003366"/>
          <w:sz w:val="18"/>
        </w:rPr>
        <w:t xml:space="preserve">§ 4 O cancelamento da concessão ou permissão, antes de vencido o prazo, depende </w:t>
      </w:r>
    </w:p>
    <w:p>
      <w:pPr>
        <w:ind w:left="432"/>
      </w:pPr>
      <w:r>
        <w:rPr>
          <w:color w:val="003366"/>
          <w:sz w:val="18"/>
        </w:rPr>
        <w:t>§ 5 O prazo da concessão ou permissão será de dez anos para as emissoras de rádi</w:t>
      </w:r>
    </w:p>
    <w:p>
      <w:r>
        <w:rPr>
          <w:b/>
          <w:color w:val="003366"/>
          <w:sz w:val="20"/>
        </w:rPr>
        <w:t>Art. 224 Para os efeitos do disposto neste capítulo, o Congresso Nacional instit</w:t>
      </w:r>
      <w:r>
        <w:rPr>
          <w:color w:val="8C8C8C"/>
          <w:sz w:val="14"/>
        </w:rPr>
        <w:t xml:space="preserve">  [3 decisoes]</w:t>
      </w:r>
    </w:p>
    <w:p>
      <w:pPr>
        <w:ind w:left="144"/>
      </w:pPr>
      <w:r>
        <w:rPr>
          <w:b/>
          <w:color w:val="B45A00"/>
          <w:sz w:val="16"/>
        </w:rPr>
        <w:t>CONTROLE CONCENTRADO</w:t>
      </w:r>
    </w:p>
    <w:p>
      <w:pPr>
        <w:ind w:left="288"/>
      </w:pPr>
      <w:r>
        <w:rPr>
          <w:color w:val="8C8C8C"/>
          <w:sz w:val="12"/>
        </w:rPr>
        <w:t>cf-art-224</w:t>
      </w:r>
      <w:r>
        <w:rPr>
          <w:color w:val="003CA0"/>
          <w:sz w:val="12"/>
        </w:rPr>
        <w:t xml:space="preserve"> | ADI 244</w:t>
      </w:r>
      <w:r>
        <w:rPr>
          <w:color w:val="003CA0"/>
          <w:sz w:val="12"/>
        </w:rPr>
        <w:t xml:space="preserve"> | rel. Sepúlveda Pertence</w:t>
      </w:r>
    </w:p>
    <w:p>
      <w:pPr>
        <w:ind w:left="288"/>
      </w:pPr>
      <w:r>
        <w:rPr>
          <w:color w:val="1E1E1E"/>
          <w:sz w:val="18"/>
        </w:rPr>
        <w:t>Além das modalidades explícitas, mas espasmódicas, de democracia direta – o plebiscito, o referendo e a iniciativa popular (art. 14) –, a Constituição da República aventa oportunidades tópicas de participação popular na administração pública (v.g., art. 5º, XXXVIII e LXXIII; art. 29, XII e XIII; art. 37, § 3º; art. 74, § 2º; art. 187; art. 194, parágrafo único, VII; art. 204, II; art. 206, VI; art. 224).</w:t>
      </w:r>
    </w:p>
    <w:p>
      <w:pPr>
        <w:ind w:left="288"/>
      </w:pPr>
      <w:r>
        <w:rPr>
          <w:b/>
          <w:color w:val="003CA0"/>
          <w:sz w:val="16"/>
        </w:rPr>
        <w:t>[ADI 244, rel. min. Sepúlveda Pertence, j. 11-9-2002, P, DJ de 31-10-2002.]</w:t>
      </w:r>
    </w:p>
    <w:p>
      <w:pPr>
        <w:ind w:left="288"/>
      </w:pPr>
      <w:r>
        <w:rPr>
          <w:color w:val="8C8C8C"/>
          <w:sz w:val="12"/>
        </w:rPr>
        <w:t>cf-art-224</w:t>
      </w:r>
      <w:r>
        <w:rPr>
          <w:color w:val="003CA0"/>
          <w:sz w:val="12"/>
        </w:rPr>
        <w:t xml:space="preserve"> | ADI 821</w:t>
      </w:r>
      <w:r>
        <w:rPr>
          <w:color w:val="003CA0"/>
          <w:sz w:val="12"/>
        </w:rPr>
        <w:t xml:space="preserve"> | rel. Octavio Gallotti</w:t>
      </w:r>
    </w:p>
    <w:p>
      <w:pPr>
        <w:ind w:left="288"/>
      </w:pPr>
      <w:r>
        <w:rPr>
          <w:color w:val="1E1E1E"/>
          <w:sz w:val="18"/>
        </w:rPr>
        <w:t>Criação de conselho, dotado de diversificada composição e representatividade, destinado a orientar os órgãos de comunicação social do Estado, suas fundações e entidades sujeitas a seu controle (arts. 238 e 239 da Constituição do Rio Grande do Sul e Lei estadual 9.726/1992). Cautelar deferida, ante a premência do prazo assinado para a instalação do colegiado e a relevância da fundamentação jurídica do pedido, especialmente quanto às teses concernentes à separação dos Poderes e à exclusividade de iniciativa do chefe do Executivo, bem como a competência privativa deste para exercer a direção supe</w:t>
      </w:r>
    </w:p>
    <w:p>
      <w:pPr>
        <w:ind w:left="288"/>
      </w:pPr>
      <w:r>
        <w:rPr>
          <w:b/>
          <w:color w:val="003CA0"/>
          <w:sz w:val="16"/>
        </w:rPr>
        <w:t>[ADI 821 MC, rel. min. Octavio Gallotti, j. 5-2-1993, P, DJ de 7-5-1993.]</w:t>
      </w:r>
    </w:p>
    <w:p>
      <w:pPr>
        <w:ind w:left="288"/>
      </w:pPr>
      <w:r>
        <w:rPr>
          <w:color w:val="8C8C8C"/>
          <w:sz w:val="12"/>
        </w:rPr>
        <w:t>cf-art-224</w:t>
      </w:r>
    </w:p>
    <w:p>
      <w:pPr>
        <w:ind w:left="288"/>
      </w:pPr>
      <w:r>
        <w:rPr>
          <w:color w:val="1E1E1E"/>
          <w:sz w:val="18"/>
        </w:rPr>
        <w:t>CAPÍTULO VI Do Meio Ambiente SUMÁRIO</w:t>
      </w:r>
    </w:p>
    <w:p>
      <w:pPr>
        <w:pStyle w:val="Heading2"/>
      </w:pPr>
      <w:r>
        <w:rPr>
          <w:color w:val="003366"/>
        </w:rPr>
        <w:t>CAPÍTULO VI - DO MEIO AMBIENTE</w:t>
      </w:r>
    </w:p>
    <w:p>
      <w:r>
        <w:rPr>
          <w:b/>
          <w:color w:val="003366"/>
          <w:sz w:val="20"/>
        </w:rPr>
        <w:t>Art. 225 Todos têm direito ao meio ambiente ecologicamente equilibrado, bem de u</w:t>
      </w:r>
      <w:r>
        <w:rPr>
          <w:color w:val="8C8C8C"/>
          <w:sz w:val="14"/>
        </w:rPr>
        <w:t xml:space="preserve">  [64 decisoes]</w:t>
      </w:r>
    </w:p>
    <w:p>
      <w:pPr>
        <w:ind w:left="288"/>
      </w:pPr>
      <w:r>
        <w:rPr>
          <w:color w:val="8C8C8C"/>
          <w:sz w:val="12"/>
        </w:rPr>
        <w:t>cf-art-225</w:t>
      </w:r>
      <w:r>
        <w:rPr>
          <w:color w:val="003CA0"/>
          <w:sz w:val="12"/>
        </w:rPr>
        <w:t xml:space="preserve"> | ADI 7.184</w:t>
      </w:r>
      <w:r>
        <w:rPr>
          <w:color w:val="003CA0"/>
          <w:sz w:val="12"/>
        </w:rPr>
        <w:t xml:space="preserve"> | rel. Dias Toffoli</w:t>
      </w:r>
    </w:p>
    <w:p>
      <w:pPr>
        <w:ind w:left="288"/>
      </w:pPr>
      <w:r>
        <w:rPr>
          <w:color w:val="1E1E1E"/>
          <w:sz w:val="18"/>
        </w:rPr>
        <w:t>O princípio da vedação ao retrocesso ambiental surge como uma importante barreira à supressão pura e simples do núcleo essencial do art. 225 do texto constitucional, tendo impacto nas atividades legislativa e regulamentar no que concerne à matéria ambiental. Embora não se revista de caráter absoluto, tal princípio afasta a possibilidade de que normas legais venham a reduzir ou suprimir os níveis de proteção ambiental consagrados pela atual legislação.</w:t>
      </w:r>
    </w:p>
    <w:p>
      <w:pPr>
        <w:ind w:left="288"/>
      </w:pPr>
      <w:r>
        <w:rPr>
          <w:b/>
          <w:color w:val="003CA0"/>
          <w:sz w:val="16"/>
        </w:rPr>
        <w:t>[ADI 7.184, rel. min. Dias Toffoli, j. 02.12.2025, P, DJE de 10.12.2025.]</w:t>
      </w:r>
    </w:p>
    <w:p>
      <w:pPr>
        <w:ind w:left="288"/>
      </w:pPr>
      <w:r>
        <w:rPr>
          <w:color w:val="8C8C8C"/>
          <w:sz w:val="12"/>
        </w:rPr>
        <w:t>cf-art-225</w:t>
      </w:r>
      <w:r>
        <w:rPr>
          <w:color w:val="003CA0"/>
          <w:sz w:val="12"/>
        </w:rPr>
        <w:t xml:space="preserve"> | ADI 7.596</w:t>
      </w:r>
      <w:r>
        <w:rPr>
          <w:color w:val="003CA0"/>
          <w:sz w:val="12"/>
        </w:rPr>
        <w:t xml:space="preserve"> | rel. Nunes Marques</w:t>
      </w:r>
    </w:p>
    <w:p>
      <w:pPr>
        <w:ind w:left="288"/>
      </w:pPr>
      <w:r>
        <w:rPr>
          <w:color w:val="1E1E1E"/>
          <w:sz w:val="18"/>
        </w:rPr>
        <w:t>O RenovaBio, instituído pela Lei n. 13.576/2017, concretiza compromissos internacionais de mitigação de gases de efeito estufa assumidos pelo Brasil no Acordo de Paris, consubstanciando política pública voltada à transição energética e à sustentabilidade ambiental. A imposição de metas de descarbonização aos distribuidores de combustíveis fósseis não afronta o princípio da isonomia, pois o critério de diferenciação – comercialização de combustíveis de origem fóssil – é objetivo e diretamente vinculado ao propósito da norma. O princípio do poluidor-pagador é observado na medida em que o ônus da</w:t>
      </w:r>
    </w:p>
    <w:p>
      <w:pPr>
        <w:ind w:left="288"/>
      </w:pPr>
      <w:r>
        <w:rPr>
          <w:b/>
          <w:color w:val="003CA0"/>
          <w:sz w:val="16"/>
        </w:rPr>
        <w:t>[ADI 7.596 e ADI 7.617, rel. min. Nunes Marques, j. 17.11.2025, P, DJE de 24.11.2025.]</w:t>
      </w:r>
    </w:p>
    <w:p>
      <w:pPr>
        <w:ind w:left="288"/>
      </w:pPr>
      <w:r>
        <w:rPr>
          <w:color w:val="8C8C8C"/>
          <w:sz w:val="12"/>
        </w:rPr>
        <w:t>cf-art-225</w:t>
      </w:r>
      <w:r>
        <w:rPr>
          <w:color w:val="003CA0"/>
          <w:sz w:val="12"/>
        </w:rPr>
        <w:t xml:space="preserve"> | ADI 7.774</w:t>
      </w:r>
      <w:r>
        <w:rPr>
          <w:color w:val="003CA0"/>
          <w:sz w:val="12"/>
        </w:rPr>
        <w:t xml:space="preserve"> | rel. Flávio Dino</w:t>
      </w:r>
    </w:p>
    <w:p>
      <w:pPr>
        <w:ind w:left="288"/>
      </w:pPr>
      <w:r>
        <w:rPr>
          <w:color w:val="1E1E1E"/>
          <w:sz w:val="18"/>
        </w:rPr>
        <w:t>A Lei Estadual nº 12.709/2024 determina a revogação de benefícios fiscais e a anulação de concessões de terrenos públicos a empresas que participem de compromissos, nacionais ou internacionais, que imponham restrições à expansão da atividade agropecuária em áreas não protegidas por legislação ambiental específica (arts. 1º e 2º). O art. 2º da lei estadual reconhece a autonomia do Estado para estabelecer critérios de política pública e prevê a necessidade de adequação de compromissos privados à legislação ambiental superveniente, evitando conflitos com normas federais. O dispositivo da lei mato</w:t>
      </w:r>
    </w:p>
    <w:p>
      <w:pPr>
        <w:ind w:left="288"/>
      </w:pPr>
      <w:r>
        <w:rPr>
          <w:b/>
          <w:color w:val="003CA0"/>
          <w:sz w:val="16"/>
        </w:rPr>
        <w:t>[ADI 7.774 MC, rel. min. Flávio Dino, j. 5-11-2025, P, DJE de 9-2-2026.]</w:t>
      </w:r>
    </w:p>
    <w:p>
      <w:pPr>
        <w:ind w:left="288"/>
      </w:pPr>
      <w:r>
        <w:rPr>
          <w:color w:val="8C8C8C"/>
          <w:sz w:val="12"/>
        </w:rPr>
        <w:t>cf-art-225</w:t>
      </w:r>
      <w:r>
        <w:rPr>
          <w:color w:val="003CA0"/>
          <w:sz w:val="12"/>
        </w:rPr>
        <w:t xml:space="preserve"> | ADI 7.332</w:t>
      </w:r>
      <w:r>
        <w:rPr>
          <w:color w:val="003CA0"/>
          <w:sz w:val="12"/>
        </w:rPr>
        <w:t xml:space="preserve"> | rel. Dias Toffoli</w:t>
      </w:r>
    </w:p>
    <w:p>
      <w:pPr>
        <w:ind w:left="288"/>
      </w:pPr>
      <w:r>
        <w:rPr>
          <w:color w:val="1E1E1E"/>
          <w:sz w:val="18"/>
        </w:rPr>
        <w:t>É constitucional — e não viola o direito fundamental ao meio ambiente ecologicamente equilibrado (CF/1988, art. 225) — a lei catarinense que institui a política de transição energética justa direcionada à redução das emissões de carbono, em especial, a diminuição progressiva do uso de carvão na geração elétrica.</w:t>
      </w:r>
    </w:p>
    <w:p>
      <w:pPr>
        <w:ind w:left="288"/>
      </w:pPr>
      <w:r>
        <w:rPr>
          <w:b/>
          <w:color w:val="003CA0"/>
          <w:sz w:val="16"/>
        </w:rPr>
        <w:t>[ADI 7.332, rel. min. Dias Toffoli, j. 04.11.2025, P, Informativo STF 1.197.]</w:t>
      </w:r>
    </w:p>
    <w:p>
      <w:pPr>
        <w:ind w:left="288"/>
      </w:pPr>
      <w:r>
        <w:rPr>
          <w:color w:val="8C8C8C"/>
          <w:sz w:val="12"/>
        </w:rPr>
        <w:t>cf-art-225</w:t>
      </w:r>
      <w:r>
        <w:rPr>
          <w:color w:val="003CA0"/>
          <w:sz w:val="12"/>
        </w:rPr>
        <w:t xml:space="preserve"> | ADI 6.955</w:t>
      </w:r>
      <w:r>
        <w:rPr>
          <w:color w:val="003CA0"/>
          <w:sz w:val="12"/>
        </w:rPr>
        <w:t xml:space="preserve"> | rel. Dias Toffoli</w:t>
      </w:r>
    </w:p>
    <w:p>
      <w:pPr>
        <w:ind w:left="288"/>
      </w:pPr>
      <w:r>
        <w:rPr>
          <w:color w:val="1E1E1E"/>
          <w:sz w:val="18"/>
        </w:rPr>
        <w:t>Lei nº 15.671/21 do Estado do Rio Grande do Sul. (...) A lei impugnada não passou a admitir, de maneira indiscriminada, a distribuição e a comercialização de produtos agrotóxicos e biocidas importados no território do Estado do Rio Grande do Sul. Permanecem as exigências do registro de tais produtos no órgão federal competente e do cadastro nos órgãos estaduais competentes, de modo que não se vislumbra, à luz da orientação da Corte, ofensa ao princípio da vedação do retrocesso socioambiental. A legislação federal atinente ao assunto, com a qual o diploma questionado buscou ter harmonia, foi ed</w:t>
      </w:r>
    </w:p>
    <w:p>
      <w:pPr>
        <w:ind w:left="288"/>
      </w:pPr>
      <w:r>
        <w:rPr>
          <w:b/>
          <w:color w:val="003CA0"/>
          <w:sz w:val="16"/>
        </w:rPr>
        <w:t>[ADI 6.955, rel. min. Dias Toffoli, j. 25.04.2025, P, DJE de 05.05.2025.]</w:t>
      </w:r>
    </w:p>
    <w:p>
      <w:pPr>
        <w:ind w:left="288"/>
      </w:pPr>
      <w:r>
        <w:rPr>
          <w:color w:val="8C8C8C"/>
          <w:sz w:val="12"/>
        </w:rPr>
        <w:t>cf-art-225</w:t>
      </w:r>
      <w:r>
        <w:rPr>
          <w:color w:val="003CA0"/>
          <w:sz w:val="12"/>
        </w:rPr>
        <w:t xml:space="preserve"> | ADI 7.072</w:t>
      </w:r>
      <w:r>
        <w:rPr>
          <w:color w:val="003CA0"/>
          <w:sz w:val="12"/>
        </w:rPr>
        <w:t xml:space="preserve"> | rel. Gilmar Mendes</w:t>
      </w:r>
    </w:p>
    <w:p>
      <w:pPr>
        <w:ind w:left="288"/>
      </w:pPr>
      <w:r>
        <w:rPr>
          <w:color w:val="1E1E1E"/>
          <w:sz w:val="18"/>
        </w:rPr>
        <w:t>Art. 39, § 4º, da Lei 12.844/2013. Presunção de legalidade do ouro adquirido. Boa-fé da pessoa jurídica adquirente. Normas que facilitam o processo de aquisição de ouro. Dever de proteção do meio ambiente (CF, art. 225). Aumento das atividades de garimpo ilegal, com repercussão na degradação ambiental em áreas de proteção, prejuízo à saúde da população indígena e crescimento da violência. Vinculação entre a extração irregular de ouro e o crime organizado (narcogarimpo).</w:t>
      </w:r>
    </w:p>
    <w:p>
      <w:pPr>
        <w:ind w:left="288"/>
      </w:pPr>
      <w:r>
        <w:rPr>
          <w:b/>
          <w:color w:val="003CA0"/>
          <w:sz w:val="16"/>
        </w:rPr>
        <w:t>[ADI 7.072 e ADI 7.345, rel. min. Gilmar Mendes, j. 24.03.2025, P, DJE de 28.03.2025.]</w:t>
      </w:r>
    </w:p>
    <w:p>
      <w:pPr>
        <w:ind w:left="288"/>
      </w:pPr>
      <w:r>
        <w:rPr>
          <w:color w:val="8C8C8C"/>
          <w:sz w:val="12"/>
        </w:rPr>
        <w:t>cf-art-225</w:t>
      </w:r>
      <w:r>
        <w:rPr>
          <w:color w:val="003CA0"/>
          <w:sz w:val="12"/>
        </w:rPr>
        <w:t xml:space="preserve"> | ADPF 743</w:t>
      </w:r>
      <w:r>
        <w:rPr>
          <w:color w:val="003CA0"/>
          <w:sz w:val="12"/>
        </w:rPr>
        <w:t xml:space="preserve"> | rel. Flávio Dino</w:t>
      </w:r>
    </w:p>
    <w:p>
      <w:pPr>
        <w:ind w:left="288"/>
      </w:pPr>
      <w:r>
        <w:rPr>
          <w:color w:val="1E1E1E"/>
          <w:sz w:val="18"/>
        </w:rPr>
        <w:t>O Supremo Tribunal Federal deve assegurar a implementação uniforme das políticas ambientais, evitando que decisões judiciais locais prejudiquem as ações coordenadas definidas no âmbito da ADPF. A reestruturação das políticas públicas de combate a incêndios e a proteção dos biomas Amazônia e Pantanal demanda articulação entre a União e os Estados envolvidos, o que justifica a centralização das decisões no STF. A possibilidade de decisões conflitantes entre os processos locais e as medidas estabelecidas na ADPF 743 pode comprometer a eficácia das ações de combate aos incêndios, justificando a su</w:t>
      </w:r>
    </w:p>
    <w:p>
      <w:pPr>
        <w:ind w:left="288"/>
      </w:pPr>
      <w:r>
        <w:rPr>
          <w:b/>
          <w:color w:val="003CA0"/>
          <w:sz w:val="16"/>
        </w:rPr>
        <w:t>[ADPF 743 MC-REF, rel. min. Flávio Dino, j. 12.11.2024, P, DJE de 06.02.2025.]</w:t>
      </w:r>
    </w:p>
    <w:p>
      <w:pPr>
        <w:ind w:left="288"/>
      </w:pPr>
      <w:r>
        <w:rPr>
          <w:color w:val="8C8C8C"/>
          <w:sz w:val="12"/>
        </w:rPr>
        <w:t>cf-art-225</w:t>
      </w:r>
      <w:r>
        <w:rPr>
          <w:color w:val="003CA0"/>
          <w:sz w:val="12"/>
        </w:rPr>
        <w:t xml:space="preserve"> | ADC 42</w:t>
      </w:r>
      <w:r>
        <w:rPr>
          <w:color w:val="003CA0"/>
          <w:sz w:val="12"/>
        </w:rPr>
        <w:t xml:space="preserve"> | rel. Luiz Fux</w:t>
      </w:r>
    </w:p>
    <w:p>
      <w:pPr>
        <w:ind w:left="288"/>
      </w:pPr>
      <w:r>
        <w:rPr>
          <w:color w:val="1E1E1E"/>
          <w:sz w:val="18"/>
        </w:rPr>
        <w:t>O bioma, previsto nos artigos 48, § 2º, e 66, § 6º, II, do Código Florestal como critério para a compensação da Reserva Legal, é constitucional, haja vista que “identidade ecológica” é conceito inexistente na literatura científica e impossibilita a devida operacionalização do mecanismo compensatório. Consequente declaração de constitucionalidade do artigo 48, § 2º, mantendo-se hígido o critério legal. A temática da gestão de resíduos reclama modulação prospectiva à declaração de inconstitucionalidade relativa ao artigo 3º, VIII, b, do Código Florestal, para evitar a descontinuidade na prestaçã</w:t>
      </w:r>
    </w:p>
    <w:p>
      <w:pPr>
        <w:ind w:left="288"/>
      </w:pPr>
      <w:r>
        <w:rPr>
          <w:b/>
          <w:color w:val="003CA0"/>
          <w:sz w:val="16"/>
        </w:rPr>
        <w:t>[ADC 42 ED, ADC 42 ED-terceiros, ADI 4.901 ED-terceiros, ADI 4.902 ED-segundos e ADI 4.903 ED-segundos, rel. min. Luiz Fux, j. 24.10.2024, P, DJE de 13.02.2025.]</w:t>
      </w:r>
    </w:p>
    <w:p>
      <w:pPr>
        <w:ind w:left="144"/>
      </w:pPr>
      <w:r>
        <w:rPr>
          <w:b/>
          <w:color w:val="B45A00"/>
          <w:sz w:val="16"/>
        </w:rPr>
        <w:t>CONTROLE CONCENTRADO</w:t>
      </w:r>
    </w:p>
    <w:p>
      <w:pPr>
        <w:ind w:left="288"/>
      </w:pPr>
      <w:r>
        <w:rPr>
          <w:color w:val="8C8C8C"/>
          <w:sz w:val="12"/>
        </w:rPr>
        <w:t>cf-art-225</w:t>
      </w:r>
      <w:r>
        <w:rPr>
          <w:color w:val="003CA0"/>
          <w:sz w:val="12"/>
        </w:rPr>
        <w:t xml:space="preserve"> | ADPF 935</w:t>
      </w:r>
      <w:r>
        <w:rPr>
          <w:color w:val="003CA0"/>
          <w:sz w:val="12"/>
        </w:rPr>
        <w:t xml:space="preserve"> | rel. Ricardo Lewandowski</w:t>
      </w:r>
    </w:p>
    <w:p>
      <w:pPr>
        <w:ind w:left="288"/>
      </w:pPr>
      <w:r>
        <w:rPr>
          <w:color w:val="1E1E1E"/>
          <w:sz w:val="18"/>
        </w:rPr>
        <w:t>(...) o Decreto ora questionado introduziu consideráveis inovações na ordem jurídica vigente ao autorizar a exploração de cavidades naturais subterrâneas, inclusive com grau de relevância máxima – antes protegidas de impactos negativos irreversíveis – para a construção de empreendimentos considerados de utilidade pública. (...) algumas das alterações trazidas pelo Decreto 10.935/2022, na prática, ensejam a possibilidade da exploração de cavidades naturais subterrâneas, sem maiores limitações, inclusive daquelas classificadas com o grau máximo de proteção, aumentando substancialmente a vulnerab</w:t>
      </w:r>
    </w:p>
    <w:p>
      <w:pPr>
        <w:ind w:left="288"/>
      </w:pPr>
      <w:r>
        <w:rPr>
          <w:b/>
          <w:color w:val="003CA0"/>
          <w:sz w:val="16"/>
        </w:rPr>
        <w:t>[ADI 3.526, rel. min. Nunes Marques, red. do ac. min. Gilmar Mendes, j. 22-8-2023, P, DJE de 9-10-2023.]</w:t>
      </w:r>
    </w:p>
    <w:p>
      <w:pPr>
        <w:ind w:left="288"/>
      </w:pPr>
      <w:r>
        <w:rPr>
          <w:color w:val="8C8C8C"/>
          <w:sz w:val="12"/>
        </w:rPr>
        <w:t>cf-art-225</w:t>
      </w:r>
      <w:r>
        <w:rPr>
          <w:color w:val="003CA0"/>
          <w:sz w:val="12"/>
        </w:rPr>
        <w:t xml:space="preserve"> | ADI 6.218</w:t>
      </w:r>
      <w:r>
        <w:rPr>
          <w:color w:val="003CA0"/>
          <w:sz w:val="12"/>
        </w:rPr>
        <w:t xml:space="preserve"> | rel. Nunes Marques</w:t>
      </w:r>
    </w:p>
    <w:p>
      <w:pPr>
        <w:ind w:left="288"/>
      </w:pPr>
      <w:r>
        <w:rPr>
          <w:color w:val="1E1E1E"/>
          <w:sz w:val="18"/>
        </w:rPr>
        <w:t>A livre iniciativa (CF, art. 1º, IV e 170, caput) não se revela um fim em si mesmo, mas um meio para atingir os objetivos fundamentais da República, inclusive a tutela e preservação do meio ambiente para as presentes e futuras gerações (CF, art. 225).</w:t>
        <w:br/>
        <w:t>[ADI 6.218, rel. min. Nunes Marques, red. do ac. min. Rosa Weber, j. 3-7-2023, P, DJE de 21-8-2023.] Ao conferir à coletividade o direito-dever de tutelar e preservar o meio ambiente ecologicamente equilibrado (art. 225), a Constituição Federal está a exigir a participação popular na administração desse bem de uso comum e de interesse de toda a s</w:t>
      </w:r>
    </w:p>
    <w:p>
      <w:pPr>
        <w:ind w:left="288"/>
      </w:pPr>
      <w:r>
        <w:rPr>
          <w:b/>
          <w:color w:val="003CA0"/>
          <w:sz w:val="16"/>
        </w:rPr>
        <w:t>[ADPF 708, rel. min. Roberto Barroso, j. 4-7-2022, P, DJE de 28-9-2022.]</w:t>
      </w:r>
    </w:p>
    <w:p>
      <w:pPr>
        <w:ind w:left="288"/>
      </w:pPr>
      <w:r>
        <w:rPr>
          <w:color w:val="8C8C8C"/>
          <w:sz w:val="12"/>
        </w:rPr>
        <w:t>cf-art-225</w:t>
      </w:r>
      <w:r>
        <w:rPr>
          <w:color w:val="003CA0"/>
          <w:sz w:val="12"/>
        </w:rPr>
        <w:t xml:space="preserve"> | ADPF 748</w:t>
      </w:r>
      <w:r>
        <w:rPr>
          <w:color w:val="003CA0"/>
          <w:sz w:val="12"/>
        </w:rPr>
        <w:t xml:space="preserve"> | rel. Rosa Weber</w:t>
      </w:r>
    </w:p>
    <w:p>
      <w:pPr>
        <w:ind w:left="288"/>
      </w:pPr>
      <w:r>
        <w:rPr>
          <w:color w:val="1E1E1E"/>
          <w:sz w:val="18"/>
        </w:rPr>
        <w:t>O poder normativo atribuído ao CONAMA pela respectiva lei instituidora consiste em instrumento para que dele lance mão o agente regulador no sentido da implementação das diretrizes, finalidades, objetivos e princípios expressos na Constituição e na legislação ambiental. Em outras palavras, a orientação seguida pelo Administrador deve necessariamente mostrar-se compatível com a ordem constitucional de proteção do patrimônio ambiental. Eventualmente falhando nesse dever de justificação, expõe-se a atividade normativa do ente administrativo ao controle jurisdicional da sua legitimidade. Tais obje</w:t>
      </w:r>
    </w:p>
    <w:p>
      <w:pPr>
        <w:ind w:left="288"/>
      </w:pPr>
      <w:r>
        <w:rPr>
          <w:b/>
          <w:color w:val="003CA0"/>
          <w:sz w:val="16"/>
        </w:rPr>
        <w:t>[ADPF 748, rel. min. Rosa Weber, j. 23-5-2022, P, DJE de 5-8-2022.]</w:t>
      </w:r>
    </w:p>
    <w:p>
      <w:pPr>
        <w:ind w:left="288"/>
      </w:pPr>
      <w:r>
        <w:rPr>
          <w:color w:val="8C8C8C"/>
          <w:sz w:val="12"/>
        </w:rPr>
        <w:t>cf-art-225</w:t>
      </w:r>
      <w:r>
        <w:rPr>
          <w:color w:val="003CA0"/>
          <w:sz w:val="12"/>
        </w:rPr>
        <w:t xml:space="preserve"> | ADPF 748</w:t>
      </w:r>
      <w:r>
        <w:rPr>
          <w:color w:val="003CA0"/>
          <w:sz w:val="12"/>
        </w:rPr>
        <w:t xml:space="preserve"> | rel. Rosa Weber</w:t>
      </w:r>
    </w:p>
    <w:p>
      <w:pPr>
        <w:ind w:left="288"/>
      </w:pPr>
      <w:r>
        <w:rPr>
          <w:color w:val="1E1E1E"/>
          <w:sz w:val="18"/>
        </w:rPr>
        <w:t>Ao disciplinar condições, critérios, procedimentos e limites a serem observados no licenciamento de fornos rotativos de produção de clínquer para a atividade de coprocessamento de resíduos, a Resolução CONAMA nº 499/2020 atende ao disposto no art. 225, § 1º, IV e V, da CF, que exige estudo prévio de impacto ambiental para a instalação de atividade potencialmente causadora de degradação do meio ambiente e impõe ao Poder Público o controle do emprego de técnicas, métodos e substâncias que comportem risco para a vida, a qualidade de vida e o meio ambiente. Mostra-se consistente, ainda, com o marc</w:t>
      </w:r>
    </w:p>
    <w:p>
      <w:pPr>
        <w:ind w:left="288"/>
      </w:pPr>
      <w:r>
        <w:rPr>
          <w:b/>
          <w:color w:val="003CA0"/>
          <w:sz w:val="16"/>
        </w:rPr>
        <w:t>[ADPF 748, rel. min. Rosa Weber, j. 23-5-2022, P, DJE de 5-8-2022.]</w:t>
      </w:r>
    </w:p>
    <w:p>
      <w:pPr>
        <w:ind w:left="288"/>
      </w:pPr>
      <w:r>
        <w:rPr>
          <w:color w:val="8C8C8C"/>
          <w:sz w:val="12"/>
        </w:rPr>
        <w:t>cf-art-225</w:t>
      </w:r>
      <w:r>
        <w:rPr>
          <w:color w:val="003CA0"/>
          <w:sz w:val="12"/>
        </w:rPr>
        <w:t xml:space="preserve"> | ADI 6.148</w:t>
      </w:r>
      <w:r>
        <w:rPr>
          <w:color w:val="003CA0"/>
          <w:sz w:val="12"/>
        </w:rPr>
        <w:t xml:space="preserve"> | rel. Cármen Lúcia</w:t>
      </w:r>
    </w:p>
    <w:p>
      <w:pPr>
        <w:ind w:left="288"/>
      </w:pPr>
      <w:r>
        <w:rPr>
          <w:color w:val="1E1E1E"/>
          <w:sz w:val="18"/>
        </w:rPr>
        <w:t>O Conselho Nacional do Meio Ambiente (CONAMA) é órgão colegiado criado pela Lei nº 6.938, de 1981, dotado de capacidade institucional e responsabilidade, para, a partir de estudos e debate colegiado, dispor sobre “normas e padrões compatíveis com o meio ambiente ecologicamente equilibrado e essencial à sadia qualidade de vida”. Diante das múltiplas vicissitudes e peculiaridades do caso, cabe, prioritariamente, ao CONAMA, como órgão regulador e no exercício da sua capacidade institucional, aquilatar, com devida atenção e aprofundado rigor técnico, qual o melhor conjunto de medidas apto a orient</w:t>
      </w:r>
    </w:p>
    <w:p>
      <w:pPr>
        <w:ind w:left="288"/>
      </w:pPr>
      <w:r>
        <w:rPr>
          <w:b/>
          <w:color w:val="003CA0"/>
          <w:sz w:val="16"/>
        </w:rPr>
        <w:t>[ADI 6.148, rel. min. Cármen Lúcia, red do ac. min. André Mendonça, j. 5-5-2022, P, DJE de 15-9-2022.]</w:t>
      </w:r>
    </w:p>
    <w:p>
      <w:pPr>
        <w:ind w:left="288"/>
      </w:pPr>
      <w:r>
        <w:rPr>
          <w:color w:val="8C8C8C"/>
          <w:sz w:val="12"/>
        </w:rPr>
        <w:t>cf-art-225</w:t>
      </w:r>
      <w:r>
        <w:rPr>
          <w:color w:val="003CA0"/>
          <w:sz w:val="12"/>
        </w:rPr>
        <w:t xml:space="preserve"> | ADI 6.808</w:t>
      </w:r>
      <w:r>
        <w:rPr>
          <w:color w:val="003CA0"/>
          <w:sz w:val="12"/>
        </w:rPr>
        <w:t xml:space="preserve"> | rel. Cármen Lúcia</w:t>
      </w:r>
    </w:p>
    <w:p>
      <w:pPr>
        <w:ind w:left="288"/>
      </w:pPr>
      <w:r>
        <w:rPr>
          <w:color w:val="1E1E1E"/>
          <w:sz w:val="18"/>
        </w:rPr>
        <w:t>São inconstitucionais as normas pelas quais simplificada a obtenção de licença ambiental no sistema responsável pela integração (Redesim) para atividade econômica de risco médio e vedada a coleta adicional de informações pelo órgão responsável à realizada no sistema Redesim para a emissão das licenças e alvarás para o funcionamento do empresário ou da pessoa jurídica, referentes a empreendimentos com impactos ambientais. Não aplicação das normas questionadas em relação às licenças ambientais.</w:t>
      </w:r>
    </w:p>
    <w:p>
      <w:pPr>
        <w:ind w:left="288"/>
      </w:pPr>
      <w:r>
        <w:rPr>
          <w:b/>
          <w:color w:val="003CA0"/>
          <w:sz w:val="16"/>
        </w:rPr>
        <w:t>[ADI 6.808, rel. min. Cármen Lúcia, j. 28-4-2022, P, DJE de 14-7-2022.]</w:t>
      </w:r>
    </w:p>
    <w:p>
      <w:pPr>
        <w:ind w:left="288"/>
      </w:pPr>
      <w:r>
        <w:rPr>
          <w:color w:val="8C8C8C"/>
          <w:sz w:val="12"/>
        </w:rPr>
        <w:t>cf-art-225</w:t>
      </w:r>
      <w:r>
        <w:rPr>
          <w:color w:val="003CA0"/>
          <w:sz w:val="12"/>
        </w:rPr>
        <w:t xml:space="preserve"> | ADPF 825</w:t>
      </w:r>
      <w:r>
        <w:rPr>
          <w:color w:val="003CA0"/>
          <w:sz w:val="12"/>
        </w:rPr>
        <w:t xml:space="preserve"> | rel. p/ o ac. Nunes Marques</w:t>
      </w:r>
    </w:p>
    <w:p>
      <w:pPr>
        <w:ind w:left="288"/>
      </w:pPr>
      <w:r>
        <w:rPr>
          <w:color w:val="1E1E1E"/>
          <w:sz w:val="18"/>
        </w:rPr>
        <w:t>A viabilidade ambiental de certo empreendimento é atestada não pela apresentação de estudos ambientais e da Avaliação Ambiental de Área Sedimentar (AAAS), mas pelo procedimento de licenciamento ambiental, no qual se aferem, de forma específica, aprofundada e minuciosa, a partir da Lei n. 6.938/1991, os impactos e riscos ambientais da atividade a ser desenvolvida.</w:t>
      </w:r>
    </w:p>
    <w:p>
      <w:pPr>
        <w:ind w:left="288"/>
      </w:pPr>
      <w:r>
        <w:rPr>
          <w:b/>
          <w:color w:val="003CA0"/>
          <w:sz w:val="16"/>
        </w:rPr>
        <w:t>[ADPF 825, rel. min. p/ o ac. Nunes Marques, j. 3-8-2021, Plenário, DJE de 26-11-2021.]</w:t>
      </w:r>
    </w:p>
    <w:p>
      <w:pPr>
        <w:ind w:left="288"/>
      </w:pPr>
      <w:r>
        <w:rPr>
          <w:color w:val="8C8C8C"/>
          <w:sz w:val="12"/>
        </w:rPr>
        <w:t>cf-art-225</w:t>
      </w:r>
      <w:r>
        <w:rPr>
          <w:color w:val="003CA0"/>
          <w:sz w:val="12"/>
        </w:rPr>
        <w:t xml:space="preserve"> | ADI 6.650</w:t>
      </w:r>
      <w:r>
        <w:rPr>
          <w:color w:val="003CA0"/>
          <w:sz w:val="12"/>
        </w:rPr>
        <w:t xml:space="preserve"> | rel. Cármen Lúcia</w:t>
      </w:r>
    </w:p>
    <w:p>
      <w:pPr>
        <w:ind w:left="288"/>
      </w:pPr>
      <w:r>
        <w:rPr>
          <w:color w:val="1E1E1E"/>
          <w:sz w:val="18"/>
        </w:rPr>
        <w:t>O estabelecimento de procedimento de licenciamento ambiental estadual que torne menos eficiente a proteção do meio ambiente equilibrado quanto às atividades de mineração afronta o caput do art. 225 da Constituição da República por inobservar o princípio da prevenção.</w:t>
      </w:r>
    </w:p>
    <w:p>
      <w:pPr>
        <w:ind w:left="288"/>
      </w:pPr>
      <w:r>
        <w:rPr>
          <w:b/>
          <w:color w:val="003CA0"/>
          <w:sz w:val="16"/>
        </w:rPr>
        <w:t>[ADI 6.650, rel. min. Cármen Lúcia, j. 27-4-2021, P, DJE de 5-5-2021.]</w:t>
      </w:r>
    </w:p>
    <w:p>
      <w:pPr>
        <w:ind w:left="288"/>
      </w:pPr>
      <w:r>
        <w:rPr>
          <w:color w:val="8C8C8C"/>
          <w:sz w:val="12"/>
        </w:rPr>
        <w:t>cf-art-225</w:t>
      </w:r>
      <w:r>
        <w:rPr>
          <w:color w:val="003CA0"/>
          <w:sz w:val="12"/>
        </w:rPr>
        <w:t xml:space="preserve"> | ADI 5.547</w:t>
      </w:r>
      <w:r>
        <w:rPr>
          <w:color w:val="003CA0"/>
          <w:sz w:val="12"/>
        </w:rPr>
        <w:t xml:space="preserve"> | rel. Edson Fachin</w:t>
      </w:r>
    </w:p>
    <w:p>
      <w:pPr>
        <w:ind w:left="288"/>
      </w:pPr>
      <w:r>
        <w:rPr>
          <w:color w:val="1E1E1E"/>
          <w:sz w:val="18"/>
        </w:rPr>
        <w:t>Resolução CONAMA 458/2013. (...) Disciplina que conduz justamente à conformação do amálgama que busca adequar a proteção ambiental à justiça social, que, enquanto valor e fundamento da ordem econômica (CRFB, art. 170, caput) e da ordem social (CRFB, art. 193), protege, ao lado da defesa do meio ambiente, o valor social do trabalho, fundamento do Estado de Direito efetivamente democrático (art. 1º, IV, da CRFB), e os objetivos republicanos de ‘construir uma sociedade livre, justa e solidária’ e ‘erradicar a pobreza e a marginalização e reduzir as desigualdades sociais e regionais’ (Art. 3º, I e</w:t>
      </w:r>
    </w:p>
    <w:p>
      <w:pPr>
        <w:ind w:left="288"/>
      </w:pPr>
      <w:r>
        <w:rPr>
          <w:b/>
          <w:color w:val="003CA0"/>
          <w:sz w:val="16"/>
        </w:rPr>
        <w:t>[ADI 5.547, rel. min. Edson Fachin, j. 22-9-2020, P, DJE de 6-10-2020.]</w:t>
      </w:r>
    </w:p>
    <w:p>
      <w:pPr>
        <w:ind w:left="288"/>
      </w:pPr>
      <w:r>
        <w:rPr>
          <w:color w:val="8C8C8C"/>
          <w:sz w:val="12"/>
        </w:rPr>
        <w:t>cf-art-225</w:t>
      </w:r>
      <w:r>
        <w:rPr>
          <w:color w:val="003CA0"/>
          <w:sz w:val="12"/>
        </w:rPr>
        <w:t xml:space="preserve"> | ADPF 656</w:t>
      </w:r>
      <w:r>
        <w:rPr>
          <w:color w:val="003CA0"/>
          <w:sz w:val="12"/>
        </w:rPr>
        <w:t xml:space="preserve"> | rel. Ricardo Lewandowski</w:t>
      </w:r>
    </w:p>
    <w:p>
      <w:pPr>
        <w:ind w:left="288"/>
      </w:pPr>
      <w:r>
        <w:rPr>
          <w:color w:val="1E1E1E"/>
          <w:sz w:val="18"/>
        </w:rPr>
        <w:t xml:space="preserve">O ato impugnado consiste em portaria assinada pelo Secretário de Defesa Agropecuária do Ministério da Agricultura, Pecuária e Abastecimento – MAPA, que estabelece prazos para aprovação tácita de utilização de agrotóxicos, independentemente da conclusão de estudos técnicos relacionados aos efeitos nocivos ao meio ambiente ou as consequências à saúde da população brasileira. Trata-se de portaria, destinada ao público em geral com função similar a um decreto regulamentar, o qual, à pretexto de interpretar o texto legal, acaba por extrapolar o estreito espaço normativo reservado pela Constituição </w:t>
      </w:r>
    </w:p>
    <w:p>
      <w:pPr>
        <w:ind w:left="288"/>
      </w:pPr>
      <w:r>
        <w:rPr>
          <w:b/>
          <w:color w:val="003CA0"/>
          <w:sz w:val="16"/>
        </w:rPr>
        <w:t>[ADPF 656 MC, rel. min. Ricardo Lewandowski, j. 22-6-2020, P, DJE de 31-8-2020.]</w:t>
      </w:r>
    </w:p>
    <w:p>
      <w:pPr>
        <w:ind w:left="288"/>
      </w:pPr>
      <w:r>
        <w:rPr>
          <w:color w:val="8C8C8C"/>
          <w:sz w:val="12"/>
        </w:rPr>
        <w:t>cf-art-225</w:t>
      </w:r>
      <w:r>
        <w:rPr>
          <w:color w:val="003CA0"/>
          <w:sz w:val="12"/>
        </w:rPr>
        <w:t xml:space="preserve"> | ADI 3.937</w:t>
      </w:r>
    </w:p>
    <w:p>
      <w:pPr>
        <w:ind w:left="288"/>
      </w:pPr>
      <w:r>
        <w:rPr>
          <w:color w:val="1E1E1E"/>
          <w:sz w:val="18"/>
        </w:rPr>
        <w:t>O consenso dos órgãos oficiais de saúde geral e de saúde do trabalhador em torno da natureza altamente cancerígena do amianto crisotila, a existência de materiais alternativos à fibra de amianto e a ausência de revisão da legislação federal revelam a inconstitucionalidade superveniente (sob a óptica material) da Lei Federal 9.055/1995, por ofensa ao direito à saúde (art. 6º e 196, CF/88), ao dever estatal de redução dos riscos inerentes ao trabalho por meio de normas de saúde, higiene e segurança (art. 7º, inciso XXII, CF/88), e à proteção do meio ambiente (art. 225, CF/88). Diante da invalida</w:t>
      </w:r>
    </w:p>
    <w:p>
      <w:pPr>
        <w:ind w:left="288"/>
      </w:pPr>
      <w:r>
        <w:rPr>
          <w:b/>
          <w:color w:val="003CA0"/>
          <w:sz w:val="16"/>
        </w:rPr>
        <w:t>[ADI 3.937, red. do ac. min. Dias Toffoli, j. 24-8-2017, P, DJE de 1º-2-2019. ]</w:t>
      </w:r>
    </w:p>
    <w:p>
      <w:pPr>
        <w:ind w:left="288"/>
      </w:pPr>
      <w:r>
        <w:rPr>
          <w:color w:val="8C8C8C"/>
          <w:sz w:val="12"/>
        </w:rPr>
        <w:t>cf-art-225</w:t>
      </w:r>
      <w:r>
        <w:rPr>
          <w:color w:val="003CA0"/>
          <w:sz w:val="12"/>
        </w:rPr>
        <w:t xml:space="preserve"> | ADI 3.406</w:t>
      </w:r>
      <w:r>
        <w:rPr>
          <w:color w:val="003CA0"/>
          <w:sz w:val="12"/>
        </w:rPr>
        <w:t xml:space="preserve"> | rel. Rosa Weber</w:t>
      </w:r>
    </w:p>
    <w:p>
      <w:pPr>
        <w:ind w:left="288"/>
      </w:pPr>
      <w:r>
        <w:rPr>
          <w:color w:val="1E1E1E"/>
          <w:sz w:val="18"/>
        </w:rPr>
        <w:t>= ADI 3.406 e ADI 3.470, rel. min. Rosa Weber, j. 29-11-2017, P, DJE de 1º-2-2019 Art. 36 e seus §§ 1º, 2º e 3º, da Lei 9.985, de 18-7-2000. Constitucionalidade da compensação devida pela implantação de empreendimentos de significativo impacto ambiental. Inconstitucionalidade parcial do § 1º do art. 36. O compartilhamento-compensação ambiental de que trata o art. 36 da Lei 9.985/2000 não ofende o princípio da legalidade, dado haver sido a própria lei que previu o modo de financiamento dos gastos com as unidades de conservação da natureza. De igual forma, não há violação ao princípio da separaç</w:t>
      </w:r>
    </w:p>
    <w:p>
      <w:pPr>
        <w:ind w:left="144"/>
      </w:pPr>
      <w:r>
        <w:rPr>
          <w:b/>
          <w:color w:val="B45A00"/>
          <w:sz w:val="16"/>
        </w:rPr>
        <w:t>REPERCUSSAO GERAL</w:t>
      </w:r>
    </w:p>
    <w:p>
      <w:pPr>
        <w:ind w:left="288"/>
      </w:pPr>
      <w:r>
        <w:rPr>
          <w:color w:val="8C8C8C"/>
          <w:sz w:val="12"/>
        </w:rPr>
        <w:t>cf-art-225</w:t>
      </w:r>
      <w:r>
        <w:rPr>
          <w:color w:val="003CA0"/>
          <w:sz w:val="12"/>
        </w:rPr>
        <w:t xml:space="preserve"> | RE 607.109</w:t>
      </w:r>
      <w:r>
        <w:rPr>
          <w:color w:val="003CA0"/>
          <w:sz w:val="12"/>
        </w:rPr>
        <w:t xml:space="preserve"> | rel. Rosa Weber</w:t>
      </w:r>
    </w:p>
    <w:p>
      <w:pPr>
        <w:ind w:left="288"/>
      </w:pPr>
      <w:r>
        <w:rPr>
          <w:color w:val="1E1E1E"/>
          <w:sz w:val="18"/>
        </w:rPr>
        <w:t>Artigos 47 e 48 da Lei federal 11.196/2005. Possibilidade de apuração de créditos de PIS/Cofins na aquisição de insumos recicláveis. Coexistência dos regimes cumulativo e não-cumulativo da contribuição ao PIS/Cofins. Dualidade de alíquotas. Prejuízos econômicos ao contribuinte industrial dedicado à reciclagem. Inconstitucionalidade de tratamento tributário prejudicial à indústria de reciclagem. Princípio do protetor recebedor. Possibilidade concreta de os créditos fiscais superarem o valor do PIS/Cofins recolhido na etapa anterior da cadeia de produção. (...) Ética ambiental. Estado Socioambie</w:t>
      </w:r>
    </w:p>
    <w:p>
      <w:pPr>
        <w:ind w:left="288"/>
      </w:pPr>
      <w:r>
        <w:rPr>
          <w:b/>
          <w:color w:val="003CA0"/>
          <w:sz w:val="16"/>
        </w:rPr>
        <w:t>[RE 872.676, rel. min. Dias Toffoli, j. 26.11.2025, P, DJE de 10.12.2025.]</w:t>
      </w:r>
    </w:p>
    <w:p>
      <w:pPr>
        <w:ind w:left="144"/>
      </w:pPr>
      <w:r>
        <w:rPr>
          <w:b/>
          <w:color w:val="B45A00"/>
          <w:sz w:val="16"/>
        </w:rPr>
        <w:t>JULGADOS CORRELATOS</w:t>
      </w:r>
    </w:p>
    <w:p>
      <w:pPr>
        <w:ind w:left="288"/>
      </w:pPr>
      <w:r>
        <w:rPr>
          <w:color w:val="8C8C8C"/>
          <w:sz w:val="12"/>
        </w:rPr>
        <w:t>cf-art-225</w:t>
      </w:r>
      <w:r>
        <w:rPr>
          <w:color w:val="003CA0"/>
          <w:sz w:val="12"/>
        </w:rPr>
        <w:t xml:space="preserve"> | MS 25.284</w:t>
      </w:r>
      <w:r>
        <w:rPr>
          <w:color w:val="003CA0"/>
          <w:sz w:val="12"/>
        </w:rPr>
        <w:t xml:space="preserve"> | rel. Marco Aurélio</w:t>
      </w:r>
    </w:p>
    <w:p>
      <w:pPr>
        <w:ind w:left="288"/>
      </w:pPr>
      <w:r>
        <w:rPr>
          <w:color w:val="1E1E1E"/>
          <w:sz w:val="18"/>
        </w:rPr>
        <w:t>Reserva extrativista. Conflito de interesse. Coletivo versus individual. Ante o estabelecido no art. 225 da CF, conflito entre os interesses individual e coletivo resolve-se a favor deste último. (...) Não coabitam o mesmo teto, sob o ângulo constitucional, reserva extrativista e reforma agrária.</w:t>
      </w:r>
    </w:p>
    <w:p>
      <w:pPr>
        <w:ind w:left="288"/>
      </w:pPr>
      <w:r>
        <w:rPr>
          <w:b/>
          <w:color w:val="003CA0"/>
          <w:sz w:val="16"/>
        </w:rPr>
        <w:t>[MS 25.284, rel. min. Marco Aurélio, j. 17-6-2010, P, DJE de 13-8-2010.]</w:t>
      </w:r>
    </w:p>
    <w:p>
      <w:pPr>
        <w:ind w:left="288"/>
      </w:pPr>
      <w:r>
        <w:rPr>
          <w:color w:val="8C8C8C"/>
          <w:sz w:val="12"/>
        </w:rPr>
        <w:t>cf-art-225</w:t>
      </w:r>
      <w:r>
        <w:rPr>
          <w:color w:val="003CA0"/>
          <w:sz w:val="12"/>
        </w:rPr>
        <w:t xml:space="preserve"> | PET 3.388</w:t>
      </w:r>
      <w:r>
        <w:rPr>
          <w:color w:val="003CA0"/>
          <w:sz w:val="12"/>
        </w:rPr>
        <w:t xml:space="preserve"> | rel. Ayres Britto</w:t>
      </w:r>
    </w:p>
    <w:p>
      <w:pPr>
        <w:ind w:left="288"/>
      </w:pPr>
      <w:r>
        <w:rPr>
          <w:color w:val="1E1E1E"/>
          <w:sz w:val="18"/>
        </w:rPr>
        <w:t>Há perfeita compatibilidade entre meio ambiente e terras indígenas, ainda que estas envolvam áreas de "conservação" e "preservação" ambiental. Essa compatibilidade é que autoriza a dupla afetação, sob a administração do competente órgão de defesa ambiental.</w:t>
      </w:r>
    </w:p>
    <w:p>
      <w:pPr>
        <w:ind w:left="288"/>
      </w:pPr>
      <w:r>
        <w:rPr>
          <w:b/>
          <w:color w:val="003CA0"/>
          <w:sz w:val="16"/>
        </w:rPr>
        <w:t>[Pet 3.388, rel. min. Ayres Britto, j. 19-3-2009, P, DJE de 1º-7-2010.]</w:t>
      </w:r>
    </w:p>
    <w:p>
      <w:pPr>
        <w:ind w:left="288"/>
      </w:pPr>
      <w:r>
        <w:rPr>
          <w:color w:val="8C8C8C"/>
          <w:sz w:val="12"/>
        </w:rPr>
        <w:t>cf-art-225</w:t>
      </w:r>
      <w:r>
        <w:rPr>
          <w:color w:val="003CA0"/>
          <w:sz w:val="12"/>
        </w:rPr>
        <w:t xml:space="preserve"> | MS 22.164</w:t>
      </w:r>
      <w:r>
        <w:rPr>
          <w:color w:val="003CA0"/>
          <w:sz w:val="12"/>
        </w:rPr>
        <w:t xml:space="preserve"> | rel. Celso de Mello</w:t>
      </w:r>
    </w:p>
    <w:p>
      <w:pPr>
        <w:ind w:left="288"/>
      </w:pPr>
      <w:r>
        <w:rPr>
          <w:color w:val="1E1E1E"/>
          <w:sz w:val="18"/>
        </w:rPr>
        <w:t>O direito à integridade do meio ambiente – típico direito de terceira geração – constitui prerrogativa jurídica de titularidade coletiva, refletindo, dentro do processo de afirmação dos direitos humanos, a expressão significativa de um poder atribuído, não ao indivíduo identificado em sua singularidade, mas, num sentido verdadeiramente mais abrangente, à própria coletividade social. Enquanto os direitos de primeira geração (direitos civis e políticos) – que compreendem as liberdades clássicas, negativas ou formais – realçam o princípio da liberdade e os direitos de segunda geração (direitos ec</w:t>
      </w:r>
    </w:p>
    <w:p>
      <w:pPr>
        <w:ind w:left="288"/>
      </w:pPr>
      <w:r>
        <w:rPr>
          <w:b/>
          <w:color w:val="003CA0"/>
          <w:sz w:val="16"/>
        </w:rPr>
        <w:t>[MS 22.164, rel. min. Celso de Mello, j. 30-10-1995, P, DJ de17-11-1995.]</w:t>
      </w:r>
    </w:p>
    <w:p>
      <w:pPr>
        <w:ind w:left="144"/>
      </w:pPr>
      <w:r>
        <w:rPr>
          <w:b/>
          <w:color w:val="B45A00"/>
          <w:sz w:val="16"/>
        </w:rPr>
        <w:t>CONTROLE CONCENTRADO</w:t>
      </w:r>
    </w:p>
    <w:p>
      <w:pPr>
        <w:ind w:left="288"/>
      </w:pPr>
      <w:r>
        <w:rPr>
          <w:color w:val="8C8C8C"/>
          <w:sz w:val="12"/>
        </w:rPr>
        <w:t>cf-art-225-par-1</w:t>
      </w:r>
      <w:r>
        <w:rPr>
          <w:color w:val="003CA0"/>
          <w:sz w:val="12"/>
        </w:rPr>
        <w:t xml:space="preserve"> | ADI 4.029</w:t>
      </w:r>
      <w:r>
        <w:rPr>
          <w:color w:val="003CA0"/>
          <w:sz w:val="12"/>
        </w:rPr>
        <w:t xml:space="preserve"> | rel. Luiz Fux</w:t>
      </w:r>
    </w:p>
    <w:p>
      <w:pPr>
        <w:ind w:left="288"/>
      </w:pPr>
      <w:r>
        <w:rPr>
          <w:color w:val="1E1E1E"/>
          <w:sz w:val="18"/>
        </w:rPr>
        <w:t>Ação direta de inconstitucionalidade. Lei federal 11.516/2007. Criação do Instituto Chico Mendes de Conservação da Biodiversidade. (...) Não cabe ao Pretório Excelso discutir a implementação de políticas públicas, seja por não dispor do conhecimento necessário para especificar a engenharia administrativa necessária para o sucesso de um modelo de gestão ambiental, seja por não ser este o espaço idealizado pela Constituição para o debate em torno desse tipo de assunto. Inconstitucionalidade material inexistente.</w:t>
      </w:r>
    </w:p>
    <w:p>
      <w:pPr>
        <w:ind w:left="288"/>
      </w:pPr>
      <w:r>
        <w:rPr>
          <w:b/>
          <w:color w:val="003CA0"/>
          <w:sz w:val="16"/>
        </w:rPr>
        <w:t>[ADI 4.029, rel. min. Luiz Fux, j. 8-3-2012, P, DJE de 27-6-2012.]</w:t>
      </w:r>
    </w:p>
    <w:p>
      <w:pPr>
        <w:ind w:left="288"/>
      </w:pPr>
      <w:r>
        <w:rPr>
          <w:color w:val="8C8C8C"/>
          <w:sz w:val="12"/>
        </w:rPr>
        <w:t>cf-art-225-par-1</w:t>
      </w:r>
      <w:r>
        <w:rPr>
          <w:color w:val="003CA0"/>
          <w:sz w:val="12"/>
        </w:rPr>
        <w:t xml:space="preserve"> | ADI 3.252</w:t>
      </w:r>
      <w:r>
        <w:rPr>
          <w:color w:val="003CA0"/>
          <w:sz w:val="12"/>
        </w:rPr>
        <w:t xml:space="preserve"> | rel. Gilmar Mendes</w:t>
      </w:r>
    </w:p>
    <w:p>
      <w:pPr>
        <w:ind w:left="288"/>
      </w:pPr>
      <w:r>
        <w:rPr>
          <w:color w:val="1E1E1E"/>
          <w:sz w:val="18"/>
        </w:rPr>
        <w:t>Lei 1.315/2004 do Estado de Rondônia, (...) Condicionar a aprovação de licenciamento ambiental à prévia autorização da Assembleia Legislativa implica indevida interferência do Poder Legislativo na atuação do Poder Executivo, não autorizada pelo art. 2º da Constituição. (...) Compete à União legislar sobre normas gerais em matéria de licenciamento ambiental (art. 24, VI, da Constituição).</w:t>
      </w:r>
    </w:p>
    <w:p>
      <w:pPr>
        <w:ind w:left="288"/>
      </w:pPr>
      <w:r>
        <w:rPr>
          <w:b/>
          <w:color w:val="003CA0"/>
          <w:sz w:val="16"/>
        </w:rPr>
        <w:t>[ADI 3.252 MC, rel. min. Gilmar Mendes, j. 6-4-2005, P, DJE de 24-10-2008.]</w:t>
      </w:r>
    </w:p>
    <w:p>
      <w:pPr>
        <w:ind w:left="288"/>
      </w:pPr>
      <w:r>
        <w:rPr>
          <w:color w:val="8C8C8C"/>
          <w:sz w:val="12"/>
        </w:rPr>
        <w:t>cf-art-225-par-1-inc-II</w:t>
      </w:r>
    </w:p>
    <w:p>
      <w:pPr>
        <w:ind w:left="288"/>
      </w:pPr>
      <w:r>
        <w:rPr>
          <w:color w:val="1E1E1E"/>
          <w:sz w:val="18"/>
        </w:rPr>
        <w:t>III - definir, em todas as unidades da Federação, espaços territoriais e seus componentes a serem especialmente protegidos, sendo a alteração e a supressão permitidas somente através de lei, vedada qualquer utilização que comprometa a integridade dos atributos que justifiquem sua proteção;</w:t>
      </w:r>
    </w:p>
    <w:p>
      <w:pPr>
        <w:ind w:left="288"/>
      </w:pPr>
      <w:r>
        <w:rPr>
          <w:color w:val="8C8C8C"/>
          <w:sz w:val="12"/>
        </w:rPr>
        <w:t>cf-art-225-par-1-inc-II</w:t>
      </w:r>
      <w:r>
        <w:rPr>
          <w:color w:val="003CA0"/>
          <w:sz w:val="12"/>
        </w:rPr>
        <w:t xml:space="preserve"> | ADI 3.646</w:t>
      </w:r>
      <w:r>
        <w:rPr>
          <w:color w:val="003CA0"/>
          <w:sz w:val="12"/>
        </w:rPr>
        <w:t xml:space="preserve"> | rel. Dias Tofolli</w:t>
      </w:r>
    </w:p>
    <w:p>
      <w:pPr>
        <w:ind w:left="288"/>
      </w:pPr>
      <w:r>
        <w:rPr>
          <w:color w:val="1E1E1E"/>
          <w:sz w:val="18"/>
        </w:rPr>
        <w:t>A dicção do texto constitucional não provoca maiores problemas quanto à definição de ato normativo apto à instituição/criação de espaços territorialmente protegidos, dentre os quais se pode destacar as unidades de conservação regulamentadas pela Lei 9.985/2000. Tendo a Carta se referido à reserva de legislação somente como requisito de modificação ou supressão de unidade de conservação, abriu margem para que outros atos do Poder Público, além de lei em sentido estrito, pudessem ser utilizados como mecanismos de instituição de espaços ambientais protegidos.</w:t>
      </w:r>
    </w:p>
    <w:p>
      <w:pPr>
        <w:ind w:left="288"/>
      </w:pPr>
      <w:r>
        <w:rPr>
          <w:b/>
          <w:color w:val="003CA0"/>
          <w:sz w:val="16"/>
        </w:rPr>
        <w:t>[ADI 3.646, rel. min. Dias Tofolli, j. 20-9-2019, P, DJE de 2-12-2019.]</w:t>
      </w:r>
    </w:p>
    <w:p>
      <w:pPr>
        <w:ind w:left="288"/>
      </w:pPr>
      <w:r>
        <w:rPr>
          <w:color w:val="8C8C8C"/>
          <w:sz w:val="12"/>
        </w:rPr>
        <w:t>cf-art-225-par-1-inc-II</w:t>
      </w:r>
      <w:r>
        <w:rPr>
          <w:color w:val="003CA0"/>
          <w:sz w:val="12"/>
        </w:rPr>
        <w:t xml:space="preserve"> | ADI 4.717</w:t>
      </w:r>
      <w:r>
        <w:rPr>
          <w:color w:val="003CA0"/>
          <w:sz w:val="12"/>
        </w:rPr>
        <w:t xml:space="preserve"> | rel. Cármen Lúcia</w:t>
      </w:r>
    </w:p>
    <w:p>
      <w:pPr>
        <w:ind w:left="288"/>
      </w:pPr>
      <w:r>
        <w:rPr>
          <w:color w:val="1E1E1E"/>
          <w:sz w:val="18"/>
        </w:rPr>
        <w:t>As medidas provisórias não podem veicular norma que altere espaços territoriais especialmente protegidos, sob pena de ofensa ao art. 225, inc. III, da Constituição da República. As alterações promovidas pela Lei 12.678/2012 importaram diminuição da proteção dos ecossistemas abrangidos pelas unidades de conservação por ela atingidas, acarretando ofensa ao princípio da proibição de retrocesso socioambiental, pois atingiram o núcleo essencial do direito fundamental ao meio ambiente ecologicamente equilibrado previsto no art. 225 da Constituição da República.</w:t>
      </w:r>
    </w:p>
    <w:p>
      <w:pPr>
        <w:ind w:left="288"/>
      </w:pPr>
      <w:r>
        <w:rPr>
          <w:b/>
          <w:color w:val="003CA0"/>
          <w:sz w:val="16"/>
        </w:rPr>
        <w:t>[ADI 4.717, rel. min. Cármen Lúcia, j. 5-4-2018, P, DJE de 15-2-2019.]</w:t>
      </w:r>
    </w:p>
    <w:p>
      <w:pPr>
        <w:ind w:left="288"/>
      </w:pPr>
      <w:r>
        <w:rPr>
          <w:color w:val="8C8C8C"/>
          <w:sz w:val="12"/>
        </w:rPr>
        <w:t>cf-art-225-par-1-inc-II</w:t>
      </w:r>
      <w:r>
        <w:rPr>
          <w:color w:val="003CA0"/>
          <w:sz w:val="12"/>
        </w:rPr>
        <w:t xml:space="preserve"> | ADI 3.540</w:t>
      </w:r>
      <w:r>
        <w:rPr>
          <w:color w:val="003CA0"/>
          <w:sz w:val="12"/>
        </w:rPr>
        <w:t xml:space="preserve"> | rel. Celso de Mello</w:t>
      </w:r>
    </w:p>
    <w:p>
      <w:pPr>
        <w:ind w:left="288"/>
      </w:pPr>
      <w:r>
        <w:rPr>
          <w:color w:val="1E1E1E"/>
          <w:sz w:val="18"/>
        </w:rPr>
        <w:t>Meio ambiente. Direito à preservação de sua integridade (CF, art. 225). Prerrogativa qualificada por seu caráter de metaindividualidade. Direito de terceira geração (ou de novíssima dimensão) que consagra o postulado da solidariedade. Necessidade de impedir que a transgressão a esse direito faça irromper, no seio da coletividade, conflitos intergeneracionais. Espaços territoriais especialmente protegidos (CF, art. 225, § 1º, III). Alteração e supressão do regime jurídico a eles pertinente. Medidas sujeitas ao princípio constitucional da reserva de lei. Supressão de vegetação em área de preserv</w:t>
      </w:r>
    </w:p>
    <w:p>
      <w:pPr>
        <w:ind w:left="288"/>
      </w:pPr>
      <w:r>
        <w:rPr>
          <w:b/>
          <w:color w:val="003CA0"/>
          <w:sz w:val="16"/>
        </w:rPr>
        <w:t>[ADI 3.540 MC, rel. min. Celso de Mello, j. 1º-9-2005, P, DJ de 3-2-2006.]</w:t>
      </w:r>
    </w:p>
    <w:p>
      <w:pPr>
        <w:ind w:left="144"/>
      </w:pPr>
      <w:r>
        <w:rPr>
          <w:b/>
          <w:color w:val="B45A00"/>
          <w:sz w:val="16"/>
        </w:rPr>
        <w:t>JULGADOS CORRELATOS</w:t>
      </w:r>
    </w:p>
    <w:p>
      <w:pPr>
        <w:ind w:left="288"/>
      </w:pPr>
      <w:r>
        <w:rPr>
          <w:color w:val="8C8C8C"/>
          <w:sz w:val="12"/>
        </w:rPr>
        <w:t>cf-art-225-par-1-inc-II</w:t>
      </w:r>
      <w:r>
        <w:rPr>
          <w:color w:val="003CA0"/>
          <w:sz w:val="12"/>
        </w:rPr>
        <w:t xml:space="preserve"> | RE 519.778</w:t>
      </w:r>
      <w:r>
        <w:rPr>
          <w:color w:val="003CA0"/>
          <w:sz w:val="12"/>
        </w:rPr>
        <w:t xml:space="preserve"> | rel. Roberto Barroso</w:t>
      </w:r>
    </w:p>
    <w:p>
      <w:pPr>
        <w:ind w:left="288"/>
      </w:pPr>
      <w:r>
        <w:rPr>
          <w:color w:val="1E1E1E"/>
          <w:sz w:val="18"/>
        </w:rPr>
        <w:t>Ação direta de inconstitucionalidade estadual. Lei municipal que altera regime de ocupação do solo de zona de proteção ambiental. Lei municipal é a via própria para alteração do regime de ocupação do solo.</w:t>
      </w:r>
    </w:p>
    <w:p>
      <w:pPr>
        <w:ind w:left="288"/>
      </w:pPr>
      <w:r>
        <w:rPr>
          <w:b/>
          <w:color w:val="003CA0"/>
          <w:sz w:val="16"/>
        </w:rPr>
        <w:t>[RE 519.778 AgR, rel. min. Roberto Barroso, j. 24-6-2014, 1ª T, DJE de 1º-8-2014.]</w:t>
      </w:r>
    </w:p>
    <w:p>
      <w:pPr>
        <w:ind w:left="288"/>
      </w:pPr>
      <w:r>
        <w:rPr>
          <w:color w:val="8C8C8C"/>
          <w:sz w:val="12"/>
        </w:rPr>
        <w:t>cf-art-225-par-1-inc-II</w:t>
      </w:r>
      <w:r>
        <w:rPr>
          <w:color w:val="003CA0"/>
          <w:sz w:val="12"/>
        </w:rPr>
        <w:t xml:space="preserve"> | MS 27.622</w:t>
      </w:r>
      <w:r>
        <w:rPr>
          <w:color w:val="003CA0"/>
          <w:sz w:val="12"/>
        </w:rPr>
        <w:t xml:space="preserve"> | rel. Cezar Peluso</w:t>
      </w:r>
    </w:p>
    <w:p>
      <w:pPr>
        <w:ind w:left="288"/>
      </w:pPr>
      <w:r>
        <w:rPr>
          <w:color w:val="1E1E1E"/>
          <w:sz w:val="18"/>
        </w:rPr>
        <w:t>Não ofende direito subjetivo algum de particular o decreto que, para criar unidade de proteção integral, se baseia em procedimento onde se observaram todos os requisitos da Lei 9.985/2000.</w:t>
      </w:r>
    </w:p>
    <w:p>
      <w:pPr>
        <w:ind w:left="288"/>
      </w:pPr>
      <w:r>
        <w:rPr>
          <w:b/>
          <w:color w:val="003CA0"/>
          <w:sz w:val="16"/>
        </w:rPr>
        <w:t>[MS 27.622, rel. min. Cezar Peluso, j. 24-6-2010, P, DJE de 13-8-2010.]</w:t>
      </w:r>
    </w:p>
    <w:p>
      <w:pPr>
        <w:ind w:left="288"/>
      </w:pPr>
      <w:r>
        <w:rPr>
          <w:color w:val="8C8C8C"/>
          <w:sz w:val="12"/>
        </w:rPr>
        <w:t>cf-art-225-par-1-inc-II</w:t>
      </w:r>
      <w:r>
        <w:rPr>
          <w:color w:val="003CA0"/>
          <w:sz w:val="12"/>
        </w:rPr>
        <w:t xml:space="preserve"> | MS 25.284</w:t>
      </w:r>
      <w:r>
        <w:rPr>
          <w:color w:val="003CA0"/>
          <w:sz w:val="12"/>
        </w:rPr>
        <w:t xml:space="preserve"> | rel. Marco Aurélio</w:t>
      </w:r>
    </w:p>
    <w:p>
      <w:pPr>
        <w:ind w:left="288"/>
      </w:pPr>
      <w:r>
        <w:rPr>
          <w:color w:val="1E1E1E"/>
          <w:sz w:val="18"/>
        </w:rPr>
        <w:t>Os atos administrativos gozam da presunção de merecimento. (...) A criação de reserva ambiental faz-se mediante ato administrativo, surgindo a lei como exigência formal para a alteração ou a supressão – art. 225, III, do Diploma Maior. (...) Consulta pública e estudos técnicos. O disposto no § 2º do art. 22 da Lei 9.985/2000 objetiva identificar a localização, a dimensão e os limites da área da reserva ambiental. (...) A implementação do conselho deliberativo gestor de reserva extrativista ocorre após a edição do decreto versando-a.</w:t>
      </w:r>
    </w:p>
    <w:p>
      <w:pPr>
        <w:ind w:left="288"/>
      </w:pPr>
      <w:r>
        <w:rPr>
          <w:b/>
          <w:color w:val="003CA0"/>
          <w:sz w:val="16"/>
        </w:rPr>
        <w:t>[MS 25.284, rel. min. Marco Aurélio, j. 17-6-2010, P, DJE de 13-8-2010.]</w:t>
      </w:r>
    </w:p>
    <w:p>
      <w:pPr>
        <w:ind w:left="288"/>
      </w:pPr>
      <w:r>
        <w:rPr>
          <w:color w:val="8C8C8C"/>
          <w:sz w:val="12"/>
        </w:rPr>
        <w:t>cf-art-225-par-1-inc-II</w:t>
      </w:r>
      <w:r>
        <w:rPr>
          <w:color w:val="003CA0"/>
          <w:sz w:val="12"/>
        </w:rPr>
        <w:t xml:space="preserve"> | ADI 4.218</w:t>
      </w:r>
      <w:r>
        <w:rPr>
          <w:color w:val="003CA0"/>
          <w:sz w:val="12"/>
        </w:rPr>
        <w:t xml:space="preserve"> | rel. Luiz Fux</w:t>
      </w:r>
    </w:p>
    <w:p>
      <w:pPr>
        <w:ind w:left="288"/>
      </w:pPr>
      <w:r>
        <w:rPr>
          <w:color w:val="1E1E1E"/>
          <w:sz w:val="18"/>
        </w:rPr>
        <w:t>= ADI 4.218 AgR, rel. min. Luiz Fux, j. 13-12-2012, P, DJE de 19-2-2013 A Constituição do Brasil atribui ao poder público e à coletividade o dever de defender um meio ambiente ecologicamente equilibrado (Constituição do Brasil/1988, art. 225, § 1º, III). A delimitação dos espaços territoriais protegidos pode ser feita por decreto ou por lei, sendo esta imprescindível apenas quando se trate de alteração ou supressão desses espaços. Precedentes.</w:t>
      </w:r>
    </w:p>
    <w:p>
      <w:pPr>
        <w:ind w:left="288"/>
      </w:pPr>
      <w:r>
        <w:rPr>
          <w:b/>
          <w:color w:val="003CA0"/>
          <w:sz w:val="16"/>
        </w:rPr>
        <w:t>[MS 26.064, rel. min. Eros Grau, j. 17-6-2010, P, DJE de 6-8-2010.]</w:t>
      </w:r>
    </w:p>
    <w:p>
      <w:pPr>
        <w:ind w:left="288"/>
      </w:pPr>
      <w:r>
        <w:rPr>
          <w:color w:val="8C8C8C"/>
          <w:sz w:val="12"/>
        </w:rPr>
        <w:t>cf-art-225-par-1-inc-II</w:t>
      </w:r>
      <w:r>
        <w:rPr>
          <w:color w:val="003CA0"/>
          <w:sz w:val="12"/>
        </w:rPr>
        <w:t xml:space="preserve"> | RE 417.408</w:t>
      </w:r>
      <w:r>
        <w:rPr>
          <w:color w:val="003CA0"/>
          <w:sz w:val="12"/>
        </w:rPr>
        <w:t xml:space="preserve"> | rel. Dias Toffoli</w:t>
      </w:r>
    </w:p>
    <w:p>
      <w:pPr>
        <w:ind w:left="288"/>
      </w:pPr>
      <w:r>
        <w:rPr>
          <w:color w:val="1E1E1E"/>
          <w:sz w:val="18"/>
        </w:rPr>
        <w:t>= RE 417.408 AgR, rel. min. Dias Toffoli, j. 20-3-2012, 1ª T, DJE de 26-4-2012 É importante salientar que a consulta pública, não obstante se constitua em instrumento essencialmente democrático, que retira o povo da plateia e o coloca no palco dos assuntos públicos, não tem, aqui, a natureza de um plebiscito. Algumas manifestações contrárias à criação da estação ecológica não têm a força de inviabilizar o empreendimento, até porque a finalidade da consulta pública é apenas "subsidiar a definição da localização, da dimensão e dos limites mais adequados para a unidade" (art. 5º do Decreto 4.340/</w:t>
      </w:r>
    </w:p>
    <w:p>
      <w:pPr>
        <w:ind w:left="288"/>
      </w:pPr>
      <w:r>
        <w:rPr>
          <w:b/>
          <w:color w:val="003CA0"/>
          <w:sz w:val="16"/>
        </w:rPr>
        <w:t>[MS 25.347, voto do rel. min. Ayres Britto, j. 17-2-2010, P, DJE de 19-3-2010.]</w:t>
      </w:r>
    </w:p>
    <w:p>
      <w:pPr>
        <w:ind w:left="288"/>
      </w:pPr>
      <w:r>
        <w:rPr>
          <w:color w:val="8C8C8C"/>
          <w:sz w:val="12"/>
        </w:rPr>
        <w:t>cf-art-225-par-1-inc-II</w:t>
      </w:r>
    </w:p>
    <w:p>
      <w:pPr>
        <w:ind w:left="288"/>
      </w:pPr>
      <w:r>
        <w:rPr>
          <w:color w:val="1E1E1E"/>
          <w:sz w:val="18"/>
        </w:rPr>
        <w:t>IV - exigir, na forma da lei, para instalação de obra ou atividade potencialmente causadora de significativa degradação do meio ambiente, estudo prévio de impacto ambiental, a que se dará publicidade;</w:t>
      </w:r>
    </w:p>
    <w:p>
      <w:pPr>
        <w:ind w:left="144"/>
      </w:pPr>
      <w:r>
        <w:rPr>
          <w:b/>
          <w:color w:val="B45A00"/>
          <w:sz w:val="16"/>
        </w:rPr>
        <w:t>CONTROLE CONCENTRADO</w:t>
      </w:r>
    </w:p>
    <w:p>
      <w:pPr>
        <w:ind w:left="288"/>
      </w:pPr>
      <w:r>
        <w:rPr>
          <w:color w:val="8C8C8C"/>
          <w:sz w:val="12"/>
        </w:rPr>
        <w:t>cf-art-225-par-1-inc-II</w:t>
      </w:r>
      <w:r>
        <w:rPr>
          <w:color w:val="003CA0"/>
          <w:sz w:val="12"/>
        </w:rPr>
        <w:t xml:space="preserve"> | ADI 1.086</w:t>
      </w:r>
      <w:r>
        <w:rPr>
          <w:color w:val="003CA0"/>
          <w:sz w:val="12"/>
        </w:rPr>
        <w:t xml:space="preserve"> | rel. Ilmar Galvão</w:t>
      </w:r>
    </w:p>
    <w:p>
      <w:pPr>
        <w:ind w:left="288"/>
      </w:pPr>
      <w:r>
        <w:rPr>
          <w:color w:val="1E1E1E"/>
          <w:sz w:val="18"/>
        </w:rPr>
        <w:t>Art. 182, § 3º, da Constituição do Estado de Santa Catarina. Estudo de impacto ambiental. Contrariedade ao art. 225, § 1º, IV, da Carta da República. A norma impugnada, ao dispensar a elaboração de estudo prévio de impacto ambiental no caso de áreas de florestamento ou reflorestamento para fins empresariais, cria exceção incompatível com o disposto no mencionado inciso IV do § 1º do art. 225 da CF.</w:t>
      </w:r>
    </w:p>
    <w:p>
      <w:pPr>
        <w:ind w:left="288"/>
      </w:pPr>
      <w:r>
        <w:rPr>
          <w:b/>
          <w:color w:val="003CA0"/>
          <w:sz w:val="16"/>
        </w:rPr>
        <w:t>[ADI 1.086, rel. min. Ilmar Galvão, j. 7-6-2001, P, DJ de 10-8-2001.]</w:t>
      </w:r>
    </w:p>
    <w:p>
      <w:pPr>
        <w:ind w:left="144"/>
      </w:pPr>
      <w:r>
        <w:rPr>
          <w:b/>
          <w:color w:val="B45A00"/>
          <w:sz w:val="16"/>
        </w:rPr>
        <w:t>REPERCUSSAO GERAL</w:t>
      </w:r>
    </w:p>
    <w:p>
      <w:pPr>
        <w:ind w:left="288"/>
      </w:pPr>
      <w:r>
        <w:rPr>
          <w:color w:val="8C8C8C"/>
          <w:sz w:val="12"/>
        </w:rPr>
        <w:t>cf-art-225-par-1-inc-II</w:t>
      </w:r>
      <w:r>
        <w:rPr>
          <w:color w:val="003CA0"/>
          <w:sz w:val="12"/>
        </w:rPr>
        <w:t xml:space="preserve"> | RE 627.189</w:t>
      </w:r>
      <w:r>
        <w:rPr>
          <w:color w:val="003CA0"/>
          <w:sz w:val="12"/>
        </w:rPr>
        <w:t xml:space="preserve"> | rel. Dias Toffoli</w:t>
      </w:r>
    </w:p>
    <w:p>
      <w:pPr>
        <w:ind w:left="288"/>
      </w:pPr>
      <w:r>
        <w:rPr>
          <w:color w:val="1E1E1E"/>
          <w:sz w:val="18"/>
        </w:rPr>
        <w:t>(...) no atual estágio do conhecimento científico, que indica ser incerta a existência de efeitos nocivos da exposição ocupacional e da população em geral a campos elétricos, magnéticos e eletromagnéticos gerados por sistemas de energia elétrica, não existem impedimentos, por ora, a que sejam adotados os parâmetros propostos pela Organização Mundial de Saúde, conforme estabelece a Lei 11.934/2009.</w:t>
        <w:br/>
        <w:t>[RE 627.189, rel. min. Dias Toffoli, j. 8-6-2016, P, DJE de 3-4-2017, Tema 479, com mérito julgado.]</w:t>
      </w:r>
    </w:p>
    <w:p>
      <w:pPr>
        <w:ind w:left="144"/>
      </w:pPr>
      <w:r>
        <w:rPr>
          <w:b/>
          <w:color w:val="B45A00"/>
          <w:sz w:val="16"/>
        </w:rPr>
        <w:t>JULGADOS CORRELATOS</w:t>
      </w:r>
    </w:p>
    <w:p>
      <w:pPr>
        <w:ind w:left="288"/>
      </w:pPr>
      <w:r>
        <w:rPr>
          <w:color w:val="8C8C8C"/>
          <w:sz w:val="12"/>
        </w:rPr>
        <w:t>cf-art-225-par-1-inc-II</w:t>
      </w:r>
      <w:r>
        <w:rPr>
          <w:color w:val="003CA0"/>
          <w:sz w:val="12"/>
        </w:rPr>
        <w:t xml:space="preserve"> | ACO 876</w:t>
      </w:r>
      <w:r>
        <w:rPr>
          <w:color w:val="003CA0"/>
          <w:sz w:val="12"/>
        </w:rPr>
        <w:t xml:space="preserve"> | rel. Menezes Direito</w:t>
      </w:r>
    </w:p>
    <w:p>
      <w:pPr>
        <w:ind w:left="288"/>
      </w:pPr>
      <w:r>
        <w:rPr>
          <w:color w:val="1E1E1E"/>
          <w:sz w:val="18"/>
        </w:rPr>
        <w:t>Projeto de integração do rio São Francisco com as bacias hidrográficas do Nordeste Setentrional. Periculum in mora não evidenciado. (...) A licença de instalação levou em conta o fato de que as condicionantes para a licença prévia estão sendo cumpridas, tendo o Ibama apresentado programas e planos relevantes para o sucesso da obra, dos quais resultaram novas condicionantes para a validade da referida licença de instalação. A correta execução do projeto depende, primordialmente, da efetiva fiscalização e empenho do Estado para proteger o meio ambiente e as sociedades próximas. Havendo, tão some</w:t>
      </w:r>
    </w:p>
    <w:p>
      <w:pPr>
        <w:ind w:left="288"/>
      </w:pPr>
      <w:r>
        <w:rPr>
          <w:b/>
          <w:color w:val="003CA0"/>
          <w:sz w:val="16"/>
        </w:rPr>
        <w:t>[ACO 876 MC-AgR, rel. min. Menezes Direito, j. 19-12-2007, P, DJE de 1º-8-2008.]</w:t>
      </w:r>
    </w:p>
    <w:p>
      <w:pPr>
        <w:ind w:left="144"/>
      </w:pPr>
      <w:r>
        <w:rPr>
          <w:b/>
          <w:color w:val="B45A00"/>
          <w:sz w:val="16"/>
        </w:rPr>
        <w:t>CONTROLE CONCENTRADO</w:t>
      </w:r>
    </w:p>
    <w:p>
      <w:pPr>
        <w:ind w:left="288"/>
      </w:pPr>
      <w:r>
        <w:rPr>
          <w:color w:val="8C8C8C"/>
          <w:sz w:val="12"/>
        </w:rPr>
        <w:t>cf-art-225-par-1-inc-V</w:t>
      </w:r>
      <w:r>
        <w:rPr>
          <w:color w:val="003CA0"/>
          <w:sz w:val="12"/>
        </w:rPr>
        <w:t xml:space="preserve"> | ADI 861</w:t>
      </w:r>
      <w:r>
        <w:rPr>
          <w:color w:val="003CA0"/>
          <w:sz w:val="12"/>
        </w:rPr>
        <w:t xml:space="preserve"> | rel. Rosa Weber</w:t>
      </w:r>
    </w:p>
    <w:p>
      <w:pPr>
        <w:ind w:left="288"/>
      </w:pPr>
      <w:r>
        <w:rPr>
          <w:color w:val="1E1E1E"/>
          <w:sz w:val="18"/>
        </w:rPr>
        <w:t>Ao orientarem o controle do esforço de pesca em consideração ao poder de pesca, o desempenho das embarcações e o volume da fauna acompanhante desperdiçada, estipularem limites de aproveitamento da fauna acompanhante à pesca industrial de arrasto de camarões e veicularem normas destinadas à mitigação do impacto ambiental da atividade, os arts. 1º, § 2º, e 2º, §§ 1º e 2º, da Lei 64/1993 mantêm-se dentro dos limites da competência legislativa concorrente do Estado (art. 24, VI, da CF), além de consonantes com o postulado da proporcionalidade e os imperativos de preservação e defesa do meio ambien</w:t>
      </w:r>
    </w:p>
    <w:p>
      <w:pPr>
        <w:ind w:left="288"/>
      </w:pPr>
      <w:r>
        <w:rPr>
          <w:b/>
          <w:color w:val="003CA0"/>
          <w:sz w:val="16"/>
        </w:rPr>
        <w:t>[ADI 861, rel. min. Rosa Weber, j. 6-3-2020, P, DJE de 5-6-2020.]</w:t>
      </w:r>
    </w:p>
    <w:p>
      <w:pPr>
        <w:ind w:left="288"/>
      </w:pPr>
      <w:r>
        <w:rPr>
          <w:color w:val="8C8C8C"/>
          <w:sz w:val="12"/>
        </w:rPr>
        <w:t>cf-art-225-par-1-inc-V</w:t>
      </w:r>
      <w:r>
        <w:rPr>
          <w:color w:val="003CA0"/>
          <w:sz w:val="12"/>
        </w:rPr>
        <w:t xml:space="preserve"> | ADI 5.592</w:t>
      </w:r>
    </w:p>
    <w:p>
      <w:pPr>
        <w:ind w:left="288"/>
      </w:pPr>
      <w:r>
        <w:rPr>
          <w:color w:val="1E1E1E"/>
          <w:sz w:val="18"/>
        </w:rPr>
        <w:t>Apesar de submeter a incorporação do mecanismo de dispersão de substâncias químicas por aeronaves para combate ao mosquito transmissor do vírus da dengue, do vírus chikungunya e do vírus da zika à autorização da autoridade sanitária e à comprovação de eficácia da prática no combate ao mosquito, o legislador assumiu a positivação do instrumento sem a realização prévia de estudos em obediência ao princípio da precaução, o que pode levar à violação à sistemática de proteção ambiental contida no artigo 225 da Constituição Federal. (...) Em atendimento aos princípios da precaução e da prevenção, be</w:t>
      </w:r>
    </w:p>
    <w:p>
      <w:pPr>
        <w:ind w:left="288"/>
      </w:pPr>
      <w:r>
        <w:rPr>
          <w:b/>
          <w:color w:val="003CA0"/>
          <w:sz w:val="16"/>
        </w:rPr>
        <w:t>[ADI 5.592, red. do ac. min. Edson Fachin, j. 11-9-2019, P, DJE de 10-3-2020.]</w:t>
      </w:r>
    </w:p>
    <w:p>
      <w:pPr>
        <w:ind w:left="288"/>
      </w:pPr>
      <w:r>
        <w:rPr>
          <w:color w:val="8C8C8C"/>
          <w:sz w:val="12"/>
        </w:rPr>
        <w:t>cf-art-225-par-1-inc-V</w:t>
      </w:r>
      <w:r>
        <w:rPr>
          <w:color w:val="003CA0"/>
          <w:sz w:val="12"/>
        </w:rPr>
        <w:t xml:space="preserve"> | ADI 4.066</w:t>
      </w:r>
      <w:r>
        <w:rPr>
          <w:color w:val="003CA0"/>
          <w:sz w:val="12"/>
        </w:rPr>
        <w:t xml:space="preserve"> | rel. Rosa Weber</w:t>
      </w:r>
    </w:p>
    <w:p>
      <w:pPr>
        <w:ind w:left="288"/>
      </w:pPr>
      <w:r>
        <w:rPr>
          <w:color w:val="1E1E1E"/>
          <w:sz w:val="18"/>
        </w:rPr>
        <w:t xml:space="preserve">O art. 225, § 1º, V, da CF (a) legitima medidas de controle da produção, da comercialização e do emprego de técnicas, métodos e substâncias que comportam risco para a vida, a qualidade de vida e o meio ambiente, sempre que necessárias, adequadas e suficientes para assegurar a efetividade do direito fundamental ao meio ambiente ecologicamente equilibrado; (b) deslegitima, por insuficientes, medidas incapazes de aliviar satisfatoriamente o risco gerado para a vida, para a qualidade de vida e para o meio ambiente; e (c) ampara eventual vedação, banimento ou proibição dirigida a técnicas, métodos </w:t>
      </w:r>
    </w:p>
    <w:p>
      <w:pPr>
        <w:ind w:left="288"/>
      </w:pPr>
      <w:r>
        <w:rPr>
          <w:b/>
          <w:color w:val="003CA0"/>
          <w:sz w:val="16"/>
        </w:rPr>
        <w:t>[ADI 4.066, rel. min. Rosa Weber, j. 24-8-2017, P, DJE de 7-3-2018.]</w:t>
      </w:r>
    </w:p>
    <w:p>
      <w:pPr>
        <w:ind w:left="144"/>
      </w:pPr>
      <w:r>
        <w:rPr>
          <w:b/>
          <w:color w:val="B45A00"/>
          <w:sz w:val="16"/>
        </w:rPr>
        <w:t>JULGADOS CORRELATOS</w:t>
      </w:r>
    </w:p>
    <w:p>
      <w:pPr>
        <w:ind w:left="288"/>
      </w:pPr>
      <w:r>
        <w:rPr>
          <w:color w:val="8C8C8C"/>
          <w:sz w:val="12"/>
        </w:rPr>
        <w:t>cf-art-225-par-1-inc-V</w:t>
      </w:r>
      <w:r>
        <w:rPr>
          <w:color w:val="003CA0"/>
          <w:sz w:val="12"/>
        </w:rPr>
        <w:t xml:space="preserve"> | rel. Dias Toffoli</w:t>
      </w:r>
    </w:p>
    <w:p>
      <w:pPr>
        <w:ind w:left="288"/>
      </w:pPr>
      <w:r>
        <w:rPr>
          <w:color w:val="1E1E1E"/>
          <w:sz w:val="18"/>
        </w:rPr>
        <w:t>Controle sanitário. Aditivos alimentares. Obrigatoriedade de informação na embalagem de produto alimentício. Tema reservado à regulação do poder executivo. (...) Devem ser observados a proporcionalidade da atuação do Estado na consecução do dever prescrito nos arts. 196 e 197 da CF/88, bem como os limites da interferência do Ministério Público e do Poder Judiciário no exercício da atribuição institucional da ANVISA de controle sanitário da produção e da comercialização de substâncias que apresentem risco à saúde e à qualidade de vida da população (art. 2º c/c o art. 225, § 1º, V, da CF/88).</w:t>
      </w:r>
    </w:p>
    <w:p>
      <w:pPr>
        <w:ind w:left="288"/>
      </w:pPr>
      <w:r>
        <w:rPr>
          <w:b/>
          <w:color w:val="003CA0"/>
          <w:sz w:val="16"/>
        </w:rPr>
        <w:t>[STP 124 AgR, rel. min. Dias Toffoli, j. 6-9-2019, P, DJE de 7-10-2019.]</w:t>
      </w:r>
    </w:p>
    <w:p>
      <w:pPr>
        <w:ind w:left="144"/>
      </w:pPr>
      <w:r>
        <w:rPr>
          <w:b/>
          <w:color w:val="B45A00"/>
          <w:sz w:val="16"/>
        </w:rPr>
        <w:t>REPERCUSSAO GERAL</w:t>
      </w:r>
    </w:p>
    <w:p>
      <w:pPr>
        <w:ind w:left="288"/>
      </w:pPr>
      <w:r>
        <w:rPr>
          <w:color w:val="8C8C8C"/>
          <w:sz w:val="12"/>
        </w:rPr>
        <w:t>cf-art-225-par-1-inc-V</w:t>
      </w:r>
      <w:r>
        <w:rPr>
          <w:color w:val="003CA0"/>
          <w:sz w:val="12"/>
        </w:rPr>
        <w:t xml:space="preserve"> | RE 627.189</w:t>
      </w:r>
      <w:r>
        <w:rPr>
          <w:color w:val="003CA0"/>
          <w:sz w:val="12"/>
        </w:rPr>
        <w:t xml:space="preserve"> | rel. Dias Toffoli</w:t>
      </w:r>
    </w:p>
    <w:p>
      <w:pPr>
        <w:ind w:left="288"/>
      </w:pPr>
      <w:r>
        <w:rPr>
          <w:color w:val="1E1E1E"/>
          <w:sz w:val="18"/>
        </w:rPr>
        <w:t>(...) no atual estágio do conhecimento científico, que indica ser incerta a existência de efeitos nocivos da exposição ocupacional e da população em geral a campos elétricos, magnéticos e eletromagnéticos gerados por sistemas de energia elétrica, não existem impedimentos, por ora, a que sejam adotados os parâmetros propostos pela Organização Mundial de Saúde, conforme estabelece a Lei 11.934/2009.</w:t>
        <w:br/>
        <w:t>[RE 627.189, rel. min. Dias Toffoli, j. 8-6-2016, P, DJE de 3-4-2017, Tema 479, com mérito julgado.]</w:t>
      </w:r>
    </w:p>
    <w:p>
      <w:pPr>
        <w:ind w:left="144"/>
      </w:pPr>
      <w:r>
        <w:rPr>
          <w:b/>
          <w:color w:val="B45A00"/>
          <w:sz w:val="16"/>
        </w:rPr>
        <w:t>CONTROLE CONCENTRADO</w:t>
      </w:r>
    </w:p>
    <w:p>
      <w:pPr>
        <w:ind w:left="288"/>
      </w:pPr>
      <w:r>
        <w:rPr>
          <w:color w:val="8C8C8C"/>
          <w:sz w:val="12"/>
        </w:rPr>
        <w:t>cf-art-225-par-1-inc-VI</w:t>
      </w:r>
      <w:r>
        <w:rPr>
          <w:color w:val="003CA0"/>
          <w:sz w:val="12"/>
        </w:rPr>
        <w:t xml:space="preserve"> | ADPF 651</w:t>
      </w:r>
      <w:r>
        <w:rPr>
          <w:color w:val="003CA0"/>
          <w:sz w:val="12"/>
        </w:rPr>
        <w:t xml:space="preserve"> | rel. Cármen Lúcia</w:t>
      </w:r>
    </w:p>
    <w:p>
      <w:pPr>
        <w:ind w:left="288"/>
      </w:pPr>
      <w:r>
        <w:rPr>
          <w:color w:val="1E1E1E"/>
          <w:sz w:val="18"/>
        </w:rPr>
        <w:t>Decreto Presidencial n. 10.224, de 5.2.2020. Exclusão da sociedade civil do Conselho Deliberativo do Fundo Nacional do Meio Ambiente. Decreto Presidencial n. 10.239, de 11.2.2020. Exclusão dos Governadores do Conselho Nacional da Amazônia. Decreto Presidencial n. 10.223, de 5.2.2020. Extinção do Comitê Orientador do Fundo Amazônia. (...) Nas normas impugnadas, a pretexto de reorganizar a Administração Pública federal quanto à composição do Conselho Deliberativo do Fundo Nacional do Meio Ambiental, do Conselho Nacional da Amazônia e do Comitê Orientador do Fundo Amazônia, frustra-se a participa</w:t>
      </w:r>
    </w:p>
    <w:p>
      <w:pPr>
        <w:ind w:left="288"/>
      </w:pPr>
      <w:r>
        <w:rPr>
          <w:color w:val="8C8C8C"/>
          <w:sz w:val="12"/>
        </w:rPr>
        <w:t>cf-art-225-par-1-inc-VII</w:t>
      </w:r>
      <w:r>
        <w:rPr>
          <w:color w:val="003CA0"/>
          <w:sz w:val="12"/>
        </w:rPr>
        <w:t xml:space="preserve"> | ADI 7.056</w:t>
      </w:r>
      <w:r>
        <w:rPr>
          <w:color w:val="003CA0"/>
          <w:sz w:val="12"/>
        </w:rPr>
        <w:t xml:space="preserve"> | rel. Dias Toffoli</w:t>
      </w:r>
    </w:p>
    <w:p>
      <w:pPr>
        <w:ind w:left="288"/>
      </w:pPr>
      <w:r>
        <w:rPr>
          <w:color w:val="1E1E1E"/>
          <w:sz w:val="18"/>
        </w:rPr>
        <w:t>Artigo 30, § 3º, da Lei nº 12.854/03 do Estado de Santa Catarina (redação do art. 2º da Lei Estadual nº 18.116/21). Código de Proteção aos Animais. Associação Nacional dos Criadores e Preservadores de Aves de Raça Combatentes (ANACOM). (...) Os criadores de aves de combate somente serão responsabilizados quando pratiquem a atividade em benefício da rinha de galos, não alcançando os criadores que realizem a atividade de forma alheia a essa prática cruel. A norma estadual concretiza a proteção jurídico-constitucional referente à vedação, em cláusula genérica, a qualquer forma de submissão de ani</w:t>
      </w:r>
    </w:p>
    <w:p>
      <w:pPr>
        <w:ind w:left="288"/>
      </w:pPr>
      <w:r>
        <w:rPr>
          <w:b/>
          <w:color w:val="003CA0"/>
          <w:sz w:val="16"/>
        </w:rPr>
        <w:t>[ADI 7.056, rel. min. Dias Toffoli, j. 30.09.2024, P, DJE de 11.10.2024.]</w:t>
      </w:r>
    </w:p>
    <w:p>
      <w:pPr>
        <w:ind w:left="288"/>
      </w:pPr>
      <w:r>
        <w:rPr>
          <w:color w:val="8C8C8C"/>
          <w:sz w:val="12"/>
        </w:rPr>
        <w:t>cf-art-225-par-1-inc-VII</w:t>
      </w:r>
      <w:r>
        <w:rPr>
          <w:color w:val="003CA0"/>
          <w:sz w:val="12"/>
        </w:rPr>
        <w:t xml:space="preserve"> | ADI 7.704</w:t>
      </w:r>
      <w:r>
        <w:rPr>
          <w:color w:val="003CA0"/>
          <w:sz w:val="12"/>
        </w:rPr>
        <w:t xml:space="preserve"> | rel. Flávio Dino</w:t>
      </w:r>
    </w:p>
    <w:p>
      <w:pPr>
        <w:ind w:left="288"/>
      </w:pPr>
      <w:r>
        <w:rPr>
          <w:color w:val="1E1E1E"/>
          <w:sz w:val="18"/>
        </w:rPr>
        <w:t xml:space="preserve">A lei estadual estabelece que os canis e gatis, que realizam atividade econômica de criação, devem castrar todos os cães e gatos antes dos 4 (quatro) meses de idade. Estudos científicos demonstram que a castração precoce e indiscriminada de cães e gatos, sem considerar suas características individuais e o contexto em que inseridos, põe em risco a saúde e a integridade física desses animais, uma vez que aumenta significativamente os riscos de má formação fisiológica e morfológica, além de doenças que prejudicam as presentes e comprometem as futuras gerações dos cães e gatos. (...) A manutenção </w:t>
      </w:r>
    </w:p>
    <w:p>
      <w:pPr>
        <w:ind w:left="288"/>
      </w:pPr>
      <w:r>
        <w:rPr>
          <w:b/>
          <w:color w:val="003CA0"/>
          <w:sz w:val="16"/>
        </w:rPr>
        <w:t>[ADI 4.983, rel. min. Marco Aurélio, j. 6-10-2016, P, DJE de 27-4-2017.]</w:t>
      </w:r>
    </w:p>
    <w:p>
      <w:pPr>
        <w:ind w:left="288"/>
      </w:pPr>
      <w:r>
        <w:rPr>
          <w:color w:val="8C8C8C"/>
          <w:sz w:val="12"/>
        </w:rPr>
        <w:t>cf-art-225-par-1-inc-VII</w:t>
      </w:r>
      <w:r>
        <w:rPr>
          <w:color w:val="003CA0"/>
          <w:sz w:val="12"/>
        </w:rPr>
        <w:t xml:space="preserve"> | ADI 3.776</w:t>
      </w:r>
      <w:r>
        <w:rPr>
          <w:color w:val="003CA0"/>
          <w:sz w:val="12"/>
        </w:rPr>
        <w:t xml:space="preserve"> | rel. Cezar Peluso</w:t>
      </w:r>
    </w:p>
    <w:p>
      <w:pPr>
        <w:ind w:left="288"/>
      </w:pPr>
      <w:r>
        <w:rPr>
          <w:color w:val="1E1E1E"/>
          <w:sz w:val="18"/>
        </w:rPr>
        <w:t>Lei 7.380/1998 do Estado do Rio Grande do Norte. Atividades esportivas com aves das raças combatentes. "Rinhas" ou "brigas de galo". Regulamentação. Inadmissibilidade. Meio ambiente. Animais. Submissão a tratamento cruel. Ofensa ao art. 225, § 1º, VII, da CF. (...) É inconstitucional a lei estadual que autorize e regulamente, sob título de práticas ou atividades esportivas com aves de raças ditas combatentes, as chamadas "rinhas" ou "brigas de galo".</w:t>
      </w:r>
    </w:p>
    <w:p>
      <w:pPr>
        <w:ind w:left="288"/>
      </w:pPr>
      <w:r>
        <w:rPr>
          <w:b/>
          <w:color w:val="003CA0"/>
          <w:sz w:val="16"/>
        </w:rPr>
        <w:t>[ADI 3.776, rel. min. Cezar Peluso, j. 14-6-2007, P, DJ de 29-6-2007.]</w:t>
      </w:r>
    </w:p>
    <w:p>
      <w:pPr>
        <w:ind w:left="288"/>
      </w:pPr>
      <w:r>
        <w:rPr>
          <w:color w:val="8C8C8C"/>
          <w:sz w:val="12"/>
        </w:rPr>
        <w:t>cf-art-225-par-1-inc-VII</w:t>
      </w:r>
      <w:r>
        <w:rPr>
          <w:color w:val="003CA0"/>
          <w:sz w:val="12"/>
        </w:rPr>
        <w:t xml:space="preserve"> | ADI 1.856</w:t>
      </w:r>
      <w:r>
        <w:rPr>
          <w:color w:val="003CA0"/>
          <w:sz w:val="12"/>
        </w:rPr>
        <w:t xml:space="preserve"> | rel. Celso de Mello</w:t>
      </w:r>
    </w:p>
    <w:p>
      <w:pPr>
        <w:ind w:left="288"/>
      </w:pPr>
      <w:r>
        <w:rPr>
          <w:color w:val="1E1E1E"/>
          <w:sz w:val="18"/>
        </w:rPr>
        <w:t>= ADI 1.856, rel. min. Celso de Mello, j. 26-5-2011, P, DJE de 14-10-2011</w:t>
      </w:r>
    </w:p>
    <w:p>
      <w:pPr>
        <w:ind w:left="144"/>
      </w:pPr>
      <w:r>
        <w:rPr>
          <w:b/>
          <w:color w:val="B45A00"/>
          <w:sz w:val="16"/>
        </w:rPr>
        <w:t>JULGADOS CORRELATOS</w:t>
      </w:r>
    </w:p>
    <w:p>
      <w:pPr>
        <w:ind w:left="288"/>
      </w:pPr>
      <w:r>
        <w:rPr>
          <w:color w:val="8C8C8C"/>
          <w:sz w:val="12"/>
        </w:rPr>
        <w:t>cf-art-225-par-1-inc-VII</w:t>
      </w:r>
      <w:r>
        <w:rPr>
          <w:color w:val="003CA0"/>
          <w:sz w:val="12"/>
        </w:rPr>
        <w:t xml:space="preserve"> | RE 494.601</w:t>
      </w:r>
    </w:p>
    <w:p>
      <w:pPr>
        <w:ind w:left="288"/>
      </w:pPr>
      <w:r>
        <w:rPr>
          <w:color w:val="1E1E1E"/>
          <w:sz w:val="18"/>
        </w:rPr>
        <w:t>A prática e os rituais relacionados ao sacrifício animal são patrimônio cultural imaterial e constituem os modos de criar, fazer e viver de diversas comunidades religiosas, particularmente das que vivenciam a liberdade religiosa a partir de práticas não institucionais. A dimensão comunitária da liberdade religiosa é digna de proteção constitucional e não atenta contra o princípio da laicidade. O sentido de laicidade empregado no texto constitucional destina-se a afastar a invocação de motivos religiosos no espaço público como justificativa para a imposição de obrigações. A validade de justific</w:t>
      </w:r>
    </w:p>
    <w:p>
      <w:pPr>
        <w:ind w:left="288"/>
      </w:pPr>
      <w:r>
        <w:rPr>
          <w:b/>
          <w:color w:val="003CA0"/>
          <w:sz w:val="16"/>
        </w:rPr>
        <w:t>[RE 494.601, red do ac. min. Edson Fachin, j. 28-3-2019, P, DJE de 19-11-2019.]</w:t>
      </w:r>
    </w:p>
    <w:p>
      <w:pPr>
        <w:ind w:left="288"/>
      </w:pPr>
      <w:r>
        <w:rPr>
          <w:color w:val="8C8C8C"/>
          <w:sz w:val="12"/>
        </w:rPr>
        <w:t>cf-art-225-par-1-inc-VII</w:t>
      </w:r>
      <w:r>
        <w:rPr>
          <w:color w:val="003CA0"/>
          <w:sz w:val="12"/>
        </w:rPr>
        <w:t xml:space="preserve"> | RE 153.531</w:t>
      </w:r>
    </w:p>
    <w:p>
      <w:pPr>
        <w:ind w:left="288"/>
      </w:pPr>
      <w:r>
        <w:rPr>
          <w:color w:val="1E1E1E"/>
          <w:sz w:val="18"/>
        </w:rPr>
        <w:t>A obrigação de o Estado garantir a todos o pleno exercício de direitos culturais, incentivando a valorização e a difusão das manifestações, não prescinde da observância da norma do inciso VII do art. 225 da CF, no que veda prática que acabe por submeter os animais a crueldade. Procedimento discrepante da norma constitucional denominado "farra do boi".</w:t>
      </w:r>
    </w:p>
    <w:p>
      <w:pPr>
        <w:ind w:left="288"/>
      </w:pPr>
      <w:r>
        <w:rPr>
          <w:b/>
          <w:color w:val="003CA0"/>
          <w:sz w:val="16"/>
        </w:rPr>
        <w:t>[RE 153.531, red do ac. min. Marco Aurélio, j. 3-6-1997, 2ª T, DJ de 13-3-1998.]</w:t>
      </w:r>
    </w:p>
    <w:p>
      <w:pPr>
        <w:ind w:left="288"/>
      </w:pPr>
      <w:r>
        <w:rPr>
          <w:color w:val="8C8C8C"/>
          <w:sz w:val="12"/>
        </w:rPr>
        <w:t>cf-art-225-par-1-inc-VII</w:t>
      </w:r>
      <w:r>
        <w:rPr>
          <w:color w:val="003CA0"/>
          <w:sz w:val="12"/>
        </w:rPr>
        <w:t xml:space="preserve"> | ADI 1.856</w:t>
      </w:r>
      <w:r>
        <w:rPr>
          <w:color w:val="003CA0"/>
          <w:sz w:val="12"/>
        </w:rPr>
        <w:t xml:space="preserve"> | rel. Celso de Mello</w:t>
      </w:r>
    </w:p>
    <w:p>
      <w:pPr>
        <w:ind w:left="288"/>
      </w:pPr>
      <w:r>
        <w:rPr>
          <w:color w:val="1E1E1E"/>
          <w:sz w:val="18"/>
        </w:rPr>
        <w:t>Vide ADI 1.856, rel. min. Celso de Mello, j. 26-5-2011, P, DJE de 14-10-2011</w:t>
      </w:r>
    </w:p>
    <w:p>
      <w:pPr>
        <w:ind w:left="144"/>
      </w:pPr>
      <w:r>
        <w:rPr>
          <w:b/>
          <w:color w:val="B45A00"/>
          <w:sz w:val="16"/>
        </w:rPr>
        <w:t>CONTROLE CONCENTRADO</w:t>
      </w:r>
    </w:p>
    <w:p>
      <w:pPr>
        <w:ind w:left="288"/>
      </w:pPr>
      <w:r>
        <w:rPr>
          <w:color w:val="8C8C8C"/>
          <w:sz w:val="12"/>
        </w:rPr>
        <w:t>cf-art-225-par-2</w:t>
      </w:r>
      <w:r>
        <w:rPr>
          <w:color w:val="003CA0"/>
          <w:sz w:val="12"/>
        </w:rPr>
        <w:t xml:space="preserve"> | ADI 4.031</w:t>
      </w:r>
      <w:r>
        <w:rPr>
          <w:color w:val="003CA0"/>
          <w:sz w:val="12"/>
        </w:rPr>
        <w:t xml:space="preserve"> | rel. Rosa Weber</w:t>
      </w:r>
    </w:p>
    <w:p>
      <w:pPr>
        <w:ind w:left="288"/>
      </w:pPr>
      <w:r>
        <w:rPr>
          <w:color w:val="1E1E1E"/>
          <w:sz w:val="18"/>
        </w:rPr>
        <w:t>As atividades de exploração de recursos minerais, dado o seu especial impacto no meio ambiente, estão sujeitas a regime jurídico complexo e robusto de controle das suas operações e das condicionantes impostas como salvaguardas ambientais, incidentes tanto o direito minerário como o direito ambiental e seus correspondentes instrumentos e competências. É o que traduzem o art. 225, § 2º, CRFB, ao prever necessária a reparação dos danos decorrentes da exploração dos recursos minerais, e, especialmente, as engrenagens do federalismo cooperativo ecológico, estruturado no dever fundamental de proteçã</w:t>
      </w:r>
    </w:p>
    <w:p>
      <w:pPr>
        <w:ind w:left="288"/>
      </w:pPr>
      <w:r>
        <w:rPr>
          <w:color w:val="8C8C8C"/>
          <w:sz w:val="12"/>
        </w:rPr>
        <w:t>cf-art-225-par-3</w:t>
      </w:r>
      <w:r>
        <w:rPr>
          <w:color w:val="003CA0"/>
          <w:sz w:val="12"/>
        </w:rPr>
        <w:t xml:space="preserve"> | ADI 4.031</w:t>
      </w:r>
      <w:r>
        <w:rPr>
          <w:color w:val="003CA0"/>
          <w:sz w:val="12"/>
        </w:rPr>
        <w:t xml:space="preserve"> | rel. Rosa Weber</w:t>
      </w:r>
    </w:p>
    <w:p>
      <w:pPr>
        <w:ind w:left="288"/>
      </w:pPr>
      <w:r>
        <w:rPr>
          <w:color w:val="1E1E1E"/>
          <w:sz w:val="18"/>
        </w:rPr>
        <w:t>Controvérsia constitucional que tem por objeto a Lei nº 6.986/2007, do Estado do Pará, que altera a Lei Estadual nº 6.986/1995, a prever indenização monetária pelos danos causados ao meio ambiente pela atividade de exploração e aproveitamento de recursos minerais, sob qualquer regime de exploração e aproveitamento, no referido Estado. (...) Imposta, pela Constituição, a tutela ecológica efetiva, adequada e tempestiva (art. 225), procede afirmar a preferência pelas formas de tutela preventivas – que se voltam a impedir que o próprio ilícito ocorra, e possivelmente o próprio dano – ou, no caso d</w:t>
      </w:r>
    </w:p>
    <w:p>
      <w:pPr>
        <w:ind w:left="288"/>
      </w:pPr>
      <w:r>
        <w:rPr>
          <w:b/>
          <w:color w:val="003CA0"/>
          <w:sz w:val="16"/>
        </w:rPr>
        <w:t>[ARE 1.352.872, rel. min. Cristiano Zanin, j. 31.03.2025, P, DJE de 08.04.2025, Tema 1.194, com mérito julgado.]</w:t>
      </w:r>
    </w:p>
    <w:p>
      <w:pPr>
        <w:ind w:left="288"/>
      </w:pPr>
      <w:r>
        <w:rPr>
          <w:color w:val="8C8C8C"/>
          <w:sz w:val="12"/>
        </w:rPr>
        <w:t>cf-art-225-par-3</w:t>
      </w:r>
      <w:r>
        <w:rPr>
          <w:color w:val="003CA0"/>
          <w:sz w:val="12"/>
        </w:rPr>
        <w:t xml:space="preserve"> | RE 654.833</w:t>
      </w:r>
      <w:r>
        <w:rPr>
          <w:color w:val="003CA0"/>
          <w:sz w:val="12"/>
        </w:rPr>
        <w:t xml:space="preserve"> | rel. Alexandre de Moraes</w:t>
      </w:r>
    </w:p>
    <w:p>
      <w:pPr>
        <w:ind w:left="288"/>
      </w:pPr>
      <w:r>
        <w:rPr>
          <w:color w:val="1E1E1E"/>
          <w:sz w:val="18"/>
        </w:rPr>
        <w:t>A reparação do dano ao meio ambiente é direito fundamental indisponível, sendo imperativo o reconhecimento da imprescritibilidade no que toca à recomposição dos danos ambientais.</w:t>
      </w:r>
    </w:p>
    <w:p>
      <w:pPr>
        <w:ind w:left="288"/>
      </w:pPr>
      <w:r>
        <w:rPr>
          <w:b/>
          <w:color w:val="003CA0"/>
          <w:sz w:val="16"/>
        </w:rPr>
        <w:t>[RE 654.833, rel. min. Alexandre de Moraes, j. 20-4-2020, P, DJE de 24-6-2020, Tema 999, com mérito julgado.]</w:t>
      </w:r>
    </w:p>
    <w:p>
      <w:pPr>
        <w:ind w:left="144"/>
      </w:pPr>
      <w:r>
        <w:rPr>
          <w:b/>
          <w:color w:val="B45A00"/>
          <w:sz w:val="16"/>
        </w:rPr>
        <w:t>JULGADOS CORRELATOS</w:t>
      </w:r>
    </w:p>
    <w:p>
      <w:pPr>
        <w:ind w:left="288"/>
      </w:pPr>
      <w:r>
        <w:rPr>
          <w:color w:val="8C8C8C"/>
          <w:sz w:val="12"/>
        </w:rPr>
        <w:t>cf-art-225-par-3</w:t>
      </w:r>
      <w:r>
        <w:rPr>
          <w:color w:val="003CA0"/>
          <w:sz w:val="12"/>
        </w:rPr>
        <w:t xml:space="preserve"> | RE 1.408.464</w:t>
      </w:r>
      <w:r>
        <w:rPr>
          <w:color w:val="003CA0"/>
          <w:sz w:val="12"/>
        </w:rPr>
        <w:t xml:space="preserve"> | rel. Alexandre de Moraes</w:t>
      </w:r>
    </w:p>
    <w:p>
      <w:pPr>
        <w:ind w:left="288"/>
      </w:pPr>
      <w:r>
        <w:rPr>
          <w:color w:val="1E1E1E"/>
          <w:sz w:val="18"/>
        </w:rPr>
        <w:t>O dano patrimonial causado pela exploração minerária irregular, com inegável impacto ambiental, não constitui simples ilícito civil, equiparável, por exemplo, a um acidente de trânsito ou ao ressarcimento decorrente de uma bolsa de estudos irregularmente concedida. A usurpação minerária constitui ilícito que assume indiscutível dimensão ambiental, a atrair a tese fixada no julgamento do Tema nº 999 do ementário da Repercussão Geral, segundo a qual “é imprescritível a pretensão de reparação civil de dano ambiental” (RE nº 654.833-RG/AC, Rel. Min. Alexandre de Moraes, j. 20/04/2020, p. 24/06/202</w:t>
      </w:r>
    </w:p>
    <w:p>
      <w:pPr>
        <w:ind w:left="288"/>
      </w:pPr>
      <w:r>
        <w:rPr>
          <w:b/>
          <w:color w:val="003CA0"/>
          <w:sz w:val="16"/>
        </w:rPr>
        <w:t>[HC 85.190, rel. min. Joaquim Barbosa, j. 8-11-2005, 2ª T, DJ de 10-3-2006.]</w:t>
      </w:r>
    </w:p>
    <w:p>
      <w:pPr>
        <w:ind w:left="288"/>
      </w:pPr>
      <w:r>
        <w:rPr>
          <w:color w:val="8C8C8C"/>
          <w:sz w:val="12"/>
        </w:rPr>
        <w:t>cf-art-225-par-3</w:t>
      </w:r>
      <w:r>
        <w:rPr>
          <w:color w:val="003CA0"/>
          <w:sz w:val="12"/>
        </w:rPr>
        <w:t xml:space="preserve"> | HC 101.851</w:t>
      </w:r>
      <w:r>
        <w:rPr>
          <w:color w:val="003CA0"/>
          <w:sz w:val="12"/>
        </w:rPr>
        <w:t xml:space="preserve"> | rel. Dias Toffoli</w:t>
      </w:r>
    </w:p>
    <w:p>
      <w:pPr>
        <w:ind w:left="288"/>
      </w:pPr>
      <w:r>
        <w:rPr>
          <w:color w:val="1E1E1E"/>
          <w:sz w:val="18"/>
        </w:rPr>
        <w:t>= HC 101.851, rel. min. Dias Toffoli, j. 3-8-2010, 1ª T, DJE de 22-10-2010 Habeas corpus. Responsabilidade penal objetiva. Crime ambiental previsto no art. 2º da Lei 9.605/1998. Evento danoso: vazamento em um oleoduto da Petrobras. Ausência de nexo causal. Responsabilidade pelo dano ao meio ambiente não atribuível diretamente ao dirigente da Petrobras. Existência de instâncias gerenciais e de operação para fiscalizar o estado de conservação dos 14 mil quilômetros de oleodutos. Não configuração de relação de causalidade entre o fato imputado e o suposto agente criminoso. Diferenças entre condut</w:t>
      </w:r>
    </w:p>
    <w:p>
      <w:pPr>
        <w:ind w:left="288"/>
      </w:pPr>
      <w:r>
        <w:rPr>
          <w:b/>
          <w:color w:val="003CA0"/>
          <w:sz w:val="16"/>
        </w:rPr>
        <w:t>[HC 83.554, rel. min. Gilmar Mendes, j. 16-8-2005, 2ª T, DJ de 28-10-2005.]</w:t>
      </w:r>
    </w:p>
    <w:p>
      <w:pPr>
        <w:ind w:left="288"/>
      </w:pPr>
      <w:r>
        <w:rPr>
          <w:color w:val="8C8C8C"/>
          <w:sz w:val="12"/>
        </w:rPr>
        <w:t>cf-art-225-par-3</w:t>
      </w:r>
      <w:r>
        <w:rPr>
          <w:color w:val="003CA0"/>
          <w:sz w:val="12"/>
        </w:rPr>
        <w:t xml:space="preserve"> | ADI 1.049</w:t>
      </w:r>
      <w:r>
        <w:rPr>
          <w:color w:val="003CA0"/>
          <w:sz w:val="12"/>
        </w:rPr>
        <w:t xml:space="preserve"> | rel. Octavio Gallotti</w:t>
      </w:r>
    </w:p>
    <w:p>
      <w:pPr>
        <w:ind w:left="288"/>
      </w:pPr>
      <w:r>
        <w:rPr>
          <w:color w:val="1E1E1E"/>
          <w:sz w:val="18"/>
        </w:rPr>
        <w:t>Multa por degradação do meio ambiente. Exercida defesa prévia à homologação do auto de infração, não padece de vício de inconstitucionalidade a legislação municipal que exige o depósito prévio do valor da multa como condição ao uso de recurso administrativo, pois não se insere, na Carta de 1988, garantia do duplo grau de jurisdição administrativa. Precedentes: ADI 1.049 MC, sessão de 18-5-1995, RE 210.246, 12-11-1997.</w:t>
      </w:r>
    </w:p>
    <w:p>
      <w:pPr>
        <w:ind w:left="288"/>
      </w:pPr>
      <w:r>
        <w:rPr>
          <w:b/>
          <w:color w:val="003CA0"/>
          <w:sz w:val="16"/>
        </w:rPr>
        <w:t>[RE 169.077, rel. min. Octavio Gallotti, j. 5-12-1997, 1ª T, DJ de 27-3-1998.]</w:t>
      </w:r>
    </w:p>
    <w:p>
      <w:pPr>
        <w:ind w:left="288"/>
      </w:pPr>
      <w:r>
        <w:rPr>
          <w:color w:val="8C8C8C"/>
          <w:sz w:val="12"/>
        </w:rPr>
        <w:t>cf-art-225-par-4</w:t>
      </w:r>
      <w:r>
        <w:rPr>
          <w:color w:val="003CA0"/>
          <w:sz w:val="12"/>
        </w:rPr>
        <w:t xml:space="preserve"> | ADI 7.007</w:t>
      </w:r>
      <w:r>
        <w:rPr>
          <w:color w:val="003CA0"/>
          <w:sz w:val="12"/>
        </w:rPr>
        <w:t xml:space="preserve"> | rel. Cristiano Zanin</w:t>
      </w:r>
    </w:p>
    <w:p>
      <w:pPr>
        <w:ind w:left="288"/>
      </w:pPr>
      <w:r>
        <w:rPr>
          <w:color w:val="1E1E1E"/>
          <w:sz w:val="18"/>
        </w:rPr>
        <w:t>A Zona Costeira e o Mata Atlântica são consideradas, pelo art. 225, § 4°, da Constituição Federal, patrimônio nacional, portanto são objeto de especial proteção pela ordem jurídica brasileira. A Zona Costeira, devido à rica e importante biodiversidade ambiental e à relevância estratégica e econômica para o país, direciona à União a competência para a concessão de licenciamento ambiental. 5. O licenciamento ambiental da Zona Costeira obedece às diretrizes e normas federais, sobretudo as Leis n. 6.938/1981, a Lei Complementar n. 140/2011 e a Lei n. 7.661/1988 (regulamentada pelo Decreto n. 5.300</w:t>
      </w:r>
    </w:p>
    <w:p>
      <w:pPr>
        <w:ind w:left="288"/>
      </w:pPr>
      <w:r>
        <w:rPr>
          <w:b/>
          <w:color w:val="003CA0"/>
          <w:sz w:val="16"/>
        </w:rPr>
        <w:t>[ADI 7.007, rel. min. Cristiano Zanin, j. 31.03.2025, P, DJE de 04.04.2025.</w:t>
      </w:r>
    </w:p>
    <w:p>
      <w:pPr>
        <w:ind w:left="144"/>
      </w:pPr>
      <w:r>
        <w:rPr>
          <w:b/>
          <w:color w:val="B45A00"/>
          <w:sz w:val="16"/>
        </w:rPr>
        <w:t>CONTROLE CONCENTRADO</w:t>
      </w:r>
    </w:p>
    <w:p>
      <w:pPr>
        <w:ind w:left="288"/>
      </w:pPr>
      <w:r>
        <w:rPr>
          <w:color w:val="8C8C8C"/>
          <w:sz w:val="12"/>
        </w:rPr>
        <w:t>cf-art-225-par-4</w:t>
      </w:r>
      <w:r>
        <w:rPr>
          <w:color w:val="003CA0"/>
          <w:sz w:val="12"/>
        </w:rPr>
        <w:t xml:space="preserve"> | ADO 63</w:t>
      </w:r>
      <w:r>
        <w:rPr>
          <w:color w:val="003CA0"/>
          <w:sz w:val="12"/>
        </w:rPr>
        <w:t xml:space="preserve"> | rel. André Mendonça</w:t>
      </w:r>
    </w:p>
    <w:p>
      <w:pPr>
        <w:ind w:left="288"/>
      </w:pPr>
      <w:r>
        <w:rPr>
          <w:color w:val="1E1E1E"/>
          <w:sz w:val="18"/>
        </w:rPr>
        <w:t>“1. Existe omissão inconstitucional relativamente à edição de lei regulamentadora da especial proteção do bioma Pantanal Mato-Grossense, prevista no art. 225, § 4º, in fine, da Constituição. 2. Fica estabelecido o prazo de 18 meses para o Congresso Nacional sanar a omissão apontada, contados da publicação da ata de julgamento. 3. Revela-se inadequada, neste momento processual, a adoção de provimento normativo de caráter temporário atinente à aplicação extensivo-analógica da Lei da Mata Atlântica (Lei nº 11.428, de 2006) ao Pantanal mato-grossense. 4. Não sobrevindo a lei regulamentadora no pra</w:t>
      </w:r>
    </w:p>
    <w:p>
      <w:pPr>
        <w:ind w:left="288"/>
      </w:pPr>
      <w:r>
        <w:rPr>
          <w:b/>
          <w:color w:val="003CA0"/>
          <w:sz w:val="16"/>
        </w:rPr>
        <w:t>[ADI 1.516 MC, rel. min. Sydney Sanches, j. 6-3-1997, P, DJ de 13-8-1999.]</w:t>
      </w:r>
    </w:p>
    <w:p>
      <w:pPr>
        <w:ind w:left="144"/>
      </w:pPr>
      <w:r>
        <w:rPr>
          <w:b/>
          <w:color w:val="B45A00"/>
          <w:sz w:val="16"/>
        </w:rPr>
        <w:t>JULGADOS CORRELATOS</w:t>
      </w:r>
    </w:p>
    <w:p>
      <w:pPr>
        <w:ind w:left="288"/>
      </w:pPr>
      <w:r>
        <w:rPr>
          <w:color w:val="8C8C8C"/>
          <w:sz w:val="12"/>
        </w:rPr>
        <w:t>cf-art-225-par-4</w:t>
      </w:r>
      <w:r>
        <w:rPr>
          <w:color w:val="003CA0"/>
          <w:sz w:val="12"/>
        </w:rPr>
        <w:t xml:space="preserve"> | RE 471.110</w:t>
      </w:r>
      <w:r>
        <w:rPr>
          <w:color w:val="003CA0"/>
          <w:sz w:val="12"/>
        </w:rPr>
        <w:t xml:space="preserve"> | rel. Sepúlveda Pertence</w:t>
      </w:r>
    </w:p>
    <w:p>
      <w:pPr>
        <w:ind w:left="288"/>
      </w:pPr>
      <w:r>
        <w:rPr>
          <w:color w:val="1E1E1E"/>
          <w:sz w:val="18"/>
        </w:rPr>
        <w:t>Reserva Florestal Serra do Mar: indenização. É da jurisprudência do Supremo Tribunal que é devida indenização pela desapropriação de área pertencente à Reserva Florestal Serra do Mar, independentemente das limitações administrativas impostas para proteção ambiental dessa propriedade.</w:t>
      </w:r>
    </w:p>
    <w:p>
      <w:pPr>
        <w:ind w:left="288"/>
      </w:pPr>
      <w:r>
        <w:rPr>
          <w:b/>
          <w:color w:val="003CA0"/>
          <w:sz w:val="16"/>
        </w:rPr>
        <w:t>[RE 471.110 AgR, rel. min. Sepúlveda Pertence, j. 14-11-2006, 1ª T, DJ de 7-12-2006.]</w:t>
      </w:r>
    </w:p>
    <w:p>
      <w:pPr>
        <w:ind w:left="288"/>
      </w:pPr>
      <w:r>
        <w:rPr>
          <w:color w:val="8C8C8C"/>
          <w:sz w:val="12"/>
        </w:rPr>
        <w:t>cf-art-225-par-4</w:t>
      </w:r>
      <w:r>
        <w:rPr>
          <w:color w:val="003CA0"/>
          <w:sz w:val="12"/>
        </w:rPr>
        <w:t xml:space="preserve"> | MS 22.164</w:t>
      </w:r>
      <w:r>
        <w:rPr>
          <w:color w:val="003CA0"/>
          <w:sz w:val="12"/>
        </w:rPr>
        <w:t xml:space="preserve"> | rel. Celso de Mello</w:t>
      </w:r>
    </w:p>
    <w:p>
      <w:pPr>
        <w:ind w:left="288"/>
      </w:pPr>
      <w:r>
        <w:rPr>
          <w:color w:val="1E1E1E"/>
          <w:sz w:val="18"/>
        </w:rPr>
        <w:t>Pantanal Mato-Grossense (CF, art. 225, § 4º). Possibilidade jurídica de expropriação de imóveis rurais nele situados, para fins de reforma agrária. A norma inscrita no art. 225, § 4º, da Constituição não atua, em tese, como impedimento jurídico à efetivação, pela União Federal, de atividade expropriatória destinada a promover e a executar projetos de reforma agrária nas áreas referidas nesse preceito constitucional, notadamente nos imóveis rurais situados no Pantanal Mato-Grossense. A própria Constituição da República, ao impor ao poder público o dever de fazer respeitar a integridade do patri</w:t>
      </w:r>
    </w:p>
    <w:p>
      <w:pPr>
        <w:ind w:left="288"/>
      </w:pPr>
      <w:r>
        <w:rPr>
          <w:b/>
          <w:color w:val="003CA0"/>
          <w:sz w:val="16"/>
        </w:rPr>
        <w:t>[MS 22.164, rel. min. Celso de Mello, j. 30-10-1995, P, DJ de 17-11-1995.]</w:t>
      </w:r>
    </w:p>
    <w:p>
      <w:pPr>
        <w:ind w:left="288"/>
      </w:pPr>
      <w:r>
        <w:rPr>
          <w:color w:val="8C8C8C"/>
          <w:sz w:val="12"/>
        </w:rPr>
        <w:t>cf-art-225-par-4</w:t>
      </w:r>
      <w:r>
        <w:rPr>
          <w:color w:val="003CA0"/>
          <w:sz w:val="12"/>
        </w:rPr>
        <w:t xml:space="preserve"> | RE 134.297</w:t>
      </w:r>
      <w:r>
        <w:rPr>
          <w:color w:val="003CA0"/>
          <w:sz w:val="12"/>
        </w:rPr>
        <w:t xml:space="preserve"> | rel. Celso de Mello</w:t>
      </w:r>
    </w:p>
    <w:p>
      <w:pPr>
        <w:ind w:left="288"/>
      </w:pPr>
      <w:r>
        <w:rPr>
          <w:color w:val="1E1E1E"/>
          <w:sz w:val="18"/>
        </w:rPr>
        <w:t>A norma inscrita no art. 225, § 4º, da Constituição deve ser interpretada de modo harmonioso com o sistema jurídico consagrado pelo ordenamento fundamental, notadamente com a cláusula que, proclamada pelo art. 5º, XXII, da Carta Política, garante e assegura o direito de propriedade em todas as suas projeções, inclusive aquela concernente à compensação financeira devida pelo poder público ao proprietário atingido por atos imputáveis à atividade estatal.</w:t>
      </w:r>
    </w:p>
    <w:p>
      <w:pPr>
        <w:ind w:left="288"/>
      </w:pPr>
      <w:r>
        <w:rPr>
          <w:b/>
          <w:color w:val="003CA0"/>
          <w:sz w:val="16"/>
        </w:rPr>
        <w:t>[RE 134.297, rel. min. Celso de Mello, j. 13-6-1995, 1ª T, DJ de 22-9-1995.]</w:t>
      </w:r>
    </w:p>
    <w:p>
      <w:pPr>
        <w:ind w:left="288"/>
      </w:pPr>
      <w:r>
        <w:rPr>
          <w:color w:val="8C8C8C"/>
          <w:sz w:val="12"/>
        </w:rPr>
        <w:t>cf-art-225-par-6</w:t>
      </w:r>
    </w:p>
    <w:p>
      <w:pPr>
        <w:ind w:left="288"/>
      </w:pPr>
      <w:r>
        <w:rPr>
          <w:color w:val="1E1E1E"/>
          <w:sz w:val="18"/>
        </w:rPr>
        <w:t>CAPÍTULO VII Da Família, da Criança, do Adolescente, do Jovem e do Idoso (Redação da EC 65/2010) SUMÁRIO</w:t>
      </w:r>
    </w:p>
    <w:p>
      <w:pPr>
        <w:ind w:left="432"/>
      </w:pPr>
      <w:r>
        <w:rPr>
          <w:color w:val="003366"/>
          <w:sz w:val="18"/>
        </w:rPr>
        <w:t>§ 1 Para assegurar a efetividade desse direito, incumbe ao Poder Público:</w:t>
      </w:r>
    </w:p>
    <w:p>
      <w:pPr>
        <w:ind w:left="720"/>
      </w:pPr>
      <w:r>
        <w:rPr>
          <w:color w:val="003366"/>
          <w:sz w:val="18"/>
        </w:rPr>
        <w:t>I – preservar e restaurar os processos ecológicos essenciais e prover o manejo e</w:t>
      </w:r>
    </w:p>
    <w:p>
      <w:pPr>
        <w:ind w:left="720"/>
      </w:pPr>
      <w:r>
        <w:rPr>
          <w:color w:val="003366"/>
          <w:sz w:val="18"/>
        </w:rPr>
        <w:t>II – preservar a diversidade e a integridade do patrimônio genético do País e fi</w:t>
      </w:r>
    </w:p>
    <w:p>
      <w:pPr>
        <w:ind w:left="720"/>
      </w:pPr>
      <w:r>
        <w:rPr>
          <w:color w:val="003366"/>
          <w:sz w:val="18"/>
        </w:rPr>
        <w:t>III – definir, em todas as unidades da Federação, espaços territoriais e seus co</w:t>
      </w:r>
    </w:p>
    <w:p>
      <w:pPr>
        <w:ind w:left="720"/>
      </w:pPr>
      <w:r>
        <w:rPr>
          <w:color w:val="003366"/>
          <w:sz w:val="18"/>
        </w:rPr>
        <w:t>IV – exigir, na forma da lei, para instalação de obra ou atividade potencialment</w:t>
      </w:r>
    </w:p>
    <w:p>
      <w:pPr>
        <w:ind w:left="720"/>
      </w:pPr>
      <w:r>
        <w:rPr>
          <w:color w:val="003366"/>
          <w:sz w:val="18"/>
        </w:rPr>
        <w:t>V – controlar a produção, a comercialização e o emprego de técnicas, métodos e s</w:t>
      </w:r>
    </w:p>
    <w:p>
      <w:pPr>
        <w:ind w:left="720"/>
      </w:pPr>
      <w:r>
        <w:rPr>
          <w:color w:val="003366"/>
          <w:sz w:val="18"/>
        </w:rPr>
        <w:t>VI – promover a educação ambiental em todos os níveis de ensino e a conscientiza</w:t>
      </w:r>
    </w:p>
    <w:p>
      <w:pPr>
        <w:ind w:left="720"/>
      </w:pPr>
      <w:r>
        <w:rPr>
          <w:color w:val="003366"/>
          <w:sz w:val="18"/>
        </w:rPr>
        <w:t>VII – proteger a fauna e a flora, vedadas, na forma da lei, as práticas que colo</w:t>
      </w:r>
    </w:p>
    <w:p>
      <w:pPr>
        <w:ind w:left="720"/>
      </w:pPr>
      <w:r>
        <w:rPr>
          <w:color w:val="003366"/>
          <w:sz w:val="18"/>
        </w:rPr>
        <w:t>VIII – manter regime fiscal favorecido para os biocombustíveis e para o hidrogên</w:t>
      </w:r>
    </w:p>
    <w:p>
      <w:pPr>
        <w:ind w:left="432"/>
      </w:pPr>
      <w:r>
        <w:rPr>
          <w:color w:val="003366"/>
          <w:sz w:val="18"/>
        </w:rPr>
        <w:t>§ 2 Aquele que explorar recursos minerais fica obrigado a recuperar o meio ambie</w:t>
      </w:r>
    </w:p>
    <w:p>
      <w:pPr>
        <w:ind w:left="432"/>
      </w:pPr>
      <w:r>
        <w:rPr>
          <w:color w:val="003366"/>
          <w:sz w:val="18"/>
        </w:rPr>
        <w:t>§ 3 As condutas e atividades consideradas lesivas ao meio ambiente sujeitarão os</w:t>
      </w:r>
    </w:p>
    <w:p>
      <w:pPr>
        <w:ind w:left="432"/>
      </w:pPr>
      <w:r>
        <w:rPr>
          <w:color w:val="003366"/>
          <w:sz w:val="18"/>
        </w:rPr>
        <w:t>§ 4 A Floresta Amazônica brasileira, a Mata Atlântica, a Serra do Mar, o Pantana</w:t>
      </w:r>
    </w:p>
    <w:p>
      <w:pPr>
        <w:ind w:left="432"/>
      </w:pPr>
      <w:r>
        <w:rPr>
          <w:color w:val="003366"/>
          <w:sz w:val="18"/>
        </w:rPr>
        <w:t>§ 5 São indisponíveis as terras devolutas ou arrecadadas pelos Estados, por açõe</w:t>
      </w:r>
    </w:p>
    <w:p>
      <w:pPr>
        <w:ind w:left="432"/>
      </w:pPr>
      <w:r>
        <w:rPr>
          <w:color w:val="003366"/>
          <w:sz w:val="18"/>
        </w:rPr>
        <w:t>§ 6 As usinas que operem com reator nuclear deverão ter sua localização definida</w:t>
      </w:r>
    </w:p>
    <w:p>
      <w:pPr>
        <w:ind w:left="432"/>
      </w:pPr>
      <w:r>
        <w:rPr>
          <w:color w:val="003366"/>
          <w:sz w:val="18"/>
        </w:rPr>
        <w:t>§ 7 Para fins do disposto na parte final do inciso VII do § 1º deste artigo, não</w:t>
      </w:r>
    </w:p>
    <w:p>
      <w:pPr>
        <w:pStyle w:val="Heading2"/>
      </w:pPr>
      <w:r>
        <w:rPr>
          <w:color w:val="003366"/>
        </w:rPr>
        <w:t>CAPÍTULO VII - Da Família, da Criança, do Adolescente, do Jovem e do Idoso</w:t>
      </w:r>
    </w:p>
    <w:p>
      <w:r>
        <w:rPr>
          <w:b/>
          <w:color w:val="003366"/>
          <w:sz w:val="20"/>
        </w:rPr>
        <w:t>Art. 226 A família, base da sociedade, tem especial proteção do Estado.</w:t>
      </w:r>
      <w:r>
        <w:rPr>
          <w:color w:val="8C8C8C"/>
          <w:sz w:val="14"/>
        </w:rPr>
        <w:t xml:space="preserve">  [26 decisoes]</w:t>
      </w:r>
    </w:p>
    <w:p>
      <w:pPr>
        <w:ind w:left="144"/>
      </w:pPr>
      <w:r>
        <w:rPr>
          <w:b/>
          <w:color w:val="B45A00"/>
          <w:sz w:val="16"/>
        </w:rPr>
        <w:t>REPERCUSSAO GERAL</w:t>
      </w:r>
    </w:p>
    <w:p>
      <w:pPr>
        <w:ind w:left="288"/>
      </w:pPr>
      <w:r>
        <w:rPr>
          <w:color w:val="8C8C8C"/>
          <w:sz w:val="12"/>
        </w:rPr>
        <w:t>cf-art-226</w:t>
      </w:r>
      <w:r>
        <w:rPr>
          <w:color w:val="003CA0"/>
          <w:sz w:val="12"/>
        </w:rPr>
        <w:t xml:space="preserve"> | RE 608.898</w:t>
      </w:r>
      <w:r>
        <w:rPr>
          <w:color w:val="003CA0"/>
          <w:sz w:val="12"/>
        </w:rPr>
        <w:t xml:space="preserve"> | rel. Marco Aurélio</w:t>
      </w:r>
    </w:p>
    <w:p>
      <w:pPr>
        <w:ind w:left="288"/>
      </w:pPr>
      <w:r>
        <w:rPr>
          <w:color w:val="1E1E1E"/>
          <w:sz w:val="18"/>
        </w:rPr>
        <w:t>O § 1º do artigo 75 da Lei 6.815/1980 não foi recepcionado pela Constituição Federal de 1988, sendo vedada a expulsão de estrangeiro cujo filho brasileiro foi reconhecido ou adotado posteriormente ao fato ensejador do ato expulsório, uma vez comprovado estar a criança sob a guarda do estrangeiro e deste depender economicamente.]</w:t>
      </w:r>
    </w:p>
    <w:p>
      <w:pPr>
        <w:ind w:left="288"/>
      </w:pPr>
      <w:r>
        <w:rPr>
          <w:b/>
          <w:color w:val="003CA0"/>
          <w:sz w:val="16"/>
        </w:rPr>
        <w:t>[RE 608.898, rel. min. Marco Aurélio, j. 25-6-2020, P, DJE de 7-10-2020, Tema 373, com mérito julgado.]</w:t>
      </w:r>
    </w:p>
    <w:p>
      <w:pPr>
        <w:ind w:left="288"/>
      </w:pPr>
      <w:r>
        <w:rPr>
          <w:color w:val="8C8C8C"/>
          <w:sz w:val="12"/>
        </w:rPr>
        <w:t>cf-art-226</w:t>
      </w:r>
      <w:r>
        <w:rPr>
          <w:color w:val="003CA0"/>
          <w:sz w:val="12"/>
        </w:rPr>
        <w:t xml:space="preserve"> | RE 587.260</w:t>
      </w:r>
      <w:r>
        <w:rPr>
          <w:color w:val="003CA0"/>
          <w:sz w:val="12"/>
        </w:rPr>
        <w:t xml:space="preserve"> | rel. Eros Grau</w:t>
      </w:r>
    </w:p>
    <w:p>
      <w:pPr>
        <w:ind w:left="288"/>
      </w:pPr>
      <w:r>
        <w:rPr>
          <w:color w:val="1E1E1E"/>
          <w:sz w:val="18"/>
        </w:rPr>
        <w:t>O STF, em caso análogo ao presente, afastou a incidência do art. 226 da Constituição do Brasil como fundamento da concessão de remoção de servidor público quando o feito, como ocorre nestes autos, refere-se não à remoção para acompanhar cônjuge ou companheiro, e sim à lotação inicial de candidato aprovado em concurso público, cujo edital previa expressamente a possibilidade de sua lotação em outros Estados da Federação.</w:t>
      </w:r>
    </w:p>
    <w:p>
      <w:pPr>
        <w:ind w:left="288"/>
      </w:pPr>
      <w:r>
        <w:rPr>
          <w:b/>
          <w:color w:val="003CA0"/>
          <w:sz w:val="16"/>
        </w:rPr>
        <w:t>[RE 587.260 AgR, rel. min. Eros Grau, j. 29-9-2009, 2ª T, DJE de 23-10-2009.]</w:t>
      </w:r>
    </w:p>
    <w:p>
      <w:pPr>
        <w:ind w:left="288"/>
      </w:pPr>
      <w:r>
        <w:rPr>
          <w:color w:val="8C8C8C"/>
          <w:sz w:val="12"/>
        </w:rPr>
        <w:t>cf-art-226</w:t>
      </w:r>
      <w:r>
        <w:rPr>
          <w:color w:val="003CA0"/>
          <w:sz w:val="12"/>
        </w:rPr>
        <w:t xml:space="preserve"> | RE 475.283</w:t>
      </w:r>
      <w:r>
        <w:rPr>
          <w:color w:val="003CA0"/>
          <w:sz w:val="12"/>
        </w:rPr>
        <w:t xml:space="preserve"> | rel. Roberto Barroso</w:t>
      </w:r>
    </w:p>
    <w:p>
      <w:pPr>
        <w:ind w:left="288"/>
      </w:pPr>
      <w:r>
        <w:rPr>
          <w:color w:val="1E1E1E"/>
          <w:sz w:val="18"/>
        </w:rPr>
        <w:t xml:space="preserve">= RE 475.283 AgR, rel. min. Roberto Barroso, j. 21-10-2014, 1ª T, DJE de 11-11-2014 = RE 602.605 AgR, rel. min. Ricardo Lewandowski, j. 28-2-2012, 2ª T, DJE de 13-3-2012 Vide MS 23.058, rel. min. Ayres Britto, j. 18-9-2008, P, DJE de 14-11-2008 Remoção de ofício para acompanhar o cônjuge, independentemente da existência de vagas. Art. 36 da Lei 8.112/1990. Desnecessidade de o cônjuge do servidor ser também regido pela Lei 8.112/1990. Especial proteção do Estado à família (art. 226 da CF). (...) Havendo a transferência, de ofício, do cônjuge da impetrante, empregado da Caixa Econômica Federal, </w:t>
      </w:r>
    </w:p>
    <w:p>
      <w:pPr>
        <w:ind w:left="288"/>
      </w:pPr>
      <w:r>
        <w:rPr>
          <w:b/>
          <w:color w:val="003CA0"/>
          <w:sz w:val="16"/>
        </w:rPr>
        <w:t>[MS 23.058, rel. min. Ayres Britto, j. 18-9-2008, P, DJE de 14-11-2008.]</w:t>
      </w:r>
    </w:p>
    <w:p>
      <w:pPr>
        <w:ind w:left="288"/>
      </w:pPr>
      <w:r>
        <w:rPr>
          <w:color w:val="8C8C8C"/>
          <w:sz w:val="12"/>
        </w:rPr>
        <w:t>cf-art-226</w:t>
      </w:r>
      <w:r>
        <w:rPr>
          <w:color w:val="003CA0"/>
          <w:sz w:val="12"/>
        </w:rPr>
        <w:t xml:space="preserve"> | RE 549.095</w:t>
      </w:r>
      <w:r>
        <w:rPr>
          <w:color w:val="003CA0"/>
          <w:sz w:val="12"/>
        </w:rPr>
        <w:t xml:space="preserve"> | rel. Eros Grau</w:t>
      </w:r>
    </w:p>
    <w:p>
      <w:pPr>
        <w:ind w:left="288"/>
      </w:pPr>
      <w:r>
        <w:rPr>
          <w:color w:val="1E1E1E"/>
          <w:sz w:val="18"/>
        </w:rPr>
        <w:t>= RE 549.095 AgR, rel. min. Eros Grau, j. 29-9-2009, 2ª T, DJE de 23-10-2009 Vide STA 407 AgR, rel. min. Cezar Peluso, j. 18-8-2010, P, DJE de 3-9-2010 Vide RE 587.260 AgR, rel. min. Eros Grau, j. 29-9-2009, 2ª T, DJE de 23-10-2009 A Lei 8.560/1992 expressamente assegurou ao Parquet, desde que provocado pelo interessado e diante de evidências positivas, a possibilidade de intentar a ação de investigação de paternidade, legitimação, essa, decorrente da proteção constitucional conferida à família e à criança, bem como da indisponibilidade legalmente atribuída ao reconhecimento do estado de filia</w:t>
      </w:r>
    </w:p>
    <w:p>
      <w:pPr>
        <w:ind w:left="288"/>
      </w:pPr>
      <w:r>
        <w:rPr>
          <w:b/>
          <w:color w:val="003CA0"/>
          <w:sz w:val="16"/>
        </w:rPr>
        <w:t>[RE 248.869, rel. min. Maurício Corrêa, j. 7-8-2003, P, DJ de 12-3-2004.]</w:t>
      </w:r>
    </w:p>
    <w:p>
      <w:pPr>
        <w:ind w:left="144"/>
      </w:pPr>
      <w:r>
        <w:rPr>
          <w:b/>
          <w:color w:val="B45A00"/>
          <w:sz w:val="16"/>
        </w:rPr>
        <w:t>SUMULA</w:t>
      </w:r>
    </w:p>
    <w:p>
      <w:pPr>
        <w:ind w:left="288"/>
      </w:pPr>
      <w:r>
        <w:rPr>
          <w:color w:val="8C8C8C"/>
          <w:sz w:val="12"/>
        </w:rPr>
        <w:t>cf-art-226-par-3</w:t>
      </w:r>
    </w:p>
    <w:p>
      <w:pPr>
        <w:ind w:left="288"/>
      </w:pPr>
      <w:r>
        <w:rPr>
          <w:color w:val="1E1E1E"/>
          <w:sz w:val="18"/>
        </w:rPr>
        <w:t>Comprovada a existência de sociedade de fato entre os concubinos, é cabível a sua dissolução judicial, com a partilha do patrimônio adquirido pelo esforço comum.</w:t>
      </w:r>
    </w:p>
    <w:p>
      <w:pPr>
        <w:ind w:left="288"/>
      </w:pPr>
      <w:r>
        <w:rPr>
          <w:b/>
          <w:color w:val="003CA0"/>
          <w:sz w:val="16"/>
        </w:rPr>
        <w:t>[Súmula 380.]</w:t>
      </w:r>
    </w:p>
    <w:p>
      <w:pPr>
        <w:ind w:left="144"/>
      </w:pPr>
      <w:r>
        <w:rPr>
          <w:b/>
          <w:color w:val="B45A00"/>
          <w:sz w:val="16"/>
        </w:rPr>
        <w:t>CONTROLE CONCENTRADO</w:t>
      </w:r>
    </w:p>
    <w:p>
      <w:pPr>
        <w:ind w:left="288"/>
      </w:pPr>
      <w:r>
        <w:rPr>
          <w:color w:val="8C8C8C"/>
          <w:sz w:val="12"/>
        </w:rPr>
        <w:t>cf-art-226-par-3</w:t>
      </w:r>
      <w:r>
        <w:rPr>
          <w:color w:val="003CA0"/>
          <w:sz w:val="12"/>
        </w:rPr>
        <w:t xml:space="preserve"> | ADI 4.277</w:t>
      </w:r>
      <w:r>
        <w:rPr>
          <w:color w:val="003CA0"/>
          <w:sz w:val="12"/>
        </w:rPr>
        <w:t xml:space="preserve"> | rel. Ayres Britto</w:t>
      </w:r>
    </w:p>
    <w:p>
      <w:pPr>
        <w:ind w:left="288"/>
      </w:pPr>
      <w:r>
        <w:rPr>
          <w:color w:val="1E1E1E"/>
          <w:sz w:val="18"/>
        </w:rPr>
        <w:t>O caput do art. 226 confere à família, base da sociedade, especial proteção do Estado. Ênfase constitucional à instituição da família. Família em seu coloquial ou proverbial significado de núcleo doméstico, pouco importando se formal ou informalmente constituída, ou se integrada por casais heteroafetivos ou por pares homoafetivos. A Constituição de 1988, ao utilizar-se da expressão "família", não limita sua formação a casais heteroafetivos nem a formalidade cartorária, celebração civil ou liturgia religiosa. Família como instituição privada que, voluntariamente constituída entre pessoas adulta</w:t>
      </w:r>
    </w:p>
    <w:p>
      <w:pPr>
        <w:ind w:left="288"/>
      </w:pPr>
      <w:r>
        <w:rPr>
          <w:b/>
          <w:color w:val="003CA0"/>
          <w:sz w:val="16"/>
        </w:rPr>
        <w:t>[ADI 4.277 e ADPF 132, rel. min. Ayres Britto, j. 5-5-2011, P, DJE de 14-10-2011.]</w:t>
      </w:r>
    </w:p>
    <w:p>
      <w:pPr>
        <w:ind w:left="288"/>
      </w:pPr>
      <w:r>
        <w:rPr>
          <w:color w:val="8C8C8C"/>
          <w:sz w:val="12"/>
        </w:rPr>
        <w:t>cf-art-226-par-3</w:t>
      </w:r>
      <w:r>
        <w:rPr>
          <w:color w:val="003CA0"/>
          <w:sz w:val="12"/>
        </w:rPr>
        <w:t xml:space="preserve"> | RE 687.432</w:t>
      </w:r>
      <w:r>
        <w:rPr>
          <w:color w:val="003CA0"/>
          <w:sz w:val="12"/>
        </w:rPr>
        <w:t xml:space="preserve"> | rel. Luiz Fux</w:t>
      </w:r>
    </w:p>
    <w:p>
      <w:pPr>
        <w:ind w:left="288"/>
      </w:pPr>
      <w:r>
        <w:rPr>
          <w:color w:val="1E1E1E"/>
          <w:sz w:val="18"/>
        </w:rPr>
        <w:t>= RE 687.432 AgR, rel. min. Luiz Fux, j. 18-9-2012, 1ª T, DJE de 2-10-2012</w:t>
        <w:br/>
        <w:t>Vide RE 646.721, red. do ac. min. Roberto Barroso, j. 10-5-2017, P, DJE de 11-9-2017, Tema 498 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w:t>
      </w:r>
    </w:p>
    <w:p>
      <w:pPr>
        <w:ind w:left="288"/>
      </w:pPr>
      <w:r>
        <w:rPr>
          <w:b/>
          <w:color w:val="003CA0"/>
          <w:sz w:val="16"/>
        </w:rPr>
        <w:t>[RE 1.530.083, rel. min. Luiz Fux, j. 27.08.2025, P, DJE de 29.10.2025, Tema 1.388, com mérito julgado.]</w:t>
      </w:r>
    </w:p>
    <w:p>
      <w:pPr>
        <w:ind w:left="288"/>
      </w:pPr>
      <w:r>
        <w:rPr>
          <w:color w:val="8C8C8C"/>
          <w:sz w:val="12"/>
        </w:rPr>
        <w:t>cf-art-226-par-3</w:t>
      </w:r>
      <w:r>
        <w:rPr>
          <w:color w:val="003CA0"/>
          <w:sz w:val="12"/>
        </w:rPr>
        <w:t xml:space="preserve"> | ARE 1.405.467</w:t>
      </w:r>
      <w:r>
        <w:rPr>
          <w:color w:val="003CA0"/>
          <w:sz w:val="12"/>
        </w:rPr>
        <w:t xml:space="preserve"> | rel. Flávio Dino</w:t>
      </w:r>
    </w:p>
    <w:p>
      <w:pPr>
        <w:ind w:left="288"/>
      </w:pPr>
      <w:r>
        <w:rPr>
          <w:color w:val="1E1E1E"/>
          <w:sz w:val="18"/>
        </w:rPr>
        <w:t>Termo inicial dos reflexos da conversão da união estável em casamento.</w:t>
      </w:r>
    </w:p>
    <w:p>
      <w:pPr>
        <w:ind w:left="288"/>
      </w:pPr>
      <w:r>
        <w:rPr>
          <w:b/>
          <w:color w:val="003CA0"/>
          <w:sz w:val="16"/>
        </w:rPr>
        <w:t>[ARE 1.405.467 RG, rel. min. Flávio Dino, j. 16.08.2024, P, DJE de 25.09.2024, Tema 1.313, com mérito pendente.]</w:t>
      </w:r>
    </w:p>
    <w:p>
      <w:pPr>
        <w:ind w:left="144"/>
      </w:pPr>
      <w:r>
        <w:rPr>
          <w:b/>
          <w:color w:val="B45A00"/>
          <w:sz w:val="16"/>
        </w:rPr>
        <w:t>REPERCUSSAO GERAL</w:t>
      </w:r>
    </w:p>
    <w:p>
      <w:pPr>
        <w:ind w:left="288"/>
      </w:pPr>
      <w:r>
        <w:rPr>
          <w:color w:val="8C8C8C"/>
          <w:sz w:val="12"/>
        </w:rPr>
        <w:t>cf-art-226-par-3</w:t>
      </w:r>
      <w:r>
        <w:rPr>
          <w:color w:val="003CA0"/>
          <w:sz w:val="12"/>
        </w:rPr>
        <w:t xml:space="preserve"> | ARE 1.309.642</w:t>
      </w:r>
      <w:r>
        <w:rPr>
          <w:color w:val="003CA0"/>
          <w:sz w:val="12"/>
        </w:rPr>
        <w:t xml:space="preserve"> | rel. Luís Roberto Barroso</w:t>
      </w:r>
    </w:p>
    <w:p>
      <w:pPr>
        <w:ind w:left="288"/>
      </w:pPr>
      <w:r>
        <w:rPr>
          <w:color w:val="1E1E1E"/>
          <w:sz w:val="18"/>
        </w:rPr>
        <w:t>“Nos casamentos e uniões estáveis envolvendo pessoa maior de 70 anos, o regime de separação de bens previsto no art. 1.641, II, do Código Civil pode ser afastado por expressa manifestação de vontade das partes, mediante escritura pública”.</w:t>
        <w:br/>
        <w:t>[ARE 1.309.642, rel. min. Luís Roberto Barroso, j. 01.02.2024, P, DJE de 02.04.2024, Tema 1.236, com mérito julgado.] É incompatível com a Constituição Federal o reconhecimento de direitos previdenciários (pensão por morte) à pessoa que manteve, durante longo período e com aparência familiar, união com outra casada, porquanto o concubinato não se equipara, p</w:t>
      </w:r>
    </w:p>
    <w:p>
      <w:pPr>
        <w:ind w:left="288"/>
      </w:pPr>
      <w:r>
        <w:rPr>
          <w:b/>
          <w:color w:val="003CA0"/>
          <w:sz w:val="16"/>
        </w:rPr>
        <w:t>[RE 1.045.273, rel. min. Alexandre de Moraes, j. 19-12-2020, P, DJE de 9-4-2021, Tema 529, com mérito julgado.]</w:t>
      </w:r>
    </w:p>
    <w:p>
      <w:pPr>
        <w:ind w:left="288"/>
      </w:pPr>
      <w:r>
        <w:rPr>
          <w:color w:val="8C8C8C"/>
          <w:sz w:val="12"/>
        </w:rPr>
        <w:t>cf-art-226-par-3</w:t>
      </w:r>
      <w:r>
        <w:rPr>
          <w:color w:val="003CA0"/>
          <w:sz w:val="12"/>
        </w:rPr>
        <w:t xml:space="preserve"> | RE 646.721</w:t>
      </w:r>
      <w:r>
        <w:rPr>
          <w:color w:val="003CA0"/>
          <w:sz w:val="12"/>
        </w:rPr>
        <w:t xml:space="preserve"> | rel. Roberto Barroso</w:t>
      </w:r>
    </w:p>
    <w:p>
      <w:pPr>
        <w:ind w:left="288"/>
      </w:pPr>
      <w:r>
        <w:rPr>
          <w:color w:val="1E1E1E"/>
          <w:sz w:val="18"/>
        </w:rPr>
        <w:t>Nota: O precedente a seguir tem a mesma tese de repercussão geral fixada para o Tema 809. É inconstitucional a distinção de regimes sucessórios entre cônjuges e companheiros prevista no art. 1.790 do CC/2002, devendo ser aplicado, tanto nas hipóteses de casamento quanto nas de união estável, o regime do art. 1.829 do CC/2002.</w:t>
        <w:br/>
        <w:t>[RE 646.721, voto do red. do ac. min. Roberto Barroso, j. 10-5-2017, P, DJE de 11-9-2017, Tema 498.]</w:t>
        <w:br/>
        <w:t>RE 878.694, rel. min. Roberto Barroso, j. 10-5-2017, P, DJE de 6-2-2018, Tema 809</w:t>
        <w:br/>
        <w:t>Vide ADI 4.277 e ADPF 132, rel. min. Ayres Britto, j. 5-5-2011, P, DJE de 14-10-2011 Nota</w:t>
      </w:r>
    </w:p>
    <w:p>
      <w:pPr>
        <w:ind w:left="144"/>
      </w:pPr>
      <w:r>
        <w:rPr>
          <w:b/>
          <w:color w:val="B45A00"/>
          <w:sz w:val="16"/>
        </w:rPr>
        <w:t>JULGADOS CORRELATOS</w:t>
      </w:r>
    </w:p>
    <w:p>
      <w:pPr>
        <w:ind w:left="288"/>
      </w:pPr>
      <w:r>
        <w:rPr>
          <w:color w:val="8C8C8C"/>
          <w:sz w:val="12"/>
        </w:rPr>
        <w:t>cf-art-226-par-3</w:t>
      </w:r>
      <w:r>
        <w:rPr>
          <w:color w:val="003CA0"/>
          <w:sz w:val="12"/>
        </w:rPr>
        <w:t xml:space="preserve"> | HC 100.793</w:t>
      </w:r>
      <w:r>
        <w:rPr>
          <w:color w:val="003CA0"/>
          <w:sz w:val="12"/>
        </w:rPr>
        <w:t xml:space="preserve"> | rel. Marco Aurélio</w:t>
      </w:r>
    </w:p>
    <w:p>
      <w:pPr>
        <w:ind w:left="288"/>
      </w:pPr>
      <w:r>
        <w:rPr>
          <w:color w:val="1E1E1E"/>
          <w:sz w:val="18"/>
        </w:rPr>
        <w:t>O óbice à expulsão, previsto na alínea a do inciso II do art. 75 da Lei 6.815/1980, pressupõe esteja o estrangeiro casado há mais de cinco anos e, em se tratando de união estável, não haver impedimento para a transformação em casamento.</w:t>
      </w:r>
    </w:p>
    <w:p>
      <w:pPr>
        <w:ind w:left="288"/>
      </w:pPr>
      <w:r>
        <w:rPr>
          <w:b/>
          <w:color w:val="003CA0"/>
          <w:sz w:val="16"/>
        </w:rPr>
        <w:t>[HC 100.793, rel. min. Marco Aurélio, j. 2-12-2010, P, DJE de 1º-2-2011.]</w:t>
      </w:r>
    </w:p>
    <w:p>
      <w:pPr>
        <w:ind w:left="288"/>
      </w:pPr>
      <w:r>
        <w:rPr>
          <w:color w:val="8C8C8C"/>
          <w:sz w:val="12"/>
        </w:rPr>
        <w:t>cf-art-226-par-3</w:t>
      </w:r>
      <w:r>
        <w:rPr>
          <w:color w:val="003CA0"/>
          <w:sz w:val="12"/>
        </w:rPr>
        <w:t xml:space="preserve"> | HC 80.322</w:t>
      </w:r>
      <w:r>
        <w:rPr>
          <w:color w:val="003CA0"/>
          <w:sz w:val="12"/>
        </w:rPr>
        <w:t xml:space="preserve"> | rel. Sydney Sanches</w:t>
      </w:r>
    </w:p>
    <w:p>
      <w:pPr>
        <w:ind w:left="288"/>
      </w:pPr>
      <w:r>
        <w:rPr>
          <w:color w:val="1E1E1E"/>
          <w:sz w:val="18"/>
        </w:rPr>
        <w:t>Vide HC 80.322, rel. min. Sydney Sanches, j. 18-10-2000, P, DJ de 7-12-2000 Convívio que não pode ser caracterizado como união estável, nem mesmo para os fins do art. 226, § 3º, da Constituição Republicana, que não protege a relação marital de uma criança com seu opressor, sendo clara a inexistência de um consentimento válido, neste caso.</w:t>
      </w:r>
    </w:p>
    <w:p>
      <w:pPr>
        <w:ind w:left="288"/>
      </w:pPr>
      <w:r>
        <w:rPr>
          <w:b/>
          <w:color w:val="003CA0"/>
          <w:sz w:val="16"/>
        </w:rPr>
        <w:t>[RE 418.376, red. do ac. min. Joaquim Barbosa, j. 9-2-2006, P, DJ de 23-3-2007.]</w:t>
      </w:r>
    </w:p>
    <w:p>
      <w:pPr>
        <w:ind w:left="288"/>
      </w:pPr>
      <w:r>
        <w:rPr>
          <w:color w:val="8C8C8C"/>
          <w:sz w:val="12"/>
        </w:rPr>
        <w:t>cf-art-226-par-3</w:t>
      </w:r>
      <w:r>
        <w:rPr>
          <w:color w:val="003CA0"/>
          <w:sz w:val="12"/>
        </w:rPr>
        <w:t xml:space="preserve"> | RE 229.349</w:t>
      </w:r>
      <w:r>
        <w:rPr>
          <w:color w:val="003CA0"/>
          <w:sz w:val="12"/>
        </w:rPr>
        <w:t xml:space="preserve"> | rel. Marco Aurélio</w:t>
      </w:r>
    </w:p>
    <w:p>
      <w:pPr>
        <w:ind w:left="288"/>
      </w:pPr>
      <w:r>
        <w:rPr>
          <w:color w:val="1E1E1E"/>
          <w:sz w:val="18"/>
        </w:rPr>
        <w:t>Dependente. Companheira. Dissolução da sociedade de fato. Acordo judicial. Alimentos e continuidade da condição de dependente. Preceito de lei ordinária, no caso, o inciso II do art. 9º da Lei 7.672/1982 do Rio Grande do Sul, há de merecer interpretação norteada pela CF. Dispondo esta sobre o reconhecimento da união estável entre o homem e a mulher como entidade familiar, a gerar a proteção do Estado, a norma legal que enquadra a companheira como dependente do segurado alcança situação na qual, mediante acordo, previu-se a continuidade do sustento e a reinclusão desta como beneficiária no Inst</w:t>
      </w:r>
    </w:p>
    <w:p>
      <w:pPr>
        <w:ind w:left="288"/>
      </w:pPr>
      <w:r>
        <w:rPr>
          <w:b/>
          <w:color w:val="003CA0"/>
          <w:sz w:val="16"/>
        </w:rPr>
        <w:t>[RE 229.349, rel. min. Marco Aurélio, j. 11-9-2001, 2ª T, DJ de 9-11-2001.]</w:t>
      </w:r>
    </w:p>
    <w:p>
      <w:pPr>
        <w:ind w:left="288"/>
      </w:pPr>
      <w:r>
        <w:rPr>
          <w:color w:val="8C8C8C"/>
          <w:sz w:val="12"/>
        </w:rPr>
        <w:t>cf-art-226-par-3</w:t>
      </w:r>
      <w:r>
        <w:rPr>
          <w:color w:val="003CA0"/>
          <w:sz w:val="12"/>
        </w:rPr>
        <w:t xml:space="preserve"> | HC 80.322</w:t>
      </w:r>
      <w:r>
        <w:rPr>
          <w:color w:val="003CA0"/>
          <w:sz w:val="12"/>
        </w:rPr>
        <w:t xml:space="preserve"> | rel. Sydney Sanches</w:t>
      </w:r>
    </w:p>
    <w:p>
      <w:pPr>
        <w:ind w:left="288"/>
      </w:pPr>
      <w:r>
        <w:rPr>
          <w:color w:val="1E1E1E"/>
          <w:sz w:val="18"/>
        </w:rPr>
        <w:t>O fato de o expulsando ter sido visitado pela amásia na prisão, durante certo período, enquanto esteve cumprindo pena, não configura a hipótese prevista no art. 75, II, a, da Lei 6.815/1980, alterada pela Lei 6.964/1981, nem a união estável de que trata o § 3º do art. 226 da CF, de modo a obstar, no caso, a expulsão.</w:t>
      </w:r>
    </w:p>
    <w:p>
      <w:pPr>
        <w:ind w:left="288"/>
      </w:pPr>
      <w:r>
        <w:rPr>
          <w:b/>
          <w:color w:val="003CA0"/>
          <w:sz w:val="16"/>
        </w:rPr>
        <w:t>[HC 80.322, rel. min. Sydney Sanches, j. 18-10-2000, P, DJ de 7-12-2000.]</w:t>
      </w:r>
    </w:p>
    <w:p>
      <w:pPr>
        <w:ind w:left="288"/>
      </w:pPr>
      <w:r>
        <w:rPr>
          <w:color w:val="8C8C8C"/>
          <w:sz w:val="12"/>
        </w:rPr>
        <w:t>cf-art-226-par-3</w:t>
      </w:r>
      <w:r>
        <w:rPr>
          <w:color w:val="003CA0"/>
          <w:sz w:val="12"/>
        </w:rPr>
        <w:t xml:space="preserve"> | HC 100.793</w:t>
      </w:r>
      <w:r>
        <w:rPr>
          <w:color w:val="003CA0"/>
          <w:sz w:val="12"/>
        </w:rPr>
        <w:t xml:space="preserve"> | rel. Marco Aurélio</w:t>
      </w:r>
    </w:p>
    <w:p>
      <w:pPr>
        <w:ind w:left="288"/>
      </w:pPr>
      <w:r>
        <w:rPr>
          <w:color w:val="1E1E1E"/>
          <w:sz w:val="18"/>
        </w:rPr>
        <w:t>Vide HC 100.793, rel. min. Marco Aurélio, j. 2-12-2010, P, DJE de 1º-2-2011 Legalidade da decisão do TCU, que excluiu do benefício de pensão a companheira do servidor público falecido no estado de casado, de acordo com o disposto no § 3º do art. 5º da Lei 4.069/1962. A essa orientação, não se opõe a norma do § 3º do art. 226 da Constituição de 1988, que, além de haver entrado em vigor após o óbito do instituidor, coloca, em plano inferior ao do casamento, a chamada união estável, tanto que deve a lei facilitar a conversão desta naquele.</w:t>
      </w:r>
    </w:p>
    <w:p>
      <w:pPr>
        <w:ind w:left="288"/>
      </w:pPr>
      <w:r>
        <w:rPr>
          <w:b/>
          <w:color w:val="003CA0"/>
          <w:sz w:val="16"/>
        </w:rPr>
        <w:t>[MS 21.449, rel. min. Octavio Gallotti, j. 27-9-1995, P, DJ de 17-11-1995.]</w:t>
      </w:r>
    </w:p>
    <w:p>
      <w:pPr>
        <w:ind w:left="288"/>
      </w:pPr>
      <w:r>
        <w:rPr>
          <w:color w:val="8C8C8C"/>
          <w:sz w:val="12"/>
        </w:rPr>
        <w:t>cf-art-226-par-3</w:t>
      </w:r>
      <w:r>
        <w:rPr>
          <w:color w:val="003CA0"/>
          <w:sz w:val="12"/>
        </w:rPr>
        <w:t xml:space="preserve"> | HC 72.593</w:t>
      </w:r>
      <w:r>
        <w:rPr>
          <w:color w:val="003CA0"/>
          <w:sz w:val="12"/>
        </w:rPr>
        <w:t xml:space="preserve"> | rel. Néri da Silveira</w:t>
      </w:r>
    </w:p>
    <w:p>
      <w:pPr>
        <w:ind w:left="288"/>
      </w:pPr>
      <w:r>
        <w:rPr>
          <w:color w:val="1E1E1E"/>
          <w:sz w:val="18"/>
        </w:rPr>
        <w:t>Não serve ao paciente, por igual, no caso, a regra do art. 226, § 3º, da CF. Natureza e extensão da norma maior em apreço. A união do paciente com brasileira não alcança sequer o lapso de tempo necessário para que se lhe reconheça a condição de "união estável", ut Lei 8.971/1994.</w:t>
      </w:r>
    </w:p>
    <w:p>
      <w:pPr>
        <w:ind w:left="288"/>
      </w:pPr>
      <w:r>
        <w:rPr>
          <w:b/>
          <w:color w:val="003CA0"/>
          <w:sz w:val="16"/>
        </w:rPr>
        <w:t>[HC 72.593, rel. min. Néri da Silveira, j. 22-6-1995, P, DJ de 8-9-1995.]</w:t>
      </w:r>
    </w:p>
    <w:p>
      <w:pPr>
        <w:ind w:left="288"/>
      </w:pPr>
      <w:r>
        <w:rPr>
          <w:color w:val="8C8C8C"/>
          <w:sz w:val="12"/>
        </w:rPr>
        <w:t>cf-art-226-par-5</w:t>
      </w:r>
      <w:r>
        <w:rPr>
          <w:color w:val="003CA0"/>
          <w:sz w:val="12"/>
        </w:rPr>
        <w:t xml:space="preserve"> | RE 227.114</w:t>
      </w:r>
      <w:r>
        <w:rPr>
          <w:color w:val="003CA0"/>
          <w:sz w:val="12"/>
        </w:rPr>
        <w:t xml:space="preserve"> | rel. Joaquim Barbosa</w:t>
      </w:r>
    </w:p>
    <w:p>
      <w:pPr>
        <w:ind w:left="288"/>
      </w:pPr>
      <w:r>
        <w:rPr>
          <w:color w:val="1E1E1E"/>
          <w:sz w:val="18"/>
        </w:rPr>
        <w:t>O inciso I do art. 100 do CPC, com redação dada pela Lei 6.515/1977, foi recepcionado pela CF de 1988. O foro especial para a mulher nas ações de separação judicial e de conversão da separação judicial em divórcio não ofende o princípio da isonomia entre homens e mulheres ou da igualdade entre os cônjuges.</w:t>
      </w:r>
    </w:p>
    <w:p>
      <w:pPr>
        <w:ind w:left="288"/>
      </w:pPr>
      <w:r>
        <w:rPr>
          <w:b/>
          <w:color w:val="003CA0"/>
          <w:sz w:val="16"/>
        </w:rPr>
        <w:t>[RE 227.114, rel. min. Joaquim Barbosa, j. 14-12-2011, 2ª T, DJE de 22-11-2012.]</w:t>
      </w:r>
    </w:p>
    <w:p>
      <w:pPr>
        <w:ind w:left="288"/>
      </w:pPr>
      <w:r>
        <w:rPr>
          <w:color w:val="8C8C8C"/>
          <w:sz w:val="12"/>
        </w:rPr>
        <w:t>cf-art-226-par-5</w:t>
      </w:r>
      <w:r>
        <w:rPr>
          <w:color w:val="003CA0"/>
          <w:sz w:val="12"/>
        </w:rPr>
        <w:t xml:space="preserve"> | RE 218.461</w:t>
      </w:r>
      <w:r>
        <w:rPr>
          <w:color w:val="003CA0"/>
          <w:sz w:val="12"/>
        </w:rPr>
        <w:t xml:space="preserve"> | rel. Sydney Sanches</w:t>
      </w:r>
    </w:p>
    <w:p>
      <w:pPr>
        <w:ind w:left="288"/>
      </w:pPr>
      <w:r>
        <w:rPr>
          <w:color w:val="1E1E1E"/>
          <w:sz w:val="18"/>
        </w:rPr>
        <w:t>O que pretende o recorrente, ora agravante, em substância, é que se reconheça haver o § 5º do art. 226 modificado o CC/1916, na parte em que este trata de alimentos devidos por um cônjuge ao outro. Como acentuou a decisão agravada, "não procede a alegação de ofensa ao § 5º do art. 226 da CF, segundo o qual, ‘os direitos e deveres referentes à sociedade conjugal são exercidos igualmente pelo homem e pela mulher’. Tal norma constitucional não implicou revogação das do CC/1916, pelas quais os cônjuges têm o dever de assistência recíproca e aquele que necessitar de alimentos pode exigi-los do outr</w:t>
      </w:r>
    </w:p>
    <w:p>
      <w:pPr>
        <w:ind w:left="288"/>
      </w:pPr>
      <w:r>
        <w:rPr>
          <w:b/>
          <w:color w:val="003CA0"/>
          <w:sz w:val="16"/>
        </w:rPr>
        <w:t>[RE 218.461 AgR, rel. min. Sydney Sanches, j. 4-8-1998, 1ª T, DJ de 5-3-1999.]</w:t>
      </w:r>
    </w:p>
    <w:p>
      <w:pPr>
        <w:ind w:left="288"/>
      </w:pPr>
      <w:r>
        <w:rPr>
          <w:color w:val="8C8C8C"/>
          <w:sz w:val="12"/>
        </w:rPr>
        <w:t>cf-art-226-par-6</w:t>
      </w:r>
      <w:r>
        <w:rPr>
          <w:color w:val="003CA0"/>
          <w:sz w:val="12"/>
        </w:rPr>
        <w:t xml:space="preserve"> | RE 1.167.478</w:t>
      </w:r>
      <w:r>
        <w:rPr>
          <w:color w:val="003CA0"/>
          <w:sz w:val="12"/>
        </w:rPr>
        <w:t xml:space="preserve"> | rel. Luiz Fux</w:t>
      </w:r>
    </w:p>
    <w:p>
      <w:pPr>
        <w:ind w:left="288"/>
      </w:pPr>
      <w:r>
        <w:rPr>
          <w:color w:val="1E1E1E"/>
          <w:sz w:val="18"/>
        </w:rPr>
        <w:t>Repercusão geral “Após a promulgação da EC 66/2010, a separação judicial não é mais requisito para o divórcio nem subsiste como figura autônoma no ordenamento jurídico. Sem prejuízo, preserva-se o estado civil das pessoas que já estão separadas, por decisão judicial ou escritura pública, por se tratar de ato jurídico perfeito (art. 5º, XXXVI, da CF)”.</w:t>
        <w:br/>
        <w:t>[RE 1.167.478, rel. min. Luiz Fux, j. 08.11.2023, P, DJE de 08.03.2024, Tema 1.053, com mérito julgado.] § 7º Fundado nos princípios da dignidade da pessoa humana e da paternidade responsável, o planejamento familiar é livre decisão do casal, com</w:t>
      </w:r>
    </w:p>
    <w:p>
      <w:pPr>
        <w:ind w:left="144"/>
      </w:pPr>
      <w:r>
        <w:rPr>
          <w:b/>
          <w:color w:val="B45A00"/>
          <w:sz w:val="16"/>
        </w:rPr>
        <w:t>CONTROLE CONCENTRADO</w:t>
      </w:r>
    </w:p>
    <w:p>
      <w:pPr>
        <w:ind w:left="288"/>
      </w:pPr>
      <w:r>
        <w:rPr>
          <w:color w:val="8C8C8C"/>
          <w:sz w:val="12"/>
        </w:rPr>
        <w:t>cf-art-226-par-6</w:t>
      </w:r>
      <w:r>
        <w:rPr>
          <w:color w:val="003CA0"/>
          <w:sz w:val="12"/>
        </w:rPr>
        <w:t xml:space="preserve"> | ADI 3.510</w:t>
      </w:r>
      <w:r>
        <w:rPr>
          <w:color w:val="003CA0"/>
          <w:sz w:val="12"/>
        </w:rPr>
        <w:t xml:space="preserve"> | rel. Ayres Britto</w:t>
      </w:r>
    </w:p>
    <w:p>
      <w:pPr>
        <w:ind w:left="288"/>
      </w:pPr>
      <w:r>
        <w:rPr>
          <w:color w:val="1E1E1E"/>
          <w:sz w:val="18"/>
        </w:rPr>
        <w:t>A decisão por uma descendência ou filiação exprime um tipo de autonomia de vontade individual que a própria Constituição rotula como "direito ao planejamento familiar", fundamentado este nos princípios igualmente constitucionais da "dignidade da pessoa humana" e da "paternidade responsável". (...) A opção do casal por um processo in vitro de fecundação artificial de óvulos é implícito direito de idêntica matriz constitucional, sem acarretar para esse casal o dever jurídico do aproveitamento reprodutivo de todos os embriões eventualmente formados e que se revelem geneticamente viáveis. O princí</w:t>
      </w:r>
    </w:p>
    <w:p>
      <w:pPr>
        <w:ind w:left="288"/>
      </w:pPr>
      <w:r>
        <w:rPr>
          <w:b/>
          <w:color w:val="003CA0"/>
          <w:sz w:val="16"/>
        </w:rPr>
        <w:t>[ADI 3.510, rel. min. Ayres Britto, j. 29-5-2008, P, DJE de 28-5-2010.]</w:t>
      </w:r>
    </w:p>
    <w:p>
      <w:pPr>
        <w:ind w:left="288"/>
      </w:pPr>
      <w:r>
        <w:rPr>
          <w:color w:val="8C8C8C"/>
          <w:sz w:val="12"/>
        </w:rPr>
        <w:t>cf-art-226-par-6</w:t>
      </w:r>
      <w:r>
        <w:rPr>
          <w:color w:val="003CA0"/>
          <w:sz w:val="12"/>
        </w:rPr>
        <w:t xml:space="preserve"> | RE 1.530.083</w:t>
      </w:r>
      <w:r>
        <w:rPr>
          <w:color w:val="003CA0"/>
          <w:sz w:val="12"/>
        </w:rPr>
        <w:t xml:space="preserve"> | rel. Luiz Fux</w:t>
      </w:r>
    </w:p>
    <w:p>
      <w:pPr>
        <w:ind w:left="288"/>
      </w:pPr>
      <w:r>
        <w:rPr>
          <w:color w:val="1E1E1E"/>
          <w:sz w:val="18"/>
        </w:rPr>
        <w:t>Compatibilidade do artigo 144-A, da Lei n. 6.880/1980 (Estatuto dos Militares) com a Constituição Federal, em razão de restringir acesso e permanência nos órgãos de formação ou graduação de oficiais e de praças que os mantenham em regime de internato, de dedicação exclusiva e de disponibilidade permanente peculiar à carreira militar, àqueles que não tenham filhos ou dependentes e não sejam casados ou não tenham constituído união estável.</w:t>
      </w:r>
    </w:p>
    <w:p>
      <w:pPr>
        <w:ind w:left="288"/>
      </w:pPr>
      <w:r>
        <w:rPr>
          <w:b/>
          <w:color w:val="003CA0"/>
          <w:sz w:val="16"/>
        </w:rPr>
        <w:t>[RE 1.530.083 RG, rel. min. Luiz Fux, j. 11.04.2025, P, DJE de 30.04.2025, Tema 1.388, com mérito pendente.]</w:t>
      </w:r>
    </w:p>
    <w:p>
      <w:pPr>
        <w:ind w:left="144"/>
      </w:pPr>
      <w:r>
        <w:rPr>
          <w:b/>
          <w:color w:val="B45A00"/>
          <w:sz w:val="16"/>
        </w:rPr>
        <w:t>REPERCUSSAO GERAL</w:t>
      </w:r>
    </w:p>
    <w:p>
      <w:pPr>
        <w:ind w:left="288"/>
      </w:pPr>
      <w:r>
        <w:rPr>
          <w:color w:val="8C8C8C"/>
          <w:sz w:val="12"/>
        </w:rPr>
        <w:t>cf-art-226-par-6</w:t>
      </w:r>
      <w:r>
        <w:rPr>
          <w:color w:val="003CA0"/>
          <w:sz w:val="12"/>
        </w:rPr>
        <w:t xml:space="preserve"> | RE 898.060</w:t>
      </w:r>
      <w:r>
        <w:rPr>
          <w:color w:val="003CA0"/>
          <w:sz w:val="12"/>
        </w:rPr>
        <w:t xml:space="preserve"> | rel. Luiz Fux</w:t>
      </w:r>
    </w:p>
    <w:p>
      <w:pPr>
        <w:ind w:left="288"/>
      </w:pPr>
      <w:r>
        <w:rPr>
          <w:color w:val="1E1E1E"/>
          <w:sz w:val="18"/>
        </w:rPr>
        <w:t>A paternidade socioafetiva, declarada ou não em registro público, não impede o reconhecimento do vínculo de filiação concomitante baseado na origem biológica, com os efeitos jurídicos próprios.</w:t>
        <w:br/>
        <w:t>[RE 898.060, rel. min. Luiz Fux, j. 21-9-2016, P, DJE de 24-8-2017, Tema 622, com mérito julgado.] Não devem ser impostos óbices de natureza processual ao exercício do direito fundamental à busca da identidade genética, como natural emanação do direito de personalidade de um ser, de forma a tornar-se igualmente efetivo o direito à igualdade entre os filhos, inclusive de qualificações, bem assim o princí</w:t>
      </w:r>
    </w:p>
    <w:p>
      <w:pPr>
        <w:ind w:left="288"/>
      </w:pPr>
      <w:r>
        <w:rPr>
          <w:b/>
          <w:color w:val="003CA0"/>
          <w:sz w:val="16"/>
        </w:rPr>
        <w:t>[RE 363.889, rel. min. Dias Toffoli, j. 2-6-2011, P, DJE de 16-12-2011, Tema 392, com mérito julgado.]</w:t>
      </w:r>
    </w:p>
    <w:p>
      <w:pPr>
        <w:ind w:left="288"/>
      </w:pPr>
      <w:r>
        <w:rPr>
          <w:color w:val="8C8C8C"/>
          <w:sz w:val="12"/>
        </w:rPr>
        <w:t>cf-art-226-par-8</w:t>
      </w:r>
      <w:r>
        <w:rPr>
          <w:color w:val="003CA0"/>
          <w:sz w:val="12"/>
        </w:rPr>
        <w:t xml:space="preserve"> | ADI 4.245</w:t>
      </w:r>
      <w:r>
        <w:rPr>
          <w:color w:val="003CA0"/>
          <w:sz w:val="12"/>
        </w:rPr>
        <w:t xml:space="preserve"> | rel. Luís Roberto Barroso</w:t>
      </w:r>
    </w:p>
    <w:p>
      <w:pPr>
        <w:ind w:left="288"/>
      </w:pPr>
      <w:r>
        <w:rPr>
          <w:color w:val="1E1E1E"/>
          <w:sz w:val="18"/>
        </w:rPr>
        <w:t>“1. A Convenção da Haia de 1980 sobre os aspectos civis da subtração internacional de crianças é compatível com a Constituição Federal, possuindo status supralegal no ordenamento jurídico brasileiro, por sua natureza de tratado internacional de proteção de direitos da criança. 2. A aplicação da Convenção no Brasil, à luz do princípio do melhor interesse da criança (art. 227, CF), exige a adoção de medidas estruturais e procedimentais para garantir a tramitação célere e eficaz das ações sobre restituição internacional de crianças. 3. A exceção de risco grave à criança, prevista no art. 13 (1) (</w:t>
      </w:r>
    </w:p>
    <w:p>
      <w:pPr>
        <w:ind w:left="288"/>
      </w:pPr>
      <w:r>
        <w:rPr>
          <w:b/>
          <w:color w:val="003CA0"/>
          <w:sz w:val="16"/>
        </w:rPr>
        <w:t>[ADI 4.245 e ADI 7.686, rel. min. Luís Roberto Barroso, j. 27.08.2025, P, Informativo STF 1.188.]</w:t>
      </w:r>
    </w:p>
    <w:p>
      <w:pPr>
        <w:ind w:left="144"/>
      </w:pPr>
      <w:r>
        <w:rPr>
          <w:b/>
          <w:color w:val="B45A00"/>
          <w:sz w:val="16"/>
        </w:rPr>
        <w:t>CONTROLE CONCENTRADO</w:t>
      </w:r>
    </w:p>
    <w:p>
      <w:pPr>
        <w:ind w:left="288"/>
      </w:pPr>
      <w:r>
        <w:rPr>
          <w:color w:val="8C8C8C"/>
          <w:sz w:val="12"/>
        </w:rPr>
        <w:t>cf-art-226-par-8</w:t>
      </w:r>
      <w:r>
        <w:rPr>
          <w:color w:val="003CA0"/>
          <w:sz w:val="12"/>
        </w:rPr>
        <w:t xml:space="preserve"> | ADPF 779</w:t>
      </w:r>
      <w:r>
        <w:rPr>
          <w:color w:val="003CA0"/>
          <w:sz w:val="12"/>
        </w:rPr>
        <w:t xml:space="preserve"> | rel. Dias Toffoli</w:t>
      </w:r>
    </w:p>
    <w:p>
      <w:pPr>
        <w:ind w:left="288"/>
      </w:pPr>
      <w:r>
        <w:rPr>
          <w:color w:val="1E1E1E"/>
          <w:sz w:val="18"/>
        </w:rPr>
        <w:t>A “legítima defesa da honra” é recurso argumentativo/retórico odioso, desumano e cruel utilizado pelas defesas de acusados de feminicídio ou agressões contra a mulher para imputar às vítimas a causa de suas próprias mortes ou lesões. Constitui-se em ranço, na retórica de alguns operadores do direito, de institucionalização da desigualdade entre homens e mulheres e de tolerância e naturalização da violência doméstica, as quais não têm guarida na Constituição de 1988. Referido recurso viola a dignidade da pessoa humana e os direitos à vida e à igualdade entre homens e mulheres (art. 1º, inciso I</w:t>
      </w:r>
    </w:p>
    <w:p>
      <w:pPr>
        <w:ind w:left="144"/>
      </w:pPr>
      <w:r>
        <w:rPr>
          <w:b/>
          <w:color w:val="B45A00"/>
          <w:sz w:val="16"/>
        </w:rPr>
        <w:t>REPERCUSSAO GERAL</w:t>
      </w:r>
    </w:p>
    <w:p>
      <w:pPr>
        <w:ind w:left="288"/>
      </w:pPr>
      <w:r>
        <w:rPr>
          <w:color w:val="8C8C8C"/>
          <w:sz w:val="12"/>
        </w:rPr>
        <w:t>cf-art-226-par-8</w:t>
      </w:r>
      <w:r>
        <w:rPr>
          <w:color w:val="003CA0"/>
          <w:sz w:val="12"/>
        </w:rPr>
        <w:t xml:space="preserve"> | ARE 773.765</w:t>
      </w:r>
      <w:r>
        <w:rPr>
          <w:color w:val="003CA0"/>
          <w:sz w:val="12"/>
        </w:rPr>
        <w:t xml:space="preserve"> | rel. Gilmar Mendes</w:t>
      </w:r>
    </w:p>
    <w:p>
      <w:pPr>
        <w:ind w:left="288"/>
      </w:pPr>
      <w:r>
        <w:rPr>
          <w:color w:val="1E1E1E"/>
          <w:sz w:val="18"/>
        </w:rPr>
        <w:t>(...) os crimes de lesão corporal praticados contra a mulher no âmbito doméstico e familiar são de ação penal pública incondicionada.</w:t>
        <w:br/>
        <w:t>[ARE 773.765 RG, voto do rel. min. Gilmar Mendes, j. 3-4-2014, P, DJE de 28-4-2014, Tema 713, com mérito julgado.] A comparação entre o consenso nacional e internacional sobre as medidas necessárias para a efetiva proteção contra violência doméstica nas relações homoafetivas da população GBTI+ e a legislação nacional demonstra a existência de significativa omissão constitucional do Poder Legislativo em efetivar a devida proteção legal aos direitos e liberdades f</w:t>
      </w:r>
    </w:p>
    <w:p>
      <w:pPr>
        <w:ind w:left="288"/>
      </w:pPr>
      <w:r>
        <w:rPr>
          <w:b/>
          <w:color w:val="003CA0"/>
          <w:sz w:val="16"/>
        </w:rPr>
        <w:t>[MI 7.452, rel. min. Alexandre de Moraes, j. 24.02.2025, P, DJE de 26.03.2025.</w:t>
      </w:r>
    </w:p>
    <w:p>
      <w:pPr>
        <w:ind w:left="288"/>
      </w:pPr>
      <w:r>
        <w:rPr>
          <w:color w:val="8C8C8C"/>
          <w:sz w:val="12"/>
        </w:rPr>
        <w:t>cf-art-226-par-8</w:t>
      </w:r>
      <w:r>
        <w:rPr>
          <w:color w:val="003CA0"/>
          <w:sz w:val="12"/>
        </w:rPr>
        <w:t xml:space="preserve"> | ARE 1.369.282</w:t>
      </w:r>
      <w:r>
        <w:rPr>
          <w:color w:val="003CA0"/>
          <w:sz w:val="12"/>
        </w:rPr>
        <w:t xml:space="preserve"> | rel. Ricardo Lewandowski</w:t>
      </w:r>
    </w:p>
    <w:p>
      <w:pPr>
        <w:ind w:left="288"/>
      </w:pPr>
      <w:r>
        <w:rPr>
          <w:color w:val="1E1E1E"/>
          <w:sz w:val="18"/>
        </w:rPr>
        <w:t>Nos casos de violência de gênero, de violência contra a mulher praticadas em contexto de relação doméstica ou familiar, o dano moral é in re ipsa e, assim, independe de produção probatória específica para sua apuração – como decidido pela 3ª Seção do Superior Tribunal de Justiça –, porque a simples comprovação da prática da conduta delitiva é suficiente para demonstrar, ainda que minimamente - pois não alijado o direito de a vítima pretender reparação maior em juízo próprio -, o dano moral sofrido por aquela que se tornou, dentro de um contexto em que deveria imperar a confiança, o respeito, a</w:t>
      </w:r>
    </w:p>
    <w:p>
      <w:pPr>
        <w:ind w:left="288"/>
      </w:pPr>
      <w:r>
        <w:rPr>
          <w:b/>
          <w:color w:val="003CA0"/>
          <w:sz w:val="16"/>
        </w:rPr>
        <w:t>[ARE 1.369.282 AgR, rel. min. Ricardo Lewandowski, red. do ac. Edson Fachin, j. 19-9-2023, 2ª T, DJE de 1º-12-2023.]</w:t>
      </w:r>
    </w:p>
    <w:p>
      <w:pPr>
        <w:ind w:left="432"/>
      </w:pPr>
      <w:r>
        <w:rPr>
          <w:color w:val="003366"/>
          <w:sz w:val="18"/>
        </w:rPr>
        <w:t>§ 1 O casamento é civil e gratuita a celebração.</w:t>
      </w:r>
    </w:p>
    <w:p>
      <w:pPr>
        <w:ind w:left="432"/>
      </w:pPr>
      <w:r>
        <w:rPr>
          <w:color w:val="003366"/>
          <w:sz w:val="18"/>
        </w:rPr>
        <w:t>§ 2 O casamento religioso tem efeito civil, nos termos da lei.</w:t>
      </w:r>
    </w:p>
    <w:p>
      <w:pPr>
        <w:ind w:left="432"/>
      </w:pPr>
      <w:r>
        <w:rPr>
          <w:color w:val="003366"/>
          <w:sz w:val="18"/>
        </w:rPr>
        <w:t>§ 3 Para efeito da proteção do Estado, é reconhecida a união estável entre o hom</w:t>
      </w:r>
    </w:p>
    <w:p>
      <w:pPr>
        <w:ind w:left="432"/>
      </w:pPr>
      <w:r>
        <w:rPr>
          <w:color w:val="003366"/>
          <w:sz w:val="18"/>
        </w:rPr>
        <w:t>§ 4 Entende-se, também, como entidade familiar a comunidade formada por qualquer</w:t>
      </w:r>
    </w:p>
    <w:p>
      <w:pPr>
        <w:ind w:left="432"/>
      </w:pPr>
      <w:r>
        <w:rPr>
          <w:color w:val="003366"/>
          <w:sz w:val="18"/>
        </w:rPr>
        <w:t>§ 5 Os direitos e deveres referentes à sociedade conjugal são exercidos igualmen</w:t>
      </w:r>
    </w:p>
    <w:p>
      <w:pPr>
        <w:ind w:left="432"/>
      </w:pPr>
      <w:r>
        <w:rPr>
          <w:color w:val="003366"/>
          <w:sz w:val="18"/>
        </w:rPr>
        <w:t>§ 6 O casamento civil pode ser dissolvido pelo divórcio. (Redação dada Pela Emen</w:t>
      </w:r>
    </w:p>
    <w:p>
      <w:pPr>
        <w:ind w:left="432"/>
      </w:pPr>
      <w:r>
        <w:rPr>
          <w:color w:val="003366"/>
          <w:sz w:val="18"/>
        </w:rPr>
        <w:t>§ 7 Fundado nos princípios da dignidade da pessoa humana e da paternidade respon</w:t>
      </w:r>
    </w:p>
    <w:p>
      <w:pPr>
        <w:ind w:left="432"/>
      </w:pPr>
      <w:r>
        <w:rPr>
          <w:color w:val="003366"/>
          <w:sz w:val="18"/>
        </w:rPr>
        <w:t>§ 8 O Estado assegurará a assistência à família na pessoa de cada um dos que a i</w:t>
      </w:r>
    </w:p>
    <w:p>
      <w:r>
        <w:rPr>
          <w:b/>
          <w:color w:val="003366"/>
          <w:sz w:val="20"/>
        </w:rPr>
        <w:t>Art. 227 É dever da família, da sociedade e do Estado assegurar à criança, ao ad</w:t>
      </w:r>
      <w:r>
        <w:rPr>
          <w:color w:val="8C8C8C"/>
          <w:sz w:val="14"/>
        </w:rPr>
        <w:t xml:space="preserve">  [50 decisoes]</w:t>
      </w:r>
    </w:p>
    <w:p>
      <w:pPr>
        <w:ind w:left="288"/>
      </w:pPr>
      <w:r>
        <w:rPr>
          <w:color w:val="8C8C8C"/>
          <w:sz w:val="12"/>
        </w:rPr>
        <w:t>cf-art-227</w:t>
      </w:r>
      <w:r>
        <w:rPr>
          <w:color w:val="003CA0"/>
          <w:sz w:val="12"/>
        </w:rPr>
        <w:t xml:space="preserve"> | ADI 7.524</w:t>
      </w:r>
      <w:r>
        <w:rPr>
          <w:color w:val="003CA0"/>
          <w:sz w:val="12"/>
        </w:rPr>
        <w:t xml:space="preserve"> | rel. Nunes Marques</w:t>
      </w:r>
    </w:p>
    <w:p>
      <w:pPr>
        <w:ind w:left="288"/>
      </w:pPr>
      <w:r>
        <w:rPr>
          <w:color w:val="1E1E1E"/>
          <w:sz w:val="18"/>
        </w:rPr>
        <w:t>A jurisprudência do STF estabelece que não pode haver discriminação entre mães biológicas e adotantes, uma vez que a licença-maternidade não visa apenas atender à necessidade biológica de recuperação da mulher após o processo de gestação e parto, mas também privilegiar outros valores importantes, tais como o convívio da criança com os pais, o desenvolvimento do vínculo afetivo e a adaptação da criança ao núcleo familiar.</w:t>
      </w:r>
    </w:p>
    <w:p>
      <w:pPr>
        <w:ind w:left="288"/>
      </w:pPr>
      <w:r>
        <w:rPr>
          <w:b/>
          <w:color w:val="003CA0"/>
          <w:sz w:val="16"/>
        </w:rPr>
        <w:t>[ADI 7.524, rel. min. Nunes Marques, j. 30-10-2025, P, DJE de 13-2-2026.]</w:t>
      </w:r>
    </w:p>
    <w:p>
      <w:pPr>
        <w:ind w:left="288"/>
      </w:pPr>
      <w:r>
        <w:rPr>
          <w:color w:val="8C8C8C"/>
          <w:sz w:val="12"/>
        </w:rPr>
        <w:t>cf-art-227</w:t>
      </w:r>
      <w:r>
        <w:rPr>
          <w:color w:val="003CA0"/>
          <w:sz w:val="12"/>
        </w:rPr>
        <w:t xml:space="preserve"> | ADI 7.524</w:t>
      </w:r>
      <w:r>
        <w:rPr>
          <w:color w:val="003CA0"/>
          <w:sz w:val="12"/>
        </w:rPr>
        <w:t xml:space="preserve"> | rel. Nunes Marques</w:t>
      </w:r>
    </w:p>
    <w:p>
      <w:pPr>
        <w:ind w:left="288"/>
      </w:pPr>
      <w:r>
        <w:rPr>
          <w:color w:val="1E1E1E"/>
          <w:sz w:val="18"/>
        </w:rPr>
        <w:t>A concessão de licença-paternidade por períodos distintos entre servidores estaduais, sem justificativa idônea, configura violação aos princípios da isonomia, da proteção integral e do melhor interesse da criança, e o seu direito à convivência familiar a salvo de toda forma de discriminação, além do dever estatal constitucionalmente imposto de proteção da família. Assim, deve ser reconhecido aos servidores públicos estaduais, independentemente do vínculo jurídico mantido com a administração pública, o direito à licença-paternidade de 15 dias, sem prejuízo do gozo da licença pelo período da lic</w:t>
      </w:r>
    </w:p>
    <w:p>
      <w:pPr>
        <w:ind w:left="288"/>
      </w:pPr>
      <w:r>
        <w:rPr>
          <w:b/>
          <w:color w:val="003CA0"/>
          <w:sz w:val="16"/>
        </w:rPr>
        <w:t>[ADI 7.524, rel. min. Nunes Marques, j. 30-10-2025, P, DJE de 13-2-2026.]</w:t>
      </w:r>
    </w:p>
    <w:p>
      <w:pPr>
        <w:ind w:left="288"/>
      </w:pPr>
      <w:r>
        <w:rPr>
          <w:color w:val="8C8C8C"/>
          <w:sz w:val="12"/>
        </w:rPr>
        <w:t>cf-art-227</w:t>
      </w:r>
      <w:r>
        <w:rPr>
          <w:color w:val="003CA0"/>
          <w:sz w:val="12"/>
        </w:rPr>
        <w:t xml:space="preserve"> | ADI 4.245</w:t>
      </w:r>
      <w:r>
        <w:rPr>
          <w:color w:val="003CA0"/>
          <w:sz w:val="12"/>
        </w:rPr>
        <w:t xml:space="preserve"> | rel. Luís Roberto Barroso</w:t>
      </w:r>
    </w:p>
    <w:p>
      <w:pPr>
        <w:ind w:left="288"/>
      </w:pPr>
      <w:r>
        <w:rPr>
          <w:color w:val="1E1E1E"/>
          <w:sz w:val="18"/>
        </w:rPr>
        <w:t>“1. A Convenção da Haia de 1980 sobre os aspectos civis da subtração internacional de crianças é compatível com a Constituição Federal, possuindo status supralegal no ordenamento jurídico brasileiro, por sua natureza de tratado internacional de proteção de direitos da criança. 2. A aplicação da Convenção no Brasil, à luz do princípio do melhor interesse da criança (art. 227, CF), exige a adoção de medidas estruturais e procedimentais para garantir a tramitação célere e eficaz das ações sobre restituição internacional de crianças. 3. A exceção de risco grave à criança, prevista no art. 13 (1) (</w:t>
      </w:r>
    </w:p>
    <w:p>
      <w:pPr>
        <w:ind w:left="288"/>
      </w:pPr>
      <w:r>
        <w:rPr>
          <w:b/>
          <w:color w:val="003CA0"/>
          <w:sz w:val="16"/>
        </w:rPr>
        <w:t>[ADI 4.245 e ADI 7.686, rel. min. Luís Roberto Barroso, j. 27.08.2025, P, Informativo STF 1.188.]</w:t>
      </w:r>
    </w:p>
    <w:p>
      <w:pPr>
        <w:ind w:left="288"/>
      </w:pPr>
      <w:r>
        <w:rPr>
          <w:color w:val="8C8C8C"/>
          <w:sz w:val="12"/>
        </w:rPr>
        <w:t>cf-art-227</w:t>
      </w:r>
      <w:r>
        <w:rPr>
          <w:color w:val="003CA0"/>
          <w:sz w:val="12"/>
        </w:rPr>
        <w:t xml:space="preserve"> | ADI 7.531</w:t>
      </w:r>
      <w:r>
        <w:rPr>
          <w:color w:val="003CA0"/>
          <w:sz w:val="12"/>
        </w:rPr>
        <w:t xml:space="preserve"> | rel. Nunes Marques</w:t>
      </w:r>
    </w:p>
    <w:p>
      <w:pPr>
        <w:ind w:left="288"/>
      </w:pPr>
      <w:r>
        <w:rPr>
          <w:color w:val="1E1E1E"/>
          <w:sz w:val="18"/>
        </w:rPr>
        <w:t>O direito à convivência familiar e o melhor interesse da criança justificam a extensão do direito à licença-maternidade aos genitores monoparentais, sejam eles estatutários, militares ou temporários.</w:t>
      </w:r>
    </w:p>
    <w:p>
      <w:pPr>
        <w:ind w:left="288"/>
      </w:pPr>
      <w:r>
        <w:rPr>
          <w:b/>
          <w:color w:val="003CA0"/>
          <w:sz w:val="16"/>
        </w:rPr>
        <w:t>[ADI 7.531, rel. min. Nunes Marques, j. 16.12.2024, P, DJE de 10.02.2025.]</w:t>
      </w:r>
    </w:p>
    <w:p>
      <w:pPr>
        <w:ind w:left="288"/>
      </w:pPr>
      <w:r>
        <w:rPr>
          <w:color w:val="8C8C8C"/>
          <w:sz w:val="12"/>
        </w:rPr>
        <w:t>cf-art-227</w:t>
      </w:r>
      <w:r>
        <w:rPr>
          <w:color w:val="003CA0"/>
          <w:sz w:val="12"/>
        </w:rPr>
        <w:t xml:space="preserve"> | RE 1.348.854</w:t>
      </w:r>
      <w:r>
        <w:rPr>
          <w:color w:val="003CA0"/>
          <w:sz w:val="12"/>
        </w:rPr>
        <w:t xml:space="preserve"> | rel. Alexandre de Moraes</w:t>
      </w:r>
    </w:p>
    <w:p>
      <w:pPr>
        <w:ind w:left="288"/>
      </w:pPr>
      <w:r>
        <w:rPr>
          <w:color w:val="1E1E1E"/>
          <w:sz w:val="18"/>
        </w:rPr>
        <w:t xml:space="preserve">Vide RE 1.348.854, rel. min. Alexandre de Moraes, j. 12.5.2022, P, DJE de 24.10.2022, Tema 1.182, com mérito julgado Novo marco regulatório das apostas de quota fixa (“bets”). Lei nº 14.790/2023. Impactos da publicidade de apostas na saúde mental, sobretudo de crianças e adolescentes, assim como nos orçamentos familiares, especialmente de pessoas beneficiárias de programas sociais e assistenciais. (...) Evidências dos imediatos, relevantes e deletérios impactos em curso, decorrentes de proteção insuficiente. (...) Provável agravamento do cenário pela inaplicação de normas já editadas. Pedidos </w:t>
      </w:r>
    </w:p>
    <w:p>
      <w:pPr>
        <w:ind w:left="288"/>
      </w:pPr>
      <w:r>
        <w:rPr>
          <w:b/>
          <w:color w:val="003CA0"/>
          <w:sz w:val="16"/>
        </w:rPr>
        <w:t>[ADI 7.721 MC-REF e ADI 7.723 MC REF, rel. min. Luiz Fux, j. 18.11.2024, P, DJE de 05.12.2024.]</w:t>
      </w:r>
    </w:p>
    <w:p>
      <w:pPr>
        <w:ind w:left="144"/>
      </w:pPr>
      <w:r>
        <w:rPr>
          <w:b/>
          <w:color w:val="B45A00"/>
          <w:sz w:val="16"/>
        </w:rPr>
        <w:t>CONTROLE CONCENTRADO</w:t>
      </w:r>
    </w:p>
    <w:p>
      <w:pPr>
        <w:ind w:left="288"/>
      </w:pPr>
      <w:r>
        <w:rPr>
          <w:color w:val="8C8C8C"/>
          <w:sz w:val="12"/>
        </w:rPr>
        <w:t>cf-art-227</w:t>
      </w:r>
      <w:r>
        <w:rPr>
          <w:color w:val="003CA0"/>
          <w:sz w:val="12"/>
        </w:rPr>
        <w:t xml:space="preserve"> | ADPF 1.123</w:t>
      </w:r>
      <w:r>
        <w:rPr>
          <w:color w:val="003CA0"/>
          <w:sz w:val="12"/>
        </w:rPr>
        <w:t xml:space="preserve"> | rel. Cristiano Zanin</w:t>
      </w:r>
    </w:p>
    <w:p>
      <w:pPr>
        <w:ind w:left="288"/>
      </w:pPr>
      <w:r>
        <w:rPr>
          <w:color w:val="1E1E1E"/>
          <w:sz w:val="18"/>
        </w:rPr>
        <w:t>É dever do Estado proteger a infância e a adolescência, assegurando o direito social à saúde e à educação. A vacinação obrigatória é matéria já decidida em julgamento com repercussão geral (Tema 1103). O direito assegurado a todos os brasileiros e brasileiras de conviver num ambiente sanitariamente seguro sobrepõe-se a eventuais pretensões individuais de não se vacinar. No caso da vacinação contra a Covid-19, uma vez incluída no Plano Nacional de Imunização, não pode o poder público municipal normatizar no sentido de sua não obrigatoriedade, sob pena de desrespeito à distribuição de competênci</w:t>
      </w:r>
    </w:p>
    <w:p>
      <w:pPr>
        <w:ind w:left="288"/>
      </w:pPr>
      <w:r>
        <w:rPr>
          <w:b/>
          <w:color w:val="003CA0"/>
          <w:sz w:val="16"/>
        </w:rPr>
        <w:t>[ADPF 1.123 MC-REF, rel. min. Cristiano Zanin, j. 11.03.2024, P, DJE de 24.04.2024.]</w:t>
      </w:r>
    </w:p>
    <w:p>
      <w:pPr>
        <w:ind w:left="288"/>
      </w:pPr>
      <w:r>
        <w:rPr>
          <w:color w:val="8C8C8C"/>
          <w:sz w:val="12"/>
        </w:rPr>
        <w:t>cf-art-227</w:t>
      </w:r>
      <w:r>
        <w:rPr>
          <w:color w:val="003CA0"/>
          <w:sz w:val="12"/>
        </w:rPr>
        <w:t xml:space="preserve"> | ADI 5.126</w:t>
      </w:r>
      <w:r>
        <w:rPr>
          <w:color w:val="003CA0"/>
          <w:sz w:val="12"/>
        </w:rPr>
        <w:t xml:space="preserve"> | rel. Gilmar Mendes</w:t>
      </w:r>
    </w:p>
    <w:p>
      <w:pPr>
        <w:ind w:left="288"/>
      </w:pPr>
      <w:r>
        <w:rPr>
          <w:color w:val="1E1E1E"/>
          <w:sz w:val="18"/>
        </w:rPr>
        <w:t>Proibição de fabricar, vender e comercializar armas de fogo de brinquedo no Estado. Competência concorrente da União, dos Estados, do Distrito Federal e Municípios para legislar sobre proteção à infância e à juventude. Competência concorrente para legislar sobre matéria de produção e consumo. A mera circunstância de uma norma demandar atuação positiva do Poder Executivo não a insere no rol de leis cuja iniciativa é privativa do Chefe do Executivo.</w:t>
        <w:br/>
        <w:t>[ADI 5.126, rel. min. Gilmar Mendes, j. 19-12-2022, P, DJE de 18-1-2023.] Estatuto da Criança e do Adolescente. Art. 16, I, consagra o direito de ir</w:t>
      </w:r>
    </w:p>
    <w:p>
      <w:pPr>
        <w:ind w:left="288"/>
      </w:pPr>
      <w:r>
        <w:rPr>
          <w:b/>
          <w:color w:val="003CA0"/>
          <w:sz w:val="16"/>
        </w:rPr>
        <w:t>[ADI 3.446, rel. min. Gilmar Mendes, j. 8-8-2019, P, DJE de 31-7-2020.]</w:t>
      </w:r>
    </w:p>
    <w:p>
      <w:pPr>
        <w:ind w:left="288"/>
      </w:pPr>
      <w:r>
        <w:rPr>
          <w:color w:val="8C8C8C"/>
          <w:sz w:val="12"/>
        </w:rPr>
        <w:t>cf-art-227</w:t>
      </w:r>
      <w:r>
        <w:rPr>
          <w:color w:val="003CA0"/>
          <w:sz w:val="12"/>
        </w:rPr>
        <w:t xml:space="preserve"> | ADI 5.938</w:t>
      </w:r>
      <w:r>
        <w:rPr>
          <w:color w:val="003CA0"/>
          <w:sz w:val="12"/>
        </w:rPr>
        <w:t xml:space="preserve"> | rel. Alexandre de Moraes</w:t>
      </w:r>
    </w:p>
    <w:p>
      <w:pPr>
        <w:ind w:left="288"/>
      </w:pPr>
      <w:r>
        <w:rPr>
          <w:color w:val="1E1E1E"/>
          <w:sz w:val="18"/>
        </w:rPr>
        <w:t xml:space="preserve">A Constituição Federal proclama importantes direitos em seu artigo 6º, entre eles a proteção à maternidade, que é a ratio para inúmeros outros direitos sociais instrumentais, tais como a licença-gestante e o direito à segurança no emprego, a proteção do mercado de trabalho da mulher, mediante incentivos específicos, nos termos da lei, e redução dos riscos inerentes ao trabalho, por meio de normas de saúde, higiene e segurança. A proteção contra a exposição da gestante e lactante a atividades insalubres caracteriza-se como importante direito social instrumental protetivo tanto da mulher quanto </w:t>
      </w:r>
    </w:p>
    <w:p>
      <w:pPr>
        <w:ind w:left="288"/>
      </w:pPr>
      <w:r>
        <w:rPr>
          <w:b/>
          <w:color w:val="003CA0"/>
          <w:sz w:val="16"/>
        </w:rPr>
        <w:t>[ADI 5.938, rel. min. Alexandre de Moraes, j. 29-5-2019, P, DJE de 23-9-2019.]</w:t>
      </w:r>
    </w:p>
    <w:p>
      <w:pPr>
        <w:ind w:left="288"/>
      </w:pPr>
      <w:r>
        <w:rPr>
          <w:color w:val="8C8C8C"/>
          <w:sz w:val="12"/>
        </w:rPr>
        <w:t>cf-art-227</w:t>
      </w:r>
      <w:r>
        <w:rPr>
          <w:color w:val="003CA0"/>
          <w:sz w:val="12"/>
        </w:rPr>
        <w:t xml:space="preserve"> | ADI 6.039</w:t>
      </w:r>
      <w:r>
        <w:rPr>
          <w:color w:val="003CA0"/>
          <w:sz w:val="12"/>
        </w:rPr>
        <w:t xml:space="preserve"> | rel. Edson Fachin</w:t>
      </w:r>
    </w:p>
    <w:p>
      <w:pPr>
        <w:ind w:left="288"/>
      </w:pPr>
      <w:r>
        <w:rPr>
          <w:color w:val="1E1E1E"/>
          <w:sz w:val="18"/>
        </w:rPr>
        <w:t>(...) Lei Estadual 8.008/2018 do Rio de Janeiro, que impõe a obrigatoriedade de que as crianças e adolescentes do sexo feminino vítimas de estupro sejam examinadas por perito legista mulher (...). Risco evidenciado pela negativa de realização de atos periciais às vítimas menores de idade do sexo feminino por legistas homens, o que compromete, concretamente e de modo mais urgente, o direito de crianças e adolescente de acesso à justiça (art. 39 da Convenção sobre os Direitos das Crianças) e os princípios da proteção integral e da prioridade absoluta (arts. 5º, XXXV, e 227 da CRFB). Inconstituci</w:t>
      </w:r>
    </w:p>
    <w:p>
      <w:pPr>
        <w:ind w:left="288"/>
      </w:pPr>
      <w:r>
        <w:rPr>
          <w:b/>
          <w:color w:val="003CA0"/>
          <w:sz w:val="16"/>
        </w:rPr>
        <w:t>[ADI 6.039-MC, rel. min. Edson Fachin, j. 13-3-2019, P, DJE de 1º-8-2019.]</w:t>
      </w:r>
    </w:p>
    <w:p>
      <w:pPr>
        <w:ind w:left="144"/>
      </w:pPr>
      <w:r>
        <w:rPr>
          <w:b/>
          <w:color w:val="B45A00"/>
          <w:sz w:val="16"/>
        </w:rPr>
        <w:t>REPERCUSSAO GERAL</w:t>
      </w:r>
    </w:p>
    <w:p>
      <w:pPr>
        <w:ind w:left="288"/>
      </w:pPr>
      <w:r>
        <w:rPr>
          <w:color w:val="8C8C8C"/>
          <w:sz w:val="12"/>
        </w:rPr>
        <w:t>cf-art-227</w:t>
      </w:r>
      <w:r>
        <w:rPr>
          <w:color w:val="003CA0"/>
          <w:sz w:val="12"/>
        </w:rPr>
        <w:t xml:space="preserve"> | RE 1.237.867</w:t>
      </w:r>
      <w:r>
        <w:rPr>
          <w:color w:val="003CA0"/>
          <w:sz w:val="12"/>
        </w:rPr>
        <w:t xml:space="preserve"> | rel. Ricardo Lewandowski</w:t>
      </w:r>
    </w:p>
    <w:p>
      <w:pPr>
        <w:ind w:left="288"/>
      </w:pPr>
      <w:r>
        <w:rPr>
          <w:color w:val="1E1E1E"/>
          <w:sz w:val="18"/>
        </w:rPr>
        <w:t xml:space="preserve">Tendo em vista o princípio da igualdade substancial, previsto tanto em nossa Carta Constitucional quanto na Convenção Internacional sobre o Direito das Pessoas com Deficiência, se os servidores públicos federais, pais ou cuidadores legais de pessoas com deficiência têm o direito a horário especial, sem a necessidade de compensação de horário e sem redução de vencimentos, os servidores públicos estaduais e municipais em situações análogas também devem ter a mesma prerrogativa. (...) Aos servidores públicos estaduais e municipais é aplicado, para todos os efeitos, o art. 98, § 2° e § 3°, da Lei </w:t>
      </w:r>
    </w:p>
    <w:p>
      <w:pPr>
        <w:ind w:left="288"/>
      </w:pPr>
      <w:r>
        <w:rPr>
          <w:b/>
          <w:color w:val="003CA0"/>
          <w:sz w:val="16"/>
        </w:rPr>
        <w:t>[RE 1.237.867, rel. min. Ricardo Lewandowski, j. 19-12-2022, P, DJE de 12-1-2023, Tema 1.097, com mérito julgado.]</w:t>
      </w:r>
    </w:p>
    <w:p>
      <w:pPr>
        <w:ind w:left="288"/>
      </w:pPr>
      <w:r>
        <w:rPr>
          <w:color w:val="8C8C8C"/>
          <w:sz w:val="12"/>
        </w:rPr>
        <w:t>cf-art-227</w:t>
      </w:r>
      <w:r>
        <w:rPr>
          <w:color w:val="003CA0"/>
          <w:sz w:val="12"/>
        </w:rPr>
        <w:t xml:space="preserve"> | RE 1.348.854</w:t>
      </w:r>
      <w:r>
        <w:rPr>
          <w:color w:val="003CA0"/>
          <w:sz w:val="12"/>
        </w:rPr>
        <w:t xml:space="preserve"> | rel. Alexandre de Moraes</w:t>
      </w:r>
    </w:p>
    <w:p>
      <w:pPr>
        <w:ind w:left="288"/>
      </w:pPr>
      <w:r>
        <w:rPr>
          <w:color w:val="1E1E1E"/>
          <w:sz w:val="18"/>
        </w:rPr>
        <w:t>À luz do art. 227 da CF que confere proteção integral da criança com absoluta prioridade, bem como do princípio da isonomia de direitos entre o homem e a mulher (art. 5º, I, CF), a licença maternidade, prevista no art. 7º, XVIII, da CF/88, e regulamentada pelo art. 207 da Lei 8.112/1990, estende-se ao pai, genitor monoparental, servidor público.</w:t>
      </w:r>
    </w:p>
    <w:p>
      <w:pPr>
        <w:ind w:left="288"/>
      </w:pPr>
      <w:r>
        <w:rPr>
          <w:b/>
          <w:color w:val="003CA0"/>
          <w:sz w:val="16"/>
        </w:rPr>
        <w:t>[RE 1.348.854, rel. min. Alexandre de Moraes, j. 12-5-2022, P, DJE de 24-10-2022, Tema 1.182, com mérito julgado.]</w:t>
      </w:r>
    </w:p>
    <w:p>
      <w:pPr>
        <w:ind w:left="288"/>
      </w:pPr>
      <w:r>
        <w:rPr>
          <w:color w:val="8C8C8C"/>
          <w:sz w:val="12"/>
        </w:rPr>
        <w:t>cf-art-227</w:t>
      </w:r>
      <w:r>
        <w:rPr>
          <w:color w:val="003CA0"/>
          <w:sz w:val="12"/>
        </w:rPr>
        <w:t xml:space="preserve"> | ADI 7.531</w:t>
      </w:r>
      <w:r>
        <w:rPr>
          <w:color w:val="003CA0"/>
          <w:sz w:val="12"/>
        </w:rPr>
        <w:t xml:space="preserve"> | rel. Nunes Marques</w:t>
      </w:r>
    </w:p>
    <w:p>
      <w:pPr>
        <w:ind w:left="288"/>
      </w:pPr>
      <w:r>
        <w:rPr>
          <w:color w:val="1E1E1E"/>
          <w:sz w:val="18"/>
        </w:rPr>
        <w:t>Vide ADI 7.531, rel. min. Nunes Marques, j. 16.12.2024, P, DJE de 10.02.2025 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 poder familiar.</w:t>
        <w:br/>
        <w:t>[ARE 1</w:t>
      </w:r>
    </w:p>
    <w:p>
      <w:pPr>
        <w:ind w:left="288"/>
      </w:pPr>
      <w:r>
        <w:rPr>
          <w:b/>
          <w:color w:val="003CA0"/>
          <w:sz w:val="16"/>
        </w:rPr>
        <w:t>[RE 608.898, rel. min. Marco Aurélio, j. 25-6-2020, P, DJE de 7-10-2020, Tema 373, com mérito julgado.]</w:t>
      </w:r>
    </w:p>
    <w:p>
      <w:pPr>
        <w:ind w:left="288"/>
      </w:pPr>
      <w:r>
        <w:rPr>
          <w:color w:val="8C8C8C"/>
          <w:sz w:val="12"/>
        </w:rPr>
        <w:t>cf-art-227</w:t>
      </w:r>
      <w:r>
        <w:rPr>
          <w:color w:val="003CA0"/>
          <w:sz w:val="12"/>
        </w:rPr>
        <w:t xml:space="preserve"> | RE 888.815</w:t>
      </w:r>
    </w:p>
    <w:p>
      <w:pPr>
        <w:ind w:left="288"/>
      </w:pPr>
      <w:r>
        <w:rPr>
          <w:color w:val="1E1E1E"/>
          <w:sz w:val="18"/>
        </w:rPr>
        <w:t>A Constituição Federal não veda de forma absoluta o ensino domiciliar, mas proíbe qualquer de suas espécies que não respeite o dever de solidariedade entre a família e o Estado como núcleo principal à formação educacional das crianças, jovens e adolescentes.</w:t>
      </w:r>
    </w:p>
    <w:p>
      <w:pPr>
        <w:ind w:left="288"/>
      </w:pPr>
      <w:r>
        <w:rPr>
          <w:b/>
          <w:color w:val="003CA0"/>
          <w:sz w:val="16"/>
        </w:rPr>
        <w:t>[RE 888.815, red. do ac. min. Alexandre de Moraes, j. 12-9-2018, P, DJE de 21-3-2019, Tema 822.]</w:t>
      </w:r>
    </w:p>
    <w:p>
      <w:pPr>
        <w:ind w:left="288"/>
      </w:pPr>
      <w:r>
        <w:rPr>
          <w:color w:val="8C8C8C"/>
          <w:sz w:val="12"/>
        </w:rPr>
        <w:t>cf-art-227</w:t>
      </w:r>
      <w:r>
        <w:rPr>
          <w:color w:val="003CA0"/>
          <w:sz w:val="12"/>
        </w:rPr>
        <w:t xml:space="preserve"> | ARE 1.562.586</w:t>
      </w:r>
      <w:r>
        <w:rPr>
          <w:color w:val="003CA0"/>
          <w:sz w:val="12"/>
        </w:rPr>
        <w:t xml:space="preserve"> | rel. Flávio Dino</w:t>
      </w:r>
    </w:p>
    <w:p>
      <w:pPr>
        <w:ind w:left="288"/>
      </w:pPr>
      <w:r>
        <w:rPr>
          <w:color w:val="1E1E1E"/>
          <w:sz w:val="18"/>
        </w:rPr>
        <w:t>A interpretação teleológica e sistemática do artigo 389, §§ 1º e 2º, da CLT, deve ser no sentido de densificar o direito humano e fundamental ao aleitamento materno, devendo ser interpretado de modo a garantir a máxima efetividade dos direitos fundamentais à saúde e à alimentação da criança, à proteção da maternidade e à infância (art. 227, da CF), bem como a proteção do mercado de trabalho da mulher (art. 7º, XX, da CF), em consonância com a eficácia horizontal e diagonal dos direitos fundamentais. A disponibilização de espaços para aleitamento materno concretiza simultaneamente a proteção do</w:t>
      </w:r>
    </w:p>
    <w:p>
      <w:pPr>
        <w:ind w:left="288"/>
      </w:pPr>
      <w:r>
        <w:rPr>
          <w:b/>
          <w:color w:val="003CA0"/>
          <w:sz w:val="16"/>
        </w:rPr>
        <w:t>[ARE 1.562.586 AgR, rel. min. Flávio Dino, j. 13.10.2025, 1ª Turma, DJE de 17.10.2025.]</w:t>
      </w:r>
    </w:p>
    <w:p>
      <w:pPr>
        <w:ind w:left="288"/>
      </w:pPr>
      <w:r>
        <w:rPr>
          <w:color w:val="8C8C8C"/>
          <w:sz w:val="12"/>
        </w:rPr>
        <w:t>cf-art-227</w:t>
      </w:r>
      <w:r>
        <w:rPr>
          <w:color w:val="003CA0"/>
          <w:sz w:val="12"/>
        </w:rPr>
        <w:t xml:space="preserve"> | MS 40.297</w:t>
      </w:r>
      <w:r>
        <w:rPr>
          <w:color w:val="003CA0"/>
          <w:sz w:val="12"/>
        </w:rPr>
        <w:t xml:space="preserve"> | rel. Flávio Dino</w:t>
      </w:r>
    </w:p>
    <w:p>
      <w:pPr>
        <w:ind w:left="288"/>
      </w:pPr>
      <w:r>
        <w:rPr>
          <w:color w:val="1E1E1E"/>
          <w:sz w:val="18"/>
        </w:rPr>
        <w:t>A Medida Provisória nº 1.287/2025, que institui a concessão de indenização às famílias de crianças com sequelas decorrentes da síndrome congênita do vírus da Zika, ainda não foi regulamentada nem operacionalizada pela administração pública, o que impede o acesso efetivo ao benefício. Há risco de perda do direito, pois a Medida Provisória deixará de valer em 2 de junho de 2025, caso não seja convertida em lei pelo Congresso Nacional. A omissão pode comprometer os direitos constitucionais das crianças e pessoas com deficiência, como o direito à saúde, à proteção integral e à dignidade (arts. 6º,</w:t>
      </w:r>
    </w:p>
    <w:p>
      <w:pPr>
        <w:ind w:left="288"/>
      </w:pPr>
      <w:r>
        <w:rPr>
          <w:b/>
          <w:color w:val="003CA0"/>
          <w:sz w:val="16"/>
        </w:rPr>
        <w:t>[MS 40.297 MC-REF rel. min. Flávio Dino, j. 10.06.2025, P, DJE de 06.08.2025.]</w:t>
      </w:r>
    </w:p>
    <w:p>
      <w:pPr>
        <w:ind w:left="288"/>
      </w:pPr>
      <w:r>
        <w:rPr>
          <w:color w:val="8C8C8C"/>
          <w:sz w:val="12"/>
        </w:rPr>
        <w:t>cf-art-227</w:t>
      </w:r>
      <w:r>
        <w:rPr>
          <w:color w:val="003CA0"/>
          <w:sz w:val="12"/>
        </w:rPr>
        <w:t xml:space="preserve"> | RE 1.532.276</w:t>
      </w:r>
      <w:r>
        <w:rPr>
          <w:color w:val="003CA0"/>
          <w:sz w:val="12"/>
        </w:rPr>
        <w:t xml:space="preserve"> | rel. André Mendonça</w:t>
      </w:r>
    </w:p>
    <w:p>
      <w:pPr>
        <w:ind w:left="288"/>
      </w:pPr>
      <w:r>
        <w:rPr>
          <w:color w:val="1E1E1E"/>
          <w:sz w:val="18"/>
        </w:rPr>
        <w:t>O direito à licença-paternidade possui assento constitucional e, ainda que caiba a normas infraconstitucionais sua regulamentação — incluindo a definição de seu termo inicial —, a interpretação dessas deve levar em conta os objetivos de tal direito, a própria razão para sua previsão expressa em nossa Carta Magna e os princípios e normas a ele relacionados. A interpretação das normas referentes à licença-paternidade deve ser realizada em consonância com as disposições constitucionais relacionadas à criança, verdadeira principal destinatária da licença, à família, à paternidade responsável e à i</w:t>
      </w:r>
    </w:p>
    <w:p>
      <w:pPr>
        <w:ind w:left="288"/>
      </w:pPr>
      <w:r>
        <w:rPr>
          <w:b/>
          <w:color w:val="003CA0"/>
          <w:sz w:val="16"/>
        </w:rPr>
        <w:t>[RE 1.532.276, rel. min. André Mendonça, j. 22.02.2025, 2ª T, DJE de 07.03.2025.]</w:t>
      </w:r>
    </w:p>
    <w:p>
      <w:pPr>
        <w:ind w:left="144"/>
      </w:pPr>
      <w:r>
        <w:rPr>
          <w:b/>
          <w:color w:val="B45A00"/>
          <w:sz w:val="16"/>
        </w:rPr>
        <w:t>JULGADOS CORRELATOS</w:t>
      </w:r>
    </w:p>
    <w:p>
      <w:pPr>
        <w:ind w:left="288"/>
      </w:pPr>
      <w:r>
        <w:rPr>
          <w:color w:val="8C8C8C"/>
          <w:sz w:val="12"/>
        </w:rPr>
        <w:t>cf-art-227</w:t>
      </w:r>
      <w:r>
        <w:rPr>
          <w:color w:val="003CA0"/>
          <w:sz w:val="12"/>
        </w:rPr>
        <w:t xml:space="preserve"> | MS 39.639</w:t>
      </w:r>
      <w:r>
        <w:rPr>
          <w:color w:val="003CA0"/>
          <w:sz w:val="12"/>
        </w:rPr>
        <w:t xml:space="preserve"> | rel. Cristiano Zanin</w:t>
      </w:r>
    </w:p>
    <w:p>
      <w:pPr>
        <w:ind w:left="288"/>
      </w:pPr>
      <w:r>
        <w:rPr>
          <w:color w:val="1E1E1E"/>
          <w:sz w:val="18"/>
        </w:rPr>
        <w:t>A autorização para realizar trabalho remoto, fora do país, sujeita-se à disciplina normativa aplicável ao órgão em que labora o servidor. Inexistência, no caso concreto, de norma explícita que atribua à impetrante o direito inexorável a trabalhar no exterior. Legislação que confere à Presidência do Senado competência discricionária para definir a organização de trabalho, com amparo no art. 52, XIII, da Constituição Federal. Não deflui do art. 227 do Texto Constitucional o direito individual do servidor a trabalhar fora do país, sobretudo quando as normas específicas que disciplinam a matéria n</w:t>
      </w:r>
    </w:p>
    <w:p>
      <w:pPr>
        <w:ind w:left="288"/>
      </w:pPr>
      <w:r>
        <w:rPr>
          <w:b/>
          <w:color w:val="003CA0"/>
          <w:sz w:val="16"/>
        </w:rPr>
        <w:t>[HC 143.988, rel. min. Edson Fachin, j. 24-8-2020, 2ªT, DJE de 4-9-2020.]</w:t>
      </w:r>
    </w:p>
    <w:p>
      <w:pPr>
        <w:ind w:left="288"/>
      </w:pPr>
      <w:r>
        <w:rPr>
          <w:color w:val="8C8C8C"/>
          <w:sz w:val="12"/>
        </w:rPr>
        <w:t>cf-art-227</w:t>
      </w:r>
      <w:r>
        <w:rPr>
          <w:color w:val="003CA0"/>
          <w:sz w:val="12"/>
        </w:rPr>
        <w:t xml:space="preserve"> | HC 123.971</w:t>
      </w:r>
    </w:p>
    <w:p>
      <w:pPr>
        <w:ind w:left="288"/>
      </w:pPr>
      <w:r>
        <w:rPr>
          <w:color w:val="1E1E1E"/>
          <w:sz w:val="18"/>
        </w:rPr>
        <w:t>O art. 225 do CP, na sua redação original, previa que em crimes como o dos presentes autos somente se procedia mediante queixa, salvo se a vítima fosse pobre ou tivesse ocorrido abuso do pátrio-poder. O dispositivo vigeu por décadas sem que fosse pronunciada a sua inconstitucionalidade ou não recepção. A Lei 12.015, de 7-8-2009, modificou o tratamento da matéria, passando a prever ação pública incondicionada no caso de violência sexual contra menor. Na situação concreta aqui versada, o Poder Judiciário considerou, por decisão transitada em julgado, descabido o oferecimento de queixa-crime pelo</w:t>
      </w:r>
    </w:p>
    <w:p>
      <w:pPr>
        <w:ind w:left="288"/>
      </w:pPr>
      <w:r>
        <w:rPr>
          <w:b/>
          <w:color w:val="003CA0"/>
          <w:sz w:val="16"/>
        </w:rPr>
        <w:t>[HC 123.971, red. do ac. min. Roberto Barroso, j. 25-2-2016, P, DJE de 15-6-2016.]</w:t>
      </w:r>
    </w:p>
    <w:p>
      <w:pPr>
        <w:ind w:left="288"/>
      </w:pPr>
      <w:r>
        <w:rPr>
          <w:color w:val="8C8C8C"/>
          <w:sz w:val="12"/>
        </w:rPr>
        <w:t>cf-art-227</w:t>
      </w:r>
      <w:r>
        <w:rPr>
          <w:color w:val="003CA0"/>
          <w:sz w:val="12"/>
        </w:rPr>
        <w:t xml:space="preserve"> | HC 114.901</w:t>
      </w:r>
      <w:r>
        <w:rPr>
          <w:color w:val="003CA0"/>
          <w:sz w:val="12"/>
        </w:rPr>
        <w:t xml:space="preserve"> | rel. Celso de Mello</w:t>
      </w:r>
    </w:p>
    <w:p>
      <w:pPr>
        <w:ind w:left="288"/>
      </w:pPr>
      <w:r>
        <w:rPr>
          <w:color w:val="1E1E1E"/>
          <w:sz w:val="18"/>
        </w:rPr>
        <w:t>Habeas corpus. Medida liminar. Expulsão de estrangeiro. Paternidade sobre filho menor impúbere brasileiro nascido após a prática do delito ensejador do ato de expulsão. O status quaestionis na jurisprudência do STF. Condições de inexpulsabilidade: dependência econômica ou vínculo socioafetivo. Considerações em torno do afeto como valor constitucional irradiador de efeitos jurídicos. A valorização desse novo paradigma como núcleo conformador do conceito de família. A relação socioafetiva como causa obstativa do poder expulsório do Estado. Dever constitucional do Estado de proteger a unidade e d</w:t>
      </w:r>
    </w:p>
    <w:p>
      <w:pPr>
        <w:ind w:left="288"/>
      </w:pPr>
      <w:r>
        <w:rPr>
          <w:b/>
          <w:color w:val="003CA0"/>
          <w:sz w:val="16"/>
        </w:rPr>
        <w:t>[HC 114.901 MC, rel. min. Celso de Mello, j. 26-11-2012, dec. monocrática, DJE de 29-11-2012.]</w:t>
      </w:r>
    </w:p>
    <w:p>
      <w:pPr>
        <w:ind w:left="288"/>
      </w:pPr>
      <w:r>
        <w:rPr>
          <w:color w:val="8C8C8C"/>
          <w:sz w:val="12"/>
        </w:rPr>
        <w:t>cf-art-227</w:t>
      </w:r>
      <w:r>
        <w:rPr>
          <w:color w:val="003CA0"/>
          <w:sz w:val="12"/>
        </w:rPr>
        <w:t xml:space="preserve"> | HC 216.917</w:t>
      </w:r>
      <w:r>
        <w:rPr>
          <w:color w:val="003CA0"/>
          <w:sz w:val="12"/>
        </w:rPr>
        <w:t xml:space="preserve"> | rel. André Mendonça</w:t>
      </w:r>
    </w:p>
    <w:p>
      <w:pPr>
        <w:ind w:left="288"/>
      </w:pPr>
      <w:r>
        <w:rPr>
          <w:color w:val="1E1E1E"/>
          <w:sz w:val="18"/>
        </w:rPr>
        <w:t>A demora exacerbada para emissão de visto às menores haitianas viola, na via direta, o direito de entrada no país (liberdade de locomoção) e, de maneira indireta, os direitos do imigrante à reunião familiar e à acolhida humanitária, bem assim colide com a proteção conferida pelo arcabouço normativo pátrio à família e, com absoluta prioridade, às crianças e aos adolescentes (Arts. 1º, inc. III, 4º, incs. II e IX, 226 e 227, da CRFB; e arts. 3º, incs. I, VI, VIII, XII, XV, XVII, XVIII, e 4º, incs. I e III, da Lei nº 13.445, de 2017).</w:t>
        <w:br/>
        <w:t>[HC 216.917, rel. min. André Mendonça, j. 8-10-2022, 2ª T, DJE</w:t>
      </w:r>
    </w:p>
    <w:p>
      <w:pPr>
        <w:ind w:left="288"/>
      </w:pPr>
      <w:r>
        <w:rPr>
          <w:b/>
          <w:color w:val="003CA0"/>
          <w:sz w:val="16"/>
        </w:rPr>
        <w:t>[HC 98.518, rel. min. Eros Grau, j. 25-5-2010, 2ª T, DJE de 18-6-2010.]</w:t>
      </w:r>
    </w:p>
    <w:p>
      <w:pPr>
        <w:ind w:left="288"/>
      </w:pPr>
      <w:r>
        <w:rPr>
          <w:color w:val="8C8C8C"/>
          <w:sz w:val="12"/>
        </w:rPr>
        <w:t>cf-art-227</w:t>
      </w:r>
      <w:r>
        <w:rPr>
          <w:color w:val="003CA0"/>
          <w:sz w:val="12"/>
        </w:rPr>
        <w:t xml:space="preserve"> | AI 583.136</w:t>
      </w:r>
      <w:r>
        <w:rPr>
          <w:color w:val="003CA0"/>
          <w:sz w:val="12"/>
        </w:rPr>
        <w:t xml:space="preserve"> | rel. Celso de Mello). É que</w:t>
      </w:r>
    </w:p>
    <w:p>
      <w:pPr>
        <w:ind w:left="288"/>
      </w:pPr>
      <w:r>
        <w:rPr>
          <w:color w:val="1E1E1E"/>
          <w:sz w:val="18"/>
        </w:rPr>
        <w:t>É preciso assinalar, neste ponto, por relevante, que a proteção aos direitos da criança e do adolescente (CF, art. 227, caput) – qualifica-se como um dos direitos sociais mais expressivos, subsumindo-se à noção dos direitos de segunda geração (RTJ 164/158-161), cujo adimplemento impõe ao poder público a satisfação de um dever de prestação positiva, consistente num facere (...). (...) o STF, considerada a dimensão política da jurisdição constitucional outorgada a esta Corte, não pode demitir-se do gravíssimo encargo de tornar efetivos os direitos econômicos, sociais e culturais, que se identifi</w:t>
      </w:r>
    </w:p>
    <w:p>
      <w:pPr>
        <w:ind w:left="288"/>
      </w:pPr>
      <w:r>
        <w:rPr>
          <w:b/>
          <w:color w:val="003CA0"/>
          <w:sz w:val="16"/>
        </w:rPr>
        <w:t>[RE 482.611, rel. min. Celso de Mello, j. 23-3-2010, dec. monocrática, DJE de 7-4-2010.]</w:t>
      </w:r>
    </w:p>
    <w:p>
      <w:pPr>
        <w:ind w:left="288"/>
      </w:pPr>
      <w:r>
        <w:rPr>
          <w:color w:val="8C8C8C"/>
          <w:sz w:val="12"/>
        </w:rPr>
        <w:t>cf-art-227</w:t>
      </w:r>
      <w:r>
        <w:rPr>
          <w:color w:val="003CA0"/>
          <w:sz w:val="12"/>
        </w:rPr>
        <w:t xml:space="preserve"> | HC 98.381</w:t>
      </w:r>
      <w:r>
        <w:rPr>
          <w:color w:val="003CA0"/>
          <w:sz w:val="12"/>
        </w:rPr>
        <w:t xml:space="preserve"> | rel. Ricardo Lewandowski</w:t>
      </w:r>
    </w:p>
    <w:p>
      <w:pPr>
        <w:ind w:left="288"/>
      </w:pPr>
      <w:r>
        <w:rPr>
          <w:color w:val="1E1E1E"/>
          <w:sz w:val="18"/>
        </w:rPr>
        <w:t>As medidas previstas no ECA têm caráter educativo, preventivo e protetor, não podendo o Estado ficar impedido de aplicá-las.</w:t>
      </w:r>
    </w:p>
    <w:p>
      <w:pPr>
        <w:ind w:left="288"/>
      </w:pPr>
      <w:r>
        <w:rPr>
          <w:b/>
          <w:color w:val="003CA0"/>
          <w:sz w:val="16"/>
        </w:rPr>
        <w:t>[HC 98.381, rel. min. Ricardo Lewandowski, j. 20-10-2009, 1ª T, DJE de 20-11-2009.]</w:t>
      </w:r>
    </w:p>
    <w:p>
      <w:pPr>
        <w:ind w:left="288"/>
      </w:pPr>
      <w:r>
        <w:rPr>
          <w:color w:val="8C8C8C"/>
          <w:sz w:val="12"/>
        </w:rPr>
        <w:t>cf-art-227</w:t>
      </w:r>
      <w:r>
        <w:rPr>
          <w:color w:val="003CA0"/>
          <w:sz w:val="12"/>
        </w:rPr>
        <w:t xml:space="preserve"> | HC 97.183</w:t>
      </w:r>
      <w:r>
        <w:rPr>
          <w:color w:val="003CA0"/>
          <w:sz w:val="12"/>
        </w:rPr>
        <w:t xml:space="preserve"> | rel. Cármen Lúcia</w:t>
      </w:r>
    </w:p>
    <w:p>
      <w:pPr>
        <w:ind w:left="288"/>
      </w:pPr>
      <w:r>
        <w:rPr>
          <w:color w:val="1E1E1E"/>
          <w:sz w:val="18"/>
        </w:rPr>
        <w:t>O ECA e a jurisprudência do STF consideram o ato infracional cometido mediante grave ameaça e violência a pessoa como sendo passível de aplicação da medida de internação. Na espécie, a fundamentação da decisão proferida pelo Juízo da Infância e da Juventude demonstra não ocorrer constrangimento ilegal, única hipótese que autorizaria a concessão da ordem, pois a internação imposta ao paciente, além de atender às garantias constitucionais da ampla defesa, do contraditório, do devido processo legal e da excepcionalidade, respeitou a condição peculiar de pessoa em desenvolvimento ao destacar a gra</w:t>
      </w:r>
    </w:p>
    <w:p>
      <w:pPr>
        <w:ind w:left="288"/>
      </w:pPr>
      <w:r>
        <w:rPr>
          <w:b/>
          <w:color w:val="003CA0"/>
          <w:sz w:val="16"/>
        </w:rPr>
        <w:t>[HC 97.183, rel. min. Cármen Lúcia, j. 28-4-2009, 1ª T, DJE de 22-5-2009.]</w:t>
      </w:r>
    </w:p>
    <w:p>
      <w:pPr>
        <w:ind w:left="288"/>
      </w:pPr>
      <w:r>
        <w:rPr>
          <w:color w:val="8C8C8C"/>
          <w:sz w:val="12"/>
        </w:rPr>
        <w:t>cf-art-227</w:t>
      </w:r>
      <w:r>
        <w:rPr>
          <w:color w:val="003CA0"/>
          <w:sz w:val="12"/>
        </w:rPr>
        <w:t xml:space="preserve"> | RHC 104.144</w:t>
      </w:r>
      <w:r>
        <w:rPr>
          <w:color w:val="003CA0"/>
          <w:sz w:val="12"/>
        </w:rPr>
        <w:t xml:space="preserve"> | rel. Luiz Fux</w:t>
      </w:r>
    </w:p>
    <w:p>
      <w:pPr>
        <w:ind w:left="288"/>
      </w:pPr>
      <w:r>
        <w:rPr>
          <w:color w:val="1E1E1E"/>
          <w:sz w:val="18"/>
        </w:rPr>
        <w:t>= RHC 104.144, rel. min. Luiz Fux, j. 14-6-2011, 1ª T, DJE de 9-8-2011 Habeas corpus. Atentado violento ao pudor. ECA. Vacatio legis. Lei de crimes hediondos. Conflito aparente de normas. Inteligência do art. 227, caput, da CF. (...) O parágrafo único do art. 214 do CP, introduzido pelo ECA, não entrou em vigor, uma vez que foi revogado pela Lei 8.072/1990. Interpretação que se faz, também, à luz do art. 227, caput, da CF. Precedentes do STF.</w:t>
      </w:r>
    </w:p>
    <w:p>
      <w:pPr>
        <w:ind w:left="288"/>
      </w:pPr>
      <w:r>
        <w:rPr>
          <w:b/>
          <w:color w:val="003CA0"/>
          <w:sz w:val="16"/>
        </w:rPr>
        <w:t>[HC 94.270, rel. min. Ricardo Lewandowski, j. 7-10-2008, 1ª T, DJE de 24-10-2008.]</w:t>
      </w:r>
    </w:p>
    <w:p>
      <w:pPr>
        <w:ind w:left="288"/>
      </w:pPr>
      <w:r>
        <w:rPr>
          <w:color w:val="8C8C8C"/>
          <w:sz w:val="12"/>
        </w:rPr>
        <w:t>cf-art-227</w:t>
      </w:r>
      <w:r>
        <w:rPr>
          <w:color w:val="003CA0"/>
          <w:sz w:val="12"/>
        </w:rPr>
        <w:t xml:space="preserve"> | HC 72.435</w:t>
      </w:r>
      <w:r>
        <w:rPr>
          <w:color w:val="003CA0"/>
          <w:sz w:val="12"/>
        </w:rPr>
        <w:t xml:space="preserve"> | rel. Celso de Mello</w:t>
      </w:r>
    </w:p>
    <w:p>
      <w:pPr>
        <w:ind w:left="288"/>
      </w:pPr>
      <w:r>
        <w:rPr>
          <w:color w:val="1E1E1E"/>
          <w:sz w:val="18"/>
        </w:rPr>
        <w:t>= HC 72.435, rel. min. Celso de Mello, j. 12-9-1995, 1ª T, DJE de 14-8-2009 (...) nada obstante a apreensão dos pacientes datar de 23 de outubro de 2007, o processo contra eles instaurado encontra-se, ainda, na fase de defesa prévia. (...) Esse o quadro, tenho que estamos diante de retrato noticiador da inversão da ordem das coisas. É que a internação da ordem dos pacientes, ao extrapolar, em muito, o prazo assinalado pelo art. 108 do ECA, se afasta da excepcionalidade própria da restrição preventiva da liberdade e assume a feição de punição antecipada.</w:t>
      </w:r>
    </w:p>
    <w:p>
      <w:pPr>
        <w:ind w:left="288"/>
      </w:pPr>
      <w:r>
        <w:rPr>
          <w:b/>
          <w:color w:val="003CA0"/>
          <w:sz w:val="16"/>
        </w:rPr>
        <w:t>[HC 94.000, voto do rel. min. Ayres Britto, j. 17-6-2008, 1ª T, DJE de 13-3-2009.]</w:t>
      </w:r>
    </w:p>
    <w:p>
      <w:pPr>
        <w:ind w:left="288"/>
      </w:pPr>
      <w:r>
        <w:rPr>
          <w:color w:val="8C8C8C"/>
          <w:sz w:val="12"/>
        </w:rPr>
        <w:t>cf-art-227</w:t>
      </w:r>
      <w:r>
        <w:rPr>
          <w:color w:val="003CA0"/>
          <w:sz w:val="12"/>
        </w:rPr>
        <w:t xml:space="preserve"> | HC 88.473</w:t>
      </w:r>
      <w:r>
        <w:rPr>
          <w:color w:val="003CA0"/>
          <w:sz w:val="12"/>
        </w:rPr>
        <w:t xml:space="preserve"> | rel. Marco Aurélio</w:t>
      </w:r>
    </w:p>
    <w:p>
      <w:pPr>
        <w:ind w:left="288"/>
      </w:pPr>
      <w:r>
        <w:rPr>
          <w:color w:val="1E1E1E"/>
          <w:sz w:val="18"/>
        </w:rPr>
        <w:t>ECA. Interpretação. O ECA há de ser interpretado dando-se ênfase ao objetivo visado, ou seja, a proteção e a integração do menor no convívio familiar e comunitário, preservando-se-lhe, tanto quanto possível, a liberdade. ECA. Segregação. O ato de segregação, projetando-se no tempo medida de internação do menor, surge excepcional, somente se fazendo alicerçado uma vez atendidos os requisitos do art. 121 da Lei 8.069/1990, não cabendo a indeterminação de prazo.</w:t>
      </w:r>
    </w:p>
    <w:p>
      <w:pPr>
        <w:ind w:left="288"/>
      </w:pPr>
      <w:r>
        <w:rPr>
          <w:b/>
          <w:color w:val="003CA0"/>
          <w:sz w:val="16"/>
        </w:rPr>
        <w:t>[HC 88.473, rel. min. Marco Aurélio, j. 3-6-2008, 1ª T, DJE de 5-9-2008.]</w:t>
      </w:r>
    </w:p>
    <w:p>
      <w:pPr>
        <w:ind w:left="288"/>
      </w:pPr>
      <w:r>
        <w:rPr>
          <w:color w:val="8C8C8C"/>
          <w:sz w:val="12"/>
        </w:rPr>
        <w:t>cf-art-227</w:t>
      </w:r>
      <w:r>
        <w:rPr>
          <w:color w:val="003CA0"/>
          <w:sz w:val="12"/>
        </w:rPr>
        <w:t xml:space="preserve"> | HC 88.755</w:t>
      </w:r>
      <w:r>
        <w:rPr>
          <w:color w:val="003CA0"/>
          <w:sz w:val="12"/>
        </w:rPr>
        <w:t xml:space="preserve"> | rel. Cezar Peluso</w:t>
      </w:r>
    </w:p>
    <w:p>
      <w:pPr>
        <w:ind w:left="288"/>
      </w:pPr>
      <w:r>
        <w:rPr>
          <w:color w:val="1E1E1E"/>
          <w:sz w:val="18"/>
        </w:rPr>
        <w:t>≠ HC 88.755, rel. min. Cezar Peluso, j. 29-8-2006, 2ª T, DJ de 29-9-2006 Está em harmonia com o princípio da tipicidade estrita das fattispecie que autorizam a aplicação de internação, por prazo indeterminado, a menor que praticou ato infracional mediante ameaça, emprego de arma e concurso de pessoas.</w:t>
      </w:r>
    </w:p>
    <w:p>
      <w:pPr>
        <w:ind w:left="288"/>
      </w:pPr>
      <w:r>
        <w:rPr>
          <w:b/>
          <w:color w:val="003CA0"/>
          <w:sz w:val="16"/>
        </w:rPr>
        <w:t>[HC 88.755, rel. min. Cezar Peluso, j. 29-8-2006, 2ª T, DJ de 29-9-2006.]</w:t>
      </w:r>
    </w:p>
    <w:p>
      <w:pPr>
        <w:ind w:left="288"/>
      </w:pPr>
      <w:r>
        <w:rPr>
          <w:color w:val="8C8C8C"/>
          <w:sz w:val="12"/>
        </w:rPr>
        <w:t>cf-art-227</w:t>
      </w:r>
      <w:r>
        <w:rPr>
          <w:color w:val="003CA0"/>
          <w:sz w:val="12"/>
        </w:rPr>
        <w:t xml:space="preserve"> | RHC 104.144</w:t>
      </w:r>
      <w:r>
        <w:rPr>
          <w:color w:val="003CA0"/>
          <w:sz w:val="12"/>
        </w:rPr>
        <w:t xml:space="preserve"> | rel. Luiz Fux</w:t>
      </w:r>
    </w:p>
    <w:p>
      <w:pPr>
        <w:ind w:left="288"/>
      </w:pPr>
      <w:r>
        <w:rPr>
          <w:color w:val="1E1E1E"/>
          <w:sz w:val="18"/>
        </w:rPr>
        <w:t>= RHC 104.144, rel. min. Luiz Fux, j. 14-6-2011, 1ª T, DJE de 9-8-2011 ≠ HC 88.473, rel. min. Marco Aurélio, j. 3-6-2008, 1ª T, DJE de 5-9-2008 O Brasil, ao tipificar o crime de tortura contra crianças ou adolescentes, revelou-se fiel aos compromissos que assumiu na ordem internacional, especialmente àqueles decorrentes da Convenção de Nova York sobre os Direitos da Criança (1990), da Convenção contra a Tortura adotada pela Assembleia Geral da ONU (1984), da Convenção Interamericana contra a Tortura concluída em Cartagena (1985) e da Convenção Americana sobre Direitos Humanos (Pacto de São Jos</w:t>
      </w:r>
    </w:p>
    <w:p>
      <w:pPr>
        <w:ind w:left="288"/>
      </w:pPr>
      <w:r>
        <w:rPr>
          <w:b/>
          <w:color w:val="003CA0"/>
          <w:sz w:val="16"/>
        </w:rPr>
        <w:t>[HC 70.389, red. do ac. min. Celso de Mello, j. 23-6-1994, P, DJ de 10-8-2001.]</w:t>
      </w:r>
    </w:p>
    <w:p>
      <w:pPr>
        <w:ind w:left="288"/>
      </w:pPr>
      <w:r>
        <w:rPr>
          <w:color w:val="8C8C8C"/>
          <w:sz w:val="12"/>
        </w:rPr>
        <w:t>cf-art-227-par-1-inc-I</w:t>
      </w:r>
    </w:p>
    <w:p>
      <w:pPr>
        <w:ind w:left="288"/>
      </w:pPr>
      <w:r>
        <w:rPr>
          <w:color w:val="1E1E1E"/>
          <w:sz w:val="18"/>
        </w:rPr>
        <w:t>II - criação de programas de prevenção e atendimento especializado para as pessoas portadoras de deficiência física, sensorial ou mental, bem como de integração social do adolescente e do jovem portador de deficiência, mediante o treinamento para o trabalho e a convivência, e a facilitação do acesso aos bens e serviços coletivos, com a eliminação de obstáculos arquitetônicos e de todas as formas de discriminação. (Redação da EC 65/2010)</w:t>
      </w:r>
    </w:p>
    <w:p>
      <w:pPr>
        <w:ind w:left="144"/>
      </w:pPr>
      <w:r>
        <w:rPr>
          <w:b/>
          <w:color w:val="B45A00"/>
          <w:sz w:val="16"/>
        </w:rPr>
        <w:t>CONTROLE CONCENTRADO</w:t>
      </w:r>
    </w:p>
    <w:p>
      <w:pPr>
        <w:ind w:left="288"/>
      </w:pPr>
      <w:r>
        <w:rPr>
          <w:color w:val="8C8C8C"/>
          <w:sz w:val="12"/>
        </w:rPr>
        <w:t>cf-art-227-par-1-inc-I</w:t>
      </w:r>
      <w:r>
        <w:rPr>
          <w:color w:val="003CA0"/>
          <w:sz w:val="12"/>
        </w:rPr>
        <w:t xml:space="preserve"> | ADI 5.139</w:t>
      </w:r>
      <w:r>
        <w:rPr>
          <w:color w:val="003CA0"/>
          <w:sz w:val="12"/>
        </w:rPr>
        <w:t xml:space="preserve"> | rel. Cármen Lúcia</w:t>
      </w:r>
    </w:p>
    <w:p>
      <w:pPr>
        <w:ind w:left="288"/>
      </w:pPr>
      <w:r>
        <w:rPr>
          <w:color w:val="1E1E1E"/>
          <w:sz w:val="18"/>
        </w:rPr>
        <w:t>Constitucional a iniciativa do legislador alagoano para editar a Lei estadual 7.508/2013, pela qual se determina que os estabelecimentos de ensino fundamental, médio e superior, públicos e privados, e cursos de extensão disponibilizem ‘cadeiras adaptadas para alunos portadores de deficiência física ou mobilidade reduzida’ (art. 1º). Desproporcionalidade da definição normativa do número de cadeiras a ser disponibilizado: interpretação conforme ao parágrafo único do art. 2º da Lei estadual 7.508/2013 para se entender que a expressão ‘número de alunos regularmente matriculados em cada sala’ se re</w:t>
      </w:r>
    </w:p>
    <w:p>
      <w:pPr>
        <w:ind w:left="288"/>
      </w:pPr>
      <w:r>
        <w:rPr>
          <w:color w:val="8C8C8C"/>
          <w:sz w:val="12"/>
        </w:rPr>
        <w:t>cf-art-227-par-2</w:t>
      </w:r>
      <w:r>
        <w:rPr>
          <w:color w:val="003CA0"/>
          <w:sz w:val="12"/>
        </w:rPr>
        <w:t xml:space="preserve"> | ADI 903</w:t>
      </w:r>
      <w:r>
        <w:rPr>
          <w:color w:val="003CA0"/>
          <w:sz w:val="12"/>
        </w:rPr>
        <w:t xml:space="preserve"> | rel. Dias Toffoli</w:t>
      </w:r>
    </w:p>
    <w:p>
      <w:pPr>
        <w:ind w:left="288"/>
      </w:pPr>
      <w:r>
        <w:rPr>
          <w:color w:val="1E1E1E"/>
          <w:sz w:val="18"/>
        </w:rPr>
        <w:t xml:space="preserve">A ordem constitucional brasileira, inaugurada em 1988, trouxe desde seus escritos originais a preocupação com a proteção das pessoas portadoras de necessidades especiais, construindo políticas e diretrizes de inserção nas diversas áreas sociais e econômicas da comunidade (trabalho privado, serviço público, previdência e assistência social). Estabeleceu, assim, nos arts. 227, § 2º, e 244, a necessidade de se conferir amplo acesso e plena capacidade de locomoção às pessoas com deficiência, no que concerne tanto aos logradouros públicos quanto aos veículos de transporte coletivo, determinando ao </w:t>
      </w:r>
    </w:p>
    <w:p>
      <w:pPr>
        <w:ind w:left="288"/>
      </w:pPr>
      <w:r>
        <w:rPr>
          <w:b/>
          <w:color w:val="003CA0"/>
          <w:sz w:val="16"/>
        </w:rPr>
        <w:t>[ADI 903, rel. min. Dias Toffoli, j. 22-5-2013, P, DJE de 7-2-2014.]</w:t>
      </w:r>
    </w:p>
    <w:p>
      <w:pPr>
        <w:ind w:left="144"/>
      </w:pPr>
      <w:r>
        <w:rPr>
          <w:b/>
          <w:color w:val="B45A00"/>
          <w:sz w:val="16"/>
        </w:rPr>
        <w:t>JULGADOS CORRELATOS</w:t>
      </w:r>
    </w:p>
    <w:p>
      <w:pPr>
        <w:ind w:left="288"/>
      </w:pPr>
      <w:r>
        <w:rPr>
          <w:color w:val="8C8C8C"/>
          <w:sz w:val="12"/>
        </w:rPr>
        <w:t>cf-art-227-par-2</w:t>
      </w:r>
      <w:r>
        <w:rPr>
          <w:color w:val="003CA0"/>
          <w:sz w:val="12"/>
        </w:rPr>
        <w:t xml:space="preserve"> | RE 440.028</w:t>
      </w:r>
      <w:r>
        <w:rPr>
          <w:color w:val="003CA0"/>
          <w:sz w:val="12"/>
        </w:rPr>
        <w:t xml:space="preserve"> | rel. Marco Aurélio</w:t>
      </w:r>
    </w:p>
    <w:p>
      <w:pPr>
        <w:ind w:left="288"/>
      </w:pPr>
      <w:r>
        <w:rPr>
          <w:color w:val="1E1E1E"/>
          <w:sz w:val="18"/>
        </w:rPr>
        <w:t>A Constituição de 1988, a Convenção Internacional sobre Direitos das Pessoas com Deficiência e as Leis 7.853/1989 – federal –, 5.500/1986 e 9.086/1995 – estas duas do Estado de São Paulo – asseguram o direito dos portadores de necessidades especiais ao acesso a prédios públicos, devendo a administração adotar providências que o viabilizem.</w:t>
      </w:r>
    </w:p>
    <w:p>
      <w:pPr>
        <w:ind w:left="288"/>
      </w:pPr>
      <w:r>
        <w:rPr>
          <w:b/>
          <w:color w:val="003CA0"/>
          <w:sz w:val="16"/>
        </w:rPr>
        <w:t>[RE 440.028, rel. min. Marco Aurélio, j. 29-10-2013, 1ª T, DJE de 26-11-2013.]</w:t>
      </w:r>
    </w:p>
    <w:p>
      <w:pPr>
        <w:ind w:left="144"/>
      </w:pPr>
      <w:r>
        <w:rPr>
          <w:b/>
          <w:color w:val="B45A00"/>
          <w:sz w:val="16"/>
        </w:rPr>
        <w:t>CONTROLE CONCENTRADO</w:t>
      </w:r>
    </w:p>
    <w:p>
      <w:pPr>
        <w:ind w:left="288"/>
      </w:pPr>
      <w:r>
        <w:rPr>
          <w:color w:val="8C8C8C"/>
          <w:sz w:val="12"/>
        </w:rPr>
        <w:t>cf-art-227-par-3</w:t>
      </w:r>
      <w:r>
        <w:rPr>
          <w:color w:val="003CA0"/>
          <w:sz w:val="12"/>
        </w:rPr>
        <w:t xml:space="preserve"> | ADI 2.096</w:t>
      </w:r>
      <w:r>
        <w:rPr>
          <w:color w:val="003CA0"/>
          <w:sz w:val="12"/>
        </w:rPr>
        <w:t xml:space="preserve"> | rel. Celso de Mello</w:t>
      </w:r>
    </w:p>
    <w:p>
      <w:pPr>
        <w:ind w:left="288"/>
      </w:pPr>
      <w:r>
        <w:rPr>
          <w:color w:val="1E1E1E"/>
          <w:sz w:val="18"/>
        </w:rPr>
        <w:t>Profissionalização e proteção no trabalho – Direitos constitucionais de índole social, titularizados pela criança e pelo adolescente (CF, art. 227, “caput”) – Possibilidade de exercício de atividades profissionais infantojuvenis de caráter predominantemente socioeducativo, desde que observado, sempre, o respeito à condição peculiar de pessoa em desenvolvimento (CF, art. 227, §3º, V) – Vocação protetiva do postulado constitucional que veda o retrocesso social.</w:t>
      </w:r>
    </w:p>
    <w:p>
      <w:pPr>
        <w:ind w:left="288"/>
      </w:pPr>
      <w:r>
        <w:rPr>
          <w:b/>
          <w:color w:val="003CA0"/>
          <w:sz w:val="16"/>
        </w:rPr>
        <w:t>[ADI 2.096, rel. min. Celso de Mello, j. 13-10-2020, P, DJE de 27-10-2020.]</w:t>
      </w:r>
    </w:p>
    <w:p>
      <w:pPr>
        <w:ind w:left="288"/>
      </w:pPr>
      <w:r>
        <w:rPr>
          <w:color w:val="8C8C8C"/>
          <w:sz w:val="12"/>
        </w:rPr>
        <w:t>cf-art-227-par-3-inc-III</w:t>
      </w:r>
    </w:p>
    <w:p>
      <w:pPr>
        <w:ind w:left="288"/>
      </w:pPr>
      <w:r>
        <w:rPr>
          <w:color w:val="1E1E1E"/>
          <w:sz w:val="18"/>
        </w:rPr>
        <w:t>IV - garantia de pleno e formal conhecimento da atribuição de ato infracional, igualdade na relação processual e defesa técnica por profissional habilitado, segundo dispuser a legislação tutelar específica;</w:t>
      </w:r>
    </w:p>
    <w:p>
      <w:pPr>
        <w:ind w:left="288"/>
      </w:pPr>
      <w:r>
        <w:rPr>
          <w:color w:val="8C8C8C"/>
          <w:sz w:val="12"/>
        </w:rPr>
        <w:t>cf-art-227-par-3-inc-V</w:t>
      </w:r>
      <w:r>
        <w:rPr>
          <w:color w:val="003CA0"/>
          <w:sz w:val="12"/>
        </w:rPr>
        <w:t xml:space="preserve"> | ADI 5.359</w:t>
      </w:r>
      <w:r>
        <w:rPr>
          <w:color w:val="003CA0"/>
          <w:sz w:val="12"/>
        </w:rPr>
        <w:t xml:space="preserve"> | rel. Edson Fachin</w:t>
      </w:r>
    </w:p>
    <w:p>
      <w:pPr>
        <w:ind w:left="288"/>
      </w:pPr>
      <w:r>
        <w:rPr>
          <w:color w:val="1E1E1E"/>
          <w:sz w:val="18"/>
        </w:rPr>
        <w:t>As medidas socioeducativas não têm por escopo punir, mas prevenir e educar. Permitir o porte de armas para os agentes de segurança socioeducativos significa, em princípio, reforçar a errônea ideia do caráter punitivo de rede de proteção e configura ofensa material à Constituição.</w:t>
      </w:r>
    </w:p>
    <w:p>
      <w:pPr>
        <w:ind w:left="288"/>
      </w:pPr>
      <w:r>
        <w:rPr>
          <w:b/>
          <w:color w:val="003CA0"/>
          <w:sz w:val="16"/>
        </w:rPr>
        <w:t>[ADI 5.359, rel. min. Edson Fachin, j. 1º-3-2021, P, DJE de 6-5-2021.</w:t>
      </w:r>
    </w:p>
    <w:p>
      <w:pPr>
        <w:ind w:left="144"/>
      </w:pPr>
      <w:r>
        <w:rPr>
          <w:b/>
          <w:color w:val="B45A00"/>
          <w:sz w:val="16"/>
        </w:rPr>
        <w:t>JULGADOS CORRELATOS</w:t>
      </w:r>
    </w:p>
    <w:p>
      <w:pPr>
        <w:ind w:left="288"/>
      </w:pPr>
      <w:r>
        <w:rPr>
          <w:color w:val="8C8C8C"/>
          <w:sz w:val="12"/>
        </w:rPr>
        <w:t>cf-art-227-par-3-inc-V</w:t>
      </w:r>
      <w:r>
        <w:rPr>
          <w:color w:val="003CA0"/>
          <w:sz w:val="12"/>
        </w:rPr>
        <w:t xml:space="preserve"> | HC 105.917</w:t>
      </w:r>
      <w:r>
        <w:rPr>
          <w:color w:val="003CA0"/>
          <w:sz w:val="12"/>
        </w:rPr>
        <w:t xml:space="preserve"> | rel. Ayres Britto</w:t>
      </w:r>
    </w:p>
    <w:p>
      <w:pPr>
        <w:ind w:left="288"/>
      </w:pPr>
      <w:r>
        <w:rPr>
          <w:color w:val="1E1E1E"/>
          <w:sz w:val="18"/>
        </w:rPr>
        <w:t>A Constituição assegura o mais amplo acesso aos direitos de prestação positiva e um particular conjunto normativo-tutelar (arts. 227 e 228 da CF) aos indivíduos em peculiar situação de desenvolvimento da personalidade. Conjunto timbrado pela excepcionalidade e brevidade das medidas eventualmente restritivas de liberdade (inciso V do § 3º do art. 227 da CF). Nessa mesma linha de orientação, a legislação menorista – ECA – faz da medida socioeducativa de internação uma exceção. Exceção de que pode lançar mão o magistrado nas situações do art. 122 da Lei 8.069/1990. A mera alusão à gravidade abstr</w:t>
      </w:r>
    </w:p>
    <w:p>
      <w:pPr>
        <w:ind w:left="288"/>
      </w:pPr>
      <w:r>
        <w:rPr>
          <w:b/>
          <w:color w:val="003CA0"/>
          <w:sz w:val="16"/>
        </w:rPr>
        <w:t>[HC 105.917, rel. min. Ayres Britto, j. 7-12-2010, 2ª T, DJE de 13-6-2011.]</w:t>
      </w:r>
    </w:p>
    <w:p>
      <w:pPr>
        <w:ind w:left="288"/>
      </w:pPr>
      <w:r>
        <w:rPr>
          <w:color w:val="8C8C8C"/>
          <w:sz w:val="12"/>
        </w:rPr>
        <w:t>cf-art-227-par-3-inc-V</w:t>
      </w:r>
      <w:r>
        <w:rPr>
          <w:color w:val="003CA0"/>
          <w:sz w:val="12"/>
        </w:rPr>
        <w:t xml:space="preserve"> | HC 122.886</w:t>
      </w:r>
      <w:r>
        <w:rPr>
          <w:color w:val="003CA0"/>
          <w:sz w:val="12"/>
        </w:rPr>
        <w:t xml:space="preserve"> | rel. Roberto Barroso</w:t>
      </w:r>
    </w:p>
    <w:p>
      <w:pPr>
        <w:ind w:left="288"/>
      </w:pPr>
      <w:r>
        <w:rPr>
          <w:color w:val="1E1E1E"/>
          <w:sz w:val="18"/>
        </w:rPr>
        <w:t>= HC 122.886, rel. min. Roberto Barroso, j. 19-8-2014, 1ª T, DJE de 15-9-2014 Ressalvadas as hipóteses arroladas nos arts. 121, § 3º, e 122, § 1º, o ECA não estipula limite máximo de duração da medida socioeducativa de semiliberdade. Resulta daí que, por remissão à aplicação do dispositivo concernente à internação, o limite temporal da semiliberdade coincide com a data em que o menor infrator completar 21 anos (art. 120, § 2º).</w:t>
      </w:r>
    </w:p>
    <w:p>
      <w:pPr>
        <w:ind w:left="288"/>
      </w:pPr>
      <w:r>
        <w:rPr>
          <w:b/>
          <w:color w:val="003CA0"/>
          <w:sz w:val="16"/>
        </w:rPr>
        <w:t>[HC 98.518, rel. min. Eros Grau, j. 25-5-2010, 2ª T, DJE de 18-6-2010.]</w:t>
      </w:r>
    </w:p>
    <w:p>
      <w:pPr>
        <w:ind w:left="288"/>
      </w:pPr>
      <w:r>
        <w:rPr>
          <w:color w:val="8C8C8C"/>
          <w:sz w:val="12"/>
        </w:rPr>
        <w:t>cf-art-227-par-3-inc-V</w:t>
      </w:r>
      <w:r>
        <w:rPr>
          <w:color w:val="003CA0"/>
          <w:sz w:val="12"/>
        </w:rPr>
        <w:t xml:space="preserve"> | HC 90.129</w:t>
      </w:r>
      <w:r>
        <w:rPr>
          <w:color w:val="003CA0"/>
          <w:sz w:val="12"/>
        </w:rPr>
        <w:t xml:space="preserve"> | rel. Ricardo Lewandowski</w:t>
      </w:r>
    </w:p>
    <w:p>
      <w:pPr>
        <w:ind w:left="288"/>
      </w:pPr>
      <w:r>
        <w:rPr>
          <w:color w:val="1E1E1E"/>
          <w:sz w:val="18"/>
        </w:rPr>
        <w:t>Vide HC 90.129, voto do rel. min. Ricardo Lewandowski, j. 10-4-2007, 1ª T, DJ de 18-5-2007 O acórdão recorrido declarou a inconstitucionalidade do art. 127, in fine, da Lei 8.069/1990 (ECA), por entender que não é possível cumular a remissão concedida pelo Ministério Público, antes de iniciado o procedimento judicial para apuração de ato infracional, com a aplicação de medida socioeducativa. A medida socioeducativa foi imposta pela autoridade judicial, logo não fere o devido processo legal. A medida de advertência tem caráter pedagógico, de orientação ao menor e em tudo se harmoniza com o esco</w:t>
      </w:r>
    </w:p>
    <w:p>
      <w:pPr>
        <w:ind w:left="288"/>
      </w:pPr>
      <w:r>
        <w:rPr>
          <w:b/>
          <w:color w:val="003CA0"/>
          <w:sz w:val="16"/>
        </w:rPr>
        <w:t>[RE 248.018, rel. min. Joaquim Barbosa, j. 6-5-2008, 2ª T, DJE de 20-6-2008.]</w:t>
      </w:r>
    </w:p>
    <w:p>
      <w:pPr>
        <w:ind w:left="288"/>
      </w:pPr>
      <w:r>
        <w:rPr>
          <w:color w:val="8C8C8C"/>
          <w:sz w:val="12"/>
        </w:rPr>
        <w:t>cf-art-227-par-3-inc-V</w:t>
      </w:r>
      <w:r>
        <w:rPr>
          <w:color w:val="003CA0"/>
          <w:sz w:val="12"/>
        </w:rPr>
        <w:t xml:space="preserve"> | HC 90.129</w:t>
      </w:r>
      <w:r>
        <w:rPr>
          <w:color w:val="003CA0"/>
          <w:sz w:val="12"/>
        </w:rPr>
        <w:t xml:space="preserve"> | rel. Ricardo Lewandowski</w:t>
      </w:r>
    </w:p>
    <w:p>
      <w:pPr>
        <w:ind w:left="288"/>
      </w:pPr>
      <w:r>
        <w:rPr>
          <w:color w:val="1E1E1E"/>
          <w:sz w:val="18"/>
        </w:rPr>
        <w:t>Mas a questão que ora se enfrenta diz respeito ao efeito da superveniência da maioridade penal do socioeducando no curso da medida socioeducativa que lhe foi imposta. É evidente que a aplicação do ECA estará sempre dependente da idade do agente no momento do fato (art. 104, parágrafo único). Contudo, afirmar que, atingindo a maioridade, a medida deve ser extinta é fazer "tábula rasa" do Estatuto. Isso porque esta seria inócua para aqueles que cometeram atos infracionais com mais de 17 anos. Com efeito, no limite, adotada a tese de defesa, poder-se-ia admitir medida socioeducativa com duração d</w:t>
      </w:r>
    </w:p>
    <w:p>
      <w:pPr>
        <w:ind w:left="288"/>
      </w:pPr>
      <w:r>
        <w:rPr>
          <w:b/>
          <w:color w:val="003CA0"/>
          <w:sz w:val="16"/>
        </w:rPr>
        <w:t>[HC 90.129, voto do rel. min. Ricardo Lewandowski, j. 10-4-2007, 1ª T, DJ de 18-5-2007.]</w:t>
      </w:r>
    </w:p>
    <w:p>
      <w:pPr>
        <w:ind w:left="288"/>
      </w:pPr>
      <w:r>
        <w:rPr>
          <w:color w:val="8C8C8C"/>
          <w:sz w:val="12"/>
        </w:rPr>
        <w:t>cf-art-227-par-3-inc-V</w:t>
      </w:r>
      <w:r>
        <w:rPr>
          <w:color w:val="003CA0"/>
          <w:sz w:val="12"/>
        </w:rPr>
        <w:t xml:space="preserve"> | HC 96.742</w:t>
      </w:r>
      <w:r>
        <w:rPr>
          <w:color w:val="003CA0"/>
          <w:sz w:val="12"/>
        </w:rPr>
        <w:t xml:space="preserve"> | rel. Ellen Gracie</w:t>
      </w:r>
    </w:p>
    <w:p>
      <w:pPr>
        <w:ind w:left="288"/>
      </w:pPr>
      <w:r>
        <w:rPr>
          <w:color w:val="1E1E1E"/>
          <w:sz w:val="18"/>
        </w:rPr>
        <w:t>= HC 96.742, rel. min. Ellen Gracie, j. 10-3-2009, 2ª T, DJE de 3-4-2009 Vide HC 98.518, rel. min. Eros Grau, j. 25-5-2010, 2ª T, DJE de 18-6-2010 VI - estímulo do Poder Público, através de assistência jurídica, incentivos fiscais e subsídios, nos termos da lei, ao acolhimento, sob a forma de guarda, de criança ou adolescente órfão ou abandonado;</w:t>
      </w:r>
    </w:p>
    <w:p>
      <w:pPr>
        <w:ind w:left="144"/>
      </w:pPr>
      <w:r>
        <w:rPr>
          <w:b/>
          <w:color w:val="B45A00"/>
          <w:sz w:val="16"/>
        </w:rPr>
        <w:t>CONTROLE CONCENTRADO</w:t>
      </w:r>
    </w:p>
    <w:p>
      <w:pPr>
        <w:ind w:left="288"/>
      </w:pPr>
      <w:r>
        <w:rPr>
          <w:color w:val="8C8C8C"/>
          <w:sz w:val="12"/>
        </w:rPr>
        <w:t>cf-art-227-par-3-inc-V</w:t>
      </w:r>
      <w:r>
        <w:rPr>
          <w:color w:val="003CA0"/>
          <w:sz w:val="12"/>
        </w:rPr>
        <w:t xml:space="preserve"> | ADI 4.878</w:t>
      </w:r>
    </w:p>
    <w:p>
      <w:pPr>
        <w:ind w:left="288"/>
      </w:pPr>
      <w:r>
        <w:rPr>
          <w:color w:val="1E1E1E"/>
          <w:sz w:val="18"/>
        </w:rPr>
        <w:t>Julgamento conjunto da ADI 4.878 e da ADI 5.083, que impugnam o artigo 16, § 2º, da Lei 8.213/1991, na redação conferida pela Lei 9.528/1997, que retirou o ‘menor sob guarda’ do rol de dependentes para fins de concessão de benefício previdenciário. (...) Embora o ‘menor sob guarda’ tenha sido excluído do rol de dependentes da legislação previdenciária pela alteração promovida pela Lei 9.528/1997, ele ainda figura no comando contido no art. 33, § 3º, do Estatuto da Criança e do Adolescente (Lei 8.069/1990), que assegura que a guarda confere à criança ou adolescente a condição de dependente, par</w:t>
      </w:r>
    </w:p>
    <w:p>
      <w:pPr>
        <w:ind w:left="288"/>
      </w:pPr>
      <w:r>
        <w:rPr>
          <w:b/>
          <w:color w:val="003CA0"/>
          <w:sz w:val="16"/>
        </w:rPr>
        <w:t>[ADI 4.878 e ADI 5.083, red. do ac. min. Edson Fachin, j. 8-6-2021, P, DJE de 6-8-2021.]</w:t>
      </w:r>
    </w:p>
    <w:p>
      <w:pPr>
        <w:ind w:left="288"/>
      </w:pPr>
      <w:r>
        <w:rPr>
          <w:color w:val="8C8C8C"/>
          <w:sz w:val="12"/>
        </w:rPr>
        <w:t>cf-art-227-par-4</w:t>
      </w:r>
      <w:r>
        <w:rPr>
          <w:color w:val="003CA0"/>
          <w:sz w:val="12"/>
        </w:rPr>
        <w:t xml:space="preserve"> | ADI 7.555</w:t>
      </w:r>
      <w:r>
        <w:rPr>
          <w:color w:val="003CA0"/>
          <w:sz w:val="12"/>
        </w:rPr>
        <w:t xml:space="preserve"> | rel. Cármen Lúcia</w:t>
      </w:r>
    </w:p>
    <w:p>
      <w:pPr>
        <w:ind w:left="288"/>
      </w:pPr>
      <w:r>
        <w:rPr>
          <w:color w:val="1E1E1E"/>
          <w:sz w:val="18"/>
        </w:rPr>
        <w:t xml:space="preserve">É materialmente inconstitucional o § 3º do art. 232 do Código Penal Militar, pela ausência de previsão legal de qualificadoras para os casos em que o crime de estupro de vulnerável resultar em lesão corporal grave, gravíssima ou morte, acarretando apenamento mais brando que o previsto na legislação comum. Vedação ao princípio da proteção deficiente. É de se reconhecer a não recepção dos incs. I a III do art. 236 do Código Penal Militar, por manterem em vigência presunção relativa de violência para casos de estupro praticado por militar contra menores de catorze anos e pessoas com deficiência. </w:t>
      </w:r>
    </w:p>
    <w:p>
      <w:pPr>
        <w:ind w:left="288"/>
      </w:pPr>
      <w:r>
        <w:rPr>
          <w:b/>
          <w:color w:val="003CA0"/>
          <w:sz w:val="16"/>
        </w:rPr>
        <w:t>[ADI 7.555, rel. min. Cármen Lúcia, j. 15.09.2025, P, DJE de 12.11.2025.]</w:t>
      </w:r>
    </w:p>
    <w:p>
      <w:pPr>
        <w:ind w:left="144"/>
      </w:pPr>
      <w:r>
        <w:rPr>
          <w:b/>
          <w:color w:val="B45A00"/>
          <w:sz w:val="16"/>
        </w:rPr>
        <w:t>JULGADOS CORRELATOS</w:t>
      </w:r>
    </w:p>
    <w:p>
      <w:pPr>
        <w:ind w:left="288"/>
      </w:pPr>
      <w:r>
        <w:rPr>
          <w:color w:val="8C8C8C"/>
          <w:sz w:val="12"/>
        </w:rPr>
        <w:t>cf-art-227-par-4</w:t>
      </w:r>
      <w:r>
        <w:rPr>
          <w:color w:val="003CA0"/>
          <w:sz w:val="12"/>
        </w:rPr>
        <w:t xml:space="preserve"> | HC 93.535</w:t>
      </w:r>
      <w:r>
        <w:rPr>
          <w:color w:val="003CA0"/>
          <w:sz w:val="12"/>
        </w:rPr>
        <w:t xml:space="preserve"> | rel. Ricardo Lewandowski</w:t>
      </w:r>
    </w:p>
    <w:p>
      <w:pPr>
        <w:ind w:left="288"/>
      </w:pPr>
      <w:r>
        <w:rPr>
          <w:color w:val="1E1E1E"/>
          <w:sz w:val="18"/>
        </w:rPr>
        <w:t>Atentado violento ao pudor. Violência presumida. (...) Os princípios constitucionais constantes do art. 227 da CF justificam a desnecessidade de rigor formal para a representação para fins penais, no caso de atentado violento ao pudor.</w:t>
      </w:r>
    </w:p>
    <w:p>
      <w:pPr>
        <w:ind w:left="288"/>
      </w:pPr>
      <w:r>
        <w:rPr>
          <w:b/>
          <w:color w:val="003CA0"/>
          <w:sz w:val="16"/>
        </w:rPr>
        <w:t>[HC 93.535, rel. min. Ricardo Lewandowski, j. 27-5-2008, 1ª T, DJE de 13-6-2008.]</w:t>
      </w:r>
    </w:p>
    <w:p>
      <w:pPr>
        <w:ind w:left="288"/>
      </w:pPr>
      <w:r>
        <w:rPr>
          <w:color w:val="8C8C8C"/>
          <w:sz w:val="12"/>
        </w:rPr>
        <w:t>cf-art-227-par-6</w:t>
      </w:r>
      <w:r>
        <w:rPr>
          <w:color w:val="003CA0"/>
          <w:sz w:val="12"/>
        </w:rPr>
        <w:t xml:space="preserve"> | RE 422.099</w:t>
      </w:r>
      <w:r>
        <w:rPr>
          <w:color w:val="003CA0"/>
          <w:sz w:val="12"/>
        </w:rPr>
        <w:t xml:space="preserve"> | rel. Dias Toffoli</w:t>
      </w:r>
    </w:p>
    <w:p>
      <w:pPr>
        <w:ind w:left="288"/>
      </w:pPr>
      <w:r>
        <w:rPr>
          <w:color w:val="1E1E1E"/>
          <w:sz w:val="18"/>
        </w:rPr>
        <w:t>(...) o fato de o agravado possuir outros assentos de nascimento já registrados não o impede de buscar o reconhecimento de sua veraz relação de paternidade biológica, tampouco interferindo, no efetivo exercício de tal direito, a circunstância de ter sido "adotado à brasileira" pelo então esposo de sua genitora, ou de estar movido unicamente por razões econômicas ao assim proceder.</w:t>
      </w:r>
    </w:p>
    <w:p>
      <w:pPr>
        <w:ind w:left="288"/>
      </w:pPr>
      <w:r>
        <w:rPr>
          <w:b/>
          <w:color w:val="003CA0"/>
          <w:sz w:val="16"/>
        </w:rPr>
        <w:t>[RE 422.099 AgR, voto do rel. min. Dias Toffoli, j. 23-3-2011, 1ª T, DJE de 8-6-2011.]</w:t>
      </w:r>
    </w:p>
    <w:p>
      <w:pPr>
        <w:ind w:left="288"/>
      </w:pPr>
      <w:r>
        <w:rPr>
          <w:color w:val="8C8C8C"/>
          <w:sz w:val="12"/>
        </w:rPr>
        <w:t>cf-art-227-par-6</w:t>
      </w:r>
      <w:r>
        <w:rPr>
          <w:color w:val="003CA0"/>
          <w:sz w:val="12"/>
        </w:rPr>
        <w:t xml:space="preserve"> | RE 248.869</w:t>
      </w:r>
      <w:r>
        <w:rPr>
          <w:color w:val="003CA0"/>
          <w:sz w:val="12"/>
        </w:rPr>
        <w:t xml:space="preserve"> | rel. Maurício Corrêa</w:t>
      </w:r>
    </w:p>
    <w:p>
      <w:pPr>
        <w:ind w:left="288"/>
      </w:pPr>
      <w:r>
        <w:rPr>
          <w:color w:val="1E1E1E"/>
          <w:sz w:val="18"/>
        </w:rPr>
        <w:t xml:space="preserve">A CF adota a família como base da sociedade a ela conferindo proteção do Estado. Assegurar à criança o direito à dignidade, ao respeito e à convivência familiar pressupõe reconhecer seu legítimo direito de saber a verdade sobre sua paternidade, decorrência lógica do direito à filiação (CF, arts. 226, §§ 3º, 4º, 5º e 7º; e 227, § 6º). (...) A Lei 8.560/1992 expressamente assegurou ao Parquet, desde que provocado pelo interessado e diante de evidências positivas, a possibilidade de intentar a ação de investigação de paternidade, legitimação essa decorrente da proteção constitucional conferida à </w:t>
      </w:r>
    </w:p>
    <w:p>
      <w:pPr>
        <w:ind w:left="288"/>
      </w:pPr>
      <w:r>
        <w:rPr>
          <w:b/>
          <w:color w:val="003CA0"/>
          <w:sz w:val="16"/>
        </w:rPr>
        <w:t>[RE 248.869, rel. min. Maurício Corrêa, j. 7-8-2003, P, DJ de 12-3-2004.]</w:t>
      </w:r>
    </w:p>
    <w:p>
      <w:pPr>
        <w:ind w:left="288"/>
      </w:pPr>
      <w:r>
        <w:rPr>
          <w:color w:val="8C8C8C"/>
          <w:sz w:val="12"/>
        </w:rPr>
        <w:t>cf-art-227-par-6</w:t>
      </w:r>
      <w:r>
        <w:rPr>
          <w:color w:val="003CA0"/>
          <w:sz w:val="12"/>
        </w:rPr>
        <w:t xml:space="preserve"> | RE 196.434</w:t>
      </w:r>
      <w:r>
        <w:rPr>
          <w:color w:val="003CA0"/>
          <w:sz w:val="12"/>
        </w:rPr>
        <w:t xml:space="preserve"> | rel. Néri da Silveira</w:t>
      </w:r>
    </w:p>
    <w:p>
      <w:pPr>
        <w:ind w:left="288"/>
      </w:pPr>
      <w:r>
        <w:rPr>
          <w:color w:val="1E1E1E"/>
          <w:sz w:val="18"/>
        </w:rPr>
        <w:t>Na hipótese de adoção simples, por escritura pública, ocorrida em 9-11-1964, com o falecimento da adotante e, em seguida, do adotado, serão chamados à sucessão os irmãos consanguíneos deste último, aplicando-se o disposto no art. 1.618 do Código Civil brasileiro (Lei 3.071/1916). Inexistência de violação constitucional (CF, art. 227, § 6º).</w:t>
      </w:r>
    </w:p>
    <w:p>
      <w:pPr>
        <w:ind w:left="288"/>
      </w:pPr>
      <w:r>
        <w:rPr>
          <w:b/>
          <w:color w:val="003CA0"/>
          <w:sz w:val="16"/>
        </w:rPr>
        <w:t>[RE 196.434, rel. min. Néri da Silveira, j. 11-12-2002, P, DJ de 19-9-2003.]</w:t>
      </w:r>
    </w:p>
    <w:p>
      <w:pPr>
        <w:ind w:left="288"/>
      </w:pPr>
      <w:r>
        <w:rPr>
          <w:color w:val="8C8C8C"/>
          <w:sz w:val="12"/>
        </w:rPr>
        <w:t>cf-art-227-par-6</w:t>
      </w:r>
      <w:r>
        <w:rPr>
          <w:color w:val="003CA0"/>
          <w:sz w:val="12"/>
        </w:rPr>
        <w:t xml:space="preserve"> | RE 163.167</w:t>
      </w:r>
      <w:r>
        <w:rPr>
          <w:color w:val="003CA0"/>
          <w:sz w:val="12"/>
        </w:rPr>
        <w:t xml:space="preserve"> | rel. Ilmar Galvão</w:t>
      </w:r>
    </w:p>
    <w:p>
      <w:pPr>
        <w:ind w:left="288"/>
      </w:pPr>
      <w:r>
        <w:rPr>
          <w:color w:val="1E1E1E"/>
          <w:sz w:val="18"/>
        </w:rPr>
        <w:t>A sucessão regula-se por lei vigente à data de sua abertura, não se aplicando a sucessões verificadas antes do seu advento a norma do art. 227, § 6º, da Carta de 1988, que eliminou a distinção, até então estabelecida pelo CC/1916 (art. 1.605 e § 2º), entre filhos legítimos e filhos adotivos, para esse efeito. Discriminação que, de resto, se assentava em situações desiguais, não afetando, portanto, o princípio da isonomia.</w:t>
      </w:r>
    </w:p>
    <w:p>
      <w:pPr>
        <w:ind w:left="288"/>
      </w:pPr>
      <w:r>
        <w:rPr>
          <w:b/>
          <w:color w:val="003CA0"/>
          <w:sz w:val="16"/>
        </w:rPr>
        <w:t>[RE 163.167, rel. min. Ilmar Galvão, j. 5-8-1997, 1ª T, DJ de 31-10-1997.]</w:t>
      </w:r>
    </w:p>
    <w:p>
      <w:pPr>
        <w:ind w:left="288"/>
      </w:pPr>
      <w:r>
        <w:rPr>
          <w:color w:val="8C8C8C"/>
          <w:sz w:val="12"/>
        </w:rPr>
        <w:t>cf-art-227-par-6</w:t>
      </w:r>
      <w:r>
        <w:rPr>
          <w:color w:val="003CA0"/>
          <w:sz w:val="12"/>
        </w:rPr>
        <w:t xml:space="preserve"> | AR 1.811</w:t>
      </w:r>
    </w:p>
    <w:p>
      <w:pPr>
        <w:ind w:left="288"/>
      </w:pPr>
      <w:r>
        <w:rPr>
          <w:color w:val="1E1E1E"/>
          <w:sz w:val="18"/>
        </w:rPr>
        <w:t>= AR 1.811, red. do ac. min. Dias Toffoli, j. 3-4-2014, P, DJE de 30-10-2014 Discrepa, a mais não poder, de garantias constitucionais implícitas e explícitas – preservação da dignidade humana, da intimidade, da intangibilidade do corpo humano, do império da lei e da inexecução específica e direta de obrigação de fazer – provimento judicial que, em ação civil de investigação de paternidade, implique determinação no sentido de o réu ser conduzido ao laboratório, "debaixo de vara", para coleta do material indispensável à feitura do exame DNA. A recusa resolve-se no plano jurídico-instrumental, co</w:t>
      </w:r>
    </w:p>
    <w:p>
      <w:pPr>
        <w:ind w:left="288"/>
      </w:pPr>
      <w:r>
        <w:rPr>
          <w:b/>
          <w:color w:val="003CA0"/>
          <w:sz w:val="16"/>
        </w:rPr>
        <w:t>[HC 71.373, red. do ac. min. Marco Aurélio, j. 10-11-1994, P, DJ de 22-11-1996.]</w:t>
      </w:r>
    </w:p>
    <w:p>
      <w:pPr>
        <w:ind w:left="288"/>
      </w:pPr>
      <w:r>
        <w:rPr>
          <w:color w:val="8C8C8C"/>
          <w:sz w:val="12"/>
        </w:rPr>
        <w:t>cf-art-227-par-6</w:t>
      </w:r>
      <w:r>
        <w:rPr>
          <w:color w:val="003CA0"/>
          <w:sz w:val="12"/>
        </w:rPr>
        <w:t xml:space="preserve"> | HC 76.060</w:t>
      </w:r>
      <w:r>
        <w:rPr>
          <w:color w:val="003CA0"/>
          <w:sz w:val="12"/>
        </w:rPr>
        <w:t xml:space="preserve"> | rel. Sepúlveda Pertence</w:t>
      </w:r>
    </w:p>
    <w:p>
      <w:pPr>
        <w:ind w:left="288"/>
      </w:pPr>
      <w:r>
        <w:rPr>
          <w:color w:val="1E1E1E"/>
          <w:sz w:val="18"/>
        </w:rPr>
        <w:t>= HC 76.060, rel. min. Sepúlveda Pertence, j. 31-3-1998, 1ª T, DJ de 15-5-1998</w:t>
      </w:r>
    </w:p>
    <w:p>
      <w:pPr>
        <w:ind w:left="144"/>
      </w:pPr>
      <w:r>
        <w:rPr>
          <w:b/>
          <w:color w:val="B45A00"/>
          <w:sz w:val="16"/>
        </w:rPr>
        <w:t>CONTROLE CONCENTRADO</w:t>
      </w:r>
    </w:p>
    <w:p>
      <w:pPr>
        <w:ind w:left="288"/>
      </w:pPr>
      <w:r>
        <w:rPr>
          <w:color w:val="8C8C8C"/>
          <w:sz w:val="12"/>
        </w:rPr>
        <w:t>cf-art-227-par-7</w:t>
      </w:r>
      <w:r>
        <w:rPr>
          <w:color w:val="003CA0"/>
          <w:sz w:val="12"/>
        </w:rPr>
        <w:t xml:space="preserve"> | ADPF 622</w:t>
      </w:r>
      <w:r>
        <w:rPr>
          <w:color w:val="003CA0"/>
          <w:sz w:val="12"/>
        </w:rPr>
        <w:t xml:space="preserve"> | rel. Roberto Barroso</w:t>
      </w:r>
    </w:p>
    <w:p>
      <w:pPr>
        <w:ind w:left="288"/>
      </w:pPr>
      <w:r>
        <w:rPr>
          <w:color w:val="1E1E1E"/>
          <w:sz w:val="18"/>
        </w:rPr>
        <w:t>As novas regras que disciplinam o funcionamento do Conselho Nacional da Criança e do Adolescente - Conanda, a pretexto de regular, frustram a participação das entidades da sociedade civil na formulação de políticas públicas em favor de crianças e adolescentes e no controle da sua execução, como exigido pela Constituição. Tais regras contrariam norma constitucional expressa, que exige tal participação, e colocam em risco a proteção integral e prioritária da infância e da juventude (art. 227, caput e § 7º, e art. 204, II, CF).</w:t>
      </w:r>
    </w:p>
    <w:p>
      <w:pPr>
        <w:ind w:left="288"/>
      </w:pPr>
      <w:r>
        <w:rPr>
          <w:b/>
          <w:color w:val="003CA0"/>
          <w:sz w:val="16"/>
        </w:rPr>
        <w:t>[ADPF 622, rel. min. Roberto Barroso, j. 1º-3-2021, P, DJE de 21-5-2021.]</w:t>
      </w:r>
    </w:p>
    <w:p>
      <w:pPr>
        <w:ind w:left="432"/>
      </w:pPr>
      <w:r>
        <w:rPr>
          <w:color w:val="003366"/>
          <w:sz w:val="18"/>
        </w:rPr>
        <w:t xml:space="preserve">§ 1 O Estado promoverá programas de assistência integral à saúde da criança, do </w:t>
      </w:r>
    </w:p>
    <w:p>
      <w:pPr>
        <w:ind w:left="720"/>
      </w:pPr>
      <w:r>
        <w:rPr>
          <w:color w:val="003366"/>
          <w:sz w:val="18"/>
        </w:rPr>
        <w:t>I – aplicação de percentual dos recursos públicos destinados à saúde na assistên</w:t>
      </w:r>
    </w:p>
    <w:p>
      <w:pPr>
        <w:ind w:left="720"/>
      </w:pPr>
      <w:r>
        <w:rPr>
          <w:color w:val="003366"/>
          <w:sz w:val="18"/>
        </w:rPr>
        <w:t>II – criação de programas de prevenção e atendimento especializado para as pesso</w:t>
      </w:r>
    </w:p>
    <w:p>
      <w:pPr>
        <w:ind w:left="432"/>
      </w:pPr>
      <w:r>
        <w:rPr>
          <w:color w:val="003366"/>
          <w:sz w:val="18"/>
        </w:rPr>
        <w:t xml:space="preserve">§ 2 A lei disporá sobre normas de construção dos logradouros e dos edifícios de </w:t>
      </w:r>
    </w:p>
    <w:p>
      <w:pPr>
        <w:ind w:left="432"/>
      </w:pPr>
      <w:r>
        <w:rPr>
          <w:color w:val="003366"/>
          <w:sz w:val="18"/>
        </w:rPr>
        <w:t>§ 3 O direito a proteção especial abrangerá os seguintes aspectos:</w:t>
      </w:r>
    </w:p>
    <w:p>
      <w:pPr>
        <w:ind w:left="720"/>
      </w:pPr>
      <w:r>
        <w:rPr>
          <w:color w:val="003366"/>
          <w:sz w:val="18"/>
        </w:rPr>
        <w:t>I – idade mínima de quatorze anos para admissão ao trabalho, observado o dispost</w:t>
      </w:r>
    </w:p>
    <w:p>
      <w:pPr>
        <w:ind w:left="720"/>
      </w:pPr>
      <w:r>
        <w:rPr>
          <w:color w:val="003366"/>
          <w:sz w:val="18"/>
        </w:rPr>
        <w:t>II – garantia de direitos previdenciários e trabalhistas;</w:t>
      </w:r>
    </w:p>
    <w:p>
      <w:pPr>
        <w:ind w:left="720"/>
      </w:pPr>
      <w:r>
        <w:rPr>
          <w:color w:val="003366"/>
          <w:sz w:val="18"/>
        </w:rPr>
        <w:t>III – garantia de acesso do trabalhador adolescente e jovem à escola; (Redação d</w:t>
      </w:r>
    </w:p>
    <w:p>
      <w:pPr>
        <w:ind w:left="720"/>
      </w:pPr>
      <w:r>
        <w:rPr>
          <w:color w:val="003366"/>
          <w:sz w:val="18"/>
        </w:rPr>
        <w:t>IV – garantia de pleno e formal conhecimento da atribuição de ato infracional, i</w:t>
      </w:r>
    </w:p>
    <w:p>
      <w:pPr>
        <w:ind w:left="720"/>
      </w:pPr>
      <w:r>
        <w:rPr>
          <w:color w:val="003366"/>
          <w:sz w:val="18"/>
        </w:rPr>
        <w:t>V – obediência aos princípios de brevidade, excepcionalidade e respeito à condiç</w:t>
      </w:r>
    </w:p>
    <w:p>
      <w:pPr>
        <w:ind w:left="720"/>
      </w:pPr>
      <w:r>
        <w:rPr>
          <w:color w:val="003366"/>
          <w:sz w:val="18"/>
        </w:rPr>
        <w:t>VI – estímulo do Poder Público, através de assistência jurídica, incentivos fisc</w:t>
      </w:r>
    </w:p>
    <w:p>
      <w:pPr>
        <w:ind w:left="720"/>
      </w:pPr>
      <w:r>
        <w:rPr>
          <w:color w:val="003366"/>
          <w:sz w:val="18"/>
        </w:rPr>
        <w:t>VII – programas de prevenção e atendimento especializado à criança, ao adolescen</w:t>
      </w:r>
    </w:p>
    <w:p>
      <w:pPr>
        <w:ind w:left="432"/>
      </w:pPr>
      <w:r>
        <w:rPr>
          <w:color w:val="003366"/>
          <w:sz w:val="18"/>
        </w:rPr>
        <w:t>§ 4 A lei punirá severamente o abuso, a violência e a exploração sexual da crian</w:t>
      </w:r>
    </w:p>
    <w:p>
      <w:pPr>
        <w:ind w:left="432"/>
      </w:pPr>
      <w:r>
        <w:rPr>
          <w:color w:val="003366"/>
          <w:sz w:val="18"/>
        </w:rPr>
        <w:t>§ 5 A adoção será assistida pelo Poder Público, na forma da lei, que estabelecer</w:t>
      </w:r>
    </w:p>
    <w:p>
      <w:pPr>
        <w:ind w:left="432"/>
      </w:pPr>
      <w:r>
        <w:rPr>
          <w:color w:val="003366"/>
          <w:sz w:val="18"/>
        </w:rPr>
        <w:t>§ 6 Os filhos, havidos ou não da relação do casamento, ou por adoção, terão os m</w:t>
      </w:r>
    </w:p>
    <w:p>
      <w:pPr>
        <w:ind w:left="432"/>
      </w:pPr>
      <w:r>
        <w:rPr>
          <w:color w:val="003366"/>
          <w:sz w:val="18"/>
        </w:rPr>
        <w:t>§ 7 No atendimento dos direitos da criança e do adolescente levar-se- á em consi</w:t>
      </w:r>
    </w:p>
    <w:p>
      <w:pPr>
        <w:ind w:left="432"/>
      </w:pPr>
      <w:r>
        <w:rPr>
          <w:color w:val="003366"/>
          <w:sz w:val="18"/>
        </w:rPr>
        <w:t>§ 8 A lei estabelecerá: (Incluído Pela Emenda Constitucional nº 65, de 2010)</w:t>
      </w:r>
    </w:p>
    <w:p>
      <w:pPr>
        <w:ind w:left="720"/>
      </w:pPr>
      <w:r>
        <w:rPr>
          <w:color w:val="003366"/>
          <w:sz w:val="18"/>
        </w:rPr>
        <w:t>I – o estatuto da juventude, destinado a regular os direitos dos jovens; (Incluí</w:t>
      </w:r>
    </w:p>
    <w:p>
      <w:pPr>
        <w:ind w:left="720"/>
      </w:pPr>
      <w:r>
        <w:rPr>
          <w:color w:val="003366"/>
          <w:sz w:val="18"/>
        </w:rPr>
        <w:t>II – o plano nacional de juventude, de duração decenal, visando à articulação da</w:t>
      </w:r>
    </w:p>
    <w:p>
      <w:r>
        <w:rPr>
          <w:b/>
          <w:color w:val="003366"/>
          <w:sz w:val="20"/>
        </w:rPr>
        <w:t>Art. 228 São penalmente inimputáveis os menores de dezoito anos, sujeitos às nor</w:t>
      </w:r>
      <w:r>
        <w:rPr>
          <w:color w:val="8C8C8C"/>
          <w:sz w:val="14"/>
        </w:rPr>
        <w:t xml:space="preserve">  [3 decisoes]</w:t>
      </w:r>
    </w:p>
    <w:p>
      <w:pPr>
        <w:ind w:left="144"/>
      </w:pPr>
      <w:r>
        <w:rPr>
          <w:b/>
          <w:color w:val="B45A00"/>
          <w:sz w:val="16"/>
        </w:rPr>
        <w:t>JULGADOS CORRELATOS</w:t>
      </w:r>
    </w:p>
    <w:p>
      <w:pPr>
        <w:ind w:left="288"/>
      </w:pPr>
      <w:r>
        <w:rPr>
          <w:color w:val="8C8C8C"/>
          <w:sz w:val="12"/>
        </w:rPr>
        <w:t>cf-art-228</w:t>
      </w:r>
      <w:r>
        <w:rPr>
          <w:color w:val="003CA0"/>
          <w:sz w:val="12"/>
        </w:rPr>
        <w:t xml:space="preserve"> | RE 229.382</w:t>
      </w:r>
      <w:r>
        <w:rPr>
          <w:color w:val="003CA0"/>
          <w:sz w:val="12"/>
        </w:rPr>
        <w:t xml:space="preserve"> | rel. Moreira Alves</w:t>
      </w:r>
    </w:p>
    <w:p>
      <w:pPr>
        <w:ind w:left="288"/>
      </w:pPr>
      <w:r>
        <w:rPr>
          <w:color w:val="1E1E1E"/>
          <w:sz w:val="18"/>
        </w:rPr>
        <w:t>Art. 127 do ECA. Embora sem respeitar o disposto no art. 97 da Constituição, o acórdão recorrido deu expressamente pela inconstitucionalidade parcial do art. 127 do ECA, que autoriza a acumulação da remissão com a aplicação de medida socioeducativa. Constitucionalidade dessa norma, porquanto, em face das características especiais do sistema de proteção ao adolescente implantado pela Lei 8.069/1990, que mesmo no procedimento judicial para a apuração do ato infracional, como o próprio aresto recorrido reconhece, não se tem em vista a imposição de pena criminal ao adolescente infrator, mas a apli</w:t>
      </w:r>
    </w:p>
    <w:p>
      <w:pPr>
        <w:ind w:left="288"/>
      </w:pPr>
      <w:r>
        <w:rPr>
          <w:b/>
          <w:color w:val="003CA0"/>
          <w:sz w:val="16"/>
        </w:rPr>
        <w:t>[RE 229.382, rel. min. Moreira Alves, j. 26-6-2002, P, DJ de 31-10-2002.]</w:t>
      </w:r>
    </w:p>
    <w:p>
      <w:pPr>
        <w:ind w:left="288"/>
      </w:pPr>
      <w:r>
        <w:rPr>
          <w:color w:val="8C8C8C"/>
          <w:sz w:val="12"/>
        </w:rPr>
        <w:t>cf-art-228</w:t>
      </w:r>
      <w:r>
        <w:rPr>
          <w:color w:val="003CA0"/>
          <w:sz w:val="12"/>
        </w:rPr>
        <w:t xml:space="preserve"> | HC 68.466</w:t>
      </w:r>
      <w:r>
        <w:rPr>
          <w:color w:val="003CA0"/>
          <w:sz w:val="12"/>
        </w:rPr>
        <w:t xml:space="preserve"> | rel. Celso de Mello</w:t>
      </w:r>
    </w:p>
    <w:p>
      <w:pPr>
        <w:ind w:left="288"/>
      </w:pPr>
      <w:r>
        <w:rPr>
          <w:color w:val="1E1E1E"/>
          <w:sz w:val="18"/>
        </w:rPr>
        <w:t>A alegação de menoridade deve ser comprovada, em sede processual penal, mediante prova documental específica e idônea, consistente na certidão extraída do assento de nascimento do indiciado, imputado ou condenado. (...) A mera invocação, pelo paciente, de sua condição de menoridade, desacompanhada de meio probatório idôneo – a certidão de nascimento –, é insuficiente para justificar o acolhimento de sua pretensão.</w:t>
      </w:r>
    </w:p>
    <w:p>
      <w:pPr>
        <w:ind w:left="288"/>
      </w:pPr>
      <w:r>
        <w:rPr>
          <w:b/>
          <w:color w:val="003CA0"/>
          <w:sz w:val="16"/>
        </w:rPr>
        <w:t>[HC 68.466, rel. min. Celso de Mello, j. 19-12-1990, P, DJ de 8-3-1991.]</w:t>
      </w:r>
    </w:p>
    <w:p>
      <w:pPr>
        <w:ind w:left="288"/>
      </w:pPr>
      <w:r>
        <w:rPr>
          <w:color w:val="8C8C8C"/>
          <w:sz w:val="12"/>
        </w:rPr>
        <w:t>cf-art-228</w:t>
      </w:r>
      <w:r>
        <w:rPr>
          <w:color w:val="003CA0"/>
          <w:sz w:val="12"/>
        </w:rPr>
        <w:t xml:space="preserve"> | HC 71.881</w:t>
      </w:r>
      <w:r>
        <w:rPr>
          <w:color w:val="003CA0"/>
          <w:sz w:val="12"/>
        </w:rPr>
        <w:t xml:space="preserve"> | rel. Carlos Velloso</w:t>
      </w:r>
    </w:p>
    <w:p>
      <w:pPr>
        <w:ind w:left="288"/>
      </w:pPr>
      <w:r>
        <w:rPr>
          <w:color w:val="1E1E1E"/>
          <w:sz w:val="18"/>
        </w:rPr>
        <w:t>= HC 71.881, rel. min. Carlos Velloso, j. 3-3-1995, 2ª T, DJ de 19-5-1995</w:t>
      </w:r>
    </w:p>
    <w:p>
      <w:r>
        <w:rPr>
          <w:b/>
          <w:color w:val="003366"/>
          <w:sz w:val="20"/>
        </w:rPr>
        <w:t>Art. 229 Os pais têm o dever de assistir, criar e educar os filhos menores, e os</w:t>
      </w:r>
    </w:p>
    <w:p>
      <w:r>
        <w:rPr>
          <w:b/>
          <w:color w:val="003366"/>
          <w:sz w:val="20"/>
        </w:rPr>
        <w:t>Art. 230 A família, a sociedade e o Estado têm o dever de amparar as pessoas ido</w:t>
      </w:r>
      <w:r>
        <w:rPr>
          <w:color w:val="8C8C8C"/>
          <w:sz w:val="14"/>
        </w:rPr>
        <w:t xml:space="preserve">  [11 decisoes]</w:t>
      </w:r>
    </w:p>
    <w:p>
      <w:pPr>
        <w:ind w:left="144"/>
      </w:pPr>
      <w:r>
        <w:rPr>
          <w:b/>
          <w:color w:val="B45A00"/>
          <w:sz w:val="16"/>
        </w:rPr>
        <w:t>CONTROLE CONCENTRADO</w:t>
      </w:r>
    </w:p>
    <w:p>
      <w:pPr>
        <w:ind w:left="288"/>
      </w:pPr>
      <w:r>
        <w:rPr>
          <w:color w:val="8C8C8C"/>
          <w:sz w:val="12"/>
        </w:rPr>
        <w:t>cf-art-230</w:t>
      </w:r>
      <w:r>
        <w:rPr>
          <w:color w:val="003CA0"/>
          <w:sz w:val="12"/>
        </w:rPr>
        <w:t xml:space="preserve"> | ADI 3.534</w:t>
      </w:r>
      <w:r>
        <w:rPr>
          <w:color w:val="003CA0"/>
          <w:sz w:val="12"/>
        </w:rPr>
        <w:t xml:space="preserve"> | rel. Marco Aurélio</w:t>
      </w:r>
    </w:p>
    <w:p>
      <w:pPr>
        <w:ind w:left="288"/>
      </w:pPr>
      <w:r>
        <w:rPr>
          <w:color w:val="1E1E1E"/>
          <w:sz w:val="18"/>
        </w:rPr>
        <w:t>(...) a norma atacada não trata de matéria afeta à proteção da infância. Ao reverso, autoriza as creches privadas do Distrito Federal a também prestar atendimento a pessoas idosas, desde que observados os parâmetros nela estabelecidos. Os destinatários de tutela não são as crianças, mas as pessoas de idade mais avançada, e os preceitos do ato impugnado, a todo tempo, buscam determinar os requisitos bem como as obrigações a serem cumpridas pelas creches que pretendam prestar auxílio a elas. (...) Entre os vários desafios originados do envelhecimento populacional, surge o questionamento sobre on</w:t>
      </w:r>
    </w:p>
    <w:p>
      <w:pPr>
        <w:ind w:left="288"/>
      </w:pPr>
      <w:r>
        <w:rPr>
          <w:b/>
          <w:color w:val="003CA0"/>
          <w:sz w:val="16"/>
        </w:rPr>
        <w:t>[ADI 3.534, voto do rel. min. Marco Aurélio, j. 10-10-2019, P, DJE de 24-10-2019.]</w:t>
      </w:r>
    </w:p>
    <w:p>
      <w:pPr>
        <w:ind w:left="288"/>
      </w:pPr>
      <w:r>
        <w:rPr>
          <w:color w:val="8C8C8C"/>
          <w:sz w:val="12"/>
        </w:rPr>
        <w:t>cf-art-230</w:t>
      </w:r>
      <w:r>
        <w:rPr>
          <w:color w:val="003CA0"/>
          <w:sz w:val="12"/>
        </w:rPr>
        <w:t xml:space="preserve"> | ADI 3.096</w:t>
      </w:r>
      <w:r>
        <w:rPr>
          <w:color w:val="003CA0"/>
          <w:sz w:val="12"/>
        </w:rPr>
        <w:t xml:space="preserve"> | rel. Cármen Lúcia</w:t>
      </w:r>
    </w:p>
    <w:p>
      <w:pPr>
        <w:ind w:left="288"/>
      </w:pPr>
      <w:r>
        <w:rPr>
          <w:color w:val="1E1E1E"/>
          <w:sz w:val="18"/>
        </w:rPr>
        <w:t>Ação direta de inconstitucionalidade. Arts. 39 e 94 da Lei 10.741/2003 (Estatuto do Idoso). (...) Aplicabilidade dos procedimentos previstos na Lei 9.099/1995 aos crimes cometidos contra idosos. (...) Art. 94 da Lei 10.741/2003: interpretação conforme à Constituição do Brasil, com redução de texto, para suprimir a expressão "do Código Penal e". Aplicação apenas do procedimento sumaríssimo previsto na Lei 9.099/1995: benefício do idoso com a celeridade processual. Impossibilidade de aplicação de quaisquer medidas despenalizadoras e de interpretação benéfica ao autor do crime.</w:t>
      </w:r>
    </w:p>
    <w:p>
      <w:pPr>
        <w:ind w:left="288"/>
      </w:pPr>
      <w:r>
        <w:rPr>
          <w:b/>
          <w:color w:val="003CA0"/>
          <w:sz w:val="16"/>
        </w:rPr>
        <w:t>[ADI 3.096, rel. min. Cármen Lúcia, j. 16-6-2010, P, DJE de 3-9-2010.]</w:t>
      </w:r>
    </w:p>
    <w:p>
      <w:pPr>
        <w:ind w:left="288"/>
      </w:pPr>
      <w:r>
        <w:rPr>
          <w:color w:val="8C8C8C"/>
          <w:sz w:val="12"/>
        </w:rPr>
        <w:t>cf-art-230</w:t>
      </w:r>
      <w:r>
        <w:rPr>
          <w:color w:val="003CA0"/>
          <w:sz w:val="12"/>
        </w:rPr>
        <w:t xml:space="preserve"> | ADI 2.435</w:t>
      </w:r>
      <w:r>
        <w:rPr>
          <w:color w:val="003CA0"/>
          <w:sz w:val="12"/>
        </w:rPr>
        <w:t xml:space="preserve"> | rel. Ellen Gracie</w:t>
      </w:r>
    </w:p>
    <w:p>
      <w:pPr>
        <w:ind w:left="288"/>
      </w:pPr>
      <w:r>
        <w:rPr>
          <w:color w:val="1E1E1E"/>
          <w:sz w:val="18"/>
        </w:rPr>
        <w:t>Ação direta de inconstitucionalidade. Lei 3.542/2001, do Estado do Rio de Janeiro, que obrigou farmácias e drogarias a conceder descontos a idosos na compra de medicamentos. Ausência do periculum in mora, tendo em vista que a irreparabilidade dos danos decorrentes da suspensão ou não dos efeitos da lei se dá, de forma irremediável, em prejuízo dos idosos, da sua saúde e da sua própria vida. Periculum in mora inverso. Relevância, ademais, do disposto no art. 230, caput, da CF, que atribui à família, à sociedade e ao Estado o dever de amparar as pessoas idosas, defendendo sua dignidade e bem-est</w:t>
      </w:r>
    </w:p>
    <w:p>
      <w:pPr>
        <w:ind w:left="288"/>
      </w:pPr>
      <w:r>
        <w:rPr>
          <w:b/>
          <w:color w:val="003CA0"/>
          <w:sz w:val="16"/>
        </w:rPr>
        <w:t>[ADI 2.435 MC, rel. min. Ellen Gracie, j. 13-3-2002, P, DJ de 31-10-2003.]</w:t>
      </w:r>
    </w:p>
    <w:p>
      <w:pPr>
        <w:ind w:left="288"/>
      </w:pPr>
      <w:r>
        <w:rPr>
          <w:color w:val="8C8C8C"/>
          <w:sz w:val="12"/>
        </w:rPr>
        <w:t>cf-art-230</w:t>
      </w:r>
      <w:r>
        <w:rPr>
          <w:color w:val="003CA0"/>
          <w:sz w:val="12"/>
        </w:rPr>
        <w:t xml:space="preserve"> | RE 1.532.265</w:t>
      </w:r>
      <w:r>
        <w:rPr>
          <w:color w:val="003CA0"/>
          <w:sz w:val="12"/>
        </w:rPr>
        <w:t xml:space="preserve"> | rel. Flávio Dino</w:t>
      </w:r>
    </w:p>
    <w:p>
      <w:pPr>
        <w:ind w:left="288"/>
      </w:pPr>
      <w:r>
        <w:rPr>
          <w:color w:val="1E1E1E"/>
          <w:sz w:val="18"/>
        </w:rPr>
        <w:t>O caso concreto revela situação excepcional de pessoa idosa com gravíssimas limitações de saúde, sem suporte familiar adequado e em lista de espera para acolhimento institucional desde 2022, o que impõe ao Poder Público o dever de assegurar o acolhimento em Instituição de Longa Permanência para Idosos (ILPI), de modo a dar concretude aos direitos fundamentais constantes dos artigos 203 e 230 da Constituição Federal. Não há afronta aos princípios da separação dos Poderes ou indevida interferência na discricionariedade do Poder Executivo, pois o Supremo Tribunal Federal possui jurisprudência con</w:t>
      </w:r>
    </w:p>
    <w:p>
      <w:pPr>
        <w:ind w:left="288"/>
      </w:pPr>
      <w:r>
        <w:rPr>
          <w:b/>
          <w:color w:val="003CA0"/>
          <w:sz w:val="16"/>
        </w:rPr>
        <w:t>[RE 1.532.265 AgR, rel. min. Flávio Dino, j. 13.10.2025, 1ª T, DJE de 21.10.2025.]</w:t>
      </w:r>
    </w:p>
    <w:p>
      <w:pPr>
        <w:ind w:left="144"/>
      </w:pPr>
      <w:r>
        <w:rPr>
          <w:b/>
          <w:color w:val="B45A00"/>
          <w:sz w:val="16"/>
        </w:rPr>
        <w:t>JULGADOS CORRELATOS</w:t>
      </w:r>
    </w:p>
    <w:p>
      <w:pPr>
        <w:ind w:left="288"/>
      </w:pPr>
      <w:r>
        <w:rPr>
          <w:color w:val="8C8C8C"/>
          <w:sz w:val="12"/>
        </w:rPr>
        <w:t>cf-art-230</w:t>
      </w:r>
      <w:r>
        <w:rPr>
          <w:color w:val="003CA0"/>
          <w:sz w:val="12"/>
        </w:rPr>
        <w:t xml:space="preserve"> | MS 26.946</w:t>
      </w:r>
      <w:r>
        <w:rPr>
          <w:color w:val="003CA0"/>
          <w:sz w:val="12"/>
        </w:rPr>
        <w:t xml:space="preserve"> | rel. Eros Grau</w:t>
      </w:r>
    </w:p>
    <w:p>
      <w:pPr>
        <w:ind w:left="288"/>
      </w:pPr>
      <w:r>
        <w:rPr>
          <w:color w:val="1E1E1E"/>
          <w:sz w:val="18"/>
        </w:rPr>
        <w:t>Idoso. Prioridade de tramitação. Processo judicial. Lei 10.741/2003. (...) A prioridade de tramitação nos casos em que figurem como parte os maiores de sessenta anos abrange todas as instâncias recursais (art. 71 da Lei 10.741/2003). Não há razão para falar-se na impetração de mandado de segurança visando à concessão do benefício, bastando o requerimento com prova de sua idade, nos próprios autos em que se pretende a prioridade de tramitação (art. 71, § 1º, da Lei 10.741/2003).</w:t>
      </w:r>
    </w:p>
    <w:p>
      <w:pPr>
        <w:ind w:left="288"/>
      </w:pPr>
      <w:r>
        <w:rPr>
          <w:b/>
          <w:color w:val="003CA0"/>
          <w:sz w:val="16"/>
        </w:rPr>
        <w:t>[MS 26.946 AgR, rel. min. Eros Grau, j. 8-10-2008, P, DJE de 14-11-2008.]</w:t>
      </w:r>
    </w:p>
    <w:p>
      <w:pPr>
        <w:ind w:left="288"/>
      </w:pPr>
      <w:r>
        <w:rPr>
          <w:color w:val="8C8C8C"/>
          <w:sz w:val="12"/>
        </w:rPr>
        <w:t>cf-art-230</w:t>
      </w:r>
      <w:r>
        <w:rPr>
          <w:color w:val="003CA0"/>
          <w:sz w:val="12"/>
        </w:rPr>
        <w:t xml:space="preserve"> | HC 88.083</w:t>
      </w:r>
      <w:r>
        <w:rPr>
          <w:color w:val="003CA0"/>
          <w:sz w:val="12"/>
        </w:rPr>
        <w:t xml:space="preserve"> | rel. Ellen Gracie</w:t>
      </w:r>
    </w:p>
    <w:p>
      <w:pPr>
        <w:ind w:left="288"/>
      </w:pPr>
      <w:r>
        <w:rPr>
          <w:color w:val="1E1E1E"/>
          <w:sz w:val="18"/>
        </w:rPr>
        <w:t>A circunstância de o critério cronológico adotado pelo Estatuto do Idoso ser de sessenta anos de idade não alterou a regra excepcional da redução dos prazos de prescrição da pretensão punitiva quando se tratar de pessoa maior de setenta anos de idade na data da sentença condenatória.</w:t>
      </w:r>
    </w:p>
    <w:p>
      <w:pPr>
        <w:ind w:left="288"/>
      </w:pPr>
      <w:r>
        <w:rPr>
          <w:b/>
          <w:color w:val="003CA0"/>
          <w:sz w:val="16"/>
        </w:rPr>
        <w:t>[HC 88.083, rel. min. Ellen Gracie, j. 3-6-2008, 2ª T, DJE de 27-6-2008.]</w:t>
      </w:r>
    </w:p>
    <w:p>
      <w:pPr>
        <w:ind w:left="288"/>
      </w:pPr>
      <w:r>
        <w:rPr>
          <w:color w:val="8C8C8C"/>
          <w:sz w:val="12"/>
        </w:rPr>
        <w:t>cf-art-230</w:t>
      </w:r>
      <w:r>
        <w:rPr>
          <w:color w:val="003CA0"/>
          <w:sz w:val="12"/>
        </w:rPr>
        <w:t xml:space="preserve"> | RCL 2.396</w:t>
      </w:r>
      <w:r>
        <w:rPr>
          <w:color w:val="003CA0"/>
          <w:sz w:val="12"/>
        </w:rPr>
        <w:t xml:space="preserve"> | rel. Ellen Gracie</w:t>
      </w:r>
    </w:p>
    <w:p>
      <w:pPr>
        <w:ind w:left="288"/>
      </w:pPr>
      <w:r>
        <w:rPr>
          <w:color w:val="1E1E1E"/>
          <w:sz w:val="18"/>
        </w:rPr>
        <w:t>Não é cabível reclamação para discutir incidente de execução e não pagamento de precatório. (...) Atendimento prioritário aos idosos. Problema a ser resolvido pelo legislador e pelos que detêm o controle do orçamento.</w:t>
      </w:r>
    </w:p>
    <w:p>
      <w:pPr>
        <w:ind w:left="288"/>
      </w:pPr>
      <w:r>
        <w:rPr>
          <w:b/>
          <w:color w:val="003CA0"/>
          <w:sz w:val="16"/>
        </w:rPr>
        <w:t>[Rcl 2.396 AgR, rel. min. Ellen Gracie, j. 24-11-2004, 1ª T, DJ de 10-12-2004.]</w:t>
      </w:r>
    </w:p>
    <w:p>
      <w:pPr>
        <w:ind w:left="288"/>
      </w:pPr>
      <w:r>
        <w:rPr>
          <w:color w:val="8C8C8C"/>
          <w:sz w:val="12"/>
        </w:rPr>
        <w:t>cf-art-230</w:t>
      </w:r>
      <w:r>
        <w:rPr>
          <w:color w:val="003CA0"/>
          <w:sz w:val="12"/>
        </w:rPr>
        <w:t xml:space="preserve"> | HC 83.358</w:t>
      </w:r>
      <w:r>
        <w:rPr>
          <w:color w:val="003CA0"/>
          <w:sz w:val="12"/>
        </w:rPr>
        <w:t xml:space="preserve"> | rel. Ayres Britto</w:t>
      </w:r>
    </w:p>
    <w:p>
      <w:pPr>
        <w:ind w:left="288"/>
      </w:pPr>
      <w:r>
        <w:rPr>
          <w:color w:val="1E1E1E"/>
          <w:sz w:val="18"/>
        </w:rPr>
        <w:t>O fato de o paciente estar condenado por delito tipificado como hediondo não enseja, por si só, uma proibição objetiva incondicional à concessão de prisão domiciliar, pois a dignidade da pessoa humana, especialmente a dos idosos, sempre será preponderante, dada a sua condição de princípio fundamental da República (art. 1º, III, da CF/1988). Por outro lado, incontroverso que essa mesma dignidade se encontrará ameaçada nas hipóteses excepcionalíssimas em que o apenado idoso estiver acometido de doença grave que exija cuidados especiais, os quais não podem ser fornecidos no local da custódia ou e</w:t>
      </w:r>
    </w:p>
    <w:p>
      <w:pPr>
        <w:ind w:left="288"/>
      </w:pPr>
      <w:r>
        <w:rPr>
          <w:b/>
          <w:color w:val="003CA0"/>
          <w:sz w:val="16"/>
        </w:rPr>
        <w:t>[HC 83.358, rel. min. Ayres Britto, j. 4-5-2004, 1ª T, DJ de 4-6-2004.]</w:t>
      </w:r>
    </w:p>
    <w:p>
      <w:pPr>
        <w:ind w:left="288"/>
      </w:pPr>
      <w:r>
        <w:rPr>
          <w:color w:val="8C8C8C"/>
          <w:sz w:val="12"/>
        </w:rPr>
        <w:t>cf-art-230</w:t>
      </w:r>
      <w:r>
        <w:rPr>
          <w:color w:val="003CA0"/>
          <w:sz w:val="12"/>
        </w:rPr>
        <w:t xml:space="preserve"> | RHC 94.358</w:t>
      </w:r>
      <w:r>
        <w:rPr>
          <w:color w:val="003CA0"/>
          <w:sz w:val="12"/>
        </w:rPr>
        <w:t xml:space="preserve"> | rel. Celso de Mello</w:t>
      </w:r>
    </w:p>
    <w:p>
      <w:pPr>
        <w:ind w:left="288"/>
      </w:pPr>
      <w:r>
        <w:rPr>
          <w:color w:val="1E1E1E"/>
          <w:sz w:val="18"/>
        </w:rPr>
        <w:t>= RHC 94.358, rel. min. Celso de Mello, j. 29-4-2008, 2ª T, DJE de 19-3-2014</w:t>
      </w:r>
    </w:p>
    <w:p>
      <w:pPr>
        <w:ind w:left="144"/>
      </w:pPr>
      <w:r>
        <w:rPr>
          <w:b/>
          <w:color w:val="B45A00"/>
          <w:sz w:val="16"/>
        </w:rPr>
        <w:t>CONTROLE CONCENTRADO</w:t>
      </w:r>
    </w:p>
    <w:p>
      <w:pPr>
        <w:ind w:left="288"/>
      </w:pPr>
      <w:r>
        <w:rPr>
          <w:color w:val="8C8C8C"/>
          <w:sz w:val="12"/>
        </w:rPr>
        <w:t>cf-art-230-par-2</w:t>
      </w:r>
      <w:r>
        <w:rPr>
          <w:color w:val="003CA0"/>
          <w:sz w:val="12"/>
        </w:rPr>
        <w:t xml:space="preserve"> | ADI 3.768</w:t>
      </w:r>
      <w:r>
        <w:rPr>
          <w:color w:val="003CA0"/>
          <w:sz w:val="12"/>
        </w:rPr>
        <w:t xml:space="preserve"> | rel. Cármen Lúcia</w:t>
      </w:r>
    </w:p>
    <w:p>
      <w:pPr>
        <w:ind w:left="288"/>
      </w:pPr>
      <w:r>
        <w:rPr>
          <w:color w:val="1E1E1E"/>
          <w:sz w:val="18"/>
        </w:rPr>
        <w:t>Ação direta de inconstitucionalidade. Art. 39 da Lei 10.741, de 1º de outubro de 2003 (Estatuto do Idoso), que assegura gratuidade dos transportes públicos urbanos e semiurbanos aos que têm mais de 65 anos. Direito constitucional. Norma constitucional de eficácia plena e aplicabilidade imediata. Norma legal que repete a norma constitucional garantidora do direito. Improcedência da ação. O art. 39 da Lei 10.741/2003 (Estatuto do Idoso) apenas repete o que dispõe o § 2º do art. 230 da Constituição do Brasil. A norma constitucional é de eficácia plena e aplicabilidade imediata, pelo que não há ei</w:t>
      </w:r>
    </w:p>
    <w:p>
      <w:pPr>
        <w:ind w:left="288"/>
      </w:pPr>
      <w:r>
        <w:rPr>
          <w:b/>
          <w:color w:val="003CA0"/>
          <w:sz w:val="16"/>
        </w:rPr>
        <w:t>[ADI 3.768, rel. min. Cármen Lúcia, j. 19-9-2007, P, DJ de 26-10-2007.]</w:t>
      </w:r>
    </w:p>
    <w:p>
      <w:pPr>
        <w:ind w:left="288"/>
      </w:pPr>
      <w:r>
        <w:rPr>
          <w:color w:val="8C8C8C"/>
          <w:sz w:val="12"/>
        </w:rPr>
        <w:t>cf-art-230-par-2</w:t>
      </w:r>
      <w:r>
        <w:rPr>
          <w:color w:val="003CA0"/>
          <w:sz w:val="12"/>
        </w:rPr>
        <w:t xml:space="preserve"> | AI 707.810</w:t>
      </w:r>
      <w:r>
        <w:rPr>
          <w:color w:val="003CA0"/>
          <w:sz w:val="12"/>
        </w:rPr>
        <w:t xml:space="preserve"> | rel. Rosa Weber</w:t>
      </w:r>
    </w:p>
    <w:p>
      <w:pPr>
        <w:ind w:left="288"/>
      </w:pPr>
      <w:r>
        <w:rPr>
          <w:color w:val="1E1E1E"/>
          <w:sz w:val="18"/>
        </w:rPr>
        <w:t>= AI 707.810 AgR, rel. min. Rosa Weber, j. 22-5-2012, 1ª T, DJE de 6-6-2012 CAPÍTULO VIII Dos Índios SUMÁRIO</w:t>
      </w:r>
    </w:p>
    <w:p>
      <w:pPr>
        <w:ind w:left="432"/>
      </w:pPr>
      <w:r>
        <w:rPr>
          <w:color w:val="003366"/>
          <w:sz w:val="18"/>
        </w:rPr>
        <w:t>§ 1 Os programas de amparo aos idosos serão executados preferencialmente em seus</w:t>
      </w:r>
    </w:p>
    <w:p>
      <w:pPr>
        <w:ind w:left="432"/>
      </w:pPr>
      <w:r>
        <w:rPr>
          <w:color w:val="003366"/>
          <w:sz w:val="18"/>
        </w:rPr>
        <w:t>§ 2 Aos maiores de sessenta e cinco anos é garantida a gratuidade dos transporte</w:t>
      </w:r>
    </w:p>
    <w:p>
      <w:pPr>
        <w:pStyle w:val="Heading2"/>
      </w:pPr>
      <w:r>
        <w:rPr>
          <w:color w:val="003366"/>
        </w:rPr>
        <w:t>CAPÍTULO VIII - DOS ÍNDIOS</w:t>
      </w:r>
    </w:p>
    <w:p>
      <w:r>
        <w:rPr>
          <w:b/>
          <w:color w:val="003366"/>
          <w:sz w:val="20"/>
        </w:rPr>
        <w:t xml:space="preserve">Art. 231 São reconhecidos aos índios sua organização social, costumes, línguas, </w:t>
      </w:r>
      <w:r>
        <w:rPr>
          <w:color w:val="8C8C8C"/>
          <w:sz w:val="14"/>
        </w:rPr>
        <w:t xml:space="preserve">  [24 decisoes]</w:t>
      </w:r>
    </w:p>
    <w:p>
      <w:pPr>
        <w:ind w:left="288"/>
      </w:pPr>
      <w:r>
        <w:rPr>
          <w:color w:val="8C8C8C"/>
          <w:sz w:val="12"/>
        </w:rPr>
        <w:t>cf-art-231</w:t>
      </w:r>
      <w:r>
        <w:rPr>
          <w:color w:val="003CA0"/>
          <w:sz w:val="12"/>
        </w:rPr>
        <w:t xml:space="preserve"> | PET 9.585</w:t>
      </w:r>
      <w:r>
        <w:rPr>
          <w:color w:val="003CA0"/>
          <w:sz w:val="12"/>
        </w:rPr>
        <w:t xml:space="preserve"> | rel. Luís Roberto Barroso</w:t>
      </w:r>
    </w:p>
    <w:p>
      <w:pPr>
        <w:ind w:left="288"/>
      </w:pPr>
      <w:r>
        <w:rPr>
          <w:color w:val="1E1E1E"/>
          <w:sz w:val="18"/>
        </w:rPr>
        <w:t xml:space="preserve">Correção de falhas estruturais no subsistema de atenção à saúde indígena e desintrusão de terras indígenas em situação emergencial. Adoção de medidas para consolidar a reforma estrutural. (...) A questão em discussão é saber se as medidas implementadas pela União corrigiram as falhas estruturais mais graves do SasiSUS, de modo a justificar o encerramento do processo. (...) Extinção da ação com resolução de mérito, com a determinação da tramitação autônoma da Pet 9.585, para conclusão das duas últimas desintrusões, bem como das seguintes medidas de consolidação das reformas estruturais: A Sala </w:t>
      </w:r>
    </w:p>
    <w:p>
      <w:pPr>
        <w:ind w:left="288"/>
      </w:pPr>
      <w:r>
        <w:rPr>
          <w:b/>
          <w:color w:val="003CA0"/>
          <w:sz w:val="16"/>
        </w:rPr>
        <w:t>[ADPF 709, rel. min. Luís Roberto Barroso, j. 29.09.2025, P, DJE de 14.10.2025.]</w:t>
      </w:r>
    </w:p>
    <w:p>
      <w:pPr>
        <w:ind w:left="144"/>
      </w:pPr>
      <w:r>
        <w:rPr>
          <w:b/>
          <w:color w:val="B45A00"/>
          <w:sz w:val="16"/>
        </w:rPr>
        <w:t>CONTROLE CONCENTRADO</w:t>
      </w:r>
    </w:p>
    <w:p>
      <w:pPr>
        <w:ind w:left="288"/>
      </w:pPr>
      <w:r>
        <w:rPr>
          <w:color w:val="8C8C8C"/>
          <w:sz w:val="12"/>
        </w:rPr>
        <w:t>cf-art-231</w:t>
      </w:r>
      <w:r>
        <w:rPr>
          <w:color w:val="003CA0"/>
          <w:sz w:val="12"/>
        </w:rPr>
        <w:t xml:space="preserve"> | ADPF 991</w:t>
      </w:r>
      <w:r>
        <w:rPr>
          <w:color w:val="003CA0"/>
          <w:sz w:val="12"/>
        </w:rPr>
        <w:t xml:space="preserve"> | rel. Edson Fachin</w:t>
      </w:r>
    </w:p>
    <w:p>
      <w:pPr>
        <w:ind w:left="288"/>
      </w:pPr>
      <w:r>
        <w:rPr>
          <w:color w:val="1E1E1E"/>
          <w:sz w:val="18"/>
        </w:rPr>
        <w:t>A superação do paradigma assimilacionista para um de respeito à pluralidade e ao seu modo de vida traduz-se na política do não contato, de forma a respeitar a escolha das comunidades em permanecer distantes do modo de vida da sociedade envolvente, de manter a integridade das terras necessárias à sua subsistência e ao desenvolvimento de sua expressão cultural, e também de evitar a disseminação de patógenos que possam levar à propagação de doenças e ao extermínio de um grande número de indígenas, diante da evidente vulnerabilidade imunológica que possuem. A omissão comprovada da Administração Pú</w:t>
      </w:r>
    </w:p>
    <w:p>
      <w:pPr>
        <w:ind w:left="144"/>
      </w:pPr>
      <w:r>
        <w:rPr>
          <w:b/>
          <w:color w:val="B45A00"/>
          <w:sz w:val="16"/>
        </w:rPr>
        <w:t>REPERCUSSAO GERAL</w:t>
      </w:r>
    </w:p>
    <w:p>
      <w:pPr>
        <w:ind w:left="288"/>
      </w:pPr>
      <w:r>
        <w:rPr>
          <w:color w:val="8C8C8C"/>
          <w:sz w:val="12"/>
        </w:rPr>
        <w:t>cf-art-231</w:t>
      </w:r>
      <w:r>
        <w:rPr>
          <w:color w:val="003CA0"/>
          <w:sz w:val="12"/>
        </w:rPr>
        <w:t xml:space="preserve"> | RE 1.017.365</w:t>
      </w:r>
      <w:r>
        <w:rPr>
          <w:color w:val="003CA0"/>
          <w:sz w:val="12"/>
        </w:rPr>
        <w:t xml:space="preserve"> | rel. Edson Fachin</w:t>
      </w:r>
    </w:p>
    <w:p>
      <w:pPr>
        <w:ind w:left="288"/>
      </w:pPr>
      <w:r>
        <w:rPr>
          <w:color w:val="1E1E1E"/>
          <w:sz w:val="18"/>
        </w:rPr>
        <w:t>“I - A demarcação consiste em procedimento declaratório do direito originário territorial à posse das terras ocupadas tradicionalmente por comunidade indígena; II - A posse tradicional indígena é distinta da posse civil, consistindo na ocupação das terras habitadas em caráter permanente pelos indígenas, nas utilizadas para suas atividades produtivas, nas imprescindíveis à preservação dos recursos ambientais necessários a seu bem-estar e nas necessárias a sua reprodução física e cultural, segundo seus usos, costumes e tradições, nos termos do §1º do artigo 231 do texto constitucional; III - A p</w:t>
      </w:r>
    </w:p>
    <w:p>
      <w:pPr>
        <w:ind w:left="144"/>
      </w:pPr>
      <w:r>
        <w:rPr>
          <w:b/>
          <w:color w:val="B45A00"/>
          <w:sz w:val="16"/>
        </w:rPr>
        <w:t>JULGADOS CORRELATOS</w:t>
      </w:r>
    </w:p>
    <w:p>
      <w:pPr>
        <w:ind w:left="288"/>
      </w:pPr>
      <w:r>
        <w:rPr>
          <w:color w:val="8C8C8C"/>
          <w:sz w:val="12"/>
        </w:rPr>
        <w:t>cf-art-231</w:t>
      </w:r>
      <w:r>
        <w:rPr>
          <w:color w:val="003CA0"/>
          <w:sz w:val="12"/>
        </w:rPr>
        <w:t xml:space="preserve"> | PET 3.388</w:t>
      </w:r>
      <w:r>
        <w:rPr>
          <w:color w:val="003CA0"/>
          <w:sz w:val="12"/>
        </w:rPr>
        <w:t xml:space="preserve"> | rel. Roberto Barroso</w:t>
      </w:r>
    </w:p>
    <w:p>
      <w:pPr>
        <w:ind w:left="288"/>
      </w:pPr>
      <w:r>
        <w:rPr>
          <w:color w:val="1E1E1E"/>
          <w:sz w:val="18"/>
        </w:rPr>
        <w:t>Com o trânsito em julgado do acórdão embargado, todos os processos relacionados à Terra Indígena Raposa Serra do Sol deverão adotar as seguintes premissas como necessárias: (i) são válidos a Portaria/MJ 534/2005 e o decreto presidencial de 15-4-2005, observadas as condições previstas no acórdão; e (ii) a caracterização da área como terra indígena, para os fins dos arts. 20, XI, e 231 da Constituição torna insubsistentes eventuais pretensões possessórias ou dominiais de particulares, salvo no tocante à indenização por benfeitorias derivadas da ocupação de boa-fé (CF/1988, art. 231, § 6º). As ch</w:t>
      </w:r>
    </w:p>
    <w:p>
      <w:pPr>
        <w:ind w:left="288"/>
      </w:pPr>
      <w:r>
        <w:rPr>
          <w:b/>
          <w:color w:val="003CA0"/>
          <w:sz w:val="16"/>
        </w:rPr>
        <w:t>[Pet 3.388 ED, rel. min. Roberto Barroso, j. 23-10-2013, P, DJE de 4-2-2014.]</w:t>
      </w:r>
    </w:p>
    <w:p>
      <w:pPr>
        <w:ind w:left="288"/>
      </w:pPr>
      <w:r>
        <w:rPr>
          <w:color w:val="8C8C8C"/>
          <w:sz w:val="12"/>
        </w:rPr>
        <w:t>cf-art-231</w:t>
      </w:r>
      <w:r>
        <w:rPr>
          <w:color w:val="003CA0"/>
          <w:sz w:val="12"/>
        </w:rPr>
        <w:t xml:space="preserve"> | PET 3.388</w:t>
      </w:r>
      <w:r>
        <w:rPr>
          <w:color w:val="003CA0"/>
          <w:sz w:val="12"/>
        </w:rPr>
        <w:t xml:space="preserve"> | rel. Ayres Britto</w:t>
      </w:r>
    </w:p>
    <w:p>
      <w:pPr>
        <w:ind w:left="288"/>
      </w:pPr>
      <w:r>
        <w:rPr>
          <w:color w:val="1E1E1E"/>
          <w:sz w:val="18"/>
        </w:rPr>
        <w:t>O substantivo "índios" é usado pela CF de 1988 por um modo invariavelmente plural, para exprimir a diferenciação dos aborígenes por numerosas etnias. Propósito constitucional de retratar uma diversidade indígena tanto interétnica quanto intraétnica. Índios em processo de aculturação permanecem índios para o fim de proteção constitucional. Proteção constitucional que não se limita aos silvícolas, estes, sim, índios ainda em primitivo estádio de habitantes da selva. (...) Somente à União, por atos situados na esfera de atuação do Poder Executivo, compete instaurar, sequenciar e concluir formalme</w:t>
      </w:r>
    </w:p>
    <w:p>
      <w:pPr>
        <w:ind w:left="288"/>
      </w:pPr>
      <w:r>
        <w:rPr>
          <w:b/>
          <w:color w:val="003CA0"/>
          <w:sz w:val="16"/>
        </w:rPr>
        <w:t>[Pet 3.388, rel. min. Ayres Britto, j. 19-3-2009, P, DJE de 1º-7-2010.]</w:t>
      </w:r>
    </w:p>
    <w:p>
      <w:pPr>
        <w:ind w:left="288"/>
      </w:pPr>
      <w:r>
        <w:rPr>
          <w:color w:val="8C8C8C"/>
          <w:sz w:val="12"/>
        </w:rPr>
        <w:t>cf-art-231</w:t>
      </w:r>
      <w:r>
        <w:rPr>
          <w:color w:val="003CA0"/>
          <w:sz w:val="12"/>
        </w:rPr>
        <w:t xml:space="preserve"> | MS 21.896</w:t>
      </w:r>
    </w:p>
    <w:p>
      <w:pPr>
        <w:ind w:left="288"/>
      </w:pPr>
      <w:r>
        <w:rPr>
          <w:color w:val="1E1E1E"/>
          <w:sz w:val="18"/>
        </w:rPr>
        <w:t>No que tange à declaração dos limites e superfície da terra indígena a ser demarcada, é possível haver diferença entre área e perímetro estabelecidos pela portaria do Ministério da Justiça e aqueles constantes do decreto presidencial. Afastada a alegação de ofensa ao princípio do devido processo legal, fundada na assertiva de que edição do decreto presidencial não se afigurava possível, porquanto já em trâmite a ação de nulidade de demarcatória cumulada com ação reivindicatória. Ausente provimento jurisdicional definitivo ou cautelar que impedisse o prosseguimento do processo administrativo de</w:t>
      </w:r>
    </w:p>
    <w:p>
      <w:pPr>
        <w:ind w:left="288"/>
      </w:pPr>
      <w:r>
        <w:rPr>
          <w:b/>
          <w:color w:val="003CA0"/>
          <w:sz w:val="16"/>
        </w:rPr>
        <w:t>[MS 21.896, red. do ac. min. Joaquim Barbosa, j. 4-6-2007, P, DJE de 13-6-2008.]</w:t>
      </w:r>
    </w:p>
    <w:p>
      <w:pPr>
        <w:ind w:left="288"/>
      </w:pPr>
      <w:r>
        <w:rPr>
          <w:color w:val="8C8C8C"/>
          <w:sz w:val="12"/>
        </w:rPr>
        <w:t>cf-art-231</w:t>
      </w:r>
      <w:r>
        <w:rPr>
          <w:color w:val="003CA0"/>
          <w:sz w:val="12"/>
        </w:rPr>
        <w:t xml:space="preserve"> | MS 24.045</w:t>
      </w:r>
      <w:r>
        <w:rPr>
          <w:color w:val="003CA0"/>
          <w:sz w:val="12"/>
        </w:rPr>
        <w:t xml:space="preserve"> | rel. Joaquim Barbosa). Na ausência de ordem judicial a impedir a realização ou execução de atos</w:t>
      </w:r>
    </w:p>
    <w:p>
      <w:pPr>
        <w:ind w:left="288"/>
      </w:pPr>
      <w:r>
        <w:rPr>
          <w:color w:val="1E1E1E"/>
          <w:sz w:val="18"/>
        </w:rPr>
        <w:t>Cabe à União demarcar as terras tradicionalmente ocupadas pelos índios (caput do art. 231 da CF). Donde competir ao presidente da República homologar tal demarcação administrativa. A manifestação do Conselho de Defesa Nacional não é requisito de validade da demarcação de terras indígenas, mesmo daquelas situadas em região de fronteira. Não há que se falar em supressão das garantias do contraditório e da ampla defesa se aos impetrantes foi dada a oportunidade de que trata o art. 9º do Decreto 1.775/1996 (MS 24.045, rel. min. Joaquim Barbosa). Na ausência de ordem judicial a impedir a realização</w:t>
      </w:r>
    </w:p>
    <w:p>
      <w:pPr>
        <w:ind w:left="288"/>
      </w:pPr>
      <w:r>
        <w:rPr>
          <w:b/>
          <w:color w:val="003CA0"/>
          <w:sz w:val="16"/>
        </w:rPr>
        <w:t>[MS 25.483, rel. min. Ayres Britto, j. 4-6-2007, P, DJ de 14-9-2007.]</w:t>
      </w:r>
    </w:p>
    <w:p>
      <w:pPr>
        <w:ind w:left="288"/>
      </w:pPr>
      <w:r>
        <w:rPr>
          <w:color w:val="8C8C8C"/>
          <w:sz w:val="12"/>
        </w:rPr>
        <w:t>cf-art-231</w:t>
      </w:r>
      <w:r>
        <w:rPr>
          <w:color w:val="003CA0"/>
          <w:sz w:val="12"/>
        </w:rPr>
        <w:t xml:space="preserve"> | SL 38</w:t>
      </w:r>
      <w:r>
        <w:rPr>
          <w:color w:val="003CA0"/>
          <w:sz w:val="12"/>
        </w:rPr>
        <w:t xml:space="preserve"> | rel. Ellen Gracie</w:t>
      </w:r>
    </w:p>
    <w:p>
      <w:pPr>
        <w:ind w:left="288"/>
      </w:pPr>
      <w:r>
        <w:rPr>
          <w:color w:val="1E1E1E"/>
          <w:sz w:val="18"/>
        </w:rPr>
        <w:t>Agravo regimental. Suspensão de liminar requerida pelo MPF. Terra Indígena Raposa Serra do Sol. Portaria 820/1998, do Ministério da Justiça. Ação popular. Liminares concedidas em ambas as instâncias da Justiça Federal. Ausência de demonstração inequívoca de grave lesão à ordem, à saúde, à segurança ou à economia. Pedido de suspensão indeferido. (...) Ao contrário do que afirma o agravante, as liminares proferidas na primeira e na segunda instância da Justiça Federal não negaram vigência ao art. 231 da CF, porquanto tomadas com o propósito de evitar uma mudança radical e de difícil restabelecim</w:t>
      </w:r>
    </w:p>
    <w:p>
      <w:pPr>
        <w:ind w:left="288"/>
      </w:pPr>
      <w:r>
        <w:rPr>
          <w:b/>
          <w:color w:val="003CA0"/>
          <w:sz w:val="16"/>
        </w:rPr>
        <w:t>[SL 38 AgR, rel. min. Ellen Gracie, j. 1º-9-2004, P, DJ de 17-9-2004.]</w:t>
      </w:r>
    </w:p>
    <w:p>
      <w:pPr>
        <w:ind w:left="288"/>
      </w:pPr>
      <w:r>
        <w:rPr>
          <w:color w:val="8C8C8C"/>
          <w:sz w:val="12"/>
        </w:rPr>
        <w:t>cf-art-231</w:t>
      </w:r>
      <w:r>
        <w:rPr>
          <w:color w:val="003CA0"/>
          <w:sz w:val="12"/>
        </w:rPr>
        <w:t xml:space="preserve"> | HC 79.530</w:t>
      </w:r>
      <w:r>
        <w:rPr>
          <w:color w:val="003CA0"/>
          <w:sz w:val="12"/>
        </w:rPr>
        <w:t xml:space="preserve"> | rel. Ilmar Galvão</w:t>
      </w:r>
    </w:p>
    <w:p>
      <w:pPr>
        <w:ind w:left="288"/>
      </w:pPr>
      <w:r>
        <w:rPr>
          <w:color w:val="1E1E1E"/>
          <w:sz w:val="18"/>
        </w:rPr>
        <w:t>É de natureza civil, e não criminal (...), a tutela que a CF, no caput do art. 231, cometeu à União, ao reconhecer "aos índios sua organização social, costumes, línguas, crenças e tradições, e os direitos originários sobre as terras que tradicionalmente ocupam", não podendo ser ela confundida com o dever que tem o Estado de proteger a vida e a integridade física dos índios, dever não restrito a estes, estendendo-se, ao revés, a todas as demais pessoas. Descabimento, portanto, da assistência pela Funai [Fundação Nacional do Índio], no caso.</w:t>
      </w:r>
    </w:p>
    <w:p>
      <w:pPr>
        <w:ind w:left="288"/>
      </w:pPr>
      <w:r>
        <w:rPr>
          <w:b/>
          <w:color w:val="003CA0"/>
          <w:sz w:val="16"/>
        </w:rPr>
        <w:t>[HC 79.530, rel. min. Ilmar Galvão, j. 16-12-1999, 1ª T, DJ de 25-2-2000.]</w:t>
      </w:r>
    </w:p>
    <w:p>
      <w:pPr>
        <w:ind w:left="288"/>
      </w:pPr>
      <w:r>
        <w:rPr>
          <w:color w:val="8C8C8C"/>
          <w:sz w:val="12"/>
        </w:rPr>
        <w:t>cf-art-231</w:t>
      </w:r>
    </w:p>
    <w:p>
      <w:pPr>
        <w:ind w:left="288"/>
      </w:pPr>
      <w:r>
        <w:rPr>
          <w:color w:val="1E1E1E"/>
          <w:sz w:val="18"/>
        </w:rPr>
        <w:t>§ 1º São terras tradicionalmente ocupadas pelos índios as por eles habitadas em caráter permanente, as utilizadas para suas atividades produtivas, as imprescindíveis à preservação dos recursos ambientais necessários a seu bem-estar e as necessárias a sua reprodução física e cultural, segundo seus usos, costumes e tradições.</w:t>
      </w:r>
    </w:p>
    <w:p>
      <w:pPr>
        <w:ind w:left="144"/>
      </w:pPr>
      <w:r>
        <w:rPr>
          <w:b/>
          <w:color w:val="B45A00"/>
          <w:sz w:val="16"/>
        </w:rPr>
        <w:t>CONTROLE CONCENTRADO</w:t>
      </w:r>
    </w:p>
    <w:p>
      <w:pPr>
        <w:ind w:left="288"/>
      </w:pPr>
      <w:r>
        <w:rPr>
          <w:color w:val="8C8C8C"/>
          <w:sz w:val="12"/>
        </w:rPr>
        <w:t>cf-art-231</w:t>
      </w:r>
      <w:r>
        <w:rPr>
          <w:color w:val="003CA0"/>
          <w:sz w:val="12"/>
        </w:rPr>
        <w:t xml:space="preserve"> | ADI 7.008</w:t>
      </w:r>
      <w:r>
        <w:rPr>
          <w:color w:val="003CA0"/>
          <w:sz w:val="12"/>
        </w:rPr>
        <w:t xml:space="preserve"> | rel. Roberto Barroso</w:t>
      </w:r>
    </w:p>
    <w:p>
      <w:pPr>
        <w:ind w:left="288"/>
      </w:pPr>
      <w:r>
        <w:rPr>
          <w:color w:val="1E1E1E"/>
          <w:sz w:val="18"/>
        </w:rPr>
        <w:t>“1. É constitucional norma estadual que, sem afastar a aplicação da legislação nacional em matéria ambiental (inclusive relatório de impacto ambiental) e o dever de consulta prévia às comunidades indígenas e tradicionais, quando diretamente atingidas por ocuparem zonas contíguas, autoriza a concessão à iniciativa privada da exploração de serviços ou do uso de bens imóveis do Estado; 2. A concessão pelo Estado não pode incidir sobre áreas tradicionalmente ocupadas por povos indígenas, remanescentes quilombolas e demais comunidades tradicionais”.</w:t>
        <w:br/>
        <w:t>[ADI 7.008, rel. min. Roberto Barroso, j. 22-5-20</w:t>
      </w:r>
    </w:p>
    <w:p>
      <w:pPr>
        <w:ind w:left="144"/>
      </w:pPr>
      <w:r>
        <w:rPr>
          <w:b/>
          <w:color w:val="B45A00"/>
          <w:sz w:val="16"/>
        </w:rPr>
        <w:t>JULGADOS CORRELATOS</w:t>
      </w:r>
    </w:p>
    <w:p>
      <w:pPr>
        <w:ind w:left="288"/>
      </w:pPr>
      <w:r>
        <w:rPr>
          <w:color w:val="8C8C8C"/>
          <w:sz w:val="12"/>
        </w:rPr>
        <w:t>cf-art-231</w:t>
      </w:r>
      <w:r>
        <w:rPr>
          <w:color w:val="003CA0"/>
          <w:sz w:val="12"/>
        </w:rPr>
        <w:t xml:space="preserve"> | ACO 362</w:t>
      </w:r>
      <w:r>
        <w:rPr>
          <w:color w:val="003CA0"/>
          <w:sz w:val="12"/>
        </w:rPr>
        <w:t xml:space="preserve"> | rel. Marco Aurélio</w:t>
      </w:r>
    </w:p>
    <w:p>
      <w:pPr>
        <w:ind w:left="288"/>
      </w:pPr>
      <w:r>
        <w:rPr>
          <w:color w:val="1E1E1E"/>
          <w:sz w:val="18"/>
        </w:rPr>
        <w:t>Comprovada a histórica presença indígena na área, descabe qualquer indenização em favor do Estado.</w:t>
        <w:br/>
        <w:t>[ACO 362, rel. min. Marco Aurélio, j. 16-8-2017, P, DJE de 3-10-2017.] Conforme entendimento consubstanciado na Súmula 650/STF, o conceito de "terras tradicionalmente ocupadas pelos índios" não abrange aquelas que eram possuídas pelos nativos no passado remoto. (...) Renitente esbulho não pode ser confundido com ocupação passada ou com desocupação forçada, ocorrida no passado. Há de haver, para configuração de esbulho, situação de efetivo conflito possessório que, mesmo iniciado no passado, ainda</w:t>
      </w:r>
    </w:p>
    <w:p>
      <w:pPr>
        <w:ind w:left="288"/>
      </w:pPr>
      <w:r>
        <w:rPr>
          <w:b/>
          <w:color w:val="003CA0"/>
          <w:sz w:val="16"/>
        </w:rPr>
        <w:t>[Pet 3.388, rel. min. Ayres Britto, j. 19-3-2009, P, DJE de 1º-7-2010.]</w:t>
      </w:r>
    </w:p>
    <w:p>
      <w:pPr>
        <w:ind w:left="288"/>
      </w:pPr>
      <w:r>
        <w:rPr>
          <w:color w:val="8C8C8C"/>
          <w:sz w:val="12"/>
        </w:rPr>
        <w:t>cf-art-231-par-2</w:t>
      </w:r>
      <w:r>
        <w:rPr>
          <w:color w:val="003CA0"/>
          <w:sz w:val="12"/>
        </w:rPr>
        <w:t xml:space="preserve"> | PET 3.388</w:t>
      </w:r>
      <w:r>
        <w:rPr>
          <w:color w:val="003CA0"/>
          <w:sz w:val="12"/>
        </w:rPr>
        <w:t xml:space="preserve"> | rel. Ayres Britto</w:t>
      </w:r>
    </w:p>
    <w:p>
      <w:pPr>
        <w:ind w:left="288"/>
      </w:pPr>
      <w:r>
        <w:rPr>
          <w:color w:val="1E1E1E"/>
          <w:sz w:val="18"/>
        </w:rPr>
        <w:t>A exclusividade de usufruto das riquezas do solo, dos rios e dos lagos nas terras indígenas é conciliável com a eventual presença de não índios, bem assim com a instalação de equipamentos públicos, a abertura de estradas e outras vias de comunicação, a montagem ou construção de bases físicas para a prestação de serviços públicos ou de relevância pública, desde que tudo se processe sob a liderança institucional da União, controle do Ministério Público e atuação coadjuvante de entidades tanto da administração federal quanto representativas dos próprios indígenas. O que já impede os próprios índi</w:t>
      </w:r>
    </w:p>
    <w:p>
      <w:pPr>
        <w:ind w:left="288"/>
      </w:pPr>
      <w:r>
        <w:rPr>
          <w:b/>
          <w:color w:val="003CA0"/>
          <w:sz w:val="16"/>
        </w:rPr>
        <w:t>[Pet 3.388, rel. min. Ayres Britto, j. 19-3-2009, P, DJE de 1º-7-2010.]</w:t>
      </w:r>
    </w:p>
    <w:p>
      <w:pPr>
        <w:ind w:left="288"/>
      </w:pPr>
      <w:r>
        <w:rPr>
          <w:color w:val="8C8C8C"/>
          <w:sz w:val="12"/>
        </w:rPr>
        <w:t>cf-art-231-par-2</w:t>
      </w:r>
      <w:r>
        <w:rPr>
          <w:color w:val="003CA0"/>
          <w:sz w:val="12"/>
        </w:rPr>
        <w:t xml:space="preserve"> | RE 416.144</w:t>
      </w:r>
      <w:r>
        <w:rPr>
          <w:color w:val="003CA0"/>
          <w:sz w:val="12"/>
        </w:rPr>
        <w:t xml:space="preserve"> | rel. Ellen Gracie</w:t>
      </w:r>
    </w:p>
    <w:p>
      <w:pPr>
        <w:ind w:left="288"/>
      </w:pPr>
      <w:r>
        <w:rPr>
          <w:color w:val="1E1E1E"/>
          <w:sz w:val="18"/>
        </w:rPr>
        <w:t>Estando a permanência dos posseiros no local garantida por anterior decisão do TRF que não é objeto do presente recurso, a questão devolvida a esta Corte cinge-se à possibilidade da convivência provisória destes com os índios a serem introduzidos na área em litígio. A alusão a iminente conflito não se presta a suspender a decisão que autoriza a entrada dos silvícolas nas terras indígenas cuja posse lhes é assegurada pelo texto constitucional, sob pena de inversão da presunção da legitimidade do processo de demarcação. (...) Recurso provido para restabelecer a decisão proferida pelo juízo de or</w:t>
      </w:r>
    </w:p>
    <w:p>
      <w:pPr>
        <w:ind w:left="288"/>
      </w:pPr>
      <w:r>
        <w:rPr>
          <w:b/>
          <w:color w:val="003CA0"/>
          <w:sz w:val="16"/>
        </w:rPr>
        <w:t>[RE 416.144, rel. min. Ellen Gracie, j. 10-8-2004, 2ª T, DJ de 1º-10-2004.]</w:t>
      </w:r>
    </w:p>
    <w:p>
      <w:pPr>
        <w:ind w:left="288"/>
      </w:pPr>
      <w:r>
        <w:rPr>
          <w:color w:val="8C8C8C"/>
          <w:sz w:val="12"/>
        </w:rPr>
        <w:t>cf-art-231-par-2</w:t>
      </w:r>
      <w:r>
        <w:rPr>
          <w:color w:val="003CA0"/>
          <w:sz w:val="12"/>
        </w:rPr>
        <w:t xml:space="preserve"> | MI 7.490</w:t>
      </w:r>
      <w:r>
        <w:rPr>
          <w:color w:val="003CA0"/>
          <w:sz w:val="12"/>
        </w:rPr>
        <w:t xml:space="preserve"> | rel. Flávio Dino</w:t>
      </w:r>
    </w:p>
    <w:p>
      <w:pPr>
        <w:ind w:left="288"/>
      </w:pPr>
      <w:r>
        <w:rPr>
          <w:color w:val="1E1E1E"/>
          <w:sz w:val="18"/>
        </w:rPr>
        <w:t>§ 3º O aproveitamento dos recursos hídricos, incluídos os potenciais energéticos, a pesquisa e a lavra das riquezas minerais em terras indígenas só podem ser efetivados com autorização do Congresso Nacional, ouvidas as comunidades afetadas, ficando-lhes assegurada participação nos resultados da lavra, na forma da lei. Omissão legislativa verificada, em virtude de quase 37 anos de inércia quanto à edição de leis reclamadas pelos arts. 176, § 1º, e 231, CF. Demonstração da atual impossibilidade de os povos indígenas perceberem quaisquer resultados do empreendimento hidrelétrico de Belo Monte e o</w:t>
      </w:r>
    </w:p>
    <w:p>
      <w:pPr>
        <w:ind w:left="288"/>
      </w:pPr>
      <w:r>
        <w:rPr>
          <w:b/>
          <w:color w:val="003CA0"/>
          <w:sz w:val="16"/>
        </w:rPr>
        <w:t>[MI 7.490 MC-REF, rel. min. Flávio Dino, j. 25.06.2025, P, DJE de 16.07.2025.]</w:t>
      </w:r>
    </w:p>
    <w:p>
      <w:pPr>
        <w:ind w:left="288"/>
      </w:pPr>
      <w:r>
        <w:rPr>
          <w:color w:val="8C8C8C"/>
          <w:sz w:val="12"/>
        </w:rPr>
        <w:t>cf-art-231-par-2</w:t>
      </w:r>
      <w:r>
        <w:rPr>
          <w:color w:val="003CA0"/>
          <w:sz w:val="12"/>
        </w:rPr>
        <w:t xml:space="preserve"> | RE 1.379.751</w:t>
      </w:r>
      <w:r>
        <w:rPr>
          <w:color w:val="003CA0"/>
          <w:sz w:val="12"/>
        </w:rPr>
        <w:t xml:space="preserve"> | rel. Alexandre de Moraes</w:t>
      </w:r>
    </w:p>
    <w:p>
      <w:pPr>
        <w:ind w:left="288"/>
      </w:pPr>
      <w:r>
        <w:rPr>
          <w:color w:val="1E1E1E"/>
          <w:sz w:val="18"/>
        </w:rPr>
        <w:t>O Decreto Legislativo 778, de 13 de julho de 2005, autorizou o Poder Executivo a implantar o Aproveitamento Hidroelétrico Belo Monte, localizado em trecho do Rio Xingu, no Estado do Pará, antes da necessária oitiva às comunidades afetadas. Tal dispositivo contraria o artigo 231, § 3º, da Constituição Federal e a Convenção 169 da Organização Internacional do Trabalho - OIT sobre Povos Indígenas e Tribais, normas que determinam a prévia consulta às comunidades indígenas afetadas para que se proceda à autorização de exploração de recursos em seu território. Inicialmente, o juízo singular julgou i</w:t>
      </w:r>
    </w:p>
    <w:p>
      <w:pPr>
        <w:ind w:left="288"/>
      </w:pPr>
      <w:r>
        <w:rPr>
          <w:b/>
          <w:color w:val="003CA0"/>
          <w:sz w:val="16"/>
        </w:rPr>
        <w:t>[ACO 876 MC-AgR, rel. min. Menezes Direito, j. 19-12-2007, P, DJE de 1º-8-2008.]</w:t>
      </w:r>
    </w:p>
    <w:p>
      <w:pPr>
        <w:ind w:left="288"/>
      </w:pPr>
      <w:r>
        <w:rPr>
          <w:color w:val="8C8C8C"/>
          <w:sz w:val="12"/>
        </w:rPr>
        <w:t>cf-art-231-par-4</w:t>
      </w:r>
      <w:r>
        <w:rPr>
          <w:color w:val="003CA0"/>
          <w:sz w:val="12"/>
        </w:rPr>
        <w:t xml:space="preserve"> | RE 183.188</w:t>
      </w:r>
      <w:r>
        <w:rPr>
          <w:color w:val="003CA0"/>
          <w:sz w:val="12"/>
        </w:rPr>
        <w:t xml:space="preserve"> | rel. Celso de Mello</w:t>
      </w:r>
    </w:p>
    <w:p>
      <w:pPr>
        <w:ind w:left="288"/>
      </w:pPr>
      <w:r>
        <w:rPr>
          <w:color w:val="1E1E1E"/>
          <w:sz w:val="18"/>
        </w:rPr>
        <w:t>As terras tradicionalmente ocupadas pelos índios incluem-se no domínio constitucional da União Federal. As áreas por elas abrangidas são inalienáveis, indisponíveis e insuscetíveis de prescrição aquisitiva. A Carta Política, com a outorga dominial atribuída à União, criou, para esta, uma propriedade vinculada ou reservada, que se destina a garantir aos índios o exercício dos direitos que lhes foram reconhecidos constitucionalmente (CF, art. 231, §§ 2º, 3º e 7º), visando, desse modo, a proporcionar às comunidades indígenas bem-estar e condições necessárias à sua reprodução física e cultural, se</w:t>
      </w:r>
    </w:p>
    <w:p>
      <w:pPr>
        <w:ind w:left="288"/>
      </w:pPr>
      <w:r>
        <w:rPr>
          <w:b/>
          <w:color w:val="003CA0"/>
          <w:sz w:val="16"/>
        </w:rPr>
        <w:t>[RE 183.188, rel. min. Celso de Mello, j. 10-12-1996, 1ª T, DJ de 14-2-1997.]</w:t>
      </w:r>
    </w:p>
    <w:p>
      <w:pPr>
        <w:ind w:left="288"/>
      </w:pPr>
      <w:r>
        <w:rPr>
          <w:color w:val="8C8C8C"/>
          <w:sz w:val="12"/>
        </w:rPr>
        <w:t>cf-art-231-par-4</w:t>
      </w:r>
    </w:p>
    <w:p>
      <w:pPr>
        <w:ind w:left="288"/>
      </w:pPr>
      <w:r>
        <w:rPr>
          <w:color w:val="1E1E1E"/>
          <w:sz w:val="18"/>
        </w:rPr>
        <w:t>§ 5º É vedada a remoção dos grupos indígenas de suas terras, salvo, ad referendum do Congresso Nacional, em caso de catástrofe ou epidemia que ponha em risco sua população, ou no interesse da soberania do País, após deliberação do Congresso Nacional, garantido, em qualquer hipótese, o retorno imediato logo que cesse o risco.</w:t>
      </w:r>
    </w:p>
    <w:p>
      <w:pPr>
        <w:ind w:left="288"/>
      </w:pPr>
      <w:r>
        <w:rPr>
          <w:color w:val="8C8C8C"/>
          <w:sz w:val="12"/>
        </w:rPr>
        <w:t>cf-art-231-par-4</w:t>
      </w:r>
      <w:r>
        <w:rPr>
          <w:color w:val="003CA0"/>
          <w:sz w:val="12"/>
        </w:rPr>
        <w:t xml:space="preserve"> | HC 80.240</w:t>
      </w:r>
      <w:r>
        <w:rPr>
          <w:color w:val="003CA0"/>
          <w:sz w:val="12"/>
        </w:rPr>
        <w:t xml:space="preserve"> | rel. Sepúlveda Pertence</w:t>
      </w:r>
    </w:p>
    <w:p>
      <w:pPr>
        <w:ind w:left="288"/>
      </w:pPr>
      <w:r>
        <w:rPr>
          <w:color w:val="1E1E1E"/>
          <w:sz w:val="18"/>
        </w:rPr>
        <w:t>CPI: intimação de indígena para prestar depoimento na condição de testemunha, fora do seu habitat: violação às normas constitucionais que conferem proteção específica aos povos indígenas (CF, arts. 215, 216 e 231). A convocação de um índio para prestar depoimento em local diverso de suas terras constrange a sua liberdade de locomoção, na medida em que é vedada pela Constituição da República a remoção dos grupos indígenas de suas terras, salvo exceções nela previstas (CF/1988, art. 231, § 5º). A tutela constitucional do grupo indígena, que visa a proteger, além da posse e usufruto das terras or</w:t>
      </w:r>
    </w:p>
    <w:p>
      <w:pPr>
        <w:ind w:left="288"/>
      </w:pPr>
      <w:r>
        <w:rPr>
          <w:b/>
          <w:color w:val="003CA0"/>
          <w:sz w:val="16"/>
        </w:rPr>
        <w:t>[HC 80.240, rel. min. Sepúlveda Pertence, j. 20-6-2001, 1ª T, DJ de 14-10-2005.]</w:t>
      </w:r>
    </w:p>
    <w:p>
      <w:pPr>
        <w:ind w:left="288"/>
      </w:pPr>
      <w:r>
        <w:rPr>
          <w:color w:val="8C8C8C"/>
          <w:sz w:val="12"/>
        </w:rPr>
        <w:t>cf-art-231-par-4</w:t>
      </w:r>
      <w:r>
        <w:rPr>
          <w:color w:val="003CA0"/>
          <w:sz w:val="12"/>
        </w:rPr>
        <w:t xml:space="preserve"> | MI 7.490</w:t>
      </w:r>
      <w:r>
        <w:rPr>
          <w:color w:val="003CA0"/>
          <w:sz w:val="12"/>
        </w:rPr>
        <w:t xml:space="preserve"> | rel. Flávio Dino</w:t>
      </w:r>
    </w:p>
    <w:p>
      <w:pPr>
        <w:ind w:left="288"/>
      </w:pPr>
      <w:r>
        <w:rPr>
          <w:color w:val="1E1E1E"/>
          <w:sz w:val="18"/>
        </w:rPr>
        <w:t>§ 6º São nulos e extintos, não produzindo efeitos jurídicos, os atos que tenham por objeto a ocupação, o domínio e a posse das terras a que se refere este artigo, ou a exploração das riquezas naturais do solo, dos rios e dos lagos nelas existentes, ressalvado relevante interesse público da União, segundo o que dispuser lei complementar, não gerando a nulidade e a extinção direito a indenização ou a ações contra a União, salvo, na forma da lei, quanto às benfeitorias derivadas da ocupação de boa-fé. Omissão legislativa verificada, em virtude de quase 37 anos de inércia quanto à edição de leis r</w:t>
      </w:r>
    </w:p>
    <w:p>
      <w:pPr>
        <w:ind w:left="288"/>
      </w:pPr>
      <w:r>
        <w:rPr>
          <w:b/>
          <w:color w:val="003CA0"/>
          <w:sz w:val="16"/>
        </w:rPr>
        <w:t>[MI 7.490 MC-REF, rel. min. Flávio Dino, j. 25.06.2025, P, DJE de 16.07.2025.]</w:t>
      </w:r>
    </w:p>
    <w:p>
      <w:pPr>
        <w:ind w:left="288"/>
      </w:pPr>
      <w:r>
        <w:rPr>
          <w:color w:val="8C8C8C"/>
          <w:sz w:val="12"/>
        </w:rPr>
        <w:t>cf-art-231-par-4</w:t>
      </w:r>
      <w:r>
        <w:rPr>
          <w:color w:val="003CA0"/>
          <w:sz w:val="12"/>
        </w:rPr>
        <w:t xml:space="preserve"> | RMS 29.193</w:t>
      </w:r>
      <w:r>
        <w:rPr>
          <w:color w:val="003CA0"/>
          <w:sz w:val="12"/>
        </w:rPr>
        <w:t xml:space="preserve"> | rel. Celso de Mello</w:t>
      </w:r>
    </w:p>
    <w:p>
      <w:pPr>
        <w:ind w:left="288"/>
      </w:pPr>
      <w:r>
        <w:rPr>
          <w:color w:val="1E1E1E"/>
          <w:sz w:val="18"/>
        </w:rPr>
        <w:t>A eventual existência de registro imobiliário em nome de particular, a despeito do que dispunha o art. 859 do CC/1916 ou do que prescreve o art. 1.245 e parágrafos do vigente Código Civil, não torna oponível à União Federal esse título de domínio privado, pois a Constituição da República pré-excluiu do comércio jurídico as terras indígenas res extra commercium, proclamando a nulidade e declarando a extinção de atos que tenham por objeto a ocupação, o domínio e a posse de tais áreas, considerando ineficazes, ainda, as pactuações negociais que sobre elas incidam, sem possibilidade de quaisquer c</w:t>
      </w:r>
    </w:p>
    <w:p>
      <w:pPr>
        <w:ind w:left="288"/>
      </w:pPr>
      <w:r>
        <w:rPr>
          <w:b/>
          <w:color w:val="003CA0"/>
          <w:sz w:val="16"/>
        </w:rPr>
        <w:t>[RMS 29.193 AgR-ED, rel. min Celso de Mello, j. 16-12-2014, 2ª T, DJE de 19-2-2015.]</w:t>
      </w:r>
    </w:p>
    <w:p>
      <w:pPr>
        <w:ind w:left="288"/>
      </w:pPr>
      <w:r>
        <w:rPr>
          <w:color w:val="8C8C8C"/>
          <w:sz w:val="12"/>
        </w:rPr>
        <w:t>cf-art-231-par-4</w:t>
      </w:r>
      <w:r>
        <w:rPr>
          <w:color w:val="003CA0"/>
          <w:sz w:val="12"/>
        </w:rPr>
        <w:t xml:space="preserve"> | PET 3.388</w:t>
      </w:r>
      <w:r>
        <w:rPr>
          <w:color w:val="003CA0"/>
          <w:sz w:val="12"/>
        </w:rPr>
        <w:t xml:space="preserve"> | rel. Roberto Barroso</w:t>
      </w:r>
    </w:p>
    <w:p>
      <w:pPr>
        <w:ind w:left="288"/>
      </w:pPr>
      <w:r>
        <w:rPr>
          <w:color w:val="1E1E1E"/>
          <w:sz w:val="18"/>
        </w:rPr>
        <w:t>Com o trânsito em julgado do acórdão embargado, todos os processos relacionados à Terra Indígena Raposa Serra do Sol deverão adotar as seguintes premissas como necessárias: (i) são válidos a Portaria/MJ 534/2005 e o decreto presidencial de 15-4-2005, observadas as condições previstas no acórdão; e (ii) a caracterização da área como terra indígena, para os fins dos arts. 20, XI, e 231 da Constituição torna insubsistentes eventuais pretensões possessórias ou dominiais de particulares, salvo no tocante à indenização por benfeitorias derivadas da ocupação de boa-fé (CF/1988, art. 231, § 6º).</w:t>
      </w:r>
    </w:p>
    <w:p>
      <w:pPr>
        <w:ind w:left="288"/>
      </w:pPr>
      <w:r>
        <w:rPr>
          <w:b/>
          <w:color w:val="003CA0"/>
          <w:sz w:val="16"/>
        </w:rPr>
        <w:t>[Pet 3.388 ED, rel. min. Roberto Barroso, j. 23-10-2013, P, DJE de 4-2-2014.]</w:t>
      </w:r>
    </w:p>
    <w:p>
      <w:pPr>
        <w:ind w:left="288"/>
      </w:pPr>
      <w:r>
        <w:rPr>
          <w:color w:val="8C8C8C"/>
          <w:sz w:val="12"/>
        </w:rPr>
        <w:t>cf-art-231-par-4</w:t>
      </w:r>
      <w:r>
        <w:rPr>
          <w:color w:val="003CA0"/>
          <w:sz w:val="12"/>
        </w:rPr>
        <w:t xml:space="preserve"> | PET 3.388</w:t>
      </w:r>
      <w:r>
        <w:rPr>
          <w:color w:val="003CA0"/>
          <w:sz w:val="12"/>
        </w:rPr>
        <w:t xml:space="preserve"> | rel. Ayres Britto</w:t>
      </w:r>
    </w:p>
    <w:p>
      <w:pPr>
        <w:ind w:left="288"/>
      </w:pPr>
      <w:r>
        <w:rPr>
          <w:color w:val="1E1E1E"/>
          <w:sz w:val="18"/>
        </w:rPr>
        <w:t>Os direitos dos índios sobre as terras que tradicionalmente ocupam foram constitucionalmente "reconhecidos", e não simplesmente outorgados, com o que o ato de demarcação se orna de natureza declaratória, e não propriamente constitutiva. Ato declaratório de uma situação jurídica ativa preexistente. Essa a razão de a Carta Magna havê-los chamado de "originários", a traduzir um direito mais antigo do que qualquer outro, de maneira a preponderar sobre pretensos direitos adquiridos, mesmo os materializados em escrituras públicas ou títulos de legitimação de posse em favor de não índios. Atos, estes</w:t>
      </w:r>
    </w:p>
    <w:p>
      <w:pPr>
        <w:ind w:left="288"/>
      </w:pPr>
      <w:r>
        <w:rPr>
          <w:b/>
          <w:color w:val="003CA0"/>
          <w:sz w:val="16"/>
        </w:rPr>
        <w:t>[Pet 3.388, rel. min. Ayres Britto, j. 19-3-2009, P, DJE de 1º-7-2010.]</w:t>
      </w:r>
    </w:p>
    <w:p>
      <w:pPr>
        <w:ind w:left="288"/>
      </w:pPr>
      <w:r>
        <w:rPr>
          <w:color w:val="8C8C8C"/>
          <w:sz w:val="12"/>
        </w:rPr>
        <w:t>cf-art-231-par-4</w:t>
      </w:r>
      <w:r>
        <w:rPr>
          <w:color w:val="003CA0"/>
          <w:sz w:val="12"/>
        </w:rPr>
        <w:t xml:space="preserve"> | ACO 312</w:t>
      </w:r>
      <w:r>
        <w:rPr>
          <w:color w:val="003CA0"/>
          <w:sz w:val="12"/>
        </w:rPr>
        <w:t xml:space="preserve"> | rel. Eros Grau</w:t>
      </w:r>
    </w:p>
    <w:p>
      <w:pPr>
        <w:ind w:left="288"/>
      </w:pPr>
      <w:r>
        <w:rPr>
          <w:color w:val="1E1E1E"/>
          <w:sz w:val="18"/>
        </w:rPr>
        <w:t>Terras indígenas não demarcadas pela União. Desnecessidade de prévia demarcação administrativa. Prosseguimento do julgamento pelo Tribunal para emissão de juízo conclusivo sobre a situação jurídico-constitucional das áreas abrangidas pelos títulos. Questão de ordem que assim se resolve: (1) a demarcação prévia da área abrangida pelos títulos, não é, em si, indispensável ao ajuizamento da própria ação; (2) o Tribunal pode examinar se a área é indígena ou não para decidir pela procedência ou improcedência da ação.</w:t>
      </w:r>
    </w:p>
    <w:p>
      <w:pPr>
        <w:ind w:left="288"/>
      </w:pPr>
      <w:r>
        <w:rPr>
          <w:b/>
          <w:color w:val="003CA0"/>
          <w:sz w:val="16"/>
        </w:rPr>
        <w:t>[ACO 312 QO, rel. min. Eros Grau, j. 27-2-2002, P, DJ de 27-10-2006.]</w:t>
      </w:r>
    </w:p>
    <w:p>
      <w:pPr>
        <w:ind w:left="432"/>
      </w:pPr>
      <w:r>
        <w:rPr>
          <w:color w:val="003366"/>
          <w:sz w:val="18"/>
        </w:rPr>
        <w:t>§ 1 São terras tradicionalmente ocupadas pelos índios as por eles habitadas em c</w:t>
      </w:r>
    </w:p>
    <w:p>
      <w:pPr>
        <w:ind w:left="432"/>
      </w:pPr>
      <w:r>
        <w:rPr>
          <w:color w:val="003366"/>
          <w:sz w:val="18"/>
        </w:rPr>
        <w:t>§ 2 As terras tradicionalmente ocupadas pelos índios destinam-se a sua posse per</w:t>
      </w:r>
    </w:p>
    <w:p>
      <w:pPr>
        <w:ind w:left="432"/>
      </w:pPr>
      <w:r>
        <w:rPr>
          <w:color w:val="003366"/>
          <w:sz w:val="18"/>
        </w:rPr>
        <w:t>§ 3 O aproveitamento dos recursos hídricos, incluídos os potenciais energéticos,</w:t>
      </w:r>
    </w:p>
    <w:p>
      <w:pPr>
        <w:ind w:left="432"/>
      </w:pPr>
      <w:r>
        <w:rPr>
          <w:color w:val="003366"/>
          <w:sz w:val="18"/>
        </w:rPr>
        <w:t>§ 4 As terras de que trata este artigo são inalienáveis e indisponíveis, e os di</w:t>
      </w:r>
    </w:p>
    <w:p>
      <w:pPr>
        <w:ind w:left="432"/>
      </w:pPr>
      <w:r>
        <w:rPr>
          <w:color w:val="003366"/>
          <w:sz w:val="18"/>
        </w:rPr>
        <w:t>§ 5 É vedada a remoção dos grupos indígenas de suas terras, salvo, &amp;quot;ad refe</w:t>
      </w:r>
    </w:p>
    <w:p>
      <w:pPr>
        <w:ind w:left="432"/>
      </w:pPr>
      <w:r>
        <w:rPr>
          <w:color w:val="003366"/>
          <w:sz w:val="18"/>
        </w:rPr>
        <w:t>§ 6 São nulos e extintos, não produzindo efeitos jurídicos, os atos que tenham p</w:t>
      </w:r>
    </w:p>
    <w:p>
      <w:pPr>
        <w:ind w:left="432"/>
      </w:pPr>
      <w:r>
        <w:rPr>
          <w:color w:val="003366"/>
          <w:sz w:val="18"/>
        </w:rPr>
        <w:t>§ 7 Não se aplica às terras indígenas o disposto no art. 174, § 3º e § 4º.</w:t>
      </w:r>
    </w:p>
    <w:p>
      <w:r>
        <w:rPr>
          <w:b/>
          <w:color w:val="003366"/>
          <w:sz w:val="20"/>
        </w:rPr>
        <w:t>Art. 232 Os índios, suas comunidades e organizações são partes legítimas para in</w:t>
      </w:r>
      <w:r>
        <w:rPr>
          <w:color w:val="8C8C8C"/>
          <w:sz w:val="14"/>
        </w:rPr>
        <w:t xml:space="preserve">  [36 decisoes]</w:t>
      </w:r>
    </w:p>
    <w:p>
      <w:pPr>
        <w:ind w:left="144"/>
      </w:pPr>
      <w:r>
        <w:rPr>
          <w:b/>
          <w:color w:val="B45A00"/>
          <w:sz w:val="16"/>
        </w:rPr>
        <w:t>CONTROLE CONCENTRADO</w:t>
      </w:r>
    </w:p>
    <w:p>
      <w:pPr>
        <w:ind w:left="288"/>
      </w:pPr>
      <w:r>
        <w:rPr>
          <w:color w:val="8C8C8C"/>
          <w:sz w:val="12"/>
        </w:rPr>
        <w:t>cf-art-232</w:t>
      </w:r>
      <w:r>
        <w:rPr>
          <w:color w:val="003CA0"/>
          <w:sz w:val="12"/>
        </w:rPr>
        <w:t xml:space="preserve"> | ADPF 991</w:t>
      </w:r>
      <w:r>
        <w:rPr>
          <w:color w:val="003CA0"/>
          <w:sz w:val="12"/>
        </w:rPr>
        <w:t xml:space="preserve"> | rel. Edson Fachin</w:t>
      </w:r>
    </w:p>
    <w:p>
      <w:pPr>
        <w:ind w:left="288"/>
      </w:pPr>
      <w:r>
        <w:rPr>
          <w:color w:val="1E1E1E"/>
          <w:sz w:val="18"/>
        </w:rPr>
        <w:t>A jurisprudência do Supremo Tribunal Federal reconhece a legitimidade ativa da Articulação dos Povos Indígenas do Brasil, nos termos do art. 232 da Constituição da República.</w:t>
        <w:br/>
        <w:t>[ADPF 991 MC-REF, rel. min. Edson Fachin, j. 8-8-2023, P, DJE de 2-10-2023.]</w:t>
      </w:r>
    </w:p>
    <w:p>
      <w:pPr>
        <w:ind w:left="144"/>
      </w:pPr>
      <w:r>
        <w:rPr>
          <w:b/>
          <w:color w:val="B45A00"/>
          <w:sz w:val="16"/>
        </w:rPr>
        <w:t>JULGADOS CORRELATOS</w:t>
      </w:r>
    </w:p>
    <w:p>
      <w:pPr>
        <w:ind w:left="288"/>
      </w:pPr>
      <w:r>
        <w:rPr>
          <w:color w:val="8C8C8C"/>
          <w:sz w:val="12"/>
        </w:rPr>
        <w:t>cf-art-232</w:t>
      </w:r>
      <w:r>
        <w:rPr>
          <w:color w:val="003CA0"/>
          <w:sz w:val="12"/>
        </w:rPr>
        <w:t xml:space="preserve"> | PET 3.388</w:t>
      </w:r>
      <w:r>
        <w:rPr>
          <w:color w:val="003CA0"/>
          <w:sz w:val="12"/>
        </w:rPr>
        <w:t xml:space="preserve"> | rel. Ayres Britto</w:t>
      </w:r>
    </w:p>
    <w:p>
      <w:pPr>
        <w:ind w:left="288"/>
      </w:pPr>
      <w:r>
        <w:rPr>
          <w:color w:val="1E1E1E"/>
          <w:sz w:val="18"/>
        </w:rPr>
        <w:t>Os arts. 231 e 232 da CF são de finalidade nitidamente fraternal ou solidária, própria de uma quadra constitucional que se volta para a efetivação de um novo tipo de igualdade: a igualdade civil-moral de minorias, tendo em vista o protovalor da integração comunitária. Era constitucional compensatória de desvantagens historicamente acumuladas, a se viabilizar por mecanismos oficiais de ações afirmativas. No caso, os índios a desfrutar de um espaço fundiário que lhes assegure meios dignos de subsistência econômica para mais eficazmente poderem preservar sua identidade somática, linguística e cul</w:t>
      </w:r>
    </w:p>
    <w:p>
      <w:pPr>
        <w:ind w:left="288"/>
      </w:pPr>
      <w:r>
        <w:rPr>
          <w:b/>
          <w:color w:val="003CA0"/>
          <w:sz w:val="16"/>
        </w:rPr>
        <w:t>[Pet 3.388, rel. min. Ayres Britto, j. 19-3-2009, P, DJE de 1º-7-2010.]</w:t>
      </w:r>
    </w:p>
    <w:p>
      <w:pPr>
        <w:ind w:left="288"/>
      </w:pPr>
      <w:r>
        <w:rPr>
          <w:color w:val="8C8C8C"/>
          <w:sz w:val="12"/>
        </w:rPr>
        <w:t>cf-art-232-par-unico-inc-V</w:t>
      </w:r>
    </w:p>
    <w:p>
      <w:pPr>
        <w:ind w:left="288"/>
      </w:pPr>
      <w:r>
        <w:rPr>
          <w:color w:val="1E1E1E"/>
          <w:sz w:val="18"/>
        </w:rPr>
        <w:t>§ 14. O segurado somente terá reconhecida como tempo de contribuição ao Regime Geral de Previdência Social a competência cuja contribuição seja igual ou superior à contribuição mínima mensal exigida para sua categoria, assegurado o agrupamento de contribuições. (Incluído pela EC 103/2019) § 15. A contribuição prevista no inciso V do caput poderá ter sua alíquota fixada em lei ordinária. (Incluído pela EC n. 132/2023) § 16. Aplica-se à contribuição prevista no inciso V do caput o disposto no art. 156-A, § 1º, I a VI, VIII, X a XIII, § 3º, § 5º, II a VI e IX, e §§ 6º a 11 e 13. (Incluído pela EC</w:t>
      </w:r>
    </w:p>
    <w:p>
      <w:pPr>
        <w:ind w:left="144"/>
      </w:pPr>
      <w:r>
        <w:rPr>
          <w:b/>
          <w:color w:val="B45A00"/>
          <w:sz w:val="16"/>
        </w:rPr>
        <w:t>CONTROLE CONCENTRADO</w:t>
      </w:r>
    </w:p>
    <w:p>
      <w:pPr>
        <w:ind w:left="288"/>
      </w:pPr>
      <w:r>
        <w:rPr>
          <w:color w:val="8C8C8C"/>
          <w:sz w:val="12"/>
        </w:rPr>
        <w:t>cf-art-232-par-unico-inc-V</w:t>
      </w:r>
      <w:r>
        <w:rPr>
          <w:color w:val="003CA0"/>
          <w:sz w:val="12"/>
        </w:rPr>
        <w:t xml:space="preserve"> | ADI 5.554</w:t>
      </w:r>
      <w:r>
        <w:rPr>
          <w:color w:val="003CA0"/>
          <w:sz w:val="12"/>
        </w:rPr>
        <w:t xml:space="preserve"> | rel. Roberto Barroso</w:t>
      </w:r>
    </w:p>
    <w:p>
      <w:pPr>
        <w:ind w:left="288"/>
      </w:pPr>
      <w:r>
        <w:rPr>
          <w:color w:val="1E1E1E"/>
          <w:sz w:val="18"/>
        </w:rPr>
        <w:t>“A EC nº 51/2006, ao prever a admissão de agentes de combate às endemias por processo seletivo público, estabeleceu exceção constitucional à regra do concurso público, cabendo ao legislador ordinário definir o regime jurídico aplicável aos profissionais”.</w:t>
        <w:br/>
        <w:t>[ADI 5.554, rel. min. Roberto Barroso, j. 25-4-2023, P, DJE de 5-5-2023.] § 5º Lei federal disporá sobre o regime jurídico, o piso salarial profissional nacional, as diretrizes para os Planos de Carreira e a regulamentação das atividades de agente comunitário de saúde e agente de combate às endemias, competindo à União, nos termos da lei, pre</w:t>
      </w:r>
    </w:p>
    <w:p>
      <w:pPr>
        <w:ind w:left="144"/>
      </w:pPr>
      <w:r>
        <w:rPr>
          <w:b/>
          <w:color w:val="B45A00"/>
          <w:sz w:val="16"/>
        </w:rPr>
        <w:t>REPERCUSSAO GERAL</w:t>
      </w:r>
    </w:p>
    <w:p>
      <w:pPr>
        <w:ind w:left="288"/>
      </w:pPr>
      <w:r>
        <w:rPr>
          <w:color w:val="8C8C8C"/>
          <w:sz w:val="12"/>
        </w:rPr>
        <w:t>cf-art-232-par-unico-inc-V</w:t>
      </w:r>
      <w:r>
        <w:rPr>
          <w:color w:val="003CA0"/>
          <w:sz w:val="12"/>
        </w:rPr>
        <w:t xml:space="preserve"> | RE 1.279.765</w:t>
      </w:r>
      <w:r>
        <w:rPr>
          <w:color w:val="003CA0"/>
          <w:sz w:val="12"/>
        </w:rPr>
        <w:t xml:space="preserve"> | rel. Alexandre de Moraes</w:t>
      </w:r>
    </w:p>
    <w:p>
      <w:pPr>
        <w:ind w:left="288"/>
      </w:pPr>
      <w:r>
        <w:rPr>
          <w:color w:val="1E1E1E"/>
          <w:sz w:val="18"/>
        </w:rPr>
        <w:t>I - É constitucional a aplicação do piso salarial nacional dos Agentes Comunitários de Saúde e Agentes de Combate às Endemias, instituído pela Lei 12.994/2014, aos servidores estatutários dos entes subnacionais, em consonância com o art. 198, § 5º, da Constituição Federal, com a redação dada pelas Emendas Constitucionais 63/2010 e 120/2022, cabendo à União arcar com os ônus da diferença entre o piso nacional e a legislação do ente municipal; II - Até o advento da Lei 9.646/2022, a expressão ”piso salarial” para os Agentes Comunitários de Saúde e Agentes de Combate às Endemias corresponde à rem</w:t>
      </w:r>
    </w:p>
    <w:p>
      <w:pPr>
        <w:ind w:left="144"/>
      </w:pPr>
      <w:r>
        <w:rPr>
          <w:b/>
          <w:color w:val="B45A00"/>
          <w:sz w:val="16"/>
        </w:rPr>
        <w:t>JULGADOS CORRELATOS</w:t>
      </w:r>
    </w:p>
    <w:p>
      <w:pPr>
        <w:ind w:left="288"/>
      </w:pPr>
      <w:r>
        <w:rPr>
          <w:color w:val="8C8C8C"/>
          <w:sz w:val="12"/>
        </w:rPr>
        <w:t>cf-art-232-par-unico-inc-V</w:t>
      </w:r>
      <w:r>
        <w:rPr>
          <w:color w:val="003CA0"/>
          <w:sz w:val="12"/>
        </w:rPr>
        <w:t xml:space="preserve"> | RE 1.291.684</w:t>
      </w:r>
      <w:r>
        <w:rPr>
          <w:color w:val="003CA0"/>
          <w:sz w:val="12"/>
        </w:rPr>
        <w:t xml:space="preserve"> | rel. Alexandre de Moraes</w:t>
      </w:r>
    </w:p>
    <w:p>
      <w:pPr>
        <w:ind w:left="288"/>
      </w:pPr>
      <w:r>
        <w:rPr>
          <w:color w:val="1E1E1E"/>
          <w:sz w:val="18"/>
        </w:rPr>
        <w:t>A exegese do § 5º do artigo 198 da Constituição Federal, que, na redação da EC 63/2010, atribuiu à lei federal o estabelecimento do piso salarial profissional nacional e diretrizes para os Planos de Carreira de agentes comunitários de saúde e de agentes de combate às endemias, deve ser compatibilizada com os demais princípios constitucionais que ditam a distribuição de competências legislativas, administrativas e tributárias entre União, Estados e Municípios, característica do Pacto Federativo. No caso vertente, o Município de Macapá optou, nos termos do art. 8º da Lei Federal 11.350/2006, por</w:t>
      </w:r>
    </w:p>
    <w:p>
      <w:pPr>
        <w:ind w:left="288"/>
      </w:pPr>
      <w:r>
        <w:rPr>
          <w:b/>
          <w:color w:val="003CA0"/>
          <w:sz w:val="16"/>
        </w:rPr>
        <w:t>[RE 1.291.684 AgR, rel. min. Alexandre de Moraes, j. 15-12-2020, 1ª T, DJE de 11-1-2021.]</w:t>
      </w:r>
    </w:p>
    <w:p>
      <w:pPr>
        <w:ind w:left="288"/>
      </w:pPr>
      <w:r>
        <w:rPr>
          <w:color w:val="8C8C8C"/>
          <w:sz w:val="12"/>
        </w:rPr>
        <w:t>cf-art-232-par-unico-inc-V</w:t>
      </w:r>
      <w:r>
        <w:rPr>
          <w:color w:val="003CA0"/>
          <w:sz w:val="12"/>
        </w:rPr>
        <w:t xml:space="preserve"> | ARE 1.502.168</w:t>
      </w:r>
      <w:r>
        <w:rPr>
          <w:color w:val="003CA0"/>
          <w:sz w:val="12"/>
        </w:rPr>
        <w:t xml:space="preserve"> | rel. Gilmar Mendes</w:t>
      </w:r>
    </w:p>
    <w:p>
      <w:pPr>
        <w:ind w:left="288"/>
      </w:pPr>
      <w:r>
        <w:rPr>
          <w:color w:val="1E1E1E"/>
          <w:sz w:val="18"/>
        </w:rPr>
        <w:t>§ 6º Além das hipóteses previstas no § 1º do art. 41 e no § 4º do art. 169 da Constituição Federal, o servidor que exerça funções equivalentes às de agente comunitário de saúde ou de agente de combate às endemias poderá perder o cargo em caso de descumprimento dos requisitos específicos, fixados em lei, para o seu exercício. (Incluído pela EC 51/2006) § 7º O vencimento dos agentes comunitários de saúde e dos agentes de combate às endemias fica sob responsabilidade da União, e cabe aos Estados, ao Distrito Federal e aos Municípios estabelecer, além de outros consectários e vantagens, incentivos</w:t>
      </w:r>
    </w:p>
    <w:p>
      <w:pPr>
        <w:ind w:left="288"/>
      </w:pPr>
      <w:r>
        <w:rPr>
          <w:b/>
          <w:color w:val="003CA0"/>
          <w:sz w:val="16"/>
        </w:rPr>
        <w:t>[ARE 1.502.168 AgR-ED, rel. min. Gilmar Mendes, j. 27.10.2025, 2ª T, DJE de 29.10.2025.]</w:t>
      </w:r>
    </w:p>
    <w:p>
      <w:pPr>
        <w:ind w:left="288"/>
      </w:pPr>
      <w:r>
        <w:rPr>
          <w:color w:val="8C8C8C"/>
          <w:sz w:val="12"/>
        </w:rPr>
        <w:t>cf-art-232-par-9</w:t>
      </w:r>
      <w:r>
        <w:rPr>
          <w:color w:val="003CA0"/>
          <w:sz w:val="12"/>
        </w:rPr>
        <w:t xml:space="preserve"> | ARE 1.511.934</w:t>
      </w:r>
      <w:r>
        <w:rPr>
          <w:color w:val="003CA0"/>
          <w:sz w:val="12"/>
        </w:rPr>
        <w:t xml:space="preserve"> | rel. Luís Roberto Barroso</w:t>
      </w:r>
    </w:p>
    <w:p>
      <w:pPr>
        <w:ind w:left="288"/>
      </w:pPr>
      <w:r>
        <w:rPr>
          <w:color w:val="1E1E1E"/>
          <w:sz w:val="18"/>
        </w:rPr>
        <w:t>“É infraconstitucional e fática a controvérsia sobre o direito de Agente de Saúde Pública ao piso salarial de Agentes Comunitários de Saúde e Agentes de Combate às Endemias previsto no § 9º do art. 198 da Constituição”.</w:t>
      </w:r>
    </w:p>
    <w:p>
      <w:pPr>
        <w:ind w:left="288"/>
      </w:pPr>
      <w:r>
        <w:rPr>
          <w:b/>
          <w:color w:val="003CA0"/>
          <w:sz w:val="16"/>
        </w:rPr>
        <w:t>[ARE 1.511.934 RG, rel. min. Luís Roberto Barroso, j. 11.10.2024, P, DJE de 16.10.2024, Tema 1.334, com repercussão geral negada.]</w:t>
      </w:r>
    </w:p>
    <w:p>
      <w:pPr>
        <w:ind w:left="144"/>
      </w:pPr>
      <w:r>
        <w:rPr>
          <w:b/>
          <w:color w:val="B45A00"/>
          <w:sz w:val="16"/>
        </w:rPr>
        <w:t>REPERCUSSAO GERAL</w:t>
      </w:r>
    </w:p>
    <w:p>
      <w:pPr>
        <w:ind w:left="288"/>
      </w:pPr>
      <w:r>
        <w:rPr>
          <w:color w:val="8C8C8C"/>
          <w:sz w:val="12"/>
        </w:rPr>
        <w:t>cf-art-232-par-9</w:t>
      </w:r>
      <w:r>
        <w:rPr>
          <w:color w:val="003CA0"/>
          <w:sz w:val="12"/>
        </w:rPr>
        <w:t xml:space="preserve"> | RE 1.279.765</w:t>
      </w:r>
      <w:r>
        <w:rPr>
          <w:color w:val="003CA0"/>
          <w:sz w:val="12"/>
        </w:rPr>
        <w:t xml:space="preserve"> | rel. Alexandre de Moraes</w:t>
      </w:r>
    </w:p>
    <w:p>
      <w:pPr>
        <w:ind w:left="288"/>
      </w:pPr>
      <w:r>
        <w:rPr>
          <w:color w:val="1E1E1E"/>
          <w:sz w:val="18"/>
        </w:rPr>
        <w:t>I - É constitucional a aplicação do piso salarial nacional dos Agentes Comunitários de Saúde e Agentes de Combate às Endemias, instituído pela Lei 12.994/2014, aos servidores estatutários dos entes subnacionais, em consonância com o art. 198, § 5º, da Constituição Federal, com a redação dada pelas Emendas Constitucionais 63/2010 e 120/2022, cabendo à União arcar com os ônus da diferença entre o piso nacional e a legislação do ente municipal; II - Até o advento da Lei 9.646/2022, a expressão ”piso salarial” para os Agentes Comunitários de Saúde e Agentes de Combate às Endemias corresponde à rem</w:t>
      </w:r>
    </w:p>
    <w:p>
      <w:pPr>
        <w:ind w:left="288"/>
      </w:pPr>
      <w:r>
        <w:rPr>
          <w:b/>
          <w:color w:val="003CA0"/>
          <w:sz w:val="16"/>
        </w:rPr>
        <w:t>[RE 1.279.765, rel. min. Alexandre de Moraes, j. 19-10-2023, P, DJE de 19-2-2024, Tema 1.132, com mérito julgado.]</w:t>
      </w:r>
    </w:p>
    <w:p>
      <w:pPr>
        <w:ind w:left="288"/>
      </w:pPr>
      <w:r>
        <w:rPr>
          <w:color w:val="8C8C8C"/>
          <w:sz w:val="12"/>
        </w:rPr>
        <w:t>cf-art-232-par-9</w:t>
      </w:r>
      <w:r>
        <w:rPr>
          <w:color w:val="003CA0"/>
          <w:sz w:val="12"/>
        </w:rPr>
        <w:t xml:space="preserve"> | ARE 1.502.168</w:t>
      </w:r>
      <w:r>
        <w:rPr>
          <w:color w:val="003CA0"/>
          <w:sz w:val="12"/>
        </w:rPr>
        <w:t xml:space="preserve"> | rel. Gilmar Mendes</w:t>
      </w:r>
    </w:p>
    <w:p>
      <w:pPr>
        <w:ind w:left="288"/>
      </w:pPr>
      <w:r>
        <w:rPr>
          <w:color w:val="1E1E1E"/>
          <w:sz w:val="18"/>
        </w:rPr>
        <w:t xml:space="preserve">§ 10. Os agentes comunitários de saúde e os agentes de combate às endemias terão também, em razão dos riscos inerentes às funções desempenhadas, aposentadoria especial e, somado aos seus vencimentos, adicional de insalubridade. (Incluído pela EC n. 120/22) A decisão embargada examinou de forma clara e suficiente a controvérsia, assentando que a previsão do adicional de insalubridade aos agentes comunitários de saúde e de combate às endemias demanda regulamentação legislativa para especificar a responsabilidade pelo custeio, não cabendo ao Judiciário impor encargo financeiro direto à União sem </w:t>
      </w:r>
    </w:p>
    <w:p>
      <w:pPr>
        <w:ind w:left="288"/>
      </w:pPr>
      <w:r>
        <w:rPr>
          <w:b/>
          <w:color w:val="003CA0"/>
          <w:sz w:val="16"/>
        </w:rPr>
        <w:t>[ARE 1.502.168 AgR-ED, rel. min. Gilmar Mendes, j. 27.10.2025, 2ª T, DJE de 29.10.2025.]</w:t>
      </w:r>
    </w:p>
    <w:p>
      <w:pPr>
        <w:ind w:left="288"/>
      </w:pPr>
      <w:r>
        <w:rPr>
          <w:color w:val="8C8C8C"/>
          <w:sz w:val="12"/>
        </w:rPr>
        <w:t>cf-art-232-par-9</w:t>
      </w:r>
    </w:p>
    <w:p>
      <w:pPr>
        <w:ind w:left="288"/>
      </w:pPr>
      <w:r>
        <w:rPr>
          <w:color w:val="1E1E1E"/>
          <w:sz w:val="18"/>
        </w:rPr>
        <w:t xml:space="preserve">§ 11. Os recursos financeiros repassados pela União aos Estados, ao Distrito Federal e aos Municípios para pagamento do vencimento ou de qualquer outra vantagem dos agentes comunitários de saúde e dos agentes de combate às endemias não serão objeto de inclusão no cálculo para fins do limite de despesa com pessoal. (Incluído pela EC n. 120/22) § 12. Lei federal instituirá pisos salariais profissionais nacionais para o enfermeiro, o técnico de enfermagem, o auxiliar de enfermagem e a parteira, a serem observados por pessoas jurídicas de direito público e de direito privado. (Incluído pela EC n. </w:t>
      </w:r>
    </w:p>
    <w:p>
      <w:pPr>
        <w:ind w:left="144"/>
      </w:pPr>
      <w:r>
        <w:rPr>
          <w:b/>
          <w:color w:val="B45A00"/>
          <w:sz w:val="16"/>
        </w:rPr>
        <w:t>CONTROLE CONCENTRADO</w:t>
      </w:r>
    </w:p>
    <w:p>
      <w:pPr>
        <w:ind w:left="288"/>
      </w:pPr>
      <w:r>
        <w:rPr>
          <w:color w:val="8C8C8C"/>
          <w:sz w:val="12"/>
        </w:rPr>
        <w:t>cf-art-232-par-9</w:t>
      </w:r>
      <w:r>
        <w:rPr>
          <w:color w:val="003CA0"/>
          <w:sz w:val="12"/>
        </w:rPr>
        <w:t xml:space="preserve"> | RE 590.415</w:t>
      </w:r>
      <w:r>
        <w:rPr>
          <w:color w:val="003CA0"/>
          <w:sz w:val="12"/>
        </w:rPr>
        <w:t xml:space="preserve"> | rel. Luís Roberto Barroso; ARE 1.121.633</w:t>
      </w:r>
    </w:p>
    <w:p>
      <w:pPr>
        <w:ind w:left="288"/>
      </w:pPr>
      <w:r>
        <w:rPr>
          <w:color w:val="1E1E1E"/>
          <w:sz w:val="18"/>
        </w:rPr>
        <w:t>Piso salarial dos profissionais de enfermagem. Assistência financeira da União. Referendo à revogação parcial da medida cautelar. (...) À vista do exposto, revogou-se parcialmente a cautelar concedida, a fim de que sejam restabelecidos os efeitos da Lei nº 14.434/2022, com exceção da expressão “acordos, contratos e convenções coletivas” constante do seu art. 2º, § 2º, para que seja implementado o piso salarial nacional por ela instituído, nos seguintes termos: (i) em relação aos servidores públicos civis da União, autarquias e fundações públicas federais, a implementação do piso salarial nacio</w:t>
      </w:r>
    </w:p>
    <w:p>
      <w:pPr>
        <w:ind w:left="288"/>
      </w:pPr>
      <w:r>
        <w:rPr>
          <w:color w:val="8C8C8C"/>
          <w:sz w:val="12"/>
        </w:rPr>
        <w:t>cf-art-232-par-9</w:t>
      </w:r>
      <w:r>
        <w:rPr>
          <w:color w:val="003CA0"/>
          <w:sz w:val="12"/>
        </w:rPr>
        <w:t xml:space="preserve"> | ADI 7.222</w:t>
      </w:r>
      <w:r>
        <w:rPr>
          <w:color w:val="003CA0"/>
          <w:sz w:val="12"/>
        </w:rPr>
        <w:t xml:space="preserve"> | rel. Roberto Barroso</w:t>
      </w:r>
    </w:p>
    <w:p>
      <w:pPr>
        <w:ind w:left="288"/>
      </w:pPr>
      <w:r>
        <w:rPr>
          <w:color w:val="1E1E1E"/>
          <w:sz w:val="18"/>
        </w:rPr>
        <w:t>Piso salarial dos profissionais de enfermagem. Assistência financeira da União. Referendo à revogação parcial da medida cautelar. (...) À vista do exposto, revogou-se parcialmente a cautelar concedida, a fim de que sejam restabelecidos os efeitos da Lei nº 14.434/2022, com exceção da expressão “acordos, contratos e convenções coletivas” constante do seu art. 2º, § 2º, para que seja implementado o piso salarial nacional por ela instituído, nos seguintes termos: (...) (ii) em relação aos servidores públicos dos Estados, Distrito Federal, Municípios e de suas autarquias, bem como aos profissionai</w:t>
      </w:r>
    </w:p>
    <w:p>
      <w:pPr>
        <w:ind w:left="288"/>
      </w:pPr>
      <w:r>
        <w:rPr>
          <w:color w:val="8C8C8C"/>
          <w:sz w:val="12"/>
        </w:rPr>
        <w:t>cf-art-232-par-9-inc-I</w:t>
      </w:r>
    </w:p>
    <w:p>
      <w:pPr>
        <w:ind w:left="288"/>
      </w:pPr>
      <w:r>
        <w:rPr>
          <w:color w:val="1E1E1E"/>
          <w:sz w:val="18"/>
        </w:rPr>
        <w:t>II - cujas atividades sejam exercidas com efetiva exposição a agentes químicos, físicos e biológicos prejudiciais à saúde, ou associação desses agentes, vedada a caracterização por categoria profissional ou ocupação. (Incluído pela EC 103/2019)</w:t>
      </w:r>
    </w:p>
    <w:p>
      <w:pPr>
        <w:ind w:left="144"/>
      </w:pPr>
      <w:r>
        <w:rPr>
          <w:b/>
          <w:color w:val="B45A00"/>
          <w:sz w:val="16"/>
        </w:rPr>
        <w:t>REPERCUSSAO GERAL</w:t>
      </w:r>
    </w:p>
    <w:p>
      <w:pPr>
        <w:ind w:left="288"/>
      </w:pPr>
      <w:r>
        <w:rPr>
          <w:color w:val="8C8C8C"/>
          <w:sz w:val="12"/>
        </w:rPr>
        <w:t>cf-art-232-par-9-inc-I</w:t>
      </w:r>
      <w:r>
        <w:rPr>
          <w:color w:val="003CA0"/>
          <w:sz w:val="12"/>
        </w:rPr>
        <w:t xml:space="preserve"> | ARE 664.335</w:t>
      </w:r>
      <w:r>
        <w:rPr>
          <w:color w:val="003CA0"/>
          <w:sz w:val="12"/>
        </w:rPr>
        <w:t xml:space="preserve"> | rel. Luiz Fux</w:t>
      </w:r>
    </w:p>
    <w:p>
      <w:pPr>
        <w:ind w:left="288"/>
      </w:pPr>
      <w:r>
        <w:rPr>
          <w:color w:val="1E1E1E"/>
          <w:sz w:val="18"/>
        </w:rPr>
        <w:t>Aposentadoria especial. Art. 201, § 1º, da Constituição da República. Requisitos de caracterização. Tempo de serviço prestado sob condições nocivas. Fornecimento de Equipamento de Proteção Individual (EPI). (...) A interpretação do instituto da aposentadoria especial mais consentânea com o texto constitucional é aquela que conduz a uma proteção efetiva do trabalhador, considerando o benefício da aposentadoria especial excepcional, destinado ao segurado que efetivamente exerceu suas atividades laborativas em "condições especiais que prejudiquem a saúde ou a integridade física". Consectariamente</w:t>
      </w:r>
    </w:p>
    <w:p>
      <w:pPr>
        <w:ind w:left="288"/>
      </w:pPr>
      <w:r>
        <w:rPr>
          <w:b/>
          <w:color w:val="003CA0"/>
          <w:sz w:val="16"/>
        </w:rPr>
        <w:t>[ARE 664.335, rel. min. Luiz Fux, j. 4-12-2014, P, DJE de 12-2-2015, Tema 555, com mérito julgado.]</w:t>
      </w:r>
    </w:p>
    <w:p>
      <w:pPr>
        <w:ind w:left="288"/>
      </w:pPr>
      <w:r>
        <w:rPr>
          <w:color w:val="8C8C8C"/>
          <w:sz w:val="12"/>
        </w:rPr>
        <w:t>cf-art-232-par-9-inc-I</w:t>
      </w:r>
    </w:p>
    <w:p>
      <w:pPr>
        <w:ind w:left="288"/>
      </w:pPr>
      <w:r>
        <w:rPr>
          <w:color w:val="1E1E1E"/>
          <w:sz w:val="18"/>
        </w:rPr>
        <w:t>§ 9º-A. O tempo de serviço militar exercido nas atividades de que tratam os arts. 42, 142 e 143 e o tempo de contribuição ao Regime Geral de Previdência Social ou a regime próprio de previdência social terão contagem recíproca para fins de inativação militar ou aposentadoria, e a compensação financeira será devida entre as receitas de contribuição referentes aos militares e as receitas de contribuição aos demais regimes. (Incluído pela EC 103/2019) § 13. A aposentadoria concedida ao segurado de que trata o § 12 terá valor de 1 (um) salário-mínimo. (Redação da EC 103/2019) § 14. É vedada a cont</w:t>
      </w:r>
    </w:p>
    <w:p>
      <w:pPr>
        <w:ind w:left="144"/>
      </w:pPr>
      <w:r>
        <w:rPr>
          <w:b/>
          <w:color w:val="B45A00"/>
          <w:sz w:val="16"/>
        </w:rPr>
        <w:t>CONTROLE CONCENTRADO</w:t>
      </w:r>
    </w:p>
    <w:p>
      <w:pPr>
        <w:ind w:left="288"/>
      </w:pPr>
      <w:r>
        <w:rPr>
          <w:color w:val="8C8C8C"/>
          <w:sz w:val="12"/>
        </w:rPr>
        <w:t>cf-art-232-par-9-inc-VIII</w:t>
      </w:r>
      <w:r>
        <w:rPr>
          <w:color w:val="003CA0"/>
          <w:sz w:val="12"/>
        </w:rPr>
        <w:t xml:space="preserve"> | ADI 4.848</w:t>
      </w:r>
      <w:r>
        <w:rPr>
          <w:color w:val="003CA0"/>
          <w:sz w:val="12"/>
        </w:rPr>
        <w:t xml:space="preserve"> | rel. Roberto Barroso</w:t>
      </w:r>
    </w:p>
    <w:p>
      <w:pPr>
        <w:ind w:left="288"/>
      </w:pPr>
      <w:r>
        <w:rPr>
          <w:color w:val="1E1E1E"/>
          <w:sz w:val="18"/>
        </w:rPr>
        <w:t>É constitucional a norma federal que prevê a forma de atualização do piso nacional do magistério da educação básica.</w:t>
      </w:r>
    </w:p>
    <w:p>
      <w:pPr>
        <w:ind w:left="288"/>
      </w:pPr>
      <w:r>
        <w:rPr>
          <w:b/>
          <w:color w:val="003CA0"/>
          <w:sz w:val="16"/>
        </w:rPr>
        <w:t>[ADI 4.848, rel. min. Roberto Barroso, j. 1º-3-2021, P, DJE de 5-5-2021.]</w:t>
      </w:r>
    </w:p>
    <w:p>
      <w:pPr>
        <w:ind w:left="288"/>
      </w:pPr>
      <w:r>
        <w:rPr>
          <w:color w:val="8C8C8C"/>
          <w:sz w:val="12"/>
        </w:rPr>
        <w:t>cf-art-232-par-9-inc-VIII</w:t>
      </w:r>
      <w:r>
        <w:rPr>
          <w:color w:val="003CA0"/>
          <w:sz w:val="12"/>
        </w:rPr>
        <w:t xml:space="preserve"> | ADI 4.167</w:t>
      </w:r>
      <w:r>
        <w:rPr>
          <w:color w:val="003CA0"/>
          <w:sz w:val="12"/>
        </w:rPr>
        <w:t xml:space="preserve"> | rel. Joaquim Barbosa</w:t>
      </w:r>
    </w:p>
    <w:p>
      <w:pPr>
        <w:ind w:left="288"/>
      </w:pPr>
      <w:r>
        <w:rPr>
          <w:color w:val="1E1E1E"/>
          <w:sz w:val="18"/>
        </w:rPr>
        <w:t>A Lei 11.738/2008 passou a ser aplicável a partir de 27-4-2011, data do julgamento de mérito desta ação direta de inconstitucionalidade e em que declarada a constitucionalidade do piso dos professores da educação básica. Aplicação do art. 27 da Lei 9.868/2001. Não cabe estender o prazo de adaptação fixado pela lei nem fixar regras específicas de reforço do custeio devido pela União. Matéria que deve ser apresentada a tempo e modo próprios aos órgãos competentes. Correções de erros materiais. (...) Recursos de embargos de declaração interpostos pelos Estados do Rio Grande do Sul, Ceará, Santa C</w:t>
      </w:r>
    </w:p>
    <w:p>
      <w:pPr>
        <w:ind w:left="288"/>
      </w:pPr>
      <w:r>
        <w:rPr>
          <w:b/>
          <w:color w:val="003CA0"/>
          <w:sz w:val="16"/>
        </w:rPr>
        <w:t>[ADI 4.167 ED-AgR, rel. min. Joaquim Barbosa, j. 27-2-2013, P, DJE de 9-10-2013.]</w:t>
      </w:r>
    </w:p>
    <w:p>
      <w:pPr>
        <w:ind w:left="288"/>
      </w:pPr>
      <w:r>
        <w:rPr>
          <w:color w:val="8C8C8C"/>
          <w:sz w:val="12"/>
        </w:rPr>
        <w:t>cf-art-232-par-9-inc-VIII</w:t>
      </w:r>
      <w:r>
        <w:rPr>
          <w:color w:val="003CA0"/>
          <w:sz w:val="12"/>
        </w:rPr>
        <w:t xml:space="preserve"> | ADI 4.167</w:t>
      </w:r>
      <w:r>
        <w:rPr>
          <w:color w:val="003CA0"/>
          <w:sz w:val="12"/>
        </w:rPr>
        <w:t xml:space="preserve"> | rel. Joaquim Barbosa</w:t>
      </w:r>
    </w:p>
    <w:p>
      <w:pPr>
        <w:ind w:left="288"/>
      </w:pPr>
      <w:r>
        <w:rPr>
          <w:color w:val="1E1E1E"/>
          <w:sz w:val="18"/>
        </w:rPr>
        <w:t>Pacto federativo e repartição de competência. Piso nacional para os professores da educação básica. (...) É constitucional a norma geral federal que fixou o piso salarial dos professores do ensino médio com base no vencimento, e não na remuneração global. Competência da União para dispor sobre normas gerais relativas ao piso de vencimento dos professores da educação básica, de modo a utilizá-lo como mecanismo de fomento ao sistema educacional e de valorização profissional, e não apenas como instrumento de proteção mínima ao trabalhador. É constitucional a norma geral federal que reserva o perc</w:t>
      </w:r>
    </w:p>
    <w:p>
      <w:pPr>
        <w:ind w:left="288"/>
      </w:pPr>
      <w:r>
        <w:rPr>
          <w:b/>
          <w:color w:val="003CA0"/>
          <w:sz w:val="16"/>
        </w:rPr>
        <w:t>[ADI 4.167, rel. min. Joaquim Barbosa, j. 27-4-2011, P, DJE de 24-8-2011.]</w:t>
      </w:r>
    </w:p>
    <w:p>
      <w:pPr>
        <w:ind w:left="288"/>
      </w:pPr>
      <w:r>
        <w:rPr>
          <w:color w:val="8C8C8C"/>
          <w:sz w:val="12"/>
        </w:rPr>
        <w:t>cf-art-232-par-9-inc-VIII</w:t>
      </w:r>
      <w:r>
        <w:rPr>
          <w:color w:val="003CA0"/>
          <w:sz w:val="12"/>
        </w:rPr>
        <w:t xml:space="preserve"> | ADI 4.167</w:t>
      </w:r>
      <w:r>
        <w:rPr>
          <w:color w:val="003CA0"/>
          <w:sz w:val="12"/>
        </w:rPr>
        <w:t xml:space="preserve"> | rel. Joaquim Barbosa</w:t>
      </w:r>
    </w:p>
    <w:p>
      <w:pPr>
        <w:ind w:left="288"/>
      </w:pPr>
      <w:r>
        <w:rPr>
          <w:color w:val="1E1E1E"/>
          <w:sz w:val="18"/>
        </w:rPr>
        <w:t>Vide ADI 4.167 ED-AgR, rel. min. Joaquim Barbosa, j. 27-2-2013, P, DJE de 9-10-2013</w:t>
      </w:r>
    </w:p>
    <w:p>
      <w:pPr>
        <w:ind w:left="144"/>
      </w:pPr>
      <w:r>
        <w:rPr>
          <w:b/>
          <w:color w:val="B45A00"/>
          <w:sz w:val="16"/>
        </w:rPr>
        <w:t>REPERCUSSAO GERAL</w:t>
      </w:r>
    </w:p>
    <w:p>
      <w:pPr>
        <w:ind w:left="288"/>
      </w:pPr>
      <w:r>
        <w:rPr>
          <w:color w:val="8C8C8C"/>
          <w:sz w:val="12"/>
        </w:rPr>
        <w:t>cf-art-232-par-9-inc-VIII</w:t>
      </w:r>
      <w:r>
        <w:rPr>
          <w:color w:val="003CA0"/>
          <w:sz w:val="12"/>
        </w:rPr>
        <w:t xml:space="preserve"> | RE 936.790</w:t>
      </w:r>
    </w:p>
    <w:p>
      <w:pPr>
        <w:ind w:left="288"/>
      </w:pPr>
      <w:r>
        <w:rPr>
          <w:color w:val="1E1E1E"/>
          <w:sz w:val="18"/>
        </w:rPr>
        <w:t>É dever do Estado reconhecer e valorizar as atividades extraclasse, pois indispensáveis ao direito à educação, orientado ao pleno desenvolvimento da pessoa, seu preparo para o exercício da cidadania e sua qualificação para o trabalho, nos termos do art. 205, CRFB. A divisão da jornada de trabalho dos profissionais da educação escolar pública entre atividades de docência e de apoio à docência é pressuposto necessário para fixação da remuneração de tais profissionais. A Constituição da República autoriza a norma geral federal a estabelecer o piso salarial profissional aos professores, nos termos</w:t>
      </w:r>
    </w:p>
    <w:p>
      <w:pPr>
        <w:ind w:left="288"/>
      </w:pPr>
      <w:r>
        <w:rPr>
          <w:b/>
          <w:color w:val="003CA0"/>
          <w:sz w:val="16"/>
        </w:rPr>
        <w:t>[RE 936.790, red. do ac. min. Edson Fachin, j. 29-5-2020, P, DJE de 29-7-2020, Tema 958, com mérito julgado.]</w:t>
      </w:r>
    </w:p>
    <w:p>
      <w:pPr>
        <w:ind w:left="288"/>
      </w:pPr>
      <w:r>
        <w:rPr>
          <w:color w:val="8C8C8C"/>
          <w:sz w:val="12"/>
        </w:rPr>
        <w:t>cf-art-232-par-6</w:t>
      </w:r>
    </w:p>
    <w:p>
      <w:pPr>
        <w:ind w:left="288"/>
      </w:pPr>
      <w:r>
        <w:rPr>
          <w:color w:val="1E1E1E"/>
          <w:sz w:val="18"/>
        </w:rPr>
        <w:t>§ 7º O padrão mínimo de qualidade de que trata o § 1º deste artigo considerará as condições adequadas de oferta e terá como referência o Custo Aluno Qualidade (CAQ), pactuados em regime de colaboração na forma disposta em lei complementar, conforme o parágrafo único do art. 23 desta Constituição. (Incluído pela EC n. 108/2020)</w:t>
      </w:r>
    </w:p>
    <w:p>
      <w:pPr>
        <w:ind w:left="144"/>
      </w:pPr>
      <w:r>
        <w:rPr>
          <w:b/>
          <w:color w:val="B45A00"/>
          <w:sz w:val="16"/>
        </w:rPr>
        <w:t>CONTROLE CONCENTRADO</w:t>
      </w:r>
    </w:p>
    <w:p>
      <w:pPr>
        <w:ind w:left="288"/>
      </w:pPr>
      <w:r>
        <w:rPr>
          <w:color w:val="8C8C8C"/>
          <w:sz w:val="12"/>
        </w:rPr>
        <w:t>cf-art-232-par-6</w:t>
      </w:r>
      <w:r>
        <w:rPr>
          <w:color w:val="003CA0"/>
          <w:sz w:val="12"/>
        </w:rPr>
        <w:t xml:space="preserve"> | ADPF 188</w:t>
      </w:r>
      <w:r>
        <w:rPr>
          <w:color w:val="003CA0"/>
          <w:sz w:val="12"/>
        </w:rPr>
        <w:t xml:space="preserve"> | rel. Edson Fachin</w:t>
      </w:r>
    </w:p>
    <w:p>
      <w:pPr>
        <w:ind w:left="288"/>
      </w:pPr>
      <w:r>
        <w:rPr>
          <w:color w:val="1E1E1E"/>
          <w:sz w:val="18"/>
        </w:rPr>
        <w:t>À luz da Emenda Constitucional 53/2006, é incompatível com a ordem constitucional vigente a adoção, para fins de repartição das quotas estaduais referentes ao salário-educação, do critério legal de unidade federada em que realizada a arrecadação desse tributo, devendo-se observar unicamente o parâmetro quantitativo de alunos matriculados no sistema de educação básica.</w:t>
        <w:br/>
        <w:t>[ADPF 188, rel. min. Edson Fachin, j. 15-6-2022, P, DJE de 22-9-2022.]</w:t>
      </w:r>
    </w:p>
    <w:p>
      <w:pPr>
        <w:ind w:left="288"/>
      </w:pPr>
      <w:r>
        <w:rPr>
          <w:color w:val="8C8C8C"/>
          <w:sz w:val="12"/>
        </w:rPr>
        <w:t>cf-art-232-par-7</w:t>
      </w:r>
    </w:p>
    <w:p>
      <w:pPr>
        <w:ind w:left="288"/>
      </w:pPr>
      <w:r>
        <w:rPr>
          <w:color w:val="1E1E1E"/>
          <w:sz w:val="18"/>
        </w:rPr>
        <w:t>§ 8º Na hipótese de extinção ou de substituição de impostos, serão redefinidos os percentuais referidos no caput deste artigo e no inciso II do caput do art. 212-A, de modo que resultem recursos vinculados à manutenção e ao desenvolvimento do ensino, bem como os recursos subvinculados aos fundos de que trata o art. 212-A desta Constituição, em aplicações equivalentes às anteriormente praticadas. (Incluído pela EC n. 108/2020)</w:t>
      </w:r>
    </w:p>
    <w:p>
      <w:pPr>
        <w:ind w:left="288"/>
      </w:pPr>
      <w:r>
        <w:rPr>
          <w:color w:val="8C8C8C"/>
          <w:sz w:val="12"/>
        </w:rPr>
        <w:t>cf-art-232-par-9</w:t>
      </w:r>
    </w:p>
    <w:p>
      <w:pPr>
        <w:ind w:left="288"/>
      </w:pPr>
      <w:r>
        <w:rPr>
          <w:color w:val="1E1E1E"/>
          <w:sz w:val="18"/>
        </w:rPr>
        <w:t>Art. 212-A. Os Estados, o Distrito Federal e os Municípios destinarão parte dos recursos a que se refere o caput do art. 212 desta Constituição à manutenção e ao desenvolvimento do ensino na educação básica e à remuneração condigna de seus profissionais, respeitadas as seguintes disposições: (Incluído pela EC n. 108/2020) I - a distribuição dos recursos e de responsabilidades entre o Distrito Federal, os Estados e seus Municípios é assegurada mediante a instituição, no âmbito de cada Estado e do Distrito Federal, de um Fundo de Manutenção e Desenvolvimento da Educação Básica e de Valorização d</w:t>
      </w:r>
    </w:p>
    <w:p>
      <w:pPr>
        <w:ind w:left="288"/>
      </w:pPr>
      <w:r>
        <w:rPr>
          <w:color w:val="8C8C8C"/>
          <w:sz w:val="12"/>
        </w:rPr>
        <w:t>cf-art-232-par-9-inc-II-ali-b</w:t>
      </w:r>
    </w:p>
    <w:p>
      <w:pPr>
        <w:ind w:left="288"/>
      </w:pPr>
      <w:r>
        <w:rPr>
          <w:color w:val="1E1E1E"/>
          <w:sz w:val="18"/>
        </w:rPr>
        <w:t xml:space="preserve">c) dos recursos a que se referem os incisos I, II e III do caput do art. 155, o inciso II do caput do art. 157, os incisos II, III e IV do caput do art. 158 e as alíneas "a" e "b" do inciso I e o inciso II do caput do art. 159 desta Constituição; (Incluída pela EC n. 132/2023) III - os recursos referidos no inciso II do caput deste artigo serão distribuídos entre cada Estado e seus Municípios, proporcionalmente ao número de alunos das diversas etapas e modalidades da educação básica presencial matriculados nas respectivas redes, nos âmbitos de atuação prioritária, conforme estabelecido nos §§ </w:t>
      </w:r>
    </w:p>
    <w:p>
      <w:pPr>
        <w:ind w:left="288"/>
      </w:pPr>
      <w:r>
        <w:rPr>
          <w:color w:val="8C8C8C"/>
          <w:sz w:val="12"/>
        </w:rPr>
        <w:t>cf-art-232-par-9-inc-IV</w:t>
      </w:r>
    </w:p>
    <w:p>
      <w:pPr>
        <w:ind w:left="288"/>
      </w:pPr>
      <w:r>
        <w:rPr>
          <w:color w:val="1E1E1E"/>
          <w:sz w:val="18"/>
        </w:rPr>
        <w:t>V - a complementação da União será equivalente a, no mínimo, 23% (vinte e três por cento) do total de recursos a que se refere o inciso II do caput deste artigo, distribuída da seguinte forma: (Incluído pela EC n. 108/2020) a) 10 (dez) pontos percentuais no âmbito de cada Estado e do Distrito Federal, sempre que o valor anual por aluno (VAAF), nos termos do inciso III do caput deste artigo, não alcançar o mínimo definido nacionalmente; (Incluído pela EC n. 108/2020) b) no mínimo, 10,5 (dez inteiros e cinco décimos) pontos percentuais em cada rede pública de ensino municipal, estadual ou distri</w:t>
      </w:r>
    </w:p>
    <w:p>
      <w:pPr>
        <w:ind w:left="288"/>
      </w:pPr>
      <w:r>
        <w:rPr>
          <w:color w:val="8C8C8C"/>
          <w:sz w:val="12"/>
        </w:rPr>
        <w:t>cf-art-232-par-9-inc-IV-ali-c</w:t>
      </w:r>
    </w:p>
    <w:p>
      <w:pPr>
        <w:ind w:left="288"/>
      </w:pPr>
      <w:r>
        <w:rPr>
          <w:color w:val="1E1E1E"/>
          <w:sz w:val="18"/>
        </w:rPr>
        <w:t>d) a transparência, o monitoramento, a fiscalização e o controle interno, externo e social dos fundos referidos no inciso I do caput deste artigo, assegurada a criação, a autonomia, a manutenção e a consolidação de conselhos de acompanhamento e controle social, admitida sua integração aos conselhos de educação; (Incluído pela EC n. 108/2020) e) o conteúdo e a periodicidade da avaliação, por parte do órgão responsável, dos efeitos redistributivos, da melhoria dos indicadores educacionais e da ampliação do atendimento; (Incluído pela EC n. 108/2020) XI - proporção não inferior a 70% (setenta por</w:t>
      </w:r>
    </w:p>
    <w:p>
      <w:pPr>
        <w:ind w:left="288"/>
      </w:pPr>
      <w:r>
        <w:rPr>
          <w:color w:val="8C8C8C"/>
          <w:sz w:val="12"/>
        </w:rPr>
        <w:t>cf-art-232-par-9-inc-XII</w:t>
      </w:r>
    </w:p>
    <w:p>
      <w:pPr>
        <w:ind w:left="288"/>
      </w:pPr>
      <w:r>
        <w:rPr>
          <w:color w:val="1E1E1E"/>
          <w:sz w:val="18"/>
        </w:rPr>
        <w:t>XIII - a utilização dos recursos a que se refere o § 5º do art. 212 desta Constituição para a complementação da União ao Fundeb, referida no inciso V do caput deste artigo, é vedada. (Incluído pela EC n. 108/2020) XIV - no exercício de 2025, da complementação de que trata o inciso V do caput , até10% (dez por cento) dos valores de cada uma das modalidades referidas nesse dispositivo poderão ser repassados pela União para ações de fomento à criação de matrículas em tempo integral na educação básica pública, considerados indicadores de atendimento, melhoria da qualidade e redução de desigualdade</w:t>
      </w:r>
    </w:p>
    <w:p>
      <w:pPr>
        <w:ind w:left="288"/>
      </w:pPr>
      <w:r>
        <w:rPr>
          <w:color w:val="8C8C8C"/>
          <w:sz w:val="12"/>
        </w:rPr>
        <w:t>cf-art-232-par-1</w:t>
      </w:r>
    </w:p>
    <w:p>
      <w:pPr>
        <w:ind w:left="288"/>
      </w:pPr>
      <w:r>
        <w:rPr>
          <w:color w:val="1E1E1E"/>
          <w:sz w:val="18"/>
        </w:rPr>
        <w:t>I - receitas de Estados, do Distrito Federal e de Municípios vinculadas à manutenção e ao desenvolvimento do ensino não integrantes dos fundos referidos no inciso I do caput deste artigo; (Incluído pela EC n. 108/2020)</w:t>
      </w:r>
    </w:p>
    <w:p>
      <w:pPr>
        <w:ind w:left="288"/>
      </w:pPr>
      <w:r>
        <w:rPr>
          <w:color w:val="8C8C8C"/>
          <w:sz w:val="12"/>
        </w:rPr>
        <w:t>cf-art-232-par-1-inc-III</w:t>
      </w:r>
    </w:p>
    <w:p>
      <w:pPr>
        <w:ind w:left="288"/>
      </w:pPr>
      <w:r>
        <w:rPr>
          <w:color w:val="1E1E1E"/>
          <w:sz w:val="18"/>
        </w:rPr>
        <w:t>§ 2º Além das ponderações previstas na alínea "a" do inciso X do caput deste artigo, a lei definirá outras relativas ao nível socioeconômico dos educandos e aos indicadores de disponibilidade de recursos vinculados à educação e de potencial de arrecadação tributária de cada ente federado, bem como seus prazos de implementação. (Incluído pela EC n. 108/2020)</w:t>
      </w:r>
    </w:p>
    <w:p>
      <w:pPr>
        <w:ind w:left="288"/>
      </w:pPr>
      <w:r>
        <w:rPr>
          <w:color w:val="8C8C8C"/>
          <w:sz w:val="12"/>
        </w:rPr>
        <w:t>cf-art-232-par-3-inc-V</w:t>
      </w:r>
      <w:r>
        <w:rPr>
          <w:color w:val="003CA0"/>
          <w:sz w:val="12"/>
        </w:rPr>
        <w:t xml:space="preserve"> | ADI 7.232</w:t>
      </w:r>
      <w:r>
        <w:rPr>
          <w:color w:val="003CA0"/>
          <w:sz w:val="12"/>
        </w:rPr>
        <w:t xml:space="preserve"> | rel. Cármen Lúcia</w:t>
      </w:r>
    </w:p>
    <w:p>
      <w:pPr>
        <w:ind w:left="288"/>
      </w:pPr>
      <w:r>
        <w:rPr>
          <w:color w:val="1E1E1E"/>
          <w:sz w:val="18"/>
        </w:rPr>
        <w:t>Art. 216-A. O Sistema Nacional de Cultura, organizado em regime de colaboração, de forma descentralizada e participativa, institui um processo de gestão e promoção conjunta de políticas públicas de cultura, democráticas e permanentes, pactuadas entre os entes da Federação e a sociedade, tendo por objetivo promover o desenvolvimento humano, social e econômico com pleno exercício dos direitos culturais. (Incluído pela EC 71/2012) Tutela provisória incidental. Aprovação, pelo Congresso Nacional, do Projeto de Lei n. 21, pelo Congresso Nacional, após deferimento de medida cautelar pelo Supremo Tri</w:t>
      </w:r>
    </w:p>
    <w:p>
      <w:pPr>
        <w:ind w:left="288"/>
      </w:pPr>
      <w:r>
        <w:rPr>
          <w:b/>
          <w:color w:val="003CA0"/>
          <w:sz w:val="16"/>
        </w:rPr>
        <w:t>[ADI 7.232 TPI-Ref, rel. min. Cármen Lúcia, j. 3.2.2023, P, DJE de 14.4.2023.]</w:t>
      </w:r>
    </w:p>
    <w:p>
      <w:pPr>
        <w:ind w:left="288"/>
      </w:pPr>
      <w:r>
        <w:rPr>
          <w:color w:val="8C8C8C"/>
          <w:sz w:val="12"/>
        </w:rPr>
        <w:t>cf-art-232-par-7</w:t>
      </w:r>
    </w:p>
    <w:p>
      <w:pPr>
        <w:ind w:left="288"/>
      </w:pPr>
      <w:r>
        <w:rPr>
          <w:color w:val="1E1E1E"/>
          <w:sz w:val="18"/>
        </w:rPr>
        <w:t xml:space="preserve">Parágrafo único. O Estado estimulará a formação e o fortalecimento da inovação nas empresas, bem como nos demais entes, públicos ou privados, a constituição e a manutenção de parques e polos tecnológicos e de demais ambientes promotores da inovação, a atuação dos inventores independentes e a criação, absorção, difusão e transferência de tecnologia. (Incluído pela EC 85/2015) Art. 219-A. A União, os Estados, o Distrito Federal e os Municípios poderão firmar instrumentos de cooperação com órgãos e entidades públicos e com entidades privadas, inclusive para o compartilhamento de recursos humanos </w:t>
      </w:r>
    </w:p>
    <w:p>
      <w:pPr>
        <w:ind w:left="288"/>
      </w:pPr>
      <w:r>
        <w:rPr>
          <w:color w:val="8C8C8C"/>
          <w:sz w:val="12"/>
        </w:rPr>
        <w:t>cf-art-232-par-2</w:t>
      </w:r>
      <w:r>
        <w:rPr>
          <w:color w:val="003CA0"/>
          <w:sz w:val="12"/>
        </w:rPr>
        <w:t xml:space="preserve"> | ADI 5.728</w:t>
      </w:r>
      <w:r>
        <w:rPr>
          <w:color w:val="003CA0"/>
          <w:sz w:val="12"/>
        </w:rPr>
        <w:t xml:space="preserve"> | rel. Dias Toffoli</w:t>
      </w:r>
    </w:p>
    <w:p>
      <w:pPr>
        <w:ind w:left="288"/>
      </w:pPr>
      <w:r>
        <w:rPr>
          <w:color w:val="1E1E1E"/>
          <w:sz w:val="18"/>
        </w:rPr>
        <w:t>VIII - manter regime fiscal favorecido para os biocombustíveis e para o hidrogênio de baixa emissão de carbono, na forma de lei complementar, a fim de assegurar-lhes tributação inferior à incidente sobre os combustíveis fósseis, capaz de garantir diferencial competitivo em relação a estes, especialmente em relação às contribuições de que tratam o art. 195, I, b, IV e V, e o art. 239 e aos impostos a que se referem os arts. 155, II, e 156-A. (Redação dada pela EC n. 132/2023) § 7º Para fins do disposto na parte final do inciso VII do § 1º deste artigo, não se consideram cruéis as práticas despo</w:t>
      </w:r>
    </w:p>
    <w:p>
      <w:pPr>
        <w:ind w:left="288"/>
      </w:pPr>
      <w:r>
        <w:rPr>
          <w:b/>
          <w:color w:val="003CA0"/>
          <w:sz w:val="16"/>
        </w:rPr>
        <w:t>[ADI 5.728, rel. min. Dias Toffoli, j. 17.03.2025, P, DJE de 09.04.2025.]</w:t>
      </w:r>
    </w:p>
    <w:p>
      <w:pPr>
        <w:ind w:left="144"/>
      </w:pPr>
      <w:r>
        <w:rPr>
          <w:b/>
          <w:color w:val="B45A00"/>
          <w:sz w:val="16"/>
        </w:rPr>
        <w:t>JULGADOS CORRELATOS</w:t>
      </w:r>
    </w:p>
    <w:p>
      <w:pPr>
        <w:ind w:left="288"/>
      </w:pPr>
      <w:r>
        <w:rPr>
          <w:color w:val="8C8C8C"/>
          <w:sz w:val="12"/>
        </w:rPr>
        <w:t>cf-art-232-par-2</w:t>
      </w:r>
      <w:r>
        <w:rPr>
          <w:color w:val="003CA0"/>
          <w:sz w:val="12"/>
        </w:rPr>
        <w:t xml:space="preserve"> | RE 926.944</w:t>
      </w:r>
      <w:r>
        <w:rPr>
          <w:color w:val="003CA0"/>
          <w:sz w:val="12"/>
        </w:rPr>
        <w:t xml:space="preserve"> | rel. Dias Toffoli</w:t>
      </w:r>
    </w:p>
    <w:p>
      <w:pPr>
        <w:ind w:left="288"/>
      </w:pPr>
      <w:r>
        <w:rPr>
          <w:color w:val="1E1E1E"/>
          <w:sz w:val="18"/>
        </w:rPr>
        <w:t>Vedação às provas de laço. (...) Legislação atual, Lei 13.873/19, que não conflita com o art. 225, § 7º, da Constituição Federal. (...) A Lei 13.873/19, alterando o disposto na Lei 13.364/16, incluiu o laço, bem como as respectivas expressões artísticas e esportivas, como manifestação cultural nacional, além de elevar essas atividades à condição de bem de natureza imaterial integrante do patrimônio cultural brasileiro.</w:t>
      </w:r>
    </w:p>
    <w:p>
      <w:pPr>
        <w:ind w:left="288"/>
      </w:pPr>
      <w:r>
        <w:rPr>
          <w:b/>
          <w:color w:val="003CA0"/>
          <w:sz w:val="16"/>
        </w:rPr>
        <w:t>[RE 926.944 AgR, rel. min. Dias Toffoli, j. 14-3-2022, 1ª T, DJE de 18-5-2022.]</w:t>
      </w:r>
    </w:p>
    <w:p>
      <w:pPr>
        <w:ind w:left="288"/>
      </w:pPr>
      <w:r>
        <w:rPr>
          <w:color w:val="8C8C8C"/>
          <w:sz w:val="12"/>
        </w:rPr>
        <w:t>cf-art-232-par-8-inc-II</w:t>
      </w:r>
    </w:p>
    <w:p>
      <w:pPr>
        <w:ind w:left="288"/>
      </w:pPr>
      <w:r>
        <w:rPr>
          <w:color w:val="1E1E1E"/>
          <w:sz w:val="18"/>
        </w:rPr>
        <w:t>TÍTULO IX Das Disposições Constitucionais Gerais SUMÁRIO</w:t>
      </w:r>
    </w:p>
    <w:p>
      <w:pPr>
        <w:pStyle w:val="Heading1"/>
      </w:pPr>
      <w:r>
        <w:rPr>
          <w:color w:val="003366"/>
        </w:rPr>
        <w:t>TÍTULO IX</w:t>
      </w:r>
    </w:p>
    <w:p>
      <w:r>
        <w:rPr>
          <w:b/>
          <w:color w:val="003366"/>
          <w:sz w:val="20"/>
        </w:rPr>
        <w:t>Art. 233 (Revogado pela Emenda Constitucional nº 28, de 25/05/2000)</w:t>
      </w:r>
      <w:r>
        <w:rPr>
          <w:color w:val="8C8C8C"/>
          <w:sz w:val="14"/>
        </w:rPr>
        <w:t xml:space="preserve">  [570 decisoes]</w:t>
      </w:r>
    </w:p>
    <w:p>
      <w:pPr>
        <w:ind w:left="288"/>
      </w:pPr>
      <w:r>
        <w:rPr>
          <w:color w:val="8C8C8C"/>
          <w:sz w:val="12"/>
        </w:rPr>
        <w:t>cf-art-233-par-3</w:t>
      </w:r>
    </w:p>
    <w:p>
      <w:pPr>
        <w:ind w:left="288"/>
      </w:pPr>
      <w:r>
        <w:rPr>
          <w:color w:val="1E1E1E"/>
          <w:sz w:val="18"/>
        </w:rPr>
        <w:t>§ 3º-A O limite para elegibilidade do benefício de que trata o § 3º deste artigo não será inferior ao valor equivalente ao salário mínimo do período trabalhado multiplicado pelo índice de 1,5 (um inteiro e cinco décimos). (Incluído pela EC n. 135/2024)</w:t>
      </w:r>
    </w:p>
    <w:p>
      <w:pPr>
        <w:ind w:left="288"/>
      </w:pPr>
      <w:r>
        <w:rPr>
          <w:color w:val="8C8C8C"/>
          <w:sz w:val="12"/>
        </w:rPr>
        <w:t>cf-art-233-par-5</w:t>
      </w:r>
    </w:p>
    <w:p>
      <w:pPr>
        <w:ind w:left="288"/>
      </w:pPr>
      <w:r>
        <w:rPr>
          <w:color w:val="1E1E1E"/>
          <w:sz w:val="18"/>
        </w:rPr>
        <w:t>ATO DAS DISPOSIÇÕES CONSTITUCIONAIS TRANSITÓRIAS SUMÁRIO</w:t>
      </w:r>
    </w:p>
    <w:p>
      <w:pPr>
        <w:ind w:left="144"/>
      </w:pPr>
      <w:r>
        <w:rPr>
          <w:b/>
          <w:color w:val="B45A00"/>
          <w:sz w:val="16"/>
        </w:rPr>
        <w:t>CONTROLE CONCENTRADO</w:t>
      </w:r>
    </w:p>
    <w:p>
      <w:pPr>
        <w:ind w:left="288"/>
      </w:pPr>
      <w:r>
        <w:rPr>
          <w:color w:val="8C8C8C"/>
          <w:sz w:val="12"/>
        </w:rPr>
        <w:t>cf-art-233-par-5</w:t>
      </w:r>
      <w:r>
        <w:rPr>
          <w:color w:val="003CA0"/>
          <w:sz w:val="12"/>
        </w:rPr>
        <w:t xml:space="preserve"> | ADI 644</w:t>
      </w:r>
      <w:r>
        <w:rPr>
          <w:color w:val="003CA0"/>
          <w:sz w:val="12"/>
        </w:rPr>
        <w:t xml:space="preserve"> | rel. Sepúlveda Pertence</w:t>
      </w:r>
    </w:p>
    <w:p>
      <w:pPr>
        <w:ind w:left="288"/>
      </w:pPr>
      <w:r>
        <w:rPr>
          <w:color w:val="1E1E1E"/>
          <w:sz w:val="18"/>
        </w:rPr>
        <w:t>(...) o alcance de normas constitucionais transitórias há de ser demarcado pela medida da estrita necessidade do período de transição, que visem a reger, de tal modo a que, tão cedo quanto possível, possa ter aplicação a disciplina constitucional permanente da matéria (...).</w:t>
        <w:br/>
        <w:t>[ADI 644 MC, rel. min. Sepúlveda Pertence, j. 4-12-1991, P, DJ de 21-2-1992.]</w:t>
      </w:r>
    </w:p>
    <w:p>
      <w:pPr>
        <w:ind w:left="144"/>
      </w:pPr>
      <w:r>
        <w:rPr>
          <w:b/>
          <w:color w:val="B45A00"/>
          <w:sz w:val="16"/>
        </w:rPr>
        <w:t>JULGADOS CORRELATOS</w:t>
      </w:r>
    </w:p>
    <w:p>
      <w:pPr>
        <w:ind w:left="288"/>
      </w:pPr>
      <w:r>
        <w:rPr>
          <w:color w:val="8C8C8C"/>
          <w:sz w:val="12"/>
        </w:rPr>
        <w:t>cf-art-233-par-5</w:t>
      </w:r>
      <w:r>
        <w:rPr>
          <w:color w:val="003CA0"/>
          <w:sz w:val="12"/>
        </w:rPr>
        <w:t xml:space="preserve"> | RE 160.486</w:t>
      </w:r>
      <w:r>
        <w:rPr>
          <w:color w:val="003CA0"/>
          <w:sz w:val="12"/>
        </w:rPr>
        <w:t xml:space="preserve"> | rel. Celso de Mello</w:t>
      </w:r>
    </w:p>
    <w:p>
      <w:pPr>
        <w:ind w:left="288"/>
      </w:pPr>
      <w:r>
        <w:rPr>
          <w:color w:val="1E1E1E"/>
          <w:sz w:val="18"/>
        </w:rPr>
        <w:t>Os postulados que informam a teoria do ordenamento jurídico e que lhe dão o necessário substrato doutrinário assentam-se na premissa fundamental de que o sistema de direito positivo, além de caracterizar uma unidade institucional, constitui um complexo de normas que devem manter entre si um vínculo de essencial coerência. O Ato das Disposições Transitórias, promulgado em 1988 pelo legislador constituinte, qualifica-se, juridicamente, como um estatuto de índole constitucional. A estrutura normativa que nele se acha consubstanciada ostenta, em consequência, a rigidez peculiar às regras inscritas</w:t>
      </w:r>
    </w:p>
    <w:p>
      <w:pPr>
        <w:ind w:left="144"/>
      </w:pPr>
      <w:r>
        <w:rPr>
          <w:b/>
          <w:color w:val="B45A00"/>
          <w:sz w:val="16"/>
        </w:rPr>
        <w:t>CONTROLE CONCENTRADO</w:t>
      </w:r>
    </w:p>
    <w:p>
      <w:pPr>
        <w:ind w:left="288"/>
      </w:pPr>
      <w:r>
        <w:rPr>
          <w:color w:val="8C8C8C"/>
          <w:sz w:val="12"/>
        </w:rPr>
        <w:t>cf-art-233-par-5</w:t>
      </w:r>
      <w:r>
        <w:rPr>
          <w:color w:val="003CA0"/>
          <w:sz w:val="12"/>
        </w:rPr>
        <w:t xml:space="preserve"> | ADI 829</w:t>
      </w:r>
      <w:r>
        <w:rPr>
          <w:color w:val="003CA0"/>
          <w:sz w:val="12"/>
        </w:rPr>
        <w:t xml:space="preserve"> | rel. Moreira Alves</w:t>
      </w:r>
    </w:p>
    <w:p>
      <w:pPr>
        <w:ind w:left="288"/>
      </w:pPr>
      <w:r>
        <w:rPr>
          <w:color w:val="1E1E1E"/>
          <w:sz w:val="18"/>
        </w:rPr>
        <w:t xml:space="preserve">Antecipação do plebiscito a que alude o art. 2º do ADCT da Constituição de 1988. Não há dúvida de que, em face do novo sistema constitucional, é o STF competente para, em controle difuso ou concentrado, examinar a constitucionalidade ou não de emenda constitucional – no caso, a n. 2, de 25 de agosto de 1992 – impugnada por violadora de cláusulas pétreas explícitas ou implícitas. Contendo as normas constitucionais transitórias exceções à parte permanente da Constituição, não tem sentido pretender-se que o ato que as contém seja independente desta, até porque é da natureza mesma das coisas que, </w:t>
      </w:r>
    </w:p>
    <w:p>
      <w:pPr>
        <w:ind w:left="288"/>
      </w:pPr>
      <w:r>
        <w:rPr>
          <w:b/>
          <w:color w:val="003CA0"/>
          <w:sz w:val="16"/>
        </w:rPr>
        <w:t>[ADI 829, rel. min. Moreira Alves, j. 14-4-1993, P, DJ de 16-9-1994.]</w:t>
      </w:r>
    </w:p>
    <w:p>
      <w:pPr>
        <w:ind w:left="288"/>
      </w:pPr>
      <w:r>
        <w:rPr>
          <w:color w:val="8C8C8C"/>
          <w:sz w:val="12"/>
        </w:rPr>
        <w:t>cf-art-233-par-5</w:t>
      </w:r>
      <w:r>
        <w:rPr>
          <w:color w:val="003CA0"/>
          <w:sz w:val="12"/>
        </w:rPr>
        <w:t xml:space="preserve"> | ADI 839</w:t>
      </w:r>
    </w:p>
    <w:p>
      <w:pPr>
        <w:ind w:left="288"/>
      </w:pPr>
      <w:r>
        <w:rPr>
          <w:color w:val="1E1E1E"/>
          <w:sz w:val="18"/>
        </w:rPr>
        <w:t>Lei 8.624/1993, que dispõe sobre o plebiscito destinado a definir a forma e o sistema de governo. Regulamentação do art. 2º do ADCT/1988, alterado pela EC 2/1992. Impugnação a diversos artigos (arts. 4º, 5º e 6º) da referida Lei 8.624/1993. Organização de frentes parlamentares, sob a forma de sociedade civil, destinadas a representar o parlamentarismo com república, o presidencialismo com república e o parlamentarismo com monarquia. Necessidade de registro dessas frentes parlamentares, perante a Mesa Diretora do Congresso Nacional, para efeito de acesso gratuito às emissoras de rádio e de tele</w:t>
      </w:r>
    </w:p>
    <w:p>
      <w:pPr>
        <w:ind w:left="288"/>
      </w:pPr>
      <w:r>
        <w:rPr>
          <w:b/>
          <w:color w:val="003CA0"/>
          <w:sz w:val="16"/>
        </w:rPr>
        <w:t>[ADI 839 MC, red. do ac. min. Celso de Mello, j. 17-2-1993, P, DJ de 24-11-2006.]</w:t>
      </w:r>
    </w:p>
    <w:p>
      <w:pPr>
        <w:ind w:left="288"/>
      </w:pPr>
      <w:r>
        <w:rPr>
          <w:color w:val="8C8C8C"/>
          <w:sz w:val="12"/>
        </w:rPr>
        <w:t>cf-art-233-par-2</w:t>
      </w:r>
    </w:p>
    <w:p>
      <w:pPr>
        <w:ind w:left="288"/>
      </w:pPr>
      <w:r>
        <w:rPr>
          <w:color w:val="1E1E1E"/>
          <w:sz w:val="18"/>
        </w:rPr>
        <w:t>Art. 3º. A revisão constitucional será realizada após cinco anos, contados da promulgação da Constituição, pelo voto da maioria absoluta dos membros do Congresso Nacional, em sessão unicameral.</w:t>
      </w:r>
    </w:p>
    <w:p>
      <w:pPr>
        <w:ind w:left="288"/>
      </w:pPr>
      <w:r>
        <w:rPr>
          <w:color w:val="8C8C8C"/>
          <w:sz w:val="12"/>
        </w:rPr>
        <w:t>cf-art-233-par-2</w:t>
      </w:r>
      <w:r>
        <w:rPr>
          <w:color w:val="003CA0"/>
          <w:sz w:val="12"/>
        </w:rPr>
        <w:t xml:space="preserve"> | ADI 1.722</w:t>
      </w:r>
      <w:r>
        <w:rPr>
          <w:color w:val="003CA0"/>
          <w:sz w:val="12"/>
        </w:rPr>
        <w:t xml:space="preserve"> | rel. Marco Aurélio</w:t>
      </w:r>
    </w:p>
    <w:p>
      <w:pPr>
        <w:ind w:left="288"/>
      </w:pPr>
      <w:r>
        <w:rPr>
          <w:color w:val="1E1E1E"/>
          <w:sz w:val="18"/>
        </w:rPr>
        <w:t>Ao Poder Legislativo, federal ou estadual, não está aberta a via da introdução, no cenário jurídico, do instituto da revisão constitucional.</w:t>
      </w:r>
    </w:p>
    <w:p>
      <w:pPr>
        <w:ind w:left="288"/>
      </w:pPr>
      <w:r>
        <w:rPr>
          <w:b/>
          <w:color w:val="003CA0"/>
          <w:sz w:val="16"/>
        </w:rPr>
        <w:t>[ADI 1.722 MC, rel. min. Marco Aurélio, j. 10-12-1997, P, DJ de 19-9-2003.]</w:t>
      </w:r>
    </w:p>
    <w:p>
      <w:pPr>
        <w:ind w:left="288"/>
      </w:pPr>
      <w:r>
        <w:rPr>
          <w:color w:val="8C8C8C"/>
          <w:sz w:val="12"/>
        </w:rPr>
        <w:t>cf-art-233-par-2</w:t>
      </w:r>
      <w:r>
        <w:rPr>
          <w:color w:val="003CA0"/>
          <w:sz w:val="12"/>
        </w:rPr>
        <w:t xml:space="preserve"> | ADI 981</w:t>
      </w:r>
      <w:r>
        <w:rPr>
          <w:color w:val="003CA0"/>
          <w:sz w:val="12"/>
        </w:rPr>
        <w:t xml:space="preserve"> | rel. Néri da Silveira</w:t>
      </w:r>
    </w:p>
    <w:p>
      <w:pPr>
        <w:ind w:left="288"/>
      </w:pPr>
      <w:r>
        <w:rPr>
          <w:color w:val="1E1E1E"/>
          <w:sz w:val="18"/>
        </w:rPr>
        <w:t>Emenda ou revisão, como processos de mudança na Constituição, são manifestações do poder constituinte instituído e, por sua natureza, limitado. Está a "revisão" prevista no art. 3º do ADCT de 1988 sujeita aos limites estabelecidos no § 4º e seus incisos do art. 60 da Constituição. O resultado do plebiscito de 21 de abril de 1933 não tornou sem objeto a revisão a que se refere o art. 3º do ADCT. Após 5 de outubro de 1993, cabia ao Congresso Nacional deliberar no sentido da oportunidade ou necessidade de proceder à aludida revisão constitucional, a ser feita "uma só vez". As mudanças na Constitu</w:t>
      </w:r>
    </w:p>
    <w:p>
      <w:pPr>
        <w:ind w:left="288"/>
      </w:pPr>
      <w:r>
        <w:rPr>
          <w:b/>
          <w:color w:val="003CA0"/>
          <w:sz w:val="16"/>
        </w:rPr>
        <w:t>[ADI 981 MC, rel. min. Néri da Silveira, j. 17-3-1993, P, DJ de 5-8-1994.]</w:t>
      </w:r>
    </w:p>
    <w:p>
      <w:pPr>
        <w:ind w:left="288"/>
      </w:pPr>
      <w:r>
        <w:rPr>
          <w:color w:val="8C8C8C"/>
          <w:sz w:val="12"/>
        </w:rPr>
        <w:t>cf-art-233-par-2</w:t>
      </w:r>
    </w:p>
    <w:p>
      <w:pPr>
        <w:ind w:left="288"/>
      </w:pPr>
      <w:r>
        <w:rPr>
          <w:color w:val="1E1E1E"/>
          <w:sz w:val="18"/>
        </w:rPr>
        <w:t>Art. 4º. O mandato do atual Presidente da República terminará em 15 de março de 1990.</w:t>
      </w:r>
    </w:p>
    <w:p>
      <w:pPr>
        <w:ind w:left="288"/>
      </w:pPr>
      <w:r>
        <w:rPr>
          <w:color w:val="8C8C8C"/>
          <w:sz w:val="12"/>
        </w:rPr>
        <w:t>cf-art-233-par-4</w:t>
      </w:r>
    </w:p>
    <w:p>
      <w:pPr>
        <w:ind w:left="288"/>
      </w:pPr>
      <w:r>
        <w:rPr>
          <w:color w:val="1E1E1E"/>
          <w:sz w:val="18"/>
        </w:rPr>
        <w:t>Art. 5º. Não se aplicam às eleições previstas para 15 de novembro de 1988 o disposto no art. 16 e as regras do art. 77 da Constituição.</w:t>
      </w:r>
    </w:p>
    <w:p>
      <w:pPr>
        <w:ind w:left="144"/>
      </w:pPr>
      <w:r>
        <w:rPr>
          <w:b/>
          <w:color w:val="B45A00"/>
          <w:sz w:val="16"/>
        </w:rPr>
        <w:t>JULGADOS CORRELATOS</w:t>
      </w:r>
    </w:p>
    <w:p>
      <w:pPr>
        <w:ind w:left="288"/>
      </w:pPr>
      <w:r>
        <w:rPr>
          <w:color w:val="8C8C8C"/>
          <w:sz w:val="12"/>
        </w:rPr>
        <w:t>cf-art-233-par-4</w:t>
      </w:r>
      <w:r>
        <w:rPr>
          <w:color w:val="003CA0"/>
          <w:sz w:val="12"/>
        </w:rPr>
        <w:t xml:space="preserve"> | RE 140.460</w:t>
      </w:r>
      <w:r>
        <w:rPr>
          <w:color w:val="003CA0"/>
          <w:sz w:val="12"/>
        </w:rPr>
        <w:t xml:space="preserve"> | rel. Ilmar Galvão</w:t>
      </w:r>
    </w:p>
    <w:p>
      <w:pPr>
        <w:ind w:left="288"/>
      </w:pPr>
      <w:r>
        <w:rPr>
          <w:color w:val="1E1E1E"/>
          <w:sz w:val="18"/>
        </w:rPr>
        <w:t>Os votos brancos também representam manifestação da vontade política do eleitor. São eles computados em eleições majoritárias em face de norma expressa (arts. 28; 29, II; e 77, § 2º, da CF) configuradora de exceção alusiva às eleições majoritárias, não podendo por isso ser tomada como princípio geral. O art. 5º do ADCT limitou-se a dispor sobre a inaplicabilidade, à eleição para prefeito nele referida, do princípio da maioria absoluta previsto no § 2º do referido art. 77 do Texto Constitucional permanente, não dispondo sobre voto em branco.</w:t>
      </w:r>
    </w:p>
    <w:p>
      <w:pPr>
        <w:ind w:left="288"/>
      </w:pPr>
      <w:r>
        <w:rPr>
          <w:b/>
          <w:color w:val="003CA0"/>
          <w:sz w:val="16"/>
        </w:rPr>
        <w:t>[RE 140.460, rel. min. Ilmar Galvão, j. 19-5-1993, P, DJ de 4-5-2001.]</w:t>
      </w:r>
    </w:p>
    <w:p>
      <w:pPr>
        <w:ind w:left="288"/>
      </w:pPr>
      <w:r>
        <w:rPr>
          <w:color w:val="8C8C8C"/>
          <w:sz w:val="12"/>
        </w:rPr>
        <w:t>cf-art-233-par-4</w:t>
      </w:r>
    </w:p>
    <w:p>
      <w:pPr>
        <w:ind w:left="288"/>
      </w:pPr>
      <w:r>
        <w:rPr>
          <w:color w:val="1E1E1E"/>
          <w:sz w:val="18"/>
        </w:rPr>
        <w:t>§ 1º Para as eleições de 15 de novembro de 1988 será exigido domicílio eleitoral na circunscrição pelo menos durante os quatro meses anteriores ao pleito, podendo os candidatos que preencham este requisito, atendidas as demais exigências da lei, ter seu registro efetivado pela Justiça Eleitoral após a promulgação da Constituição.</w:t>
      </w:r>
    </w:p>
    <w:p>
      <w:pPr>
        <w:ind w:left="288"/>
      </w:pPr>
      <w:r>
        <w:rPr>
          <w:color w:val="8C8C8C"/>
          <w:sz w:val="12"/>
        </w:rPr>
        <w:t>cf-art-233-par-4</w:t>
      </w:r>
      <w:r>
        <w:rPr>
          <w:color w:val="003CA0"/>
          <w:sz w:val="12"/>
        </w:rPr>
        <w:t xml:space="preserve"> | MI 16</w:t>
      </w:r>
      <w:r>
        <w:rPr>
          <w:color w:val="003CA0"/>
          <w:sz w:val="12"/>
        </w:rPr>
        <w:t xml:space="preserve"> | rel. Djaci Falcão</w:t>
      </w:r>
    </w:p>
    <w:p>
      <w:pPr>
        <w:ind w:left="288"/>
      </w:pPr>
      <w:r>
        <w:rPr>
          <w:color w:val="1E1E1E"/>
          <w:sz w:val="18"/>
        </w:rPr>
        <w:t>Mandado de injunção contra o ato do TSE. O remédio de que se vale o impetrante tem por pressuposto omissão normativa, capaz de obstar o exercício de um direito conferido pela Constituição da República. Sem tecer outras considerações em torno no writ, impõe-se afirmar o seu descabimento na hipótese dos autos, à vista de norma constitucional transitória superveniente.</w:t>
      </w:r>
    </w:p>
    <w:p>
      <w:pPr>
        <w:ind w:left="288"/>
      </w:pPr>
      <w:r>
        <w:rPr>
          <w:b/>
          <w:color w:val="003CA0"/>
          <w:sz w:val="16"/>
        </w:rPr>
        <w:t>[MI 16 QO, rel. min. Djaci Falcão, j. 20-10-1988, P, DJ de 4-11-1988.]</w:t>
      </w:r>
    </w:p>
    <w:p>
      <w:pPr>
        <w:ind w:left="144"/>
      </w:pPr>
      <w:r>
        <w:rPr>
          <w:b/>
          <w:color w:val="B45A00"/>
          <w:sz w:val="16"/>
        </w:rPr>
        <w:t>CONTROLE CONCENTRADO</w:t>
      </w:r>
    </w:p>
    <w:p>
      <w:pPr>
        <w:ind w:left="288"/>
      </w:pPr>
      <w:r>
        <w:rPr>
          <w:color w:val="8C8C8C"/>
          <w:sz w:val="12"/>
        </w:rPr>
        <w:t>cf-art-233-par-4</w:t>
      </w:r>
      <w:r>
        <w:rPr>
          <w:color w:val="003CA0"/>
          <w:sz w:val="12"/>
        </w:rPr>
        <w:t xml:space="preserve"> | ADI 204</w:t>
      </w:r>
      <w:r>
        <w:rPr>
          <w:color w:val="003CA0"/>
          <w:sz w:val="12"/>
        </w:rPr>
        <w:t xml:space="preserve"> | rel. Sydney Sanches</w:t>
      </w:r>
    </w:p>
    <w:p>
      <w:pPr>
        <w:ind w:left="288"/>
      </w:pPr>
      <w:r>
        <w:rPr>
          <w:color w:val="1E1E1E"/>
          <w:sz w:val="18"/>
        </w:rPr>
        <w:t>Havendo o § 4º do art. 5º do ADCT da CF atribuído ao TRE o poder de fixar o número de vereadores por Município, para a representação a ser eleita em 1988, e tendo a Constituição Estadual de Mato Grosso fixado, desde logo, tal número (art. 40 c/c art. 20), não se pode negar a relevância da arguição de sua inconstitucionalidade em ação direta.</w:t>
      </w:r>
    </w:p>
    <w:p>
      <w:pPr>
        <w:ind w:left="288"/>
      </w:pPr>
      <w:r>
        <w:rPr>
          <w:b/>
          <w:color w:val="003CA0"/>
          <w:sz w:val="16"/>
        </w:rPr>
        <w:t>[ADI 204 MC, rel. min. Sydney Sanches, j. 22-3-1990, P, DJ de 27-4-1990.]</w:t>
      </w:r>
    </w:p>
    <w:p>
      <w:pPr>
        <w:ind w:left="288"/>
      </w:pPr>
      <w:r>
        <w:rPr>
          <w:color w:val="8C8C8C"/>
          <w:sz w:val="12"/>
        </w:rPr>
        <w:t>cf-art-233-par-4</w:t>
      </w:r>
    </w:p>
    <w:p>
      <w:pPr>
        <w:ind w:left="288"/>
      </w:pPr>
      <w:r>
        <w:rPr>
          <w:color w:val="1E1E1E"/>
          <w:sz w:val="18"/>
        </w:rPr>
        <w:t>§ 5º Para as eleições de 15 de novembro de 1988, ressalvados os que já exercem mandato eletivo, são inelegíveis para qualquer cargo, no território de jurisdição do titular, o cônjuge e os parentes por consangüinidade ou afinidade, até o segundo grau, ou por adoção, do Presidente da República, do Governador de Estado, do Governador do Distrito Federal e do Prefeito que tenham exercido mais da metade do mandato. Art. 6º. Nos seis meses posteriores à promulgação da Constituição, parlamentares federais, reunidos em número não inferior a trinta, poderão requerer ao Tribunal Superior Eleitoral o reg</w:t>
      </w:r>
    </w:p>
    <w:p>
      <w:pPr>
        <w:ind w:left="288"/>
      </w:pPr>
      <w:r>
        <w:rPr>
          <w:color w:val="8C8C8C"/>
          <w:sz w:val="12"/>
        </w:rPr>
        <w:t>cf-art-233-par-2</w:t>
      </w:r>
    </w:p>
    <w:p>
      <w:pPr>
        <w:ind w:left="288"/>
      </w:pPr>
      <w:r>
        <w:rPr>
          <w:color w:val="1E1E1E"/>
          <w:sz w:val="18"/>
        </w:rPr>
        <w:t>Art. 7º. O Brasil propugnará pela formação de um tribunal internacional dos direitos humanos. Art. 8º. É concedida anistia aos que, no período de 18 de setembro de 1946 até a data da promulgação da Constituição, foram atingidos, em decorrência de motivação exclusivamente política, por atos de exceção, institucionais ou complementares, aos que foram abrangidos pelo Decreto Legislativo nº 18, de 15 de dezembro de 1961, e aos atingidos pelo Decreto-Lei nº 864, de 12 de setembro de 1969, asseguradas as promoções, na inatividade, ao cargo, emprego, posto ou graduação a que teriam direito se estives</w:t>
      </w:r>
    </w:p>
    <w:p>
      <w:pPr>
        <w:ind w:left="144"/>
      </w:pPr>
      <w:r>
        <w:rPr>
          <w:b/>
          <w:color w:val="B45A00"/>
          <w:sz w:val="16"/>
        </w:rPr>
        <w:t>SUMULA</w:t>
      </w:r>
    </w:p>
    <w:p>
      <w:pPr>
        <w:ind w:left="288"/>
      </w:pPr>
      <w:r>
        <w:rPr>
          <w:color w:val="8C8C8C"/>
          <w:sz w:val="12"/>
        </w:rPr>
        <w:t>cf-art-233-par-2</w:t>
      </w:r>
    </w:p>
    <w:p>
      <w:pPr>
        <w:ind w:left="288"/>
      </w:pPr>
      <w:r>
        <w:rPr>
          <w:color w:val="1E1E1E"/>
          <w:sz w:val="18"/>
        </w:rPr>
        <w:t>A anistia prevista no art. 8º do ADCT não alcança os militares expulsos com base em legislação disciplinar ordinária, ainda que em razão de atos praticados por motivação política.</w:t>
      </w:r>
    </w:p>
    <w:p>
      <w:pPr>
        <w:ind w:left="288"/>
      </w:pPr>
      <w:r>
        <w:rPr>
          <w:b/>
          <w:color w:val="003CA0"/>
          <w:sz w:val="16"/>
        </w:rPr>
        <w:t>[Súmula 674.]</w:t>
      </w:r>
    </w:p>
    <w:p>
      <w:pPr>
        <w:ind w:left="144"/>
      </w:pPr>
      <w:r>
        <w:rPr>
          <w:b/>
          <w:color w:val="B45A00"/>
          <w:sz w:val="16"/>
        </w:rPr>
        <w:t>CONTROLE CONCENTRADO</w:t>
      </w:r>
    </w:p>
    <w:p>
      <w:pPr>
        <w:ind w:left="288"/>
      </w:pPr>
      <w:r>
        <w:rPr>
          <w:color w:val="8C8C8C"/>
          <w:sz w:val="12"/>
        </w:rPr>
        <w:t>cf-art-233-par-2</w:t>
      </w:r>
      <w:r>
        <w:rPr>
          <w:color w:val="003CA0"/>
          <w:sz w:val="12"/>
        </w:rPr>
        <w:t xml:space="preserve"> | RP 696</w:t>
      </w:r>
      <w:r>
        <w:rPr>
          <w:color w:val="003CA0"/>
          <w:sz w:val="12"/>
        </w:rPr>
        <w:t xml:space="preserve"> | rel. Baleeiro). Compreende-se na esfera de autonomia dos Estados a anistia (ou o cancelamento) de infrações disciplinares de seus respectivos servidores</w:t>
      </w:r>
    </w:p>
    <w:p>
      <w:pPr>
        <w:ind w:left="288"/>
      </w:pPr>
      <w:r>
        <w:rPr>
          <w:color w:val="1E1E1E"/>
          <w:sz w:val="18"/>
        </w:rPr>
        <w:t>A jurisprudência restritiva dos poderes da assembleia constituinte do Estado-membro não alcança matérias às quais, delas cuidando, a Constituição da República emprestou alçada constitucional. Anistia de infrações disciplinares de servidores estaduais: competência do Estado-membro respectivo. Só quando se cuidar de anistia de crimes – que se caracteriza como abolitio criminis de efeito temporário e só retroativo – a competência exclusiva da União se harmoniza com a competência federal privativa para legislar sobre direito penal; ao contrário, conferir à União – e somente a ela – o poder de anis</w:t>
      </w:r>
    </w:p>
    <w:p>
      <w:pPr>
        <w:ind w:left="288"/>
      </w:pPr>
      <w:r>
        <w:rPr>
          <w:b/>
          <w:color w:val="003CA0"/>
          <w:sz w:val="16"/>
        </w:rPr>
        <w:t>[ADI 104, rel. min. Sepúlveda Pertence, j. 4-6-2007, P, DJ de 24-8-2007.]</w:t>
      </w:r>
    </w:p>
    <w:p>
      <w:pPr>
        <w:ind w:left="288"/>
      </w:pPr>
      <w:r>
        <w:rPr>
          <w:color w:val="8C8C8C"/>
          <w:sz w:val="12"/>
        </w:rPr>
        <w:t>cf-art-233-par-2</w:t>
      </w:r>
      <w:r>
        <w:rPr>
          <w:color w:val="003CA0"/>
          <w:sz w:val="12"/>
        </w:rPr>
        <w:t xml:space="preserve"> | ADI 2.639</w:t>
      </w:r>
      <w:r>
        <w:rPr>
          <w:color w:val="003CA0"/>
          <w:sz w:val="12"/>
        </w:rPr>
        <w:t xml:space="preserve"> | rel. Nelson Jobim</w:t>
      </w:r>
    </w:p>
    <w:p>
      <w:pPr>
        <w:ind w:left="288"/>
      </w:pPr>
      <w:r>
        <w:rPr>
          <w:color w:val="1E1E1E"/>
          <w:sz w:val="18"/>
        </w:rPr>
        <w:t>A anistia referida nos arts. 8º e 9º do ADCT foi prevista em benefício daqueles que foram vítimas de atos de "exceção, institucionais ou complementares", que, de alguma forma, sofreram prejuízos em suas atividades profissionais, em seus direitos ou por motivos políticos, mesmo que trabalhadores da iniciativa privada, dirigentes e representantes sindicais. A anistia dos arts. 8º e 9º do ADCT tem índole político-institucional e, por essa mesma natureza, sua competência de concessão legislativa é exclusiva do poder constituinte originário federal. Isso porque, muito embora seja previsão important</w:t>
      </w:r>
    </w:p>
    <w:p>
      <w:pPr>
        <w:ind w:left="288"/>
      </w:pPr>
      <w:r>
        <w:rPr>
          <w:b/>
          <w:color w:val="003CA0"/>
          <w:sz w:val="16"/>
        </w:rPr>
        <w:t>[ADI 2.639, rel. min. Nelson Jobim, j. 8-2-2006, P, DJ de 4-8-2006.]</w:t>
      </w:r>
    </w:p>
    <w:p>
      <w:pPr>
        <w:ind w:left="144"/>
      </w:pPr>
      <w:r>
        <w:rPr>
          <w:b/>
          <w:color w:val="B45A00"/>
          <w:sz w:val="16"/>
        </w:rPr>
        <w:t>REPERCUSSAO GERAL</w:t>
      </w:r>
    </w:p>
    <w:p>
      <w:pPr>
        <w:ind w:left="288"/>
      </w:pPr>
      <w:r>
        <w:rPr>
          <w:color w:val="8C8C8C"/>
          <w:sz w:val="12"/>
        </w:rPr>
        <w:t>cf-art-233-par-2</w:t>
      </w:r>
      <w:r>
        <w:rPr>
          <w:color w:val="003CA0"/>
          <w:sz w:val="12"/>
        </w:rPr>
        <w:t xml:space="preserve"> | RE 817.338</w:t>
      </w:r>
      <w:r>
        <w:rPr>
          <w:color w:val="003CA0"/>
          <w:sz w:val="12"/>
        </w:rPr>
        <w:t xml:space="preserve"> | rel. Dias Toffoli</w:t>
      </w:r>
    </w:p>
    <w:p>
      <w:pPr>
        <w:ind w:left="288"/>
      </w:pPr>
      <w:r>
        <w:rPr>
          <w:color w:val="1E1E1E"/>
          <w:sz w:val="18"/>
        </w:rPr>
        <w:t>No exercício de seu poder de autotutela, poderá a Administração Pública rever os atos de concessão de anistia a cabos da Aeronáutica relativos à Portaria 1.104, editada pelo Ministro de Estado da Aeronáutica, em 12 de outubro de 1964 quando se comprovar a ausência de ato com motivação exclusivamente política, assegurando-se ao anistiado, em procedimento administrativo, o devido processo legal e a não devolução das verbas já recebidas.</w:t>
      </w:r>
    </w:p>
    <w:p>
      <w:pPr>
        <w:ind w:left="288"/>
      </w:pPr>
      <w:r>
        <w:rPr>
          <w:b/>
          <w:color w:val="003CA0"/>
          <w:sz w:val="16"/>
        </w:rPr>
        <w:t>[RE 817.338, rel. min. Dias Toffoli, j. 16-10-2019, P, DJE de 31-7-2020, Tema 839, com mérito julgado.]</w:t>
      </w:r>
    </w:p>
    <w:p>
      <w:pPr>
        <w:ind w:left="288"/>
      </w:pPr>
      <w:r>
        <w:rPr>
          <w:color w:val="8C8C8C"/>
          <w:sz w:val="12"/>
        </w:rPr>
        <w:t>cf-art-233-par-2</w:t>
      </w:r>
      <w:r>
        <w:rPr>
          <w:color w:val="003CA0"/>
          <w:sz w:val="12"/>
        </w:rPr>
        <w:t xml:space="preserve"> | RE 553.710</w:t>
      </w:r>
      <w:r>
        <w:rPr>
          <w:color w:val="003CA0"/>
          <w:sz w:val="12"/>
        </w:rPr>
        <w:t xml:space="preserve"> | rel. Dias Toffoli</w:t>
      </w:r>
    </w:p>
    <w:p>
      <w:pPr>
        <w:ind w:left="288"/>
      </w:pPr>
      <w:r>
        <w:rPr>
          <w:color w:val="1E1E1E"/>
          <w:sz w:val="18"/>
        </w:rPr>
        <w:t>Recurso extraordinário em que se discute, à luz dos arts. 167, II, e 169, § 1º, I e II, da CF, a possibilidade, ou não, de se determinar o pagamento imediato, em sede de mandado de segurança, de valores retroativos devidos a título de reparação econômica a anistiados políticos, assim declarados com base em portaria expedida pelo ministro de Estado da Justiça, com fundamento no art. 8º, caput, do ADCT e na lei. (...) i) Reconhecido o direito à anistia política, a falta de cumprimento de requisição ou determinação de providências por parte da União, por intermédio do órgão competente, no prazo p</w:t>
      </w:r>
    </w:p>
    <w:p>
      <w:pPr>
        <w:ind w:left="288"/>
      </w:pPr>
      <w:r>
        <w:rPr>
          <w:b/>
          <w:color w:val="003CA0"/>
          <w:sz w:val="16"/>
        </w:rPr>
        <w:t>[RE 553.710, rel. min. Dias Toffoli, j. 17-11-2016, P, DJE de 31-8-2017, Tema 394, com mérito julgado.]</w:t>
      </w:r>
    </w:p>
    <w:p>
      <w:pPr>
        <w:ind w:left="288"/>
      </w:pPr>
      <w:r>
        <w:rPr>
          <w:color w:val="8C8C8C"/>
          <w:sz w:val="12"/>
        </w:rPr>
        <w:t>cf-art-233-par-2</w:t>
      </w:r>
      <w:r>
        <w:rPr>
          <w:color w:val="003CA0"/>
          <w:sz w:val="12"/>
        </w:rPr>
        <w:t xml:space="preserve"> | ARE 799.908</w:t>
      </w:r>
      <w:r>
        <w:rPr>
          <w:color w:val="003CA0"/>
          <w:sz w:val="12"/>
        </w:rPr>
        <w:t xml:space="preserve"> | rel. Gilmar Mendes</w:t>
      </w:r>
    </w:p>
    <w:p>
      <w:pPr>
        <w:ind w:left="288"/>
      </w:pPr>
      <w:r>
        <w:rPr>
          <w:color w:val="1E1E1E"/>
          <w:sz w:val="18"/>
        </w:rPr>
        <w:t>(...) as promoções dos anistiados se restringem ao quadro a que pertencia o militar na ativa.</w:t>
        <w:br/>
        <w:t>[ARE 799.908 RG, rel. min. Gilmar Mendes, j. 1º-5-2014, P, DJE de 4-6-2014, Tema 724, com mérito julgado.]</w:t>
      </w:r>
    </w:p>
    <w:p>
      <w:pPr>
        <w:ind w:left="144"/>
      </w:pPr>
      <w:r>
        <w:rPr>
          <w:b/>
          <w:color w:val="B45A00"/>
          <w:sz w:val="16"/>
        </w:rPr>
        <w:t>JULGADOS CORRELATOS</w:t>
      </w:r>
    </w:p>
    <w:p>
      <w:pPr>
        <w:ind w:left="288"/>
      </w:pPr>
      <w:r>
        <w:rPr>
          <w:color w:val="8C8C8C"/>
          <w:sz w:val="12"/>
        </w:rPr>
        <w:t>cf-art-233-par-2</w:t>
      </w:r>
      <w:r>
        <w:rPr>
          <w:color w:val="003CA0"/>
          <w:sz w:val="12"/>
        </w:rPr>
        <w:t xml:space="preserve"> | MS 35.495</w:t>
      </w:r>
      <w:r>
        <w:rPr>
          <w:color w:val="003CA0"/>
          <w:sz w:val="12"/>
        </w:rPr>
        <w:t xml:space="preserve"> | rel. Roberto Barroso</w:t>
      </w:r>
    </w:p>
    <w:p>
      <w:pPr>
        <w:ind w:left="288"/>
      </w:pPr>
      <w:r>
        <w:rPr>
          <w:color w:val="1E1E1E"/>
          <w:sz w:val="18"/>
        </w:rPr>
        <w:t>Diferentemente das prestações mensais, os valores retroativos decorrentes de reparação econômica aos anistiados políticos têm caráter indenizatório e, por isso, compõem a esfera patrimonial do espólio. Ilegitimidade ativa da viúva do anistiado político quando não comprovada a sua condição de inventariante ou, se encerrado o processo de inventário, que lhe fora transmitido em partilha o direito aos valores pleiteados.</w:t>
      </w:r>
    </w:p>
    <w:p>
      <w:pPr>
        <w:ind w:left="288"/>
      </w:pPr>
      <w:r>
        <w:rPr>
          <w:b/>
          <w:color w:val="003CA0"/>
          <w:sz w:val="16"/>
        </w:rPr>
        <w:t>[MS 35.495-AgR, rel. min. Roberto Barroso, j. 25-5-2018, 1ª T, DJE de 19-6-2018.]</w:t>
      </w:r>
    </w:p>
    <w:p>
      <w:pPr>
        <w:ind w:left="288"/>
      </w:pPr>
      <w:r>
        <w:rPr>
          <w:color w:val="8C8C8C"/>
          <w:sz w:val="12"/>
        </w:rPr>
        <w:t>cf-art-233-par-2</w:t>
      </w:r>
      <w:r>
        <w:rPr>
          <w:color w:val="003CA0"/>
          <w:sz w:val="12"/>
        </w:rPr>
        <w:t xml:space="preserve"> | RMS 32.024</w:t>
      </w:r>
      <w:r>
        <w:rPr>
          <w:color w:val="003CA0"/>
          <w:sz w:val="12"/>
        </w:rPr>
        <w:t xml:space="preserve"> | rel. Dias Toffoli</w:t>
      </w:r>
    </w:p>
    <w:p>
      <w:pPr>
        <w:ind w:left="288"/>
      </w:pPr>
      <w:r>
        <w:rPr>
          <w:color w:val="1E1E1E"/>
          <w:sz w:val="18"/>
        </w:rPr>
        <w:t>É pacífico, na Suprema Corte, o entendimento firmado por ambas as Turmas de que a Portaria Interministerial 134/2011 não ofende direito líquido e certo do anistiado, na medida em que apenas permite a instauração de procedimento de revisão da anistia concedida, com vistas a apurar ocorrências de eventuais ilegalidades. Também não há que se falar em violação do art. 54 da Lei 9.784/1999. A decadência pode ser afastada caso configurada a má-fé do interessado, a qual deve ser analisada em procedimento próprio, respeitando-se as garantias da ampla defesa e do devido processo legal.</w:t>
      </w:r>
    </w:p>
    <w:p>
      <w:pPr>
        <w:ind w:left="288"/>
      </w:pPr>
      <w:r>
        <w:rPr>
          <w:b/>
          <w:color w:val="003CA0"/>
          <w:sz w:val="16"/>
        </w:rPr>
        <w:t>[RMS 32.024 AgR, rel. min. Dias Toffoli, j. 19-11-2013, 1ª T, DJE de 17-12-2013.]</w:t>
      </w:r>
    </w:p>
    <w:p>
      <w:pPr>
        <w:ind w:left="288"/>
      </w:pPr>
      <w:r>
        <w:rPr>
          <w:color w:val="8C8C8C"/>
          <w:sz w:val="12"/>
        </w:rPr>
        <w:t>cf-art-233-par-2</w:t>
      </w:r>
      <w:r>
        <w:rPr>
          <w:color w:val="003CA0"/>
          <w:sz w:val="12"/>
        </w:rPr>
        <w:t xml:space="preserve"> | RMS 32.116</w:t>
      </w:r>
      <w:r>
        <w:rPr>
          <w:color w:val="003CA0"/>
          <w:sz w:val="12"/>
        </w:rPr>
        <w:t xml:space="preserve"> | rel. Teori Zavascki</w:t>
      </w:r>
    </w:p>
    <w:p>
      <w:pPr>
        <w:ind w:left="288"/>
      </w:pPr>
      <w:r>
        <w:rPr>
          <w:color w:val="1E1E1E"/>
          <w:sz w:val="18"/>
        </w:rPr>
        <w:t>= RMS 32.116 AgR, rel. min. Teori Zavascki, j. 29-4-2014, 2ª T, DJE de 13-5-2014 A pensão decorrente de anistia, presente ato institucional, ganha contornos indenizatórios, podendo ser recebida com outra fruto de vínculo jurídico mantido pelo falecido com o Estado.</w:t>
      </w:r>
    </w:p>
    <w:p>
      <w:pPr>
        <w:ind w:left="288"/>
      </w:pPr>
      <w:r>
        <w:rPr>
          <w:b/>
          <w:color w:val="003CA0"/>
          <w:sz w:val="16"/>
        </w:rPr>
        <w:t>[MS 28.700, rel. min. Marco Aurélio, j. 30-10-2012, 1ª T, DJE de 22-2-2013.]</w:t>
      </w:r>
    </w:p>
    <w:p>
      <w:pPr>
        <w:ind w:left="288"/>
      </w:pPr>
      <w:r>
        <w:rPr>
          <w:color w:val="8C8C8C"/>
          <w:sz w:val="12"/>
        </w:rPr>
        <w:t>cf-art-233-par-2</w:t>
      </w:r>
      <w:r>
        <w:rPr>
          <w:color w:val="003CA0"/>
          <w:sz w:val="12"/>
        </w:rPr>
        <w:t xml:space="preserve"> | AI 825.731</w:t>
      </w:r>
      <w:r>
        <w:rPr>
          <w:color w:val="003CA0"/>
          <w:sz w:val="12"/>
        </w:rPr>
        <w:t xml:space="preserve"> | rel. Cármen Lúcia</w:t>
      </w:r>
    </w:p>
    <w:p>
      <w:pPr>
        <w:ind w:left="288"/>
      </w:pPr>
      <w:r>
        <w:rPr>
          <w:color w:val="1E1E1E"/>
          <w:sz w:val="18"/>
        </w:rPr>
        <w:t>Anistia. Aplicação de prazo prescricional às ações fundadas no art. 8º do ADCT.</w:t>
      </w:r>
    </w:p>
    <w:p>
      <w:pPr>
        <w:ind w:left="288"/>
      </w:pPr>
      <w:r>
        <w:rPr>
          <w:b/>
          <w:color w:val="003CA0"/>
          <w:sz w:val="16"/>
        </w:rPr>
        <w:t>[AI 825.731 AgR-segundo, rel. min. Cármen Lúcia, j. 16-10-2012, 2ª T, DJE de 16-11-2012.]</w:t>
      </w:r>
    </w:p>
    <w:p>
      <w:pPr>
        <w:ind w:left="288"/>
      </w:pPr>
      <w:r>
        <w:rPr>
          <w:color w:val="8C8C8C"/>
          <w:sz w:val="12"/>
        </w:rPr>
        <w:t>cf-art-233-par-2</w:t>
      </w:r>
      <w:r>
        <w:rPr>
          <w:color w:val="003CA0"/>
          <w:sz w:val="12"/>
        </w:rPr>
        <w:t xml:space="preserve"> | RE 368.090</w:t>
      </w:r>
      <w:r>
        <w:rPr>
          <w:color w:val="003CA0"/>
          <w:sz w:val="12"/>
        </w:rPr>
        <w:t xml:space="preserve"> | rel. Gilmar Mendes</w:t>
      </w:r>
    </w:p>
    <w:p>
      <w:pPr>
        <w:ind w:left="288"/>
      </w:pPr>
      <w:r>
        <w:rPr>
          <w:color w:val="1E1E1E"/>
          <w:sz w:val="18"/>
        </w:rPr>
        <w:t xml:space="preserve">A regra do art. 8º do ADCT é de interpretação restritiva. O intérprete deve contemplar tão somente as situações lá descritas, às quais não se subsumem às pretensões do falecido autor. Não se trata de restrição casuística, dado que a limitação do alcance do benefício da anistia é de caráter geral. Os mecanismos de ressarcimento não alcançam indenizações por confisco nem devolução de bens outrora confiscados. O art. 8º do ADCT apenas assegura promoções e indenizações pertinentes a carreiras de servidores públicos civis e militares. Não há como se criar jurisprudencialmente situação que autorize </w:t>
      </w:r>
    </w:p>
    <w:p>
      <w:pPr>
        <w:ind w:left="288"/>
      </w:pPr>
      <w:r>
        <w:rPr>
          <w:b/>
          <w:color w:val="003CA0"/>
          <w:sz w:val="16"/>
        </w:rPr>
        <w:t>[RE 368.090, voto do rel. min. Gilmar Mendes, j. 21-8-2012, 2ª T, DJE de 19-12-2012.]</w:t>
      </w:r>
    </w:p>
    <w:p>
      <w:pPr>
        <w:ind w:left="288"/>
      </w:pPr>
      <w:r>
        <w:rPr>
          <w:color w:val="8C8C8C"/>
          <w:sz w:val="12"/>
        </w:rPr>
        <w:t>cf-art-233-par-2</w:t>
      </w:r>
      <w:r>
        <w:rPr>
          <w:color w:val="003CA0"/>
          <w:sz w:val="12"/>
        </w:rPr>
        <w:t xml:space="preserve"> | RMS 27.094</w:t>
      </w:r>
      <w:r>
        <w:rPr>
          <w:color w:val="003CA0"/>
          <w:sz w:val="12"/>
        </w:rPr>
        <w:t xml:space="preserve"> | rel. Dias Toffoli</w:t>
      </w:r>
    </w:p>
    <w:p>
      <w:pPr>
        <w:ind w:left="288"/>
      </w:pPr>
      <w:r>
        <w:rPr>
          <w:color w:val="1E1E1E"/>
          <w:sz w:val="18"/>
        </w:rPr>
        <w:t>Não é possível condicionar o pagamento de valores retroativos devidos a anistiado político à existência de termo de adesão firmado pelo anistiado (RMS 27.094, rel. min. Dias Toffoli, DJE de 2-8-2010).</w:t>
      </w:r>
    </w:p>
    <w:p>
      <w:pPr>
        <w:ind w:left="288"/>
      </w:pPr>
      <w:r>
        <w:rPr>
          <w:b/>
          <w:color w:val="003CA0"/>
          <w:sz w:val="16"/>
        </w:rPr>
        <w:t>[AI 798.495 AgR, voto do rel. min. Gilmar Mendes, j. 16-11-2010, 2ª T, DJE de 30-11-2010.]</w:t>
      </w:r>
    </w:p>
    <w:p>
      <w:pPr>
        <w:ind w:left="288"/>
      </w:pPr>
      <w:r>
        <w:rPr>
          <w:color w:val="8C8C8C"/>
          <w:sz w:val="12"/>
        </w:rPr>
        <w:t>cf-art-233-par-2</w:t>
      </w:r>
      <w:r>
        <w:rPr>
          <w:color w:val="003CA0"/>
          <w:sz w:val="12"/>
        </w:rPr>
        <w:t xml:space="preserve"> | RMS 25.692</w:t>
      </w:r>
      <w:r>
        <w:rPr>
          <w:color w:val="003CA0"/>
          <w:sz w:val="12"/>
        </w:rPr>
        <w:t xml:space="preserve"> | rel. Cármen Lúcia</w:t>
      </w:r>
    </w:p>
    <w:p>
      <w:pPr>
        <w:ind w:left="288"/>
      </w:pPr>
      <w:r>
        <w:rPr>
          <w:color w:val="1E1E1E"/>
          <w:sz w:val="18"/>
        </w:rPr>
        <w:t>Anistia política. Aeronáutica. Anulação da Portaria 2.396/2002. Há evidência nos autos de que foi instaurado processo administrativo para anulação da portaria do recorrente, tendo sido observadas as regras procedimentais previstas na Lei 10.559/2002. Desnecessidade de a Comissão de Anistia se manifestar previamente à anulação de ato de concessão de anistia. Aplicação das Súmulas 346 e 473 do STF. Não comprovação de que o recorrente era cabo que teria sido vítima de ato de exceção à época da edição da Portaria 1.104/1964.</w:t>
      </w:r>
    </w:p>
    <w:p>
      <w:pPr>
        <w:ind w:left="288"/>
      </w:pPr>
      <w:r>
        <w:rPr>
          <w:b/>
          <w:color w:val="003CA0"/>
          <w:sz w:val="16"/>
        </w:rPr>
        <w:t>[RMS 25.692, rel. min. Cármen Lúcia, j. 8-6-2010, 1ª T, DJE de 1º-7-2010.]</w:t>
      </w:r>
    </w:p>
    <w:p>
      <w:pPr>
        <w:ind w:left="288"/>
      </w:pPr>
      <w:r>
        <w:rPr>
          <w:color w:val="8C8C8C"/>
          <w:sz w:val="12"/>
        </w:rPr>
        <w:t>cf-art-233-par-2</w:t>
      </w:r>
      <w:r>
        <w:rPr>
          <w:color w:val="003CA0"/>
          <w:sz w:val="12"/>
        </w:rPr>
        <w:t xml:space="preserve"> | RMS 25.833</w:t>
      </w:r>
      <w:r>
        <w:rPr>
          <w:color w:val="003CA0"/>
          <w:sz w:val="12"/>
        </w:rPr>
        <w:t xml:space="preserve"> | rel. Marco Aurélio</w:t>
      </w:r>
    </w:p>
    <w:p>
      <w:pPr>
        <w:ind w:left="288"/>
      </w:pPr>
      <w:r>
        <w:rPr>
          <w:color w:val="1E1E1E"/>
          <w:sz w:val="18"/>
        </w:rPr>
        <w:t>Vide RMS 25.833, rel. p/ o ac. min. Marco Aurélio, j. 9-9-2008, 1ª T, DJE de 21-11-2008 A anistia política é ato vinculado. Comprovados os requisitos previstos na lei e no regulamento, é dever da administração declará-la. A ausência de qualquer desses requisitos impede o reconhecimento desse direito. Decorre do poder de autotutela o dever das autoridades de revisar, de ofício, os atos administrativos irregulares que impliquem ônus ao Estado, como é o caso da declaração da condição de anistiado político (Súmulas 346 e 473, STF). Precedente: RMS 21.259, rel. min. Sepúlveda Pertence, DJ de 8-11-1</w:t>
      </w:r>
    </w:p>
    <w:p>
      <w:pPr>
        <w:ind w:left="288"/>
      </w:pPr>
      <w:r>
        <w:rPr>
          <w:b/>
          <w:color w:val="003CA0"/>
          <w:sz w:val="16"/>
        </w:rPr>
        <w:t>[RMS 25.988, rel. min. Eros Grau, j. 9-3-2010, 2ª T, DJE de 14-5-2010.]</w:t>
      </w:r>
    </w:p>
    <w:p>
      <w:pPr>
        <w:ind w:left="288"/>
      </w:pPr>
      <w:r>
        <w:rPr>
          <w:color w:val="8C8C8C"/>
          <w:sz w:val="12"/>
        </w:rPr>
        <w:t>cf-art-233-par-2</w:t>
      </w:r>
      <w:r>
        <w:rPr>
          <w:color w:val="003CA0"/>
          <w:sz w:val="12"/>
        </w:rPr>
        <w:t xml:space="preserve"> | RMS 31.027</w:t>
      </w:r>
      <w:r>
        <w:rPr>
          <w:color w:val="003CA0"/>
          <w:sz w:val="12"/>
        </w:rPr>
        <w:t xml:space="preserve"> | rel. Dias Toffoli</w:t>
      </w:r>
    </w:p>
    <w:p>
      <w:pPr>
        <w:ind w:left="288"/>
      </w:pPr>
      <w:r>
        <w:rPr>
          <w:color w:val="1E1E1E"/>
          <w:sz w:val="18"/>
        </w:rPr>
        <w:t>= RMS 31.027 ED, rel. min. Dias Toffoli, j. 26-6-2012, 1ª T, DJE de 14-9-2012 = RMS 31.111 AgR, rel. min. Ricardo Lewandowski, j. 20-3-2012, 2ª T, DJE de 2-4-2012 A apuração dos consectários ilíquidos do direito à promoção por merecimento faz-se no processo de execução.</w:t>
      </w:r>
    </w:p>
    <w:p>
      <w:pPr>
        <w:ind w:left="288"/>
      </w:pPr>
      <w:r>
        <w:rPr>
          <w:b/>
          <w:color w:val="003CA0"/>
          <w:sz w:val="16"/>
        </w:rPr>
        <w:t>[RE 528.163 ED, rel. min. Cezar Peluso, j. 8-9-2009, 2ª T, DJE de 9-10-2009.]</w:t>
      </w:r>
    </w:p>
    <w:p>
      <w:pPr>
        <w:ind w:left="288"/>
      </w:pPr>
      <w:r>
        <w:rPr>
          <w:color w:val="8C8C8C"/>
          <w:sz w:val="12"/>
        </w:rPr>
        <w:t>cf-art-233-par-2</w:t>
      </w:r>
      <w:r>
        <w:rPr>
          <w:color w:val="003CA0"/>
          <w:sz w:val="12"/>
        </w:rPr>
        <w:t xml:space="preserve"> | RE 628.570</w:t>
      </w:r>
      <w:r>
        <w:rPr>
          <w:color w:val="003CA0"/>
          <w:sz w:val="12"/>
        </w:rPr>
        <w:t xml:space="preserve"> | rel. Gilmar Mendes</w:t>
      </w:r>
    </w:p>
    <w:p>
      <w:pPr>
        <w:ind w:left="288"/>
      </w:pPr>
      <w:r>
        <w:rPr>
          <w:color w:val="1E1E1E"/>
          <w:sz w:val="18"/>
        </w:rPr>
        <w:t>= RE 628.570 ED, rel. min. Gilmar Mendes, j. 1º-3-2011, 2ª T, DJE de 23-3-2011 Vide RE 166.791 EDv, rel. min. Gilmar Mendes, j. 20-9-2007, P, DJ de 19-10-2007 Vide AI 138.331 AgR, rel. min. Marco Aurélio, j. 24-9-1991, 2ª T, DJ de 11-10-1991 A simples intervenção em entidade de classe que congregava a categoria profissional, sem demonstração de ato de exceção concreto, a alcançar o impetrante de forma individualizada, não é de molde a atrair a condição de vítima a gerar o direito à anistia.</w:t>
      </w:r>
    </w:p>
    <w:p>
      <w:pPr>
        <w:ind w:left="288"/>
      </w:pPr>
      <w:r>
        <w:rPr>
          <w:b/>
          <w:color w:val="003CA0"/>
          <w:sz w:val="16"/>
        </w:rPr>
        <w:t>[RMS 26.350, rel. min. Marco Aurélio, j. 9-9-2008, 1ª T, DJE de 5-12-2008.]</w:t>
      </w:r>
    </w:p>
    <w:p>
      <w:pPr>
        <w:ind w:left="288"/>
      </w:pPr>
      <w:r>
        <w:rPr>
          <w:color w:val="8C8C8C"/>
          <w:sz w:val="12"/>
        </w:rPr>
        <w:t>cf-art-233-par-2</w:t>
      </w:r>
      <w:r>
        <w:rPr>
          <w:color w:val="003CA0"/>
          <w:sz w:val="12"/>
        </w:rPr>
        <w:t xml:space="preserve"> | RMS 24.953</w:t>
      </w:r>
      <w:r>
        <w:rPr>
          <w:color w:val="003CA0"/>
          <w:sz w:val="12"/>
        </w:rPr>
        <w:t xml:space="preserve"> | rel. Carlos Velloso). Considerando que a lei fixou prazo para a autoridade efetuar o pagamento da indenização – no caso</w:t>
      </w:r>
    </w:p>
    <w:p>
      <w:pPr>
        <w:ind w:left="288"/>
      </w:pPr>
      <w:r>
        <w:rPr>
          <w:color w:val="1E1E1E"/>
          <w:sz w:val="18"/>
        </w:rPr>
        <w:t>Anistiado político. Lei 10.559/2002. Indenização. Valores retroativos, fixados em portaria do ministro da Justiça. Cabimento da segurança. Decadência. Adequação da via eleita, dado que "a hipótese não consubstancia ação de cobrança, mas tem por finalidade sanar omissão da autoridade coatora, que não deu cumprimento integral às portarias do ministro de Estado da Justiça" (RMS 24.953, rel. min. Carlos Velloso). Considerando que a lei fixou prazo para a autoridade efetuar o pagamento da indenização – no caso, sessenta dias –, o término desse prazo, sem a aludida providência, implica o início da c</w:t>
      </w:r>
    </w:p>
    <w:p>
      <w:pPr>
        <w:ind w:left="288"/>
      </w:pPr>
      <w:r>
        <w:rPr>
          <w:b/>
          <w:color w:val="003CA0"/>
          <w:sz w:val="16"/>
        </w:rPr>
        <w:t>[RMS 26.881, rel. min. Ayres Britto, j. 13-11-2007, 1ª T, DJE de 7-11-2008.]</w:t>
      </w:r>
    </w:p>
    <w:p>
      <w:pPr>
        <w:ind w:left="288"/>
      </w:pPr>
      <w:r>
        <w:rPr>
          <w:color w:val="8C8C8C"/>
          <w:sz w:val="12"/>
        </w:rPr>
        <w:t>cf-art-233-par-2</w:t>
      </w:r>
      <w:r>
        <w:rPr>
          <w:color w:val="003CA0"/>
          <w:sz w:val="12"/>
        </w:rPr>
        <w:t xml:space="preserve"> | RMS 26.947</w:t>
      </w:r>
      <w:r>
        <w:rPr>
          <w:color w:val="003CA0"/>
          <w:sz w:val="12"/>
        </w:rPr>
        <w:t xml:space="preserve"> | rel. Cármen Lúcia</w:t>
      </w:r>
    </w:p>
    <w:p>
      <w:pPr>
        <w:ind w:left="288"/>
      </w:pPr>
      <w:r>
        <w:rPr>
          <w:color w:val="1E1E1E"/>
          <w:sz w:val="18"/>
        </w:rPr>
        <w:t>= RMS 26.947, rel. min. Cármen Lúcia, j. 10-3-2009, 1ª T, DJE de 17-4-2009 Vide AI 798.495 AgR, rel. min. Gilmar Mendes, j. 16-11-2010, 2ª T, DJE de 30-11-2010 Embargos de divergência em recurso extraordinário. Anistia. Art. 8º do ADCT/1988. Promoção de militar e alcance do benefício constitucional. Recurso extraordinário conhecido e provido. A jurisprudência do STF, que se firmara no sentido de excluir do âmbito de incidência do benefício constitucional da anistia tanto as promoções fundadas no critério de merecimento quanto aquelas que pressupunham aprovação em concurso e admissão e posterio</w:t>
      </w:r>
    </w:p>
    <w:p>
      <w:pPr>
        <w:ind w:left="288"/>
      </w:pPr>
      <w:r>
        <w:rPr>
          <w:b/>
          <w:color w:val="003CA0"/>
          <w:sz w:val="16"/>
        </w:rPr>
        <w:t>[RE 166.791 EDv, rel. min. Gilmar Mendes, j. 20-9-2007, P, DJ de 19-10-2007.]</w:t>
      </w:r>
    </w:p>
    <w:p>
      <w:pPr>
        <w:ind w:left="288"/>
      </w:pPr>
      <w:r>
        <w:rPr>
          <w:color w:val="8C8C8C"/>
          <w:sz w:val="12"/>
        </w:rPr>
        <w:t>cf-art-233-par-2</w:t>
      </w:r>
      <w:r>
        <w:rPr>
          <w:color w:val="003CA0"/>
          <w:sz w:val="12"/>
        </w:rPr>
        <w:t xml:space="preserve"> | RE 660.309</w:t>
      </w:r>
      <w:r>
        <w:rPr>
          <w:color w:val="003CA0"/>
          <w:sz w:val="12"/>
        </w:rPr>
        <w:t xml:space="preserve"> | rel. Cármen Lúcia</w:t>
      </w:r>
    </w:p>
    <w:p>
      <w:pPr>
        <w:ind w:left="288"/>
      </w:pPr>
      <w:r>
        <w:rPr>
          <w:color w:val="1E1E1E"/>
          <w:sz w:val="18"/>
        </w:rPr>
        <w:t>= RE 660.309 AgR, rel. min. Cármen Lúcia, j. 18-9-2012, 2ª T, DJE de 10-10-2012 = RE 175.034 ED-EDv-AgR-ED, rel. min. Ricardo Lewandowski, j. 17-11-2011, P, DJE de 1º-12-2011 O que a norma do art. 8º do ADCT exige, para a concessão de promoções, na aposentadoria ou na reserva, é a observância, apenas, dos prazos de permanência em atividade inscritos nas leis e regulamentos vigentes, inclusive, em consequência, do requisito de idade-limite para ingresso em graduações ou postos que constem de leis e regulamentos vigentes na ocasião em que o servidor, civil ou militar, seria promovido.</w:t>
      </w:r>
    </w:p>
    <w:p>
      <w:pPr>
        <w:ind w:left="288"/>
      </w:pPr>
      <w:r>
        <w:rPr>
          <w:b/>
          <w:color w:val="003CA0"/>
          <w:sz w:val="16"/>
        </w:rPr>
        <w:t>[RE 165.438, rel. min. Carlos Velloso, j. 6-10-2005, P, DJ de 5-5-2006.]</w:t>
      </w:r>
    </w:p>
    <w:p>
      <w:pPr>
        <w:ind w:left="288"/>
      </w:pPr>
      <w:r>
        <w:rPr>
          <w:color w:val="8C8C8C"/>
          <w:sz w:val="12"/>
        </w:rPr>
        <w:t>cf-art-233-par-2</w:t>
      </w:r>
      <w:r>
        <w:rPr>
          <w:color w:val="003CA0"/>
          <w:sz w:val="12"/>
        </w:rPr>
        <w:t xml:space="preserve"> | RE 632.176</w:t>
      </w:r>
      <w:r>
        <w:rPr>
          <w:color w:val="003CA0"/>
          <w:sz w:val="12"/>
        </w:rPr>
        <w:t xml:space="preserve"> | rel. Teori Zavascki</w:t>
      </w:r>
    </w:p>
    <w:p>
      <w:pPr>
        <w:ind w:left="288"/>
      </w:pPr>
      <w:r>
        <w:rPr>
          <w:color w:val="1E1E1E"/>
          <w:sz w:val="18"/>
        </w:rPr>
        <w:t>= RE 632.176 AgR-EDv-AgR, rel. min. Teori Zavascki, j. 27-2-2014, P, DJE de 28-3-2014 No que toca ao art. 8º do ADCT/1988, somente aos militares punidos com base em ato institucional ou complementar são asseguradas as promoções na inatividade, e não àqueles afastados com base em dispositivo da legislação comum: RE 248.825/SE, min. Moreira Alves, DJ de 30-6-2000.</w:t>
      </w:r>
    </w:p>
    <w:p>
      <w:pPr>
        <w:ind w:left="288"/>
      </w:pPr>
      <w:r>
        <w:rPr>
          <w:b/>
          <w:color w:val="003CA0"/>
          <w:sz w:val="16"/>
        </w:rPr>
        <w:t>[RE 241.924 EDv-AgR, rel. min. Carlos Velloso, j. 29-5-2003, P, DJ de 20-6-2003.]</w:t>
      </w:r>
    </w:p>
    <w:p>
      <w:pPr>
        <w:ind w:left="288"/>
      </w:pPr>
      <w:r>
        <w:rPr>
          <w:color w:val="8C8C8C"/>
          <w:sz w:val="12"/>
        </w:rPr>
        <w:t>cf-art-233-par-2</w:t>
      </w:r>
      <w:r>
        <w:rPr>
          <w:color w:val="003CA0"/>
          <w:sz w:val="12"/>
        </w:rPr>
        <w:t xml:space="preserve"> | MI 626</w:t>
      </w:r>
      <w:r>
        <w:rPr>
          <w:color w:val="003CA0"/>
          <w:sz w:val="12"/>
        </w:rPr>
        <w:t xml:space="preserve"> | rel. Marco Aurélio</w:t>
      </w:r>
    </w:p>
    <w:p>
      <w:pPr>
        <w:ind w:left="288"/>
      </w:pPr>
      <w:r>
        <w:rPr>
          <w:color w:val="1E1E1E"/>
          <w:sz w:val="18"/>
        </w:rPr>
        <w:t>A anistia de que cuida o art. 8º do ADCT da Lei Fundamental de 1988 beneficiou civis e militares, estando, entre os primeiros, servidores, empregados e profissionais liberais, alfim, todo e qualquer cidadão qualificado como trabalhador. (...) À exceção do preceito do § 3º, o teor do art. 8º do ADCT da Lei Fundamental veio à balha com eficácia plena, sendo imprópria a impetração de mandado de injunção para alcançar-se o exercício de direito dele decorrente.</w:t>
      </w:r>
    </w:p>
    <w:p>
      <w:pPr>
        <w:ind w:left="288"/>
      </w:pPr>
      <w:r>
        <w:rPr>
          <w:b/>
          <w:color w:val="003CA0"/>
          <w:sz w:val="16"/>
        </w:rPr>
        <w:t>[MI 626, rel. min. Marco Aurélio, j. 14-3-2001, P, DJ de 18-6-2001.]</w:t>
      </w:r>
    </w:p>
    <w:p>
      <w:pPr>
        <w:ind w:left="288"/>
      </w:pPr>
      <w:r>
        <w:rPr>
          <w:color w:val="8C8C8C"/>
          <w:sz w:val="12"/>
        </w:rPr>
        <w:t>cf-art-233-par-2</w:t>
      </w:r>
      <w:r>
        <w:rPr>
          <w:color w:val="003CA0"/>
          <w:sz w:val="12"/>
        </w:rPr>
        <w:t xml:space="preserve"> | RE 270.614</w:t>
      </w:r>
      <w:r>
        <w:rPr>
          <w:color w:val="003CA0"/>
          <w:sz w:val="12"/>
        </w:rPr>
        <w:t xml:space="preserve"> | rel. Maurício Corrêa</w:t>
      </w:r>
    </w:p>
    <w:p>
      <w:pPr>
        <w:ind w:left="288"/>
      </w:pPr>
      <w:r>
        <w:rPr>
          <w:color w:val="1E1E1E"/>
          <w:sz w:val="18"/>
        </w:rPr>
        <w:t>Pretensão de anular inquérito policial militar com base no qual foi aplicada pena de demissão ao servidor. Hipótese não prevista na norma constitucional transitória, que concedeu anistia aos que foram atingidos, em decorrência de motivação exclusivamente política, por atos de exceção, institucionais ou complementares.</w:t>
      </w:r>
    </w:p>
    <w:p>
      <w:pPr>
        <w:ind w:left="288"/>
      </w:pPr>
      <w:r>
        <w:rPr>
          <w:b/>
          <w:color w:val="003CA0"/>
          <w:sz w:val="16"/>
        </w:rPr>
        <w:t>[RE 270.614 AgR, rel. min. Maurício Corrêa, j. 17-10-2000, 2ª T, DJ de 2-3-2001.]</w:t>
      </w:r>
    </w:p>
    <w:p>
      <w:pPr>
        <w:ind w:left="288"/>
      </w:pPr>
      <w:r>
        <w:rPr>
          <w:color w:val="8C8C8C"/>
          <w:sz w:val="12"/>
        </w:rPr>
        <w:t>cf-art-233-par-2</w:t>
      </w:r>
      <w:r>
        <w:rPr>
          <w:color w:val="003CA0"/>
          <w:sz w:val="12"/>
        </w:rPr>
        <w:t xml:space="preserve"> | RE 123.485</w:t>
      </w:r>
      <w:r>
        <w:rPr>
          <w:color w:val="003CA0"/>
          <w:sz w:val="12"/>
        </w:rPr>
        <w:t xml:space="preserve"> | rel. Néri da Silveira</w:t>
      </w:r>
    </w:p>
    <w:p>
      <w:pPr>
        <w:ind w:left="288"/>
      </w:pPr>
      <w:r>
        <w:rPr>
          <w:color w:val="1E1E1E"/>
          <w:sz w:val="18"/>
        </w:rPr>
        <w:t>A jurisprudência do STF, quanto à EC 26/1985 e ao art. 8º do ADCT de 1988, é efetivamente no sentido de não se admitir a anistia política, aí prevista, quando a punição alegada tem fundamento em norma disciplinar não excepcional ou nos regulamentos das Forças Armadas, singulares ou em lei que, conjuntamente, se lhes aplica. Não cabe mudar o fundamento da punição posto no ato administrativo. Não basta a só referência a motivações políticas eventuais no ato de punição do militar, a qual ocorreu, entretanto, segundo os regulamentos disciplinares e com base nesses.</w:t>
      </w:r>
    </w:p>
    <w:p>
      <w:pPr>
        <w:ind w:left="288"/>
      </w:pPr>
      <w:r>
        <w:rPr>
          <w:b/>
          <w:color w:val="003CA0"/>
          <w:sz w:val="16"/>
        </w:rPr>
        <w:t>[RE 123.485, rel. p/ o ac. min. Néri da Silveira, j. 10-10-2000, 2ª T, DJ de 6-9-2001.]</w:t>
      </w:r>
    </w:p>
    <w:p>
      <w:pPr>
        <w:ind w:left="288"/>
      </w:pPr>
      <w:r>
        <w:rPr>
          <w:color w:val="8C8C8C"/>
          <w:sz w:val="12"/>
        </w:rPr>
        <w:t>cf-art-233-par-2</w:t>
      </w:r>
      <w:r>
        <w:rPr>
          <w:color w:val="003CA0"/>
          <w:sz w:val="12"/>
        </w:rPr>
        <w:t xml:space="preserve"> | RE 170.934</w:t>
      </w:r>
      <w:r>
        <w:rPr>
          <w:color w:val="003CA0"/>
          <w:sz w:val="12"/>
        </w:rPr>
        <w:t xml:space="preserve"> | rel. Marco Aurélio</w:t>
      </w:r>
    </w:p>
    <w:p>
      <w:pPr>
        <w:ind w:left="288"/>
      </w:pPr>
      <w:r>
        <w:rPr>
          <w:color w:val="1E1E1E"/>
          <w:sz w:val="18"/>
        </w:rPr>
        <w:t>A anistia prevista no art. 8º do ADCT/1988 alcançou os concursados e nomeados que foram impedidos de tomar posse em cargo público ante a impossibilidade de apresentarem atestado ideológico consentâneo com o regime político então em vigor. Anistia. Implemento. Decreto. Mudança de governo. Publicidade. Sustação. Discrepa a mais não poder dos novos ares constitucionais o endosso judicial, sob a óptica da discricionariedade da administração pública, à suspensão de decreto a encerrar anistia.</w:t>
      </w:r>
    </w:p>
    <w:p>
      <w:pPr>
        <w:ind w:left="288"/>
      </w:pPr>
      <w:r>
        <w:rPr>
          <w:b/>
          <w:color w:val="003CA0"/>
          <w:sz w:val="16"/>
        </w:rPr>
        <w:t>[RE 170.934, rel. min. Marco Aurélio, j. 10-8-1999, 2ª T, DJ de 5-5-2000.]</w:t>
      </w:r>
    </w:p>
    <w:p>
      <w:pPr>
        <w:ind w:left="288"/>
      </w:pPr>
      <w:r>
        <w:rPr>
          <w:color w:val="8C8C8C"/>
          <w:sz w:val="12"/>
        </w:rPr>
        <w:t>cf-art-233-par-2</w:t>
      </w:r>
      <w:r>
        <w:rPr>
          <w:color w:val="003CA0"/>
          <w:sz w:val="12"/>
        </w:rPr>
        <w:t xml:space="preserve"> | RE 184.860</w:t>
      </w:r>
      <w:r>
        <w:rPr>
          <w:color w:val="003CA0"/>
          <w:sz w:val="12"/>
        </w:rPr>
        <w:t xml:space="preserve"> | rel. Ilmar Galvão</w:t>
      </w:r>
    </w:p>
    <w:p>
      <w:pPr>
        <w:ind w:left="288"/>
      </w:pPr>
      <w:r>
        <w:rPr>
          <w:color w:val="1E1E1E"/>
          <w:sz w:val="18"/>
        </w:rPr>
        <w:t>Anistia. Art. 8º, § 5º, do ADCT. Servidores municipais despedidos em janeiro/1952, em face de participação em movimento grevista. Configuração da hipótese prevista na primeira parte do dispositivo constitucional indicado, que não tem, entre seus pressupostos, a motivação política.</w:t>
      </w:r>
    </w:p>
    <w:p>
      <w:pPr>
        <w:ind w:left="288"/>
      </w:pPr>
      <w:r>
        <w:rPr>
          <w:b/>
          <w:color w:val="003CA0"/>
          <w:sz w:val="16"/>
        </w:rPr>
        <w:t>[RE 184.860, rel. min. Ilmar Galvão, j. 30-3-1999, 1ª T, DJ de 13-8-1999.]</w:t>
      </w:r>
    </w:p>
    <w:p>
      <w:pPr>
        <w:ind w:left="288"/>
      </w:pPr>
      <w:r>
        <w:rPr>
          <w:color w:val="8C8C8C"/>
          <w:sz w:val="12"/>
        </w:rPr>
        <w:t>cf-art-233-par-2</w:t>
      </w:r>
      <w:r>
        <w:rPr>
          <w:color w:val="003CA0"/>
          <w:sz w:val="12"/>
        </w:rPr>
        <w:t xml:space="preserve"> | RE 140.616</w:t>
      </w:r>
      <w:r>
        <w:rPr>
          <w:color w:val="003CA0"/>
          <w:sz w:val="12"/>
        </w:rPr>
        <w:t xml:space="preserve"> | rel. Maurício Corrêa</w:t>
      </w:r>
    </w:p>
    <w:p>
      <w:pPr>
        <w:ind w:left="288"/>
      </w:pPr>
      <w:r>
        <w:rPr>
          <w:color w:val="1E1E1E"/>
          <w:sz w:val="18"/>
        </w:rPr>
        <w:t>Habilitação dos herdeiros por morte do impetrante. Impossibilidade, dado o caráter mandamental da ação e a natureza personalíssima do único direito postulado: a anistia prevista no art. 8º do ADCT-CF/1988.</w:t>
      </w:r>
    </w:p>
    <w:p>
      <w:pPr>
        <w:ind w:left="288"/>
      </w:pPr>
      <w:r>
        <w:rPr>
          <w:b/>
          <w:color w:val="003CA0"/>
          <w:sz w:val="16"/>
        </w:rPr>
        <w:t>[RE 140.616 ED-ED-ED-ED, rel. min. Maurício Corrêa, j. 1º-8-1997, P, DJ de 31-10-1997.]</w:t>
      </w:r>
    </w:p>
    <w:p>
      <w:pPr>
        <w:ind w:left="288"/>
      </w:pPr>
      <w:r>
        <w:rPr>
          <w:color w:val="8C8C8C"/>
          <w:sz w:val="12"/>
        </w:rPr>
        <w:t>cf-art-233-par-2</w:t>
      </w:r>
      <w:r>
        <w:rPr>
          <w:color w:val="003CA0"/>
          <w:sz w:val="12"/>
        </w:rPr>
        <w:t xml:space="preserve"> | RE 145.179</w:t>
      </w:r>
      <w:r>
        <w:rPr>
          <w:color w:val="003CA0"/>
          <w:sz w:val="12"/>
        </w:rPr>
        <w:t xml:space="preserve"> | rel. Celso de Mello</w:t>
      </w:r>
    </w:p>
    <w:p>
      <w:pPr>
        <w:ind w:left="288"/>
      </w:pPr>
      <w:r>
        <w:rPr>
          <w:color w:val="1E1E1E"/>
          <w:sz w:val="18"/>
        </w:rPr>
        <w:t>A jurisprudência do STF, ao definir o alcance da norma inscrita no art. 8º do ADCT/1988, firmou-se no sentido de excluir do âmbito de incidência do benefício constitucional da anistia tanto as promoções fundadas no critério de merecimento quanto aquelas que pressuponham aprovação em concurso de admissão e posterior aproveitamento em curso exigido por lei ou por atos regulamentares.</w:t>
      </w:r>
    </w:p>
    <w:p>
      <w:pPr>
        <w:ind w:left="288"/>
      </w:pPr>
      <w:r>
        <w:rPr>
          <w:b/>
          <w:color w:val="003CA0"/>
          <w:sz w:val="16"/>
        </w:rPr>
        <w:t>[RE 145.179, rel. min. Celso de Mello, j. 12-2-1993, 1ª T, DJ de 3-5-1996.]</w:t>
      </w:r>
    </w:p>
    <w:p>
      <w:pPr>
        <w:ind w:left="288"/>
      </w:pPr>
      <w:r>
        <w:rPr>
          <w:color w:val="8C8C8C"/>
          <w:sz w:val="12"/>
        </w:rPr>
        <w:t>cf-art-233-par-2</w:t>
      </w:r>
      <w:r>
        <w:rPr>
          <w:color w:val="003CA0"/>
          <w:sz w:val="12"/>
        </w:rPr>
        <w:t xml:space="preserve"> | RE 170.186</w:t>
      </w:r>
      <w:r>
        <w:rPr>
          <w:color w:val="003CA0"/>
          <w:sz w:val="12"/>
        </w:rPr>
        <w:t xml:space="preserve"> | rel. Moreira Alves</w:t>
      </w:r>
    </w:p>
    <w:p>
      <w:pPr>
        <w:ind w:left="288"/>
      </w:pPr>
      <w:r>
        <w:rPr>
          <w:color w:val="1E1E1E"/>
          <w:sz w:val="18"/>
        </w:rPr>
        <w:t>= RE 170.186, rel. min. Moreira Alves, j. 25-6-1996, 1ª T, DJ de 18-4-1997 O art. 8º do ADCT não assegura, indiscriminadamente, todas as promoções que, em tese, seriam possíveis, mas apenas aquelas a que teria direito o servidor, caso houvesse permanecido em atividade. Cabe verificar, em cada caso, as características e peculiaridades das carreiras dos servidores civis e militares, observando-se os respectivos regimes jurídicos. Disso resulta a indispensabilidade de examinar a legislação que disciplina cada situação, em ordem a considerar a existência de direito à promoção, ou de mera expectati</w:t>
      </w:r>
    </w:p>
    <w:p>
      <w:pPr>
        <w:ind w:left="288"/>
      </w:pPr>
      <w:r>
        <w:rPr>
          <w:b/>
          <w:color w:val="003CA0"/>
          <w:sz w:val="16"/>
        </w:rPr>
        <w:t>[RE 141.290, rel. min. Néri da Silveira, j. 27-8-1992, P, DJ de 2-4-1993.]</w:t>
      </w:r>
    </w:p>
    <w:p>
      <w:pPr>
        <w:ind w:left="288"/>
      </w:pPr>
      <w:r>
        <w:rPr>
          <w:color w:val="8C8C8C"/>
          <w:sz w:val="12"/>
        </w:rPr>
        <w:t>cf-art-233-par-2</w:t>
      </w:r>
      <w:r>
        <w:rPr>
          <w:color w:val="003CA0"/>
          <w:sz w:val="12"/>
        </w:rPr>
        <w:t xml:space="preserve"> | RMS 28.758</w:t>
      </w:r>
      <w:r>
        <w:rPr>
          <w:color w:val="003CA0"/>
          <w:sz w:val="12"/>
        </w:rPr>
        <w:t xml:space="preserve"> | rel. Marco Aurélio</w:t>
      </w:r>
    </w:p>
    <w:p>
      <w:pPr>
        <w:ind w:left="288"/>
      </w:pPr>
      <w:r>
        <w:rPr>
          <w:color w:val="1E1E1E"/>
          <w:sz w:val="18"/>
        </w:rPr>
        <w:t>= RMS 28.758, rel. min. Marco Aurélio, j. 22-11-2011, 1ª T, DJE de 6-12-2011 Longe fica de vulnerar o disposto no art. 8º do ADCT decisão em que se conclui pelo direito de militar, atingido por ato de exceção, institucional ou complementar, a promoções, pelo duplo critério – antiguidade e merecimento. O preceito constitucional, ao disciplinar a anistia, não contém qualquer distinção. Restringir as promoções ao fator tempo implica esvaziar o próprio instituto da anistia, no que vinculada a movimentação como se no serviço ativo estivesse o militar. A referência a "prazos de permanência em ativid</w:t>
      </w:r>
    </w:p>
    <w:p>
      <w:pPr>
        <w:ind w:left="288"/>
      </w:pPr>
      <w:r>
        <w:rPr>
          <w:b/>
          <w:color w:val="003CA0"/>
          <w:sz w:val="16"/>
        </w:rPr>
        <w:t>[AI 138.331 AgR, rel. min. Marco Aurélio, j. 24-9-1991, 2ª T, DJ de 11-10-1991.]</w:t>
      </w:r>
    </w:p>
    <w:p>
      <w:pPr>
        <w:ind w:left="288"/>
      </w:pPr>
      <w:r>
        <w:rPr>
          <w:color w:val="8C8C8C"/>
          <w:sz w:val="12"/>
        </w:rPr>
        <w:t>cf-art-233-par-2</w:t>
      </w:r>
      <w:r>
        <w:rPr>
          <w:color w:val="003CA0"/>
          <w:sz w:val="12"/>
        </w:rPr>
        <w:t xml:space="preserve"> | RMS 21.108</w:t>
      </w:r>
      <w:r>
        <w:rPr>
          <w:color w:val="003CA0"/>
          <w:sz w:val="12"/>
        </w:rPr>
        <w:t xml:space="preserve"> | rel. Célio Borja</w:t>
      </w:r>
    </w:p>
    <w:p>
      <w:pPr>
        <w:ind w:left="288"/>
      </w:pPr>
      <w:r>
        <w:rPr>
          <w:color w:val="1E1E1E"/>
          <w:sz w:val="18"/>
        </w:rPr>
        <w:t>Promoção ao generalato, ato de livre escolha do presidente da República, é configurada mera expectativa de direito. Inexistência de direito líquido e certo. (...) Princípio da isonomia que recomenda não se confira tratamento diferenciado ao anistiado, em detrimento de colegas que permaneceram na atividade e que, nem por isso, alcançaram o generalato.</w:t>
      </w:r>
    </w:p>
    <w:p>
      <w:pPr>
        <w:ind w:left="288"/>
      </w:pPr>
      <w:r>
        <w:rPr>
          <w:b/>
          <w:color w:val="003CA0"/>
          <w:sz w:val="16"/>
        </w:rPr>
        <w:t>[RMS 21.108, rel. min. Célio Borja, j. 28-11-1990, P, DJ de 22-3-1991.]</w:t>
      </w:r>
    </w:p>
    <w:p>
      <w:pPr>
        <w:ind w:left="288"/>
      </w:pPr>
      <w:r>
        <w:rPr>
          <w:color w:val="8C8C8C"/>
          <w:sz w:val="12"/>
        </w:rPr>
        <w:t>cf-art-233-par-1</w:t>
      </w:r>
      <w:r>
        <w:rPr>
          <w:color w:val="003CA0"/>
          <w:sz w:val="12"/>
        </w:rPr>
        <w:t xml:space="preserve"> | RE 275.480</w:t>
      </w:r>
      <w:r>
        <w:rPr>
          <w:color w:val="003CA0"/>
          <w:sz w:val="12"/>
        </w:rPr>
        <w:t xml:space="preserve"> | rel. Ellen Gracie</w:t>
      </w:r>
    </w:p>
    <w:p>
      <w:pPr>
        <w:ind w:left="288"/>
      </w:pPr>
      <w:r>
        <w:rPr>
          <w:color w:val="1E1E1E"/>
          <w:sz w:val="18"/>
        </w:rPr>
        <w:t>Compatibilidade do art. 8º, § 1º e § 5º, do ADCT da CF de 1988 e do art. 39 do ADCT da Constituição do Estado do Paraná. Limitação dos efeitos financeiros da anistia ao período posterior à promulgação da Carta de 1988. (...) Se o constituinte federal estabeleceu, como princípio, a limitação, no tempo, dos efeitos financeiros da anistia, o poder constituinte derivado não pode ultrapassar esse limite. Interpretação conforme do art. 8º, § 1º e § 5º, do ADCT da Carta Maior. Na expressão "todas as vantagens" encontram-se tão só aquelas não excluídas pela correspondente norma da CF.</w:t>
      </w:r>
    </w:p>
    <w:p>
      <w:pPr>
        <w:ind w:left="288"/>
      </w:pPr>
      <w:r>
        <w:rPr>
          <w:b/>
          <w:color w:val="003CA0"/>
          <w:sz w:val="16"/>
        </w:rPr>
        <w:t>[RE 275.480, rel. min. Ellen Gracie, j. 7-11-2002, P, DJ de 7-2-2003.]</w:t>
      </w:r>
    </w:p>
    <w:p>
      <w:pPr>
        <w:ind w:left="288"/>
      </w:pPr>
      <w:r>
        <w:rPr>
          <w:color w:val="8C8C8C"/>
          <w:sz w:val="12"/>
        </w:rPr>
        <w:t>cf-art-233-par-1</w:t>
      </w:r>
      <w:r>
        <w:rPr>
          <w:color w:val="003CA0"/>
          <w:sz w:val="12"/>
        </w:rPr>
        <w:t xml:space="preserve"> | RE 410.187</w:t>
      </w:r>
      <w:r>
        <w:rPr>
          <w:color w:val="003CA0"/>
          <w:sz w:val="12"/>
        </w:rPr>
        <w:t xml:space="preserve"> | rel. Carlos Velloso</w:t>
      </w:r>
    </w:p>
    <w:p>
      <w:pPr>
        <w:ind w:left="288"/>
      </w:pPr>
      <w:r>
        <w:rPr>
          <w:color w:val="1E1E1E"/>
          <w:sz w:val="18"/>
        </w:rPr>
        <w:t>= RE 410.187 AgR, voto do rel. min. Carlos Velloso, j. 16-3-2004, 2ª T, DJ de 2-4-2004 Readmissão ao corpo docente da Fundação Universidade de Brasília. Efeitos financeiros. Art. 8º, § 1º, do ADCT da Carta de 1988. A estrutura normativa da regra excepcional consubstanciada no art. 8º do ADCT permite vislumbrar que, ao lado do afastamento dos efeitos financeiros retroativos à data da Carta de 1988, abriu-se campo à reparação das vantagens pecuniárias a partir da promulgação da Constituição.</w:t>
      </w:r>
    </w:p>
    <w:p>
      <w:pPr>
        <w:ind w:left="288"/>
      </w:pPr>
      <w:r>
        <w:rPr>
          <w:b/>
          <w:color w:val="003CA0"/>
          <w:sz w:val="16"/>
        </w:rPr>
        <w:t>[RE 228.276, rel. min. Ilmar Galvão, j. 3-11-1998, 1ª T, DJ de 12-2-1999.]</w:t>
      </w:r>
    </w:p>
    <w:p>
      <w:pPr>
        <w:ind w:left="288"/>
      </w:pPr>
      <w:r>
        <w:rPr>
          <w:color w:val="8C8C8C"/>
          <w:sz w:val="12"/>
        </w:rPr>
        <w:t>cf-art-233-par-1</w:t>
      </w:r>
      <w:r>
        <w:rPr>
          <w:color w:val="003CA0"/>
          <w:sz w:val="12"/>
        </w:rPr>
        <w:t xml:space="preserve"> | RE 140.368</w:t>
      </w:r>
      <w:r>
        <w:rPr>
          <w:color w:val="003CA0"/>
          <w:sz w:val="12"/>
        </w:rPr>
        <w:t xml:space="preserve"> | rel. Ilmar Galvão</w:t>
      </w:r>
    </w:p>
    <w:p>
      <w:pPr>
        <w:ind w:left="288"/>
      </w:pPr>
      <w:r>
        <w:rPr>
          <w:color w:val="1E1E1E"/>
          <w:sz w:val="18"/>
        </w:rPr>
        <w:t>Policial militar. Anistia. Acórdão que lhe reconheceu o benefício da anistia da Lei 6.683/1979 e da EC 26/1985, direito às promoções e à diferença de vencimentos em atraso. Alegada ofensa ao § 1º do art. 8º do ADCT/1988. Inconstitucionalidade não configurada, tendo em vista tratar-se da anistia, não do art. 8º do ADCT/1988, mas dos anteriores diplomas indicados.</w:t>
      </w:r>
    </w:p>
    <w:p>
      <w:pPr>
        <w:ind w:left="288"/>
      </w:pPr>
      <w:r>
        <w:rPr>
          <w:b/>
          <w:color w:val="003CA0"/>
          <w:sz w:val="16"/>
        </w:rPr>
        <w:t>[RE 140.368, rel. min. Ilmar Galvão, j. 10-5-1996, 1ª T, DJ de 2-8-1996.]</w:t>
      </w:r>
    </w:p>
    <w:p>
      <w:pPr>
        <w:ind w:left="288"/>
      </w:pPr>
      <w:r>
        <w:rPr>
          <w:color w:val="8C8C8C"/>
          <w:sz w:val="12"/>
        </w:rPr>
        <w:t>cf-art-233-par-1</w:t>
      </w:r>
    </w:p>
    <w:p>
      <w:pPr>
        <w:ind w:left="288"/>
      </w:pPr>
      <w:r>
        <w:rPr>
          <w:color w:val="1E1E1E"/>
          <w:sz w:val="18"/>
        </w:rPr>
        <w:t>§ 2º Ficam assegurados os benefícios estabelecidos neste artigo aos trabalhadores do setor privado, dirigentes e representantes sindicais que, por motivos exclusivamente políticos, tenham sido punidos, demitidos ou compelidos ao afastamento das atividades remuneradas que exerciam, bem como aos que foram impedidos de exercer atividades profissionais em virtude de pressões ostensivas ou expedientes oficiais sigilosos. § 3º Aos cidadãos que foram impedidos de exercer, na vida civil, atividade profissional específica, em decorrência das Portarias Reservadas do Ministério da Aeronáutica nº S-50-GM5</w:t>
      </w:r>
    </w:p>
    <w:p>
      <w:pPr>
        <w:ind w:left="288"/>
      </w:pPr>
      <w:r>
        <w:rPr>
          <w:color w:val="8C8C8C"/>
          <w:sz w:val="12"/>
        </w:rPr>
        <w:t>cf-art-233-par-1</w:t>
      </w:r>
      <w:r>
        <w:rPr>
          <w:color w:val="003CA0"/>
          <w:sz w:val="12"/>
        </w:rPr>
        <w:t xml:space="preserve"> | MI 562</w:t>
      </w:r>
      <w:r>
        <w:rPr>
          <w:color w:val="003CA0"/>
          <w:sz w:val="12"/>
        </w:rPr>
        <w:t xml:space="preserve"> | rel. Carlos Velloso</w:t>
      </w:r>
    </w:p>
    <w:p>
      <w:pPr>
        <w:ind w:left="288"/>
      </w:pPr>
      <w:r>
        <w:rPr>
          <w:color w:val="1E1E1E"/>
          <w:sz w:val="18"/>
        </w:rPr>
        <w:t>Reconhecimento da mora legislativa do Congresso Nacional em editar a norma prevista no § 3º do art. 8º do ADCT, assegurando-se, aos impetrantes, o exercício da ação de reparação patrimonial, nos termos do direito comum ou ordinário, sem prejuízo de que se venham, no futuro, a beneficiar de tudo quanto, na lei a ser editada, lhes possa ser mais favorável que o disposto na decisão judicial. O pleito deverá ser veiculado diretamente mediante ação de liquidação, dando-se como certos os fatos constitutivos do direito, limitada, portanto, a atividade judicial à fixação do quantum devido.</w:t>
      </w:r>
    </w:p>
    <w:p>
      <w:pPr>
        <w:ind w:left="288"/>
      </w:pPr>
      <w:r>
        <w:rPr>
          <w:b/>
          <w:color w:val="003CA0"/>
          <w:sz w:val="16"/>
        </w:rPr>
        <w:t>[MI 562, rel. min. Carlos Velloso, j. 20-2-2003, P, DJ de 20-6-2003.]</w:t>
      </w:r>
    </w:p>
    <w:p>
      <w:pPr>
        <w:ind w:left="288"/>
      </w:pPr>
      <w:r>
        <w:rPr>
          <w:color w:val="8C8C8C"/>
          <w:sz w:val="12"/>
        </w:rPr>
        <w:t>cf-art-233-par-1</w:t>
      </w:r>
      <w:r>
        <w:rPr>
          <w:color w:val="003CA0"/>
          <w:sz w:val="12"/>
        </w:rPr>
        <w:t xml:space="preserve"> | MI 284</w:t>
      </w:r>
    </w:p>
    <w:p>
      <w:pPr>
        <w:ind w:left="288"/>
      </w:pPr>
      <w:r>
        <w:rPr>
          <w:color w:val="1E1E1E"/>
          <w:sz w:val="18"/>
        </w:rPr>
        <w:t>O caráter essencialmente mandamental da ação injuncional – consoante tem proclamado a jurisprudência do STF – impõe que se defina, como passivamente legitimado ad causam, na relação processual instaurada, o órgão público inadimplente, em situação de inércia inconstitucional, ao qual é imputável a omissão causalmente inviabilizadora do exercício de direito, liberdade e prerrogativa de índole constitucional. No caso, ex vi do § 3º do art. 8º do ADCT, a inatividade inconstitucional é somente atribuível ao Congresso Nacional, a cuja iniciativa se reservou, com exclusividade, o poder de instaurar o</w:t>
      </w:r>
    </w:p>
    <w:p>
      <w:pPr>
        <w:ind w:left="288"/>
      </w:pPr>
      <w:r>
        <w:rPr>
          <w:b/>
          <w:color w:val="003CA0"/>
          <w:sz w:val="16"/>
        </w:rPr>
        <w:t>[MI 284, red. do ac. min. Celso de Mello, j. 22-11-1991, P, DJ de 26-6-1992.]</w:t>
      </w:r>
    </w:p>
    <w:p>
      <w:pPr>
        <w:ind w:left="288"/>
      </w:pPr>
      <w:r>
        <w:rPr>
          <w:color w:val="8C8C8C"/>
          <w:sz w:val="12"/>
        </w:rPr>
        <w:t>cf-art-233-par-4</w:t>
      </w:r>
    </w:p>
    <w:p>
      <w:pPr>
        <w:ind w:left="288"/>
      </w:pPr>
      <w:r>
        <w:rPr>
          <w:color w:val="1E1E1E"/>
          <w:sz w:val="18"/>
        </w:rPr>
        <w:t>§ 5º A anistia concedida nos termos deste artigo aplica-se aos servidores públicos civis e aos empregados em todos os níveis de governo ou em suas fundações, empresas públicas ou empresas mistas sob controle estatal, exceto nos Ministérios militares, que tenham sido punidos ou demitidos por atividades profissionais interrompidas em virtude de decisão de seus trabalhadores, bem como em decorrência do Decreto-Lei nº 1.632, de 4 de agosto de 1978, ou por motivos exclusivamente políticos, assegurada a readmissão dos que foram atingidos a partir de 1979, observado o disposto no § 1º.</w:t>
      </w:r>
    </w:p>
    <w:p>
      <w:pPr>
        <w:ind w:left="288"/>
      </w:pPr>
      <w:r>
        <w:rPr>
          <w:color w:val="8C8C8C"/>
          <w:sz w:val="12"/>
        </w:rPr>
        <w:t>cf-art-233-par-4</w:t>
      </w:r>
      <w:r>
        <w:rPr>
          <w:color w:val="003CA0"/>
          <w:sz w:val="12"/>
        </w:rPr>
        <w:t xml:space="preserve"> | ARE 709.246</w:t>
      </w:r>
      <w:r>
        <w:rPr>
          <w:color w:val="003CA0"/>
          <w:sz w:val="12"/>
        </w:rPr>
        <w:t xml:space="preserve"> | rel. Roberto Barroso</w:t>
      </w:r>
    </w:p>
    <w:p>
      <w:pPr>
        <w:ind w:left="288"/>
      </w:pPr>
      <w:r>
        <w:rPr>
          <w:color w:val="1E1E1E"/>
          <w:sz w:val="18"/>
        </w:rPr>
        <w:t>Anistia. Art. 8º, § 5º, do ADCT. Direito à readmissão restrito aos que sofreram atos de exceção a partir de 1979. (...) A autora enquadra-se na condição de anistiada prevista no caput do art. 8º do ADCT, porém esse reconhecimento não lhe confere o direito a ser readmitida. Isso porque não preencheu a hipótese fática constante da limitação imposta pelo texto constitucional, uma vez que foi demitida em 1969, dez anos antes do termo inicial fixado pela norma constitucional.</w:t>
        <w:br/>
        <w:t>[ARE 709.246 AgR, rel. min. Roberto Barroso, j. 17-2-2017, 1ª T, DJE de 10-3-2017.] A Justiça comum é competente para julgar</w:t>
      </w:r>
    </w:p>
    <w:p>
      <w:pPr>
        <w:ind w:left="288"/>
      </w:pPr>
      <w:r>
        <w:rPr>
          <w:b/>
          <w:color w:val="003CA0"/>
          <w:sz w:val="16"/>
        </w:rPr>
        <w:t>[RE 507.153 AgR, rel. min. Eros Grau, j. 3-6-2008, 2ª T, DJE de 20-6-2008.]</w:t>
      </w:r>
    </w:p>
    <w:p>
      <w:pPr>
        <w:ind w:left="288"/>
      </w:pPr>
      <w:r>
        <w:rPr>
          <w:color w:val="8C8C8C"/>
          <w:sz w:val="12"/>
        </w:rPr>
        <w:t>cf-art-233-par-4</w:t>
      </w:r>
      <w:r>
        <w:rPr>
          <w:color w:val="003CA0"/>
          <w:sz w:val="12"/>
        </w:rPr>
        <w:t xml:space="preserve"> | RE 275.480</w:t>
      </w:r>
      <w:r>
        <w:rPr>
          <w:color w:val="003CA0"/>
          <w:sz w:val="12"/>
        </w:rPr>
        <w:t xml:space="preserve"> | rel. Ellen Gracie</w:t>
      </w:r>
    </w:p>
    <w:p>
      <w:pPr>
        <w:ind w:left="288"/>
      </w:pPr>
      <w:r>
        <w:rPr>
          <w:color w:val="1E1E1E"/>
          <w:sz w:val="18"/>
        </w:rPr>
        <w:t>Compatibilidade do art. 8º, §§ 1º e 5º do ADCT da CF de 1988, e do art. 39 do ADCT da Constituição do Estado do Paraná. Limitação dos efeitos financeiros da anistia ao período posterior à promulgação da Carta de 1988. (...) Se o constituinte federal estabeleceu, como princípio, a limitação, no tempo, dos efeitos financeiros da anistia, o poder constituinte derivado não pode ultrapassar esse limite. Interpretação conforme do art. 8º, §§ 1º e 5º, do ADCT da Carta Maior. Na expressão "todas as vantagens" encontram-se tão só aquelas não excluídas pela correspondente norma da CF.</w:t>
      </w:r>
    </w:p>
    <w:p>
      <w:pPr>
        <w:ind w:left="288"/>
      </w:pPr>
      <w:r>
        <w:rPr>
          <w:b/>
          <w:color w:val="003CA0"/>
          <w:sz w:val="16"/>
        </w:rPr>
        <w:t>[RE 275.480, rel. min. Ellen Gracie, j. 17-11-2002, P, DJ de 7-2-2003.]</w:t>
      </w:r>
    </w:p>
    <w:p>
      <w:pPr>
        <w:ind w:left="288"/>
      </w:pPr>
      <w:r>
        <w:rPr>
          <w:color w:val="8C8C8C"/>
          <w:sz w:val="12"/>
        </w:rPr>
        <w:t>cf-art-233-par-4</w:t>
      </w:r>
      <w:r>
        <w:rPr>
          <w:color w:val="003CA0"/>
          <w:sz w:val="12"/>
        </w:rPr>
        <w:t xml:space="preserve"> | RE 209.950</w:t>
      </w:r>
      <w:r>
        <w:rPr>
          <w:color w:val="003CA0"/>
          <w:sz w:val="12"/>
        </w:rPr>
        <w:t xml:space="preserve"> | rel. Octavio Gallotti</w:t>
      </w:r>
    </w:p>
    <w:p>
      <w:pPr>
        <w:ind w:left="288"/>
      </w:pPr>
      <w:r>
        <w:rPr>
          <w:color w:val="1E1E1E"/>
          <w:sz w:val="18"/>
        </w:rPr>
        <w:t>Anistia do art. 8º, § 5º, do ADCT. Não se aplica aos que, originariamente dispensados por falta disciplinar, haviam tido a despedida convertida em imotivada, com o recebimento de todas as verbas rescisórias.</w:t>
      </w:r>
    </w:p>
    <w:p>
      <w:pPr>
        <w:ind w:left="288"/>
      </w:pPr>
      <w:r>
        <w:rPr>
          <w:b/>
          <w:color w:val="003CA0"/>
          <w:sz w:val="16"/>
        </w:rPr>
        <w:t>[RE 209.950, rel. min. Octavio Gallotti, j. 6-6-2000, 2ª T, DJ de 7-12-2000.]</w:t>
      </w:r>
    </w:p>
    <w:p>
      <w:pPr>
        <w:ind w:left="288"/>
      </w:pPr>
      <w:r>
        <w:rPr>
          <w:color w:val="8C8C8C"/>
          <w:sz w:val="12"/>
        </w:rPr>
        <w:t>cf-art-233-par-4</w:t>
      </w:r>
      <w:r>
        <w:rPr>
          <w:color w:val="003CA0"/>
          <w:sz w:val="12"/>
        </w:rPr>
        <w:t xml:space="preserve"> | RE 233.806</w:t>
      </w:r>
      <w:r>
        <w:rPr>
          <w:color w:val="003CA0"/>
          <w:sz w:val="12"/>
        </w:rPr>
        <w:t xml:space="preserve"> | rel. Joaquim Barbosa</w:t>
      </w:r>
    </w:p>
    <w:p>
      <w:pPr>
        <w:ind w:left="288"/>
      </w:pPr>
      <w:r>
        <w:rPr>
          <w:color w:val="1E1E1E"/>
          <w:sz w:val="18"/>
        </w:rPr>
        <w:t>= RE 233.806 AgR, rel. min. Joaquim Barbosa, j. 26-6-2012, 2ª T, DJE de 29-8-2012 Anistia. Art. 8º, § 5º, do ADCT-CF/1988. Direito à remuneração relativa ao período do afastamento de empregado, demitido em razão da sua participação no Movimento Paredista. A estrutura normativa da regra excepcional da CF permite a reparação das vantagens pecuniárias a partir de 5 de outubro de 1988, afastando os efeitos financeiros retroativos à vigência da nova ordem constitucional.</w:t>
      </w:r>
    </w:p>
    <w:p>
      <w:pPr>
        <w:ind w:left="288"/>
      </w:pPr>
      <w:r>
        <w:rPr>
          <w:b/>
          <w:color w:val="003CA0"/>
          <w:sz w:val="16"/>
        </w:rPr>
        <w:t>[RE 220.801 AgR, rel. min. Maurício Corrêa, j. 29-2-2000, 2ª T, DJ de 25-8-2000.]</w:t>
      </w:r>
    </w:p>
    <w:p>
      <w:pPr>
        <w:ind w:left="288"/>
      </w:pPr>
      <w:r>
        <w:rPr>
          <w:color w:val="8C8C8C"/>
          <w:sz w:val="12"/>
        </w:rPr>
        <w:t>cf-art-233-par-4</w:t>
      </w:r>
      <w:r>
        <w:rPr>
          <w:color w:val="003CA0"/>
          <w:sz w:val="12"/>
        </w:rPr>
        <w:t xml:space="preserve"> | RE 184.860</w:t>
      </w:r>
      <w:r>
        <w:rPr>
          <w:color w:val="003CA0"/>
          <w:sz w:val="12"/>
        </w:rPr>
        <w:t xml:space="preserve"> | rel. Ilmar Galvão</w:t>
      </w:r>
    </w:p>
    <w:p>
      <w:pPr>
        <w:ind w:left="288"/>
      </w:pPr>
      <w:r>
        <w:rPr>
          <w:color w:val="1E1E1E"/>
          <w:sz w:val="18"/>
        </w:rPr>
        <w:t>Art. 8º, § 5º, do ADCT. Servidores municipais despedidos em janeiro/1952, em face de participação em movimento grevista. Configuração da hipótese prevista na primeira parte do dispositivo constitucional indicado, que não tem, entre seus pressupostos, a motivação política.</w:t>
      </w:r>
    </w:p>
    <w:p>
      <w:pPr>
        <w:ind w:left="288"/>
      </w:pPr>
      <w:r>
        <w:rPr>
          <w:b/>
          <w:color w:val="003CA0"/>
          <w:sz w:val="16"/>
        </w:rPr>
        <w:t>[RE 184.860, rel. min. Ilmar Galvão, j. 30-3-1999, 1ª T, DJ de 13-8-1999.]</w:t>
      </w:r>
    </w:p>
    <w:p>
      <w:pPr>
        <w:ind w:left="288"/>
      </w:pPr>
      <w:r>
        <w:rPr>
          <w:color w:val="8C8C8C"/>
          <w:sz w:val="12"/>
        </w:rPr>
        <w:t>cf-art-233-par-4</w:t>
      </w:r>
    </w:p>
    <w:p>
      <w:pPr>
        <w:ind w:left="288"/>
      </w:pPr>
      <w:r>
        <w:rPr>
          <w:color w:val="1E1E1E"/>
          <w:sz w:val="18"/>
        </w:rPr>
        <w:t>Art. 9º. Os que, por motivos exclusivamente políticos, foram cassados ou tiveram seus direitos políticos suspensos no período de 15 de julho a 31 de dezembro de 1969, por ato do então Presidente da República, poderão requerer ao Supremo Tribunal Federal o reconhecimento dos direitos e vantagens interrompidos pelos atos punitivos, desde que comprovem terem sido estes eivados de vício grave.</w:t>
      </w:r>
    </w:p>
    <w:p>
      <w:pPr>
        <w:ind w:left="144"/>
      </w:pPr>
      <w:r>
        <w:rPr>
          <w:b/>
          <w:color w:val="B45A00"/>
          <w:sz w:val="16"/>
        </w:rPr>
        <w:t>CONTROLE CONCENTRADO</w:t>
      </w:r>
    </w:p>
    <w:p>
      <w:pPr>
        <w:ind w:left="288"/>
      </w:pPr>
      <w:r>
        <w:rPr>
          <w:color w:val="8C8C8C"/>
          <w:sz w:val="12"/>
        </w:rPr>
        <w:t>cf-art-233-par-4</w:t>
      </w:r>
      <w:r>
        <w:rPr>
          <w:color w:val="003CA0"/>
          <w:sz w:val="12"/>
        </w:rPr>
        <w:t xml:space="preserve"> | ADI 2.639</w:t>
      </w:r>
      <w:r>
        <w:rPr>
          <w:color w:val="003CA0"/>
          <w:sz w:val="12"/>
        </w:rPr>
        <w:t xml:space="preserve"> | rel. Nelson Jobim</w:t>
      </w:r>
    </w:p>
    <w:p>
      <w:pPr>
        <w:ind w:left="288"/>
      </w:pPr>
      <w:r>
        <w:rPr>
          <w:color w:val="1E1E1E"/>
          <w:sz w:val="18"/>
        </w:rPr>
        <w:t>A anistia referida nos arts. 8º e 9º do ADCT foi prevista em benefício daqueles que foram vítimas de atos de "exceção, institucionais ou complementares", que, de alguma forma, sofreram prejuízos em suas atividades profissionais, em seus direitos ou por motivos políticos, mesmo que trabalhadores da iniciativa privada, dirigentes e representantes sindicais. A anistia dos arts. 8º e 9º do ADCT tem índole político-institucional e, por essa mesma natureza, sua competência de concessão legislativa é exclusiva do poder constituinte originário federal. Isso porque, muito embora seja previsão important</w:t>
      </w:r>
    </w:p>
    <w:p>
      <w:pPr>
        <w:ind w:left="288"/>
      </w:pPr>
      <w:r>
        <w:rPr>
          <w:b/>
          <w:color w:val="003CA0"/>
          <w:sz w:val="16"/>
        </w:rPr>
        <w:t>[ADI 2.639, rel. min. Nelson Jobim, j. 8-2-2006, P, DJ de 4-8-2006.]</w:t>
      </w:r>
    </w:p>
    <w:p>
      <w:pPr>
        <w:ind w:left="144"/>
      </w:pPr>
      <w:r>
        <w:rPr>
          <w:b/>
          <w:color w:val="B45A00"/>
          <w:sz w:val="16"/>
        </w:rPr>
        <w:t>JULGADOS CORRELATOS</w:t>
      </w:r>
    </w:p>
    <w:p>
      <w:pPr>
        <w:ind w:left="288"/>
      </w:pPr>
      <w:r>
        <w:rPr>
          <w:color w:val="8C8C8C"/>
          <w:sz w:val="12"/>
        </w:rPr>
        <w:t>cf-art-233-par-4</w:t>
      </w:r>
      <w:r>
        <w:rPr>
          <w:color w:val="003CA0"/>
          <w:sz w:val="12"/>
        </w:rPr>
        <w:t xml:space="preserve"> | rel. Eros Grau</w:t>
      </w:r>
    </w:p>
    <w:p>
      <w:pPr>
        <w:ind w:left="288"/>
      </w:pPr>
      <w:r>
        <w:rPr>
          <w:color w:val="1E1E1E"/>
          <w:sz w:val="18"/>
        </w:rPr>
        <w:t>O vocábulo "cassação" do art. 9º do ADCT contempla a situação de todos os que, com fundamento na legislação excepcional, sofreram ato punitivo de demissão, disponibilidade, aposentadoria, transferência para a reserva ou reforma, afetando, portanto, direitos de índole funcional. A expressão "vício grave" do art. 9º do ADCT tem sentido abrangente, alcançando tanto os vícios formais quanto os materiais do ato de cassação ou de suspensão dos direitos políticos. Incluem-se entre essas hipóteses o vício da vontade presidencial e o da dupla punição, ainda que na esfera militar. Precedente (AOE 13 (..</w:t>
      </w:r>
    </w:p>
    <w:p>
      <w:pPr>
        <w:ind w:left="288"/>
      </w:pPr>
      <w:r>
        <w:rPr>
          <w:b/>
          <w:color w:val="003CA0"/>
          <w:sz w:val="16"/>
        </w:rPr>
        <w:t>[AOE 16, rel. min. Eros Grau, j. 6-10-2005, P, DJ de 16-12-2005.]</w:t>
      </w:r>
    </w:p>
    <w:p>
      <w:pPr>
        <w:ind w:left="288"/>
      </w:pPr>
      <w:r>
        <w:rPr>
          <w:color w:val="8C8C8C"/>
          <w:sz w:val="12"/>
        </w:rPr>
        <w:t>cf-art-233-par-4</w:t>
      </w:r>
      <w:r>
        <w:rPr>
          <w:color w:val="003CA0"/>
          <w:sz w:val="12"/>
        </w:rPr>
        <w:t xml:space="preserve"> | rel. Octavio Gallotti</w:t>
      </w:r>
    </w:p>
    <w:p>
      <w:pPr>
        <w:ind w:left="288"/>
      </w:pPr>
      <w:r>
        <w:rPr>
          <w:color w:val="1E1E1E"/>
          <w:sz w:val="18"/>
        </w:rPr>
        <w:t>Ação originária ajuizada com fundamento no art. 9º do ADCT, contra ato de governador de Estado. Impossibilidade, tendo em vista que o dispositivo transitório se limita a atos do presidente da República.</w:t>
      </w:r>
    </w:p>
    <w:p>
      <w:pPr>
        <w:ind w:left="288"/>
      </w:pPr>
      <w:r>
        <w:rPr>
          <w:b/>
          <w:color w:val="003CA0"/>
          <w:sz w:val="16"/>
        </w:rPr>
        <w:t>[AOE 20 AgR, rel. min. Octavio Gallotti, j. 17-9-1998, P, DJ de 26-2-1999.]</w:t>
      </w:r>
    </w:p>
    <w:p>
      <w:pPr>
        <w:ind w:left="288"/>
      </w:pPr>
      <w:r>
        <w:rPr>
          <w:color w:val="8C8C8C"/>
          <w:sz w:val="12"/>
        </w:rPr>
        <w:t>cf-art-233-par-4</w:t>
      </w:r>
      <w:r>
        <w:rPr>
          <w:color w:val="003CA0"/>
          <w:sz w:val="12"/>
        </w:rPr>
        <w:t xml:space="preserve"> | rel. Marco Aurélio</w:t>
      </w:r>
    </w:p>
    <w:p>
      <w:pPr>
        <w:ind w:left="288"/>
      </w:pPr>
      <w:r>
        <w:rPr>
          <w:color w:val="1E1E1E"/>
          <w:sz w:val="18"/>
        </w:rPr>
        <w:t>O direito à reparação, consideradas as vantagens interrompidas pelos atos punitivos, não prescinde da comprovação pelo autor do vício grave de que cogita a parte final do art. 9º do ADCT.</w:t>
      </w:r>
    </w:p>
    <w:p>
      <w:pPr>
        <w:ind w:left="288"/>
      </w:pPr>
      <w:r>
        <w:rPr>
          <w:b/>
          <w:color w:val="003CA0"/>
          <w:sz w:val="16"/>
        </w:rPr>
        <w:t>[AOE 17, rel. min. Marco Aurélio, j. 18-4-1996, P, DJ de 25-5-2001.]</w:t>
      </w:r>
    </w:p>
    <w:p>
      <w:pPr>
        <w:ind w:left="288"/>
      </w:pPr>
      <w:r>
        <w:rPr>
          <w:color w:val="8C8C8C"/>
          <w:sz w:val="12"/>
        </w:rPr>
        <w:t>cf-art-233-par-4</w:t>
      </w:r>
      <w:r>
        <w:rPr>
          <w:color w:val="003CA0"/>
          <w:sz w:val="12"/>
        </w:rPr>
        <w:t xml:space="preserve"> | rel. Marco Aurélio</w:t>
      </w:r>
    </w:p>
    <w:p>
      <w:pPr>
        <w:ind w:left="288"/>
      </w:pPr>
      <w:r>
        <w:rPr>
          <w:color w:val="1E1E1E"/>
          <w:sz w:val="18"/>
        </w:rPr>
        <w:t xml:space="preserve">A expressão "vício grave", contida na parte final do art. 9º do ADCT da Lei Básica de 1988, tem sentido abrangente, alcançando quer os formais, quer os ligados à motivação do ato de cassação ou de suspensão dos direitos políticos. Configurada a ocorrência da dupla punição e, mais ainda, exsurgindo das peças do processo judicial reparatório que o ato extravagante foi praticado em represália por não se ter cumprido ordem discrepante das regras regedoras da espécie, no que transpareceram de contornos teratológicos, tem-se como suficientemente demonstrado o atendimento do requisito constitucional </w:t>
      </w:r>
    </w:p>
    <w:p>
      <w:pPr>
        <w:ind w:left="288"/>
      </w:pPr>
      <w:r>
        <w:rPr>
          <w:b/>
          <w:color w:val="003CA0"/>
          <w:sz w:val="16"/>
        </w:rPr>
        <w:t>[AOE 13, rel. p/ o ac. min. Marco Aurélio, j. 28-10-1992, P, DJ de 26-3-1993.]</w:t>
      </w:r>
    </w:p>
    <w:p>
      <w:pPr>
        <w:ind w:left="288"/>
      </w:pPr>
      <w:r>
        <w:rPr>
          <w:color w:val="8C8C8C"/>
          <w:sz w:val="12"/>
        </w:rPr>
        <w:t>cf-art-233-par-4</w:t>
      </w:r>
      <w:r>
        <w:rPr>
          <w:color w:val="003CA0"/>
          <w:sz w:val="12"/>
        </w:rPr>
        <w:t xml:space="preserve"> | rel. Moreira Alves</w:t>
      </w:r>
    </w:p>
    <w:p>
      <w:pPr>
        <w:ind w:left="288"/>
      </w:pPr>
      <w:r>
        <w:rPr>
          <w:color w:val="1E1E1E"/>
          <w:sz w:val="18"/>
        </w:rPr>
        <w:t>Segundo o art. 9º do ADCT, o ônus da prova da existência de vício grave no ato punitivo cabe a quem, por motivo exclusivamente político, foi cassado ou teve seus direitos políticos suspensos. A afirmação da ré de que não foram encontrados os originais dos decretos em causa equivale à declaração de extravio. Impossibilidade, no caso, de se aplicar a cominação processual do art. 359 do CPC, por não haver qualquer ilegitimidade na não exibição desses originais. Inexistência de prova alguma, inclusive de natureza indiciária, que corrobore a alegação dos autores de que seus atos de demissão ou de r</w:t>
      </w:r>
    </w:p>
    <w:p>
      <w:pPr>
        <w:ind w:left="288"/>
      </w:pPr>
      <w:r>
        <w:rPr>
          <w:b/>
          <w:color w:val="003CA0"/>
          <w:sz w:val="16"/>
        </w:rPr>
        <w:t>[AOE 6, rel. min. Moreira Alves, j. 6-4-1990, P, DJ de 20-8-1993.]</w:t>
      </w:r>
    </w:p>
    <w:p>
      <w:pPr>
        <w:ind w:left="288"/>
      </w:pPr>
      <w:r>
        <w:rPr>
          <w:color w:val="8C8C8C"/>
          <w:sz w:val="12"/>
        </w:rPr>
        <w:t>cf-art-233-par-4</w:t>
      </w:r>
      <w:r>
        <w:rPr>
          <w:color w:val="003CA0"/>
          <w:sz w:val="12"/>
        </w:rPr>
        <w:t xml:space="preserve"> | rel. Aldir Passarinho</w:t>
      </w:r>
    </w:p>
    <w:p>
      <w:pPr>
        <w:ind w:left="288"/>
      </w:pPr>
      <w:r>
        <w:rPr>
          <w:color w:val="1E1E1E"/>
          <w:sz w:val="18"/>
        </w:rPr>
        <w:t>Se resulta dos autos que a medida punitiva aplicada ao autor, com base no AI-5, não decorreu de motivos políticos, não incide, no caso, o disposto no art. 9º do ADCT da nova Carta Política, pois abrange tal dispositivo legal apenas aqueles que foram cassados ou tiveram seus direitos políticos suspensos exclusivamente sob fundamentação daquela natureza.</w:t>
      </w:r>
    </w:p>
    <w:p>
      <w:pPr>
        <w:ind w:left="288"/>
      </w:pPr>
      <w:r>
        <w:rPr>
          <w:b/>
          <w:color w:val="003CA0"/>
          <w:sz w:val="16"/>
        </w:rPr>
        <w:t>[AOE 12, rel. min. Aldir Passarinho, j. 18-5-1989, P, DJ de 10-8-1989.]</w:t>
      </w:r>
    </w:p>
    <w:p>
      <w:pPr>
        <w:ind w:left="288"/>
      </w:pPr>
      <w:r>
        <w:rPr>
          <w:color w:val="8C8C8C"/>
          <w:sz w:val="12"/>
        </w:rPr>
        <w:t>cf-art-233-par-unico</w:t>
      </w:r>
    </w:p>
    <w:p>
      <w:pPr>
        <w:ind w:left="288"/>
      </w:pPr>
      <w:r>
        <w:rPr>
          <w:color w:val="1E1E1E"/>
          <w:sz w:val="18"/>
        </w:rPr>
        <w:t>Art. 10. Até que seja promulgada a lei complementar a que se refere o art. 7º, I, da Constituição:</w:t>
      </w:r>
    </w:p>
    <w:p>
      <w:pPr>
        <w:ind w:left="144"/>
      </w:pPr>
      <w:r>
        <w:rPr>
          <w:b/>
          <w:color w:val="B45A00"/>
          <w:sz w:val="16"/>
        </w:rPr>
        <w:t>CONTROLE CONCENTRADO</w:t>
      </w:r>
    </w:p>
    <w:p>
      <w:pPr>
        <w:ind w:left="288"/>
      </w:pPr>
      <w:r>
        <w:rPr>
          <w:color w:val="8C8C8C"/>
          <w:sz w:val="12"/>
        </w:rPr>
        <w:t>cf-art-233-par-unico</w:t>
      </w:r>
      <w:r>
        <w:rPr>
          <w:color w:val="003CA0"/>
          <w:sz w:val="12"/>
        </w:rPr>
        <w:t xml:space="preserve"> | ADI 639</w:t>
      </w:r>
      <w:r>
        <w:rPr>
          <w:color w:val="003CA0"/>
          <w:sz w:val="12"/>
        </w:rPr>
        <w:t xml:space="preserve"> | rel. Joaquim Barbosa</w:t>
      </w:r>
    </w:p>
    <w:p>
      <w:pPr>
        <w:ind w:left="288"/>
      </w:pPr>
      <w:r>
        <w:rPr>
          <w:color w:val="1E1E1E"/>
          <w:sz w:val="18"/>
        </w:rPr>
        <w:t>Norma que assegura ao trabalhador a manutenção de contrato de trabalho por doze meses após a cessão do auxílio-doença, independentemente de percepção de auxílio-acidente. Alegação de ofensa à reserva de lei complementar, prevista no art. 7º, I, da CF, para a disciplina da proteção da relação de emprego contra despedida arbitrária ou sem justa causa. Norma que se refere às garantias constitucionais do trabalhador em face de acidentes de trabalho e não guarda pertinência com a proteção da relação de emprego nos termos do art. 7º, I, da Constituição.</w:t>
      </w:r>
    </w:p>
    <w:p>
      <w:pPr>
        <w:ind w:left="288"/>
      </w:pPr>
      <w:r>
        <w:rPr>
          <w:b/>
          <w:color w:val="003CA0"/>
          <w:sz w:val="16"/>
        </w:rPr>
        <w:t>[ADI 639, rel. min. Joaquim Barbosa, j. 2-6-2005, P, DJ de 21-10-2005.]</w:t>
      </w:r>
    </w:p>
    <w:p>
      <w:pPr>
        <w:ind w:left="288"/>
      </w:pPr>
      <w:r>
        <w:rPr>
          <w:color w:val="8C8C8C"/>
          <w:sz w:val="12"/>
        </w:rPr>
        <w:t>cf-art-233-par-unico</w:t>
      </w:r>
      <w:r>
        <w:rPr>
          <w:color w:val="003CA0"/>
          <w:sz w:val="12"/>
        </w:rPr>
        <w:t xml:space="preserve"> | ADI 1.480</w:t>
      </w:r>
      <w:r>
        <w:rPr>
          <w:color w:val="003CA0"/>
          <w:sz w:val="12"/>
        </w:rPr>
        <w:t xml:space="preserve"> | rel. Celso de Mello</w:t>
      </w:r>
    </w:p>
    <w:p>
      <w:pPr>
        <w:ind w:left="288"/>
      </w:pPr>
      <w:r>
        <w:rPr>
          <w:color w:val="1E1E1E"/>
          <w:sz w:val="18"/>
        </w:rPr>
        <w:t>A Convenção 158 da OIT (...) não consagrou, como única consequência derivada da ruptura abusiva ou arbitrária do contrato de trabalho, o dever de os Estados-partes, como o Brasil, instituírem, em sua legislação nacional, apenas a garantia da reintegração no emprego. Pelo contrário, a Convenção 158/OIT expressamente permite a cada Estado-parte (art. 10), que, em função de seu próprio ordenamento positivo interno, opte pela solução normativa que se revelar mais consentânea e compatível com a legislação e a prática nacionais, adotando, em consequência, sempre com estrita observância do estatuto f</w:t>
      </w:r>
    </w:p>
    <w:p>
      <w:pPr>
        <w:ind w:left="288"/>
      </w:pPr>
      <w:r>
        <w:rPr>
          <w:b/>
          <w:color w:val="003CA0"/>
          <w:sz w:val="16"/>
        </w:rPr>
        <w:t>[ADI 1.480 MC, rel. min. Celso de Mello, j. 4-9-1997, P, DJ de 18-5-2001.]</w:t>
      </w:r>
    </w:p>
    <w:p>
      <w:pPr>
        <w:ind w:left="288"/>
      </w:pPr>
      <w:r>
        <w:rPr>
          <w:color w:val="8C8C8C"/>
          <w:sz w:val="12"/>
        </w:rPr>
        <w:t>cf-art-233-par-unico-inc-I</w:t>
      </w:r>
      <w:r>
        <w:rPr>
          <w:color w:val="003CA0"/>
          <w:sz w:val="12"/>
        </w:rPr>
        <w:t xml:space="preserve"> | RE 226.855</w:t>
      </w:r>
      <w:r>
        <w:rPr>
          <w:color w:val="003CA0"/>
          <w:sz w:val="12"/>
        </w:rPr>
        <w:t xml:space="preserve"> | rel. Moreira Alves</w:t>
      </w:r>
    </w:p>
    <w:p>
      <w:pPr>
        <w:ind w:left="288"/>
      </w:pPr>
      <w:r>
        <w:rPr>
          <w:color w:val="1E1E1E"/>
          <w:sz w:val="18"/>
        </w:rPr>
        <w:t>(...) esta Suprema Corte considera constitucionais ambas as contribuições criadas pela LC 110/2001, desde que respeitado o prazo de anterioridade para início das respectivas exigibilidades (art. 150, III, b, da Constituição). Os dois tributos tinham por objetivo custear os dispêndios da União decorrentes de decisão do STF, que considerou devido o reajuste dos saldos do FGTS (RE 226.855, rel. min. Moreira Alves, Pleno, DJ de 13-10-2000). (...) O tributo (...) não viola o art. 10, I, do ADCT. A contribuição em exame não se confunde com a contribuição devida ao FGTS, em razão da diferente destina</w:t>
      </w:r>
    </w:p>
    <w:p>
      <w:pPr>
        <w:ind w:left="288"/>
      </w:pPr>
      <w:r>
        <w:rPr>
          <w:b/>
          <w:color w:val="003CA0"/>
          <w:sz w:val="16"/>
        </w:rPr>
        <w:t>[ADI 2.556 e ADI 2.568, voto do rel. min. Joaquim Barbosa, j. 13-6-2012, P, DJE de 20-9-2012.]</w:t>
      </w:r>
    </w:p>
    <w:p>
      <w:pPr>
        <w:ind w:left="288"/>
      </w:pPr>
      <w:r>
        <w:rPr>
          <w:color w:val="8C8C8C"/>
          <w:sz w:val="12"/>
        </w:rPr>
        <w:t>cf-art-233-par-unico-inc-I</w:t>
      </w:r>
      <w:r>
        <w:rPr>
          <w:color w:val="003CA0"/>
          <w:sz w:val="12"/>
        </w:rPr>
        <w:t xml:space="preserve"> | ADI 414</w:t>
      </w:r>
      <w:r>
        <w:rPr>
          <w:color w:val="003CA0"/>
          <w:sz w:val="12"/>
        </w:rPr>
        <w:t xml:space="preserve"> | rel. Sepúlveda Pertence</w:t>
      </w:r>
    </w:p>
    <w:p>
      <w:pPr>
        <w:ind w:left="288"/>
      </w:pPr>
      <w:r>
        <w:rPr>
          <w:color w:val="1E1E1E"/>
          <w:sz w:val="18"/>
        </w:rPr>
        <w:t>Proteção da relação de emprego contra a despedida arbitrária (CF, art. 7º, I): indenização provisória, base de cálculo (ADCT, art. 10, I; Lei 5.107/1986, art. 6º e § 1º; Lei  8.036/1990, art. 18, § 1º): arguição de inconstitucionalidade da parte final do § 1º, art. 9º, do Decreto 99.684/1990, que manda não considerar os saques ocorridos na conta individual vinculada do FGTS: suspensão liminar da norma questionada que se defere, para evitar eventual prevalência de interpretação contrária ao trabalhador e aparentemente ofensiva da disposição constitucional transitória invocada.</w:t>
      </w:r>
    </w:p>
    <w:p>
      <w:pPr>
        <w:ind w:left="288"/>
      </w:pPr>
      <w:r>
        <w:rPr>
          <w:b/>
          <w:color w:val="003CA0"/>
          <w:sz w:val="16"/>
        </w:rPr>
        <w:t>[ADI 414 MC, rel. min. Sepúlveda Pertence, j. 1º-2-1991, P, DJ de 2-4-1993.]</w:t>
      </w:r>
    </w:p>
    <w:p>
      <w:pPr>
        <w:ind w:left="144"/>
      </w:pPr>
      <w:r>
        <w:rPr>
          <w:b/>
          <w:color w:val="B45A00"/>
          <w:sz w:val="16"/>
        </w:rPr>
        <w:t>JULGADOS CORRELATOS</w:t>
      </w:r>
    </w:p>
    <w:p>
      <w:pPr>
        <w:ind w:left="288"/>
      </w:pPr>
      <w:r>
        <w:rPr>
          <w:color w:val="8C8C8C"/>
          <w:sz w:val="12"/>
        </w:rPr>
        <w:t>cf-art-233-par-unico-inc-I</w:t>
      </w:r>
      <w:r>
        <w:rPr>
          <w:color w:val="003CA0"/>
          <w:sz w:val="12"/>
        </w:rPr>
        <w:t xml:space="preserve"> | MI 628</w:t>
      </w:r>
      <w:r>
        <w:rPr>
          <w:color w:val="003CA0"/>
          <w:sz w:val="12"/>
        </w:rPr>
        <w:t xml:space="preserve"> | rel. Sydney Sanches</w:t>
      </w:r>
    </w:p>
    <w:p>
      <w:pPr>
        <w:ind w:left="288"/>
      </w:pPr>
      <w:r>
        <w:rPr>
          <w:color w:val="1E1E1E"/>
          <w:sz w:val="18"/>
        </w:rPr>
        <w:t>Existindo norma, na própria CF, mais precisamente no art. 10, I, do ADCT, que regula, provisoriamente, o direito previsto no inciso I do art. 7º da Parte Permanente, enquanto não aprovada a lei complementar a que se refere, mostra-se descabido o mandado de injunção destinado a compelir o Congresso Nacional a elaborá-la.</w:t>
      </w:r>
    </w:p>
    <w:p>
      <w:pPr>
        <w:ind w:left="288"/>
      </w:pPr>
      <w:r>
        <w:rPr>
          <w:b/>
          <w:color w:val="003CA0"/>
          <w:sz w:val="16"/>
        </w:rPr>
        <w:t>[MI 628, rel. min. Sydney Sanches, j. 19-8-2002, P, DJ de 25-10-2002.]</w:t>
      </w:r>
    </w:p>
    <w:p>
      <w:pPr>
        <w:ind w:left="144"/>
      </w:pPr>
      <w:r>
        <w:rPr>
          <w:b/>
          <w:color w:val="B45A00"/>
          <w:sz w:val="16"/>
        </w:rPr>
        <w:t>CONTROLE CONCENTRADO</w:t>
      </w:r>
    </w:p>
    <w:p>
      <w:pPr>
        <w:ind w:left="288"/>
      </w:pPr>
      <w:r>
        <w:rPr>
          <w:color w:val="8C8C8C"/>
          <w:sz w:val="12"/>
        </w:rPr>
        <w:t>cf-art-233-par-unico-inc-II</w:t>
      </w:r>
      <w:r>
        <w:rPr>
          <w:color w:val="003CA0"/>
          <w:sz w:val="12"/>
        </w:rPr>
        <w:t xml:space="preserve"> | ADI 1.721</w:t>
      </w:r>
      <w:r>
        <w:rPr>
          <w:color w:val="003CA0"/>
          <w:sz w:val="12"/>
        </w:rPr>
        <w:t xml:space="preserve"> | rel. Ayres Britto</w:t>
      </w:r>
    </w:p>
    <w:p>
      <w:pPr>
        <w:ind w:left="288"/>
      </w:pPr>
      <w:r>
        <w:rPr>
          <w:color w:val="1E1E1E"/>
          <w:sz w:val="18"/>
        </w:rPr>
        <w:t>Ação direta de inconstitucionalidade. Art. 3º da MP 1.596-14/97, convertida na Lei 9.528/1997, que adicionou ao art. 453 da CLT um segundo parágrafo para extinguir o vínculo empregatício quando da concessão da aposentadoria espontânea. Procedência da ação. (...) Os valores sociais do trabalho constituem: a) fundamento da República Federativa do Brasil (inciso IV do art. 1º da CF); b) alicerce da Ordem Econômica, que tem por finalidade assegurar a todos existência digna, conforme os ditames da justiça social, e, por um dos seus princípios, a busca do pleno emprego (art. 170, caput e inciso VIII</w:t>
      </w:r>
    </w:p>
    <w:p>
      <w:pPr>
        <w:ind w:left="288"/>
      </w:pPr>
      <w:r>
        <w:rPr>
          <w:b/>
          <w:color w:val="003CA0"/>
          <w:sz w:val="16"/>
        </w:rPr>
        <w:t>[ADI 1.721, rel. min. Ayres Britto, j. 11-10-2006, P, DJ de 29-6-2007.]</w:t>
      </w:r>
    </w:p>
    <w:p>
      <w:pPr>
        <w:ind w:left="288"/>
      </w:pPr>
      <w:r>
        <w:rPr>
          <w:color w:val="8C8C8C"/>
          <w:sz w:val="12"/>
        </w:rPr>
        <w:t>cf-art-233-par-unico-inc-II</w:t>
      </w:r>
      <w:r>
        <w:rPr>
          <w:color w:val="003CA0"/>
          <w:sz w:val="12"/>
        </w:rPr>
        <w:t xml:space="preserve"> | AI 756.861</w:t>
      </w:r>
      <w:r>
        <w:rPr>
          <w:color w:val="003CA0"/>
          <w:sz w:val="12"/>
        </w:rPr>
        <w:t xml:space="preserve"> | rel. Cármen Lúcia</w:t>
      </w:r>
    </w:p>
    <w:p>
      <w:pPr>
        <w:ind w:left="288"/>
      </w:pPr>
      <w:r>
        <w:rPr>
          <w:color w:val="1E1E1E"/>
          <w:sz w:val="18"/>
        </w:rPr>
        <w:t>= AI 756.861 ED, rel. min. Cármen Lúcia, j. 1º-2-2011, 1ª T, DJE de 4-3-2011</w:t>
      </w:r>
    </w:p>
    <w:p>
      <w:pPr>
        <w:ind w:left="144"/>
      </w:pPr>
      <w:r>
        <w:rPr>
          <w:b/>
          <w:color w:val="B45A00"/>
          <w:sz w:val="16"/>
        </w:rPr>
        <w:t>SUMULA</w:t>
      </w:r>
    </w:p>
    <w:p>
      <w:pPr>
        <w:ind w:left="288"/>
      </w:pPr>
      <w:r>
        <w:rPr>
          <w:color w:val="8C8C8C"/>
          <w:sz w:val="12"/>
        </w:rPr>
        <w:t>cf-art-233-par-unico-inc-II-ali-a</w:t>
      </w:r>
    </w:p>
    <w:p>
      <w:pPr>
        <w:ind w:left="288"/>
      </w:pPr>
      <w:r>
        <w:rPr>
          <w:color w:val="1E1E1E"/>
          <w:sz w:val="18"/>
        </w:rPr>
        <w:t>A garantia da estabilidade provisória prevista no art. 10, II, a, do ADCT também se aplica ao suplente do cargo de direção de Comissões Internas de Prevenção de Acidentes (CIPA).</w:t>
      </w:r>
    </w:p>
    <w:p>
      <w:pPr>
        <w:ind w:left="288"/>
      </w:pPr>
      <w:r>
        <w:rPr>
          <w:b/>
          <w:color w:val="003CA0"/>
          <w:sz w:val="16"/>
        </w:rPr>
        <w:t>[Súmula 676.]</w:t>
      </w:r>
    </w:p>
    <w:p>
      <w:pPr>
        <w:ind w:left="144"/>
      </w:pPr>
      <w:r>
        <w:rPr>
          <w:b/>
          <w:color w:val="B45A00"/>
          <w:sz w:val="16"/>
        </w:rPr>
        <w:t>JULGADOS CORRELATOS</w:t>
      </w:r>
    </w:p>
    <w:p>
      <w:pPr>
        <w:ind w:left="288"/>
      </w:pPr>
      <w:r>
        <w:rPr>
          <w:color w:val="8C8C8C"/>
          <w:sz w:val="12"/>
        </w:rPr>
        <w:t>cf-art-233-par-unico-inc-II-ali-a</w:t>
      </w:r>
      <w:r>
        <w:rPr>
          <w:color w:val="003CA0"/>
          <w:sz w:val="12"/>
        </w:rPr>
        <w:t xml:space="preserve"> | RE 205.701</w:t>
      </w:r>
      <w:r>
        <w:rPr>
          <w:color w:val="003CA0"/>
          <w:sz w:val="12"/>
        </w:rPr>
        <w:t xml:space="preserve"> | rel. Maurício Corrêa</w:t>
      </w:r>
    </w:p>
    <w:p>
      <w:pPr>
        <w:ind w:left="288"/>
      </w:pPr>
      <w:r>
        <w:rPr>
          <w:color w:val="1E1E1E"/>
          <w:sz w:val="18"/>
        </w:rPr>
        <w:t>A norma constitucional transitória não fez qualquer distinção entre o titular e o suplente, eleitos como representantes dos empregados para o exercício de cargo de direção de comissão interna de prevenção de acidente. Estabilidade provisória. Extensão ao suplente. Indeferir a ele essa garantia e permitir a sua dispensa arbitrária ou sem justa causa é dar oportunidade a que o empregador, por via oblíqua, tendo em vista os interesses patronais, esvazie a atuação do representante dos empregados, frustrando a expectativa de direito daquele que, eventualmente, poderá vir a exercer a titularidade do</w:t>
      </w:r>
    </w:p>
    <w:p>
      <w:pPr>
        <w:ind w:left="288"/>
      </w:pPr>
      <w:r>
        <w:rPr>
          <w:b/>
          <w:color w:val="003CA0"/>
          <w:sz w:val="16"/>
        </w:rPr>
        <w:t>[RE 205.701, rel. min. Maurício Corrêa, j. 1º-2-1997, 2ª T, DJ de 27-2-1998.]</w:t>
      </w:r>
    </w:p>
    <w:p>
      <w:pPr>
        <w:ind w:left="288"/>
      </w:pPr>
      <w:r>
        <w:rPr>
          <w:color w:val="8C8C8C"/>
          <w:sz w:val="12"/>
        </w:rPr>
        <w:t>cf-art-233-par-unico-inc-II-ali-a</w:t>
      </w:r>
      <w:r>
        <w:rPr>
          <w:color w:val="003CA0"/>
          <w:sz w:val="12"/>
        </w:rPr>
        <w:t xml:space="preserve"> | AI 191.864</w:t>
      </w:r>
      <w:r>
        <w:rPr>
          <w:color w:val="003CA0"/>
          <w:sz w:val="12"/>
        </w:rPr>
        <w:t xml:space="preserve"> | rel. Marco Aurélio</w:t>
      </w:r>
    </w:p>
    <w:p>
      <w:pPr>
        <w:ind w:left="288"/>
      </w:pPr>
      <w:r>
        <w:rPr>
          <w:color w:val="1E1E1E"/>
          <w:sz w:val="18"/>
        </w:rPr>
        <w:t>= AI 191.864 AgR, rel. min. Marco Aurélio, j. 20-9-1997, 2ª T, DJ de 14-11-1997</w:t>
      </w:r>
    </w:p>
    <w:p>
      <w:pPr>
        <w:ind w:left="144"/>
      </w:pPr>
      <w:r>
        <w:rPr>
          <w:b/>
          <w:color w:val="B45A00"/>
          <w:sz w:val="16"/>
        </w:rPr>
        <w:t>REPERCUSSAO GERAL</w:t>
      </w:r>
    </w:p>
    <w:p>
      <w:pPr>
        <w:ind w:left="288"/>
      </w:pPr>
      <w:r>
        <w:rPr>
          <w:color w:val="8C8C8C"/>
          <w:sz w:val="12"/>
        </w:rPr>
        <w:t>cf-art-233-par-unico-inc-II-ali-b</w:t>
      </w:r>
      <w:r>
        <w:rPr>
          <w:color w:val="003CA0"/>
          <w:sz w:val="12"/>
        </w:rPr>
        <w:t xml:space="preserve"> | RE 842.844</w:t>
      </w:r>
      <w:r>
        <w:rPr>
          <w:color w:val="003CA0"/>
          <w:sz w:val="12"/>
        </w:rPr>
        <w:t xml:space="preserve"> | rel. Luiz Fux</w:t>
      </w:r>
    </w:p>
    <w:p>
      <w:pPr>
        <w:ind w:left="288"/>
      </w:pPr>
      <w:r>
        <w:rPr>
          <w:color w:val="1E1E1E"/>
          <w:sz w:val="18"/>
        </w:rPr>
        <w:t>A trabalhadora gestante tem direito ao gozo de licença-maternidade e à estabilidade provisória, independentemente do regime jurídico aplicável, se contratual ou administrativo, ainda que ocupe cargo em comissão ou seja contratada por tempo determinado, nos termos dos arts. 7º, XVIII; 37, II; e 39, § 3º; da Constituição Federal, e 10, II, b, do Ato das Disposições Constitucionais Transitórias.</w:t>
      </w:r>
    </w:p>
    <w:p>
      <w:pPr>
        <w:ind w:left="288"/>
      </w:pPr>
      <w:r>
        <w:rPr>
          <w:b/>
          <w:color w:val="003CA0"/>
          <w:sz w:val="16"/>
        </w:rPr>
        <w:t>[RE 842.844, rel. min. Luiz Fux, j. 5-10-2023, P, DJE de 6-12-2023, Tema 542, com mérito julgado.]</w:t>
      </w:r>
    </w:p>
    <w:p>
      <w:pPr>
        <w:ind w:left="288"/>
      </w:pPr>
      <w:r>
        <w:rPr>
          <w:color w:val="8C8C8C"/>
          <w:sz w:val="12"/>
        </w:rPr>
        <w:t>cf-art-233-par-unico-inc-II-ali-b</w:t>
      </w:r>
      <w:r>
        <w:rPr>
          <w:color w:val="003CA0"/>
          <w:sz w:val="12"/>
        </w:rPr>
        <w:t xml:space="preserve"> | RE 629.053</w:t>
      </w:r>
      <w:r>
        <w:rPr>
          <w:color w:val="003CA0"/>
          <w:sz w:val="12"/>
        </w:rPr>
        <w:t xml:space="preserve"> | rel. Alexandre de Moraes</w:t>
      </w:r>
    </w:p>
    <w:p>
      <w:pPr>
        <w:ind w:left="288"/>
      </w:pPr>
      <w:r>
        <w:rPr>
          <w:color w:val="1E1E1E"/>
          <w:sz w:val="18"/>
        </w:rPr>
        <w:t>A incidência da estabilidade prevista no art. 10, inc. II, do ADCT, somente exige a anterioridade da gravidez à dispensa sem justa causa.</w:t>
      </w:r>
    </w:p>
    <w:p>
      <w:pPr>
        <w:ind w:left="288"/>
      </w:pPr>
      <w:r>
        <w:rPr>
          <w:b/>
          <w:color w:val="003CA0"/>
          <w:sz w:val="16"/>
        </w:rPr>
        <w:t>[RE 629.053, rel. p/ o ac. min. Alexandre de Moraes, j. 10-10-2018, P, DJE de 27-2-2019, Tema 497, com mérito julgado.]</w:t>
      </w:r>
    </w:p>
    <w:p>
      <w:pPr>
        <w:ind w:left="288"/>
      </w:pPr>
      <w:r>
        <w:rPr>
          <w:color w:val="8C8C8C"/>
          <w:sz w:val="12"/>
        </w:rPr>
        <w:t>cf-art-233-par-unico-inc-II-ali-b</w:t>
      </w:r>
      <w:r>
        <w:rPr>
          <w:color w:val="003CA0"/>
          <w:sz w:val="12"/>
        </w:rPr>
        <w:t xml:space="preserve"> | RE 523.572</w:t>
      </w:r>
      <w:r>
        <w:rPr>
          <w:color w:val="003CA0"/>
          <w:sz w:val="12"/>
        </w:rPr>
        <w:t xml:space="preserve"> | rel. Ellen Gracie</w:t>
      </w:r>
    </w:p>
    <w:p>
      <w:pPr>
        <w:ind w:left="288"/>
      </w:pPr>
      <w:r>
        <w:rPr>
          <w:color w:val="1E1E1E"/>
          <w:sz w:val="18"/>
        </w:rPr>
        <w:t>Vide RE 523.572 AgR, rel. min. Ellen Gracie, j. 6-10-2009, 2ª T, DJE de 29-10-2009 Vide RMS 21.328, rel. min. Carlos Velloso, j. 11-12-2001, 2ª T, DJ de 3-5-2002 Vide RE 234.186, rel. min. Sepúlveda Pertence, j. 5-6-2001, 1ª T, DJ de 31-8-2001</w:t>
      </w:r>
    </w:p>
    <w:p>
      <w:pPr>
        <w:ind w:left="144"/>
      </w:pPr>
      <w:r>
        <w:rPr>
          <w:b/>
          <w:color w:val="B45A00"/>
          <w:sz w:val="16"/>
        </w:rPr>
        <w:t>JULGADOS CORRELATOS</w:t>
      </w:r>
    </w:p>
    <w:p>
      <w:pPr>
        <w:ind w:left="288"/>
      </w:pPr>
      <w:r>
        <w:rPr>
          <w:color w:val="8C8C8C"/>
          <w:sz w:val="12"/>
        </w:rPr>
        <w:t>cf-art-233-par-unico-inc-II-ali-b</w:t>
      </w:r>
      <w:r>
        <w:rPr>
          <w:color w:val="003CA0"/>
          <w:sz w:val="12"/>
        </w:rPr>
        <w:t xml:space="preserve"> | RE 523.572</w:t>
      </w:r>
      <w:r>
        <w:rPr>
          <w:color w:val="003CA0"/>
          <w:sz w:val="12"/>
        </w:rPr>
        <w:t xml:space="preserve"> | rel. Ellen Gracie</w:t>
      </w:r>
    </w:p>
    <w:p>
      <w:pPr>
        <w:ind w:left="288"/>
      </w:pPr>
      <w:r>
        <w:rPr>
          <w:color w:val="1E1E1E"/>
          <w:sz w:val="18"/>
        </w:rPr>
        <w:t>A estabilidade provisória advinda de licença-maternidade decorre de proteção constitucional às trabalhadoras em geral. O direito amparado pelo art. 7º, XVIII, da CF, nos termos do art. 142, VIII, da CF/1988, alcança as militares.</w:t>
      </w:r>
    </w:p>
    <w:p>
      <w:pPr>
        <w:ind w:left="288"/>
      </w:pPr>
      <w:r>
        <w:rPr>
          <w:b/>
          <w:color w:val="003CA0"/>
          <w:sz w:val="16"/>
        </w:rPr>
        <w:t>[RE 523.572 AgR, rel. min. Ellen Gracie, j. 6-10-2009, 2ª T, DJE de 29-10-2009.]</w:t>
      </w:r>
    </w:p>
    <w:p>
      <w:pPr>
        <w:ind w:left="288"/>
      </w:pPr>
      <w:r>
        <w:rPr>
          <w:color w:val="8C8C8C"/>
          <w:sz w:val="12"/>
        </w:rPr>
        <w:t>cf-art-233-par-unico-inc-II-ali-b</w:t>
      </w:r>
      <w:r>
        <w:rPr>
          <w:color w:val="003CA0"/>
          <w:sz w:val="12"/>
        </w:rPr>
        <w:t xml:space="preserve"> | AI 811.376</w:t>
      </w:r>
      <w:r>
        <w:rPr>
          <w:color w:val="003CA0"/>
          <w:sz w:val="12"/>
        </w:rPr>
        <w:t xml:space="preserve"> | rel. Gilmar Mendes</w:t>
      </w:r>
    </w:p>
    <w:p>
      <w:pPr>
        <w:ind w:left="288"/>
      </w:pPr>
      <w:r>
        <w:rPr>
          <w:color w:val="1E1E1E"/>
          <w:sz w:val="18"/>
        </w:rPr>
        <w:t>= AI 811.376 AgR, rel. min. Gilmar Mendes, j. 1º-3-2011, 2ª T, DJE de 23-3-2011 Servidor público. Demissão. Comissão disciplinar presidida por promotor de justiça, que se enquadra no conceito lato sensu de servidor público. A demissão da impetrante grávida baseou-se em justa causa. Legalidade do ato de demissão.</w:t>
      </w:r>
    </w:p>
    <w:p>
      <w:pPr>
        <w:ind w:left="288"/>
      </w:pPr>
      <w:r>
        <w:rPr>
          <w:b/>
          <w:color w:val="003CA0"/>
          <w:sz w:val="16"/>
        </w:rPr>
        <w:t>[MS 23.474, rel. min. Gilmar Mendes, j. 14-9-2006, P, DJ de 23-2-2007.]</w:t>
      </w:r>
    </w:p>
    <w:p>
      <w:pPr>
        <w:ind w:left="288"/>
      </w:pPr>
      <w:r>
        <w:rPr>
          <w:color w:val="8C8C8C"/>
          <w:sz w:val="12"/>
        </w:rPr>
        <w:t>cf-art-233-par-unico-inc-II-ali-b</w:t>
      </w:r>
      <w:r>
        <w:rPr>
          <w:color w:val="003CA0"/>
          <w:sz w:val="12"/>
        </w:rPr>
        <w:t xml:space="preserve"> | RMS 21.328</w:t>
      </w:r>
      <w:r>
        <w:rPr>
          <w:color w:val="003CA0"/>
          <w:sz w:val="12"/>
        </w:rPr>
        <w:t xml:space="preserve"> | rel. Carlos Velloso</w:t>
      </w:r>
    </w:p>
    <w:p>
      <w:pPr>
        <w:ind w:left="288"/>
      </w:pPr>
      <w:r>
        <w:rPr>
          <w:color w:val="1E1E1E"/>
          <w:sz w:val="18"/>
        </w:rPr>
        <w:t>Estabilidade provisória decorrente da gravidez (CF, art. 7º, I; ADCT, art. 10, II, b). Extinção do cargo, assegurando-se à ocupante, que detinha estabilidade provisória decorrente da gravidez, as vantagens financeiras pelo período constitucional da estabilidade.</w:t>
      </w:r>
    </w:p>
    <w:p>
      <w:pPr>
        <w:ind w:left="288"/>
      </w:pPr>
      <w:r>
        <w:rPr>
          <w:b/>
          <w:color w:val="003CA0"/>
          <w:sz w:val="16"/>
        </w:rPr>
        <w:t>[RMS 21.328, rel. min. Carlos Velloso, j. 11-12-2001, 2ª T, DJ de 3-5-2002.]</w:t>
      </w:r>
    </w:p>
    <w:p>
      <w:pPr>
        <w:ind w:left="288"/>
      </w:pPr>
      <w:r>
        <w:rPr>
          <w:color w:val="8C8C8C"/>
          <w:sz w:val="12"/>
        </w:rPr>
        <w:t>cf-art-233-par-unico-inc-II-ali-b</w:t>
      </w:r>
      <w:r>
        <w:rPr>
          <w:color w:val="003CA0"/>
          <w:sz w:val="12"/>
        </w:rPr>
        <w:t xml:space="preserve"> | RE 234.186</w:t>
      </w:r>
      <w:r>
        <w:rPr>
          <w:color w:val="003CA0"/>
          <w:sz w:val="12"/>
        </w:rPr>
        <w:t xml:space="preserve"> | rel. Sepúlveda Pertence</w:t>
      </w:r>
    </w:p>
    <w:p>
      <w:pPr>
        <w:ind w:left="288"/>
      </w:pPr>
      <w:r>
        <w:rPr>
          <w:color w:val="1E1E1E"/>
          <w:sz w:val="18"/>
        </w:rPr>
        <w:t>Estabilidade provisória da empregada gestante (ADCT, art. 10, II, b): inconstitucionalidade de cláusula de convenção coletiva do trabalho que impõe como requisito para o gozo do benefício a comunicação da gravidez ao empregador. O art. 10 do ADCT foi editado para suprir a ausência temporária de regulamentação da matéria por lei. Se carecesse ele mesmo de complementação, só a lei a poderia dar: não a convenção coletiva, à falta de disposição constitucional que o admitisse. Aos acordos e convenções coletivos de trabalho, assim como às sentenças normativas, não é lícito estabelecer limitações a d</w:t>
      </w:r>
    </w:p>
    <w:p>
      <w:pPr>
        <w:ind w:left="288"/>
      </w:pPr>
      <w:r>
        <w:rPr>
          <w:b/>
          <w:color w:val="003CA0"/>
          <w:sz w:val="16"/>
        </w:rPr>
        <w:t>[RE 234.186, rel. min. Sepúlveda Pertence, j. 5-6-2001, 1ª T, DJ de 31-8-2001.]</w:t>
      </w:r>
    </w:p>
    <w:p>
      <w:pPr>
        <w:ind w:left="288"/>
      </w:pPr>
      <w:r>
        <w:rPr>
          <w:color w:val="8C8C8C"/>
          <w:sz w:val="12"/>
        </w:rPr>
        <w:t>cf-art-233-par-unico-inc-II-ali-b</w:t>
      </w:r>
      <w:r>
        <w:rPr>
          <w:color w:val="003CA0"/>
          <w:sz w:val="12"/>
        </w:rPr>
        <w:t xml:space="preserve"> | AI 448.572</w:t>
      </w:r>
      <w:r>
        <w:rPr>
          <w:color w:val="003CA0"/>
          <w:sz w:val="12"/>
        </w:rPr>
        <w:t xml:space="preserve"> | rel. Celso de Mello</w:t>
      </w:r>
    </w:p>
    <w:p>
      <w:pPr>
        <w:ind w:left="288"/>
      </w:pPr>
      <w:r>
        <w:rPr>
          <w:color w:val="1E1E1E"/>
          <w:sz w:val="18"/>
        </w:rPr>
        <w:t>= AI 448.572 AgR-ED, rel. min. Celso de Mello, j. 30-11-2010, 2ª T, DJE de 16-12-2010</w:t>
      </w:r>
    </w:p>
    <w:p>
      <w:pPr>
        <w:ind w:left="288"/>
      </w:pPr>
      <w:r>
        <w:rPr>
          <w:color w:val="8C8C8C"/>
          <w:sz w:val="12"/>
        </w:rPr>
        <w:t>cf-art-233-par-3</w:t>
      </w:r>
    </w:p>
    <w:p>
      <w:pPr>
        <w:ind w:left="288"/>
      </w:pPr>
      <w:r>
        <w:rPr>
          <w:color w:val="1E1E1E"/>
          <w:sz w:val="18"/>
        </w:rPr>
        <w:t>Art. 11. Cada Assembleia Legislativa, com poderes constituintes, elaborará a Constituição do Estado, no prazo de um ano, contado da promulgação da Constituição Federal, obedecidos os princípios desta.</w:t>
      </w:r>
    </w:p>
    <w:p>
      <w:pPr>
        <w:ind w:left="144"/>
      </w:pPr>
      <w:r>
        <w:rPr>
          <w:b/>
          <w:color w:val="B45A00"/>
          <w:sz w:val="16"/>
        </w:rPr>
        <w:t>CONTROLE CONCENTRADO</w:t>
      </w:r>
    </w:p>
    <w:p>
      <w:pPr>
        <w:ind w:left="288"/>
      </w:pPr>
      <w:r>
        <w:rPr>
          <w:color w:val="8C8C8C"/>
          <w:sz w:val="12"/>
        </w:rPr>
        <w:t>cf-art-233-par-3</w:t>
      </w:r>
      <w:r>
        <w:rPr>
          <w:color w:val="003CA0"/>
          <w:sz w:val="12"/>
        </w:rPr>
        <w:t xml:space="preserve"> | ADI 104</w:t>
      </w:r>
      <w:r>
        <w:rPr>
          <w:color w:val="003CA0"/>
          <w:sz w:val="12"/>
        </w:rPr>
        <w:t xml:space="preserve"> | rel. Sepúlveda Pertence</w:t>
      </w:r>
    </w:p>
    <w:p>
      <w:pPr>
        <w:ind w:left="288"/>
      </w:pPr>
      <w:r>
        <w:rPr>
          <w:color w:val="1E1E1E"/>
          <w:sz w:val="18"/>
        </w:rPr>
        <w:t>Poder constituinte estadual. Autonomia (ADCT, art. 11). Restrições jurisprudenciais inaplicáveis ao caso. É da jurisprudência assente do Supremo Tribunal que afronta o princípio fundamental da separação e independência dos poderes o trato em constituições estaduais de matéria, sem caráter essencialmente constitucional – assim, por exemplo, a relativa à fixação de vencimentos ou à concessão de vantagens específicas a servidores públicos –, que caracterize fraude à iniciativa reservada ao Poder Executivo de leis ordinárias a respeito: precedentes. A jurisprudência restritiva dos poderes da assem</w:t>
      </w:r>
    </w:p>
    <w:p>
      <w:pPr>
        <w:ind w:left="288"/>
      </w:pPr>
      <w:r>
        <w:rPr>
          <w:b/>
          <w:color w:val="003CA0"/>
          <w:sz w:val="16"/>
        </w:rPr>
        <w:t>[ADI 104, rel. min. Sepúlveda Pertence, j. 4-6-2007, P, DJ de 24-8-2007.]</w:t>
      </w:r>
    </w:p>
    <w:p>
      <w:pPr>
        <w:ind w:left="288"/>
      </w:pPr>
      <w:r>
        <w:rPr>
          <w:color w:val="8C8C8C"/>
          <w:sz w:val="12"/>
        </w:rPr>
        <w:t>cf-art-233-par-3</w:t>
      </w:r>
      <w:r>
        <w:rPr>
          <w:color w:val="003CA0"/>
          <w:sz w:val="12"/>
        </w:rPr>
        <w:t xml:space="preserve"> | ADI 1.689</w:t>
      </w:r>
      <w:r>
        <w:rPr>
          <w:color w:val="003CA0"/>
          <w:sz w:val="12"/>
        </w:rPr>
        <w:t xml:space="preserve"> | rel. Sydney Sanches</w:t>
      </w:r>
    </w:p>
    <w:p>
      <w:pPr>
        <w:ind w:left="288"/>
      </w:pPr>
      <w:r>
        <w:rPr>
          <w:color w:val="1E1E1E"/>
          <w:sz w:val="18"/>
        </w:rPr>
        <w:t>(...) os arts. 25 da parte permanente e 11 do ADCT exigem que os Estados se organizem, com observância de seus princípios, inclusive os relativos à autonomia orçamentária dos Municípios.</w:t>
      </w:r>
    </w:p>
    <w:p>
      <w:pPr>
        <w:ind w:left="288"/>
      </w:pPr>
      <w:r>
        <w:rPr>
          <w:b/>
          <w:color w:val="003CA0"/>
          <w:sz w:val="16"/>
        </w:rPr>
        <w:t>[ADI 1.689, rel. min. Sydney Sanches, j. 12-3-2003, P, DJ de 2-5-2003.]</w:t>
      </w:r>
    </w:p>
    <w:p>
      <w:pPr>
        <w:ind w:left="288"/>
      </w:pPr>
      <w:r>
        <w:rPr>
          <w:color w:val="8C8C8C"/>
          <w:sz w:val="12"/>
        </w:rPr>
        <w:t>cf-art-233-par-3</w:t>
      </w:r>
      <w:r>
        <w:rPr>
          <w:color w:val="003CA0"/>
          <w:sz w:val="12"/>
        </w:rPr>
        <w:t xml:space="preserve"> | ADI 483</w:t>
      </w:r>
      <w:r>
        <w:rPr>
          <w:color w:val="003CA0"/>
          <w:sz w:val="12"/>
        </w:rPr>
        <w:t xml:space="preserve"> | rel. Ilmar Galvão</w:t>
      </w:r>
    </w:p>
    <w:p>
      <w:pPr>
        <w:ind w:left="288"/>
      </w:pPr>
      <w:r>
        <w:rPr>
          <w:color w:val="1E1E1E"/>
          <w:sz w:val="18"/>
        </w:rPr>
        <w:t>Normas que, dispondo sobre servidores públicos do Estado, padecem de inconstitucionalidade formal, por inobservância da reserva de iniciativa legislativa ao chefe do Poder Executivo, corolário da separação dos poderes, imposta aos Estados pelo art. 25 da CF e, especialmente, ao constituinte estadual, pelo art. 11 de seu ADCT.</w:t>
      </w:r>
    </w:p>
    <w:p>
      <w:pPr>
        <w:ind w:left="288"/>
      </w:pPr>
      <w:r>
        <w:rPr>
          <w:b/>
          <w:color w:val="003CA0"/>
          <w:sz w:val="16"/>
        </w:rPr>
        <w:t>[ADI 483, rel. min. Ilmar Galvão, j. 25-4-2001, P, DJ de 29-6-2001.]</w:t>
      </w:r>
    </w:p>
    <w:p>
      <w:pPr>
        <w:ind w:left="288"/>
      </w:pPr>
      <w:r>
        <w:rPr>
          <w:color w:val="8C8C8C"/>
          <w:sz w:val="12"/>
        </w:rPr>
        <w:t>cf-art-233-par-3</w:t>
      </w:r>
      <w:r>
        <w:rPr>
          <w:color w:val="003CA0"/>
          <w:sz w:val="12"/>
        </w:rPr>
        <w:t xml:space="preserve"> | ADI 1.487</w:t>
      </w:r>
      <w:r>
        <w:rPr>
          <w:color w:val="003CA0"/>
          <w:sz w:val="12"/>
        </w:rPr>
        <w:t xml:space="preserve"> | rel. Sydney Sanches</w:t>
      </w:r>
    </w:p>
    <w:p>
      <w:pPr>
        <w:ind w:left="288"/>
      </w:pPr>
      <w:r>
        <w:rPr>
          <w:color w:val="1E1E1E"/>
          <w:sz w:val="18"/>
        </w:rPr>
        <w:t>= ADI 1.487, rel. min. Sydney Sanches, j. 12-2-2003, P, DJ de 11-4-2003 Nos expressos termos do § 1º do art. 27 da CF de 1988, "será de quatro anos o mandato dos Deputados Estaduais". A CF, no art. 28, fixou em 1º de janeiro a data da posse do governador e do vice-governador eleitos noventa dias antes do término de seus mandatos. Não marcou data para o início das legislaturas estaduais, mas, no art. 25, atribuiu aos Estados o poder de se organizarem e se regerem pelas Constituições e leis que adotarem, observados, porém, os seus próprios princípios (da CF). E o art. 11 do ADCT da CF de 1988 ta</w:t>
      </w:r>
    </w:p>
    <w:p>
      <w:pPr>
        <w:ind w:left="288"/>
      </w:pPr>
      <w:r>
        <w:rPr>
          <w:b/>
          <w:color w:val="003CA0"/>
          <w:sz w:val="16"/>
        </w:rPr>
        <w:t>[ADI 1.162 MC, rel. min. Sydney Sanches, j. 1º-12-1994, P, DJ de 15-9-1995.]</w:t>
      </w:r>
    </w:p>
    <w:p>
      <w:pPr>
        <w:ind w:left="288"/>
      </w:pPr>
      <w:r>
        <w:rPr>
          <w:color w:val="8C8C8C"/>
          <w:sz w:val="12"/>
        </w:rPr>
        <w:t>cf-art-233-par-3</w:t>
      </w:r>
      <w:r>
        <w:rPr>
          <w:color w:val="003CA0"/>
          <w:sz w:val="12"/>
        </w:rPr>
        <w:t xml:space="preserve"> | ADI 233</w:t>
      </w:r>
      <w:r>
        <w:rPr>
          <w:color w:val="003CA0"/>
          <w:sz w:val="12"/>
        </w:rPr>
        <w:t xml:space="preserve"> | rel. Ilmar Galvão</w:t>
      </w:r>
    </w:p>
    <w:p>
      <w:pPr>
        <w:ind w:left="288"/>
      </w:pPr>
      <w:r>
        <w:rPr>
          <w:color w:val="1E1E1E"/>
          <w:sz w:val="18"/>
        </w:rPr>
        <w:t>O poder de elaborar a Carta Política do Estado, conferido pelo art. 11 do ADCT/1988 à assembleia legislativa, não compreende o de inserir no referido diploma normas próprias do Poder Legislativo ordinário, exercido pelo referido órgão, não de modo exclusivo, mas com observância indispensável ao princípio da colaboração dos demais poderes.</w:t>
      </w:r>
    </w:p>
    <w:p>
      <w:pPr>
        <w:ind w:left="288"/>
      </w:pPr>
      <w:r>
        <w:rPr>
          <w:b/>
          <w:color w:val="003CA0"/>
          <w:sz w:val="16"/>
        </w:rPr>
        <w:t>[ADI 233, rel. p/ o ac. min. Ilmar Galvão, j. 12-11-1993, P, DJ de 19-5-1995.]</w:t>
      </w:r>
    </w:p>
    <w:p>
      <w:pPr>
        <w:ind w:left="288"/>
      </w:pPr>
      <w:r>
        <w:rPr>
          <w:color w:val="8C8C8C"/>
          <w:sz w:val="12"/>
        </w:rPr>
        <w:t>cf-art-233-par-3</w:t>
      </w:r>
      <w:r>
        <w:rPr>
          <w:color w:val="003CA0"/>
          <w:sz w:val="12"/>
        </w:rPr>
        <w:t xml:space="preserve"> | ADI 568</w:t>
      </w:r>
      <w:r>
        <w:rPr>
          <w:color w:val="003CA0"/>
          <w:sz w:val="12"/>
        </w:rPr>
        <w:t xml:space="preserve"> | rel. Celso de Mello</w:t>
      </w:r>
    </w:p>
    <w:p>
      <w:pPr>
        <w:ind w:left="288"/>
      </w:pPr>
      <w:r>
        <w:rPr>
          <w:color w:val="1E1E1E"/>
          <w:sz w:val="18"/>
        </w:rPr>
        <w:t xml:space="preserve">O ADCT, em seu art. 11, impôs aos Estados-membros, no exercício de seu poder constituinte, a estrita observância dos princípios consagrados na Carta da República. O poder constituinte decorrente, assegurado às unidades da Federação, é, em essência, uma prerrogativa institucional juridicamente limitada pela normatividade subordinante emanada da Lei Fundamental. Modalidades tipológicas em que se desenvolve o poder constituinte decorrente: poder de institucionalização e poder de revisão. Graus distintos de eficácia e de autoridade. (...) A norma que, inscrita em constituição estadual, autoriza o </w:t>
      </w:r>
    </w:p>
    <w:p>
      <w:pPr>
        <w:ind w:left="288"/>
      </w:pPr>
      <w:r>
        <w:rPr>
          <w:b/>
          <w:color w:val="003CA0"/>
          <w:sz w:val="16"/>
        </w:rPr>
        <w:t>[ADI 568 MC, rel. min. Celso de Mello, j. 20-9-1991, P, DJ de 22-11-1991.]</w:t>
      </w:r>
    </w:p>
    <w:p>
      <w:pPr>
        <w:ind w:left="288"/>
      </w:pPr>
      <w:r>
        <w:rPr>
          <w:color w:val="8C8C8C"/>
          <w:sz w:val="12"/>
        </w:rPr>
        <w:t>cf-art-233-par-3</w:t>
      </w:r>
      <w:r>
        <w:rPr>
          <w:color w:val="003CA0"/>
          <w:sz w:val="12"/>
        </w:rPr>
        <w:t xml:space="preserve"> | ADI 18</w:t>
      </w:r>
      <w:r>
        <w:rPr>
          <w:color w:val="003CA0"/>
          <w:sz w:val="12"/>
        </w:rPr>
        <w:t xml:space="preserve"> | rel. Marco Aurélio</w:t>
      </w:r>
    </w:p>
    <w:p>
      <w:pPr>
        <w:ind w:left="288"/>
      </w:pPr>
      <w:r>
        <w:rPr>
          <w:color w:val="1E1E1E"/>
          <w:sz w:val="18"/>
        </w:rPr>
        <w:t>Conflita com a CF ato constitucional editado por mesa diretora de assembleia estadual constituinte que fulmina decreto mediante o qual o governador do Estado, no âmbito da administração direta e indireta, dispôs sobre demissão e disponibilidade de servidores públicos e extinção de pessoas jurídicas da administração indireta. O art. 11 do ADCT da Lei Básica Federal cogita de poderes para elaboração da Carta, implicando extravasamento a cassação operada por ato da Mesa da Assembleia Legislativa, pouco importando o objetivo social visado – bem-estar do funcionalismo público.</w:t>
      </w:r>
    </w:p>
    <w:p>
      <w:pPr>
        <w:ind w:left="288"/>
      </w:pPr>
      <w:r>
        <w:rPr>
          <w:b/>
          <w:color w:val="003CA0"/>
          <w:sz w:val="16"/>
        </w:rPr>
        <w:t>[ADI 18, rel. min. Marco Aurélio, j. 22-3-1991, P, DJ de 19-4-1991.]</w:t>
      </w:r>
    </w:p>
    <w:p>
      <w:pPr>
        <w:ind w:left="144"/>
      </w:pPr>
      <w:r>
        <w:rPr>
          <w:b/>
          <w:color w:val="B45A00"/>
          <w:sz w:val="16"/>
        </w:rPr>
        <w:t>JULGADOS CORRELATOS</w:t>
      </w:r>
    </w:p>
    <w:p>
      <w:pPr>
        <w:ind w:left="288"/>
      </w:pPr>
      <w:r>
        <w:rPr>
          <w:color w:val="8C8C8C"/>
          <w:sz w:val="12"/>
        </w:rPr>
        <w:t>cf-art-233-par-3</w:t>
      </w:r>
      <w:r>
        <w:rPr>
          <w:color w:val="003CA0"/>
          <w:sz w:val="12"/>
        </w:rPr>
        <w:t xml:space="preserve"> | RE 212.596</w:t>
      </w:r>
      <w:r>
        <w:rPr>
          <w:color w:val="003CA0"/>
          <w:sz w:val="12"/>
        </w:rPr>
        <w:t xml:space="preserve"> | rel. Cezar Peluso</w:t>
      </w:r>
    </w:p>
    <w:p>
      <w:pPr>
        <w:ind w:left="288"/>
      </w:pPr>
      <w:r>
        <w:rPr>
          <w:color w:val="1E1E1E"/>
          <w:sz w:val="18"/>
        </w:rPr>
        <w:t>A lei editada após a promulgação da CF de 1988 que advém de projeto aprovado por decurso de prazo, sem a indispensável deliberação do Poder Legislativo, é formalmente inconstitucional. A Lei 595/1989, do Município de Santos/SP, porquanto oriunda de projeto de lei aprovado por decurso de prazo, é inconstitucional. Precedente: RE 212.596 (Pleno, rel. min. Cezar Peluso, unânime, j. 27-9-2003).</w:t>
      </w:r>
    </w:p>
    <w:p>
      <w:pPr>
        <w:ind w:left="288"/>
      </w:pPr>
      <w:r>
        <w:rPr>
          <w:b/>
          <w:color w:val="003CA0"/>
          <w:sz w:val="16"/>
        </w:rPr>
        <w:t>[RE 310.028 AgR, rel. min. Luiz Fux, j. 6-12-2011, 1ª T, DJE de 1º-2-2012.]</w:t>
      </w:r>
    </w:p>
    <w:p>
      <w:pPr>
        <w:ind w:left="288"/>
      </w:pPr>
      <w:r>
        <w:rPr>
          <w:color w:val="8C8C8C"/>
          <w:sz w:val="12"/>
        </w:rPr>
        <w:t>cf-art-233-par-3</w:t>
      </w:r>
      <w:r>
        <w:rPr>
          <w:color w:val="003CA0"/>
          <w:sz w:val="12"/>
        </w:rPr>
        <w:t xml:space="preserve"> | RE 134.584</w:t>
      </w:r>
      <w:r>
        <w:rPr>
          <w:color w:val="003CA0"/>
          <w:sz w:val="12"/>
        </w:rPr>
        <w:t xml:space="preserve"> | rel. Carlos Velloso</w:t>
      </w:r>
    </w:p>
    <w:p>
      <w:pPr>
        <w:ind w:left="288"/>
      </w:pPr>
      <w:r>
        <w:rPr>
          <w:color w:val="1E1E1E"/>
          <w:sz w:val="18"/>
        </w:rPr>
        <w:t>A exceção contida no art. 11 do ADCT da Carta Federal de 1988, que deferiu aos Estados-membros o prazo de um ano para elaborarem as suas Constituições, não postergou a observância obrigatória dos princípios nela estabelecidos. Não se compadece com esses princípios (CF, art. 66, § 4º) o entendimento de que si et in quantum se elaborava a Carta Política do Estado os comandos inatos do poder constituinte originário no campo federal estivessem subsumidos pela temporariedade estabelecida no art. 11 do ADCT-CF/1988. O lapso temporal nele previsto não poderia implicar o adiamento da observância de re</w:t>
      </w:r>
    </w:p>
    <w:p>
      <w:pPr>
        <w:ind w:left="288"/>
      </w:pPr>
      <w:r>
        <w:rPr>
          <w:b/>
          <w:color w:val="003CA0"/>
          <w:sz w:val="16"/>
        </w:rPr>
        <w:t>[RE 134.584, rel. min. Carlos Velloso, j. 6-5-1997, 2ª T, DJ de 13-3-1998.]</w:t>
      </w:r>
    </w:p>
    <w:p>
      <w:pPr>
        <w:ind w:left="288"/>
      </w:pPr>
      <w:r>
        <w:rPr>
          <w:color w:val="8C8C8C"/>
          <w:sz w:val="12"/>
        </w:rPr>
        <w:t>cf-art-233-par-unico</w:t>
      </w:r>
    </w:p>
    <w:p>
      <w:pPr>
        <w:ind w:left="288"/>
      </w:pPr>
      <w:r>
        <w:rPr>
          <w:color w:val="1E1E1E"/>
          <w:sz w:val="18"/>
        </w:rPr>
        <w:t>Art. 12. Será criada, dentro de noventa dias da promulgação da Constituição, Comissão de Estudos Territoriais, com dez membros indicados pelo Congresso Nacional e cinco pelo Poder Executivo, com a finalidade de apresentar estudos sobre o território nacional e anteprojetos relativos a novas unidades territoriais, notadamente na Amazônia Legal e em áreas pendentes de solução.</w:t>
      </w:r>
    </w:p>
    <w:p>
      <w:pPr>
        <w:ind w:left="288"/>
      </w:pPr>
      <w:r>
        <w:rPr>
          <w:color w:val="8C8C8C"/>
          <w:sz w:val="12"/>
        </w:rPr>
        <w:t>cf-art-233-par-1</w:t>
      </w:r>
    </w:p>
    <w:p>
      <w:pPr>
        <w:ind w:left="288"/>
      </w:pPr>
      <w:r>
        <w:rPr>
          <w:color w:val="1E1E1E"/>
          <w:sz w:val="18"/>
        </w:rPr>
        <w:t>§ 2º Os Estados e os Municípios deverão, no prazo de três anos, a contar da promulgação da Constituição, promover, mediante acordo ou arbitramento, a demarcação de suas linhas divisórias atualmente litigiosas, podendo para isso fazer alterações e compensações de área que atendam aos acidentes naturais, critérios históricos, conveniências administrativas e comodidade das populações limítrofes.</w:t>
      </w:r>
    </w:p>
    <w:p>
      <w:pPr>
        <w:ind w:left="288"/>
      </w:pPr>
      <w:r>
        <w:rPr>
          <w:color w:val="8C8C8C"/>
          <w:sz w:val="12"/>
        </w:rPr>
        <w:t>cf-art-233-par-1</w:t>
      </w:r>
      <w:r>
        <w:rPr>
          <w:color w:val="003CA0"/>
          <w:sz w:val="12"/>
        </w:rPr>
        <w:t xml:space="preserve"> | ACO 307</w:t>
      </w:r>
      <w:r>
        <w:rPr>
          <w:color w:val="003CA0"/>
          <w:sz w:val="12"/>
        </w:rPr>
        <w:t xml:space="preserve"> | rel. Néri da Silveira</w:t>
      </w:r>
    </w:p>
    <w:p>
      <w:pPr>
        <w:ind w:left="288"/>
      </w:pPr>
      <w:r>
        <w:rPr>
          <w:color w:val="1E1E1E"/>
          <w:sz w:val="18"/>
        </w:rPr>
        <w:t>Questão de limites entre os Estados de Goiás e de Mato Grosso. Ação proposta pelo Estado de Mato Grosso. (...) Ação declaratória incidental do Estado de Goiás, para os efeitos previstos no art. 470 do CPC, alegando a posse jurisdicional inconteste do referido Estado sobre a área, objeto da ação. Suspensão do processo em decorrência de pedido das partes, com base em protocolo de intenções firmado pelos governos dos Estados litigantes, autorizados pelas respectivas assembleias legislativas, participando, também, o Estado de Mato Grosso do Sul, que não é parte no feito. Em face de relatório técni</w:t>
      </w:r>
    </w:p>
    <w:p>
      <w:pPr>
        <w:ind w:left="288"/>
      </w:pPr>
      <w:r>
        <w:rPr>
          <w:b/>
          <w:color w:val="003CA0"/>
          <w:sz w:val="16"/>
        </w:rPr>
        <w:t>[ACO 307, rel. min. Néri da Silveira, j. 21-11-2001, P, DJ de 19-12-2001.]</w:t>
      </w:r>
    </w:p>
    <w:p>
      <w:pPr>
        <w:ind w:left="288"/>
      </w:pPr>
      <w:r>
        <w:rPr>
          <w:color w:val="8C8C8C"/>
          <w:sz w:val="12"/>
        </w:rPr>
        <w:t>cf-art-233-par-3</w:t>
      </w:r>
      <w:r>
        <w:rPr>
          <w:color w:val="003CA0"/>
          <w:sz w:val="12"/>
        </w:rPr>
        <w:t xml:space="preserve"> | ACO 307</w:t>
      </w:r>
      <w:r>
        <w:rPr>
          <w:color w:val="003CA0"/>
          <w:sz w:val="12"/>
        </w:rPr>
        <w:t xml:space="preserve"> | rel. Néri da Silveira</w:t>
      </w:r>
    </w:p>
    <w:p>
      <w:pPr>
        <w:ind w:left="288"/>
      </w:pPr>
      <w:r>
        <w:rPr>
          <w:color w:val="1E1E1E"/>
          <w:sz w:val="18"/>
        </w:rPr>
        <w:t>O Serviço Geográfico do Exército ficou (...) nomeado para execução dos trabalhos de demarcação necessários, com base no laudo técnico elaborado.</w:t>
      </w:r>
    </w:p>
    <w:p>
      <w:pPr>
        <w:ind w:left="288"/>
      </w:pPr>
      <w:r>
        <w:rPr>
          <w:b/>
          <w:color w:val="003CA0"/>
          <w:sz w:val="16"/>
        </w:rPr>
        <w:t>[ACO 307, rel. min. Néri da Silveira, j. 21-11-2001, P, DJ de 19-12-2001.]</w:t>
      </w:r>
    </w:p>
    <w:p>
      <w:pPr>
        <w:ind w:left="288"/>
      </w:pPr>
      <w:r>
        <w:rPr>
          <w:color w:val="8C8C8C"/>
          <w:sz w:val="12"/>
        </w:rPr>
        <w:t>cf-art-233-par-4</w:t>
      </w:r>
    </w:p>
    <w:p>
      <w:pPr>
        <w:ind w:left="288"/>
      </w:pPr>
      <w:r>
        <w:rPr>
          <w:color w:val="1E1E1E"/>
          <w:sz w:val="18"/>
        </w:rPr>
        <w:t>§ 5º Ficam reconhecidos e homologados os atuais limites do Estado do Acre com os Estados do Amazonas e de Rondônia, conforme levantamentos cartográficos e geodésicos realizados pela Comissão Tripartite integrada por representantes dos Estados e dos serviços técnico-especializados do Instituto Brasileiro de Geografia e Estatística.</w:t>
      </w:r>
    </w:p>
    <w:p>
      <w:pPr>
        <w:ind w:left="288"/>
      </w:pPr>
      <w:r>
        <w:rPr>
          <w:color w:val="8C8C8C"/>
          <w:sz w:val="12"/>
        </w:rPr>
        <w:t>cf-art-233-par-4</w:t>
      </w:r>
      <w:r>
        <w:rPr>
          <w:color w:val="003CA0"/>
          <w:sz w:val="12"/>
        </w:rPr>
        <w:t xml:space="preserve"> | ACO 415-2</w:t>
      </w:r>
      <w:r>
        <w:rPr>
          <w:color w:val="003CA0"/>
          <w:sz w:val="12"/>
        </w:rPr>
        <w:t xml:space="preserve"> | rel. Gilmar Mendes</w:t>
      </w:r>
    </w:p>
    <w:p>
      <w:pPr>
        <w:ind w:left="288"/>
      </w:pPr>
      <w:r>
        <w:rPr>
          <w:color w:val="1E1E1E"/>
          <w:sz w:val="18"/>
        </w:rPr>
        <w:t>Garantia da autoridade da decisão proferida por esta Corte nos autos da ACO 415-2. Ato do presidente da fundação IBGE que estabeleceu limites territoriais interestaduais, entre o Estado do Acre e o Estado do Amazonas. Alegação de diversidade entre os marcos estabelecidos no acórdão proferido por esta Corte nos autos da ACO 415-2 e aqueles determinados pelo IBGE. Vinculação da decisão proferida na ACO 415-2 aos resultados apurados pelo trabalho técnico elaborado pelo IBGE, junto à comissão tripartite formada para o fim de resolver os limites territoriais entre os Estados do Amazonas, Acre e Ron</w:t>
      </w:r>
    </w:p>
    <w:p>
      <w:pPr>
        <w:ind w:left="288"/>
      </w:pPr>
      <w:r>
        <w:rPr>
          <w:b/>
          <w:color w:val="003CA0"/>
          <w:sz w:val="16"/>
        </w:rPr>
        <w:t>[Rcl 1.421, rel. min. Gilmar Mendes, j. 3-4-2008, P, DJE de 20-6-2008.]</w:t>
      </w:r>
    </w:p>
    <w:p>
      <w:pPr>
        <w:ind w:left="288"/>
      </w:pPr>
      <w:r>
        <w:rPr>
          <w:color w:val="8C8C8C"/>
          <w:sz w:val="12"/>
        </w:rPr>
        <w:t>cf-art-233-par-4</w:t>
      </w:r>
      <w:r>
        <w:rPr>
          <w:color w:val="003CA0"/>
          <w:sz w:val="12"/>
        </w:rPr>
        <w:t xml:space="preserve"> | ACO 415</w:t>
      </w:r>
      <w:r>
        <w:rPr>
          <w:color w:val="003CA0"/>
          <w:sz w:val="12"/>
        </w:rPr>
        <w:t xml:space="preserve"> | rel. Néri da Silveira</w:t>
      </w:r>
    </w:p>
    <w:p>
      <w:pPr>
        <w:ind w:left="288"/>
      </w:pPr>
      <w:r>
        <w:rPr>
          <w:color w:val="1E1E1E"/>
          <w:sz w:val="18"/>
        </w:rPr>
        <w:t>Natureza e extensão do art. 12, § 5º, do ADCT da Constituição de 1988. Anteriormente à Constituição de 1988, mediante convênio celebrado entre os Estados do Acre, do Amazonas e de Rondônia e a Fundação IBGE, não só se criara uma comissão tripartite com representantes dos Estados aludidos, colimando solver seus problemas de limites, mas também a Fundação IBGE, no âmbito das atribuições que lhe conferiu o DL 161, de 13-2-1967, se comprometeu a realizar – como efetivamente realizou – os trabalhos de levantamentos cartográficos e geodésicos atinentes aos limites territoriais, entre si, das mencion</w:t>
      </w:r>
    </w:p>
    <w:p>
      <w:pPr>
        <w:ind w:left="288"/>
      </w:pPr>
      <w:r>
        <w:rPr>
          <w:b/>
          <w:color w:val="003CA0"/>
          <w:sz w:val="16"/>
        </w:rPr>
        <w:t>[ACO 415, rel. min. Néri da Silveira, j. 4-12-1996, P, DJ de 21-2-1997.]</w:t>
      </w:r>
    </w:p>
    <w:p>
      <w:pPr>
        <w:ind w:left="288"/>
      </w:pPr>
      <w:r>
        <w:rPr>
          <w:color w:val="8C8C8C"/>
          <w:sz w:val="12"/>
        </w:rPr>
        <w:t>cf-art-233-par-4</w:t>
      </w:r>
    </w:p>
    <w:p>
      <w:pPr>
        <w:ind w:left="288"/>
      </w:pPr>
      <w:r>
        <w:rPr>
          <w:color w:val="1E1E1E"/>
          <w:sz w:val="18"/>
        </w:rPr>
        <w:t>Art. 13. É criado o Estado do Tocantins, pelo desmembramento da área descrita neste artigo, dando-se sua instalação no quadragésimo sexto dia após a eleição prevista no § 3º, mas não antes de 1º de janeiro de 1989.</w:t>
      </w:r>
    </w:p>
    <w:p>
      <w:pPr>
        <w:ind w:left="144"/>
      </w:pPr>
      <w:r>
        <w:rPr>
          <w:b/>
          <w:color w:val="B45A00"/>
          <w:sz w:val="16"/>
        </w:rPr>
        <w:t>CONTROLE CONCENTRADO</w:t>
      </w:r>
    </w:p>
    <w:p>
      <w:pPr>
        <w:ind w:left="288"/>
      </w:pPr>
      <w:r>
        <w:rPr>
          <w:color w:val="8C8C8C"/>
          <w:sz w:val="12"/>
        </w:rPr>
        <w:t>cf-art-233-par-4</w:t>
      </w:r>
      <w:r>
        <w:rPr>
          <w:color w:val="003CA0"/>
          <w:sz w:val="12"/>
        </w:rPr>
        <w:t xml:space="preserve"> | ADI 1.109</w:t>
      </w:r>
      <w:r>
        <w:rPr>
          <w:color w:val="003CA0"/>
          <w:sz w:val="12"/>
        </w:rPr>
        <w:t xml:space="preserve"> | rel. Cármen Lúcia</w:t>
      </w:r>
    </w:p>
    <w:p>
      <w:pPr>
        <w:ind w:left="288"/>
      </w:pPr>
      <w:r>
        <w:rPr>
          <w:color w:val="1E1E1E"/>
          <w:sz w:val="18"/>
        </w:rPr>
        <w:t>O art. 13 do ADCT da Constituição da República estabeleceu a criação do Estado do Tocantins pelo desmembramento de parte do Estado de Goiás. O Poder Legislativo estadual do Tocantins estabeleceu a adoção, no que couber, da legislação do Estado de Goiás, excluída a que se referisse à autonomia administrativa do novo Estado. O Estado do Tocantins poderá revogar a lei quando entender conveniente, no exercício da autonomia que lhe é assegurada pelo art. 25 da Constituição da República. Ação direta de inconstitucionalidade julgada parcialmente procedente, sem redução de texto, para considerar const</w:t>
      </w:r>
    </w:p>
    <w:p>
      <w:pPr>
        <w:ind w:left="288"/>
      </w:pPr>
      <w:r>
        <w:rPr>
          <w:b/>
          <w:color w:val="003CA0"/>
          <w:sz w:val="16"/>
        </w:rPr>
        <w:t>[ADI 1.109, rel. min. Cármen Lúcia, j. 16-5-2007, P, DJ de 17-8-2007.]</w:t>
      </w:r>
    </w:p>
    <w:p>
      <w:pPr>
        <w:ind w:left="288"/>
      </w:pPr>
      <w:r>
        <w:rPr>
          <w:color w:val="8C8C8C"/>
          <w:sz w:val="12"/>
        </w:rPr>
        <w:t>cf-art-233-par-4</w:t>
      </w:r>
      <w:r>
        <w:rPr>
          <w:color w:val="003CA0"/>
          <w:sz w:val="12"/>
        </w:rPr>
        <w:t xml:space="preserve"> | ADI 1.921</w:t>
      </w:r>
      <w:r>
        <w:rPr>
          <w:color w:val="003CA0"/>
          <w:sz w:val="12"/>
        </w:rPr>
        <w:t xml:space="preserve"> | rel. Carlos Velloso</w:t>
      </w:r>
    </w:p>
    <w:p>
      <w:pPr>
        <w:ind w:left="288"/>
      </w:pPr>
      <w:r>
        <w:rPr>
          <w:color w:val="1E1E1E"/>
          <w:sz w:val="18"/>
        </w:rPr>
        <w:t>A criação do Estado do Tocantins deu-se com a promulgação da Constituição de 1988, 5-10-1988: ADCT, art. 13. A sua instalação é que se projetou no tempo. A LC 17, de 16-11-1998, do Estado do Tocantins ocorreu quando já decorridos dez anos da criação do Estado, motivo por que não estava obrigada a observar as regras básicas inscritas no art. 235 da CF/1988.</w:t>
      </w:r>
    </w:p>
    <w:p>
      <w:pPr>
        <w:ind w:left="288"/>
      </w:pPr>
      <w:r>
        <w:rPr>
          <w:b/>
          <w:color w:val="003CA0"/>
          <w:sz w:val="16"/>
        </w:rPr>
        <w:t>[ADI 1.921, rel. min. Carlos Velloso, j. 23-6-2004, P, DJ de 20-8-2004.]</w:t>
      </w:r>
    </w:p>
    <w:p>
      <w:pPr>
        <w:ind w:left="288"/>
      </w:pPr>
      <w:r>
        <w:rPr>
          <w:color w:val="8C8C8C"/>
          <w:sz w:val="12"/>
        </w:rPr>
        <w:t>cf-art-233-par-4</w:t>
      </w:r>
      <w:r>
        <w:rPr>
          <w:color w:val="003CA0"/>
          <w:sz w:val="12"/>
        </w:rPr>
        <w:t xml:space="preserve"> | ADI 445</w:t>
      </w:r>
      <w:r>
        <w:rPr>
          <w:color w:val="003CA0"/>
          <w:sz w:val="12"/>
        </w:rPr>
        <w:t xml:space="preserve"> | rel. Néri da Silveira</w:t>
      </w:r>
    </w:p>
    <w:p>
      <w:pPr>
        <w:ind w:left="288"/>
      </w:pPr>
      <w:r>
        <w:rPr>
          <w:color w:val="1E1E1E"/>
          <w:sz w:val="18"/>
        </w:rPr>
        <w:t>Ao dispor especificamente sobre o Estado do Tocantins, o art. 13 do ADCT não previu nenhuma ressalva a autorizar a invocação do art. 31 e parágrafos da Constituição, para a fiscalização das contas dos Municípios, durante os dez primeiros anos da existência do Estado. De tal maneira, conforme o art. 235, III, da Lei Maior, o auxílio às câmaras municipais, para o controle externo, nesse primeiro decênio, há de fazer-se por intermédio do tribunal de contas do Estado, sendo inviável a criação de tribunal de contas dos Municípios.</w:t>
      </w:r>
    </w:p>
    <w:p>
      <w:pPr>
        <w:ind w:left="288"/>
      </w:pPr>
      <w:r>
        <w:rPr>
          <w:b/>
          <w:color w:val="003CA0"/>
          <w:sz w:val="16"/>
        </w:rPr>
        <w:t>[ADI 445, rel. min. Néri da Silveira, j. 12-6-1993, P, DJ de 25-3-1994.]</w:t>
      </w:r>
    </w:p>
    <w:p>
      <w:pPr>
        <w:ind w:left="288"/>
      </w:pPr>
      <w:r>
        <w:rPr>
          <w:color w:val="8C8C8C"/>
          <w:sz w:val="12"/>
        </w:rPr>
        <w:t>cf-art-233-par-4</w:t>
      </w:r>
    </w:p>
    <w:p>
      <w:pPr>
        <w:ind w:left="288"/>
      </w:pPr>
      <w:r>
        <w:rPr>
          <w:color w:val="1E1E1E"/>
          <w:sz w:val="18"/>
        </w:rPr>
        <w:t>§ 1º O Estado do Tocantins integra a Região Norte e limita-se com o Estado de Goiás pelas divisas norte dos Municípios de São Miguel do Araguaia, Porangatu, Formoso, Minaçu, Cavalcante, Monte Alegre de Goiás e Campos Belos, conservando a leste, norte e oeste as divisas atuais de Goiás com os Estados da Bahia, Piauí, Maranhão, Pará e Mato Grosso.</w:t>
      </w:r>
    </w:p>
    <w:p>
      <w:pPr>
        <w:ind w:left="288"/>
      </w:pPr>
      <w:r>
        <w:rPr>
          <w:color w:val="8C8C8C"/>
          <w:sz w:val="12"/>
        </w:rPr>
        <w:t>cf-art-233-par-2</w:t>
      </w:r>
    </w:p>
    <w:p>
      <w:pPr>
        <w:ind w:left="288"/>
      </w:pPr>
      <w:r>
        <w:rPr>
          <w:color w:val="1E1E1E"/>
          <w:sz w:val="18"/>
        </w:rPr>
        <w:t>§ 3º O Governador, o Vice-Governador, os Senadores, os Deputados Federais e os Deputados Estaduais serão eleitos, em um único turno, até setenta e cinco dias após a promulgação da Constituição, mas não antes de 15 de novembro de 1988, a critério do Tribunal Superior Eleitoral, obedecidas, entre outras, as seguintes normas:</w:t>
      </w:r>
    </w:p>
    <w:p>
      <w:pPr>
        <w:ind w:left="288"/>
      </w:pPr>
      <w:r>
        <w:rPr>
          <w:color w:val="8C8C8C"/>
          <w:sz w:val="12"/>
        </w:rPr>
        <w:t>cf-art-233-par-2-inc-I</w:t>
      </w:r>
    </w:p>
    <w:p>
      <w:pPr>
        <w:ind w:left="288"/>
      </w:pPr>
      <w:r>
        <w:rPr>
          <w:color w:val="1E1E1E"/>
          <w:sz w:val="18"/>
        </w:rPr>
        <w:t>II - as datas das convenções regionais partidárias destinadas a deliberar sobre coligações e escolha de candidatos, de apresentação de requerimento de registro dos candidatos escolhidos e dos demais procedimentos legais serão fixadas, em calendário especial, pela Justiça Eleitoral; III - são inelegíveis os ocupantes de cargos estaduais ou municipais que não se tenham deles afastado, em caráter definitivo, setenta e cinco dias antes da data das eleições previstas neste parágrafo; IV - ficam mantidos os atuais diretórios regionais dos partidos políticos do Estado de Goiás, cabendo às comissões e</w:t>
      </w:r>
    </w:p>
    <w:p>
      <w:pPr>
        <w:ind w:left="288"/>
      </w:pPr>
      <w:r>
        <w:rPr>
          <w:color w:val="8C8C8C"/>
          <w:sz w:val="12"/>
        </w:rPr>
        <w:t>cf-art-233-par-6</w:t>
      </w:r>
      <w:r>
        <w:rPr>
          <w:color w:val="003CA0"/>
          <w:sz w:val="12"/>
        </w:rPr>
        <w:t xml:space="preserve"> | ADI 1.109</w:t>
      </w:r>
      <w:r>
        <w:rPr>
          <w:color w:val="003CA0"/>
          <w:sz w:val="12"/>
        </w:rPr>
        <w:t xml:space="preserve"> | rel. Cármen Lúcia</w:t>
      </w:r>
    </w:p>
    <w:p>
      <w:pPr>
        <w:ind w:left="288"/>
      </w:pPr>
      <w:r>
        <w:rPr>
          <w:color w:val="1E1E1E"/>
          <w:sz w:val="18"/>
        </w:rPr>
        <w:t>O art. 13 do ADCT da Constituição da República estabeleceu a criação do Estado do Tocantins pelo desmembramento de parte do Estado de Goiás. O Poder Legislativo estadual do Tocantins estabeleceu a adoção, no que couber, da legislação do Estado de Goiás, excluída a que se referisse à autonomia administrativa do novo Estado. O Estado do Tocantins poderá revogar a lei quando entender conveniente, no exercício da autonomia que lhe é assegurada pelo art. 25 da Constituição da República. Ação direta de inconstitucionalidade julgada parcialmente procedente, sem redução de texto, para considerar const</w:t>
      </w:r>
    </w:p>
    <w:p>
      <w:pPr>
        <w:ind w:left="288"/>
      </w:pPr>
      <w:r>
        <w:rPr>
          <w:b/>
          <w:color w:val="003CA0"/>
          <w:sz w:val="16"/>
        </w:rPr>
        <w:t>[ADI 1.109, rel. min. Cármen Lúcia, j. 16-5-2007, P, DJ de 17-8-2007.]</w:t>
      </w:r>
    </w:p>
    <w:p>
      <w:pPr>
        <w:ind w:left="288"/>
      </w:pPr>
      <w:r>
        <w:rPr>
          <w:color w:val="8C8C8C"/>
          <w:sz w:val="12"/>
        </w:rPr>
        <w:t>cf-art-233-par-7</w:t>
      </w:r>
    </w:p>
    <w:p>
      <w:pPr>
        <w:ind w:left="288"/>
      </w:pPr>
      <w:r>
        <w:rPr>
          <w:color w:val="1E1E1E"/>
          <w:sz w:val="18"/>
        </w:rPr>
        <w:t>Art. 14. Os Territórios Federais de Roraima e do Amapá são transformados em Estados Federados, mantidos seus atuais limites geográficos.</w:t>
      </w:r>
    </w:p>
    <w:p>
      <w:pPr>
        <w:ind w:left="144"/>
      </w:pPr>
      <w:r>
        <w:rPr>
          <w:b/>
          <w:color w:val="B45A00"/>
          <w:sz w:val="16"/>
        </w:rPr>
        <w:t>JULGADOS CORRELATOS</w:t>
      </w:r>
    </w:p>
    <w:p>
      <w:pPr>
        <w:ind w:left="288"/>
      </w:pPr>
      <w:r>
        <w:rPr>
          <w:color w:val="8C8C8C"/>
          <w:sz w:val="12"/>
        </w:rPr>
        <w:t>cf-art-233-par-7</w:t>
      </w:r>
      <w:r>
        <w:rPr>
          <w:color w:val="003CA0"/>
          <w:sz w:val="12"/>
        </w:rPr>
        <w:t xml:space="preserve"> | ADI 1.512</w:t>
      </w:r>
      <w:r>
        <w:rPr>
          <w:color w:val="003CA0"/>
          <w:sz w:val="12"/>
        </w:rPr>
        <w:t xml:space="preserve"> | rel. Maurício Corrêa). [Pet 3.388</w:t>
      </w:r>
    </w:p>
    <w:p>
      <w:pPr>
        <w:ind w:left="288"/>
      </w:pPr>
      <w:r>
        <w:rPr>
          <w:color w:val="1E1E1E"/>
          <w:sz w:val="18"/>
        </w:rPr>
        <w:t>De se atentar a que foi esta mesma Constituição que, no art. 14 do ADCT, transformou o Território de Roraima (portanto, até então, mera autarquia territorial da União) em Estado-membro da Federação brasileira (...). Nem antes havia naquela área Município constituído como ente federado, portanto autônomo, porque Roraima não detinha aquela qualidade constitucional, nem havia como se cogitar do desconhecimento de que naquela área prevalecia o indigenato, porque desde 1934 tanto era reconhecido em todo o território nacional, e a norma de 1969, observada como constitucional no período, reconhecia o</w:t>
      </w:r>
    </w:p>
    <w:p>
      <w:pPr>
        <w:ind w:left="288"/>
      </w:pPr>
      <w:r>
        <w:rPr>
          <w:b/>
          <w:color w:val="003CA0"/>
          <w:sz w:val="16"/>
        </w:rPr>
        <w:t>[Pet 3.388, voto do rel. min. Ayres Britto, j. 19-3-2009, P, DJE de 1º-7-2010.]</w:t>
      </w:r>
    </w:p>
    <w:p>
      <w:pPr>
        <w:ind w:left="144"/>
      </w:pPr>
      <w:r>
        <w:rPr>
          <w:b/>
          <w:color w:val="B45A00"/>
          <w:sz w:val="16"/>
        </w:rPr>
        <w:t>CONTROLE CONCENTRADO</w:t>
      </w:r>
    </w:p>
    <w:p>
      <w:pPr>
        <w:ind w:left="288"/>
      </w:pPr>
      <w:r>
        <w:rPr>
          <w:color w:val="8C8C8C"/>
          <w:sz w:val="12"/>
        </w:rPr>
        <w:t>cf-art-233-par-1</w:t>
      </w:r>
      <w:r>
        <w:rPr>
          <w:color w:val="003CA0"/>
          <w:sz w:val="12"/>
        </w:rPr>
        <w:t xml:space="preserve"> | ADI 1.921.</w:t>
      </w:r>
      <w:r>
        <w:rPr>
          <w:color w:val="003CA0"/>
          <w:sz w:val="12"/>
        </w:rPr>
        <w:t xml:space="preserve"> | rel. Ricardo Lewandowski</w:t>
      </w:r>
    </w:p>
    <w:p>
      <w:pPr>
        <w:ind w:left="288"/>
      </w:pPr>
      <w:r>
        <w:rPr>
          <w:color w:val="1E1E1E"/>
          <w:sz w:val="18"/>
        </w:rPr>
        <w:t>A criação do Estado do Roraima deu-se com a promulgação da Constituição de 1988, ou seja, em 5-10-1988, tendo a sua instalação se projetado no tempo. O Decreto Legislativo 9/1998 da Assembleia local foi editado quando já decorridos dez anos da criação do Estado, razão pela qual não estava obrigada a observar os parâmetros inscritos no art. 235 da Carta Magna. Distinção entre criação e instalação de Estado revelada no julgamento da ADI 1.921.</w:t>
      </w:r>
    </w:p>
    <w:p>
      <w:pPr>
        <w:ind w:left="288"/>
      </w:pPr>
      <w:r>
        <w:rPr>
          <w:b/>
          <w:color w:val="003CA0"/>
          <w:sz w:val="16"/>
        </w:rPr>
        <w:t>[ADI 1.903, rel. min. Ricardo Lewandowski, j. 6-3-2008, P, DJE de 11-4-2008.]</w:t>
      </w:r>
    </w:p>
    <w:p>
      <w:pPr>
        <w:ind w:left="144"/>
      </w:pPr>
      <w:r>
        <w:rPr>
          <w:b/>
          <w:color w:val="B45A00"/>
          <w:sz w:val="16"/>
        </w:rPr>
        <w:t>JULGADOS CORRELATOS</w:t>
      </w:r>
    </w:p>
    <w:p>
      <w:pPr>
        <w:ind w:left="288"/>
      </w:pPr>
      <w:r>
        <w:rPr>
          <w:color w:val="8C8C8C"/>
          <w:sz w:val="12"/>
        </w:rPr>
        <w:t>cf-art-233-par-1</w:t>
      </w:r>
      <w:r>
        <w:rPr>
          <w:color w:val="003CA0"/>
          <w:sz w:val="12"/>
        </w:rPr>
        <w:t xml:space="preserve"> | RE 547.406</w:t>
      </w:r>
      <w:r>
        <w:rPr>
          <w:color w:val="003CA0"/>
          <w:sz w:val="12"/>
        </w:rPr>
        <w:t xml:space="preserve"> | rel. Ellen Gracie</w:t>
      </w:r>
    </w:p>
    <w:p>
      <w:pPr>
        <w:ind w:left="288"/>
      </w:pPr>
      <w:r>
        <w:rPr>
          <w:color w:val="1E1E1E"/>
          <w:sz w:val="18"/>
        </w:rPr>
        <w:t>A criação de Estado-membro, a partir de Território Federal, deu-se com a promulgação da CF de 1988, sendo a sua instalação, com a posse do governador eleito, nos termos do art. 14, § 1º, do ADCT.</w:t>
      </w:r>
    </w:p>
    <w:p>
      <w:pPr>
        <w:ind w:left="288"/>
      </w:pPr>
      <w:r>
        <w:rPr>
          <w:b/>
          <w:color w:val="003CA0"/>
          <w:sz w:val="16"/>
        </w:rPr>
        <w:t>[RE 547.406 AgR, rel. min. Ellen Gracie, j. 24-5-2011, 2ª T, DJE de 22-6-2011.]</w:t>
      </w:r>
    </w:p>
    <w:p>
      <w:pPr>
        <w:ind w:left="144"/>
      </w:pPr>
      <w:r>
        <w:rPr>
          <w:b/>
          <w:color w:val="B45A00"/>
          <w:sz w:val="16"/>
        </w:rPr>
        <w:t>CONTROLE CONCENTRADO</w:t>
      </w:r>
    </w:p>
    <w:p>
      <w:pPr>
        <w:ind w:left="288"/>
      </w:pPr>
      <w:r>
        <w:rPr>
          <w:color w:val="8C8C8C"/>
          <w:sz w:val="12"/>
        </w:rPr>
        <w:t>cf-art-233-par-2</w:t>
      </w:r>
      <w:r>
        <w:rPr>
          <w:color w:val="003CA0"/>
          <w:sz w:val="12"/>
        </w:rPr>
        <w:t xml:space="preserve"> | ADI 460</w:t>
      </w:r>
      <w:r>
        <w:rPr>
          <w:color w:val="003CA0"/>
          <w:sz w:val="12"/>
        </w:rPr>
        <w:t xml:space="preserve"> | rel. Sepúlveda Pertence</w:t>
      </w:r>
    </w:p>
    <w:p>
      <w:pPr>
        <w:ind w:left="288"/>
      </w:pPr>
      <w:r>
        <w:rPr>
          <w:color w:val="1E1E1E"/>
          <w:sz w:val="18"/>
        </w:rPr>
        <w:t>Ação direta de inconstitucionalidade (liminar): decreto normativo do governador do Estado do Amapá no curso dos trabalhos da assembleia constituinte estadual – baixado sob invocação do art. 5º, § 2º, LC 41/1981, c/c o art. 14, § 2º, ADCT/1988 – para limitar a convocação do vice-governador a assumir o governo aos casos de "moléstia, licença ou férias, e de ausência do Estado do Amapá por prazo superior a 15 dias" do titular: suspensão cautelar do ato impugnado que se defere. Relevância da arguição de inconstitucionalidade formal do ato impugnado: o alcance de normas constitucionais transitórias</w:t>
      </w:r>
    </w:p>
    <w:p>
      <w:pPr>
        <w:ind w:left="288"/>
      </w:pPr>
      <w:r>
        <w:rPr>
          <w:b/>
          <w:color w:val="003CA0"/>
          <w:sz w:val="16"/>
        </w:rPr>
        <w:t>[ADI 644 MC, rel. min. Sepúlveda Pertence, j. 4-12-1991, P, DJ de 21-2-1992.]</w:t>
      </w:r>
    </w:p>
    <w:p>
      <w:pPr>
        <w:ind w:left="144"/>
      </w:pPr>
      <w:r>
        <w:rPr>
          <w:b/>
          <w:color w:val="B45A00"/>
          <w:sz w:val="16"/>
        </w:rPr>
        <w:t>JULGADOS CORRELATOS</w:t>
      </w:r>
    </w:p>
    <w:p>
      <w:pPr>
        <w:ind w:left="288"/>
      </w:pPr>
      <w:r>
        <w:rPr>
          <w:color w:val="8C8C8C"/>
          <w:sz w:val="12"/>
        </w:rPr>
        <w:t>cf-art-233-par-2</w:t>
      </w:r>
      <w:r>
        <w:rPr>
          <w:color w:val="003CA0"/>
          <w:sz w:val="12"/>
        </w:rPr>
        <w:t xml:space="preserve"> | ACO 640</w:t>
      </w:r>
      <w:r>
        <w:rPr>
          <w:color w:val="003CA0"/>
          <w:sz w:val="12"/>
        </w:rPr>
        <w:t xml:space="preserve"> | rel. Marco Aurélio</w:t>
      </w:r>
    </w:p>
    <w:p>
      <w:pPr>
        <w:ind w:left="288"/>
      </w:pPr>
      <w:r>
        <w:rPr>
          <w:color w:val="1E1E1E"/>
          <w:sz w:val="18"/>
        </w:rPr>
        <w:t>Ante o teor do § 2º do art. 14 do ADCT da Carta de 1988, aplicáveis são as normas norteadoras da criação do Estado de Rondônia e, portanto, quanto aos bens da União e à transferência destes para o novo Estado de Roraima, o preceito do art. 15 da LC 41/1981. Os bens efetivamente utilizados pela administração do Território Federal de Roraima passaram ao domínio do novo Estado.</w:t>
      </w:r>
    </w:p>
    <w:p>
      <w:pPr>
        <w:ind w:left="288"/>
      </w:pPr>
      <w:r>
        <w:rPr>
          <w:b/>
          <w:color w:val="003CA0"/>
          <w:sz w:val="16"/>
        </w:rPr>
        <w:t>[ACO 640, rel. min. Marco Aurélio, j. 9-3-2005, P, DJ de 20-5-2005.]</w:t>
      </w:r>
    </w:p>
    <w:p>
      <w:pPr>
        <w:ind w:left="288"/>
      </w:pPr>
      <w:r>
        <w:rPr>
          <w:color w:val="8C8C8C"/>
          <w:sz w:val="12"/>
        </w:rPr>
        <w:t>cf-art-233-par-2</w:t>
      </w:r>
      <w:r>
        <w:rPr>
          <w:color w:val="003CA0"/>
          <w:sz w:val="12"/>
        </w:rPr>
        <w:t xml:space="preserve"> | AO 97</w:t>
      </w:r>
      <w:r>
        <w:rPr>
          <w:color w:val="003CA0"/>
          <w:sz w:val="12"/>
        </w:rPr>
        <w:t xml:space="preserve"> | rel. Sepúlveda Pertence</w:t>
      </w:r>
    </w:p>
    <w:p>
      <w:pPr>
        <w:ind w:left="288"/>
      </w:pPr>
      <w:r>
        <w:rPr>
          <w:color w:val="1E1E1E"/>
          <w:sz w:val="18"/>
        </w:rPr>
        <w:t>Estado-membro: criação, mediante transformação de território federal: constitucionalização da LC 41/1981 (transformação em Estado-membro do antigo Território Federal de Rondônia) para reger o processo de transformação e instalação dos novos Estados do Amapá e Roraima (ADCT, art. 14, § 2º): momento em que deve cessar a jurisdição residual, em ambas as instâncias, da Justiça do Distrito Federal e Territórios, considerando-se instalada a Justiça própria dos novos Estados (LC 41/1981, art. 31). O aperfeiçoamento da conversão de um território federal em Estado-membro, na plenitude do seu status con</w:t>
      </w:r>
    </w:p>
    <w:p>
      <w:pPr>
        <w:ind w:left="288"/>
      </w:pPr>
      <w:r>
        <w:rPr>
          <w:b/>
          <w:color w:val="003CA0"/>
          <w:sz w:val="16"/>
        </w:rPr>
        <w:t>[AO 97 MC, rel. min. Sepúlveda Pertence, j. 26-9-1991, P, DJ de 2-4-1993.]</w:t>
      </w:r>
    </w:p>
    <w:p>
      <w:pPr>
        <w:ind w:left="288"/>
      </w:pPr>
      <w:r>
        <w:rPr>
          <w:color w:val="8C8C8C"/>
          <w:sz w:val="12"/>
        </w:rPr>
        <w:t>cf-art-233-par-2</w:t>
      </w:r>
    </w:p>
    <w:p>
      <w:pPr>
        <w:ind w:left="288"/>
      </w:pPr>
      <w:r>
        <w:rPr>
          <w:color w:val="1E1E1E"/>
          <w:sz w:val="18"/>
        </w:rPr>
        <w:t>§ 3º O Presidente da República, até quarenta e cinco dias após a promulgação da Constituição, encaminhará à apreciação do Senado Federal os nomes dos governadores dos Estados de Roraima e do Amapá que exercerão o Poder Executivo até a instalação dos novos Estados com a posse dos governadores eleitos.</w:t>
      </w:r>
    </w:p>
    <w:p>
      <w:pPr>
        <w:ind w:left="288"/>
      </w:pPr>
      <w:r>
        <w:rPr>
          <w:color w:val="8C8C8C"/>
          <w:sz w:val="12"/>
        </w:rPr>
        <w:t>cf-art-233-par-2</w:t>
      </w:r>
      <w:r>
        <w:rPr>
          <w:color w:val="003CA0"/>
          <w:sz w:val="12"/>
        </w:rPr>
        <w:t xml:space="preserve"> | MS 21.100</w:t>
      </w:r>
      <w:r>
        <w:rPr>
          <w:color w:val="003CA0"/>
          <w:sz w:val="12"/>
        </w:rPr>
        <w:t xml:space="preserve"> | rel. Carlos Velloso</w:t>
      </w:r>
    </w:p>
    <w:p>
      <w:pPr>
        <w:ind w:left="288"/>
      </w:pPr>
      <w:r>
        <w:rPr>
          <w:color w:val="1E1E1E"/>
          <w:sz w:val="18"/>
        </w:rPr>
        <w:t>A transformação dos Territórios de Roraima e do Amapá em Estados-membros somente ocorreria com a posse dos governadores eleitos em 1990. CF/1988, ADCT, art. 14, §§ 1º e 4º. Aplicabilidade das normas e critérios seguidos na criação do Estado de Rondônia, que estão na LC 41, de 22-12-1981, ex vi do disposto no § 2º do art. 14 do ADCT à CF/1988. Demissibilidade ad nutum do governador nomeado. LC 41, de 1981, art. 4º, § 1º. A disposição inscrita no § 3º do art. 14 do ADCT à CF/1988 fixa, apenas, o termo final do exercício dos cargos e não um mandato a termo, pelo que não representa vedação imposta</w:t>
      </w:r>
    </w:p>
    <w:p>
      <w:pPr>
        <w:ind w:left="288"/>
      </w:pPr>
      <w:r>
        <w:rPr>
          <w:b/>
          <w:color w:val="003CA0"/>
          <w:sz w:val="16"/>
        </w:rPr>
        <w:t>[MS 21.100, rel. p/ o ac. min. Carlos Velloso, j. 6-12-1990, P, DJ de 10-9-1993.]</w:t>
      </w:r>
    </w:p>
    <w:p>
      <w:pPr>
        <w:ind w:left="144"/>
      </w:pPr>
      <w:r>
        <w:rPr>
          <w:b/>
          <w:color w:val="B45A00"/>
          <w:sz w:val="16"/>
        </w:rPr>
        <w:t>CONTROLE CONCENTRADO</w:t>
      </w:r>
    </w:p>
    <w:p>
      <w:pPr>
        <w:ind w:left="288"/>
      </w:pPr>
      <w:r>
        <w:rPr>
          <w:color w:val="8C8C8C"/>
          <w:sz w:val="12"/>
        </w:rPr>
        <w:t>cf-art-233-par-4</w:t>
      </w:r>
      <w:r>
        <w:rPr>
          <w:color w:val="003CA0"/>
          <w:sz w:val="12"/>
        </w:rPr>
        <w:t xml:space="preserve"> | ADI 1.903</w:t>
      </w:r>
      <w:r>
        <w:rPr>
          <w:color w:val="003CA0"/>
          <w:sz w:val="12"/>
        </w:rPr>
        <w:t xml:space="preserve"> | rel. Néri da Silveira</w:t>
      </w:r>
    </w:p>
    <w:p>
      <w:pPr>
        <w:ind w:left="288"/>
      </w:pPr>
      <w:r>
        <w:rPr>
          <w:color w:val="1E1E1E"/>
          <w:sz w:val="18"/>
        </w:rPr>
        <w:t xml:space="preserve">Ação direta de inconstitucionalidade. Decreto Legislativo 9/1998, da Assembleia Legislativa de Roraima, que dispôs sobre a indicação às vagas de conselheiros do Tribunal de Contas do Estado de Roraima. Alegação de afronta ao § 1º do art. 14 do ADCT e art. 235 e inciso III da CF. O § 4º do art. 14 do ADCT prevê tratamento de Estado, no que concerne ao Amapá e a Roraima, mesmo antes da posse dos governadores eleitos em 1990, ou seja, antes da instalação a que se refere o dispositivo em foco, relativamente a benefícios tributários. Distinção entre criação e instalação. O art. 235 prevê a criação </w:t>
      </w:r>
    </w:p>
    <w:p>
      <w:pPr>
        <w:ind w:left="288"/>
      </w:pPr>
      <w:r>
        <w:rPr>
          <w:b/>
          <w:color w:val="003CA0"/>
          <w:sz w:val="16"/>
        </w:rPr>
        <w:t>[ADI 1.903 MC, rel. min. Néri da Silveira, j. 25-2-1999, P, DJ de 8-9-2000.]</w:t>
      </w:r>
    </w:p>
    <w:p>
      <w:pPr>
        <w:ind w:left="288"/>
      </w:pPr>
      <w:r>
        <w:rPr>
          <w:color w:val="8C8C8C"/>
          <w:sz w:val="12"/>
        </w:rPr>
        <w:t>cf-art-233-par-4</w:t>
      </w:r>
    </w:p>
    <w:p>
      <w:pPr>
        <w:ind w:left="288"/>
      </w:pPr>
      <w:r>
        <w:rPr>
          <w:color w:val="1E1E1E"/>
          <w:sz w:val="18"/>
        </w:rPr>
        <w:t>Art. 15. Fica extinto o Território Federal de Fernando de Noronha, sendo sua área reincorporada ao Estado de Pernambuco. Art. 16. Até que se efetive o disposto no art. 32, § 2º, da Constituição, caberá ao Presidente da República, com a aprovação do Senado Federal, indicar o Governador e o Vice-Governador do Distrito Federal.</w:t>
      </w:r>
    </w:p>
    <w:p>
      <w:pPr>
        <w:ind w:left="288"/>
      </w:pPr>
      <w:r>
        <w:rPr>
          <w:color w:val="8C8C8C"/>
          <w:sz w:val="12"/>
        </w:rPr>
        <w:t>cf-art-233-par-1</w:t>
      </w:r>
      <w:r>
        <w:rPr>
          <w:color w:val="003CA0"/>
          <w:sz w:val="12"/>
        </w:rPr>
        <w:t xml:space="preserve"> | ADI 209</w:t>
      </w:r>
      <w:r>
        <w:rPr>
          <w:color w:val="003CA0"/>
          <w:sz w:val="12"/>
        </w:rPr>
        <w:t xml:space="preserve"> | rel. Sydney Sanches</w:t>
      </w:r>
    </w:p>
    <w:p>
      <w:pPr>
        <w:ind w:left="288"/>
      </w:pPr>
      <w:r>
        <w:rPr>
          <w:color w:val="1E1E1E"/>
          <w:sz w:val="18"/>
        </w:rPr>
        <w:t>(...) o que se pretende é que o STF, em ação direta de inconstitucionalidade, declare a inconstitucionalidade de lei que, embora aprovada pelo Senado Federal, no âmbito da competência residual prevista no art. 16 do ADCT e sancionada pelo governador do Distrito Federal, que tivera iniciativa de propô-la, tem o mesmo âmbito de uma lei municipal, reguladora do parcelamento e aproveitamento do solo urbano, em face do que dispõem os arts. 29; 30, VIII; e 32, § 1º, da CF. Se a lei, na hipótese, excedeu, ou não, os limites da competência de um Município e, consequentemente, do Distrito Federal, é ma</w:t>
      </w:r>
    </w:p>
    <w:p>
      <w:pPr>
        <w:ind w:left="288"/>
      </w:pPr>
      <w:r>
        <w:rPr>
          <w:b/>
          <w:color w:val="003CA0"/>
          <w:sz w:val="16"/>
        </w:rPr>
        <w:t>[ADI 209, rel. min. Sydney Sanches, j. 20-5-1998, P, DJ de 11-9-1998.]</w:t>
      </w:r>
    </w:p>
    <w:p>
      <w:pPr>
        <w:ind w:left="288"/>
      </w:pPr>
      <w:r>
        <w:rPr>
          <w:color w:val="8C8C8C"/>
          <w:sz w:val="12"/>
        </w:rPr>
        <w:t>cf-art-233-par-1</w:t>
      </w:r>
      <w:r>
        <w:rPr>
          <w:color w:val="003CA0"/>
          <w:sz w:val="12"/>
        </w:rPr>
        <w:t xml:space="preserve"> | ADI 548</w:t>
      </w:r>
    </w:p>
    <w:p>
      <w:pPr>
        <w:ind w:left="288"/>
      </w:pPr>
      <w:r>
        <w:rPr>
          <w:color w:val="1E1E1E"/>
          <w:sz w:val="18"/>
        </w:rPr>
        <w:t>Não assume qualquer relevo jurídico-constitucional a circunstância de a Câmara Legislativa haver sido instalada após a promulgação da Constituição de 1988, pois o Senado Federal, ao exercer a competência que lhe outorgou a norma consubstanciada no art. 16, § 1º, do ADCT/1988, desempenhou, em plenitude, até aquele momento, todas as atribuições – de caráter legislativo ou de índole político-administrativa – inerentes àquele órgão do Poder Legislativo do Distrito Federal. O Senado da República, constitucionalmente investido da competência outorgada à Câmara Legislativa do Distrito Federal, editou</w:t>
      </w:r>
    </w:p>
    <w:p>
      <w:pPr>
        <w:ind w:left="288"/>
      </w:pPr>
      <w:r>
        <w:rPr>
          <w:b/>
          <w:color w:val="003CA0"/>
          <w:sz w:val="16"/>
        </w:rPr>
        <w:t>[ADI 548, red. do ac. min. Ilmar Galvão, voto do min. Celso de Mello, j. 30-4-1992, P, DJ de 20-11-1992.]</w:t>
      </w:r>
    </w:p>
    <w:p>
      <w:pPr>
        <w:ind w:left="288"/>
      </w:pPr>
      <w:r>
        <w:rPr>
          <w:color w:val="8C8C8C"/>
          <w:sz w:val="12"/>
        </w:rPr>
        <w:t>cf-art-233-par-1</w:t>
      </w:r>
    </w:p>
    <w:p>
      <w:pPr>
        <w:ind w:left="288"/>
      </w:pPr>
      <w:r>
        <w:rPr>
          <w:color w:val="1E1E1E"/>
          <w:sz w:val="18"/>
        </w:rPr>
        <w:t>§ 2º A fiscalização contábil, financeira, orçamentária, operacional e patrimonial do Distrito Federal, enquanto não for instalada a Câmara Legislativa, será exercida pelo Senado Federal, mediante controle externo, com o auxílio do Tribunal de Contas do Distrito Federal, observado o disposto no art. 72 da Constituição.</w:t>
      </w:r>
    </w:p>
    <w:p>
      <w:pPr>
        <w:ind w:left="288"/>
      </w:pPr>
      <w:r>
        <w:rPr>
          <w:color w:val="8C8C8C"/>
          <w:sz w:val="12"/>
        </w:rPr>
        <w:t>cf-art-233-par-3</w:t>
      </w:r>
    </w:p>
    <w:p>
      <w:pPr>
        <w:ind w:left="288"/>
      </w:pPr>
      <w:r>
        <w:rPr>
          <w:color w:val="1E1E1E"/>
          <w:sz w:val="18"/>
        </w:rPr>
        <w:t>Art. 17. Os vencimentos, a remuneração, as vantagens e os adicionais, bem como os proventos de aposentadoria que estejam sendo percebidos em desacordo com a Constituição serão imediatamente reduzidos aos limites dela decorrentes, não se admitindo, neste caso, invocação de direito adquirido ou percepção de excesso a qualquer título.</w:t>
      </w:r>
    </w:p>
    <w:p>
      <w:pPr>
        <w:ind w:left="288"/>
      </w:pPr>
      <w:r>
        <w:rPr>
          <w:color w:val="8C8C8C"/>
          <w:sz w:val="12"/>
        </w:rPr>
        <w:t>cf-art-233-par-3</w:t>
      </w:r>
      <w:r>
        <w:rPr>
          <w:color w:val="003CA0"/>
          <w:sz w:val="12"/>
        </w:rPr>
        <w:t xml:space="preserve"> | ADI 1.590</w:t>
      </w:r>
      <w:r>
        <w:rPr>
          <w:color w:val="003CA0"/>
          <w:sz w:val="12"/>
        </w:rPr>
        <w:t xml:space="preserve"> | rel. Sepúlveda Pertence</w:t>
      </w:r>
    </w:p>
    <w:p>
      <w:pPr>
        <w:ind w:left="288"/>
      </w:pPr>
      <w:r>
        <w:rPr>
          <w:color w:val="1E1E1E"/>
          <w:sz w:val="18"/>
        </w:rPr>
        <w:t>Servidor público: teto de remuneração (CF, art. 37, XI): autoaplicabilidade. Dada a eficácia plena e a aplicabilidade imediata, inclusive aos entes empresariais da administração indireta, do art. 37, XI, da Constituição, e do art. 17 do ADCT, a sua implementação – não dependendo de complementação normativa – não parece constituir matéria de reserva à lei formal e, no âmbito do Executivo, à primeira vista, podia ser determinada por decreto, que encontra no poder hierárquico do governador a sua fonte de legitimação.</w:t>
      </w:r>
    </w:p>
    <w:p>
      <w:pPr>
        <w:ind w:left="288"/>
      </w:pPr>
      <w:r>
        <w:rPr>
          <w:b/>
          <w:color w:val="003CA0"/>
          <w:sz w:val="16"/>
        </w:rPr>
        <w:t>[ADI 1.590 MC, rel. min. Sepúlveda Pertence, j. 19-6-1997, P, DJ de 15-8-1997.]</w:t>
      </w:r>
    </w:p>
    <w:p>
      <w:pPr>
        <w:ind w:left="288"/>
      </w:pPr>
      <w:r>
        <w:rPr>
          <w:color w:val="8C8C8C"/>
          <w:sz w:val="12"/>
        </w:rPr>
        <w:t>cf-art-233-par-3</w:t>
      </w:r>
      <w:r>
        <w:rPr>
          <w:color w:val="003CA0"/>
          <w:sz w:val="12"/>
        </w:rPr>
        <w:t xml:space="preserve"> | RE 285.706</w:t>
      </w:r>
      <w:r>
        <w:rPr>
          <w:color w:val="003CA0"/>
          <w:sz w:val="12"/>
        </w:rPr>
        <w:t xml:space="preserve"> | rel. Sepúlveda Pertence</w:t>
      </w:r>
    </w:p>
    <w:p>
      <w:pPr>
        <w:ind w:left="288"/>
      </w:pPr>
      <w:r>
        <w:rPr>
          <w:color w:val="1E1E1E"/>
          <w:sz w:val="18"/>
        </w:rPr>
        <w:t>= RE 285.706, rel. min. Sepúlveda Pertence, j. 26-6-2002, 1ª T, DJ de 26-4-2002</w:t>
      </w:r>
    </w:p>
    <w:p>
      <w:pPr>
        <w:ind w:left="144"/>
      </w:pPr>
      <w:r>
        <w:rPr>
          <w:b/>
          <w:color w:val="B45A00"/>
          <w:sz w:val="16"/>
        </w:rPr>
        <w:t>REPERCUSSAO GERAL</w:t>
      </w:r>
    </w:p>
    <w:p>
      <w:pPr>
        <w:ind w:left="288"/>
      </w:pPr>
      <w:r>
        <w:rPr>
          <w:color w:val="8C8C8C"/>
          <w:sz w:val="12"/>
        </w:rPr>
        <w:t>cf-art-233-par-3</w:t>
      </w:r>
      <w:r>
        <w:rPr>
          <w:color w:val="003CA0"/>
          <w:sz w:val="12"/>
        </w:rPr>
        <w:t xml:space="preserve"> | RE 146.331</w:t>
      </w:r>
      <w:r>
        <w:rPr>
          <w:color w:val="003CA0"/>
          <w:sz w:val="12"/>
        </w:rPr>
        <w:t xml:space="preserve"> | rel. Cezar Peluso</w:t>
      </w:r>
    </w:p>
    <w:p>
      <w:pPr>
        <w:ind w:left="288"/>
      </w:pPr>
      <w:r>
        <w:rPr>
          <w:color w:val="1E1E1E"/>
          <w:sz w:val="18"/>
        </w:rPr>
        <w:t>Esta Corte, no julgamento do RE 146.331 EDv, rel. min. Cezar Peluso, Plenário, DJ de 20-4-2007, firmou o entendimento de não ser absoluta a garantia da coisa julgada e afastou tal incidência no caso da aplicação do art. 17 do ADCT.</w:t>
        <w:br/>
        <w:t>[RE 600.658 RG, voto da rel. min. Ellen Gracie, j. 7-4-2011, P, DJE de 16-6-2011, Tema 380, com mérito julgado.]</w:t>
      </w:r>
    </w:p>
    <w:p>
      <w:pPr>
        <w:ind w:left="144"/>
      </w:pPr>
      <w:r>
        <w:rPr>
          <w:b/>
          <w:color w:val="B45A00"/>
          <w:sz w:val="16"/>
        </w:rPr>
        <w:t>JULGADOS CORRELATOS</w:t>
      </w:r>
    </w:p>
    <w:p>
      <w:pPr>
        <w:ind w:left="288"/>
      </w:pPr>
      <w:r>
        <w:rPr>
          <w:color w:val="8C8C8C"/>
          <w:sz w:val="12"/>
        </w:rPr>
        <w:t>cf-art-233-par-3</w:t>
      </w:r>
      <w:r>
        <w:rPr>
          <w:color w:val="003CA0"/>
          <w:sz w:val="12"/>
        </w:rPr>
        <w:t xml:space="preserve"> | MS 24.875</w:t>
      </w:r>
      <w:r>
        <w:rPr>
          <w:color w:val="003CA0"/>
          <w:sz w:val="12"/>
        </w:rPr>
        <w:t xml:space="preserve"> | rel. Sepúlveda Pertence</w:t>
      </w:r>
    </w:p>
    <w:p>
      <w:pPr>
        <w:ind w:left="288"/>
      </w:pPr>
      <w:r>
        <w:rPr>
          <w:color w:val="1E1E1E"/>
          <w:sz w:val="18"/>
        </w:rPr>
        <w:t>O STF pacificou o entendimento de que a percepção de proventos ou remuneração por servidores públicos acima do limite estabelecido no art. 37, XI, da CF enseja lesão à ordem pública. Impõe-se a suspensão das decisões como forma de evitar o efeito multiplicador, que se consubstancia no aforamento, nos diversos tribunais, de processos visando ao mesmo escopo dos mandados de segurança objeto da presente discussão (...). A decisão do Plenário no MS 24.875 (rel. min. Sepúlveda Pertence, DJ de 6-10-2006) refere-se apenas à concessão da segurança para que os impetrantes recebam o acréscimo previsto n</w:t>
      </w:r>
    </w:p>
    <w:p>
      <w:pPr>
        <w:ind w:left="288"/>
      </w:pPr>
      <w:r>
        <w:rPr>
          <w:b/>
          <w:color w:val="003CA0"/>
          <w:sz w:val="16"/>
        </w:rPr>
        <w:t>[SS 3.612 AgR, rel. min. Gilmar Mendes, j. 19-12-2008, P, DJE de 20-2-2009.]</w:t>
      </w:r>
    </w:p>
    <w:p>
      <w:pPr>
        <w:ind w:left="288"/>
      </w:pPr>
      <w:r>
        <w:rPr>
          <w:color w:val="8C8C8C"/>
          <w:sz w:val="12"/>
        </w:rPr>
        <w:t>cf-art-233-par-3</w:t>
      </w:r>
      <w:r>
        <w:rPr>
          <w:color w:val="003CA0"/>
          <w:sz w:val="12"/>
        </w:rPr>
        <w:t xml:space="preserve"> | RE 254.602</w:t>
      </w:r>
      <w:r>
        <w:rPr>
          <w:color w:val="003CA0"/>
          <w:sz w:val="12"/>
        </w:rPr>
        <w:t xml:space="preserve"> | rel. Ayres Britto</w:t>
      </w:r>
    </w:p>
    <w:p>
      <w:pPr>
        <w:ind w:left="288"/>
      </w:pPr>
      <w:r>
        <w:rPr>
          <w:color w:val="1E1E1E"/>
          <w:sz w:val="18"/>
        </w:rPr>
        <w:t>Segundo a reiterada jurisprudência desta colenda Corte, o adicional por tempo de serviço, vantagem de natureza pessoal, por excelência, está imune ao teto previsto no art. 37, XI, da CF, razão por que deve incidir sobre a totalidade da remuneração do servidor, antes de ela ser ajustada ao teto legalmente estipulado, e não sobre este.</w:t>
      </w:r>
    </w:p>
    <w:p>
      <w:pPr>
        <w:ind w:left="288"/>
      </w:pPr>
      <w:r>
        <w:rPr>
          <w:b/>
          <w:color w:val="003CA0"/>
          <w:sz w:val="16"/>
        </w:rPr>
        <w:t>[RE 254.602, rel. min. Ayres Britto, j. 5-10-2004, 1ª T, DJ de 11-2-2005.]</w:t>
      </w:r>
    </w:p>
    <w:p>
      <w:pPr>
        <w:ind w:left="288"/>
      </w:pPr>
      <w:r>
        <w:rPr>
          <w:color w:val="8C8C8C"/>
          <w:sz w:val="12"/>
        </w:rPr>
        <w:t>cf-art-233-par-3</w:t>
      </w:r>
      <w:r>
        <w:rPr>
          <w:color w:val="003CA0"/>
          <w:sz w:val="12"/>
        </w:rPr>
        <w:t xml:space="preserve"> | RE 259.642</w:t>
      </w:r>
      <w:r>
        <w:rPr>
          <w:color w:val="003CA0"/>
          <w:sz w:val="12"/>
        </w:rPr>
        <w:t xml:space="preserve"> | rel. Joaquim Barbosa</w:t>
      </w:r>
    </w:p>
    <w:p>
      <w:pPr>
        <w:ind w:left="288"/>
      </w:pPr>
      <w:r>
        <w:rPr>
          <w:color w:val="1E1E1E"/>
          <w:sz w:val="18"/>
        </w:rPr>
        <w:t>= RE 259.642 AgR, rel. min. Joaquim Barbosa, j. 31-8-2010, 2ª T, DJE de 12-11-2010 Servidor público aposentado. Cálculo dos proventos sujeitos ao teto. Gratificação quinquenal por tempo de serviço no valor correspondente a 50%. Inaplicabilidade do art. 17 do ADCT. O adicional que vinha percebendo o recorrido, a partir de novembro de 1967, quando da sua aposentadoria, além de constituir vantagem de caráter pessoal, não conflita com a regra expressa da Constituição.</w:t>
      </w:r>
    </w:p>
    <w:p>
      <w:pPr>
        <w:ind w:left="288"/>
      </w:pPr>
      <w:r>
        <w:rPr>
          <w:b/>
          <w:color w:val="003CA0"/>
          <w:sz w:val="16"/>
        </w:rPr>
        <w:t>[RE 205.945, rel. min. Néri da Silveira, j. 5-2-2002, 2ª T, DJ de 8-3-2002.]</w:t>
      </w:r>
    </w:p>
    <w:p>
      <w:pPr>
        <w:ind w:left="288"/>
      </w:pPr>
      <w:r>
        <w:rPr>
          <w:color w:val="8C8C8C"/>
          <w:sz w:val="12"/>
        </w:rPr>
        <w:t>cf-art-233-par-3</w:t>
      </w:r>
      <w:r>
        <w:rPr>
          <w:color w:val="003CA0"/>
          <w:sz w:val="12"/>
        </w:rPr>
        <w:t xml:space="preserve"> | RE 255.311</w:t>
      </w:r>
      <w:r>
        <w:rPr>
          <w:color w:val="003CA0"/>
          <w:sz w:val="12"/>
        </w:rPr>
        <w:t xml:space="preserve"> | rel. Ilmar Galvão</w:t>
      </w:r>
    </w:p>
    <w:p>
      <w:pPr>
        <w:ind w:left="288"/>
      </w:pPr>
      <w:r>
        <w:rPr>
          <w:color w:val="1E1E1E"/>
          <w:sz w:val="18"/>
        </w:rPr>
        <w:t>O diploma legal em referência, ao determinar que o reenquadramento dos servidores se fizesse sem consideração às referências por eles anteriormente obtidas por efeito da referida vantagem, limitou-se a dar cumprimento às normas do art. 37, XIV, da CF e do art. 17 do ADCT, que proscreveram o efeito cumulativo de adicionais sobre adicionais, propiciado pela legislação anterior, sem deixarem margem para invocação de direito adquirido.</w:t>
      </w:r>
    </w:p>
    <w:p>
      <w:pPr>
        <w:ind w:left="288"/>
      </w:pPr>
      <w:r>
        <w:rPr>
          <w:b/>
          <w:color w:val="003CA0"/>
          <w:sz w:val="16"/>
        </w:rPr>
        <w:t>[RE 255.311, rel. min. Ilmar Galvão, j. 9-11-1999, 2ª T, DJ de 10-12-1999.]</w:t>
      </w:r>
    </w:p>
    <w:p>
      <w:pPr>
        <w:ind w:left="288"/>
      </w:pPr>
      <w:r>
        <w:rPr>
          <w:color w:val="8C8C8C"/>
          <w:sz w:val="12"/>
        </w:rPr>
        <w:t>cf-art-233-par-3</w:t>
      </w:r>
      <w:r>
        <w:rPr>
          <w:color w:val="003CA0"/>
          <w:sz w:val="12"/>
        </w:rPr>
        <w:t xml:space="preserve"> | AI 232.556</w:t>
      </w:r>
      <w:r>
        <w:rPr>
          <w:color w:val="003CA0"/>
          <w:sz w:val="12"/>
        </w:rPr>
        <w:t xml:space="preserve"> | rel. Dias Toffoli</w:t>
      </w:r>
    </w:p>
    <w:p>
      <w:pPr>
        <w:ind w:left="288"/>
      </w:pPr>
      <w:r>
        <w:rPr>
          <w:color w:val="1E1E1E"/>
          <w:sz w:val="18"/>
        </w:rPr>
        <w:t>= AI 232.556 AgR, rel. min. Dias Toffoli, j. 20-3-2012, 1ª T, DJE de 26-4-2012 O pressuposto para a aplicação do art. 17, caput, do ADCT/1988, isto é, para a redução do vencimento, remuneração, vantagem e adicional, bem como de provento, é que estes estejam em desacordo com a Constituição de 1988. Ora, a Constituição de 1988 não estabeleceu limites ao critério do cálculo do adicional por tempo de serviço em termos de percentuais. O que a Constituição vedou no art. 37, XIV, é o denominado "repique", ou o cálculo de vantagens pessoais uma sobre a outra, assim em "cascata". Situação jurídica cobe</w:t>
      </w:r>
    </w:p>
    <w:p>
      <w:pPr>
        <w:ind w:left="288"/>
      </w:pPr>
      <w:r>
        <w:rPr>
          <w:b/>
          <w:color w:val="003CA0"/>
          <w:sz w:val="16"/>
        </w:rPr>
        <w:t>[MS 22.891, rel. min. Carlos Velloso, j. 3-8-1998, P, DJ de 7-11-2003.]</w:t>
      </w:r>
    </w:p>
    <w:p>
      <w:pPr>
        <w:ind w:left="288"/>
      </w:pPr>
      <w:r>
        <w:rPr>
          <w:color w:val="8C8C8C"/>
          <w:sz w:val="12"/>
        </w:rPr>
        <w:t>cf-art-233-par-3</w:t>
      </w:r>
      <w:r>
        <w:rPr>
          <w:color w:val="003CA0"/>
          <w:sz w:val="12"/>
        </w:rPr>
        <w:t xml:space="preserve"> | RE 170.282</w:t>
      </w:r>
      <w:r>
        <w:rPr>
          <w:color w:val="003CA0"/>
          <w:sz w:val="12"/>
        </w:rPr>
        <w:t xml:space="preserve"> | rel. Ilmar Galvão</w:t>
      </w:r>
    </w:p>
    <w:p>
      <w:pPr>
        <w:ind w:left="288"/>
      </w:pPr>
      <w:r>
        <w:rPr>
          <w:color w:val="1E1E1E"/>
          <w:sz w:val="18"/>
        </w:rPr>
        <w:t>A norma do art. 17 do ADCT/1988 impõe a imediata redução de proventos auferidos em desacordo com os preceitos constitucionais, vedando, ao mesmo tempo, a percepção de excesso sob invocação de direito adquirido ou a qualquer título. Tratamento diverso relativamente à vantagem de caráter pessoal denominada "adicional por tempo de serviço".</w:t>
      </w:r>
    </w:p>
    <w:p>
      <w:pPr>
        <w:ind w:left="288"/>
      </w:pPr>
      <w:r>
        <w:rPr>
          <w:b/>
          <w:color w:val="003CA0"/>
          <w:sz w:val="16"/>
        </w:rPr>
        <w:t>[RE 170.282, rel. min. Ilmar Galvão, j. 5-8-1997, 1ª T, DJ de 31-10-1997.]</w:t>
      </w:r>
    </w:p>
    <w:p>
      <w:pPr>
        <w:ind w:left="288"/>
      </w:pPr>
      <w:r>
        <w:rPr>
          <w:color w:val="8C8C8C"/>
          <w:sz w:val="12"/>
        </w:rPr>
        <w:t>cf-art-233-par-3</w:t>
      </w:r>
      <w:r>
        <w:rPr>
          <w:color w:val="003CA0"/>
          <w:sz w:val="12"/>
        </w:rPr>
        <w:t xml:space="preserve"> | RE 204.830</w:t>
      </w:r>
      <w:r>
        <w:rPr>
          <w:color w:val="003CA0"/>
          <w:sz w:val="12"/>
        </w:rPr>
        <w:t xml:space="preserve"> | rel. Ilmar Galvão</w:t>
      </w:r>
    </w:p>
    <w:p>
      <w:pPr>
        <w:ind w:left="288"/>
      </w:pPr>
      <w:r>
        <w:rPr>
          <w:color w:val="1E1E1E"/>
          <w:sz w:val="18"/>
        </w:rPr>
        <w:t xml:space="preserve">Servidores públicos do Estado de São Paulo. Acórdão que, afastando a alegação de afronta ao princípio da coisa julgada, não lhes reconheceu o direito de receber vencimentos com a recíproca influência de adicionais temporais e sexta-parte. Acórdão recorrido que assentou que a coisa julgada não poderia ser invocada na espécie, e o fez com esteio tanto no fato de que os recorrentes haviam optado pela nova estrutura remuneratória estabelecida pela LC estadual 546/1988, a qual, ao que tudo indica, à época lhes era mais favorável, quanto, também, porque, em face do advento da nova CF, a vantagem da </w:t>
      </w:r>
    </w:p>
    <w:p>
      <w:pPr>
        <w:ind w:left="288"/>
      </w:pPr>
      <w:r>
        <w:rPr>
          <w:b/>
          <w:color w:val="003CA0"/>
          <w:sz w:val="16"/>
        </w:rPr>
        <w:t>[RE 204.830, rel. min. Ilmar Galvão, j. 26-11-1996, 1ª T, DJ de 14-3-1997.]</w:t>
      </w:r>
    </w:p>
    <w:p>
      <w:pPr>
        <w:ind w:left="288"/>
      </w:pPr>
      <w:r>
        <w:rPr>
          <w:color w:val="8C8C8C"/>
          <w:sz w:val="12"/>
        </w:rPr>
        <w:t>cf-art-233-par-3</w:t>
      </w:r>
      <w:r>
        <w:rPr>
          <w:color w:val="003CA0"/>
          <w:sz w:val="12"/>
        </w:rPr>
        <w:t xml:space="preserve"> | RE 158.853</w:t>
      </w:r>
      <w:r>
        <w:rPr>
          <w:color w:val="003CA0"/>
          <w:sz w:val="12"/>
        </w:rPr>
        <w:t xml:space="preserve"> | rel. Moreira Alves</w:t>
      </w:r>
    </w:p>
    <w:p>
      <w:pPr>
        <w:ind w:left="288"/>
      </w:pPr>
      <w:r>
        <w:rPr>
          <w:color w:val="1E1E1E"/>
          <w:sz w:val="18"/>
        </w:rPr>
        <w:t>Servidor público. Agente fiscal de rendas. Cômputo de vantagens funcionais. LC 567/1988 do Estado de São Paulo. Alegação de afronta à coisa julgada. Como bem acentuou o acórdão recorrido, a sentença anterior transitada em julgado foi devidamente cumprida, e a força da coisa julgada persiste apenas para que o que foi dado com base nela não seja retirado, como afirma a recorrida (e não se demonstrou o contrário) que não o foi, mas não para impedir, sob o fundamento de retroatividade inexistente na espécie, que em enquadramentos decorrentes de legislação posterior sejam eles balizados por critéri</w:t>
      </w:r>
    </w:p>
    <w:p>
      <w:pPr>
        <w:ind w:left="288"/>
      </w:pPr>
      <w:r>
        <w:rPr>
          <w:b/>
          <w:color w:val="003CA0"/>
          <w:sz w:val="16"/>
        </w:rPr>
        <w:t>[RE 158.853, rel. min. Moreira Alves, j. 19-11-1996, 1ª T, DJ de 6-6-1997.]</w:t>
      </w:r>
    </w:p>
    <w:p>
      <w:pPr>
        <w:ind w:left="288"/>
      </w:pPr>
      <w:r>
        <w:rPr>
          <w:color w:val="8C8C8C"/>
          <w:sz w:val="12"/>
        </w:rPr>
        <w:t>cf-art-233-par-3</w:t>
      </w:r>
      <w:r>
        <w:rPr>
          <w:color w:val="003CA0"/>
          <w:sz w:val="12"/>
        </w:rPr>
        <w:t xml:space="preserve"> | RE 143.817</w:t>
      </w:r>
      <w:r>
        <w:rPr>
          <w:color w:val="003CA0"/>
          <w:sz w:val="12"/>
        </w:rPr>
        <w:t xml:space="preserve"> | rel. Ilmar Galvão</w:t>
      </w:r>
    </w:p>
    <w:p>
      <w:pPr>
        <w:ind w:left="288"/>
      </w:pPr>
      <w:r>
        <w:rPr>
          <w:color w:val="1E1E1E"/>
          <w:sz w:val="18"/>
        </w:rPr>
        <w:t>O acórdão recorrido, ao assegurar a membros da Procuradoria do Estado do Espírito Santo o direito de continuarem percebendo, por efeito de lei revogada, adicionais por tempo de serviço calculados sob a forma de "cascata", com fundamento em direito adquirido, eximindo-os da aplicação de lei nova que determinou passasse a aludida vantagem funcional a ser-lhes atribuída na forma prevista no Estatuto dos Funcionários Públicos, incorreu em flagrante afronta às regras dos arts. 17 do ADCT e 37, XIV, do texto permanente da CF.</w:t>
      </w:r>
    </w:p>
    <w:p>
      <w:pPr>
        <w:ind w:left="288"/>
      </w:pPr>
      <w:r>
        <w:rPr>
          <w:b/>
          <w:color w:val="003CA0"/>
          <w:sz w:val="16"/>
        </w:rPr>
        <w:t>[RE 143.817, rel. min. Ilmar Galvão, j. 25-5-1996, 1ª T, DJ de 30-8-1996.]</w:t>
      </w:r>
    </w:p>
    <w:p>
      <w:pPr>
        <w:ind w:left="288"/>
      </w:pPr>
      <w:r>
        <w:rPr>
          <w:color w:val="8C8C8C"/>
          <w:sz w:val="12"/>
        </w:rPr>
        <w:t>cf-art-233-par-3</w:t>
      </w:r>
      <w:r>
        <w:rPr>
          <w:color w:val="003CA0"/>
          <w:sz w:val="12"/>
        </w:rPr>
        <w:t xml:space="preserve"> | RE 171.235</w:t>
      </w:r>
      <w:r>
        <w:rPr>
          <w:color w:val="003CA0"/>
          <w:sz w:val="12"/>
        </w:rPr>
        <w:t xml:space="preserve"> | rel. Ilmar Galvão</w:t>
      </w:r>
    </w:p>
    <w:p>
      <w:pPr>
        <w:ind w:left="288"/>
      </w:pPr>
      <w:r>
        <w:rPr>
          <w:color w:val="1E1E1E"/>
          <w:sz w:val="18"/>
        </w:rPr>
        <w:t>Servidores públicos do Estado do Maranhão. Acórdão que, ao fundamento de afronta ao princípio da coisa julgada, reconheceu-lhes o direito a vencimentos correspondentes aos de procuradores de autarquia estadual. Ofensa manifesta à norma do art. 17 do ADCT, que determinou fossem imediatamente reduzidos aos limites decorrentes da Constituição os vencimentos e vantagens funcionais que estejam sendo percebidos em desacordo com eles, vedando, ao mesmo tempo, a invocação de direito adquirido ou percepção de excesso a qualquer título.</w:t>
      </w:r>
    </w:p>
    <w:p>
      <w:pPr>
        <w:ind w:left="288"/>
      </w:pPr>
      <w:r>
        <w:rPr>
          <w:b/>
          <w:color w:val="003CA0"/>
          <w:sz w:val="16"/>
        </w:rPr>
        <w:t>[RE 171.235, rel. min. Ilmar Galvão, j. 21-5-1996, 1ª T, DJ de 23-8-1996.]</w:t>
      </w:r>
    </w:p>
    <w:p>
      <w:pPr>
        <w:ind w:left="288"/>
      </w:pPr>
      <w:r>
        <w:rPr>
          <w:color w:val="8C8C8C"/>
          <w:sz w:val="12"/>
        </w:rPr>
        <w:t>cf-art-233-par-3</w:t>
      </w:r>
      <w:r>
        <w:rPr>
          <w:color w:val="003CA0"/>
          <w:sz w:val="12"/>
        </w:rPr>
        <w:t xml:space="preserve"> | RE 172.082</w:t>
      </w:r>
      <w:r>
        <w:rPr>
          <w:color w:val="003CA0"/>
          <w:sz w:val="12"/>
        </w:rPr>
        <w:t xml:space="preserve"> | rel. Celso de Mello</w:t>
      </w:r>
    </w:p>
    <w:p>
      <w:pPr>
        <w:ind w:left="288"/>
      </w:pPr>
      <w:r>
        <w:rPr>
          <w:color w:val="1E1E1E"/>
          <w:sz w:val="18"/>
        </w:rPr>
        <w:t>= RE 172.082, rel. min. Celso de Mello, j. 12-12-1995, 1ª T, DJE de 13-2-2009 Não se inclui na parte final do art. 17 do ADCT de 1988 vantagem que decisão judicial transitada em julgado mandou incorporar aos proventos da inatividade.</w:t>
      </w:r>
    </w:p>
    <w:p>
      <w:pPr>
        <w:ind w:left="288"/>
      </w:pPr>
      <w:r>
        <w:rPr>
          <w:b/>
          <w:color w:val="003CA0"/>
          <w:sz w:val="16"/>
        </w:rPr>
        <w:t>[RE 160.860, rel. min. Néri da Silveira, j. 11-4-1995, 2ª T, DJ de 23-6-1995.]</w:t>
      </w:r>
    </w:p>
    <w:p>
      <w:pPr>
        <w:ind w:left="288"/>
      </w:pPr>
      <w:r>
        <w:rPr>
          <w:color w:val="8C8C8C"/>
          <w:sz w:val="12"/>
        </w:rPr>
        <w:t>cf-art-233-par-1</w:t>
      </w:r>
      <w:r>
        <w:rPr>
          <w:color w:val="003CA0"/>
          <w:sz w:val="12"/>
        </w:rPr>
        <w:t xml:space="preserve"> | RE 298.189</w:t>
      </w:r>
      <w:r>
        <w:rPr>
          <w:color w:val="003CA0"/>
          <w:sz w:val="12"/>
        </w:rPr>
        <w:t xml:space="preserve"> | rel. Ellen Gracie</w:t>
      </w:r>
    </w:p>
    <w:p>
      <w:pPr>
        <w:ind w:left="288"/>
      </w:pPr>
      <w:r>
        <w:rPr>
          <w:color w:val="1E1E1E"/>
          <w:sz w:val="18"/>
        </w:rPr>
        <w:t>Integrante da corporação do Corpo de Bombeiros Militar do Distrito Federal, que exercia, à época da promulgação da CF, cumulativamente à função de auxiliar de enfermagem da referida corporação, cargo de idêntica denominação na Fundação Hospitalar do Distrito Federal. Não incidência do art. 17, § 2º, do ADCT à espécie, tendo em vista que a norma aplicável aos servidores militares é a prevista no § 1º do art. 17 do ADCT, a qual prevê acumulação lícita de cargos ou empregos por médico militar, hipótese que não se estende a outros profissionais de saúde.</w:t>
      </w:r>
    </w:p>
    <w:p>
      <w:pPr>
        <w:ind w:left="288"/>
      </w:pPr>
      <w:r>
        <w:rPr>
          <w:b/>
          <w:color w:val="003CA0"/>
          <w:sz w:val="16"/>
        </w:rPr>
        <w:t>[RE 298.189, rel. min. Ellen Gracie, j. 17-8-2004, 2ª T, DJ de 3-9-2004.]</w:t>
      </w:r>
    </w:p>
    <w:p>
      <w:pPr>
        <w:ind w:left="288"/>
      </w:pPr>
      <w:r>
        <w:rPr>
          <w:color w:val="8C8C8C"/>
          <w:sz w:val="12"/>
        </w:rPr>
        <w:t>cf-art-233-par-1</w:t>
      </w:r>
      <w:r>
        <w:rPr>
          <w:color w:val="003CA0"/>
          <w:sz w:val="12"/>
        </w:rPr>
        <w:t xml:space="preserve"> | RE 232.235</w:t>
      </w:r>
      <w:r>
        <w:rPr>
          <w:color w:val="003CA0"/>
          <w:sz w:val="12"/>
        </w:rPr>
        <w:t xml:space="preserve"> | rel. Cezar Peluso</w:t>
      </w:r>
    </w:p>
    <w:p>
      <w:pPr>
        <w:ind w:left="288"/>
      </w:pPr>
      <w:r>
        <w:rPr>
          <w:color w:val="1E1E1E"/>
          <w:sz w:val="18"/>
        </w:rPr>
        <w:t>= RE 232.235 AgR, rel. min. Cezar Peluso, j. 9-5-2006, 1ª T, DJ de 2-6-2006 Estado do Rio de Janeiro. Lei orgânica do Município da capital, de 5-4-1990, arts. 25 e 27. Dispositivos que se mostram incompatíveis com a CF. No primeiro caso, por haverem legitimado acumulações não contempladas nos §§1º e 2º do art. 17 do texto transitório; e, no segundo, por ofensa ao art. 37, II, do texto permanente da Carta da República. Recurso extraordinário provido, com declaração da inconstitucionalidade dos dispositivos impugnados.</w:t>
      </w:r>
    </w:p>
    <w:p>
      <w:pPr>
        <w:ind w:left="288"/>
      </w:pPr>
      <w:r>
        <w:rPr>
          <w:b/>
          <w:color w:val="003CA0"/>
          <w:sz w:val="16"/>
        </w:rPr>
        <w:t>[RE 187.142, rel. min. Ilmar Galvão, j. 13-8-1998, P, DJ de 2-10-1998.]</w:t>
      </w:r>
    </w:p>
    <w:p>
      <w:pPr>
        <w:ind w:left="144"/>
      </w:pPr>
      <w:r>
        <w:rPr>
          <w:b/>
          <w:color w:val="B45A00"/>
          <w:sz w:val="16"/>
        </w:rPr>
        <w:t>CONTROLE CONCENTRADO</w:t>
      </w:r>
    </w:p>
    <w:p>
      <w:pPr>
        <w:ind w:left="288"/>
      </w:pPr>
      <w:r>
        <w:rPr>
          <w:color w:val="8C8C8C"/>
          <w:sz w:val="12"/>
        </w:rPr>
        <w:t>cf-art-233-par-2</w:t>
      </w:r>
      <w:r>
        <w:rPr>
          <w:color w:val="003CA0"/>
          <w:sz w:val="12"/>
        </w:rPr>
        <w:t xml:space="preserve"> | ADI 1.100</w:t>
      </w:r>
      <w:r>
        <w:rPr>
          <w:color w:val="003CA0"/>
          <w:sz w:val="12"/>
        </w:rPr>
        <w:t xml:space="preserve"> | rel. Luís Roberto Barroso</w:t>
      </w:r>
    </w:p>
    <w:p>
      <w:pPr>
        <w:ind w:left="288"/>
      </w:pPr>
      <w:r>
        <w:rPr>
          <w:color w:val="1E1E1E"/>
          <w:sz w:val="18"/>
        </w:rPr>
        <w:t>É válida a acumulação de cargos por profissionais militares da saúde, com fundamento no art. 17, § 2º, do ADCT da CF, em vista da fundamentalidade do direito social à saúde (art. 196 da CF), cuja efetividade é favorecida pela possibilidade de que tais servidores possam desenvolver suas atividades profissionais no âmbito do setor público.</w:t>
        <w:br/>
        <w:t>[ADI 1.100, rel. min. Luís Roberto Barroso, red. do ac. min. Alexandre de Moraes, j. 4-9-2023, P, DJE de 14-9-2023.]</w:t>
      </w:r>
    </w:p>
    <w:p>
      <w:pPr>
        <w:ind w:left="144"/>
      </w:pPr>
      <w:r>
        <w:rPr>
          <w:b/>
          <w:color w:val="B45A00"/>
          <w:sz w:val="16"/>
        </w:rPr>
        <w:t>JULGADOS CORRELATOS</w:t>
      </w:r>
    </w:p>
    <w:p>
      <w:pPr>
        <w:ind w:left="288"/>
      </w:pPr>
      <w:r>
        <w:rPr>
          <w:color w:val="8C8C8C"/>
          <w:sz w:val="12"/>
        </w:rPr>
        <w:t>cf-art-233-par-2</w:t>
      </w:r>
      <w:r>
        <w:rPr>
          <w:color w:val="003CA0"/>
          <w:sz w:val="12"/>
        </w:rPr>
        <w:t xml:space="preserve"> | RE 182.811</w:t>
      </w:r>
      <w:r>
        <w:rPr>
          <w:color w:val="003CA0"/>
          <w:sz w:val="12"/>
        </w:rPr>
        <w:t xml:space="preserve"> | rel. Gilmar Mendes</w:t>
      </w:r>
    </w:p>
    <w:p>
      <w:pPr>
        <w:ind w:left="288"/>
      </w:pPr>
      <w:r>
        <w:rPr>
          <w:color w:val="1E1E1E"/>
          <w:sz w:val="18"/>
        </w:rPr>
        <w:t>Acumulação de cargos. Profissionais de saúde. Cargo na área militar e em outras entidades públicas. Possibilidade. Interpretação do art. 17, § 2º, do ADCT. Precedente.</w:t>
      </w:r>
    </w:p>
    <w:p>
      <w:pPr>
        <w:ind w:left="288"/>
      </w:pPr>
      <w:r>
        <w:rPr>
          <w:b/>
          <w:color w:val="003CA0"/>
          <w:sz w:val="16"/>
        </w:rPr>
        <w:t>[RE 182.811, rel. min. Gilmar Mendes, j. 30-5-2006, 2ª T, DJ de 30-6-2006.]</w:t>
      </w:r>
    </w:p>
    <w:p>
      <w:pPr>
        <w:ind w:left="288"/>
      </w:pPr>
      <w:r>
        <w:rPr>
          <w:color w:val="8C8C8C"/>
          <w:sz w:val="12"/>
        </w:rPr>
        <w:t>cf-art-233-par-2</w:t>
      </w:r>
      <w:r>
        <w:rPr>
          <w:color w:val="003CA0"/>
          <w:sz w:val="12"/>
        </w:rPr>
        <w:t xml:space="preserve"> | RE 351.905</w:t>
      </w:r>
      <w:r>
        <w:rPr>
          <w:color w:val="003CA0"/>
          <w:sz w:val="12"/>
        </w:rPr>
        <w:t xml:space="preserve"> | rel. Ellen Gracie</w:t>
      </w:r>
    </w:p>
    <w:p>
      <w:pPr>
        <w:ind w:left="288"/>
      </w:pPr>
      <w:r>
        <w:rPr>
          <w:color w:val="1E1E1E"/>
          <w:sz w:val="18"/>
        </w:rPr>
        <w:t>Constitucional. Administrativo. Acumulação de cargos públicos. Profissional da saúde. Art. 17 do ADCT. Desde 1º-11-1980, a recorrida ocupou, cumulativamente, os cargos de auxiliar de enfermagem no Instituto Nacional do Câncer e no Instituto de Assistência dos Servidores do Estado do Rio de Janeiro (IASERJ). A administração municipal exigiu que ela optasse por apenas um dos cargos. A recorrida encontra-se amparada pela norma do art. 17, § 2º, do ADCT da CF/1988. Na época da promulgação da Carta Magna, acumulava dois cargos de auxiliar de enfermagem. O art. 17, § 2º, do ADCT deve ser interpretad</w:t>
      </w:r>
    </w:p>
    <w:p>
      <w:pPr>
        <w:ind w:left="288"/>
      </w:pPr>
      <w:r>
        <w:rPr>
          <w:b/>
          <w:color w:val="003CA0"/>
          <w:sz w:val="16"/>
        </w:rPr>
        <w:t>[RE 351.905, rel. min. Ellen Gracie, j. 24-5-2005, 2ª T, DJ de 9-9-2005.]</w:t>
      </w:r>
    </w:p>
    <w:p>
      <w:pPr>
        <w:ind w:left="288"/>
      </w:pPr>
      <w:r>
        <w:rPr>
          <w:color w:val="8C8C8C"/>
          <w:sz w:val="12"/>
        </w:rPr>
        <w:t>cf-art-233-par-2</w:t>
      </w:r>
      <w:r>
        <w:rPr>
          <w:color w:val="003CA0"/>
          <w:sz w:val="12"/>
        </w:rPr>
        <w:t xml:space="preserve"> | RE 180.597</w:t>
      </w:r>
      <w:r>
        <w:rPr>
          <w:color w:val="003CA0"/>
          <w:sz w:val="12"/>
        </w:rPr>
        <w:t xml:space="preserve"> | rel. Ilmar Galvão</w:t>
      </w:r>
    </w:p>
    <w:p>
      <w:pPr>
        <w:ind w:left="288"/>
      </w:pPr>
      <w:r>
        <w:rPr>
          <w:color w:val="1E1E1E"/>
          <w:sz w:val="18"/>
        </w:rPr>
        <w:t>Servidor público. Acumulação de dois cargos de enfermeiro. Art. 17, § 2º, do ADCT/1988. Licença para trato de interesses particulares. O fato de o servidor encontrar-se licenciado para tratar de interesses particulares não descaracteriza o seu vínculo jurídico, já que a referida licença somente é concedida a critério da administração e pelo prazo fixado em lei, podendo, inclusive, ser interrompida, a qualquer tempo, no interesse do serviço ou a pedido do servidor. A Corte de origem limitou-se a interpretar a norma constitucional de natureza transitória, fazendo-o de forma razoável, sem ampliar</w:t>
      </w:r>
    </w:p>
    <w:p>
      <w:pPr>
        <w:ind w:left="288"/>
      </w:pPr>
      <w:r>
        <w:rPr>
          <w:b/>
          <w:color w:val="003CA0"/>
          <w:sz w:val="16"/>
        </w:rPr>
        <w:t>[RE 180.597, rel. min. Ilmar Galvão, j. 18-11-1997, 1ª T, DJ de 27-2-1998.]</w:t>
      </w:r>
    </w:p>
    <w:p>
      <w:pPr>
        <w:ind w:left="288"/>
      </w:pPr>
      <w:r>
        <w:rPr>
          <w:color w:val="8C8C8C"/>
          <w:sz w:val="12"/>
        </w:rPr>
        <w:t>cf-art-233-par-2</w:t>
      </w:r>
      <w:r>
        <w:rPr>
          <w:color w:val="003CA0"/>
          <w:sz w:val="12"/>
        </w:rPr>
        <w:t xml:space="preserve"> | RE 300.220</w:t>
      </w:r>
      <w:r>
        <w:rPr>
          <w:color w:val="003CA0"/>
          <w:sz w:val="12"/>
        </w:rPr>
        <w:t xml:space="preserve"> | rel. Ellen Gracie</w:t>
      </w:r>
    </w:p>
    <w:p>
      <w:pPr>
        <w:ind w:left="288"/>
      </w:pPr>
      <w:r>
        <w:rPr>
          <w:color w:val="1E1E1E"/>
          <w:sz w:val="18"/>
        </w:rPr>
        <w:t>= RE 300.220, rel. min. Ellen Gracie, j. 26-2-2002, 1ª T, DJ de 22-3-2002 Possibilidade de acumulação de dois cargos de assistente social, em exercício nas unidades de saúde, tendo em vista que a Constituição do Estado do Rio de Janeiro, art. 11, § 2º, do ADCT, considera o cargo de "assistente social, em exercício nas unidades de saúde, como profissional da área de saúde". Aplicabilidade em decorrência da disposição inscrita no § 2º do art. 17 do ADCT da CF.</w:t>
      </w:r>
    </w:p>
    <w:p>
      <w:pPr>
        <w:ind w:left="288"/>
      </w:pPr>
      <w:r>
        <w:rPr>
          <w:b/>
          <w:color w:val="003CA0"/>
          <w:sz w:val="16"/>
        </w:rPr>
        <w:t>[AI 169.323 AgR, rel. min. Carlos Velloso, j. 18-6-1996, 2ª T, DJ de 14-11-1996.]</w:t>
      </w:r>
    </w:p>
    <w:p>
      <w:pPr>
        <w:ind w:left="288"/>
      </w:pPr>
      <w:r>
        <w:rPr>
          <w:color w:val="8C8C8C"/>
          <w:sz w:val="12"/>
        </w:rPr>
        <w:t>cf-art-233-par-2</w:t>
      </w:r>
      <w:r>
        <w:rPr>
          <w:color w:val="003CA0"/>
          <w:sz w:val="12"/>
        </w:rPr>
        <w:t xml:space="preserve"> | RE 628.579</w:t>
      </w:r>
      <w:r>
        <w:rPr>
          <w:color w:val="003CA0"/>
          <w:sz w:val="12"/>
        </w:rPr>
        <w:t xml:space="preserve"> | rel. Dias Toffoli</w:t>
      </w:r>
    </w:p>
    <w:p>
      <w:pPr>
        <w:ind w:left="288"/>
      </w:pPr>
      <w:r>
        <w:rPr>
          <w:color w:val="1E1E1E"/>
          <w:sz w:val="18"/>
        </w:rPr>
        <w:t>= RE 628.579 AgR, rel. min. Dias Toffoli, j. 29-10-2013, 1ª T, DJE de 29-11-2013 Vide RE 553.670 AgR, rel. min. Ellen Gracie, j. 14-9-2010, 2ª T, DJE de 1º-10-2010 Art. 18. Ficam extintos os efeitos jurídicos de qualquer ato legislativo ou administrativo, lavrado a partir da instalação da Assembleia Nacional Constituinte, que tenha por objeto a concessão de estabilidade a servidor admitido sem concurso público, da administração direta ou indireta, inclusive das fundações instituídas e mantidas pelo Poder Público.</w:t>
      </w:r>
    </w:p>
    <w:p>
      <w:pPr>
        <w:ind w:left="144"/>
      </w:pPr>
      <w:r>
        <w:rPr>
          <w:b/>
          <w:color w:val="B45A00"/>
          <w:sz w:val="16"/>
        </w:rPr>
        <w:t>SUMULA VINCULANTE</w:t>
      </w:r>
    </w:p>
    <w:p>
      <w:pPr>
        <w:ind w:left="288"/>
      </w:pPr>
      <w:r>
        <w:rPr>
          <w:color w:val="8C8C8C"/>
          <w:sz w:val="12"/>
        </w:rPr>
        <w:t>cf-art-233-par-2</w:t>
      </w:r>
    </w:p>
    <w:p>
      <w:pPr>
        <w:ind w:left="288"/>
      </w:pPr>
      <w:r>
        <w:rPr>
          <w:color w:val="1E1E1E"/>
          <w:sz w:val="18"/>
        </w:rPr>
        <w:t>É inconstitucional toda modalidade de provimento que propicie ao servidor investir-se, sem prévia aprovação em concurso público destinado ao seu provimento, em cargo que não integra a carreira na qual anteriormente investido.</w:t>
      </w:r>
    </w:p>
    <w:p>
      <w:pPr>
        <w:ind w:left="288"/>
      </w:pPr>
      <w:r>
        <w:rPr>
          <w:b/>
          <w:color w:val="003CA0"/>
          <w:sz w:val="16"/>
        </w:rPr>
        <w:t>[Súmula Vinculante 43.]</w:t>
      </w:r>
    </w:p>
    <w:p>
      <w:pPr>
        <w:ind w:left="144"/>
      </w:pPr>
      <w:r>
        <w:rPr>
          <w:b/>
          <w:color w:val="B45A00"/>
          <w:sz w:val="16"/>
        </w:rPr>
        <w:t>JULGADOS CORRELATOS</w:t>
      </w:r>
    </w:p>
    <w:p>
      <w:pPr>
        <w:ind w:left="288"/>
      </w:pPr>
      <w:r>
        <w:rPr>
          <w:color w:val="8C8C8C"/>
          <w:sz w:val="12"/>
        </w:rPr>
        <w:t>cf-art-233-par-2</w:t>
      </w:r>
      <w:r>
        <w:rPr>
          <w:color w:val="003CA0"/>
          <w:sz w:val="12"/>
        </w:rPr>
        <w:t xml:space="preserve"> | RE 208.046</w:t>
      </w:r>
      <w:r>
        <w:rPr>
          <w:color w:val="003CA0"/>
          <w:sz w:val="12"/>
        </w:rPr>
        <w:t xml:space="preserve"> | rel. Octavio Gallotti</w:t>
      </w:r>
    </w:p>
    <w:p>
      <w:pPr>
        <w:ind w:left="288"/>
      </w:pPr>
      <w:r>
        <w:rPr>
          <w:color w:val="1E1E1E"/>
          <w:sz w:val="18"/>
        </w:rPr>
        <w:t>Dispensa imotivada de empregado de sociedade de economia mista, admitido sob o regime do FGTS. Estabilidade outorgada por lei municipal, no período proscrito pelo art. 18 do ADCT de 1988. Não se aplica aos empregados de sociedades de economia mista e empresas públicas a estabilidade excepcional outorgada pelo art. 19, também do ADCT.</w:t>
      </w:r>
    </w:p>
    <w:p>
      <w:pPr>
        <w:ind w:left="288"/>
      </w:pPr>
      <w:r>
        <w:rPr>
          <w:b/>
          <w:color w:val="003CA0"/>
          <w:sz w:val="16"/>
        </w:rPr>
        <w:t>[RE 208.046, rel. min. Octavio Gallotti, j. 3-2-1998, 1ª T, DJ de 24-4-1998.]</w:t>
      </w:r>
    </w:p>
    <w:p>
      <w:pPr>
        <w:ind w:left="288"/>
      </w:pPr>
      <w:r>
        <w:rPr>
          <w:color w:val="8C8C8C"/>
          <w:sz w:val="12"/>
        </w:rPr>
        <w:t>cf-art-233-par-2</w:t>
      </w:r>
    </w:p>
    <w:p>
      <w:pPr>
        <w:ind w:left="288"/>
      </w:pPr>
      <w:r>
        <w:rPr>
          <w:color w:val="1E1E1E"/>
          <w:sz w:val="18"/>
        </w:rPr>
        <w:t>Art. 19. Os servidores públicos civis da União, dos Estados, do Distrito Federal e dos Municípios, da administração direta, autárquica e das fundações públicas, em exercício na data da promulgação da Constituição, há pelo menos cinco anos continuados, e que não tenham sido admitidos na forma regulada no art. 37, da Constituição, são considerados estáveis no serviço público.</w:t>
      </w:r>
    </w:p>
    <w:p>
      <w:pPr>
        <w:ind w:left="144"/>
      </w:pPr>
      <w:r>
        <w:rPr>
          <w:b/>
          <w:color w:val="B45A00"/>
          <w:sz w:val="16"/>
        </w:rPr>
        <w:t>CONTROLE CONCENTRADO</w:t>
      </w:r>
    </w:p>
    <w:p>
      <w:pPr>
        <w:ind w:left="288"/>
      </w:pPr>
      <w:r>
        <w:rPr>
          <w:color w:val="8C8C8C"/>
          <w:sz w:val="12"/>
        </w:rPr>
        <w:t>cf-art-233-par-2</w:t>
      </w:r>
      <w:r>
        <w:rPr>
          <w:color w:val="003CA0"/>
          <w:sz w:val="12"/>
        </w:rPr>
        <w:t xml:space="preserve"> | ADPF 573</w:t>
      </w:r>
      <w:r>
        <w:rPr>
          <w:color w:val="003CA0"/>
          <w:sz w:val="12"/>
        </w:rPr>
        <w:t xml:space="preserve"> | rel. Edson Fachin</w:t>
      </w:r>
    </w:p>
    <w:p>
      <w:pPr>
        <w:ind w:left="288"/>
      </w:pPr>
      <w:r>
        <w:rPr>
          <w:color w:val="1E1E1E"/>
          <w:sz w:val="18"/>
        </w:rPr>
        <w:t>É incompatível com a regra do concurso público (art. 37, II, CF) a transformação de servidores celetistas não concursados em estatutários, com exceção daqueles detentores da estabilidade excepcional (art. 19 do ADCT); 2. São admitidos no regime próprio de previdência social exclusivamente os servidores públicos civis detentores de cargo efetivo (art. 40, CF, na redação dada pela EC nº 20/98), o que exclui os estáveis na forma do art. 19 do ADCT e demais servidores admitidos sem concurso público.</w:t>
      </w:r>
    </w:p>
    <w:p>
      <w:pPr>
        <w:ind w:left="288"/>
      </w:pPr>
      <w:r>
        <w:rPr>
          <w:b/>
          <w:color w:val="003CA0"/>
          <w:sz w:val="16"/>
        </w:rPr>
        <w:t>[ADPF 573, rel. min. Edson Fachin, j. 6-3-2023, P, DJE de 9-3-2023.]</w:t>
      </w:r>
    </w:p>
    <w:p>
      <w:pPr>
        <w:ind w:left="288"/>
      </w:pPr>
      <w:r>
        <w:rPr>
          <w:color w:val="8C8C8C"/>
          <w:sz w:val="12"/>
        </w:rPr>
        <w:t>cf-art-233-par-2</w:t>
      </w:r>
      <w:r>
        <w:rPr>
          <w:color w:val="003CA0"/>
          <w:sz w:val="12"/>
        </w:rPr>
        <w:t xml:space="preserve"> | ADI 351</w:t>
      </w:r>
      <w:r>
        <w:rPr>
          <w:color w:val="003CA0"/>
          <w:sz w:val="12"/>
        </w:rPr>
        <w:t xml:space="preserve"> | rel. Marco Aurélio</w:t>
      </w:r>
    </w:p>
    <w:p>
      <w:pPr>
        <w:ind w:left="288"/>
      </w:pPr>
      <w:r>
        <w:rPr>
          <w:color w:val="1E1E1E"/>
          <w:sz w:val="18"/>
        </w:rPr>
        <w:t>A norma do art. 19 do ADCT encerra simples estabilidade, ficando afastada a transposição de servidores considerados cargos públicos integrados a carreiras distintas, pouco importando encontrarem-se prestando serviços em cargo e órgão diversos da administração pública.</w:t>
      </w:r>
    </w:p>
    <w:p>
      <w:pPr>
        <w:ind w:left="288"/>
      </w:pPr>
      <w:r>
        <w:rPr>
          <w:b/>
          <w:color w:val="003CA0"/>
          <w:sz w:val="16"/>
        </w:rPr>
        <w:t>[ADI 351, rel. min. Marco Aurélio, j. 14-5-2014, P, DJE de 5-8-2014.]</w:t>
      </w:r>
    </w:p>
    <w:p>
      <w:pPr>
        <w:ind w:left="288"/>
      </w:pPr>
      <w:r>
        <w:rPr>
          <w:color w:val="8C8C8C"/>
          <w:sz w:val="12"/>
        </w:rPr>
        <w:t>cf-art-233-par-2</w:t>
      </w:r>
      <w:r>
        <w:rPr>
          <w:color w:val="003CA0"/>
          <w:sz w:val="12"/>
        </w:rPr>
        <w:t xml:space="preserve"> | ADI 114</w:t>
      </w:r>
      <w:r>
        <w:rPr>
          <w:color w:val="003CA0"/>
          <w:sz w:val="12"/>
        </w:rPr>
        <w:t xml:space="preserve"> | rel. Cármen Lúcia</w:t>
      </w:r>
    </w:p>
    <w:p>
      <w:pPr>
        <w:ind w:left="288"/>
      </w:pPr>
      <w:r>
        <w:rPr>
          <w:color w:val="1E1E1E"/>
          <w:sz w:val="18"/>
        </w:rPr>
        <w:t>A norma do art. 19 do ADCT da Constituição brasileira possibilita o surgimento das seguintes situações: a) o servidor é estável por força do art. 19 do ADCT e não ocupa cargo de provimento efetivo; b) o servidor que se tornou estável nos termos do art. 19 do ADCT ocupa cargo de provimento efetivo após ter sido aprovado em concurso público para o provimento deste cargo; c) o servidor ocupa cargo de provimento efetivo em razão de aprovação em concurso público e é estável nos termos do art. 41 da Constituição da República. O STF já se manifestou sobre essas hipóteses e, quanto às listadas nos ite</w:t>
      </w:r>
    </w:p>
    <w:p>
      <w:pPr>
        <w:ind w:left="288"/>
      </w:pPr>
      <w:r>
        <w:rPr>
          <w:b/>
          <w:color w:val="003CA0"/>
          <w:sz w:val="16"/>
        </w:rPr>
        <w:t>[ADI 114, voto da rel. min. Cármen Lúcia, j. 26-11-2009, P, DJE de 3-10-2011.]</w:t>
      </w:r>
    </w:p>
    <w:p>
      <w:pPr>
        <w:ind w:left="288"/>
      </w:pPr>
      <w:r>
        <w:rPr>
          <w:color w:val="8C8C8C"/>
          <w:sz w:val="12"/>
        </w:rPr>
        <w:t>cf-art-233-par-2</w:t>
      </w:r>
      <w:r>
        <w:rPr>
          <w:color w:val="003CA0"/>
          <w:sz w:val="12"/>
        </w:rPr>
        <w:t xml:space="preserve"> | ADI 100</w:t>
      </w:r>
      <w:r>
        <w:rPr>
          <w:color w:val="003CA0"/>
          <w:sz w:val="12"/>
        </w:rPr>
        <w:t xml:space="preserve"> | rel. Ellen Gracie</w:t>
      </w:r>
    </w:p>
    <w:p>
      <w:pPr>
        <w:ind w:left="288"/>
      </w:pPr>
      <w:r>
        <w:rPr>
          <w:color w:val="1E1E1E"/>
          <w:sz w:val="18"/>
        </w:rPr>
        <w:t>Vide ADI 100, rel. min. Ellen Gracie, j. 9-9-2004, P, DJ de 1º-10-2004 A exigência de concurso público para a investidura em cargo garante o respeito a vários princípios constitucionais de direito administrativo, entre eles, o da impessoalidade e o da isonomia. O constituinte, todavia, inseriu no art. 19 do ADCT norma transitória criando uma estabilidade excepcional para servidores não concursados da União, dos Estados, do Distrito Federal e dos Municípios que, quando da promulgação da CF, contassem com, no mínimo, cinco anos ininterruptos de serviço público. A jurisprudência desta Corte tem c</w:t>
      </w:r>
    </w:p>
    <w:p>
      <w:pPr>
        <w:ind w:left="288"/>
      </w:pPr>
      <w:r>
        <w:rPr>
          <w:b/>
          <w:color w:val="003CA0"/>
          <w:sz w:val="16"/>
        </w:rPr>
        <w:t>[ADI 100, rel. min. Ellen Gracie, j. 9-9-2004, P, DJ de 1º-10-2004.]</w:t>
      </w:r>
    </w:p>
    <w:p>
      <w:pPr>
        <w:ind w:left="288"/>
      </w:pPr>
      <w:r>
        <w:rPr>
          <w:color w:val="8C8C8C"/>
          <w:sz w:val="12"/>
        </w:rPr>
        <w:t>cf-art-233-par-2</w:t>
      </w:r>
      <w:r>
        <w:rPr>
          <w:color w:val="003CA0"/>
          <w:sz w:val="12"/>
        </w:rPr>
        <w:t xml:space="preserve"> | RE 356.612</w:t>
      </w:r>
      <w:r>
        <w:rPr>
          <w:color w:val="003CA0"/>
          <w:sz w:val="12"/>
        </w:rPr>
        <w:t xml:space="preserve"> | rel. Joaquim Barbosa</w:t>
      </w:r>
    </w:p>
    <w:p>
      <w:pPr>
        <w:ind w:left="288"/>
      </w:pPr>
      <w:r>
        <w:rPr>
          <w:color w:val="1E1E1E"/>
          <w:sz w:val="18"/>
        </w:rPr>
        <w:t>= RE 356.612 AgR, rel. min. Joaquim Barbosa, j. 31-8-2010, 2ª T, DJE de 16-11-2010 Vide ADI 114, rel. min. Cármen Lúcia, j. 26-11-2009, P, DJE de 3-10-2011 Artigo do ADCT da Constituição do Estado do Rio Grande do Sul que assegura aos servidores públicos civis estabilizados, nos termos do art. 19 do ADCT/CF, a organização em quadro especial em extinção. Equiparação de vantagens dos servidores públicos estatutários aos então celetistas que adquiriram estabilidade por força da CF. Ofensa ao art. 37, II, da CF.</w:t>
      </w:r>
    </w:p>
    <w:p>
      <w:pPr>
        <w:ind w:left="288"/>
      </w:pPr>
      <w:r>
        <w:rPr>
          <w:b/>
          <w:color w:val="003CA0"/>
          <w:sz w:val="16"/>
        </w:rPr>
        <w:t>[ADI 180, rel. min. Nelson Jobim, j. 3-4-2003, P, DJ de 27-6-2003.]</w:t>
      </w:r>
    </w:p>
    <w:p>
      <w:pPr>
        <w:ind w:left="288"/>
      </w:pPr>
      <w:r>
        <w:rPr>
          <w:color w:val="8C8C8C"/>
          <w:sz w:val="12"/>
        </w:rPr>
        <w:t>cf-art-233-par-2</w:t>
      </w:r>
      <w:r>
        <w:rPr>
          <w:color w:val="003CA0"/>
          <w:sz w:val="12"/>
        </w:rPr>
        <w:t xml:space="preserve"> | ADI 112</w:t>
      </w:r>
      <w:r>
        <w:rPr>
          <w:color w:val="003CA0"/>
          <w:sz w:val="12"/>
        </w:rPr>
        <w:t xml:space="preserve"> | rel. Néri da Silveira</w:t>
      </w:r>
    </w:p>
    <w:p>
      <w:pPr>
        <w:ind w:left="288"/>
      </w:pPr>
      <w:r>
        <w:rPr>
          <w:color w:val="1E1E1E"/>
          <w:sz w:val="18"/>
        </w:rPr>
        <w:t>O art. 19 do ADCT da Constituição de 1988 tem abrangência limitada aos servidores civis da União, dos Estados, do Distrito Federal e dos Municípios, entre eles não se compreendendo os empregados de empresas públicas e sociedades de economia mista. CF, arts. 39 e 173, § 1º.</w:t>
      </w:r>
    </w:p>
    <w:p>
      <w:pPr>
        <w:ind w:left="288"/>
      </w:pPr>
      <w:r>
        <w:rPr>
          <w:b/>
          <w:color w:val="003CA0"/>
          <w:sz w:val="16"/>
        </w:rPr>
        <w:t>[ADI 112, rel. min. Néri da Silveira, j. 24-8-1994, P, DJ de 9-2-1996.]</w:t>
      </w:r>
    </w:p>
    <w:p>
      <w:pPr>
        <w:ind w:left="288"/>
      </w:pPr>
      <w:r>
        <w:rPr>
          <w:color w:val="8C8C8C"/>
          <w:sz w:val="12"/>
        </w:rPr>
        <w:t>cf-art-233-par-2</w:t>
      </w:r>
      <w:r>
        <w:rPr>
          <w:color w:val="003CA0"/>
          <w:sz w:val="12"/>
        </w:rPr>
        <w:t xml:space="preserve"> | ADI 1.808</w:t>
      </w:r>
      <w:r>
        <w:rPr>
          <w:color w:val="003CA0"/>
          <w:sz w:val="12"/>
        </w:rPr>
        <w:t xml:space="preserve"> | rel. Gilmar Mendes</w:t>
      </w:r>
    </w:p>
    <w:p>
      <w:pPr>
        <w:ind w:left="288"/>
      </w:pPr>
      <w:r>
        <w:rPr>
          <w:color w:val="1E1E1E"/>
          <w:sz w:val="18"/>
        </w:rPr>
        <w:t>= ADI 1.808, rel. min. Gilmar Mendes, j. 18-9-2014, P, DJE de 10-11-2014 “Somente os servidores públicos civis detentores de cargo efetivo (art. 40, CF, na redação dada pela EC 20/98) são vinculados ao regime próprio de previdência social, a excluir os estáveis nos termos do art. 19 do ADCT e os demais servidores admitidos sem concurso público, ressalvadas as aposentadorias e pensões já concedidas ou com requisitos já satisfeitos até a data da publicação da ata de julgamento destes embargos declaratórios”.</w:t>
      </w:r>
    </w:p>
    <w:p>
      <w:pPr>
        <w:ind w:left="288"/>
      </w:pPr>
      <w:r>
        <w:rPr>
          <w:b/>
          <w:color w:val="003CA0"/>
          <w:sz w:val="16"/>
        </w:rPr>
        <w:t>[RE 1.426.306 RG-ED, rel. min. Luís Roberto Barroso, j. 11.06.2024, P, DJE de 21.06.2024, Tema 1.254, com mérito julgado.]</w:t>
      </w:r>
    </w:p>
    <w:p>
      <w:pPr>
        <w:ind w:left="144"/>
      </w:pPr>
      <w:r>
        <w:rPr>
          <w:b/>
          <w:color w:val="B45A00"/>
          <w:sz w:val="16"/>
        </w:rPr>
        <w:t>REPERCUSSAO GERAL</w:t>
      </w:r>
    </w:p>
    <w:p>
      <w:pPr>
        <w:ind w:left="288"/>
      </w:pPr>
      <w:r>
        <w:rPr>
          <w:color w:val="8C8C8C"/>
          <w:sz w:val="12"/>
        </w:rPr>
        <w:t>cf-art-233-par-2</w:t>
      </w:r>
      <w:r>
        <w:rPr>
          <w:color w:val="003CA0"/>
          <w:sz w:val="12"/>
        </w:rPr>
        <w:t xml:space="preserve"> | RE 716.378</w:t>
      </w:r>
      <w:r>
        <w:rPr>
          <w:color w:val="003CA0"/>
          <w:sz w:val="12"/>
        </w:rPr>
        <w:t xml:space="preserve"> | rel. Dias Toffoli</w:t>
      </w:r>
    </w:p>
    <w:p>
      <w:pPr>
        <w:ind w:left="288"/>
      </w:pPr>
      <w:r>
        <w:rPr>
          <w:color w:val="1E1E1E"/>
          <w:sz w:val="18"/>
        </w:rPr>
        <w:t>A estabilidade especial do art. 19 do ADCT alcança somente os servidores das pessoas jurídicas de direito público, não se estendendo, portanto, aos empregados das fundações públicas de direito privado.</w:t>
      </w:r>
    </w:p>
    <w:p>
      <w:pPr>
        <w:ind w:left="288"/>
      </w:pPr>
      <w:r>
        <w:rPr>
          <w:b/>
          <w:color w:val="003CA0"/>
          <w:sz w:val="16"/>
        </w:rPr>
        <w:t>[RE 716.378, rel. min. Dias Toffoli, j. 7-8-2019, P, DJE de 30-6-2020, Tema 545, com mérito julgado.]</w:t>
      </w:r>
    </w:p>
    <w:p>
      <w:pPr>
        <w:ind w:left="288"/>
      </w:pPr>
      <w:r>
        <w:rPr>
          <w:color w:val="8C8C8C"/>
          <w:sz w:val="12"/>
        </w:rPr>
        <w:t>cf-art-233-par-2</w:t>
      </w:r>
      <w:r>
        <w:rPr>
          <w:color w:val="003CA0"/>
          <w:sz w:val="12"/>
        </w:rPr>
        <w:t xml:space="preserve"> | ARE 1.582.423</w:t>
      </w:r>
      <w:r>
        <w:rPr>
          <w:color w:val="003CA0"/>
          <w:sz w:val="12"/>
        </w:rPr>
        <w:t xml:space="preserve"> | rel. Cármen Lúcia</w:t>
      </w:r>
    </w:p>
    <w:p>
      <w:pPr>
        <w:ind w:left="288"/>
      </w:pPr>
      <w:r>
        <w:rPr>
          <w:color w:val="1E1E1E"/>
          <w:sz w:val="18"/>
        </w:rPr>
        <w:t>Servidor público. Ingresso no serviço público anterior à Constituição da República de 1988. Ausência de concurso público. Abono de permanência. Impossibilidade de extensão das vantagens do servidor efetivo. Tema 1.157 da repercussão geral.</w:t>
      </w:r>
    </w:p>
    <w:p>
      <w:pPr>
        <w:ind w:left="288"/>
      </w:pPr>
      <w:r>
        <w:rPr>
          <w:b/>
          <w:color w:val="003CA0"/>
          <w:sz w:val="16"/>
        </w:rPr>
        <w:t>[ARE 1.582.423 AgR, rel. min. Cármen Lúcia, j. 25-2-2026, 1ª T, DJE de 3-3-2026.]</w:t>
      </w:r>
    </w:p>
    <w:p>
      <w:pPr>
        <w:ind w:left="144"/>
      </w:pPr>
      <w:r>
        <w:rPr>
          <w:b/>
          <w:color w:val="B45A00"/>
          <w:sz w:val="16"/>
        </w:rPr>
        <w:t>JULGADOS CORRELATOS</w:t>
      </w:r>
    </w:p>
    <w:p>
      <w:pPr>
        <w:ind w:left="288"/>
      </w:pPr>
      <w:r>
        <w:rPr>
          <w:color w:val="8C8C8C"/>
          <w:sz w:val="12"/>
        </w:rPr>
        <w:t>cf-art-233-par-2</w:t>
      </w:r>
      <w:r>
        <w:rPr>
          <w:color w:val="003CA0"/>
          <w:sz w:val="12"/>
        </w:rPr>
        <w:t xml:space="preserve"> | RE 896.737</w:t>
      </w:r>
      <w:r>
        <w:rPr>
          <w:color w:val="003CA0"/>
          <w:sz w:val="12"/>
        </w:rPr>
        <w:t xml:space="preserve"> | rel. Alexandre de Moraes</w:t>
      </w:r>
    </w:p>
    <w:p>
      <w:pPr>
        <w:ind w:left="288"/>
      </w:pPr>
      <w:r>
        <w:rPr>
          <w:color w:val="1E1E1E"/>
          <w:sz w:val="18"/>
        </w:rPr>
        <w:t>(...) os auxiliares de cartório, os escreventes juramentados e os oficiais substitutos não fazem jus à concessão da estabilidade prevista no art. 19 do ADCT.</w:t>
      </w:r>
    </w:p>
    <w:p>
      <w:pPr>
        <w:ind w:left="288"/>
      </w:pPr>
      <w:r>
        <w:rPr>
          <w:b/>
          <w:color w:val="003CA0"/>
          <w:sz w:val="16"/>
        </w:rPr>
        <w:t>[RE 896.737-AgR, rel. min. Alexandre de Moraes, j. 17-8-2018, 1ª T, DJE de 30-8-2018.]</w:t>
        <w:br/>
        <w:t>= RE 388.589, rel. min. Ellen Gracie, j. 15-6-2004, 2ª T, DJ de 6-8-2004</w:t>
      </w:r>
    </w:p>
    <w:p>
      <w:pPr>
        <w:ind w:left="288"/>
      </w:pPr>
      <w:r>
        <w:rPr>
          <w:color w:val="8C8C8C"/>
          <w:sz w:val="12"/>
        </w:rPr>
        <w:t>cf-art-233-par-2</w:t>
      </w:r>
      <w:r>
        <w:rPr>
          <w:color w:val="003CA0"/>
          <w:sz w:val="12"/>
        </w:rPr>
        <w:t xml:space="preserve"> | RE 828.048</w:t>
      </w:r>
      <w:r>
        <w:rPr>
          <w:color w:val="003CA0"/>
          <w:sz w:val="12"/>
        </w:rPr>
        <w:t xml:space="preserve"> | rel. Dias Toffoli</w:t>
      </w:r>
    </w:p>
    <w:p>
      <w:pPr>
        <w:ind w:left="288"/>
      </w:pPr>
      <w:r>
        <w:rPr>
          <w:color w:val="1E1E1E"/>
          <w:sz w:val="18"/>
        </w:rPr>
        <w:t>O STF, ao julgar procedentes ações diretas de inconstitucionalidade que impugnavam normas legais que efetivavam em cargos públicos servidores que não se submeteram ao prévio e necessário concurso público, ressalvou dessas decisões, exclusivamente para efeitos de aposentadoria, os servidores que já estavam inativados e também aqueles servidores que, até a data de publicação da ata desses julgamentos, já tivessem preenchido os requisitos para a aposentadoria.</w:t>
      </w:r>
    </w:p>
    <w:p>
      <w:pPr>
        <w:ind w:left="288"/>
      </w:pPr>
      <w:r>
        <w:rPr>
          <w:b/>
          <w:color w:val="003CA0"/>
          <w:sz w:val="16"/>
        </w:rPr>
        <w:t>[RE 828.048 AgR, rel. min. Dias Toffoli, j. 24-11-2017, 2ª T, DJE de 11-12-2017.]</w:t>
      </w:r>
    </w:p>
    <w:p>
      <w:pPr>
        <w:ind w:left="288"/>
      </w:pPr>
      <w:r>
        <w:rPr>
          <w:color w:val="8C8C8C"/>
          <w:sz w:val="12"/>
        </w:rPr>
        <w:t>cf-art-233-par-2</w:t>
      </w:r>
      <w:r>
        <w:rPr>
          <w:color w:val="003CA0"/>
          <w:sz w:val="12"/>
        </w:rPr>
        <w:t xml:space="preserve"> | ARE 1.069.876</w:t>
      </w:r>
      <w:r>
        <w:rPr>
          <w:color w:val="003CA0"/>
          <w:sz w:val="12"/>
        </w:rPr>
        <w:t xml:space="preserve"> | rel. Dias Toffoli</w:t>
      </w:r>
    </w:p>
    <w:p>
      <w:pPr>
        <w:ind w:left="288"/>
      </w:pPr>
      <w:r>
        <w:rPr>
          <w:color w:val="1E1E1E"/>
          <w:sz w:val="18"/>
        </w:rPr>
        <w:t>Servidores públicos detentores da estabilidade excepcional do art. 19 do ADCT. Inclusão no regime próprio de previdência social. Impossibilidade. (...) Os servidores abrangidos pela estabilidade excepcional prevista no art. 19 do ADCT não se equiparam aos servidores efetivos, os quais foram aprovados em concurso público. Aqueles possuem somente o direito de permanecer no serviço público nos cargos em que foram admitidos, não tendo direito aos benefícios privativos dos servidores efetivos. Conforme consta do art. 40 da CF, com a redação dada pela EC 42/2003, pertencem ao regime próprio de previ</w:t>
      </w:r>
    </w:p>
    <w:p>
      <w:pPr>
        <w:ind w:left="288"/>
      </w:pPr>
      <w:r>
        <w:rPr>
          <w:b/>
          <w:color w:val="003CA0"/>
          <w:sz w:val="16"/>
        </w:rPr>
        <w:t>[RE 199.649 AgR, rel. min. Joaquim Barbosa, j. 14-9-2010, 2ª T, DJE de 8-10-2010.]</w:t>
      </w:r>
    </w:p>
    <w:p>
      <w:pPr>
        <w:ind w:left="288"/>
      </w:pPr>
      <w:r>
        <w:rPr>
          <w:color w:val="8C8C8C"/>
          <w:sz w:val="12"/>
        </w:rPr>
        <w:t>cf-art-233-par-2</w:t>
      </w:r>
      <w:r>
        <w:rPr>
          <w:color w:val="003CA0"/>
          <w:sz w:val="12"/>
        </w:rPr>
        <w:t xml:space="preserve"> | RE 361.020</w:t>
      </w:r>
      <w:r>
        <w:rPr>
          <w:color w:val="003CA0"/>
          <w:sz w:val="12"/>
        </w:rPr>
        <w:t xml:space="preserve"> | rel. Ellen Gracie</w:t>
      </w:r>
    </w:p>
    <w:p>
      <w:pPr>
        <w:ind w:left="288"/>
      </w:pPr>
      <w:r>
        <w:rPr>
          <w:color w:val="1E1E1E"/>
          <w:sz w:val="18"/>
        </w:rPr>
        <w:t>Servidor público: estabilidade. CF/1988, ADCT, art. 19. Prestação de serviço por mais de cinco anos, até 5-10-1988, data da promulgação da Constituição. Breves interrupções ocorreram no exercício das atividades de professor. Esses breves intervalos nas contratações, decorrentes mesmo da natureza do serviço (magistério), não descaracterizam o direito do servidor.</w:t>
      </w:r>
    </w:p>
    <w:p>
      <w:pPr>
        <w:ind w:left="288"/>
      </w:pPr>
      <w:r>
        <w:rPr>
          <w:b/>
          <w:color w:val="003CA0"/>
          <w:sz w:val="16"/>
        </w:rPr>
        <w:t>[RE 361.020, rel. min. Ellen Gracie, j. 28-9-2004, 2ª T, DJ de 4-2-2005.]</w:t>
      </w:r>
    </w:p>
    <w:p>
      <w:pPr>
        <w:ind w:left="288"/>
      </w:pPr>
      <w:r>
        <w:rPr>
          <w:color w:val="8C8C8C"/>
          <w:sz w:val="12"/>
        </w:rPr>
        <w:t>cf-art-233-par-2</w:t>
      </w:r>
      <w:r>
        <w:rPr>
          <w:color w:val="003CA0"/>
          <w:sz w:val="12"/>
        </w:rPr>
        <w:t xml:space="preserve"> | RE 372.242</w:t>
      </w:r>
      <w:r>
        <w:rPr>
          <w:color w:val="003CA0"/>
          <w:sz w:val="12"/>
        </w:rPr>
        <w:t xml:space="preserve"> | rel. Cármen Lúcia</w:t>
      </w:r>
    </w:p>
    <w:p>
      <w:pPr>
        <w:ind w:left="288"/>
      </w:pPr>
      <w:r>
        <w:rPr>
          <w:color w:val="1E1E1E"/>
          <w:sz w:val="18"/>
        </w:rPr>
        <w:t>= RE 372.242 AgR, rel. min. Cármen Lúcia, j. 1º-2-2011, 1ª T, DJE de 21-2-2011 Estabilidade excepcional (ADCT, art. 19): reconhecida a continuidade dos períodos sucessivos de serviço, não obsta à estabilidade a falta ao trabalho nos dois últimos dias do primeiro: a assiduidade absoluta não foi erigida em requisito essencial de estabilidade do art. 19 das Disposições Transitórias. Estabilidade excepcional (art. 19, ADCT): não implica efetividade no cargo, dependente de concurso interno.</w:t>
      </w:r>
    </w:p>
    <w:p>
      <w:pPr>
        <w:ind w:left="288"/>
      </w:pPr>
      <w:r>
        <w:rPr>
          <w:b/>
          <w:color w:val="003CA0"/>
          <w:sz w:val="16"/>
        </w:rPr>
        <w:t>[RE 187.955, rel. min. Sepúlveda Pertence, j. 15-10-1999, 1ª T, DJ de 5-11-1999.]</w:t>
      </w:r>
    </w:p>
    <w:p>
      <w:pPr>
        <w:ind w:left="288"/>
      </w:pPr>
      <w:r>
        <w:rPr>
          <w:color w:val="8C8C8C"/>
          <w:sz w:val="12"/>
        </w:rPr>
        <w:t>cf-art-233-par-2</w:t>
      </w:r>
      <w:r>
        <w:rPr>
          <w:color w:val="003CA0"/>
          <w:sz w:val="12"/>
        </w:rPr>
        <w:t xml:space="preserve"> | RE 167.635</w:t>
      </w:r>
      <w:r>
        <w:rPr>
          <w:color w:val="003CA0"/>
          <w:sz w:val="12"/>
        </w:rPr>
        <w:t xml:space="preserve"> | rel. Maurício Corrêa</w:t>
      </w:r>
    </w:p>
    <w:p>
      <w:pPr>
        <w:ind w:left="288"/>
      </w:pPr>
      <w:r>
        <w:rPr>
          <w:color w:val="1E1E1E"/>
          <w:sz w:val="18"/>
        </w:rPr>
        <w:t>O ato de "redistribuição" ou "enquadramento", assim como o de "transferência" ou "aproveitamento", que propiciou o ingresso do servidor na carreira, sem concurso público, quando esse era excepcionalmente estável no cargo para o qual fora contratado inicialmente (art. 19, ADCT), é nulo, por inobservância ao art. 37, II, da CF. Legítimo é o ato administrativo que declarou a nulidade da resolução da Mesa da Assembleia Legislativa, que efetivou o agente público, pois a administração pode anular seus próprios atos, quando eivados de vícios que os tornem ilegais, porque deles não se originam direito</w:t>
      </w:r>
    </w:p>
    <w:p>
      <w:pPr>
        <w:ind w:left="288"/>
      </w:pPr>
      <w:r>
        <w:rPr>
          <w:b/>
          <w:color w:val="003CA0"/>
          <w:sz w:val="16"/>
        </w:rPr>
        <w:t>[RE 167.635, rel. min. Maurício Corrêa, j. 17-9-1996, 2ª T, DJ de 7-2-1997.]</w:t>
      </w:r>
    </w:p>
    <w:p>
      <w:pPr>
        <w:ind w:left="288"/>
      </w:pPr>
      <w:r>
        <w:rPr>
          <w:color w:val="8C8C8C"/>
          <w:sz w:val="12"/>
        </w:rPr>
        <w:t>cf-art-233-par-2</w:t>
      </w:r>
      <w:r>
        <w:rPr>
          <w:color w:val="003CA0"/>
          <w:sz w:val="12"/>
        </w:rPr>
        <w:t xml:space="preserve"> | RMS 21.614</w:t>
      </w:r>
      <w:r>
        <w:rPr>
          <w:color w:val="003CA0"/>
          <w:sz w:val="12"/>
        </w:rPr>
        <w:t xml:space="preserve"> | rel. Ilmar Galvão</w:t>
      </w:r>
    </w:p>
    <w:p>
      <w:pPr>
        <w:ind w:left="288"/>
      </w:pPr>
      <w:r>
        <w:rPr>
          <w:color w:val="1E1E1E"/>
          <w:sz w:val="18"/>
        </w:rPr>
        <w:t>Cuidando-se de militares do quadro de temporários, isto é, admitidos por prazo limitado, como previsto no art. 2º, § 2º, b, da Lei 7.150, de 1º-12-1983, não há reconhecer-lhes direito à permanência em atividade, após cumprido o prazo de incorporação. Inaplicabilidade, a tais servidores, da norma do art. 19, do ADCT, de 1988, restrita a servidores civis.</w:t>
      </w:r>
    </w:p>
    <w:p>
      <w:pPr>
        <w:ind w:left="288"/>
      </w:pPr>
      <w:r>
        <w:rPr>
          <w:b/>
          <w:color w:val="003CA0"/>
          <w:sz w:val="16"/>
        </w:rPr>
        <w:t>[RMS 21.614, rel. min. Ilmar Galvão, j. 23-3-1993, 1ª T, DJ de 16-4-1993.]</w:t>
      </w:r>
    </w:p>
    <w:p>
      <w:pPr>
        <w:ind w:left="288"/>
      </w:pPr>
      <w:r>
        <w:rPr>
          <w:color w:val="8C8C8C"/>
          <w:sz w:val="12"/>
        </w:rPr>
        <w:t>cf-art-233-par-2</w:t>
      </w:r>
      <w:r>
        <w:rPr>
          <w:color w:val="003CA0"/>
          <w:sz w:val="12"/>
        </w:rPr>
        <w:t xml:space="preserve"> | RMS 22.311</w:t>
      </w:r>
      <w:r>
        <w:rPr>
          <w:color w:val="003CA0"/>
          <w:sz w:val="12"/>
        </w:rPr>
        <w:t xml:space="preserve"> | rel. Gilmar Mendes</w:t>
      </w:r>
    </w:p>
    <w:p>
      <w:pPr>
        <w:ind w:left="288"/>
      </w:pPr>
      <w:r>
        <w:rPr>
          <w:color w:val="1E1E1E"/>
          <w:sz w:val="18"/>
        </w:rPr>
        <w:t>= RMS 22.311, rel. min. Gilmar Mendes, j. 25-11-2003, 2ª T, DJ de 12-3-2004</w:t>
      </w:r>
    </w:p>
    <w:p>
      <w:pPr>
        <w:ind w:left="288"/>
      </w:pPr>
      <w:r>
        <w:rPr>
          <w:color w:val="8C8C8C"/>
          <w:sz w:val="12"/>
        </w:rPr>
        <w:t>cf-art-233-par-1</w:t>
      </w:r>
      <w:r>
        <w:rPr>
          <w:color w:val="003CA0"/>
          <w:sz w:val="12"/>
        </w:rPr>
        <w:t xml:space="preserve"> | RE 167.635</w:t>
      </w:r>
      <w:r>
        <w:rPr>
          <w:color w:val="003CA0"/>
          <w:sz w:val="12"/>
        </w:rPr>
        <w:t xml:space="preserve"> | rel. Maurício Corrêa</w:t>
      </w:r>
    </w:p>
    <w:p>
      <w:pPr>
        <w:ind w:left="288"/>
      </w:pPr>
      <w:r>
        <w:rPr>
          <w:color w:val="1E1E1E"/>
          <w:sz w:val="18"/>
        </w:rPr>
        <w:t>Efetividade e estabilidade. Não há que confundir efetividade com estabilidade. Aquela é atributo do cargo, designando o funcionário desde o instante da nomeação; a estabilidade é aderência, é integração no serviço público, depois de preenchidas determinadas condições fixadas em lei, e adquirida pelo decurso de tempo. Estabilidade: art. 41 da CF e art. 19 do ADCT. A vigente Constituição estipulou duas modalidades de estabilidade no serviço público: a primeira, prevista no art. 41 (...). A nomeação em caráter efetivo constitui-se em condição primordial para a aquisição da estabilidade, que é con</w:t>
      </w:r>
    </w:p>
    <w:p>
      <w:pPr>
        <w:ind w:left="288"/>
      </w:pPr>
      <w:r>
        <w:rPr>
          <w:b/>
          <w:color w:val="003CA0"/>
          <w:sz w:val="16"/>
        </w:rPr>
        <w:t>[RE 167.635, rel. min. Maurício Corrêa, j. 17-9-1996, 2ª T, DJ de 7-2-1997.]</w:t>
      </w:r>
    </w:p>
    <w:p>
      <w:pPr>
        <w:ind w:left="288"/>
      </w:pPr>
      <w:r>
        <w:rPr>
          <w:color w:val="8C8C8C"/>
          <w:sz w:val="12"/>
        </w:rPr>
        <w:t>cf-art-233-par-1</w:t>
      </w:r>
      <w:r>
        <w:rPr>
          <w:color w:val="003CA0"/>
          <w:sz w:val="12"/>
        </w:rPr>
        <w:t xml:space="preserve"> | ADI 114</w:t>
      </w:r>
      <w:r>
        <w:rPr>
          <w:color w:val="003CA0"/>
          <w:sz w:val="12"/>
        </w:rPr>
        <w:t xml:space="preserve"> | rel. Cármen Lúcia</w:t>
      </w:r>
    </w:p>
    <w:p>
      <w:pPr>
        <w:ind w:left="288"/>
      </w:pPr>
      <w:r>
        <w:rPr>
          <w:color w:val="1E1E1E"/>
          <w:sz w:val="18"/>
        </w:rPr>
        <w:t>= ADI 114, rel. min. Cármen Lúcia, j. 26-11-2009, P, DJE de 3-10-2011</w:t>
      </w:r>
    </w:p>
    <w:p>
      <w:pPr>
        <w:ind w:left="288"/>
      </w:pPr>
      <w:r>
        <w:rPr>
          <w:color w:val="8C8C8C"/>
          <w:sz w:val="12"/>
        </w:rPr>
        <w:t>cf-art-233-par-2</w:t>
      </w:r>
      <w:r>
        <w:rPr>
          <w:color w:val="003CA0"/>
          <w:sz w:val="12"/>
        </w:rPr>
        <w:t xml:space="preserve"> | RE 319.156</w:t>
      </w:r>
      <w:r>
        <w:rPr>
          <w:color w:val="003CA0"/>
          <w:sz w:val="12"/>
        </w:rPr>
        <w:t xml:space="preserve"> | rel. Ellen Gracie</w:t>
      </w:r>
    </w:p>
    <w:p>
      <w:pPr>
        <w:ind w:left="288"/>
      </w:pPr>
      <w:r>
        <w:rPr>
          <w:color w:val="1E1E1E"/>
          <w:sz w:val="18"/>
        </w:rPr>
        <w:t>A Constituição de 1988 estabeleceu que a investidura em cargo depende da aprovação em concurso público. Essa regra garante o respeito a vários princípios constitucionais de direito administrativo, entre eles, o da impessoalidade e o da isonomia. O constituinte, todavia, inseriu norma transitória criando a estabilidade excepcional para servidores não concursados da União, dos Estados, do Distrito Federal e dos Municípios que, ao tempo da promulgação da CF, contassem com, no mínimo, cinco anos ininterruptos de serviço público. O fato de a servidora estar no exercício de substituição não lhe reti</w:t>
      </w:r>
    </w:p>
    <w:p>
      <w:pPr>
        <w:ind w:left="288"/>
      </w:pPr>
      <w:r>
        <w:rPr>
          <w:b/>
          <w:color w:val="003CA0"/>
          <w:sz w:val="16"/>
        </w:rPr>
        <w:t>[RE 319.156, rel. min. Ellen Gracie, j. 25-10-2005, 2ª T, DJ de 25-11-2005.]</w:t>
      </w:r>
    </w:p>
    <w:p>
      <w:pPr>
        <w:ind w:left="288"/>
      </w:pPr>
      <w:r>
        <w:rPr>
          <w:color w:val="8C8C8C"/>
          <w:sz w:val="12"/>
        </w:rPr>
        <w:t>cf-art-233-par-2</w:t>
      </w:r>
      <w:r>
        <w:rPr>
          <w:color w:val="003CA0"/>
          <w:sz w:val="12"/>
        </w:rPr>
        <w:t xml:space="preserve"> | RE 482.440</w:t>
      </w:r>
      <w:r>
        <w:rPr>
          <w:color w:val="003CA0"/>
          <w:sz w:val="12"/>
        </w:rPr>
        <w:t xml:space="preserve"> | rel. Cármen Lúcia</w:t>
      </w:r>
    </w:p>
    <w:p>
      <w:pPr>
        <w:ind w:left="288"/>
      </w:pPr>
      <w:r>
        <w:rPr>
          <w:color w:val="1E1E1E"/>
          <w:sz w:val="18"/>
        </w:rPr>
        <w:t>= RE 482.440 AgR, rel. min. Cármen Lúcia, j. 1º-2-2011, 1ª T, DJE de 23-2-2011 Da incidência da estabilidade extraordinária outorgada pelo art. 19 e seus parágrafos do ADCT de 1988 devem ser excluídos não só o cargo de confiança (ou em comissão), em si mesmo considerado, como aquele cuja forma normal de provimento seja a efetiva, mas haja sido preenchido em caráter provisório, a título de comissionamento.</w:t>
      </w:r>
    </w:p>
    <w:p>
      <w:pPr>
        <w:ind w:left="288"/>
      </w:pPr>
      <w:r>
        <w:rPr>
          <w:b/>
          <w:color w:val="003CA0"/>
          <w:sz w:val="16"/>
        </w:rPr>
        <w:t>[RE 146.332, rel. min. Octavio Gallotti, j. 15-9-1992, 1ª T, DJ de 6-11-1992.]</w:t>
      </w:r>
    </w:p>
    <w:p>
      <w:pPr>
        <w:ind w:left="288"/>
      </w:pPr>
      <w:r>
        <w:rPr>
          <w:color w:val="8C8C8C"/>
          <w:sz w:val="12"/>
        </w:rPr>
        <w:t>cf-art-233-par-2</w:t>
      </w:r>
      <w:r>
        <w:rPr>
          <w:color w:val="003CA0"/>
          <w:sz w:val="12"/>
        </w:rPr>
        <w:t xml:space="preserve"> | MS 23.118</w:t>
      </w:r>
      <w:r>
        <w:rPr>
          <w:color w:val="003CA0"/>
          <w:sz w:val="12"/>
        </w:rPr>
        <w:t xml:space="preserve"> | rel. Néri da Silveira</w:t>
      </w:r>
    </w:p>
    <w:p>
      <w:pPr>
        <w:ind w:left="288"/>
      </w:pPr>
      <w:r>
        <w:rPr>
          <w:color w:val="1E1E1E"/>
          <w:sz w:val="18"/>
        </w:rPr>
        <w:t>= MS 23.118, rel. min. Néri da Silveira, j. 14-3-2002, P, DJ de 19-4-2002</w:t>
      </w:r>
    </w:p>
    <w:p>
      <w:pPr>
        <w:ind w:left="288"/>
      </w:pPr>
      <w:r>
        <w:rPr>
          <w:color w:val="8C8C8C"/>
          <w:sz w:val="12"/>
        </w:rPr>
        <w:t>cf-art-233-par-3</w:t>
      </w:r>
    </w:p>
    <w:p>
      <w:pPr>
        <w:ind w:left="288"/>
      </w:pPr>
      <w:r>
        <w:rPr>
          <w:color w:val="1E1E1E"/>
          <w:sz w:val="18"/>
        </w:rPr>
        <w:t>Art. 20. Dentro de cento e oitenta dias, proceder-se-á à revisão dos direitos dos servidores públicos inativos e pensionistas e à atualização dos proventos e pensões a eles devidos, a fim de ajustá-los ao disposto na Constituição.</w:t>
      </w:r>
    </w:p>
    <w:p>
      <w:pPr>
        <w:ind w:left="288"/>
      </w:pPr>
      <w:r>
        <w:rPr>
          <w:color w:val="8C8C8C"/>
          <w:sz w:val="12"/>
        </w:rPr>
        <w:t>cf-art-233-par-3</w:t>
      </w:r>
      <w:r>
        <w:rPr>
          <w:color w:val="003CA0"/>
          <w:sz w:val="12"/>
        </w:rPr>
        <w:t xml:space="preserve"> | RE 162.091</w:t>
      </w:r>
      <w:r>
        <w:rPr>
          <w:color w:val="003CA0"/>
          <w:sz w:val="12"/>
        </w:rPr>
        <w:t xml:space="preserve"> | rel. Sepúlveda Pertence</w:t>
      </w:r>
    </w:p>
    <w:p>
      <w:pPr>
        <w:ind w:left="288"/>
      </w:pPr>
      <w:r>
        <w:rPr>
          <w:color w:val="1E1E1E"/>
          <w:sz w:val="18"/>
        </w:rPr>
        <w:t>Magistrados fluminenses aposentados e pensionistas: aplicação imediata a aposentadorias e pensões anteriores do disposto no primitivo art. 40, §§ 4º e 5º, da Constituição, nos termos do art. 20 do ADCT.</w:t>
      </w:r>
    </w:p>
    <w:p>
      <w:pPr>
        <w:ind w:left="288"/>
      </w:pPr>
      <w:r>
        <w:rPr>
          <w:b/>
          <w:color w:val="003CA0"/>
          <w:sz w:val="16"/>
        </w:rPr>
        <w:t>[RE 162.091, rel. min. Sepúlveda Pertence, j. 23-11-2004, 1ª T, DJ de 4-2-2005.]</w:t>
      </w:r>
    </w:p>
    <w:p>
      <w:pPr>
        <w:ind w:left="288"/>
      </w:pPr>
      <w:r>
        <w:rPr>
          <w:color w:val="8C8C8C"/>
          <w:sz w:val="12"/>
        </w:rPr>
        <w:t>cf-art-233-par-3</w:t>
      </w:r>
      <w:r>
        <w:rPr>
          <w:color w:val="003CA0"/>
          <w:sz w:val="12"/>
        </w:rPr>
        <w:t xml:space="preserve"> | RE 201.596</w:t>
      </w:r>
      <w:r>
        <w:rPr>
          <w:color w:val="003CA0"/>
          <w:sz w:val="12"/>
        </w:rPr>
        <w:t xml:space="preserve"> | rel. Ilmar Galvão</w:t>
      </w:r>
    </w:p>
    <w:p>
      <w:pPr>
        <w:ind w:left="288"/>
      </w:pPr>
      <w:r>
        <w:rPr>
          <w:color w:val="1E1E1E"/>
          <w:sz w:val="18"/>
        </w:rPr>
        <w:t>LC 567, de 20-7-1988, art. 27 (redação da Lei 7.469, de 19-8-1991), que estendeu a vantagem funcional denominada "quotas fixas" aos inativos a partir de 19-8-1991. Vantagem funcional que, declarada por lei como extensível a todos os membros da categoria, ativos e inativos, há de ser computada no cálculo de proventos desde maio/1989, como determinado no art. 20 do ADCT, c/c o art. 40, § 4º, do texto permanente da Carta.</w:t>
      </w:r>
    </w:p>
    <w:p>
      <w:pPr>
        <w:ind w:left="288"/>
      </w:pPr>
      <w:r>
        <w:rPr>
          <w:b/>
          <w:color w:val="003CA0"/>
          <w:sz w:val="16"/>
        </w:rPr>
        <w:t>[RE 201.596 AgR, rel. min. Ilmar Galvão, j. 14-12-1999, 1ª T, DJ de 3-3-2000.]</w:t>
      </w:r>
    </w:p>
    <w:p>
      <w:pPr>
        <w:ind w:left="288"/>
      </w:pPr>
      <w:r>
        <w:rPr>
          <w:color w:val="8C8C8C"/>
          <w:sz w:val="12"/>
        </w:rPr>
        <w:t>cf-art-233-par-3</w:t>
      </w:r>
      <w:r>
        <w:rPr>
          <w:color w:val="003CA0"/>
          <w:sz w:val="12"/>
        </w:rPr>
        <w:t xml:space="preserve"> | AI 182.438</w:t>
      </w:r>
      <w:r>
        <w:rPr>
          <w:color w:val="003CA0"/>
          <w:sz w:val="12"/>
        </w:rPr>
        <w:t xml:space="preserve"> | rel. Sydney Sanches</w:t>
      </w:r>
    </w:p>
    <w:p>
      <w:pPr>
        <w:ind w:left="288"/>
      </w:pPr>
      <w:r>
        <w:rPr>
          <w:color w:val="1E1E1E"/>
          <w:sz w:val="18"/>
        </w:rPr>
        <w:t>O art. 20 do ADCT apenas fixou o prazo de 180 dias para que se procedesse à revisão nele prevista, mas sem afetar a autoaplicabilidade do § 5º do art. 40 da parte permanente da CF de 5-10-1988, da qual decorre a exigibilidade, a partir dessa data, do reajuste que determina.</w:t>
      </w:r>
    </w:p>
    <w:p>
      <w:pPr>
        <w:ind w:left="288"/>
      </w:pPr>
      <w:r>
        <w:rPr>
          <w:b/>
          <w:color w:val="003CA0"/>
          <w:sz w:val="16"/>
        </w:rPr>
        <w:t>[AI 182.438 AgR, rel. min. Sydney Sanches, j. 4-5-1999, 1ª T, DJ de 17-12-1999.]</w:t>
      </w:r>
    </w:p>
    <w:p>
      <w:pPr>
        <w:ind w:left="288"/>
      </w:pPr>
      <w:r>
        <w:rPr>
          <w:color w:val="8C8C8C"/>
          <w:sz w:val="12"/>
        </w:rPr>
        <w:t>cf-art-233-par-3</w:t>
      </w:r>
      <w:r>
        <w:rPr>
          <w:color w:val="003CA0"/>
          <w:sz w:val="12"/>
        </w:rPr>
        <w:t xml:space="preserve"> | RE 213.585</w:t>
      </w:r>
      <w:r>
        <w:rPr>
          <w:color w:val="003CA0"/>
          <w:sz w:val="12"/>
        </w:rPr>
        <w:t xml:space="preserve"> | rel. Ilmar Galvão</w:t>
      </w:r>
    </w:p>
    <w:p>
      <w:pPr>
        <w:ind w:left="288"/>
      </w:pPr>
      <w:r>
        <w:rPr>
          <w:color w:val="1E1E1E"/>
          <w:sz w:val="18"/>
        </w:rPr>
        <w:t>Lei municipal 877/1987, que instituiu a gratificação por nível universitário. Atividade. Art. 40, § 4º, da Constituição. Extensão da vantagem aos recorridos, por força da norma do § 4º do art. 40 da CF/1988, a que o art. 20 do ADCT conferiu força retro-operante, beneficiando os servidores que se encontravam em inatividade.</w:t>
      </w:r>
    </w:p>
    <w:p>
      <w:pPr>
        <w:ind w:left="288"/>
      </w:pPr>
      <w:r>
        <w:rPr>
          <w:b/>
          <w:color w:val="003CA0"/>
          <w:sz w:val="16"/>
        </w:rPr>
        <w:t>[RE 213.585, rel. min. Ilmar Galvão, j. 5-5-1998, 1ª T, DJ de 25-9-1998.]</w:t>
      </w:r>
    </w:p>
    <w:p>
      <w:pPr>
        <w:ind w:left="288"/>
      </w:pPr>
      <w:r>
        <w:rPr>
          <w:color w:val="8C8C8C"/>
          <w:sz w:val="12"/>
        </w:rPr>
        <w:t>cf-art-233-par-3</w:t>
      </w:r>
      <w:r>
        <w:rPr>
          <w:color w:val="003CA0"/>
          <w:sz w:val="12"/>
        </w:rPr>
        <w:t xml:space="preserve"> | AI 158.890</w:t>
      </w:r>
      <w:r>
        <w:rPr>
          <w:color w:val="003CA0"/>
          <w:sz w:val="12"/>
        </w:rPr>
        <w:t xml:space="preserve"> | rel. Sepúlveda Pertence</w:t>
      </w:r>
    </w:p>
    <w:p>
      <w:pPr>
        <w:ind w:left="288"/>
      </w:pPr>
      <w:r>
        <w:rPr>
          <w:color w:val="1E1E1E"/>
          <w:sz w:val="18"/>
        </w:rPr>
        <w:t>= AI 158.890 AgR, rel. min. Sepúlveda Pertence, j. 20-3-2001, 1ª T, DJ de 14-5-2001 A norma inscrita na parte final do art. 20 do ADCT-CF/1988 não impede a fruição do direito assegurado aos pensionistas, uma vez que este estabelece, apenas, um prazo para o processamento da revisão desse e a sua atualização.</w:t>
      </w:r>
    </w:p>
    <w:p>
      <w:pPr>
        <w:ind w:left="288"/>
      </w:pPr>
      <w:r>
        <w:rPr>
          <w:b/>
          <w:color w:val="003CA0"/>
          <w:sz w:val="16"/>
        </w:rPr>
        <w:t>[AI 177.352 AgR, rel. min. Maurício Corrêa, j. 4-3-1996, 2ª T, DJ de 19-4-1996.]</w:t>
      </w:r>
    </w:p>
    <w:p>
      <w:pPr>
        <w:ind w:left="288"/>
      </w:pPr>
      <w:r>
        <w:rPr>
          <w:color w:val="8C8C8C"/>
          <w:sz w:val="12"/>
        </w:rPr>
        <w:t>cf-art-233-par-3</w:t>
      </w:r>
    </w:p>
    <w:p>
      <w:pPr>
        <w:ind w:left="288"/>
      </w:pPr>
      <w:r>
        <w:rPr>
          <w:color w:val="1E1E1E"/>
          <w:sz w:val="18"/>
        </w:rPr>
        <w:t>Art. 21. Os juízes togados de investidura limitada no tempo, admitidos mediante concurso público de provas e títulos e que estejam em exercício na data da promulgação da Constituição, adquirem estabilidade, observado o estágio probatório, e passam a compor quadro em extinção, mantidas as competências, prerrogativas e restrições da legislação a que se achavam submetidos, salvo as inerentes à transitoriedade da investidura.</w:t>
      </w:r>
    </w:p>
    <w:p>
      <w:pPr>
        <w:ind w:left="288"/>
      </w:pPr>
      <w:r>
        <w:rPr>
          <w:color w:val="8C8C8C"/>
          <w:sz w:val="12"/>
        </w:rPr>
        <w:t>cf-art-233-par-unico</w:t>
      </w:r>
    </w:p>
    <w:p>
      <w:pPr>
        <w:ind w:left="288"/>
      </w:pPr>
      <w:r>
        <w:rPr>
          <w:color w:val="1E1E1E"/>
          <w:sz w:val="18"/>
        </w:rPr>
        <w:t>Art. 22. É assegurado aos defensores públicos investidos na função até a data de instalação da Assembleia Nacional Constituinte o direito de opção pela carreira, com a observância das garantias e vedações previstas no art. 134, parágrafo único, da Constituição.</w:t>
      </w:r>
    </w:p>
    <w:p>
      <w:pPr>
        <w:ind w:left="144"/>
      </w:pPr>
      <w:r>
        <w:rPr>
          <w:b/>
          <w:color w:val="B45A00"/>
          <w:sz w:val="16"/>
        </w:rPr>
        <w:t>CONTROLE CONCENTRADO</w:t>
      </w:r>
    </w:p>
    <w:p>
      <w:pPr>
        <w:ind w:left="288"/>
      </w:pPr>
      <w:r>
        <w:rPr>
          <w:color w:val="8C8C8C"/>
          <w:sz w:val="12"/>
        </w:rPr>
        <w:t>cf-art-233-par-unico</w:t>
      </w:r>
      <w:r>
        <w:rPr>
          <w:color w:val="003CA0"/>
          <w:sz w:val="12"/>
        </w:rPr>
        <w:t xml:space="preserve"> | ADI 3.152</w:t>
      </w:r>
      <w:r>
        <w:rPr>
          <w:color w:val="003CA0"/>
          <w:sz w:val="12"/>
        </w:rPr>
        <w:t xml:space="preserve"> | rel. Rosa Weber</w:t>
      </w:r>
    </w:p>
    <w:p>
      <w:pPr>
        <w:ind w:left="288"/>
      </w:pPr>
      <w:r>
        <w:rPr>
          <w:color w:val="1E1E1E"/>
          <w:sz w:val="18"/>
        </w:rPr>
        <w:t>Na dicção do art. 22 do ADCT, assegurou-se aos Advogados de Ofício, integrantes da Defensoria da Justiça Militar, ‘investidos na função até a data da instalação da Assembleia Nacional Constituinte, o direito de opção pela carreira, com a observância das garantias e vedações previstas no art. 134, parágrafo único, da Constituição’. Incumbindo à Defensoria Pública, nos planos federal e estadual, em cumprimento ao texto constitucional e à legislação de regência, prestar assistência jurídica integral e gratuita aos que comprovarem insuficiência de recursos, desvia do modelo constitucional o art. 5</w:t>
      </w:r>
    </w:p>
    <w:p>
      <w:pPr>
        <w:ind w:left="288"/>
      </w:pPr>
      <w:r>
        <w:rPr>
          <w:b/>
          <w:color w:val="003CA0"/>
          <w:sz w:val="16"/>
        </w:rPr>
        <w:t>[ADI 3.152, rel. min. Rosa Weber, j. 27-4-2022, P, DJE de 05-5-2022.]</w:t>
      </w:r>
    </w:p>
    <w:p>
      <w:pPr>
        <w:ind w:left="288"/>
      </w:pPr>
      <w:r>
        <w:rPr>
          <w:color w:val="8C8C8C"/>
          <w:sz w:val="12"/>
        </w:rPr>
        <w:t>cf-art-233-par-unico</w:t>
      </w:r>
      <w:r>
        <w:rPr>
          <w:color w:val="003CA0"/>
          <w:sz w:val="12"/>
        </w:rPr>
        <w:t xml:space="preserve"> | ADI 3.720</w:t>
      </w:r>
      <w:r>
        <w:rPr>
          <w:color w:val="003CA0"/>
          <w:sz w:val="12"/>
        </w:rPr>
        <w:t xml:space="preserve"> | rel. Marco Aurélio</w:t>
      </w:r>
    </w:p>
    <w:p>
      <w:pPr>
        <w:ind w:left="288"/>
      </w:pPr>
      <w:r>
        <w:rPr>
          <w:color w:val="1E1E1E"/>
          <w:sz w:val="18"/>
        </w:rPr>
        <w:t>Defensoria pública. Procuradores do Estado. Opção. É constitucional lei complementar que viabiliza a procuradores do Estado a opção pela carreira da defensoria pública quando o cargo inicial para o qual foi realizado o concurso englobava a assistência jurídica e judiciária aos menos afortunados.</w:t>
      </w:r>
    </w:p>
    <w:p>
      <w:pPr>
        <w:ind w:left="288"/>
      </w:pPr>
      <w:r>
        <w:rPr>
          <w:b/>
          <w:color w:val="003CA0"/>
          <w:sz w:val="16"/>
        </w:rPr>
        <w:t>[ADI 3.720, rel. min. Marco Aurélio, j. 31-10-2007, P, DJE de 28-3-2008.]</w:t>
      </w:r>
    </w:p>
    <w:p>
      <w:pPr>
        <w:ind w:left="288"/>
      </w:pPr>
      <w:r>
        <w:rPr>
          <w:color w:val="8C8C8C"/>
          <w:sz w:val="12"/>
        </w:rPr>
        <w:t>cf-art-233-par-unico</w:t>
      </w:r>
      <w:r>
        <w:rPr>
          <w:color w:val="003CA0"/>
          <w:sz w:val="12"/>
        </w:rPr>
        <w:t xml:space="preserve"> | ADI 3.819</w:t>
      </w:r>
      <w:r>
        <w:rPr>
          <w:color w:val="003CA0"/>
          <w:sz w:val="12"/>
        </w:rPr>
        <w:t xml:space="preserve"> | rel. Eros Grau</w:t>
      </w:r>
    </w:p>
    <w:p>
      <w:pPr>
        <w:ind w:left="288"/>
      </w:pPr>
      <w:r>
        <w:rPr>
          <w:color w:val="1E1E1E"/>
          <w:sz w:val="18"/>
        </w:rPr>
        <w:t>= ADI 3.819, rel. min. Eros Grau, j. 24-10-2007, P, DJE de 28-3-2008 Este Tribunal, interpretando o art. 22 do ADCT, entendeu que servidores investidos na função de defensor público até a data em que foi instalada a Assembleia Nacional Constituinte têm direito à opção pela carreira, independentemente da forma da investidura originária, desde que cumpridos os requisitos definidos pelo Texto Constitucional. Precedentes. As Constituições estaduais não podem ampliar a excepcionalidade admitida pelo art. 22 do ADCT da CF/1988.</w:t>
      </w:r>
    </w:p>
    <w:p>
      <w:pPr>
        <w:ind w:left="288"/>
      </w:pPr>
      <w:r>
        <w:rPr>
          <w:b/>
          <w:color w:val="003CA0"/>
          <w:sz w:val="16"/>
        </w:rPr>
        <w:t>[ADI 3.603, rel. min. Eros Grau, j. 30-8-2006, P, DJ de 2-2-2007.]</w:t>
      </w:r>
    </w:p>
    <w:p>
      <w:pPr>
        <w:ind w:left="288"/>
      </w:pPr>
      <w:r>
        <w:rPr>
          <w:color w:val="8C8C8C"/>
          <w:sz w:val="12"/>
        </w:rPr>
        <w:t>cf-art-233-par-unico</w:t>
      </w:r>
      <w:r>
        <w:rPr>
          <w:color w:val="003CA0"/>
          <w:sz w:val="12"/>
        </w:rPr>
        <w:t xml:space="preserve"> | RE 176.068</w:t>
      </w:r>
      <w:r>
        <w:rPr>
          <w:color w:val="003CA0"/>
          <w:sz w:val="12"/>
        </w:rPr>
        <w:t xml:space="preserve"> | rel. Dias Toffoli</w:t>
      </w:r>
    </w:p>
    <w:p>
      <w:pPr>
        <w:ind w:left="288"/>
      </w:pPr>
      <w:r>
        <w:rPr>
          <w:color w:val="1E1E1E"/>
          <w:sz w:val="18"/>
        </w:rPr>
        <w:t>= RE 176.068 AgR, rel. min. Dias Toffoli, j. 22-5-2012, 1ª T, DJE de 14-6-2012</w:t>
      </w:r>
    </w:p>
    <w:p>
      <w:pPr>
        <w:ind w:left="144"/>
      </w:pPr>
      <w:r>
        <w:rPr>
          <w:b/>
          <w:color w:val="B45A00"/>
          <w:sz w:val="16"/>
        </w:rPr>
        <w:t>JULGADOS CORRELATOS</w:t>
      </w:r>
    </w:p>
    <w:p>
      <w:pPr>
        <w:ind w:left="288"/>
      </w:pPr>
      <w:r>
        <w:rPr>
          <w:color w:val="8C8C8C"/>
          <w:sz w:val="12"/>
        </w:rPr>
        <w:t>cf-art-233-par-unico</w:t>
      </w:r>
      <w:r>
        <w:rPr>
          <w:color w:val="003CA0"/>
          <w:sz w:val="12"/>
        </w:rPr>
        <w:t xml:space="preserve"> | RE 161.712</w:t>
      </w:r>
      <w:r>
        <w:rPr>
          <w:color w:val="003CA0"/>
          <w:sz w:val="12"/>
        </w:rPr>
        <w:t xml:space="preserve"> | rel. Moreira Alves</w:t>
      </w:r>
    </w:p>
    <w:p>
      <w:pPr>
        <w:ind w:left="288"/>
      </w:pPr>
      <w:r>
        <w:rPr>
          <w:color w:val="1E1E1E"/>
          <w:sz w:val="18"/>
        </w:rPr>
        <w:t>Contratado por prestadora de serviços que, em virtude de convênio entre esta e o Estado, foi posto a serviço deste e então colocado para exercer a função de defensor público até a data em que foi instalada a Assembleia Nacional Constituinte. Art. 22 do ADCT da CF. O Plenário desta Corte, ao julgar o RE 161.712, decidiu, por maioria de votos, que "servidor investido na função de defensor público até a data em que foi instalada a Assembleia Nacional Constituinte tem direito à opção pela carreira, independentemente da forma da investidura originária. Interpretação do art. 22 do ADCT". Falta ao re</w:t>
      </w:r>
    </w:p>
    <w:p>
      <w:pPr>
        <w:ind w:left="288"/>
      </w:pPr>
      <w:r>
        <w:rPr>
          <w:b/>
          <w:color w:val="003CA0"/>
          <w:sz w:val="16"/>
        </w:rPr>
        <w:t>[RE 205.168, rel. min. Moreira Alves, j. 1º-12-1998, 1ª T, DJ de 21-5-1999.]</w:t>
      </w:r>
    </w:p>
    <w:p>
      <w:pPr>
        <w:ind w:left="288"/>
      </w:pPr>
      <w:r>
        <w:rPr>
          <w:color w:val="8C8C8C"/>
          <w:sz w:val="12"/>
        </w:rPr>
        <w:t>cf-art-233-par-unico</w:t>
      </w:r>
      <w:r>
        <w:rPr>
          <w:color w:val="003CA0"/>
          <w:sz w:val="12"/>
        </w:rPr>
        <w:t xml:space="preserve"> | AI 756.647</w:t>
      </w:r>
      <w:r>
        <w:rPr>
          <w:color w:val="003CA0"/>
          <w:sz w:val="12"/>
        </w:rPr>
        <w:t xml:space="preserve"> | rel. Rosa Weber</w:t>
      </w:r>
    </w:p>
    <w:p>
      <w:pPr>
        <w:ind w:left="288"/>
      </w:pPr>
      <w:r>
        <w:rPr>
          <w:color w:val="1E1E1E"/>
          <w:sz w:val="18"/>
        </w:rPr>
        <w:t>= AI 756.647 AgR, rel. min. Rosa Weber, j. 18-9-2012, 1ª T, DJE de 2-10-2012 Art. 23. Até que se edite a regulamentação do art. 21, XVI, da Constituição, os atuais ocupantes do cargo de censor federal continuarão exercendo funções com este compatíveis, no Departamento de Polícia Federal, observadas as disposições constitucionais.</w:t>
      </w:r>
    </w:p>
    <w:p>
      <w:pPr>
        <w:ind w:left="144"/>
      </w:pPr>
      <w:r>
        <w:rPr>
          <w:b/>
          <w:color w:val="B45A00"/>
          <w:sz w:val="16"/>
        </w:rPr>
        <w:t>CONTROLE CONCENTRADO</w:t>
      </w:r>
    </w:p>
    <w:p>
      <w:pPr>
        <w:ind w:left="288"/>
      </w:pPr>
      <w:r>
        <w:rPr>
          <w:color w:val="8C8C8C"/>
          <w:sz w:val="12"/>
        </w:rPr>
        <w:t>cf-art-233-par-unico</w:t>
      </w:r>
      <w:r>
        <w:rPr>
          <w:color w:val="003CA0"/>
          <w:sz w:val="12"/>
        </w:rPr>
        <w:t xml:space="preserve"> | ADI 889</w:t>
      </w:r>
      <w:r>
        <w:rPr>
          <w:color w:val="003CA0"/>
          <w:sz w:val="12"/>
        </w:rPr>
        <w:t xml:space="preserve"> | rel. Marco Aurélio</w:t>
      </w:r>
    </w:p>
    <w:p>
      <w:pPr>
        <w:ind w:left="288"/>
      </w:pPr>
      <w:r>
        <w:rPr>
          <w:color w:val="1E1E1E"/>
          <w:sz w:val="18"/>
        </w:rPr>
        <w:t>Ação direta de inconstitucionalidade por omissão. Parágrafo único do art. 23 do ADCT. Censores federais. A existência de lei versando sobre a regulamentação prevista no inciso XVI do art. 21 da Carta Federal, sem a disciplina do aproveitamento dos censores federais, apenas confirma a omissão do Poder Executivo no encaminhamento de projeto com o qual se almeje imprimir eficácia à norma do parágrafo único do art. 23 do Diploma Maior.</w:t>
      </w:r>
    </w:p>
    <w:p>
      <w:pPr>
        <w:ind w:left="288"/>
      </w:pPr>
      <w:r>
        <w:rPr>
          <w:b/>
          <w:color w:val="003CA0"/>
          <w:sz w:val="16"/>
        </w:rPr>
        <w:t>[ADI 889, rel. min. Marco Aurélio, j. 16-3-1994, P, DJ de 22-4-1994.]</w:t>
      </w:r>
    </w:p>
    <w:p>
      <w:pPr>
        <w:ind w:left="144"/>
      </w:pPr>
      <w:r>
        <w:rPr>
          <w:b/>
          <w:color w:val="B45A00"/>
          <w:sz w:val="16"/>
        </w:rPr>
        <w:t>JULGADOS CORRELATOS</w:t>
      </w:r>
    </w:p>
    <w:p>
      <w:pPr>
        <w:ind w:left="288"/>
      </w:pPr>
      <w:r>
        <w:rPr>
          <w:color w:val="8C8C8C"/>
          <w:sz w:val="12"/>
        </w:rPr>
        <w:t>cf-art-233-par-unico</w:t>
      </w:r>
      <w:r>
        <w:rPr>
          <w:color w:val="003CA0"/>
          <w:sz w:val="12"/>
        </w:rPr>
        <w:t xml:space="preserve"> | MI 241</w:t>
      </w:r>
      <w:r>
        <w:rPr>
          <w:color w:val="003CA0"/>
          <w:sz w:val="12"/>
        </w:rPr>
        <w:t xml:space="preserve"> | rel. Moreira Alves</w:t>
      </w:r>
    </w:p>
    <w:p>
      <w:pPr>
        <w:ind w:left="288"/>
      </w:pPr>
      <w:r>
        <w:rPr>
          <w:color w:val="1E1E1E"/>
          <w:sz w:val="18"/>
        </w:rPr>
        <w:t>Mandado de injunção. Alegação de ter o parágrafo único do art. 23 do ADCT concedido aos censores federais direito de serem transformados em delegados de polícia, direito esse cujo exercício estaria inviabilizado por falta de regulamentação. Inexistência de direito pretendido como resulta manifesto da conjugação do disposto nos arts. 21, XVI, e parágrafo único do art. 23, o primeiro do texto permanente da Constituição e o segundo do ADCT.</w:t>
      </w:r>
    </w:p>
    <w:p>
      <w:pPr>
        <w:ind w:left="288"/>
      </w:pPr>
      <w:r>
        <w:rPr>
          <w:b/>
          <w:color w:val="003CA0"/>
          <w:sz w:val="16"/>
        </w:rPr>
        <w:t>[MI 241, rel. min. Moreira Alves, j. 31-10-1990, P, DJ de 8-2-1991.]</w:t>
      </w:r>
    </w:p>
    <w:p>
      <w:pPr>
        <w:ind w:left="288"/>
      </w:pPr>
      <w:r>
        <w:rPr>
          <w:color w:val="8C8C8C"/>
          <w:sz w:val="12"/>
        </w:rPr>
        <w:t>cf-art-233-par-unico</w:t>
      </w:r>
    </w:p>
    <w:p>
      <w:pPr>
        <w:ind w:left="288"/>
      </w:pPr>
      <w:r>
        <w:rPr>
          <w:color w:val="1E1E1E"/>
          <w:sz w:val="18"/>
        </w:rPr>
        <w:t xml:space="preserve">Art. 24. A União, os Estados, o Distrito Federal e os Municípios editarão leis que estabeleçam critérios para a compatibilização de seus quadros de pessoal ao disposto no art. 39 da Constituição e à reforma administrativa dela decorrente, no prazo de dezoito meses, contados da sua promulgação. Art. 25. Ficam revogados, a partir de cento e oitenta dias da promulgação da Constituição, sujeito este prazo a prorrogação por lei, todos os dispositivos legais que atribuam ou deleguem a órgão do Poder Executivo competência assinalada pela Constituição ao Congresso Nacional, especialmente no que tange </w:t>
      </w:r>
    </w:p>
    <w:p>
      <w:pPr>
        <w:ind w:left="288"/>
      </w:pPr>
      <w:r>
        <w:rPr>
          <w:color w:val="8C8C8C"/>
          <w:sz w:val="12"/>
        </w:rPr>
        <w:t>cf-art-233-par-unico</w:t>
      </w:r>
      <w:r>
        <w:rPr>
          <w:color w:val="003CA0"/>
          <w:sz w:val="12"/>
        </w:rPr>
        <w:t xml:space="preserve"> | RE 1.237.758</w:t>
      </w:r>
      <w:r>
        <w:rPr>
          <w:color w:val="003CA0"/>
          <w:sz w:val="12"/>
        </w:rPr>
        <w:t xml:space="preserve"> | rel. Ricardo Lewandowski</w:t>
      </w:r>
    </w:p>
    <w:p>
      <w:pPr>
        <w:ind w:left="288"/>
      </w:pPr>
      <w:r>
        <w:rPr>
          <w:color w:val="1E1E1E"/>
          <w:sz w:val="18"/>
        </w:rPr>
        <w:t>A jurisprudência desta Corte fixou orientação no sentido de que o art. 25 do ADCT, ao determinar a revogação de todos os dispositivos legais que atribuam ou deleguem a órgão do Poder Executivo competência assinalada pela Constituição ao Congresso Nacional, tornou insubsistentes, perante a nova ordem constitucional, apenas as delegações anteriormente concedidas, sem, contudo, invalidar os diplomas normativos editados sob a ordem constitucional precedente com fulcro nas atribuições delegadas.</w:t>
      </w:r>
    </w:p>
    <w:p>
      <w:pPr>
        <w:ind w:left="288"/>
      </w:pPr>
      <w:r>
        <w:rPr>
          <w:b/>
          <w:color w:val="003CA0"/>
          <w:sz w:val="16"/>
        </w:rPr>
        <w:t>[RE 1.237.758, rel. min. Ricardo Lewandowski, j. 5-8-2020, 2ª T, DJE de 13-8-2020.]</w:t>
      </w:r>
    </w:p>
    <w:p>
      <w:pPr>
        <w:ind w:left="288"/>
      </w:pPr>
      <w:r>
        <w:rPr>
          <w:color w:val="8C8C8C"/>
          <w:sz w:val="12"/>
        </w:rPr>
        <w:t>cf-art-233-par-unico</w:t>
      </w:r>
      <w:r>
        <w:rPr>
          <w:color w:val="003CA0"/>
          <w:sz w:val="12"/>
        </w:rPr>
        <w:t xml:space="preserve"> | RE 392.640</w:t>
      </w:r>
      <w:r>
        <w:rPr>
          <w:color w:val="003CA0"/>
          <w:sz w:val="12"/>
        </w:rPr>
        <w:t xml:space="preserve"> | rel. Cezar Peluso</w:t>
      </w:r>
    </w:p>
    <w:p>
      <w:pPr>
        <w:ind w:left="288"/>
      </w:pPr>
      <w:r>
        <w:rPr>
          <w:color w:val="1E1E1E"/>
          <w:sz w:val="18"/>
        </w:rPr>
        <w:t>Não foi recebido, mas revogado, o DL 1.497/1975, que autorizou o ministro da Fazenda a instituir o chamado ressarcimento de custo do selo de controle do IPI.</w:t>
        <w:br/>
        <w:t>[RE 392.640 AgR, rel. min. Cezar Peluso, j. 29-9-2009, 2ª T, DJE de 6-11-2009.]</w:t>
        <w:br/>
        <w:t>= RE 662.113, rel. min. Marco Aurélio, j. 12-2-2014, P, DJE de 4-4-2014 Conselho Monetário Nacional (CMN): competência para dispor sobre a taxa de juros bancários: ADCT/1988, art. 25: Lei 4.595/1964: não revogação. Validade da aplicação, ao caso, da Lei 4.595/1964, na parte em que outorga poderes ao CMN para dispor sobre as taxas de juros bancários, uma vez qu</w:t>
      </w:r>
    </w:p>
    <w:p>
      <w:pPr>
        <w:ind w:left="288"/>
      </w:pPr>
      <w:r>
        <w:rPr>
          <w:b/>
          <w:color w:val="003CA0"/>
          <w:sz w:val="16"/>
        </w:rPr>
        <w:t>[RE 286.963, rel. min. Sepúlveda Pertence, j. 24-5-2005, 1ª T, DJ de 20-10-2006.]</w:t>
      </w:r>
    </w:p>
    <w:p>
      <w:pPr>
        <w:ind w:left="288"/>
      </w:pPr>
      <w:r>
        <w:rPr>
          <w:color w:val="8C8C8C"/>
          <w:sz w:val="12"/>
        </w:rPr>
        <w:t>cf-art-233-par-unico</w:t>
      </w:r>
      <w:r>
        <w:rPr>
          <w:color w:val="003CA0"/>
          <w:sz w:val="12"/>
        </w:rPr>
        <w:t xml:space="preserve"> | RE 395.171</w:t>
      </w:r>
      <w:r>
        <w:rPr>
          <w:color w:val="003CA0"/>
          <w:sz w:val="12"/>
        </w:rPr>
        <w:t xml:space="preserve"> | rel. Ellen Gracie</w:t>
      </w:r>
    </w:p>
    <w:p>
      <w:pPr>
        <w:ind w:left="288"/>
      </w:pPr>
      <w:r>
        <w:rPr>
          <w:color w:val="1E1E1E"/>
          <w:sz w:val="18"/>
        </w:rPr>
        <w:t>= RE 395.171 AgR, rel. min. Ellen Gracie, j. 24-11-2009, 2ª T, DJE de 11-12-2009</w:t>
      </w:r>
    </w:p>
    <w:p>
      <w:pPr>
        <w:ind w:left="288"/>
      </w:pPr>
      <w:r>
        <w:rPr>
          <w:color w:val="8C8C8C"/>
          <w:sz w:val="12"/>
        </w:rPr>
        <w:t>cf-art-233-par-unico-inc-I</w:t>
      </w:r>
      <w:r>
        <w:rPr>
          <w:color w:val="003CA0"/>
          <w:sz w:val="12"/>
        </w:rPr>
        <w:t xml:space="preserve"> | RE 423.625</w:t>
      </w:r>
      <w:r>
        <w:rPr>
          <w:color w:val="003CA0"/>
          <w:sz w:val="12"/>
        </w:rPr>
        <w:t xml:space="preserve"> | rel. Ricardo Lewandowski</w:t>
      </w:r>
    </w:p>
    <w:p>
      <w:pPr>
        <w:ind w:left="288"/>
      </w:pPr>
      <w:r>
        <w:rPr>
          <w:color w:val="1E1E1E"/>
          <w:sz w:val="18"/>
        </w:rPr>
        <w:t>(...) legítima a cobrança do ressarcimento do selo de controle do IPI desde que fundada em disciplina normativa legitimamente editada em momento anterior à revogação perpetrada pelo art. 25 do ADCT.</w:t>
      </w:r>
    </w:p>
    <w:p>
      <w:pPr>
        <w:ind w:left="288"/>
      </w:pPr>
      <w:r>
        <w:rPr>
          <w:b/>
          <w:color w:val="003CA0"/>
          <w:sz w:val="16"/>
        </w:rPr>
        <w:t>[RE 423.625 AgR-segundo, voto do rel. min. Ricardo Lewandowski, j. 27-3-2012, 2ª T, DJE de 14-5-2012.]</w:t>
      </w:r>
    </w:p>
    <w:p>
      <w:pPr>
        <w:ind w:left="288"/>
      </w:pPr>
      <w:r>
        <w:rPr>
          <w:color w:val="8C8C8C"/>
          <w:sz w:val="12"/>
        </w:rPr>
        <w:t>cf-art-233-par-unico-inc-I</w:t>
      </w:r>
      <w:r>
        <w:rPr>
          <w:color w:val="003CA0"/>
          <w:sz w:val="12"/>
        </w:rPr>
        <w:t xml:space="preserve"> | RE 272.872</w:t>
      </w:r>
      <w:r>
        <w:rPr>
          <w:color w:val="003CA0"/>
          <w:sz w:val="12"/>
        </w:rPr>
        <w:t xml:space="preserve"> | rel. Ilmar Galvão</w:t>
      </w:r>
    </w:p>
    <w:p>
      <w:pPr>
        <w:ind w:left="288"/>
      </w:pPr>
      <w:r>
        <w:rPr>
          <w:color w:val="1E1E1E"/>
          <w:sz w:val="18"/>
        </w:rPr>
        <w:t>O art. 25 do ADCT revogou todas as delegações de competência outorgadas ao Executivo, sobre a matéria reservada ao Congresso Nacional, mas não impediu a recepção dos diplomas legais legitimamente elaborados na vigência da Constituição anterior, desde que materialmente compatíveis com a nova Carta.</w:t>
      </w:r>
    </w:p>
    <w:p>
      <w:pPr>
        <w:ind w:left="288"/>
      </w:pPr>
      <w:r>
        <w:rPr>
          <w:b/>
          <w:color w:val="003CA0"/>
          <w:sz w:val="16"/>
        </w:rPr>
        <w:t>[RE 272.872, rel. min. Ilmar Galvão, j. 4-4-2001, P, DJ de 10-10-2003.]</w:t>
      </w:r>
    </w:p>
    <w:p>
      <w:pPr>
        <w:ind w:left="288"/>
      </w:pPr>
      <w:r>
        <w:rPr>
          <w:color w:val="8C8C8C"/>
          <w:sz w:val="12"/>
        </w:rPr>
        <w:t>cf-art-233-par-unico-inc-I</w:t>
      </w:r>
      <w:r>
        <w:rPr>
          <w:color w:val="003CA0"/>
          <w:sz w:val="12"/>
        </w:rPr>
        <w:t xml:space="preserve"> | RE 435.278</w:t>
      </w:r>
      <w:r>
        <w:rPr>
          <w:color w:val="003CA0"/>
          <w:sz w:val="12"/>
        </w:rPr>
        <w:t xml:space="preserve"> | rel. Ricardo Lewandowski</w:t>
      </w:r>
    </w:p>
    <w:p>
      <w:pPr>
        <w:ind w:left="288"/>
      </w:pPr>
      <w:r>
        <w:rPr>
          <w:color w:val="1E1E1E"/>
          <w:sz w:val="18"/>
        </w:rPr>
        <w:t>= RE 435.278 AgR, rel. min. Ricardo Lewandowski, j. 6-3-2012, 2ª T, DJE de 20-3-2012 Exportação de café. Quota de contribuição. DL 2.295/1986. Art. 25, I, do ADCT/1988. Trata-se de exigência fiscal legitimamente instituída pela União, sob o regime da EC 1/1969, para intervenção no domínio econômico, por meio de decreto-lei que foi recebido pela nova Carta, com ressalva apenas da delegação nele contida, em favor do extinto Instituto Brasileiro do Café, para fim de fixação da respectiva alíquota (art. 25, I, do ADCT), de resto, impossível de ser exercida, em face da extinção da autarquia.</w:t>
      </w:r>
    </w:p>
    <w:p>
      <w:pPr>
        <w:ind w:left="288"/>
      </w:pPr>
      <w:r>
        <w:rPr>
          <w:b/>
          <w:color w:val="003CA0"/>
          <w:sz w:val="16"/>
        </w:rPr>
        <w:t>[RE 191.229, rel. min. Ilmar Galvão, j. 4-6-1996, 1ª T, DJ de 13-9-1996.]</w:t>
      </w:r>
    </w:p>
    <w:p>
      <w:pPr>
        <w:ind w:left="288"/>
      </w:pPr>
      <w:r>
        <w:rPr>
          <w:color w:val="8C8C8C"/>
          <w:sz w:val="12"/>
        </w:rPr>
        <w:t>cf-art-233-par-1-inc-II</w:t>
      </w:r>
    </w:p>
    <w:p>
      <w:pPr>
        <w:ind w:left="288"/>
      </w:pPr>
      <w:r>
        <w:rPr>
          <w:color w:val="1E1E1E"/>
          <w:sz w:val="18"/>
        </w:rPr>
        <w:t>III - nas hipóteses definidas nos incisos I e II, terão plena validade os atos praticados na vigência dos respectivos decretos-lei, podendo o Congresso Nacional, se necessário, legislar sobre os efeitos deles remanescentes.</w:t>
      </w:r>
    </w:p>
    <w:p>
      <w:pPr>
        <w:ind w:left="288"/>
      </w:pPr>
      <w:r>
        <w:rPr>
          <w:color w:val="8C8C8C"/>
          <w:sz w:val="12"/>
        </w:rPr>
        <w:t>cf-art-233-par-2</w:t>
      </w:r>
    </w:p>
    <w:p>
      <w:pPr>
        <w:ind w:left="288"/>
      </w:pPr>
      <w:r>
        <w:rPr>
          <w:color w:val="1E1E1E"/>
          <w:sz w:val="18"/>
        </w:rPr>
        <w:t>Art. 26. No prazo de um ano a contar da promulgação da Constituição, o Congresso Nacional promoverá, através de comissão mista, exame analítico e pericial dos atos e fatos geradores do endividamento externo brasileiro.</w:t>
      </w:r>
    </w:p>
    <w:p>
      <w:pPr>
        <w:ind w:left="144"/>
      </w:pPr>
      <w:r>
        <w:rPr>
          <w:b/>
          <w:color w:val="B45A00"/>
          <w:sz w:val="16"/>
        </w:rPr>
        <w:t>CONTROLE CONCENTRADO</w:t>
      </w:r>
    </w:p>
    <w:p>
      <w:pPr>
        <w:ind w:left="288"/>
      </w:pPr>
      <w:r>
        <w:rPr>
          <w:color w:val="8C8C8C"/>
          <w:sz w:val="12"/>
        </w:rPr>
        <w:t>cf-art-233-par-2</w:t>
      </w:r>
      <w:r>
        <w:rPr>
          <w:color w:val="003CA0"/>
          <w:sz w:val="12"/>
        </w:rPr>
        <w:t xml:space="preserve"> | ADPF 59</w:t>
      </w:r>
      <w:r>
        <w:rPr>
          <w:color w:val="003CA0"/>
          <w:sz w:val="12"/>
        </w:rPr>
        <w:t xml:space="preserve"> | rel. Roberto Barroso</w:t>
      </w:r>
    </w:p>
    <w:p>
      <w:pPr>
        <w:ind w:left="288"/>
      </w:pPr>
      <w:r>
        <w:rPr>
          <w:color w:val="1E1E1E"/>
          <w:sz w:val="18"/>
        </w:rPr>
        <w:t>O art. 26 do ADCT, como disposição constitucional transitória que é, não pode ser considerado como preceito fundamental. Embora afirme que o dispositivo em questão tem o potencial de promover a soberania nacional, a dignidade da pessoa humana e a erradicação da pobreza, o agravante não demonstra de que forma a suposta omissão parlamentar determinaria prejuízo a esses fundamentos.</w:t>
      </w:r>
    </w:p>
    <w:p>
      <w:pPr>
        <w:ind w:left="288"/>
      </w:pPr>
      <w:r>
        <w:rPr>
          <w:b/>
          <w:color w:val="003CA0"/>
          <w:sz w:val="16"/>
        </w:rPr>
        <w:t>[ADPF 59 AgR, rel. min. Roberto Barroso, j. 21-6-2022, P, DJE de 30-6-2022.]</w:t>
      </w:r>
    </w:p>
    <w:p>
      <w:pPr>
        <w:ind w:left="288"/>
      </w:pPr>
      <w:r>
        <w:rPr>
          <w:color w:val="8C8C8C"/>
          <w:sz w:val="12"/>
        </w:rPr>
        <w:t>cf-art-233-par-2</w:t>
      </w:r>
    </w:p>
    <w:p>
      <w:pPr>
        <w:ind w:left="288"/>
      </w:pPr>
      <w:r>
        <w:rPr>
          <w:color w:val="1E1E1E"/>
          <w:sz w:val="18"/>
        </w:rPr>
        <w:t>Art. 27. O Superior Tribunal de Justiça será instalado sob a Presidência do Supremo Tribunal Federal.</w:t>
      </w:r>
    </w:p>
    <w:p>
      <w:pPr>
        <w:ind w:left="144"/>
      </w:pPr>
      <w:r>
        <w:rPr>
          <w:b/>
          <w:color w:val="B45A00"/>
          <w:sz w:val="16"/>
        </w:rPr>
        <w:t>JULGADOS CORRELATOS</w:t>
      </w:r>
    </w:p>
    <w:p>
      <w:pPr>
        <w:ind w:left="288"/>
      </w:pPr>
      <w:r>
        <w:rPr>
          <w:color w:val="8C8C8C"/>
          <w:sz w:val="12"/>
        </w:rPr>
        <w:t>cf-art-233-par-1</w:t>
      </w:r>
      <w:r>
        <w:rPr>
          <w:color w:val="003CA0"/>
          <w:sz w:val="12"/>
        </w:rPr>
        <w:t xml:space="preserve"> | AI 131.860</w:t>
      </w:r>
      <w:r>
        <w:rPr>
          <w:color w:val="003CA0"/>
          <w:sz w:val="12"/>
        </w:rPr>
        <w:t xml:space="preserve"> | rel. Néri da Silveira</w:t>
      </w:r>
    </w:p>
    <w:p>
      <w:pPr>
        <w:ind w:left="288"/>
      </w:pPr>
      <w:r>
        <w:rPr>
          <w:color w:val="1E1E1E"/>
          <w:sz w:val="18"/>
        </w:rPr>
        <w:t>Esta Carta Política não extinguiu o despacho presidencial de admissibilidade de recurso extraordinário, nas hipóteses de seu art. 102, III. Enquanto vigente o art. 27, § 1º, do ADCT, prosseguia em vigor, relativamente ao recurso extraordinário, o sistema precedente. A instalação do STJ ocorreu a 7-4-1989.</w:t>
      </w:r>
    </w:p>
    <w:p>
      <w:pPr>
        <w:ind w:left="288"/>
      </w:pPr>
      <w:r>
        <w:rPr>
          <w:b/>
          <w:color w:val="003CA0"/>
          <w:sz w:val="16"/>
        </w:rPr>
        <w:t>[AI 131.860 AgR, rel. min. Néri da Silveira, j. 16-2-1993, 2ª T, DJ de 21-5-1993.]</w:t>
      </w:r>
    </w:p>
    <w:p>
      <w:pPr>
        <w:ind w:left="288"/>
      </w:pPr>
      <w:r>
        <w:rPr>
          <w:color w:val="8C8C8C"/>
          <w:sz w:val="12"/>
        </w:rPr>
        <w:t>cf-art-233-par-1</w:t>
      </w:r>
      <w:r>
        <w:rPr>
          <w:color w:val="003CA0"/>
          <w:sz w:val="12"/>
        </w:rPr>
        <w:t xml:space="preserve"> | RE 123.507</w:t>
      </w:r>
      <w:r>
        <w:rPr>
          <w:color w:val="003CA0"/>
          <w:sz w:val="12"/>
        </w:rPr>
        <w:t xml:space="preserve"> | rel. Carlos Velloso</w:t>
      </w:r>
    </w:p>
    <w:p>
      <w:pPr>
        <w:ind w:left="288"/>
      </w:pPr>
      <w:r>
        <w:rPr>
          <w:color w:val="1E1E1E"/>
          <w:sz w:val="18"/>
        </w:rPr>
        <w:t>Constitucional. Processual civil. Recurso. Direito transitório. Ordem constitucional: substituição. Recurso especial interposto após a instalação do STJ. CF, art. 105, III. ADCT. Art. 27, § 1º. Recurso especial interposto sob o pálio da ordem nova, assim após a instalação do STJ: impossibilidade de serem invocados óbices próprios do recurso extraordinário em sentido estrito, inscritos no Regimento do STF [RISTF]. Não há cogitar, neste caso, da interposição de arguição de relevância, instituto processual inexistente na nova ordem constitucional. Apenas os recursos interpostos sob o pálio da ord</w:t>
      </w:r>
    </w:p>
    <w:p>
      <w:pPr>
        <w:ind w:left="288"/>
      </w:pPr>
      <w:r>
        <w:rPr>
          <w:b/>
          <w:color w:val="003CA0"/>
          <w:sz w:val="16"/>
        </w:rPr>
        <w:t>[RE 123.507, rel. min. Carlos Velloso, j. 7-5-1991, 2ª T, DJ de 19-2-1993.]</w:t>
      </w:r>
    </w:p>
    <w:p>
      <w:pPr>
        <w:ind w:left="288"/>
      </w:pPr>
      <w:r>
        <w:rPr>
          <w:color w:val="8C8C8C"/>
          <w:sz w:val="12"/>
        </w:rPr>
        <w:t>cf-art-233-par-1</w:t>
      </w:r>
      <w:r>
        <w:rPr>
          <w:color w:val="003CA0"/>
          <w:sz w:val="12"/>
        </w:rPr>
        <w:t xml:space="preserve"> | RHC 67.169</w:t>
      </w:r>
      <w:r>
        <w:rPr>
          <w:color w:val="003CA0"/>
          <w:sz w:val="12"/>
        </w:rPr>
        <w:t xml:space="preserve"> | rel. Sydney Sanches</w:t>
      </w:r>
    </w:p>
    <w:p>
      <w:pPr>
        <w:ind w:left="288"/>
      </w:pPr>
      <w:r>
        <w:rPr>
          <w:color w:val="1E1E1E"/>
          <w:sz w:val="18"/>
        </w:rPr>
        <w:t>A partir de 7-4-1989, data de sua instalação, compete ao STJ – e não mais ao STF – o julgamento de recurso ordinário contra acórdão de tribunal de justiça, denegatório de habeas corpus (art. 105, II, a, da CF de 1988, c/c § 1º do art. 27 do ADCT).</w:t>
      </w:r>
    </w:p>
    <w:p>
      <w:pPr>
        <w:ind w:left="288"/>
      </w:pPr>
      <w:r>
        <w:rPr>
          <w:b/>
          <w:color w:val="003CA0"/>
          <w:sz w:val="16"/>
        </w:rPr>
        <w:t>[RHC 67.169 QO, rel. min. Sydney Sanches, j. 12-4-1989, P, DJ de 19-5-1989.]</w:t>
      </w:r>
    </w:p>
    <w:p>
      <w:pPr>
        <w:ind w:left="288"/>
      </w:pPr>
      <w:r>
        <w:rPr>
          <w:color w:val="8C8C8C"/>
          <w:sz w:val="12"/>
        </w:rPr>
        <w:t>cf-art-233-par-1</w:t>
      </w:r>
      <w:r>
        <w:rPr>
          <w:color w:val="003CA0"/>
          <w:sz w:val="12"/>
        </w:rPr>
        <w:t xml:space="preserve"> | RP 1.496</w:t>
      </w:r>
      <w:r>
        <w:rPr>
          <w:color w:val="003CA0"/>
          <w:sz w:val="12"/>
        </w:rPr>
        <w:t xml:space="preserve"> | rel. Célio Borja</w:t>
      </w:r>
    </w:p>
    <w:p>
      <w:pPr>
        <w:ind w:left="288"/>
      </w:pPr>
      <w:r>
        <w:rPr>
          <w:color w:val="1E1E1E"/>
          <w:sz w:val="18"/>
        </w:rPr>
        <w:t>Com o advento da Constituição de 5-10-1988, o STF já não tem mais competência para processar e julgar representação cujo objetivo seja interpretar lei ou ato normativo federal ou estadual; e, como tal instituto jurídico inexiste na nova ordem constitucional, esta ação não se enquadra na prorrogação de competência determinada pelo art. 27, § 1º, do ADCT (...).</w:t>
      </w:r>
    </w:p>
    <w:p>
      <w:pPr>
        <w:ind w:left="288"/>
      </w:pPr>
      <w:r>
        <w:rPr>
          <w:b/>
          <w:color w:val="003CA0"/>
          <w:sz w:val="16"/>
        </w:rPr>
        <w:t>[Rp 1.496 QO, rel. min. Célio Borja, j. 20-10-1988, P, DJ de 25-11-1988.]</w:t>
      </w:r>
    </w:p>
    <w:p>
      <w:pPr>
        <w:ind w:left="288"/>
      </w:pPr>
      <w:r>
        <w:rPr>
          <w:color w:val="8C8C8C"/>
          <w:sz w:val="12"/>
        </w:rPr>
        <w:t>cf-art-233-par-6</w:t>
      </w:r>
      <w:r>
        <w:rPr>
          <w:color w:val="003CA0"/>
          <w:sz w:val="12"/>
        </w:rPr>
        <w:t xml:space="preserve"> | AR 1.302</w:t>
      </w:r>
      <w:r>
        <w:rPr>
          <w:color w:val="003CA0"/>
          <w:sz w:val="12"/>
        </w:rPr>
        <w:t xml:space="preserve"> | rel. Celso de Mello</w:t>
      </w:r>
    </w:p>
    <w:p>
      <w:pPr>
        <w:ind w:left="288"/>
      </w:pPr>
      <w:r>
        <w:rPr>
          <w:color w:val="1E1E1E"/>
          <w:sz w:val="18"/>
        </w:rPr>
        <w:t>O extinto TFR, enquanto instância de convergência da Justiça Federal comum no regime constitucional anterior, foi sucedido, sob a égide da Carta Política de 1988, tanto pelos TRFs quanto, excepcionalmente, pelo STJ. Ao TRF cabe, em regra, o desempenho das atribuições jurisdicionais cometidas ao extinto TFR, enquanto tribunal ordinário de apelação. Ao STJ, no entanto, que é tribunal de índole nacional – e que atua como instância judiciária de superposição na defesa do primado do direito federal comum –, outorgaram-se apenas algumas das primitivas competências deferidas ao extinto TFR. Disso dec</w:t>
      </w:r>
    </w:p>
    <w:p>
      <w:pPr>
        <w:ind w:left="288"/>
      </w:pPr>
      <w:r>
        <w:rPr>
          <w:b/>
          <w:color w:val="003CA0"/>
          <w:sz w:val="16"/>
        </w:rPr>
        <w:t>[AR 1.302, rel. p/ o ac. min. Celso de Mello, j. 3-6-1992, P, DJ de 17-9-1993.]</w:t>
      </w:r>
    </w:p>
    <w:p>
      <w:pPr>
        <w:ind w:left="288"/>
      </w:pPr>
      <w:r>
        <w:rPr>
          <w:color w:val="8C8C8C"/>
          <w:sz w:val="12"/>
        </w:rPr>
        <w:t>cf-art-233-par-6</w:t>
      </w:r>
    </w:p>
    <w:p>
      <w:pPr>
        <w:ind w:left="288"/>
      </w:pPr>
      <w:r>
        <w:rPr>
          <w:color w:val="1E1E1E"/>
          <w:sz w:val="18"/>
        </w:rPr>
        <w:t>§ 7º Até que se instalem os Tribunais Regionais Federais, o Tribunal Federal de Recursos exercerá a competência a eles atribuída em todo o território nacional, cabendo-lhe promover sua instalação e indicar os candidatos a todos os cargos da composição inicial, mediante lista tríplice, podendo desta constar juízes federais de qualquer região, observado o disposto no § 9º.</w:t>
      </w:r>
    </w:p>
    <w:p>
      <w:pPr>
        <w:ind w:left="144"/>
      </w:pPr>
      <w:r>
        <w:rPr>
          <w:b/>
          <w:color w:val="B45A00"/>
          <w:sz w:val="16"/>
        </w:rPr>
        <w:t>CONTROLE CONCENTRADO</w:t>
      </w:r>
    </w:p>
    <w:p>
      <w:pPr>
        <w:ind w:left="288"/>
      </w:pPr>
      <w:r>
        <w:rPr>
          <w:color w:val="8C8C8C"/>
          <w:sz w:val="12"/>
        </w:rPr>
        <w:t>cf-art-233-par-6</w:t>
      </w:r>
      <w:r>
        <w:rPr>
          <w:color w:val="003CA0"/>
          <w:sz w:val="12"/>
        </w:rPr>
        <w:t xml:space="preserve"> | ADI 25</w:t>
      </w:r>
      <w:r>
        <w:rPr>
          <w:color w:val="003CA0"/>
          <w:sz w:val="12"/>
        </w:rPr>
        <w:t xml:space="preserve"> | rel. Célio Borja</w:t>
      </w:r>
    </w:p>
    <w:p>
      <w:pPr>
        <w:ind w:left="288"/>
      </w:pPr>
      <w:r>
        <w:rPr>
          <w:color w:val="1E1E1E"/>
          <w:sz w:val="18"/>
        </w:rPr>
        <w:t>O disposto no § 7º do art. 27 do ADCT excepcionou o padrão fixado na parte permanente da Constituição, autorizando o então TFR a indicar, mediante lista tríplice, os candidatos a todos os cargos da composição inicial dos TRFs, inclusive os que devessem ser ocupados por advogados e membros do Ministério Público. Indicação dos órgãos representativos daquelas classes, em listas sêxtuplas, as quais seriam reduzidas a listas tríplices pelo TFR. Tese que não se ajusta ao comando abrangente da regra transitória.</w:t>
      </w:r>
    </w:p>
    <w:p>
      <w:pPr>
        <w:ind w:left="288"/>
      </w:pPr>
      <w:r>
        <w:rPr>
          <w:b/>
          <w:color w:val="003CA0"/>
          <w:sz w:val="16"/>
        </w:rPr>
        <w:t>[ADI 25, rel. min. Célio Borja, j. 17-5-1990, P, DJ de 8-6-1990.]</w:t>
      </w:r>
    </w:p>
    <w:p>
      <w:pPr>
        <w:ind w:left="288"/>
      </w:pPr>
      <w:r>
        <w:rPr>
          <w:color w:val="8C8C8C"/>
          <w:sz w:val="12"/>
        </w:rPr>
        <w:t>cf-art-233-par-9</w:t>
      </w:r>
    </w:p>
    <w:p>
      <w:pPr>
        <w:ind w:left="288"/>
      </w:pPr>
      <w:r>
        <w:rPr>
          <w:color w:val="1E1E1E"/>
          <w:sz w:val="18"/>
        </w:rPr>
        <w:t>§ 10. Compete à Justiça Federal julgar as ações nela propostas até a data da promulgação da Constituição, e aos Tribunais Regionais Federais bem como ao Superior Tribunal de Justiça julgar as ações rescisórias das decisões até então proferidas pela Justiça Federal, inclusive daquelas cuja matéria tenha passado à competência de outro ramo do Judiciário.</w:t>
      </w:r>
    </w:p>
    <w:p>
      <w:pPr>
        <w:ind w:left="144"/>
      </w:pPr>
      <w:r>
        <w:rPr>
          <w:b/>
          <w:color w:val="B45A00"/>
          <w:sz w:val="16"/>
        </w:rPr>
        <w:t>JULGADOS CORRELATOS</w:t>
      </w:r>
    </w:p>
    <w:p>
      <w:pPr>
        <w:ind w:left="288"/>
      </w:pPr>
      <w:r>
        <w:rPr>
          <w:color w:val="8C8C8C"/>
          <w:sz w:val="12"/>
        </w:rPr>
        <w:t>cf-art-233-par-9</w:t>
      </w:r>
      <w:r>
        <w:rPr>
          <w:color w:val="003CA0"/>
          <w:sz w:val="12"/>
        </w:rPr>
        <w:t xml:space="preserve"> | RE 170.802</w:t>
      </w:r>
      <w:r>
        <w:rPr>
          <w:color w:val="003CA0"/>
          <w:sz w:val="12"/>
        </w:rPr>
        <w:t xml:space="preserve"> | rel. Néri da Silveira</w:t>
      </w:r>
    </w:p>
    <w:p>
      <w:pPr>
        <w:ind w:left="288"/>
      </w:pPr>
      <w:r>
        <w:rPr>
          <w:color w:val="1E1E1E"/>
          <w:sz w:val="18"/>
        </w:rPr>
        <w:t>Não cabe recurso especial para o STJ, em matéria trabalhista, de decisão de TRF, no exercício da competência residual prevista no § 10 do art. 27 do ADCT da Constituição de 1988. Antes da Constituição de 1988, o TFR julgava, em Turmas, recursos ordinários e, pela seção competente, embargos de divergência das decisões de suas Turmas, quando entre si houvesse conflito, exaurindo-se, nessa Corte, a competência para o julgamento de feitos trabalhistas compreendidos no art. 110 da EC 1/1969, somente sendo interponível recurso extraordinário, para o STF, por ofensa à Constituição. Idêntica orientaçã</w:t>
      </w:r>
    </w:p>
    <w:p>
      <w:pPr>
        <w:ind w:left="288"/>
      </w:pPr>
      <w:r>
        <w:rPr>
          <w:b/>
          <w:color w:val="003CA0"/>
          <w:sz w:val="16"/>
        </w:rPr>
        <w:t>[RE 170.802, rel. min. Néri da Silveira, j. 18-4-1995, 2ª T, DJ de 19-12-1996.]</w:t>
      </w:r>
    </w:p>
    <w:p>
      <w:pPr>
        <w:ind w:left="288"/>
      </w:pPr>
      <w:r>
        <w:rPr>
          <w:color w:val="8C8C8C"/>
          <w:sz w:val="12"/>
        </w:rPr>
        <w:t>cf-art-233-par-9</w:t>
      </w:r>
      <w:r>
        <w:rPr>
          <w:color w:val="003CA0"/>
          <w:sz w:val="12"/>
        </w:rPr>
        <w:t xml:space="preserve"> | RE 147.555</w:t>
      </w:r>
      <w:r>
        <w:rPr>
          <w:color w:val="003CA0"/>
          <w:sz w:val="12"/>
        </w:rPr>
        <w:t xml:space="preserve"> | rel. Ilmar Galvão</w:t>
      </w:r>
    </w:p>
    <w:p>
      <w:pPr>
        <w:ind w:left="288"/>
      </w:pPr>
      <w:r>
        <w:rPr>
          <w:color w:val="1E1E1E"/>
          <w:sz w:val="18"/>
        </w:rPr>
        <w:t>Nas ações trabalhistas julgadas por juízes federais, seja por força da norma do art. 110 da Carta de 1969, seja no exercício da competência residual prevista no art. 27, § 10, do ADCT/1988, cabe ao STJ conhecer de recurso especial manifestado contra acórdão do TRF nos casos de contrariedade à lei federal. A competência, aí, é em razão do órgão que proferiu a decisão, e não da matéria nela versada.</w:t>
      </w:r>
    </w:p>
    <w:p>
      <w:pPr>
        <w:ind w:left="288"/>
      </w:pPr>
      <w:r>
        <w:rPr>
          <w:b/>
          <w:color w:val="003CA0"/>
          <w:sz w:val="16"/>
        </w:rPr>
        <w:t>[RE 147.555, rel. min. Ilmar Galvão, j. 7-6-1994, 1ª T, DJ de 3-2-1995.]</w:t>
      </w:r>
    </w:p>
    <w:p>
      <w:pPr>
        <w:ind w:left="288"/>
      </w:pPr>
      <w:r>
        <w:rPr>
          <w:color w:val="8C8C8C"/>
          <w:sz w:val="12"/>
        </w:rPr>
        <w:t>cf-art-233-par-9</w:t>
      </w:r>
      <w:r>
        <w:rPr>
          <w:color w:val="003CA0"/>
          <w:sz w:val="12"/>
        </w:rPr>
        <w:t xml:space="preserve"> | RE 101.126</w:t>
      </w:r>
      <w:r>
        <w:rPr>
          <w:color w:val="003CA0"/>
          <w:sz w:val="12"/>
        </w:rPr>
        <w:t xml:space="preserve"> | rel. Carlos Velloso</w:t>
      </w:r>
    </w:p>
    <w:p>
      <w:pPr>
        <w:ind w:left="288"/>
      </w:pPr>
      <w:r>
        <w:rPr>
          <w:color w:val="1E1E1E"/>
          <w:sz w:val="18"/>
        </w:rPr>
        <w:t>Competência. Fundação de direito público. Legião Brasileira de Assistência (LBA). Reclamação trabalhista. Competência da Justiça Federal para processar e julgar reclamação ajuizada contra a LBA, uma fundação de direito público. RE 101.126/RJ, CJ 6.650/RS, CJ 6.651/RS e CJ 6.683/RS. Competência inalterada, tendo em vista que o STF, interpretando o § 10 do art. 27 do ADCT, assentou que a expressão "ações nela propostas", constante do citado dispositivo constitucional, compreende os feitos ajuizados perante a Justiça Federal até a promulgação da CF/1988, e aqueles que, na Justiça Federal, deveria</w:t>
      </w:r>
    </w:p>
    <w:p>
      <w:pPr>
        <w:ind w:left="288"/>
      </w:pPr>
      <w:r>
        <w:rPr>
          <w:b/>
          <w:color w:val="003CA0"/>
          <w:sz w:val="16"/>
        </w:rPr>
        <w:t>[RE 118.656, rel. min. Carlos Velloso, j. 12-5-1992, 2ª T, DJ de 26-6-1992.]</w:t>
      </w:r>
    </w:p>
    <w:p>
      <w:pPr>
        <w:ind w:left="288"/>
      </w:pPr>
      <w:r>
        <w:rPr>
          <w:color w:val="8C8C8C"/>
          <w:sz w:val="12"/>
        </w:rPr>
        <w:t>cf-art-233-par-9</w:t>
      </w:r>
      <w:r>
        <w:rPr>
          <w:color w:val="003CA0"/>
          <w:sz w:val="12"/>
        </w:rPr>
        <w:t xml:space="preserve"> | rel. Célio Borja</w:t>
      </w:r>
    </w:p>
    <w:p>
      <w:pPr>
        <w:ind w:left="288"/>
      </w:pPr>
      <w:r>
        <w:rPr>
          <w:color w:val="1E1E1E"/>
          <w:sz w:val="18"/>
        </w:rPr>
        <w:t>Compete à Justiça Federal dirimir dissídios coletivos contra empresa pública, perante ela suscitados ou que devessem ter sido ali instaurados até a promulgação da nova Constituição. Exegese do art. 27, § 10, do ADCT, da CF/1988. Competência do Tribunal suscitante, que, como órgão de segunda instância da Justiça Federal, é sucessor de parte da competência do extinto TFR.</w:t>
      </w:r>
    </w:p>
    <w:p>
      <w:pPr>
        <w:ind w:left="288"/>
      </w:pPr>
      <w:r>
        <w:rPr>
          <w:b/>
          <w:color w:val="003CA0"/>
          <w:sz w:val="16"/>
        </w:rPr>
        <w:t>[CJ 6.974, rel. min. Célio Borja, j. 3-4-1991, P, DJ de 17-5-1991.]</w:t>
      </w:r>
    </w:p>
    <w:p>
      <w:pPr>
        <w:ind w:left="288"/>
      </w:pPr>
      <w:r>
        <w:rPr>
          <w:color w:val="8C8C8C"/>
          <w:sz w:val="12"/>
        </w:rPr>
        <w:t>cf-art-233-par-9</w:t>
      </w:r>
      <w:r>
        <w:rPr>
          <w:color w:val="003CA0"/>
          <w:sz w:val="12"/>
        </w:rPr>
        <w:t xml:space="preserve"> | rel. Sydney Sanches</w:t>
      </w:r>
    </w:p>
    <w:p>
      <w:pPr>
        <w:ind w:left="288"/>
      </w:pPr>
      <w:r>
        <w:rPr>
          <w:color w:val="1E1E1E"/>
          <w:sz w:val="18"/>
        </w:rPr>
        <w:t>Em face do disposto no art. 125, I, da CF de 1967/1969 e no § 10 do art. 27 do ADCT da CF de 1988, compete à Justiça Federal julgar embargos de terceiro opostos por empresa pública federal à execução de julgado trabalhista, proferido em processo em que foram partes empregado de empresa particular e esta, ainda que tais embargos tenham sido inicialmente apresentados à Justiça do Trabalho.</w:t>
      </w:r>
    </w:p>
    <w:p>
      <w:pPr>
        <w:ind w:left="288"/>
      </w:pPr>
      <w:r>
        <w:rPr>
          <w:b/>
          <w:color w:val="003CA0"/>
          <w:sz w:val="16"/>
        </w:rPr>
        <w:t>[CJ 6.902, rel. min. Sydney Sanches, j. 14-9-1989, P, DJ de 6-10-1989.]</w:t>
      </w:r>
    </w:p>
    <w:p>
      <w:pPr>
        <w:ind w:left="288"/>
      </w:pPr>
      <w:r>
        <w:rPr>
          <w:color w:val="8C8C8C"/>
          <w:sz w:val="12"/>
        </w:rPr>
        <w:t>cf-art-233-par-9</w:t>
      </w:r>
      <w:r>
        <w:rPr>
          <w:color w:val="003CA0"/>
          <w:sz w:val="12"/>
        </w:rPr>
        <w:t xml:space="preserve"> | rel. Sydney Sanches</w:t>
      </w:r>
    </w:p>
    <w:p>
      <w:pPr>
        <w:ind w:left="288"/>
      </w:pPr>
      <w:r>
        <w:rPr>
          <w:color w:val="1E1E1E"/>
          <w:sz w:val="18"/>
        </w:rPr>
        <w:t>Estado estrangeiro. Imunidade judiciária. Causa trabalhista. Não há imunidade de jurisdição para o Estado estrangeiro, em causa de natureza trabalhista. Em princípio, esta deve ser processada e julgada pela Justiça do Trabalho, se ajuizada depois do advento da CF de 1988 (art. 114). Na hipótese, porém, permanece a competência da Justiça Federal, em face do disposto no § 10 do art. 27 do ADCT da CF de 1988, c/c o art. 125, II, da EC 1/1969. Recurso ordinário conhecido e provido pelo STF para se afastar a imunidade de jurisdição reconhecida pelo juízo federal de primeiro grau, que deve prossegui</w:t>
      </w:r>
    </w:p>
    <w:p>
      <w:pPr>
        <w:ind w:left="288"/>
      </w:pPr>
      <w:r>
        <w:rPr>
          <w:b/>
          <w:color w:val="003CA0"/>
          <w:sz w:val="16"/>
        </w:rPr>
        <w:t>[ACi 9.696, rel. min. Sydney Sanches, j. 31-5-1989, P, DJ de 12-10-1990.]</w:t>
      </w:r>
    </w:p>
    <w:p>
      <w:pPr>
        <w:ind w:left="288"/>
      </w:pPr>
      <w:r>
        <w:rPr>
          <w:color w:val="8C8C8C"/>
          <w:sz w:val="12"/>
        </w:rPr>
        <w:t>cf-art-233-par-9</w:t>
      </w:r>
      <w:r>
        <w:rPr>
          <w:color w:val="003CA0"/>
          <w:sz w:val="12"/>
        </w:rPr>
        <w:t xml:space="preserve"> | rel. Francisco Rezek</w:t>
      </w:r>
    </w:p>
    <w:p>
      <w:pPr>
        <w:ind w:left="288"/>
      </w:pPr>
      <w:r>
        <w:rPr>
          <w:color w:val="1E1E1E"/>
          <w:sz w:val="18"/>
        </w:rPr>
        <w:t>Reclamação trabalhista movida contra o CNPq [Conselho Nacional de Desenvolvimento Científico e Tecnológico]. Conflito de jurisdição, negativo, entre a Justiça Trabalhista e a Federal comum. Competência da Justiça Federal, por força do art. 27, § 10, do ADCT de 1988.</w:t>
      </w:r>
    </w:p>
    <w:p>
      <w:pPr>
        <w:ind w:left="288"/>
      </w:pPr>
      <w:r>
        <w:rPr>
          <w:b/>
          <w:color w:val="003CA0"/>
          <w:sz w:val="16"/>
        </w:rPr>
        <w:t>[CJ 6.930, rel. min. Francisco Rezek, j. 27-4-1989, P, DJ de 16-6-1989.]</w:t>
      </w:r>
    </w:p>
    <w:p>
      <w:pPr>
        <w:ind w:left="288"/>
      </w:pPr>
      <w:r>
        <w:rPr>
          <w:color w:val="8C8C8C"/>
          <w:sz w:val="12"/>
        </w:rPr>
        <w:t>cf-art-233-par-9</w:t>
      </w:r>
      <w:r>
        <w:rPr>
          <w:color w:val="003CA0"/>
          <w:sz w:val="12"/>
        </w:rPr>
        <w:t xml:space="preserve"> | RHC 66.914</w:t>
      </w:r>
      <w:r>
        <w:rPr>
          <w:color w:val="003CA0"/>
          <w:sz w:val="12"/>
        </w:rPr>
        <w:t xml:space="preserve"> | rel. Aldir Passarinho</w:t>
      </w:r>
    </w:p>
    <w:p>
      <w:pPr>
        <w:ind w:left="288"/>
      </w:pPr>
      <w:r>
        <w:rPr>
          <w:color w:val="1E1E1E"/>
          <w:sz w:val="18"/>
        </w:rPr>
        <w:t>Crime contra o sistema financeiro. Competência: Lei 7.492/1986. Art. 109, VI, da CF, e § 10 do art. 27 do ADCT. Em se tratando, em tese, de crime previsto no art. 19 da Lei 7.492/1986, lei esta que trata dos delitos praticados contra o sistema financeiro nacional, a competência para seu processamento e julgamento passou a ser da Justiça Federal, ante o disposto no art. 109, VI, da atual Constituição, e considerando, ainda, que, no caso concreto, cabe também a norma do § 10 do art. 27 do ADCT da nova Carta Política.</w:t>
      </w:r>
    </w:p>
    <w:p>
      <w:pPr>
        <w:ind w:left="288"/>
      </w:pPr>
      <w:r>
        <w:rPr>
          <w:b/>
          <w:color w:val="003CA0"/>
          <w:sz w:val="16"/>
        </w:rPr>
        <w:t>[RHC 66.914, rel. min. Aldir Passarinho, j. 13-3-1989, 2ª T, DJ de 14-4-1989.]</w:t>
      </w:r>
    </w:p>
    <w:p>
      <w:pPr>
        <w:ind w:left="288"/>
      </w:pPr>
      <w:r>
        <w:rPr>
          <w:color w:val="8C8C8C"/>
          <w:sz w:val="12"/>
        </w:rPr>
        <w:t>cf-art-233-par-9</w:t>
      </w:r>
    </w:p>
    <w:p>
      <w:pPr>
        <w:ind w:left="288"/>
      </w:pPr>
      <w:r>
        <w:rPr>
          <w:color w:val="1E1E1E"/>
          <w:sz w:val="18"/>
        </w:rPr>
        <w:t>Art. 28. Os juízes federais de que trata o art. 123, § 2º, da Constituição de 1967, com a redação dada pela Emenda Constitucional nº 7, de 1977, ficam investidos na titularidade de varas na seção judiciária para a qual tenham sido nomeados ou designados; na inexistência de vagas, proceder-se-á ao desdobramento das varas existentes.</w:t>
      </w:r>
    </w:p>
    <w:p>
      <w:pPr>
        <w:ind w:left="288"/>
      </w:pPr>
      <w:r>
        <w:rPr>
          <w:color w:val="8C8C8C"/>
          <w:sz w:val="12"/>
        </w:rPr>
        <w:t>cf-art-233-par-unico</w:t>
      </w:r>
    </w:p>
    <w:p>
      <w:pPr>
        <w:ind w:left="288"/>
      </w:pPr>
      <w:r>
        <w:rPr>
          <w:color w:val="1E1E1E"/>
          <w:sz w:val="18"/>
        </w:rPr>
        <w:t>Art. 29. Enquanto não aprovadas as leis complementares relativas ao Ministério Público e à Advocacia-Geral da União, o Ministério Público Federal, a Procuradoria-Geral da Fazenda Nacional, as Consultorias Jurídicas dos Ministérios, as Procuradorias e Departamentos Jurídicos de autarquias federais com representação própria e os membros das Procuradorias das Universidades fundacionais públicas continuarão a exercer suas atividades na área das respectivas atribuições.</w:t>
      </w:r>
    </w:p>
    <w:p>
      <w:pPr>
        <w:ind w:left="288"/>
      </w:pPr>
      <w:r>
        <w:rPr>
          <w:color w:val="8C8C8C"/>
          <w:sz w:val="12"/>
        </w:rPr>
        <w:t>cf-art-233-par-unico</w:t>
      </w:r>
      <w:r>
        <w:rPr>
          <w:color w:val="003CA0"/>
          <w:sz w:val="12"/>
        </w:rPr>
        <w:t xml:space="preserve"> | RE 120.111</w:t>
      </w:r>
      <w:r>
        <w:rPr>
          <w:color w:val="003CA0"/>
          <w:sz w:val="12"/>
        </w:rPr>
        <w:t xml:space="preserve"> | rel. Octavio Gallotti</w:t>
      </w:r>
    </w:p>
    <w:p>
      <w:pPr>
        <w:ind w:left="288"/>
      </w:pPr>
      <w:r>
        <w:rPr>
          <w:color w:val="1E1E1E"/>
          <w:sz w:val="18"/>
        </w:rPr>
        <w:t>É válido o recurso interposto por membro do MPF, no exercício da atribuição transitória de defesa da União (art. 29 do ADCT), contra acórdão proferido em mandado de segurança, no qual ele oficiara na qualidade de fiscal da lei.</w:t>
      </w:r>
    </w:p>
    <w:p>
      <w:pPr>
        <w:ind w:left="288"/>
      </w:pPr>
      <w:r>
        <w:rPr>
          <w:b/>
          <w:color w:val="003CA0"/>
          <w:sz w:val="16"/>
        </w:rPr>
        <w:t>[RE 120.111, rel. min. Octavio Gallotti, j. 5-3-1991, 1ª T, DJ de 12-3-1993.]</w:t>
      </w:r>
    </w:p>
    <w:p>
      <w:pPr>
        <w:ind w:left="144"/>
      </w:pPr>
      <w:r>
        <w:rPr>
          <w:b/>
          <w:color w:val="B45A00"/>
          <w:sz w:val="16"/>
        </w:rPr>
        <w:t>CONTROLE CONCENTRADO</w:t>
      </w:r>
    </w:p>
    <w:p>
      <w:pPr>
        <w:ind w:left="288"/>
      </w:pPr>
      <w:r>
        <w:rPr>
          <w:color w:val="8C8C8C"/>
          <w:sz w:val="12"/>
        </w:rPr>
        <w:t>cf-art-233-par-3</w:t>
      </w:r>
      <w:r>
        <w:rPr>
          <w:color w:val="003CA0"/>
          <w:sz w:val="12"/>
        </w:rPr>
        <w:t xml:space="preserve"> | ADI 2.836</w:t>
      </w:r>
      <w:r>
        <w:rPr>
          <w:color w:val="003CA0"/>
          <w:sz w:val="12"/>
        </w:rPr>
        <w:t xml:space="preserve"> | rel. Eros Grau</w:t>
      </w:r>
    </w:p>
    <w:p>
      <w:pPr>
        <w:ind w:left="288"/>
      </w:pPr>
      <w:r>
        <w:rPr>
          <w:color w:val="1E1E1E"/>
          <w:sz w:val="18"/>
        </w:rPr>
        <w:t>Ação direta de inconstitucionalidade. LC 106/2003. Lei orgânica do Ministério Público do Estado do Rio de Janeiro. Art. 9º, § 1º, c, e art. 165. Desincompatibilização dos candidatos ao cargo de procurador-geral de justiça. O art. 9º da lei exige a desincompatibilização dos candidatos ao cargo de procurador-geral de justiça que estejam ocupando qualquer outro cargo ou função de confiança. A argumentação do requerente, de que o aludido preceito permitiria o exercício de cargos e funções não afetos à área de atuação do Ministério Público, não merece acolhida. O art. 165 da lei orgânica do Ministé</w:t>
      </w:r>
    </w:p>
    <w:p>
      <w:pPr>
        <w:ind w:left="288"/>
      </w:pPr>
      <w:r>
        <w:rPr>
          <w:b/>
          <w:color w:val="003CA0"/>
          <w:sz w:val="16"/>
        </w:rPr>
        <w:t>[ADI 2.836, rel. min. Eros Grau, j. 17-11-2005, P, DJ de 9-12-2005.]</w:t>
      </w:r>
    </w:p>
    <w:p>
      <w:pPr>
        <w:ind w:left="144"/>
      </w:pPr>
      <w:r>
        <w:rPr>
          <w:b/>
          <w:color w:val="B45A00"/>
          <w:sz w:val="16"/>
        </w:rPr>
        <w:t>JULGADOS CORRELATOS</w:t>
      </w:r>
    </w:p>
    <w:p>
      <w:pPr>
        <w:ind w:left="288"/>
      </w:pPr>
      <w:r>
        <w:rPr>
          <w:color w:val="8C8C8C"/>
          <w:sz w:val="12"/>
        </w:rPr>
        <w:t>cf-art-233-par-3</w:t>
      </w:r>
      <w:r>
        <w:rPr>
          <w:color w:val="003CA0"/>
          <w:sz w:val="12"/>
        </w:rPr>
        <w:t xml:space="preserve"> | RE 218.514</w:t>
      </w:r>
      <w:r>
        <w:rPr>
          <w:color w:val="003CA0"/>
          <w:sz w:val="12"/>
        </w:rPr>
        <w:t xml:space="preserve"> | rel. Carlos Velloso</w:t>
      </w:r>
    </w:p>
    <w:p>
      <w:pPr>
        <w:ind w:left="288"/>
      </w:pPr>
      <w:r>
        <w:rPr>
          <w:color w:val="1E1E1E"/>
          <w:sz w:val="18"/>
        </w:rPr>
        <w:t>MPF: procurador da República, regime anterior à CF/1988: opção. ADCT/1988, art. 29, § 3º. CF, art. 128, § 5º, I e II. O direito à opção pelo regime anterior à CF/1988 foi assegurado ao membro do Ministério Público admitido antes da promulgação da Constituição, apenas. ADCT/1988, art. 29, § 3º. A demora na aprovação e promulgação da lei complementar relativa à AGU não gerou direito de opção aos membros do Ministério Público admitidos já no novo regime instituído pela CF/1988, com garantias e vedações próprias da magistratura: CF, art. 128, § 5º, I e II.</w:t>
      </w:r>
    </w:p>
    <w:p>
      <w:pPr>
        <w:ind w:left="288"/>
      </w:pPr>
      <w:r>
        <w:rPr>
          <w:b/>
          <w:color w:val="003CA0"/>
          <w:sz w:val="16"/>
        </w:rPr>
        <w:t>[RE 218.514, rel. min. Carlos Velloso, j. 15-12-1998, 2ª T, DJ de 12-3-1999.]</w:t>
      </w:r>
    </w:p>
    <w:p>
      <w:pPr>
        <w:ind w:left="288"/>
      </w:pPr>
      <w:r>
        <w:rPr>
          <w:color w:val="8C8C8C"/>
          <w:sz w:val="12"/>
        </w:rPr>
        <w:t>cf-art-233-par-3</w:t>
      </w:r>
      <w:r>
        <w:rPr>
          <w:color w:val="003CA0"/>
          <w:sz w:val="12"/>
        </w:rPr>
        <w:t xml:space="preserve"> | RE 127.246</w:t>
      </w:r>
      <w:r>
        <w:rPr>
          <w:color w:val="003CA0"/>
          <w:sz w:val="12"/>
        </w:rPr>
        <w:t xml:space="preserve"> | rel. Moreira Alves</w:t>
      </w:r>
    </w:p>
    <w:p>
      <w:pPr>
        <w:ind w:left="288"/>
      </w:pPr>
      <w:r>
        <w:rPr>
          <w:color w:val="1E1E1E"/>
          <w:sz w:val="18"/>
        </w:rPr>
        <w:t>Em se tratando de membro de Ministério Público, a relatividade dessa incompatibilidade é tão frágil que a Constituição não se limitou a admitir uma vedação excepcionável por lei, mas a tornou ainda mais tênue com o disposto no  § 3º do art. 29 do ADCT, o qual reza: "Poderá optar pelo regime anterior, no que diz respeito às garantias e vantagens, o membro do Ministério Público admitido antes da promulgação da Constituição, observando-se, quanto às vedações, a situação jurídica na data desta". A única exegese admissível para dar sentido plausível a essa frase final desse parágrafo será a de cons</w:t>
      </w:r>
    </w:p>
    <w:p>
      <w:pPr>
        <w:ind w:left="288"/>
      </w:pPr>
      <w:r>
        <w:rPr>
          <w:b/>
          <w:color w:val="003CA0"/>
          <w:sz w:val="16"/>
        </w:rPr>
        <w:t>[RE 127.246, rel. min. Moreira Alves, j. 10-4-1991, P, DJ de 19-4-1996.]</w:t>
      </w:r>
    </w:p>
    <w:p>
      <w:pPr>
        <w:ind w:left="288"/>
      </w:pPr>
      <w:r>
        <w:rPr>
          <w:color w:val="8C8C8C"/>
          <w:sz w:val="12"/>
        </w:rPr>
        <w:t>cf-art-233-par-3</w:t>
      </w:r>
      <w:r>
        <w:rPr>
          <w:color w:val="003CA0"/>
          <w:sz w:val="12"/>
        </w:rPr>
        <w:t xml:space="preserve"> | ADPF 388</w:t>
      </w:r>
      <w:r>
        <w:rPr>
          <w:color w:val="003CA0"/>
          <w:sz w:val="12"/>
        </w:rPr>
        <w:t xml:space="preserve"> | rel. Gilmar Mendes</w:t>
      </w:r>
    </w:p>
    <w:p>
      <w:pPr>
        <w:ind w:left="288"/>
      </w:pPr>
      <w:r>
        <w:rPr>
          <w:color w:val="1E1E1E"/>
          <w:sz w:val="18"/>
        </w:rPr>
        <w:t>Vide ADPF 388, rel. min. Gilmar Mendes, j. 9-3-2016, P, DJE de 1º-8-2016</w:t>
      </w:r>
    </w:p>
    <w:p>
      <w:pPr>
        <w:ind w:left="288"/>
      </w:pPr>
      <w:r>
        <w:rPr>
          <w:color w:val="8C8C8C"/>
          <w:sz w:val="12"/>
        </w:rPr>
        <w:t>cf-art-233-par-4</w:t>
      </w:r>
      <w:r>
        <w:rPr>
          <w:color w:val="003CA0"/>
          <w:sz w:val="12"/>
        </w:rPr>
        <w:t xml:space="preserve"> | MS 21.168</w:t>
      </w:r>
      <w:r>
        <w:rPr>
          <w:color w:val="003CA0"/>
          <w:sz w:val="12"/>
        </w:rPr>
        <w:t xml:space="preserve"> | rel. Sepúlveda Pertence</w:t>
      </w:r>
    </w:p>
    <w:p>
      <w:pPr>
        <w:ind w:left="288"/>
      </w:pPr>
      <w:r>
        <w:rPr>
          <w:color w:val="1E1E1E"/>
          <w:sz w:val="18"/>
        </w:rPr>
        <w:t>MPT: substitutos de procurador: antiguidade na carreira a partir da vigência do art. 29, § 4º, ADCT/1988 – que os integrou na carreira –, para o efeito de concorrerem à eleição da lista sêxtupla de candidatos à respectiva cota dos tribunais do trabalho, nos termos do art. 94 da Constituição.</w:t>
      </w:r>
    </w:p>
    <w:p>
      <w:pPr>
        <w:ind w:left="288"/>
      </w:pPr>
      <w:r>
        <w:rPr>
          <w:b/>
          <w:color w:val="003CA0"/>
          <w:sz w:val="16"/>
        </w:rPr>
        <w:t>[MS 21.168, rel. min. Sepúlveda Pertence, j. 26-6-1994, P, DJ de 16-9-1994.]</w:t>
      </w:r>
    </w:p>
    <w:p>
      <w:pPr>
        <w:ind w:left="288"/>
      </w:pPr>
      <w:r>
        <w:rPr>
          <w:color w:val="8C8C8C"/>
          <w:sz w:val="12"/>
        </w:rPr>
        <w:t>cf-art-233-par-5</w:t>
      </w:r>
      <w:r>
        <w:rPr>
          <w:color w:val="003CA0"/>
          <w:sz w:val="12"/>
        </w:rPr>
        <w:t xml:space="preserve"> | RE 290.929</w:t>
      </w:r>
      <w:r>
        <w:rPr>
          <w:color w:val="003CA0"/>
          <w:sz w:val="12"/>
        </w:rPr>
        <w:t xml:space="preserve"> | rel. Sepúlveda Pertence</w:t>
      </w:r>
    </w:p>
    <w:p>
      <w:pPr>
        <w:ind w:left="288"/>
      </w:pPr>
      <w:r>
        <w:rPr>
          <w:color w:val="1E1E1E"/>
          <w:sz w:val="18"/>
        </w:rPr>
        <w:t>Execução fiscal: ITR: legitimidade ativa do Incra. Firme o entendimento do STF no sentido de que, de acordo com o art. 29, § 5º, do ADCT/1988, é admissível a delegação pela Procuradoria-Geral da Fazenda Nacional à Procuradoria Jurídica do Incra da prerrogativa para a execução da dívida ativa desta autarquia.</w:t>
      </w:r>
    </w:p>
    <w:p>
      <w:pPr>
        <w:ind w:left="288"/>
      </w:pPr>
      <w:r>
        <w:rPr>
          <w:b/>
          <w:color w:val="003CA0"/>
          <w:sz w:val="16"/>
        </w:rPr>
        <w:t>[RE 290.929 AgR, rel. min. Sepúlveda Pertence, j. 13-8-2004, 1ª T, DJ de 10-9-2004.]</w:t>
      </w:r>
    </w:p>
    <w:p>
      <w:pPr>
        <w:ind w:left="288"/>
      </w:pPr>
      <w:r>
        <w:rPr>
          <w:color w:val="8C8C8C"/>
          <w:sz w:val="12"/>
        </w:rPr>
        <w:t>cf-art-233-par-5</w:t>
      </w:r>
    </w:p>
    <w:p>
      <w:pPr>
        <w:ind w:left="288"/>
      </w:pPr>
      <w:r>
        <w:rPr>
          <w:color w:val="1E1E1E"/>
          <w:sz w:val="18"/>
        </w:rPr>
        <w:t>Art. 30. A legislação que criar a justiça de paz manterá os atuais juízes de paz até a posse dos novos titulares, assegurando-lhes os direitos e atribuições conferidos a estes, e designará o dia para a eleição prevista no art. 98, II, da Constituição. Art. 31. Serão estatizadas as serventias do foro judicial, assim definidas em lei, respeitados os direitos dos atuais titulares.</w:t>
      </w:r>
    </w:p>
    <w:p>
      <w:pPr>
        <w:ind w:left="144"/>
      </w:pPr>
      <w:r>
        <w:rPr>
          <w:b/>
          <w:color w:val="B45A00"/>
          <w:sz w:val="16"/>
        </w:rPr>
        <w:t>CONTROLE CONCENTRADO</w:t>
      </w:r>
    </w:p>
    <w:p>
      <w:pPr>
        <w:ind w:left="288"/>
      </w:pPr>
      <w:r>
        <w:rPr>
          <w:color w:val="8C8C8C"/>
          <w:sz w:val="12"/>
        </w:rPr>
        <w:t>cf-art-233-par-5</w:t>
      </w:r>
      <w:r>
        <w:rPr>
          <w:color w:val="003CA0"/>
          <w:sz w:val="12"/>
        </w:rPr>
        <w:t xml:space="preserve"> | ADI 3.245</w:t>
      </w:r>
      <w:r>
        <w:rPr>
          <w:color w:val="003CA0"/>
          <w:sz w:val="12"/>
        </w:rPr>
        <w:t xml:space="preserve"> | rel. Marco Aurélio</w:t>
      </w:r>
    </w:p>
    <w:p>
      <w:pPr>
        <w:ind w:left="288"/>
      </w:pPr>
      <w:r>
        <w:rPr>
          <w:color w:val="1E1E1E"/>
          <w:sz w:val="18"/>
        </w:rPr>
        <w:t xml:space="preserve">Inconstitucionalidade de norma complementar estadual que impõe aos atuais ocupantes de serventias mistas a escolha entre cargo no Poder Judiciário e titularidade de serventia extrajudicial. (...) Ação julgada parcialmente procedente para interpretar o art. 8º da Lei Complementar 68/2003 do Estado do Maranhão conforme a Constituição e assentar que a opção prevista no dispositivo configura faculdade conferida ao serventuário e aplica-se tão somente àqueles que eram “titulares” das serventias judiciais, exercidas em caráter privado, em 5 de outubro de 1988, não servindo para convalidar situações </w:t>
      </w:r>
    </w:p>
    <w:p>
      <w:pPr>
        <w:ind w:left="288"/>
      </w:pPr>
      <w:r>
        <w:rPr>
          <w:b/>
          <w:color w:val="003CA0"/>
          <w:sz w:val="16"/>
        </w:rPr>
        <w:t>[ADI 3.245, rel. min. Marco Aurélio, red. do ac. min. Gilmar Mendes, j. 21.11.2023, P, DJE de 20.02.2024.]</w:t>
      </w:r>
    </w:p>
    <w:p>
      <w:pPr>
        <w:ind w:left="288"/>
      </w:pPr>
      <w:r>
        <w:rPr>
          <w:color w:val="8C8C8C"/>
          <w:sz w:val="12"/>
        </w:rPr>
        <w:t>cf-art-233-par-5</w:t>
      </w:r>
      <w:r>
        <w:rPr>
          <w:color w:val="003CA0"/>
          <w:sz w:val="12"/>
        </w:rPr>
        <w:t xml:space="preserve"> | ADI 2.916</w:t>
      </w:r>
      <w:r>
        <w:rPr>
          <w:color w:val="003CA0"/>
          <w:sz w:val="12"/>
        </w:rPr>
        <w:t xml:space="preserve"> | rel. Dias Toffoli</w:t>
      </w:r>
    </w:p>
    <w:p>
      <w:pPr>
        <w:ind w:left="288"/>
      </w:pPr>
      <w:r>
        <w:rPr>
          <w:color w:val="1E1E1E"/>
          <w:sz w:val="18"/>
        </w:rPr>
        <w:t>Com o advento do texto constitucional de 1988, o regime jurídico misto das serventias judiciais - auxiliares dos órgãos do Poder Judiciário - que vigia no ordenamento anterior foi suplantado, de forma a imperar um regramento estritamente público sobre a atividade. A parcela restante dos cartórios submetidos a regramento privado foi, ou deveria ser, a partir de então, estatizada e integrada à estrutura organizacional dos tribunais de justiça, por força do art. 31 do Ato das Disposições Constitucionais Transitórias. A norma estadual faz referência ao aproveitamento ‘dos atuais titulares e dos Es</w:t>
      </w:r>
    </w:p>
    <w:p>
      <w:pPr>
        <w:ind w:left="288"/>
      </w:pPr>
      <w:r>
        <w:rPr>
          <w:b/>
          <w:color w:val="003CA0"/>
          <w:sz w:val="16"/>
        </w:rPr>
        <w:t>[ADI 1.498, rel. min. Ilmar Galvão, j. 7-11-2002, P, DJ de 13-12-2002.]</w:t>
      </w:r>
    </w:p>
    <w:p>
      <w:pPr>
        <w:ind w:left="144"/>
      </w:pPr>
      <w:r>
        <w:rPr>
          <w:b/>
          <w:color w:val="B45A00"/>
          <w:sz w:val="16"/>
        </w:rPr>
        <w:t>JULGADOS CORRELATOS</w:t>
      </w:r>
    </w:p>
    <w:p>
      <w:pPr>
        <w:ind w:left="288"/>
      </w:pPr>
      <w:r>
        <w:rPr>
          <w:color w:val="8C8C8C"/>
          <w:sz w:val="12"/>
        </w:rPr>
        <w:t>cf-art-233-par-5</w:t>
      </w:r>
      <w:r>
        <w:rPr>
          <w:color w:val="003CA0"/>
          <w:sz w:val="12"/>
        </w:rPr>
        <w:t xml:space="preserve"> | MS 28.419</w:t>
      </w:r>
      <w:r>
        <w:rPr>
          <w:color w:val="003CA0"/>
          <w:sz w:val="12"/>
        </w:rPr>
        <w:t xml:space="preserve"> | rel. Dias Toffoli</w:t>
      </w:r>
    </w:p>
    <w:p>
      <w:pPr>
        <w:ind w:left="288"/>
      </w:pPr>
      <w:r>
        <w:rPr>
          <w:color w:val="1E1E1E"/>
          <w:sz w:val="18"/>
        </w:rPr>
        <w:t xml:space="preserve">A CF/88 trouxe duas ordens claras a serem aplicadas às serventias: (i) serventia extrajudicial deveria ser delegada (art. 236, caput), salvo se, antes do texto constitucional, já fosse oficializada, quando então poderia assim permanecer (e, nesse caso, seriam respeitados os direitos dos servidores dela ocupantes – art. 32, do ADCT); e (ii) serventia judicial deveria ser oficializada e, no caso de antes da CF/88 ter sido ela delegada a particular, seriam respeitados os direitos de seu eventual titular (art. 31, do ADCT). No caso dos autos, sob a égide da Constituição de 1967 – antes, portanto, </w:t>
      </w:r>
    </w:p>
    <w:p>
      <w:pPr>
        <w:ind w:left="288"/>
      </w:pPr>
      <w:r>
        <w:rPr>
          <w:b/>
          <w:color w:val="003CA0"/>
          <w:sz w:val="16"/>
        </w:rPr>
        <w:t>[MS 28.419, rel. min. Dias Toffoli, j. 7-8-2018, 2ª T, DJE de 5-9-2018.]</w:t>
      </w:r>
    </w:p>
    <w:p>
      <w:pPr>
        <w:ind w:left="288"/>
      </w:pPr>
      <w:r>
        <w:rPr>
          <w:color w:val="8C8C8C"/>
          <w:sz w:val="12"/>
        </w:rPr>
        <w:t>cf-art-233-par-5</w:t>
      </w:r>
      <w:r>
        <w:rPr>
          <w:color w:val="003CA0"/>
          <w:sz w:val="12"/>
        </w:rPr>
        <w:t xml:space="preserve"> | RE 189.736</w:t>
      </w:r>
      <w:r>
        <w:rPr>
          <w:color w:val="003CA0"/>
          <w:sz w:val="12"/>
        </w:rPr>
        <w:t xml:space="preserve"> | rel. Moreira Alves</w:t>
      </w:r>
    </w:p>
    <w:p>
      <w:pPr>
        <w:ind w:left="288"/>
      </w:pPr>
      <w:r>
        <w:rPr>
          <w:color w:val="1E1E1E"/>
          <w:sz w:val="18"/>
        </w:rPr>
        <w:t>Entendeu a maioria deste Tribunal, em síntese, que o sentido do art. 236 da Carta Magna foi o de tolher, sem mesmo reverter, a oficialização dos cartórios de notas e registros, em contraste com a estatização estabelecida para as serventias do foro judicial pelo art. 31 do ADCT (...).</w:t>
        <w:br/>
        <w:t>[RE 189.736, rel. min. Moreira Alves, j. 26-3-1996, 1ª T, DJ de 27-9-1996.]</w:t>
        <w:br/>
        <w:t>= RE 191.030 AgR-ED, rel. min. Octavio Gallotti, j. 22-6-1999, 1ª T, DJ de 7-4-2000 Art. 32. O disposto no art. 236 não se aplica aos serviços notariais e de registro que já tenham sido oficializados pelo Poder Público, respeitando-se o di</w:t>
      </w:r>
    </w:p>
    <w:p>
      <w:pPr>
        <w:ind w:left="288"/>
      </w:pPr>
      <w:r>
        <w:rPr>
          <w:color w:val="8C8C8C"/>
          <w:sz w:val="12"/>
        </w:rPr>
        <w:t>cf-art-233-par-5</w:t>
      </w:r>
      <w:r>
        <w:rPr>
          <w:color w:val="003CA0"/>
          <w:sz w:val="12"/>
        </w:rPr>
        <w:t xml:space="preserve"> | MS 28.419</w:t>
      </w:r>
      <w:r>
        <w:rPr>
          <w:color w:val="003CA0"/>
          <w:sz w:val="12"/>
        </w:rPr>
        <w:t xml:space="preserve"> | rel. Dias Toffoli</w:t>
      </w:r>
    </w:p>
    <w:p>
      <w:pPr>
        <w:ind w:left="288"/>
      </w:pPr>
      <w:r>
        <w:rPr>
          <w:color w:val="1E1E1E"/>
          <w:sz w:val="18"/>
        </w:rPr>
        <w:t xml:space="preserve">A CF/88 trouxe duas ordens claras a serem aplicadas às serventias: (i) serventia extrajudicial deveria ser delegada (art. 236, caput), salvo se, antes do texto constitucional, já fosse oficializada, quando então poderia assim permanecer (e, nesse caso, seriam respeitados os direitos dos servidores dela ocupantes – art. 32, do ADCT); e (ii) serventia judicial deveria ser oficializada e, no caso de antes da CF/88 ter sido ela delegada a particular, seriam respeitados os direitos de seu eventual titular (art. 31, do ADCT). No caso dos autos, sob a égide da Constituição de 1967 – antes, portanto, </w:t>
      </w:r>
    </w:p>
    <w:p>
      <w:pPr>
        <w:ind w:left="288"/>
      </w:pPr>
      <w:r>
        <w:rPr>
          <w:b/>
          <w:color w:val="003CA0"/>
          <w:sz w:val="16"/>
        </w:rPr>
        <w:t>[MS 28.419, rel. min. Dias Toffoli, j. 7-8-2018, 2ª T, DJE de 5-9-2018.]</w:t>
      </w:r>
    </w:p>
    <w:p>
      <w:pPr>
        <w:ind w:left="288"/>
      </w:pPr>
      <w:r>
        <w:rPr>
          <w:color w:val="8C8C8C"/>
          <w:sz w:val="12"/>
        </w:rPr>
        <w:t>cf-art-233-par-5</w:t>
      </w:r>
      <w:r>
        <w:rPr>
          <w:color w:val="003CA0"/>
          <w:sz w:val="12"/>
        </w:rPr>
        <w:t xml:space="preserve"> | AI 449.138</w:t>
      </w:r>
      <w:r>
        <w:rPr>
          <w:color w:val="003CA0"/>
          <w:sz w:val="12"/>
        </w:rPr>
        <w:t xml:space="preserve"> | rel. Carlos Velloso</w:t>
      </w:r>
    </w:p>
    <w:p>
      <w:pPr>
        <w:ind w:left="288"/>
      </w:pPr>
      <w:r>
        <w:rPr>
          <w:color w:val="1E1E1E"/>
          <w:sz w:val="18"/>
        </w:rPr>
        <w:t>O art. 32 do ADCT excepciona o exercício em caráter privado dos serviços notariais e de registro os titulares de cartórios oficializados pelo poder público em período anterior à CF de 1988.</w:t>
      </w:r>
    </w:p>
    <w:p>
      <w:pPr>
        <w:ind w:left="288"/>
      </w:pPr>
      <w:r>
        <w:rPr>
          <w:b/>
          <w:color w:val="003CA0"/>
          <w:sz w:val="16"/>
        </w:rPr>
        <w:t>[AI 449.138 AgR, rel. min. Carlos Velloso, j. 1º-5-2005, 2ª T, DJ de 1º-7-2005.]</w:t>
      </w:r>
    </w:p>
    <w:p>
      <w:pPr>
        <w:ind w:left="288"/>
      </w:pPr>
      <w:r>
        <w:rPr>
          <w:color w:val="8C8C8C"/>
          <w:sz w:val="12"/>
        </w:rPr>
        <w:t>cf-art-233-par-5</w:t>
      </w:r>
      <w:r>
        <w:rPr>
          <w:color w:val="003CA0"/>
          <w:sz w:val="12"/>
        </w:rPr>
        <w:t xml:space="preserve"> | RE 199.462</w:t>
      </w:r>
      <w:r>
        <w:rPr>
          <w:color w:val="003CA0"/>
          <w:sz w:val="12"/>
        </w:rPr>
        <w:t xml:space="preserve"> | rel. Ilmar Galvão</w:t>
      </w:r>
    </w:p>
    <w:p>
      <w:pPr>
        <w:ind w:left="288"/>
      </w:pPr>
      <w:r>
        <w:rPr>
          <w:color w:val="1E1E1E"/>
          <w:sz w:val="18"/>
        </w:rPr>
        <w:t>Operada a oficialização da serventia por força da lei estadual (art. 207 da EC 1/1969), despicienda qualquer indagação acerca da validade, ou não, do ato declaratório desse efeito. A efetivação de oficial substituto, após a oficialização, não poderia dar-se senão na titularidade da serventia oficializada, não havendo espaço para a pretendida opção pelo regime do art. 236 da Carta de 1988, tendo em vista a norma do art. 32 do ADCT/1988.</w:t>
      </w:r>
    </w:p>
    <w:p>
      <w:pPr>
        <w:ind w:left="288"/>
      </w:pPr>
      <w:r>
        <w:rPr>
          <w:b/>
          <w:color w:val="003CA0"/>
          <w:sz w:val="16"/>
        </w:rPr>
        <w:t>[RE 199.462, rel. min. Ilmar Galvão, j. 26-3-1999, 1ª T, DJ de 6-8-1999.]</w:t>
      </w:r>
    </w:p>
    <w:p>
      <w:pPr>
        <w:ind w:left="288"/>
      </w:pPr>
      <w:r>
        <w:rPr>
          <w:color w:val="8C8C8C"/>
          <w:sz w:val="12"/>
        </w:rPr>
        <w:t>cf-art-233-par-5</w:t>
      </w:r>
      <w:r>
        <w:rPr>
          <w:color w:val="003CA0"/>
          <w:sz w:val="12"/>
        </w:rPr>
        <w:t xml:space="preserve"> | RE 426.909</w:t>
      </w:r>
      <w:r>
        <w:rPr>
          <w:color w:val="003CA0"/>
          <w:sz w:val="12"/>
        </w:rPr>
        <w:t xml:space="preserve"> | rel. Eros Grau</w:t>
      </w:r>
    </w:p>
    <w:p>
      <w:pPr>
        <w:ind w:left="288"/>
      </w:pPr>
      <w:r>
        <w:rPr>
          <w:color w:val="1E1E1E"/>
          <w:sz w:val="18"/>
        </w:rPr>
        <w:t>= RE 426.909 AgR, rel. min. Eros Grau, j. 12-5-2009, 2ª T, DJE de 29-5-2009 Art. 33. Ressalvados os créditos de natureza alimentar, o valor dos precatórios judiciais pendentes de pagamento na data da promulgação da Constituição, incluído o remanescente de juros e correção monetária, poderá ser pago em moeda corrente, com atualização, em prestações anuais, iguais e sucessivas, no prazo máximo de oito anos, a partir de 1º de julho de 1989, por decisão editada pelo Poder Executivo até cento e oitenta dias da promulgação da Constituição.</w:t>
      </w:r>
    </w:p>
    <w:p>
      <w:pPr>
        <w:ind w:left="288"/>
      </w:pPr>
      <w:r>
        <w:rPr>
          <w:color w:val="8C8C8C"/>
          <w:sz w:val="12"/>
        </w:rPr>
        <w:t>cf-art-233-par-5</w:t>
      </w:r>
      <w:r>
        <w:rPr>
          <w:color w:val="003CA0"/>
          <w:sz w:val="12"/>
        </w:rPr>
        <w:t xml:space="preserve"> | ADI 4.357</w:t>
      </w:r>
      <w:r>
        <w:rPr>
          <w:color w:val="003CA0"/>
          <w:sz w:val="12"/>
        </w:rPr>
        <w:t xml:space="preserve"> | rel. Cezar Peluso</w:t>
      </w:r>
    </w:p>
    <w:p>
      <w:pPr>
        <w:ind w:left="288"/>
      </w:pPr>
      <w:r>
        <w:rPr>
          <w:color w:val="1E1E1E"/>
          <w:sz w:val="18"/>
        </w:rPr>
        <w:t>(...) tenho que, não obstante a EC 62/2009 ser objeto de três ações diretas de inconstitucionalidade nesta Corte (todas de relatoria do ministro Ayres Britto: ADI 4.357, ADI 4.372 e ADI 4.400), não há, até o momento, pronunciamentos no sentido da inconstitucionalidade das inovações por ela trazidas, de forma que suas normas são plenamente aplicáveis sobre todos os débitos judiciais constituídos e pendentes de pagamento, inclusive sobre os débitos parcelados na forma dos arts. 33 e 78 do ADCT, até a entrada em vigor da citada emenda.</w:t>
      </w:r>
    </w:p>
    <w:p>
      <w:pPr>
        <w:ind w:left="288"/>
      </w:pPr>
      <w:r>
        <w:rPr>
          <w:b/>
          <w:color w:val="003CA0"/>
          <w:sz w:val="16"/>
        </w:rPr>
        <w:t>[SS 4.010 Extn-AgR, voto do rel. min. Cezar Peluso, j. 1º-6-2011, P, DJE de 28-6-2011.]</w:t>
      </w:r>
    </w:p>
    <w:p>
      <w:pPr>
        <w:ind w:left="288"/>
      </w:pPr>
      <w:r>
        <w:rPr>
          <w:color w:val="8C8C8C"/>
          <w:sz w:val="12"/>
        </w:rPr>
        <w:t>cf-art-233-par-5</w:t>
      </w:r>
      <w:r>
        <w:rPr>
          <w:color w:val="003CA0"/>
          <w:sz w:val="12"/>
        </w:rPr>
        <w:t xml:space="preserve"> | RE 215.107</w:t>
      </w:r>
      <w:r>
        <w:rPr>
          <w:color w:val="003CA0"/>
          <w:sz w:val="12"/>
        </w:rPr>
        <w:t xml:space="preserve"> | rel. Celso de Mello</w:t>
      </w:r>
    </w:p>
    <w:p>
      <w:pPr>
        <w:ind w:left="288"/>
      </w:pPr>
      <w:r>
        <w:rPr>
          <w:color w:val="1E1E1E"/>
          <w:sz w:val="18"/>
        </w:rPr>
        <w:t>Inexiste qualquer relação de antinomia real ou insuperável entre a norma inscrita no art. 33 do ADCT e os postulados da isonomia, da justa indenização, do direito adquirido e do pagamento mediante precatórios, consagrados pelas disposições permanentes da Constituição da República, eis que todas essas cláusulas normativas, inclusive aquelas de índole transitória, ostentam grau idêntico de eficácia e de autoridade jurídicas (RTJ 161/341-342). O preceito consubstanciado no art. 33 do ADCT – que não se estende aos créditos de natureza alimentar – compreende todos os precatórios judiciais pendentes</w:t>
      </w:r>
    </w:p>
    <w:p>
      <w:pPr>
        <w:ind w:left="288"/>
      </w:pPr>
      <w:r>
        <w:rPr>
          <w:b/>
          <w:color w:val="003CA0"/>
          <w:sz w:val="16"/>
        </w:rPr>
        <w:t>[RE 215.107 AgR, rel. min. Celso de Mello, j. 21-11-2006, 2ª T, DJ de 2-2-2007.]</w:t>
      </w:r>
    </w:p>
    <w:p>
      <w:pPr>
        <w:ind w:left="288"/>
      </w:pPr>
      <w:r>
        <w:rPr>
          <w:color w:val="8C8C8C"/>
          <w:sz w:val="12"/>
        </w:rPr>
        <w:t>cf-art-233-par-5</w:t>
      </w:r>
      <w:r>
        <w:rPr>
          <w:color w:val="003CA0"/>
          <w:sz w:val="12"/>
        </w:rPr>
        <w:t xml:space="preserve"> | RE 466.145</w:t>
      </w:r>
      <w:r>
        <w:rPr>
          <w:color w:val="003CA0"/>
          <w:sz w:val="12"/>
        </w:rPr>
        <w:t xml:space="preserve"> | rel. Ricardo Lewandowski</w:t>
      </w:r>
    </w:p>
    <w:p>
      <w:pPr>
        <w:ind w:left="288"/>
      </w:pPr>
      <w:r>
        <w:rPr>
          <w:color w:val="1E1E1E"/>
          <w:sz w:val="18"/>
        </w:rPr>
        <w:t>Excluem-se os juros moratórios e compensatórios do pagamento de precatórios decorrentes de desapropriação, realizado conforme o art. 33 do ADCT. Os juros moratórios são cabíveis tão somente nos casos de pagamento atrasado das parcelas do parcelamento previsto no art. 33 do ADCT.</w:t>
      </w:r>
    </w:p>
    <w:p>
      <w:pPr>
        <w:ind w:left="288"/>
      </w:pPr>
      <w:r>
        <w:rPr>
          <w:b/>
          <w:color w:val="003CA0"/>
          <w:sz w:val="16"/>
        </w:rPr>
        <w:t>[RE 466.145 AgR, rel. min. Ricardo Lewandowski, j. 20-6-2006, 1ª T, DJ de 18-8-2006.]</w:t>
      </w:r>
    </w:p>
    <w:p>
      <w:pPr>
        <w:ind w:left="288"/>
      </w:pPr>
      <w:r>
        <w:rPr>
          <w:color w:val="8C8C8C"/>
          <w:sz w:val="12"/>
        </w:rPr>
        <w:t>cf-art-233-par-5</w:t>
      </w:r>
      <w:r>
        <w:rPr>
          <w:color w:val="003CA0"/>
          <w:sz w:val="12"/>
        </w:rPr>
        <w:t xml:space="preserve"> | RE 463.390</w:t>
      </w:r>
      <w:r>
        <w:rPr>
          <w:color w:val="003CA0"/>
          <w:sz w:val="12"/>
        </w:rPr>
        <w:t xml:space="preserve"> | rel. Gilmar Mendes</w:t>
      </w:r>
    </w:p>
    <w:p>
      <w:pPr>
        <w:ind w:left="288"/>
      </w:pPr>
      <w:r>
        <w:rPr>
          <w:color w:val="1E1E1E"/>
          <w:sz w:val="18"/>
        </w:rPr>
        <w:t>= RE 463.390 AgR, rel. min. Gilmar Mendes, j. 8-2-2011, 2ª T, DJE de 24-2-2011 O acórdão recorrido, ao liberar da incidência da regra do art. 33 os precatórios requisitórios pendentes de pagamento à época do advento do Texto Constitucional, determinando que fosse feito de uma só vez, malferiu a referida disposição e destoou da orientação já firmada nesta Corte, no sentido de que o legislador constituinte, ao se referir aos precatórios judiciais pendentes de pagamento, não autorizou qualquer distinção quanto aos relativos aos exercícios anteriores que não haviam sido pagos na época da promulgaç</w:t>
      </w:r>
    </w:p>
    <w:p>
      <w:pPr>
        <w:ind w:left="288"/>
      </w:pPr>
      <w:r>
        <w:rPr>
          <w:b/>
          <w:color w:val="003CA0"/>
          <w:sz w:val="16"/>
        </w:rPr>
        <w:t>[RE 205.532, rel. min. Ilmar Galvão, j. 28-4-1998, 1ª T, DJ de 21-8-1998.]</w:t>
      </w:r>
    </w:p>
    <w:p>
      <w:pPr>
        <w:ind w:left="288"/>
      </w:pPr>
      <w:r>
        <w:rPr>
          <w:color w:val="8C8C8C"/>
          <w:sz w:val="12"/>
        </w:rPr>
        <w:t>cf-art-233-par-5</w:t>
      </w:r>
      <w:r>
        <w:rPr>
          <w:color w:val="003CA0"/>
          <w:sz w:val="12"/>
        </w:rPr>
        <w:t xml:space="preserve"> | RE 193.210</w:t>
      </w:r>
      <w:r>
        <w:rPr>
          <w:color w:val="003CA0"/>
          <w:sz w:val="12"/>
        </w:rPr>
        <w:t xml:space="preserve"> | rel. Néri da Silveira</w:t>
      </w:r>
    </w:p>
    <w:p>
      <w:pPr>
        <w:ind w:left="288"/>
      </w:pPr>
      <w:r>
        <w:rPr>
          <w:color w:val="1E1E1E"/>
          <w:sz w:val="18"/>
        </w:rPr>
        <w:t>ADCT de 1988, art. 33. Juros. Ressalvados os créditos de natureza alimentar, o valor dos precatórios judiciais pendentes de pagamento na data da promulgação da Constituição de 1988, incluído o remanescente de juros e a correção monetária, poderá ser pago, segundo o art. 33 do ADCT, em moeda corrente, com atualização, em prestações anuais, iguais e sucessivas, no prazo máximo de 8 anos, a partir de 1º de julho de 1989, por decisão editada pelo Poder Executivo, até 180 dias da promulgação da Constituição. Jurisprudência do Plenário e Turmas do STF, segundo a qual o art. 33 do ADCT não autoriza o</w:t>
      </w:r>
    </w:p>
    <w:p>
      <w:pPr>
        <w:ind w:left="288"/>
      </w:pPr>
      <w:r>
        <w:rPr>
          <w:b/>
          <w:color w:val="003CA0"/>
          <w:sz w:val="16"/>
        </w:rPr>
        <w:t>[RE 193.210, rel. min. Néri da Silveira, j. 27-5-1997, 2ª T, DJ de 29-5-1998.]</w:t>
      </w:r>
    </w:p>
    <w:p>
      <w:pPr>
        <w:ind w:left="288"/>
      </w:pPr>
      <w:r>
        <w:rPr>
          <w:color w:val="8C8C8C"/>
          <w:sz w:val="12"/>
        </w:rPr>
        <w:t>cf-art-233-par-5</w:t>
      </w:r>
      <w:r>
        <w:rPr>
          <w:color w:val="003CA0"/>
          <w:sz w:val="12"/>
        </w:rPr>
        <w:t xml:space="preserve"> | RE 443.680</w:t>
      </w:r>
      <w:r>
        <w:rPr>
          <w:color w:val="003CA0"/>
          <w:sz w:val="12"/>
        </w:rPr>
        <w:t xml:space="preserve"> | rel. Joaquim Barbosa</w:t>
      </w:r>
    </w:p>
    <w:p>
      <w:pPr>
        <w:ind w:left="288"/>
      </w:pPr>
      <w:r>
        <w:rPr>
          <w:color w:val="1E1E1E"/>
          <w:sz w:val="18"/>
        </w:rPr>
        <w:t>= RE 443.680 AgR, rel. min. Joaquim Barbosa, j. 6-4-2010, 2ª T, DJE de 23-4-2010 Juros. Débito da Fazenda. Art. 33 do ADCT. O preceito no art. 33 do ADCT encerra uma nova realidade. Faculta-se ao recorrente a satisfação dos valores pendentes de precatórios, neles incluídos os juros remanescentes. Observadas as épocas próprias das prestações – vencimentos –, impossível é cogitar da mora, descabendo, assim, a incidência dos juros no que pressupõem inadimplemento e, portanto, a mora solvendi. Os compensatórios têm a incidência cessada em face da referência apenas aos remanescentes e às parcelas t</w:t>
      </w:r>
    </w:p>
    <w:p>
      <w:pPr>
        <w:ind w:left="288"/>
      </w:pPr>
      <w:r>
        <w:rPr>
          <w:b/>
          <w:color w:val="003CA0"/>
          <w:sz w:val="16"/>
        </w:rPr>
        <w:t>[RE 155.979, rel. min. Marco Aurélio, j. 11-11-1994, P, DJ de 23-2-2001.]</w:t>
      </w:r>
    </w:p>
    <w:p>
      <w:pPr>
        <w:ind w:left="288"/>
      </w:pPr>
      <w:r>
        <w:rPr>
          <w:color w:val="8C8C8C"/>
          <w:sz w:val="12"/>
        </w:rPr>
        <w:t>cf-art-233-par-5</w:t>
      </w:r>
      <w:r>
        <w:rPr>
          <w:color w:val="003CA0"/>
          <w:sz w:val="12"/>
        </w:rPr>
        <w:t xml:space="preserve"> | RE 553.896</w:t>
      </w:r>
      <w:r>
        <w:rPr>
          <w:color w:val="003CA0"/>
          <w:sz w:val="12"/>
        </w:rPr>
        <w:t xml:space="preserve"> | rel. Ricardo Lewandowski</w:t>
      </w:r>
    </w:p>
    <w:p>
      <w:pPr>
        <w:ind w:left="288"/>
      </w:pPr>
      <w:r>
        <w:rPr>
          <w:color w:val="1E1E1E"/>
          <w:sz w:val="18"/>
        </w:rPr>
        <w:t>= RE 553.896 AgR, rel. min. Ricardo Lewandowski, j. 1º-2-2011, 1ª T, DJE de 23-2-2011</w:t>
      </w:r>
    </w:p>
    <w:p>
      <w:pPr>
        <w:ind w:left="144"/>
      </w:pPr>
      <w:r>
        <w:rPr>
          <w:b/>
          <w:color w:val="B45A00"/>
          <w:sz w:val="16"/>
        </w:rPr>
        <w:t>CONTROLE CONCENTRADO</w:t>
      </w:r>
    </w:p>
    <w:p>
      <w:pPr>
        <w:ind w:left="288"/>
      </w:pPr>
      <w:r>
        <w:rPr>
          <w:color w:val="8C8C8C"/>
          <w:sz w:val="12"/>
        </w:rPr>
        <w:t>cf-art-233-par-unico</w:t>
      </w:r>
      <w:r>
        <w:rPr>
          <w:color w:val="003CA0"/>
          <w:sz w:val="12"/>
        </w:rPr>
        <w:t xml:space="preserve"> | ADI 1.593</w:t>
      </w:r>
    </w:p>
    <w:p>
      <w:pPr>
        <w:ind w:left="288"/>
      </w:pPr>
      <w:r>
        <w:rPr>
          <w:color w:val="1E1E1E"/>
          <w:sz w:val="18"/>
        </w:rPr>
        <w:t>Precatórios judiciais. Letras Financeiras do Tesouro do Estado de Pernambuco. Art. 4º da Lei 11.334/1996 do Estado de Pernambuco. O art. 4º da Lei 11.334, de 24 de abril de 1996, do Estado de Pernambuco, contém expressões em antinomia com o art. 33 do ADCT, permitindo ao administrador estadual grau de discricionariedade que o Texto Constitucional não autorizou. Inconstitucionalidade da expressão "prioritariamente", pois conduz à interpretação de preferencial, de importante, abrindo a possibilidade de escapar do comando constitucional, que não prevê exceção, dispondo expressamente que os recurs</w:t>
      </w:r>
    </w:p>
    <w:p>
      <w:pPr>
        <w:ind w:left="288"/>
      </w:pPr>
      <w:r>
        <w:rPr>
          <w:b/>
          <w:color w:val="003CA0"/>
          <w:sz w:val="16"/>
        </w:rPr>
        <w:t>[ADI 1.593, red. do ac. min. Menezes Direito, j. 7-11-2007, P, DJE de 2-5-2008.]</w:t>
      </w:r>
    </w:p>
    <w:p>
      <w:pPr>
        <w:ind w:left="288"/>
      </w:pPr>
      <w:r>
        <w:rPr>
          <w:color w:val="8C8C8C"/>
          <w:sz w:val="12"/>
        </w:rPr>
        <w:t>cf-art-233-par-unico</w:t>
      </w:r>
    </w:p>
    <w:p>
      <w:pPr>
        <w:ind w:left="288"/>
      </w:pPr>
      <w:r>
        <w:rPr>
          <w:color w:val="1E1E1E"/>
          <w:sz w:val="18"/>
        </w:rPr>
        <w:t>Art. 34. O sistema tributário nacional entrará em vigor a partir do primeiro dia do quinto mês seguinte ao da promulgação da Constituição, mantido, até então, o da Constituição de 1967, com a redação dada pela Emenda nº 1, de 1969, e pelas posteriores.</w:t>
      </w:r>
    </w:p>
    <w:p>
      <w:pPr>
        <w:ind w:left="144"/>
      </w:pPr>
      <w:r>
        <w:rPr>
          <w:b/>
          <w:color w:val="B45A00"/>
          <w:sz w:val="16"/>
        </w:rPr>
        <w:t>JULGADOS CORRELATOS</w:t>
      </w:r>
    </w:p>
    <w:p>
      <w:pPr>
        <w:ind w:left="288"/>
      </w:pPr>
      <w:r>
        <w:rPr>
          <w:color w:val="8C8C8C"/>
          <w:sz w:val="12"/>
        </w:rPr>
        <w:t>cf-art-233-par-unico</w:t>
      </w:r>
      <w:r>
        <w:rPr>
          <w:color w:val="003CA0"/>
          <w:sz w:val="12"/>
        </w:rPr>
        <w:t xml:space="preserve"> | AI 386.820</w:t>
      </w:r>
      <w:r>
        <w:rPr>
          <w:color w:val="003CA0"/>
          <w:sz w:val="12"/>
        </w:rPr>
        <w:t xml:space="preserve"> | rel. Celso de Mello</w:t>
      </w:r>
    </w:p>
    <w:p>
      <w:pPr>
        <w:ind w:left="288"/>
      </w:pPr>
      <w:r>
        <w:rPr>
          <w:color w:val="1E1E1E"/>
          <w:sz w:val="18"/>
        </w:rPr>
        <w:t>"Nada sobrevive ao novo Texto Magno", dada a impossibilidade de convívio entre duas ordens constitucionais originárias (cada qual representando uma ideia própria de Direito e refletindo uma particular concepção político-ideológica de mundo), exceto se a nova Constituição, mediante processo de recepção material (que muito mais traduz verdadeira novação de caráter jurídico-normativo), conferir vigência parcial e eficácia temporal limitada a determinados preceitos constitucionais inscritos na Lei Fundamental revogada, à semelhança do que fez o art. 34, caput, do ADCT/1988.</w:t>
      </w:r>
    </w:p>
    <w:p>
      <w:pPr>
        <w:ind w:left="288"/>
      </w:pPr>
      <w:r>
        <w:rPr>
          <w:b/>
          <w:color w:val="003CA0"/>
          <w:sz w:val="16"/>
        </w:rPr>
        <w:t>[AI 386.820 AgR-ED-EDv-AgR-ED, rel. min. Celso de Mello, j. 24-6-2004, P, DJ de 4-2-2005.]</w:t>
      </w:r>
    </w:p>
    <w:p>
      <w:pPr>
        <w:ind w:left="288"/>
      </w:pPr>
      <w:r>
        <w:rPr>
          <w:color w:val="8C8C8C"/>
          <w:sz w:val="12"/>
        </w:rPr>
        <w:t>cf-art-233-par-unico</w:t>
      </w:r>
      <w:r>
        <w:rPr>
          <w:color w:val="003CA0"/>
          <w:sz w:val="12"/>
        </w:rPr>
        <w:t xml:space="preserve"> | MS 20.858</w:t>
      </w:r>
      <w:r>
        <w:rPr>
          <w:color w:val="003CA0"/>
          <w:sz w:val="12"/>
        </w:rPr>
        <w:t xml:space="preserve"> | rel. Néri da Silveira</w:t>
      </w:r>
    </w:p>
    <w:p>
      <w:pPr>
        <w:ind w:left="288"/>
      </w:pPr>
      <w:r>
        <w:rPr>
          <w:color w:val="1E1E1E"/>
          <w:sz w:val="18"/>
        </w:rPr>
        <w:t>Incabível invocar o art. 34, caput, do ADCT para sustentar o desconto do imposto de renda na fonte, a incidir sobre a parcela de que tratava o art. 2º do DL 2.019/1983, somente "a partir do primeiro dia do quinto mês seguinte ao da promulgação da Constituição, conforme pretensão inicial”.</w:t>
      </w:r>
    </w:p>
    <w:p>
      <w:pPr>
        <w:ind w:left="288"/>
      </w:pPr>
      <w:r>
        <w:rPr>
          <w:b/>
          <w:color w:val="003CA0"/>
          <w:sz w:val="16"/>
        </w:rPr>
        <w:t>[MS 20.858, rel. min. Néri da Silveira, j. 14-3-2002, P, DJ de 19-4-2002.]</w:t>
      </w:r>
    </w:p>
    <w:p>
      <w:pPr>
        <w:ind w:left="288"/>
      </w:pPr>
      <w:r>
        <w:rPr>
          <w:color w:val="8C8C8C"/>
          <w:sz w:val="12"/>
        </w:rPr>
        <w:t>cf-art-233-par-1</w:t>
      </w:r>
      <w:r>
        <w:rPr>
          <w:color w:val="003CA0"/>
          <w:sz w:val="12"/>
        </w:rPr>
        <w:t xml:space="preserve"> | RE 272.180</w:t>
      </w:r>
      <w:r>
        <w:rPr>
          <w:color w:val="003CA0"/>
          <w:sz w:val="12"/>
        </w:rPr>
        <w:t xml:space="preserve"> | rel. Ellen Gracie</w:t>
      </w:r>
    </w:p>
    <w:p>
      <w:pPr>
        <w:ind w:left="288"/>
      </w:pPr>
      <w:r>
        <w:rPr>
          <w:color w:val="1E1E1E"/>
          <w:sz w:val="18"/>
        </w:rPr>
        <w:t>Imposto sobre Vendas a Varejo de Combustíveis. (...) Desnecessidade de lei complementar, ante a específica disciplina constitucional do imposto (art. 34, §§ 1º, 6º e 7º, do ADCT).</w:t>
      </w:r>
    </w:p>
    <w:p>
      <w:pPr>
        <w:ind w:left="288"/>
      </w:pPr>
      <w:r>
        <w:rPr>
          <w:b/>
          <w:color w:val="003CA0"/>
          <w:sz w:val="16"/>
        </w:rPr>
        <w:t>[RE 272.180, rel. min. Ellen Gracie, j. 8-3-2005, 2ª T, DJ de 8-4-2005.]</w:t>
      </w:r>
    </w:p>
    <w:p>
      <w:pPr>
        <w:ind w:left="288"/>
      </w:pPr>
      <w:r>
        <w:rPr>
          <w:color w:val="8C8C8C"/>
          <w:sz w:val="12"/>
        </w:rPr>
        <w:t>cf-art-233-par-1</w:t>
      </w:r>
      <w:r>
        <w:rPr>
          <w:color w:val="003CA0"/>
          <w:sz w:val="12"/>
        </w:rPr>
        <w:t xml:space="preserve"> | AI 633.316</w:t>
      </w:r>
      <w:r>
        <w:rPr>
          <w:color w:val="003CA0"/>
          <w:sz w:val="12"/>
        </w:rPr>
        <w:t xml:space="preserve"> | rel. Dias Toffoli</w:t>
      </w:r>
    </w:p>
    <w:p>
      <w:pPr>
        <w:ind w:left="288"/>
      </w:pPr>
      <w:r>
        <w:rPr>
          <w:color w:val="1E1E1E"/>
          <w:sz w:val="18"/>
        </w:rPr>
        <w:t>= AI 633.316 AgR, rel. min. Dias Toffoli, j. 7-2-2012, 1ª T, DJE de 16-3-2012</w:t>
      </w:r>
    </w:p>
    <w:p>
      <w:pPr>
        <w:ind w:left="288"/>
      </w:pPr>
      <w:r>
        <w:rPr>
          <w:color w:val="8C8C8C"/>
          <w:sz w:val="12"/>
        </w:rPr>
        <w:t>cf-art-233-par-2</w:t>
      </w:r>
    </w:p>
    <w:p>
      <w:pPr>
        <w:ind w:left="288"/>
      </w:pPr>
      <w:r>
        <w:rPr>
          <w:color w:val="1E1E1E"/>
          <w:sz w:val="18"/>
        </w:rPr>
        <w:t>I - a partir da promulgação da Constituição, os percentuais serão, respectivamente, de dezoito por cento e de vinte por cento, calculados sobre o produto da arrecadação dos impostos referidos no art. 153, III e IV, mantidos os atuais critérios de rateio até a entrada em vigor da lei complementar a que se refere o art. 161, II; II - o percentual relativo ao Fundo de Participação dos Estados e do Distrito Federal será acrescido de um ponto percentual no exercício financeiro de 1989 e, a partir de 1990, inclusive, à razão de meio ponto por exercício, até 1992, inclusive, atingindo em 1993 o perce</w:t>
      </w:r>
    </w:p>
    <w:p>
      <w:pPr>
        <w:ind w:left="288"/>
      </w:pPr>
      <w:r>
        <w:rPr>
          <w:color w:val="8C8C8C"/>
          <w:sz w:val="12"/>
        </w:rPr>
        <w:t>cf-art-233-par-3</w:t>
      </w:r>
      <w:r>
        <w:rPr>
          <w:color w:val="003CA0"/>
          <w:sz w:val="12"/>
        </w:rPr>
        <w:t xml:space="preserve"> | AI 500.743</w:t>
      </w:r>
      <w:r>
        <w:rPr>
          <w:color w:val="003CA0"/>
          <w:sz w:val="12"/>
        </w:rPr>
        <w:t xml:space="preserve"> | rel. Marco Aurélio</w:t>
      </w:r>
    </w:p>
    <w:p>
      <w:pPr>
        <w:ind w:left="288"/>
      </w:pPr>
      <w:r>
        <w:rPr>
          <w:color w:val="1E1E1E"/>
          <w:sz w:val="18"/>
        </w:rPr>
        <w:t>Mostra-se constitucional a disciplina do IPVA mediante norma local. Deixando a União de editar normas gerais, exerce a unidade da Federação a competência legislativa plena – § 3º do art. 24 do corpo permanente da Carta de 1988 –, sendo que, com a entrada em vigor do sistema tributário nacional, abriu-se à União, aos Estados, ao Distrito Federal e aos Municípios a via da edição de leis necessárias à respectiva aplicação – § 3º do art. 34 do ADCT da Carta de 1988.</w:t>
      </w:r>
    </w:p>
    <w:p>
      <w:pPr>
        <w:ind w:left="288"/>
      </w:pPr>
      <w:r>
        <w:rPr>
          <w:b/>
          <w:color w:val="003CA0"/>
          <w:sz w:val="16"/>
        </w:rPr>
        <w:t>[AI 500.743 AgR, rel. min. Marco Aurélio, j. 2-12-2010, 1ª T, DJE de 3-3-2011.]</w:t>
      </w:r>
    </w:p>
    <w:p>
      <w:pPr>
        <w:ind w:left="288"/>
      </w:pPr>
      <w:r>
        <w:rPr>
          <w:color w:val="8C8C8C"/>
          <w:sz w:val="12"/>
        </w:rPr>
        <w:t>cf-art-233-par-7</w:t>
      </w:r>
      <w:r>
        <w:rPr>
          <w:color w:val="003CA0"/>
          <w:sz w:val="12"/>
        </w:rPr>
        <w:t xml:space="preserve"> | RE 272.180</w:t>
      </w:r>
      <w:r>
        <w:rPr>
          <w:color w:val="003CA0"/>
          <w:sz w:val="12"/>
        </w:rPr>
        <w:t xml:space="preserve"> | rel. Ellen Gracie</w:t>
      </w:r>
    </w:p>
    <w:p>
      <w:pPr>
        <w:ind w:left="288"/>
      </w:pPr>
      <w:r>
        <w:rPr>
          <w:color w:val="1E1E1E"/>
          <w:sz w:val="18"/>
        </w:rPr>
        <w:t>Imposto sobre Vendas a Varejo de Combustíveis. (...) Desnecessidade de lei complementar, ante a específica disciplina constitucional do imposto (art. 34, §§ 1º, 6º e 7º, do ADCT).</w:t>
      </w:r>
    </w:p>
    <w:p>
      <w:pPr>
        <w:ind w:left="288"/>
      </w:pPr>
      <w:r>
        <w:rPr>
          <w:b/>
          <w:color w:val="003CA0"/>
          <w:sz w:val="16"/>
        </w:rPr>
        <w:t>[RE 272.180, rel. min. Ellen Gracie, j. 8-3-2005, 2ª T, DJ de 8-4-2005.]</w:t>
      </w:r>
    </w:p>
    <w:p>
      <w:pPr>
        <w:ind w:left="288"/>
      </w:pPr>
      <w:r>
        <w:rPr>
          <w:color w:val="8C8C8C"/>
          <w:sz w:val="12"/>
        </w:rPr>
        <w:t>cf-art-233-par-7</w:t>
      </w:r>
      <w:r>
        <w:rPr>
          <w:color w:val="003CA0"/>
          <w:sz w:val="12"/>
        </w:rPr>
        <w:t xml:space="preserve"> | AI 633.316</w:t>
      </w:r>
      <w:r>
        <w:rPr>
          <w:color w:val="003CA0"/>
          <w:sz w:val="12"/>
        </w:rPr>
        <w:t xml:space="preserve"> | rel. Dias Toffoli</w:t>
      </w:r>
    </w:p>
    <w:p>
      <w:pPr>
        <w:ind w:left="288"/>
      </w:pPr>
      <w:r>
        <w:rPr>
          <w:color w:val="1E1E1E"/>
          <w:sz w:val="18"/>
        </w:rPr>
        <w:t>= AI 633.316 AgR, rel. min. Dias Toffoli, j. 7-2-2012, 1ª T, DJE de 16-3-2012 § 8º Se, no prazo de sessenta dias contados da promulgação da Constituição, não for editada a lei complementar necessária à instituição do imposto de que trata o art. 155, I, b, os Estados e o Distrito Federal, mediante convênio celebrado nos termos da Lei Complementar nº 24, de 7 de janeiro de 1975, fixarão normas para regular provisoriamente a matéria.</w:t>
      </w:r>
    </w:p>
    <w:p>
      <w:pPr>
        <w:ind w:left="144"/>
      </w:pPr>
      <w:r>
        <w:rPr>
          <w:b/>
          <w:color w:val="B45A00"/>
          <w:sz w:val="16"/>
        </w:rPr>
        <w:t>CONTROLE CONCENTRADO</w:t>
      </w:r>
    </w:p>
    <w:p>
      <w:pPr>
        <w:ind w:left="288"/>
      </w:pPr>
      <w:r>
        <w:rPr>
          <w:color w:val="8C8C8C"/>
          <w:sz w:val="12"/>
        </w:rPr>
        <w:t>cf-art-233-par-7</w:t>
      </w:r>
      <w:r>
        <w:rPr>
          <w:color w:val="003CA0"/>
          <w:sz w:val="12"/>
        </w:rPr>
        <w:t xml:space="preserve"> | ADI 2.345</w:t>
      </w:r>
      <w:r>
        <w:rPr>
          <w:color w:val="003CA0"/>
          <w:sz w:val="12"/>
        </w:rPr>
        <w:t xml:space="preserve"> | rel. Sydney Sanches</w:t>
      </w:r>
    </w:p>
    <w:p>
      <w:pPr>
        <w:ind w:left="288"/>
      </w:pPr>
      <w:r>
        <w:rPr>
          <w:color w:val="1E1E1E"/>
          <w:sz w:val="18"/>
        </w:rPr>
        <w:t>Por fim, o cancelamento das notificações, de certa forma, traz benefício aos contribuintes de ICMS, sem observância do disposto no art. 155, § 2º, XII, g, da CF, que exige lei complementar para regular sua concessão, com a ressalva do § 8º do art. 34 do ADCT.</w:t>
      </w:r>
    </w:p>
    <w:p>
      <w:pPr>
        <w:ind w:left="288"/>
      </w:pPr>
      <w:r>
        <w:rPr>
          <w:b/>
          <w:color w:val="003CA0"/>
          <w:sz w:val="16"/>
        </w:rPr>
        <w:t>[ADI 2.345 MC, rel. min. Sydney Sanches, j. 1º-8-2002, P, DJ de 28-3-2003.]</w:t>
      </w:r>
    </w:p>
    <w:p>
      <w:pPr>
        <w:ind w:left="144"/>
      </w:pPr>
      <w:r>
        <w:rPr>
          <w:b/>
          <w:color w:val="B45A00"/>
          <w:sz w:val="16"/>
        </w:rPr>
        <w:t>JULGADOS CORRELATOS</w:t>
      </w:r>
    </w:p>
    <w:p>
      <w:pPr>
        <w:ind w:left="288"/>
      </w:pPr>
      <w:r>
        <w:rPr>
          <w:color w:val="8C8C8C"/>
          <w:sz w:val="12"/>
        </w:rPr>
        <w:t>cf-art-233-par-7</w:t>
      </w:r>
      <w:r>
        <w:rPr>
          <w:color w:val="003CA0"/>
          <w:sz w:val="12"/>
        </w:rPr>
        <w:t xml:space="preserve"> | RE 407.870</w:t>
      </w:r>
      <w:r>
        <w:rPr>
          <w:color w:val="003CA0"/>
          <w:sz w:val="12"/>
        </w:rPr>
        <w:t xml:space="preserve"> | rel. Cármen Lúcia</w:t>
      </w:r>
    </w:p>
    <w:p>
      <w:pPr>
        <w:ind w:left="288"/>
      </w:pPr>
      <w:r>
        <w:rPr>
          <w:color w:val="1E1E1E"/>
          <w:sz w:val="18"/>
        </w:rPr>
        <w:t>ICMS. Exportação. Período anterior à edição da Resolução 22/1989 pelo Senado Federal. Constitucionalidade da lei estadual que fixa alíquotas em observância ao limite previsto na Resolução 129/1979 do Senado.</w:t>
      </w:r>
    </w:p>
    <w:p>
      <w:pPr>
        <w:ind w:left="288"/>
      </w:pPr>
      <w:r>
        <w:rPr>
          <w:b/>
          <w:color w:val="003CA0"/>
          <w:sz w:val="16"/>
        </w:rPr>
        <w:t>[RE 407.870 AgR, rel. min. Cármen Lúcia, j. 22-4-2014, 2ª T, DJE de 6-5-2014.]</w:t>
      </w:r>
    </w:p>
    <w:p>
      <w:pPr>
        <w:ind w:left="288"/>
      </w:pPr>
      <w:r>
        <w:rPr>
          <w:color w:val="8C8C8C"/>
          <w:sz w:val="12"/>
        </w:rPr>
        <w:t>cf-art-233-par-7</w:t>
      </w:r>
      <w:r>
        <w:rPr>
          <w:color w:val="003CA0"/>
          <w:sz w:val="12"/>
        </w:rPr>
        <w:t xml:space="preserve"> | AI 534.304</w:t>
      </w:r>
      <w:r>
        <w:rPr>
          <w:color w:val="003CA0"/>
          <w:sz w:val="12"/>
        </w:rPr>
        <w:t xml:space="preserve"> | rel. Eros Grau</w:t>
      </w:r>
    </w:p>
    <w:p>
      <w:pPr>
        <w:ind w:left="288"/>
      </w:pPr>
      <w:r>
        <w:rPr>
          <w:color w:val="1E1E1E"/>
          <w:sz w:val="18"/>
        </w:rPr>
        <w:t>O STF firmou entendimento no sentido da validade da definição provisória do conceito de produto semielaborado, mediante convênio firmado pelos Estados (art. 34, § 8º, do ADCT).</w:t>
      </w:r>
    </w:p>
    <w:p>
      <w:pPr>
        <w:ind w:left="288"/>
      </w:pPr>
      <w:r>
        <w:rPr>
          <w:b/>
          <w:color w:val="003CA0"/>
          <w:sz w:val="16"/>
        </w:rPr>
        <w:t>[AI 534.304 AgR, rel. min. Eros Grau, j. 25-10-2005, 1ª T, DJ de 2-12-2005.]</w:t>
      </w:r>
    </w:p>
    <w:p>
      <w:pPr>
        <w:ind w:left="288"/>
      </w:pPr>
      <w:r>
        <w:rPr>
          <w:color w:val="8C8C8C"/>
          <w:sz w:val="12"/>
        </w:rPr>
        <w:t>cf-art-233-par-7</w:t>
      </w:r>
      <w:r>
        <w:rPr>
          <w:color w:val="003CA0"/>
          <w:sz w:val="12"/>
        </w:rPr>
        <w:t xml:space="preserve"> | RE 185.772</w:t>
      </w:r>
      <w:r>
        <w:rPr>
          <w:color w:val="003CA0"/>
          <w:sz w:val="12"/>
        </w:rPr>
        <w:t xml:space="preserve"> | rel. Moreira Alves</w:t>
      </w:r>
    </w:p>
    <w:p>
      <w:pPr>
        <w:ind w:left="288"/>
      </w:pPr>
      <w:r>
        <w:rPr>
          <w:color w:val="1E1E1E"/>
          <w:sz w:val="18"/>
        </w:rPr>
        <w:t>Legitimação dos Estados para ditarem norma geral, de caráter provisório, sobre a matéria, de conformidade com o art. 34, § 8º, do ADCT/1988, por meio do Convênio ICM 66/1988 (art. 2º, I) e, consequentemente, do Estado de São Paulo para fixar o novo momento da exigência do tributo (Lei 6.374/1989, art. 2º, V).</w:t>
      </w:r>
    </w:p>
    <w:p>
      <w:pPr>
        <w:ind w:left="288"/>
      </w:pPr>
      <w:r>
        <w:rPr>
          <w:b/>
          <w:color w:val="003CA0"/>
          <w:sz w:val="16"/>
        </w:rPr>
        <w:t>[RE 185.772, rel. min. Moreira Alves, j. 25-6-2002, 1ª T, DJ de 30-8-2002.]</w:t>
      </w:r>
    </w:p>
    <w:p>
      <w:pPr>
        <w:ind w:left="288"/>
      </w:pPr>
      <w:r>
        <w:rPr>
          <w:color w:val="8C8C8C"/>
          <w:sz w:val="12"/>
        </w:rPr>
        <w:t>cf-art-233-par-7</w:t>
      </w:r>
      <w:r>
        <w:rPr>
          <w:color w:val="003CA0"/>
          <w:sz w:val="12"/>
        </w:rPr>
        <w:t xml:space="preserve"> | RE 154.273</w:t>
      </w:r>
      <w:r>
        <w:rPr>
          <w:color w:val="003CA0"/>
          <w:sz w:val="12"/>
        </w:rPr>
        <w:t xml:space="preserve"> | rel. Ellen Gracie</w:t>
      </w:r>
    </w:p>
    <w:p>
      <w:pPr>
        <w:ind w:left="288"/>
      </w:pPr>
      <w:r>
        <w:rPr>
          <w:color w:val="1E1E1E"/>
          <w:sz w:val="18"/>
        </w:rPr>
        <w:t>Esta Corte já afirmou que não contraria o disposto no art. 34, § 8º, do ADCT e o princípio da não cumulatividade do ICMS disposição de lei estadual que estipule os índices aplicáveis e a incidência de correção monetária de débitos de ICMS após o décimo dia de sua apuração. Precedentes: RE 154.273 e RE 72.394.</w:t>
      </w:r>
    </w:p>
    <w:p>
      <w:pPr>
        <w:ind w:left="288"/>
      </w:pPr>
      <w:r>
        <w:rPr>
          <w:b/>
          <w:color w:val="003CA0"/>
          <w:sz w:val="16"/>
        </w:rPr>
        <w:t>[RE 233.755, rel. min. Ellen Gracie, j. 21-5-2002, 1ª T, DJ de 2-8-2002.]</w:t>
      </w:r>
    </w:p>
    <w:p>
      <w:pPr>
        <w:ind w:left="288"/>
      </w:pPr>
      <w:r>
        <w:rPr>
          <w:color w:val="8C8C8C"/>
          <w:sz w:val="12"/>
        </w:rPr>
        <w:t>cf-art-233-par-7</w:t>
      </w:r>
      <w:r>
        <w:rPr>
          <w:color w:val="003CA0"/>
          <w:sz w:val="12"/>
        </w:rPr>
        <w:t xml:space="preserve"> | RE 193.817</w:t>
      </w:r>
      <w:r>
        <w:rPr>
          <w:color w:val="003CA0"/>
          <w:sz w:val="12"/>
        </w:rPr>
        <w:t xml:space="preserve"> | rel. Moreira Alves</w:t>
      </w:r>
    </w:p>
    <w:p>
      <w:pPr>
        <w:ind w:left="288"/>
      </w:pPr>
      <w:r>
        <w:rPr>
          <w:color w:val="1E1E1E"/>
          <w:sz w:val="18"/>
        </w:rPr>
        <w:t>O Plenário desta Corte, ao julgar o RE 193.817, interpretando o disposto no art. 155, § 2º, IX, a, da atual Constituição, firmou o entendimento de que é válida a cobrança do ICMS quando do recebimento pelo importador da mercadoria ou do bem importados do exterior, bem como o de que "por isso, tornou-se incompatível com o novo sistema a norma do art. 1º, II, do DL 406/1968, que dispunha em sentido contrário, circunstância que legitimou a edição, pelos Estados e pelo Distrito Federal, em conjunto com a União, no exercício da competência prevista no art. 34, § 8º, do ADCT/1988, de norma geral, de</w:t>
      </w:r>
    </w:p>
    <w:p>
      <w:pPr>
        <w:ind w:left="288"/>
      </w:pPr>
      <w:r>
        <w:rPr>
          <w:b/>
          <w:color w:val="003CA0"/>
          <w:sz w:val="16"/>
        </w:rPr>
        <w:t>[RE 216.735, rel. min. Moreira Alves, j. 30-4-2002, 1ª T, DJ de 28-6-2002.]</w:t>
      </w:r>
    </w:p>
    <w:p>
      <w:pPr>
        <w:ind w:left="288"/>
      </w:pPr>
      <w:r>
        <w:rPr>
          <w:color w:val="8C8C8C"/>
          <w:sz w:val="12"/>
        </w:rPr>
        <w:t>cf-art-233-par-7</w:t>
      </w:r>
      <w:r>
        <w:rPr>
          <w:color w:val="003CA0"/>
          <w:sz w:val="12"/>
        </w:rPr>
        <w:t xml:space="preserve"> | RE 156.287</w:t>
      </w:r>
      <w:r>
        <w:rPr>
          <w:color w:val="003CA0"/>
          <w:sz w:val="12"/>
        </w:rPr>
        <w:t xml:space="preserve"> | rel. Celso de Mello</w:t>
      </w:r>
    </w:p>
    <w:p>
      <w:pPr>
        <w:ind w:left="288"/>
      </w:pPr>
      <w:r>
        <w:rPr>
          <w:color w:val="1E1E1E"/>
          <w:sz w:val="18"/>
        </w:rPr>
        <w:t>O Convênio ICM 66/1988, enquanto instrumento normativo de regência provisória da matéria pertinente ao ICMS, qualifica-se, nos termos do art. 34, § 8º, do ADCT/1988, como sucedâneo constitucional da lei complementar exigida pelo art. 146, III, a, da Carta Política.</w:t>
      </w:r>
    </w:p>
    <w:p>
      <w:pPr>
        <w:ind w:left="288"/>
      </w:pPr>
      <w:r>
        <w:rPr>
          <w:b/>
          <w:color w:val="003CA0"/>
          <w:sz w:val="16"/>
        </w:rPr>
        <w:t>[RE 156.287, rel. min. Celso de Mello, j. 30-11-1993, 1ª T, DJ de 20-5-1994.]</w:t>
      </w:r>
    </w:p>
    <w:p>
      <w:pPr>
        <w:ind w:left="288"/>
      </w:pPr>
      <w:r>
        <w:rPr>
          <w:color w:val="8C8C8C"/>
          <w:sz w:val="12"/>
        </w:rPr>
        <w:t>cf-art-233-par-7</w:t>
      </w:r>
    </w:p>
    <w:p>
      <w:pPr>
        <w:ind w:left="288"/>
      </w:pPr>
      <w:r>
        <w:rPr>
          <w:color w:val="1E1E1E"/>
          <w:sz w:val="18"/>
        </w:rPr>
        <w:t>§ 9º Até que lei complementar disponha sobre a matéria, as empresas distribuidoras de energia elétrica, na condição de contribuintes ou de substitutos tributários, serão as responsáveis, por ocasião da saída do produto de seus estabelecimentos, ainda que destinado a outra unidade da Federação, pelo pagamento do imposto sobre operações relativas à circulação de mercadorias incidente sobre energia elétrica, desde a produção ou importação até a última operação, calculado o imposto sobre o preço então praticado na operação final e assegurado seu recolhimento ao Estado ou ao Distrito Federal, confo</w:t>
      </w:r>
    </w:p>
    <w:p>
      <w:pPr>
        <w:ind w:left="288"/>
      </w:pPr>
      <w:r>
        <w:rPr>
          <w:color w:val="8C8C8C"/>
          <w:sz w:val="12"/>
        </w:rPr>
        <w:t>cf-art-233-par-7-inc-III</w:t>
      </w:r>
    </w:p>
    <w:p>
      <w:pPr>
        <w:ind w:left="288"/>
      </w:pPr>
      <w:r>
        <w:rPr>
          <w:color w:val="1E1E1E"/>
          <w:sz w:val="18"/>
        </w:rPr>
        <w:t>§ 11. Fica criado, nos termos da lei, o Banco de Desenvolvimento do Centro-Oeste, para dar cumprimento, na referida região, ao que determinam os arts. 159, I, c, e 192, § 2º, da Constituição. § 12. A urgência prevista no art. 148, II, não prejudica a cobrança do empréstimo compulsório instituído, em benefício das Centrais Elétricas Brasileiras S.A. (Eletrobrás), pela Lei nº 4.156, de 28 de novembro de 1962, com as alterações posteriores.</w:t>
      </w:r>
    </w:p>
    <w:p>
      <w:pPr>
        <w:ind w:left="288"/>
      </w:pPr>
      <w:r>
        <w:rPr>
          <w:color w:val="8C8C8C"/>
          <w:sz w:val="12"/>
        </w:rPr>
        <w:t>cf-art-233-par-7-inc-III</w:t>
      </w:r>
      <w:r>
        <w:rPr>
          <w:color w:val="003CA0"/>
          <w:sz w:val="12"/>
        </w:rPr>
        <w:t xml:space="preserve"> | RE 146.615</w:t>
      </w:r>
      <w:r>
        <w:rPr>
          <w:color w:val="003CA0"/>
          <w:sz w:val="12"/>
        </w:rPr>
        <w:t xml:space="preserve"> | rel. Maurício Corrêa</w:t>
      </w:r>
    </w:p>
    <w:p>
      <w:pPr>
        <w:ind w:left="288"/>
      </w:pPr>
      <w:r>
        <w:rPr>
          <w:color w:val="1E1E1E"/>
          <w:sz w:val="18"/>
        </w:rPr>
        <w:t>Recepção e manutenção do imposto compulsório sobre energia elétrica. Integrando o sistema tributário nacional, o empréstimo compulsório disciplinado no art. 148 da CF entrou em vigor, desde logo, com a promulgação da Constituição de 1988, e não só a partir do primeiro dia do quinto mês seguinte à sua promulgação. A regra constitucional transitória inserta no art. 34, § 12, preservou a exigibilidade do empréstimo compulsório instituído pela Lei 4.156/1962, com as alterações posteriores, até o exercício de 1993, como previsto o art. 1º da Lei 7.181/1983.</w:t>
      </w:r>
    </w:p>
    <w:p>
      <w:pPr>
        <w:ind w:left="288"/>
      </w:pPr>
      <w:r>
        <w:rPr>
          <w:b/>
          <w:color w:val="003CA0"/>
          <w:sz w:val="16"/>
        </w:rPr>
        <w:t>[RE 146.615, rel. min. Maurício Corrêa, j. 6-4-1995, P, DJ de 30-6-1995.]</w:t>
      </w:r>
    </w:p>
    <w:p>
      <w:pPr>
        <w:ind w:left="288"/>
      </w:pPr>
      <w:r>
        <w:rPr>
          <w:color w:val="8C8C8C"/>
          <w:sz w:val="12"/>
        </w:rPr>
        <w:t>cf-art-233-par-7-inc-III</w:t>
      </w:r>
      <w:r>
        <w:rPr>
          <w:color w:val="003CA0"/>
          <w:sz w:val="12"/>
        </w:rPr>
        <w:t xml:space="preserve"> | AI 591.381</w:t>
      </w:r>
      <w:r>
        <w:rPr>
          <w:color w:val="003CA0"/>
          <w:sz w:val="12"/>
        </w:rPr>
        <w:t xml:space="preserve"> | rel. Joaquim Barbosa</w:t>
      </w:r>
    </w:p>
    <w:p>
      <w:pPr>
        <w:ind w:left="288"/>
      </w:pPr>
      <w:r>
        <w:rPr>
          <w:color w:val="1E1E1E"/>
          <w:sz w:val="18"/>
        </w:rPr>
        <w:t>= AI 591.381 AgR, rel. min. Joaquim Barbosa, j. 16-12-2008, 2ª T, DJE de 6-3-2009 Art. 35. O disposto no art. 165, § 7º, será cumprido de forma progressiva, no prazo de até dez anos, distribuindo-se os recursos entre as regiões macroeconômicas em razão proporcional à população, a partir da situação verificada no biênio 1986-87.</w:t>
      </w:r>
    </w:p>
    <w:p>
      <w:pPr>
        <w:ind w:left="288"/>
      </w:pPr>
      <w:r>
        <w:rPr>
          <w:color w:val="8C8C8C"/>
          <w:sz w:val="12"/>
        </w:rPr>
        <w:t>cf-art-233-par-2</w:t>
      </w:r>
    </w:p>
    <w:p>
      <w:pPr>
        <w:ind w:left="288"/>
      </w:pPr>
      <w:r>
        <w:rPr>
          <w:color w:val="1E1E1E"/>
          <w:sz w:val="18"/>
        </w:rPr>
        <w:t>I - o projeto do plano plurianual, para vigência até o final do primeiro exercício financeiro do mandato presidencial subseqüente, será encaminhado até quatro meses antes do encerramento do primeiro exercício financeiro e devolvido para sanção até o encerramento da sessão legislativa;</w:t>
      </w:r>
    </w:p>
    <w:p>
      <w:pPr>
        <w:ind w:left="144"/>
      </w:pPr>
      <w:r>
        <w:rPr>
          <w:b/>
          <w:color w:val="B45A00"/>
          <w:sz w:val="16"/>
        </w:rPr>
        <w:t>CONTROLE CONCENTRADO</w:t>
      </w:r>
    </w:p>
    <w:p>
      <w:pPr>
        <w:ind w:left="288"/>
      </w:pPr>
      <w:r>
        <w:rPr>
          <w:color w:val="8C8C8C"/>
          <w:sz w:val="12"/>
        </w:rPr>
        <w:t>cf-art-233-par-2</w:t>
      </w:r>
      <w:r>
        <w:rPr>
          <w:color w:val="003CA0"/>
          <w:sz w:val="12"/>
        </w:rPr>
        <w:t xml:space="preserve"> | ADI 4.629</w:t>
      </w:r>
      <w:r>
        <w:rPr>
          <w:color w:val="003CA0"/>
          <w:sz w:val="12"/>
        </w:rPr>
        <w:t xml:space="preserve"> | rel. Alexandre de Moraes</w:t>
      </w:r>
    </w:p>
    <w:p>
      <w:pPr>
        <w:ind w:left="288"/>
      </w:pPr>
      <w:r>
        <w:rPr>
          <w:color w:val="1E1E1E"/>
          <w:sz w:val="18"/>
        </w:rPr>
        <w:t>O art. 35, § 2º, I, do ADCT dispõe que a lei do plano plurianual tem vigência até ‘o final do primeiro exercício financeiro do mandato presidencial subsequente’, com início no segundo ano de mandato. Assim, no ano em que for editado o PPA, a Lei de Diretrizes Orçamentárias deve ser compatível com o plano então vigente (CF, art. 166, § 4º).</w:t>
      </w:r>
    </w:p>
    <w:p>
      <w:pPr>
        <w:ind w:left="288"/>
      </w:pPr>
      <w:r>
        <w:rPr>
          <w:b/>
          <w:color w:val="003CA0"/>
          <w:sz w:val="16"/>
        </w:rPr>
        <w:t>[ADI 4.629, rel. min. Alexandre de Moraes, j. 20-9-2019, P, DJE de 3-10-2019.]</w:t>
      </w:r>
    </w:p>
    <w:p>
      <w:pPr>
        <w:ind w:left="288"/>
      </w:pPr>
      <w:r>
        <w:rPr>
          <w:color w:val="8C8C8C"/>
          <w:sz w:val="12"/>
        </w:rPr>
        <w:t>cf-art-233-par-2</w:t>
      </w:r>
    </w:p>
    <w:p>
      <w:pPr>
        <w:ind w:left="288"/>
      </w:pPr>
      <w:r>
        <w:rPr>
          <w:color w:val="1E1E1E"/>
          <w:sz w:val="18"/>
        </w:rPr>
        <w:t>II - o projeto de lei de diretrizes orçamentárias será encaminhado até oito meses e meio antes do encerramento do exercício financeiro e devolvido para sanção até o encerramento do primeiro período da sessão legislativa;</w:t>
      </w:r>
    </w:p>
    <w:p>
      <w:pPr>
        <w:ind w:left="288"/>
      </w:pPr>
      <w:r>
        <w:rPr>
          <w:color w:val="8C8C8C"/>
          <w:sz w:val="12"/>
        </w:rPr>
        <w:t>cf-art-233-par-2-inc-III</w:t>
      </w:r>
    </w:p>
    <w:p>
      <w:pPr>
        <w:ind w:left="288"/>
      </w:pPr>
      <w:r>
        <w:rPr>
          <w:color w:val="1E1E1E"/>
          <w:sz w:val="18"/>
        </w:rPr>
        <w:t>Art. 36. Os fundos existentes na data da promulgação da Constituição, excetuados os resultantes de isenções fiscais que passem a integrar patrimônio privado e os que interessem à defesa nacional, extinguir-se-ão, se não forem ratificados pelo Congresso Nacional no prazo de dois anos.</w:t>
      </w:r>
    </w:p>
    <w:p>
      <w:pPr>
        <w:ind w:left="144"/>
      </w:pPr>
      <w:r>
        <w:rPr>
          <w:b/>
          <w:color w:val="B45A00"/>
          <w:sz w:val="16"/>
        </w:rPr>
        <w:t>JULGADOS CORRELATOS</w:t>
      </w:r>
    </w:p>
    <w:p>
      <w:pPr>
        <w:ind w:left="288"/>
      </w:pPr>
      <w:r>
        <w:rPr>
          <w:color w:val="8C8C8C"/>
          <w:sz w:val="12"/>
        </w:rPr>
        <w:t>cf-art-233-par-2-inc-III</w:t>
      </w:r>
      <w:r>
        <w:rPr>
          <w:color w:val="003CA0"/>
          <w:sz w:val="12"/>
        </w:rPr>
        <w:t xml:space="preserve"> | RE 165.939</w:t>
      </w:r>
      <w:r>
        <w:rPr>
          <w:color w:val="003CA0"/>
          <w:sz w:val="12"/>
        </w:rPr>
        <w:t xml:space="preserve"> | rel. Carlos Velloso</w:t>
      </w:r>
    </w:p>
    <w:p>
      <w:pPr>
        <w:ind w:left="288"/>
      </w:pPr>
      <w:r>
        <w:rPr>
          <w:color w:val="1E1E1E"/>
          <w:sz w:val="18"/>
        </w:rPr>
        <w:t>O AFRMM [Adicional ao Frete para Renovação da Marinha Mercante] não é incompatível com a norma do art. 155, § 2º, IX, da Constituição. Irrelevância, sob o aspecto tributário, da alegação no sentido de que o Fundo da Marinha Mercante teria sido extinto, na forma do disposto no art. 36, ADCT.</w:t>
      </w:r>
    </w:p>
    <w:p>
      <w:pPr>
        <w:ind w:left="288"/>
      </w:pPr>
      <w:r>
        <w:rPr>
          <w:b/>
          <w:color w:val="003CA0"/>
          <w:sz w:val="16"/>
        </w:rPr>
        <w:t>[RE 165.939, rel. min. Carlos Velloso, j. 24-5-1995, P, DJ de 30-6-1995.]</w:t>
      </w:r>
    </w:p>
    <w:p>
      <w:pPr>
        <w:ind w:left="288"/>
      </w:pPr>
      <w:r>
        <w:rPr>
          <w:color w:val="8C8C8C"/>
          <w:sz w:val="12"/>
        </w:rPr>
        <w:t>cf-art-233-par-2-inc-III</w:t>
      </w:r>
    </w:p>
    <w:p>
      <w:pPr>
        <w:ind w:left="288"/>
      </w:pPr>
      <w:r>
        <w:rPr>
          <w:color w:val="1E1E1E"/>
          <w:sz w:val="18"/>
        </w:rPr>
        <w:t>Art. 37. A adaptação ao que estabelece o art. 167, III, deverá processar-se no prazo de cinco anos, reduzindo-se o excesso à base de, pelo menos, um quinto por ano. Art. 38. Até a promulgação da lei complementar referida no art. 169, a União, os Estados, o Distrito Federal e os Municípios não poderão despender com pessoal mais do que sessenta e cinco por cento do valor das respectivas receitas correntes.</w:t>
      </w:r>
    </w:p>
    <w:p>
      <w:pPr>
        <w:ind w:left="144"/>
      </w:pPr>
      <w:r>
        <w:rPr>
          <w:b/>
          <w:color w:val="B45A00"/>
          <w:sz w:val="16"/>
        </w:rPr>
        <w:t>CONTROLE CONCENTRADO</w:t>
      </w:r>
    </w:p>
    <w:p>
      <w:pPr>
        <w:ind w:left="288"/>
      </w:pPr>
      <w:r>
        <w:rPr>
          <w:color w:val="8C8C8C"/>
          <w:sz w:val="12"/>
        </w:rPr>
        <w:t>cf-art-233-par-2-inc-III</w:t>
      </w:r>
      <w:r>
        <w:rPr>
          <w:color w:val="003CA0"/>
          <w:sz w:val="12"/>
        </w:rPr>
        <w:t xml:space="preserve"> | ADI 603</w:t>
      </w:r>
      <w:r>
        <w:rPr>
          <w:color w:val="003CA0"/>
          <w:sz w:val="12"/>
        </w:rPr>
        <w:t xml:space="preserve"> | rel. Eros Grau</w:t>
      </w:r>
    </w:p>
    <w:p>
      <w:pPr>
        <w:ind w:left="288"/>
      </w:pPr>
      <w:r>
        <w:rPr>
          <w:color w:val="1E1E1E"/>
          <w:sz w:val="18"/>
        </w:rPr>
        <w:t>Não há que se falar, de igual modo, em afronta aos arts. 169 da Constituição e 38 do ADCT, eis que esse último preceito não é aplicado desde a edição da LC 96/1999, já revogada pela LC 101/2000, do que resulta que os limites dos gastos com o funcionalismo têm sede infraconstitucional, não podendo, destarte, ter sua constitucionalidade aferida na via da ação direta.</w:t>
      </w:r>
    </w:p>
    <w:p>
      <w:pPr>
        <w:ind w:left="288"/>
      </w:pPr>
      <w:r>
        <w:rPr>
          <w:b/>
          <w:color w:val="003CA0"/>
          <w:sz w:val="16"/>
        </w:rPr>
        <w:t>[ADI 603, voto do rel. min. Eros Grau, j. 17-8-2006, P, DJ de 6-10-2006.]</w:t>
      </w:r>
    </w:p>
    <w:p>
      <w:pPr>
        <w:ind w:left="288"/>
      </w:pPr>
      <w:r>
        <w:rPr>
          <w:color w:val="8C8C8C"/>
          <w:sz w:val="12"/>
        </w:rPr>
        <w:t>cf-art-233-par-1</w:t>
      </w:r>
    </w:p>
    <w:p>
      <w:pPr>
        <w:ind w:left="288"/>
      </w:pPr>
      <w:r>
        <w:rPr>
          <w:color w:val="1E1E1E"/>
          <w:sz w:val="18"/>
        </w:rPr>
        <w:t>Art. 39. Para efeito do cumprimento das disposições constitucionais que impliquem variações de despesas e receitas da União, após a promulgação da Constituição, o Poder Executivo deverá elaborar e o Poder Legislativo apreciar projeto de revisão da lei orçamentária referente ao exercício financeiro de 1989.</w:t>
      </w:r>
    </w:p>
    <w:p>
      <w:pPr>
        <w:ind w:left="288"/>
      </w:pPr>
      <w:r>
        <w:rPr>
          <w:color w:val="8C8C8C"/>
          <w:sz w:val="12"/>
        </w:rPr>
        <w:t>cf-art-233-par-unico</w:t>
      </w:r>
    </w:p>
    <w:p>
      <w:pPr>
        <w:ind w:left="288"/>
      </w:pPr>
      <w:r>
        <w:rPr>
          <w:color w:val="1E1E1E"/>
          <w:sz w:val="18"/>
        </w:rPr>
        <w:t>Art. 40. É mantida a Zona Franca de Manaus, com suas características de área livre de comércio, de exportação e importação, e de incentivos fiscais, pelo prazo de vinte e cinco anos, a partir da promulgação da Constituição.</w:t>
      </w:r>
    </w:p>
    <w:p>
      <w:pPr>
        <w:ind w:left="288"/>
      </w:pPr>
      <w:r>
        <w:rPr>
          <w:color w:val="8C8C8C"/>
          <w:sz w:val="12"/>
        </w:rPr>
        <w:t>cf-art-233-par-unico</w:t>
      </w:r>
      <w:r>
        <w:rPr>
          <w:color w:val="003CA0"/>
          <w:sz w:val="12"/>
        </w:rPr>
        <w:t xml:space="preserve"> | ADI 7.239</w:t>
      </w:r>
      <w:r>
        <w:rPr>
          <w:color w:val="003CA0"/>
          <w:sz w:val="12"/>
        </w:rPr>
        <w:t xml:space="preserve"> | rel. Luís Roberto Barroso</w:t>
      </w:r>
    </w:p>
    <w:p>
      <w:pPr>
        <w:ind w:left="288"/>
      </w:pPr>
      <w:r>
        <w:rPr>
          <w:color w:val="1E1E1E"/>
          <w:sz w:val="18"/>
        </w:rPr>
        <w:t>"É constitucional o dispositivo de lei federal que tão somente explicita a extensão dos benefícios fiscais concedidos à Zona Franca de Manaus pelo Decreto-Lei nº 288/1967, em sua redação original”.</w:t>
        <w:br/>
        <w:t xml:space="preserve">[ADI 7.239, rel. min. Luís Roberto Barroso, j. 11.03.2024, P, DJE de 02.05.2024.] O artigo 15 da Lei Complementar federal 24/1975, que dispensa a prévia autorização em convênio interestadual para a concessão de benefícios fiscais relativos ao ICMS às indústrias instaladas ou que venham a se instalar na Zona Franca de Manaus, está inserido no contexto do regime tributário diferenciado da Zona Franca </w:t>
      </w:r>
    </w:p>
    <w:p>
      <w:pPr>
        <w:ind w:left="288"/>
      </w:pPr>
      <w:r>
        <w:rPr>
          <w:b/>
          <w:color w:val="003CA0"/>
          <w:sz w:val="16"/>
        </w:rPr>
        <w:t>[ADI 310, rel. min. Cármen Lúcia, j. 19-2-2014, P, DJE de 9-9-2014.]</w:t>
      </w:r>
    </w:p>
    <w:p>
      <w:pPr>
        <w:ind w:left="288"/>
      </w:pPr>
      <w:r>
        <w:rPr>
          <w:color w:val="8C8C8C"/>
          <w:sz w:val="12"/>
        </w:rPr>
        <w:t>cf-art-233-par-unico</w:t>
      </w:r>
      <w:r>
        <w:rPr>
          <w:color w:val="003CA0"/>
          <w:sz w:val="12"/>
        </w:rPr>
        <w:t xml:space="preserve"> | ADI 2.348</w:t>
      </w:r>
      <w:r>
        <w:rPr>
          <w:color w:val="003CA0"/>
          <w:sz w:val="12"/>
        </w:rPr>
        <w:t xml:space="preserve"> | rel. Marco Aurélio</w:t>
      </w:r>
    </w:p>
    <w:p>
      <w:pPr>
        <w:ind w:left="288"/>
      </w:pPr>
      <w:r>
        <w:rPr>
          <w:color w:val="1E1E1E"/>
          <w:sz w:val="18"/>
        </w:rPr>
        <w:t>Zona Franca de Manaus. Preservação constitucional. Configuram-se a relevância e o risco de manter-se com plena eficácia o diploma atacado se este, por via direta ou indireta, implica a mitigação da norma inserta no art. 40 do ADCT da Carta de 1988: (...).</w:t>
      </w:r>
    </w:p>
    <w:p>
      <w:pPr>
        <w:ind w:left="288"/>
      </w:pPr>
      <w:r>
        <w:rPr>
          <w:b/>
          <w:color w:val="003CA0"/>
          <w:sz w:val="16"/>
        </w:rPr>
        <w:t>[ADI 2.348 MC, rel. min. Marco Aurélio, j. 7-12-2000, P, DJ de 7-11-2003.]</w:t>
      </w:r>
    </w:p>
    <w:p>
      <w:pPr>
        <w:ind w:left="288"/>
      </w:pPr>
      <w:r>
        <w:rPr>
          <w:color w:val="8C8C8C"/>
          <w:sz w:val="12"/>
        </w:rPr>
        <w:t>cf-art-233-par-unico</w:t>
      </w:r>
      <w:r>
        <w:rPr>
          <w:color w:val="003CA0"/>
          <w:sz w:val="12"/>
        </w:rPr>
        <w:t xml:space="preserve"> | RE 568.417</w:t>
      </w:r>
      <w:r>
        <w:rPr>
          <w:color w:val="003CA0"/>
          <w:sz w:val="12"/>
        </w:rPr>
        <w:t xml:space="preserve"> | rel. Dias Toffoli</w:t>
      </w:r>
    </w:p>
    <w:p>
      <w:pPr>
        <w:ind w:left="288"/>
      </w:pPr>
      <w:r>
        <w:rPr>
          <w:color w:val="1E1E1E"/>
          <w:sz w:val="18"/>
        </w:rPr>
        <w:t>= RE 568.417 AgR, rel. min. Dias Toffoli, j. 7-2-2012, 1ª T, DJE de 15-3-2012 “É infraconstitucional a controvérsia sobre a incidência de PIS e de Cofins sobre as receitas de prestação de serviços para pessoas físicas e jurídicas na Zona Franca de Manaus”.</w:t>
      </w:r>
    </w:p>
    <w:p>
      <w:pPr>
        <w:ind w:left="288"/>
      </w:pPr>
      <w:r>
        <w:rPr>
          <w:b/>
          <w:color w:val="003CA0"/>
          <w:sz w:val="16"/>
        </w:rPr>
        <w:t>[ARE 1.524.893 RG, rel. min. Luís Roberto Barroso, j. 29.11.2024, P, DJE de 05.12.2024, Tema 1.363, com repercussão geral negada.]</w:t>
      </w:r>
    </w:p>
    <w:p>
      <w:pPr>
        <w:ind w:left="144"/>
      </w:pPr>
      <w:r>
        <w:rPr>
          <w:b/>
          <w:color w:val="B45A00"/>
          <w:sz w:val="16"/>
        </w:rPr>
        <w:t>REPERCUSSAO GERAL</w:t>
      </w:r>
    </w:p>
    <w:p>
      <w:pPr>
        <w:ind w:left="288"/>
      </w:pPr>
      <w:r>
        <w:rPr>
          <w:color w:val="8C8C8C"/>
          <w:sz w:val="12"/>
        </w:rPr>
        <w:t>cf-art-233-par-unico</w:t>
      </w:r>
      <w:r>
        <w:rPr>
          <w:color w:val="003CA0"/>
          <w:sz w:val="12"/>
        </w:rPr>
        <w:t xml:space="preserve"> | RE 592.891</w:t>
      </w:r>
      <w:r>
        <w:rPr>
          <w:color w:val="003CA0"/>
          <w:sz w:val="12"/>
        </w:rPr>
        <w:t xml:space="preserve"> | rel. Rosa Weber</w:t>
      </w:r>
    </w:p>
    <w:p>
      <w:pPr>
        <w:ind w:left="288"/>
      </w:pPr>
      <w:r>
        <w:rPr>
          <w:color w:val="1E1E1E"/>
          <w:sz w:val="18"/>
        </w:rPr>
        <w:t>Há direito ao creditamento de IPI na entrada de insumos, matéria-prima e material de embalagem adquiridos junto à Zona Franca de Manaus sob o regime da isenção, considerada a previsão de incentivos regionais constante do art. 43, § 2º, III, da Constituição Federal, combinada com o comando do art. 40 do ADCT.</w:t>
      </w:r>
    </w:p>
    <w:p>
      <w:pPr>
        <w:ind w:left="288"/>
      </w:pPr>
      <w:r>
        <w:rPr>
          <w:b/>
          <w:color w:val="003CA0"/>
          <w:sz w:val="16"/>
        </w:rPr>
        <w:t>[RE 592.891, rel. min. Rosa Weber, j. 25-4-2019, P, DJE de 20-9-2019, Tema 322, com mérito julgado.]</w:t>
      </w:r>
    </w:p>
    <w:p>
      <w:pPr>
        <w:ind w:left="288"/>
      </w:pPr>
      <w:r>
        <w:rPr>
          <w:color w:val="8C8C8C"/>
          <w:sz w:val="12"/>
        </w:rPr>
        <w:t>cf-art-233-par-unico</w:t>
      </w:r>
      <w:r>
        <w:rPr>
          <w:color w:val="003CA0"/>
          <w:sz w:val="12"/>
        </w:rPr>
        <w:t xml:space="preserve"> | ACO 1.515</w:t>
      </w:r>
      <w:r>
        <w:rPr>
          <w:color w:val="003CA0"/>
          <w:sz w:val="12"/>
        </w:rPr>
        <w:t xml:space="preserve"> | rel. Nunes Marques</w:t>
      </w:r>
    </w:p>
    <w:p>
      <w:pPr>
        <w:ind w:left="288"/>
      </w:pPr>
      <w:r>
        <w:rPr>
          <w:color w:val="1E1E1E"/>
          <w:sz w:val="18"/>
        </w:rPr>
        <w:t>Protocolo n. 22/1999/ICMS firmado entre os Estados do Amazonas e do Rio de Janeiro. Entreposto da Zona Franca de Manaus em Resende/RJ. (...) O Protocolo n. 22/1999/ICMS estabelece que o armazém geral será único e deverá operar em regime de exclusividade, que significa tão somente vedação de recebimento de mercadorias de outros centros, sem implicar monopólio nacional do entreposto. Tendo em vista o objetivo de diminuição de desigualdades reginais, uma das principais finalidades da Zona Franca de Manaus, é inadequado conferir interpretação restritiva do Protocolo n. 22/1999/ICMS, a desautorizar</w:t>
      </w:r>
    </w:p>
    <w:p>
      <w:pPr>
        <w:ind w:left="288"/>
      </w:pPr>
      <w:r>
        <w:rPr>
          <w:b/>
          <w:color w:val="003CA0"/>
          <w:sz w:val="16"/>
        </w:rPr>
        <w:t>[ACO 1.515 AgR, rel. min. Nunes Marques, j. 06.10.2025, P, DJE de 09.10.2025.]</w:t>
      </w:r>
    </w:p>
    <w:p>
      <w:pPr>
        <w:ind w:left="288"/>
      </w:pPr>
      <w:r>
        <w:rPr>
          <w:color w:val="8C8C8C"/>
          <w:sz w:val="12"/>
        </w:rPr>
        <w:t>cf-art-233-par-unico</w:t>
      </w:r>
    </w:p>
    <w:p>
      <w:pPr>
        <w:ind w:left="288"/>
      </w:pPr>
      <w:r>
        <w:rPr>
          <w:color w:val="1E1E1E"/>
          <w:sz w:val="18"/>
        </w:rPr>
        <w:t>Art. 41. Os Poderes Executivos da União, dos Estados, do Distrito Federal e dos Municípios reavaliarão todos os incentivos fiscais de natureza setorial ora em vigor, propondo aos Poderes Legislativos respectivos as medidas cabíveis.</w:t>
      </w:r>
    </w:p>
    <w:p>
      <w:pPr>
        <w:ind w:left="144"/>
      </w:pPr>
      <w:r>
        <w:rPr>
          <w:b/>
          <w:color w:val="B45A00"/>
          <w:sz w:val="16"/>
        </w:rPr>
        <w:t>JULGADOS CORRELATOS</w:t>
      </w:r>
    </w:p>
    <w:p>
      <w:pPr>
        <w:ind w:left="288"/>
      </w:pPr>
      <w:r>
        <w:rPr>
          <w:color w:val="8C8C8C"/>
          <w:sz w:val="12"/>
        </w:rPr>
        <w:t>cf-art-233-par-unico</w:t>
      </w:r>
      <w:r>
        <w:rPr>
          <w:color w:val="003CA0"/>
          <w:sz w:val="12"/>
        </w:rPr>
        <w:t xml:space="preserve"> | RE 280.294</w:t>
      </w:r>
      <w:r>
        <w:rPr>
          <w:color w:val="003CA0"/>
          <w:sz w:val="12"/>
        </w:rPr>
        <w:t xml:space="preserve"> | rel. Carlos Velloso</w:t>
      </w:r>
    </w:p>
    <w:p>
      <w:pPr>
        <w:ind w:left="288"/>
      </w:pPr>
      <w:r>
        <w:rPr>
          <w:color w:val="1E1E1E"/>
          <w:sz w:val="18"/>
        </w:rPr>
        <w:t>O art. 41 do ADCT/1988 compreende todos os incentivos fiscais, inclusive isenções de tributos, dado que a isenção é espécie do gênero incentivo fiscal. Isenções de tributos municipais concedidas pela União na sistemática da Constituição de 1967, art. 19, § 2º: DL 406/1968, art. 11, redação da LC 22, de 1971. Incentivos fiscais, nestes incluídas isenções. Sua revogação, com observância das regras de transição inscritas no art. 41, §§ 1º, 2º e 3º, ADCT/1988.</w:t>
      </w:r>
    </w:p>
    <w:p>
      <w:pPr>
        <w:ind w:left="288"/>
      </w:pPr>
      <w:r>
        <w:rPr>
          <w:b/>
          <w:color w:val="003CA0"/>
          <w:sz w:val="16"/>
        </w:rPr>
        <w:t>[RE 280.294, rel. min. Carlos Velloso, j. 14-5-2002, 2ª T, DJ de 21-6-2002.]</w:t>
      </w:r>
    </w:p>
    <w:p>
      <w:pPr>
        <w:ind w:left="144"/>
      </w:pPr>
      <w:r>
        <w:rPr>
          <w:b/>
          <w:color w:val="B45A00"/>
          <w:sz w:val="16"/>
        </w:rPr>
        <w:t>REPERCUSSAO GERAL</w:t>
      </w:r>
    </w:p>
    <w:p>
      <w:pPr>
        <w:ind w:left="288"/>
      </w:pPr>
      <w:r>
        <w:rPr>
          <w:color w:val="8C8C8C"/>
          <w:sz w:val="12"/>
        </w:rPr>
        <w:t>cf-art-233-par-1</w:t>
      </w:r>
      <w:r>
        <w:rPr>
          <w:color w:val="003CA0"/>
          <w:sz w:val="12"/>
        </w:rPr>
        <w:t xml:space="preserve"> | RE 561.485</w:t>
      </w:r>
      <w:r>
        <w:rPr>
          <w:color w:val="003CA0"/>
          <w:sz w:val="12"/>
        </w:rPr>
        <w:t xml:space="preserve"> | rel. Ricardo Lewandowski</w:t>
      </w:r>
    </w:p>
    <w:p>
      <w:pPr>
        <w:ind w:left="288"/>
      </w:pPr>
      <w:r>
        <w:rPr>
          <w:color w:val="1E1E1E"/>
          <w:sz w:val="18"/>
        </w:rPr>
        <w:t>O crédito-prêmio de IPI constitui um incentivo fiscal de natureza setorial de que trata o art. 41, caput, do Ato das Disposições Transitórias da Constituição. Como o crédito-prêmio de IPI não foi confirmado por lei superveniente no prazo de dois anos, após a publicação da CF de 1988, segundo dispõe o § 1º do art. 41 do ADCT, deixou ele de existir.</w:t>
        <w:br/>
        <w:t>[RE 561.485, rel. min. Ricardo Lewandowski, j. 13-8-2009, P, DJE de 26-2-2010, Tema 63, com mérito julgado.]</w:t>
      </w:r>
    </w:p>
    <w:p>
      <w:pPr>
        <w:ind w:left="144"/>
      </w:pPr>
      <w:r>
        <w:rPr>
          <w:b/>
          <w:color w:val="B45A00"/>
          <w:sz w:val="16"/>
        </w:rPr>
        <w:t>JULGADOS CORRELATOS</w:t>
      </w:r>
    </w:p>
    <w:p>
      <w:pPr>
        <w:ind w:left="288"/>
      </w:pPr>
      <w:r>
        <w:rPr>
          <w:color w:val="8C8C8C"/>
          <w:sz w:val="12"/>
        </w:rPr>
        <w:t>cf-art-233-par-1</w:t>
      </w:r>
      <w:r>
        <w:rPr>
          <w:color w:val="003CA0"/>
          <w:sz w:val="12"/>
        </w:rPr>
        <w:t xml:space="preserve"> | AI 258.338</w:t>
      </w:r>
      <w:r>
        <w:rPr>
          <w:color w:val="003CA0"/>
          <w:sz w:val="12"/>
        </w:rPr>
        <w:t xml:space="preserve"> | rel. Gilmar Mendes</w:t>
      </w:r>
    </w:p>
    <w:p>
      <w:pPr>
        <w:ind w:left="288"/>
      </w:pPr>
      <w:r>
        <w:rPr>
          <w:color w:val="1E1E1E"/>
          <w:sz w:val="18"/>
        </w:rPr>
        <w:t>IPTU. Ato Complementar 63/1969. Isenção heterônoma concedida pelo Executivo Federal com base em competência normativa primária peculiar ao regime constitucional de exceção. (...) Isenção recepcionada pela Constituição de 1988, mas com imediata transferência à esfera de competência legislativa dos Municípios. O art. 41, § 1º, do ADCT contém condição resolutiva que conferia aos Municípios, desde a promulgação, a faculdade de antecipar a revogação de isenção de IPTU concedida pela União, tornando despiciendo o esgotamento do prazo de dois anos ali mencionado, que somente teria efeito no caso de i</w:t>
      </w:r>
    </w:p>
    <w:p>
      <w:pPr>
        <w:ind w:left="288"/>
      </w:pPr>
      <w:r>
        <w:rPr>
          <w:b/>
          <w:color w:val="003CA0"/>
          <w:sz w:val="16"/>
        </w:rPr>
        <w:t>[AI 258.338 AgR, rel. min. Gilmar Mendes, j. 31-8-2010, 2ª T, DJE de 24-9-2010.]</w:t>
      </w:r>
    </w:p>
    <w:p>
      <w:pPr>
        <w:ind w:left="288"/>
      </w:pPr>
      <w:r>
        <w:rPr>
          <w:color w:val="8C8C8C"/>
          <w:sz w:val="12"/>
        </w:rPr>
        <w:t>cf-art-233-par-1</w:t>
      </w:r>
      <w:r>
        <w:rPr>
          <w:color w:val="003CA0"/>
          <w:sz w:val="12"/>
        </w:rPr>
        <w:t xml:space="preserve"> | RE 277.372</w:t>
      </w:r>
      <w:r>
        <w:rPr>
          <w:color w:val="003CA0"/>
          <w:sz w:val="12"/>
        </w:rPr>
        <w:t xml:space="preserve"> | rel. Ilmar Galvão</w:t>
      </w:r>
    </w:p>
    <w:p>
      <w:pPr>
        <w:ind w:left="288"/>
      </w:pPr>
      <w:r>
        <w:rPr>
          <w:color w:val="1E1E1E"/>
          <w:sz w:val="18"/>
        </w:rPr>
        <w:t>Incidência do art. 41, §§ 1º e 2º, do ADCT/1988. (...) O regime isentivo, de natureza setorial, teve sua vigência assegurada no primeiro dispositivo constitucional transitório até outubro/1990. Direito adquirido acertadamente reconhecido pelo acórdão, em face da norma contida no segundo dispositivo mencionado, tendo em vista tratar-se de incentivo especificamente concedido por meio de exposição de motivos interministerial aprovada pelo presidente da República. Jurisprudência assentada por ambas as Turmas desta Corte.</w:t>
      </w:r>
    </w:p>
    <w:p>
      <w:pPr>
        <w:ind w:left="288"/>
      </w:pPr>
      <w:r>
        <w:rPr>
          <w:b/>
          <w:color w:val="003CA0"/>
          <w:sz w:val="16"/>
        </w:rPr>
        <w:t>[RE 277.372, rel. min. Ilmar Galvão, j. 19-9-2000, 1ª T, DJ de 9-2-2001.]</w:t>
      </w:r>
    </w:p>
    <w:p>
      <w:pPr>
        <w:ind w:left="288"/>
      </w:pPr>
      <w:r>
        <w:rPr>
          <w:color w:val="8C8C8C"/>
          <w:sz w:val="12"/>
        </w:rPr>
        <w:t>cf-art-233-par-2</w:t>
      </w:r>
      <w:r>
        <w:rPr>
          <w:color w:val="003CA0"/>
          <w:sz w:val="12"/>
        </w:rPr>
        <w:t xml:space="preserve"> | AI 258.338</w:t>
      </w:r>
      <w:r>
        <w:rPr>
          <w:color w:val="003CA0"/>
          <w:sz w:val="12"/>
        </w:rPr>
        <w:t xml:space="preserve"> | rel. Gilmar Mendes</w:t>
      </w:r>
    </w:p>
    <w:p>
      <w:pPr>
        <w:ind w:left="288"/>
      </w:pPr>
      <w:r>
        <w:rPr>
          <w:color w:val="1E1E1E"/>
          <w:sz w:val="18"/>
        </w:rPr>
        <w:t>(...) a ressalva concernente ao direito adquirido contida no § 2º, do (...) art. 41 do Texto Transitório, (...) somente se aplica à hipótese em que houvesse incentivo setorial com encargo oneroso e suportado pelo beneficiário da isenção.</w:t>
      </w:r>
    </w:p>
    <w:p>
      <w:pPr>
        <w:ind w:left="288"/>
      </w:pPr>
      <w:r>
        <w:rPr>
          <w:b/>
          <w:color w:val="003CA0"/>
          <w:sz w:val="16"/>
        </w:rPr>
        <w:t>[AI 258.338 AgR, voto do rel. min. Gilmar Mendes, j. 31-8-2010, 2ª T, DJE de 24-9-2010.]</w:t>
      </w:r>
    </w:p>
    <w:p>
      <w:pPr>
        <w:ind w:left="288"/>
      </w:pPr>
      <w:r>
        <w:rPr>
          <w:color w:val="8C8C8C"/>
          <w:sz w:val="12"/>
        </w:rPr>
        <w:t>cf-art-233-par-3</w:t>
      </w:r>
    </w:p>
    <w:p>
      <w:pPr>
        <w:ind w:left="288"/>
      </w:pPr>
      <w:r>
        <w:rPr>
          <w:color w:val="1E1E1E"/>
          <w:sz w:val="18"/>
        </w:rPr>
        <w:t>Art. 42. Durante 40 (quarenta) anos, a União aplicará dos recursos destinados à irrigação: (Redação da EC 89/2015)</w:t>
      </w:r>
    </w:p>
    <w:p>
      <w:pPr>
        <w:ind w:left="288"/>
      </w:pPr>
      <w:r>
        <w:rPr>
          <w:color w:val="8C8C8C"/>
          <w:sz w:val="12"/>
        </w:rPr>
        <w:t>cf-art-233-par-3-inc-II</w:t>
      </w:r>
    </w:p>
    <w:p>
      <w:pPr>
        <w:ind w:left="288"/>
      </w:pPr>
      <w:r>
        <w:rPr>
          <w:color w:val="1E1E1E"/>
          <w:sz w:val="18"/>
        </w:rPr>
        <w:t>Art. 43. Na data da promulgação da lei que disciplinar a pesquisa e a lavra de recursos e jazidas minerais, ou no prazo de um ano, a contar da promulgação da Constituição, tornar-se-ão sem efeito as autorizações, concessões e demais títulos atributivos de direitos minerários, caso os trabalhos de pesquisa ou de lavra não hajam sido comprovadamente iniciados nos prazos legais ou estejam inativos. Art. 44. As atuais empresas brasileiras titulares de autorização de pesquisa, concessão de lavra de recursos minerais e de aproveitamento dos potenciais de energia hidráulica em vigor terão quatro anos</w:t>
      </w:r>
    </w:p>
    <w:p>
      <w:pPr>
        <w:ind w:left="288"/>
      </w:pPr>
      <w:r>
        <w:rPr>
          <w:color w:val="8C8C8C"/>
          <w:sz w:val="12"/>
        </w:rPr>
        <w:t>cf-art-233-par-3</w:t>
      </w:r>
    </w:p>
    <w:p>
      <w:pPr>
        <w:ind w:left="288"/>
      </w:pPr>
      <w:r>
        <w:rPr>
          <w:color w:val="1E1E1E"/>
          <w:sz w:val="18"/>
        </w:rPr>
        <w:t>Art. 45. Ficam excluídas do monopólio estabelecido pelo art. 177, II, da Constituição as refinarias em funcionamento no País amparadas pelo art. 43 e nas condições do art. 45 da Lei nº 2.004, de 3 de outubro de 1953.</w:t>
      </w:r>
    </w:p>
    <w:p>
      <w:pPr>
        <w:ind w:left="288"/>
      </w:pPr>
      <w:r>
        <w:rPr>
          <w:color w:val="8C8C8C"/>
          <w:sz w:val="12"/>
        </w:rPr>
        <w:t>cf-art-233-par-unico</w:t>
      </w:r>
    </w:p>
    <w:p>
      <w:pPr>
        <w:ind w:left="288"/>
      </w:pPr>
      <w:r>
        <w:rPr>
          <w:color w:val="1E1E1E"/>
          <w:sz w:val="18"/>
        </w:rPr>
        <w:t>Art. 46. São sujeitos à correção monetária desde o vencimento, até seu efetivo pagamento, sem interrupção ou suspensão, os créditos junto a entidades submetidas aos regimes de intervenção ou liquidação extrajudicial, mesmo quando esses regimes sejam convertidos em falência.</w:t>
      </w:r>
    </w:p>
    <w:p>
      <w:pPr>
        <w:ind w:left="288"/>
      </w:pPr>
      <w:r>
        <w:rPr>
          <w:color w:val="8C8C8C"/>
          <w:sz w:val="12"/>
        </w:rPr>
        <w:t>cf-art-233-par-unico-inc-I</w:t>
      </w:r>
    </w:p>
    <w:p>
      <w:pPr>
        <w:ind w:left="288"/>
      </w:pPr>
      <w:r>
        <w:rPr>
          <w:color w:val="1E1E1E"/>
          <w:sz w:val="18"/>
        </w:rPr>
        <w:t>II - às operações de empréstimo, financiamento, refinanciamento, assistência financeira de liquidez, cessão ou sub-rogação de créditos ou cédulas hipotecárias, efetivação de garantia de depósitos do público ou de compra de obrigações passivas, inclusive as realizadas com recursos de fundos que tenham essas destinações;</w:t>
      </w:r>
    </w:p>
    <w:p>
      <w:pPr>
        <w:ind w:left="288"/>
      </w:pPr>
      <w:r>
        <w:rPr>
          <w:color w:val="8C8C8C"/>
          <w:sz w:val="12"/>
        </w:rPr>
        <w:t>cf-art-233-par-unico-inc-I</w:t>
      </w:r>
      <w:r>
        <w:rPr>
          <w:color w:val="003CA0"/>
          <w:sz w:val="12"/>
        </w:rPr>
        <w:t xml:space="preserve"> | RE 150.055</w:t>
      </w:r>
      <w:r>
        <w:rPr>
          <w:color w:val="003CA0"/>
          <w:sz w:val="12"/>
        </w:rPr>
        <w:t xml:space="preserve"> | rel. Ilmar Galvão</w:t>
      </w:r>
    </w:p>
    <w:p>
      <w:pPr>
        <w:ind w:left="288"/>
      </w:pPr>
      <w:r>
        <w:rPr>
          <w:color w:val="1E1E1E"/>
          <w:sz w:val="18"/>
        </w:rPr>
        <w:t>O acórdão oriundo do TST não violou a regra do art. 46, II, do ADCT, decorrente de sua má aplicação ao caso dos autos. Percebe-se, pelo conteúdo de sua fundamentação, que a questão da incidência dos juros e da correção monetária sobre as verbas pretendidas pelo recorrido constou do pedido de rescisão, havendo o Tribunal invocado a referida regra, que impõe a incidência das parcelas sobre débitos das empresas em liquidação extrajudicial, para realçar que a pretensão da autora no sentido de fazer prevalecer o acórdão da Turma, que afastara os referidos encargos, esbarrava na nova disposição cons</w:t>
      </w:r>
    </w:p>
    <w:p>
      <w:pPr>
        <w:ind w:left="288"/>
      </w:pPr>
      <w:r>
        <w:rPr>
          <w:b/>
          <w:color w:val="003CA0"/>
          <w:sz w:val="16"/>
        </w:rPr>
        <w:t>[RE 150.055, rel. min. Ilmar Galvão, j. 29-4-1997, 1ª T, DJ de 12-9-1997.]</w:t>
      </w:r>
    </w:p>
    <w:p>
      <w:pPr>
        <w:ind w:left="288"/>
      </w:pPr>
      <w:r>
        <w:rPr>
          <w:color w:val="8C8C8C"/>
          <w:sz w:val="12"/>
        </w:rPr>
        <w:t>cf-art-233-par-unico-inc-IV</w:t>
      </w:r>
    </w:p>
    <w:p>
      <w:pPr>
        <w:ind w:left="288"/>
      </w:pPr>
      <w:r>
        <w:rPr>
          <w:color w:val="1E1E1E"/>
          <w:sz w:val="18"/>
        </w:rPr>
        <w:t>Art. 47. Na liquidação dos débitos, inclusive suas renegociações e composições posteriores, ainda que ajuizados, decorrentes de quaisquer empréstimos concedidos por bancos e por instituições financeiras, não existirá correção monetária desde que o empréstimo tenha sido concedido:</w:t>
      </w:r>
    </w:p>
    <w:p>
      <w:pPr>
        <w:ind w:left="288"/>
      </w:pPr>
      <w:r>
        <w:rPr>
          <w:color w:val="8C8C8C"/>
          <w:sz w:val="12"/>
        </w:rPr>
        <w:t>cf-art-233-par-unico-inc-IV</w:t>
      </w:r>
      <w:r>
        <w:rPr>
          <w:color w:val="003CA0"/>
          <w:sz w:val="12"/>
        </w:rPr>
        <w:t xml:space="preserve"> | RE 228.001</w:t>
      </w:r>
      <w:r>
        <w:rPr>
          <w:color w:val="003CA0"/>
          <w:sz w:val="12"/>
        </w:rPr>
        <w:t xml:space="preserve"> | rel. Néri da Silveira</w:t>
      </w:r>
    </w:p>
    <w:p>
      <w:pPr>
        <w:ind w:left="288"/>
      </w:pPr>
      <w:r>
        <w:rPr>
          <w:color w:val="1E1E1E"/>
          <w:sz w:val="18"/>
        </w:rPr>
        <w:t>Anistia constitucional. Art. 47 do ADCT. O dispositivo aludido, ao se referir a "quaisquer empréstimos", não faz distinção alguma.</w:t>
      </w:r>
    </w:p>
    <w:p>
      <w:pPr>
        <w:ind w:left="288"/>
      </w:pPr>
      <w:r>
        <w:rPr>
          <w:b/>
          <w:color w:val="003CA0"/>
          <w:sz w:val="16"/>
        </w:rPr>
        <w:t>[RE 228.001, rel. min. Néri da Silveira, j. 21-9-1998, 2ª T, DJ de 9-4-1999.]</w:t>
      </w:r>
    </w:p>
    <w:p>
      <w:pPr>
        <w:ind w:left="288"/>
      </w:pPr>
      <w:r>
        <w:rPr>
          <w:color w:val="8C8C8C"/>
          <w:sz w:val="12"/>
        </w:rPr>
        <w:t>cf-art-233-par-unico-inc-IV</w:t>
      </w:r>
      <w:r>
        <w:rPr>
          <w:color w:val="003CA0"/>
          <w:sz w:val="12"/>
        </w:rPr>
        <w:t xml:space="preserve"> | AI 181.207</w:t>
      </w:r>
      <w:r>
        <w:rPr>
          <w:color w:val="003CA0"/>
          <w:sz w:val="12"/>
        </w:rPr>
        <w:t xml:space="preserve"> | rel. Maurício Corrêa</w:t>
      </w:r>
    </w:p>
    <w:p>
      <w:pPr>
        <w:ind w:left="288"/>
      </w:pPr>
      <w:r>
        <w:rPr>
          <w:color w:val="1E1E1E"/>
          <w:sz w:val="18"/>
        </w:rPr>
        <w:t>Não há necessidade de norma regulamentadora do preceito constitucional inserto no art. 47 do ADCT, para definir os beneficiários da anistia nele prevista.</w:t>
      </w:r>
    </w:p>
    <w:p>
      <w:pPr>
        <w:ind w:left="288"/>
      </w:pPr>
      <w:r>
        <w:rPr>
          <w:b/>
          <w:color w:val="003CA0"/>
          <w:sz w:val="16"/>
        </w:rPr>
        <w:t>[AI 181.207 AgR, rel. min. Maurício Corrêa, j. 13-5-1996, 2ª T, DJ de 1º-7-1996.]</w:t>
      </w:r>
    </w:p>
    <w:p>
      <w:pPr>
        <w:ind w:left="288"/>
      </w:pPr>
      <w:r>
        <w:rPr>
          <w:color w:val="8C8C8C"/>
          <w:sz w:val="12"/>
        </w:rPr>
        <w:t>cf-art-233-par-unico-inc-IV</w:t>
      </w:r>
      <w:r>
        <w:rPr>
          <w:color w:val="003CA0"/>
          <w:sz w:val="12"/>
        </w:rPr>
        <w:t xml:space="preserve"> | RE 141.278</w:t>
      </w:r>
      <w:r>
        <w:rPr>
          <w:color w:val="003CA0"/>
          <w:sz w:val="12"/>
        </w:rPr>
        <w:t xml:space="preserve"> | rel. Maurício Corrêa</w:t>
      </w:r>
    </w:p>
    <w:p>
      <w:pPr>
        <w:ind w:left="288"/>
      </w:pPr>
      <w:r>
        <w:rPr>
          <w:color w:val="1E1E1E"/>
          <w:sz w:val="18"/>
        </w:rPr>
        <w:t>A norma constitucional não faz qualquer referência a isenção dos juros nem previu que, nos empréstimos concedidos sem estipulação de correção monetária, somente eram devidos os juros legais disciplinados pelo Código Civil.</w:t>
      </w:r>
    </w:p>
    <w:p>
      <w:pPr>
        <w:ind w:left="288"/>
      </w:pPr>
      <w:r>
        <w:rPr>
          <w:b/>
          <w:color w:val="003CA0"/>
          <w:sz w:val="16"/>
        </w:rPr>
        <w:t>[RE 141.278, rel. min. Maurício Corrêa, j. 15-12-1995, 2ª T, DJ de 19-4-1996.]</w:t>
      </w:r>
    </w:p>
    <w:p>
      <w:pPr>
        <w:ind w:left="288"/>
      </w:pPr>
      <w:r>
        <w:rPr>
          <w:color w:val="8C8C8C"/>
          <w:sz w:val="12"/>
        </w:rPr>
        <w:t>cf-art-233-par-unico-inc-IV</w:t>
      </w:r>
      <w:r>
        <w:rPr>
          <w:color w:val="003CA0"/>
          <w:sz w:val="12"/>
        </w:rPr>
        <w:t xml:space="preserve"> | AI 140.205</w:t>
      </w:r>
      <w:r>
        <w:rPr>
          <w:color w:val="003CA0"/>
          <w:sz w:val="12"/>
        </w:rPr>
        <w:t xml:space="preserve"> | rel. Octavio Gallotti</w:t>
      </w:r>
    </w:p>
    <w:p>
      <w:pPr>
        <w:ind w:left="288"/>
      </w:pPr>
      <w:r>
        <w:rPr>
          <w:color w:val="1E1E1E"/>
          <w:sz w:val="18"/>
        </w:rPr>
        <w:t>Notas promissórias, substitutivas de garantia inicial, mas transferidas ao estabelecimento bancário mediante endosso, ajustando-se, assim, a hipótese, na previsão do art. 47 do ADCT.</w:t>
      </w:r>
    </w:p>
    <w:p>
      <w:pPr>
        <w:ind w:left="288"/>
      </w:pPr>
      <w:r>
        <w:rPr>
          <w:b/>
          <w:color w:val="003CA0"/>
          <w:sz w:val="16"/>
        </w:rPr>
        <w:t>[AI 140.205 AgR, rel. min. Octavio Gallotti, j. 27-6-1995, 1ª T, DJ de 22-9-1995.]</w:t>
      </w:r>
    </w:p>
    <w:p>
      <w:pPr>
        <w:ind w:left="288"/>
      </w:pPr>
      <w:r>
        <w:rPr>
          <w:color w:val="8C8C8C"/>
          <w:sz w:val="12"/>
        </w:rPr>
        <w:t>cf-art-233-par-unico-inc-IV</w:t>
      </w:r>
      <w:r>
        <w:rPr>
          <w:color w:val="003CA0"/>
          <w:sz w:val="12"/>
        </w:rPr>
        <w:t xml:space="preserve"> | AI 143.709</w:t>
      </w:r>
      <w:r>
        <w:rPr>
          <w:color w:val="003CA0"/>
          <w:sz w:val="12"/>
        </w:rPr>
        <w:t xml:space="preserve"> | rel. Sydney Sanches</w:t>
      </w:r>
    </w:p>
    <w:p>
      <w:pPr>
        <w:ind w:left="288"/>
      </w:pPr>
      <w:r>
        <w:rPr>
          <w:color w:val="1E1E1E"/>
          <w:sz w:val="18"/>
        </w:rPr>
        <w:t>No caso, a jurisprudência do STF é pacífica no sentido de que aproveita ao avalista o benefício, concedido ao devedor avalizado, de exoneração da correção monetária, previsto no art. 47, caput e seu § 3º e respectivos incisos, do ADCT da CF de 1988.</w:t>
      </w:r>
    </w:p>
    <w:p>
      <w:pPr>
        <w:ind w:left="288"/>
      </w:pPr>
      <w:r>
        <w:rPr>
          <w:b/>
          <w:color w:val="003CA0"/>
          <w:sz w:val="16"/>
        </w:rPr>
        <w:t>[AI 143.709 AgR, rel. min. Sydney Sanches, j. 21-3-1995, 1ª T, DJ de 1º-9-1995.]</w:t>
      </w:r>
    </w:p>
    <w:p>
      <w:pPr>
        <w:ind w:left="288"/>
      </w:pPr>
      <w:r>
        <w:rPr>
          <w:color w:val="8C8C8C"/>
          <w:sz w:val="12"/>
        </w:rPr>
        <w:t>cf-art-233-par-unico-inc-IV</w:t>
      </w:r>
      <w:r>
        <w:rPr>
          <w:color w:val="003CA0"/>
          <w:sz w:val="12"/>
        </w:rPr>
        <w:t xml:space="preserve"> | RE 135.305</w:t>
      </w:r>
      <w:r>
        <w:rPr>
          <w:color w:val="003CA0"/>
          <w:sz w:val="12"/>
        </w:rPr>
        <w:t xml:space="preserve"> | rel. Ilmar Galvão</w:t>
      </w:r>
    </w:p>
    <w:p>
      <w:pPr>
        <w:ind w:left="288"/>
      </w:pPr>
      <w:r>
        <w:rPr>
          <w:color w:val="1E1E1E"/>
          <w:sz w:val="18"/>
        </w:rPr>
        <w:t>= RE 135.305, rel. min. Ilmar Galvão, j. 5-5-1992, 1ª T, DJ de 29-5-1992 Não procede a tese no sentido de que a expressão débito inicial, para o efeito do depósito necessário à obtenção do benefício concedido pelo art. 47 do ADCT da CF, abranja todos os encargos contratuais sem função indexante, pois, se assim fosse, os juros legais – com relação aos quais esta Corte já firmou o entendimento de que são os estabelecidos pela lei e não os estipulados no contrato – se acresceriam aos juros remuneratórios estabelecidos no contrato, pois também estes são encargos contratuais não indexantes. Por out</w:t>
      </w:r>
    </w:p>
    <w:p>
      <w:pPr>
        <w:ind w:left="288"/>
      </w:pPr>
      <w:r>
        <w:rPr>
          <w:b/>
          <w:color w:val="003CA0"/>
          <w:sz w:val="16"/>
        </w:rPr>
        <w:t>[AI 148.679 AgR, rel. min. Moreira Alves, j. 7-3-1995, 1ª T, DJ de 4-8-1995.]</w:t>
      </w:r>
    </w:p>
    <w:p>
      <w:pPr>
        <w:ind w:left="288"/>
      </w:pPr>
      <w:r>
        <w:rPr>
          <w:color w:val="8C8C8C"/>
          <w:sz w:val="12"/>
        </w:rPr>
        <w:t>cf-art-233-par-unico-inc-IV</w:t>
      </w:r>
      <w:r>
        <w:rPr>
          <w:color w:val="003CA0"/>
          <w:sz w:val="12"/>
        </w:rPr>
        <w:t xml:space="preserve"> | RE 130.013</w:t>
      </w:r>
      <w:r>
        <w:rPr>
          <w:color w:val="003CA0"/>
          <w:sz w:val="12"/>
        </w:rPr>
        <w:t xml:space="preserve"> | rel. Carlos Velloso</w:t>
      </w:r>
    </w:p>
    <w:p>
      <w:pPr>
        <w:ind w:left="288"/>
      </w:pPr>
      <w:r>
        <w:rPr>
          <w:color w:val="1E1E1E"/>
          <w:sz w:val="18"/>
        </w:rPr>
        <w:t>O leasing envolve locação de bens móveis. Por não constituir o leasing, juridicamente, um contrato de mútuo, não se lhe aplica a anistia prevista no art. 47 do ADCT.</w:t>
      </w:r>
    </w:p>
    <w:p>
      <w:pPr>
        <w:ind w:left="288"/>
      </w:pPr>
      <w:r>
        <w:rPr>
          <w:b/>
          <w:color w:val="003CA0"/>
          <w:sz w:val="16"/>
        </w:rPr>
        <w:t>[RE 130.013, rel. min. Carlos Velloso, j. 22-2-1994, 2ª T, DJ de 24-6-1994.]</w:t>
      </w:r>
    </w:p>
    <w:p>
      <w:pPr>
        <w:ind w:left="288"/>
      </w:pPr>
      <w:r>
        <w:rPr>
          <w:color w:val="8C8C8C"/>
          <w:sz w:val="12"/>
        </w:rPr>
        <w:t>cf-art-233-par-unico-inc-IV</w:t>
      </w:r>
      <w:r>
        <w:rPr>
          <w:color w:val="003CA0"/>
          <w:sz w:val="12"/>
        </w:rPr>
        <w:t xml:space="preserve"> | RE 121.052</w:t>
      </w:r>
      <w:r>
        <w:rPr>
          <w:color w:val="003CA0"/>
          <w:sz w:val="12"/>
        </w:rPr>
        <w:t xml:space="preserve"> | rel. Moreira Alves</w:t>
      </w:r>
    </w:p>
    <w:p>
      <w:pPr>
        <w:ind w:left="288"/>
      </w:pPr>
      <w:r>
        <w:rPr>
          <w:color w:val="1E1E1E"/>
          <w:sz w:val="18"/>
        </w:rPr>
        <w:t>O entendimento de que, para o exercício do benefício conferido pelo art. 47 do ADCT da atual Constituição, é mister que o devedor se valha dos embargos à execução, não podendo fazê-lo mediante depósito nos autos de execução forçada, não viola o referido texto constitucional.</w:t>
      </w:r>
    </w:p>
    <w:p>
      <w:pPr>
        <w:ind w:left="288"/>
      </w:pPr>
      <w:r>
        <w:rPr>
          <w:b/>
          <w:color w:val="003CA0"/>
          <w:sz w:val="16"/>
        </w:rPr>
        <w:t>[RE 121.052, rel. min. Moreira Alves, j. 28-8-1993, 1ª T, DJ de 10-12-1993.]</w:t>
      </w:r>
    </w:p>
    <w:p>
      <w:pPr>
        <w:ind w:left="288"/>
      </w:pPr>
      <w:r>
        <w:rPr>
          <w:color w:val="8C8C8C"/>
          <w:sz w:val="12"/>
        </w:rPr>
        <w:t>cf-art-233-par-unico-inc-IV</w:t>
      </w:r>
      <w:r>
        <w:rPr>
          <w:color w:val="003CA0"/>
          <w:sz w:val="12"/>
        </w:rPr>
        <w:t xml:space="preserve"> | RE 131.643</w:t>
      </w:r>
      <w:r>
        <w:rPr>
          <w:color w:val="003CA0"/>
          <w:sz w:val="12"/>
        </w:rPr>
        <w:t xml:space="preserve"> | rel. Octavio Gallotti</w:t>
      </w:r>
    </w:p>
    <w:p>
      <w:pPr>
        <w:ind w:left="288"/>
      </w:pPr>
      <w:r>
        <w:rPr>
          <w:color w:val="1E1E1E"/>
          <w:sz w:val="18"/>
        </w:rPr>
        <w:t>Também a correção monetária prefixada (absorvida no percentual de juros convencionados) compreende-se na dispensa de pagamento, concedida pelo art. 47 do ADCT de 1988.</w:t>
      </w:r>
    </w:p>
    <w:p>
      <w:pPr>
        <w:ind w:left="288"/>
      </w:pPr>
      <w:r>
        <w:rPr>
          <w:b/>
          <w:color w:val="003CA0"/>
          <w:sz w:val="16"/>
        </w:rPr>
        <w:t>[RE 131.643, rel. min. Octavio Gallotti, j. 3-11-1992, 1ª T, DJ de 18-12-1992.]</w:t>
      </w:r>
    </w:p>
    <w:p>
      <w:pPr>
        <w:ind w:left="288"/>
      </w:pPr>
      <w:r>
        <w:rPr>
          <w:color w:val="8C8C8C"/>
          <w:sz w:val="12"/>
        </w:rPr>
        <w:t>cf-art-233-par-unico-inc-IV</w:t>
      </w:r>
      <w:r>
        <w:rPr>
          <w:color w:val="003CA0"/>
          <w:sz w:val="12"/>
        </w:rPr>
        <w:t xml:space="preserve"> | AI 137.155</w:t>
      </w:r>
      <w:r>
        <w:rPr>
          <w:color w:val="003CA0"/>
          <w:sz w:val="12"/>
        </w:rPr>
        <w:t xml:space="preserve"> | rel. Sepúlveda Pertence</w:t>
      </w:r>
    </w:p>
    <w:p>
      <w:pPr>
        <w:ind w:left="288"/>
      </w:pPr>
      <w:r>
        <w:rPr>
          <w:color w:val="1E1E1E"/>
          <w:sz w:val="18"/>
        </w:rPr>
        <w:t>Não constitui óbice à isenção de correção monetária concedida pelo art. 47 do ADCT que, quando da promulgação deste, pendesse de julgamento ação consignatória proposta pelo devedor e contestada pelo credor por insuficiência do depósito, precisamente porque não corrigido o valor original do débito.</w:t>
      </w:r>
    </w:p>
    <w:p>
      <w:pPr>
        <w:ind w:left="288"/>
      </w:pPr>
      <w:r>
        <w:rPr>
          <w:b/>
          <w:color w:val="003CA0"/>
          <w:sz w:val="16"/>
        </w:rPr>
        <w:t>[AI 137.155, rel. min. Sepúlveda Pertence, j. 8-10-1991, 1ª T, DJ de 1º-11-1991.]</w:t>
      </w:r>
    </w:p>
    <w:p>
      <w:pPr>
        <w:ind w:left="288"/>
      </w:pPr>
      <w:r>
        <w:rPr>
          <w:color w:val="8C8C8C"/>
          <w:sz w:val="12"/>
        </w:rPr>
        <w:t>cf-art-233-par-unico-inc-I</w:t>
      </w:r>
      <w:r>
        <w:rPr>
          <w:color w:val="003CA0"/>
          <w:sz w:val="12"/>
        </w:rPr>
        <w:t xml:space="preserve"> | RE 167.363</w:t>
      </w:r>
      <w:r>
        <w:rPr>
          <w:color w:val="003CA0"/>
          <w:sz w:val="12"/>
        </w:rPr>
        <w:t xml:space="preserve"> | rel. Sydney Sanches</w:t>
      </w:r>
    </w:p>
    <w:p>
      <w:pPr>
        <w:ind w:left="288"/>
      </w:pPr>
      <w:r>
        <w:rPr>
          <w:color w:val="1E1E1E"/>
          <w:sz w:val="18"/>
        </w:rPr>
        <w:t>No caso, o financiamento inicial ocorreu bem antes do período referido no inciso I do art. 47 do ADCT da CF/1988, ou seja, a 28 de março de 1983, sendo o aditivo de retificação e ratificação, datado de 4 de setembro de 1986, mera reformulação do contrato inicial, com reconhecimento do débito até então vencido e não pago, novo prazo para pagamento e estipulação sobre juros. Não se acrescentou ali nenhum novo empréstimo, mas apenas renegociação do contrato anterior. Sendo assim, não pode a autora, ora recorrida, beneficiar-se do disposto no art. 47, I, do ADCT da CF/1988, como demonstrou a recor</w:t>
      </w:r>
    </w:p>
    <w:p>
      <w:pPr>
        <w:ind w:left="288"/>
      </w:pPr>
      <w:r>
        <w:rPr>
          <w:b/>
          <w:color w:val="003CA0"/>
          <w:sz w:val="16"/>
        </w:rPr>
        <w:t>[RE 167.363, rel. min. Sydney Sanches, j. 8-2-2000, 1ª T, DJ de 5-5-2000.]</w:t>
      </w:r>
    </w:p>
    <w:p>
      <w:pPr>
        <w:ind w:left="288"/>
      </w:pPr>
      <w:r>
        <w:rPr>
          <w:color w:val="8C8C8C"/>
          <w:sz w:val="12"/>
        </w:rPr>
        <w:t>cf-art-233-par-unico-inc-I</w:t>
      </w:r>
      <w:r>
        <w:rPr>
          <w:color w:val="003CA0"/>
          <w:sz w:val="12"/>
        </w:rPr>
        <w:t xml:space="preserve"> | RE 185.905</w:t>
      </w:r>
      <w:r>
        <w:rPr>
          <w:color w:val="003CA0"/>
          <w:sz w:val="12"/>
        </w:rPr>
        <w:t xml:space="preserve"> | rel. Sydney Sanches</w:t>
      </w:r>
    </w:p>
    <w:p>
      <w:pPr>
        <w:ind w:left="288"/>
      </w:pPr>
      <w:r>
        <w:rPr>
          <w:color w:val="1E1E1E"/>
          <w:sz w:val="18"/>
        </w:rPr>
        <w:t>O contrato de mútuo somente se consuma com a entrega ao mutuário do bem objeto do contrato, no caso, o numerário objeto do financiamento. E, como isso somente ocorreu dentro do período previsto no inciso I do art. 47 do ADCT, à hipótese se aplica a anistia ou a isenção da correção prevista no caput.</w:t>
      </w:r>
    </w:p>
    <w:p>
      <w:pPr>
        <w:ind w:left="288"/>
      </w:pPr>
      <w:r>
        <w:rPr>
          <w:b/>
          <w:color w:val="003CA0"/>
          <w:sz w:val="16"/>
        </w:rPr>
        <w:t>[RE 185.905, rel. min. Sydney Sanches, j. 15-12-1998, 1ª T, DJ de 4-6-1999.]</w:t>
      </w:r>
    </w:p>
    <w:p>
      <w:pPr>
        <w:ind w:left="288"/>
      </w:pPr>
      <w:r>
        <w:rPr>
          <w:color w:val="8C8C8C"/>
          <w:sz w:val="12"/>
        </w:rPr>
        <w:t>cf-art-233-par-unico-inc-I</w:t>
      </w:r>
      <w:r>
        <w:rPr>
          <w:color w:val="003CA0"/>
          <w:sz w:val="12"/>
        </w:rPr>
        <w:t xml:space="preserve"> | RE 158.660</w:t>
      </w:r>
      <w:r>
        <w:rPr>
          <w:color w:val="003CA0"/>
          <w:sz w:val="12"/>
        </w:rPr>
        <w:t xml:space="preserve"> | rel. Moreira Alves</w:t>
      </w:r>
    </w:p>
    <w:p>
      <w:pPr>
        <w:ind w:left="288"/>
      </w:pPr>
      <w:r>
        <w:rPr>
          <w:color w:val="1E1E1E"/>
          <w:sz w:val="18"/>
        </w:rPr>
        <w:t>O acórdão recorrido entendeu que o empréstimo original, que estava dentro do período de 28-2-1986 a 28-2-1987, oriundo que era de contrato celebrado em dezembro de 1986, foi objeto de renegociação por meio de novação, considerando que o art. 47, caput, do ADCT da atual Constituição, ao se referir à liquidação dos débitos, inclusive suas renegociações posteriores, alcança as novações. Ora, esta Corte tem entendido (assim, a título exemplificativo, no RE 158.660, há pouco julgado pela Primeira Turma) que, nas modalidades de renegociação a que alude o mencionado dispositivo constitucional, se enq</w:t>
      </w:r>
    </w:p>
    <w:p>
      <w:pPr>
        <w:ind w:left="288"/>
      </w:pPr>
      <w:r>
        <w:rPr>
          <w:b/>
          <w:color w:val="003CA0"/>
          <w:sz w:val="16"/>
        </w:rPr>
        <w:t>[AI 189.634 AgR, rel. min. Moreira Alves, j. 27-6-1997, 1ª T, DJ de 12-9-1997.]</w:t>
      </w:r>
    </w:p>
    <w:p>
      <w:pPr>
        <w:ind w:left="288"/>
      </w:pPr>
      <w:r>
        <w:rPr>
          <w:color w:val="8C8C8C"/>
          <w:sz w:val="12"/>
        </w:rPr>
        <w:t>cf-art-233-par-unico-inc-I</w:t>
      </w:r>
      <w:r>
        <w:rPr>
          <w:color w:val="003CA0"/>
          <w:sz w:val="12"/>
        </w:rPr>
        <w:t xml:space="preserve"> | RE 158.348</w:t>
      </w:r>
      <w:r>
        <w:rPr>
          <w:color w:val="003CA0"/>
          <w:sz w:val="12"/>
        </w:rPr>
        <w:t xml:space="preserve"> | rel. Moreira Alves</w:t>
      </w:r>
    </w:p>
    <w:p>
      <w:pPr>
        <w:ind w:left="288"/>
      </w:pPr>
      <w:r>
        <w:rPr>
          <w:color w:val="1E1E1E"/>
          <w:sz w:val="18"/>
        </w:rPr>
        <w:t>Tendo em vista, como acentua o acórdão recorrido, que, em se tratando de comerciante em nome individual, não há como dissociar o homem do comerciante, a solução para saber se o empréstimo a ele concedido o foi, ou não, como pequeno empresário – e isso porque, ao contrário do que ocorre com o inciso II do art. 47 do ADCT, que exige que o crédito seja rural, o inciso I do mesmo dispositivo constitucional não requer modalidade especial de crédito – é a da destinação dada ao valor do empréstimo: se para sua atividade comercial, ou não.</w:t>
      </w:r>
    </w:p>
    <w:p>
      <w:pPr>
        <w:ind w:left="288"/>
      </w:pPr>
      <w:r>
        <w:rPr>
          <w:b/>
          <w:color w:val="003CA0"/>
          <w:sz w:val="16"/>
        </w:rPr>
        <w:t>[RE 158.348, rel. min. Moreira Alves, j. 28-4-1995, 1ª T, DJ de 17-11-1995.]</w:t>
      </w:r>
    </w:p>
    <w:p>
      <w:pPr>
        <w:ind w:left="288"/>
      </w:pPr>
      <w:r>
        <w:rPr>
          <w:color w:val="8C8C8C"/>
          <w:sz w:val="12"/>
        </w:rPr>
        <w:t>cf-art-233-par-unico-inc-I</w:t>
      </w:r>
      <w:r>
        <w:rPr>
          <w:color w:val="003CA0"/>
          <w:sz w:val="12"/>
        </w:rPr>
        <w:t xml:space="preserve"> | AI 147.881</w:t>
      </w:r>
      <w:r>
        <w:rPr>
          <w:color w:val="003CA0"/>
          <w:sz w:val="12"/>
        </w:rPr>
        <w:t xml:space="preserve"> | rel. Octavio Gallotti</w:t>
      </w:r>
    </w:p>
    <w:p>
      <w:pPr>
        <w:ind w:left="288"/>
      </w:pPr>
      <w:r>
        <w:rPr>
          <w:color w:val="1E1E1E"/>
          <w:sz w:val="18"/>
        </w:rPr>
        <w:t>Não se estende o benefício do art. 47 do ADCT, a quem, tendo contraído a dívida em nome pessoal (pessoa física), pretende valer-se da circunstância de ser sócio de pessoa jurídica.</w:t>
      </w:r>
    </w:p>
    <w:p>
      <w:pPr>
        <w:ind w:left="288"/>
      </w:pPr>
      <w:r>
        <w:rPr>
          <w:b/>
          <w:color w:val="003CA0"/>
          <w:sz w:val="16"/>
        </w:rPr>
        <w:t>[AI 147.881 AgR, rel. min. Octavio Gallotti, j. 1º-12-1992, 1ª T, DJ de 5-2-1993.]</w:t>
      </w:r>
    </w:p>
    <w:p>
      <w:pPr>
        <w:ind w:left="288"/>
      </w:pPr>
      <w:r>
        <w:rPr>
          <w:color w:val="8C8C8C"/>
          <w:sz w:val="12"/>
        </w:rPr>
        <w:t>cf-art-233-par-unico-inc-II</w:t>
      </w:r>
      <w:r>
        <w:rPr>
          <w:color w:val="003CA0"/>
          <w:sz w:val="12"/>
        </w:rPr>
        <w:t xml:space="preserve"> | RE 137.262</w:t>
      </w:r>
      <w:r>
        <w:rPr>
          <w:color w:val="003CA0"/>
          <w:sz w:val="12"/>
        </w:rPr>
        <w:t xml:space="preserve"> | rel. Octavio Gallotti</w:t>
      </w:r>
    </w:p>
    <w:p>
      <w:pPr>
        <w:ind w:left="288"/>
      </w:pPr>
      <w:r>
        <w:rPr>
          <w:color w:val="1E1E1E"/>
          <w:sz w:val="18"/>
        </w:rPr>
        <w:t>Deve ser entendida em conformidade com a legislação bancária, vigente à época do contrato, a expressão "crédito rural" utilizada no art. 47, II, do ADCT de 1988.</w:t>
      </w:r>
    </w:p>
    <w:p>
      <w:pPr>
        <w:ind w:left="288"/>
      </w:pPr>
      <w:r>
        <w:rPr>
          <w:b/>
          <w:color w:val="003CA0"/>
          <w:sz w:val="16"/>
        </w:rPr>
        <w:t>[RE 137.262, rel. min. Octavio Gallotti, j. 14-5-1996, 1ª T, DJ de 4-4-1997.]</w:t>
      </w:r>
    </w:p>
    <w:p>
      <w:pPr>
        <w:ind w:left="288"/>
      </w:pPr>
      <w:r>
        <w:rPr>
          <w:color w:val="8C8C8C"/>
          <w:sz w:val="12"/>
        </w:rPr>
        <w:t>cf-art-233-par-unico-inc-II</w:t>
      </w:r>
      <w:r>
        <w:rPr>
          <w:color w:val="003CA0"/>
          <w:sz w:val="12"/>
        </w:rPr>
        <w:t xml:space="preserve"> | RE 141.562</w:t>
      </w:r>
      <w:r>
        <w:rPr>
          <w:color w:val="003CA0"/>
          <w:sz w:val="12"/>
        </w:rPr>
        <w:t xml:space="preserve"> | rel. Celso de Mello</w:t>
      </w:r>
    </w:p>
    <w:p>
      <w:pPr>
        <w:ind w:left="288"/>
      </w:pPr>
      <w:r>
        <w:rPr>
          <w:color w:val="1E1E1E"/>
          <w:sz w:val="18"/>
        </w:rPr>
        <w:t>O benefício de isenção da correção monetária previsto no art. 47, II, do ADCT/1988 alcança, apenas, empréstimos relativos a crédito rural disciplinados por legislação própria.</w:t>
      </w:r>
    </w:p>
    <w:p>
      <w:pPr>
        <w:ind w:left="288"/>
      </w:pPr>
      <w:r>
        <w:rPr>
          <w:b/>
          <w:color w:val="003CA0"/>
          <w:sz w:val="16"/>
        </w:rPr>
        <w:t>[RE 141.562, rel. min. Celso de Mello, j. 26-9-1995, 1ª T, DJ de 28-4-2006.]</w:t>
      </w:r>
    </w:p>
    <w:p>
      <w:pPr>
        <w:ind w:left="288"/>
      </w:pPr>
      <w:r>
        <w:rPr>
          <w:color w:val="8C8C8C"/>
          <w:sz w:val="12"/>
        </w:rPr>
        <w:t>cf-art-233-par-unico-inc-II</w:t>
      </w:r>
      <w:r>
        <w:rPr>
          <w:color w:val="003CA0"/>
          <w:sz w:val="12"/>
        </w:rPr>
        <w:t xml:space="preserve"> | RE 126.675</w:t>
      </w:r>
      <w:r>
        <w:rPr>
          <w:color w:val="003CA0"/>
          <w:sz w:val="12"/>
        </w:rPr>
        <w:t xml:space="preserve"> | rel. Sydney Sanches</w:t>
      </w:r>
    </w:p>
    <w:p>
      <w:pPr>
        <w:ind w:left="288"/>
      </w:pPr>
      <w:r>
        <w:rPr>
          <w:color w:val="1E1E1E"/>
          <w:sz w:val="18"/>
        </w:rPr>
        <w:t>Não basta, a quem se intitula beneficiário da anistia de correção monetária, prevista no art. 47 do ADCT da CF/1988, afora outros requisitos, comprovar a condição de produtor rural. Deve provar, também, que houve, no financiamento a ele concedido, operação relativa a "crédito rural". Justifica-se esse entendimento ante a possibilidade de, em certos casos, o crédito ser destinado, pelo produtor rural, a finalidades inteiramente estranhas a sua atividade produtiva.</w:t>
      </w:r>
    </w:p>
    <w:p>
      <w:pPr>
        <w:ind w:left="288"/>
      </w:pPr>
      <w:r>
        <w:rPr>
          <w:b/>
          <w:color w:val="003CA0"/>
          <w:sz w:val="16"/>
        </w:rPr>
        <w:t>[RE 126.675, rel. min. Sydney Sanches, j. 23-5-1995, 1ª T, DJ de 22-9-1995.]</w:t>
      </w:r>
    </w:p>
    <w:p>
      <w:pPr>
        <w:ind w:left="288"/>
      </w:pPr>
      <w:r>
        <w:rPr>
          <w:color w:val="8C8C8C"/>
          <w:sz w:val="12"/>
        </w:rPr>
        <w:t>cf-art-233-par-unico-inc-II</w:t>
      </w:r>
      <w:r>
        <w:rPr>
          <w:color w:val="003CA0"/>
          <w:sz w:val="12"/>
        </w:rPr>
        <w:t xml:space="preserve"> | RE 140.557</w:t>
      </w:r>
      <w:r>
        <w:rPr>
          <w:color w:val="003CA0"/>
          <w:sz w:val="12"/>
        </w:rPr>
        <w:t xml:space="preserve"> | rel. Moreira Alves</w:t>
      </w:r>
    </w:p>
    <w:p>
      <w:pPr>
        <w:ind w:left="288"/>
      </w:pPr>
      <w:r>
        <w:rPr>
          <w:color w:val="1E1E1E"/>
          <w:sz w:val="18"/>
        </w:rPr>
        <w:t>Ao contrário do que ocorre com o inciso I do art. 47 do ADCT da CF, pelo qual o benefício do caput é concedido aos micros e pequenos empresários ou a seus estabelecimentos no período de 28 de fevereiro de 1986 a 28 de fevereiro de 1987, sem qualquer outra restrição, o inciso II só admite o benefício em se tratando de mínis, pequenos e médios produtores, se os empréstimos forem relativos a crédito rural.</w:t>
      </w:r>
    </w:p>
    <w:p>
      <w:pPr>
        <w:ind w:left="288"/>
      </w:pPr>
      <w:r>
        <w:rPr>
          <w:b/>
          <w:color w:val="003CA0"/>
          <w:sz w:val="16"/>
        </w:rPr>
        <w:t>[RE 140.557, rel. min. Moreira Alves, j. 22-11-1994, 1ª T, DJ de 4-8-1995.]</w:t>
      </w:r>
    </w:p>
    <w:p>
      <w:pPr>
        <w:ind w:left="288"/>
      </w:pPr>
      <w:r>
        <w:rPr>
          <w:color w:val="8C8C8C"/>
          <w:sz w:val="12"/>
        </w:rPr>
        <w:t>cf-art-233-par-unico-inc-II</w:t>
      </w:r>
    </w:p>
    <w:p>
      <w:pPr>
        <w:ind w:left="288"/>
      </w:pPr>
      <w:r>
        <w:rPr>
          <w:color w:val="1E1E1E"/>
          <w:sz w:val="18"/>
        </w:rPr>
        <w:t>§ 1º Consideram-se, para efeito deste artigo, microempresas as pessoas jurídicas e as firmas individuais com receitas anuais de até dez mil Obrigações do Tesouro Nacional, e pequenas empresas as pessoas jurídicas e as firmas individuais com receita anual de até vinte e cinco mil Obrigações do Tesouro Nacional.</w:t>
      </w:r>
    </w:p>
    <w:p>
      <w:pPr>
        <w:ind w:left="288"/>
      </w:pPr>
      <w:r>
        <w:rPr>
          <w:color w:val="8C8C8C"/>
          <w:sz w:val="12"/>
        </w:rPr>
        <w:t>cf-art-233-par-unico-inc-II</w:t>
      </w:r>
      <w:r>
        <w:rPr>
          <w:color w:val="003CA0"/>
          <w:sz w:val="12"/>
        </w:rPr>
        <w:t xml:space="preserve"> | RE 168.537</w:t>
      </w:r>
    </w:p>
    <w:p>
      <w:pPr>
        <w:ind w:left="288"/>
      </w:pPr>
      <w:r>
        <w:rPr>
          <w:color w:val="1E1E1E"/>
          <w:sz w:val="18"/>
        </w:rPr>
        <w:t>Para fins de concessão da anistia da correção monetária prevista no art. 47, § 1º, do ADCT, considera-se a receita bruta, e não a receita líquida, que oscila de acordo com o mercado.</w:t>
      </w:r>
    </w:p>
    <w:p>
      <w:pPr>
        <w:ind w:left="288"/>
      </w:pPr>
      <w:r>
        <w:rPr>
          <w:b/>
          <w:color w:val="003CA0"/>
          <w:sz w:val="16"/>
        </w:rPr>
        <w:t>[RE 168.537, red. do ac. min. Maurício Corrêa, j. 11-6-1997, P, DJ de 19-5-2000.]</w:t>
      </w:r>
    </w:p>
    <w:p>
      <w:pPr>
        <w:ind w:left="288"/>
      </w:pPr>
      <w:r>
        <w:rPr>
          <w:color w:val="8C8C8C"/>
          <w:sz w:val="12"/>
        </w:rPr>
        <w:t>cf-art-233-par-unico-inc-II</w:t>
      </w:r>
      <w:r>
        <w:rPr>
          <w:color w:val="003CA0"/>
          <w:sz w:val="12"/>
        </w:rPr>
        <w:t xml:space="preserve"> | RE 174.746</w:t>
      </w:r>
      <w:r>
        <w:rPr>
          <w:color w:val="003CA0"/>
          <w:sz w:val="12"/>
        </w:rPr>
        <w:t xml:space="preserve"> | rel. Carlos Velloso</w:t>
      </w:r>
    </w:p>
    <w:p>
      <w:pPr>
        <w:ind w:left="288"/>
      </w:pPr>
      <w:r>
        <w:rPr>
          <w:color w:val="1E1E1E"/>
          <w:sz w:val="18"/>
        </w:rPr>
        <w:t>Extensão a cooperativa de trabalhadores rurais da anistia do art. 47 do ADCT, por se tratar de empresa comum, em situação equivalente à de pequena empresa, mesmo porque a Constituição – art. 47, ADCT – não distingue, para o efeito de obter o benefício, entre pequena empresa mercantil e pequena empresa de natureza civil.</w:t>
      </w:r>
    </w:p>
    <w:p>
      <w:pPr>
        <w:ind w:left="288"/>
      </w:pPr>
      <w:r>
        <w:rPr>
          <w:b/>
          <w:color w:val="003CA0"/>
          <w:sz w:val="16"/>
        </w:rPr>
        <w:t>[RE 174.746, rel. min. Carlos Velloso, j. 11-3-1996, 2ª T, DJ de 10-5-1996.]</w:t>
      </w:r>
    </w:p>
    <w:p>
      <w:pPr>
        <w:ind w:left="288"/>
      </w:pPr>
      <w:r>
        <w:rPr>
          <w:color w:val="8C8C8C"/>
          <w:sz w:val="12"/>
        </w:rPr>
        <w:t>cf-art-233-par-unico-inc-II</w:t>
      </w:r>
      <w:r>
        <w:rPr>
          <w:color w:val="003CA0"/>
          <w:sz w:val="12"/>
        </w:rPr>
        <w:t xml:space="preserve"> | RE 144.965</w:t>
      </w:r>
      <w:r>
        <w:rPr>
          <w:color w:val="003CA0"/>
          <w:sz w:val="12"/>
        </w:rPr>
        <w:t xml:space="preserve"> | rel. Sydney Sanches</w:t>
      </w:r>
    </w:p>
    <w:p>
      <w:pPr>
        <w:ind w:left="288"/>
      </w:pPr>
      <w:r>
        <w:rPr>
          <w:color w:val="1E1E1E"/>
          <w:sz w:val="18"/>
        </w:rPr>
        <w:t>Considera-se pequena empresa, para os efeitos da anistia de correção monetária, prevista no art. 47, I, § 1º, do ADCT da CF de 1988, aquela cuja receita global, apurada ao final de todo o ano, não exceda a 25 mil ONTs. Não interessa, para tais fins, saber quanto a empresa arrecadou, em OTNs, durante cada mês do ano, mas a quantas delas correspondeu o total apurado, ao longo de todo o ano, no momento mesmo em que essa apuração ocorre.</w:t>
      </w:r>
    </w:p>
    <w:p>
      <w:pPr>
        <w:ind w:left="288"/>
      </w:pPr>
      <w:r>
        <w:rPr>
          <w:b/>
          <w:color w:val="003CA0"/>
          <w:sz w:val="16"/>
        </w:rPr>
        <w:t>[RE 144.965, rel. min. Sydney Sanches, j. 15-8-1995, 1ª T, DJ de 22-9-1995.]</w:t>
      </w:r>
    </w:p>
    <w:p>
      <w:pPr>
        <w:ind w:left="288"/>
      </w:pPr>
      <w:r>
        <w:rPr>
          <w:color w:val="8C8C8C"/>
          <w:sz w:val="12"/>
        </w:rPr>
        <w:t>cf-art-233-par-unico-inc-II</w:t>
      </w:r>
      <w:r>
        <w:rPr>
          <w:color w:val="003CA0"/>
          <w:sz w:val="12"/>
        </w:rPr>
        <w:t xml:space="preserve"> | RE 142.100</w:t>
      </w:r>
      <w:r>
        <w:rPr>
          <w:color w:val="003CA0"/>
          <w:sz w:val="12"/>
        </w:rPr>
        <w:t xml:space="preserve"> | rel. Ilmar Galvão</w:t>
      </w:r>
    </w:p>
    <w:p>
      <w:pPr>
        <w:ind w:left="288"/>
      </w:pPr>
      <w:r>
        <w:rPr>
          <w:color w:val="1E1E1E"/>
          <w:sz w:val="18"/>
        </w:rPr>
        <w:t>Para fins de obtenção do benefício a que se refere o caput do art. 47 do ADCT, a receita bruta anual da empresa financiada há de estar contida no limite de 25 mil OTNs, considerado o índice vigente à data da celebração do contrato de empréstimo.</w:t>
      </w:r>
    </w:p>
    <w:p>
      <w:pPr>
        <w:ind w:left="288"/>
      </w:pPr>
      <w:r>
        <w:rPr>
          <w:b/>
          <w:color w:val="003CA0"/>
          <w:sz w:val="16"/>
        </w:rPr>
        <w:t>[RE 142.100, rel. min. Ilmar Galvão, j. 8-11-1994, 1ª T, DJ de 10-8-1995.]</w:t>
      </w:r>
    </w:p>
    <w:p>
      <w:pPr>
        <w:ind w:left="288"/>
      </w:pPr>
      <w:r>
        <w:rPr>
          <w:color w:val="8C8C8C"/>
          <w:sz w:val="12"/>
        </w:rPr>
        <w:t>cf-art-233-par-3-inc-I</w:t>
      </w:r>
      <w:r>
        <w:rPr>
          <w:color w:val="003CA0"/>
          <w:sz w:val="12"/>
        </w:rPr>
        <w:t xml:space="preserve"> | RE 189.631</w:t>
      </w:r>
      <w:r>
        <w:rPr>
          <w:color w:val="003CA0"/>
          <w:sz w:val="12"/>
        </w:rPr>
        <w:t xml:space="preserve"> | rel. Sepúlveda Pertence</w:t>
      </w:r>
    </w:p>
    <w:p>
      <w:pPr>
        <w:ind w:left="288"/>
      </w:pPr>
      <w:r>
        <w:rPr>
          <w:color w:val="1E1E1E"/>
          <w:sz w:val="18"/>
        </w:rPr>
        <w:t>Isenção constitucional da correção monetária (ADCT, art. 47, § 3º, I): decadência: devedor que, embora tenha manifestado, no prazo do art. 47, § 3º, I, do ADCT, sua intenção de liquidar a dívida, não efetuou naquele prazo o depósito do valor que julgava devido.</w:t>
      </w:r>
    </w:p>
    <w:p>
      <w:pPr>
        <w:ind w:left="288"/>
      </w:pPr>
      <w:r>
        <w:rPr>
          <w:b/>
          <w:color w:val="003CA0"/>
          <w:sz w:val="16"/>
        </w:rPr>
        <w:t>[RE 189.631, rel. min. Sepúlveda Pertence, j. 14-8-2001, 1ª T, DJ de 14-9-2001.]</w:t>
      </w:r>
    </w:p>
    <w:p>
      <w:pPr>
        <w:ind w:left="288"/>
      </w:pPr>
      <w:r>
        <w:rPr>
          <w:color w:val="8C8C8C"/>
          <w:sz w:val="12"/>
        </w:rPr>
        <w:t>cf-art-233-par-3-inc-I</w:t>
      </w:r>
      <w:r>
        <w:rPr>
          <w:color w:val="003CA0"/>
          <w:sz w:val="12"/>
        </w:rPr>
        <w:t xml:space="preserve"> | RE 230.684</w:t>
      </w:r>
      <w:r>
        <w:rPr>
          <w:color w:val="003CA0"/>
          <w:sz w:val="12"/>
        </w:rPr>
        <w:t xml:space="preserve"> | rel. Sepúlveda Pertence</w:t>
      </w:r>
    </w:p>
    <w:p>
      <w:pPr>
        <w:ind w:left="288"/>
      </w:pPr>
      <w:r>
        <w:rPr>
          <w:color w:val="1E1E1E"/>
          <w:sz w:val="18"/>
        </w:rPr>
        <w:t>Isenção constitucional da correção monetária (ADCT, art. 47, § 3º, I): renegociação da dívida: expressão "débito inicial" (inteligência). Havendo renegociação da dívida, o valor a ser depositado pelo devedor, nos termos do § 3º, I, do art. 47 do ADCT, é o do contrato original, firmado no período a que alude a regra geral do caput do art. 47, que estende expressamente o benefício às renegociações e composições.</w:t>
      </w:r>
    </w:p>
    <w:p>
      <w:pPr>
        <w:ind w:left="288"/>
      </w:pPr>
      <w:r>
        <w:rPr>
          <w:b/>
          <w:color w:val="003CA0"/>
          <w:sz w:val="16"/>
        </w:rPr>
        <w:t>[RE 230.684, rel. min. Sepúlveda Pertence, j. 30-6-1998, 1ª T, DJ de 4-9-1998.]</w:t>
      </w:r>
    </w:p>
    <w:p>
      <w:pPr>
        <w:ind w:left="288"/>
      </w:pPr>
      <w:r>
        <w:rPr>
          <w:color w:val="8C8C8C"/>
          <w:sz w:val="12"/>
        </w:rPr>
        <w:t>cf-art-233-par-3-inc-I</w:t>
      </w:r>
      <w:r>
        <w:rPr>
          <w:color w:val="003CA0"/>
          <w:sz w:val="12"/>
        </w:rPr>
        <w:t xml:space="preserve"> | RE 160.500</w:t>
      </w:r>
      <w:r>
        <w:rPr>
          <w:color w:val="003CA0"/>
          <w:sz w:val="12"/>
        </w:rPr>
        <w:t xml:space="preserve"> | rel. Sepúlveda Pertence</w:t>
      </w:r>
    </w:p>
    <w:p>
      <w:pPr>
        <w:ind w:left="288"/>
      </w:pPr>
      <w:r>
        <w:rPr>
          <w:color w:val="1E1E1E"/>
          <w:sz w:val="18"/>
        </w:rPr>
        <w:t>A tese de que o art. 47, § 3º, I, do ADCT só exige o pagamento das custas judiciais relativas ao processo em que se discute sobre o direito à isenção da correção monetária – e não, portanto, as da execução movida pelo credor – é insustentável por duas razões: primeiro, porque acabaria por estender às taxas judiciais a isenção que o constituinte pretendeu conceder somente à correção monetária; e, segundo, porque não haveria a menor lógica em privar o credor do ressarcimento das custas por ele adiantadas no processo de execução, e entregar-lhe, sem motivo algum, o valor das taxas pagas pelo deve</w:t>
      </w:r>
    </w:p>
    <w:p>
      <w:pPr>
        <w:ind w:left="288"/>
      </w:pPr>
      <w:r>
        <w:rPr>
          <w:b/>
          <w:color w:val="003CA0"/>
          <w:sz w:val="16"/>
        </w:rPr>
        <w:t>[RE 160.500, rel. min. Sepúlveda Pertence, j. 17-3-1998, 1ª T, DJ de 22-5-1998.]</w:t>
      </w:r>
    </w:p>
    <w:p>
      <w:pPr>
        <w:ind w:left="288"/>
      </w:pPr>
      <w:r>
        <w:rPr>
          <w:color w:val="8C8C8C"/>
          <w:sz w:val="12"/>
        </w:rPr>
        <w:t>cf-art-233-par-3-inc-I</w:t>
      </w:r>
      <w:r>
        <w:rPr>
          <w:color w:val="003CA0"/>
          <w:sz w:val="12"/>
        </w:rPr>
        <w:t xml:space="preserve"> | RE 200.434</w:t>
      </w:r>
      <w:r>
        <w:rPr>
          <w:color w:val="003CA0"/>
          <w:sz w:val="12"/>
        </w:rPr>
        <w:t xml:space="preserve"> | rel. Marco Aurélio</w:t>
      </w:r>
    </w:p>
    <w:p>
      <w:pPr>
        <w:ind w:left="288"/>
      </w:pPr>
      <w:r>
        <w:rPr>
          <w:color w:val="1E1E1E"/>
          <w:sz w:val="18"/>
        </w:rPr>
        <w:t>Se a norma inserta no inciso I do § 3º do art. 47 do ADCT direciona no sentido de concluir-se pela inviabilidade da cobrança de comissão de permanência e multa, não há como entender-se pela violência ao preceito quando os fundamentos da decisão atacada alicerçam-se, também, na impossibilidade de definir-se o real valor devido, considerados o principal e encargos, e na necessidade de distingui-los quanto à rubrica e aos quantitativos.</w:t>
      </w:r>
    </w:p>
    <w:p>
      <w:pPr>
        <w:ind w:left="288"/>
      </w:pPr>
      <w:r>
        <w:rPr>
          <w:b/>
          <w:color w:val="003CA0"/>
          <w:sz w:val="16"/>
        </w:rPr>
        <w:t>[RE 200.434, rel. min. Marco Aurélio, j. 16-12-1997, 2ª T, DJ de 20-3-1998.]</w:t>
      </w:r>
    </w:p>
    <w:p>
      <w:pPr>
        <w:ind w:left="288"/>
      </w:pPr>
      <w:r>
        <w:rPr>
          <w:color w:val="8C8C8C"/>
          <w:sz w:val="12"/>
        </w:rPr>
        <w:t>cf-art-233-par-3-inc-I</w:t>
      </w:r>
      <w:r>
        <w:rPr>
          <w:color w:val="003CA0"/>
          <w:sz w:val="12"/>
        </w:rPr>
        <w:t xml:space="preserve"> | RE 131.144</w:t>
      </w:r>
      <w:r>
        <w:rPr>
          <w:color w:val="003CA0"/>
          <w:sz w:val="12"/>
        </w:rPr>
        <w:t xml:space="preserve"> | rel. Maurício Corrêa</w:t>
      </w:r>
    </w:p>
    <w:p>
      <w:pPr>
        <w:ind w:left="288"/>
      </w:pPr>
      <w:r>
        <w:rPr>
          <w:color w:val="1E1E1E"/>
          <w:sz w:val="18"/>
        </w:rPr>
        <w:t>O Plenário desta Corte, por maioria, ao dirimir a controvérsia, pontificou que, para os fins desta norma constitucional, juros legais são aqueles fixados pela lei civil, e não os contratados em harmonia com a ordem jurídica.</w:t>
      </w:r>
    </w:p>
    <w:p>
      <w:pPr>
        <w:ind w:left="288"/>
      </w:pPr>
      <w:r>
        <w:rPr>
          <w:b/>
          <w:color w:val="003CA0"/>
          <w:sz w:val="16"/>
        </w:rPr>
        <w:t>[RE 131.144 AgR, rel. min. Maurício Corrêa, j. 2-4-1996, 2ª T, DJ de 1º-7-1996.]</w:t>
      </w:r>
    </w:p>
    <w:p>
      <w:pPr>
        <w:ind w:left="288"/>
      </w:pPr>
      <w:r>
        <w:rPr>
          <w:color w:val="8C8C8C"/>
          <w:sz w:val="12"/>
        </w:rPr>
        <w:t>cf-art-233-par-3-inc-I</w:t>
      </w:r>
      <w:r>
        <w:rPr>
          <w:color w:val="003CA0"/>
          <w:sz w:val="12"/>
        </w:rPr>
        <w:t xml:space="preserve"> | AI 141.240</w:t>
      </w:r>
      <w:r>
        <w:rPr>
          <w:color w:val="003CA0"/>
          <w:sz w:val="12"/>
        </w:rPr>
        <w:t xml:space="preserve"> | rel. Maurício Corrêa</w:t>
      </w:r>
    </w:p>
    <w:p>
      <w:pPr>
        <w:ind w:left="288"/>
      </w:pPr>
      <w:r>
        <w:rPr>
          <w:color w:val="1E1E1E"/>
          <w:sz w:val="18"/>
        </w:rPr>
        <w:t>= AI 141.240 AgR, rel. min. Maurício Corrêa, j. 25-2-1997, 2ª T, DJ de 30-5-1997 Julgados proferidos nas instâncias ordinárias que não se detiveram a verificar se a recorrente preenchia ou não os requisitos para a fruição do beneficio constitucional inserto no art. 47, § 3º, I, do ADCT-CF/1988, se – limitando a afirmar a inadequação da via processual eleita. O caput do art. 47 preceitua que o favor constitucional se estende a quaisquer débitos, ainda que ajuizados, não impondo qualquer procedimento para a obtenção do benefício da anistia prevista na norma constitucional. Por isso, não é possív</w:t>
      </w:r>
    </w:p>
    <w:p>
      <w:pPr>
        <w:ind w:left="288"/>
      </w:pPr>
      <w:r>
        <w:rPr>
          <w:b/>
          <w:color w:val="003CA0"/>
          <w:sz w:val="16"/>
        </w:rPr>
        <w:t>[RE 133.081, rel. min. Maurício Corrêa, j. 5-3-1996, 2ª T, DJ de 12-4-1996.]</w:t>
      </w:r>
    </w:p>
    <w:p>
      <w:pPr>
        <w:ind w:left="288"/>
      </w:pPr>
      <w:r>
        <w:rPr>
          <w:color w:val="8C8C8C"/>
          <w:sz w:val="12"/>
        </w:rPr>
        <w:t>cf-art-233-par-3-inc-I</w:t>
      </w:r>
      <w:r>
        <w:rPr>
          <w:color w:val="003CA0"/>
          <w:sz w:val="12"/>
        </w:rPr>
        <w:t xml:space="preserve"> | RE 130.731</w:t>
      </w:r>
      <w:r>
        <w:rPr>
          <w:color w:val="003CA0"/>
          <w:sz w:val="12"/>
        </w:rPr>
        <w:t xml:space="preserve"> | rel. Moreira Alves</w:t>
      </w:r>
    </w:p>
    <w:p>
      <w:pPr>
        <w:ind w:left="288"/>
      </w:pPr>
      <w:r>
        <w:rPr>
          <w:color w:val="1E1E1E"/>
          <w:sz w:val="18"/>
        </w:rPr>
        <w:t xml:space="preserve">Esta Corte tem entendido (assim, nos RE 130.731, RE 131.291, RE 138.500, RE 135.411 e RE 136.207) que, requerido o depósito liberatório no prazo do art. 47, § 3º, I, do ADCT da CF, o devedor faz jus ao benefício constitucional ainda quando a efetivação do depósito seja posterior ao termo final, não sendo o retardamento imputável a ele. Sucede, porém, que, no caso, não tendo a credora – que é a ora recorrente – concordado com a liquidação do débito na forma do citado art. 47 por entender que ele não beneficiava o devedor – que é o ora recorrido –, este, que havia feito a oferta dentro do prazo </w:t>
      </w:r>
    </w:p>
    <w:p>
      <w:pPr>
        <w:ind w:left="288"/>
      </w:pPr>
      <w:r>
        <w:rPr>
          <w:b/>
          <w:color w:val="003CA0"/>
          <w:sz w:val="16"/>
        </w:rPr>
        <w:t>[RE 175.938, rel. min. Moreira Alves, j. 30-5-1995, 1ª T, DJ de 16-2-1996.]</w:t>
      </w:r>
    </w:p>
    <w:p>
      <w:pPr>
        <w:ind w:left="288"/>
      </w:pPr>
      <w:r>
        <w:rPr>
          <w:color w:val="8C8C8C"/>
          <w:sz w:val="12"/>
        </w:rPr>
        <w:t>cf-art-233-par-3-inc-I</w:t>
      </w:r>
      <w:r>
        <w:rPr>
          <w:color w:val="003CA0"/>
          <w:sz w:val="12"/>
        </w:rPr>
        <w:t xml:space="preserve"> | RE 170.143</w:t>
      </w:r>
      <w:r>
        <w:rPr>
          <w:color w:val="003CA0"/>
          <w:sz w:val="12"/>
        </w:rPr>
        <w:t xml:space="preserve"> | rel. Maurício Corrêa</w:t>
      </w:r>
    </w:p>
    <w:p>
      <w:pPr>
        <w:ind w:left="288"/>
      </w:pPr>
      <w:r>
        <w:rPr>
          <w:color w:val="1E1E1E"/>
          <w:sz w:val="18"/>
        </w:rPr>
        <w:t>= RE 170.143, rel. min. Maurício Corrêa, j. 12-6-1995, 2ª T, DJ de 10-11-1995 Em face dos termos do art. 47, § 3º, I, do ADCT da Constituição, ao débito inicial só se acrescem os juros legais e as taxas judiciárias, e não também a comissão de permanência ou outro qualquer encargo.</w:t>
      </w:r>
    </w:p>
    <w:p>
      <w:pPr>
        <w:ind w:left="288"/>
      </w:pPr>
      <w:r>
        <w:rPr>
          <w:b/>
          <w:color w:val="003CA0"/>
          <w:sz w:val="16"/>
        </w:rPr>
        <w:t>[RE 140.248, rel. min. Moreira Alves, j. 11-4-1995, 1ª T, DJ de 1º-9-1995.]</w:t>
      </w:r>
    </w:p>
    <w:p>
      <w:pPr>
        <w:ind w:left="288"/>
      </w:pPr>
      <w:r>
        <w:rPr>
          <w:color w:val="8C8C8C"/>
          <w:sz w:val="12"/>
        </w:rPr>
        <w:t>cf-art-233-par-3-inc-I</w:t>
      </w:r>
      <w:r>
        <w:rPr>
          <w:color w:val="003CA0"/>
          <w:sz w:val="12"/>
        </w:rPr>
        <w:t xml:space="preserve"> | RE 171.182</w:t>
      </w:r>
      <w:r>
        <w:rPr>
          <w:color w:val="003CA0"/>
          <w:sz w:val="12"/>
        </w:rPr>
        <w:t xml:space="preserve"> | rel. Maurício Corrêa</w:t>
      </w:r>
    </w:p>
    <w:p>
      <w:pPr>
        <w:ind w:left="288"/>
      </w:pPr>
      <w:r>
        <w:rPr>
          <w:color w:val="1E1E1E"/>
          <w:sz w:val="18"/>
        </w:rPr>
        <w:t>Para o fim do disposto no art. 47, § 3º, i, do ADCT-CF/1988, a ação consignatória intentada, dentro do prazo fixado na norma constitucional transitória, é o meio processual adequado para que o devedor se exima da obrigação, embora outro seja o momento fixado pelo juízo para a oferta.</w:t>
      </w:r>
    </w:p>
    <w:p>
      <w:pPr>
        <w:ind w:left="288"/>
      </w:pPr>
      <w:r>
        <w:rPr>
          <w:b/>
          <w:color w:val="003CA0"/>
          <w:sz w:val="16"/>
        </w:rPr>
        <w:t>[RE 171.182, rel. min. Maurício Corrêa, j. 7-2-1995, 2ª T, DJ de 4-8-1995.]</w:t>
      </w:r>
    </w:p>
    <w:p>
      <w:pPr>
        <w:ind w:left="288"/>
      </w:pPr>
      <w:r>
        <w:rPr>
          <w:color w:val="8C8C8C"/>
          <w:sz w:val="12"/>
        </w:rPr>
        <w:t>cf-art-233-par-3-inc-I</w:t>
      </w:r>
      <w:r>
        <w:rPr>
          <w:color w:val="003CA0"/>
          <w:sz w:val="12"/>
        </w:rPr>
        <w:t xml:space="preserve"> | RE 131.129</w:t>
      </w:r>
      <w:r>
        <w:rPr>
          <w:color w:val="003CA0"/>
          <w:sz w:val="12"/>
        </w:rPr>
        <w:t xml:space="preserve"> | rel. Ilmar Galvão</w:t>
      </w:r>
    </w:p>
    <w:p>
      <w:pPr>
        <w:ind w:left="288"/>
      </w:pPr>
      <w:r>
        <w:rPr>
          <w:color w:val="1E1E1E"/>
          <w:sz w:val="18"/>
        </w:rPr>
        <w:t>De considerar-se evitada a decadência pelo despacho que, dentro do prazo do § 3º, I, do mencionado dispositivo constitucional, ordenou a citação, como previsto no art. 220 c/c o art. 219 e parágrafos do CPC.</w:t>
      </w:r>
    </w:p>
    <w:p>
      <w:pPr>
        <w:ind w:left="288"/>
      </w:pPr>
      <w:r>
        <w:rPr>
          <w:b/>
          <w:color w:val="003CA0"/>
          <w:sz w:val="16"/>
        </w:rPr>
        <w:t>[RE 131.129, rel. min. Ilmar Galvão, j. 24-9-1991, 1ª T, DJ de 11-10-1991.]</w:t>
      </w:r>
    </w:p>
    <w:p>
      <w:pPr>
        <w:ind w:left="288"/>
      </w:pPr>
      <w:r>
        <w:rPr>
          <w:color w:val="8C8C8C"/>
          <w:sz w:val="12"/>
        </w:rPr>
        <w:t>cf-art-233-par-3-inc-II</w:t>
      </w:r>
    </w:p>
    <w:p>
      <w:pPr>
        <w:ind w:left="288"/>
      </w:pPr>
      <w:r>
        <w:rPr>
          <w:color w:val="1E1E1E"/>
          <w:sz w:val="18"/>
        </w:rPr>
        <w:t>III - se não for demonstrado pela instituição credora que o mutuário dispõe de meios para o pagamento de seu débito, excluído desta demonstração seu estabelecimento, a casa de moradia e os instrumentos de trabalho e produção;</w:t>
      </w:r>
    </w:p>
    <w:p>
      <w:pPr>
        <w:ind w:left="288"/>
      </w:pPr>
      <w:r>
        <w:rPr>
          <w:color w:val="8C8C8C"/>
          <w:sz w:val="12"/>
        </w:rPr>
        <w:t>cf-art-233-par-3-inc-II</w:t>
      </w:r>
      <w:r>
        <w:rPr>
          <w:color w:val="003CA0"/>
          <w:sz w:val="12"/>
        </w:rPr>
        <w:t xml:space="preserve"> | RE 163.208</w:t>
      </w:r>
      <w:r>
        <w:rPr>
          <w:color w:val="003CA0"/>
          <w:sz w:val="12"/>
        </w:rPr>
        <w:t xml:space="preserve"> | rel. Marco Aurélio</w:t>
      </w:r>
    </w:p>
    <w:p>
      <w:pPr>
        <w:ind w:left="288"/>
      </w:pPr>
      <w:r>
        <w:rPr>
          <w:color w:val="1E1E1E"/>
          <w:sz w:val="18"/>
        </w:rPr>
        <w:t xml:space="preserve">Verifico, preliminarmente, que o único óbice suscitado pelo recorrente à concessão da anistia prevista no art. 47 do ADCT-CF/1988 está centrado no limite do financiamento inicial a 5 mil OTNs. A questão controvertida está em saber se na conversão do débito aplica-se a OTN fixada em 106,40 ou o valor pro rata de 121,16, contemporâneo ao empréstimo contraído pela empresa. Tenho presente que a norma constitucional transitória teve por finalidade suavizar o malogro do Plano Cruzado, que, por decreto, pretendeu extirpar da economia nacional a espiral inflacionária. Por isso, limitou a concessão da </w:t>
      </w:r>
    </w:p>
    <w:p>
      <w:pPr>
        <w:ind w:left="288"/>
      </w:pPr>
      <w:r>
        <w:rPr>
          <w:b/>
          <w:color w:val="003CA0"/>
          <w:sz w:val="16"/>
        </w:rPr>
        <w:t>[RE 163.208, rel. min. Marco Aurélio, voto do min. Maurício Corrêa, j. 10-8-1999, 2ª T, DJ de 7-12-2000.]</w:t>
      </w:r>
    </w:p>
    <w:p>
      <w:pPr>
        <w:ind w:left="288"/>
      </w:pPr>
      <w:r>
        <w:rPr>
          <w:color w:val="8C8C8C"/>
          <w:sz w:val="12"/>
        </w:rPr>
        <w:t>cf-art-233-par-3-inc-II</w:t>
      </w:r>
      <w:r>
        <w:rPr>
          <w:color w:val="003CA0"/>
          <w:sz w:val="12"/>
        </w:rPr>
        <w:t xml:space="preserve"> | RE 219.638</w:t>
      </w:r>
      <w:r>
        <w:rPr>
          <w:color w:val="003CA0"/>
          <w:sz w:val="12"/>
        </w:rPr>
        <w:t xml:space="preserve"> | rel. Néri da Silveira</w:t>
      </w:r>
    </w:p>
    <w:p>
      <w:pPr>
        <w:ind w:left="288"/>
      </w:pPr>
      <w:r>
        <w:rPr>
          <w:color w:val="1E1E1E"/>
          <w:sz w:val="18"/>
        </w:rPr>
        <w:t>O Plenário do STF firmou entendimento segundo o qual o limite estabelecido no item IV do § 3º do art. 47 do ADCT, para obtenção do benefício concedido no caput desse dispositivo, leva em conta a soma dos valores dos diversos títulos ou contratos, e não o valor de cada um deles isoladamente, no mesmo estabelecimento bancário.</w:t>
      </w:r>
    </w:p>
    <w:p>
      <w:pPr>
        <w:ind w:left="288"/>
      </w:pPr>
      <w:r>
        <w:rPr>
          <w:b/>
          <w:color w:val="003CA0"/>
          <w:sz w:val="16"/>
        </w:rPr>
        <w:t>[RE 219.638, rel. min. Néri da Silveira, j. 29-6-1999, 2ª T, DJ de 12-5-2000.]</w:t>
      </w:r>
    </w:p>
    <w:p>
      <w:pPr>
        <w:ind w:left="288"/>
      </w:pPr>
      <w:r>
        <w:rPr>
          <w:color w:val="8C8C8C"/>
          <w:sz w:val="12"/>
        </w:rPr>
        <w:t>cf-art-233-par-3-inc-II</w:t>
      </w:r>
      <w:r>
        <w:rPr>
          <w:color w:val="003CA0"/>
          <w:sz w:val="12"/>
        </w:rPr>
        <w:t xml:space="preserve"> | RE 294.206</w:t>
      </w:r>
      <w:r>
        <w:rPr>
          <w:color w:val="003CA0"/>
          <w:sz w:val="12"/>
        </w:rPr>
        <w:t xml:space="preserve"> | rel. Carlos Velloso</w:t>
      </w:r>
    </w:p>
    <w:p>
      <w:pPr>
        <w:ind w:left="288"/>
      </w:pPr>
      <w:r>
        <w:rPr>
          <w:color w:val="1E1E1E"/>
          <w:sz w:val="18"/>
        </w:rPr>
        <w:t>= RE 294.206 AgR, rel. min. Carlos Velloso, j. 12-3-2002, 2ª T, DJ de 12-4-2002 Os empréstimos para financiamento de bens classificáveis como instrumentos de trabalho e de produção, ainda que objeto de alienação fiduciária dada em garantia, estão excluídos da demonstração da existência de ativos suficientes para pagamento do débito exequendo.</w:t>
      </w:r>
    </w:p>
    <w:p>
      <w:pPr>
        <w:ind w:left="288"/>
      </w:pPr>
      <w:r>
        <w:rPr>
          <w:b/>
          <w:color w:val="003CA0"/>
          <w:sz w:val="16"/>
        </w:rPr>
        <w:t>[RE 159.033, rel. min. Ilmar Galvão, j. 25-6-1996, 1ª T, DJ de 27-9-1996.]</w:t>
      </w:r>
    </w:p>
    <w:p>
      <w:pPr>
        <w:ind w:left="288"/>
      </w:pPr>
      <w:r>
        <w:rPr>
          <w:color w:val="8C8C8C"/>
          <w:sz w:val="12"/>
        </w:rPr>
        <w:t>cf-art-233-par-3-inc-II</w:t>
      </w:r>
      <w:r>
        <w:rPr>
          <w:color w:val="003CA0"/>
          <w:sz w:val="12"/>
        </w:rPr>
        <w:t xml:space="preserve"> | RE 168.950</w:t>
      </w:r>
      <w:r>
        <w:rPr>
          <w:color w:val="003CA0"/>
          <w:sz w:val="12"/>
        </w:rPr>
        <w:t xml:space="preserve"> | rel. Carlos Velloso</w:t>
      </w:r>
    </w:p>
    <w:p>
      <w:pPr>
        <w:ind w:left="288"/>
      </w:pPr>
      <w:r>
        <w:rPr>
          <w:color w:val="1E1E1E"/>
          <w:sz w:val="18"/>
        </w:rPr>
        <w:t>Cabe à instituição credora demonstrar que o mutuário dispõe de meios para o pagamento de seu débito, para o fim de evitar que o mesmo obtenha o benefício da isenção da correção monetária (CF, art. 47, § 3º). A Constituição se refere, pois, ao mutuário, apenas, não sendo possível estender-se o exame ao avalista. Se, por força da Constituição, não pode o credor exigir o cumprimento da obrigação do devedor principal, também não poderá fazê-lo em relação ao avalista, que é coobrigado.</w:t>
      </w:r>
    </w:p>
    <w:p>
      <w:pPr>
        <w:ind w:left="288"/>
      </w:pPr>
      <w:r>
        <w:rPr>
          <w:b/>
          <w:color w:val="003CA0"/>
          <w:sz w:val="16"/>
        </w:rPr>
        <w:t>[RE 168.950, rel. min. Carlos Velloso, j. 13-2-1996, 2ª T, DJ de 29-3-1996.]</w:t>
      </w:r>
    </w:p>
    <w:p>
      <w:pPr>
        <w:ind w:left="288"/>
      </w:pPr>
      <w:r>
        <w:rPr>
          <w:color w:val="8C8C8C"/>
          <w:sz w:val="12"/>
        </w:rPr>
        <w:t>cf-art-233-par-3-inc-II</w:t>
      </w:r>
      <w:r>
        <w:rPr>
          <w:color w:val="003CA0"/>
          <w:sz w:val="12"/>
        </w:rPr>
        <w:t xml:space="preserve"> | RE 159.014</w:t>
      </w:r>
      <w:r>
        <w:rPr>
          <w:color w:val="003CA0"/>
          <w:sz w:val="12"/>
        </w:rPr>
        <w:t xml:space="preserve"> | rel. Sydney Sanches</w:t>
      </w:r>
    </w:p>
    <w:p>
      <w:pPr>
        <w:ind w:left="288"/>
      </w:pPr>
      <w:r>
        <w:rPr>
          <w:color w:val="1E1E1E"/>
          <w:sz w:val="18"/>
        </w:rPr>
        <w:t>O acórdão impugnado, para considerar o autor-apelante, ora recorrido, sem "meios para o pagamento de seu débito", como exige o inciso III do § 3º do art. 47 do ADCT da CF/1988, excluiu desses meios o produto de seu trabalho, ou seja, a produção, e não propriamente os "instrumentos de produção", a que se refere o texto. Essa norma pretendeu considerar "sem meios suficientes para o pagamento de seu débito" o mutuário que tivesse apenas, como integrantes de seu patrimônio, o "estabelecimento, a casa de moradia e os instrumentos de trabalho e produção". Não, porém, aquele que, além disso, tivesse,</w:t>
      </w:r>
    </w:p>
    <w:p>
      <w:pPr>
        <w:ind w:left="288"/>
      </w:pPr>
      <w:r>
        <w:rPr>
          <w:b/>
          <w:color w:val="003CA0"/>
          <w:sz w:val="16"/>
        </w:rPr>
        <w:t>[RE 159.014, rel. min. Sydney Sanches, j. 15-9-1995, 1ª T, DJ de 3-11-1995.]</w:t>
      </w:r>
    </w:p>
    <w:p>
      <w:pPr>
        <w:ind w:left="288"/>
      </w:pPr>
      <w:r>
        <w:rPr>
          <w:color w:val="8C8C8C"/>
          <w:sz w:val="12"/>
        </w:rPr>
        <w:t>cf-art-233-par-3-inc-II</w:t>
      </w:r>
      <w:r>
        <w:rPr>
          <w:color w:val="003CA0"/>
          <w:sz w:val="12"/>
        </w:rPr>
        <w:t xml:space="preserve"> | AI 154.828</w:t>
      </w:r>
      <w:r>
        <w:rPr>
          <w:color w:val="003CA0"/>
          <w:sz w:val="12"/>
        </w:rPr>
        <w:t xml:space="preserve"> | rel. Marco Aurélio</w:t>
      </w:r>
    </w:p>
    <w:p>
      <w:pPr>
        <w:ind w:left="288"/>
      </w:pPr>
      <w:r>
        <w:rPr>
          <w:color w:val="1E1E1E"/>
          <w:sz w:val="18"/>
        </w:rPr>
        <w:t>As disposições constitucionais do art. 47 referido têm como objetivo maior preservar a atividade dos micros e pequenos empresários, bem como dos mínis, pequenos e médios produtores rurais. A regra do inciso III em comento obstaculiza que seja absorvida, pelo débito com correção monetária, a produção, quer se trate de meio, quer de resultado.</w:t>
      </w:r>
    </w:p>
    <w:p>
      <w:pPr>
        <w:ind w:left="288"/>
      </w:pPr>
      <w:r>
        <w:rPr>
          <w:b/>
          <w:color w:val="003CA0"/>
          <w:sz w:val="16"/>
        </w:rPr>
        <w:t>[AI 154.828 AgR, rel. min. Marco Aurélio, j. 19-11-1993, 2ª T, DJ de 13-5-1994.]</w:t>
      </w:r>
    </w:p>
    <w:p>
      <w:pPr>
        <w:ind w:left="288"/>
      </w:pPr>
      <w:r>
        <w:rPr>
          <w:color w:val="8C8C8C"/>
          <w:sz w:val="12"/>
        </w:rPr>
        <w:t>cf-art-233-par-3-inc-II</w:t>
      </w:r>
      <w:r>
        <w:rPr>
          <w:color w:val="003CA0"/>
          <w:sz w:val="12"/>
        </w:rPr>
        <w:t xml:space="preserve"> | AI 140.369</w:t>
      </w:r>
      <w:r>
        <w:rPr>
          <w:color w:val="003CA0"/>
          <w:sz w:val="12"/>
        </w:rPr>
        <w:t xml:space="preserve"> | rel. Ilmar Galvão</w:t>
      </w:r>
    </w:p>
    <w:p>
      <w:pPr>
        <w:ind w:left="288"/>
      </w:pPr>
      <w:r>
        <w:rPr>
          <w:color w:val="1E1E1E"/>
          <w:sz w:val="18"/>
        </w:rPr>
        <w:t>A isenção da correção monetária concedida pelo art. 47 do ADCT não é de ser afastada simplesmente pelo fato de os avalistas possuírem condições de assumir o pagamento do acréscimo. Prevalência do acórdão recorrido que reconheceu que a responsabilidade do avalista se extinguiu com o pagamento do débito pelo devedor beneficiário.</w:t>
      </w:r>
    </w:p>
    <w:p>
      <w:pPr>
        <w:ind w:left="288"/>
      </w:pPr>
      <w:r>
        <w:rPr>
          <w:b/>
          <w:color w:val="003CA0"/>
          <w:sz w:val="16"/>
        </w:rPr>
        <w:t>[AI 140.369 AgR, rel. min. Ilmar Galvão, j. 17-3-1992, 2ª T, DJ de 3-4-1992.]</w:t>
      </w:r>
    </w:p>
    <w:p>
      <w:pPr>
        <w:ind w:left="288"/>
      </w:pPr>
      <w:r>
        <w:rPr>
          <w:color w:val="8C8C8C"/>
          <w:sz w:val="12"/>
        </w:rPr>
        <w:t>cf-art-233-par-3-inc-V</w:t>
      </w:r>
      <w:r>
        <w:rPr>
          <w:color w:val="003CA0"/>
          <w:sz w:val="12"/>
        </w:rPr>
        <w:t xml:space="preserve"> | AI 150.179</w:t>
      </w:r>
      <w:r>
        <w:rPr>
          <w:color w:val="003CA0"/>
          <w:sz w:val="12"/>
        </w:rPr>
        <w:t xml:space="preserve"> | rel. Sydney Sanches</w:t>
      </w:r>
    </w:p>
    <w:p>
      <w:pPr>
        <w:ind w:left="288"/>
      </w:pPr>
      <w:r>
        <w:rPr>
          <w:color w:val="1E1E1E"/>
          <w:sz w:val="18"/>
        </w:rPr>
        <w:t>No que concerne ao fato de haver o acórdão excluído da área maior aquela destinada à reserva florestal, para os efeitos do art. 47, § 3º, V, do ADCT da CF de 1988, não pode ser considerado como configurador de afronta a tais normas; pois, na verdade, o que pretendem é beneficiar aquele que não tem, à sua disposição, uma área superior a cinco módulos, pois de nada lhe adianta a reserva florestal, se não pode aproveitar a área produtivamente. Enfim, o critério adotado pela Câmara julgadora não desatende ao espírito da norma constitucional, que é o de beneficiar o pequeno proprietário.</w:t>
      </w:r>
    </w:p>
    <w:p>
      <w:pPr>
        <w:ind w:left="288"/>
      </w:pPr>
      <w:r>
        <w:rPr>
          <w:b/>
          <w:color w:val="003CA0"/>
          <w:sz w:val="16"/>
        </w:rPr>
        <w:t>[AI 150.179 AgR, rel. min. Sydney Sanches, j. 2-4-1996, 1ª T, DJ de 19-12-1996.]</w:t>
      </w:r>
    </w:p>
    <w:p>
      <w:pPr>
        <w:ind w:left="288"/>
      </w:pPr>
      <w:r>
        <w:rPr>
          <w:color w:val="8C8C8C"/>
          <w:sz w:val="12"/>
        </w:rPr>
        <w:t>cf-art-233-par-3-inc-V</w:t>
      </w:r>
      <w:r>
        <w:rPr>
          <w:color w:val="003CA0"/>
          <w:sz w:val="12"/>
        </w:rPr>
        <w:t xml:space="preserve"> | AI 166.180</w:t>
      </w:r>
      <w:r>
        <w:rPr>
          <w:color w:val="003CA0"/>
          <w:sz w:val="12"/>
        </w:rPr>
        <w:t xml:space="preserve"> | rel. Marco Aurélio</w:t>
      </w:r>
    </w:p>
    <w:p>
      <w:pPr>
        <w:ind w:left="288"/>
      </w:pPr>
      <w:r>
        <w:rPr>
          <w:color w:val="1E1E1E"/>
          <w:sz w:val="18"/>
        </w:rPr>
        <w:t>Tratando-se de dívida, muito embora única, contraída por pessoas naturais, perquire-se o atendimento aos preceitos do inciso V do § 3º do art. 47 do ADCT de 1988, em cada um de per si. O fato de as propriedades, somadas, suplantarem a extensão de cinco módulos rurais não implica a ausência do direito à anistia.</w:t>
      </w:r>
    </w:p>
    <w:p>
      <w:pPr>
        <w:ind w:left="288"/>
      </w:pPr>
      <w:r>
        <w:rPr>
          <w:b/>
          <w:color w:val="003CA0"/>
          <w:sz w:val="16"/>
        </w:rPr>
        <w:t>[AI 166.180 AgR, rel. min. Marco Aurélio, j. 15-12-1995, 2ª T, DJ de 8-3-1996.]</w:t>
      </w:r>
    </w:p>
    <w:p>
      <w:pPr>
        <w:ind w:left="288"/>
      </w:pPr>
      <w:r>
        <w:rPr>
          <w:color w:val="8C8C8C"/>
          <w:sz w:val="12"/>
        </w:rPr>
        <w:t>cf-art-233-par-4</w:t>
      </w:r>
      <w:r>
        <w:rPr>
          <w:color w:val="003CA0"/>
          <w:sz w:val="12"/>
        </w:rPr>
        <w:t xml:space="preserve"> | RE 134.955</w:t>
      </w:r>
      <w:r>
        <w:rPr>
          <w:color w:val="003CA0"/>
          <w:sz w:val="12"/>
        </w:rPr>
        <w:t xml:space="preserve"> | rel. Ilmar Galvão</w:t>
      </w:r>
    </w:p>
    <w:p>
      <w:pPr>
        <w:ind w:left="288"/>
      </w:pPr>
      <w:r>
        <w:rPr>
          <w:color w:val="1E1E1E"/>
          <w:sz w:val="18"/>
        </w:rPr>
        <w:t>Benefício do art. 47 do ADCT/1988. Débito relativo a saldo de financiamento rural. Pretendido reconhecimento de efeito liberatório pleno, na forma do superveniente dispositivo constitucional, ao pagamento que foi feito das primeiras parcelas vencidas. Hipótese inadmissível não apenas em face da norma do art. 47, § 4º, do ADCT/1988, que restringe o benefício nele previsto aos débitos ainda não solvidos, mas também pela impossibilidade de modificação dos efeitos liberatórios dos pagamentos anteriores, para o fim de imputá-los a toda a obrigação, quando objetivaram apenas parcelas desta.</w:t>
      </w:r>
    </w:p>
    <w:p>
      <w:pPr>
        <w:ind w:left="288"/>
      </w:pPr>
      <w:r>
        <w:rPr>
          <w:b/>
          <w:color w:val="003CA0"/>
          <w:sz w:val="16"/>
        </w:rPr>
        <w:t>[RE 134.955, rel. min. Ilmar Galvão, j. 14-4-1992, 1ª T, DJ de 15-5-1992.]</w:t>
      </w:r>
    </w:p>
    <w:p>
      <w:pPr>
        <w:ind w:left="288"/>
      </w:pPr>
      <w:r>
        <w:rPr>
          <w:color w:val="8C8C8C"/>
          <w:sz w:val="12"/>
        </w:rPr>
        <w:t>cf-art-233-par-4</w:t>
      </w:r>
    </w:p>
    <w:p>
      <w:pPr>
        <w:ind w:left="288"/>
      </w:pPr>
      <w:r>
        <w:rPr>
          <w:color w:val="1E1E1E"/>
          <w:sz w:val="18"/>
        </w:rPr>
        <w:t>§ 5º No caso de operações com prazos de vencimento posteriores à data- limite de liquidação da dívida, havendo interesse do mutuário, os bancos e as instituições financeiras promoverão, por instrumento próprio, alteração nas condições contratuais originais de forma a ajustá-las ao presente benefício.</w:t>
      </w:r>
    </w:p>
    <w:p>
      <w:pPr>
        <w:ind w:left="288"/>
      </w:pPr>
      <w:r>
        <w:rPr>
          <w:color w:val="8C8C8C"/>
          <w:sz w:val="12"/>
        </w:rPr>
        <w:t>cf-art-233-par-4</w:t>
      </w:r>
      <w:r>
        <w:rPr>
          <w:color w:val="003CA0"/>
          <w:sz w:val="12"/>
        </w:rPr>
        <w:t xml:space="preserve"> | RE 168.220</w:t>
      </w:r>
      <w:r>
        <w:rPr>
          <w:color w:val="003CA0"/>
          <w:sz w:val="12"/>
        </w:rPr>
        <w:t xml:space="preserve"> | rel. Marco Aurélio</w:t>
      </w:r>
    </w:p>
    <w:p>
      <w:pPr>
        <w:ind w:left="288"/>
      </w:pPr>
      <w:r>
        <w:rPr>
          <w:color w:val="1E1E1E"/>
          <w:sz w:val="18"/>
        </w:rPr>
        <w:t>A conjugação dos preceitos do inciso I do § 3º e do § 5º, ambos do art. 47 do ADCT de 1988, é conducente a concluir-se pelo direito à anistia da correção monetária, relativamente às parcelas vincendas, considerado o extravasamento do prazo de noventa dias, a contar da promulgação da Constituição, quando haja ocorrido recusa do credor em recebê-las antecipadamente, dentro do citado período.</w:t>
      </w:r>
    </w:p>
    <w:p>
      <w:pPr>
        <w:ind w:left="288"/>
      </w:pPr>
      <w:r>
        <w:rPr>
          <w:b/>
          <w:color w:val="003CA0"/>
          <w:sz w:val="16"/>
        </w:rPr>
        <w:t>[RE 168.220, rel. min. Marco Aurélio, j. 22-9-1998, 2ª T, DJ de 20-11-1998.]</w:t>
      </w:r>
    </w:p>
    <w:p>
      <w:pPr>
        <w:ind w:left="288"/>
      </w:pPr>
      <w:r>
        <w:rPr>
          <w:color w:val="8C8C8C"/>
          <w:sz w:val="12"/>
        </w:rPr>
        <w:t>cf-art-233-par-7</w:t>
      </w:r>
    </w:p>
    <w:p>
      <w:pPr>
        <w:ind w:left="288"/>
      </w:pPr>
      <w:r>
        <w:rPr>
          <w:color w:val="1E1E1E"/>
          <w:sz w:val="18"/>
        </w:rPr>
        <w:t>Art. 48. O Congresso Nacional, dentro de cento e vinte dias da promulgação da Constituição, elaborará código de defesa do consumidor. Art. 49. A lei disporá sobre o instituto da enfiteuse em imóveis urbanos, sendo facultada aos foreiros, no caso de sua extinção, a remição dos aforamentos mediante aquisição do domínio direto, na conformidade do que dispuserem os respectivos contratos.</w:t>
      </w:r>
    </w:p>
    <w:p>
      <w:pPr>
        <w:ind w:left="288"/>
      </w:pPr>
      <w:r>
        <w:rPr>
          <w:color w:val="8C8C8C"/>
          <w:sz w:val="12"/>
        </w:rPr>
        <w:t>cf-art-233-par-4</w:t>
      </w:r>
    </w:p>
    <w:p>
      <w:pPr>
        <w:ind w:left="288"/>
      </w:pPr>
      <w:r>
        <w:rPr>
          <w:color w:val="1E1E1E"/>
          <w:sz w:val="18"/>
        </w:rPr>
        <w:t>Art. 50. Lei agrícola a ser promulgada no prazo de um ano disporá, nos termos da Constituição, sobre os objetivos e instrumentos de política agrícola, prioridades, planejamento de safras, comercialização, abastecimento interno, mercado externo e instituição de crédito fundiário. Art. 51. Serão revistos pelo Congresso Nacional, através de Comissão mista, nos três anos a contar da data da promulgação da Constituição, todas as doações, vendas e concessões de terras públicas com área superior a três mil hectares, realizadas no período de 1º de janeiro de 1962 a 31 de dezembro de 1987.</w:t>
      </w:r>
    </w:p>
    <w:p>
      <w:pPr>
        <w:ind w:left="288"/>
      </w:pPr>
      <w:r>
        <w:rPr>
          <w:color w:val="8C8C8C"/>
          <w:sz w:val="12"/>
        </w:rPr>
        <w:t>cf-art-233-par-3</w:t>
      </w:r>
    </w:p>
    <w:p>
      <w:pPr>
        <w:ind w:left="288"/>
      </w:pPr>
      <w:r>
        <w:rPr>
          <w:color w:val="1E1E1E"/>
          <w:sz w:val="18"/>
        </w:rPr>
        <w:t>Art. 52. Até que sejam fixadas as condições do art. 192, são vedados: (Redação da EC 40/2003)</w:t>
      </w:r>
    </w:p>
    <w:p>
      <w:pPr>
        <w:ind w:left="288"/>
      </w:pPr>
      <w:r>
        <w:rPr>
          <w:color w:val="8C8C8C"/>
          <w:sz w:val="12"/>
        </w:rPr>
        <w:t>cf-art-233-par-unico</w:t>
      </w:r>
    </w:p>
    <w:p>
      <w:pPr>
        <w:ind w:left="288"/>
      </w:pPr>
      <w:r>
        <w:rPr>
          <w:color w:val="1E1E1E"/>
          <w:sz w:val="18"/>
        </w:rPr>
        <w:t>Art. 53. Ao ex-combatente que tenha efetivamente participado de operações bélicas durante a Segunda Guerra Mundial, nos termos da Lei nº 5.315, de 12 de setembro de 1967, serão assegurados os seguintes direitos:</w:t>
      </w:r>
    </w:p>
    <w:p>
      <w:pPr>
        <w:ind w:left="288"/>
      </w:pPr>
      <w:r>
        <w:rPr>
          <w:color w:val="8C8C8C"/>
          <w:sz w:val="12"/>
        </w:rPr>
        <w:t>cf-art-233-par-unico</w:t>
      </w:r>
      <w:r>
        <w:rPr>
          <w:color w:val="003CA0"/>
          <w:sz w:val="12"/>
        </w:rPr>
        <w:t xml:space="preserve"> | AI 478.472</w:t>
      </w:r>
      <w:r>
        <w:rPr>
          <w:color w:val="003CA0"/>
          <w:sz w:val="12"/>
        </w:rPr>
        <w:t xml:space="preserve"> | rel. Carlos Velloso</w:t>
      </w:r>
    </w:p>
    <w:p>
      <w:pPr>
        <w:ind w:left="288"/>
      </w:pPr>
      <w:r>
        <w:rPr>
          <w:color w:val="1E1E1E"/>
          <w:sz w:val="18"/>
        </w:rPr>
        <w:t>O ADCT/1988, art. 53, caput, não conceitua o ex-combatente, deixando para a Lei 5.315/1967 defini-lo. É na Lei 5.315/1967, portanto, que se deve buscar o conceito de ex-combatente que fará jus aos benefícios inscritos nos incisos do citado art. 53, ADCT.</w:t>
      </w:r>
    </w:p>
    <w:p>
      <w:pPr>
        <w:ind w:left="288"/>
      </w:pPr>
      <w:r>
        <w:rPr>
          <w:b/>
          <w:color w:val="003CA0"/>
          <w:sz w:val="16"/>
        </w:rPr>
        <w:t>[AI 478.472 AgR, rel. min. Carlos Velloso, j. 9-11-2004, 2ª T, DJ de 3-12-2004.]</w:t>
      </w:r>
    </w:p>
    <w:p>
      <w:pPr>
        <w:ind w:left="288"/>
      </w:pPr>
      <w:r>
        <w:rPr>
          <w:color w:val="8C8C8C"/>
          <w:sz w:val="12"/>
        </w:rPr>
        <w:t>cf-art-233-par-unico</w:t>
      </w:r>
      <w:r>
        <w:rPr>
          <w:color w:val="003CA0"/>
          <w:sz w:val="12"/>
        </w:rPr>
        <w:t xml:space="preserve"> | RE 545.902</w:t>
      </w:r>
      <w:r>
        <w:rPr>
          <w:color w:val="003CA0"/>
          <w:sz w:val="12"/>
        </w:rPr>
        <w:t xml:space="preserve"> | rel. Ayres Britto</w:t>
      </w:r>
    </w:p>
    <w:p>
      <w:pPr>
        <w:ind w:left="288"/>
      </w:pPr>
      <w:r>
        <w:rPr>
          <w:color w:val="1E1E1E"/>
          <w:sz w:val="18"/>
        </w:rPr>
        <w:t>= RE 545.902 AgR, rel. min. Ayres Britto, j. 7-12-2010, 2ª T, DJE de 22-3-2011</w:t>
      </w:r>
    </w:p>
    <w:p>
      <w:pPr>
        <w:ind w:left="288"/>
      </w:pPr>
      <w:r>
        <w:rPr>
          <w:color w:val="8C8C8C"/>
          <w:sz w:val="12"/>
        </w:rPr>
        <w:t>cf-art-233-par-unico-inc-I</w:t>
      </w:r>
      <w:r>
        <w:rPr>
          <w:color w:val="003CA0"/>
          <w:sz w:val="12"/>
        </w:rPr>
        <w:t xml:space="preserve"> | ADPF 127</w:t>
      </w:r>
      <w:r>
        <w:rPr>
          <w:color w:val="003CA0"/>
          <w:sz w:val="12"/>
        </w:rPr>
        <w:t xml:space="preserve"> | rel. Dias Toffoli</w:t>
      </w:r>
    </w:p>
    <w:p>
      <w:pPr>
        <w:ind w:left="288"/>
      </w:pPr>
      <w:r>
        <w:rPr>
          <w:color w:val="1E1E1E"/>
          <w:sz w:val="18"/>
        </w:rPr>
        <w:t>Os incisos I, II, III e V do art. 266 da CE/AL são reproduções literais dos incisos do art. 53 do ADCT federal, os quais concederam benefícios aos ex-combatentes que efetivamente participaram de operações bélicas durante a Segunda Guerra Mundial, nos termos da Lei 5.315, de 12/9/67. Em relação aos incisos I e V, não se verifica óbice à reprodução na Constituição estadual, por serem normas direcionadas a todas as esferas da Federação, conforme prevê o art. 2º da Lei nº 5.312/67: ‘[é] estável o ex-combatente servidor público civil da União, dos Estados e dos Municípios’.</w:t>
      </w:r>
    </w:p>
    <w:p>
      <w:pPr>
        <w:ind w:left="288"/>
      </w:pPr>
      <w:r>
        <w:rPr>
          <w:b/>
          <w:color w:val="003CA0"/>
          <w:sz w:val="16"/>
        </w:rPr>
        <w:t>[ADPF 127, rel. min. Dias Toffoli, j. 29-11-2021, P, DJE de 15-2-2022.]</w:t>
      </w:r>
    </w:p>
    <w:p>
      <w:pPr>
        <w:ind w:left="144"/>
      </w:pPr>
      <w:r>
        <w:rPr>
          <w:b/>
          <w:color w:val="B45A00"/>
          <w:sz w:val="16"/>
        </w:rPr>
        <w:t>CONTROLE CONCENTRADO</w:t>
      </w:r>
    </w:p>
    <w:p>
      <w:pPr>
        <w:ind w:left="288"/>
      </w:pPr>
      <w:r>
        <w:rPr>
          <w:color w:val="8C8C8C"/>
          <w:sz w:val="12"/>
        </w:rPr>
        <w:t>cf-art-233-par-unico-inc-I</w:t>
      </w:r>
      <w:r>
        <w:rPr>
          <w:color w:val="003CA0"/>
          <w:sz w:val="12"/>
        </w:rPr>
        <w:t xml:space="preserve"> | ADPF 127</w:t>
      </w:r>
      <w:r>
        <w:rPr>
          <w:color w:val="003CA0"/>
          <w:sz w:val="12"/>
        </w:rPr>
        <w:t xml:space="preserve"> | rel. Dias Toffoli</w:t>
      </w:r>
    </w:p>
    <w:p>
      <w:pPr>
        <w:ind w:left="288"/>
      </w:pPr>
      <w:r>
        <w:rPr>
          <w:color w:val="1E1E1E"/>
          <w:sz w:val="18"/>
        </w:rPr>
        <w:t xml:space="preserve">Os incisos I, II, III e V do art. 266 da CE/AL são reproduções literais dos incisos do art. 53 do ADCT federal, os quais concederam benefícios aos ex-combatentes que efetivamente participaram de operações bélicas durante a Segunda Guerra Mundial, nos termos da Lei 5.315, de 12/9/67. Em relação aos incisos I e V, não se verifica óbice à reprodução na Constituição estadual, por serem normas direcionadas a todas as esferas da Federação, conforme prevê o art. 2º da Lei nº 5.312/67: ‘[é] estável o ex-combatente servidor público civil da União, dos Estados e dos Municípios’. Quanto aos incisos II e </w:t>
      </w:r>
    </w:p>
    <w:p>
      <w:pPr>
        <w:ind w:left="288"/>
      </w:pPr>
      <w:r>
        <w:rPr>
          <w:b/>
          <w:color w:val="003CA0"/>
          <w:sz w:val="16"/>
        </w:rPr>
        <w:t>[ADPF 127, rel. min. Dias Toffoli, j. 29-11-2021, P, DJE de 15-2-2022.]</w:t>
      </w:r>
    </w:p>
    <w:p>
      <w:pPr>
        <w:ind w:left="288"/>
      </w:pPr>
      <w:r>
        <w:rPr>
          <w:color w:val="8C8C8C"/>
          <w:sz w:val="12"/>
        </w:rPr>
        <w:t>cf-art-233-par-unico-inc-I</w:t>
      </w:r>
      <w:r>
        <w:rPr>
          <w:color w:val="003CA0"/>
          <w:sz w:val="12"/>
        </w:rPr>
        <w:t xml:space="preserve"> | ADI 229</w:t>
      </w:r>
      <w:r>
        <w:rPr>
          <w:color w:val="003CA0"/>
          <w:sz w:val="12"/>
        </w:rPr>
        <w:t xml:space="preserve"> | rel. Nelson Jobim</w:t>
      </w:r>
    </w:p>
    <w:p>
      <w:pPr>
        <w:ind w:left="288"/>
      </w:pPr>
      <w:r>
        <w:rPr>
          <w:color w:val="1E1E1E"/>
          <w:sz w:val="18"/>
        </w:rPr>
        <w:t>Artigo do ADCT da Constituição do Estado do Rio de Janeiro que estende aos ex-detentores de mandato eletivo que tiveram seus direitos políticos suspensos por atos institucionais os benefícios do inciso I do art. 53 do ADCT/CF. O dispositivo da CF se refere aos ex-combatentes que participaram de operações bélicas durante a Segunda Guerra Mundial. Impossibilidade de ampliar a exceção à regra do concurso público. Ofensa ao art. 37, II, da CF.</w:t>
      </w:r>
    </w:p>
    <w:p>
      <w:pPr>
        <w:ind w:left="288"/>
      </w:pPr>
      <w:r>
        <w:rPr>
          <w:b/>
          <w:color w:val="003CA0"/>
          <w:sz w:val="16"/>
        </w:rPr>
        <w:t>[ADI 229, rel. min. Nelson Jobim, j. 3-4-2003, P, DJ de 13-6-2003.]</w:t>
      </w:r>
    </w:p>
    <w:p>
      <w:pPr>
        <w:ind w:left="144"/>
      </w:pPr>
      <w:r>
        <w:rPr>
          <w:b/>
          <w:color w:val="B45A00"/>
          <w:sz w:val="16"/>
        </w:rPr>
        <w:t>JULGADOS CORRELATOS</w:t>
      </w:r>
    </w:p>
    <w:p>
      <w:pPr>
        <w:ind w:left="288"/>
      </w:pPr>
      <w:r>
        <w:rPr>
          <w:color w:val="8C8C8C"/>
          <w:sz w:val="12"/>
        </w:rPr>
        <w:t>cf-art-233-par-unico-inc-I</w:t>
      </w:r>
      <w:r>
        <w:rPr>
          <w:color w:val="003CA0"/>
          <w:sz w:val="12"/>
        </w:rPr>
        <w:t xml:space="preserve"> | RE 150.504</w:t>
      </w:r>
      <w:r>
        <w:rPr>
          <w:color w:val="003CA0"/>
          <w:sz w:val="12"/>
        </w:rPr>
        <w:t xml:space="preserve"> | rel. Octavio Gallotti</w:t>
      </w:r>
    </w:p>
    <w:p>
      <w:pPr>
        <w:ind w:left="288"/>
      </w:pPr>
      <w:r>
        <w:rPr>
          <w:color w:val="1E1E1E"/>
          <w:sz w:val="18"/>
        </w:rPr>
        <w:t>Não contraria o disposto no art. 53, I, do ADCT de 1988 a dispensa do ex-combatente do exercício de cargo em comissão.</w:t>
      </w:r>
    </w:p>
    <w:p>
      <w:pPr>
        <w:ind w:left="288"/>
      </w:pPr>
      <w:r>
        <w:rPr>
          <w:b/>
          <w:color w:val="003CA0"/>
          <w:sz w:val="16"/>
        </w:rPr>
        <w:t>[RE 150.504, rel. min. Octavio Gallotti, j. 11-5-1999, 1ª T, DJ de 31-3-2000.]</w:t>
      </w:r>
    </w:p>
    <w:p>
      <w:pPr>
        <w:ind w:left="288"/>
      </w:pPr>
      <w:r>
        <w:rPr>
          <w:color w:val="8C8C8C"/>
          <w:sz w:val="12"/>
        </w:rPr>
        <w:t>cf-art-233-par-unico-inc-I</w:t>
      </w:r>
    </w:p>
    <w:p>
      <w:pPr>
        <w:ind w:left="288"/>
      </w:pPr>
      <w:r>
        <w:rPr>
          <w:color w:val="1E1E1E"/>
          <w:sz w:val="18"/>
        </w:rPr>
        <w:t>II - pensão especial correspondente à deixada por segundo-tenente das Forças Armadas, que poderá ser requerida a qualquer tempo, sendo inacumulável com quaisquer rendimentos recebidos dos cofres públicos, exceto os benefícios previdenciários, ressalvado o direito de opção;</w:t>
      </w:r>
    </w:p>
    <w:p>
      <w:pPr>
        <w:ind w:left="288"/>
      </w:pPr>
      <w:r>
        <w:rPr>
          <w:color w:val="8C8C8C"/>
          <w:sz w:val="12"/>
        </w:rPr>
        <w:t>cf-art-233-par-unico-inc-I</w:t>
      </w:r>
      <w:r>
        <w:rPr>
          <w:color w:val="003CA0"/>
          <w:sz w:val="12"/>
        </w:rPr>
        <w:t xml:space="preserve"> | RE 236.902</w:t>
      </w:r>
      <w:r>
        <w:rPr>
          <w:color w:val="003CA0"/>
          <w:sz w:val="12"/>
        </w:rPr>
        <w:t xml:space="preserve"> | rel. Moreira Alves</w:t>
      </w:r>
    </w:p>
    <w:p>
      <w:pPr>
        <w:ind w:left="288"/>
      </w:pPr>
      <w:r>
        <w:rPr>
          <w:color w:val="1E1E1E"/>
          <w:sz w:val="18"/>
        </w:rPr>
        <w:t>Ambas as Turmas desta Corte, nos RE 236.902 e RE 263.911, têm entendido que, "revestindo-se a aposentadoria de servidor público da natureza de benefício previdenciário, pode ela ser recebida cumulativamente com a pensão especial prevista no art. 53, II, do ADCT, devida a ex-combatente".</w:t>
      </w:r>
    </w:p>
    <w:p>
      <w:pPr>
        <w:ind w:left="288"/>
      </w:pPr>
      <w:r>
        <w:rPr>
          <w:b/>
          <w:color w:val="003CA0"/>
          <w:sz w:val="16"/>
        </w:rPr>
        <w:t>[RE 293.214, rel. min. Moreira Alves, j. 6-11-2001, 1ª T, DJ de 14-12-2001.]</w:t>
      </w:r>
    </w:p>
    <w:p>
      <w:pPr>
        <w:ind w:left="288"/>
      </w:pPr>
      <w:r>
        <w:rPr>
          <w:color w:val="8C8C8C"/>
          <w:sz w:val="12"/>
        </w:rPr>
        <w:t>cf-art-233-par-unico-inc-I</w:t>
      </w:r>
      <w:r>
        <w:rPr>
          <w:color w:val="003CA0"/>
          <w:sz w:val="12"/>
        </w:rPr>
        <w:t xml:space="preserve"> | AI 774.412</w:t>
      </w:r>
      <w:r>
        <w:rPr>
          <w:color w:val="003CA0"/>
          <w:sz w:val="12"/>
        </w:rPr>
        <w:t xml:space="preserve"> | rel. Ricardo Lewandowski</w:t>
      </w:r>
    </w:p>
    <w:p>
      <w:pPr>
        <w:ind w:left="288"/>
      </w:pPr>
      <w:r>
        <w:rPr>
          <w:color w:val="1E1E1E"/>
          <w:sz w:val="18"/>
        </w:rPr>
        <w:t>= AI 774.412 AgR-segundo, rel. min. Ricardo Lewandowski, j. 8-2-2011, 1ª T, DJE de 10-3-2011</w:t>
      </w:r>
    </w:p>
    <w:p>
      <w:pPr>
        <w:ind w:left="288"/>
      </w:pPr>
      <w:r>
        <w:rPr>
          <w:color w:val="8C8C8C"/>
          <w:sz w:val="12"/>
        </w:rPr>
        <w:t>cf-art-233-par-unico-inc-III</w:t>
      </w:r>
      <w:r>
        <w:rPr>
          <w:color w:val="003CA0"/>
          <w:sz w:val="12"/>
        </w:rPr>
        <w:t xml:space="preserve"> | RE 598.093</w:t>
      </w:r>
      <w:r>
        <w:rPr>
          <w:color w:val="003CA0"/>
          <w:sz w:val="12"/>
        </w:rPr>
        <w:t xml:space="preserve"> | rel. Eros Grau</w:t>
      </w:r>
    </w:p>
    <w:p>
      <w:pPr>
        <w:ind w:left="288"/>
      </w:pPr>
      <w:r>
        <w:rPr>
          <w:color w:val="1E1E1E"/>
          <w:sz w:val="18"/>
        </w:rPr>
        <w:t>Impossibilidade de reversão da quota-parte da pensão especial do filho que completou a maioridade em favor de sua mãe, viúva de ex-combatente, prevista no art. 14 da Lei 8.059/1990.</w:t>
      </w:r>
    </w:p>
    <w:p>
      <w:pPr>
        <w:ind w:left="288"/>
      </w:pPr>
      <w:r>
        <w:rPr>
          <w:b/>
          <w:color w:val="003CA0"/>
          <w:sz w:val="16"/>
        </w:rPr>
        <w:t>[RE 598.093 AgR, rel. min. Eros Grau, j. 15-9-2009, 2ª T, DJE de 9-10-2009.]</w:t>
      </w:r>
    </w:p>
    <w:p>
      <w:pPr>
        <w:ind w:left="288"/>
      </w:pPr>
      <w:r>
        <w:rPr>
          <w:color w:val="8C8C8C"/>
          <w:sz w:val="12"/>
        </w:rPr>
        <w:t>cf-art-233-par-unico-inc-III</w:t>
      </w:r>
      <w:r>
        <w:rPr>
          <w:color w:val="003CA0"/>
          <w:sz w:val="12"/>
        </w:rPr>
        <w:t xml:space="preserve"> | MS 21.610</w:t>
      </w:r>
      <w:r>
        <w:rPr>
          <w:color w:val="003CA0"/>
          <w:sz w:val="12"/>
        </w:rPr>
        <w:t xml:space="preserve"> | rel. Sepúlveda Pertence</w:t>
      </w:r>
    </w:p>
    <w:p>
      <w:pPr>
        <w:ind w:left="288"/>
      </w:pPr>
      <w:r>
        <w:rPr>
          <w:color w:val="1E1E1E"/>
          <w:sz w:val="18"/>
        </w:rPr>
        <w:t>Ex-combatente. Pensão por morte. O acórdão recorrido que, considerando a data do falecimento do ex-combatente, invoca a Lei 4.242/1963 – para caracterizar a recorrida como dependente – e o art. 53, II e III, do ADCT – para deferir a pensão por morte, harmoniza-se com a jurisprudência do Supremo Tribunal, segundo a qual o direito à pensão especial de ex-combatente decorre da legislação vigente à época do seu falecimento (MS 21.610, Velloso, RTJ 175/115; MS 21.707, Marco Aurélio, RTJ 161/121).</w:t>
      </w:r>
    </w:p>
    <w:p>
      <w:pPr>
        <w:ind w:left="288"/>
      </w:pPr>
      <w:r>
        <w:rPr>
          <w:b/>
          <w:color w:val="003CA0"/>
          <w:sz w:val="16"/>
        </w:rPr>
        <w:t>[RE 421.390, rel. min. Sepúlveda Pertence, j. 11-4-2006, 1ª T, DJ de 5-5-2006.]</w:t>
      </w:r>
    </w:p>
    <w:p>
      <w:pPr>
        <w:ind w:left="288"/>
      </w:pPr>
      <w:r>
        <w:rPr>
          <w:color w:val="8C8C8C"/>
          <w:sz w:val="12"/>
        </w:rPr>
        <w:t>cf-art-233-par-unico-inc-III</w:t>
      </w:r>
      <w:r>
        <w:rPr>
          <w:color w:val="003CA0"/>
          <w:sz w:val="12"/>
        </w:rPr>
        <w:t xml:space="preserve"> | RE 518.885</w:t>
      </w:r>
      <w:r>
        <w:rPr>
          <w:color w:val="003CA0"/>
          <w:sz w:val="12"/>
        </w:rPr>
        <w:t xml:space="preserve"> | rel. Dias Toffoli</w:t>
      </w:r>
    </w:p>
    <w:p>
      <w:pPr>
        <w:ind w:left="288"/>
      </w:pPr>
      <w:r>
        <w:rPr>
          <w:color w:val="1E1E1E"/>
          <w:sz w:val="18"/>
        </w:rPr>
        <w:t>= RE 518.885 AgR, rel. min. Dias Toffoli, j. 19-6-2012, 1ª T, DJE de 6-8-2012</w:t>
      </w:r>
    </w:p>
    <w:p>
      <w:pPr>
        <w:ind w:left="288"/>
      </w:pPr>
      <w:r>
        <w:rPr>
          <w:color w:val="8C8C8C"/>
          <w:sz w:val="12"/>
        </w:rPr>
        <w:t>cf-art-233-par-unico-inc-IV</w:t>
      </w:r>
      <w:r>
        <w:rPr>
          <w:color w:val="003CA0"/>
          <w:sz w:val="12"/>
        </w:rPr>
        <w:t xml:space="preserve"> | RE 414.256</w:t>
      </w:r>
      <w:r>
        <w:rPr>
          <w:color w:val="003CA0"/>
          <w:sz w:val="12"/>
        </w:rPr>
        <w:t xml:space="preserve"> | rel. Carlos Velloso</w:t>
      </w:r>
    </w:p>
    <w:p>
      <w:pPr>
        <w:ind w:left="288"/>
      </w:pPr>
      <w:r>
        <w:rPr>
          <w:color w:val="1E1E1E"/>
          <w:sz w:val="18"/>
        </w:rPr>
        <w:t>O ex-combatente e seus dependentes têm direito de serem atendidos pelas organizações militares de saúde. CF/1988, ADCT, art. 53, IV.</w:t>
      </w:r>
    </w:p>
    <w:p>
      <w:pPr>
        <w:ind w:left="288"/>
      </w:pPr>
      <w:r>
        <w:rPr>
          <w:b/>
          <w:color w:val="003CA0"/>
          <w:sz w:val="16"/>
        </w:rPr>
        <w:t>[RE 414.256 AgR, rel. min. Carlos Velloso, j. 26-4-2005, 2ª T, DJ de 20-5-2005.]</w:t>
      </w:r>
    </w:p>
    <w:p>
      <w:pPr>
        <w:ind w:left="288"/>
      </w:pPr>
      <w:r>
        <w:rPr>
          <w:color w:val="8C8C8C"/>
          <w:sz w:val="12"/>
        </w:rPr>
        <w:t>cf-art-233-par-unico-inc-IV</w:t>
      </w:r>
      <w:r>
        <w:rPr>
          <w:color w:val="003CA0"/>
          <w:sz w:val="12"/>
        </w:rPr>
        <w:t xml:space="preserve"> | AI 738.589</w:t>
      </w:r>
      <w:r>
        <w:rPr>
          <w:color w:val="003CA0"/>
          <w:sz w:val="12"/>
        </w:rPr>
        <w:t xml:space="preserve"> | rel. Dias Toffoli</w:t>
      </w:r>
    </w:p>
    <w:p>
      <w:pPr>
        <w:ind w:left="288"/>
      </w:pPr>
      <w:r>
        <w:rPr>
          <w:color w:val="1E1E1E"/>
          <w:sz w:val="18"/>
        </w:rPr>
        <w:t>= AI 738.589 AgR, rel. min. Dias Toffoli, j. 7-8-2012, 1ª T, DJE de 23-8-2012 O art. 53, IV, do ADCT é norma de eficácia plena e aplicabilidade imediata.</w:t>
      </w:r>
    </w:p>
    <w:p>
      <w:pPr>
        <w:ind w:left="288"/>
      </w:pPr>
      <w:r>
        <w:rPr>
          <w:b/>
          <w:color w:val="003CA0"/>
          <w:sz w:val="16"/>
        </w:rPr>
        <w:t>[RE 417.871 AgR, rel. min. Cezar Peluso, j. 15-2-2005, 1ª T, DJ de 11-3-2005.]</w:t>
      </w:r>
    </w:p>
    <w:p>
      <w:pPr>
        <w:ind w:left="288"/>
      </w:pPr>
      <w:r>
        <w:rPr>
          <w:color w:val="8C8C8C"/>
          <w:sz w:val="12"/>
        </w:rPr>
        <w:t>cf-art-233-par-unico-inc-IV</w:t>
      </w:r>
      <w:r>
        <w:rPr>
          <w:color w:val="003CA0"/>
          <w:sz w:val="12"/>
        </w:rPr>
        <w:t xml:space="preserve"> | RE 421.197</w:t>
      </w:r>
      <w:r>
        <w:rPr>
          <w:color w:val="003CA0"/>
          <w:sz w:val="12"/>
        </w:rPr>
        <w:t xml:space="preserve"> | rel. Cezar Peluso</w:t>
      </w:r>
    </w:p>
    <w:p>
      <w:pPr>
        <w:ind w:left="288"/>
      </w:pPr>
      <w:r>
        <w:rPr>
          <w:color w:val="1E1E1E"/>
          <w:sz w:val="18"/>
        </w:rPr>
        <w:t>= RE 421.197 AgR, rel. min. Cezar Peluso, j. 15-8-2006, 2ª T, DJ de 8-9-2006</w:t>
      </w:r>
    </w:p>
    <w:p>
      <w:pPr>
        <w:ind w:left="144"/>
      </w:pPr>
      <w:r>
        <w:rPr>
          <w:b/>
          <w:color w:val="B45A00"/>
          <w:sz w:val="16"/>
        </w:rPr>
        <w:t>CONTROLE CONCENTRADO</w:t>
      </w:r>
    </w:p>
    <w:p>
      <w:pPr>
        <w:ind w:left="288"/>
      </w:pPr>
      <w:r>
        <w:rPr>
          <w:color w:val="8C8C8C"/>
          <w:sz w:val="12"/>
        </w:rPr>
        <w:t>cf-art-233-par-unico-inc-V</w:t>
      </w:r>
      <w:r>
        <w:rPr>
          <w:color w:val="003CA0"/>
          <w:sz w:val="12"/>
        </w:rPr>
        <w:t xml:space="preserve"> | ADPF 127</w:t>
      </w:r>
      <w:r>
        <w:rPr>
          <w:color w:val="003CA0"/>
          <w:sz w:val="12"/>
        </w:rPr>
        <w:t xml:space="preserve"> | rel. Dias Toffoli</w:t>
      </w:r>
    </w:p>
    <w:p>
      <w:pPr>
        <w:ind w:left="288"/>
      </w:pPr>
      <w:r>
        <w:rPr>
          <w:color w:val="1E1E1E"/>
          <w:sz w:val="18"/>
        </w:rPr>
        <w:t>Os incisos I, II, III e V do art. 266 da CE/AL são reproduções literais dos incisos do art. 53 do ADCT federal, os quais concederam benefícios aos ex-combatentes que efetivamente participaram de operações bélicas durante a Segunda Guerra Mundial, nos termos da Lei 5.315, de 12/9/67. Em relação aos incisos I e V, não se verifica óbice à reprodução na Constituição estadual, por serem normas direcionadas a todas as esferas da Federação, conforme prevê o art. 2º da Lei nº 5.312/67: ‘[é] estável o ex-combatente servidor público civil da União, dos Estados e dos Municípios’.</w:t>
      </w:r>
    </w:p>
    <w:p>
      <w:pPr>
        <w:ind w:left="288"/>
      </w:pPr>
      <w:r>
        <w:rPr>
          <w:b/>
          <w:color w:val="003CA0"/>
          <w:sz w:val="16"/>
        </w:rPr>
        <w:t>[ADPF 127, rel. min. Dias Toffoli, j. 29-11-2021, P, DJE de 15-2-2022.]</w:t>
      </w:r>
    </w:p>
    <w:p>
      <w:pPr>
        <w:ind w:left="288"/>
      </w:pPr>
      <w:r>
        <w:rPr>
          <w:color w:val="8C8C8C"/>
          <w:sz w:val="12"/>
        </w:rPr>
        <w:t>cf-art-233-par-unico-inc-V</w:t>
      </w:r>
      <w:r>
        <w:rPr>
          <w:color w:val="003CA0"/>
          <w:sz w:val="12"/>
        </w:rPr>
        <w:t xml:space="preserve"> | ADPF 127</w:t>
      </w:r>
      <w:r>
        <w:rPr>
          <w:color w:val="003CA0"/>
          <w:sz w:val="12"/>
        </w:rPr>
        <w:t xml:space="preserve"> | rel. Dias Toffoli</w:t>
      </w:r>
    </w:p>
    <w:p>
      <w:pPr>
        <w:ind w:left="288"/>
      </w:pPr>
      <w:r>
        <w:rPr>
          <w:color w:val="1E1E1E"/>
          <w:sz w:val="18"/>
        </w:rPr>
        <w:t xml:space="preserve">Os incisos I, II, III e V do art. 266 da CE/AL são reproduções literais dos incisos do art. 53 do ADCT federal, os quais concederam benefícios aos ex-combatentes que efetivamente participaram de operações bélicas durante a Segunda Guerra Mundial, nos termos da Lei 5.315, de 12/9/67. Em relação aos incisos I e V, não se verifica óbice à reprodução na Constituição estadual, por serem normas direcionadas a todas as esferas da Federação, conforme prevê o art. 2º da Lei nº 5.312/67: ‘[é] estável o ex-combatente servidor público civil da União, dos Estados e dos Municípios’. Quanto aos incisos II e </w:t>
      </w:r>
    </w:p>
    <w:p>
      <w:pPr>
        <w:ind w:left="288"/>
      </w:pPr>
      <w:r>
        <w:rPr>
          <w:b/>
          <w:color w:val="003CA0"/>
          <w:sz w:val="16"/>
        </w:rPr>
        <w:t>[ADPF 127, rel. min. Dias Toffoli, j. 29-11-2021, P, DJE de 15-2-2022.]</w:t>
      </w:r>
    </w:p>
    <w:p>
      <w:pPr>
        <w:ind w:left="144"/>
      </w:pPr>
      <w:r>
        <w:rPr>
          <w:b/>
          <w:color w:val="B45A00"/>
          <w:sz w:val="16"/>
        </w:rPr>
        <w:t>JULGADOS CORRELATOS</w:t>
      </w:r>
    </w:p>
    <w:p>
      <w:pPr>
        <w:ind w:left="288"/>
      </w:pPr>
      <w:r>
        <w:rPr>
          <w:color w:val="8C8C8C"/>
          <w:sz w:val="12"/>
        </w:rPr>
        <w:t>cf-art-233-par-unico-inc-V</w:t>
      </w:r>
      <w:r>
        <w:rPr>
          <w:color w:val="003CA0"/>
          <w:sz w:val="12"/>
        </w:rPr>
        <w:t xml:space="preserve"> | RMS 23.166</w:t>
      </w:r>
      <w:r>
        <w:rPr>
          <w:color w:val="003CA0"/>
          <w:sz w:val="12"/>
        </w:rPr>
        <w:t xml:space="preserve"> | rel. Carlos Velloso</w:t>
      </w:r>
    </w:p>
    <w:p>
      <w:pPr>
        <w:ind w:left="288"/>
      </w:pPr>
      <w:r>
        <w:rPr>
          <w:color w:val="1E1E1E"/>
          <w:sz w:val="18"/>
        </w:rPr>
        <w:t>A aposentadoria ordinária de aeronauta – Lei 3.501, de 21-12-1958, art. 7º – tem pressuposto diverso da de ex-combatente – ADCT, art. 53, V; Lei 4.297/1963, art. 1º. A aposentadoria de aeronauta não exige 25 anos de efetivo serviço, dado que o tempo de serviço é multiplicado por 1.5: Lei 3.501/1958, art. 7º. Já a de ex-combatente exige 25 anos de serviço efetivo: ADCT, art. 53, V; Lei 4.297/1963, art. 1º. Os benefícios previdenciários têm pressupostos certos e específicos, exigidos em lei, que devem ser satisfeitos. A satisfação de pressuposto de um benefício não autoriza a concessão de benefí</w:t>
      </w:r>
    </w:p>
    <w:p>
      <w:pPr>
        <w:ind w:left="288"/>
      </w:pPr>
      <w:r>
        <w:rPr>
          <w:b/>
          <w:color w:val="003CA0"/>
          <w:sz w:val="16"/>
        </w:rPr>
        <w:t>[RMS 23.166, rel. min. Carlos Velloso, j. 14-12-1998, 2ª T, DJ de 5-3-1999.]</w:t>
      </w:r>
    </w:p>
    <w:p>
      <w:pPr>
        <w:ind w:left="288"/>
      </w:pPr>
      <w:r>
        <w:rPr>
          <w:color w:val="8C8C8C"/>
          <w:sz w:val="12"/>
        </w:rPr>
        <w:t>cf-art-233-par-unico</w:t>
      </w:r>
    </w:p>
    <w:p>
      <w:pPr>
        <w:ind w:left="288"/>
      </w:pPr>
      <w:r>
        <w:rPr>
          <w:color w:val="1E1E1E"/>
          <w:sz w:val="18"/>
        </w:rPr>
        <w:t>Art. 54. Os seringueiros recrutados nos termos do Decreto-Lei nº 5.813, de 14 de setembro de 1943, e amparados pelo Decreto-Lei nº 9.882, de 16 de setembro de 1946, receberão, quando carentes, pensão mensal vitalícia no valor de dois salários mínimos.</w:t>
      </w:r>
    </w:p>
    <w:p>
      <w:pPr>
        <w:ind w:left="144"/>
      </w:pPr>
      <w:r>
        <w:rPr>
          <w:b/>
          <w:color w:val="B45A00"/>
          <w:sz w:val="16"/>
        </w:rPr>
        <w:t>CONTROLE CONCENTRADO</w:t>
      </w:r>
    </w:p>
    <w:p>
      <w:pPr>
        <w:ind w:left="288"/>
      </w:pPr>
      <w:r>
        <w:rPr>
          <w:color w:val="8C8C8C"/>
          <w:sz w:val="12"/>
        </w:rPr>
        <w:t>cf-art-233-par-unico</w:t>
      </w:r>
      <w:r>
        <w:rPr>
          <w:color w:val="003CA0"/>
          <w:sz w:val="12"/>
        </w:rPr>
        <w:t xml:space="preserve"> | RE 226.588</w:t>
      </w:r>
      <w:r>
        <w:rPr>
          <w:color w:val="003CA0"/>
          <w:sz w:val="12"/>
        </w:rPr>
        <w:t xml:space="preserve"> | rel. Ellen Gracie</w:t>
      </w:r>
    </w:p>
    <w:p>
      <w:pPr>
        <w:ind w:left="288"/>
      </w:pPr>
      <w:r>
        <w:rPr>
          <w:color w:val="1E1E1E"/>
          <w:sz w:val="18"/>
        </w:rPr>
        <w:t>A vedação à utilização da prova exclusivamente testemunhal e a exigência do início de prova material para o reconhecimento judicial da situação descrita no art. 54 do ADCT e no art. 1º da Lei 7.986/1989 não vulneram os incisos XXXV, XXXVI e LVI do art. 5º da CF. O maior relevo conferido pelo legislador ordinário ao princípio da segurança jurídica visa a um maior rigor na verificação da situação exigida para o recebimento do benefício. Precedentes da Segunda Turma do STF: RE 226.588, RE 238.446, RE 226.772, RE 236.759 e RE 238.444, todos de relatoria do eminente ministro Marco Aurélio. Descabid</w:t>
      </w:r>
    </w:p>
    <w:p>
      <w:pPr>
        <w:ind w:left="288"/>
      </w:pPr>
      <w:r>
        <w:rPr>
          <w:b/>
          <w:color w:val="003CA0"/>
          <w:sz w:val="16"/>
        </w:rPr>
        <w:t>[ADI 2.555, rel. min. Ellen Gracie, j. 3-4-2003, P, DJ de 2-5-2003.]</w:t>
      </w:r>
    </w:p>
    <w:p>
      <w:pPr>
        <w:ind w:left="288"/>
      </w:pPr>
      <w:r>
        <w:rPr>
          <w:color w:val="8C8C8C"/>
          <w:sz w:val="12"/>
        </w:rPr>
        <w:t>cf-art-233-par-unico</w:t>
      </w:r>
      <w:r>
        <w:rPr>
          <w:color w:val="003CA0"/>
          <w:sz w:val="12"/>
        </w:rPr>
        <w:t xml:space="preserve"> | RE 509.629</w:t>
      </w:r>
      <w:r>
        <w:rPr>
          <w:color w:val="003CA0"/>
          <w:sz w:val="12"/>
        </w:rPr>
        <w:t xml:space="preserve"> | rel. Gilmar Mendes</w:t>
      </w:r>
    </w:p>
    <w:p>
      <w:pPr>
        <w:ind w:left="288"/>
      </w:pPr>
      <w:r>
        <w:rPr>
          <w:color w:val="1E1E1E"/>
          <w:sz w:val="18"/>
        </w:rPr>
        <w:t>= RE 509.629 AgR-segundo, rel. min. Gilmar Mendes, j. 22-2-2011, 2ª T, DJE de 28-3-2011</w:t>
      </w:r>
    </w:p>
    <w:p>
      <w:pPr>
        <w:ind w:left="288"/>
      </w:pPr>
      <w:r>
        <w:rPr>
          <w:color w:val="8C8C8C"/>
          <w:sz w:val="12"/>
        </w:rPr>
        <w:t>cf-art-233-par-3</w:t>
      </w:r>
    </w:p>
    <w:p>
      <w:pPr>
        <w:ind w:left="288"/>
      </w:pPr>
      <w:r>
        <w:rPr>
          <w:color w:val="1E1E1E"/>
          <w:sz w:val="18"/>
        </w:rPr>
        <w:t>Art. 55. Até que seja aprovada a lei de diretrizes orçamentárias, trinta por cento, no mínimo, do orçamento da seguridade social, excluído o seguro-desemprego, serão destinados ao setor de saúde. Art. 56. Até que a lei disponha sobre o art. 195, I, a arrecadação decorrente de, no mínimo, cinco dos seis décimos percentuais correspondentes à alíquota da contribuição de que trata o Decreto-Lei n. 1.940, de 25 de maio de 1982, alterada pelo Decreto-Lei n. 2.049, de 1º de agosto de 1983, pelo Decreto n. 91.236, de 8 de maio de 1985, e pela Lei n. 7.611, de 8 de julho de 1987, passa a integrar a rec</w:t>
      </w:r>
    </w:p>
    <w:p>
      <w:pPr>
        <w:ind w:left="144"/>
      </w:pPr>
      <w:r>
        <w:rPr>
          <w:b/>
          <w:color w:val="B45A00"/>
          <w:sz w:val="16"/>
        </w:rPr>
        <w:t>SUMULA</w:t>
      </w:r>
    </w:p>
    <w:p>
      <w:pPr>
        <w:ind w:left="288"/>
      </w:pPr>
      <w:r>
        <w:rPr>
          <w:color w:val="8C8C8C"/>
          <w:sz w:val="12"/>
        </w:rPr>
        <w:t>cf-art-233-par-3</w:t>
      </w:r>
    </w:p>
    <w:p>
      <w:pPr>
        <w:ind w:left="288"/>
      </w:pPr>
      <w:r>
        <w:rPr>
          <w:color w:val="1E1E1E"/>
          <w:sz w:val="18"/>
        </w:rPr>
        <w:t>São constitucionais os arts. 7º da Lei 7.787/1989 e 1º da Lei 7.894/1989 e da Lei 8.147/1990, que majoraram a alíquota do Finsocial, quando devida a contribuição por empresas dedicadas exclusivamente à prestação de serviços.</w:t>
      </w:r>
    </w:p>
    <w:p>
      <w:pPr>
        <w:ind w:left="288"/>
      </w:pPr>
      <w:r>
        <w:rPr>
          <w:b/>
          <w:color w:val="003CA0"/>
          <w:sz w:val="16"/>
        </w:rPr>
        <w:t>[Súmula 658.]</w:t>
      </w:r>
    </w:p>
    <w:p>
      <w:pPr>
        <w:ind w:left="144"/>
      </w:pPr>
      <w:r>
        <w:rPr>
          <w:b/>
          <w:color w:val="B45A00"/>
          <w:sz w:val="16"/>
        </w:rPr>
        <w:t>CONTROLE CONCENTRADO</w:t>
      </w:r>
    </w:p>
    <w:p>
      <w:pPr>
        <w:ind w:left="288"/>
      </w:pPr>
      <w:r>
        <w:rPr>
          <w:color w:val="8C8C8C"/>
          <w:sz w:val="12"/>
        </w:rPr>
        <w:t>cf-art-233-par-3</w:t>
      </w:r>
      <w:r>
        <w:rPr>
          <w:color w:val="003CA0"/>
          <w:sz w:val="12"/>
        </w:rPr>
        <w:t xml:space="preserve"> | RE 150.764</w:t>
      </w:r>
      <w:r>
        <w:rPr>
          <w:color w:val="003CA0"/>
          <w:sz w:val="12"/>
        </w:rPr>
        <w:t xml:space="preserve"> | rel. Sepúlveda Pertence</w:t>
      </w:r>
    </w:p>
    <w:p>
      <w:pPr>
        <w:ind w:left="288"/>
      </w:pPr>
      <w:r>
        <w:rPr>
          <w:color w:val="1E1E1E"/>
          <w:sz w:val="18"/>
        </w:rPr>
        <w:t>Procedência da arguição de inconstitucionalidade do art. 9º, por incompatibilidade com os arts. 195 da Constituição e 56 do ADCT/1988, que, não obstante já declarada pelo STF no julgamento do RE 150.764, 16-12-1992, min. Marco Aurélio (DJ de 2-4-1993), teve o processo de suspensão do dispositivo arquivado, no Senado Federal, que, assim, negou-se a emprestar efeitos erga omnes à decisão proferida na via difusa do controle de normas.</w:t>
      </w:r>
    </w:p>
    <w:p>
      <w:pPr>
        <w:ind w:left="288"/>
      </w:pPr>
      <w:r>
        <w:rPr>
          <w:b/>
          <w:color w:val="003CA0"/>
          <w:sz w:val="16"/>
        </w:rPr>
        <w:t>[ADI 15, rel. min. Sepúlveda Pertence, j. 14-6-2007, P, DJ de 31-8-2007.]</w:t>
      </w:r>
    </w:p>
    <w:p>
      <w:pPr>
        <w:ind w:left="144"/>
      </w:pPr>
      <w:r>
        <w:rPr>
          <w:b/>
          <w:color w:val="B45A00"/>
          <w:sz w:val="16"/>
        </w:rPr>
        <w:t>JULGADOS CORRELATOS</w:t>
      </w:r>
    </w:p>
    <w:p>
      <w:pPr>
        <w:ind w:left="288"/>
      </w:pPr>
      <w:r>
        <w:rPr>
          <w:color w:val="8C8C8C"/>
          <w:sz w:val="12"/>
        </w:rPr>
        <w:t>cf-art-233-par-3</w:t>
      </w:r>
      <w:r>
        <w:rPr>
          <w:color w:val="003CA0"/>
          <w:sz w:val="12"/>
        </w:rPr>
        <w:t xml:space="preserve"> | RE 187.436</w:t>
      </w:r>
      <w:r>
        <w:rPr>
          <w:color w:val="003CA0"/>
          <w:sz w:val="12"/>
        </w:rPr>
        <w:t xml:space="preserve"> | rel. Moreira Alves</w:t>
      </w:r>
    </w:p>
    <w:p>
      <w:pPr>
        <w:ind w:left="288"/>
      </w:pPr>
      <w:r>
        <w:rPr>
          <w:color w:val="1E1E1E"/>
          <w:sz w:val="18"/>
        </w:rPr>
        <w:t>No julgamento do RE 187.436, o Plenário desta Corte, por maioria de votos, se manifestou pela constitucionalidade, no tocante às empresas exclusivamente prestadoras de serviços, das majorações de alíquota do Finsocial determinadas pelo art. 7º da Lei 7.787/1989, pelo art. 1º da Lei 7.894/1989 e pelo art. 1º da Lei 8.147/1990, sob o fundamento de que o art. 56 do ADCT não alcançou essas empresas, conforme assentado no RE 150.755, mostrando-se, assim, a contribuição do art. 28 da Lei 7.738/1989 harmônica com o previsto no art. 195, I, da CF, e decorrendo daí a legitimidade das majorações da alíq</w:t>
      </w:r>
    </w:p>
    <w:p>
      <w:pPr>
        <w:ind w:left="288"/>
      </w:pPr>
      <w:r>
        <w:rPr>
          <w:b/>
          <w:color w:val="003CA0"/>
          <w:sz w:val="16"/>
        </w:rPr>
        <w:t>[RE 331.690, rel. min. Moreira Alves, j. 20-8-2002, 1ª T, DJ de 27-9-2002.]</w:t>
      </w:r>
    </w:p>
    <w:p>
      <w:pPr>
        <w:ind w:left="288"/>
      </w:pPr>
      <w:r>
        <w:rPr>
          <w:color w:val="8C8C8C"/>
          <w:sz w:val="12"/>
        </w:rPr>
        <w:t>cf-art-233-par-3</w:t>
      </w:r>
      <w:r>
        <w:rPr>
          <w:color w:val="003CA0"/>
          <w:sz w:val="12"/>
        </w:rPr>
        <w:t xml:space="preserve"> | RE 270.985</w:t>
      </w:r>
      <w:r>
        <w:rPr>
          <w:color w:val="003CA0"/>
          <w:sz w:val="12"/>
        </w:rPr>
        <w:t xml:space="preserve"> | rel. Joaquim Barbosa</w:t>
      </w:r>
    </w:p>
    <w:p>
      <w:pPr>
        <w:ind w:left="288"/>
      </w:pPr>
      <w:r>
        <w:rPr>
          <w:color w:val="1E1E1E"/>
          <w:sz w:val="18"/>
        </w:rPr>
        <w:t>= RE 270.985 ED, rel. min. Joaquim Barbosa, j. 6-4-2010, 2ª T, DJE de 7-5-2010 As prestadoras de serviços, tais como as demais empresas, apenas estão compelidas a recolher o Finsocial à base de meio por cento, sendo insubsistentes os dispositivos legais que resultaram na majoração desse percentual – art. 9º da Lei  7.689/1988, art. 7º da Lei 7.787/1989, art. 1º da Lei 7.894/1989 e art. 1º da Lei  8.147/1990.</w:t>
      </w:r>
    </w:p>
    <w:p>
      <w:pPr>
        <w:ind w:left="288"/>
      </w:pPr>
      <w:r>
        <w:rPr>
          <w:b/>
          <w:color w:val="003CA0"/>
          <w:sz w:val="16"/>
        </w:rPr>
        <w:t>[RE 187.436, rel. min. Marco Aurélio, j. 25-6-1997, P, DJE de 31-10-1997.]</w:t>
      </w:r>
    </w:p>
    <w:p>
      <w:pPr>
        <w:ind w:left="288"/>
      </w:pPr>
      <w:r>
        <w:rPr>
          <w:color w:val="8C8C8C"/>
          <w:sz w:val="12"/>
        </w:rPr>
        <w:t>cf-art-233-par-3</w:t>
      </w:r>
      <w:r>
        <w:rPr>
          <w:color w:val="003CA0"/>
          <w:sz w:val="12"/>
        </w:rPr>
        <w:t xml:space="preserve"> | AR 1.519</w:t>
      </w:r>
      <w:r>
        <w:rPr>
          <w:color w:val="003CA0"/>
          <w:sz w:val="12"/>
        </w:rPr>
        <w:t xml:space="preserve"> | rel. Cármen Lúcia</w:t>
      </w:r>
    </w:p>
    <w:p>
      <w:pPr>
        <w:ind w:left="288"/>
      </w:pPr>
      <w:r>
        <w:rPr>
          <w:color w:val="1E1E1E"/>
          <w:sz w:val="18"/>
        </w:rPr>
        <w:t>Vide AR 1.519, rel. p/ o ac. min. Cármen Lúcia, j. 13-5-2009, P, DJE de 28-5-2010.] A teor do disposto no art. 195 da CF, incumbe à sociedade, como um todo, financiar, de forma direta e indireta, nos termos da lei, a seguridade social, atribuindo-se aos empregadores a participação mediante bases de incidência próprias – folha de salários, o faturamento e o lucro. Em norma de natureza constitucional transitória, emprestou-se ao Finsocial característica de contribuição, jungindo-se a imperatividade das regras insertas no DL 1.940/1982, com as alterações ocorridas até a promulgação da Carta de 19</w:t>
      </w:r>
    </w:p>
    <w:p>
      <w:pPr>
        <w:ind w:left="288"/>
      </w:pPr>
      <w:r>
        <w:rPr>
          <w:b/>
          <w:color w:val="003CA0"/>
          <w:sz w:val="16"/>
        </w:rPr>
        <w:t>[RE 150.764, rel. p/ o ac. min. Marco Aurélio, j. 16-12-1992, P, DJ de 2-4-1993.]</w:t>
      </w:r>
    </w:p>
    <w:p>
      <w:pPr>
        <w:ind w:left="288"/>
      </w:pPr>
      <w:r>
        <w:rPr>
          <w:color w:val="8C8C8C"/>
          <w:sz w:val="12"/>
        </w:rPr>
        <w:t>cf-art-233-par-3</w:t>
      </w:r>
      <w:r>
        <w:rPr>
          <w:color w:val="003CA0"/>
          <w:sz w:val="12"/>
        </w:rPr>
        <w:t xml:space="preserve"> | AR 1.605</w:t>
      </w:r>
      <w:r>
        <w:rPr>
          <w:color w:val="003CA0"/>
          <w:sz w:val="12"/>
        </w:rPr>
        <w:t xml:space="preserve"> | rel. Eros Grau</w:t>
      </w:r>
    </w:p>
    <w:p>
      <w:pPr>
        <w:ind w:left="288"/>
      </w:pPr>
      <w:r>
        <w:rPr>
          <w:color w:val="1E1E1E"/>
          <w:sz w:val="18"/>
        </w:rPr>
        <w:t>= AR 1.605, rel. min. Eros Grau, j. 26-3-2009, P, DJE de 5-6-2009 Finsocial: contribuição devida pelas empresas dedicadas exclusivamente à prestação de serviço: evolução normativa. Sob a Carta de 1969, quando instituída (DL 1.940/1982, art. 1º, § 2º), a contribuição para o Finsocial devida pelas empresas de prestação de serviço – ao contrário das outras modalidades do tributo afetado a mesma destinação – não constituía imposto novo, da competência residual da União, mas, sim, adicional do imposto sobre a renda, da sua competência tributária discriminada (STF, RE 103.778, 18-9-1985, Guerra, RTJ</w:t>
      </w:r>
    </w:p>
    <w:p>
      <w:pPr>
        <w:ind w:left="288"/>
      </w:pPr>
      <w:r>
        <w:rPr>
          <w:b/>
          <w:color w:val="003CA0"/>
          <w:sz w:val="16"/>
        </w:rPr>
        <w:t>[RE 150.755, red. do ac. min. Sepúlveda Pertence, j. 18-11-1992, P, DJ de 20-8-1993.]</w:t>
      </w:r>
    </w:p>
    <w:p>
      <w:pPr>
        <w:ind w:left="288"/>
      </w:pPr>
      <w:r>
        <w:rPr>
          <w:color w:val="8C8C8C"/>
          <w:sz w:val="12"/>
        </w:rPr>
        <w:t>cf-art-233-par-3</w:t>
      </w:r>
      <w:r>
        <w:rPr>
          <w:color w:val="003CA0"/>
          <w:sz w:val="12"/>
        </w:rPr>
        <w:t xml:space="preserve"> | RE 158.454</w:t>
      </w:r>
      <w:r>
        <w:rPr>
          <w:color w:val="003CA0"/>
          <w:sz w:val="12"/>
        </w:rPr>
        <w:t xml:space="preserve"> | rel. Moreira Alves</w:t>
      </w:r>
    </w:p>
    <w:p>
      <w:pPr>
        <w:ind w:left="288"/>
      </w:pPr>
      <w:r>
        <w:rPr>
          <w:color w:val="1E1E1E"/>
          <w:sz w:val="18"/>
        </w:rPr>
        <w:t>= RE 158.454, rel. min. Moreira Alves, j. 8-11-1994, 1ª T, DJ de 4-8-1995 Art. 57. Os débitos dos Estados e dos Municípios relativos às contribuições previdenciárias até 30 de junho de 1988 serão liquidados, com correção monetária, em cento e vinte parcelas mensais, dispensados os juros e multas sobre eles incidentes, desde que os devedores requeiram o parcelamento e iniciem seu pagamento no prazo de cento e oitenta dias a contar da promulgação da Constituição.</w:t>
      </w:r>
    </w:p>
    <w:p>
      <w:pPr>
        <w:ind w:left="288"/>
      </w:pPr>
      <w:r>
        <w:rPr>
          <w:color w:val="8C8C8C"/>
          <w:sz w:val="12"/>
        </w:rPr>
        <w:t>cf-art-233-par-3</w:t>
      </w:r>
      <w:r>
        <w:rPr>
          <w:color w:val="003CA0"/>
          <w:sz w:val="12"/>
        </w:rPr>
        <w:t xml:space="preserve"> | AI 201.548</w:t>
      </w:r>
      <w:r>
        <w:rPr>
          <w:color w:val="003CA0"/>
          <w:sz w:val="12"/>
        </w:rPr>
        <w:t xml:space="preserve"> | rel. Marco Aurélio</w:t>
      </w:r>
    </w:p>
    <w:p>
      <w:pPr>
        <w:ind w:left="288"/>
      </w:pPr>
      <w:r>
        <w:rPr>
          <w:color w:val="1E1E1E"/>
          <w:sz w:val="18"/>
        </w:rPr>
        <w:t>Até a entrada em vigor da EC 3/1993, a possibilidade de a União reter créditos estava restrita àqueles que lhe diziam respeito, não alcançando os das respectivas autarquias. Inteligência dos arts. 160 e 57, respectivamente do corpo permanente da Carta e do ADCT e da nova redação imprimida ao primeiro pela EC 3/1993.</w:t>
      </w:r>
    </w:p>
    <w:p>
      <w:pPr>
        <w:ind w:left="288"/>
      </w:pPr>
      <w:r>
        <w:rPr>
          <w:b/>
          <w:color w:val="003CA0"/>
          <w:sz w:val="16"/>
        </w:rPr>
        <w:t>[AI 201.548 AgR, rel. min. Marco Aurélio, j. 30-3-1998, 2ª T, DJ de 8-5-1998.]</w:t>
      </w:r>
    </w:p>
    <w:p>
      <w:pPr>
        <w:ind w:left="288"/>
      </w:pPr>
      <w:r>
        <w:rPr>
          <w:color w:val="8C8C8C"/>
          <w:sz w:val="12"/>
        </w:rPr>
        <w:t>cf-art-233-par-3</w:t>
      </w:r>
    </w:p>
    <w:p>
      <w:pPr>
        <w:ind w:left="288"/>
      </w:pPr>
      <w:r>
        <w:rPr>
          <w:color w:val="1E1E1E"/>
          <w:sz w:val="18"/>
        </w:rPr>
        <w:t>§ 4º Descumprida qualquer das condições estabelecidas para concessão do parcelamento, o débito será considerado vencido em sua totalidade, sobre ele incidindo juros de mora; nesta hipótese, parcela dos recursos correspondentes aos Fundos de Participação, destinada aos Estados e Municípios devedores, será bloqueada e repassada à previdência social para pagamento de seus débitos. Art. 58. Os benefícios de prestação continuada, mantidos pela previdência social na data da promulgação da Constituição, terão seus valores revistos, a fim de que seja restabelecido o poder aquisitivo, expresso em númer</w:t>
      </w:r>
    </w:p>
    <w:p>
      <w:pPr>
        <w:ind w:left="288"/>
      </w:pPr>
      <w:r>
        <w:rPr>
          <w:color w:val="8C8C8C"/>
          <w:sz w:val="12"/>
        </w:rPr>
        <w:t>cf-art-233-par-3</w:t>
      </w:r>
      <w:r>
        <w:rPr>
          <w:color w:val="003CA0"/>
          <w:sz w:val="12"/>
        </w:rPr>
        <w:t xml:space="preserve"> | RE 240.729</w:t>
      </w:r>
      <w:r>
        <w:rPr>
          <w:color w:val="003CA0"/>
          <w:sz w:val="12"/>
        </w:rPr>
        <w:t xml:space="preserve"> | rel. Ricardo Lewandowski</w:t>
      </w:r>
    </w:p>
    <w:p>
      <w:pPr>
        <w:ind w:left="288"/>
      </w:pPr>
      <w:r>
        <w:rPr>
          <w:color w:val="1E1E1E"/>
          <w:sz w:val="18"/>
        </w:rPr>
        <w:t>Consoante a jurisprudência desta Corte, o art. 58 do ADCT – ao prever o restabelecimento do poder aquisitivo, expresso em número de salários mínimos, dos benefícios de prestação continuada – referiu-se aos benefícios mantidos pela Previdência Social na data da promulgação da Constituição de 1988. Desse modo, na hipótese de auxílio-doença convertido em aposentadoria por invalidez antes da promulgação da Lei Maior, a revisão prevista no art. 58 do ADCT deve incidir sobre o valor da aposentadoria e não do auxílio-doença.</w:t>
      </w:r>
    </w:p>
    <w:p>
      <w:pPr>
        <w:ind w:left="288"/>
      </w:pPr>
      <w:r>
        <w:rPr>
          <w:b/>
          <w:color w:val="003CA0"/>
          <w:sz w:val="16"/>
        </w:rPr>
        <w:t>[RE 240.729 EDv, rel. min. Ricardo Lewandowski, j. 25-11-2015, P, DJE de 4-12-2015.]</w:t>
      </w:r>
    </w:p>
    <w:p>
      <w:pPr>
        <w:ind w:left="288"/>
      </w:pPr>
      <w:r>
        <w:rPr>
          <w:color w:val="8C8C8C"/>
          <w:sz w:val="12"/>
        </w:rPr>
        <w:t>cf-art-233-par-3</w:t>
      </w:r>
      <w:r>
        <w:rPr>
          <w:color w:val="003CA0"/>
          <w:sz w:val="12"/>
        </w:rPr>
        <w:t xml:space="preserve"> | RE 462.485</w:t>
      </w:r>
      <w:r>
        <w:rPr>
          <w:color w:val="003CA0"/>
          <w:sz w:val="12"/>
        </w:rPr>
        <w:t xml:space="preserve"> | rel. Ellen Gracie</w:t>
      </w:r>
    </w:p>
    <w:p>
      <w:pPr>
        <w:ind w:left="288"/>
      </w:pPr>
      <w:r>
        <w:rPr>
          <w:color w:val="1E1E1E"/>
          <w:sz w:val="18"/>
        </w:rPr>
        <w:t>Constitucional. Previdência social. Art. 58 do ADCT. Salário mínimo vigente na data da concessão do benefício. Para fins da equivalência prevista no art. 58 do ADCT, deve ser considerado o salário mínimo vigente na data da concessão do benefício.</w:t>
      </w:r>
    </w:p>
    <w:p>
      <w:pPr>
        <w:ind w:left="288"/>
      </w:pPr>
      <w:r>
        <w:rPr>
          <w:b/>
          <w:color w:val="003CA0"/>
          <w:sz w:val="16"/>
        </w:rPr>
        <w:t>[RE 462.485 AgR, rel. min. Ellen Gracie, j. 24-3-2009, 2ª T, DJE de 17-4-2009.]</w:t>
      </w:r>
    </w:p>
    <w:p>
      <w:pPr>
        <w:ind w:left="288"/>
      </w:pPr>
      <w:r>
        <w:rPr>
          <w:color w:val="8C8C8C"/>
          <w:sz w:val="12"/>
        </w:rPr>
        <w:t>cf-art-233-par-3</w:t>
      </w:r>
      <w:r>
        <w:rPr>
          <w:color w:val="003CA0"/>
          <w:sz w:val="12"/>
        </w:rPr>
        <w:t xml:space="preserve"> | AI 626.265</w:t>
      </w:r>
      <w:r>
        <w:rPr>
          <w:color w:val="003CA0"/>
          <w:sz w:val="12"/>
        </w:rPr>
        <w:t xml:space="preserve"> | rel. Marco Aurélio</w:t>
      </w:r>
    </w:p>
    <w:p>
      <w:pPr>
        <w:ind w:left="288"/>
      </w:pPr>
      <w:r>
        <w:rPr>
          <w:color w:val="1E1E1E"/>
          <w:sz w:val="18"/>
        </w:rPr>
        <w:t>= AI 626.265 AgR, rel. min. Marco Aurélio, j. 2-10-2012, 1ª T, DJE de 5-11-2012 Pacificou-se a jurisprudência do STF no sentido de o texto do art. 58 do ADCT de 1988 apenas ser adequado a benefícios outorgados em data anterior à promulgação do diploma. Precedente: RE 199.994-2/SP, com acórdão redigido pelo min. Maurício Corrêa e publicado no Diário da Justiça de 12 de novembro de 1999.</w:t>
      </w:r>
    </w:p>
    <w:p>
      <w:pPr>
        <w:ind w:left="288"/>
      </w:pPr>
      <w:r>
        <w:rPr>
          <w:b/>
          <w:color w:val="003CA0"/>
          <w:sz w:val="16"/>
        </w:rPr>
        <w:t>[AR 1.444, rel. min. Marco Aurélio, j. 2-2-2006, P, DJ de 17-3-2006.]</w:t>
      </w:r>
    </w:p>
    <w:p>
      <w:pPr>
        <w:ind w:left="288"/>
      </w:pPr>
      <w:r>
        <w:rPr>
          <w:color w:val="8C8C8C"/>
          <w:sz w:val="12"/>
        </w:rPr>
        <w:t>cf-art-233-par-3</w:t>
      </w:r>
      <w:r>
        <w:rPr>
          <w:color w:val="003CA0"/>
          <w:sz w:val="12"/>
        </w:rPr>
        <w:t xml:space="preserve"> | AI 521.286</w:t>
      </w:r>
      <w:r>
        <w:rPr>
          <w:color w:val="003CA0"/>
          <w:sz w:val="12"/>
        </w:rPr>
        <w:t xml:space="preserve"> | rel. Joaquim Barbosa</w:t>
      </w:r>
    </w:p>
    <w:p>
      <w:pPr>
        <w:ind w:left="288"/>
      </w:pPr>
      <w:r>
        <w:rPr>
          <w:color w:val="1E1E1E"/>
          <w:sz w:val="18"/>
        </w:rPr>
        <w:t>= AI 521.286 AgR, rel. min. Joaquim Barbosa, j. 26-6-2012, 2ª T, DJE de 24-9-2012 A questão referente à delimitação temporal da vigência do art. 58 do ADCT não prescinde do exame de normas infraconstitucionais, a Lei 8.213/1991 e o Decreto 357/1991.</w:t>
      </w:r>
    </w:p>
    <w:p>
      <w:pPr>
        <w:ind w:left="288"/>
      </w:pPr>
      <w:r>
        <w:rPr>
          <w:b/>
          <w:color w:val="003CA0"/>
          <w:sz w:val="16"/>
        </w:rPr>
        <w:t>[RE 440.453 AgR, rel. min. Carlos Velloso, j. 22-3-2005, 2ª T, DJ de 22-4-2005.]</w:t>
      </w:r>
    </w:p>
    <w:p>
      <w:pPr>
        <w:ind w:left="288"/>
      </w:pPr>
      <w:r>
        <w:rPr>
          <w:color w:val="8C8C8C"/>
          <w:sz w:val="12"/>
        </w:rPr>
        <w:t>cf-art-233-par-3</w:t>
      </w:r>
      <w:r>
        <w:rPr>
          <w:color w:val="003CA0"/>
          <w:sz w:val="12"/>
        </w:rPr>
        <w:t xml:space="preserve"> | AI 396.695</w:t>
      </w:r>
      <w:r>
        <w:rPr>
          <w:color w:val="003CA0"/>
          <w:sz w:val="12"/>
        </w:rPr>
        <w:t xml:space="preserve"> | rel. Carlos Velloso</w:t>
      </w:r>
    </w:p>
    <w:p>
      <w:pPr>
        <w:ind w:left="288"/>
      </w:pPr>
      <w:r>
        <w:rPr>
          <w:color w:val="1E1E1E"/>
          <w:sz w:val="18"/>
        </w:rPr>
        <w:t>As normas inscritas nos §§ 5º e 6º do art. 201 da CF são de eficácia plena e aplicabilidade imediata. O disposto no § 5º do art. 195 da Lei Maior e nos arts. 58 e 59, ADCT, não lhes retira a autoaplicabilidade.</w:t>
      </w:r>
    </w:p>
    <w:p>
      <w:pPr>
        <w:ind w:left="288"/>
      </w:pPr>
      <w:r>
        <w:rPr>
          <w:b/>
          <w:color w:val="003CA0"/>
          <w:sz w:val="16"/>
        </w:rPr>
        <w:t>[AI 396.695 AgR, rel. min. Carlos Velloso, j. 2-12-2003, 2ª T, DJ de 6-2-2004.]</w:t>
      </w:r>
    </w:p>
    <w:p>
      <w:pPr>
        <w:ind w:left="288"/>
      </w:pPr>
      <w:r>
        <w:rPr>
          <w:color w:val="8C8C8C"/>
          <w:sz w:val="12"/>
        </w:rPr>
        <w:t>cf-art-233-par-3</w:t>
      </w:r>
      <w:r>
        <w:rPr>
          <w:color w:val="003CA0"/>
          <w:sz w:val="12"/>
        </w:rPr>
        <w:t xml:space="preserve"> | RE 317.508</w:t>
      </w:r>
      <w:r>
        <w:rPr>
          <w:color w:val="003CA0"/>
          <w:sz w:val="12"/>
        </w:rPr>
        <w:t xml:space="preserve"> | rel. Moreira Alves</w:t>
      </w:r>
    </w:p>
    <w:p>
      <w:pPr>
        <w:ind w:left="288"/>
      </w:pPr>
      <w:r>
        <w:rPr>
          <w:color w:val="1E1E1E"/>
          <w:sz w:val="18"/>
        </w:rPr>
        <w:t>Já no período que vai da promulgação da Carta Magna até o sétimo mês após a sua vigência, a revisão em causa vinculada ao salário mínimo viola o disposto no art. 58 do ADCT, porque, se este só determinou esse critério de revisão a partir do sétimo mês após a promulgação da Constituição, a partir desta até esse sétimo mês tal critério não é admitido por ele. Segue-se o período que vai do sétimo mês depois da promulgação da Carta Magna até a implantação do plano de custeio e benefícios que ocorreu com a entrada em vigor da Lei 8.213/1991, no qual a correção dos benefícios com base no salário mín</w:t>
      </w:r>
    </w:p>
    <w:p>
      <w:pPr>
        <w:ind w:left="288"/>
      </w:pPr>
      <w:r>
        <w:rPr>
          <w:b/>
          <w:color w:val="003CA0"/>
          <w:sz w:val="16"/>
        </w:rPr>
        <w:t>[RE 317.508, rel. min. Moreira Alves, j. 1º-4-2003, 1ª T, DJ de 2-5-2003.]</w:t>
      </w:r>
    </w:p>
    <w:p>
      <w:pPr>
        <w:ind w:left="288"/>
      </w:pPr>
      <w:r>
        <w:rPr>
          <w:color w:val="8C8C8C"/>
          <w:sz w:val="12"/>
        </w:rPr>
        <w:t>cf-art-233-par-3</w:t>
      </w:r>
      <w:r>
        <w:rPr>
          <w:color w:val="003CA0"/>
          <w:sz w:val="12"/>
        </w:rPr>
        <w:t xml:space="preserve"> | AI 779.912</w:t>
      </w:r>
      <w:r>
        <w:rPr>
          <w:color w:val="003CA0"/>
          <w:sz w:val="12"/>
        </w:rPr>
        <w:t xml:space="preserve"> | rel. Cármen Lúcia</w:t>
      </w:r>
    </w:p>
    <w:p>
      <w:pPr>
        <w:ind w:left="288"/>
      </w:pPr>
      <w:r>
        <w:rPr>
          <w:color w:val="1E1E1E"/>
          <w:sz w:val="18"/>
        </w:rPr>
        <w:t>= AI 779.912 AgR, rel. min. Cármen Lúcia, j. 2-12-2010, 1ª T, DJE de 1º-2-2011 O acórdão recorrido, ao aplicar o art. 58 do ADCT aos benefícios em causa que são anteriores à promulgação da Carta Magna, não limitou o termo final de sua incidência à data de implantação dos planos de custeio e benefícios que ocorreu com a entrada em vigor das Leis 8.212/1991 e 8.213/1991, a partir de cujas vigências a correção dos benefícios com base no salário mínimo ofende o disposto no citado art. 58.</w:t>
      </w:r>
    </w:p>
    <w:p>
      <w:pPr>
        <w:ind w:left="288"/>
      </w:pPr>
      <w:r>
        <w:rPr>
          <w:b/>
          <w:color w:val="003CA0"/>
          <w:sz w:val="16"/>
        </w:rPr>
        <w:t>[RE 361.633, rel. min. Moreira Alves, j. 25-3-2003, 1ª T, DJ de 11-4-2003.]</w:t>
      </w:r>
    </w:p>
    <w:p>
      <w:pPr>
        <w:ind w:left="288"/>
      </w:pPr>
      <w:r>
        <w:rPr>
          <w:color w:val="8C8C8C"/>
          <w:sz w:val="12"/>
        </w:rPr>
        <w:t>cf-art-233-par-3</w:t>
      </w:r>
      <w:r>
        <w:rPr>
          <w:color w:val="003CA0"/>
          <w:sz w:val="12"/>
        </w:rPr>
        <w:t xml:space="preserve"> | RE 141.851</w:t>
      </w:r>
      <w:r>
        <w:rPr>
          <w:color w:val="003CA0"/>
          <w:sz w:val="12"/>
        </w:rPr>
        <w:t xml:space="preserve"> | rel. Néri da Silveira</w:t>
      </w:r>
    </w:p>
    <w:p>
      <w:pPr>
        <w:ind w:left="288"/>
      </w:pPr>
      <w:r>
        <w:rPr>
          <w:color w:val="1E1E1E"/>
          <w:sz w:val="18"/>
        </w:rPr>
        <w:t>Aplicação do art. 58 do ADCT quanto aos benefícios de prestação continuada, mantidos pela Previdência Social.</w:t>
      </w:r>
    </w:p>
    <w:p>
      <w:pPr>
        <w:ind w:left="288"/>
      </w:pPr>
      <w:r>
        <w:rPr>
          <w:b/>
          <w:color w:val="003CA0"/>
          <w:sz w:val="16"/>
        </w:rPr>
        <w:t>[RE 141.851 EDv, rel. min. Néri da Silveira, j. 29-11-2001, P, DJ de 1º-2-2002.]</w:t>
      </w:r>
    </w:p>
    <w:p>
      <w:pPr>
        <w:ind w:left="288"/>
      </w:pPr>
      <w:r>
        <w:rPr>
          <w:color w:val="8C8C8C"/>
          <w:sz w:val="12"/>
        </w:rPr>
        <w:t>cf-art-233-par-unico</w:t>
      </w:r>
    </w:p>
    <w:p>
      <w:pPr>
        <w:ind w:left="288"/>
      </w:pPr>
      <w:r>
        <w:rPr>
          <w:color w:val="1E1E1E"/>
          <w:sz w:val="18"/>
        </w:rPr>
        <w:t>Art. 59. Os projetos de lei relativos à organização da seguridade social e aos planos de custeio e de benefício serão apresentados no prazo máximo de seis meses da promulgação da Constituição ao Congresso Nacional, que terá seis meses para apreciá-los.</w:t>
      </w:r>
    </w:p>
    <w:p>
      <w:pPr>
        <w:ind w:left="288"/>
      </w:pPr>
      <w:r>
        <w:rPr>
          <w:color w:val="8C8C8C"/>
          <w:sz w:val="12"/>
        </w:rPr>
        <w:t>cf-art-233-par-unico</w:t>
      </w:r>
      <w:r>
        <w:rPr>
          <w:color w:val="003CA0"/>
          <w:sz w:val="12"/>
        </w:rPr>
        <w:t xml:space="preserve"> | AI 396.695</w:t>
      </w:r>
      <w:r>
        <w:rPr>
          <w:color w:val="003CA0"/>
          <w:sz w:val="12"/>
        </w:rPr>
        <w:t xml:space="preserve"> | rel. Carlos Velloso</w:t>
      </w:r>
    </w:p>
    <w:p>
      <w:pPr>
        <w:ind w:left="288"/>
      </w:pPr>
      <w:r>
        <w:rPr>
          <w:color w:val="1E1E1E"/>
          <w:sz w:val="18"/>
        </w:rPr>
        <w:t>As normas inscritas nos §§ 5º e 6º do art. 201 da CF são de eficácia plena e aplicabilidade imediata. O disposto no § 5º do art. 195 da Lei Maior e nos arts. 58 e 59, ADCT, não lhes retira a autoaplicabilidade.</w:t>
      </w:r>
    </w:p>
    <w:p>
      <w:pPr>
        <w:ind w:left="288"/>
      </w:pPr>
      <w:r>
        <w:rPr>
          <w:b/>
          <w:color w:val="003CA0"/>
          <w:sz w:val="16"/>
        </w:rPr>
        <w:t>[AI 396.695 AgR, rel. min. Carlos Velloso, j. 29-11-2001, 2ª T, DJ de 6-2-2004.]</w:t>
      </w:r>
    </w:p>
    <w:p>
      <w:pPr>
        <w:ind w:left="288"/>
      </w:pPr>
      <w:r>
        <w:rPr>
          <w:color w:val="8C8C8C"/>
          <w:sz w:val="12"/>
        </w:rPr>
        <w:t>cf-art-233-par-unico</w:t>
      </w:r>
      <w:r>
        <w:rPr>
          <w:color w:val="003CA0"/>
          <w:sz w:val="12"/>
        </w:rPr>
        <w:t xml:space="preserve"> | RE 148.510</w:t>
      </w:r>
      <w:r>
        <w:rPr>
          <w:color w:val="003CA0"/>
          <w:sz w:val="12"/>
        </w:rPr>
        <w:t xml:space="preserve"> | rel. Marco Aurélio</w:t>
      </w:r>
    </w:p>
    <w:p>
      <w:pPr>
        <w:ind w:left="288"/>
      </w:pPr>
      <w:r>
        <w:rPr>
          <w:color w:val="1E1E1E"/>
          <w:sz w:val="18"/>
        </w:rPr>
        <w:t xml:space="preserve">A seguridade social com a universalidade da cobertura e do atendimento, bem como a alcançar a uniformização e equivalência dos benefícios e serviços às populações urbanas e rurais resulta do teor do art. 194, submetendo-se tais princípios ao que previsto nos arts. 195, § 5º, e 59, os dois primeiros do corpo permanente da Lei Básica Federal e o último das Disposições Transitórias. A aposentadoria na atividade urbana mediante junção do tempo de serviço rural somente é devida a partir de 5 de abril de 1991, isso por força do disposto no art. 145 da Lei 8.213, de 1991, e na Lei 8.212/1991, no que </w:t>
      </w:r>
    </w:p>
    <w:p>
      <w:pPr>
        <w:ind w:left="288"/>
      </w:pPr>
      <w:r>
        <w:rPr>
          <w:b/>
          <w:color w:val="003CA0"/>
          <w:sz w:val="16"/>
        </w:rPr>
        <w:t>[RE 148.510, rel. min. Marco Aurélio, j. 31-10-1994, 2ª T, DJ de 4-8-1995.]</w:t>
      </w:r>
    </w:p>
    <w:p>
      <w:pPr>
        <w:ind w:left="288"/>
      </w:pPr>
      <w:r>
        <w:rPr>
          <w:color w:val="8C8C8C"/>
          <w:sz w:val="12"/>
        </w:rPr>
        <w:t>cf-art-233-par-unico</w:t>
      </w:r>
      <w:r>
        <w:rPr>
          <w:color w:val="003CA0"/>
          <w:sz w:val="12"/>
        </w:rPr>
        <w:t xml:space="preserve"> | MI 232</w:t>
      </w:r>
      <w:r>
        <w:rPr>
          <w:color w:val="003CA0"/>
          <w:sz w:val="12"/>
        </w:rPr>
        <w:t xml:space="preserve"> | rel. Moreira Alves</w:t>
      </w:r>
    </w:p>
    <w:p>
      <w:pPr>
        <w:ind w:left="288"/>
      </w:pPr>
      <w:r>
        <w:rPr>
          <w:color w:val="1E1E1E"/>
          <w:sz w:val="18"/>
        </w:rPr>
        <w:t>Ocorrência, no caso, em face do disposto no art. 59 do ADCT, de mora, por parte do Congresso, na regulamentação daquele preceito constitucional. Mandado de injunção conhecido, em parte, e, nessa parte, deferido para declarar-se o estado de mora em que se encontra o Congresso Nacional, a fim de que, no prazo de seis meses, adote ele as providências legislativas que se impõem para o cumprimento da obrigação de legislar decorrente do art. 195, § 7º, da Constituição, sob pena de, vencido esse prazo sem que essa obrigação se cumpra, passar o requerente a gozar da imunidade requerida.</w:t>
      </w:r>
    </w:p>
    <w:p>
      <w:pPr>
        <w:ind w:left="288"/>
      </w:pPr>
      <w:r>
        <w:rPr>
          <w:b/>
          <w:color w:val="003CA0"/>
          <w:sz w:val="16"/>
        </w:rPr>
        <w:t>[MI 232, rel. min. Moreira Alves, j. 2-8-1991, P, DJ de 27-3-1992.]</w:t>
      </w:r>
    </w:p>
    <w:p>
      <w:pPr>
        <w:ind w:left="288"/>
      </w:pPr>
      <w:r>
        <w:rPr>
          <w:color w:val="8C8C8C"/>
          <w:sz w:val="12"/>
        </w:rPr>
        <w:t>cf-art-233-par-unico</w:t>
      </w:r>
      <w:r>
        <w:rPr>
          <w:color w:val="003CA0"/>
          <w:sz w:val="12"/>
        </w:rPr>
        <w:t xml:space="preserve"> | RE 235.992</w:t>
      </w:r>
      <w:r>
        <w:rPr>
          <w:color w:val="003CA0"/>
          <w:sz w:val="12"/>
        </w:rPr>
        <w:t xml:space="preserve"> | rel. Néri da Silveira</w:t>
      </w:r>
    </w:p>
    <w:p>
      <w:pPr>
        <w:ind w:left="288"/>
      </w:pPr>
      <w:r>
        <w:rPr>
          <w:color w:val="1E1E1E"/>
          <w:sz w:val="18"/>
        </w:rPr>
        <w:t>Aplicabilidade do art. 58 do ADCT, de 1988. A norma aludida aplica-se aos benefícios de prestação continuada mantidos na data da promulgação da CF de 1988, com os efeitos dele decorrentes, de abril de 1989 até a implantação do Plano de Custeio e Benefícios, a teor dos arts. 58 e 59, parágrafo único, do ADCT.</w:t>
      </w:r>
    </w:p>
    <w:p>
      <w:pPr>
        <w:ind w:left="288"/>
      </w:pPr>
      <w:r>
        <w:rPr>
          <w:b/>
          <w:color w:val="003CA0"/>
          <w:sz w:val="16"/>
        </w:rPr>
        <w:t>[RE 235.992 ED, rel. min. Néri da Silveira, j. 22-5-2001, 2ª T, DJ de 24-8-2001.]</w:t>
      </w:r>
    </w:p>
    <w:p>
      <w:pPr>
        <w:ind w:left="288"/>
      </w:pPr>
      <w:r>
        <w:rPr>
          <w:color w:val="8C8C8C"/>
          <w:sz w:val="12"/>
        </w:rPr>
        <w:t>cf-art-233-par-unico</w:t>
      </w:r>
      <w:r>
        <w:rPr>
          <w:color w:val="003CA0"/>
          <w:sz w:val="12"/>
        </w:rPr>
        <w:t xml:space="preserve"> | RE 552.079</w:t>
      </w:r>
      <w:r>
        <w:rPr>
          <w:color w:val="003CA0"/>
          <w:sz w:val="12"/>
        </w:rPr>
        <w:t xml:space="preserve"> | rel. Gilmar Mendes</w:t>
      </w:r>
    </w:p>
    <w:p>
      <w:pPr>
        <w:ind w:left="288"/>
      </w:pPr>
      <w:r>
        <w:rPr>
          <w:color w:val="1E1E1E"/>
          <w:sz w:val="18"/>
        </w:rPr>
        <w:t>= RE 552.079 AgR, rel. min. Gilmar Mendes, j. 7-8-2012, 2ª T, DJE de 27-9-2012 Art. 60. A complementação da União referida no inciso IV do caput do art. 212-A da Constituição Federal será implementada progressivamente até alcançar a proporção estabelecida no inciso V do caput do mesmo artigo, a partir de 1º de janeiro de 2021, nos seguintes valores mínimos: (Redação dada pela EC n. 108/2020)</w:t>
      </w:r>
    </w:p>
    <w:p>
      <w:pPr>
        <w:ind w:left="288"/>
      </w:pPr>
      <w:r>
        <w:rPr>
          <w:color w:val="8C8C8C"/>
          <w:sz w:val="12"/>
        </w:rPr>
        <w:t>cf-art-233-par-unico-inc-III</w:t>
      </w:r>
    </w:p>
    <w:p>
      <w:pPr>
        <w:ind w:left="288"/>
      </w:pPr>
      <w:r>
        <w:rPr>
          <w:color w:val="1E1E1E"/>
          <w:sz w:val="18"/>
        </w:rPr>
        <w:t>a) a organização dos Fundos, a distribuição proporcional de seus recursos, as diferenças e as ponderações quanto ao valor anual por aluno entre etapas e modalidades da educação básica e tipos de estabelecimento de ensino; (Incluída pela EC 53/2006)</w:t>
      </w:r>
    </w:p>
    <w:p>
      <w:pPr>
        <w:ind w:left="288"/>
      </w:pPr>
      <w:r>
        <w:rPr>
          <w:color w:val="8C8C8C"/>
          <w:sz w:val="12"/>
        </w:rPr>
        <w:t>cf-art-233-par-unico-inc-III-ali-b</w:t>
      </w:r>
    </w:p>
    <w:p>
      <w:pPr>
        <w:ind w:left="288"/>
      </w:pPr>
      <w:r>
        <w:rPr>
          <w:color w:val="1E1E1E"/>
          <w:sz w:val="18"/>
        </w:rPr>
        <w:t>c) os percentuais máximos de apropriação dos recursos dos Fundos pelas diversas etapas e modalidades da educação básica, observados os arts. 208 e 214 da Constituição Federal, bem como as metas do Plano Nacional de Educação; (Incluída pela EC 53/2006)</w:t>
      </w:r>
    </w:p>
    <w:p>
      <w:pPr>
        <w:ind w:left="144"/>
      </w:pPr>
      <w:r>
        <w:rPr>
          <w:b/>
          <w:color w:val="B45A00"/>
          <w:sz w:val="16"/>
        </w:rPr>
        <w:t>CONTROLE CONCENTRADO</w:t>
      </w:r>
    </w:p>
    <w:p>
      <w:pPr>
        <w:ind w:left="288"/>
      </w:pPr>
      <w:r>
        <w:rPr>
          <w:color w:val="8C8C8C"/>
          <w:sz w:val="12"/>
        </w:rPr>
        <w:t>cf-art-233-par-unico-inc-III-ali-e</w:t>
      </w:r>
      <w:r>
        <w:rPr>
          <w:color w:val="003CA0"/>
          <w:sz w:val="12"/>
        </w:rPr>
        <w:t xml:space="preserve"> | ADI 4.167</w:t>
      </w:r>
      <w:r>
        <w:rPr>
          <w:color w:val="003CA0"/>
          <w:sz w:val="12"/>
        </w:rPr>
        <w:t xml:space="preserve"> | rel. Joaquim Barbosa</w:t>
      </w:r>
    </w:p>
    <w:p>
      <w:pPr>
        <w:ind w:left="288"/>
      </w:pPr>
      <w:r>
        <w:rPr>
          <w:color w:val="1E1E1E"/>
          <w:sz w:val="18"/>
        </w:rPr>
        <w:t>A Lei 11.738/2008 passou a ser aplicável a partir de 27-4-2011, data do julgamento de mérito desta ação direta de inconstitucionalidade e em que declarada a constitucionalidade do piso dos professores da educação básica. Aplicação do art. 27 da Lei 9.868/2001. Não cabe estender o prazo de adaptação fixado pela lei, nem fixar regras específicas de reforço do custeio devido pela União. Matéria que deve ser apresentada a tempo e modo próprios aos órgãos competentes. (...) Recursos de embargos de declaração interpostos pelos Estados do Rio Grande do Sul, Ceará, Santa Catarina e Mato Grosso parcial</w:t>
      </w:r>
    </w:p>
    <w:p>
      <w:pPr>
        <w:ind w:left="288"/>
      </w:pPr>
      <w:r>
        <w:rPr>
          <w:b/>
          <w:color w:val="003CA0"/>
          <w:sz w:val="16"/>
        </w:rPr>
        <w:t>[ADI 4.167 ED-AgR, rel. min. Joaquim Barbosa, j. 27-2-2013, P, DJE de 9-10-2013.]</w:t>
      </w:r>
    </w:p>
    <w:p>
      <w:pPr>
        <w:ind w:left="288"/>
      </w:pPr>
      <w:r>
        <w:rPr>
          <w:color w:val="8C8C8C"/>
          <w:sz w:val="12"/>
        </w:rPr>
        <w:t>cf-art-233-par-unico-inc-III-ali-e</w:t>
      </w:r>
      <w:r>
        <w:rPr>
          <w:color w:val="003CA0"/>
          <w:sz w:val="12"/>
        </w:rPr>
        <w:t xml:space="preserve"> | ADI 4.167</w:t>
      </w:r>
      <w:r>
        <w:rPr>
          <w:color w:val="003CA0"/>
          <w:sz w:val="12"/>
        </w:rPr>
        <w:t xml:space="preserve"> | rel. Joaquim Barbosa</w:t>
      </w:r>
    </w:p>
    <w:p>
      <w:pPr>
        <w:ind w:left="288"/>
      </w:pPr>
      <w:r>
        <w:rPr>
          <w:color w:val="1E1E1E"/>
          <w:sz w:val="18"/>
        </w:rPr>
        <w:t>Pacto federativo e repartição de competência. Piso nacional para os professores da educação básica. (...) Perda parcial do objeto desta ação direta de inconstitucionalidade, na medida em que o cronograma de aplicação escalonada do piso de vencimento dos professores da educação básica se exauriu (arts. 3º e 8º da Lei 11.738/2008). É constitucional a norma geral federal que fixou o piso salarial dos professores do ensino médio com base no vencimento, e não na remuneração global. Competência da União para dispor sobre normas gerais relativas ao piso de vencimento dos professores da educação básic</w:t>
      </w:r>
    </w:p>
    <w:p>
      <w:pPr>
        <w:ind w:left="288"/>
      </w:pPr>
      <w:r>
        <w:rPr>
          <w:b/>
          <w:color w:val="003CA0"/>
          <w:sz w:val="16"/>
        </w:rPr>
        <w:t>[ADI 4.167, rel. min. Joaquim Barbosa, j. 27-4-2011, P, DJE de 24-8-2011.]</w:t>
      </w:r>
    </w:p>
    <w:p>
      <w:pPr>
        <w:ind w:left="288"/>
      </w:pPr>
      <w:r>
        <w:rPr>
          <w:color w:val="8C8C8C"/>
          <w:sz w:val="12"/>
        </w:rPr>
        <w:t>cf-art-233-par-unico-inc-III-ali-e</w:t>
      </w:r>
      <w:r>
        <w:rPr>
          <w:color w:val="003CA0"/>
          <w:sz w:val="12"/>
        </w:rPr>
        <w:t xml:space="preserve"> | ADI 4.167</w:t>
      </w:r>
      <w:r>
        <w:rPr>
          <w:color w:val="003CA0"/>
          <w:sz w:val="12"/>
        </w:rPr>
        <w:t xml:space="preserve"> | rel. Joaquim Barbosa</w:t>
      </w:r>
    </w:p>
    <w:p>
      <w:pPr>
        <w:ind w:left="288"/>
      </w:pPr>
      <w:r>
        <w:rPr>
          <w:color w:val="1E1E1E"/>
          <w:sz w:val="18"/>
        </w:rPr>
        <w:t>Vide ADI 4.167 ED-AgR, rel. min. Joaquim Barbosa, j. 27-2-2013, P, DJE de 9-10-2013 IV - os recursos recebidos à conta dos Fundos instituídos nos termos do inciso I do caput deste artigo serão aplicados pelos Estados e Municípios exclusivamente nos respectivos âmbitos de atuação prioritária, conforme estabelecido nos §§ 2º e 3º do art. 211 da Constituição Federal; (Incluído pela EC 53/2006) V - a União complementará os recursos dos Fundos a que se refere o inciso II do caput deste artigo sempre que, no Distrito Federal e em cada Estado, o valor por aluno não alcançar o mínimo definido nacional</w:t>
      </w:r>
    </w:p>
    <w:p>
      <w:pPr>
        <w:ind w:left="288"/>
      </w:pPr>
      <w:r>
        <w:rPr>
          <w:color w:val="8C8C8C"/>
          <w:sz w:val="12"/>
        </w:rPr>
        <w:t>cf-art-233-par-unico-inc-VII-ali-d</w:t>
      </w:r>
    </w:p>
    <w:p>
      <w:pPr>
        <w:ind w:left="288"/>
      </w:pPr>
      <w:r>
        <w:rPr>
          <w:color w:val="1E1E1E"/>
          <w:sz w:val="18"/>
        </w:rPr>
        <w:t xml:space="preserve">VIII - a vinculação de recursos à manutenção e desenvolvimento do ensino estabelecida no art. 212 da Constituição Federal suportará, no máximo, 30% (trinta por cento) da complementação da União, considerando-se para os fins deste inciso os valores previstos no inciso VII do caput deste artigo; (Incluído pela EC 53/2006) IX - os valores a que se referem as alíneas a, b, e c do inciso VII do caput deste artigo serão atualizados, anualmente, a partir da promulgação desta Emenda Constitucional, de forma a preservar, em caráter permanente, o valor real da complementação da União; (Incluído pela EC </w:t>
      </w:r>
    </w:p>
    <w:p>
      <w:pPr>
        <w:ind w:left="288"/>
      </w:pPr>
      <w:r>
        <w:rPr>
          <w:color w:val="8C8C8C"/>
          <w:sz w:val="12"/>
        </w:rPr>
        <w:t>cf-art-233-par-unico-inc-XI</w:t>
      </w:r>
    </w:p>
    <w:p>
      <w:pPr>
        <w:ind w:left="288"/>
      </w:pPr>
      <w:r>
        <w:rPr>
          <w:color w:val="1E1E1E"/>
          <w:sz w:val="18"/>
        </w:rPr>
        <w:t>XII - proporção não inferior a 60% (sessenta por cento) de cada Fundo referido no inciso I do caput deste artigo será destinada ao pagamento dos profissionais do magistério da educação básica em efetivo exercício. (Incluído pela EC 53/2006)</w:t>
      </w:r>
    </w:p>
    <w:p>
      <w:pPr>
        <w:ind w:left="288"/>
      </w:pPr>
      <w:r>
        <w:rPr>
          <w:color w:val="8C8C8C"/>
          <w:sz w:val="12"/>
        </w:rPr>
        <w:t>cf-art-233-par-1</w:t>
      </w:r>
    </w:p>
    <w:p>
      <w:pPr>
        <w:ind w:left="288"/>
      </w:pPr>
      <w:r>
        <w:rPr>
          <w:color w:val="1E1E1E"/>
          <w:sz w:val="18"/>
        </w:rPr>
        <w:t>§ 2º O valor por aluno do ensino fundamental, no Fundo de cada Estado e do Distrito Federal, não poderá ser inferior ao praticado no âmbito do Fundo de Manutenção e Desenvolvimento do Ensino Fundamental e de Valorização do Magistério - FUNDEF, no ano anterior à vigência desta Emenda Constitucional. (Redação da EC 53/2006) § 3º O valor anual mínimo por aluno do ensino fundamental, no âmbito do Fundo de Manutenção e Desenvolvimento da Educação Básica e de Valorização dos Profissionais da Educação - FUNDEB, não poderá ser inferior ao valor mínimo fixado nacionalmente no ano anterior ao da vigênci</w:t>
      </w:r>
    </w:p>
    <w:p>
      <w:pPr>
        <w:ind w:left="288"/>
      </w:pPr>
      <w:r>
        <w:rPr>
          <w:color w:val="8C8C8C"/>
          <w:sz w:val="12"/>
        </w:rPr>
        <w:t>cf-art-233-par-5</w:t>
      </w:r>
    </w:p>
    <w:p>
      <w:pPr>
        <w:ind w:left="288"/>
      </w:pPr>
      <w:r>
        <w:rPr>
          <w:color w:val="1E1E1E"/>
          <w:sz w:val="18"/>
        </w:rPr>
        <w:t>I - no caso dos impostos e transferências constantes do inciso II do caput do art. 155; do inciso IV do caput do art. 158; e das alíneas a e b do inciso I e do inciso II do caput do art. 159 da Constituição Federal: (Incluído pela EC 53/2006)</w:t>
      </w:r>
    </w:p>
    <w:p>
      <w:pPr>
        <w:ind w:left="288"/>
      </w:pPr>
      <w:r>
        <w:rPr>
          <w:color w:val="8C8C8C"/>
          <w:sz w:val="12"/>
        </w:rPr>
        <w:t>cf-art-233-par-5-ali-c</w:t>
      </w:r>
    </w:p>
    <w:p>
      <w:pPr>
        <w:ind w:left="288"/>
      </w:pPr>
      <w:r>
        <w:rPr>
          <w:color w:val="1E1E1E"/>
          <w:sz w:val="18"/>
        </w:rPr>
        <w:t>II - no caso dos impostos e transferências constantes dos incisos I e III do caput do art. 155; do inciso II do caput do art. 157; e dos incisos II e III do caput do art. 158 da Constituição Federal. (Incluído pela EC 53/2006)</w:t>
      </w:r>
    </w:p>
    <w:p>
      <w:pPr>
        <w:ind w:left="288"/>
      </w:pPr>
      <w:r>
        <w:rPr>
          <w:color w:val="8C8C8C"/>
          <w:sz w:val="12"/>
        </w:rPr>
        <w:t>cf-art-233-par-7</w:t>
      </w:r>
    </w:p>
    <w:p>
      <w:pPr>
        <w:ind w:left="288"/>
      </w:pPr>
      <w:r>
        <w:rPr>
          <w:color w:val="1E1E1E"/>
          <w:sz w:val="18"/>
        </w:rPr>
        <w:t>Art. 61. As entidades educacionais a que se refere o art. 213, bem como as fundações de ensino e pesquisa cuja criação tenha sido autorizada por lei, que preencham os requisitos dos incisos I e II do referido artigo e que, nos últimos três anos, tenham recebido recursos públicos, poderão continuar a recebê-los, salvo disposição legal em contrário. Art. 62. A lei criará o Serviço Nacional de Aprendizagem Rural (SENAR) nos moldes da legislação relativa ao Serviço Nacional de Aprendizagem Industrial (SENAI) e ao Serviço Nacional de Aprendizagem do Comércio (SENAC), sem prejuízo das atribuições do</w:t>
      </w:r>
    </w:p>
    <w:p>
      <w:pPr>
        <w:ind w:left="144"/>
      </w:pPr>
      <w:r>
        <w:rPr>
          <w:b/>
          <w:color w:val="B45A00"/>
          <w:sz w:val="16"/>
        </w:rPr>
        <w:t>JULGADOS CORRELATOS</w:t>
      </w:r>
    </w:p>
    <w:p>
      <w:pPr>
        <w:ind w:left="288"/>
      </w:pPr>
      <w:r>
        <w:rPr>
          <w:color w:val="8C8C8C"/>
          <w:sz w:val="12"/>
        </w:rPr>
        <w:t>cf-art-233-par-7</w:t>
      </w:r>
      <w:r>
        <w:rPr>
          <w:color w:val="003CA0"/>
          <w:sz w:val="12"/>
        </w:rPr>
        <w:t xml:space="preserve"> | MS 24.566</w:t>
      </w:r>
      <w:r>
        <w:rPr>
          <w:color w:val="003CA0"/>
          <w:sz w:val="12"/>
        </w:rPr>
        <w:t xml:space="preserve"> | rel. Marco Aurélio</w:t>
      </w:r>
    </w:p>
    <w:p>
      <w:pPr>
        <w:ind w:left="288"/>
      </w:pPr>
      <w:r>
        <w:rPr>
          <w:color w:val="1E1E1E"/>
          <w:sz w:val="18"/>
        </w:rPr>
        <w:t>Terras indígenas. Demarcação. O prazo previsto no art. 67 do ADCT não é peremptório. Sinalizou simplesmente visão prognóstica sobre o término dos trabalhos de demarcação e, portanto, a realização destes em tempo razoável.</w:t>
      </w:r>
    </w:p>
    <w:p>
      <w:pPr>
        <w:ind w:left="288"/>
      </w:pPr>
      <w:r>
        <w:rPr>
          <w:b/>
          <w:color w:val="003CA0"/>
          <w:sz w:val="16"/>
        </w:rPr>
        <w:t>[MS 24.566, rel. min. Marco Aurélio, j. 22-3-2004, P, DJ de 28-5-2004.]</w:t>
      </w:r>
    </w:p>
    <w:p>
      <w:pPr>
        <w:ind w:left="288"/>
      </w:pPr>
      <w:r>
        <w:rPr>
          <w:color w:val="8C8C8C"/>
          <w:sz w:val="12"/>
        </w:rPr>
        <w:t>cf-art-233-par-7</w:t>
      </w:r>
    </w:p>
    <w:p>
      <w:pPr>
        <w:ind w:left="288"/>
      </w:pPr>
      <w:r>
        <w:rPr>
          <w:color w:val="1E1E1E"/>
          <w:sz w:val="18"/>
        </w:rPr>
        <w:t>Art. 68. Aos remanescentes das comunidades dos quilombos que estejam ocupando suas terras é reconhecida a propriedade definitiva, devendo o Estado emitir-lhes os títulos respectivos.</w:t>
      </w:r>
    </w:p>
    <w:p>
      <w:pPr>
        <w:ind w:left="144"/>
      </w:pPr>
      <w:r>
        <w:rPr>
          <w:b/>
          <w:color w:val="B45A00"/>
          <w:sz w:val="16"/>
        </w:rPr>
        <w:t>CONTROLE CONCENTRADO</w:t>
      </w:r>
    </w:p>
    <w:p>
      <w:pPr>
        <w:ind w:left="288"/>
      </w:pPr>
      <w:r>
        <w:rPr>
          <w:color w:val="8C8C8C"/>
          <w:sz w:val="12"/>
        </w:rPr>
        <w:t>cf-art-233-par-7</w:t>
      </w:r>
      <w:r>
        <w:rPr>
          <w:color w:val="003CA0"/>
          <w:sz w:val="12"/>
        </w:rPr>
        <w:t xml:space="preserve"> | ADI 7.008</w:t>
      </w:r>
      <w:r>
        <w:rPr>
          <w:color w:val="003CA0"/>
          <w:sz w:val="12"/>
        </w:rPr>
        <w:t xml:space="preserve"> | rel. Roberto Barroso</w:t>
      </w:r>
    </w:p>
    <w:p>
      <w:pPr>
        <w:ind w:left="288"/>
      </w:pPr>
      <w:r>
        <w:rPr>
          <w:color w:val="1E1E1E"/>
          <w:sz w:val="18"/>
        </w:rPr>
        <w:t>“1. É constitucional norma estadual que, sem afastar a aplicação da legislação nacional em matéria ambiental (inclusive relatório de impacto ambiental) e o dever de consulta prévia às comunidades indígenas e tradicionais, quando diretamente atingidas por ocuparem zonas contíguas, autoriza a concessão à iniciativa privada da exploração de serviços ou do uso de bens imóveis do Estado; 2. A concessão pelo Estado não pode incidir sobre áreas tradicionalmente ocupadas por povos indígenas, remanescentes quilombolas e demais comunidades tradicionais”.</w:t>
        <w:br/>
        <w:t>[ADI 7.008, rel. min. Roberto Barroso, j. 22-5-20</w:t>
      </w:r>
    </w:p>
    <w:p>
      <w:pPr>
        <w:ind w:left="288"/>
      </w:pPr>
      <w:r>
        <w:rPr>
          <w:b/>
          <w:color w:val="003CA0"/>
          <w:sz w:val="16"/>
        </w:rPr>
        <w:t>[ADI 4.269, rel. min. Edson Fachin, j. 18-10-2017, P, DJE 1-2-2019.]</w:t>
      </w:r>
    </w:p>
    <w:p>
      <w:pPr>
        <w:ind w:left="288"/>
      </w:pPr>
      <w:r>
        <w:rPr>
          <w:color w:val="8C8C8C"/>
          <w:sz w:val="12"/>
        </w:rPr>
        <w:t>cf-art-233-par-7</w:t>
      </w:r>
      <w:r>
        <w:rPr>
          <w:color w:val="003CA0"/>
          <w:sz w:val="12"/>
        </w:rPr>
        <w:t xml:space="preserve"> | ARE 1.360.309</w:t>
      </w:r>
      <w:r>
        <w:rPr>
          <w:color w:val="003CA0"/>
          <w:sz w:val="12"/>
        </w:rPr>
        <w:t xml:space="preserve"> | rel. Edson Fachin</w:t>
      </w:r>
    </w:p>
    <w:p>
      <w:pPr>
        <w:ind w:left="288"/>
      </w:pPr>
      <w:r>
        <w:rPr>
          <w:color w:val="1E1E1E"/>
          <w:sz w:val="18"/>
        </w:rPr>
        <w:t>Regularização fundiária das terras ocupadas por comunidades remanescentes de quilombos. (...) A alegação de que se trata de terras registradas em nome de particular desde a década de 80 e de que não foi verificado, na hipótese, conflito possessório atual, não afasta a incidência do art. 68 do ADCT, cuja interpretação está em sintonia com os artigos 215 e 216 da Constituição Federal.</w:t>
      </w:r>
    </w:p>
    <w:p>
      <w:pPr>
        <w:ind w:left="288"/>
      </w:pPr>
      <w:r>
        <w:rPr>
          <w:b/>
          <w:color w:val="003CA0"/>
          <w:sz w:val="16"/>
        </w:rPr>
        <w:t>[ARE 1.360.309 AgR-segundo, rel. min. Edson Fachin, j. 29.09.2025, 2ª T, DJE de 06.10.2025.]</w:t>
      </w:r>
    </w:p>
    <w:p>
      <w:pPr>
        <w:ind w:left="288"/>
      </w:pPr>
      <w:r>
        <w:rPr>
          <w:color w:val="8C8C8C"/>
          <w:sz w:val="12"/>
        </w:rPr>
        <w:t>cf-art-233-par-7</w:t>
      </w:r>
      <w:r>
        <w:rPr>
          <w:color w:val="003CA0"/>
          <w:sz w:val="12"/>
        </w:rPr>
        <w:t xml:space="preserve"> | RE 1.525.355</w:t>
      </w:r>
      <w:r>
        <w:rPr>
          <w:color w:val="003CA0"/>
          <w:sz w:val="12"/>
        </w:rPr>
        <w:t xml:space="preserve"> | rel. Edson Fachin</w:t>
      </w:r>
    </w:p>
    <w:p>
      <w:pPr>
        <w:ind w:left="288"/>
      </w:pPr>
      <w:r>
        <w:rPr>
          <w:color w:val="1E1E1E"/>
          <w:sz w:val="18"/>
        </w:rPr>
        <w:t>O art. 68 do ADCT deve ser interpretado segundo o marco temporal de 5 de outubro de 1988, data da promulgação da Constituição, salvo nos casos de renitente esbulho comprovado. A demarcação de terras quilombolas deve se restringir às áreas efetivamente ocupadas e utilizadas pela comunidade, sendo inválida a inclusão áreas destinadas exclusivamente à exploração comercial, sem vínculo com a ocupação tradicional. A anulação de levantamento técnico por inclusão indevida de terras não ocupadas se justifica, mesmo que afastada a aplicação do marco temporal.</w:t>
      </w:r>
    </w:p>
    <w:p>
      <w:pPr>
        <w:ind w:left="288"/>
      </w:pPr>
      <w:r>
        <w:rPr>
          <w:b/>
          <w:color w:val="003CA0"/>
          <w:sz w:val="16"/>
        </w:rPr>
        <w:t>[RE 1.525.355 AgR, rel. min. Edson Fachin, j. 01.09.2025, 2ª T, DJE de 30.09.2025.]</w:t>
      </w:r>
    </w:p>
    <w:p>
      <w:pPr>
        <w:ind w:left="288"/>
      </w:pPr>
      <w:r>
        <w:rPr>
          <w:color w:val="8C8C8C"/>
          <w:sz w:val="12"/>
        </w:rPr>
        <w:t>cf-art-233-par-7</w:t>
      </w:r>
    </w:p>
    <w:p>
      <w:pPr>
        <w:ind w:left="288"/>
      </w:pPr>
      <w:r>
        <w:rPr>
          <w:color w:val="1E1E1E"/>
          <w:sz w:val="18"/>
        </w:rPr>
        <w:t>Art. 69. Será permitido aos Estados manter consultorias jurídicas separadas de suas Procuradorias-Gerais ou Advocacias-Gerais, desde que, na data da promulgação da Constituição, tenham órgãos distintos para as respectivas funções.</w:t>
      </w:r>
    </w:p>
    <w:p>
      <w:pPr>
        <w:ind w:left="288"/>
      </w:pPr>
      <w:r>
        <w:rPr>
          <w:color w:val="8C8C8C"/>
          <w:sz w:val="12"/>
        </w:rPr>
        <w:t>cf-art-233-par-7</w:t>
      </w:r>
      <w:r>
        <w:rPr>
          <w:color w:val="003CA0"/>
          <w:sz w:val="12"/>
        </w:rPr>
        <w:t xml:space="preserve"> | ADI 175</w:t>
      </w:r>
      <w:r>
        <w:rPr>
          <w:color w:val="003CA0"/>
          <w:sz w:val="12"/>
        </w:rPr>
        <w:t xml:space="preserve"> | rel. Octavio Gallotti</w:t>
      </w:r>
    </w:p>
    <w:p>
      <w:pPr>
        <w:ind w:left="288"/>
      </w:pPr>
      <w:r>
        <w:rPr>
          <w:color w:val="1E1E1E"/>
          <w:sz w:val="18"/>
        </w:rPr>
        <w:t xml:space="preserve">O Plenário desta Corte, no julgamento definitivo da ADI 175/PR, rel. min. Octavio Gallotti, declarou a constitucionalidade do art. 56 e parágrafos do ADCT do Estado do Paraná, de 5-10-1989, que autorizou a permanência, em carreiras especiais criadas por lei, dos que já ocupavam com estabilidade, naquele momento, cargos e empregos públicos de advogados, assessores e assistentes jurídicos, para o exercício do assessoramento jurídico nos Poderes Executivo, Legislativo e Judiciário e da representação judicial das autarquias e fundações públicas. Os diplomas legais ora impugnados, ao reunirem numa </w:t>
      </w:r>
    </w:p>
    <w:p>
      <w:pPr>
        <w:ind w:left="288"/>
      </w:pPr>
      <w:r>
        <w:rPr>
          <w:b/>
          <w:color w:val="003CA0"/>
          <w:sz w:val="16"/>
        </w:rPr>
        <w:t>[ADI 484, red. do ac. min. Ricardo Lewandowski, j. 10-11-2011, P, DJE de 1º-2-2012.]</w:t>
      </w:r>
    </w:p>
    <w:p>
      <w:pPr>
        <w:ind w:left="288"/>
      </w:pPr>
      <w:r>
        <w:rPr>
          <w:color w:val="8C8C8C"/>
          <w:sz w:val="12"/>
        </w:rPr>
        <w:t>cf-art-233-par-7</w:t>
      </w:r>
      <w:r>
        <w:rPr>
          <w:color w:val="003CA0"/>
          <w:sz w:val="12"/>
        </w:rPr>
        <w:t xml:space="preserve"> | ADI 1.679</w:t>
      </w:r>
      <w:r>
        <w:rPr>
          <w:color w:val="003CA0"/>
          <w:sz w:val="12"/>
        </w:rPr>
        <w:t xml:space="preserve"> | rel. Gilmar Mendes</w:t>
      </w:r>
    </w:p>
    <w:p>
      <w:pPr>
        <w:ind w:left="288"/>
      </w:pPr>
      <w:r>
        <w:rPr>
          <w:color w:val="1E1E1E"/>
          <w:sz w:val="18"/>
        </w:rPr>
        <w:t>EC 17, de 30 de junho de 1997, promulgada pela Assembleia Legislativa do Estado de Goiás, que acrescentou os §§ 2º e 3º e incisos ao art. 118 da Constituição estadual. Criação de Procuradoria da Fazenda estadual, subordinada à Secretaria da Fazenda do Estado e desvinculada à Procuradoria-Geral. Alegação de ofensa aos arts. 132 da Constituição e 32 do ADCT. Descentralização. Usurpação da competência funcional exclusiva da Procuradoria-Geral do Estado. Ausência de previsão constitucional expressa para a descentralização funcional da Procuradoria-Geral do Estado. Inaplicabilidade da hipótese prev</w:t>
      </w:r>
    </w:p>
    <w:p>
      <w:pPr>
        <w:ind w:left="288"/>
      </w:pPr>
      <w:r>
        <w:rPr>
          <w:b/>
          <w:color w:val="003CA0"/>
          <w:sz w:val="16"/>
        </w:rPr>
        <w:t>[ADI 1.679, rel. min. Gilmar Mendes, j. 8-10-2003, P, DJ de 21-11-2003.]</w:t>
      </w:r>
    </w:p>
    <w:p>
      <w:pPr>
        <w:ind w:left="288"/>
      </w:pPr>
      <w:r>
        <w:rPr>
          <w:color w:val="8C8C8C"/>
          <w:sz w:val="12"/>
        </w:rPr>
        <w:t>cf-art-233-par-7</w:t>
      </w:r>
    </w:p>
    <w:p>
      <w:pPr>
        <w:ind w:left="288"/>
      </w:pPr>
      <w:r>
        <w:rPr>
          <w:color w:val="1E1E1E"/>
          <w:sz w:val="18"/>
        </w:rPr>
        <w:t xml:space="preserve">Art. 70. Fica mantida atual competência dos tribunais estaduais até a mesma seja definida na Constituição do Estado, nos termos do art. 125, § 1º, da Constituição. Art. 71. É instituído, nos exercícios financeiros de 1994 e 1995, bem assim nos períodos de 01/01/1996 a 30/06/97 e 01/07/97 a 31/12/1999, o Fundo Social de Emergência, com o objetivo de saneamento financeiro da Fazenda Pública Federal e de estabilização econômica, cujos recursos serão aplicados prioritariamente no custeio das ações dos sistemas de saúde e educação, incluindo a complementação de recursos de que trata o § 3º do art. </w:t>
      </w:r>
    </w:p>
    <w:p>
      <w:pPr>
        <w:ind w:left="288"/>
      </w:pPr>
      <w:r>
        <w:rPr>
          <w:color w:val="8C8C8C"/>
          <w:sz w:val="12"/>
        </w:rPr>
        <w:t>cf-art-233-par-7</w:t>
      </w:r>
      <w:r>
        <w:rPr>
          <w:color w:val="003CA0"/>
          <w:sz w:val="12"/>
        </w:rPr>
        <w:t xml:space="preserve"> | ADI 1.420</w:t>
      </w:r>
      <w:r>
        <w:rPr>
          <w:color w:val="003CA0"/>
          <w:sz w:val="12"/>
        </w:rPr>
        <w:t xml:space="preserve"> | rel. Néri da Silveira</w:t>
      </w:r>
    </w:p>
    <w:p>
      <w:pPr>
        <w:ind w:left="288"/>
      </w:pPr>
      <w:r>
        <w:rPr>
          <w:color w:val="1E1E1E"/>
          <w:sz w:val="18"/>
        </w:rPr>
        <w:t>A EC 10/1996 alterou os arts. 71 e 72 do ADCT, prorrogando-se a vigência do Fundo Social de Emergência, no período de 1º de janeiro de 1996 a 30 de junho de 1997. A inicial sustenta que, exaurido o prazo de vigência do Fundo Social de Emergência a 31-12-1995, não poderia a EC 10, que é de 4-3-1996, retroagir, em seus efeitos, a 1º de janeiro de 1996; pois, em assim dispondo, feriria o direito adquirido dos Estados, do Distrito Federal e dos Municípios, no que concerne à participação no Fundo a que se refere o art. 159, I, da Constituição, e à incidência do art. 160 da mesma Lei Maior, no perío</w:t>
      </w:r>
    </w:p>
    <w:p>
      <w:pPr>
        <w:ind w:left="288"/>
      </w:pPr>
      <w:r>
        <w:rPr>
          <w:b/>
          <w:color w:val="003CA0"/>
          <w:sz w:val="16"/>
        </w:rPr>
        <w:t>[ADI 1.420 MC, rel. min. Néri da Silveira, j. 17-5-1996, P, DJ de 19-12-1997.]</w:t>
      </w:r>
    </w:p>
    <w:p>
      <w:pPr>
        <w:ind w:left="288"/>
      </w:pPr>
      <w:r>
        <w:rPr>
          <w:color w:val="8C8C8C"/>
          <w:sz w:val="12"/>
        </w:rPr>
        <w:t>cf-art-233-par-7</w:t>
      </w:r>
    </w:p>
    <w:p>
      <w:pPr>
        <w:ind w:left="288"/>
      </w:pPr>
      <w:r>
        <w:rPr>
          <w:color w:val="1E1E1E"/>
          <w:sz w:val="18"/>
        </w:rPr>
        <w:t>Art. 72. Integram o Fundo Social de Emergência: (Incluído pela ECR 1/1994) I - o produto da arrecadação do imposto sobre renda e proventos de qualquer natureza incidente na fonte sobre pagamentos efetuados, a qualquer título pela União, inclusive suas autarquias e fundações; (Incluído pela ECR 1/1994) (Vide EC 17/1997) II - a parcela do produto da arrecadação do imposto sobre renda e proventos de qualquer natureza e do imposto sobre operações de crédito, câmbio e seguro, ou relativas a títulos e valores mobiliários, decorrente das alterações produzidas pela Lei nº 8.894, de 21 de junho de 1994</w:t>
      </w:r>
    </w:p>
    <w:p>
      <w:pPr>
        <w:ind w:left="144"/>
      </w:pPr>
      <w:r>
        <w:rPr>
          <w:b/>
          <w:color w:val="B45A00"/>
          <w:sz w:val="16"/>
        </w:rPr>
        <w:t>REPERCUSSAO GERAL</w:t>
      </w:r>
    </w:p>
    <w:p>
      <w:pPr>
        <w:ind w:left="288"/>
      </w:pPr>
      <w:r>
        <w:rPr>
          <w:color w:val="8C8C8C"/>
          <w:sz w:val="12"/>
        </w:rPr>
        <w:t>cf-art-233-par-7</w:t>
      </w:r>
      <w:r>
        <w:rPr>
          <w:color w:val="003CA0"/>
          <w:sz w:val="12"/>
        </w:rPr>
        <w:t xml:space="preserve"> | RE 578.846</w:t>
      </w:r>
      <w:r>
        <w:rPr>
          <w:color w:val="003CA0"/>
          <w:sz w:val="12"/>
        </w:rPr>
        <w:t xml:space="preserve"> | rel. Dias Toffoli</w:t>
      </w:r>
    </w:p>
    <w:p>
      <w:pPr>
        <w:ind w:left="288"/>
      </w:pPr>
      <w:r>
        <w:rPr>
          <w:color w:val="1E1E1E"/>
          <w:sz w:val="18"/>
        </w:rPr>
        <w:t>(...) são constitucionais a alíquota e a base de cálculo da contribuição ao PIS previstas no art. 72, V, do ADCT, a qual é destinada à composição do Fundo Social de Emergência, nas redações da ECR 1/94 e das EC 10/96 e 17/97, observados os princípios da anterioridade de nonagesimal e da irretroatividade tributária.</w:t>
      </w:r>
    </w:p>
    <w:p>
      <w:pPr>
        <w:ind w:left="288"/>
      </w:pPr>
      <w:r>
        <w:rPr>
          <w:b/>
          <w:color w:val="003CA0"/>
          <w:sz w:val="16"/>
        </w:rPr>
        <w:t>[RE 578.846, rel. min. Dias Toffoli, j. 6-6-2018, P, DJE de 6-2-2019, Tema 665, com mérito julgado.]</w:t>
      </w:r>
    </w:p>
    <w:p>
      <w:pPr>
        <w:ind w:left="288"/>
      </w:pPr>
      <w:r>
        <w:rPr>
          <w:color w:val="8C8C8C"/>
          <w:sz w:val="12"/>
        </w:rPr>
        <w:t>cf-art-233-par-4</w:t>
      </w:r>
    </w:p>
    <w:p>
      <w:pPr>
        <w:ind w:left="288"/>
      </w:pPr>
      <w:r>
        <w:rPr>
          <w:color w:val="1E1E1E"/>
          <w:sz w:val="18"/>
        </w:rPr>
        <w:t>§ 5º A parcela dos recursos provenientes do imposto sobre renda e proventos de qualquer natureza, destinada ao Fundo Social de Emergência, nos termos do inciso II deste artigo, não poderá exceder a cinco inteiros e seis décimos por cento do total do produto da sua arrecadação. (Redação da EC 10/1996) Art. 73. Na regulação do Fundo Social de Emergência não poderá ser utilizado o instrumento previsto no inciso V do art. 59 da Constituição. (Incluído pela ECR 1/1994)</w:t>
      </w:r>
    </w:p>
    <w:p>
      <w:pPr>
        <w:ind w:left="144"/>
      </w:pPr>
      <w:r>
        <w:rPr>
          <w:b/>
          <w:color w:val="B45A00"/>
          <w:sz w:val="16"/>
        </w:rPr>
        <w:t>JULGADOS CORRELATOS</w:t>
      </w:r>
    </w:p>
    <w:p>
      <w:pPr>
        <w:ind w:left="288"/>
      </w:pPr>
      <w:r>
        <w:rPr>
          <w:color w:val="8C8C8C"/>
          <w:sz w:val="12"/>
        </w:rPr>
        <w:t>cf-art-233-par-4</w:t>
      </w:r>
      <w:r>
        <w:rPr>
          <w:color w:val="003CA0"/>
          <w:sz w:val="12"/>
        </w:rPr>
        <w:t xml:space="preserve"> | RE 525.874</w:t>
      </w:r>
      <w:r>
        <w:rPr>
          <w:color w:val="003CA0"/>
          <w:sz w:val="12"/>
        </w:rPr>
        <w:t xml:space="preserve"> | rel. Cezar Peluso</w:t>
      </w:r>
    </w:p>
    <w:p>
      <w:pPr>
        <w:ind w:left="288"/>
      </w:pPr>
      <w:r>
        <w:rPr>
          <w:color w:val="1E1E1E"/>
          <w:sz w:val="18"/>
        </w:rPr>
        <w:t>Fundo Social de Emergência. Matéria estranha à medida provisória. (...) A MP 517/1994 não dispõe sobre Fundo Social de Emergência, mas sobre exclusões e deduções na base de cálculo do PIS.</w:t>
      </w:r>
    </w:p>
    <w:p>
      <w:pPr>
        <w:ind w:left="288"/>
      </w:pPr>
      <w:r>
        <w:rPr>
          <w:b/>
          <w:color w:val="003CA0"/>
          <w:sz w:val="16"/>
        </w:rPr>
        <w:t>[RE 525.874, rel. min. Cezar Peluso, j. 16-3-2010, 2ª T, DJE de 14-5-2010.]</w:t>
      </w:r>
    </w:p>
    <w:p>
      <w:pPr>
        <w:ind w:left="288"/>
      </w:pPr>
      <w:r>
        <w:rPr>
          <w:color w:val="8C8C8C"/>
          <w:sz w:val="12"/>
        </w:rPr>
        <w:t>cf-art-233-par-4</w:t>
      </w:r>
      <w:r>
        <w:rPr>
          <w:color w:val="003CA0"/>
          <w:sz w:val="12"/>
        </w:rPr>
        <w:t xml:space="preserve"> | RE 500.283</w:t>
      </w:r>
      <w:r>
        <w:rPr>
          <w:color w:val="003CA0"/>
          <w:sz w:val="12"/>
        </w:rPr>
        <w:t xml:space="preserve"> | rel. Roberto Barroso</w:t>
      </w:r>
    </w:p>
    <w:p>
      <w:pPr>
        <w:ind w:left="288"/>
      </w:pPr>
      <w:r>
        <w:rPr>
          <w:color w:val="1E1E1E"/>
          <w:sz w:val="18"/>
        </w:rPr>
        <w:t>= RE 500.283 AgR, rel. min. Roberto Barroso, j. 28-4-2015, 1ª T, DJE de 22-5-2015 Art. 74. A União poderá instituir contribuição provisória sobre movimentação ou transmissão de valores e de créditos e direitos de natureza financeira. (Incluído pela EC 12/1996)</w:t>
      </w:r>
    </w:p>
    <w:p>
      <w:pPr>
        <w:ind w:left="288"/>
      </w:pPr>
      <w:r>
        <w:rPr>
          <w:color w:val="8C8C8C"/>
          <w:sz w:val="12"/>
        </w:rPr>
        <w:t>cf-art-233-par-4</w:t>
      </w:r>
      <w:r>
        <w:rPr>
          <w:color w:val="003CA0"/>
          <w:sz w:val="12"/>
        </w:rPr>
        <w:t xml:space="preserve"> | RE 437.776</w:t>
      </w:r>
      <w:r>
        <w:rPr>
          <w:color w:val="003CA0"/>
          <w:sz w:val="12"/>
        </w:rPr>
        <w:t xml:space="preserve"> | rel. Ricardo Lewandowski</w:t>
      </w:r>
    </w:p>
    <w:p>
      <w:pPr>
        <w:ind w:left="288"/>
      </w:pPr>
      <w:r>
        <w:rPr>
          <w:color w:val="1E1E1E"/>
          <w:sz w:val="18"/>
        </w:rPr>
        <w:t>O fato de a Constituição determinar que seja estabelecido adequado tratamento tributário ao ato cooperativo não veda a incidência de CPMF sobre as movimentações financeiras efetuadas pelas sociedades cooperativas.</w:t>
      </w:r>
    </w:p>
    <w:p>
      <w:pPr>
        <w:ind w:left="288"/>
      </w:pPr>
      <w:r>
        <w:rPr>
          <w:b/>
          <w:color w:val="003CA0"/>
          <w:sz w:val="16"/>
        </w:rPr>
        <w:t>[RE 437.776 AgR, rel. min. Ricardo Lewandowski, j. 2-12-2010, 1ª T, DJE de 1º-2-2011.]</w:t>
      </w:r>
    </w:p>
    <w:p>
      <w:pPr>
        <w:ind w:left="288"/>
      </w:pPr>
      <w:r>
        <w:rPr>
          <w:color w:val="8C8C8C"/>
          <w:sz w:val="12"/>
        </w:rPr>
        <w:t>cf-art-233-par-4</w:t>
      </w:r>
      <w:r>
        <w:rPr>
          <w:color w:val="003CA0"/>
          <w:sz w:val="12"/>
        </w:rPr>
        <w:t xml:space="preserve"> | AI 740.269</w:t>
      </w:r>
      <w:r>
        <w:rPr>
          <w:color w:val="003CA0"/>
          <w:sz w:val="12"/>
        </w:rPr>
        <w:t xml:space="preserve"> | rel. Gilmar Mendes</w:t>
      </w:r>
    </w:p>
    <w:p>
      <w:pPr>
        <w:ind w:left="288"/>
      </w:pPr>
      <w:r>
        <w:rPr>
          <w:color w:val="1E1E1E"/>
          <w:sz w:val="18"/>
        </w:rPr>
        <w:t>= AI 740.269 AgR, rel. min. Gilmar Mendes, j. 18-9-2012, 2ª T, DJE de 3-10-2012 O Plenário do STF reconheceu a plena legitimidade constitucional da CPMF, tal como prevista no art. 75 do ADCT, na redação que lhe deu a EC 21/1999, vindo a rejeitar as alegações de confisco de rendimentos, de redução de salários, de bitributação e de ofensa aos postulados da isonomia e da legalidade em matéria tributária. Precedente: ADI 2.031/DF, rel. min. Ellen Gracie (julgamento definitivo).</w:t>
      </w:r>
    </w:p>
    <w:p>
      <w:pPr>
        <w:ind w:left="288"/>
      </w:pPr>
      <w:r>
        <w:rPr>
          <w:b/>
          <w:color w:val="003CA0"/>
          <w:sz w:val="16"/>
        </w:rPr>
        <w:t>[RE 389.423 AgR, rel. min. Celso de Mello, j. 17-8-2004, 2ª T, DJ de 5-11-2004.]</w:t>
      </w:r>
    </w:p>
    <w:p>
      <w:pPr>
        <w:ind w:left="288"/>
      </w:pPr>
      <w:r>
        <w:rPr>
          <w:color w:val="8C8C8C"/>
          <w:sz w:val="12"/>
        </w:rPr>
        <w:t>cf-art-233-par-4</w:t>
      </w:r>
      <w:r>
        <w:rPr>
          <w:color w:val="003CA0"/>
          <w:sz w:val="12"/>
        </w:rPr>
        <w:t xml:space="preserve"> | RE 379.056</w:t>
      </w:r>
      <w:r>
        <w:rPr>
          <w:color w:val="003CA0"/>
          <w:sz w:val="12"/>
        </w:rPr>
        <w:t xml:space="preserve"> | rel. Marco Aurélio</w:t>
      </w:r>
    </w:p>
    <w:p>
      <w:pPr>
        <w:ind w:left="288"/>
      </w:pPr>
      <w:r>
        <w:rPr>
          <w:color w:val="1E1E1E"/>
          <w:sz w:val="18"/>
        </w:rPr>
        <w:t>= RE 379.056 AgR, rel. min. Marco Aurélio, j. 8-9-2009, 1ª T, DJE de 23-10-2009</w:t>
      </w:r>
    </w:p>
    <w:p>
      <w:pPr>
        <w:ind w:left="288"/>
      </w:pPr>
      <w:r>
        <w:rPr>
          <w:color w:val="8C8C8C"/>
          <w:sz w:val="12"/>
        </w:rPr>
        <w:t>cf-art-233-par-4</w:t>
      </w:r>
    </w:p>
    <w:p>
      <w:pPr>
        <w:ind w:left="288"/>
      </w:pPr>
      <w:r>
        <w:rPr>
          <w:color w:val="1E1E1E"/>
          <w:sz w:val="18"/>
        </w:rPr>
        <w:t>Art. 75. É prorrogada, por trinta e seis meses, a cobrança da contribuição provisória sobre movimentação ou transmissão de valores e de créditos e direitos de natureza financeira de que trata o art. 74, instituída pela Lei nº 9.311, de 24 de outubro de 1996, modificada pela Lei nº 9.539, de 12 de dezembro de 1997, cuja vigência é também prorrogada por idêntico prazo. (Incluído pela EC n. 21/1999)</w:t>
      </w:r>
    </w:p>
    <w:p>
      <w:pPr>
        <w:ind w:left="144"/>
      </w:pPr>
      <w:r>
        <w:rPr>
          <w:b/>
          <w:color w:val="B45A00"/>
          <w:sz w:val="16"/>
        </w:rPr>
        <w:t>CONTROLE CONCENTRADO</w:t>
      </w:r>
    </w:p>
    <w:p>
      <w:pPr>
        <w:ind w:left="288"/>
      </w:pPr>
      <w:r>
        <w:rPr>
          <w:color w:val="8C8C8C"/>
          <w:sz w:val="12"/>
        </w:rPr>
        <w:t>cf-art-233-par-4</w:t>
      </w:r>
      <w:r>
        <w:rPr>
          <w:color w:val="003CA0"/>
          <w:sz w:val="12"/>
        </w:rPr>
        <w:t xml:space="preserve"> | ADI 2.031</w:t>
      </w:r>
      <w:r>
        <w:rPr>
          <w:color w:val="003CA0"/>
          <w:sz w:val="12"/>
        </w:rPr>
        <w:t xml:space="preserve"> | rel. Ellen Gracie</w:t>
      </w:r>
    </w:p>
    <w:p>
      <w:pPr>
        <w:ind w:left="288"/>
      </w:pPr>
      <w:r>
        <w:rPr>
          <w:color w:val="1E1E1E"/>
          <w:sz w:val="18"/>
        </w:rPr>
        <w:t>Repristinação das Leis 9.311/1996 e 9.539/1997, sendo irrelevante o desajuste gramatical representado pela utilização do vocábulo "prorrogada" no caput do art. 75 do ADCT, a revelar objetivo de repristinação de leis temporárias, não vedada pela Constituição.</w:t>
      </w:r>
    </w:p>
    <w:p>
      <w:pPr>
        <w:ind w:left="288"/>
      </w:pPr>
      <w:r>
        <w:rPr>
          <w:b/>
          <w:color w:val="003CA0"/>
          <w:sz w:val="16"/>
        </w:rPr>
        <w:t>[ADI 2.031, rel. min. Ellen Gracie, j. 3-10-2002, P, DJ de 17-10-2003.]</w:t>
      </w:r>
    </w:p>
    <w:p>
      <w:pPr>
        <w:ind w:left="288"/>
      </w:pPr>
      <w:r>
        <w:rPr>
          <w:color w:val="8C8C8C"/>
          <w:sz w:val="12"/>
        </w:rPr>
        <w:t>cf-art-233-par-4</w:t>
      </w:r>
      <w:r>
        <w:rPr>
          <w:color w:val="003CA0"/>
          <w:sz w:val="12"/>
        </w:rPr>
        <w:t xml:space="preserve"> | RE 595.852</w:t>
      </w:r>
      <w:r>
        <w:rPr>
          <w:color w:val="003CA0"/>
          <w:sz w:val="12"/>
        </w:rPr>
        <w:t xml:space="preserve"> | rel. Cármen Lúcia</w:t>
      </w:r>
    </w:p>
    <w:p>
      <w:pPr>
        <w:ind w:left="288"/>
      </w:pPr>
      <w:r>
        <w:rPr>
          <w:color w:val="1E1E1E"/>
          <w:sz w:val="18"/>
        </w:rPr>
        <w:t>= RE 595.852 ED, rel. min. Cármen Lúcia, j. 1º-2-2011, 1ª T, DJE de 3-3-2011 § 1º Observado o disposto no § 6º do art. 195 da Constituição Federal, a alíquota da contribuição será de trinta e oito centésimos por cento, nos primeiros doze meses, e de trinta centésimos, nos meses subseqüentes, facultado ao Poder Executivo reduzi-la total ou parcialmente, nos limites aqui definidos. (Incluído pela EC 21/1999)</w:t>
      </w:r>
    </w:p>
    <w:p>
      <w:pPr>
        <w:ind w:left="288"/>
      </w:pPr>
      <w:r>
        <w:rPr>
          <w:color w:val="8C8C8C"/>
          <w:sz w:val="12"/>
        </w:rPr>
        <w:t>cf-art-233-par-3</w:t>
      </w:r>
      <w:r>
        <w:rPr>
          <w:color w:val="003CA0"/>
          <w:sz w:val="12"/>
        </w:rPr>
        <w:t xml:space="preserve"> | ADI 2.031</w:t>
      </w:r>
      <w:r>
        <w:rPr>
          <w:color w:val="003CA0"/>
          <w:sz w:val="12"/>
        </w:rPr>
        <w:t xml:space="preserve"> | rel. Ellen Gracie</w:t>
      </w:r>
    </w:p>
    <w:p>
      <w:pPr>
        <w:ind w:left="288"/>
      </w:pPr>
      <w:r>
        <w:rPr>
          <w:color w:val="1E1E1E"/>
          <w:sz w:val="18"/>
        </w:rPr>
        <w:t>Inexistência de ofensa ao art. 60, § 2º, da CF no tocante à alteração implementada no § 1º do art. 75 do ADCT, que não importou em mudança substancial do sentido daquilo que foi aprovado no Senado Federal. Ofensa existente quanto ao § 3º do novo art. 75 do ADCT, tendo em vista que a expressão suprimida pela Câmara dos Deputados não tinha autonomia em relação à primeira parte do dispositivo, motivo pelo qual a supressão implementada pela Câmara dos Deputados deveria ter dado azo ao retorno da proposta ao Senado Federal, para nova apreciação, visando ao cumprimento do disposto no § 2º do art. 60</w:t>
      </w:r>
    </w:p>
    <w:p>
      <w:pPr>
        <w:ind w:left="288"/>
      </w:pPr>
      <w:r>
        <w:rPr>
          <w:b/>
          <w:color w:val="003CA0"/>
          <w:sz w:val="16"/>
        </w:rPr>
        <w:t>[ADI 2.031, rel. min. Ellen Gracie, j. 3-10-2002, P, DJ de 17-10-2003.]</w:t>
      </w:r>
    </w:p>
    <w:p>
      <w:pPr>
        <w:ind w:left="288"/>
      </w:pPr>
      <w:r>
        <w:rPr>
          <w:color w:val="8C8C8C"/>
          <w:sz w:val="12"/>
        </w:rPr>
        <w:t>cf-art-233-par-3</w:t>
      </w:r>
    </w:p>
    <w:p>
      <w:pPr>
        <w:ind w:left="288"/>
      </w:pPr>
      <w:r>
        <w:rPr>
          <w:color w:val="1E1E1E"/>
          <w:sz w:val="18"/>
        </w:rPr>
        <w:t>Art. 76. São desvinculados de órgão, fundo ou despesa, até 31 de dezembro de2032, 30% (trinta por cento) da arrecadação da União relativa às contribuições sociais, sem prejuízo do pagamento das despesas do Regime Geral de Previdência Social, às contribuições de intervenção no domínio econômico, às taxas e às receitas patrimoniais, já instituídas ou que vierem a ser criadas até a referida data. (Redação dada pela EC n. 135/2024)</w:t>
      </w:r>
    </w:p>
    <w:p>
      <w:pPr>
        <w:ind w:left="288"/>
      </w:pPr>
      <w:r>
        <w:rPr>
          <w:color w:val="8C8C8C"/>
          <w:sz w:val="12"/>
        </w:rPr>
        <w:t>cf-art-233-par-2</w:t>
      </w:r>
    </w:p>
    <w:p>
      <w:pPr>
        <w:ind w:left="288"/>
      </w:pPr>
      <w:r>
        <w:rPr>
          <w:color w:val="1E1E1E"/>
          <w:sz w:val="18"/>
        </w:rPr>
        <w:t>Art. 77. Até o exercício financeiro de 2004, os recursos mínimos aplicados nas ações e serviços públicos de saúde serão equivalentes: (Incluído pela EC n. 29/2000)</w:t>
      </w:r>
    </w:p>
    <w:p>
      <w:pPr>
        <w:ind w:left="288"/>
      </w:pPr>
      <w:r>
        <w:rPr>
          <w:color w:val="8C8C8C"/>
          <w:sz w:val="12"/>
        </w:rPr>
        <w:t>cf-art-233-par-2-inc-I-ali-b</w:t>
      </w:r>
    </w:p>
    <w:p>
      <w:pPr>
        <w:ind w:left="288"/>
      </w:pPr>
      <w:r>
        <w:rPr>
          <w:color w:val="1E1E1E"/>
          <w:sz w:val="18"/>
        </w:rPr>
        <w:t>II - no caso dos Estados e do Distrito Federal, doze por cento do produto da arrecadação dos impostos a que se refere o art. 155 e dos recursos de que tratam os arts. 157 e 159, inciso I, alínea a, e inciso II, deduzidas as parcelas que forem transferidas aos respectivos Municípios; e (Incluído pela EC 29/2000) III - no caso dos Municípios e do Distrito Federal, quinze por cento do produto da arrecadação dos impostos a que se refere o art. 156 e dos recursos de que tratam os arts. 158 e 159, inciso I, alínea b e § 3º. (Incluído pela EC 29/2000) § 1º Os Estados, o Distrito Federal e os Municípi</w:t>
      </w:r>
    </w:p>
    <w:p>
      <w:pPr>
        <w:ind w:left="144"/>
      </w:pPr>
      <w:r>
        <w:rPr>
          <w:b/>
          <w:color w:val="B45A00"/>
          <w:sz w:val="16"/>
        </w:rPr>
        <w:t>REPERCUSSAO GERAL</w:t>
      </w:r>
    </w:p>
    <w:p>
      <w:pPr>
        <w:ind w:left="288"/>
      </w:pPr>
      <w:r>
        <w:rPr>
          <w:color w:val="8C8C8C"/>
          <w:sz w:val="12"/>
        </w:rPr>
        <w:t>cf-art-233-par-2-inc-I-ali-b</w:t>
      </w:r>
      <w:r>
        <w:rPr>
          <w:color w:val="003CA0"/>
          <w:sz w:val="12"/>
        </w:rPr>
        <w:t xml:space="preserve"> | RE 858.075</w:t>
      </w:r>
    </w:p>
    <w:p>
      <w:pPr>
        <w:ind w:left="288"/>
      </w:pPr>
      <w:r>
        <w:rPr>
          <w:color w:val="1E1E1E"/>
          <w:sz w:val="18"/>
        </w:rPr>
        <w:t>É compatível com a Constituição Federal controle judicial a tornar obrigatória a observância, tendo em conta recursos orçamentários destinados à saúde, dos percentuais mínimos previstos no artigo 77 do Ato das Disposições Constitucionais Transitórias, considerado período anterior à edição da Lei Complementar nº 141/2012.</w:t>
      </w:r>
    </w:p>
    <w:p>
      <w:pPr>
        <w:ind w:left="288"/>
      </w:pPr>
      <w:r>
        <w:rPr>
          <w:b/>
          <w:color w:val="003CA0"/>
          <w:sz w:val="16"/>
        </w:rPr>
        <w:t>[RE 858.075, red. do ac. min. Roberto Barroso, j. 14-5-2021, P, DJE de 25-8-2021, Tema 818, com mérito julgado.]</w:t>
      </w:r>
    </w:p>
    <w:p>
      <w:pPr>
        <w:ind w:left="288"/>
      </w:pPr>
      <w:r>
        <w:rPr>
          <w:color w:val="8C8C8C"/>
          <w:sz w:val="12"/>
        </w:rPr>
        <w:t>cf-art-233-par-2</w:t>
      </w:r>
    </w:p>
    <w:p>
      <w:pPr>
        <w:ind w:left="288"/>
      </w:pPr>
      <w:r>
        <w:rPr>
          <w:color w:val="1E1E1E"/>
          <w:sz w:val="18"/>
        </w:rPr>
        <w:t>§ 3º Os recursos dos Estados, do Distrito Federal e dos Municípios destinados às ações e serviços públicos de saúde e os transferidos pela União para a mesma finalidade serão aplicados por meio de Fundo de Saúde que será acompanhado e fiscalizado por Conselho de Saúde, sem prejuízo do disposto no art. 74 da Constituição Federal. (Incluído pela EC 29/2000)</w:t>
      </w:r>
    </w:p>
    <w:p>
      <w:pPr>
        <w:ind w:left="288"/>
      </w:pPr>
      <w:r>
        <w:rPr>
          <w:color w:val="8C8C8C"/>
          <w:sz w:val="12"/>
        </w:rPr>
        <w:t>cf-art-233-par-4</w:t>
      </w:r>
    </w:p>
    <w:p>
      <w:pPr>
        <w:ind w:left="288"/>
      </w:pPr>
      <w:r>
        <w:rPr>
          <w:color w:val="1E1E1E"/>
          <w:sz w:val="18"/>
        </w:rPr>
        <w:t>Art. 78. Ressalvados os créditos definidos em lei como de pequeno valor, os de natureza alimentícia, os de que trata o art. 33 deste Ato das Disposições Constitucionais Transitórias e suas complementações e os que já tiverem os seus respectivos recursos liberados ou depositados em juízo, os precatórios pendentes na data de promulgação desta Emenda e os que decorram de ações iniciais ajuizadas até 31 de dezembro de 1999 serão liquidados pelo seu valor real, em moeda corrente, acrescido de juros legais, em prestações anuais, iguais e sucessivas, no prazo máximo de dez anos, permitida a cessão do</w:t>
      </w:r>
    </w:p>
    <w:p>
      <w:pPr>
        <w:ind w:left="144"/>
      </w:pPr>
      <w:r>
        <w:rPr>
          <w:b/>
          <w:color w:val="B45A00"/>
          <w:sz w:val="16"/>
        </w:rPr>
        <w:t>CONTROLE CONCENTRADO</w:t>
      </w:r>
    </w:p>
    <w:p>
      <w:pPr>
        <w:ind w:left="288"/>
      </w:pPr>
      <w:r>
        <w:rPr>
          <w:color w:val="8C8C8C"/>
          <w:sz w:val="12"/>
        </w:rPr>
        <w:t>cf-art-233-par-4</w:t>
      </w:r>
      <w:r>
        <w:rPr>
          <w:color w:val="003CA0"/>
          <w:sz w:val="12"/>
        </w:rPr>
        <w:t xml:space="preserve"> | ADI 2.356</w:t>
      </w:r>
      <w:r>
        <w:rPr>
          <w:color w:val="003CA0"/>
          <w:sz w:val="12"/>
        </w:rPr>
        <w:t xml:space="preserve"> | rel. Nunes Marques</w:t>
      </w:r>
    </w:p>
    <w:p>
      <w:pPr>
        <w:ind w:left="288"/>
      </w:pPr>
      <w:r>
        <w:rPr>
          <w:color w:val="1E1E1E"/>
          <w:sz w:val="18"/>
        </w:rPr>
        <w:t>Art. 2º da emenda constitucional nº 30, de 13 de setembro de 2000, que acrescentou o art. 78 ao ato das disposições constitucionais transitórias. Parcelamento da liquidação de precatórios pela fazenda pública. (...) O poder público, na condição de parte devedora de relação jurídica em que deve cumprir sua obrigação de pagar, já é privilegiado por ter o prazo dilargado de até 20 meses para quitar sua dívida. Não obstante compreenda a perspectiva das fazendas públicas, é necessário deslocar o olhar para o credor, cidadão e cidadã que, após demandas judiciais geralmente prolongadas no tempo, vê-s</w:t>
      </w:r>
    </w:p>
    <w:p>
      <w:pPr>
        <w:ind w:left="288"/>
      </w:pPr>
      <w:r>
        <w:rPr>
          <w:b/>
          <w:color w:val="003CA0"/>
          <w:sz w:val="16"/>
        </w:rPr>
        <w:t>[ADI 2.535 MC, rel. min. Sepúlveda Pertence, j. 9-12-2001, P, DJ de 21-11-2003.]</w:t>
      </w:r>
    </w:p>
    <w:p>
      <w:pPr>
        <w:ind w:left="288"/>
      </w:pPr>
      <w:r>
        <w:rPr>
          <w:color w:val="8C8C8C"/>
          <w:sz w:val="12"/>
        </w:rPr>
        <w:t>cf-art-233-par-4</w:t>
      </w:r>
      <w:r>
        <w:rPr>
          <w:color w:val="003CA0"/>
          <w:sz w:val="12"/>
        </w:rPr>
        <w:t xml:space="preserve"> | ADI 2.356</w:t>
      </w:r>
      <w:r>
        <w:rPr>
          <w:color w:val="003CA0"/>
          <w:sz w:val="12"/>
        </w:rPr>
        <w:t xml:space="preserve"> | rel. Cristiano Zanin</w:t>
      </w:r>
    </w:p>
    <w:p>
      <w:pPr>
        <w:ind w:left="288"/>
      </w:pPr>
      <w:r>
        <w:rPr>
          <w:color w:val="1E1E1E"/>
          <w:sz w:val="18"/>
        </w:rPr>
        <w:t>O regime previsto no art. 78 do Ato das Disposições Constitucionais Transitórias é inconstitucional, respeitando-se os parcelamentos realizados, com amparo no dispositivo, até a concessão da medida cautelar na ADI 2.356 MC em 25/11/2010.</w:t>
      </w:r>
    </w:p>
    <w:p>
      <w:pPr>
        <w:ind w:left="288"/>
      </w:pPr>
      <w:r>
        <w:rPr>
          <w:b/>
          <w:color w:val="003CA0"/>
          <w:sz w:val="16"/>
        </w:rPr>
        <w:t>[RE 970.343, rel. min. Cristiano Zanin, j. 19.05.2025, P, DJE de 22.05.2025, Tema 111, com mérito julgado.]</w:t>
      </w:r>
    </w:p>
    <w:p>
      <w:pPr>
        <w:ind w:left="144"/>
      </w:pPr>
      <w:r>
        <w:rPr>
          <w:b/>
          <w:color w:val="B45A00"/>
          <w:sz w:val="16"/>
        </w:rPr>
        <w:t>REPERCUSSAO GERAL</w:t>
      </w:r>
    </w:p>
    <w:p>
      <w:pPr>
        <w:ind w:left="288"/>
      </w:pPr>
      <w:r>
        <w:rPr>
          <w:color w:val="8C8C8C"/>
          <w:sz w:val="12"/>
        </w:rPr>
        <w:t>cf-art-233-par-4</w:t>
      </w:r>
      <w:r>
        <w:rPr>
          <w:color w:val="003CA0"/>
          <w:sz w:val="12"/>
        </w:rPr>
        <w:t xml:space="preserve"> | RE 631.537</w:t>
      </w:r>
      <w:r>
        <w:rPr>
          <w:color w:val="003CA0"/>
          <w:sz w:val="12"/>
        </w:rPr>
        <w:t xml:space="preserve"> | rel. Marco Aurélio</w:t>
      </w:r>
    </w:p>
    <w:p>
      <w:pPr>
        <w:ind w:left="288"/>
      </w:pPr>
      <w:r>
        <w:rPr>
          <w:color w:val="1E1E1E"/>
          <w:sz w:val="18"/>
        </w:rPr>
        <w:t>A cessão de crédito não implica alteração da natureza.</w:t>
        <w:br/>
        <w:t>[RE 631.537, rel. min. Marco Aurélio, j. 22-5-2020, P, DJE de 3-6-2020, Tema 361, com mérito julgado.] “O pagamento parcelado dos créditos não alimentares, na forma do art. 78 do ADCT, não caracteriza preterição indevida de precatórios alimentares, desde que os primeiros tenham sido inscritos em exercício anterior ao da apresentação dos segundos, uma vez que, ressalvados os créditos de que trata o art. 100, § 2º, da Constituição, o pagamento dos precatórios deve observar as seguintes diretrizes: (1) a divisão e a organização das classes oc</w:t>
      </w:r>
    </w:p>
    <w:p>
      <w:pPr>
        <w:ind w:left="288"/>
      </w:pPr>
      <w:r>
        <w:rPr>
          <w:b/>
          <w:color w:val="003CA0"/>
          <w:sz w:val="16"/>
        </w:rPr>
        <w:t>[RE 485.650 AgR, rel. min. Marco Aurélio, j. 7-4-2009, 1ª T, DJE de 5-6-2009.]</w:t>
      </w:r>
    </w:p>
    <w:p>
      <w:pPr>
        <w:ind w:left="288"/>
      </w:pPr>
      <w:r>
        <w:rPr>
          <w:color w:val="8C8C8C"/>
          <w:sz w:val="12"/>
        </w:rPr>
        <w:t>cf-art-233-par-4</w:t>
      </w:r>
      <w:r>
        <w:rPr>
          <w:color w:val="003CA0"/>
          <w:sz w:val="12"/>
        </w:rPr>
        <w:t xml:space="preserve"> | RE 470.407</w:t>
      </w:r>
      <w:r>
        <w:rPr>
          <w:color w:val="003CA0"/>
          <w:sz w:val="12"/>
        </w:rPr>
        <w:t xml:space="preserve"> | rel. Marco Aurélio</w:t>
      </w:r>
    </w:p>
    <w:p>
      <w:pPr>
        <w:ind w:left="288"/>
      </w:pPr>
      <w:r>
        <w:rPr>
          <w:color w:val="1E1E1E"/>
          <w:sz w:val="18"/>
        </w:rPr>
        <w:t>A definição contida no § 1º-A do art. 100 da CF, de crédito de natureza alimentícia, não é exaustiva. (...) Conforme o disposto nos arts. 22 e 23 da Lei 8.906/1994, os honorários advocatícios incluídos na condenação pertencem ao advogado, consubstanciando prestação alimentícia cuja satisfação pela Fazenda ocorre via precatório, observada ordem especial restrita aos créditos de natureza alimentícia, ficando afastado o parcelamento previsto no art. 78 do ADCT, presente a EC 30, de 2000.</w:t>
      </w:r>
    </w:p>
    <w:p>
      <w:pPr>
        <w:ind w:left="288"/>
      </w:pPr>
      <w:r>
        <w:rPr>
          <w:b/>
          <w:color w:val="003CA0"/>
          <w:sz w:val="16"/>
        </w:rPr>
        <w:t>[RE 470.407, rel. min. Marco Aurélio, j. 9-5-2006, 1ª T, DJ de 13-10-2006.]</w:t>
      </w:r>
    </w:p>
    <w:p>
      <w:pPr>
        <w:ind w:left="144"/>
      </w:pPr>
      <w:r>
        <w:rPr>
          <w:b/>
          <w:color w:val="B45A00"/>
          <w:sz w:val="16"/>
        </w:rPr>
        <w:t>JULGADOS CORRELATOS</w:t>
      </w:r>
    </w:p>
    <w:p>
      <w:pPr>
        <w:ind w:left="288"/>
      </w:pPr>
      <w:r>
        <w:rPr>
          <w:color w:val="8C8C8C"/>
          <w:sz w:val="12"/>
        </w:rPr>
        <w:t>cf-art-233-par-2</w:t>
      </w:r>
      <w:r>
        <w:rPr>
          <w:color w:val="003CA0"/>
          <w:sz w:val="12"/>
        </w:rPr>
        <w:t xml:space="preserve"> | ADI 2.851.</w:t>
      </w:r>
      <w:r>
        <w:rPr>
          <w:color w:val="003CA0"/>
          <w:sz w:val="12"/>
        </w:rPr>
        <w:t xml:space="preserve"> | rel. Ellen Gracie</w:t>
      </w:r>
    </w:p>
    <w:p>
      <w:pPr>
        <w:ind w:left="288"/>
      </w:pPr>
      <w:r>
        <w:rPr>
          <w:color w:val="1E1E1E"/>
          <w:sz w:val="18"/>
        </w:rPr>
        <w:t>Precatório judicial. Poder liberatório. O benefício constante do § 2º do art. 78 do ADCT, na redação da EC 30/2000, incide apenas sobre as prestações não liquidadas e não sobre o total do débito constante do precatório. Precedente: ADI 2.851.</w:t>
      </w:r>
    </w:p>
    <w:p>
      <w:pPr>
        <w:ind w:left="288"/>
      </w:pPr>
      <w:r>
        <w:rPr>
          <w:b/>
          <w:color w:val="003CA0"/>
          <w:sz w:val="16"/>
        </w:rPr>
        <w:t>[SS 2.589 AgR, rel. min. Ellen Gracie, j. 9-8-2006, P, DJ de 22-9-2006.]</w:t>
      </w:r>
    </w:p>
    <w:p>
      <w:pPr>
        <w:ind w:left="288"/>
      </w:pPr>
      <w:r>
        <w:rPr>
          <w:color w:val="8C8C8C"/>
          <w:sz w:val="12"/>
        </w:rPr>
        <w:t>cf-art-233-par-3</w:t>
      </w:r>
    </w:p>
    <w:p>
      <w:pPr>
        <w:ind w:left="288"/>
      </w:pPr>
      <w:r>
        <w:rPr>
          <w:color w:val="1E1E1E"/>
          <w:sz w:val="18"/>
        </w:rPr>
        <w:t>§ 4º O Presidente do Tribunal competente deverá, vencido o prazo ou em caso de omissão no orçamento, ou preterição ao direito de precedência, a requerimento do credor, requisitar ou determinar o seqüestro de recursos financeiros da entidade executada, suficientes à satisfação da prestação. (Incluído pela EC 30/2000)</w:t>
      </w:r>
    </w:p>
    <w:p>
      <w:pPr>
        <w:ind w:left="144"/>
      </w:pPr>
      <w:r>
        <w:rPr>
          <w:b/>
          <w:color w:val="B45A00"/>
          <w:sz w:val="16"/>
        </w:rPr>
        <w:t>REPERCUSSAO GERAL</w:t>
      </w:r>
    </w:p>
    <w:p>
      <w:pPr>
        <w:ind w:left="288"/>
      </w:pPr>
      <w:r>
        <w:rPr>
          <w:color w:val="8C8C8C"/>
          <w:sz w:val="12"/>
        </w:rPr>
        <w:t>cf-art-233-par-3</w:t>
      </w:r>
      <w:r>
        <w:rPr>
          <w:color w:val="003CA0"/>
          <w:sz w:val="12"/>
        </w:rPr>
        <w:t xml:space="preserve"> | RE 597.092</w:t>
      </w:r>
      <w:r>
        <w:rPr>
          <w:color w:val="003CA0"/>
          <w:sz w:val="12"/>
        </w:rPr>
        <w:t xml:space="preserve"> | rel. Edson Fachin</w:t>
      </w:r>
    </w:p>
    <w:p>
      <w:pPr>
        <w:ind w:left="288"/>
      </w:pPr>
      <w:r>
        <w:rPr>
          <w:color w:val="1E1E1E"/>
          <w:sz w:val="18"/>
        </w:rPr>
        <w:t>"É constitucional o sequestro de verbas públicas pela autoridade judicial competente nas hipóteses do §4º do art. 78 do ADCT, cuja normatividade veicula regime especial de pagamento de precatórios de observância obrigatória por parte dos entes federativos inadimplentes na situação descrita pelo caput do dispositivo.”</w:t>
        <w:br/>
        <w:t>[RE 597.092, rel. min. Edson Fachin, j. 26-6-2023, P, DJE de 29-9-2023, Tema 231, com mérito julgado.]</w:t>
      </w:r>
    </w:p>
    <w:p>
      <w:pPr>
        <w:ind w:left="144"/>
      </w:pPr>
      <w:r>
        <w:rPr>
          <w:b/>
          <w:color w:val="B45A00"/>
          <w:sz w:val="16"/>
        </w:rPr>
        <w:t>JULGADOS CORRELATOS</w:t>
      </w:r>
    </w:p>
    <w:p>
      <w:pPr>
        <w:ind w:left="288"/>
      </w:pPr>
      <w:r>
        <w:rPr>
          <w:color w:val="8C8C8C"/>
          <w:sz w:val="12"/>
        </w:rPr>
        <w:t>cf-art-233-par-3</w:t>
      </w:r>
      <w:r>
        <w:rPr>
          <w:color w:val="003CA0"/>
          <w:sz w:val="12"/>
        </w:rPr>
        <w:t xml:space="preserve"> | RCL 2.452</w:t>
      </w:r>
      <w:r>
        <w:rPr>
          <w:color w:val="003CA0"/>
          <w:sz w:val="12"/>
        </w:rPr>
        <w:t xml:space="preserve"> | rel. Ellen Gracie</w:t>
      </w:r>
    </w:p>
    <w:p>
      <w:pPr>
        <w:ind w:left="288"/>
      </w:pPr>
      <w:r>
        <w:rPr>
          <w:color w:val="1E1E1E"/>
          <w:sz w:val="18"/>
        </w:rPr>
        <w:t>A previsão de que trata o § 4º do art. 78 do ADCT da CF, na redação dada pela EC 30/2000, refere-se exclusivamente aos casos de parcelamento de que cuida o caput do dispositivo, não sendo aplicável aos débitos de natureza alimentícia. A única situação suficiente para motivar o sequestro de verbas públicas destinadas à satisfação de dívidas judiciais alimentares é a ocorrência de preterição da ordem de precedência.</w:t>
      </w:r>
    </w:p>
    <w:p>
      <w:pPr>
        <w:ind w:left="288"/>
      </w:pPr>
      <w:r>
        <w:rPr>
          <w:b/>
          <w:color w:val="003CA0"/>
          <w:sz w:val="16"/>
        </w:rPr>
        <w:t>[Rcl 2.452, rel. min. Ellen Gracie, j. 19-2-2004, P, DJ de 19-3-2004.]</w:t>
      </w:r>
    </w:p>
    <w:p>
      <w:pPr>
        <w:ind w:left="288"/>
      </w:pPr>
      <w:r>
        <w:rPr>
          <w:color w:val="8C8C8C"/>
          <w:sz w:val="12"/>
        </w:rPr>
        <w:t>cf-art-233-par-3</w:t>
      </w:r>
    </w:p>
    <w:p>
      <w:pPr>
        <w:ind w:left="288"/>
      </w:pPr>
      <w:r>
        <w:rPr>
          <w:color w:val="1E1E1E"/>
          <w:sz w:val="18"/>
        </w:rPr>
        <w:t>Art. 79. É instituído, para vigorar até o ano de 2010, no âmbito do Poder Executivo Federal, o Fundo de Combate a Erradicação da Pobreza, a ser regulado por lei complementar com o objetivo de viabilizar a todos os brasileiros acesso a níveis dignos de subsistência, cujos recursos serão aplicados em ações suplementares de nutrição, habitação, educação, saúde, reforço de renda familiar e outros programas de relevante interesse social voltados para melhoria da qualidade de vida. (Incluído pela EC 31/2000) Nota: A EC 67/2010 prorrogou, por tempo indeterminado, o prazo de vigência do Fundo de Comba</w:t>
      </w:r>
    </w:p>
    <w:p>
      <w:pPr>
        <w:ind w:left="288"/>
      </w:pPr>
      <w:r>
        <w:rPr>
          <w:color w:val="8C8C8C"/>
          <w:sz w:val="12"/>
        </w:rPr>
        <w:t>cf-art-233-par-unico</w:t>
      </w:r>
    </w:p>
    <w:p>
      <w:pPr>
        <w:ind w:left="288"/>
      </w:pPr>
      <w:r>
        <w:rPr>
          <w:color w:val="1E1E1E"/>
          <w:sz w:val="18"/>
        </w:rPr>
        <w:t>Art. 80. Compõem o Fundo de Combate e Erradicação da Pobreza: (Incluído pela EC 31/2000) I - a parcela do produto da arrecadação correspondente a um adicional de oito centésimos por cento, aplicável de 18 de junho de 2000 a 17 de junho de 2002, na alíquota da contribuição social de que trata o art. 75 do Ato das Disposições Constitucionais Transitórias; (Incluído pela EC 31/2000) II - a parcela do produto da arrecadação correspondente a um adicional de cinco pontos percentuais na alíquota do Imposto sobre Produtos Industrializados - IPI, ou do imposto que vier a substituí-lo, incidente sobre p</w:t>
      </w:r>
    </w:p>
    <w:p>
      <w:pPr>
        <w:ind w:left="288"/>
      </w:pPr>
      <w:r>
        <w:rPr>
          <w:color w:val="8C8C8C"/>
          <w:sz w:val="12"/>
        </w:rPr>
        <w:t>cf-art-233-par-1</w:t>
      </w:r>
    </w:p>
    <w:p>
      <w:pPr>
        <w:ind w:left="288"/>
      </w:pPr>
      <w:r>
        <w:rPr>
          <w:color w:val="1E1E1E"/>
          <w:sz w:val="18"/>
        </w:rPr>
        <w:t xml:space="preserve">§ 2º A arrecadação decorrente do disposto no inciso I deste artigo, no período compreendido entre 18 de junho de 2000 e o início da vigência da lei complementar a que se refere a art. 79, será integralmente repassada ao Fundo, preservado o seu valor real, em títulos públicos federais, progressivamente resgatáveis após 18 de junho de 2002, na forma da lei. (Incluído pela EC 31/2000) Art. 81. É instituído Fundo constituído pelos recursos recebidos pela União em decorrência da desestatização de sociedades de economia mista ou empresas públicas por ela controladas, direta ou indiretamente, quando </w:t>
      </w:r>
    </w:p>
    <w:p>
      <w:pPr>
        <w:ind w:left="288"/>
      </w:pPr>
      <w:r>
        <w:rPr>
          <w:color w:val="8C8C8C"/>
          <w:sz w:val="12"/>
        </w:rPr>
        <w:t>cf-art-233-par-1</w:t>
      </w:r>
      <w:r>
        <w:rPr>
          <w:color w:val="003CA0"/>
          <w:sz w:val="12"/>
        </w:rPr>
        <w:t xml:space="preserve"> | MI 7.300</w:t>
      </w:r>
    </w:p>
    <w:p>
      <w:pPr>
        <w:ind w:left="288"/>
      </w:pPr>
      <w:r>
        <w:rPr>
          <w:color w:val="1E1E1E"/>
          <w:sz w:val="18"/>
        </w:rPr>
        <w:t>A falta de norma disciplinadora enseja o conhecimento do writ apenas quanto à implementação de renda básica para pessoas em situação de vulnerabilidade socioeconômica (pobreza e extrema pobreza), na linha dos arts. 3º, III; 6º; e 23, X, da Constituição Federal. O Fundo Federal de Combate à Pobreza possui receitas próprias e prioriza o atendimento de famílias situadas abaixo da linha da pobreza. Art. 81, caput e §1º, do ADCT c/c arts. 1º e 3º, I, da Lei Complementar 111/2001. Bolsa Família. Lei 10.836/2004. De 2014 a 2017, milhões de concidadãos retornaram à extrema pobreza. Inexistência de atu</w:t>
      </w:r>
    </w:p>
    <w:p>
      <w:pPr>
        <w:ind w:left="288"/>
      </w:pPr>
      <w:r>
        <w:rPr>
          <w:b/>
          <w:color w:val="003CA0"/>
          <w:sz w:val="16"/>
        </w:rPr>
        <w:t>[MI 7.300, redator do acordão min. Gilmar Mendes, j. 26-4-2021, P, DJE de 23-8-2021.]</w:t>
      </w:r>
    </w:p>
    <w:p>
      <w:pPr>
        <w:ind w:left="288"/>
      </w:pPr>
      <w:r>
        <w:rPr>
          <w:color w:val="8C8C8C"/>
          <w:sz w:val="12"/>
        </w:rPr>
        <w:t>cf-art-233-par-1</w:t>
      </w:r>
    </w:p>
    <w:p>
      <w:pPr>
        <w:ind w:left="288"/>
      </w:pPr>
      <w:r>
        <w:rPr>
          <w:color w:val="1E1E1E"/>
          <w:sz w:val="18"/>
        </w:rPr>
        <w:t>§ 1º Caso o montante anual previsto nos rendimentos transferidos ao Fundo de Combate e Erradicação da Pobreza, na forma deste artigo, não alcance o valor de quatro bilhões de reais. far-se-à complementação na forma do art. 80, inciso IV, do Ato das disposições Constitucionais Transitórias. (Incluído pela EC 31/2000)</w:t>
      </w:r>
    </w:p>
    <w:p>
      <w:pPr>
        <w:ind w:left="288"/>
      </w:pPr>
      <w:r>
        <w:rPr>
          <w:color w:val="8C8C8C"/>
          <w:sz w:val="12"/>
        </w:rPr>
        <w:t>cf-art-233-par-1</w:t>
      </w:r>
      <w:r>
        <w:rPr>
          <w:color w:val="003CA0"/>
          <w:sz w:val="12"/>
        </w:rPr>
        <w:t xml:space="preserve"> | MI 7.300</w:t>
      </w:r>
    </w:p>
    <w:p>
      <w:pPr>
        <w:ind w:left="288"/>
      </w:pPr>
      <w:r>
        <w:rPr>
          <w:color w:val="1E1E1E"/>
          <w:sz w:val="18"/>
        </w:rPr>
        <w:t>A falta de norma disciplinadora enseja o conhecimento do writ apenas quanto à implementação de renda básica para pessoas em situação de vulnerabilidade socioeconômica (pobreza e extrema pobreza), na linha dos arts. 3º, III; 6º; e 23, X, da Constituição Federal. O Fundo Federal de Combate à Pobreza possui receitas próprias e prioriza o atendimento de famílias situadas abaixo da linha da pobreza. Art. 81, caput e §1º, do ADCT c/c arts. 1º e 3º, I, da Lei Complementar 111/2001. Bolsa Família. Lei 10.836/2004. De 2014 a 2017, milhões de concidadãos retornaram à extrema pobreza. Inexistência de atu</w:t>
      </w:r>
    </w:p>
    <w:p>
      <w:pPr>
        <w:ind w:left="288"/>
      </w:pPr>
      <w:r>
        <w:rPr>
          <w:b/>
          <w:color w:val="003CA0"/>
          <w:sz w:val="16"/>
        </w:rPr>
        <w:t>[MI 7.300, redator do acordão min. Gilmar Mendes, j. 26-4-2021, P, DJE de 23-8-2021.]</w:t>
      </w:r>
    </w:p>
    <w:p>
      <w:pPr>
        <w:ind w:left="288"/>
      </w:pPr>
      <w:r>
        <w:rPr>
          <w:color w:val="8C8C8C"/>
          <w:sz w:val="12"/>
        </w:rPr>
        <w:t>cf-art-233-par-2</w:t>
      </w:r>
    </w:p>
    <w:p>
      <w:pPr>
        <w:ind w:left="288"/>
      </w:pPr>
      <w:r>
        <w:rPr>
          <w:color w:val="1E1E1E"/>
          <w:sz w:val="18"/>
        </w:rPr>
        <w:t>§ 3º A constituição do Fundo a que se refere o caput, a transferência de recursos ao Fundo de Combate e Erradicação da Pobreza e as demais disposições referentes ao § 1º deste artigo serão disciplinadas em lei, não se aplicando o disposto no art. 165, § 9º, inciso II, da Constituição. (Incluído pela EC 31/2000) Art. 82. Os Estados, o Distrito Federal e os Municípios devem instituir Fundos de Combate à Pobreza, devendo os referidos Fundos ser geridos por entidades que contem com a participação da sociedade civil. (Redação dada pela EC n. 132/2023) § 1º Para o financiamento dos Fundos Estaduais,</w:t>
      </w:r>
    </w:p>
    <w:p>
      <w:pPr>
        <w:ind w:left="144"/>
      </w:pPr>
      <w:r>
        <w:rPr>
          <w:b/>
          <w:color w:val="B45A00"/>
          <w:sz w:val="16"/>
        </w:rPr>
        <w:t>CONTROLE CONCENTRADO</w:t>
      </w:r>
    </w:p>
    <w:p>
      <w:pPr>
        <w:ind w:left="288"/>
      </w:pPr>
      <w:r>
        <w:rPr>
          <w:color w:val="8C8C8C"/>
          <w:sz w:val="12"/>
        </w:rPr>
        <w:t>cf-art-233-par-2</w:t>
      </w:r>
      <w:r>
        <w:rPr>
          <w:color w:val="003CA0"/>
          <w:sz w:val="12"/>
        </w:rPr>
        <w:t xml:space="preserve"> | ADI 5.733</w:t>
      </w:r>
      <w:r>
        <w:rPr>
          <w:color w:val="003CA0"/>
          <w:sz w:val="12"/>
        </w:rPr>
        <w:t xml:space="preserve"> | rel. Alexandre de Moraes</w:t>
      </w:r>
    </w:p>
    <w:p>
      <w:pPr>
        <w:ind w:left="288"/>
      </w:pPr>
      <w:r>
        <w:rPr>
          <w:color w:val="1E1E1E"/>
          <w:sz w:val="18"/>
        </w:rPr>
        <w:t>Lei 4.454/2017 do Estado do Amazonas. Instituição de adicional nas alíquotas do ICMS, destinado à criação de fundo estadual de combate à pobreza (art. 82 do ADCT). (...) Cobrança do tributo dentro do mesmo exercício financeiro no qual foi publicada a lei que o instituiu. Caracterização de ofensa ao princípio da anterioridade tributária (art. 150, III, b, da CF). (...) A instituição do adicional de alíquota de ICMS, facultada pelo art. 82, § 1º, do ADCT, não configura hipótese de relativização do referido princípio.</w:t>
      </w:r>
    </w:p>
    <w:p>
      <w:pPr>
        <w:ind w:left="288"/>
      </w:pPr>
      <w:r>
        <w:rPr>
          <w:b/>
          <w:color w:val="003CA0"/>
          <w:sz w:val="16"/>
        </w:rPr>
        <w:t>[ADI 5.733, rel. min. Alexandre de Moraes, j. 20-9-2019, P, DJE de 3-10-2019.]</w:t>
      </w:r>
    </w:p>
    <w:p>
      <w:pPr>
        <w:ind w:left="288"/>
      </w:pPr>
      <w:r>
        <w:rPr>
          <w:color w:val="8C8C8C"/>
          <w:sz w:val="12"/>
        </w:rPr>
        <w:t>cf-art-233-par-2</w:t>
      </w:r>
      <w:r>
        <w:rPr>
          <w:color w:val="003CA0"/>
          <w:sz w:val="12"/>
        </w:rPr>
        <w:t xml:space="preserve"> | RE 592.152</w:t>
      </w:r>
      <w:r>
        <w:rPr>
          <w:color w:val="003CA0"/>
          <w:sz w:val="12"/>
        </w:rPr>
        <w:t xml:space="preserve"> | rel. Edson Fachin</w:t>
      </w:r>
    </w:p>
    <w:p>
      <w:pPr>
        <w:ind w:left="288"/>
      </w:pPr>
      <w:r>
        <w:rPr>
          <w:color w:val="1E1E1E"/>
          <w:sz w:val="18"/>
        </w:rPr>
        <w:t>Os adicionais criados pelos estados membros e pelo Distrito Federal, para financiar os Fundos de Combate à Pobreza, foram validados pela Emenda Constitucional 42/2003, nos exatos termos em que foram instituídos, ainda que esses acréscimos estivessem em discordância com o estabelecido na EC 31/2000. Esse entendimento já foi inclusive sedimentado em feito submetido à repercussão geral por meio do Tema 1305, cujo o paradigma é o RE 592.152, relator o Min. Cristiano Zanin, que reconheceu essa convalidação inclusive em relação às leis posteriores às emendas constitucionais 31 e 42.</w:t>
      </w:r>
    </w:p>
    <w:p>
      <w:pPr>
        <w:ind w:left="288"/>
      </w:pPr>
      <w:r>
        <w:rPr>
          <w:b/>
          <w:color w:val="003CA0"/>
          <w:sz w:val="16"/>
        </w:rPr>
        <w:t>[ARE 1.551.057 ED-AgR, rel. min. Edson Fachin, j. 22.09.2025, 2ª T, DJE de 26.09.2025.]</w:t>
      </w:r>
    </w:p>
    <w:p>
      <w:pPr>
        <w:ind w:left="144"/>
      </w:pPr>
      <w:r>
        <w:rPr>
          <w:b/>
          <w:color w:val="B45A00"/>
          <w:sz w:val="16"/>
        </w:rPr>
        <w:t>JULGADOS CORRELATOS</w:t>
      </w:r>
    </w:p>
    <w:p>
      <w:pPr>
        <w:ind w:left="288"/>
      </w:pPr>
      <w:r>
        <w:rPr>
          <w:color w:val="8C8C8C"/>
          <w:sz w:val="12"/>
        </w:rPr>
        <w:t>cf-art-233-par-2</w:t>
      </w:r>
      <w:r>
        <w:rPr>
          <w:color w:val="003CA0"/>
          <w:sz w:val="12"/>
        </w:rPr>
        <w:t xml:space="preserve"> | ACO 2.922</w:t>
      </w:r>
      <w:r>
        <w:rPr>
          <w:color w:val="003CA0"/>
          <w:sz w:val="12"/>
        </w:rPr>
        <w:t xml:space="preserve"> | rel. Edson Fachin</w:t>
      </w:r>
    </w:p>
    <w:p>
      <w:pPr>
        <w:ind w:left="288"/>
      </w:pPr>
      <w:r>
        <w:rPr>
          <w:color w:val="1E1E1E"/>
          <w:sz w:val="18"/>
        </w:rPr>
        <w:t>Os arts. 198 e 212, da Constituição Federal, não tratam da exclusão do percentual previsto no art. 82, § 1º, do ADCT do cálculo da RLITC para fins de apuração dos limites mínimos de gastos com ações e serviços de saúde e educação pelo Estado. (...) Estando inserido o produto de arrecadação do ICMS no conceito de receita própria do Estado, nos termos do art. 155, II, da Constituição, enquanto vigentes a LC 8/1970, a Lei 4.320/1964 e a Lei 11.494/2007, correta a consideração do adicional de 2% (dois por cento) sobre a alíquota do ICMS para fins de financiamento do AMPARA/RS na base de cálculo da</w:t>
      </w:r>
    </w:p>
    <w:p>
      <w:pPr>
        <w:ind w:left="288"/>
      </w:pPr>
      <w:r>
        <w:rPr>
          <w:b/>
          <w:color w:val="003CA0"/>
          <w:sz w:val="16"/>
        </w:rPr>
        <w:t>[RE 1.290.896 AgR ED, rel. min. Rosa Weber, j. 30-8-2021, 1ª T, DJE de 20-9-2021.]</w:t>
      </w:r>
    </w:p>
    <w:p>
      <w:pPr>
        <w:ind w:left="288"/>
      </w:pPr>
      <w:r>
        <w:rPr>
          <w:color w:val="8C8C8C"/>
          <w:sz w:val="12"/>
        </w:rPr>
        <w:t>cf-art-233-par-2</w:t>
      </w:r>
      <w:r>
        <w:rPr>
          <w:color w:val="003CA0"/>
          <w:sz w:val="12"/>
        </w:rPr>
        <w:t xml:space="preserve"> | ACO 727</w:t>
      </w:r>
      <w:r>
        <w:rPr>
          <w:color w:val="003CA0"/>
          <w:sz w:val="12"/>
        </w:rPr>
        <w:t xml:space="preserve"> | rel. Marco Aurélio</w:t>
      </w:r>
    </w:p>
    <w:p>
      <w:pPr>
        <w:ind w:left="288"/>
      </w:pPr>
      <w:r>
        <w:rPr>
          <w:color w:val="1E1E1E"/>
          <w:sz w:val="18"/>
        </w:rPr>
        <w:t>Dívida pública. Amortização. Receita líquida real. Cálculo. Fundo de combate à pobreza. Receita. Comprometimento. Descabe considerar, para cálculo da amortização da dívida do Estado, a receita prevista no § 1º do artigo 82 do Ato das Disposições Constitucionais Transitórias – ADCT.</w:t>
      </w:r>
    </w:p>
    <w:p>
      <w:pPr>
        <w:ind w:left="288"/>
      </w:pPr>
      <w:r>
        <w:rPr>
          <w:b/>
          <w:color w:val="003CA0"/>
          <w:sz w:val="16"/>
        </w:rPr>
        <w:t>[ACO 727, rel. min. Marco Aurélio, j. 13-2-2020, P, DJE de 7-4-2020.]</w:t>
      </w:r>
    </w:p>
    <w:p>
      <w:pPr>
        <w:ind w:left="288"/>
      </w:pPr>
      <w:r>
        <w:rPr>
          <w:color w:val="8C8C8C"/>
          <w:sz w:val="12"/>
        </w:rPr>
        <w:t>cf-art-233-par-2</w:t>
      </w:r>
      <w:r>
        <w:rPr>
          <w:color w:val="003CA0"/>
          <w:sz w:val="12"/>
        </w:rPr>
        <w:t xml:space="preserve"> | ADI 2.869</w:t>
      </w:r>
      <w:r>
        <w:rPr>
          <w:color w:val="003CA0"/>
          <w:sz w:val="12"/>
        </w:rPr>
        <w:t xml:space="preserve"> | rel. Carlos Britto</w:t>
      </w:r>
    </w:p>
    <w:p>
      <w:pPr>
        <w:ind w:left="288"/>
      </w:pPr>
      <w:r>
        <w:rPr>
          <w:color w:val="1E1E1E"/>
          <w:sz w:val="18"/>
        </w:rPr>
        <w:t>O STF, na decisão proferida na ADI 2.869, rel. min. Carlos Britto, DJ de 13-5-2004, fixou que "o art. 4º da EC 42/2003 validou os adicionais criados pelos Estados e pelo Distrito Federal, ainda que estes estivessem em desacordo com o previsto na EC 31/2000. Sendo assim, se pairavam dúvidas acerca da constitucionalidade dos diplomas normativos ora adversados, estas foram expressamente enxotadas pelo mencionado art. 4º".</w:t>
      </w:r>
    </w:p>
    <w:p>
      <w:pPr>
        <w:ind w:left="288"/>
      </w:pPr>
      <w:r>
        <w:rPr>
          <w:b/>
          <w:color w:val="003CA0"/>
          <w:sz w:val="16"/>
        </w:rPr>
        <w:t>[RE 570.016 AgR, rel. min. Eros Grau, j. 19-8-2008, 2ª T, DJE de 12-9-2008.]</w:t>
      </w:r>
    </w:p>
    <w:p>
      <w:pPr>
        <w:ind w:left="288"/>
      </w:pPr>
      <w:r>
        <w:rPr>
          <w:color w:val="8C8C8C"/>
          <w:sz w:val="12"/>
        </w:rPr>
        <w:t>cf-art-233-par-2</w:t>
      </w:r>
      <w:r>
        <w:rPr>
          <w:color w:val="003CA0"/>
          <w:sz w:val="12"/>
        </w:rPr>
        <w:t xml:space="preserve"> | RE 538.679</w:t>
      </w:r>
      <w:r>
        <w:rPr>
          <w:color w:val="003CA0"/>
          <w:sz w:val="12"/>
        </w:rPr>
        <w:t xml:space="preserve"> | rel. Joaquim Barbosa</w:t>
      </w:r>
    </w:p>
    <w:p>
      <w:pPr>
        <w:ind w:left="288"/>
      </w:pPr>
      <w:r>
        <w:rPr>
          <w:color w:val="1E1E1E"/>
          <w:sz w:val="18"/>
        </w:rPr>
        <w:t>= RE 538.679 AgR, rel. min. Joaquim Barbosa, j. 15-5-2012, 2ª T, DJE de 4-6-2012 Dívida consolidada do Estado. Autorização. Fundo de combate e erradicação da Pobreza. Receita vinculada. Descabe considerar, para cálculo da amortização da dívida do Estado, a receita prevista no § 1º do art. 82 do ADCT.</w:t>
      </w:r>
    </w:p>
    <w:p>
      <w:pPr>
        <w:ind w:left="288"/>
      </w:pPr>
      <w:r>
        <w:rPr>
          <w:b/>
          <w:color w:val="003CA0"/>
          <w:sz w:val="16"/>
        </w:rPr>
        <w:t>[AC 921 MC, rel. min. Marco Aurélio, j. 28-9-2005, P, DJ de 12-5-2006.]</w:t>
      </w:r>
    </w:p>
    <w:p>
      <w:pPr>
        <w:ind w:left="288"/>
      </w:pPr>
      <w:r>
        <w:rPr>
          <w:color w:val="8C8C8C"/>
          <w:sz w:val="12"/>
        </w:rPr>
        <w:t>cf-art-233-par-2</w:t>
      </w:r>
    </w:p>
    <w:p>
      <w:pPr>
        <w:ind w:left="288"/>
      </w:pPr>
      <w:r>
        <w:rPr>
          <w:color w:val="1E1E1E"/>
          <w:sz w:val="18"/>
        </w:rPr>
        <w:t>Art. 83. Lei federal definirá os produtos e serviços supérfluos a que se referem os arts. 80, II, e 82, § 2º. (Redação da EC 42/2003) Art. 84. A contribuição provisória sobre movimentação ou transmissão de valores e de créditos e direitos de natureza financeira, prevista nos arts. 74, 75 e 80, I, deste Ato das Disposições Constitucionais Transitórias, será cobrada até 31 de dezembro de 2004. (Incluído pela EC 37/2002)</w:t>
      </w:r>
    </w:p>
    <w:p>
      <w:pPr>
        <w:ind w:left="144"/>
      </w:pPr>
      <w:r>
        <w:rPr>
          <w:b/>
          <w:color w:val="B45A00"/>
          <w:sz w:val="16"/>
        </w:rPr>
        <w:t>CONTROLE CONCENTRADO</w:t>
      </w:r>
    </w:p>
    <w:p>
      <w:pPr>
        <w:ind w:left="288"/>
      </w:pPr>
      <w:r>
        <w:rPr>
          <w:color w:val="8C8C8C"/>
          <w:sz w:val="12"/>
        </w:rPr>
        <w:t>cf-art-233-par-2</w:t>
      </w:r>
      <w:r>
        <w:rPr>
          <w:color w:val="003CA0"/>
          <w:sz w:val="12"/>
        </w:rPr>
        <w:t xml:space="preserve"> | ADI 2.666</w:t>
      </w:r>
      <w:r>
        <w:rPr>
          <w:color w:val="003CA0"/>
          <w:sz w:val="12"/>
        </w:rPr>
        <w:t xml:space="preserve"> | rel. Ellen Gracie</w:t>
      </w:r>
    </w:p>
    <w:p>
      <w:pPr>
        <w:ind w:left="288"/>
      </w:pPr>
      <w:r>
        <w:rPr>
          <w:color w:val="1E1E1E"/>
          <w:sz w:val="18"/>
        </w:rPr>
        <w:t>Ação direta de inconstitucionalidade. Contribuição provisória sobre movimentação ou transmissão de valores e de créditos e direitos de natureza financeira (CPMF) (arts. 84 e 85, acrescentados ao ADCT pelo art. 3º da EC 37, de 12 de junho de 2002). (...) Ausência de inconstitucionalidade material. O § 4º, IV, do art. 60 da Constituição veda a deliberação quanto a proposta de emenda tendente a abolir os direitos e garantias individuais. Proibida, assim, estaria a deliberação de emenda que se destinasse a suprimir do Texto Constitucional o § 6º do art. 195, ou que excluísse a aplicação desse prec</w:t>
      </w:r>
    </w:p>
    <w:p>
      <w:pPr>
        <w:ind w:left="288"/>
      </w:pPr>
      <w:r>
        <w:rPr>
          <w:b/>
          <w:color w:val="003CA0"/>
          <w:sz w:val="16"/>
        </w:rPr>
        <w:t>[ADI 2.666, rel. min. Ellen Gracie, j. 13-10-2002, P, DJ de 6-12-2002.]</w:t>
      </w:r>
    </w:p>
    <w:p>
      <w:pPr>
        <w:ind w:left="288"/>
      </w:pPr>
      <w:r>
        <w:rPr>
          <w:color w:val="8C8C8C"/>
          <w:sz w:val="12"/>
        </w:rPr>
        <w:t>cf-art-233-par-2</w:t>
      </w:r>
      <w:r>
        <w:rPr>
          <w:color w:val="003CA0"/>
          <w:sz w:val="12"/>
        </w:rPr>
        <w:t xml:space="preserve"> | AI 613.980</w:t>
      </w:r>
      <w:r>
        <w:rPr>
          <w:color w:val="003CA0"/>
          <w:sz w:val="12"/>
        </w:rPr>
        <w:t xml:space="preserve"> | rel. Cármen Lúcia</w:t>
      </w:r>
    </w:p>
    <w:p>
      <w:pPr>
        <w:ind w:left="288"/>
      </w:pPr>
      <w:r>
        <w:rPr>
          <w:color w:val="1E1E1E"/>
          <w:sz w:val="18"/>
        </w:rPr>
        <w:t>= AI 613.980 AgR, rel. min. Cármen Lúcia, j. 23-3-2011, 1ª T, DJE de 7-4-2011</w:t>
      </w:r>
    </w:p>
    <w:p>
      <w:pPr>
        <w:ind w:left="288"/>
      </w:pPr>
      <w:r>
        <w:rPr>
          <w:color w:val="8C8C8C"/>
          <w:sz w:val="12"/>
        </w:rPr>
        <w:t>cf-art-233-par-3-inc-I</w:t>
      </w:r>
    </w:p>
    <w:p>
      <w:pPr>
        <w:ind w:left="288"/>
      </w:pPr>
      <w:r>
        <w:rPr>
          <w:color w:val="1E1E1E"/>
          <w:sz w:val="18"/>
        </w:rPr>
        <w:t>Art. 85. A contribuição a que se refere o art. 84 deste Ato das Disposições Constitucionais Transitórias não incidirá, a partir do trigésimo dia da data de publicação desta Emenda Constitucional, nos lançamentos: (Incluído pela EC 37/2002)</w:t>
      </w:r>
    </w:p>
    <w:p>
      <w:pPr>
        <w:ind w:left="288"/>
      </w:pPr>
      <w:r>
        <w:rPr>
          <w:color w:val="8C8C8C"/>
          <w:sz w:val="12"/>
        </w:rPr>
        <w:t>cf-art-233-par-3-inc-I</w:t>
      </w:r>
      <w:r>
        <w:rPr>
          <w:color w:val="003CA0"/>
          <w:sz w:val="12"/>
        </w:rPr>
        <w:t xml:space="preserve"> | ADI 2.666</w:t>
      </w:r>
      <w:r>
        <w:rPr>
          <w:color w:val="003CA0"/>
          <w:sz w:val="12"/>
        </w:rPr>
        <w:t xml:space="preserve"> | rel. Ellen Gracie</w:t>
      </w:r>
    </w:p>
    <w:p>
      <w:pPr>
        <w:ind w:left="288"/>
      </w:pPr>
      <w:r>
        <w:rPr>
          <w:color w:val="1E1E1E"/>
          <w:sz w:val="18"/>
        </w:rPr>
        <w:t>Ação direta de inconstitucionalidade. Contribuição provisória sobre movimentação ou transmissão de valores e de créditos e direitos de natureza financeira (CPMF) (arts. 84 e 85, acrescentados ao ADCT pelo art. 3º da EC 37, de 12 de junho de 2002). (...) Ausência de inconstitucionalidade material. O § 4º, IV, do art. 60 da Constituição veda a deliberação quanto a proposta de emenda tendente a abolir os direitos e garantias individuais. Proibida, assim, estaria a deliberação de emenda que se destinasse a suprimir do Texto Constitucional o § 6º do art. 195, ou que excluísse a aplicação desse prec</w:t>
      </w:r>
    </w:p>
    <w:p>
      <w:pPr>
        <w:ind w:left="288"/>
      </w:pPr>
      <w:r>
        <w:rPr>
          <w:b/>
          <w:color w:val="003CA0"/>
          <w:sz w:val="16"/>
        </w:rPr>
        <w:t>[ADI 2.666, rel. min. Ellen Gracie, j. 13-10-2002, P, DJ de 6-12-2002.]</w:t>
      </w:r>
    </w:p>
    <w:p>
      <w:pPr>
        <w:ind w:left="288"/>
      </w:pPr>
      <w:r>
        <w:rPr>
          <w:color w:val="8C8C8C"/>
          <w:sz w:val="12"/>
        </w:rPr>
        <w:t>cf-art-233-par-3-inc-II-ali-b</w:t>
      </w:r>
    </w:p>
    <w:p>
      <w:pPr>
        <w:ind w:left="288"/>
      </w:pPr>
      <w:r>
        <w:rPr>
          <w:color w:val="1E1E1E"/>
          <w:sz w:val="18"/>
        </w:rPr>
        <w:t>III - em contas de investidores estrangeiros, relativos a entradas no País e a remessas para o exterior de recursos financeiros empregados, exclusivamente, em operações e contratos referidos no inciso II deste artigo. (Incluído pela EC 37/2002)</w:t>
      </w:r>
    </w:p>
    <w:p>
      <w:pPr>
        <w:ind w:left="288"/>
      </w:pPr>
      <w:r>
        <w:rPr>
          <w:color w:val="8C8C8C"/>
          <w:sz w:val="12"/>
        </w:rPr>
        <w:t>cf-art-233-par-2</w:t>
      </w:r>
    </w:p>
    <w:p>
      <w:pPr>
        <w:ind w:left="288"/>
      </w:pPr>
      <w:r>
        <w:rPr>
          <w:color w:val="1E1E1E"/>
          <w:sz w:val="18"/>
        </w:rPr>
        <w:t>§ 3º O disposto no inciso II deste artigo aplica-se somente a operações e contratos efetuados por intermédio de instituições financeiras, sociedades corretoras de títulos e valores mobiliários, sociedades distribuidoras de títulos e valores mobiliários e sociedades corretoras de mercadorias. (Incluído pela EC 37/2002) Art. 86. Serão pagos conforme disposto no art. 100 da Constituição Federal, não se lhes aplicando a regra de parcelamento estabelecida no caput do art. 78 deste Ato das Disposições Constitucionais Transitórias, os débitos da Fazenda Federal, Estadual, Distrital ou Municipal oriun</w:t>
      </w:r>
    </w:p>
    <w:p>
      <w:pPr>
        <w:ind w:left="144"/>
      </w:pPr>
      <w:r>
        <w:rPr>
          <w:b/>
          <w:color w:val="B45A00"/>
          <w:sz w:val="16"/>
        </w:rPr>
        <w:t>REPERCUSSAO GERAL</w:t>
      </w:r>
    </w:p>
    <w:p>
      <w:pPr>
        <w:ind w:left="288"/>
      </w:pPr>
      <w:r>
        <w:rPr>
          <w:color w:val="8C8C8C"/>
          <w:sz w:val="12"/>
        </w:rPr>
        <w:t>cf-art-233-par-2</w:t>
      </w:r>
      <w:r>
        <w:rPr>
          <w:color w:val="003CA0"/>
          <w:sz w:val="12"/>
        </w:rPr>
        <w:t xml:space="preserve"> | RE 587.982</w:t>
      </w:r>
      <w:r>
        <w:rPr>
          <w:color w:val="003CA0"/>
          <w:sz w:val="12"/>
        </w:rPr>
        <w:t xml:space="preserve"> | rel. Edson Fachin</w:t>
      </w:r>
    </w:p>
    <w:p>
      <w:pPr>
        <w:ind w:left="288"/>
      </w:pPr>
      <w:r>
        <w:rPr>
          <w:color w:val="1E1E1E"/>
          <w:sz w:val="18"/>
        </w:rPr>
        <w:t>É harmônica com a normatividade constitucional a previsão no artigo 86 do ADCT na dicção da EC 32/2002 de um regime de transição para tratar dos precatórios reputados de pequeno valor, já expedidos antes de sua promulgação.’</w:t>
      </w:r>
    </w:p>
    <w:p>
      <w:pPr>
        <w:ind w:left="288"/>
      </w:pPr>
      <w:r>
        <w:rPr>
          <w:b/>
          <w:color w:val="003CA0"/>
          <w:sz w:val="16"/>
        </w:rPr>
        <w:t>[RE 587.982, rel. min. Edson Fachin, j. 27-3-2019, P, DJE de 12-4-2019, Tema 112, com mérito julgado.]</w:t>
      </w:r>
    </w:p>
    <w:p>
      <w:pPr>
        <w:ind w:left="288"/>
      </w:pPr>
      <w:r>
        <w:rPr>
          <w:color w:val="8C8C8C"/>
          <w:sz w:val="12"/>
        </w:rPr>
        <w:t>cf-art-233-par-2-inc-I</w:t>
      </w:r>
    </w:p>
    <w:p>
      <w:pPr>
        <w:ind w:left="288"/>
      </w:pPr>
      <w:r>
        <w:rPr>
          <w:color w:val="1E1E1E"/>
          <w:sz w:val="18"/>
        </w:rPr>
        <w:t>II - ter sido definidos como de pequeno valor pela lei de que trata o § 3º do art. 100 da Constituição Federal ou pelo art. 87 deste Ato das Disposições Constitucionais Transitórias; (Incluído pela EC 37/2002)</w:t>
      </w:r>
    </w:p>
    <w:p>
      <w:pPr>
        <w:ind w:left="288"/>
      </w:pPr>
      <w:r>
        <w:rPr>
          <w:color w:val="8C8C8C"/>
          <w:sz w:val="12"/>
        </w:rPr>
        <w:t>cf-art-233-par-3</w:t>
      </w:r>
    </w:p>
    <w:p>
      <w:pPr>
        <w:ind w:left="288"/>
      </w:pPr>
      <w:r>
        <w:rPr>
          <w:color w:val="1E1E1E"/>
          <w:sz w:val="18"/>
        </w:rPr>
        <w:t>Art. 87. Para efeito do que dispõem o § 3º do art. 100 da Constituição Federal e o art. 78 deste Ato das Disposições Constitucionais Transitórias serão considerados de pequeno valor, até que se dê a publicação oficial das respectivas leis definidoras pelos entes da Federação, observado o disposto no § 4º do art. 100 da Constituição Federal, os débitos ou obrigações consignados em precatório judiciário, que tenham valor igual ou inferior a: (Incluído pela EC 37/2002)</w:t>
      </w:r>
    </w:p>
    <w:p>
      <w:pPr>
        <w:ind w:left="144"/>
      </w:pPr>
      <w:r>
        <w:rPr>
          <w:b/>
          <w:color w:val="B45A00"/>
          <w:sz w:val="16"/>
        </w:rPr>
        <w:t>CONTROLE CONCENTRADO</w:t>
      </w:r>
    </w:p>
    <w:p>
      <w:pPr>
        <w:ind w:left="288"/>
      </w:pPr>
      <w:r>
        <w:rPr>
          <w:color w:val="8C8C8C"/>
          <w:sz w:val="12"/>
        </w:rPr>
        <w:t>cf-art-233-par-3</w:t>
      </w:r>
      <w:r>
        <w:rPr>
          <w:color w:val="003CA0"/>
          <w:sz w:val="12"/>
        </w:rPr>
        <w:t xml:space="preserve"> | ADI 2.868</w:t>
      </w:r>
      <w:r>
        <w:rPr>
          <w:color w:val="003CA0"/>
          <w:sz w:val="12"/>
        </w:rPr>
        <w:t xml:space="preserve"> | rel. Joaquim Barbosa</w:t>
      </w:r>
    </w:p>
    <w:p>
      <w:pPr>
        <w:ind w:left="288"/>
      </w:pPr>
      <w:r>
        <w:rPr>
          <w:color w:val="1E1E1E"/>
          <w:sz w:val="18"/>
        </w:rPr>
        <w:t>Possibilidade de fixação, pelos Estados-membros, de valor referencial inferior ao do art. 87 do ADCT, com a redação dada pela EC 37/2002.</w:t>
      </w:r>
    </w:p>
    <w:p>
      <w:pPr>
        <w:ind w:left="288"/>
      </w:pPr>
      <w:r>
        <w:rPr>
          <w:b/>
          <w:color w:val="003CA0"/>
          <w:sz w:val="16"/>
        </w:rPr>
        <w:t>[ADI 2.868, rel. p/ o ac. min. Joaquim Barbosa, j. 2-6-2004, P, DJ de 12-11-2004.]</w:t>
      </w:r>
    </w:p>
    <w:p>
      <w:pPr>
        <w:ind w:left="288"/>
      </w:pPr>
      <w:r>
        <w:rPr>
          <w:color w:val="8C8C8C"/>
          <w:sz w:val="12"/>
        </w:rPr>
        <w:t>cf-art-233-par-3</w:t>
      </w:r>
      <w:r>
        <w:rPr>
          <w:color w:val="003CA0"/>
          <w:sz w:val="12"/>
        </w:rPr>
        <w:t xml:space="preserve"> | AI 761.701</w:t>
      </w:r>
      <w:r>
        <w:rPr>
          <w:color w:val="003CA0"/>
          <w:sz w:val="12"/>
        </w:rPr>
        <w:t xml:space="preserve"> | rel. Dias Toffoli</w:t>
      </w:r>
    </w:p>
    <w:p>
      <w:pPr>
        <w:ind w:left="288"/>
      </w:pPr>
      <w:r>
        <w:rPr>
          <w:color w:val="1E1E1E"/>
          <w:sz w:val="18"/>
        </w:rPr>
        <w:t>Vide AI 761.701 ED, rel. min. Dias Toffoli, j. 15-10-2013, 1ª T, DJE de 27-11-2013</w:t>
      </w:r>
    </w:p>
    <w:p>
      <w:pPr>
        <w:ind w:left="144"/>
      </w:pPr>
      <w:r>
        <w:rPr>
          <w:b/>
          <w:color w:val="B45A00"/>
          <w:sz w:val="16"/>
        </w:rPr>
        <w:t>REPERCUSSAO GERAL</w:t>
      </w:r>
    </w:p>
    <w:p>
      <w:pPr>
        <w:ind w:left="288"/>
      </w:pPr>
      <w:r>
        <w:rPr>
          <w:color w:val="8C8C8C"/>
          <w:sz w:val="12"/>
        </w:rPr>
        <w:t>cf-art-233-par-3</w:t>
      </w:r>
      <w:r>
        <w:rPr>
          <w:color w:val="003CA0"/>
          <w:sz w:val="12"/>
        </w:rPr>
        <w:t xml:space="preserve"> | RE 1.359.139</w:t>
      </w:r>
      <w:r>
        <w:rPr>
          <w:color w:val="003CA0"/>
          <w:sz w:val="12"/>
        </w:rPr>
        <w:t xml:space="preserve"> | rel. Luiz Fux</w:t>
      </w:r>
    </w:p>
    <w:p>
      <w:pPr>
        <w:ind w:left="288"/>
      </w:pPr>
      <w:r>
        <w:rPr>
          <w:color w:val="1E1E1E"/>
          <w:sz w:val="18"/>
        </w:rPr>
        <w:t>I – As unidades federadas podem fixar os limites das respectivas requisições de pequeno valor em patamares inferiores aos previstos no art. 87 do ADCT, desde que o façam em consonância com sua capacidade econômica; II – A aferição da capacidade econômica, para este fim, deve refletir não somente a receita, mas igualmente os graus de endividamento e de litigiosidade do ente federado; III – A ausência de demonstração concreta da desproporcionalidade na fixação do teto das requisições de pequeno valor impõe a deferência do Poder Judiciário ao juízo politicoadministrativo externado pela legislação</w:t>
      </w:r>
    </w:p>
    <w:p>
      <w:pPr>
        <w:ind w:left="288"/>
      </w:pPr>
      <w:r>
        <w:rPr>
          <w:b/>
          <w:color w:val="003CA0"/>
          <w:sz w:val="16"/>
        </w:rPr>
        <w:t>[RE 1.359.139, rel. min. Luiz Fux, j. 1-9-2022, P, DJE de 8-9-2022, Tema 1.231, com mérito julgado e reafirmação de jurisprudência.]</w:t>
      </w:r>
    </w:p>
    <w:p>
      <w:pPr>
        <w:ind w:left="144"/>
      </w:pPr>
      <w:r>
        <w:rPr>
          <w:b/>
          <w:color w:val="B45A00"/>
          <w:sz w:val="16"/>
        </w:rPr>
        <w:t>JULGADOS CORRELATOS</w:t>
      </w:r>
    </w:p>
    <w:p>
      <w:pPr>
        <w:ind w:left="288"/>
      </w:pPr>
      <w:r>
        <w:rPr>
          <w:color w:val="8C8C8C"/>
          <w:sz w:val="12"/>
        </w:rPr>
        <w:t>cf-art-233-par-3</w:t>
      </w:r>
      <w:r>
        <w:rPr>
          <w:color w:val="003CA0"/>
          <w:sz w:val="12"/>
        </w:rPr>
        <w:t xml:space="preserve"> | ADI 2.868</w:t>
      </w:r>
      <w:r>
        <w:rPr>
          <w:color w:val="003CA0"/>
          <w:sz w:val="12"/>
        </w:rPr>
        <w:t xml:space="preserve"> | rel. Dias Toffoli</w:t>
      </w:r>
    </w:p>
    <w:p>
      <w:pPr>
        <w:ind w:left="288"/>
      </w:pPr>
      <w:r>
        <w:rPr>
          <w:color w:val="1E1E1E"/>
          <w:sz w:val="18"/>
        </w:rPr>
        <w:t>O Plenário da Corte, no julgamento da ADI 2.868/PI, red do ac. min. Joaquim Barbosa, concluiu que os Estados podem definir para as obrigações de pequeno valor de que forem devedores limites inferiores aos previstos no art. 87 do ADCT, entendimento que se aplica também aos Municípios.</w:t>
      </w:r>
    </w:p>
    <w:p>
      <w:pPr>
        <w:ind w:left="288"/>
      </w:pPr>
      <w:r>
        <w:rPr>
          <w:b/>
          <w:color w:val="003CA0"/>
          <w:sz w:val="16"/>
        </w:rPr>
        <w:t>[AI 761.701 ED, rel. min. Dias Toffoli, j. 15-10-2013, 1ª T, DJE de 27-11-2013.]</w:t>
      </w:r>
    </w:p>
    <w:p>
      <w:pPr>
        <w:ind w:left="288"/>
      </w:pPr>
      <w:r>
        <w:rPr>
          <w:color w:val="8C8C8C"/>
          <w:sz w:val="12"/>
        </w:rPr>
        <w:t>cf-art-233-par-3</w:t>
      </w:r>
      <w:r>
        <w:rPr>
          <w:color w:val="003CA0"/>
          <w:sz w:val="12"/>
        </w:rPr>
        <w:t xml:space="preserve"> | ADI 2.868</w:t>
      </w:r>
      <w:r>
        <w:rPr>
          <w:color w:val="003CA0"/>
          <w:sz w:val="12"/>
        </w:rPr>
        <w:t xml:space="preserve"> | rel. Marco Aurélio</w:t>
      </w:r>
    </w:p>
    <w:p>
      <w:pPr>
        <w:ind w:left="288"/>
      </w:pPr>
      <w:r>
        <w:rPr>
          <w:color w:val="1E1E1E"/>
          <w:sz w:val="18"/>
        </w:rPr>
        <w:t>Vide ADI 2.868, red do ac. min. Joaquim Barbosa, j. 2-6-2004, P, DJ de 12-11-2004 Fazenda. Título judicial a revelar obrigações de dar. Pagamento imediato. Enquadrando-se cada qual das obrigações contidas no título executivo judicial na previsão do art. 87 do ADCT de 1988, não cabe a junção visando submeter os créditos a satisfação mediante precatório – inteligência do art. 100, §§ 3º e 8º, da Carta Federal.</w:t>
      </w:r>
    </w:p>
    <w:p>
      <w:pPr>
        <w:ind w:left="288"/>
      </w:pPr>
      <w:r>
        <w:rPr>
          <w:b/>
          <w:color w:val="003CA0"/>
          <w:sz w:val="16"/>
        </w:rPr>
        <w:t>[RE 634.707, rel. min. Marco Aurélio, j. 17-4-2012, 1ª T, DJE de 4-5-2012.]</w:t>
      </w:r>
    </w:p>
    <w:p>
      <w:pPr>
        <w:ind w:left="288"/>
      </w:pPr>
      <w:r>
        <w:rPr>
          <w:color w:val="8C8C8C"/>
          <w:sz w:val="12"/>
        </w:rPr>
        <w:t>cf-art-233-par-3-inc-II</w:t>
      </w:r>
    </w:p>
    <w:p>
      <w:pPr>
        <w:ind w:left="288"/>
      </w:pPr>
      <w:r>
        <w:rPr>
          <w:color w:val="1E1E1E"/>
          <w:sz w:val="18"/>
        </w:rPr>
        <w:t>Parágrafo único. Se o valor da execução ultrapassar o estabelecido neste artigo, o pagamento far-se-á, sempre, por meio de precatório, sendo facultada à parte exeqüente a renúncia ao crédito do valor excedente, para que possa optar pelo pagamento do saldo sem o precatório, da forma prevista no § 3º do art. 100. (Incluído pela EC 37/2002) Art. 88. Enquanto lei complementar não disciplinar o disposto nos incisos I e III do § 3º do art. 156 da Constituição Federal, o imposto a que se refere o inciso III do caput do mesmo artigo: (Incluído pela EC 37/2002) I - terá alíquota mínima de dois por cent</w:t>
      </w:r>
    </w:p>
    <w:p>
      <w:pPr>
        <w:ind w:left="144"/>
      </w:pPr>
      <w:r>
        <w:rPr>
          <w:b/>
          <w:color w:val="B45A00"/>
          <w:sz w:val="16"/>
        </w:rPr>
        <w:t>CONTROLE CONCENTRADO</w:t>
      </w:r>
    </w:p>
    <w:p>
      <w:pPr>
        <w:ind w:left="288"/>
      </w:pPr>
      <w:r>
        <w:rPr>
          <w:color w:val="8C8C8C"/>
          <w:sz w:val="12"/>
        </w:rPr>
        <w:t>cf-art-233-par-3-inc-II</w:t>
      </w:r>
      <w:r>
        <w:rPr>
          <w:color w:val="003CA0"/>
          <w:sz w:val="12"/>
        </w:rPr>
        <w:t xml:space="preserve"> | ADPF 189</w:t>
      </w:r>
      <w:r>
        <w:rPr>
          <w:color w:val="003CA0"/>
          <w:sz w:val="12"/>
        </w:rPr>
        <w:t xml:space="preserve"> | rel. Marco Aurélio</w:t>
      </w:r>
    </w:p>
    <w:p>
      <w:pPr>
        <w:ind w:left="288"/>
      </w:pPr>
      <w:r>
        <w:rPr>
          <w:color w:val="1E1E1E"/>
          <w:sz w:val="18"/>
        </w:rPr>
        <w:t>(...) No âmbito da inconstitucionalidade material, viola o art. 88, I e II, do Ato das Disposições Constitucionais Transitórias do Texto Constitucional, incluído pela Emenda Constitucional 37/2002, o qual fixou alíquota mínima para os fatos geradores do ISSQN, assim como vedou a concessão de isenções, incentivos e benefícios fiscais, que resultasse, direta ou indiretamente, na redução da alíquota mínima estabelecida. Assim, reduz-se a carga tributária incidente sobre a prestação de serviço a um patamar vedado pelo Poder Constituinte.</w:t>
        <w:br/>
        <w:t>[ADPF 189 AgR, rel. min. Marco Aurélio, j. 31-08-2020, P, DJ</w:t>
      </w:r>
    </w:p>
    <w:p>
      <w:pPr>
        <w:ind w:left="288"/>
      </w:pPr>
      <w:r>
        <w:rPr>
          <w:color w:val="8C8C8C"/>
          <w:sz w:val="12"/>
        </w:rPr>
        <w:t>cf-art-233-par-3-inc-II</w:t>
      </w:r>
      <w:r>
        <w:rPr>
          <w:color w:val="003CA0"/>
          <w:sz w:val="12"/>
        </w:rPr>
        <w:t xml:space="preserve"> | ADPF 189</w:t>
      </w:r>
      <w:r>
        <w:rPr>
          <w:color w:val="003CA0"/>
          <w:sz w:val="12"/>
        </w:rPr>
        <w:t xml:space="preserve"> | rel. Marco Aurélio</w:t>
      </w:r>
    </w:p>
    <w:p>
      <w:pPr>
        <w:ind w:left="288"/>
      </w:pPr>
      <w:r>
        <w:rPr>
          <w:color w:val="1E1E1E"/>
          <w:sz w:val="18"/>
        </w:rPr>
        <w:t>(...) No âmbito da inconstitucionalidade material, viola o art. 88, I e II, do Ato das Disposições Constitucionais Transitórias do Texto Constitucional, incluído pela Emenda Constitucional 37/2002, o qual fixou alíquota mínima para os fatos geradores do ISSQN, assim como vedou a concessão de isenções, incentivos e benefícios fiscais, que resultasse, direta ou indiretamente, na redução da alíquota mínima estabelecida. Assim, reduz-se a carga tributária incidente sobre a prestação de serviço a um patamar vedado pelo Poder Constituinte.</w:t>
        <w:br/>
        <w:t>[ADPF 189 AgR, rel. min. Marco Aurélio, j. 31-08-2020, P, DJ</w:t>
      </w:r>
    </w:p>
    <w:p>
      <w:pPr>
        <w:ind w:left="288"/>
      </w:pPr>
      <w:r>
        <w:rPr>
          <w:b/>
          <w:color w:val="003CA0"/>
          <w:sz w:val="16"/>
        </w:rPr>
        <w:t>[ARE 1.516.600 RG, rel. min. Luís Roberto Barroso, j. 18.10.2024, P, DJE de 22.10.2024, Tema 1.339, com repercussão geral negada.]</w:t>
      </w:r>
    </w:p>
    <w:p>
      <w:pPr>
        <w:ind w:left="288"/>
      </w:pPr>
      <w:r>
        <w:rPr>
          <w:color w:val="8C8C8C"/>
          <w:sz w:val="12"/>
        </w:rPr>
        <w:t>cf-art-233-par-1</w:t>
      </w:r>
    </w:p>
    <w:p>
      <w:pPr>
        <w:ind w:left="288"/>
      </w:pPr>
      <w:r>
        <w:rPr>
          <w:color w:val="1E1E1E"/>
          <w:sz w:val="18"/>
        </w:rPr>
        <w:t>Art. 90. O prazo previsto no caput do art. 84 deste Ato das Disposições Constitucionais Transitórias fica prorrogado até 31 de dezembro de 2007. (Incluído pela EC 42/2003)</w:t>
      </w:r>
    </w:p>
    <w:p>
      <w:pPr>
        <w:ind w:left="144"/>
      </w:pPr>
      <w:r>
        <w:rPr>
          <w:b/>
          <w:color w:val="B45A00"/>
          <w:sz w:val="16"/>
        </w:rPr>
        <w:t>REPERCUSSAO GERAL</w:t>
      </w:r>
    </w:p>
    <w:p>
      <w:pPr>
        <w:ind w:left="288"/>
      </w:pPr>
      <w:r>
        <w:rPr>
          <w:color w:val="8C8C8C"/>
          <w:sz w:val="12"/>
        </w:rPr>
        <w:t>cf-art-233-par-2</w:t>
      </w:r>
      <w:r>
        <w:rPr>
          <w:color w:val="003CA0"/>
          <w:sz w:val="12"/>
        </w:rPr>
        <w:t xml:space="preserve"> | RE 566.032</w:t>
      </w:r>
      <w:r>
        <w:rPr>
          <w:color w:val="003CA0"/>
          <w:sz w:val="12"/>
        </w:rPr>
        <w:t xml:space="preserve"> | rel. Gilmar Mendes</w:t>
      </w:r>
    </w:p>
    <w:p>
      <w:pPr>
        <w:ind w:left="288"/>
      </w:pPr>
      <w:r>
        <w:rPr>
          <w:color w:val="1E1E1E"/>
          <w:sz w:val="18"/>
        </w:rPr>
        <w:t>(...) a revogação do inciso II do § 3º do art. 84 do ADCT implicou aumento do tributo para fins do que dispõe o art. 195, § 6º, da CF.</w:t>
        <w:br/>
        <w:t>[RE 566.032, rel. min. Gilmar Mendes, j. 25-6-2009, P, DJE de 23-10-2009, Tema 51, com mérito julgado.]</w:t>
      </w:r>
    </w:p>
    <w:p>
      <w:pPr>
        <w:ind w:left="144"/>
      </w:pPr>
      <w:r>
        <w:rPr>
          <w:b/>
          <w:color w:val="B45A00"/>
          <w:sz w:val="16"/>
        </w:rPr>
        <w:t>JULGADOS CORRELATOS</w:t>
      </w:r>
    </w:p>
    <w:p>
      <w:pPr>
        <w:ind w:left="288"/>
      </w:pPr>
      <w:r>
        <w:rPr>
          <w:color w:val="8C8C8C"/>
          <w:sz w:val="12"/>
        </w:rPr>
        <w:t>cf-art-233-par-2</w:t>
      </w:r>
      <w:r>
        <w:rPr>
          <w:color w:val="003CA0"/>
          <w:sz w:val="12"/>
        </w:rPr>
        <w:t xml:space="preserve"> | RE 633.441</w:t>
      </w:r>
      <w:r>
        <w:rPr>
          <w:color w:val="003CA0"/>
          <w:sz w:val="12"/>
        </w:rPr>
        <w:t xml:space="preserve"> | rel. Joaquim Barbosa</w:t>
      </w:r>
    </w:p>
    <w:p>
      <w:pPr>
        <w:ind w:left="288"/>
      </w:pPr>
      <w:r>
        <w:rPr>
          <w:color w:val="1E1E1E"/>
          <w:sz w:val="18"/>
        </w:rPr>
        <w:t>Conforme apontado na decisão agravada, esta Suprema Corte já considerou que a cobrança da CPMF sob o regime da EC 42/2003 não violou a regra da anterioridade de noventa dias. (...) Embora engenhosa, a tese fundada na dissociação entre a regra da anterioridade e a ruptura de regime jurídico para fins de aplicação da LICC não se sustenta. Tanto a regra da anterioridade como o prazo de vacatio legis previsto na LICC têm por pressuposto uma modificação relevante nas expectativas dos jurisdicionados. A regra da anterioridade é específica para a tributação e leva em consideração a criação ou o aumen</w:t>
      </w:r>
    </w:p>
    <w:p>
      <w:pPr>
        <w:ind w:left="288"/>
      </w:pPr>
      <w:r>
        <w:rPr>
          <w:color w:val="8C8C8C"/>
          <w:sz w:val="12"/>
        </w:rPr>
        <w:t>cf-art-233-par-4</w:t>
      </w:r>
      <w:r>
        <w:rPr>
          <w:color w:val="003CA0"/>
          <w:sz w:val="12"/>
        </w:rPr>
        <w:t xml:space="preserve"> | ARE 1.524.893</w:t>
      </w:r>
      <w:r>
        <w:rPr>
          <w:color w:val="003CA0"/>
          <w:sz w:val="12"/>
        </w:rPr>
        <w:t xml:space="preserve"> | rel. Luís Roberto Barroso</w:t>
      </w:r>
    </w:p>
    <w:p>
      <w:pPr>
        <w:ind w:left="288"/>
      </w:pPr>
      <w:r>
        <w:rPr>
          <w:color w:val="1E1E1E"/>
          <w:sz w:val="18"/>
        </w:rPr>
        <w:t>Art. 92. São acrescidos dez anos ao prazo fixado no art. 40 deste Ato das Disposições Constitucionais Transitórias. (Incluído pela EC 42/2003) “É infraconstitucional a controvérsia sobre a incidência de PIS e de Cofins sobre as receitas de prestação de serviços para pessoas físicas e jurídicas na Zona Franca de Manaus”.</w:t>
      </w:r>
    </w:p>
    <w:p>
      <w:pPr>
        <w:ind w:left="288"/>
      </w:pPr>
      <w:r>
        <w:rPr>
          <w:b/>
          <w:color w:val="003CA0"/>
          <w:sz w:val="16"/>
        </w:rPr>
        <w:t>[ARE 1.524.893 RG, rel. min. Luís Roberto Barroso, j. 29.11.2024, P, DJE de 05.12.2024, Tema 1.363, com repercussão geral negada.]</w:t>
      </w:r>
    </w:p>
    <w:p>
      <w:pPr>
        <w:ind w:left="288"/>
      </w:pPr>
      <w:r>
        <w:rPr>
          <w:color w:val="8C8C8C"/>
          <w:sz w:val="12"/>
        </w:rPr>
        <w:t>cf-art-233-par-4</w:t>
      </w:r>
      <w:r>
        <w:rPr>
          <w:color w:val="003CA0"/>
          <w:sz w:val="12"/>
        </w:rPr>
        <w:t xml:space="preserve"> | ADI 5.017</w:t>
      </w:r>
    </w:p>
    <w:p>
      <w:pPr>
        <w:ind w:left="288"/>
      </w:pPr>
      <w:r>
        <w:rPr>
          <w:color w:val="1E1E1E"/>
          <w:sz w:val="18"/>
        </w:rPr>
        <w:t>Art. 93. A vigência do disposto no art. 159, III, e § 4º, iniciará somente após a edição da lei de que trata o referido inciso III. (incluído pela EC n. 42/2003) Art. 94. Os regimes especiais de tributação para microempresas e empresas de pequeno porte próprios da União, dos Estados, do Distrito Federal e dos Municípios cessarão a partir da entrada em vigor do regime previsto no art. 146, III, d, da Constituição. (Incluído pela EC 42/2003) Art. 18-A. Os atos administrativos praticados no Estado do Tocantins, decorrentes de sua instalação, entre 1º de janeiro de 1989 e 31 de dezembro de 1994, e</w:t>
      </w:r>
    </w:p>
    <w:p>
      <w:pPr>
        <w:ind w:left="144"/>
      </w:pPr>
      <w:r>
        <w:rPr>
          <w:b/>
          <w:color w:val="B45A00"/>
          <w:sz w:val="16"/>
        </w:rPr>
        <w:t>CONTROLE CONCENTRADO</w:t>
      </w:r>
    </w:p>
    <w:p>
      <w:pPr>
        <w:ind w:left="288"/>
      </w:pPr>
      <w:r>
        <w:rPr>
          <w:color w:val="8C8C8C"/>
          <w:sz w:val="12"/>
        </w:rPr>
        <w:t>cf-art-233-par-4</w:t>
      </w:r>
      <w:r>
        <w:rPr>
          <w:color w:val="003CA0"/>
          <w:sz w:val="12"/>
        </w:rPr>
        <w:t xml:space="preserve"> | ADI 5.017</w:t>
      </w:r>
      <w:r>
        <w:rPr>
          <w:color w:val="003CA0"/>
          <w:sz w:val="12"/>
        </w:rPr>
        <w:t xml:space="preserve"> | rel. Luiz Fux</w:t>
      </w:r>
    </w:p>
    <w:p>
      <w:pPr>
        <w:ind w:left="288"/>
      </w:pPr>
      <w:r>
        <w:rPr>
          <w:color w:val="1E1E1E"/>
          <w:sz w:val="18"/>
        </w:rPr>
        <w:t>(...) ação direta de inconstitucionalidade, com pedido de medida liminar, ajuizada pela Associação Nacional dos Procuradores Federais (ANPAF) contra a EC 73/2013. (...) a fragmentação da Justiça Federal é deletéria para uma Justiça que se entende nacional. Por conjectura, a redução da competência territorial tende a tornar o órgão jurisdicional mais propenso às investidas de interesses paroquiais. Cabe aqui reforçar o que me é perceptível: não se prestigia a magistratura com a criação de tribunais; prestigia-se a magistratura pela valorização e pela formação do magistrado, especialmente aquele</w:t>
      </w:r>
    </w:p>
    <w:p>
      <w:pPr>
        <w:ind w:left="288"/>
      </w:pPr>
      <w:r>
        <w:rPr>
          <w:b/>
          <w:color w:val="003CA0"/>
          <w:sz w:val="16"/>
        </w:rPr>
        <w:t>[ADI 5.017 MC, rel. min. Luiz Fux, dec. monocrática proferida pelo min. Joaquim Barbosa, j. 17-7-2013, DJE de 1º-8-2013.]</w:t>
      </w:r>
    </w:p>
    <w:p>
      <w:pPr>
        <w:ind w:left="288"/>
      </w:pPr>
      <w:r>
        <w:rPr>
          <w:color w:val="8C8C8C"/>
          <w:sz w:val="12"/>
        </w:rPr>
        <w:t>cf-art-233-par-2-inc-II</w:t>
      </w:r>
    </w:p>
    <w:p>
      <w:pPr>
        <w:ind w:left="288"/>
      </w:pPr>
      <w:r>
        <w:rPr>
          <w:color w:val="1E1E1E"/>
          <w:sz w:val="18"/>
        </w:rPr>
        <w:t>III - entre o terceiro e o décimo segundo exercício financeiro subsequente ao da publicação deste dispositivo, a dedução de que trata o inciso II deste parágrafo será reduzida anualmente na proporção de 10% (dez por cento) de seu valor. (Incluído pela EC n. 127/2022)</w:t>
      </w:r>
    </w:p>
    <w:p>
      <w:pPr>
        <w:ind w:left="288"/>
      </w:pPr>
      <w:r>
        <w:rPr>
          <w:color w:val="8C8C8C"/>
          <w:sz w:val="12"/>
        </w:rPr>
        <w:t>cf-art-233-par-unico</w:t>
      </w:r>
    </w:p>
    <w:p>
      <w:pPr>
        <w:ind w:left="288"/>
      </w:pPr>
      <w:r>
        <w:rPr>
          <w:color w:val="1E1E1E"/>
          <w:sz w:val="18"/>
        </w:rPr>
        <w:t>Art. 54-A. Os seringueiros de que trata o art. 54 deste Ato das Disposições Constitucionais Transitórias receberão indenização, em parcela única, no valor de R$ 25.000,00 (vinte e cinco mil reais). (Incluído pela EC 78/2014) (Vide EC 78/2014) Art. 60-A. Os critérios de distribuição da complementação da União e dos fundos a que se refere o inciso I do caput do art. 212-A da Constituição Federal serão revistos em seu sexto ano de vigência e, a partir dessa primeira revisão, periodicamente, a cada 10 (dez) anos. (Incluído pela EC n. 108/2020)</w:t>
      </w:r>
    </w:p>
    <w:p>
      <w:pPr>
        <w:ind w:left="288"/>
      </w:pPr>
      <w:r>
        <w:rPr>
          <w:color w:val="8C8C8C"/>
          <w:sz w:val="12"/>
        </w:rPr>
        <w:t>cf-art-233-par-6</w:t>
      </w:r>
    </w:p>
    <w:p>
      <w:pPr>
        <w:ind w:left="288"/>
      </w:pPr>
      <w:r>
        <w:rPr>
          <w:color w:val="1E1E1E"/>
          <w:sz w:val="18"/>
        </w:rPr>
        <w:t>Art. 76-A. São desvinculados de órgão, fundo ou despesa, até 31 de dezembro de 2023, 30% (trinta por cento) das receitas dos Estados e do Distrito Federal relativas a impostos, taxas e multas, já instituídos ou que vierem a ser criados até a referida data, seus adicionais e respectivos acréscimos legais, e outras receitas correntes. (Incluído pela EC n. 93/2016)</w:t>
      </w:r>
    </w:p>
    <w:p>
      <w:pPr>
        <w:ind w:left="288"/>
      </w:pPr>
      <w:r>
        <w:rPr>
          <w:color w:val="8C8C8C"/>
          <w:sz w:val="12"/>
        </w:rPr>
        <w:t>cf-art-233-par-unico</w:t>
      </w:r>
    </w:p>
    <w:p>
      <w:pPr>
        <w:ind w:left="288"/>
      </w:pPr>
      <w:r>
        <w:rPr>
          <w:color w:val="1E1E1E"/>
          <w:sz w:val="18"/>
        </w:rPr>
        <w:t>I - recursos destinados ao financiamento das ações e serviços públicos de saúde e à manutenção e desenvolvimento do ensino de que tratam, respectivamente, os incisos II e III do § 2º do art. 198 e o art. 212 da Constituição Federal; (Incluído pela EC n. 93/2016)</w:t>
      </w:r>
    </w:p>
    <w:p>
      <w:pPr>
        <w:ind w:left="288"/>
      </w:pPr>
      <w:r>
        <w:rPr>
          <w:color w:val="8C8C8C"/>
          <w:sz w:val="12"/>
        </w:rPr>
        <w:t>cf-art-233-par-unico-inc-IV</w:t>
      </w:r>
    </w:p>
    <w:p>
      <w:pPr>
        <w:ind w:left="288"/>
      </w:pPr>
      <w:r>
        <w:rPr>
          <w:color w:val="1E1E1E"/>
          <w:sz w:val="18"/>
        </w:rPr>
        <w:t>V - fundos instituídos pelo Poder Judiciário, pelos Tribunais de Contas, pelo Ministério Público, pelas Defensorias Públicas e pelas Procuradorias-Gerais dos Estados e do Distrito Federal. (Incluído pela EC n. 93/2016) Art. 76-B. São desvinculadas de órgão, fundo ou despesa, até 31 de dezembro de 2032, as receitas dos Municípios relativas a impostos, contribuições, taxas e multas, já instituídos ou que vierem a ser criados até a referida data, seus adicionais e respectivos acréscimos legais, e outras receitas correntes, de acordo com os seguintes percentuais: (Redação dada pela EC n. 136/2025)</w:t>
      </w:r>
    </w:p>
    <w:p>
      <w:pPr>
        <w:ind w:left="288"/>
      </w:pPr>
      <w:r>
        <w:rPr>
          <w:color w:val="8C8C8C"/>
          <w:sz w:val="12"/>
        </w:rPr>
        <w:t>cf-art-233-par-1</w:t>
      </w:r>
    </w:p>
    <w:p>
      <w:pPr>
        <w:ind w:left="288"/>
      </w:pPr>
      <w:r>
        <w:rPr>
          <w:color w:val="1E1E1E"/>
          <w:sz w:val="18"/>
        </w:rPr>
        <w:t>I - recursos destinados ao financiamento das ações e serviços públicos de saúde e à manutenção e desenvolvimento do ensino de que tratam, respectivamente, o inciso III do § 2º do art. 198 e o art. 212 da Constituição Federal; (Redação dada pela EC n. 136/2025)</w:t>
      </w:r>
    </w:p>
    <w:p>
      <w:pPr>
        <w:ind w:left="288"/>
      </w:pPr>
      <w:r>
        <w:rPr>
          <w:color w:val="8C8C8C"/>
          <w:sz w:val="12"/>
        </w:rPr>
        <w:t>cf-art-233-par-1-inc-IV</w:t>
      </w:r>
    </w:p>
    <w:p>
      <w:pPr>
        <w:ind w:left="288"/>
      </w:pPr>
      <w:r>
        <w:rPr>
          <w:color w:val="1E1E1E"/>
          <w:sz w:val="18"/>
        </w:rPr>
        <w:t>§ 2º A cada exercício financeiro, até a data de que trata o caput deste artigo, poderão ser utilizados, exclusivamente para o financiamento de políticas públicas locais de saúde, educação e adaptação às mudanças climáticas, os superávits financeiros, verificados no exercício financeiro imediatamente anterior, dos fundos públicos instituídos pelo Poder Executivo municipal. (Incluído pela EC n. 136/2025)</w:t>
      </w:r>
    </w:p>
    <w:p>
      <w:pPr>
        <w:ind w:left="288"/>
      </w:pPr>
      <w:r>
        <w:rPr>
          <w:color w:val="8C8C8C"/>
          <w:sz w:val="12"/>
        </w:rPr>
        <w:t>cf-art-233-par-2</w:t>
      </w:r>
    </w:p>
    <w:p>
      <w:pPr>
        <w:ind w:left="288"/>
      </w:pPr>
      <w:r>
        <w:rPr>
          <w:color w:val="1E1E1E"/>
          <w:sz w:val="18"/>
        </w:rPr>
        <w:t>Art. 92-A. São acrescidos 50 (cinquenta) anos ao prazo fixado pelo art. 92 deste Ato das Disposições Constitucionais Transitórias. (Incluído pela EC 83/2014) Art. 92-B. As leis instituidoras dos tributos previstos nos arts. 156-A e 195, V, da Constituição Federal estabelecerão os mecanismos necessários, com ou sem contrapartidas, para manter, em caráter geral, o diferencial competitivo assegurado à Zona Franca de Manaus pelos arts. 40 e 92-A e às áreas de livre comércio existentes em 31 de maio de 2023, nos níveis estabelecidos pela legislação relativa aos tributos extintos a que se referem os</w:t>
      </w:r>
    </w:p>
    <w:p>
      <w:pPr>
        <w:ind w:left="288"/>
      </w:pPr>
      <w:r>
        <w:rPr>
          <w:color w:val="8C8C8C"/>
          <w:sz w:val="12"/>
        </w:rPr>
        <w:t>cf-art-233-par-1</w:t>
      </w:r>
    </w:p>
    <w:p>
      <w:pPr>
        <w:ind w:left="288"/>
      </w:pPr>
      <w:r>
        <w:rPr>
          <w:color w:val="1E1E1E"/>
          <w:sz w:val="18"/>
        </w:rPr>
        <w:t>§ 2º Lei complementar instituirá Fundo de Sustentabilidade e Diversificação Econômica do Estado do Amazonas, que será constituído com recursos da União e por ela gerido, com a efetiva participação do Estado do Amazonas na definição das políticas, com o objetivo de fomentar o desenvolvimento e a diversificação das atividades econômicas no Estado. (Incluído pela EC n. 132/2023)</w:t>
      </w:r>
    </w:p>
    <w:p>
      <w:pPr>
        <w:ind w:left="288"/>
      </w:pPr>
      <w:r>
        <w:rPr>
          <w:color w:val="8C8C8C"/>
          <w:sz w:val="12"/>
        </w:rPr>
        <w:t>cf-art-233-par-3-inc-I</w:t>
      </w:r>
    </w:p>
    <w:p>
      <w:pPr>
        <w:ind w:left="288"/>
      </w:pPr>
      <w:r>
        <w:rPr>
          <w:color w:val="1E1E1E"/>
          <w:sz w:val="18"/>
        </w:rPr>
        <w:t>II - preverá a possibilidade de utilização dos recursos do Fundo para compensar eventual perda de receita do Estado do Amazonas em função das alterações no sistema tributário decorrentes da instituição dos tributos previstos nos arts. 156-A e 195, V, da Constituição Federal. (Incluído pela EC n. 132/2023) § 4º A União, mediante acordo com o Estado do Amazonas, poderá reduzir o alcance dos instrumentos previstos no § 1º, condicionado ao aporte de recursos adicionais ao Fundo de que trata o § 2º, asseguradas a diversificação das atividades econômicas e a antecedência mínima de 3 (três) anos. (In</w:t>
      </w:r>
    </w:p>
    <w:p>
      <w:pPr>
        <w:ind w:left="288"/>
      </w:pPr>
      <w:r>
        <w:rPr>
          <w:color w:val="8C8C8C"/>
          <w:sz w:val="12"/>
        </w:rPr>
        <w:t>cf-art-233-par-5</w:t>
      </w:r>
    </w:p>
    <w:p>
      <w:pPr>
        <w:ind w:left="288"/>
      </w:pPr>
      <w:r>
        <w:rPr>
          <w:color w:val="1E1E1E"/>
          <w:sz w:val="18"/>
        </w:rPr>
        <w:t>§ 6º Lei complementar instituirá Fundo de Desenvolvimento Sustentável dos Estados da Amazônia Ocidental e do Amapá, que será constituído com recursos da União e por ela gerido, com a efetiva participação desses Estados na definição das políticas, com o objetivo de fomentar o desenvolvimento e a diversificação de suas atividades econômicas. (Incluído pela EC n. 132/2023)</w:t>
      </w:r>
    </w:p>
    <w:p>
      <w:pPr>
        <w:ind w:left="288"/>
      </w:pPr>
      <w:r>
        <w:rPr>
          <w:color w:val="8C8C8C"/>
          <w:sz w:val="12"/>
        </w:rPr>
        <w:t>cf-art-233-par-7</w:t>
      </w:r>
    </w:p>
    <w:p>
      <w:pPr>
        <w:ind w:left="288"/>
      </w:pPr>
      <w:r>
        <w:rPr>
          <w:color w:val="1E1E1E"/>
          <w:sz w:val="18"/>
        </w:rPr>
        <w:t>Art. 95. Os nascidos no estrangeiro entre 7 de junho de 1994 e a data da promulgação desta Emenda Constitucional, filhos de pai brasileiro ou mãe brasileira, poderão ser registrados em repartição diplomática ou consular brasileira competente ou em ofício de registro, se vierem a residir na República Federativa do Brasil. (Incluído pela EC n. 54/2007) Art. 96. Ficam convalidados os atos de criação, fusão, incorporação e desmembramento de Municípios, cuja lei tenha sido publicada até 31 de dezembro de 2006, atendidos os requisitos estabelecidos na legislação do respectivo Estado à época de sua c</w:t>
      </w:r>
    </w:p>
    <w:p>
      <w:pPr>
        <w:ind w:left="288"/>
      </w:pPr>
      <w:r>
        <w:rPr>
          <w:color w:val="8C8C8C"/>
          <w:sz w:val="12"/>
        </w:rPr>
        <w:t>cf-art-233-par-7</w:t>
      </w:r>
      <w:r>
        <w:rPr>
          <w:color w:val="003CA0"/>
          <w:sz w:val="12"/>
        </w:rPr>
        <w:t xml:space="preserve"> | ADPF 819</w:t>
      </w:r>
      <w:r>
        <w:rPr>
          <w:color w:val="003CA0"/>
          <w:sz w:val="12"/>
        </w:rPr>
        <w:t xml:space="preserve"> | rel. Roberto Barroso</w:t>
      </w:r>
    </w:p>
    <w:p>
      <w:pPr>
        <w:ind w:left="288"/>
      </w:pPr>
      <w:r>
        <w:rPr>
          <w:color w:val="1E1E1E"/>
          <w:sz w:val="18"/>
        </w:rPr>
        <w:t>Pendente a edição de legislação federal que assinale o prazo dentro do qual será permitida a criação e alteração de municípios, são inconstitucionais, por violação do § 4º do art. 18 da Constituição, na redação que lhe foi dada pela EC 15/1996, os regramentos estaduais que porventura disciplinem a matéria.</w:t>
        <w:br/>
        <w:t>[ADPF 819, rel. min. Roberto Barroso, red. do ac. min. Gilmar Mendes, j. 9-10-2023, P, DJE de 9-1-2024.] Com o advento da EC 57/2008, foram convalidados os atos de criação de Municípios cuja lei tenha sido publicada até 31-12-2006, atendidos os requisitos na legislação do respectivo Estado à</w:t>
      </w:r>
    </w:p>
    <w:p>
      <w:pPr>
        <w:ind w:left="288"/>
      </w:pPr>
      <w:r>
        <w:rPr>
          <w:b/>
          <w:color w:val="003CA0"/>
          <w:sz w:val="16"/>
        </w:rPr>
        <w:t>[RE 614.384, rel. min. Dias Toffoli, j. 2-5-2022, P, DJE de 12-5-2022, Tema 559, com mérito julgado.]</w:t>
      </w:r>
    </w:p>
    <w:p>
      <w:pPr>
        <w:ind w:left="288"/>
      </w:pPr>
      <w:r>
        <w:rPr>
          <w:color w:val="8C8C8C"/>
          <w:sz w:val="12"/>
        </w:rPr>
        <w:t>cf-art-233-par-7</w:t>
      </w:r>
      <w:r>
        <w:rPr>
          <w:color w:val="003CA0"/>
          <w:sz w:val="12"/>
        </w:rPr>
        <w:t xml:space="preserve"> | RE 1.171.699</w:t>
      </w:r>
      <w:r>
        <w:rPr>
          <w:color w:val="003CA0"/>
          <w:sz w:val="12"/>
        </w:rPr>
        <w:t xml:space="preserve"> | rel. Carmen Lúcia</w:t>
      </w:r>
    </w:p>
    <w:p>
      <w:pPr>
        <w:ind w:left="288"/>
      </w:pPr>
      <w:r>
        <w:rPr>
          <w:color w:val="1E1E1E"/>
          <w:sz w:val="18"/>
        </w:rPr>
        <w:t>Declaração de inconstitucionalidade da alteração dos limites intermunicipais por ausência de observância do § 4º do art. 18 da Constituição da República. A exigência da realização de plebiscito, como se determina no § 4º do art. 18 da Constituição da República, não foi afastada pelo art. 96 do ato das disposições constitucionais transitórias, introduzido pela emenda constitucional 57/2008, sendo ilegítimo o município ocupante para cobrar o imposto sobre a propriedade predial e territorial urbana – IPTU nos territórios indevidamente incorporados.</w:t>
      </w:r>
    </w:p>
    <w:p>
      <w:pPr>
        <w:ind w:left="288"/>
      </w:pPr>
      <w:r>
        <w:rPr>
          <w:b/>
          <w:color w:val="003CA0"/>
          <w:sz w:val="16"/>
        </w:rPr>
        <w:t>[RE 1.171.699, rel. min. Carmen Lúcia, j. 29-11-2019, P, DJE de 13-3-2020, Tema 400, com mérito julgado.]</w:t>
      </w:r>
    </w:p>
    <w:p>
      <w:pPr>
        <w:ind w:left="288"/>
      </w:pPr>
      <w:r>
        <w:rPr>
          <w:color w:val="8C8C8C"/>
          <w:sz w:val="12"/>
        </w:rPr>
        <w:t>cf-art-233-par-7</w:t>
      </w:r>
    </w:p>
    <w:p>
      <w:pPr>
        <w:ind w:left="288"/>
      </w:pPr>
      <w:r>
        <w:rPr>
          <w:color w:val="1E1E1E"/>
          <w:sz w:val="18"/>
        </w:rPr>
        <w:t xml:space="preserve">Art. 97. Até que seja editada a lei complementar de que trata o § 15 do art. 100 da Constituição Federal, os Estados, o Distrito Federal e os Municípios que, na data de publicação desta Emenda Constitucional, estejam em mora na quitação de precatórios vencidos, relativos às suas administrações direta e indireta, inclusive os emitidos durante o período de vigência do regime especial instituído por este artigo, farão esses pagamentos de acordo com as normas a seguir estabelecidas, sendo inaplicável o disposto no art. 100 desta Constituição Federal, exceto em seus §§ 2º, 3º, 9º, 10, 11, 12, 13 e </w:t>
      </w:r>
    </w:p>
    <w:p>
      <w:pPr>
        <w:ind w:left="288"/>
      </w:pPr>
      <w:r>
        <w:rPr>
          <w:color w:val="8C8C8C"/>
          <w:sz w:val="12"/>
        </w:rPr>
        <w:t>cf-art-233-par-7</w:t>
      </w:r>
      <w:r>
        <w:rPr>
          <w:color w:val="003CA0"/>
          <w:sz w:val="12"/>
        </w:rPr>
        <w:t xml:space="preserve"> | ADI 4.357</w:t>
      </w:r>
      <w:r>
        <w:rPr>
          <w:color w:val="003CA0"/>
          <w:sz w:val="12"/>
        </w:rPr>
        <w:t xml:space="preserve"> | rel. Luiz Fux</w:t>
      </w:r>
    </w:p>
    <w:p>
      <w:pPr>
        <w:ind w:left="288"/>
      </w:pPr>
      <w:r>
        <w:rPr>
          <w:color w:val="1E1E1E"/>
          <w:sz w:val="18"/>
        </w:rPr>
        <w:t>Regime de execução da Fazenda Pública mediante precatório. EC 62/2009. Existência de razões de segurança jurídica que justificam a manutenção temporária do regime especial nos termos em que decidido pelo Plenário do STF. (...) In casu, modulam-se os efeitos das decisões declaratórias de inconstitucionalidade proferidas nas ADI 4.357 e ADI 4.425 para manter a vigência do regime especial de pagamento de precatórios instituído pela EC 62/2009 por cinco exercícios financeiros a contar de 1º de janeiro de 2016.</w:t>
      </w:r>
    </w:p>
    <w:p>
      <w:pPr>
        <w:ind w:left="288"/>
      </w:pPr>
      <w:r>
        <w:rPr>
          <w:b/>
          <w:color w:val="003CA0"/>
          <w:sz w:val="16"/>
        </w:rPr>
        <w:t>[ADI 4.425 QO, rel. min. Luiz Fux, j. 25-3-2015, P, DJE de 4-8-2015.]</w:t>
      </w:r>
    </w:p>
    <w:p>
      <w:pPr>
        <w:ind w:left="288"/>
      </w:pPr>
      <w:r>
        <w:rPr>
          <w:color w:val="8C8C8C"/>
          <w:sz w:val="12"/>
        </w:rPr>
        <w:t>cf-art-233-par-7</w:t>
      </w:r>
      <w:r>
        <w:rPr>
          <w:color w:val="003CA0"/>
          <w:sz w:val="12"/>
        </w:rPr>
        <w:t xml:space="preserve"> | ADI 4.425</w:t>
      </w:r>
    </w:p>
    <w:p>
      <w:pPr>
        <w:ind w:left="288"/>
      </w:pPr>
      <w:r>
        <w:rPr>
          <w:color w:val="1E1E1E"/>
          <w:sz w:val="18"/>
        </w:rPr>
        <w:t>Vide ADI 4.425, red. do ac. min. Luiz Fux, j. 14-3-2013, P, DJE de 19-12-2013 O regime "especial" de pagamento de precatórios para Estados e Municípios criado pela EC 62/2009, ao veicular nova moratória na quitação dos débitos judiciais da Fazenda Pública e ao impor o contingenciamento de recursos para esse fim, viola a cláusula constitucional do Estado de Direito (CF, art. 1º, caput), o princípio da separação de Poderes (CF, art. 2º), o postulado da isonomia (CF, art. 5º), a garantia do acesso à justiça e a efetividade da tutela jurisdicional (CF, art. 5º, XXXV), o direito adquirido e à coisa</w:t>
      </w:r>
    </w:p>
    <w:p>
      <w:pPr>
        <w:ind w:left="288"/>
      </w:pPr>
      <w:r>
        <w:rPr>
          <w:b/>
          <w:color w:val="003CA0"/>
          <w:sz w:val="16"/>
        </w:rPr>
        <w:t>[ADI 4.425, red. do ac. min. Luiz Fux, j. 14-3-2013, P, DJE de 19-12-2013.]</w:t>
      </w:r>
    </w:p>
    <w:p>
      <w:pPr>
        <w:ind w:left="288"/>
      </w:pPr>
      <w:r>
        <w:rPr>
          <w:color w:val="8C8C8C"/>
          <w:sz w:val="12"/>
        </w:rPr>
        <w:t>cf-art-233-par-7</w:t>
      </w:r>
      <w:r>
        <w:rPr>
          <w:color w:val="003CA0"/>
          <w:sz w:val="12"/>
        </w:rPr>
        <w:t xml:space="preserve"> | ADI 4.425</w:t>
      </w:r>
      <w:r>
        <w:rPr>
          <w:color w:val="003CA0"/>
          <w:sz w:val="12"/>
        </w:rPr>
        <w:t xml:space="preserve"> | rel. Luiz Fux</w:t>
      </w:r>
    </w:p>
    <w:p>
      <w:pPr>
        <w:ind w:left="288"/>
      </w:pPr>
      <w:r>
        <w:rPr>
          <w:color w:val="1E1E1E"/>
          <w:sz w:val="18"/>
        </w:rPr>
        <w:t>Vide ADI 4.425 QO, rel. min. Luiz Fux, j. 25-3-2015, P, DJE de 4-8-2015</w:t>
      </w:r>
    </w:p>
    <w:p>
      <w:pPr>
        <w:ind w:left="144"/>
      </w:pPr>
      <w:r>
        <w:rPr>
          <w:b/>
          <w:color w:val="B45A00"/>
          <w:sz w:val="16"/>
        </w:rPr>
        <w:t>REPERCUSSAO GERAL</w:t>
      </w:r>
    </w:p>
    <w:p>
      <w:pPr>
        <w:ind w:left="288"/>
      </w:pPr>
      <w:r>
        <w:rPr>
          <w:color w:val="8C8C8C"/>
          <w:sz w:val="12"/>
        </w:rPr>
        <w:t>cf-art-233-par-7</w:t>
      </w:r>
      <w:r>
        <w:rPr>
          <w:color w:val="003CA0"/>
          <w:sz w:val="12"/>
        </w:rPr>
        <w:t xml:space="preserve"> | RE 659.172</w:t>
      </w:r>
      <w:r>
        <w:rPr>
          <w:color w:val="003CA0"/>
          <w:sz w:val="12"/>
        </w:rPr>
        <w:t xml:space="preserve"> | rel. Dias Toffoli</w:t>
      </w:r>
    </w:p>
    <w:p>
      <w:pPr>
        <w:ind w:left="288"/>
      </w:pPr>
      <w:r>
        <w:rPr>
          <w:color w:val="1E1E1E"/>
          <w:sz w:val="18"/>
        </w:rPr>
        <w:t>Regime especial de precatórios da EC nº 62/2009. Artigo 97 do ADCT. Inconstitucionalidade reconhecida pelo STF. Questão de ordem. Efeitos prospectivos. Aplicação a precatórios já expedidos na vigência da EC nº 30/2000 (art. 78 do ADCT). (...) “O regime especial de precatórios trazidos pela EC nº 62/09 aplica-se aos precatórios expedidos anteriormente a sua promulgação, observados a declaração de inconstitucionalidade parcial quando do julgamento da ADI nº 4.425 e os efeitos prospectivos do julgado”.</w:t>
        <w:br/>
        <w:t>[RE 659.172, rel. min. Dias Toffoli, j. 25-9-2023, P, DJE de 30-10-2023, Tema 1.224, com mérito</w:t>
      </w:r>
    </w:p>
    <w:p>
      <w:pPr>
        <w:ind w:left="288"/>
      </w:pPr>
      <w:r>
        <w:rPr>
          <w:color w:val="8C8C8C"/>
          <w:sz w:val="12"/>
        </w:rPr>
        <w:t>cf-art-233-par-1-inc-I</w:t>
      </w:r>
    </w:p>
    <w:p>
      <w:pPr>
        <w:ind w:left="288"/>
      </w:pPr>
      <w:r>
        <w:rPr>
          <w:color w:val="1E1E1E"/>
          <w:sz w:val="18"/>
        </w:rPr>
        <w:t>II - pela adoção do regime especial pelo prazo de até 15 (quinze) anos, caso em que o percentual a ser depositado na conta especial a que se refere o § 2º deste artigo corresponderá, anualmente, ao saldo total dos precatórios devidos, acrescido do índice oficial de remuneração básica da caderneta de poupança e de juros simples no mesmo percentual de juros incidentes sobre a caderneta de poupança para fins de compensação da mora, excluída a incidência de juros compensatórios, diminuído das amortizações e dividido pelo número de anos restantes no regime especial de pagamento. (Incluído pela EC 6</w:t>
      </w:r>
    </w:p>
    <w:p>
      <w:pPr>
        <w:ind w:left="144"/>
      </w:pPr>
      <w:r>
        <w:rPr>
          <w:b/>
          <w:color w:val="B45A00"/>
          <w:sz w:val="16"/>
        </w:rPr>
        <w:t>CONTROLE CONCENTRADO</w:t>
      </w:r>
    </w:p>
    <w:p>
      <w:pPr>
        <w:ind w:left="288"/>
      </w:pPr>
      <w:r>
        <w:rPr>
          <w:color w:val="8C8C8C"/>
          <w:sz w:val="12"/>
        </w:rPr>
        <w:t>cf-art-233-par-1-inc-I</w:t>
      </w:r>
      <w:r>
        <w:rPr>
          <w:color w:val="003CA0"/>
          <w:sz w:val="12"/>
        </w:rPr>
        <w:t xml:space="preserve"> | ADI 4.425</w:t>
      </w:r>
      <w:r>
        <w:rPr>
          <w:color w:val="003CA0"/>
          <w:sz w:val="12"/>
        </w:rPr>
        <w:t xml:space="preserve"> | rel. Luiz Fux</w:t>
      </w:r>
    </w:p>
    <w:p>
      <w:pPr>
        <w:ind w:left="288"/>
      </w:pPr>
      <w:r>
        <w:rPr>
          <w:color w:val="1E1E1E"/>
          <w:sz w:val="18"/>
        </w:rPr>
        <w:t xml:space="preserve">A atualização monetária dos débitos fazendários inscritos em precatórios segundo o índice oficial de remuneração da caderneta de poupança viola o direito fundamental de propriedade (CF, art. 5º, XXII), na medida em que é manifestamente incapaz de preservar o valor real do crédito de que é titular o cidadão. A inflação, fenômeno tipicamente econômico-monetário, mostra-se insuscetível de captação apriorística (ex ante), de modo que o meio escolhido pelo legislador constituinte (remuneração da caderneta de poupança) é inidôneo a promover o fim a que se destina (traduzir a inflação do período). A </w:t>
      </w:r>
    </w:p>
    <w:p>
      <w:pPr>
        <w:ind w:left="288"/>
      </w:pPr>
      <w:r>
        <w:rPr>
          <w:b/>
          <w:color w:val="003CA0"/>
          <w:sz w:val="16"/>
        </w:rPr>
        <w:t>[ADI 4.425, red. do ac. min. Luiz Fux, j. 14-3-2013, P, DJE de 19-12-2013.]</w:t>
        <w:br/>
        <w:t>Vide RE 870.947, rel. min. Luiz Fux, j. 20-9-2017, P, DJE de 20-11-2017, Tema 810</w:t>
      </w:r>
    </w:p>
    <w:p>
      <w:pPr>
        <w:ind w:left="288"/>
      </w:pPr>
      <w:r>
        <w:rPr>
          <w:color w:val="8C8C8C"/>
          <w:sz w:val="12"/>
        </w:rPr>
        <w:t>cf-art-233-par-1-inc-I</w:t>
      </w:r>
      <w:r>
        <w:rPr>
          <w:color w:val="003CA0"/>
          <w:sz w:val="12"/>
        </w:rPr>
        <w:t xml:space="preserve"> | ADI 4.425</w:t>
      </w:r>
      <w:r>
        <w:rPr>
          <w:color w:val="003CA0"/>
          <w:sz w:val="12"/>
        </w:rPr>
        <w:t xml:space="preserve"> | rel. Luiz Fux</w:t>
      </w:r>
    </w:p>
    <w:p>
      <w:pPr>
        <w:ind w:left="288"/>
      </w:pPr>
      <w:r>
        <w:rPr>
          <w:color w:val="1E1E1E"/>
          <w:sz w:val="18"/>
        </w:rPr>
        <w:t>Vide ADI 4.425 QO, rel. min. Luiz Fux, j. 25-3-2015, P, DJE de 4-8-2015 § 2º Para saldar os precatórios, vencidos e a vencer, pelo regime especial, os Estados, o Distrito Federal e os Municípios devedores depositarão mensalmente, em conta especial criada para tal fim, 1/12 (um doze avos) do valor calculado percentualmente sobre as respectivas receitas correntes líquidas, apuradas no segundo mês anterior ao mês de pagamento, sendo que esse percentual, calculado no momento de opção pelo regime e mantido fixo até o final do prazo a que se refere o § 14 deste artigo, será: (Incluído pela EC 62/200</w:t>
      </w:r>
    </w:p>
    <w:p>
      <w:pPr>
        <w:ind w:left="288"/>
      </w:pPr>
      <w:r>
        <w:rPr>
          <w:color w:val="8C8C8C"/>
          <w:sz w:val="12"/>
        </w:rPr>
        <w:t>cf-art-233-par-1-inc-I</w:t>
      </w:r>
    </w:p>
    <w:p>
      <w:pPr>
        <w:ind w:left="288"/>
      </w:pPr>
      <w:r>
        <w:rPr>
          <w:color w:val="1E1E1E"/>
          <w:sz w:val="18"/>
        </w:rPr>
        <w:t>a) de, no mínimo, 1,5% (um inteiro e cinco décimos por cento), para os Estados das regiões Norte, Nordeste e Centro-Oeste, além do Distrito Federal, ou cujo estoque de precatórios pendentes das suas administrações direta e indireta corresponder a até 35% (trinta e cinco por cento) do total da receita corrente líquida; (Incluída pela EC 62/2009) b) de, no mínimo, 2% (dois por cento), para os Estados das regiões Sul e Sudeste, cujo estoque de precatórios pendentes das suas administrações direta e indireta corresponder a mais de 35% (trinta e cinco por cento) da receita corrente líquida; (Incluíd</w:t>
      </w:r>
    </w:p>
    <w:p>
      <w:pPr>
        <w:ind w:left="288"/>
      </w:pPr>
      <w:r>
        <w:rPr>
          <w:color w:val="8C8C8C"/>
          <w:sz w:val="12"/>
        </w:rPr>
        <w:t>cf-art-233-par-1-inc-II</w:t>
      </w:r>
    </w:p>
    <w:p>
      <w:pPr>
        <w:ind w:left="288"/>
      </w:pPr>
      <w:r>
        <w:rPr>
          <w:color w:val="1E1E1E"/>
          <w:sz w:val="18"/>
        </w:rPr>
        <w:t>a) de, no mínimo, 1% (um por cento), para Municípios das regiões Norte, Nordeste e Centro-Oeste, ou cujo estoque de precatórios pendentes das suas administrações direta e indireta corresponder a até 35% (trinta e cinco por cento) da receita corrente líquida; (Incluída pela EC 62/2009) b) de, no mínimo, 1,5% (um inteiro e cinco décimos por cento), para Municípios das regiões Sul e Sudeste, cujo estoque de precatórios pendentes das suas administrações direta e indireta corresponder a mais de 35 % (trinta e cinco por cento) da receita corrente líquida. (Incluída pela EC 62/2009) § 3º Entende-se c</w:t>
      </w:r>
    </w:p>
    <w:p>
      <w:pPr>
        <w:ind w:left="288"/>
      </w:pPr>
      <w:r>
        <w:rPr>
          <w:color w:val="8C8C8C"/>
          <w:sz w:val="12"/>
        </w:rPr>
        <w:t>cf-art-233-par-1-inc-I</w:t>
      </w:r>
    </w:p>
    <w:p>
      <w:pPr>
        <w:ind w:left="288"/>
      </w:pPr>
      <w:r>
        <w:rPr>
          <w:color w:val="1E1E1E"/>
          <w:sz w:val="18"/>
        </w:rPr>
        <w:t>II - nos Estados, no Distrito Federal e nos Municípios, a contribuição dos servidores para custeio do seu sistema de previdência e assistência social e as receitas provenientes da compensação financeira referida no § 9º do art. 201 da Constituição Federal. (Incluído pela EC 62/2009)</w:t>
      </w:r>
    </w:p>
    <w:p>
      <w:pPr>
        <w:ind w:left="288"/>
      </w:pPr>
      <w:r>
        <w:rPr>
          <w:color w:val="8C8C8C"/>
          <w:sz w:val="12"/>
        </w:rPr>
        <w:t>cf-art-233-par-5</w:t>
      </w:r>
    </w:p>
    <w:p>
      <w:pPr>
        <w:ind w:left="288"/>
      </w:pPr>
      <w:r>
        <w:rPr>
          <w:color w:val="1E1E1E"/>
          <w:sz w:val="18"/>
        </w:rPr>
        <w:t>§ 6º Pelo menos 50% (cinquenta por cento) dos recursos de que tratam os §§ 1º e 2º deste artigo serão utilizados para pagamento de precatórios em ordem cronológica de apresentação, respeitadas as preferências definidas no § 1º, para os requisitórios do mesmo ano e no § 2º do art. 100, para requisitórios de todos os anos. (Incluído pela EC 62/2009)</w:t>
      </w:r>
    </w:p>
    <w:p>
      <w:pPr>
        <w:ind w:left="288"/>
      </w:pPr>
      <w:r>
        <w:rPr>
          <w:color w:val="8C8C8C"/>
          <w:sz w:val="12"/>
        </w:rPr>
        <w:t>cf-art-233-par-8</w:t>
      </w:r>
      <w:r>
        <w:rPr>
          <w:color w:val="003CA0"/>
          <w:sz w:val="12"/>
        </w:rPr>
        <w:t xml:space="preserve"> | ADI 4.425</w:t>
      </w:r>
      <w:r>
        <w:rPr>
          <w:color w:val="003CA0"/>
          <w:sz w:val="12"/>
        </w:rPr>
        <w:t xml:space="preserve"> | rel. Luiz Fux</w:t>
      </w:r>
    </w:p>
    <w:p>
      <w:pPr>
        <w:ind w:left="288"/>
      </w:pPr>
      <w:r>
        <w:rPr>
          <w:color w:val="1E1E1E"/>
          <w:sz w:val="18"/>
        </w:rPr>
        <w:t>Regime de execução da Fazenda Pública mediante precatório. EC 62/2009. Existência de razões de segurança jurídica que justificam a manutenção temporária do regime especial nos termos em que decidido pelo Plenário do STF. (...) Quanto às formas alternativas de pagamento previstas no regime especial: (i) consideram-se válidas as compensações, os leilões e os pagamentos à vista por ordem crescente de crédito previstos na EC 62/2009, desde que realizados até 25-3-2015, data a partir da qual não será possível a quitação de precatórios por tais modalidades; (ii) fica mantida a possibilidade de reali</w:t>
      </w:r>
    </w:p>
    <w:p>
      <w:pPr>
        <w:ind w:left="288"/>
      </w:pPr>
      <w:r>
        <w:rPr>
          <w:b/>
          <w:color w:val="003CA0"/>
          <w:sz w:val="16"/>
        </w:rPr>
        <w:t>[ADI 4.425 QO, rel. min. Luiz Fux, j. 25-3-2015, P, DJE de 4-8-2015.]</w:t>
      </w:r>
    </w:p>
    <w:p>
      <w:pPr>
        <w:ind w:left="288"/>
      </w:pPr>
      <w:r>
        <w:rPr>
          <w:color w:val="8C8C8C"/>
          <w:sz w:val="12"/>
        </w:rPr>
        <w:t>cf-art-233-par-8</w:t>
      </w:r>
      <w:r>
        <w:rPr>
          <w:color w:val="003CA0"/>
          <w:sz w:val="12"/>
        </w:rPr>
        <w:t xml:space="preserve"> | ADI 4.425</w:t>
      </w:r>
      <w:r>
        <w:rPr>
          <w:color w:val="003CA0"/>
          <w:sz w:val="12"/>
        </w:rPr>
        <w:t xml:space="preserve"> | rel. Luiz Fux</w:t>
      </w:r>
    </w:p>
    <w:p>
      <w:pPr>
        <w:ind w:left="288"/>
      </w:pPr>
      <w:r>
        <w:rPr>
          <w:color w:val="1E1E1E"/>
          <w:sz w:val="18"/>
        </w:rPr>
        <w:t>Vide ADI 4.425, rel. p/ o ac. min. Luiz Fux, j. 14-3-2013, P, DJE de 19-12-2013</w:t>
      </w:r>
    </w:p>
    <w:p>
      <w:pPr>
        <w:ind w:left="288"/>
      </w:pPr>
      <w:r>
        <w:rPr>
          <w:color w:val="8C8C8C"/>
          <w:sz w:val="12"/>
        </w:rPr>
        <w:t>cf-art-233-par-8-inc-II</w:t>
      </w:r>
    </w:p>
    <w:p>
      <w:pPr>
        <w:ind w:left="288"/>
      </w:pPr>
      <w:r>
        <w:rPr>
          <w:color w:val="1E1E1E"/>
          <w:sz w:val="18"/>
        </w:rPr>
        <w:t>III - destinados a pagamento por acordo direto com os credores, na forma estabelecida por lei própria da entidade devedora, que poderá prever criação e forma de funcionamento de câmara de conciliação. (Incluído pela EC 62/2009)</w:t>
      </w:r>
    </w:p>
    <w:p>
      <w:pPr>
        <w:ind w:left="288"/>
      </w:pPr>
      <w:r>
        <w:rPr>
          <w:color w:val="8C8C8C"/>
          <w:sz w:val="12"/>
        </w:rPr>
        <w:t>cf-art-233-par-9-inc-I</w:t>
      </w:r>
    </w:p>
    <w:p>
      <w:pPr>
        <w:ind w:left="288"/>
      </w:pPr>
      <w:r>
        <w:rPr>
          <w:color w:val="1E1E1E"/>
          <w:sz w:val="18"/>
        </w:rPr>
        <w:t>II - admitirão a habilitação de precatórios, ou parcela de cada precatório indicada pelo seu detentor, em relação aos quais não esteja pendente, no âmbito do Poder Judiciário, recurso ou impugnação de qualquer natureza, permitida por iniciativa do Poder Executivo a compensação com débitos líquidos e certos, inscritos ou não em dívida ativa e constituídos contra devedor originário pela Fazenda Pública devedora até a data da expedição do precatório, ressalvados aqueles cuja exigibilidade esteja suspensa nos termos da legislação, ou que já tenham sido objeto de abatimento nos termos do § 9º do ar</w:t>
      </w:r>
    </w:p>
    <w:p>
      <w:pPr>
        <w:ind w:left="288"/>
      </w:pPr>
      <w:r>
        <w:rPr>
          <w:color w:val="8C8C8C"/>
          <w:sz w:val="12"/>
        </w:rPr>
        <w:t>cf-art-233-par-9-inc-VI</w:t>
      </w:r>
    </w:p>
    <w:p>
      <w:pPr>
        <w:ind w:left="288"/>
      </w:pPr>
      <w:r>
        <w:rPr>
          <w:color w:val="1E1E1E"/>
          <w:sz w:val="18"/>
        </w:rPr>
        <w:t>VII - ocorrerão na modalidade deságio, associado ao maior volume ofertado cumulado ou não com o maior percentual de deságio, pelo maior percentual de deságio, podendo ser fixado valor máximo por credor, ou por outro critério a ser definido em edital; (Incluído pela EC 62/2009)</w:t>
      </w:r>
    </w:p>
    <w:p>
      <w:pPr>
        <w:ind w:left="288"/>
      </w:pPr>
      <w:r>
        <w:rPr>
          <w:color w:val="8C8C8C"/>
          <w:sz w:val="12"/>
        </w:rPr>
        <w:t>cf-art-233-par-9-inc-IX</w:t>
      </w:r>
    </w:p>
    <w:p>
      <w:pPr>
        <w:ind w:left="288"/>
      </w:pPr>
      <w:r>
        <w:rPr>
          <w:color w:val="1E1E1E"/>
          <w:sz w:val="18"/>
        </w:rPr>
        <w:t>§ 10. No caso de não liberação tempestiva dos recursos de que tratam o inciso II do § 1º e os §§ 2º e 6º deste artigo: (Incluído pela EC 62/2009)</w:t>
      </w:r>
    </w:p>
    <w:p>
      <w:pPr>
        <w:ind w:left="288"/>
      </w:pPr>
      <w:r>
        <w:rPr>
          <w:color w:val="8C8C8C"/>
          <w:sz w:val="12"/>
        </w:rPr>
        <w:t>cf-art-233-par-9-inc-IX</w:t>
      </w:r>
      <w:r>
        <w:rPr>
          <w:color w:val="003CA0"/>
          <w:sz w:val="12"/>
        </w:rPr>
        <w:t xml:space="preserve"> | ADI 4.357</w:t>
      </w:r>
      <w:r>
        <w:rPr>
          <w:color w:val="003CA0"/>
          <w:sz w:val="12"/>
        </w:rPr>
        <w:t xml:space="preserve"> | rel. Luiz Fux</w:t>
      </w:r>
    </w:p>
    <w:p>
      <w:pPr>
        <w:ind w:left="288"/>
      </w:pPr>
      <w:r>
        <w:rPr>
          <w:color w:val="1E1E1E"/>
          <w:sz w:val="18"/>
        </w:rPr>
        <w:t>Regime de execução da Fazenda Pública mediante precatório. EC 62/2009. Existência de razões de segurança jurídica que justificam a manutenção temporária do regime especial nos termos em que decidido pelo Plenário do STF. (...) In casu, modulam-se os efeitos das decisões declaratórias de inconstitucionalidade proferidas nas ADI 4.357 e ADI 4.425 para manter a vigência do regime especial de pagamento de precatórios instituído pela EC 62/2009 por cinco exercícios financeiros a contar de 1º de janeiro de 2016. (...) Durante o período fixado no item 2 acima, ficam mantidas (i) a vinculação de perce</w:t>
      </w:r>
    </w:p>
    <w:p>
      <w:pPr>
        <w:ind w:left="288"/>
      </w:pPr>
      <w:r>
        <w:rPr>
          <w:b/>
          <w:color w:val="003CA0"/>
          <w:sz w:val="16"/>
        </w:rPr>
        <w:t>[ADI 4.425 QO, rel. min. Luiz Fux, j. 25-3-2015, P, DJE de 4-8-2015.]</w:t>
      </w:r>
    </w:p>
    <w:p>
      <w:pPr>
        <w:ind w:left="288"/>
      </w:pPr>
      <w:r>
        <w:rPr>
          <w:color w:val="8C8C8C"/>
          <w:sz w:val="12"/>
        </w:rPr>
        <w:t>cf-art-233-par-9-inc-IX</w:t>
      </w:r>
      <w:r>
        <w:rPr>
          <w:color w:val="003CA0"/>
          <w:sz w:val="12"/>
        </w:rPr>
        <w:t xml:space="preserve"> | ADI 4.425</w:t>
      </w:r>
    </w:p>
    <w:p>
      <w:pPr>
        <w:ind w:left="288"/>
      </w:pPr>
      <w:r>
        <w:rPr>
          <w:color w:val="1E1E1E"/>
          <w:sz w:val="18"/>
        </w:rPr>
        <w:t>Vide ADI 4.425, red. do ac. min. Luiz Fux, j. 14-3-2013, P, DJE de 19-12-2013 I - haverá o sequestro de quantia nas contas de Estados, Distrito Federal e Municípios devedores, por ordem do Presidente do Tribunal referido no § 4º, até o limite do valor não liberado; (Incluído pela EC 62/2009) II - constituir-se-á, alternativamente, por ordem do Presidente do Tribunal requerido, em favor dos credores de precatórios, contra Estados, Distrito Federal e Municípios devedores, direito líquido e certo, autoaplicável e independentemente de regulamentação, à compensação automática com débitos líquidos l</w:t>
      </w:r>
    </w:p>
    <w:p>
      <w:pPr>
        <w:ind w:left="288"/>
      </w:pPr>
      <w:r>
        <w:rPr>
          <w:color w:val="8C8C8C"/>
          <w:sz w:val="12"/>
        </w:rPr>
        <w:t>cf-art-233-par-9-inc-IV-ali-b</w:t>
      </w:r>
    </w:p>
    <w:p>
      <w:pPr>
        <w:ind w:left="288"/>
      </w:pPr>
      <w:r>
        <w:rPr>
          <w:color w:val="1E1E1E"/>
          <w:sz w:val="18"/>
        </w:rPr>
        <w:t>V - a União reterá os repasses relativos ao Fundo de Participação dos Estados e do Distrito Federal e ao Fundo de Participação dos Municípios, e os depositará nas contas especiais referidas no § 1º, devendo sua utilização obedecer ao que prescreve o § 5º, ambos deste artigo. (Incluído pela EC 62/2009) § 11. No caso de precatórios relativos a diversos credores, em litisconsórcio, admite-se o desmembramento do valor, realizado pelo Tribunal de origem do precatório, por credor, e, por este, a habilitação do valor total a que tem direito, não se aplicando, neste caso, a regra do § 3º do art. 100 d</w:t>
      </w:r>
    </w:p>
    <w:p>
      <w:pPr>
        <w:ind w:left="288"/>
      </w:pPr>
      <w:r>
        <w:rPr>
          <w:color w:val="8C8C8C"/>
          <w:sz w:val="12"/>
        </w:rPr>
        <w:t>cf-art-233-par-9-inc-IV-ali-b</w:t>
      </w:r>
      <w:r>
        <w:rPr>
          <w:color w:val="003CA0"/>
          <w:sz w:val="12"/>
        </w:rPr>
        <w:t xml:space="preserve"> | ADI 5.100</w:t>
      </w:r>
      <w:r>
        <w:rPr>
          <w:color w:val="003CA0"/>
          <w:sz w:val="12"/>
        </w:rPr>
        <w:t xml:space="preserve"> | rel. Luiz Fux</w:t>
      </w:r>
    </w:p>
    <w:p>
      <w:pPr>
        <w:ind w:left="288"/>
      </w:pPr>
      <w:r>
        <w:rPr>
          <w:color w:val="1E1E1E"/>
          <w:sz w:val="18"/>
        </w:rPr>
        <w:t>O § 12 do artigo 97 do ADCT é regra transitória que não implicou vedação à modificação dos valores fixados para o limite das obrigações de pequeno valor, mas, tão-somente, evitou que eventual omissão dos entes federados em estabelecer limites próprios prejudicasse a implementação do regime especial de pagamento de precatórios.</w:t>
        <w:br/>
        <w:t>[ADI 5.100, rel. min. Luiz Fux, j. 27-4-2020, P, DJE de 14-5-2020.]</w:t>
      </w:r>
    </w:p>
    <w:p>
      <w:pPr>
        <w:ind w:left="288"/>
      </w:pPr>
      <w:r>
        <w:rPr>
          <w:color w:val="8C8C8C"/>
          <w:sz w:val="12"/>
        </w:rPr>
        <w:t>cf-art-233-par-9-inc-II</w:t>
      </w:r>
    </w:p>
    <w:p>
      <w:pPr>
        <w:ind w:left="288"/>
      </w:pPr>
      <w:r>
        <w:rPr>
          <w:color w:val="1E1E1E"/>
          <w:sz w:val="18"/>
        </w:rPr>
        <w:t>§ 13. Enquanto Estados, Distrito Federal e Municípios devedores estiverem realizando pagamentos de precatórios pelo regime especial, não poderão sofrer sequestro de valores, exceto no caso de não liberação tempestiva dos recursos de que tratam o inciso II do § 1º e o § 2º deste artigo. (Incluído pela EC 62/2009) § 14. O regime especial de pagamento de precatório previsto no inciso I do § 1º vigorará enquanto o valor dos precatórios devidos for superior ao valor dos recursos vinculados, nos termos do § 2º, ambos deste artigo, ou pelo prazo fixo de até 15 (quinze) anos, no caso da opção prevista</w:t>
      </w:r>
    </w:p>
    <w:p>
      <w:pPr>
        <w:ind w:left="288"/>
      </w:pPr>
      <w:r>
        <w:rPr>
          <w:color w:val="8C8C8C"/>
          <w:sz w:val="12"/>
        </w:rPr>
        <w:t>cf-art-233-par-2</w:t>
      </w:r>
    </w:p>
    <w:p>
      <w:pPr>
        <w:ind w:left="288"/>
      </w:pPr>
      <w:r>
        <w:rPr>
          <w:color w:val="1E1E1E"/>
          <w:sz w:val="18"/>
        </w:rPr>
        <w:t>Art. 99. Para efeito do disposto no inciso VII do § 2º do art. 155, no caso de operações e prestações que destinem bens e serviços a consumidor final não contribuinte localizado em outro Estado, o imposto correspondente à diferença entre a alíquota interna e a interestadual será partilhado entre os Estados de origem e de destino, na seguinte proporção: (Incluído pela EC 87/2015)</w:t>
      </w:r>
    </w:p>
    <w:p>
      <w:pPr>
        <w:ind w:left="288"/>
      </w:pPr>
      <w:r>
        <w:rPr>
          <w:color w:val="8C8C8C"/>
          <w:sz w:val="12"/>
        </w:rPr>
        <w:t>cf-art-233-par-2-inc-V</w:t>
      </w:r>
    </w:p>
    <w:p>
      <w:pPr>
        <w:ind w:left="288"/>
      </w:pPr>
      <w:r>
        <w:rPr>
          <w:color w:val="1E1E1E"/>
          <w:sz w:val="18"/>
        </w:rPr>
        <w:t>Art. 100. Até que entre em vigor a lei complementar de que trata o inciso II do § 1º do art. 40 da Constituição Federal, os Ministros do Supremo Tribunal Federal, dos Tribunais Superiores e do Tribunal de Contas da União aposentar-se-ão, compulsoriamente, aos 75 (setenta e cinco) anos de idade, nas condições do art. 52 da Constituição Federal. (Incluído pela EC 88/2015)</w:t>
      </w:r>
    </w:p>
    <w:p>
      <w:pPr>
        <w:ind w:left="288"/>
      </w:pPr>
      <w:r>
        <w:rPr>
          <w:color w:val="8C8C8C"/>
          <w:sz w:val="12"/>
        </w:rPr>
        <w:t>cf-art-233-par-2-inc-V</w:t>
      </w:r>
      <w:r>
        <w:rPr>
          <w:color w:val="003CA0"/>
          <w:sz w:val="12"/>
        </w:rPr>
        <w:t xml:space="preserve"> | ADI 5.316</w:t>
      </w:r>
      <w:r>
        <w:rPr>
          <w:color w:val="003CA0"/>
          <w:sz w:val="12"/>
        </w:rPr>
        <w:t xml:space="preserve"> | rel. Luiz Fux</w:t>
      </w:r>
    </w:p>
    <w:p>
      <w:pPr>
        <w:ind w:left="288"/>
      </w:pPr>
      <w:r>
        <w:rPr>
          <w:color w:val="1E1E1E"/>
          <w:sz w:val="18"/>
        </w:rPr>
        <w:t>EC 88/2015. (...) Aposentadoria compulsória aos 75 anos de idade de membros dos tribunais superiores e do TCU. Necessidade de nova sabatina perante o Senado Federal (CRFB, art. 52). Violação à separação dos poderes (CRFB, art. 60, § 4º, III). Ultraje à independência e à imparcialidade do Poder Judiciário. Inconstitucionalidade da expressão "nas condições do art. 52 da Constituição Federal" do art. 100 do ADCT. Sentido da expressão "lei complementar" na nova redação do art. 40, § 1º, II, CRFB. Discussão restrita aos membros do Poder Judiciário. Art. 93, VI, da CRFB. Necessidade de lei complemen</w:t>
      </w:r>
    </w:p>
    <w:p>
      <w:pPr>
        <w:ind w:left="288"/>
      </w:pPr>
      <w:r>
        <w:rPr>
          <w:b/>
          <w:color w:val="003CA0"/>
          <w:sz w:val="16"/>
        </w:rPr>
        <w:t>[ADI 5.316 MC, rel. min. Luiz Fux, j. 21-5-2015, P, DJE de 6-8-2015.]</w:t>
      </w:r>
    </w:p>
    <w:p>
      <w:pPr>
        <w:ind w:left="144"/>
      </w:pPr>
      <w:r>
        <w:rPr>
          <w:b/>
          <w:color w:val="B45A00"/>
          <w:sz w:val="16"/>
        </w:rPr>
        <w:t>JULGADOS CORRELATOS</w:t>
      </w:r>
    </w:p>
    <w:p>
      <w:pPr>
        <w:ind w:left="288"/>
      </w:pPr>
      <w:r>
        <w:rPr>
          <w:color w:val="8C8C8C"/>
          <w:sz w:val="12"/>
        </w:rPr>
        <w:t>cf-art-233-par-2-inc-V</w:t>
      </w:r>
      <w:r>
        <w:rPr>
          <w:color w:val="003CA0"/>
          <w:sz w:val="12"/>
        </w:rPr>
        <w:t xml:space="preserve"> | ADI 5.316</w:t>
      </w:r>
      <w:r>
        <w:rPr>
          <w:color w:val="003CA0"/>
          <w:sz w:val="12"/>
        </w:rPr>
        <w:t xml:space="preserve"> | rel. Dias Toffoli</w:t>
      </w:r>
    </w:p>
    <w:p>
      <w:pPr>
        <w:ind w:left="288"/>
      </w:pPr>
      <w:r>
        <w:rPr>
          <w:color w:val="1E1E1E"/>
          <w:sz w:val="18"/>
        </w:rPr>
        <w:t>Pretensão de reversão de aposentadoria compulsória de membro septuagenário do MPU, aposentado compulsoriamente antes do advento da LC 152/2015. A singularidade do instituto da reversão, prevista na Seção VIII do Capítulo I do Título II da Lei 8.112/1990, não se presta para satisfazer a pretensão de retorno à atividade de servidores já aposentados compulsoriamente. (...) A mudança de parâmetro etário trazida pela EC 88/2015 não retira a condição de ato jurídico perfeito de aposentação compulsória, levada a efeito em momento pretérito. (...) Não há falar em afronta ao princípio constitucional da</w:t>
      </w:r>
    </w:p>
    <w:p>
      <w:pPr>
        <w:ind w:left="288"/>
      </w:pPr>
      <w:r>
        <w:rPr>
          <w:color w:val="8C8C8C"/>
          <w:sz w:val="12"/>
        </w:rPr>
        <w:t>cf-art-233-par-2-inc-I</w:t>
      </w:r>
    </w:p>
    <w:p>
      <w:pPr>
        <w:ind w:left="288"/>
      </w:pPr>
      <w:r>
        <w:rPr>
          <w:color w:val="1E1E1E"/>
          <w:sz w:val="18"/>
        </w:rPr>
        <w:t>II - nos Estados, no Distrito Federal e nos Municípios, a contribuição dos servidores para custeio de seu sistema de previdência e assistência social e as receitas provenientes da compensação financeira referida no § 9º do art. 201 da Constituição Federal. (Incluído pela EC 94/2016)</w:t>
      </w:r>
    </w:p>
    <w:p>
      <w:pPr>
        <w:ind w:left="288"/>
      </w:pPr>
      <w:r>
        <w:rPr>
          <w:color w:val="8C8C8C"/>
          <w:sz w:val="12"/>
        </w:rPr>
        <w:t>cf-art-233-par-2</w:t>
      </w:r>
    </w:p>
    <w:p>
      <w:pPr>
        <w:ind w:left="288"/>
      </w:pPr>
      <w:r>
        <w:rPr>
          <w:color w:val="1E1E1E"/>
          <w:sz w:val="18"/>
        </w:rPr>
        <w:t>I - até 75% (setenta e cinco por cento) dos depósitos judiciais e dos depósitos administrativos em dinheiro referentes a processos judiciais ou administrativos, tributários ou não tributários, nos quais sejam parte os Estados, o Distrito Federal ou os Municípios, e as respectivas autarquias, fundações e empresas estatais dependentes, mediante a instituição de fundo garantidor em montante equivalente a 1/3 (um terço) dos recursos levantados, constituído pela parcela restante dos depósitos judiciais e remunerado pela taxa referencial do Sistema Especial de Liquidação e de Custódia (Selic) para t</w:t>
      </w:r>
    </w:p>
    <w:p>
      <w:pPr>
        <w:ind w:left="144"/>
      </w:pPr>
      <w:r>
        <w:rPr>
          <w:b/>
          <w:color w:val="B45A00"/>
          <w:sz w:val="16"/>
        </w:rPr>
        <w:t>CONTROLE CONCENTRADO</w:t>
      </w:r>
    </w:p>
    <w:p>
      <w:pPr>
        <w:ind w:left="288"/>
      </w:pPr>
      <w:r>
        <w:rPr>
          <w:color w:val="8C8C8C"/>
          <w:sz w:val="12"/>
        </w:rPr>
        <w:t>cf-art-233-par-2</w:t>
      </w:r>
      <w:r>
        <w:rPr>
          <w:color w:val="003CA0"/>
          <w:sz w:val="12"/>
        </w:rPr>
        <w:t xml:space="preserve"> | ADI 5.679</w:t>
      </w:r>
      <w:r>
        <w:rPr>
          <w:color w:val="003CA0"/>
          <w:sz w:val="12"/>
        </w:rPr>
        <w:t xml:space="preserve"> | rel. Roberto Barroso</w:t>
      </w:r>
    </w:p>
    <w:p>
      <w:pPr>
        <w:ind w:left="288"/>
      </w:pPr>
      <w:r>
        <w:rPr>
          <w:color w:val="1E1E1E"/>
          <w:sz w:val="18"/>
        </w:rPr>
        <w:t>“Observadas rigorosamente as exigências normativas, não ofende a Constituição a possibilidade de uso de depósitos judiciais para o pagamento de precatórios em atraso, tal como previsto na EC nº 94/2016”.</w:t>
        <w:br/>
        <w:t>[ADI 5.679, rel. min. Roberto Barroso, j. 2-10-2023, P, DJE de 18-10-2023.] II - até 30% (trinta por cento) dos demais depósitos judiciais da localidade sob jurisdição do respectivo Tribunal de Justiça, mediante a instituição de fundo garantidor em montante equivalente aos recursos levantados, constituído pela parcela restante dos depósitos judiciais e remunerado pela taxa referencial do Siste</w:t>
      </w:r>
    </w:p>
    <w:p>
      <w:pPr>
        <w:ind w:left="288"/>
      </w:pPr>
      <w:r>
        <w:rPr>
          <w:color w:val="8C8C8C"/>
          <w:sz w:val="12"/>
        </w:rPr>
        <w:t>cf-art-233-par-2</w:t>
      </w:r>
      <w:r>
        <w:rPr>
          <w:color w:val="003CA0"/>
          <w:sz w:val="12"/>
        </w:rPr>
        <w:t xml:space="preserve"> | ADI 5.679</w:t>
      </w:r>
      <w:r>
        <w:rPr>
          <w:color w:val="003CA0"/>
          <w:sz w:val="12"/>
        </w:rPr>
        <w:t xml:space="preserve"> | rel. Roberto Barroso</w:t>
      </w:r>
    </w:p>
    <w:p>
      <w:pPr>
        <w:ind w:left="288"/>
      </w:pPr>
      <w:r>
        <w:rPr>
          <w:color w:val="1E1E1E"/>
          <w:sz w:val="18"/>
        </w:rPr>
        <w:t>“Observadas rigorosamente as exigências normativas, não ofende a Constituição a possibilidade de uso de depósitos judiciais para o pagamento de precatórios em atraso, tal como previsto na EC nº 94/2016”.</w:t>
        <w:br/>
        <w:t>[ADI 5.679, rel. min. Roberto Barroso, j. 2-10-2023, P, DJE de 18-10-2023.]</w:t>
      </w:r>
    </w:p>
    <w:p>
      <w:pPr>
        <w:ind w:left="288"/>
      </w:pPr>
      <w:r>
        <w:rPr>
          <w:color w:val="8C8C8C"/>
          <w:sz w:val="12"/>
        </w:rPr>
        <w:t>cf-art-233-par-2-ali-a</w:t>
      </w:r>
    </w:p>
    <w:p>
      <w:pPr>
        <w:ind w:left="288"/>
      </w:pPr>
      <w:r>
        <w:rPr>
          <w:color w:val="1E1E1E"/>
          <w:sz w:val="18"/>
        </w:rPr>
        <w:t>b) no caso dos Estados, 50% (cinquenta por cento) desses recursos ao próprio Estado e 50% (cinquenta por cento) aos respectivos Municípios, conforme a circunscrição judiciária onde estão depositados os recursos, e, se houver mais de um Município na mesma circunscrição judiciária, os recursos serão rateados entre os Municípios concorrentes, proporcionalmente às respectivas populações, utilizado como referência o último levantamento censitário ou a mais recente estimativa populacional da Fundação Instituto Brasileiro de Geografia e Estatística (IBGE); (Redação da EC 99/2017) III - empréstimos, e</w:t>
      </w:r>
    </w:p>
    <w:p>
      <w:pPr>
        <w:ind w:left="288"/>
      </w:pPr>
      <w:r>
        <w:rPr>
          <w:color w:val="8C8C8C"/>
          <w:sz w:val="12"/>
        </w:rPr>
        <w:t>cf-art-233-par-4-inc-IV</w:t>
      </w:r>
    </w:p>
    <w:p>
      <w:pPr>
        <w:ind w:left="288"/>
      </w:pPr>
      <w:r>
        <w:rPr>
          <w:color w:val="1E1E1E"/>
          <w:sz w:val="18"/>
        </w:rPr>
        <w:t>§ 5º Os empréstimos de que trata o inciso III do § 2º deste artigo poderão ser destinados, por meio de ato do Poder Executivo, exclusivamente ao pagamento de precatórios por acordo direto com os credores, na forma do disposto no inciso III do § 8º do art. 97 deste Ato das Disposições Constitucionais Transitórias. (Incluído pela EC n. 113/2021)</w:t>
      </w:r>
    </w:p>
    <w:p>
      <w:pPr>
        <w:ind w:left="288"/>
      </w:pPr>
      <w:r>
        <w:rPr>
          <w:color w:val="8C8C8C"/>
          <w:sz w:val="12"/>
        </w:rPr>
        <w:t>cf-art-233-par-6</w:t>
      </w:r>
    </w:p>
    <w:p>
      <w:pPr>
        <w:ind w:left="288"/>
      </w:pPr>
      <w:r>
        <w:rPr>
          <w:color w:val="1E1E1E"/>
          <w:sz w:val="18"/>
        </w:rPr>
        <w:t>Art. 102. Enquanto viger o regime especial previsto nesta Emenda Constitucional, pelo menos 50% (cinquenta por cento) dos recursos que, nos termos do art. 101 deste Ato das Disposições Constitucionais Transitórias, forem destinados ao pagamento dos precatórios em mora serão utilizados no pagamento segundo a ordem cronológica de apresentação, respeitadas as preferências dos créditos alimentares, e, nessas, as relativas à idade, ao estado de saúde e à deficiência, nos termos do § 2º do art. 100 da Constituição Federal, sobre todos os demais créditos de todos os anos. (Incluído pela EC 94/2016) §</w:t>
      </w:r>
    </w:p>
    <w:p>
      <w:pPr>
        <w:ind w:left="144"/>
      </w:pPr>
      <w:r>
        <w:rPr>
          <w:b/>
          <w:color w:val="B45A00"/>
          <w:sz w:val="16"/>
        </w:rPr>
        <w:t>JULGADOS CORRELATOS</w:t>
      </w:r>
    </w:p>
    <w:p>
      <w:pPr>
        <w:ind w:left="288"/>
      </w:pPr>
      <w:r>
        <w:rPr>
          <w:color w:val="8C8C8C"/>
          <w:sz w:val="12"/>
        </w:rPr>
        <w:t>cf-art-233-par-6</w:t>
      </w:r>
      <w:r>
        <w:rPr>
          <w:color w:val="003CA0"/>
          <w:sz w:val="12"/>
        </w:rPr>
        <w:t xml:space="preserve"> | MS 36.035</w:t>
      </w:r>
      <w:r>
        <w:rPr>
          <w:color w:val="003CA0"/>
          <w:sz w:val="12"/>
        </w:rPr>
        <w:t xml:space="preserve"> | rel. Alexandre de Moraes</w:t>
      </w:r>
    </w:p>
    <w:p>
      <w:pPr>
        <w:ind w:left="288"/>
      </w:pPr>
      <w:r>
        <w:rPr>
          <w:color w:val="1E1E1E"/>
          <w:sz w:val="18"/>
        </w:rPr>
        <w:t>O sequestro de valores, previsto no art. 104 do ADCT, somente se justifica se realizado tempestivamente, é dizer, contemporaneamente ao atraso no repasse, porque objetiva justamente garantir o cumprimento do plano homologado, e não se transformar em uma espécie de “medida executiva de crédito” a todo tempo. Assim, sempre que surgir novo plano, composto dos valores totais devidos, ou seja, já considerando os passivos remanescentes dos anos anteriores, não há mais falar na possibilidade de sequestro de valores referentes a planos anteriores, mas apenas do plano em vigência.</w:t>
      </w:r>
    </w:p>
    <w:p>
      <w:pPr>
        <w:ind w:left="288"/>
      </w:pPr>
      <w:r>
        <w:rPr>
          <w:b/>
          <w:color w:val="003CA0"/>
          <w:sz w:val="16"/>
        </w:rPr>
        <w:t>[MS 36.035 AgR, rel. min. Alexandre de Moraes, j. 30-8-2021, 1ª T, DJE de 21-9-2021.]</w:t>
      </w:r>
    </w:p>
    <w:p>
      <w:pPr>
        <w:ind w:left="288"/>
      </w:pPr>
      <w:r>
        <w:rPr>
          <w:color w:val="8C8C8C"/>
          <w:sz w:val="12"/>
        </w:rPr>
        <w:t>cf-art-233-par-6-inc-I</w:t>
      </w:r>
      <w:r>
        <w:rPr>
          <w:color w:val="003CA0"/>
          <w:sz w:val="12"/>
        </w:rPr>
        <w:t xml:space="preserve"> | RCL 39.655</w:t>
      </w:r>
      <w:r>
        <w:rPr>
          <w:color w:val="003CA0"/>
          <w:sz w:val="12"/>
        </w:rPr>
        <w:t xml:space="preserve"> | rel. Roberto Barroso</w:t>
      </w:r>
    </w:p>
    <w:p>
      <w:pPr>
        <w:ind w:left="288"/>
      </w:pPr>
      <w:r>
        <w:rPr>
          <w:color w:val="1E1E1E"/>
          <w:sz w:val="18"/>
        </w:rPr>
        <w:t>A autorização constitucional para o sequestro de verbas públicas, prevista no art. 104, caput e inc. I, do ADCT, não pode atingir verbas de fundos públicos cuja remessa ao ente municipal se vincula ao atendimento de determinada finalidade constitucional (Min. Alexandre de Moraes, Rcl 39.655).</w:t>
        <w:br/>
        <w:t>[Rcl 60.293 MC-REF, rel. min. Roberto Barroso, j. 8-8-2023, 1ª T, DJE de 14-8-2023.]</w:t>
      </w:r>
    </w:p>
    <w:p>
      <w:pPr>
        <w:ind w:left="288"/>
      </w:pPr>
      <w:r>
        <w:rPr>
          <w:color w:val="8C8C8C"/>
          <w:sz w:val="12"/>
        </w:rPr>
        <w:t>cf-art-233-par-6-inc-II</w:t>
      </w:r>
    </w:p>
    <w:p>
      <w:pPr>
        <w:ind w:left="288"/>
      </w:pPr>
      <w:r>
        <w:rPr>
          <w:color w:val="1E1E1E"/>
          <w:sz w:val="18"/>
        </w:rPr>
        <w:t>III - a União reterá os recursos referentes aos repasses ao Fundo de Participação dos Estados e do Distrito Federal e ao Fundo de Participação dos Municípios e os depositará na conta especial referida no art. 101 deste Ato das Disposições Constitucionais Transitórias, para utilização como nele previsto; (Incluído pela EC 94/2016) IV - o Comitê Gestor do Imposto sobre Bens e Serviços reterá os repasses previstos no § 2º do art. 158 da Constituição Federal e os depositará na conta especial referida no art. 101 deste Ato das Disposições Constitucionais Transitórias, para utilização como nele prev</w:t>
      </w:r>
    </w:p>
    <w:p>
      <w:pPr>
        <w:ind w:left="288"/>
      </w:pPr>
      <w:r>
        <w:rPr>
          <w:color w:val="8C8C8C"/>
          <w:sz w:val="12"/>
        </w:rPr>
        <w:t>cf-art-233-par-3</w:t>
      </w:r>
    </w:p>
    <w:p>
      <w:pPr>
        <w:ind w:left="288"/>
      </w:pPr>
      <w:r>
        <w:rPr>
          <w:color w:val="1E1E1E"/>
          <w:sz w:val="18"/>
        </w:rPr>
        <w:t>Art. 106. (Revogado pela EC n. 126/2022) Art. 107. (Revogado pela EC n. 126/2022)</w:t>
      </w:r>
    </w:p>
    <w:p>
      <w:pPr>
        <w:ind w:left="288"/>
      </w:pPr>
      <w:r>
        <w:rPr>
          <w:color w:val="8C8C8C"/>
          <w:sz w:val="12"/>
        </w:rPr>
        <w:t>cf-art-233-par-6-inc-VI</w:t>
      </w:r>
    </w:p>
    <w:p>
      <w:pPr>
        <w:ind w:left="288"/>
      </w:pPr>
      <w:r>
        <w:rPr>
          <w:color w:val="1E1E1E"/>
          <w:sz w:val="18"/>
        </w:rPr>
        <w:t>§ 6º-A (Revogado pela EC n. 126/2022)</w:t>
      </w:r>
    </w:p>
    <w:p>
      <w:pPr>
        <w:ind w:left="288"/>
      </w:pPr>
      <w:r>
        <w:rPr>
          <w:color w:val="8C8C8C"/>
          <w:sz w:val="12"/>
        </w:rPr>
        <w:t>cf-art-233-par-6-inc-III</w:t>
      </w:r>
    </w:p>
    <w:p>
      <w:pPr>
        <w:ind w:left="288"/>
      </w:pPr>
      <w:r>
        <w:rPr>
          <w:color w:val="1E1E1E"/>
          <w:sz w:val="18"/>
        </w:rPr>
        <w:t>§ 6º-B (Revogado pela EC n. 126/2022) § 6º-C (Revogado pela EC n. 126/2022)</w:t>
      </w:r>
    </w:p>
    <w:p>
      <w:pPr>
        <w:ind w:left="288"/>
      </w:pPr>
      <w:r>
        <w:rPr>
          <w:color w:val="8C8C8C"/>
          <w:sz w:val="12"/>
        </w:rPr>
        <w:t>cf-art-233-par-9</w:t>
      </w:r>
    </w:p>
    <w:p>
      <w:pPr>
        <w:ind w:left="288"/>
      </w:pPr>
      <w:r>
        <w:rPr>
          <w:color w:val="1E1E1E"/>
          <w:sz w:val="18"/>
        </w:rPr>
        <w:t>§ 10. (Revogado pela EC n. 126/2022)</w:t>
      </w:r>
    </w:p>
    <w:p>
      <w:pPr>
        <w:ind w:left="288"/>
      </w:pPr>
      <w:r>
        <w:rPr>
          <w:color w:val="8C8C8C"/>
          <w:sz w:val="12"/>
        </w:rPr>
        <w:t>cf-art-233-par-11</w:t>
      </w:r>
    </w:p>
    <w:p>
      <w:pPr>
        <w:ind w:left="288"/>
      </w:pPr>
      <w:r>
        <w:rPr>
          <w:color w:val="1E1E1E"/>
          <w:sz w:val="18"/>
        </w:rPr>
        <w:t>§ 12. (Revogado pela EC n. 126/2022) § 13. (Revogado pela EC n. 126/2022) § 14. (Revogado pela EC n. 126/2022) Art. 107-A. Até o fim de 2026, fica estabelecido, para cada exercício financeiro, limite para alocação na proposta orçamentária das despesas com pagamentos em virtude de sentença judiciária de que trata o art. 100 da Constituição Federal, equivalente ao valor da despesa paga no exercício de 2016, incluídos os restos a pagar pagos, corrigido, para o exercício de 2017, em 7,2% (sete inteiros e dois décimos por cento) e, para os exercícios posteriores, pela variação do Índice Nacional de</w:t>
      </w:r>
    </w:p>
    <w:p>
      <w:pPr>
        <w:ind w:left="288"/>
      </w:pPr>
      <w:r>
        <w:rPr>
          <w:color w:val="8C8C8C"/>
          <w:sz w:val="12"/>
        </w:rPr>
        <w:t>cf-art-233-par-2</w:t>
      </w:r>
    </w:p>
    <w:p>
      <w:pPr>
        <w:ind w:left="288"/>
      </w:pPr>
      <w:r>
        <w:rPr>
          <w:color w:val="1E1E1E"/>
          <w:sz w:val="18"/>
        </w:rPr>
        <w:t>§ 3º É facultado ao credor de precatório que não tenha sido pago em razão do disposto neste artigo, além das hipóteses previstas no § 11 do art. 100 da Constituição Federal e sem prejuízo dos procedimentos previstos nos §§ 9º e 21 do referido artigo, optar pelo recebimento, mediante acordos diretos perante Juízos Auxiliares de Conciliação de Pagamento de Condenações Judiciais contra a Fazenda Pública Federal, em parcela única, até o final do exercício seguinte, com renúncia de 40% (quarenta por cento) do valor desse crédito. (Incluído pela EC n. 114/2021)</w:t>
      </w:r>
    </w:p>
    <w:p>
      <w:pPr>
        <w:ind w:left="288"/>
      </w:pPr>
      <w:r>
        <w:rPr>
          <w:color w:val="8C8C8C"/>
          <w:sz w:val="12"/>
        </w:rPr>
        <w:t>cf-art-233-par-8-inc-I</w:t>
      </w:r>
    </w:p>
    <w:p>
      <w:pPr>
        <w:ind w:left="288"/>
      </w:pPr>
      <w:r>
        <w:rPr>
          <w:color w:val="1E1E1E"/>
          <w:sz w:val="18"/>
        </w:rPr>
        <w:t>II - precatórios de natureza alimentícia cujos titulares, originários ou por sucessão hereditária, tenham no mínimo 60 (sessenta) anos de idade, ou sejam portadores de doença grave ou pessoas com deficiência, assim definidos na forma da lei, até o valor equivalente ao triplo do montante fixado em lei como obrigação de pequeno valor; (Incluído pela EC n. 114/2021)</w:t>
      </w:r>
    </w:p>
    <w:p>
      <w:pPr>
        <w:ind w:left="288"/>
      </w:pPr>
      <w:r>
        <w:rPr>
          <w:color w:val="8C8C8C"/>
          <w:sz w:val="12"/>
        </w:rPr>
        <w:t>cf-art-233-par-8-inc-V</w:t>
      </w:r>
    </w:p>
    <w:p>
      <w:pPr>
        <w:ind w:left="288"/>
      </w:pPr>
      <w:r>
        <w:rPr>
          <w:color w:val="1E1E1E"/>
          <w:sz w:val="18"/>
        </w:rPr>
        <w:t>Art. 108.  (Revogado pela EC n. 113/2021)</w:t>
      </w:r>
    </w:p>
    <w:p>
      <w:pPr>
        <w:ind w:left="288"/>
      </w:pPr>
      <w:r>
        <w:rPr>
          <w:color w:val="8C8C8C"/>
          <w:sz w:val="12"/>
        </w:rPr>
        <w:t>cf-art-233-par-unico</w:t>
      </w:r>
    </w:p>
    <w:p>
      <w:pPr>
        <w:ind w:left="288"/>
      </w:pPr>
      <w:r>
        <w:rPr>
          <w:color w:val="1E1E1E"/>
          <w:sz w:val="18"/>
        </w:rPr>
        <w:t>Art. 109. (Revogado pela EC n. 126/2022)</w:t>
      </w:r>
    </w:p>
    <w:p>
      <w:pPr>
        <w:ind w:left="288"/>
      </w:pPr>
      <w:r>
        <w:rPr>
          <w:color w:val="8C8C8C"/>
          <w:sz w:val="12"/>
        </w:rPr>
        <w:t>cf-art-233-par-5</w:t>
      </w:r>
    </w:p>
    <w:p>
      <w:pPr>
        <w:ind w:left="288"/>
      </w:pPr>
      <w:r>
        <w:rPr>
          <w:color w:val="1E1E1E"/>
          <w:sz w:val="18"/>
        </w:rPr>
        <w:t>Art. 110. (Revogado pela EC n. 126/2022)</w:t>
      </w:r>
    </w:p>
    <w:p>
      <w:pPr>
        <w:ind w:left="288"/>
      </w:pPr>
      <w:r>
        <w:rPr>
          <w:color w:val="8C8C8C"/>
          <w:sz w:val="12"/>
        </w:rPr>
        <w:t>cf-art-233-par-5-inc-II</w:t>
      </w:r>
    </w:p>
    <w:p>
      <w:pPr>
        <w:ind w:left="288"/>
      </w:pPr>
      <w:r>
        <w:rPr>
          <w:color w:val="1E1E1E"/>
          <w:sz w:val="18"/>
        </w:rPr>
        <w:t>Art. 111. (Revogado pela EC n. 126/2022) Art. 111-A. (Revogado pela EC n. 126/2022) Art. 112. (Revogado pela EC n. 126/2022)</w:t>
      </w:r>
    </w:p>
    <w:p>
      <w:pPr>
        <w:ind w:left="288"/>
      </w:pPr>
      <w:r>
        <w:rPr>
          <w:color w:val="8C8C8C"/>
          <w:sz w:val="12"/>
        </w:rPr>
        <w:t>cf-art-233-par-5-inc-II</w:t>
      </w:r>
      <w:r>
        <w:rPr>
          <w:color w:val="003CA0"/>
          <w:sz w:val="12"/>
        </w:rPr>
        <w:t xml:space="preserve"> | ADI 7.215</w:t>
      </w:r>
      <w:r>
        <w:rPr>
          <w:color w:val="003CA0"/>
          <w:sz w:val="12"/>
        </w:rPr>
        <w:t xml:space="preserve"> | rel. Nunes Marques</w:t>
      </w:r>
    </w:p>
    <w:p>
      <w:pPr>
        <w:ind w:left="288"/>
      </w:pPr>
      <w:r>
        <w:rPr>
          <w:color w:val="1E1E1E"/>
          <w:sz w:val="18"/>
        </w:rPr>
        <w:t>Art. 113. A proposição legislativa que crie ou altere despesa obrigatória ou renúncia de receita deverá ser acompanhada da estimativa do seu impacto orçamentário e financeiro. (Incluído pela EC 95/2016) Lei n. 5.036/2021 do estado de Rondônia. Decreto n. 26.294/2021. Gratuidade no transporte intermunicipal de passageiros. Pessoas de baixa renda diagnosticadas com câncer. (...) Prévio estudo de impacto econômico-financeiro. Desnecessidade. (...) Não havendo relação direta entre o benefício instituído aos usuários do serviço público e o equilíbrio econômico-financeiro dos contratos de concessão,</w:t>
      </w:r>
    </w:p>
    <w:p>
      <w:pPr>
        <w:ind w:left="288"/>
      </w:pPr>
      <w:r>
        <w:rPr>
          <w:b/>
          <w:color w:val="003CA0"/>
          <w:sz w:val="16"/>
        </w:rPr>
        <w:t>[ADI 7.215, rel. min. Nunes Marques, j. 26.11.2025, P, DJE de 04.12.2025.]</w:t>
      </w:r>
    </w:p>
    <w:p>
      <w:pPr>
        <w:ind w:left="288"/>
      </w:pPr>
      <w:r>
        <w:rPr>
          <w:color w:val="8C8C8C"/>
          <w:sz w:val="12"/>
        </w:rPr>
        <w:t>cf-art-233-par-5-inc-II</w:t>
      </w:r>
      <w:r>
        <w:rPr>
          <w:color w:val="003CA0"/>
          <w:sz w:val="12"/>
        </w:rPr>
        <w:t xml:space="preserve"> | ADI 3.465</w:t>
      </w:r>
      <w:r>
        <w:rPr>
          <w:color w:val="003CA0"/>
          <w:sz w:val="12"/>
        </w:rPr>
        <w:t xml:space="preserve"> | rel. Luís Roberto Barroso</w:t>
      </w:r>
    </w:p>
    <w:p>
      <w:pPr>
        <w:ind w:left="288"/>
      </w:pPr>
      <w:r>
        <w:rPr>
          <w:color w:val="1E1E1E"/>
          <w:sz w:val="18"/>
        </w:rPr>
        <w:t>MP nº 227/04, convertida na Lei nº 11.116/05. (...) Biodiesel. Registro especial. PIS/COFINS. (...) Ação direta da qual se conhece em parte e, quanto a essa parte, julgada parcialmente procedente para dar interpretação conforme à Constituição: (i) ao art. 5º da Lei nº 11.116/2005, no sentido de determinar que (a) eventual elevação da carga tributária deverá respeitar a anterioridade nonagesimal e que, (b) em havendo o aumento da renúncia de receitas, o Poder Executivo deverá elaborar estudo de impacto orçamentário e financeiro; (ii) ao art. 2º, III e § 2º, do mesmo diploma legal, no sentido de</w:t>
      </w:r>
    </w:p>
    <w:p>
      <w:pPr>
        <w:ind w:left="288"/>
      </w:pPr>
      <w:r>
        <w:rPr>
          <w:b/>
          <w:color w:val="003CA0"/>
          <w:sz w:val="16"/>
        </w:rPr>
        <w:t>[ADI 3.465, rel. min. Luís Roberto Barroso, red. do ac. min. Dias Toffoli, j. 29.09.2025, P, DJE de 14.10.2025.]</w:t>
      </w:r>
    </w:p>
    <w:p>
      <w:pPr>
        <w:ind w:left="288"/>
      </w:pPr>
      <w:r>
        <w:rPr>
          <w:color w:val="8C8C8C"/>
          <w:sz w:val="12"/>
        </w:rPr>
        <w:t>cf-art-233-par-5-inc-II</w:t>
      </w:r>
      <w:r>
        <w:rPr>
          <w:color w:val="003CA0"/>
          <w:sz w:val="12"/>
        </w:rPr>
        <w:t xml:space="preserve"> | ADI 7.096</w:t>
      </w:r>
      <w:r>
        <w:rPr>
          <w:color w:val="003CA0"/>
          <w:sz w:val="12"/>
        </w:rPr>
        <w:t xml:space="preserve"> | rel. Gilmar Mendes</w:t>
      </w:r>
    </w:p>
    <w:p>
      <w:pPr>
        <w:ind w:left="288"/>
      </w:pPr>
      <w:r>
        <w:rPr>
          <w:color w:val="1E1E1E"/>
          <w:sz w:val="18"/>
        </w:rPr>
        <w:t>(...) art. 2º da Lei Complementar nº 188/2021, que acrescentou o art. 18-F à Lei Complementar nº 123/2006 (Estatuto Nacional da Microempresa e da Empresa de Pequeno Porte), dispondo sobre o enquadramento de transportadores autônomos de cargas como Microempreendedores Individuais (MEI), no regime do Simples Nacional. (...) O Simples Nacional, ao qual se refere a norma impugnada, constitui regime jurídico próprio e não se confunde com benefício fiscal, razão pela qual não se caracteriza como renúncia de receita apta a atrair a incidência do art. 113 do ADCT ou do art. 14 da LRF.</w:t>
      </w:r>
    </w:p>
    <w:p>
      <w:pPr>
        <w:ind w:left="288"/>
      </w:pPr>
      <w:r>
        <w:rPr>
          <w:b/>
          <w:color w:val="003CA0"/>
          <w:sz w:val="16"/>
        </w:rPr>
        <w:t>[ADI 7.096, rel. min. Gilmar Mendes, j. 09.06.2025, P, DJE de 25.06.2025.]</w:t>
      </w:r>
    </w:p>
    <w:p>
      <w:pPr>
        <w:ind w:left="288"/>
      </w:pPr>
      <w:r>
        <w:rPr>
          <w:color w:val="8C8C8C"/>
          <w:sz w:val="12"/>
        </w:rPr>
        <w:t>cf-art-233-par-5-inc-II</w:t>
      </w:r>
      <w:r>
        <w:rPr>
          <w:color w:val="003CA0"/>
          <w:sz w:val="12"/>
        </w:rPr>
        <w:t xml:space="preserve"> | ADI 7.728</w:t>
      </w:r>
      <w:r>
        <w:rPr>
          <w:color w:val="003CA0"/>
          <w:sz w:val="12"/>
        </w:rPr>
        <w:t xml:space="preserve"> | rel. Alexandre de Moraes</w:t>
      </w:r>
    </w:p>
    <w:p>
      <w:pPr>
        <w:ind w:left="288"/>
      </w:pPr>
      <w:r>
        <w:rPr>
          <w:color w:val="1E1E1E"/>
          <w:sz w:val="18"/>
        </w:rPr>
        <w:t>Lei 1.983/2024 do Estado de Roraima. Isenção de IPVA. Automóveis elétricos, híbridos, híbridos plug-in e a hidrogênio. (...) O regramento estadual, ao expandir as hipóteses de isenção de um tributo estadual sem a prévia, necessária e efetiva mensuração do impacto orçamentário, incorreu em inconstitucionalidade formal.</w:t>
      </w:r>
    </w:p>
    <w:p>
      <w:pPr>
        <w:ind w:left="288"/>
      </w:pPr>
      <w:r>
        <w:rPr>
          <w:b/>
          <w:color w:val="003CA0"/>
          <w:sz w:val="16"/>
        </w:rPr>
        <w:t>[ADI 7.728 MC-REF, rel. min. Alexandre de Moraes, j. 17.02.2025, P, DJE de 21.02.2025.]</w:t>
      </w:r>
    </w:p>
    <w:p>
      <w:pPr>
        <w:ind w:left="144"/>
      </w:pPr>
      <w:r>
        <w:rPr>
          <w:b/>
          <w:color w:val="B45A00"/>
          <w:sz w:val="16"/>
        </w:rPr>
        <w:t>CONTROLE CONCENTRADO</w:t>
      </w:r>
    </w:p>
    <w:p>
      <w:pPr>
        <w:ind w:left="288"/>
      </w:pPr>
      <w:r>
        <w:rPr>
          <w:color w:val="8C8C8C"/>
          <w:sz w:val="12"/>
        </w:rPr>
        <w:t>cf-art-233-par-5-inc-II</w:t>
      </w:r>
      <w:r>
        <w:rPr>
          <w:color w:val="003CA0"/>
          <w:sz w:val="12"/>
        </w:rPr>
        <w:t xml:space="preserve"> | ADI 7.374</w:t>
      </w:r>
      <w:r>
        <w:rPr>
          <w:color w:val="003CA0"/>
          <w:sz w:val="12"/>
        </w:rPr>
        <w:t xml:space="preserve"> | rel. Cármen Lúcia</w:t>
      </w:r>
    </w:p>
    <w:p>
      <w:pPr>
        <w:ind w:left="288"/>
      </w:pPr>
      <w:r>
        <w:rPr>
          <w:color w:val="1E1E1E"/>
          <w:sz w:val="18"/>
        </w:rPr>
        <w:t>Art. 1º da Lei n. 8.895/2021, de Sergipe. (...) A redução de alíquota pela norma impugnada do ICMS sobre as cervejas produzidas com suco concentrado e/ou integral de laranja, diferenciando-as de todas as outras cervejas e das demais bebidas alcoólicas que permanecem submetidas à alíquota de 25% prevista pela al. ‘d’ da mesma norma, sem prévia deliberação pelos Estados e Distrito Federal no Conselho Nacional de Política Fazendária - Confaz, ofende a al. ‘g’ do inc. XII do § 2º do art. 155 da Constituição da República. (...) Ao instituir unilateralmente regime tributário mais favorável, a result</w:t>
      </w:r>
    </w:p>
    <w:p>
      <w:pPr>
        <w:ind w:left="288"/>
      </w:pPr>
      <w:r>
        <w:rPr>
          <w:color w:val="8C8C8C"/>
          <w:sz w:val="12"/>
        </w:rPr>
        <w:t>cf-art-233-par-5-inc-III</w:t>
      </w:r>
    </w:p>
    <w:p>
      <w:pPr>
        <w:ind w:left="288"/>
      </w:pPr>
      <w:r>
        <w:rPr>
          <w:color w:val="1E1E1E"/>
          <w:sz w:val="18"/>
        </w:rPr>
        <w:t>IV – instituição do regime de previdência complementar e adequação do órgão ou entidade gestora do regime próprio de previdência social, nos termos do § 6º do art. 9º da Emenda Constitucional n. 103, de 12 de novembro de 2019. (Incluído pela EC n. 113/2021)</w:t>
      </w:r>
    </w:p>
    <w:p>
      <w:pPr>
        <w:ind w:left="288"/>
      </w:pPr>
      <w:r>
        <w:rPr>
          <w:color w:val="8C8C8C"/>
          <w:sz w:val="12"/>
        </w:rPr>
        <w:t>cf-art-233-par-unico</w:t>
      </w:r>
    </w:p>
    <w:p>
      <w:pPr>
        <w:ind w:left="288"/>
      </w:pPr>
      <w:r>
        <w:rPr>
          <w:color w:val="1E1E1E"/>
          <w:sz w:val="18"/>
        </w:rPr>
        <w:t>§ 1º Ato do Ministério da Previdência Social, no âmbito de suas competências, definirá os critérios para o parcelamento previsto neste artigo, inclusive quanto ao cumprimento do disposto nos incisos I, II, III e IV do caput deste artigo e à adesão ao Programa de Regularidade Previdenciária, que contemplará prazos e condições diferenciados para o cumprimento das exigências do Certificado de Regularidade Previdenciária e para a busca do equilíbrio financeiro e atuarial dos regimes próprios, bem como disponibilizará as informações aos entes federativos subnacionais sobre o montante das dívidas, a</w:t>
      </w:r>
    </w:p>
    <w:p>
      <w:pPr>
        <w:ind w:left="288"/>
      </w:pPr>
      <w:r>
        <w:rPr>
          <w:color w:val="8C8C8C"/>
          <w:sz w:val="12"/>
        </w:rPr>
        <w:t>cf-art-233-par-3</w:t>
      </w:r>
    </w:p>
    <w:p>
      <w:pPr>
        <w:ind w:left="288"/>
      </w:pPr>
      <w:r>
        <w:rPr>
          <w:color w:val="1E1E1E"/>
          <w:sz w:val="18"/>
        </w:rPr>
        <w:t>Art. 116. Fica excepcionalmente autorizado o parcelamento dos débitos decorrentes de contribuições previdenciárias dos Municípios, incluídas suas autarquias e fundações, com o Regime Geral de Previdência Social, com vencimento até 31 de agosto de 2025, ainda que em fase de execução fiscal ajuizada, inclusive os decorrentes do descumprimento de obrigações acessórias e os que tenham sido objeto de parcelamento anterior não integralmente quitado, no prazo máximo de 300 (trezentas) prestações mensais. (Redação dada pela EC n. 136/2025) § 1º Os Municípios que possuam regime próprio de previdência s</w:t>
      </w:r>
    </w:p>
    <w:p>
      <w:pPr>
        <w:ind w:left="288"/>
      </w:pPr>
      <w:r>
        <w:rPr>
          <w:color w:val="8C8C8C"/>
          <w:sz w:val="12"/>
        </w:rPr>
        <w:t>cf-art-233-par-3-inc-I</w:t>
      </w:r>
    </w:p>
    <w:p>
      <w:pPr>
        <w:ind w:left="288"/>
      </w:pPr>
      <w:r>
        <w:rPr>
          <w:color w:val="1E1E1E"/>
          <w:sz w:val="18"/>
        </w:rPr>
        <w:t>II - juros reais de 0% a.a. (zero por cento ao ano) para os Municípios que, em até 18 (dezoito) meses após a promulgação deste inciso, quitarem, no mínimo, 20% (vinte por cento) da dívida de que trata este artigo; (Incluído pela EC n. 136/2025) III - juros reais de 1% a.a. (um por cento ao ano) para os Municípios que, em até 18 (dezoito) meses após a promulgação deste inciso, quitarem, no mínimo, 10% (dez por cento) da dívida consolidada de que trata este artigo; (Incluído pela EC n. 136/2025) IV - juros reais de 2% a.a. (dois por cento ao ano) para os Municípios que, em até 18 (dezoito) meses</w:t>
      </w:r>
    </w:p>
    <w:p>
      <w:pPr>
        <w:ind w:left="288"/>
      </w:pPr>
      <w:r>
        <w:rPr>
          <w:color w:val="8C8C8C"/>
          <w:sz w:val="12"/>
        </w:rPr>
        <w:t>cf-art-233-par-4</w:t>
      </w:r>
    </w:p>
    <w:p>
      <w:pPr>
        <w:ind w:left="288"/>
      </w:pPr>
      <w:r>
        <w:rPr>
          <w:color w:val="1E1E1E"/>
          <w:sz w:val="18"/>
        </w:rPr>
        <w:t>§ 5º A Secretaria Especial da Receita Federal do Brasil e a Procuradoria-Geral da Fazenda Nacional, no âmbito de suas competências, deverão fixar os critérios para o parcelamento previsto neste artigo, bem como disponibilizar as informações aos Municípios sobre o montante das dívidas, as formas de parcelamento, os juros e os encargos incidentes, de modo a possibilitar o acompanhamento da evolução desses débitos. (Incluído pela EC n. 113/2021)</w:t>
      </w:r>
    </w:p>
    <w:p>
      <w:pPr>
        <w:ind w:left="288"/>
      </w:pPr>
      <w:r>
        <w:rPr>
          <w:color w:val="8C8C8C"/>
          <w:sz w:val="12"/>
        </w:rPr>
        <w:t>cf-art-233-par-8</w:t>
      </w:r>
    </w:p>
    <w:p>
      <w:pPr>
        <w:ind w:left="288"/>
      </w:pPr>
      <w:r>
        <w:rPr>
          <w:color w:val="1E1E1E"/>
          <w:sz w:val="18"/>
        </w:rPr>
        <w:t>§ 9º Não serão responsabilizados os Municípios e os respectivos chefes do Poder Executivo que demonstrarem que a inadimplência ocorreu por variações negativas inesperadas e significativas nas receitas ou por incremento nas despesas não decorrentes de decisões próprias do Município ou do respectivo chefe do Poder Executivo. (Incluído pela EC n. 136/2025) § 10. As parcelas a que se refere o caput deste artigo serão equivalentes ao saldo da dívida fracionado em até 300 (trezentas) parcelas ou a 1% (um por cento) da média mensal da receita corrente líquida do Município referente ao ano anterior ao</w:t>
      </w:r>
    </w:p>
    <w:p>
      <w:pPr>
        <w:ind w:left="288"/>
      </w:pPr>
      <w:r>
        <w:rPr>
          <w:color w:val="8C8C8C"/>
          <w:sz w:val="12"/>
        </w:rPr>
        <w:t>cf-art-233-par-8-inc-I</w:t>
      </w:r>
    </w:p>
    <w:p>
      <w:pPr>
        <w:ind w:left="288"/>
      </w:pPr>
      <w:r>
        <w:rPr>
          <w:color w:val="1E1E1E"/>
          <w:sz w:val="18"/>
        </w:rPr>
        <w:t>II - transferência, para a União, de participações societárias em empresas de propriedade do Município, desde que a operação seja autorizada mediante leis específicas da União e do Município; (Incluído pela EC n. 136/2025) III - transferência de bens móveis ou imóveis do Município para a União, desde que haja manifestação de aceite por ambas as partes e a operação seja autorizada mediante lei específica do Município; (Incluído pela EC n. 136/2025)</w:t>
      </w:r>
    </w:p>
    <w:p>
      <w:pPr>
        <w:ind w:left="288"/>
      </w:pPr>
      <w:r>
        <w:rPr>
          <w:color w:val="8C8C8C"/>
          <w:sz w:val="12"/>
        </w:rPr>
        <w:t>cf-art-233-par-8-inc-V</w:t>
      </w:r>
    </w:p>
    <w:p>
      <w:pPr>
        <w:ind w:left="288"/>
      </w:pPr>
      <w:r>
        <w:rPr>
          <w:color w:val="1E1E1E"/>
          <w:sz w:val="18"/>
        </w:rPr>
        <w:t>VI - cessão, para a União, dos recebíveis originados de créditos inscritos na dívida ativa da Fazenda Pública municipal confessados e considerados recuperáveis nos termos da legislação aplicável, nas seguintes condições: (Incluído pela EC n. 136/2025)</w:t>
      </w:r>
    </w:p>
    <w:p>
      <w:pPr>
        <w:ind w:left="288"/>
      </w:pPr>
      <w:r>
        <w:rPr>
          <w:color w:val="8C8C8C"/>
          <w:sz w:val="12"/>
        </w:rPr>
        <w:t>cf-art-233-par-8-inc-V-ali-c</w:t>
      </w:r>
    </w:p>
    <w:p>
      <w:pPr>
        <w:ind w:left="288"/>
      </w:pPr>
      <w:r>
        <w:rPr>
          <w:color w:val="1E1E1E"/>
          <w:sz w:val="18"/>
        </w:rPr>
        <w:t xml:space="preserve">d) os valores dos créditos de que trata este inciso, líquidos do deságio a que se refere a alínea "a" deste inciso, poderão ser utilizados como pagamento da dívida com a União até o limite de 10% (dez por cento) do montante da dívida, e a cessão terá de ser aceita em comum acordo entre a União e o Município cedente; (Incluído pela EC n. 136/2025) e) o Município deverá fornecer todas as informações necessárias à avaliação, pela administração tributária da União, representada pela Procuradoria-Geral da Fazenda Nacional, da carteira de dívida ativa originadora dos direitos cedidos, especialmente </w:t>
      </w:r>
    </w:p>
    <w:p>
      <w:pPr>
        <w:ind w:left="288"/>
      </w:pPr>
      <w:r>
        <w:rPr>
          <w:color w:val="8C8C8C"/>
          <w:sz w:val="12"/>
        </w:rPr>
        <w:t>cf-art-233-par-8-inc-VII</w:t>
      </w:r>
    </w:p>
    <w:p>
      <w:pPr>
        <w:ind w:left="288"/>
      </w:pPr>
      <w:r>
        <w:rPr>
          <w:color w:val="1E1E1E"/>
          <w:sz w:val="18"/>
        </w:rPr>
        <w:t xml:space="preserve">VIII - cessão, para a União, dos recebíveis originados da compensação financeira advinda da exploração de petróleo ou gás natural, de recursos hídricos para fins de geração de energia elétrica ou de recursos minerais em seus respectivos territórios, plataformas continentais, mar territorial ou zona econômica exclusiva, conforme as Leis nºs 7.990, de 28 de dezembro de 1989, e 9.478, de 6 de agosto de 1997, de acordo com definição em ato do Poder Executivo federal. (Incluído pela EC n. 136/2025) Art. 116-A. Fica excepcionalmente autorizado o parcelamento dos débitos decorrentes de contribuições </w:t>
      </w:r>
    </w:p>
    <w:p>
      <w:pPr>
        <w:ind w:left="288"/>
      </w:pPr>
      <w:r>
        <w:rPr>
          <w:color w:val="8C8C8C"/>
          <w:sz w:val="12"/>
        </w:rPr>
        <w:t>cf-art-233-par-unico</w:t>
      </w:r>
    </w:p>
    <w:p>
      <w:pPr>
        <w:ind w:left="288"/>
      </w:pPr>
      <w:r>
        <w:rPr>
          <w:color w:val="1E1E1E"/>
          <w:sz w:val="18"/>
        </w:rPr>
        <w:t>Art. 117. A formalização dos parcelamentos de que tratam os arts. 115, 116 e 116-A deste Ato das Disposições Constitucionais Transitórias deverá ocorrer até 31 de agosto de 2026 e ficará condicionada à autorização de vinculação do Fundo de Participação dos Municípios para fins de pagamento das prestações acordadas nos termos de parcelamento, observada a seguinte ordem de preferência: (Redação dada pela EC n. 136/2025)</w:t>
      </w:r>
    </w:p>
    <w:p>
      <w:pPr>
        <w:ind w:left="288"/>
      </w:pPr>
      <w:r>
        <w:rPr>
          <w:color w:val="8C8C8C"/>
          <w:sz w:val="12"/>
        </w:rPr>
        <w:t>cf-art-233-par-unico-inc-III</w:t>
      </w:r>
    </w:p>
    <w:p>
      <w:pPr>
        <w:ind w:left="288"/>
      </w:pPr>
      <w:r>
        <w:rPr>
          <w:color w:val="1E1E1E"/>
          <w:sz w:val="18"/>
        </w:rPr>
        <w:t>Art. 118. Os limites, as condições, as normas de acesso e os demais requisitos para o atendimento do disposto no parágrafo único do art. 6º e no inciso VI do caput do art. 203 da Constituição Federal serão determinados, na forma da lei e respectivo regulamento, até 31 de dezembro de 2022, dispensada, exclusivamente no exercício de 2022, a observância das limitações legais quanto à criação, à expansão ou ao aperfeiçoamento de ação governamental que acarrete aumento de despesa no referido exercício. (Incluído pela EC n. 114/ 2021) Art. 119. Em decorrência do estado de calamidade pública provocad</w:t>
      </w:r>
    </w:p>
    <w:p>
      <w:pPr>
        <w:ind w:left="288"/>
      </w:pPr>
      <w:r>
        <w:rPr>
          <w:color w:val="8C8C8C"/>
          <w:sz w:val="12"/>
        </w:rPr>
        <w:t>cf-art-233-par-unico-inc-I-ali-a</w:t>
      </w:r>
    </w:p>
    <w:p>
      <w:pPr>
        <w:ind w:left="288"/>
      </w:pPr>
      <w:r>
        <w:rPr>
          <w:color w:val="1E1E1E"/>
          <w:sz w:val="18"/>
        </w:rPr>
        <w:t>b) não serão consideradas para fins de apuração da meta de resultado primário estabelecida no caput do art. 2º da Lei nº 14.194, de 20 de agosto de 2021, e do limite estabelecido para as despesas primárias, conforme disposto no inciso I do caput do art. 107 do Ato das Disposições Constitucionais Transitórias; e (Incluído pela EC n. 123/2022)</w:t>
      </w:r>
    </w:p>
    <w:p>
      <w:pPr>
        <w:ind w:left="288"/>
      </w:pPr>
      <w:r>
        <w:rPr>
          <w:color w:val="8C8C8C"/>
          <w:sz w:val="12"/>
        </w:rPr>
        <w:t>cf-art-233-par-unico-inc-I-ali-c</w:t>
      </w:r>
    </w:p>
    <w:p>
      <w:pPr>
        <w:ind w:left="288"/>
      </w:pPr>
      <w:r>
        <w:rPr>
          <w:color w:val="1E1E1E"/>
          <w:sz w:val="18"/>
        </w:rPr>
        <w:t>II - a abertura do crédito extraordinário para seu atendimento dar-se-á independentemente da observância dos requisitos exigidos no § 3º do art. 167 da Constituição Federal; e (Incluído pela EC n. 123/2022)</w:t>
      </w:r>
    </w:p>
    <w:p>
      <w:pPr>
        <w:ind w:left="288"/>
      </w:pPr>
      <w:r>
        <w:rPr>
          <w:color w:val="8C8C8C"/>
          <w:sz w:val="12"/>
        </w:rPr>
        <w:t>cf-art-233-par-unico-inc-III-ali-b</w:t>
      </w:r>
    </w:p>
    <w:p>
      <w:pPr>
        <w:ind w:left="288"/>
      </w:pPr>
      <w:r>
        <w:rPr>
          <w:color w:val="1E1E1E"/>
          <w:sz w:val="18"/>
        </w:rPr>
        <w:t xml:space="preserve">Art. 121. As contas referentes aos patrimônios acumulados de que trata o § 2º do art. 239 da Constituição Federal cujos recursos não tenham sido reclamados por prazo superior a 20 (vinte) anos serão encerradas após o prazo de 60 (sessenta) dias da publicação de aviso no Diário Oficial da União, ressalvada reivindicação por eventual interessado legítimo dentro do referido prazo. (Incluído pela EC n. 126/2022) Parágrafo único. Os valores referidos no caput deste artigo serão tidos por abandonados, nos termos do inciso III do caput do art. 1.275 da Lei nº 10.406, de 10 de janeiro de 2002 (Código </w:t>
      </w:r>
    </w:p>
    <w:p>
      <w:pPr>
        <w:ind w:left="288"/>
      </w:pPr>
      <w:r>
        <w:rPr>
          <w:color w:val="8C8C8C"/>
          <w:sz w:val="12"/>
        </w:rPr>
        <w:t>cf-art-233-par-unico</w:t>
      </w:r>
    </w:p>
    <w:p>
      <w:pPr>
        <w:ind w:left="288"/>
      </w:pPr>
      <w:r>
        <w:rPr>
          <w:color w:val="1E1E1E"/>
          <w:sz w:val="18"/>
        </w:rPr>
        <w:t>Art. 125. Em 2026, o imposto previsto no art. 156-A será cobrado à alíquota estadual de 0,1% (um décimo por cento), e a contribuição prevista no art. 195, V, ambos da Constituição Federal, será cobrada à alíquota de 0,9% (nove décimos por cento). (Incluído pela EC n. 132/2023) § 1º. O montante recolhido na forma do caput será compensado com o valor devido das contribuições previstas no art. 195, I, "b", e IV, e da contribuição para o Programa de Integração Social a que se refere o art. 239, ambos da Constituição Federal. (Incluído pela EC n. 132/2023)</w:t>
      </w:r>
    </w:p>
    <w:p>
      <w:pPr>
        <w:ind w:left="288"/>
      </w:pPr>
      <w:r>
        <w:rPr>
          <w:color w:val="8C8C8C"/>
          <w:sz w:val="12"/>
        </w:rPr>
        <w:t>cf-art-233-par-4</w:t>
      </w:r>
    </w:p>
    <w:p>
      <w:pPr>
        <w:ind w:left="288"/>
      </w:pPr>
      <w:r>
        <w:rPr>
          <w:color w:val="1E1E1E"/>
          <w:sz w:val="18"/>
        </w:rPr>
        <w:t>Art. 126. A partir de 2027: (Incluído pela EC n. 132/2023)</w:t>
      </w:r>
    </w:p>
    <w:p>
      <w:pPr>
        <w:ind w:left="288"/>
      </w:pPr>
      <w:r>
        <w:rPr>
          <w:color w:val="8C8C8C"/>
          <w:sz w:val="12"/>
        </w:rPr>
        <w:t>cf-art-233-par-4-inc-I-ali-b</w:t>
      </w:r>
    </w:p>
    <w:p>
      <w:pPr>
        <w:ind w:left="288"/>
      </w:pPr>
      <w:r>
        <w:rPr>
          <w:color w:val="1E1E1E"/>
          <w:sz w:val="18"/>
        </w:rPr>
        <w:t>II - serão extintas as contribuições previstas no art. 195, I, "b", e IV, e a contribuição para o Programa de Integração Social de que trata o art. 239, todos da Constituição Federal, desde que instituída a contribuição referida na alínea "a" do inciso I; (Incluído pela EC n. 132/2023)</w:t>
      </w:r>
    </w:p>
    <w:p>
      <w:pPr>
        <w:ind w:left="288"/>
      </w:pPr>
      <w:r>
        <w:rPr>
          <w:color w:val="8C8C8C"/>
          <w:sz w:val="12"/>
        </w:rPr>
        <w:t>cf-art-233-par-4-inc-III</w:t>
      </w:r>
    </w:p>
    <w:p>
      <w:pPr>
        <w:ind w:left="288"/>
      </w:pPr>
      <w:r>
        <w:rPr>
          <w:color w:val="1E1E1E"/>
          <w:sz w:val="18"/>
        </w:rPr>
        <w:t>a) terá suas alíquotas reduzidas a zero, exceto em relação aos produtos que tenham industrialização incentivada na Zona Franca de Manaus, conforme critérios estabelecidos em lei complementar; e (Incluído pela EC n. 132/2023)</w:t>
      </w:r>
    </w:p>
    <w:p>
      <w:pPr>
        <w:ind w:left="288"/>
      </w:pPr>
      <w:r>
        <w:rPr>
          <w:color w:val="8C8C8C"/>
          <w:sz w:val="12"/>
        </w:rPr>
        <w:t>cf-art-233-par-4-inc-III-ali-b</w:t>
      </w:r>
    </w:p>
    <w:p>
      <w:pPr>
        <w:ind w:left="288"/>
      </w:pPr>
      <w:r>
        <w:rPr>
          <w:color w:val="1E1E1E"/>
          <w:sz w:val="18"/>
        </w:rPr>
        <w:t>Art. 127. Em 2027 e 2028, o imposto previsto no art. 156-A da Constituição Federal será cobrado à alíquota estadual de 0,05% (cinco centésimos por cento) e à alíquota municipal de 0,05% (cinco centésimos por cento). (Incluído pela EC n. 132/2023)</w:t>
      </w:r>
    </w:p>
    <w:p>
      <w:pPr>
        <w:ind w:left="288"/>
      </w:pPr>
      <w:r>
        <w:rPr>
          <w:color w:val="8C8C8C"/>
          <w:sz w:val="12"/>
        </w:rPr>
        <w:t>cf-art-233-par-unico</w:t>
      </w:r>
    </w:p>
    <w:p>
      <w:pPr>
        <w:ind w:left="288"/>
      </w:pPr>
      <w:r>
        <w:rPr>
          <w:color w:val="1E1E1E"/>
          <w:sz w:val="18"/>
        </w:rPr>
        <w:t>Art. 128. De 2029 a 2032, as alíquotas dos impostos previstos nos arts. 155, II, e 156, III, da Constituição Federal, serão fixadas nas seguintes proporções das alíquotas fixadas nas respectivas legislações: (Incluído pela EC n. 132/2023)</w:t>
      </w:r>
    </w:p>
    <w:p>
      <w:pPr>
        <w:ind w:left="288"/>
      </w:pPr>
      <w:r>
        <w:rPr>
          <w:color w:val="8C8C8C"/>
          <w:sz w:val="12"/>
        </w:rPr>
        <w:t>cf-art-233-par-3</w:t>
      </w:r>
    </w:p>
    <w:p>
      <w:pPr>
        <w:ind w:left="288"/>
      </w:pPr>
      <w:r>
        <w:rPr>
          <w:color w:val="1E1E1E"/>
          <w:sz w:val="18"/>
        </w:rPr>
        <w:t>Art. 129. Ficam extintos, a partir de 2033, os impostos previstos nos arts. 155, II, e 156, III, da Constituição Federal. (Incluído pela EC n. 132/2023) Art. 130. Resolução do Senado Federal fixará, para todas as esferas federativas, as alíquotas de referência dos tributos previstos nos arts. 156-A e 195, V, da Constituição Federal, observados a forma de cálculo e os limites previstos em lei complementar, de forma a assegurar: (Incluído pela EC n. 132/2023) I - de 2027 a 2033, que a receita da União com a contribuição prevista no art. 195, V, e com o imposto previsto no art. 153, VIII, todos d</w:t>
      </w:r>
    </w:p>
    <w:p>
      <w:pPr>
        <w:ind w:left="288"/>
      </w:pPr>
      <w:r>
        <w:rPr>
          <w:color w:val="8C8C8C"/>
          <w:sz w:val="12"/>
        </w:rPr>
        <w:t>cf-art-233-par-3-inc-II-ali-a</w:t>
      </w:r>
    </w:p>
    <w:p>
      <w:pPr>
        <w:ind w:left="288"/>
      </w:pPr>
      <w:r>
        <w:rPr>
          <w:color w:val="1E1E1E"/>
          <w:sz w:val="18"/>
        </w:rPr>
        <w:t xml:space="preserve">b) das receitas destinadas a fundos estaduais financiados por contribuições estabelecidas como condição à aplicação de diferimento, regime especial ou outro tratamento diferenciado, relativos ao imposto de que trata o art. 155, II, da Constituição Federal, em funcionamento em 30 de abril de 2023, excetuadas as receitas dos fundos mantidas na forma do art. 136 deste Ato das Disposições Constitucionais Transitórias; (Incluída pela EC n. 132/2023) III - de 2029 a 2033, que a receita dos Municípios e do Distrito Federal com o imposto previsto no art. 156-A seja equivalente à redução da receita do </w:t>
      </w:r>
    </w:p>
    <w:p>
      <w:pPr>
        <w:ind w:left="288"/>
      </w:pPr>
      <w:r>
        <w:rPr>
          <w:color w:val="8C8C8C"/>
          <w:sz w:val="12"/>
        </w:rPr>
        <w:t>cf-art-233-par-1</w:t>
      </w:r>
    </w:p>
    <w:p>
      <w:pPr>
        <w:ind w:left="288"/>
      </w:pPr>
      <w:r>
        <w:rPr>
          <w:color w:val="1E1E1E"/>
          <w:sz w:val="18"/>
        </w:rPr>
        <w:t>§ 2º Na fixação das alíquotas de referência, deverão ser considerados os efeitos sobre a arrecadação dos regimes específicos, diferenciados ou favorecidos e de qualquer outro regime que resulte em arrecadação menor do que a que seria obtida com a aplicação da alíquota padrão. (Incluído pela EC n. 132/2023)</w:t>
      </w:r>
    </w:p>
    <w:p>
      <w:pPr>
        <w:ind w:left="288"/>
      </w:pPr>
      <w:r>
        <w:rPr>
          <w:color w:val="8C8C8C"/>
          <w:sz w:val="12"/>
        </w:rPr>
        <w:t>cf-art-233-par-3</w:t>
      </w:r>
    </w:p>
    <w:p>
      <w:pPr>
        <w:ind w:left="288"/>
      </w:pPr>
      <w:r>
        <w:rPr>
          <w:color w:val="1E1E1E"/>
          <w:sz w:val="18"/>
        </w:rPr>
        <w:t>I - Teto de Referência da União: a média da receita no período de 2012 a 2021, apurada como proporção do PIB, do imposto previsto no art. 153, IV, das contribuições previstas no art. 195, I, "b", e IV, da contribuição para o Programa de Integração Social de que trata o art. 239 e do imposto previsto no art. 153, V, sobre operações de seguro, todos da Constituição Federal; (Incluído pela EC n. 132/2023) II - Teto de Referência Total: a média da receita no período de 2012 a 2021, apurada como proporção do PIB, dos impostos previstos nos arts. 153, IV, 155, II e 156, III, das contribuições previs</w:t>
      </w:r>
    </w:p>
    <w:p>
      <w:pPr>
        <w:ind w:left="288"/>
      </w:pPr>
      <w:r>
        <w:rPr>
          <w:color w:val="8C8C8C"/>
          <w:sz w:val="12"/>
        </w:rPr>
        <w:t>cf-art-233-par-9</w:t>
      </w:r>
    </w:p>
    <w:p>
      <w:pPr>
        <w:ind w:left="288"/>
      </w:pPr>
      <w:r>
        <w:rPr>
          <w:color w:val="1E1E1E"/>
          <w:sz w:val="18"/>
        </w:rPr>
        <w:t xml:space="preserve">§ 10. O cálculo das alíquotas a que se refere este artigo será realizado com base em propostas encaminhadas pelo Poder Executivo da União e pelo Comitê Gestor do Imposto sobre Bens e Serviços, que deverão fornecer ao Tribunal de Contas da União todos os subsídios necessários, mediante o compartilhamento de dados e informações, nos termos de lei complementar. (Incluído pela EC n. 132/2023) Art. 131. De 2029 a 2077, o produto da arrecadação dos Estados, do Distrito Federal e dos Municípios com o imposto de que trata o art. 156-A da Constituição Federal será distribuído a esses entes federativos </w:t>
      </w:r>
    </w:p>
    <w:p>
      <w:pPr>
        <w:ind w:left="288"/>
      </w:pPr>
      <w:r>
        <w:rPr>
          <w:color w:val="8C8C8C"/>
          <w:sz w:val="12"/>
        </w:rPr>
        <w:t>cf-art-233-par-3</w:t>
      </w:r>
    </w:p>
    <w:p>
      <w:pPr>
        <w:ind w:left="288"/>
      </w:pPr>
      <w:r>
        <w:rPr>
          <w:color w:val="1E1E1E"/>
          <w:sz w:val="18"/>
        </w:rPr>
        <w:t>§ 4º A parcela do produto da arrecadação do imposto não retida nos termos do § 1º, após a retenção de que trata o art. 132 deste Ato das Disposições Constitucionais Transitórias, será distribuída a cada Estado, ao Distrito Federal e a cada Município de acordo com os critérios da lei complementar de que trata o art. 156-A, § 5º, I, da Constituição Federal, nela computada a variação de alíquota fixada pelo ente em relação à de referência. (Incluído pela EC n. 132/2023)</w:t>
      </w:r>
    </w:p>
    <w:p>
      <w:pPr>
        <w:ind w:left="288"/>
      </w:pPr>
      <w:r>
        <w:rPr>
          <w:color w:val="8C8C8C"/>
          <w:sz w:val="12"/>
        </w:rPr>
        <w:t>cf-art-233-par-5-inc-I</w:t>
      </w:r>
    </w:p>
    <w:p>
      <w:pPr>
        <w:ind w:left="288"/>
      </w:pPr>
      <w:r>
        <w:rPr>
          <w:color w:val="1E1E1E"/>
          <w:sz w:val="18"/>
        </w:rPr>
        <w:t xml:space="preserve">a) para os Estados, o percentual de que trata o art. 212-A, II, será aplicado proporcionalmente à razão entre a soma dos valores distribuídos a cada ente nos termos do § 2º, I, "a", e do § 4º, e a soma dos valores distribuídos nos termos do § 2º, I e do § 4º; (Incluída pela EC n. 132/2023) b) para o Distrito Federal, o percentual de que trata o art. 212-A, II, será aplicado proporcionalmente à razão entre a soma dos valores distribuídos nos termos do § 2º, II, "a", e do § 4º, e a soma dos valores distribuídos nos termos do § 2º, II, e do § 4º, considerada, em ambas as somas, somente a parcela </w:t>
      </w:r>
    </w:p>
    <w:p>
      <w:pPr>
        <w:ind w:left="288"/>
      </w:pPr>
      <w:r>
        <w:rPr>
          <w:color w:val="8C8C8C"/>
          <w:sz w:val="12"/>
        </w:rPr>
        <w:t>cf-art-233-par-3</w:t>
      </w:r>
    </w:p>
    <w:p>
      <w:pPr>
        <w:ind w:left="288"/>
      </w:pPr>
      <w:r>
        <w:rPr>
          <w:color w:val="1E1E1E"/>
          <w:sz w:val="18"/>
        </w:rPr>
        <w:t>Art. 133. Os tributos de que tratam os arts. 153, IV, 155, II, 156, III, e 195, I, "b", e IV, e a contribuição para o Programa de Integração Social a que se refere o art. 239 não integrarão a base de cálculo do imposto de que trata o art. 156-A e da contribuição de que trata o art. 195, V, todos da Constituição Federal. (Incluído pela EC n. 132/2023) Art. 134. Os saldos credores relativos ao imposto previsto no art. 155, II, da Constituição Federal, existentes ao final de 2032 serão aproveitados pelos contribuintes na forma deste artigo e nos termos de lei complementar. (Incluído pela EC n. 13</w:t>
      </w:r>
    </w:p>
    <w:p>
      <w:pPr>
        <w:ind w:left="288"/>
      </w:pPr>
      <w:r>
        <w:rPr>
          <w:color w:val="8C8C8C"/>
          <w:sz w:val="12"/>
        </w:rPr>
        <w:t>cf-art-233-par-1-inc-I</w:t>
      </w:r>
    </w:p>
    <w:p>
      <w:pPr>
        <w:ind w:left="288"/>
      </w:pPr>
      <w:r>
        <w:rPr>
          <w:color w:val="1E1E1E"/>
          <w:sz w:val="18"/>
        </w:rPr>
        <w:t>II - na ausência de resposta ao pedido de homologação no prazo a que se refere o inciso I deste parágrafo, os respectivos saldos credores serão considerados homologados. (Incluído pela EC n. 132/2023)</w:t>
      </w:r>
    </w:p>
    <w:p>
      <w:pPr>
        <w:ind w:left="288"/>
      </w:pPr>
      <w:r>
        <w:rPr>
          <w:color w:val="8C8C8C"/>
          <w:sz w:val="12"/>
        </w:rPr>
        <w:t>cf-art-233-par-3</w:t>
      </w:r>
    </w:p>
    <w:p>
      <w:pPr>
        <w:ind w:left="288"/>
      </w:pPr>
      <w:r>
        <w:rPr>
          <w:color w:val="1E1E1E"/>
          <w:sz w:val="18"/>
        </w:rPr>
        <w:t>I - pelo prazo remanescente, apurado nos termos do art. 20, § 5º, da Lei Complementar nº 87, de 13 de setembro de 1996, para os créditos relativos à entrada de mercadorias destinadas ao ativo permanente; (Incluído pela EC n. 132/2023)</w:t>
      </w:r>
    </w:p>
    <w:p>
      <w:pPr>
        <w:ind w:left="288"/>
      </w:pPr>
      <w:r>
        <w:rPr>
          <w:color w:val="8C8C8C"/>
          <w:sz w:val="12"/>
        </w:rPr>
        <w:t>cf-art-233-par-3-inc-II</w:t>
      </w:r>
    </w:p>
    <w:p>
      <w:pPr>
        <w:ind w:left="288"/>
      </w:pPr>
      <w:r>
        <w:rPr>
          <w:color w:val="1E1E1E"/>
          <w:sz w:val="18"/>
        </w:rPr>
        <w:t>§ 4º O Comitê Gestor do Imposto sobre Bens e Serviços deduzirá do produto da arrecadação do imposto previsto no art. 156-A devido ao respectivo ente federativo o valor compensado na forma do § 3º, o qual não comporá base de cálculo para fins do disposto nos arts. 158, IV, 198, § 2º, 204, parágrafo único, 212, 212-A, II, e 216, § 6º, todos da Constituição Federal. (Incluído pela EC n. 132/2023)</w:t>
      </w:r>
    </w:p>
    <w:p>
      <w:pPr>
        <w:ind w:left="288"/>
      </w:pPr>
      <w:r>
        <w:rPr>
          <w:color w:val="8C8C8C"/>
          <w:sz w:val="12"/>
        </w:rPr>
        <w:t>cf-art-233-par-6-inc-II</w:t>
      </w:r>
    </w:p>
    <w:p>
      <w:pPr>
        <w:ind w:left="288"/>
      </w:pPr>
      <w:r>
        <w:rPr>
          <w:color w:val="1E1E1E"/>
          <w:sz w:val="18"/>
        </w:rPr>
        <w:t>III - a forma pela qual o crédito de que trata este artigo poderá ser ressarcido ao contribuinte pelo Comitê Gestor do Imposto sobre Bens e Serviços, caso não seja possível compensar o valor da parcela nos termos do § 3º. (Incluído pela EC n. 132/2023) Art. 135. Lei complementar disciplinará a forma de utilização dos créditos, inclusive presumidos, do imposto de que trata o art. 153, IV, e das contribuições de que tratam o art. 195, I, "b", e IV, e da contribuição para o Programa de Integração Social a que se refere o art. 239, todos da Constituição Federal, não apropriados ou não utilizados a</w:t>
      </w:r>
    </w:p>
    <w:p>
      <w:pPr>
        <w:ind w:left="288"/>
      </w:pPr>
      <w:r>
        <w:rPr>
          <w:color w:val="8C8C8C"/>
          <w:sz w:val="12"/>
        </w:rPr>
        <w:t>cf-art-233-par-unico</w:t>
      </w:r>
    </w:p>
    <w:p>
      <w:pPr>
        <w:ind w:left="288"/>
      </w:pPr>
      <w:r>
        <w:rPr>
          <w:color w:val="1E1E1E"/>
          <w:sz w:val="18"/>
        </w:rPr>
        <w:t>Art. 137. Os saldos financeiros dos recursos transferidos pelo Fundo Nacional de Saúde e pelo Fundo Nacional de Assistência Social, para enfrentamento da pandemia de Covid-19 no período de 2020 a 2022, aos fundos de saúde e assistência social estaduais, municipais e do Distrito Federal poderão ser aplicados, até 31 de dezembro de 2024, para o custeio de ações e serviços públicos de saúde e de assistência social, observadas, respectivamente, as diretrizes emanadas do Sistema Único de Saúde e do Sistema Único de Assistência Social. (Incluído pela EC n. 132/2023) Art. 138. Até 2032, qualquer cria</w:t>
      </w:r>
    </w:p>
    <w:p>
      <w:r>
        <w:rPr>
          <w:b/>
          <w:color w:val="003366"/>
          <w:sz w:val="20"/>
        </w:rPr>
        <w:t>Art. 234 É vedado à União, direta ou indiretamente, assumir, em decorrência da c</w:t>
      </w:r>
    </w:p>
    <w:p>
      <w:r>
        <w:rPr>
          <w:b/>
          <w:color w:val="003366"/>
          <w:sz w:val="20"/>
        </w:rPr>
        <w:t>Art. 235 Nos dez primeiros anos da criação de Estado, serão observadas as seguin</w:t>
      </w:r>
      <w:r>
        <w:rPr>
          <w:color w:val="8C8C8C"/>
          <w:sz w:val="14"/>
        </w:rPr>
        <w:t xml:space="preserve">  [12 decisoes]</w:t>
      </w:r>
    </w:p>
    <w:p>
      <w:pPr>
        <w:ind w:left="144"/>
      </w:pPr>
      <w:r>
        <w:rPr>
          <w:b/>
          <w:color w:val="B45A00"/>
          <w:sz w:val="16"/>
        </w:rPr>
        <w:t>CONTROLE CONCENTRADO</w:t>
      </w:r>
    </w:p>
    <w:p>
      <w:pPr>
        <w:ind w:left="288"/>
      </w:pPr>
      <w:r>
        <w:rPr>
          <w:color w:val="8C8C8C"/>
          <w:sz w:val="12"/>
        </w:rPr>
        <w:t>cf-art-235</w:t>
      </w:r>
      <w:r>
        <w:rPr>
          <w:color w:val="003CA0"/>
          <w:sz w:val="12"/>
        </w:rPr>
        <w:t xml:space="preserve"> | ADI 1.921</w:t>
      </w:r>
      <w:r>
        <w:rPr>
          <w:color w:val="003CA0"/>
          <w:sz w:val="12"/>
        </w:rPr>
        <w:t xml:space="preserve"> | rel. Carlos Velloso</w:t>
      </w:r>
    </w:p>
    <w:p>
      <w:pPr>
        <w:ind w:left="288"/>
      </w:pPr>
      <w:r>
        <w:rPr>
          <w:color w:val="1E1E1E"/>
          <w:sz w:val="18"/>
        </w:rPr>
        <w:t>Estado do Tocantins: criação. Tribunal de justiça: número de membros. LC estadual 17, de 16-11-1998. CF, art. 235; ADCT, art. 13. A criação do Estado do Tocantins deu-se com a promulgação da Constituição de 1988, 5-10-1988: ADCT, art. 13. A sua instalação é que se projetou no tempo. A LC 17, de 16-11-1998, do Estado do Tocantins ocorreu quando já decorridos dez anos da criação do Estado, motivo por que não estava obrigada a observar as regras básicas inscritas no art. 235 da CF/1988. Inocorrência de inconstitucionalidade.</w:t>
      </w:r>
    </w:p>
    <w:p>
      <w:pPr>
        <w:ind w:left="288"/>
      </w:pPr>
      <w:r>
        <w:rPr>
          <w:b/>
          <w:color w:val="003CA0"/>
          <w:sz w:val="16"/>
        </w:rPr>
        <w:t>[ADI 1.921, rel. min. Carlos Velloso, j. 23-6-2004, P, DJ de 20-8-2004.]</w:t>
      </w:r>
    </w:p>
    <w:p>
      <w:pPr>
        <w:ind w:left="288"/>
      </w:pPr>
      <w:r>
        <w:rPr>
          <w:color w:val="8C8C8C"/>
          <w:sz w:val="12"/>
        </w:rPr>
        <w:t>cf-art-235</w:t>
      </w:r>
      <w:r>
        <w:rPr>
          <w:color w:val="003CA0"/>
          <w:sz w:val="12"/>
        </w:rPr>
        <w:t xml:space="preserve"> | ADI 1.903</w:t>
      </w:r>
      <w:r>
        <w:rPr>
          <w:color w:val="003CA0"/>
          <w:sz w:val="12"/>
        </w:rPr>
        <w:t xml:space="preserve"> | rel. Ricardo Lewandowski</w:t>
      </w:r>
    </w:p>
    <w:p>
      <w:pPr>
        <w:ind w:left="288"/>
      </w:pPr>
      <w:r>
        <w:rPr>
          <w:color w:val="1E1E1E"/>
          <w:sz w:val="18"/>
        </w:rPr>
        <w:t>= ADI 1.903, rel. min. Ricardo Lewandowski, j. 6-3-2008, P, DJE de 11-4-2008 I - a Assembleia Legislativa será composta de dezessete Deputados se a população do Estado for inferior a seiscentos mil habitantes, e de vinte e quatro, se igual ou superior a esse número, até um milhão e quinhentos mil;</w:t>
      </w:r>
    </w:p>
    <w:p>
      <w:pPr>
        <w:ind w:left="288"/>
      </w:pPr>
      <w:r>
        <w:rPr>
          <w:color w:val="8C8C8C"/>
          <w:sz w:val="12"/>
        </w:rPr>
        <w:t>cf-art-235-inc-III</w:t>
      </w:r>
      <w:r>
        <w:rPr>
          <w:color w:val="003CA0"/>
          <w:sz w:val="12"/>
        </w:rPr>
        <w:t xml:space="preserve"> | ADI 1.389</w:t>
      </w:r>
      <w:r>
        <w:rPr>
          <w:color w:val="003CA0"/>
          <w:sz w:val="12"/>
        </w:rPr>
        <w:t xml:space="preserve"> | rel. Maurício Corrêa</w:t>
      </w:r>
    </w:p>
    <w:p>
      <w:pPr>
        <w:ind w:left="288"/>
      </w:pPr>
      <w:r>
        <w:rPr>
          <w:color w:val="1E1E1E"/>
          <w:sz w:val="18"/>
        </w:rPr>
        <w:t>Contrariam a Carta Magna as normas estaduais que subtraem do chefe do Executivo estadual prerrogativa que lhe está constitucionalmente conferida de indicar e nomear conselheiros do tribunal de contas nos dez primeiros anos de criação do Estado.</w:t>
      </w:r>
    </w:p>
    <w:p>
      <w:pPr>
        <w:ind w:left="288"/>
      </w:pPr>
      <w:r>
        <w:rPr>
          <w:b/>
          <w:color w:val="003CA0"/>
          <w:sz w:val="16"/>
        </w:rPr>
        <w:t>[ADI 1.389 MC, rel. min. Maurício Corrêa, j. 19-12-1995, P, DJ de 20-9-1996.]</w:t>
      </w:r>
    </w:p>
    <w:p>
      <w:pPr>
        <w:ind w:left="288"/>
      </w:pPr>
      <w:r>
        <w:rPr>
          <w:color w:val="8C8C8C"/>
          <w:sz w:val="12"/>
        </w:rPr>
        <w:t>cf-art-235-inc-III</w:t>
      </w:r>
      <w:r>
        <w:rPr>
          <w:color w:val="003CA0"/>
          <w:sz w:val="12"/>
        </w:rPr>
        <w:t xml:space="preserve"> | ADI 445</w:t>
      </w:r>
      <w:r>
        <w:rPr>
          <w:color w:val="003CA0"/>
          <w:sz w:val="12"/>
        </w:rPr>
        <w:t xml:space="preserve"> | rel. Néri da Silveira</w:t>
      </w:r>
    </w:p>
    <w:p>
      <w:pPr>
        <w:ind w:left="288"/>
      </w:pPr>
      <w:r>
        <w:rPr>
          <w:color w:val="1E1E1E"/>
          <w:sz w:val="18"/>
        </w:rPr>
        <w:t xml:space="preserve">Em face de informações devidamente documentadas, o Estado do Tocantins, criado pelo art. 13 do ADCT da Constituição de 1988, possui mais de cem Municípios e quase três dezenas de órgãos da administração direta e indireta, funcionando o Tribunal de Contas do Estado com apenas três conselheiros, nos termos do que determina o art. 235, III, da Constituição, para os dez primeiros anos da criação de Estado novo. Não é possível, assim, acolher, em linha de princípio, a alegação de ofensa ao art. 37 da Constituição. A inconstitucionalidade da criação do tribunal de contas dos Municípios do Estado do </w:t>
      </w:r>
    </w:p>
    <w:p>
      <w:pPr>
        <w:ind w:left="288"/>
      </w:pPr>
      <w:r>
        <w:rPr>
          <w:b/>
          <w:color w:val="003CA0"/>
          <w:sz w:val="16"/>
        </w:rPr>
        <w:t>[ADI 445, rel. min. Néri da Silveira, j. 2-6-1993, P, DJ de 25-3-1994.]</w:t>
      </w:r>
    </w:p>
    <w:p>
      <w:pPr>
        <w:ind w:left="144"/>
      </w:pPr>
      <w:r>
        <w:rPr>
          <w:b/>
          <w:color w:val="B45A00"/>
          <w:sz w:val="16"/>
        </w:rPr>
        <w:t>JULGADOS CORRELATOS</w:t>
      </w:r>
    </w:p>
    <w:p>
      <w:pPr>
        <w:ind w:left="288"/>
      </w:pPr>
      <w:r>
        <w:rPr>
          <w:color w:val="8C8C8C"/>
          <w:sz w:val="12"/>
        </w:rPr>
        <w:t>cf-art-235-inc-III</w:t>
      </w:r>
      <w:r>
        <w:rPr>
          <w:color w:val="003CA0"/>
          <w:sz w:val="12"/>
        </w:rPr>
        <w:t xml:space="preserve"> | AO 476</w:t>
      </w:r>
    </w:p>
    <w:p>
      <w:pPr>
        <w:ind w:left="288"/>
      </w:pPr>
      <w:r>
        <w:rPr>
          <w:color w:val="1E1E1E"/>
          <w:sz w:val="18"/>
        </w:rPr>
        <w:t>Ação originária. Constitucional. Tribunal de contas estadual. Conselheiros. Nomeação. Qualificação profissional formal. Notório saber. A qualificação profissional formal não é requisito à nomeação de conselheiro de tribunal de contas estadual. O requisito notório saber é pressuposto subjetivo a ser analisado pelo governador do Estado, a seu juízo discricionário.</w:t>
      </w:r>
    </w:p>
    <w:p>
      <w:pPr>
        <w:ind w:left="288"/>
      </w:pPr>
      <w:r>
        <w:rPr>
          <w:b/>
          <w:color w:val="003CA0"/>
          <w:sz w:val="16"/>
        </w:rPr>
        <w:t>[AO 476, red. do ac. min. Nelson Jobim, j. 16-10-1997, P, DJ de 5-11-1999.]</w:t>
      </w:r>
    </w:p>
    <w:p>
      <w:pPr>
        <w:ind w:left="288"/>
      </w:pPr>
      <w:r>
        <w:rPr>
          <w:color w:val="8C8C8C"/>
          <w:sz w:val="12"/>
        </w:rPr>
        <w:t>cf-art-235-inc-V</w:t>
      </w:r>
      <w:r>
        <w:rPr>
          <w:color w:val="003CA0"/>
          <w:sz w:val="12"/>
        </w:rPr>
        <w:t xml:space="preserve"> | MS 20.946</w:t>
      </w:r>
      <w:r>
        <w:rPr>
          <w:color w:val="003CA0"/>
          <w:sz w:val="12"/>
        </w:rPr>
        <w:t xml:space="preserve"> | rel. Moreira Alves</w:t>
      </w:r>
    </w:p>
    <w:p>
      <w:pPr>
        <w:ind w:left="288"/>
      </w:pPr>
      <w:r>
        <w:rPr>
          <w:color w:val="1E1E1E"/>
          <w:sz w:val="18"/>
        </w:rPr>
        <w:t>Esta Corte, ao julgar o MS 20.946, assim decidiu: "Primeira composição do Tribunal de Justiça do Estado: atribuição transitória e excepcional do chefe do Poder Executivo (art. 235, V, CF). Nomeação de magistrado federal. Alegação de nulidade. Cessada a eficácia da norma transitória com a instalação válida da Corte de Justiça, eventual declaração de nulidade não conduziria à renovação do ato impugnado, mas à escolha de novo membro na forma do art. 93, III, da Constituição". Tem razão, portanto, o impetrante ao sustentar, com base nesse precedente, que a vaga para a qual houve a nomeação deve se</w:t>
      </w:r>
    </w:p>
    <w:p>
      <w:pPr>
        <w:ind w:left="288"/>
      </w:pPr>
      <w:r>
        <w:rPr>
          <w:b/>
          <w:color w:val="003CA0"/>
          <w:sz w:val="16"/>
        </w:rPr>
        <w:t>[MS 22.042, rel. min. Moreira Alves, j. 17-4-1996, P, DJ de 14-11-1996.]</w:t>
      </w:r>
    </w:p>
    <w:p>
      <w:pPr>
        <w:ind w:left="288"/>
      </w:pPr>
      <w:r>
        <w:rPr>
          <w:color w:val="8C8C8C"/>
          <w:sz w:val="12"/>
        </w:rPr>
        <w:t>cf-art-235-inc-V</w:t>
      </w:r>
      <w:r>
        <w:rPr>
          <w:color w:val="003CA0"/>
          <w:sz w:val="12"/>
        </w:rPr>
        <w:t xml:space="preserve"> | AO 188</w:t>
      </w:r>
      <w:r>
        <w:rPr>
          <w:color w:val="003CA0"/>
          <w:sz w:val="12"/>
        </w:rPr>
        <w:t xml:space="preserve"> | rel. Carlos Velloso</w:t>
      </w:r>
    </w:p>
    <w:p>
      <w:pPr>
        <w:ind w:left="288"/>
      </w:pPr>
      <w:r>
        <w:rPr>
          <w:color w:val="1E1E1E"/>
          <w:sz w:val="18"/>
        </w:rPr>
        <w:t>Irregular, assim nula, a nomeação do desembargador oriundo do TRT de Rondônia, que, além de tratar-se de magistrado federal, não exercia a magistratura na área do antigo Território. CF, art. 235, V, a. Irregular, assim nula, a nomeação do desembargador indicado para a vaga destinada ao Ministério Público, ou aos promotores (CF, art. 235, V, a). A nomeação deveria recair sobre promotor de justiça em exercício na área do novo Estado (CF, art. 235, V, b) ou sobre membro do MPDFT (LC 41/1981, art. 11, III, ex vi do art. 14, § 2º, ADCT).</w:t>
      </w:r>
    </w:p>
    <w:p>
      <w:pPr>
        <w:ind w:left="288"/>
      </w:pPr>
      <w:r>
        <w:rPr>
          <w:b/>
          <w:color w:val="003CA0"/>
          <w:sz w:val="16"/>
        </w:rPr>
        <w:t>[AO 188, rel. min. Carlos Velloso, j. 29-9-1993, P, DJ de 29-10-1993.]</w:t>
      </w:r>
    </w:p>
    <w:p>
      <w:pPr>
        <w:ind w:left="288"/>
      </w:pPr>
      <w:r>
        <w:rPr>
          <w:color w:val="8C8C8C"/>
          <w:sz w:val="12"/>
        </w:rPr>
        <w:t>cf-art-235-inc-V-ali-a</w:t>
      </w:r>
    </w:p>
    <w:p>
      <w:pPr>
        <w:ind w:left="288"/>
      </w:pPr>
      <w:r>
        <w:rPr>
          <w:color w:val="1E1E1E"/>
          <w:sz w:val="18"/>
        </w:rPr>
        <w:t>b) dois dentre promotores, nas mesmas condições, e advogados de comprovada idoneidade e saber jurídico, com dez anos, no mínimo, de exercício profissional, obedecido o procedimento fixado na Constituição;</w:t>
      </w:r>
    </w:p>
    <w:p>
      <w:pPr>
        <w:ind w:left="288"/>
      </w:pPr>
      <w:r>
        <w:rPr>
          <w:color w:val="8C8C8C"/>
          <w:sz w:val="12"/>
        </w:rPr>
        <w:t>cf-art-235-inc-VII</w:t>
      </w:r>
    </w:p>
    <w:p>
      <w:pPr>
        <w:ind w:left="288"/>
      </w:pPr>
      <w:r>
        <w:rPr>
          <w:color w:val="1E1E1E"/>
          <w:sz w:val="18"/>
        </w:rPr>
        <w:t>VIII - até a promulgação da Constituição Estadual, responderão pela Procuradoria-Geral, pela Advocacia-Geral e pela Defensoria-Geral do Estado advogados de notório saber, com trinta e cinco anos de idade, no mínimo, nomeados pelo Governador eleito e demissíveis ad nutum; IX - se o novo Estado for resultado de transformação de Território Federal, a transferência de encargos financeiros da União para pagamento dos servidores optantes que pertenciam à Administração Federal ocorrerá da seguinte forma:</w:t>
      </w:r>
    </w:p>
    <w:p>
      <w:pPr>
        <w:ind w:left="288"/>
      </w:pPr>
      <w:r>
        <w:rPr>
          <w:color w:val="8C8C8C"/>
          <w:sz w:val="12"/>
        </w:rPr>
        <w:t>cf-art-235-inc-VII</w:t>
      </w:r>
      <w:r>
        <w:rPr>
          <w:color w:val="003CA0"/>
          <w:sz w:val="12"/>
        </w:rPr>
        <w:t xml:space="preserve"> | RE 396.547</w:t>
      </w:r>
      <w:r>
        <w:rPr>
          <w:color w:val="003CA0"/>
          <w:sz w:val="12"/>
        </w:rPr>
        <w:t xml:space="preserve"> | rel. Sepúlveda Pertence</w:t>
      </w:r>
    </w:p>
    <w:p>
      <w:pPr>
        <w:ind w:left="288"/>
      </w:pPr>
      <w:r>
        <w:rPr>
          <w:color w:val="1E1E1E"/>
          <w:sz w:val="18"/>
        </w:rPr>
        <w:t>Servidores públicos do extinto Território Federal do Amapá: reclamação trabalhista: ilegitimidade passiva do Estado do Amapá: responsabilidade total da União pelos encargos financeiros decorrentes das despesas de pessoal do novo Estado federado até o final dos cinco anos de sua instalação (CF, art. 235, IX, e ADCT, art. 14, § 2º).</w:t>
      </w:r>
    </w:p>
    <w:p>
      <w:pPr>
        <w:ind w:left="288"/>
      </w:pPr>
      <w:r>
        <w:rPr>
          <w:b/>
          <w:color w:val="003CA0"/>
          <w:sz w:val="16"/>
        </w:rPr>
        <w:t>[RE 396.547, rel. min. Sepúlveda Pertence, j. 8-3-2005, 1ª T, DJ de 1º-4-2005.]</w:t>
      </w:r>
    </w:p>
    <w:p>
      <w:pPr>
        <w:ind w:left="288"/>
      </w:pPr>
      <w:r>
        <w:rPr>
          <w:color w:val="8C8C8C"/>
          <w:sz w:val="12"/>
        </w:rPr>
        <w:t>cf-art-235-inc-VII</w:t>
      </w:r>
    </w:p>
    <w:p>
      <w:pPr>
        <w:ind w:left="288"/>
      </w:pPr>
      <w:r>
        <w:rPr>
          <w:color w:val="1E1E1E"/>
          <w:sz w:val="18"/>
        </w:rPr>
        <w:t>a) no sexto ano de instalação, o Estado assumirá vinte por cento dos encargos financeiros para fazer face ao pagamento dos servidores públicos, ficando ainda o restante sob a responsabilidade da União;</w:t>
      </w:r>
    </w:p>
    <w:p>
      <w:pPr>
        <w:ind w:left="288"/>
      </w:pPr>
      <w:r>
        <w:rPr>
          <w:color w:val="8C8C8C"/>
          <w:sz w:val="12"/>
        </w:rPr>
        <w:t>cf-art-235-inc-VII</w:t>
      </w:r>
      <w:r>
        <w:rPr>
          <w:color w:val="003CA0"/>
          <w:sz w:val="12"/>
        </w:rPr>
        <w:t xml:space="preserve"> | RE 222.332</w:t>
      </w:r>
      <w:r>
        <w:rPr>
          <w:color w:val="003CA0"/>
          <w:sz w:val="12"/>
        </w:rPr>
        <w:t xml:space="preserve"> | rel. Ellen Gracie</w:t>
      </w:r>
    </w:p>
    <w:p>
      <w:pPr>
        <w:ind w:left="288"/>
      </w:pPr>
      <w:r>
        <w:rPr>
          <w:color w:val="1E1E1E"/>
          <w:sz w:val="18"/>
        </w:rPr>
        <w:t>Responsabilidade pelos créditos trabalhistas dos servidores públicos do extinto Território Federal do Amapá. Nos termos do art. 235, IX, a, da CF, o Estado do Amapá, a partir de 1997 – sexto ano de sua instalação –, "assumirá vinte por cento dos encargos financeiros para fazer face ao pagamento dos servidores públicos, ficando o restante sob responsabilidade da União". Responsabilidade solidária entre os aludidos entes federados quanto aos créditos trabalhistas dos servidores públicos do antigo Território Federal do Amapá, considerando-se que o TST prolatou o acórdão recorrido em 10 de março d</w:t>
      </w:r>
    </w:p>
    <w:p>
      <w:pPr>
        <w:ind w:left="288"/>
      </w:pPr>
      <w:r>
        <w:rPr>
          <w:b/>
          <w:color w:val="003CA0"/>
          <w:sz w:val="16"/>
        </w:rPr>
        <w:t>[RE 222.332, rel. min. Ellen Gracie, j. 8-6-2004, 2ª T, DJ de 6-8-2004.]</w:t>
      </w:r>
    </w:p>
    <w:p>
      <w:pPr>
        <w:ind w:left="720"/>
      </w:pPr>
      <w:r>
        <w:rPr>
          <w:color w:val="003366"/>
          <w:sz w:val="18"/>
        </w:rPr>
        <w:t>I – a Assembléia Legislativa será composta de dezessete Deputados se a população</w:t>
      </w:r>
    </w:p>
    <w:p>
      <w:pPr>
        <w:ind w:left="720"/>
      </w:pPr>
      <w:r>
        <w:rPr>
          <w:color w:val="003366"/>
          <w:sz w:val="18"/>
        </w:rPr>
        <w:t>II – o Governo terá no máximo dez Secretarias;</w:t>
      </w:r>
    </w:p>
    <w:p>
      <w:pPr>
        <w:ind w:left="720"/>
      </w:pPr>
      <w:r>
        <w:rPr>
          <w:color w:val="003366"/>
          <w:sz w:val="18"/>
        </w:rPr>
        <w:t xml:space="preserve">III – o Tribunal de Contas terá três membros, nomeados, pelo Governador eleito, </w:t>
      </w:r>
    </w:p>
    <w:p>
      <w:pPr>
        <w:ind w:left="720"/>
      </w:pPr>
      <w:r>
        <w:rPr>
          <w:color w:val="003366"/>
          <w:sz w:val="18"/>
        </w:rPr>
        <w:t>IV – o Tribunal de Justiça terá sete Desembargadores;</w:t>
      </w:r>
    </w:p>
    <w:p>
      <w:pPr>
        <w:ind w:left="720"/>
      </w:pPr>
      <w:r>
        <w:rPr>
          <w:color w:val="003366"/>
          <w:sz w:val="18"/>
        </w:rPr>
        <w:t>V – os primeiros Desembargadores serão nomeados pelo Governador eleito, escolhid</w:t>
      </w:r>
    </w:p>
    <w:p>
      <w:pPr>
        <w:ind w:left="1008"/>
      </w:pPr>
      <w:r>
        <w:rPr>
          <w:color w:val="003366"/>
          <w:sz w:val="18"/>
        </w:rPr>
        <w:t>a) cinco dentre os magistrados com mais de trinta e cinco anos de idade, em exer</w:t>
      </w:r>
    </w:p>
    <w:p>
      <w:pPr>
        <w:ind w:left="1008"/>
      </w:pPr>
      <w:r>
        <w:rPr>
          <w:color w:val="003366"/>
          <w:sz w:val="18"/>
        </w:rPr>
        <w:t>b) dois dentre promotores, nas mesmas condições, e advogados de comprovada idone</w:t>
      </w:r>
    </w:p>
    <w:p>
      <w:pPr>
        <w:ind w:left="720"/>
      </w:pPr>
      <w:r>
        <w:rPr>
          <w:color w:val="003366"/>
          <w:sz w:val="18"/>
        </w:rPr>
        <w:t>VI – no caso de Estado proveniente de Território Federal, os cinco primeiros Des</w:t>
      </w:r>
    </w:p>
    <w:p>
      <w:pPr>
        <w:ind w:left="720"/>
      </w:pPr>
      <w:r>
        <w:rPr>
          <w:color w:val="003366"/>
          <w:sz w:val="18"/>
        </w:rPr>
        <w:t>VII – em cada Comarca, o primeiro Juiz de Direito, o primeiro Promotor de Justiç</w:t>
      </w:r>
    </w:p>
    <w:p>
      <w:pPr>
        <w:ind w:left="720"/>
      </w:pPr>
      <w:r>
        <w:rPr>
          <w:color w:val="003366"/>
          <w:sz w:val="18"/>
        </w:rPr>
        <w:t>VIII – até a promulgação da Constituição Estadual, responderão pela Procuradoria</w:t>
      </w:r>
    </w:p>
    <w:p>
      <w:pPr>
        <w:ind w:left="720"/>
      </w:pPr>
      <w:r>
        <w:rPr>
          <w:color w:val="003366"/>
          <w:sz w:val="18"/>
        </w:rPr>
        <w:t>IX – se o novo Estado for resultado de transformação de Território Federal, a tr</w:t>
      </w:r>
    </w:p>
    <w:p>
      <w:pPr>
        <w:ind w:left="1008"/>
      </w:pPr>
      <w:r>
        <w:rPr>
          <w:color w:val="003366"/>
          <w:sz w:val="18"/>
        </w:rPr>
        <w:t>a) no sexto ano de instalação, o Estado assumirá vinte por cento dos encargos fi</w:t>
      </w:r>
    </w:p>
    <w:p>
      <w:pPr>
        <w:ind w:left="1008"/>
      </w:pPr>
      <w:r>
        <w:rPr>
          <w:color w:val="003366"/>
          <w:sz w:val="18"/>
        </w:rPr>
        <w:t xml:space="preserve">b) no sétimo ano, os encargos do Estado serão acrescidos de trinta por cento e, </w:t>
      </w:r>
    </w:p>
    <w:p>
      <w:pPr>
        <w:ind w:left="720"/>
      </w:pPr>
      <w:r>
        <w:rPr>
          <w:color w:val="003366"/>
          <w:sz w:val="18"/>
        </w:rPr>
        <w:t xml:space="preserve">X – as nomeações que se seguirem às primeiras, para os cargos mencionados neste </w:t>
      </w:r>
    </w:p>
    <w:p>
      <w:pPr>
        <w:ind w:left="720"/>
      </w:pPr>
      <w:r>
        <w:rPr>
          <w:color w:val="003366"/>
          <w:sz w:val="18"/>
        </w:rPr>
        <w:t>XI – as despesas orçamentárias com pessoal não poderão ultrapassar cinqüenta por</w:t>
      </w:r>
    </w:p>
    <w:p>
      <w:r>
        <w:rPr>
          <w:b/>
          <w:color w:val="003366"/>
          <w:sz w:val="20"/>
        </w:rPr>
        <w:t>Art. 236 Os serviços notariais e de registro são exercidos em caráter privado, p</w:t>
      </w:r>
      <w:r>
        <w:rPr>
          <w:color w:val="8C8C8C"/>
          <w:sz w:val="14"/>
        </w:rPr>
        <w:t xml:space="preserve">  [51 decisoes]</w:t>
      </w:r>
    </w:p>
    <w:p>
      <w:pPr>
        <w:ind w:left="288"/>
      </w:pPr>
      <w:r>
        <w:rPr>
          <w:color w:val="8C8C8C"/>
          <w:sz w:val="12"/>
        </w:rPr>
        <w:t>cf-art-236</w:t>
      </w:r>
      <w:r>
        <w:rPr>
          <w:color w:val="003CA0"/>
          <w:sz w:val="12"/>
        </w:rPr>
        <w:t xml:space="preserve"> | ADI 7.352</w:t>
      </w:r>
      <w:r>
        <w:rPr>
          <w:color w:val="003CA0"/>
          <w:sz w:val="12"/>
        </w:rPr>
        <w:t xml:space="preserve"> | rel. Cristiano Zanin</w:t>
      </w:r>
    </w:p>
    <w:p>
      <w:pPr>
        <w:ind w:left="288"/>
      </w:pPr>
      <w:r>
        <w:rPr>
          <w:color w:val="1E1E1E"/>
          <w:sz w:val="18"/>
        </w:rPr>
        <w:t>Serviços notariais e de registro. Reestruturação. Lei Estadual. Constitucionalidade. (...) Os serviços notariais e de registro são exercidos em caráter privado, mediante delegação do Poder Público, conforme previsão do art. 236 da Constituição Federal. A Lei Federal n. 8.935/1994, em seu art. 26, veda a acumulação dos serviços, admitindo exceção apenas para municípios que não comportem, em razão do volume ou da receita, a instalação de mais de um serviço. (...) A reestruturação foi precedida de amplo estudo do Tribunal de Justiça do Estado da Paraíba, que identificou a necessidade de desacumul</w:t>
      </w:r>
    </w:p>
    <w:p>
      <w:pPr>
        <w:ind w:left="288"/>
      </w:pPr>
      <w:r>
        <w:rPr>
          <w:b/>
          <w:color w:val="003CA0"/>
          <w:sz w:val="16"/>
        </w:rPr>
        <w:t>[ADI 7.352, rel. min. Cristiano Zanin, j. 29.09.2025, P, DJE de 02.10.2025.]</w:t>
      </w:r>
    </w:p>
    <w:p>
      <w:pPr>
        <w:ind w:left="144"/>
      </w:pPr>
      <w:r>
        <w:rPr>
          <w:b/>
          <w:color w:val="B45A00"/>
          <w:sz w:val="16"/>
        </w:rPr>
        <w:t>CONTROLE CONCENTRADO</w:t>
      </w:r>
    </w:p>
    <w:p>
      <w:pPr>
        <w:ind w:left="288"/>
      </w:pPr>
      <w:r>
        <w:rPr>
          <w:color w:val="8C8C8C"/>
          <w:sz w:val="12"/>
        </w:rPr>
        <w:t>cf-art-236</w:t>
      </w:r>
      <w:r>
        <w:rPr>
          <w:color w:val="003CA0"/>
          <w:sz w:val="12"/>
        </w:rPr>
        <w:t xml:space="preserve"> | ADI 2.415</w:t>
      </w:r>
      <w:r>
        <w:rPr>
          <w:color w:val="003CA0"/>
          <w:sz w:val="12"/>
        </w:rPr>
        <w:t xml:space="preserve"> | rel. Ayres Britto</w:t>
      </w:r>
    </w:p>
    <w:p>
      <w:pPr>
        <w:ind w:left="288"/>
      </w:pPr>
      <w:r>
        <w:rPr>
          <w:color w:val="1E1E1E"/>
          <w:sz w:val="18"/>
        </w:rPr>
        <w:t xml:space="preserve">Regime jurídico dos servidores notariais e de registro. Trata-se de atividades jurídicas que são próprias do Estado, porém exercidas por particulares mediante delegação. Exercidas ou traspassadas, mas não por conduto da concessão ou da permissão, normadas pelo caput do art. 175 da Constituição como instrumentos contratuais de privatização do exercício dessa atividade material (não jurídica) em que se constituem os serviços públicos. A delegação que lhes timbra a funcionalidade não se traduz, por nenhuma forma, em cláusulas contratuais. A sua delegação somente pode recair sobre pessoa natural, </w:t>
      </w:r>
    </w:p>
    <w:p>
      <w:pPr>
        <w:ind w:left="288"/>
      </w:pPr>
      <w:r>
        <w:rPr>
          <w:b/>
          <w:color w:val="003CA0"/>
          <w:sz w:val="16"/>
        </w:rPr>
        <w:t>[ADI 2.415, rel. min. Ayres Britto, j. 10-11-2011, P, DJE de 9-2-2012.]</w:t>
      </w:r>
    </w:p>
    <w:p>
      <w:pPr>
        <w:ind w:left="288"/>
      </w:pPr>
      <w:r>
        <w:rPr>
          <w:color w:val="8C8C8C"/>
          <w:sz w:val="12"/>
        </w:rPr>
        <w:t>cf-art-236</w:t>
      </w:r>
      <w:r>
        <w:rPr>
          <w:color w:val="003CA0"/>
          <w:sz w:val="12"/>
        </w:rPr>
        <w:t xml:space="preserve"> | ADI 4.140</w:t>
      </w:r>
      <w:r>
        <w:rPr>
          <w:color w:val="003CA0"/>
          <w:sz w:val="12"/>
        </w:rPr>
        <w:t xml:space="preserve"> | rel. Ellen Gracie</w:t>
      </w:r>
    </w:p>
    <w:p>
      <w:pPr>
        <w:ind w:left="288"/>
      </w:pPr>
      <w:r>
        <w:rPr>
          <w:color w:val="1E1E1E"/>
          <w:sz w:val="18"/>
        </w:rPr>
        <w:t>Vide ADI 4.140, rel. min. Ellen Gracie, j. 27-11-2008, P, DJE de 20-9-2009 Medida cautelar em ação direta de inconstitucionalidade. Resolução 291/2010 do Tribunal de Justiça de Pernambuco. (...) Plausível é a alegação de que a transformação de serventias extrajudiciais depende de edição de lei formal de iniciativa privativa do Poder Judiciário.</w:t>
      </w:r>
    </w:p>
    <w:p>
      <w:pPr>
        <w:ind w:left="288"/>
      </w:pPr>
      <w:r>
        <w:rPr>
          <w:b/>
          <w:color w:val="003CA0"/>
          <w:sz w:val="16"/>
        </w:rPr>
        <w:t>[ADI 4.453 MC, rel. min. Cármen Lúcia, j. 29-6-2011, P, DJE de 24-8-2011.]</w:t>
      </w:r>
    </w:p>
    <w:p>
      <w:pPr>
        <w:ind w:left="288"/>
      </w:pPr>
      <w:r>
        <w:rPr>
          <w:color w:val="8C8C8C"/>
          <w:sz w:val="12"/>
        </w:rPr>
        <w:t>cf-art-236</w:t>
      </w:r>
      <w:r>
        <w:rPr>
          <w:color w:val="003CA0"/>
          <w:sz w:val="12"/>
        </w:rPr>
        <w:t xml:space="preserve"> | ADI 2.415</w:t>
      </w:r>
      <w:r>
        <w:rPr>
          <w:color w:val="003CA0"/>
          <w:sz w:val="12"/>
        </w:rPr>
        <w:t xml:space="preserve"> | rel. Ayres Britto</w:t>
      </w:r>
    </w:p>
    <w:p>
      <w:pPr>
        <w:ind w:left="288"/>
      </w:pPr>
      <w:r>
        <w:rPr>
          <w:color w:val="1E1E1E"/>
          <w:sz w:val="18"/>
        </w:rPr>
        <w:t>Vide ADI 2.415, rel. min. Ayres Britto, j. 10-11-2011, P, DJE de 9-2-2012 Atividade notarial. Natureza. Lei 9.534/1997. (...) A atividade desenvolvida pelos titulares das serventias de notas e registros, embora seja análoga à atividade empresarial, sujeita-se a um regime de direito público. Não ofende o princípio da proporcionalidade lei que isenta os "reconhecidamente pobres" do pagamento dos emolumentos devidos pela expedição de registro civil de nascimento e de óbito, bem como a primeira certidão respectiva.</w:t>
      </w:r>
    </w:p>
    <w:p>
      <w:pPr>
        <w:ind w:left="288"/>
      </w:pPr>
      <w:r>
        <w:rPr>
          <w:b/>
          <w:color w:val="003CA0"/>
          <w:sz w:val="16"/>
        </w:rPr>
        <w:t>[ADI 1.800, red. do ac. min. Ricardo Lewandowski, j. 11-6-2007, P, DJ de 28-9-2007.]</w:t>
      </w:r>
    </w:p>
    <w:p>
      <w:pPr>
        <w:ind w:left="288"/>
      </w:pPr>
      <w:r>
        <w:rPr>
          <w:color w:val="8C8C8C"/>
          <w:sz w:val="12"/>
        </w:rPr>
        <w:t>cf-art-236</w:t>
      </w:r>
      <w:r>
        <w:rPr>
          <w:color w:val="003CA0"/>
          <w:sz w:val="12"/>
        </w:rPr>
        <w:t xml:space="preserve"> | ADI 3.643</w:t>
      </w:r>
    </w:p>
    <w:p>
      <w:pPr>
        <w:ind w:left="288"/>
      </w:pPr>
      <w:r>
        <w:rPr>
          <w:color w:val="1E1E1E"/>
          <w:sz w:val="18"/>
        </w:rPr>
        <w:t>Numa frase, então, serviços notariais e de registro são típicas atividades estatais, mas não são serviços públicos, propriamente. Inscrevem-se, isto sim, entre as atividades tidas como função pública lato sensu, a exemplo das funções de legislação, diplomacia, defesa nacional, segurança pública, trânsito, controle externo e tantos outros cometimentos que, nem por ser de exclusivo domínio estatal, passam a se confundir com serviço público.</w:t>
      </w:r>
    </w:p>
    <w:p>
      <w:pPr>
        <w:ind w:left="288"/>
      </w:pPr>
      <w:r>
        <w:rPr>
          <w:b/>
          <w:color w:val="003CA0"/>
          <w:sz w:val="16"/>
        </w:rPr>
        <w:t>[ADI 3.643, voto do min. Ayres Britto, j. 8-11-2006, P, DJ de 16-2-2007.]</w:t>
      </w:r>
    </w:p>
    <w:p>
      <w:pPr>
        <w:ind w:left="288"/>
      </w:pPr>
      <w:r>
        <w:rPr>
          <w:color w:val="8C8C8C"/>
          <w:sz w:val="12"/>
        </w:rPr>
        <w:t>cf-art-236</w:t>
      </w:r>
      <w:r>
        <w:rPr>
          <w:color w:val="003CA0"/>
          <w:sz w:val="12"/>
        </w:rPr>
        <w:t xml:space="preserve"> | ADI 2.602</w:t>
      </w:r>
    </w:p>
    <w:p>
      <w:pPr>
        <w:ind w:left="288"/>
      </w:pPr>
      <w:r>
        <w:rPr>
          <w:color w:val="1E1E1E"/>
          <w:sz w:val="18"/>
        </w:rPr>
        <w:t>O art. 40, § 1º, II, da Constituição do Brasil, na redação que lhe foi conferida pela EC 20/1998, está restrito aos cargos efetivos da União, dos Estados-membros, do Distrito Federal e dos Municípios – incluídas as autarquias e fundações. Os serviços de registros públicos, cartorários e notariais são exercidos em caráter privado por delegação do poder público – serviço público não privativo. Os notários e os registradores exercem atividade estatal, entretanto não são titulares de cargo público efetivo, tampouco ocupam cargo público. Não são servidores públicos, não lhes alcançando a compulsori</w:t>
      </w:r>
    </w:p>
    <w:p>
      <w:pPr>
        <w:ind w:left="288"/>
      </w:pPr>
      <w:r>
        <w:rPr>
          <w:b/>
          <w:color w:val="003CA0"/>
          <w:sz w:val="16"/>
        </w:rPr>
        <w:t>[ADI 2.602, red. do ac. min. Eros Grau, j. 24-11-2005, P, DJ de 31-3-2006.]</w:t>
      </w:r>
    </w:p>
    <w:p>
      <w:pPr>
        <w:ind w:left="288"/>
      </w:pPr>
      <w:r>
        <w:rPr>
          <w:color w:val="8C8C8C"/>
          <w:sz w:val="12"/>
        </w:rPr>
        <w:t>cf-art-236</w:t>
      </w:r>
      <w:r>
        <w:rPr>
          <w:color w:val="003CA0"/>
          <w:sz w:val="12"/>
        </w:rPr>
        <w:t xml:space="preserve"> | MS 28.440</w:t>
      </w:r>
      <w:r>
        <w:rPr>
          <w:color w:val="003CA0"/>
          <w:sz w:val="12"/>
        </w:rPr>
        <w:t xml:space="preserve"> | rel. Dias Toffoli</w:t>
      </w:r>
    </w:p>
    <w:p>
      <w:pPr>
        <w:ind w:left="288"/>
      </w:pPr>
      <w:r>
        <w:rPr>
          <w:color w:val="1E1E1E"/>
          <w:sz w:val="18"/>
        </w:rPr>
        <w:t>= MS 28.440 ED-AgR, voto do min. Teori Zavascki, j. 19-6-2013, P, DJE de 7-2-2014 Vide RE 556.504 ED, rel. min. Dias Toffoli, j. 10-8-2010, 1ª T, DJE de 25-10-2010 Não está, na Constituição, que aos Estados se reserva, em lei, regular a matéria do ingresso e da remoção; antes decorre do art. 236 e parágrafos da Lei Magna que a lei federal, para todo o País, definirá os princípios básicos a serem seguidos na execução dos serviços notariais e de registro.</w:t>
      </w:r>
    </w:p>
    <w:p>
      <w:pPr>
        <w:ind w:left="288"/>
      </w:pPr>
      <w:r>
        <w:rPr>
          <w:b/>
          <w:color w:val="003CA0"/>
          <w:sz w:val="16"/>
        </w:rPr>
        <w:t>[ADI 2.069 MC, rel. min. Néri da Silveira, j. 2-2-2000, P, DJ de 9-5-2003.]</w:t>
      </w:r>
    </w:p>
    <w:p>
      <w:pPr>
        <w:ind w:left="288"/>
      </w:pPr>
      <w:r>
        <w:rPr>
          <w:color w:val="8C8C8C"/>
          <w:sz w:val="12"/>
        </w:rPr>
        <w:t>cf-art-236</w:t>
      </w:r>
      <w:r>
        <w:rPr>
          <w:color w:val="003CA0"/>
          <w:sz w:val="12"/>
        </w:rPr>
        <w:t xml:space="preserve"> | ADI 139</w:t>
      </w:r>
      <w:r>
        <w:rPr>
          <w:color w:val="003CA0"/>
          <w:sz w:val="12"/>
        </w:rPr>
        <w:t xml:space="preserve"> | rel. Sepúlveda Pertence</w:t>
      </w:r>
    </w:p>
    <w:p>
      <w:pPr>
        <w:ind w:left="288"/>
      </w:pPr>
      <w:r>
        <w:rPr>
          <w:color w:val="1E1E1E"/>
          <w:sz w:val="18"/>
        </w:rPr>
        <w:t>Tabeliães e oficiais de registros públicos: aposentadoria: inconstitucionalidade da norma da Constituição local que, além de conceder-lhes aposentadoria de servidor público, que – para esse efeito não são – vincula os respectivos proventos às alterações dos vencimentos da magistratura: precedente (ADI 139, RTJ 138/14).</w:t>
      </w:r>
    </w:p>
    <w:p>
      <w:pPr>
        <w:ind w:left="288"/>
      </w:pPr>
      <w:r>
        <w:rPr>
          <w:b/>
          <w:color w:val="003CA0"/>
          <w:sz w:val="16"/>
        </w:rPr>
        <w:t>[ADI 575, rel. min. Sepúlveda Pertence, j. 25-3-1999, P, DJ de 25-06-1999.]</w:t>
      </w:r>
    </w:p>
    <w:p>
      <w:pPr>
        <w:ind w:left="288"/>
      </w:pPr>
      <w:r>
        <w:rPr>
          <w:color w:val="8C8C8C"/>
          <w:sz w:val="12"/>
        </w:rPr>
        <w:t>cf-art-236</w:t>
      </w:r>
      <w:r>
        <w:rPr>
          <w:color w:val="003CA0"/>
          <w:sz w:val="12"/>
        </w:rPr>
        <w:t xml:space="preserve"> | AI 668.533</w:t>
      </w:r>
      <w:r>
        <w:rPr>
          <w:color w:val="003CA0"/>
          <w:sz w:val="12"/>
        </w:rPr>
        <w:t xml:space="preserve"> | rel. Cármen Lúcia</w:t>
      </w:r>
    </w:p>
    <w:p>
      <w:pPr>
        <w:ind w:left="288"/>
      </w:pPr>
      <w:r>
        <w:rPr>
          <w:color w:val="1E1E1E"/>
          <w:sz w:val="18"/>
        </w:rPr>
        <w:t>= AI 668.533 AgR, rel. min. Cármen Lúcia, j. 25-10-2011, 1ª T, DJE de 23-11-2011 Vide RE 565.936 AgR, rel. min. Ellen Gracie, j. 26-10-2010, 2ª T, DJE de 29-11-2010 Art. 34 da Constituição do Estado do Espírito Santo. Estatização dos Cartórios de Notas e Registro Civil. Faculdade conferida aos atuais titulares. Contrariedade ao art. 236, caput, da CF que prescreve serem os serviços notariais e de registro exercidos em caráter privado.</w:t>
      </w:r>
    </w:p>
    <w:p>
      <w:pPr>
        <w:ind w:left="288"/>
      </w:pPr>
      <w:r>
        <w:rPr>
          <w:b/>
          <w:color w:val="003CA0"/>
          <w:sz w:val="16"/>
        </w:rPr>
        <w:t>[ADI 417, rel. min. Maurício Corrêa, j. 5-3-1998, P, DJ de 8-5-1998.]</w:t>
      </w:r>
    </w:p>
    <w:p>
      <w:pPr>
        <w:ind w:left="288"/>
      </w:pPr>
      <w:r>
        <w:rPr>
          <w:color w:val="8C8C8C"/>
          <w:sz w:val="12"/>
        </w:rPr>
        <w:t>cf-art-236</w:t>
      </w:r>
      <w:r>
        <w:rPr>
          <w:color w:val="003CA0"/>
          <w:sz w:val="12"/>
        </w:rPr>
        <w:t xml:space="preserve"> | ADI 1.378</w:t>
      </w:r>
      <w:r>
        <w:rPr>
          <w:color w:val="003CA0"/>
          <w:sz w:val="12"/>
        </w:rPr>
        <w:t xml:space="preserve"> | rel. Celso de Mello</w:t>
      </w:r>
    </w:p>
    <w:p>
      <w:pPr>
        <w:ind w:left="288"/>
      </w:pPr>
      <w:r>
        <w:rPr>
          <w:color w:val="1E1E1E"/>
          <w:sz w:val="18"/>
        </w:rPr>
        <w:t>A atividade notarial e registral, ainda que executada no âmbito de serventias extrajudiciais não oficializadas, constitui, em decorrência de sua própria natureza, função revestida de estatalidade, sujeitando-se, por isso mesmo, a um regime estrito de direito público. A possibilidade constitucional de a execução dos serviços notariais e de registro ser efetivada "em caráter privado, por delegação do poder público" (CF, art. 236), não descaracteriza a natureza essencialmente estatal dessas atividades de índole administrativa. As serventias extrajudiciais, instituídas pelo poder público para o de</w:t>
      </w:r>
    </w:p>
    <w:p>
      <w:pPr>
        <w:ind w:left="288"/>
      </w:pPr>
      <w:r>
        <w:rPr>
          <w:b/>
          <w:color w:val="003CA0"/>
          <w:sz w:val="16"/>
        </w:rPr>
        <w:t>[ADI 1.378 MC, rel. min. Celso de Mello, j. 30-11-1995, P, DJ de 30-5-1997.]</w:t>
      </w:r>
    </w:p>
    <w:p>
      <w:pPr>
        <w:ind w:left="288"/>
      </w:pPr>
      <w:r>
        <w:rPr>
          <w:color w:val="8C8C8C"/>
          <w:sz w:val="12"/>
        </w:rPr>
        <w:t>cf-art-236</w:t>
      </w:r>
      <w:r>
        <w:rPr>
          <w:color w:val="003CA0"/>
          <w:sz w:val="12"/>
        </w:rPr>
        <w:t xml:space="preserve"> | ADI 865</w:t>
      </w:r>
      <w:r>
        <w:rPr>
          <w:color w:val="003CA0"/>
          <w:sz w:val="12"/>
        </w:rPr>
        <w:t xml:space="preserve"> | rel. Celso de Mello</w:t>
      </w:r>
    </w:p>
    <w:p>
      <w:pPr>
        <w:ind w:left="288"/>
      </w:pPr>
      <w:r>
        <w:rPr>
          <w:color w:val="1E1E1E"/>
          <w:sz w:val="18"/>
        </w:rPr>
        <w:t>A ausência da lei nacional reclamada pelo art. 236 da Constituição não impede o Estado-membro, sob pena da paralisação dos seus serviços notariais e registrais, de dispor sobre a execução dessas atividades, que se inserem, por sua natureza mesma, na esfera de competência autônoma dessa unidade federada. A criação, o provimento e a instalação das serventias extrajudiciais pelos Estados-membros não implicam usurpação da matéria reservada à lei nacional pelo art. 236 da CF.</w:t>
      </w:r>
    </w:p>
    <w:p>
      <w:pPr>
        <w:ind w:left="288"/>
      </w:pPr>
      <w:r>
        <w:rPr>
          <w:b/>
          <w:color w:val="003CA0"/>
          <w:sz w:val="16"/>
        </w:rPr>
        <w:t>[ADI 865 MC, rel. min. Celso de Mello, j. 7-10-1993, P, DJ de 8-4-1994.]</w:t>
      </w:r>
    </w:p>
    <w:p>
      <w:pPr>
        <w:ind w:left="144"/>
      </w:pPr>
      <w:r>
        <w:rPr>
          <w:b/>
          <w:color w:val="B45A00"/>
          <w:sz w:val="16"/>
        </w:rPr>
        <w:t>REPERCUSSAO GERAL</w:t>
      </w:r>
    </w:p>
    <w:p>
      <w:pPr>
        <w:ind w:left="288"/>
      </w:pPr>
      <w:r>
        <w:rPr>
          <w:color w:val="8C8C8C"/>
          <w:sz w:val="12"/>
        </w:rPr>
        <w:t>cf-art-236</w:t>
      </w:r>
      <w:r>
        <w:rPr>
          <w:color w:val="003CA0"/>
          <w:sz w:val="12"/>
        </w:rPr>
        <w:t xml:space="preserve"> | RE 611.639</w:t>
      </w:r>
      <w:r>
        <w:rPr>
          <w:color w:val="003CA0"/>
          <w:sz w:val="12"/>
        </w:rPr>
        <w:t xml:space="preserve"> | rel. Marco Aurélio</w:t>
      </w:r>
    </w:p>
    <w:p>
      <w:pPr>
        <w:ind w:left="288"/>
      </w:pPr>
      <w:r>
        <w:rPr>
          <w:color w:val="1E1E1E"/>
          <w:sz w:val="18"/>
        </w:rPr>
        <w:t>Propriedade fiduciária. Veículo automotor. Registro. Surge constitucional o § 1º do art. 1.361 do CC/2002 no que revela a possibilidade de ter-se como constituída a propriedade fiduciária com o registro do contrato na repartição competente para o licenciamento do veículo.</w:t>
        <w:br/>
        <w:t>[RE 611.639, rel. min. Marco Aurélio, j. 21-10-2015, P, DJE de 15-4-2016, Tema 349, com mérito julgado.]</w:t>
      </w:r>
    </w:p>
    <w:p>
      <w:pPr>
        <w:ind w:left="144"/>
      </w:pPr>
      <w:r>
        <w:rPr>
          <w:b/>
          <w:color w:val="B45A00"/>
          <w:sz w:val="16"/>
        </w:rPr>
        <w:t>JULGADOS CORRELATOS</w:t>
      </w:r>
    </w:p>
    <w:p>
      <w:pPr>
        <w:ind w:left="288"/>
      </w:pPr>
      <w:r>
        <w:rPr>
          <w:color w:val="8C8C8C"/>
          <w:sz w:val="12"/>
        </w:rPr>
        <w:t>cf-art-236</w:t>
      </w:r>
      <w:r>
        <w:rPr>
          <w:color w:val="003CA0"/>
          <w:sz w:val="12"/>
        </w:rPr>
        <w:t xml:space="preserve"> | MS 30.180</w:t>
      </w:r>
      <w:r>
        <w:rPr>
          <w:color w:val="003CA0"/>
          <w:sz w:val="12"/>
        </w:rPr>
        <w:t xml:space="preserve"> | rel. Dias Toffoli</w:t>
      </w:r>
    </w:p>
    <w:p>
      <w:pPr>
        <w:ind w:left="288"/>
      </w:pPr>
      <w:r>
        <w:rPr>
          <w:color w:val="1E1E1E"/>
          <w:sz w:val="18"/>
        </w:rPr>
        <w:t>O titular interino não atua como delegado do serviço notarial e de registro porque não preenche os requisitos para tanto; age, em verdade, como preposto do poder público e, nessa condição, deve-se submeter aos limites remuneratórios previstos para os agentes estatais, não se lhe aplicando o regime remuneratório previsto para os delegados do serviço público extrajudicial (art. 28 da Lei 8.935/1994).</w:t>
      </w:r>
    </w:p>
    <w:p>
      <w:pPr>
        <w:ind w:left="288"/>
      </w:pPr>
      <w:r>
        <w:rPr>
          <w:b/>
          <w:color w:val="003CA0"/>
          <w:sz w:val="16"/>
        </w:rPr>
        <w:t>[MS 30.180 AgR, rel. min. Dias Toffoli, j. 21-10-2014, 1ª T, DJE de 21-11-2014.]</w:t>
      </w:r>
    </w:p>
    <w:p>
      <w:pPr>
        <w:ind w:left="288"/>
      </w:pPr>
      <w:r>
        <w:rPr>
          <w:color w:val="8C8C8C"/>
          <w:sz w:val="12"/>
        </w:rPr>
        <w:t>cf-art-236</w:t>
      </w:r>
      <w:r>
        <w:rPr>
          <w:color w:val="003CA0"/>
          <w:sz w:val="12"/>
        </w:rPr>
        <w:t xml:space="preserve"> | MS 29.093</w:t>
      </w:r>
      <w:r>
        <w:rPr>
          <w:color w:val="003CA0"/>
          <w:sz w:val="12"/>
        </w:rPr>
        <w:t xml:space="preserve"> | rel. Teori Zavascki</w:t>
      </w:r>
    </w:p>
    <w:p>
      <w:pPr>
        <w:ind w:left="288"/>
      </w:pPr>
      <w:r>
        <w:rPr>
          <w:color w:val="1E1E1E"/>
          <w:sz w:val="18"/>
        </w:rPr>
        <w:t>= MS 29.093 ED-ED-AgR, rel. min. Teori Zavascki, j. 14-4-2015, 2ª T, DJE de 3-8-2015 Tabelião. Titulares de ofício de justiça. Responsabilidade civil. Responsabilidade do Estado. CF, art. 37, § 6º. Natureza estatal das atividades exercidas pelos serventuários titulares de cartórios e registros extrajudiciais, exercidas em caráter privado, por delegação do poder público. Responsabilidade objetiva do Estado pelos danos praticados a terceiros por esses servidores no exercício de tais funções, assegurado o direito de regresso contra o notário, nos casos de dolo ou culpa.</w:t>
      </w:r>
    </w:p>
    <w:p>
      <w:pPr>
        <w:ind w:left="288"/>
      </w:pPr>
      <w:r>
        <w:rPr>
          <w:b/>
          <w:color w:val="003CA0"/>
          <w:sz w:val="16"/>
        </w:rPr>
        <w:t>[RE 209.354 AgR, rel. min. Carlos Velloso, j. 2-3-1999, 2ª T, DJ de 16-4-1999.]</w:t>
      </w:r>
    </w:p>
    <w:p>
      <w:pPr>
        <w:ind w:left="288"/>
      </w:pPr>
      <w:r>
        <w:rPr>
          <w:color w:val="8C8C8C"/>
          <w:sz w:val="12"/>
        </w:rPr>
        <w:t>cf-art-236</w:t>
      </w:r>
      <w:r>
        <w:rPr>
          <w:color w:val="003CA0"/>
          <w:sz w:val="12"/>
        </w:rPr>
        <w:t xml:space="preserve"> | RE 518.894</w:t>
      </w:r>
      <w:r>
        <w:rPr>
          <w:color w:val="003CA0"/>
          <w:sz w:val="12"/>
        </w:rPr>
        <w:t xml:space="preserve"> | rel. Ayres Britto</w:t>
      </w:r>
    </w:p>
    <w:p>
      <w:pPr>
        <w:ind w:left="288"/>
      </w:pPr>
      <w:r>
        <w:rPr>
          <w:color w:val="1E1E1E"/>
          <w:sz w:val="18"/>
        </w:rPr>
        <w:t>= RE 518.894 AgR, rel. min. Ayres Britto, j. 2-8-2011, 2ª T, DJE de 23-9-2011</w:t>
      </w:r>
    </w:p>
    <w:p>
      <w:pPr>
        <w:ind w:left="144"/>
      </w:pPr>
      <w:r>
        <w:rPr>
          <w:b/>
          <w:color w:val="B45A00"/>
          <w:sz w:val="16"/>
        </w:rPr>
        <w:t>CONTROLE CONCENTRADO</w:t>
      </w:r>
    </w:p>
    <w:p>
      <w:pPr>
        <w:ind w:left="288"/>
      </w:pPr>
      <w:r>
        <w:rPr>
          <w:color w:val="8C8C8C"/>
          <w:sz w:val="12"/>
        </w:rPr>
        <w:t>cf-art-236-par-1</w:t>
      </w:r>
      <w:r>
        <w:rPr>
          <w:color w:val="003CA0"/>
          <w:sz w:val="12"/>
        </w:rPr>
        <w:t xml:space="preserve"> | RE 808.202</w:t>
      </w:r>
      <w:r>
        <w:rPr>
          <w:color w:val="003CA0"/>
          <w:sz w:val="12"/>
        </w:rPr>
        <w:t xml:space="preserve"> | rel. Dias Toffoli</w:t>
      </w:r>
    </w:p>
    <w:p>
      <w:pPr>
        <w:ind w:left="288"/>
      </w:pPr>
      <w:r>
        <w:rPr>
          <w:color w:val="1E1E1E"/>
          <w:sz w:val="18"/>
        </w:rPr>
        <w:t>O COJE paranaense não criou nova categoria de delegação notarial ou de registro. Os ‘Oficiais Distritais’ são tabeliães ou registradores titulares de algum dos serviços previstos no art. 5º da Lei 8.935/1994, assim denominados apenas pelo fato da serventia estar localizada no espaço territorial dos distritos judiciários. Os requisitos mínimos para que escreventes e substitutos interinos possam praticar atos registrais e substituir o titular (gozo dos direitos políticos, quitação com o serviço militar, idade mínima de 18 anos e ensino médio completo) mostram-se plenamente compatíveis com a cond</w:t>
      </w:r>
    </w:p>
    <w:p>
      <w:pPr>
        <w:ind w:left="288"/>
      </w:pPr>
      <w:r>
        <w:rPr>
          <w:b/>
          <w:color w:val="003CA0"/>
          <w:sz w:val="16"/>
        </w:rPr>
        <w:t>[ADI 5.855, rel. min. Alexandre de Moraes, j. 10-4-2019, P, DJE de 25-9-2019.]</w:t>
      </w:r>
    </w:p>
    <w:p>
      <w:pPr>
        <w:ind w:left="288"/>
      </w:pPr>
      <w:r>
        <w:rPr>
          <w:color w:val="8C8C8C"/>
          <w:sz w:val="12"/>
        </w:rPr>
        <w:t>cf-art-236-par-1</w:t>
      </w:r>
      <w:r>
        <w:rPr>
          <w:color w:val="003CA0"/>
          <w:sz w:val="12"/>
        </w:rPr>
        <w:t xml:space="preserve"> | ADI 2.129</w:t>
      </w:r>
    </w:p>
    <w:p>
      <w:pPr>
        <w:ind w:left="288"/>
      </w:pPr>
      <w:r>
        <w:rPr>
          <w:color w:val="1E1E1E"/>
          <w:sz w:val="18"/>
        </w:rPr>
        <w:t>A Anoreg [Associação dos Notários e Registradores] pretende nesta ação direta a declaração de inconstitucionalidade de preceito de lei estadual sul-mato-grossense que destina 3% dos emolumentos cobrados pelas serventias extrajudiciais ao Fundo Especial para Instalação, Desenvolvimento e Aperfeiçoamento das Atividades dos Juizados Especiais Cíveis e Criminais do Estado de Mato Grosso do Sul. (...) Nas atividades notariais há serviços exercidos por delegação do poder público, serviços fiscalizados nos termos do § 1º do art. 236 da Constituição. Não há "direito, interesse, ou liberdade", porém at</w:t>
      </w:r>
    </w:p>
    <w:p>
      <w:pPr>
        <w:ind w:left="288"/>
      </w:pPr>
      <w:r>
        <w:rPr>
          <w:b/>
          <w:color w:val="003CA0"/>
          <w:sz w:val="16"/>
        </w:rPr>
        <w:t>[ADI 2.129, voto do min. Eros Grau, j. 26-4-2006, P, DJ de 16-6-2006.]</w:t>
      </w:r>
    </w:p>
    <w:p>
      <w:pPr>
        <w:ind w:left="288"/>
      </w:pPr>
      <w:r>
        <w:rPr>
          <w:color w:val="8C8C8C"/>
          <w:sz w:val="12"/>
        </w:rPr>
        <w:t>cf-art-236-par-1</w:t>
      </w:r>
      <w:r>
        <w:rPr>
          <w:color w:val="003CA0"/>
          <w:sz w:val="12"/>
        </w:rPr>
        <w:t xml:space="preserve"> | ADI 2.059</w:t>
      </w:r>
      <w:r>
        <w:rPr>
          <w:color w:val="003CA0"/>
          <w:sz w:val="12"/>
        </w:rPr>
        <w:t xml:space="preserve"> | rel. Eros Grau</w:t>
      </w:r>
    </w:p>
    <w:p>
      <w:pPr>
        <w:ind w:left="288"/>
      </w:pPr>
      <w:r>
        <w:rPr>
          <w:color w:val="1E1E1E"/>
          <w:sz w:val="18"/>
        </w:rPr>
        <w:t>= ADI 2.059, rel. min. Eros Grau, j. 26-4-2006, P, DJ de 9-6-2006 Taxa em razão do poder de polícia: a Lei mato-grossense 8.033/2003 instituiu taxa em razão do exercício do poder de polícia. Poder que assiste aos órgãos diretivos do Judiciário, notadamente no plano da vigilância, orientação e correição da atividade em causa, a teor do § 1º do art. 236 da Carta-cidadã. É constitucional a destinação do produto da arrecadação da taxa de fiscalização da atividade notarial e de registro a órgão público e ao próprio Poder Judiciário.</w:t>
      </w:r>
    </w:p>
    <w:p>
      <w:pPr>
        <w:ind w:left="288"/>
      </w:pPr>
      <w:r>
        <w:rPr>
          <w:b/>
          <w:color w:val="003CA0"/>
          <w:sz w:val="16"/>
        </w:rPr>
        <w:t>[ADI 3.151, rel. min. Ayres Britto, j. 8-6-2005, P, DJ de 28-4-2006.]</w:t>
      </w:r>
    </w:p>
    <w:p>
      <w:pPr>
        <w:ind w:left="144"/>
      </w:pPr>
      <w:r>
        <w:rPr>
          <w:b/>
          <w:color w:val="B45A00"/>
          <w:sz w:val="16"/>
        </w:rPr>
        <w:t>REPERCUSSAO GERAL</w:t>
      </w:r>
    </w:p>
    <w:p>
      <w:pPr>
        <w:ind w:left="288"/>
      </w:pPr>
      <w:r>
        <w:rPr>
          <w:color w:val="8C8C8C"/>
          <w:sz w:val="12"/>
        </w:rPr>
        <w:t>cf-art-236-par-1</w:t>
      </w:r>
      <w:r>
        <w:rPr>
          <w:color w:val="003CA0"/>
          <w:sz w:val="12"/>
        </w:rPr>
        <w:t xml:space="preserve"> | RE 842.846</w:t>
      </w:r>
      <w:r>
        <w:rPr>
          <w:color w:val="003CA0"/>
          <w:sz w:val="12"/>
        </w:rPr>
        <w:t xml:space="preserve"> | rel. Luiz Fux</w:t>
      </w:r>
    </w:p>
    <w:p>
      <w:pPr>
        <w:ind w:left="288"/>
      </w:pPr>
      <w:r>
        <w:rPr>
          <w:color w:val="1E1E1E"/>
          <w:sz w:val="18"/>
        </w:rPr>
        <w:t>O Estado responde, objetivamente, pelos atos dos tabeliães e registradores oficiais que, no exercício de suas funções, causem dano a terceiros, assentado o dever de regresso contra o responsável, nos casos de dolo ou culpa, sob pena de improbidade administrativa.</w:t>
      </w:r>
    </w:p>
    <w:p>
      <w:pPr>
        <w:ind w:left="288"/>
      </w:pPr>
      <w:r>
        <w:rPr>
          <w:b/>
          <w:color w:val="003CA0"/>
          <w:sz w:val="16"/>
        </w:rPr>
        <w:t>[RE 842.846, rel. min. Luiz Fux, j. 27-2-2019, P, DJE de 13-8-2019, Tema 777, com mérito julgado.]</w:t>
      </w:r>
    </w:p>
    <w:p>
      <w:pPr>
        <w:ind w:left="144"/>
      </w:pPr>
      <w:r>
        <w:rPr>
          <w:b/>
          <w:color w:val="B45A00"/>
          <w:sz w:val="16"/>
        </w:rPr>
        <w:t>JULGADOS CORRELATOS</w:t>
      </w:r>
    </w:p>
    <w:p>
      <w:pPr>
        <w:ind w:left="288"/>
      </w:pPr>
      <w:r>
        <w:rPr>
          <w:color w:val="8C8C8C"/>
          <w:sz w:val="12"/>
        </w:rPr>
        <w:t>cf-art-236-par-1</w:t>
      </w:r>
      <w:r>
        <w:rPr>
          <w:color w:val="003CA0"/>
          <w:sz w:val="12"/>
        </w:rPr>
        <w:t xml:space="preserve"> | AO 2.702</w:t>
      </w:r>
      <w:r>
        <w:rPr>
          <w:color w:val="003CA0"/>
          <w:sz w:val="12"/>
        </w:rPr>
        <w:t xml:space="preserve"> | rel. Alexandre de Moraes</w:t>
      </w:r>
    </w:p>
    <w:p>
      <w:pPr>
        <w:ind w:left="288"/>
      </w:pPr>
      <w:r>
        <w:rPr>
          <w:color w:val="1E1E1E"/>
          <w:sz w:val="18"/>
        </w:rPr>
        <w:t>Serventia extrajudicial. Interinidade. Vedação ao nepotismo. Atuação do CNJ conforme suas prerrogativas constitucionais. (...) O Conselho Nacional de Justiça agiu no estrito âmbito de suas atribuições constitucionais, com destaque para a fiscalização do serviço notarial e de registro (arts. 103-B, § 4º, I e III, e 236, § 1º, da CF/88), ao proibir a prática do nepotismo no desempenho destes serviços em período de interinidade, dando concretude aos princípios constitucionais que informam a administração Pública. (...) A atividade desempenhada em caráter de interinidade, a despeito de iniciada po</w:t>
      </w:r>
    </w:p>
    <w:p>
      <w:pPr>
        <w:ind w:left="288"/>
      </w:pPr>
      <w:r>
        <w:rPr>
          <w:b/>
          <w:color w:val="003CA0"/>
          <w:sz w:val="16"/>
        </w:rPr>
        <w:t>[AO 2.702 AgR, rel. min. Alexandre de Moraes, j. 14-11-2022, 1ª T, DJE de 17-11-2022.]</w:t>
      </w:r>
    </w:p>
    <w:p>
      <w:pPr>
        <w:ind w:left="288"/>
      </w:pPr>
      <w:r>
        <w:rPr>
          <w:color w:val="8C8C8C"/>
          <w:sz w:val="12"/>
        </w:rPr>
        <w:t>cf-art-236-par-1</w:t>
      </w:r>
      <w:r>
        <w:rPr>
          <w:color w:val="003CA0"/>
          <w:sz w:val="12"/>
        </w:rPr>
        <w:t xml:space="preserve"> | ADI 363-1</w:t>
      </w:r>
    </w:p>
    <w:p>
      <w:pPr>
        <w:ind w:left="288"/>
      </w:pPr>
      <w:r>
        <w:rPr>
          <w:color w:val="1E1E1E"/>
          <w:sz w:val="18"/>
        </w:rPr>
        <w:t xml:space="preserve">A mens legislatoris dos arts. 14, 15 e 39, § 2º, da Lei federal 8.935/1994 (Lei dos Cartórios) aponta que a autoridade competente para proceder à declaração de vacância é a autoridade judicial, mais especificamente o presidente do tribunal de justiça da respectiva unidade da Federação. Isso porque, ante a ausência de menção expressa e tendo o legislador ordinário federal condicionado a delegação para os exercícios das atividades notariais à prévia aprovação em concurso público de provas e títulos realizado pelo Poder Judiciário (arts. 14 e 15), é de se supor que a declaração de vacância dessa </w:t>
      </w:r>
    </w:p>
    <w:p>
      <w:pPr>
        <w:ind w:left="288"/>
      </w:pPr>
      <w:r>
        <w:rPr>
          <w:b/>
          <w:color w:val="003CA0"/>
          <w:sz w:val="16"/>
        </w:rPr>
        <w:t>[RE 336.739, red. do ac. min. Luiz Fux, j. 6-5-2014, 1ª T, DJE de 15-10-2014.]</w:t>
      </w:r>
    </w:p>
    <w:p>
      <w:pPr>
        <w:ind w:left="288"/>
      </w:pPr>
      <w:r>
        <w:rPr>
          <w:color w:val="8C8C8C"/>
          <w:sz w:val="12"/>
        </w:rPr>
        <w:t>cf-art-236-par-1</w:t>
      </w:r>
      <w:r>
        <w:rPr>
          <w:color w:val="003CA0"/>
          <w:sz w:val="12"/>
        </w:rPr>
        <w:t xml:space="preserve"> | RE 255.124</w:t>
      </w:r>
      <w:r>
        <w:rPr>
          <w:color w:val="003CA0"/>
          <w:sz w:val="12"/>
        </w:rPr>
        <w:t xml:space="preserve"> | rel. Néri da Silveira</w:t>
      </w:r>
    </w:p>
    <w:p>
      <w:pPr>
        <w:ind w:left="288"/>
      </w:pPr>
      <w:r>
        <w:rPr>
          <w:color w:val="1E1E1E"/>
          <w:sz w:val="18"/>
        </w:rPr>
        <w:t xml:space="preserve">Transformação constitucional do sistema, no que concerne à execução dos serviços públicos notariais e de registro, não alcançou a extensão inicialmente pretendida, mantendo-se, em consequência, o Poder Judiciário no controle do sistema. A execução, modo privato, de serviço público, não lhe retira essa conotação específica. Não há de se ter como ofendido o art. 236 da Lei Maior, que se compõe também de parágrafos a integrarem o conjunto das normas notariais e de registro, estando consignada no § 1º, in fine, do art. 236, a fiscalização pelo Poder Judiciário dos atos dos notários e titulares de </w:t>
      </w:r>
    </w:p>
    <w:p>
      <w:pPr>
        <w:ind w:left="288"/>
      </w:pPr>
      <w:r>
        <w:rPr>
          <w:b/>
          <w:color w:val="003CA0"/>
          <w:sz w:val="16"/>
        </w:rPr>
        <w:t>[RE 255.124, rel. min. Néri da Silveira, j. 11-4-2002, P, DJ de 8-11-2002.]</w:t>
      </w:r>
    </w:p>
    <w:p>
      <w:pPr>
        <w:ind w:left="144"/>
      </w:pPr>
      <w:r>
        <w:rPr>
          <w:b/>
          <w:color w:val="B45A00"/>
          <w:sz w:val="16"/>
        </w:rPr>
        <w:t>CONTROLE CONCENTRADO</w:t>
      </w:r>
    </w:p>
    <w:p>
      <w:pPr>
        <w:ind w:left="288"/>
      </w:pPr>
      <w:r>
        <w:rPr>
          <w:color w:val="8C8C8C"/>
          <w:sz w:val="12"/>
        </w:rPr>
        <w:t>cf-art-236-par-2</w:t>
      </w:r>
      <w:r>
        <w:rPr>
          <w:color w:val="003CA0"/>
          <w:sz w:val="12"/>
        </w:rPr>
        <w:t xml:space="preserve"> | ADI 2.567</w:t>
      </w:r>
      <w:r>
        <w:rPr>
          <w:color w:val="003CA0"/>
          <w:sz w:val="12"/>
        </w:rPr>
        <w:t xml:space="preserve"> | rel. Nunes Marques</w:t>
      </w:r>
    </w:p>
    <w:p>
      <w:pPr>
        <w:ind w:left="288"/>
      </w:pPr>
      <w:r>
        <w:rPr>
          <w:color w:val="1E1E1E"/>
          <w:sz w:val="18"/>
        </w:rPr>
        <w:t>O valor exigido do usuário do serviço, na integralidade, tem natureza de emolumento, devido ao notário ou registrador em razão da prestação do serviço público correspondente. Sobre o valor dos emolumentos incide, por sua vez, taxa decorrente do exercício do poder de polícia pelo Poder Judiciário, cujo contribuinte é o próprio notário ou registrador. Constitucionalidade da destinação de parcela dos emolumentos às atividades estatais essenciais à Justiça, o que inclui os serviços administrativos dos Tribunais e o ressarcimento dos oficiais de registro ou de notas pela prática de atos gratuitos.</w:t>
        <w:br/>
      </w:r>
    </w:p>
    <w:p>
      <w:pPr>
        <w:ind w:left="288"/>
      </w:pPr>
      <w:r>
        <w:rPr>
          <w:b/>
          <w:color w:val="003CA0"/>
          <w:sz w:val="16"/>
        </w:rPr>
        <w:t>[ADI 1.790 MC, rel. min. Sepúlveda Pertence, j. 23-4-1999, P, DJ de 8-9-2000.]</w:t>
      </w:r>
    </w:p>
    <w:p>
      <w:pPr>
        <w:ind w:left="288"/>
      </w:pPr>
      <w:r>
        <w:rPr>
          <w:color w:val="8C8C8C"/>
          <w:sz w:val="12"/>
        </w:rPr>
        <w:t>cf-art-236-par-2</w:t>
      </w:r>
      <w:r>
        <w:rPr>
          <w:color w:val="003CA0"/>
          <w:sz w:val="12"/>
        </w:rPr>
        <w:t xml:space="preserve"> | ADI 1.378</w:t>
      </w:r>
      <w:r>
        <w:rPr>
          <w:color w:val="003CA0"/>
          <w:sz w:val="12"/>
        </w:rPr>
        <w:t xml:space="preserve"> | rel. Celso de Mello</w:t>
      </w:r>
    </w:p>
    <w:p>
      <w:pPr>
        <w:ind w:left="288"/>
      </w:pPr>
      <w:r>
        <w:rPr>
          <w:color w:val="1E1E1E"/>
          <w:sz w:val="18"/>
        </w:rPr>
        <w:t>A jurisprudência do STF firmou orientação no sentido de que as custas judiciais e os emolumentos concernentes aos serviços notariais e registrais possuem natureza tributária, qualificando-se como taxas remuneratórias de serviços públicos, sujeitando-se, em consequência, quer no que concerne à sua instituição e majoração, quer no que se refere à sua exigibilidade, ao regime jurídico-constitucional pertinente a essa especial modalidade de tributo vinculado, notadamente aos princípios fundamentais que proclamam, entre outras, as garantias essenciais (a) da reserva de competência impositiva, (b) d</w:t>
      </w:r>
    </w:p>
    <w:p>
      <w:pPr>
        <w:ind w:left="288"/>
      </w:pPr>
      <w:r>
        <w:rPr>
          <w:b/>
          <w:color w:val="003CA0"/>
          <w:sz w:val="16"/>
        </w:rPr>
        <w:t>[ADI 1.378 MC, rel. min. Celso de Mello, j. 30-11-1995, P, DJ de 30-5-1997.]</w:t>
      </w:r>
    </w:p>
    <w:p>
      <w:pPr>
        <w:ind w:left="288"/>
      </w:pPr>
      <w:r>
        <w:rPr>
          <w:color w:val="8C8C8C"/>
          <w:sz w:val="12"/>
        </w:rPr>
        <w:t>cf-art-236-par-2</w:t>
      </w:r>
      <w:r>
        <w:rPr>
          <w:color w:val="003CA0"/>
          <w:sz w:val="12"/>
        </w:rPr>
        <w:t xml:space="preserve"> | ADI 3.826</w:t>
      </w:r>
      <w:r>
        <w:rPr>
          <w:color w:val="003CA0"/>
          <w:sz w:val="12"/>
        </w:rPr>
        <w:t xml:space="preserve"> | rel. Eros Grau</w:t>
      </w:r>
    </w:p>
    <w:p>
      <w:pPr>
        <w:ind w:left="288"/>
      </w:pPr>
      <w:r>
        <w:rPr>
          <w:color w:val="1E1E1E"/>
          <w:sz w:val="18"/>
        </w:rPr>
        <w:t>= ADI 3.826, rel. min. Eros Grau, j. 12-5-2010, P, DJE de 20-8-2010</w:t>
      </w:r>
    </w:p>
    <w:p>
      <w:pPr>
        <w:ind w:left="288"/>
      </w:pPr>
      <w:r>
        <w:rPr>
          <w:color w:val="8C8C8C"/>
          <w:sz w:val="12"/>
        </w:rPr>
        <w:t>cf-art-236-par-3</w:t>
      </w:r>
      <w:r>
        <w:rPr>
          <w:color w:val="003CA0"/>
          <w:sz w:val="12"/>
        </w:rPr>
        <w:t xml:space="preserve"> | ADI 6.958</w:t>
      </w:r>
      <w:r>
        <w:rPr>
          <w:color w:val="003CA0"/>
          <w:sz w:val="12"/>
        </w:rPr>
        <w:t xml:space="preserve"> | rel. Gilmar Mendes</w:t>
      </w:r>
    </w:p>
    <w:p>
      <w:pPr>
        <w:ind w:left="288"/>
      </w:pPr>
      <w:r>
        <w:rPr>
          <w:color w:val="1E1E1E"/>
          <w:sz w:val="18"/>
        </w:rPr>
        <w:t xml:space="preserve">A Lei 13.489/2017, ao convalidar as remoções de titulares de serviços notariais e de registro realizadas em conformidade com normas estaduais e do Distrito Federal, viola o art. 236, § 3º, da Constituição Federal, na medida em que abrange aquelas realizadas sem concurso público específico de provas e títulos. A legislação ora impugnada busca convalidar situações já tidas por inconstitucionais pelo Conselho Nacional de Justiça e por esta Suprema Corte e promove um estado de insegurança jurídica, decorrente dessa tentativa de burlar o texto constitucional e de desconsiderar o entendimento deste </w:t>
      </w:r>
    </w:p>
    <w:p>
      <w:pPr>
        <w:ind w:left="288"/>
      </w:pPr>
      <w:r>
        <w:rPr>
          <w:b/>
          <w:color w:val="003CA0"/>
          <w:sz w:val="16"/>
        </w:rPr>
        <w:t>[ADI 6.958, rel. min. Gilmar Mendes, j. 17.02.2025, P, DJE de 21.02.2025.]</w:t>
      </w:r>
    </w:p>
    <w:p>
      <w:pPr>
        <w:ind w:left="288"/>
      </w:pPr>
      <w:r>
        <w:rPr>
          <w:color w:val="8C8C8C"/>
          <w:sz w:val="12"/>
        </w:rPr>
        <w:t>cf-art-236-par-3</w:t>
      </w:r>
      <w:r>
        <w:rPr>
          <w:color w:val="003CA0"/>
          <w:sz w:val="12"/>
        </w:rPr>
        <w:t xml:space="preserve"> | ADI 7.655</w:t>
      </w:r>
      <w:r>
        <w:rPr>
          <w:color w:val="003CA0"/>
          <w:sz w:val="12"/>
        </w:rPr>
        <w:t xml:space="preserve"> | rel. Alexandre de Moraes</w:t>
      </w:r>
    </w:p>
    <w:p>
      <w:pPr>
        <w:ind w:left="288"/>
      </w:pPr>
      <w:r>
        <w:rPr>
          <w:color w:val="1E1E1E"/>
          <w:sz w:val="18"/>
        </w:rPr>
        <w:t>Exigência constitucional de preenchimento de vaga em serventia extrajudicial desacumulada por concurso público. Ausência de violação constitucional à acumulação de especialidade em serventia preexistente, caso o delegatário tenha sido habilitado, por concurso público, para uma das atividades na hipótese excepcional do art. 26, parágrafo único da Lei 8.935/1994.</w:t>
        <w:br/>
        <w:t>[ADI 7.655, rel. min. Alexandre de Moraes, j. 09.09.2024, P, DJE de 18.09.2024.] Segundo o firme entendimento jurisprudencial do STF, não há uma “carreira” de notários e registradores. Como não constitui uma etapa na “carreira” dos cart</w:t>
      </w:r>
    </w:p>
    <w:p>
      <w:pPr>
        <w:ind w:left="288"/>
      </w:pPr>
      <w:r>
        <w:rPr>
          <w:b/>
          <w:color w:val="003CA0"/>
          <w:sz w:val="16"/>
        </w:rPr>
        <w:t>[ADI 3.748, rel. min. Marco Aurélio, red. do ac. min. Dias Toffoli, j. 19.6.2023, P, DJE de 17.8.2023.]</w:t>
      </w:r>
    </w:p>
    <w:p>
      <w:pPr>
        <w:ind w:left="288"/>
      </w:pPr>
      <w:r>
        <w:rPr>
          <w:color w:val="8C8C8C"/>
          <w:sz w:val="12"/>
        </w:rPr>
        <w:t>cf-art-236-par-3</w:t>
      </w:r>
      <w:r>
        <w:rPr>
          <w:color w:val="003CA0"/>
          <w:sz w:val="12"/>
        </w:rPr>
        <w:t xml:space="preserve"> | ADI 1.183</w:t>
      </w:r>
      <w:r>
        <w:rPr>
          <w:color w:val="003CA0"/>
          <w:sz w:val="12"/>
        </w:rPr>
        <w:t xml:space="preserve"> | rel. Nunes Marques</w:t>
      </w:r>
    </w:p>
    <w:p>
      <w:pPr>
        <w:ind w:left="288"/>
      </w:pPr>
      <w:r>
        <w:rPr>
          <w:color w:val="1E1E1E"/>
          <w:sz w:val="18"/>
        </w:rPr>
        <w:t>“O art. 20 da Lei n.º 8.935/94 é constitucional, sendo, todavia, inconstitucional a interpretação que extraia desse dispositivo a possibilidade de que prepostos, indicados pelo titular ou mesmo pelos tribunais de justiça, possam exercer substituições ininterruptas por períodos maiores de que 6 (seis) meses. Para essas longas substituições, a solução é mesmo aquela apontada pelo autor da ação: o ‘substituto’ deve ser outro notário ou registrador, observadas as leis locais de organização do serviço notarial e registral, e sem prejuízo da abertura do concurso público respectivo. Apenas assim se p</w:t>
      </w:r>
    </w:p>
    <w:p>
      <w:pPr>
        <w:ind w:left="288"/>
      </w:pPr>
      <w:r>
        <w:rPr>
          <w:b/>
          <w:color w:val="003CA0"/>
          <w:sz w:val="16"/>
        </w:rPr>
        <w:t>[ADI 1.183, rel. min. Nunes Marques, j. 7-6-2021, P, DJE de 21-6-2021.]</w:t>
      </w:r>
    </w:p>
    <w:p>
      <w:pPr>
        <w:ind w:left="288"/>
      </w:pPr>
      <w:r>
        <w:rPr>
          <w:color w:val="8C8C8C"/>
          <w:sz w:val="12"/>
        </w:rPr>
        <w:t>cf-art-236-par-3</w:t>
      </w:r>
      <w:r>
        <w:rPr>
          <w:color w:val="003CA0"/>
          <w:sz w:val="12"/>
        </w:rPr>
        <w:t xml:space="preserve"> | ADI 3.580</w:t>
      </w:r>
      <w:r>
        <w:rPr>
          <w:color w:val="003CA0"/>
          <w:sz w:val="12"/>
        </w:rPr>
        <w:t xml:space="preserve"> | rel. Gilmar Mendes</w:t>
      </w:r>
    </w:p>
    <w:p>
      <w:pPr>
        <w:ind w:left="288"/>
      </w:pPr>
      <w:r>
        <w:rPr>
          <w:color w:val="1E1E1E"/>
          <w:sz w:val="18"/>
        </w:rPr>
        <w:t>Concurso Público de Ingresso e Remoção nos Serviços Notariais e de Registro. Apresentação dos seguintes títulos: a) tempo de serviço prestado como titular, interino, substituto ou escrevente em serviço notarial e de registro (art. 17, I); b) apresentação de temas em congressos relacionados com os serviços notariais e registrais (art. 17, II). Violação ao princípio constitucional da isonomia. Atividades específicas relacionadas às atividades notarial e de registro.</w:t>
      </w:r>
    </w:p>
    <w:p>
      <w:pPr>
        <w:ind w:left="288"/>
      </w:pPr>
      <w:r>
        <w:rPr>
          <w:b/>
          <w:color w:val="003CA0"/>
          <w:sz w:val="16"/>
        </w:rPr>
        <w:t>[ADI 3.580, rel. min. Gilmar Mendes, j. 20-5-2015, P, DJE de 3-8-2015.]</w:t>
      </w:r>
    </w:p>
    <w:p>
      <w:pPr>
        <w:ind w:left="288"/>
      </w:pPr>
      <w:r>
        <w:rPr>
          <w:color w:val="8C8C8C"/>
          <w:sz w:val="12"/>
        </w:rPr>
        <w:t>cf-art-236-par-3</w:t>
      </w:r>
      <w:r>
        <w:rPr>
          <w:color w:val="003CA0"/>
          <w:sz w:val="12"/>
        </w:rPr>
        <w:t xml:space="preserve"> | ADI 4.178</w:t>
      </w:r>
      <w:r>
        <w:rPr>
          <w:color w:val="003CA0"/>
          <w:sz w:val="12"/>
        </w:rPr>
        <w:t xml:space="preserve"> | rel. Cezar Peluso</w:t>
      </w:r>
    </w:p>
    <w:p>
      <w:pPr>
        <w:ind w:left="288"/>
      </w:pPr>
      <w:r>
        <w:rPr>
          <w:color w:val="1E1E1E"/>
          <w:sz w:val="18"/>
        </w:rPr>
        <w:t>= ADI 4.178 MC-REF, rel. min. Cezar Peluso, j. 4-2-2010, P, DJE de 7-5-2010 É constitucional o ato normativo do Tribunal de Justiça do Estado de Goiás que estabelece regras gerais e bem definidas para a promoção de concursos públicos unificados de provimento e remoção de serventias vagas naquela unidade da Federação. Também não há vício de inconstitucionalidade na decisão de realizar concurso público, quando reconhecida a vacância de centenas de serventias extrajudiciais, muitas delas ocupadas, já há muitos anos, por respondentes interinos, em direta e inaceitável afronta ao disposto no art. 2</w:t>
      </w:r>
    </w:p>
    <w:p>
      <w:pPr>
        <w:ind w:left="288"/>
      </w:pPr>
      <w:r>
        <w:rPr>
          <w:b/>
          <w:color w:val="003CA0"/>
          <w:sz w:val="16"/>
        </w:rPr>
        <w:t>[ADI 4.140, rel. min. Ellen Gracie, j. 29-6-2011, P, DJE de 20-9-2011.]</w:t>
      </w:r>
    </w:p>
    <w:p>
      <w:pPr>
        <w:ind w:left="288"/>
      </w:pPr>
      <w:r>
        <w:rPr>
          <w:color w:val="8C8C8C"/>
          <w:sz w:val="12"/>
        </w:rPr>
        <w:t>cf-art-236-par-3</w:t>
      </w:r>
      <w:r>
        <w:rPr>
          <w:color w:val="003CA0"/>
          <w:sz w:val="12"/>
        </w:rPr>
        <w:t xml:space="preserve"> | ADI 3.248</w:t>
      </w:r>
      <w:r>
        <w:rPr>
          <w:color w:val="003CA0"/>
          <w:sz w:val="12"/>
        </w:rPr>
        <w:t xml:space="preserve"> | rel. Ricardo Lewandowski</w:t>
      </w:r>
    </w:p>
    <w:p>
      <w:pPr>
        <w:ind w:left="288"/>
      </w:pPr>
      <w:r>
        <w:rPr>
          <w:color w:val="1E1E1E"/>
          <w:sz w:val="18"/>
        </w:rPr>
        <w:t>Constitui afronta ao § 3º do art. 236 da CF dispositivo de lei estadual que autoriza a remoção de notários e registradores por meio de simples requerimento do interessado, sujeito à aprovação discricionária do Conselho de Magistratura local, independentemente de concurso. A declaração de inconstitucionalidade não exclui a necessidade de confirmação dos atos praticados pelos notários ou registradores removidos com base no dispositivo inconstitucional até o ingresso de serventuário removido após a realização de concurso. Isso porque, com fundamento na aparência de legalidade dos atos por eles pr</w:t>
      </w:r>
    </w:p>
    <w:p>
      <w:pPr>
        <w:ind w:left="288"/>
      </w:pPr>
      <w:r>
        <w:rPr>
          <w:b/>
          <w:color w:val="003CA0"/>
          <w:sz w:val="16"/>
        </w:rPr>
        <w:t>[ADI 3.248, rel. min. Ricardo Lewandowski, j. 23-2-2011, P, DJE de 24-5-2011.]</w:t>
      </w:r>
    </w:p>
    <w:p>
      <w:pPr>
        <w:ind w:left="288"/>
      </w:pPr>
      <w:r>
        <w:rPr>
          <w:color w:val="8C8C8C"/>
          <w:sz w:val="12"/>
        </w:rPr>
        <w:t>cf-art-236-par-3</w:t>
      </w:r>
      <w:r>
        <w:rPr>
          <w:color w:val="003CA0"/>
          <w:sz w:val="12"/>
        </w:rPr>
        <w:t xml:space="preserve"> | ADI 3.830</w:t>
      </w:r>
      <w:r>
        <w:rPr>
          <w:color w:val="003CA0"/>
          <w:sz w:val="12"/>
        </w:rPr>
        <w:t xml:space="preserve"> | rel. Marco Aurélio</w:t>
      </w:r>
    </w:p>
    <w:p>
      <w:pPr>
        <w:ind w:left="288"/>
      </w:pPr>
      <w:r>
        <w:rPr>
          <w:color w:val="1E1E1E"/>
          <w:sz w:val="18"/>
        </w:rPr>
        <w:t>Concurso público. Serviços de notas e de registros. (...) Não conflitam com a Carta da República preceitos direcionados a conferir pontuação a títulos concernentes às funções notarial e de registro bem como à prática da advocacia ou ao exercício da magistratura e da promotoria.</w:t>
      </w:r>
    </w:p>
    <w:p>
      <w:pPr>
        <w:ind w:left="288"/>
      </w:pPr>
      <w:r>
        <w:rPr>
          <w:b/>
          <w:color w:val="003CA0"/>
          <w:sz w:val="16"/>
        </w:rPr>
        <w:t>[ADI 3.830, rel. min. Marco Aurélio, j. 23-2-2011, P, DJE de 12-5-2011.]</w:t>
      </w:r>
    </w:p>
    <w:p>
      <w:pPr>
        <w:ind w:left="288"/>
      </w:pPr>
      <w:r>
        <w:rPr>
          <w:color w:val="8C8C8C"/>
          <w:sz w:val="12"/>
        </w:rPr>
        <w:t>cf-art-236-par-3</w:t>
      </w:r>
      <w:r>
        <w:rPr>
          <w:color w:val="003CA0"/>
          <w:sz w:val="12"/>
        </w:rPr>
        <w:t xml:space="preserve"> | ADI 4.178</w:t>
      </w:r>
      <w:r>
        <w:rPr>
          <w:color w:val="003CA0"/>
          <w:sz w:val="12"/>
        </w:rPr>
        <w:t xml:space="preserve"> | rel. Cezar Peluso</w:t>
      </w:r>
    </w:p>
    <w:p>
      <w:pPr>
        <w:ind w:left="288"/>
      </w:pPr>
      <w:r>
        <w:rPr>
          <w:color w:val="1E1E1E"/>
          <w:sz w:val="18"/>
        </w:rPr>
        <w:t>Para fins de concessão de liminar em ação direta, devem ter por marco inicial a data de ingresso no serviço, em interpretação conforme à Constituição, as condições pessoais ligadas à atuação anterior na atividade, objeto de lei que estabelece critérios de valoração de títulos em concurso de remoção nos serviços notariais e de registro.</w:t>
      </w:r>
    </w:p>
    <w:p>
      <w:pPr>
        <w:ind w:left="288"/>
      </w:pPr>
      <w:r>
        <w:rPr>
          <w:b/>
          <w:color w:val="003CA0"/>
          <w:sz w:val="16"/>
        </w:rPr>
        <w:t>[ADI 4.178 MC-REF, rel. min. Cezar Peluso, j. 4-2-2010, P, DJE de 7-5-2010.]</w:t>
      </w:r>
    </w:p>
    <w:p>
      <w:pPr>
        <w:ind w:left="288"/>
      </w:pPr>
      <w:r>
        <w:rPr>
          <w:color w:val="8C8C8C"/>
          <w:sz w:val="12"/>
        </w:rPr>
        <w:t>cf-art-236-par-3</w:t>
      </w:r>
      <w:r>
        <w:rPr>
          <w:color w:val="003CA0"/>
          <w:sz w:val="12"/>
        </w:rPr>
        <w:t xml:space="preserve"> | AI 830.011</w:t>
      </w:r>
      <w:r>
        <w:rPr>
          <w:color w:val="003CA0"/>
          <w:sz w:val="12"/>
        </w:rPr>
        <w:t xml:space="preserve"> | rel. Luiz Fux</w:t>
      </w:r>
    </w:p>
    <w:p>
      <w:pPr>
        <w:ind w:left="288"/>
      </w:pPr>
      <w:r>
        <w:rPr>
          <w:color w:val="1E1E1E"/>
          <w:sz w:val="18"/>
        </w:rPr>
        <w:t>Vide AI 830.011 AgR, rel. min. Luiz Fux, j. 26-6-2012, 1ª T, DJE de 14-8-2012 Art. 32 do ADCT da Constituição do Estado do Espírito Santo em flagrante contrariedade com o § 3º do art. 236 da CF/1988. Injustificável o direito de opção dos escreventes juramentados pelo regime jurídico dos servidores públicos civis pelo fato de não haver necessidade de realização de concurso público para o preenchimento dos referidos cargos. Declarada a inconstitucionalidade do art. 32 do ADCT da Constituição do Estado do Espírito Santo, tendo em vista que tal dispositivo faculta o acesso daqueles que exercem ati</w:t>
      </w:r>
    </w:p>
    <w:p>
      <w:pPr>
        <w:ind w:left="288"/>
      </w:pPr>
      <w:r>
        <w:rPr>
          <w:b/>
          <w:color w:val="003CA0"/>
          <w:sz w:val="16"/>
        </w:rPr>
        <w:t>[ADI 423, red. do ac. min. min. Gilmar Mendes, j. 2-8-2007, P, DJ de 24-8-2007.]</w:t>
      </w:r>
    </w:p>
    <w:p>
      <w:pPr>
        <w:ind w:left="288"/>
      </w:pPr>
      <w:r>
        <w:rPr>
          <w:color w:val="8C8C8C"/>
          <w:sz w:val="12"/>
        </w:rPr>
        <w:t>cf-art-236-par-3</w:t>
      </w:r>
      <w:r>
        <w:rPr>
          <w:color w:val="003CA0"/>
          <w:sz w:val="12"/>
        </w:rPr>
        <w:t xml:space="preserve"> | ADI 3.016</w:t>
      </w:r>
      <w:r>
        <w:rPr>
          <w:color w:val="003CA0"/>
          <w:sz w:val="12"/>
        </w:rPr>
        <w:t xml:space="preserve"> | rel. Gilmar Mendes</w:t>
      </w:r>
    </w:p>
    <w:p>
      <w:pPr>
        <w:ind w:left="288"/>
      </w:pPr>
      <w:r>
        <w:rPr>
          <w:color w:val="1E1E1E"/>
          <w:sz w:val="18"/>
        </w:rPr>
        <w:t>Ação direta de inconstitucionalidade. Lei estadual cearence 12.832, de 10 de julho de 1998, que assegura aos titulares efetivos dos Ofícios de Registro Civil das Pessoas Naturais, na vacância das comarcas vinculadas criadas por lei estadual, o direito de assumir, na mesma comarca, a titularidade dos Ofícios de Notas, Protestos, Registro de Títulos e Documentos e Civil das Pessoas Jurídicas e Registro Civil das Pessoas Naturais. Alegação de violação ao art. 37, II, da CF (princípio do concurso público). Precedentes. Ação julgada procedente.</w:t>
      </w:r>
    </w:p>
    <w:p>
      <w:pPr>
        <w:ind w:left="288"/>
      </w:pPr>
      <w:r>
        <w:rPr>
          <w:b/>
          <w:color w:val="003CA0"/>
          <w:sz w:val="16"/>
        </w:rPr>
        <w:t>[ADI 3.016, rel. min. Gilmar Mendes, j. 18-10-2006, P, DJ de 16-3-2007.]</w:t>
      </w:r>
    </w:p>
    <w:p>
      <w:pPr>
        <w:ind w:left="288"/>
      </w:pPr>
      <w:r>
        <w:rPr>
          <w:color w:val="8C8C8C"/>
          <w:sz w:val="12"/>
        </w:rPr>
        <w:t>cf-art-236-par-3</w:t>
      </w:r>
      <w:r>
        <w:rPr>
          <w:color w:val="003CA0"/>
          <w:sz w:val="12"/>
        </w:rPr>
        <w:t xml:space="preserve"> | ADI 3.522</w:t>
      </w:r>
    </w:p>
    <w:p>
      <w:pPr>
        <w:ind w:left="288"/>
      </w:pPr>
      <w:r>
        <w:rPr>
          <w:color w:val="1E1E1E"/>
          <w:sz w:val="18"/>
        </w:rPr>
        <w:t>Alfim, registro que provejo os embargos declaratórios para, fixando os limites supra do acórdão proferido, prestar os esclarecimentos consignados, conferindo interpretação aos textos legais conforme a Constituição. Isso implica a consideração do tempo de serviço, para efeito de remoção, tendo como marco inicial a assunção do cargo mediante concurso.</w:t>
      </w:r>
    </w:p>
    <w:p>
      <w:pPr>
        <w:ind w:left="288"/>
      </w:pPr>
      <w:r>
        <w:rPr>
          <w:b/>
          <w:color w:val="003CA0"/>
          <w:sz w:val="16"/>
        </w:rPr>
        <w:t>[ADI 3.522 ED, voto do min. Marco Aurélio, j. 20-9-2006, P, DJ de 7-12-2006.]</w:t>
      </w:r>
    </w:p>
    <w:p>
      <w:pPr>
        <w:ind w:left="288"/>
      </w:pPr>
      <w:r>
        <w:rPr>
          <w:color w:val="8C8C8C"/>
          <w:sz w:val="12"/>
        </w:rPr>
        <w:t>cf-art-236-par-3</w:t>
      </w:r>
      <w:r>
        <w:rPr>
          <w:color w:val="003CA0"/>
          <w:sz w:val="12"/>
        </w:rPr>
        <w:t xml:space="preserve"> | ADI 1.855</w:t>
      </w:r>
      <w:r>
        <w:rPr>
          <w:color w:val="003CA0"/>
          <w:sz w:val="12"/>
        </w:rPr>
        <w:t xml:space="preserve"> | rel. Nelson Jobim</w:t>
      </w:r>
    </w:p>
    <w:p>
      <w:pPr>
        <w:ind w:left="288"/>
      </w:pPr>
      <w:r>
        <w:rPr>
          <w:color w:val="1E1E1E"/>
          <w:sz w:val="18"/>
        </w:rPr>
        <w:t>Lei estadual que estabelece normas para a realização do concurso de remoção das atividades notariais e de registro. Dispositivo que assegura ao técnico judiciário juramentado o direito de promoção à titularidade da mesma serventia e dá preferência para o preenchimento de vagas, em qualquer concurso, aos substitutos e responsáveis pelos expedientes das respectivas serventias. Ofensa aos arts. 37, II, e 236, § 3º, da CF.</w:t>
      </w:r>
    </w:p>
    <w:p>
      <w:pPr>
        <w:ind w:left="288"/>
      </w:pPr>
      <w:r>
        <w:rPr>
          <w:b/>
          <w:color w:val="003CA0"/>
          <w:sz w:val="16"/>
        </w:rPr>
        <w:t>[ADI 1.855, rel. min. Nelson Jobim, j. 16-5-2002, P, DJ de 19-12-2002.]</w:t>
      </w:r>
    </w:p>
    <w:p>
      <w:pPr>
        <w:ind w:left="288"/>
      </w:pPr>
      <w:r>
        <w:rPr>
          <w:color w:val="8C8C8C"/>
          <w:sz w:val="12"/>
        </w:rPr>
        <w:t>cf-art-236-par-3</w:t>
      </w:r>
      <w:r>
        <w:rPr>
          <w:color w:val="003CA0"/>
          <w:sz w:val="12"/>
        </w:rPr>
        <w:t xml:space="preserve"> | ADI 363</w:t>
      </w:r>
      <w:r>
        <w:rPr>
          <w:color w:val="003CA0"/>
          <w:sz w:val="12"/>
        </w:rPr>
        <w:t xml:space="preserve"> | rel. Sydney Sanches</w:t>
      </w:r>
    </w:p>
    <w:p>
      <w:pPr>
        <w:ind w:left="288"/>
      </w:pPr>
      <w:r>
        <w:rPr>
          <w:color w:val="1E1E1E"/>
          <w:sz w:val="18"/>
        </w:rPr>
        <w:t>Serventias judiciais e extrajudiciais. Concurso público: arts. 37, II, e 236, § 3º, da CF. Ação direta de inconstitucionalidade do art. 14 do ADCT da Constituição do Estado de Santa Catarina, de 5-10-1989, que diz: "Fica assegurada aos substitutos das serventias, na vacância, a efetivação no cargo de titular, desde que, investidos na forma da lei, estejam em efetivo exercício, pelo prazo de três anos, na mesma serventia, na data da promulgação da Constituição". É inconstitucional esse dispositivo por violar o princípio que exige concurso público de provas ou de provas e títulos, para a investi</w:t>
      </w:r>
    </w:p>
    <w:p>
      <w:pPr>
        <w:ind w:left="288"/>
      </w:pPr>
      <w:r>
        <w:rPr>
          <w:b/>
          <w:color w:val="003CA0"/>
          <w:sz w:val="16"/>
        </w:rPr>
        <w:t>[ADI 363, rel. min. Sydney Sanches, j. 15-2-1996, P, DJ de 3-5-1996.]</w:t>
      </w:r>
    </w:p>
    <w:p>
      <w:pPr>
        <w:ind w:left="288"/>
      </w:pPr>
      <w:r>
        <w:rPr>
          <w:color w:val="8C8C8C"/>
          <w:sz w:val="12"/>
        </w:rPr>
        <w:t>cf-art-236-par-3</w:t>
      </w:r>
      <w:r>
        <w:rPr>
          <w:color w:val="003CA0"/>
          <w:sz w:val="12"/>
        </w:rPr>
        <w:t xml:space="preserve"> | AI 719.760</w:t>
      </w:r>
      <w:r>
        <w:rPr>
          <w:color w:val="003CA0"/>
          <w:sz w:val="12"/>
        </w:rPr>
        <w:t xml:space="preserve"> | rel. Gilmar Mendes</w:t>
      </w:r>
    </w:p>
    <w:p>
      <w:pPr>
        <w:ind w:left="288"/>
      </w:pPr>
      <w:r>
        <w:rPr>
          <w:color w:val="1E1E1E"/>
          <w:sz w:val="18"/>
        </w:rPr>
        <w:t>= AI 719.760 AgR, rel. min. Gilmar Mendes, j. 16-11-2010, 2ª T, DJE de 1º-12-2010 Vide AI 541.408 AgR, rel. min. Ricardo Lewandowski, j. 23-6-2009, 1ª T, DJE de 14-8-2009 Vide RE 182.641, rel. min. Octavio Gallotti, j. 22-8-1995, 1ª T, DJ de 15-3-1996</w:t>
      </w:r>
    </w:p>
    <w:p>
      <w:pPr>
        <w:ind w:left="144"/>
      </w:pPr>
      <w:r>
        <w:rPr>
          <w:b/>
          <w:color w:val="B45A00"/>
          <w:sz w:val="16"/>
        </w:rPr>
        <w:t>JULGADOS CORRELATOS</w:t>
      </w:r>
    </w:p>
    <w:p>
      <w:pPr>
        <w:ind w:left="288"/>
      </w:pPr>
      <w:r>
        <w:rPr>
          <w:color w:val="8C8C8C"/>
          <w:sz w:val="12"/>
        </w:rPr>
        <w:t>cf-art-236-par-3</w:t>
      </w:r>
      <w:r>
        <w:rPr>
          <w:color w:val="003CA0"/>
          <w:sz w:val="12"/>
        </w:rPr>
        <w:t xml:space="preserve"> | MS 39.347</w:t>
      </w:r>
      <w:r>
        <w:rPr>
          <w:color w:val="003CA0"/>
          <w:sz w:val="12"/>
        </w:rPr>
        <w:t xml:space="preserve"> | rel. Nunes Marques</w:t>
      </w:r>
    </w:p>
    <w:p>
      <w:pPr>
        <w:ind w:left="288"/>
      </w:pPr>
      <w:r>
        <w:rPr>
          <w:color w:val="1E1E1E"/>
          <w:sz w:val="18"/>
        </w:rPr>
        <w:t>Não há ilegalidade na designação, pelo Conselho Nacional de Justiça, de membros do Ministério Público Federal para integrarem a banca examinadora do Concurso Público para Outorga de Delegações de Notas e Registros do Estado de Alagoas, na medida em que ao próprio órgão de controle, mediante deliberação do Plenário, foi atribuída a realização do certame, depois de terem sido constatadas irregularidades no concurso feito pelo Tribunal de Justiça estadual.</w:t>
        <w:br/>
        <w:t>[MS 39.347, rel. min. Nunes Marques, j. 04.03.2024, 2ª T, DJE de 08.03.2024.] Ocupação irregular de serventia sem prévia aprovação em concurso</w:t>
      </w:r>
    </w:p>
    <w:p>
      <w:pPr>
        <w:ind w:left="288"/>
      </w:pPr>
      <w:r>
        <w:rPr>
          <w:b/>
          <w:color w:val="003CA0"/>
          <w:sz w:val="16"/>
        </w:rPr>
        <w:t>[MS 29.265 AgR, rel. min. Rosa Weber, j. 30-8-2016, 1ª T, DJE de 11-5-2017.]</w:t>
      </w:r>
    </w:p>
    <w:p>
      <w:pPr>
        <w:ind w:left="288"/>
      </w:pPr>
      <w:r>
        <w:rPr>
          <w:color w:val="8C8C8C"/>
          <w:sz w:val="12"/>
        </w:rPr>
        <w:t>cf-art-236-par-3</w:t>
      </w:r>
      <w:r>
        <w:rPr>
          <w:color w:val="003CA0"/>
          <w:sz w:val="12"/>
        </w:rPr>
        <w:t xml:space="preserve"> | MS 31.228</w:t>
      </w:r>
      <w:r>
        <w:rPr>
          <w:color w:val="003CA0"/>
          <w:sz w:val="12"/>
        </w:rPr>
        <w:t xml:space="preserve"> | rel. Luiz Fux</w:t>
      </w:r>
    </w:p>
    <w:p>
      <w:pPr>
        <w:ind w:left="288"/>
      </w:pPr>
      <w:r>
        <w:rPr>
          <w:color w:val="1E1E1E"/>
          <w:sz w:val="18"/>
        </w:rPr>
        <w:t>As serventias vagas, embora sub judice, devem ser incluídas no edital de concurso para ingresso/remoção referente à atividade notarial e de registro. A administração do tribunal de justiça deve incluir no edital do concurso público a serventia extrajudicial sub judice em conjunto com a informação de que ela se encontra sob o crivo judicial. O princípio da razoabilidade recomenda que não se dê provimento a serventia cuja vacância esteja sendo contestada judicialmente, antes do trânsito em julgado da respectiva decisão. Consectariamente, a entrega da serventia ao aprovado no certame depende do e</w:t>
      </w:r>
    </w:p>
    <w:p>
      <w:pPr>
        <w:ind w:left="288"/>
      </w:pPr>
      <w:r>
        <w:rPr>
          <w:b/>
          <w:color w:val="003CA0"/>
          <w:sz w:val="16"/>
        </w:rPr>
        <w:t>[MS 31.228, rel. min. Luiz Fux, j. 4-8-2015, 1ª T, DJE de 13-10-2015.]</w:t>
      </w:r>
    </w:p>
    <w:p>
      <w:pPr>
        <w:ind w:left="288"/>
      </w:pPr>
      <w:r>
        <w:rPr>
          <w:color w:val="8C8C8C"/>
          <w:sz w:val="12"/>
        </w:rPr>
        <w:t>cf-art-236-par-3</w:t>
      </w:r>
      <w:r>
        <w:rPr>
          <w:color w:val="003CA0"/>
          <w:sz w:val="12"/>
        </w:rPr>
        <w:t xml:space="preserve"> | MS 32.074</w:t>
      </w:r>
      <w:r>
        <w:rPr>
          <w:color w:val="003CA0"/>
          <w:sz w:val="12"/>
        </w:rPr>
        <w:t xml:space="preserve"> | rel. Luiz Fux</w:t>
      </w:r>
    </w:p>
    <w:p>
      <w:pPr>
        <w:ind w:left="288"/>
      </w:pPr>
      <w:r>
        <w:rPr>
          <w:color w:val="1E1E1E"/>
          <w:sz w:val="18"/>
        </w:rPr>
        <w:t>A Resolução 75/2009 do CNJ, ao dispor sobre concursos públicos para ingresso na magistratura, conferiu natureza apenas classificatória à prova de títulos, não havendo qualquer fundamento lógico ou jurídico para que haja regime diferente nos concursos públicos para ingresso nos serviços notarial e registral, atualmente disciplinados pela Resolução 81/2009. A Resolução 81/2009 do CNJ incorre em evidente erro material ao afirmar, por um lado, que o exame de títulos nos concursos para ingresso nos serviços notarial e registral terá caráter apenas classificatório (...), mas, por outro lado, consagr</w:t>
      </w:r>
    </w:p>
    <w:p>
      <w:pPr>
        <w:ind w:left="288"/>
      </w:pPr>
      <w:r>
        <w:rPr>
          <w:b/>
          <w:color w:val="003CA0"/>
          <w:sz w:val="16"/>
        </w:rPr>
        <w:t>[MS 32.074, rel. min. Luiz Fux, j. 2-9-2014, 1ª T, DJE de 5-11-2014.]</w:t>
      </w:r>
    </w:p>
    <w:p>
      <w:pPr>
        <w:ind w:left="288"/>
      </w:pPr>
      <w:r>
        <w:rPr>
          <w:color w:val="8C8C8C"/>
          <w:sz w:val="12"/>
        </w:rPr>
        <w:t>cf-art-236-par-3</w:t>
      </w:r>
      <w:r>
        <w:rPr>
          <w:color w:val="003CA0"/>
          <w:sz w:val="12"/>
        </w:rPr>
        <w:t xml:space="preserve"> | ADI 363-1</w:t>
      </w:r>
    </w:p>
    <w:p>
      <w:pPr>
        <w:ind w:left="288"/>
      </w:pPr>
      <w:r>
        <w:rPr>
          <w:color w:val="1E1E1E"/>
          <w:sz w:val="18"/>
        </w:rPr>
        <w:t xml:space="preserve">A mens legislatoris dos arts. 14, 15 e 39, § 2º, da Lei federal 8.935/1994 (Lei dos Cartórios) aponta que a autoridade competente para proceder à declaração de vacância é a autoridade judicial, mais especificamente o presidente do tribunal de justiça da respectiva unidade da Federação. Isso porque, ante a ausência de menção expressa e tendo o legislador ordinário federal condicionado a delegação para os exercícios das atividades notariais à prévia aprovação em concurso público de provas e títulos realizado pelo Poder Judiciário (arts. 14 e 15), é de se supor que a declaração de vacância dessa </w:t>
      </w:r>
    </w:p>
    <w:p>
      <w:pPr>
        <w:ind w:left="288"/>
      </w:pPr>
      <w:r>
        <w:rPr>
          <w:b/>
          <w:color w:val="003CA0"/>
          <w:sz w:val="16"/>
        </w:rPr>
        <w:t>[RE 336.739, red. do ac. min. Luiz Fux, j. 6-5-2014, 1ª T, DJE de 15-10-2014.]</w:t>
      </w:r>
    </w:p>
    <w:p>
      <w:pPr>
        <w:ind w:left="288"/>
      </w:pPr>
      <w:r>
        <w:rPr>
          <w:color w:val="8C8C8C"/>
          <w:sz w:val="12"/>
        </w:rPr>
        <w:t>cf-art-236-par-3</w:t>
      </w:r>
      <w:r>
        <w:rPr>
          <w:color w:val="003CA0"/>
          <w:sz w:val="12"/>
        </w:rPr>
        <w:t xml:space="preserve"> | AI 830.011</w:t>
      </w:r>
      <w:r>
        <w:rPr>
          <w:color w:val="003CA0"/>
          <w:sz w:val="12"/>
        </w:rPr>
        <w:t xml:space="preserve"> | rel. Luiz Fux</w:t>
      </w:r>
    </w:p>
    <w:p>
      <w:pPr>
        <w:ind w:left="288"/>
      </w:pPr>
      <w:r>
        <w:rPr>
          <w:color w:val="1E1E1E"/>
          <w:sz w:val="18"/>
        </w:rPr>
        <w:t>É inconstitucional a atribuição supervalorizada de pontos, na prova de títulos em concurso público para o cargo de notário, pelo exercício anterior de atividade cartorária em detrimento de outras atividades jurídicas. Todavia, o princípio constitucional da isonomia é atendido pela atribuição proporcional de pontos aos candidatos exercentes de atividade notarial e de outras atividades jurídicas, revelando-se inconstitucional a decisão que determina a extirpação total de pontos referentes aos títulos obtidos pelo exercício daquela atividade.</w:t>
      </w:r>
    </w:p>
    <w:p>
      <w:pPr>
        <w:ind w:left="288"/>
      </w:pPr>
      <w:r>
        <w:rPr>
          <w:b/>
          <w:color w:val="003CA0"/>
          <w:sz w:val="16"/>
        </w:rPr>
        <w:t>[AI 830.011 AgR, rel. min. Luiz Fux, j. 26-6-2012, 1ª T, DJE de 14-8-2012.]</w:t>
      </w:r>
    </w:p>
    <w:p>
      <w:pPr>
        <w:ind w:left="288"/>
      </w:pPr>
      <w:r>
        <w:rPr>
          <w:color w:val="8C8C8C"/>
          <w:sz w:val="12"/>
        </w:rPr>
        <w:t>cf-art-236-par-3</w:t>
      </w:r>
      <w:r>
        <w:rPr>
          <w:color w:val="003CA0"/>
          <w:sz w:val="12"/>
        </w:rPr>
        <w:t xml:space="preserve"> | ADI 3.522</w:t>
      </w:r>
      <w:r>
        <w:rPr>
          <w:color w:val="003CA0"/>
          <w:sz w:val="12"/>
        </w:rPr>
        <w:t xml:space="preserve"> | rel. Marco Aurélio</w:t>
      </w:r>
    </w:p>
    <w:p>
      <w:pPr>
        <w:ind w:left="288"/>
      </w:pPr>
      <w:r>
        <w:rPr>
          <w:color w:val="1E1E1E"/>
          <w:sz w:val="18"/>
        </w:rPr>
        <w:t>Vide ADI 3.522, rel. min. Marco Aurélio, j. 24-11-2005, P, DJ de 12-5-2006 Mostrando-se abrangente o ato mediante o qual o CNJ determinou a realização de concurso público para provimento de serventias vagas, descabe concluir pela existência de direito líquido e certo no que se sustenta a ausência de vacância de certa serventia.</w:t>
      </w:r>
    </w:p>
    <w:p>
      <w:pPr>
        <w:ind w:left="288"/>
      </w:pPr>
      <w:r>
        <w:rPr>
          <w:b/>
          <w:color w:val="003CA0"/>
          <w:sz w:val="16"/>
        </w:rPr>
        <w:t>[MS 28.103, rel. min. Marco Aurélio, j. 14-4-2011, P, DJE de 4-5-2011.]</w:t>
      </w:r>
    </w:p>
    <w:p>
      <w:pPr>
        <w:ind w:left="288"/>
      </w:pPr>
      <w:r>
        <w:rPr>
          <w:color w:val="8C8C8C"/>
          <w:sz w:val="12"/>
        </w:rPr>
        <w:t>cf-art-236-par-3</w:t>
      </w:r>
      <w:r>
        <w:rPr>
          <w:color w:val="003CA0"/>
          <w:sz w:val="12"/>
        </w:rPr>
        <w:t xml:space="preserve"> | ADI 3.522</w:t>
      </w:r>
      <w:r>
        <w:rPr>
          <w:color w:val="003CA0"/>
          <w:sz w:val="12"/>
        </w:rPr>
        <w:t xml:space="preserve"> | rel. Ricardo Lewandowski</w:t>
      </w:r>
    </w:p>
    <w:p>
      <w:pPr>
        <w:ind w:left="288"/>
      </w:pPr>
      <w:r>
        <w:rPr>
          <w:color w:val="1E1E1E"/>
          <w:sz w:val="18"/>
        </w:rPr>
        <w:t>Esta Suprema Corte, por ocasião do julgamento da ADI 3.522/RS, não deliberou se o tempo de serviço na atividade notarial, para fins de remoção, deveria ou não ser valorado, "considerando-se a complexidade e o tempo do exercício da delegação em cidade de maior relevância econômico-social", conforme dispõe o art. 16, I, da Lei 11.183/1998 do Estado do Rio Grande do Sul. Não viola a decisão proferida na ADI 3.522/RS a valoração como título de aprovação em concurso para atividade notarial e de registro, privativas de bacharel em direito, desde que atribuída semelhante pontuação às demais carreiras</w:t>
      </w:r>
    </w:p>
    <w:p>
      <w:pPr>
        <w:ind w:left="288"/>
      </w:pPr>
      <w:r>
        <w:rPr>
          <w:b/>
          <w:color w:val="003CA0"/>
          <w:sz w:val="16"/>
        </w:rPr>
        <w:t>[Rcl 6.748 AgR, rel. min. Ricardo Lewandowski, j. 23-2-2011, P, DJE de 27-5-2011.]</w:t>
      </w:r>
    </w:p>
    <w:p>
      <w:pPr>
        <w:ind w:left="288"/>
      </w:pPr>
      <w:r>
        <w:rPr>
          <w:color w:val="8C8C8C"/>
          <w:sz w:val="12"/>
        </w:rPr>
        <w:t>cf-art-236-par-3</w:t>
      </w:r>
      <w:r>
        <w:rPr>
          <w:color w:val="003CA0"/>
          <w:sz w:val="12"/>
        </w:rPr>
        <w:t xml:space="preserve"> | MS 28.279</w:t>
      </w:r>
      <w:r>
        <w:rPr>
          <w:color w:val="003CA0"/>
          <w:sz w:val="12"/>
        </w:rPr>
        <w:t xml:space="preserve"> | rel. Ellen Gracie</w:t>
      </w:r>
    </w:p>
    <w:p>
      <w:pPr>
        <w:ind w:left="288"/>
      </w:pPr>
      <w:r>
        <w:rPr>
          <w:color w:val="1E1E1E"/>
          <w:sz w:val="18"/>
        </w:rPr>
        <w:t>O art. 236, § 3º, da CF é norma autoaplicável. Nos termos da CF, sempre se fez necessária a submissão a concurso público para o devido provimento de serventias extrajudiciais eventualmente vagas ou para fins de remoção. Rejeição da tese de que somente com a edição da Lei 8.935/1994 teria essa norma constitucional se tornado autoaplicável. (...) Situações flagrantemente inconstitucionais como o provimento de serventia extrajudicial sem a devida submissão a concurso público não podem e não devem ser superadas pela simples incidência do que dispõe o art. 54 da Lei 9.784/1999, sob pena de subversã</w:t>
      </w:r>
    </w:p>
    <w:p>
      <w:pPr>
        <w:ind w:left="288"/>
      </w:pPr>
      <w:r>
        <w:rPr>
          <w:b/>
          <w:color w:val="003CA0"/>
          <w:sz w:val="16"/>
        </w:rPr>
        <w:t>[MS 28.279, rel. min. Ellen Gracie, j. 16-12-2010, P, DJE de 29-4-2011.]</w:t>
      </w:r>
    </w:p>
    <w:p>
      <w:pPr>
        <w:ind w:left="288"/>
      </w:pPr>
      <w:r>
        <w:rPr>
          <w:color w:val="8C8C8C"/>
          <w:sz w:val="12"/>
        </w:rPr>
        <w:t>cf-art-236-par-3</w:t>
      </w:r>
      <w:r>
        <w:rPr>
          <w:color w:val="003CA0"/>
          <w:sz w:val="12"/>
        </w:rPr>
        <w:t xml:space="preserve"> | MS 29.282</w:t>
      </w:r>
      <w:r>
        <w:rPr>
          <w:color w:val="003CA0"/>
          <w:sz w:val="12"/>
        </w:rPr>
        <w:t xml:space="preserve"> | rel. Teori Zavascki</w:t>
      </w:r>
    </w:p>
    <w:p>
      <w:pPr>
        <w:ind w:left="288"/>
      </w:pPr>
      <w:r>
        <w:rPr>
          <w:color w:val="1E1E1E"/>
          <w:sz w:val="18"/>
        </w:rPr>
        <w:t>= MS 29.282 AgR, rel. min. Teori Zavascki, j. 24-2-2015, 2ª T, DJE de 11-3-2015 = MS 28.273 AgR, rel. min. Ricardo Lewandowski, j. 13-12-2012, P, DJE de 21-2-2013 Serventia judicial. Efetivação de substituto no cargo vago de titular. (...) Ocorrida a vacância na vigência da Constituição de 1988, não há falar em direito adquirido.</w:t>
      </w:r>
    </w:p>
    <w:p>
      <w:pPr>
        <w:ind w:left="288"/>
      </w:pPr>
      <w:r>
        <w:rPr>
          <w:b/>
          <w:color w:val="003CA0"/>
          <w:sz w:val="16"/>
        </w:rPr>
        <w:t>[AI 541.408 AgR, rel. min. Ricardo Lewandowski, j. 23-6-2009, 1ª T, DJE de 14-8-2009.]</w:t>
      </w:r>
    </w:p>
    <w:p>
      <w:pPr>
        <w:ind w:left="288"/>
      </w:pPr>
      <w:r>
        <w:rPr>
          <w:color w:val="8C8C8C"/>
          <w:sz w:val="12"/>
        </w:rPr>
        <w:t>cf-art-236-par-3</w:t>
      </w:r>
      <w:r>
        <w:rPr>
          <w:color w:val="003CA0"/>
          <w:sz w:val="12"/>
        </w:rPr>
        <w:t xml:space="preserve"> | RE 566.314</w:t>
      </w:r>
      <w:r>
        <w:rPr>
          <w:color w:val="003CA0"/>
          <w:sz w:val="12"/>
        </w:rPr>
        <w:t xml:space="preserve"> | rel. Cármen Lúcia</w:t>
      </w:r>
    </w:p>
    <w:p>
      <w:pPr>
        <w:ind w:left="288"/>
      </w:pPr>
      <w:r>
        <w:rPr>
          <w:color w:val="1E1E1E"/>
          <w:sz w:val="18"/>
        </w:rPr>
        <w:t>= RE 566.314 AgR, rel. min. Cármen Lúcia, j. 8-2-2011, 1ª T, DJE de 3-3-2011 Vide ADI 417, rel. min. Maurício Corrêa, j. 5-3-1998, P, DJ de 8-5-1998 Vide RE 182.641, rel. min. Octavio Gallotti, j. 22-8-1995, 1ª T, DJ de 15-3-1996 Comissão. Faz-se regular a comissão de concurso com a participação, personificando notários e registradores, da presidente da entidade de classe, pouco importando seja esta notária ou registradora.</w:t>
      </w:r>
    </w:p>
    <w:p>
      <w:pPr>
        <w:ind w:left="288"/>
      </w:pPr>
      <w:r>
        <w:rPr>
          <w:b/>
          <w:color w:val="003CA0"/>
          <w:sz w:val="16"/>
        </w:rPr>
        <w:t>[MS 25.962, rel. min. Marco Aurélio, j. 23-10-2008, P, DJE de 20-3-2009.]</w:t>
      </w:r>
    </w:p>
    <w:p>
      <w:pPr>
        <w:ind w:left="288"/>
      </w:pPr>
      <w:r>
        <w:rPr>
          <w:color w:val="8C8C8C"/>
          <w:sz w:val="12"/>
        </w:rPr>
        <w:t>cf-art-236-par-3</w:t>
      </w:r>
      <w:r>
        <w:rPr>
          <w:color w:val="003CA0"/>
          <w:sz w:val="12"/>
        </w:rPr>
        <w:t xml:space="preserve"> | RE 182.641</w:t>
      </w:r>
      <w:r>
        <w:rPr>
          <w:color w:val="003CA0"/>
          <w:sz w:val="12"/>
        </w:rPr>
        <w:t xml:space="preserve"> | rel. Octavio Gallotti</w:t>
      </w:r>
    </w:p>
    <w:p>
      <w:pPr>
        <w:ind w:left="288"/>
      </w:pPr>
      <w:r>
        <w:rPr>
          <w:color w:val="1E1E1E"/>
          <w:sz w:val="18"/>
        </w:rPr>
        <w:t>Cartório de notas. Depende da realização de concurso público de provas e títulos a investidura na titularidade de serventia cuja vaga tenha ocorrido após a promulgação da Constituição de 1988 (art. 236, § 3º), não se configurando direito adquirido ao provimento, por parte de quem haja preenchido, como substituto, o tempo de serviço contemplado no art. 208, acrescentado à Carta de 1967 pela Emenda 22, de 1982.</w:t>
      </w:r>
    </w:p>
    <w:p>
      <w:pPr>
        <w:ind w:left="288"/>
      </w:pPr>
      <w:r>
        <w:rPr>
          <w:b/>
          <w:color w:val="003CA0"/>
          <w:sz w:val="16"/>
        </w:rPr>
        <w:t>[RE 182.641, rel. min. Octavio Gallotti, j. 22-8-1995, 1ª T, DJ de 15-3-1996.]</w:t>
      </w:r>
    </w:p>
    <w:p>
      <w:pPr>
        <w:ind w:left="288"/>
      </w:pPr>
      <w:r>
        <w:rPr>
          <w:color w:val="8C8C8C"/>
          <w:sz w:val="12"/>
        </w:rPr>
        <w:t>cf-art-236-par-3</w:t>
      </w:r>
      <w:r>
        <w:rPr>
          <w:color w:val="003CA0"/>
          <w:sz w:val="12"/>
        </w:rPr>
        <w:t xml:space="preserve"> | AI 829.502</w:t>
      </w:r>
      <w:r>
        <w:rPr>
          <w:color w:val="003CA0"/>
          <w:sz w:val="12"/>
        </w:rPr>
        <w:t xml:space="preserve"> | rel. Gilmar Mendes</w:t>
      </w:r>
    </w:p>
    <w:p>
      <w:pPr>
        <w:ind w:left="288"/>
      </w:pPr>
      <w:r>
        <w:rPr>
          <w:color w:val="1E1E1E"/>
          <w:sz w:val="18"/>
        </w:rPr>
        <w:t>= AI 829.502 AgR, rel. min. Gilmar Mendes, j. 11-9-2012, 2ª T, DJE de 24-9-2012 Vide AI 541.408 AgR, rel min. Ricardo Lewandowski, j. 23-6-2009, 1ª T, DJE de 14-8-2009 Vide ADI 417, rel. min. Maurício Corrêa, j. 5-3-1998, P, DJ de 8-5-1998</w:t>
      </w:r>
    </w:p>
    <w:p>
      <w:pPr>
        <w:ind w:left="432"/>
      </w:pPr>
      <w:r>
        <w:rPr>
          <w:color w:val="003366"/>
          <w:sz w:val="18"/>
        </w:rPr>
        <w:t>§ 1 Lei regulará as atividades, disciplinará a responsabilidade civil e criminal</w:t>
      </w:r>
    </w:p>
    <w:p>
      <w:pPr>
        <w:ind w:left="432"/>
      </w:pPr>
      <w:r>
        <w:rPr>
          <w:color w:val="003366"/>
          <w:sz w:val="18"/>
        </w:rPr>
        <w:t>§ 2 Lei federal estabelecerá normas gerais para fixação de emolumentos relativos</w:t>
      </w:r>
    </w:p>
    <w:p>
      <w:pPr>
        <w:ind w:left="432"/>
      </w:pPr>
      <w:r>
        <w:rPr>
          <w:color w:val="003366"/>
          <w:sz w:val="18"/>
        </w:rPr>
        <w:t>§ 3 O ingresso na atividade notarial e de registro depende de concurso público d</w:t>
      </w:r>
    </w:p>
    <w:p>
      <w:r>
        <w:rPr>
          <w:b/>
          <w:color w:val="003366"/>
          <w:sz w:val="20"/>
        </w:rPr>
        <w:t>Art. 237 A fiscalização e o controle sobre o comércio exterior, essenciais à def</w:t>
      </w:r>
      <w:r>
        <w:rPr>
          <w:color w:val="8C8C8C"/>
          <w:sz w:val="14"/>
        </w:rPr>
        <w:t xml:space="preserve">  [5 decisoes]</w:t>
      </w:r>
    </w:p>
    <w:p>
      <w:pPr>
        <w:ind w:left="144"/>
      </w:pPr>
      <w:r>
        <w:rPr>
          <w:b/>
          <w:color w:val="B45A00"/>
          <w:sz w:val="16"/>
        </w:rPr>
        <w:t>CONTROLE CONCENTRADO</w:t>
      </w:r>
    </w:p>
    <w:p>
      <w:pPr>
        <w:ind w:left="288"/>
      </w:pPr>
      <w:r>
        <w:rPr>
          <w:color w:val="8C8C8C"/>
          <w:sz w:val="12"/>
        </w:rPr>
        <w:t>cf-art-237</w:t>
      </w:r>
      <w:r>
        <w:rPr>
          <w:color w:val="003CA0"/>
          <w:sz w:val="12"/>
        </w:rPr>
        <w:t xml:space="preserve"> | ADPF 101</w:t>
      </w:r>
      <w:r>
        <w:rPr>
          <w:color w:val="003CA0"/>
          <w:sz w:val="12"/>
        </w:rPr>
        <w:t xml:space="preserve"> | rel. Cármen Lúcia</w:t>
      </w:r>
    </w:p>
    <w:p>
      <w:pPr>
        <w:ind w:left="288"/>
      </w:pPr>
      <w:r>
        <w:rPr>
          <w:color w:val="1E1E1E"/>
          <w:sz w:val="18"/>
        </w:rPr>
        <w:t>Constitucionalidade de atos normativos proibitivos da importação de pneus usados. Reciclagem de pneus usados (...). (...) Arguição de descumprimento dos preceitos fundamentais constitucionalmente estabelecidos: decisões judiciais nacionais permitindo a importação de pneus usados de países que não compõem o Mercosul: objeto de contencioso na Organização Mundial do Comércio, a partir de 20-6-2005, pela Solicitação de Consulta da União Europeia ao Brasil. (...) Portarias emitidas pelo Departamento de Comércio Exterior do Ministério do Desenvolvimento, Indústria e Comércio Exterior harmonizadas co</w:t>
      </w:r>
    </w:p>
    <w:p>
      <w:pPr>
        <w:ind w:left="288"/>
      </w:pPr>
      <w:r>
        <w:rPr>
          <w:b/>
          <w:color w:val="003CA0"/>
          <w:sz w:val="16"/>
        </w:rPr>
        <w:t>[ADPF 101, rel. min. Cármen Lúcia, j. 24-6-2009, P, DJE de 4-6-2012.]</w:t>
      </w:r>
    </w:p>
    <w:p>
      <w:pPr>
        <w:ind w:left="144"/>
      </w:pPr>
      <w:r>
        <w:rPr>
          <w:b/>
          <w:color w:val="B45A00"/>
          <w:sz w:val="16"/>
        </w:rPr>
        <w:t>JULGADOS CORRELATOS</w:t>
      </w:r>
    </w:p>
    <w:p>
      <w:pPr>
        <w:ind w:left="288"/>
      </w:pPr>
      <w:r>
        <w:rPr>
          <w:color w:val="8C8C8C"/>
          <w:sz w:val="12"/>
        </w:rPr>
        <w:t>cf-art-237</w:t>
      </w:r>
      <w:r>
        <w:rPr>
          <w:color w:val="003CA0"/>
          <w:sz w:val="12"/>
        </w:rPr>
        <w:t xml:space="preserve"> | RMS 26.967</w:t>
      </w:r>
      <w:r>
        <w:rPr>
          <w:color w:val="003CA0"/>
          <w:sz w:val="12"/>
        </w:rPr>
        <w:t xml:space="preserve"> | rel. Eros Grau</w:t>
      </w:r>
    </w:p>
    <w:p>
      <w:pPr>
        <w:ind w:left="288"/>
      </w:pPr>
      <w:r>
        <w:rPr>
          <w:color w:val="1E1E1E"/>
          <w:sz w:val="18"/>
        </w:rPr>
        <w:t>Câmara de Comércio Exterior (CAMEX). Competência. Ato administrativo. Autorização prévia. Nulidade. É atribuição do presidente da Camex, nos casos em que se vislumbre relevância e urgência, expedir resoluções ad referendum do colegiado, obtida previamente a concordância dos demais membros. O requisito da autorização prévia do colegiado para que o ato fosse monocraticamente praticado pelo seu presidente não foi atendido. A competência para a prática do ato administrativo, seja vinculado, seja discricionário, é a condição primeira de sua validade.</w:t>
      </w:r>
    </w:p>
    <w:p>
      <w:pPr>
        <w:ind w:left="288"/>
      </w:pPr>
      <w:r>
        <w:rPr>
          <w:b/>
          <w:color w:val="003CA0"/>
          <w:sz w:val="16"/>
        </w:rPr>
        <w:t>[RMS 26.967, rel. min. Eros Grau, j. 26-2-2008, 2ª T, DJE de 4-4-2008.]</w:t>
      </w:r>
    </w:p>
    <w:p>
      <w:pPr>
        <w:ind w:left="288"/>
      </w:pPr>
      <w:r>
        <w:rPr>
          <w:color w:val="8C8C8C"/>
          <w:sz w:val="12"/>
        </w:rPr>
        <w:t>cf-art-237</w:t>
      </w:r>
      <w:r>
        <w:rPr>
          <w:color w:val="003CA0"/>
          <w:sz w:val="12"/>
        </w:rPr>
        <w:t xml:space="preserve"> | RE 224.861</w:t>
      </w:r>
      <w:r>
        <w:rPr>
          <w:color w:val="003CA0"/>
          <w:sz w:val="12"/>
        </w:rPr>
        <w:t xml:space="preserve"> | rel. Octavio Gallotti</w:t>
      </w:r>
    </w:p>
    <w:p>
      <w:pPr>
        <w:ind w:left="288"/>
      </w:pPr>
      <w:r>
        <w:rPr>
          <w:color w:val="1E1E1E"/>
          <w:sz w:val="18"/>
        </w:rPr>
        <w:t>Veículos usados. Proibição de sua importação (Portaria do Decex [Departamento de Comércio Exterior] 8/1991). É legítima a restrição imposta à importação de bens de consumo usados pelo Poder Executivo, ao qual foi claramente conferida, pela Constituição, no art. 237, a competência para o controle do comércio exterior, além de guardar perfeita correlação lógica e racional o tratamento discriminatório, por ela instituído.</w:t>
      </w:r>
    </w:p>
    <w:p>
      <w:pPr>
        <w:ind w:left="288"/>
      </w:pPr>
      <w:r>
        <w:rPr>
          <w:b/>
          <w:color w:val="003CA0"/>
          <w:sz w:val="16"/>
        </w:rPr>
        <w:t>[RE 224.861, rel. min. Octavio Gallotti, j. 7-4-1998, 1ª T, DJ de 6-11-1998.]</w:t>
      </w:r>
    </w:p>
    <w:p>
      <w:pPr>
        <w:ind w:left="288"/>
      </w:pPr>
      <w:r>
        <w:rPr>
          <w:color w:val="8C8C8C"/>
          <w:sz w:val="12"/>
        </w:rPr>
        <w:t>cf-art-237</w:t>
      </w:r>
      <w:r>
        <w:rPr>
          <w:color w:val="003CA0"/>
          <w:sz w:val="12"/>
        </w:rPr>
        <w:t xml:space="preserve"> | RE 209.635</w:t>
      </w:r>
      <w:r>
        <w:rPr>
          <w:color w:val="003CA0"/>
          <w:sz w:val="12"/>
        </w:rPr>
        <w:t xml:space="preserve"> | rel. Celso de Mello</w:t>
      </w:r>
    </w:p>
    <w:p>
      <w:pPr>
        <w:ind w:left="288"/>
      </w:pPr>
      <w:r>
        <w:rPr>
          <w:color w:val="1E1E1E"/>
          <w:sz w:val="18"/>
        </w:rPr>
        <w:t>Importação de veículos usados. Proibição estabelecida em ato do Ministério da Fazenda. Inocorrência de ofensa aos postulados constitucionais da igualdade e da reserva de lei formal. (...) Legitimidade jurídico-constitucional da resolução administrativa que veda a importação de veículos usados.</w:t>
      </w:r>
    </w:p>
    <w:p>
      <w:pPr>
        <w:ind w:left="288"/>
      </w:pPr>
      <w:r>
        <w:rPr>
          <w:b/>
          <w:color w:val="003CA0"/>
          <w:sz w:val="16"/>
        </w:rPr>
        <w:t>[RE 209.635, rel. min. Celso de Mello, j. 20-5-1997, 1ª T, DJ de 29-8-1997.]</w:t>
      </w:r>
    </w:p>
    <w:p>
      <w:pPr>
        <w:ind w:left="288"/>
      </w:pPr>
      <w:r>
        <w:rPr>
          <w:color w:val="8C8C8C"/>
          <w:sz w:val="12"/>
        </w:rPr>
        <w:t>cf-art-237</w:t>
      </w:r>
      <w:r>
        <w:rPr>
          <w:color w:val="003CA0"/>
          <w:sz w:val="12"/>
        </w:rPr>
        <w:t xml:space="preserve"> | RE 226.461</w:t>
      </w:r>
      <w:r>
        <w:rPr>
          <w:color w:val="003CA0"/>
          <w:sz w:val="12"/>
        </w:rPr>
        <w:t xml:space="preserve"> | rel. Marco Aurélio</w:t>
      </w:r>
    </w:p>
    <w:p>
      <w:pPr>
        <w:ind w:left="288"/>
      </w:pPr>
      <w:r>
        <w:rPr>
          <w:color w:val="1E1E1E"/>
          <w:sz w:val="18"/>
        </w:rPr>
        <w:t>= RE 226.461, rel. min. Marco Aurélio, j. 21-9-1998, 2ª T, DJ de 13-11-1998</w:t>
      </w:r>
    </w:p>
    <w:p>
      <w:r>
        <w:rPr>
          <w:b/>
          <w:color w:val="003366"/>
          <w:sz w:val="20"/>
        </w:rPr>
        <w:t>Art. 238 A lei ordenará a venda e revenda de combustíveis de petróleo, álcool ca</w:t>
      </w:r>
      <w:r>
        <w:rPr>
          <w:color w:val="8C8C8C"/>
          <w:sz w:val="14"/>
        </w:rPr>
        <w:t xml:space="preserve">  [1 decisoes]</w:t>
      </w:r>
    </w:p>
    <w:p>
      <w:pPr>
        <w:ind w:left="144"/>
      </w:pPr>
      <w:r>
        <w:rPr>
          <w:b/>
          <w:color w:val="B45A00"/>
          <w:sz w:val="16"/>
        </w:rPr>
        <w:t>CONTROLE CONCENTRADO</w:t>
      </w:r>
    </w:p>
    <w:p>
      <w:pPr>
        <w:ind w:left="288"/>
      </w:pPr>
      <w:r>
        <w:rPr>
          <w:color w:val="8C8C8C"/>
          <w:sz w:val="12"/>
        </w:rPr>
        <w:t>cf-art-238</w:t>
      </w:r>
      <w:r>
        <w:rPr>
          <w:color w:val="003CA0"/>
          <w:sz w:val="12"/>
        </w:rPr>
        <w:t xml:space="preserve"> | ADI 855</w:t>
      </w:r>
    </w:p>
    <w:p>
      <w:pPr>
        <w:ind w:left="288"/>
      </w:pPr>
      <w:r>
        <w:rPr>
          <w:color w:val="1E1E1E"/>
          <w:sz w:val="18"/>
        </w:rPr>
        <w:t>Lei 10.248/1993 do Estado do Paraná, que obriga os estabelecimentos que comercializem Gás Liquefeito de Petróleo (GLP) a pesarem, à vista do consumidor, os botijões ou cilindros entregues ou recebidos para substituição, com abatimento proporcional do preço do produto ante a eventual verificação de diferença a menor entre o conteúdo e a quantidade líquida especificada no recipiente. Inconstitucionalidade formal, por ofensa à competência privativa da União para legislar sobre o tema (CF/1988, art. 22, IV, e art. 238). Violação ao princípio da proporcionalidade e razoabilidade das leis restritiva</w:t>
      </w:r>
    </w:p>
    <w:p>
      <w:pPr>
        <w:ind w:left="288"/>
      </w:pPr>
      <w:r>
        <w:rPr>
          <w:b/>
          <w:color w:val="003CA0"/>
          <w:sz w:val="16"/>
        </w:rPr>
        <w:t>[ADI 855, red. do ac. min. Gilmar Mendes, j. 6-3-2008, P, DJE de 27-3-2009.]</w:t>
      </w:r>
    </w:p>
    <w:p>
      <w:r>
        <w:rPr>
          <w:b/>
          <w:color w:val="003366"/>
          <w:sz w:val="20"/>
        </w:rPr>
        <w:t>Art. 239 A arrecadação decorrente das contribuições para o Programa de Integraçã</w:t>
      </w:r>
      <w:r>
        <w:rPr>
          <w:color w:val="8C8C8C"/>
          <w:sz w:val="14"/>
        </w:rPr>
        <w:t xml:space="preserve">  [7 decisoes]</w:t>
      </w:r>
    </w:p>
    <w:p>
      <w:pPr>
        <w:ind w:left="144"/>
      </w:pPr>
      <w:r>
        <w:rPr>
          <w:b/>
          <w:color w:val="B45A00"/>
          <w:sz w:val="16"/>
        </w:rPr>
        <w:t>CONTROLE CONCENTRADO</w:t>
      </w:r>
    </w:p>
    <w:p>
      <w:pPr>
        <w:ind w:left="288"/>
      </w:pPr>
      <w:r>
        <w:rPr>
          <w:color w:val="8C8C8C"/>
          <w:sz w:val="12"/>
        </w:rPr>
        <w:t>cf-art-239</w:t>
      </w:r>
      <w:r>
        <w:rPr>
          <w:color w:val="003CA0"/>
          <w:sz w:val="12"/>
        </w:rPr>
        <w:t xml:space="preserve"> | ADI 1.417</w:t>
      </w:r>
      <w:r>
        <w:rPr>
          <w:color w:val="003CA0"/>
          <w:sz w:val="12"/>
        </w:rPr>
        <w:t xml:space="preserve"> | rel. Octavio Gallotti</w:t>
      </w:r>
    </w:p>
    <w:p>
      <w:pPr>
        <w:ind w:left="288"/>
      </w:pPr>
      <w:r>
        <w:rPr>
          <w:color w:val="1E1E1E"/>
          <w:sz w:val="18"/>
        </w:rPr>
        <w:t>Sendo a contribuição expressamente autorizada pelo art. 239 da Constituição, a ela não se opõem as restrições constantes dos arts. 154, I, e 195, § 4º, da mesma Carta.</w:t>
      </w:r>
    </w:p>
    <w:p>
      <w:pPr>
        <w:ind w:left="288"/>
      </w:pPr>
      <w:r>
        <w:rPr>
          <w:b/>
          <w:color w:val="003CA0"/>
          <w:sz w:val="16"/>
        </w:rPr>
        <w:t>[ADI 1.417, rel. min. Octavio Gallotti, j. 2-8-1999, P, DJ de 23-3-2001.]</w:t>
      </w:r>
    </w:p>
    <w:p>
      <w:pPr>
        <w:ind w:left="288"/>
      </w:pPr>
      <w:r>
        <w:rPr>
          <w:color w:val="8C8C8C"/>
          <w:sz w:val="12"/>
        </w:rPr>
        <w:t>cf-art-239</w:t>
      </w:r>
      <w:r>
        <w:rPr>
          <w:color w:val="003CA0"/>
          <w:sz w:val="12"/>
        </w:rPr>
        <w:t xml:space="preserve"> | RE 432.413</w:t>
      </w:r>
      <w:r>
        <w:rPr>
          <w:color w:val="003CA0"/>
          <w:sz w:val="12"/>
        </w:rPr>
        <w:t xml:space="preserve"> | rel. Dias Toffoli</w:t>
      </w:r>
    </w:p>
    <w:p>
      <w:pPr>
        <w:ind w:left="288"/>
      </w:pPr>
      <w:r>
        <w:rPr>
          <w:color w:val="1E1E1E"/>
          <w:sz w:val="18"/>
        </w:rPr>
        <w:t>= RE 432.413 AgR, rel. min. Dias Toffoli, j. 19-10-2010, 1ª T, DJE de 23-3-2011</w:t>
      </w:r>
    </w:p>
    <w:p>
      <w:pPr>
        <w:ind w:left="144"/>
      </w:pPr>
      <w:r>
        <w:rPr>
          <w:b/>
          <w:color w:val="B45A00"/>
          <w:sz w:val="16"/>
        </w:rPr>
        <w:t>JULGADOS CORRELATOS</w:t>
      </w:r>
    </w:p>
    <w:p>
      <w:pPr>
        <w:ind w:left="288"/>
      </w:pPr>
      <w:r>
        <w:rPr>
          <w:color w:val="8C8C8C"/>
          <w:sz w:val="12"/>
        </w:rPr>
        <w:t>cf-art-239</w:t>
      </w:r>
      <w:r>
        <w:rPr>
          <w:color w:val="003CA0"/>
          <w:sz w:val="12"/>
        </w:rPr>
        <w:t xml:space="preserve"> | RE 482.606</w:t>
      </w:r>
      <w:r>
        <w:rPr>
          <w:color w:val="003CA0"/>
          <w:sz w:val="12"/>
        </w:rPr>
        <w:t xml:space="preserve"> | rel. Ricardo Lewandowski</w:t>
      </w:r>
    </w:p>
    <w:p>
      <w:pPr>
        <w:ind w:left="288"/>
      </w:pPr>
      <w:r>
        <w:rPr>
          <w:color w:val="1E1E1E"/>
          <w:sz w:val="18"/>
        </w:rPr>
        <w:t>PIS. Art. 239 da Constituição. Lei 9.715/1998. Constitucionalidade. (...) O art. 239 da Constituição da República não implicou o engessamento da contribuição ao PIS, apenas recepcionou-a expressamente, podendo ser regularmente alterada pela legislação infraconstitucional ordinária. Precedentes.</w:t>
      </w:r>
    </w:p>
    <w:p>
      <w:pPr>
        <w:ind w:left="288"/>
      </w:pPr>
      <w:r>
        <w:rPr>
          <w:b/>
          <w:color w:val="003CA0"/>
          <w:sz w:val="16"/>
        </w:rPr>
        <w:t>[RE 482.606 ED-AgR, rel. min. Ricardo Lewandowski, j. 2-9-2008, 1ª T, DJE de 19-9-2008.]</w:t>
      </w:r>
    </w:p>
    <w:p>
      <w:pPr>
        <w:ind w:left="288"/>
      </w:pPr>
      <w:r>
        <w:rPr>
          <w:color w:val="8C8C8C"/>
          <w:sz w:val="12"/>
        </w:rPr>
        <w:t>cf-art-239</w:t>
      </w:r>
      <w:r>
        <w:rPr>
          <w:color w:val="003CA0"/>
          <w:sz w:val="12"/>
        </w:rPr>
        <w:t xml:space="preserve"> | AI 613.576</w:t>
      </w:r>
      <w:r>
        <w:rPr>
          <w:color w:val="003CA0"/>
          <w:sz w:val="12"/>
        </w:rPr>
        <w:t xml:space="preserve"> | rel. Joaquim Barbosa</w:t>
      </w:r>
    </w:p>
    <w:p>
      <w:pPr>
        <w:ind w:left="288"/>
      </w:pPr>
      <w:r>
        <w:rPr>
          <w:color w:val="1E1E1E"/>
          <w:sz w:val="18"/>
        </w:rPr>
        <w:t>= AI 613.576 AgR, rel. min. Joaquim Barbosa, j. 16-11-2010, 2ª T, DJE de 2-12-2010 Esta Corte afastou a suposta inconstitucionalidade das alterações introduzidas pela Lei 9.715/1998, admitindo a majoração da contribuição para o PIS mediante a edição de medida provisória.</w:t>
      </w:r>
    </w:p>
    <w:p>
      <w:pPr>
        <w:ind w:left="288"/>
      </w:pPr>
      <w:r>
        <w:rPr>
          <w:b/>
          <w:color w:val="003CA0"/>
          <w:sz w:val="16"/>
        </w:rPr>
        <w:t>[RE 511.581 AgR, rel. min. Eros Grau, j. 24-6-2008, 2ª T, DJE de 15-8-2008.]</w:t>
      </w:r>
    </w:p>
    <w:p>
      <w:pPr>
        <w:ind w:left="288"/>
      </w:pPr>
      <w:r>
        <w:rPr>
          <w:color w:val="8C8C8C"/>
          <w:sz w:val="12"/>
        </w:rPr>
        <w:t>cf-art-239</w:t>
      </w:r>
      <w:r>
        <w:rPr>
          <w:color w:val="003CA0"/>
          <w:sz w:val="12"/>
        </w:rPr>
        <w:t xml:space="preserve"> | AI 623.157</w:t>
      </w:r>
      <w:r>
        <w:rPr>
          <w:color w:val="003CA0"/>
          <w:sz w:val="12"/>
        </w:rPr>
        <w:t xml:space="preserve"> | rel. Cezar Peluso</w:t>
      </w:r>
    </w:p>
    <w:p>
      <w:pPr>
        <w:ind w:left="288"/>
      </w:pPr>
      <w:r>
        <w:rPr>
          <w:color w:val="1E1E1E"/>
          <w:sz w:val="18"/>
        </w:rPr>
        <w:t>= AI 623.157 AgR, rel. min. Cezar Peluso, j. 25-8-2009, 2ª T, DJE de 9-10-2009 O art. 239 da CF de 1988 constitucionalizou o Pasep, criado pela LC 8, de 3 de dezembro de 1970, dando-lhe caráter eminentemente nacional, com as alterações nele enunciadas (§§ 1º, 2º, 3º e 4º). O mais foi objeto da lei, que encomendou, ou seja, a de n. 7.998, de 11-1-1990. Sendo assim, o Estado do Paraná, que, durante a vigência da LC 8, de 3 de dezembro de 1970, se obrigara, por força da Lei 6.278, de 23-5-1972, a contribuir para o Programa de Formação do Patrimônio do Servidor Público, já não poderia se eximir da</w:t>
      </w:r>
    </w:p>
    <w:p>
      <w:pPr>
        <w:ind w:left="288"/>
      </w:pPr>
      <w:r>
        <w:rPr>
          <w:b/>
          <w:color w:val="003CA0"/>
          <w:sz w:val="16"/>
        </w:rPr>
        <w:t>[ACO 471, rel. min. Sydney Sanches, j. 11-4-2002, P, DJ de 25-4-2003.]</w:t>
      </w:r>
    </w:p>
    <w:p>
      <w:pPr>
        <w:ind w:left="288"/>
      </w:pPr>
      <w:r>
        <w:rPr>
          <w:color w:val="8C8C8C"/>
          <w:sz w:val="12"/>
        </w:rPr>
        <w:t>cf-art-239</w:t>
      </w:r>
      <w:r>
        <w:rPr>
          <w:color w:val="003CA0"/>
          <w:sz w:val="12"/>
        </w:rPr>
        <w:t xml:space="preserve"> | ACO 546</w:t>
      </w:r>
      <w:r>
        <w:rPr>
          <w:color w:val="003CA0"/>
          <w:sz w:val="12"/>
        </w:rPr>
        <w:t xml:space="preserve"> | rel. Ellen Gracie</w:t>
      </w:r>
    </w:p>
    <w:p>
      <w:pPr>
        <w:ind w:left="288"/>
      </w:pPr>
      <w:r>
        <w:rPr>
          <w:color w:val="1E1E1E"/>
          <w:sz w:val="18"/>
        </w:rPr>
        <w:t>= ACO 546, rel. min. Ellen Gracie, j. 1º-7-2011, P, DJE de 10-11-2011 PIS: LC 7/1970: recepção, sem solução de continuidade, pelo art. 239 da Constituição. Dispondo o art. 239 CF sobre o destino da arrecadação da contribuição para o PIS, a partir da data da promulgação da Lei Fundamental em que se insere, é evidente que se trata de norma de eficácia plena e imediata, mediante a recepção de legislação anterior; o que, no mesmo art. 239, se condicionou à disciplina da lei futura não foi a continuidade da cobrança da exação, mas apenas, como explícito na parte final do dispositivo, os termos em q</w:t>
      </w:r>
    </w:p>
    <w:p>
      <w:pPr>
        <w:ind w:left="288"/>
      </w:pPr>
      <w:r>
        <w:rPr>
          <w:b/>
          <w:color w:val="003CA0"/>
          <w:sz w:val="16"/>
        </w:rPr>
        <w:t>[RE 169.091, rel. min. Sepúlveda Pertence, j. 17-6-1995, P, DJ de 4-8-1995.]</w:t>
      </w:r>
    </w:p>
    <w:p>
      <w:pPr>
        <w:ind w:left="288"/>
      </w:pPr>
      <w:r>
        <w:rPr>
          <w:color w:val="8C8C8C"/>
          <w:sz w:val="12"/>
        </w:rPr>
        <w:t>cf-art-239</w:t>
      </w:r>
      <w:r>
        <w:rPr>
          <w:color w:val="003CA0"/>
          <w:sz w:val="12"/>
        </w:rPr>
        <w:t xml:space="preserve"> | AI 494.167</w:t>
      </w:r>
      <w:r>
        <w:rPr>
          <w:color w:val="003CA0"/>
          <w:sz w:val="12"/>
        </w:rPr>
        <w:t xml:space="preserve"> | rel. Ayres Britto</w:t>
      </w:r>
    </w:p>
    <w:p>
      <w:pPr>
        <w:ind w:left="288"/>
      </w:pPr>
      <w:r>
        <w:rPr>
          <w:color w:val="1E1E1E"/>
          <w:sz w:val="18"/>
        </w:rPr>
        <w:t>= AI 494.167 AgR, rel. min. Ayres Britto, j. 17-8-2010, 2ª T, DJE de 17-9-2010 § 1º Dos recursos mencionados no caput, no mínimo 28% (vinte e oito por cento) serão destinados para o financiamento de programas de desenvolvimento econômico, por meio do Banco Nacional de Desenvolvimento Econômico e Social, com critérios de remuneração que preservem o seu valor. (Redação da EC 103/2019) § 2º Os patrimônios acumulados do Programa de Integração Social e do Programa de Formação do Patrimônio do Servidor Público são preservados, mantendo-se os critérios de saque nas situações previstas nas leis especí</w:t>
      </w:r>
    </w:p>
    <w:p>
      <w:pPr>
        <w:ind w:left="432"/>
      </w:pPr>
      <w:r>
        <w:rPr>
          <w:color w:val="003366"/>
          <w:sz w:val="18"/>
        </w:rPr>
        <w:t>§ 1 Dos recursos mencionados no caput, no mínimo 28% (vinte e oito por cento) se</w:t>
      </w:r>
    </w:p>
    <w:p>
      <w:pPr>
        <w:ind w:left="432"/>
      </w:pPr>
      <w:r>
        <w:rPr>
          <w:color w:val="003366"/>
          <w:sz w:val="18"/>
        </w:rPr>
        <w:t xml:space="preserve">§ 2 Os patrimônios acumulados do Programa de Integração Social e do Programa de </w:t>
      </w:r>
    </w:p>
    <w:p>
      <w:pPr>
        <w:ind w:left="432"/>
      </w:pPr>
      <w:r>
        <w:rPr>
          <w:color w:val="003366"/>
          <w:sz w:val="18"/>
        </w:rPr>
        <w:t>§ 3 Aos empregados que percebam de empregadores que contribuem para o Programa d</w:t>
      </w:r>
    </w:p>
    <w:p>
      <w:pPr>
        <w:ind w:left="432"/>
      </w:pPr>
      <w:r>
        <w:rPr>
          <w:color w:val="003366"/>
          <w:sz w:val="18"/>
        </w:rPr>
        <w:t>§ 3 A. O limite para elegibilidade do benefício de que trata o § 3º deste artigo</w:t>
      </w:r>
    </w:p>
    <w:p>
      <w:pPr>
        <w:ind w:left="432"/>
      </w:pPr>
      <w:r>
        <w:rPr>
          <w:color w:val="003366"/>
          <w:sz w:val="18"/>
        </w:rPr>
        <w:t xml:space="preserve">§ 4 O financiamento do seguro-desemprego receberá uma contribuição adicional da </w:t>
      </w:r>
    </w:p>
    <w:p>
      <w:pPr>
        <w:ind w:left="432"/>
      </w:pPr>
      <w:r>
        <w:rPr>
          <w:color w:val="003366"/>
          <w:sz w:val="18"/>
        </w:rPr>
        <w:t>§ 5 Os programas de desenvolvimento econômico financiados na forma do § 1º e seu</w:t>
      </w:r>
    </w:p>
    <w:p>
      <w:r>
        <w:rPr>
          <w:b/>
          <w:color w:val="003366"/>
          <w:sz w:val="20"/>
        </w:rPr>
        <w:t>Art. 240 Ficam ressalvadas do disposto no art. 195 as atuais contribuições compu</w:t>
      </w:r>
      <w:r>
        <w:rPr>
          <w:color w:val="8C8C8C"/>
          <w:sz w:val="14"/>
        </w:rPr>
        <w:t xml:space="preserve">  [5 decisoes]</w:t>
      </w:r>
    </w:p>
    <w:p>
      <w:pPr>
        <w:ind w:left="144"/>
      </w:pPr>
      <w:r>
        <w:rPr>
          <w:b/>
          <w:color w:val="B45A00"/>
          <w:sz w:val="16"/>
        </w:rPr>
        <w:t>CONTROLE CONCENTRADO</w:t>
      </w:r>
    </w:p>
    <w:p>
      <w:pPr>
        <w:ind w:left="288"/>
      </w:pPr>
      <w:r>
        <w:rPr>
          <w:color w:val="8C8C8C"/>
          <w:sz w:val="12"/>
        </w:rPr>
        <w:t>cf-art-240</w:t>
      </w:r>
      <w:r>
        <w:rPr>
          <w:color w:val="003CA0"/>
          <w:sz w:val="12"/>
        </w:rPr>
        <w:t xml:space="preserve"> | ADI 1.924</w:t>
      </w:r>
      <w:r>
        <w:rPr>
          <w:color w:val="003CA0"/>
          <w:sz w:val="12"/>
        </w:rPr>
        <w:t xml:space="preserve"> | rel. Rosa Weber</w:t>
      </w:r>
    </w:p>
    <w:p>
      <w:pPr>
        <w:ind w:left="288"/>
      </w:pPr>
      <w:r>
        <w:rPr>
          <w:color w:val="1E1E1E"/>
          <w:sz w:val="18"/>
        </w:rPr>
        <w:t>Serviço Nacional de Aprendizagem do Cooperativismo. Contribuição para o seu financiamento. (...) A Constituição não pretendeu tornar imutáveis as contribuições compulsórias referidas no seu artigo 240, vedando ao legislador sua alteração ou, até mesmo, sua extinção. O que se pretendeu foi, tão somente, deixar claro que a simples previsão de contribuições sociais destinadas à seguridade social pelo artigo 195 da Carta, em especial aquela incidente sobre a folha de pagamentos, não implicava a extinção das contribuições destinadas aos serviços sociais e de formação profissional.</w:t>
      </w:r>
    </w:p>
    <w:p>
      <w:pPr>
        <w:ind w:left="288"/>
      </w:pPr>
      <w:r>
        <w:rPr>
          <w:b/>
          <w:color w:val="003CA0"/>
          <w:sz w:val="16"/>
        </w:rPr>
        <w:t>[ADI 1.924, rel. min. Rosa Weber, j. 16-9-2020, P, DJE de 5-10-2020.]</w:t>
      </w:r>
    </w:p>
    <w:p>
      <w:pPr>
        <w:ind w:left="144"/>
      </w:pPr>
      <w:r>
        <w:rPr>
          <w:b/>
          <w:color w:val="B45A00"/>
          <w:sz w:val="16"/>
        </w:rPr>
        <w:t>REPERCUSSAO GERAL</w:t>
      </w:r>
    </w:p>
    <w:p>
      <w:pPr>
        <w:ind w:left="288"/>
      </w:pPr>
      <w:r>
        <w:rPr>
          <w:color w:val="8C8C8C"/>
          <w:sz w:val="12"/>
        </w:rPr>
        <w:t>cf-art-240</w:t>
      </w:r>
      <w:r>
        <w:rPr>
          <w:color w:val="003CA0"/>
          <w:sz w:val="12"/>
        </w:rPr>
        <w:t xml:space="preserve"> | RE 635.682</w:t>
      </w:r>
    </w:p>
    <w:p>
      <w:pPr>
        <w:ind w:left="288"/>
      </w:pPr>
      <w:r>
        <w:rPr>
          <w:color w:val="1E1E1E"/>
          <w:sz w:val="18"/>
        </w:rPr>
        <w:t xml:space="preserve">(...) o fato de a contribuição de intervenção no domínio econômico sujeitar-se ao art. 146, III, a, não leva à conclusão de que o tributo deva ser instituído mediante lei complementar. </w:t>
        <w:br/>
        <w:t>[RE 635.682, voto do min. Gilmar Mendes, j. 25-4-2013, P, DJE de 24-5-2013, Tema 227, com mérito julgado.]</w:t>
      </w:r>
    </w:p>
    <w:p>
      <w:pPr>
        <w:ind w:left="144"/>
      </w:pPr>
      <w:r>
        <w:rPr>
          <w:b/>
          <w:color w:val="B45A00"/>
          <w:sz w:val="16"/>
        </w:rPr>
        <w:t>JULGADOS CORRELATOS</w:t>
      </w:r>
    </w:p>
    <w:p>
      <w:pPr>
        <w:ind w:left="288"/>
      </w:pPr>
      <w:r>
        <w:rPr>
          <w:color w:val="8C8C8C"/>
          <w:sz w:val="12"/>
        </w:rPr>
        <w:t>cf-art-240</w:t>
      </w:r>
      <w:r>
        <w:rPr>
          <w:color w:val="003CA0"/>
          <w:sz w:val="12"/>
        </w:rPr>
        <w:t xml:space="preserve"> | ACO 1.953</w:t>
      </w:r>
      <w:r>
        <w:rPr>
          <w:color w:val="003CA0"/>
          <w:sz w:val="12"/>
        </w:rPr>
        <w:t xml:space="preserve"> | rel. Ricardo Lewandowski</w:t>
      </w:r>
    </w:p>
    <w:p>
      <w:pPr>
        <w:ind w:left="288"/>
      </w:pPr>
      <w:r>
        <w:rPr>
          <w:color w:val="1E1E1E"/>
          <w:sz w:val="18"/>
        </w:rPr>
        <w:t>Os serviços sociais autônomos do denominado Sistema "S", embora compreendidos na expressão de entidade paraestatal, são pessoas jurídicas de direito privado, definidos como entes de colaboração, mas não integrantes da administração pública. Quando o produto das contribuições ingressa nos cofres dos serviços sociais autônomos perde o caráter de recurso público.</w:t>
      </w:r>
    </w:p>
    <w:p>
      <w:pPr>
        <w:ind w:left="288"/>
      </w:pPr>
      <w:r>
        <w:rPr>
          <w:b/>
          <w:color w:val="003CA0"/>
          <w:sz w:val="16"/>
        </w:rPr>
        <w:t>[ACO 1.953 AgR, rel. min. Ricardo Lewandowski, j. 18-12-2013, P, DJE de 19-2-2014.]</w:t>
      </w:r>
    </w:p>
    <w:p>
      <w:pPr>
        <w:ind w:left="288"/>
      </w:pPr>
      <w:r>
        <w:rPr>
          <w:color w:val="8C8C8C"/>
          <w:sz w:val="12"/>
        </w:rPr>
        <w:t>cf-art-240</w:t>
      </w:r>
      <w:r>
        <w:rPr>
          <w:color w:val="003CA0"/>
          <w:sz w:val="12"/>
        </w:rPr>
        <w:t xml:space="preserve"> | RE 509.624</w:t>
      </w:r>
      <w:r>
        <w:rPr>
          <w:color w:val="003CA0"/>
          <w:sz w:val="12"/>
        </w:rPr>
        <w:t xml:space="preserve"> | rel. Joaquim Barbosa</w:t>
      </w:r>
    </w:p>
    <w:p>
      <w:pPr>
        <w:ind w:left="288"/>
      </w:pPr>
      <w:r>
        <w:rPr>
          <w:color w:val="1E1E1E"/>
          <w:sz w:val="18"/>
        </w:rPr>
        <w:t>A atividade desempenhada por empresa prestadora de serviços com intuito lucrativo é compatível com o escopo de atuação do Sesc [Serviço Social do Comércio] e do Senac [Serviço Nacional de Aprendizagem Comercial], enquanto não for criada entidade sindical de grau superior com o objetivo de orientar, coordenar e defender todas as atividades econômicas relacionadas à prestação de serviços.</w:t>
      </w:r>
    </w:p>
    <w:p>
      <w:pPr>
        <w:ind w:left="288"/>
      </w:pPr>
      <w:r>
        <w:rPr>
          <w:b/>
          <w:color w:val="003CA0"/>
          <w:sz w:val="16"/>
        </w:rPr>
        <w:t>[RE 509.624 AgR, rel. min. Joaquim Barbosa, j. 1º-3-2011, 2ª T, DJE de 1º-4-2011.]</w:t>
      </w:r>
    </w:p>
    <w:p>
      <w:pPr>
        <w:ind w:left="288"/>
      </w:pPr>
      <w:r>
        <w:rPr>
          <w:color w:val="8C8C8C"/>
          <w:sz w:val="12"/>
        </w:rPr>
        <w:t>cf-art-240</w:t>
      </w:r>
      <w:r>
        <w:rPr>
          <w:color w:val="003CA0"/>
          <w:sz w:val="12"/>
        </w:rPr>
        <w:t xml:space="preserve"> | RE 412.368</w:t>
      </w:r>
      <w:r>
        <w:rPr>
          <w:color w:val="003CA0"/>
          <w:sz w:val="12"/>
        </w:rPr>
        <w:t xml:space="preserve"> | rel. Joaquim Barbosa</w:t>
      </w:r>
    </w:p>
    <w:p>
      <w:pPr>
        <w:ind w:left="288"/>
      </w:pPr>
      <w:r>
        <w:rPr>
          <w:color w:val="1E1E1E"/>
          <w:sz w:val="18"/>
        </w:rPr>
        <w:t>O art. 240 da Constituição expressamente recepcionou as contribuições destinadas às entidades privadas de serviço social e de formação profissional vinculadas ao sistema sindical. (...) A alteração do sujeito ativo das Contribuições ao Sesi [Serviço Social da Indústria]/Senai [Serviço Nacional de Aprendizagem Industrial] para o Sest [Serviço Social do Transporte]/Senat [Serviço Nacional de Aprendizagem do Transporte] é compatível com o art. 240 da Constituição, pois a destinação do produto arrecadado é adequada ao objetivo da norma de recepção, que é manter a fonte de custeio preexistente do c</w:t>
      </w:r>
    </w:p>
    <w:p>
      <w:pPr>
        <w:ind w:left="288"/>
      </w:pPr>
      <w:r>
        <w:rPr>
          <w:b/>
          <w:color w:val="003CA0"/>
          <w:sz w:val="16"/>
        </w:rPr>
        <w:t>[RE 412.368 AgR, rel. min. Joaquim Barbosa, j. 1º-3-2011, 2ª T, DJE de 1º-4-2011.]</w:t>
      </w:r>
    </w:p>
    <w:p>
      <w:r>
        <w:rPr>
          <w:b/>
          <w:color w:val="003366"/>
          <w:sz w:val="20"/>
        </w:rPr>
        <w:t>Art. 241 A União, os Estados, o Distrito Federal e os Municípios disciplinarão p</w:t>
      </w:r>
      <w:r>
        <w:rPr>
          <w:color w:val="8C8C8C"/>
          <w:sz w:val="14"/>
        </w:rPr>
        <w:t xml:space="preserve">  [1 decisoes]</w:t>
      </w:r>
    </w:p>
    <w:p>
      <w:pPr>
        <w:ind w:left="144"/>
      </w:pPr>
      <w:r>
        <w:rPr>
          <w:b/>
          <w:color w:val="B45A00"/>
          <w:sz w:val="16"/>
        </w:rPr>
        <w:t>JULGADOS CORRELATOS</w:t>
      </w:r>
    </w:p>
    <w:p>
      <w:pPr>
        <w:ind w:left="288"/>
      </w:pPr>
      <w:r>
        <w:rPr>
          <w:color w:val="8C8C8C"/>
          <w:sz w:val="12"/>
        </w:rPr>
        <w:t>cf-art-241</w:t>
      </w:r>
      <w:r>
        <w:rPr>
          <w:color w:val="003CA0"/>
          <w:sz w:val="12"/>
        </w:rPr>
        <w:t xml:space="preserve"> | ACO 3427</w:t>
      </w:r>
    </w:p>
    <w:p>
      <w:pPr>
        <w:ind w:left="288"/>
      </w:pPr>
      <w:r>
        <w:rPr>
          <w:color w:val="1E1E1E"/>
          <w:sz w:val="18"/>
        </w:rPr>
        <w:t>A Força Nacional de Segurança Pública representa programa de cooperação federativa, ao qual podem aderir, por atos formais específicos, os entes Federados. Em juízo de delibação, a norma inscrita no art. 4º do Decreto nº 5.289/2004, ao autorizar o emprego da Força Nacional de Segurança, em território de Estado-membro, sem a anuência de seu Governador, por mero ato de Ministro de Estado, viola a natureza cooperativa do programa e seu suporte constitucional, conflitando com os art. 34 e 241 da Constituição Federal. Encontra-se preenchido o requisito do fumus boni iuris. Em razão da intensa gravi</w:t>
      </w:r>
    </w:p>
    <w:p>
      <w:pPr>
        <w:ind w:left="288"/>
      </w:pPr>
      <w:r>
        <w:rPr>
          <w:b/>
          <w:color w:val="003CA0"/>
          <w:sz w:val="16"/>
        </w:rPr>
        <w:t>[ACO 3427 MC-Ref, rel. Edson Fachin, j. 24-09-2020, P, DJE de 14-12-2020.]</w:t>
      </w:r>
    </w:p>
    <w:p>
      <w:r>
        <w:rPr>
          <w:b/>
          <w:color w:val="003366"/>
          <w:sz w:val="20"/>
        </w:rPr>
        <w:t>Art. 242 O princípio do art. 206, IV, não se aplica às instituições educacionais</w:t>
      </w:r>
      <w:r>
        <w:rPr>
          <w:color w:val="8C8C8C"/>
          <w:sz w:val="14"/>
        </w:rPr>
        <w:t xml:space="preserve">  [1 decisoes]</w:t>
      </w:r>
    </w:p>
    <w:p>
      <w:pPr>
        <w:ind w:left="144"/>
      </w:pPr>
      <w:r>
        <w:rPr>
          <w:b/>
          <w:color w:val="B45A00"/>
          <w:sz w:val="16"/>
        </w:rPr>
        <w:t>JULGADOS CORRELATOS</w:t>
      </w:r>
    </w:p>
    <w:p>
      <w:pPr>
        <w:ind w:left="288"/>
      </w:pPr>
      <w:r>
        <w:rPr>
          <w:color w:val="8C8C8C"/>
          <w:sz w:val="12"/>
        </w:rPr>
        <w:t>cf-art-242-par-2</w:t>
      </w:r>
      <w:r>
        <w:rPr>
          <w:color w:val="003CA0"/>
          <w:sz w:val="12"/>
        </w:rPr>
        <w:t xml:space="preserve"> | RMS 24.287</w:t>
      </w:r>
      <w:r>
        <w:rPr>
          <w:color w:val="003CA0"/>
          <w:sz w:val="12"/>
        </w:rPr>
        <w:t xml:space="preserve"> | rel. Maurício Corrêa</w:t>
      </w:r>
    </w:p>
    <w:p>
      <w:pPr>
        <w:ind w:left="288"/>
      </w:pPr>
      <w:r>
        <w:rPr>
          <w:color w:val="1E1E1E"/>
          <w:sz w:val="18"/>
        </w:rPr>
        <w:t>A CF, ao preconizar a gestão democrática no ensino público, remeteu à lei ordinária a forma, as condições e os limites acerca do seu cumprimento. A Congregação tem o dever de sugerir ao presidente da República seis candidatos ao cargo de diretor-geral do Colégio Pedro II, não estando o chefe do Poder Executivo adstrito à lista sêxtupla. Inteligência da expressão "de preferência" contida no § 1º do art. 20 da Lei 5.758/1971.</w:t>
      </w:r>
    </w:p>
    <w:p>
      <w:pPr>
        <w:ind w:left="288"/>
      </w:pPr>
      <w:r>
        <w:rPr>
          <w:b/>
          <w:color w:val="003CA0"/>
          <w:sz w:val="16"/>
        </w:rPr>
        <w:t>[RMS 24.287, rel. min. Maurício Corrêa, j. 26-11-2002, 2ª T, DJ de 1º-8-2003.]</w:t>
      </w:r>
    </w:p>
    <w:p>
      <w:pPr>
        <w:ind w:left="432"/>
      </w:pPr>
      <w:r>
        <w:rPr>
          <w:color w:val="003366"/>
          <w:sz w:val="18"/>
        </w:rPr>
        <w:t>§ 1 O ensino da História do Brasil levará em conta as contribuições das diferent</w:t>
      </w:r>
    </w:p>
    <w:p>
      <w:pPr>
        <w:ind w:left="432"/>
      </w:pPr>
      <w:r>
        <w:rPr>
          <w:color w:val="003366"/>
          <w:sz w:val="18"/>
        </w:rPr>
        <w:t xml:space="preserve">§ 2 O Colégio Pedro II, localizado na cidade do Rio de Janeiro, será mantido na </w:t>
      </w:r>
    </w:p>
    <w:p>
      <w:r>
        <w:rPr>
          <w:b/>
          <w:color w:val="003366"/>
          <w:sz w:val="20"/>
        </w:rPr>
        <w:t xml:space="preserve">Art. 243 As propriedades rurais e urbanas de qualquer região do País onde forem </w:t>
      </w:r>
      <w:r>
        <w:rPr>
          <w:color w:val="8C8C8C"/>
          <w:sz w:val="14"/>
        </w:rPr>
        <w:t xml:space="preserve">  [4 decisoes]</w:t>
      </w:r>
    </w:p>
    <w:p>
      <w:pPr>
        <w:ind w:left="144"/>
      </w:pPr>
      <w:r>
        <w:rPr>
          <w:b/>
          <w:color w:val="B45A00"/>
          <w:sz w:val="16"/>
        </w:rPr>
        <w:t>REPERCUSSAO GERAL</w:t>
      </w:r>
    </w:p>
    <w:p>
      <w:pPr>
        <w:ind w:left="288"/>
      </w:pPr>
      <w:r>
        <w:rPr>
          <w:color w:val="8C8C8C"/>
          <w:sz w:val="12"/>
        </w:rPr>
        <w:t>cf-art-243</w:t>
      </w:r>
      <w:r>
        <w:rPr>
          <w:color w:val="003CA0"/>
          <w:sz w:val="12"/>
        </w:rPr>
        <w:t xml:space="preserve"> | RE 635.336</w:t>
      </w:r>
      <w:r>
        <w:rPr>
          <w:color w:val="003CA0"/>
          <w:sz w:val="12"/>
        </w:rPr>
        <w:t xml:space="preserve"> | rel. Gilmar Mendes</w:t>
      </w:r>
    </w:p>
    <w:p>
      <w:pPr>
        <w:ind w:left="288"/>
      </w:pPr>
      <w:r>
        <w:rPr>
          <w:color w:val="1E1E1E"/>
          <w:sz w:val="18"/>
        </w:rPr>
        <w:t>A expropriação prevista no art. 243 da CF pode ser afastada, desde que o proprietário comprove que não incorreu em culpa, ainda que in vigilando ou in eligendo”.</w:t>
      </w:r>
    </w:p>
    <w:p>
      <w:pPr>
        <w:ind w:left="288"/>
      </w:pPr>
      <w:r>
        <w:rPr>
          <w:b/>
          <w:color w:val="003CA0"/>
          <w:sz w:val="16"/>
        </w:rPr>
        <w:t>[RE 635.336, rel. min. Gilmar Mendes, j. 14-12-2016, P, DJE de 15-9-2017, Tema 399, com mérito julgado.]</w:t>
      </w:r>
    </w:p>
    <w:p>
      <w:pPr>
        <w:ind w:left="144"/>
      </w:pPr>
      <w:r>
        <w:rPr>
          <w:b/>
          <w:color w:val="B45A00"/>
          <w:sz w:val="16"/>
        </w:rPr>
        <w:t>JULGADOS CORRELATOS</w:t>
      </w:r>
    </w:p>
    <w:p>
      <w:pPr>
        <w:ind w:left="288"/>
      </w:pPr>
      <w:r>
        <w:rPr>
          <w:color w:val="8C8C8C"/>
          <w:sz w:val="12"/>
        </w:rPr>
        <w:t>cf-art-243</w:t>
      </w:r>
      <w:r>
        <w:rPr>
          <w:color w:val="003CA0"/>
          <w:sz w:val="12"/>
        </w:rPr>
        <w:t xml:space="preserve"> | ACO 967</w:t>
      </w:r>
      <w:r>
        <w:rPr>
          <w:color w:val="003CA0"/>
          <w:sz w:val="12"/>
        </w:rPr>
        <w:t xml:space="preserve"> | rel. Rosa Weber</w:t>
      </w:r>
    </w:p>
    <w:p>
      <w:pPr>
        <w:ind w:left="288"/>
      </w:pPr>
      <w:r>
        <w:rPr>
          <w:color w:val="1E1E1E"/>
          <w:sz w:val="18"/>
        </w:rPr>
        <w:t>Não se justifica, para fins da expropriação, com caráter de confisco, de que trata o art. 243 da Constituição Federal, a invocação da primazia da União sobre os Estados. Em se tratando de bem já público, sua expropriação para mera alteração de titularidade nada contribui para o alcance da finalidade do instituto.</w:t>
      </w:r>
    </w:p>
    <w:p>
      <w:pPr>
        <w:ind w:left="288"/>
      </w:pPr>
      <w:r>
        <w:rPr>
          <w:b/>
          <w:color w:val="003CA0"/>
          <w:sz w:val="16"/>
        </w:rPr>
        <w:t>[ACO 967, rel. min. Rosa Weber, j. 27-4-2020, P, DJE de 15-5-2020.]</w:t>
      </w:r>
    </w:p>
    <w:p>
      <w:pPr>
        <w:ind w:left="144"/>
      </w:pPr>
      <w:r>
        <w:rPr>
          <w:b/>
          <w:color w:val="B45A00"/>
          <w:sz w:val="16"/>
        </w:rPr>
        <w:t>REPERCUSSAO GERAL</w:t>
      </w:r>
    </w:p>
    <w:p>
      <w:pPr>
        <w:ind w:left="288"/>
      </w:pPr>
      <w:r>
        <w:rPr>
          <w:color w:val="8C8C8C"/>
          <w:sz w:val="12"/>
        </w:rPr>
        <w:t>cf-art-243-par-unico</w:t>
      </w:r>
      <w:r>
        <w:rPr>
          <w:color w:val="003CA0"/>
          <w:sz w:val="12"/>
        </w:rPr>
        <w:t xml:space="preserve"> | RE 638.491</w:t>
      </w:r>
      <w:r>
        <w:rPr>
          <w:color w:val="003CA0"/>
          <w:sz w:val="12"/>
        </w:rPr>
        <w:t xml:space="preserve"> | rel. Luiz Fux</w:t>
      </w:r>
    </w:p>
    <w:p>
      <w:pPr>
        <w:ind w:left="288"/>
      </w:pPr>
      <w:r>
        <w:rPr>
          <w:color w:val="1E1E1E"/>
          <w:sz w:val="18"/>
        </w:rPr>
        <w:t>É possível o confisco de todo e qualquer bem de valor econômico apreendido em decorrência do tráfico de drogas, sem a necessidade de se perquirir a habitualidade, reiteração do uso do bem para tal finalidade, a sua modificação para dificultar a descoberta do local do acondicionamento da droga ou qualquer outro requisito além daqueles previstos expressamente no art. 243, parágrafo único, da CF.</w:t>
        <w:br/>
        <w:t>[RE 638.491, rel. min. Luiz Fux, j. 17-5-2017, P, DJE de 23-8-2017, Tema 647, com mérito julgado.]</w:t>
        <w:br/>
        <w:t>Vide AC 82 MC, rel. min. Marco Aurélio, j. 3-2-2004, 1ª T, DJ de 28-5-2004</w:t>
      </w:r>
    </w:p>
    <w:p>
      <w:pPr>
        <w:ind w:left="144"/>
      </w:pPr>
      <w:r>
        <w:rPr>
          <w:b/>
          <w:color w:val="B45A00"/>
          <w:sz w:val="16"/>
        </w:rPr>
        <w:t>JULGADOS CORRELATOS</w:t>
      </w:r>
    </w:p>
    <w:p>
      <w:pPr>
        <w:ind w:left="288"/>
      </w:pPr>
      <w:r>
        <w:rPr>
          <w:color w:val="8C8C8C"/>
          <w:sz w:val="12"/>
        </w:rPr>
        <w:t>cf-art-243-par-unico</w:t>
      </w:r>
      <w:r>
        <w:rPr>
          <w:color w:val="003CA0"/>
          <w:sz w:val="12"/>
        </w:rPr>
        <w:t xml:space="preserve"> | AC 82</w:t>
      </w:r>
      <w:r>
        <w:rPr>
          <w:color w:val="003CA0"/>
          <w:sz w:val="12"/>
        </w:rPr>
        <w:t xml:space="preserve"> | rel. Marco Aurélio</w:t>
      </w:r>
    </w:p>
    <w:p>
      <w:pPr>
        <w:ind w:left="288"/>
      </w:pPr>
      <w:r>
        <w:rPr>
          <w:color w:val="1E1E1E"/>
          <w:sz w:val="18"/>
        </w:rPr>
        <w:t>Agravo de instrumento. Eficácia suspensiva ativa. Tráfico de drogas. Apreensão e confisco de bem utilizado. Art. 243, parágrafo único, da CF. Impõe-se o empréstimo de eficácia suspensiva ativa a agravo, suspendendo-se acórdão impugnado mediante extraordinário a que visa imprimir trânsito, quando o pronunciamento judicial revele distinção, não contemplada na CF, consubstanciada na exigência de utilização constante e habitual de bem em tráfico de droga, para chegar-se à apreensão e confisco.</w:t>
      </w:r>
    </w:p>
    <w:p>
      <w:pPr>
        <w:ind w:left="288"/>
      </w:pPr>
      <w:r>
        <w:rPr>
          <w:b/>
          <w:color w:val="003CA0"/>
          <w:sz w:val="16"/>
        </w:rPr>
        <w:t>[AC 82 MC, rel. min. Marco Aurélio, j. 3-2-2004, 1ª T, DJ de 28-5-2004.]</w:t>
      </w:r>
    </w:p>
    <w:p>
      <w:r>
        <w:rPr>
          <w:b/>
          <w:color w:val="003366"/>
          <w:sz w:val="20"/>
        </w:rPr>
        <w:t>Art. 244 A lei disporá sobre a adaptação dos logradouros, dos edifícios de uso p</w:t>
      </w:r>
      <w:r>
        <w:rPr>
          <w:color w:val="8C8C8C"/>
          <w:sz w:val="14"/>
        </w:rPr>
        <w:t xml:space="preserve">  [2 decisoes]</w:t>
      </w:r>
    </w:p>
    <w:p>
      <w:pPr>
        <w:ind w:left="144"/>
      </w:pPr>
      <w:r>
        <w:rPr>
          <w:b/>
          <w:color w:val="B45A00"/>
          <w:sz w:val="16"/>
        </w:rPr>
        <w:t>CONTROLE CONCENTRADO</w:t>
      </w:r>
    </w:p>
    <w:p>
      <w:pPr>
        <w:ind w:left="288"/>
      </w:pPr>
      <w:r>
        <w:rPr>
          <w:color w:val="8C8C8C"/>
          <w:sz w:val="12"/>
        </w:rPr>
        <w:t>cf-art-244</w:t>
      </w:r>
      <w:r>
        <w:rPr>
          <w:color w:val="003CA0"/>
          <w:sz w:val="12"/>
        </w:rPr>
        <w:t xml:space="preserve"> | ADI 903</w:t>
      </w:r>
      <w:r>
        <w:rPr>
          <w:color w:val="003CA0"/>
          <w:sz w:val="12"/>
        </w:rPr>
        <w:t xml:space="preserve"> | rel. Dias Toffoli</w:t>
      </w:r>
    </w:p>
    <w:p>
      <w:pPr>
        <w:ind w:left="288"/>
      </w:pPr>
      <w:r>
        <w:rPr>
          <w:color w:val="1E1E1E"/>
          <w:sz w:val="18"/>
        </w:rPr>
        <w:t xml:space="preserve">A ordem constitucional brasileira, inaugurada em 1988, trouxe desde seus escritos originais a preocupação com a proteção das pessoas portadoras de necessidades especiais, construindo políticas e diretrizes de inserção nas diversas áreas sociais e econômicas da comunidade (trabalho privado, serviço público, previdência e assistência social). Estabeleceu, assim, nos arts. 227, § 2º, e 244, a necessidade de se conferir amplo acesso e plena capacidade de locomoção às pessoas com deficiência, no que concerne tanto aos logradouros públicos quanto aos veículos de transporte coletivo, determinando ao </w:t>
      </w:r>
    </w:p>
    <w:p>
      <w:pPr>
        <w:ind w:left="288"/>
      </w:pPr>
      <w:r>
        <w:rPr>
          <w:b/>
          <w:color w:val="003CA0"/>
          <w:sz w:val="16"/>
        </w:rPr>
        <w:t>[ADI 903, rel. min. Dias Toffoli, j. 22-5-2013, P, DJE de 7-2-2014.]</w:t>
      </w:r>
    </w:p>
    <w:p>
      <w:pPr>
        <w:ind w:left="144"/>
      </w:pPr>
      <w:r>
        <w:rPr>
          <w:b/>
          <w:color w:val="B45A00"/>
          <w:sz w:val="16"/>
        </w:rPr>
        <w:t>JULGADOS CORRELATOS</w:t>
      </w:r>
    </w:p>
    <w:p>
      <w:pPr>
        <w:ind w:left="288"/>
      </w:pPr>
      <w:r>
        <w:rPr>
          <w:color w:val="8C8C8C"/>
          <w:sz w:val="12"/>
        </w:rPr>
        <w:t>cf-art-244</w:t>
      </w:r>
      <w:r>
        <w:rPr>
          <w:color w:val="003CA0"/>
          <w:sz w:val="12"/>
        </w:rPr>
        <w:t xml:space="preserve"> | RE 440.028</w:t>
      </w:r>
      <w:r>
        <w:rPr>
          <w:color w:val="003CA0"/>
          <w:sz w:val="12"/>
        </w:rPr>
        <w:t xml:space="preserve"> | rel. Marco Aurélio</w:t>
      </w:r>
    </w:p>
    <w:p>
      <w:pPr>
        <w:ind w:left="288"/>
      </w:pPr>
      <w:r>
        <w:rPr>
          <w:color w:val="1E1E1E"/>
          <w:sz w:val="18"/>
        </w:rPr>
        <w:t>A Constituição de 1988, a Convenção Internacional sobre Direitos das Pessoas com Deficiência e as Leis 7.853/1989 – federal –, 5.500/1986 e 9.086/1995 – estas duas do Estado de São Paulo – asseguram o direito dos portadores de necessidades especiais ao acesso a prédios públicos, devendo a administração adotar providências que o viabilizem.</w:t>
      </w:r>
    </w:p>
    <w:p>
      <w:pPr>
        <w:ind w:left="288"/>
      </w:pPr>
      <w:r>
        <w:rPr>
          <w:b/>
          <w:color w:val="003CA0"/>
          <w:sz w:val="16"/>
        </w:rPr>
        <w:t>[RE 440.028, rel. min. Marco Aurélio, j. 29-10-2013, 1ª T, DJE de 26-11-2013.]</w:t>
      </w:r>
    </w:p>
    <w:p>
      <w:r>
        <w:rPr>
          <w:b/>
          <w:color w:val="003366"/>
          <w:sz w:val="20"/>
        </w:rPr>
        <w:t>Art. 245 A lei disporá sobre as hipóteses e condições em que o Poder Público dar</w:t>
      </w:r>
      <w:r>
        <w:rPr>
          <w:color w:val="8C8C8C"/>
          <w:sz w:val="14"/>
        </w:rPr>
        <w:t xml:space="preserve">  [2 decisoes]</w:t>
      </w:r>
    </w:p>
    <w:p>
      <w:pPr>
        <w:ind w:left="288"/>
      </w:pPr>
      <w:r>
        <w:rPr>
          <w:color w:val="8C8C8C"/>
          <w:sz w:val="12"/>
        </w:rPr>
        <w:t>cf-art-245</w:t>
      </w:r>
      <w:r>
        <w:rPr>
          <w:color w:val="003CA0"/>
          <w:sz w:val="12"/>
        </w:rPr>
        <w:t xml:space="preserve"> | ADO 62</w:t>
      </w:r>
      <w:r>
        <w:rPr>
          <w:color w:val="003CA0"/>
          <w:sz w:val="12"/>
        </w:rPr>
        <w:t xml:space="preserve"> | rel. Dias Toffoli</w:t>
      </w:r>
    </w:p>
    <w:p>
      <w:pPr>
        <w:ind w:left="288"/>
      </w:pPr>
      <w:r>
        <w:rPr>
          <w:color w:val="1E1E1E"/>
          <w:sz w:val="18"/>
        </w:rPr>
        <w:t>O art. 245 da Constituição de 1988 não impõe a instituição de benefício pecuniário, ou de qualquer outra prestação material específica, cabendo ao legislador, no espaço de conformação da realidade outorgado pela Constituição de 1988, decidir sobre a forma de assistência a ser prestada às vítimas de crimes e a seus familiares. (...) O panorama normativo indica não haver no momento inércia deliberativa do Congresso Nacional, tampouco do poder público em geral. Ao contrário. O que se percebe é um esforço comum dos entes federados – ou de vários deles – para dar resposta adequada e eficiente às ne</w:t>
      </w:r>
    </w:p>
    <w:p>
      <w:pPr>
        <w:ind w:left="288"/>
      </w:pPr>
      <w:r>
        <w:rPr>
          <w:b/>
          <w:color w:val="003CA0"/>
          <w:sz w:val="16"/>
        </w:rPr>
        <w:t>[ADO 62, rel. min. Dias Toffoli, j. 19.08.2025, P, DJE de 27.08.2025.]</w:t>
      </w:r>
    </w:p>
    <w:p>
      <w:pPr>
        <w:ind w:left="144"/>
      </w:pPr>
      <w:r>
        <w:rPr>
          <w:b/>
          <w:color w:val="B45A00"/>
          <w:sz w:val="16"/>
        </w:rPr>
        <w:t>CONTROLE CONCENTRADO</w:t>
      </w:r>
    </w:p>
    <w:p>
      <w:pPr>
        <w:ind w:left="288"/>
      </w:pPr>
      <w:r>
        <w:rPr>
          <w:color w:val="8C8C8C"/>
          <w:sz w:val="12"/>
        </w:rPr>
        <w:t>cf-art-245</w:t>
      </w:r>
      <w:r>
        <w:rPr>
          <w:color w:val="003CA0"/>
          <w:sz w:val="12"/>
        </w:rPr>
        <w:t xml:space="preserve"> | ADI 1.358</w:t>
      </w:r>
      <w:r>
        <w:rPr>
          <w:color w:val="003CA0"/>
          <w:sz w:val="12"/>
        </w:rPr>
        <w:t xml:space="preserve"> | rel. Gilmar Mendes</w:t>
      </w:r>
    </w:p>
    <w:p>
      <w:pPr>
        <w:ind w:left="288"/>
      </w:pPr>
      <w:r>
        <w:rPr>
          <w:color w:val="1E1E1E"/>
          <w:sz w:val="18"/>
        </w:rPr>
        <w:t>Pensão especial a cônjuge de vítima assassinada no Distrito Federal. Lei que impõe ao Distrito Federal responsabilidade além da prevista no art. 37, § 6º, da Constituição. Inocorrência da hipótese de assistência social. Inconstitucionalidade do art. 1º da Lei 842/1994. Inconstitucionalidade por arrastamento dos demais dispositivos. Ação julgada procedente.</w:t>
      </w:r>
    </w:p>
    <w:p>
      <w:pPr>
        <w:ind w:left="288"/>
      </w:pPr>
      <w:r>
        <w:rPr>
          <w:b/>
          <w:color w:val="003CA0"/>
          <w:sz w:val="16"/>
        </w:rPr>
        <w:t>[ADI 1.358, rel. min. Gilmar Mendes, j. 4-2-2015, P, DJE de 3-3-2015.]</w:t>
      </w:r>
    </w:p>
    <w:p>
      <w:r>
        <w:rPr>
          <w:b/>
          <w:color w:val="003366"/>
          <w:sz w:val="20"/>
        </w:rPr>
        <w:t>Art. 246 É vedada a adoção de medida provisória na regulamentação de artigo da C</w:t>
      </w:r>
      <w:r>
        <w:rPr>
          <w:color w:val="8C8C8C"/>
          <w:sz w:val="14"/>
        </w:rPr>
        <w:t xml:space="preserve">  [9 decisoes]</w:t>
      </w:r>
    </w:p>
    <w:p>
      <w:pPr>
        <w:ind w:left="144"/>
      </w:pPr>
      <w:r>
        <w:rPr>
          <w:b/>
          <w:color w:val="B45A00"/>
          <w:sz w:val="16"/>
        </w:rPr>
        <w:t>CONTROLE CONCENTRADO</w:t>
      </w:r>
    </w:p>
    <w:p>
      <w:pPr>
        <w:ind w:left="288"/>
      </w:pPr>
      <w:r>
        <w:rPr>
          <w:color w:val="8C8C8C"/>
          <w:sz w:val="12"/>
        </w:rPr>
        <w:t>cf-art-246</w:t>
      </w:r>
      <w:r>
        <w:rPr>
          <w:color w:val="003CA0"/>
          <w:sz w:val="12"/>
        </w:rPr>
        <w:t xml:space="preserve"> | ADI 6.921</w:t>
      </w:r>
      <w:r>
        <w:rPr>
          <w:color w:val="003CA0"/>
          <w:sz w:val="12"/>
        </w:rPr>
        <w:t xml:space="preserve"> | rel. Alexandre de Moraes</w:t>
      </w:r>
    </w:p>
    <w:p>
      <w:pPr>
        <w:ind w:left="288"/>
      </w:pPr>
      <w:r>
        <w:rPr>
          <w:color w:val="1E1E1E"/>
          <w:sz w:val="18"/>
        </w:rPr>
        <w:t>A limitação à edição de Medidas Provisórias em matéria de telecomunicações (art. 246 da CF e art. 2º da EC 8/1995), em razão de o art. 21, XI, da CF, ter sido alterado pelo constituinte reformador, deve ser interpretada restritivamente, vedando apenas a regulamentação via medida provisória do marco legal dos serviços de telecomunicações (Lei 9.472/1997).</w:t>
        <w:br/>
        <w:t>[ADI 6.921 e ADI 6.931, rel. min. Alexandre de Moraes, j. 07.02.2024, P, DJE de 03.05.2024.] A alteração da alíquota da CSLL por Medida Provisória não equivale à regulamentação do § 9º, do artigo 195 da CRFB, incluído pela EC 20/1998, razão pe</w:t>
      </w:r>
    </w:p>
    <w:p>
      <w:pPr>
        <w:ind w:left="288"/>
      </w:pPr>
      <w:r>
        <w:rPr>
          <w:b/>
          <w:color w:val="003CA0"/>
          <w:sz w:val="16"/>
        </w:rPr>
        <w:t>[ADI 4.101, rel. min. Luiz Fux, j. 16-6-2020, P, DJE de 6-7-2020.]</w:t>
      </w:r>
    </w:p>
    <w:p>
      <w:pPr>
        <w:ind w:left="288"/>
      </w:pPr>
      <w:r>
        <w:rPr>
          <w:color w:val="8C8C8C"/>
          <w:sz w:val="12"/>
        </w:rPr>
        <w:t>cf-art-246</w:t>
      </w:r>
      <w:r>
        <w:rPr>
          <w:color w:val="003CA0"/>
          <w:sz w:val="12"/>
        </w:rPr>
        <w:t xml:space="preserve"> | ADI 1.975</w:t>
      </w:r>
      <w:r>
        <w:rPr>
          <w:color w:val="003CA0"/>
          <w:sz w:val="12"/>
        </w:rPr>
        <w:t xml:space="preserve"> | rel. Roberto Barroso</w:t>
      </w:r>
    </w:p>
    <w:p>
      <w:pPr>
        <w:ind w:left="288"/>
      </w:pPr>
      <w:r>
        <w:rPr>
          <w:color w:val="1E1E1E"/>
          <w:sz w:val="18"/>
        </w:rPr>
        <w:t>Artigo 3º da MP nº 1.815/1999, ainda em vigor, por meio da MP 2.225-45/2001. Supressão do adicional por tempo de serviço compatível com o art. 246 CF, uma vez que a matéria não foi objeto de emenda constitucional.</w:t>
      </w:r>
    </w:p>
    <w:p>
      <w:pPr>
        <w:ind w:left="288"/>
      </w:pPr>
      <w:r>
        <w:rPr>
          <w:b/>
          <w:color w:val="003CA0"/>
          <w:sz w:val="16"/>
        </w:rPr>
        <w:t>[ADI 1.975, rel. min. Roberto Barroso, j. 19-12-2018, P, DJE de 25-2-2019.]</w:t>
      </w:r>
    </w:p>
    <w:p>
      <w:pPr>
        <w:ind w:left="288"/>
      </w:pPr>
      <w:r>
        <w:rPr>
          <w:color w:val="8C8C8C"/>
          <w:sz w:val="12"/>
        </w:rPr>
        <w:t>cf-art-246</w:t>
      </w:r>
      <w:r>
        <w:rPr>
          <w:color w:val="003CA0"/>
          <w:sz w:val="12"/>
        </w:rPr>
        <w:t xml:space="preserve"> | ADI 3.090</w:t>
      </w:r>
      <w:r>
        <w:rPr>
          <w:color w:val="003CA0"/>
          <w:sz w:val="12"/>
        </w:rPr>
        <w:t xml:space="preserve"> | rel. Gilmar Mendes</w:t>
      </w:r>
    </w:p>
    <w:p>
      <w:pPr>
        <w:ind w:left="288"/>
      </w:pPr>
      <w:r>
        <w:rPr>
          <w:color w:val="1E1E1E"/>
          <w:sz w:val="18"/>
        </w:rPr>
        <w:t>Prosseguimento do julgamento quanto à análise das alegações de vícios formais presentes na MP 144/2003, por violação ao art. 246 da Constituição: "É vedada a adoção de medida provisória na regulamentação de artigo da Constituição cuja redação tenha sido alterada por meio de emenda promulgada entre 1º-1-1995 até a promulgação desta emenda, inclusive". Em princípio, a medida provisória impugnada não viola o art. 246 da Constituição, tendo em vista que a EC 6/1995 não promoveu alteração substancial na disciplina constitucional do setor elétrico, mas restringiu-se, em razão da revogação do art. 17</w:t>
      </w:r>
    </w:p>
    <w:p>
      <w:pPr>
        <w:ind w:left="288"/>
      </w:pPr>
      <w:r>
        <w:rPr>
          <w:b/>
          <w:color w:val="003CA0"/>
          <w:sz w:val="16"/>
        </w:rPr>
        <w:t>[ADI 3.090 MC, rel. min. Gilmar Mendes, j. 11-10-2006, P, DJ de 26-10-2007.]</w:t>
      </w:r>
    </w:p>
    <w:p>
      <w:pPr>
        <w:ind w:left="288"/>
      </w:pPr>
      <w:r>
        <w:rPr>
          <w:color w:val="8C8C8C"/>
          <w:sz w:val="12"/>
        </w:rPr>
        <w:t>cf-art-246</w:t>
      </w:r>
      <w:r>
        <w:rPr>
          <w:color w:val="003CA0"/>
          <w:sz w:val="12"/>
        </w:rPr>
        <w:t xml:space="preserve"> | ADI 1.597</w:t>
      </w:r>
      <w:r>
        <w:rPr>
          <w:color w:val="003CA0"/>
          <w:sz w:val="12"/>
        </w:rPr>
        <w:t xml:space="preserve"> | rel. Néri da Silveira</w:t>
      </w:r>
    </w:p>
    <w:p>
      <w:pPr>
        <w:ind w:left="288"/>
      </w:pPr>
      <w:r>
        <w:rPr>
          <w:color w:val="1E1E1E"/>
          <w:sz w:val="18"/>
        </w:rPr>
        <w:t>Ação direta de inconstitucionalidade. Liminar. Art. 1º da MP 1.481-48, de 15 de abril de 1997, que deu nova redação ao art. 13 da Lei 8.031/1990. Decreto 1.204, de 29 de julho de 1994, arts. 39 e 43. Alienação de ações em até 100% do capital votante. Possibilidade de restrição por parte do Poder Executivo. Nova modalidade de ação criada por decreto: não ocorrência. Vedação constitucional do uso de medida provisória para tratar do tema. Interpretação conforme. Perde relevo no juízo cautelar a alegada violação ao art. 5º, II, e ao art. 84, IV, da CF, visto que as ações de classe especial têm ori</w:t>
      </w:r>
    </w:p>
    <w:p>
      <w:pPr>
        <w:ind w:left="288"/>
      </w:pPr>
      <w:r>
        <w:rPr>
          <w:b/>
          <w:color w:val="003CA0"/>
          <w:sz w:val="16"/>
        </w:rPr>
        <w:t>[ADI 1.597 MC, rel. min. Néri da Silveira, j. 19-11-1997, P, DJ de 19-12-2002.]</w:t>
      </w:r>
    </w:p>
    <w:p>
      <w:pPr>
        <w:ind w:left="288"/>
      </w:pPr>
      <w:r>
        <w:rPr>
          <w:color w:val="8C8C8C"/>
          <w:sz w:val="12"/>
        </w:rPr>
        <w:t>cf-art-246</w:t>
      </w:r>
      <w:r>
        <w:rPr>
          <w:color w:val="003CA0"/>
          <w:sz w:val="12"/>
        </w:rPr>
        <w:t xml:space="preserve"> | RE 1.347.526</w:t>
      </w:r>
      <w:r>
        <w:rPr>
          <w:color w:val="003CA0"/>
          <w:sz w:val="12"/>
        </w:rPr>
        <w:t xml:space="preserve"> | rel. Cristiano Zanin</w:t>
      </w:r>
    </w:p>
    <w:p>
      <w:pPr>
        <w:ind w:left="288"/>
      </w:pPr>
      <w:r>
        <w:rPr>
          <w:color w:val="1E1E1E"/>
          <w:sz w:val="18"/>
        </w:rPr>
        <w:t>A vedação do art. 246 da CF/1988 deve ser interpretada restritivamente. A modificação do art. 201 da CF/1988 pela Emenda Constitucional nº 20/98, na parte relativa à cobertura por doença, não representou alteração substancial que impedisse a atualização da Lei nº 8.213/1991 pelas medidas provisórias questionadas. Não viola os artigos 62, caput e § 1º, e 246 da Constituição Federal a estipulação de prazo estimado para a duração de benefício de auxílio-doença, conforme estabelecido nos §§ 8º e 9º do art. 60 da Lei 8.213/1991, com redação dada pelas medidas provisórias 739/2016 e 767/2017, esta ú</w:t>
      </w:r>
    </w:p>
    <w:p>
      <w:pPr>
        <w:ind w:left="288"/>
      </w:pPr>
      <w:r>
        <w:rPr>
          <w:b/>
          <w:color w:val="003CA0"/>
          <w:sz w:val="16"/>
        </w:rPr>
        <w:t>[RE 1.347.526, rel. min. Cristiano Zanin, j. 15.09.2025, P, DJE de 24.09.2025, Tema 1.196, com mérito julgado.]</w:t>
      </w:r>
    </w:p>
    <w:p>
      <w:pPr>
        <w:ind w:left="144"/>
      </w:pPr>
      <w:r>
        <w:rPr>
          <w:b/>
          <w:color w:val="B45A00"/>
          <w:sz w:val="16"/>
        </w:rPr>
        <w:t>REPERCUSSAO GERAL</w:t>
      </w:r>
    </w:p>
    <w:p>
      <w:pPr>
        <w:ind w:left="288"/>
      </w:pPr>
      <w:r>
        <w:rPr>
          <w:color w:val="8C8C8C"/>
          <w:sz w:val="12"/>
        </w:rPr>
        <w:t>cf-art-246</w:t>
      </w:r>
      <w:r>
        <w:rPr>
          <w:color w:val="003CA0"/>
          <w:sz w:val="12"/>
        </w:rPr>
        <w:t xml:space="preserve"> | RE 1.347.526</w:t>
      </w:r>
      <w:r>
        <w:rPr>
          <w:color w:val="003CA0"/>
          <w:sz w:val="12"/>
        </w:rPr>
        <w:t xml:space="preserve"> | rel. Luiz Fux</w:t>
      </w:r>
    </w:p>
    <w:p>
      <w:pPr>
        <w:ind w:left="288"/>
      </w:pPr>
      <w:r>
        <w:rPr>
          <w:color w:val="1E1E1E"/>
          <w:sz w:val="18"/>
        </w:rPr>
        <w:t>Constitucionalidade da Medida Provisória 739/2016, substituída pela Medida Provisória 767/2017 e convertida na Lei 13.457/2017, as quais alteraram a Lei 8.213/1991, inserindo preceito sobre prazo estimado para a duração do benefício.</w:t>
      </w:r>
    </w:p>
    <w:p>
      <w:pPr>
        <w:ind w:left="288"/>
      </w:pPr>
      <w:r>
        <w:rPr>
          <w:b/>
          <w:color w:val="003CA0"/>
          <w:sz w:val="16"/>
        </w:rPr>
        <w:t>[RE 1.347.526 RG, rel. min. Luiz Fux, j. 17-2-2022, P, DJE de 23-2-2022, Tema 1.196, com mérito pendente.]</w:t>
      </w:r>
    </w:p>
    <w:p>
      <w:pPr>
        <w:ind w:left="288"/>
      </w:pPr>
      <w:r>
        <w:rPr>
          <w:color w:val="8C8C8C"/>
          <w:sz w:val="12"/>
        </w:rPr>
        <w:t>cf-art-246</w:t>
      </w:r>
      <w:r>
        <w:rPr>
          <w:color w:val="003CA0"/>
          <w:sz w:val="12"/>
        </w:rPr>
        <w:t xml:space="preserve"> | RE 570.122</w:t>
      </w:r>
    </w:p>
    <w:p>
      <w:pPr>
        <w:ind w:left="288"/>
      </w:pPr>
      <w:r>
        <w:rPr>
          <w:color w:val="1E1E1E"/>
          <w:sz w:val="18"/>
        </w:rPr>
        <w:t>É constitucional a previsão em lei ordinária que introduz a sistemática da não-cumulatividade à COFINS dado que observa os princípios da legalidade, isonomia, capacidade contributiva global e não-confisco.</w:t>
      </w:r>
    </w:p>
    <w:p>
      <w:pPr>
        <w:ind w:left="288"/>
      </w:pPr>
      <w:r>
        <w:rPr>
          <w:b/>
          <w:color w:val="003CA0"/>
          <w:sz w:val="16"/>
        </w:rPr>
        <w:t>[RE 570.122, red. do ac. min. Edson Fachin, j. 2-9-2020, P, DJE de 7-1 2-2020, RG, Tema 34. com mérito julgado.]</w:t>
      </w:r>
    </w:p>
    <w:p>
      <w:pPr>
        <w:ind w:left="144"/>
      </w:pPr>
      <w:r>
        <w:rPr>
          <w:b/>
          <w:color w:val="B45A00"/>
          <w:sz w:val="16"/>
        </w:rPr>
        <w:t>JULGADOS CORRELATOS</w:t>
      </w:r>
    </w:p>
    <w:p>
      <w:pPr>
        <w:ind w:left="288"/>
      </w:pPr>
      <w:r>
        <w:rPr>
          <w:color w:val="8C8C8C"/>
          <w:sz w:val="12"/>
        </w:rPr>
        <w:t>cf-art-246</w:t>
      </w:r>
      <w:r>
        <w:rPr>
          <w:color w:val="003CA0"/>
          <w:sz w:val="12"/>
        </w:rPr>
        <w:t xml:space="preserve"> | AI 570.849</w:t>
      </w:r>
      <w:r>
        <w:rPr>
          <w:color w:val="003CA0"/>
          <w:sz w:val="12"/>
        </w:rPr>
        <w:t xml:space="preserve"> | rel. Ayres Britto</w:t>
      </w:r>
    </w:p>
    <w:p>
      <w:pPr>
        <w:ind w:left="288"/>
      </w:pPr>
      <w:r>
        <w:rPr>
          <w:color w:val="1E1E1E"/>
          <w:sz w:val="18"/>
        </w:rPr>
        <w:t>A redação do § 2º do art. 201 do Texto Constitucional não foi alterada pela EC 20/1998. Na verdade, a referida emenda apenas promoveu o deslocamento da norma dentro do próprio art. 201, reposicionando-a no § 4º. Pelo que sua regulamentação por medida provisória não afronta o art. 246 da Carta Magna.</w:t>
      </w:r>
    </w:p>
    <w:p>
      <w:pPr>
        <w:ind w:left="288"/>
      </w:pPr>
      <w:r>
        <w:rPr>
          <w:b/>
          <w:color w:val="003CA0"/>
          <w:sz w:val="16"/>
        </w:rPr>
        <w:t>[AI 570.849 AgR, rel. min. Ayres Britto, j. 15-2-2011, 2ª T, DJE de 28-4-2011.]</w:t>
      </w:r>
    </w:p>
    <w:p>
      <w:pPr>
        <w:ind w:left="288"/>
      </w:pPr>
      <w:r>
        <w:rPr>
          <w:color w:val="8C8C8C"/>
          <w:sz w:val="12"/>
        </w:rPr>
        <w:t>cf-art-246</w:t>
      </w:r>
      <w:r>
        <w:rPr>
          <w:color w:val="003CA0"/>
          <w:sz w:val="12"/>
        </w:rPr>
        <w:t xml:space="preserve"> | RE 487.475</w:t>
      </w:r>
      <w:r>
        <w:rPr>
          <w:color w:val="003CA0"/>
          <w:sz w:val="12"/>
        </w:rPr>
        <w:t xml:space="preserve"> | rel. Ricardo Lewandowski</w:t>
      </w:r>
    </w:p>
    <w:p>
      <w:pPr>
        <w:ind w:left="288"/>
      </w:pPr>
      <w:r>
        <w:rPr>
          <w:color w:val="1E1E1E"/>
          <w:sz w:val="18"/>
        </w:rPr>
        <w:t>A alteração do art. 195 da Constituição pela EC 20/1998 não versou, especificamente, sobre a alíquota de contribuição social destinada ao custeio da seguridade social. Possibilidade de simples alteração de alíquota por medida provisória, dentro do prazo previsto no art. 246 da Carta Maior.</w:t>
      </w:r>
    </w:p>
    <w:p>
      <w:pPr>
        <w:ind w:left="288"/>
      </w:pPr>
      <w:r>
        <w:rPr>
          <w:b/>
          <w:color w:val="003CA0"/>
          <w:sz w:val="16"/>
        </w:rPr>
        <w:t>[RE 487.475 AgR, rel. min. Ricardo Lewandowski, j. 1º-6-2010, 1ª T, DJE de 6-8-2010.]</w:t>
      </w:r>
    </w:p>
    <w:p>
      <w:r>
        <w:rPr>
          <w:b/>
          <w:color w:val="003366"/>
          <w:sz w:val="20"/>
        </w:rPr>
        <w:t>Art. 247 As leis previstas no inciso III do § 1º do art. 41 e no § 7º do art. 16</w:t>
      </w:r>
      <w:r>
        <w:rPr>
          <w:color w:val="8C8C8C"/>
          <w:sz w:val="14"/>
        </w:rPr>
        <w:t xml:space="preserve">  [2 decisoes]</w:t>
      </w:r>
    </w:p>
    <w:p>
      <w:pPr>
        <w:ind w:left="144"/>
      </w:pPr>
      <w:r>
        <w:rPr>
          <w:b/>
          <w:color w:val="B45A00"/>
          <w:sz w:val="16"/>
        </w:rPr>
        <w:t>CONTROLE CONCENTRADO</w:t>
      </w:r>
    </w:p>
    <w:p>
      <w:pPr>
        <w:ind w:left="288"/>
      </w:pPr>
      <w:r>
        <w:rPr>
          <w:color w:val="8C8C8C"/>
          <w:sz w:val="12"/>
        </w:rPr>
        <w:t>cf-art-247</w:t>
      </w:r>
      <w:r>
        <w:rPr>
          <w:color w:val="003CA0"/>
          <w:sz w:val="12"/>
        </w:rPr>
        <w:t xml:space="preserve"> | ADI 3.711</w:t>
      </w:r>
      <w:r>
        <w:rPr>
          <w:color w:val="003CA0"/>
          <w:sz w:val="12"/>
        </w:rPr>
        <w:t xml:space="preserve"> | rel. Luiz Fux</w:t>
      </w:r>
    </w:p>
    <w:p>
      <w:pPr>
        <w:ind w:left="288"/>
      </w:pPr>
      <w:r>
        <w:rPr>
          <w:color w:val="1E1E1E"/>
          <w:sz w:val="18"/>
        </w:rPr>
        <w:t>Servidor público. Extinção do cargo de escrivão judiciário em âmbito estadual. (...) A vacância do cargo público não se confunde com a sua extinção; enquanto a primeira significa a saída do servidor do cargo público que ocupava, a última é a eliminação de um núcleo de atribuições e responsabilidades na estrutura organizacional da administração pública. A exigência de que a lei estabeleça critérios e garantias especiais para a perda do cargo pelo servidor público estável que desenvolva atividades exclusivas de Estado, prevista no art. 247 da Constituição da República, somente se aplica à vacânc</w:t>
      </w:r>
    </w:p>
    <w:p>
      <w:pPr>
        <w:ind w:left="288"/>
      </w:pPr>
      <w:r>
        <w:rPr>
          <w:b/>
          <w:color w:val="003CA0"/>
          <w:sz w:val="16"/>
        </w:rPr>
        <w:t>[ADI 3.711, rel. min. Luiz Fux, j. 5-8-2015, P, DJE de 24-8-2015.]</w:t>
      </w:r>
    </w:p>
    <w:p>
      <w:pPr>
        <w:ind w:left="288"/>
      </w:pPr>
      <w:r>
        <w:rPr>
          <w:color w:val="8C8C8C"/>
          <w:sz w:val="12"/>
        </w:rPr>
        <w:t>cf-art-247</w:t>
      </w:r>
      <w:r>
        <w:rPr>
          <w:color w:val="003CA0"/>
          <w:sz w:val="12"/>
        </w:rPr>
        <w:t xml:space="preserve"> | ADI 2.047</w:t>
      </w:r>
    </w:p>
    <w:p>
      <w:pPr>
        <w:ind w:left="288"/>
      </w:pPr>
      <w:r>
        <w:rPr>
          <w:color w:val="1E1E1E"/>
          <w:sz w:val="18"/>
        </w:rPr>
        <w:t>Conforme se viu, a EC 19/1998 não contém dispositivo expresso mandando aplicar as novas normas a situações jurídicas anteriormente constituídas, cujo alcance houvesse de ser examinado pelo STF, em face do princípio do direito adquirido. Na verdade, o que fez o autor, neste caso, foi formular consulta ao Tribunal acerca da interpretação a ser dada às novas disposições da emenda constitucional pela qual foi veiculada a chamada "reforma administrativa", diante da situação dos servidores que encontrou no gozo da estabilidade funcional adquirida antes dela, objetivo para o qual se mostra inadequada</w:t>
      </w:r>
    </w:p>
    <w:p>
      <w:pPr>
        <w:ind w:left="288"/>
      </w:pPr>
      <w:r>
        <w:rPr>
          <w:b/>
          <w:color w:val="003CA0"/>
          <w:sz w:val="16"/>
        </w:rPr>
        <w:t>[ADI 2.047, voto do min. Ilmar Galvão, j. 3-11-1999, P, DJ de 17-12-1999.]</w:t>
      </w:r>
    </w:p>
    <w:p>
      <w:r>
        <w:rPr>
          <w:b/>
          <w:color w:val="003366"/>
          <w:sz w:val="20"/>
        </w:rPr>
        <w:t>Art. 248 Os benefícios pagos, a qualquer título, pelo órgão responsável pelo reg</w:t>
      </w:r>
    </w:p>
    <w:p>
      <w:r>
        <w:rPr>
          <w:b/>
          <w:color w:val="003366"/>
          <w:sz w:val="20"/>
        </w:rPr>
        <w:t>Art. 249 Com o objetivo de assegurar recursos para o pagamento de proventos de a</w:t>
      </w:r>
    </w:p>
    <w:p>
      <w:r>
        <w:rPr>
          <w:b/>
          <w:color w:val="003366"/>
          <w:sz w:val="20"/>
        </w:rPr>
        <w:t>Art. 250 Com o objetivo de assegurar recursos para o pagamento dos benefícios co</w:t>
      </w:r>
      <w:r>
        <w:rPr>
          <w:color w:val="8C8C8C"/>
          <w:sz w:val="14"/>
        </w:rPr>
        <w:t xml:space="preserve">  [1 decisoes]</w:t>
      </w:r>
    </w:p>
    <w:p>
      <w:pPr>
        <w:ind w:left="144"/>
      </w:pPr>
      <w:r>
        <w:rPr>
          <w:b/>
          <w:color w:val="B45A00"/>
          <w:sz w:val="16"/>
        </w:rPr>
        <w:t>CONTROLE CONCENTRADO</w:t>
      </w:r>
    </w:p>
    <w:p>
      <w:pPr>
        <w:ind w:left="288"/>
      </w:pPr>
      <w:r>
        <w:rPr>
          <w:color w:val="8C8C8C"/>
          <w:sz w:val="12"/>
        </w:rPr>
        <w:t>cf-art-250</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O art. 250 da Constituição Federal não exige que a criação do fundo por ele mencionado seja necessariamente veiculada em lei ordinária, nem impede que os recursos constitutivos sejam provenientes de imposição tributária.</w:t>
      </w:r>
    </w:p>
    <w:p>
      <w:pPr>
        <w:ind w:left="288"/>
      </w:pPr>
      <w:r>
        <w:rPr>
          <w:b/>
          <w:color w:val="003CA0"/>
          <w:sz w:val="16"/>
        </w:rPr>
        <w:t>[ADI 2.238, rel. min. Alexandre de Moraes, j. 24-6-2020, P, DJE de 15-9-2020.]</w:t>
      </w:r>
    </w:p>
    <w:p>
      <w:r>
        <w:rPr>
          <w:b/>
          <w:color w:val="003366"/>
          <w:sz w:val="20"/>
        </w:rPr>
        <w:t xml:space="preserve">Art. 1 O Presidente da República, o Presidente do Supremo Tribunal Federal e os </w:t>
      </w:r>
      <w:r>
        <w:rPr>
          <w:color w:val="8C8C8C"/>
          <w:sz w:val="14"/>
        </w:rPr>
        <w:t xml:space="preserve">  [16 decisoes]</w:t>
      </w:r>
    </w:p>
    <w:p>
      <w:pPr>
        <w:ind w:left="144"/>
      </w:pPr>
      <w:r>
        <w:rPr>
          <w:b/>
          <w:color w:val="B45A00"/>
          <w:sz w:val="16"/>
        </w:rPr>
        <w:t>CONTROLE CONCENTRADO</w:t>
      </w:r>
    </w:p>
    <w:p>
      <w:pPr>
        <w:ind w:left="288"/>
      </w:pPr>
      <w:r>
        <w:rPr>
          <w:color w:val="8C8C8C"/>
          <w:sz w:val="12"/>
        </w:rPr>
        <w:t>cf-art-1</w:t>
      </w:r>
      <w:r>
        <w:rPr>
          <w:color w:val="003CA0"/>
          <w:sz w:val="12"/>
        </w:rPr>
        <w:t xml:space="preserve"> | ADI 7.231</w:t>
      </w:r>
      <w:r>
        <w:rPr>
          <w:color w:val="003CA0"/>
          <w:sz w:val="12"/>
        </w:rPr>
        <w:t xml:space="preserve"> | rel. Flávio Dino</w:t>
      </w:r>
    </w:p>
    <w:p>
      <w:pPr>
        <w:ind w:left="288"/>
      </w:pPr>
      <w:r>
        <w:rPr>
          <w:color w:val="1E1E1E"/>
          <w:sz w:val="18"/>
        </w:rPr>
        <w:t>O erro no processo de formação das leis que distorça a manifestação de vontade do Poder Legislativo enseja a inconstitucionalidade formal, por violação ao devido processo legislativo, previsto nos arts. 59 e seguintes da Constituição Federal, e ao princípio democrático (art. 1º, caput, CF).</w:t>
        <w:br/>
        <w:t>[ADI 7.231, rel. min. Flávio Dino, j. 16-6-2025, P, DJE de 22-8-2025.] Lei complementar estadual. Permuta nacional entre membros dos Ministérios Públicos Estaduais e do Distrito Federal e Territórios. Federalismo. Autonomia dos estados-membros. Inexistência de carreira única. (...) O caráter nacional do Min</w:t>
      </w:r>
    </w:p>
    <w:p>
      <w:pPr>
        <w:ind w:left="144"/>
      </w:pPr>
      <w:r>
        <w:rPr>
          <w:b/>
          <w:color w:val="B45A00"/>
          <w:sz w:val="16"/>
        </w:rPr>
        <w:t>JULGADOS CORRELATOS</w:t>
      </w:r>
    </w:p>
    <w:p>
      <w:pPr>
        <w:ind w:left="288"/>
      </w:pPr>
      <w:r>
        <w:rPr>
          <w:color w:val="8C8C8C"/>
          <w:sz w:val="12"/>
        </w:rPr>
        <w:t>cf-art-1</w:t>
      </w:r>
      <w:r>
        <w:rPr>
          <w:color w:val="003CA0"/>
          <w:sz w:val="12"/>
        </w:rPr>
        <w:t xml:space="preserve"> | HC 98.237</w:t>
      </w:r>
      <w:r>
        <w:rPr>
          <w:color w:val="003CA0"/>
          <w:sz w:val="12"/>
        </w:rPr>
        <w:t xml:space="preserve"> | rel. Celso de Mello</w:t>
      </w:r>
    </w:p>
    <w:p>
      <w:pPr>
        <w:ind w:left="288"/>
      </w:pPr>
      <w:r>
        <w:rPr>
          <w:color w:val="1E1E1E"/>
          <w:sz w:val="18"/>
        </w:rPr>
        <w:t>Controle jurisdicional da atividade persecutória do Estado: uma exigência inerente ao Estado Democrático de Direito. O Estado não tem o direito de exercer, sem base jurídica idônea e suporte fático adequado, o poder persecutório de que se acha investido, pois lhe é vedado, ética e juridicamente, agir de modo arbitrário, seja fazendo instaurar investigações policiais infundadas, seja promovendo acusações formais temerárias, notadamente naqueles casos em que os fatos subjacentes à persecutio criminis revelam-se destituídos de tipicidade penal.</w:t>
        <w:br/>
        <w:t>[HC 98.237, rel. min. Celso de Mello, j. 15-12-2009,</w:t>
      </w:r>
    </w:p>
    <w:p>
      <w:pPr>
        <w:ind w:left="288"/>
      </w:pPr>
      <w:r>
        <w:rPr>
          <w:color w:val="8C8C8C"/>
          <w:sz w:val="12"/>
        </w:rPr>
        <w:t>cf-art-1-inc-I</w:t>
      </w:r>
      <w:r>
        <w:rPr>
          <w:color w:val="003CA0"/>
          <w:sz w:val="12"/>
        </w:rPr>
        <w:t xml:space="preserve"> | EXT 1.085.</w:t>
      </w:r>
      <w:r>
        <w:rPr>
          <w:color w:val="003CA0"/>
          <w:sz w:val="12"/>
        </w:rPr>
        <w:t xml:space="preserve"> | rel. Gilmar Mendes</w:t>
      </w:r>
    </w:p>
    <w:p>
      <w:pPr>
        <w:ind w:left="288"/>
      </w:pPr>
      <w:r>
        <w:rPr>
          <w:color w:val="1E1E1E"/>
          <w:sz w:val="18"/>
        </w:rPr>
        <w:t>O art. 1º da Constituição assenta como um dos fundamentos do Estado brasileiro a sua soberania – que significa o poder político supremo dentro do território, e, no plano internacional, no tocante às relações da República Federativa do Brasil com outros Estados soberanos, nos termos do art. 4º, I, da Carta Magna. A soberania nacional no plano transnacional funda-se no princípio da independência nacional, efetivada pelo presidente da República, consoante suas atribuições previstas no art. 84, VII e VIII, da Lei Maior. A soberania, dicotomizada em interna e externa, tem na primeira a exteriorizaç</w:t>
      </w:r>
    </w:p>
    <w:p>
      <w:pPr>
        <w:ind w:left="144"/>
      </w:pPr>
      <w:r>
        <w:rPr>
          <w:b/>
          <w:color w:val="B45A00"/>
          <w:sz w:val="16"/>
        </w:rPr>
        <w:t>CONTROLE CONCENTRADO</w:t>
      </w:r>
    </w:p>
    <w:p>
      <w:pPr>
        <w:ind w:left="288"/>
      </w:pPr>
      <w:r>
        <w:rPr>
          <w:color w:val="8C8C8C"/>
          <w:sz w:val="12"/>
        </w:rPr>
        <w:t>cf-art-1-inc-II</w:t>
      </w:r>
      <w:r>
        <w:rPr>
          <w:color w:val="003CA0"/>
          <w:sz w:val="12"/>
        </w:rPr>
        <w:t xml:space="preserve"> | ADI 2.649</w:t>
      </w:r>
      <w:r>
        <w:rPr>
          <w:color w:val="003CA0"/>
          <w:sz w:val="12"/>
        </w:rPr>
        <w:t xml:space="preserve"> | rel. Cármen Lúcia</w:t>
      </w:r>
    </w:p>
    <w:p>
      <w:pPr>
        <w:ind w:left="288"/>
      </w:pPr>
      <w:r>
        <w:rPr>
          <w:color w:val="1E1E1E"/>
          <w:sz w:val="18"/>
        </w:rPr>
        <w:t>A Lei 8.899/1994 é parte das políticas públicas para inserir os portadores de necessidades especiais na sociedade e objetiva a igualdade de oportunidades e a humanização das relações sociais, em cumprimento aos fundamentos da República de cidadania e dignidade da pessoa humana, o que se concretiza pela definição de meios para que eles sejam alcançados.</w:t>
        <w:br/>
        <w:t>[ADI 2.649, rel. min. Cármen Lúcia, j. 8-5-2008, P, DJE de 17-10-2008.]</w:t>
      </w:r>
    </w:p>
    <w:p>
      <w:pPr>
        <w:ind w:left="144"/>
      </w:pPr>
      <w:r>
        <w:rPr>
          <w:b/>
          <w:color w:val="B45A00"/>
          <w:sz w:val="16"/>
        </w:rPr>
        <w:t>REPERCUSSAO GERAL</w:t>
      </w:r>
    </w:p>
    <w:p>
      <w:pPr>
        <w:ind w:left="288"/>
      </w:pPr>
      <w:r>
        <w:rPr>
          <w:color w:val="8C8C8C"/>
          <w:sz w:val="12"/>
        </w:rPr>
        <w:t>cf-art-1-inc-II</w:t>
      </w:r>
      <w:r>
        <w:rPr>
          <w:color w:val="003CA0"/>
          <w:sz w:val="12"/>
        </w:rPr>
        <w:t xml:space="preserve"> | ADPF 153.</w:t>
      </w:r>
      <w:r>
        <w:rPr>
          <w:color w:val="003CA0"/>
          <w:sz w:val="12"/>
        </w:rPr>
        <w:t xml:space="preserve"> | rel. Alexandre de Moraes</w:t>
      </w:r>
    </w:p>
    <w:p>
      <w:pPr>
        <w:ind w:left="288"/>
      </w:pPr>
      <w:r>
        <w:rPr>
          <w:color w:val="1E1E1E"/>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br/>
        <w:t>[ARE 1.058.822 RG, rel. min. Alexandre de Moraes, j. 21-2-2025, P, DJE de 28-2-2025, Tema 1.375, com mérito pendente.]</w:t>
      </w:r>
    </w:p>
    <w:p>
      <w:pPr>
        <w:ind w:left="144"/>
      </w:pPr>
      <w:r>
        <w:rPr>
          <w:b/>
          <w:color w:val="B45A00"/>
          <w:sz w:val="16"/>
        </w:rPr>
        <w:t>JULGADOS CORRELATOS</w:t>
      </w:r>
    </w:p>
    <w:p>
      <w:pPr>
        <w:ind w:left="288"/>
      </w:pPr>
      <w:r>
        <w:rPr>
          <w:color w:val="8C8C8C"/>
          <w:sz w:val="12"/>
        </w:rPr>
        <w:t>cf-art-1-inc-II</w:t>
      </w:r>
      <w:r>
        <w:rPr>
          <w:color w:val="003CA0"/>
          <w:sz w:val="12"/>
        </w:rPr>
        <w:t xml:space="preserve"> | HC 73.454</w:t>
      </w:r>
      <w:r>
        <w:rPr>
          <w:color w:val="003CA0"/>
          <w:sz w:val="12"/>
        </w:rPr>
        <w:t xml:space="preserve"> | rel. Maurício Corrêa</w:t>
      </w:r>
    </w:p>
    <w:p>
      <w:pPr>
        <w:ind w:left="288"/>
      </w:pPr>
      <w:r>
        <w:rPr>
          <w:color w:val="1E1E1E"/>
          <w:sz w:val="18"/>
        </w:rPr>
        <w:t>Ninguém é obrigado a cumprir ordem ilegal, ou a ela se submeter, ainda que emanada de autoridade judicial. Mais: é dever de cidadania opor-se à ordem ilegal; caso contrário, nega-se o Estado de Direito.</w:t>
        <w:br/>
        <w:t>[HC 73.454, rel. min. Maurício Corrêa, j. 22-4-1996, 2ª T, DJ de 7-6-1996.]</w:t>
      </w:r>
    </w:p>
    <w:p>
      <w:pPr>
        <w:ind w:left="288"/>
      </w:pPr>
      <w:r>
        <w:rPr>
          <w:color w:val="8C8C8C"/>
          <w:sz w:val="12"/>
        </w:rPr>
        <w:t>cf-art-1-inc-III</w:t>
      </w:r>
      <w:r>
        <w:rPr>
          <w:color w:val="003CA0"/>
          <w:sz w:val="12"/>
        </w:rPr>
        <w:t xml:space="preserve"> | RE 641.320</w:t>
      </w:r>
    </w:p>
    <w:p>
      <w:pPr>
        <w:ind w:left="288"/>
      </w:pPr>
      <w:r>
        <w:rPr>
          <w:color w:val="1E1E1E"/>
          <w:sz w:val="18"/>
        </w:rP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br/>
        <w:t>[Súmula Vinculante 11.] A falta de estabelecimento penal adequado não autoriza a manutenção do condenado em regime prisional mais gravoso, devendo-se observar, nessa hipótese, os parâmetros f</w:t>
      </w:r>
    </w:p>
    <w:p>
      <w:pPr>
        <w:ind w:left="144"/>
      </w:pPr>
      <w:r>
        <w:rPr>
          <w:b/>
          <w:color w:val="B45A00"/>
          <w:sz w:val="16"/>
        </w:rPr>
        <w:t>CONTROLE CONCENTRADO</w:t>
      </w:r>
    </w:p>
    <w:p>
      <w:pPr>
        <w:ind w:left="288"/>
      </w:pPr>
      <w:r>
        <w:rPr>
          <w:color w:val="8C8C8C"/>
          <w:sz w:val="12"/>
        </w:rPr>
        <w:t>cf-art-1-inc-III</w:t>
      </w:r>
      <w:r>
        <w:rPr>
          <w:color w:val="003CA0"/>
          <w:sz w:val="12"/>
        </w:rPr>
        <w:t xml:space="preserve"> | ARE 1.551.254</w:t>
      </w:r>
      <w:r>
        <w:rPr>
          <w:color w:val="003CA0"/>
          <w:sz w:val="12"/>
        </w:rPr>
        <w:t xml:space="preserve"> | rel. Cristiano Zanin</w:t>
      </w:r>
    </w:p>
    <w:p>
      <w:pPr>
        <w:ind w:left="288"/>
      </w:pPr>
      <w:r>
        <w:rPr>
          <w:color w:val="1E1E1E"/>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w:t>
      </w:r>
    </w:p>
    <w:p>
      <w:pPr>
        <w:ind w:left="288"/>
      </w:pPr>
      <w:r>
        <w:rPr>
          <w:b/>
          <w:color w:val="003CA0"/>
          <w:sz w:val="16"/>
        </w:rPr>
        <w:t>[ARE 1.551.254 AgR, rel. min. Cristiano Zanin, j. 22-12-2025, P, DJE de 2-2-2026.]</w:t>
      </w:r>
    </w:p>
    <w:p>
      <w:pPr>
        <w:ind w:left="288"/>
      </w:pPr>
      <w:r>
        <w:rPr>
          <w:color w:val="8C8C8C"/>
          <w:sz w:val="12"/>
        </w:rPr>
        <w:t>cf-art-1-inc-III</w:t>
      </w:r>
      <w:r>
        <w:rPr>
          <w:color w:val="003CA0"/>
          <w:sz w:val="12"/>
        </w:rPr>
        <w:t xml:space="preserve"> | ADI 4.245</w:t>
      </w:r>
      <w:r>
        <w:rPr>
          <w:color w:val="003CA0"/>
          <w:sz w:val="12"/>
        </w:rPr>
        <w:t xml:space="preserve"> | rel. Luís Roberto Barroso</w:t>
      </w:r>
    </w:p>
    <w:p>
      <w:pPr>
        <w:ind w:left="288"/>
      </w:pPr>
      <w:r>
        <w:rPr>
          <w:color w:val="1E1E1E"/>
          <w:sz w:val="18"/>
        </w:rPr>
        <w:t>“1. A Convenção da Haia de 1980 sobre os aspectos civis da subtração internacional de crianças é compatível com a Constituição Federal, possuindo status supralegal no ordenamento jurídico brasileiro, por sua natureza de tratado internacional de proteção de direitos da criança. 2. A aplicação da Convenção no Brasil, à luz do princípio do melhor interesse da criança (art. 227, CF), exige a adoção de medidas estruturais e procedimentais para garantir a tramitação célere e eficaz das ações sobre restituição internacional de crianças. 3. A exceção de risco grave à criança, prevista no art. 13 (1) (</w:t>
      </w:r>
    </w:p>
    <w:p>
      <w:pPr>
        <w:ind w:left="144"/>
      </w:pPr>
      <w:r>
        <w:rPr>
          <w:b/>
          <w:color w:val="B45A00"/>
          <w:sz w:val="16"/>
        </w:rPr>
        <w:t>REPERCUSSAO GERAL</w:t>
      </w:r>
    </w:p>
    <w:p>
      <w:pPr>
        <w:ind w:left="288"/>
      </w:pPr>
      <w:r>
        <w:rPr>
          <w:color w:val="8C8C8C"/>
          <w:sz w:val="12"/>
        </w:rPr>
        <w:t>cf-art-1-inc-III</w:t>
      </w:r>
      <w:r>
        <w:rPr>
          <w:color w:val="003CA0"/>
          <w:sz w:val="12"/>
        </w:rPr>
        <w:t xml:space="preserve"> | ARE 959.620</w:t>
      </w:r>
      <w:r>
        <w:rPr>
          <w:color w:val="003CA0"/>
          <w:sz w:val="12"/>
        </w:rPr>
        <w:t xml:space="preserve"> | rel. Edson Fachin</w:t>
      </w:r>
    </w:p>
    <w:p>
      <w:pPr>
        <w:ind w:left="288"/>
      </w:pPr>
      <w:r>
        <w:rPr>
          <w:color w:val="1E1E1E"/>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w:t>
      </w:r>
    </w:p>
    <w:p>
      <w:pPr>
        <w:ind w:left="288"/>
      </w:pPr>
      <w:r>
        <w:rPr>
          <w:b/>
          <w:color w:val="003CA0"/>
          <w:sz w:val="16"/>
        </w:rPr>
        <w:t>[RE 1.346.152, rel. min. Alexandre de Moraes, red. do ac. min. Flávio Dino, j. 26-11-2025, 1ª T, DJE de 5-3-2026.]</w:t>
      </w:r>
    </w:p>
    <w:p>
      <w:pPr>
        <w:ind w:left="144"/>
      </w:pPr>
      <w:r>
        <w:rPr>
          <w:b/>
          <w:color w:val="B45A00"/>
          <w:sz w:val="16"/>
        </w:rPr>
        <w:t>JULGADOS CORRELATOS</w:t>
      </w:r>
    </w:p>
    <w:p>
      <w:pPr>
        <w:ind w:left="288"/>
      </w:pPr>
      <w:r>
        <w:rPr>
          <w:color w:val="8C8C8C"/>
          <w:sz w:val="12"/>
        </w:rPr>
        <w:t>cf-art-1-inc-III</w:t>
      </w:r>
      <w:r>
        <w:rPr>
          <w:color w:val="003CA0"/>
          <w:sz w:val="12"/>
        </w:rPr>
        <w:t xml:space="preserve"> | ARE 1.397.865</w:t>
      </w:r>
      <w:r>
        <w:rPr>
          <w:color w:val="003CA0"/>
          <w:sz w:val="12"/>
        </w:rPr>
        <w:t xml:space="preserve"> | rel. Cristiano Zanin</w:t>
      </w:r>
    </w:p>
    <w:p>
      <w:pPr>
        <w:ind w:left="288"/>
      </w:pPr>
      <w:r>
        <w:rPr>
          <w:color w:val="1E1E1E"/>
          <w:sz w:val="18"/>
        </w:rPr>
        <w:t>Nos termos do Tema 622-RG, tanto os vínculos originados da ascendência biológica, como aqueles de filiação construídos pela relação afetiva entre os envolvidos, devem ser reconhecidos pelo Estado, à luz do princípio da dignidade humana</w:t>
        <w:br/>
        <w:t>[ARE 1.397.865 ED-AgR-EDv-AgR, rel. min. Cristiano Zanin, red. do ac. min. Alexandre de Moraes, j. 24-2-2025, P, DJE de 7-3-2025.] Habeas corpus coletivo. Cumprimento de medidas socioeducativas de internação. Impetração voltada a corrigir alegada superlotação em unidades. Admissibilidade da via eleita para o exame da questão de fundo. Violação de direitos fundam</w:t>
      </w:r>
    </w:p>
    <w:p>
      <w:pPr>
        <w:ind w:left="288"/>
      </w:pPr>
      <w:r>
        <w:rPr>
          <w:color w:val="8C8C8C"/>
          <w:sz w:val="12"/>
        </w:rPr>
        <w:t>cf-art-1-inc-IV</w:t>
      </w:r>
      <w:r>
        <w:rPr>
          <w:color w:val="003CA0"/>
          <w:sz w:val="12"/>
        </w:rPr>
        <w:t xml:space="preserve"> | ADPF 1.058</w:t>
      </w:r>
      <w:r>
        <w:rPr>
          <w:color w:val="003CA0"/>
          <w:sz w:val="12"/>
        </w:rPr>
        <w:t xml:space="preserve"> | rel. Gilmar Mendes</w:t>
      </w:r>
    </w:p>
    <w:p>
      <w:pPr>
        <w:ind w:left="288"/>
      </w:pPr>
      <w:r>
        <w:rPr>
          <w:color w:val="1E1E1E"/>
          <w:sz w:val="18"/>
        </w:rPr>
        <w:t xml:space="preserve">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(CLT/1943, art. 4º, § 2º). (...) É inconstitucional — por violar os princípios da legalidade, da livre iniciativa e da intervenção mínima </w:t>
      </w:r>
    </w:p>
    <w:p>
      <w:pPr>
        <w:ind w:left="288"/>
      </w:pPr>
      <w:r>
        <w:rPr>
          <w:b/>
          <w:color w:val="003CA0"/>
          <w:sz w:val="16"/>
        </w:rPr>
        <w:t>[ADPF 1.058 MC-Ref, rel. min. Gilmar Mendes, j. 13-11-2025, P, Informativo STF 1.199.]</w:t>
      </w:r>
    </w:p>
    <w:p>
      <w:pPr>
        <w:ind w:left="144"/>
      </w:pPr>
      <w:r>
        <w:rPr>
          <w:b/>
          <w:color w:val="B45A00"/>
          <w:sz w:val="16"/>
        </w:rPr>
        <w:t>CONTROLE CONCENTRADO</w:t>
      </w:r>
    </w:p>
    <w:p>
      <w:pPr>
        <w:ind w:left="288"/>
      </w:pPr>
      <w:r>
        <w:rPr>
          <w:color w:val="8C8C8C"/>
          <w:sz w:val="12"/>
        </w:rPr>
        <w:t>cf-art-1-inc-IV</w:t>
      </w:r>
      <w:r>
        <w:rPr>
          <w:color w:val="003CA0"/>
          <w:sz w:val="12"/>
        </w:rPr>
        <w:t xml:space="preserve"> | ADI 7.719</w:t>
      </w:r>
      <w:r>
        <w:rPr>
          <w:color w:val="003CA0"/>
          <w:sz w:val="12"/>
        </w:rPr>
        <w:t xml:space="preserve"> | rel. Dias Toffoli</w:t>
      </w:r>
    </w:p>
    <w:p>
      <w:pPr>
        <w:ind w:left="288"/>
      </w:pPr>
      <w:r>
        <w:rPr>
          <w:color w:val="1E1E1E"/>
          <w:sz w:val="18"/>
        </w:rPr>
        <w:t>“São inconstitucionais as leis que obrigam supermercados ou similares a fornecer gratuitamente sacolas ou embalagens para as compras, por violação do princípio da livre iniciativa (arts. 1º, inciso IV, e 170 da Constituição).”</w:t>
        <w:br/>
        <w:t>[ADI 7.719, rel. min. Dias Toffoli, j. 19-8-2025, P, DJE de 15-9-2025.] Contrato de trabalho intermitente. Regras instituídas pela Lei nº 13.467/2017 e pela Medida Provisória nº 808/2017. (...) A regulamentação do contrato intermitente, nos termos estabelecidos pelas normas questionadas, encontra fundamento de validade nos arts. 1º, IV, e 170, caput, da Constituição Fede</w:t>
      </w:r>
    </w:p>
    <w:p>
      <w:pPr>
        <w:ind w:left="144"/>
      </w:pPr>
      <w:r>
        <w:rPr>
          <w:b/>
          <w:color w:val="B45A00"/>
          <w:sz w:val="16"/>
        </w:rPr>
        <w:t>REPERCUSSAO GERAL</w:t>
      </w:r>
    </w:p>
    <w:p>
      <w:pPr>
        <w:ind w:left="288"/>
      </w:pPr>
      <w:r>
        <w:rPr>
          <w:color w:val="8C8C8C"/>
          <w:sz w:val="12"/>
        </w:rPr>
        <w:t>cf-art-1-inc-IV</w:t>
      </w:r>
      <w:r>
        <w:rPr>
          <w:color w:val="003CA0"/>
          <w:sz w:val="12"/>
        </w:rPr>
        <w:t xml:space="preserve"> | ARE 1.532.603</w:t>
      </w:r>
      <w:r>
        <w:rPr>
          <w:color w:val="003CA0"/>
          <w:sz w:val="12"/>
        </w:rPr>
        <w:t xml:space="preserve"> | rel. Gilmar Mendes</w:t>
      </w:r>
    </w:p>
    <w:p>
      <w:pPr>
        <w:ind w:left="288"/>
      </w:pPr>
      <w:r>
        <w:rPr>
          <w:color w:val="1E1E1E"/>
          <w:sz w:val="18"/>
        </w:rPr>
        <w:t>Competência e ônus da prova nos processos que discutem a existência de fraude no contrato civil/comercial de prestação de serviços; e a licitude da contratação de pessoa jurídica ou trabalhador autônomo para essa finalidade.</w:t>
        <w:br/>
        <w:t>[ARE 1.532.603 RG, rel. min. Gilmar Mendes, j. 11.4.2025, P, DJE de 24.4.2025, Tema 1.389, com mérito pendente.] Discussão sobre a exclusividade da propriedade industrial em razão da demora na concessão do registro de marca pelo INPI concomitante ao surgimento de uso mundialmente consagrado da mesma marca por concorrente.</w:t>
        <w:br/>
        <w:t>[ARE 1.266.095, rel. min. Dias Toffoli, j. 17-3-202</w:t>
      </w:r>
    </w:p>
    <w:p>
      <w:pPr>
        <w:ind w:left="144"/>
      </w:pPr>
      <w:r>
        <w:rPr>
          <w:b/>
          <w:color w:val="B45A00"/>
          <w:sz w:val="16"/>
        </w:rPr>
        <w:t>JULGADOS CORRELATOS</w:t>
      </w:r>
    </w:p>
    <w:p>
      <w:pPr>
        <w:ind w:left="288"/>
      </w:pPr>
      <w:r>
        <w:rPr>
          <w:color w:val="8C8C8C"/>
          <w:sz w:val="12"/>
        </w:rPr>
        <w:t>cf-art-1-inc-IV</w:t>
      </w:r>
      <w:r>
        <w:rPr>
          <w:color w:val="003CA0"/>
          <w:sz w:val="12"/>
        </w:rPr>
        <w:t xml:space="preserve"> | RCL 62.430</w:t>
      </w:r>
      <w:r>
        <w:rPr>
          <w:color w:val="003CA0"/>
          <w:sz w:val="12"/>
        </w:rPr>
        <w:t xml:space="preserve"> | rel. Edson Fachin</w:t>
      </w:r>
    </w:p>
    <w:p>
      <w:pPr>
        <w:ind w:left="288"/>
      </w:pPr>
      <w:r>
        <w:rPr>
          <w:color w:val="1E1E1E"/>
          <w:sz w:val="18"/>
        </w:rPr>
        <w:t>Tema nº 725 da Repercussão Geral (RE nº 958.252) e ADPF nº 324. (...) Existência de aderência estrita entre o ato reclamado e os paradigmas do STF. (...) Procedência do pedido para se afirmar a licitude do fenômeno da contratação de pessoa jurídica unipessoal para a prestação de serviço a empresa tomadora de serviço, destacando-se não somente a compatibilidade dos valores do trabalho e da livre iniciativa na terceirização do trabalho assentada nos precedentes obrigatórios, mas também a ausência de condição de vulnerabilidade na opção pelo contrato firmado na relação jurídica estabelecida que j</w:t>
      </w:r>
    </w:p>
    <w:p>
      <w:pPr>
        <w:ind w:left="144"/>
      </w:pPr>
      <w:r>
        <w:rPr>
          <w:b/>
          <w:color w:val="B45A00"/>
          <w:sz w:val="16"/>
        </w:rPr>
        <w:t>CONTROLE CONCENTRADO</w:t>
      </w:r>
    </w:p>
    <w:p>
      <w:pPr>
        <w:ind w:left="288"/>
      </w:pPr>
      <w:r>
        <w:rPr>
          <w:color w:val="8C8C8C"/>
          <w:sz w:val="12"/>
        </w:rPr>
        <w:t>cf-art-1-inc-V</w:t>
      </w:r>
      <w:r>
        <w:rPr>
          <w:color w:val="003CA0"/>
          <w:sz w:val="12"/>
        </w:rPr>
        <w:t xml:space="preserve"> | ADI 7.350</w:t>
      </w:r>
      <w:r>
        <w:rPr>
          <w:color w:val="003CA0"/>
          <w:sz w:val="12"/>
        </w:rPr>
        <w:t xml:space="preserve"> | rel. Dias Toffoli</w:t>
      </w:r>
    </w:p>
    <w:p>
      <w:pPr>
        <w:ind w:left="288"/>
      </w:pPr>
      <w:r>
        <w:rPr>
          <w:color w:val="1E1E1E"/>
          <w:sz w:val="18"/>
        </w:rPr>
        <w:t>Emenda nº 48/22 à Constituição do Estado do Tocantins. Eleições concomitantes da mesa diretora da Assembleia Legislativa para o primeiro e o segundo biênios. Inconstitucionalidade. (...) as eleições para as mesas das casas legislativas federais devem ser contemporâneas ao início do respectivo biênio (art. 57, § 4º, da CF/88). Não há no texto constitucional nenhuma norma que se assemelhe ao que previu o dispositivo questionado, isto é, que antecipe de forma tão desarrazoada a escolha de eleitos para um dado mandato e concentre em um único momento a escolha de duas “chapas” distintas para os mes</w:t>
      </w:r>
    </w:p>
    <w:p>
      <w:r>
        <w:rPr>
          <w:b/>
          <w:color w:val="003366"/>
          <w:sz w:val="20"/>
        </w:rPr>
        <w:t>Art. 2 No dia 7 de setembro de 1993 o eleitorado definirá, através de plebiscito</w:t>
      </w:r>
      <w:r>
        <w:rPr>
          <w:color w:val="8C8C8C"/>
          <w:sz w:val="14"/>
        </w:rPr>
        <w:t xml:space="preserve">  [4 decisoes]</w:t>
      </w:r>
    </w:p>
    <w:p>
      <w:pPr>
        <w:ind w:left="288"/>
      </w:pPr>
      <w:r>
        <w:rPr>
          <w:color w:val="8C8C8C"/>
          <w:sz w:val="12"/>
        </w:rPr>
        <w:t>cf-art-2</w:t>
      </w:r>
    </w:p>
    <w:p>
      <w:pPr>
        <w:ind w:left="288"/>
      </w:pPr>
      <w:r>
        <w:rPr>
          <w:color w:val="1E1E1E"/>
          <w:sz w:val="18"/>
        </w:rPr>
        <w:t>Não cabe ao Poder Judiciário, que não tem função legislativa, aumentar vencimentos de servidores públicos sob o fundamento de isonomia.</w:t>
        <w:br/>
        <w:t>[Súmula Vinculante 37.] É inconstitucional a criação, por Constituição estadual, de órgão de controle administrativo do Poder Judiciário do qual participem representantes de outros Poderes ou entidades.</w:t>
        <w:br/>
        <w:t>[Súmula 649.]</w:t>
      </w:r>
    </w:p>
    <w:p>
      <w:pPr>
        <w:ind w:left="144"/>
      </w:pPr>
      <w:r>
        <w:rPr>
          <w:b/>
          <w:color w:val="B45A00"/>
          <w:sz w:val="16"/>
        </w:rPr>
        <w:t>CONTROLE CONCENTRADO</w:t>
      </w:r>
    </w:p>
    <w:p>
      <w:pPr>
        <w:ind w:left="288"/>
      </w:pPr>
      <w:r>
        <w:rPr>
          <w:color w:val="8C8C8C"/>
          <w:sz w:val="12"/>
        </w:rPr>
        <w:t>cf-art-2</w:t>
      </w:r>
      <w:r>
        <w:rPr>
          <w:color w:val="003CA0"/>
          <w:sz w:val="12"/>
        </w:rPr>
        <w:t xml:space="preserve"> | ADI 5.705</w:t>
      </w:r>
      <w:r>
        <w:rPr>
          <w:color w:val="003CA0"/>
          <w:sz w:val="12"/>
        </w:rPr>
        <w:t xml:space="preserve"> | rel. André Mendonça</w:t>
      </w:r>
    </w:p>
    <w:p>
      <w:pPr>
        <w:ind w:left="288"/>
      </w:pPr>
      <w:r>
        <w:rPr>
          <w:color w:val="1E1E1E"/>
          <w:sz w:val="18"/>
        </w:rPr>
        <w:t>A Constituição Federal (artigos 70 a 74) prevê os sistemas de controle interno e externo como mecanismos autônomos e cooperativos de fiscalização da Administração Pública, sem relação de hierarquia entre si. O modelo constitucional atribui ao controle interno a função de apoio ao controle externo, mas não o subordina às determinações dos Tribunais de Contas, em respeito ao princípio da separação de poderes. (...) A expressão "por determinação do Tribunal de Contas do Estado", contida no art. 61, inciso I, da Lei complementar estadual nº 202, de 2000, implica subordinação hierárquica indevida d</w:t>
      </w:r>
    </w:p>
    <w:p>
      <w:pPr>
        <w:ind w:left="144"/>
      </w:pPr>
      <w:r>
        <w:rPr>
          <w:b/>
          <w:color w:val="B45A00"/>
          <w:sz w:val="16"/>
        </w:rPr>
        <w:t>REPERCUSSAO GERAL</w:t>
      </w:r>
    </w:p>
    <w:p>
      <w:pPr>
        <w:ind w:left="288"/>
      </w:pPr>
      <w:r>
        <w:rPr>
          <w:color w:val="8C8C8C"/>
          <w:sz w:val="12"/>
        </w:rPr>
        <w:t>cf-art-2</w:t>
      </w:r>
      <w:r>
        <w:rPr>
          <w:color w:val="003CA0"/>
          <w:sz w:val="12"/>
        </w:rPr>
        <w:t xml:space="preserve"> | ARE 1.520.300</w:t>
      </w:r>
      <w:r>
        <w:rPr>
          <w:color w:val="003CA0"/>
          <w:sz w:val="12"/>
        </w:rPr>
        <w:t xml:space="preserve"> | rel. Luís Roberto Barroso</w:t>
      </w:r>
    </w:p>
    <w:p>
      <w:pPr>
        <w:ind w:left="288"/>
      </w:pPr>
      <w:r>
        <w:rPr>
          <w:color w:val="1E1E1E"/>
          <w:sz w:val="18"/>
        </w:rPr>
        <w:t>“É infraconstitucional a controvérsia sobre o excesso de poder regulamentar no estabelecimento de limitação ao pagamento de ajuda de custo/auxílio a determinadas categorias de servidores públicos”.</w:t>
        <w:br/>
        <w:t>[ARE 1.520.300 RG, rel. min. Luís Roberto Barroso, j. 5-11-2024, P, DJE de 8-11-2024, Tema 1.350, com repercussão geral negada.] "Em respeito ao princípio da separação dos poderes, previsto no art. 2º da Constituição Federal, quando não caracterizado o desrespeito às normas constitucionais, é defeso ao Poder Judiciário exercer o controle jurisdicional em relação à interpretação do sentido e do alcan</w:t>
      </w:r>
    </w:p>
    <w:p>
      <w:pPr>
        <w:ind w:left="144"/>
      </w:pPr>
      <w:r>
        <w:rPr>
          <w:b/>
          <w:color w:val="B45A00"/>
          <w:sz w:val="16"/>
        </w:rPr>
        <w:t>JULGADOS CORRELATOS</w:t>
      </w:r>
    </w:p>
    <w:p>
      <w:pPr>
        <w:ind w:left="288"/>
      </w:pPr>
      <w:r>
        <w:rPr>
          <w:color w:val="8C8C8C"/>
          <w:sz w:val="12"/>
        </w:rPr>
        <w:t>cf-art-2</w:t>
      </w:r>
      <w:r>
        <w:rPr>
          <w:color w:val="003CA0"/>
          <w:sz w:val="12"/>
        </w:rPr>
        <w:t xml:space="preserve"> | RCL 80.211</w:t>
      </w:r>
      <w:r>
        <w:rPr>
          <w:color w:val="003CA0"/>
          <w:sz w:val="12"/>
        </w:rPr>
        <w:t xml:space="preserve"> | rel. Flávio Dino</w:t>
      </w:r>
    </w:p>
    <w:p>
      <w:pPr>
        <w:ind w:left="288"/>
      </w:pPr>
      <w:r>
        <w:rPr>
          <w:color w:val="1E1E1E"/>
          <w:sz w:val="18"/>
        </w:rPr>
        <w:t>O art. 7º, inciso I, do Decreto-Lei nº 201/1967 não condiciona a instauração de processo político-administrativo contra vereadora ao trânsito em julgado de decisão judicial que reconheça a prática de improbidade. O julgamento de vereadores por infrações político-administrativas é, a princípio, um processo político, conduzido por juízes políticos, regido por normas próprias e não subordinado à prévia chancela do Judiciário, sob pena de violação ao princípio da separação dos poderes, ressalvado o controle jurisdicional em caso de atos teratológicos, violação ao devido processo legal e notório ab</w:t>
      </w:r>
    </w:p>
    <w:p>
      <w:pPr>
        <w:ind w:left="432"/>
      </w:pPr>
      <w:r>
        <w:rPr>
          <w:color w:val="003366"/>
          <w:sz w:val="18"/>
        </w:rPr>
        <w:t>§ 1 Será assegurada gratuidade na livre divulgação dessas formas e sistemas, atr</w:t>
      </w:r>
    </w:p>
    <w:p>
      <w:pPr>
        <w:ind w:left="432"/>
      </w:pPr>
      <w:r>
        <w:rPr>
          <w:color w:val="003366"/>
          <w:sz w:val="18"/>
        </w:rPr>
        <w:t>§ 2 O Tribunal Superior Eleitoral, promulgada a Constituição, expedirá as normas</w:t>
      </w:r>
    </w:p>
    <w:p>
      <w:r>
        <w:rPr>
          <w:b/>
          <w:color w:val="003366"/>
          <w:sz w:val="20"/>
        </w:rPr>
        <w:t>Art. 3 A revisão constitucional será realizada após cinco anos, contados da prom</w:t>
      </w:r>
      <w:r>
        <w:rPr>
          <w:color w:val="8C8C8C"/>
          <w:sz w:val="14"/>
        </w:rPr>
        <w:t xml:space="preserve">  [11 decisoes]</w:t>
      </w:r>
    </w:p>
    <w:p>
      <w:pPr>
        <w:ind w:left="144"/>
      </w:pPr>
      <w:r>
        <w:rPr>
          <w:b/>
          <w:color w:val="B45A00"/>
          <w:sz w:val="16"/>
        </w:rPr>
        <w:t>CONTROLE CONCENTRADO</w:t>
      </w:r>
    </w:p>
    <w:p>
      <w:pPr>
        <w:ind w:left="288"/>
      </w:pPr>
      <w:r>
        <w:rPr>
          <w:color w:val="8C8C8C"/>
          <w:sz w:val="12"/>
        </w:rPr>
        <w:t>cf-art-3-inc-I</w:t>
      </w:r>
      <w:r>
        <w:rPr>
          <w:color w:val="003CA0"/>
          <w:sz w:val="12"/>
        </w:rPr>
        <w:t xml:space="preserve"> | ADPF 522</w:t>
      </w:r>
      <w:r>
        <w:rPr>
          <w:color w:val="003CA0"/>
          <w:sz w:val="12"/>
        </w:rPr>
        <w:t xml:space="preserve"> | rel. Marco Aurélio</w:t>
      </w:r>
    </w:p>
    <w:p>
      <w:pPr>
        <w:ind w:left="288"/>
      </w:pPr>
      <w:r>
        <w:rPr>
          <w:color w:val="1E1E1E"/>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w:t>
      </w:r>
    </w:p>
    <w:p>
      <w:pPr>
        <w:ind w:left="288"/>
      </w:pPr>
      <w:r>
        <w:rPr>
          <w:b/>
          <w:color w:val="003CA0"/>
          <w:sz w:val="16"/>
        </w:rPr>
        <w:t>[ADPF 522, rel. min. Marco Aurélio, red. do ac. min. Cristiano Zanin, j. 15-10-2025, P, DJE de 23-2-2026.]</w:t>
      </w:r>
    </w:p>
    <w:p>
      <w:pPr>
        <w:ind w:left="288"/>
      </w:pPr>
      <w:r>
        <w:rPr>
          <w:color w:val="8C8C8C"/>
          <w:sz w:val="12"/>
        </w:rPr>
        <w:t>cf-art-3-inc-I</w:t>
      </w:r>
      <w:r>
        <w:rPr>
          <w:color w:val="003CA0"/>
          <w:sz w:val="12"/>
        </w:rPr>
        <w:t xml:space="preserve"> | ADI 7.654</w:t>
      </w:r>
      <w:r>
        <w:rPr>
          <w:color w:val="003CA0"/>
          <w:sz w:val="12"/>
        </w:rPr>
        <w:t xml:space="preserve"> | rel. Flávio Dino</w:t>
      </w:r>
    </w:p>
    <w:p>
      <w:pPr>
        <w:ind w:left="288"/>
      </w:pPr>
      <w:r>
        <w:rPr>
          <w:color w:val="1E1E1E"/>
          <w:sz w:val="18"/>
        </w:rPr>
        <w:t>Ação Direta de Inconstitucionalidade proposta em face dos arts. 1º, caput e § 1º, e 6º, todos da Lei nº 12.990/2014, que regulamentam a reserva de 20% das vagas oferecidas em concursos públicos federais para candidatos negros. O fim da vigência da ação afirmativa sem que haja avaliação dos seus efeitos, das consequências da sua descontinuidade e dos resultados alcançados, além de não resultar na mens legislatoris, (...), não se coaduna com as promessas constantes na nossa Constituição relativas à construção de uma sociedade justa e solidária, com erradicação das desigualdades sociais e sem pre</w:t>
      </w:r>
    </w:p>
    <w:p>
      <w:pPr>
        <w:ind w:left="144"/>
      </w:pPr>
      <w:r>
        <w:rPr>
          <w:b/>
          <w:color w:val="B45A00"/>
          <w:sz w:val="16"/>
        </w:rPr>
        <w:t>JULGADOS CORRELATOS</w:t>
      </w:r>
    </w:p>
    <w:p>
      <w:pPr>
        <w:ind w:left="288"/>
      </w:pPr>
      <w:r>
        <w:rPr>
          <w:color w:val="8C8C8C"/>
          <w:sz w:val="12"/>
        </w:rPr>
        <w:t>cf-art-3-inc-I</w:t>
      </w:r>
      <w:r>
        <w:rPr>
          <w:color w:val="003CA0"/>
          <w:sz w:val="12"/>
        </w:rPr>
        <w:t xml:space="preserve"> | ACO 3.121</w:t>
      </w:r>
      <w:r>
        <w:rPr>
          <w:color w:val="003CA0"/>
          <w:sz w:val="12"/>
        </w:rPr>
        <w:t xml:space="preserve"> | rel. Rosa Weber</w:t>
      </w:r>
    </w:p>
    <w:p>
      <w:pPr>
        <w:ind w:left="288"/>
      </w:pPr>
      <w:r>
        <w:rPr>
          <w:color w:val="1E1E1E"/>
          <w:sz w:val="18"/>
        </w:rPr>
        <w:t xml:space="preserve">O fluxo da imigração massiva é evento extraordinário, imprevisível, excepcional, e seu impacto no Estado-autor decorre do fato da posição geográfica de Roraima se mostrar atraente a facilitar a entrada dos imigrantes ao Brasil. O gasto extraordinário não resultou de qualquer fato imputável ao Estado de Roraima, mas sim da necessária – decorrência do cumprimento de tratados internacionais – abertura da fronteira, pelo Estado brasileiro, para recepcionar refugiados venezuelanos. O federalismo brasileiro é de base cooperativa, o que encontra fundamento constitucional. Nas matérias de que trata o </w:t>
      </w:r>
    </w:p>
    <w:p>
      <w:pPr>
        <w:ind w:left="144"/>
      </w:pPr>
      <w:r>
        <w:rPr>
          <w:b/>
          <w:color w:val="B45A00"/>
          <w:sz w:val="16"/>
        </w:rPr>
        <w:t>CONTROLE CONCENTRADO</w:t>
      </w:r>
    </w:p>
    <w:p>
      <w:pPr>
        <w:ind w:left="288"/>
      </w:pPr>
      <w:r>
        <w:rPr>
          <w:color w:val="8C8C8C"/>
          <w:sz w:val="12"/>
        </w:rPr>
        <w:t>cf-art-3-inc-II</w:t>
      </w:r>
      <w:r>
        <w:rPr>
          <w:color w:val="003CA0"/>
          <w:sz w:val="12"/>
        </w:rPr>
        <w:t xml:space="preserve"> | ADI 6.040</w:t>
      </w:r>
      <w:r>
        <w:rPr>
          <w:color w:val="003CA0"/>
          <w:sz w:val="12"/>
        </w:rPr>
        <w:t xml:space="preserve"> | rel. Gilmar Mendes</w:t>
      </w:r>
    </w:p>
    <w:p>
      <w:pPr>
        <w:ind w:left="288"/>
      </w:pPr>
      <w:r>
        <w:rPr>
          <w:color w:val="1E1E1E"/>
          <w:sz w:val="18"/>
        </w:rPr>
        <w:t>(...) o REINTEGRA, como política pública, vai ao encontro das normas constitucionais. Reconheço ainda a importância da indústria nacional para o desenvolvimento econômico, além da necessidade de incentivar a produção nacional e o incremento das exportações de produtos industrializados. (...) Entretanto, deve-se igualmente reconhecer a finitude dos recursos financeiros estatais e a necessidade de respeito ao Princípio da Separação dos Poderes. Vale dizer, apesar de considerar o REINTEGRA um programa louvável do ponto de vista de incentivo à economia nacional, trata-se de uma opção de política e</w:t>
      </w:r>
    </w:p>
    <w:p>
      <w:pPr>
        <w:ind w:left="144"/>
      </w:pPr>
      <w:r>
        <w:rPr>
          <w:b/>
          <w:color w:val="B45A00"/>
          <w:sz w:val="16"/>
        </w:rPr>
        <w:t>JULGADOS CORRELATOS</w:t>
      </w:r>
    </w:p>
    <w:p>
      <w:pPr>
        <w:ind w:left="288"/>
      </w:pPr>
      <w:r>
        <w:rPr>
          <w:color w:val="8C8C8C"/>
          <w:sz w:val="12"/>
        </w:rPr>
        <w:t>cf-art-3-inc-II</w:t>
      </w:r>
      <w:r>
        <w:rPr>
          <w:color w:val="003CA0"/>
          <w:sz w:val="12"/>
        </w:rPr>
        <w:t xml:space="preserve"> | PET 3.388</w:t>
      </w:r>
      <w:r>
        <w:rPr>
          <w:color w:val="003CA0"/>
          <w:sz w:val="12"/>
        </w:rPr>
        <w:t xml:space="preserve"> | rel. Ayres Britto</w:t>
      </w:r>
    </w:p>
    <w:p>
      <w:pPr>
        <w:ind w:left="288"/>
      </w:pPr>
      <w:r>
        <w:rPr>
          <w:color w:val="1E1E1E"/>
          <w:sz w:val="18"/>
        </w:rPr>
        <w:t xml:space="preserve">Ao poder público de todas as dimensões federativas o que incumbe não é subestimar, e muito menos hostilizar, comunidades indígenas brasileiras, mas tirar proveito delas para diversificar o potencial econômico-cultural dos seus territórios (dos entes federativos). O desenvolvimento que se fizer sem ou contra os índios, ali onde eles se encontrarem instalados por modo tradicional, à data da Constituição de 1988, desrespeita o objetivo fundamental do inciso II do art. 3º da CF, assecuratório de um tipo de "desenvolvimento nacional" tão ecologicamente equilibrado quanto humanizado e culturalmente </w:t>
      </w:r>
    </w:p>
    <w:p>
      <w:pPr>
        <w:ind w:left="144"/>
      </w:pPr>
      <w:r>
        <w:rPr>
          <w:b/>
          <w:color w:val="B45A00"/>
          <w:sz w:val="16"/>
        </w:rPr>
        <w:t>CONTROLE CONCENTRADO</w:t>
      </w:r>
    </w:p>
    <w:p>
      <w:pPr>
        <w:ind w:left="288"/>
      </w:pPr>
      <w:r>
        <w:rPr>
          <w:color w:val="8C8C8C"/>
          <w:sz w:val="12"/>
        </w:rPr>
        <w:t>cf-art-3-inc-III</w:t>
      </w:r>
      <w:r>
        <w:rPr>
          <w:color w:val="003CA0"/>
          <w:sz w:val="12"/>
        </w:rPr>
        <w:t xml:space="preserve"> | ADI 7.654</w:t>
      </w:r>
      <w:r>
        <w:rPr>
          <w:color w:val="003CA0"/>
          <w:sz w:val="12"/>
        </w:rPr>
        <w:t xml:space="preserve"> | rel. Flávio Dino</w:t>
      </w:r>
    </w:p>
    <w:p>
      <w:pPr>
        <w:ind w:left="288"/>
      </w:pPr>
      <w:r>
        <w:rPr>
          <w:color w:val="1E1E1E"/>
          <w:sz w:val="18"/>
        </w:rPr>
        <w:t>Ação Direta de Inconstitucionalidade proposta em face dos arts. 1º, caput e § 1º, e 6º, todos da Lei nº 12.990/2014, que regulamentam a reserva de 20% das vagas oferecidas em concursos públicos federais para candidatos negros. O fim da vigência da ação afirmativa sem que haja avaliação dos seus efeitos, das consequências da sua descontinuidade e dos resultados alcançados, além de não resultar na mens legislatoris, (...), não se coaduna com as promessas constantes na nossa Constituição relativas à construção de uma sociedade justa e solidária, com erradicação das desigualdades sociais e sem pre</w:t>
      </w:r>
    </w:p>
    <w:p>
      <w:pPr>
        <w:ind w:left="144"/>
      </w:pPr>
      <w:r>
        <w:rPr>
          <w:b/>
          <w:color w:val="B45A00"/>
          <w:sz w:val="16"/>
        </w:rPr>
        <w:t>JULGADOS CORRELATOS</w:t>
      </w:r>
    </w:p>
    <w:p>
      <w:pPr>
        <w:ind w:left="288"/>
      </w:pPr>
      <w:r>
        <w:rPr>
          <w:color w:val="8C8C8C"/>
          <w:sz w:val="12"/>
        </w:rPr>
        <w:t>cf-art-3-inc-III</w:t>
      </w:r>
      <w:r>
        <w:rPr>
          <w:color w:val="003CA0"/>
          <w:sz w:val="12"/>
        </w:rPr>
        <w:t xml:space="preserve"> | ACO 3.359</w:t>
      </w:r>
      <w:r>
        <w:rPr>
          <w:color w:val="003CA0"/>
          <w:sz w:val="12"/>
        </w:rPr>
        <w:t xml:space="preserve"> | rel. Marco Aurélio</w:t>
      </w:r>
    </w:p>
    <w:p>
      <w:pPr>
        <w:ind w:left="288"/>
      </w:pPr>
      <w:r>
        <w:rPr>
          <w:color w:val="1E1E1E"/>
          <w:sz w:val="18"/>
        </w:rPr>
        <w:t>Configura inobservância do princípio da igualdade e do objetivo constitucional de erradicar a pobreza e as desigualdades regionais a concessão de benefícios do Programa Bolsa Família a habitantes dos Estados do Nordeste, onde há maior taxa de pobreza, de forma desproporcional às demais Regiões do País.</w:t>
        <w:br/>
        <w:t>[ACO 3.359, rel. min. Marco Aurélio, red. do ac. min. Alexandre de Moraes, j. 25-4-2023, P, DJE de 20-6-2023.] O fluxo da imigração massiva é evento extraordinário, imprevisível, excepcional, e seu impacto no Estado-autor decorre do fato da posição geográfica de Roraima se mostrar atraente a fac</w:t>
      </w:r>
    </w:p>
    <w:p>
      <w:pPr>
        <w:ind w:left="144"/>
      </w:pPr>
      <w:r>
        <w:rPr>
          <w:b/>
          <w:color w:val="B45A00"/>
          <w:sz w:val="16"/>
        </w:rPr>
        <w:t>CONTROLE CONCENTRADO</w:t>
      </w:r>
    </w:p>
    <w:p>
      <w:pPr>
        <w:ind w:left="288"/>
      </w:pPr>
      <w:r>
        <w:rPr>
          <w:color w:val="8C8C8C"/>
          <w:sz w:val="12"/>
        </w:rPr>
        <w:t>cf-art-3-inc-IV</w:t>
      </w:r>
      <w:r>
        <w:rPr>
          <w:color w:val="003CA0"/>
          <w:sz w:val="12"/>
        </w:rPr>
        <w:t xml:space="preserve"> | ADPF 522</w:t>
      </w:r>
      <w:r>
        <w:rPr>
          <w:color w:val="003CA0"/>
          <w:sz w:val="12"/>
        </w:rPr>
        <w:t xml:space="preserve"> | rel. Marco Aurélio</w:t>
      </w:r>
    </w:p>
    <w:p>
      <w:pPr>
        <w:ind w:left="288"/>
      </w:pPr>
      <w:r>
        <w:rPr>
          <w:color w:val="1E1E1E"/>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w:t>
      </w:r>
    </w:p>
    <w:p>
      <w:pPr>
        <w:ind w:left="288"/>
      </w:pPr>
      <w:r>
        <w:rPr>
          <w:b/>
          <w:color w:val="003CA0"/>
          <w:sz w:val="16"/>
        </w:rPr>
        <w:t>[ADPF 522, rel. min. Marco Aurélio, red. do ac. min. Cristiano Zanin, j. 15-10-2025, P, DJE de 23-2-2026.]</w:t>
      </w:r>
    </w:p>
    <w:p>
      <w:pPr>
        <w:ind w:left="288"/>
      </w:pPr>
      <w:r>
        <w:rPr>
          <w:color w:val="8C8C8C"/>
          <w:sz w:val="12"/>
        </w:rPr>
        <w:t>cf-art-3-inc-IV</w:t>
      </w:r>
      <w:r>
        <w:rPr>
          <w:color w:val="003CA0"/>
          <w:sz w:val="12"/>
        </w:rPr>
        <w:t xml:space="preserve"> | ADPF 787</w:t>
      </w:r>
      <w:r>
        <w:rPr>
          <w:color w:val="003CA0"/>
          <w:sz w:val="12"/>
        </w:rPr>
        <w:t xml:space="preserve"> | rel. Gilmar Mendes</w:t>
      </w:r>
    </w:p>
    <w:p>
      <w:pPr>
        <w:ind w:left="288"/>
      </w:pPr>
      <w:r>
        <w:rPr>
          <w:color w:val="1E1E1E"/>
          <w:sz w:val="18"/>
        </w:rPr>
        <w:t>(...) é necessário garantir aos homens e mulheres trans acesso igualitário a todas as ações e programas de saúde do SUS, em especial aqueles relacionados à saúde sexual e reprodutiva, como agendamento de consultas nas especialidades de ginecologia, obstetrícia e urologia, independentemente de sua identidade de gênero, sendo fundamental eliminar obstáculos burocráticos que possam causar constrangimento à pessoa e atraso no acesso à prestação de saúde. (...) Essa realidade burocrática acaba por se afigurar atentatória ao direito social à saúde que é assegurado na Constituição a todas as pessoas.</w:t>
      </w:r>
    </w:p>
    <w:p>
      <w:pPr>
        <w:ind w:left="144"/>
      </w:pPr>
      <w:r>
        <w:rPr>
          <w:b/>
          <w:color w:val="B45A00"/>
          <w:sz w:val="16"/>
        </w:rPr>
        <w:t>REPERCUSSAO GERAL</w:t>
      </w:r>
    </w:p>
    <w:p>
      <w:pPr>
        <w:ind w:left="288"/>
      </w:pPr>
      <w:r>
        <w:rPr>
          <w:color w:val="8C8C8C"/>
          <w:sz w:val="12"/>
        </w:rPr>
        <w:t>cf-art-3-inc-IV</w:t>
      </w:r>
      <w:r>
        <w:rPr>
          <w:color w:val="003CA0"/>
          <w:sz w:val="12"/>
        </w:rPr>
        <w:t xml:space="preserve"> | RE 1.249.095</w:t>
      </w:r>
      <w:r>
        <w:rPr>
          <w:color w:val="003CA0"/>
          <w:sz w:val="12"/>
        </w:rPr>
        <w:t xml:space="preserve"> | rel. Cristiano Zanin</w:t>
      </w:r>
    </w:p>
    <w:p>
      <w:pPr>
        <w:ind w:left="288"/>
      </w:pPr>
      <w:r>
        <w:rPr>
          <w:color w:val="1E1E1E"/>
          <w:sz w:val="18"/>
        </w:rPr>
        <w:t>“A presença de símbolos religiosos em prédios públicos, pertencentes a qualquer dos Poderes da União, dos Estados, do Distrito Federal e dos Municípios, desde que tenha o objetivo de manifestar a tradição cultural da sociedade brasileira, não viola os princípios da não discriminação, da laicidade estatal e da impessoalidade”.</w:t>
        <w:br/>
        <w:t>[RE 1.249.095, rel. min. Cristiano Zanin, j. 27-11-2024, P, DJE de 27-2-2025, Tema 1.086, com mérito julgado.] Separação obrigatória de bens nos casamentos e uniões estáveis com pessoa maior de setenta anos. (...) O dispositivo aqui questionado, se interpretado de maneira</w:t>
      </w:r>
    </w:p>
    <w:p>
      <w:pPr>
        <w:ind w:left="144"/>
      </w:pPr>
      <w:r>
        <w:rPr>
          <w:b/>
          <w:color w:val="B45A00"/>
          <w:sz w:val="16"/>
        </w:rPr>
        <w:t>JULGADOS CORRELATOS</w:t>
      </w:r>
    </w:p>
    <w:p>
      <w:pPr>
        <w:ind w:left="288"/>
      </w:pPr>
      <w:r>
        <w:rPr>
          <w:color w:val="8C8C8C"/>
          <w:sz w:val="12"/>
        </w:rPr>
        <w:t>cf-art-3-inc-IV</w:t>
      </w:r>
      <w:r>
        <w:rPr>
          <w:color w:val="003CA0"/>
          <w:sz w:val="12"/>
        </w:rPr>
        <w:t xml:space="preserve"> | HC 208.240</w:t>
      </w:r>
      <w:r>
        <w:rPr>
          <w:color w:val="003CA0"/>
          <w:sz w:val="12"/>
        </w:rPr>
        <w:t xml:space="preserve"> | rel. Edson Fachin</w:t>
      </w:r>
    </w:p>
    <w:p>
      <w:pPr>
        <w:ind w:left="288"/>
      </w:pPr>
      <w:r>
        <w:rPr>
          <w:color w:val="1E1E1E"/>
          <w:sz w:val="18"/>
        </w:rPr>
        <w:t>A Constituição Federal protege a intimidade e a privacidade como direitos individuais (art. 5º, X). Também prevê como objetivo fundamental da República Federativa do Brasil a construção de uma sociedade justa, plural e solidária, sem preconceitos de origem, raça, sexo, cor, idade e quaisquer outras formas de discriminação (art. 3º, I e IV). (...) O Estado brasileiro comprometeu-se a proibir e a eliminar a discriminação racial em todas suas formas e a garantir o direito de cada um à igualdade perante a lei sem distinção de raça, de cor ou de origem nacional ou étnica (Convenção Internacional so</w:t>
      </w:r>
    </w:p>
    <w:p>
      <w:r>
        <w:rPr>
          <w:b/>
          <w:color w:val="003366"/>
          <w:sz w:val="20"/>
        </w:rPr>
        <w:t>Art. 4 O mandato do atual Presidente da República terminará em 15 de março de 19</w:t>
      </w:r>
      <w:r>
        <w:rPr>
          <w:color w:val="8C8C8C"/>
          <w:sz w:val="14"/>
        </w:rPr>
        <w:t xml:space="preserve">  [12 decisoes]</w:t>
      </w:r>
    </w:p>
    <w:p>
      <w:pPr>
        <w:ind w:left="144"/>
      </w:pPr>
      <w:r>
        <w:rPr>
          <w:b/>
          <w:color w:val="B45A00"/>
          <w:sz w:val="16"/>
        </w:rPr>
        <w:t>CONTROLE CONCENTRADO</w:t>
      </w:r>
    </w:p>
    <w:p>
      <w:pPr>
        <w:ind w:left="288"/>
      </w:pPr>
      <w:r>
        <w:rPr>
          <w:color w:val="8C8C8C"/>
          <w:sz w:val="12"/>
        </w:rPr>
        <w:t>cf-art-4</w:t>
      </w:r>
      <w:r>
        <w:rPr>
          <w:color w:val="003CA0"/>
          <w:sz w:val="12"/>
        </w:rPr>
        <w:t xml:space="preserve"> | ADPF 172</w:t>
      </w:r>
      <w:r>
        <w:rPr>
          <w:color w:val="003CA0"/>
          <w:sz w:val="12"/>
        </w:rPr>
        <w:t xml:space="preserve"> | rel. Marco Aurélio</w:t>
      </w:r>
    </w:p>
    <w:p>
      <w:pPr>
        <w:ind w:left="288"/>
      </w:pPr>
      <w:r>
        <w:rPr>
          <w:color w:val="1E1E1E"/>
          <w:sz w:val="18"/>
        </w:rPr>
        <w:t>(...) gostaria (...) de tecer algumas considerações sobre a Convenção da Haia e a sua aplicação pelo Poder Judiciário brasileiro. (...) A primeira observação a ser feita, portanto, é a de que estamos diante de um documento produzido no contexto de negociações multilaterais a que o País formalmente aderiu e ratificou. Tais documentos, em que se incluem os tratados, as convenções e os acordos, pressupõem o cumprimento de boa-fé pelos Estados signatários. É o que expressa o velho brocardo pacta sunt servanda. A observância dessa prescrição é o que permite a coexistência e a cooperação entre naçõe</w:t>
      </w:r>
    </w:p>
    <w:p>
      <w:pPr>
        <w:ind w:left="144"/>
      </w:pPr>
      <w:r>
        <w:rPr>
          <w:b/>
          <w:color w:val="B45A00"/>
          <w:sz w:val="16"/>
        </w:rPr>
        <w:t>JULGADOS CORRELATOS</w:t>
      </w:r>
    </w:p>
    <w:p>
      <w:pPr>
        <w:ind w:left="288"/>
      </w:pPr>
      <w:r>
        <w:rPr>
          <w:color w:val="8C8C8C"/>
          <w:sz w:val="12"/>
        </w:rPr>
        <w:t>cf-art-4-inc-I</w:t>
      </w:r>
      <w:r>
        <w:rPr>
          <w:color w:val="003CA0"/>
          <w:sz w:val="12"/>
        </w:rPr>
        <w:t xml:space="preserve"> | EXT 1.085.</w:t>
      </w:r>
      <w:r>
        <w:rPr>
          <w:color w:val="003CA0"/>
          <w:sz w:val="12"/>
        </w:rPr>
        <w:t xml:space="preserve"> | rel. Gilmar Mendes</w:t>
      </w:r>
    </w:p>
    <w:p>
      <w:pPr>
        <w:ind w:left="288"/>
      </w:pPr>
      <w:r>
        <w:rPr>
          <w:color w:val="1E1E1E"/>
          <w:sz w:val="18"/>
        </w:rPr>
        <w:t>O art. 1º da Constituição assenta como um dos fundamentos do Estado brasileiro a sua soberania – que significa o poder político supremo dentro do território, e, no plano internacional, no tocante às relações da República Federativa do Brasil com outros Estados soberanos, nos termos do art. 4º, I, da Carta Magna. A soberania nacional no plano transnacional funda-se no princípio da independência nacional, efetivada pelo presidente da República, consoante suas atribuições previstas no art. 84, VII e VIII, da Lei Maior. A soberania, dicotomizada em interna e externa, tem na primeira a exteriorizaç</w:t>
      </w:r>
    </w:p>
    <w:p>
      <w:pPr>
        <w:ind w:left="144"/>
      </w:pPr>
      <w:r>
        <w:rPr>
          <w:b/>
          <w:color w:val="B45A00"/>
          <w:sz w:val="16"/>
        </w:rPr>
        <w:t>REPERCUSSAO GERAL</w:t>
      </w:r>
    </w:p>
    <w:p>
      <w:pPr>
        <w:ind w:left="288"/>
      </w:pPr>
      <w:r>
        <w:rPr>
          <w:color w:val="8C8C8C"/>
          <w:sz w:val="12"/>
        </w:rPr>
        <w:t>cf-art-4-inc-II</w:t>
      </w:r>
      <w:r>
        <w:rPr>
          <w:color w:val="003CA0"/>
          <w:sz w:val="12"/>
        </w:rPr>
        <w:t xml:space="preserve"> | ADPF 153.</w:t>
      </w:r>
      <w:r>
        <w:rPr>
          <w:color w:val="003CA0"/>
          <w:sz w:val="12"/>
        </w:rPr>
        <w:t xml:space="preserve"> | rel. Alexandre de Moraes</w:t>
      </w:r>
    </w:p>
    <w:p>
      <w:pPr>
        <w:ind w:left="288"/>
      </w:pPr>
      <w:r>
        <w:rPr>
          <w:color w:val="1E1E1E"/>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br/>
        <w:t>[ARE 1.058.822 RG, rel. min. Alexandre de Moraes, j. 21-2-2025, P, DJE de 28-2-2025, Tema 1.375, com mérito pendente.] Controvérsia inédita no âmbito desta Suprema Corte, estando em questão a derrotabilidade de regra imunizante de jurisdição em relação a atos de império praticados por Estado soberano, por conta de graves delitos oco</w:t>
      </w:r>
    </w:p>
    <w:p>
      <w:pPr>
        <w:ind w:left="144"/>
      </w:pPr>
      <w:r>
        <w:rPr>
          <w:b/>
          <w:color w:val="B45A00"/>
          <w:sz w:val="16"/>
        </w:rPr>
        <w:t>JULGADOS CORRELATOS</w:t>
      </w:r>
    </w:p>
    <w:p>
      <w:pPr>
        <w:ind w:left="288"/>
      </w:pPr>
      <w:r>
        <w:rPr>
          <w:color w:val="8C8C8C"/>
          <w:sz w:val="12"/>
        </w:rPr>
        <w:t>cf-art-4-inc-II</w:t>
      </w:r>
      <w:r>
        <w:rPr>
          <w:color w:val="003CA0"/>
          <w:sz w:val="12"/>
        </w:rPr>
        <w:t xml:space="preserve"> | EXT 1.195</w:t>
      </w:r>
      <w:r>
        <w:rPr>
          <w:color w:val="003CA0"/>
          <w:sz w:val="12"/>
        </w:rPr>
        <w:t xml:space="preserve"> | rel. Ayres Britto</w:t>
      </w:r>
    </w:p>
    <w:p>
      <w:pPr>
        <w:ind w:left="288"/>
      </w:pPr>
      <w:r>
        <w:rPr>
          <w:color w:val="1E1E1E"/>
          <w:sz w:val="18"/>
        </w:rPr>
        <w:t>A anuência do extraditando ao pedido de sua entrega não desobriga o Estado requerente de instruir devidamente esse pedido. Mais: o assentimento do acusado com a extradição não dispensa o exame dos requisitos legais para o deferimento do pleito pelo STF. STF que participa do processo de extradição para velar pela observância do princípio que a CF chama de "prevalência dos direitos humanos" (...).</w:t>
        <w:br/>
        <w:t xml:space="preserve">[Ext 1.195, rel. min. Ayres Britto, j. 12-5-2011, P, DJE de 21-6-2011.] No Estado de Direito Democrático, devem ser intransigentemente respeitados os princípios que garantem a prevalência dos direitos </w:t>
      </w:r>
    </w:p>
    <w:p>
      <w:pPr>
        <w:ind w:left="144"/>
      </w:pPr>
      <w:r>
        <w:rPr>
          <w:b/>
          <w:color w:val="B45A00"/>
          <w:sz w:val="16"/>
        </w:rPr>
        <w:t>CONTROLE CONCENTRADO</w:t>
      </w:r>
    </w:p>
    <w:p>
      <w:pPr>
        <w:ind w:left="288"/>
      </w:pPr>
      <w:r>
        <w:rPr>
          <w:color w:val="8C8C8C"/>
          <w:sz w:val="12"/>
        </w:rPr>
        <w:t>cf-art-4-inc-V</w:t>
      </w:r>
      <w:r>
        <w:rPr>
          <w:color w:val="003CA0"/>
          <w:sz w:val="12"/>
        </w:rPr>
        <w:t xml:space="preserve"> | ADPF 101</w:t>
      </w:r>
      <w:r>
        <w:rPr>
          <w:color w:val="003CA0"/>
          <w:sz w:val="12"/>
        </w:rPr>
        <w:t xml:space="preserve"> | rel. Cármen Lúcia</w:t>
      </w:r>
    </w:p>
    <w:p>
      <w:pPr>
        <w:ind w:left="288"/>
      </w:pPr>
      <w:r>
        <w:rPr>
          <w:color w:val="1E1E1E"/>
          <w:sz w:val="18"/>
        </w:rPr>
        <w:t xml:space="preserve">Arguição de descumprimento dos preceitos fundamentais constitucionalmente estabelecidos: decisões judiciais nacionais permitindo a importação de pneus usados de países que não compõem o Mercosul: objeto de contencioso na Organização Mundial do Comércio, a partir de 20-6-2005, pela Solicitação de Consulta da União Europeia ao Brasil. (...) Autorização para importação de remoldados provenientes de Estados integrantes do Mercosul limitados ao produto final, pneu, e não às carcaças: determinação do Tribunal ad hoc, à qual teve de se submeter o Brasil em decorrência dos acordos firmados pelo bloco </w:t>
      </w:r>
    </w:p>
    <w:p>
      <w:pPr>
        <w:ind w:left="144"/>
      </w:pPr>
      <w:r>
        <w:rPr>
          <w:b/>
          <w:color w:val="B45A00"/>
          <w:sz w:val="16"/>
        </w:rPr>
        <w:t>REPERCUSSAO GERAL</w:t>
      </w:r>
    </w:p>
    <w:p>
      <w:pPr>
        <w:ind w:left="288"/>
      </w:pPr>
      <w:r>
        <w:rPr>
          <w:color w:val="8C8C8C"/>
          <w:sz w:val="12"/>
        </w:rPr>
        <w:t>cf-art-4-inc-V</w:t>
      </w:r>
      <w:r>
        <w:rPr>
          <w:color w:val="003CA0"/>
          <w:sz w:val="12"/>
        </w:rPr>
        <w:t xml:space="preserve"> | RE 222.368</w:t>
      </w:r>
      <w:r>
        <w:rPr>
          <w:color w:val="003CA0"/>
          <w:sz w:val="12"/>
        </w:rPr>
        <w:t xml:space="preserve"> | rel. Celso de Mello</w:t>
      </w:r>
    </w:p>
    <w:p>
      <w:pPr>
        <w:ind w:left="288"/>
      </w:pPr>
      <w:r>
        <w:rPr>
          <w:color w:val="1E1E1E"/>
          <w:sz w:val="18"/>
        </w:rPr>
        <w:t>Os Estados estrangeiros não dispõem de imunidade de jurisdição, perante o Poder Judiciário brasileiro, nas causas de natureza trabalhista, pois essa prerrogativa de direito internacional público tem caráter meramente relativo. Privilégios diplomáticos não podem ser invocados, em processos trabalhistas, para coonestar o enriquecimento sem causa de Estados estrangeiros, em inaceitável detrimento de trabalhadores residentes em território brasileiro, sob pena de essa prática consagrar censurável desvio ético-jurídico, incompatível com o princípio da boa-fé e inconciliável com os grandes postulados</w:t>
      </w:r>
    </w:p>
    <w:p>
      <w:pPr>
        <w:ind w:left="144"/>
      </w:pPr>
      <w:r>
        <w:rPr>
          <w:b/>
          <w:color w:val="B45A00"/>
          <w:sz w:val="16"/>
        </w:rPr>
        <w:t>JULGADOS CORRELATOS</w:t>
      </w:r>
    </w:p>
    <w:p>
      <w:pPr>
        <w:ind w:left="288"/>
      </w:pPr>
      <w:r>
        <w:rPr>
          <w:color w:val="8C8C8C"/>
          <w:sz w:val="12"/>
        </w:rPr>
        <w:t>cf-art-4-inc-V</w:t>
      </w:r>
      <w:r>
        <w:rPr>
          <w:color w:val="003CA0"/>
          <w:sz w:val="12"/>
        </w:rPr>
        <w:t xml:space="preserve"> | ACO 543</w:t>
      </w:r>
      <w:r>
        <w:rPr>
          <w:color w:val="003CA0"/>
          <w:sz w:val="12"/>
        </w:rPr>
        <w:t xml:space="preserve"> | rel. Sepúlveda Pertence</w:t>
      </w:r>
    </w:p>
    <w:p>
      <w:pPr>
        <w:ind w:left="288"/>
      </w:pPr>
      <w:r>
        <w:rPr>
          <w:color w:val="1E1E1E"/>
          <w:sz w:val="18"/>
        </w:rPr>
        <w:t>Imunidade de jurisdição. Execução fiscal movida pela União contra a República da Coreia. É da jurisprudência do Supremo Tribunal que, salvo renúncia, é absoluta a imunidade do Estado estrangeiro à jurisdição executória.</w:t>
        <w:br/>
        <w:t>[ACO 543 AgR, rel. min. Sepúlveda Pertence, j. 30-8-2006, P, DJ de 24-11-2006.] O mero procedimento citatório não produz qualquer efeito atentatório à soberania nacional ou à ordem pública, apenas possibilita o conhecimento da ação que tramita perante a justiça alienígena e faculta a apresentação de defesa.</w:t>
        <w:br/>
        <w:t>[CR 10.849 AgR, rel. min. Maurício Corrêa, j. 28-4-2004, P, DJ de 21-5-</w:t>
      </w:r>
    </w:p>
    <w:p>
      <w:pPr>
        <w:ind w:left="288"/>
      </w:pPr>
      <w:r>
        <w:rPr>
          <w:color w:val="8C8C8C"/>
          <w:sz w:val="12"/>
        </w:rPr>
        <w:t>cf-art-4-inc-VIII</w:t>
      </w:r>
      <w:r>
        <w:rPr>
          <w:color w:val="003CA0"/>
          <w:sz w:val="12"/>
        </w:rPr>
        <w:t xml:space="preserve"> | EXT 855</w:t>
      </w:r>
      <w:r>
        <w:rPr>
          <w:color w:val="003CA0"/>
          <w:sz w:val="12"/>
        </w:rPr>
        <w:t xml:space="preserve"> | rel. Celso de Mello</w:t>
      </w:r>
    </w:p>
    <w:p>
      <w:pPr>
        <w:ind w:left="288"/>
      </w:pPr>
      <w:r>
        <w:rPr>
          <w:color w:val="1E1E1E"/>
          <w:sz w:val="18"/>
        </w:rPr>
        <w:t>O repúdio ao terrorismo: um compromisso ético-jurídico assumido pelo Brasil, quer em face de sua própria Constituição, quer perante a comunidade internacional. Os atos delituosos de natureza terrorista, considerados os parâmetros consagrados pela vigente CF, não se subsumem à noção de criminalidade política, pois a Lei Fundamental proclamou o repúdio ao terrorismo como um dos princípios essenciais que devem reger o Estado brasileiro em suas relações internacionais (CF, art. 4º, VIII), além de haver qualificado o terrorismo, para efeito de repressão interna, como crime equiparável aos delitos h</w:t>
      </w:r>
    </w:p>
    <w:p>
      <w:pPr>
        <w:ind w:left="144"/>
      </w:pPr>
      <w:r>
        <w:rPr>
          <w:b/>
          <w:color w:val="B45A00"/>
          <w:sz w:val="16"/>
        </w:rPr>
        <w:t>CONTROLE CONCENTRADO</w:t>
      </w:r>
    </w:p>
    <w:p>
      <w:pPr>
        <w:ind w:left="288"/>
      </w:pPr>
      <w:r>
        <w:rPr>
          <w:color w:val="8C8C8C"/>
          <w:sz w:val="12"/>
        </w:rPr>
        <w:t>cf-art-4-inc-IX</w:t>
      </w:r>
      <w:r>
        <w:rPr>
          <w:color w:val="003CA0"/>
          <w:sz w:val="12"/>
        </w:rPr>
        <w:t xml:space="preserve"> | ADC 51</w:t>
      </w:r>
      <w:r>
        <w:rPr>
          <w:color w:val="003CA0"/>
          <w:sz w:val="12"/>
        </w:rPr>
        <w:t xml:space="preserve"> | rel. Gilmar Mendes</w:t>
      </w:r>
    </w:p>
    <w:p>
      <w:pPr>
        <w:ind w:left="288"/>
      </w:pPr>
      <w:r>
        <w:rPr>
          <w:color w:val="1E1E1E"/>
          <w:sz w:val="18"/>
        </w:rPr>
        <w:t>O art. 11 do Marco Civil da Internet, que encontra respaldo no art. 18 da Convenção de Budapeste, é norma específica em relação às regras gerais do MLAT. O referido dispositivo assegura a aplicação da legislação brasileira em relação a atividades de coleta, armazenamento, guarda e tratamento de registros, dados e comunicações eletrônicas ocorridas em território nacional, desde que pelo menos um dos atos ou terminais se encontrem em território nacional, mesmo que a pessoa jurídica portadora dessas informações esteja localizada ou armazene tais informações no exterior. As hipóteses de requisição</w:t>
      </w:r>
    </w:p>
    <w:p>
      <w:pPr>
        <w:ind w:left="144"/>
      </w:pPr>
      <w:r>
        <w:rPr>
          <w:b/>
          <w:color w:val="B45A00"/>
          <w:sz w:val="16"/>
        </w:rPr>
        <w:t>JULGADOS CORRELATOS</w:t>
      </w:r>
    </w:p>
    <w:p>
      <w:pPr>
        <w:ind w:left="288"/>
      </w:pPr>
      <w:r>
        <w:rPr>
          <w:color w:val="8C8C8C"/>
          <w:sz w:val="12"/>
        </w:rPr>
        <w:t>cf-art-4-inc-IX</w:t>
      </w:r>
      <w:r>
        <w:rPr>
          <w:color w:val="003CA0"/>
          <w:sz w:val="12"/>
        </w:rPr>
        <w:t xml:space="preserve"> | HC 89.171</w:t>
      </w:r>
      <w:r>
        <w:rPr>
          <w:color w:val="003CA0"/>
          <w:sz w:val="12"/>
        </w:rPr>
        <w:t xml:space="preserve"> | rel. Marco Aurélio</w:t>
      </w:r>
    </w:p>
    <w:p>
      <w:pPr>
        <w:ind w:left="288"/>
      </w:pPr>
      <w:r>
        <w:rPr>
          <w:color w:val="1E1E1E"/>
          <w:sz w:val="18"/>
        </w:rPr>
        <w:t>No plano da cooperação internacional, é possível a participação das autoridades estrangeiras, desde que não haja nenhuma interferência delas no curso das providências tomadas.</w:t>
        <w:br/>
        <w:t>[HC 89.171, rel. min. Marco Aurélio, red. do ac. min. Menezes Direito, j. 24-3-2009, 1ª T, DJE de 8-5-2009.]</w:t>
      </w:r>
    </w:p>
    <w:p>
      <w:pPr>
        <w:ind w:left="288"/>
      </w:pPr>
      <w:r>
        <w:rPr>
          <w:color w:val="8C8C8C"/>
          <w:sz w:val="12"/>
        </w:rPr>
        <w:t>cf-art-4-inc-X</w:t>
      </w:r>
      <w:r>
        <w:rPr>
          <w:color w:val="003CA0"/>
          <w:sz w:val="12"/>
        </w:rPr>
        <w:t xml:space="preserve"> | EXT 1.085</w:t>
      </w:r>
      <w:r>
        <w:rPr>
          <w:color w:val="003CA0"/>
          <w:sz w:val="12"/>
        </w:rPr>
        <w:t xml:space="preserve"> | rel. Cezar Peluso</w:t>
      </w:r>
    </w:p>
    <w:p>
      <w:pPr>
        <w:ind w:left="288"/>
      </w:pPr>
      <w:r>
        <w:rPr>
          <w:color w:val="1E1E1E"/>
          <w:sz w:val="18"/>
        </w:rPr>
        <w:t>Questão sobre existência jurídica, validez e eficácia de ato administrativo que conceda refúgio ao extraditando é matéria preliminar inerente à cognição do mérito do processo de extradição e, como tal, deve ser conhecida de ofício ou mediante provocação de interessado jurídico na causa. (...) Eventual nulidade absoluta do ato administrativo que concede refúgio ao extraditando deve ser pronunciada, mediante provocação ou de ofício, no processo de extradição. (...) Não configura crime político, para fim de obstar o acolhimento de pedido de extradição, homicídio praticado por membro de organizaçã</w:t>
      </w:r>
    </w:p>
    <w:p>
      <w:pPr>
        <w:ind w:left="288"/>
      </w:pPr>
      <w:r>
        <w:rPr>
          <w:color w:val="8C8C8C"/>
          <w:sz w:val="12"/>
        </w:rPr>
        <w:t>cf-art-4-inc-X</w:t>
      </w:r>
      <w:r>
        <w:rPr>
          <w:color w:val="003CA0"/>
          <w:sz w:val="12"/>
        </w:rPr>
        <w:t xml:space="preserve"> | CR 8.279</w:t>
      </w:r>
      <w:r>
        <w:rPr>
          <w:color w:val="003CA0"/>
          <w:sz w:val="12"/>
        </w:rPr>
        <w:t xml:space="preserve"> | rel. Celso de Mello</w:t>
      </w:r>
    </w:p>
    <w:p>
      <w:pPr>
        <w:ind w:left="288"/>
      </w:pPr>
      <w:r>
        <w:rPr>
          <w:color w:val="1E1E1E"/>
          <w:sz w:val="18"/>
        </w:rPr>
        <w:t>Sob a égide do modelo constitucional brasileiro, mesmo cuidando-se de tratados de integração, ainda subsistem os clássicos mecanismos institucionais de recepção das convenções internacionais em geral, não bastando, para afastá-los, a existência da norma inscrita no art. 4º, parágrafo único, da Constituição da República, que possui conteúdo meramente programático e cujo sentido não torna dispensável a atuação dos instrumentos constitucionais de transposição, para a ordem jurídica doméstica, dos acordos, protocolos e convenções celebrados pelo Brasil no âmbito do Mercosul.</w:t>
        <w:br/>
        <w:t>[CR 8.279 AgR, rel. mi</w:t>
      </w:r>
    </w:p>
    <w:p>
      <w:pPr>
        <w:ind w:left="432"/>
      </w:pPr>
      <w:r>
        <w:rPr>
          <w:color w:val="003366"/>
          <w:sz w:val="18"/>
        </w:rPr>
        <w:t>§ 1 A primeira eleição para Presidente da República após a promulgação da Consti</w:t>
      </w:r>
    </w:p>
    <w:p>
      <w:pPr>
        <w:ind w:left="432"/>
      </w:pPr>
      <w:r>
        <w:rPr>
          <w:color w:val="003366"/>
          <w:sz w:val="18"/>
        </w:rPr>
        <w:t>§ 2 É assegurada a irredutibilidade da atual representação dos Estados e do Dist</w:t>
      </w:r>
    </w:p>
    <w:p>
      <w:pPr>
        <w:ind w:left="432"/>
      </w:pPr>
      <w:r>
        <w:rPr>
          <w:color w:val="003366"/>
          <w:sz w:val="18"/>
        </w:rPr>
        <w:t>§ 3 Os mandatos dos Governadores e dos Vice-Governadores eleitos em 15 de novemb</w:t>
      </w:r>
    </w:p>
    <w:p>
      <w:pPr>
        <w:ind w:left="432"/>
      </w:pPr>
      <w:r>
        <w:rPr>
          <w:color w:val="003366"/>
          <w:sz w:val="18"/>
        </w:rPr>
        <w:t xml:space="preserve">§ 4 Os mandatos dos atuais Prefeitos, Vice-Prefeitos e Vereadores terminarão no </w:t>
      </w:r>
    </w:p>
    <w:p>
      <w:r>
        <w:rPr>
          <w:b/>
          <w:color w:val="003366"/>
          <w:sz w:val="20"/>
        </w:rPr>
        <w:t>Art. 5 Não se aplicam às eleições previstas para 15 de novembro de 1988 o dispos</w:t>
      </w:r>
      <w:r>
        <w:rPr>
          <w:color w:val="8C8C8C"/>
          <w:sz w:val="14"/>
        </w:rPr>
        <w:t xml:space="preserve">  [1737 decisoes]</w:t>
      </w:r>
    </w:p>
    <w:p>
      <w:pPr>
        <w:ind w:left="288"/>
      </w:pPr>
      <w:r>
        <w:rPr>
          <w:color w:val="8C8C8C"/>
          <w:sz w:val="12"/>
        </w:rPr>
        <w:t>cf-art-5</w:t>
      </w:r>
    </w:p>
    <w:p>
      <w:pPr>
        <w:ind w:left="288"/>
      </w:pPr>
      <w:r>
        <w:rPr>
          <w:color w:val="1E1E1E"/>
          <w:sz w:val="18"/>
        </w:rPr>
        <w:t>Não cabe ao Poder Judiciário, que não tem função legislativa, aumentar vencimentos de servidores públicos sob o fundamento de isonomia.</w:t>
      </w:r>
    </w:p>
    <w:p>
      <w:pPr>
        <w:ind w:left="288"/>
      </w:pPr>
      <w:r>
        <w:rPr>
          <w:b/>
          <w:color w:val="003CA0"/>
          <w:sz w:val="16"/>
        </w:rPr>
        <w:t>[Súmula Vinculante 37.]</w:t>
      </w:r>
    </w:p>
    <w:p>
      <w:pPr>
        <w:ind w:left="288"/>
      </w:pPr>
      <w:r>
        <w:rPr>
          <w:color w:val="8C8C8C"/>
          <w:sz w:val="12"/>
        </w:rPr>
        <w:t>cf-art-5</w:t>
      </w:r>
    </w:p>
    <w:p>
      <w:pPr>
        <w:ind w:left="288"/>
      </w:pPr>
      <w:r>
        <w:rPr>
          <w:color w:val="1E1E1E"/>
          <w:sz w:val="18"/>
        </w:rPr>
        <w:t>Não viola a Constituição o estabelecimento de remuneração inferior ao salário mínimo para as praças prestadoras de serviço militar inicial.</w:t>
      </w:r>
    </w:p>
    <w:p>
      <w:pPr>
        <w:ind w:left="288"/>
      </w:pPr>
      <w:r>
        <w:rPr>
          <w:b/>
          <w:color w:val="003CA0"/>
          <w:sz w:val="16"/>
        </w:rPr>
        <w:t>[Súmula Vinculante 6.]</w:t>
      </w:r>
    </w:p>
    <w:p>
      <w:pPr>
        <w:ind w:left="144"/>
      </w:pPr>
      <w:r>
        <w:rPr>
          <w:b/>
          <w:color w:val="B45A00"/>
          <w:sz w:val="16"/>
        </w:rPr>
        <w:t>CONTROLE CONCENTRADO</w:t>
      </w:r>
    </w:p>
    <w:p>
      <w:pPr>
        <w:ind w:left="288"/>
      </w:pPr>
      <w:r>
        <w:rPr>
          <w:color w:val="8C8C8C"/>
          <w:sz w:val="12"/>
        </w:rPr>
        <w:t>cf-art-5</w:t>
      </w:r>
      <w:r>
        <w:rPr>
          <w:color w:val="003CA0"/>
          <w:sz w:val="12"/>
        </w:rPr>
        <w:t xml:space="preserve"> | ADC 85</w:t>
      </w:r>
      <w:r>
        <w:rPr>
          <w:color w:val="003CA0"/>
          <w:sz w:val="12"/>
        </w:rPr>
        <w:t xml:space="preserve"> | rel. Gilmar Mendes</w:t>
      </w:r>
    </w:p>
    <w:p>
      <w:pPr>
        <w:ind w:left="288"/>
      </w:pPr>
      <w:r>
        <w:rPr>
          <w:color w:val="1E1E1E"/>
          <w:sz w:val="18"/>
        </w:rPr>
        <w:t>Decretos 11.366/2023 e 11.615/2023. Atos normativos que promoveram a regulamentação do Estatuto do Desarmamento (Lei 10.823/2003). (...) Os Decretos 11.366/2023 e 11.615/2023 visam reverter a vertiginosa tendência de proliferação de armas de fogo em circulação no Brasil e promover a reconstrução das políticas públicas de efetivo controle dessa circulação. Os atos normativos inserem-se no poder regulamentar privativo do Presidente da República (CF, art. 84, IV) e não extrapolam a margem de conformação regulamentar estabelecida pelo Estatuto do Desarmamento (10.826/2003). As determinações regula</w:t>
      </w:r>
    </w:p>
    <w:p>
      <w:pPr>
        <w:ind w:left="144"/>
      </w:pPr>
      <w:r>
        <w:rPr>
          <w:b/>
          <w:color w:val="B45A00"/>
          <w:sz w:val="16"/>
        </w:rPr>
        <w:t>REPERCUSSAO GERAL</w:t>
      </w:r>
    </w:p>
    <w:p>
      <w:pPr>
        <w:ind w:left="288"/>
      </w:pPr>
      <w:r>
        <w:rPr>
          <w:color w:val="8C8C8C"/>
          <w:sz w:val="12"/>
        </w:rPr>
        <w:t>cf-art-5</w:t>
      </w:r>
      <w:r>
        <w:rPr>
          <w:color w:val="003CA0"/>
          <w:sz w:val="12"/>
        </w:rPr>
        <w:t xml:space="preserve"> | RE 1.530.083</w:t>
      </w:r>
      <w:r>
        <w:rPr>
          <w:color w:val="003CA0"/>
          <w:sz w:val="12"/>
        </w:rPr>
        <w:t xml:space="preserve"> | rel. Luiz Fux</w:t>
      </w:r>
    </w:p>
    <w:p>
      <w:pPr>
        <w:ind w:left="288"/>
      </w:pPr>
      <w:r>
        <w:rPr>
          <w:color w:val="1E1E1E"/>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w:t>
      </w:r>
    </w:p>
    <w:p>
      <w:pPr>
        <w:ind w:left="144"/>
      </w:pPr>
      <w:r>
        <w:rPr>
          <w:b/>
          <w:color w:val="B45A00"/>
          <w:sz w:val="16"/>
        </w:rPr>
        <w:t>JULGADOS CORRELATOS</w:t>
      </w:r>
    </w:p>
    <w:p>
      <w:pPr>
        <w:ind w:left="288"/>
      </w:pPr>
      <w:r>
        <w:rPr>
          <w:color w:val="8C8C8C"/>
          <w:sz w:val="12"/>
        </w:rPr>
        <w:t>cf-art-5</w:t>
      </w:r>
      <w:r>
        <w:rPr>
          <w:color w:val="003CA0"/>
          <w:sz w:val="12"/>
        </w:rPr>
        <w:t xml:space="preserve"> | ADI 4.868</w:t>
      </w:r>
      <w:r>
        <w:rPr>
          <w:color w:val="003CA0"/>
          <w:sz w:val="12"/>
        </w:rPr>
        <w:t xml:space="preserve"> | rel. Luiz Fux</w:t>
      </w:r>
    </w:p>
    <w:p>
      <w:pPr>
        <w:ind w:left="288"/>
      </w:pPr>
      <w:r>
        <w:rPr>
          <w:color w:val="1E1E1E"/>
          <w:sz w:val="18"/>
        </w:rPr>
        <w:t>Bonificação para classificação no curso de medicina em Universidade Federal. Critério regional. Alegação de afronta ao julgamento da ADI 4.868 e RE 614.873 (tema 474-RG). Ocorrência. Precedentes que proíbem qualquer distinção entre brasileiros em razão da origem ou procedência. Bonificação adicional no certame em virtude da localidade onde foi concluído o ensino médio pelos candidatos oriundos da rede de ensino pública.</w:t>
        <w:br/>
        <w:t>[Rcl 68.736 TP-REF , rel. min. Luiz Fux, j. 1º-7-2024, 1ª T, DJE de 2-8-2024.] Lei do Estado do Amazonas 2.894/2004, que cria sistema de cotas para preenchimento de vagas em un</w:t>
      </w:r>
    </w:p>
    <w:p>
      <w:pPr>
        <w:ind w:left="288"/>
      </w:pPr>
      <w:r>
        <w:rPr>
          <w:color w:val="8C8C8C"/>
          <w:sz w:val="12"/>
        </w:rPr>
        <w:t>cf-art-5-inc-I</w:t>
      </w:r>
      <w:r>
        <w:rPr>
          <w:color w:val="003CA0"/>
          <w:sz w:val="12"/>
        </w:rPr>
        <w:t xml:space="preserve"> | ARE 1.551.254</w:t>
      </w:r>
      <w:r>
        <w:rPr>
          <w:color w:val="003CA0"/>
          <w:sz w:val="12"/>
        </w:rPr>
        <w:t xml:space="preserve"> | rel. Cristiano Zanin</w:t>
      </w:r>
    </w:p>
    <w:p>
      <w:pPr>
        <w:ind w:left="288"/>
      </w:pPr>
      <w:r>
        <w:rPr>
          <w:color w:val="1E1E1E"/>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w:t>
      </w:r>
    </w:p>
    <w:p>
      <w:pPr>
        <w:ind w:left="288"/>
      </w:pPr>
      <w:r>
        <w:rPr>
          <w:b/>
          <w:color w:val="003CA0"/>
          <w:sz w:val="16"/>
        </w:rPr>
        <w:t>[ARE 1.551.254 AgR, rel. min. Cristiano Zanin, j. 22-12-2025, P, DJE de 2-2-2026.]</w:t>
      </w:r>
    </w:p>
    <w:p>
      <w:pPr>
        <w:ind w:left="144"/>
      </w:pPr>
      <w:r>
        <w:rPr>
          <w:b/>
          <w:color w:val="B45A00"/>
          <w:sz w:val="16"/>
        </w:rPr>
        <w:t>CONTROLE CONCENTRADO</w:t>
      </w:r>
    </w:p>
    <w:p>
      <w:pPr>
        <w:ind w:left="288"/>
      </w:pPr>
      <w:r>
        <w:rPr>
          <w:color w:val="8C8C8C"/>
          <w:sz w:val="12"/>
        </w:rPr>
        <w:t>cf-art-5-inc-I</w:t>
      </w:r>
      <w:r>
        <w:rPr>
          <w:color w:val="003CA0"/>
          <w:sz w:val="12"/>
        </w:rPr>
        <w:t xml:space="preserve"> | ADI 7.596</w:t>
      </w:r>
      <w:r>
        <w:rPr>
          <w:color w:val="003CA0"/>
          <w:sz w:val="12"/>
        </w:rPr>
        <w:t xml:space="preserve"> | rel. Nunes Marques</w:t>
      </w:r>
    </w:p>
    <w:p>
      <w:pPr>
        <w:ind w:left="288"/>
      </w:pPr>
      <w:r>
        <w:rPr>
          <w:color w:val="1E1E1E"/>
          <w:sz w:val="18"/>
        </w:rPr>
        <w:t>O RenovaBio, instituído pela Lei n. 13.576/2017, concretiza compromissos internacionais de mitigação de gases de efeito estufa assumidos pelo Brasil no Acordo de Paris, consubstanciando política pública voltada à transição energética e à sustentabilidade ambiental. A imposição de metas de descarbonização aos distribuidores de combustíveis fósseis não afronta o princípio da isonomia, pois o critério de diferenciação – comercialização de combustíveis de origem fóssil – é objetivo e diretamente vinculado ao propósito da norma.</w:t>
        <w:br/>
        <w:t>[ADI 7.596 e ADI 7.617, rel. min. Nunes Marques, j. 17-11-2025, P, DJE</w:t>
      </w:r>
    </w:p>
    <w:p>
      <w:pPr>
        <w:ind w:left="288"/>
      </w:pPr>
      <w:r>
        <w:rPr>
          <w:b/>
          <w:color w:val="003CA0"/>
          <w:sz w:val="16"/>
        </w:rPr>
        <w:t>[ADI 4.424, rel. min. Marco Aurélio, j. 9-2-2012, P, DJE de 1º-8-2014.]</w:t>
      </w:r>
    </w:p>
    <w:p>
      <w:pPr>
        <w:ind w:left="288"/>
      </w:pPr>
      <w:r>
        <w:rPr>
          <w:color w:val="8C8C8C"/>
          <w:sz w:val="12"/>
        </w:rPr>
        <w:t>cf-art-5-inc-I</w:t>
      </w:r>
      <w:r>
        <w:rPr>
          <w:color w:val="003CA0"/>
          <w:sz w:val="12"/>
        </w:rPr>
        <w:t xml:space="preserve"> | ARE 773.765</w:t>
      </w:r>
      <w:r>
        <w:rPr>
          <w:color w:val="003CA0"/>
          <w:sz w:val="12"/>
        </w:rPr>
        <w:t xml:space="preserve"> | rel. Gilmar Mendes</w:t>
      </w:r>
    </w:p>
    <w:p>
      <w:pPr>
        <w:ind w:left="288"/>
      </w:pPr>
      <w:r>
        <w:rPr>
          <w:color w:val="1E1E1E"/>
          <w:sz w:val="18"/>
        </w:rPr>
        <w:t>= ARE 773.765 RG, rel. min. Gilmar Mendes, j. 3-4-2014, P, DJE de 28-4-2014, Tema 713 Plano de previdência complementar. Cláusula que exige o mesmo tempo de contribuição para homens e mulheres para recebimento do benefício integral. Constitucionalidade, em face do artigo 5º, inciso I da Constituição Federal.</w:t>
      </w:r>
    </w:p>
    <w:p>
      <w:pPr>
        <w:ind w:left="288"/>
      </w:pPr>
      <w:r>
        <w:rPr>
          <w:b/>
          <w:color w:val="003CA0"/>
          <w:sz w:val="16"/>
        </w:rPr>
        <w:t>[RE 1.415.115 RG, rel. min. Alexandre de Moraes, j. 6-2-2026, P, DJE de 2-3-2026, Tema 1.423, com mérito pendente.]</w:t>
      </w:r>
    </w:p>
    <w:p>
      <w:pPr>
        <w:ind w:left="144"/>
      </w:pPr>
      <w:r>
        <w:rPr>
          <w:b/>
          <w:color w:val="B45A00"/>
          <w:sz w:val="16"/>
        </w:rPr>
        <w:t>REPERCUSSAO GERAL</w:t>
      </w:r>
    </w:p>
    <w:p>
      <w:pPr>
        <w:ind w:left="288"/>
      </w:pPr>
      <w:r>
        <w:rPr>
          <w:color w:val="8C8C8C"/>
          <w:sz w:val="12"/>
        </w:rPr>
        <w:t>cf-art-5-inc-I</w:t>
      </w:r>
      <w:r>
        <w:rPr>
          <w:color w:val="003CA0"/>
          <w:sz w:val="12"/>
        </w:rPr>
        <w:t xml:space="preserve"> | RE 1.348.854</w:t>
      </w:r>
      <w:r>
        <w:rPr>
          <w:color w:val="003CA0"/>
          <w:sz w:val="12"/>
        </w:rPr>
        <w:t xml:space="preserve"> | rel. Alexandre de Moraes</w:t>
      </w:r>
    </w:p>
    <w:p>
      <w:pPr>
        <w:ind w:left="288"/>
      </w:pPr>
      <w:r>
        <w:rPr>
          <w:color w:val="1E1E1E"/>
          <w:sz w:val="18"/>
        </w:rPr>
        <w:t>À luz do art. 227 da CF que confere proteção integral da criança com absoluta prioridade, bem como do princípio da isonomia de direitos entre o homem e a mulher (art. 5º, I, CF), a licença maternidade, prevista no art. 7º, XVIII, da CF/88, e regulamentada pelo art. 207 da Lei 8.112/1990, estende-se ao pai, genitor monoparental, servidor público.</w:t>
        <w:br/>
        <w:t>[RE 1.348.854, rel. min. Alexandre de Moraes, j. 12-5-2022, P, DJE de 24-10-2022, Tema 1.182, com mérito julgado]</w:t>
        <w:br/>
        <w:t xml:space="preserve">Vide ADI 7.531, rel. min. Nunes Marques, j. 16-12-2024, P, DJE de 10-2-2025 O art. 384 da CLT, em relação ao período anterior à edição da </w:t>
      </w:r>
    </w:p>
    <w:p>
      <w:pPr>
        <w:ind w:left="144"/>
      </w:pPr>
      <w:r>
        <w:rPr>
          <w:b/>
          <w:color w:val="B45A00"/>
          <w:sz w:val="16"/>
        </w:rPr>
        <w:t>JULGADOS CORRELATOS</w:t>
      </w:r>
    </w:p>
    <w:p>
      <w:pPr>
        <w:ind w:left="288"/>
      </w:pPr>
      <w:r>
        <w:rPr>
          <w:color w:val="8C8C8C"/>
          <w:sz w:val="12"/>
        </w:rPr>
        <w:t>cf-art-5-inc-I</w:t>
      </w:r>
      <w:r>
        <w:rPr>
          <w:color w:val="003CA0"/>
          <w:sz w:val="12"/>
        </w:rPr>
        <w:t xml:space="preserve"> | RE 1.488.511</w:t>
      </w:r>
      <w:r>
        <w:rPr>
          <w:color w:val="003CA0"/>
          <w:sz w:val="12"/>
        </w:rPr>
        <w:t xml:space="preserve"> | rel. Flávio Dino</w:t>
      </w:r>
    </w:p>
    <w:p>
      <w:pPr>
        <w:ind w:left="288"/>
      </w:pPr>
      <w:r>
        <w:rPr>
          <w:color w:val="1E1E1E"/>
          <w:sz w:val="18"/>
        </w:rPr>
        <w:t>O princípio da isonomia material, conforme a tese do Tema 452, impõe que a aplicação das normas regulamentares dos planos de previdência complementar considere a correção de desigualdades estruturais, não sendo suficiente a mera igualdade formal se o efeito prático for a concessão de benefício inferior às mulheres em razão de seu menor tempo de contribuição. A previsão de cláusula contratual que desconsidera o tempo de contribuição reduzido constitucionalmente conferido às mulheres, resultando em benefício previdenciário inferior, configura violação direta à ratio decidendi do Tema 452.</w:t>
        <w:br/>
        <w:t>[RE 1.</w:t>
      </w:r>
    </w:p>
    <w:p>
      <w:pPr>
        <w:ind w:left="288"/>
      </w:pPr>
      <w:r>
        <w:rPr>
          <w:color w:val="8C8C8C"/>
          <w:sz w:val="12"/>
        </w:rPr>
        <w:t>cf-art-5-inc-II</w:t>
      </w:r>
    </w:p>
    <w:p>
      <w:pPr>
        <w:ind w:left="288"/>
      </w:pPr>
      <w:r>
        <w:rPr>
          <w:color w:val="1E1E1E"/>
          <w:sz w:val="18"/>
        </w:rPr>
        <w:t>A lei penal mais grave aplica-se ao crime continuado ou ao crime permanente, se a sua vigência é anterior à cessação da continuidade ou da permanência.</w:t>
      </w:r>
    </w:p>
    <w:p>
      <w:pPr>
        <w:ind w:left="288"/>
      </w:pPr>
      <w:r>
        <w:rPr>
          <w:b/>
          <w:color w:val="003CA0"/>
          <w:sz w:val="16"/>
        </w:rPr>
        <w:t>[Súmula 711.]</w:t>
      </w:r>
    </w:p>
    <w:p>
      <w:pPr>
        <w:ind w:left="288"/>
      </w:pPr>
      <w:r>
        <w:rPr>
          <w:color w:val="8C8C8C"/>
          <w:sz w:val="12"/>
        </w:rPr>
        <w:t>cf-art-5-inc-II</w:t>
      </w:r>
    </w:p>
    <w:p>
      <w:pPr>
        <w:ind w:left="288"/>
      </w:pPr>
      <w:r>
        <w:rPr>
          <w:color w:val="1E1E1E"/>
          <w:sz w:val="18"/>
        </w:rPr>
        <w:t>Só por lei se pode sujeitar a exame psicotécnico a habilitação de candidato a cargo público.</w:t>
      </w:r>
    </w:p>
    <w:p>
      <w:pPr>
        <w:ind w:left="288"/>
      </w:pPr>
      <w:r>
        <w:rPr>
          <w:b/>
          <w:color w:val="003CA0"/>
          <w:sz w:val="16"/>
        </w:rPr>
        <w:t>[Súmula 686.]</w:t>
      </w:r>
    </w:p>
    <w:p>
      <w:pPr>
        <w:ind w:left="288"/>
      </w:pPr>
      <w:r>
        <w:rPr>
          <w:color w:val="8C8C8C"/>
          <w:sz w:val="12"/>
        </w:rPr>
        <w:t>cf-art-5-inc-II</w:t>
      </w:r>
    </w:p>
    <w:p>
      <w:pPr>
        <w:ind w:left="288"/>
      </w:pPr>
      <w:r>
        <w:rPr>
          <w:color w:val="1E1E1E"/>
          <w:sz w:val="18"/>
        </w:rPr>
        <w:t>Não cabe recurso extraordinário por contrariedade ao princípio constitucional da legalidade, quando a sua verificação pressuponha rever a interpretação dada a normas infraconstitucionais pela decisão recorrida.</w:t>
      </w:r>
    </w:p>
    <w:p>
      <w:pPr>
        <w:ind w:left="288"/>
      </w:pPr>
      <w:r>
        <w:rPr>
          <w:b/>
          <w:color w:val="003CA0"/>
          <w:sz w:val="16"/>
        </w:rPr>
        <w:t>[Súmula 636.]</w:t>
      </w:r>
    </w:p>
    <w:p>
      <w:pPr>
        <w:ind w:left="288"/>
      </w:pPr>
      <w:r>
        <w:rPr>
          <w:color w:val="8C8C8C"/>
          <w:sz w:val="12"/>
        </w:rPr>
        <w:t>cf-art-5-inc-II</w:t>
      </w:r>
      <w:r>
        <w:rPr>
          <w:color w:val="003CA0"/>
          <w:sz w:val="12"/>
        </w:rPr>
        <w:t xml:space="preserve"> | ADPF 1.058</w:t>
      </w:r>
      <w:r>
        <w:rPr>
          <w:color w:val="003CA0"/>
          <w:sz w:val="12"/>
        </w:rPr>
        <w:t xml:space="preserve"> | rel. Gilmar Mendes</w:t>
      </w:r>
    </w:p>
    <w:p>
      <w:pPr>
        <w:ind w:left="288"/>
      </w:pPr>
      <w:r>
        <w:rPr>
          <w:color w:val="1E1E1E"/>
          <w:sz w:val="18"/>
        </w:rPr>
        <w:t xml:space="preserve">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(CLT/1943, art. 4º, § 2º). (...) É inconstitucional — por violar os princípios da legalidade, da livre iniciativa e da intervenção mínima </w:t>
      </w:r>
    </w:p>
    <w:p>
      <w:pPr>
        <w:ind w:left="288"/>
      </w:pPr>
      <w:r>
        <w:rPr>
          <w:b/>
          <w:color w:val="003CA0"/>
          <w:sz w:val="16"/>
        </w:rPr>
        <w:t>[ADPF 1.058 MC-Ref, rel. min. Gilmar Mendes, j. 13-11-2025, P, Informativo STF 1.199.]</w:t>
      </w:r>
    </w:p>
    <w:p>
      <w:pPr>
        <w:ind w:left="288"/>
      </w:pPr>
      <w:r>
        <w:rPr>
          <w:color w:val="8C8C8C"/>
          <w:sz w:val="12"/>
        </w:rPr>
        <w:t>cf-art-5-inc-II</w:t>
      </w:r>
      <w:r>
        <w:rPr>
          <w:color w:val="003CA0"/>
          <w:sz w:val="12"/>
        </w:rPr>
        <w:t xml:space="preserve"> | RE 1.393.330</w:t>
      </w:r>
      <w:r>
        <w:rPr>
          <w:color w:val="003CA0"/>
          <w:sz w:val="12"/>
        </w:rPr>
        <w:t xml:space="preserve"> | rel. André Mendonça</w:t>
      </w:r>
    </w:p>
    <w:p>
      <w:pPr>
        <w:ind w:left="288"/>
      </w:pPr>
      <w:r>
        <w:rPr>
          <w:color w:val="1E1E1E"/>
          <w:sz w:val="18"/>
        </w:rPr>
        <w:t xml:space="preserve">O STF declarou a inconstitucionalidade da incorporação de quintos referente ao período entre a edição da Lei nº 9.624, de 1998, e a MP nº 2.225-48/2001, com base na ausência de norma legal que a amparasse. A modulação dos efeitos da decisão no Tema RG nº 395 visou assegurar a manutenção do pagamento da parcela exclusivamente aos servidores que, na data do julgamento dos segundos embargos de declaração (18/12/2019), já a percebiam, seja por decisão administrativa ou judicial ainda não transitada em julgado, em respeito ao princípio da segurança jurídica e à boa-fé. A interpretação da modulação </w:t>
      </w:r>
    </w:p>
    <w:p>
      <w:pPr>
        <w:ind w:left="288"/>
      </w:pPr>
      <w:r>
        <w:rPr>
          <w:b/>
          <w:color w:val="003CA0"/>
          <w:sz w:val="16"/>
        </w:rPr>
        <w:t>[RE 1.393.330 AgR, rel. min. André Mendonça, j. 20.05.2025, 2ºT, DJE de 14.08.2025.]</w:t>
      </w:r>
    </w:p>
    <w:p>
      <w:pPr>
        <w:ind w:left="288"/>
      </w:pPr>
      <w:r>
        <w:rPr>
          <w:color w:val="8C8C8C"/>
          <w:sz w:val="12"/>
        </w:rPr>
        <w:t>cf-art-5-inc-II</w:t>
      </w:r>
      <w:r>
        <w:rPr>
          <w:color w:val="003CA0"/>
          <w:sz w:val="12"/>
        </w:rPr>
        <w:t xml:space="preserve"> | ADI 2.998</w:t>
      </w:r>
    </w:p>
    <w:p>
      <w:pPr>
        <w:ind w:left="288"/>
      </w:pPr>
      <w:r>
        <w:rPr>
          <w:color w:val="1E1E1E"/>
          <w:sz w:val="18"/>
        </w:rPr>
        <w:t>(...) Código de Trânsito Brasileiro – CTB. (...) É inconstitucional o estabelecimento de sanção por parte do Conselho Nacional de Trânsito – CONTRAN. Ação julgada procedente quanto ao parágrafo único do art. 161. A expressão ‘ou das resoluções do CONTRAN’ constante do caput do art. 161 contraria o princípio da reserva legal.</w:t>
      </w:r>
    </w:p>
    <w:p>
      <w:pPr>
        <w:ind w:left="288"/>
      </w:pPr>
      <w:r>
        <w:rPr>
          <w:b/>
          <w:color w:val="003CA0"/>
          <w:sz w:val="16"/>
        </w:rPr>
        <w:t>[ADI 2.998, red. do ac. min. Ricardo Lewandowski, j. 10-4-2019, P, DJE de 1º-10-2020.]</w:t>
      </w:r>
    </w:p>
    <w:p>
      <w:pPr>
        <w:ind w:left="288"/>
      </w:pPr>
      <w:r>
        <w:rPr>
          <w:color w:val="8C8C8C"/>
          <w:sz w:val="12"/>
        </w:rPr>
        <w:t>cf-art-5-inc-II</w:t>
      </w:r>
      <w:r>
        <w:rPr>
          <w:color w:val="003CA0"/>
          <w:sz w:val="12"/>
        </w:rPr>
        <w:t xml:space="preserve"> | ADI 3.510</w:t>
      </w:r>
      <w:r>
        <w:rPr>
          <w:color w:val="003CA0"/>
          <w:sz w:val="12"/>
        </w:rPr>
        <w:t xml:space="preserve"> | rel. Ayres Britto</w:t>
      </w:r>
    </w:p>
    <w:p>
      <w:pPr>
        <w:ind w:left="288"/>
      </w:pPr>
      <w:r>
        <w:rPr>
          <w:color w:val="1E1E1E"/>
          <w:sz w:val="18"/>
        </w:rPr>
        <w:t>O recurso a processos de fertilização artificial não implica o dever da tentativa de nidação no corpo da mulher de todos os óvulos afinal fecundados. Não existe tal dever (inciso II do art. 5º da CF), porque incompatível com o próprio instituto do "planejamento familiar" (...). Imposição, além do mais, que implicaria tratar o gênero feminino por modo desumano ou degradante, em contrapasso ao direito fundamental que se lê no inciso II do art. 5º da Constituição. Para que ao embrião in vitro fosse reconhecido o pleno direito à vida, necessário seria reconhecer a ele o direito a um útero. Proposi</w:t>
      </w:r>
    </w:p>
    <w:p>
      <w:pPr>
        <w:ind w:left="288"/>
      </w:pPr>
      <w:r>
        <w:rPr>
          <w:b/>
          <w:color w:val="003CA0"/>
          <w:sz w:val="16"/>
        </w:rPr>
        <w:t>[ADI 3.510, rel. min. Ayres Britto, j. 29-5-2008, P, DJE de 28-5-2010.]</w:t>
      </w:r>
    </w:p>
    <w:p>
      <w:pPr>
        <w:ind w:left="288"/>
      </w:pPr>
      <w:r>
        <w:rPr>
          <w:color w:val="8C8C8C"/>
          <w:sz w:val="12"/>
        </w:rPr>
        <w:t>cf-art-5-inc-II</w:t>
      </w:r>
      <w:r>
        <w:rPr>
          <w:color w:val="003CA0"/>
          <w:sz w:val="12"/>
        </w:rPr>
        <w:t xml:space="preserve"> | ADI 3.378</w:t>
      </w:r>
      <w:r>
        <w:rPr>
          <w:color w:val="003CA0"/>
          <w:sz w:val="12"/>
        </w:rPr>
        <w:t xml:space="preserve"> | rel. Ayres Britto</w:t>
      </w:r>
    </w:p>
    <w:p>
      <w:pPr>
        <w:ind w:left="288"/>
      </w:pPr>
      <w:r>
        <w:rPr>
          <w:color w:val="1E1E1E"/>
          <w:sz w:val="18"/>
        </w:rPr>
        <w:t>O compartilhamento-compensação ambiental de que trata o art. 36 da Lei 9.985/2000 não ofende o princípio da legalidade, dado haver sido a própria lei que previu o modo de financiamento dos gastos com as unidades de conservação da natureza.</w:t>
      </w:r>
    </w:p>
    <w:p>
      <w:pPr>
        <w:ind w:left="288"/>
      </w:pPr>
      <w:r>
        <w:rPr>
          <w:b/>
          <w:color w:val="003CA0"/>
          <w:sz w:val="16"/>
        </w:rPr>
        <w:t>[ADI 3.378, rel. min. Ayres Britto, j. 9-4-2008, P, DJE de 20-6-2008.]</w:t>
      </w:r>
    </w:p>
    <w:p>
      <w:pPr>
        <w:ind w:left="288"/>
      </w:pPr>
      <w:r>
        <w:rPr>
          <w:color w:val="8C8C8C"/>
          <w:sz w:val="12"/>
        </w:rPr>
        <w:t>cf-art-5-inc-II</w:t>
      </w:r>
      <w:r>
        <w:rPr>
          <w:color w:val="003CA0"/>
          <w:sz w:val="12"/>
        </w:rPr>
        <w:t xml:space="preserve"> | ADI 2.075</w:t>
      </w:r>
      <w:r>
        <w:rPr>
          <w:color w:val="003CA0"/>
          <w:sz w:val="12"/>
        </w:rPr>
        <w:t xml:space="preserve"> | rel. Celso de Mello</w:t>
      </w:r>
    </w:p>
    <w:p>
      <w:pPr>
        <w:ind w:left="288"/>
      </w:pPr>
      <w:r>
        <w:rPr>
          <w:color w:val="1E1E1E"/>
          <w:sz w:val="18"/>
        </w:rPr>
        <w:t>O princípio constitucional da reserva de lei formal traduz limitação ao exercício das atividades administrativas e jurisdicionais do Estado. A reserva de lei – analisada sob tal perspectiva – constitui postulado revestido de função excludente, de caráter negativo, pois veda, nas matérias a ela sujeitas, quaisquer intervenções normativas, a título primário, de órgãos estatais não legislativos. Essa cláusula constitucional, por sua vez, projeta-se em uma dimensão positiva, eis que a sua incidência reforça o princípio, que, fundado na autoridade da Constituição, impõe à administração e à jurisdiç</w:t>
      </w:r>
    </w:p>
    <w:p>
      <w:pPr>
        <w:ind w:left="288"/>
      </w:pPr>
      <w:r>
        <w:rPr>
          <w:b/>
          <w:color w:val="003CA0"/>
          <w:sz w:val="16"/>
        </w:rPr>
        <w:t>[ADI 2.075 MC, rel. min. Celso de Mello, j. 7-2-2001, P, DJ de 27-6-2003.]</w:t>
      </w:r>
    </w:p>
    <w:p>
      <w:pPr>
        <w:ind w:left="288"/>
      </w:pPr>
      <w:r>
        <w:rPr>
          <w:color w:val="8C8C8C"/>
          <w:sz w:val="12"/>
        </w:rPr>
        <w:t>cf-art-5-inc-II</w:t>
      </w:r>
      <w:r>
        <w:rPr>
          <w:color w:val="003CA0"/>
          <w:sz w:val="12"/>
        </w:rPr>
        <w:t xml:space="preserve"> | ARE 1.423.084</w:t>
      </w:r>
      <w:r>
        <w:rPr>
          <w:color w:val="003CA0"/>
          <w:sz w:val="12"/>
        </w:rPr>
        <w:t xml:space="preserve"> | rel. Rosa Weber</w:t>
      </w:r>
    </w:p>
    <w:p>
      <w:pPr>
        <w:ind w:left="288"/>
      </w:pPr>
      <w:r>
        <w:rPr>
          <w:color w:val="1E1E1E"/>
          <w:sz w:val="18"/>
        </w:rPr>
        <w:t>“Assentada a constitucionalidade das Resoluções ANTT 233/2003 e 3.075/2009, é infraconstitucional, a ela aplicando-se os efeitos da ausência de repercussão geral, a controvérsia acerca da validade de execução fiscal de créditos relativos a multa por infração administrativa nelas previstas.”</w:t>
      </w:r>
    </w:p>
    <w:p>
      <w:pPr>
        <w:ind w:left="288"/>
      </w:pPr>
      <w:r>
        <w:rPr>
          <w:b/>
          <w:color w:val="003CA0"/>
          <w:sz w:val="16"/>
        </w:rPr>
        <w:t>[ARE 1.423.084 RG, rel. min. Rosa Weber, j. 21.08.2023, P, DJE de 28.08.2023, Tema 1.263, com repercussão geral negada.]</w:t>
      </w:r>
    </w:p>
    <w:p>
      <w:pPr>
        <w:ind w:left="288"/>
      </w:pPr>
      <w:r>
        <w:rPr>
          <w:color w:val="8C8C8C"/>
          <w:sz w:val="12"/>
        </w:rPr>
        <w:t>cf-art-5-inc-II</w:t>
      </w:r>
      <w:r>
        <w:rPr>
          <w:color w:val="003CA0"/>
          <w:sz w:val="12"/>
        </w:rPr>
        <w:t xml:space="preserve"> | MS 37.325</w:t>
      </w:r>
      <w:r>
        <w:rPr>
          <w:color w:val="003CA0"/>
          <w:sz w:val="12"/>
        </w:rPr>
        <w:t xml:space="preserve"> | rel. Rosa Weber</w:t>
      </w:r>
    </w:p>
    <w:p>
      <w:pPr>
        <w:ind w:left="288"/>
      </w:pPr>
      <w:r>
        <w:rPr>
          <w:color w:val="1E1E1E"/>
          <w:sz w:val="18"/>
        </w:rPr>
        <w:t>O áudio que amparou a aplicação da penalidade disciplinar foi espontaneamente divulgado pela agravante em grupo de Promotores de Justiça no aplicativo de troca de mensagens WhatsApp. Tanto assim, aliás, que a agravante não coloca em dúvida a autenticidade e a autoria do arquivo de áudio em tela, limitando-se a questionar a idoneidade do método utilizado para sua obtenção. Não prospera o argumento de que a reprodução do áudio fora do grupo de Promotores de Justiça seria inválida e importaria em indevida vulneração dos sigilos telefônico e telemático. A divulgação de mensagem em grupo do aplicat</w:t>
      </w:r>
    </w:p>
    <w:p>
      <w:pPr>
        <w:ind w:left="288"/>
      </w:pPr>
      <w:r>
        <w:rPr>
          <w:b/>
          <w:color w:val="003CA0"/>
          <w:sz w:val="16"/>
        </w:rPr>
        <w:t>[MS 37.325 AgR, rel. min. Rosa Weber, j. 30-8-2021, 1ª T, DJE de 20-9-2021.]</w:t>
      </w:r>
    </w:p>
    <w:p>
      <w:pPr>
        <w:ind w:left="288"/>
      </w:pPr>
      <w:r>
        <w:rPr>
          <w:color w:val="8C8C8C"/>
          <w:sz w:val="12"/>
        </w:rPr>
        <w:t>cf-art-5-inc-II</w:t>
      </w:r>
      <w:r>
        <w:rPr>
          <w:color w:val="003CA0"/>
          <w:sz w:val="12"/>
        </w:rPr>
        <w:t xml:space="preserve"> | RE 638.115</w:t>
      </w:r>
      <w:r>
        <w:rPr>
          <w:color w:val="003CA0"/>
          <w:sz w:val="12"/>
        </w:rPr>
        <w:t xml:space="preserve"> | rel. Gilmar Mendes</w:t>
      </w:r>
    </w:p>
    <w:p>
      <w:pPr>
        <w:ind w:left="288"/>
      </w:pPr>
      <w:r>
        <w:rPr>
          <w:color w:val="1E1E1E"/>
          <w:sz w:val="18"/>
        </w:rPr>
        <w:t>(...) ofende o princípio da legalidade a decisão que concede a incorporação de quintos pelo exercício de função comissionada no período entre 8-4-1998 e 4-9-2001, ante a carência de fundamento legal.</w:t>
      </w:r>
    </w:p>
    <w:p>
      <w:pPr>
        <w:ind w:left="288"/>
      </w:pPr>
      <w:r>
        <w:rPr>
          <w:b/>
          <w:color w:val="003CA0"/>
          <w:sz w:val="16"/>
        </w:rPr>
        <w:t>[RE 638.115, rel. min. Gilmar Mendes, j. 19-3-2015, P, DJE de 3-8-2015, Tema 395, com mérito julgado.]</w:t>
      </w:r>
    </w:p>
    <w:p>
      <w:pPr>
        <w:ind w:left="288"/>
      </w:pPr>
      <w:r>
        <w:rPr>
          <w:color w:val="8C8C8C"/>
          <w:sz w:val="12"/>
        </w:rPr>
        <w:t>cf-art-5-inc-II</w:t>
      </w:r>
      <w:r>
        <w:rPr>
          <w:color w:val="003CA0"/>
          <w:sz w:val="12"/>
        </w:rPr>
        <w:t xml:space="preserve"> | RE 1.498.930</w:t>
      </w:r>
      <w:r>
        <w:rPr>
          <w:color w:val="003CA0"/>
          <w:sz w:val="12"/>
        </w:rPr>
        <w:t xml:space="preserve"> | rel. André Mendonça</w:t>
      </w:r>
    </w:p>
    <w:p>
      <w:pPr>
        <w:ind w:left="288"/>
      </w:pPr>
      <w:r>
        <w:rPr>
          <w:color w:val="1E1E1E"/>
          <w:sz w:val="18"/>
        </w:rPr>
        <w:t>Vide RE 1.498.930 AgR, rel. min. André Mendonça, j. 07.10.2024, 2ª T, DJE de 23.10.2024 Direito do trabalho. Ação civil pública. Shopping center. Obrigação de fazer do art. 389, §§ 1º e 2º, da CLT. Instalação de creches destinadas à amamentação dos filhos de empregadas de lojas. Ausência de previsão legal. Atuação do Poder Judiciário como legislador positivo. Impossibilidade. Ofensa à separação de poderes e ao princípio da legalidade.</w:t>
      </w:r>
    </w:p>
    <w:p>
      <w:pPr>
        <w:ind w:left="288"/>
      </w:pPr>
      <w:r>
        <w:rPr>
          <w:b/>
          <w:color w:val="003CA0"/>
          <w:sz w:val="16"/>
        </w:rPr>
        <w:t>[ARE 1.499.584 AgR, rel. min. Dias Toffoli, j. 25.2.2025, 2ª T, DJE de 15.09.2025.]</w:t>
      </w:r>
    </w:p>
    <w:p>
      <w:pPr>
        <w:ind w:left="288"/>
      </w:pPr>
      <w:r>
        <w:rPr>
          <w:color w:val="8C8C8C"/>
          <w:sz w:val="12"/>
        </w:rPr>
        <w:t>cf-art-5-inc-II</w:t>
      </w:r>
      <w:r>
        <w:rPr>
          <w:color w:val="003CA0"/>
          <w:sz w:val="12"/>
        </w:rPr>
        <w:t xml:space="preserve"> | RE 1.111.950</w:t>
      </w:r>
      <w:r>
        <w:rPr>
          <w:color w:val="003CA0"/>
          <w:sz w:val="12"/>
        </w:rPr>
        <w:t xml:space="preserve"> | rel. Gilmar Mendes</w:t>
      </w:r>
    </w:p>
    <w:p>
      <w:pPr>
        <w:ind w:left="288"/>
      </w:pPr>
      <w:r>
        <w:rPr>
          <w:color w:val="1E1E1E"/>
          <w:sz w:val="18"/>
        </w:rPr>
        <w:t>Banco Postal. Obrigatoriedade de adoção de medidas de segurança. Inexistência de norma que imponha tais obrigações aos correspondentes bancários. Afronta ao princípio da legalidade. Arts. 5º, II, e 37 do texto constitucional.</w:t>
      </w:r>
    </w:p>
    <w:p>
      <w:pPr>
        <w:ind w:left="288"/>
      </w:pPr>
      <w:r>
        <w:rPr>
          <w:b/>
          <w:color w:val="003CA0"/>
          <w:sz w:val="16"/>
        </w:rPr>
        <w:t>[RE 1.111.950 AgR-segundo, rel. min. Gilmar Mendes, j. 30-8-2021, 2ª T, DJE de 8-9-2021.]</w:t>
      </w:r>
    </w:p>
    <w:p>
      <w:pPr>
        <w:ind w:left="288"/>
      </w:pPr>
      <w:r>
        <w:rPr>
          <w:color w:val="8C8C8C"/>
          <w:sz w:val="12"/>
        </w:rPr>
        <w:t>cf-art-5-inc-II</w:t>
      </w:r>
      <w:r>
        <w:rPr>
          <w:color w:val="003CA0"/>
          <w:sz w:val="12"/>
        </w:rPr>
        <w:t xml:space="preserve"> | ARE 1.039.542</w:t>
      </w:r>
      <w:r>
        <w:rPr>
          <w:color w:val="003CA0"/>
          <w:sz w:val="12"/>
        </w:rPr>
        <w:t xml:space="preserve"> | rel. Roberto Barroso</w:t>
      </w:r>
    </w:p>
    <w:p>
      <w:pPr>
        <w:ind w:left="288"/>
      </w:pPr>
      <w:r>
        <w:rPr>
          <w:color w:val="1E1E1E"/>
          <w:sz w:val="18"/>
        </w:rPr>
        <w:t>ANP – Agência Nacional do Petróleo. Possibilidade de aplicação de multa. Recepção de decreto como lei ordinária pela Constituição de 1988. Ofensa ao princípio da legalidade. Inocorrência. A jurisprudência do Supremo Tribunal Federal é firme no sentido de que o Decreto-Lei nº 395/1938 foi recepcionado como lei ordinária pela ordem constitucional vigente, de modo que a ANP (Agência Nacional do Petróleo) e o DNC (Departamento Nacional de Combustíveis) podem autuar e aplicar multa.</w:t>
      </w:r>
    </w:p>
    <w:p>
      <w:pPr>
        <w:ind w:left="288"/>
      </w:pPr>
      <w:r>
        <w:rPr>
          <w:b/>
          <w:color w:val="003CA0"/>
          <w:sz w:val="16"/>
        </w:rPr>
        <w:t>[ARE 1.039.542 AgR-segundo, rel. min. Roberto Barroso, j. 26-10-2018, 1ª T, DJE de 8-11-2018.]</w:t>
      </w:r>
    </w:p>
    <w:p>
      <w:pPr>
        <w:ind w:left="288"/>
      </w:pPr>
      <w:r>
        <w:rPr>
          <w:color w:val="8C8C8C"/>
          <w:sz w:val="12"/>
        </w:rPr>
        <w:t>cf-art-5-inc-II</w:t>
      </w:r>
      <w:r>
        <w:rPr>
          <w:color w:val="003CA0"/>
          <w:sz w:val="12"/>
        </w:rPr>
        <w:t xml:space="preserve"> | ARE 1.046.163</w:t>
      </w:r>
      <w:r>
        <w:rPr>
          <w:color w:val="003CA0"/>
          <w:sz w:val="12"/>
        </w:rPr>
        <w:t xml:space="preserve"> | rel. Dias Toffoli</w:t>
      </w:r>
    </w:p>
    <w:p>
      <w:pPr>
        <w:ind w:left="288"/>
      </w:pPr>
      <w:r>
        <w:rPr>
          <w:color w:val="1E1E1E"/>
          <w:sz w:val="18"/>
        </w:rPr>
        <w:t>= ARE 1.046.163 AgR, rel. min. Dias Toffoli, j. 8-8-2017, 2ª T, DJE de 29-8-2017 Por não se confundir a associação de moradores com o condomínio disciplinado pela Lei 4.591/1964, descabe, a pretexto de evitar vantagem sem causa, impor mensalidade a morador ou a proprietário de imóvel que a ela não tenha aderido. Considerações sobre o princípio da legalidade e da autonomia da manifestação de vontade – art. 5º, II e XX, da CF.</w:t>
      </w:r>
    </w:p>
    <w:p>
      <w:pPr>
        <w:ind w:left="288"/>
      </w:pPr>
      <w:r>
        <w:rPr>
          <w:b/>
          <w:color w:val="003CA0"/>
          <w:sz w:val="16"/>
        </w:rPr>
        <w:t>[RE 432.106, rel. min. Marco Aurélio, j. 20-9-2011, 1ª T, DJE de 4-11-2011.]</w:t>
      </w:r>
    </w:p>
    <w:p>
      <w:pPr>
        <w:ind w:left="288"/>
      </w:pPr>
      <w:r>
        <w:rPr>
          <w:color w:val="8C8C8C"/>
          <w:sz w:val="12"/>
        </w:rPr>
        <w:t>cf-art-5-inc-II</w:t>
      </w:r>
      <w:r>
        <w:rPr>
          <w:color w:val="003CA0"/>
          <w:sz w:val="12"/>
        </w:rPr>
        <w:t xml:space="preserve"> | AI 758.533</w:t>
      </w:r>
      <w:r>
        <w:rPr>
          <w:color w:val="003CA0"/>
          <w:sz w:val="12"/>
        </w:rPr>
        <w:t xml:space="preserve"> | rel. Gilmar Mendes</w:t>
      </w:r>
    </w:p>
    <w:p>
      <w:pPr>
        <w:ind w:left="288"/>
      </w:pPr>
      <w:r>
        <w:rPr>
          <w:color w:val="1E1E1E"/>
          <w:sz w:val="18"/>
        </w:rPr>
        <w:t>Antiga é a jurisprudência desta Corte no sentido de que a exigência de avaliação psicológica ou teste psicotécnico, como requisito ou condição necessária ao acesso a determinados cargos públicos de carreira, somente é possível, nos termos da CF, se houver lei em sentido material (ato emanado do Poder Legislativo) que expressamente a autorize, além de previsão no edital do certame. Ademais, o exame psicotécnico necessita de um grau mínimo de objetividade e de publicidade dos atos em que se procede. A inexistência desses requisitos torna o ato ilegítimo, por não possibilitar o acesso à tutela ju</w:t>
      </w:r>
    </w:p>
    <w:p>
      <w:pPr>
        <w:ind w:left="288"/>
      </w:pPr>
      <w:r>
        <w:rPr>
          <w:b/>
          <w:color w:val="003CA0"/>
          <w:sz w:val="16"/>
        </w:rPr>
        <w:t>[AI 758.533 QO-RG, rel. min. Gilmar Mendes, j. 23-6-2010, P, DJE de 13-8-2010, Tema 338, com mérito julgado.]</w:t>
      </w:r>
    </w:p>
    <w:p>
      <w:pPr>
        <w:ind w:left="288"/>
      </w:pPr>
      <w:r>
        <w:rPr>
          <w:color w:val="8C8C8C"/>
          <w:sz w:val="12"/>
        </w:rPr>
        <w:t>cf-art-5-inc-II</w:t>
      </w:r>
      <w:r>
        <w:rPr>
          <w:color w:val="003CA0"/>
          <w:sz w:val="12"/>
        </w:rPr>
        <w:t xml:space="preserve"> | RHC 85.605</w:t>
      </w:r>
      <w:r>
        <w:rPr>
          <w:color w:val="003CA0"/>
          <w:sz w:val="12"/>
        </w:rPr>
        <w:t xml:space="preserve"> | rel. Gilmar Mendes</w:t>
      </w:r>
    </w:p>
    <w:p>
      <w:pPr>
        <w:ind w:left="288"/>
      </w:pPr>
      <w:r>
        <w:rPr>
          <w:color w:val="1E1E1E"/>
          <w:sz w:val="18"/>
        </w:rPr>
        <w:t>Orientação predominante no STF no sentido de que o cometimento de falta grave, durante a execução da pena privativa de liberdade, implica, por exemplo, a necessidade de reinício da contagem do prazo de 1/6 para obtenção da progressão no regime de cumprimento da pena (RHC 85.605, rel. min. Gilmar Mendes, DJ de 14-10-2005). Em tese, se a pessoa que cumpre pena privativa de liberdade em regime menos severo, ao praticar falta grave, pode ser transferida para regime prisional mais gravoso (regressão prisional), logicamente é do sistema jurídico que a pessoa que cumpre a pena corporal em regime fech</w:t>
      </w:r>
    </w:p>
    <w:p>
      <w:pPr>
        <w:ind w:left="288"/>
      </w:pPr>
      <w:r>
        <w:rPr>
          <w:b/>
          <w:color w:val="003CA0"/>
          <w:sz w:val="16"/>
        </w:rPr>
        <w:t>[HC 95.401, rel. min. Ellen Gracie, j. 21-10-2008, 2ª T, DJE de 8-11-2008.]</w:t>
      </w:r>
    </w:p>
    <w:p>
      <w:pPr>
        <w:ind w:left="288"/>
      </w:pPr>
      <w:r>
        <w:rPr>
          <w:color w:val="8C8C8C"/>
          <w:sz w:val="12"/>
        </w:rPr>
        <w:t>cf-art-5-inc-II</w:t>
      </w:r>
      <w:r>
        <w:rPr>
          <w:color w:val="003CA0"/>
          <w:sz w:val="12"/>
        </w:rPr>
        <w:t xml:space="preserve"> | HC 96.060</w:t>
      </w:r>
      <w:r>
        <w:rPr>
          <w:color w:val="003CA0"/>
          <w:sz w:val="12"/>
        </w:rPr>
        <w:t xml:space="preserve"> | rel. Cármen Lúcia</w:t>
      </w:r>
    </w:p>
    <w:p>
      <w:pPr>
        <w:ind w:left="288"/>
      </w:pPr>
      <w:r>
        <w:rPr>
          <w:color w:val="1E1E1E"/>
          <w:sz w:val="18"/>
        </w:rPr>
        <w:t>= HC 96.060, rel. min. Cármen Lúcia, j. 19-5-2009, 1ª T, DJE de 19-6-2009 Especializar varas e atribuir competência por natureza de feitos não é matéria alcançada pela reserva da lei em sentido estrito, porém apenas pelo princípio da legalidade afirmado no art. 5º, II, da CF, ou seja, pela reserva da norma. No enunciado do preceito – "ninguém será obrigado a fazer ou deixar de fazer alguma coisa senão em virtude de lei" – há visível distinção entre as seguintes situações: (i) vinculação às definições da lei e (ii) vinculação às definições "decorrentes" – isto é, fixadas em virtude dela – de le</w:t>
      </w:r>
    </w:p>
    <w:p>
      <w:pPr>
        <w:ind w:left="288"/>
      </w:pPr>
      <w:r>
        <w:rPr>
          <w:b/>
          <w:color w:val="003CA0"/>
          <w:sz w:val="16"/>
        </w:rPr>
        <w:t>[HC 85.060, rel. min. Eros Grau, j. 23-9-2008, 1ª T, DJE de 13-2-2009.]</w:t>
      </w:r>
    </w:p>
    <w:p>
      <w:pPr>
        <w:ind w:left="288"/>
      </w:pPr>
      <w:r>
        <w:rPr>
          <w:color w:val="8C8C8C"/>
          <w:sz w:val="12"/>
        </w:rPr>
        <w:t>cf-art-5-inc-II</w:t>
      </w:r>
      <w:r>
        <w:rPr>
          <w:color w:val="003CA0"/>
          <w:sz w:val="12"/>
        </w:rPr>
        <w:t xml:space="preserve"> | AC 1.033</w:t>
      </w:r>
      <w:r>
        <w:rPr>
          <w:color w:val="003CA0"/>
          <w:sz w:val="12"/>
        </w:rPr>
        <w:t xml:space="preserve"> | rel. Celso de Mello</w:t>
      </w:r>
    </w:p>
    <w:p>
      <w:pPr>
        <w:ind w:left="288"/>
      </w:pPr>
      <w:r>
        <w:rPr>
          <w:color w:val="1E1E1E"/>
          <w:sz w:val="18"/>
        </w:rPr>
        <w:t>Nenhum ato regulamentar pode criar obrigações ou restringir direitos, sob pena de incidir em domínio constitucionalmente reservado ao âmbito de atuação material da lei em sentido formal.</w:t>
      </w:r>
    </w:p>
    <w:p>
      <w:pPr>
        <w:ind w:left="288"/>
      </w:pPr>
      <w:r>
        <w:rPr>
          <w:b/>
          <w:color w:val="003CA0"/>
          <w:sz w:val="16"/>
        </w:rPr>
        <w:t>[AC 1.033 AgR-QO, rel. min. Celso de Mello, j. 25-5-2006, P, DJ de 16-6-2006.]</w:t>
      </w:r>
    </w:p>
    <w:p>
      <w:pPr>
        <w:ind w:left="288"/>
      </w:pPr>
      <w:r>
        <w:rPr>
          <w:color w:val="8C8C8C"/>
          <w:sz w:val="12"/>
        </w:rPr>
        <w:t>cf-art-5-inc-II</w:t>
      </w:r>
      <w:r>
        <w:rPr>
          <w:color w:val="003CA0"/>
          <w:sz w:val="12"/>
        </w:rPr>
        <w:t xml:space="preserve"> | AI 147.203</w:t>
      </w:r>
      <w:r>
        <w:rPr>
          <w:color w:val="003CA0"/>
          <w:sz w:val="12"/>
        </w:rPr>
        <w:t xml:space="preserve"> | rel. Marco Aurélio</w:t>
      </w:r>
    </w:p>
    <w:p>
      <w:pPr>
        <w:ind w:left="288"/>
      </w:pPr>
      <w:r>
        <w:rPr>
          <w:color w:val="1E1E1E"/>
          <w:sz w:val="18"/>
        </w:rPr>
        <w:t>A inobservância ao princípio da legalidade pressupõe o reconhecimento de preceito de lei dispondo de determinada forma e provimento judicial em sentido diverso, ou, então, a inexistência de base legal e, mesmo assim, a condenação a satisfazer o que pleiteado.</w:t>
      </w:r>
    </w:p>
    <w:p>
      <w:pPr>
        <w:ind w:left="288"/>
      </w:pPr>
      <w:r>
        <w:rPr>
          <w:b/>
          <w:color w:val="003CA0"/>
          <w:sz w:val="16"/>
        </w:rPr>
        <w:t>[AI 147.203 AgR, rel. min. Marco Aurélio, j. 18-5-1993, 2ª T, DJ de 11-6-1993.]</w:t>
      </w:r>
    </w:p>
    <w:p>
      <w:pPr>
        <w:ind w:left="288"/>
      </w:pPr>
      <w:r>
        <w:rPr>
          <w:color w:val="8C8C8C"/>
          <w:sz w:val="12"/>
        </w:rPr>
        <w:t>cf-art-5-inc-III</w:t>
      </w:r>
    </w:p>
    <w:p>
      <w:pPr>
        <w:ind w:left="288"/>
      </w:pPr>
      <w:r>
        <w:rPr>
          <w:color w:val="1E1E1E"/>
          <w:sz w:val="18"/>
        </w:rP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88"/>
      </w:pPr>
      <w:r>
        <w:rPr>
          <w:b/>
          <w:color w:val="003CA0"/>
          <w:sz w:val="16"/>
        </w:rPr>
        <w:t>[Súmula Vinculante 11.]</w:t>
      </w:r>
    </w:p>
    <w:p>
      <w:pPr>
        <w:ind w:left="288"/>
      </w:pPr>
      <w:r>
        <w:rPr>
          <w:color w:val="8C8C8C"/>
          <w:sz w:val="12"/>
        </w:rPr>
        <w:t>cf-art-5-inc-III</w:t>
      </w:r>
      <w:r>
        <w:rPr>
          <w:color w:val="003CA0"/>
          <w:sz w:val="12"/>
        </w:rPr>
        <w:t xml:space="preserve"> | ADPF 607</w:t>
      </w:r>
      <w:r>
        <w:rPr>
          <w:color w:val="003CA0"/>
          <w:sz w:val="12"/>
        </w:rPr>
        <w:t xml:space="preserve"> | rel. Dias Toffoli</w:t>
      </w:r>
    </w:p>
    <w:p>
      <w:pPr>
        <w:ind w:left="288"/>
      </w:pPr>
      <w:r>
        <w:rPr>
          <w:color w:val="1E1E1E"/>
          <w:sz w:val="18"/>
        </w:rPr>
        <w:t>A vedação à tortura e a tratamentos desumanos ou degradantes decorre diretamente da Constituição de 1988, o que importa em uma obrigação imposta às autoridades dos três Poderes e de todas as esferas de governo para que cessem, façam cessar e punam tais expedientes. A realidade das instituições de privação de liberdade demonstra que o Brasil se encontra distante de cumprir esse mandamento constitucional. A criação do Mecanismo Nacional de Prevenção e Combate à Tortura (MNPCT) é resultado de compromissos internacionais assumidos pelo Brasil, cujo cumprimento demanda que o país não apenas instale</w:t>
      </w:r>
    </w:p>
    <w:p>
      <w:pPr>
        <w:ind w:left="288"/>
      </w:pPr>
      <w:r>
        <w:rPr>
          <w:b/>
          <w:color w:val="003CA0"/>
          <w:sz w:val="16"/>
        </w:rPr>
        <w:t>[ADPF 607, rel. min. Dias Toffoli, j. 28-3-2022, P, DJE de 1º-6-2022.]</w:t>
      </w:r>
    </w:p>
    <w:p>
      <w:pPr>
        <w:ind w:left="288"/>
      </w:pPr>
      <w:r>
        <w:rPr>
          <w:color w:val="8C8C8C"/>
          <w:sz w:val="12"/>
        </w:rPr>
        <w:t>cf-art-5-inc-III</w:t>
      </w:r>
      <w:r>
        <w:rPr>
          <w:color w:val="003CA0"/>
          <w:sz w:val="12"/>
        </w:rPr>
        <w:t xml:space="preserve"> | ADPF 153</w:t>
      </w:r>
      <w:r>
        <w:rPr>
          <w:color w:val="003CA0"/>
          <w:sz w:val="12"/>
        </w:rPr>
        <w:t xml:space="preserve"> | rel. Eros Grau</w:t>
      </w:r>
    </w:p>
    <w:p>
      <w:pPr>
        <w:ind w:left="288"/>
      </w:pPr>
      <w:r>
        <w:rPr>
          <w:color w:val="1E1E1E"/>
          <w:sz w:val="18"/>
        </w:rPr>
        <w:t>A chamada Lei da Anistia veicula uma decisão política assumida naquele momento – o momento da transição conciliada de 1979. A Lei 6.683 é uma lei-medida, não uma regra para o futuro, dotada de abstração e generalidade. Há de ser interpretada a partir da realidade no momento em que foi conquistada. A Lei 6.683/1979 precede a Convenção das Nações Unidas contra a tortura e outros tratamentos ou penas cruéis, desumanos ou degradantes – adotada pela Assembleia Geral em 10-12-1984, vigorando desde 26-6-1987 – e a Lei 9.455, de 7-4-1997, que define o crime de tortura; e o preceito veiculado pelo art.</w:t>
      </w:r>
    </w:p>
    <w:p>
      <w:pPr>
        <w:ind w:left="288"/>
      </w:pPr>
      <w:r>
        <w:rPr>
          <w:b/>
          <w:color w:val="003CA0"/>
          <w:sz w:val="16"/>
        </w:rPr>
        <w:t>[ADPF 153, rel. min. Eros Grau, j. 29-4-2010, P, DJE de 6-8-2010.]</w:t>
      </w:r>
    </w:p>
    <w:p>
      <w:pPr>
        <w:ind w:left="288"/>
      </w:pPr>
      <w:r>
        <w:rPr>
          <w:color w:val="8C8C8C"/>
          <w:sz w:val="12"/>
        </w:rPr>
        <w:t>cf-art-5-inc-III</w:t>
      </w:r>
      <w:r>
        <w:rPr>
          <w:color w:val="003CA0"/>
          <w:sz w:val="12"/>
        </w:rPr>
        <w:t xml:space="preserve"> | ARE 959.620</w:t>
      </w:r>
      <w:r>
        <w:rPr>
          <w:color w:val="003CA0"/>
          <w:sz w:val="12"/>
        </w:rPr>
        <w:t xml:space="preserve"> | rel. Edson Fachin</w:t>
      </w:r>
    </w:p>
    <w:p>
      <w:pPr>
        <w:ind w:left="288"/>
      </w:pPr>
      <w:r>
        <w:rPr>
          <w:color w:val="1E1E1E"/>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w:t>
      </w:r>
    </w:p>
    <w:p>
      <w:pPr>
        <w:ind w:left="288"/>
      </w:pPr>
      <w:r>
        <w:rPr>
          <w:b/>
          <w:color w:val="003CA0"/>
          <w:sz w:val="16"/>
        </w:rPr>
        <w:t>[ARE 959.620, rel. min. Edson Fachin, j. 02.04.2025, P, DJE de 02.07.2025, Tema 998, com mérito julgado.]</w:t>
      </w:r>
    </w:p>
    <w:p>
      <w:pPr>
        <w:ind w:left="288"/>
      </w:pPr>
      <w:r>
        <w:rPr>
          <w:color w:val="8C8C8C"/>
          <w:sz w:val="12"/>
        </w:rPr>
        <w:t>cf-art-5-inc-III</w:t>
      </w:r>
      <w:r>
        <w:rPr>
          <w:color w:val="003CA0"/>
          <w:sz w:val="12"/>
        </w:rPr>
        <w:t xml:space="preserve"> | RCL 9.468</w:t>
      </w:r>
      <w:r>
        <w:rPr>
          <w:color w:val="003CA0"/>
          <w:sz w:val="12"/>
        </w:rPr>
        <w:t xml:space="preserve"> | rel. Ricardo Lewandowski</w:t>
      </w:r>
    </w:p>
    <w:p>
      <w:pPr>
        <w:ind w:left="288"/>
      </w:pPr>
      <w:r>
        <w:rPr>
          <w:color w:val="1E1E1E"/>
          <w:sz w:val="18"/>
        </w:rPr>
        <w:t>O uso de algemas durante audiência de instrução e julgamento pode ser determinado pelo magistrado quando presentes, de maneira concreta, riscos à segurança do acusado ou das pessoas ao ato presentes.</w:t>
      </w:r>
    </w:p>
    <w:p>
      <w:pPr>
        <w:ind w:left="288"/>
      </w:pPr>
      <w:r>
        <w:rPr>
          <w:b/>
          <w:color w:val="003CA0"/>
          <w:sz w:val="16"/>
        </w:rPr>
        <w:t>[Rcl 9.468 AgR, rel. min. Ricardo Lewandowski, j. 24-3-2011, P, DJE de 11-4-2011.]</w:t>
      </w:r>
    </w:p>
    <w:p>
      <w:pPr>
        <w:ind w:left="288"/>
      </w:pPr>
      <w:r>
        <w:rPr>
          <w:color w:val="8C8C8C"/>
          <w:sz w:val="12"/>
        </w:rPr>
        <w:t>cf-art-5-inc-III</w:t>
      </w:r>
      <w:r>
        <w:rPr>
          <w:color w:val="003CA0"/>
          <w:sz w:val="12"/>
        </w:rPr>
        <w:t xml:space="preserve"> | RCL 10.479</w:t>
      </w:r>
      <w:r>
        <w:rPr>
          <w:color w:val="003CA0"/>
          <w:sz w:val="12"/>
        </w:rPr>
        <w:t xml:space="preserve"> | rel. Dias Toffoli</w:t>
      </w:r>
    </w:p>
    <w:p>
      <w:pPr>
        <w:ind w:left="288"/>
      </w:pPr>
      <w:r>
        <w:rPr>
          <w:color w:val="1E1E1E"/>
          <w:sz w:val="18"/>
        </w:rPr>
        <w:t>= Rcl 10.479 AgR, rel. min. Dias Toffoli, j. 23-5-2013, P, DJE de 1º-8-2013 (...) o policial militar que, a pretexto de exercer atividade de repressão criminal em nome do Estado, inflige, mediante desempenho funcional abusivo, danos físicos a menor momentaneamente sujeito ao seu poder de coerção, valendo-se desse meio executivo para intimidá-lo e coagi-lo à confissão de determinado delito, pratica, inequivocamente, o crime de tortura (...).</w:t>
      </w:r>
    </w:p>
    <w:p>
      <w:pPr>
        <w:ind w:left="288"/>
      </w:pPr>
      <w:r>
        <w:rPr>
          <w:b/>
          <w:color w:val="003CA0"/>
          <w:sz w:val="16"/>
        </w:rPr>
        <w:t>[HC 70.389, rel. min. Celso de Mello, j. 23-6-1994, P, DJ de 10-8-2001.]</w:t>
      </w:r>
    </w:p>
    <w:p>
      <w:pPr>
        <w:ind w:left="288"/>
      </w:pPr>
      <w:r>
        <w:rPr>
          <w:color w:val="8C8C8C"/>
          <w:sz w:val="12"/>
        </w:rPr>
        <w:t>cf-art-5-inc-IV</w:t>
      </w:r>
      <w:r>
        <w:rPr>
          <w:color w:val="003CA0"/>
          <w:sz w:val="12"/>
        </w:rPr>
        <w:t xml:space="preserve"> | ADPF 1.151</w:t>
      </w:r>
      <w:r>
        <w:rPr>
          <w:color w:val="003CA0"/>
          <w:sz w:val="12"/>
        </w:rPr>
        <w:t xml:space="preserve"> | rel. Dias Toffoli</w:t>
      </w:r>
    </w:p>
    <w:p>
      <w:pPr>
        <w:ind w:left="288"/>
      </w:pPr>
      <w:r>
        <w:rPr>
          <w:color w:val="1E1E1E"/>
          <w:sz w:val="18"/>
        </w:rP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Ademais, a Constituição de 1988, ao enumerar os objetivos da República Federativa do Brasil, acaba por det</w:t>
      </w:r>
    </w:p>
    <w:p>
      <w:pPr>
        <w:ind w:left="288"/>
      </w:pPr>
      <w:r>
        <w:rPr>
          <w:b/>
          <w:color w:val="003CA0"/>
          <w:sz w:val="16"/>
        </w:rPr>
        <w:t>[ADPF 1.151, rel. min. Dias Toffoli, j. 09.12.2024, P, DJE de 13.12.2024.]</w:t>
      </w:r>
    </w:p>
    <w:p>
      <w:pPr>
        <w:ind w:left="288"/>
      </w:pPr>
      <w:r>
        <w:rPr>
          <w:color w:val="8C8C8C"/>
          <w:sz w:val="12"/>
        </w:rPr>
        <w:t>cf-art-5-inc-IV</w:t>
      </w:r>
      <w:r>
        <w:rPr>
          <w:color w:val="003CA0"/>
          <w:sz w:val="12"/>
        </w:rPr>
        <w:t xml:space="preserve"> | ADI 6.561</w:t>
      </w:r>
      <w:r>
        <w:rPr>
          <w:color w:val="003CA0"/>
          <w:sz w:val="12"/>
        </w:rPr>
        <w:t xml:space="preserve"> | rel. Edson Fachin</w:t>
      </w:r>
    </w:p>
    <w:p>
      <w:pPr>
        <w:ind w:left="288"/>
      </w:pPr>
      <w:r>
        <w:rPr>
          <w:color w:val="1E1E1E"/>
          <w:sz w:val="18"/>
        </w:rPr>
        <w:t>Lei 3.528 de 2019 do estado do Tocantins. Cadastro estadual de usuários e dependentes de drogas. (...) Materialmente (...) há inconstitucionalidade. A seletividade social do cadastro é incompatível com o Estado de Direito e os direitos fundamentais que a Constituição de 1988 protege, especialmente, a igualdade (CRFB, art. 5º, caput), a dignidade da pessoa humana (CRFB, art. 1º, III), o direito à intimidade e à vida privada (CRFB, art. 5º, X) e o devido processo legal (CRFB, art. 5º, LIV). Inexistência tampouco de protocolo claro de proteção e tratamento desses dados.</w:t>
      </w:r>
    </w:p>
    <w:p>
      <w:pPr>
        <w:ind w:left="288"/>
      </w:pPr>
      <w:r>
        <w:rPr>
          <w:b/>
          <w:color w:val="003CA0"/>
          <w:sz w:val="16"/>
        </w:rPr>
        <w:t>[ADI 6.561, rel. min. Edson Fachin, j. 4-9-2023, P, DJE de 3-11-2023.]</w:t>
      </w:r>
    </w:p>
    <w:p>
      <w:pPr>
        <w:ind w:left="288"/>
      </w:pPr>
      <w:r>
        <w:rPr>
          <w:color w:val="8C8C8C"/>
          <w:sz w:val="12"/>
        </w:rPr>
        <w:t>cf-art-5-inc-IV</w:t>
      </w:r>
      <w:r>
        <w:rPr>
          <w:color w:val="003CA0"/>
          <w:sz w:val="12"/>
        </w:rPr>
        <w:t xml:space="preserve"> | ADPF 475</w:t>
      </w:r>
      <w:r>
        <w:rPr>
          <w:color w:val="003CA0"/>
          <w:sz w:val="12"/>
        </w:rPr>
        <w:t xml:space="preserve"> | rel. Dias Toffoli</w:t>
      </w:r>
    </w:p>
    <w:p>
      <w:pPr>
        <w:ind w:left="288"/>
      </w:pPr>
      <w:r>
        <w:rPr>
          <w:color w:val="1E1E1E"/>
          <w:sz w:val="18"/>
        </w:rPr>
        <w:t>Artigo 166 do Decreto-Lei nº 1.001, de 21 de outubro de 1969. Código Penal Militar. (...) Na espécie, está-se diante de dispositivo do Código Penal Militar que proíbe os militares de criticar publicamente ato de seu superior ou assunto atinente à disciplina militar, ou a qualquer resolução do governo, sob pena de detenção. (...) A previsão normativa em apreço não ofende, a priori, os princípios e valores constitucionalmente protegidos. Ao reprimir a crítica dos militares “a atos de seu superior ou assunto atinente à disciplina militar, ou a qualquer resolução do Governo”, a norma pretende evit</w:t>
      </w:r>
    </w:p>
    <w:p>
      <w:pPr>
        <w:ind w:left="288"/>
      </w:pPr>
      <w:r>
        <w:rPr>
          <w:b/>
          <w:color w:val="003CA0"/>
          <w:sz w:val="16"/>
        </w:rPr>
        <w:t>[ADPF 475, rel. min. Dias Toffoli, j. 13-4-2023, P, DJE de 4-5-2023.]</w:t>
      </w:r>
    </w:p>
    <w:p>
      <w:pPr>
        <w:ind w:left="288"/>
      </w:pPr>
      <w:r>
        <w:rPr>
          <w:color w:val="8C8C8C"/>
          <w:sz w:val="12"/>
        </w:rPr>
        <w:t>cf-art-5-inc-IV</w:t>
      </w:r>
      <w:r>
        <w:rPr>
          <w:color w:val="003CA0"/>
          <w:sz w:val="12"/>
        </w:rPr>
        <w:t xml:space="preserve"> | ADPF 734</w:t>
      </w:r>
      <w:r>
        <w:rPr>
          <w:color w:val="003CA0"/>
          <w:sz w:val="12"/>
        </w:rPr>
        <w:t xml:space="preserve"> | rel. Dias Toffoli</w:t>
      </w:r>
    </w:p>
    <w:p>
      <w:pPr>
        <w:ind w:left="288"/>
      </w:pPr>
      <w:r>
        <w:rPr>
          <w:color w:val="1E1E1E"/>
          <w:sz w:val="18"/>
        </w:rPr>
        <w:t>Vide ADPF 734, rel. min. Dias Toffoli, j. 13-4-2023, P, DJE de 4-5-2023 Artigo 31, incisos IV e V, da Lei nº 6.425/72 do Estado de Pernambuco, a qual institui o estatuto policial no âmbito daquele estado. (...) Na espécie, impugna-se lei estadual que proíbe os policiais civis do Estado de Pernambuco de “promover ou participar de manifestações de apreço ou desapreço a quaisquer autoridades” e de “manifestar-se ou participar de manifestações contra atos da Administração Pública em geral”. (...) As restrições preconizadas no ato normativo em apreço são adequadas, necessárias e proporcionais, morm</w:t>
      </w:r>
    </w:p>
    <w:p>
      <w:pPr>
        <w:ind w:left="288"/>
      </w:pPr>
      <w:r>
        <w:rPr>
          <w:b/>
          <w:color w:val="003CA0"/>
          <w:sz w:val="16"/>
        </w:rPr>
        <w:t>[ADPF 734, rel. min. Dias Toffoli, j. 13-4-2023, P, DJE de 4-5-2023.]</w:t>
      </w:r>
    </w:p>
    <w:p>
      <w:pPr>
        <w:ind w:left="288"/>
      </w:pPr>
      <w:r>
        <w:rPr>
          <w:color w:val="8C8C8C"/>
          <w:sz w:val="12"/>
        </w:rPr>
        <w:t>cf-art-5-inc-IV</w:t>
      </w:r>
      <w:r>
        <w:rPr>
          <w:color w:val="003CA0"/>
          <w:sz w:val="12"/>
        </w:rPr>
        <w:t xml:space="preserve"> | ADPF 475</w:t>
      </w:r>
      <w:r>
        <w:rPr>
          <w:color w:val="003CA0"/>
          <w:sz w:val="12"/>
        </w:rPr>
        <w:t xml:space="preserve"> | rel. Dias Toffoli</w:t>
      </w:r>
    </w:p>
    <w:p>
      <w:pPr>
        <w:ind w:left="288"/>
      </w:pPr>
      <w:r>
        <w:rPr>
          <w:color w:val="1E1E1E"/>
          <w:sz w:val="18"/>
        </w:rPr>
        <w:t>Vide ADPF 475, rel. min. Dias Toffoli, j. 13-4-2023, P, DJE de 4-5-2023 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88"/>
      </w:pPr>
      <w:r>
        <w:rPr>
          <w:b/>
          <w:color w:val="003CA0"/>
          <w:sz w:val="16"/>
        </w:rPr>
        <w:t>[ADPF 722, rel. min. Cármen Lúcia, j. 16-5-2022, P, DJE de 9-6-2022.]</w:t>
      </w:r>
    </w:p>
    <w:p>
      <w:pPr>
        <w:ind w:left="288"/>
      </w:pPr>
      <w:r>
        <w:rPr>
          <w:color w:val="8C8C8C"/>
          <w:sz w:val="12"/>
        </w:rPr>
        <w:t>cf-art-5-inc-IV</w:t>
      </w:r>
      <w:r>
        <w:rPr>
          <w:color w:val="003CA0"/>
          <w:sz w:val="12"/>
        </w:rPr>
        <w:t xml:space="preserve"> | ADPF 548</w:t>
      </w:r>
      <w:r>
        <w:rPr>
          <w:color w:val="003CA0"/>
          <w:sz w:val="12"/>
        </w:rPr>
        <w:t xml:space="preserve"> | rel. Cármen Lúcia</w:t>
      </w:r>
    </w:p>
    <w:p>
      <w:pPr>
        <w:ind w:left="288"/>
      </w:pPr>
      <w:r>
        <w:rPr>
          <w:color w:val="1E1E1E"/>
          <w:sz w:val="18"/>
        </w:rPr>
        <w:t xml:space="preserve">Afronta aos princípios da liberdade de manifestação de pensamento e da autonomia universitária. (...) Inconstitucionalidade de interpretação dos arts. 24 e 37 da Lei n. 9.504/1997 que conduza a atos judiciais ou administrativos que possibilitem, determinem ou promovam ingresso de agentes públicos em universidades públicas e privadas, recolhimento de documentos, interrupção de aulas, debates ou manifestações de docentes e discentes universitários, a atividade disciplinar docente e discente e coleta irregular de depoimentos pela prática de manifestação livre de ideias e divulgação de pensamento </w:t>
      </w:r>
    </w:p>
    <w:p>
      <w:pPr>
        <w:ind w:left="288"/>
      </w:pPr>
      <w:r>
        <w:rPr>
          <w:b/>
          <w:color w:val="003CA0"/>
          <w:sz w:val="16"/>
        </w:rPr>
        <w:t>[ADPF 548, rel. min. Cármen Lúcia, j. 15-5-2020, P, DJE de 9-6-2020.]</w:t>
      </w:r>
    </w:p>
    <w:p>
      <w:pPr>
        <w:ind w:left="288"/>
      </w:pPr>
      <w:r>
        <w:rPr>
          <w:color w:val="8C8C8C"/>
          <w:sz w:val="12"/>
        </w:rPr>
        <w:t>cf-art-5-inc-IV</w:t>
      </w:r>
      <w:r>
        <w:rPr>
          <w:color w:val="003CA0"/>
          <w:sz w:val="12"/>
        </w:rPr>
        <w:t xml:space="preserve"> | ADI 4.451</w:t>
      </w:r>
      <w:r>
        <w:rPr>
          <w:color w:val="003CA0"/>
          <w:sz w:val="12"/>
        </w:rPr>
        <w:t xml:space="preserve"> | rel. Alexandre de Moraes</w:t>
      </w:r>
    </w:p>
    <w:p>
      <w:pPr>
        <w:ind w:left="288"/>
      </w:pPr>
      <w:r>
        <w:rPr>
          <w:color w:val="1E1E1E"/>
          <w:sz w:val="18"/>
        </w:rPr>
        <w:t>A Democracia não existirá e a livre participação política não florescerá onde a liberdade de expressão for ceifada, pois esta constitui condição essencial ao pluralismo de ideias, que por sua vez é um valor estruturante para o salutar funcionamento do sistema democrático. A livre discussão, a ampla participação política e o princípio democrático estão interligados com a liberdade de expressão, tendo por objeto não somente a proteção de pensamentos e ideias, mas também opiniões, crenças, realização de juízo de valor e críticas a agentes públicos, no sentido de garantir a real participação dos c</w:t>
      </w:r>
    </w:p>
    <w:p>
      <w:pPr>
        <w:ind w:left="288"/>
      </w:pPr>
      <w:r>
        <w:rPr>
          <w:b/>
          <w:color w:val="003CA0"/>
          <w:sz w:val="16"/>
        </w:rPr>
        <w:t>[ADI 4.451, rel. min. Alexandre de Moraes, j. 21-6-2018, P, DJE de 6-3-2019.]</w:t>
      </w:r>
    </w:p>
    <w:p>
      <w:pPr>
        <w:ind w:left="288"/>
      </w:pPr>
      <w:r>
        <w:rPr>
          <w:color w:val="8C8C8C"/>
          <w:sz w:val="12"/>
        </w:rPr>
        <w:t>cf-art-5-inc-IV</w:t>
      </w:r>
      <w:r>
        <w:rPr>
          <w:color w:val="003CA0"/>
          <w:sz w:val="12"/>
        </w:rPr>
        <w:t xml:space="preserve"> | ADI 2.566</w:t>
      </w:r>
      <w:r>
        <w:rPr>
          <w:color w:val="003CA0"/>
          <w:sz w:val="12"/>
        </w:rPr>
        <w:t xml:space="preserve"> | rel. Alexandre de Moraes</w:t>
      </w:r>
    </w:p>
    <w:p>
      <w:pPr>
        <w:ind w:left="288"/>
      </w:pPr>
      <w:r>
        <w:rPr>
          <w:color w:val="1E1E1E"/>
          <w:sz w:val="18"/>
        </w:rPr>
        <w:t>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pressupõem a livre troca de ideias e não apenas a divulgação de informações. O artigo 220 da Constituição Federal expressamente consagra a liberdade de expressão</w:t>
      </w:r>
    </w:p>
    <w:p>
      <w:pPr>
        <w:ind w:left="288"/>
      </w:pPr>
      <w:r>
        <w:rPr>
          <w:b/>
          <w:color w:val="003CA0"/>
          <w:sz w:val="16"/>
        </w:rPr>
        <w:t>[ADI 2.566, rel. min. Alexandre de Moraes, red. do ac. min. Edson Fachin, j. 16-5-2018, P, DJE de 23-10-2018.]</w:t>
      </w:r>
    </w:p>
    <w:p>
      <w:pPr>
        <w:ind w:left="288"/>
      </w:pPr>
      <w:r>
        <w:rPr>
          <w:color w:val="8C8C8C"/>
          <w:sz w:val="12"/>
        </w:rPr>
        <w:t>cf-art-5-inc-IV</w:t>
      </w:r>
      <w:r>
        <w:rPr>
          <w:color w:val="003CA0"/>
          <w:sz w:val="12"/>
        </w:rPr>
        <w:t xml:space="preserve"> | ADI 5.136</w:t>
      </w:r>
      <w:r>
        <w:rPr>
          <w:color w:val="003CA0"/>
          <w:sz w:val="12"/>
        </w:rPr>
        <w:t xml:space="preserve"> | rel. Gilmar Mendes</w:t>
      </w:r>
    </w:p>
    <w:p>
      <w:pPr>
        <w:ind w:left="288"/>
      </w:pPr>
      <w:r>
        <w:rPr>
          <w:color w:val="1E1E1E"/>
          <w:sz w:val="18"/>
        </w:rPr>
        <w:t>Ação direta de inconstitucionalidade. Parágrafo 1º do art. 28 da Lei 12.663/2012 ("Lei Geral da Copa"). Violação da liberdade de expressão. Inexistência. Aplicação do princípio da proporcionalidade. Juízo de ponderação do legislador para limitar manifestações que tenderiam a gerar maiores conflitos e atentar contra a segurança dos participantes de evento de grande porte.</w:t>
      </w:r>
    </w:p>
    <w:p>
      <w:pPr>
        <w:ind w:left="288"/>
      </w:pPr>
      <w:r>
        <w:rPr>
          <w:b/>
          <w:color w:val="003CA0"/>
          <w:sz w:val="16"/>
        </w:rPr>
        <w:t>[ADI 5.136 MC, rel. min. Gilmar Mendes, j. 1º-7-2014, P, DJE de 30-10-2014.]</w:t>
      </w:r>
    </w:p>
    <w:p>
      <w:pPr>
        <w:ind w:left="288"/>
      </w:pPr>
      <w:r>
        <w:rPr>
          <w:color w:val="8C8C8C"/>
          <w:sz w:val="12"/>
        </w:rPr>
        <w:t>cf-art-5-inc-IV</w:t>
      </w:r>
      <w:r>
        <w:rPr>
          <w:color w:val="003CA0"/>
          <w:sz w:val="12"/>
        </w:rPr>
        <w:t xml:space="preserve"> | ADI 4.274</w:t>
      </w:r>
      <w:r>
        <w:rPr>
          <w:color w:val="003CA0"/>
          <w:sz w:val="12"/>
        </w:rPr>
        <w:t xml:space="preserve"> | rel. Ayres Britto</w:t>
      </w:r>
    </w:p>
    <w:p>
      <w:pPr>
        <w:ind w:left="288"/>
      </w:pPr>
      <w:r>
        <w:rPr>
          <w:color w:val="1E1E1E"/>
          <w:sz w:val="18"/>
        </w:rPr>
        <w:t>Cabível o pedido de "interpretação conforme à Constituição" de preceito legal portador de mais de um sentido, dando-se que ao menos um deles é contrário à CF. A utilização do § 3º do art. 33 da Lei 11.343/2006 como fundamento para a proibição judicial de eventos públicos de defesa da legalização ou da descriminalização do uso de entorpecentes ofende o direito fundamental de reunião, expressamente outorgado pelo inciso XVI do art. 5º da Carta Magna. Regular exercício das liberdades constitucionais de manifestação de pensamento e expressão, em sentido lato, além do direito de acesso à informação</w:t>
      </w:r>
    </w:p>
    <w:p>
      <w:pPr>
        <w:ind w:left="288"/>
      </w:pPr>
      <w:r>
        <w:rPr>
          <w:b/>
          <w:color w:val="003CA0"/>
          <w:sz w:val="16"/>
        </w:rPr>
        <w:t>[ADI 4.274, rel. min. Ayres Britto, j. 23-11-2011, P, DJE de 2-5-2012.]</w:t>
      </w:r>
    </w:p>
    <w:p>
      <w:pPr>
        <w:ind w:left="288"/>
      </w:pPr>
      <w:r>
        <w:rPr>
          <w:color w:val="8C8C8C"/>
          <w:sz w:val="12"/>
        </w:rPr>
        <w:t>cf-art-5-inc-IV</w:t>
      </w:r>
      <w:r>
        <w:rPr>
          <w:color w:val="003CA0"/>
          <w:sz w:val="12"/>
        </w:rPr>
        <w:t xml:space="preserve"> | ADPF 187</w:t>
      </w:r>
      <w:r>
        <w:rPr>
          <w:color w:val="003CA0"/>
          <w:sz w:val="12"/>
        </w:rPr>
        <w:t xml:space="preserve"> | rel. Celso de Mello</w:t>
      </w:r>
    </w:p>
    <w:p>
      <w:pPr>
        <w:ind w:left="288"/>
      </w:pPr>
      <w:r>
        <w:rPr>
          <w:color w:val="1E1E1E"/>
          <w:sz w:val="18"/>
        </w:rPr>
        <w:t>Vide ADPF 187, rel. min. Celso de Mello, j. 15-6-2011, P, DJE de 29-5-2014 "Marcha da Maconha". Manifestação legítima, por cidadãos da República, de duas liberdades individuais revestidas de caráter fundamental: o direito de reunião (liberdade-meio) e o direito à livre expressão do pensamento (liberdade-fim). (...) Vinculação de caráter instrumental entre a liberdade de reunião e a liberdade de manifestação do pensamento. (...) A liberdade de expressão como um dos mais preciosos privilégios dos cidadãos em uma república fundada em bases democráticas. O direito à livre manifestação do pensament</w:t>
      </w:r>
    </w:p>
    <w:p>
      <w:pPr>
        <w:ind w:left="288"/>
      </w:pPr>
      <w:r>
        <w:rPr>
          <w:b/>
          <w:color w:val="003CA0"/>
          <w:sz w:val="16"/>
        </w:rPr>
        <w:t>[ADPF 187, rel. min. Celso de Mello, j. 15-6-2011, P, DJE de 29-5-2014.]</w:t>
      </w:r>
    </w:p>
    <w:p>
      <w:pPr>
        <w:ind w:left="288"/>
      </w:pPr>
      <w:r>
        <w:rPr>
          <w:color w:val="8C8C8C"/>
          <w:sz w:val="12"/>
        </w:rPr>
        <w:t>cf-art-5-inc-IV</w:t>
      </w:r>
      <w:r>
        <w:rPr>
          <w:color w:val="003CA0"/>
          <w:sz w:val="12"/>
        </w:rPr>
        <w:t xml:space="preserve"> | ADI 4.274</w:t>
      </w:r>
      <w:r>
        <w:rPr>
          <w:color w:val="003CA0"/>
          <w:sz w:val="12"/>
        </w:rPr>
        <w:t xml:space="preserve"> | rel. Ayres Britto</w:t>
      </w:r>
    </w:p>
    <w:p>
      <w:pPr>
        <w:ind w:left="288"/>
      </w:pPr>
      <w:r>
        <w:rPr>
          <w:color w:val="1E1E1E"/>
          <w:sz w:val="18"/>
        </w:rPr>
        <w:t>Vide ADI 4.274, rel. min. Ayres Britto, j. 23-11-2011, P, DJE de 2-5-2012 O art. 220 da Constituição radicaliza e alarga o regime de plena liberdade de atuação da imprensa, porquanto fala: a) que os mencionados direitos de personalidade (liberdade de pensamento, criação, expressão e informação) estão a salvo de qualquer restrição em seu exercício, seja qual for o suporte físico ou tecnológico de sua veiculação; b) que tal exercício não se sujeita a outras disposições que não sejam as figurantes dela própria, Constituição. (...) O art. 220 é de instantânea observância quanto ao desfrute das lib</w:t>
      </w:r>
    </w:p>
    <w:p>
      <w:pPr>
        <w:ind w:left="288"/>
      </w:pPr>
      <w:r>
        <w:rPr>
          <w:b/>
          <w:color w:val="003CA0"/>
          <w:sz w:val="16"/>
        </w:rPr>
        <w:t>[ADPF 130, rel. min. Ayres Britto, j. 30-4-2009, P, DJE de 6-11-2009.]</w:t>
      </w:r>
    </w:p>
    <w:p>
      <w:pPr>
        <w:ind w:left="288"/>
      </w:pPr>
      <w:r>
        <w:rPr>
          <w:color w:val="8C8C8C"/>
          <w:sz w:val="12"/>
        </w:rPr>
        <w:t>cf-art-5-inc-IV</w:t>
      </w:r>
      <w:r>
        <w:rPr>
          <w:color w:val="003CA0"/>
          <w:sz w:val="12"/>
        </w:rPr>
        <w:t xml:space="preserve"> | ADI 4.451</w:t>
      </w:r>
      <w:r>
        <w:rPr>
          <w:color w:val="003CA0"/>
          <w:sz w:val="12"/>
        </w:rPr>
        <w:t xml:space="preserve"> | rel. Alexandre de Moraes</w:t>
      </w:r>
    </w:p>
    <w:p>
      <w:pPr>
        <w:ind w:left="288"/>
      </w:pPr>
      <w:r>
        <w:rPr>
          <w:color w:val="1E1E1E"/>
          <w:sz w:val="18"/>
        </w:rPr>
        <w:t>Vide ADI 4.451, rel. min. Alexandre de Moraes, j. 21-6-2018, P, DJE de 6-3-2019 Vide Rcl 22.238, rel. min. Roberto Barroso, j. 6-3-2018, 1ª T, DJE de 10-5-2018 Divulgação total ou parcial, por qualquer meio de comunicação, de nome, ato ou documento de procedimento policial, administrativo ou judicial relativo a criança ou adolescente a que se atribua ato infracional. Publicidade indevida. Penalidade: suspensão da programação da emissora até por dois dias, bem como da publicação do periódico até por dois números. Inconstitucionalidade. A Constituição de 1988 em seu art. 220 estabeleceu que a li</w:t>
      </w:r>
    </w:p>
    <w:p>
      <w:pPr>
        <w:ind w:left="288"/>
      </w:pPr>
      <w:r>
        <w:rPr>
          <w:b/>
          <w:color w:val="003CA0"/>
          <w:sz w:val="16"/>
        </w:rPr>
        <w:t>[ADI 869, rel. min. Ilmar Galvão, red. do ac. min. Maurício Corrêa, j. 4-8-1999, P, DJ de 4-6-2004.]</w:t>
      </w:r>
    </w:p>
    <w:p>
      <w:pPr>
        <w:ind w:left="288"/>
      </w:pPr>
      <w:r>
        <w:rPr>
          <w:color w:val="8C8C8C"/>
          <w:sz w:val="12"/>
        </w:rPr>
        <w:t>cf-art-5-inc-IV</w:t>
      </w:r>
      <w:r>
        <w:rPr>
          <w:color w:val="003CA0"/>
          <w:sz w:val="12"/>
        </w:rPr>
        <w:t xml:space="preserve"> | RE 1.037.396</w:t>
      </w:r>
      <w:r>
        <w:rPr>
          <w:color w:val="003CA0"/>
          <w:sz w:val="12"/>
        </w:rPr>
        <w:t xml:space="preserve"> | rel. Dias Toffoli</w:t>
      </w:r>
    </w:p>
    <w:p>
      <w:pPr>
        <w:ind w:left="288"/>
      </w:pPr>
      <w:r>
        <w:rPr>
          <w:color w:val="1E1E1E"/>
          <w:sz w:val="18"/>
        </w:rPr>
        <w:t>“Reconhecimento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direitos fundamentais e da democracia). Interpretação do art. 19 do MCI 2. Enquant</w:t>
      </w:r>
    </w:p>
    <w:p>
      <w:pPr>
        <w:ind w:left="288"/>
      </w:pPr>
      <w:r>
        <w:rPr>
          <w:b/>
          <w:color w:val="003CA0"/>
          <w:sz w:val="16"/>
        </w:rPr>
        <w:t>[RE 1.037.396, rel. min. Dias Toffoli, j. 26.06.2025, P, DJE de 05.11.2025, Tema 987, com mérito julgado e RE 1.057.258, rel. min. Luiz Fux, j. 26.06.2025, P, DJE de 05.11.2025, Tema 533, com mérito julgado.]</w:t>
      </w:r>
    </w:p>
    <w:p>
      <w:pPr>
        <w:ind w:left="288"/>
      </w:pPr>
      <w:r>
        <w:rPr>
          <w:color w:val="8C8C8C"/>
          <w:sz w:val="12"/>
        </w:rPr>
        <w:t>cf-art-5-inc-IV</w:t>
      </w:r>
      <w:r>
        <w:rPr>
          <w:color w:val="003CA0"/>
          <w:sz w:val="12"/>
        </w:rPr>
        <w:t xml:space="preserve"> | ARE 1.470.552</w:t>
      </w:r>
      <w:r>
        <w:rPr>
          <w:color w:val="003CA0"/>
          <w:sz w:val="12"/>
        </w:rPr>
        <w:t xml:space="preserve"> | rel. Edson Fachin</w:t>
      </w:r>
    </w:p>
    <w:p>
      <w:pPr>
        <w:ind w:left="288"/>
      </w:pPr>
      <w:r>
        <w:rPr>
          <w:color w:val="1E1E1E"/>
          <w:sz w:val="18"/>
        </w:rPr>
        <w:t>Direito de liberdade de expressão e produção literária do preso, frente às exigências de segurança pública e disciplina carcerária.</w:t>
      </w:r>
    </w:p>
    <w:p>
      <w:pPr>
        <w:ind w:left="288"/>
      </w:pPr>
      <w:r>
        <w:rPr>
          <w:b/>
          <w:color w:val="003CA0"/>
          <w:sz w:val="16"/>
        </w:rPr>
        <w:t>[ARE 1.470.552 RG, rel. min. Edson Fachin, j. 14.2.2025, P, DJE de 21.2.2025, Tema 1.371, com mérito pendente.]</w:t>
      </w:r>
    </w:p>
    <w:p>
      <w:pPr>
        <w:ind w:left="288"/>
      </w:pPr>
      <w:r>
        <w:rPr>
          <w:color w:val="8C8C8C"/>
          <w:sz w:val="12"/>
        </w:rPr>
        <w:t>cf-art-5-inc-IV</w:t>
      </w:r>
      <w:r>
        <w:rPr>
          <w:color w:val="003CA0"/>
          <w:sz w:val="12"/>
        </w:rPr>
        <w:t xml:space="preserve"> | MS 35.779</w:t>
      </w:r>
      <w:r>
        <w:rPr>
          <w:color w:val="003CA0"/>
          <w:sz w:val="12"/>
        </w:rPr>
        <w:t xml:space="preserve"> | rel. Roberto Barroso</w:t>
      </w:r>
    </w:p>
    <w:p>
      <w:pPr>
        <w:ind w:left="288"/>
      </w:pPr>
      <w:r>
        <w:rPr>
          <w:color w:val="1E1E1E"/>
          <w:sz w:val="18"/>
        </w:rPr>
        <w:t>(...) a restrição à manifestação político-partidária em redes sociais imposta pelo Provimento nº 71/2018 contraria o regime legal e constitucional que assegura aos servidores civis o direito de filiação partidária e o exercício pleno de atividade política e afronta a autonomia dos Estados para disciplinar o estatuto de seus servidores. Liminar parcialmente deferida para afastar as limitações à manifestação político-partidária previstas no Provimento nº 71/2018 em relação aos servidores substituídos pelo Sindicato impetrante, salvo em relação àqueles em exercício na Justiça Eleitoral.</w:t>
      </w:r>
    </w:p>
    <w:p>
      <w:pPr>
        <w:ind w:left="288"/>
      </w:pPr>
      <w:r>
        <w:rPr>
          <w:b/>
          <w:color w:val="003CA0"/>
          <w:sz w:val="16"/>
        </w:rPr>
        <w:t>[MS 35.779 MC, rel. min. Roberto Barroso, j. 29-11-2018, dec. monocrática, DJE de 10-12-2018.]</w:t>
      </w:r>
    </w:p>
    <w:p>
      <w:pPr>
        <w:ind w:left="288"/>
      </w:pPr>
      <w:r>
        <w:rPr>
          <w:color w:val="8C8C8C"/>
          <w:sz w:val="12"/>
        </w:rPr>
        <w:t>cf-art-5-inc-IV</w:t>
      </w:r>
      <w:r>
        <w:rPr>
          <w:color w:val="003CA0"/>
          <w:sz w:val="12"/>
        </w:rPr>
        <w:t xml:space="preserve"> | RHC 134.682</w:t>
      </w:r>
      <w:r>
        <w:rPr>
          <w:color w:val="003CA0"/>
          <w:sz w:val="12"/>
        </w:rPr>
        <w:t xml:space="preserve"> | rel. Edson Fachin</w:t>
      </w:r>
    </w:p>
    <w:p>
      <w:pPr>
        <w:ind w:left="288"/>
      </w:pPr>
      <w:r>
        <w:rPr>
          <w:color w:val="1E1E1E"/>
          <w:sz w:val="18"/>
        </w:rPr>
        <w:t>A liberdade religiosa e a de expressão constituem elementos fundantes da ordem constitucional e devem ser exercidas com observância dos demais direitos e garantias fundamentais, não alcançando, nessa ótica, condutas reveladoras de discriminação. No que toca especificamente à liberdade de expressão religiosa, cumpre reconhecer, nas hipóteses de religiões que se alçam a universais, que o discurso proselitista é da essência de seu integral exercício. De tal modo, a finalidade de alcançar o outro, mediante persuasão, configura comportamento intrínseco a religiões de tal natureza. Para a consecução</w:t>
      </w:r>
    </w:p>
    <w:p>
      <w:pPr>
        <w:ind w:left="288"/>
      </w:pPr>
      <w:r>
        <w:rPr>
          <w:b/>
          <w:color w:val="003CA0"/>
          <w:sz w:val="16"/>
        </w:rPr>
        <w:t>[RHC 134.682, rel. min. Edson Fachin, j. 29-11-2016, 1ª T, DJE de 29-8-2017.]</w:t>
      </w:r>
    </w:p>
    <w:p>
      <w:pPr>
        <w:ind w:left="288"/>
      </w:pPr>
      <w:r>
        <w:rPr>
          <w:color w:val="8C8C8C"/>
          <w:sz w:val="12"/>
        </w:rPr>
        <w:t>cf-art-5-inc-IV</w:t>
      </w:r>
      <w:r>
        <w:rPr>
          <w:color w:val="003CA0"/>
          <w:sz w:val="12"/>
        </w:rPr>
        <w:t xml:space="preserve"> | ADI 2.566</w:t>
      </w:r>
      <w:r>
        <w:rPr>
          <w:color w:val="003CA0"/>
          <w:sz w:val="12"/>
        </w:rPr>
        <w:t xml:space="preserve"> | rel. Alexandre de Moraes</w:t>
      </w:r>
    </w:p>
    <w:p>
      <w:pPr>
        <w:ind w:left="288"/>
      </w:pPr>
      <w:r>
        <w:rPr>
          <w:color w:val="1E1E1E"/>
          <w:sz w:val="18"/>
        </w:rPr>
        <w:t>Vide ADI 2.566, rel. min. Alexandre de Moraes, red. do ac. min. Edson Fachin, j. 16-5-2018, P, DJE de 23-10-2018 A liberdade de imprensa, enquanto projeção das liberdades de comunicação e de manifestação do pensamento, reveste-se de conteúdo abrangente, por compreender, entre outras prerrogativas relevantes que lhe são inerentes, o direito de informar, o direito de buscar a informação, o direito de opinar e o direito de criticar. A crítica jornalística, desse modo, traduz direito impregnado de qualificação constitucional, plenamente oponível aos que exercem qualquer atividade de interesse da c</w:t>
      </w:r>
    </w:p>
    <w:p>
      <w:pPr>
        <w:ind w:left="288"/>
      </w:pPr>
      <w:r>
        <w:rPr>
          <w:b/>
          <w:color w:val="003CA0"/>
          <w:sz w:val="16"/>
        </w:rPr>
        <w:t>[AI 705.630 AgR, rel. min. Celso de Mello, j. 22-3-2011, 2ª T, DJE de 6-4-2011.]</w:t>
      </w:r>
    </w:p>
    <w:p>
      <w:pPr>
        <w:ind w:left="288"/>
      </w:pPr>
      <w:r>
        <w:rPr>
          <w:color w:val="8C8C8C"/>
          <w:sz w:val="12"/>
        </w:rPr>
        <w:t>cf-art-5-inc-IV</w:t>
      </w:r>
      <w:r>
        <w:rPr>
          <w:color w:val="003CA0"/>
          <w:sz w:val="12"/>
        </w:rPr>
        <w:t xml:space="preserve"> | RE 511.961</w:t>
      </w:r>
      <w:r>
        <w:rPr>
          <w:color w:val="003CA0"/>
          <w:sz w:val="12"/>
        </w:rPr>
        <w:t xml:space="preserve"> | rel. Gilmar Mendes</w:t>
      </w:r>
    </w:p>
    <w:p>
      <w:pPr>
        <w:ind w:left="288"/>
      </w:pPr>
      <w:r>
        <w:rPr>
          <w:color w:val="1E1E1E"/>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w:t>
      </w:r>
    </w:p>
    <w:p>
      <w:pPr>
        <w:ind w:left="288"/>
      </w:pPr>
      <w:r>
        <w:rPr>
          <w:b/>
          <w:color w:val="003CA0"/>
          <w:sz w:val="16"/>
        </w:rPr>
        <w:t>[RE 511.961, rel. min. Gilmar Mendes, j. 17-6-2009, P, DJE de 13-11-2009.]</w:t>
      </w:r>
    </w:p>
    <w:p>
      <w:pPr>
        <w:ind w:left="288"/>
      </w:pPr>
      <w:r>
        <w:rPr>
          <w:color w:val="8C8C8C"/>
          <w:sz w:val="12"/>
        </w:rPr>
        <w:t>cf-art-5-inc-IV</w:t>
      </w:r>
      <w:r>
        <w:rPr>
          <w:color w:val="003CA0"/>
          <w:sz w:val="12"/>
        </w:rPr>
        <w:t xml:space="preserve"> | HC 95.116</w:t>
      </w:r>
      <w:r>
        <w:rPr>
          <w:color w:val="003CA0"/>
          <w:sz w:val="12"/>
        </w:rPr>
        <w:t xml:space="preserve"> | rel. Ayres Britto</w:t>
      </w:r>
    </w:p>
    <w:p>
      <w:pPr>
        <w:ind w:left="288"/>
      </w:pPr>
      <w:r>
        <w:rPr>
          <w:color w:val="1E1E1E"/>
          <w:sz w:val="18"/>
        </w:rPr>
        <w:t>(...) o simples fato de a paciente participar de programa televisivo, discorrendo sobre o quadro empírico do crime de latrocínio a que foi condenada, não tem a força de justificar a respectiva segregação cautelar. Pelo que tenho como inidôneo o fato superveniente, apontado pelo juízo-processante da causa para a decretação da custódia provisória. Ainda mais – repito – quando esse fato não passou de uma entrevista concedida a emissora de televisão, ocasião em que a paciente simplesmente manifestou a sua própria versão sobre os fatos delituosos. Autodefendendo-se, portanto. Com efeito, entendo qu</w:t>
      </w:r>
    </w:p>
    <w:p>
      <w:pPr>
        <w:ind w:left="288"/>
      </w:pPr>
      <w:r>
        <w:rPr>
          <w:b/>
          <w:color w:val="003CA0"/>
          <w:sz w:val="16"/>
        </w:rPr>
        <w:t>[HC 95.116, rel. min. Ayres Britto, j. 3-2-2009, 1ª T, DJE de 6-3-2009.]</w:t>
      </w:r>
    </w:p>
    <w:p>
      <w:pPr>
        <w:ind w:left="288"/>
      </w:pPr>
      <w:r>
        <w:rPr>
          <w:color w:val="8C8C8C"/>
          <w:sz w:val="12"/>
        </w:rPr>
        <w:t>cf-art-5-inc-IV</w:t>
      </w:r>
      <w:r>
        <w:rPr>
          <w:color w:val="003CA0"/>
          <w:sz w:val="12"/>
        </w:rPr>
        <w:t xml:space="preserve"> | HC 84.827</w:t>
      </w:r>
      <w:r>
        <w:rPr>
          <w:color w:val="003CA0"/>
          <w:sz w:val="12"/>
        </w:rPr>
        <w:t xml:space="preserve"> | rel. Marco Aurélio</w:t>
      </w:r>
    </w:p>
    <w:p>
      <w:pPr>
        <w:ind w:left="288"/>
      </w:pPr>
      <w:r>
        <w:rPr>
          <w:color w:val="1E1E1E"/>
          <w:sz w:val="18"/>
        </w:rPr>
        <w:t>Anonimato. Notícia de prática criminosa. Persecução criminal. Impropriedade. Não serve à persecução criminal notícia de prática criminosa sem identificação da autoria, consideradas a vedação constitucional do anonimato e a necessidade de haver parâmetros próprios à responsabilidade, nos campos cível e penal, de quem a implemente.</w:t>
      </w:r>
    </w:p>
    <w:p>
      <w:pPr>
        <w:ind w:left="288"/>
      </w:pPr>
      <w:r>
        <w:rPr>
          <w:b/>
          <w:color w:val="003CA0"/>
          <w:sz w:val="16"/>
        </w:rPr>
        <w:t>[HC 84.827, rel. min. Marco Aurélio, j. 7-8-2007, 1ª T, DJE de 23-11-2007.]</w:t>
      </w:r>
    </w:p>
    <w:p>
      <w:pPr>
        <w:ind w:left="288"/>
      </w:pPr>
      <w:r>
        <w:rPr>
          <w:color w:val="8C8C8C"/>
          <w:sz w:val="12"/>
        </w:rPr>
        <w:t>cf-art-5-inc-IV</w:t>
      </w:r>
      <w:r>
        <w:rPr>
          <w:color w:val="003CA0"/>
          <w:sz w:val="12"/>
        </w:rPr>
        <w:t xml:space="preserve"> | INQ 1.957</w:t>
      </w:r>
      <w:r>
        <w:rPr>
          <w:color w:val="003CA0"/>
          <w:sz w:val="12"/>
        </w:rPr>
        <w:t xml:space="preserve"> | rel. Carlos Velloso</w:t>
      </w:r>
    </w:p>
    <w:p>
      <w:pPr>
        <w:ind w:left="288"/>
      </w:pPr>
      <w:r>
        <w:rPr>
          <w:color w:val="1E1E1E"/>
          <w:sz w:val="18"/>
        </w:rPr>
        <w:t>(...) deixo assentadas as seguintes conclusões: (a) os escritos anônimos não podem justificar, só por si, desde que isoladamente considerados, a imediata instauração da persecutio criminis, eis que peças apócrifas não podem ser incorporadas, formalmente, ao processo, salvo quando tais documentos forem produzidos pelo acusado, ou, ainda, quando constituírem, eles próprios, o corpo de delito (como sucede com bilhetes de resgate no delito de extorsão mediante sequestro, ou como ocorre com cartas que evidenciem a prática de crimes contra a honra, ou que corporifiquem o delito de ameaça ou que mate</w:t>
      </w:r>
    </w:p>
    <w:p>
      <w:pPr>
        <w:ind w:left="288"/>
      </w:pPr>
      <w:r>
        <w:rPr>
          <w:b/>
          <w:color w:val="003CA0"/>
          <w:sz w:val="16"/>
        </w:rPr>
        <w:t>[Inq 1.957, rel. min. Carlos Velloso, voto do min. Celso de Mello, j. 11-5-2005, P, DJ de 11-11-2005.]</w:t>
      </w:r>
    </w:p>
    <w:p>
      <w:pPr>
        <w:ind w:left="288"/>
      </w:pPr>
      <w:r>
        <w:rPr>
          <w:color w:val="8C8C8C"/>
          <w:sz w:val="12"/>
        </w:rPr>
        <w:t>cf-art-5-inc-IV</w:t>
      </w:r>
      <w:r>
        <w:rPr>
          <w:color w:val="003CA0"/>
          <w:sz w:val="12"/>
        </w:rPr>
        <w:t xml:space="preserve"> | HC 99.490</w:t>
      </w:r>
      <w:r>
        <w:rPr>
          <w:color w:val="003CA0"/>
          <w:sz w:val="12"/>
        </w:rPr>
        <w:t xml:space="preserve"> | rel. Joaquim Barbosa</w:t>
      </w:r>
    </w:p>
    <w:p>
      <w:pPr>
        <w:ind w:left="288"/>
      </w:pPr>
      <w:r>
        <w:rPr>
          <w:color w:val="1E1E1E"/>
          <w:sz w:val="18"/>
        </w:rPr>
        <w:t>= HC 99.490, rel. min. Joaquim Barbosa, j. 23-11-2010, 2ª T, DJE de 1º-2-2011 = HC 95.244, rel. min. Dias Toffoli, j. 23-3-2010, 1ª T, DJE de 30-4-2010 Vide HC 90.178, rel. min. Cezar Peluso, j. 2-2-2010, 2ª T, DJE de 26-3-2010 A Lei 8.443, de 1992, estabelece que qualquer cidadão, partido político ou sindicato é parte legítima para denunciar irregularidades ou ilegalidades perante o TCU. A apuração será em caráter sigiloso, até decisão definitiva sobre a matéria. Decidindo, o Tribunal manterá ou não o sigilo quanto ao objeto e à autoria da denúncia (§ 1º do art. 55). Estabeleceu o TCU, então,</w:t>
      </w:r>
    </w:p>
    <w:p>
      <w:pPr>
        <w:ind w:left="288"/>
      </w:pPr>
      <w:r>
        <w:rPr>
          <w:b/>
          <w:color w:val="003CA0"/>
          <w:sz w:val="16"/>
        </w:rPr>
        <w:t>[MS 24.405, rel. min. Carlos Velloso, j. 3-12-2003, P, DJ de 23-4-2004.]</w:t>
      </w:r>
    </w:p>
    <w:p>
      <w:pPr>
        <w:ind w:left="288"/>
      </w:pPr>
      <w:r>
        <w:rPr>
          <w:color w:val="8C8C8C"/>
          <w:sz w:val="12"/>
        </w:rPr>
        <w:t>cf-art-5-inc-IV</w:t>
      </w:r>
      <w:r>
        <w:rPr>
          <w:color w:val="003CA0"/>
          <w:sz w:val="12"/>
        </w:rPr>
        <w:t xml:space="preserve"> | HC 82.424</w:t>
      </w:r>
      <w:r>
        <w:rPr>
          <w:color w:val="003CA0"/>
          <w:sz w:val="12"/>
        </w:rPr>
        <w:t xml:space="preserve"> | rel. Moreira Alves</w:t>
      </w:r>
    </w:p>
    <w:p>
      <w:pPr>
        <w:ind w:left="288"/>
      </w:pPr>
      <w:r>
        <w:rPr>
          <w:color w:val="1E1E1E"/>
          <w:sz w:val="18"/>
        </w:rPr>
        <w:t>Liberdade de expressão. Garantia constitucional que não se tem como absoluta. Limites morais e jurídicos. O direito à livre expressão não pode abrigar, em sua abrangência, manifestações de conteúdo imoral que implicam ilicitude penal. As liberdades públicas não são incondicionais, por isso devem ser exercidas de maneira harmônica, observados os limites definidos na própria CF (art. 5º, § 2º, primeira parte). O preceito fundamental de liberdade de expressão não consagra o "direito à incitação ao racismo", dado que um direito individual não pode constituir-se em salvaguarda de condutas ilícitas,</w:t>
      </w:r>
    </w:p>
    <w:p>
      <w:pPr>
        <w:ind w:left="288"/>
      </w:pPr>
      <w:r>
        <w:rPr>
          <w:b/>
          <w:color w:val="003CA0"/>
          <w:sz w:val="16"/>
        </w:rPr>
        <w:t>[HC 82.424, rel. min. Moreira Alves, red. do ac. min. Maurício Corrêa, j. 17-9-2003, P, DJ de 19-3-2004.]</w:t>
      </w:r>
    </w:p>
    <w:p>
      <w:pPr>
        <w:ind w:left="288"/>
      </w:pPr>
      <w:r>
        <w:rPr>
          <w:color w:val="8C8C8C"/>
          <w:sz w:val="12"/>
        </w:rPr>
        <w:t>cf-art-5-inc-IV</w:t>
      </w:r>
      <w:r>
        <w:rPr>
          <w:color w:val="003CA0"/>
          <w:sz w:val="12"/>
        </w:rPr>
        <w:t xml:space="preserve"> | HC 83.125</w:t>
      </w:r>
      <w:r>
        <w:rPr>
          <w:color w:val="003CA0"/>
          <w:sz w:val="12"/>
        </w:rPr>
        <w:t xml:space="preserve"> | rel. Marco Aurélio</w:t>
      </w:r>
    </w:p>
    <w:p>
      <w:pPr>
        <w:ind w:left="288"/>
      </w:pPr>
      <w:r>
        <w:rPr>
          <w:color w:val="1E1E1E"/>
          <w:sz w:val="18"/>
        </w:rPr>
        <w:t>A liberdade de expressão constitui-se em direito fundamental do cidadão, envolvendo o pensamento, a exposição de fatos atuais ou históricos e a crítica.</w:t>
      </w:r>
    </w:p>
    <w:p>
      <w:pPr>
        <w:ind w:left="288"/>
      </w:pPr>
      <w:r>
        <w:rPr>
          <w:b/>
          <w:color w:val="003CA0"/>
          <w:sz w:val="16"/>
        </w:rPr>
        <w:t>[HC 83.125, rel. min. Marco Aurélio, j. 16-9-2003, 1ª T, DJ de 7-11-2003.]</w:t>
      </w:r>
    </w:p>
    <w:p>
      <w:pPr>
        <w:ind w:left="288"/>
      </w:pPr>
      <w:r>
        <w:rPr>
          <w:color w:val="8C8C8C"/>
          <w:sz w:val="12"/>
        </w:rPr>
        <w:t>cf-art-5-inc-V</w:t>
      </w:r>
      <w:r>
        <w:rPr>
          <w:color w:val="003CA0"/>
          <w:sz w:val="12"/>
        </w:rPr>
        <w:t xml:space="preserve"> | ADI 5.415</w:t>
      </w:r>
      <w:r>
        <w:rPr>
          <w:color w:val="003CA0"/>
          <w:sz w:val="12"/>
        </w:rPr>
        <w:t xml:space="preserve"> | rel. Dias Toffoli</w:t>
      </w:r>
    </w:p>
    <w:p>
      <w:pPr>
        <w:ind w:left="288"/>
      </w:pPr>
      <w:r>
        <w:rPr>
          <w:color w:val="1E1E1E"/>
          <w:sz w:val="18"/>
        </w:rPr>
        <w:t>A Lei 13.188/15 estabelece um rito especial para o exercício do direito de resposta. O art. 10 da lei, ao exigir deliberação colegiada para a concessão de efeito suspensivo a decisão de primeiro grau em que se concede ou nega direito de resposta, importa em inobservância ao poder geral de cautela do juiz, contraria a organicidade do Judiciário e subverte a hierarquia que inspira a estrutura desse Poder no texto constitucional, conforme indicado no art. 92 da Constituição Federal.</w:t>
      </w:r>
    </w:p>
    <w:p>
      <w:pPr>
        <w:ind w:left="288"/>
      </w:pPr>
      <w:r>
        <w:rPr>
          <w:b/>
          <w:color w:val="003CA0"/>
          <w:sz w:val="16"/>
        </w:rPr>
        <w:t>[ADI 5.415, rel. min. Dias Toffoli, j. 11-3-2021, P, DJE de 25-5-2021.]</w:t>
      </w:r>
    </w:p>
    <w:p>
      <w:pPr>
        <w:ind w:left="288"/>
      </w:pPr>
      <w:r>
        <w:rPr>
          <w:color w:val="8C8C8C"/>
          <w:sz w:val="12"/>
        </w:rPr>
        <w:t>cf-art-5-inc-V</w:t>
      </w:r>
      <w:r>
        <w:rPr>
          <w:color w:val="003CA0"/>
          <w:sz w:val="12"/>
        </w:rPr>
        <w:t xml:space="preserve"> | ADPF 130</w:t>
      </w:r>
      <w:r>
        <w:rPr>
          <w:color w:val="003CA0"/>
          <w:sz w:val="12"/>
        </w:rPr>
        <w:t xml:space="preserve"> | rel. Dias Toffoli</w:t>
      </w:r>
    </w:p>
    <w:p>
      <w:pPr>
        <w:ind w:left="288"/>
      </w:pPr>
      <w:r>
        <w:rPr>
          <w:color w:val="1E1E1E"/>
          <w:sz w:val="18"/>
        </w:rPr>
        <w:t>O direito de resposta possibilita que a liberdade de expressão seja exercida em sua plenitude, pois é acionado apenas após a livre e irrestrita manifestação do pensamento. Além disso, o direito de resposta concede ao ofendido espaço adequado para que exerça, com o necessário alcance, seu direito de voz no espaço público. O direito em tela é, ainda, complementar à liberdade de informar e de manter-se informado, já que possibilita a inserção no debate público de mais de uma perspectiva de uma controvérsia. No julgamento da ADPF 130, o Supremo Tribunal Federal considerou a Lei de Imprensa, em blo</w:t>
      </w:r>
    </w:p>
    <w:p>
      <w:pPr>
        <w:ind w:left="288"/>
      </w:pPr>
      <w:r>
        <w:rPr>
          <w:b/>
          <w:color w:val="003CA0"/>
          <w:sz w:val="16"/>
        </w:rPr>
        <w:t>[ADI 5.418, rel. min. Dias Toffoli, j. 11-3-2021, P, DJE de 25-5-2021.]</w:t>
      </w:r>
    </w:p>
    <w:p>
      <w:pPr>
        <w:ind w:left="288"/>
      </w:pPr>
      <w:r>
        <w:rPr>
          <w:color w:val="8C8C8C"/>
          <w:sz w:val="12"/>
        </w:rPr>
        <w:t>cf-art-5-inc-V</w:t>
      </w:r>
      <w:r>
        <w:rPr>
          <w:color w:val="003CA0"/>
          <w:sz w:val="12"/>
        </w:rPr>
        <w:t xml:space="preserve"> | ADPF 130</w:t>
      </w:r>
      <w:r>
        <w:rPr>
          <w:color w:val="003CA0"/>
          <w:sz w:val="12"/>
        </w:rPr>
        <w:t xml:space="preserve"> | rel. Ayres Britto</w:t>
      </w:r>
    </w:p>
    <w:p>
      <w:pPr>
        <w:ind w:left="288"/>
      </w:pPr>
      <w:r>
        <w:rPr>
          <w:color w:val="1E1E1E"/>
          <w:sz w:val="18"/>
        </w:rPr>
        <w:t>(...) a Lei Fundamental do Brasil veicula o mais democrático e civilizado regime da livre e plena circulação das ideias e opiniões, assim como das notícias e informações, mas sem deixar de prescrever o direito de resposta e todo um regime de responsabilidades civis, penais e administrativas. Direito de resposta e responsabilidades que, mesmo atuando a posteriori, infletem sobre as causas para inibir abusos no desfrute da plenitude de liberdade de imprensa. (...) Sem embargo, a excessividade indenizatória é, em si mesma, poderoso fator de inibição da liberdade de imprensa, em violação ao princí</w:t>
      </w:r>
    </w:p>
    <w:p>
      <w:pPr>
        <w:ind w:left="288"/>
      </w:pPr>
      <w:r>
        <w:rPr>
          <w:b/>
          <w:color w:val="003CA0"/>
          <w:sz w:val="16"/>
        </w:rPr>
        <w:t>[ADPF 130, rel. min. Ayres Britto, j. 30-4-2009, P, DJE de 6-11-2009.]</w:t>
      </w:r>
    </w:p>
    <w:p>
      <w:pPr>
        <w:ind w:left="288"/>
      </w:pPr>
      <w:r>
        <w:rPr>
          <w:color w:val="8C8C8C"/>
          <w:sz w:val="12"/>
        </w:rPr>
        <w:t>cf-art-5-inc-V</w:t>
      </w:r>
      <w:r>
        <w:rPr>
          <w:color w:val="003CA0"/>
          <w:sz w:val="12"/>
        </w:rPr>
        <w:t xml:space="preserve"> | ADI 4.451</w:t>
      </w:r>
      <w:r>
        <w:rPr>
          <w:color w:val="003CA0"/>
          <w:sz w:val="12"/>
        </w:rPr>
        <w:t xml:space="preserve"> | rel. Alexandre de Moraes</w:t>
      </w:r>
    </w:p>
    <w:p>
      <w:pPr>
        <w:ind w:left="288"/>
      </w:pPr>
      <w:r>
        <w:rPr>
          <w:color w:val="1E1E1E"/>
          <w:sz w:val="18"/>
        </w:rPr>
        <w:t>Vide ADI 4.451, rel. min. Alexandre de Moraes, j. 21-6-2018, P, DJE de 6-3-2019 “1.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w:t>
      </w:r>
    </w:p>
    <w:p>
      <w:pPr>
        <w:ind w:left="288"/>
      </w:pPr>
      <w:r>
        <w:rPr>
          <w:b/>
          <w:color w:val="003CA0"/>
          <w:sz w:val="16"/>
        </w:rPr>
        <w:t>[RE 1.075.412 ED, rel. min. Edson Fachin, j. 20.03.2025, P, DJE de 27.06.2025, Tema 995, com mérito julgado.]</w:t>
      </w:r>
    </w:p>
    <w:p>
      <w:pPr>
        <w:ind w:left="288"/>
      </w:pPr>
      <w:r>
        <w:rPr>
          <w:color w:val="8C8C8C"/>
          <w:sz w:val="12"/>
        </w:rPr>
        <w:t>cf-art-5-inc-V</w:t>
      </w:r>
      <w:r>
        <w:rPr>
          <w:color w:val="003CA0"/>
          <w:sz w:val="12"/>
        </w:rPr>
        <w:t xml:space="preserve"> | RE 172.720</w:t>
      </w:r>
      <w:r>
        <w:rPr>
          <w:color w:val="003CA0"/>
          <w:sz w:val="12"/>
        </w:rPr>
        <w:t xml:space="preserve"> | rel. Marco Aurélio</w:t>
      </w:r>
    </w:p>
    <w:p>
      <w:pPr>
        <w:ind w:left="288"/>
      </w:pPr>
      <w:r>
        <w:rPr>
          <w:color w:val="1E1E1E"/>
          <w:sz w:val="18"/>
        </w:rPr>
        <w:t>O fato de a Convenção de Varsóvia revelar, como regra, a indenização tarifada por danos materiais não exclui a relativa aos danos morais. Configurados esses pelo sentimento de desconforto, de constrangimento, aborrecimento e humilhação decorrentes do extravio de mala, cumpre observar a Carta Política da República – incisos V e X do art. 5º, no que se sobrepõe a tratados e convenções ratificados pelo Brasil.</w:t>
      </w:r>
    </w:p>
    <w:p>
      <w:pPr>
        <w:ind w:left="288"/>
      </w:pPr>
      <w:r>
        <w:rPr>
          <w:b/>
          <w:color w:val="003CA0"/>
          <w:sz w:val="16"/>
        </w:rPr>
        <w:t>[RE 172.720, rel. min. Marco Aurélio, j. 6-2-1996, 2ª T, DJ de 21-2-1997.]</w:t>
      </w:r>
    </w:p>
    <w:p>
      <w:pPr>
        <w:ind w:left="288"/>
      </w:pPr>
      <w:r>
        <w:rPr>
          <w:color w:val="8C8C8C"/>
          <w:sz w:val="12"/>
        </w:rPr>
        <w:t>cf-art-5-inc-VI</w:t>
      </w:r>
      <w:r>
        <w:rPr>
          <w:color w:val="003CA0"/>
          <w:sz w:val="12"/>
        </w:rPr>
        <w:t xml:space="preserve"> | MS 40.556</w:t>
      </w:r>
      <w:r>
        <w:rPr>
          <w:color w:val="003CA0"/>
          <w:sz w:val="12"/>
        </w:rPr>
        <w:t xml:space="preserve"> | rel. Nunes Marques</w:t>
      </w:r>
    </w:p>
    <w:p>
      <w:pPr>
        <w:ind w:left="288"/>
      </w:pPr>
      <w:r>
        <w:rPr>
          <w:color w:val="1E1E1E"/>
          <w:sz w:val="18"/>
        </w:rPr>
        <w:t>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VI, VIII, X e XVII), além do princípio do juiz natural, não se enquadrando em hipótese de restrição constitucionalmente autorizada.</w:t>
      </w:r>
    </w:p>
    <w:p>
      <w:pPr>
        <w:ind w:left="288"/>
      </w:pPr>
      <w:r>
        <w:rPr>
          <w:b/>
          <w:color w:val="003CA0"/>
          <w:sz w:val="16"/>
        </w:rPr>
        <w:t>[MS 40.556 AgR, rel. min. Nunes Marques, j. 18-2-2026, 2ª T, DJE de 27-2-2026.]</w:t>
      </w:r>
    </w:p>
    <w:p>
      <w:pPr>
        <w:ind w:left="288"/>
      </w:pPr>
      <w:r>
        <w:rPr>
          <w:color w:val="8C8C8C"/>
          <w:sz w:val="12"/>
        </w:rPr>
        <w:t>cf-art-5-inc-VI</w:t>
      </w:r>
      <w:r>
        <w:rPr>
          <w:color w:val="003CA0"/>
          <w:sz w:val="12"/>
        </w:rPr>
        <w:t xml:space="preserve"> | ADI 5.255</w:t>
      </w:r>
      <w:r>
        <w:rPr>
          <w:color w:val="003CA0"/>
          <w:sz w:val="12"/>
        </w:rPr>
        <w:t xml:space="preserve"> | rel. Nunes Marques</w:t>
      </w:r>
    </w:p>
    <w:p>
      <w:pPr>
        <w:ind w:left="288"/>
      </w:pPr>
      <w:r>
        <w:rPr>
          <w:color w:val="1E1E1E"/>
          <w:sz w:val="18"/>
        </w:rPr>
        <w:t>É constitucional — e não ofende os princípios da isonomia (CF/1988, art. 5º, caput), da liberdade religiosa (CF/1988, art. 5º, VI a VIII) e da laicidade estatal (CF/1988, art. 19, I) — norma estadual que permite a aquisição e a manutenção de exemplares da Bíblia Sagrada no acervo das bibliotecas públicas. O que é vedado ao legislador é obrigar (determinar) que se adquiram e/ou se mantenham livros religiosos em espaços públicos.</w:t>
      </w:r>
    </w:p>
    <w:p>
      <w:pPr>
        <w:ind w:left="288"/>
      </w:pPr>
      <w:r>
        <w:rPr>
          <w:b/>
          <w:color w:val="003CA0"/>
          <w:sz w:val="16"/>
        </w:rPr>
        <w:t>[ADI 5.255, rel. min. Nunes Marques, red. do ac. min. Cristiano Zanin, j. 26.09.2025, P, Informativo STF 1.192.]</w:t>
      </w:r>
    </w:p>
    <w:p>
      <w:pPr>
        <w:ind w:left="288"/>
      </w:pPr>
      <w:r>
        <w:rPr>
          <w:color w:val="8C8C8C"/>
          <w:sz w:val="12"/>
        </w:rPr>
        <w:t>cf-art-5-inc-VI</w:t>
      </w:r>
      <w:r>
        <w:rPr>
          <w:color w:val="003CA0"/>
          <w:sz w:val="12"/>
        </w:rPr>
        <w:t xml:space="preserve"> | ADI 5.258</w:t>
      </w:r>
      <w:r>
        <w:rPr>
          <w:color w:val="003CA0"/>
          <w:sz w:val="12"/>
        </w:rPr>
        <w:t xml:space="preserve"> | rel. Cármen Lúcia</w:t>
      </w:r>
    </w:p>
    <w:p>
      <w:pPr>
        <w:ind w:left="288"/>
      </w:pPr>
      <w:r>
        <w:rPr>
          <w:color w:val="1E1E1E"/>
          <w:sz w:val="18"/>
        </w:rPr>
        <w:t>É inconstitucional, por ofensa aos princípios da isonomia, da liberdade religiosa e da laicidade do Estado, norma que obrigue a manutenção de exemplar de determinado livro de cunho religioso em unidades escolares e bibliotecas públicas estaduais.</w:t>
      </w:r>
    </w:p>
    <w:p>
      <w:pPr>
        <w:ind w:left="288"/>
      </w:pPr>
      <w:r>
        <w:rPr>
          <w:b/>
          <w:color w:val="003CA0"/>
          <w:sz w:val="16"/>
        </w:rPr>
        <w:t>[ADI 5.258, rel. min. Cármen Lúcia, j. 13-4-2021, P, DJE de 27-4-2021.]</w:t>
      </w:r>
    </w:p>
    <w:p>
      <w:pPr>
        <w:ind w:left="288"/>
      </w:pPr>
      <w:r>
        <w:rPr>
          <w:color w:val="8C8C8C"/>
          <w:sz w:val="12"/>
        </w:rPr>
        <w:t>cf-art-5-inc-VI</w:t>
      </w:r>
      <w:r>
        <w:rPr>
          <w:color w:val="003CA0"/>
          <w:sz w:val="12"/>
        </w:rPr>
        <w:t xml:space="preserve"> | ADPF 811</w:t>
      </w:r>
      <w:r>
        <w:rPr>
          <w:color w:val="003CA0"/>
          <w:sz w:val="12"/>
        </w:rPr>
        <w:t xml:space="preserve"> | rel. Gilmar Mendes</w:t>
      </w:r>
    </w:p>
    <w:p>
      <w:pPr>
        <w:ind w:left="288"/>
      </w:pPr>
      <w:r>
        <w:rPr>
          <w:color w:val="1E1E1E"/>
          <w:sz w:val="18"/>
        </w:rPr>
        <w:t>“A dimensão do direito à liberdade religiosa (art. 5º, VI, da CF/1988) que reclama proteção jurídica na ADPF afasta-se do núcleo de liberdade de consciência (forum internum) e aproxima-se da proteção constitucionalmente conferida à liberdade do exercício de cultos em coletividade (forum externum). Sob a dimensão interna, a liberdade de consciência não se esgota no aspecto religioso, mas nele encontra expressão concreta de marcado relevo. Por outro lado, na dimensão externa, o texto constitucional brasileiro alberga a liberdade de crença, de aderir a alguma religião e a liberdade do exercício d</w:t>
      </w:r>
    </w:p>
    <w:p>
      <w:pPr>
        <w:ind w:left="288"/>
      </w:pPr>
      <w:r>
        <w:rPr>
          <w:b/>
          <w:color w:val="003CA0"/>
          <w:sz w:val="16"/>
        </w:rPr>
        <w:t>[ADPF 811, rel. min. Gilmar Mendes, j. 8-4-2021, P, DJE de 25-6-2021.]</w:t>
      </w:r>
    </w:p>
    <w:p>
      <w:pPr>
        <w:ind w:left="288"/>
      </w:pPr>
      <w:r>
        <w:rPr>
          <w:color w:val="8C8C8C"/>
          <w:sz w:val="12"/>
        </w:rPr>
        <w:t>cf-art-5-inc-VI</w:t>
      </w:r>
      <w:r>
        <w:rPr>
          <w:color w:val="003CA0"/>
          <w:sz w:val="12"/>
        </w:rPr>
        <w:t xml:space="preserve"> | ADI 5.257</w:t>
      </w:r>
      <w:r>
        <w:rPr>
          <w:color w:val="003CA0"/>
          <w:sz w:val="12"/>
        </w:rPr>
        <w:t xml:space="preserve"> | rel. Dias Toffoli</w:t>
      </w:r>
    </w:p>
    <w:p>
      <w:pPr>
        <w:ind w:left="288"/>
      </w:pPr>
      <w:r>
        <w:rPr>
          <w:color w:val="1E1E1E"/>
          <w:sz w:val="18"/>
        </w:rPr>
        <w:t>A oficialização da Bíblia como livro-base de fonte doutrinária para fundamentar princípios, usos e costumes de comunidades, igrejas e grupos no Estado de Rondônia implica inconstitucional discrímen entre crenças, além de caracterizar violação da neutralidade exigida do Estado pela Constituição Federal. Inconstitucionalidade do art. 1º da Lei 1.864/2008 do Estado de Rondônia. A previsão legal de utilização da Bíblia como base de decisões e atividades afins dos grupos grupos religiosos, tornando-as cogentes a ‘seus membros e a quem requerer usar os seus serviços ou vincular-se de alguma forma às</w:t>
      </w:r>
    </w:p>
    <w:p>
      <w:pPr>
        <w:ind w:left="288"/>
      </w:pPr>
      <w:r>
        <w:rPr>
          <w:b/>
          <w:color w:val="003CA0"/>
          <w:sz w:val="16"/>
        </w:rPr>
        <w:t>[ADI 5.257, rel. min. Dias Toffoli, j. 20-9-2018, P, DJE de 3-12-2018.]</w:t>
      </w:r>
    </w:p>
    <w:p>
      <w:pPr>
        <w:ind w:left="288"/>
      </w:pPr>
      <w:r>
        <w:rPr>
          <w:color w:val="8C8C8C"/>
          <w:sz w:val="12"/>
        </w:rPr>
        <w:t>cf-art-5-inc-VI</w:t>
      </w:r>
      <w:r>
        <w:rPr>
          <w:color w:val="003CA0"/>
          <w:sz w:val="12"/>
        </w:rPr>
        <w:t xml:space="preserve"> | ADI 2.566</w:t>
      </w:r>
      <w:r>
        <w:rPr>
          <w:color w:val="003CA0"/>
          <w:sz w:val="12"/>
        </w:rPr>
        <w:t xml:space="preserve"> | rel. Alexandre de Moraes</w:t>
      </w:r>
    </w:p>
    <w:p>
      <w:pPr>
        <w:ind w:left="288"/>
      </w:pPr>
      <w:r>
        <w:rPr>
          <w:color w:val="1E1E1E"/>
          <w:sz w:val="18"/>
        </w:rPr>
        <w:t>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pressupõem a livre troca de ideias e não apenas a divulgação de informações. O artigo 220 da Constituição Federal expressamente consagra a liberdade de expressão</w:t>
      </w:r>
    </w:p>
    <w:p>
      <w:pPr>
        <w:ind w:left="288"/>
      </w:pPr>
      <w:r>
        <w:rPr>
          <w:b/>
          <w:color w:val="003CA0"/>
          <w:sz w:val="16"/>
        </w:rPr>
        <w:t>[ADI 2.566, rel. min. Alexandre de Moraes, red. do ac. min. Edson Fachin, j. 16-5-2018, P, DJE de 23-10-2018.]</w:t>
      </w:r>
    </w:p>
    <w:p>
      <w:pPr>
        <w:ind w:left="288"/>
      </w:pPr>
      <w:r>
        <w:rPr>
          <w:color w:val="8C8C8C"/>
          <w:sz w:val="12"/>
        </w:rPr>
        <w:t>cf-art-5-inc-VI</w:t>
      </w:r>
      <w:r>
        <w:rPr>
          <w:color w:val="003CA0"/>
          <w:sz w:val="12"/>
        </w:rPr>
        <w:t xml:space="preserve"> | ADPF 54</w:t>
      </w:r>
      <w:r>
        <w:rPr>
          <w:color w:val="003CA0"/>
          <w:sz w:val="12"/>
        </w:rPr>
        <w:t xml:space="preserve"> | rel. Marco Aurélio</w:t>
      </w:r>
    </w:p>
    <w:p>
      <w:pPr>
        <w:ind w:left="288"/>
      </w:pPr>
      <w:r>
        <w:rPr>
          <w:color w:val="1E1E1E"/>
          <w:sz w:val="18"/>
        </w:rPr>
        <w:t>O Brasil é uma república laica, surgindo absolutamente neutro quanto às religiões.</w:t>
      </w:r>
    </w:p>
    <w:p>
      <w:pPr>
        <w:ind w:left="288"/>
      </w:pPr>
      <w:r>
        <w:rPr>
          <w:b/>
          <w:color w:val="003CA0"/>
          <w:sz w:val="16"/>
        </w:rPr>
        <w:t>[ADPF 54, rel. min. Marco Aurélio, j. 12-4-2012, P, DJE de 30-4-2013.]</w:t>
      </w:r>
    </w:p>
    <w:p>
      <w:pPr>
        <w:ind w:left="288"/>
      </w:pPr>
      <w:r>
        <w:rPr>
          <w:color w:val="8C8C8C"/>
          <w:sz w:val="12"/>
        </w:rPr>
        <w:t>cf-art-5-inc-VI</w:t>
      </w:r>
      <w:r>
        <w:rPr>
          <w:color w:val="003CA0"/>
          <w:sz w:val="12"/>
        </w:rPr>
        <w:t xml:space="preserve"> | ADI 4.439</w:t>
      </w:r>
      <w:r>
        <w:rPr>
          <w:color w:val="003CA0"/>
          <w:sz w:val="12"/>
        </w:rPr>
        <w:t xml:space="preserve"> | rel. Roberto Barroso</w:t>
      </w:r>
    </w:p>
    <w:p>
      <w:pPr>
        <w:ind w:left="288"/>
      </w:pPr>
      <w:r>
        <w:rPr>
          <w:color w:val="1E1E1E"/>
          <w:sz w:val="18"/>
        </w:rPr>
        <w:t>Vide ADI 4.439, rel. min. Roberto Barroso, red. do ac. min. Alexandre de Moraes, j. 27-9-2017, P, DJE de 21-6-2018 “1. Testemunhas de Jeová, quando maiores e capazes, têm o direito de recusar procedimento médico que envolva transfusão de sangue, com base na autonomia individual e na liberdade religiosa. 2. Como consequência, em respeito ao direito à vida e à saúde, fazem jus aos procedimentos alternativos disponíveis no Sistema Único de Saúde – SUS, podendo, se necessário, recorrer a tratamento fora de seu domicílio.”</w:t>
      </w:r>
    </w:p>
    <w:p>
      <w:pPr>
        <w:ind w:left="288"/>
      </w:pPr>
      <w:r>
        <w:rPr>
          <w:b/>
          <w:color w:val="003CA0"/>
          <w:sz w:val="16"/>
        </w:rPr>
        <w:t>[RE 979.742, rel. min. Luís Roberto Barroso, j. 25.09.2024, P, DJE de 26.11.2024, Tema 952, com mérito julgado.]</w:t>
      </w:r>
    </w:p>
    <w:p>
      <w:pPr>
        <w:ind w:left="288"/>
      </w:pPr>
      <w:r>
        <w:rPr>
          <w:color w:val="8C8C8C"/>
          <w:sz w:val="12"/>
        </w:rPr>
        <w:t>cf-art-5-inc-VI</w:t>
      </w:r>
      <w:r>
        <w:rPr>
          <w:color w:val="003CA0"/>
          <w:sz w:val="12"/>
        </w:rPr>
        <w:t xml:space="preserve"> | RE 1.212.272</w:t>
      </w:r>
      <w:r>
        <w:rPr>
          <w:color w:val="003CA0"/>
          <w:sz w:val="12"/>
        </w:rPr>
        <w:t xml:space="preserve"> | rel. Gilmar Mendes</w:t>
      </w:r>
    </w:p>
    <w:p>
      <w:pPr>
        <w:ind w:left="288"/>
      </w:pPr>
      <w:r>
        <w:rPr>
          <w:color w:val="1E1E1E"/>
          <w:sz w:val="18"/>
        </w:rPr>
        <w:t>“1. É permitido ao paciente, no gozo pleno de sua capacidade civil, a recusa, por motivos religiosos, de submeter-se a tratamento de saúde. A recusa, por razões religiosas, a tratamento de saúde é condicionada à decisão inequívoca, livre, informada e esclarecida do paciente, inclusive, quando veiculada por meio de diretivas antecipadas de vontade. 2. É possível a realização de procedimento médico, disponibilizado a todos pelo sistema público de saúde, com a interdição da realização de transfusão sanguínea ou outra medida excepcional, caso haja viabilidade técnico-científica de sucesso, anuênci</w:t>
      </w:r>
    </w:p>
    <w:p>
      <w:pPr>
        <w:ind w:left="288"/>
      </w:pPr>
      <w:r>
        <w:rPr>
          <w:b/>
          <w:color w:val="003CA0"/>
          <w:sz w:val="16"/>
        </w:rPr>
        <w:t>[RE 1.212.272, rel. min. Gilmar Mendes, j. 25.09.2024, P, DJE de 26.11.2024, Tema 1.069, com mérito julgado.]</w:t>
      </w:r>
    </w:p>
    <w:p>
      <w:pPr>
        <w:ind w:left="288"/>
      </w:pPr>
      <w:r>
        <w:rPr>
          <w:color w:val="8C8C8C"/>
          <w:sz w:val="12"/>
        </w:rPr>
        <w:t>cf-art-5-inc-VI</w:t>
      </w:r>
      <w:r>
        <w:rPr>
          <w:color w:val="003CA0"/>
          <w:sz w:val="12"/>
        </w:rPr>
        <w:t xml:space="preserve"> | RE 859.376</w:t>
      </w:r>
      <w:r>
        <w:rPr>
          <w:color w:val="003CA0"/>
          <w:sz w:val="12"/>
        </w:rPr>
        <w:t xml:space="preserve"> | rel. Luís Roberto Barroso</w:t>
      </w:r>
    </w:p>
    <w:p>
      <w:pPr>
        <w:ind w:left="288"/>
      </w:pPr>
      <w:r>
        <w:rPr>
          <w:color w:val="1E1E1E"/>
          <w:sz w:val="18"/>
        </w:rPr>
        <w:t>É constitucional a utilização de vestimentas ou acessórios relacionados à crença ou religião nas fotos de documentos oficiais, desde que não impeçam a adequada identificação individual, com rosto visível.</w:t>
      </w:r>
    </w:p>
    <w:p>
      <w:pPr>
        <w:ind w:left="288"/>
      </w:pPr>
      <w:r>
        <w:rPr>
          <w:b/>
          <w:color w:val="003CA0"/>
          <w:sz w:val="16"/>
        </w:rPr>
        <w:t>[RE 859.376, rel. min. Luís Roberto Barroso, j. 17.04.2024, P, DJE de 10.12.2024, Tema 953, com mérito julgado.]</w:t>
      </w:r>
    </w:p>
    <w:p>
      <w:pPr>
        <w:ind w:left="288"/>
      </w:pPr>
      <w:r>
        <w:rPr>
          <w:color w:val="8C8C8C"/>
          <w:sz w:val="12"/>
        </w:rPr>
        <w:t>cf-art-5-inc-VI</w:t>
      </w:r>
      <w:r>
        <w:rPr>
          <w:color w:val="003CA0"/>
          <w:sz w:val="12"/>
        </w:rPr>
        <w:t xml:space="preserve"> | ARE 1.267.879</w:t>
      </w:r>
      <w:r>
        <w:rPr>
          <w:color w:val="003CA0"/>
          <w:sz w:val="12"/>
        </w:rPr>
        <w:t xml:space="preserve"> | rel. Roberto Barroso</w:t>
      </w:r>
    </w:p>
    <w:p>
      <w:pPr>
        <w:ind w:left="288"/>
      </w:pPr>
      <w:r>
        <w:rPr>
          <w:color w:val="1E1E1E"/>
          <w:sz w:val="18"/>
        </w:rPr>
        <w:t>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 poder familiar.</w:t>
      </w:r>
    </w:p>
    <w:p>
      <w:pPr>
        <w:ind w:left="288"/>
      </w:pPr>
      <w:r>
        <w:rPr>
          <w:b/>
          <w:color w:val="003CA0"/>
          <w:sz w:val="16"/>
        </w:rPr>
        <w:t>[ARE 1.267.879, rel. min. Roberto Barroso, j. 17-12-2020, P, DJE de 8-4-2021. Tema 1.103, com mérito julgado]</w:t>
      </w:r>
    </w:p>
    <w:p>
      <w:pPr>
        <w:ind w:left="288"/>
      </w:pPr>
      <w:r>
        <w:rPr>
          <w:color w:val="8C8C8C"/>
          <w:sz w:val="12"/>
        </w:rPr>
        <w:t>cf-art-5-inc-VI</w:t>
      </w:r>
      <w:r>
        <w:rPr>
          <w:color w:val="003CA0"/>
          <w:sz w:val="12"/>
        </w:rPr>
        <w:t xml:space="preserve"> | ARE 1.315.221</w:t>
      </w:r>
      <w:r>
        <w:rPr>
          <w:color w:val="003CA0"/>
          <w:sz w:val="12"/>
        </w:rPr>
        <w:t xml:space="preserve"> | rel. Alexandre de Moraes</w:t>
      </w:r>
    </w:p>
    <w:p>
      <w:pPr>
        <w:ind w:left="288"/>
      </w:pPr>
      <w:r>
        <w:rPr>
          <w:color w:val="1E1E1E"/>
          <w:sz w:val="18"/>
        </w:rPr>
        <w:t xml:space="preserve">“O Poder Público tem a obrigação constitucional de garantir a plena liberdade religiosa. Entretanto, em face de sua laicidade, não pode ser subserviente, ou mesmo conivente com qualquer dogma ou princípio religioso que possa colocar em risco sua própria laicidade ou a efetividade dos demais direitos fundamentais - entre eles, o princípio isonômico no tratamento de todas as crenças e de seus adeptos, bem como dos agnósticos e ateus. Embora a Constituição Federal indubitavelmente consagre a inviolabilidade de liberdade de crença e de culto, esse direito fundamental admite limitações, levando-se </w:t>
      </w:r>
    </w:p>
    <w:p>
      <w:pPr>
        <w:ind w:left="288"/>
      </w:pPr>
      <w:r>
        <w:rPr>
          <w:b/>
          <w:color w:val="003CA0"/>
          <w:sz w:val="16"/>
        </w:rPr>
        <w:t>[ARE 1.315.221-AgR, rel. min. Alexandre de Moraes, j. 17-8-2021, 1ª T, DJE de 20-8-2021.]</w:t>
      </w:r>
    </w:p>
    <w:p>
      <w:pPr>
        <w:ind w:left="288"/>
      </w:pPr>
      <w:r>
        <w:rPr>
          <w:color w:val="8C8C8C"/>
          <w:sz w:val="12"/>
        </w:rPr>
        <w:t>cf-art-5-inc-VI</w:t>
      </w:r>
      <w:r>
        <w:rPr>
          <w:color w:val="003CA0"/>
          <w:sz w:val="12"/>
        </w:rPr>
        <w:t xml:space="preserve"> | ADPF 130</w:t>
      </w:r>
      <w:r>
        <w:rPr>
          <w:color w:val="003CA0"/>
          <w:sz w:val="12"/>
        </w:rPr>
        <w:t xml:space="preserve"> | rel. Gilmar Mendes</w:t>
      </w:r>
    </w:p>
    <w:p>
      <w:pPr>
        <w:ind w:left="288"/>
      </w:pPr>
      <w:r>
        <w:rPr>
          <w:color w:val="1E1E1E"/>
          <w:sz w:val="18"/>
        </w:rPr>
        <w:t>Liberdade de expressão. Decisões reclamadas que restringem difusão de conteúdo audiovisual em que formuladas sátiras a elementos religiosos inerentes ao Cristianismo. Ofensa à autoridade de decisão proferida pelo Supremo Tribunal Federal nos julgamentos da ADPF 130 e da ADI 2.404. Limites da liberdade artística. Importância da livre circulação de ideias em um Estado democrático. Proibição de divulgação de determinado conteúdo deve-se dar apenas em casos excepcionalíssimos, como na hipótese de configurar ocorrência de prática ilícita, de incitação à violência ou à discriminação, bem como de pro</w:t>
      </w:r>
    </w:p>
    <w:p>
      <w:pPr>
        <w:ind w:left="288"/>
      </w:pPr>
      <w:r>
        <w:rPr>
          <w:b/>
          <w:color w:val="003CA0"/>
          <w:sz w:val="16"/>
        </w:rPr>
        <w:t>[Rcl 38.782, rel. min. Gilmar Mendes, j. 3-11-2020, 2ª T, DJE de 24-2-2021.]</w:t>
      </w:r>
    </w:p>
    <w:p>
      <w:pPr>
        <w:ind w:left="288"/>
      </w:pPr>
      <w:r>
        <w:rPr>
          <w:color w:val="8C8C8C"/>
          <w:sz w:val="12"/>
        </w:rPr>
        <w:t>cf-art-5-inc-VI</w:t>
      </w:r>
      <w:r>
        <w:rPr>
          <w:color w:val="003CA0"/>
          <w:sz w:val="12"/>
        </w:rPr>
        <w:t xml:space="preserve"> | RE 494.601</w:t>
      </w:r>
      <w:r>
        <w:rPr>
          <w:color w:val="003CA0"/>
          <w:sz w:val="12"/>
        </w:rPr>
        <w:t xml:space="preserve"> | rel. Marco Aurélio</w:t>
      </w:r>
    </w:p>
    <w:p>
      <w:pPr>
        <w:ind w:left="288"/>
      </w:pPr>
      <w:r>
        <w:rPr>
          <w:color w:val="1E1E1E"/>
          <w:sz w:val="18"/>
        </w:rPr>
        <w:t>É constitucional a lei de proteção animal que, a fim de resguardar a liberdade religiosa, permite o sacrifício ritual de animais em cultos de religiões de matriz africana.</w:t>
      </w:r>
    </w:p>
    <w:p>
      <w:pPr>
        <w:ind w:left="288"/>
      </w:pPr>
      <w:r>
        <w:rPr>
          <w:b/>
          <w:color w:val="003CA0"/>
          <w:sz w:val="16"/>
        </w:rPr>
        <w:t>[RE 494.601, rel. min. Marco Aurélio, red. do ac. min. Edson Fachin, j. 28-3-2019, P, DJE de 19-11-2019.]</w:t>
      </w:r>
    </w:p>
    <w:p>
      <w:pPr>
        <w:ind w:left="288"/>
      </w:pPr>
      <w:r>
        <w:rPr>
          <w:color w:val="8C8C8C"/>
          <w:sz w:val="12"/>
        </w:rPr>
        <w:t>cf-art-5-inc-VI</w:t>
      </w:r>
      <w:r>
        <w:rPr>
          <w:color w:val="003CA0"/>
          <w:sz w:val="12"/>
        </w:rPr>
        <w:t xml:space="preserve"> | RHC 146.303</w:t>
      </w:r>
      <w:r>
        <w:rPr>
          <w:color w:val="003CA0"/>
          <w:sz w:val="12"/>
        </w:rPr>
        <w:t xml:space="preserve"> | rel. Edson Fachin</w:t>
      </w:r>
    </w:p>
    <w:p>
      <w:pPr>
        <w:ind w:left="288"/>
      </w:pPr>
      <w:r>
        <w:rPr>
          <w:color w:val="1E1E1E"/>
          <w:sz w:val="18"/>
        </w:rPr>
        <w:t>O direito à liberdade religiosa é, em grande medida, o direito à existência de uma multiplicidade de crenças/descrenças religiosas, que se vinculam e se harmonizam – para a sobrevivência de toda a multiplicidade de fés protegida constitucionalmente – na chamada tolerância religiosa. Há que se distinguir entre o discurso religioso (que é centrado na própria crença e nas razões da crença) e o discurso sobre a crença alheia, especialmente quando se faça com intuito de atingi-la, rebaixá-la ou desmerecê-la (ou a seus seguidores). Um é tipicamente a representação do direito à liberdade de crença re</w:t>
      </w:r>
    </w:p>
    <w:p>
      <w:pPr>
        <w:ind w:left="288"/>
      </w:pPr>
      <w:r>
        <w:rPr>
          <w:b/>
          <w:color w:val="003CA0"/>
          <w:sz w:val="16"/>
        </w:rPr>
        <w:t>[RHC 146.303, rel. min. Edson Fachin, red. do ac. min. Dias Toffoli, j. 6-3-2018, 2ª T, DJE de 7-8-2018.]</w:t>
      </w:r>
    </w:p>
    <w:p>
      <w:pPr>
        <w:ind w:left="288"/>
      </w:pPr>
      <w:r>
        <w:rPr>
          <w:color w:val="8C8C8C"/>
          <w:sz w:val="12"/>
        </w:rPr>
        <w:t>cf-art-5-inc-VI</w:t>
      </w:r>
      <w:r>
        <w:rPr>
          <w:color w:val="003CA0"/>
          <w:sz w:val="12"/>
        </w:rPr>
        <w:t xml:space="preserve"> | RHC 134.682</w:t>
      </w:r>
      <w:r>
        <w:rPr>
          <w:color w:val="003CA0"/>
          <w:sz w:val="12"/>
        </w:rPr>
        <w:t xml:space="preserve"> | rel. Edson Fachin</w:t>
      </w:r>
    </w:p>
    <w:p>
      <w:pPr>
        <w:ind w:left="288"/>
      </w:pPr>
      <w:r>
        <w:rPr>
          <w:color w:val="1E1E1E"/>
          <w:sz w:val="18"/>
        </w:rPr>
        <w:t>A liberdade religiosa e a de expressão constituem elementos fundantes da ordem constitucional e devem ser exercidas com observância dos demais direitos e garantias fundamentais, não alcançando, nessa ótica, condutas reveladoras de discriminação. No que toca especificamente à liberdade de expressão religiosa, cumpre reconhecer, nas hipóteses de religiões que se alçam a universais, que o discurso proselitista é da essência de seu integral exercício. De tal modo, a finalidade de alcançar o outro, mediante persuasão, configura comportamento intrínseco a religiões de tal natureza. Para a consecução</w:t>
      </w:r>
    </w:p>
    <w:p>
      <w:pPr>
        <w:ind w:left="288"/>
      </w:pPr>
      <w:r>
        <w:rPr>
          <w:b/>
          <w:color w:val="003CA0"/>
          <w:sz w:val="16"/>
        </w:rPr>
        <w:t>[RHC 134.682, rel. min. Edson Fachin, j. 29-11-2016, 1ª T, DJE de 29-8-2017.]</w:t>
      </w:r>
    </w:p>
    <w:p>
      <w:pPr>
        <w:ind w:left="288"/>
      </w:pPr>
      <w:r>
        <w:rPr>
          <w:color w:val="8C8C8C"/>
          <w:sz w:val="12"/>
        </w:rPr>
        <w:t>cf-art-5-inc-VI</w:t>
      </w:r>
      <w:r>
        <w:rPr>
          <w:color w:val="003CA0"/>
          <w:sz w:val="12"/>
        </w:rPr>
        <w:t xml:space="preserve"> | ADI 2.566</w:t>
      </w:r>
      <w:r>
        <w:rPr>
          <w:color w:val="003CA0"/>
          <w:sz w:val="12"/>
        </w:rPr>
        <w:t xml:space="preserve"> | rel. Alexandre de Moraes</w:t>
      </w:r>
    </w:p>
    <w:p>
      <w:pPr>
        <w:ind w:left="288"/>
      </w:pPr>
      <w:r>
        <w:rPr>
          <w:color w:val="1E1E1E"/>
          <w:sz w:val="18"/>
        </w:rPr>
        <w:t>Vide ADI 2.566, rel. min. Alexandre de Moraes, red. do ac. min. Edson Fachin, j. 16-5-2018, P, DJE de 23-10-2018</w:t>
      </w:r>
    </w:p>
    <w:p>
      <w:pPr>
        <w:ind w:left="288"/>
      </w:pPr>
      <w:r>
        <w:rPr>
          <w:color w:val="8C8C8C"/>
          <w:sz w:val="12"/>
        </w:rPr>
        <w:t>cf-art-5-inc-VII</w:t>
      </w:r>
      <w:r>
        <w:rPr>
          <w:color w:val="003CA0"/>
          <w:sz w:val="12"/>
        </w:rPr>
        <w:t xml:space="preserve"> | MS 40.556</w:t>
      </w:r>
      <w:r>
        <w:rPr>
          <w:color w:val="003CA0"/>
          <w:sz w:val="12"/>
        </w:rPr>
        <w:t xml:space="preserve"> | rel. Nunes Marques</w:t>
      </w:r>
    </w:p>
    <w:p>
      <w:pPr>
        <w:ind w:left="288"/>
      </w:pPr>
      <w:r>
        <w:rPr>
          <w:color w:val="1E1E1E"/>
          <w:sz w:val="18"/>
        </w:rPr>
        <w:t>VIII - ninguém será privado de direitos por motivo de crença religiosa ou de convicção filosófica ou política, salvo se as invocar para eximir-se de obrigação legal a todos imposta e recusar-se a cumprir prestação alternativa, fixada em lei; 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w:t>
      </w:r>
    </w:p>
    <w:p>
      <w:pPr>
        <w:ind w:left="288"/>
      </w:pPr>
      <w:r>
        <w:rPr>
          <w:b/>
          <w:color w:val="003CA0"/>
          <w:sz w:val="16"/>
        </w:rPr>
        <w:t>[MS 40.556 AgR, rel. min. Nunes Marques, j. 18-2-2026, 2ª T, DJE de 27-2-2026.]</w:t>
      </w:r>
    </w:p>
    <w:p>
      <w:pPr>
        <w:ind w:left="288"/>
      </w:pPr>
      <w:r>
        <w:rPr>
          <w:color w:val="8C8C8C"/>
          <w:sz w:val="12"/>
        </w:rPr>
        <w:t>cf-art-5-inc-VII</w:t>
      </w:r>
      <w:r>
        <w:rPr>
          <w:color w:val="003CA0"/>
          <w:sz w:val="12"/>
        </w:rPr>
        <w:t xml:space="preserve"> | ARE 1.267.879</w:t>
      </w:r>
      <w:r>
        <w:rPr>
          <w:color w:val="003CA0"/>
          <w:sz w:val="12"/>
        </w:rPr>
        <w:t xml:space="preserve"> | rel. Roberto Barroso</w:t>
      </w:r>
    </w:p>
    <w:p>
      <w:pPr>
        <w:ind w:left="288"/>
      </w:pPr>
      <w:r>
        <w:rPr>
          <w:color w:val="1E1E1E"/>
          <w:sz w:val="18"/>
        </w:rPr>
        <w:t>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 poder familiar.</w:t>
      </w:r>
    </w:p>
    <w:p>
      <w:pPr>
        <w:ind w:left="288"/>
      </w:pPr>
      <w:r>
        <w:rPr>
          <w:b/>
          <w:color w:val="003CA0"/>
          <w:sz w:val="16"/>
        </w:rPr>
        <w:t>[ARE 1.267.879, rel. min. Roberto Barroso, j. 17-12-2020, P, DJE de 8-4-2021. Tema 1.103, com mérito julgado.]</w:t>
      </w:r>
    </w:p>
    <w:p>
      <w:pPr>
        <w:ind w:left="288"/>
      </w:pPr>
      <w:r>
        <w:rPr>
          <w:color w:val="8C8C8C"/>
          <w:sz w:val="12"/>
        </w:rPr>
        <w:t>cf-art-5-inc-VII</w:t>
      </w:r>
      <w:r>
        <w:rPr>
          <w:color w:val="003CA0"/>
          <w:sz w:val="12"/>
        </w:rPr>
        <w:t xml:space="preserve"> | RE 611.874</w:t>
      </w:r>
      <w:r>
        <w:rPr>
          <w:color w:val="003CA0"/>
          <w:sz w:val="12"/>
        </w:rPr>
        <w:t xml:space="preserve"> | rel. Dias Toffoli</w:t>
      </w:r>
    </w:p>
    <w:p>
      <w:pPr>
        <w:ind w:left="288"/>
      </w:pPr>
      <w:r>
        <w:rPr>
          <w:color w:val="1E1E1E"/>
          <w:sz w:val="18"/>
        </w:rPr>
        <w:t>Nos termos do art. 5º, VIII, da CF, é possível a realização de etapas de concurso público em datas e horários distintos dos previstos em edital por candidato que invoca a escusa de consciência por motivo de crença religiosa, desde que presente a razoabilidade da alteração, a preservação da igualdade entre todos os candidatos e que não acarrete ônus desproporcional à Administração pública, que deverá decidir de maneira fundamentada.</w:t>
      </w:r>
    </w:p>
    <w:p>
      <w:pPr>
        <w:ind w:left="288"/>
      </w:pPr>
      <w:r>
        <w:rPr>
          <w:b/>
          <w:color w:val="003CA0"/>
          <w:sz w:val="16"/>
        </w:rPr>
        <w:t>[RE 611.874, rel. min. Dias Toffoli, red. do ac. min. Edson Fachin, j. 26-11-2020, P, DJE de 12-4-2021. Tema 386, com mérito julgado.]</w:t>
      </w:r>
    </w:p>
    <w:p>
      <w:pPr>
        <w:ind w:left="288"/>
      </w:pPr>
      <w:r>
        <w:rPr>
          <w:color w:val="8C8C8C"/>
          <w:sz w:val="12"/>
        </w:rPr>
        <w:t>cf-art-5-inc-VII</w:t>
      </w:r>
      <w:r>
        <w:rPr>
          <w:color w:val="003CA0"/>
          <w:sz w:val="12"/>
        </w:rPr>
        <w:t xml:space="preserve"> | ARE 1.099.099</w:t>
      </w:r>
      <w:r>
        <w:rPr>
          <w:color w:val="003CA0"/>
          <w:sz w:val="12"/>
        </w:rPr>
        <w:t xml:space="preserve"> | rel. Edson Fachin</w:t>
      </w:r>
    </w:p>
    <w:p>
      <w:pPr>
        <w:ind w:left="288"/>
      </w:pPr>
      <w:r>
        <w:rPr>
          <w:color w:val="1E1E1E"/>
          <w:sz w:val="18"/>
        </w:rPr>
        <w:t>Nos termos do art. 5º, VIII, da CRFB, é possível a Administração Pública, inclusive em estágio probatório, estabelecer critérios alternativos para o regular exercício dos deveres funcionais inerentes aos cargos públicos, em face de servidores que invocam escusa de consciência por motivos de crença religiosa, desde que presente a razoabilidade da alteração, não se caracterize o desvirtuamento no exercício de suas funções e não acarrete ônus desproporcional à Administração Pública, que deverá decidir de maneira fundamentada.</w:t>
      </w:r>
    </w:p>
    <w:p>
      <w:pPr>
        <w:ind w:left="288"/>
      </w:pPr>
      <w:r>
        <w:rPr>
          <w:b/>
          <w:color w:val="003CA0"/>
          <w:sz w:val="16"/>
        </w:rPr>
        <w:t>[ARE 1.099.099, rel. min. Edson Fachin, j. 26-11-2020, P, DJE de 12-4-2021. Tema 1.021, com mérito julgado.]</w:t>
      </w:r>
    </w:p>
    <w:p>
      <w:pPr>
        <w:ind w:left="288"/>
      </w:pPr>
      <w:r>
        <w:rPr>
          <w:color w:val="8C8C8C"/>
          <w:sz w:val="12"/>
        </w:rPr>
        <w:t>cf-art-5-inc-VII</w:t>
      </w:r>
      <w:r>
        <w:rPr>
          <w:color w:val="003CA0"/>
          <w:sz w:val="12"/>
        </w:rPr>
        <w:t xml:space="preserve"> | RE 1.319.019</w:t>
      </w:r>
      <w:r>
        <w:rPr>
          <w:color w:val="003CA0"/>
          <w:sz w:val="12"/>
        </w:rPr>
        <w:t xml:space="preserve"> | rel. Nunes Marques</w:t>
      </w:r>
    </w:p>
    <w:p>
      <w:pPr>
        <w:ind w:left="288"/>
      </w:pPr>
      <w:r>
        <w:rPr>
          <w:color w:val="1E1E1E"/>
          <w:sz w:val="18"/>
        </w:rPr>
        <w:t>Nos termos do art. 4º da Lei n. 5.292, de 8 de junho de 1967, os estudantes que concluíram curso de Medicina, Farmácia, Odontologia e Veterinária sem haver prestado o serviço militar obrigatório deverão apresentar-se para fazê-lo após a conclusão do bacharelado, de programa de residência médica ou pós-graduação. Havendo sido, o agravante, no início do curso de Medicina, contemplado pela prorrogação de cumprimento do serviço militar obrigatório, não lhe é lícito, ao término da graduação, postular um novo beneplácito consistente, dessa vez, em prestação alternativa. O manejo da via judicial para</w:t>
      </w:r>
    </w:p>
    <w:p>
      <w:pPr>
        <w:ind w:left="288"/>
      </w:pPr>
      <w:r>
        <w:rPr>
          <w:b/>
          <w:color w:val="003CA0"/>
          <w:sz w:val="16"/>
        </w:rPr>
        <w:t>[RE 1.319.019 AgR-segundo, rel. min. Nunes Marques, j. 24-10-2022, 2ª T, DJE de 11-11-2022.]</w:t>
      </w:r>
    </w:p>
    <w:p>
      <w:pPr>
        <w:ind w:left="288"/>
      </w:pPr>
      <w:r>
        <w:rPr>
          <w:color w:val="8C8C8C"/>
          <w:sz w:val="12"/>
        </w:rPr>
        <w:t>cf-art-5-inc-VII</w:t>
      </w:r>
      <w:r>
        <w:rPr>
          <w:color w:val="003CA0"/>
          <w:sz w:val="12"/>
        </w:rPr>
        <w:t xml:space="preserve"> | STA 389</w:t>
      </w:r>
      <w:r>
        <w:rPr>
          <w:color w:val="003CA0"/>
          <w:sz w:val="12"/>
        </w:rPr>
        <w:t xml:space="preserve"> | rel. Gilmar Mendes</w:t>
      </w:r>
    </w:p>
    <w:p>
      <w:pPr>
        <w:ind w:left="288"/>
      </w:pPr>
      <w:r>
        <w:rPr>
          <w:color w:val="1E1E1E"/>
          <w:sz w:val="18"/>
        </w:rPr>
        <w:t>Pedido de restabelecimento dos efeitos da decisão do Tribunal a quo que possibilitaria a participação de estudantes judeus no Exame Nacional do Ensino Médio (ENEM) em data alternativa ao Shabat. Alegação de inobservância ao direito fundamental de liberdade religiosa e ao direito à educação. Medida acautelatória que configura grave lesão à ordem jurídico-administrativa. Em mero juízo de delibação, pode-se afirmar que a designação de data alternativa para a realização dos exames não se revela em sintonia com o princípio da isonomia, convolando-se em privilégio para um determinado grupo religioso</w:t>
      </w:r>
    </w:p>
    <w:p>
      <w:pPr>
        <w:ind w:left="288"/>
      </w:pPr>
      <w:r>
        <w:rPr>
          <w:b/>
          <w:color w:val="003CA0"/>
          <w:sz w:val="16"/>
        </w:rPr>
        <w:t>[STA 389 AgR, rel. min. Gilmar Mendes, j. 3-12-2009, P, DJE de 14-5-2010.]</w:t>
      </w:r>
    </w:p>
    <w:p>
      <w:pPr>
        <w:ind w:left="288"/>
      </w:pPr>
      <w:r>
        <w:rPr>
          <w:color w:val="8C8C8C"/>
          <w:sz w:val="12"/>
        </w:rPr>
        <w:t>cf-art-5-inc-VII</w:t>
      </w:r>
      <w:r>
        <w:rPr>
          <w:color w:val="003CA0"/>
          <w:sz w:val="12"/>
        </w:rPr>
        <w:t xml:space="preserve"> | RE 130.206</w:t>
      </w:r>
      <w:r>
        <w:rPr>
          <w:color w:val="003CA0"/>
          <w:sz w:val="12"/>
        </w:rPr>
        <w:t xml:space="preserve"> | rel. Ilmar Galvão</w:t>
      </w:r>
    </w:p>
    <w:p>
      <w:pPr>
        <w:ind w:left="288"/>
      </w:pPr>
      <w:r>
        <w:rPr>
          <w:color w:val="1E1E1E"/>
          <w:sz w:val="18"/>
        </w:rPr>
        <w:t>Nulidade de ato de despedida de empregados de sociedade de economia mista, por razões de ordem político-partidária. (...) Decisão incensurável, por haver-se configurado flagrante violação ao princípio da liberdade de convicção política, constitucionalmente consagrado, ao qual estão especialmente adstritos os entes da administração pública.</w:t>
      </w:r>
    </w:p>
    <w:p>
      <w:pPr>
        <w:ind w:left="288"/>
      </w:pPr>
      <w:r>
        <w:rPr>
          <w:b/>
          <w:color w:val="003CA0"/>
          <w:sz w:val="16"/>
        </w:rPr>
        <w:t>[RE 130.206, rel. min. Ilmar Galvão, j. 17-9-1991, 1ª T, DJ de 22-11-1991.]</w:t>
      </w:r>
    </w:p>
    <w:p>
      <w:pPr>
        <w:ind w:left="288"/>
      </w:pPr>
      <w:r>
        <w:rPr>
          <w:color w:val="8C8C8C"/>
          <w:sz w:val="12"/>
        </w:rPr>
        <w:t>cf-art-5-inc-IX</w:t>
      </w:r>
      <w:r>
        <w:rPr>
          <w:color w:val="003CA0"/>
          <w:sz w:val="12"/>
        </w:rPr>
        <w:t xml:space="preserve"> | ADPF 522</w:t>
      </w:r>
      <w:r>
        <w:rPr>
          <w:color w:val="003CA0"/>
          <w:sz w:val="12"/>
        </w:rPr>
        <w:t xml:space="preserve"> | rel. Marco Aurélio</w:t>
      </w:r>
    </w:p>
    <w:p>
      <w:pPr>
        <w:ind w:left="288"/>
      </w:pPr>
      <w:r>
        <w:rPr>
          <w:color w:val="1E1E1E"/>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w:t>
      </w:r>
    </w:p>
    <w:p>
      <w:pPr>
        <w:ind w:left="288"/>
      </w:pPr>
      <w:r>
        <w:rPr>
          <w:b/>
          <w:color w:val="003CA0"/>
          <w:sz w:val="16"/>
        </w:rPr>
        <w:t>[ADPF 522, rel. min. Marco Aurélio, red. do ac. min. Cristiano Zanin, j. 15-10-2025, P, DJE de 23-2-2026.]</w:t>
      </w:r>
    </w:p>
    <w:p>
      <w:pPr>
        <w:ind w:left="288"/>
      </w:pPr>
      <w:r>
        <w:rPr>
          <w:color w:val="8C8C8C"/>
          <w:sz w:val="12"/>
        </w:rPr>
        <w:t>cf-art-5-inc-IX</w:t>
      </w:r>
      <w:r>
        <w:rPr>
          <w:color w:val="003CA0"/>
          <w:sz w:val="12"/>
        </w:rPr>
        <w:t xml:space="preserve"> | ADI 7.261</w:t>
      </w:r>
      <w:r>
        <w:rPr>
          <w:color w:val="003CA0"/>
          <w:sz w:val="12"/>
        </w:rPr>
        <w:t xml:space="preserve"> | rel. Edson Fachin</w:t>
      </w:r>
    </w:p>
    <w:p>
      <w:pPr>
        <w:ind w:left="288"/>
      </w:pPr>
      <w:r>
        <w:rPr>
          <w:color w:val="1E1E1E"/>
          <w:sz w:val="18"/>
        </w:rPr>
        <w:t>A Resolução TSE nº. 23.714/2022 não consiste em exercício de censura prévia. A disseminação de notícias falsas, no curto prazo do processo eleitoral, pode ter a força de ocupar todo espaço público, restringindo a circulação de ideias e o livre exercício do direito à informação. O fenômeno da desinformação veiculada por meio da internet, caso não fiscalizado pela autoridade eleitoral, tem o condão de restringir a formação livre e consciente da vontade do eleitor.</w:t>
      </w:r>
    </w:p>
    <w:p>
      <w:pPr>
        <w:ind w:left="288"/>
      </w:pPr>
      <w:r>
        <w:rPr>
          <w:b/>
          <w:color w:val="003CA0"/>
          <w:sz w:val="16"/>
        </w:rPr>
        <w:t>[ADI 7.261, rel. min. Edson Fachin, j. 19.12.2024, P, DJE de 06.03.2024.]</w:t>
      </w:r>
    </w:p>
    <w:p>
      <w:pPr>
        <w:ind w:left="288"/>
      </w:pPr>
      <w:r>
        <w:rPr>
          <w:color w:val="8C8C8C"/>
          <w:sz w:val="12"/>
        </w:rPr>
        <w:t>cf-art-5-inc-IX</w:t>
      </w:r>
      <w:r>
        <w:rPr>
          <w:color w:val="003CA0"/>
          <w:sz w:val="12"/>
        </w:rPr>
        <w:t xml:space="preserve"> | ADI 6.792</w:t>
      </w:r>
      <w:r>
        <w:rPr>
          <w:color w:val="003CA0"/>
          <w:sz w:val="12"/>
        </w:rPr>
        <w:t xml:space="preserve"> | rel. Rosa Weber</w:t>
      </w:r>
    </w:p>
    <w:p>
      <w:pPr>
        <w:ind w:left="288"/>
      </w:pPr>
      <w:r>
        <w:rPr>
          <w:color w:val="1E1E1E"/>
          <w:sz w:val="18"/>
        </w:rPr>
        <w:t>“1. Constitui assédio judicial comprometedor da liberdade de expressão o ajuizamento de inúmeras ações a respeito dos mesmos fatos, em comarcas diversas, com o intuito ou o efeito de constranger jornalista ou órgão de imprensa, dificultar sua defesa ou torná-la excessivamente onerosa. 2. Caracterizado o assédio judicial, a parte demandada poderá requerer a reunião de todas as ações no foro de seu domicílio. 3. A responsabilidade civil de jornalistas ou de órgãos de imprensa somente estará configurada em caso inequívoco de dolo ou de culpa grave (evidente negligência profissional na apuração do</w:t>
      </w:r>
    </w:p>
    <w:p>
      <w:pPr>
        <w:ind w:left="288"/>
      </w:pPr>
      <w:r>
        <w:rPr>
          <w:b/>
          <w:color w:val="003CA0"/>
          <w:sz w:val="16"/>
        </w:rPr>
        <w:t>[ADI 6.792 e ADI 7.055, rel. min. Rosa Weber, red. do ac. Luís Roberto Barroso, j. 22.05.2024, P, DJE de 04.04.2025.]</w:t>
      </w:r>
    </w:p>
    <w:p>
      <w:pPr>
        <w:ind w:left="288"/>
      </w:pPr>
      <w:r>
        <w:rPr>
          <w:color w:val="8C8C8C"/>
          <w:sz w:val="12"/>
        </w:rPr>
        <w:t>cf-art-5-inc-IX</w:t>
      </w:r>
      <w:r>
        <w:rPr>
          <w:color w:val="003CA0"/>
          <w:sz w:val="12"/>
        </w:rPr>
        <w:t xml:space="preserve"> | ADPF 475</w:t>
      </w:r>
      <w:r>
        <w:rPr>
          <w:color w:val="003CA0"/>
          <w:sz w:val="12"/>
        </w:rPr>
        <w:t xml:space="preserve"> | rel. Dias Toffoli</w:t>
      </w:r>
    </w:p>
    <w:p>
      <w:pPr>
        <w:ind w:left="288"/>
      </w:pPr>
      <w:r>
        <w:rPr>
          <w:color w:val="1E1E1E"/>
          <w:sz w:val="18"/>
        </w:rPr>
        <w:t>Artigo 166 do Decreto-Lei nº 1.001, de 21 de outubro de 1969. Código Penal Militar. (...) Na espécie, está-se diante de dispositivo do Código Penal Militar que proíbe os militares de criticar publicamente ato de seu superior ou assunto atinente à disciplina militar, ou a qualquer resolução do governo, sob pena de detenção. (...) A previsão normativa em apreço não ofende, a priori, os princípios e valores constitucionalmente protegidos. Ao reprimir a crítica dos militares “a atos de seu superior ou assunto atinente à disciplina militar, ou a qualquer resolução do Governo”, a norma pretende evit</w:t>
      </w:r>
    </w:p>
    <w:p>
      <w:pPr>
        <w:ind w:left="288"/>
      </w:pPr>
      <w:r>
        <w:rPr>
          <w:b/>
          <w:color w:val="003CA0"/>
          <w:sz w:val="16"/>
        </w:rPr>
        <w:t>[ADPF 475, rel. min. Dias Toffoli, j. 13-4-2023, P, DJE de 4-5-2023.]</w:t>
      </w:r>
    </w:p>
    <w:p>
      <w:pPr>
        <w:ind w:left="288"/>
      </w:pPr>
      <w:r>
        <w:rPr>
          <w:color w:val="8C8C8C"/>
          <w:sz w:val="12"/>
        </w:rPr>
        <w:t>cf-art-5-inc-IX</w:t>
      </w:r>
      <w:r>
        <w:rPr>
          <w:color w:val="003CA0"/>
          <w:sz w:val="12"/>
        </w:rPr>
        <w:t xml:space="preserve"> | ADPF 734</w:t>
      </w:r>
      <w:r>
        <w:rPr>
          <w:color w:val="003CA0"/>
          <w:sz w:val="12"/>
        </w:rPr>
        <w:t xml:space="preserve"> | rel. Dias Toffoli</w:t>
      </w:r>
    </w:p>
    <w:p>
      <w:pPr>
        <w:ind w:left="288"/>
      </w:pPr>
      <w:r>
        <w:rPr>
          <w:color w:val="1E1E1E"/>
          <w:sz w:val="18"/>
        </w:rPr>
        <w:t>Vide ADPF 734, rel. min. Dias Toffoli, j. 13-4-2023, P, DJE de 4-5-2023 Artigo 31, incisos IV e V, da Lei nº 6.425/72 do Estado de Pernambuco, a qual institui o estatuto policial no âmbito daquele estado. (...) Na espécie, impugna-se lei estadual que proíbe os policiais civis do Estado de Pernambuco de “promover ou participar de manifestações de apreço ou desapreço a quaisquer autoridades” e de “manifestar-se ou participar de manifestações contra atos da Administração Pública em geral”. (...) As restrições preconizadas no ato normativo em apreço são adequadas, necessárias e proporcionais, morm</w:t>
      </w:r>
    </w:p>
    <w:p>
      <w:pPr>
        <w:ind w:left="288"/>
      </w:pPr>
      <w:r>
        <w:rPr>
          <w:b/>
          <w:color w:val="003CA0"/>
          <w:sz w:val="16"/>
        </w:rPr>
        <w:t>[ADPF 734, rel. min. Dias Toffoli, j. 13-4-2023, P, DJE de 4-5-2023.]</w:t>
      </w:r>
    </w:p>
    <w:p>
      <w:pPr>
        <w:ind w:left="288"/>
      </w:pPr>
      <w:r>
        <w:rPr>
          <w:color w:val="8C8C8C"/>
          <w:sz w:val="12"/>
        </w:rPr>
        <w:t>cf-art-5-inc-IX</w:t>
      </w:r>
      <w:r>
        <w:rPr>
          <w:color w:val="003CA0"/>
          <w:sz w:val="12"/>
        </w:rPr>
        <w:t xml:space="preserve"> | ADPF 475</w:t>
      </w:r>
      <w:r>
        <w:rPr>
          <w:color w:val="003CA0"/>
          <w:sz w:val="12"/>
        </w:rPr>
        <w:t xml:space="preserve"> | rel. Dias Toffoli</w:t>
      </w:r>
    </w:p>
    <w:p>
      <w:pPr>
        <w:ind w:left="288"/>
      </w:pPr>
      <w:r>
        <w:rPr>
          <w:color w:val="1E1E1E"/>
          <w:sz w:val="18"/>
        </w:rPr>
        <w:t>Vide ADPF 475, rel. min. Dias Toffoli, j. 13-4-2023, P, DJE de 4-5-2023 Propaganda eleitoral paga em periódicos impressos e na internet. (...) A propaganda eleitoral é disciplinada em lei, que pode estipular limites para sua realização, nos diversos meios de comunicação, sem que isso signifique ofensa as liberdades de expressão, de imprensa ou de informação. Tais limitações, prescritas dentro da razoabilidade e da proporcionalidade, igualmente não importam em desrespeito aos princípios da democracia, da República e do pluralismo político, tampouco aos postulados da liberdade de iniciativa e da</w:t>
      </w:r>
    </w:p>
    <w:p>
      <w:pPr>
        <w:ind w:left="288"/>
      </w:pPr>
      <w:r>
        <w:rPr>
          <w:b/>
          <w:color w:val="003CA0"/>
          <w:sz w:val="16"/>
        </w:rPr>
        <w:t>[ADI 6.281, rel. min. Luiz Fux, red. do ac. min. Nunes Marques, j. 17-2-2022, P, DJE de 26-5-2022.]</w:t>
      </w:r>
    </w:p>
    <w:p>
      <w:pPr>
        <w:ind w:left="288"/>
      </w:pPr>
      <w:r>
        <w:rPr>
          <w:color w:val="8C8C8C"/>
          <w:sz w:val="12"/>
        </w:rPr>
        <w:t>cf-art-5-inc-IX</w:t>
      </w:r>
      <w:r>
        <w:rPr>
          <w:color w:val="003CA0"/>
          <w:sz w:val="12"/>
        </w:rPr>
        <w:t xml:space="preserve"> | ADI 5.970</w:t>
      </w:r>
      <w:r>
        <w:rPr>
          <w:color w:val="003CA0"/>
          <w:sz w:val="12"/>
        </w:rPr>
        <w:t xml:space="preserve"> | rel. Dias Toffoli</w:t>
      </w:r>
    </w:p>
    <w:p>
      <w:pPr>
        <w:ind w:left="288"/>
      </w:pPr>
      <w:r>
        <w:rPr>
          <w:color w:val="1E1E1E"/>
          <w:sz w:val="18"/>
        </w:rPr>
        <w:t>É (...) assegurado a todo cidadão manifestar seu apreço ou sua antipatia por qualquer candidato, garantia que, por óbvio, contempla os artistas que escolherem expressar, por meio de seu trabalho, um posicionamento político antes, durante ou depois do período eleitoral. A proibição dos showmícios e eventos assemelhados não vulnera a liberdade de expressão, já que a norma em questão não se traduz em uma censura prévia ou em proibição do engajamento político dos artistas, visto que dela não se extrai impedimento para que um artista manifeste seu posicionamento político em seus shows ou em suas ap</w:t>
      </w:r>
    </w:p>
    <w:p>
      <w:pPr>
        <w:ind w:left="288"/>
      </w:pPr>
      <w:r>
        <w:rPr>
          <w:b/>
          <w:color w:val="003CA0"/>
          <w:sz w:val="16"/>
        </w:rPr>
        <w:t>[ADI 5.970, rel. min. Dias Toffoli, j. 7-10-2021, P, DJE de 8-3-2022.]</w:t>
      </w:r>
    </w:p>
    <w:p>
      <w:pPr>
        <w:ind w:left="288"/>
      </w:pPr>
      <w:r>
        <w:rPr>
          <w:color w:val="8C8C8C"/>
          <w:sz w:val="12"/>
        </w:rPr>
        <w:t>cf-art-5-inc-IX</w:t>
      </w:r>
      <w:r>
        <w:rPr>
          <w:color w:val="003CA0"/>
          <w:sz w:val="12"/>
        </w:rPr>
        <w:t xml:space="preserve"> | ADI 5.418</w:t>
      </w:r>
      <w:r>
        <w:rPr>
          <w:color w:val="003CA0"/>
          <w:sz w:val="12"/>
        </w:rPr>
        <w:t xml:space="preserve"> | rel. Dias Toffoli</w:t>
      </w:r>
    </w:p>
    <w:p>
      <w:pPr>
        <w:ind w:left="288"/>
      </w:pPr>
      <w:r>
        <w:rPr>
          <w:color w:val="1E1E1E"/>
          <w:sz w:val="18"/>
        </w:rPr>
        <w:t>O direito de resposta possibilita que a liberdade de expressão seja exercida em sua plenitude, pois é acionado apenas após a livre e irrestrita manifestação do pensamento. Além disso, o direito de resposta concede ao ofendido espaço adequado para que exerça, com o necessário alcance, seu direito de voz no espaço público.</w:t>
      </w:r>
    </w:p>
    <w:p>
      <w:pPr>
        <w:ind w:left="288"/>
      </w:pPr>
      <w:r>
        <w:rPr>
          <w:b/>
          <w:color w:val="003CA0"/>
          <w:sz w:val="16"/>
        </w:rPr>
        <w:t>[ADI 5.418, rel. min. Dias Toffoli, j. 11-3-2021, P, DJE de 25-5-2021.]</w:t>
      </w:r>
    </w:p>
    <w:p>
      <w:pPr>
        <w:ind w:left="288"/>
      </w:pPr>
      <w:r>
        <w:rPr>
          <w:color w:val="8C8C8C"/>
          <w:sz w:val="12"/>
        </w:rPr>
        <w:t>cf-art-5-inc-IX</w:t>
      </w:r>
      <w:r>
        <w:rPr>
          <w:color w:val="003CA0"/>
          <w:sz w:val="12"/>
        </w:rPr>
        <w:t xml:space="preserve"> | ADPF 572</w:t>
      </w:r>
      <w:r>
        <w:rPr>
          <w:color w:val="003CA0"/>
          <w:sz w:val="12"/>
        </w:rPr>
        <w:t xml:space="preserve"> | rel. Edson Fachin</w:t>
      </w:r>
    </w:p>
    <w:p>
      <w:pPr>
        <w:ind w:left="288"/>
      </w:pPr>
      <w:r>
        <w:rPr>
          <w:color w:val="1E1E1E"/>
          <w:sz w:val="18"/>
        </w:rPr>
        <w:t>Nos limites desse processo, diante de incitamento ao fechamento do STF, de ameaça de morte ou de prisão de seus membros, de apregoada desobediência a decisões judiciais, arguição de descumprimento de preceito fundamental julgada totalmente improcedente, nos termos expressos em que foi formulado o pedido ao final da petição inicial, para declarar a constitucionalidade da Portaria GP 69/2019 enquanto constitucional o artigo 43 do RISTF, nas específicas e próprias circunstâncias de fato com esse ato exclusivamente envolvidas. Resta assentado o sentido adequado do referido ato a fim de que o proce</w:t>
      </w:r>
    </w:p>
    <w:p>
      <w:pPr>
        <w:ind w:left="288"/>
      </w:pPr>
      <w:r>
        <w:rPr>
          <w:b/>
          <w:color w:val="003CA0"/>
          <w:sz w:val="16"/>
        </w:rPr>
        <w:t>[ADPF 572, rel. min. Edson Fachin, j. 18-6-2020, P, DJE de 7-5-2021.]</w:t>
      </w:r>
    </w:p>
    <w:p>
      <w:pPr>
        <w:ind w:left="288"/>
      </w:pPr>
      <w:r>
        <w:rPr>
          <w:color w:val="8C8C8C"/>
          <w:sz w:val="12"/>
        </w:rPr>
        <w:t>cf-art-5-inc-IX</w:t>
      </w:r>
      <w:r>
        <w:rPr>
          <w:color w:val="003CA0"/>
          <w:sz w:val="12"/>
        </w:rPr>
        <w:t xml:space="preserve"> | ADPF 548</w:t>
      </w:r>
      <w:r>
        <w:rPr>
          <w:color w:val="003CA0"/>
          <w:sz w:val="12"/>
        </w:rPr>
        <w:t xml:space="preserve"> | rel. Cármen Lúcia</w:t>
      </w:r>
    </w:p>
    <w:p>
      <w:pPr>
        <w:ind w:left="288"/>
      </w:pPr>
      <w:r>
        <w:rPr>
          <w:color w:val="1E1E1E"/>
          <w:sz w:val="18"/>
        </w:rPr>
        <w:t xml:space="preserve">Afronta aos princípios da liberdade de manifestação de pensamento e da autonomia universitária. (...) Inconstitucionalidade de interpretação dos arts. 24 e 37 da Lei n. 9.504/1997 que conduza a atos judiciais ou administrativos que possibilitem, determinem ou promovam ingresso de agentes públicos em universidades públicas e privadas, recolhimento de documentos, interrupção de aulas, debates ou manifestações de docentes e discentes universitários, a atividade disciplinar docente e discente e coleta irregular de depoimentos pela prática de manifestação livre de ideias e divulgação de pensamento </w:t>
      </w:r>
    </w:p>
    <w:p>
      <w:pPr>
        <w:ind w:left="288"/>
      </w:pPr>
      <w:r>
        <w:rPr>
          <w:b/>
          <w:color w:val="003CA0"/>
          <w:sz w:val="16"/>
        </w:rPr>
        <w:t>[ADPF 548, rel. min. Cármen Lúcia, j. 15-5-2020, P, DJE de 9-6-2020.]</w:t>
      </w:r>
    </w:p>
    <w:p>
      <w:pPr>
        <w:ind w:left="288"/>
      </w:pPr>
      <w:r>
        <w:rPr>
          <w:color w:val="8C8C8C"/>
          <w:sz w:val="12"/>
        </w:rPr>
        <w:t>cf-art-5-inc-IX</w:t>
      </w:r>
      <w:r>
        <w:rPr>
          <w:color w:val="003CA0"/>
          <w:sz w:val="12"/>
        </w:rPr>
        <w:t xml:space="preserve"> | ADPF 183</w:t>
      </w:r>
      <w:r>
        <w:rPr>
          <w:color w:val="003CA0"/>
          <w:sz w:val="12"/>
        </w:rPr>
        <w:t xml:space="preserve"> | rel. Alexandre de Moraes</w:t>
      </w:r>
    </w:p>
    <w:p>
      <w:pPr>
        <w:ind w:left="288"/>
      </w:pPr>
      <w:r>
        <w:rPr>
          <w:color w:val="1E1E1E"/>
          <w:sz w:val="18"/>
        </w:rPr>
        <w:t>As limitações ao livre exercício das profissões serão legítimas apenas quando o inadequado exercício de determinada atividade possa vir a causar danos a terceiros e desde que obedeçam a critérios de adequação e razoabilidade, o que não ocorre em relação ao exercício da profissão de músico, ausente qualquer interesse público na sua restrição. A existência de um conselho profissional com competências para selecionar, disciplinar e fiscalizar o exercício da profissão de músico (art. 1º), para proceder a registros profissionais obrigatórios, para expedir carteiras profissionais obrigatórias (arts.</w:t>
      </w:r>
    </w:p>
    <w:p>
      <w:pPr>
        <w:ind w:left="288"/>
      </w:pPr>
      <w:r>
        <w:rPr>
          <w:b/>
          <w:color w:val="003CA0"/>
          <w:sz w:val="16"/>
        </w:rPr>
        <w:t>[ADPF 183, rel. min. Alexandre de Moraes, j. 27-9-2019, P, DJE de 18-11-2019.]</w:t>
      </w:r>
    </w:p>
    <w:p>
      <w:pPr>
        <w:ind w:left="288"/>
      </w:pPr>
      <w:r>
        <w:rPr>
          <w:color w:val="8C8C8C"/>
          <w:sz w:val="12"/>
        </w:rPr>
        <w:t>cf-art-5-inc-IX</w:t>
      </w:r>
      <w:r>
        <w:rPr>
          <w:color w:val="003CA0"/>
          <w:sz w:val="12"/>
        </w:rPr>
        <w:t xml:space="preserve"> | ADI 4.451</w:t>
      </w:r>
      <w:r>
        <w:rPr>
          <w:color w:val="003CA0"/>
          <w:sz w:val="12"/>
        </w:rPr>
        <w:t xml:space="preserve"> | rel. Alexandre de Moraes</w:t>
      </w:r>
    </w:p>
    <w:p>
      <w:pPr>
        <w:ind w:left="288"/>
      </w:pPr>
      <w:r>
        <w:rPr>
          <w:color w:val="1E1E1E"/>
          <w:sz w:val="18"/>
        </w:rPr>
        <w:t>A Democracia não existirá e a livre participação política não florescerá onde a liberdade de expressão for ceifada, pois esta constitui condição essencial ao pluralismo de ideias, que por sua vez é um valor estruturante para o salutar funcionamento do sistema democrático. A livre discussão, a ampla participação política e o princípio democrático estão interligados com a liberdade de expressão, tendo por objeto não somente a proteção de pensamentos e ideias, mas também opiniões, crenças, realização de juízo de valor e críticas a agentes públicos, no sentido de garantir a real participação dos c</w:t>
      </w:r>
    </w:p>
    <w:p>
      <w:pPr>
        <w:ind w:left="288"/>
      </w:pPr>
      <w:r>
        <w:rPr>
          <w:b/>
          <w:color w:val="003CA0"/>
          <w:sz w:val="16"/>
        </w:rPr>
        <w:t>[ADI 4.451, rel. min. Alexandre de Moraes, j. 21-6-2018, P, DJE de 6-3-2019.]</w:t>
      </w:r>
    </w:p>
    <w:p>
      <w:pPr>
        <w:ind w:left="288"/>
      </w:pPr>
      <w:r>
        <w:rPr>
          <w:color w:val="8C8C8C"/>
          <w:sz w:val="12"/>
        </w:rPr>
        <w:t>cf-art-5-inc-IX</w:t>
      </w:r>
      <w:r>
        <w:rPr>
          <w:color w:val="003CA0"/>
          <w:sz w:val="12"/>
        </w:rPr>
        <w:t xml:space="preserve"> | ADI 2.566</w:t>
      </w:r>
      <w:r>
        <w:rPr>
          <w:color w:val="003CA0"/>
          <w:sz w:val="12"/>
        </w:rPr>
        <w:t xml:space="preserve"> | rel. Alexandre de Moraes</w:t>
      </w:r>
    </w:p>
    <w:p>
      <w:pPr>
        <w:ind w:left="288"/>
      </w:pPr>
      <w:r>
        <w:rPr>
          <w:color w:val="1E1E1E"/>
          <w:sz w:val="18"/>
        </w:rPr>
        <w:t>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pressupõem a livre troca de ideias e não apenas a divulgação de informações. O artigo 220 da Constituição Federal expressamente consagra a liberdade de expressão</w:t>
      </w:r>
    </w:p>
    <w:p>
      <w:pPr>
        <w:ind w:left="288"/>
      </w:pPr>
      <w:r>
        <w:rPr>
          <w:b/>
          <w:color w:val="003CA0"/>
          <w:sz w:val="16"/>
        </w:rPr>
        <w:t>[ADI 2.566, rel. min. Alexandre de Moraes, red. do ac. min. Edson Fachin, j. 16-5-2018, P, DJE de 23-10-2018.]</w:t>
      </w:r>
    </w:p>
    <w:p>
      <w:pPr>
        <w:ind w:left="288"/>
      </w:pPr>
      <w:r>
        <w:rPr>
          <w:color w:val="8C8C8C"/>
          <w:sz w:val="12"/>
        </w:rPr>
        <w:t>cf-art-5-inc-IX</w:t>
      </w:r>
      <w:r>
        <w:rPr>
          <w:color w:val="003CA0"/>
          <w:sz w:val="12"/>
        </w:rPr>
        <w:t xml:space="preserve"> | ADI 2.404</w:t>
      </w:r>
      <w:r>
        <w:rPr>
          <w:color w:val="003CA0"/>
          <w:sz w:val="12"/>
        </w:rPr>
        <w:t xml:space="preserve"> | rel. Dias Toffoli</w:t>
      </w:r>
    </w:p>
    <w:p>
      <w:pPr>
        <w:ind w:left="288"/>
      </w:pPr>
      <w:r>
        <w:rPr>
          <w:color w:val="1E1E1E"/>
          <w:sz w:val="18"/>
        </w:rPr>
        <w:t xml:space="preserve">A própria Constituição da República delineou as regras de sopesamento entre os valores da liberdade de expressão dos meios de comunicação e da proteção da criança e do adolescente. Apesar da garantia constitucional da liberdade de expressão, livre de censura ou licença, a própria Carta de 1988 conferiu à União, com exclusividade, no art. 21, XVI, o desempenho da atividade material de " exercer a classificação, para efeito indicativo, de diversões públicas e de programas de rádio e televisão" . A CF estabeleceu mecanismo apto a oferecer aos telespectadores das diversões públicas e de programas </w:t>
      </w:r>
    </w:p>
    <w:p>
      <w:pPr>
        <w:ind w:left="288"/>
      </w:pPr>
      <w:r>
        <w:rPr>
          <w:b/>
          <w:color w:val="003CA0"/>
          <w:sz w:val="16"/>
        </w:rPr>
        <w:t>[ADI 2.404, rel. min. Dias Toffoli, j. 31-8-2016, P, DJE de 1º-8-2017.]</w:t>
      </w:r>
    </w:p>
    <w:p>
      <w:pPr>
        <w:ind w:left="288"/>
      </w:pPr>
      <w:r>
        <w:rPr>
          <w:color w:val="8C8C8C"/>
          <w:sz w:val="12"/>
        </w:rPr>
        <w:t>cf-art-5-inc-IX</w:t>
      </w:r>
      <w:r>
        <w:rPr>
          <w:color w:val="003CA0"/>
          <w:sz w:val="12"/>
        </w:rPr>
        <w:t xml:space="preserve"> | ADI 5.136</w:t>
      </w:r>
      <w:r>
        <w:rPr>
          <w:color w:val="003CA0"/>
          <w:sz w:val="12"/>
        </w:rPr>
        <w:t xml:space="preserve"> | rel. Gilmar Mendes</w:t>
      </w:r>
    </w:p>
    <w:p>
      <w:pPr>
        <w:ind w:left="288"/>
      </w:pPr>
      <w:r>
        <w:rPr>
          <w:color w:val="1E1E1E"/>
          <w:sz w:val="18"/>
        </w:rPr>
        <w:t>Ação direta de inconstitucionalidade. Parágrafo 1º do art. 28 da Lei 12.663/2012 ("Lei Geral da Copa"). Violação da liberdade de expressão. Inexistência. Aplicação do princípio da proporcionalidade. Juízo de ponderação do legislador para limitar manifestações que tenderiam a gerar maiores conflitos e atentar contra a segurança dos participantes de evento de grande porte.</w:t>
      </w:r>
    </w:p>
    <w:p>
      <w:pPr>
        <w:ind w:left="288"/>
      </w:pPr>
      <w:r>
        <w:rPr>
          <w:b/>
          <w:color w:val="003CA0"/>
          <w:sz w:val="16"/>
        </w:rPr>
        <w:t>[ADI 5.136 MC, rel. min. Gilmar Mendes, j. 1º-7-2014, P, DJE de 30-10-2014.]</w:t>
      </w:r>
    </w:p>
    <w:p>
      <w:pPr>
        <w:ind w:left="288"/>
      </w:pPr>
      <w:r>
        <w:rPr>
          <w:color w:val="8C8C8C"/>
          <w:sz w:val="12"/>
        </w:rPr>
        <w:t>cf-art-5-inc-IX</w:t>
      </w:r>
      <w:r>
        <w:rPr>
          <w:color w:val="003CA0"/>
          <w:sz w:val="12"/>
        </w:rPr>
        <w:t xml:space="preserve"> | ADPF 130</w:t>
      </w:r>
      <w:r>
        <w:rPr>
          <w:color w:val="003CA0"/>
          <w:sz w:val="12"/>
        </w:rPr>
        <w:t xml:space="preserve"> | rel. Ayres Britto</w:t>
      </w:r>
    </w:p>
    <w:p>
      <w:pPr>
        <w:ind w:left="288"/>
      </w:pPr>
      <w:r>
        <w:rPr>
          <w:color w:val="1E1E1E"/>
          <w:sz w:val="18"/>
        </w:rPr>
        <w:t>O pensamento crítico é parte integrante da informação plena e fidedigna. O possível conteúdo socialmente útil da obra compensa eventuais excessos de estilo e da própria verve do autor. O exercício concreto da liberdade de imprensa assegura ao jornalista o direito de expender críticas a qualquer pessoa, ainda que em tom áspero ou contundente, especialmente contra as autoridades e os agentes do Estado. A crítica jornalística, pela sua relação de inerência com o interesse público, não é aprioristicamente suscetível de censura, mesmo que legislativa ou judicialmente intentada. O próprio das ativid</w:t>
      </w:r>
    </w:p>
    <w:p>
      <w:pPr>
        <w:ind w:left="288"/>
      </w:pPr>
      <w:r>
        <w:rPr>
          <w:b/>
          <w:color w:val="003CA0"/>
          <w:sz w:val="16"/>
        </w:rPr>
        <w:t>[ADPF 130, rel. min. Ayres Britto, j. 30-4-2009, P, DJE de 6-11-2009.]</w:t>
      </w:r>
    </w:p>
    <w:p>
      <w:pPr>
        <w:ind w:left="288"/>
      </w:pPr>
      <w:r>
        <w:rPr>
          <w:color w:val="8C8C8C"/>
          <w:sz w:val="12"/>
        </w:rPr>
        <w:t>cf-art-5-inc-IX</w:t>
      </w:r>
      <w:r>
        <w:rPr>
          <w:color w:val="003CA0"/>
          <w:sz w:val="12"/>
        </w:rPr>
        <w:t xml:space="preserve"> | ADI 4.451</w:t>
      </w:r>
      <w:r>
        <w:rPr>
          <w:color w:val="003CA0"/>
          <w:sz w:val="12"/>
        </w:rPr>
        <w:t xml:space="preserve"> | rel. Alexandre de Moraes</w:t>
      </w:r>
    </w:p>
    <w:p>
      <w:pPr>
        <w:ind w:left="288"/>
      </w:pPr>
      <w:r>
        <w:rPr>
          <w:color w:val="1E1E1E"/>
          <w:sz w:val="18"/>
        </w:rPr>
        <w:t>Vide ADI 4.451, rel. min. Alexandre de Moraes, j. 21-6-2018, P, DJE de 6-3-2019 Vide Rcl 22.238, rel. min. Roberto Barroso, j. 6-3-2018, 1ª T, DJE de 10-5-2018 O termo "ciência", enquanto atividade individual, faz parte do catálogo dos direitos fundamentais da pessoa humana (inciso IX do art. 5º da CF). Liberdade de expressão que se afigura como clássico direito constitucional-civil ou genuíno direito de personalidade. Por isso que exigente do máximo de proteção jurídica, até como signo de vida coletiva civilizada. Tão qualificadora do indivíduo e da sociedade é essa vocação para os misteres d</w:t>
      </w:r>
    </w:p>
    <w:p>
      <w:pPr>
        <w:ind w:left="288"/>
      </w:pPr>
      <w:r>
        <w:rPr>
          <w:b/>
          <w:color w:val="003CA0"/>
          <w:sz w:val="16"/>
        </w:rPr>
        <w:t>[ADI 3.510, rel. min. Ayres Britto, j. 29-5-2008, P, DJE de 28-5-2010.]</w:t>
      </w:r>
    </w:p>
    <w:p>
      <w:pPr>
        <w:ind w:left="288"/>
      </w:pPr>
      <w:r>
        <w:rPr>
          <w:color w:val="8C8C8C"/>
          <w:sz w:val="12"/>
        </w:rPr>
        <w:t>cf-art-5-inc-IX</w:t>
      </w:r>
      <w:r>
        <w:rPr>
          <w:color w:val="003CA0"/>
          <w:sz w:val="12"/>
        </w:rPr>
        <w:t xml:space="preserve"> | RE 1.037.396</w:t>
      </w:r>
      <w:r>
        <w:rPr>
          <w:color w:val="003CA0"/>
          <w:sz w:val="12"/>
        </w:rPr>
        <w:t xml:space="preserve"> | rel. Dias Toffoli</w:t>
      </w:r>
    </w:p>
    <w:p>
      <w:pPr>
        <w:ind w:left="288"/>
      </w:pPr>
      <w:r>
        <w:rPr>
          <w:color w:val="1E1E1E"/>
          <w:sz w:val="18"/>
        </w:rPr>
        <w:t>“Reconhecimento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direitos fundamentais e da democracia). Interpretação do art. 19 do MCI 2. Enquant</w:t>
      </w:r>
    </w:p>
    <w:p>
      <w:pPr>
        <w:ind w:left="288"/>
      </w:pPr>
      <w:r>
        <w:rPr>
          <w:b/>
          <w:color w:val="003CA0"/>
          <w:sz w:val="16"/>
        </w:rPr>
        <w:t>[RE 1.037.396, rel. min. Dias Toffoli, j. 26.06.2025, P, DJE de 05.11.2025, Tema 987, com mérito julgado e RE 1.057.258, rel. min. Luiz Fux, j. 26.06.2025, P, DJE de 05.11.2025, Tema 533, com mérito julgado.]</w:t>
      </w:r>
    </w:p>
    <w:p>
      <w:pPr>
        <w:ind w:left="288"/>
      </w:pPr>
      <w:r>
        <w:rPr>
          <w:color w:val="8C8C8C"/>
          <w:sz w:val="12"/>
        </w:rPr>
        <w:t>cf-art-5-inc-IX</w:t>
      </w:r>
      <w:r>
        <w:rPr>
          <w:color w:val="003CA0"/>
          <w:sz w:val="12"/>
        </w:rPr>
        <w:t xml:space="preserve"> | RE 1.075.412</w:t>
      </w:r>
      <w:r>
        <w:rPr>
          <w:color w:val="003CA0"/>
          <w:sz w:val="12"/>
        </w:rPr>
        <w:t xml:space="preserve"> | rel. Edson Fachin</w:t>
      </w:r>
    </w:p>
    <w:p>
      <w:pPr>
        <w:ind w:left="288"/>
      </w:pPr>
      <w:r>
        <w:rPr>
          <w:color w:val="1E1E1E"/>
          <w:sz w:val="18"/>
        </w:rPr>
        <w:t>“1.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contraditório pelo veículo; 2. Na hipótese de entrevistas realizadas e transmitidas ao viv</w:t>
      </w:r>
    </w:p>
    <w:p>
      <w:pPr>
        <w:ind w:left="288"/>
      </w:pPr>
      <w:r>
        <w:rPr>
          <w:b/>
          <w:color w:val="003CA0"/>
          <w:sz w:val="16"/>
        </w:rPr>
        <w:t>[RE 1.075.412 ED, rel. min. Edson Fachin, j. 20.03.2025, P, DJE de 27.06.2025, Tema 995, com mérito julgado.]</w:t>
      </w:r>
    </w:p>
    <w:p>
      <w:pPr>
        <w:ind w:left="288"/>
      </w:pPr>
      <w:r>
        <w:rPr>
          <w:color w:val="8C8C8C"/>
          <w:sz w:val="12"/>
        </w:rPr>
        <w:t>cf-art-5-inc-IX</w:t>
      </w:r>
      <w:r>
        <w:rPr>
          <w:color w:val="003CA0"/>
          <w:sz w:val="12"/>
        </w:rPr>
        <w:t xml:space="preserve"> | RE 1.010.606</w:t>
      </w:r>
      <w:r>
        <w:rPr>
          <w:color w:val="003CA0"/>
          <w:sz w:val="12"/>
        </w:rPr>
        <w:t xml:space="preserve"> | rel. Dias Toffoli</w:t>
      </w:r>
    </w:p>
    <w:p>
      <w:pPr>
        <w:ind w:left="288"/>
      </w:pPr>
      <w:r>
        <w:rPr>
          <w:color w:val="1E1E1E"/>
          <w:sz w:val="18"/>
        </w:rPr>
        <w:t>É incompatível com a Constituição a ideia de um direito ao esquecimento, assim entendido como o poder de obstar, em razão da passagem do tempo, a divulgação de fatos ou dados verídicos e licitamente obtidos e publicados em meios de comunicação social analógicos ou digitais. Eventuais excessos ou abusos no exercício da liberdade de expressão e de informação devem ser analisados caso a caso, a partir dos parâmetros constitucionais - especialmente os relativos à proteção da honra, da imagem, da privacidade e da personalidade em geral - e das expressas e específicas previsões legais nos âmbitos pe</w:t>
      </w:r>
    </w:p>
    <w:p>
      <w:pPr>
        <w:ind w:left="288"/>
      </w:pPr>
      <w:r>
        <w:rPr>
          <w:b/>
          <w:color w:val="003CA0"/>
          <w:sz w:val="16"/>
        </w:rPr>
        <w:t>[RE 1.010.606, rel. min. Dias Toffoli, j. 11-2-2021, P, DJE de 20-5-2021. Tema 786, com mérito julgado.]</w:t>
      </w:r>
    </w:p>
    <w:p>
      <w:pPr>
        <w:ind w:left="288"/>
      </w:pPr>
      <w:r>
        <w:rPr>
          <w:color w:val="8C8C8C"/>
          <w:sz w:val="12"/>
        </w:rPr>
        <w:t>cf-art-5-inc-IX</w:t>
      </w:r>
      <w:r>
        <w:rPr>
          <w:color w:val="003CA0"/>
          <w:sz w:val="12"/>
        </w:rPr>
        <w:t xml:space="preserve"> | RE 685.493</w:t>
      </w:r>
      <w:r>
        <w:rPr>
          <w:color w:val="003CA0"/>
          <w:sz w:val="12"/>
        </w:rPr>
        <w:t xml:space="preserve"> | rel. Marco Aurélio</w:t>
      </w:r>
    </w:p>
    <w:p>
      <w:pPr>
        <w:ind w:left="288"/>
      </w:pPr>
      <w:r>
        <w:rPr>
          <w:color w:val="1E1E1E"/>
          <w:sz w:val="18"/>
        </w:rPr>
        <w:t>Ante conflito entre a liberdade de expressão de agente político, na defesa da coisa pública, e honra de terceiro, há de prevalecer o interesse coletivo, da sociedade, não cabendo potencializar o individual.</w:t>
      </w:r>
    </w:p>
    <w:p>
      <w:pPr>
        <w:ind w:left="288"/>
      </w:pPr>
      <w:r>
        <w:rPr>
          <w:b/>
          <w:color w:val="003CA0"/>
          <w:sz w:val="16"/>
        </w:rPr>
        <w:t>[RE 685.493, rel. min. Marco Aurélio, j. 22-5-2020, P, DJE de 17-8-2020. Tema 562, com mérito julgado.]</w:t>
      </w:r>
    </w:p>
    <w:p>
      <w:pPr>
        <w:ind w:left="288"/>
      </w:pPr>
      <w:r>
        <w:rPr>
          <w:color w:val="8C8C8C"/>
          <w:sz w:val="12"/>
        </w:rPr>
        <w:t>cf-art-5-inc-IX</w:t>
      </w:r>
      <w:r>
        <w:rPr>
          <w:color w:val="003CA0"/>
          <w:sz w:val="12"/>
        </w:rPr>
        <w:t xml:space="preserve"> | RE 414.426</w:t>
      </w:r>
      <w:r>
        <w:rPr>
          <w:color w:val="003CA0"/>
          <w:sz w:val="12"/>
        </w:rPr>
        <w:t xml:space="preserve"> | rel. Ellen Gracie</w:t>
      </w:r>
    </w:p>
    <w:p>
      <w:pPr>
        <w:ind w:left="288"/>
      </w:pPr>
      <w:r>
        <w:rPr>
          <w:color w:val="1E1E1E"/>
          <w:sz w:val="18"/>
        </w:rPr>
        <w:t>O Plenário do STF, no julgamento do RE 414.426, rel. min. Ellen Gracie, DJE de 10-10-2011, firmou o entendimento de que a atividade de músico é manifestação artística protegida pela garantia da liberdade de expressão, sendo, por isso, incompatível com a CF de 1988 a exigência de inscrição na Ordem dos Músicos do Brasil, bem como de pagamento de anuidade, para o exercício de tal profissão. Recurso extraordinário provido, com o reconhecimento da repercussão geral do tema e a reafirmação da jurisprudência sobre a matéria.</w:t>
      </w:r>
    </w:p>
    <w:p>
      <w:pPr>
        <w:ind w:left="288"/>
      </w:pPr>
      <w:r>
        <w:rPr>
          <w:b/>
          <w:color w:val="003CA0"/>
          <w:sz w:val="16"/>
        </w:rPr>
        <w:t>[RE 795.467 RG, rel. min. Teori Zavascki, j. 5-6-2014, P, DJE de 24-6-2014. Tema 738, com mérito julgado.]</w:t>
      </w:r>
    </w:p>
    <w:p>
      <w:pPr>
        <w:ind w:left="288"/>
      </w:pPr>
      <w:r>
        <w:rPr>
          <w:color w:val="8C8C8C"/>
          <w:sz w:val="12"/>
        </w:rPr>
        <w:t>cf-art-5-inc-IX</w:t>
      </w:r>
      <w:r>
        <w:rPr>
          <w:color w:val="003CA0"/>
          <w:sz w:val="12"/>
        </w:rPr>
        <w:t xml:space="preserve"> | PET 9.935</w:t>
      </w:r>
      <w:r>
        <w:rPr>
          <w:color w:val="003CA0"/>
          <w:sz w:val="12"/>
        </w:rPr>
        <w:t xml:space="preserve"> | rel. Alexandre de Moraes</w:t>
      </w:r>
    </w:p>
    <w:p>
      <w:pPr>
        <w:ind w:left="288"/>
      </w:pPr>
      <w:r>
        <w:rPr>
          <w:color w:val="1E1E1E"/>
          <w:sz w:val="18"/>
        </w:rPr>
        <w:t>A Constituição da República Federativa do Brasil de 1988 não permite que se confunda “liberdade de expressão” com “liberdade de agressão” ou “inexistente censura” com “necessária proibição constitucional ao discurso de ódio e de incitação a atos antidemocráticos”. Toda e qualquer entidade privada que exerça sua atividade econômica em território nacional deve respeitar o ordenamento jurídico nacional e cumprir, de forma efetiva, comandos diretos emitidos pelo Poder Judiciário brasileiro. O Código Civil brasileiro estabelece que a constituição de qualquer sociedade, obrigatoriamente, deve indica</w:t>
      </w:r>
    </w:p>
    <w:p>
      <w:pPr>
        <w:ind w:left="288"/>
      </w:pPr>
      <w:r>
        <w:rPr>
          <w:b/>
          <w:color w:val="003CA0"/>
          <w:sz w:val="16"/>
        </w:rPr>
        <w:t>[Pet 9.935 REF, rel. min. Alexandre de Moraes, j. 17.03.2025, 1ª T, DJE de 20.03.2025.]</w:t>
      </w:r>
    </w:p>
    <w:p>
      <w:pPr>
        <w:ind w:left="288"/>
      </w:pPr>
      <w:r>
        <w:rPr>
          <w:color w:val="8C8C8C"/>
          <w:sz w:val="12"/>
        </w:rPr>
        <w:t>cf-art-5-inc-IX</w:t>
      </w:r>
      <w:r>
        <w:rPr>
          <w:color w:val="003CA0"/>
          <w:sz w:val="12"/>
        </w:rPr>
        <w:t xml:space="preserve"> | MS 39.378</w:t>
      </w:r>
      <w:r>
        <w:rPr>
          <w:color w:val="003CA0"/>
          <w:sz w:val="12"/>
        </w:rPr>
        <w:t xml:space="preserve"> | rel. Luiz Fux</w:t>
      </w:r>
    </w:p>
    <w:p>
      <w:pPr>
        <w:ind w:left="288"/>
      </w:pPr>
      <w:r>
        <w:rPr>
          <w:color w:val="1E1E1E"/>
          <w:sz w:val="18"/>
        </w:rPr>
        <w:t>O livre exercício da profissão e das liberdades comunicativas não é, contudo, absoluto e deve observar limites constitucionais e legais, sendo possível a responsabilização civil, penal e administrativa por atos ilícitos eventualmente praticados. Há maior tolerância quanto a matérias de cunho potencialmente lesivo à honra dos agentes públicos, especialmente quando existente interesse público no conteúdo, no entanto, não lhes é negada a inviolabilidade das comunicações telefônicas (ou por dados) nem o núcleo essencial do direito à privacidade. (...) Deferimento monocrático de liminar, ad referen</w:t>
      </w:r>
    </w:p>
    <w:p>
      <w:pPr>
        <w:ind w:left="288"/>
      </w:pPr>
      <w:r>
        <w:rPr>
          <w:b/>
          <w:color w:val="003CA0"/>
          <w:sz w:val="16"/>
        </w:rPr>
        <w:t>[MS 39.378 MC-REF, rel. min. Luiz Fux, j. 2-10-2023, P, DJE de 23-10-2023.]</w:t>
      </w:r>
    </w:p>
    <w:p>
      <w:pPr>
        <w:ind w:left="288"/>
      </w:pPr>
      <w:r>
        <w:rPr>
          <w:color w:val="8C8C8C"/>
          <w:sz w:val="12"/>
        </w:rPr>
        <w:t>cf-art-5-inc-IX</w:t>
      </w:r>
      <w:r>
        <w:rPr>
          <w:color w:val="003CA0"/>
          <w:sz w:val="12"/>
        </w:rPr>
        <w:t xml:space="preserve"> | PET 10.391</w:t>
      </w:r>
      <w:r>
        <w:rPr>
          <w:color w:val="003CA0"/>
          <w:sz w:val="12"/>
        </w:rPr>
        <w:t xml:space="preserve"> | rel. Roberto Barroso</w:t>
      </w:r>
    </w:p>
    <w:p>
      <w:pPr>
        <w:ind w:left="288"/>
      </w:pPr>
      <w:r>
        <w:rPr>
          <w:color w:val="1E1E1E"/>
          <w:sz w:val="18"/>
        </w:rPr>
        <w:t>Utilização de perfis nas redes sociais para a propagação de discursos com conteúdo de ódio, subversão da ordem e incentivo à quebra da normalidade institucional e democrática. Abuso do direito de liberdade de expressão. Necessidade e adequação no bloqueio de perfis para fazer cessar a atividade criminosa. (...) A liberdade de expressão é consagrada constitucionalmente e balizada pelo binômio LIBERDADE E RESPONSABILIDADE, ou seja, o exercício desse direito não pode ser utilizado como verdadeiro escudo protetivo para a prática de atividades ilícitas. Não se confunde liberdade de expressão com im</w:t>
      </w:r>
    </w:p>
    <w:p>
      <w:pPr>
        <w:ind w:left="288"/>
      </w:pPr>
      <w:r>
        <w:rPr>
          <w:b/>
          <w:color w:val="003CA0"/>
          <w:sz w:val="16"/>
        </w:rPr>
        <w:t>[Pet 10.391 AgR, rel. min. Roberto Barroso, j. 14-11-2022, P, DJE de 14-2-2023.]</w:t>
      </w:r>
    </w:p>
    <w:p>
      <w:pPr>
        <w:ind w:left="288"/>
      </w:pPr>
      <w:r>
        <w:rPr>
          <w:color w:val="8C8C8C"/>
          <w:sz w:val="12"/>
        </w:rPr>
        <w:t>cf-art-5-inc-IX</w:t>
      </w:r>
      <w:r>
        <w:rPr>
          <w:color w:val="003CA0"/>
          <w:sz w:val="12"/>
        </w:rPr>
        <w:t xml:space="preserve"> | ADPF 130</w:t>
      </w:r>
      <w:r>
        <w:rPr>
          <w:color w:val="003CA0"/>
          <w:sz w:val="12"/>
        </w:rPr>
        <w:t xml:space="preserve"> | rel. Gilmar Mendes</w:t>
      </w:r>
    </w:p>
    <w:p>
      <w:pPr>
        <w:ind w:left="288"/>
      </w:pPr>
      <w:r>
        <w:rPr>
          <w:color w:val="1E1E1E"/>
          <w:sz w:val="18"/>
        </w:rPr>
        <w:t>Liberdade de expressão. Decisões reclamadas que restringem difusão de conteúdo audiovisual em que formuladas sátiras a elementos religiosos inerentes ao Cristianismo. Ofensa à autoridade de decisão proferida pelo Supremo Tribunal Federal nos julgamentos da ADPF 130 e da ADI 2.404. Limites da liberdade artística. Importância da livre circulação de ideias em um Estado democrático. Proibição de divulgação de determinado conteúdo deve-se dar apenas em casos excepcionalíssimos, como na hipótese de configurar ocorrência de prática ilícita, de incitação à violência ou à discriminação, bem como de pro</w:t>
      </w:r>
    </w:p>
    <w:p>
      <w:pPr>
        <w:ind w:left="288"/>
      </w:pPr>
      <w:r>
        <w:rPr>
          <w:b/>
          <w:color w:val="003CA0"/>
          <w:sz w:val="16"/>
        </w:rPr>
        <w:t>[Rcl 38.782, rel. min. Gilmar Mendes, j. 3-11-2020, 2ª T, DJE de 24-2-2021.]</w:t>
      </w:r>
    </w:p>
    <w:p>
      <w:pPr>
        <w:ind w:left="288"/>
      </w:pPr>
      <w:r>
        <w:rPr>
          <w:color w:val="8C8C8C"/>
          <w:sz w:val="12"/>
        </w:rPr>
        <w:t>cf-art-5-inc-IX</w:t>
      </w:r>
      <w:r>
        <w:rPr>
          <w:color w:val="003CA0"/>
          <w:sz w:val="12"/>
        </w:rPr>
        <w:t xml:space="preserve"> | AI 705.630</w:t>
      </w:r>
      <w:r>
        <w:rPr>
          <w:color w:val="003CA0"/>
          <w:sz w:val="12"/>
        </w:rPr>
        <w:t xml:space="preserve"> | rel. Celso de Mello</w:t>
      </w:r>
    </w:p>
    <w:p>
      <w:pPr>
        <w:ind w:left="288"/>
      </w:pPr>
      <w:r>
        <w:rPr>
          <w:color w:val="1E1E1E"/>
          <w:sz w:val="18"/>
        </w:rPr>
        <w:t>A liberdade de imprensa, enquanto projeção das liberdades de comunicação e de manifestação do pensamento, reveste-se de conteúdo abrangente, por compreender, entre outras prerrogativas relevantes que lhe são inerentes, o direito de informar, o direito de buscar a informação, o direito de opinar e o direito de criticar. A crítica jornalística, desse modo, traduz direito impregnado de qualificação constitucional, plenamente oponível aos que exercem qualquer atividade de interesse da coletividade em geral, pois o interesse social, que legitima o direito de criticar, sobrepõe-se a eventuais suscet</w:t>
      </w:r>
    </w:p>
    <w:p>
      <w:pPr>
        <w:ind w:left="288"/>
      </w:pPr>
      <w:r>
        <w:rPr>
          <w:b/>
          <w:color w:val="003CA0"/>
          <w:sz w:val="16"/>
        </w:rPr>
        <w:t>[AI 705.630 AgR, rel. min. Celso de Mello, j. 22-3-2011, 2ª T, DJE de 6-4-2011.]</w:t>
      </w:r>
    </w:p>
    <w:p>
      <w:pPr>
        <w:ind w:left="288"/>
      </w:pPr>
      <w:r>
        <w:rPr>
          <w:color w:val="8C8C8C"/>
          <w:sz w:val="12"/>
        </w:rPr>
        <w:t>cf-art-5-inc-IX</w:t>
      </w:r>
      <w:r>
        <w:rPr>
          <w:color w:val="003CA0"/>
          <w:sz w:val="12"/>
        </w:rPr>
        <w:t xml:space="preserve"> | RE 511.961</w:t>
      </w:r>
      <w:r>
        <w:rPr>
          <w:color w:val="003CA0"/>
          <w:sz w:val="12"/>
        </w:rPr>
        <w:t xml:space="preserve"> | rel. Gilmar Mendes</w:t>
      </w:r>
    </w:p>
    <w:p>
      <w:pPr>
        <w:ind w:left="288"/>
      </w:pPr>
      <w:r>
        <w:rPr>
          <w:color w:val="1E1E1E"/>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w:t>
      </w:r>
    </w:p>
    <w:p>
      <w:pPr>
        <w:ind w:left="288"/>
      </w:pPr>
      <w:r>
        <w:rPr>
          <w:b/>
          <w:color w:val="003CA0"/>
          <w:sz w:val="16"/>
        </w:rPr>
        <w:t>[RE 511.961, rel. min. Gilmar Mendes, j. 17-6-2009, P, DJE de 13-11-2009.]</w:t>
      </w:r>
    </w:p>
    <w:p>
      <w:pPr>
        <w:ind w:left="288"/>
      </w:pPr>
      <w:r>
        <w:rPr>
          <w:color w:val="8C8C8C"/>
          <w:sz w:val="12"/>
        </w:rPr>
        <w:t>cf-art-5-inc-IX</w:t>
      </w:r>
      <w:r>
        <w:rPr>
          <w:color w:val="003CA0"/>
          <w:sz w:val="12"/>
        </w:rPr>
        <w:t xml:space="preserve"> | INQ 2.297</w:t>
      </w:r>
      <w:r>
        <w:rPr>
          <w:color w:val="003CA0"/>
          <w:sz w:val="12"/>
        </w:rPr>
        <w:t xml:space="preserve"> | rel. Cármen Lúcia</w:t>
      </w:r>
    </w:p>
    <w:p>
      <w:pPr>
        <w:ind w:left="288"/>
      </w:pPr>
      <w:r>
        <w:rPr>
          <w:color w:val="1E1E1E"/>
          <w:sz w:val="18"/>
        </w:rPr>
        <w:t>Inquérito. Ação penal privada. Queixa-crime oferecida contra deputado federal e jornalista. Pretensas ofensas praticadas pelo primeiro querelado e publicadas pela segunda querelada em matéria jornalística (...). As afirmações tidas como ofensivas pelo querelante foram feitas no exercício do mandato parlamentar, por ter o querelado se manifestado na condição de deputado federal e de presidente da Câmara, não sendo possível desvincular aquelas afirmações do exercício da ampla liberdade de expressão, típica da atividade parlamentar (art. 51 da Constituição da República). O art. 53 da Constituição</w:t>
      </w:r>
    </w:p>
    <w:p>
      <w:pPr>
        <w:ind w:left="288"/>
      </w:pPr>
      <w:r>
        <w:rPr>
          <w:b/>
          <w:color w:val="003CA0"/>
          <w:sz w:val="16"/>
        </w:rPr>
        <w:t>[Inq 2.297, rel. min. Cármen Lúcia, j. 20-9-2007, P, DJ de 19-10-2007.]</w:t>
      </w:r>
    </w:p>
    <w:p>
      <w:pPr>
        <w:ind w:left="288"/>
      </w:pPr>
      <w:r>
        <w:rPr>
          <w:color w:val="8C8C8C"/>
          <w:sz w:val="12"/>
        </w:rPr>
        <w:t>cf-art-5-inc-X</w:t>
      </w:r>
    </w:p>
    <w:p>
      <w:pPr>
        <w:ind w:left="288"/>
      </w:pPr>
      <w:r>
        <w:rPr>
          <w:color w:val="1E1E1E"/>
          <w:sz w:val="18"/>
        </w:rP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88"/>
      </w:pPr>
      <w:r>
        <w:rPr>
          <w:b/>
          <w:color w:val="003CA0"/>
          <w:sz w:val="16"/>
        </w:rPr>
        <w:t>[Súmula Vinculante 11.]</w:t>
      </w:r>
    </w:p>
    <w:p>
      <w:pPr>
        <w:ind w:left="288"/>
      </w:pPr>
      <w:r>
        <w:rPr>
          <w:color w:val="8C8C8C"/>
          <w:sz w:val="12"/>
        </w:rPr>
        <w:t>cf-art-5-inc-X</w:t>
      </w:r>
      <w:r>
        <w:rPr>
          <w:color w:val="003CA0"/>
          <w:sz w:val="12"/>
        </w:rPr>
        <w:t xml:space="preserve"> | MS 40.556</w:t>
      </w:r>
      <w:r>
        <w:rPr>
          <w:color w:val="003CA0"/>
          <w:sz w:val="12"/>
        </w:rPr>
        <w:t xml:space="preserve"> | rel. Nunes Marques</w:t>
      </w:r>
    </w:p>
    <w:p>
      <w:pPr>
        <w:ind w:left="288"/>
      </w:pPr>
      <w:r>
        <w:rPr>
          <w:color w:val="1E1E1E"/>
          <w:sz w:val="18"/>
        </w:rPr>
        <w:t>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VI, VIII, X e XVII), além do princípio do juiz natural, não se enquadrando em hipótese de restrição constitucionalmente autorizada.</w:t>
      </w:r>
    </w:p>
    <w:p>
      <w:pPr>
        <w:ind w:left="288"/>
      </w:pPr>
      <w:r>
        <w:rPr>
          <w:b/>
          <w:color w:val="003CA0"/>
          <w:sz w:val="16"/>
        </w:rPr>
        <w:t>[MS 40.556 AgR, rel. min. Nunes Marques, j. 18-2-2026, 2ª T, DJE de 27-2-2026.]</w:t>
      </w:r>
    </w:p>
    <w:p>
      <w:pPr>
        <w:ind w:left="288"/>
      </w:pPr>
      <w:r>
        <w:rPr>
          <w:color w:val="8C8C8C"/>
          <w:sz w:val="12"/>
        </w:rPr>
        <w:t>cf-art-5-inc-X</w:t>
      </w:r>
      <w:r>
        <w:rPr>
          <w:color w:val="003CA0"/>
          <w:sz w:val="12"/>
        </w:rPr>
        <w:t xml:space="preserve"> | ARE 1.551.254</w:t>
      </w:r>
      <w:r>
        <w:rPr>
          <w:color w:val="003CA0"/>
          <w:sz w:val="12"/>
        </w:rPr>
        <w:t xml:space="preserve"> | rel. Cristiano Zanin</w:t>
      </w:r>
    </w:p>
    <w:p>
      <w:pPr>
        <w:ind w:left="288"/>
      </w:pPr>
      <w:r>
        <w:rPr>
          <w:color w:val="1E1E1E"/>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w:t>
      </w:r>
    </w:p>
    <w:p>
      <w:pPr>
        <w:ind w:left="288"/>
      </w:pPr>
      <w:r>
        <w:rPr>
          <w:b/>
          <w:color w:val="003CA0"/>
          <w:sz w:val="16"/>
        </w:rPr>
        <w:t>[ARE 1.551.254 AgR, rel. min. Cristiano Zanin, j. 22-12-2025, P, DJE de 2-2-2026.]</w:t>
      </w:r>
    </w:p>
    <w:p>
      <w:pPr>
        <w:ind w:left="288"/>
      </w:pPr>
      <w:r>
        <w:rPr>
          <w:color w:val="8C8C8C"/>
          <w:sz w:val="12"/>
        </w:rPr>
        <w:t>cf-art-5-inc-X</w:t>
      </w:r>
      <w:r>
        <w:rPr>
          <w:color w:val="003CA0"/>
          <w:sz w:val="12"/>
        </w:rPr>
        <w:t xml:space="preserve"> | ADI 7.600</w:t>
      </w:r>
      <w:r>
        <w:rPr>
          <w:color w:val="003CA0"/>
          <w:sz w:val="12"/>
        </w:rPr>
        <w:t xml:space="preserve"> | rel. Dias Toffoli</w:t>
      </w:r>
    </w:p>
    <w:p>
      <w:pPr>
        <w:ind w:left="288"/>
      </w:pPr>
      <w:r>
        <w:rPr>
          <w:color w:val="1E1E1E"/>
          <w:sz w:val="18"/>
        </w:rPr>
        <w:t>Nas diligências para a localização do bem móvel dado em garantia em alienação fiduciária e em sua apreensão, previstas nos §§ 4º, 5º e 7º do art. 8º-C do Decreto-Lei nº 911/69 (redação da Lei nº 14.711/23), devem ser assegurados os direitos à vida privada, à honra e à imagem do devedor; a inviolabilidade do sigilo de dados; a vedação ao uso privado da violência; a inviolabilidade do domicílio; a dignidade da pessoa humana e a autonomia da vontade.</w:t>
      </w:r>
    </w:p>
    <w:p>
      <w:pPr>
        <w:ind w:left="288"/>
      </w:pPr>
      <w:r>
        <w:rPr>
          <w:b/>
          <w:color w:val="003CA0"/>
          <w:sz w:val="16"/>
        </w:rPr>
        <w:t>[ADI 7.600, ADI 7.601 e 7.608, rel. min. Dias Toffoli, j. 01.07.2025, P, DJE de 15.09.2025.]</w:t>
      </w:r>
    </w:p>
    <w:p>
      <w:pPr>
        <w:ind w:left="288"/>
      </w:pPr>
      <w:r>
        <w:rPr>
          <w:color w:val="8C8C8C"/>
          <w:sz w:val="12"/>
        </w:rPr>
        <w:t>cf-art-5-inc-X</w:t>
      </w:r>
      <w:r>
        <w:rPr>
          <w:color w:val="003CA0"/>
          <w:sz w:val="12"/>
        </w:rPr>
        <w:t xml:space="preserve"> | ADI 3.270</w:t>
      </w:r>
      <w:r>
        <w:rPr>
          <w:color w:val="003CA0"/>
          <w:sz w:val="12"/>
        </w:rPr>
        <w:t xml:space="preserve"> | rel. Nunes Marques</w:t>
      </w:r>
    </w:p>
    <w:p>
      <w:pPr>
        <w:ind w:left="288"/>
      </w:pPr>
      <w:r>
        <w:rPr>
          <w:color w:val="1E1E1E"/>
          <w:sz w:val="18"/>
        </w:rPr>
        <w:t>A imposição do uso de equipamento ECF surge adequada e necessária à fiscalização e arrecadação tributárias, especialmente tendo em conta o combate à sonegação, de modo que se mostra proporcional. Além disso, as informações obtidas por meio do ECF não violam o direito à intimidade. Trata-se de informações correntes ligadas à venda e à prestação de serviços, relacionadas com a ocorrência do fato gerador dos tributos envolvidos. À administração tributária cabe utilizar os dados para fins de verificações próprias, mas nunca de divulgação ao “público externo”, sob pena, inclusive, de responsabiliza</w:t>
      </w:r>
    </w:p>
    <w:p>
      <w:pPr>
        <w:ind w:left="288"/>
      </w:pPr>
      <w:r>
        <w:rPr>
          <w:b/>
          <w:color w:val="003CA0"/>
          <w:sz w:val="16"/>
        </w:rPr>
        <w:t>[ADI 3.270, rel. min. Nunes Marques, j. 05.03.2025, P, DJE de 21.03.2025.]</w:t>
      </w:r>
    </w:p>
    <w:p>
      <w:pPr>
        <w:ind w:left="288"/>
      </w:pPr>
      <w:r>
        <w:rPr>
          <w:color w:val="8C8C8C"/>
          <w:sz w:val="12"/>
        </w:rPr>
        <w:t>cf-art-5-inc-X</w:t>
      </w:r>
      <w:r>
        <w:rPr>
          <w:color w:val="003CA0"/>
          <w:sz w:val="12"/>
        </w:rPr>
        <w:t xml:space="preserve"> | ADI 4.906</w:t>
      </w:r>
      <w:r>
        <w:rPr>
          <w:color w:val="003CA0"/>
          <w:sz w:val="12"/>
        </w:rPr>
        <w:t xml:space="preserve"> | rel. Nunes Marques</w:t>
      </w:r>
    </w:p>
    <w:p>
      <w:pPr>
        <w:ind w:left="288"/>
      </w:pPr>
      <w:r>
        <w:rPr>
          <w:color w:val="1E1E1E"/>
          <w:sz w:val="18"/>
        </w:rPr>
        <w:t>Conforme entendimento do Supremo, a proteção versada no art. 5º, XII, da Constituição Federal refere-se à comunicação de dados, e não aos dados em si mesmos. (...) O direito fundamental à proteção de dados e à autodeterminação informativa (CF, art. 5º, LXXIX) impõe a adoção de mecanismos capazes de assegurar a proteção e a segurança dos dados pessoais manipulados pelo poder público e por terceiros. É compatível com a Constituição de 1988 o compartilhamento direto de dados cadastrais genéricos com os órgãos de persecução penal, para fins de investigação criminal, mesmo sem autorização da Justiç</w:t>
      </w:r>
    </w:p>
    <w:p>
      <w:pPr>
        <w:ind w:left="288"/>
      </w:pPr>
      <w:r>
        <w:rPr>
          <w:b/>
          <w:color w:val="003CA0"/>
          <w:sz w:val="16"/>
        </w:rPr>
        <w:t>[ADI 4.906, rel. min. Nunes Marques, j. 11.09.2024, P, DJE de 24.10.2024.]</w:t>
      </w:r>
    </w:p>
    <w:p>
      <w:pPr>
        <w:ind w:left="288"/>
      </w:pPr>
      <w:r>
        <w:rPr>
          <w:color w:val="8C8C8C"/>
          <w:sz w:val="12"/>
        </w:rPr>
        <w:t>cf-art-5-inc-X</w:t>
      </w:r>
      <w:r>
        <w:rPr>
          <w:color w:val="003CA0"/>
          <w:sz w:val="12"/>
        </w:rPr>
        <w:t xml:space="preserve"> | ADI 5.642</w:t>
      </w:r>
      <w:r>
        <w:rPr>
          <w:color w:val="003CA0"/>
          <w:sz w:val="12"/>
        </w:rPr>
        <w:t xml:space="preserve"> | rel. Edson Fachin</w:t>
      </w:r>
    </w:p>
    <w:p>
      <w:pPr>
        <w:ind w:left="288"/>
      </w:pPr>
      <w:r>
        <w:rPr>
          <w:color w:val="1E1E1E"/>
          <w:sz w:val="18"/>
        </w:rPr>
        <w:t>As normas impugnadas não conferem amplo poder de requisição, mas um que é instrumentalmente necessário para reprimir as violações de crimes graves que atentam contra a liberdade pessoal e que se destinam a permitir o resgate das vítimas dessas infrações enquanto elas ainda estão em curso. A requisição apresentada pela autoridade policial, exclusivamente para o crimes previstos no art. 13-A do Código de Processo Penal, conquanto possível, deve se restringir apenas à finalidade a que foi fixada, qual seja, a de reprimir e impedir a ocorrência dos delitos descritos no caput, do citado dispositivo</w:t>
      </w:r>
    </w:p>
    <w:p>
      <w:pPr>
        <w:ind w:left="288"/>
      </w:pPr>
      <w:r>
        <w:rPr>
          <w:b/>
          <w:color w:val="003CA0"/>
          <w:sz w:val="16"/>
        </w:rPr>
        <w:t>[ADI 5.642, rel. min. Edson Fachin, j. 18.04.2024, P, DJE de 22.08.2024.]</w:t>
      </w:r>
    </w:p>
    <w:p>
      <w:pPr>
        <w:ind w:left="288"/>
      </w:pPr>
      <w:r>
        <w:rPr>
          <w:color w:val="8C8C8C"/>
          <w:sz w:val="12"/>
        </w:rPr>
        <w:t>cf-art-5-inc-X</w:t>
      </w:r>
      <w:r>
        <w:rPr>
          <w:color w:val="003CA0"/>
          <w:sz w:val="12"/>
        </w:rPr>
        <w:t xml:space="preserve"> | ADI 6.561</w:t>
      </w:r>
      <w:r>
        <w:rPr>
          <w:color w:val="003CA0"/>
          <w:sz w:val="12"/>
        </w:rPr>
        <w:t xml:space="preserve"> | rel. Edson Fachin</w:t>
      </w:r>
    </w:p>
    <w:p>
      <w:pPr>
        <w:ind w:left="288"/>
      </w:pPr>
      <w:r>
        <w:rPr>
          <w:color w:val="1E1E1E"/>
          <w:sz w:val="18"/>
        </w:rPr>
        <w:t>Lei 3.528 de 2019 do estado do Tocantins. Cadastro estadual de usuários e dependentes de drogas. (...) Materialmente (...) há inconstitucionalidade. A seletividade social do cadastro é incompatível com o Estado de Direito e os direitos fundamentais que a Constituição de 1988 protege, especialmente, a igualdade (CRFB, art. 5º, caput), a dignidade da pessoa humana (CRFB, art. 1º, III), o direito à intimidade e à vida privada (CRFB, art. 5º, X) e o devido processo legal (CRFB, art. 5º, LIV). Inexistência tampouco de protocolo claro de proteção e tratamento desses dados.</w:t>
      </w:r>
    </w:p>
    <w:p>
      <w:pPr>
        <w:ind w:left="288"/>
      </w:pPr>
      <w:r>
        <w:rPr>
          <w:b/>
          <w:color w:val="003CA0"/>
          <w:sz w:val="16"/>
        </w:rPr>
        <w:t>[ADI 6.561, rel. min. Edson Fachin, j. 4-9-2023, P, DJE de 3-11-2023.]</w:t>
      </w:r>
    </w:p>
    <w:p>
      <w:pPr>
        <w:ind w:left="288"/>
      </w:pPr>
      <w:r>
        <w:rPr>
          <w:color w:val="8C8C8C"/>
          <w:sz w:val="12"/>
        </w:rPr>
        <w:t>cf-art-5-inc-X</w:t>
      </w:r>
      <w:r>
        <w:rPr>
          <w:color w:val="003CA0"/>
          <w:sz w:val="12"/>
        </w:rPr>
        <w:t xml:space="preserve"> | ADI 5.545</w:t>
      </w:r>
      <w:r>
        <w:rPr>
          <w:color w:val="003CA0"/>
          <w:sz w:val="12"/>
        </w:rPr>
        <w:t xml:space="preserve"> | rel. Luiz Fux</w:t>
      </w:r>
    </w:p>
    <w:p>
      <w:pPr>
        <w:ind w:left="288"/>
      </w:pPr>
      <w:r>
        <w:rPr>
          <w:color w:val="1E1E1E"/>
          <w:sz w:val="18"/>
        </w:rPr>
        <w:t xml:space="preserve">O direito à privacidade relativa aos dados genéticos, em que pese sua imensurável importância para os avanços de métodos terapêuticos e regenerativos, a um só tempo, sob o prisma informacional, envolve profundas questões bioéticas relacionadas à posse e ao processamento de DNA de terceiros. A lei fluminense objeto desta ação fere ambas as dimensões do direito à privacidade, ao permitir a coleta e armazenagem de dados genéticos do nascituro e da parturiente, independentemente de prévio consentimento, e viola a dimensão negativa do direito à privacidade, que se traduz na prerrogativa de impedir </w:t>
      </w:r>
    </w:p>
    <w:p>
      <w:pPr>
        <w:ind w:left="288"/>
      </w:pPr>
      <w:r>
        <w:rPr>
          <w:b/>
          <w:color w:val="003CA0"/>
          <w:sz w:val="16"/>
        </w:rPr>
        <w:t>[ADI 5.545, rel. min. Luiz Fux, j. 9-5-2023, P, DJE de 16-6-2023.]</w:t>
      </w:r>
    </w:p>
    <w:p>
      <w:pPr>
        <w:ind w:left="288"/>
      </w:pPr>
      <w:r>
        <w:rPr>
          <w:color w:val="8C8C8C"/>
          <w:sz w:val="12"/>
        </w:rPr>
        <w:t>cf-art-5-inc-X</w:t>
      </w:r>
      <w:r>
        <w:rPr>
          <w:color w:val="003CA0"/>
          <w:sz w:val="12"/>
        </w:rPr>
        <w:t xml:space="preserve"> | ADI 6.649</w:t>
      </w:r>
      <w:r>
        <w:rPr>
          <w:color w:val="003CA0"/>
          <w:sz w:val="12"/>
        </w:rPr>
        <w:t xml:space="preserve"> | rel. Gilmar Mendes</w:t>
      </w:r>
    </w:p>
    <w:p>
      <w:pPr>
        <w:ind w:left="288"/>
      </w:pPr>
      <w:r>
        <w:rPr>
          <w:color w:val="1E1E1E"/>
          <w:sz w:val="18"/>
        </w:rPr>
        <w:t>O tratamento de dados pessoais pelo Estado é essencial para a prestação de serviços públicos. Todavia, diferentemente do que assevera o ente público, a discussão sobre a privacidade nas relações com a Administração Estatal não deve partir de uma visão dicotômica que coloque o interesse público como bem jurídico a ser tutelado de forma totalmente distinta e em confronto com o valor constitucional da privacidade e proteção de dados pessoais. (...) O compartilhamento de dados pessoais entre órgãos e entidades da Administração Pública, pressupõe: a) eleição de propósitos legítimos, específicos e e</w:t>
      </w:r>
    </w:p>
    <w:p>
      <w:pPr>
        <w:ind w:left="288"/>
      </w:pPr>
      <w:r>
        <w:rPr>
          <w:b/>
          <w:color w:val="003CA0"/>
          <w:sz w:val="16"/>
        </w:rPr>
        <w:t>[ADI 6.649 e ADPF 695, rel. min. Gilmar Mendes, j. 15-9-2022, P, DJE de 19-6-2023.]</w:t>
      </w:r>
    </w:p>
    <w:p>
      <w:pPr>
        <w:ind w:left="288"/>
      </w:pPr>
      <w:r>
        <w:rPr>
          <w:color w:val="8C8C8C"/>
          <w:sz w:val="12"/>
        </w:rPr>
        <w:t>cf-art-5-inc-X</w:t>
      </w:r>
      <w:r>
        <w:rPr>
          <w:color w:val="003CA0"/>
          <w:sz w:val="12"/>
        </w:rPr>
        <w:t xml:space="preserve"> | ADPF 722</w:t>
      </w:r>
      <w:r>
        <w:rPr>
          <w:color w:val="003CA0"/>
          <w:sz w:val="12"/>
        </w:rPr>
        <w:t xml:space="preserve"> | rel. Cármen Lúcia</w:t>
      </w:r>
    </w:p>
    <w:p>
      <w:pPr>
        <w:ind w:left="288"/>
      </w:pPr>
      <w:r>
        <w:rPr>
          <w:color w:val="1E1E1E"/>
          <w:sz w:val="18"/>
        </w:rPr>
        <w:t>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88"/>
      </w:pPr>
      <w:r>
        <w:rPr>
          <w:b/>
          <w:color w:val="003CA0"/>
          <w:sz w:val="16"/>
        </w:rPr>
        <w:t>[ADPF 722, rel. min. Cármen Lúcia, j. 16-5-2022, P, DJE de 9-6-2022.]</w:t>
      </w:r>
    </w:p>
    <w:p>
      <w:pPr>
        <w:ind w:left="288"/>
      </w:pPr>
      <w:r>
        <w:rPr>
          <w:color w:val="8C8C8C"/>
          <w:sz w:val="12"/>
        </w:rPr>
        <w:t>cf-art-5-inc-X</w:t>
      </w:r>
      <w:r>
        <w:rPr>
          <w:color w:val="003CA0"/>
          <w:sz w:val="12"/>
        </w:rPr>
        <w:t xml:space="preserve"> | ADI 4.924</w:t>
      </w:r>
      <w:r>
        <w:rPr>
          <w:color w:val="003CA0"/>
          <w:sz w:val="12"/>
        </w:rPr>
        <w:t xml:space="preserve"> | rel. Gilmar Mendes</w:t>
      </w:r>
    </w:p>
    <w:p>
      <w:pPr>
        <w:ind w:left="288"/>
      </w:pPr>
      <w:r>
        <w:rPr>
          <w:color w:val="1E1E1E"/>
          <w:sz w:val="18"/>
        </w:rPr>
        <w:t xml:space="preserve">Dispositivos que determinam que as prestadoras de serviço telefônico são obrigadas a fornecer, sob pena de multa, os dados pessoais dos usuários de terminais utilizados para passar trotes aos serviços de emergência. (...) Alegação de inconstitucionalidade material, por suposta violação ao direito à privacidade, pela quebra do sigilo de dados sem ordem judicial e em situação desproporcional – art. 5º, X e XII, da CF. Proporcionalidade da medida, desde que observadas as exigências que decorrem dos dispositivos constitucionais indicados. Quebra de sigilo limitada aos dados pessoais. Exigência de </w:t>
      </w:r>
    </w:p>
    <w:p>
      <w:pPr>
        <w:ind w:left="288"/>
      </w:pPr>
      <w:r>
        <w:rPr>
          <w:b/>
          <w:color w:val="003CA0"/>
          <w:sz w:val="16"/>
        </w:rPr>
        <w:t>[ADI 4.924, rel. min. Gilmar Mendes, j. 4-11-2021, P, DJE de 29-3-2022.]</w:t>
      </w:r>
    </w:p>
    <w:p>
      <w:pPr>
        <w:ind w:left="288"/>
      </w:pPr>
      <w:r>
        <w:rPr>
          <w:color w:val="8C8C8C"/>
          <w:sz w:val="12"/>
        </w:rPr>
        <w:t>cf-art-5-inc-X</w:t>
      </w:r>
      <w:r>
        <w:rPr>
          <w:color w:val="003CA0"/>
          <w:sz w:val="12"/>
        </w:rPr>
        <w:t xml:space="preserve"> | ADI 6.387</w:t>
      </w:r>
      <w:r>
        <w:rPr>
          <w:color w:val="003CA0"/>
          <w:sz w:val="12"/>
        </w:rPr>
        <w:t xml:space="preserve"> | rel. Rosa Weber</w:t>
      </w:r>
    </w:p>
    <w:p>
      <w:pPr>
        <w:ind w:left="288"/>
      </w:pPr>
      <w:r>
        <w:rPr>
          <w:color w:val="1E1E1E"/>
          <w:sz w:val="18"/>
        </w:rPr>
        <w:t>Decorrências dos direitos da personalidade, o respeito à privacidade e à autodeterminação informativa foram positivados, no art. 2º, I e II, da Lei 13.709/2018 (Lei Geral de Proteção de Dados Pessoais), como fundamentos específicos da disciplina da proteção de dados pessoais. Na medida em que relacionados à identificação – efetiva ou potencial – de pessoa natural, o tratamento e a manipulação de dados pessoais hão de observar os limites delineados pelo âmbito de proteção das cláusulas constitucionais assecuratórias da liberdade individual (art. 5º, caput), da privacidade e do livre desenvolvim</w:t>
      </w:r>
    </w:p>
    <w:p>
      <w:pPr>
        <w:ind w:left="288"/>
      </w:pPr>
      <w:r>
        <w:rPr>
          <w:b/>
          <w:color w:val="003CA0"/>
          <w:sz w:val="16"/>
        </w:rPr>
        <w:t>[ADI 6.387 MC-REF, ADI 6.388 MC-REF, ADI 6.389 MC-REF, ADI 6.390 MC-REF eADI 6.393-MC-REF, rel. min. Rosa Weber, j. 7-5-2020, P, DJE de 12-11-2020.]</w:t>
      </w:r>
    </w:p>
    <w:p>
      <w:pPr>
        <w:ind w:left="288"/>
      </w:pPr>
      <w:r>
        <w:rPr>
          <w:color w:val="8C8C8C"/>
          <w:sz w:val="12"/>
        </w:rPr>
        <w:t>cf-art-5-inc-X</w:t>
      </w:r>
      <w:r>
        <w:rPr>
          <w:color w:val="003CA0"/>
          <w:sz w:val="12"/>
        </w:rPr>
        <w:t xml:space="preserve"> | ADPF 130</w:t>
      </w:r>
      <w:r>
        <w:rPr>
          <w:color w:val="003CA0"/>
          <w:sz w:val="12"/>
        </w:rPr>
        <w:t xml:space="preserve"> | rel. Ayres Britto</w:t>
      </w:r>
    </w:p>
    <w:p>
      <w:pPr>
        <w:ind w:left="288"/>
      </w:pPr>
      <w:r>
        <w:rPr>
          <w:color w:val="1E1E1E"/>
          <w:sz w:val="18"/>
        </w:rPr>
        <w:t>(...) assegura-se o gozo dos "sobredireitos" de personalidade em que se traduz a "livre" e "plena" manifestação do pensamento, da criação e da informação. Somente depois é que se passa a cobrar do titular de tais situações jurídicas ativas um eventual desrespeito a direitos constitucionais alheios, ainda que também densificadores da personalidade humana. Determinação constitucional de momentânea paralisia à inviolabilidade de certas categorias de direitos subjetivos fundamentais, porquanto a cabeça do art. 220 da Constituição veda qualquer cerceio ou restrição à concreta manifestação do pensam</w:t>
      </w:r>
    </w:p>
    <w:p>
      <w:pPr>
        <w:ind w:left="288"/>
      </w:pPr>
      <w:r>
        <w:rPr>
          <w:b/>
          <w:color w:val="003CA0"/>
          <w:sz w:val="16"/>
        </w:rPr>
        <w:t>[ADPF 130, rel. min. Ayres Britto, j. 30-4-2009, P, DJE de 6-11-2009</w:t>
      </w:r>
    </w:p>
    <w:p>
      <w:pPr>
        <w:ind w:left="288"/>
      </w:pPr>
      <w:r>
        <w:rPr>
          <w:color w:val="8C8C8C"/>
          <w:sz w:val="12"/>
        </w:rPr>
        <w:t>cf-art-5-inc-X</w:t>
      </w:r>
      <w:r>
        <w:rPr>
          <w:color w:val="003CA0"/>
          <w:sz w:val="12"/>
        </w:rPr>
        <w:t xml:space="preserve"> | ADI 4.451</w:t>
      </w:r>
      <w:r>
        <w:rPr>
          <w:color w:val="003CA0"/>
          <w:sz w:val="12"/>
        </w:rPr>
        <w:t xml:space="preserve"> | rel. Alexandre de Moraes</w:t>
      </w:r>
    </w:p>
    <w:p>
      <w:pPr>
        <w:ind w:left="288"/>
      </w:pPr>
      <w:r>
        <w:rPr>
          <w:color w:val="1E1E1E"/>
          <w:sz w:val="18"/>
        </w:rPr>
        <w:t>Vide ADI 4.451, rel. min. Alexandre de Moraes, j. 21-6-2018, P, DJE de 6-3-2019 “Reconhecimento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w:t>
      </w:r>
    </w:p>
    <w:p>
      <w:pPr>
        <w:ind w:left="288"/>
      </w:pPr>
      <w:r>
        <w:rPr>
          <w:b/>
          <w:color w:val="003CA0"/>
          <w:sz w:val="16"/>
        </w:rPr>
        <w:t>[RE 1.037.396, rel. min. Dias Toffoli, j. 26.06.2025, P, DJE de 05.11.2025, Tema 987, com mérito julgado e RE 1.057.258, rel. min. Luiz Fux, j. 26.06.2025, P, DJE de 05.11.2025, Tema 533, com mérito julgado.]</w:t>
      </w:r>
    </w:p>
    <w:p>
      <w:pPr>
        <w:ind w:left="288"/>
      </w:pPr>
      <w:r>
        <w:rPr>
          <w:color w:val="8C8C8C"/>
          <w:sz w:val="12"/>
        </w:rPr>
        <w:t>cf-art-5-inc-X</w:t>
      </w:r>
      <w:r>
        <w:rPr>
          <w:color w:val="003CA0"/>
          <w:sz w:val="12"/>
        </w:rPr>
        <w:t xml:space="preserve"> | ARE 959.620</w:t>
      </w:r>
      <w:r>
        <w:rPr>
          <w:color w:val="003CA0"/>
          <w:sz w:val="12"/>
        </w:rPr>
        <w:t xml:space="preserve"> | rel. Edson Fachin</w:t>
      </w:r>
    </w:p>
    <w:p>
      <w:pPr>
        <w:ind w:left="288"/>
      </w:pPr>
      <w:r>
        <w:rPr>
          <w:color w:val="1E1E1E"/>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w:t>
      </w:r>
    </w:p>
    <w:p>
      <w:pPr>
        <w:ind w:left="288"/>
      </w:pPr>
      <w:r>
        <w:rPr>
          <w:b/>
          <w:color w:val="003CA0"/>
          <w:sz w:val="16"/>
        </w:rPr>
        <w:t>[ARE 959.620, rel. min. Edson Fachin, j. 02.04.2025, P, DJE de 02.07.2025, Tema 998, com mérito julgado.]</w:t>
      </w:r>
    </w:p>
    <w:p>
      <w:pPr>
        <w:ind w:left="288"/>
      </w:pPr>
      <w:r>
        <w:rPr>
          <w:color w:val="8C8C8C"/>
          <w:sz w:val="12"/>
        </w:rPr>
        <w:t>cf-art-5-inc-X</w:t>
      </w:r>
      <w:r>
        <w:rPr>
          <w:color w:val="003CA0"/>
          <w:sz w:val="12"/>
        </w:rPr>
        <w:t xml:space="preserve"> | RE 1.075.412</w:t>
      </w:r>
      <w:r>
        <w:rPr>
          <w:color w:val="003CA0"/>
          <w:sz w:val="12"/>
        </w:rPr>
        <w:t xml:space="preserve"> | rel. Edson Fachin</w:t>
      </w:r>
    </w:p>
    <w:p>
      <w:pPr>
        <w:ind w:left="288"/>
      </w:pPr>
      <w:r>
        <w:rPr>
          <w:color w:val="1E1E1E"/>
          <w:sz w:val="18"/>
        </w:rPr>
        <w:t>“1.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contraditório pelo veículo; 2. Na hipótese de entrevistas realizadas e transmitidas ao viv</w:t>
      </w:r>
    </w:p>
    <w:p>
      <w:pPr>
        <w:ind w:left="288"/>
      </w:pPr>
      <w:r>
        <w:rPr>
          <w:b/>
          <w:color w:val="003CA0"/>
          <w:sz w:val="16"/>
        </w:rPr>
        <w:t>[RE 1.075.412 ED, rel. min. Edson Fachin, j. 20.03.2025, P, DJE de 27.06.2025, Tema 995, com mérito julgado.]</w:t>
      </w:r>
    </w:p>
    <w:p>
      <w:pPr>
        <w:ind w:left="288"/>
      </w:pPr>
      <w:r>
        <w:rPr>
          <w:color w:val="8C8C8C"/>
          <w:sz w:val="12"/>
        </w:rPr>
        <w:t>cf-art-5-inc-X</w:t>
      </w:r>
      <w:r>
        <w:rPr>
          <w:color w:val="003CA0"/>
          <w:sz w:val="12"/>
        </w:rPr>
        <w:t xml:space="preserve"> | RE 635.659</w:t>
      </w:r>
      <w:r>
        <w:rPr>
          <w:color w:val="003CA0"/>
          <w:sz w:val="12"/>
        </w:rPr>
        <w:t xml:space="preserve"> | rel. Gilmar Mendes</w:t>
      </w:r>
    </w:p>
    <w:p>
      <w:pPr>
        <w:ind w:left="288"/>
      </w:pPr>
      <w:r>
        <w:rPr>
          <w:color w:val="1E1E1E"/>
          <w:sz w:val="18"/>
        </w:rPr>
        <w:t>(...) (i) não comete infração penal quem adquirir, guardar, tiver em depósito, transportar ou trouxer consigo, para consumo pessoal, a substância cannabis sativa, sem prejuízo do reconhecimento da ilicitude extrapenal da conduta, com apreensão da droga e aplicação de sanções de advertência sobre os efeitos dela (art. 28, I) e medida educativa de comparecimento a programa ou curso educativo (art. 28, III); (ii) as sanções estabelecidas nos incisos I e III do art. 28 da Lei 11.343/2006 serão aplicadas pelo juiz em procedimento de natureza não penal, sem nenhuma repercussão criminal para a condut</w:t>
      </w:r>
    </w:p>
    <w:p>
      <w:pPr>
        <w:ind w:left="288"/>
      </w:pPr>
      <w:r>
        <w:rPr>
          <w:b/>
          <w:color w:val="003CA0"/>
          <w:sz w:val="16"/>
        </w:rPr>
        <w:t>[RE 635.659, rel. min. Gilmar Mendes, j. 26.06.2024, P, DJE de 27.09.2024, Tema 506, com mérito julgado.]</w:t>
      </w:r>
    </w:p>
    <w:p>
      <w:pPr>
        <w:ind w:left="288"/>
      </w:pPr>
      <w:r>
        <w:rPr>
          <w:color w:val="8C8C8C"/>
          <w:sz w:val="12"/>
        </w:rPr>
        <w:t>cf-art-5-inc-X</w:t>
      </w:r>
      <w:r>
        <w:rPr>
          <w:color w:val="003CA0"/>
          <w:sz w:val="12"/>
        </w:rPr>
        <w:t xml:space="preserve"> | RE 670.422</w:t>
      </w:r>
      <w:r>
        <w:rPr>
          <w:color w:val="003CA0"/>
          <w:sz w:val="12"/>
        </w:rPr>
        <w:t xml:space="preserve"> | rel. Dias Toffoli</w:t>
      </w:r>
    </w:p>
    <w:p>
      <w:pPr>
        <w:ind w:left="288"/>
      </w:pPr>
      <w:r>
        <w:rPr>
          <w:color w:val="1E1E1E"/>
          <w:sz w:val="18"/>
        </w:rPr>
        <w:t xml:space="preserve">O transgênero tem direito fundamental subjetivo à alteração de seu prenome e de sua classificação de gênero no registro civil, não se exigindo, para tanto, nada além da manifestação da vontade do indivíduo, o qual poderá exercer tal faculdade tanto pela via judicial como diretamente pela via administrativa. ii) Essa alteração deve ser averbada à margem no assento de nascimento, sendo vedada a inclusão do termo ‘transexual’. iii) Nas certidões do registro não constará nenhuma observação sobre a origem do ato, sendo vedada a expedição de certidão de inteiro teor, salvo a requerimento do próprio </w:t>
      </w:r>
    </w:p>
    <w:p>
      <w:pPr>
        <w:ind w:left="288"/>
      </w:pPr>
      <w:r>
        <w:rPr>
          <w:b/>
          <w:color w:val="003CA0"/>
          <w:sz w:val="16"/>
        </w:rPr>
        <w:t>[RE 670.422, rel. min. Dias Toffoli, j. 15-8-2018, P, DJE de 10-3-2020. Tema 761, com mérito julgado.]</w:t>
      </w:r>
    </w:p>
    <w:p>
      <w:pPr>
        <w:ind w:left="288"/>
      </w:pPr>
      <w:r>
        <w:rPr>
          <w:color w:val="8C8C8C"/>
          <w:sz w:val="12"/>
        </w:rPr>
        <w:t>cf-art-5-inc-X</w:t>
      </w:r>
      <w:r>
        <w:rPr>
          <w:color w:val="003CA0"/>
          <w:sz w:val="12"/>
        </w:rPr>
        <w:t xml:space="preserve"> | RE 601.314</w:t>
      </w:r>
      <w:r>
        <w:rPr>
          <w:color w:val="003CA0"/>
          <w:sz w:val="12"/>
        </w:rPr>
        <w:t xml:space="preserve"> | rel. Edson Fachin</w:t>
      </w:r>
    </w:p>
    <w:p>
      <w:pPr>
        <w:ind w:left="288"/>
      </w:pPr>
      <w:r>
        <w:rPr>
          <w:color w:val="1E1E1E"/>
          <w:sz w:val="18"/>
        </w:rPr>
        <w:t>O litígio constitucional posto se traduz em um confronto entre o direito ao sigilo bancário e o dever de pagar tributos, ambos referidos a um mesmo cidadão e de caráter constituinte no que se refere à comunidade política, à luz da finalidade precípua da tributação de realizar a igualdade em seu duplo compromisso, a autonomia individual e o autogoverno coletivo. Do ponto de vista da autonomia individual, o sigilo bancário é uma das expressões do direito de personalidade que se traduz em ter suas atividades e informações bancárias livres de ingerências ou ofensas, qualificadas como arbitrárias o</w:t>
      </w:r>
    </w:p>
    <w:p>
      <w:pPr>
        <w:ind w:left="288"/>
      </w:pPr>
      <w:r>
        <w:rPr>
          <w:b/>
          <w:color w:val="003CA0"/>
          <w:sz w:val="16"/>
        </w:rPr>
        <w:t>[RE 601.314, rel. min. Edson Fachin, j. 24-2-2016, P, DJE de 16-9-2016. Tema 225, com mérito julgado.]</w:t>
      </w:r>
    </w:p>
    <w:p>
      <w:pPr>
        <w:ind w:left="288"/>
      </w:pPr>
      <w:r>
        <w:rPr>
          <w:color w:val="8C8C8C"/>
          <w:sz w:val="12"/>
        </w:rPr>
        <w:t>cf-art-5-inc-X</w:t>
      </w:r>
      <w:r>
        <w:rPr>
          <w:color w:val="003CA0"/>
          <w:sz w:val="12"/>
        </w:rPr>
        <w:t xml:space="preserve"> | RE 1.058.429</w:t>
      </w:r>
      <w:r>
        <w:rPr>
          <w:color w:val="003CA0"/>
          <w:sz w:val="12"/>
        </w:rPr>
        <w:t xml:space="preserve"> | rel. Alexandre de Moraes</w:t>
      </w:r>
    </w:p>
    <w:p>
      <w:pPr>
        <w:ind w:left="288"/>
      </w:pPr>
      <w:r>
        <w:rPr>
          <w:color w:val="1E1E1E"/>
          <w:sz w:val="18"/>
        </w:rPr>
        <w:t>Vide RE 1.058.429-AgR, rel. min. Alexandre de Moraes, j. 20-2-2018, 1ª T, DJE de 6-3-2018 Sigilo bancário. Solicitação de informações pelo Ministério Público diretamente ao Conselho de Atividades Financeiras – COAF para instruir procedimento investigatório criminal. (...) Há reiteradas decisões desta Corte estendendo a tese fixada no julgamento do RE 601.314-RG aos procedimentos criminais. Não há dúvida de que o desrespeito ao sigilo constitucionalmente protegido acarretaria violação às diversas garantias constitucionais; todavia, a inviolabilidade dos sigilos bancário e fiscal não é absoluta,</w:t>
      </w:r>
    </w:p>
    <w:p>
      <w:pPr>
        <w:ind w:left="288"/>
      </w:pPr>
      <w:r>
        <w:rPr>
          <w:b/>
          <w:color w:val="003CA0"/>
          <w:sz w:val="16"/>
        </w:rPr>
        <w:t>[RE 1.058.429 AgR, rel. min. Alexandre de Moraes, j. 20-2-2018, 1ª T, DJE de 6-3-2018.]</w:t>
      </w:r>
    </w:p>
    <w:p>
      <w:pPr>
        <w:ind w:left="288"/>
      </w:pPr>
      <w:r>
        <w:rPr>
          <w:color w:val="8C8C8C"/>
          <w:sz w:val="12"/>
        </w:rPr>
        <w:t>cf-art-5-inc-X</w:t>
      </w:r>
      <w:r>
        <w:rPr>
          <w:color w:val="003CA0"/>
          <w:sz w:val="12"/>
        </w:rPr>
        <w:t xml:space="preserve"> | RE 601.314</w:t>
      </w:r>
      <w:r>
        <w:rPr>
          <w:color w:val="003CA0"/>
          <w:sz w:val="12"/>
        </w:rPr>
        <w:t xml:space="preserve"> | rel. Edson Fachin</w:t>
      </w:r>
    </w:p>
    <w:p>
      <w:pPr>
        <w:ind w:left="288"/>
      </w:pPr>
      <w:r>
        <w:rPr>
          <w:color w:val="1E1E1E"/>
          <w:sz w:val="18"/>
        </w:rPr>
        <w:t>Vide RE 601.314, rel. min. Edson Fachin, j. 24-2-2016, P, DJE de 16-9-2016, Tema 225 “1. A mera apreensão de aparelho celular, nos termos do art. 6º do CPP ou em flagrante delito, não está sujeita à reserva de jurisdição. Contudo, o acesso aos dados nele contidos deve observar as seguintes condicionantes: 1.1 Nas hipóteses de encontro fortuito de aparelho celular, o acesso aos respectivos dados para o fim exclusivo de se esclarecer a autoria do fato supostamente criminoso, ou quem seja o proprietário do aparelho, não depende de consentimento ou de prévia decisão judicial, desde que justificada</w:t>
      </w:r>
    </w:p>
    <w:p>
      <w:pPr>
        <w:ind w:left="288"/>
      </w:pPr>
      <w:r>
        <w:rPr>
          <w:b/>
          <w:color w:val="003CA0"/>
          <w:sz w:val="16"/>
        </w:rPr>
        <w:t>[ARE 1.042.075, rel. min. Dias Toffoli, j. 25.06.2025, P, DJE de 24.09.2025, Tema 977, com mérito julgado.]</w:t>
      </w:r>
    </w:p>
    <w:p>
      <w:pPr>
        <w:ind w:left="288"/>
      </w:pPr>
      <w:r>
        <w:rPr>
          <w:color w:val="8C8C8C"/>
          <w:sz w:val="12"/>
        </w:rPr>
        <w:t>cf-art-5-inc-X</w:t>
      </w:r>
      <w:r>
        <w:rPr>
          <w:color w:val="003CA0"/>
          <w:sz w:val="12"/>
        </w:rPr>
        <w:t xml:space="preserve"> | RE 1.040.515</w:t>
      </w:r>
      <w:r>
        <w:rPr>
          <w:color w:val="003CA0"/>
          <w:sz w:val="12"/>
        </w:rPr>
        <w:t xml:space="preserve"> | rel. Dias Toffoli</w:t>
      </w:r>
    </w:p>
    <w:p>
      <w:pPr>
        <w:ind w:left="288"/>
      </w:pPr>
      <w:r>
        <w:rPr>
          <w:color w:val="1E1E1E"/>
          <w:sz w:val="18"/>
        </w:rPr>
        <w:t>No processo eleitoral, é ilícita a prova colhida por meio de gravação ambiental clandestina, sem autorização judicial e com violação da privacidade e da intimidade dos interlocutores, ainda que realizada por um dos participantes, sem o conhecimento dos demais. b) A exceção à regra da ilicitude da gravação ambiental feita sem o conhecimento de um dos interlocutores e sem autorização judicial ocorre na hipótese de registro de fato ocorrido em local público desprovido de qualquer controle de acesso, pois, nesse caso, não há violação da intimidade ou quebra da expectativa de privacidade.</w:t>
      </w:r>
    </w:p>
    <w:p>
      <w:pPr>
        <w:ind w:left="288"/>
      </w:pPr>
      <w:r>
        <w:rPr>
          <w:b/>
          <w:color w:val="003CA0"/>
          <w:sz w:val="16"/>
        </w:rPr>
        <w:t>[RE 1.040.515, rel. min. Dias Toffoli, j. 29.04.2024, P, DJE de 24.06.2024, Tema 979, com mérito julgado.]</w:t>
      </w:r>
    </w:p>
    <w:p>
      <w:pPr>
        <w:ind w:left="288"/>
      </w:pPr>
      <w:r>
        <w:rPr>
          <w:color w:val="8C8C8C"/>
          <w:sz w:val="12"/>
        </w:rPr>
        <w:t>cf-art-5-inc-X</w:t>
      </w:r>
      <w:r>
        <w:rPr>
          <w:color w:val="003CA0"/>
          <w:sz w:val="12"/>
        </w:rPr>
        <w:t xml:space="preserve"> | HC 208.240</w:t>
      </w:r>
      <w:r>
        <w:rPr>
          <w:color w:val="003CA0"/>
          <w:sz w:val="12"/>
        </w:rPr>
        <w:t xml:space="preserve"> | rel. Edson Fachin</w:t>
      </w:r>
    </w:p>
    <w:p>
      <w:pPr>
        <w:ind w:left="288"/>
      </w:pPr>
      <w:r>
        <w:rPr>
          <w:color w:val="1E1E1E"/>
          <w:sz w:val="18"/>
        </w:rPr>
        <w:t>A Constituição Federal protege a intimidade e a privacidade como direitos individuais (art. 5º, X). Também prevê como objetivo fundamental da República Federativa do Brasil a construção de uma sociedade justa, plural e solidária, sem preconceitos de origem, raça, sexo, cor, idade e quaisquer outras formas de discriminação (art. 3º, I e IV). (...) O Estado brasileiro comprometeu-se a proibir e a eliminar a discriminação racial em todas suas formas e a garantir o direito de cada um à igualdade perante a lei sem distinção de raça, de cor ou de origem nacional ou étnica (Convenção Internacional so</w:t>
      </w:r>
    </w:p>
    <w:p>
      <w:pPr>
        <w:ind w:left="288"/>
      </w:pPr>
      <w:r>
        <w:rPr>
          <w:b/>
          <w:color w:val="003CA0"/>
          <w:sz w:val="16"/>
        </w:rPr>
        <w:t>[HC 208.240, rel. min. Edson Fachin, j. 11.04.2024, P, DJE de 28.06.2024.]</w:t>
      </w:r>
    </w:p>
    <w:p>
      <w:pPr>
        <w:ind w:left="288"/>
      </w:pPr>
      <w:r>
        <w:rPr>
          <w:color w:val="8C8C8C"/>
          <w:sz w:val="12"/>
        </w:rPr>
        <w:t>cf-art-5-inc-X</w:t>
      </w:r>
      <w:r>
        <w:rPr>
          <w:color w:val="003CA0"/>
          <w:sz w:val="12"/>
        </w:rPr>
        <w:t xml:space="preserve"> | HC 222.141</w:t>
      </w:r>
      <w:r>
        <w:rPr>
          <w:color w:val="003CA0"/>
          <w:sz w:val="12"/>
        </w:rPr>
        <w:t xml:space="preserve"> | rel. Ricardo Lewandowski</w:t>
      </w:r>
    </w:p>
    <w:p>
      <w:pPr>
        <w:ind w:left="288"/>
      </w:pPr>
      <w:r>
        <w:rPr>
          <w:color w:val="1E1E1E"/>
          <w:sz w:val="18"/>
        </w:rPr>
        <w:t>Provedores e plataformas dos registros de conexão e registros de acesso a aplicações de Internet. Congelamento do conteúdo de comunicações privadas e de dados pessoais da paciente, com base no art. 13, § 2º, do Marco Civil da Internet, por determinação do Ministério Público, sem prévia autorização judicial. Ilegitimidade. A disponibilização de dados pessoais, comunicações privadas ou informações relativas a registros de conexão/acesso está condicionada à determinação do juiz. A exceção fica por conta dos dados cadastrais, que podem ser alcançados por autoridades administrativas devidamente aut</w:t>
      </w:r>
    </w:p>
    <w:p>
      <w:pPr>
        <w:ind w:left="288"/>
      </w:pPr>
      <w:r>
        <w:rPr>
          <w:b/>
          <w:color w:val="003CA0"/>
          <w:sz w:val="16"/>
        </w:rPr>
        <w:t>[HC 222.141 AgR, rel. min. Ricardo Lewandowski, red. do ac. min. Gilmar Mendes j. 06.02.2024, 2ª T, DJE de 03.04.2024.]</w:t>
      </w:r>
    </w:p>
    <w:p>
      <w:pPr>
        <w:ind w:left="288"/>
      </w:pPr>
      <w:r>
        <w:rPr>
          <w:color w:val="8C8C8C"/>
          <w:sz w:val="12"/>
        </w:rPr>
        <w:t>cf-art-5-inc-X</w:t>
      </w:r>
      <w:r>
        <w:rPr>
          <w:color w:val="003CA0"/>
          <w:sz w:val="12"/>
        </w:rPr>
        <w:t xml:space="preserve"> | ARE 1.369.282</w:t>
      </w:r>
      <w:r>
        <w:rPr>
          <w:color w:val="003CA0"/>
          <w:sz w:val="12"/>
        </w:rPr>
        <w:t xml:space="preserve"> | rel. Ricardo Lewandowski</w:t>
      </w:r>
    </w:p>
    <w:p>
      <w:pPr>
        <w:ind w:left="288"/>
      </w:pPr>
      <w:r>
        <w:rPr>
          <w:color w:val="1E1E1E"/>
          <w:sz w:val="18"/>
        </w:rPr>
        <w:t>O dano moral sofrido pela vítima é inerente aos crimes praticados contra a mulher no âmbito doméstico e familiar, de modo que a fixação do respectivo valor mínimo indenizatório (CPP/1941, art. 387, IV) pressupõe o respeito aos princípios do contraditório e da ampla defesa, viabilizados pela oportunidade de manifestação do réu durante o curso da ação penal.</w:t>
      </w:r>
    </w:p>
    <w:p>
      <w:pPr>
        <w:ind w:left="288"/>
      </w:pPr>
      <w:r>
        <w:rPr>
          <w:b/>
          <w:color w:val="003CA0"/>
          <w:sz w:val="16"/>
        </w:rPr>
        <w:t>[ARE 1.369.282 AgR, rel. min. Ricardo Lewandowski, red. do ac. min. Edson Fachin, j. 19-9-2023, 2ª T, DJE de 1-12-2023.]</w:t>
      </w:r>
    </w:p>
    <w:p>
      <w:pPr>
        <w:ind w:left="288"/>
      </w:pPr>
      <w:r>
        <w:rPr>
          <w:color w:val="8C8C8C"/>
          <w:sz w:val="12"/>
        </w:rPr>
        <w:t>cf-art-5-inc-X</w:t>
      </w:r>
      <w:r>
        <w:rPr>
          <w:color w:val="003CA0"/>
          <w:sz w:val="12"/>
        </w:rPr>
        <w:t xml:space="preserve"> | RE 1.292.275</w:t>
      </w:r>
      <w:r>
        <w:rPr>
          <w:color w:val="003CA0"/>
          <w:sz w:val="12"/>
        </w:rPr>
        <w:t xml:space="preserve"> | rel. Nunes Marques</w:t>
      </w:r>
    </w:p>
    <w:p>
      <w:pPr>
        <w:ind w:left="288"/>
      </w:pPr>
      <w:r>
        <w:rPr>
          <w:color w:val="1E1E1E"/>
          <w:sz w:val="18"/>
        </w:rPr>
        <w:t>Divulgação de imagens de presos provisórios. Direito à informação versus direito à intimidade. (...) Não há direitos fundamentais absolutos, cabendo ao julgador, dadas as circunstâncias do caso concreto, em juízo de ponderação, avaliar qual princípio deverá prevalecer.</w:t>
      </w:r>
    </w:p>
    <w:p>
      <w:pPr>
        <w:ind w:left="288"/>
      </w:pPr>
      <w:r>
        <w:rPr>
          <w:b/>
          <w:color w:val="003CA0"/>
          <w:sz w:val="16"/>
        </w:rPr>
        <w:t>[RE 1.292.275 AgR, rel. min. Nunes Marques, j. 3-5-2023, 1ª T, DJE de 22-5-2023.]</w:t>
      </w:r>
    </w:p>
    <w:p>
      <w:pPr>
        <w:ind w:left="288"/>
      </w:pPr>
      <w:r>
        <w:rPr>
          <w:color w:val="8C8C8C"/>
          <w:sz w:val="12"/>
        </w:rPr>
        <w:t>cf-art-5-inc-X</w:t>
      </w:r>
      <w:r>
        <w:rPr>
          <w:color w:val="003CA0"/>
          <w:sz w:val="12"/>
        </w:rPr>
        <w:t xml:space="preserve"> | MS 36.150</w:t>
      </w:r>
      <w:r>
        <w:rPr>
          <w:color w:val="003CA0"/>
          <w:sz w:val="12"/>
        </w:rPr>
        <w:t xml:space="preserve"> | rel. Roberto Barroso</w:t>
      </w:r>
    </w:p>
    <w:p>
      <w:pPr>
        <w:ind w:left="288"/>
      </w:pPr>
      <w:r>
        <w:rPr>
          <w:color w:val="1E1E1E"/>
          <w:sz w:val="18"/>
        </w:rPr>
        <w:t xml:space="preserve">Mandado de segurança impetrado pelo Instituto Nacional de Estudos e Pesquisas Educacionais Anísio Teixeira (INEP) contra acórdão do Tribunal de Contas da União (TCU) que determinou a entrega de dados individualizados do Censo Escolar e do ENEM para auditoria do Programa Bolsa Família. O art. 5º, X, XIV e XXXIII, da CF/1988 e a Lei nº 12.527/2011 – Lei de acesso à informação – asseguram o sigilo de dados pessoais. A divergência quanto ao dever de sigilo do INEP sobre os dados requisitados pelo TCU é matéria sujeita à reserva de jurisdição, não cabendo ao órgão de controle externo decidir sobre </w:t>
      </w:r>
    </w:p>
    <w:p>
      <w:pPr>
        <w:ind w:left="288"/>
      </w:pPr>
      <w:r>
        <w:rPr>
          <w:b/>
          <w:color w:val="003CA0"/>
          <w:sz w:val="16"/>
        </w:rPr>
        <w:t>[MS 36.150 AgR, rel. min. Roberto Barroso, j. 10-10-2022, 1ª T, DJE de 14-10-2022.]</w:t>
      </w:r>
    </w:p>
    <w:p>
      <w:pPr>
        <w:ind w:left="288"/>
      </w:pPr>
      <w:r>
        <w:rPr>
          <w:color w:val="8C8C8C"/>
          <w:sz w:val="12"/>
        </w:rPr>
        <w:t>cf-art-5-inc-X</w:t>
      </w:r>
      <w:r>
        <w:rPr>
          <w:color w:val="003CA0"/>
          <w:sz w:val="12"/>
        </w:rPr>
        <w:t xml:space="preserve"> | AP 996</w:t>
      </w:r>
    </w:p>
    <w:p>
      <w:pPr>
        <w:ind w:left="288"/>
      </w:pPr>
      <w:r>
        <w:rPr>
          <w:color w:val="1E1E1E"/>
          <w:sz w:val="18"/>
        </w:rPr>
        <w:t>As condutas praticadas pelos acusados foram direcionadas ao malferimento de patrimônio público, mediante indevida ingerência na função pública ocupada pelo agente colaborador nos quadros da sociedade de economia mista. Embora não desconheça a posição adotada por esta Egrégia Segunda Turma no julgamento da AP 996, continuo a entender que, no âmbito da responsabilidade civil, além do dano material, consubstanciado na diminuição do patrimônio da vítima verificado com a ocorrência do ato ilícito, o ordenamento jurídico tutela igualmente o dano moral, seja na esfera individual, seja de forma coleti</w:t>
      </w:r>
    </w:p>
    <w:p>
      <w:pPr>
        <w:ind w:left="288"/>
      </w:pPr>
      <w:r>
        <w:rPr>
          <w:b/>
          <w:color w:val="003CA0"/>
          <w:sz w:val="16"/>
        </w:rPr>
        <w:t>[AP 1.002, voto do min. Edson Fachin, j. 9-6-2020, 2ª T, DJE de 17-11-2020.]</w:t>
      </w:r>
    </w:p>
    <w:p>
      <w:pPr>
        <w:ind w:left="288"/>
      </w:pPr>
      <w:r>
        <w:rPr>
          <w:color w:val="8C8C8C"/>
          <w:sz w:val="12"/>
        </w:rPr>
        <w:t>cf-art-5-inc-X</w:t>
      </w:r>
      <w:r>
        <w:rPr>
          <w:color w:val="003CA0"/>
          <w:sz w:val="12"/>
        </w:rPr>
        <w:t xml:space="preserve"> | MS 31.631</w:t>
      </w:r>
      <w:r>
        <w:rPr>
          <w:color w:val="003CA0"/>
          <w:sz w:val="12"/>
        </w:rPr>
        <w:t xml:space="preserve"> | rel. Marco Aurélio</w:t>
      </w:r>
    </w:p>
    <w:p>
      <w:pPr>
        <w:ind w:left="288"/>
      </w:pPr>
      <w:r>
        <w:rPr>
          <w:color w:val="1E1E1E"/>
          <w:sz w:val="18"/>
        </w:rPr>
        <w:t>Consoante se extrai do sítio eletrônico do CNJ, o programa Justiça Plena “monitora e dá transparência ao andamento de processos de grande repercussão social”. Considerados coordenadores e participantes, atuam no plano de monitoramento o Ministério da Justiça, o CNJ, a AGU, a Secretaria de Direitos Humanos, o Conselho Nacional do Ministério Público, a OAB, as Defensorias Públicas da União e dos Estados e a Procuradoria Federal dos Direitos do Cidadão. O acesso às informações acontece por meio do Sistema de Acompanhamento de Processos de Relevância Social (SAPRS) e é permitido apenas aos represe</w:t>
      </w:r>
    </w:p>
    <w:p>
      <w:pPr>
        <w:ind w:left="288"/>
      </w:pPr>
      <w:r>
        <w:rPr>
          <w:b/>
          <w:color w:val="003CA0"/>
          <w:sz w:val="16"/>
        </w:rPr>
        <w:t>[MS 31.631, rel. min. Marco Aurélio, j. 15-8-2017, 1ª T, DJE de 28-8-2017.]</w:t>
      </w:r>
    </w:p>
    <w:p>
      <w:pPr>
        <w:ind w:left="288"/>
      </w:pPr>
      <w:r>
        <w:rPr>
          <w:color w:val="8C8C8C"/>
          <w:sz w:val="12"/>
        </w:rPr>
        <w:t>cf-art-5-inc-X</w:t>
      </w:r>
      <w:r>
        <w:rPr>
          <w:color w:val="003CA0"/>
          <w:sz w:val="12"/>
        </w:rPr>
        <w:t xml:space="preserve"> | INQ 3.784</w:t>
      </w:r>
    </w:p>
    <w:p>
      <w:pPr>
        <w:ind w:left="288"/>
      </w:pPr>
      <w:r>
        <w:rPr>
          <w:color w:val="1E1E1E"/>
          <w:sz w:val="18"/>
        </w:rPr>
        <w:t>A extensão das diligências efetuadas em inquérito policial supervisionado pelo STF pode alcançar pessoas sem prerrogativa de foro, quando se revelar indispensável à apuração da suposta infração. No caso, há fundadas suspeitas de que o repasse de vantagem indevida ao congressista investigado ocorrera por intermédio de conta bancária de titularidade de sua esposa, do que deflui a relevância da medida para o êxito das investigações.</w:t>
      </w:r>
    </w:p>
    <w:p>
      <w:pPr>
        <w:ind w:left="288"/>
      </w:pPr>
      <w:r>
        <w:rPr>
          <w:b/>
          <w:color w:val="003CA0"/>
          <w:sz w:val="16"/>
        </w:rPr>
        <w:t>[Inq 3.784 AgR, red. do ac. min. Edson Fachin, j. 20-9-2016, 1ª T, DJE de 31-8-2017.]</w:t>
      </w:r>
    </w:p>
    <w:p>
      <w:pPr>
        <w:ind w:left="288"/>
      </w:pPr>
      <w:r>
        <w:rPr>
          <w:color w:val="8C8C8C"/>
          <w:sz w:val="12"/>
        </w:rPr>
        <w:t>cf-art-5-inc-X</w:t>
      </w:r>
      <w:r>
        <w:rPr>
          <w:color w:val="003CA0"/>
          <w:sz w:val="12"/>
        </w:rPr>
        <w:t xml:space="preserve"> | AO 1.390</w:t>
      </w:r>
      <w:r>
        <w:rPr>
          <w:color w:val="003CA0"/>
          <w:sz w:val="12"/>
        </w:rPr>
        <w:t xml:space="preserve"> | rel. Dias Toffoli</w:t>
      </w:r>
    </w:p>
    <w:p>
      <w:pPr>
        <w:ind w:left="288"/>
      </w:pPr>
      <w:r>
        <w:rPr>
          <w:color w:val="1E1E1E"/>
          <w:sz w:val="18"/>
        </w:rPr>
        <w:t>A fixação do quantum indenizatório deve observar o grau de reprovabilidade da conduta. A conduta do réu, embora reprovável, destinou-se a pessoa pública, que está sujeita a críticas relacionadas com a sua função, o que atenua o grau de reprovabilidade da conduta. A extensão do dano é média; pois, apesar de haver publicações das acusações feitas pelo réu, foi igualmente publicada, e com destaque (capa do jornal), matéria que inocenta o autor, o que minimizou o impacto das ofensas perante a sociedade.</w:t>
      </w:r>
    </w:p>
    <w:p>
      <w:pPr>
        <w:ind w:left="288"/>
      </w:pPr>
      <w:r>
        <w:rPr>
          <w:b/>
          <w:color w:val="003CA0"/>
          <w:sz w:val="16"/>
        </w:rPr>
        <w:t>[AO 1.390, rel. min. Dias Toffoli, j. 12-5-2011, P, DJE de 30-8-2011.]</w:t>
      </w:r>
    </w:p>
    <w:p>
      <w:pPr>
        <w:ind w:left="288"/>
      </w:pPr>
      <w:r>
        <w:rPr>
          <w:color w:val="8C8C8C"/>
          <w:sz w:val="12"/>
        </w:rPr>
        <w:t>cf-art-5-inc-X</w:t>
      </w:r>
      <w:r>
        <w:rPr>
          <w:color w:val="003CA0"/>
          <w:sz w:val="12"/>
        </w:rPr>
        <w:t xml:space="preserve"> | ADPF 130</w:t>
      </w:r>
      <w:r>
        <w:rPr>
          <w:color w:val="003CA0"/>
          <w:sz w:val="12"/>
        </w:rPr>
        <w:t xml:space="preserve"> | rel. Cezar Peluso</w:t>
      </w:r>
    </w:p>
    <w:p>
      <w:pPr>
        <w:ind w:left="288"/>
      </w:pPr>
      <w:r>
        <w:rPr>
          <w:color w:val="1E1E1E"/>
          <w:sz w:val="18"/>
        </w:rPr>
        <w:t>Não ofende a autoridade do acórdão proferido na ADPF 130 a decisão que, proibindo a jornal a publicação de fatos relativos ao autor de ação inibitória, se fundou, de maneira expressa, na inviolabilidade constitucional de direitos da personalidade, notadamente o da privacidade, mediante proteção de sigilo legal de dados cobertos por segredo de justiça.</w:t>
      </w:r>
    </w:p>
    <w:p>
      <w:pPr>
        <w:ind w:left="288"/>
      </w:pPr>
      <w:r>
        <w:rPr>
          <w:b/>
          <w:color w:val="003CA0"/>
          <w:sz w:val="16"/>
        </w:rPr>
        <w:t>[Rcl 9.428, rel. min. Cezar Peluso, j. 10-12-2009, P, DJE de 25-6-2010.]</w:t>
      </w:r>
    </w:p>
    <w:p>
      <w:pPr>
        <w:ind w:left="288"/>
      </w:pPr>
      <w:r>
        <w:rPr>
          <w:color w:val="8C8C8C"/>
          <w:sz w:val="12"/>
        </w:rPr>
        <w:t>cf-art-5-inc-X</w:t>
      </w:r>
      <w:r>
        <w:rPr>
          <w:color w:val="003CA0"/>
          <w:sz w:val="12"/>
        </w:rPr>
        <w:t xml:space="preserve"> | MS 27.483</w:t>
      </w:r>
      <w:r>
        <w:rPr>
          <w:color w:val="003CA0"/>
          <w:sz w:val="12"/>
        </w:rPr>
        <w:t xml:space="preserve"> | rel. Cezar Peluso</w:t>
      </w:r>
    </w:p>
    <w:p>
      <w:pPr>
        <w:ind w:left="288"/>
      </w:pPr>
      <w:r>
        <w:rPr>
          <w:color w:val="1E1E1E"/>
          <w:sz w:val="18"/>
        </w:rPr>
        <w:t>CPI não tem poder jurídico de, mediante requisição, a operadoras de telefonia, de cópias de decisão nem de mandado judicial de interceptação telefônica, quebrar sigilo imposto a processo sujeito a segredo de justiça. Este é oponível a CPI, representando expressiva limitação aos seus poderes constitucionais.</w:t>
      </w:r>
    </w:p>
    <w:p>
      <w:pPr>
        <w:ind w:left="288"/>
      </w:pPr>
      <w:r>
        <w:rPr>
          <w:b/>
          <w:color w:val="003CA0"/>
          <w:sz w:val="16"/>
        </w:rPr>
        <w:t>[MS 27.483 MC-REF, rel. min. Cezar Peluso, j. 14-8-2008, P, DJE de 10-10-2008.]</w:t>
      </w:r>
    </w:p>
    <w:p>
      <w:pPr>
        <w:ind w:left="288"/>
      </w:pPr>
      <w:r>
        <w:rPr>
          <w:color w:val="8C8C8C"/>
          <w:sz w:val="12"/>
        </w:rPr>
        <w:t>cf-art-5-inc-X</w:t>
      </w:r>
      <w:r>
        <w:rPr>
          <w:color w:val="003CA0"/>
          <w:sz w:val="12"/>
        </w:rPr>
        <w:t xml:space="preserve"> | AI 655.298</w:t>
      </w:r>
      <w:r>
        <w:rPr>
          <w:color w:val="003CA0"/>
          <w:sz w:val="12"/>
        </w:rPr>
        <w:t xml:space="preserve"> | rel. Eros Grau</w:t>
      </w:r>
    </w:p>
    <w:p>
      <w:pPr>
        <w:ind w:left="288"/>
      </w:pPr>
      <w:r>
        <w:rPr>
          <w:color w:val="1E1E1E"/>
          <w:sz w:val="18"/>
        </w:rPr>
        <w:t>O sigilo bancário, espécie de direito à privacidade protegido pela Constituição de 1988, não é absoluto, pois deve ceder diante dos interesses público, social e da Justiça. Assim, deve ceder também na forma e com observância de procedimento legal e com respeito ao princípio da razoabilidade.</w:t>
      </w:r>
    </w:p>
    <w:p>
      <w:pPr>
        <w:ind w:left="288"/>
      </w:pPr>
      <w:r>
        <w:rPr>
          <w:b/>
          <w:color w:val="003CA0"/>
          <w:sz w:val="16"/>
        </w:rPr>
        <w:t>[AI 655.298 AgR, rel. min. Eros Grau, j. 4-9-2007, 2ª T, DJ de 28-9-2007.]</w:t>
      </w:r>
    </w:p>
    <w:p>
      <w:pPr>
        <w:ind w:left="288"/>
      </w:pPr>
      <w:r>
        <w:rPr>
          <w:color w:val="8C8C8C"/>
          <w:sz w:val="12"/>
        </w:rPr>
        <w:t>cf-art-5-inc-X</w:t>
      </w:r>
      <w:r>
        <w:rPr>
          <w:color w:val="003CA0"/>
          <w:sz w:val="12"/>
        </w:rPr>
        <w:t xml:space="preserve"> | INQ 2.245</w:t>
      </w:r>
      <w:r>
        <w:rPr>
          <w:color w:val="003CA0"/>
          <w:sz w:val="12"/>
        </w:rPr>
        <w:t xml:space="preserve"> | rel. Joaquim Barbosa</w:t>
      </w:r>
    </w:p>
    <w:p>
      <w:pPr>
        <w:ind w:left="288"/>
      </w:pPr>
      <w:r>
        <w:rPr>
          <w:color w:val="1E1E1E"/>
          <w:sz w:val="18"/>
        </w:rPr>
        <w:t>Não procede a alegação feita pelo quinto acusado de que os dados relativos aos supostos empréstimos bancários contraídos com as duas instituições financeiras envolvidas teriam sido colhidos de modo ilegal, pois o Banco Central teria atendido diretamente a pedido do PGR sem que houvesse autorização judicial. Tais dados constam de relatórios de fiscalização do Banco Central, que foram requisitados pela CPMI dos Correios. No âmbito deste inquérito, o presidente do STF determinou o "compartilhamento de todas as informações bancárias já obtidas pela CPMI dos Correios" para análise em conjunto com o</w:t>
      </w:r>
    </w:p>
    <w:p>
      <w:pPr>
        <w:ind w:left="288"/>
      </w:pPr>
      <w:r>
        <w:rPr>
          <w:b/>
          <w:color w:val="003CA0"/>
          <w:sz w:val="16"/>
        </w:rPr>
        <w:t>[Inq 2.245, rel. min. Joaquim Barbosa, j. 28-8-2007, P, DJ de 9-11-2007.]</w:t>
      </w:r>
    </w:p>
    <w:p>
      <w:pPr>
        <w:ind w:left="288"/>
      </w:pPr>
      <w:r>
        <w:rPr>
          <w:color w:val="8C8C8C"/>
          <w:sz w:val="12"/>
        </w:rPr>
        <w:t>cf-art-5-inc-X</w:t>
      </w:r>
      <w:r>
        <w:rPr>
          <w:color w:val="003CA0"/>
          <w:sz w:val="12"/>
        </w:rPr>
        <w:t xml:space="preserve"> | INQ 2.245</w:t>
      </w:r>
      <w:r>
        <w:rPr>
          <w:color w:val="003CA0"/>
          <w:sz w:val="12"/>
        </w:rPr>
        <w:t xml:space="preserve"> | rel. Joaquim Barbosa</w:t>
      </w:r>
    </w:p>
    <w:p>
      <w:pPr>
        <w:ind w:left="288"/>
      </w:pPr>
      <w:r>
        <w:rPr>
          <w:color w:val="1E1E1E"/>
          <w:sz w:val="18"/>
        </w:rPr>
        <w:t>Requisição de remessa ao STF de lista pela qual se identifiquem todas as pessoas que fizeram uso da conta de não residente para fins de remessa de valores ao exterior: impossibilidade. Configura-se ilegítima a quebra de sigilo bancário de listagem genérica, com nomes de pessoas não relacionados diretamente com as investigações (art. 5º, X, da CF). Ressalva da possibilidade de o MPF formular pedido específico, sobre pessoas identificadas, definindo e justificando com exatidão a sua pretensão.</w:t>
      </w:r>
    </w:p>
    <w:p>
      <w:pPr>
        <w:ind w:left="288"/>
      </w:pPr>
      <w:r>
        <w:rPr>
          <w:b/>
          <w:color w:val="003CA0"/>
          <w:sz w:val="16"/>
        </w:rPr>
        <w:t>[Inq 2.245 AgR, rel. min. Joaquim Barbosa, red. do ac. min. Cármen Lúcia, j. 29-11-2006, P, DJ de 9-11-2007.]</w:t>
      </w:r>
    </w:p>
    <w:p>
      <w:pPr>
        <w:ind w:left="288"/>
      </w:pPr>
      <w:r>
        <w:rPr>
          <w:color w:val="8C8C8C"/>
          <w:sz w:val="12"/>
        </w:rPr>
        <w:t>cf-art-5-inc-X</w:t>
      </w:r>
      <w:r>
        <w:rPr>
          <w:color w:val="003CA0"/>
          <w:sz w:val="12"/>
        </w:rPr>
        <w:t xml:space="preserve"> | HC 84.758</w:t>
      </w:r>
      <w:r>
        <w:rPr>
          <w:color w:val="003CA0"/>
          <w:sz w:val="12"/>
        </w:rPr>
        <w:t xml:space="preserve"> | rel. Celso de Mello</w:t>
      </w:r>
    </w:p>
    <w:p>
      <w:pPr>
        <w:ind w:left="288"/>
      </w:pPr>
      <w:r>
        <w:rPr>
          <w:color w:val="1E1E1E"/>
          <w:sz w:val="18"/>
        </w:rPr>
        <w:t>A quebra de sigilo não pode ser manipulada, de modo arbitrário, pelo poder público ou por seus agentes. É que, se assim não fosse, a quebra de sigilo converter-se-ia, ilegitimamente, em instrumento de busca generalizada e de devassa indiscriminada da esfera de intimidade das pessoas, o que daria ao Estado, em desconformidade com os postulados que informam o regime democrático, o poder absoluto de vasculhar, sem quaisquer limitações, registros sigilosos alheios. (...) Para que a medida excepcional da quebra de sigilo bancário não se descaracterize em sua finalidade legítima, torna-se imprescind</w:t>
      </w:r>
    </w:p>
    <w:p>
      <w:pPr>
        <w:ind w:left="288"/>
      </w:pPr>
      <w:r>
        <w:rPr>
          <w:b/>
          <w:color w:val="003CA0"/>
          <w:sz w:val="16"/>
        </w:rPr>
        <w:t>[HC 84.758, rel. min. Celso de Mello, j. 25-5-2006, P, DJ de 16-6-2006.]</w:t>
      </w:r>
    </w:p>
    <w:p>
      <w:pPr>
        <w:ind w:left="288"/>
      </w:pPr>
      <w:r>
        <w:rPr>
          <w:color w:val="8C8C8C"/>
          <w:sz w:val="12"/>
        </w:rPr>
        <w:t>cf-art-5-inc-X</w:t>
      </w:r>
      <w:r>
        <w:rPr>
          <w:color w:val="003CA0"/>
          <w:sz w:val="12"/>
        </w:rPr>
        <w:t xml:space="preserve"> | HC 87.654</w:t>
      </w:r>
      <w:r>
        <w:rPr>
          <w:color w:val="003CA0"/>
          <w:sz w:val="12"/>
        </w:rPr>
        <w:t xml:space="preserve"> | rel. Ellen Gracie</w:t>
      </w:r>
    </w:p>
    <w:p>
      <w:pPr>
        <w:ind w:left="288"/>
      </w:pPr>
      <w:r>
        <w:rPr>
          <w:color w:val="1E1E1E"/>
          <w:sz w:val="18"/>
        </w:rPr>
        <w:t>O chamado sigilo fiscal nada mais é que um desdobramento do direito à intimidade e à vida privada. Aqui se cuida de pessoa jurídica que exerce atividade tributável. Contribuinte, portanto. Os documentos foram apreendidos no interior da sede da empresa, e não no domicílio do seu responsável legal. A atividade da pessoa jurídica está prevista como crime contra a ordem econômica. Legítima, assim, a atuação do Fisco, com respaldo na legislação pertinente. Legítima, também, a atuação do Ministério Público instando a autoridade policial à instauração do inquérito policial, com vista a apurar a ocorr</w:t>
      </w:r>
    </w:p>
    <w:p>
      <w:pPr>
        <w:ind w:left="288"/>
      </w:pPr>
      <w:r>
        <w:rPr>
          <w:b/>
          <w:color w:val="003CA0"/>
          <w:sz w:val="16"/>
        </w:rPr>
        <w:t>[HC 87.654, rel. min. Ellen Gracie, j. 7-3-2006, 2ª T, DJ de 20-4-2006.]</w:t>
      </w:r>
    </w:p>
    <w:p>
      <w:pPr>
        <w:ind w:left="288"/>
      </w:pPr>
      <w:r>
        <w:rPr>
          <w:color w:val="8C8C8C"/>
          <w:sz w:val="12"/>
        </w:rPr>
        <w:t>cf-art-5-inc-X</w:t>
      </w:r>
      <w:r>
        <w:rPr>
          <w:color w:val="003CA0"/>
          <w:sz w:val="12"/>
        </w:rPr>
        <w:t xml:space="preserve"> | HC 87.341</w:t>
      </w:r>
      <w:r>
        <w:rPr>
          <w:color w:val="003CA0"/>
          <w:sz w:val="12"/>
        </w:rPr>
        <w:t xml:space="preserve"> | rel. Eros Grau</w:t>
      </w:r>
    </w:p>
    <w:p>
      <w:pPr>
        <w:ind w:left="288"/>
      </w:pPr>
      <w:r>
        <w:rPr>
          <w:color w:val="1E1E1E"/>
          <w:sz w:val="18"/>
        </w:rPr>
        <w:t>Paciente denunciado por falsidade ideológica, consubstanciada em exigir quantia em dinheiro para inserir falsa informação de excesso de contingente em certificado de dispensa de incorporação. Gravação clandestina realizada pelo alistando, a pedido de emissora de televisão, que levou as imagens ao ar em todo o território nacional por meio de conhecido programa jornalístico. (...) A questão posta não é de inviolabilidade das comunicações, e sim da proteção da privacidade e da própria honra, que não constitui direito absoluto, devendo ceder em prol do interesse público.</w:t>
      </w:r>
    </w:p>
    <w:p>
      <w:pPr>
        <w:ind w:left="288"/>
      </w:pPr>
      <w:r>
        <w:rPr>
          <w:b/>
          <w:color w:val="003CA0"/>
          <w:sz w:val="16"/>
        </w:rPr>
        <w:t>[HC 87.341, rel. min. Eros Grau, j. 7-2-2006, 1ª T, DJ de 3-3-2006.]</w:t>
      </w:r>
    </w:p>
    <w:p>
      <w:pPr>
        <w:ind w:left="288"/>
      </w:pPr>
      <w:r>
        <w:rPr>
          <w:color w:val="8C8C8C"/>
          <w:sz w:val="12"/>
        </w:rPr>
        <w:t>cf-art-5-inc-X</w:t>
      </w:r>
      <w:r>
        <w:rPr>
          <w:color w:val="003CA0"/>
          <w:sz w:val="12"/>
        </w:rPr>
        <w:t xml:space="preserve"> | RHC 108.156</w:t>
      </w:r>
      <w:r>
        <w:rPr>
          <w:color w:val="003CA0"/>
          <w:sz w:val="12"/>
        </w:rPr>
        <w:t xml:space="preserve"> | rel. Luiz Fux</w:t>
      </w:r>
    </w:p>
    <w:p>
      <w:pPr>
        <w:ind w:left="288"/>
      </w:pPr>
      <w:r>
        <w:rPr>
          <w:color w:val="1E1E1E"/>
          <w:sz w:val="18"/>
        </w:rPr>
        <w:t>= RHC 108.156, rel. min. Luiz Fux, j. 28-6-2011, 1ª T, DJE de 10-8-2011 O dano moral indenizável é o que atinge a esfera legítima de afeição da vítima, que agride seus valores, que humilha, que causa dor.</w:t>
      </w:r>
    </w:p>
    <w:p>
      <w:pPr>
        <w:ind w:left="288"/>
      </w:pPr>
      <w:r>
        <w:rPr>
          <w:b/>
          <w:color w:val="003CA0"/>
          <w:sz w:val="16"/>
        </w:rPr>
        <w:t>[RE 387.014 AgR, rel. min. Carlos Velloso, j. 8-6-2004, 2ª T, DJ de 25-6-2004.]</w:t>
      </w:r>
    </w:p>
    <w:p>
      <w:pPr>
        <w:ind w:left="288"/>
      </w:pPr>
      <w:r>
        <w:rPr>
          <w:color w:val="8C8C8C"/>
          <w:sz w:val="12"/>
        </w:rPr>
        <w:t>cf-art-5-inc-X</w:t>
      </w:r>
      <w:r>
        <w:rPr>
          <w:color w:val="003CA0"/>
          <w:sz w:val="12"/>
        </w:rPr>
        <w:t xml:space="preserve"> | RE 208.685</w:t>
      </w:r>
      <w:r>
        <w:rPr>
          <w:color w:val="003CA0"/>
          <w:sz w:val="12"/>
        </w:rPr>
        <w:t xml:space="preserve"> | rel. Ellen Gracie</w:t>
      </w:r>
    </w:p>
    <w:p>
      <w:pPr>
        <w:ind w:left="288"/>
      </w:pPr>
      <w:r>
        <w:rPr>
          <w:color w:val="1E1E1E"/>
          <w:sz w:val="18"/>
        </w:rPr>
        <w:t>A simples reprodução, pela imprensa, de acusação de mau uso de verbas públicas, prática de nepotismo e tráfico de influência, objeto de representação devidamente formulada perante o TST por federação de sindicatos, não constitui abuso de direito. Dano moral indevido.</w:t>
      </w:r>
    </w:p>
    <w:p>
      <w:pPr>
        <w:ind w:left="288"/>
      </w:pPr>
      <w:r>
        <w:rPr>
          <w:b/>
          <w:color w:val="003CA0"/>
          <w:sz w:val="16"/>
        </w:rPr>
        <w:t>[RE 208.685, rel. min. Ellen Gracie, j. 24-6-2003, 2ª T, DJ de 22-8-2003.]</w:t>
      </w:r>
    </w:p>
    <w:p>
      <w:pPr>
        <w:ind w:left="288"/>
      </w:pPr>
      <w:r>
        <w:rPr>
          <w:color w:val="8C8C8C"/>
          <w:sz w:val="12"/>
        </w:rPr>
        <w:t>cf-art-5-inc-X</w:t>
      </w:r>
      <w:r>
        <w:rPr>
          <w:color w:val="003CA0"/>
          <w:sz w:val="12"/>
        </w:rPr>
        <w:t xml:space="preserve"> | RE 215.984</w:t>
      </w:r>
      <w:r>
        <w:rPr>
          <w:color w:val="003CA0"/>
          <w:sz w:val="12"/>
        </w:rPr>
        <w:t xml:space="preserve"> | rel. Carlos Velloso</w:t>
      </w:r>
    </w:p>
    <w:p>
      <w:pPr>
        <w:ind w:left="288"/>
      </w:pPr>
      <w:r>
        <w:rPr>
          <w:color w:val="1E1E1E"/>
          <w:sz w:val="18"/>
        </w:rPr>
        <w:t>Dano moral: fotografia: publicação não consentida: indenização: cumulação com o dano material: possibilidade. CF, art. 5º, X. Para a reparação do dano moral não se exige a ocorrência de ofensa à reputação do indivíduo. O que acontece é que, de regra, a publicação da fotografia de alguém, com intuito comercial ou não, causa desconforto, aborrecimento ou constrangimento, não importando o tamanho desse desconforto, desse aborrecimento ou desse constrangimento. Desde que ele exista, há o dano moral, que deve ser reparado, manda a Constituição, art. 5º, X.</w:t>
      </w:r>
    </w:p>
    <w:p>
      <w:pPr>
        <w:ind w:left="288"/>
      </w:pPr>
      <w:r>
        <w:rPr>
          <w:b/>
          <w:color w:val="003CA0"/>
          <w:sz w:val="16"/>
        </w:rPr>
        <w:t>[RE 215.984, rel. min. Carlos Velloso, j. 4-6-2002, 2ª T, DJ de 28-6-2002.]</w:t>
      </w:r>
    </w:p>
    <w:p>
      <w:pPr>
        <w:ind w:left="288"/>
      </w:pPr>
      <w:r>
        <w:rPr>
          <w:color w:val="8C8C8C"/>
          <w:sz w:val="12"/>
        </w:rPr>
        <w:t>cf-art-5-inc-X</w:t>
      </w:r>
      <w:r>
        <w:rPr>
          <w:color w:val="003CA0"/>
          <w:sz w:val="12"/>
        </w:rPr>
        <w:t xml:space="preserve"> | RCL 2.040</w:t>
      </w:r>
      <w:r>
        <w:rPr>
          <w:color w:val="003CA0"/>
          <w:sz w:val="12"/>
        </w:rPr>
        <w:t xml:space="preserve"> | rel. Néri da Silveira</w:t>
      </w:r>
    </w:p>
    <w:p>
      <w:pPr>
        <w:ind w:left="288"/>
      </w:pPr>
      <w:r>
        <w:rPr>
          <w:color w:val="1E1E1E"/>
          <w:sz w:val="18"/>
        </w:rPr>
        <w:t>Coleta de material biológico da placenta, com propósito de fazer exame de DNA, para averiguação de paternidade do nascituro, embora a oposição da extraditanda. (...) Bens jurídicos constitucionais como "moralidade administrativa", "persecução penal pública" e "segurança pública" que se acrescem – como bens da comunidade, na expressão de Canotilho – ao direito fundamental à honra (CF, art. 5º, X), bem assim direito à honra e à imagem de policiais federais acusados de estupro da extraditanda, nas dependências da Polícia Federal, e direito à imagem da própria instituição, em confronto com o alega</w:t>
      </w:r>
    </w:p>
    <w:p>
      <w:pPr>
        <w:ind w:left="288"/>
      </w:pPr>
      <w:r>
        <w:rPr>
          <w:b/>
          <w:color w:val="003CA0"/>
          <w:sz w:val="16"/>
        </w:rPr>
        <w:t>[Rcl 2.040 QO, rel. min. Néri da Silveira, j. 21-2-2002, P, DJ de 27-6-2003.]</w:t>
      </w:r>
    </w:p>
    <w:p>
      <w:pPr>
        <w:ind w:left="288"/>
      </w:pPr>
      <w:r>
        <w:rPr>
          <w:color w:val="8C8C8C"/>
          <w:sz w:val="12"/>
        </w:rPr>
        <w:t>cf-art-5-inc-X</w:t>
      </w:r>
      <w:r>
        <w:rPr>
          <w:color w:val="003CA0"/>
          <w:sz w:val="12"/>
        </w:rPr>
        <w:t xml:space="preserve"> | MS 23.452</w:t>
      </w:r>
      <w:r>
        <w:rPr>
          <w:color w:val="003CA0"/>
          <w:sz w:val="12"/>
        </w:rPr>
        <w:t xml:space="preserve"> | rel. Celso de Mello</w:t>
      </w:r>
    </w:p>
    <w:p>
      <w:pPr>
        <w:ind w:left="288"/>
      </w:pPr>
      <w:r>
        <w:rPr>
          <w:color w:val="1E1E1E"/>
          <w:sz w:val="18"/>
        </w:rPr>
        <w:t>O sigilo bancário, o sigilo fiscal e o sigilo telefônico (sigilo este que incide sobre os dados/registros telefônicos e que não se identifica com a inviolabilidade das comunicações telefônicas) – ainda que representem projeções específicas do direito à intimidade, fundado no art. 5º, X, da Carta Política – não se revelam oponíveis, em nosso sistema jurídico, às CPIs, eis que o ato que lhes decreta a quebra traduz natural derivação dos poderes de investigação que foram conferidos, pela própria Constituição da República, aos órgãos de investigação parlamentar. As CPIs, no entanto, para decretare</w:t>
      </w:r>
    </w:p>
    <w:p>
      <w:pPr>
        <w:ind w:left="288"/>
      </w:pPr>
      <w:r>
        <w:rPr>
          <w:b/>
          <w:color w:val="003CA0"/>
          <w:sz w:val="16"/>
        </w:rPr>
        <w:t>[MS 23.452, rel. min. Celso de Mello, j. 16-9-1999, P, DJ de 12-5-2000.]</w:t>
      </w:r>
    </w:p>
    <w:p>
      <w:pPr>
        <w:ind w:left="288"/>
      </w:pPr>
      <w:r>
        <w:rPr>
          <w:color w:val="8C8C8C"/>
          <w:sz w:val="12"/>
        </w:rPr>
        <w:t>cf-art-5-inc-X</w:t>
      </w:r>
      <w:r>
        <w:rPr>
          <w:color w:val="003CA0"/>
          <w:sz w:val="12"/>
        </w:rPr>
        <w:t xml:space="preserve"> | HC 96.056</w:t>
      </w:r>
      <w:r>
        <w:rPr>
          <w:color w:val="003CA0"/>
          <w:sz w:val="12"/>
        </w:rPr>
        <w:t xml:space="preserve"> | rel. Gilmar Mendes</w:t>
      </w:r>
    </w:p>
    <w:p>
      <w:pPr>
        <w:ind w:left="288"/>
      </w:pPr>
      <w:r>
        <w:rPr>
          <w:color w:val="1E1E1E"/>
          <w:sz w:val="18"/>
        </w:rPr>
        <w:t>Vide HC 96.056, rel. min. Gilmar Mendes, j. 28-6-2011, 2ª T, DJE de 8-5-2012 Inexiste a alegada inconstitucionalidade do art. 235 do CPM por ofensa ao art. 5º, X, da Constituição, pois a inviolabilidade da intimidade não é direito absoluto a ser utilizado como garantia à permissão da prática de crimes sexuais.</w:t>
      </w:r>
    </w:p>
    <w:p>
      <w:pPr>
        <w:ind w:left="288"/>
      </w:pPr>
      <w:r>
        <w:rPr>
          <w:b/>
          <w:color w:val="003CA0"/>
          <w:sz w:val="16"/>
        </w:rPr>
        <w:t>[HC 79.285, rel. min. Moreira Alves, j. 31-8-1999, 1ª T, DJ de 12-11-1999.]</w:t>
      </w:r>
    </w:p>
    <w:p>
      <w:pPr>
        <w:ind w:left="288"/>
      </w:pPr>
      <w:r>
        <w:rPr>
          <w:color w:val="8C8C8C"/>
          <w:sz w:val="12"/>
        </w:rPr>
        <w:t>cf-art-5-inc-X</w:t>
      </w:r>
      <w:r>
        <w:rPr>
          <w:color w:val="003CA0"/>
          <w:sz w:val="12"/>
        </w:rPr>
        <w:t xml:space="preserve"> | HC 74.678</w:t>
      </w:r>
      <w:r>
        <w:rPr>
          <w:color w:val="003CA0"/>
          <w:sz w:val="12"/>
        </w:rPr>
        <w:t xml:space="preserve"> | rel. Moreira Alves</w:t>
      </w:r>
    </w:p>
    <w:p>
      <w:pPr>
        <w:ind w:left="288"/>
      </w:pPr>
      <w:r>
        <w:rPr>
          <w:color w:val="1E1E1E"/>
          <w:sz w:val="18"/>
        </w:rPr>
        <w:t>Utilização de gravação de conversa telefônica feita por terceiro com a autorização de um dos interlocutores sem o conhecimento do outro quando há, para essa utilização, excludente da antijuridicidade. Afastada a ilicitude de tal conduta – a de, por legítima defesa, fazer gravar e divulgar conversa telefônica ainda que não haja o conhecimento do terceiro que está praticando crime –, é ela, por via de consequência, lícita e, também consequentemente, essa gravação não pode ser tida como prova ilícita, para invocar-se o art. 5º, LVI, da Constituição com fundamento em que houve violação da intimida</w:t>
      </w:r>
    </w:p>
    <w:p>
      <w:pPr>
        <w:ind w:left="288"/>
      </w:pPr>
      <w:r>
        <w:rPr>
          <w:b/>
          <w:color w:val="003CA0"/>
          <w:sz w:val="16"/>
        </w:rPr>
        <w:t>[HC 74.678, rel. min. Moreira Alves, j. 10-6-1997, 1ª T, DJ de 15-8-1997.]</w:t>
      </w:r>
    </w:p>
    <w:p>
      <w:pPr>
        <w:ind w:left="288"/>
      </w:pPr>
      <w:r>
        <w:rPr>
          <w:color w:val="8C8C8C"/>
          <w:sz w:val="12"/>
        </w:rPr>
        <w:t>cf-art-5-inc-X</w:t>
      </w:r>
      <w:r>
        <w:rPr>
          <w:color w:val="003CA0"/>
          <w:sz w:val="12"/>
        </w:rPr>
        <w:t xml:space="preserve"> | HC 91.613</w:t>
      </w:r>
      <w:r>
        <w:rPr>
          <w:color w:val="003CA0"/>
          <w:sz w:val="12"/>
        </w:rPr>
        <w:t xml:space="preserve"> | rel. Gilmar Mendes</w:t>
      </w:r>
    </w:p>
    <w:p>
      <w:pPr>
        <w:ind w:left="288"/>
      </w:pPr>
      <w:r>
        <w:rPr>
          <w:color w:val="1E1E1E"/>
          <w:sz w:val="18"/>
        </w:rPr>
        <w:t>= HC 91.613, rel. min. Gilmar Mendes, j. 15-5-2012, 2ª T, DJE de 17-9-2012 O fato de a Convenção de Varsóvia revelar, como regra, a indenização tarifada por danos materiais não exclui a relativa aos danos morais. Configurados esses pelo sentimento de desconforto, de constrangimento, aborrecimento e humilhação decorrentes do extravio de mala, cumpre observar a Carta Política da República – incisos V e X do art. 5º, no que se sobrepõe a tratados e convenções ratificados pelo Brasil.</w:t>
      </w:r>
    </w:p>
    <w:p>
      <w:pPr>
        <w:ind w:left="288"/>
      </w:pPr>
      <w:r>
        <w:rPr>
          <w:b/>
          <w:color w:val="003CA0"/>
          <w:sz w:val="16"/>
        </w:rPr>
        <w:t>[RE 172.720, rel. min. Marco Aurélio, j. 6-2-1996, 2ª T, DJ de 21-2-1997.]</w:t>
      </w:r>
    </w:p>
    <w:p>
      <w:pPr>
        <w:ind w:left="288"/>
      </w:pPr>
      <w:r>
        <w:rPr>
          <w:color w:val="8C8C8C"/>
          <w:sz w:val="12"/>
        </w:rPr>
        <w:t>cf-art-5-inc-X</w:t>
      </w:r>
      <w:r>
        <w:rPr>
          <w:color w:val="003CA0"/>
          <w:sz w:val="12"/>
        </w:rPr>
        <w:t xml:space="preserve"> | AP 307</w:t>
      </w:r>
      <w:r>
        <w:rPr>
          <w:color w:val="003CA0"/>
          <w:sz w:val="12"/>
        </w:rPr>
        <w:t xml:space="preserve"> | rel. Ilmar Galvão</w:t>
      </w:r>
    </w:p>
    <w:p>
      <w:pPr>
        <w:ind w:left="288"/>
      </w:pPr>
      <w:r>
        <w:rPr>
          <w:color w:val="1E1E1E"/>
          <w:sz w:val="18"/>
        </w:rPr>
        <w:t>Inadmissibilidade, como prova, de laudos de degravação de conversa telefônica e de registros contidos na memória de microcomputador, obtidos por meios ilícitos (art. 5º, LVI, da CF); no primeiro caso, por se tratar de gravação realizada por um dos interlocutores, sem conhecimento do outro, havendo a degravação sido feita com inobservância do princípio do contraditório, e utilizada com violação à privacidade alheia (art. 5º, X, da CF); e, no segundo caso, por estar-se diante de microcomputador que, além de ter sido apreendido com violação de domicílio, teve a memória nele contida sido degravada</w:t>
      </w:r>
    </w:p>
    <w:p>
      <w:pPr>
        <w:ind w:left="288"/>
      </w:pPr>
      <w:r>
        <w:rPr>
          <w:b/>
          <w:color w:val="003CA0"/>
          <w:sz w:val="16"/>
        </w:rPr>
        <w:t>[AP 307, rel. min. Ilmar Galvão, j. 13-12-1994, P, DJ de 13-10-1995.]</w:t>
      </w:r>
    </w:p>
    <w:p>
      <w:pPr>
        <w:ind w:left="288"/>
      </w:pPr>
      <w:r>
        <w:rPr>
          <w:color w:val="8C8C8C"/>
          <w:sz w:val="12"/>
        </w:rPr>
        <w:t>cf-art-5-inc-X</w:t>
      </w:r>
      <w:r>
        <w:rPr>
          <w:color w:val="003CA0"/>
          <w:sz w:val="12"/>
        </w:rPr>
        <w:t xml:space="preserve"> | HC 71.373</w:t>
      </w:r>
      <w:r>
        <w:rPr>
          <w:color w:val="003CA0"/>
          <w:sz w:val="12"/>
        </w:rPr>
        <w:t xml:space="preserve"> | rel. Francisco Rezek</w:t>
      </w:r>
    </w:p>
    <w:p>
      <w:pPr>
        <w:ind w:left="288"/>
      </w:pPr>
      <w:r>
        <w:rPr>
          <w:color w:val="1E1E1E"/>
          <w:sz w:val="18"/>
        </w:rPr>
        <w:t>Discrepa, a mais não poder, de garantias constitucionais implícitas e explícitas – preservação da dignidade humana, da intimidade, da intangibilidade do corpo humano, do império da lei e da inexecução específica e direta de obrigação de fazer – provimento judicial que, em ação civil de investigação de paternidade, implique determinação no sentido de o réu ser conduzido ao laboratório, "debaixo de vara", para coleta do material indispensável à feitura do exame DNA. A recusa resolve-se no plano jurídico-instrumental, consideradas a dogmática, a doutrina e a jurisprudência, no que voltadas ao des</w:t>
      </w:r>
    </w:p>
    <w:p>
      <w:pPr>
        <w:ind w:left="288"/>
      </w:pPr>
      <w:r>
        <w:rPr>
          <w:b/>
          <w:color w:val="003CA0"/>
          <w:sz w:val="16"/>
        </w:rPr>
        <w:t>[HC 71.373, rel. min. Francisco Rezek, red. do ac. min. Marco Aurélio, j. 10-11-1994, P, DJ de 22-11-1996.]</w:t>
      </w:r>
    </w:p>
    <w:p>
      <w:pPr>
        <w:ind w:left="288"/>
      </w:pPr>
      <w:r>
        <w:rPr>
          <w:color w:val="8C8C8C"/>
          <w:sz w:val="12"/>
        </w:rPr>
        <w:t>cf-art-5-inc-X</w:t>
      </w:r>
      <w:r>
        <w:rPr>
          <w:color w:val="003CA0"/>
          <w:sz w:val="12"/>
        </w:rPr>
        <w:t xml:space="preserve"> | HC 76.060</w:t>
      </w:r>
      <w:r>
        <w:rPr>
          <w:color w:val="003CA0"/>
          <w:sz w:val="12"/>
        </w:rPr>
        <w:t xml:space="preserve"> | rel. Sepúlveda Pertence</w:t>
      </w:r>
    </w:p>
    <w:p>
      <w:pPr>
        <w:ind w:left="288"/>
      </w:pPr>
      <w:r>
        <w:rPr>
          <w:color w:val="1E1E1E"/>
          <w:sz w:val="18"/>
        </w:rPr>
        <w:t>= HC 76.060, rel. min. Sepúlveda Pertence, j. 31-3-1998, 1ª T, DJ de 15-5-1998 XI - a casa é asilo inviolável do indivíduo, ninguém nela podendo penetrar sem consentimento do morador, salvo em caso de flagrante delito ou desastre, ou para prestar socorro, ou, durante o dia, por determinação judicial; Nas diligências para a localização do bem móvel dado em garantia em alienação fiduciária e em sua apreensão, previstas nos §§ 4º, 5º e 7º do art. 8º-C do Decreto-Lei nº 911/69 (redação da Lei nº 14.711/23), devem ser assegurados os direitos à vida privada, à honra e à imagem do devedor; a inviolab</w:t>
      </w:r>
    </w:p>
    <w:p>
      <w:pPr>
        <w:ind w:left="288"/>
      </w:pPr>
      <w:r>
        <w:rPr>
          <w:b/>
          <w:color w:val="003CA0"/>
          <w:sz w:val="16"/>
        </w:rPr>
        <w:t>[ADI 7.600, ADI 7.601 e 7.608, rel. min. Dias Toffoli, j. 01.07.2025, P, DJE de 15.09.2025.]</w:t>
      </w:r>
    </w:p>
    <w:p>
      <w:pPr>
        <w:ind w:left="288"/>
      </w:pPr>
      <w:r>
        <w:rPr>
          <w:color w:val="8C8C8C"/>
          <w:sz w:val="12"/>
        </w:rPr>
        <w:t>cf-art-5-inc-X</w:t>
      </w:r>
      <w:r>
        <w:rPr>
          <w:color w:val="003CA0"/>
          <w:sz w:val="12"/>
        </w:rPr>
        <w:t xml:space="preserve"> | ADI 6.138</w:t>
      </w:r>
      <w:r>
        <w:rPr>
          <w:color w:val="003CA0"/>
          <w:sz w:val="12"/>
        </w:rPr>
        <w:t xml:space="preserve"> | rel. Alexandre de Moraes</w:t>
      </w:r>
    </w:p>
    <w:p>
      <w:pPr>
        <w:ind w:left="288"/>
      </w:pPr>
      <w:r>
        <w:rPr>
          <w:color w:val="1E1E1E"/>
          <w:sz w:val="18"/>
        </w:rPr>
        <w:t>A autorização excepcional para que delegados de polícia e policiais procedam na forma do art. 12-C II e III, E § 1º, da Lei nº 11.340/2006 (LEI MARIA DA PENHA), com as alterações incluídas pela Lei nº 13.827/2019, é resposta legislativa adequada e necessária ao rompimento do ciclo de violência doméstica em suas fases mais agudas, amplamente justificável em razão da eventual impossibilidade de obtenção da tutela jurisdicional em tempo hábil. Independentemente de ordem judicial ou prévio consentimento do seu morador, o artigo 5º, inciso XI, da Constituição Federal admite que qualquer do povo, e,</w:t>
      </w:r>
    </w:p>
    <w:p>
      <w:pPr>
        <w:ind w:left="288"/>
      </w:pPr>
      <w:r>
        <w:rPr>
          <w:b/>
          <w:color w:val="003CA0"/>
          <w:sz w:val="16"/>
        </w:rPr>
        <w:t>[ADI 6.138, rel. min. Alexandre de Moraes, j. 23.03.2022, P, DJE de 09.06.2022.]</w:t>
      </w:r>
    </w:p>
    <w:p>
      <w:pPr>
        <w:ind w:left="288"/>
      </w:pPr>
      <w:r>
        <w:rPr>
          <w:color w:val="8C8C8C"/>
          <w:sz w:val="12"/>
        </w:rPr>
        <w:t>cf-art-5-inc-X</w:t>
      </w:r>
      <w:r>
        <w:rPr>
          <w:color w:val="003CA0"/>
          <w:sz w:val="12"/>
        </w:rPr>
        <w:t xml:space="preserve"> | ARE 1.244.249</w:t>
      </w:r>
      <w:r>
        <w:rPr>
          <w:color w:val="003CA0"/>
          <w:sz w:val="12"/>
        </w:rPr>
        <w:t xml:space="preserve"> | rel. Alexandre de Moraes</w:t>
      </w:r>
    </w:p>
    <w:p>
      <w:pPr>
        <w:ind w:left="288"/>
      </w:pPr>
      <w:r>
        <w:rPr>
          <w:color w:val="1E1E1E"/>
          <w:sz w:val="18"/>
        </w:rPr>
        <w:t>Licitude de prova obtida por meio de busca pessoal realizada por agente de segurança privada, contratado por empresa pública ou sociedade de economia mista prestadoras de serviço público, no legítimo exercício de poder de polícia e com a finalidade de garantir a segurança dos usuários de serviços públicos (plataforma da estação da CPTM).</w:t>
      </w:r>
    </w:p>
    <w:p>
      <w:pPr>
        <w:ind w:left="288"/>
      </w:pPr>
      <w:r>
        <w:rPr>
          <w:b/>
          <w:color w:val="003CA0"/>
          <w:sz w:val="16"/>
        </w:rPr>
        <w:t>[ARE 1.244.249 RG, rel. min. Alexandre de Moraes, j. 16.08.2024, P, DJE de 13.09.2024, Tema 1.315, com mérito pendente.]</w:t>
      </w:r>
    </w:p>
    <w:p>
      <w:pPr>
        <w:ind w:left="288"/>
      </w:pPr>
      <w:r>
        <w:rPr>
          <w:color w:val="8C8C8C"/>
          <w:sz w:val="12"/>
        </w:rPr>
        <w:t>cf-art-5-inc-X</w:t>
      </w:r>
      <w:r>
        <w:rPr>
          <w:color w:val="003CA0"/>
          <w:sz w:val="12"/>
        </w:rPr>
        <w:t xml:space="preserve"> | RE 1.368.160</w:t>
      </w:r>
      <w:r>
        <w:rPr>
          <w:color w:val="003CA0"/>
          <w:sz w:val="12"/>
        </w:rPr>
        <w:t xml:space="preserve"> | rel. Luiz Fux</w:t>
      </w:r>
    </w:p>
    <w:p>
      <w:pPr>
        <w:ind w:left="288"/>
      </w:pPr>
      <w:r>
        <w:rPr>
          <w:color w:val="1E1E1E"/>
          <w:sz w:val="18"/>
        </w:rPr>
        <w:t>Pressupostos de validade do consentimento do morador para a busca e apreensão domiciliar.</w:t>
      </w:r>
    </w:p>
    <w:p>
      <w:pPr>
        <w:ind w:left="288"/>
      </w:pPr>
      <w:r>
        <w:rPr>
          <w:b/>
          <w:color w:val="003CA0"/>
          <w:sz w:val="16"/>
        </w:rPr>
        <w:t>[RE 1.368.160 RG, rel. min. Luiz Fux, j. 31-3-2022, P, DJE de 5-4-2022, Tema 1.208, com mérito pendente.]</w:t>
      </w:r>
    </w:p>
    <w:p>
      <w:pPr>
        <w:ind w:left="288"/>
      </w:pPr>
      <w:r>
        <w:rPr>
          <w:color w:val="8C8C8C"/>
          <w:sz w:val="12"/>
        </w:rPr>
        <w:t>cf-art-5-inc-X</w:t>
      </w:r>
      <w:r>
        <w:rPr>
          <w:color w:val="003CA0"/>
          <w:sz w:val="12"/>
        </w:rPr>
        <w:t xml:space="preserve"> | RE 603.616</w:t>
      </w:r>
      <w:r>
        <w:rPr>
          <w:color w:val="003CA0"/>
          <w:sz w:val="12"/>
        </w:rPr>
        <w:t xml:space="preserve"> | rel. Gilmar Mendes</w:t>
      </w:r>
    </w:p>
    <w:p>
      <w:pPr>
        <w:ind w:left="288"/>
      </w:pPr>
      <w:r>
        <w:rPr>
          <w:color w:val="1E1E1E"/>
          <w:sz w:val="18"/>
        </w:rPr>
        <w:t>Inviolabilidade de domicílio – art. 5º, XI, da CF. Busca e apreensão domiciliar sem mandado judicial em caso de crime permanente. (...) Fixada a interpretação de que 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w:t>
      </w:r>
    </w:p>
    <w:p>
      <w:pPr>
        <w:ind w:left="288"/>
      </w:pPr>
      <w:r>
        <w:rPr>
          <w:b/>
          <w:color w:val="003CA0"/>
          <w:sz w:val="16"/>
        </w:rPr>
        <w:t>[RE 603.616, rel. min. Gilmar Mendes, j. 5-11-2015, P, DJE de 10-5-2016. Tema 280, com mérito julgado.]</w:t>
      </w:r>
    </w:p>
    <w:p>
      <w:pPr>
        <w:ind w:left="288"/>
      </w:pPr>
      <w:r>
        <w:rPr>
          <w:color w:val="8C8C8C"/>
          <w:sz w:val="12"/>
        </w:rPr>
        <w:t>cf-art-5-inc-X</w:t>
      </w:r>
      <w:r>
        <w:rPr>
          <w:color w:val="003CA0"/>
          <w:sz w:val="12"/>
        </w:rPr>
        <w:t xml:space="preserve"> | RE 603.616</w:t>
      </w:r>
      <w:r>
        <w:rPr>
          <w:color w:val="003CA0"/>
          <w:sz w:val="12"/>
        </w:rPr>
        <w:t xml:space="preserve"> | rel. Gilmar Mendes</w:t>
      </w:r>
    </w:p>
    <w:p>
      <w:pPr>
        <w:ind w:left="288"/>
      </w:pPr>
      <w:r>
        <w:rPr>
          <w:color w:val="1E1E1E"/>
          <w:sz w:val="18"/>
        </w:rPr>
        <w:t>O Supremo Tribunal Federal, no julgamento do RE 603.616 (Rel. Min. Gilmar Mendes, DJe de 10/5/2016, Tema 280), fixou tese no sentido de que 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 O entendimento adotado pelo STF impõe que os agentes estatais devem permear suas ações, em tais casos, mot</w:t>
      </w:r>
    </w:p>
    <w:p>
      <w:pPr>
        <w:ind w:left="288"/>
      </w:pPr>
      <w:r>
        <w:rPr>
          <w:b/>
          <w:color w:val="003CA0"/>
          <w:sz w:val="16"/>
        </w:rPr>
        <w:t>[RE 1.468.558 AgR, rel. min. Alexandre de Moraes, j. 1.10.2024, P, DJE de 3.12.2024.]</w:t>
      </w:r>
    </w:p>
    <w:p>
      <w:pPr>
        <w:ind w:left="288"/>
      </w:pPr>
      <w:r>
        <w:rPr>
          <w:color w:val="8C8C8C"/>
          <w:sz w:val="12"/>
        </w:rPr>
        <w:t>cf-art-5-inc-X</w:t>
      </w:r>
      <w:r>
        <w:rPr>
          <w:color w:val="003CA0"/>
          <w:sz w:val="12"/>
        </w:rPr>
        <w:t xml:space="preserve"> | INQ 544</w:t>
      </w:r>
      <w:r>
        <w:rPr>
          <w:color w:val="003CA0"/>
          <w:sz w:val="12"/>
        </w:rPr>
        <w:t xml:space="preserve"> | rel. Gilmar Mendes</w:t>
      </w:r>
    </w:p>
    <w:p>
      <w:pPr>
        <w:ind w:left="288"/>
      </w:pPr>
      <w:r>
        <w:rPr>
          <w:color w:val="1E1E1E"/>
          <w:sz w:val="18"/>
        </w:rPr>
        <w:t>O sigilo profissional constitucionalmente determinado não exclui a possibilidade de cumprimento de mandado de busca e apreensão em escritório de advocacia. O local de trabalho do advogado, desde que este seja investigado, pode ser alvo de busca e apreensão, observando-se os limites impostos pela autoridade judicial. Tratando-se de local onde existem documentos que dizem respeito a outros sujeitos não investigados, é indispensável a especificação do âmbito de abrangência da medida, que não poderá ser executada sobre a esfera de direitos de não investigados. Equívoco quanto à indicação do escrit</w:t>
      </w:r>
    </w:p>
    <w:p>
      <w:pPr>
        <w:ind w:left="288"/>
      </w:pPr>
      <w:r>
        <w:rPr>
          <w:b/>
          <w:color w:val="003CA0"/>
          <w:sz w:val="16"/>
        </w:rPr>
        <w:t>[HC 91.610, rel. min. Gilmar Mendes, j. 8-6-2010, 2ª T, DJE de 22-10-2010.]</w:t>
      </w:r>
    </w:p>
    <w:p>
      <w:pPr>
        <w:ind w:left="288"/>
      </w:pPr>
      <w:r>
        <w:rPr>
          <w:color w:val="8C8C8C"/>
          <w:sz w:val="12"/>
        </w:rPr>
        <w:t>cf-art-5-inc-X</w:t>
      </w:r>
      <w:r>
        <w:rPr>
          <w:color w:val="003CA0"/>
          <w:sz w:val="12"/>
        </w:rPr>
        <w:t xml:space="preserve"> | RHC 91.189</w:t>
      </w:r>
      <w:r>
        <w:rPr>
          <w:color w:val="003CA0"/>
          <w:sz w:val="12"/>
        </w:rPr>
        <w:t xml:space="preserve"> | rel. Cezar Peluso</w:t>
      </w:r>
    </w:p>
    <w:p>
      <w:pPr>
        <w:ind w:left="288"/>
      </w:pPr>
      <w:r>
        <w:rPr>
          <w:color w:val="1E1E1E"/>
          <w:sz w:val="18"/>
        </w:rPr>
        <w:t>A CF autoriza a prisão em flagrante como exceção à inviolabilidade domiciliar, prescindindo de mandado judicial, qualquer que seja sua natureza.</w:t>
      </w:r>
    </w:p>
    <w:p>
      <w:pPr>
        <w:ind w:left="288"/>
      </w:pPr>
      <w:r>
        <w:rPr>
          <w:b/>
          <w:color w:val="003CA0"/>
          <w:sz w:val="16"/>
        </w:rPr>
        <w:t>[RHC 91.189, rel. min. Cezar Peluso, j. 9-3-2010, 2ª T, DJE de 23-4-2010.]</w:t>
      </w:r>
    </w:p>
    <w:p>
      <w:pPr>
        <w:ind w:left="288"/>
      </w:pPr>
      <w:r>
        <w:rPr>
          <w:color w:val="8C8C8C"/>
          <w:sz w:val="12"/>
        </w:rPr>
        <w:t>cf-art-5-inc-X</w:t>
      </w:r>
      <w:r>
        <w:rPr>
          <w:color w:val="003CA0"/>
          <w:sz w:val="12"/>
        </w:rPr>
        <w:t xml:space="preserve"> | INQ 2.424</w:t>
      </w:r>
      <w:r>
        <w:rPr>
          <w:color w:val="003CA0"/>
          <w:sz w:val="12"/>
        </w:rPr>
        <w:t xml:space="preserve"> | rel. Cezar Peluso</w:t>
      </w:r>
    </w:p>
    <w:p>
      <w:pPr>
        <w:ind w:left="288"/>
      </w:pPr>
      <w:r>
        <w:rPr>
          <w:color w:val="1E1E1E"/>
          <w:sz w:val="18"/>
        </w:rPr>
        <w:t xml:space="preserve">Escuta ambiental e exploração de local. Captação de sinais óticos e acústicos. Escritório de advocacia. Ingresso da autoridade policial, no período noturno, para instalação de equipamento. Medidas autorizadas por decisão judicial. Invasão de domicílio. Não caracterização. (...) Inteligência do art. 5º, X e XI, da CF; art. 150, § 4º, III, do CP; e art. 7º, II, da Lei 8.906/1994. (...) Não opera a inviolabilidade do escritório de advocacia, quando o próprio advogado seja suspeito da prática de crime, sobretudo concebido e consumado no âmbito desse local de trabalho, sob pretexto de exercício da </w:t>
      </w:r>
    </w:p>
    <w:p>
      <w:pPr>
        <w:ind w:left="288"/>
      </w:pPr>
      <w:r>
        <w:rPr>
          <w:b/>
          <w:color w:val="003CA0"/>
          <w:sz w:val="16"/>
        </w:rPr>
        <w:t>[Inq 2.424, rel. min. Cezar Peluso, j. 26-11-2008, P, DJE de 26-3-2010.]</w:t>
      </w:r>
    </w:p>
    <w:p>
      <w:pPr>
        <w:ind w:left="288"/>
      </w:pPr>
      <w:r>
        <w:rPr>
          <w:color w:val="8C8C8C"/>
          <w:sz w:val="12"/>
        </w:rPr>
        <w:t>cf-art-5-inc-X</w:t>
      </w:r>
      <w:r>
        <w:rPr>
          <w:color w:val="003CA0"/>
          <w:sz w:val="12"/>
        </w:rPr>
        <w:t xml:space="preserve"> | HC 95.009</w:t>
      </w:r>
      <w:r>
        <w:rPr>
          <w:color w:val="003CA0"/>
          <w:sz w:val="12"/>
        </w:rPr>
        <w:t xml:space="preserve"> | rel. Eros Grau</w:t>
      </w:r>
    </w:p>
    <w:p>
      <w:pPr>
        <w:ind w:left="288"/>
      </w:pPr>
      <w:r>
        <w:rPr>
          <w:color w:val="1E1E1E"/>
          <w:sz w:val="18"/>
        </w:rPr>
        <w:t>De que vale declarar a Constituição que "a casa é asilo inviolável do indivíduo" (art. 5º, XI) se moradias são invadidas por policiais munidos de mandados que consubstanciem verdadeiras cartas brancas, mandados com poderes de a tudo devassar, só porque o habitante é suspeito de um crime? Mandados expedidos sem justa causa, isto é, sem especificar o que se deve buscar e sem que a decisão que determina sua expedição seja precedida de perquirição quanto à possibilidade de adoção de meio menos gravoso para chegar-se ao mesmo fim. A polícia é autorizada, largamente, a apreender tudo quanto possa vi</w:t>
      </w:r>
    </w:p>
    <w:p>
      <w:pPr>
        <w:ind w:left="288"/>
      </w:pPr>
      <w:r>
        <w:rPr>
          <w:b/>
          <w:color w:val="003CA0"/>
          <w:sz w:val="16"/>
        </w:rPr>
        <w:t>[HC 95.009, rel. min. Eros Grau, j. 6-11-2008, P, DJE de 19-12-2008.]</w:t>
      </w:r>
    </w:p>
    <w:p>
      <w:pPr>
        <w:ind w:left="288"/>
      </w:pPr>
      <w:r>
        <w:rPr>
          <w:color w:val="8C8C8C"/>
          <w:sz w:val="12"/>
        </w:rPr>
        <w:t>cf-art-5-inc-X</w:t>
      </w:r>
      <w:r>
        <w:rPr>
          <w:color w:val="003CA0"/>
          <w:sz w:val="12"/>
        </w:rPr>
        <w:t xml:space="preserve"> | HC 91.350</w:t>
      </w:r>
      <w:r>
        <w:rPr>
          <w:color w:val="003CA0"/>
          <w:sz w:val="12"/>
        </w:rPr>
        <w:t xml:space="preserve"> | rel. Ellen Gracie</w:t>
      </w:r>
    </w:p>
    <w:p>
      <w:pPr>
        <w:ind w:left="288"/>
      </w:pPr>
      <w:r>
        <w:rPr>
          <w:color w:val="1E1E1E"/>
          <w:sz w:val="18"/>
        </w:rPr>
        <w:t xml:space="preserve">A representação de busca domiciliar se baseou em fundadas razões que autorizavam a apreensão de armas e munições, instrumentos utilizados para a prática de crime ou destinados a fim delituoso, a apreensão de documentos considerados elementos de convicção (CPP, art. 240, § 1º, d e h). Não houve medida de busca e apreensão provocada tão somente por "denúncia anônima", diversamente do que sustentam os impetrantes, mas baseada em elementos de convicção colhidos durante inquérito policial instaurado pela autoridade policial. Legitimidade, legalidade e regularidade das buscas domiciliares levadas a </w:t>
      </w:r>
    </w:p>
    <w:p>
      <w:pPr>
        <w:ind w:left="288"/>
      </w:pPr>
      <w:r>
        <w:rPr>
          <w:b/>
          <w:color w:val="003CA0"/>
          <w:sz w:val="16"/>
        </w:rPr>
        <w:t>[HC 91.350, rel. min. Ellen Gracie, j. 17-6-2008, 2ª T, DJE de 29-8-2008.]</w:t>
      </w:r>
    </w:p>
    <w:p>
      <w:pPr>
        <w:ind w:left="288"/>
      </w:pPr>
      <w:r>
        <w:rPr>
          <w:color w:val="8C8C8C"/>
          <w:sz w:val="12"/>
        </w:rPr>
        <w:t>cf-art-5-inc-X</w:t>
      </w:r>
      <w:r>
        <w:rPr>
          <w:color w:val="003CA0"/>
          <w:sz w:val="12"/>
        </w:rPr>
        <w:t xml:space="preserve"> | HC 93.050</w:t>
      </w:r>
      <w:r>
        <w:rPr>
          <w:color w:val="003CA0"/>
          <w:sz w:val="12"/>
        </w:rPr>
        <w:t xml:space="preserve"> | rel. Celso de Mello</w:t>
      </w:r>
    </w:p>
    <w:p>
      <w:pPr>
        <w:ind w:left="288"/>
      </w:pPr>
      <w:r>
        <w:rPr>
          <w:color w:val="1E1E1E"/>
          <w:sz w:val="18"/>
        </w:rPr>
        <w:t>Fiscalização tributária. Apreensão de livros contábeis e documentos fiscais realizada, em escritório de contabilidade, por agentes fazendários e policiais federais, sem mandado judicial. Inadmissibilidade. (...) Para os fins da proteção jurídica a que se refere o art. 5º, XI, da Constituição da República, o conceito normativo de "casa" revela-se abrangente e, por estender-se a qualquer compartimento privado não aberto ao público, onde alguém exerce profissão ou atividade (CP, art. 150, § 4º, III), compreende, observada essa específica limitação espacial (área interna não acessível ao público),</w:t>
      </w:r>
    </w:p>
    <w:p>
      <w:pPr>
        <w:ind w:left="288"/>
      </w:pPr>
      <w:r>
        <w:rPr>
          <w:b/>
          <w:color w:val="003CA0"/>
          <w:sz w:val="16"/>
        </w:rPr>
        <w:t>[HC 93.050, rel. min. Celso de Mello, j. 10-6-2008, 2ª T, DJE de 1º-8-2008.]</w:t>
      </w:r>
    </w:p>
    <w:p>
      <w:pPr>
        <w:ind w:left="288"/>
      </w:pPr>
      <w:r>
        <w:rPr>
          <w:color w:val="8C8C8C"/>
          <w:sz w:val="12"/>
        </w:rPr>
        <w:t>cf-art-5-inc-X</w:t>
      </w:r>
      <w:r>
        <w:rPr>
          <w:color w:val="003CA0"/>
          <w:sz w:val="12"/>
        </w:rPr>
        <w:t xml:space="preserve"> | RE 460.880</w:t>
      </w:r>
      <w:r>
        <w:rPr>
          <w:color w:val="003CA0"/>
          <w:sz w:val="12"/>
        </w:rPr>
        <w:t xml:space="preserve"> | rel. Marco Aurélio</w:t>
      </w:r>
    </w:p>
    <w:p>
      <w:pPr>
        <w:ind w:left="288"/>
      </w:pPr>
      <w:r>
        <w:rPr>
          <w:color w:val="1E1E1E"/>
          <w:sz w:val="18"/>
        </w:rPr>
        <w:t>Domicílio. Inviolabilidade noturna. Crime de resistência. Ausência de configuração. A garantia constitucional do inciso XI do art. 5º da Carta da República, a preservar a inviolabilidade do domicílio durante o período noturno, alcança também ordem judicial, não cabendo cogitar de crime de resistência.</w:t>
      </w:r>
    </w:p>
    <w:p>
      <w:pPr>
        <w:ind w:left="288"/>
      </w:pPr>
      <w:r>
        <w:rPr>
          <w:b/>
          <w:color w:val="003CA0"/>
          <w:sz w:val="16"/>
        </w:rPr>
        <w:t>[RE 460.880, rel. min. Marco Aurélio, j. 25-9-2007, 1ª T, DJE de 29-2-2008.]</w:t>
      </w:r>
    </w:p>
    <w:p>
      <w:pPr>
        <w:ind w:left="288"/>
      </w:pPr>
      <w:r>
        <w:rPr>
          <w:color w:val="8C8C8C"/>
          <w:sz w:val="12"/>
        </w:rPr>
        <w:t>cf-art-5-inc-X</w:t>
      </w:r>
      <w:r>
        <w:rPr>
          <w:color w:val="003CA0"/>
          <w:sz w:val="12"/>
        </w:rPr>
        <w:t xml:space="preserve"> | RHC 90.376</w:t>
      </w:r>
      <w:r>
        <w:rPr>
          <w:color w:val="003CA0"/>
          <w:sz w:val="12"/>
        </w:rPr>
        <w:t xml:space="preserve"> | rel. Celso de Mello</w:t>
      </w:r>
    </w:p>
    <w:p>
      <w:pPr>
        <w:ind w:left="288"/>
      </w:pPr>
      <w:r>
        <w:rPr>
          <w:color w:val="1E1E1E"/>
          <w:sz w:val="18"/>
        </w:rPr>
        <w:t>Para os fins da proteção jurídica a que se refere o art. 5º, XI, da CF, o conceito normativo de "casa" revela-se abrangente e, por estender-se a qualquer aposento de habitação coletiva, desde que ocupado (CP, art. 150, § 4º, II), compreende, observada essa específica limitação espacial, os quartos de hotel.</w:t>
      </w:r>
    </w:p>
    <w:p>
      <w:pPr>
        <w:ind w:left="288"/>
      </w:pPr>
      <w:r>
        <w:rPr>
          <w:b/>
          <w:color w:val="003CA0"/>
          <w:sz w:val="16"/>
        </w:rPr>
        <w:t>[RHC 90.376, rel. min. Celso de Mello, j. 3-4-2007, 2ª T, DJ de 18-5-2007.]</w:t>
      </w:r>
    </w:p>
    <w:p>
      <w:pPr>
        <w:ind w:left="288"/>
      </w:pPr>
      <w:r>
        <w:rPr>
          <w:color w:val="8C8C8C"/>
          <w:sz w:val="12"/>
        </w:rPr>
        <w:t>cf-art-5-inc-X</w:t>
      </w:r>
      <w:r>
        <w:rPr>
          <w:color w:val="003CA0"/>
          <w:sz w:val="12"/>
        </w:rPr>
        <w:t xml:space="preserve"> | AP 307</w:t>
      </w:r>
      <w:r>
        <w:rPr>
          <w:color w:val="003CA0"/>
          <w:sz w:val="12"/>
        </w:rPr>
        <w:t xml:space="preserve"> | rel. Sepúlveda Pertence</w:t>
      </w:r>
    </w:p>
    <w:p>
      <w:pPr>
        <w:ind w:left="288"/>
      </w:pPr>
      <w:r>
        <w:rPr>
          <w:color w:val="1E1E1E"/>
          <w:sz w:val="18"/>
        </w:rPr>
        <w:t xml:space="preserve">Proteção constitucional ao sigilo das comunicações de dados – art. 5º, XII, da CF: ausência de violação, no caso. Impertinência à hipótese da invocação da AP 307 (Pleno, 13-12-1994, Galvão, DJ de 13-10-1995), em que a tese da inviolabilidade absoluta de dados de computador não pode ser tomada como consagrada pelo Colegiado, dada a interferência, naquele caso, de outra razão suficiente para a exclusão da prova questionada – o ter sido o microcomputador apreendido sem ordem judicial e a consequente ofensa da garantia da inviolabilidade do domicílio da empresa – este segundo fundamento bastante, </w:t>
      </w:r>
    </w:p>
    <w:p>
      <w:pPr>
        <w:ind w:left="288"/>
      </w:pPr>
      <w:r>
        <w:rPr>
          <w:b/>
          <w:color w:val="003CA0"/>
          <w:sz w:val="16"/>
        </w:rPr>
        <w:t>[RE 418.416, rel. min. Sepúlveda Pertence, j. 10-5-2006, P, DJ de 19-12-2006.]</w:t>
      </w:r>
    </w:p>
    <w:p>
      <w:pPr>
        <w:ind w:left="288"/>
      </w:pPr>
      <w:r>
        <w:rPr>
          <w:color w:val="8C8C8C"/>
          <w:sz w:val="12"/>
        </w:rPr>
        <w:t>cf-art-5-inc-X</w:t>
      </w:r>
      <w:r>
        <w:rPr>
          <w:color w:val="003CA0"/>
          <w:sz w:val="12"/>
        </w:rPr>
        <w:t xml:space="preserve"> | MS 23.642</w:t>
      </w:r>
      <w:r>
        <w:rPr>
          <w:color w:val="003CA0"/>
          <w:sz w:val="12"/>
        </w:rPr>
        <w:t xml:space="preserve"> | rel. Néri da Silveira</w:t>
      </w:r>
    </w:p>
    <w:p>
      <w:pPr>
        <w:ind w:left="288"/>
      </w:pPr>
      <w:r>
        <w:rPr>
          <w:color w:val="1E1E1E"/>
          <w:sz w:val="18"/>
        </w:rPr>
        <w:t>Mandado de segurança contra ato do presidente da CPI destinada a investigar o avanço e a impunidade do narcotráfico. Apreensão de documentos e equipamentos sem fundamentação em locais invioláveis. Parecer da PGR pela concessão da ordem. O fato da autorização judicial para a perícia dos equipamentos, oriunda de autoridade judiciária de primeiro grau, após a apreensão, sem mandado judicial, não legitima os resultados da perícia que se tenha realizado ou em curso. Mandado de segurança que se defere para determinar a devolução dos bens e documentos apreendidos, declarando-se ineficaz eventual prov</w:t>
      </w:r>
    </w:p>
    <w:p>
      <w:pPr>
        <w:ind w:left="288"/>
      </w:pPr>
      <w:r>
        <w:rPr>
          <w:b/>
          <w:color w:val="003CA0"/>
          <w:sz w:val="16"/>
        </w:rPr>
        <w:t>[MS 23.642, rel. min. Néri da Silveira, j. 29-11-2000, P, DJ de 9-3-2001.]</w:t>
      </w:r>
    </w:p>
    <w:p>
      <w:pPr>
        <w:ind w:left="288"/>
      </w:pPr>
      <w:r>
        <w:rPr>
          <w:color w:val="8C8C8C"/>
          <w:sz w:val="12"/>
        </w:rPr>
        <w:t>cf-art-5-inc-X</w:t>
      </w:r>
      <w:r>
        <w:rPr>
          <w:color w:val="003CA0"/>
          <w:sz w:val="12"/>
        </w:rPr>
        <w:t xml:space="preserve"> | MS 23.452</w:t>
      </w:r>
      <w:r>
        <w:rPr>
          <w:color w:val="003CA0"/>
          <w:sz w:val="12"/>
        </w:rPr>
        <w:t xml:space="preserve"> | rel. Celso de Mello</w:t>
      </w:r>
    </w:p>
    <w:p>
      <w:pPr>
        <w:ind w:left="288"/>
      </w:pPr>
      <w:r>
        <w:rPr>
          <w:color w:val="1E1E1E"/>
          <w:sz w:val="18"/>
        </w:rPr>
        <w:t>A cláusula constitucional da reserva de jurisdição – que incide sobre determinadas matérias, como a busca domiciliar (CF, art. 5º, XI), a interceptação telefônica (CF, art. 5º, XII) e a decretação da prisão de qualquer pessoa, ressalvada a hipótese de flagrância (CF, art. 5º, LXI) – traduz a noção de que, nesses temas específicos, assiste ao Poder Judiciário, não apenas o direito de proferir a última palavra, mas, sobretudo, a prerrogativa de dizer, desde logo, a primeira palavra, excluindo-se, desse modo, por força e autoridade do que dispõe a própria Constituição, a possibilidade do exercíci</w:t>
      </w:r>
    </w:p>
    <w:p>
      <w:pPr>
        <w:ind w:left="288"/>
      </w:pPr>
      <w:r>
        <w:rPr>
          <w:b/>
          <w:color w:val="003CA0"/>
          <w:sz w:val="16"/>
        </w:rPr>
        <w:t>[MS 23.452, rel. min. Celso de Mello, j. 16-9-1999, P, DJ de 12-5-2000.]</w:t>
      </w:r>
    </w:p>
    <w:p>
      <w:pPr>
        <w:ind w:left="288"/>
      </w:pPr>
      <w:r>
        <w:rPr>
          <w:color w:val="8C8C8C"/>
          <w:sz w:val="12"/>
        </w:rPr>
        <w:t>cf-art-5-inc-X</w:t>
      </w:r>
      <w:r>
        <w:rPr>
          <w:color w:val="003CA0"/>
          <w:sz w:val="12"/>
        </w:rPr>
        <w:t xml:space="preserve"> | AP 307</w:t>
      </w:r>
      <w:r>
        <w:rPr>
          <w:color w:val="003CA0"/>
          <w:sz w:val="12"/>
        </w:rPr>
        <w:t xml:space="preserve"> | rel. Ilmar Galvão</w:t>
      </w:r>
    </w:p>
    <w:p>
      <w:pPr>
        <w:ind w:left="288"/>
      </w:pPr>
      <w:r>
        <w:rPr>
          <w:color w:val="1E1E1E"/>
          <w:sz w:val="18"/>
        </w:rPr>
        <w:t>Inadmissibilidade, como prova, de laudos de degravação de conversa telefônica e de registros contidos na memória de microcomputador, obtidos por meios ilícitos (art. 5º, LVI, da CF); no primeiro caso, por se tratar de gravação realizada por um dos interlocutores, sem conhecimento do outro, havendo a degravação sido feita com inobservância do princípio do contraditório, e utilizada com violação à privacidade alheia (art. 5º, X, da CF); e, no segundo caso, por estar-se diante de microcomputador que, além de ter sido apreendido com violação de domicílio, teve a memória nele contida degravada ao a</w:t>
      </w:r>
    </w:p>
    <w:p>
      <w:pPr>
        <w:ind w:left="288"/>
      </w:pPr>
      <w:r>
        <w:rPr>
          <w:b/>
          <w:color w:val="003CA0"/>
          <w:sz w:val="16"/>
        </w:rPr>
        <w:t>[AP 307, rel. min. Ilmar Galvão, j. 13-12-1994, P, DJ de 13-10-1995.]</w:t>
      </w:r>
    </w:p>
    <w:p>
      <w:pPr>
        <w:ind w:left="288"/>
      </w:pPr>
      <w:r>
        <w:rPr>
          <w:color w:val="8C8C8C"/>
          <w:sz w:val="12"/>
        </w:rPr>
        <w:t>cf-art-5-inc-X</w:t>
      </w:r>
      <w:r>
        <w:rPr>
          <w:color w:val="003CA0"/>
          <w:sz w:val="12"/>
        </w:rPr>
        <w:t xml:space="preserve"> | ADI 4.924</w:t>
      </w:r>
      <w:r>
        <w:rPr>
          <w:color w:val="003CA0"/>
          <w:sz w:val="12"/>
        </w:rPr>
        <w:t xml:space="preserve"> | rel. Gilmar Mendes</w:t>
      </w:r>
    </w:p>
    <w:p>
      <w:pPr>
        <w:ind w:left="288"/>
      </w:pPr>
      <w:r>
        <w:rPr>
          <w:color w:val="1E1E1E"/>
          <w:sz w:val="18"/>
        </w:rPr>
        <w:t>XII - é inviolável o sigilo da correspondência e das comunicações telegráficas, de dados e das comunicações telefônicas, salvo, no último caso, por ordem judicial, nas hipóteses e na forma que a lei estabelecer para fins de investigação criminal ou instrução processual penal; Dispositivos que determinam que as prestadoras de serviço telefônico são obrigadas a fornecer, sob pena de multa, os dados pessoais dos usuários de terminais utilizados para passar trotes aos serviços de emergência. (...) Alegação de inconstitucionalidade material, por suposta violação ao direito à privacidade, pela quebr</w:t>
      </w:r>
    </w:p>
    <w:p>
      <w:pPr>
        <w:ind w:left="288"/>
      </w:pPr>
      <w:r>
        <w:rPr>
          <w:b/>
          <w:color w:val="003CA0"/>
          <w:sz w:val="16"/>
        </w:rPr>
        <w:t>[ADI 4.924, rel. min. Gilmar Mendes, j. 4-11-2021, P, DJE de 29-3-2022.]</w:t>
      </w:r>
    </w:p>
    <w:p>
      <w:pPr>
        <w:ind w:left="288"/>
      </w:pPr>
      <w:r>
        <w:rPr>
          <w:color w:val="8C8C8C"/>
          <w:sz w:val="12"/>
        </w:rPr>
        <w:t>cf-art-5-inc-X</w:t>
      </w:r>
      <w:r>
        <w:rPr>
          <w:color w:val="003CA0"/>
          <w:sz w:val="12"/>
        </w:rPr>
        <w:t xml:space="preserve"> | ADI 6.387</w:t>
      </w:r>
      <w:r>
        <w:rPr>
          <w:color w:val="003CA0"/>
          <w:sz w:val="12"/>
        </w:rPr>
        <w:t xml:space="preserve"> | rel. Rosa Weber</w:t>
      </w:r>
    </w:p>
    <w:p>
      <w:pPr>
        <w:ind w:left="288"/>
      </w:pPr>
      <w:r>
        <w:rPr>
          <w:color w:val="1E1E1E"/>
          <w:sz w:val="18"/>
        </w:rPr>
        <w:t>Decorrências dos direitos da personalidade, o respeito à privacidade e à autodeterminação informativa foram positivados, no art. 2º, I e II, da Lei 13.709/2018 (Lei Geral de Proteção de Dados Pessoais), como fundamentos específicos da disciplina da proteção de dados pessoais. Na medida em que relacionados à identificação – efetiva ou potencial – de pessoa natural, o tratamento e a manipulação de dados pessoais hão de observar os limites delineados pelo âmbito de proteção das cláusulas constitucionais assecuratórias da liberdade individual (art. 5º, caput), da privacidade e do livre desenvolvim</w:t>
      </w:r>
    </w:p>
    <w:p>
      <w:pPr>
        <w:ind w:left="288"/>
      </w:pPr>
      <w:r>
        <w:rPr>
          <w:b/>
          <w:color w:val="003CA0"/>
          <w:sz w:val="16"/>
        </w:rPr>
        <w:t>[ADI 6.387 MC-REF, ADI 6.388 MC-REF, ADI 6.389 MC-REF, ADI 6.390 MC-REF e ADI 6.393-MC-REF, rel. min. Rosa Weber, j. 7-5-2020, P, DJE de 12-11-2020.]</w:t>
      </w:r>
    </w:p>
    <w:p>
      <w:pPr>
        <w:ind w:left="288"/>
      </w:pPr>
      <w:r>
        <w:rPr>
          <w:color w:val="8C8C8C"/>
          <w:sz w:val="12"/>
        </w:rPr>
        <w:t>cf-art-5-inc-X</w:t>
      </w:r>
      <w:r>
        <w:rPr>
          <w:color w:val="003CA0"/>
          <w:sz w:val="12"/>
        </w:rPr>
        <w:t xml:space="preserve"> | ADI 2.407</w:t>
      </w:r>
      <w:r>
        <w:rPr>
          <w:color w:val="003CA0"/>
          <w:sz w:val="12"/>
        </w:rPr>
        <w:t xml:space="preserve"> | rel. Cármen Lúcia</w:t>
      </w:r>
    </w:p>
    <w:p>
      <w:pPr>
        <w:ind w:left="288"/>
      </w:pPr>
      <w:r>
        <w:rPr>
          <w:color w:val="1E1E1E"/>
          <w:sz w:val="18"/>
        </w:rPr>
        <w:t>Os arts. 1º e 2º da Lei catarinense 11.223, de 17-11-1998, que cuidam da obrigatoriedade de identificação telefônica da sede da empresa ou do proprietário nos veículos licenciados no Estado de Santa Catarina e destinados ao transporte de carga e de passageiros, a ser disponibilizada na parte traseira do veículo, por meio de adesivo ou pintura, em lugar visível, constando o código de discagem direta à distância, seguido do número do telefone, não contrariam o inciso XII do art. 5º da CF. A proibição contida nessa norma constitucional refere-se à interceptação e à consequente captação de convers</w:t>
      </w:r>
    </w:p>
    <w:p>
      <w:pPr>
        <w:ind w:left="288"/>
      </w:pPr>
      <w:r>
        <w:rPr>
          <w:b/>
          <w:color w:val="003CA0"/>
          <w:sz w:val="16"/>
        </w:rPr>
        <w:t>[ADI 2.407, rel. min. Cármen Lúcia, j. 31-5-2007, P, DJ de 29-6-2007.]</w:t>
      </w:r>
    </w:p>
    <w:p>
      <w:pPr>
        <w:ind w:left="288"/>
      </w:pPr>
      <w:r>
        <w:rPr>
          <w:color w:val="8C8C8C"/>
          <w:sz w:val="12"/>
        </w:rPr>
        <w:t>cf-art-5-inc-X</w:t>
      </w:r>
      <w:r>
        <w:rPr>
          <w:color w:val="003CA0"/>
          <w:sz w:val="12"/>
        </w:rPr>
        <w:t xml:space="preserve"> | RE 1.537.165</w:t>
      </w:r>
      <w:r>
        <w:rPr>
          <w:color w:val="003CA0"/>
          <w:sz w:val="12"/>
        </w:rPr>
        <w:t xml:space="preserve"> | rel. Luís Roberto Barroso</w:t>
      </w:r>
    </w:p>
    <w:p>
      <w:pPr>
        <w:ind w:left="288"/>
      </w:pPr>
      <w:r>
        <w:rPr>
          <w:color w:val="1E1E1E"/>
          <w:sz w:val="18"/>
        </w:rPr>
        <w:t>Provas obtidas pelo Ministério Público por requisição de relatórios de inteligência financeira ou de procedimentos fiscalizatórios da Receita, sem autorização judicial e/ou sem a prévia instauração de procedimento de investigação formal.</w:t>
      </w:r>
    </w:p>
    <w:p>
      <w:pPr>
        <w:ind w:left="288"/>
      </w:pPr>
      <w:r>
        <w:rPr>
          <w:b/>
          <w:color w:val="003CA0"/>
          <w:sz w:val="16"/>
        </w:rPr>
        <w:t>[RE 1.537.165 RG, rel. min. Luís Roberto Barroso, j. 06.06.2025, P, DJE de 24.06.2025, Tema 1.404, com mérito pendente.]</w:t>
      </w:r>
    </w:p>
    <w:p>
      <w:pPr>
        <w:ind w:left="288"/>
      </w:pPr>
      <w:r>
        <w:rPr>
          <w:color w:val="8C8C8C"/>
          <w:sz w:val="12"/>
        </w:rPr>
        <w:t>cf-art-5-inc-X</w:t>
      </w:r>
      <w:r>
        <w:rPr>
          <w:color w:val="003CA0"/>
          <w:sz w:val="12"/>
        </w:rPr>
        <w:t xml:space="preserve"> | RE 625.263</w:t>
      </w:r>
      <w:r>
        <w:rPr>
          <w:color w:val="003CA0"/>
          <w:sz w:val="12"/>
        </w:rPr>
        <w:t xml:space="preserve"> | rel. Gilmar Mendes</w:t>
      </w:r>
    </w:p>
    <w:p>
      <w:pPr>
        <w:ind w:left="288"/>
      </w:pPr>
      <w:r>
        <w:rPr>
          <w:color w:val="1E1E1E"/>
          <w:sz w:val="18"/>
        </w:rPr>
        <w:t>São lícitas as sucessivas renovações de interceptação telefônica, desde que, verificados os requisitos do artigo 2º da Lei nº 9.296/1996 e demonstrada a necessidade da medida diante de elementos concretos e a complexidade da investigação, a decisão judicial inicial e as prorrogações sejam devidamente motivadas, com justificativa legítima, ainda que sucinta, a embasar a continuidade das investigações. São ilegais as motivações padronizadas ou reproduções de modelos genéricos sem relação com o caso concreto.</w:t>
      </w:r>
    </w:p>
    <w:p>
      <w:pPr>
        <w:ind w:left="288"/>
      </w:pPr>
      <w:r>
        <w:rPr>
          <w:b/>
          <w:color w:val="003CA0"/>
          <w:sz w:val="16"/>
        </w:rPr>
        <w:t>[RE 625.263, rel. min. Gilmar Mendes, red. do ac. min. Alexandre de Moraes, j. 17-3-2022, P, DJE de 6-6-2022, Tema 661, com mérito julgado.]</w:t>
      </w:r>
    </w:p>
    <w:p>
      <w:pPr>
        <w:ind w:left="288"/>
      </w:pPr>
      <w:r>
        <w:rPr>
          <w:color w:val="8C8C8C"/>
          <w:sz w:val="12"/>
        </w:rPr>
        <w:t>cf-art-5-inc-X</w:t>
      </w:r>
      <w:r>
        <w:rPr>
          <w:color w:val="003CA0"/>
          <w:sz w:val="12"/>
        </w:rPr>
        <w:t xml:space="preserve"> | RE 1.055.941</w:t>
      </w:r>
      <w:r>
        <w:rPr>
          <w:color w:val="003CA0"/>
          <w:sz w:val="12"/>
        </w:rPr>
        <w:t xml:space="preserve"> | rel. Dias Toffoli</w:t>
      </w:r>
    </w:p>
    <w:p>
      <w:pPr>
        <w:ind w:left="288"/>
      </w:pPr>
      <w:r>
        <w:rPr>
          <w:color w:val="1E1E1E"/>
          <w:sz w:val="18"/>
        </w:rPr>
        <w:t>É constitucional o compartilhamento dos relatórios de inteligência financeira da UIF e da íntegra do procedimento fiscalizatório da Receita Federal do Brasil - em que se define o lançamento do tributo - com os órgãos de persecução penal para fins criminais sem prévia autorização judicial, devendo ser resguardado o sigilo das informações em procedimentos formalmente instaurados e sujeitos a posterior controle jurisdicional; O compartilhamento pela UIF e pela RFB referido no item anterior deve ser feito unicamente por meio de comunicações formais, com garantia de sigilo, certificação do destinat</w:t>
      </w:r>
    </w:p>
    <w:p>
      <w:pPr>
        <w:ind w:left="288"/>
      </w:pPr>
      <w:r>
        <w:rPr>
          <w:b/>
          <w:color w:val="003CA0"/>
          <w:sz w:val="16"/>
        </w:rPr>
        <w:t>[RE 1.055.941, rel. min. Dias Toffoli, j. 4-12-2019, P, DJE de 6-10-2020. Tema 990, com mérito julgado.]</w:t>
      </w:r>
    </w:p>
    <w:p>
      <w:pPr>
        <w:ind w:left="288"/>
      </w:pPr>
      <w:r>
        <w:rPr>
          <w:color w:val="8C8C8C"/>
          <w:sz w:val="12"/>
        </w:rPr>
        <w:t>cf-art-5-inc-X</w:t>
      </w:r>
      <w:r>
        <w:rPr>
          <w:color w:val="003CA0"/>
          <w:sz w:val="12"/>
        </w:rPr>
        <w:t xml:space="preserve"> | RE 601.314</w:t>
      </w:r>
      <w:r>
        <w:rPr>
          <w:color w:val="003CA0"/>
          <w:sz w:val="12"/>
        </w:rPr>
        <w:t xml:space="preserve"> | rel. Alexandre de Moraes</w:t>
      </w:r>
    </w:p>
    <w:p>
      <w:pPr>
        <w:ind w:left="288"/>
      </w:pPr>
      <w:r>
        <w:rPr>
          <w:color w:val="1E1E1E"/>
          <w:sz w:val="18"/>
        </w:rPr>
        <w:t>Sigilo bancário. Solicitação de informações pelo Ministério Público diretamente ao Conselho de Atividades Financeiras – COAF para instruir procedimento investigatório criminal. (...) Há reiteradas decisões desta Corte estendendo a tese fixada no julgamento do RE 601.314-RG aos procedimentos criminais. Não há dúvida de que o desrespeito ao sigilo constitucionalmente protegido acarretaria violação às diversas garantias constitucionais; todavia, a inviolabilidade dos sigilos bancário e fiscal não é absoluta, podendo ser afastada quando eles estiverem sendo utilizados para ocultar a prática de ati</w:t>
      </w:r>
    </w:p>
    <w:p>
      <w:pPr>
        <w:ind w:left="288"/>
      </w:pPr>
      <w:r>
        <w:rPr>
          <w:b/>
          <w:color w:val="003CA0"/>
          <w:sz w:val="16"/>
        </w:rPr>
        <w:t>[RE 1.058.429-AgR, rel. min. Alexandre de Moraes, j. 20-2-2018, 1ª T, DJE de 6-3-2018.]</w:t>
      </w:r>
    </w:p>
    <w:p>
      <w:pPr>
        <w:ind w:left="288"/>
      </w:pPr>
      <w:r>
        <w:rPr>
          <w:color w:val="8C8C8C"/>
          <w:sz w:val="12"/>
        </w:rPr>
        <w:t>cf-art-5-inc-X</w:t>
      </w:r>
      <w:r>
        <w:rPr>
          <w:color w:val="003CA0"/>
          <w:sz w:val="12"/>
        </w:rPr>
        <w:t xml:space="preserve"> | RE 601.314</w:t>
      </w:r>
      <w:r>
        <w:rPr>
          <w:color w:val="003CA0"/>
          <w:sz w:val="12"/>
        </w:rPr>
        <w:t xml:space="preserve"> | rel. Edson Fachin</w:t>
      </w:r>
    </w:p>
    <w:p>
      <w:pPr>
        <w:ind w:left="288"/>
      </w:pPr>
      <w:r>
        <w:rPr>
          <w:color w:val="1E1E1E"/>
          <w:sz w:val="18"/>
        </w:rPr>
        <w:t>Vide RE 601.314, rel. min. Edson Fachin, j. 24-2016, P, DJE de 16-9-2016. Tema 225 O litígio constitucional posto se traduz em um confronto entre o direito ao sigilo bancário e o dever de pagar tributos, ambos referidos a um mesmo cidadão e de caráter constituinte no que se refere à comunidade política, à luz da finalidade precípua da tributação de realizar a igualdade em seu duplo compromisso, a autonomia individual e o autogoverno coletivo. Do ponto de vista da autonomia individual, o sigilo bancário é uma das expressões do direito de personalidade que se traduz em ter suas atividades e info</w:t>
      </w:r>
    </w:p>
    <w:p>
      <w:pPr>
        <w:ind w:left="288"/>
      </w:pPr>
      <w:r>
        <w:rPr>
          <w:b/>
          <w:color w:val="003CA0"/>
          <w:sz w:val="16"/>
        </w:rPr>
        <w:t>[RE 601.314, rel. min. Edson Fachin, j. 24-2-2016, P, DJE de 16-9-2016. Tema 225, com mérito julgado.]</w:t>
      </w:r>
    </w:p>
    <w:p>
      <w:pPr>
        <w:ind w:left="288"/>
      </w:pPr>
      <w:r>
        <w:rPr>
          <w:color w:val="8C8C8C"/>
          <w:sz w:val="12"/>
        </w:rPr>
        <w:t>cf-art-5-inc-X</w:t>
      </w:r>
      <w:r>
        <w:rPr>
          <w:color w:val="003CA0"/>
          <w:sz w:val="12"/>
        </w:rPr>
        <w:t xml:space="preserve"> | RE 1.058.429</w:t>
      </w:r>
      <w:r>
        <w:rPr>
          <w:color w:val="003CA0"/>
          <w:sz w:val="12"/>
        </w:rPr>
        <w:t xml:space="preserve"> | rel. Alexandre de Moraes</w:t>
      </w:r>
    </w:p>
    <w:p>
      <w:pPr>
        <w:ind w:left="288"/>
      </w:pPr>
      <w:r>
        <w:rPr>
          <w:color w:val="1E1E1E"/>
          <w:sz w:val="18"/>
        </w:rPr>
        <w:t>Vide RE 1.058.429-AgR, rel. min. Alexandre de Moraes, j. 20-2-2018, 1ª T, DJE de 6-3-2018 O compartilhamento de Relatórios de Inteligência Financeira (RIF) entre o COAF e os órgãos de persecução penal é constitucional e prescinde de autorização judicial prévia, desde que resguardado o sigilo e sujeito a controle jurisdicional posterior. O compartilhamento de informações pela UIF não equivale à requisição direta de dados bancários ou fiscais pelo órgão de acusação, pois a decisão sobre a disseminação cabe exclusivamente à unidade de inteligência financeira. O encontro fortuito de provas é legít</w:t>
      </w:r>
    </w:p>
    <w:p>
      <w:pPr>
        <w:ind w:left="288"/>
      </w:pPr>
      <w:r>
        <w:rPr>
          <w:b/>
          <w:color w:val="003CA0"/>
          <w:sz w:val="16"/>
        </w:rPr>
        <w:t>[HC 246.060 AgR, rel. min. Luís Roberto Barroso, j. 11.04.2025, P, DJE de 22.04.2025.]</w:t>
      </w:r>
    </w:p>
    <w:p>
      <w:pPr>
        <w:ind w:left="288"/>
      </w:pPr>
      <w:r>
        <w:rPr>
          <w:color w:val="8C8C8C"/>
          <w:sz w:val="12"/>
        </w:rPr>
        <w:t>cf-art-5-inc-X</w:t>
      </w:r>
      <w:r>
        <w:rPr>
          <w:color w:val="003CA0"/>
          <w:sz w:val="12"/>
        </w:rPr>
        <w:t xml:space="preserve"> | RE 1.393.219</w:t>
      </w:r>
      <w:r>
        <w:rPr>
          <w:color w:val="003CA0"/>
          <w:sz w:val="12"/>
        </w:rPr>
        <w:t xml:space="preserve"> | rel. Edson Fachin</w:t>
      </w:r>
    </w:p>
    <w:p>
      <w:pPr>
        <w:ind w:left="288"/>
      </w:pPr>
      <w:r>
        <w:rPr>
          <w:color w:val="1E1E1E"/>
          <w:sz w:val="18"/>
        </w:rPr>
        <w:t>Embora o Supremo Tribunal Federal, no julgamento do Tema 990 da repercussão geral, tenha autorizado o compartilhamento de relatórios de inteligência financeira da UIF e de procedimento fiscalizatório da Receita Federal do Brasil com os órgãos de persecução penal, não permitiu que o Ministério Público requisitasse diretamente dados bancários ou fiscais para fins de investigação ou ação penal sem autorização judicial prévia (...).</w:t>
      </w:r>
    </w:p>
    <w:p>
      <w:pPr>
        <w:ind w:left="288"/>
      </w:pPr>
      <w:r>
        <w:rPr>
          <w:b/>
          <w:color w:val="003CA0"/>
          <w:sz w:val="16"/>
        </w:rPr>
        <w:t>[RE 1.393.219 AgR, rel. min. Edson Fachin, j. 01.07.2024, 2ª T, DJE de 10.07.2024.]</w:t>
      </w:r>
    </w:p>
    <w:p>
      <w:pPr>
        <w:ind w:left="288"/>
      </w:pPr>
      <w:r>
        <w:rPr>
          <w:color w:val="8C8C8C"/>
          <w:sz w:val="12"/>
        </w:rPr>
        <w:t>cf-art-5-inc-X</w:t>
      </w:r>
      <w:r>
        <w:rPr>
          <w:color w:val="003CA0"/>
          <w:sz w:val="12"/>
        </w:rPr>
        <w:t xml:space="preserve"> | ARE 1.324.778</w:t>
      </w:r>
      <w:r>
        <w:rPr>
          <w:color w:val="003CA0"/>
          <w:sz w:val="12"/>
        </w:rPr>
        <w:t xml:space="preserve"> | rel. Gilmar Mendes</w:t>
      </w:r>
    </w:p>
    <w:p>
      <w:pPr>
        <w:ind w:left="288"/>
      </w:pPr>
      <w:r>
        <w:rPr>
          <w:color w:val="1E1E1E"/>
          <w:sz w:val="18"/>
        </w:rPr>
        <w:t>Acesso ao registro de ligações realizadas por empresas de telemarketing a usuários. Lei Estadual 13.226/2008 e Decreto Estadual 53.921/2008. Ausência de ofensa ao sigilo das comunicações e aos dados cadastrais telefônicos. Acesso limitado apenas às informações necessárias à fiscalização do Procon quanto à inobservância das solicitações de bloqueio realizadas pelos usuários. Cópias reprográficas da relação de chamadas recebidas pelo consumidor reclamante na data indicada e informação do titular do número que gerou a ligação.</w:t>
      </w:r>
    </w:p>
    <w:p>
      <w:pPr>
        <w:ind w:left="288"/>
      </w:pPr>
      <w:r>
        <w:rPr>
          <w:b/>
          <w:color w:val="003CA0"/>
          <w:sz w:val="16"/>
        </w:rPr>
        <w:t>[ARE 1.324.778 AgR, rel. min. Gilmar Mendes, j. 3-10-2022, 2ª T, DJE de 10-10-2022.]</w:t>
      </w:r>
    </w:p>
    <w:p>
      <w:pPr>
        <w:ind w:left="288"/>
      </w:pPr>
      <w:r>
        <w:rPr>
          <w:color w:val="8C8C8C"/>
          <w:sz w:val="12"/>
        </w:rPr>
        <w:t>cf-art-5-inc-X</w:t>
      </w:r>
      <w:r>
        <w:rPr>
          <w:color w:val="003CA0"/>
          <w:sz w:val="12"/>
        </w:rPr>
        <w:t xml:space="preserve"> | MS 23.168</w:t>
      </w:r>
      <w:r>
        <w:rPr>
          <w:color w:val="003CA0"/>
          <w:sz w:val="12"/>
        </w:rPr>
        <w:t xml:space="preserve"> | rel. Rosa Weber</w:t>
      </w:r>
    </w:p>
    <w:p>
      <w:pPr>
        <w:ind w:left="288"/>
      </w:pPr>
      <w:r>
        <w:rPr>
          <w:color w:val="1E1E1E"/>
          <w:sz w:val="18"/>
        </w:rPr>
        <w:t>Quando enfocados apenas dados operacionais da sociedade de economia mista, sem identificação de dados pessoais ou de movimentações individuais dos correntistas, não há falar em sigilo bancário como óbice ao fornecimento dos documentos de auditoria interna requisitados pelo TCU. Esse e o entendimento que se extrai dos princípios da publicidade e da transparência, além da exigência de prestar contas, inerentes, por imposição constitucional, ao atuar dos entes da administração pública direta e indireta.</w:t>
      </w:r>
    </w:p>
    <w:p>
      <w:pPr>
        <w:ind w:left="288"/>
      </w:pPr>
      <w:r>
        <w:rPr>
          <w:b/>
          <w:color w:val="003CA0"/>
          <w:sz w:val="16"/>
        </w:rPr>
        <w:t>[MS 23.168-AgR, rel. min. Rosa Weber, j. em 27-6-2019, 1ª T, DJE de 5-8-2019.]</w:t>
      </w:r>
    </w:p>
    <w:p>
      <w:pPr>
        <w:ind w:left="288"/>
      </w:pPr>
      <w:r>
        <w:rPr>
          <w:color w:val="8C8C8C"/>
          <w:sz w:val="12"/>
        </w:rPr>
        <w:t>cf-art-5-inc-X</w:t>
      </w:r>
      <w:r>
        <w:rPr>
          <w:color w:val="003CA0"/>
          <w:sz w:val="12"/>
        </w:rPr>
        <w:t xml:space="preserve"> | RHC 132.115</w:t>
      </w:r>
      <w:r>
        <w:rPr>
          <w:color w:val="003CA0"/>
          <w:sz w:val="12"/>
        </w:rPr>
        <w:t xml:space="preserve"> | rel. Dias Toffoli</w:t>
      </w:r>
    </w:p>
    <w:p>
      <w:pPr>
        <w:ind w:left="288"/>
      </w:pPr>
      <w:r>
        <w:rPr>
          <w:color w:val="1E1E1E"/>
          <w:sz w:val="18"/>
        </w:rPr>
        <w:t>Em face da concepção constitucional moderna de que inexistem garantias individuais de ordem absoluta, mormente com escopo de salvaguardar práticas ilícitas (v.g. HC nº 70.814/SP), a exceção constitucional ao sigilo alcança as comunicações de dados telemáticos, não havendo que se cogitar de incompatibilidade do parágrafo único do art. 1º da Lei 9.296/96 com o art. 5º, inciso XII, da Constituição Federal.</w:t>
      </w:r>
    </w:p>
    <w:p>
      <w:pPr>
        <w:ind w:left="288"/>
      </w:pPr>
      <w:r>
        <w:rPr>
          <w:b/>
          <w:color w:val="003CA0"/>
          <w:sz w:val="16"/>
        </w:rPr>
        <w:t>[RHC 132.115, rel. min. Dias Toffoli, j. 6-2-2018, 2ª T, DJE de 19-10-2018.]</w:t>
      </w:r>
    </w:p>
    <w:p>
      <w:pPr>
        <w:ind w:left="288"/>
      </w:pPr>
      <w:r>
        <w:rPr>
          <w:color w:val="8C8C8C"/>
          <w:sz w:val="12"/>
        </w:rPr>
        <w:t>cf-art-5-inc-X</w:t>
      </w:r>
      <w:r>
        <w:rPr>
          <w:color w:val="003CA0"/>
          <w:sz w:val="12"/>
        </w:rPr>
        <w:t xml:space="preserve"> | INQ 3.732</w:t>
      </w:r>
      <w:r>
        <w:rPr>
          <w:color w:val="003CA0"/>
          <w:sz w:val="12"/>
        </w:rPr>
        <w:t xml:space="preserve"> | rel. Cármen Lúcia</w:t>
      </w:r>
    </w:p>
    <w:p>
      <w:pPr>
        <w:ind w:left="288"/>
      </w:pPr>
      <w:r>
        <w:rPr>
          <w:color w:val="1E1E1E"/>
          <w:sz w:val="18"/>
        </w:rPr>
        <w:t xml:space="preserve">A prova encontrada, fortuitamente, durante a investigação criminal é válida, salvo se comprovado vício ensejador de sua nulidade. Nulidade da interceptação telefônica determinada por autoridade judicial incompetente, nos termos do art. 102, I, b, da Constituição da República e do art. 1º da Lei 9.296/1996. Ausência de remessa dos autos da investigação para o STF, depois de apresentados elementos mínimos caracterizadores da participação, em tese, de ministro do TCU e de membro do Congresso Nacional na prática de ilícito objeto de investigação. Contaminação das provas produzidas, por derivação, </w:t>
      </w:r>
    </w:p>
    <w:p>
      <w:pPr>
        <w:ind w:left="288"/>
      </w:pPr>
      <w:r>
        <w:rPr>
          <w:b/>
          <w:color w:val="003CA0"/>
          <w:sz w:val="16"/>
        </w:rPr>
        <w:t>[Inq 3.732, rel. min. Cármen Lúcia, j. 8-3-2016, 2ª T, DJE de 22-3-2016.]</w:t>
      </w:r>
    </w:p>
    <w:p>
      <w:pPr>
        <w:ind w:left="288"/>
      </w:pPr>
      <w:r>
        <w:rPr>
          <w:color w:val="8C8C8C"/>
          <w:sz w:val="12"/>
        </w:rPr>
        <w:t>cf-art-5-inc-X</w:t>
      </w:r>
      <w:r>
        <w:rPr>
          <w:color w:val="003CA0"/>
          <w:sz w:val="12"/>
        </w:rPr>
        <w:t xml:space="preserve"> | MS 33.340</w:t>
      </w:r>
      <w:r>
        <w:rPr>
          <w:color w:val="003CA0"/>
          <w:sz w:val="12"/>
        </w:rPr>
        <w:t xml:space="preserve"> | rel. Luiz Fux</w:t>
      </w:r>
    </w:p>
    <w:p>
      <w:pPr>
        <w:ind w:left="288"/>
      </w:pPr>
      <w:r>
        <w:rPr>
          <w:color w:val="1E1E1E"/>
          <w:sz w:val="18"/>
        </w:rPr>
        <w:t>O sigilo de informações necessárias para a preservação da intimidade é relativizado quando se está diante do interesse da sociedade de se conhecer o destino dos recursos públicos. Operações financeiras que envolvam recursos públicos não estão abrangidas pelo sigilo bancário a que alude a LC 105/2001, visto que as operações dessa espécie estão submetidas aos princípios da administração pública insculpidos no art. 37 da CF. Em tais situações, é prerrogativa constitucional do Tribunal [TCU] o acesso a informações relacionadas a operações financiadas com recursos públicos.</w:t>
      </w:r>
    </w:p>
    <w:p>
      <w:pPr>
        <w:ind w:left="288"/>
      </w:pPr>
      <w:r>
        <w:rPr>
          <w:b/>
          <w:color w:val="003CA0"/>
          <w:sz w:val="16"/>
        </w:rPr>
        <w:t>[MS 33.340, rel. min. Luiz Fux, j. 26-5-2015, 1ª T, DJE de 3-8-2015.]</w:t>
      </w:r>
    </w:p>
    <w:p>
      <w:pPr>
        <w:ind w:left="288"/>
      </w:pPr>
      <w:r>
        <w:rPr>
          <w:color w:val="8C8C8C"/>
          <w:sz w:val="12"/>
        </w:rPr>
        <w:t>cf-art-5-inc-X</w:t>
      </w:r>
      <w:r>
        <w:rPr>
          <w:color w:val="003CA0"/>
          <w:sz w:val="12"/>
        </w:rPr>
        <w:t xml:space="preserve"> | INQ 3.014</w:t>
      </w:r>
      <w:r>
        <w:rPr>
          <w:color w:val="003CA0"/>
          <w:sz w:val="12"/>
        </w:rPr>
        <w:t xml:space="preserve"> | rel. Marco Aurélio</w:t>
      </w:r>
    </w:p>
    <w:p>
      <w:pPr>
        <w:ind w:left="288"/>
      </w:pPr>
      <w:r>
        <w:rPr>
          <w:color w:val="1E1E1E"/>
          <w:sz w:val="18"/>
        </w:rPr>
        <w:t>Consoante dispõe o inciso XII do art. 5º da CF, mostra-se inadequado o compartilhamento de prova que, no campo da exceção – afastamento da privacidade –, implicou interceptação telefônica determinada por órgão judicial e para efeito específico, ou seja, investigação criminal ou instrução processual penal.</w:t>
      </w:r>
    </w:p>
    <w:p>
      <w:pPr>
        <w:ind w:left="288"/>
      </w:pPr>
      <w:r>
        <w:rPr>
          <w:b/>
          <w:color w:val="003CA0"/>
          <w:sz w:val="16"/>
        </w:rPr>
        <w:t>[Inq 3.014 AgR, rel. min. Marco Aurélio, j. 13-12-2012, P, DJE de 23-9-2013.]</w:t>
      </w:r>
    </w:p>
    <w:p>
      <w:pPr>
        <w:ind w:left="288"/>
      </w:pPr>
      <w:r>
        <w:rPr>
          <w:color w:val="8C8C8C"/>
          <w:sz w:val="12"/>
        </w:rPr>
        <w:t>cf-art-5-inc-X</w:t>
      </w:r>
      <w:r>
        <w:rPr>
          <w:color w:val="003CA0"/>
          <w:sz w:val="12"/>
        </w:rPr>
        <w:t xml:space="preserve"> | HC 91.867</w:t>
      </w:r>
      <w:r>
        <w:rPr>
          <w:color w:val="003CA0"/>
          <w:sz w:val="12"/>
        </w:rPr>
        <w:t xml:space="preserve"> | rel. Gilmar Mendes</w:t>
      </w:r>
    </w:p>
    <w:p>
      <w:pPr>
        <w:ind w:left="288"/>
      </w:pPr>
      <w:r>
        <w:rPr>
          <w:color w:val="1E1E1E"/>
          <w:sz w:val="18"/>
        </w:rPr>
        <w:t>Suposta ilegalidade decorrente do fato de os policiais, após a prisão em flagrante do corréu, terem realizado a análise dos últimos registros telefônicos dos dois aparelhos celulares apreendidos. Não ocorrência. Não se confundem comunicação telefônica e registros telefônicos, que recebem, inclusive, proteção jurídica distinta. Não se pode interpretar a cláusula do art. 5º, XII, da CF, no sentido de proteção aos dados enquanto registro, depósito registral. A proteção constitucional é da comunicação de dados, e não dos dados. Art. 6º do CPP: dever da autoridade policial de proceder à coleta do m</w:t>
      </w:r>
    </w:p>
    <w:p>
      <w:pPr>
        <w:ind w:left="288"/>
      </w:pPr>
      <w:r>
        <w:rPr>
          <w:b/>
          <w:color w:val="003CA0"/>
          <w:sz w:val="16"/>
        </w:rPr>
        <w:t>[HC 91.867, rel. min. Gilmar Mendes, j. 24-4-2012, 2ª T, DJE de 20-9-2012.]</w:t>
      </w:r>
    </w:p>
    <w:p>
      <w:pPr>
        <w:ind w:left="288"/>
      </w:pPr>
      <w:r>
        <w:rPr>
          <w:color w:val="8C8C8C"/>
          <w:sz w:val="12"/>
        </w:rPr>
        <w:t>cf-art-5-inc-X</w:t>
      </w:r>
      <w:r>
        <w:rPr>
          <w:color w:val="003CA0"/>
          <w:sz w:val="12"/>
        </w:rPr>
        <w:t xml:space="preserve"> | HC 96.056</w:t>
      </w:r>
      <w:r>
        <w:rPr>
          <w:color w:val="003CA0"/>
          <w:sz w:val="12"/>
        </w:rPr>
        <w:t xml:space="preserve"> | rel. Gilmar Mendes</w:t>
      </w:r>
    </w:p>
    <w:p>
      <w:pPr>
        <w:ind w:left="288"/>
      </w:pPr>
      <w:r>
        <w:rPr>
          <w:color w:val="1E1E1E"/>
          <w:sz w:val="18"/>
        </w:rPr>
        <w:t>(...) tenho que uma excepcional situação de restrição de um direito ou garantia constitucional só deve ocorrer em situações pontuais, em que restem evidenciadas de forma flagrante a sua real necessidade. No caso dos autos, a envolver o sigilo dos dados bancários, fiscais e das comunicações telefônicas, a regra é a inviolabilidade, a exceção, a sua violação, a qual somente se justifica quando devidamente fundamentada por autoridade judicial competente, consoante o disposto no art. 93, IX, da CF. Daí por que imperioso concluir que a mera alusão ao "requerimento" do Parquet e/ou da autoridade pol</w:t>
      </w:r>
    </w:p>
    <w:p>
      <w:pPr>
        <w:ind w:left="288"/>
      </w:pPr>
      <w:r>
        <w:rPr>
          <w:b/>
          <w:color w:val="003CA0"/>
          <w:sz w:val="16"/>
        </w:rPr>
        <w:t>[HC 96.056, rel. min. Gilmar Mendes, j. 28-6-2011, 2ª T, DJE de 8-5-2012.]</w:t>
      </w:r>
    </w:p>
    <w:p>
      <w:pPr>
        <w:ind w:left="288"/>
      </w:pPr>
      <w:r>
        <w:rPr>
          <w:color w:val="8C8C8C"/>
          <w:sz w:val="12"/>
        </w:rPr>
        <w:t>cf-art-5-inc-X</w:t>
      </w:r>
      <w:r>
        <w:rPr>
          <w:color w:val="003CA0"/>
          <w:sz w:val="12"/>
        </w:rPr>
        <w:t xml:space="preserve"> | RE 389.808</w:t>
      </w:r>
      <w:r>
        <w:rPr>
          <w:color w:val="003CA0"/>
          <w:sz w:val="12"/>
        </w:rPr>
        <w:t xml:space="preserve"> | rel. Marco Aurélio</w:t>
      </w:r>
    </w:p>
    <w:p>
      <w:pPr>
        <w:ind w:left="288"/>
      </w:pPr>
      <w:r>
        <w:rPr>
          <w:color w:val="1E1E1E"/>
          <w:sz w:val="18"/>
        </w:rPr>
        <w:t>Conforme disposto no inciso XII do art. 5º da CF, a regra é a privacidade quanto à correspondência, às comunicações telegráficas, aos dados e às comunicações, ficando a exceção – a quebra do sigilo – submetida ao crivo de órgão equidistante – o Judiciário – e, mesmo assim, para efeito de investigação criminal ou instrução processual penal. (...) Conflita com a Carta da República norma legal atribuindo à Receita Federal – parte na relação jurídico-tributária – o afastamento do sigilo de dados relativos ao contribuinte.</w:t>
      </w:r>
    </w:p>
    <w:p>
      <w:pPr>
        <w:ind w:left="288"/>
      </w:pPr>
      <w:r>
        <w:rPr>
          <w:b/>
          <w:color w:val="003CA0"/>
          <w:sz w:val="16"/>
        </w:rPr>
        <w:t>[RE 389.808, rel. min. Marco Aurélio, j. 15-12-2010, P, DJE de 10-5-2011.]</w:t>
      </w:r>
    </w:p>
    <w:p>
      <w:pPr>
        <w:ind w:left="288"/>
      </w:pPr>
      <w:r>
        <w:rPr>
          <w:color w:val="8C8C8C"/>
          <w:sz w:val="12"/>
        </w:rPr>
        <w:t>cf-art-5-inc-X</w:t>
      </w:r>
      <w:r>
        <w:rPr>
          <w:color w:val="003CA0"/>
          <w:sz w:val="12"/>
        </w:rPr>
        <w:t xml:space="preserve"> | AI 626.214</w:t>
      </w:r>
      <w:r>
        <w:rPr>
          <w:color w:val="003CA0"/>
          <w:sz w:val="12"/>
        </w:rPr>
        <w:t xml:space="preserve"> | rel. Joaquim Barbosa</w:t>
      </w:r>
    </w:p>
    <w:p>
      <w:pPr>
        <w:ind w:left="288"/>
      </w:pPr>
      <w:r>
        <w:rPr>
          <w:color w:val="1E1E1E"/>
          <w:sz w:val="18"/>
        </w:rPr>
        <w:t>Encontro fortuito de prova da prática de crime punido com detenção. (...) O STF, como intérprete maior da Constituição da República, considerou compatível com o art. 5º, XII e LVI, o uso de prova obtida fortuitamente através de interceptação telefônica licitamente conduzida, ainda que o crime descoberto, conexo ao que foi objeto da interceptação, seja punido com detenção.</w:t>
      </w:r>
    </w:p>
    <w:p>
      <w:pPr>
        <w:ind w:left="288"/>
      </w:pPr>
      <w:r>
        <w:rPr>
          <w:b/>
          <w:color w:val="003CA0"/>
          <w:sz w:val="16"/>
        </w:rPr>
        <w:t>[AI 626.214 AgR, rel. min. Joaquim Barbosa, j. 21-9-2010, 2ª T, DJE de 8-10-2010.]</w:t>
      </w:r>
    </w:p>
    <w:p>
      <w:pPr>
        <w:ind w:left="288"/>
      </w:pPr>
      <w:r>
        <w:rPr>
          <w:color w:val="8C8C8C"/>
          <w:sz w:val="12"/>
        </w:rPr>
        <w:t>cf-art-5-inc-X</w:t>
      </w:r>
      <w:r>
        <w:rPr>
          <w:color w:val="003CA0"/>
          <w:sz w:val="12"/>
        </w:rPr>
        <w:t xml:space="preserve"> | HC 83.515</w:t>
      </w:r>
      <w:r>
        <w:rPr>
          <w:color w:val="003CA0"/>
          <w:sz w:val="12"/>
        </w:rPr>
        <w:t xml:space="preserve"> | rel. Nelson Jobim</w:t>
      </w:r>
    </w:p>
    <w:p>
      <w:pPr>
        <w:ind w:left="288"/>
      </w:pPr>
      <w:r>
        <w:rPr>
          <w:color w:val="1E1E1E"/>
          <w:sz w:val="18"/>
        </w:rPr>
        <w:t>= HC 83.515, rel. min. Nelson Jobim, j. 16-9-2004, P, DJ de 4-3-2005 Vide HC 102.304, rel. min. Cármen Lúcia, j. 25-5-2010, 1ª T, DJE de 25-5-2011 (...) a Lei 9.296/1996 nada mais fez do que estabelecer as diretrizes para a resolução de conflitos entre a privacidade e o dever do Estado de aplicar as leis criminais. Em que pese ao caráter excepcional da medida, o inciso XII possibilita, expressamente, uma vez preenchidos os requisitos constitucionais, a interceptação das comunicações telefônicas. E tal permissão existe pelo simples fato de que os direitos e garantias constitucionais não podem s</w:t>
      </w:r>
    </w:p>
    <w:p>
      <w:pPr>
        <w:ind w:left="288"/>
      </w:pPr>
      <w:r>
        <w:rPr>
          <w:b/>
          <w:color w:val="003CA0"/>
          <w:sz w:val="16"/>
        </w:rPr>
        <w:t>[HC 103.236, rel. min. Gilmar Mendes, j. 14-6-2010, 2ª T, DJE de 3-9-2010.]</w:t>
      </w:r>
    </w:p>
    <w:p>
      <w:pPr>
        <w:ind w:left="288"/>
      </w:pPr>
      <w:r>
        <w:rPr>
          <w:color w:val="8C8C8C"/>
          <w:sz w:val="12"/>
        </w:rPr>
        <w:t>cf-art-5-inc-X</w:t>
      </w:r>
      <w:r>
        <w:rPr>
          <w:color w:val="003CA0"/>
          <w:sz w:val="12"/>
        </w:rPr>
        <w:t xml:space="preserve"> | HC 102.304</w:t>
      </w:r>
      <w:r>
        <w:rPr>
          <w:color w:val="003CA0"/>
          <w:sz w:val="12"/>
        </w:rPr>
        <w:t xml:space="preserve"> | rel. Cármen Lúcia</w:t>
      </w:r>
    </w:p>
    <w:p>
      <w:pPr>
        <w:ind w:left="288"/>
      </w:pPr>
      <w:r>
        <w:rPr>
          <w:color w:val="1E1E1E"/>
          <w:sz w:val="18"/>
        </w:rPr>
        <w:t>Interceptação realizada em linha telefônica do corréu que captou diálogo entre este e o ora paciente, mediante autorização judicial. Prova lícita que pode ser utilizada para subsidiar ação penal, sem contrariedade ao art. 5º, XII, LIV, LV e LVI, da Constituição da República.</w:t>
      </w:r>
    </w:p>
    <w:p>
      <w:pPr>
        <w:ind w:left="288"/>
      </w:pPr>
      <w:r>
        <w:rPr>
          <w:b/>
          <w:color w:val="003CA0"/>
          <w:sz w:val="16"/>
        </w:rPr>
        <w:t>[HC 102.304, rel. min. Cármen Lúcia, j. 25-5-2010, 1ª T, DJE de 25-5-2011.]</w:t>
      </w:r>
    </w:p>
    <w:p>
      <w:pPr>
        <w:ind w:left="288"/>
      </w:pPr>
      <w:r>
        <w:rPr>
          <w:color w:val="8C8C8C"/>
          <w:sz w:val="12"/>
        </w:rPr>
        <w:t>cf-art-5-inc-X</w:t>
      </w:r>
      <w:r>
        <w:rPr>
          <w:color w:val="003CA0"/>
          <w:sz w:val="12"/>
        </w:rPr>
        <w:t xml:space="preserve"> | AI 626.214</w:t>
      </w:r>
      <w:r>
        <w:rPr>
          <w:color w:val="003CA0"/>
          <w:sz w:val="12"/>
        </w:rPr>
        <w:t xml:space="preserve"> | rel. Joaquim Barbosa</w:t>
      </w:r>
    </w:p>
    <w:p>
      <w:pPr>
        <w:ind w:left="288"/>
      </w:pPr>
      <w:r>
        <w:rPr>
          <w:color w:val="1E1E1E"/>
          <w:sz w:val="18"/>
        </w:rPr>
        <w:t>Vide AI 626.214 AgR, rel. min. Joaquim Barbosa, j. 21-9-2010, 2ª T, DJE de 8-10-2010 Não ofende a autoridade do acórdão proferido na ADPF 130 a decisão que, proibindo a jornal a publicação de fatos relativos ao autor de ação inibitória, se fundou, de maneira expressa, na inviolabilidade constitucional de direitos da personalidade, notadamente o da privacidade, mediante proteção de sigilo legal de dados cobertos por segredo de justiça.</w:t>
      </w:r>
    </w:p>
    <w:p>
      <w:pPr>
        <w:ind w:left="288"/>
      </w:pPr>
      <w:r>
        <w:rPr>
          <w:b/>
          <w:color w:val="003CA0"/>
          <w:sz w:val="16"/>
        </w:rPr>
        <w:t>[Rcl 9.428, rel. min. Cezar Peluso, j. 10-12-2009, P, DJE de 25-6-2010.]</w:t>
      </w:r>
    </w:p>
    <w:p>
      <w:pPr>
        <w:ind w:left="288"/>
      </w:pPr>
      <w:r>
        <w:rPr>
          <w:color w:val="8C8C8C"/>
          <w:sz w:val="12"/>
        </w:rPr>
        <w:t>cf-art-5-inc-X</w:t>
      </w:r>
      <w:r>
        <w:rPr>
          <w:color w:val="003CA0"/>
          <w:sz w:val="12"/>
        </w:rPr>
        <w:t xml:space="preserve"> | AI 578.858</w:t>
      </w:r>
      <w:r>
        <w:rPr>
          <w:color w:val="003CA0"/>
          <w:sz w:val="12"/>
        </w:rPr>
        <w:t xml:space="preserve"> | rel. Ellen Gracie</w:t>
      </w:r>
    </w:p>
    <w:p>
      <w:pPr>
        <w:ind w:left="288"/>
      </w:pPr>
      <w:r>
        <w:rPr>
          <w:color w:val="1E1E1E"/>
          <w:sz w:val="18"/>
        </w:rPr>
        <w:t>A gravação de conversa telefônica feita por um dos interlocutores, sem conhecimento do outro, quando ausente causa legal de sigilo ou de reserva da conversação, não é considerada prova ilícita.</w:t>
      </w:r>
    </w:p>
    <w:p>
      <w:pPr>
        <w:ind w:left="288"/>
      </w:pPr>
      <w:r>
        <w:rPr>
          <w:b/>
          <w:color w:val="003CA0"/>
          <w:sz w:val="16"/>
        </w:rPr>
        <w:t>[AI 578.858 AgR, rel. min. Ellen Gracie, j. 4-8-2009, 2ª T, DJE de 28-8-2009.]</w:t>
      </w:r>
    </w:p>
    <w:p>
      <w:pPr>
        <w:ind w:left="288"/>
      </w:pPr>
      <w:r>
        <w:rPr>
          <w:color w:val="8C8C8C"/>
          <w:sz w:val="12"/>
        </w:rPr>
        <w:t>cf-art-5-inc-X</w:t>
      </w:r>
      <w:r>
        <w:rPr>
          <w:color w:val="003CA0"/>
          <w:sz w:val="12"/>
        </w:rPr>
        <w:t xml:space="preserve"> | RE 630.944</w:t>
      </w:r>
      <w:r>
        <w:rPr>
          <w:color w:val="003CA0"/>
          <w:sz w:val="12"/>
        </w:rPr>
        <w:t xml:space="preserve"> | rel. Ayres Britto</w:t>
      </w:r>
    </w:p>
    <w:p>
      <w:pPr>
        <w:ind w:left="288"/>
      </w:pPr>
      <w:r>
        <w:rPr>
          <w:color w:val="1E1E1E"/>
          <w:sz w:val="18"/>
        </w:rPr>
        <w:t>= RE 630.944 AgR, rel. min. Ayres Britto, j. 25-10-2011, 2ª T, DJE de 19-12-2011 É lícita a interceptação telefônica, determinada em decisão judicial fundamentada, quando necessária, como único meio de prova, à apuração de fato delituoso. (...) É lícita a prorrogação do prazo legal de autorização para interceptação telefônica, ainda que de modo sucessivo, quando o fato seja complexo e, como tal, exija investigação diferenciada e contínua. (...) O ministro relator de inquérito policial, objeto de supervisão do STF, tem competência para determinar, durante as férias e recesso forenses, realizaçã</w:t>
      </w:r>
    </w:p>
    <w:p>
      <w:pPr>
        <w:ind w:left="288"/>
      </w:pPr>
      <w:r>
        <w:rPr>
          <w:b/>
          <w:color w:val="003CA0"/>
          <w:sz w:val="16"/>
        </w:rPr>
        <w:t>[Inq 2.424, rel. min. Cezar Peluso, j. 26-11-2008, P, DJE de 26-3-2010.]</w:t>
      </w:r>
    </w:p>
    <w:p>
      <w:pPr>
        <w:ind w:left="288"/>
      </w:pPr>
      <w:r>
        <w:rPr>
          <w:color w:val="8C8C8C"/>
          <w:sz w:val="12"/>
        </w:rPr>
        <w:t>cf-art-5-inc-X</w:t>
      </w:r>
      <w:r>
        <w:rPr>
          <w:color w:val="003CA0"/>
          <w:sz w:val="12"/>
        </w:rPr>
        <w:t xml:space="preserve"> | RHC 108.926</w:t>
      </w:r>
      <w:r>
        <w:rPr>
          <w:color w:val="003CA0"/>
          <w:sz w:val="12"/>
        </w:rPr>
        <w:t xml:space="preserve"> | rel. Teori Zavascki</w:t>
      </w:r>
    </w:p>
    <w:p>
      <w:pPr>
        <w:ind w:left="288"/>
      </w:pPr>
      <w:r>
        <w:rPr>
          <w:color w:val="1E1E1E"/>
          <w:sz w:val="18"/>
        </w:rPr>
        <w:t>= RHC 108.926, rel. min. Teori Zavascki, j. 24-2-2015, 2ª T, DJE de 10-3-2015 De que vale declarar a Constituição que "a casa é asilo inviolável do indivíduo" (art. 5º, XI) se moradias são invadidas por policiais munidos de mandados que consubstanciem verdadeiras cartas brancas, mandados com poderes de a tudo devassar, só porque o habitante é suspeito de um crime? (...) Esses mandados ordinariamente autorizam a apreensão de computadores, nos quais fica indelevelmente gravado tudo quanto respeite à intimidade das pessoas e possa vir a ser, quando e se oportuno, no futuro, usado contra quem se p</w:t>
      </w:r>
    </w:p>
    <w:p>
      <w:pPr>
        <w:ind w:left="288"/>
      </w:pPr>
      <w:r>
        <w:rPr>
          <w:b/>
          <w:color w:val="003CA0"/>
          <w:sz w:val="16"/>
        </w:rPr>
        <w:t>[HC 95.009, rel. min. Eros Grau, j. 6-11-2008, P, DJE de 19-12-2008.]</w:t>
      </w:r>
    </w:p>
    <w:p>
      <w:pPr>
        <w:ind w:left="288"/>
      </w:pPr>
      <w:r>
        <w:rPr>
          <w:color w:val="8C8C8C"/>
          <w:sz w:val="12"/>
        </w:rPr>
        <w:t>cf-art-5-inc-X</w:t>
      </w:r>
      <w:r>
        <w:rPr>
          <w:color w:val="003CA0"/>
          <w:sz w:val="12"/>
        </w:rPr>
        <w:t xml:space="preserve"> | RE 453.562</w:t>
      </w:r>
      <w:r>
        <w:rPr>
          <w:color w:val="003CA0"/>
          <w:sz w:val="12"/>
        </w:rPr>
        <w:t xml:space="preserve"> | rel. Joaquim Barbosa</w:t>
      </w:r>
    </w:p>
    <w:p>
      <w:pPr>
        <w:ind w:left="288"/>
      </w:pPr>
      <w:r>
        <w:rPr>
          <w:color w:val="1E1E1E"/>
          <w:sz w:val="18"/>
        </w:rPr>
        <w:t>Alegação de ofensa ao art. 5º, XII, LIV e LVI, da CF. Recurso extraordinário que afirma a existência de interceptação telefônica ilícita porque efetivada por terceiros. Conversa gravada por um dos interlocutores. Precedentes do STF. Agravo regimental improvido. Alegação de existência de prova ilícita, porquanto a interceptação telefônica teria sido realizada sem autorização judicial. Não há interceptação telefônica quando a conversa é gravada por um dos interlocutores, ainda que com a ajuda de um repórter.</w:t>
      </w:r>
    </w:p>
    <w:p>
      <w:pPr>
        <w:ind w:left="288"/>
      </w:pPr>
      <w:r>
        <w:rPr>
          <w:b/>
          <w:color w:val="003CA0"/>
          <w:sz w:val="16"/>
        </w:rPr>
        <w:t>[RE 453.562 AgR, rel. min. Joaquim Barbosa, j. 23-9-2008, 2ª T, DJE de 28-11-2008.]</w:t>
      </w:r>
    </w:p>
    <w:p>
      <w:pPr>
        <w:ind w:left="288"/>
      </w:pPr>
      <w:r>
        <w:rPr>
          <w:color w:val="8C8C8C"/>
          <w:sz w:val="12"/>
        </w:rPr>
        <w:t>cf-art-5-inc-X</w:t>
      </w:r>
      <w:r>
        <w:rPr>
          <w:color w:val="003CA0"/>
          <w:sz w:val="12"/>
        </w:rPr>
        <w:t xml:space="preserve"> | HC 89.083</w:t>
      </w:r>
      <w:r>
        <w:rPr>
          <w:color w:val="003CA0"/>
          <w:sz w:val="12"/>
        </w:rPr>
        <w:t xml:space="preserve"> | rel. Marco Aurélio</w:t>
      </w:r>
    </w:p>
    <w:p>
      <w:pPr>
        <w:ind w:left="288"/>
      </w:pPr>
      <w:r>
        <w:rPr>
          <w:color w:val="1E1E1E"/>
          <w:sz w:val="18"/>
        </w:rPr>
        <w:t>Sigilo de dados. Quebra. Indícios. Embora a regra seja a privacidade, mostra-se possível o acesso a dados sigilosos, para o efeito de inquérito ou persecução criminais e por ordem judicial, ante indícios de prática criminosa.</w:t>
      </w:r>
    </w:p>
    <w:p>
      <w:pPr>
        <w:ind w:left="288"/>
      </w:pPr>
      <w:r>
        <w:rPr>
          <w:b/>
          <w:color w:val="003CA0"/>
          <w:sz w:val="16"/>
        </w:rPr>
        <w:t>[HC 89.083, rel. min. Marco Aurélio, j. 19-8-2008, 1ª T, DJE de 6-2-2009.]</w:t>
      </w:r>
    </w:p>
    <w:p>
      <w:pPr>
        <w:ind w:left="288"/>
      </w:pPr>
      <w:r>
        <w:rPr>
          <w:color w:val="8C8C8C"/>
          <w:sz w:val="12"/>
        </w:rPr>
        <w:t>cf-art-5-inc-X</w:t>
      </w:r>
      <w:r>
        <w:rPr>
          <w:color w:val="003CA0"/>
          <w:sz w:val="12"/>
        </w:rPr>
        <w:t xml:space="preserve"> | MS 24.832</w:t>
      </w:r>
      <w:r>
        <w:rPr>
          <w:color w:val="003CA0"/>
          <w:sz w:val="12"/>
        </w:rPr>
        <w:t xml:space="preserve"> | rel. Cezar Peluso</w:t>
      </w:r>
    </w:p>
    <w:p>
      <w:pPr>
        <w:ind w:left="288"/>
      </w:pPr>
      <w:r>
        <w:rPr>
          <w:color w:val="1E1E1E"/>
          <w:sz w:val="18"/>
        </w:rPr>
        <w:t>CPI. Interceptação telefônica. Sigilo judicial. Segredo de justiça. Quebra. Impossibilidade jurídica. Requisição de cópias das ordens judiciais e dos mandados. Liminar concedida. Admissibilidade de submissão da liminar ao Plenário, pelo relator, para referendo. Precedentes (MS 24.832 MC, MS 26.307 MC e MS 26.900 MC). Voto vencido. Pode o relator de mandado de segurança submeter ao Plenário, para efeito de referendo, a liminar que haja deferido. CPI. Prova. Interceptação telefônica. Decisão judicial. Sigilo judicial. Segredo de justiça. Quebra. Requisição, às operadoras, de cópias das ordens ju</w:t>
      </w:r>
    </w:p>
    <w:p>
      <w:pPr>
        <w:ind w:left="288"/>
      </w:pPr>
      <w:r>
        <w:rPr>
          <w:b/>
          <w:color w:val="003CA0"/>
          <w:sz w:val="16"/>
        </w:rPr>
        <w:t>[MS 27.483 MC-REF, rel. min. Cezar Peluso, j. 14-8-2008, P, DJE de 10-10-2008.]</w:t>
      </w:r>
    </w:p>
    <w:p>
      <w:pPr>
        <w:ind w:left="288"/>
      </w:pPr>
      <w:r>
        <w:rPr>
          <w:color w:val="8C8C8C"/>
          <w:sz w:val="12"/>
        </w:rPr>
        <w:t>cf-art-5-inc-X</w:t>
      </w:r>
      <w:r>
        <w:rPr>
          <w:color w:val="003CA0"/>
          <w:sz w:val="12"/>
        </w:rPr>
        <w:t xml:space="preserve"> | RE 568.498</w:t>
      </w:r>
      <w:r>
        <w:rPr>
          <w:color w:val="003CA0"/>
          <w:sz w:val="12"/>
        </w:rPr>
        <w:t xml:space="preserve"> | rel. Cezar Peluso</w:t>
      </w:r>
    </w:p>
    <w:p>
      <w:pPr>
        <w:ind w:left="288"/>
      </w:pPr>
      <w:r>
        <w:rPr>
          <w:color w:val="1E1E1E"/>
          <w:sz w:val="18"/>
        </w:rPr>
        <w:t>Não viola o direito constitucional ao sigilo bancário o uso, em processo judicial, de comprovante de consulta a órgão de proteção ao crédito, com o propósito de impedir, modificar ou extinguir direito da parte adversa.</w:t>
      </w:r>
    </w:p>
    <w:p>
      <w:pPr>
        <w:ind w:left="288"/>
      </w:pPr>
      <w:r>
        <w:rPr>
          <w:b/>
          <w:color w:val="003CA0"/>
          <w:sz w:val="16"/>
        </w:rPr>
        <w:t>[RE 568.498, rel. min. Cezar Peluso, j. 13-5-2008, 2ª T, DJE de 6-6-2008.]</w:t>
      </w:r>
    </w:p>
    <w:p>
      <w:pPr>
        <w:ind w:left="288"/>
      </w:pPr>
      <w:r>
        <w:rPr>
          <w:color w:val="8C8C8C"/>
          <w:sz w:val="12"/>
        </w:rPr>
        <w:t>cf-art-5-inc-X</w:t>
      </w:r>
      <w:r>
        <w:rPr>
          <w:color w:val="003CA0"/>
          <w:sz w:val="12"/>
        </w:rPr>
        <w:t xml:space="preserve"> | HC 94.028</w:t>
      </w:r>
      <w:r>
        <w:rPr>
          <w:color w:val="003CA0"/>
          <w:sz w:val="12"/>
        </w:rPr>
        <w:t xml:space="preserve"> | rel. Cármen Lúcia</w:t>
      </w:r>
    </w:p>
    <w:p>
      <w:pPr>
        <w:ind w:left="288"/>
      </w:pPr>
      <w:r>
        <w:rPr>
          <w:color w:val="1E1E1E"/>
          <w:sz w:val="18"/>
        </w:rPr>
        <w:t>Não há nulidade na decisão que, embora sucinta, apresenta fundamentos essenciais para a decretação da quebra do sigilo telefônico, ressaltando, inclusive, que "o modus operandi dos envolvidos" "dificilmente" poderia "ser esclarecido por outros meios". As informações prestadas pelo juízo local não se prestam para suprir a falta de fundamentação da decisão questionada, mas podem ser consideradas para esclarecimento de fundamentos nela já contidos.</w:t>
      </w:r>
    </w:p>
    <w:p>
      <w:pPr>
        <w:ind w:left="288"/>
      </w:pPr>
      <w:r>
        <w:rPr>
          <w:b/>
          <w:color w:val="003CA0"/>
          <w:sz w:val="16"/>
        </w:rPr>
        <w:t>[HC 94.028, rel. min. Cármen Lúcia, j. 22-4-2008, 1ª T, DJE de 29-5-2009.]</w:t>
      </w:r>
    </w:p>
    <w:p>
      <w:pPr>
        <w:ind w:left="288"/>
      </w:pPr>
      <w:r>
        <w:rPr>
          <w:color w:val="8C8C8C"/>
          <w:sz w:val="12"/>
        </w:rPr>
        <w:t>cf-art-5-inc-X</w:t>
      </w:r>
      <w:r>
        <w:rPr>
          <w:color w:val="003CA0"/>
          <w:sz w:val="12"/>
        </w:rPr>
        <w:t xml:space="preserve"> | MS 22.801</w:t>
      </w:r>
      <w:r>
        <w:rPr>
          <w:color w:val="003CA0"/>
          <w:sz w:val="12"/>
        </w:rPr>
        <w:t xml:space="preserve"> | rel. Menezes Direito</w:t>
      </w:r>
    </w:p>
    <w:p>
      <w:pPr>
        <w:ind w:left="288"/>
      </w:pPr>
      <w:r>
        <w:rPr>
          <w:color w:val="1E1E1E"/>
          <w:sz w:val="18"/>
        </w:rPr>
        <w:t>A LC 105, de 10-1-2001, não conferiu ao TCU poderes para determinar a quebra do sigilo bancário de dados constantes do Banco Central do Brasil. O legislador conferiu esses poderes ao Poder Judiciário (art. 3º), ao Poder Legislativo Federal (art. 4º), bem como às CPIs, após prévia aprovação do pedido pelo plenário da Câmara dos Deputados, do Senado Federal ou do plenário de suas respectivas CPIs (§ 1º e § 2º do art. 4º). Embora as atividades do TCU, por sua natureza, verificação de contas e até mesmo o julgamento das contas das pessoas enumeradas no art. 71, II, da CF, justifiquem a eventual qu</w:t>
      </w:r>
    </w:p>
    <w:p>
      <w:pPr>
        <w:ind w:left="288"/>
      </w:pPr>
      <w:r>
        <w:rPr>
          <w:b/>
          <w:color w:val="003CA0"/>
          <w:sz w:val="16"/>
        </w:rPr>
        <w:t>[MS 22.801, rel. min. Menezes Direito, j. 17-12-2007, P, DJE de 14-3-2008.]</w:t>
      </w:r>
    </w:p>
    <w:p>
      <w:pPr>
        <w:ind w:left="288"/>
      </w:pPr>
      <w:r>
        <w:rPr>
          <w:color w:val="8C8C8C"/>
          <w:sz w:val="12"/>
        </w:rPr>
        <w:t>cf-art-5-inc-X</w:t>
      </w:r>
      <w:r>
        <w:rPr>
          <w:color w:val="003CA0"/>
          <w:sz w:val="12"/>
        </w:rPr>
        <w:t xml:space="preserve"> | MS 22.934</w:t>
      </w:r>
      <w:r>
        <w:rPr>
          <w:color w:val="003CA0"/>
          <w:sz w:val="12"/>
        </w:rPr>
        <w:t xml:space="preserve"> | rel. Joaquim Barbosa</w:t>
      </w:r>
    </w:p>
    <w:p>
      <w:pPr>
        <w:ind w:left="288"/>
      </w:pPr>
      <w:r>
        <w:rPr>
          <w:color w:val="1E1E1E"/>
          <w:sz w:val="18"/>
        </w:rPr>
        <w:t>= MS 22.934, rel. min. Joaquim Barbosa, j. 17-4-2012, 2ª T, DJE de 9-5-2012 (...) a Lei 9.296, de 24-7-1996, é categórica ao prever, no § 1º do art. 6º, que, no caso de a diligência possibilitar a gravação da comunicação interceptada, será determinada a sua transcrição. Assim, a formalidade imposta por lei é essencial à valia da prova, viabilizando-se, com isso, o conhecimento da conversação interceptada e, portanto, o exercício de direito de defesa pelo acusado, a atuação do próprio Ministério Público e do órgão julgador. Descabe cogitar, em substituição ao que previsto em lei, do acesso às f</w:t>
      </w:r>
    </w:p>
    <w:p>
      <w:pPr>
        <w:ind w:left="288"/>
      </w:pPr>
      <w:r>
        <w:rPr>
          <w:b/>
          <w:color w:val="003CA0"/>
          <w:sz w:val="16"/>
        </w:rPr>
        <w:t>[HC 83.983, rel. min. Marco Aurélio, j. 4-12-2007, 1ª T, DJE de 23-5-2008.]</w:t>
      </w:r>
    </w:p>
    <w:p>
      <w:pPr>
        <w:ind w:left="288"/>
      </w:pPr>
      <w:r>
        <w:rPr>
          <w:color w:val="8C8C8C"/>
          <w:sz w:val="12"/>
        </w:rPr>
        <w:t>cf-art-5-inc-X</w:t>
      </w:r>
      <w:r>
        <w:rPr>
          <w:color w:val="003CA0"/>
          <w:sz w:val="12"/>
        </w:rPr>
        <w:t xml:space="preserve"> | INQ 2.245</w:t>
      </w:r>
      <w:r>
        <w:rPr>
          <w:color w:val="003CA0"/>
          <w:sz w:val="12"/>
        </w:rPr>
        <w:t xml:space="preserve"> | rel. Joaquim Barbosa</w:t>
      </w:r>
    </w:p>
    <w:p>
      <w:pPr>
        <w:ind w:left="288"/>
      </w:pPr>
      <w:r>
        <w:rPr>
          <w:color w:val="1E1E1E"/>
          <w:sz w:val="18"/>
        </w:rPr>
        <w:t>Não procede a alegação feita pelo quinto acusado de que os dados relativos aos supostos empréstimos bancários contraídos com as duas instituições financeiras envolvidas teriam sido colhidos de modo ilegal, pois o Banco Central teria atendido diretamente a pedido do PGR sem que houvesse autorização judicial. Tais dados constam de relatórios de fiscalização do Banco Central, que foram requisitados pela CPMI dos Correios. No âmbito deste inquérito, o presidente do STF determinou o "compartilhamento de todas as informações bancárias já obtidas pela CPMI dos Correios" para análise em conjunto com o</w:t>
      </w:r>
    </w:p>
    <w:p>
      <w:pPr>
        <w:ind w:left="288"/>
      </w:pPr>
      <w:r>
        <w:rPr>
          <w:b/>
          <w:color w:val="003CA0"/>
          <w:sz w:val="16"/>
        </w:rPr>
        <w:t>[Inq 2.245, rel. min. Joaquim Barbosa, j. 28-8-2007, P, DJ de 9-11-2007.]</w:t>
      </w:r>
    </w:p>
    <w:p>
      <w:pPr>
        <w:ind w:left="288"/>
      </w:pPr>
      <w:r>
        <w:rPr>
          <w:color w:val="8C8C8C"/>
          <w:sz w:val="12"/>
        </w:rPr>
        <w:t>cf-art-5-inc-X</w:t>
      </w:r>
      <w:r>
        <w:rPr>
          <w:color w:val="003CA0"/>
          <w:sz w:val="12"/>
        </w:rPr>
        <w:t xml:space="preserve"> | RE 461.366</w:t>
      </w:r>
      <w:r>
        <w:rPr>
          <w:color w:val="003CA0"/>
          <w:sz w:val="12"/>
        </w:rPr>
        <w:t xml:space="preserve"> | rel. Marco Aurélio</w:t>
      </w:r>
    </w:p>
    <w:p>
      <w:pPr>
        <w:ind w:left="288"/>
      </w:pPr>
      <w:r>
        <w:rPr>
          <w:color w:val="1E1E1E"/>
          <w:sz w:val="18"/>
        </w:rPr>
        <w:t>Sigilo de dados. Atuação fiscalizadora do Banco Central. Afastamento. Inviabilidade. A atuação fiscalizadora do Banco Central do Brasil não encerra a possibilidade de, no campo administrativo, alcançar dados bancários de correntistas, afastando o sigilo previsto no inciso XII do art. 5º da CF.</w:t>
      </w:r>
    </w:p>
    <w:p>
      <w:pPr>
        <w:ind w:left="288"/>
      </w:pPr>
      <w:r>
        <w:rPr>
          <w:b/>
          <w:color w:val="003CA0"/>
          <w:sz w:val="16"/>
        </w:rPr>
        <w:t>[RE 461.366, rel. min. Marco Aurélio, j. 3-8-2007, 1ª T, DJ de 5-10-2007.]</w:t>
      </w:r>
    </w:p>
    <w:p>
      <w:pPr>
        <w:ind w:left="288"/>
      </w:pPr>
      <w:r>
        <w:rPr>
          <w:color w:val="8C8C8C"/>
          <w:sz w:val="12"/>
        </w:rPr>
        <w:t>cf-art-5-inc-X</w:t>
      </w:r>
      <w:r>
        <w:rPr>
          <w:color w:val="003CA0"/>
          <w:sz w:val="12"/>
        </w:rPr>
        <w:t xml:space="preserve"> | INQ 2.424</w:t>
      </w:r>
      <w:r>
        <w:rPr>
          <w:color w:val="003CA0"/>
          <w:sz w:val="12"/>
        </w:rPr>
        <w:t xml:space="preserve"> | rel. Cezar Peluso</w:t>
      </w:r>
    </w:p>
    <w:p>
      <w:pPr>
        <w:ind w:left="288"/>
      </w:pPr>
      <w:r>
        <w:rPr>
          <w:color w:val="1E1E1E"/>
          <w:sz w:val="18"/>
        </w:rPr>
        <w:t>Prova emprestada. (...) Dados obtidos em interceptação de comunicações telefônicas e em escutas ambientais, judicialmente autorizadas para produção de prova em investigação criminal ou em instrução processual penal, podem ser usados em procedimento administrativo disciplinar, contra a mesma ou as mesmas pessoas em relação às quais foram colhidos, ou contra outros servidores cujos supostos ilícitos teriam despontado à colheita dessa prova.</w:t>
      </w:r>
    </w:p>
    <w:p>
      <w:pPr>
        <w:ind w:left="288"/>
      </w:pPr>
      <w:r>
        <w:rPr>
          <w:b/>
          <w:color w:val="003CA0"/>
          <w:sz w:val="16"/>
        </w:rPr>
        <w:t>[Inq 2.424 QO-QO, rel. min. Cezar Peluso, j. 20-6-2007, P, DJ de 24-8-2007.]</w:t>
      </w:r>
    </w:p>
    <w:p>
      <w:pPr>
        <w:ind w:left="288"/>
      </w:pPr>
      <w:r>
        <w:rPr>
          <w:color w:val="8C8C8C"/>
          <w:sz w:val="12"/>
        </w:rPr>
        <w:t>cf-art-5-inc-X</w:t>
      </w:r>
      <w:r>
        <w:rPr>
          <w:color w:val="003CA0"/>
          <w:sz w:val="12"/>
        </w:rPr>
        <w:t xml:space="preserve"> | RMS 28.774</w:t>
      </w:r>
      <w:r>
        <w:rPr>
          <w:color w:val="003CA0"/>
          <w:sz w:val="12"/>
        </w:rPr>
        <w:t xml:space="preserve"> | rel. Marco Aurélio</w:t>
      </w:r>
    </w:p>
    <w:p>
      <w:pPr>
        <w:ind w:left="288"/>
      </w:pPr>
      <w:r>
        <w:rPr>
          <w:color w:val="1E1E1E"/>
          <w:sz w:val="18"/>
        </w:rPr>
        <w:t xml:space="preserve">= RMS 28.774, rel. min. Marco Aurélio, red. do ac. min. Roberto Barroso, j. 22-9-2015, 1ª T, DJE de 25-8-2016 Questão de ordem. Inquérito. Disponibilidade de informações em meio eletrônico. Possibilidade, ressalvados os documentos protegidos por sigilo bancário, fiscal ou telefônico. Questão de ordem resolvida no sentido de que, uma vez digitalizados os documentos constantes dos autos, para o fim de facilitar a notificação dos denunciados, é permitido sejam tais informações colocadas à disposição no sítio do STF na internet, excluídas as informações de conteúdo sigiloso e limitado o acesso às </w:t>
      </w:r>
    </w:p>
    <w:p>
      <w:pPr>
        <w:ind w:left="288"/>
      </w:pPr>
      <w:r>
        <w:rPr>
          <w:b/>
          <w:color w:val="003CA0"/>
          <w:sz w:val="16"/>
        </w:rPr>
        <w:t>[Inq 2.245 QO, rel. min. Joaquim Barbosa, j. 31-5-2006, P, DJ de 9-11-2007.]</w:t>
      </w:r>
    </w:p>
    <w:p>
      <w:pPr>
        <w:ind w:left="288"/>
      </w:pPr>
      <w:r>
        <w:rPr>
          <w:color w:val="8C8C8C"/>
          <w:sz w:val="12"/>
        </w:rPr>
        <w:t>cf-art-5-inc-X</w:t>
      </w:r>
      <w:r>
        <w:rPr>
          <w:color w:val="003CA0"/>
          <w:sz w:val="12"/>
        </w:rPr>
        <w:t xml:space="preserve"> | HC 83.966</w:t>
      </w:r>
      <w:r>
        <w:rPr>
          <w:color w:val="003CA0"/>
          <w:sz w:val="12"/>
        </w:rPr>
        <w:t xml:space="preserve"> | rel. Celso de Mello</w:t>
      </w:r>
    </w:p>
    <w:p>
      <w:pPr>
        <w:ind w:left="288"/>
      </w:pPr>
      <w:r>
        <w:rPr>
          <w:color w:val="1E1E1E"/>
          <w:sz w:val="18"/>
        </w:rPr>
        <w:t>A mera formulação, por representante do Ministério Público, de pedido de interceptação telefônica, para os fins a que se refere a Lei 9.296/1996, por traduzir simples postulação dependente de apreciação jurisdicional (CF, art. 5º, XII), não importa, só por si, em ofensa à liberdade de locomoção física de qualquer pessoa, descaracterizando-se, desse modo, a possibilidade de adequada utilização do remédio constitucional do habeas corpus.</w:t>
      </w:r>
    </w:p>
    <w:p>
      <w:pPr>
        <w:ind w:left="288"/>
      </w:pPr>
      <w:r>
        <w:rPr>
          <w:b/>
          <w:color w:val="003CA0"/>
          <w:sz w:val="16"/>
        </w:rPr>
        <w:t>[HC 83.966 AgR, rel. min. Celso de Mello, j. 23-6-2004, P, DJ de 25-11-2005.]</w:t>
      </w:r>
    </w:p>
    <w:p>
      <w:pPr>
        <w:ind w:left="288"/>
      </w:pPr>
      <w:r>
        <w:rPr>
          <w:color w:val="8C8C8C"/>
          <w:sz w:val="12"/>
        </w:rPr>
        <w:t>cf-art-5-inc-X</w:t>
      </w:r>
      <w:r>
        <w:rPr>
          <w:color w:val="003CA0"/>
          <w:sz w:val="12"/>
        </w:rPr>
        <w:t xml:space="preserve"> | CR 9.854</w:t>
      </w:r>
      <w:r>
        <w:rPr>
          <w:color w:val="003CA0"/>
          <w:sz w:val="12"/>
        </w:rPr>
        <w:t xml:space="preserve"> | rel. Marco Aurélio</w:t>
      </w:r>
    </w:p>
    <w:p>
      <w:pPr>
        <w:ind w:left="288"/>
      </w:pPr>
      <w:r>
        <w:rPr>
          <w:color w:val="1E1E1E"/>
          <w:sz w:val="18"/>
        </w:rPr>
        <w:t>Carta rogatória. Objeto. Dados de processos em curso no Brasil e coleta de depoimentos. O levantamento de dados constantes de processos em andamento no Brasil não implica a quebra do sigilo assegurado pela Carta da República, ante a publicidade que os reveste.</w:t>
      </w:r>
    </w:p>
    <w:p>
      <w:pPr>
        <w:ind w:left="288"/>
      </w:pPr>
      <w:r>
        <w:rPr>
          <w:b/>
          <w:color w:val="003CA0"/>
          <w:sz w:val="16"/>
        </w:rPr>
        <w:t>[CR 9.854 AgR, rel. min. Marco Aurélio, j. 28-5-2003, P, DJ de 27-6-2003.]</w:t>
      </w:r>
    </w:p>
    <w:p>
      <w:pPr>
        <w:ind w:left="288"/>
      </w:pPr>
      <w:r>
        <w:rPr>
          <w:color w:val="8C8C8C"/>
          <w:sz w:val="12"/>
        </w:rPr>
        <w:t>cf-art-5-inc-X</w:t>
      </w:r>
      <w:r>
        <w:rPr>
          <w:color w:val="003CA0"/>
          <w:sz w:val="12"/>
        </w:rPr>
        <w:t xml:space="preserve"> | HC 81.260</w:t>
      </w:r>
      <w:r>
        <w:rPr>
          <w:color w:val="003CA0"/>
          <w:sz w:val="12"/>
        </w:rPr>
        <w:t xml:space="preserve"> | rel. Sepúlveda Pertence</w:t>
      </w:r>
    </w:p>
    <w:p>
      <w:pPr>
        <w:ind w:left="288"/>
      </w:pPr>
      <w:r>
        <w:rPr>
          <w:color w:val="1E1E1E"/>
          <w:sz w:val="18"/>
        </w:rPr>
        <w:t>Interceptação telefônica: exigência de autorização do "juiz competente da ação principal" (Lei 9.296/1996, art. 1º): inteligência. Se se cuida de obter a autorização para a interceptação telefônica no curso de processo penal, não suscita dúvidas a regra de competência do art. 1º da Lei 9.296/1996: só ao juiz da ação penal condenatória – e que dirige toda a instrução – caberá deferir a medida cautelar incidente. Quando, no entanto, a interceptação telefônica constituir medida cautelar preventiva, ainda no curso das investigações criminais, a mesma norma de competência há de ser entendida e apli</w:t>
      </w:r>
    </w:p>
    <w:p>
      <w:pPr>
        <w:ind w:left="288"/>
      </w:pPr>
      <w:r>
        <w:rPr>
          <w:b/>
          <w:color w:val="003CA0"/>
          <w:sz w:val="16"/>
        </w:rPr>
        <w:t>[HC 81.260, rel. min. Sepúlveda Pertence, j. 14-11-2001, P, DJ de 19-4-2002.]</w:t>
      </w:r>
    </w:p>
    <w:p>
      <w:pPr>
        <w:ind w:left="288"/>
      </w:pPr>
      <w:r>
        <w:rPr>
          <w:color w:val="8C8C8C"/>
          <w:sz w:val="12"/>
        </w:rPr>
        <w:t>cf-art-5-inc-X</w:t>
      </w:r>
      <w:r>
        <w:rPr>
          <w:color w:val="003CA0"/>
          <w:sz w:val="12"/>
        </w:rPr>
        <w:t xml:space="preserve"> | MS 24.803</w:t>
      </w:r>
      <w:r>
        <w:rPr>
          <w:color w:val="003CA0"/>
          <w:sz w:val="12"/>
        </w:rPr>
        <w:t xml:space="preserve"> | rel. Joaquim Barbosa</w:t>
      </w:r>
    </w:p>
    <w:p>
      <w:pPr>
        <w:ind w:left="288"/>
      </w:pPr>
      <w:r>
        <w:rPr>
          <w:color w:val="1E1E1E"/>
          <w:sz w:val="18"/>
        </w:rPr>
        <w:t>= MS 24.803, rel. min. Joaquim Barbosa, j. 29-10-2008, P, DJE de 5-6-2009 Escuta gravada da comunicação telefônica com terceiro, que conteria evidência de quadrilha que integrariam: ilicitude, nas circunstâncias, com relação a ambos os interlocutores. A hipótese não configura a gravação da conversa telefônica própria por um dos interlocutores – cujo uso como prova o STF, em dadas circunstâncias, tem julgado lícito – mas, sim, escuta e gravação por terceiro de comunicação telefônica alheia, ainda que com a ciência ou mesmo a cooperação de um dos interlocutores: essa última, dada a intervenção d</w:t>
      </w:r>
    </w:p>
    <w:p>
      <w:pPr>
        <w:ind w:left="288"/>
      </w:pPr>
      <w:r>
        <w:rPr>
          <w:b/>
          <w:color w:val="003CA0"/>
          <w:sz w:val="16"/>
        </w:rPr>
        <w:t>[HC 80.949, rel. min. Sepúlveda Pertence, j. 30-10-2001, 1ª T, DJ de 14-12-2001.]</w:t>
      </w:r>
    </w:p>
    <w:p>
      <w:pPr>
        <w:ind w:left="288"/>
      </w:pPr>
      <w:r>
        <w:rPr>
          <w:color w:val="8C8C8C"/>
          <w:sz w:val="12"/>
        </w:rPr>
        <w:t>cf-art-5-inc-X</w:t>
      </w:r>
      <w:r>
        <w:rPr>
          <w:color w:val="003CA0"/>
          <w:sz w:val="12"/>
        </w:rPr>
        <w:t xml:space="preserve"> | HC 75.338</w:t>
      </w:r>
      <w:r>
        <w:rPr>
          <w:color w:val="003CA0"/>
          <w:sz w:val="12"/>
        </w:rPr>
        <w:t xml:space="preserve"> | rel. Nelson Jobim</w:t>
      </w:r>
    </w:p>
    <w:p>
      <w:pPr>
        <w:ind w:left="288"/>
      </w:pPr>
      <w:r>
        <w:rPr>
          <w:color w:val="1E1E1E"/>
          <w:sz w:val="18"/>
        </w:rPr>
        <w:t>É lícita a gravação de conversa telefônica feita por um dos interlocutores, ou com sua autorização, sem ciência do outro, quando há investida criminosa deste último. É inconsistente e fere o senso comum falar-se em violação do direito à privacidade quando interlocutor grava diálogo com sequestradores, estelionatários ou qualquer tipo de chantagista.</w:t>
      </w:r>
    </w:p>
    <w:p>
      <w:pPr>
        <w:ind w:left="288"/>
      </w:pPr>
      <w:r>
        <w:rPr>
          <w:b/>
          <w:color w:val="003CA0"/>
          <w:sz w:val="16"/>
        </w:rPr>
        <w:t>[HC 75.338, rel. min. Nelson Jobim, j. 11-3-1998, P, DJ de 25-9-1998.]</w:t>
      </w:r>
    </w:p>
    <w:p>
      <w:pPr>
        <w:ind w:left="288"/>
      </w:pPr>
      <w:r>
        <w:rPr>
          <w:color w:val="8C8C8C"/>
          <w:sz w:val="12"/>
        </w:rPr>
        <w:t>cf-art-5-inc-X</w:t>
      </w:r>
      <w:r>
        <w:rPr>
          <w:color w:val="003CA0"/>
          <w:sz w:val="12"/>
        </w:rPr>
        <w:t xml:space="preserve"> | HC 74.678</w:t>
      </w:r>
      <w:r>
        <w:rPr>
          <w:color w:val="003CA0"/>
          <w:sz w:val="12"/>
        </w:rPr>
        <w:t xml:space="preserve"> | rel. Moreira Alves</w:t>
      </w:r>
    </w:p>
    <w:p>
      <w:pPr>
        <w:ind w:left="288"/>
      </w:pPr>
      <w:r>
        <w:rPr>
          <w:color w:val="1E1E1E"/>
          <w:sz w:val="18"/>
        </w:rPr>
        <w:t>= HC 74.678, rel. min. Moreira Alves, j. 10-6-1997, 1ª T, DJ de 15-8-1997 Vide AI 769.798 AgR, rel. min. Cármen Lúcia, j. 1º-2-2011, 1ª T, DJE de 23-2-2011 Vide RE 212.081, rel. min. Octavio Gallotti, j. 5-12-1997, 1ª T, DJ de 27-3-1998 A prova ilícita, caracterizada pela escuta telefônica, não sendo a única produzida no procedimento investigatório, não enseja desprezarem-se as demais que, por ela não contaminadas e dela não decorrentes, formam o conjunto probatório da autoria e materialidade do delito. (...) Sem que possa colher-se dos elementos do processo a resultante consequência de que to</w:t>
      </w:r>
    </w:p>
    <w:p>
      <w:pPr>
        <w:ind w:left="288"/>
      </w:pPr>
      <w:r>
        <w:rPr>
          <w:b/>
          <w:color w:val="003CA0"/>
          <w:sz w:val="16"/>
        </w:rPr>
        <w:t>[HC 75.497, rel. min. Maurício Corrêa, j. 14-10-1997, 2ª T, DJ de 9-5-2003.]</w:t>
      </w:r>
    </w:p>
    <w:p>
      <w:pPr>
        <w:ind w:left="288"/>
      </w:pPr>
      <w:r>
        <w:rPr>
          <w:color w:val="8C8C8C"/>
          <w:sz w:val="12"/>
        </w:rPr>
        <w:t>cf-art-5-inc-X</w:t>
      </w:r>
      <w:r>
        <w:rPr>
          <w:color w:val="003CA0"/>
          <w:sz w:val="12"/>
        </w:rPr>
        <w:t xml:space="preserve"> | MS 21.729</w:t>
      </w:r>
    </w:p>
    <w:p>
      <w:pPr>
        <w:ind w:left="288"/>
      </w:pPr>
      <w:r>
        <w:rPr>
          <w:color w:val="1E1E1E"/>
          <w:sz w:val="18"/>
        </w:rPr>
        <w:t>Da minha leitura, no inciso XII da Lei Fundamental, o que se protege, e de modo absoluto, até em relação ao Poder Judiciário, é a comunicação "de dados", e não os "dados", o que tornaria impossível qualquer investigação administrativa, fosse qual fosse.</w:t>
      </w:r>
    </w:p>
    <w:p>
      <w:pPr>
        <w:ind w:left="288"/>
      </w:pPr>
      <w:r>
        <w:rPr>
          <w:b/>
          <w:color w:val="003CA0"/>
          <w:sz w:val="16"/>
        </w:rPr>
        <w:t>[MS 21.729, red. do ac. min. Néri da Silveira, voto do min. Sepúlveda Pertence, j. 5-10-1995, P, DJ de 19-10-2001.]</w:t>
      </w:r>
    </w:p>
    <w:p>
      <w:pPr>
        <w:ind w:left="288"/>
      </w:pPr>
      <w:r>
        <w:rPr>
          <w:color w:val="8C8C8C"/>
          <w:sz w:val="12"/>
        </w:rPr>
        <w:t>cf-art-5-inc-X</w:t>
      </w:r>
      <w:r>
        <w:rPr>
          <w:color w:val="003CA0"/>
          <w:sz w:val="12"/>
        </w:rPr>
        <w:t xml:space="preserve"> | HC 70.814</w:t>
      </w:r>
      <w:r>
        <w:rPr>
          <w:color w:val="003CA0"/>
          <w:sz w:val="12"/>
        </w:rPr>
        <w:t xml:space="preserve"> | rel. Celso de Mello</w:t>
      </w:r>
    </w:p>
    <w:p>
      <w:pPr>
        <w:ind w:left="288"/>
      </w:pPr>
      <w:r>
        <w:rPr>
          <w:color w:val="1E1E1E"/>
          <w:sz w:val="18"/>
        </w:rPr>
        <w:t>A administração penitenciária, com fundamento em razões de segurança pública, de disciplina prisional ou de preservação da ordem jurídica, pode, sempre excepcionalmente, e desde que respeitada a norma inscrita no art. 41, parágrafo único, da Lei 7.210/1984, proceder à interceptação da correspondência remetida pelos sentenciados, eis que a cláusula tutelar da inviolabilidade do sigilo epistolar não pode constituir instrumento de salvaguarda de práticas ilícitas.]</w:t>
      </w:r>
    </w:p>
    <w:p>
      <w:pPr>
        <w:ind w:left="288"/>
      </w:pPr>
      <w:r>
        <w:rPr>
          <w:b/>
          <w:color w:val="003CA0"/>
          <w:sz w:val="16"/>
        </w:rPr>
        <w:t>[HC 70.814, rel. min. Celso de Mello, j. 1º-3-1994, 1ª T, DJ de 24-6-1994.]</w:t>
      </w:r>
    </w:p>
    <w:p>
      <w:pPr>
        <w:ind w:left="288"/>
      </w:pPr>
      <w:r>
        <w:rPr>
          <w:color w:val="8C8C8C"/>
          <w:sz w:val="12"/>
        </w:rPr>
        <w:t>cf-art-5-inc-X</w:t>
      </w:r>
      <w:r>
        <w:rPr>
          <w:color w:val="003CA0"/>
          <w:sz w:val="12"/>
        </w:rPr>
        <w:t xml:space="preserve"> | HC 69.818</w:t>
      </w:r>
      <w:r>
        <w:rPr>
          <w:color w:val="003CA0"/>
          <w:sz w:val="12"/>
        </w:rPr>
        <w:t xml:space="preserve"> | rel. Sepúlveda Pertence</w:t>
      </w:r>
    </w:p>
    <w:p>
      <w:pPr>
        <w:ind w:left="288"/>
      </w:pPr>
      <w:r>
        <w:rPr>
          <w:color w:val="1E1E1E"/>
          <w:sz w:val="18"/>
        </w:rPr>
        <w:t>À espécie – gravação de conversa pessoal entre indiciados presos e autoridades policiais, que os primeiros desconheceriam – não se poderia opor o princípio do sigilo das comunicações telefônicas – base dos precedentes recordados – mas, em tese, o direito ao silêncio (CF, art. 5º, LXIII), corolário do princípio nemo tenetur se detegere, o qual entretanto, não aproveita a terceiros, objeto da delação de corréus; acresce que, no caso, à luz da prova, a sentença concluiu que os indiciados estavam cientes da gravação e afastou a hipótese de coação psicológica.</w:t>
      </w:r>
    </w:p>
    <w:p>
      <w:pPr>
        <w:ind w:left="288"/>
      </w:pPr>
      <w:r>
        <w:rPr>
          <w:b/>
          <w:color w:val="003CA0"/>
          <w:sz w:val="16"/>
        </w:rPr>
        <w:t>[HC 69.818, rel. min. Sepúlveda Pertence, j. 3-11-1992, 1ª T, DJ de 27-11-1992.]</w:t>
      </w:r>
    </w:p>
    <w:p>
      <w:pPr>
        <w:ind w:left="288"/>
      </w:pPr>
      <w:r>
        <w:rPr>
          <w:color w:val="8C8C8C"/>
          <w:sz w:val="12"/>
        </w:rPr>
        <w:t>cf-art-5-inc-XIII</w:t>
      </w:r>
      <w:r>
        <w:rPr>
          <w:color w:val="003CA0"/>
          <w:sz w:val="12"/>
        </w:rPr>
        <w:t xml:space="preserve"> | ADI 6.260</w:t>
      </w:r>
      <w:r>
        <w:rPr>
          <w:color w:val="003CA0"/>
          <w:sz w:val="12"/>
        </w:rPr>
        <w:t xml:space="preserve"> | rel. Dias Toffoli</w:t>
      </w:r>
    </w:p>
    <w:p>
      <w:pPr>
        <w:ind w:left="288"/>
      </w:pPr>
      <w:r>
        <w:rPr>
          <w:color w:val="1E1E1E"/>
          <w:sz w:val="18"/>
        </w:rPr>
        <w:t>Os arts. 1º e 3º da Lei nº 9.696/98 prescrevem apenas que o profissional de educação física precisa ser registrado em conselho profissional, por se tratar de profissão regulamentada, e que ele terá determinadas competências. É certo que tais medidas são proporcionais, necessárias e instrumentais à fiscalização da atividade regulamentada, tendo em vista a segurança e o bem-estar da população em geral.</w:t>
      </w:r>
    </w:p>
    <w:p>
      <w:pPr>
        <w:ind w:left="288"/>
      </w:pPr>
      <w:r>
        <w:rPr>
          <w:b/>
          <w:color w:val="003CA0"/>
          <w:sz w:val="16"/>
        </w:rPr>
        <w:t>[ADI 6.260, rel. min. Dias Toffoli, j. 28.10.2024, P, DJE de 12.11.2024.]</w:t>
      </w:r>
    </w:p>
    <w:p>
      <w:pPr>
        <w:ind w:left="288"/>
      </w:pPr>
      <w:r>
        <w:rPr>
          <w:color w:val="8C8C8C"/>
          <w:sz w:val="12"/>
        </w:rPr>
        <w:t>cf-art-5-inc-XIII</w:t>
      </w:r>
      <w:r>
        <w:rPr>
          <w:color w:val="003CA0"/>
          <w:sz w:val="12"/>
        </w:rPr>
        <w:t xml:space="preserve"> | ADI 4.849</w:t>
      </w:r>
      <w:r>
        <w:rPr>
          <w:color w:val="003CA0"/>
          <w:sz w:val="12"/>
        </w:rPr>
        <w:t xml:space="preserve"> | rel. Luiz Fux</w:t>
      </w:r>
    </w:p>
    <w:p>
      <w:pPr>
        <w:ind w:left="288"/>
      </w:pPr>
      <w:r>
        <w:rPr>
          <w:color w:val="1E1E1E"/>
          <w:sz w:val="18"/>
        </w:rPr>
        <w:t>Limitações impostas pelo legislador ao alcance da legislação das cooperativas de trabalho. Restrição efetuada pelo legislador à luz de critérios técnicos. Respeito aos princípios atinentes ao regime jurídico das cooperativas. Observância do princípio da proporcionalidade. Inocorrência de violação ao princípio da livre iniciativa e ao livre exercício de atividade profissional.</w:t>
      </w:r>
    </w:p>
    <w:p>
      <w:pPr>
        <w:ind w:left="288"/>
      </w:pPr>
      <w:r>
        <w:rPr>
          <w:b/>
          <w:color w:val="003CA0"/>
          <w:sz w:val="16"/>
        </w:rPr>
        <w:t>[ADI 4.849, rel. min. Luiz Fux, j. 07.05.2024, P, DJE de 22.05.2024.]</w:t>
      </w:r>
    </w:p>
    <w:p>
      <w:pPr>
        <w:ind w:left="288"/>
      </w:pPr>
      <w:r>
        <w:rPr>
          <w:color w:val="8C8C8C"/>
          <w:sz w:val="12"/>
        </w:rPr>
        <w:t>cf-art-5-inc-XIII</w:t>
      </w:r>
      <w:r>
        <w:rPr>
          <w:color w:val="003CA0"/>
          <w:sz w:val="12"/>
        </w:rPr>
        <w:t xml:space="preserve"> | ADI 7.020</w:t>
      </w:r>
      <w:r>
        <w:rPr>
          <w:color w:val="003CA0"/>
          <w:sz w:val="12"/>
        </w:rPr>
        <w:t xml:space="preserve"> | rel. Edson Fachin</w:t>
      </w:r>
    </w:p>
    <w:p>
      <w:pPr>
        <w:ind w:left="288"/>
      </w:pPr>
      <w:r>
        <w:rPr>
          <w:color w:val="1E1E1E"/>
          <w:sz w:val="18"/>
        </w:rPr>
        <w:t>No julgamento do RE nº. 647885 (Tema 732 da sistemática de repercussão geral), este Supremo Tribunal Federal considerou que a suspensão de exercício profissional em virtude de não pagamento de anuidade da Ordem dos Advogados do Brasil configura sanção política. Por outro lado, a exigência do adimplemento das anuidades para votar nas eleições internas da OAB consiste em medida razoável, que não traduz restrição ao exercício profissional e de atividade econômica, mas sim em norma de organização do processo eleitoral da entidade. O estabelecimento da quitação das anuidades como critério para vota</w:t>
      </w:r>
    </w:p>
    <w:p>
      <w:pPr>
        <w:ind w:left="288"/>
      </w:pPr>
      <w:r>
        <w:rPr>
          <w:b/>
          <w:color w:val="003CA0"/>
          <w:sz w:val="16"/>
        </w:rPr>
        <w:t>[ADI 7.020, rel. min. Edson Fachin, j. 17-12-2022, P, DJE de 6-2-2023.]</w:t>
      </w:r>
    </w:p>
    <w:p>
      <w:pPr>
        <w:ind w:left="288"/>
      </w:pPr>
      <w:r>
        <w:rPr>
          <w:color w:val="8C8C8C"/>
          <w:sz w:val="12"/>
        </w:rPr>
        <w:t>cf-art-5-inc-XIII</w:t>
      </w:r>
      <w:r>
        <w:rPr>
          <w:color w:val="003CA0"/>
          <w:sz w:val="12"/>
        </w:rPr>
        <w:t xml:space="preserve"> | ADC 66</w:t>
      </w:r>
      <w:r>
        <w:rPr>
          <w:color w:val="003CA0"/>
          <w:sz w:val="12"/>
        </w:rPr>
        <w:t xml:space="preserve"> | rel. Cármen Lúcia</w:t>
      </w:r>
    </w:p>
    <w:p>
      <w:pPr>
        <w:ind w:left="288"/>
      </w:pPr>
      <w:r>
        <w:rPr>
          <w:color w:val="1E1E1E"/>
          <w:sz w:val="18"/>
        </w:rPr>
        <w:t>A norma do art. 129 da Lei 11.196/2005 harmoniza-se com as diretrizes constitucionais, especialmente com o inc. IV do art. 1º da Constituição da República, pelo qual estabeleceu a liberdade de iniciativa situando-a como fundamento da República Federativa do Brasil. Dessa liberdade econômica emanam a garantia de livre exercício de qualquer trabalho, ofício ou profissão e o livre exercício de qualquer atividade econômica, consagrados respectivamente no inc. XIII do art. 5º e no parágrafo único do art. 170 da Constituição da República.</w:t>
      </w:r>
    </w:p>
    <w:p>
      <w:pPr>
        <w:ind w:left="288"/>
      </w:pPr>
      <w:r>
        <w:rPr>
          <w:b/>
          <w:color w:val="003CA0"/>
          <w:sz w:val="16"/>
        </w:rPr>
        <w:t>[ADC 66, rel. min. Cármen Lúcia, j. 21-12-2020, P, DJE de 19-3-2021.]</w:t>
      </w:r>
    </w:p>
    <w:p>
      <w:pPr>
        <w:ind w:left="288"/>
      </w:pPr>
      <w:r>
        <w:rPr>
          <w:color w:val="8C8C8C"/>
          <w:sz w:val="12"/>
        </w:rPr>
        <w:t>cf-art-5-inc-XIII</w:t>
      </w:r>
      <w:r>
        <w:rPr>
          <w:color w:val="003CA0"/>
          <w:sz w:val="12"/>
        </w:rPr>
        <w:t xml:space="preserve"> | ADPF 419</w:t>
      </w:r>
      <w:r>
        <w:rPr>
          <w:color w:val="003CA0"/>
          <w:sz w:val="12"/>
        </w:rPr>
        <w:t xml:space="preserve"> | rel. Edson Fachin</w:t>
      </w:r>
    </w:p>
    <w:p>
      <w:pPr>
        <w:ind w:left="288"/>
      </w:pPr>
      <w:r>
        <w:rPr>
          <w:color w:val="1E1E1E"/>
          <w:sz w:val="18"/>
        </w:rPr>
        <w:t>É legítima restrição legislativa ao exercício profissional quando indispensável à viabilização da proteção de bens jurídicos de interesse público igualmente resguardados pela própria Constituição, de que são exemplos a segurança, a saúde, a ordem pública, a incolumidade individual e patrimonial. Para tanto, requer-se que a disciplina legislativa tendente a condicionar o exercício profissional atenda aos critérios de adequação e de razoabilidade e seja justificada por razão de interesse público e sustentada em parâmetros técnicos idôneos à mitigação de riscos sociais próprios do exercício da pr</w:t>
      </w:r>
    </w:p>
    <w:p>
      <w:pPr>
        <w:ind w:left="288"/>
      </w:pPr>
      <w:r>
        <w:rPr>
          <w:b/>
          <w:color w:val="003CA0"/>
          <w:sz w:val="16"/>
        </w:rPr>
        <w:t>[ADPF 419, rel. min. Edson Fachin, j. 15-12-2020, P, DJE de 8-2-2021.]</w:t>
      </w:r>
    </w:p>
    <w:p>
      <w:pPr>
        <w:ind w:left="288"/>
      </w:pPr>
      <w:r>
        <w:rPr>
          <w:color w:val="8C8C8C"/>
          <w:sz w:val="12"/>
        </w:rPr>
        <w:t>cf-art-5-inc-XIII</w:t>
      </w:r>
      <w:r>
        <w:rPr>
          <w:color w:val="003CA0"/>
          <w:sz w:val="12"/>
        </w:rPr>
        <w:t xml:space="preserve"> | ADI 3.880</w:t>
      </w:r>
      <w:r>
        <w:rPr>
          <w:color w:val="003CA0"/>
          <w:sz w:val="12"/>
        </w:rPr>
        <w:t xml:space="preserve"> | rel. Edson Fachin</w:t>
      </w:r>
    </w:p>
    <w:p>
      <w:pPr>
        <w:ind w:left="288"/>
      </w:pPr>
      <w:r>
        <w:rPr>
          <w:color w:val="1E1E1E"/>
          <w:sz w:val="18"/>
        </w:rPr>
        <w:t>Lei Federal 11.419/2006. Informatização do processo judicial. (...) O art. 5º, XIII, da Constituição da República não restringe a disciplina legal das qualificações profissionais da advocacia ao Estatuto da OAB, de forma que pode outra lei precisar novo requisito para o exercício da atividade. As normas impugnadas, ao disciplinarem regras quanto ao cadastramento e à obtenção de senha para acesso ao sistema interno de tribunais, não têm por fim fiscalizar a prática da advocacia, mas viabilizar a organização dos órgãos judiciários e o adequado funcionamento de seus trabalhos, motivo pelo qual se</w:t>
      </w:r>
    </w:p>
    <w:p>
      <w:pPr>
        <w:ind w:left="288"/>
      </w:pPr>
      <w:r>
        <w:rPr>
          <w:b/>
          <w:color w:val="003CA0"/>
          <w:sz w:val="16"/>
        </w:rPr>
        <w:t>[ADI 3.880, rel. min. Edson Fachin, j. 21-2-2020, P, DJE de 8-7-2020.]</w:t>
      </w:r>
    </w:p>
    <w:p>
      <w:pPr>
        <w:ind w:left="288"/>
      </w:pPr>
      <w:r>
        <w:rPr>
          <w:color w:val="8C8C8C"/>
          <w:sz w:val="12"/>
        </w:rPr>
        <w:t>cf-art-5-inc-XIII</w:t>
      </w:r>
      <w:r>
        <w:rPr>
          <w:color w:val="003CA0"/>
          <w:sz w:val="12"/>
        </w:rPr>
        <w:t xml:space="preserve"> | ADPF 183</w:t>
      </w:r>
      <w:r>
        <w:rPr>
          <w:color w:val="003CA0"/>
          <w:sz w:val="12"/>
        </w:rPr>
        <w:t xml:space="preserve"> | rel. Alexandre de Moraes</w:t>
      </w:r>
    </w:p>
    <w:p>
      <w:pPr>
        <w:ind w:left="288"/>
      </w:pPr>
      <w:r>
        <w:rPr>
          <w:color w:val="1E1E1E"/>
          <w:sz w:val="18"/>
        </w:rPr>
        <w:t>As limitações ao livre exercício das profissões serão legítimas apenas quando o inadequado exercício de determinada atividade possa vir a causar danos a terceiros e desde que obedeçam a critérios de adequação e razoabilidade, o que não ocorre em relação ao exercício da profissão de músico, ausente qualquer interesse público na sua restrição. A existência de um conselho profissional com competências para selecionar, disciplinar e fiscalizar o exercício da profissão de músico (art. 1º), para proceder a registros profissionais obrigatórios, para expedir carteiras profissionais obrigatórias (arts.</w:t>
      </w:r>
    </w:p>
    <w:p>
      <w:pPr>
        <w:ind w:left="288"/>
      </w:pPr>
      <w:r>
        <w:rPr>
          <w:b/>
          <w:color w:val="003CA0"/>
          <w:sz w:val="16"/>
        </w:rPr>
        <w:t>[ADPF 183, rel. min. Alexandre de Moraes, j. 27-9-2019, P, DJE de 18-11-2019.]</w:t>
      </w:r>
    </w:p>
    <w:p>
      <w:pPr>
        <w:ind w:left="288"/>
      </w:pPr>
      <w:r>
        <w:rPr>
          <w:color w:val="8C8C8C"/>
          <w:sz w:val="12"/>
        </w:rPr>
        <w:t>cf-art-5-inc-XIII</w:t>
      </w:r>
      <w:r>
        <w:rPr>
          <w:color w:val="003CA0"/>
          <w:sz w:val="12"/>
        </w:rPr>
        <w:t xml:space="preserve"> | ADPF 449</w:t>
      </w:r>
      <w:r>
        <w:rPr>
          <w:color w:val="003CA0"/>
          <w:sz w:val="12"/>
        </w:rPr>
        <w:t xml:space="preserve"> | rel. Luiz Fux</w:t>
      </w:r>
    </w:p>
    <w:p>
      <w:pPr>
        <w:ind w:left="288"/>
      </w:pPr>
      <w:r>
        <w:rPr>
          <w:color w:val="1E1E1E"/>
          <w:sz w:val="18"/>
        </w:rPr>
        <w:t>O motorista particular, em sua atividade laboral, é protegido pela liberdade fundamental insculpida no art. 5º, XIII, da Carta Magna, submetendo-se apenas à regulação proporcionalmente definida em lei federal, pelo que o art. 3º, VIII, da Lei Federal 12.965/2014 (Marco Civil da Internet) e a Lei Federal 12.587/2012, alterada pela Lei 13.640 de 26 de março de 2018, garantem a operação de serviços remunerados de transporte de passageiros por aplicativos. A liberdade de iniciativa garantida pelos artigos 1º, IV, e 170 da Constituição brasileira consubstancia cláusula de proteção destacada no orde</w:t>
      </w:r>
    </w:p>
    <w:p>
      <w:pPr>
        <w:ind w:left="288"/>
      </w:pPr>
      <w:r>
        <w:rPr>
          <w:b/>
          <w:color w:val="003CA0"/>
          <w:sz w:val="16"/>
        </w:rPr>
        <w:t>[ADPF 449, rel. min. Luiz Fux, j. 8-5-2019, P, DJE de 2-9-2019.]</w:t>
      </w:r>
    </w:p>
    <w:p>
      <w:pPr>
        <w:ind w:left="288"/>
      </w:pPr>
      <w:r>
        <w:rPr>
          <w:color w:val="8C8C8C"/>
          <w:sz w:val="12"/>
        </w:rPr>
        <w:t>cf-art-5-inc-XIII</w:t>
      </w:r>
      <w:r>
        <w:rPr>
          <w:color w:val="003CA0"/>
          <w:sz w:val="12"/>
        </w:rPr>
        <w:t xml:space="preserve"> | ADI 5.035</w:t>
      </w:r>
    </w:p>
    <w:p>
      <w:pPr>
        <w:ind w:left="288"/>
      </w:pPr>
      <w:r>
        <w:rPr>
          <w:color w:val="1E1E1E"/>
          <w:sz w:val="18"/>
        </w:rPr>
        <w:t>Programa Mais Médicos. Conversão da Medida Provisória 621/2013 na Lei 12.871/13. Relevância e urgência configuradas pela carência de profissonais médicos em diversas regiões do país. Parceria acadêmica que atende ao binômio ensino-serviço. (...) A grave carência de assistência médica em várias regiões do país admite a excepcionalidade legal de exigência de revalidação do diploma estrangeiro por ato normativo de mesma hierarquia daquele que a instituiu. A norma vincula a prestação de serviços por médicos estrangeiros ou brasileiros diplomados no exterior à supervisão por médicos brasileiros, no</w:t>
      </w:r>
    </w:p>
    <w:p>
      <w:pPr>
        <w:ind w:left="288"/>
      </w:pPr>
      <w:r>
        <w:rPr>
          <w:b/>
          <w:color w:val="003CA0"/>
          <w:sz w:val="16"/>
        </w:rPr>
        <w:t>[ADI 5.035, red. do ac. min. Alexandre de Moraes, j. 30-11-2017, P, DJE de 29-7-2020.]</w:t>
      </w:r>
    </w:p>
    <w:p>
      <w:pPr>
        <w:ind w:left="288"/>
      </w:pPr>
      <w:r>
        <w:rPr>
          <w:color w:val="8C8C8C"/>
          <w:sz w:val="12"/>
        </w:rPr>
        <w:t>cf-art-5-inc-XIII</w:t>
      </w:r>
      <w:r>
        <w:rPr>
          <w:color w:val="003CA0"/>
          <w:sz w:val="12"/>
        </w:rPr>
        <w:t xml:space="preserve"> | ADI 803</w:t>
      </w:r>
      <w:r>
        <w:rPr>
          <w:color w:val="003CA0"/>
          <w:sz w:val="12"/>
        </w:rPr>
        <w:t xml:space="preserve"> | rel. Gilmar Mendes</w:t>
      </w:r>
    </w:p>
    <w:p>
      <w:pPr>
        <w:ind w:left="288"/>
      </w:pPr>
      <w:r>
        <w:rPr>
          <w:color w:val="1E1E1E"/>
          <w:sz w:val="18"/>
        </w:rPr>
        <w:t>Lei 8.234, de 17 de setembro de 1991. Expressão "privativas" contida no caput do art. 3º. Profissão de nutricionista. Constitucionalidade. Atividades eminentemente técnicas que não se confundem com as desempenhadas por profissionais de nível médio. Ressalva quanto a outras categorias, tais como nutrólogos, bioquímicos e gastroenterologistas. Inexistência de restrição ao exercício de trabalho, ofício ou profissão em desconformidade com a Constituição.</w:t>
      </w:r>
    </w:p>
    <w:p>
      <w:pPr>
        <w:ind w:left="288"/>
      </w:pPr>
      <w:r>
        <w:rPr>
          <w:b/>
          <w:color w:val="003CA0"/>
          <w:sz w:val="16"/>
        </w:rPr>
        <w:t>[ADI 803, rel. min. Gilmar Mendes, j. 28-9-2017, P, DJE de 23-11-2017.]</w:t>
      </w:r>
    </w:p>
    <w:p>
      <w:pPr>
        <w:ind w:left="288"/>
      </w:pPr>
      <w:r>
        <w:rPr>
          <w:color w:val="8C8C8C"/>
          <w:sz w:val="12"/>
        </w:rPr>
        <w:t>cf-art-5-inc-XIII</w:t>
      </w:r>
      <w:r>
        <w:rPr>
          <w:color w:val="003CA0"/>
          <w:sz w:val="12"/>
        </w:rPr>
        <w:t xml:space="preserve"> | ADI 3.541</w:t>
      </w:r>
      <w:r>
        <w:rPr>
          <w:color w:val="003CA0"/>
          <w:sz w:val="12"/>
        </w:rPr>
        <w:t xml:space="preserve"> | rel. Dias Toffoli</w:t>
      </w:r>
    </w:p>
    <w:p>
      <w:pPr>
        <w:ind w:left="288"/>
      </w:pPr>
      <w:r>
        <w:rPr>
          <w:color w:val="1E1E1E"/>
          <w:sz w:val="18"/>
        </w:rPr>
        <w:t>A vedação do exercício da atividade de advocacia por aqueles que desempenham, direta ou indiretamente, serviço de caráter policial, prevista no art. 28, V, da Lei 8.906/1994, não se presta para fazer qualquer distinção qualificativa entre a atividade policial e a advocacia. Cada qual presta serviços imensamente relevantes no âmbito social, havendo, inclusive, previsão expressa na Carta Magna a respeito dessas atividades. O que pretendeu o legislador foi estabelecer cláusula de incompatibilidade de exercício simultâneo das referidas atividades, por entendê-lo prejudicial ao cumprimento das resp</w:t>
      </w:r>
    </w:p>
    <w:p>
      <w:pPr>
        <w:ind w:left="288"/>
      </w:pPr>
      <w:r>
        <w:rPr>
          <w:b/>
          <w:color w:val="003CA0"/>
          <w:sz w:val="16"/>
        </w:rPr>
        <w:t>[ADI 3.541, rel. min. Dias Toffoli, j. 12-2-2014, P, DJE de 24-3-2014.]</w:t>
      </w:r>
    </w:p>
    <w:p>
      <w:pPr>
        <w:ind w:left="288"/>
      </w:pPr>
      <w:r>
        <w:rPr>
          <w:color w:val="8C8C8C"/>
          <w:sz w:val="12"/>
        </w:rPr>
        <w:t>cf-art-5-inc-XIII</w:t>
      </w:r>
      <w:r>
        <w:rPr>
          <w:color w:val="003CA0"/>
          <w:sz w:val="12"/>
        </w:rPr>
        <w:t xml:space="preserve"> | RE 199.088</w:t>
      </w:r>
      <w:r>
        <w:rPr>
          <w:color w:val="003CA0"/>
          <w:sz w:val="12"/>
        </w:rPr>
        <w:t xml:space="preserve"> | rel. Carlos Velloso</w:t>
      </w:r>
    </w:p>
    <w:p>
      <w:pPr>
        <w:ind w:left="288"/>
      </w:pPr>
      <w:r>
        <w:rPr>
          <w:color w:val="1E1E1E"/>
          <w:sz w:val="18"/>
        </w:rPr>
        <w:t>Vide RE 199.088, rel. min. Carlos Velloso, j. 1º-10-1996, 2ª T, DJ de 16-4-1999 Ao garantir o livre exercício de qualquer trabalho, ofício ou profissão, o art. 5º, XIII, da CF, não o faz de forma absoluta, pelo que a observância dos recolhimentos tributários no desempenho dessas atividades impõe-se legal e legitimamente. A hipótese de retenção temporária de mercadorias prevista no art. 163, § 7º, da Constituição de São Paulo é providência para a fiscalização do cumprimento da legislação tributária nesse território e consubstancia exercício do poder de polícia da administração pública fazendári</w:t>
      </w:r>
    </w:p>
    <w:p>
      <w:pPr>
        <w:ind w:left="288"/>
      </w:pPr>
      <w:r>
        <w:rPr>
          <w:b/>
          <w:color w:val="003CA0"/>
          <w:sz w:val="16"/>
        </w:rPr>
        <w:t>[ADI 395, rel. min. Cármen Lúcia, j. 17-5-2007, P, DJ de 17-8-2007.]</w:t>
      </w:r>
    </w:p>
    <w:p>
      <w:pPr>
        <w:ind w:left="288"/>
      </w:pPr>
      <w:r>
        <w:rPr>
          <w:color w:val="8C8C8C"/>
          <w:sz w:val="12"/>
        </w:rPr>
        <w:t>cf-art-5-inc-XIII</w:t>
      </w:r>
      <w:r>
        <w:rPr>
          <w:color w:val="003CA0"/>
          <w:sz w:val="12"/>
        </w:rPr>
        <w:t xml:space="preserve"> | ADI 1.717</w:t>
      </w:r>
      <w:r>
        <w:rPr>
          <w:color w:val="003CA0"/>
          <w:sz w:val="12"/>
        </w:rPr>
        <w:t xml:space="preserve"> | rel. Sydney Sanches</w:t>
      </w:r>
    </w:p>
    <w:p>
      <w:pPr>
        <w:ind w:left="288"/>
      </w:pPr>
      <w:r>
        <w:rPr>
          <w:color w:val="1E1E1E"/>
          <w:sz w:val="18"/>
        </w:rPr>
        <w:t>Ação direta de inconstitucionalidade do art. 58 e seus parágrafos da Lei federal 9.649, de 27-5-1998, que tratam dos serviços de fiscalização de profissões regulamentadas. (...) a ação direta é julgada procedente (...) declarando-se a inconstitucionalidade do caput e dos §§ 1º, 2º, 4º, 5º, 6º, 7º e 8º do mesmo art. 58. Isso porque a interpretação conjugada dos arts. 5º, XIII; 22, XVI; 21, XXIV; 70, parágrafo único; 149; e 175 da CF leva à conclusão, no sentido da indelegabilidade, a uma entidade privada, de atividade típica de Estado, que abrange até poder de polícia, de tributar e de punir, n</w:t>
      </w:r>
    </w:p>
    <w:p>
      <w:pPr>
        <w:ind w:left="288"/>
      </w:pPr>
      <w:r>
        <w:rPr>
          <w:b/>
          <w:color w:val="003CA0"/>
          <w:sz w:val="16"/>
        </w:rPr>
        <w:t>[ADI 1.717, rel. min. Sydney Sanches, j. 7-11-2002, P, DJ de 28-3-2003.]</w:t>
      </w:r>
    </w:p>
    <w:p>
      <w:pPr>
        <w:ind w:left="288"/>
      </w:pPr>
      <w:r>
        <w:rPr>
          <w:color w:val="8C8C8C"/>
          <w:sz w:val="12"/>
        </w:rPr>
        <w:t>cf-art-5-inc-XIII</w:t>
      </w:r>
      <w:r>
        <w:rPr>
          <w:color w:val="003CA0"/>
          <w:sz w:val="12"/>
        </w:rPr>
        <w:t xml:space="preserve"> | RE 539.224</w:t>
      </w:r>
      <w:r>
        <w:rPr>
          <w:color w:val="003CA0"/>
          <w:sz w:val="12"/>
        </w:rPr>
        <w:t xml:space="preserve"> | rel. Luiz Fux</w:t>
      </w:r>
    </w:p>
    <w:p>
      <w:pPr>
        <w:ind w:left="288"/>
      </w:pPr>
      <w:r>
        <w:rPr>
          <w:color w:val="1E1E1E"/>
          <w:sz w:val="18"/>
        </w:rPr>
        <w:t>= RE 539.224, rel. min. Luiz Fux, j. 22-5-2012, 1ª T, DJE de 18-6-2012 = RE 611.947 AgR, rel. min. Ricardo Lewandowski, j. 4-10-2011, 2ª T, DJE de 19-10-2011 Resolução (...) do Conselho Monetário Nacional. Regulação das auditorias independentes nas instituições do sistema financeiro. (...) Ato normativo que, ao regular forma de controle do Banco Central do Brasil sobre as entidades do sistema financeiro, não veda o exercício de profissão nem impede o desenvolvimento de atividade econômica; não havendo falar, igualmente, em contrariedade ao mencionado princípio constitucional.</w:t>
      </w:r>
    </w:p>
    <w:p>
      <w:pPr>
        <w:ind w:left="288"/>
      </w:pPr>
      <w:r>
        <w:rPr>
          <w:b/>
          <w:color w:val="003CA0"/>
          <w:sz w:val="16"/>
        </w:rPr>
        <w:t>[ADI 2.317 MC, rel. min. Ilmar Galvão, j. 19-12-2000, P, DJ de 23-3-2001.]</w:t>
      </w:r>
    </w:p>
    <w:p>
      <w:pPr>
        <w:ind w:left="288"/>
      </w:pPr>
      <w:r>
        <w:rPr>
          <w:color w:val="8C8C8C"/>
          <w:sz w:val="12"/>
        </w:rPr>
        <w:t>cf-art-5-inc-XIII</w:t>
      </w:r>
      <w:r>
        <w:rPr>
          <w:color w:val="003CA0"/>
          <w:sz w:val="12"/>
        </w:rPr>
        <w:t xml:space="preserve"> | ADI 1.723</w:t>
      </w:r>
      <w:r>
        <w:rPr>
          <w:color w:val="003CA0"/>
          <w:sz w:val="12"/>
        </w:rPr>
        <w:t xml:space="preserve"> | rel. Carlos Velloso</w:t>
      </w:r>
    </w:p>
    <w:p>
      <w:pPr>
        <w:ind w:left="288"/>
      </w:pPr>
      <w:r>
        <w:rPr>
          <w:color w:val="1E1E1E"/>
          <w:sz w:val="18"/>
        </w:rPr>
        <w:t>(...) se a licitação tem por finalidade a escolha de concessionárias dos serviços públicos de inspeção de segurança de frota de veículos do Estado, parece-me adequada a exclusão da licitação de empresas do ramo automobilístico e das transportadoras, dado que essas comumente são proprietárias de muitos veículos. A elas seria possível vistoriar seus próprios veículos e os veículos de empresas transportadoras concorrentes? Com tal providência, não me parece ocorrer ofensa ao princípio da igualdade, mesmo porque está-se tratando desiguais desigualmente (CF, art. 5º, caput), e é exatamente assim qu</w:t>
      </w:r>
    </w:p>
    <w:p>
      <w:pPr>
        <w:ind w:left="288"/>
      </w:pPr>
      <w:r>
        <w:rPr>
          <w:b/>
          <w:color w:val="003CA0"/>
          <w:sz w:val="16"/>
        </w:rPr>
        <w:t>[ADI 1.723 MC, rel. min. Carlos Velloso, j. 16-4-1998, P, DJ de 19-12-2001.]</w:t>
      </w:r>
    </w:p>
    <w:p>
      <w:pPr>
        <w:ind w:left="288"/>
      </w:pPr>
      <w:r>
        <w:rPr>
          <w:color w:val="8C8C8C"/>
          <w:sz w:val="12"/>
        </w:rPr>
        <w:t>cf-art-5-inc-XIII</w:t>
      </w:r>
      <w:r>
        <w:rPr>
          <w:color w:val="003CA0"/>
          <w:sz w:val="12"/>
        </w:rPr>
        <w:t xml:space="preserve"> | RE 1.530.083</w:t>
      </w:r>
      <w:r>
        <w:rPr>
          <w:color w:val="003CA0"/>
          <w:sz w:val="12"/>
        </w:rPr>
        <w:t xml:space="preserve"> | rel. Luiz Fux</w:t>
      </w:r>
    </w:p>
    <w:p>
      <w:pPr>
        <w:ind w:left="288"/>
      </w:pPr>
      <w:r>
        <w:rPr>
          <w:color w:val="1E1E1E"/>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w:t>
      </w:r>
    </w:p>
    <w:p>
      <w:pPr>
        <w:ind w:left="288"/>
      </w:pPr>
      <w:r>
        <w:rPr>
          <w:b/>
          <w:color w:val="003CA0"/>
          <w:sz w:val="16"/>
        </w:rPr>
        <w:t>[RE 1.530.083, rel. min. Luiz Fux, j. 27.08.2025, P, DJE de 29.10.2025, Tema 1.388, com mérito julgado.]</w:t>
      </w:r>
    </w:p>
    <w:p>
      <w:pPr>
        <w:ind w:left="288"/>
      </w:pPr>
      <w:r>
        <w:rPr>
          <w:color w:val="8C8C8C"/>
          <w:sz w:val="12"/>
        </w:rPr>
        <w:t>cf-art-5-inc-XIII</w:t>
      </w:r>
      <w:r>
        <w:rPr>
          <w:color w:val="003CA0"/>
          <w:sz w:val="12"/>
        </w:rPr>
        <w:t xml:space="preserve"> | RE 680.871</w:t>
      </w:r>
      <w:r>
        <w:rPr>
          <w:color w:val="003CA0"/>
          <w:sz w:val="12"/>
        </w:rPr>
        <w:t xml:space="preserve"> | rel. Dias Toffoli</w:t>
      </w:r>
    </w:p>
    <w:p>
      <w:pPr>
        <w:ind w:left="288"/>
      </w:pPr>
      <w:r>
        <w:rPr>
          <w:color w:val="1E1E1E"/>
          <w:sz w:val="18"/>
        </w:rPr>
        <w:t>“Não possui repercussão geral a discussão sobre o desligamento voluntário do serviço militar, antes do cumprimento de lapso temporal legalmente previsto, de praça das Forças Armadas que ingressa na carreira por meio de concurso público”.</w:t>
      </w:r>
    </w:p>
    <w:p>
      <w:pPr>
        <w:ind w:left="288"/>
      </w:pPr>
      <w:r>
        <w:rPr>
          <w:b/>
          <w:color w:val="003CA0"/>
          <w:sz w:val="16"/>
        </w:rPr>
        <w:t>[RE 680.871, rel. min. Dias Toffoli, j. 07.05.2024, P, DJE de 09.08.2024, Tema 574, com repercussão geral negada.]</w:t>
      </w:r>
    </w:p>
    <w:p>
      <w:pPr>
        <w:ind w:left="288"/>
      </w:pPr>
      <w:r>
        <w:rPr>
          <w:color w:val="8C8C8C"/>
          <w:sz w:val="12"/>
        </w:rPr>
        <w:t>cf-art-5-inc-XIII</w:t>
      </w:r>
      <w:r>
        <w:rPr>
          <w:color w:val="003CA0"/>
          <w:sz w:val="12"/>
        </w:rPr>
        <w:t xml:space="preserve"> | RE 1.263.641</w:t>
      </w:r>
    </w:p>
    <w:p>
      <w:pPr>
        <w:ind w:left="288"/>
      </w:pPr>
      <w:r>
        <w:rPr>
          <w:color w:val="1E1E1E"/>
          <w:sz w:val="18"/>
        </w:rPr>
        <w:t>A cláusula da liberdade de profissão (art. 5º, XIII, da CF) assegura a brasileiros e a estrangeiros residentes no país o direito constitucional a exercer qualquer trabalho, ofício ou profissão, atendidas as qualificações profissionais que a lei estabelecer. (...) O Decreto 21.981/1932 dispõe, em seus artigos 6º, 7º e 8º, que “o leiloeiro, depois de habilitado devidamente perante as Juntas Comerciais fica obrigado, mediante despacho das mesmas Juntas, a prestar fiança, em dinheiro ou em apólices da Dívida Pública federal (…)”; “a fiança responde pelas dívidas ou responsabilidades do leiloeiro”;</w:t>
      </w:r>
    </w:p>
    <w:p>
      <w:pPr>
        <w:ind w:left="288"/>
      </w:pPr>
      <w:r>
        <w:rPr>
          <w:b/>
          <w:color w:val="003CA0"/>
          <w:sz w:val="16"/>
        </w:rPr>
        <w:t>[RE 1.263.641, red. do ac. min.. Alexandre de Moraes, j. 13-10-2020, P, DJE de 28-10-2020. Tema 445, com mérito julgado.]</w:t>
      </w:r>
    </w:p>
    <w:p>
      <w:pPr>
        <w:ind w:left="288"/>
      </w:pPr>
      <w:r>
        <w:rPr>
          <w:color w:val="8C8C8C"/>
          <w:sz w:val="12"/>
        </w:rPr>
        <w:t>cf-art-5-inc-XIII</w:t>
      </w:r>
      <w:r>
        <w:rPr>
          <w:color w:val="003CA0"/>
          <w:sz w:val="12"/>
        </w:rPr>
        <w:t xml:space="preserve"> | RE 902.261</w:t>
      </w:r>
      <w:r>
        <w:rPr>
          <w:color w:val="003CA0"/>
          <w:sz w:val="12"/>
        </w:rPr>
        <w:t xml:space="preserve"> | rel. Marco Aurélio</w:t>
      </w:r>
    </w:p>
    <w:p>
      <w:pPr>
        <w:ind w:left="288"/>
      </w:pPr>
      <w:r>
        <w:rPr>
          <w:color w:val="1E1E1E"/>
          <w:sz w:val="18"/>
        </w:rPr>
        <w:t>‘Os artigos 23 e 27 da Instrução 308/1999, da Comissão de Valores Mobiliários, ao estabelecerem restrições razoáveis, proporcionais e adequadas ao exercício da atividade de auditoria independente, prestada às companhias sujeitas à sua fiscalização, são constitucionais, à luz dos arts. 5º, incs. II e XIII, 84, incs. II e VI, 87, parágrafo único e inc. II, 88, 170 e 174 da Constituição Federal de 1988 ‘.</w:t>
      </w:r>
    </w:p>
    <w:p>
      <w:pPr>
        <w:ind w:left="288"/>
      </w:pPr>
      <w:r>
        <w:rPr>
          <w:b/>
          <w:color w:val="003CA0"/>
          <w:sz w:val="16"/>
        </w:rPr>
        <w:t>[RE 902.261, rel. min. Marco Aurélio, j. 22-9-2020, P, DJE de 9-10-2020. Tema 969, com mérito julgado.]</w:t>
      </w:r>
    </w:p>
    <w:p>
      <w:pPr>
        <w:ind w:left="288"/>
      </w:pPr>
      <w:r>
        <w:rPr>
          <w:color w:val="8C8C8C"/>
          <w:sz w:val="12"/>
        </w:rPr>
        <w:t>cf-art-5-inc-XIII</w:t>
      </w:r>
      <w:r>
        <w:rPr>
          <w:color w:val="003CA0"/>
          <w:sz w:val="12"/>
        </w:rPr>
        <w:t xml:space="preserve"> | RE 1.156.197</w:t>
      </w:r>
      <w:r>
        <w:rPr>
          <w:color w:val="003CA0"/>
          <w:sz w:val="12"/>
        </w:rPr>
        <w:t xml:space="preserve"> | rel. Marco Aurélio</w:t>
      </w:r>
    </w:p>
    <w:p>
      <w:pPr>
        <w:ind w:left="288"/>
      </w:pPr>
      <w:r>
        <w:rPr>
          <w:color w:val="1E1E1E"/>
          <w:sz w:val="18"/>
        </w:rPr>
        <w:t>Surgem constitucionais os artigos 5º e 6º, inciso I, da Lei 13.021/2014, no que previsto ser do farmacêutico a responsabilidade técnica por drogaria (...).</w:t>
      </w:r>
    </w:p>
    <w:p>
      <w:pPr>
        <w:ind w:left="288"/>
      </w:pPr>
      <w:r>
        <w:rPr>
          <w:b/>
          <w:color w:val="003CA0"/>
          <w:sz w:val="16"/>
        </w:rPr>
        <w:t>[RE 1.156.197, rel. min. Marco Aurélio, j. 24-8-2020, P, DJE de 17-9-2020. Tema 1.049, com mérito julgado.]</w:t>
      </w:r>
    </w:p>
    <w:p>
      <w:pPr>
        <w:ind w:left="288"/>
      </w:pPr>
      <w:r>
        <w:rPr>
          <w:color w:val="8C8C8C"/>
          <w:sz w:val="12"/>
        </w:rPr>
        <w:t>cf-art-5-inc-XIII</w:t>
      </w:r>
      <w:r>
        <w:rPr>
          <w:color w:val="003CA0"/>
          <w:sz w:val="12"/>
        </w:rPr>
        <w:t xml:space="preserve"> | RE 647.885</w:t>
      </w:r>
      <w:r>
        <w:rPr>
          <w:color w:val="003CA0"/>
          <w:sz w:val="12"/>
        </w:rPr>
        <w:t xml:space="preserve"> | rel. Edson Fachin</w:t>
      </w:r>
    </w:p>
    <w:p>
      <w:pPr>
        <w:ind w:left="288"/>
      </w:pPr>
      <w:r>
        <w:rPr>
          <w:color w:val="1E1E1E"/>
          <w:sz w:val="18"/>
        </w:rPr>
        <w:t>É inconstitucional a suspensão realizada por conselho de fiscalização profissional do exercício laboral de seus inscritos por inadimplência de anuidades, pois a medida consiste em sanção política em matéria tributária.</w:t>
      </w:r>
    </w:p>
    <w:p>
      <w:pPr>
        <w:ind w:left="288"/>
      </w:pPr>
      <w:r>
        <w:rPr>
          <w:b/>
          <w:color w:val="003CA0"/>
          <w:sz w:val="16"/>
        </w:rPr>
        <w:t>[RE 647.885, rel. min. Edson Fachin, j. 27-4-2020, P, DJE de 19-5-2020, Tema 732, com mérito julgado.]</w:t>
      </w:r>
    </w:p>
    <w:p>
      <w:pPr>
        <w:ind w:left="288"/>
      </w:pPr>
      <w:r>
        <w:rPr>
          <w:color w:val="8C8C8C"/>
          <w:sz w:val="12"/>
        </w:rPr>
        <w:t>cf-art-5-inc-XIII</w:t>
      </w:r>
      <w:r>
        <w:rPr>
          <w:color w:val="003CA0"/>
          <w:sz w:val="12"/>
        </w:rPr>
        <w:t xml:space="preserve"> | RE 607.107</w:t>
      </w:r>
      <w:r>
        <w:rPr>
          <w:color w:val="003CA0"/>
          <w:sz w:val="12"/>
        </w:rPr>
        <w:t xml:space="preserve"> | rel. Roberto Barroso</w:t>
      </w:r>
    </w:p>
    <w:p>
      <w:pPr>
        <w:ind w:left="288"/>
      </w:pPr>
      <w:r>
        <w:rPr>
          <w:color w:val="1E1E1E"/>
          <w:sz w:val="18"/>
        </w:rPr>
        <w:t>É constitucional a imposição da pena de suspensão de habilitação para dirigir veículo automotor ao motorista profissional condenado por homicídio culposo no trânsito.</w:t>
      </w:r>
    </w:p>
    <w:p>
      <w:pPr>
        <w:ind w:left="288"/>
      </w:pPr>
      <w:r>
        <w:rPr>
          <w:b/>
          <w:color w:val="003CA0"/>
          <w:sz w:val="16"/>
        </w:rPr>
        <w:t>[RE 607.107, rel. min. Roberto Barroso, j. 12-2-2020, P, DJE de 14-4-2020. Tema 486, com mérito julgado.]</w:t>
      </w:r>
    </w:p>
    <w:p>
      <w:pPr>
        <w:ind w:left="288"/>
      </w:pPr>
      <w:r>
        <w:rPr>
          <w:color w:val="8C8C8C"/>
          <w:sz w:val="12"/>
        </w:rPr>
        <w:t>cf-art-5-inc-XIII</w:t>
      </w:r>
      <w:r>
        <w:rPr>
          <w:color w:val="003CA0"/>
          <w:sz w:val="12"/>
        </w:rPr>
        <w:t xml:space="preserve"> | RE 808.424</w:t>
      </w:r>
      <w:r>
        <w:rPr>
          <w:color w:val="003CA0"/>
          <w:sz w:val="12"/>
        </w:rPr>
        <w:t xml:space="preserve"> | rel. Marco Aurélio</w:t>
      </w:r>
    </w:p>
    <w:p>
      <w:pPr>
        <w:ind w:left="288"/>
      </w:pPr>
      <w:r>
        <w:rPr>
          <w:color w:val="1E1E1E"/>
          <w:sz w:val="18"/>
        </w:rPr>
        <w:t>É inconstitucional, sob o ângulo da liberdade fundamental do exercício da profissão e do devido processo legal, preceito normativo a versar previsão de cancelamento automático do registro em conselho profissional, ante a inadimplência da anuidade, ausente prévia oitiva do associado.</w:t>
      </w:r>
    </w:p>
    <w:p>
      <w:pPr>
        <w:ind w:left="288"/>
      </w:pPr>
      <w:r>
        <w:rPr>
          <w:b/>
          <w:color w:val="003CA0"/>
          <w:sz w:val="16"/>
        </w:rPr>
        <w:t>[RE 808.424, rel. min. Marco Aurélio, j. 19-12-2019, P, DJE de 30-4-2020. Tema 757, com mérito julgado.]</w:t>
      </w:r>
    </w:p>
    <w:p>
      <w:pPr>
        <w:ind w:left="288"/>
      </w:pPr>
      <w:r>
        <w:rPr>
          <w:color w:val="8C8C8C"/>
          <w:sz w:val="12"/>
        </w:rPr>
        <w:t>cf-art-5-inc-XIII</w:t>
      </w:r>
      <w:r>
        <w:rPr>
          <w:color w:val="003CA0"/>
          <w:sz w:val="12"/>
        </w:rPr>
        <w:t xml:space="preserve"> | RE 414.426</w:t>
      </w:r>
      <w:r>
        <w:rPr>
          <w:color w:val="003CA0"/>
          <w:sz w:val="12"/>
        </w:rPr>
        <w:t xml:space="preserve"> | rel. Ellen Gracie</w:t>
      </w:r>
    </w:p>
    <w:p>
      <w:pPr>
        <w:ind w:left="288"/>
      </w:pPr>
      <w:r>
        <w:rPr>
          <w:color w:val="1E1E1E"/>
          <w:sz w:val="18"/>
        </w:rPr>
        <w:t>O Plenário do STF, no julgamento do RE 414.426, rel. min. Ellen Gracie, DJE de 10-10-2011, firmou o entendimento de que a atividade de músico é manifestação artística protegida pela garantia da liberdade de expressão, sendo, por isso, incompatível com a CF de 1988 a exigência de inscrição na Ordem dos Músicos do Brasil, bem como de pagamento de anuidade, para o exercício de tal profissão. Recurso extraordinário provido, com o reconhecimento da repercussão geral do tema e a reafirmação da jurisprudência sobre a matéria.</w:t>
      </w:r>
    </w:p>
    <w:p>
      <w:pPr>
        <w:ind w:left="288"/>
      </w:pPr>
      <w:r>
        <w:rPr>
          <w:b/>
          <w:color w:val="003CA0"/>
          <w:sz w:val="16"/>
        </w:rPr>
        <w:t>[RE 795.467 RG, rel. min. Teori Zavascki, j. 5-6-2014, P, DJE de 24-6-2014. Tema 738, com mérito julgado.]</w:t>
      </w:r>
    </w:p>
    <w:p>
      <w:pPr>
        <w:ind w:left="288"/>
      </w:pPr>
      <w:r>
        <w:rPr>
          <w:color w:val="8C8C8C"/>
          <w:sz w:val="12"/>
        </w:rPr>
        <w:t>cf-art-5-inc-XIII</w:t>
      </w:r>
      <w:r>
        <w:rPr>
          <w:color w:val="003CA0"/>
          <w:sz w:val="12"/>
        </w:rPr>
        <w:t xml:space="preserve"> | RE 603.583</w:t>
      </w:r>
      <w:r>
        <w:rPr>
          <w:color w:val="003CA0"/>
          <w:sz w:val="12"/>
        </w:rPr>
        <w:t xml:space="preserve"> | rel. Marco Aurélio</w:t>
      </w:r>
    </w:p>
    <w:p>
      <w:pPr>
        <w:ind w:left="288"/>
      </w:pPr>
      <w:r>
        <w:rPr>
          <w:color w:val="1E1E1E"/>
          <w:sz w:val="18"/>
        </w:rPr>
        <w:t>Alcança-se a qualificação de bacharel em direito mediante conclusão do curso respectivo e colação de grau. (...) O Exame de Ordem (...) mostra-se consentâneo com a CF, que remete às qualificações previstas em lei.</w:t>
      </w:r>
    </w:p>
    <w:p>
      <w:pPr>
        <w:ind w:left="288"/>
      </w:pPr>
      <w:r>
        <w:rPr>
          <w:b/>
          <w:color w:val="003CA0"/>
          <w:sz w:val="16"/>
        </w:rPr>
        <w:t>[RE 603.583, rel. min. Marco Aurélio, j. 26-10-2011, P, DJE de 25-5-2012. Tema 241, com mérito julgado.]</w:t>
      </w:r>
    </w:p>
    <w:p>
      <w:pPr>
        <w:ind w:left="288"/>
      </w:pPr>
      <w:r>
        <w:rPr>
          <w:color w:val="8C8C8C"/>
          <w:sz w:val="12"/>
        </w:rPr>
        <w:t>cf-art-5-inc-XIII</w:t>
      </w:r>
      <w:r>
        <w:rPr>
          <w:color w:val="003CA0"/>
          <w:sz w:val="12"/>
        </w:rPr>
        <w:t xml:space="preserve"> | RE 1.530.083</w:t>
      </w:r>
      <w:r>
        <w:rPr>
          <w:color w:val="003CA0"/>
          <w:sz w:val="12"/>
        </w:rPr>
        <w:t xml:space="preserve"> | rel. Luiz Fux</w:t>
      </w:r>
    </w:p>
    <w:p>
      <w:pPr>
        <w:ind w:left="288"/>
      </w:pPr>
      <w:r>
        <w:rPr>
          <w:color w:val="1E1E1E"/>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w:t>
      </w:r>
    </w:p>
    <w:p>
      <w:pPr>
        <w:ind w:left="288"/>
      </w:pPr>
      <w:r>
        <w:rPr>
          <w:b/>
          <w:color w:val="003CA0"/>
          <w:sz w:val="16"/>
        </w:rPr>
        <w:t>[RE 1.530.083, rel. min. Luiz Fux, j. 27.08.2025, P, DJE de 29.10.2025, Tema 1.388, com mérito julgado.]</w:t>
      </w:r>
    </w:p>
    <w:p>
      <w:pPr>
        <w:ind w:left="288"/>
      </w:pPr>
      <w:r>
        <w:rPr>
          <w:color w:val="8C8C8C"/>
          <w:sz w:val="12"/>
        </w:rPr>
        <w:t>cf-art-5-inc-XIII</w:t>
      </w:r>
      <w:r>
        <w:rPr>
          <w:color w:val="003CA0"/>
          <w:sz w:val="12"/>
        </w:rPr>
        <w:t xml:space="preserve"> | MS 39.378</w:t>
      </w:r>
      <w:r>
        <w:rPr>
          <w:color w:val="003CA0"/>
          <w:sz w:val="12"/>
        </w:rPr>
        <w:t xml:space="preserve"> | rel. Luiz Fux</w:t>
      </w:r>
    </w:p>
    <w:p>
      <w:pPr>
        <w:ind w:left="288"/>
      </w:pPr>
      <w:r>
        <w:rPr>
          <w:color w:val="1E1E1E"/>
          <w:sz w:val="18"/>
        </w:rPr>
        <w:t>O livre exercício da profissão e das liberdades comunicativas não é, contudo, absoluto e deve observar limites constitucionais e legais, sendo possível a responsabilização civil, penal e administrativa por atos ilícitos eventualmente praticados. Há maior tolerância quanto a matérias de cunho potencialmente lesivo à honra dos agentes públicos, especialmente quando existente interesse público no conteúdo, no entanto, não lhes é negada a inviolabilidade das comunicações telefônicas (ou por dados) nem o núcleo essencial do direito à privacidade. (...) Deferimento monocrático de liminar, ad referen</w:t>
      </w:r>
    </w:p>
    <w:p>
      <w:pPr>
        <w:ind w:left="288"/>
      </w:pPr>
      <w:r>
        <w:rPr>
          <w:b/>
          <w:color w:val="003CA0"/>
          <w:sz w:val="16"/>
        </w:rPr>
        <w:t>[MS 39.378 MC-REF, rel. min. Luiz Fux, j. 2-10-2023, P, DJE de 23-10-2023.]</w:t>
      </w:r>
    </w:p>
    <w:p>
      <w:pPr>
        <w:ind w:left="288"/>
      </w:pPr>
      <w:r>
        <w:rPr>
          <w:color w:val="8C8C8C"/>
          <w:sz w:val="12"/>
        </w:rPr>
        <w:t>cf-art-5-inc-XIII</w:t>
      </w:r>
      <w:r>
        <w:rPr>
          <w:color w:val="003CA0"/>
          <w:sz w:val="12"/>
        </w:rPr>
        <w:t xml:space="preserve"> | ADPF 131.</w:t>
      </w:r>
      <w:r>
        <w:rPr>
          <w:color w:val="003CA0"/>
          <w:sz w:val="12"/>
        </w:rPr>
        <w:t xml:space="preserve"> | rel. Gilmar Mendes</w:t>
      </w:r>
    </w:p>
    <w:p>
      <w:pPr>
        <w:ind w:left="288"/>
      </w:pPr>
      <w:r>
        <w:rPr>
          <w:color w:val="1E1E1E"/>
          <w:sz w:val="18"/>
        </w:rPr>
        <w:t>Matéria constitucional. Optometrista. Limitação ao exercício da profissão. Decretos 20.931/1932 e 24.492/1934. Possibilidade. Normas recepcionadas pelas Constituições posteriores às legislações e pela Constituição Federal de 1988. ADPF 131. Reserva legal qualificada pela necessidade de qualificação profissional. Atividade com potencial lesivo. Limitação por imperativos técnico-profissionais, referentes à saúde pública. Ausência de violação à liberdade profissional.</w:t>
      </w:r>
    </w:p>
    <w:p>
      <w:pPr>
        <w:ind w:left="288"/>
      </w:pPr>
      <w:r>
        <w:rPr>
          <w:b/>
          <w:color w:val="003CA0"/>
          <w:sz w:val="16"/>
        </w:rPr>
        <w:t>[ARE 972.009 AgR-ED, rel. min. Gilmar Mendes, j. 30-11-2020, 2ª T, DJE de 3-2-2020.]</w:t>
      </w:r>
    </w:p>
    <w:p>
      <w:pPr>
        <w:ind w:left="288"/>
      </w:pPr>
      <w:r>
        <w:rPr>
          <w:color w:val="8C8C8C"/>
          <w:sz w:val="12"/>
        </w:rPr>
        <w:t>cf-art-5-inc-XIII</w:t>
      </w:r>
      <w:r>
        <w:rPr>
          <w:color w:val="003CA0"/>
          <w:sz w:val="12"/>
        </w:rPr>
        <w:t xml:space="preserve"> | MI 6.113</w:t>
      </w:r>
      <w:r>
        <w:rPr>
          <w:color w:val="003CA0"/>
          <w:sz w:val="12"/>
        </w:rPr>
        <w:t xml:space="preserve"> | rel. Cármen Lúcia</w:t>
      </w:r>
    </w:p>
    <w:p>
      <w:pPr>
        <w:ind w:left="288"/>
      </w:pPr>
      <w:r>
        <w:rPr>
          <w:color w:val="1E1E1E"/>
          <w:sz w:val="18"/>
        </w:rPr>
        <w:t>O art. 5º, XIII, da Constituição da República é norma de aplicação imediata e eficácia contida que pode ser restringida pela legislação infraconstitucional. Inexistindo lei regulamentando o exercício da atividade profissional dos substituídos, é livre o seu exercício.</w:t>
      </w:r>
    </w:p>
    <w:p>
      <w:pPr>
        <w:ind w:left="288"/>
      </w:pPr>
      <w:r>
        <w:rPr>
          <w:b/>
          <w:color w:val="003CA0"/>
          <w:sz w:val="16"/>
        </w:rPr>
        <w:t>[MI 6.113 AgR, rel. min. Cármen Lúcia, j. 22-5-2014, P, DJE de 13-6-2014.]</w:t>
      </w:r>
    </w:p>
    <w:p>
      <w:pPr>
        <w:ind w:left="288"/>
      </w:pPr>
      <w:r>
        <w:rPr>
          <w:color w:val="8C8C8C"/>
          <w:sz w:val="12"/>
        </w:rPr>
        <w:t>cf-art-5-inc-XIII</w:t>
      </w:r>
      <w:r>
        <w:rPr>
          <w:color w:val="003CA0"/>
          <w:sz w:val="12"/>
        </w:rPr>
        <w:t xml:space="preserve"> | MI 2.227</w:t>
      </w:r>
      <w:r>
        <w:rPr>
          <w:color w:val="003CA0"/>
          <w:sz w:val="12"/>
        </w:rPr>
        <w:t xml:space="preserve"> | rel. Ricardo Lewandowski</w:t>
      </w:r>
    </w:p>
    <w:p>
      <w:pPr>
        <w:ind w:left="288"/>
      </w:pPr>
      <w:r>
        <w:rPr>
          <w:color w:val="1E1E1E"/>
          <w:sz w:val="18"/>
        </w:rPr>
        <w:t>Não há qualquer ausência de norma regulamentadora que torne inviável o exercício profissional dos graduados em direito. O impetrante busca, em verdade, a declaração de inconstitucionalidade do exame de ordem para inscrição na OAB – providência que não cabe nesta via.</w:t>
      </w:r>
    </w:p>
    <w:p>
      <w:pPr>
        <w:ind w:left="288"/>
      </w:pPr>
      <w:r>
        <w:rPr>
          <w:b/>
          <w:color w:val="003CA0"/>
          <w:sz w:val="16"/>
        </w:rPr>
        <w:t>[MI 2.227 AgR, rel. min. Ricardo Lewandowski, j. 24-10-2013, P, DJE de 14-11-2013.]</w:t>
      </w:r>
    </w:p>
    <w:p>
      <w:pPr>
        <w:ind w:left="288"/>
      </w:pPr>
      <w:r>
        <w:rPr>
          <w:color w:val="8C8C8C"/>
          <w:sz w:val="12"/>
        </w:rPr>
        <w:t>cf-art-5-inc-XIII</w:t>
      </w:r>
      <w:r>
        <w:rPr>
          <w:color w:val="003CA0"/>
          <w:sz w:val="12"/>
        </w:rPr>
        <w:t xml:space="preserve"> | HC 95.595</w:t>
      </w:r>
      <w:r>
        <w:rPr>
          <w:color w:val="003CA0"/>
          <w:sz w:val="12"/>
        </w:rPr>
        <w:t xml:space="preserve"> | rel. Eros Grau</w:t>
      </w:r>
    </w:p>
    <w:p>
      <w:pPr>
        <w:ind w:left="288"/>
      </w:pPr>
      <w:r>
        <w:rPr>
          <w:color w:val="1E1E1E"/>
          <w:sz w:val="18"/>
        </w:rPr>
        <w:t>Inexistindo previsão legal quanto à obrigatoriedade do registro do perito no órgão de classe, não cabe a exigência desse registro para a investidura no cargo de perito da Polícia Federal, tampouco para o exercício da função de Perito oficial.</w:t>
      </w:r>
    </w:p>
    <w:p>
      <w:pPr>
        <w:ind w:left="288"/>
      </w:pPr>
      <w:r>
        <w:rPr>
          <w:b/>
          <w:color w:val="003CA0"/>
          <w:sz w:val="16"/>
        </w:rPr>
        <w:t>[HC 95.595, rel. min. Eros Grau, j. 4-5-2010, 2ª T, DJE de 21-5-2010.]</w:t>
      </w:r>
    </w:p>
    <w:p>
      <w:pPr>
        <w:ind w:left="288"/>
      </w:pPr>
      <w:r>
        <w:rPr>
          <w:color w:val="8C8C8C"/>
          <w:sz w:val="12"/>
        </w:rPr>
        <w:t>cf-art-5-inc-XIII</w:t>
      </w:r>
      <w:r>
        <w:rPr>
          <w:color w:val="003CA0"/>
          <w:sz w:val="12"/>
        </w:rPr>
        <w:t xml:space="preserve"> | RE 511.961</w:t>
      </w:r>
      <w:r>
        <w:rPr>
          <w:color w:val="003CA0"/>
          <w:sz w:val="12"/>
        </w:rPr>
        <w:t xml:space="preserve"> | rel. Gilmar Mendes</w:t>
      </w:r>
    </w:p>
    <w:p>
      <w:pPr>
        <w:ind w:left="288"/>
      </w:pPr>
      <w:r>
        <w:rPr>
          <w:color w:val="1E1E1E"/>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w:t>
      </w:r>
    </w:p>
    <w:p>
      <w:pPr>
        <w:ind w:left="288"/>
      </w:pPr>
      <w:r>
        <w:rPr>
          <w:b/>
          <w:color w:val="003CA0"/>
          <w:sz w:val="16"/>
        </w:rPr>
        <w:t>[RE 511.961, rel. min. Gilmar Mendes, j. 17-6-2009, P, DJE de 13-11-2009.]</w:t>
      </w:r>
    </w:p>
    <w:p>
      <w:pPr>
        <w:ind w:left="288"/>
      </w:pPr>
      <w:r>
        <w:rPr>
          <w:color w:val="8C8C8C"/>
          <w:sz w:val="12"/>
        </w:rPr>
        <w:t>cf-art-5-inc-XIII</w:t>
      </w:r>
      <w:r>
        <w:rPr>
          <w:color w:val="003CA0"/>
          <w:sz w:val="12"/>
        </w:rPr>
        <w:t xml:space="preserve"> | RE 207.946</w:t>
      </w:r>
      <w:r>
        <w:rPr>
          <w:color w:val="003CA0"/>
          <w:sz w:val="12"/>
        </w:rPr>
        <w:t xml:space="preserve"> | rel. Menezes Direito</w:t>
      </w:r>
    </w:p>
    <w:p>
      <w:pPr>
        <w:ind w:left="288"/>
      </w:pPr>
      <w:r>
        <w:rPr>
          <w:color w:val="1E1E1E"/>
          <w:sz w:val="18"/>
        </w:rPr>
        <w:t>Descabe condicionar integração, a quadro societário, de pessoa jurídica de direito privado ao fato de o pretendente estar em dia com as obrigações tributárias.</w:t>
      </w:r>
    </w:p>
    <w:p>
      <w:pPr>
        <w:ind w:left="288"/>
      </w:pPr>
      <w:r>
        <w:rPr>
          <w:b/>
          <w:color w:val="003CA0"/>
          <w:sz w:val="16"/>
        </w:rPr>
        <w:t>[RE 207.946, rel. min. Menezes Direito, red. do ac. min. Marco Aurélio, j. 20-5-2008, 1ª T, DJE de 5-6-2009.]</w:t>
      </w:r>
    </w:p>
    <w:p>
      <w:pPr>
        <w:ind w:left="288"/>
      </w:pPr>
      <w:r>
        <w:rPr>
          <w:color w:val="8C8C8C"/>
          <w:sz w:val="12"/>
        </w:rPr>
        <w:t>cf-art-5-inc-XIII</w:t>
      </w:r>
      <w:r>
        <w:rPr>
          <w:color w:val="003CA0"/>
          <w:sz w:val="12"/>
        </w:rPr>
        <w:t xml:space="preserve"> | HC 92.183</w:t>
      </w:r>
      <w:r>
        <w:rPr>
          <w:color w:val="003CA0"/>
          <w:sz w:val="12"/>
        </w:rPr>
        <w:t xml:space="preserve"> | rel. Ayres Britto</w:t>
      </w:r>
    </w:p>
    <w:p>
      <w:pPr>
        <w:ind w:left="288"/>
      </w:pPr>
      <w:r>
        <w:rPr>
          <w:color w:val="1E1E1E"/>
          <w:sz w:val="18"/>
        </w:rPr>
        <w:t>(...) constitui ilegalidade reparável pela via do habeas corpus fazer com que alguém responda pelo exercício ilegal de uma profissão que ainda não foi regulamentada. (...) Condição sem a qual fica inviabilizado, neste caso concreto, o manejo da ação penal com base no art. 47 da LCP, por se tratar de "norma penal em branco, que depende da indicação de lei que estabeleça as condições para o exercício de determinada atividade" (...).</w:t>
      </w:r>
    </w:p>
    <w:p>
      <w:pPr>
        <w:ind w:left="288"/>
      </w:pPr>
      <w:r>
        <w:rPr>
          <w:b/>
          <w:color w:val="003CA0"/>
          <w:sz w:val="16"/>
        </w:rPr>
        <w:t>[HC 92.183, rel. min. Ayres Britto, j. 18-3-2008, 1ª T, DJE de 23-5-2008.]</w:t>
      </w:r>
    </w:p>
    <w:p>
      <w:pPr>
        <w:ind w:left="288"/>
      </w:pPr>
      <w:r>
        <w:rPr>
          <w:color w:val="8C8C8C"/>
          <w:sz w:val="12"/>
        </w:rPr>
        <w:t>cf-art-5-inc-XIII</w:t>
      </w:r>
      <w:r>
        <w:rPr>
          <w:color w:val="003CA0"/>
          <w:sz w:val="12"/>
        </w:rPr>
        <w:t xml:space="preserve"> | RE 413.782</w:t>
      </w:r>
      <w:r>
        <w:rPr>
          <w:color w:val="003CA0"/>
          <w:sz w:val="12"/>
        </w:rPr>
        <w:t xml:space="preserve"> | rel. Marco Aurélio</w:t>
      </w:r>
    </w:p>
    <w:p>
      <w:pPr>
        <w:ind w:left="288"/>
      </w:pPr>
      <w:r>
        <w:rPr>
          <w:color w:val="1E1E1E"/>
          <w:sz w:val="18"/>
        </w:rPr>
        <w:t>Em síntese, a legislação local submete o contribuinte à exceção de emitir notas fiscais individualizadas, quando em débito para com o fisco. Entendo conflitante com a Carta da República o procedimento adotado. (...) A lei estadual contraria, portanto, os textos constitucionais evocados, ou seja, a garantia do livre exercício do trabalho, ofício ou profissão – inciso XIII do art. 5º da Carta da República – e de qualquer atividade econômica – parágrafo único do art. 170 da CF.</w:t>
      </w:r>
    </w:p>
    <w:p>
      <w:pPr>
        <w:ind w:left="288"/>
      </w:pPr>
      <w:r>
        <w:rPr>
          <w:b/>
          <w:color w:val="003CA0"/>
          <w:sz w:val="16"/>
        </w:rPr>
        <w:t>[RE 413.782, rel. min. Marco Aurélio, j. 17-3-2005, P, DJ de 3-6-2005.]</w:t>
      </w:r>
    </w:p>
    <w:p>
      <w:pPr>
        <w:ind w:left="288"/>
      </w:pPr>
      <w:r>
        <w:rPr>
          <w:color w:val="8C8C8C"/>
          <w:sz w:val="12"/>
        </w:rPr>
        <w:t>cf-art-5-inc-XIII</w:t>
      </w:r>
      <w:r>
        <w:rPr>
          <w:color w:val="003CA0"/>
          <w:sz w:val="12"/>
        </w:rPr>
        <w:t xml:space="preserve"> | RE 216.983</w:t>
      </w:r>
      <w:r>
        <w:rPr>
          <w:color w:val="003CA0"/>
          <w:sz w:val="12"/>
        </w:rPr>
        <w:t xml:space="preserve"> | rel. Carlos Velloso</w:t>
      </w:r>
    </w:p>
    <w:p>
      <w:pPr>
        <w:ind w:left="288"/>
      </w:pPr>
      <w:r>
        <w:rPr>
          <w:color w:val="1E1E1E"/>
          <w:sz w:val="18"/>
        </w:rPr>
        <w:t>Regime especial de ICM, autorizado em lei estadual: restrições e limitações, nele constantes, à atividade comercial do contribuinte, ofensivas à garantia constitucional da liberdade de trabalho (CF/1967, art. 153, § 23; CF/1988, art. 5º, XIII), constituindo forma oblíqua de cobrança do tributo, assim execução política, que a jurisprudência do STF sempre repeliu (Súmulas 70, 323 e 547).</w:t>
      </w:r>
    </w:p>
    <w:p>
      <w:pPr>
        <w:ind w:left="288"/>
      </w:pPr>
      <w:r>
        <w:rPr>
          <w:b/>
          <w:color w:val="003CA0"/>
          <w:sz w:val="16"/>
        </w:rPr>
        <w:t>[RE 216.983 AgR, rel. min. Carlos Velloso, j. 6-10-1998, 2ª T, DJ de 13-11-1998.]</w:t>
      </w:r>
    </w:p>
    <w:p>
      <w:pPr>
        <w:ind w:left="288"/>
      </w:pPr>
      <w:r>
        <w:rPr>
          <w:color w:val="8C8C8C"/>
          <w:sz w:val="12"/>
        </w:rPr>
        <w:t>cf-art-5-inc-XIII</w:t>
      </w:r>
      <w:r>
        <w:rPr>
          <w:color w:val="003CA0"/>
          <w:sz w:val="12"/>
        </w:rPr>
        <w:t xml:space="preserve"> | RE 525.802</w:t>
      </w:r>
      <w:r>
        <w:rPr>
          <w:color w:val="003CA0"/>
          <w:sz w:val="12"/>
        </w:rPr>
        <w:t xml:space="preserve"> | rel. Ricardo Lewandowski</w:t>
      </w:r>
    </w:p>
    <w:p>
      <w:pPr>
        <w:ind w:left="288"/>
      </w:pPr>
      <w:r>
        <w:rPr>
          <w:color w:val="1E1E1E"/>
          <w:sz w:val="18"/>
        </w:rPr>
        <w:t>= RE 525.802 AgR, rel. min. Ricardo Lewandowski, j. 7-5-2013, 2ª T, DJE de 22-5-2013 Bacharel em direito que exerce o cargo de assessor de desembargador: incompatibilidade para o exercício da advocacia. Lei 4.215, de 1963, arts. 83 e 84. Lei 8.906/1994, art. 28, IV. Inocorrência de ofensa ao art. 5º, XIII, que deve ser interpretado em consonância com o art. 22, XVI, da CF e com o princípio da moralidade administrativa imposto à administração pública (CF, art. 37, caput).</w:t>
      </w:r>
    </w:p>
    <w:p>
      <w:pPr>
        <w:ind w:left="288"/>
      </w:pPr>
      <w:r>
        <w:rPr>
          <w:b/>
          <w:color w:val="003CA0"/>
          <w:sz w:val="16"/>
        </w:rPr>
        <w:t>[RE 199.088, rel. min. Carlos Velloso, j. 1º-10-1996, 2ª T, DJ de 16-4-1999.]</w:t>
      </w:r>
    </w:p>
    <w:p>
      <w:pPr>
        <w:ind w:left="288"/>
      </w:pPr>
      <w:r>
        <w:rPr>
          <w:color w:val="8C8C8C"/>
          <w:sz w:val="12"/>
        </w:rPr>
        <w:t>cf-art-5-inc-XIII</w:t>
      </w:r>
      <w:r>
        <w:rPr>
          <w:color w:val="003CA0"/>
          <w:sz w:val="12"/>
        </w:rPr>
        <w:t xml:space="preserve"> | RE 550.005</w:t>
      </w:r>
      <w:r>
        <w:rPr>
          <w:color w:val="003CA0"/>
          <w:sz w:val="12"/>
        </w:rPr>
        <w:t xml:space="preserve"> | rel. Joaquim Barbosa</w:t>
      </w:r>
    </w:p>
    <w:p>
      <w:pPr>
        <w:ind w:left="288"/>
      </w:pPr>
      <w:r>
        <w:rPr>
          <w:color w:val="1E1E1E"/>
          <w:sz w:val="18"/>
        </w:rPr>
        <w:t>= RE 550.005 AgR, rel. min. Joaquim Barbosa, j. 8-5-2012, 2ª T, DJE de 25-5-2012 Vide ADI 3.541, rel. min. Dias Toffoli, j. 12-2-2014, P, DJE de 24-3-2014 A exigência de especificidade, no âmbito da qualificação, para a feitura de concurso público não contraria o disposto no inciso XIII do art. 5º da CF, desde que prevista em lei e consentânea com os diplomas regedores do exercício profissional.</w:t>
      </w:r>
    </w:p>
    <w:p>
      <w:pPr>
        <w:ind w:left="288"/>
      </w:pPr>
      <w:r>
        <w:rPr>
          <w:b/>
          <w:color w:val="003CA0"/>
          <w:sz w:val="16"/>
        </w:rPr>
        <w:t>[MS 21.733, rel. min. Marco Aurélio, j. 9-2-1994, P, DJ de 8-4-1994.]</w:t>
      </w:r>
    </w:p>
    <w:p>
      <w:pPr>
        <w:ind w:left="288"/>
      </w:pPr>
      <w:r>
        <w:rPr>
          <w:color w:val="8C8C8C"/>
          <w:sz w:val="12"/>
        </w:rPr>
        <w:t>cf-art-5-inc-XIII</w:t>
      </w:r>
      <w:r>
        <w:rPr>
          <w:color w:val="003CA0"/>
          <w:sz w:val="12"/>
        </w:rPr>
        <w:t xml:space="preserve"> | ADI 7.194</w:t>
      </w:r>
      <w:r>
        <w:rPr>
          <w:color w:val="003CA0"/>
          <w:sz w:val="12"/>
        </w:rPr>
        <w:t xml:space="preserve"> | rel. Dias Toffoli</w:t>
      </w:r>
    </w:p>
    <w:p>
      <w:pPr>
        <w:ind w:left="288"/>
      </w:pPr>
      <w:r>
        <w:rPr>
          <w:color w:val="1E1E1E"/>
          <w:sz w:val="18"/>
        </w:rPr>
        <w:t>XIV - é assegurado a todos o acesso à informação e resguardado o sigilo da fonte, quando necessário ao exercício profissional; A publicação de atos societários se faz necessária como medida voltada ao acesso à informação, considerando-se que é dado aos acionistas, credores, concorrentes, empregados, bem como ao Poder Público e à sociedade em geral a possibilidade de fiscalizar o trabalho dos administradores, de forma a aferir a saúde da companhia, a regularidade e a rentabilidade dos negócios ali realizados, para que possam tomar decisões de maneira informada e observar o devido cumprimento da</w:t>
      </w:r>
    </w:p>
    <w:p>
      <w:pPr>
        <w:ind w:left="288"/>
      </w:pPr>
      <w:r>
        <w:rPr>
          <w:b/>
          <w:color w:val="003CA0"/>
          <w:sz w:val="16"/>
        </w:rPr>
        <w:t>[ADI 7.194, rel. min. Dias Toffoli, j. 01.07.2024, P, DJE de 05.07.2024.]</w:t>
      </w:r>
    </w:p>
    <w:p>
      <w:pPr>
        <w:ind w:left="288"/>
      </w:pPr>
      <w:r>
        <w:rPr>
          <w:color w:val="8C8C8C"/>
          <w:sz w:val="12"/>
        </w:rPr>
        <w:t>cf-art-5-inc-XIII</w:t>
      </w:r>
      <w:r>
        <w:rPr>
          <w:color w:val="003CA0"/>
          <w:sz w:val="12"/>
        </w:rPr>
        <w:t xml:space="preserve"> | ADI 7.261</w:t>
      </w:r>
      <w:r>
        <w:rPr>
          <w:color w:val="003CA0"/>
          <w:sz w:val="12"/>
        </w:rPr>
        <w:t xml:space="preserve"> | rel. Edson Fachin</w:t>
      </w:r>
    </w:p>
    <w:p>
      <w:pPr>
        <w:ind w:left="288"/>
      </w:pPr>
      <w:r>
        <w:rPr>
          <w:color w:val="1E1E1E"/>
          <w:sz w:val="18"/>
        </w:rPr>
        <w:t>A Resolução TSE nº. 23.714/2022 não consiste em exercício de censura prévia. A disseminação de notícias falsas, no curto prazo do processo eleitoral, pode ter a força de ocupar todo espaço público, restringindo a circulação de ideias e o livre exercício do direito à informação. O fenômeno da desinformação veiculada por meio da internet, caso não fiscalizado pela autoridade eleitoral, tem o condão de restringir a formação livre e consciente da vontade do eleitor.</w:t>
      </w:r>
    </w:p>
    <w:p>
      <w:pPr>
        <w:ind w:left="288"/>
      </w:pPr>
      <w:r>
        <w:rPr>
          <w:b/>
          <w:color w:val="003CA0"/>
          <w:sz w:val="16"/>
        </w:rPr>
        <w:t>[ADI 7.261, rel. min. Edson Fachin, j. 19.12.2023, P, DJE de 06.03.2024.]</w:t>
      </w:r>
    </w:p>
    <w:p>
      <w:pPr>
        <w:ind w:left="288"/>
      </w:pPr>
      <w:r>
        <w:rPr>
          <w:color w:val="8C8C8C"/>
          <w:sz w:val="12"/>
        </w:rPr>
        <w:t>cf-art-5-inc-XIII</w:t>
      </w:r>
      <w:r>
        <w:rPr>
          <w:color w:val="003CA0"/>
          <w:sz w:val="12"/>
        </w:rPr>
        <w:t xml:space="preserve"> | ADI 6.281</w:t>
      </w:r>
      <w:r>
        <w:rPr>
          <w:color w:val="003CA0"/>
          <w:sz w:val="12"/>
        </w:rPr>
        <w:t xml:space="preserve"> | rel. Luiz Fux</w:t>
      </w:r>
    </w:p>
    <w:p>
      <w:pPr>
        <w:ind w:left="288"/>
      </w:pPr>
      <w:r>
        <w:rPr>
          <w:color w:val="1E1E1E"/>
          <w:sz w:val="18"/>
        </w:rPr>
        <w:t>Propaganda eleitoral paga em periódicos impressos e na internet. (...) A propaganda eleitoral é disciplinada em lei, que pode estipular limites para sua realização, nos diversos meios de comunicação, sem que isso signifique ofensa as liberdades de expressão, de imprensa ou de informação. Tais limitações, prescritas dentro da razoabilidade e da proporcionalidade, igualmente não importam em desrespeito aos princípios da democracia, da República e do pluralismo político, tampouco aos postulados da liberdade de iniciativa e da liberdade de concorrência</w:t>
      </w:r>
    </w:p>
    <w:p>
      <w:pPr>
        <w:ind w:left="288"/>
      </w:pPr>
      <w:r>
        <w:rPr>
          <w:b/>
          <w:color w:val="003CA0"/>
          <w:sz w:val="16"/>
        </w:rPr>
        <w:t>[ADI 6.281, rel. min. Luiz Fux, red. do ac. min. Nunes Marques, j. 17-2-2022, P, DJE de 26-5-2022.]</w:t>
      </w:r>
    </w:p>
    <w:p>
      <w:pPr>
        <w:ind w:left="288"/>
      </w:pPr>
      <w:r>
        <w:rPr>
          <w:color w:val="8C8C8C"/>
          <w:sz w:val="12"/>
        </w:rPr>
        <w:t>cf-art-5-inc-XIII</w:t>
      </w:r>
      <w:r>
        <w:rPr>
          <w:color w:val="003CA0"/>
          <w:sz w:val="12"/>
        </w:rPr>
        <w:t xml:space="preserve"> | ADPF 130</w:t>
      </w:r>
      <w:r>
        <w:rPr>
          <w:color w:val="003CA0"/>
          <w:sz w:val="12"/>
        </w:rPr>
        <w:t xml:space="preserve"> | rel. Ayres Britto</w:t>
      </w:r>
    </w:p>
    <w:p>
      <w:pPr>
        <w:ind w:left="288"/>
      </w:pPr>
      <w:r>
        <w:rPr>
          <w:color w:val="1E1E1E"/>
          <w:sz w:val="18"/>
        </w:rPr>
        <w:t>O art. 220 é de instantânea observância quanto ao desfrute das liberdades de pensamento, criação, expressão e informação que, de alguma forma, se veiculem pelos órgãos de comunicação social. Isso sem prejuízo da aplicabilidade dos seguintes incisos do art. 5º da mesma CF: vedação do anonimato (parte final do inciso IV); do direito de resposta (inciso V); direito à indenização por dano material ou moral à intimidade, à vida privada, à honra e à imagem das pessoas (inciso X); livre exercício de qualquer trabalho, ofício ou profissão, atendidas as qualificações profissionais que a lei estabelecer</w:t>
      </w:r>
    </w:p>
    <w:p>
      <w:pPr>
        <w:ind w:left="288"/>
      </w:pPr>
      <w:r>
        <w:rPr>
          <w:b/>
          <w:color w:val="003CA0"/>
          <w:sz w:val="16"/>
        </w:rPr>
        <w:t>[ADPF 130, rel. min. Ayres Britto, j. 30-4-2009, P, DJE de 6-11-2009.]</w:t>
      </w:r>
    </w:p>
    <w:p>
      <w:pPr>
        <w:ind w:left="288"/>
      </w:pPr>
      <w:r>
        <w:rPr>
          <w:color w:val="8C8C8C"/>
          <w:sz w:val="12"/>
        </w:rPr>
        <w:t>cf-art-5-inc-XIII</w:t>
      </w:r>
      <w:r>
        <w:rPr>
          <w:color w:val="003CA0"/>
          <w:sz w:val="12"/>
        </w:rPr>
        <w:t xml:space="preserve"> | RCL 11.305</w:t>
      </w:r>
      <w:r>
        <w:rPr>
          <w:color w:val="003CA0"/>
          <w:sz w:val="12"/>
        </w:rPr>
        <w:t xml:space="preserve"> | rel. Gilmar Mendes</w:t>
      </w:r>
    </w:p>
    <w:p>
      <w:pPr>
        <w:ind w:left="288"/>
      </w:pPr>
      <w:r>
        <w:rPr>
          <w:color w:val="1E1E1E"/>
          <w:sz w:val="18"/>
        </w:rPr>
        <w:t>= Rcl 11.305, rel. min. Gilmar Mendes, j. 20-10-2011, P, DJE de 8-11-2011 Vide ADI 4.451, rel. min. Alexandre de Moraes, j. 21-6-2018, P, DJE de 6-3-2019 Vide Rcl 22.328, rel. min. Roberto Barroso, j. 6-3-2018, 1ªT, DJE de 10-5-2018 Lei 11.300/2006 (minirreforma eleitoral). (...) Proibição de divulgação de pesquisas eleitorais quinze dias antes do pleito. Inconstitucionalidade. Garantia da liberdade de expressão e do direito à informação livre e plural no Estado Democrático de Direito</w:t>
      </w:r>
    </w:p>
    <w:p>
      <w:pPr>
        <w:ind w:left="288"/>
      </w:pPr>
      <w:r>
        <w:rPr>
          <w:b/>
          <w:color w:val="003CA0"/>
          <w:sz w:val="16"/>
        </w:rPr>
        <w:t>[ADI 3.741, rel. min. Ricardo Lewandowski, j. 6-8-2006, P, DJ de 23-2-2007.]</w:t>
      </w:r>
    </w:p>
    <w:p>
      <w:pPr>
        <w:ind w:left="288"/>
      </w:pPr>
      <w:r>
        <w:rPr>
          <w:color w:val="8C8C8C"/>
          <w:sz w:val="12"/>
        </w:rPr>
        <w:t>cf-art-5-inc-XIII</w:t>
      </w:r>
      <w:r>
        <w:rPr>
          <w:color w:val="003CA0"/>
          <w:sz w:val="12"/>
        </w:rPr>
        <w:t xml:space="preserve"> | RE 1.010.606</w:t>
      </w:r>
      <w:r>
        <w:rPr>
          <w:color w:val="003CA0"/>
          <w:sz w:val="12"/>
        </w:rPr>
        <w:t xml:space="preserve"> | rel. Dias Toffoli</w:t>
      </w:r>
    </w:p>
    <w:p>
      <w:pPr>
        <w:ind w:left="288"/>
      </w:pPr>
      <w:r>
        <w:rPr>
          <w:color w:val="1E1E1E"/>
          <w:sz w:val="18"/>
        </w:rPr>
        <w:t>É incompatível com a Constituição a ideia de um direito ao esquecimento, assim entendido como o poder de obstar, em razão da passagem do tempo, a divulgação de fatos ou dados verídicos e licitamente obtidos e publicados em meios de comunicação social analógicos ou digitais. Eventuais excessos ou abusos no exercício da liberdade de expressão e de informação devem ser analisados caso a caso, a partir dos parâmetros constitucionais - especialmente os relativos à proteção da honra, da imagem, da privacidade e da personalidade em geral - e das expressas e específicas previsões legais nos âmbitos pe</w:t>
      </w:r>
    </w:p>
    <w:p>
      <w:pPr>
        <w:ind w:left="288"/>
      </w:pPr>
      <w:r>
        <w:rPr>
          <w:b/>
          <w:color w:val="003CA0"/>
          <w:sz w:val="16"/>
        </w:rPr>
        <w:t>[RE 1.010.606, rel. min. Dias Toffoli, j. 11-2-2021, P, DJE de 20-5-2021. Tema 786, com mérito julgado.]</w:t>
      </w:r>
    </w:p>
    <w:p>
      <w:pPr>
        <w:ind w:left="288"/>
      </w:pPr>
      <w:r>
        <w:rPr>
          <w:color w:val="8C8C8C"/>
          <w:sz w:val="12"/>
        </w:rPr>
        <w:t>cf-art-5-inc-XIII</w:t>
      </w:r>
      <w:r>
        <w:rPr>
          <w:color w:val="003CA0"/>
          <w:sz w:val="12"/>
        </w:rPr>
        <w:t xml:space="preserve"> | RE 1.292.275</w:t>
      </w:r>
      <w:r>
        <w:rPr>
          <w:color w:val="003CA0"/>
          <w:sz w:val="12"/>
        </w:rPr>
        <w:t xml:space="preserve"> | rel. Nunes Marques</w:t>
      </w:r>
    </w:p>
    <w:p>
      <w:pPr>
        <w:ind w:left="288"/>
      </w:pPr>
      <w:r>
        <w:rPr>
          <w:color w:val="1E1E1E"/>
          <w:sz w:val="18"/>
        </w:rPr>
        <w:t>Divulgação de imagens de presos provisórios. Direito à informação versus direito à intimidade. (...) Não há direitos fundamentais absolutos, cabendo ao julgador, dadas as circunstâncias do caso concreto, em juízo de ponderação, avaliar qual princípio deverá prevalecer.</w:t>
      </w:r>
    </w:p>
    <w:p>
      <w:pPr>
        <w:ind w:left="288"/>
      </w:pPr>
      <w:r>
        <w:rPr>
          <w:b/>
          <w:color w:val="003CA0"/>
          <w:sz w:val="16"/>
        </w:rPr>
        <w:t>[RE 1.292.275 AgR, rel. min. Nunes Marques, j. 3-5-2023, 1ª T, DJE de 22-5-2023.]</w:t>
      </w:r>
    </w:p>
    <w:p>
      <w:pPr>
        <w:ind w:left="288"/>
      </w:pPr>
      <w:r>
        <w:rPr>
          <w:color w:val="8C8C8C"/>
          <w:sz w:val="12"/>
        </w:rPr>
        <w:t>cf-art-5-inc-XIII</w:t>
      </w:r>
      <w:r>
        <w:rPr>
          <w:color w:val="003CA0"/>
          <w:sz w:val="12"/>
        </w:rPr>
        <w:t xml:space="preserve"> | RMS 23.036</w:t>
      </w:r>
      <w:r>
        <w:rPr>
          <w:color w:val="003CA0"/>
          <w:sz w:val="12"/>
        </w:rPr>
        <w:t xml:space="preserve"> | rel. Cármen Lúcia</w:t>
      </w:r>
    </w:p>
    <w:p>
      <w:pPr>
        <w:ind w:left="288"/>
      </w:pPr>
      <w:r>
        <w:rPr>
          <w:color w:val="1E1E1E"/>
          <w:sz w:val="18"/>
        </w:rPr>
        <w:t>A decisão proferida no julgamento do RMS 23.036 não restringiu o acesso dos então impetrantes aos documentos e arquivos fonográficos relacionados às sessões públicas de julgamentos do STM ocorridas na década de 1970, assentando que todos os julgamentos seriam públicos e que as gravações dos áudios dessas sessões deveriam ser disponibilizadas aos impetrantes, também no que se refere aos debates e votos proferidos pelos julgadores. Injustificável a resistência que o STM tenta opor ao cumprimento da decisão emanada deste Supremo Tribunal, que afastou os obstáculos erigidos para impedir fossem tra</w:t>
      </w:r>
    </w:p>
    <w:p>
      <w:pPr>
        <w:ind w:left="288"/>
      </w:pPr>
      <w:r>
        <w:rPr>
          <w:b/>
          <w:color w:val="003CA0"/>
          <w:sz w:val="16"/>
        </w:rPr>
        <w:t>[Rcl 11.949, rel. min. Cármen Lúcia, j. 16-3-2017, P, DJE de 16-8-2017.]</w:t>
      </w:r>
    </w:p>
    <w:p>
      <w:pPr>
        <w:ind w:left="288"/>
      </w:pPr>
      <w:r>
        <w:rPr>
          <w:color w:val="8C8C8C"/>
          <w:sz w:val="12"/>
        </w:rPr>
        <w:t>cf-art-5-inc-XIII</w:t>
      </w:r>
      <w:r>
        <w:rPr>
          <w:color w:val="003CA0"/>
          <w:sz w:val="12"/>
        </w:rPr>
        <w:t xml:space="preserve"> | INQ 544</w:t>
      </w:r>
      <w:r>
        <w:rPr>
          <w:color w:val="003CA0"/>
          <w:sz w:val="12"/>
        </w:rPr>
        <w:t xml:space="preserve"> | rel. Gilmar Mendes</w:t>
      </w:r>
    </w:p>
    <w:p>
      <w:pPr>
        <w:ind w:left="288"/>
      </w:pPr>
      <w:r>
        <w:rPr>
          <w:color w:val="1E1E1E"/>
          <w:sz w:val="18"/>
        </w:rPr>
        <w:t>O sigilo profissional constitucionalmente determinado não exclui a possibilidade de cumprimento de mandado de busca e apreensão em escritório de advocacia. O local de trabalho do advogado, desde que este seja investigado, pode ser alvo de busca e apreensão, observando-se os limites impostos pela autoridade judicial. Tratando-se de local onde existem documentos que dizem respeito a outros sujeitos não investigados, é indispensável a especificação do âmbito de abrangência da medida, que não poderá ser executada sobre a esfera de direitos de não investigados. Equívoco quanto à indicação do escrit</w:t>
      </w:r>
    </w:p>
    <w:p>
      <w:pPr>
        <w:ind w:left="288"/>
      </w:pPr>
      <w:r>
        <w:rPr>
          <w:b/>
          <w:color w:val="003CA0"/>
          <w:sz w:val="16"/>
        </w:rPr>
        <w:t>[HC 91.610, rel. min. Gilmar Mendes, j. 8-6-2010, 2ª T, DJE de 22-10-2010.]</w:t>
      </w:r>
    </w:p>
    <w:p>
      <w:pPr>
        <w:ind w:left="288"/>
      </w:pPr>
      <w:r>
        <w:rPr>
          <w:color w:val="8C8C8C"/>
          <w:sz w:val="12"/>
        </w:rPr>
        <w:t>cf-art-5-inc-XIII</w:t>
      </w:r>
      <w:r>
        <w:rPr>
          <w:color w:val="003CA0"/>
          <w:sz w:val="12"/>
        </w:rPr>
        <w:t xml:space="preserve"> | RE 511.961</w:t>
      </w:r>
      <w:r>
        <w:rPr>
          <w:color w:val="003CA0"/>
          <w:sz w:val="12"/>
        </w:rPr>
        <w:t xml:space="preserve"> | rel. Gilmar Mendes</w:t>
      </w:r>
    </w:p>
    <w:p>
      <w:pPr>
        <w:ind w:left="288"/>
      </w:pPr>
      <w:r>
        <w:rPr>
          <w:color w:val="1E1E1E"/>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w:t>
      </w:r>
    </w:p>
    <w:p>
      <w:pPr>
        <w:ind w:left="288"/>
      </w:pPr>
      <w:r>
        <w:rPr>
          <w:b/>
          <w:color w:val="003CA0"/>
          <w:sz w:val="16"/>
        </w:rPr>
        <w:t>[RE 511.961, rel. min. Gilmar Mendes, j. 17-6-2009, P, DJE de 13-11-2009.]</w:t>
      </w:r>
    </w:p>
    <w:p>
      <w:pPr>
        <w:ind w:left="288"/>
      </w:pPr>
      <w:r>
        <w:rPr>
          <w:color w:val="8C8C8C"/>
          <w:sz w:val="12"/>
        </w:rPr>
        <w:t>cf-art-5-inc-XIII</w:t>
      </w:r>
      <w:r>
        <w:rPr>
          <w:color w:val="003CA0"/>
          <w:sz w:val="12"/>
        </w:rPr>
        <w:t xml:space="preserve"> | RMS 23.036</w:t>
      </w:r>
      <w:r>
        <w:rPr>
          <w:color w:val="003CA0"/>
          <w:sz w:val="12"/>
        </w:rPr>
        <w:t xml:space="preserve"> | rel. Maurício Corrêa</w:t>
      </w:r>
    </w:p>
    <w:p>
      <w:pPr>
        <w:ind w:left="288"/>
      </w:pPr>
      <w:r>
        <w:rPr>
          <w:color w:val="1E1E1E"/>
          <w:sz w:val="18"/>
        </w:rPr>
        <w:t>STM. Cópia de processos e dos áudios de sessões. Fonte histórica para obra literária. Âmbito de proteção do direito à informação (art. 5º, XIV, da CF). Não se cogita da violação de direitos previstos no Estatuto da OAB (art. 7º, XIII, XIV e XV, da Lei 8.906/1996), uma vez que os impetrantes não requisitaram acesso às fontes documentais e fonográficas no exercício da função advocatícia, mas como pesquisadores. A publicidade e o direito à informação não podem ser restringidos com base em atos de natureza discricionária, salvo quando justificados, em casos excepcionais, para a defesa da honra, da</w:t>
      </w:r>
    </w:p>
    <w:p>
      <w:pPr>
        <w:ind w:left="288"/>
      </w:pPr>
      <w:r>
        <w:rPr>
          <w:b/>
          <w:color w:val="003CA0"/>
          <w:sz w:val="16"/>
        </w:rPr>
        <w:t>[RMS 23.036, rel. min. Maurício Corrêa, red. do ac. min. Nelson Jobim, j. 28-3-2006, 2ª T, DJ de 25-8-2006.]</w:t>
      </w:r>
    </w:p>
    <w:p>
      <w:pPr>
        <w:ind w:left="288"/>
      </w:pPr>
      <w:r>
        <w:rPr>
          <w:color w:val="8C8C8C"/>
          <w:sz w:val="12"/>
        </w:rPr>
        <w:t>cf-art-5-inc-XIII</w:t>
      </w:r>
      <w:r>
        <w:rPr>
          <w:color w:val="003CA0"/>
          <w:sz w:val="12"/>
        </w:rPr>
        <w:t xml:space="preserve"> | RCL 11.949</w:t>
      </w:r>
      <w:r>
        <w:rPr>
          <w:color w:val="003CA0"/>
          <w:sz w:val="12"/>
        </w:rPr>
        <w:t xml:space="preserve"> | rel. Cármen Lúcia</w:t>
      </w:r>
    </w:p>
    <w:p>
      <w:pPr>
        <w:ind w:left="288"/>
      </w:pPr>
      <w:r>
        <w:rPr>
          <w:color w:val="1E1E1E"/>
          <w:sz w:val="18"/>
        </w:rPr>
        <w:t xml:space="preserve">Vide Rcl 11.949, rel. min. Cármen Lúcia, j. 16-3-2017, P, DJE de 16-8-2017 XV - é livre a locomoção no território nacional em tempo de paz, podendo qualquer pessoa, nos termos da lei, nele entrar, permanecer ou dele sair com seus bens; A proibição de saída do município sede da unidade em que o servidor atua sem autorização do superior hierárquico configura grave violação da liberdade fundamental de locomoção (artigo 5º, XV, da Constituição de 1988) e do devido processo legal (artigo 5º, LIV, da Constituição), mercê de constituir medida de caráter excepcional no âmbito processual penal (artigo </w:t>
      </w:r>
    </w:p>
    <w:p>
      <w:pPr>
        <w:ind w:left="288"/>
      </w:pPr>
      <w:r>
        <w:rPr>
          <w:b/>
          <w:color w:val="003CA0"/>
          <w:sz w:val="16"/>
        </w:rPr>
        <w:t>[ADPF 90, rel. min. Edson Fachin, j. 3-4-2020, P, DJE de 13-5-2020.]</w:t>
      </w:r>
    </w:p>
    <w:p>
      <w:pPr>
        <w:ind w:left="288"/>
      </w:pPr>
      <w:r>
        <w:rPr>
          <w:color w:val="8C8C8C"/>
          <w:sz w:val="12"/>
        </w:rPr>
        <w:t>cf-art-5-inc-XIII</w:t>
      </w:r>
      <w:r>
        <w:rPr>
          <w:color w:val="003CA0"/>
          <w:sz w:val="12"/>
        </w:rPr>
        <w:t xml:space="preserve"> | ADI 1.706</w:t>
      </w:r>
      <w:r>
        <w:rPr>
          <w:color w:val="003CA0"/>
          <w:sz w:val="12"/>
        </w:rPr>
        <w:t xml:space="preserve"> | rel. Eros Grau</w:t>
      </w:r>
    </w:p>
    <w:p>
      <w:pPr>
        <w:ind w:left="288"/>
      </w:pPr>
      <w:r>
        <w:rPr>
          <w:color w:val="1E1E1E"/>
          <w:sz w:val="18"/>
        </w:rPr>
        <w:t>Lei distrital 1.713, de 3-9-1997. Quadras residenciais do Plano Piloto da Asa Norte e da Asa Sul. (...) O art. 4º da lei possibilita a fixação de obstáculos a fim de dificultar a entrada e saída de veículos nos limites externos das quadras ou conjuntos. Violação do direito à circulação, que é a manifestação mais característica do direito de locomoção. A administração não poderá impedir o trânsito de pessoas no que toca aos bens de uso comum. O tombamento é constituído mediante ato do Poder Executivo que estabelece o alcance da limitação ao direito de propriedade.</w:t>
      </w:r>
    </w:p>
    <w:p>
      <w:pPr>
        <w:ind w:left="288"/>
      </w:pPr>
      <w:r>
        <w:rPr>
          <w:b/>
          <w:color w:val="003CA0"/>
          <w:sz w:val="16"/>
        </w:rPr>
        <w:t>[ADI 1.706, rel. min. Eros Grau, j. 9-4-2008, P, DJE de 12-9-2008.]</w:t>
      </w:r>
    </w:p>
    <w:p>
      <w:pPr>
        <w:ind w:left="288"/>
      </w:pPr>
      <w:r>
        <w:rPr>
          <w:color w:val="8C8C8C"/>
          <w:sz w:val="12"/>
        </w:rPr>
        <w:t>cf-art-5-inc-XIII</w:t>
      </w:r>
      <w:r>
        <w:rPr>
          <w:color w:val="003CA0"/>
          <w:sz w:val="12"/>
        </w:rPr>
        <w:t xml:space="preserve"> | HC 94.147</w:t>
      </w:r>
      <w:r>
        <w:rPr>
          <w:color w:val="003CA0"/>
          <w:sz w:val="12"/>
        </w:rPr>
        <w:t xml:space="preserve"> | rel. Ellen Gracie</w:t>
      </w:r>
    </w:p>
    <w:p>
      <w:pPr>
        <w:ind w:left="288"/>
      </w:pPr>
      <w:r>
        <w:rPr>
          <w:color w:val="1E1E1E"/>
          <w:sz w:val="18"/>
        </w:rPr>
        <w:t>A questão jurídica debatida neste habeas corpus consiste na possibilidade (ou não) da imposição de condições ao paciente com a revogação da decisão que decretou sua prisão preventiva. Houve a observância dos princípios e regras constitucionais aplicáveis à matéria na decisão que condicionou a revogação do decreto prisional ao cumprimento de certas condições judiciais. Não há direito absoluto à liberdade de ir e vir (CF, art. 5º, XV) e, portanto, existem situações em que se faz necessária a ponderação dos interesses em conflito na apreciação do caso concreto. A medida adotada na decisão impugna</w:t>
      </w:r>
    </w:p>
    <w:p>
      <w:pPr>
        <w:ind w:left="288"/>
      </w:pPr>
      <w:r>
        <w:rPr>
          <w:b/>
          <w:color w:val="003CA0"/>
          <w:sz w:val="16"/>
        </w:rPr>
        <w:t>[HC 94.147, rel. min. Ellen Gracie, j. 27-5-2008, 2ª T, DJE de 13-6-2008.]</w:t>
      </w:r>
    </w:p>
    <w:p>
      <w:pPr>
        <w:ind w:left="288"/>
      </w:pPr>
      <w:r>
        <w:rPr>
          <w:color w:val="8C8C8C"/>
          <w:sz w:val="12"/>
        </w:rPr>
        <w:t>cf-art-5-inc-XIII</w:t>
      </w:r>
      <w:r>
        <w:rPr>
          <w:color w:val="003CA0"/>
          <w:sz w:val="12"/>
        </w:rPr>
        <w:t xml:space="preserve"> | HC 89.645</w:t>
      </w:r>
      <w:r>
        <w:rPr>
          <w:color w:val="003CA0"/>
          <w:sz w:val="12"/>
        </w:rPr>
        <w:t xml:space="preserve"> | rel. Gilmar Mendes</w:t>
      </w:r>
    </w:p>
    <w:p>
      <w:pPr>
        <w:ind w:left="288"/>
      </w:pPr>
      <w:r>
        <w:rPr>
          <w:color w:val="1E1E1E"/>
          <w:sz w:val="18"/>
        </w:rPr>
        <w:t>Para que a liberdade dos cidadãos seja legitimamente restringida, é necessário que o órgão judicial competente se pronuncie de modo expresso, fundamentado e, na linha da jurisprudência deste STF, com relação às prisões preventivas em geral, deve indicar elementos concretos aptos a justificar a constrição cautelar desse direito fundamental (...). O acórdão impugnado, entretanto, partiu da premissa de que a prisão preventiva, nos casos em que se apure suposta prática do crime de deserção (CPM, art. 187), deve ter duração automática de sessenta dias. A decretação judicial da custódia cautelar dev</w:t>
      </w:r>
    </w:p>
    <w:p>
      <w:pPr>
        <w:ind w:left="288"/>
      </w:pPr>
      <w:r>
        <w:rPr>
          <w:b/>
          <w:color w:val="003CA0"/>
          <w:sz w:val="16"/>
        </w:rPr>
        <w:t>[HC 89.645, rel. min. Gilmar Mendes, j. 11-9-2007, 2ª T, DJ de 28-9-2007.]</w:t>
      </w:r>
    </w:p>
    <w:p>
      <w:pPr>
        <w:ind w:left="288"/>
      </w:pPr>
      <w:r>
        <w:rPr>
          <w:color w:val="8C8C8C"/>
          <w:sz w:val="12"/>
        </w:rPr>
        <w:t>cf-art-5-inc-XIII</w:t>
      </w:r>
      <w:r>
        <w:rPr>
          <w:color w:val="003CA0"/>
          <w:sz w:val="12"/>
        </w:rPr>
        <w:t xml:space="preserve"> | RHC 105.776</w:t>
      </w:r>
      <w:r>
        <w:rPr>
          <w:color w:val="003CA0"/>
          <w:sz w:val="12"/>
        </w:rPr>
        <w:t xml:space="preserve"> | rel. Celso de Mello</w:t>
      </w:r>
    </w:p>
    <w:p>
      <w:pPr>
        <w:ind w:left="288"/>
      </w:pPr>
      <w:r>
        <w:rPr>
          <w:color w:val="1E1E1E"/>
          <w:sz w:val="18"/>
        </w:rPr>
        <w:t>= RHC 105.776, rel. min. Celso de Mello, j. 22-5-2012, 2ª T, DJE de 30-10-2014 XVI - todos podem reunir-se pacificamente, sem armas, em locais abertos ao público, independentemente de autorização, desde que não frustrem outra reunião anteriormente convocada para o mesmo local, sendo apenas exigido prévio aviso à autoridade competente; Artigo 31, incisos IV e V, da Lei nº 6.425/72 do Estado de Pernambuco, a qual institui o estatuto policial no âmbito daquele estado. (...) Na espécie, impugna-se lei estadual que proíbe os policiais civis do Estado de Pernambuco de “promover ou participar de mani</w:t>
      </w:r>
    </w:p>
    <w:p>
      <w:pPr>
        <w:ind w:left="288"/>
      </w:pPr>
      <w:r>
        <w:rPr>
          <w:b/>
          <w:color w:val="003CA0"/>
          <w:sz w:val="16"/>
        </w:rPr>
        <w:t>[ADPF 734, rel. min. Dias Toffoli, j. 13-4-2023, P, DJE de 4-5-2023.]</w:t>
      </w:r>
    </w:p>
    <w:p>
      <w:pPr>
        <w:ind w:left="288"/>
      </w:pPr>
      <w:r>
        <w:rPr>
          <w:color w:val="8C8C8C"/>
          <w:sz w:val="12"/>
        </w:rPr>
        <w:t>cf-art-5-inc-XIII</w:t>
      </w:r>
      <w:r>
        <w:rPr>
          <w:color w:val="003CA0"/>
          <w:sz w:val="12"/>
        </w:rPr>
        <w:t xml:space="preserve"> | ADPF 475</w:t>
      </w:r>
      <w:r>
        <w:rPr>
          <w:color w:val="003CA0"/>
          <w:sz w:val="12"/>
        </w:rPr>
        <w:t xml:space="preserve"> | rel. Dias Toffoli</w:t>
      </w:r>
    </w:p>
    <w:p>
      <w:pPr>
        <w:ind w:left="288"/>
      </w:pPr>
      <w:r>
        <w:rPr>
          <w:color w:val="1E1E1E"/>
          <w:sz w:val="18"/>
        </w:rPr>
        <w:t>Vide ADPF 475, rel. min. Dias Toffoli, j. 13-4-2023, P, DJE de 4-5-2023 A garantia plena e o efetivo exercício dos direitos de greve e reunião consistem em exigência nuclear do direito fundamental à livre manifestação de pensamento, sendo absolutamente necessários na efetivação da cidadania popular e fundamentais no desenvolvimento dos ideais democráticos. Esses direitos encontram seus limites nos demais direitos igualmente consagrados pela Constituição, não podendo ser exercícios, em uma sociedade democrática, de maneira abusiva e atentatória à proteção dos direitos e liberdades dos demais ci</w:t>
      </w:r>
    </w:p>
    <w:p>
      <w:pPr>
        <w:ind w:left="288"/>
      </w:pPr>
      <w:r>
        <w:rPr>
          <w:b/>
          <w:color w:val="003CA0"/>
          <w:sz w:val="16"/>
        </w:rPr>
        <w:t>[ADPF 519 REF, rel. min. Alexandre de Moraes, j. 2-11-2022, P, DJE de 9-2-2023.]</w:t>
      </w:r>
    </w:p>
    <w:p>
      <w:pPr>
        <w:ind w:left="288"/>
      </w:pPr>
      <w:r>
        <w:rPr>
          <w:color w:val="8C8C8C"/>
          <w:sz w:val="12"/>
        </w:rPr>
        <w:t>cf-art-5-inc-XIII</w:t>
      </w:r>
      <w:r>
        <w:rPr>
          <w:color w:val="003CA0"/>
          <w:sz w:val="12"/>
        </w:rPr>
        <w:t xml:space="preserve"> | ADPF 722</w:t>
      </w:r>
      <w:r>
        <w:rPr>
          <w:color w:val="003CA0"/>
          <w:sz w:val="12"/>
        </w:rPr>
        <w:t xml:space="preserve"> | rel. Cármen Lúcia</w:t>
      </w:r>
    </w:p>
    <w:p>
      <w:pPr>
        <w:ind w:left="288"/>
      </w:pPr>
      <w:r>
        <w:rPr>
          <w:color w:val="1E1E1E"/>
          <w:sz w:val="18"/>
        </w:rPr>
        <w:t>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88"/>
      </w:pPr>
      <w:r>
        <w:rPr>
          <w:b/>
          <w:color w:val="003CA0"/>
          <w:sz w:val="16"/>
        </w:rPr>
        <w:t>[ADPF 722, rel. min. Cármen Lúcia, j. 16-5-2022, P, DJE de 9-6-2022.]</w:t>
      </w:r>
    </w:p>
    <w:p>
      <w:pPr>
        <w:ind w:left="288"/>
      </w:pPr>
      <w:r>
        <w:rPr>
          <w:color w:val="8C8C8C"/>
          <w:sz w:val="12"/>
        </w:rPr>
        <w:t>cf-art-5-inc-XIII</w:t>
      </w:r>
      <w:r>
        <w:rPr>
          <w:color w:val="003CA0"/>
          <w:sz w:val="12"/>
        </w:rPr>
        <w:t xml:space="preserve"> | ADI 5.852</w:t>
      </w:r>
      <w:r>
        <w:rPr>
          <w:color w:val="003CA0"/>
          <w:sz w:val="12"/>
        </w:rPr>
        <w:t xml:space="preserve"> | rel. Dias Toffoli</w:t>
      </w:r>
    </w:p>
    <w:p>
      <w:pPr>
        <w:ind w:left="288"/>
      </w:pPr>
      <w:r>
        <w:rPr>
          <w:color w:val="1E1E1E"/>
          <w:sz w:val="18"/>
        </w:rPr>
        <w:t>O exercício da liberdade de reunião é essencial para a criação de um ambiente democrático real que oportunize ao cidadão desempenhar adequadamente o seu papel de cointérprete da Constituição, propiciando a criação de agendas sociais que poderiam passar ao largo dos interesses político-partidários hegemônicos. A liberdade de reunião alcança o nível de visibilidade desejado e comunica a sua mensagem quando da realização de atos eventualmente inconvenientes para os não-participantes do protesto, os quais, se razoáveis e não-violentos, devem ser tolerados pelo Estado e pela sociedade. A posição pr</w:t>
      </w:r>
    </w:p>
    <w:p>
      <w:pPr>
        <w:ind w:left="288"/>
      </w:pPr>
      <w:r>
        <w:rPr>
          <w:b/>
          <w:color w:val="003CA0"/>
          <w:sz w:val="16"/>
        </w:rPr>
        <w:t>[ADI 5.852, rel. min. Dias Toffoli, red. do ac. min. Luiz Fux, j. 24-8-2020, P, DJE de 26-11-2020.]</w:t>
      </w:r>
    </w:p>
    <w:p>
      <w:pPr>
        <w:ind w:left="288"/>
      </w:pPr>
      <w:r>
        <w:rPr>
          <w:color w:val="8C8C8C"/>
          <w:sz w:val="12"/>
        </w:rPr>
        <w:t>cf-art-5-inc-XIII</w:t>
      </w:r>
      <w:r>
        <w:rPr>
          <w:color w:val="003CA0"/>
          <w:sz w:val="12"/>
        </w:rPr>
        <w:t xml:space="preserve"> | ADI 4.274</w:t>
      </w:r>
      <w:r>
        <w:rPr>
          <w:color w:val="003CA0"/>
          <w:sz w:val="12"/>
        </w:rPr>
        <w:t xml:space="preserve"> | rel. Ayres Britto</w:t>
      </w:r>
    </w:p>
    <w:p>
      <w:pPr>
        <w:ind w:left="288"/>
      </w:pPr>
      <w:r>
        <w:rPr>
          <w:color w:val="1E1E1E"/>
          <w:sz w:val="18"/>
        </w:rPr>
        <w:t>Cabível o pedido de "interpretação conforme à Constituição" de preceito legal portador de mais de um sentido, dando-se que ao menos um deles é contrário à CF. A utilização do § 3º do art. 33 da Lei 11.343/2006 como fundamento para a proibição judicial de eventos públicos de defesa da legalização ou da descriminalização do uso de entorpecentes ofende o direito fundamental de reunião, expressamente outorgado pelo inciso XVI do art. 5º da Carta Magna. Regular exercício das liberdades constitucionais de manifestação de pensamento e expressão, em sentido lato, além do direito de acesso à informação</w:t>
      </w:r>
    </w:p>
    <w:p>
      <w:pPr>
        <w:ind w:left="288"/>
      </w:pPr>
      <w:r>
        <w:rPr>
          <w:b/>
          <w:color w:val="003CA0"/>
          <w:sz w:val="16"/>
        </w:rPr>
        <w:t>[ADI 4.274, rel. min. Ayres Britto, j. 23-11-2011, P, DJE de 2-5-2012.]</w:t>
      </w:r>
    </w:p>
    <w:p>
      <w:pPr>
        <w:ind w:left="288"/>
      </w:pPr>
      <w:r>
        <w:rPr>
          <w:color w:val="8C8C8C"/>
          <w:sz w:val="12"/>
        </w:rPr>
        <w:t>cf-art-5-inc-XIII</w:t>
      </w:r>
      <w:r>
        <w:rPr>
          <w:color w:val="003CA0"/>
          <w:sz w:val="12"/>
        </w:rPr>
        <w:t xml:space="preserve"> | ADPF 187</w:t>
      </w:r>
      <w:r>
        <w:rPr>
          <w:color w:val="003CA0"/>
          <w:sz w:val="12"/>
        </w:rPr>
        <w:t xml:space="preserve"> | rel. Celso de Mello</w:t>
      </w:r>
    </w:p>
    <w:p>
      <w:pPr>
        <w:ind w:left="288"/>
      </w:pPr>
      <w:r>
        <w:rPr>
          <w:color w:val="1E1E1E"/>
          <w:sz w:val="18"/>
        </w:rPr>
        <w:t>Vide ADPF 187, rel. min. Celso de Mello, j. 15-6-2011, P, DJE de 29-5-2014 "Marcha da Maconha". Manifestação legítima, por cidadãos da República, de duas liberdades individuais revestidas de caráter fundamental: o direito de reunião (liberdade-meio) e o direito à livre expressão do pensamento (liberdade-fim). A liberdade de reunião como pré-condição necessária à ativa participação dos cidadãos no processo político e no de tomada de decisões no âmbito do aparelho de Estado. Consequente legitimidade, sob perspectiva estritamente constitucional, de assembleias, reuniões, marchas, passeatas ou enc</w:t>
      </w:r>
    </w:p>
    <w:p>
      <w:pPr>
        <w:ind w:left="288"/>
      </w:pPr>
      <w:r>
        <w:rPr>
          <w:b/>
          <w:color w:val="003CA0"/>
          <w:sz w:val="16"/>
        </w:rPr>
        <w:t>[ADPF 187, rel. min. Celso de Mello, j. 15-6-2011, P, DJE de 29-5-2014.]</w:t>
      </w:r>
    </w:p>
    <w:p>
      <w:pPr>
        <w:ind w:left="288"/>
      </w:pPr>
      <w:r>
        <w:rPr>
          <w:color w:val="8C8C8C"/>
          <w:sz w:val="12"/>
        </w:rPr>
        <w:t>cf-art-5-inc-XIII</w:t>
      </w:r>
      <w:r>
        <w:rPr>
          <w:color w:val="003CA0"/>
          <w:sz w:val="12"/>
        </w:rPr>
        <w:t xml:space="preserve"> | ADI 4.274</w:t>
      </w:r>
      <w:r>
        <w:rPr>
          <w:color w:val="003CA0"/>
          <w:sz w:val="12"/>
        </w:rPr>
        <w:t xml:space="preserve"> | rel. Ayres Britto</w:t>
      </w:r>
    </w:p>
    <w:p>
      <w:pPr>
        <w:ind w:left="288"/>
      </w:pPr>
      <w:r>
        <w:rPr>
          <w:color w:val="1E1E1E"/>
          <w:sz w:val="18"/>
        </w:rPr>
        <w:t>Vide ADI 4.274, rel. min. Ayres Britto, j. 23-11-2011, P, DJE de 2-5-2012 Ofensa ao art. 5º, XVI, da CF. A liberdade de reunião e de associação para fins lícitos constitui uma das mais importantes conquistas da civilização, enquanto fundamento das modernas democracias políticas. A restrição ao direito de reunião estabelecida pelo Decreto distrital 20.098/1999, a toda evidência, mostra-se inadequada, desnecessária e desproporcional quando confrontada com a vontade da Constituição (Wille zur Verfassung).</w:t>
      </w:r>
    </w:p>
    <w:p>
      <w:pPr>
        <w:ind w:left="288"/>
      </w:pPr>
      <w:r>
        <w:rPr>
          <w:b/>
          <w:color w:val="003CA0"/>
          <w:sz w:val="16"/>
        </w:rPr>
        <w:t>[ADI 1.969, rel. min. Ricardo Lewandowski, j. 28-6-2007, P, DJ de 31-8-2007.]</w:t>
      </w:r>
    </w:p>
    <w:p>
      <w:pPr>
        <w:ind w:left="288"/>
      </w:pPr>
      <w:r>
        <w:rPr>
          <w:color w:val="8C8C8C"/>
          <w:sz w:val="12"/>
        </w:rPr>
        <w:t>cf-art-5-inc-XIII</w:t>
      </w:r>
      <w:r>
        <w:rPr>
          <w:color w:val="003CA0"/>
          <w:sz w:val="12"/>
        </w:rPr>
        <w:t xml:space="preserve"> | RE 806.339</w:t>
      </w:r>
    </w:p>
    <w:p>
      <w:pPr>
        <w:ind w:left="288"/>
      </w:pPr>
      <w:r>
        <w:rPr>
          <w:color w:val="1E1E1E"/>
          <w:sz w:val="18"/>
        </w:rPr>
        <w:t>A exigência constitucional de aviso prévio relativamente ao direito de reunião é satisfeita com a veiculação de informação que permita ao poder público zelar para que seu exercício se dê de forma pacífica ou para que não frustre outra reunião no mesmo local.</w:t>
      </w:r>
    </w:p>
    <w:p>
      <w:pPr>
        <w:ind w:left="288"/>
      </w:pPr>
      <w:r>
        <w:rPr>
          <w:b/>
          <w:color w:val="003CA0"/>
          <w:sz w:val="16"/>
        </w:rPr>
        <w:t>[RE 806.339, red. do ac. min. Edson Fachin, j. 15-12-2020, P, DJE de 19-3-2021. Tema 855, com mérito julgado.]</w:t>
      </w:r>
    </w:p>
    <w:p>
      <w:pPr>
        <w:ind w:left="288"/>
      </w:pPr>
      <w:r>
        <w:rPr>
          <w:color w:val="8C8C8C"/>
          <w:sz w:val="12"/>
        </w:rPr>
        <w:t>cf-art-5-inc-XIII</w:t>
      </w:r>
      <w:r>
        <w:rPr>
          <w:color w:val="003CA0"/>
          <w:sz w:val="12"/>
        </w:rPr>
        <w:t xml:space="preserve"> | RE 1.467.145</w:t>
      </w:r>
      <w:r>
        <w:rPr>
          <w:color w:val="003CA0"/>
          <w:sz w:val="12"/>
        </w:rPr>
        <w:t xml:space="preserve"> | rel. Flávio Dino</w:t>
      </w:r>
    </w:p>
    <w:p>
      <w:pPr>
        <w:ind w:left="288"/>
      </w:pPr>
      <w:r>
        <w:rPr>
          <w:color w:val="1E1E1E"/>
          <w:sz w:val="18"/>
        </w:rPr>
        <w:t>“I) O Estado do Paraná, em conformidade com postulados adotados pelo Supremo Tribunal Federal na fixação da tese no Tema nº 1.055 da Repercussão Geral, responde objetivamente pelos danos concretos diretamente causados por ação de policiais durante a ‘Operação Centro Cívico’, ocorrida em 29 de abril de 2015. Cabe ao ente público demonstrar, em cada caso, os fatos que comprovem eventual excludente da responsabilidade civil. II) Não se presume o reconhecimento da excludente de culpa exclusiva da vítima unicamente pelo fato desta estar presente na manifestação.”</w:t>
      </w:r>
    </w:p>
    <w:p>
      <w:pPr>
        <w:ind w:left="288"/>
      </w:pPr>
      <w:r>
        <w:rPr>
          <w:b/>
          <w:color w:val="003CA0"/>
          <w:sz w:val="16"/>
        </w:rPr>
        <w:t>[RE 1.467.145, rel. min. Flávio Dino, j. 29-10-2025, P, DJE de 11-2-2026.]</w:t>
      </w:r>
    </w:p>
    <w:p>
      <w:pPr>
        <w:ind w:left="288"/>
      </w:pPr>
      <w:r>
        <w:rPr>
          <w:color w:val="8C8C8C"/>
          <w:sz w:val="12"/>
        </w:rPr>
        <w:t>cf-art-5-inc-XIII</w:t>
      </w:r>
      <w:r>
        <w:rPr>
          <w:color w:val="003CA0"/>
          <w:sz w:val="12"/>
        </w:rPr>
        <w:t xml:space="preserve"> | MS 40.556</w:t>
      </w:r>
      <w:r>
        <w:rPr>
          <w:color w:val="003CA0"/>
          <w:sz w:val="12"/>
        </w:rPr>
        <w:t xml:space="preserve"> | rel. Nunes Marques</w:t>
      </w:r>
    </w:p>
    <w:p>
      <w:pPr>
        <w:ind w:left="288"/>
      </w:pPr>
      <w:r>
        <w:rPr>
          <w:color w:val="1E1E1E"/>
          <w:sz w:val="18"/>
        </w:rPr>
        <w:t>XVII - é plena a liberdade de associação para fins lícitos, vedada a de caráter paramilitar; 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VI, VIII, X e XVII), além do princípio do jui</w:t>
      </w:r>
    </w:p>
    <w:p>
      <w:pPr>
        <w:ind w:left="288"/>
      </w:pPr>
      <w:r>
        <w:rPr>
          <w:b/>
          <w:color w:val="003CA0"/>
          <w:sz w:val="16"/>
        </w:rPr>
        <w:t>[MS 40.556 AgR, rel. min. Nunes Marques, j. 18-2-2026, 2ª T, DJE de 27-2-2026.]</w:t>
      </w:r>
    </w:p>
    <w:p>
      <w:pPr>
        <w:ind w:left="288"/>
      </w:pPr>
      <w:r>
        <w:rPr>
          <w:color w:val="8C8C8C"/>
          <w:sz w:val="12"/>
        </w:rPr>
        <w:t>cf-art-5-inc-XIII</w:t>
      </w:r>
      <w:r>
        <w:rPr>
          <w:color w:val="003CA0"/>
          <w:sz w:val="12"/>
        </w:rPr>
        <w:t xml:space="preserve"> | ADPF 722</w:t>
      </w:r>
      <w:r>
        <w:rPr>
          <w:color w:val="003CA0"/>
          <w:sz w:val="12"/>
        </w:rPr>
        <w:t xml:space="preserve"> | rel. Cármen Lúcia</w:t>
      </w:r>
    </w:p>
    <w:p>
      <w:pPr>
        <w:ind w:left="288"/>
      </w:pPr>
      <w:r>
        <w:rPr>
          <w:color w:val="1E1E1E"/>
          <w:sz w:val="18"/>
        </w:rPr>
        <w:t>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88"/>
      </w:pPr>
      <w:r>
        <w:rPr>
          <w:b/>
          <w:color w:val="003CA0"/>
          <w:sz w:val="16"/>
        </w:rPr>
        <w:t>[ADPF 722, rel. min. Cármen Lúcia, j. 16-5-2022, P, DJE de 9-6-2022.]</w:t>
      </w:r>
    </w:p>
    <w:p>
      <w:pPr>
        <w:ind w:left="288"/>
      </w:pPr>
      <w:r>
        <w:rPr>
          <w:color w:val="8C8C8C"/>
          <w:sz w:val="12"/>
        </w:rPr>
        <w:t>cf-art-5-inc-XIII</w:t>
      </w:r>
      <w:r>
        <w:rPr>
          <w:color w:val="003CA0"/>
          <w:sz w:val="12"/>
        </w:rPr>
        <w:t xml:space="preserve"> | ADI 5.108</w:t>
      </w:r>
      <w:r>
        <w:rPr>
          <w:color w:val="003CA0"/>
          <w:sz w:val="12"/>
        </w:rPr>
        <w:t xml:space="preserve"> | rel. Dias Toffoli</w:t>
      </w:r>
    </w:p>
    <w:p>
      <w:pPr>
        <w:ind w:left="288"/>
      </w:pPr>
      <w:r>
        <w:rPr>
          <w:color w:val="1E1E1E"/>
          <w:sz w:val="18"/>
        </w:rPr>
        <w:t>A ordem constitucional brasileira garante a formação de associações por pessoas, naturais ou jurídicas, que queiram, juntas, perseguir finalidade lícita de forma continuada, do que decorre, além da pluralidade de atores e da estabilidade, a ideia de voluntariedade, característica que torna dissonante da estrutura que a Constituição Federal atribuiu às associações a reunião compulsória de seus membros. Ao consagrar a liberdade de associação, a Constituição fê-lo como expressão da autonomia da vontade, haja vista que à pessoa, natural ou não, foi conferido o direito de se associar, de não se ass</w:t>
      </w:r>
    </w:p>
    <w:p>
      <w:pPr>
        <w:ind w:left="288"/>
      </w:pPr>
      <w:r>
        <w:rPr>
          <w:b/>
          <w:color w:val="003CA0"/>
          <w:sz w:val="16"/>
        </w:rPr>
        <w:t>[ADI 5.108, rel. min. Dias Toffoli, j. 28-3-2022, P, DJE de 21-6-2022.]</w:t>
      </w:r>
    </w:p>
    <w:p>
      <w:pPr>
        <w:ind w:left="288"/>
      </w:pPr>
      <w:r>
        <w:rPr>
          <w:color w:val="8C8C8C"/>
          <w:sz w:val="12"/>
        </w:rPr>
        <w:t>cf-art-5-inc-XIII</w:t>
      </w:r>
      <w:r>
        <w:rPr>
          <w:color w:val="003CA0"/>
          <w:sz w:val="12"/>
        </w:rPr>
        <w:t xml:space="preserve"> | ADI 3.757</w:t>
      </w:r>
      <w:r>
        <w:rPr>
          <w:color w:val="003CA0"/>
          <w:sz w:val="12"/>
        </w:rPr>
        <w:t xml:space="preserve"> | rel. Dias Toffoli</w:t>
      </w:r>
    </w:p>
    <w:p>
      <w:pPr>
        <w:ind w:left="288"/>
      </w:pPr>
      <w:r>
        <w:rPr>
          <w:color w:val="1E1E1E"/>
          <w:sz w:val="18"/>
        </w:rPr>
        <w:t>É constitucional a norma estadual que assegura, no âmbito da educação superior: (i) a livre criação e a auto-organização de centros e diretórios acadêmicos, (ii) seu funcionamento no espaço físico da faculdade, (iii) a livre circulação das ideias por eles produzidas, (iv) o acesso dos seus membros às salas de aula e (v) a participação em órgãos colegiados, em observância aos mandamentos constitucionais da liberdade de associação (CF/1988, art. 5º, XVII), da promoção de uma educação plena e capacitadora para o exercício da cidadania (CF/1988, art. 205) e da gestão democrática da educação (CF/19</w:t>
      </w:r>
    </w:p>
    <w:p>
      <w:pPr>
        <w:ind w:left="288"/>
      </w:pPr>
      <w:r>
        <w:rPr>
          <w:b/>
          <w:color w:val="003CA0"/>
          <w:sz w:val="16"/>
        </w:rPr>
        <w:t>[ADI 3.757, rel. min. Dias Toffoli, j. 17-10-2018, P, DJE de 27-4-2020.]</w:t>
      </w:r>
    </w:p>
    <w:p>
      <w:pPr>
        <w:ind w:left="288"/>
      </w:pPr>
      <w:r>
        <w:rPr>
          <w:color w:val="8C8C8C"/>
          <w:sz w:val="12"/>
        </w:rPr>
        <w:t>cf-art-5-inc-XIII</w:t>
      </w:r>
      <w:r>
        <w:rPr>
          <w:color w:val="003CA0"/>
          <w:sz w:val="12"/>
        </w:rPr>
        <w:t xml:space="preserve"> | ADI 1.194</w:t>
      </w:r>
      <w:r>
        <w:rPr>
          <w:color w:val="003CA0"/>
          <w:sz w:val="12"/>
        </w:rPr>
        <w:t xml:space="preserve"> | rel. Maurício Corrêa</w:t>
      </w:r>
    </w:p>
    <w:p>
      <w:pPr>
        <w:ind w:left="288"/>
      </w:pPr>
      <w:r>
        <w:rPr>
          <w:color w:val="1E1E1E"/>
          <w:sz w:val="18"/>
        </w:rPr>
        <w:t>A obrigatoriedade do visto de advogado para o registro de atos e contratos constitutivos de pessoas jurídicas (art. 1º, § 2º, da Lei 8.906/1994) não ofende os princípios constitucionais da isonomia e da liberdade associativa.</w:t>
      </w:r>
    </w:p>
    <w:p>
      <w:pPr>
        <w:ind w:left="288"/>
      </w:pPr>
      <w:r>
        <w:rPr>
          <w:b/>
          <w:color w:val="003CA0"/>
          <w:sz w:val="16"/>
        </w:rPr>
        <w:t>[ADI 1.194, rel. min. Maurício Corrêa, red. do ac. min. Cármen Lúcia, j. 20-5-2009, P, DJE de 11-9-2009.]</w:t>
      </w:r>
    </w:p>
    <w:p>
      <w:pPr>
        <w:ind w:left="288"/>
      </w:pPr>
      <w:r>
        <w:rPr>
          <w:color w:val="8C8C8C"/>
          <w:sz w:val="12"/>
        </w:rPr>
        <w:t>cf-art-5-inc-XIII</w:t>
      </w:r>
      <w:r>
        <w:rPr>
          <w:color w:val="003CA0"/>
          <w:sz w:val="12"/>
        </w:rPr>
        <w:t xml:space="preserve"> | ADI 3.045</w:t>
      </w:r>
      <w:r>
        <w:rPr>
          <w:color w:val="003CA0"/>
          <w:sz w:val="12"/>
        </w:rPr>
        <w:t xml:space="preserve"> | rel. Celso de Mello</w:t>
      </w:r>
    </w:p>
    <w:p>
      <w:pPr>
        <w:ind w:left="288"/>
      </w:pPr>
      <w:r>
        <w:rPr>
          <w:color w:val="1E1E1E"/>
          <w:sz w:val="18"/>
        </w:rPr>
        <w:t>A primeira Constituição política do Brasil a dispor sobre a liberdade de associação foi, precisamente, a Constituição republicana de 1891, e, desde então, essa prerrogativa essencial tem sido contemplada nos sucessivos documentos constitucionais brasileiros, com a ressalva de que, somente a partir da Constituição de 1934, a liberdade de associação ganhou contornos próprios, dissociando-se do direito fundamental de reunião, consoante se depreende do art. 113, § 12, daquela Carta Política. Com efeito, a liberdade de associação não se confunde com o direito de reunião, possuindo, em relação a est</w:t>
      </w:r>
    </w:p>
    <w:p>
      <w:pPr>
        <w:ind w:left="288"/>
      </w:pPr>
      <w:r>
        <w:rPr>
          <w:b/>
          <w:color w:val="003CA0"/>
          <w:sz w:val="16"/>
        </w:rPr>
        <w:t>[ADI 3.045, rel. min. Celso de Mello, j. 10-8-2005, P, DJ de 1º-6-2007.]</w:t>
      </w:r>
    </w:p>
    <w:p>
      <w:pPr>
        <w:ind w:left="288"/>
      </w:pPr>
      <w:r>
        <w:rPr>
          <w:color w:val="8C8C8C"/>
          <w:sz w:val="12"/>
        </w:rPr>
        <w:t>cf-art-5-inc-XIII</w:t>
      </w:r>
      <w:r>
        <w:rPr>
          <w:color w:val="003CA0"/>
          <w:sz w:val="12"/>
        </w:rPr>
        <w:t xml:space="preserve"> | ADI 2.054</w:t>
      </w:r>
      <w:r>
        <w:rPr>
          <w:color w:val="003CA0"/>
          <w:sz w:val="12"/>
        </w:rPr>
        <w:t xml:space="preserve"> | rel. Ilmar Galvão</w:t>
      </w:r>
    </w:p>
    <w:p>
      <w:pPr>
        <w:ind w:left="288"/>
      </w:pPr>
      <w:r>
        <w:rPr>
          <w:color w:val="1E1E1E"/>
          <w:sz w:val="18"/>
        </w:rPr>
        <w:t xml:space="preserve">Liberdade negativa de associação: sua existência, nos textos constitucionais anteriores, como corolário da liberdade positiva de associação e seu alcance e inteligência, na Constituição, quando se cuide de entidade destinada a viabilizar a gestão coletiva de arrecadação e distribuição de direitos autorais e conexos, cuja forma e organização se remeteram à lei. Direitos autorais e conexos: sistema de gestão coletiva de arrecadação e distribuição por meio do Ecad [Escritório Central de Arrecadação e Distribuição] (Lei 9.610/1998, art. 99), sem ofensa do art. 5º, XVII e XX, da Constituição, cuja </w:t>
      </w:r>
    </w:p>
    <w:p>
      <w:pPr>
        <w:ind w:left="288"/>
      </w:pPr>
      <w:r>
        <w:rPr>
          <w:b/>
          <w:color w:val="003CA0"/>
          <w:sz w:val="16"/>
        </w:rPr>
        <w:t>[ADI 2.054, rel. min. Ilmar Galvão, red. do ac. min. Sepúlveda Pertence, j. 2-4-2003, P, DJ de 17-10-2003.]</w:t>
      </w:r>
    </w:p>
    <w:p>
      <w:pPr>
        <w:ind w:left="288"/>
      </w:pPr>
      <w:r>
        <w:rPr>
          <w:color w:val="8C8C8C"/>
          <w:sz w:val="12"/>
        </w:rPr>
        <w:t>cf-art-5-inc-XIII</w:t>
      </w:r>
      <w:r>
        <w:rPr>
          <w:color w:val="003CA0"/>
          <w:sz w:val="12"/>
        </w:rPr>
        <w:t xml:space="preserve"> | ADI 444</w:t>
      </w:r>
      <w:r>
        <w:rPr>
          <w:color w:val="003CA0"/>
          <w:sz w:val="12"/>
        </w:rPr>
        <w:t xml:space="preserve"> | rel. Moreira Alves</w:t>
      </w:r>
    </w:p>
    <w:p>
      <w:pPr>
        <w:ind w:left="288"/>
      </w:pPr>
      <w:r>
        <w:rPr>
          <w:color w:val="1E1E1E"/>
          <w:sz w:val="18"/>
        </w:rPr>
        <w:t>Confederações como a presente são meros organismos de coordenação de entidades sindicais ou não (...), que não integram a hierarquia das entidades sindicais, e que têm sido admitidas em nosso sistema jurídico tão só pelo princípio da liberdade de associação.</w:t>
      </w:r>
    </w:p>
    <w:p>
      <w:pPr>
        <w:ind w:left="288"/>
      </w:pPr>
      <w:r>
        <w:rPr>
          <w:b/>
          <w:color w:val="003CA0"/>
          <w:sz w:val="16"/>
        </w:rPr>
        <w:t>[ADI 444 MC, rel. min. Moreira Alves, j. 14-6-1991, P, DJ de 25-10-1991.]</w:t>
      </w:r>
    </w:p>
    <w:p>
      <w:pPr>
        <w:ind w:left="288"/>
      </w:pPr>
      <w:r>
        <w:rPr>
          <w:color w:val="8C8C8C"/>
          <w:sz w:val="12"/>
        </w:rPr>
        <w:t>cf-art-5-inc-XIII</w:t>
      </w:r>
      <w:r>
        <w:rPr>
          <w:color w:val="003CA0"/>
          <w:sz w:val="12"/>
        </w:rPr>
        <w:t xml:space="preserve"> | RE 695.911</w:t>
      </w:r>
      <w:r>
        <w:rPr>
          <w:color w:val="003CA0"/>
          <w:sz w:val="12"/>
        </w:rPr>
        <w:t xml:space="preserve"> | rel. Dias Toffoli</w:t>
      </w:r>
    </w:p>
    <w:p>
      <w:pPr>
        <w:ind w:left="288"/>
      </w:pPr>
      <w:r>
        <w:rPr>
          <w:color w:val="1E1E1E"/>
          <w:sz w:val="18"/>
        </w:rPr>
        <w:t>É inconstitucional a cobrança por parte de associação de taxa de manutenção e conservação de loteamento imobiliário urbano de proprietário não associado até o advento da Lei 13.465/17, ou de anterior lei municipal que discipline a questão, a partir da qual se torna possível a cotização dos proprietários de imóveis, titulares de direitos ou moradores em loteamentos de acesso controlado, que i) já possuindo lote, adiram ao ato constitutivo das entidades equiparadas a administradoras de imóveis ou (ii) sendo novos adquirentes de lotes, o ato constitutivo da obrigação esteja registrado no competen</w:t>
      </w:r>
    </w:p>
    <w:p>
      <w:pPr>
        <w:ind w:left="288"/>
      </w:pPr>
      <w:r>
        <w:rPr>
          <w:b/>
          <w:color w:val="003CA0"/>
          <w:sz w:val="16"/>
        </w:rPr>
        <w:t>[RE 695.911, rel. min. Dias Toffoli, j. 15-12-2020, P, DJE de 19-4-2021. Tema 492, com mérito julgado.]</w:t>
      </w:r>
    </w:p>
    <w:p>
      <w:pPr>
        <w:ind w:left="288"/>
      </w:pPr>
      <w:r>
        <w:rPr>
          <w:color w:val="8C8C8C"/>
          <w:sz w:val="12"/>
        </w:rPr>
        <w:t>cf-art-5-inc-XIII</w:t>
      </w:r>
      <w:r>
        <w:rPr>
          <w:color w:val="003CA0"/>
          <w:sz w:val="12"/>
        </w:rPr>
        <w:t xml:space="preserve"> | HC 106.808</w:t>
      </w:r>
      <w:r>
        <w:rPr>
          <w:color w:val="003CA0"/>
          <w:sz w:val="12"/>
        </w:rPr>
        <w:t xml:space="preserve"> | rel. Gilmar Mendes</w:t>
      </w:r>
    </w:p>
    <w:p>
      <w:pPr>
        <w:ind w:left="288"/>
      </w:pPr>
      <w:r>
        <w:rPr>
          <w:color w:val="1E1E1E"/>
          <w:sz w:val="18"/>
        </w:rPr>
        <w:t>O direito à plena liberdade de associação (art. 5º, XVII, da CF) está intrinsecamente ligado aos preceitos constitucionais de proteção da dignidade da pessoa, de livre iniciativa, da autonomia da vontade e da liberdade de expressão. Uma associação que deva pedir licença para criticar situações de arbitrariedades terá sua atuação completamente esvaziada.</w:t>
      </w:r>
    </w:p>
    <w:p>
      <w:pPr>
        <w:ind w:left="288"/>
      </w:pPr>
      <w:r>
        <w:rPr>
          <w:b/>
          <w:color w:val="003CA0"/>
          <w:sz w:val="16"/>
        </w:rPr>
        <w:t>[HC 106.808, rel. min. Gilmar Mendes, j. 9-4-2013, 2ª T, DJE de 24-4-2013.]</w:t>
      </w:r>
    </w:p>
    <w:p>
      <w:pPr>
        <w:ind w:left="288"/>
      </w:pPr>
      <w:r>
        <w:rPr>
          <w:color w:val="8C8C8C"/>
          <w:sz w:val="12"/>
        </w:rPr>
        <w:t>cf-art-5-inc-XIII</w:t>
      </w:r>
      <w:r>
        <w:rPr>
          <w:color w:val="003CA0"/>
          <w:sz w:val="12"/>
        </w:rPr>
        <w:t xml:space="preserve"> | RE 207.858</w:t>
      </w:r>
      <w:r>
        <w:rPr>
          <w:color w:val="003CA0"/>
          <w:sz w:val="12"/>
        </w:rPr>
        <w:t xml:space="preserve"> | rel. Marco Aurélio</w:t>
      </w:r>
    </w:p>
    <w:p>
      <w:pPr>
        <w:ind w:left="288"/>
      </w:pPr>
      <w:r>
        <w:rPr>
          <w:color w:val="1E1E1E"/>
          <w:sz w:val="18"/>
        </w:rPr>
        <w:t>Não se há de confundir a liberdade de associação, prevista de forma geral no inciso XVII do rol das garantias constitucionais, com a criação, em si, de sindicato. O critério da especificidade direciona à observação do disposto no inciso II do art. 8º da CF, no que agasalhada a unicidade sindical de forma mitigada, ou seja, considerada a área de atuação, nunca inferior à de um Município.</w:t>
      </w:r>
    </w:p>
    <w:p>
      <w:pPr>
        <w:ind w:left="288"/>
      </w:pPr>
      <w:r>
        <w:rPr>
          <w:b/>
          <w:color w:val="003CA0"/>
          <w:sz w:val="16"/>
        </w:rPr>
        <w:t>[RE 207.858, rel. min. Marco Aurélio, j. 27-10-1998, 2ª T, DJ de 14-5-1999.]</w:t>
      </w:r>
    </w:p>
    <w:p>
      <w:pPr>
        <w:ind w:left="288"/>
      </w:pPr>
      <w:r>
        <w:rPr>
          <w:color w:val="8C8C8C"/>
          <w:sz w:val="12"/>
        </w:rPr>
        <w:t>cf-art-5-inc-XIII</w:t>
      </w:r>
      <w:r>
        <w:rPr>
          <w:color w:val="003CA0"/>
          <w:sz w:val="12"/>
        </w:rPr>
        <w:t xml:space="preserve"> | ADI 3.045</w:t>
      </w:r>
      <w:r>
        <w:rPr>
          <w:color w:val="003CA0"/>
          <w:sz w:val="12"/>
        </w:rPr>
        <w:t xml:space="preserve"> | rel. Celso de Mello</w:t>
      </w:r>
    </w:p>
    <w:p>
      <w:pPr>
        <w:ind w:left="288"/>
      </w:pPr>
      <w:r>
        <w:rPr>
          <w:color w:val="1E1E1E"/>
          <w:sz w:val="18"/>
        </w:rPr>
        <w:t>XVIII - a criação de associações e, na forma da lei, a de cooperativas independem de autorização, sendo vedada a interferência estatal em seu funcionamento; XIX - as associações só poderão ser compulsoriamente dissolvidas ou ter suas atividades suspensas por decisão judicial, exigindo-se, no primeiro caso, o trânsito em julgado; Cabe enfatizar, neste ponto, que as normas inscritas no art. 5º, XVII a XXI, da atual CF, protegem as associações, inclusive as sociedades, da atuação eventualmente arbitrária do legislador e do administrador, eis que somente o Poder Judiciário, por meio de processo re</w:t>
      </w:r>
    </w:p>
    <w:p>
      <w:pPr>
        <w:ind w:left="288"/>
      </w:pPr>
      <w:r>
        <w:rPr>
          <w:b/>
          <w:color w:val="003CA0"/>
          <w:sz w:val="16"/>
        </w:rPr>
        <w:t>[ADI 3.045, rel. min. Celso de Mello, j. 10-8-2005, P, DJ de 1º-6-2007.]</w:t>
      </w:r>
    </w:p>
    <w:p>
      <w:pPr>
        <w:ind w:left="288"/>
      </w:pPr>
      <w:r>
        <w:rPr>
          <w:color w:val="8C8C8C"/>
          <w:sz w:val="12"/>
        </w:rPr>
        <w:t>cf-art-5-inc-XX</w:t>
      </w:r>
      <w:r>
        <w:rPr>
          <w:color w:val="003CA0"/>
          <w:sz w:val="12"/>
        </w:rPr>
        <w:t xml:space="preserve"> | ADI 3.464</w:t>
      </w:r>
      <w:r>
        <w:rPr>
          <w:color w:val="003CA0"/>
          <w:sz w:val="12"/>
        </w:rPr>
        <w:t xml:space="preserve"> | rel. Menezes Direito</w:t>
      </w:r>
    </w:p>
    <w:p>
      <w:pPr>
        <w:ind w:left="288"/>
      </w:pPr>
      <w:r>
        <w:rPr>
          <w:color w:val="1E1E1E"/>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88"/>
      </w:pPr>
      <w:r>
        <w:rPr>
          <w:b/>
          <w:color w:val="003CA0"/>
          <w:sz w:val="16"/>
        </w:rPr>
        <w:t>[ADI 3.464, rel. min. Menezes Direito, j. 29-10-2008, P, DJE de 6-3-2009.]</w:t>
      </w:r>
    </w:p>
    <w:p>
      <w:pPr>
        <w:ind w:left="288"/>
      </w:pPr>
      <w:r>
        <w:rPr>
          <w:color w:val="8C8C8C"/>
          <w:sz w:val="12"/>
        </w:rPr>
        <w:t>cf-art-5-inc-XX</w:t>
      </w:r>
      <w:r>
        <w:rPr>
          <w:color w:val="003CA0"/>
          <w:sz w:val="12"/>
        </w:rPr>
        <w:t xml:space="preserve"> | ADI 1.416</w:t>
      </w:r>
      <w:r>
        <w:rPr>
          <w:color w:val="003CA0"/>
          <w:sz w:val="12"/>
        </w:rPr>
        <w:t xml:space="preserve"> | rel. Gilmar Mendes</w:t>
      </w:r>
    </w:p>
    <w:p>
      <w:pPr>
        <w:ind w:left="288"/>
      </w:pPr>
      <w:r>
        <w:rPr>
          <w:color w:val="1E1E1E"/>
          <w:sz w:val="18"/>
        </w:rPr>
        <w:t>Estatuto da Polícia Civil do Estado do Piauí (LC 1, de 26-6-1990), art. 151; Portaria 12.000-007/1996, de 9-1-1996, do secretário de Segurança Pública do Estado do Piauí. Vedação de desconto de contribuição sindical. Violação ao art. 8º, IV, c/c o art. 37, VI, da Constituição. Reconhecimento de duas entidades representativas da Polícia Civil do Estado do Piauí. Transgressão ao art. 5º, XX, tanto na sua dimensão positiva quanto na dimensão negativa (direito de não se associar).</w:t>
      </w:r>
    </w:p>
    <w:p>
      <w:pPr>
        <w:ind w:left="288"/>
      </w:pPr>
      <w:r>
        <w:rPr>
          <w:b/>
          <w:color w:val="003CA0"/>
          <w:sz w:val="16"/>
        </w:rPr>
        <w:t>[ADI 1.416, rel. min. Gilmar Mendes, j. 10-10-2002, P, DJ de 14-11-2002.]</w:t>
      </w:r>
    </w:p>
    <w:p>
      <w:pPr>
        <w:ind w:left="288"/>
      </w:pPr>
      <w:r>
        <w:rPr>
          <w:color w:val="8C8C8C"/>
          <w:sz w:val="12"/>
        </w:rPr>
        <w:t>cf-art-5-inc-XX</w:t>
      </w:r>
      <w:r>
        <w:rPr>
          <w:color w:val="003CA0"/>
          <w:sz w:val="12"/>
        </w:rPr>
        <w:t xml:space="preserve"> | RE 820.823</w:t>
      </w:r>
      <w:r>
        <w:rPr>
          <w:color w:val="003CA0"/>
          <w:sz w:val="12"/>
        </w:rPr>
        <w:t xml:space="preserve"> | rel. Dias Toffoli</w:t>
      </w:r>
    </w:p>
    <w:p>
      <w:pPr>
        <w:ind w:left="288"/>
      </w:pPr>
      <w:r>
        <w:rPr>
          <w:color w:val="1E1E1E"/>
          <w:sz w:val="18"/>
        </w:rPr>
        <w:t>Considerando-se os princípios da legalidade, da autonomia de vontade e da liberdade de associação, não cabe à associação, a pretexto de evitar vantagem sem causa ou de proteger a boa-fé, condicionar o desligamento de associado à quitação de benefício (como, v.g., empréstimo bancário) obtido por intermédio daquela ou ao pagamento de multa. Tal circunstância, contudo, não impede que a associação se utilize dos meios de direito para a cobrança de eventuais compensações ou multas em face do indivíduo que a ela se filia para obter benefícios e, posteriormente, se desliga da entidade. (...) É incons</w:t>
      </w:r>
    </w:p>
    <w:p>
      <w:pPr>
        <w:ind w:left="288"/>
      </w:pPr>
      <w:r>
        <w:rPr>
          <w:b/>
          <w:color w:val="003CA0"/>
          <w:sz w:val="16"/>
        </w:rPr>
        <w:t>[RE 820.823, rel. min. Dias Toffoli, j. 3-10-2022, P, DJE de 25-10-2022, Tema 922, com mérito julgado.]</w:t>
      </w:r>
    </w:p>
    <w:p>
      <w:pPr>
        <w:ind w:left="288"/>
      </w:pPr>
      <w:r>
        <w:rPr>
          <w:color w:val="8C8C8C"/>
          <w:sz w:val="12"/>
        </w:rPr>
        <w:t>cf-art-5-inc-XX</w:t>
      </w:r>
      <w:r>
        <w:rPr>
          <w:color w:val="003CA0"/>
          <w:sz w:val="12"/>
        </w:rPr>
        <w:t xml:space="preserve"> | ARE 1.280.820</w:t>
      </w:r>
      <w:r>
        <w:rPr>
          <w:color w:val="003CA0"/>
          <w:sz w:val="12"/>
        </w:rPr>
        <w:t xml:space="preserve"> | rel. Gilmar Mendes</w:t>
      </w:r>
    </w:p>
    <w:p>
      <w:pPr>
        <w:ind w:left="288"/>
      </w:pPr>
      <w:r>
        <w:rPr>
          <w:color w:val="1E1E1E"/>
          <w:sz w:val="18"/>
        </w:rPr>
        <w:t>“1. É compatível com a Constituição a exigência de registro de cooperativas na Organização das Cooperativas Brasileiras – OCB ou em entidade estadual correspondente, prevista no art. 107 da Lei nº 5.764/71, como condição para obtenção de registro no RNTRC. 2. Tal exigência configura expressão legítima do dever estatal de fomentar e organizar o cooperativismo, não violando a liberdade de associação nem a livre iniciativa.”</w:t>
      </w:r>
    </w:p>
    <w:p>
      <w:pPr>
        <w:ind w:left="288"/>
      </w:pPr>
      <w:r>
        <w:rPr>
          <w:b/>
          <w:color w:val="003CA0"/>
          <w:sz w:val="16"/>
        </w:rPr>
        <w:t>[ARE 1.280.820, rel. min. Gilmar Mendes, j. 12.08.2025, 2ª T, DJE de 14.08.2025.]</w:t>
      </w:r>
    </w:p>
    <w:p>
      <w:pPr>
        <w:ind w:left="288"/>
      </w:pPr>
      <w:r>
        <w:rPr>
          <w:color w:val="8C8C8C"/>
          <w:sz w:val="12"/>
        </w:rPr>
        <w:t>cf-art-5-inc-XX</w:t>
      </w:r>
      <w:r>
        <w:rPr>
          <w:color w:val="003CA0"/>
          <w:sz w:val="12"/>
        </w:rPr>
        <w:t xml:space="preserve"> | RE 432.106</w:t>
      </w:r>
      <w:r>
        <w:rPr>
          <w:color w:val="003CA0"/>
          <w:sz w:val="12"/>
        </w:rPr>
        <w:t xml:space="preserve"> | rel. Marco Aurélio</w:t>
      </w:r>
    </w:p>
    <w:p>
      <w:pPr>
        <w:ind w:left="288"/>
      </w:pPr>
      <w:r>
        <w:rPr>
          <w:color w:val="1E1E1E"/>
          <w:sz w:val="18"/>
        </w:rPr>
        <w:t>Por não se confundir a associação de moradores com o condomínio disciplinado pela Lei 4.591/1964, descabe, a pretexto de evitar vantagem sem causa, impor mensalidade a morador ou a proprietário de imóvel que a ela não tenha aderido. Considerações sobre o princípio da legalidade e da autonomia da manifestação de vontade – art. 5º, II e XX, da CF.</w:t>
      </w:r>
    </w:p>
    <w:p>
      <w:pPr>
        <w:ind w:left="288"/>
      </w:pPr>
      <w:r>
        <w:rPr>
          <w:b/>
          <w:color w:val="003CA0"/>
          <w:sz w:val="16"/>
        </w:rPr>
        <w:t>[RE 432.106, rel. min. Marco Aurélio, j. 20-9-2011, 1ª T, DJE de 4-11-2011.]</w:t>
      </w:r>
    </w:p>
    <w:p>
      <w:pPr>
        <w:ind w:left="288"/>
      </w:pPr>
      <w:r>
        <w:rPr>
          <w:color w:val="8C8C8C"/>
          <w:sz w:val="12"/>
        </w:rPr>
        <w:t>cf-art-5-inc-XXI</w:t>
      </w:r>
    </w:p>
    <w:p>
      <w:pPr>
        <w:ind w:left="288"/>
      </w:pPr>
      <w:r>
        <w:rPr>
          <w:color w:val="1E1E1E"/>
          <w:sz w:val="18"/>
        </w:rPr>
        <w:t>A impetração de mandado de segurança coletivo por entidade de classe em favor dos associados independe da autorização destes.</w:t>
      </w:r>
    </w:p>
    <w:p>
      <w:pPr>
        <w:ind w:left="288"/>
      </w:pPr>
      <w:r>
        <w:rPr>
          <w:b/>
          <w:color w:val="003CA0"/>
          <w:sz w:val="16"/>
        </w:rPr>
        <w:t>[Súmula 629.]</w:t>
      </w:r>
    </w:p>
    <w:p>
      <w:pPr>
        <w:ind w:left="288"/>
      </w:pPr>
      <w:r>
        <w:rPr>
          <w:color w:val="8C8C8C"/>
          <w:sz w:val="12"/>
        </w:rPr>
        <w:t>cf-art-5-inc-XXI</w:t>
      </w:r>
      <w:r>
        <w:rPr>
          <w:color w:val="003CA0"/>
          <w:sz w:val="12"/>
        </w:rPr>
        <w:t xml:space="preserve"> | ARE 1.293.130</w:t>
      </w:r>
      <w:r>
        <w:rPr>
          <w:color w:val="003CA0"/>
          <w:sz w:val="12"/>
        </w:rPr>
        <w:t xml:space="preserve"> | rel. Luiz Fux</w:t>
      </w:r>
    </w:p>
    <w:p>
      <w:pPr>
        <w:ind w:left="288"/>
      </w:pPr>
      <w:r>
        <w:rPr>
          <w:color w:val="1E1E1E"/>
          <w:sz w:val="18"/>
        </w:rPr>
        <w:t>É desnecessária a autorização expressa dos associados, a relação nominal destes, bem como a comprovação de filiação prévia, para a cobrança de valores pretéritos de título judicial decorrente de mandado de segurança coletivo impetrado por entidade associativa de caráter civil.</w:t>
      </w:r>
    </w:p>
    <w:p>
      <w:pPr>
        <w:ind w:left="288"/>
      </w:pPr>
      <w:r>
        <w:rPr>
          <w:b/>
          <w:color w:val="003CA0"/>
          <w:sz w:val="16"/>
        </w:rPr>
        <w:t>[ARE 1.293.130, rel. min. Luiz Fux, j. 17-12-2020, P, DJE de 8-1-2021, Tema 1.119, com mérito julgado e reafirmação de jurisprudência.]</w:t>
      </w:r>
    </w:p>
    <w:p>
      <w:pPr>
        <w:ind w:left="288"/>
      </w:pPr>
      <w:r>
        <w:rPr>
          <w:color w:val="8C8C8C"/>
          <w:sz w:val="12"/>
        </w:rPr>
        <w:t>cf-art-5-inc-XXI</w:t>
      </w:r>
      <w:r>
        <w:rPr>
          <w:color w:val="003CA0"/>
          <w:sz w:val="12"/>
        </w:rPr>
        <w:t xml:space="preserve"> | RE 612.043</w:t>
      </w:r>
      <w:r>
        <w:rPr>
          <w:color w:val="003CA0"/>
          <w:sz w:val="12"/>
        </w:rPr>
        <w:t xml:space="preserve"> | rel. Marco Aurélio</w:t>
      </w:r>
    </w:p>
    <w:p>
      <w:pPr>
        <w:ind w:left="288"/>
      </w:pPr>
      <w:r>
        <w:rPr>
          <w:color w:val="1E1E1E"/>
          <w:sz w:val="18"/>
        </w:rPr>
        <w:t>Beneficiários do título executivo, no caso de ação proposta por associação, são aqueles que, residentes na área compreendida na jurisdição do órgão julgador, detinham, antes do ajuizamento, a condição de filiados e constaram da lista apresentada com a peça inicial.</w:t>
      </w:r>
    </w:p>
    <w:p>
      <w:pPr>
        <w:ind w:left="288"/>
      </w:pPr>
      <w:r>
        <w:rPr>
          <w:b/>
          <w:color w:val="003CA0"/>
          <w:sz w:val="16"/>
        </w:rPr>
        <w:t>[RE 612.043, rel. min. Marco Aurélio, j. 10-5-2017, P, DJE de 6-10-2017. Tema 499, com mérito julgado.]</w:t>
      </w:r>
    </w:p>
    <w:p>
      <w:pPr>
        <w:ind w:left="288"/>
      </w:pPr>
      <w:r>
        <w:rPr>
          <w:color w:val="8C8C8C"/>
          <w:sz w:val="12"/>
        </w:rPr>
        <w:t>cf-art-5-inc-XXI</w:t>
      </w:r>
      <w:r>
        <w:rPr>
          <w:color w:val="003CA0"/>
          <w:sz w:val="12"/>
        </w:rPr>
        <w:t xml:space="preserve"> | RE 573.232</w:t>
      </w:r>
    </w:p>
    <w:p>
      <w:pPr>
        <w:ind w:left="288"/>
      </w:pPr>
      <w:r>
        <w:rPr>
          <w:color w:val="1E1E1E"/>
          <w:sz w:val="18"/>
        </w:rPr>
        <w:t>Vide RE 573.232, red. do ac. min.. Marco Aurélio, voto do min. Teori Zavascki, j. 14-5-2014, P, DJE de 19-9-2014. Tema 82, com mérito julgado (...) reafirma-se o entendimento da jurisprudência do STF, corroborada pelo parágrafo único do art. 2º-A da Lei 9.494/1997, de que a autorização a que se refere o art. 5º, XXI, deve ser expressa por ato individual do associado ou por assembleia da entidade, sendo insuficiente a mera autorização genérica prevista em cláusula estatutária. Todavia, no caso concreto, a demanda foi proposta com base em autorizações individuais (não havendo notícia alguma sobr</w:t>
      </w:r>
    </w:p>
    <w:p>
      <w:pPr>
        <w:ind w:left="288"/>
      </w:pPr>
      <w:r>
        <w:rPr>
          <w:b/>
          <w:color w:val="003CA0"/>
          <w:sz w:val="16"/>
        </w:rPr>
        <w:t>[RE 573.232, red. do ac. min. Marco Aurélio, voto do min. Teori Zavascki, j. 14-5-2014, P, DJE de 19-9-2014. Tema 82, com mérito julgado.]</w:t>
      </w:r>
    </w:p>
    <w:p>
      <w:pPr>
        <w:ind w:left="288"/>
      </w:pPr>
      <w:r>
        <w:rPr>
          <w:color w:val="8C8C8C"/>
          <w:sz w:val="12"/>
        </w:rPr>
        <w:t>cf-art-5-inc-XXI</w:t>
      </w:r>
      <w:r>
        <w:rPr>
          <w:color w:val="003CA0"/>
          <w:sz w:val="12"/>
        </w:rPr>
        <w:t xml:space="preserve"> | RE 612.043</w:t>
      </w:r>
      <w:r>
        <w:rPr>
          <w:color w:val="003CA0"/>
          <w:sz w:val="12"/>
        </w:rPr>
        <w:t xml:space="preserve"> | rel. Marco Aurélio</w:t>
      </w:r>
    </w:p>
    <w:p>
      <w:pPr>
        <w:ind w:left="288"/>
      </w:pPr>
      <w:r>
        <w:rPr>
          <w:color w:val="1E1E1E"/>
          <w:sz w:val="18"/>
        </w:rPr>
        <w:t>Vide RE 612.043, rel. min. Marco Aurélio, j. 10-5-2017, P, DJE de 6-10-2017. Tema 499, com mérito julgado Esta Corte firmou o entendimento segundo o qual o sindicato tem legitimidade para atuar como substituto processual na defesa de direitos e interesses coletivos ou individuais homogêneos da categoria que representa. (...) Quanto à violação ao art. 5º, LXX e XXI, da Carta Magna, esta Corte firmou entendimento de que é desnecessária a expressa autorização dos sindicalizados para a substituição processual.</w:t>
      </w:r>
    </w:p>
    <w:p>
      <w:pPr>
        <w:ind w:left="288"/>
      </w:pPr>
      <w:r>
        <w:rPr>
          <w:b/>
          <w:color w:val="003CA0"/>
          <w:sz w:val="16"/>
        </w:rPr>
        <w:t>[RE 555.720 AgR, rel. min. Gilmar Mendes, j. 30-9-2008, 2ª T, DJE de 21-11-2008.]</w:t>
      </w:r>
    </w:p>
    <w:p>
      <w:pPr>
        <w:ind w:left="288"/>
      </w:pPr>
      <w:r>
        <w:rPr>
          <w:color w:val="8C8C8C"/>
          <w:sz w:val="12"/>
        </w:rPr>
        <w:t>cf-art-5-inc-XXI</w:t>
      </w:r>
      <w:r>
        <w:rPr>
          <w:color w:val="003CA0"/>
          <w:sz w:val="12"/>
        </w:rPr>
        <w:t xml:space="preserve"> | RE 193.382</w:t>
      </w:r>
      <w:r>
        <w:rPr>
          <w:color w:val="003CA0"/>
          <w:sz w:val="12"/>
        </w:rPr>
        <w:t xml:space="preserve"> | rel. Carlos Velloso</w:t>
      </w:r>
    </w:p>
    <w:p>
      <w:pPr>
        <w:ind w:left="288"/>
      </w:pPr>
      <w:r>
        <w:rPr>
          <w:color w:val="1E1E1E"/>
          <w:sz w:val="18"/>
        </w:rPr>
        <w:t>A legitimação das organizações sindicais, entidades de classe ou associações, para a segurança coletiva, é extraordinária, ocorrendo, em tal caso, substituição processual. CF, art. 5º, LXX. Não se exige, tratando-se de segurança coletiva, a autorização expressa aludida no inciso XXI do art. 5º da Constituição, que contempla hipótese de representação. O objeto do mandado de segurança coletivo será um direito dos associados, independentemente de guardar vínculo com os fins próprios da entidade impetrante do writ, exigindo-se, entretanto, que o direito esteja compreendido na titularidade dos asso</w:t>
      </w:r>
    </w:p>
    <w:p>
      <w:pPr>
        <w:ind w:left="288"/>
      </w:pPr>
      <w:r>
        <w:rPr>
          <w:b/>
          <w:color w:val="003CA0"/>
          <w:sz w:val="16"/>
        </w:rPr>
        <w:t>[RE 193.382, rel. min. Carlos Velloso, j. 28-6-1996, P, DJ de 20-9-1996.]</w:t>
      </w:r>
    </w:p>
    <w:p>
      <w:pPr>
        <w:ind w:left="288"/>
      </w:pPr>
      <w:r>
        <w:rPr>
          <w:color w:val="8C8C8C"/>
          <w:sz w:val="12"/>
        </w:rPr>
        <w:t>cf-art-5-inc-XXI</w:t>
      </w:r>
      <w:r>
        <w:rPr>
          <w:color w:val="003CA0"/>
          <w:sz w:val="12"/>
        </w:rPr>
        <w:t xml:space="preserve"> | RE 437.971</w:t>
      </w:r>
      <w:r>
        <w:rPr>
          <w:color w:val="003CA0"/>
          <w:sz w:val="12"/>
        </w:rPr>
        <w:t xml:space="preserve"> | rel. Cármen Lúcia</w:t>
      </w:r>
    </w:p>
    <w:p>
      <w:pPr>
        <w:ind w:left="288"/>
      </w:pPr>
      <w:r>
        <w:rPr>
          <w:color w:val="1E1E1E"/>
          <w:sz w:val="18"/>
        </w:rPr>
        <w:t>= RE 437.971 AgR, rel. min. Cármen Lúcia, j. 24-8-2010, 1ª T, DJE de 24-9-2010</w:t>
      </w:r>
    </w:p>
    <w:p>
      <w:pPr>
        <w:ind w:left="288"/>
      </w:pPr>
      <w:r>
        <w:rPr>
          <w:color w:val="8C8C8C"/>
          <w:sz w:val="12"/>
        </w:rPr>
        <w:t>cf-art-5-inc-XXII</w:t>
      </w:r>
      <w:r>
        <w:rPr>
          <w:color w:val="003CA0"/>
          <w:sz w:val="12"/>
        </w:rPr>
        <w:t xml:space="preserve"> | ADI 5.783</w:t>
      </w:r>
      <w:r>
        <w:rPr>
          <w:color w:val="003CA0"/>
          <w:sz w:val="12"/>
        </w:rPr>
        <w:t xml:space="preserve"> | rel. Rosa Weber</w:t>
      </w:r>
    </w:p>
    <w:p>
      <w:pPr>
        <w:ind w:left="288"/>
      </w:pPr>
      <w:r>
        <w:rPr>
          <w:color w:val="1E1E1E"/>
          <w:sz w:val="18"/>
        </w:rPr>
        <w:t>Impugnado o art. 3º, § 2º, da Lei nº 12.910/2013 do Estado da Bahia, que impõe prazo à regularização fundiária das terras tradicionalmente ocupadas pelas comunidades de fundo e fecho de pasto mediante a concessão de uso (...). Dada a íntima relação entre a posse das terras coletivas e a reprodução física e cultural das comunidades tradicionais, os direitos territoriais resultam abrangidos pelo direito fundamental à cultura (art. 215, CF), em particular no que diz com a proteção dos grupos participantes do processo civilizatório nacional (§ 1º). Suas diferentes formas de expressão e modos de cr</w:t>
      </w:r>
    </w:p>
    <w:p>
      <w:pPr>
        <w:ind w:left="288"/>
      </w:pPr>
      <w:r>
        <w:rPr>
          <w:b/>
          <w:color w:val="003CA0"/>
          <w:sz w:val="16"/>
        </w:rPr>
        <w:t>[ADI 5.783, rel. min. Rosa Weber, j. 6-9-2023, P, DJE de 14-11-2023.]</w:t>
      </w:r>
    </w:p>
    <w:p>
      <w:pPr>
        <w:ind w:left="288"/>
      </w:pPr>
      <w:r>
        <w:rPr>
          <w:color w:val="8C8C8C"/>
          <w:sz w:val="12"/>
        </w:rPr>
        <w:t>cf-art-5-inc-XXII</w:t>
      </w:r>
      <w:r>
        <w:rPr>
          <w:color w:val="003CA0"/>
          <w:sz w:val="12"/>
        </w:rPr>
        <w:t xml:space="preserve"> | ADI 3.112</w:t>
      </w:r>
      <w:r>
        <w:rPr>
          <w:color w:val="003CA0"/>
          <w:sz w:val="12"/>
        </w:rPr>
        <w:t xml:space="preserve"> | rel. Ricardo Lewandowski</w:t>
      </w:r>
    </w:p>
    <w:p>
      <w:pPr>
        <w:ind w:left="288"/>
      </w:pPr>
      <w:r>
        <w:rPr>
          <w:color w:val="1E1E1E"/>
          <w:sz w:val="18"/>
        </w:rPr>
        <w:t>Ação direta de inconstitucionalidade. Lei 10.826/2003. Estatuto do Desarmamento. (...) O direito do proprietário à percepção de justa e adequada indenização, reconhecida no diploma legal impugnado, afasta a alegada violação ao art. 5º, XXII, da CF, bem como ao ato jurídico perfeito e ao direito adquirido.</w:t>
      </w:r>
    </w:p>
    <w:p>
      <w:pPr>
        <w:ind w:left="288"/>
      </w:pPr>
      <w:r>
        <w:rPr>
          <w:b/>
          <w:color w:val="003CA0"/>
          <w:sz w:val="16"/>
        </w:rPr>
        <w:t>[ADI 3.112, rel. min. Ricardo Lewandowski, j. 2-5-2007, P, DJ de 26-10-2007.]</w:t>
      </w:r>
    </w:p>
    <w:p>
      <w:pPr>
        <w:ind w:left="288"/>
      </w:pPr>
      <w:r>
        <w:rPr>
          <w:color w:val="8C8C8C"/>
          <w:sz w:val="12"/>
        </w:rPr>
        <w:t>cf-art-5-inc-XXII</w:t>
      </w:r>
      <w:r>
        <w:rPr>
          <w:color w:val="003CA0"/>
          <w:sz w:val="12"/>
        </w:rPr>
        <w:t xml:space="preserve"> | ADI 2.213</w:t>
      </w:r>
      <w:r>
        <w:rPr>
          <w:color w:val="003CA0"/>
          <w:sz w:val="12"/>
        </w:rPr>
        <w:t xml:space="preserve"> | rel. Celso de Mello</w:t>
      </w:r>
    </w:p>
    <w:p>
      <w:pPr>
        <w:ind w:left="288"/>
      </w:pPr>
      <w:r>
        <w:rPr>
          <w:color w:val="1E1E1E"/>
          <w:sz w:val="18"/>
        </w:rPr>
        <w:t>O processo de reforma agrária, em uma sociedade estruturada em bases democráticas, não pode ser implementado pelo uso arbitrário da força e pela prática de atos ilícitos de violação possessória, ainda que se cuide de imóveis alegadamente improdutivos, notadamente porque a Constituição da República – ao amparar o proprietário com a cláusula de garantia do direito de propriedade (CF, art. 5º, XXII) – proclama que "ninguém será privado (...) de seus bens, sem o devido processo legal" (art. 5º, LIV).</w:t>
      </w:r>
    </w:p>
    <w:p>
      <w:pPr>
        <w:ind w:left="288"/>
      </w:pPr>
      <w:r>
        <w:rPr>
          <w:b/>
          <w:color w:val="003CA0"/>
          <w:sz w:val="16"/>
        </w:rPr>
        <w:t>[ADI 2.213 MC, rel. min. Celso de Mello, j. 4-4-2002, P, DJ de 23-4-2004.]</w:t>
      </w:r>
    </w:p>
    <w:p>
      <w:pPr>
        <w:ind w:left="288"/>
      </w:pPr>
      <w:r>
        <w:rPr>
          <w:color w:val="8C8C8C"/>
          <w:sz w:val="12"/>
        </w:rPr>
        <w:t>cf-art-5-inc-XXII</w:t>
      </w:r>
      <w:r>
        <w:rPr>
          <w:color w:val="003CA0"/>
          <w:sz w:val="12"/>
        </w:rPr>
        <w:t xml:space="preserve"> | MS 32.752</w:t>
      </w:r>
      <w:r>
        <w:rPr>
          <w:color w:val="003CA0"/>
          <w:sz w:val="12"/>
        </w:rPr>
        <w:t xml:space="preserve"> | rel. Celso de Mello</w:t>
      </w:r>
    </w:p>
    <w:p>
      <w:pPr>
        <w:ind w:left="288"/>
      </w:pPr>
      <w:r>
        <w:rPr>
          <w:color w:val="1E1E1E"/>
          <w:sz w:val="18"/>
        </w:rPr>
        <w:t>= MS 32.752 AgR, rel. min. Celso de Mello, j. 17-6-2015, P, DJE de 10-8-2015 “É infraconstitucional e fática a controvérsia sobre a possibilidade de se limitar, em liquidação de sentença, os efeitos de condenação judicial de reposição salarial decorrente de plano econômico em favor de servidores distritais”.</w:t>
      </w:r>
    </w:p>
    <w:p>
      <w:pPr>
        <w:ind w:left="288"/>
      </w:pPr>
      <w:r>
        <w:rPr>
          <w:b/>
          <w:color w:val="003CA0"/>
          <w:sz w:val="16"/>
        </w:rPr>
        <w:t>[ARE 1.514.867 RG, rel. min. Luís Roberto Barroso, j. 18.10.2024, P, DJE de 22.10.2024, Tema 1.342, com repercussão geral negada.]</w:t>
      </w:r>
    </w:p>
    <w:p>
      <w:pPr>
        <w:ind w:left="288"/>
      </w:pPr>
      <w:r>
        <w:rPr>
          <w:color w:val="8C8C8C"/>
          <w:sz w:val="12"/>
        </w:rPr>
        <w:t>cf-art-5-inc-XXII</w:t>
      </w:r>
      <w:r>
        <w:rPr>
          <w:color w:val="003CA0"/>
          <w:sz w:val="12"/>
        </w:rPr>
        <w:t xml:space="preserve"> | RE 870.947</w:t>
      </w:r>
      <w:r>
        <w:rPr>
          <w:color w:val="003CA0"/>
          <w:sz w:val="12"/>
        </w:rPr>
        <w:t xml:space="preserve"> | rel. Luiz Fux</w:t>
      </w:r>
    </w:p>
    <w:p>
      <w:pPr>
        <w:ind w:left="288"/>
      </w:pPr>
      <w:r>
        <w:rPr>
          <w:color w:val="1E1E1E"/>
          <w:sz w:val="18"/>
        </w:rPr>
        <w:t>O direito fundamental de propriedade (CRFB, art. 5º, XXII) repugna o disposto no art. 1º-F da Lei 9.494/1997, com a redação dada pela Lei 11.960/2009, porquanto a atualização monetária das condenações impostas à Fazenda Pública segundo a remuneração oficial da caderneta de poupança não se qualifica como medida adequada a capturar a variação de preços da economia, sendo inidônea a promover os fins a que se destina.</w:t>
      </w:r>
    </w:p>
    <w:p>
      <w:pPr>
        <w:ind w:left="288"/>
      </w:pPr>
      <w:r>
        <w:rPr>
          <w:b/>
          <w:color w:val="003CA0"/>
          <w:sz w:val="16"/>
        </w:rPr>
        <w:t>[RE 870.947, rel. min. Luiz Fux, j. 20-9-2017, P, DJE de 20-11-2017. Tema 810, com mérito julgado.]</w:t>
      </w:r>
    </w:p>
    <w:p>
      <w:pPr>
        <w:ind w:left="288"/>
      </w:pPr>
      <w:r>
        <w:rPr>
          <w:color w:val="8C8C8C"/>
          <w:sz w:val="12"/>
        </w:rPr>
        <w:t>cf-art-5-inc-XXII</w:t>
      </w:r>
      <w:r>
        <w:rPr>
          <w:color w:val="003CA0"/>
          <w:sz w:val="12"/>
        </w:rPr>
        <w:t xml:space="preserve"> | RE 638.491</w:t>
      </w:r>
      <w:r>
        <w:rPr>
          <w:color w:val="003CA0"/>
          <w:sz w:val="12"/>
        </w:rPr>
        <w:t xml:space="preserve"> | rel. Luiz Fux</w:t>
      </w:r>
    </w:p>
    <w:p>
      <w:pPr>
        <w:ind w:left="288"/>
      </w:pPr>
      <w:r>
        <w:rPr>
          <w:color w:val="1E1E1E"/>
          <w:sz w:val="18"/>
        </w:rPr>
        <w:t>É possível o confisco de todo e qualquer bem de valor econômico apreendido em decorrência do tráfico de drogas, sem a necessidade de se perquirir a habitualidade, reiteração do uso do bem para tal finalidade, a sua modificação para dificultar a descoberta do local do acondicionamento da droga ou qualquer outro requisito além daqueles previstos expressamente no art. 243, parágrafo único, da CF.</w:t>
      </w:r>
    </w:p>
    <w:p>
      <w:pPr>
        <w:ind w:left="288"/>
      </w:pPr>
      <w:r>
        <w:rPr>
          <w:b/>
          <w:color w:val="003CA0"/>
          <w:sz w:val="16"/>
        </w:rPr>
        <w:t>[RE 638.491, rel. min. Luiz Fux, j. 17-5-2017, P, DJE de 23-8-2017. Tema 647, com mérito julgado.]</w:t>
      </w:r>
    </w:p>
    <w:p>
      <w:pPr>
        <w:ind w:left="288"/>
      </w:pPr>
      <w:r>
        <w:rPr>
          <w:color w:val="8C8C8C"/>
          <w:sz w:val="12"/>
        </w:rPr>
        <w:t>cf-art-5-inc-XXII</w:t>
      </w:r>
      <w:r>
        <w:rPr>
          <w:color w:val="003CA0"/>
          <w:sz w:val="12"/>
        </w:rPr>
        <w:t xml:space="preserve"> | ARE 1.521.864</w:t>
      </w:r>
      <w:r>
        <w:rPr>
          <w:color w:val="003CA0"/>
          <w:sz w:val="12"/>
        </w:rPr>
        <w:t xml:space="preserve"> | rel. Flávio Dino</w:t>
      </w:r>
    </w:p>
    <w:p>
      <w:pPr>
        <w:ind w:left="288"/>
      </w:pPr>
      <w:r>
        <w:rPr>
          <w:color w:val="1E1E1E"/>
          <w:sz w:val="18"/>
        </w:rPr>
        <w:t>O direito à propriedade não é absoluto e encontra seu limite na função social, conforme o artigo 5º, XXII e XXIII, da CF/1988. Os proprietários podem ser exigidos a realizar obras no imóvel, porém, enquanto não detiverem o controle físico do bem, a obrigação de requalificar subsiste, mas sua exigibilidade fica condicionada à efetiva retomada da posse.</w:t>
      </w:r>
    </w:p>
    <w:p>
      <w:pPr>
        <w:ind w:left="288"/>
      </w:pPr>
      <w:r>
        <w:rPr>
          <w:b/>
          <w:color w:val="003CA0"/>
          <w:sz w:val="16"/>
        </w:rPr>
        <w:t>[ARE 1.521.864 ED-AgR, rel. min. Flávio Dino, j. 17.11.2025, 1ª T, DJE de 25.11.2025.]</w:t>
      </w:r>
    </w:p>
    <w:p>
      <w:pPr>
        <w:ind w:left="288"/>
      </w:pPr>
      <w:r>
        <w:rPr>
          <w:color w:val="8C8C8C"/>
          <w:sz w:val="12"/>
        </w:rPr>
        <w:t>cf-art-5-inc-XXII</w:t>
      </w:r>
      <w:r>
        <w:rPr>
          <w:color w:val="003CA0"/>
          <w:sz w:val="12"/>
        </w:rPr>
        <w:t xml:space="preserve"> | RE 1.499.300</w:t>
      </w:r>
      <w:r>
        <w:rPr>
          <w:color w:val="003CA0"/>
          <w:sz w:val="12"/>
        </w:rPr>
        <w:t xml:space="preserve"> | rel. Dias Toffoli</w:t>
      </w:r>
    </w:p>
    <w:p>
      <w:pPr>
        <w:ind w:left="288"/>
      </w:pPr>
      <w:r>
        <w:rPr>
          <w:color w:val="1E1E1E"/>
          <w:sz w:val="18"/>
        </w:rPr>
        <w:t>O tombamento exerce influência significativa sobre o direito fundamental à propriedade, impondo limitações que redefinem o modo como seu titular pode exercê-lo. No caso de tombamento compulsório, esse contexto enseja forças jurídicas conflitantes: de um lado, o direito fundamental em questão, cuja plenitude pretende preservar o proprietário; do outro, a pretensão de se preservar alegado patrimônio cultural. Por resultar em importantes restrições ao exercício do direito de propriedade, o tombamento deve observar o devido processo legal, incluindo a orientação da Corte sobre o marco temporal par</w:t>
      </w:r>
    </w:p>
    <w:p>
      <w:pPr>
        <w:ind w:left="288"/>
      </w:pPr>
      <w:r>
        <w:rPr>
          <w:b/>
          <w:color w:val="003CA0"/>
          <w:sz w:val="16"/>
        </w:rPr>
        <w:t>[RE 1.499.300 AgR-segundo, rel. min. Dias Toffoli, j. 19.08.2025, 2ª T, DJE de 11.09.2025.]</w:t>
      </w:r>
    </w:p>
    <w:p>
      <w:pPr>
        <w:ind w:left="288"/>
      </w:pPr>
      <w:r>
        <w:rPr>
          <w:color w:val="8C8C8C"/>
          <w:sz w:val="12"/>
        </w:rPr>
        <w:t>cf-art-5-inc-XXII</w:t>
      </w:r>
      <w:r>
        <w:rPr>
          <w:color w:val="003CA0"/>
          <w:sz w:val="12"/>
        </w:rPr>
        <w:t xml:space="preserve"> | MS 25.284</w:t>
      </w:r>
      <w:r>
        <w:rPr>
          <w:color w:val="003CA0"/>
          <w:sz w:val="12"/>
        </w:rPr>
        <w:t xml:space="preserve"> | rel. Marco Aurélio</w:t>
      </w:r>
    </w:p>
    <w:p>
      <w:pPr>
        <w:ind w:left="288"/>
      </w:pPr>
      <w:r>
        <w:rPr>
          <w:color w:val="1E1E1E"/>
          <w:sz w:val="18"/>
        </w:rPr>
        <w:t>O direito de propriedade não se revela absoluto. Está relativizado pela Carta da República – arts. 5º, XXII, XXIII e XXIV, e 184.</w:t>
      </w:r>
    </w:p>
    <w:p>
      <w:pPr>
        <w:ind w:left="288"/>
      </w:pPr>
      <w:r>
        <w:rPr>
          <w:b/>
          <w:color w:val="003CA0"/>
          <w:sz w:val="16"/>
        </w:rPr>
        <w:t>[MS 25.284, rel. min. Marco Aurélio, j. 17-6-2010, P, DJE de 13-8-2010.]</w:t>
      </w:r>
    </w:p>
    <w:p>
      <w:pPr>
        <w:ind w:left="288"/>
      </w:pPr>
      <w:r>
        <w:rPr>
          <w:color w:val="8C8C8C"/>
          <w:sz w:val="12"/>
        </w:rPr>
        <w:t>cf-art-5-inc-XXII</w:t>
      </w:r>
      <w:r>
        <w:rPr>
          <w:color w:val="003CA0"/>
          <w:sz w:val="12"/>
        </w:rPr>
        <w:t xml:space="preserve"> | ADI 1.715</w:t>
      </w:r>
      <w:r>
        <w:rPr>
          <w:color w:val="003CA0"/>
          <w:sz w:val="12"/>
        </w:rPr>
        <w:t xml:space="preserve"> | rel. Marco Aurélio</w:t>
      </w:r>
    </w:p>
    <w:p>
      <w:pPr>
        <w:ind w:left="288"/>
      </w:pPr>
      <w:r>
        <w:rPr>
          <w:color w:val="1E1E1E"/>
          <w:sz w:val="18"/>
        </w:rPr>
        <w:t>Liquidação extrajudicial de instituição financeira. Bloqueio de depósitos em conta-corrente. (...) Jurisprudência deste Supremo entende que, em razão da natureza jurídica do contrato de depósito bancário, o depositante perde a qualidade de proprietário do bem depositado e passa a mero titular do crédito equivalente ao depósito e eventuais rendimentos (ADI 1.715 MC, Maurício Corrêa, DJ de 30-4-2004). A liberação do bloqueio efetivado pelo Banco Central na conta-corrente do recorrido, em decorrência de liquidação extrajudicial da instituição financeira, fere o direito de propriedade da massa liq</w:t>
      </w:r>
    </w:p>
    <w:p>
      <w:pPr>
        <w:ind w:left="288"/>
      </w:pPr>
      <w:r>
        <w:rPr>
          <w:b/>
          <w:color w:val="003CA0"/>
          <w:sz w:val="16"/>
        </w:rPr>
        <w:t>[RE 198.583, rel. min. Marco Aurélio, red. do ac. min. Nelson Jobim, j. 14-3-2006, 2ª T, DJ de 7-12-2006.]</w:t>
      </w:r>
    </w:p>
    <w:p>
      <w:pPr>
        <w:ind w:left="288"/>
      </w:pPr>
      <w:r>
        <w:rPr>
          <w:color w:val="8C8C8C"/>
          <w:sz w:val="12"/>
        </w:rPr>
        <w:t>cf-art-5-inc-XXII</w:t>
      </w:r>
      <w:r>
        <w:rPr>
          <w:color w:val="003CA0"/>
          <w:sz w:val="12"/>
        </w:rPr>
        <w:t xml:space="preserve"> | RE 267.817</w:t>
      </w:r>
      <w:r>
        <w:rPr>
          <w:color w:val="003CA0"/>
          <w:sz w:val="12"/>
        </w:rPr>
        <w:t xml:space="preserve"> | rel. Maurício Corrêa</w:t>
      </w:r>
    </w:p>
    <w:p>
      <w:pPr>
        <w:ind w:left="288"/>
      </w:pPr>
      <w:r>
        <w:rPr>
          <w:color w:val="1E1E1E"/>
          <w:sz w:val="18"/>
        </w:rPr>
        <w:t>A inexistência de qualquer indenização sobre a parcela de cobertura vegetal sujeita a preservação permanente implica violação aos postulados que asseguram o direito de propriedade e a justa indenização (CF, art. 5º, XXII e XXIV).</w:t>
      </w:r>
    </w:p>
    <w:p>
      <w:pPr>
        <w:ind w:left="288"/>
      </w:pPr>
      <w:r>
        <w:rPr>
          <w:b/>
          <w:color w:val="003CA0"/>
          <w:sz w:val="16"/>
        </w:rPr>
        <w:t>[RE 267.817, rel. min. Maurício Corrêa, j. 29-10-2002, 2ª T, DJ de 29-11-2002.]</w:t>
      </w:r>
    </w:p>
    <w:p>
      <w:pPr>
        <w:ind w:left="288"/>
      </w:pPr>
      <w:r>
        <w:rPr>
          <w:color w:val="8C8C8C"/>
          <w:sz w:val="12"/>
        </w:rPr>
        <w:t>cf-art-5-inc-XXII</w:t>
      </w:r>
      <w:r>
        <w:rPr>
          <w:color w:val="003CA0"/>
          <w:sz w:val="12"/>
        </w:rPr>
        <w:t xml:space="preserve"> | RE 134.297</w:t>
      </w:r>
      <w:r>
        <w:rPr>
          <w:color w:val="003CA0"/>
          <w:sz w:val="12"/>
        </w:rPr>
        <w:t xml:space="preserve"> | rel. Celso de Mello</w:t>
      </w:r>
    </w:p>
    <w:p>
      <w:pPr>
        <w:ind w:left="288"/>
      </w:pPr>
      <w:r>
        <w:rPr>
          <w:color w:val="1E1E1E"/>
          <w:sz w:val="18"/>
        </w:rPr>
        <w:t>= RE 134.297, rel. min. Celso de Mello, j. 13-6-1995, 1ª T, DJ de 22-9-1995 Se a restrição ao direito de construir advinda da limitação administrativa causa aniquilamento da propriedade privada, resulta, em favor do proprietário, o direito à indenização. Todavia, o direito de edificar é relativo, dado que condicionado à função social da propriedade. Se as restrições decorrentes da limitação administrativa preexistiam à aquisição do terreno, assim já do conhecimento dos adquirentes, não podem estes, com base em tais restrições, pedir indenização ao poder público.</w:t>
      </w:r>
    </w:p>
    <w:p>
      <w:pPr>
        <w:ind w:left="288"/>
      </w:pPr>
      <w:r>
        <w:rPr>
          <w:b/>
          <w:color w:val="003CA0"/>
          <w:sz w:val="16"/>
        </w:rPr>
        <w:t>[RE 140.436, rel. min. Carlos Velloso, j. 25-5-1999, 2ª T, DJ de 6-8-1999.]</w:t>
      </w:r>
    </w:p>
    <w:p>
      <w:pPr>
        <w:ind w:left="288"/>
      </w:pPr>
      <w:r>
        <w:rPr>
          <w:color w:val="8C8C8C"/>
          <w:sz w:val="12"/>
        </w:rPr>
        <w:t>cf-art-5-inc-XXII</w:t>
      </w:r>
      <w:r>
        <w:rPr>
          <w:color w:val="003CA0"/>
          <w:sz w:val="12"/>
        </w:rPr>
        <w:t xml:space="preserve"> | AI 526.272</w:t>
      </w:r>
      <w:r>
        <w:rPr>
          <w:color w:val="003CA0"/>
          <w:sz w:val="12"/>
        </w:rPr>
        <w:t xml:space="preserve"> | rel. Ellen Gracie</w:t>
      </w:r>
    </w:p>
    <w:p>
      <w:pPr>
        <w:ind w:left="288"/>
      </w:pPr>
      <w:r>
        <w:rPr>
          <w:color w:val="1E1E1E"/>
          <w:sz w:val="18"/>
        </w:rPr>
        <w:t>= AI 526.272 AgR, rel. min. Ellen Gracie, j. 1º-2-2011, 2ª T, DJE de 22-2-2011 A circunstância de o Estado dispor de competência para criar reservas florestais não lhe confere, só por si – considerando-se os princípios que tutelam, em nosso sistema normativo, o direito de propriedade –, a prerrogativa de subtrair-se ao pagamento de indenização compensatória ao particular, quando a atividade pública, decorrente do exercício de atribuições em tema de direito florestal, impedir ou afetar a válida exploração econômica do imóvel por seu proprietário.</w:t>
      </w:r>
    </w:p>
    <w:p>
      <w:pPr>
        <w:ind w:left="288"/>
      </w:pPr>
      <w:r>
        <w:rPr>
          <w:b/>
          <w:color w:val="003CA0"/>
          <w:sz w:val="16"/>
        </w:rPr>
        <w:t>[RE 134.297, rel. min. Celso de Mello, j. 13-6-1995, 1ª T, DJ de 22-9-1995.]</w:t>
      </w:r>
    </w:p>
    <w:p>
      <w:pPr>
        <w:ind w:left="288"/>
      </w:pPr>
      <w:r>
        <w:rPr>
          <w:color w:val="8C8C8C"/>
          <w:sz w:val="12"/>
        </w:rPr>
        <w:t>cf-art-5-inc-XXIII</w:t>
      </w:r>
      <w:r>
        <w:rPr>
          <w:color w:val="003CA0"/>
          <w:sz w:val="12"/>
        </w:rPr>
        <w:t xml:space="preserve"> | ADI 2.354</w:t>
      </w:r>
      <w:r>
        <w:rPr>
          <w:color w:val="003CA0"/>
          <w:sz w:val="12"/>
        </w:rPr>
        <w:t xml:space="preserve"> | rel. Dias Tofolli</w:t>
      </w:r>
    </w:p>
    <w:p>
      <w:pPr>
        <w:ind w:left="288"/>
      </w:pPr>
      <w:r>
        <w:rPr>
          <w:color w:val="1E1E1E"/>
          <w:sz w:val="18"/>
        </w:rPr>
        <w:t>Lei Federal 8.025/90. Decreto 99.266/90. Vedação de alienação dos imóveis residenciais administrados pelas Forças Armadas destinados à ocupação militar. (...) A atividade militar sujeita-se a condições específicas, tais como de regime jurídico e previdenciário, além de impor a seus membros atuação de elevada rotatividade nas diversas instalações espalhadas pelo País, mormente na Capital Federal, onde se encontram os comandos do Exército, da Marinha e da Aeronáutica. O Estatuto dos Servidores Militares da União estabelece como direito do militar e de seus dependentes o de residir em imóvel públ</w:t>
      </w:r>
    </w:p>
    <w:p>
      <w:pPr>
        <w:ind w:left="288"/>
      </w:pPr>
      <w:r>
        <w:rPr>
          <w:b/>
          <w:color w:val="003CA0"/>
          <w:sz w:val="16"/>
        </w:rPr>
        <w:t>[ADI 2.354, rel. min. Dias Tofolli, j. 27-9-2019, P, DJE de 4-12-2019.]</w:t>
      </w:r>
    </w:p>
    <w:p>
      <w:pPr>
        <w:ind w:left="288"/>
      </w:pPr>
      <w:r>
        <w:rPr>
          <w:color w:val="8C8C8C"/>
          <w:sz w:val="12"/>
        </w:rPr>
        <w:t>cf-art-5-inc-XXIII</w:t>
      </w:r>
      <w:r>
        <w:rPr>
          <w:color w:val="003CA0"/>
          <w:sz w:val="12"/>
        </w:rPr>
        <w:t xml:space="preserve"> | ADI 2.213</w:t>
      </w:r>
      <w:r>
        <w:rPr>
          <w:color w:val="003CA0"/>
          <w:sz w:val="12"/>
        </w:rPr>
        <w:t xml:space="preserve"> | rel. Celso de Mello</w:t>
      </w:r>
    </w:p>
    <w:p>
      <w:pPr>
        <w:ind w:left="288"/>
      </w:pPr>
      <w:r>
        <w:rPr>
          <w:color w:val="1E1E1E"/>
          <w:sz w:val="18"/>
        </w:rPr>
        <w:t>O direito de propriedade não se reveste de caráter absoluto, eis que, sobre ele, pesa grave hipoteca social, a significar que, descumprida a função social que lhe é inerente (CF, art. 5º, XXIII), legitimar-se-á a intervenção estatal na esfera dominial privada, observados, contudo, para esse efeito, os limites, as formas e os procedimentos fixados na própria Constituição da República. O acesso à terra, a solução dos conflitos sociais, o aproveitamento racional e adequado do imóvel rural, a utilização apropriada dos recursos naturais disponíveis e a preservação do meio ambiente constituem elemen</w:t>
      </w:r>
    </w:p>
    <w:p>
      <w:pPr>
        <w:ind w:left="288"/>
      </w:pPr>
      <w:r>
        <w:rPr>
          <w:b/>
          <w:color w:val="003CA0"/>
          <w:sz w:val="16"/>
        </w:rPr>
        <w:t>[ADI 2.213 MC, rel. min. Celso de Mello, j. 4-4-2002, P, DJ de 23-4-2004.]</w:t>
      </w:r>
    </w:p>
    <w:p>
      <w:pPr>
        <w:ind w:left="288"/>
      </w:pPr>
      <w:r>
        <w:rPr>
          <w:color w:val="8C8C8C"/>
          <w:sz w:val="12"/>
        </w:rPr>
        <w:t>cf-art-5-inc-XXIII</w:t>
      </w:r>
      <w:r>
        <w:rPr>
          <w:color w:val="003CA0"/>
          <w:sz w:val="12"/>
        </w:rPr>
        <w:t xml:space="preserve"> | MS 25.284</w:t>
      </w:r>
      <w:r>
        <w:rPr>
          <w:color w:val="003CA0"/>
          <w:sz w:val="12"/>
        </w:rPr>
        <w:t xml:space="preserve"> | rel. Marco Aurélio</w:t>
      </w:r>
    </w:p>
    <w:p>
      <w:pPr>
        <w:ind w:left="288"/>
      </w:pPr>
      <w:r>
        <w:rPr>
          <w:color w:val="1E1E1E"/>
          <w:sz w:val="18"/>
        </w:rPr>
        <w:t>= MS 25.284, rel. min. Marco Aurélio, j. 17-6-2010, P, DJE de 13-8-2010 O direito à propriedade não é absoluto e encontra seu limite na função social, conforme o artigo 5º, XXII e XXIII, da CF/1988. Os proprietários podem ser exigidos a realizar obras no imóvel, porém, enquanto não detiverem o controle físico do bem, a obrigação de requalificar subsiste, mas sua exigibilidade fica condicionada à efetiva retomada da posse.</w:t>
      </w:r>
    </w:p>
    <w:p>
      <w:pPr>
        <w:ind w:left="288"/>
      </w:pPr>
      <w:r>
        <w:rPr>
          <w:b/>
          <w:color w:val="003CA0"/>
          <w:sz w:val="16"/>
        </w:rPr>
        <w:t>[ARE 1.521.864 ED-AgR, rel. min. Flávio Dino, j. 17.11.2025, 1ª T, DJE de 25.11.2025.]</w:t>
      </w:r>
    </w:p>
    <w:p>
      <w:pPr>
        <w:ind w:left="288"/>
      </w:pPr>
      <w:r>
        <w:rPr>
          <w:color w:val="8C8C8C"/>
          <w:sz w:val="12"/>
        </w:rPr>
        <w:t>cf-art-5-inc-XXIII</w:t>
      </w:r>
      <w:r>
        <w:rPr>
          <w:color w:val="003CA0"/>
          <w:sz w:val="12"/>
        </w:rPr>
        <w:t xml:space="preserve"> | RE 211.385</w:t>
      </w:r>
      <w:r>
        <w:rPr>
          <w:color w:val="003CA0"/>
          <w:sz w:val="12"/>
        </w:rPr>
        <w:t xml:space="preserve"> | rel. Octavio Gallotti</w:t>
      </w:r>
    </w:p>
    <w:p>
      <w:pPr>
        <w:ind w:left="288"/>
      </w:pPr>
      <w:r>
        <w:rPr>
          <w:color w:val="1E1E1E"/>
          <w:sz w:val="18"/>
        </w:rPr>
        <w:t>A garantia da função social da propriedade (art. 5º, XXIII, da Constituição) não afeta as normas de composição de conflito de vizinhança insertas no CC/1916 (...), para impor, gratuitamente, ao proprietário a ingerência de outro particular em seu poder de uso, pela circunstância de exercer este último atividade reconhecida como de utilidade pública.</w:t>
      </w:r>
    </w:p>
    <w:p>
      <w:pPr>
        <w:ind w:left="288"/>
      </w:pPr>
      <w:r>
        <w:rPr>
          <w:b/>
          <w:color w:val="003CA0"/>
          <w:sz w:val="16"/>
        </w:rPr>
        <w:t>[RE 211.385, rel. min. Octavio Gallotti, j. 20-4-1999, 1ª T, DJ de 24-9-1999.]</w:t>
      </w:r>
    </w:p>
    <w:p>
      <w:pPr>
        <w:ind w:left="288"/>
      </w:pPr>
      <w:r>
        <w:rPr>
          <w:color w:val="8C8C8C"/>
          <w:sz w:val="12"/>
        </w:rPr>
        <w:t>cf-art-5-inc-XXIII</w:t>
      </w:r>
      <w:r>
        <w:rPr>
          <w:color w:val="003CA0"/>
          <w:sz w:val="12"/>
        </w:rPr>
        <w:t xml:space="preserve"> | MS 22.164</w:t>
      </w:r>
      <w:r>
        <w:rPr>
          <w:color w:val="003CA0"/>
          <w:sz w:val="12"/>
        </w:rPr>
        <w:t xml:space="preserve"> | rel. Celso de Mello</w:t>
      </w:r>
    </w:p>
    <w:p>
      <w:pPr>
        <w:ind w:left="288"/>
      </w:pPr>
      <w:r>
        <w:rPr>
          <w:color w:val="1E1E1E"/>
          <w:sz w:val="18"/>
        </w:rPr>
        <w:t>A própria Constituição da República, ao impor ao poder público dever de fazer respeitar a integridade do patrimônio ambiental, não o inibe, quando necessária a intervenção estatal na esfera dominial privada, de promover a desapropriação de imóveis rurais para fins de reforma agrária, especialmente porque um dos instrumentos de realização da função social da propriedade consiste, precisamente, na submissão do domínio à necessidade de o seu titular utilizar adequadamente os recursos naturais disponíveis e de fazer preservar o equilíbrio do meio ambiente (...).</w:t>
      </w:r>
    </w:p>
    <w:p>
      <w:pPr>
        <w:ind w:left="288"/>
      </w:pPr>
      <w:r>
        <w:rPr>
          <w:b/>
          <w:color w:val="003CA0"/>
          <w:sz w:val="16"/>
        </w:rPr>
        <w:t>[MS 22.164, rel. min. Celso de Mello, j. 30-10-1995, P, DJ de 17-11-1995.]</w:t>
      </w:r>
    </w:p>
    <w:p>
      <w:pPr>
        <w:ind w:left="288"/>
      </w:pPr>
      <w:r>
        <w:rPr>
          <w:color w:val="8C8C8C"/>
          <w:sz w:val="12"/>
        </w:rPr>
        <w:t>cf-art-5-inc-XXIII</w:t>
      </w:r>
    </w:p>
    <w:p>
      <w:pPr>
        <w:ind w:left="288"/>
      </w:pPr>
      <w:r>
        <w:rPr>
          <w:color w:val="1E1E1E"/>
          <w:sz w:val="18"/>
        </w:rPr>
        <w:t>XXIV - a lei estabelecerá o procedimento para desapropriação por necessidade ou utilidade pública, ou por interesse social, mediante justa e prévia indenização em dinheiro, ressalvados os casos previstos nesta Constituição; Não contraria a Constituição o art. 15, § 1º, do DL 3.365/1941 (Lei da Desapropriação por Utilidade Pública).</w:t>
      </w:r>
    </w:p>
    <w:p>
      <w:pPr>
        <w:ind w:left="288"/>
      </w:pPr>
      <w:r>
        <w:rPr>
          <w:b/>
          <w:color w:val="003CA0"/>
          <w:sz w:val="16"/>
        </w:rPr>
        <w:t>[Súmula 652.]</w:t>
      </w:r>
    </w:p>
    <w:p>
      <w:pPr>
        <w:ind w:left="288"/>
      </w:pPr>
      <w:r>
        <w:rPr>
          <w:color w:val="8C8C8C"/>
          <w:sz w:val="12"/>
        </w:rPr>
        <w:t>cf-art-5-inc-XXIII</w:t>
      </w:r>
    </w:p>
    <w:p>
      <w:pPr>
        <w:ind w:left="288"/>
      </w:pPr>
      <w:r>
        <w:rPr>
          <w:color w:val="1E1E1E"/>
          <w:sz w:val="18"/>
        </w:rPr>
        <w:t>Na desapropriação, direta ou indireta, a taxa dos juros compensatórios é de 12% ao ano.</w:t>
      </w:r>
    </w:p>
    <w:p>
      <w:pPr>
        <w:ind w:left="288"/>
      </w:pPr>
      <w:r>
        <w:rPr>
          <w:b/>
          <w:color w:val="003CA0"/>
          <w:sz w:val="16"/>
        </w:rPr>
        <w:t>[Súmula 618.]</w:t>
      </w:r>
    </w:p>
    <w:p>
      <w:pPr>
        <w:ind w:left="288"/>
      </w:pPr>
      <w:r>
        <w:rPr>
          <w:color w:val="8C8C8C"/>
          <w:sz w:val="12"/>
        </w:rPr>
        <w:t>cf-art-5-inc-XXIII</w:t>
      </w:r>
      <w:r>
        <w:rPr>
          <w:color w:val="003CA0"/>
          <w:sz w:val="12"/>
        </w:rPr>
        <w:t xml:space="preserve"> | ADI 2.332</w:t>
      </w:r>
      <w:r>
        <w:rPr>
          <w:color w:val="003CA0"/>
          <w:sz w:val="12"/>
        </w:rPr>
        <w:t xml:space="preserve"> | rel. Roberto Barroso</w:t>
      </w:r>
    </w:p>
    <w:p>
      <w:pPr>
        <w:ind w:left="288"/>
      </w:pPr>
      <w:r>
        <w:rPr>
          <w:color w:val="1E1E1E"/>
          <w:sz w:val="18"/>
        </w:rPr>
        <w:t>É constitucional o percentual de juros compensatórios de 6% (seis por cento) ao ano para a remuneração do proprietário pela imissão provisória do ente público na posse do seu bem, na medida em que consiste em ponderação legislativa proporcional entre o direito constitucional do proprietário à justa indenização (art. 5º, XXIV, CF/88) e os princípios constitucionais da eficiência e da economicidade (art. 37, caput, CF/88). Declaração da inconstitucionalidade do termo ‘até’ e interpretação conforme a Constituição do caput do art. 15-A, de maneira a incidir juros compensatórios sobre a diferença e</w:t>
      </w:r>
    </w:p>
    <w:p>
      <w:pPr>
        <w:ind w:left="288"/>
      </w:pPr>
      <w:r>
        <w:rPr>
          <w:b/>
          <w:color w:val="003CA0"/>
          <w:sz w:val="16"/>
        </w:rPr>
        <w:t>[ADI 2.332, rel. min. Roberto Barroso, j. 17-5-2018, P, DJE de 16-4-2019.]</w:t>
      </w:r>
    </w:p>
    <w:p>
      <w:pPr>
        <w:ind w:left="288"/>
      </w:pPr>
      <w:r>
        <w:rPr>
          <w:color w:val="8C8C8C"/>
          <w:sz w:val="12"/>
        </w:rPr>
        <w:t>cf-art-5-inc-XXIII</w:t>
      </w:r>
      <w:r>
        <w:rPr>
          <w:color w:val="003CA0"/>
          <w:sz w:val="12"/>
        </w:rPr>
        <w:t xml:space="preserve"> | ADI 2.260</w:t>
      </w:r>
      <w:r>
        <w:rPr>
          <w:color w:val="003CA0"/>
          <w:sz w:val="12"/>
        </w:rPr>
        <w:t xml:space="preserve"> | rel. Moreira Alves</w:t>
      </w:r>
    </w:p>
    <w:p>
      <w:pPr>
        <w:ind w:left="288"/>
      </w:pPr>
      <w:r>
        <w:rPr>
          <w:color w:val="1E1E1E"/>
          <w:sz w:val="18"/>
        </w:rPr>
        <w:t>De há muito, a jurisprudência desta Corte afirmou que a ação de desapropriação indireta tem caráter real, e não pessoal, traduzindo-se numa verdadeira expropriação às avessas, tendo o direito à indenização que daí nasce o mesmo fundamento da garantia constitucional da justa indenização nos casos de desapropriação regular. Não tendo o dispositivo ora impugnado sequer criado uma modalidade de usucapião por ato ilícito com o prazo de cinco anos para, através dele, transcorrido esse prazo, atribuir o direito de propriedade ao poder público sobre a coisa de que ele se apossou administrativamente, é</w:t>
      </w:r>
    </w:p>
    <w:p>
      <w:pPr>
        <w:ind w:left="288"/>
      </w:pPr>
      <w:r>
        <w:rPr>
          <w:b/>
          <w:color w:val="003CA0"/>
          <w:sz w:val="16"/>
        </w:rPr>
        <w:t>[ADI 2.260 MC, rel. min. Moreira Alves, j. 14-2-2001, P, DJ de 2-8-2002.]</w:t>
      </w:r>
    </w:p>
    <w:p>
      <w:pPr>
        <w:ind w:left="288"/>
      </w:pPr>
      <w:r>
        <w:rPr>
          <w:color w:val="8C8C8C"/>
          <w:sz w:val="12"/>
        </w:rPr>
        <w:t>cf-art-5-inc-XXIII</w:t>
      </w:r>
      <w:r>
        <w:rPr>
          <w:color w:val="003CA0"/>
          <w:sz w:val="12"/>
        </w:rPr>
        <w:t xml:space="preserve"> | RE 922.144</w:t>
      </w:r>
      <w:r>
        <w:rPr>
          <w:color w:val="003CA0"/>
          <w:sz w:val="12"/>
        </w:rPr>
        <w:t xml:space="preserve"> | rel. Luís Roberto Barroso</w:t>
      </w:r>
    </w:p>
    <w:p>
      <w:pPr>
        <w:ind w:left="288"/>
      </w:pPr>
      <w:r>
        <w:rPr>
          <w:color w:val="1E1E1E"/>
          <w:sz w:val="18"/>
        </w:rPr>
        <w:t>“No caso de necessidade de complementação da indenização, ao final do processo expropriatório, deverá o pagamento ser feito mediante depósito judicial direto se o Poder Público não estiver em dia com os precatórios”.</w:t>
      </w:r>
    </w:p>
    <w:p>
      <w:pPr>
        <w:ind w:left="288"/>
      </w:pPr>
      <w:r>
        <w:rPr>
          <w:b/>
          <w:color w:val="003CA0"/>
          <w:sz w:val="16"/>
        </w:rPr>
        <w:t>[RE 922.144, rel. min. Luís Roberto Barroso, j. 19-10-2023, P, DJE de 7-2-2024, Tema 865, com mérito julgado.]</w:t>
      </w:r>
    </w:p>
    <w:p>
      <w:pPr>
        <w:ind w:left="288"/>
      </w:pPr>
      <w:r>
        <w:rPr>
          <w:color w:val="8C8C8C"/>
          <w:sz w:val="12"/>
        </w:rPr>
        <w:t>cf-art-5-inc-XXIII</w:t>
      </w:r>
      <w:r>
        <w:rPr>
          <w:color w:val="003CA0"/>
          <w:sz w:val="12"/>
        </w:rPr>
        <w:t xml:space="preserve"> | MS 32.898</w:t>
      </w:r>
      <w:r>
        <w:rPr>
          <w:color w:val="003CA0"/>
          <w:sz w:val="12"/>
        </w:rPr>
        <w:t xml:space="preserve"> | rel. Teori Zavascki</w:t>
      </w:r>
    </w:p>
    <w:p>
      <w:pPr>
        <w:ind w:left="288"/>
      </w:pPr>
      <w:r>
        <w:rPr>
          <w:color w:val="1E1E1E"/>
          <w:sz w:val="18"/>
        </w:rPr>
        <w:t>Declaração de imóvel rural como de interesse social para fins de reforma agrária. Decreto presidencial editado quatorze anos após a vistoria administrativa. Procedimento administrativo suspenso por mais de sete anos em razão de decisão liminar postulada pelo próprio impetrante. Restante do tempo utilizado na prática de atos indispensáveis para a conclusão do procedimento administrativo. Nulidades fundadas na demora da edição do ato impetrado. Não configuração. Inexistência de prazo de validade do ato de vistoria.</w:t>
      </w:r>
    </w:p>
    <w:p>
      <w:pPr>
        <w:ind w:left="288"/>
      </w:pPr>
      <w:r>
        <w:rPr>
          <w:b/>
          <w:color w:val="003CA0"/>
          <w:sz w:val="16"/>
        </w:rPr>
        <w:t>[MS 32.898 AgR, rel. min. Teori Zavascki, j. 9-9-2016, P, DJE de 23-9-2016.]</w:t>
      </w:r>
    </w:p>
    <w:p>
      <w:pPr>
        <w:ind w:left="288"/>
      </w:pPr>
      <w:r>
        <w:rPr>
          <w:color w:val="8C8C8C"/>
          <w:sz w:val="12"/>
        </w:rPr>
        <w:t>cf-art-5-inc-XXIII</w:t>
      </w:r>
      <w:r>
        <w:rPr>
          <w:color w:val="003CA0"/>
          <w:sz w:val="12"/>
        </w:rPr>
        <w:t xml:space="preserve"> | MS 26.192</w:t>
      </w:r>
      <w:r>
        <w:rPr>
          <w:color w:val="003CA0"/>
          <w:sz w:val="12"/>
        </w:rPr>
        <w:t xml:space="preserve"> | rel. Joaquim Barbosa</w:t>
      </w:r>
    </w:p>
    <w:p>
      <w:pPr>
        <w:ind w:left="288"/>
      </w:pPr>
      <w:r>
        <w:rPr>
          <w:color w:val="1E1E1E"/>
          <w:sz w:val="18"/>
        </w:rPr>
        <w:t>Mandado de segurança impetrado contra decreto presidencial que declarou de interesse social, para fins de estabelecimento e a manutenção de colônias ou cooperativas de povoamento de trabalho agrícola, o imóvel conhecido como "Fazenda Tambauzinho" (arts. 5º, XXIV, e 84, IV, da Constituição e art. 2º, III, da Lei 4.132/1962). Intervenção estatal para garantir as expectativas de moradores locais julgadas legítimas pela União. Quadro de potencial conflito social. Alegada violação de decisão transitada em julgado, prolatada pelo Tribunal de Justiça do Estado da Paraíba, que teria firmado a impossib</w:t>
      </w:r>
    </w:p>
    <w:p>
      <w:pPr>
        <w:ind w:left="288"/>
      </w:pPr>
      <w:r>
        <w:rPr>
          <w:b/>
          <w:color w:val="003CA0"/>
          <w:sz w:val="16"/>
        </w:rPr>
        <w:t>[MS 26.192, rel. min. Joaquim Barbosa, j. 11-5-2011, P, DJE de 23-8-2011.]</w:t>
      </w:r>
    </w:p>
    <w:p>
      <w:pPr>
        <w:ind w:left="288"/>
      </w:pPr>
      <w:r>
        <w:rPr>
          <w:color w:val="8C8C8C"/>
          <w:sz w:val="12"/>
        </w:rPr>
        <w:t>cf-art-5-inc-XXIII</w:t>
      </w:r>
      <w:r>
        <w:rPr>
          <w:color w:val="003CA0"/>
          <w:sz w:val="12"/>
        </w:rPr>
        <w:t xml:space="preserve"> | SL 392</w:t>
      </w:r>
      <w:r>
        <w:rPr>
          <w:color w:val="003CA0"/>
          <w:sz w:val="12"/>
        </w:rPr>
        <w:t xml:space="preserve"> | rel. Cezar Peluso</w:t>
      </w:r>
    </w:p>
    <w:p>
      <w:pPr>
        <w:ind w:left="288"/>
      </w:pPr>
      <w:r>
        <w:rPr>
          <w:color w:val="1E1E1E"/>
          <w:sz w:val="18"/>
        </w:rPr>
        <w:t>Não há risco de grave lesão à ordem econômica na decisão judicial que determina seja comprovado depósito do preço justo fixado por perícia para imissão na posse em ação de desapropriação.</w:t>
      </w:r>
    </w:p>
    <w:p>
      <w:pPr>
        <w:ind w:left="288"/>
      </w:pPr>
      <w:r>
        <w:rPr>
          <w:b/>
          <w:color w:val="003CA0"/>
          <w:sz w:val="16"/>
        </w:rPr>
        <w:t>[SL 392 AgR, rel. min. Cezar Peluso, j. 9-12-2010, P, DJE de 9-2-2011.]</w:t>
      </w:r>
    </w:p>
    <w:p>
      <w:pPr>
        <w:ind w:left="288"/>
      </w:pPr>
      <w:r>
        <w:rPr>
          <w:color w:val="8C8C8C"/>
          <w:sz w:val="12"/>
        </w:rPr>
        <w:t>cf-art-5-inc-XXIII</w:t>
      </w:r>
      <w:r>
        <w:rPr>
          <w:color w:val="003CA0"/>
          <w:sz w:val="12"/>
        </w:rPr>
        <w:t xml:space="preserve"> | MS 25.284</w:t>
      </w:r>
      <w:r>
        <w:rPr>
          <w:color w:val="003CA0"/>
          <w:sz w:val="12"/>
        </w:rPr>
        <w:t xml:space="preserve"> | rel. Marco Aurélio</w:t>
      </w:r>
    </w:p>
    <w:p>
      <w:pPr>
        <w:ind w:left="288"/>
      </w:pPr>
      <w:r>
        <w:rPr>
          <w:color w:val="1E1E1E"/>
          <w:sz w:val="18"/>
        </w:rPr>
        <w:t>Reserva extrativista. Desapropriação. Orçamento. A criação de reserva extrativista prescinde de previsão orçamentária visando satisfazer indenizações.</w:t>
      </w:r>
    </w:p>
    <w:p>
      <w:pPr>
        <w:ind w:left="288"/>
      </w:pPr>
      <w:r>
        <w:rPr>
          <w:b/>
          <w:color w:val="003CA0"/>
          <w:sz w:val="16"/>
        </w:rPr>
        <w:t>[MS 25.284, rel. min. Marco Aurélio, j. 17-6-2010, P, DJE de 13-8-2010.]</w:t>
      </w:r>
    </w:p>
    <w:p>
      <w:pPr>
        <w:ind w:left="288"/>
      </w:pPr>
      <w:r>
        <w:rPr>
          <w:color w:val="8C8C8C"/>
          <w:sz w:val="12"/>
        </w:rPr>
        <w:t>cf-art-5-inc-XXIII</w:t>
      </w:r>
      <w:r>
        <w:rPr>
          <w:color w:val="003CA0"/>
          <w:sz w:val="12"/>
        </w:rPr>
        <w:t xml:space="preserve"> | RE 598.678</w:t>
      </w:r>
      <w:r>
        <w:rPr>
          <w:color w:val="003CA0"/>
          <w:sz w:val="12"/>
        </w:rPr>
        <w:t xml:space="preserve"> | rel. Eros Grau</w:t>
      </w:r>
    </w:p>
    <w:p>
      <w:pPr>
        <w:ind w:left="288"/>
      </w:pPr>
      <w:r>
        <w:rPr>
          <w:color w:val="1E1E1E"/>
          <w:sz w:val="18"/>
        </w:rPr>
        <w:t>Verificada a insuficiência do depósito prévio na desapropriação por utilidade pública, a diferença do valor depositado para imissão na posse deve ser feito por meio de precatório, na forma do art. 100 da Constituição do Brasil/1988.</w:t>
      </w:r>
    </w:p>
    <w:p>
      <w:pPr>
        <w:ind w:left="288"/>
      </w:pPr>
      <w:r>
        <w:rPr>
          <w:b/>
          <w:color w:val="003CA0"/>
          <w:sz w:val="16"/>
        </w:rPr>
        <w:t>[RE 598.678 AgR, rel. min. Eros Grau, j. 1º-12-2009, 2ª T, DJE de 18-12-2009.]</w:t>
      </w:r>
    </w:p>
    <w:p>
      <w:pPr>
        <w:ind w:left="288"/>
      </w:pPr>
      <w:r>
        <w:rPr>
          <w:color w:val="8C8C8C"/>
          <w:sz w:val="12"/>
        </w:rPr>
        <w:t>cf-art-5-inc-XXIII</w:t>
      </w:r>
      <w:r>
        <w:rPr>
          <w:color w:val="003CA0"/>
          <w:sz w:val="12"/>
        </w:rPr>
        <w:t xml:space="preserve"> | RE 739.454</w:t>
      </w:r>
      <w:r>
        <w:rPr>
          <w:color w:val="003CA0"/>
          <w:sz w:val="12"/>
        </w:rPr>
        <w:t xml:space="preserve"> | rel. Cármen Lúcia</w:t>
      </w:r>
    </w:p>
    <w:p>
      <w:pPr>
        <w:ind w:left="288"/>
      </w:pPr>
      <w:r>
        <w:rPr>
          <w:color w:val="1E1E1E"/>
          <w:sz w:val="18"/>
        </w:rPr>
        <w:t>= RE 739.454 AgR, rel. min. Cármen Lúcia, j. 12-11-2013, 2ª T, DJE de 20-11-2013 Já assentou a Corte que o "depósito prévio não importa o pagamento definitivo e justo conforme o art. 5º, XXIV, da Lei Maior de 1988", com o que não existe "incompatibilidade do art. 3º do DL 1.075/1970 e do art. 15 e seus parágrafos, DL 3.365/1941, com os dispositivos constitucionais aludidos (...)" (RE 184.069/SP, rel. min. Néri da Silveira, DJ de 8-3-2002). Também a Primeira Turma decidiu que a "norma do art. 3º do DL 1.075/1970, que permite ao desapropriante o pagamento de metade do valor arbitrado, para imiti</w:t>
      </w:r>
    </w:p>
    <w:p>
      <w:pPr>
        <w:ind w:left="288"/>
      </w:pPr>
      <w:r>
        <w:rPr>
          <w:b/>
          <w:color w:val="003CA0"/>
          <w:sz w:val="16"/>
        </w:rPr>
        <w:t>[RE 191.078, rel. min. Menezes Direito, j. 15-4-2008, 1ª T, DJE de 20-6-2008.]</w:t>
      </w:r>
    </w:p>
    <w:p>
      <w:pPr>
        <w:ind w:left="288"/>
      </w:pPr>
      <w:r>
        <w:rPr>
          <w:color w:val="8C8C8C"/>
          <w:sz w:val="12"/>
        </w:rPr>
        <w:t>cf-art-5-inc-XXIII</w:t>
      </w:r>
      <w:r>
        <w:rPr>
          <w:color w:val="003CA0"/>
          <w:sz w:val="12"/>
        </w:rPr>
        <w:t xml:space="preserve"> | RE 161.552</w:t>
      </w:r>
      <w:r>
        <w:rPr>
          <w:color w:val="003CA0"/>
          <w:sz w:val="12"/>
        </w:rPr>
        <w:t xml:space="preserve"> | rel. Ilmar Galvão</w:t>
      </w:r>
    </w:p>
    <w:p>
      <w:pPr>
        <w:ind w:left="288"/>
      </w:pPr>
      <w:r>
        <w:rPr>
          <w:color w:val="1E1E1E"/>
          <w:sz w:val="18"/>
        </w:rPr>
        <w:t>Imóvel urbano. Desapropriação por utilidade pública e interesse social. Acórdão que declarou a sua ilegalidade, por ausência de plano diretor e de notificação prévia ao proprietário para que promovesse seu adequado aproveitamento, na forma do art. 182 e parágrafos da Constituição. Descabimento, entretanto, dessas exigências, se não se está diante da desapropriação-sanção prevista no art. 182, § 4º, III, da Constituição de 1988, mas de ato embasado no art. 5º, XXIV, da mesma Carta, para o qual se acha perfeitamente legitimada a municipalidade.</w:t>
      </w:r>
    </w:p>
    <w:p>
      <w:pPr>
        <w:ind w:left="288"/>
      </w:pPr>
      <w:r>
        <w:rPr>
          <w:b/>
          <w:color w:val="003CA0"/>
          <w:sz w:val="16"/>
        </w:rPr>
        <w:t>[RE 161.552, rel. min. Ilmar Galvão, j. 11-11-1997, 1ª T, DJ de 6-2-1998.]</w:t>
      </w:r>
    </w:p>
    <w:p>
      <w:pPr>
        <w:ind w:left="288"/>
      </w:pPr>
      <w:r>
        <w:rPr>
          <w:color w:val="8C8C8C"/>
          <w:sz w:val="12"/>
        </w:rPr>
        <w:t>cf-art-5-inc-XXIII</w:t>
      </w:r>
      <w:r>
        <w:rPr>
          <w:color w:val="003CA0"/>
          <w:sz w:val="12"/>
        </w:rPr>
        <w:t xml:space="preserve"> | MS 22.193</w:t>
      </w:r>
      <w:r>
        <w:rPr>
          <w:color w:val="003CA0"/>
          <w:sz w:val="12"/>
        </w:rPr>
        <w:t xml:space="preserve"> | rel. Ilmar Galvão</w:t>
      </w:r>
    </w:p>
    <w:p>
      <w:pPr>
        <w:ind w:left="288"/>
      </w:pPr>
      <w:r>
        <w:rPr>
          <w:color w:val="1E1E1E"/>
          <w:sz w:val="18"/>
        </w:rPr>
        <w:t>Caracterizado que a propriedade é produtiva, não se opera a desapropriação-sanção – por interesse social para os fins de reforma agrária –, em virtude de imperativo constitucional (CF, art. 185, II) que excepciona, para a reforma agrária, a atuação estatal, passando o processo de indenização, em princípio, a submeter-se às regras constantes do inciso XXIV do art. 5º da CF, "mediante justa e prévia indenização".</w:t>
      </w:r>
    </w:p>
    <w:p>
      <w:pPr>
        <w:ind w:left="288"/>
      </w:pPr>
      <w:r>
        <w:rPr>
          <w:b/>
          <w:color w:val="003CA0"/>
          <w:sz w:val="16"/>
        </w:rPr>
        <w:t>[MS 22.193, rel. min. Ilmar Galvão, red. do ac. min. Maurício Corrêa, j. 21-3-1996, P, DJ de 29-11-1996.]</w:t>
      </w:r>
    </w:p>
    <w:p>
      <w:pPr>
        <w:ind w:left="288"/>
      </w:pPr>
      <w:r>
        <w:rPr>
          <w:color w:val="8C8C8C"/>
          <w:sz w:val="12"/>
        </w:rPr>
        <w:t>cf-art-5-inc-XXIII</w:t>
      </w:r>
      <w:r>
        <w:rPr>
          <w:color w:val="003CA0"/>
          <w:sz w:val="12"/>
        </w:rPr>
        <w:t xml:space="preserve"> | RE 195.586</w:t>
      </w:r>
      <w:r>
        <w:rPr>
          <w:color w:val="003CA0"/>
          <w:sz w:val="12"/>
        </w:rPr>
        <w:t xml:space="preserve"> | rel. Octavio Gallotti</w:t>
      </w:r>
    </w:p>
    <w:p>
      <w:pPr>
        <w:ind w:left="288"/>
      </w:pPr>
      <w:r>
        <w:rPr>
          <w:color w:val="1E1E1E"/>
          <w:sz w:val="18"/>
        </w:rPr>
        <w:t>Subsiste, no regime da CF de 1988 (art. 5º, XXIV), a jurisprudência firmada pelo Supremo Tribunal sob a égide das Cartas anteriores, ao assentar que só a perda da propriedade, no final da ação de desapropriação – e não a imissão provisória na posse do imóvel – está compreendida na garantia da justa e prévia indenização.</w:t>
      </w:r>
    </w:p>
    <w:p>
      <w:pPr>
        <w:ind w:left="288"/>
      </w:pPr>
      <w:r>
        <w:rPr>
          <w:b/>
          <w:color w:val="003CA0"/>
          <w:sz w:val="16"/>
        </w:rPr>
        <w:t>[RE 195.586, rel. min. Octavio Gallotti, j. 12-3-1996, 1ª T, DJ de 26-4-1996.]</w:t>
      </w:r>
    </w:p>
    <w:p>
      <w:pPr>
        <w:ind w:left="288"/>
      </w:pPr>
      <w:r>
        <w:rPr>
          <w:color w:val="8C8C8C"/>
          <w:sz w:val="12"/>
        </w:rPr>
        <w:t>cf-art-5-inc-XXIII</w:t>
      </w:r>
      <w:r>
        <w:rPr>
          <w:color w:val="003CA0"/>
          <w:sz w:val="12"/>
        </w:rPr>
        <w:t xml:space="preserve"> | ADI 3.454</w:t>
      </w:r>
      <w:r>
        <w:rPr>
          <w:color w:val="003CA0"/>
          <w:sz w:val="12"/>
        </w:rPr>
        <w:t xml:space="preserve"> | rel. Dias Toffoli</w:t>
      </w:r>
    </w:p>
    <w:p>
      <w:pPr>
        <w:ind w:left="288"/>
      </w:pPr>
      <w:r>
        <w:rPr>
          <w:color w:val="1E1E1E"/>
          <w:sz w:val="18"/>
        </w:rPr>
        <w:t>XXV - no caso de iminente perigo público, a autoridade competente poderá usar de propriedade particular, assegurada ao proprietário indenização ulterior, se houver dano; A questão jurídica debatida nos autos está em saber se a requisição de que trata o art. 15, inciso XIII, da Lei nº 8.080/90 pode recair sobre bens e serviços públicos. Em outras palavras, discute-se, na presente ação, se um ente federativo pode requisitar bens e serviços pertencentes a outro. (...) A validade constitucional do dispositivo questionado está condicionada à exclusão da possibilidade de que a norma recaia sobre ben</w:t>
      </w:r>
    </w:p>
    <w:p>
      <w:pPr>
        <w:ind w:left="288"/>
      </w:pPr>
      <w:r>
        <w:rPr>
          <w:b/>
          <w:color w:val="003CA0"/>
          <w:sz w:val="16"/>
        </w:rPr>
        <w:t>[ADI 3.454, rel. min. Dias Toffoli, j. 21.06.2022, P, DJE de 17.08.2022.]</w:t>
      </w:r>
    </w:p>
    <w:p>
      <w:pPr>
        <w:ind w:left="288"/>
      </w:pPr>
      <w:r>
        <w:rPr>
          <w:color w:val="8C8C8C"/>
          <w:sz w:val="12"/>
        </w:rPr>
        <w:t>cf-art-5-inc-XXIII</w:t>
      </w:r>
      <w:r>
        <w:rPr>
          <w:color w:val="003CA0"/>
          <w:sz w:val="12"/>
        </w:rPr>
        <w:t xml:space="preserve"> | MS 25.295</w:t>
      </w:r>
      <w:r>
        <w:rPr>
          <w:color w:val="003CA0"/>
          <w:sz w:val="12"/>
        </w:rPr>
        <w:t xml:space="preserve"> | rel. Joaquim Barbosa</w:t>
      </w:r>
    </w:p>
    <w:p>
      <w:pPr>
        <w:ind w:left="288"/>
      </w:pPr>
      <w:r>
        <w:rPr>
          <w:color w:val="1E1E1E"/>
          <w:sz w:val="18"/>
        </w:rPr>
        <w:t>Decretação de estado de calamidade pública no SUS no Município do Rio de Janeiro. Requisição de bens e serviços municipais. (...) Ressalva do ministro presidente e do relator quanto à admissibilidade, em tese, da requisição, pela União, de bens e serviços municipais para o atendimento a situações de comprovada calamidade e perigo públicos. Ressalvas do relator quanto ao fundamento do deferimento da ordem: (i) ato sem expressa motivação e fixação de prazo para as medidas adotadas pelo governo federal; (...) (iii) nulidade do § 1º do art. 2º do decreto atacado, por inconstitucionalidade da deleg</w:t>
      </w:r>
    </w:p>
    <w:p>
      <w:pPr>
        <w:ind w:left="288"/>
      </w:pPr>
      <w:r>
        <w:rPr>
          <w:b/>
          <w:color w:val="003CA0"/>
          <w:sz w:val="16"/>
        </w:rPr>
        <w:t>[MS 25.295, rel. min. Joaquim Barbosa, j. 20-4-2005, P, DJ de 5-10-2007.]</w:t>
      </w:r>
    </w:p>
    <w:p>
      <w:pPr>
        <w:ind w:left="288"/>
      </w:pPr>
      <w:r>
        <w:rPr>
          <w:color w:val="8C8C8C"/>
          <w:sz w:val="12"/>
        </w:rPr>
        <w:t>cf-art-5-inc-XXIII</w:t>
      </w:r>
      <w:r>
        <w:rPr>
          <w:color w:val="003CA0"/>
          <w:sz w:val="12"/>
        </w:rPr>
        <w:t xml:space="preserve"> | RE 1.333.273</w:t>
      </w:r>
      <w:r>
        <w:rPr>
          <w:color w:val="003CA0"/>
          <w:sz w:val="12"/>
        </w:rPr>
        <w:t xml:space="preserve"> | rel. Luiz Fux</w:t>
      </w:r>
    </w:p>
    <w:p>
      <w:pPr>
        <w:ind w:left="288"/>
      </w:pPr>
      <w:r>
        <w:rPr>
          <w:color w:val="1E1E1E"/>
          <w:sz w:val="18"/>
        </w:rPr>
        <w:t>XXVI - a pequena propriedade rural, assim definida em lei, desde que trabalhada pela família, não será objeto de penhora para pagamento de débitos decorrentes de sua atividade produtiva, dispondo a lei sobre os meios de financiar o seu desenvolvimento; É infraconstitucional, a ela se aplicando os efeitos da ausência de repercussão geral, a controvérsia relativa ao cabimento de execução regressiva pela Eletrobras contra a União Federal, com fundamento na satisfação integral de dívida solidária reconhecida em título executivo transitado em julgado, decorrente da devolução de empréstimo compulsór</w:t>
      </w:r>
    </w:p>
    <w:p>
      <w:pPr>
        <w:ind w:left="288"/>
      </w:pPr>
      <w:r>
        <w:rPr>
          <w:b/>
          <w:color w:val="003CA0"/>
          <w:sz w:val="16"/>
        </w:rPr>
        <w:t>[RE 1.333.273 RG, rel. min. Luiz Fux, j. 18-11-2021, P, DJE de 6-12-2021, Tema 1.183, com repercussão geral negada.]</w:t>
      </w:r>
    </w:p>
    <w:p>
      <w:pPr>
        <w:ind w:left="288"/>
      </w:pPr>
      <w:r>
        <w:rPr>
          <w:color w:val="8C8C8C"/>
          <w:sz w:val="12"/>
        </w:rPr>
        <w:t>cf-art-5-inc-XXIII</w:t>
      </w:r>
      <w:r>
        <w:rPr>
          <w:color w:val="003CA0"/>
          <w:sz w:val="12"/>
        </w:rPr>
        <w:t xml:space="preserve"> | ARE 1.038.507</w:t>
      </w:r>
      <w:r>
        <w:rPr>
          <w:color w:val="003CA0"/>
          <w:sz w:val="12"/>
        </w:rPr>
        <w:t xml:space="preserve"> | rel. Edson Fachin</w:t>
      </w:r>
    </w:p>
    <w:p>
      <w:pPr>
        <w:ind w:left="288"/>
      </w:pPr>
      <w:r>
        <w:rPr>
          <w:color w:val="1E1E1E"/>
          <w:sz w:val="18"/>
        </w:rPr>
        <w:t>É impenhorável a pequena propriedade rural familiar constituída de mais de 01 (um) terreno, desde que contínuos e com área total inferior a 04 (quatro) módulos fiscais do município de localização.</w:t>
      </w:r>
    </w:p>
    <w:p>
      <w:pPr>
        <w:ind w:left="288"/>
      </w:pPr>
      <w:r>
        <w:rPr>
          <w:b/>
          <w:color w:val="003CA0"/>
          <w:sz w:val="16"/>
        </w:rPr>
        <w:t>[ARE 1.038.507, rel. min. Edson Fachin, j. 21-12-2020, P, DJE de 15-3-2021. Tema 961, com mérito julgado.]</w:t>
      </w:r>
    </w:p>
    <w:p>
      <w:pPr>
        <w:ind w:left="288"/>
      </w:pPr>
      <w:r>
        <w:rPr>
          <w:color w:val="8C8C8C"/>
          <w:sz w:val="12"/>
        </w:rPr>
        <w:t>cf-art-5-inc-XXIII</w:t>
      </w:r>
      <w:r>
        <w:rPr>
          <w:color w:val="003CA0"/>
          <w:sz w:val="12"/>
        </w:rPr>
        <w:t xml:space="preserve"> | RE 136.753</w:t>
      </w:r>
      <w:r>
        <w:rPr>
          <w:color w:val="003CA0"/>
          <w:sz w:val="12"/>
        </w:rPr>
        <w:t xml:space="preserve"> | rel. Sepúlveda Pertence</w:t>
      </w:r>
    </w:p>
    <w:p>
      <w:pPr>
        <w:ind w:left="288"/>
      </w:pPr>
      <w:r>
        <w:rPr>
          <w:color w:val="1E1E1E"/>
          <w:sz w:val="18"/>
        </w:rPr>
        <w:t>Impenhorabilidade da pequena propriedade rural de exploração familiar (CF, art. 5º, XXVI): aplicação imediata. A norma que torna impenhorável determinado bem desconstitui a penhora anteriormente efetivada, sem ofensa de ato jurídico perfeito ou de direito adquirido do credor: precedentes sobre hipótese similar. A falta de lei anterior ou posterior necessária à aplicabilidade de regra constitucional – sobretudo quando criadora de direito ou garantia fundamental – pode ser suprida por analogia: donde, a validade da utilização, para viabilizar a aplicação do art. 5º, XXVI, CF, do conceito de "pro</w:t>
      </w:r>
    </w:p>
    <w:p>
      <w:pPr>
        <w:ind w:left="288"/>
      </w:pPr>
      <w:r>
        <w:rPr>
          <w:b/>
          <w:color w:val="003CA0"/>
          <w:sz w:val="16"/>
        </w:rPr>
        <w:t>[RE 136.753, rel. min. Sepúlveda Pertence, j. 13-2-1997, P, DJ de 25-4-1997.]</w:t>
      </w:r>
    </w:p>
    <w:p>
      <w:pPr>
        <w:ind w:left="288"/>
      </w:pPr>
      <w:r>
        <w:rPr>
          <w:color w:val="8C8C8C"/>
          <w:sz w:val="12"/>
        </w:rPr>
        <w:t>cf-art-5-inc-XXIII</w:t>
      </w:r>
      <w:r>
        <w:rPr>
          <w:color w:val="003CA0"/>
          <w:sz w:val="12"/>
        </w:rPr>
        <w:t xml:space="preserve"> | ADI 5.800</w:t>
      </w:r>
      <w:r>
        <w:rPr>
          <w:color w:val="003CA0"/>
          <w:sz w:val="12"/>
        </w:rPr>
        <w:t xml:space="preserve"> | rel. Luiz Fux</w:t>
      </w:r>
    </w:p>
    <w:p>
      <w:pPr>
        <w:ind w:left="288"/>
      </w:pPr>
      <w:r>
        <w:rPr>
          <w:color w:val="1E1E1E"/>
          <w:sz w:val="18"/>
        </w:rPr>
        <w:t>XXVII - aos autores pertence o direito exclusivo de utilização, publicação ou reprodução de suas obras, transmissível aos herdeiros pelo tempo que a lei fixar; O direito autoral é um conjunto de prerrogativas que são conferidas por lei à pessoa física ou jurídica que cria alguma obra intelectual, dentre as quais se destaca o direito exclusivo do autor à utilização, à publicação ou à reprodução de suas obras, como corolário do direito de propriedade intelectual (art. 5º, XXII e XXVII, da Constituição Federal). In casu, a Lei 92/2010 do Estado do Amazonas estabeleceu a gratuidade para a execução</w:t>
      </w:r>
    </w:p>
    <w:p>
      <w:pPr>
        <w:ind w:left="288"/>
      </w:pPr>
      <w:r>
        <w:rPr>
          <w:b/>
          <w:color w:val="003CA0"/>
          <w:sz w:val="16"/>
        </w:rPr>
        <w:t>[ADI 5.800, rel. min. Luiz Fux, j. 8-5-2019, P, DJE de 22-5-2019.]</w:t>
      </w:r>
    </w:p>
    <w:p>
      <w:pPr>
        <w:ind w:left="288"/>
      </w:pPr>
      <w:r>
        <w:rPr>
          <w:color w:val="8C8C8C"/>
          <w:sz w:val="12"/>
        </w:rPr>
        <w:t>cf-art-5-inc-XXIII</w:t>
      </w:r>
      <w:r>
        <w:rPr>
          <w:color w:val="003CA0"/>
          <w:sz w:val="12"/>
        </w:rPr>
        <w:t xml:space="preserve"> | ARE 1.542.420</w:t>
      </w:r>
      <w:r>
        <w:rPr>
          <w:color w:val="003CA0"/>
          <w:sz w:val="12"/>
        </w:rPr>
        <w:t xml:space="preserve"> | rel. Dias Toffoli</w:t>
      </w:r>
    </w:p>
    <w:p>
      <w:pPr>
        <w:ind w:left="288"/>
      </w:pPr>
      <w:r>
        <w:rPr>
          <w:color w:val="1E1E1E"/>
          <w:sz w:val="18"/>
        </w:rPr>
        <w:t>Direito de fiscalização da exploração econômica das obras intelectuais inseridas em plataformas digitais, com fundamento nos dispositivos constitucionais que compõem o sistema de proteção da propriedade intelectual.</w:t>
      </w:r>
    </w:p>
    <w:p>
      <w:pPr>
        <w:ind w:left="288"/>
      </w:pPr>
      <w:r>
        <w:rPr>
          <w:b/>
          <w:color w:val="003CA0"/>
          <w:sz w:val="16"/>
        </w:rPr>
        <w:t>[ARE 1.542.420 RG, rel. min. Dias Toffoli, j. 30.05.2025, P, DJE de 06.06.2025, Tema 1.403, com mérito pendente.]</w:t>
      </w:r>
    </w:p>
    <w:p>
      <w:pPr>
        <w:ind w:left="288"/>
      </w:pPr>
      <w:r>
        <w:rPr>
          <w:color w:val="8C8C8C"/>
          <w:sz w:val="12"/>
        </w:rPr>
        <w:t>cf-art-5-inc-XXIII</w:t>
      </w:r>
    </w:p>
    <w:p>
      <w:pPr>
        <w:ind w:left="288"/>
      </w:pPr>
      <w:r>
        <w:rPr>
          <w:color w:val="1E1E1E"/>
          <w:sz w:val="18"/>
        </w:rPr>
        <w:t>XXVIII - são assegurados, nos termos da lei:</w:t>
      </w:r>
    </w:p>
    <w:p>
      <w:pPr>
        <w:ind w:left="288"/>
      </w:pPr>
      <w:r>
        <w:rPr>
          <w:color w:val="8C8C8C"/>
          <w:sz w:val="12"/>
        </w:rPr>
        <w:t>cf-art-5-inc-XXIII-ali-b</w:t>
      </w:r>
      <w:r>
        <w:rPr>
          <w:color w:val="003CA0"/>
          <w:sz w:val="12"/>
        </w:rPr>
        <w:t xml:space="preserve"> | ADI 5.062</w:t>
      </w:r>
      <w:r>
        <w:rPr>
          <w:color w:val="003CA0"/>
          <w:sz w:val="12"/>
        </w:rPr>
        <w:t xml:space="preserve"> | rel. Luiz Fux</w:t>
      </w:r>
    </w:p>
    <w:p>
      <w:pPr>
        <w:ind w:left="288"/>
      </w:pPr>
      <w:r>
        <w:rPr>
          <w:color w:val="1E1E1E"/>
          <w:sz w:val="18"/>
        </w:rPr>
        <w:t>A Lei 9.610/1998, com as alterações promovidas pela Lei 12.853/2013, impõe a divulgação de informações concernentes à execução pública de obras intelectuais, notadamente músicas, e à arrecadação dos respectivos direitos (art. 68, §§ 6º e 8º, e art. 98-B, I, II e parágrafo único), além de vedar a pactuação de cláusulas de confidencialidade nos contratos de licenciamento (art. 98-B, VI), estabelecendo penalidades em caso de descumprimento (art. 109-A). (...) As entidades de gestão coletiva possuem a evidente natureza instrumental de viabilizar trocas voluntárias envolvendo propriedade intelectua</w:t>
      </w:r>
    </w:p>
    <w:p>
      <w:pPr>
        <w:ind w:left="288"/>
      </w:pPr>
      <w:r>
        <w:rPr>
          <w:b/>
          <w:color w:val="003CA0"/>
          <w:sz w:val="16"/>
        </w:rPr>
        <w:t>[ADI 5.062 e ADI 5.065, rel. min. Luiz Fux, j. 27-10-2016, P, DJE de 21-6-2017.]</w:t>
      </w:r>
    </w:p>
    <w:p>
      <w:pPr>
        <w:ind w:left="288"/>
      </w:pPr>
      <w:r>
        <w:rPr>
          <w:color w:val="8C8C8C"/>
          <w:sz w:val="12"/>
        </w:rPr>
        <w:t>cf-art-5-inc-XXIII-ali-b</w:t>
      </w:r>
      <w:r>
        <w:rPr>
          <w:color w:val="003CA0"/>
          <w:sz w:val="12"/>
        </w:rPr>
        <w:t xml:space="preserve"> | ADI 2.054</w:t>
      </w:r>
    </w:p>
    <w:p>
      <w:pPr>
        <w:ind w:left="288"/>
      </w:pPr>
      <w:r>
        <w:rPr>
          <w:color w:val="1E1E1E"/>
          <w:sz w:val="18"/>
        </w:rPr>
        <w:t xml:space="preserve">Liberdade negativa de associação: sua existência, nos textos constitucionais anteriores, como corolário da liberdade positiva de associação e seu alcance e inteligência, na Constituição, quando se cuide de entidade destinada a viabilizar a gestão coletiva de arrecadação e distribuição de direitos autorais e conexos, cuja forma e organização se remeteram à lei. Direitos autorais e conexos: sistema de gestão coletiva de arrecadação e distribuição por meio do Ecad [Escritório Central de Arrecadação e Distribuição] (Lei 9.610/1998, art. 99), sem ofensa do art. 5º, XVII e XX, da Constituição, cuja </w:t>
      </w:r>
    </w:p>
    <w:p>
      <w:pPr>
        <w:ind w:left="288"/>
      </w:pPr>
      <w:r>
        <w:rPr>
          <w:b/>
          <w:color w:val="003CA0"/>
          <w:sz w:val="16"/>
        </w:rPr>
        <w:t>[ADI 2.054, red. do ac. min.. Sepúlveda Pertence, j. 2-4-2003, P, DJ de 17-10-2003.]</w:t>
      </w:r>
    </w:p>
    <w:p>
      <w:pPr>
        <w:ind w:left="288"/>
      </w:pPr>
      <w:r>
        <w:rPr>
          <w:color w:val="8C8C8C"/>
          <w:sz w:val="12"/>
        </w:rPr>
        <w:t>cf-art-5-inc-XXIII-ali-b</w:t>
      </w:r>
      <w:r>
        <w:rPr>
          <w:color w:val="003CA0"/>
          <w:sz w:val="12"/>
        </w:rPr>
        <w:t xml:space="preserve"> | ARE 1.542.420</w:t>
      </w:r>
      <w:r>
        <w:rPr>
          <w:color w:val="003CA0"/>
          <w:sz w:val="12"/>
        </w:rPr>
        <w:t xml:space="preserve"> | rel. Dias Toffoli</w:t>
      </w:r>
    </w:p>
    <w:p>
      <w:pPr>
        <w:ind w:left="288"/>
      </w:pPr>
      <w:r>
        <w:rPr>
          <w:color w:val="1E1E1E"/>
          <w:sz w:val="18"/>
        </w:rPr>
        <w:t>Direito de fiscalização da exploração econômica das obras intelectuais inseridas em plataformas digitais, com fundamento nos dispositivos constitucionais que compõem o sistema de proteção da propriedade intelectual.</w:t>
      </w:r>
    </w:p>
    <w:p>
      <w:pPr>
        <w:ind w:left="288"/>
      </w:pPr>
      <w:r>
        <w:rPr>
          <w:b/>
          <w:color w:val="003CA0"/>
          <w:sz w:val="16"/>
        </w:rPr>
        <w:t>[ARE 1.542.420 RG, rel. min. Dias Toffoli, j. 30.05.2025, P, DJE de 06.06.2025, Tema 1.403, com mérito pendente.]</w:t>
      </w:r>
    </w:p>
    <w:p>
      <w:pPr>
        <w:ind w:left="288"/>
      </w:pPr>
      <w:r>
        <w:rPr>
          <w:color w:val="8C8C8C"/>
          <w:sz w:val="12"/>
        </w:rPr>
        <w:t>cf-art-5-inc-XXIII-ali-b</w:t>
      </w:r>
      <w:r>
        <w:rPr>
          <w:color w:val="003CA0"/>
          <w:sz w:val="12"/>
        </w:rPr>
        <w:t xml:space="preserve"> | ADI 5.529</w:t>
      </w:r>
      <w:r>
        <w:rPr>
          <w:color w:val="003CA0"/>
          <w:sz w:val="12"/>
        </w:rPr>
        <w:t xml:space="preserve"> | rel. Dias Toffoli</w:t>
      </w:r>
    </w:p>
    <w:p>
      <w:pPr>
        <w:ind w:left="288"/>
      </w:pPr>
      <w:r>
        <w:rPr>
          <w:color w:val="1E1E1E"/>
          <w:sz w:val="18"/>
        </w:rPr>
        <w:t>XXIX - a lei assegurará aos autores de inventos industriais privilégio temporário para sua utilização, bem como proteção às criações industriais, à propriedade das marcas, aos nomes de empresas e a outros signos distintivos, tendo em vista o interesse social e o desenvolvimento tecnológico e econômico do País; A proteção à propriedade industrial, prevista como direito fundamental no art. 5º, inciso XXIX, da Constituição de 1988, se dá de forma temporária e com fundamento no interesse social e no desenvolvimento tecnológico e econômico. Trata-se, portanto, de instituto com finalidade determinad</w:t>
      </w:r>
    </w:p>
    <w:p>
      <w:pPr>
        <w:ind w:left="288"/>
      </w:pPr>
      <w:r>
        <w:rPr>
          <w:b/>
          <w:color w:val="003CA0"/>
          <w:sz w:val="16"/>
        </w:rPr>
        <w:t>[ADI 5.529, rel. min. Dias Toffoli, j. 12-5-2021, P, DJE de 1º-9-2021.]</w:t>
      </w:r>
    </w:p>
    <w:p>
      <w:pPr>
        <w:ind w:left="288"/>
      </w:pPr>
      <w:r>
        <w:rPr>
          <w:color w:val="8C8C8C"/>
          <w:sz w:val="12"/>
        </w:rPr>
        <w:t>cf-art-5-inc-XXIII-ali-b</w:t>
      </w:r>
      <w:r>
        <w:rPr>
          <w:color w:val="003CA0"/>
          <w:sz w:val="12"/>
        </w:rPr>
        <w:t xml:space="preserve"> | RCL 56.378</w:t>
      </w:r>
      <w:r>
        <w:rPr>
          <w:color w:val="003CA0"/>
          <w:sz w:val="12"/>
        </w:rPr>
        <w:t xml:space="preserve"> | rel. Luiz Fux</w:t>
      </w:r>
    </w:p>
    <w:p>
      <w:pPr>
        <w:ind w:left="288"/>
      </w:pPr>
      <w:r>
        <w:rPr>
          <w:color w:val="1E1E1E"/>
          <w:sz w:val="18"/>
        </w:rPr>
        <w:t xml:space="preserve">A decisão na ADI nº 5.529 está amparada na compreensão de que há, na legislação pátria vigente, instrumentos jurídicos destinados à dissuasão e à repressão civil e penal da imitação e da exploração indevida por parte de terceiros, ao mesmo tempo em que viabiliza aos agentes que assumiram o risco da inovação a apropriação dos resultados econômicos do invento em período determinado, em consonância com os parâmetros internacionais instituídos; não se admitindo que se condicione a prorrogação tão somente à demora na análise do processo pelo INPI, subvertendo a essência do art. 5º, inciso XXIX, da </w:t>
      </w:r>
    </w:p>
    <w:p>
      <w:pPr>
        <w:ind w:left="288"/>
      </w:pPr>
      <w:r>
        <w:rPr>
          <w:b/>
          <w:color w:val="003CA0"/>
          <w:sz w:val="16"/>
        </w:rPr>
        <w:t>[Rcl 56.378 MC-REF, rel. min. Luiz Fux, red. do ac. Dias Toffoli, j. 19-12-2022, 1ª T, DJE de 28-2-2023.]</w:t>
      </w:r>
    </w:p>
    <w:p>
      <w:pPr>
        <w:ind w:left="288"/>
      </w:pPr>
      <w:r>
        <w:rPr>
          <w:color w:val="8C8C8C"/>
          <w:sz w:val="12"/>
        </w:rPr>
        <w:t>cf-art-5-inc-XXX</w:t>
      </w:r>
      <w:r>
        <w:rPr>
          <w:color w:val="003CA0"/>
          <w:sz w:val="12"/>
        </w:rPr>
        <w:t xml:space="preserve"> | ADI 1.715</w:t>
      </w:r>
      <w:r>
        <w:rPr>
          <w:color w:val="003CA0"/>
          <w:sz w:val="12"/>
        </w:rPr>
        <w:t xml:space="preserve"> | rel. Maurício Corrêa</w:t>
      </w:r>
    </w:p>
    <w:p>
      <w:pPr>
        <w:ind w:left="288"/>
      </w:pPr>
      <w:r>
        <w:rPr>
          <w:color w:val="1E1E1E"/>
          <w:sz w:val="18"/>
        </w:rPr>
        <w:t>A Constituição garante o direito de herança, mas a forma como esse direito se exerce é matéria regulada por normas de direito privado.</w:t>
      </w:r>
    </w:p>
    <w:p>
      <w:pPr>
        <w:ind w:left="288"/>
      </w:pPr>
      <w:r>
        <w:rPr>
          <w:b/>
          <w:color w:val="003CA0"/>
          <w:sz w:val="16"/>
        </w:rPr>
        <w:t>[ADI 1.715 MC, rel. min. Maurício Corrêa, j. 21-5-1998, P, DJ de 30-4-2004.]</w:t>
      </w:r>
    </w:p>
    <w:p>
      <w:pPr>
        <w:ind w:left="288"/>
      </w:pPr>
      <w:r>
        <w:rPr>
          <w:color w:val="8C8C8C"/>
          <w:sz w:val="12"/>
        </w:rPr>
        <w:t>cf-art-5-inc-XXX</w:t>
      </w:r>
    </w:p>
    <w:p>
      <w:pPr>
        <w:ind w:left="288"/>
      </w:pPr>
      <w:r>
        <w:rPr>
          <w:color w:val="1E1E1E"/>
          <w:sz w:val="18"/>
        </w:rPr>
        <w:t>XXXI - a sucessão de bens de estrangeiros situados no País será regulada pela lei brasileira em benefício do cônjuge ou dos filhos brasileiros, sempre que não lhes seja mais favorável a lei pessoal do de cujus;</w:t>
      </w:r>
    </w:p>
    <w:p>
      <w:pPr>
        <w:ind w:left="288"/>
      </w:pPr>
      <w:r>
        <w:rPr>
          <w:color w:val="8C8C8C"/>
          <w:sz w:val="12"/>
        </w:rPr>
        <w:t>cf-art-5-inc-XXXII</w:t>
      </w:r>
      <w:r>
        <w:rPr>
          <w:color w:val="003CA0"/>
          <w:sz w:val="12"/>
        </w:rPr>
        <w:t xml:space="preserve"> | ADI 7.596</w:t>
      </w:r>
      <w:r>
        <w:rPr>
          <w:color w:val="003CA0"/>
          <w:sz w:val="12"/>
        </w:rPr>
        <w:t xml:space="preserve"> | rel. Nunes Marques</w:t>
      </w:r>
    </w:p>
    <w:p>
      <w:pPr>
        <w:ind w:left="288"/>
      </w:pPr>
      <w:r>
        <w:rPr>
          <w:color w:val="1E1E1E"/>
          <w:sz w:val="18"/>
        </w:rPr>
        <w:t>O RenovaBio, instituído pela Lei n. 13.576/2017, concretiza compromissos internacionais de mitigação de gases de efeito estufa assumidos pelo Brasil no Acordo de Paris, consubstanciando política pública voltada à transição energética e à sustentabilidade ambiental. (...) O princípio do poluidor-pagador é observado na medida em que o ônus da política ambiental recai verdadeiramente sobre os consumidores que optam por combustíveis fósseis. A disciplina legal não ofende os princípios da livre iniciativa e da livre concorrência, uma vez que o programa estabelece regras uniformes para todos os dist</w:t>
      </w:r>
    </w:p>
    <w:p>
      <w:pPr>
        <w:ind w:left="288"/>
      </w:pPr>
      <w:r>
        <w:rPr>
          <w:b/>
          <w:color w:val="003CA0"/>
          <w:sz w:val="16"/>
        </w:rPr>
        <w:t>[ADI 7.596 e ADI 7.617, rel. min. Nunes Marques, j. 17.11.2025, P, DJE de 24.11.2025.]</w:t>
      </w:r>
    </w:p>
    <w:p>
      <w:pPr>
        <w:ind w:left="288"/>
      </w:pPr>
      <w:r>
        <w:rPr>
          <w:color w:val="8C8C8C"/>
          <w:sz w:val="12"/>
        </w:rPr>
        <w:t>cf-art-5-inc-XXXII</w:t>
      </w:r>
      <w:r>
        <w:rPr>
          <w:color w:val="003CA0"/>
          <w:sz w:val="12"/>
        </w:rPr>
        <w:t xml:space="preserve"> | ADI 2.937</w:t>
      </w:r>
      <w:r>
        <w:rPr>
          <w:color w:val="003CA0"/>
          <w:sz w:val="12"/>
        </w:rPr>
        <w:t xml:space="preserve"> | rel. Cezar Peluso</w:t>
      </w:r>
    </w:p>
    <w:p>
      <w:pPr>
        <w:ind w:left="288"/>
      </w:pPr>
      <w:r>
        <w:rPr>
          <w:color w:val="1E1E1E"/>
          <w:sz w:val="18"/>
        </w:rPr>
        <w:t>Ação direta proposta contra a validez constitucional do Estatuto do Torcedor (...). A responsabilização objetiva prevista no art. 19 é consectário da textual equiparação das entidades desportivas, consoante o disposto no art. 3º, à figura do fornecedor do Código de Defesa do Consumidor (CDC). (...) Todo fornecedor ou prestador de espetáculo público responde pelos danos de suas falhas. E a solidariedade atribuída aos dirigentes tipifica hipótese de desconsideração direta, ope legis, da personalidade jurídica, positivada em estratégia normativa análoga ao que, além doutras leis, o CDC já prevê e</w:t>
      </w:r>
    </w:p>
    <w:p>
      <w:pPr>
        <w:ind w:left="288"/>
      </w:pPr>
      <w:r>
        <w:rPr>
          <w:b/>
          <w:color w:val="003CA0"/>
          <w:sz w:val="16"/>
        </w:rPr>
        <w:t>[ADI 2.937, rel. min. Cezar Peluso, j. 23-2-2012, P, DJE de 29-5-2012.]</w:t>
      </w:r>
    </w:p>
    <w:p>
      <w:pPr>
        <w:ind w:left="288"/>
      </w:pPr>
      <w:r>
        <w:rPr>
          <w:color w:val="8C8C8C"/>
          <w:sz w:val="12"/>
        </w:rPr>
        <w:t>cf-art-5-inc-XXXII</w:t>
      </w:r>
      <w:r>
        <w:rPr>
          <w:color w:val="003CA0"/>
          <w:sz w:val="12"/>
        </w:rPr>
        <w:t xml:space="preserve"> | ADI 2.591</w:t>
      </w:r>
      <w:r>
        <w:rPr>
          <w:color w:val="003CA0"/>
          <w:sz w:val="12"/>
        </w:rPr>
        <w:t xml:space="preserve"> | rel. Eros Grau</w:t>
      </w:r>
    </w:p>
    <w:p>
      <w:pPr>
        <w:ind w:left="288"/>
      </w:pPr>
      <w:r>
        <w:rPr>
          <w:color w:val="1E1E1E"/>
          <w:sz w:val="18"/>
        </w:rPr>
        <w:t>As instituições financeiras estão, todas elas, alcançadas pela incidência das normas veiculadas pelo Código de Defesa do Consumidor (CDC). "Consumidor", para os efeitos do CDC, é toda pessoa física ou jurídica que utiliza, como destinatário final, atividade bancária, financeira e de crédito.</w:t>
      </w:r>
    </w:p>
    <w:p>
      <w:pPr>
        <w:ind w:left="288"/>
      </w:pPr>
      <w:r>
        <w:rPr>
          <w:b/>
          <w:color w:val="003CA0"/>
          <w:sz w:val="16"/>
        </w:rPr>
        <w:t>[ADI 2.591 ED, rel. min. Eros Grau, j. 14-12-2006, P, DJ de 13-4-2007.]</w:t>
      </w:r>
    </w:p>
    <w:p>
      <w:pPr>
        <w:ind w:left="288"/>
      </w:pPr>
      <w:r>
        <w:rPr>
          <w:color w:val="8C8C8C"/>
          <w:sz w:val="12"/>
        </w:rPr>
        <w:t>cf-art-5-inc-XXXII</w:t>
      </w:r>
      <w:r>
        <w:rPr>
          <w:color w:val="003CA0"/>
          <w:sz w:val="12"/>
        </w:rPr>
        <w:t xml:space="preserve"> | AI 745.853</w:t>
      </w:r>
      <w:r>
        <w:rPr>
          <w:color w:val="003CA0"/>
          <w:sz w:val="12"/>
        </w:rPr>
        <w:t xml:space="preserve"> | rel. Luiz Fux</w:t>
      </w:r>
    </w:p>
    <w:p>
      <w:pPr>
        <w:ind w:left="288"/>
      </w:pPr>
      <w:r>
        <w:rPr>
          <w:color w:val="1E1E1E"/>
          <w:sz w:val="18"/>
        </w:rPr>
        <w:t>= AI 745.853 AgR, rel. min. Luiz Fux, j. 20-3-2012, 1ª T, DJE de 17-4-2012 Embargos de declaração opostos contra acórdão em que esta Corte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Superveniência de julgado, sob o rito da repercussão geral, em que esta Corte decidiu que “[n]ão se aplicam as Convenções de Varsóvia e Montreal às hipót</w:t>
      </w:r>
    </w:p>
    <w:p>
      <w:pPr>
        <w:ind w:left="288"/>
      </w:pPr>
      <w:r>
        <w:rPr>
          <w:b/>
          <w:color w:val="003CA0"/>
          <w:sz w:val="16"/>
        </w:rPr>
        <w:t>[ARE 766.618 ED, rel. min. Luís Roberto Barroso, j. 30.11.2023, P, DJE de 25.03.2024, Tema 210, com mérito julgado.]</w:t>
      </w:r>
    </w:p>
    <w:p>
      <w:pPr>
        <w:ind w:left="288"/>
      </w:pPr>
      <w:r>
        <w:rPr>
          <w:color w:val="8C8C8C"/>
          <w:sz w:val="12"/>
        </w:rPr>
        <w:t>cf-art-5-inc-XXXII</w:t>
      </w:r>
      <w:r>
        <w:rPr>
          <w:color w:val="003CA0"/>
          <w:sz w:val="12"/>
        </w:rPr>
        <w:t xml:space="preserve"> | RE 636.331</w:t>
      </w:r>
      <w:r>
        <w:rPr>
          <w:color w:val="003CA0"/>
          <w:sz w:val="12"/>
        </w:rPr>
        <w:t xml:space="preserve"> | rel. Gilmar Mendes</w:t>
      </w:r>
    </w:p>
    <w:p>
      <w:pPr>
        <w:ind w:left="288"/>
      </w:pPr>
      <w:r>
        <w:rPr>
          <w:color w:val="1E1E1E"/>
          <w:sz w:val="18"/>
        </w:rPr>
        <w:t>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w:t>
      </w:r>
    </w:p>
    <w:p>
      <w:pPr>
        <w:ind w:left="288"/>
      </w:pPr>
      <w:r>
        <w:rPr>
          <w:b/>
          <w:color w:val="003CA0"/>
          <w:sz w:val="16"/>
        </w:rPr>
        <w:t>[RE 636.331, rel. min. Gilmar Mendes, j. 25-5-2017, P, DJE de 13-11-2017. Tema 210, com mérito julgado.]</w:t>
      </w:r>
    </w:p>
    <w:p>
      <w:pPr>
        <w:ind w:left="288"/>
      </w:pPr>
      <w:r>
        <w:rPr>
          <w:color w:val="8C8C8C"/>
          <w:sz w:val="12"/>
        </w:rPr>
        <w:t>cf-art-5-inc-XXXII</w:t>
      </w:r>
      <w:r>
        <w:rPr>
          <w:color w:val="003CA0"/>
          <w:sz w:val="12"/>
        </w:rPr>
        <w:t xml:space="preserve"> | RE 636.331</w:t>
      </w:r>
      <w:r>
        <w:rPr>
          <w:color w:val="003CA0"/>
          <w:sz w:val="12"/>
        </w:rPr>
        <w:t xml:space="preserve"> | rel. GILMAR MENDES</w:t>
      </w:r>
    </w:p>
    <w:p>
      <w:pPr>
        <w:ind w:left="288"/>
      </w:pPr>
      <w:r>
        <w:rPr>
          <w:color w:val="1E1E1E"/>
          <w:sz w:val="18"/>
        </w:rPr>
        <w:t>Em relação à afronta ao art. 178, da CF/1988, o Plenário do SUPREMO TRIBUNAL FEDERAL, no RE 636.331-RG (Rel. Min. GILMAR MENDES, Tema 210), examinou a repercussão geral da questão constitucional debatida neste recurso 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Entretanto, em casos nos quais se debate vício na prestação de serviço de tr</w:t>
      </w:r>
    </w:p>
    <w:p>
      <w:pPr>
        <w:ind w:left="288"/>
      </w:pPr>
      <w:r>
        <w:rPr>
          <w:b/>
          <w:color w:val="003CA0"/>
          <w:sz w:val="16"/>
        </w:rPr>
        <w:t>[RE 1.047.443 AgR, rel. min. Alexandre de Moraes, j. 04.02.2025, 1ª T, DJE de 11.02.2025.]</w:t>
      </w:r>
    </w:p>
    <w:p>
      <w:pPr>
        <w:ind w:left="288"/>
      </w:pPr>
      <w:r>
        <w:rPr>
          <w:color w:val="8C8C8C"/>
          <w:sz w:val="12"/>
        </w:rPr>
        <w:t>cf-art-5-inc-XXXII</w:t>
      </w:r>
      <w:r>
        <w:rPr>
          <w:color w:val="003CA0"/>
          <w:sz w:val="12"/>
        </w:rPr>
        <w:t xml:space="preserve"> | RMS 23.732</w:t>
      </w:r>
      <w:r>
        <w:rPr>
          <w:color w:val="003CA0"/>
          <w:sz w:val="12"/>
        </w:rPr>
        <w:t xml:space="preserve"> | rel. Gilmar Mendes</w:t>
      </w:r>
    </w:p>
    <w:p>
      <w:pPr>
        <w:ind w:left="288"/>
      </w:pPr>
      <w:r>
        <w:rPr>
          <w:color w:val="1E1E1E"/>
          <w:sz w:val="18"/>
        </w:rPr>
        <w:t>Nestes autos, discute-se a utilização do sistema de código de barras e a exigência de afixação de etiquetas indicativas dos preços nas mercadorias expostas à venda. O mandado de segurança foi impetrado perante o STJ em 23-11-1998, questionando ato do ministro da Justiça (...). Tais dispositivos buscam realizar o postulado constitucional da defesa do consumidor, consagrado expressamente nos arts. 5º, XXXII, e 170, V, da CF/1988. Nesse sentido, não viola a Constituição a obrigação de afixar etiquetas indicativas do preço diretamente nas mercadorias. (...) não há que se falar em ofensa ao princíp</w:t>
      </w:r>
    </w:p>
    <w:p>
      <w:pPr>
        <w:ind w:left="288"/>
      </w:pPr>
      <w:r>
        <w:rPr>
          <w:b/>
          <w:color w:val="003CA0"/>
          <w:sz w:val="16"/>
        </w:rPr>
        <w:t>[RMS 23.732, rel. min. Gilmar Mendes, j. 17-11-2009, 2ª T, DJE de 19-2-2010.]</w:t>
      </w:r>
    </w:p>
    <w:p>
      <w:pPr>
        <w:ind w:left="288"/>
      </w:pPr>
      <w:r>
        <w:rPr>
          <w:color w:val="8C8C8C"/>
          <w:sz w:val="12"/>
        </w:rPr>
        <w:t>cf-art-5-inc-XXXII</w:t>
      </w:r>
      <w:r>
        <w:rPr>
          <w:color w:val="003CA0"/>
          <w:sz w:val="12"/>
        </w:rPr>
        <w:t xml:space="preserve"> | ADI 2.591</w:t>
      </w:r>
      <w:r>
        <w:rPr>
          <w:color w:val="003CA0"/>
          <w:sz w:val="12"/>
        </w:rPr>
        <w:t xml:space="preserve"> | rel. Sepúlveda Pertence</w:t>
      </w:r>
    </w:p>
    <w:p>
      <w:pPr>
        <w:ind w:left="288"/>
      </w:pPr>
      <w:r>
        <w:rPr>
          <w:color w:val="1E1E1E"/>
          <w:sz w:val="18"/>
        </w:rPr>
        <w:t>Código de Defesa do Consumidor (CDC): contrato firmado entre instituição financeira e seus clientes referente à caderneta de poupança: não obstante as normas veiculadas pelo CDC alcancem as instituições financeiras (cf. ADI 2.591, 7-6-2006, Pleno, Eros Grau), não é possível a sua aplicação retroativa, sob pena de violação do art. 5º, XXXVI, da CF.</w:t>
      </w:r>
    </w:p>
    <w:p>
      <w:pPr>
        <w:ind w:left="288"/>
      </w:pPr>
      <w:r>
        <w:rPr>
          <w:b/>
          <w:color w:val="003CA0"/>
          <w:sz w:val="16"/>
        </w:rPr>
        <w:t>[RE 395.384 ED, rel. min. Sepúlveda Pertence, j. 26-4-2007, 1ª T, DJ de 22-6-2007.]</w:t>
      </w:r>
    </w:p>
    <w:p>
      <w:pPr>
        <w:ind w:left="288"/>
      </w:pPr>
      <w:r>
        <w:rPr>
          <w:color w:val="8C8C8C"/>
          <w:sz w:val="12"/>
        </w:rPr>
        <w:t>cf-art-5-inc-XXXII</w:t>
      </w:r>
    </w:p>
    <w:p>
      <w:pPr>
        <w:ind w:left="288"/>
      </w:pPr>
      <w:r>
        <w:rPr>
          <w:color w:val="1E1E1E"/>
          <w:sz w:val="18"/>
        </w:rPr>
        <w:t>XXXIII - todos têm direito a receber dos órgãos públicos informações de seu interesse particular, ou de interesse coletivo ou geral, que serão prestadas no prazo da lei, sob pena de responsabilidade, ressalvadas aquelas cujo sigilo seja imprescindível à segurança da sociedade e do Estado; 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288"/>
      </w:pPr>
      <w:r>
        <w:rPr>
          <w:color w:val="8C8C8C"/>
          <w:sz w:val="12"/>
        </w:rPr>
        <w:t>cf-art-5-inc-XXXII</w:t>
      </w:r>
      <w:r>
        <w:rPr>
          <w:color w:val="003CA0"/>
          <w:sz w:val="12"/>
        </w:rPr>
        <w:t xml:space="preserve"> | ADPF 872</w:t>
      </w:r>
      <w:r>
        <w:rPr>
          <w:color w:val="003CA0"/>
          <w:sz w:val="12"/>
        </w:rPr>
        <w:t xml:space="preserve"> | rel. Cármen Lúcia</w:t>
      </w:r>
    </w:p>
    <w:p>
      <w:pPr>
        <w:ind w:left="288"/>
      </w:pPr>
      <w:r>
        <w:rPr>
          <w:color w:val="1E1E1E"/>
          <w:sz w:val="18"/>
        </w:rPr>
        <w:t>“O ato de qualquer dos poderes públicos restritivo de publicidade deve ser motivado de forma concreta, objetiva, específica e formal, sendo nulos os atos públicos que imponham, genericamente e sem fundamentação válida, restrição ao direito fundamental à informação”.</w:t>
      </w:r>
    </w:p>
    <w:p>
      <w:pPr>
        <w:ind w:left="288"/>
      </w:pPr>
      <w:r>
        <w:rPr>
          <w:b/>
          <w:color w:val="003CA0"/>
          <w:sz w:val="16"/>
        </w:rPr>
        <w:t>[ADPF 872, rel. min. Cármen Lúcia, j. 15-8-2023, P, DJE de 28-8-2023.]</w:t>
      </w:r>
    </w:p>
    <w:p>
      <w:pPr>
        <w:ind w:left="288"/>
      </w:pPr>
      <w:r>
        <w:rPr>
          <w:color w:val="8C8C8C"/>
          <w:sz w:val="12"/>
        </w:rPr>
        <w:t>cf-art-5-inc-XXXII</w:t>
      </w:r>
      <w:r>
        <w:rPr>
          <w:color w:val="003CA0"/>
          <w:sz w:val="12"/>
        </w:rPr>
        <w:t xml:space="preserve"> | ADI 6.637</w:t>
      </w:r>
      <w:r>
        <w:rPr>
          <w:color w:val="003CA0"/>
          <w:sz w:val="12"/>
        </w:rPr>
        <w:t xml:space="preserve"> | rel. Cármen Lúcia</w:t>
      </w:r>
    </w:p>
    <w:p>
      <w:pPr>
        <w:ind w:left="288"/>
      </w:pPr>
      <w:r>
        <w:rPr>
          <w:color w:val="1E1E1E"/>
          <w:sz w:val="18"/>
        </w:rPr>
        <w:t>O alcance das normas impugnadas há de se restringir ao direito de acesso à informação constitucionalmente assegurado (inc. XXXIII do art. 5º) e com maior relevo ao poder-dever fiscalizatório das Assembleias Legislativas, na forma da lei nacional, excluídas as imputações de crimes de responsabilidade, verificada a incompatibilidade formal com as disposições constitucionais sobre a matéria. Ação direta julgada parcialmente procedente para declarar inconstitucionais as expressões: “importando a ausência, sem justificação adequada, crime de responsabilidade” constante do caput do art. 100; “import</w:t>
      </w:r>
    </w:p>
    <w:p>
      <w:pPr>
        <w:ind w:left="288"/>
      </w:pPr>
      <w:r>
        <w:rPr>
          <w:b/>
          <w:color w:val="003CA0"/>
          <w:sz w:val="16"/>
        </w:rPr>
        <w:t>[ADI 6.637, rel. min. Cármen Lúcia, j. 17-12-2022, P, DJE de 25-1-2023.]</w:t>
      </w:r>
    </w:p>
    <w:p>
      <w:pPr>
        <w:ind w:left="288"/>
      </w:pPr>
      <w:r>
        <w:rPr>
          <w:color w:val="8C8C8C"/>
          <w:sz w:val="12"/>
        </w:rPr>
        <w:t>cf-art-5-inc-XXXII</w:t>
      </w:r>
      <w:r>
        <w:rPr>
          <w:color w:val="003CA0"/>
          <w:sz w:val="12"/>
        </w:rPr>
        <w:t xml:space="preserve"> | ADI 6.347</w:t>
      </w:r>
      <w:r>
        <w:rPr>
          <w:color w:val="003CA0"/>
          <w:sz w:val="12"/>
        </w:rPr>
        <w:t xml:space="preserve"> | rel. Alexandre de Moraes</w:t>
      </w:r>
    </w:p>
    <w:p>
      <w:pPr>
        <w:ind w:left="288"/>
      </w:pPr>
      <w:r>
        <w:rPr>
          <w:color w:val="1E1E1E"/>
          <w:sz w:val="18"/>
        </w:rPr>
        <w:t>A Constituição Federal de 1988 consagrou expressamente o princípio da publicidade como um dos vetores imprescindíveis à Administração Pública, conferindo-lhe absoluta prioridade na gestão administrativa e garantindo pleno acesso às informações a toda a Sociedade. À consagração constitucional de publicidade e transparência corresponde a obrigatoriedade do Estado em fornecer as informações solicitadas, sob pena de responsabilização política, civil e criminal, salvo nas hipóteses constitucionais de sigilo. O art. 6º-B da Lei 13.979/2020, incluído pelo art. 1º da Medida Provisória 928/2020, não es</w:t>
      </w:r>
    </w:p>
    <w:p>
      <w:pPr>
        <w:ind w:left="288"/>
      </w:pPr>
      <w:r>
        <w:rPr>
          <w:b/>
          <w:color w:val="003CA0"/>
          <w:sz w:val="16"/>
        </w:rPr>
        <w:t>[ADI 6.347 MC REF, ADI 6.351 MC REF e ADI 6.353 MC REF, rel. min. Alexandre de Moraes, j. 16-6-2020, P, DJE de 14-8-2020.]</w:t>
      </w:r>
    </w:p>
    <w:p>
      <w:pPr>
        <w:ind w:left="288"/>
      </w:pPr>
      <w:r>
        <w:rPr>
          <w:color w:val="8C8C8C"/>
          <w:sz w:val="12"/>
        </w:rPr>
        <w:t>cf-art-5-inc-XXXII</w:t>
      </w:r>
      <w:r>
        <w:rPr>
          <w:color w:val="003CA0"/>
          <w:sz w:val="12"/>
        </w:rPr>
        <w:t xml:space="preserve"> | ADPF 129</w:t>
      </w:r>
      <w:r>
        <w:rPr>
          <w:color w:val="003CA0"/>
          <w:sz w:val="12"/>
        </w:rPr>
        <w:t xml:space="preserve"> | rel. Edson Fachin</w:t>
      </w:r>
    </w:p>
    <w:p>
      <w:pPr>
        <w:ind w:left="288"/>
      </w:pPr>
      <w:r>
        <w:rPr>
          <w:color w:val="1E1E1E"/>
          <w:sz w:val="18"/>
        </w:rPr>
        <w:t>Art. 86 do Decreto-lei 200/1967, que prevê o sigilo da movimentação dos créditos destinados à realização de despesas reservadas ou confidenciais. Não Recepção pela Constituição de 1988. (...) O Princípio de Publicidade dos Atos da Administração Pública caracteriza-se como preceito fundamental para fins de cabimento de Arguição de Descumprimento de Preceito Fundamental. O Estado Democrático de Direito instaurado pela Constituição de 1988 estabeleceu, como regra, a publicidade das informações referentes às despesas públicas, prescrevendo o sigilo como exceção, apenas quando imprescindível à segu</w:t>
      </w:r>
    </w:p>
    <w:p>
      <w:pPr>
        <w:ind w:left="288"/>
      </w:pPr>
      <w:r>
        <w:rPr>
          <w:b/>
          <w:color w:val="003CA0"/>
          <w:sz w:val="16"/>
        </w:rPr>
        <w:t>[ADPF 129, rel. min. Edson Fachin, j. 5-11-2019, P, DJE de 9-12-2019.]</w:t>
      </w:r>
    </w:p>
    <w:p>
      <w:pPr>
        <w:ind w:left="288"/>
      </w:pPr>
      <w:r>
        <w:rPr>
          <w:color w:val="8C8C8C"/>
          <w:sz w:val="12"/>
        </w:rPr>
        <w:t>cf-art-5-inc-XXXII</w:t>
      </w:r>
      <w:r>
        <w:rPr>
          <w:color w:val="003CA0"/>
          <w:sz w:val="12"/>
        </w:rPr>
        <w:t xml:space="preserve"> | ADPF 153</w:t>
      </w:r>
      <w:r>
        <w:rPr>
          <w:color w:val="003CA0"/>
          <w:sz w:val="12"/>
        </w:rPr>
        <w:t xml:space="preserve"> | rel. Eros Grau</w:t>
      </w:r>
    </w:p>
    <w:p>
      <w:pPr>
        <w:ind w:left="288"/>
      </w:pPr>
      <w:r>
        <w:rPr>
          <w:color w:val="1E1E1E"/>
          <w:sz w:val="18"/>
        </w:rPr>
        <w:t>Lei 6.683/1979, a chamada "Lei de Anistia". Art. 5º, caput, III e XXXIII, da Constituição do Brasil (...). Circunstâncias históricas. (...) Acesso a documentos históricos como forma de exercício do direito fundamental à verdade. (...) Impõe-se o desembaraço dos mecanismos que ainda dificultam o conhecimento do quanto ocorreu no Brasil durante as décadas sombrias da ditadura.</w:t>
      </w:r>
    </w:p>
    <w:p>
      <w:pPr>
        <w:ind w:left="288"/>
      </w:pPr>
      <w:r>
        <w:rPr>
          <w:b/>
          <w:color w:val="003CA0"/>
          <w:sz w:val="16"/>
        </w:rPr>
        <w:t>[ADPF 153, rel. min. Eros Grau, j. 29-4-2010, P, DJE de 6-8-2010.]</w:t>
      </w:r>
    </w:p>
    <w:p>
      <w:pPr>
        <w:ind w:left="288"/>
      </w:pPr>
      <w:r>
        <w:rPr>
          <w:color w:val="8C8C8C"/>
          <w:sz w:val="12"/>
        </w:rPr>
        <w:t>cf-art-5-inc-XXXII</w:t>
      </w:r>
      <w:r>
        <w:rPr>
          <w:color w:val="003CA0"/>
          <w:sz w:val="12"/>
        </w:rPr>
        <w:t xml:space="preserve"> | RE 865.401</w:t>
      </w:r>
      <w:r>
        <w:rPr>
          <w:color w:val="003CA0"/>
          <w:sz w:val="12"/>
        </w:rPr>
        <w:t xml:space="preserve"> | rel. Marco Aurélio</w:t>
      </w:r>
    </w:p>
    <w:p>
      <w:pPr>
        <w:ind w:left="288"/>
      </w:pPr>
      <w:r>
        <w:rPr>
          <w:color w:val="1E1E1E"/>
          <w:sz w:val="18"/>
        </w:rPr>
        <w:t>(...) o parlamentar, na condição de cidadão, pode exercer plenamente seu direito fundamental de acesso a informações de interesse pessoal ou coletivo, nos termos do art. 5º, inciso XXXIII, da CF e das normas de regência desse direito.</w:t>
      </w:r>
    </w:p>
    <w:p>
      <w:pPr>
        <w:ind w:left="288"/>
      </w:pPr>
      <w:r>
        <w:rPr>
          <w:b/>
          <w:color w:val="003CA0"/>
          <w:sz w:val="16"/>
        </w:rPr>
        <w:t>[RE 865.401, rel. min. Marco Aurélio, j. 25-4-2018, P, DJE de 19-10-2018, Tema 832, com mérito julgado.]</w:t>
      </w:r>
    </w:p>
    <w:p>
      <w:pPr>
        <w:ind w:left="288"/>
      </w:pPr>
      <w:r>
        <w:rPr>
          <w:color w:val="8C8C8C"/>
          <w:sz w:val="12"/>
        </w:rPr>
        <w:t>cf-art-5-inc-XXXII</w:t>
      </w:r>
      <w:r>
        <w:rPr>
          <w:color w:val="003CA0"/>
          <w:sz w:val="12"/>
        </w:rPr>
        <w:t xml:space="preserve"> | ARE 652.777</w:t>
      </w:r>
      <w:r>
        <w:rPr>
          <w:color w:val="003CA0"/>
          <w:sz w:val="12"/>
        </w:rPr>
        <w:t xml:space="preserve"> | rel. Teori Zavascki</w:t>
      </w:r>
    </w:p>
    <w:p>
      <w:pPr>
        <w:ind w:left="288"/>
      </w:pPr>
      <w:r>
        <w:rPr>
          <w:color w:val="1E1E1E"/>
          <w:sz w:val="18"/>
        </w:rPr>
        <w:t>É legítima a publicação, inclusive em sítio eletrônico mantido pela administração pública, dos nomes dos seus servidores e do valor dos correspondentes vencimentos e vantagens pecuniárias.</w:t>
      </w:r>
    </w:p>
    <w:p>
      <w:pPr>
        <w:ind w:left="288"/>
      </w:pPr>
      <w:r>
        <w:rPr>
          <w:b/>
          <w:color w:val="003CA0"/>
          <w:sz w:val="16"/>
        </w:rPr>
        <w:t>[ARE 652.777, rel. min. Teori Zavascki, j. 23-4-2015, P, DJE de 1º-7-2015, Tema 483, com mérito julgado.]</w:t>
      </w:r>
    </w:p>
    <w:p>
      <w:pPr>
        <w:ind w:left="288"/>
      </w:pPr>
      <w:r>
        <w:rPr>
          <w:color w:val="8C8C8C"/>
          <w:sz w:val="12"/>
        </w:rPr>
        <w:t>cf-art-5-inc-XXXII</w:t>
      </w:r>
      <w:r>
        <w:rPr>
          <w:color w:val="003CA0"/>
          <w:sz w:val="12"/>
        </w:rPr>
        <w:t xml:space="preserve"> | MS 36.747</w:t>
      </w:r>
      <w:r>
        <w:rPr>
          <w:color w:val="003CA0"/>
          <w:sz w:val="12"/>
        </w:rPr>
        <w:t xml:space="preserve"> | rel. Roberto Barroso</w:t>
      </w:r>
    </w:p>
    <w:p>
      <w:pPr>
        <w:ind w:left="288"/>
      </w:pPr>
      <w:r>
        <w:rPr>
          <w:color w:val="1E1E1E"/>
          <w:sz w:val="18"/>
        </w:rPr>
        <w:t>A Lei de Acesso à Informação prevê expressamente a possibilidade de acesso somente aos resultados de processos de inspeções, auditorias, prestações e tomada de contas realizadas pelos órgãos de controle externo. Quanto aos documentos e informações contidos nesses tipos de procedimento, o direito ao acesso somente é franqueado após a edição do ato decisório respectivo (art. 7º, VII, b e § 3º, da Lei 12.527/2011).</w:t>
      </w:r>
    </w:p>
    <w:p>
      <w:pPr>
        <w:ind w:left="288"/>
      </w:pPr>
      <w:r>
        <w:rPr>
          <w:b/>
          <w:color w:val="003CA0"/>
          <w:sz w:val="16"/>
        </w:rPr>
        <w:t>[MS 36.747 AgR, rel. min. Roberto Barroso, j. 30-5-2022, 1ª T, DJE de 8-6-2022.]</w:t>
      </w:r>
    </w:p>
    <w:p>
      <w:pPr>
        <w:ind w:left="288"/>
      </w:pPr>
      <w:r>
        <w:rPr>
          <w:color w:val="8C8C8C"/>
          <w:sz w:val="12"/>
        </w:rPr>
        <w:t>cf-art-5-inc-XXXII</w:t>
      </w:r>
      <w:r>
        <w:rPr>
          <w:color w:val="003CA0"/>
          <w:sz w:val="12"/>
        </w:rPr>
        <w:t xml:space="preserve"> | MS 37.626</w:t>
      </w:r>
      <w:r>
        <w:rPr>
          <w:color w:val="003CA0"/>
          <w:sz w:val="12"/>
        </w:rPr>
        <w:t xml:space="preserve"> | rel. Flávio Dino</w:t>
      </w:r>
    </w:p>
    <w:p>
      <w:pPr>
        <w:ind w:left="288"/>
      </w:pPr>
      <w:r>
        <w:rPr>
          <w:color w:val="1E1E1E"/>
          <w:sz w:val="18"/>
        </w:rPr>
        <w:t xml:space="preserve">Na administração das entidades do Sistema “S”, a publicidade é a regra. O sigilo é situação anômala e excepcional, somente autorizada quando necessário à preservação da intimidade e em razão de sua imprescindibilidade para a segurança, devidamente justificada, o que não é o caso da divulgação da remuneração de seus agentes. As remunerações dos empregados e dirigentes do Sistema “S” devem ser publicizadas de forma individualizada, clara e sem generalizações que impeçam a correta compreensão dos dados. A mera divulgação da “estrutura remuneratória” não é suficiente. Os dados devem ser prestados </w:t>
      </w:r>
    </w:p>
    <w:p>
      <w:pPr>
        <w:ind w:left="288"/>
      </w:pPr>
      <w:r>
        <w:rPr>
          <w:b/>
          <w:color w:val="003CA0"/>
          <w:sz w:val="16"/>
        </w:rPr>
        <w:t>[MS 37.626, rel. min. Flávio Dino, j. 29.04.2024, 1ª T, DJE de 06.05.2024.]</w:t>
      </w:r>
    </w:p>
    <w:p>
      <w:pPr>
        <w:ind w:left="288"/>
      </w:pPr>
      <w:r>
        <w:rPr>
          <w:color w:val="8C8C8C"/>
          <w:sz w:val="12"/>
        </w:rPr>
        <w:t>cf-art-5-inc-XXXII</w:t>
      </w:r>
      <w:r>
        <w:rPr>
          <w:color w:val="003CA0"/>
          <w:sz w:val="12"/>
        </w:rPr>
        <w:t xml:space="preserve"> | ARE 652.777</w:t>
      </w:r>
      <w:r>
        <w:rPr>
          <w:color w:val="003CA0"/>
          <w:sz w:val="12"/>
        </w:rPr>
        <w:t xml:space="preserve"> | rel. Teori Zavascki</w:t>
      </w:r>
    </w:p>
    <w:p>
      <w:pPr>
        <w:ind w:left="288"/>
      </w:pPr>
      <w:r>
        <w:rPr>
          <w:color w:val="1E1E1E"/>
          <w:sz w:val="18"/>
        </w:rPr>
        <w:t>Vide ARE 652.777, rel. min. Teori Zavascki, j. 23.04.2015, P, DJE de 01.07.2015, Tema 483, com mérito julgado.] Ato que indefere acesso a documentos relativos ao pagamento de verbas públicas. (...) A regra geral num Estado Republicano é a da total transparência no acesso a documentos públicos, sendo o sigilo a exceção. (...) As verbas indenizatórias para exercício da atividade parlamentar têm natureza pública, não havendo razões de segurança ou de intimidade que justifiquem genericamente seu caráter sigiloso.</w:t>
      </w:r>
    </w:p>
    <w:p>
      <w:pPr>
        <w:ind w:left="288"/>
      </w:pPr>
      <w:r>
        <w:rPr>
          <w:b/>
          <w:color w:val="003CA0"/>
          <w:sz w:val="16"/>
        </w:rPr>
        <w:t>[MS 28.178, rel. min. Roberto Barroso, j. 4-3-2015, P, DJE de 8-5-2015.]</w:t>
      </w:r>
    </w:p>
    <w:p>
      <w:pPr>
        <w:ind w:left="288"/>
      </w:pPr>
      <w:r>
        <w:rPr>
          <w:color w:val="8C8C8C"/>
          <w:sz w:val="12"/>
        </w:rPr>
        <w:t>cf-art-5-inc-XXXII</w:t>
      </w:r>
      <w:r>
        <w:rPr>
          <w:color w:val="003CA0"/>
          <w:sz w:val="12"/>
        </w:rPr>
        <w:t xml:space="preserve"> | RCL 10.771</w:t>
      </w:r>
      <w:r>
        <w:rPr>
          <w:color w:val="003CA0"/>
          <w:sz w:val="12"/>
        </w:rPr>
        <w:t xml:space="preserve"> | rel. Marco Aurélio</w:t>
      </w:r>
    </w:p>
    <w:p>
      <w:pPr>
        <w:ind w:left="288"/>
      </w:pPr>
      <w:r>
        <w:rPr>
          <w:color w:val="1E1E1E"/>
          <w:sz w:val="18"/>
        </w:rPr>
        <w:t>O Verbete 14 da Súmula Vinculante do Supremo não alcança sindicância administrativa objetivando elucidar fatos sob o ângulo do cometimento de infração administrativa.</w:t>
      </w:r>
    </w:p>
    <w:p>
      <w:pPr>
        <w:ind w:left="288"/>
      </w:pPr>
      <w:r>
        <w:rPr>
          <w:b/>
          <w:color w:val="003CA0"/>
          <w:sz w:val="16"/>
        </w:rPr>
        <w:t>[Rcl 10.771 AgR, rel. min. Marco Aurélio, j. 4-2-2014, 1ª T, DJE de 18-2-2014.]</w:t>
      </w:r>
    </w:p>
    <w:p>
      <w:pPr>
        <w:ind w:left="288"/>
      </w:pPr>
      <w:r>
        <w:rPr>
          <w:color w:val="8C8C8C"/>
          <w:sz w:val="12"/>
        </w:rPr>
        <w:t>cf-art-5-inc-XXXII</w:t>
      </w:r>
      <w:r>
        <w:rPr>
          <w:color w:val="003CA0"/>
          <w:sz w:val="12"/>
        </w:rPr>
        <w:t xml:space="preserve"> | RCL 9.789</w:t>
      </w:r>
      <w:r>
        <w:rPr>
          <w:color w:val="003CA0"/>
          <w:sz w:val="12"/>
        </w:rPr>
        <w:t xml:space="preserve"> | rel. Ellen Gracie</w:t>
      </w:r>
    </w:p>
    <w:p>
      <w:pPr>
        <w:ind w:left="288"/>
      </w:pPr>
      <w:r>
        <w:rPr>
          <w:color w:val="1E1E1E"/>
          <w:sz w:val="18"/>
        </w:rPr>
        <w:t>Violação da Súmula Vinculante 14. Inocorrência. (...) Não há como conceder vista do inquérito policial (...) pela simples razão de o agravante não figurar como indiciado, além, é claro, de o feito tramitar sob a etiqueta do segredo de justiça.</w:t>
      </w:r>
    </w:p>
    <w:p>
      <w:pPr>
        <w:ind w:left="288"/>
      </w:pPr>
      <w:r>
        <w:rPr>
          <w:b/>
          <w:color w:val="003CA0"/>
          <w:sz w:val="16"/>
        </w:rPr>
        <w:t>[Rcl 9.789 AgR, rel. min. Ellen Gracie, j. 18-8-2010, P, DJE de 3-9-2010.]</w:t>
      </w:r>
    </w:p>
    <w:p>
      <w:pPr>
        <w:ind w:left="288"/>
      </w:pPr>
      <w:r>
        <w:rPr>
          <w:color w:val="8C8C8C"/>
          <w:sz w:val="12"/>
        </w:rPr>
        <w:t>cf-art-5-inc-XXXII</w:t>
      </w:r>
      <w:r>
        <w:rPr>
          <w:color w:val="003CA0"/>
          <w:sz w:val="12"/>
        </w:rPr>
        <w:t xml:space="preserve"> | MS 25.382</w:t>
      </w:r>
      <w:r>
        <w:rPr>
          <w:color w:val="003CA0"/>
          <w:sz w:val="12"/>
        </w:rPr>
        <w:t xml:space="preserve"> | rel. Sepúlveda Pertence</w:t>
      </w:r>
    </w:p>
    <w:p>
      <w:pPr>
        <w:ind w:left="288"/>
      </w:pPr>
      <w:r>
        <w:rPr>
          <w:color w:val="1E1E1E"/>
          <w:sz w:val="18"/>
        </w:rPr>
        <w:t>TCU: direito de acesso a documentos de processo administrativo. CF, art. 5º, XXXIII, XXXIV, b, e LXXII; e art. 37. Processo de representação instaurado para apurar eventual desvio dos recursos arrecadados com a exploração provisória do Complexo Pousada Esmeralda, situado no arquipélago de Fernando de Noronha/PE: direito da empresa impetrante, permissionária de uso, ter vista dos autos da representação mencionada, a fim de obter elementos que sirvam para a sua defesa em processos judiciais nos quais figura como parte. Não incidência, no caso, de qualquer limitação às garantias constitucionais (</w:t>
      </w:r>
    </w:p>
    <w:p>
      <w:pPr>
        <w:ind w:left="288"/>
      </w:pPr>
      <w:r>
        <w:rPr>
          <w:b/>
          <w:color w:val="003CA0"/>
          <w:sz w:val="16"/>
        </w:rPr>
        <w:t>[MS 25.382, rel. min. Sepúlveda Pertence, j. 15-2-2006, P, DJ de 31-3-2006.]</w:t>
      </w:r>
    </w:p>
    <w:p>
      <w:pPr>
        <w:ind w:left="288"/>
      </w:pPr>
      <w:r>
        <w:rPr>
          <w:color w:val="8C8C8C"/>
          <w:sz w:val="12"/>
        </w:rPr>
        <w:t>cf-art-5-inc-XXXII</w:t>
      </w:r>
    </w:p>
    <w:p>
      <w:pPr>
        <w:ind w:left="288"/>
      </w:pPr>
      <w:r>
        <w:rPr>
          <w:color w:val="1E1E1E"/>
          <w:sz w:val="18"/>
        </w:rPr>
        <w:t>XXXIV - são a todos assegurados, independentemente do pagamento de taxas:</w:t>
      </w:r>
    </w:p>
    <w:p>
      <w:pPr>
        <w:ind w:left="288"/>
      </w:pPr>
      <w:r>
        <w:rPr>
          <w:color w:val="8C8C8C"/>
          <w:sz w:val="12"/>
        </w:rPr>
        <w:t>cf-art-5-inc-XXXII-ali-a</w:t>
      </w:r>
    </w:p>
    <w:p>
      <w:pPr>
        <w:ind w:left="288"/>
      </w:pPr>
      <w:r>
        <w:rPr>
          <w:color w:val="1E1E1E"/>
          <w:sz w:val="18"/>
        </w:rPr>
        <w:t>É inconstitucional a exigência de depósito ou arrolamento prévios de dinheiro ou bens para admissibilidade de recurso administrativo</w:t>
      </w:r>
    </w:p>
    <w:p>
      <w:pPr>
        <w:ind w:left="288"/>
      </w:pPr>
      <w:r>
        <w:rPr>
          <w:b/>
          <w:color w:val="003CA0"/>
          <w:sz w:val="16"/>
        </w:rPr>
        <w:t>[Súmula Vinculante 21.]</w:t>
      </w:r>
    </w:p>
    <w:p>
      <w:pPr>
        <w:ind w:left="288"/>
      </w:pPr>
      <w:r>
        <w:rPr>
          <w:color w:val="8C8C8C"/>
          <w:sz w:val="12"/>
        </w:rPr>
        <w:t>cf-art-5-inc-XXXII-ali-a</w:t>
      </w:r>
      <w:r>
        <w:rPr>
          <w:color w:val="003CA0"/>
          <w:sz w:val="12"/>
        </w:rPr>
        <w:t xml:space="preserve"> | ADI 6.145</w:t>
      </w:r>
      <w:r>
        <w:rPr>
          <w:color w:val="003CA0"/>
          <w:sz w:val="12"/>
        </w:rPr>
        <w:t xml:space="preserve"> | rel. Rosa Weber</w:t>
      </w:r>
    </w:p>
    <w:p>
      <w:pPr>
        <w:ind w:left="288"/>
      </w:pPr>
      <w:r>
        <w:rPr>
          <w:color w:val="1E1E1E"/>
          <w:sz w:val="18"/>
        </w:rPr>
        <w:t>O recurso administrativo, nos termos da jurisprudência deste Supremo Tribunal Federal, decorre diretamente do direito de petição (art. 5º, XXXIV, a, CF). (...) O art. 5º, XXXIV, a, da Constituição Federal exclui competência para instituição de taxa em virtude do exercício do direito de petição, motivo pelo qual não pode incidir referida espécie tributária para interposição de recurso administrativo. Não está abarcada, entretanto, no âmbito conceitual do direito de petição (art. 5º XXXIV, a, CF), a realização de perícias e o empreendimento de diligências.</w:t>
      </w:r>
    </w:p>
    <w:p>
      <w:pPr>
        <w:ind w:left="288"/>
      </w:pPr>
      <w:r>
        <w:rPr>
          <w:b/>
          <w:color w:val="003CA0"/>
          <w:sz w:val="16"/>
        </w:rPr>
        <w:t>[ADI 6.145, rel. min. Rosa Weber, j. 14-9-2022, P, DJE de 24-10-2022.]</w:t>
      </w:r>
    </w:p>
    <w:p>
      <w:pPr>
        <w:ind w:left="288"/>
      </w:pPr>
      <w:r>
        <w:rPr>
          <w:color w:val="8C8C8C"/>
          <w:sz w:val="12"/>
        </w:rPr>
        <w:t>cf-art-5-inc-XXXII-ali-a</w:t>
      </w:r>
      <w:r>
        <w:rPr>
          <w:color w:val="003CA0"/>
          <w:sz w:val="12"/>
        </w:rPr>
        <w:t xml:space="preserve"> | ADPF 156</w:t>
      </w:r>
      <w:r>
        <w:rPr>
          <w:color w:val="003CA0"/>
          <w:sz w:val="12"/>
        </w:rPr>
        <w:t xml:space="preserve"> | rel. Cármen Lúcia</w:t>
      </w:r>
    </w:p>
    <w:p>
      <w:pPr>
        <w:ind w:left="288"/>
      </w:pPr>
      <w:r>
        <w:rPr>
          <w:color w:val="1E1E1E"/>
          <w:sz w:val="18"/>
        </w:rPr>
        <w:t>Arguição de descumprimento de preceito fundamental. Parágrafo 1º do art. 636 da CLT: não recepção pela Constituição de 1988. Incompatibilidade da exigência de depósito prévio do valor correspondente à multa como condição de admissibilidade de recurso administrativo interposto junto à autoridade trabalhista (§ 1º do art. 636 da CLT) com a Constituição de 1988. Inobservância das garantias constitucionais do devido processo legal e da ampla defesa (art. 5º, LIV e LV); do princípio da isonomia (art. 5º, caput); do direito de petição (art. 5º, XXXIV, a).</w:t>
      </w:r>
    </w:p>
    <w:p>
      <w:pPr>
        <w:ind w:left="288"/>
      </w:pPr>
      <w:r>
        <w:rPr>
          <w:b/>
          <w:color w:val="003CA0"/>
          <w:sz w:val="16"/>
        </w:rPr>
        <w:t>[ADPF 156, rel. min. Cármen Lúcia, j. 18-8-2011, P, DJE de 28-10-2011.]</w:t>
      </w:r>
    </w:p>
    <w:p>
      <w:pPr>
        <w:ind w:left="288"/>
      </w:pPr>
      <w:r>
        <w:rPr>
          <w:color w:val="8C8C8C"/>
          <w:sz w:val="12"/>
        </w:rPr>
        <w:t>cf-art-5-inc-XXXII-ali-a</w:t>
      </w:r>
      <w:r>
        <w:rPr>
          <w:color w:val="003CA0"/>
          <w:sz w:val="12"/>
        </w:rPr>
        <w:t xml:space="preserve"> | AI 698.626</w:t>
      </w:r>
      <w:r>
        <w:rPr>
          <w:color w:val="003CA0"/>
          <w:sz w:val="12"/>
        </w:rPr>
        <w:t xml:space="preserve"> | rel. Ellen Gracie</w:t>
      </w:r>
    </w:p>
    <w:p>
      <w:pPr>
        <w:ind w:left="288"/>
      </w:pPr>
      <w:r>
        <w:rPr>
          <w:color w:val="1E1E1E"/>
          <w:sz w:val="18"/>
        </w:rPr>
        <w:t>Vide AI 698.626 QO-RG, rel. min. Ellen Gracie, j. 2-10-2008, P, DJE de 5-12-2008 A natureza jurídica da reclamação não é a de um recurso, de uma ação e nem de um incidente processual. Situa-se ela no âmbito do direito constitucional de petição previsto no art. 5º, XXXIV, da CF.</w:t>
      </w:r>
    </w:p>
    <w:p>
      <w:pPr>
        <w:ind w:left="288"/>
      </w:pPr>
      <w:r>
        <w:rPr>
          <w:b/>
          <w:color w:val="003CA0"/>
          <w:sz w:val="16"/>
        </w:rPr>
        <w:t>[ADI 2.212, rel. min. Ellen Gracie, j. 2-10-2003, P, DJ de 14-11-2003.]</w:t>
      </w:r>
    </w:p>
    <w:p>
      <w:pPr>
        <w:ind w:left="288"/>
      </w:pPr>
      <w:r>
        <w:rPr>
          <w:color w:val="8C8C8C"/>
          <w:sz w:val="12"/>
        </w:rPr>
        <w:t>cf-art-5-inc-XXXII-ali-a</w:t>
      </w:r>
      <w:r>
        <w:rPr>
          <w:color w:val="003CA0"/>
          <w:sz w:val="12"/>
        </w:rPr>
        <w:t xml:space="preserve"> | RE 796.939</w:t>
      </w:r>
      <w:r>
        <w:rPr>
          <w:color w:val="003CA0"/>
          <w:sz w:val="12"/>
        </w:rPr>
        <w:t xml:space="preserve"> | rel. Edson Fachin</w:t>
      </w:r>
    </w:p>
    <w:p>
      <w:pPr>
        <w:ind w:left="288"/>
      </w:pPr>
      <w:r>
        <w:rPr>
          <w:color w:val="1E1E1E"/>
          <w:sz w:val="18"/>
        </w:rPr>
        <w:t>“É inconstitucional a multa isolada prevista em lei para incidir diante da mera negativa de homologação de compensação tributária por não consistir em ato ilícito com aptidão para propiciar automática penalidade pecuniária”. (...) Compreende-se uma falta de correlação entre a multa tributária e o pedido administrativo de compensação tributária, ainda que não homologado pela Administração Tributária, uma vez que este se traduz em legítimo exercício do direito de petição do contribuinte. (...) A aferição da correção material da conduta do contribuinte que busca à compensação tributária na via ad</w:t>
      </w:r>
    </w:p>
    <w:p>
      <w:pPr>
        <w:ind w:left="288"/>
      </w:pPr>
      <w:r>
        <w:rPr>
          <w:b/>
          <w:color w:val="003CA0"/>
          <w:sz w:val="16"/>
        </w:rPr>
        <w:t>[RE 796.939, rel. min. Edson Fachin, j. 18-3-2023, P, DJE de 23-5-2023, Tema 736, com mérito julgado.]</w:t>
      </w:r>
    </w:p>
    <w:p>
      <w:pPr>
        <w:ind w:left="288"/>
      </w:pPr>
      <w:r>
        <w:rPr>
          <w:color w:val="8C8C8C"/>
          <w:sz w:val="12"/>
        </w:rPr>
        <w:t>cf-art-5-inc-XXXII-ali-a</w:t>
      </w:r>
      <w:r>
        <w:rPr>
          <w:color w:val="003CA0"/>
          <w:sz w:val="12"/>
        </w:rPr>
        <w:t xml:space="preserve"> | PET 4.556</w:t>
      </w:r>
      <w:r>
        <w:rPr>
          <w:color w:val="003CA0"/>
          <w:sz w:val="12"/>
        </w:rPr>
        <w:t xml:space="preserve"> | rel. Eros Grau</w:t>
      </w:r>
    </w:p>
    <w:p>
      <w:pPr>
        <w:ind w:left="288"/>
      </w:pPr>
      <w:r>
        <w:rPr>
          <w:color w:val="1E1E1E"/>
          <w:sz w:val="18"/>
        </w:rPr>
        <w:t>As garantias constitucionais do direito de petição e da inafastabilidade da apreciação do Poder Judiciário, quando se trata de lesão ou ameaça a direito, reclamam, para o seu exercício, a observância do que preceitua o direito processual (art. 5º, XXXIV, a, e XXXV, da Constituição do Brasil/1988).</w:t>
      </w:r>
    </w:p>
    <w:p>
      <w:pPr>
        <w:ind w:left="288"/>
      </w:pPr>
      <w:r>
        <w:rPr>
          <w:b/>
          <w:color w:val="003CA0"/>
          <w:sz w:val="16"/>
        </w:rPr>
        <w:t>[Pet 4.556 AgR, rel. min. Eros Grau, j. 25-6-2009, P, DJE de 21-8-2009.]</w:t>
      </w:r>
    </w:p>
    <w:p>
      <w:pPr>
        <w:ind w:left="288"/>
      </w:pPr>
      <w:r>
        <w:rPr>
          <w:color w:val="8C8C8C"/>
          <w:sz w:val="12"/>
        </w:rPr>
        <w:t>cf-art-5-inc-XXXII-ali-a</w:t>
      </w:r>
      <w:r>
        <w:rPr>
          <w:color w:val="003CA0"/>
          <w:sz w:val="12"/>
        </w:rPr>
        <w:t xml:space="preserve"> | AI 258.867</w:t>
      </w:r>
      <w:r>
        <w:rPr>
          <w:color w:val="003CA0"/>
          <w:sz w:val="12"/>
        </w:rPr>
        <w:t xml:space="preserve"> | rel. Celso de Mello</w:t>
      </w:r>
    </w:p>
    <w:p>
      <w:pPr>
        <w:ind w:left="288"/>
      </w:pPr>
      <w:r>
        <w:rPr>
          <w:color w:val="1E1E1E"/>
          <w:sz w:val="18"/>
        </w:rPr>
        <w:t xml:space="preserve">Vide AI 258.867 AgR, rel. min. Celso de Mello, j. 26-9-2000, 2ª T, DJ de 2-2-2001 Vide AI 258.910 AgR, rel. min. Octavio Gallotti, j. 6-6-2000, 1ª T, DJ de 18-8-2000 (...) não se pode cogitar de disciplina em regimento interno, porquanto a reclamação ganha contornos de verdadeiro recurso, mostrando-se inserida, portanto, conforme ressaltado pelo Supremo, no direito constitucional de petição. Cumpre, no âmbito federal, ao Congresso Nacional dispor a respeito, ainda que o faça, ante a origem da regência do processo do trabalho, mediante lei ordinária. Relativamente ao Supremo e ao STJ, porque o </w:t>
      </w:r>
    </w:p>
    <w:p>
      <w:pPr>
        <w:ind w:left="288"/>
      </w:pPr>
      <w:r>
        <w:rPr>
          <w:b/>
          <w:color w:val="003CA0"/>
          <w:sz w:val="16"/>
        </w:rPr>
        <w:t>[RE 405.031, rel. min. Marco Aurélio, j. 15-10-2008, P, DJE de 17-4-2009.]</w:t>
      </w:r>
    </w:p>
    <w:p>
      <w:pPr>
        <w:ind w:left="288"/>
      </w:pPr>
      <w:r>
        <w:rPr>
          <w:color w:val="8C8C8C"/>
          <w:sz w:val="12"/>
        </w:rPr>
        <w:t>cf-art-5-inc-XXXII-ali-a</w:t>
      </w:r>
      <w:r>
        <w:rPr>
          <w:color w:val="003CA0"/>
          <w:sz w:val="12"/>
        </w:rPr>
        <w:t xml:space="preserve"> | RE 388.359</w:t>
      </w:r>
      <w:r>
        <w:rPr>
          <w:color w:val="003CA0"/>
          <w:sz w:val="12"/>
        </w:rPr>
        <w:t xml:space="preserve"> | rel. Ellen Gracie</w:t>
      </w:r>
    </w:p>
    <w:p>
      <w:pPr>
        <w:ind w:left="288"/>
      </w:pPr>
      <w:r>
        <w:rPr>
          <w:color w:val="1E1E1E"/>
          <w:sz w:val="18"/>
        </w:rPr>
        <w:t>Exigência de depósito prévio em recurso administrativo. (...) Ratificação do entendimento. (...) A exigência de depósito prévio como requisito de admissibilidade de recurso administrativo – assunto de indiscutível relevância econômica, social e jurídica – já teve a sua inconstitucionalidade reconhecida por esta Corte, no julgamento do RE 388.359, do RE 389.383 e do RE 390.513, todos de relatoria do eminente ministro Marco Aurélio.</w:t>
      </w:r>
    </w:p>
    <w:p>
      <w:pPr>
        <w:ind w:left="288"/>
      </w:pPr>
      <w:r>
        <w:rPr>
          <w:b/>
          <w:color w:val="003CA0"/>
          <w:sz w:val="16"/>
        </w:rPr>
        <w:t>[AI 698.626 QO-RG, rel. min. Ellen Gracie, j. 2-10-2008, P, DJE de 5-12-2008.]</w:t>
      </w:r>
    </w:p>
    <w:p>
      <w:pPr>
        <w:ind w:left="288"/>
      </w:pPr>
      <w:r>
        <w:rPr>
          <w:color w:val="8C8C8C"/>
          <w:sz w:val="12"/>
        </w:rPr>
        <w:t>cf-art-5-inc-XXXII-ali-a</w:t>
      </w:r>
      <w:r>
        <w:rPr>
          <w:color w:val="003CA0"/>
          <w:sz w:val="12"/>
        </w:rPr>
        <w:t xml:space="preserve"> | ADPF 156</w:t>
      </w:r>
      <w:r>
        <w:rPr>
          <w:color w:val="003CA0"/>
          <w:sz w:val="12"/>
        </w:rPr>
        <w:t xml:space="preserve"> | rel. Cármen Lúcia</w:t>
      </w:r>
    </w:p>
    <w:p>
      <w:pPr>
        <w:ind w:left="288"/>
      </w:pPr>
      <w:r>
        <w:rPr>
          <w:color w:val="1E1E1E"/>
          <w:sz w:val="18"/>
        </w:rPr>
        <w:t>Vide ADPF 156, rel. min. Cármen Lúcia, j. 18-8-2011, P, DJE de 28-10-2011 O direito à certidão traduz prerrogativa jurídica, de extração constitucional, destinada a viabilizar, em favor do indivíduo ou de uma determinada coletividade (como a dos segurados do sistema de previdência social), a defesa (individual ou coletiva) de direitos ou o esclarecimento de situações. A injusta recusa estatal em fornecer certidões, não obstante presentes os pressupostos legitimadores dessa pretensão, autorizará a utilização de instrumentos processuais adequados, como o mandado de segurança ou a própria ação ci</w:t>
      </w:r>
    </w:p>
    <w:p>
      <w:pPr>
        <w:ind w:left="288"/>
      </w:pPr>
      <w:r>
        <w:rPr>
          <w:b/>
          <w:color w:val="003CA0"/>
          <w:sz w:val="16"/>
        </w:rPr>
        <w:t>[RE 472.489 AgR, rel. min. Celso de Mello, j. 29-4-2008, 2ª T, DJE de 29-8-2008.]</w:t>
      </w:r>
    </w:p>
    <w:p>
      <w:pPr>
        <w:ind w:left="288"/>
      </w:pPr>
      <w:r>
        <w:rPr>
          <w:color w:val="8C8C8C"/>
          <w:sz w:val="12"/>
        </w:rPr>
        <w:t>cf-art-5-inc-XXXII-ali-a</w:t>
      </w:r>
      <w:r>
        <w:rPr>
          <w:color w:val="003CA0"/>
          <w:sz w:val="12"/>
        </w:rPr>
        <w:t xml:space="preserve"> | RE 167.118</w:t>
      </w:r>
      <w:r>
        <w:rPr>
          <w:color w:val="003CA0"/>
          <w:sz w:val="12"/>
        </w:rPr>
        <w:t xml:space="preserve"> | rel. Joaquim Barbosa</w:t>
      </w:r>
    </w:p>
    <w:p>
      <w:pPr>
        <w:ind w:left="288"/>
      </w:pPr>
      <w:r>
        <w:rPr>
          <w:color w:val="1E1E1E"/>
          <w:sz w:val="18"/>
        </w:rPr>
        <w:t>= RE 167.118 AgR, rel. min. Joaquim Barbosa, j. 20-4-2010, 2ª T, DJE de 28-5-2010 O direito constitucional de petição e o princípio da legalidade não implicam a necessidade de esgotamento da via administrativa para discussão judicial da validade de crédito inscrito em dívida ativa da Fazenda Pública. É constitucional o art. 38, parágrafo único, da Lei 6.830/1980 (Lei da Execução Fiscal – LEF), que dispõe que "a propositura, pelo contribuinte, da ação prevista neste artigo (ações destinadas à discussão judicial da validade de crédito inscrito em dívida ativa) importa em renúncia ao poder de rec</w:t>
      </w:r>
    </w:p>
    <w:p>
      <w:pPr>
        <w:ind w:left="288"/>
      </w:pPr>
      <w:r>
        <w:rPr>
          <w:b/>
          <w:color w:val="003CA0"/>
          <w:sz w:val="16"/>
        </w:rPr>
        <w:t>[RE 233.582, rel. min. Marco Aurélio, red. do ac. min. Joaquim Barbosa, j. 16-8-2007, P, DJE de 16-5-2008.]</w:t>
      </w:r>
    </w:p>
    <w:p>
      <w:pPr>
        <w:ind w:left="288"/>
      </w:pPr>
      <w:r>
        <w:rPr>
          <w:color w:val="8C8C8C"/>
          <w:sz w:val="12"/>
        </w:rPr>
        <w:t>cf-art-5-inc-XXXII-ali-a</w:t>
      </w:r>
      <w:r>
        <w:rPr>
          <w:color w:val="003CA0"/>
          <w:sz w:val="12"/>
        </w:rPr>
        <w:t xml:space="preserve"> | RE 469.600</w:t>
      </w:r>
      <w:r>
        <w:rPr>
          <w:color w:val="003CA0"/>
          <w:sz w:val="12"/>
        </w:rPr>
        <w:t xml:space="preserve"> | rel. Cármen Lúcia</w:t>
      </w:r>
    </w:p>
    <w:p>
      <w:pPr>
        <w:ind w:left="288"/>
      </w:pPr>
      <w:r>
        <w:rPr>
          <w:color w:val="1E1E1E"/>
          <w:sz w:val="18"/>
        </w:rPr>
        <w:t>= RE 469.600 AgR, rel. min. Cármen Lúcia, j. 8-2-2011, 1ª T, DJE de 3-3-2011 O direito de petição, fundado no art. 5º, XXXIV, a, da Constituição, não pode ser invocado, genericamente, para exonerar qualquer dos sujeitos processuais do dever de observar as exigências que condicionam o exercício do direito de ação, pois, tratando-se de controvérsia judicial, cumpre respeitar os pressupostos e os requisitos fixados pela legislação processual comum. A mera invocação do direito de petição, por si só, não basta para assegurar à parte interessada o acolhimento da pretensão que deduziu em sede recursa</w:t>
      </w:r>
    </w:p>
    <w:p>
      <w:pPr>
        <w:ind w:left="288"/>
      </w:pPr>
      <w:r>
        <w:rPr>
          <w:b/>
          <w:color w:val="003CA0"/>
          <w:sz w:val="16"/>
        </w:rPr>
        <w:t>[AI 258.867 AgR, rel. min. Celso de Mello, j. 26-9-2000, 2ª T, DJ de 2-2-2001.]</w:t>
      </w:r>
    </w:p>
    <w:p>
      <w:pPr>
        <w:ind w:left="288"/>
      </w:pPr>
      <w:r>
        <w:rPr>
          <w:color w:val="8C8C8C"/>
          <w:sz w:val="12"/>
        </w:rPr>
        <w:t>cf-art-5-inc-XXXII-ali-a</w:t>
      </w:r>
      <w:r>
        <w:rPr>
          <w:color w:val="003CA0"/>
          <w:sz w:val="12"/>
        </w:rPr>
        <w:t xml:space="preserve"> | AI 258.910</w:t>
      </w:r>
      <w:r>
        <w:rPr>
          <w:color w:val="003CA0"/>
          <w:sz w:val="12"/>
        </w:rPr>
        <w:t xml:space="preserve"> | rel. Octavio Gallotti</w:t>
      </w:r>
    </w:p>
    <w:p>
      <w:pPr>
        <w:ind w:left="288"/>
      </w:pPr>
      <w:r>
        <w:rPr>
          <w:color w:val="1E1E1E"/>
          <w:sz w:val="18"/>
        </w:rPr>
        <w:t>O direito de petição e a apreciação judicial regem-se por normas processuais de hierarquia ordinária, cuja interpretação não dá margem ao cabimento do recurso extraordinário.</w:t>
      </w:r>
    </w:p>
    <w:p>
      <w:pPr>
        <w:ind w:left="288"/>
      </w:pPr>
      <w:r>
        <w:rPr>
          <w:b/>
          <w:color w:val="003CA0"/>
          <w:sz w:val="16"/>
        </w:rPr>
        <w:t>[AI 258.910 AgR, rel. min. Octavio Gallotti, j. 6-6-2000, 1ª T, DJ de 18-8-2000.]</w:t>
      </w:r>
    </w:p>
    <w:p>
      <w:pPr>
        <w:ind w:left="288"/>
      </w:pPr>
      <w:r>
        <w:rPr>
          <w:color w:val="8C8C8C"/>
          <w:sz w:val="12"/>
        </w:rPr>
        <w:t>cf-art-5-inc-XXXII-ali-a</w:t>
      </w:r>
      <w:r>
        <w:rPr>
          <w:color w:val="003CA0"/>
          <w:sz w:val="12"/>
        </w:rPr>
        <w:t xml:space="preserve"> | AI 223.712</w:t>
      </w:r>
      <w:r>
        <w:rPr>
          <w:color w:val="003CA0"/>
          <w:sz w:val="12"/>
        </w:rPr>
        <w:t xml:space="preserve"> | rel. Celso de Mello</w:t>
      </w:r>
    </w:p>
    <w:p>
      <w:pPr>
        <w:ind w:left="288"/>
      </w:pPr>
      <w:r>
        <w:rPr>
          <w:color w:val="1E1E1E"/>
          <w:sz w:val="18"/>
        </w:rPr>
        <w:t>É inconsistente a postulação que, apoiada no direito de petição, formula pedido que constitui, na realidade, verdadeiro sucedâneo, legalmente não autorizado, da ação rescisória, eis que já transitada em julgado a decisão impugnada. (...) A mera invocação do direito de petição, por si só, não tem o condão de permitir que a parte interessada, mediante utilização de meio impróprio, busque desconstituir o acórdão (judicium rescindens) e obter o rejulgamento da causa (judicium rescissorium), em situação na qual a decisão questionada – embora transitada em julgado – não se reveste da autoridade da c</w:t>
      </w:r>
    </w:p>
    <w:p>
      <w:pPr>
        <w:ind w:left="288"/>
      </w:pPr>
      <w:r>
        <w:rPr>
          <w:b/>
          <w:color w:val="003CA0"/>
          <w:sz w:val="16"/>
        </w:rPr>
        <w:t>[AI 223.712 AgR-AgR, rel. min. Celso de Mello, j. 8-2-2000, 2ª T, DJE de 5-3-2010.]</w:t>
      </w:r>
    </w:p>
    <w:p>
      <w:pPr>
        <w:ind w:left="288"/>
      </w:pPr>
      <w:r>
        <w:rPr>
          <w:color w:val="8C8C8C"/>
          <w:sz w:val="12"/>
        </w:rPr>
        <w:t>cf-art-5-inc-XXXII-ali-a</w:t>
      </w:r>
      <w:r>
        <w:rPr>
          <w:color w:val="003CA0"/>
          <w:sz w:val="12"/>
        </w:rPr>
        <w:t xml:space="preserve"> | PET 1.256</w:t>
      </w:r>
      <w:r>
        <w:rPr>
          <w:color w:val="003CA0"/>
          <w:sz w:val="12"/>
        </w:rPr>
        <w:t xml:space="preserve"> | rel. Sepúlveda Pertence</w:t>
      </w:r>
    </w:p>
    <w:p>
      <w:pPr>
        <w:ind w:left="288"/>
      </w:pPr>
      <w:r>
        <w:rPr>
          <w:color w:val="1E1E1E"/>
          <w:sz w:val="18"/>
        </w:rPr>
        <w:t>Não se opõem os princípios a que, à parte interessada no cumprimento de ordem ou decisão judiciária, se faculte provocar o tribunal competente a requisitar a intervenção estadual ou federal, conforme o caso: mas a iniciativa do interessado nesse caso não é exercício do direito de ação, sim, de petição (CF, art. 5º, XXXIV): não há jurisdição – e, logo, não há causa, pressuposto de cabimento de recurso extraordinário – onde não haja ação ou, pelo menos, requerimento de interessado, na jurisdição voluntária: dessa inércia que lhe é essencial, resulta que não há jurisdição, quando, embora provocad</w:t>
      </w:r>
    </w:p>
    <w:p>
      <w:pPr>
        <w:ind w:left="288"/>
      </w:pPr>
      <w:r>
        <w:rPr>
          <w:b/>
          <w:color w:val="003CA0"/>
          <w:sz w:val="16"/>
        </w:rPr>
        <w:t>[Pet 1.256, rel. min. Sepúlveda Pertence, j. 4-11-1998, P, DJ de 4-5-2001.]</w:t>
      </w:r>
    </w:p>
    <w:p>
      <w:pPr>
        <w:ind w:left="288"/>
      </w:pPr>
      <w:r>
        <w:rPr>
          <w:color w:val="8C8C8C"/>
          <w:sz w:val="12"/>
        </w:rPr>
        <w:t>cf-art-5-inc-XXXII-ali-a</w:t>
      </w:r>
      <w:r>
        <w:rPr>
          <w:color w:val="003CA0"/>
          <w:sz w:val="12"/>
        </w:rPr>
        <w:t xml:space="preserve"> | AR 1.354</w:t>
      </w:r>
      <w:r>
        <w:rPr>
          <w:color w:val="003CA0"/>
          <w:sz w:val="12"/>
        </w:rPr>
        <w:t xml:space="preserve"> | rel. Celso de Mello</w:t>
      </w:r>
    </w:p>
    <w:p>
      <w:pPr>
        <w:ind w:left="288"/>
      </w:pPr>
      <w:r>
        <w:rPr>
          <w:color w:val="1E1E1E"/>
          <w:sz w:val="18"/>
        </w:rPr>
        <w:t>O direito de petição qualifica-se como prerrogativa de extração constitucional assegurada à generalidade das pessoas pela Carta Política (art. 5º, XXXIV, a). Traduz direito público subjetivo de índole essencialmente democrática. O direito de petição, contudo, não assegura, por si só, a possibilidade de o interessado – que não dispõe de capacidade postulatória – ingressar em juízo, para, independentemente de advogado, litigar em nome próprio ou como representante de terceiros.</w:t>
      </w:r>
    </w:p>
    <w:p>
      <w:pPr>
        <w:ind w:left="288"/>
      </w:pPr>
      <w:r>
        <w:rPr>
          <w:b/>
          <w:color w:val="003CA0"/>
          <w:sz w:val="16"/>
        </w:rPr>
        <w:t>[AR 1.354 AgR, rel. min. Celso de Mello, j. 21-10-1994, P, DJ de 6-6-1997.]</w:t>
      </w:r>
    </w:p>
    <w:p>
      <w:pPr>
        <w:ind w:left="288"/>
      </w:pPr>
      <w:r>
        <w:rPr>
          <w:color w:val="8C8C8C"/>
          <w:sz w:val="12"/>
        </w:rPr>
        <w:t>cf-art-5-inc-XXXII-ali-a</w:t>
      </w:r>
      <w:r>
        <w:rPr>
          <w:color w:val="003CA0"/>
          <w:sz w:val="12"/>
        </w:rPr>
        <w:t xml:space="preserve"> | AO 1.531</w:t>
      </w:r>
      <w:r>
        <w:rPr>
          <w:color w:val="003CA0"/>
          <w:sz w:val="12"/>
        </w:rPr>
        <w:t xml:space="preserve"> | rel. Cármen Lúcia</w:t>
      </w:r>
    </w:p>
    <w:p>
      <w:pPr>
        <w:ind w:left="288"/>
      </w:pPr>
      <w:r>
        <w:rPr>
          <w:color w:val="1E1E1E"/>
          <w:sz w:val="18"/>
        </w:rPr>
        <w:t>= AO 1.531 AgR, rel. min. Cármen Lúcia, j. 3-6-2009, P, DJE de 1º-7-2009</w:t>
      </w:r>
    </w:p>
    <w:p>
      <w:pPr>
        <w:ind w:left="288"/>
      </w:pPr>
      <w:r>
        <w:rPr>
          <w:color w:val="8C8C8C"/>
          <w:sz w:val="12"/>
        </w:rPr>
        <w:t>cf-art-5-inc-XXXII-ali-b</w:t>
      </w:r>
      <w:r>
        <w:rPr>
          <w:color w:val="003CA0"/>
          <w:sz w:val="12"/>
        </w:rPr>
        <w:t xml:space="preserve"> | ADI 7.035</w:t>
      </w:r>
      <w:r>
        <w:rPr>
          <w:color w:val="003CA0"/>
          <w:sz w:val="12"/>
        </w:rPr>
        <w:t xml:space="preserve"> | rel. Cármen Lúcia</w:t>
      </w:r>
    </w:p>
    <w:p>
      <w:pPr>
        <w:ind w:left="288"/>
      </w:pPr>
      <w:r>
        <w:rPr>
          <w:color w:val="1E1E1E"/>
          <w:sz w:val="18"/>
        </w:rPr>
        <w:t>A vedação prevista na al. b do inc. XXXIV do art. 5º da Constituição da República não impede a instituição de taxa pelo fornecimento de cópias e reproduções de documentos pelo órgão ou entidade pública consultada para o ressarcimento dos gastos com o material utilizado, bem como a cobrança de taxa para a emissão de atestado coletivo ou individual de interesse de empresa privada.</w:t>
      </w:r>
    </w:p>
    <w:p>
      <w:pPr>
        <w:ind w:left="288"/>
      </w:pPr>
      <w:r>
        <w:rPr>
          <w:b/>
          <w:color w:val="003CA0"/>
          <w:sz w:val="16"/>
        </w:rPr>
        <w:t>[ADI 7.035, rel. min. Cármen Lúcia, j. 21-6-2022, P, DJE de 29-6-2022.]</w:t>
      </w:r>
    </w:p>
    <w:p>
      <w:pPr>
        <w:ind w:left="288"/>
      </w:pPr>
      <w:r>
        <w:rPr>
          <w:color w:val="8C8C8C"/>
          <w:sz w:val="12"/>
        </w:rPr>
        <w:t>cf-art-5-inc-XXXII-ali-b</w:t>
      </w:r>
      <w:r>
        <w:rPr>
          <w:color w:val="003CA0"/>
          <w:sz w:val="12"/>
        </w:rPr>
        <w:t xml:space="preserve"> | ADI 2.259</w:t>
      </w:r>
      <w:r>
        <w:rPr>
          <w:color w:val="003CA0"/>
          <w:sz w:val="12"/>
        </w:rPr>
        <w:t xml:space="preserve"> | rel. Dias Toffoli</w:t>
      </w:r>
    </w:p>
    <w:p>
      <w:pPr>
        <w:ind w:left="288"/>
      </w:pPr>
      <w:r>
        <w:rPr>
          <w:color w:val="1E1E1E"/>
          <w:sz w:val="18"/>
        </w:rPr>
        <w:t>A Constituição da República garante aos cidadãos brasileiros e aos estrangeiros residentes no país a gratuidade na obtenção de certidões nas repartições públicas, desde que ‘para defesa de direitos e esclarecimento de situações de interesse pessoal’ (art. 5º, XXXIV, CF/88). (...) Essa garantia fundamental não depende de concretização ou regulamentação legal, uma vez que se trata de garantia fundamental dotada de eficácia plena e aplicabilidade imediata. O direito à gratuidade das certidões, contido no art. 5º, XXXIV, b, da Carta Magna, também inclui as certidões emitidas pelo Poder Judiciário,</w:t>
      </w:r>
    </w:p>
    <w:p>
      <w:pPr>
        <w:ind w:left="288"/>
      </w:pPr>
      <w:r>
        <w:rPr>
          <w:b/>
          <w:color w:val="003CA0"/>
          <w:sz w:val="16"/>
        </w:rPr>
        <w:t>[ADI 2.259, rel. min. Dias Toffoli, j. 14-2-2020, P, DJE de 25-3-2020.]</w:t>
      </w:r>
    </w:p>
    <w:p>
      <w:pPr>
        <w:ind w:left="288"/>
      </w:pPr>
      <w:r>
        <w:rPr>
          <w:color w:val="8C8C8C"/>
          <w:sz w:val="12"/>
        </w:rPr>
        <w:t>cf-art-5-inc-XXXII-ali-b</w:t>
      </w:r>
      <w:r>
        <w:rPr>
          <w:color w:val="003CA0"/>
          <w:sz w:val="12"/>
        </w:rPr>
        <w:t xml:space="preserve"> | ADI 2.969</w:t>
      </w:r>
      <w:r>
        <w:rPr>
          <w:color w:val="003CA0"/>
          <w:sz w:val="12"/>
        </w:rPr>
        <w:t xml:space="preserve"> | rel. Ayres Britto</w:t>
      </w:r>
    </w:p>
    <w:p>
      <w:pPr>
        <w:ind w:left="288"/>
      </w:pPr>
      <w:r>
        <w:rPr>
          <w:color w:val="1E1E1E"/>
          <w:sz w:val="18"/>
        </w:rPr>
        <w:t>Extração de certidões, em repartições públicas, condicionada ao recolhimento da "taxa de segurança pública". Violação à alínea b do inciso XXXIV do art. 5º da CF.</w:t>
      </w:r>
    </w:p>
    <w:p>
      <w:pPr>
        <w:ind w:left="288"/>
      </w:pPr>
      <w:r>
        <w:rPr>
          <w:b/>
          <w:color w:val="003CA0"/>
          <w:sz w:val="16"/>
        </w:rPr>
        <w:t>[ADI 2.969, rel. min. Ayres Britto, j. 29-3-2007, P, DJ de 22-6-2007.]</w:t>
      </w:r>
    </w:p>
    <w:p>
      <w:pPr>
        <w:ind w:left="288"/>
      </w:pPr>
      <w:r>
        <w:rPr>
          <w:color w:val="8C8C8C"/>
          <w:sz w:val="12"/>
        </w:rPr>
        <w:t>cf-art-5-inc-XXXII-ali-b</w:t>
      </w:r>
      <w:r>
        <w:rPr>
          <w:color w:val="003CA0"/>
          <w:sz w:val="12"/>
        </w:rPr>
        <w:t xml:space="preserve"> | RE 472.489</w:t>
      </w:r>
      <w:r>
        <w:rPr>
          <w:color w:val="003CA0"/>
          <w:sz w:val="12"/>
        </w:rPr>
        <w:t xml:space="preserve"> | rel. Celso de Mello</w:t>
      </w:r>
    </w:p>
    <w:p>
      <w:pPr>
        <w:ind w:left="288"/>
      </w:pPr>
      <w:r>
        <w:rPr>
          <w:color w:val="1E1E1E"/>
          <w:sz w:val="18"/>
        </w:rPr>
        <w:t>O direito à certidão traduz prerrogativa jurídica, de extração constitucional, destinada a viabilizar, em favor do indivíduo ou de uma determinada coletividade (como a dos segurados do sistema de previdência social), a defesa (individual ou coletiva) de direitos ou o esclarecimento de situações. A injusta recusa estatal em fornecer certidões, não obstante presentes os pressupostos legitimadores dessa pretensão, autorizará a utilização de instrumentos processuais adequados, como o mandado de segurança ou a própria ação civil pública. O Ministério Público tem legitimidade ativa para a defesa, em</w:t>
      </w:r>
    </w:p>
    <w:p>
      <w:pPr>
        <w:ind w:left="288"/>
      </w:pPr>
      <w:r>
        <w:rPr>
          <w:b/>
          <w:color w:val="003CA0"/>
          <w:sz w:val="16"/>
        </w:rPr>
        <w:t>[RE 472.489 AgR, rel. min. Celso de Mello, j. 29-4-2008, 2ª T, DJE de 29-8-2008.]</w:t>
      </w:r>
    </w:p>
    <w:p>
      <w:pPr>
        <w:ind w:left="288"/>
      </w:pPr>
      <w:r>
        <w:rPr>
          <w:color w:val="8C8C8C"/>
          <w:sz w:val="12"/>
        </w:rPr>
        <w:t>cf-art-5-inc-XXXII-ali-b</w:t>
      </w:r>
      <w:r>
        <w:rPr>
          <w:color w:val="003CA0"/>
          <w:sz w:val="12"/>
        </w:rPr>
        <w:t xml:space="preserve"> | RE 167.118</w:t>
      </w:r>
      <w:r>
        <w:rPr>
          <w:color w:val="003CA0"/>
          <w:sz w:val="12"/>
        </w:rPr>
        <w:t xml:space="preserve"> | rel. Joaquim Barbosa</w:t>
      </w:r>
    </w:p>
    <w:p>
      <w:pPr>
        <w:ind w:left="288"/>
      </w:pPr>
      <w:r>
        <w:rPr>
          <w:color w:val="1E1E1E"/>
          <w:sz w:val="18"/>
        </w:rPr>
        <w:t>= RE 167.118 AgR, rel. min. Joaquim Barbosa, j. 20-4-2010, 2ª T, DJE de 28-5-2010 TCU: direito de acesso a documentos de processo administrativo. CF, art. 5º, XXXIII, XXXIV, b, e LXXII; e art. 37. Processo de representação instaurado para apurar eventual desvio dos recursos arrecadados com a exploração provisória do Complexo Pousada Esmeralda, situado no arquipélago de Fernando de Noronha/PE: direito da empresa impetrante, permissionária de uso, ter vista dos autos da representação mencionada, a fim de obter elementos que sirvam para a sua defesa em processos judiciais nos quais figura como pa</w:t>
      </w:r>
    </w:p>
    <w:p>
      <w:pPr>
        <w:ind w:left="288"/>
      </w:pPr>
      <w:r>
        <w:rPr>
          <w:b/>
          <w:color w:val="003CA0"/>
          <w:sz w:val="16"/>
        </w:rPr>
        <w:t>[MS 25.382, rel. min. Sepúlveda Pertence, j. 15-2-2006, P, DJ de 31-3-2006.]</w:t>
      </w:r>
    </w:p>
    <w:p>
      <w:pPr>
        <w:ind w:left="288"/>
      </w:pPr>
      <w:r>
        <w:rPr>
          <w:color w:val="8C8C8C"/>
          <w:sz w:val="12"/>
        </w:rPr>
        <w:t>cf-art-5-inc-XXXII-ali-b</w:t>
      </w:r>
    </w:p>
    <w:p>
      <w:pPr>
        <w:ind w:left="288"/>
      </w:pPr>
      <w:r>
        <w:rPr>
          <w:color w:val="1E1E1E"/>
          <w:sz w:val="18"/>
        </w:rPr>
        <w:t>XXXV - a lei não excluirá da apreciação do Poder Judiciário lesão ou ameaça a direito; É inconstitucional a exigência de depósito prévio como requisito de admissibilidade de ação judicial na qual se pretenda discutir a exigibilidade de crédito tributário.</w:t>
      </w:r>
    </w:p>
    <w:p>
      <w:pPr>
        <w:ind w:left="288"/>
      </w:pPr>
      <w:r>
        <w:rPr>
          <w:b/>
          <w:color w:val="003CA0"/>
          <w:sz w:val="16"/>
        </w:rPr>
        <w:t>[Súmula Vinculante 28.]</w:t>
      </w:r>
    </w:p>
    <w:p>
      <w:pPr>
        <w:ind w:left="288"/>
      </w:pPr>
      <w:r>
        <w:rPr>
          <w:color w:val="8C8C8C"/>
          <w:sz w:val="12"/>
        </w:rPr>
        <w:t>cf-art-5-inc-XXXII-ali-b</w:t>
      </w:r>
    </w:p>
    <w:p>
      <w:pPr>
        <w:ind w:left="288"/>
      </w:pPr>
      <w:r>
        <w:rPr>
          <w:color w:val="1E1E1E"/>
          <w:sz w:val="18"/>
        </w:rPr>
        <w:t>Viola a garantia constitucional de acesso à jurisdição a taxa judiciária calculada sem limite sobre o valor da causa.</w:t>
      </w:r>
    </w:p>
    <w:p>
      <w:pPr>
        <w:ind w:left="288"/>
      </w:pPr>
      <w:r>
        <w:rPr>
          <w:b/>
          <w:color w:val="003CA0"/>
          <w:sz w:val="16"/>
        </w:rPr>
        <w:t>[Súmula 667.]</w:t>
      </w:r>
    </w:p>
    <w:p>
      <w:pPr>
        <w:ind w:left="288"/>
      </w:pPr>
      <w:r>
        <w:rPr>
          <w:color w:val="8C8C8C"/>
          <w:sz w:val="12"/>
        </w:rPr>
        <w:t>cf-art-5-inc-XXXII-ali-b</w:t>
      </w:r>
      <w:r>
        <w:rPr>
          <w:color w:val="003CA0"/>
          <w:sz w:val="12"/>
        </w:rPr>
        <w:t xml:space="preserve"> | ADI 5.689</w:t>
      </w:r>
      <w:r>
        <w:rPr>
          <w:color w:val="003CA0"/>
          <w:sz w:val="12"/>
        </w:rPr>
        <w:t xml:space="preserve"> | rel. Nunes Marques</w:t>
      </w:r>
    </w:p>
    <w:p>
      <w:pPr>
        <w:ind w:left="288"/>
      </w:pPr>
      <w:r>
        <w:rPr>
          <w:color w:val="1E1E1E"/>
          <w:sz w:val="18"/>
        </w:rPr>
        <w:t>A CF/1988 admite a instituição de taxas judiciais com base no valor da causa, desde que com previsão de alíquotas razoáveis e limites máximos aptos a garantir o acesso à justiça. As custas aplicáveis à fase de cumprimento de sentença não são inconstitucionais, pois correspondem a prestação jurisdicional distinta daquela referente à fase cognitiva. Não cabe aos tribunais de justiça estipular custas judiciais sobre recursos endereçados às cortes superiores, sendo competência do STF e do STJ definir os valores e efetuar a cobrança.</w:t>
      </w:r>
    </w:p>
    <w:p>
      <w:pPr>
        <w:ind w:left="288"/>
      </w:pPr>
      <w:r>
        <w:rPr>
          <w:b/>
          <w:color w:val="003CA0"/>
          <w:sz w:val="16"/>
        </w:rPr>
        <w:t>[ADI 5.689, rel. min. Nunes Marques, j. 01.09.2025, P, DJE de 03.10.2025.]</w:t>
      </w:r>
    </w:p>
    <w:p>
      <w:pPr>
        <w:ind w:left="288"/>
      </w:pPr>
      <w:r>
        <w:rPr>
          <w:color w:val="8C8C8C"/>
          <w:sz w:val="12"/>
        </w:rPr>
        <w:t>cf-art-5-inc-XXXII-ali-b</w:t>
      </w:r>
      <w:r>
        <w:rPr>
          <w:color w:val="003CA0"/>
          <w:sz w:val="12"/>
        </w:rPr>
        <w:t xml:space="preserve"> | ADI 7.600</w:t>
      </w:r>
      <w:r>
        <w:rPr>
          <w:color w:val="003CA0"/>
          <w:sz w:val="12"/>
        </w:rPr>
        <w:t xml:space="preserve"> | rel. Dias Toffoli</w:t>
      </w:r>
    </w:p>
    <w:p>
      <w:pPr>
        <w:ind w:left="288"/>
      </w:pPr>
      <w:r>
        <w:rPr>
          <w:color w:val="1E1E1E"/>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w:t>
      </w:r>
    </w:p>
    <w:p>
      <w:pPr>
        <w:ind w:left="288"/>
      </w:pPr>
      <w:r>
        <w:rPr>
          <w:b/>
          <w:color w:val="003CA0"/>
          <w:sz w:val="16"/>
        </w:rPr>
        <w:t>[ADI 7.600, ADI 7.601 e 7.608, rel. min. Dias Toffoli, j. 01.07.2025, P, DJE de 15.09.2025.]</w:t>
      </w:r>
    </w:p>
    <w:p>
      <w:pPr>
        <w:ind w:left="288"/>
      </w:pPr>
      <w:r>
        <w:rPr>
          <w:color w:val="8C8C8C"/>
          <w:sz w:val="12"/>
        </w:rPr>
        <w:t>cf-art-5-inc-XXXII-ali-b</w:t>
      </w:r>
      <w:r>
        <w:rPr>
          <w:color w:val="003CA0"/>
          <w:sz w:val="12"/>
        </w:rPr>
        <w:t xml:space="preserve"> | ADPF 591</w:t>
      </w:r>
      <w:r>
        <w:rPr>
          <w:color w:val="003CA0"/>
          <w:sz w:val="12"/>
        </w:rPr>
        <w:t xml:space="preserve"> | rel. Cristiano Zanin</w:t>
      </w:r>
    </w:p>
    <w:p>
      <w:pPr>
        <w:ind w:left="288"/>
      </w:pPr>
      <w:r>
        <w:rPr>
          <w:color w:val="1E1E1E"/>
          <w:sz w:val="18"/>
        </w:rPr>
        <w:t>Lei n. 5.478/1968. Dispositivos que dispensam a assistência de advogado na audiência inicial da ação de alimentos. Situação excepcional com fundamento no acesso à justiça e na essencialidade da obrigação alimentícia. () Na ação de alimento, o comparecimento a Juízo sem a assistência de advogado é medida assecuratória do direito do alimentando. A medida é prévia à instauração da lide e fundamentada na urgência da pretensão deduzida. Nas fases processuais subsequentes, a lei exige a presença de profissional habilitado.</w:t>
      </w:r>
    </w:p>
    <w:p>
      <w:pPr>
        <w:ind w:left="288"/>
      </w:pPr>
      <w:r>
        <w:rPr>
          <w:b/>
          <w:color w:val="003CA0"/>
          <w:sz w:val="16"/>
        </w:rPr>
        <w:t>[ADPF 591, rel. min. Cristiano Zanin, j. 19.08.2024, P, DJE de 28.08.2024.]</w:t>
      </w:r>
    </w:p>
    <w:p>
      <w:pPr>
        <w:ind w:left="288"/>
      </w:pPr>
      <w:r>
        <w:rPr>
          <w:color w:val="8C8C8C"/>
          <w:sz w:val="12"/>
        </w:rPr>
        <w:t>cf-art-5-inc-XXXII-ali-b</w:t>
      </w:r>
      <w:r>
        <w:rPr>
          <w:color w:val="003CA0"/>
          <w:sz w:val="12"/>
        </w:rPr>
        <w:t xml:space="preserve"> | ADI 6.039</w:t>
      </w:r>
      <w:r>
        <w:rPr>
          <w:color w:val="003CA0"/>
          <w:sz w:val="12"/>
        </w:rPr>
        <w:t xml:space="preserve"> | rel. Edson Fachin</w:t>
      </w:r>
    </w:p>
    <w:p>
      <w:pPr>
        <w:ind w:left="288"/>
      </w:pPr>
      <w:r>
        <w:rPr>
          <w:color w:val="1E1E1E"/>
          <w:sz w:val="18"/>
        </w:rPr>
        <w:t>Lei Estadual 8.008/2018 do Rio de Janeiro, que impõe a obrigatoriedade de que as crianças e adolescentes do sexo feminino vítimas de estupro sejam examinadas por perito legista mulher (...). Risco evidenciado pela negativa de realização de atos periciais às vítimas menores de idade do sexo feminino por legistas homens, o que compromete, concretamente e de modo mais urgente, o direito de crianças e adolescente de acesso à justiça (art. 39 da Convenção sobre os Direitos das Crianças) e os princípios da proteção integral e da prioridade absoluta (arts. 5º, XXXV, e 227 da CRFB). Inconstitucionalid</w:t>
      </w:r>
    </w:p>
    <w:p>
      <w:pPr>
        <w:ind w:left="288"/>
      </w:pPr>
      <w:r>
        <w:rPr>
          <w:b/>
          <w:color w:val="003CA0"/>
          <w:sz w:val="16"/>
        </w:rPr>
        <w:t>[ADI 6.039-MC, rel. min. Edson Fachin, j. 13-3-2019, P, DJE de 1º-8-2019.]</w:t>
      </w:r>
    </w:p>
    <w:p>
      <w:pPr>
        <w:ind w:left="288"/>
      </w:pPr>
      <w:r>
        <w:rPr>
          <w:color w:val="8C8C8C"/>
          <w:sz w:val="12"/>
        </w:rPr>
        <w:t>cf-art-5-inc-XXXII-ali-b</w:t>
      </w:r>
      <w:r>
        <w:rPr>
          <w:color w:val="003CA0"/>
          <w:sz w:val="12"/>
        </w:rPr>
        <w:t xml:space="preserve"> | ADI 3.995</w:t>
      </w:r>
      <w:r>
        <w:rPr>
          <w:color w:val="003CA0"/>
          <w:sz w:val="12"/>
        </w:rPr>
        <w:t xml:space="preserve"> | rel. Roberto Barroso</w:t>
      </w:r>
    </w:p>
    <w:p>
      <w:pPr>
        <w:ind w:left="288"/>
      </w:pPr>
      <w:r>
        <w:rPr>
          <w:color w:val="1E1E1E"/>
          <w:sz w:val="18"/>
        </w:rPr>
        <w:t>(...) é constitucional o depósito prévio no ajuizamento de ação rescisória como mecanismo legítimo de desincentivo ao ajuizamento de demandas ou de pedidos rescisórios aventureiros. Não há violação a direitos fundamentais, mas simples acomodação com outros valores constitucionalmente relevantes, como à tutela judicial efetiva, célere e de qualidade. O depósito no percentual de 20% sobre o valor da causa não representa uma medida demasiadamente onerosa, guardando razoabilidade e proporcionalidade.</w:t>
      </w:r>
    </w:p>
    <w:p>
      <w:pPr>
        <w:ind w:left="288"/>
      </w:pPr>
      <w:r>
        <w:rPr>
          <w:b/>
          <w:color w:val="003CA0"/>
          <w:sz w:val="16"/>
        </w:rPr>
        <w:t>[ADI 3.995, rel. min. Roberto Barroso, j. 18-12-2018, P, DJE de 1º-3-2019.]</w:t>
      </w:r>
    </w:p>
    <w:p>
      <w:pPr>
        <w:ind w:left="288"/>
      </w:pPr>
      <w:r>
        <w:rPr>
          <w:color w:val="8C8C8C"/>
          <w:sz w:val="12"/>
        </w:rPr>
        <w:t>cf-art-5-inc-XXXII-ali-b</w:t>
      </w:r>
      <w:r>
        <w:rPr>
          <w:color w:val="003CA0"/>
          <w:sz w:val="12"/>
        </w:rPr>
        <w:t xml:space="preserve"> | ADI 2.139</w:t>
      </w:r>
      <w:r>
        <w:rPr>
          <w:color w:val="003CA0"/>
          <w:sz w:val="12"/>
        </w:rPr>
        <w:t xml:space="preserve"> | rel. Cármen Lúcia</w:t>
      </w:r>
    </w:p>
    <w:p>
      <w:pPr>
        <w:ind w:left="288"/>
      </w:pPr>
      <w:r>
        <w:rPr>
          <w:color w:val="1E1E1E"/>
          <w:sz w:val="18"/>
        </w:rPr>
        <w:t>O Supremo Tribunal Federal tem reconhecido, em obediência ao inc. XXXV do art. 5º da Constituição da República, a desnecessidade de prévio cumprimento de requisitos desproporcionais ou inviabilizadores da submissão de pleito ao Poder Judiciário. Contraria a Constituição interpretação do previsto no art. 625-D e parágrafos da Consolidação das Leis do Trabalho pelo qual se reconhecesse a submissão da pretensão à Comissão de Conciliação Prévia como requisito para ajuizamento de reclamação trabalhista. Interpretação conforme a Constituição da norma. Art. 625-D e parágrafos da Consolidação das Leis</w:t>
      </w:r>
    </w:p>
    <w:p>
      <w:pPr>
        <w:ind w:left="288"/>
      </w:pPr>
      <w:r>
        <w:rPr>
          <w:b/>
          <w:color w:val="003CA0"/>
          <w:sz w:val="16"/>
        </w:rPr>
        <w:t>[ADI 2.139 e ADI 2.160, rel. min. Cármen Lúcia, j. 1º-8-2018, P, DJE de 19-2-2019.]</w:t>
      </w:r>
    </w:p>
    <w:p>
      <w:pPr>
        <w:ind w:left="288"/>
      </w:pPr>
      <w:r>
        <w:rPr>
          <w:color w:val="8C8C8C"/>
          <w:sz w:val="12"/>
        </w:rPr>
        <w:t>cf-art-5-inc-XXXII-ali-b</w:t>
      </w:r>
      <w:r>
        <w:rPr>
          <w:color w:val="003CA0"/>
          <w:sz w:val="12"/>
        </w:rPr>
        <w:t xml:space="preserve"> | ADPF 165</w:t>
      </w:r>
      <w:r>
        <w:rPr>
          <w:color w:val="003CA0"/>
          <w:sz w:val="12"/>
        </w:rPr>
        <w:t xml:space="preserve"> | rel. Ricardo Lewandowski</w:t>
      </w:r>
    </w:p>
    <w:p>
      <w:pPr>
        <w:ind w:left="288"/>
      </w:pPr>
      <w:r>
        <w:rPr>
          <w:color w:val="1E1E1E"/>
          <w:sz w:val="18"/>
        </w:rPr>
        <w:t>Homologação de Instrumento de Acordo Coletivo que prevê o pagamento das diferenças relativas aos Planos Econômicos Bresser, Verão e Collor II, bem como a não ressarcibilidade de diferenças referentes ao Plano Collor I. (...) Decisão do Supremo Tribunal Federal que assume o caráter de marco histórico na configuração do processo coletivo brasileiro, como forma de ampliação do acesso à Justiça, diante da disseminação das lides repetitivas no cenário jurídico nacional atual e da possibilidade de solução por meio de processos coletivos.</w:t>
      </w:r>
    </w:p>
    <w:p>
      <w:pPr>
        <w:ind w:left="288"/>
      </w:pPr>
      <w:r>
        <w:rPr>
          <w:b/>
          <w:color w:val="003CA0"/>
          <w:sz w:val="16"/>
        </w:rPr>
        <w:t>[ADPF 165 Acordo, rel. min. Ricardo Lewandowski, j. 1º-3-2018, P, DJE de 1º-4-2020.]</w:t>
      </w:r>
    </w:p>
    <w:p>
      <w:pPr>
        <w:ind w:left="288"/>
      </w:pPr>
      <w:r>
        <w:rPr>
          <w:color w:val="8C8C8C"/>
          <w:sz w:val="12"/>
        </w:rPr>
        <w:t>cf-art-5-inc-XXXII-ali-b</w:t>
      </w:r>
      <w:r>
        <w:rPr>
          <w:color w:val="003CA0"/>
          <w:sz w:val="12"/>
        </w:rPr>
        <w:t xml:space="preserve"> | ADI 4.414</w:t>
      </w:r>
      <w:r>
        <w:rPr>
          <w:color w:val="003CA0"/>
          <w:sz w:val="12"/>
        </w:rPr>
        <w:t xml:space="preserve"> | rel. Luiz Fux</w:t>
      </w:r>
    </w:p>
    <w:p>
      <w:pPr>
        <w:ind w:left="288"/>
      </w:pPr>
      <w:r>
        <w:rPr>
          <w:color w:val="1E1E1E"/>
          <w:sz w:val="18"/>
        </w:rPr>
        <w:t>O juízo incompetente pode, salvante os casos de erro grosseiro e manifesta má-fé, em hipóteses de urgência e desde que haja dúvida razoável a respeito do órgão que deve processar a causa, determinar o relaxamento de prisão ilegal, remetendo o caso, em seguida, ao juiz natural, configurando hipótese de translatio iudicii inferida do art. 5º, LXV, da Carta Magna, o qual não exige a competência da autoridade judiciária responsável pelo relaxamento, sendo certo que a complexidade dos critérios de divisão da competência jurisdicional não podem obstaculizar o acesso à justiça (art. 5º, XXXV, da CRFB</w:t>
      </w:r>
    </w:p>
    <w:p>
      <w:pPr>
        <w:ind w:left="288"/>
      </w:pPr>
      <w:r>
        <w:rPr>
          <w:b/>
          <w:color w:val="003CA0"/>
          <w:sz w:val="16"/>
        </w:rPr>
        <w:t>[ADI 4.414, rel. min. Luiz Fux, j. 31-5-2012, P, DJE de 17-6-2013.]</w:t>
      </w:r>
    </w:p>
    <w:p>
      <w:pPr>
        <w:ind w:left="288"/>
      </w:pPr>
      <w:r>
        <w:rPr>
          <w:color w:val="8C8C8C"/>
          <w:sz w:val="12"/>
        </w:rPr>
        <w:t>cf-art-5-inc-XXXII-ali-b</w:t>
      </w:r>
      <w:r>
        <w:rPr>
          <w:color w:val="003CA0"/>
          <w:sz w:val="12"/>
        </w:rPr>
        <w:t xml:space="preserve"> | ADI 2.078</w:t>
      </w:r>
      <w:r>
        <w:rPr>
          <w:color w:val="003CA0"/>
          <w:sz w:val="12"/>
        </w:rPr>
        <w:t xml:space="preserve"> | rel. Gilmar Mendes</w:t>
      </w:r>
    </w:p>
    <w:p>
      <w:pPr>
        <w:ind w:left="288"/>
      </w:pPr>
      <w:r>
        <w:rPr>
          <w:color w:val="1E1E1E"/>
          <w:sz w:val="18"/>
        </w:rPr>
        <w:t>(...) as Leis estaduais 6.688/1998 e 6.682/1998: estipulam margens mínima e máxima das custas, dos emolumentos e da taxa judiciária e realizam uma disciplina progressiva das alíquotas – somente sendo devido o pagamento dos valores elevados para as causas que envolvam considerável vulto econômico. (...) verifico que não há, no presente caso, ofensa aos princípios do livre acesso ao Poder Judiciário, da vedação ao confisco, da proibição do bis in idem, da proporcionalidade e da razoabilidade.</w:t>
      </w:r>
    </w:p>
    <w:p>
      <w:pPr>
        <w:ind w:left="288"/>
      </w:pPr>
      <w:r>
        <w:rPr>
          <w:b/>
          <w:color w:val="003CA0"/>
          <w:sz w:val="16"/>
        </w:rPr>
        <w:t>[ADI 2.078, rel. min. Gilmar Mendes, j. 17-3-2011, P, DJE de 13-4-2011.]</w:t>
      </w:r>
    </w:p>
    <w:p>
      <w:pPr>
        <w:ind w:left="288"/>
      </w:pPr>
      <w:r>
        <w:rPr>
          <w:color w:val="8C8C8C"/>
          <w:sz w:val="12"/>
        </w:rPr>
        <w:t>cf-art-5-inc-XXXII-ali-b</w:t>
      </w:r>
      <w:r>
        <w:rPr>
          <w:color w:val="003CA0"/>
          <w:sz w:val="12"/>
        </w:rPr>
        <w:t xml:space="preserve"> | ADPF 172</w:t>
      </w:r>
      <w:r>
        <w:rPr>
          <w:color w:val="003CA0"/>
          <w:sz w:val="12"/>
        </w:rPr>
        <w:t xml:space="preserve"> | rel. Marco Aurélio</w:t>
      </w:r>
    </w:p>
    <w:p>
      <w:pPr>
        <w:ind w:left="288"/>
      </w:pPr>
      <w:r>
        <w:rPr>
          <w:color w:val="1E1E1E"/>
          <w:sz w:val="18"/>
        </w:rPr>
        <w:t>Poder de cautela. Judiciário. Além de resultar da cláusula de acesso para evitar lesão a direito – parte final do inciso XXXV do art. 5º da CF –, o poder de cautela, mediante o implemento de liminar, é ínsito ao Judiciário.</w:t>
      </w:r>
    </w:p>
    <w:p>
      <w:pPr>
        <w:ind w:left="288"/>
      </w:pPr>
      <w:r>
        <w:rPr>
          <w:b/>
          <w:color w:val="003CA0"/>
          <w:sz w:val="16"/>
        </w:rPr>
        <w:t>[ADPF 172 MC-REF, rel. min. Marco Aurélio, j. 10-6-2009, P, DJE de 21-8-2009.]</w:t>
      </w:r>
    </w:p>
    <w:p>
      <w:pPr>
        <w:ind w:left="288"/>
      </w:pPr>
      <w:r>
        <w:rPr>
          <w:color w:val="8C8C8C"/>
          <w:sz w:val="12"/>
        </w:rPr>
        <w:t>cf-art-5-inc-XXXII-ali-b</w:t>
      </w:r>
      <w:r>
        <w:rPr>
          <w:color w:val="003CA0"/>
          <w:sz w:val="12"/>
        </w:rPr>
        <w:t xml:space="preserve"> | ADC 4</w:t>
      </w:r>
    </w:p>
    <w:p>
      <w:pPr>
        <w:ind w:left="288"/>
      </w:pPr>
      <w:r>
        <w:rPr>
          <w:color w:val="1E1E1E"/>
          <w:sz w:val="18"/>
        </w:rPr>
        <w:t>Importância do controle jurisdicional da razoabilidade das leis restritivas do poder cautelar deferido aos juízes e tribunais. Inocorrência de qualquer ofensa, por parte da Lei 9.494/1997 (art. 1º), aos postulados da proporcionalidade e da razoabilidade. Legitimidade das restrições estabelecidas em referida norma legal e justificadas por razões de interesse público. Ausência de vulneração à plenitude da jurisdição e à cláusula de proteção judicial efetiva. Garantia de pleno acesso à jurisdição do Estado não comprometida pela cláusula restritiva inscrita no preceito legal disciplinador da tutel</w:t>
      </w:r>
    </w:p>
    <w:p>
      <w:pPr>
        <w:ind w:left="288"/>
      </w:pPr>
      <w:r>
        <w:rPr>
          <w:b/>
          <w:color w:val="003CA0"/>
          <w:sz w:val="16"/>
        </w:rPr>
        <w:t>[ADC 4, red. do ac. min. Celso de Mello, j. 1º-10-2008, P, DJE de 30-10-2014.]</w:t>
      </w:r>
    </w:p>
    <w:p>
      <w:pPr>
        <w:ind w:left="288"/>
      </w:pPr>
      <w:r>
        <w:rPr>
          <w:color w:val="8C8C8C"/>
          <w:sz w:val="12"/>
        </w:rPr>
        <w:t>cf-art-5-inc-XXXII-ali-b</w:t>
      </w:r>
      <w:r>
        <w:rPr>
          <w:color w:val="003CA0"/>
          <w:sz w:val="12"/>
        </w:rPr>
        <w:t xml:space="preserve"> | ADI 173</w:t>
      </w:r>
      <w:r>
        <w:rPr>
          <w:color w:val="003CA0"/>
          <w:sz w:val="12"/>
        </w:rPr>
        <w:t xml:space="preserve"> | rel. Joaquim Barbosa</w:t>
      </w:r>
    </w:p>
    <w:p>
      <w:pPr>
        <w:ind w:left="288"/>
      </w:pPr>
      <w:r>
        <w:rPr>
          <w:color w:val="1E1E1E"/>
          <w:sz w:val="18"/>
        </w:rPr>
        <w:t>Ações diretas de inconstitucionalidade ajuizadas contra os arts. 1º, I, II, III e IV, §§ 1º a 3º, e 2º da Lei 7.711/1988 (...). Esta Corte tem historicamente confirmado e garantido a proibição constitucional às sanções políticas, invocando, para tanto, o direito ao exercício de atividades econômicas e profissionais lícitas (...), a violação do devido processo legal substantivo (falta de proporcionalidade e razoabilidade de medidas gravosas que se predispõem a substituir os mecanismos de cobrança de créditos tributários) e a violação do devido processo legal manifestado no direito de acesso aos</w:t>
      </w:r>
    </w:p>
    <w:p>
      <w:pPr>
        <w:ind w:left="288"/>
      </w:pPr>
      <w:r>
        <w:rPr>
          <w:b/>
          <w:color w:val="003CA0"/>
          <w:sz w:val="16"/>
        </w:rPr>
        <w:t>[ADI 173 e ADI 394, rel. min. Joaquim Barbosa, j. 25-9-2008, P, DJE de 20-3-2009.]</w:t>
      </w:r>
    </w:p>
    <w:p>
      <w:pPr>
        <w:ind w:left="288"/>
      </w:pPr>
      <w:r>
        <w:rPr>
          <w:color w:val="8C8C8C"/>
          <w:sz w:val="12"/>
        </w:rPr>
        <w:t>cf-art-5-inc-XXXII-ali-b</w:t>
      </w:r>
      <w:r>
        <w:rPr>
          <w:color w:val="003CA0"/>
          <w:sz w:val="12"/>
        </w:rPr>
        <w:t xml:space="preserve"> | RE 565.048</w:t>
      </w:r>
      <w:r>
        <w:rPr>
          <w:color w:val="003CA0"/>
          <w:sz w:val="12"/>
        </w:rPr>
        <w:t xml:space="preserve"> | rel. Marco Aurélio</w:t>
      </w:r>
    </w:p>
    <w:p>
      <w:pPr>
        <w:ind w:left="288"/>
      </w:pPr>
      <w:r>
        <w:rPr>
          <w:color w:val="1E1E1E"/>
          <w:sz w:val="18"/>
        </w:rPr>
        <w:t>= RE 565.048, rel. min. Marco Aurélio, j. 29-5-2014, P, DJE de 9-10-2014, Tema 31 Art. 19, caput, da Lei federal 8.870/1994. Discussão judicial de débito para com o INSS. Depósito prévio do valor monetariamente corrigido e acrescido de multa e juros. Violação do disposto no art. 5º, XXXV e LV, da CF. O art. 19 da Lei 8.870/1994 impõe condição à propositura das ações cujo objeto seja a discussão de créditos tributários. Consubstancia barreira ao acesso ao Poder Judiciário. Ação direta de inconstitucionalidade julgada procedente.</w:t>
      </w:r>
    </w:p>
    <w:p>
      <w:pPr>
        <w:ind w:left="288"/>
      </w:pPr>
      <w:r>
        <w:rPr>
          <w:b/>
          <w:color w:val="003CA0"/>
          <w:sz w:val="16"/>
        </w:rPr>
        <w:t>[ADI 1.074, rel. min. Eros Grau, j. 28-3-2007, P, DJ de 25-5-2007.]</w:t>
      </w:r>
    </w:p>
    <w:p>
      <w:pPr>
        <w:ind w:left="288"/>
      </w:pPr>
      <w:r>
        <w:rPr>
          <w:color w:val="8C8C8C"/>
          <w:sz w:val="12"/>
        </w:rPr>
        <w:t>cf-art-5-inc-XXXII-ali-b</w:t>
      </w:r>
      <w:r>
        <w:rPr>
          <w:color w:val="003CA0"/>
          <w:sz w:val="12"/>
        </w:rPr>
        <w:t xml:space="preserve"> | ADI 1.772</w:t>
      </w:r>
      <w:r>
        <w:rPr>
          <w:color w:val="003CA0"/>
          <w:sz w:val="12"/>
        </w:rPr>
        <w:t xml:space="preserve"> | rel. Carlos Velloso</w:t>
      </w:r>
    </w:p>
    <w:p>
      <w:pPr>
        <w:ind w:left="288"/>
      </w:pPr>
      <w:r>
        <w:rPr>
          <w:color w:val="1E1E1E"/>
          <w:sz w:val="18"/>
        </w:rPr>
        <w:t>Taxa judiciária e custas (...). Necessidade da existência de limite que estabeleça a equivalência entre o valor da taxa e o custo real dos serviços, ou do proveito do contribuinte. Valores excessivos: possibilidade de inviabilização do acesso de muitos à Justiça, com ofensa ao princípio da inafastabilidade do controle judicial de lesão ou ameaça a direito.</w:t>
      </w:r>
    </w:p>
    <w:p>
      <w:pPr>
        <w:ind w:left="288"/>
      </w:pPr>
      <w:r>
        <w:rPr>
          <w:b/>
          <w:color w:val="003CA0"/>
          <w:sz w:val="16"/>
        </w:rPr>
        <w:t>[ADI 1.772 MC, rel. min. Carlos Velloso, j. 15-4-1998, P, DJ de 8-9-2000.]</w:t>
      </w:r>
    </w:p>
    <w:p>
      <w:pPr>
        <w:ind w:left="288"/>
      </w:pPr>
      <w:r>
        <w:rPr>
          <w:color w:val="8C8C8C"/>
          <w:sz w:val="12"/>
        </w:rPr>
        <w:t>cf-art-5-inc-XXXII-ali-b</w:t>
      </w:r>
      <w:r>
        <w:rPr>
          <w:color w:val="003CA0"/>
          <w:sz w:val="12"/>
        </w:rPr>
        <w:t xml:space="preserve"> | ADI 3.826</w:t>
      </w:r>
      <w:r>
        <w:rPr>
          <w:color w:val="003CA0"/>
          <w:sz w:val="12"/>
        </w:rPr>
        <w:t xml:space="preserve"> | rel. Eros Grau</w:t>
      </w:r>
    </w:p>
    <w:p>
      <w:pPr>
        <w:ind w:left="288"/>
      </w:pPr>
      <w:r>
        <w:rPr>
          <w:color w:val="1E1E1E"/>
          <w:sz w:val="18"/>
        </w:rPr>
        <w:t>= ADI 3.826, rel. min. Eros Grau, j. 12-5-2010, P, DJE de 20-8-2010 Vide AI 564.642 AgR, rel. min. Ricardo Lewandowski, j. 30-6-2009, 1ª T, DJE de 21-8-2009 O proibir-se, em certos casos, por interesse público, a antecipação provisória da satisfação do direito material lesado ou ameaçado não exclui, evidentemente, da apreciação do Poder Judiciário a lesão ou ameaça a direito, pois ela se obtém normalmente na satisfação definitiva que é proporcionada pela ação principal, que, esta sim, não pode ser privada para privar-se o lesado ou ameaçado de socorrer-se do Poder Judiciário.</w:t>
      </w:r>
    </w:p>
    <w:p>
      <w:pPr>
        <w:ind w:left="288"/>
      </w:pPr>
      <w:r>
        <w:rPr>
          <w:b/>
          <w:color w:val="003CA0"/>
          <w:sz w:val="16"/>
        </w:rPr>
        <w:t>[ADI 223 MC, rel. min. Paulo Brossard, red. do ac. min. Sepúlveda Pertence, voto do min. Moreira Alves, j. 5-4-1990, P, DJ de 29-6-1990.]</w:t>
      </w:r>
    </w:p>
    <w:p>
      <w:pPr>
        <w:ind w:left="288"/>
      </w:pPr>
      <w:r>
        <w:rPr>
          <w:color w:val="8C8C8C"/>
          <w:sz w:val="12"/>
        </w:rPr>
        <w:t>cf-art-5-inc-XXXII-ali-b</w:t>
      </w:r>
      <w:r>
        <w:rPr>
          <w:color w:val="003CA0"/>
          <w:sz w:val="12"/>
        </w:rPr>
        <w:t xml:space="preserve"> | RE 1.525.407</w:t>
      </w:r>
      <w:r>
        <w:rPr>
          <w:color w:val="003CA0"/>
          <w:sz w:val="12"/>
        </w:rPr>
        <w:t xml:space="preserve"> | rel. Luís Roberto Barroso</w:t>
      </w:r>
    </w:p>
    <w:p>
      <w:pPr>
        <w:ind w:left="288"/>
      </w:pPr>
      <w:r>
        <w:rPr>
          <w:color w:val="1E1E1E"/>
          <w:sz w:val="18"/>
        </w:rPr>
        <w:t>“O ajuizamento de ação para o reconhecimento de isenção de imposto de renda por doença grave e para a repetição do indébito tributário não exige prévio requerimento administrativo”.</w:t>
      </w:r>
    </w:p>
    <w:p>
      <w:pPr>
        <w:ind w:left="288"/>
      </w:pPr>
      <w:r>
        <w:rPr>
          <w:b/>
          <w:color w:val="003CA0"/>
          <w:sz w:val="16"/>
        </w:rPr>
        <w:t>[RE 1.525.407 RG, rel. min. Luís Roberto Barroso, j. 21.2.2025, P, DJE de 5.3.2025, Tema 1.373, com mérito julgado.]</w:t>
      </w:r>
    </w:p>
    <w:p>
      <w:pPr>
        <w:ind w:left="288"/>
      </w:pPr>
      <w:r>
        <w:rPr>
          <w:color w:val="8C8C8C"/>
          <w:sz w:val="12"/>
        </w:rPr>
        <w:t>cf-art-5-inc-XXXII-ali-b</w:t>
      </w:r>
      <w:r>
        <w:rPr>
          <w:color w:val="003CA0"/>
          <w:sz w:val="12"/>
        </w:rPr>
        <w:t xml:space="preserve"> | ARE 1.327.576</w:t>
      </w:r>
      <w:r>
        <w:rPr>
          <w:color w:val="003CA0"/>
          <w:sz w:val="12"/>
        </w:rPr>
        <w:t xml:space="preserve"> | rel. Dias Toffoli</w:t>
      </w:r>
    </w:p>
    <w:p>
      <w:pPr>
        <w:ind w:left="288"/>
      </w:pPr>
      <w:r>
        <w:rPr>
          <w:color w:val="1E1E1E"/>
          <w:sz w:val="18"/>
        </w:rPr>
        <w:t>“A aplicação do art. 46, § 5º, do CPC deve ficar restrita aos limites do território de cada ente subnacional ou ao local de ocorrência do fato gerador”.</w:t>
      </w:r>
    </w:p>
    <w:p>
      <w:pPr>
        <w:ind w:left="288"/>
      </w:pPr>
      <w:r>
        <w:rPr>
          <w:b/>
          <w:color w:val="003CA0"/>
          <w:sz w:val="16"/>
        </w:rPr>
        <w:t>[ARE 1.327.576, rel. min. Dias Toffoli, j. 07.08.2024, P, DJE de 20.08.2024,Tema 1.204, com mérito julgado.]</w:t>
      </w:r>
    </w:p>
    <w:p>
      <w:pPr>
        <w:ind w:left="288"/>
      </w:pPr>
      <w:r>
        <w:rPr>
          <w:color w:val="8C8C8C"/>
          <w:sz w:val="12"/>
        </w:rPr>
        <w:t>cf-art-5-inc-XXXII-ali-b</w:t>
      </w:r>
      <w:r>
        <w:rPr>
          <w:color w:val="003CA0"/>
          <w:sz w:val="12"/>
        </w:rPr>
        <w:t xml:space="preserve"> | RE 1.382.897</w:t>
      </w:r>
      <w:r>
        <w:rPr>
          <w:color w:val="003CA0"/>
          <w:sz w:val="12"/>
        </w:rPr>
        <w:t xml:space="preserve"> | rel. Luiz Fux</w:t>
      </w:r>
    </w:p>
    <w:p>
      <w:pPr>
        <w:ind w:left="288"/>
      </w:pPr>
      <w:r>
        <w:rPr>
          <w:color w:val="1E1E1E"/>
          <w:sz w:val="18"/>
        </w:rPr>
        <w:t>É infraconstitucional, a ela se aplicando os efeitos da ausência de repercussão geral, a controvérsia relativa à definição do termo inicial do auxílio-acidente decorrente da cessação do auxílio-doença, na forma dos artigos 23 e 86, § 2º, 8.213/1991.</w:t>
      </w:r>
    </w:p>
    <w:p>
      <w:pPr>
        <w:ind w:left="288"/>
      </w:pPr>
      <w:r>
        <w:rPr>
          <w:b/>
          <w:color w:val="003CA0"/>
          <w:sz w:val="16"/>
        </w:rPr>
        <w:t>[RE 1.382.897 RG, rel. min. Luiz Fux, j. 12-8-2022, P, DJE de 17-8-2022, Tema 1.225, com repercussão geral negada.]</w:t>
      </w:r>
    </w:p>
    <w:p>
      <w:pPr>
        <w:ind w:left="288"/>
      </w:pPr>
      <w:r>
        <w:rPr>
          <w:color w:val="8C8C8C"/>
          <w:sz w:val="12"/>
        </w:rPr>
        <w:t>cf-art-5-inc-XXXII-ali-b</w:t>
      </w:r>
      <w:r>
        <w:rPr>
          <w:color w:val="003CA0"/>
          <w:sz w:val="12"/>
        </w:rPr>
        <w:t xml:space="preserve"> | ARE 1.320.407</w:t>
      </w:r>
      <w:r>
        <w:rPr>
          <w:color w:val="003CA0"/>
          <w:sz w:val="12"/>
        </w:rPr>
        <w:t xml:space="preserve"> | rel. Luiz Fux</w:t>
      </w:r>
    </w:p>
    <w:p>
      <w:pPr>
        <w:ind w:left="288"/>
      </w:pPr>
      <w:r>
        <w:rPr>
          <w:color w:val="1E1E1E"/>
          <w:sz w:val="18"/>
        </w:rPr>
        <w:t>É infraconstitucional, a ela se aplicando os efeitos da ausência de repercussão geral, a controvérsia relativa à ofensa ao princípio da inafastabilidade de jurisdição quando a instância ordinária, com base na legislação aplicável e no conjunto fático-probatório constante dos autos, julgar, ainda que antecipadamente, o mérito da causa, por decisão fundamentada e garantidos os meios recursais cabíveis.</w:t>
      </w:r>
    </w:p>
    <w:p>
      <w:pPr>
        <w:ind w:left="288"/>
      </w:pPr>
      <w:r>
        <w:rPr>
          <w:b/>
          <w:color w:val="003CA0"/>
          <w:sz w:val="16"/>
        </w:rPr>
        <w:t>[ARE 1.320.407 RG, rel. min. Luiz Fux, j. 24-5-2021, P, DJE de 10-6-2021, Tema 1.146, com repercussão geral negada.]</w:t>
      </w:r>
    </w:p>
    <w:p>
      <w:pPr>
        <w:ind w:left="288"/>
      </w:pPr>
      <w:r>
        <w:rPr>
          <w:color w:val="8C8C8C"/>
          <w:sz w:val="12"/>
        </w:rPr>
        <w:t>cf-art-5-inc-XXXII-ali-b</w:t>
      </w:r>
      <w:r>
        <w:rPr>
          <w:color w:val="003CA0"/>
          <w:sz w:val="12"/>
        </w:rPr>
        <w:t xml:space="preserve"> | RE 627.106</w:t>
      </w:r>
      <w:r>
        <w:rPr>
          <w:color w:val="003CA0"/>
          <w:sz w:val="12"/>
        </w:rPr>
        <w:t xml:space="preserve"> | rel. Dias Toffoli</w:t>
      </w:r>
    </w:p>
    <w:p>
      <w:pPr>
        <w:ind w:left="288"/>
      </w:pPr>
      <w:r>
        <w:rPr>
          <w:color w:val="1E1E1E"/>
          <w:sz w:val="18"/>
        </w:rPr>
        <w:t>É constitucional, pois foi devidamente recepcionado pela Constituição Federal de 1988, o procedimento de execução extrajudicial previsto no Decreto-lei nº 70/66.</w:t>
      </w:r>
    </w:p>
    <w:p>
      <w:pPr>
        <w:ind w:left="288"/>
      </w:pPr>
      <w:r>
        <w:rPr>
          <w:b/>
          <w:color w:val="003CA0"/>
          <w:sz w:val="16"/>
        </w:rPr>
        <w:t>[RE 627.106, rel. min. Dias Toffoli, j. 7-4-2021, P, DJE de 14-6-2021. Tema 249, com mérito julgado.]</w:t>
      </w:r>
    </w:p>
    <w:p>
      <w:pPr>
        <w:ind w:left="288"/>
      </w:pPr>
      <w:r>
        <w:rPr>
          <w:color w:val="8C8C8C"/>
          <w:sz w:val="12"/>
        </w:rPr>
        <w:t>cf-art-5-inc-XXXII-ali-b</w:t>
      </w:r>
      <w:r>
        <w:rPr>
          <w:color w:val="003CA0"/>
          <w:sz w:val="12"/>
        </w:rPr>
        <w:t xml:space="preserve"> | RE 1.101.937</w:t>
      </w:r>
      <w:r>
        <w:rPr>
          <w:color w:val="003CA0"/>
          <w:sz w:val="12"/>
        </w:rPr>
        <w:t xml:space="preserve"> | rel. Alexandre de Moraes</w:t>
      </w:r>
    </w:p>
    <w:p>
      <w:pPr>
        <w:ind w:left="288"/>
      </w:pPr>
      <w:r>
        <w:rPr>
          <w:color w:val="1E1E1E"/>
          <w:sz w:val="18"/>
        </w:rPr>
        <w:t>I - É inconstitucional a redação do art. 16 da Lei 7.347/1985, alterada pela Lei 9.494/1997, sendo repristinada sua redação original. II - Em se tratando de ação civil pública de efeitos nacionais ou regionais, a competência deve observar o art. 93, II, da Lei 8.078/1990 (Código de Defesa do Consumidor). III - Ajuizadas múltiplas ações civis públicas de âmbito nacional ou regional e fixada a competência nos termos do item II, firma-se a prevenção do juízo que primeiro conheceu de uma delas, para o julgamento de todas as demandas conexas.</w:t>
      </w:r>
    </w:p>
    <w:p>
      <w:pPr>
        <w:ind w:left="288"/>
      </w:pPr>
      <w:r>
        <w:rPr>
          <w:b/>
          <w:color w:val="003CA0"/>
          <w:sz w:val="16"/>
        </w:rPr>
        <w:t>[RE 1.101.937, rel. min. Alexandre de Moraes, j. 4-3-2021, P. DJE de 14-6-2021. Tema 1.075, com mérito julgado.]</w:t>
      </w:r>
    </w:p>
    <w:p>
      <w:pPr>
        <w:ind w:left="288"/>
      </w:pPr>
      <w:r>
        <w:rPr>
          <w:color w:val="8C8C8C"/>
          <w:sz w:val="12"/>
        </w:rPr>
        <w:t>cf-art-5-inc-XXXII-ali-b</w:t>
      </w:r>
      <w:r>
        <w:rPr>
          <w:color w:val="003CA0"/>
          <w:sz w:val="12"/>
        </w:rPr>
        <w:t xml:space="preserve"> | RE 640.905</w:t>
      </w:r>
      <w:r>
        <w:rPr>
          <w:color w:val="003CA0"/>
          <w:sz w:val="12"/>
        </w:rPr>
        <w:t xml:space="preserve"> | rel. Luiz Fux</w:t>
      </w:r>
    </w:p>
    <w:p>
      <w:pPr>
        <w:ind w:left="288"/>
      </w:pPr>
      <w:r>
        <w:rPr>
          <w:color w:val="1E1E1E"/>
          <w:sz w:val="18"/>
        </w:rPr>
        <w:t>Não viola o princípio da isonomia e o livre acesso à jurisdição a restrição de ingresso no parcelamento de dívida relativa à Contribuição para Financiamento da Seguridade Social – COFINS, instituída pela Portaria 655/1993, dos contribuintes que questionaram o tributo em juízo com depósito judicial dos débitos tributários.</w:t>
      </w:r>
    </w:p>
    <w:p>
      <w:pPr>
        <w:ind w:left="288"/>
      </w:pPr>
      <w:r>
        <w:rPr>
          <w:b/>
          <w:color w:val="003CA0"/>
          <w:sz w:val="16"/>
        </w:rPr>
        <w:t>[RE 640.905, rel. min. Luiz Fux, j. 15-12-2016, P, DJE de 1º-2-2018. Tema 573, com mérito julgado.]</w:t>
      </w:r>
    </w:p>
    <w:p>
      <w:pPr>
        <w:ind w:left="288"/>
      </w:pPr>
      <w:r>
        <w:rPr>
          <w:color w:val="8C8C8C"/>
          <w:sz w:val="12"/>
        </w:rPr>
        <w:t>cf-art-5-inc-XXXII-ali-b</w:t>
      </w:r>
      <w:r>
        <w:rPr>
          <w:color w:val="003CA0"/>
          <w:sz w:val="12"/>
        </w:rPr>
        <w:t xml:space="preserve"> | RE 631.240</w:t>
      </w:r>
      <w:r>
        <w:rPr>
          <w:color w:val="003CA0"/>
          <w:sz w:val="12"/>
        </w:rPr>
        <w:t xml:space="preserve"> | rel. Roberto Barroso</w:t>
      </w:r>
    </w:p>
    <w:p>
      <w:pPr>
        <w:ind w:left="288"/>
      </w:pPr>
      <w:r>
        <w:rPr>
          <w:color w:val="1E1E1E"/>
          <w:sz w:val="18"/>
        </w:rPr>
        <w:t>A concessão de benefícios previdenciários depende de requerimento do interessado, não se caracterizando ameaça ou lesão a direito antes de sua apreciação e indeferimento pelo INSS, ou se excedido o prazo legal para sua análise. É bem de ver, no entanto, que a exigência de prévio requerimento não se confunde com o exaurimento das vias administrativas. A exigência de prévio requerimento administrativo não deve prevalecer quando o entendimento da administração for notória e reiteradamente contrário à postulação do segurado. Na hipótese de pretensão de revisão, restabelecimento ou manutenção de be</w:t>
      </w:r>
    </w:p>
    <w:p>
      <w:pPr>
        <w:ind w:left="288"/>
      </w:pPr>
      <w:r>
        <w:rPr>
          <w:b/>
          <w:color w:val="003CA0"/>
          <w:sz w:val="16"/>
        </w:rPr>
        <w:t>[RE 631.240, rel. min. Roberto Barroso, j. 3-9-2014, P, DJE de 10-11-2014. Tema 350, com mérito julgado.]</w:t>
      </w:r>
    </w:p>
    <w:p>
      <w:pPr>
        <w:ind w:left="288"/>
      </w:pPr>
      <w:r>
        <w:rPr>
          <w:color w:val="8C8C8C"/>
          <w:sz w:val="12"/>
        </w:rPr>
        <w:t>cf-art-5-inc-XXXII-ali-b</w:t>
      </w:r>
      <w:r>
        <w:rPr>
          <w:color w:val="003CA0"/>
          <w:sz w:val="12"/>
        </w:rPr>
        <w:t xml:space="preserve"> | RE 565.048</w:t>
      </w:r>
      <w:r>
        <w:rPr>
          <w:color w:val="003CA0"/>
          <w:sz w:val="12"/>
        </w:rPr>
        <w:t xml:space="preserve"> | rel. Marco Aurélio</w:t>
      </w:r>
    </w:p>
    <w:p>
      <w:pPr>
        <w:ind w:left="288"/>
      </w:pPr>
      <w:r>
        <w:rPr>
          <w:color w:val="1E1E1E"/>
          <w:sz w:val="18"/>
        </w:rPr>
        <w:t>Discrepa, a mais não poder, da Carta Federal a sanção política objetivando a cobrança de tributos – Verbetes 70, 323 e 547 da Súmula do Supremo. (...) Consubstancia sanção política visando ao recolhimento de tributo condicionar a expedição de notas fiscais a fiança, garantia real ou fidejussória por parte do contribuinte.</w:t>
      </w:r>
    </w:p>
    <w:p>
      <w:pPr>
        <w:ind w:left="288"/>
      </w:pPr>
      <w:r>
        <w:rPr>
          <w:b/>
          <w:color w:val="003CA0"/>
          <w:sz w:val="16"/>
        </w:rPr>
        <w:t>[RE 565.048, rel. min. Marco Aurélio, j. 29-5-2014, P, DJE de 9-10-2014. Tema 31, com mérito julgado.]</w:t>
      </w:r>
    </w:p>
    <w:p>
      <w:pPr>
        <w:ind w:left="288"/>
      </w:pPr>
      <w:r>
        <w:rPr>
          <w:color w:val="8C8C8C"/>
          <w:sz w:val="12"/>
        </w:rPr>
        <w:t>cf-art-5-inc-XXXII-ali-b</w:t>
      </w:r>
      <w:r>
        <w:rPr>
          <w:color w:val="003CA0"/>
          <w:sz w:val="12"/>
        </w:rPr>
        <w:t xml:space="preserve"> | ADI 173</w:t>
      </w:r>
      <w:r>
        <w:rPr>
          <w:color w:val="003CA0"/>
          <w:sz w:val="12"/>
        </w:rPr>
        <w:t xml:space="preserve"> | rel. Joaquim Barbosa</w:t>
      </w:r>
    </w:p>
    <w:p>
      <w:pPr>
        <w:ind w:left="288"/>
      </w:pPr>
      <w:r>
        <w:rPr>
          <w:color w:val="1E1E1E"/>
          <w:sz w:val="18"/>
        </w:rPr>
        <w:t>= ADI 173 e ADI 394, rel. min. Joaquim Barbosa, j. 25-9-2008, P, DJE de 20-3-2009 O rito dos juizados especiais é talhado para ampliar o acesso à Justiça (art. 5º, XXXV, da CRFB) mediante redução das formalidades e aceleração da marcha processual, não sendo outra a exegese do art. 98, I, da Carta Magna, que determina sejam adotados nos aludidos juizados "os procedimentos oral e sumariíssimo", devendo, portanto, ser apreciadas cum grano salis as interpretações que pugnem pela aplicação "subsidiária" de normas alheias ao microssistema dos juizados especiais que importem delongas ou incremento de</w:t>
      </w:r>
    </w:p>
    <w:p>
      <w:pPr>
        <w:ind w:left="288"/>
      </w:pPr>
      <w:r>
        <w:rPr>
          <w:b/>
          <w:color w:val="003CA0"/>
          <w:sz w:val="16"/>
        </w:rPr>
        <w:t>[ARE 648.629, rel. min. Luiz Fux, j. 24-4-2013, P, DJE de 8-4-2014. Tema 549, com mérito julgado.]</w:t>
      </w:r>
    </w:p>
    <w:p>
      <w:pPr>
        <w:ind w:left="288"/>
      </w:pPr>
      <w:r>
        <w:rPr>
          <w:color w:val="8C8C8C"/>
          <w:sz w:val="12"/>
        </w:rPr>
        <w:t>cf-art-5-inc-XXXII-ali-b</w:t>
      </w:r>
      <w:r>
        <w:rPr>
          <w:color w:val="003CA0"/>
          <w:sz w:val="12"/>
        </w:rPr>
        <w:t xml:space="preserve"> | RE 566.621</w:t>
      </w:r>
      <w:r>
        <w:rPr>
          <w:color w:val="003CA0"/>
          <w:sz w:val="12"/>
        </w:rPr>
        <w:t xml:space="preserve"> | rel. Ellen Gracie</w:t>
      </w:r>
    </w:p>
    <w:p>
      <w:pPr>
        <w:ind w:left="288"/>
      </w:pPr>
      <w:r>
        <w:rPr>
          <w:color w:val="1E1E1E"/>
          <w:sz w:val="18"/>
        </w:rPr>
        <w:t xml:space="preserve">Quando do advento da LC 118/2005, estava consolidada a orientação da Primeira Seção do STJ no sentido de que, para os tributos sujeitos a lançamento por homologação, o prazo para repetição ou compensação de indébito era de 10 anos contados do seu fato gerador, tendo em conta a aplicação combinada dos arts. 150, § 4º; 156, VII; e 168, I, do CTN. A LC 118/2005, embora tenha se autoproclamado interpretativa, implicou inovação normativa, tendo reduzido o prazo de 10 anos contados do fato gerador para 5 anos contados do pagamento indevido. (...) A aplicação retroativa de novo e reduzido prazo para </w:t>
      </w:r>
    </w:p>
    <w:p>
      <w:pPr>
        <w:ind w:left="288"/>
      </w:pPr>
      <w:r>
        <w:rPr>
          <w:b/>
          <w:color w:val="003CA0"/>
          <w:sz w:val="16"/>
        </w:rPr>
        <w:t>[RE 566.621, rel. min. Ellen Gracie, j. 4-8-2011, P, DJE de 11-10-2011. Tema 4, com mérito julgado.]</w:t>
      </w:r>
    </w:p>
    <w:p>
      <w:pPr>
        <w:ind w:left="288"/>
      </w:pPr>
      <w:r>
        <w:rPr>
          <w:color w:val="8C8C8C"/>
          <w:sz w:val="12"/>
        </w:rPr>
        <w:t>cf-art-5-inc-XXXII-ali-b</w:t>
      </w:r>
      <w:r>
        <w:rPr>
          <w:color w:val="003CA0"/>
          <w:sz w:val="12"/>
        </w:rPr>
        <w:t xml:space="preserve"> | ARE 637.975</w:t>
      </w:r>
      <w:r>
        <w:rPr>
          <w:color w:val="003CA0"/>
          <w:sz w:val="12"/>
        </w:rPr>
        <w:t xml:space="preserve"> | rel. Cezar Peluso</w:t>
      </w:r>
    </w:p>
    <w:p>
      <w:pPr>
        <w:ind w:left="288"/>
      </w:pPr>
      <w:r>
        <w:rPr>
          <w:color w:val="1E1E1E"/>
          <w:sz w:val="18"/>
        </w:rPr>
        <w:t>É compatível com a Constituição norma que afirma incabível apelação em casos de execução fiscal cujo valor seja inferior a cinquenta ORTN [Obrigações Reajustáveis do Tesouro Nacional].</w:t>
      </w:r>
    </w:p>
    <w:p>
      <w:pPr>
        <w:ind w:left="288"/>
      </w:pPr>
      <w:r>
        <w:rPr>
          <w:b/>
          <w:color w:val="003CA0"/>
          <w:sz w:val="16"/>
        </w:rPr>
        <w:t>[ARE 637.975 RG, rel. min. Cezar Peluso, j. 9-6-2011, P, DJE de 1º-9-2011. Tema 408, com mérito julgado.]</w:t>
      </w:r>
    </w:p>
    <w:p>
      <w:pPr>
        <w:ind w:left="288"/>
      </w:pPr>
      <w:r>
        <w:rPr>
          <w:color w:val="8C8C8C"/>
          <w:sz w:val="12"/>
        </w:rPr>
        <w:t>cf-art-5-inc-XXXII-ali-b</w:t>
      </w:r>
      <w:r>
        <w:rPr>
          <w:color w:val="003CA0"/>
          <w:sz w:val="12"/>
        </w:rPr>
        <w:t xml:space="preserve"> | RE 591.033</w:t>
      </w:r>
      <w:r>
        <w:rPr>
          <w:color w:val="003CA0"/>
          <w:sz w:val="12"/>
        </w:rPr>
        <w:t xml:space="preserve"> | rel. Ellen Gracie</w:t>
      </w:r>
    </w:p>
    <w:p>
      <w:pPr>
        <w:ind w:left="288"/>
      </w:pPr>
      <w:r>
        <w:rPr>
          <w:color w:val="1E1E1E"/>
          <w:sz w:val="18"/>
        </w:rPr>
        <w:t xml:space="preserve">A Lei 4.468/1984 do Estado de São Paulo – que autoriza a não inscrição em dívida ativa e o não ajuizamento de débitos de pequeno valor – não pode ser aplicada a Município, não servindo de fundamento para a extinção das execuções fiscais que promova, sob pena de violação à sua competência tributária. Não é dado aos entes políticos valerem-se de sanções políticas contra os contribuintes inadimplentes, cabendo-lhes, isso, sim, proceder ao lançamento, inscrição e cobrança judicial de seus créditos, de modo que o interesse processual para o ajuizamento de execução está presente. Negar ao Município </w:t>
      </w:r>
    </w:p>
    <w:p>
      <w:pPr>
        <w:ind w:left="288"/>
      </w:pPr>
      <w:r>
        <w:rPr>
          <w:b/>
          <w:color w:val="003CA0"/>
          <w:sz w:val="16"/>
        </w:rPr>
        <w:t>[RE 591.033, rel. min. Ellen Gracie, j. 17-11-2010, P, DJE de 25-2-2011. Tema 109, com mérito julgado.]</w:t>
      </w:r>
    </w:p>
    <w:p>
      <w:pPr>
        <w:ind w:left="288"/>
      </w:pPr>
      <w:r>
        <w:rPr>
          <w:color w:val="8C8C8C"/>
          <w:sz w:val="12"/>
        </w:rPr>
        <w:t>cf-art-5-inc-XXXII-ali-b</w:t>
      </w:r>
      <w:r>
        <w:rPr>
          <w:color w:val="003CA0"/>
          <w:sz w:val="12"/>
        </w:rPr>
        <w:t xml:space="preserve"> | RE 612.359</w:t>
      </w:r>
      <w:r>
        <w:rPr>
          <w:color w:val="003CA0"/>
          <w:sz w:val="12"/>
        </w:rPr>
        <w:t xml:space="preserve"> | rel. Ellen Gracie</w:t>
      </w:r>
    </w:p>
    <w:p>
      <w:pPr>
        <w:ind w:left="288"/>
      </w:pPr>
      <w:r>
        <w:rPr>
          <w:color w:val="1E1E1E"/>
          <w:sz w:val="18"/>
        </w:rPr>
        <w:t>Cabimento do agravo interno no âmbito dos juizados especiais. Constitucionalidade do julgamento monocrático do recurso desde que haja possibilidade de revisão pelo órgão colegiado.</w:t>
      </w:r>
    </w:p>
    <w:p>
      <w:pPr>
        <w:ind w:left="288"/>
      </w:pPr>
      <w:r>
        <w:rPr>
          <w:b/>
          <w:color w:val="003CA0"/>
          <w:sz w:val="16"/>
        </w:rPr>
        <w:t>[RE 612.359 RG, rel. min. Ellen Gracie, j. 13-8-2010, P, DJE de 27-8-2010. Tema 294, com mérito julgado.]</w:t>
      </w:r>
    </w:p>
    <w:p>
      <w:pPr>
        <w:ind w:left="288"/>
      </w:pPr>
      <w:r>
        <w:rPr>
          <w:color w:val="8C8C8C"/>
          <w:sz w:val="12"/>
        </w:rPr>
        <w:t>cf-art-5-inc-XXXII-ali-b</w:t>
      </w:r>
      <w:r>
        <w:rPr>
          <w:color w:val="003CA0"/>
          <w:sz w:val="12"/>
        </w:rPr>
        <w:t xml:space="preserve"> | RE 860.631</w:t>
      </w:r>
      <w:r>
        <w:rPr>
          <w:color w:val="003CA0"/>
          <w:sz w:val="12"/>
        </w:rPr>
        <w:t xml:space="preserve"> | rel. Luiz Fux</w:t>
      </w:r>
    </w:p>
    <w:p>
      <w:pPr>
        <w:ind w:left="288"/>
      </w:pPr>
      <w:r>
        <w:rPr>
          <w:color w:val="1E1E1E"/>
          <w:sz w:val="18"/>
        </w:rPr>
        <w:t>A execução extrajudicial nos contratos de mútuo com alienação fiduciária de imóvel, prevista na Lei 9.514/1997, é compatível com as garantias constitucionais, destacando-se inexistir afronta ao princípio da inafastabilidade da jurisdição e do acesso à justiça (art. 5º, inciso XXXV, da CF/88) e do juiz natural (art. 5º, LIII, CF/88), posto que se assegura às partes, a qualquer momento, a possibilidade de controle de legalidade do procedimento executório na via judicial. Inexiste, igualmente, violação aos princípios do devido processo legal, do contraditório e da ampla defesa (art. 5º, LIV e LV,</w:t>
      </w:r>
    </w:p>
    <w:p>
      <w:pPr>
        <w:ind w:left="288"/>
      </w:pPr>
      <w:r>
        <w:rPr>
          <w:b/>
          <w:color w:val="003CA0"/>
          <w:sz w:val="16"/>
        </w:rPr>
        <w:t>[RE 860.631, rel. min. Luiz Fux, j. 26-10-2023, P, DJE de 14-2-2024, Tema 982, com mérito julgado.]</w:t>
      </w:r>
    </w:p>
    <w:p>
      <w:pPr>
        <w:ind w:left="288"/>
      </w:pPr>
      <w:r>
        <w:rPr>
          <w:color w:val="8C8C8C"/>
          <w:sz w:val="12"/>
        </w:rPr>
        <w:t>cf-art-5-inc-XXXII-ali-b</w:t>
      </w:r>
      <w:r>
        <w:rPr>
          <w:color w:val="003CA0"/>
          <w:sz w:val="12"/>
        </w:rPr>
        <w:t xml:space="preserve"> | PET 7.444</w:t>
      </w:r>
      <w:r>
        <w:rPr>
          <w:color w:val="003CA0"/>
          <w:sz w:val="12"/>
        </w:rPr>
        <w:t xml:space="preserve"> | rel. Edson Fachin</w:t>
      </w:r>
    </w:p>
    <w:p>
      <w:pPr>
        <w:ind w:left="288"/>
      </w:pPr>
      <w:r>
        <w:rPr>
          <w:color w:val="1E1E1E"/>
          <w:sz w:val="18"/>
        </w:rPr>
        <w:t>A possibilidade de a União adotar, nos contratos de refinanciamento de dívidas celebrados com os Estados e o Distrito Federal com base na Lei 9.496, de 11 de setembro de 1997, o prazo adicional de até duzentos e quarenta meses para o pagamento das dívidas refinanciadas, prevista pela Lei Complementar 156, de 2016, constitui legítimo mecanismo de autocomposição. Não ofende o princípio da inafastabilidade da jurisdição norma legal que condiciona a elaboração do termo aditivo à renúncia expressa e irrevogável ao direito em que se fundam ações judiciais cujo objeto é dívida ou contrato celebrado c</w:t>
      </w:r>
    </w:p>
    <w:p>
      <w:pPr>
        <w:ind w:left="288"/>
      </w:pPr>
      <w:r>
        <w:rPr>
          <w:b/>
          <w:color w:val="003CA0"/>
          <w:sz w:val="16"/>
        </w:rPr>
        <w:t>[Pet 7.444, rel. min. Edson Fachin, j. 21-12-2020, P, DJE de 4-3-2021.]</w:t>
      </w:r>
    </w:p>
    <w:p>
      <w:pPr>
        <w:ind w:left="288"/>
      </w:pPr>
      <w:r>
        <w:rPr>
          <w:color w:val="8C8C8C"/>
          <w:sz w:val="12"/>
        </w:rPr>
        <w:t>cf-art-5-inc-XXXII-ali-b</w:t>
      </w:r>
      <w:r>
        <w:rPr>
          <w:color w:val="003CA0"/>
          <w:sz w:val="12"/>
        </w:rPr>
        <w:t xml:space="preserve"> | RE 384.866</w:t>
      </w:r>
      <w:r>
        <w:rPr>
          <w:color w:val="003CA0"/>
          <w:sz w:val="12"/>
        </w:rPr>
        <w:t xml:space="preserve"> | rel. Marco Aurélio</w:t>
      </w:r>
    </w:p>
    <w:p>
      <w:pPr>
        <w:ind w:left="288"/>
      </w:pPr>
      <w:r>
        <w:rPr>
          <w:color w:val="1E1E1E"/>
          <w:sz w:val="18"/>
        </w:rPr>
        <w:t>A garantia constitucional relativa ao acesso ao Judiciário – inciso XXXV do art. 5º da Carta de 1988 – é conducente a assentar-se, vencedora a parte, o direito aos honorários advocatícios. (...) A exclusão dos honorários advocatícios prevista no art. 29-C da Lei 8.036/1990 surge conflitante com a CF, com o princípio segundo o qual o cidadão compelido a ingressar em juízo, se vencedor, não deve sofrer diminuição patrimonial.</w:t>
      </w:r>
    </w:p>
    <w:p>
      <w:pPr>
        <w:ind w:left="288"/>
      </w:pPr>
      <w:r>
        <w:rPr>
          <w:b/>
          <w:color w:val="003CA0"/>
          <w:sz w:val="16"/>
        </w:rPr>
        <w:t>[RE 384.866, rel. min. Marco Aurélio, j. 29-6-2012, P, DJE de 23-8-2012.]</w:t>
      </w:r>
    </w:p>
    <w:p>
      <w:pPr>
        <w:ind w:left="288"/>
      </w:pPr>
      <w:r>
        <w:rPr>
          <w:color w:val="8C8C8C"/>
          <w:sz w:val="12"/>
        </w:rPr>
        <w:t>cf-art-5-inc-XXXII-ali-b</w:t>
      </w:r>
      <w:r>
        <w:rPr>
          <w:color w:val="003CA0"/>
          <w:sz w:val="12"/>
        </w:rPr>
        <w:t xml:space="preserve"> | RE 353.514</w:t>
      </w:r>
      <w:r>
        <w:rPr>
          <w:color w:val="003CA0"/>
          <w:sz w:val="12"/>
        </w:rPr>
        <w:t xml:space="preserve"> | rel. Ellen Gracie</w:t>
      </w:r>
    </w:p>
    <w:p>
      <w:pPr>
        <w:ind w:left="288"/>
      </w:pPr>
      <w:r>
        <w:rPr>
          <w:color w:val="1E1E1E"/>
          <w:sz w:val="18"/>
        </w:rPr>
        <w:t>Não há negativa de prestação jurisdicional quando a parte recorrente opta por não atacar o fundamento infraconstitucional, arrastando para si a preclusão temporal para viabilizar, em tese, a sua pretensão.</w:t>
      </w:r>
    </w:p>
    <w:p>
      <w:pPr>
        <w:ind w:left="288"/>
      </w:pPr>
      <w:r>
        <w:rPr>
          <w:b/>
          <w:color w:val="003CA0"/>
          <w:sz w:val="16"/>
        </w:rPr>
        <w:t>[RE 353.514 AgR, rel. min. Ellen Gracie, j. 14-9-2010, 2ª T, DJE de 1º-10-2010.]</w:t>
      </w:r>
    </w:p>
    <w:p>
      <w:pPr>
        <w:ind w:left="288"/>
      </w:pPr>
      <w:r>
        <w:rPr>
          <w:color w:val="8C8C8C"/>
          <w:sz w:val="12"/>
        </w:rPr>
        <w:t>cf-art-5-inc-XXXII-ali-b</w:t>
      </w:r>
      <w:r>
        <w:rPr>
          <w:color w:val="003CA0"/>
          <w:sz w:val="12"/>
        </w:rPr>
        <w:t xml:space="preserve"> | AI 564.642</w:t>
      </w:r>
      <w:r>
        <w:rPr>
          <w:color w:val="003CA0"/>
          <w:sz w:val="12"/>
        </w:rPr>
        <w:t xml:space="preserve"> | rel. Ricardo Lewandowski</w:t>
      </w:r>
    </w:p>
    <w:p>
      <w:pPr>
        <w:ind w:left="288"/>
      </w:pPr>
      <w:r>
        <w:rPr>
          <w:color w:val="1E1E1E"/>
          <w:sz w:val="18"/>
        </w:rPr>
        <w:t>A simples circunstância de não haver sido estipulado um teto-limite para a taxa judiciária não constitui razão suficiente para que se tenha por violado o princípio do livre acesso ao Poder Judiciário.</w:t>
      </w:r>
    </w:p>
    <w:p>
      <w:pPr>
        <w:ind w:left="288"/>
      </w:pPr>
      <w:r>
        <w:rPr>
          <w:b/>
          <w:color w:val="003CA0"/>
          <w:sz w:val="16"/>
        </w:rPr>
        <w:t>[AI 564.642 AgR, rel. min. Ricardo Lewandowski, j. 30-6-2009, 1ª T, DJE de 21-8-2009.]</w:t>
      </w:r>
    </w:p>
    <w:p>
      <w:pPr>
        <w:ind w:left="288"/>
      </w:pPr>
      <w:r>
        <w:rPr>
          <w:color w:val="8C8C8C"/>
          <w:sz w:val="12"/>
        </w:rPr>
        <w:t>cf-art-5-inc-XXXII-ali-b</w:t>
      </w:r>
      <w:r>
        <w:rPr>
          <w:color w:val="003CA0"/>
          <w:sz w:val="12"/>
        </w:rPr>
        <w:t xml:space="preserve"> | ADI 1.772</w:t>
      </w:r>
      <w:r>
        <w:rPr>
          <w:color w:val="003CA0"/>
          <w:sz w:val="12"/>
        </w:rPr>
        <w:t xml:space="preserve"> | rel. Carlos Velloso</w:t>
      </w:r>
    </w:p>
    <w:p>
      <w:pPr>
        <w:ind w:left="288"/>
      </w:pPr>
      <w:r>
        <w:rPr>
          <w:color w:val="1E1E1E"/>
          <w:sz w:val="18"/>
        </w:rPr>
        <w:t>Vide ADI 1.772 MC, rel. min. Carlos Velloso, j. 15-4-1998, P, DJ de 8-9-2000 As garantias constitucionais do direito de petição e da inafastabilidade da apreciação do Poder Judiciário, quando se trata de lesão ou ameaça a direito, reclamam, para o seu exercício, a observância do que preceitua o direito processual (art. 5º, XXXIV, a, e XXXV, da CF/1988).</w:t>
      </w:r>
    </w:p>
    <w:p>
      <w:pPr>
        <w:ind w:left="288"/>
      </w:pPr>
      <w:r>
        <w:rPr>
          <w:b/>
          <w:color w:val="003CA0"/>
          <w:sz w:val="16"/>
        </w:rPr>
        <w:t>[Pet 4.556 AgR, rel. min. Eros Grau, j. 25-6-2009, P, DJE de 21-8-2009.]</w:t>
      </w:r>
    </w:p>
    <w:p>
      <w:pPr>
        <w:ind w:left="288"/>
      </w:pPr>
      <w:r>
        <w:rPr>
          <w:color w:val="8C8C8C"/>
          <w:sz w:val="12"/>
        </w:rPr>
        <w:t>cf-art-5-inc-XXXII-ali-b</w:t>
      </w:r>
      <w:r>
        <w:rPr>
          <w:color w:val="003CA0"/>
          <w:sz w:val="12"/>
        </w:rPr>
        <w:t xml:space="preserve"> | AO 1.531</w:t>
      </w:r>
      <w:r>
        <w:rPr>
          <w:color w:val="003CA0"/>
          <w:sz w:val="12"/>
        </w:rPr>
        <w:t xml:space="preserve"> | rel. Cármen Lúcia</w:t>
      </w:r>
    </w:p>
    <w:p>
      <w:pPr>
        <w:ind w:left="288"/>
      </w:pPr>
      <w:r>
        <w:rPr>
          <w:color w:val="1E1E1E"/>
          <w:sz w:val="18"/>
        </w:rPr>
        <w:t xml:space="preserve">A Constituição da República estabeleceu que o acesso à justiça e o direito de petição são direitos fundamentais (art. 5º, XXXIV, a, e XXXV), porém estes não garantem a quem não tenha capacidade postulatória litigar em juízo, ou seja, é vedado o exercício do direito de ação sem a presença de um advogado, considerado "indispensável à administração da Justiça" (art. 133 da Constituição da República e art. 1º da Lei 8.906/1994), com as ressalvas legais. (...) Incluem-se, ainda, no rol das exceções, as ações protocoladas nos juizados especiais cíveis, nas causas de valor até vinte salários mínimos </w:t>
      </w:r>
    </w:p>
    <w:p>
      <w:pPr>
        <w:ind w:left="288"/>
      </w:pPr>
      <w:r>
        <w:rPr>
          <w:b/>
          <w:color w:val="003CA0"/>
          <w:sz w:val="16"/>
        </w:rPr>
        <w:t>[AO 1.531 AgR, voto da rel. min. Cármen Lúcia, j. 3-6-2009, P, DJE de 1º-7-2009.]</w:t>
      </w:r>
    </w:p>
    <w:p>
      <w:pPr>
        <w:ind w:left="288"/>
      </w:pPr>
      <w:r>
        <w:rPr>
          <w:color w:val="8C8C8C"/>
          <w:sz w:val="12"/>
        </w:rPr>
        <w:t>cf-art-5-inc-XXXII-ali-b</w:t>
      </w:r>
      <w:r>
        <w:rPr>
          <w:color w:val="003CA0"/>
          <w:sz w:val="12"/>
        </w:rPr>
        <w:t xml:space="preserve"> | RE 549.238</w:t>
      </w:r>
      <w:r>
        <w:rPr>
          <w:color w:val="003CA0"/>
          <w:sz w:val="12"/>
        </w:rPr>
        <w:t xml:space="preserve"> | rel. Ricardo Lewandowski</w:t>
      </w:r>
    </w:p>
    <w:p>
      <w:pPr>
        <w:ind w:left="288"/>
      </w:pPr>
      <w:r>
        <w:rPr>
          <w:color w:val="1E1E1E"/>
          <w:sz w:val="18"/>
        </w:rPr>
        <w:t>Não há previsão constitucional de esgotamento da via administrativa como condição da ação que objetiva o reconhecimento de direito previdenciário.</w:t>
      </w:r>
    </w:p>
    <w:p>
      <w:pPr>
        <w:ind w:left="288"/>
      </w:pPr>
      <w:r>
        <w:rPr>
          <w:b/>
          <w:color w:val="003CA0"/>
          <w:sz w:val="16"/>
        </w:rPr>
        <w:t>[RE 549.238 AgR, rel. min. Ricardo Lewandowski, j. 5-5-2009, 1ª T, DJE de 5-6-2009.]</w:t>
      </w:r>
    </w:p>
    <w:p>
      <w:pPr>
        <w:ind w:left="288"/>
      </w:pPr>
      <w:r>
        <w:rPr>
          <w:color w:val="8C8C8C"/>
          <w:sz w:val="12"/>
        </w:rPr>
        <w:t>cf-art-5-inc-XXXII-ali-b</w:t>
      </w:r>
      <w:r>
        <w:rPr>
          <w:color w:val="003CA0"/>
          <w:sz w:val="12"/>
        </w:rPr>
        <w:t xml:space="preserve"> | RE 549.055</w:t>
      </w:r>
      <w:r>
        <w:rPr>
          <w:color w:val="003CA0"/>
          <w:sz w:val="12"/>
        </w:rPr>
        <w:t xml:space="preserve"> | rel. Ayres Britto</w:t>
      </w:r>
    </w:p>
    <w:p>
      <w:pPr>
        <w:ind w:left="288"/>
      </w:pPr>
      <w:r>
        <w:rPr>
          <w:color w:val="1E1E1E"/>
          <w:sz w:val="18"/>
        </w:rPr>
        <w:t>= RE 549.055 AgR, rel. min. Ayres Britto, j. 5-10-2010, 2ª T, DJE de 10-12-2010 A falta de apreciação, pelo STJ, de todos os fundamentos subjacentes à impetração do habeas corpus, desde que relevantes e essenciais à resolução da controvérsia, compromete o julgamento realizado. É que a resposta jurisdicional incompleta configura, quando ocorrente, transgressão ao postulado constitucional que garante o direito à jurisdição a qualquer pessoa que disponha, para tanto, de legítimo interesse.</w:t>
      </w:r>
    </w:p>
    <w:p>
      <w:pPr>
        <w:ind w:left="288"/>
      </w:pPr>
      <w:r>
        <w:rPr>
          <w:b/>
          <w:color w:val="003CA0"/>
          <w:sz w:val="16"/>
        </w:rPr>
        <w:t>[RHC 97.181 e RHC 97.182, rel. min. Celso de Mello, j. 14-4-2009, 2ª T, DJE de 19-6-2009.]</w:t>
      </w:r>
    </w:p>
    <w:p>
      <w:pPr>
        <w:ind w:left="288"/>
      </w:pPr>
      <w:r>
        <w:rPr>
          <w:color w:val="8C8C8C"/>
          <w:sz w:val="12"/>
        </w:rPr>
        <w:t>cf-art-5-inc-XXXII-ali-b</w:t>
      </w:r>
      <w:r>
        <w:rPr>
          <w:color w:val="003CA0"/>
          <w:sz w:val="12"/>
        </w:rPr>
        <w:t xml:space="preserve"> | AI 567.171</w:t>
      </w:r>
      <w:r>
        <w:rPr>
          <w:color w:val="003CA0"/>
          <w:sz w:val="12"/>
        </w:rPr>
        <w:t xml:space="preserve"> | rel. Celso de Mello</w:t>
      </w:r>
    </w:p>
    <w:p>
      <w:pPr>
        <w:ind w:left="288"/>
      </w:pPr>
      <w:r>
        <w:rPr>
          <w:color w:val="1E1E1E"/>
          <w:sz w:val="18"/>
        </w:rPr>
        <w:t>A norma inscrita no art. 557, § 2º, do CPC, na redação dada pela Lei 9.756/1998, especialmente quando analisada na perspectiva dos recursos manifestados perante o STF, não importa em frustração do direito de acesso ao Poder Judiciário, mesmo porque a exigência de depósito prévio tem por única finalidade coibir os excessos, os abusos e os desvios de caráter ético-jurídico nos quais incidiu o improbus litigator.</w:t>
      </w:r>
    </w:p>
    <w:p>
      <w:pPr>
        <w:ind w:left="288"/>
      </w:pPr>
      <w:r>
        <w:rPr>
          <w:b/>
          <w:color w:val="003CA0"/>
          <w:sz w:val="16"/>
        </w:rPr>
        <w:t>[AI 567.171 AgR-ED-EDv-ED, rel. min. Celso de Mello, j. 3-12-2008, P, DJE de 6-2-2009.]</w:t>
      </w:r>
    </w:p>
    <w:p>
      <w:pPr>
        <w:ind w:left="288"/>
      </w:pPr>
      <w:r>
        <w:rPr>
          <w:color w:val="8C8C8C"/>
          <w:sz w:val="12"/>
        </w:rPr>
        <w:t>cf-art-5-inc-XXXII-ali-b</w:t>
      </w:r>
      <w:r>
        <w:rPr>
          <w:color w:val="003CA0"/>
          <w:sz w:val="12"/>
        </w:rPr>
        <w:t xml:space="preserve"> | AI 775.934</w:t>
      </w:r>
      <w:r>
        <w:rPr>
          <w:color w:val="003CA0"/>
          <w:sz w:val="12"/>
        </w:rPr>
        <w:t xml:space="preserve"> | rel. Cezar Peluso</w:t>
      </w:r>
    </w:p>
    <w:p>
      <w:pPr>
        <w:ind w:left="288"/>
      </w:pPr>
      <w:r>
        <w:rPr>
          <w:color w:val="1E1E1E"/>
          <w:sz w:val="18"/>
        </w:rPr>
        <w:t>= AI 775.934 AgR-ED-ED, rel. min. Cezar Peluso, j. 10-11-2011, P, DJE de 13-12-2011 (...) de nada valeria a CF declarar com tanta pompa e circunstância o direito à razoável duração do processo (e, no caso, o direito à brevidade e excepcionalidade da internação preventiva), se a ele não correspondesse o direito estatal de julgar com presteza. Dever que é uma das vertentes da altissonante regra constitucional de que a "lei não excluirá da apreciação do Poder Judiciário lesão ou ameaça a direito" (inciso XXXV do art. 5º). Dever, enfim, que, do ângulo do indivíduo, é constitutivo da tradicional ga</w:t>
      </w:r>
    </w:p>
    <w:p>
      <w:pPr>
        <w:ind w:left="288"/>
      </w:pPr>
      <w:r>
        <w:rPr>
          <w:b/>
          <w:color w:val="003CA0"/>
          <w:sz w:val="16"/>
        </w:rPr>
        <w:t>[HC 94.000, rel. min. Ayres Britto, j. 17-6-2008, 1ª T, DJE de 13-3-2009.]</w:t>
      </w:r>
    </w:p>
    <w:p>
      <w:pPr>
        <w:ind w:left="288"/>
      </w:pPr>
      <w:r>
        <w:rPr>
          <w:color w:val="8C8C8C"/>
          <w:sz w:val="12"/>
        </w:rPr>
        <w:t>cf-art-5-inc-XXXII-ali-b</w:t>
      </w:r>
      <w:r>
        <w:rPr>
          <w:color w:val="003CA0"/>
          <w:sz w:val="12"/>
        </w:rPr>
        <w:t xml:space="preserve"> | AI 679.874</w:t>
      </w:r>
      <w:r>
        <w:rPr>
          <w:color w:val="003CA0"/>
          <w:sz w:val="12"/>
        </w:rPr>
        <w:t xml:space="preserve"> | rel. Celso de Mello</w:t>
      </w:r>
    </w:p>
    <w:p>
      <w:pPr>
        <w:ind w:left="288"/>
      </w:pPr>
      <w:r>
        <w:rPr>
          <w:color w:val="1E1E1E"/>
          <w:sz w:val="18"/>
        </w:rPr>
        <w:t>O STF firmou orientação no sentido de que as decisões, que, em sede de execução fiscal, julgam extinto o respectivo processo, por ausência do interesse de agir, revelada pela insignificância ou pela pequena expressão econômica do valor da dívida ativa em cobrança, não transgridem os postulados da igualdade (...) e da inafastabilidade do controle jurisdicional (...).</w:t>
      </w:r>
    </w:p>
    <w:p>
      <w:pPr>
        <w:ind w:left="288"/>
      </w:pPr>
      <w:r>
        <w:rPr>
          <w:b/>
          <w:color w:val="003CA0"/>
          <w:sz w:val="16"/>
        </w:rPr>
        <w:t>[AI 679.874 AgR, rel. min. Celso de Mello, j. 4-12-2007, 2ª T, DJE de 1º-2-2008.]</w:t>
      </w:r>
    </w:p>
    <w:p>
      <w:pPr>
        <w:ind w:left="288"/>
      </w:pPr>
      <w:r>
        <w:rPr>
          <w:color w:val="8C8C8C"/>
          <w:sz w:val="12"/>
        </w:rPr>
        <w:t>cf-art-5-inc-XXXII-ali-b</w:t>
      </w:r>
      <w:r>
        <w:rPr>
          <w:color w:val="003CA0"/>
          <w:sz w:val="12"/>
        </w:rPr>
        <w:t xml:space="preserve"> | RE 233.582</w:t>
      </w:r>
      <w:r>
        <w:rPr>
          <w:color w:val="003CA0"/>
          <w:sz w:val="12"/>
        </w:rPr>
        <w:t xml:space="preserve"> | rel. Marco Aurélio</w:t>
      </w:r>
    </w:p>
    <w:p>
      <w:pPr>
        <w:ind w:left="288"/>
      </w:pPr>
      <w:r>
        <w:rPr>
          <w:color w:val="1E1E1E"/>
          <w:sz w:val="18"/>
        </w:rPr>
        <w:t>O direito constitucional de petição e o princípio da legalidade não implicam a necessidade de esgotamento da via administrativa para discussão judicial da validade de crédito inscrito em dívida ativa da Fazenda Pública. É constitucional o art. 38, parágrafo único, da Lei 6.830/1980 (Lei da Execução Fiscal – LEF), que dispõe que "a propositura, pelo contribuinte, da ação prevista neste artigo (ações destinadas à discussão judicial da validade de crédito inscrito em dívida ativa) importa em renúncia ao poder de recorrer na esfera administrativa e desistência do recurso acaso interposto".</w:t>
      </w:r>
    </w:p>
    <w:p>
      <w:pPr>
        <w:ind w:left="288"/>
      </w:pPr>
      <w:r>
        <w:rPr>
          <w:b/>
          <w:color w:val="003CA0"/>
          <w:sz w:val="16"/>
        </w:rPr>
        <w:t>[RE 233.582, rel. min. Marco Aurélio, red. do ac. min. Joaquim Barbosa, j. 16-8-2007, P, DJE de 16-5-2008.]</w:t>
      </w:r>
    </w:p>
    <w:p>
      <w:pPr>
        <w:ind w:left="288"/>
      </w:pPr>
      <w:r>
        <w:rPr>
          <w:color w:val="8C8C8C"/>
          <w:sz w:val="12"/>
        </w:rPr>
        <w:t>cf-art-5-inc-XXXII-ali-b</w:t>
      </w:r>
      <w:r>
        <w:rPr>
          <w:color w:val="003CA0"/>
          <w:sz w:val="12"/>
        </w:rPr>
        <w:t xml:space="preserve"> | RE 469.600</w:t>
      </w:r>
      <w:r>
        <w:rPr>
          <w:color w:val="003CA0"/>
          <w:sz w:val="12"/>
        </w:rPr>
        <w:t xml:space="preserve"> | rel. Cármen Lúcia</w:t>
      </w:r>
    </w:p>
    <w:p>
      <w:pPr>
        <w:ind w:left="288"/>
      </w:pPr>
      <w:r>
        <w:rPr>
          <w:color w:val="1E1E1E"/>
          <w:sz w:val="18"/>
        </w:rPr>
        <w:t>= RE 469.600 AgR, rel. min. Cármen Lúcia, j. 8-2-2011, 1ª T, DJE de 3-3-2011 São insuscetíveis de apreciação quaisquer petições recursais que veiculem consulta dirigida aos órgãos do Poder Judiciário, eis que postulações dessa natureza refogem ao domínio de atuação institucional dos tribunais e revelam-se incompatíveis com a própria essência da atividade jurisdicional.</w:t>
      </w:r>
    </w:p>
    <w:p>
      <w:pPr>
        <w:ind w:left="288"/>
      </w:pPr>
      <w:r>
        <w:rPr>
          <w:b/>
          <w:color w:val="003CA0"/>
          <w:sz w:val="16"/>
        </w:rPr>
        <w:t>[RE 434.640 ED, rel. min. Celso de Mello, j. 6-12-2005, 2ª T, DJ de 9-6-2006.]</w:t>
      </w:r>
    </w:p>
    <w:p>
      <w:pPr>
        <w:ind w:left="288"/>
      </w:pPr>
      <w:r>
        <w:rPr>
          <w:color w:val="8C8C8C"/>
          <w:sz w:val="12"/>
        </w:rPr>
        <w:t>cf-art-5-inc-XXXII-ali-b</w:t>
      </w:r>
      <w:r>
        <w:rPr>
          <w:color w:val="003CA0"/>
          <w:sz w:val="12"/>
        </w:rPr>
        <w:t xml:space="preserve"> | RE 569.019</w:t>
      </w:r>
      <w:r>
        <w:rPr>
          <w:color w:val="003CA0"/>
          <w:sz w:val="12"/>
        </w:rPr>
        <w:t xml:space="preserve"> | rel. Cármen Lúcia</w:t>
      </w:r>
    </w:p>
    <w:p>
      <w:pPr>
        <w:ind w:left="288"/>
      </w:pPr>
      <w:r>
        <w:rPr>
          <w:color w:val="1E1E1E"/>
          <w:sz w:val="18"/>
        </w:rPr>
        <w:t>= RE 569.019 ED, rel. min. Cármen Lúcia, j. 24-8-2010, 1ª T, DJE de 1º-10-2010 Os atos administrativos que envolvem a aplicação de "conceitos indeterminados" estão sujeitos ao exame e controle do Poder Judiciário. O controle jurisdicional pode e deve incidir sobre os elementos do ato, à luz dos princípios que regem a atuação da administração.</w:t>
      </w:r>
    </w:p>
    <w:p>
      <w:pPr>
        <w:ind w:left="288"/>
      </w:pPr>
      <w:r>
        <w:rPr>
          <w:b/>
          <w:color w:val="003CA0"/>
          <w:sz w:val="16"/>
        </w:rPr>
        <w:t>[RMS 24.699, rel. min. Eros Grau, j. 30-11-2004, 1ª T, DJ de 1º-7-2005.]</w:t>
      </w:r>
    </w:p>
    <w:p>
      <w:pPr>
        <w:ind w:left="288"/>
      </w:pPr>
      <w:r>
        <w:rPr>
          <w:color w:val="8C8C8C"/>
          <w:sz w:val="12"/>
        </w:rPr>
        <w:t>cf-art-5-inc-XXXII-ali-b</w:t>
      </w:r>
      <w:r>
        <w:rPr>
          <w:color w:val="003CA0"/>
          <w:sz w:val="12"/>
        </w:rPr>
        <w:t xml:space="preserve"> | RMS 24.901</w:t>
      </w:r>
      <w:r>
        <w:rPr>
          <w:color w:val="003CA0"/>
          <w:sz w:val="12"/>
        </w:rPr>
        <w:t xml:space="preserve"> | rel. Ayres Britto</w:t>
      </w:r>
    </w:p>
    <w:p>
      <w:pPr>
        <w:ind w:left="288"/>
      </w:pPr>
      <w:r>
        <w:rPr>
          <w:color w:val="1E1E1E"/>
          <w:sz w:val="18"/>
        </w:rPr>
        <w:t>Embora o Judiciário não possa substituir-se à administração na punição do servidor, pode determinar a esta, em homenagem ao princípio da proporcionalidade, a aplicação de pena menos severa, compatível com a falta cometida e a previsão legal.</w:t>
      </w:r>
    </w:p>
    <w:p>
      <w:pPr>
        <w:ind w:left="288"/>
      </w:pPr>
      <w:r>
        <w:rPr>
          <w:b/>
          <w:color w:val="003CA0"/>
          <w:sz w:val="16"/>
        </w:rPr>
        <w:t>[RMS 24.901, rel. min. Ayres Britto, j. 26-10-2004, 1ª T, DJ de 11-2-2005.]</w:t>
      </w:r>
    </w:p>
    <w:p>
      <w:pPr>
        <w:ind w:left="288"/>
      </w:pPr>
      <w:r>
        <w:rPr>
          <w:color w:val="8C8C8C"/>
          <w:sz w:val="12"/>
        </w:rPr>
        <w:t>cf-art-5-inc-XXXII-ali-b</w:t>
      </w:r>
      <w:r>
        <w:rPr>
          <w:color w:val="003CA0"/>
          <w:sz w:val="12"/>
        </w:rPr>
        <w:t xml:space="preserve"> | rel. Sepúlveda Pertence</w:t>
      </w:r>
    </w:p>
    <w:p>
      <w:pPr>
        <w:ind w:left="288"/>
      </w:pPr>
      <w:r>
        <w:rPr>
          <w:color w:val="1E1E1E"/>
          <w:sz w:val="18"/>
        </w:rPr>
        <w:t>Lei de Arbitragem (Lei 9.307/1996): constitucionalidade, em tese, do juízo arbitral; discussão incidental da constitucionalidade de vários dos tópicos da nova lei, especialmente acerca da compatibilidade, ou não, entre a execução judicial específica para a solução de futuros conflitos da cláusula compromissória e a garantia constitucional da universalidade da jurisdição do Poder Judiciário (CF, art. 5º, XXXV). Constitucionalidade declarada pelo Plenário, considerando o Tribunal, por maioria de votos, que a manifestação de vontade da parte na cláusula compromissória, quando da celebração do con</w:t>
      </w:r>
    </w:p>
    <w:p>
      <w:pPr>
        <w:ind w:left="288"/>
      </w:pPr>
      <w:r>
        <w:rPr>
          <w:b/>
          <w:color w:val="003CA0"/>
          <w:sz w:val="16"/>
        </w:rPr>
        <w:t>[SE 5.206 AgR, rel. min. Sepúlveda Pertence, j. 12-12-2001, P, DJ de 30-4-2004.]</w:t>
      </w:r>
    </w:p>
    <w:p>
      <w:pPr>
        <w:ind w:left="288"/>
      </w:pPr>
      <w:r>
        <w:rPr>
          <w:color w:val="8C8C8C"/>
          <w:sz w:val="12"/>
        </w:rPr>
        <w:t>cf-art-5-inc-XXXII-ali-b</w:t>
      </w:r>
      <w:r>
        <w:rPr>
          <w:color w:val="003CA0"/>
          <w:sz w:val="12"/>
        </w:rPr>
        <w:t xml:space="preserve"> | RE 148.872</w:t>
      </w:r>
      <w:r>
        <w:rPr>
          <w:color w:val="003CA0"/>
          <w:sz w:val="12"/>
        </w:rPr>
        <w:t xml:space="preserve"> | rel. Moreira Alves</w:t>
      </w:r>
    </w:p>
    <w:p>
      <w:pPr>
        <w:ind w:left="288"/>
      </w:pPr>
      <w:r>
        <w:rPr>
          <w:color w:val="1E1E1E"/>
          <w:sz w:val="18"/>
        </w:rPr>
        <w:t>Execução extrajudicial. Recepção, pela Constituição de 1988, do DL 70/1966. Esta Corte, em vários precedentes (assim, a título exemplificativo, nos RE 148.872, RE 223.075 e RE 240.361), tem-se orientado no sentido de que o DL 70/1966 é compatível com a atual Constituição, não se chocando, inclusive, com o disposto nos incisos XXXV, LIV e LV do art. 5º desta, razão por que foi por ela recebido.</w:t>
      </w:r>
    </w:p>
    <w:p>
      <w:pPr>
        <w:ind w:left="288"/>
      </w:pPr>
      <w:r>
        <w:rPr>
          <w:b/>
          <w:color w:val="003CA0"/>
          <w:sz w:val="16"/>
        </w:rPr>
        <w:t>[RE 287.453, rel. min. Moreira Alves, j. 18-9-2001, 1ª T, DJ de 26-10-2001.]</w:t>
      </w:r>
    </w:p>
    <w:p>
      <w:pPr>
        <w:ind w:left="288"/>
      </w:pPr>
      <w:r>
        <w:rPr>
          <w:color w:val="8C8C8C"/>
          <w:sz w:val="12"/>
        </w:rPr>
        <w:t>cf-art-5-inc-XXXII-ali-b</w:t>
      </w:r>
      <w:r>
        <w:rPr>
          <w:color w:val="003CA0"/>
          <w:sz w:val="12"/>
        </w:rPr>
        <w:t xml:space="preserve"> | AI 663.578</w:t>
      </w:r>
      <w:r>
        <w:rPr>
          <w:color w:val="003CA0"/>
          <w:sz w:val="12"/>
        </w:rPr>
        <w:t xml:space="preserve"> | rel. Ellen Gracie</w:t>
      </w:r>
    </w:p>
    <w:p>
      <w:pPr>
        <w:ind w:left="288"/>
      </w:pPr>
      <w:r>
        <w:rPr>
          <w:color w:val="1E1E1E"/>
          <w:sz w:val="18"/>
        </w:rPr>
        <w:t>= AI 663.578 AgR, rel. min. Ellen Gracie, j. 4-8-2009, 2ª T, DJE de 28-8-2009 O acórdão recorrido, em última análise, decidiu que a avaliação do candidato, em exame psicotécnico, com base em critérios subjetivos, sem um grau mínimo de objetividade, ou em critérios não revelados, é ilegítimo por não permitir o acesso ao Poder Judiciário para a verificação de eventual lesão de direito individual pelo uso desses critérios. Ora, esta Corte, em casos análogos, tem entendido que o exame psicotécnico ofende o disposto nos arts. 5º, XXXV, e 37, caput e I e II, da CF.</w:t>
      </w:r>
    </w:p>
    <w:p>
      <w:pPr>
        <w:ind w:left="288"/>
      </w:pPr>
      <w:r>
        <w:rPr>
          <w:b/>
          <w:color w:val="003CA0"/>
          <w:sz w:val="16"/>
        </w:rPr>
        <w:t>[RE 243.926, rel. min. Moreira Alves, j. 16-5-2000, 1ª T, DJ de 10-8-2000.]</w:t>
      </w:r>
    </w:p>
    <w:p>
      <w:pPr>
        <w:ind w:left="288"/>
      </w:pPr>
      <w:r>
        <w:rPr>
          <w:color w:val="8C8C8C"/>
          <w:sz w:val="12"/>
        </w:rPr>
        <w:t>cf-art-5-inc-XXXII-ali-b</w:t>
      </w:r>
      <w:r>
        <w:rPr>
          <w:color w:val="003CA0"/>
          <w:sz w:val="12"/>
        </w:rPr>
        <w:t xml:space="preserve"> | AI 711.570</w:t>
      </w:r>
      <w:r>
        <w:rPr>
          <w:color w:val="003CA0"/>
          <w:sz w:val="12"/>
        </w:rPr>
        <w:t xml:space="preserve"> | rel. Cármen Lúcia</w:t>
      </w:r>
    </w:p>
    <w:p>
      <w:pPr>
        <w:ind w:left="288"/>
      </w:pPr>
      <w:r>
        <w:rPr>
          <w:color w:val="1E1E1E"/>
          <w:sz w:val="18"/>
        </w:rPr>
        <w:t>= AI 711.570 AgR, rel. min. Cármen Lúcia, j. 3-2-2009, 1ª T, DJE de 13-3-2009 A garantia de acesso ao Judiciário não pode ser tida como certeza de que as teses serão apreciadas de acordo com a conveniência das partes.</w:t>
      </w:r>
    </w:p>
    <w:p>
      <w:pPr>
        <w:ind w:left="288"/>
      </w:pPr>
      <w:r>
        <w:rPr>
          <w:b/>
          <w:color w:val="003CA0"/>
          <w:sz w:val="16"/>
        </w:rPr>
        <w:t>[RE 113.958, rel. min. Ilmar Galvão, j. 15-10-1996, 1ª T, DJ de 7-2-1997.]</w:t>
      </w:r>
    </w:p>
    <w:p>
      <w:pPr>
        <w:ind w:left="288"/>
      </w:pPr>
      <w:r>
        <w:rPr>
          <w:color w:val="8C8C8C"/>
          <w:sz w:val="12"/>
        </w:rPr>
        <w:t>cf-art-5-inc-XXXII-ali-b</w:t>
      </w:r>
      <w:r>
        <w:rPr>
          <w:color w:val="003CA0"/>
          <w:sz w:val="12"/>
        </w:rPr>
        <w:t xml:space="preserve"> | AI 185.669</w:t>
      </w:r>
      <w:r>
        <w:rPr>
          <w:color w:val="003CA0"/>
          <w:sz w:val="12"/>
        </w:rPr>
        <w:t xml:space="preserve"> | rel. Sydney Sanches</w:t>
      </w:r>
    </w:p>
    <w:p>
      <w:pPr>
        <w:ind w:left="288"/>
      </w:pPr>
      <w:r>
        <w:rPr>
          <w:color w:val="1E1E1E"/>
          <w:sz w:val="18"/>
        </w:rPr>
        <w:t>Se, em qualquer das instâncias, ocorreu vício de julgamento, por falta de fundamentação ou de adequado exame das questões de fato e de direito, isso, se for verdade, configurará nulidade de caráter processual, mas não denegação de jurisdição, de molde a afrontar a norma constitucional focalizada (inciso XXXV do art. 5º da CF).</w:t>
      </w:r>
    </w:p>
    <w:p>
      <w:pPr>
        <w:ind w:left="288"/>
      </w:pPr>
      <w:r>
        <w:rPr>
          <w:b/>
          <w:color w:val="003CA0"/>
          <w:sz w:val="16"/>
        </w:rPr>
        <w:t>[AI 185.669 AgR, rel. min. Sydney Sanches, j. 17-9-1996, 1ª T, DJ de 29-11-1996.]</w:t>
      </w:r>
    </w:p>
    <w:p>
      <w:pPr>
        <w:ind w:left="288"/>
      </w:pPr>
      <w:r>
        <w:rPr>
          <w:color w:val="8C8C8C"/>
          <w:sz w:val="12"/>
        </w:rPr>
        <w:t>cf-art-5-inc-XXXII-ali-b</w:t>
      </w:r>
      <w:r>
        <w:rPr>
          <w:color w:val="003CA0"/>
          <w:sz w:val="12"/>
        </w:rPr>
        <w:t xml:space="preserve"> | MS 22.472</w:t>
      </w:r>
      <w:r>
        <w:rPr>
          <w:color w:val="003CA0"/>
          <w:sz w:val="12"/>
        </w:rPr>
        <w:t xml:space="preserve"> | rel. Moreira Alves</w:t>
      </w:r>
    </w:p>
    <w:p>
      <w:pPr>
        <w:ind w:left="288"/>
      </w:pPr>
      <w:r>
        <w:rPr>
          <w:color w:val="1E1E1E"/>
          <w:sz w:val="18"/>
        </w:rPr>
        <w:t>A competência excepcional conferida pelo art. 102, I, n, da CF a esta Corte não abrange hipóteses – como a presente – de paralisação total dos órgãos de primeiro e de segundo grau do Poder Judiciário de um Estado-membro (...). Diante, porém, de obstáculo dessa natureza ao exercício do direito fundamental ao acesso ao Poder Judiciário previsto no art. 5º, XXXV, da Carta Magna, determina-se ao presidente do Tribunal de Justiça do Estado de Alagoas que organize um plantão de juízes para a adoção das medidas judiciais de urgência que lhe forem requeridas, ou então, não o fazendo, chame a si a adoç</w:t>
      </w:r>
    </w:p>
    <w:p>
      <w:pPr>
        <w:ind w:left="288"/>
      </w:pPr>
      <w:r>
        <w:rPr>
          <w:b/>
          <w:color w:val="003CA0"/>
          <w:sz w:val="16"/>
        </w:rPr>
        <w:t>[MS 22.472 QO, rel. min. Moreira Alves, j. 21-3-1996, P, DJ de 23-3-2001.]</w:t>
      </w:r>
    </w:p>
    <w:p>
      <w:pPr>
        <w:ind w:left="288"/>
      </w:pPr>
      <w:r>
        <w:rPr>
          <w:color w:val="8C8C8C"/>
          <w:sz w:val="12"/>
        </w:rPr>
        <w:t>cf-art-5-inc-XXXII-ali-b</w:t>
      </w:r>
      <w:r>
        <w:rPr>
          <w:color w:val="003CA0"/>
          <w:sz w:val="12"/>
        </w:rPr>
        <w:t xml:space="preserve"> | AI 152.676</w:t>
      </w:r>
      <w:r>
        <w:rPr>
          <w:color w:val="003CA0"/>
          <w:sz w:val="12"/>
        </w:rPr>
        <w:t xml:space="preserve"> | rel. Maurício Corrêa</w:t>
      </w:r>
    </w:p>
    <w:p>
      <w:pPr>
        <w:ind w:left="288"/>
      </w:pPr>
      <w:r>
        <w:rPr>
          <w:color w:val="1E1E1E"/>
          <w:sz w:val="18"/>
        </w:rPr>
        <w:t>Os princípios constitucionais que garantem o livre acesso ao Poder Judiciário, o contraditório e a ampla defesa, não são absolutos e hão de ser exercidos, pelos jurisdicionados, por meio das normas processuais que regem a matéria, não se constituindo negativa de prestação jurisdicional e cerceamento de defesa a inadmissão de recursos quando não observados os procedimentos estatuídos nas normas instrumentais.</w:t>
      </w:r>
    </w:p>
    <w:p>
      <w:pPr>
        <w:ind w:left="288"/>
      </w:pPr>
      <w:r>
        <w:rPr>
          <w:b/>
          <w:color w:val="003CA0"/>
          <w:sz w:val="16"/>
        </w:rPr>
        <w:t>[AI 152.676 AgR, rel. min. Maurício Corrêa, j. 15-9-1995, 1ª T, DJ de 3-11-1995.]</w:t>
      </w:r>
    </w:p>
    <w:p>
      <w:pPr>
        <w:ind w:left="288"/>
      </w:pPr>
      <w:r>
        <w:rPr>
          <w:color w:val="8C8C8C"/>
          <w:sz w:val="12"/>
        </w:rPr>
        <w:t>cf-art-5-inc-XXXII-ali-b</w:t>
      </w:r>
      <w:r>
        <w:rPr>
          <w:color w:val="003CA0"/>
          <w:sz w:val="12"/>
        </w:rPr>
        <w:t xml:space="preserve"> | AO 238</w:t>
      </w:r>
      <w:r>
        <w:rPr>
          <w:color w:val="003CA0"/>
          <w:sz w:val="12"/>
        </w:rPr>
        <w:t xml:space="preserve"> | rel. Sydney Sanches</w:t>
      </w:r>
    </w:p>
    <w:p>
      <w:pPr>
        <w:ind w:left="288"/>
      </w:pPr>
      <w:r>
        <w:rPr>
          <w:color w:val="1E1E1E"/>
          <w:sz w:val="18"/>
        </w:rPr>
        <w:t>Não compete ao STF, mas, sim, ao próprio tribunal, perante o qual tem curso procedimento administrativo, de caráter disciplinar, examinar "exceção de suspeição" da maioria de seus membros, nele incidentalmente suscitada. A decisão do tribunal, a respeito dessa questão, fica sujeita ao controle jurisdicional, pela via adequada, se houver lesão ou ameaça a direito.</w:t>
      </w:r>
    </w:p>
    <w:p>
      <w:pPr>
        <w:ind w:left="288"/>
      </w:pPr>
      <w:r>
        <w:rPr>
          <w:b/>
          <w:color w:val="003CA0"/>
          <w:sz w:val="16"/>
        </w:rPr>
        <w:t>[AO 238 QO, rel. min. Sydney Sanches, j. 15-2-1995, P, DJ de 24-3-1995.]</w:t>
      </w:r>
    </w:p>
    <w:p>
      <w:pPr>
        <w:ind w:left="288"/>
      </w:pPr>
      <w:r>
        <w:rPr>
          <w:color w:val="8C8C8C"/>
          <w:sz w:val="12"/>
        </w:rPr>
        <w:t>cf-art-5-inc-XXXII-ali-b</w:t>
      </w:r>
      <w:r>
        <w:rPr>
          <w:color w:val="003CA0"/>
          <w:sz w:val="12"/>
        </w:rPr>
        <w:t xml:space="preserve"> | MS 21.689</w:t>
      </w:r>
      <w:r>
        <w:rPr>
          <w:color w:val="003CA0"/>
          <w:sz w:val="12"/>
        </w:rPr>
        <w:t xml:space="preserve"> | rel. Carlos Velloso</w:t>
      </w:r>
    </w:p>
    <w:p>
      <w:pPr>
        <w:ind w:left="288"/>
      </w:pPr>
      <w:r>
        <w:rPr>
          <w:color w:val="1E1E1E"/>
          <w:sz w:val="18"/>
        </w:rPr>
        <w:t>Controle judicial do impeachment: possibilidade, desde que se alegue lesão ou ameaça a direito.</w:t>
      </w:r>
    </w:p>
    <w:p>
      <w:pPr>
        <w:ind w:left="288"/>
      </w:pPr>
      <w:r>
        <w:rPr>
          <w:b/>
          <w:color w:val="003CA0"/>
          <w:sz w:val="16"/>
        </w:rPr>
        <w:t>[MS 21.689, rel. min. Carlos Velloso, j. 16-12-1993, P, DJ de 7-4-1995.]</w:t>
      </w:r>
    </w:p>
    <w:p>
      <w:pPr>
        <w:ind w:left="288"/>
      </w:pPr>
      <w:r>
        <w:rPr>
          <w:color w:val="8C8C8C"/>
          <w:sz w:val="12"/>
        </w:rPr>
        <w:t>cf-art-5-inc-XXXII-ali-b</w:t>
      </w:r>
      <w:r>
        <w:rPr>
          <w:color w:val="003CA0"/>
          <w:sz w:val="12"/>
        </w:rPr>
        <w:t xml:space="preserve"> | AI 153.820</w:t>
      </w:r>
      <w:r>
        <w:rPr>
          <w:color w:val="003CA0"/>
          <w:sz w:val="12"/>
        </w:rPr>
        <w:t xml:space="preserve"> | rel. Marco Aurélio</w:t>
      </w:r>
    </w:p>
    <w:p>
      <w:pPr>
        <w:ind w:left="288"/>
      </w:pPr>
      <w:r>
        <w:rPr>
          <w:color w:val="1E1E1E"/>
          <w:sz w:val="18"/>
        </w:rPr>
        <w:t>Longe fica de transgredir os princípios consagrados nos incisos XXXV e LV do art. 5º da CF decisão que a partir da natureza interlocutória do acórdão proferido indica a irrecorribilidade, fazendo-o com base no art. 893, § 1º, da CLT, e sinalizando no sentido de a parte aguardar o julgamento em si da lide para então recorrer na via da revista.</w:t>
      </w:r>
    </w:p>
    <w:p>
      <w:pPr>
        <w:ind w:left="288"/>
      </w:pPr>
      <w:r>
        <w:rPr>
          <w:b/>
          <w:color w:val="003CA0"/>
          <w:sz w:val="16"/>
        </w:rPr>
        <w:t>[AI 153.820 AgR, rel. min. Marco Aurélio, j. 25-10-1993, 2ª T, DJ de 18-3-1994.]</w:t>
      </w:r>
    </w:p>
    <w:p>
      <w:pPr>
        <w:ind w:left="288"/>
      </w:pPr>
      <w:r>
        <w:rPr>
          <w:color w:val="8C8C8C"/>
          <w:sz w:val="12"/>
        </w:rPr>
        <w:t>cf-art-5-inc-XXXII-ali-b</w:t>
      </w:r>
      <w:r>
        <w:rPr>
          <w:color w:val="003CA0"/>
          <w:sz w:val="12"/>
        </w:rPr>
        <w:t xml:space="preserve"> | RE 125.556</w:t>
      </w:r>
      <w:r>
        <w:rPr>
          <w:color w:val="003CA0"/>
          <w:sz w:val="12"/>
        </w:rPr>
        <w:t xml:space="preserve"> | rel. Carlos Velloso</w:t>
      </w:r>
    </w:p>
    <w:p>
      <w:pPr>
        <w:ind w:left="288"/>
      </w:pPr>
      <w:r>
        <w:rPr>
          <w:color w:val="1E1E1E"/>
          <w:sz w:val="18"/>
        </w:rPr>
        <w:t>Exame e avaliação de candidato com base em critérios subjetivos, como, por exemplo, a verificação sigilosa sobre a conduta, pública e privada, do candidato, excluindo-o do concurso sem que sejam fornecidos os motivos. Ilegitimidade do ato, que atenta contra o princípio da inafastabilidade do conhecimento do Poder Judiciário de lesão ou ameaça a direito. É que, se a lesão é praticada com base em critérios subjetivos, ou em critérios não revelados, fica o Judiciário impossibilitado de prestar a tutela jurisdicional, porque não terá como verificar o acerto ou o desacerto de tais critérios. Por vi</w:t>
      </w:r>
    </w:p>
    <w:p>
      <w:pPr>
        <w:ind w:left="288"/>
      </w:pPr>
      <w:r>
        <w:rPr>
          <w:b/>
          <w:color w:val="003CA0"/>
          <w:sz w:val="16"/>
        </w:rPr>
        <w:t>[RE 125.556, rel. min. Carlos Velloso, j. 27-3-1992, P, DJ de 15-5-1992.]</w:t>
      </w:r>
    </w:p>
    <w:p>
      <w:pPr>
        <w:ind w:left="288"/>
      </w:pPr>
      <w:r>
        <w:rPr>
          <w:color w:val="8C8C8C"/>
          <w:sz w:val="12"/>
        </w:rPr>
        <w:t>cf-art-5-inc-XXXII-ali-b</w:t>
      </w:r>
      <w:r>
        <w:rPr>
          <w:color w:val="003CA0"/>
          <w:sz w:val="12"/>
        </w:rPr>
        <w:t xml:space="preserve"> | AI 179.583</w:t>
      </w:r>
      <w:r>
        <w:rPr>
          <w:color w:val="003CA0"/>
          <w:sz w:val="12"/>
        </w:rPr>
        <w:t xml:space="preserve"> | rel. Maurício Corrêa</w:t>
      </w:r>
    </w:p>
    <w:p>
      <w:pPr>
        <w:ind w:left="288"/>
      </w:pPr>
      <w:r>
        <w:rPr>
          <w:color w:val="1E1E1E"/>
          <w:sz w:val="18"/>
        </w:rPr>
        <w:t>= AI 179.583 AgR, rel. min. Maurício Corrêa, j. 15-4-1996, 2ª T, DJ de 1º-7-1996 Não há confundir negativa de prestação jurisdicional com decisão jurisdicional contrária à pretensão da parte.</w:t>
      </w:r>
    </w:p>
    <w:p>
      <w:pPr>
        <w:ind w:left="288"/>
      </w:pPr>
      <w:r>
        <w:rPr>
          <w:b/>
          <w:color w:val="003CA0"/>
          <w:sz w:val="16"/>
        </w:rPr>
        <w:t>[AI 135.850 AgR, rel. min. Carlos Velloso, j. 23-4-1991, 2ª T, DJ de 24-5-1991.]</w:t>
      </w:r>
    </w:p>
    <w:p>
      <w:pPr>
        <w:ind w:left="288"/>
      </w:pPr>
      <w:r>
        <w:rPr>
          <w:color w:val="8C8C8C"/>
          <w:sz w:val="12"/>
        </w:rPr>
        <w:t>cf-art-5-inc-XXXII-ali-b</w:t>
      </w:r>
      <w:r>
        <w:rPr>
          <w:color w:val="003CA0"/>
          <w:sz w:val="12"/>
        </w:rPr>
        <w:t xml:space="preserve"> | AI 811.144</w:t>
      </w:r>
      <w:r>
        <w:rPr>
          <w:color w:val="003CA0"/>
          <w:sz w:val="12"/>
        </w:rPr>
        <w:t xml:space="preserve"> | rel. Rosa Weber</w:t>
      </w:r>
    </w:p>
    <w:p>
      <w:pPr>
        <w:ind w:left="288"/>
      </w:pPr>
      <w:r>
        <w:rPr>
          <w:color w:val="1E1E1E"/>
          <w:sz w:val="18"/>
        </w:rPr>
        <w:t>= AI 811.144 AgR, rel. min. Rosa Weber, j. 28-2-2012, 1ª T, DJE de 15-3-2012 Conhecer de um recurso por outro, ainda que ocorra erronia, pode configurar violação de norma processual infraconstitucional, e não ofensa ao princípio constitucional de que "a lei não excluirá da apreciação do Poder Judiciário lesão ou ameaça a direito" (...).</w:t>
      </w:r>
    </w:p>
    <w:p>
      <w:pPr>
        <w:ind w:left="288"/>
      </w:pPr>
      <w:r>
        <w:rPr>
          <w:b/>
          <w:color w:val="003CA0"/>
          <w:sz w:val="16"/>
        </w:rPr>
        <w:t>[AI 134.000 AgR, rel. min. Moreira Alves, j. 12-3-1991, 1ª T, DJ de 3-5-1991.]</w:t>
      </w:r>
    </w:p>
    <w:p>
      <w:pPr>
        <w:ind w:left="288"/>
      </w:pPr>
      <w:r>
        <w:rPr>
          <w:color w:val="8C8C8C"/>
          <w:sz w:val="12"/>
        </w:rPr>
        <w:t>cf-art-5-inc-XXXII-ali-b</w:t>
      </w:r>
    </w:p>
    <w:p>
      <w:pPr>
        <w:ind w:left="288"/>
      </w:pPr>
      <w:r>
        <w:rPr>
          <w:color w:val="1E1E1E"/>
          <w:sz w:val="18"/>
        </w:rPr>
        <w:t>XXXVI - a lei não prejudicará o direito adquirido, o ato jurídico perfeito e a coisa julgada; A homologação da transação penal prevista no art. 76 da Lei 9.099/1995 não faz coisa julgada material e, descumpridas suas cláusulas, retoma-se a situação anterior, possibilitando-se ao Ministério Público a continuidade da persecução penal mediante oferecimento de denúncia ou requisição de inquérito policial.</w:t>
      </w:r>
    </w:p>
    <w:p>
      <w:pPr>
        <w:ind w:left="288"/>
      </w:pPr>
      <w:r>
        <w:rPr>
          <w:b/>
          <w:color w:val="003CA0"/>
          <w:sz w:val="16"/>
        </w:rPr>
        <w:t>[Súmula Vinculante 35.]</w:t>
      </w:r>
    </w:p>
    <w:p>
      <w:pPr>
        <w:ind w:left="288"/>
      </w:pPr>
      <w:r>
        <w:rPr>
          <w:color w:val="8C8C8C"/>
          <w:sz w:val="12"/>
        </w:rPr>
        <w:t>cf-art-5-inc-XXXII-ali-b</w:t>
      </w:r>
    </w:p>
    <w:p>
      <w:pPr>
        <w:ind w:left="288"/>
      </w:pPr>
      <w:r>
        <w:rPr>
          <w:color w:val="1E1E1E"/>
          <w:sz w:val="18"/>
        </w:rPr>
        <w:t>Ofende a garantia constitucional do ato jurídico perfeito a decisão que, sem ponderar as circunstâncias do caso concreto, desconsidera a validez e a eficácia de acordo constante de termo de adesão instituído pela LC 110/2001.</w:t>
      </w:r>
    </w:p>
    <w:p>
      <w:pPr>
        <w:ind w:left="288"/>
      </w:pPr>
      <w:r>
        <w:rPr>
          <w:b/>
          <w:color w:val="003CA0"/>
          <w:sz w:val="16"/>
        </w:rPr>
        <w:t>[Súmula Vinculante 1.]</w:t>
      </w:r>
    </w:p>
    <w:p>
      <w:pPr>
        <w:ind w:left="288"/>
      </w:pPr>
      <w:r>
        <w:rPr>
          <w:color w:val="8C8C8C"/>
          <w:sz w:val="12"/>
        </w:rPr>
        <w:t>cf-art-5-inc-XXXII-ali-b</w:t>
      </w:r>
    </w:p>
    <w:p>
      <w:pPr>
        <w:ind w:left="288"/>
      </w:pPr>
      <w:r>
        <w:rPr>
          <w:color w:val="1E1E1E"/>
          <w:sz w:val="18"/>
        </w:rPr>
        <w:t>É constitucional o § 2º do art. 6º da Lei 8.024/1990, resultante da conversão da MP 168/1990, que fixou o BTN fiscal como índice de correção monetária aplicável aos depósitos bloqueados pelo Plano Collor I.</w:t>
      </w:r>
    </w:p>
    <w:p>
      <w:pPr>
        <w:ind w:left="288"/>
      </w:pPr>
      <w:r>
        <w:rPr>
          <w:b/>
          <w:color w:val="003CA0"/>
          <w:sz w:val="16"/>
        </w:rPr>
        <w:t>[Súmula 725.]</w:t>
      </w:r>
    </w:p>
    <w:p>
      <w:pPr>
        <w:ind w:left="288"/>
      </w:pPr>
      <w:r>
        <w:rPr>
          <w:color w:val="8C8C8C"/>
          <w:sz w:val="12"/>
        </w:rPr>
        <w:t>cf-art-5-inc-XXXII-ali-b</w:t>
      </w:r>
    </w:p>
    <w:p>
      <w:pPr>
        <w:ind w:left="288"/>
      </w:pPr>
      <w:r>
        <w:rPr>
          <w:color w:val="1E1E1E"/>
          <w:sz w:val="18"/>
        </w:rPr>
        <w:t>São inconstitucionais os incisos I e III do art. 7º da Lei 8.162/1991, que afastam, para efeito de anuênio e de licença-prêmio, a contagem do tempo de serviço regido pela CLT dos servidores que passaram a submeter-se ao regime jurídico único.</w:t>
      </w:r>
    </w:p>
    <w:p>
      <w:pPr>
        <w:ind w:left="288"/>
      </w:pPr>
      <w:r>
        <w:rPr>
          <w:b/>
          <w:color w:val="003CA0"/>
          <w:sz w:val="16"/>
        </w:rPr>
        <w:t>[Súmula 678.]</w:t>
      </w:r>
    </w:p>
    <w:p>
      <w:pPr>
        <w:ind w:left="288"/>
      </w:pPr>
      <w:r>
        <w:rPr>
          <w:color w:val="8C8C8C"/>
          <w:sz w:val="12"/>
        </w:rPr>
        <w:t>cf-art-5-inc-XXXII-ali-b</w:t>
      </w:r>
    </w:p>
    <w:p>
      <w:pPr>
        <w:ind w:left="288"/>
      </w:pPr>
      <w:r>
        <w:rPr>
          <w:color w:val="1E1E1E"/>
          <w:sz w:val="18"/>
        </w:rPr>
        <w:t>A garantia da irretroatividade da lei, prevista no art. 5º, XXXVI, da CF, não é invocável pela entidade estatal que a tenha editado.</w:t>
      </w:r>
    </w:p>
    <w:p>
      <w:pPr>
        <w:ind w:left="288"/>
      </w:pPr>
      <w:r>
        <w:rPr>
          <w:b/>
          <w:color w:val="003CA0"/>
          <w:sz w:val="16"/>
        </w:rPr>
        <w:t>[Súmula 654.]</w:t>
      </w:r>
    </w:p>
    <w:p>
      <w:pPr>
        <w:ind w:left="288"/>
      </w:pPr>
      <w:r>
        <w:rPr>
          <w:color w:val="8C8C8C"/>
          <w:sz w:val="12"/>
        </w:rPr>
        <w:t>cf-art-5-inc-XXXII-ali-b</w:t>
      </w:r>
    </w:p>
    <w:p>
      <w:pPr>
        <w:ind w:left="288"/>
      </w:pPr>
      <w:r>
        <w:rPr>
          <w:color w:val="1E1E1E"/>
          <w:sz w:val="18"/>
        </w:rPr>
        <w:t>Arquivado o inquérito policial, por despacho do juiz, a requerimento do promotor de justiça, não pode a ação penal ser iniciada, sem novas provas.</w:t>
      </w:r>
    </w:p>
    <w:p>
      <w:pPr>
        <w:ind w:left="288"/>
      </w:pPr>
      <w:r>
        <w:rPr>
          <w:b/>
          <w:color w:val="003CA0"/>
          <w:sz w:val="16"/>
        </w:rPr>
        <w:t>[Súmula 524.]</w:t>
      </w:r>
    </w:p>
    <w:p>
      <w:pPr>
        <w:ind w:left="288"/>
      </w:pPr>
      <w:r>
        <w:rPr>
          <w:color w:val="8C8C8C"/>
          <w:sz w:val="12"/>
        </w:rPr>
        <w:t>cf-art-5-inc-XXXII-ali-b</w:t>
      </w:r>
    </w:p>
    <w:p>
      <w:pPr>
        <w:ind w:left="288"/>
      </w:pPr>
      <w:r>
        <w:rPr>
          <w:color w:val="1E1E1E"/>
          <w:sz w:val="18"/>
        </w:rPr>
        <w:t>A prescrição das prestações anteriores ao período previsto em lei não ocorre, quando não tiver sido negado, antes daquele prazo, o próprio direito reclamado, ou a situação jurídica de que ele resulta.</w:t>
      </w:r>
    </w:p>
    <w:p>
      <w:pPr>
        <w:ind w:left="288"/>
      </w:pPr>
      <w:r>
        <w:rPr>
          <w:b/>
          <w:color w:val="003CA0"/>
          <w:sz w:val="16"/>
        </w:rPr>
        <w:t>[Súmula 443.]</w:t>
      </w:r>
    </w:p>
    <w:p>
      <w:pPr>
        <w:ind w:left="288"/>
      </w:pPr>
      <w:r>
        <w:rPr>
          <w:color w:val="8C8C8C"/>
          <w:sz w:val="12"/>
        </w:rPr>
        <w:t>cf-art-5-inc-XXXII-ali-b</w:t>
      </w:r>
    </w:p>
    <w:p>
      <w:pPr>
        <w:ind w:left="288"/>
      </w:pPr>
      <w:r>
        <w:rPr>
          <w:color w:val="1E1E1E"/>
          <w:sz w:val="18"/>
        </w:rPr>
        <w:t>Não cabe ação rescisória por ofensa a literal disposição de lei, quando a decisão rescindenda se tiver baseado em texto legal de interpretação controvertida nos tribunais.</w:t>
      </w:r>
    </w:p>
    <w:p>
      <w:pPr>
        <w:ind w:left="288"/>
      </w:pPr>
      <w:r>
        <w:rPr>
          <w:b/>
          <w:color w:val="003CA0"/>
          <w:sz w:val="16"/>
        </w:rPr>
        <w:t>[Súmula 343.]</w:t>
      </w:r>
    </w:p>
    <w:p>
      <w:pPr>
        <w:ind w:left="288"/>
      </w:pPr>
      <w:r>
        <w:rPr>
          <w:color w:val="8C8C8C"/>
          <w:sz w:val="12"/>
        </w:rPr>
        <w:t>cf-art-5-inc-XXXII-ali-b</w:t>
      </w:r>
    </w:p>
    <w:p>
      <w:pPr>
        <w:ind w:left="288"/>
      </w:pPr>
      <w:r>
        <w:rPr>
          <w:color w:val="1E1E1E"/>
          <w:sz w:val="18"/>
        </w:rPr>
        <w:t>Decisão que declara indevida a cobrança do imposto em determinado exercício não faz coisa julgada em relação aos posteriores.</w:t>
      </w:r>
    </w:p>
    <w:p>
      <w:pPr>
        <w:ind w:left="288"/>
      </w:pPr>
      <w:r>
        <w:rPr>
          <w:b/>
          <w:color w:val="003CA0"/>
          <w:sz w:val="16"/>
        </w:rPr>
        <w:t>[Súmula 239.]</w:t>
      </w:r>
    </w:p>
    <w:p>
      <w:pPr>
        <w:ind w:left="288"/>
      </w:pPr>
      <w:r>
        <w:rPr>
          <w:color w:val="8C8C8C"/>
          <w:sz w:val="12"/>
        </w:rPr>
        <w:t>cf-art-5-inc-XXXII-ali-b</w:t>
      </w:r>
      <w:r>
        <w:rPr>
          <w:color w:val="003CA0"/>
          <w:sz w:val="12"/>
        </w:rPr>
        <w:t xml:space="preserve"> | ADPF 615</w:t>
      </w:r>
      <w:r>
        <w:rPr>
          <w:color w:val="003CA0"/>
          <w:sz w:val="12"/>
        </w:rPr>
        <w:t xml:space="preserve"> | rel. Luís Roberto Barroso</w:t>
      </w:r>
    </w:p>
    <w:p>
      <w:pPr>
        <w:ind w:left="288"/>
      </w:pPr>
      <w:r>
        <w:rPr>
          <w:color w:val="1E1E1E"/>
          <w:sz w:val="18"/>
        </w:rPr>
        <w:t>“1. É possível aplicar o artigo 741, parágrafo único, do CPC/1973, atual art. 535, § 5º, do CPC/2015, aos feitos submetidos ao procedimento sumaríssimo, desde que o trânsito em julgado da fase de conhecimento seja posterior a 27.08.2001; 2. É admissível a invocação como fundamento da inexigibilidade de ser o título judicial fundado em aplicação ou interpretação tida como incompatível com a Constituição quando houver pronunciamento jurisdicional, contrário ao decidido pelo Plenário do Supremo Tribunal Federal, seja no controle difuso, seja no controle concentrado de constitucionalidade; 3. O ar</w:t>
      </w:r>
    </w:p>
    <w:p>
      <w:pPr>
        <w:ind w:left="288"/>
      </w:pPr>
      <w:r>
        <w:rPr>
          <w:b/>
          <w:color w:val="003CA0"/>
          <w:sz w:val="16"/>
        </w:rPr>
        <w:t>[ADPF 615, rel. min. Luís Roberto Barroso, red. do ac. min. Alexandre de Moraes, j. 14-11-2025, P, Informativo STF 1.199.]</w:t>
      </w:r>
    </w:p>
    <w:p>
      <w:pPr>
        <w:ind w:left="288"/>
      </w:pPr>
      <w:r>
        <w:rPr>
          <w:color w:val="8C8C8C"/>
          <w:sz w:val="12"/>
        </w:rPr>
        <w:t>cf-art-5-inc-XXXII-ali-b</w:t>
      </w:r>
      <w:r>
        <w:rPr>
          <w:color w:val="003CA0"/>
          <w:sz w:val="12"/>
        </w:rPr>
        <w:t xml:space="preserve"> | ADI 5.319</w:t>
      </w:r>
      <w:r>
        <w:rPr>
          <w:color w:val="003CA0"/>
          <w:sz w:val="12"/>
        </w:rPr>
        <w:t xml:space="preserve"> | rel. Nunes Marques</w:t>
      </w:r>
    </w:p>
    <w:p>
      <w:pPr>
        <w:ind w:left="288"/>
      </w:pPr>
      <w:r>
        <w:rPr>
          <w:color w:val="1E1E1E"/>
          <w:sz w:val="18"/>
        </w:rPr>
        <w:t>A imunidade tributária outorgada pelo art. 195, § 7º, da Constituição Federal às entidades beneficentes de assistência social é condicionada ao atendimento das exigências estabelecidas em lei. A relação jurídica entre Administração Pública e entidade beneficente é de trato sucessivo, considerada a evolução constante da sociedade, impondo, assim, fiscalização durante toda a vigência do Cebas. A jurisprudência do STF consolidou-se pela inexistência de direito adquirido a regime jurídico relativo a imunidade tributária, de modo que a concessão do Cebas não dispensa a instituição do atendimento de</w:t>
      </w:r>
    </w:p>
    <w:p>
      <w:pPr>
        <w:ind w:left="288"/>
      </w:pPr>
      <w:r>
        <w:rPr>
          <w:b/>
          <w:color w:val="003CA0"/>
          <w:sz w:val="16"/>
        </w:rPr>
        <w:t>[ADI 5.319, rel. min. Nunes Marques, j. 27-10-2025, P, DJE de 11-2-2026.]</w:t>
      </w:r>
    </w:p>
    <w:p>
      <w:pPr>
        <w:ind w:left="288"/>
      </w:pPr>
      <w:r>
        <w:rPr>
          <w:color w:val="8C8C8C"/>
          <w:sz w:val="12"/>
        </w:rPr>
        <w:t>cf-art-5-inc-XXXII-ali-b</w:t>
      </w:r>
      <w:r>
        <w:rPr>
          <w:color w:val="003CA0"/>
          <w:sz w:val="12"/>
        </w:rPr>
        <w:t xml:space="preserve"> | ADI 2.527</w:t>
      </w:r>
      <w:r>
        <w:rPr>
          <w:color w:val="003CA0"/>
          <w:sz w:val="12"/>
        </w:rPr>
        <w:t xml:space="preserve"> | rel. Cármen Lúcia</w:t>
      </w:r>
    </w:p>
    <w:p>
      <w:pPr>
        <w:ind w:left="288"/>
      </w:pPr>
      <w:r>
        <w:rPr>
          <w:color w:val="1E1E1E"/>
          <w:sz w:val="18"/>
        </w:rPr>
        <w:t>Ausência de revogação do caput do art. 896-A, incluído pela Medida Provisória n. 2.226/2011 na Consolidação das Leis do Trabalho. (...) Editada a Medida Provisória n. 2.226, de 4.9.2001, antes da Emenda Constitucional n. 32, de 11.9.2001, e não tendo sido revogada por medida provisória posterior nem por deliberação definitiva do Congresso Nacional, a norma instituída no art. 1º da Medida Provisória n. 2.226/2001 não perdeu validade. (...) Para a solução da controvérsia, há de considerarem o decurso de mais de vinte e quatro anos desde a entrada em vigor da Medida Provisória n. 2.226, de 4.9.20</w:t>
      </w:r>
    </w:p>
    <w:p>
      <w:pPr>
        <w:ind w:left="288"/>
      </w:pPr>
      <w:r>
        <w:rPr>
          <w:b/>
          <w:color w:val="003CA0"/>
          <w:sz w:val="16"/>
        </w:rPr>
        <w:t>[ADI 2.527, rel. min. Cármen Lúcia, j. 09.10.2025, P, DJE de 16.12.2025.]</w:t>
      </w:r>
    </w:p>
    <w:p>
      <w:pPr>
        <w:ind w:left="288"/>
      </w:pPr>
      <w:r>
        <w:rPr>
          <w:color w:val="8C8C8C"/>
          <w:sz w:val="12"/>
        </w:rPr>
        <w:t>cf-art-5-inc-XXXII-ali-b</w:t>
      </w:r>
      <w:r>
        <w:rPr>
          <w:color w:val="003CA0"/>
          <w:sz w:val="12"/>
        </w:rPr>
        <w:t xml:space="preserve"> | ADPF 1.060</w:t>
      </w:r>
      <w:r>
        <w:rPr>
          <w:color w:val="003CA0"/>
          <w:sz w:val="12"/>
        </w:rPr>
        <w:t xml:space="preserve"> | rel. Dias Toffoli</w:t>
      </w:r>
    </w:p>
    <w:p>
      <w:pPr>
        <w:ind w:left="288"/>
      </w:pPr>
      <w:r>
        <w:rPr>
          <w:color w:val="1E1E1E"/>
          <w:sz w:val="18"/>
        </w:rPr>
        <w:t>“Prescrevem em 5 anos, a contar da publicação da ata de julgamento da presente ação, as pretensões de indenização propostas contra a União por filhos de pessoas atingidas pela hanseníase cujo fundamento seja o afastamento forçado promovido pelo Estado entre eles e seus pais, sem prejuízo da necessária demonstração, em cada caso, dos pressupostos da responsabilização civil do Estado”</w:t>
      </w:r>
    </w:p>
    <w:p>
      <w:pPr>
        <w:ind w:left="288"/>
      </w:pPr>
      <w:r>
        <w:rPr>
          <w:b/>
          <w:color w:val="003CA0"/>
          <w:sz w:val="16"/>
        </w:rPr>
        <w:t>[ADPF 1.060, rel. min. Dias Toffoli, j. 26.09.2025, P, Informativo STF 1.192.]</w:t>
      </w:r>
    </w:p>
    <w:p>
      <w:pPr>
        <w:ind w:left="288"/>
      </w:pPr>
      <w:r>
        <w:rPr>
          <w:color w:val="8C8C8C"/>
          <w:sz w:val="12"/>
        </w:rPr>
        <w:t>cf-art-5-inc-XXXII-ali-b</w:t>
      </w:r>
      <w:r>
        <w:rPr>
          <w:color w:val="003CA0"/>
          <w:sz w:val="12"/>
        </w:rPr>
        <w:t xml:space="preserve"> | ADI 2.111</w:t>
      </w:r>
      <w:r>
        <w:rPr>
          <w:color w:val="003CA0"/>
          <w:sz w:val="12"/>
        </w:rPr>
        <w:t xml:space="preserve"> | rel. Nunes Marques</w:t>
      </w:r>
    </w:p>
    <w:p>
      <w:pPr>
        <w:ind w:left="288"/>
      </w:pPr>
      <w:r>
        <w:rPr>
          <w:color w:val="1E1E1E"/>
          <w:sz w:val="18"/>
        </w:rPr>
        <w:t>Cumpre conhecer dos aclaratórios e acolhê-los parcialmente, apenas para assentar, na parte dispositiva do acórdão: (i) a irrepetibilidade dos valores percebidos a maior pelos segurados e pensionistas do INSS em virtude de decisões judiciais, definitivas ou provisórias, prolatadas até a data de 5.4.2024; (ii) a inexigibilidade de honorários advocatícios de sucumbência, custas e perícias contábeis dos postulantes de ações judiciais lastreadas na tese jurídica denominada “Revisão da Vida Toda”.</w:t>
      </w:r>
    </w:p>
    <w:p>
      <w:pPr>
        <w:ind w:left="288"/>
      </w:pPr>
      <w:r>
        <w:rPr>
          <w:b/>
          <w:color w:val="003CA0"/>
          <w:sz w:val="16"/>
        </w:rPr>
        <w:t>[ADI 2.111 ED-ED, rel. min. Nunes Marques, j. 10.04.2025, P, DJE de 12.06.2025.]</w:t>
      </w:r>
    </w:p>
    <w:p>
      <w:pPr>
        <w:ind w:left="288"/>
      </w:pPr>
      <w:r>
        <w:rPr>
          <w:color w:val="8C8C8C"/>
          <w:sz w:val="12"/>
        </w:rPr>
        <w:t>cf-art-5-inc-XXXII-ali-b</w:t>
      </w:r>
      <w:r>
        <w:rPr>
          <w:color w:val="003CA0"/>
          <w:sz w:val="12"/>
        </w:rPr>
        <w:t xml:space="preserve"> | ADI 5.340</w:t>
      </w:r>
      <w:r>
        <w:rPr>
          <w:color w:val="003CA0"/>
          <w:sz w:val="12"/>
        </w:rPr>
        <w:t xml:space="preserve"> | rel. Dias Toffoli</w:t>
      </w:r>
    </w:p>
    <w:p>
      <w:pPr>
        <w:ind w:left="288"/>
      </w:pPr>
      <w:r>
        <w:rPr>
          <w:color w:val="1E1E1E"/>
          <w:sz w:val="18"/>
        </w:rPr>
        <w:t>“A Lei nº 13.134/15, relativamente aos prazos de carência do seguro-desemprego, não importou em violação do princípio da proibição do retrocesso social nem do princípio da segurança jurídica”.</w:t>
      </w:r>
    </w:p>
    <w:p>
      <w:pPr>
        <w:ind w:left="288"/>
      </w:pPr>
      <w:r>
        <w:rPr>
          <w:b/>
          <w:color w:val="003CA0"/>
          <w:sz w:val="16"/>
        </w:rPr>
        <w:t>[ADI 5.340, rel. min. Dias Toffoli, j. 21.10.2024, P, DJE de 05.11.2024.]</w:t>
      </w:r>
    </w:p>
    <w:p>
      <w:pPr>
        <w:ind w:left="288"/>
      </w:pPr>
      <w:r>
        <w:rPr>
          <w:color w:val="8C8C8C"/>
          <w:sz w:val="12"/>
        </w:rPr>
        <w:t>cf-art-5-inc-XXXII-ali-b</w:t>
      </w:r>
      <w:r>
        <w:rPr>
          <w:color w:val="003CA0"/>
          <w:sz w:val="12"/>
        </w:rPr>
        <w:t xml:space="preserve"> | ADI 7.226</w:t>
      </w:r>
      <w:r>
        <w:rPr>
          <w:color w:val="003CA0"/>
          <w:sz w:val="12"/>
        </w:rPr>
        <w:t xml:space="preserve"> | rel. Dias Toffoli</w:t>
      </w:r>
    </w:p>
    <w:p>
      <w:pPr>
        <w:ind w:left="288"/>
      </w:pPr>
      <w:r>
        <w:rPr>
          <w:color w:val="1E1E1E"/>
          <w:sz w:val="18"/>
        </w:rPr>
        <w:t>“É constitucional a adoção de critérios diferenciados para a obtenção das progressões verticais e horizontais nas carreiras dos delegados e policiais civis dos estados a depender da data de ingresso no cargo, porquanto os princípios da segurança jurídica e da proteção ao direito adquirido não garantem aos servidores potencialmente afetados por alterações legislativas o direito à manutenção do regime jurídico anterior”.</w:t>
      </w:r>
    </w:p>
    <w:p>
      <w:pPr>
        <w:ind w:left="288"/>
      </w:pPr>
      <w:r>
        <w:rPr>
          <w:b/>
          <w:color w:val="003CA0"/>
          <w:sz w:val="16"/>
        </w:rPr>
        <w:t>[ADI 7.226, rel. min. Dias Toffoli, j. 22-8-2023, P, DJE de 5-9-2023.]</w:t>
      </w:r>
    </w:p>
    <w:p>
      <w:pPr>
        <w:ind w:left="288"/>
      </w:pPr>
      <w:r>
        <w:rPr>
          <w:color w:val="8C8C8C"/>
          <w:sz w:val="12"/>
        </w:rPr>
        <w:t>cf-art-5-inc-XXXII-ali-b</w:t>
      </w:r>
      <w:r>
        <w:rPr>
          <w:color w:val="003CA0"/>
          <w:sz w:val="12"/>
        </w:rPr>
        <w:t xml:space="preserve"> | ADPF 341</w:t>
      </w:r>
      <w:r>
        <w:rPr>
          <w:color w:val="003CA0"/>
          <w:sz w:val="12"/>
        </w:rPr>
        <w:t xml:space="preserve"> | rel. Roberto Barroso</w:t>
      </w:r>
    </w:p>
    <w:p>
      <w:pPr>
        <w:ind w:left="288"/>
      </w:pPr>
      <w:r>
        <w:rPr>
          <w:color w:val="1E1E1E"/>
          <w:sz w:val="18"/>
        </w:rPr>
        <w:t>O art. 3º da Portaria Normativa MEC nº 21/2014 alterou a redação do art. 19 da Portaria Normativa MEC nº 10/2010, passando a exigir média superior a 450 pontos e nota superior a zero nas redações do ENEM, como condição para a obtenção de financiamento de curso superior junto ao Fundo de Financiamento ao Estudante de Ensino Superior - FIES. Violação da segurança jurídica. Afastamento da exigência de desempenho mínimo no ENEM para a renovação dos contratos dos estudantes que já estavam cursando o ensino superior com financiamento do FIES antes da alteração da Portaria Normativa MEC nº 10/2010. Q</w:t>
      </w:r>
    </w:p>
    <w:p>
      <w:pPr>
        <w:ind w:left="288"/>
      </w:pPr>
      <w:r>
        <w:rPr>
          <w:b/>
          <w:color w:val="003CA0"/>
          <w:sz w:val="16"/>
        </w:rPr>
        <w:t>[ADPF 341, rel. min. Roberto Barroso, j. 22-2-2023, P, DJE de 2-3-2023.]</w:t>
      </w:r>
    </w:p>
    <w:p>
      <w:pPr>
        <w:ind w:left="288"/>
      </w:pPr>
      <w:r>
        <w:rPr>
          <w:color w:val="8C8C8C"/>
          <w:sz w:val="12"/>
        </w:rPr>
        <w:t>cf-art-5-inc-XXXII-ali-b</w:t>
      </w:r>
      <w:r>
        <w:rPr>
          <w:color w:val="003CA0"/>
          <w:sz w:val="12"/>
        </w:rPr>
        <w:t xml:space="preserve"> | ADI 5.606</w:t>
      </w:r>
      <w:r>
        <w:rPr>
          <w:color w:val="003CA0"/>
          <w:sz w:val="12"/>
        </w:rPr>
        <w:t xml:space="preserve"> | rel. Ricardo Lewandowski</w:t>
      </w:r>
    </w:p>
    <w:p>
      <w:pPr>
        <w:ind w:left="288"/>
      </w:pPr>
      <w:r>
        <w:rPr>
          <w:color w:val="1E1E1E"/>
          <w:sz w:val="18"/>
        </w:rPr>
        <w:t>A suspensão, por lei, de efeitos financeiros futuros de promoções de servidores públicos não ofende a proteção constitucional do direito adquirido e a regra da irredutibilidade de vencimentos.</w:t>
      </w:r>
    </w:p>
    <w:p>
      <w:pPr>
        <w:ind w:left="288"/>
      </w:pPr>
      <w:r>
        <w:rPr>
          <w:b/>
          <w:color w:val="003CA0"/>
          <w:sz w:val="16"/>
        </w:rPr>
        <w:t>[ADI 5.606, rel min. Ricardo Lewandowski, red. do ac. min. Roberto Barroso, j. 21-2-2022, P, DJE de 31-3-2022.]</w:t>
      </w:r>
    </w:p>
    <w:p>
      <w:pPr>
        <w:ind w:left="288"/>
      </w:pPr>
      <w:r>
        <w:rPr>
          <w:color w:val="8C8C8C"/>
          <w:sz w:val="12"/>
        </w:rPr>
        <w:t>cf-art-5-inc-XXXII-ali-b</w:t>
      </w:r>
      <w:r>
        <w:rPr>
          <w:color w:val="003CA0"/>
          <w:sz w:val="12"/>
        </w:rPr>
        <w:t xml:space="preserve"> | ADI 3.005</w:t>
      </w:r>
      <w:r>
        <w:rPr>
          <w:color w:val="003CA0"/>
          <w:sz w:val="12"/>
        </w:rPr>
        <w:t xml:space="preserve"> | rel. Ricardo Lewandowski</w:t>
      </w:r>
    </w:p>
    <w:p>
      <w:pPr>
        <w:ind w:left="288"/>
      </w:pPr>
      <w:r>
        <w:rPr>
          <w:color w:val="1E1E1E"/>
          <w:sz w:val="18"/>
        </w:rPr>
        <w:t>Lei 8.177/1991. Incidência em contratos anteriores à promulgação do diploma normativo com a fixação de novos índices de correção. (...) A norma atacada, ao estabelecer a incidência da TR em substituição do IPC nas operações de crédito rural, contratadas junto às instituições financeiras, com recursos oriundos de depósitos à vista, sem qualquer ressalva, tem o condão de alcançar ajustes celebrados antes do advento da mencionada Lei. Disposição que se afigura incompatível com a garantia fundamental de proteção ao ato jurídico perfeito, pois tem o potencial de alterar uma relação jurídica preexis</w:t>
      </w:r>
    </w:p>
    <w:p>
      <w:pPr>
        <w:ind w:left="288"/>
      </w:pPr>
      <w:r>
        <w:rPr>
          <w:b/>
          <w:color w:val="003CA0"/>
          <w:sz w:val="16"/>
        </w:rPr>
        <w:t>[ADI 3.005, rel. min. Ricardo Lewandowski, j. 1º-7-2020, P, DJE de 13-11-2020.]</w:t>
      </w:r>
    </w:p>
    <w:p>
      <w:pPr>
        <w:ind w:left="288"/>
      </w:pPr>
      <w:r>
        <w:rPr>
          <w:color w:val="8C8C8C"/>
          <w:sz w:val="12"/>
        </w:rPr>
        <w:t>cf-art-5-inc-XXXII-ali-b</w:t>
      </w:r>
      <w:r>
        <w:rPr>
          <w:color w:val="003CA0"/>
          <w:sz w:val="12"/>
        </w:rPr>
        <w:t xml:space="preserve"> | ADPF 77</w:t>
      </w:r>
      <w:r>
        <w:rPr>
          <w:color w:val="003CA0"/>
          <w:sz w:val="12"/>
        </w:rPr>
        <w:t xml:space="preserve"> | rel. Dias Toffoli</w:t>
      </w:r>
    </w:p>
    <w:p>
      <w:pPr>
        <w:ind w:left="288"/>
      </w:pPr>
      <w:r>
        <w:rPr>
          <w:color w:val="1E1E1E"/>
          <w:sz w:val="18"/>
        </w:rPr>
        <w:t>O art. 38 da Lei 8.880/94 (cuja origem remonta ao art. 36 da MP 494/94), estabelecedor das bases a serem tomadas para o cálculo dos índices de correção monetária em julho e agosto de 1994, ensejou a precisa medição da inflação antes e depois da substituição do cruzeiro real pelo real, bem como a preservação do equilíbrio econômico-financeiro das obrigações reajustáveis por ele alcançadas. O dispositivo, imanente às normas responsáveis pela alteração da moeda, não promoveu, quanto àqueles meses, expurgo inflacionário. Consoante o entendimento da Corte, normas que tratam de regime monetário, com</w:t>
      </w:r>
    </w:p>
    <w:p>
      <w:pPr>
        <w:ind w:left="288"/>
      </w:pPr>
      <w:r>
        <w:rPr>
          <w:b/>
          <w:color w:val="003CA0"/>
          <w:sz w:val="16"/>
        </w:rPr>
        <w:t>[ADPF 77, rel. min. Dias Toffoli, j. 16-5-2019, P, DJE de 5-5-2020.]</w:t>
      </w:r>
    </w:p>
    <w:p>
      <w:pPr>
        <w:ind w:left="288"/>
      </w:pPr>
      <w:r>
        <w:rPr>
          <w:color w:val="8C8C8C"/>
          <w:sz w:val="12"/>
        </w:rPr>
        <w:t>cf-art-5-inc-XXXII-ali-b</w:t>
      </w:r>
      <w:r>
        <w:rPr>
          <w:color w:val="003CA0"/>
          <w:sz w:val="12"/>
        </w:rPr>
        <w:t xml:space="preserve"> | ADI 1.931</w:t>
      </w:r>
    </w:p>
    <w:p>
      <w:pPr>
        <w:ind w:left="288"/>
      </w:pPr>
      <w:r>
        <w:rPr>
          <w:color w:val="1E1E1E"/>
          <w:sz w:val="18"/>
        </w:rPr>
        <w:t>Articula-se, na petição inicial, quanto aos artigos 10, § 2º, e 35-E da Lei nº 9.656/1998; e 2º da Medida Provisória nº 2.177-44/2001, com a ofensa ao direito adquirido e ao ato jurídico perfeito. (...) Os dispositivos em análise preveem a incidência das novas regras relativas aos planos de saúde em contratos celebrados anteriormente à vigência do diploma. A norma destoa do Texto Maior. A vida democrática pressupõe segurança jurídica, e esta não se coaduna com o afastamento de ato jurídico perfeito e acabado mediante aplicação de lei nova. É o que decorre do inciso XXXVI do artigo 5º da Consti</w:t>
      </w:r>
    </w:p>
    <w:p>
      <w:pPr>
        <w:ind w:left="288"/>
      </w:pPr>
      <w:r>
        <w:rPr>
          <w:b/>
          <w:color w:val="003CA0"/>
          <w:sz w:val="16"/>
        </w:rPr>
        <w:t>[ADI 1.931, voto do min. Marco Aurélio, j. 7-2-2018, P, DJE de 8-6-2018.]</w:t>
      </w:r>
    </w:p>
    <w:p>
      <w:pPr>
        <w:ind w:left="288"/>
      </w:pPr>
      <w:r>
        <w:rPr>
          <w:color w:val="8C8C8C"/>
          <w:sz w:val="12"/>
        </w:rPr>
        <w:t>cf-art-5-inc-XXXII-ali-b</w:t>
      </w:r>
      <w:r>
        <w:rPr>
          <w:color w:val="003CA0"/>
          <w:sz w:val="12"/>
        </w:rPr>
        <w:t xml:space="preserve"> | ADI 4.917</w:t>
      </w:r>
      <w:r>
        <w:rPr>
          <w:color w:val="003CA0"/>
          <w:sz w:val="12"/>
        </w:rPr>
        <w:t xml:space="preserve"> | rel. Cármen Lúcia</w:t>
      </w:r>
    </w:p>
    <w:p>
      <w:pPr>
        <w:ind w:left="288"/>
      </w:pPr>
      <w:r>
        <w:rPr>
          <w:color w:val="1E1E1E"/>
          <w:sz w:val="18"/>
        </w:rPr>
        <w:t>Dispositivos da Lei 9.478/1997 e da Lei 12.351/2010 alterados pela Lei 12.734/2012. Mudanças das regras de distribuição de royalties e participações especiais de Estados e Municípios: alegação de desobediência ao art. 20, § 1º, c/c a alínea b do inciso II do § 2º do art. 155 da Constituição da República. Impugnação retroação de efeitos da nova legislação em inobservância a atos jurídicos perfeitos e ao princípio da segurança jurídica. Plausibilidade jurídica demonstrada. Excepcional urgência configurada a impor deferimento cautelar ad referendum do Plenário.</w:t>
      </w:r>
    </w:p>
    <w:p>
      <w:pPr>
        <w:ind w:left="288"/>
      </w:pPr>
      <w:r>
        <w:rPr>
          <w:b/>
          <w:color w:val="003CA0"/>
          <w:sz w:val="16"/>
        </w:rPr>
        <w:t>[ADI 4.917 MC, rel. min. Cármen Lúcia, j. 18-3-2013, dec. monocrática, DJE de 21-3-2013.]</w:t>
      </w:r>
    </w:p>
    <w:p>
      <w:pPr>
        <w:ind w:left="288"/>
      </w:pPr>
      <w:r>
        <w:rPr>
          <w:color w:val="8C8C8C"/>
          <w:sz w:val="12"/>
        </w:rPr>
        <w:t>cf-art-5-inc-XXXII-ali-b</w:t>
      </w:r>
      <w:r>
        <w:rPr>
          <w:color w:val="003CA0"/>
          <w:sz w:val="12"/>
        </w:rPr>
        <w:t xml:space="preserve"> | ADC 29</w:t>
      </w:r>
      <w:r>
        <w:rPr>
          <w:color w:val="003CA0"/>
          <w:sz w:val="12"/>
        </w:rPr>
        <w:t xml:space="preserve"> | rel. Luiz Fux</w:t>
      </w:r>
    </w:p>
    <w:p>
      <w:pPr>
        <w:ind w:left="288"/>
      </w:pPr>
      <w:r>
        <w:rPr>
          <w:color w:val="1E1E1E"/>
          <w:sz w:val="18"/>
        </w:rPr>
        <w:t>A elegibilidade é a adequação do indivíduo ao regime jurídico – constitucional e legal complementar – do processo eleitoral, razão pela qual a aplicação da LC 135/2010 com a consideração de fatos anteriores não pode ser capitulada na retroatividade vedada pelo art. 5º, XXXV, da Constituição, mercê de incabível a invocação de direito adquirido ou de autoridade da coisa julgada (que opera sob o pálio da cláusula rebus sic stantibus) anteriormente ao pleito em oposição ao diploma legal retromencionado; subjaz a mera adequação ao sistema normativo pretérito (expectativa de direito).</w:t>
      </w:r>
    </w:p>
    <w:p>
      <w:pPr>
        <w:ind w:left="288"/>
      </w:pPr>
      <w:r>
        <w:rPr>
          <w:b/>
          <w:color w:val="003CA0"/>
          <w:sz w:val="16"/>
        </w:rPr>
        <w:t>[ADC 29, ADC 30 e ADI 4.578, rel. min. Luiz Fux, j. 16-2-2012, P, DJE de 29-6-2012.]</w:t>
      </w:r>
    </w:p>
    <w:p>
      <w:pPr>
        <w:ind w:left="288"/>
      </w:pPr>
      <w:r>
        <w:rPr>
          <w:color w:val="8C8C8C"/>
          <w:sz w:val="12"/>
        </w:rPr>
        <w:t>cf-art-5-inc-XXXII-ali-b</w:t>
      </w:r>
      <w:r>
        <w:rPr>
          <w:color w:val="003CA0"/>
          <w:sz w:val="12"/>
        </w:rPr>
        <w:t xml:space="preserve"> | RE 929.670</w:t>
      </w:r>
      <w:r>
        <w:rPr>
          <w:color w:val="003CA0"/>
          <w:sz w:val="12"/>
        </w:rPr>
        <w:t xml:space="preserve"> | rel. Cármen Lúcia</w:t>
      </w:r>
    </w:p>
    <w:p>
      <w:pPr>
        <w:ind w:left="288"/>
      </w:pPr>
      <w:r>
        <w:rPr>
          <w:color w:val="1E1E1E"/>
          <w:sz w:val="18"/>
        </w:rPr>
        <w:t>Vide RE 929.670, red. do ac. min. Luiz Fux, j. 1º-3-2018, P, DJE de 12-4-2019. Tema 860 Art. 2º e expressão "8º" do art. 10, ambos da EC 41/2003. Aposentadoria. Tempus regit actum. Regime jurídico. Direito adquirido: não ocorrência. A aposentadoria é direito constitucional que se adquire e se introduz no patrimônio jurídico do interessado no momento de sua formalização pela entidade competente. Em questões previdenciárias, aplicam-se as normas vigentes ao tempo da reunião dos requisitos de passagem para a inatividade. Somente os servidores públicos que preenchiam os requisitos estabelecidos na</w:t>
      </w:r>
    </w:p>
    <w:p>
      <w:pPr>
        <w:ind w:left="288"/>
      </w:pPr>
      <w:r>
        <w:rPr>
          <w:b/>
          <w:color w:val="003CA0"/>
          <w:sz w:val="16"/>
        </w:rPr>
        <w:t>[ADI 3.104, rel. min. Cármen Lúcia, j. 26-9-2007, P, DJ de 9-11-2007.]</w:t>
      </w:r>
    </w:p>
    <w:p>
      <w:pPr>
        <w:ind w:left="288"/>
      </w:pPr>
      <w:r>
        <w:rPr>
          <w:color w:val="8C8C8C"/>
          <w:sz w:val="12"/>
        </w:rPr>
        <w:t>cf-art-5-inc-XXXII-ali-b</w:t>
      </w:r>
      <w:r>
        <w:rPr>
          <w:color w:val="003CA0"/>
          <w:sz w:val="12"/>
        </w:rPr>
        <w:t xml:space="preserve"> | ADI 2.527</w:t>
      </w:r>
      <w:r>
        <w:rPr>
          <w:color w:val="003CA0"/>
          <w:sz w:val="12"/>
        </w:rPr>
        <w:t xml:space="preserve"> | rel. Ellen Gracie</w:t>
      </w:r>
    </w:p>
    <w:p>
      <w:pPr>
        <w:ind w:left="288"/>
      </w:pPr>
      <w:r>
        <w:rPr>
          <w:color w:val="1E1E1E"/>
          <w:sz w:val="18"/>
        </w:rPr>
        <w:t>A introdução, no art. 6º da Lei 9.469/1997, de dispositivo que afasta, no caso de transação ou acordo, a possibilidade do pagamento dos honorários devidos ao advogado da parte contrária, ainda que fruto de condenação transitada em julgado, choca-se, aparentemente, com a garantia insculpida no art. 5º, XXXVI, da Constituição, por desconsiderar a coisa julgada, além de afrontar a garantia de isonomia da parte obrigada a negociar despida de uma parcela significativa de seu poder de barganha, correspondente à verba honorária.</w:t>
      </w:r>
    </w:p>
    <w:p>
      <w:pPr>
        <w:ind w:left="288"/>
      </w:pPr>
      <w:r>
        <w:rPr>
          <w:b/>
          <w:color w:val="003CA0"/>
          <w:sz w:val="16"/>
        </w:rPr>
        <w:t>[ADI 2.527 MC, rel. min. Ellen Gracie, j. 16-8-2007, P, DJ de 23-11-2007.]</w:t>
      </w:r>
    </w:p>
    <w:p>
      <w:pPr>
        <w:ind w:left="288"/>
      </w:pPr>
      <w:r>
        <w:rPr>
          <w:color w:val="8C8C8C"/>
          <w:sz w:val="12"/>
        </w:rPr>
        <w:t>cf-art-5-inc-XXXII-ali-b</w:t>
      </w:r>
      <w:r>
        <w:rPr>
          <w:color w:val="003CA0"/>
          <w:sz w:val="12"/>
        </w:rPr>
        <w:t xml:space="preserve"> | ADI 3.112</w:t>
      </w:r>
      <w:r>
        <w:rPr>
          <w:color w:val="003CA0"/>
          <w:sz w:val="12"/>
        </w:rPr>
        <w:t xml:space="preserve"> | rel. Ricardo Lewandowski</w:t>
      </w:r>
    </w:p>
    <w:p>
      <w:pPr>
        <w:ind w:left="288"/>
      </w:pPr>
      <w:r>
        <w:rPr>
          <w:color w:val="1E1E1E"/>
          <w:sz w:val="18"/>
        </w:rPr>
        <w:t>Lei 10.826/2003. Estatuto do Desarmamento. O direito do proprietário à percepção de justa e adequada indenização, reconhecida no diploma legal impugnado, afasta a alegada violação ao art. 5º, XXII, da CF, bem como ao ato jurídico perfeito e ao direito adquirido</w:t>
      </w:r>
    </w:p>
    <w:p>
      <w:pPr>
        <w:ind w:left="288"/>
      </w:pPr>
      <w:r>
        <w:rPr>
          <w:b/>
          <w:color w:val="003CA0"/>
          <w:sz w:val="16"/>
        </w:rPr>
        <w:t>[ADI 3.112, rel. min. Ricardo Lewandowski, j. 2-5-2007, P, DJ de 26-10-2007.]</w:t>
      </w:r>
    </w:p>
    <w:p>
      <w:pPr>
        <w:ind w:left="288"/>
      </w:pPr>
      <w:r>
        <w:rPr>
          <w:color w:val="8C8C8C"/>
          <w:sz w:val="12"/>
        </w:rPr>
        <w:t>cf-art-5-inc-XXXII-ali-b</w:t>
      </w:r>
      <w:r>
        <w:rPr>
          <w:color w:val="003CA0"/>
          <w:sz w:val="12"/>
        </w:rPr>
        <w:t xml:space="preserve"> | ADI 3.453</w:t>
      </w:r>
      <w:r>
        <w:rPr>
          <w:color w:val="003CA0"/>
          <w:sz w:val="12"/>
        </w:rPr>
        <w:t xml:space="preserve"> | rel. Cármen Lúcia</w:t>
      </w:r>
    </w:p>
    <w:p>
      <w:pPr>
        <w:ind w:left="288"/>
      </w:pPr>
      <w:r>
        <w:rPr>
          <w:color w:val="1E1E1E"/>
          <w:sz w:val="18"/>
        </w:rPr>
        <w:t xml:space="preserve">Art. 19 da Lei nacional 11.033, de 21-12-2004. Afronta aos arts. 5º, XXXVI, e 100 da Constituição da República. O art. 19 da Lei 11.033/2004 impõe condições para o levantamento dos valores do precatório devido pela Fazenda Pública. A norma infraconstitucional estatuiu condição para a satisfação do direito do jurisdicionado – constitucionalmente garantido – que não se contém na norma fundamental da República. A matéria relativa a precatórios não chama a atuação do legislador infraconstitucional, menos ainda para impor restrições que não se coadunam com o direito à efetividade da jurisdição e o </w:t>
      </w:r>
    </w:p>
    <w:p>
      <w:pPr>
        <w:ind w:left="288"/>
      </w:pPr>
      <w:r>
        <w:rPr>
          <w:b/>
          <w:color w:val="003CA0"/>
          <w:sz w:val="16"/>
        </w:rPr>
        <w:t>[ADI 3.453, rel. min. Cármen Lúcia, j. 30-11-2006, P, DJ de 16-3-2007.]</w:t>
      </w:r>
    </w:p>
    <w:p>
      <w:pPr>
        <w:ind w:left="288"/>
      </w:pPr>
      <w:r>
        <w:rPr>
          <w:color w:val="8C8C8C"/>
          <w:sz w:val="12"/>
        </w:rPr>
        <w:t>cf-art-5-inc-XXXII-ali-b</w:t>
      </w:r>
      <w:r>
        <w:rPr>
          <w:color w:val="003CA0"/>
          <w:sz w:val="12"/>
        </w:rPr>
        <w:t xml:space="preserve"> | ADI 3.105</w:t>
      </w:r>
      <w:r>
        <w:rPr>
          <w:color w:val="003CA0"/>
          <w:sz w:val="12"/>
        </w:rPr>
        <w:t xml:space="preserve"> | rel. Ellen Gracie</w:t>
      </w:r>
    </w:p>
    <w:p>
      <w:pPr>
        <w:ind w:left="288"/>
      </w:pPr>
      <w:r>
        <w:rPr>
          <w:color w:val="1E1E1E"/>
          <w:sz w:val="18"/>
        </w:rPr>
        <w:t>Seguridade social. Servidor público. Vencimentos. Proventos de aposentadoria e pensões. Sujeição à incidência de contribuição previdenciária. Ofensa a direito adquirido no ato de aposentadoria. Não ocorrência. Contribuição social. Exigência patrimonial de natureza tributária. Inexistência de norma de imunidade tributária absoluta.</w:t>
      </w:r>
    </w:p>
    <w:p>
      <w:pPr>
        <w:ind w:left="288"/>
      </w:pPr>
      <w:r>
        <w:rPr>
          <w:b/>
          <w:color w:val="003CA0"/>
          <w:sz w:val="16"/>
        </w:rPr>
        <w:t>[ADI 3.105, rel. min. Ellen Gracie, red. do ac. min. Cezar Peluso, j. 18-8-2004, P, DJ de 18-2-2005.]</w:t>
      </w:r>
    </w:p>
    <w:p>
      <w:pPr>
        <w:ind w:left="288"/>
      </w:pPr>
      <w:r>
        <w:rPr>
          <w:color w:val="8C8C8C"/>
          <w:sz w:val="12"/>
        </w:rPr>
        <w:t>cf-art-5-inc-XXXII-ali-b</w:t>
      </w:r>
      <w:r>
        <w:rPr>
          <w:color w:val="003CA0"/>
          <w:sz w:val="12"/>
        </w:rPr>
        <w:t xml:space="preserve"> | RE 602.771</w:t>
      </w:r>
      <w:r>
        <w:rPr>
          <w:color w:val="003CA0"/>
          <w:sz w:val="12"/>
        </w:rPr>
        <w:t xml:space="preserve"> | rel. Cármen Lúcia</w:t>
      </w:r>
    </w:p>
    <w:p>
      <w:pPr>
        <w:ind w:left="288"/>
      </w:pPr>
      <w:r>
        <w:rPr>
          <w:color w:val="1E1E1E"/>
          <w:sz w:val="18"/>
        </w:rPr>
        <w:t>= RE 602.771 AgR, rel. min Cármen Lúcia, j. 15-2-2011, 1ª T, DJE de 18-3-2011 Vide AI 594.104 AgR, rel. min. Ellen Gracie, j. 4-5-2010, 2ª T, DJE de 21-5-2010 Vide RE 475.076 AgR, rel. min. Eros Grau, j. 25-11-2008, 2ª T, DJE de 19-12-2008 Afigura-se constitucional diploma que, a um só tempo, veda a transformação da licença-prêmio em pecúnia e assegura a situação jurídica daqueles que já tenham atendido ao fator temporal, havendo sido integrado no patrimônio o direito adquirido ao benefício de acordo com as normas alteradas pela nova regência.</w:t>
      </w:r>
    </w:p>
    <w:p>
      <w:pPr>
        <w:ind w:left="288"/>
      </w:pPr>
      <w:r>
        <w:rPr>
          <w:b/>
          <w:color w:val="003CA0"/>
          <w:sz w:val="16"/>
        </w:rPr>
        <w:t>[ADI 2.887, rel. min. Marco Aurélio, j. 4-2-2004, P, DJ de 6-8-2004.]</w:t>
      </w:r>
    </w:p>
    <w:p>
      <w:pPr>
        <w:ind w:left="288"/>
      </w:pPr>
      <w:r>
        <w:rPr>
          <w:color w:val="8C8C8C"/>
          <w:sz w:val="12"/>
        </w:rPr>
        <w:t>cf-art-5-inc-XXXII-ali-b</w:t>
      </w:r>
      <w:r>
        <w:rPr>
          <w:color w:val="003CA0"/>
          <w:sz w:val="12"/>
        </w:rPr>
        <w:t xml:space="preserve"> | ARE 664.387</w:t>
      </w:r>
      <w:r>
        <w:rPr>
          <w:color w:val="003CA0"/>
          <w:sz w:val="12"/>
        </w:rPr>
        <w:t xml:space="preserve"> | rel. Ayres Britto</w:t>
      </w:r>
    </w:p>
    <w:p>
      <w:pPr>
        <w:ind w:left="288"/>
      </w:pPr>
      <w:r>
        <w:rPr>
          <w:color w:val="1E1E1E"/>
          <w:sz w:val="18"/>
        </w:rPr>
        <w:t>= ARE 664.387 AgR, rel. min. Ayres Britto, j. 14-2-2012, 2ª T, DJE de 8-3-2012 = AI 745.905 AgR, rel. min. Dias Toffoli, j. 10-5-2011, 1ª T, DJE de 4-8-2011 A supremacia jurídica das normas inscritas na Carta Federal não permite, ressalvadas as eventuais exceções proclamadas no próprio Texto Constitucional, que contra elas seja invocado o direito adquirido.</w:t>
      </w:r>
    </w:p>
    <w:p>
      <w:pPr>
        <w:ind w:left="288"/>
      </w:pPr>
      <w:r>
        <w:rPr>
          <w:b/>
          <w:color w:val="003CA0"/>
          <w:sz w:val="16"/>
        </w:rPr>
        <w:t>[ADI 248, rel. min. Celso de Mello, j. 18-11-1993, P, DJ de 8-4-1994.]</w:t>
      </w:r>
    </w:p>
    <w:p>
      <w:pPr>
        <w:ind w:left="288"/>
      </w:pPr>
      <w:r>
        <w:rPr>
          <w:color w:val="8C8C8C"/>
          <w:sz w:val="12"/>
        </w:rPr>
        <w:t>cf-art-5-inc-XXXII-ali-b</w:t>
      </w:r>
      <w:r>
        <w:rPr>
          <w:color w:val="003CA0"/>
          <w:sz w:val="12"/>
        </w:rPr>
        <w:t xml:space="preserve"> | ADI 493</w:t>
      </w:r>
      <w:r>
        <w:rPr>
          <w:color w:val="003CA0"/>
          <w:sz w:val="12"/>
        </w:rPr>
        <w:t xml:space="preserve"> | rel. Moreira Alves</w:t>
      </w:r>
    </w:p>
    <w:p>
      <w:pPr>
        <w:ind w:left="288"/>
      </w:pPr>
      <w:r>
        <w:rPr>
          <w:color w:val="1E1E1E"/>
          <w:sz w:val="18"/>
        </w:rPr>
        <w:t>Se a lei alcançar os efeitos futuros de contratos celebrados anteriormente a ela, será essa lei retroativa (retroatividade mínima) porque vai interferir na causa, que é um ato ou fato ocorrido no passado. O disposto no art. 5º, XXXVI, da CF se aplica a toda e qualquer lei infraconstitucional, sem qualquer distinção entre lei de direito público e lei de direito privado, ou entre lei de ordem pública e lei dispositiva. Precedente do STF. Ocorrência, no caso, de violação de direito adquirido. A Taxa Referencial (TR) não é índice de correção monetária, pois, refletindo as variações do custo primár</w:t>
      </w:r>
    </w:p>
    <w:p>
      <w:pPr>
        <w:ind w:left="288"/>
      </w:pPr>
      <w:r>
        <w:rPr>
          <w:b/>
          <w:color w:val="003CA0"/>
          <w:sz w:val="16"/>
        </w:rPr>
        <w:t>[ADI 493, rel. min. Moreira Alves, j. 25-6-1992, P, DJ de 4-9-1992.]</w:t>
      </w:r>
    </w:p>
    <w:p>
      <w:pPr>
        <w:ind w:left="288"/>
      </w:pPr>
      <w:r>
        <w:rPr>
          <w:color w:val="8C8C8C"/>
          <w:sz w:val="12"/>
        </w:rPr>
        <w:t>cf-art-5-inc-XXXII-ali-b</w:t>
      </w:r>
      <w:r>
        <w:rPr>
          <w:color w:val="003CA0"/>
          <w:sz w:val="12"/>
        </w:rPr>
        <w:t xml:space="preserve"> | RE 552.272</w:t>
      </w:r>
      <w:r>
        <w:rPr>
          <w:color w:val="003CA0"/>
          <w:sz w:val="12"/>
        </w:rPr>
        <w:t xml:space="preserve"> | rel. Cármen Lúcia</w:t>
      </w:r>
    </w:p>
    <w:p>
      <w:pPr>
        <w:ind w:left="288"/>
      </w:pPr>
      <w:r>
        <w:rPr>
          <w:color w:val="1E1E1E"/>
          <w:sz w:val="18"/>
        </w:rPr>
        <w:t>= RE 552.272 AgR, rel. min Cármen Lúcia, j. 15-2-2011, 1ª T, DJE de 18-3-2011 = RE 567.673 AgR-ED, rel. min. Ellen Gracie, j. 14-12-2010, 2ª T, DJE de 7-2-2011 É plausível, em face do ordenamento constitucional brasileiro, o reconhecimento da admissibilidade das leis interpretativas, que configuram instrumento juridicamente idôneo de veiculação da denominada interpretação autêntica. (...) O princípio da irretroatividade "somente" condiciona a atividade jurídica do Estado nas hipóteses expressamente previstas pela Constituição, em ordem a inibir a ação do poder público eventualmente configurado</w:t>
      </w:r>
    </w:p>
    <w:p>
      <w:pPr>
        <w:ind w:left="288"/>
      </w:pPr>
      <w:r>
        <w:rPr>
          <w:b/>
          <w:color w:val="003CA0"/>
          <w:sz w:val="16"/>
        </w:rPr>
        <w:t>[ADI 605 MC, rel. min. Celso de Mello, j. 23-10-1991, P, DJ de 5-3-1993.]</w:t>
      </w:r>
    </w:p>
    <w:p>
      <w:pPr>
        <w:ind w:left="288"/>
      </w:pPr>
      <w:r>
        <w:rPr>
          <w:color w:val="8C8C8C"/>
          <w:sz w:val="12"/>
        </w:rPr>
        <w:t>cf-art-5-inc-XXXII-ali-b</w:t>
      </w:r>
      <w:r>
        <w:rPr>
          <w:color w:val="003CA0"/>
          <w:sz w:val="12"/>
        </w:rPr>
        <w:t xml:space="preserve"> | ADPF 165</w:t>
      </w:r>
      <w:r>
        <w:rPr>
          <w:color w:val="003CA0"/>
          <w:sz w:val="12"/>
        </w:rPr>
        <w:t xml:space="preserve"> | rel. Gilmar Mendes</w:t>
      </w:r>
    </w:p>
    <w:p>
      <w:pPr>
        <w:ind w:left="288"/>
      </w:pPr>
      <w:r>
        <w:rPr>
          <w:color w:val="1E1E1E"/>
          <w:sz w:val="18"/>
        </w:rPr>
        <w:t>1. “Considerando que o STF declarou a constitucionalidade do Plano Collor I na ADPF 165, o direito a diferenças de correção monetária de depósitos em cadernetas de poupança, por alegados expurgos inflacionários decorrentes de referido plano, dependerá de adesão ao acordo coletivo e seus aditamentos, homologados no âmbito da ADPF 165, no prazo de 24 meses da publicação da ata de julgamento da referida ação. 2. Com o objetivo de resguardar a segurança jurídica, não caberá ação rescisória ou arguição de inexigibilidade do título com base na constitucionalidade dos planos econômicos de processos j</w:t>
      </w:r>
    </w:p>
    <w:p>
      <w:pPr>
        <w:ind w:left="288"/>
      </w:pPr>
      <w:r>
        <w:rPr>
          <w:b/>
          <w:color w:val="003CA0"/>
          <w:sz w:val="16"/>
        </w:rPr>
        <w:t>[RE 631.363, rel. min. Gilmar Mendes, j. 01.07.2025, P, DJE de 04.09.2025, Tema 284, com mérito julgado.]</w:t>
      </w:r>
    </w:p>
    <w:p>
      <w:pPr>
        <w:ind w:left="288"/>
      </w:pPr>
      <w:r>
        <w:rPr>
          <w:color w:val="8C8C8C"/>
          <w:sz w:val="12"/>
        </w:rPr>
        <w:t>cf-art-5-inc-XXXII-ali-b</w:t>
      </w:r>
      <w:r>
        <w:rPr>
          <w:color w:val="003CA0"/>
          <w:sz w:val="12"/>
        </w:rPr>
        <w:t xml:space="preserve"> | ADPF 165</w:t>
      </w:r>
      <w:r>
        <w:rPr>
          <w:color w:val="003CA0"/>
          <w:sz w:val="12"/>
        </w:rPr>
        <w:t xml:space="preserve"> | rel. Gilmar Mendes</w:t>
      </w:r>
    </w:p>
    <w:p>
      <w:pPr>
        <w:ind w:left="288"/>
      </w:pPr>
      <w:r>
        <w:rPr>
          <w:color w:val="1E1E1E"/>
          <w:sz w:val="18"/>
        </w:rPr>
        <w:t>“Considerando que o STF declarou a constitucionalidade do Plano Collor II na ADPF 165, o direito a diferenças de correção monetária de depósitos em cadernetas de poupança, não bloqueados pelo Banco Central do Brasil, por alegados expurgos inflacionários decorrentes de referido plano, dependerá de adesão ao acordo coletivo e seus aditamentos, homologados no âmbito da ADPF 165, no prazo de 24 meses da publicação da ata de julgamento de referida ação. 2. Com o objetivo de resguardar a segurança jurídica, não caberá ação rescisória ou arguição de inexigibilidade do título com base na constituciona</w:t>
      </w:r>
    </w:p>
    <w:p>
      <w:pPr>
        <w:ind w:left="288"/>
      </w:pPr>
      <w:r>
        <w:rPr>
          <w:b/>
          <w:color w:val="003CA0"/>
          <w:sz w:val="16"/>
        </w:rPr>
        <w:t>[RE 632.212, rel. min. Gilmar Mendes, j. 16.06.2025, P, DJE de 04.09.2025, Tema 285, com mérito julgado.]</w:t>
      </w:r>
    </w:p>
    <w:p>
      <w:pPr>
        <w:ind w:left="288"/>
      </w:pPr>
      <w:r>
        <w:rPr>
          <w:color w:val="8C8C8C"/>
          <w:sz w:val="12"/>
        </w:rPr>
        <w:t>cf-art-5-inc-XXXII-ali-b</w:t>
      </w:r>
      <w:r>
        <w:rPr>
          <w:color w:val="003CA0"/>
          <w:sz w:val="12"/>
        </w:rPr>
        <w:t xml:space="preserve"> | ARE 1.499.697</w:t>
      </w:r>
      <w:r>
        <w:rPr>
          <w:color w:val="003CA0"/>
          <w:sz w:val="12"/>
        </w:rPr>
        <w:t xml:space="preserve"> | rel. Luís Roberto Barroso</w:t>
      </w:r>
    </w:p>
    <w:p>
      <w:pPr>
        <w:ind w:left="288"/>
      </w:pPr>
      <w:r>
        <w:rPr>
          <w:color w:val="1E1E1E"/>
          <w:sz w:val="18"/>
        </w:rPr>
        <w:t>“É infraconstitucional a controvérsia sobre a averbação de tempo de serviço nas Forças Armadas para fins de promoção nas carreiras militares estaduais” .</w:t>
      </w:r>
    </w:p>
    <w:p>
      <w:pPr>
        <w:ind w:left="288"/>
      </w:pPr>
      <w:r>
        <w:rPr>
          <w:b/>
          <w:color w:val="003CA0"/>
          <w:sz w:val="16"/>
        </w:rPr>
        <w:t>[ARE 1.499.697 RG, rel. min. Luís Roberto Barroso, j. 21.03.2025, P, DJE de 26.03.2025, Tema 1.384, com repercussão geral negada.]</w:t>
      </w:r>
    </w:p>
    <w:p>
      <w:pPr>
        <w:ind w:left="288"/>
      </w:pPr>
      <w:r>
        <w:rPr>
          <w:color w:val="8C8C8C"/>
          <w:sz w:val="12"/>
        </w:rPr>
        <w:t>cf-art-5-inc-XXXII-ali-b</w:t>
      </w:r>
      <w:r>
        <w:rPr>
          <w:color w:val="003CA0"/>
          <w:sz w:val="12"/>
        </w:rPr>
        <w:t xml:space="preserve"> | RE 687.813</w:t>
      </w:r>
      <w:r>
        <w:rPr>
          <w:color w:val="003CA0"/>
          <w:sz w:val="12"/>
        </w:rPr>
        <w:t xml:space="preserve"> | rel. Dias Toffoli</w:t>
      </w:r>
    </w:p>
    <w:p>
      <w:pPr>
        <w:ind w:left="288"/>
      </w:pPr>
      <w:r>
        <w:rPr>
          <w:color w:val="1E1E1E"/>
          <w:sz w:val="18"/>
        </w:rPr>
        <w:t>“O auxílio-suplementar, concedido à luz do art. 9º da Lei nº 6.367/76, é cumulável com a aposentadoria por invalidez somente se as condições para a concessão dessa tiverem sido implementadas na vigência da Lei nº 8.213/91 e antes de 11/11/97, quando entrou em vigor a MP nº 1.596-14/97 (convertida na Lei nº 9.528/97)”.</w:t>
      </w:r>
    </w:p>
    <w:p>
      <w:pPr>
        <w:ind w:left="288"/>
      </w:pPr>
      <w:r>
        <w:rPr>
          <w:b/>
          <w:color w:val="003CA0"/>
          <w:sz w:val="16"/>
        </w:rPr>
        <w:t>[RE 687.813, rel. min. Dias Toffoli, j. 17.02.2025, P, DJE de 21.02.2025, Tema 599, com mérito julgado.]</w:t>
      </w:r>
    </w:p>
    <w:p>
      <w:pPr>
        <w:ind w:left="288"/>
      </w:pPr>
      <w:r>
        <w:rPr>
          <w:color w:val="8C8C8C"/>
          <w:sz w:val="12"/>
        </w:rPr>
        <w:t>cf-art-5-inc-XXXII-ali-b</w:t>
      </w:r>
      <w:r>
        <w:rPr>
          <w:color w:val="003CA0"/>
          <w:sz w:val="12"/>
        </w:rPr>
        <w:t xml:space="preserve"> | RE 1.505.031</w:t>
      </w:r>
      <w:r>
        <w:rPr>
          <w:color w:val="003CA0"/>
          <w:sz w:val="12"/>
        </w:rPr>
        <w:t xml:space="preserve"> | rel. Luís Roberto Barroso</w:t>
      </w:r>
    </w:p>
    <w:p>
      <w:pPr>
        <w:ind w:left="288"/>
      </w:pPr>
      <w:r>
        <w:rPr>
          <w:color w:val="1E1E1E"/>
          <w:sz w:val="18"/>
        </w:rPr>
        <w:t>“O trânsito em julgado de decisão de mérito com previsão de índice específico de juros ou de correção monetária não impede a incidência de legislação ou entendimento jurisprudencial do STF supervenientes, nos termos do Tema 1.170/RG”.</w:t>
      </w:r>
    </w:p>
    <w:p>
      <w:pPr>
        <w:ind w:left="288"/>
      </w:pPr>
      <w:r>
        <w:rPr>
          <w:b/>
          <w:color w:val="003CA0"/>
          <w:sz w:val="16"/>
        </w:rPr>
        <w:t>[RE 1.505.031 RG, rel. min. Luís Roberto Barroso, j. 26.11.2024, P, DJE de 02.12.2024, Tema 1.361, com mérito julgado.]</w:t>
      </w:r>
    </w:p>
    <w:p>
      <w:pPr>
        <w:ind w:left="288"/>
      </w:pPr>
      <w:r>
        <w:rPr>
          <w:color w:val="8C8C8C"/>
          <w:sz w:val="12"/>
        </w:rPr>
        <w:t>cf-art-5-inc-XXXII-ali-b</w:t>
      </w:r>
      <w:r>
        <w:rPr>
          <w:color w:val="003CA0"/>
          <w:sz w:val="12"/>
        </w:rPr>
        <w:t xml:space="preserve"> | ARE 1.514.867</w:t>
      </w:r>
      <w:r>
        <w:rPr>
          <w:color w:val="003CA0"/>
          <w:sz w:val="12"/>
        </w:rPr>
        <w:t xml:space="preserve"> | rel. Luís Roberto Barroso</w:t>
      </w:r>
    </w:p>
    <w:p>
      <w:pPr>
        <w:ind w:left="288"/>
      </w:pPr>
      <w:r>
        <w:rPr>
          <w:color w:val="1E1E1E"/>
          <w:sz w:val="18"/>
        </w:rPr>
        <w:t>“É infraconstitucional e fática a controvérsia sobre a possibilidade de se limitar, em liquidação de sentença, os efeitos de condenação judicial de reposição salarial decorrente de plano econômico em favor de servidores distritais”.</w:t>
      </w:r>
    </w:p>
    <w:p>
      <w:pPr>
        <w:ind w:left="288"/>
      </w:pPr>
      <w:r>
        <w:rPr>
          <w:b/>
          <w:color w:val="003CA0"/>
          <w:sz w:val="16"/>
        </w:rPr>
        <w:t>[ARE 1.514.867 RG, rel. min. Luís Roberto Barroso, j. 18.10.2024, P, DJE de 22.10.2024, Tema 1.342, com repercussão geral negada.]</w:t>
      </w:r>
    </w:p>
    <w:p>
      <w:pPr>
        <w:ind w:left="288"/>
      </w:pPr>
      <w:r>
        <w:rPr>
          <w:color w:val="8C8C8C"/>
          <w:sz w:val="12"/>
        </w:rPr>
        <w:t>cf-art-5-inc-XXXII-ali-b</w:t>
      </w:r>
      <w:r>
        <w:rPr>
          <w:color w:val="003CA0"/>
          <w:sz w:val="12"/>
        </w:rPr>
        <w:t xml:space="preserve"> | ARE 1.517.985</w:t>
      </w:r>
      <w:r>
        <w:rPr>
          <w:color w:val="003CA0"/>
          <w:sz w:val="12"/>
        </w:rPr>
        <w:t xml:space="preserve"> | rel. Luís Roberto Barroso</w:t>
      </w:r>
    </w:p>
    <w:p>
      <w:pPr>
        <w:ind w:left="288"/>
      </w:pPr>
      <w:r>
        <w:rPr>
          <w:color w:val="1E1E1E"/>
          <w:sz w:val="18"/>
        </w:rPr>
        <w:t>“É infraconstitucional e pressupõe o exame de matéria fática a controvérsia sobre o direito à manutenção de plano de saúde de empregados aposentados de estatal privatizada”.</w:t>
      </w:r>
    </w:p>
    <w:p>
      <w:pPr>
        <w:ind w:left="288"/>
      </w:pPr>
      <w:r>
        <w:rPr>
          <w:b/>
          <w:color w:val="003CA0"/>
          <w:sz w:val="16"/>
        </w:rPr>
        <w:t>[ARE 1.517.985 RG, rel. min. Luís Roberto Barroso, j. 11.10.2024, P, DJE de 16.10.2024, Tema 1.336, com repercussão geral negada.]</w:t>
      </w:r>
    </w:p>
    <w:p>
      <w:pPr>
        <w:ind w:left="288"/>
      </w:pPr>
      <w:r>
        <w:rPr>
          <w:color w:val="8C8C8C"/>
          <w:sz w:val="12"/>
        </w:rPr>
        <w:t>cf-art-5-inc-XXXII-ali-b</w:t>
      </w:r>
      <w:r>
        <w:rPr>
          <w:color w:val="003CA0"/>
          <w:sz w:val="12"/>
        </w:rPr>
        <w:t xml:space="preserve"> | RE 699.535</w:t>
      </w:r>
      <w:r>
        <w:rPr>
          <w:color w:val="003CA0"/>
          <w:sz w:val="12"/>
        </w:rPr>
        <w:t xml:space="preserve"> | rel. Dias Toffoli</w:t>
      </w:r>
    </w:p>
    <w:p>
      <w:pPr>
        <w:ind w:left="288"/>
      </w:pPr>
      <w:r>
        <w:rPr>
          <w:color w:val="1E1E1E"/>
          <w:sz w:val="18"/>
        </w:rPr>
        <w:t>“Aplicam-se os efeitos da ausência de repercussão geral a controvérsias relativas à possibilidade de o Instituto Nacional do Seguro Social proceder, a qualquer tempo, à revisão do critério de reajuste da aposentadoria de ex-combatente e da correspondente pensão por morte com fundamento em errônea aplicação da Lei nº 5.698, de 31 de agosto de 1971.”</w:t>
      </w:r>
    </w:p>
    <w:p>
      <w:pPr>
        <w:ind w:left="288"/>
      </w:pPr>
      <w:r>
        <w:rPr>
          <w:b/>
          <w:color w:val="003CA0"/>
          <w:sz w:val="16"/>
        </w:rPr>
        <w:t>[RE 699.535 RG2JULG, rel. min. Dias Toffoli, j. 20.09.2024, P, DJE de 14.11.2024, Tema 632, com repercussão geral negada.]</w:t>
      </w:r>
    </w:p>
    <w:p>
      <w:pPr>
        <w:ind w:left="288"/>
      </w:pPr>
      <w:r>
        <w:rPr>
          <w:color w:val="8C8C8C"/>
          <w:sz w:val="12"/>
        </w:rPr>
        <w:t>cf-art-5-inc-XXXII-ali-b</w:t>
      </w:r>
      <w:r>
        <w:rPr>
          <w:color w:val="003CA0"/>
          <w:sz w:val="12"/>
        </w:rPr>
        <w:t xml:space="preserve"> | ARE 1.458.696</w:t>
      </w:r>
      <w:r>
        <w:rPr>
          <w:color w:val="003CA0"/>
          <w:sz w:val="12"/>
        </w:rPr>
        <w:t xml:space="preserve"> | rel. Flávio Dino</w:t>
      </w:r>
    </w:p>
    <w:p>
      <w:pPr>
        <w:ind w:left="288"/>
      </w:pPr>
      <w:r>
        <w:rPr>
          <w:color w:val="1E1E1E"/>
          <w:sz w:val="18"/>
        </w:rPr>
        <w:t>Possibilidade de despronúncia, após condenação pelo Tribunal do Júri transitada em julgado, por decisão em habeas corpus.</w:t>
      </w:r>
    </w:p>
    <w:p>
      <w:pPr>
        <w:ind w:left="288"/>
      </w:pPr>
      <w:r>
        <w:rPr>
          <w:b/>
          <w:color w:val="003CA0"/>
          <w:sz w:val="16"/>
        </w:rPr>
        <w:t>[ARE 1.458.696 RG, rel. min. Flávio Dino, j. 09.08.2024, P, DJE de 03.10.2024, Tema 1.311, com mérito pendente.]</w:t>
      </w:r>
    </w:p>
    <w:p>
      <w:pPr>
        <w:ind w:left="288"/>
      </w:pPr>
      <w:r>
        <w:rPr>
          <w:color w:val="8C8C8C"/>
          <w:sz w:val="12"/>
        </w:rPr>
        <w:t>cf-art-5-inc-XXXII-ali-b</w:t>
      </w:r>
      <w:r>
        <w:rPr>
          <w:color w:val="003CA0"/>
          <w:sz w:val="12"/>
        </w:rPr>
        <w:t xml:space="preserve"> | RE 1.317.982</w:t>
      </w:r>
      <w:r>
        <w:rPr>
          <w:color w:val="003CA0"/>
          <w:sz w:val="12"/>
        </w:rPr>
        <w:t xml:space="preserve"> | rel. Nunes Marques</w:t>
      </w:r>
    </w:p>
    <w:p>
      <w:pPr>
        <w:ind w:left="288"/>
      </w:pPr>
      <w:r>
        <w:rPr>
          <w:color w:val="1E1E1E"/>
          <w:sz w:val="18"/>
        </w:rPr>
        <w:t>"É aplicável às condenações da Fazenda Pública envolvendo relações jurídicas não tributárias o índice de juros moratórios estabelecido no art. 1º-F da Lei n. 9.494/1997, na redação dada pela Lei n. 11.960/2009, a partir da vigência da referida legislação, mesmo havendo previsão diversa em título executivo judicial transitado em julgado."</w:t>
        <w:br/>
        <w:t>[RE 1.317.982, rel. min. Nunes Marques, j. 12-12-2023, P, DJE de 8-1-2024, Tema 1170, com mérito julgado.] Fixação das teses, as quais demandam análise conjunta: 1) é possível aplicar o artigo 741, parágrafo único, do CPC/73, atual art. 535, § 5º, do CPC/2015,</w:t>
      </w:r>
    </w:p>
    <w:p>
      <w:pPr>
        <w:ind w:left="288"/>
      </w:pPr>
      <w:r>
        <w:rPr>
          <w:b/>
          <w:color w:val="003CA0"/>
          <w:sz w:val="16"/>
        </w:rPr>
        <w:t>[RE 586.068, rel. min. Rosa Weber, red. do acórdão min. Gilmar Mendes, j. 9.11.2023, P, DJE de 31.1.2024, Tema 100, com mérito julgado.]</w:t>
      </w:r>
    </w:p>
    <w:p>
      <w:pPr>
        <w:ind w:left="288"/>
      </w:pPr>
      <w:r>
        <w:rPr>
          <w:color w:val="8C8C8C"/>
          <w:sz w:val="12"/>
        </w:rPr>
        <w:t>cf-art-5-inc-XXXII-ali-b</w:t>
      </w:r>
      <w:r>
        <w:rPr>
          <w:color w:val="003CA0"/>
          <w:sz w:val="12"/>
        </w:rPr>
        <w:t xml:space="preserve"> | RE 949.297</w:t>
      </w:r>
      <w:r>
        <w:rPr>
          <w:color w:val="003CA0"/>
          <w:sz w:val="12"/>
        </w:rPr>
        <w:t xml:space="preserve"> | rel. Edson Fachin</w:t>
      </w:r>
    </w:p>
    <w:p>
      <w:pPr>
        <w:ind w:left="288"/>
      </w:pPr>
      <w:r>
        <w:rPr>
          <w:color w:val="1E1E1E"/>
          <w:sz w:val="18"/>
        </w:rPr>
        <w:t>“1. As decisões do STF em controle incidental de constitucionalidade, anteriores à instituição do regime de repercussão geral, não impactam automaticamente a coisa julgada que se tenha formado, mesmo nas relações jurídicas tributárias de trato sucessivo. 2. Já as decisões proferidas em ação direta ou em sede de repercussão geral interrompem automaticamente os efeitos temporais das decisões transitadas em julgado nas referidas relações, respeitadas a irretroatividade, a anterioridade anual e a noventena ou a anterioridade nonagesimal, conforme a natureza do tributo”.</w:t>
      </w:r>
    </w:p>
    <w:p>
      <w:pPr>
        <w:ind w:left="288"/>
      </w:pPr>
      <w:r>
        <w:rPr>
          <w:b/>
          <w:color w:val="003CA0"/>
          <w:sz w:val="16"/>
        </w:rPr>
        <w:t>[RE 949.297, rel. min. Edson Fachin, red. do ac. min. Roberto Barroso, j. 8-2-2023, P, DJE de 2-5-2023, Tema 881, com mérito julgado.]</w:t>
      </w:r>
    </w:p>
    <w:p>
      <w:pPr>
        <w:ind w:left="288"/>
      </w:pPr>
      <w:r>
        <w:rPr>
          <w:color w:val="8C8C8C"/>
          <w:sz w:val="12"/>
        </w:rPr>
        <w:t>cf-art-5-inc-XXXII-ali-b</w:t>
      </w:r>
      <w:r>
        <w:rPr>
          <w:color w:val="003CA0"/>
          <w:sz w:val="12"/>
        </w:rPr>
        <w:t xml:space="preserve"> | RE 226.855</w:t>
      </w:r>
      <w:r>
        <w:rPr>
          <w:color w:val="003CA0"/>
          <w:sz w:val="12"/>
        </w:rPr>
        <w:t xml:space="preserve"> | rel. Alexandre de Moraes</w:t>
      </w:r>
    </w:p>
    <w:p>
      <w:pPr>
        <w:ind w:left="288"/>
      </w:pPr>
      <w:r>
        <w:rPr>
          <w:color w:val="1E1E1E"/>
          <w:sz w:val="18"/>
        </w:rPr>
        <w:t>Inexiste direito adquirido à diferença de correção monetária dos saldos das contas vinculadas ao FGTS referente ao Plano Collor II (fevereiro de 1991), conforme entendimento firmado no RE 226.855, o qual não foi superado pelo julgamento do RE 611.503 (Tema 360).</w:t>
      </w:r>
    </w:p>
    <w:p>
      <w:pPr>
        <w:ind w:left="288"/>
      </w:pPr>
      <w:r>
        <w:rPr>
          <w:b/>
          <w:color w:val="003CA0"/>
          <w:sz w:val="16"/>
        </w:rPr>
        <w:t>[ARE 1.288.550, rel. min. Alexandre de Moraes, j. 14-12-2021, P, DJE de 10-1-2022, Tema 1.112, com mérito julgado.]</w:t>
      </w:r>
    </w:p>
    <w:p>
      <w:pPr>
        <w:ind w:left="288"/>
      </w:pPr>
      <w:r>
        <w:rPr>
          <w:color w:val="8C8C8C"/>
          <w:sz w:val="12"/>
        </w:rPr>
        <w:t>cf-art-5-inc-XXXII-ali-b</w:t>
      </w:r>
      <w:r>
        <w:rPr>
          <w:color w:val="003CA0"/>
          <w:sz w:val="12"/>
        </w:rPr>
        <w:t xml:space="preserve"> | RE 1.010.819</w:t>
      </w:r>
    </w:p>
    <w:p>
      <w:pPr>
        <w:ind w:left="288"/>
      </w:pPr>
      <w:r>
        <w:rPr>
          <w:color w:val="1E1E1E"/>
          <w:sz w:val="18"/>
        </w:rPr>
        <w:t>O trânsito em julgado de sentença condenatória proferida em sede de ação desapropriatória não obsta a propositura de Ação Civil Pública em defesa do patrimônio público, para discutir a dominialidade do bem expropriado, ainda que já se tenha expirado o prazo para a Ação Rescisória.</w:t>
      </w:r>
    </w:p>
    <w:p>
      <w:pPr>
        <w:ind w:left="288"/>
      </w:pPr>
      <w:r>
        <w:rPr>
          <w:b/>
          <w:color w:val="003CA0"/>
          <w:sz w:val="16"/>
        </w:rPr>
        <w:t>[RE 1.010.819, rel. Marco Aurélio, red. do ac. min. Alexandre de Moraes, j. 26-5-2021, P, DJE de 29-9-2021. Tema 858, com mérito julgado.]</w:t>
      </w:r>
    </w:p>
    <w:p>
      <w:pPr>
        <w:ind w:left="288"/>
      </w:pPr>
      <w:r>
        <w:rPr>
          <w:color w:val="8C8C8C"/>
          <w:sz w:val="12"/>
        </w:rPr>
        <w:t>cf-art-5-inc-XXXII-ali-b</w:t>
      </w:r>
      <w:r>
        <w:rPr>
          <w:color w:val="003CA0"/>
          <w:sz w:val="12"/>
        </w:rPr>
        <w:t xml:space="preserve"> | RE 1.101.937</w:t>
      </w:r>
      <w:r>
        <w:rPr>
          <w:color w:val="003CA0"/>
          <w:sz w:val="12"/>
        </w:rPr>
        <w:t xml:space="preserve"> | rel. Alexandre de Moraes</w:t>
      </w:r>
    </w:p>
    <w:p>
      <w:pPr>
        <w:ind w:left="288"/>
      </w:pPr>
      <w:r>
        <w:rPr>
          <w:color w:val="1E1E1E"/>
          <w:sz w:val="18"/>
        </w:rPr>
        <w:t>I - É inconstitucional a redação do art. 16 da Lei 7.347/1985, alterada pela Lei 9.494/1997, sendo repristinada sua redação original. II - Em se tratando de ação civil pública de efeitos nacionais ou regionais, a competência deve observar o art. 93, II, da Lei 8.078/1990 (Código de Defesa do Consumidor). III - Ajuizadas múltiplas ações civis públicas de âmbito nacional ou regional e fixada a competência nos termos do item II, firma-se a prevenção do juízo que primeiro conheceu de uma delas, para o julgamento de todas as demandas conexas.</w:t>
      </w:r>
    </w:p>
    <w:p>
      <w:pPr>
        <w:ind w:left="288"/>
      </w:pPr>
      <w:r>
        <w:rPr>
          <w:b/>
          <w:color w:val="003CA0"/>
          <w:sz w:val="16"/>
        </w:rPr>
        <w:t>[RE 1.101.937, rel. min. Alexandre de Moraes, j. 4-3-2021, P. DJE de 14-6-2021. Tema 1.075, com mérito julgado.]</w:t>
      </w:r>
    </w:p>
    <w:p>
      <w:pPr>
        <w:ind w:left="288"/>
      </w:pPr>
      <w:r>
        <w:rPr>
          <w:color w:val="8C8C8C"/>
          <w:sz w:val="12"/>
        </w:rPr>
        <w:t>cf-art-5-inc-XXXII-ali-b</w:t>
      </w:r>
      <w:r>
        <w:rPr>
          <w:color w:val="003CA0"/>
          <w:sz w:val="12"/>
        </w:rPr>
        <w:t xml:space="preserve"> | RE 948.634</w:t>
      </w:r>
      <w:r>
        <w:rPr>
          <w:color w:val="003CA0"/>
          <w:sz w:val="12"/>
        </w:rPr>
        <w:t xml:space="preserve"> | rel. Ricardo Lewandowski</w:t>
      </w:r>
    </w:p>
    <w:p>
      <w:pPr>
        <w:ind w:left="288"/>
      </w:pPr>
      <w:r>
        <w:rPr>
          <w:color w:val="1E1E1E"/>
          <w:sz w:val="18"/>
        </w:rPr>
        <w:t>As disposições da Lei 9.656/1998, à luz do art. 5º, XXXVI, da Constituição Federal, somente incidem sobre os contratos celebrados a partir de sua vigência, bem como nos contratos que, firmados anteriormente, foram adaptados ao seu regime, sendo as respectivas disposições inaplicáveis aos beneficiários que, exercendo sua autonomia de vontade, optaram por manter os planos antigos inalterados.</w:t>
      </w:r>
    </w:p>
    <w:p>
      <w:pPr>
        <w:ind w:left="288"/>
      </w:pPr>
      <w:r>
        <w:rPr>
          <w:b/>
          <w:color w:val="003CA0"/>
          <w:sz w:val="16"/>
        </w:rPr>
        <w:t>[RE 948.634, rel. min. Ricardo Lewandowski, j. 20-10-2020, P, DJE de 18-11-2020. Tema 123, com mérito julgado.]</w:t>
      </w:r>
    </w:p>
    <w:p>
      <w:pPr>
        <w:ind w:left="288"/>
      </w:pPr>
      <w:r>
        <w:rPr>
          <w:color w:val="8C8C8C"/>
          <w:sz w:val="12"/>
        </w:rPr>
        <w:t>cf-art-5-inc-XXXII-ali-b</w:t>
      </w:r>
      <w:r>
        <w:rPr>
          <w:color w:val="003CA0"/>
          <w:sz w:val="12"/>
        </w:rPr>
        <w:t xml:space="preserve"> | RE 611.503</w:t>
      </w:r>
    </w:p>
    <w:p>
      <w:pPr>
        <w:ind w:left="288"/>
      </w:pPr>
      <w:r>
        <w:rPr>
          <w:color w:val="1E1E1E"/>
          <w:sz w:val="18"/>
        </w:rPr>
        <w:t>São constitucionais as disposições normativas do parágrafo único do art. 741 do CPC, do § 1º do art. 475-L, ambos do CPC/73, bem como os correspondentes dispositivos do CPC/15, o art. 525, § 1º, III e §§ 12 e 14, o art. 535, § 5º. Os dispositivos questionados buscam harmonizar a garantia da coisa julgada com o primado da Constituição, agregando ao sistema processual brasileiro, um mecanismo com eficácia rescisória de sentenças revestidas de vício de inconstitucionalidade qualificado. São consideradas decisões com vícios de inconstitucionalidade qualificados: (a) a sentença exequenda fundada em</w:t>
      </w:r>
    </w:p>
    <w:p>
      <w:pPr>
        <w:ind w:left="288"/>
      </w:pPr>
      <w:r>
        <w:rPr>
          <w:b/>
          <w:color w:val="003CA0"/>
          <w:sz w:val="16"/>
        </w:rPr>
        <w:t>[RE 611.503, red. do ac. min. Edson Fachin, j. 20-9-2018, P, DJE de 19-3-2019. Tema 360, com mérito julgado.]</w:t>
      </w:r>
    </w:p>
    <w:p>
      <w:pPr>
        <w:ind w:left="288"/>
      </w:pPr>
      <w:r>
        <w:rPr>
          <w:color w:val="8C8C8C"/>
          <w:sz w:val="12"/>
        </w:rPr>
        <w:t>cf-art-5-inc-XXXII-ali-b</w:t>
      </w:r>
      <w:r>
        <w:rPr>
          <w:color w:val="003CA0"/>
          <w:sz w:val="12"/>
        </w:rPr>
        <w:t xml:space="preserve"> | RE 564.354</w:t>
      </w:r>
      <w:r>
        <w:rPr>
          <w:color w:val="003CA0"/>
          <w:sz w:val="12"/>
        </w:rPr>
        <w:t xml:space="preserve"> | rel. Roberto Barroso</w:t>
      </w:r>
    </w:p>
    <w:p>
      <w:pPr>
        <w:ind w:left="288"/>
      </w:pPr>
      <w:r>
        <w:rPr>
          <w:color w:val="1E1E1E"/>
          <w:sz w:val="18"/>
        </w:rPr>
        <w:t>(...) “os benefícios concedidos entre 5-10-1988 e 5-4-1991 (período do buraco negro) não estão, em tese, excluídos da possibilidade de readequação segundo os tetos instituídos pelas ECs 20/1998 e 41/2003, a ser aferida caso a caso, conforme os parâmetros definidos no julgamento do RE 564.354, em regime de repercussão geral”.</w:t>
      </w:r>
    </w:p>
    <w:p>
      <w:pPr>
        <w:ind w:left="288"/>
      </w:pPr>
      <w:r>
        <w:rPr>
          <w:b/>
          <w:color w:val="003CA0"/>
          <w:sz w:val="16"/>
        </w:rPr>
        <w:t>[RE 937.595 RG, rel. min. Roberto Barroso, j. 2-2-2017, P, DJE de 16-5-2017. Tema 930, com mérito julgado.]</w:t>
      </w:r>
    </w:p>
    <w:p>
      <w:pPr>
        <w:ind w:left="288"/>
      </w:pPr>
      <w:r>
        <w:rPr>
          <w:color w:val="8C8C8C"/>
          <w:sz w:val="12"/>
        </w:rPr>
        <w:t>cf-art-5-inc-XXXII-ali-b</w:t>
      </w:r>
      <w:r>
        <w:rPr>
          <w:color w:val="003CA0"/>
          <w:sz w:val="12"/>
        </w:rPr>
        <w:t xml:space="preserve"> | RE 564.354</w:t>
      </w:r>
      <w:r>
        <w:rPr>
          <w:color w:val="003CA0"/>
          <w:sz w:val="12"/>
        </w:rPr>
        <w:t xml:space="preserve"> | rel. Cármen Lúcia</w:t>
      </w:r>
    </w:p>
    <w:p>
      <w:pPr>
        <w:ind w:left="288"/>
      </w:pPr>
      <w:r>
        <w:rPr>
          <w:color w:val="1E1E1E"/>
          <w:sz w:val="18"/>
        </w:rPr>
        <w:t>Vide RE 564.354, rel. min. Cármen Lúcia, j. 8-9-2010, P, DJE de 15-2-2011. Tema 76, com mérito julgado (...) a decisão do STF declarando a constitucionalidade ou a inconstitucionalidade de preceito normativo não produz a automática reforma ou rescisão das sentenças anteriores que tenham adotado entendimento diferente; para que tal ocorra, será indispensável a interposição do recurso próprio ou, se for o caso, a propositura da ação rescisória própria, nos termos do art. 485, V, do CPC, observado o respectivo prazo decadencial (CPC, art. 495). Ressalva-se desse entendimento, quanto à indispensab</w:t>
      </w:r>
    </w:p>
    <w:p>
      <w:pPr>
        <w:ind w:left="288"/>
      </w:pPr>
      <w:r>
        <w:rPr>
          <w:b/>
          <w:color w:val="003CA0"/>
          <w:sz w:val="16"/>
        </w:rPr>
        <w:t>[ARE 704.520, rel. min. Gilmar Mendes, j. 23-10-2014, P, DJE de 2-12-2014. Tema 771, com mérito julgado.]</w:t>
      </w:r>
    </w:p>
    <w:p>
      <w:pPr>
        <w:ind w:left="288"/>
      </w:pPr>
      <w:r>
        <w:rPr>
          <w:color w:val="8C8C8C"/>
          <w:sz w:val="12"/>
        </w:rPr>
        <w:t>cf-art-5-inc-XXXII-ali-b</w:t>
      </w:r>
      <w:r>
        <w:rPr>
          <w:color w:val="003CA0"/>
          <w:sz w:val="12"/>
        </w:rPr>
        <w:t xml:space="preserve"> | RE 590.809</w:t>
      </w:r>
      <w:r>
        <w:rPr>
          <w:color w:val="003CA0"/>
          <w:sz w:val="12"/>
        </w:rPr>
        <w:t xml:space="preserve"> | rel. Marco Aurélio</w:t>
      </w:r>
    </w:p>
    <w:p>
      <w:pPr>
        <w:ind w:left="288"/>
      </w:pPr>
      <w:r>
        <w:rPr>
          <w:color w:val="1E1E1E"/>
          <w:sz w:val="18"/>
        </w:rPr>
        <w:t>Ação rescisória versus uniformização da jurisprudência. O Direito possui princípios, institutos, expressões e vocábulos com sentido próprio, não cabendo colar a sinonímia às expressões "ação rescisória" e "uniformização da jurisprudência". (...) O Verbete 343 da Súmula do Supremo deve de ser observado em situação jurídica na qual, inexistente controle concentrado de constitucionalidade, haja entendimentos diversos sobre o alcance da norma, mormente quando o Supremo tenha sinalizado, num primeiro passo, óptica coincidente com a revelada na decisão rescindenda.</w:t>
      </w:r>
    </w:p>
    <w:p>
      <w:pPr>
        <w:ind w:left="288"/>
      </w:pPr>
      <w:r>
        <w:rPr>
          <w:b/>
          <w:color w:val="003CA0"/>
          <w:sz w:val="16"/>
        </w:rPr>
        <w:t>[RE 590.809, rel. min. Marco Aurélio, j. 22-10-2014, P, DJE de 24-11-2014. Tema 136, com mérito julgado.]</w:t>
      </w:r>
    </w:p>
    <w:p>
      <w:pPr>
        <w:ind w:left="288"/>
      </w:pPr>
      <w:r>
        <w:rPr>
          <w:color w:val="8C8C8C"/>
          <w:sz w:val="12"/>
        </w:rPr>
        <w:t>cf-art-5-inc-XXXII-ali-b</w:t>
      </w:r>
      <w:r>
        <w:rPr>
          <w:color w:val="003CA0"/>
          <w:sz w:val="12"/>
        </w:rPr>
        <w:t xml:space="preserve"> | RE 596.663</w:t>
      </w:r>
    </w:p>
    <w:p>
      <w:pPr>
        <w:ind w:left="288"/>
      </w:pPr>
      <w:r>
        <w:rPr>
          <w:color w:val="1E1E1E"/>
          <w:sz w:val="18"/>
        </w:rPr>
        <w:t>A sentença que reconhece ao trabalhador ou servidor o direito a determinado percentual de acréscimo remuneratório deixa de ter eficácia a partir da superveniente incorporação definitiva do referido percentual nos seus ganhos.</w:t>
      </w:r>
    </w:p>
    <w:p>
      <w:pPr>
        <w:ind w:left="288"/>
      </w:pPr>
      <w:r>
        <w:rPr>
          <w:b/>
          <w:color w:val="003CA0"/>
          <w:sz w:val="16"/>
        </w:rPr>
        <w:t>[RE 596.663, red. do ac. min. Teori Zavascki, j. 24-9-2014, P, DJE de 26-11-2014. Tema 494, com mérito julgado.]</w:t>
      </w:r>
    </w:p>
    <w:p>
      <w:pPr>
        <w:ind w:left="288"/>
      </w:pPr>
      <w:r>
        <w:rPr>
          <w:color w:val="8C8C8C"/>
          <w:sz w:val="12"/>
        </w:rPr>
        <w:t>cf-art-5-inc-XXXII-ali-b</w:t>
      </w:r>
      <w:r>
        <w:rPr>
          <w:color w:val="003CA0"/>
          <w:sz w:val="12"/>
        </w:rPr>
        <w:t xml:space="preserve"> | RE 561.836</w:t>
      </w:r>
      <w:r>
        <w:rPr>
          <w:color w:val="003CA0"/>
          <w:sz w:val="12"/>
        </w:rPr>
        <w:t xml:space="preserve"> | rel. Luiz Fux</w:t>
      </w:r>
    </w:p>
    <w:p>
      <w:pPr>
        <w:ind w:left="288"/>
      </w:pPr>
      <w:r>
        <w:rPr>
          <w:color w:val="1E1E1E"/>
          <w:sz w:val="18"/>
        </w:rPr>
        <w:t>Vide RE 561.836, rel. min. Luiz Fux, j. 26-9-2013, P, DJE de 10-2-2014. Tema 5, com mérito julgado (...) considerando a vedação constitucional de acumulação remunerada de cargos públicos, não será legítimo transferir, para um deles, vantagem somente devida pelo exercício do outro. A vedação de acumular certamente se estende tanto aos deveres do cargo (= de prestar seus serviços) como aos direitos (de obter as vantagens remuneratórias). Assim, não encontra amparo constitucional a pretensão de acumular, no cargo de magistrado ou em qualquer outro, a vantagem correspondente a "quintos", a que o t</w:t>
      </w:r>
    </w:p>
    <w:p>
      <w:pPr>
        <w:ind w:left="288"/>
      </w:pPr>
      <w:r>
        <w:rPr>
          <w:b/>
          <w:color w:val="003CA0"/>
          <w:sz w:val="16"/>
        </w:rPr>
        <w:t>[RE 587.371, rel. min. Teori Zavascki, j. 14-11-2013, P, DJE de 24-6-2014. Tema 473, com mérito julgado.]</w:t>
      </w:r>
    </w:p>
    <w:p>
      <w:pPr>
        <w:ind w:left="288"/>
      </w:pPr>
      <w:r>
        <w:rPr>
          <w:color w:val="8C8C8C"/>
          <w:sz w:val="12"/>
        </w:rPr>
        <w:t>cf-art-5-inc-XXXII-ali-b</w:t>
      </w:r>
      <w:r>
        <w:rPr>
          <w:color w:val="003CA0"/>
          <w:sz w:val="12"/>
        </w:rPr>
        <w:t xml:space="preserve"> | RE 626.489</w:t>
      </w:r>
      <w:r>
        <w:rPr>
          <w:color w:val="003CA0"/>
          <w:sz w:val="12"/>
        </w:rPr>
        <w:t xml:space="preserve"> | rel. Roberto Barroso</w:t>
      </w:r>
    </w:p>
    <w:p>
      <w:pPr>
        <w:ind w:left="288"/>
      </w:pPr>
      <w:r>
        <w:rPr>
          <w:color w:val="1E1E1E"/>
          <w:sz w:val="18"/>
        </w:rPr>
        <w:t>O direito à previdência social constitui direito fundamental e, uma vez implementados os pressupostos de sua aquisição, não deve ser afetado pelo decurso do tempo. Como consequência, inexiste prazo decadencial para a concessão inicial do benefício previdenciário. É legítima, todavia, a instituição de prazo decadencial de dez anos para a revisão de benefício já concedido, com fundamento no princípio da segurança jurídica, no interesse em evitar a eternização dos litígios e na busca de equilíbrio financeiro e atuarial para o sistema previdenciário. O prazo decadencial de dez anos, instituído pel</w:t>
      </w:r>
    </w:p>
    <w:p>
      <w:pPr>
        <w:ind w:left="288"/>
      </w:pPr>
      <w:r>
        <w:rPr>
          <w:b/>
          <w:color w:val="003CA0"/>
          <w:sz w:val="16"/>
        </w:rPr>
        <w:t>[RE 626.489, rel. min. Roberto Barroso, j. 16-10-2013, P, DJE de 23-9-2014. Tema 313, com mérito julgado.]</w:t>
      </w:r>
    </w:p>
    <w:p>
      <w:pPr>
        <w:ind w:left="288"/>
      </w:pPr>
      <w:r>
        <w:rPr>
          <w:color w:val="8C8C8C"/>
          <w:sz w:val="12"/>
        </w:rPr>
        <w:t>cf-art-5-inc-XXXII-ali-b</w:t>
      </w:r>
      <w:r>
        <w:rPr>
          <w:color w:val="003CA0"/>
          <w:sz w:val="12"/>
        </w:rPr>
        <w:t xml:space="preserve"> | RE 630.501</w:t>
      </w:r>
    </w:p>
    <w:p>
      <w:pPr>
        <w:ind w:left="288"/>
      </w:pPr>
      <w:r>
        <w:rPr>
          <w:color w:val="1E1E1E"/>
          <w:sz w:val="18"/>
        </w:rPr>
        <w:t>O direito adquirido ao melhor benefício implica a possibilidade de o segurado ver o seu benefício deferido ou revisado de modo que corresponda à maior renda possível no cotejo entre a renda mensal inicial obtida e as rendas mensais que estaria percebendo, naquele momento, se houvesse requerido em algum momento anterior o benefício, desde quando possível a aposentadoria proporcional.</w:t>
      </w:r>
    </w:p>
    <w:p>
      <w:pPr>
        <w:ind w:left="288"/>
      </w:pPr>
      <w:r>
        <w:rPr>
          <w:b/>
          <w:color w:val="003CA0"/>
          <w:sz w:val="16"/>
        </w:rPr>
        <w:t>[RE 630.501, red. do ac. min. Marco Aurélio, j. 21-2-2013, P, DJE de 26-8-2013. Tema 334, com mérito julgado.]</w:t>
      </w:r>
    </w:p>
    <w:p>
      <w:pPr>
        <w:ind w:left="288"/>
      </w:pPr>
      <w:r>
        <w:rPr>
          <w:color w:val="8C8C8C"/>
          <w:sz w:val="12"/>
        </w:rPr>
        <w:t>cf-art-5-inc-XXXII-ali-b</w:t>
      </w:r>
      <w:r>
        <w:rPr>
          <w:color w:val="003CA0"/>
          <w:sz w:val="12"/>
        </w:rPr>
        <w:t xml:space="preserve"> | RE 583.834</w:t>
      </w:r>
      <w:r>
        <w:rPr>
          <w:color w:val="003CA0"/>
          <w:sz w:val="12"/>
        </w:rPr>
        <w:t xml:space="preserve"> | rel. Ayres Britto</w:t>
      </w:r>
    </w:p>
    <w:p>
      <w:pPr>
        <w:ind w:left="288"/>
      </w:pPr>
      <w:r>
        <w:rPr>
          <w:color w:val="1E1E1E"/>
          <w:sz w:val="18"/>
        </w:rPr>
        <w:t>O caráter contributivo do regime geral da previdência social (caput do art. 201 da CF) a princípio impede a contagem de tempo ficto de contribuição. O § 5º do art. 29 da Lei 8.213/1991 (Lei de Benefícios da Previdência Social (LBPS)) é exceção razoável à regra proibitiva de tempo de contribuição ficto com apoio no inciso II do art. 55 da mesma lei. E é aplicável somente às situações em que a aposentadoria por invalidez seja precedida do recebimento de auxílio-doença durante período de afastamento intercalado com atividade laborativa, em que há recolhimento da contribuição previdenciária. Enten</w:t>
      </w:r>
    </w:p>
    <w:p>
      <w:pPr>
        <w:ind w:left="288"/>
      </w:pPr>
      <w:r>
        <w:rPr>
          <w:b/>
          <w:color w:val="003CA0"/>
          <w:sz w:val="16"/>
        </w:rPr>
        <w:t>[RE 583.834, rel. min. Ayres Britto, j. 21-9-2011, P, DJE de 14-2-2012. Tema 88, com mérito julgado.]</w:t>
      </w:r>
    </w:p>
    <w:p>
      <w:pPr>
        <w:ind w:left="288"/>
      </w:pPr>
      <w:r>
        <w:rPr>
          <w:color w:val="8C8C8C"/>
          <w:sz w:val="12"/>
        </w:rPr>
        <w:t>cf-art-5-inc-XXXII-ali-b</w:t>
      </w:r>
      <w:r>
        <w:rPr>
          <w:color w:val="003CA0"/>
          <w:sz w:val="12"/>
        </w:rPr>
        <w:t xml:space="preserve"> | RE 598.099</w:t>
      </w:r>
      <w:r>
        <w:rPr>
          <w:color w:val="003CA0"/>
          <w:sz w:val="12"/>
        </w:rPr>
        <w:t xml:space="preserve"> | rel. Gilmar Mendes</w:t>
      </w:r>
    </w:p>
    <w:p>
      <w:pPr>
        <w:ind w:left="288"/>
      </w:pPr>
      <w:r>
        <w:rPr>
          <w:color w:val="1E1E1E"/>
          <w:sz w:val="18"/>
        </w:rPr>
        <w:t>(...) o comportamento da administração pública no decorrer do concurso público deve se pautar pela boa-fé, tanto no sentido objetivo quanto no aspecto subjetivo de respeito à confiança nela depositada por todos os cidadãos.</w:t>
      </w:r>
    </w:p>
    <w:p>
      <w:pPr>
        <w:ind w:left="288"/>
      </w:pPr>
      <w:r>
        <w:rPr>
          <w:b/>
          <w:color w:val="003CA0"/>
          <w:sz w:val="16"/>
        </w:rPr>
        <w:t>[RE 598.099, rel. min. Gilmar Mendes, j. 10-8-2011, P, DJE de 3-10-2011. Tema 161, com mérito julgado.]</w:t>
      </w:r>
    </w:p>
    <w:p>
      <w:pPr>
        <w:ind w:left="288"/>
      </w:pPr>
      <w:r>
        <w:rPr>
          <w:color w:val="8C8C8C"/>
          <w:sz w:val="12"/>
        </w:rPr>
        <w:t>cf-art-5-inc-XXXII-ali-b</w:t>
      </w:r>
      <w:r>
        <w:rPr>
          <w:color w:val="003CA0"/>
          <w:sz w:val="12"/>
        </w:rPr>
        <w:t xml:space="preserve"> | ARE 661.760</w:t>
      </w:r>
      <w:r>
        <w:rPr>
          <w:color w:val="003CA0"/>
          <w:sz w:val="12"/>
        </w:rPr>
        <w:t xml:space="preserve"> | rel. Dias Toffoli</w:t>
      </w:r>
    </w:p>
    <w:p>
      <w:pPr>
        <w:ind w:left="288"/>
      </w:pPr>
      <w:r>
        <w:rPr>
          <w:color w:val="1E1E1E"/>
          <w:sz w:val="18"/>
        </w:rPr>
        <w:t>Vide ARE 661.760 AgR, rel. min. Dias Toffoli, j. 3-9-2013, 1ª T, DJE de 29-10-2013 Vide MS 24.660, red. do ac. min. Cármen Lúcia, j. 3-2-2011, P, DJE de 23-9-2011 Quando do advento da LC 118/2005, estava consolidada a orientação da Primeira Seção do STJ no sentido de que, para os tributos sujeitos a lançamento por homologação, o prazo para repetição ou compensação de indébito era de 10 anos contados do seu fato gerador, tendo em conta a aplicação combinada dos arts. 150, § 4º; 156, VII; e 168, I, do CTN. A LC 118/2005, embora tenha se autoproclamado interpretativa, implicou inovação normativa,</w:t>
      </w:r>
    </w:p>
    <w:p>
      <w:pPr>
        <w:ind w:left="288"/>
      </w:pPr>
      <w:r>
        <w:rPr>
          <w:b/>
          <w:color w:val="003CA0"/>
          <w:sz w:val="16"/>
        </w:rPr>
        <w:t>[RE 566.621, rel. min. Ellen Gracie, j. 4-8-2011, P, DJE de 11-10-2011. Tema 4, com mérito julgado.]</w:t>
      </w:r>
    </w:p>
    <w:p>
      <w:pPr>
        <w:ind w:left="288"/>
      </w:pPr>
      <w:r>
        <w:rPr>
          <w:color w:val="8C8C8C"/>
          <w:sz w:val="12"/>
        </w:rPr>
        <w:t>cf-art-5-inc-XXXII-ali-b</w:t>
      </w:r>
      <w:r>
        <w:rPr>
          <w:color w:val="003CA0"/>
          <w:sz w:val="12"/>
        </w:rPr>
        <w:t xml:space="preserve"> | RE 596.542</w:t>
      </w:r>
      <w:r>
        <w:rPr>
          <w:color w:val="003CA0"/>
          <w:sz w:val="12"/>
        </w:rPr>
        <w:t xml:space="preserve"> | rel. Cezar Peluso</w:t>
      </w:r>
    </w:p>
    <w:p>
      <w:pPr>
        <w:ind w:left="288"/>
      </w:pPr>
      <w:r>
        <w:rPr>
          <w:color w:val="1E1E1E"/>
          <w:sz w:val="18"/>
        </w:rPr>
        <w:t>É compatível com a Constituição lei específica que altera o cálculo da Gratificação por Produção Suplementar (GPS), desde que não haja redução da remuneração na sua totalidade.</w:t>
      </w:r>
    </w:p>
    <w:p>
      <w:pPr>
        <w:ind w:left="288"/>
      </w:pPr>
      <w:r>
        <w:rPr>
          <w:b/>
          <w:color w:val="003CA0"/>
          <w:sz w:val="16"/>
        </w:rPr>
        <w:t>[RE 596.542 RG, rel. min. Cezar Peluso, j. 16-6-2011, P, DJE de 16-9-2011. Tema 434, com mérito julgado.]</w:t>
      </w:r>
    </w:p>
    <w:p>
      <w:pPr>
        <w:ind w:left="288"/>
      </w:pPr>
      <w:r>
        <w:rPr>
          <w:color w:val="8C8C8C"/>
          <w:sz w:val="12"/>
        </w:rPr>
        <w:t>cf-art-5-inc-XXXII-ali-b</w:t>
      </w:r>
      <w:r>
        <w:rPr>
          <w:color w:val="003CA0"/>
          <w:sz w:val="12"/>
        </w:rPr>
        <w:t xml:space="preserve"> | RE 363.889</w:t>
      </w:r>
      <w:r>
        <w:rPr>
          <w:color w:val="003CA0"/>
          <w:sz w:val="12"/>
        </w:rPr>
        <w:t xml:space="preserve"> | rel. Dias Toffoli</w:t>
      </w:r>
    </w:p>
    <w:p>
      <w:pPr>
        <w:ind w:left="288"/>
      </w:pPr>
      <w:r>
        <w:rPr>
          <w:color w:val="1E1E1E"/>
          <w:sz w:val="18"/>
        </w:rPr>
        <w:t>É dotada de repercussão geral a matéria atinente à possibilidade da repropositura de ação de investigação de paternidade, quando anterior demanda idêntica, entre as mesmas partes, foi julgada improcedente, por falta de provas, em razão de a parte interessada não dispor de condições econômicas para realizar o exame de DNA e de o Estado não ter custeado a produção dessa prova. Deve ser relativizada a coisa julgada estabelecida em ações de investigação de paternidade em que não foi possível determinar-se a efetiva existência de vínculo genético a unir as partes, em decorrência da não realização d</w:t>
      </w:r>
    </w:p>
    <w:p>
      <w:pPr>
        <w:ind w:left="288"/>
      </w:pPr>
      <w:r>
        <w:rPr>
          <w:b/>
          <w:color w:val="003CA0"/>
          <w:sz w:val="16"/>
        </w:rPr>
        <w:t>[RE 363.889, rel. min. Dias Toffoli, j. 2-6-2011, P, DJE de 16-12-2011. Tema 392, com mérito julgado.]</w:t>
      </w:r>
    </w:p>
    <w:p>
      <w:pPr>
        <w:ind w:left="288"/>
      </w:pPr>
      <w:r>
        <w:rPr>
          <w:color w:val="8C8C8C"/>
          <w:sz w:val="12"/>
        </w:rPr>
        <w:t>cf-art-5-inc-XXXII-ali-b</w:t>
      </w:r>
      <w:r>
        <w:rPr>
          <w:color w:val="003CA0"/>
          <w:sz w:val="12"/>
        </w:rPr>
        <w:t xml:space="preserve"> | RE 564.354</w:t>
      </w:r>
      <w:r>
        <w:rPr>
          <w:color w:val="003CA0"/>
          <w:sz w:val="12"/>
        </w:rPr>
        <w:t xml:space="preserve"> | rel. Cármen Lúcia</w:t>
      </w:r>
    </w:p>
    <w:p>
      <w:pPr>
        <w:ind w:left="288"/>
      </w:pPr>
      <w:r>
        <w:rPr>
          <w:color w:val="1E1E1E"/>
          <w:sz w:val="18"/>
        </w:rPr>
        <w:t>Não ofende o ato jurídico perfeito a aplicação imediata do art. 14 da EC 20/1998 e do art. 5º da EC 41/2003 aos benefícios previdenciários limitados a teto do regime geral de previdência estabelecido antes da vigência dessas normas, de modo que passem a observar o novo teto constitucional.</w:t>
      </w:r>
    </w:p>
    <w:p>
      <w:pPr>
        <w:ind w:left="288"/>
      </w:pPr>
      <w:r>
        <w:rPr>
          <w:b/>
          <w:color w:val="003CA0"/>
          <w:sz w:val="16"/>
        </w:rPr>
        <w:t>[RE 564.354, rel. min. Cármen Lúcia, j. 8-9-2010, P, DJE de 15-2-2011. Tema 76, com mérito julgado.]</w:t>
      </w:r>
    </w:p>
    <w:p>
      <w:pPr>
        <w:ind w:left="288"/>
      </w:pPr>
      <w:r>
        <w:rPr>
          <w:color w:val="8C8C8C"/>
          <w:sz w:val="12"/>
        </w:rPr>
        <w:t>cf-art-5-inc-XXXII-ali-b</w:t>
      </w:r>
      <w:r>
        <w:rPr>
          <w:color w:val="003CA0"/>
          <w:sz w:val="12"/>
        </w:rPr>
        <w:t xml:space="preserve"> | RE 937.595</w:t>
      </w:r>
      <w:r>
        <w:rPr>
          <w:color w:val="003CA0"/>
          <w:sz w:val="12"/>
        </w:rPr>
        <w:t xml:space="preserve"> | rel. Roberto Barroso</w:t>
      </w:r>
    </w:p>
    <w:p>
      <w:pPr>
        <w:ind w:left="288"/>
      </w:pPr>
      <w:r>
        <w:rPr>
          <w:color w:val="1E1E1E"/>
          <w:sz w:val="18"/>
        </w:rPr>
        <w:t>Vide RE 937.595 RG, rel. min. Roberto Barroso, j. 2-2-2017, P, DJE de 16-5-2017. Tema 930, com mérito julgado Não há, efetivamente, direito adquirido do membro do Ministério Público a candidatar-se ao exercício de novo mandado político. O que socorre a recorrente é o direito atual – não adquirido no passado, mas atual – a concorrer a nova eleição e ser reeleita, afirmado pelo art. 14, § 5º, da CF.</w:t>
      </w:r>
    </w:p>
    <w:p>
      <w:pPr>
        <w:ind w:left="288"/>
      </w:pPr>
      <w:r>
        <w:rPr>
          <w:b/>
          <w:color w:val="003CA0"/>
          <w:sz w:val="16"/>
        </w:rPr>
        <w:t>[RE 597.994, red. do ac. min. Eros Grau, j. 4-6-2009, P, DJE de 28-8-2009. Tema 172, com mérito julgado.]</w:t>
      </w:r>
    </w:p>
    <w:p>
      <w:pPr>
        <w:ind w:left="288"/>
      </w:pPr>
      <w:r>
        <w:rPr>
          <w:color w:val="8C8C8C"/>
          <w:sz w:val="12"/>
        </w:rPr>
        <w:t>cf-art-5-inc-XXXII-ali-b</w:t>
      </w:r>
      <w:r>
        <w:rPr>
          <w:color w:val="003CA0"/>
          <w:sz w:val="12"/>
        </w:rPr>
        <w:t xml:space="preserve"> | RE 563.965</w:t>
      </w:r>
      <w:r>
        <w:rPr>
          <w:color w:val="003CA0"/>
          <w:sz w:val="12"/>
        </w:rPr>
        <w:t xml:space="preserve"> | rel. Cármen Lúcia</w:t>
      </w:r>
    </w:p>
    <w:p>
      <w:pPr>
        <w:ind w:left="288"/>
      </w:pPr>
      <w:r>
        <w:rPr>
          <w:color w:val="1E1E1E"/>
          <w:sz w:val="18"/>
        </w:rPr>
        <w:t>O STF pacificou a sua jurisprudência sobre a constitucionalidade do instituto da estabilidade financeira e sobre a ausência de direito adquirido a regime jurídico. Nesta linha, a LC 203/2001 do Estado do Rio Grande do Norte, no ponto que alterou a forma de cálculo de gratificações e, consequentemente, a composição da remuneração de servidores públicos, não ofende a Constituição da República de 1988, por dar cumprimento ao princípio da irredutibilidade da remuneração.</w:t>
      </w:r>
    </w:p>
    <w:p>
      <w:pPr>
        <w:ind w:left="288"/>
      </w:pPr>
      <w:r>
        <w:rPr>
          <w:b/>
          <w:color w:val="003CA0"/>
          <w:sz w:val="16"/>
        </w:rPr>
        <w:t>[RE 563.965, rel. min. Cármen Lúcia, j. 11-2-2009, P, DJE de 20-3-2009. Tema 41, com mérito julgado.]</w:t>
      </w:r>
    </w:p>
    <w:p>
      <w:pPr>
        <w:ind w:left="288"/>
      </w:pPr>
      <w:r>
        <w:rPr>
          <w:color w:val="8C8C8C"/>
          <w:sz w:val="12"/>
        </w:rPr>
        <w:t>cf-art-5-inc-XXXII-ali-b</w:t>
      </w:r>
      <w:r>
        <w:rPr>
          <w:color w:val="003CA0"/>
          <w:sz w:val="12"/>
        </w:rPr>
        <w:t xml:space="preserve"> | RE 575.089</w:t>
      </w:r>
      <w:r>
        <w:rPr>
          <w:color w:val="003CA0"/>
          <w:sz w:val="12"/>
        </w:rPr>
        <w:t xml:space="preserve"> | rel. Ricardo Lewandowski</w:t>
      </w:r>
    </w:p>
    <w:p>
      <w:pPr>
        <w:ind w:left="288"/>
      </w:pPr>
      <w:r>
        <w:rPr>
          <w:color w:val="1E1E1E"/>
          <w:sz w:val="18"/>
        </w:rPr>
        <w:t>INSS. Aposentadoria. Contagem de tempo. Direito adquirido. Art. 3º da EC 20/1998. Contagem de tempo de serviço posterior a 16-12-1998. Possibilidade. Benefício calculado em conformidade com normas vigentes antes do advento da referida emenda. Inadmissibilidade. (...) Embora tenha o recorrente direito adquirido à aposentadoria, nos termos do art. 3º da EC 20/1998, não pode computar tempo de serviço posterior a ela, valendo-se das regras vigentes antes de sua edição. Inexiste direito adquirido a determinado regime jurídico, razão pela qual não é lícito ao segurado conjugar as vantagens do novo s</w:t>
      </w:r>
    </w:p>
    <w:p>
      <w:pPr>
        <w:ind w:left="288"/>
      </w:pPr>
      <w:r>
        <w:rPr>
          <w:b/>
          <w:color w:val="003CA0"/>
          <w:sz w:val="16"/>
        </w:rPr>
        <w:t>[RE 575.089, rel. min. Ricardo Lewandowski, j. 10-9-2008, P, DJE de 24-10-2008. Tema 70, com mérito julgado.]</w:t>
      </w:r>
    </w:p>
    <w:p>
      <w:pPr>
        <w:ind w:left="288"/>
      </w:pPr>
      <w:r>
        <w:rPr>
          <w:color w:val="8C8C8C"/>
          <w:sz w:val="12"/>
        </w:rPr>
        <w:t>cf-art-5-inc-XXXII-ali-b</w:t>
      </w:r>
      <w:r>
        <w:rPr>
          <w:color w:val="003CA0"/>
          <w:sz w:val="12"/>
        </w:rPr>
        <w:t xml:space="preserve"> | RE 591.068</w:t>
      </w:r>
      <w:r>
        <w:rPr>
          <w:color w:val="003CA0"/>
          <w:sz w:val="12"/>
        </w:rPr>
        <w:t xml:space="preserve"> | rel. Gilmar Mendes</w:t>
      </w:r>
    </w:p>
    <w:p>
      <w:pPr>
        <w:ind w:left="288"/>
      </w:pPr>
      <w:r>
        <w:rPr>
          <w:color w:val="1E1E1E"/>
          <w:sz w:val="18"/>
        </w:rPr>
        <w:t>Possui repercussão geral a discussão sobre a validade e a eficácia de acordo constante de termo de adesão instituído pela LC 110/2001, para pagamento das diferenças relativas aos expurgos inflacionários sobre os saldos das contas vinculadas de FGTS. Matéria já enfrentada por esta Corte em vários julgados, colegiados e monocráticos, que consagraram o entendimento consolidado na Súmula Vinculante 1, segundo o qual ofende a garantia constitucional do ato jurídico perfeito a decisão que, sem ponderar as circunstâncias do caso concreto, desconsidera a validez e a eficácia de acordo constante de ter</w:t>
      </w:r>
    </w:p>
    <w:p>
      <w:pPr>
        <w:ind w:left="288"/>
      </w:pPr>
      <w:r>
        <w:rPr>
          <w:b/>
          <w:color w:val="003CA0"/>
          <w:sz w:val="16"/>
        </w:rPr>
        <w:t>[RE 1.529.476, rel. min. Gilmar Mendes, j. 15.09.2025, P, DJE de 07.10.2025.]</w:t>
      </w:r>
    </w:p>
    <w:p>
      <w:pPr>
        <w:ind w:left="288"/>
      </w:pPr>
      <w:r>
        <w:rPr>
          <w:color w:val="8C8C8C"/>
          <w:sz w:val="12"/>
        </w:rPr>
        <w:t>cf-art-5-inc-XXXII-ali-b</w:t>
      </w:r>
      <w:r>
        <w:rPr>
          <w:color w:val="003CA0"/>
          <w:sz w:val="12"/>
        </w:rPr>
        <w:t xml:space="preserve"> | AR 2.876</w:t>
      </w:r>
      <w:r>
        <w:rPr>
          <w:color w:val="003CA0"/>
          <w:sz w:val="12"/>
        </w:rPr>
        <w:t xml:space="preserve"> | rel. Gilmar Mendes</w:t>
      </w:r>
    </w:p>
    <w:p>
      <w:pPr>
        <w:ind w:left="288"/>
      </w:pPr>
      <w:r>
        <w:rPr>
          <w:color w:val="1E1E1E"/>
          <w:sz w:val="18"/>
        </w:rPr>
        <w:t>“O § 15 do art. 525 e o § 8º do art. 535 do Código de Processo Civil devem ser interpretados conforme à Constituição, com efeitos ex nunc, no seguinte sentido, com a declaração incidental de inconstitucionalidade do § 14 do art. 525 e do § 7º do art. 535: 1. Em cada caso, o Supremo Tribunal Federal poderá definir os efeitos temporais de seus precedentes vinculantes e sua repercussão sobre a coisa julgada, estabelecendo inclusive a extensão da retroação para fins da ação rescisória ou mesmo o seu não cabimento diante do grave risco de lesão à segurança jurídica ou ao interesse social. 2. Na aus</w:t>
      </w:r>
    </w:p>
    <w:p>
      <w:pPr>
        <w:ind w:left="288"/>
      </w:pPr>
      <w:r>
        <w:rPr>
          <w:b/>
          <w:color w:val="003CA0"/>
          <w:sz w:val="16"/>
        </w:rPr>
        <w:t>[AR 2.876 QO, rel. min. Gilmar Mendes, j. 23.04.2025, P, Informativo STF 1.177.]</w:t>
      </w:r>
    </w:p>
    <w:p>
      <w:pPr>
        <w:ind w:left="288"/>
      </w:pPr>
      <w:r>
        <w:rPr>
          <w:color w:val="8C8C8C"/>
          <w:sz w:val="12"/>
        </w:rPr>
        <w:t>cf-art-5-inc-XXXII-ali-b</w:t>
      </w:r>
      <w:r>
        <w:rPr>
          <w:color w:val="003CA0"/>
          <w:sz w:val="12"/>
        </w:rPr>
        <w:t xml:space="preserve"> | ARE 1.434.340</w:t>
      </w:r>
      <w:r>
        <w:rPr>
          <w:color w:val="003CA0"/>
          <w:sz w:val="12"/>
        </w:rPr>
        <w:t xml:space="preserve"> | rel. André Mendonça</w:t>
      </w:r>
    </w:p>
    <w:p>
      <w:pPr>
        <w:ind w:left="288"/>
      </w:pPr>
      <w:r>
        <w:rPr>
          <w:color w:val="1E1E1E"/>
          <w:sz w:val="18"/>
        </w:rPr>
        <w:t>(...) na análise da Ação Direta de Inconstitucionalidade nº 4.420/SP, não foram examinados os temas referentes ao direito à manutenção da forma de atualização dos benefícios (com base no reajuste do salário mínimo) e à incolumidade do percentual relativo à contribuição previdenciária e, dessa forma, não restou garantido aos serventuários o direito à imutabilidade do regime previdenciário nesses pontos. Assim, o acórdão recorrido, ao reconhecer a inviabilidade da indexação de proventos de aposentadoria ao salário mínimo, não violou o princípio do direito adquirido, conforme suscitou a agravante</w:t>
      </w:r>
    </w:p>
    <w:p>
      <w:pPr>
        <w:ind w:left="288"/>
      </w:pPr>
      <w:r>
        <w:rPr>
          <w:b/>
          <w:color w:val="003CA0"/>
          <w:sz w:val="16"/>
        </w:rPr>
        <w:t>[ARE 1.434.340 AgR, rel. min. André Mendonça, j. 25-9-2023, 2ª T, DJE de 18-10-2023.]</w:t>
      </w:r>
    </w:p>
    <w:p>
      <w:pPr>
        <w:ind w:left="288"/>
      </w:pPr>
      <w:r>
        <w:rPr>
          <w:color w:val="8C8C8C"/>
          <w:sz w:val="12"/>
        </w:rPr>
        <w:t>cf-art-5-inc-XXXII-ali-b</w:t>
      </w:r>
      <w:r>
        <w:rPr>
          <w:color w:val="003CA0"/>
          <w:sz w:val="12"/>
        </w:rPr>
        <w:t xml:space="preserve"> | MS 32.672</w:t>
      </w:r>
      <w:r>
        <w:rPr>
          <w:color w:val="003CA0"/>
          <w:sz w:val="12"/>
        </w:rPr>
        <w:t xml:space="preserve"> | rel. Gilmar Mendes</w:t>
      </w:r>
    </w:p>
    <w:p>
      <w:pPr>
        <w:ind w:left="288"/>
      </w:pPr>
      <w:r>
        <w:rPr>
          <w:color w:val="1E1E1E"/>
          <w:sz w:val="18"/>
        </w:rPr>
        <w:t>Pagamento de salário-família a membros de MP estadual. Benefício não previsto na Resolução CNMP 9/2006. Incompatibilidade com o regime de subsídio. Ausência de direito adquirido a regime jurídico.</w:t>
      </w:r>
    </w:p>
    <w:p>
      <w:pPr>
        <w:ind w:left="288"/>
      </w:pPr>
      <w:r>
        <w:rPr>
          <w:b/>
          <w:color w:val="003CA0"/>
          <w:sz w:val="16"/>
        </w:rPr>
        <w:t>[MS 32.672 AgR, rel. min. Gilmar Mendes, j. 15-2-2019, 2ª T, DJE de 22-2-2019.]</w:t>
      </w:r>
    </w:p>
    <w:p>
      <w:pPr>
        <w:ind w:left="288"/>
      </w:pPr>
      <w:r>
        <w:rPr>
          <w:color w:val="8C8C8C"/>
          <w:sz w:val="12"/>
        </w:rPr>
        <w:t>cf-art-5-inc-XXXII-ali-b</w:t>
      </w:r>
      <w:r>
        <w:rPr>
          <w:color w:val="003CA0"/>
          <w:sz w:val="12"/>
        </w:rPr>
        <w:t xml:space="preserve"> | RE 881.864</w:t>
      </w:r>
      <w:r>
        <w:rPr>
          <w:color w:val="003CA0"/>
          <w:sz w:val="12"/>
        </w:rPr>
        <w:t xml:space="preserve"> | rel. Marco Aurélio</w:t>
      </w:r>
    </w:p>
    <w:p>
      <w:pPr>
        <w:ind w:left="288"/>
      </w:pPr>
      <w:r>
        <w:rPr>
          <w:color w:val="1E1E1E"/>
          <w:sz w:val="18"/>
        </w:rPr>
        <w:t>A coisa julgada, no que revela manifestação do princípio da segurança jurídica, assume a estatura de elemento estruturante do Estado Democrático de Direito. A autonomia das entidades desportivas – art. 217, I, do Documento Básico – não permite transformar a Confederação Brasileira de Futebol em órgão revisor de pronunciamentos alcançados pela preclusão maior. Não se deve potencializar os conceitos de autonomia técnica e de mérito desportivo, em detrimento do que soberanamente decidido em processo judicial, no qual – cabe destacar – o Clube de Regatas do Flamengo originariamente integrou o polo</w:t>
      </w:r>
    </w:p>
    <w:p>
      <w:pPr>
        <w:ind w:left="288"/>
      </w:pPr>
      <w:r>
        <w:rPr>
          <w:b/>
          <w:color w:val="003CA0"/>
          <w:sz w:val="16"/>
        </w:rPr>
        <w:t>[RE 881.864 AgR, rel. min. Marco Aurélio, j. 18-4-2017, 1ª T, DJE de 10-10-2017.]</w:t>
      </w:r>
    </w:p>
    <w:p>
      <w:pPr>
        <w:ind w:left="288"/>
      </w:pPr>
      <w:r>
        <w:rPr>
          <w:color w:val="8C8C8C"/>
          <w:sz w:val="12"/>
        </w:rPr>
        <w:t>cf-art-5-inc-XXXII-ali-b</w:t>
      </w:r>
      <w:r>
        <w:rPr>
          <w:color w:val="003CA0"/>
          <w:sz w:val="12"/>
        </w:rPr>
        <w:t xml:space="preserve"> | RCL 20.132</w:t>
      </w:r>
    </w:p>
    <w:p>
      <w:pPr>
        <w:ind w:left="288"/>
      </w:pPr>
      <w:r>
        <w:rPr>
          <w:color w:val="1E1E1E"/>
          <w:sz w:val="18"/>
        </w:rPr>
        <w:t xml:space="preserve">Art. 18 do CPP. Arquivamento de inquérito policial. "Novas pesquisas". Possibilidade de reabertura das investigações, se de outras provas houver notícia. Contrario sensu, a reabertura não pode decorrer da simples mudança de opinião ou reavaliação da situação. É indispensável que haja novas provas ou, ao menos, novas linhas de investigação em perspectiva. Impossibilidade de reabrir inquérito para aprofundar linhas de investigação que já estavam disponíveis para exploração anterior. O arquivamento da investigação, ainda que não faça coisa julgada, é ato sério que só pode ser revisto por motivos </w:t>
      </w:r>
    </w:p>
    <w:p>
      <w:pPr>
        <w:ind w:left="288"/>
      </w:pPr>
      <w:r>
        <w:rPr>
          <w:b/>
          <w:color w:val="003CA0"/>
          <w:sz w:val="16"/>
        </w:rPr>
        <w:t>[Rcl 20.132 AgR-segundo, red. do ac. min. Gilmar Mendes, j. 23-2-2016, 2ª T, DJE de 28-4-2016.]</w:t>
      </w:r>
    </w:p>
    <w:p>
      <w:pPr>
        <w:ind w:left="288"/>
      </w:pPr>
      <w:r>
        <w:rPr>
          <w:color w:val="8C8C8C"/>
          <w:sz w:val="12"/>
        </w:rPr>
        <w:t>cf-art-5-inc-XXXII-ali-b</w:t>
      </w:r>
      <w:r>
        <w:rPr>
          <w:color w:val="003CA0"/>
          <w:sz w:val="12"/>
        </w:rPr>
        <w:t xml:space="preserve"> | HC 95.211</w:t>
      </w:r>
      <w:r>
        <w:rPr>
          <w:color w:val="003CA0"/>
          <w:sz w:val="12"/>
        </w:rPr>
        <w:t xml:space="preserve"> | rel. Cármen Lúcia</w:t>
      </w:r>
    </w:p>
    <w:p>
      <w:pPr>
        <w:ind w:left="288"/>
      </w:pPr>
      <w:r>
        <w:rPr>
          <w:color w:val="1E1E1E"/>
          <w:sz w:val="18"/>
        </w:rPr>
        <w:t>Vide HC 95.211, rel. min. Cármen Lúcia, j. 10-3-2009, 1ª T, DJE de 22-8-2011 A sentença de mérito transitada em julgado só pode ser desconstituída mediante ajuizamento de específica ação autônoma de impugnação (ação rescisória) que haja sido proposta na fluência do prazo decadencial previsto em lei, pois, com o exaurimento de referido lapso temporal, estar-se-á diante da coisa soberanamente julgada, insuscetível de ulterior modificação, ainda que o ato sentencial encontre fundamento em legislação que, em momento posterior, tenha sido declarada inconstitucional pelo STF, quer em sede de control</w:t>
      </w:r>
    </w:p>
    <w:p>
      <w:pPr>
        <w:ind w:left="288"/>
      </w:pPr>
      <w:r>
        <w:rPr>
          <w:b/>
          <w:color w:val="003CA0"/>
          <w:sz w:val="16"/>
        </w:rPr>
        <w:t>[RE 589.513 ED-EDv-AgR, rel. min. Celso de Mello, j. 7-5-2015, P, DJE de 13-8-2015.]</w:t>
      </w:r>
    </w:p>
    <w:p>
      <w:pPr>
        <w:ind w:left="288"/>
      </w:pPr>
      <w:r>
        <w:rPr>
          <w:color w:val="8C8C8C"/>
          <w:sz w:val="12"/>
        </w:rPr>
        <w:t>cf-art-5-inc-XXXII-ali-b</w:t>
      </w:r>
      <w:r>
        <w:rPr>
          <w:color w:val="003CA0"/>
          <w:sz w:val="12"/>
        </w:rPr>
        <w:t xml:space="preserve"> | RE 211.304</w:t>
      </w:r>
    </w:p>
    <w:p>
      <w:pPr>
        <w:ind w:left="288"/>
      </w:pPr>
      <w:r>
        <w:rPr>
          <w:color w:val="1E1E1E"/>
          <w:sz w:val="18"/>
        </w:rPr>
        <w:t>A aplicação da cláusula constitucional que assegura, em face da lei nova, a preservação do direito adquirido e do ato jurídico perfeito (CF, art. 5º, XXXVI) impõe distinguir duas diferentes espécies de situações jurídicas: (a) as situações jurídicas individuais, que são formadas por ato de vontade (especialmente os contratos), cuja celebração, quando legítima, já lhes outorga a condição de ato jurídico perfeito, inibindo, desde então, a incidência de modificações legislativas supervenientes; e (b) as situações jurídicas institucionais ou estatutárias, que são formadas segundo normas gerais e a</w:t>
      </w:r>
    </w:p>
    <w:p>
      <w:pPr>
        <w:ind w:left="288"/>
      </w:pPr>
      <w:r>
        <w:rPr>
          <w:b/>
          <w:color w:val="003CA0"/>
          <w:sz w:val="16"/>
        </w:rPr>
        <w:t>[RE 211.304, red. do ac. min. Teori Zavascki, j. 29-4-2015, P, DJE de 3-8-2015.]</w:t>
      </w:r>
    </w:p>
    <w:p>
      <w:pPr>
        <w:ind w:left="288"/>
      </w:pPr>
      <w:r>
        <w:rPr>
          <w:color w:val="8C8C8C"/>
          <w:sz w:val="12"/>
        </w:rPr>
        <w:t>cf-art-5-inc-XXXII-ali-b</w:t>
      </w:r>
      <w:r>
        <w:rPr>
          <w:color w:val="003CA0"/>
          <w:sz w:val="12"/>
        </w:rPr>
        <w:t xml:space="preserve"> | RE 646.313</w:t>
      </w:r>
      <w:r>
        <w:rPr>
          <w:color w:val="003CA0"/>
          <w:sz w:val="12"/>
        </w:rPr>
        <w:t xml:space="preserve"> | rel. Celso de Mello</w:t>
      </w:r>
    </w:p>
    <w:p>
      <w:pPr>
        <w:ind w:left="288"/>
      </w:pPr>
      <w:r>
        <w:rPr>
          <w:color w:val="1E1E1E"/>
          <w:sz w:val="18"/>
        </w:rPr>
        <w:t>O postulado da segurança jurídica, enquanto expressão do Estado Democrático de Direito, mostra-se impregnado de elevado conteúdo ético, social e jurídico, projetando-se sobre as relações jurídicas, mesmo as de direito público (RTJ 191/922), em ordem a viabilizar a incidência desse mesmo princípio sobre comportamentos de qualquer dos Poderes ou órgãos do Estado, para que se preservem, desse modo, sem prejuízo ou surpresa para o administrado, situações já consolidadas no passado. A essencialidade do postulado da segurança jurídica e a necessidade de se respeitarem situações consolidadas no tempo</w:t>
      </w:r>
    </w:p>
    <w:p>
      <w:pPr>
        <w:ind w:left="288"/>
      </w:pPr>
      <w:r>
        <w:rPr>
          <w:b/>
          <w:color w:val="003CA0"/>
          <w:sz w:val="16"/>
        </w:rPr>
        <w:t>[RE 646.313 AgR, rel. min. Celso de Mello, j. 18-11-2014, 2ª T, DJE de 10-12-2014.]</w:t>
      </w:r>
    </w:p>
    <w:p>
      <w:pPr>
        <w:ind w:left="288"/>
      </w:pPr>
      <w:r>
        <w:rPr>
          <w:color w:val="8C8C8C"/>
          <w:sz w:val="12"/>
        </w:rPr>
        <w:t>cf-art-5-inc-XXXII-ali-b</w:t>
      </w:r>
      <w:r>
        <w:rPr>
          <w:color w:val="003CA0"/>
          <w:sz w:val="12"/>
        </w:rPr>
        <w:t xml:space="preserve"> | AI 632.933</w:t>
      </w:r>
      <w:r>
        <w:rPr>
          <w:color w:val="003CA0"/>
          <w:sz w:val="12"/>
        </w:rPr>
        <w:t xml:space="preserve"> | rel. Gilmar Mendes</w:t>
      </w:r>
    </w:p>
    <w:p>
      <w:pPr>
        <w:ind w:left="288"/>
      </w:pPr>
      <w:r>
        <w:rPr>
          <w:color w:val="1E1E1E"/>
          <w:sz w:val="18"/>
        </w:rPr>
        <w:t>Inexistência de direito adquirido a regime jurídico, consubstanciado nas parcelas que compõem a estrutura remuneratória de servidores inativos, desde que observada a irredutibilidade salarial. (...) A MP 2.131/2000 suprimiu validamente rubrica outrora devida aos militares da reserva da União a título de adicional de inatividade, porquanto as alterações nela veiculadas não resultaram na diminuição do valor global da remuneração dos servidores afetados.</w:t>
      </w:r>
    </w:p>
    <w:p>
      <w:pPr>
        <w:ind w:left="288"/>
      </w:pPr>
      <w:r>
        <w:rPr>
          <w:b/>
          <w:color w:val="003CA0"/>
          <w:sz w:val="16"/>
        </w:rPr>
        <w:t>[AI 632.933 AgR-EDv-AgR, rel. min. Gilmar Mendes, j. 1º-8-2014, P, DJE de 30-10-2014.]</w:t>
      </w:r>
    </w:p>
    <w:p>
      <w:pPr>
        <w:ind w:left="288"/>
      </w:pPr>
      <w:r>
        <w:rPr>
          <w:color w:val="8C8C8C"/>
          <w:sz w:val="12"/>
        </w:rPr>
        <w:t>cf-art-5-inc-XXXII-ali-b</w:t>
      </w:r>
      <w:r>
        <w:rPr>
          <w:color w:val="003CA0"/>
          <w:sz w:val="12"/>
        </w:rPr>
        <w:t xml:space="preserve"> | AR 2.082</w:t>
      </w:r>
      <w:r>
        <w:rPr>
          <w:color w:val="003CA0"/>
          <w:sz w:val="12"/>
        </w:rPr>
        <w:t xml:space="preserve"> | rel. Cármen Lúcia</w:t>
      </w:r>
    </w:p>
    <w:p>
      <w:pPr>
        <w:ind w:left="288"/>
      </w:pPr>
      <w:r>
        <w:rPr>
          <w:color w:val="1E1E1E"/>
          <w:sz w:val="18"/>
        </w:rPr>
        <w:t>Pretensão de atribuir natureza preventiva à ação rescisória em razão de mudança jurisprudencial futura. Impossibilidade.</w:t>
      </w:r>
    </w:p>
    <w:p>
      <w:pPr>
        <w:ind w:left="288"/>
      </w:pPr>
      <w:r>
        <w:rPr>
          <w:b/>
          <w:color w:val="003CA0"/>
          <w:sz w:val="16"/>
        </w:rPr>
        <w:t>[AR 2.082 AgR, rel. min. Cármen Lúcia, j. 14-5-2014, P, DJE de 2-6-2014.]</w:t>
      </w:r>
    </w:p>
    <w:p>
      <w:pPr>
        <w:ind w:left="288"/>
      </w:pPr>
      <w:r>
        <w:rPr>
          <w:color w:val="8C8C8C"/>
          <w:sz w:val="12"/>
        </w:rPr>
        <w:t>cf-art-5-inc-XXXII-ali-b</w:t>
      </w:r>
      <w:r>
        <w:rPr>
          <w:color w:val="003CA0"/>
          <w:sz w:val="12"/>
        </w:rPr>
        <w:t xml:space="preserve"> | AR 1.860</w:t>
      </w:r>
      <w:r>
        <w:rPr>
          <w:color w:val="003CA0"/>
          <w:sz w:val="12"/>
        </w:rPr>
        <w:t xml:space="preserve"> | rel. Ricardo Lewandowski</w:t>
      </w:r>
    </w:p>
    <w:p>
      <w:pPr>
        <w:ind w:left="288"/>
      </w:pPr>
      <w:r>
        <w:rPr>
          <w:color w:val="1E1E1E"/>
          <w:sz w:val="18"/>
        </w:rPr>
        <w:t>É inviável o sobrestamento da ação rescisória com a finalidade de aguardar eventual modificação da jurisprudência no âmbito do STF, sob pena de maltrato à segurança jurídica e burla ao prazo decadencial de ajuizamento da ação.</w:t>
      </w:r>
    </w:p>
    <w:p>
      <w:pPr>
        <w:ind w:left="288"/>
      </w:pPr>
      <w:r>
        <w:rPr>
          <w:b/>
          <w:color w:val="003CA0"/>
          <w:sz w:val="16"/>
        </w:rPr>
        <w:t>[AR 1.860 AgR, rel. min. Ricardo Lewandowski, j. 14-5-2014, P, DJE de 4-6-2014.]</w:t>
      </w:r>
    </w:p>
    <w:p>
      <w:pPr>
        <w:ind w:left="288"/>
      </w:pPr>
      <w:r>
        <w:rPr>
          <w:color w:val="8C8C8C"/>
          <w:sz w:val="12"/>
        </w:rPr>
        <w:t>cf-art-5-inc-XXXII-ali-b</w:t>
      </w:r>
      <w:r>
        <w:rPr>
          <w:color w:val="003CA0"/>
          <w:sz w:val="12"/>
        </w:rPr>
        <w:t xml:space="preserve"> | AR 2.098</w:t>
      </w:r>
      <w:r>
        <w:rPr>
          <w:color w:val="003CA0"/>
          <w:sz w:val="12"/>
        </w:rPr>
        <w:t xml:space="preserve"> | rel. Edson Fachin</w:t>
      </w:r>
    </w:p>
    <w:p>
      <w:pPr>
        <w:ind w:left="288"/>
      </w:pPr>
      <w:r>
        <w:rPr>
          <w:color w:val="1E1E1E"/>
          <w:sz w:val="18"/>
        </w:rPr>
        <w:t>Vide AR 2.098 AgR, rel. min. Edson Fachin, j. 1º-7-2016, P, DJE de 26-9-2016 Adoção pelo acórdão rescindendo de premissa equivocada fixada pelo demandante. Impossibilidade de a parte beneficiar-se da própria torpeza.</w:t>
      </w:r>
    </w:p>
    <w:p>
      <w:pPr>
        <w:ind w:left="288"/>
      </w:pPr>
      <w:r>
        <w:rPr>
          <w:b/>
          <w:color w:val="003CA0"/>
          <w:sz w:val="16"/>
        </w:rPr>
        <w:t>[AR 1.455 AgR, rel. min. Teori Zavascki, j. 14-5-2014, P, DJE de 4-6-2014.]</w:t>
      </w:r>
    </w:p>
    <w:p>
      <w:pPr>
        <w:ind w:left="288"/>
      </w:pPr>
      <w:r>
        <w:rPr>
          <w:color w:val="8C8C8C"/>
          <w:sz w:val="12"/>
        </w:rPr>
        <w:t>cf-art-5-inc-XXXII-ali-b</w:t>
      </w:r>
      <w:r>
        <w:rPr>
          <w:color w:val="003CA0"/>
          <w:sz w:val="12"/>
        </w:rPr>
        <w:t xml:space="preserve"> | AR 2.125</w:t>
      </w:r>
      <w:r>
        <w:rPr>
          <w:color w:val="003CA0"/>
          <w:sz w:val="12"/>
        </w:rPr>
        <w:t xml:space="preserve"> | rel. Marco Aurélio</w:t>
      </w:r>
    </w:p>
    <w:p>
      <w:pPr>
        <w:ind w:left="288"/>
      </w:pPr>
      <w:r>
        <w:rPr>
          <w:color w:val="1E1E1E"/>
          <w:sz w:val="18"/>
        </w:rPr>
        <w:t>Descabe, em mitigação precária e efêmera da coisa julgada, de envergadura constitucional, implementar, na rescisória, tutela antecipada.</w:t>
      </w:r>
    </w:p>
    <w:p>
      <w:pPr>
        <w:ind w:left="288"/>
      </w:pPr>
      <w:r>
        <w:rPr>
          <w:b/>
          <w:color w:val="003CA0"/>
          <w:sz w:val="16"/>
        </w:rPr>
        <w:t>[AR 2.125 AgR, rel. min. Marco Aurélio, j. 14-5-2014, P, DJE de 7-8-2014.]</w:t>
      </w:r>
    </w:p>
    <w:p>
      <w:pPr>
        <w:ind w:left="288"/>
      </w:pPr>
      <w:r>
        <w:rPr>
          <w:color w:val="8C8C8C"/>
          <w:sz w:val="12"/>
        </w:rPr>
        <w:t>cf-art-5-inc-XXXII-ali-b</w:t>
      </w:r>
      <w:r>
        <w:rPr>
          <w:color w:val="003CA0"/>
          <w:sz w:val="12"/>
        </w:rPr>
        <w:t xml:space="preserve"> | AR 1.734</w:t>
      </w:r>
      <w:r>
        <w:rPr>
          <w:color w:val="003CA0"/>
          <w:sz w:val="12"/>
        </w:rPr>
        <w:t xml:space="preserve"> | rel. Joaquim Barbosa</w:t>
      </w:r>
    </w:p>
    <w:p>
      <w:pPr>
        <w:ind w:left="288"/>
      </w:pPr>
      <w:r>
        <w:rPr>
          <w:color w:val="1E1E1E"/>
          <w:sz w:val="18"/>
        </w:rPr>
        <w:t>Vide AR 1.734 MC, rel. min. Joaquim Barbosa, j. 28-9-2005, P, DJ de 22-9-2006 A decisão tomada em sede de exceção de pré-executividade tem o condão de formar coisa julgada material.</w:t>
      </w:r>
    </w:p>
    <w:p>
      <w:pPr>
        <w:ind w:left="288"/>
      </w:pPr>
      <w:r>
        <w:rPr>
          <w:b/>
          <w:color w:val="003CA0"/>
          <w:sz w:val="16"/>
        </w:rPr>
        <w:t>[Rcl 13.335 AgR, rel. min. Ricardo Lewandowski, j. 19-9-2013, P, DJE de 16-10-2013.]</w:t>
      </w:r>
    </w:p>
    <w:p>
      <w:pPr>
        <w:ind w:left="288"/>
      </w:pPr>
      <w:r>
        <w:rPr>
          <w:color w:val="8C8C8C"/>
          <w:sz w:val="12"/>
        </w:rPr>
        <w:t>cf-art-5-inc-XXXII-ali-b</w:t>
      </w:r>
      <w:r>
        <w:rPr>
          <w:color w:val="003CA0"/>
          <w:sz w:val="12"/>
        </w:rPr>
        <w:t xml:space="preserve"> | MS 22.315</w:t>
      </w:r>
      <w:r>
        <w:rPr>
          <w:color w:val="003CA0"/>
          <w:sz w:val="12"/>
        </w:rPr>
        <w:t xml:space="preserve"> | rel. Gilmar Mendes</w:t>
      </w:r>
    </w:p>
    <w:p>
      <w:pPr>
        <w:ind w:left="288"/>
      </w:pPr>
      <w:r>
        <w:rPr>
          <w:color w:val="1E1E1E"/>
          <w:sz w:val="18"/>
        </w:rPr>
        <w:t>Aposentadoria. TCU. Negativa de registro de aposentadoria. Segurança jurídica como subprincípio do Estado de Direito. Situação consolidada, prevalecendo a boa-fé e a confiança. Aptidão da justificação judicial para produzir os efeitos a que se destina.</w:t>
      </w:r>
    </w:p>
    <w:p>
      <w:pPr>
        <w:ind w:left="288"/>
      </w:pPr>
      <w:r>
        <w:rPr>
          <w:b/>
          <w:color w:val="003CA0"/>
          <w:sz w:val="16"/>
        </w:rPr>
        <w:t>[MS 22.315, rel. min. Gilmar Mendes, j. 17-4-2012, 2ª T, DJE de 16-5-2012.]</w:t>
      </w:r>
    </w:p>
    <w:p>
      <w:pPr>
        <w:ind w:left="288"/>
      </w:pPr>
      <w:r>
        <w:rPr>
          <w:color w:val="8C8C8C"/>
          <w:sz w:val="12"/>
        </w:rPr>
        <w:t>cf-art-5-inc-XXXII-ali-b</w:t>
      </w:r>
      <w:r>
        <w:rPr>
          <w:color w:val="003CA0"/>
          <w:sz w:val="12"/>
        </w:rPr>
        <w:t xml:space="preserve"> | ACO 79</w:t>
      </w:r>
      <w:r>
        <w:rPr>
          <w:color w:val="003CA0"/>
          <w:sz w:val="12"/>
        </w:rPr>
        <w:t xml:space="preserve"> | rel. Cezar Peluso</w:t>
      </w:r>
    </w:p>
    <w:p>
      <w:pPr>
        <w:ind w:left="288"/>
      </w:pPr>
      <w:r>
        <w:rPr>
          <w:color w:val="1E1E1E"/>
          <w:sz w:val="18"/>
        </w:rPr>
        <w:t>Sob pena de ofensa aos princípios constitucionais da segurança jurídica e da proteção à confiança legítima, não podem ser anuladas, meio século depois, por falta de necessária autorização prévia do Legislativo, concessões de domínio de terras públicas, celebradas para fins de colonização, quando esta, sob absoluta boa-fé e convicção de validez dos negócios por parte dos adquirentes e sucessores, se consolidou, ao longo do tempo, com criação de cidades, fixação de famílias, construção de hospitais, estradas, aeroportos, residências, estabelecimentos comerciais, industriais e de serviços, etc.</w:t>
      </w:r>
    </w:p>
    <w:p>
      <w:pPr>
        <w:ind w:left="288"/>
      </w:pPr>
      <w:r>
        <w:rPr>
          <w:b/>
          <w:color w:val="003CA0"/>
          <w:sz w:val="16"/>
        </w:rPr>
        <w:t>[ACO 79, rel. min. Cezar Peluso, j. 15-3-2012, P, DJE de 28-5-2012.]</w:t>
      </w:r>
    </w:p>
    <w:p>
      <w:pPr>
        <w:ind w:left="288"/>
      </w:pPr>
      <w:r>
        <w:rPr>
          <w:color w:val="8C8C8C"/>
          <w:sz w:val="12"/>
        </w:rPr>
        <w:t>cf-art-5-inc-XXXII-ali-b</w:t>
      </w:r>
      <w:r>
        <w:rPr>
          <w:color w:val="003CA0"/>
          <w:sz w:val="12"/>
        </w:rPr>
        <w:t xml:space="preserve"> | MS 27.851</w:t>
      </w:r>
    </w:p>
    <w:p>
      <w:pPr>
        <w:ind w:left="288"/>
      </w:pPr>
      <w:r>
        <w:rPr>
          <w:color w:val="1E1E1E"/>
          <w:sz w:val="18"/>
        </w:rPr>
        <w:t>Desconto nos subsídios de magistrados para a recomposição de valores percebidos indevidamente. A realização do desconto ou a sua majoração dependem da observância do contraditório e da ampla defesa. É que as manifestações de vontade da administração pública devem, à medida do que for possível e viável, tal como in casu, obedecer um processo dialético que conte com a oitiva da parte interessada. A procedimentalização dos atos administrativos exige o respeito e prévia consulta aos administrados afetados quando da edição de um ato estatal executado na função administrativa. Majoração de 1% para 1</w:t>
      </w:r>
    </w:p>
    <w:p>
      <w:pPr>
        <w:ind w:left="288"/>
      </w:pPr>
      <w:r>
        <w:rPr>
          <w:b/>
          <w:color w:val="003CA0"/>
          <w:sz w:val="16"/>
        </w:rPr>
        <w:t>[MS 27.851, red. do ac. min. Luiz Fux, j. 27-9-2011, 1ª T, DJE de 23-11-2011.]</w:t>
      </w:r>
    </w:p>
    <w:p>
      <w:pPr>
        <w:ind w:left="288"/>
      </w:pPr>
      <w:r>
        <w:rPr>
          <w:color w:val="8C8C8C"/>
          <w:sz w:val="12"/>
        </w:rPr>
        <w:t>cf-art-5-inc-XXXII-ali-b</w:t>
      </w:r>
      <w:r>
        <w:rPr>
          <w:color w:val="003CA0"/>
          <w:sz w:val="12"/>
        </w:rPr>
        <w:t xml:space="preserve"> | MS 30.932</w:t>
      </w:r>
      <w:r>
        <w:rPr>
          <w:color w:val="003CA0"/>
          <w:sz w:val="12"/>
        </w:rPr>
        <w:t xml:space="preserve"> | rel. Cármen Lúcia</w:t>
      </w:r>
    </w:p>
    <w:p>
      <w:pPr>
        <w:ind w:left="288"/>
      </w:pPr>
      <w:r>
        <w:rPr>
          <w:color w:val="1E1E1E"/>
          <w:sz w:val="18"/>
        </w:rPr>
        <w:t>= MS 30.932, rel. min. Cármen Lúcia, j. 18-12-2012, 2ª T, DJE de 22-2-2013 Servidor público. Direito à restituição de contribuições. Fundo de pensão facultativo extinto unilateralmente pela administração pública. (...) Caso em que a administração pública editou uma lei para dar fim a plano especial de pensão, quando ainda vivos os supridores estipendiais desse plano. Situação em que lei posterior fez retroagir a sua eficácia temporal para impedir a produção dos efeitos futuros de ato jurídico anteriormente consolidado, com violação à garantia constitucional do inciso XXXVI do art. 5º da CF.</w:t>
      </w:r>
    </w:p>
    <w:p>
      <w:pPr>
        <w:ind w:left="288"/>
      </w:pPr>
      <w:r>
        <w:rPr>
          <w:b/>
          <w:color w:val="003CA0"/>
          <w:sz w:val="16"/>
        </w:rPr>
        <w:t>[RE 486.825, rel. min. Ayres Britto, j. 6-9-2011, 1ª T, DJE de 6-2-2012.]</w:t>
      </w:r>
    </w:p>
    <w:p>
      <w:pPr>
        <w:ind w:left="288"/>
      </w:pPr>
      <w:r>
        <w:rPr>
          <w:color w:val="8C8C8C"/>
          <w:sz w:val="12"/>
        </w:rPr>
        <w:t>cf-art-5-inc-XXXII-ali-b</w:t>
      </w:r>
      <w:r>
        <w:rPr>
          <w:color w:val="003CA0"/>
          <w:sz w:val="12"/>
        </w:rPr>
        <w:t xml:space="preserve"> | AI 842.063</w:t>
      </w:r>
      <w:r>
        <w:rPr>
          <w:color w:val="003CA0"/>
          <w:sz w:val="12"/>
        </w:rPr>
        <w:t xml:space="preserve"> | rel. Cezar Peluso</w:t>
      </w:r>
    </w:p>
    <w:p>
      <w:pPr>
        <w:ind w:left="288"/>
      </w:pPr>
      <w:r>
        <w:rPr>
          <w:color w:val="1E1E1E"/>
          <w:sz w:val="18"/>
        </w:rPr>
        <w:t>É compatível com a Constituição a aplicabilidade imediata do art. 1º-F da Lei 9.494/1997, com alteração pela MP 2.180-35/2001, ainda que em relação às ações ajuizadas antes de sua entrada em vigor.</w:t>
      </w:r>
    </w:p>
    <w:p>
      <w:pPr>
        <w:ind w:left="288"/>
      </w:pPr>
      <w:r>
        <w:rPr>
          <w:b/>
          <w:color w:val="003CA0"/>
          <w:sz w:val="16"/>
        </w:rPr>
        <w:t>[AI 842.063 RG, rel. min. Cezar Peluso, j. 16-6-2011, P, DJE de 2-9-2011. Tema 435, com mérito julgado.]</w:t>
      </w:r>
    </w:p>
    <w:p>
      <w:pPr>
        <w:ind w:left="288"/>
      </w:pPr>
      <w:r>
        <w:rPr>
          <w:color w:val="8C8C8C"/>
          <w:sz w:val="12"/>
        </w:rPr>
        <w:t>cf-art-5-inc-XXXII-ali-b</w:t>
      </w:r>
      <w:r>
        <w:rPr>
          <w:color w:val="003CA0"/>
          <w:sz w:val="12"/>
        </w:rPr>
        <w:t xml:space="preserve"> | AO 482</w:t>
      </w:r>
      <w:r>
        <w:rPr>
          <w:color w:val="003CA0"/>
          <w:sz w:val="12"/>
        </w:rPr>
        <w:t xml:space="preserve"> | rel. Cármen Lúcia</w:t>
      </w:r>
    </w:p>
    <w:p>
      <w:pPr>
        <w:ind w:left="288"/>
      </w:pPr>
      <w:r>
        <w:rPr>
          <w:color w:val="1E1E1E"/>
          <w:sz w:val="18"/>
        </w:rPr>
        <w:t>Pretensão de gozo do direito de licença-prêmio adquirido na condição de servidora pública federal (art. 87 da Lei 8.112/1990) após a impetrante passar a integrar a carreira da magistratura trabalhista (LC 35/1979 – Loman). (...) Não consta nos autos prova de que lhe teria sido negado o exercício do direito adquirido no primeiro período aquisitivo (14-9-1983 a 13-9-1988). O segundo período aquisitivo (14-9-1988 a 7-1-1992), no qual a impetrante ainda atuava como servidora pública, não pode ser somado ao tempo de serviço prestado como magistrada, para fins de reconhecimento do direito à licença-</w:t>
      </w:r>
    </w:p>
    <w:p>
      <w:pPr>
        <w:ind w:left="288"/>
      </w:pPr>
      <w:r>
        <w:rPr>
          <w:b/>
          <w:color w:val="003CA0"/>
          <w:sz w:val="16"/>
        </w:rPr>
        <w:t>[AO 482, rel. min. Cármen Lúcia, j. 14-4-2011, P, DJE de 25-5-2011.]</w:t>
      </w:r>
    </w:p>
    <w:p>
      <w:pPr>
        <w:ind w:left="288"/>
      </w:pPr>
      <w:r>
        <w:rPr>
          <w:color w:val="8C8C8C"/>
          <w:sz w:val="12"/>
        </w:rPr>
        <w:t>cf-art-5-inc-XXXII-ali-b</w:t>
      </w:r>
      <w:r>
        <w:rPr>
          <w:color w:val="003CA0"/>
          <w:sz w:val="12"/>
        </w:rPr>
        <w:t xml:space="preserve"> | MS 24.781</w:t>
      </w:r>
    </w:p>
    <w:p>
      <w:pPr>
        <w:ind w:left="288"/>
      </w:pPr>
      <w:r>
        <w:rPr>
          <w:color w:val="1E1E1E"/>
          <w:sz w:val="18"/>
        </w:rPr>
        <w:t>A recente jurisprudência consolidada do STF passou a se manifestar no sentido de exigir que o TCU assegure a ampla defesa e o contraditório nos casos em que o controle externo de legalidade exercido pela Corte de Contas, para registro de aposentadorias e pensões, ultrapassar o prazo de cinco anos, sob pena de ofensa ao princípio da confiança – face subjetiva do princípio da segurança jurídica.</w:t>
      </w:r>
    </w:p>
    <w:p>
      <w:pPr>
        <w:ind w:left="288"/>
      </w:pPr>
      <w:r>
        <w:rPr>
          <w:b/>
          <w:color w:val="003CA0"/>
          <w:sz w:val="16"/>
        </w:rPr>
        <w:t>[MS 24.781, red. do ac. min. Gilmar Mendes, j. 2-3-2011, P, DJE de 9-6-2011.]</w:t>
      </w:r>
    </w:p>
    <w:p>
      <w:pPr>
        <w:ind w:left="288"/>
      </w:pPr>
      <w:r>
        <w:rPr>
          <w:color w:val="8C8C8C"/>
          <w:sz w:val="12"/>
        </w:rPr>
        <w:t>cf-art-5-inc-XXXII-ali-b</w:t>
      </w:r>
      <w:r>
        <w:rPr>
          <w:color w:val="003CA0"/>
          <w:sz w:val="12"/>
        </w:rPr>
        <w:t xml:space="preserve"> | RE 599.618</w:t>
      </w:r>
      <w:r>
        <w:rPr>
          <w:color w:val="003CA0"/>
          <w:sz w:val="12"/>
        </w:rPr>
        <w:t xml:space="preserve"> | rel. Cármen Lúcia</w:t>
      </w:r>
    </w:p>
    <w:p>
      <w:pPr>
        <w:ind w:left="288"/>
      </w:pPr>
      <w:r>
        <w:rPr>
          <w:color w:val="1E1E1E"/>
          <w:sz w:val="18"/>
        </w:rPr>
        <w:t>Transposição do regime celetista para o estatutário. Inexistência de direito adquirido a regime jurídico. Possibilidade de diminuição ou supressão de vantagens sem redução do valor da remuneração.</w:t>
      </w:r>
    </w:p>
    <w:p>
      <w:pPr>
        <w:ind w:left="288"/>
      </w:pPr>
      <w:r>
        <w:rPr>
          <w:b/>
          <w:color w:val="003CA0"/>
          <w:sz w:val="16"/>
        </w:rPr>
        <w:t>[RE 599.618 ED, rel. min. Cármen Lúcia, j. 1º-2-2011, 1ª T, DJE de 14-3-2011.]</w:t>
      </w:r>
    </w:p>
    <w:p>
      <w:pPr>
        <w:ind w:left="288"/>
      </w:pPr>
      <w:r>
        <w:rPr>
          <w:color w:val="8C8C8C"/>
          <w:sz w:val="12"/>
        </w:rPr>
        <w:t>cf-art-5-inc-XXXII-ali-b</w:t>
      </w:r>
      <w:r>
        <w:rPr>
          <w:color w:val="003CA0"/>
          <w:sz w:val="12"/>
        </w:rPr>
        <w:t xml:space="preserve"> | RE 562.757</w:t>
      </w:r>
      <w:r>
        <w:rPr>
          <w:color w:val="003CA0"/>
          <w:sz w:val="12"/>
        </w:rPr>
        <w:t xml:space="preserve"> | rel. Gilmar Mendes</w:t>
      </w:r>
    </w:p>
    <w:p>
      <w:pPr>
        <w:ind w:left="288"/>
      </w:pPr>
      <w:r>
        <w:rPr>
          <w:color w:val="1E1E1E"/>
          <w:sz w:val="18"/>
        </w:rPr>
        <w:t>= RE 562.757 ED, rel. min. Gilmar Mendes, j. 21-8-2012, 2ª T, DJE de 5-9-2012 Vide RE 212.131, rel. min. Ilmar Galvão, j. 3-8-1999, 1ª T, DJ de 29-10-1999 O que regula os proventos da inatividade é a lei (e não sua interpretação) vigente ao tempo em que o servidor preencheu os requisitos para a respectiva aposentadoria (Súmula 359/STF). Somente a lei pode conceder vantagens a servidores públicos. Inexiste direito adquirido com fundamento em antiga e superada interpretação da lei.</w:t>
      </w:r>
    </w:p>
    <w:p>
      <w:pPr>
        <w:ind w:left="288"/>
      </w:pPr>
      <w:r>
        <w:rPr>
          <w:b/>
          <w:color w:val="003CA0"/>
          <w:sz w:val="16"/>
        </w:rPr>
        <w:t>[MS 26.196, rel. min. Ayres Britto, j. 18-11-2010, P, DJE de 1º-2-2011.]</w:t>
      </w:r>
    </w:p>
    <w:p>
      <w:pPr>
        <w:ind w:left="288"/>
      </w:pPr>
      <w:r>
        <w:rPr>
          <w:color w:val="8C8C8C"/>
          <w:sz w:val="12"/>
        </w:rPr>
        <w:t>cf-art-5-inc-XXXII-ali-b</w:t>
      </w:r>
      <w:r>
        <w:rPr>
          <w:color w:val="003CA0"/>
          <w:sz w:val="12"/>
        </w:rPr>
        <w:t xml:space="preserve"> | MS 25.116</w:t>
      </w:r>
      <w:r>
        <w:rPr>
          <w:color w:val="003CA0"/>
          <w:sz w:val="12"/>
        </w:rPr>
        <w:t xml:space="preserve"> | rel. Ayres Britto</w:t>
      </w:r>
    </w:p>
    <w:p>
      <w:pPr>
        <w:ind w:left="288"/>
      </w:pPr>
      <w:r>
        <w:rPr>
          <w:color w:val="1E1E1E"/>
          <w:sz w:val="18"/>
        </w:rPr>
        <w:t xml:space="preserve">Ato do TCU. (...) Negativa de registro a aposentadoria. (...) A inércia da Corte de Contas, por mais de cinco anos, a contar da aposentadoria, consolidou afirmativamente a expectativa do ex-servidor quanto ao recebimento de verba de caráter alimentar. Esse aspecto temporal diz intimamente com: o princípio da segurança jurídica, projeção objetiva do princípio da dignidade da pessoa humana e elemento conceitual do Estado de Direito; a lealdade, um dos conteúdos do princípio constitucional da moralidade administrativa (caput do art. 37). São de se reconhecer, portanto, certas situações jurídicas </w:t>
      </w:r>
    </w:p>
    <w:p>
      <w:pPr>
        <w:ind w:left="288"/>
      </w:pPr>
      <w:r>
        <w:rPr>
          <w:b/>
          <w:color w:val="003CA0"/>
          <w:sz w:val="16"/>
        </w:rPr>
        <w:t>[MS 25.116, rel. min. Ayres Britto, j. 8-9-2010, P, DJE de 10-2-2011.]</w:t>
      </w:r>
    </w:p>
    <w:p>
      <w:pPr>
        <w:ind w:left="288"/>
      </w:pPr>
      <w:r>
        <w:rPr>
          <w:color w:val="8C8C8C"/>
          <w:sz w:val="12"/>
        </w:rPr>
        <w:t>cf-art-5-inc-XXXII-ali-b</w:t>
      </w:r>
      <w:r>
        <w:rPr>
          <w:color w:val="003CA0"/>
          <w:sz w:val="12"/>
        </w:rPr>
        <w:t xml:space="preserve"> | AI 762.863</w:t>
      </w:r>
      <w:r>
        <w:rPr>
          <w:color w:val="003CA0"/>
          <w:sz w:val="12"/>
        </w:rPr>
        <w:t xml:space="preserve"> | rel. Eros Grau</w:t>
      </w:r>
    </w:p>
    <w:p>
      <w:pPr>
        <w:ind w:left="288"/>
      </w:pPr>
      <w:r>
        <w:rPr>
          <w:color w:val="1E1E1E"/>
          <w:sz w:val="18"/>
        </w:rPr>
        <w:t>O STF fixou entendimento no sentido de que a lei nova não pode revogar vantagem pessoal já incorporada ao patrimônio do servidor sob pena de ofensa ao direito adquirido.</w:t>
      </w:r>
    </w:p>
    <w:p>
      <w:pPr>
        <w:ind w:left="288"/>
      </w:pPr>
      <w:r>
        <w:rPr>
          <w:b/>
          <w:color w:val="003CA0"/>
          <w:sz w:val="16"/>
        </w:rPr>
        <w:t>[AI 762.863 AgR, rel. min. Eros Grau, j. 20-10-2009, 2ª T, DJE de 13-11-2009.]</w:t>
      </w:r>
    </w:p>
    <w:p>
      <w:pPr>
        <w:ind w:left="288"/>
      </w:pPr>
      <w:r>
        <w:rPr>
          <w:color w:val="8C8C8C"/>
          <w:sz w:val="12"/>
        </w:rPr>
        <w:t>cf-art-5-inc-XXXII-ali-b</w:t>
      </w:r>
      <w:r>
        <w:rPr>
          <w:color w:val="003CA0"/>
          <w:sz w:val="12"/>
        </w:rPr>
        <w:t xml:space="preserve"> | RE 538.569</w:t>
      </w:r>
      <w:r>
        <w:rPr>
          <w:color w:val="003CA0"/>
          <w:sz w:val="12"/>
        </w:rPr>
        <w:t xml:space="preserve"> | rel. Cezar Peluso</w:t>
      </w:r>
    </w:p>
    <w:p>
      <w:pPr>
        <w:ind w:left="288"/>
      </w:pPr>
      <w:r>
        <w:rPr>
          <w:color w:val="1E1E1E"/>
          <w:sz w:val="18"/>
        </w:rPr>
        <w:t>Vide RE 538.569 AgR, rel. min. Cezar Peluso, j. 3-2-2009, 2ª T, DJE de 13-3-2009 (...) a situação da recorrente ficou bem definida. No valor da pensão recebida, estava incluído o relativo ao adicional de inatividade. Pois bem, a pretexto de a remuneração do pessoal da ativa haver sido modificada, afastando-se do cenário jurídico o aludido adicional, procedeu-se à alteração quanto aos parâmetros da pensão, suprimindo-se a parcela a que a recorrente passou a ter jus. Ora, a reestruturação do que percebido pelos militares desaguou em extensão imprópria, alcançando situação devidamente constituída</w:t>
      </w:r>
    </w:p>
    <w:p>
      <w:pPr>
        <w:ind w:left="288"/>
      </w:pPr>
      <w:r>
        <w:rPr>
          <w:b/>
          <w:color w:val="003CA0"/>
          <w:sz w:val="16"/>
        </w:rPr>
        <w:t>[RE 414.014, voto do min. Marco Aurélio, j. 20-10-2009, 1ª T, DJE de 13-11-2009.]</w:t>
      </w:r>
    </w:p>
    <w:p>
      <w:pPr>
        <w:ind w:left="288"/>
      </w:pPr>
      <w:r>
        <w:rPr>
          <w:color w:val="8C8C8C"/>
          <w:sz w:val="12"/>
        </w:rPr>
        <w:t>cf-art-5-inc-XXXII-ali-b</w:t>
      </w:r>
      <w:r>
        <w:rPr>
          <w:color w:val="003CA0"/>
          <w:sz w:val="12"/>
        </w:rPr>
        <w:t xml:space="preserve"> | RMS 26.596</w:t>
      </w:r>
      <w:r>
        <w:rPr>
          <w:color w:val="003CA0"/>
          <w:sz w:val="12"/>
        </w:rPr>
        <w:t xml:space="preserve"> | rel. Marco Aurélio</w:t>
      </w:r>
    </w:p>
    <w:p>
      <w:pPr>
        <w:ind w:left="288"/>
      </w:pPr>
      <w:r>
        <w:rPr>
          <w:color w:val="1E1E1E"/>
          <w:sz w:val="18"/>
        </w:rPr>
        <w:t>Vindo à balha processo administrativo de revisão de ato a implicar o reconhecimento da condição de anistiado, descabe cogitar do direito líquido e certo à percepção do valor anteriormente reconhecido.</w:t>
      </w:r>
    </w:p>
    <w:p>
      <w:pPr>
        <w:ind w:left="288"/>
      </w:pPr>
      <w:r>
        <w:rPr>
          <w:b/>
          <w:color w:val="003CA0"/>
          <w:sz w:val="16"/>
        </w:rPr>
        <w:t>[RMS 26.596, rel. min. Marco Aurélio, j. 20-10-2009, 1ª T, DJE de 6-11-2009.]</w:t>
      </w:r>
    </w:p>
    <w:p>
      <w:pPr>
        <w:ind w:left="288"/>
      </w:pPr>
      <w:r>
        <w:rPr>
          <w:color w:val="8C8C8C"/>
          <w:sz w:val="12"/>
        </w:rPr>
        <w:t>cf-art-5-inc-XXXII-ali-b</w:t>
      </w:r>
      <w:r>
        <w:rPr>
          <w:color w:val="003CA0"/>
          <w:sz w:val="12"/>
        </w:rPr>
        <w:t xml:space="preserve"> | RMS 26.025</w:t>
      </w:r>
      <w:r>
        <w:rPr>
          <w:color w:val="003CA0"/>
          <w:sz w:val="12"/>
        </w:rPr>
        <w:t xml:space="preserve"> | rel. Teori Zavascki</w:t>
      </w:r>
    </w:p>
    <w:p>
      <w:pPr>
        <w:ind w:left="288"/>
      </w:pPr>
      <w:r>
        <w:rPr>
          <w:color w:val="1E1E1E"/>
          <w:sz w:val="18"/>
        </w:rPr>
        <w:t>= RMS 26.025 AgR, rel. min. Teori Zavascki, j. 23-6-2015, 2ª T, DJE de 3-8-2015 O STF já pacificou sua jurisprudência no sentido de que os quintos incorporados, conforme Portaria MEC 474/1987, constituem direito adquirido, não alcançado pelas alterações promovidas pela Lei 8.168/1991. A aplicação da referida lei às parcelas já incorporadas aos vencimentos, com a redução de valores, configuraria ofensa ao princípio constitucional da irredutibilidade de vencimentos.</w:t>
      </w:r>
    </w:p>
    <w:p>
      <w:pPr>
        <w:ind w:left="288"/>
      </w:pPr>
      <w:r>
        <w:rPr>
          <w:b/>
          <w:color w:val="003CA0"/>
          <w:sz w:val="16"/>
        </w:rPr>
        <w:t>[AI 754.613 AgR, voto da min. Ellen Gracie, j. 20-10-2009, 2ª T, DJE de 13-11-2009.]</w:t>
      </w:r>
    </w:p>
    <w:p>
      <w:pPr>
        <w:ind w:left="288"/>
      </w:pPr>
      <w:r>
        <w:rPr>
          <w:color w:val="8C8C8C"/>
          <w:sz w:val="12"/>
        </w:rPr>
        <w:t>cf-art-5-inc-XXXII-ali-b</w:t>
      </w:r>
      <w:r>
        <w:rPr>
          <w:color w:val="003CA0"/>
          <w:sz w:val="12"/>
        </w:rPr>
        <w:t xml:space="preserve"> | RE 437.774</w:t>
      </w:r>
      <w:r>
        <w:rPr>
          <w:color w:val="003CA0"/>
          <w:sz w:val="12"/>
        </w:rPr>
        <w:t xml:space="preserve"> | rel. Joaquim Barbosa</w:t>
      </w:r>
    </w:p>
    <w:p>
      <w:pPr>
        <w:ind w:left="288"/>
      </w:pPr>
      <w:r>
        <w:rPr>
          <w:color w:val="1E1E1E"/>
          <w:sz w:val="18"/>
        </w:rPr>
        <w:t>= RE 437.774 AgR, rel. min. Joaquim Barbosa, j. 8-5-2012, 2ª T, DJE de 25-5-2012 = RE 594.979 AgR, rel. min. Ricardo Lewandowski, j. 8-2-2011, 1ª T, DJE de 10-3-2011 Mostra-se relevante observar, neste ponto, considerada a estrita disciplina jurídica que a Loman impôs à remuneração judiciária, que a percepção, por magistrados, de vantagens pecuniárias (...), em desacordo com a própria Loman, por implicar transgressão à lei, não legitima a invocação de direito adquirido, pois, como se sabe, não há situação configuradora de válida aquisição de direitos, quando resultante de violação ao ordenamen</w:t>
      </w:r>
    </w:p>
    <w:p>
      <w:pPr>
        <w:ind w:left="288"/>
      </w:pPr>
      <w:r>
        <w:rPr>
          <w:b/>
          <w:color w:val="003CA0"/>
          <w:sz w:val="16"/>
        </w:rPr>
        <w:t>[MS 28.135 MC, rel. min. Ellen Gracie, j. 17-7-2009, dec. monocrática proferida pelo min. Celso de Mello no exercício da Presidência, DJE de 5-8-2009.]</w:t>
      </w:r>
    </w:p>
    <w:p>
      <w:pPr>
        <w:ind w:left="288"/>
      </w:pPr>
      <w:r>
        <w:rPr>
          <w:color w:val="8C8C8C"/>
          <w:sz w:val="12"/>
        </w:rPr>
        <w:t>cf-art-5-inc-XXXII-ali-b</w:t>
      </w:r>
      <w:r>
        <w:rPr>
          <w:color w:val="003CA0"/>
          <w:sz w:val="12"/>
        </w:rPr>
        <w:t xml:space="preserve"> | RE 577.471</w:t>
      </w:r>
      <w:r>
        <w:rPr>
          <w:color w:val="003CA0"/>
          <w:sz w:val="12"/>
        </w:rPr>
        <w:t xml:space="preserve"> | rel. Celso de Mello</w:t>
      </w:r>
    </w:p>
    <w:p>
      <w:pPr>
        <w:ind w:left="288"/>
      </w:pPr>
      <w:r>
        <w:rPr>
          <w:color w:val="1E1E1E"/>
          <w:sz w:val="18"/>
        </w:rPr>
        <w:t>A autoridade da coisa julgada em sentido material estende-se, por isso mesmo, tanto ao que foi efetivamente arguido pelas partes quanto ao que poderia ter sido alegado, mas não o foi, desde que tais alegações e defesas se contenham no objeto do processo (tantum judicatum quantum disputatum vel disputari debebat). Aplicação, ao caso, do art. 474 do CPC.</w:t>
      </w:r>
    </w:p>
    <w:p>
      <w:pPr>
        <w:ind w:left="288"/>
      </w:pPr>
      <w:r>
        <w:rPr>
          <w:b/>
          <w:color w:val="003CA0"/>
          <w:sz w:val="16"/>
        </w:rPr>
        <w:t>[RE 577.471 AgR, rel. min. Celso de Mello, j. 19-5-2009, 2ª T, DJE de 12-6-2009.]</w:t>
      </w:r>
    </w:p>
    <w:p>
      <w:pPr>
        <w:ind w:left="288"/>
      </w:pPr>
      <w:r>
        <w:rPr>
          <w:color w:val="8C8C8C"/>
          <w:sz w:val="12"/>
        </w:rPr>
        <w:t>cf-art-5-inc-XXXII-ali-b</w:t>
      </w:r>
      <w:r>
        <w:rPr>
          <w:color w:val="003CA0"/>
          <w:sz w:val="12"/>
        </w:rPr>
        <w:t xml:space="preserve"> | AI 598.630</w:t>
      </w:r>
      <w:r>
        <w:rPr>
          <w:color w:val="003CA0"/>
          <w:sz w:val="12"/>
        </w:rPr>
        <w:t xml:space="preserve"> | rel. Joaquim Barbosa</w:t>
      </w:r>
    </w:p>
    <w:p>
      <w:pPr>
        <w:ind w:left="288"/>
      </w:pPr>
      <w:r>
        <w:rPr>
          <w:color w:val="1E1E1E"/>
          <w:sz w:val="18"/>
        </w:rPr>
        <w:t>O entendimento firmado por esta Corte de que a contagem do tempo de serviço prestado por servidor público federal ex-celetista, desde que comprovadas as condições insalubres, periculosas ou penosas, em período anterior à Lei 8.112/1990, constitui direito adquirido para todos os efeitos também deve ser aplicado aos servidores públicos estaduais ex-celetistas.</w:t>
      </w:r>
    </w:p>
    <w:p>
      <w:pPr>
        <w:ind w:left="288"/>
      </w:pPr>
      <w:r>
        <w:rPr>
          <w:b/>
          <w:color w:val="003CA0"/>
          <w:sz w:val="16"/>
        </w:rPr>
        <w:t>[AI 598.630 AgR, rel. min. Joaquim Barbosa, j. 12-5-2009, 2ª T, DJE de 26-6-2009.]</w:t>
      </w:r>
    </w:p>
    <w:p>
      <w:pPr>
        <w:ind w:left="288"/>
      </w:pPr>
      <w:r>
        <w:rPr>
          <w:color w:val="8C8C8C"/>
          <w:sz w:val="12"/>
        </w:rPr>
        <w:t>cf-art-5-inc-XXXII-ali-b</w:t>
      </w:r>
      <w:r>
        <w:rPr>
          <w:color w:val="003CA0"/>
          <w:sz w:val="12"/>
        </w:rPr>
        <w:t xml:space="preserve"> | RE 333.246</w:t>
      </w:r>
      <w:r>
        <w:rPr>
          <w:color w:val="003CA0"/>
          <w:sz w:val="12"/>
        </w:rPr>
        <w:t xml:space="preserve"> | rel. Marco Aurélio</w:t>
      </w:r>
    </w:p>
    <w:p>
      <w:pPr>
        <w:ind w:left="288"/>
      </w:pPr>
      <w:r>
        <w:rPr>
          <w:color w:val="1E1E1E"/>
          <w:sz w:val="18"/>
        </w:rPr>
        <w:t>= RE 333.246 AgR, rel. min. Marco Aurélio, j. 8-11-2011, 1ª T, DJE de 7-12-2011 Não viola a coisa julgada a decisão do tribunal que, interpretando disposição de acórdão seu, entende como fixação de honorária sobre valor da causa a referência declarada a valor da execução.</w:t>
      </w:r>
    </w:p>
    <w:p>
      <w:pPr>
        <w:ind w:left="288"/>
      </w:pPr>
      <w:r>
        <w:rPr>
          <w:b/>
          <w:color w:val="003CA0"/>
          <w:sz w:val="16"/>
        </w:rPr>
        <w:t>[RE 420.909, rel. min. Marco Aurélio, red. do ac. min. Cezar Peluso, j. 5-5-2009, 1ª T, DJE de 12-2-2010.]</w:t>
      </w:r>
    </w:p>
    <w:p>
      <w:pPr>
        <w:ind w:left="288"/>
      </w:pPr>
      <w:r>
        <w:rPr>
          <w:color w:val="8C8C8C"/>
          <w:sz w:val="12"/>
        </w:rPr>
        <w:t>cf-art-5-inc-XXXII-ali-b</w:t>
      </w:r>
      <w:r>
        <w:rPr>
          <w:color w:val="003CA0"/>
          <w:sz w:val="12"/>
        </w:rPr>
        <w:t xml:space="preserve"> | RE 344.994</w:t>
      </w:r>
      <w:r>
        <w:rPr>
          <w:color w:val="003CA0"/>
          <w:sz w:val="12"/>
        </w:rPr>
        <w:t xml:space="preserve"> | rel. Marco Aurélio</w:t>
      </w:r>
    </w:p>
    <w:p>
      <w:pPr>
        <w:ind w:left="288"/>
      </w:pPr>
      <w:r>
        <w:rPr>
          <w:color w:val="1E1E1E"/>
          <w:sz w:val="18"/>
        </w:rPr>
        <w:t>Imposto de renda. Dedução de prejuízos fiscais. Limitações. Arts. 42 e 58 da Lei 8.981/1995. Constitucionalidade. Ausência de violação do disposto nos arts. 150, III, a e b, e 5º, XXXVI, da Constituição do Brasil. O direito ao abatimento dos prejuízos fiscais acumulados em exercícios anteriores é expressivo de benefício fiscal em favor do contribuinte. Instrumento de política tributária que pode ser revista pelo Estado. Ausência de direito adquirido. A Lei 8.981/1995 não incide sobre fatos geradores ocorridos antes do início de sua vigência. Prejuízos ocorridos em exercícios anteriores não afe</w:t>
      </w:r>
    </w:p>
    <w:p>
      <w:pPr>
        <w:ind w:left="288"/>
      </w:pPr>
      <w:r>
        <w:rPr>
          <w:b/>
          <w:color w:val="003CA0"/>
          <w:sz w:val="16"/>
        </w:rPr>
        <w:t>[RE 344.994, rel. min. Marco Aurélio, red. do ac. min. Eros Grau, j. 25-3-2009, P, DJE de 28-8-2009.]</w:t>
      </w:r>
    </w:p>
    <w:p>
      <w:pPr>
        <w:ind w:left="288"/>
      </w:pPr>
      <w:r>
        <w:rPr>
          <w:color w:val="8C8C8C"/>
          <w:sz w:val="12"/>
        </w:rPr>
        <w:t>cf-art-5-inc-XXXII-ali-b</w:t>
      </w:r>
      <w:r>
        <w:rPr>
          <w:color w:val="003CA0"/>
          <w:sz w:val="12"/>
        </w:rPr>
        <w:t xml:space="preserve"> | HC 95.211</w:t>
      </w:r>
      <w:r>
        <w:rPr>
          <w:color w:val="003CA0"/>
          <w:sz w:val="12"/>
        </w:rPr>
        <w:t xml:space="preserve"> | rel. Cármen Lúcia</w:t>
      </w:r>
    </w:p>
    <w:p>
      <w:pPr>
        <w:ind w:left="288"/>
      </w:pPr>
      <w:r>
        <w:rPr>
          <w:color w:val="1E1E1E"/>
          <w:sz w:val="18"/>
        </w:rPr>
        <w:t>A decisão que determina o arquivamento de inquérito policial, a pedido do Ministério Público e determinada por juiz competente, que reconhece que o fato apurado está coberto por excludente de ilicitude, não afasta a ocorrência de crime quando surgirem novas provas, suficientes para justificar o desarquivamento do inquérito, como autoriza a Súmula 524 deste STF.</w:t>
      </w:r>
    </w:p>
    <w:p>
      <w:pPr>
        <w:ind w:left="288"/>
      </w:pPr>
      <w:r>
        <w:rPr>
          <w:b/>
          <w:color w:val="003CA0"/>
          <w:sz w:val="16"/>
        </w:rPr>
        <w:t>[HC 95.211, rel. min. Cármen Lúcia, j. 10-3-2009, 1ª T, DJE de 22-8-2011.]</w:t>
      </w:r>
    </w:p>
    <w:p>
      <w:pPr>
        <w:ind w:left="288"/>
      </w:pPr>
      <w:r>
        <w:rPr>
          <w:color w:val="8C8C8C"/>
          <w:sz w:val="12"/>
        </w:rPr>
        <w:t>cf-art-5-inc-XXXII-ali-b</w:t>
      </w:r>
      <w:r>
        <w:rPr>
          <w:color w:val="003CA0"/>
          <w:sz w:val="12"/>
        </w:rPr>
        <w:t xml:space="preserve"> | RCL 20.132</w:t>
      </w:r>
      <w:r>
        <w:rPr>
          <w:color w:val="003CA0"/>
          <w:sz w:val="12"/>
        </w:rPr>
        <w:t xml:space="preserve"> | rel. Eros Grau</w:t>
      </w:r>
    </w:p>
    <w:p>
      <w:pPr>
        <w:ind w:left="288"/>
      </w:pPr>
      <w:r>
        <w:rPr>
          <w:color w:val="1E1E1E"/>
          <w:sz w:val="18"/>
        </w:rPr>
        <w:t>Vide Rcl 20.132 AgR-segundo, red. do ac. min. Gilmar Mendes, j. 23-2-2016, 2ª T, DJE de 28-4-2016 O STF fixou jurisprudência no sentido de que a legislação superveniente que altera a política salarial fixada em norma coletiva de trabalho não viola o direito adquirido, o ato jurídico perfeito e a coisa julgada.</w:t>
      </w:r>
    </w:p>
    <w:p>
      <w:pPr>
        <w:ind w:left="288"/>
      </w:pPr>
      <w:r>
        <w:rPr>
          <w:b/>
          <w:color w:val="003CA0"/>
          <w:sz w:val="16"/>
        </w:rPr>
        <w:t>[RE 593.126 AgR, rel. min. Eros Grau, j. 10-2-2009, 2ª T, DJE de 13-3-2009.]</w:t>
      </w:r>
    </w:p>
    <w:p>
      <w:pPr>
        <w:ind w:left="288"/>
      </w:pPr>
      <w:r>
        <w:rPr>
          <w:color w:val="8C8C8C"/>
          <w:sz w:val="12"/>
        </w:rPr>
        <w:t>cf-art-5-inc-XXXII-ali-b</w:t>
      </w:r>
      <w:r>
        <w:rPr>
          <w:color w:val="003CA0"/>
          <w:sz w:val="12"/>
        </w:rPr>
        <w:t xml:space="preserve"> | RE 564.425</w:t>
      </w:r>
      <w:r>
        <w:rPr>
          <w:color w:val="003CA0"/>
          <w:sz w:val="12"/>
        </w:rPr>
        <w:t xml:space="preserve"> | rel. Joaquim Barbosa</w:t>
      </w:r>
    </w:p>
    <w:p>
      <w:pPr>
        <w:ind w:left="288"/>
      </w:pPr>
      <w:r>
        <w:rPr>
          <w:color w:val="1E1E1E"/>
          <w:sz w:val="18"/>
        </w:rPr>
        <w:t>= RE 564.425 AgR, rel. min. Joaquim Barbosa, j. 5-6-2012, 2ª T, DJE de 22-6-2012 Servidor público. Aposentado. Proventos. Gratificação. Incorporação segundo a lei do tempo. Supressão por norma posterior. Inadmissibilidade. Direito adquirido. (...) Gratificação incorporada aos proventos por força de norma vigente à época da inativação não pode ser suprimida por lei posterior.</w:t>
      </w:r>
    </w:p>
    <w:p>
      <w:pPr>
        <w:ind w:left="288"/>
      </w:pPr>
      <w:r>
        <w:rPr>
          <w:b/>
          <w:color w:val="003CA0"/>
          <w:sz w:val="16"/>
        </w:rPr>
        <w:t>[RE 538.569 AgR, rel. min. Cezar Peluso, j. 3-2-2009, 2ª T, DJE de 13-3-2009.]</w:t>
      </w:r>
    </w:p>
    <w:p>
      <w:pPr>
        <w:ind w:left="288"/>
      </w:pPr>
      <w:r>
        <w:rPr>
          <w:color w:val="8C8C8C"/>
          <w:sz w:val="12"/>
        </w:rPr>
        <w:t>cf-art-5-inc-XXXII-ali-b</w:t>
      </w:r>
      <w:r>
        <w:rPr>
          <w:color w:val="003CA0"/>
          <w:sz w:val="12"/>
        </w:rPr>
        <w:t xml:space="preserve"> | AI 762.863</w:t>
      </w:r>
      <w:r>
        <w:rPr>
          <w:color w:val="003CA0"/>
          <w:sz w:val="12"/>
        </w:rPr>
        <w:t xml:space="preserve"> | rel. Eros Grau</w:t>
      </w:r>
    </w:p>
    <w:p>
      <w:pPr>
        <w:ind w:left="288"/>
      </w:pPr>
      <w:r>
        <w:rPr>
          <w:color w:val="1E1E1E"/>
          <w:sz w:val="18"/>
        </w:rPr>
        <w:t>Vide AI 762.863 AgR, rel. min. Eros Grau, j. 20-10-2009, 2ª T, DJE de 13-11-2009 Se o acórdão se alicerça em conclusão sobre o direito adquirido à contagem do tempo de serviço prestado em ambiente insalubre, considerada a legislação de regência, não há como cogitar de vulneração à CF.</w:t>
      </w:r>
    </w:p>
    <w:p>
      <w:pPr>
        <w:ind w:left="288"/>
      </w:pPr>
      <w:r>
        <w:rPr>
          <w:b/>
          <w:color w:val="003CA0"/>
          <w:sz w:val="16"/>
        </w:rPr>
        <w:t>[AI 503.951 AgR, rel. min. Marco Aurélio, j. 16-12-2008, 1ª T, DJE de 17-4-2009.]</w:t>
      </w:r>
    </w:p>
    <w:p>
      <w:pPr>
        <w:ind w:left="288"/>
      </w:pPr>
      <w:r>
        <w:rPr>
          <w:color w:val="8C8C8C"/>
          <w:sz w:val="12"/>
        </w:rPr>
        <w:t>cf-art-5-inc-XXXII-ali-b</w:t>
      </w:r>
      <w:r>
        <w:rPr>
          <w:color w:val="003CA0"/>
          <w:sz w:val="12"/>
        </w:rPr>
        <w:t xml:space="preserve"> | MS 21.540</w:t>
      </w:r>
      <w:r>
        <w:rPr>
          <w:color w:val="003CA0"/>
          <w:sz w:val="12"/>
        </w:rPr>
        <w:t xml:space="preserve"> | rel. Octavio Gallotti</w:t>
      </w:r>
    </w:p>
    <w:p>
      <w:pPr>
        <w:ind w:left="288"/>
      </w:pPr>
      <w:r>
        <w:rPr>
          <w:color w:val="1E1E1E"/>
          <w:sz w:val="18"/>
        </w:rPr>
        <w:t>Previdenciário. Pensão. Pessoa designada. Direito intertemporal. Precedentes. O óbito do instituidor é o marco temporal para definição do regime jurídico a que está sujeita a concessão do benefício: MS 21.540, rel. min. Octavio Gallotti, DJ de 14-5-1996. Inexistência de preterição a direito adquirido da autora de receber benefício com base em normas não recepcionadas pelo atual sistema constitucional: ADI 762, da minha relatoria, DJ de 14-5-2004.</w:t>
      </w:r>
    </w:p>
    <w:p>
      <w:pPr>
        <w:ind w:left="288"/>
      </w:pPr>
      <w:r>
        <w:rPr>
          <w:b/>
          <w:color w:val="003CA0"/>
          <w:sz w:val="16"/>
        </w:rPr>
        <w:t>[RE 436.995 AgR, rel. min. Ellen Gracie, j. 11-11-2008, 2ª T, DJE de 28-11-2008.]</w:t>
      </w:r>
    </w:p>
    <w:p>
      <w:pPr>
        <w:ind w:left="288"/>
      </w:pPr>
      <w:r>
        <w:rPr>
          <w:color w:val="8C8C8C"/>
          <w:sz w:val="12"/>
        </w:rPr>
        <w:t>cf-art-5-inc-XXXII-ali-b</w:t>
      </w:r>
      <w:r>
        <w:rPr>
          <w:color w:val="003CA0"/>
          <w:sz w:val="12"/>
        </w:rPr>
        <w:t xml:space="preserve"> | MS 25.963</w:t>
      </w:r>
      <w:r>
        <w:rPr>
          <w:color w:val="003CA0"/>
          <w:sz w:val="12"/>
        </w:rPr>
        <w:t xml:space="preserve"> | rel. Cezar Peluso</w:t>
      </w:r>
    </w:p>
    <w:p>
      <w:pPr>
        <w:ind w:left="288"/>
      </w:pPr>
      <w:r>
        <w:rPr>
          <w:color w:val="1E1E1E"/>
          <w:sz w:val="18"/>
        </w:rPr>
        <w:t>Servidor público. Funcionário. Aposentadoria. Cumulação de gratificações. Anulação pelo TCU. Inadmissibilidade. Ato julgado legal pelo TCU há mais de cinco anos. Anulação do julgamento. Inadmissibilidade. Decadência administrativa. Consumação reconhecida. Ofensa a direito líquido e certo. Respeito ao princípio da confiança e segurança jurídica. Cassação do acórdão. Segurança concedida para esse fim. Aplicação do art. 5º, LV, da CF e art. 54 da Lei federal 9.784/1999. Não pode o TCU, sob fundamento ou pretexto algum, anular aposentadoria que julgou legal há mais de cinco anos.</w:t>
      </w:r>
    </w:p>
    <w:p>
      <w:pPr>
        <w:ind w:left="288"/>
      </w:pPr>
      <w:r>
        <w:rPr>
          <w:b/>
          <w:color w:val="003CA0"/>
          <w:sz w:val="16"/>
        </w:rPr>
        <w:t>[MS 25.963, rel. min. Cezar Peluso, j. 23-10-2008, P, DJE de 21-11-2008.]</w:t>
      </w:r>
    </w:p>
    <w:p>
      <w:pPr>
        <w:ind w:left="288"/>
      </w:pPr>
      <w:r>
        <w:rPr>
          <w:color w:val="8C8C8C"/>
          <w:sz w:val="12"/>
        </w:rPr>
        <w:t>cf-art-5-inc-XXXII-ali-b</w:t>
      </w:r>
      <w:r>
        <w:rPr>
          <w:color w:val="003CA0"/>
          <w:sz w:val="12"/>
        </w:rPr>
        <w:t xml:space="preserve"> | RMS 25.833</w:t>
      </w:r>
      <w:r>
        <w:rPr>
          <w:color w:val="003CA0"/>
          <w:sz w:val="12"/>
        </w:rPr>
        <w:t xml:space="preserve"> | rel. Sepúlveda Pertence</w:t>
      </w:r>
    </w:p>
    <w:p>
      <w:pPr>
        <w:ind w:left="288"/>
      </w:pPr>
      <w:r>
        <w:rPr>
          <w:color w:val="1E1E1E"/>
          <w:sz w:val="18"/>
        </w:rPr>
        <w:t>A anistia, considerada a Portaria 1.104/1964 da Aeronáutica, apenas beneficia os integrados à Força Aérea em data anterior à edição da norma. Processo administrativo. Anistia. Reexame. Prazo decadencial. Observado o quinquênio previsto no art. 54 da Lei 9.784/1999, possível é o reexame de ato que tenha implicado, à margem da ordem jurídica, revisão de anistia.</w:t>
      </w:r>
    </w:p>
    <w:p>
      <w:pPr>
        <w:ind w:left="288"/>
      </w:pPr>
      <w:r>
        <w:rPr>
          <w:b/>
          <w:color w:val="003CA0"/>
          <w:sz w:val="16"/>
        </w:rPr>
        <w:t>[RMS 25.833, rel. min. Sepúlveda Pertence, red. do ac. min. Marco Aurélio, j. 9-9-2008, 1ª T, DJE de 21-11-2008.]</w:t>
      </w:r>
    </w:p>
    <w:p>
      <w:pPr>
        <w:ind w:left="288"/>
      </w:pPr>
      <w:r>
        <w:rPr>
          <w:color w:val="8C8C8C"/>
          <w:sz w:val="12"/>
        </w:rPr>
        <w:t>cf-art-5-inc-XXXII-ali-b</w:t>
      </w:r>
      <w:r>
        <w:rPr>
          <w:color w:val="003CA0"/>
          <w:sz w:val="12"/>
        </w:rPr>
        <w:t xml:space="preserve"> | RMS 25.711</w:t>
      </w:r>
      <w:r>
        <w:rPr>
          <w:color w:val="003CA0"/>
          <w:sz w:val="12"/>
        </w:rPr>
        <w:t xml:space="preserve"> | rel. Teori Zavascki</w:t>
      </w:r>
    </w:p>
    <w:p>
      <w:pPr>
        <w:ind w:left="288"/>
      </w:pPr>
      <w:r>
        <w:rPr>
          <w:color w:val="1E1E1E"/>
          <w:sz w:val="18"/>
        </w:rPr>
        <w:t>= RMS 25.711 AgR, rel. min. Teori Zavascki, j. 24-3-2015, 2ª T, DJE de 13-4-2015 Vide RMS 25.692, rel. min. Cármen Lúcia, j. 8-6-2010, 1ª T, DJE de 1º-7-2010 Cessada a atividade que deu origem à gratificação extraordinária, cessa igualmente a gratificação, não havendo falar em direito adquirido, tampouco, em princípio da irredutibilidade dos vencimentos.</w:t>
      </w:r>
    </w:p>
    <w:p>
      <w:pPr>
        <w:ind w:left="288"/>
      </w:pPr>
      <w:r>
        <w:rPr>
          <w:b/>
          <w:color w:val="003CA0"/>
          <w:sz w:val="16"/>
        </w:rPr>
        <w:t>[RE 338.436, rel. min. Menezes Direito, j. 2-9-2008, 1ª T, DJE de 21-11-2008.]</w:t>
      </w:r>
    </w:p>
    <w:p>
      <w:pPr>
        <w:ind w:left="288"/>
      </w:pPr>
      <w:r>
        <w:rPr>
          <w:color w:val="8C8C8C"/>
          <w:sz w:val="12"/>
        </w:rPr>
        <w:t>cf-art-5-inc-XXXII-ali-b</w:t>
      </w:r>
      <w:r>
        <w:rPr>
          <w:color w:val="003CA0"/>
          <w:sz w:val="12"/>
        </w:rPr>
        <w:t xml:space="preserve"> | ADI 3.105.</w:t>
      </w:r>
      <w:r>
        <w:rPr>
          <w:color w:val="003CA0"/>
          <w:sz w:val="12"/>
        </w:rPr>
        <w:t xml:space="preserve"> | rel. Cármen Lúcia</w:t>
      </w:r>
    </w:p>
    <w:p>
      <w:pPr>
        <w:ind w:left="288"/>
      </w:pPr>
      <w:r>
        <w:rPr>
          <w:color w:val="1E1E1E"/>
          <w:sz w:val="18"/>
        </w:rPr>
        <w:t>Magistrados e pensionistas de magistrados aposentados que entraram na magistratura quando vigente a Constituição da República de 1946. Reiteração dos argumentos de que a EC 20/1998 e a EC 41/2003 não alcançariam os servidores que ingressaram na carreira antes da promulgação da Constituição da República de 1988. Ausência de norma de imunidade tributária absoluta que assegure aos agravantes o direito adquirido de não se sujeitarem à contribuição previdenciária. Descumprimento da ADI 3.105.</w:t>
      </w:r>
    </w:p>
    <w:p>
      <w:pPr>
        <w:ind w:left="288"/>
      </w:pPr>
      <w:r>
        <w:rPr>
          <w:b/>
          <w:color w:val="003CA0"/>
          <w:sz w:val="16"/>
        </w:rPr>
        <w:t>[Rcl 4.486 MC-AgR, rel. min. Cármen Lúcia, j. 28-8-2008, P, DJE de 26-9-2008.]</w:t>
      </w:r>
    </w:p>
    <w:p>
      <w:pPr>
        <w:ind w:left="288"/>
      </w:pPr>
      <w:r>
        <w:rPr>
          <w:color w:val="8C8C8C"/>
          <w:sz w:val="12"/>
        </w:rPr>
        <w:t>cf-art-5-inc-XXXII-ali-b</w:t>
      </w:r>
      <w:r>
        <w:rPr>
          <w:color w:val="003CA0"/>
          <w:sz w:val="12"/>
        </w:rPr>
        <w:t xml:space="preserve"> | RE 554.477</w:t>
      </w:r>
      <w:r>
        <w:rPr>
          <w:color w:val="003CA0"/>
          <w:sz w:val="12"/>
        </w:rPr>
        <w:t xml:space="preserve"> | rel. Eros Grau</w:t>
      </w:r>
    </w:p>
    <w:p>
      <w:pPr>
        <w:ind w:left="288"/>
      </w:pPr>
      <w:r>
        <w:rPr>
          <w:color w:val="1E1E1E"/>
          <w:sz w:val="18"/>
        </w:rPr>
        <w:t>Servidor público. Aposentadoria. Lei 1.762/1986 do Estado do Amazonas. Vantagem pessoal. O art. 139, II, da Lei estadual 1.762/1986 assegurou aos agravados o direito de incorporar aos seus proventos 20% da remuneração percebida quando da atividade. À época da edição dessa lei, estava em vigor a Constituição de 1967-1969, que vedava a percepção de proventos superiores à remuneração da atividade. Todavia, eventual inconstitucionalidade do art. 139, II, daquela lei estadual, em face da Constituição do Brasil/1967-1969, nunca foi arguida e a gratificação por ela instituída incorporou-se ao patrimô</w:t>
      </w:r>
    </w:p>
    <w:p>
      <w:pPr>
        <w:ind w:left="288"/>
      </w:pPr>
      <w:r>
        <w:rPr>
          <w:b/>
          <w:color w:val="003CA0"/>
          <w:sz w:val="16"/>
        </w:rPr>
        <w:t>[RE 554.477 AgR, rel. min. Eros Grau, j. 10-6-2008, 2ª T, DJE de 27-6-2008.]</w:t>
      </w:r>
    </w:p>
    <w:p>
      <w:pPr>
        <w:ind w:left="288"/>
      </w:pPr>
      <w:r>
        <w:rPr>
          <w:color w:val="8C8C8C"/>
          <w:sz w:val="12"/>
        </w:rPr>
        <w:t>cf-art-5-inc-XXXII-ali-b</w:t>
      </w:r>
      <w:r>
        <w:rPr>
          <w:color w:val="003CA0"/>
          <w:sz w:val="12"/>
        </w:rPr>
        <w:t xml:space="preserve"> | RE 346.088</w:t>
      </w:r>
      <w:r>
        <w:rPr>
          <w:color w:val="003CA0"/>
          <w:sz w:val="12"/>
        </w:rPr>
        <w:t xml:space="preserve"> | rel. Gilmar Mendes</w:t>
      </w:r>
    </w:p>
    <w:p>
      <w:pPr>
        <w:ind w:left="288"/>
      </w:pPr>
      <w:r>
        <w:rPr>
          <w:color w:val="1E1E1E"/>
          <w:sz w:val="18"/>
        </w:rPr>
        <w:t>= RE 346.088 AgR, rel. min. Gilmar Mendes, j. 14-12-2010, 2ª T, DJE de 8-2-2011 = AI 419.620 AgR, rel. min. Ricardo Lewandowski, j. 19-5-2009, 1ª T, DJE de 5-6-2009 Fundo de Participação dos Municípios. Distribuição de recursos segundo critérios demográficos. Art. 161, II e parágrafo único, da Constituição. LC 91/1997 e LC 106/2001. Sistemática que reduziu o impacto inicial sobre os Municípios sujeitos ao fator redutor de ordem demográfica, compensando-se as diferenças nos repasses dos exercícios seguintes. Inexistência de ofensa a direito adquirido e ao princípio da legalidade. A LC 91/1997 n</w:t>
      </w:r>
    </w:p>
    <w:p>
      <w:pPr>
        <w:ind w:left="288"/>
      </w:pPr>
      <w:r>
        <w:rPr>
          <w:b/>
          <w:color w:val="003CA0"/>
          <w:sz w:val="16"/>
        </w:rPr>
        <w:t>[MS 26.469, rel. min. Eros Grau, j. 22-11-2007, P, DJE de 28-3-2008.]</w:t>
      </w:r>
    </w:p>
    <w:p>
      <w:pPr>
        <w:ind w:left="288"/>
      </w:pPr>
      <w:r>
        <w:rPr>
          <w:color w:val="8C8C8C"/>
          <w:sz w:val="12"/>
        </w:rPr>
        <w:t>cf-art-5-inc-XXXII-ali-b</w:t>
      </w:r>
      <w:r>
        <w:rPr>
          <w:color w:val="003CA0"/>
          <w:sz w:val="12"/>
        </w:rPr>
        <w:t xml:space="preserve"> | MS 26.236</w:t>
      </w:r>
      <w:r>
        <w:rPr>
          <w:color w:val="003CA0"/>
          <w:sz w:val="12"/>
        </w:rPr>
        <w:t xml:space="preserve"> | rel. Joaquim Barbosa</w:t>
      </w:r>
    </w:p>
    <w:p>
      <w:pPr>
        <w:ind w:left="288"/>
      </w:pPr>
      <w:r>
        <w:rPr>
          <w:color w:val="1E1E1E"/>
          <w:sz w:val="18"/>
        </w:rPr>
        <w:t>Vide MS 26.236 AgR, rel. min. Joaquim Barbosa, j. 1º-7-2009, P, DJE de 21-8-2009 Vide MS 26.464, rel. min. Cármen Lúcia, j. 7-4-2008, P, DJE de 16-5-2008 Vide MS 27.224 AgR, rel. min. Eros Grau, j. 20-8-2009, P, DJE de 25-9-2009 A jurisprudência do STF assevera que o pronunciamento de arquivamento, em regra, deve ser acolhido sem que se questione ou se entre no mérito da avaliação deduzida pelo titular da ação penal. (...) Esses julgados ressalvam, contudo, duas hipóteses em que a determinação judicial do arquivamento possa gerar coisa julgada material, a saber: prescrição da pretensão punitiv</w:t>
      </w:r>
    </w:p>
    <w:p>
      <w:pPr>
        <w:ind w:left="288"/>
      </w:pPr>
      <w:r>
        <w:rPr>
          <w:b/>
          <w:color w:val="003CA0"/>
          <w:sz w:val="16"/>
        </w:rPr>
        <w:t>[Inq 2.341 QO, rel. min. Gilmar Mendes, j. 28-6-2007, P, DJ de 17-8-2007.]</w:t>
      </w:r>
    </w:p>
    <w:p>
      <w:pPr>
        <w:ind w:left="288"/>
      </w:pPr>
      <w:r>
        <w:rPr>
          <w:color w:val="8C8C8C"/>
          <w:sz w:val="12"/>
        </w:rPr>
        <w:t>cf-art-5-inc-XXXII-ali-b</w:t>
      </w:r>
      <w:r>
        <w:rPr>
          <w:color w:val="003CA0"/>
          <w:sz w:val="12"/>
        </w:rPr>
        <w:t xml:space="preserve"> | MS 22.094</w:t>
      </w:r>
      <w:r>
        <w:rPr>
          <w:color w:val="003CA0"/>
          <w:sz w:val="12"/>
        </w:rPr>
        <w:t xml:space="preserve"> | rel. Sepúlveda Pertence</w:t>
      </w:r>
    </w:p>
    <w:p>
      <w:pPr>
        <w:ind w:left="288"/>
      </w:pPr>
      <w:r>
        <w:rPr>
          <w:color w:val="1E1E1E"/>
          <w:sz w:val="18"/>
        </w:rPr>
        <w:t>Servidores do Conselho Nacional de Desenvolvimento Científico e Tecnológico (CNPq): gratificação especial: inexistência de direito adquirido. Ao julgar o MS 22.094, Pleno, 2-2-2005, Ellen Gracie, DJ de 25-2-2005, o Supremo Tribunal decidiu que os servidores do CNPq, quando convertidos de celetistas em estatutários, não fazem jus à incorporação da gratificação especial, dada a inexistência de direito adquirido a regime jurídico.</w:t>
      </w:r>
    </w:p>
    <w:p>
      <w:pPr>
        <w:ind w:left="288"/>
      </w:pPr>
      <w:r>
        <w:rPr>
          <w:b/>
          <w:color w:val="003CA0"/>
          <w:sz w:val="16"/>
        </w:rPr>
        <w:t>[RE 425.579 AgR, rel. min. Sepúlveda Pertence, j. 15-5-2007, 1ª T, DJ de 8-6-2007.]</w:t>
      </w:r>
    </w:p>
    <w:p>
      <w:pPr>
        <w:ind w:left="288"/>
      </w:pPr>
      <w:r>
        <w:rPr>
          <w:color w:val="8C8C8C"/>
          <w:sz w:val="12"/>
        </w:rPr>
        <w:t>cf-art-5-inc-XXXII-ali-b</w:t>
      </w:r>
      <w:r>
        <w:rPr>
          <w:color w:val="003CA0"/>
          <w:sz w:val="12"/>
        </w:rPr>
        <w:t xml:space="preserve"> | AI 755.724</w:t>
      </w:r>
      <w:r>
        <w:rPr>
          <w:color w:val="003CA0"/>
          <w:sz w:val="12"/>
        </w:rPr>
        <w:t xml:space="preserve"> | rel. Gilmar Mendes</w:t>
      </w:r>
    </w:p>
    <w:p>
      <w:pPr>
        <w:ind w:left="288"/>
      </w:pPr>
      <w:r>
        <w:rPr>
          <w:color w:val="1E1E1E"/>
          <w:sz w:val="18"/>
        </w:rPr>
        <w:t>= AI 755.724 AgR, rel. min. Gilmar Mendes, j. 23-11-2010, 2ª T, DJE de 10-12-2010 Código de Defesa do Consumidor (CDC): contrato firmado entre instituição financeira e seus clientes referente à caderneta de poupança: não obstante as normas veiculadas pelo CDC alcancem as instituições financeiras (cf. ADI 2.591, 7-6-2006, Pleno, Eros Grau), não é possível a sua aplicação retroativa, sob pena de violação do art. 5º, XXXVI, da CF.</w:t>
      </w:r>
    </w:p>
    <w:p>
      <w:pPr>
        <w:ind w:left="288"/>
      </w:pPr>
      <w:r>
        <w:rPr>
          <w:b/>
          <w:color w:val="003CA0"/>
          <w:sz w:val="16"/>
        </w:rPr>
        <w:t>[RE 395.384 ED, rel. min. Sepúlveda Pertence, j. 26-4-2007, 1ª T, DJ de 22-6-2007.]</w:t>
      </w:r>
    </w:p>
    <w:p>
      <w:pPr>
        <w:ind w:left="288"/>
      </w:pPr>
      <w:r>
        <w:rPr>
          <w:color w:val="8C8C8C"/>
          <w:sz w:val="12"/>
        </w:rPr>
        <w:t>cf-art-5-inc-XXXII-ali-b</w:t>
      </w:r>
      <w:r>
        <w:rPr>
          <w:color w:val="003CA0"/>
          <w:sz w:val="12"/>
        </w:rPr>
        <w:t xml:space="preserve"> | RE 159.228</w:t>
      </w:r>
      <w:r>
        <w:rPr>
          <w:color w:val="003CA0"/>
          <w:sz w:val="12"/>
        </w:rPr>
        <w:t xml:space="preserve"> | rel. Sepúlveda Pertence</w:t>
      </w:r>
    </w:p>
    <w:p>
      <w:pPr>
        <w:ind w:left="288"/>
      </w:pPr>
      <w:r>
        <w:rPr>
          <w:color w:val="1E1E1E"/>
          <w:sz w:val="18"/>
        </w:rPr>
        <w:t>Servidor público do Distrito Federal: direito adquirido ao reajuste de vencimentos de 84,32% – relativo ao IPC de março de 1990, nos termos da Lei distrital 38/1989, posteriormente revogada pela Lei distrital 117/1990: precedentes. A jurisprudência do Supremo Tribunal não limita a percepção do percentual ao advento da Lei distrital 117/1990, mas, afirma, sim, a incorporação ao patrimônio jurídico dos servidores distritais desse percentual (cf. RE 159.228, Celso, RTJ 157/1045; RE 145.006 AgR, 13-2-1996, Segunda Turma, Corrêa; RE 235.802, Primeira Turma, 9-4-2002, Moreira). A disciplina da Lei 3</w:t>
      </w:r>
    </w:p>
    <w:p>
      <w:pPr>
        <w:ind w:left="288"/>
      </w:pPr>
      <w:r>
        <w:rPr>
          <w:b/>
          <w:color w:val="003CA0"/>
          <w:sz w:val="16"/>
        </w:rPr>
        <w:t>[RE 394.494, RE 420.076 e RE 420.431, rel. min. Sepúlveda Pertence, j. 6-3-2007, 1ª T, DJ de 18-5-2007.]</w:t>
      </w:r>
    </w:p>
    <w:p>
      <w:pPr>
        <w:ind w:left="288"/>
      </w:pPr>
      <w:r>
        <w:rPr>
          <w:color w:val="8C8C8C"/>
          <w:sz w:val="12"/>
        </w:rPr>
        <w:t>cf-art-5-inc-XXXII-ali-b</w:t>
      </w:r>
      <w:r>
        <w:rPr>
          <w:color w:val="003CA0"/>
          <w:sz w:val="12"/>
        </w:rPr>
        <w:t xml:space="preserve"> | AI 466.131</w:t>
      </w:r>
      <w:r>
        <w:rPr>
          <w:color w:val="003CA0"/>
          <w:sz w:val="12"/>
        </w:rPr>
        <w:t xml:space="preserve"> | rel. Ayres Britto</w:t>
      </w:r>
    </w:p>
    <w:p>
      <w:pPr>
        <w:ind w:left="288"/>
      </w:pPr>
      <w:r>
        <w:rPr>
          <w:color w:val="1E1E1E"/>
          <w:sz w:val="18"/>
        </w:rPr>
        <w:t>= AI 466.131 AgR, rel. min. Ayres Britto, j. 14-12-2010, 2ª T, DJE de 21-3-2011 Previdência Social. Benefício previdenciário. Pensão por morte. Aposentadoria por invalidez. Aposentadoria especial. Renda mensal. Valor. Majoração. Aplicação dos arts. 44; 57, § 1º; e 75 da Lei 8.213/1991, com as alterações da Lei 9.032/1995, a benefício concedido ou cujos requisitos foram implementados anteriormente ao início de sua vigência. Inadmissibilidade. Violação aos arts. 5º, XXXVI, e 195, § 5º, da CF. Recurso extraordinário provido. Precedentes do Plenário. Os arts. 44; 57, § 1º; e 75 da Lei federal 8.21</w:t>
      </w:r>
    </w:p>
    <w:p>
      <w:pPr>
        <w:ind w:left="288"/>
      </w:pPr>
      <w:r>
        <w:rPr>
          <w:b/>
          <w:color w:val="003CA0"/>
          <w:sz w:val="16"/>
        </w:rPr>
        <w:t>[RE 492.338, rel. min. Cezar Peluso, j. 9-2-2007, P, DJ de 30-3-2007.]</w:t>
      </w:r>
    </w:p>
    <w:p>
      <w:pPr>
        <w:ind w:left="288"/>
      </w:pPr>
      <w:r>
        <w:rPr>
          <w:color w:val="8C8C8C"/>
          <w:sz w:val="12"/>
        </w:rPr>
        <w:t>cf-art-5-inc-XXXII-ali-b</w:t>
      </w:r>
      <w:r>
        <w:rPr>
          <w:color w:val="003CA0"/>
          <w:sz w:val="12"/>
        </w:rPr>
        <w:t xml:space="preserve"> | AI 598.229</w:t>
      </w:r>
      <w:r>
        <w:rPr>
          <w:color w:val="003CA0"/>
          <w:sz w:val="12"/>
        </w:rPr>
        <w:t xml:space="preserve"> | rel. Sepúlveda Pertence</w:t>
      </w:r>
    </w:p>
    <w:p>
      <w:pPr>
        <w:ind w:left="288"/>
      </w:pPr>
      <w:r>
        <w:rPr>
          <w:color w:val="1E1E1E"/>
          <w:sz w:val="18"/>
        </w:rPr>
        <w:t>Servidor público: é da jurisprudência do Supremo Tribunal que não há direito adquirido a regime jurídico, no qual se inclui o nível hierárquico que o servidor ocupa na carreira.</w:t>
      </w:r>
    </w:p>
    <w:p>
      <w:pPr>
        <w:ind w:left="288"/>
      </w:pPr>
      <w:r>
        <w:rPr>
          <w:b/>
          <w:color w:val="003CA0"/>
          <w:sz w:val="16"/>
        </w:rPr>
        <w:t>[AI 598.229 AgR, rel. min. Sepúlveda Pertence, j. 13-12-2006, 1ª T, DJ de 16-2-2007.]</w:t>
      </w:r>
    </w:p>
    <w:p>
      <w:pPr>
        <w:ind w:left="288"/>
      </w:pPr>
      <w:r>
        <w:rPr>
          <w:color w:val="8C8C8C"/>
          <w:sz w:val="12"/>
        </w:rPr>
        <w:t>cf-art-5-inc-XXXII-ali-b</w:t>
      </w:r>
      <w:r>
        <w:rPr>
          <w:color w:val="003CA0"/>
          <w:sz w:val="12"/>
        </w:rPr>
        <w:t xml:space="preserve"> | AI 796.527</w:t>
      </w:r>
      <w:r>
        <w:rPr>
          <w:color w:val="003CA0"/>
          <w:sz w:val="12"/>
        </w:rPr>
        <w:t xml:space="preserve"> | rel. Dias Toffoli</w:t>
      </w:r>
    </w:p>
    <w:p>
      <w:pPr>
        <w:ind w:left="288"/>
      </w:pPr>
      <w:r>
        <w:rPr>
          <w:color w:val="1E1E1E"/>
          <w:sz w:val="18"/>
        </w:rPr>
        <w:t>= AI 796.527 AgR, rel. min. Dias Toffoli, j. 3-5-2011, 1ª T, DJE de 4-8-2011 = AI 766.683 AgR, rel. min. Gilmar Mendes, j. 16-11-2010, 2ª T, DJE de 30-11-2010 (...) normas de ordem pública que instituem novo padrão monetário têm aplicação imediata em relação aos contratos em curso como forma de reequilibrar a relação jurídica antes estabelecida. O Plano Collor II também representou mudança de padrão monetário e alteração profunda dos rumos econômicos do País e, por isso, a esse plano econômico também se aplica a jurisprudência assentada no julgamento do RE 141.190.</w:t>
      </w:r>
    </w:p>
    <w:p>
      <w:pPr>
        <w:ind w:left="288"/>
      </w:pPr>
      <w:r>
        <w:rPr>
          <w:b/>
          <w:color w:val="003CA0"/>
          <w:sz w:val="16"/>
        </w:rPr>
        <w:t>[RE 164.836, rel. min. Marco Aurélio, red. do ac. min. Nelson Jobim, j. 15-3-2006, P, DJ de 2-6-2006.]</w:t>
      </w:r>
    </w:p>
    <w:p>
      <w:pPr>
        <w:ind w:left="288"/>
      </w:pPr>
      <w:r>
        <w:rPr>
          <w:color w:val="8C8C8C"/>
          <w:sz w:val="12"/>
        </w:rPr>
        <w:t>cf-art-5-inc-XXXII-ali-b</w:t>
      </w:r>
      <w:r>
        <w:rPr>
          <w:color w:val="003CA0"/>
          <w:sz w:val="12"/>
        </w:rPr>
        <w:t xml:space="preserve"> | RE 217.561</w:t>
      </w:r>
      <w:r>
        <w:rPr>
          <w:color w:val="003CA0"/>
          <w:sz w:val="12"/>
        </w:rPr>
        <w:t xml:space="preserve"> | rel. Eros Grau</w:t>
      </w:r>
    </w:p>
    <w:p>
      <w:pPr>
        <w:ind w:left="288"/>
      </w:pPr>
      <w:r>
        <w:rPr>
          <w:color w:val="1E1E1E"/>
          <w:sz w:val="18"/>
        </w:rPr>
        <w:t>= RE 217.561 AgR-AgR, rel. min. Eros Grau, j. 6-10-2009, 2ª T, DJE de 29-10-2009 Serviço prestado antes do advento da Lei 9.032, de 1995. Caracterização como especial. Atividade insalubre prevista nos Decretos 53.831, de 1964, e 83.080, de 1979. Desnecessidade do laudo exigido pela citada lei.</w:t>
      </w:r>
    </w:p>
    <w:p>
      <w:pPr>
        <w:ind w:left="288"/>
      </w:pPr>
      <w:r>
        <w:rPr>
          <w:b/>
          <w:color w:val="003CA0"/>
          <w:sz w:val="16"/>
        </w:rPr>
        <w:t>[RE 392.559, rel. min. Gilmar Mendes, j. 7-2-2006, 2ª T, DJ de 3-3-2006.]</w:t>
      </w:r>
    </w:p>
    <w:p>
      <w:pPr>
        <w:ind w:left="288"/>
      </w:pPr>
      <w:r>
        <w:rPr>
          <w:color w:val="8C8C8C"/>
          <w:sz w:val="12"/>
        </w:rPr>
        <w:t>cf-art-5-inc-XXXII-ali-b</w:t>
      </w:r>
      <w:r>
        <w:rPr>
          <w:color w:val="003CA0"/>
          <w:sz w:val="12"/>
        </w:rPr>
        <w:t xml:space="preserve"> | MS 25.460</w:t>
      </w:r>
      <w:r>
        <w:rPr>
          <w:color w:val="003CA0"/>
          <w:sz w:val="12"/>
        </w:rPr>
        <w:t xml:space="preserve"> | rel. Carlos Velloso</w:t>
      </w:r>
    </w:p>
    <w:p>
      <w:pPr>
        <w:ind w:left="288"/>
      </w:pPr>
      <w:r>
        <w:rPr>
          <w:color w:val="1E1E1E"/>
          <w:sz w:val="18"/>
        </w:rPr>
        <w:t>Vantagem pecuniária incorporada aos proventos de aposentadoria de servidor público, por força de decisão judicial transitada em julgado: não pode o Tribunal de Contas, em caso assim, determinar a supressão de tal vantagem, por isso que a situação jurídica coberta pela coisa julgada somente pode ser modificada pela via da ação rescisória.</w:t>
      </w:r>
    </w:p>
    <w:p>
      <w:pPr>
        <w:ind w:left="288"/>
      </w:pPr>
      <w:r>
        <w:rPr>
          <w:b/>
          <w:color w:val="003CA0"/>
          <w:sz w:val="16"/>
        </w:rPr>
        <w:t>[MS 25.460, rel. min. Carlos Velloso, j. 15-12-2005, P, DJ de 10-2-2006.]</w:t>
      </w:r>
    </w:p>
    <w:p>
      <w:pPr>
        <w:ind w:left="288"/>
      </w:pPr>
      <w:r>
        <w:rPr>
          <w:color w:val="8C8C8C"/>
          <w:sz w:val="12"/>
        </w:rPr>
        <w:t>cf-art-5-inc-XXXII-ali-b</w:t>
      </w:r>
      <w:r>
        <w:rPr>
          <w:color w:val="003CA0"/>
          <w:sz w:val="12"/>
        </w:rPr>
        <w:t xml:space="preserve"> | MS 30.312</w:t>
      </w:r>
      <w:r>
        <w:rPr>
          <w:color w:val="003CA0"/>
          <w:sz w:val="12"/>
        </w:rPr>
        <w:t xml:space="preserve"> | rel. Dias Toffoli</w:t>
      </w:r>
    </w:p>
    <w:p>
      <w:pPr>
        <w:ind w:left="288"/>
      </w:pPr>
      <w:r>
        <w:rPr>
          <w:color w:val="1E1E1E"/>
          <w:sz w:val="18"/>
        </w:rPr>
        <w:t>= MS 30.312 AgR, rel. min. Dias Toffoli, j. 27-11-2012, 1ª T, DJE de 14-12-2012 Liminar em ação rescisória. (...) Possibilidade de concessão de liminar em ação rescisória para assegurar o resultado útil da ação.</w:t>
      </w:r>
    </w:p>
    <w:p>
      <w:pPr>
        <w:ind w:left="288"/>
      </w:pPr>
      <w:r>
        <w:rPr>
          <w:b/>
          <w:color w:val="003CA0"/>
          <w:sz w:val="16"/>
        </w:rPr>
        <w:t>[AR 1.734 MC, rel. min. Joaquim Barbosa, j. 28-9-2005, P, DJ de 22-9-2006.]</w:t>
      </w:r>
    </w:p>
    <w:p>
      <w:pPr>
        <w:ind w:left="288"/>
      </w:pPr>
      <w:r>
        <w:rPr>
          <w:color w:val="8C8C8C"/>
          <w:sz w:val="12"/>
        </w:rPr>
        <w:t>cf-art-5-inc-XXXII-ali-b</w:t>
      </w:r>
      <w:r>
        <w:rPr>
          <w:color w:val="003CA0"/>
          <w:sz w:val="12"/>
        </w:rPr>
        <w:t xml:space="preserve"> | AR 2.125</w:t>
      </w:r>
      <w:r>
        <w:rPr>
          <w:color w:val="003CA0"/>
          <w:sz w:val="12"/>
        </w:rPr>
        <w:t xml:space="preserve"> | rel. Marco Aurélio</w:t>
      </w:r>
    </w:p>
    <w:p>
      <w:pPr>
        <w:ind w:left="288"/>
      </w:pPr>
      <w:r>
        <w:rPr>
          <w:color w:val="1E1E1E"/>
          <w:sz w:val="18"/>
        </w:rPr>
        <w:t>Vide AR 2.125 AgR, rel. min. Marco Aurélio, j. 14-5-2014, P, DJE de 7-8-2014 Servidor público. Conversão de licença-prêmio não gozada em tempo de serviço. Direito adquirido antes da vigência da EC 20/1998. Conversão de licença-prêmio em tempo de serviço: direito adquirido na forma da lei vigente ao tempo da reunião dos requisitos necessários para a conversão.</w:t>
      </w:r>
    </w:p>
    <w:p>
      <w:pPr>
        <w:ind w:left="288"/>
      </w:pPr>
      <w:r>
        <w:rPr>
          <w:b/>
          <w:color w:val="003CA0"/>
          <w:sz w:val="16"/>
        </w:rPr>
        <w:t>[RE 394.661 AgR, rel. min. Carlos Velloso, j. 20-9-2005, 2ª T, DJ de 14-10-2005.]</w:t>
      </w:r>
    </w:p>
    <w:p>
      <w:pPr>
        <w:ind w:left="288"/>
      </w:pPr>
      <w:r>
        <w:rPr>
          <w:color w:val="8C8C8C"/>
          <w:sz w:val="12"/>
        </w:rPr>
        <w:t>cf-art-5-inc-XXXII-ali-b</w:t>
      </w:r>
      <w:r>
        <w:rPr>
          <w:color w:val="003CA0"/>
          <w:sz w:val="12"/>
        </w:rPr>
        <w:t xml:space="preserve"> | RE 364.917</w:t>
      </w:r>
      <w:r>
        <w:rPr>
          <w:color w:val="003CA0"/>
          <w:sz w:val="12"/>
        </w:rPr>
        <w:t xml:space="preserve"> | rel. Dias Toffoli</w:t>
      </w:r>
    </w:p>
    <w:p>
      <w:pPr>
        <w:ind w:left="288"/>
      </w:pPr>
      <w:r>
        <w:rPr>
          <w:color w:val="1E1E1E"/>
          <w:sz w:val="18"/>
        </w:rPr>
        <w:t>= RE 364.917 AgR, rel. min. Dias Toffoli, j. 28-2-2012, 1ª T, DJE de 30-3-2012 O Plano Bresser representou alteração profunda nos rumos da economia e mudança do padrão monetário do País. Os contratos fixados anteriormente ao plano incorporavam as expectativas inflacionárias e, por isso, estipulavam formas de reajuste de valor nominal. O congelamento importou em quebra radical das expectativas inflacionárias e, por consequência, em desequilíbrio econômico-financeiro dos contratos. A manutenção íntegra dos pactos importaria em assegurar ganhos reais não compatíveis com a vontade que deu origem a</w:t>
      </w:r>
    </w:p>
    <w:p>
      <w:pPr>
        <w:ind w:left="288"/>
      </w:pPr>
      <w:r>
        <w:rPr>
          <w:b/>
          <w:color w:val="003CA0"/>
          <w:sz w:val="16"/>
        </w:rPr>
        <w:t>[RE 141.190, rel. min. Ilmar Galvão, red. do ac. min.Nelson Jobim, j. 14-9-2005, P, DJ de 26-5-2006.]</w:t>
      </w:r>
    </w:p>
    <w:p>
      <w:pPr>
        <w:ind w:left="288"/>
      </w:pPr>
      <w:r>
        <w:rPr>
          <w:color w:val="8C8C8C"/>
          <w:sz w:val="12"/>
        </w:rPr>
        <w:t>cf-art-5-inc-XXXII-ali-b</w:t>
      </w:r>
      <w:r>
        <w:rPr>
          <w:color w:val="003CA0"/>
          <w:sz w:val="12"/>
        </w:rPr>
        <w:t xml:space="preserve"> | RE 387.270</w:t>
      </w:r>
      <w:r>
        <w:rPr>
          <w:color w:val="003CA0"/>
          <w:sz w:val="12"/>
        </w:rPr>
        <w:t xml:space="preserve"> | rel. Dias Toffoli</w:t>
      </w:r>
    </w:p>
    <w:p>
      <w:pPr>
        <w:ind w:left="288"/>
      </w:pPr>
      <w:r>
        <w:rPr>
          <w:color w:val="1E1E1E"/>
          <w:sz w:val="18"/>
        </w:rPr>
        <w:t>= RE 387.270 AgR, rel. min. Dias Toffoli, j. 25-10-2011, 1ª T, DJE de 29-11-2011 = AI 244.688 AgR, rel. min. Ellen Gracie, j. 22-6-2010, 2ª T, DJE de 6-8-2010 Inquérito policial: arquivamento com base na atipicidade do fato: eficácia de coisa julgada material. A decisão que determina o arquivamento do inquérito policial, quando fundado o pedido do Ministério Público em que o fato nele apurado não constitui crime, mais que preclusão, produz coisa julgada material, que – ainda quando emanada a decisão de juiz absolutamente incompetente – impede a instauração de processo que tenha por objeto o me</w:t>
      </w:r>
    </w:p>
    <w:p>
      <w:pPr>
        <w:ind w:left="288"/>
      </w:pPr>
      <w:r>
        <w:rPr>
          <w:b/>
          <w:color w:val="003CA0"/>
          <w:sz w:val="16"/>
        </w:rPr>
        <w:t>[HC 83.346, rel. min. Sepúlveda Pertence, j. 17-5-2005, 1ª T, DJ de 19-8-2005.]</w:t>
      </w:r>
    </w:p>
    <w:p>
      <w:pPr>
        <w:ind w:left="288"/>
      </w:pPr>
      <w:r>
        <w:rPr>
          <w:color w:val="8C8C8C"/>
          <w:sz w:val="12"/>
        </w:rPr>
        <w:t>cf-art-5-inc-XXXII-ali-b</w:t>
      </w:r>
      <w:r>
        <w:rPr>
          <w:color w:val="003CA0"/>
          <w:sz w:val="12"/>
        </w:rPr>
        <w:t xml:space="preserve"> | INQ 2.934</w:t>
      </w:r>
      <w:r>
        <w:rPr>
          <w:color w:val="003CA0"/>
          <w:sz w:val="12"/>
        </w:rPr>
        <w:t xml:space="preserve"> | rel. Dias Toffoli</w:t>
      </w:r>
    </w:p>
    <w:p>
      <w:pPr>
        <w:ind w:left="288"/>
      </w:pPr>
      <w:r>
        <w:rPr>
          <w:color w:val="1E1E1E"/>
          <w:sz w:val="18"/>
        </w:rPr>
        <w:t>= Inq 2.934, rel. min. Dias Toffoli, j. 25-11-2010, P, DJE de 22-2-2011 Coisa julgada: não ocorrência, por isso que a decisão que manda arquivar inquérito ou peças de informação não causa preclusão. Súmula 524/STF.</w:t>
      </w:r>
    </w:p>
    <w:p>
      <w:pPr>
        <w:ind w:left="288"/>
      </w:pPr>
      <w:r>
        <w:rPr>
          <w:b/>
          <w:color w:val="003CA0"/>
          <w:sz w:val="16"/>
        </w:rPr>
        <w:t>[Inq 1.769, rel. min. Carlos Velloso, j. 1º-12-2004, P, DJ de 3-6-2005.]</w:t>
      </w:r>
    </w:p>
    <w:p>
      <w:pPr>
        <w:ind w:left="288"/>
      </w:pPr>
      <w:r>
        <w:rPr>
          <w:color w:val="8C8C8C"/>
          <w:sz w:val="12"/>
        </w:rPr>
        <w:t>cf-art-5-inc-XXXII-ali-b</w:t>
      </w:r>
      <w:r>
        <w:rPr>
          <w:color w:val="003CA0"/>
          <w:sz w:val="12"/>
        </w:rPr>
        <w:t xml:space="preserve"> | AC 112</w:t>
      </w:r>
      <w:r>
        <w:rPr>
          <w:color w:val="003CA0"/>
          <w:sz w:val="12"/>
        </w:rPr>
        <w:t xml:space="preserve"> | rel. Cezar Peluso</w:t>
      </w:r>
    </w:p>
    <w:p>
      <w:pPr>
        <w:ind w:left="288"/>
      </w:pPr>
      <w:r>
        <w:rPr>
          <w:color w:val="1E1E1E"/>
          <w:sz w:val="18"/>
        </w:rPr>
        <w:t>Sob pena de ofensa à garantia constitucional da coisa julgada, não pode tribunal eleitoral, sob invocação do chamado efeito translativo do recurso, no âmbito de cognição do que foi interposto apenas pelo prefeito, cujo diploma foi cassado, por captação ilegal de sufrágio, cassar de ofício o diploma do vice-prefeito absolvido por capítulo decisório da sentença que, não impugnado por ninguém, transitou em julgado.</w:t>
      </w:r>
    </w:p>
    <w:p>
      <w:pPr>
        <w:ind w:left="288"/>
      </w:pPr>
      <w:r>
        <w:rPr>
          <w:b/>
          <w:color w:val="003CA0"/>
          <w:sz w:val="16"/>
        </w:rPr>
        <w:t>[AC 112, rel. min. Cezar Peluso, j. 1º-12-2004, P, DJ de 4-2-2005.]</w:t>
      </w:r>
    </w:p>
    <w:p>
      <w:pPr>
        <w:ind w:left="288"/>
      </w:pPr>
      <w:r>
        <w:rPr>
          <w:color w:val="8C8C8C"/>
          <w:sz w:val="12"/>
        </w:rPr>
        <w:t>cf-art-5-inc-XXXII-ali-b</w:t>
      </w:r>
      <w:r>
        <w:rPr>
          <w:color w:val="003CA0"/>
          <w:sz w:val="12"/>
        </w:rPr>
        <w:t xml:space="preserve"> | AI 292.979</w:t>
      </w:r>
      <w:r>
        <w:rPr>
          <w:color w:val="003CA0"/>
          <w:sz w:val="12"/>
        </w:rPr>
        <w:t xml:space="preserve"> | rel. Celso de Mello</w:t>
      </w:r>
    </w:p>
    <w:p>
      <w:pPr>
        <w:ind w:left="288"/>
      </w:pPr>
      <w:r>
        <w:rPr>
          <w:color w:val="1E1E1E"/>
          <w:sz w:val="18"/>
        </w:rPr>
        <w:t>Os contratos submetem-se, quanto ao seu estatuto de regência, ao ordenamento normativo vigente à época de sua celebração. Mesmo os efeitos futuros oriundos de contratos anteriormente celebrados não se expõem ao domínio normativo de leis supervenientes. As consequências jurídicas que emergem de um ajuste negocial válido são regidas pela legislação em vigor no momento de sua pactuação. Os contratos – que se qualificam como atos jurídicos perfeitos (RT 547/215) – acham-se protegidos, em sua integralidade, inclusive quanto aos efeitos futuros, pela norma de salvaguarda constante do art. 5º, XXXVI,</w:t>
      </w:r>
    </w:p>
    <w:p>
      <w:pPr>
        <w:ind w:left="288"/>
      </w:pPr>
      <w:r>
        <w:rPr>
          <w:b/>
          <w:color w:val="003CA0"/>
          <w:sz w:val="16"/>
        </w:rPr>
        <w:t>[AI 292.979 ED, rel. min. Celso de Mello, j. 19-11-2002, 2ª T, DJ de 19-12-2002.]</w:t>
      </w:r>
    </w:p>
    <w:p>
      <w:pPr>
        <w:ind w:left="288"/>
      </w:pPr>
      <w:r>
        <w:rPr>
          <w:color w:val="8C8C8C"/>
          <w:sz w:val="12"/>
        </w:rPr>
        <w:t>cf-art-5-inc-XXXII-ali-b</w:t>
      </w:r>
      <w:r>
        <w:rPr>
          <w:color w:val="003CA0"/>
          <w:sz w:val="12"/>
        </w:rPr>
        <w:t xml:space="preserve"> | RE 313.382</w:t>
      </w:r>
      <w:r>
        <w:rPr>
          <w:color w:val="003CA0"/>
          <w:sz w:val="12"/>
        </w:rPr>
        <w:t xml:space="preserve"> | rel. Maurício Corrêa</w:t>
      </w:r>
    </w:p>
    <w:p>
      <w:pPr>
        <w:ind w:left="288"/>
      </w:pPr>
      <w:r>
        <w:rPr>
          <w:color w:val="1E1E1E"/>
          <w:sz w:val="18"/>
        </w:rPr>
        <w:t>Conversão do benefício para URV. Observância das Leis 8.542/1992, 8.700/1993 e 8.880/1994. Inconstitucionalidade da palavra "nominal" contida no inciso I do art. 20 da Lei 8.880/1994, por ofensa à garantia constitucional do direito adquirido (CF, art. 5º, XXXVI). Improcedência. O referido vocábulo apenas traduz a vontade do legislador de que, no cálculo da média aritmética do valor a ser convertido para a nova moeda fossem considerados os reajustes e antecipações efetivamente concedidos nos meses de novembro e dezembro de 1993 e janeiro e fevereiro de 1994.</w:t>
      </w:r>
    </w:p>
    <w:p>
      <w:pPr>
        <w:ind w:left="288"/>
      </w:pPr>
      <w:r>
        <w:rPr>
          <w:b/>
          <w:color w:val="003CA0"/>
          <w:sz w:val="16"/>
        </w:rPr>
        <w:t>[RE 313.382, rel. min. Maurício Corrêa, j. 26-9-2002, P, DJ de 8-11-2002.]</w:t>
      </w:r>
    </w:p>
    <w:p>
      <w:pPr>
        <w:ind w:left="288"/>
      </w:pPr>
      <w:r>
        <w:rPr>
          <w:color w:val="8C8C8C"/>
          <w:sz w:val="12"/>
        </w:rPr>
        <w:t>cf-art-5-inc-XXXII-ali-b</w:t>
      </w:r>
      <w:r>
        <w:rPr>
          <w:color w:val="003CA0"/>
          <w:sz w:val="12"/>
        </w:rPr>
        <w:t xml:space="preserve"> | AI 587.822</w:t>
      </w:r>
      <w:r>
        <w:rPr>
          <w:color w:val="003CA0"/>
          <w:sz w:val="12"/>
        </w:rPr>
        <w:t xml:space="preserve"> | rel. Ayres Britto</w:t>
      </w:r>
    </w:p>
    <w:p>
      <w:pPr>
        <w:ind w:left="288"/>
      </w:pPr>
      <w:r>
        <w:rPr>
          <w:color w:val="1E1E1E"/>
          <w:sz w:val="18"/>
        </w:rPr>
        <w:t>= AI 587.822 AgR, rel. min. Ayres Britto, j. 14-9-2010, 2ª T, DJE de 3-11-2010 O FGTS, ao contrário do que sucede com as cadernetas de poupança, não tem natureza contratual, mas, sim, estatutária, por decorrer da lei e por ela ser disciplinado. Assim, é de aplicar-se a ele a firme jurisprudência desta Corte no sentido de que não há direito adquirido a regime jurídico. Quanto à atualização dos saldos do FGTS relativos aos Planos Verão e Collor I (este no que diz respeito ao mês de abril de 1990), não há questão de direito adquirido a ser examinada, situando-se a matéria exclusivamente no terren</w:t>
      </w:r>
    </w:p>
    <w:p>
      <w:pPr>
        <w:ind w:left="288"/>
      </w:pPr>
      <w:r>
        <w:rPr>
          <w:b/>
          <w:color w:val="003CA0"/>
          <w:sz w:val="16"/>
        </w:rPr>
        <w:t>[RE 226.855, rel. min. Moreira Alves, j. 31-8-2000, P, DJ de 13-10-2000.]</w:t>
      </w:r>
    </w:p>
    <w:p>
      <w:pPr>
        <w:ind w:left="288"/>
      </w:pPr>
      <w:r>
        <w:rPr>
          <w:color w:val="8C8C8C"/>
          <w:sz w:val="12"/>
        </w:rPr>
        <w:t>cf-art-5-inc-XXXII-ali-b</w:t>
      </w:r>
      <w:r>
        <w:rPr>
          <w:color w:val="003CA0"/>
          <w:sz w:val="12"/>
        </w:rPr>
        <w:t xml:space="preserve"> | AR 1.768</w:t>
      </w:r>
      <w:r>
        <w:rPr>
          <w:color w:val="003CA0"/>
          <w:sz w:val="12"/>
        </w:rPr>
        <w:t xml:space="preserve"> | rel. Dias Toffoli</w:t>
      </w:r>
    </w:p>
    <w:p>
      <w:pPr>
        <w:ind w:left="288"/>
      </w:pPr>
      <w:r>
        <w:rPr>
          <w:color w:val="1E1E1E"/>
          <w:sz w:val="18"/>
        </w:rPr>
        <w:t>= AR 1.768 AgR, rel. min. Dias Toffoli, j. 19-12-2012, P, DJE de 26-2-2013 As normas constitucionais federais é que, por terem aplicação imediata, alcançam os efeitos futuros de fatos passados (retroatividade mínima), e se expressamente o declararem podem alcançar até fatos consumados no passado (retroatividades média e máxima). Não assim, porém, as normas constitucionais estaduais que estão sujeitas à vedação do art. 5º, XXXVI, da Carta Magna Federal, inclusive a concernente à retroatividade mínima que ocorre com a aplicação imediata delas.</w:t>
      </w:r>
    </w:p>
    <w:p>
      <w:pPr>
        <w:ind w:left="288"/>
      </w:pPr>
      <w:r>
        <w:rPr>
          <w:b/>
          <w:color w:val="003CA0"/>
          <w:sz w:val="16"/>
        </w:rPr>
        <w:t>[AI 258.337 AgR, rel. min. Moreira Alves, j. 6-6-2000, 1ª T, DJ de 4-8-2000.]</w:t>
      </w:r>
    </w:p>
    <w:p>
      <w:pPr>
        <w:ind w:left="288"/>
      </w:pPr>
      <w:r>
        <w:rPr>
          <w:color w:val="8C8C8C"/>
          <w:sz w:val="12"/>
        </w:rPr>
        <w:t>cf-art-5-inc-XXXII-ali-b</w:t>
      </w:r>
      <w:r>
        <w:rPr>
          <w:color w:val="003CA0"/>
          <w:sz w:val="12"/>
        </w:rPr>
        <w:t xml:space="preserve"> | RE 254.459</w:t>
      </w:r>
      <w:r>
        <w:rPr>
          <w:color w:val="003CA0"/>
          <w:sz w:val="12"/>
        </w:rPr>
        <w:t xml:space="preserve"> | rel. Ilmar Galvão</w:t>
      </w:r>
    </w:p>
    <w:p>
      <w:pPr>
        <w:ind w:left="288"/>
      </w:pPr>
      <w:r>
        <w:rPr>
          <w:color w:val="1E1E1E"/>
          <w:sz w:val="18"/>
        </w:rPr>
        <w:t>Contribuições previdenciárias. Autônomos e administradores. Pagamento indevido. Crédito utilizável para extinção, por compensação, de débitos da mesma natureza, até o limite de 30%, quando constituídos após a edição da Lei 9.129/1995. (...) Se o crédito se constituiu após o advento do referido diploma legal, é fora de dúvida que a sua extinção, mediante compensação, ou por outro qualquer meio, há de processar-se pelo regime nele estabelecido e não pelo da lei anterior, posto aplicável, no caso, o princípio segundo o qual não há direito adquirido a regime jurídico.</w:t>
      </w:r>
    </w:p>
    <w:p>
      <w:pPr>
        <w:ind w:left="288"/>
      </w:pPr>
      <w:r>
        <w:rPr>
          <w:b/>
          <w:color w:val="003CA0"/>
          <w:sz w:val="16"/>
        </w:rPr>
        <w:t>[RE 254.459, rel. min. Ilmar Galvão, j. 23-5-2000, 1ª T, DJ de 10-8-2000.]</w:t>
      </w:r>
    </w:p>
    <w:p>
      <w:pPr>
        <w:ind w:left="288"/>
      </w:pPr>
      <w:r>
        <w:rPr>
          <w:color w:val="8C8C8C"/>
          <w:sz w:val="12"/>
        </w:rPr>
        <w:t>cf-art-5-inc-XXXII-ali-b</w:t>
      </w:r>
      <w:r>
        <w:rPr>
          <w:color w:val="003CA0"/>
          <w:sz w:val="12"/>
        </w:rPr>
        <w:t xml:space="preserve"> | RE 380.448</w:t>
      </w:r>
      <w:r>
        <w:rPr>
          <w:color w:val="003CA0"/>
          <w:sz w:val="12"/>
        </w:rPr>
        <w:t xml:space="preserve"> | rel. Ellen Gracie</w:t>
      </w:r>
    </w:p>
    <w:p>
      <w:pPr>
        <w:ind w:left="288"/>
      </w:pPr>
      <w:r>
        <w:rPr>
          <w:color w:val="1E1E1E"/>
          <w:sz w:val="18"/>
        </w:rPr>
        <w:t>= RE 380.448 AgR, rel. min. Ellen Gracie, j. 6-4-2010, 2ª T, DJE de 30-4-2010 Administrativo. Servidores federais. Vencimentos. Reajuste de 47,94% previsto na Lei 8.676/1993. MP 434/1994. Alegada ofensa aos arts. 5º, XXXVI; 37; e 62 da Constituição. Reeditada a MP 434/1994, conquanto por mais de uma vez, mas sempre dentro do trintídio, e, afinal, convertida em lei (Lei 8.800/1994), não sobrou espaço para falar-se em repristinação da Lei 8.576/1993 por ela revogada, nem, obviamente, em aquisição, após a revogação, de direito nela fundado. Recurso conhecido e provido.</w:t>
      </w:r>
    </w:p>
    <w:p>
      <w:pPr>
        <w:ind w:left="288"/>
      </w:pPr>
      <w:r>
        <w:rPr>
          <w:b/>
          <w:color w:val="003CA0"/>
          <w:sz w:val="16"/>
        </w:rPr>
        <w:t>[RE 239.556, rel. min. Ilmar Galvão, j. 29-6-1999, 1ª T, DJ de 2-10-1999.]</w:t>
      </w:r>
    </w:p>
    <w:p>
      <w:pPr>
        <w:ind w:left="288"/>
      </w:pPr>
      <w:r>
        <w:rPr>
          <w:color w:val="8C8C8C"/>
          <w:sz w:val="12"/>
        </w:rPr>
        <w:t>cf-art-5-inc-XXXII-ali-b</w:t>
      </w:r>
      <w:r>
        <w:rPr>
          <w:color w:val="003CA0"/>
          <w:sz w:val="12"/>
        </w:rPr>
        <w:t xml:space="preserve"> | RE 403.824</w:t>
      </w:r>
      <w:r>
        <w:rPr>
          <w:color w:val="003CA0"/>
          <w:sz w:val="12"/>
        </w:rPr>
        <w:t xml:space="preserve"> | rel. Dias Toffoli</w:t>
      </w:r>
    </w:p>
    <w:p>
      <w:pPr>
        <w:ind w:left="288"/>
      </w:pPr>
      <w:r>
        <w:rPr>
          <w:color w:val="1E1E1E"/>
          <w:sz w:val="18"/>
        </w:rPr>
        <w:t>= RE 403.824 AgR, rel. min. Dias Toffoli, j. 26-6-2012, 1ª T, DJE de 15-8-2012 Bem de família: impenhorabilidade legal (Lei 8.009/1990): aplicação aos processos em curso, desconstituindo penhoras anteriores, sem ofensa de direito adquirido ou ato jurídico perfeito (...).</w:t>
      </w:r>
    </w:p>
    <w:p>
      <w:pPr>
        <w:ind w:left="288"/>
      </w:pPr>
      <w:r>
        <w:rPr>
          <w:b/>
          <w:color w:val="003CA0"/>
          <w:sz w:val="16"/>
        </w:rPr>
        <w:t>[RE 224.659, rel. min. Sepúlveda Pertence, j. 24-3-1998, 1ª T, DJ de 8-5-1998.]</w:t>
      </w:r>
    </w:p>
    <w:p>
      <w:pPr>
        <w:ind w:left="288"/>
      </w:pPr>
      <w:r>
        <w:rPr>
          <w:color w:val="8C8C8C"/>
          <w:sz w:val="12"/>
        </w:rPr>
        <w:t>cf-art-5-inc-XXXII-ali-b</w:t>
      </w:r>
      <w:r>
        <w:rPr>
          <w:color w:val="003CA0"/>
          <w:sz w:val="12"/>
        </w:rPr>
        <w:t xml:space="preserve"> | AI 612.248</w:t>
      </w:r>
      <w:r>
        <w:rPr>
          <w:color w:val="003CA0"/>
          <w:sz w:val="12"/>
        </w:rPr>
        <w:t xml:space="preserve"> | rel. Gilmar Mendes</w:t>
      </w:r>
    </w:p>
    <w:p>
      <w:pPr>
        <w:ind w:left="288"/>
      </w:pPr>
      <w:r>
        <w:rPr>
          <w:color w:val="1E1E1E"/>
          <w:sz w:val="18"/>
        </w:rPr>
        <w:t>= AI 612.248 AgR, rel. min. Gilmar Mendes, j. 4-12-2007, 2ª T, DJE de 1º-2-2008 = RE 136.753, rel. min. Sepúlveda Pertence, j. 13-2-1997, P, DJ de 25-4-1997 A coisa julgada a que se refere o art. 5º, XXXVI, da Carta Magna é, como conceitua o § 3º do art. 6º da LICC, a decisão judicial de que já não caiba recurso, e não a denominada coisa julgada administrativa.</w:t>
      </w:r>
    </w:p>
    <w:p>
      <w:pPr>
        <w:ind w:left="288"/>
      </w:pPr>
      <w:r>
        <w:rPr>
          <w:b/>
          <w:color w:val="003CA0"/>
          <w:sz w:val="16"/>
        </w:rPr>
        <w:t>[RE 144.996, rel. min. Moreira Alves, j. 29-4-1997, 1ª T, DJ de 12-9-1997.]</w:t>
      </w:r>
    </w:p>
    <w:p>
      <w:pPr>
        <w:ind w:left="288"/>
      </w:pPr>
      <w:r>
        <w:rPr>
          <w:color w:val="8C8C8C"/>
          <w:sz w:val="12"/>
        </w:rPr>
        <w:t>cf-art-5-inc-XXXII-ali-b</w:t>
      </w:r>
      <w:r>
        <w:rPr>
          <w:color w:val="003CA0"/>
          <w:sz w:val="12"/>
        </w:rPr>
        <w:t xml:space="preserve"> | RE 196.140</w:t>
      </w:r>
      <w:r>
        <w:rPr>
          <w:color w:val="003CA0"/>
          <w:sz w:val="12"/>
        </w:rPr>
        <w:t xml:space="preserve"> | rel. Celso de Mello</w:t>
      </w:r>
    </w:p>
    <w:p>
      <w:pPr>
        <w:ind w:left="288"/>
      </w:pPr>
      <w:r>
        <w:rPr>
          <w:color w:val="1E1E1E"/>
          <w:sz w:val="18"/>
        </w:rPr>
        <w:t>A questão pertinente ao reconhecimento, ou não, da consolidação de situações jurídicas definitivas há de ser examinada em face dos ciclos de formação a que esteja eventualmente sujeito o processo de aquisição de determinado direito. Isso significa que a superveniência de ato legislativo, em tempo oportuno – vale dizer, enquanto ainda não concluído o ciclo de formação e constituição do direito vindicado – constitui fator capaz de impedir que se complete, validamente, o próprio processo de aquisição do direito (RTJ 134/1112 – RTJ 153/82 – RTJ 155/621, v.g.), inviabilizando, desse modo, ante a ex</w:t>
      </w:r>
    </w:p>
    <w:p>
      <w:pPr>
        <w:ind w:left="288"/>
      </w:pPr>
      <w:r>
        <w:rPr>
          <w:b/>
          <w:color w:val="003CA0"/>
          <w:sz w:val="16"/>
        </w:rPr>
        <w:t>[RE 196.140, rel. min. Celso de Mello, j. 25-2-1997, 1ª T, DJ de 25-8-2006.]</w:t>
      </w:r>
    </w:p>
    <w:p>
      <w:pPr>
        <w:ind w:left="288"/>
      </w:pPr>
      <w:r>
        <w:rPr>
          <w:color w:val="8C8C8C"/>
          <w:sz w:val="12"/>
        </w:rPr>
        <w:t>cf-art-5-inc-XXXII-ali-b</w:t>
      </w:r>
      <w:r>
        <w:rPr>
          <w:color w:val="003CA0"/>
          <w:sz w:val="12"/>
        </w:rPr>
        <w:t xml:space="preserve"> | AI 189.787</w:t>
      </w:r>
      <w:r>
        <w:rPr>
          <w:color w:val="003CA0"/>
          <w:sz w:val="12"/>
        </w:rPr>
        <w:t xml:space="preserve"> | rel. Ilmar Galvão</w:t>
      </w:r>
    </w:p>
    <w:p>
      <w:pPr>
        <w:ind w:left="288"/>
      </w:pPr>
      <w:r>
        <w:rPr>
          <w:color w:val="1E1E1E"/>
          <w:sz w:val="18"/>
        </w:rPr>
        <w:t>O entendimento desta Corte é firme no sentido de que a coisa julgada em matéria fiscal, inclusive quanto ao ICM [Imposto sobre Circulação de Mercadorias], fica delimitada à relação jurídico-material em que debatida, não podendo, portanto, ser invocada em exercícios posteriores, a teor da Súmula 239/STF.</w:t>
      </w:r>
    </w:p>
    <w:p>
      <w:pPr>
        <w:ind w:left="288"/>
      </w:pPr>
      <w:r>
        <w:rPr>
          <w:b/>
          <w:color w:val="003CA0"/>
          <w:sz w:val="16"/>
        </w:rPr>
        <w:t>[AI 189.787 AgR, rel. min. Ilmar Galvão, j. 17-12-1996, 1ª T, DJ de 4-4-1997.]</w:t>
      </w:r>
    </w:p>
    <w:p>
      <w:pPr>
        <w:ind w:left="288"/>
      </w:pPr>
      <w:r>
        <w:rPr>
          <w:color w:val="8C8C8C"/>
          <w:sz w:val="12"/>
        </w:rPr>
        <w:t>cf-art-5-inc-XXXII-ali-b</w:t>
      </w:r>
      <w:r>
        <w:rPr>
          <w:color w:val="003CA0"/>
          <w:sz w:val="12"/>
        </w:rPr>
        <w:t xml:space="preserve"> | RE 184.099</w:t>
      </w:r>
      <w:r>
        <w:rPr>
          <w:color w:val="003CA0"/>
          <w:sz w:val="12"/>
        </w:rPr>
        <w:t xml:space="preserve"> | rel. Octavio Gallotti</w:t>
      </w:r>
    </w:p>
    <w:p>
      <w:pPr>
        <w:ind w:left="288"/>
      </w:pPr>
      <w:r>
        <w:rPr>
          <w:color w:val="1E1E1E"/>
          <w:sz w:val="18"/>
        </w:rPr>
        <w:t>O princípio insculpido no inciso XXXVI do art. 5º da Constituição (garantia do direito adquirido) não impede a edição, pelo Estado, de norma retroativa (lei ou decreto) em benefício do particular.</w:t>
      </w:r>
    </w:p>
    <w:p>
      <w:pPr>
        <w:ind w:left="288"/>
      </w:pPr>
      <w:r>
        <w:rPr>
          <w:b/>
          <w:color w:val="003CA0"/>
          <w:sz w:val="16"/>
        </w:rPr>
        <w:t>[RE 184.099, rel. min. Octavio Gallotti, j. 10-12-1996, 1ª T, DJ de 18-4-1997.]</w:t>
      </w:r>
    </w:p>
    <w:p>
      <w:pPr>
        <w:ind w:left="288"/>
      </w:pPr>
      <w:r>
        <w:rPr>
          <w:color w:val="8C8C8C"/>
          <w:sz w:val="12"/>
        </w:rPr>
        <w:t>cf-art-5-inc-XXXII-ali-b</w:t>
      </w:r>
      <w:r>
        <w:rPr>
          <w:color w:val="003CA0"/>
          <w:sz w:val="12"/>
        </w:rPr>
        <w:t xml:space="preserve"> | RE 202.584</w:t>
      </w:r>
      <w:r>
        <w:rPr>
          <w:color w:val="003CA0"/>
          <w:sz w:val="12"/>
        </w:rPr>
        <w:t xml:space="preserve"> | rel. Moreira Alves</w:t>
      </w:r>
    </w:p>
    <w:p>
      <w:pPr>
        <w:ind w:left="288"/>
      </w:pPr>
      <w:r>
        <w:rPr>
          <w:color w:val="1E1E1E"/>
          <w:sz w:val="18"/>
        </w:rPr>
        <w:t>O princípio constitucional do respeito ao ato jurídico perfeito se aplica também, conforme é o entendimento desta Corte, às leis de ordem pública. Correto, portanto, o acórdão recorrido ao julgar que, no caso, ocorreu afronta ao ato jurídico perfeito, porquanto, com relação à caderneta de poupança, há contrato de adesão entre o poupador e o estabelecimento financeiro, não podendo, portanto, ser aplicada a ele, durante o período para a aquisição da correção monetária mensal já iniciado, legislação que altere, para menor, o índice dessa correção.</w:t>
      </w:r>
    </w:p>
    <w:p>
      <w:pPr>
        <w:ind w:left="288"/>
      </w:pPr>
      <w:r>
        <w:rPr>
          <w:b/>
          <w:color w:val="003CA0"/>
          <w:sz w:val="16"/>
        </w:rPr>
        <w:t>[RE 202.584, rel. min. Moreira Alves, j. 17-9-1996, 1ª T, DJ de 14-11-1996.]</w:t>
      </w:r>
    </w:p>
    <w:p>
      <w:pPr>
        <w:ind w:left="288"/>
      </w:pPr>
      <w:r>
        <w:rPr>
          <w:color w:val="8C8C8C"/>
          <w:sz w:val="12"/>
        </w:rPr>
        <w:t>cf-art-5-inc-XXXII-ali-b</w:t>
      </w:r>
      <w:r>
        <w:rPr>
          <w:color w:val="003CA0"/>
          <w:sz w:val="12"/>
        </w:rPr>
        <w:t xml:space="preserve"> | AI 749.694</w:t>
      </w:r>
      <w:r>
        <w:rPr>
          <w:color w:val="003CA0"/>
          <w:sz w:val="12"/>
        </w:rPr>
        <w:t xml:space="preserve"> | rel. Joaquim Barbosa</w:t>
      </w:r>
    </w:p>
    <w:p>
      <w:pPr>
        <w:ind w:left="288"/>
      </w:pPr>
      <w:r>
        <w:rPr>
          <w:color w:val="1E1E1E"/>
          <w:sz w:val="18"/>
        </w:rPr>
        <w:t>= AI 749.694 AgR, rel. min. Joaquim Barbosa, j. 2-3-2010, 2ª T, DJE de 26-3-2010 = AI 700.254 ED-AgR, rel. min. Ricardo Lewandowski, j. 17-3-2009, 1ª T, DJE de 17-4-2009 O constituinte, ao estabelecer a inviolabilidade do direito adquirido, do ato jurídico perfeito e da coisa julgada, diante da lei (art. 5º, XXXVI), obviamente se excluiu dessa limitação, razão pela qual nada o impedia de recusar a garantia à situação jurídica em foco. Assim é que, além de vedar, no art. 37, XIV, a concessão de vantagens funcionais "em cascata", determinou a imediata supressão de excessos da espécie, sem consid</w:t>
      </w:r>
    </w:p>
    <w:p>
      <w:pPr>
        <w:ind w:left="288"/>
      </w:pPr>
      <w:r>
        <w:rPr>
          <w:b/>
          <w:color w:val="003CA0"/>
          <w:sz w:val="16"/>
        </w:rPr>
        <w:t>[RE 140.894, rel. min. Ilmar Galvão, j. 10-5-1996, 1ª T, DJ de 9-8-1996.]</w:t>
      </w:r>
    </w:p>
    <w:p>
      <w:pPr>
        <w:ind w:left="288"/>
      </w:pPr>
      <w:r>
        <w:rPr>
          <w:color w:val="8C8C8C"/>
          <w:sz w:val="12"/>
        </w:rPr>
        <w:t>cf-art-5-inc-XXXII-ali-b</w:t>
      </w:r>
      <w:r>
        <w:rPr>
          <w:color w:val="003CA0"/>
          <w:sz w:val="12"/>
        </w:rPr>
        <w:t xml:space="preserve"> | RE 172.082</w:t>
      </w:r>
      <w:r>
        <w:rPr>
          <w:color w:val="003CA0"/>
          <w:sz w:val="12"/>
        </w:rPr>
        <w:t xml:space="preserve"> | rel. Celso de Mello</w:t>
      </w:r>
    </w:p>
    <w:p>
      <w:pPr>
        <w:ind w:left="288"/>
      </w:pPr>
      <w:r>
        <w:rPr>
          <w:color w:val="1E1E1E"/>
          <w:sz w:val="18"/>
        </w:rPr>
        <w:t>Não há direito adquirido contra disposição normativa inscrita no texto da Constituição, eis que situações inconstitucionais, por desprovidas de validade jurídica, não podem justificar o reconhecimento de quaisquer direitos.</w:t>
      </w:r>
    </w:p>
    <w:p>
      <w:pPr>
        <w:ind w:left="288"/>
      </w:pPr>
      <w:r>
        <w:rPr>
          <w:b/>
          <w:color w:val="003CA0"/>
          <w:sz w:val="16"/>
        </w:rPr>
        <w:t>[RE 172.082, rel. min. Celso de Mello, j. 12-12-1995, 1ª T, DJE de 13-2-2009.]</w:t>
      </w:r>
    </w:p>
    <w:p>
      <w:pPr>
        <w:ind w:left="288"/>
      </w:pPr>
      <w:r>
        <w:rPr>
          <w:color w:val="8C8C8C"/>
          <w:sz w:val="12"/>
        </w:rPr>
        <w:t>cf-art-5-inc-XXXII-ali-b</w:t>
      </w:r>
      <w:r>
        <w:rPr>
          <w:color w:val="003CA0"/>
          <w:sz w:val="12"/>
        </w:rPr>
        <w:t xml:space="preserve"> | AI 135.632</w:t>
      </w:r>
      <w:r>
        <w:rPr>
          <w:color w:val="003CA0"/>
          <w:sz w:val="12"/>
        </w:rPr>
        <w:t xml:space="preserve"> | rel. Celso de Mello</w:t>
      </w:r>
    </w:p>
    <w:p>
      <w:pPr>
        <w:ind w:left="288"/>
      </w:pPr>
      <w:r>
        <w:rPr>
          <w:color w:val="1E1E1E"/>
          <w:sz w:val="18"/>
        </w:rPr>
        <w:t>O sistema constitucional brasileiro, em cláusula de salvaguarda, impõe que se respeite o direito adquirido (CF, art. 5º, XXXVI). A Constituição da República, no entanto, não apresenta qualquer definição de direito adquirido, pois, em nosso ordenamento positivo, o conceito de direito adquirido representa matéria de caráter meramente legal. Não se pode confundir, desse modo, a noção conceitual de direito adquirido (tema da legislação ordinária) com o princípio inerente à proteção das situações definitivamente consolidadas (matéria de extração constitucional), pois é apenas a tutela do direito ad</w:t>
      </w:r>
    </w:p>
    <w:p>
      <w:pPr>
        <w:ind w:left="288"/>
      </w:pPr>
      <w:r>
        <w:rPr>
          <w:b/>
          <w:color w:val="003CA0"/>
          <w:sz w:val="16"/>
        </w:rPr>
        <w:t>[AI 135.632 AgR, rel. min. Celso de Mello, j. 10-10-1995, 1ª T, DJ de 3-9-1999.]</w:t>
      </w:r>
    </w:p>
    <w:p>
      <w:pPr>
        <w:ind w:left="288"/>
      </w:pPr>
      <w:r>
        <w:rPr>
          <w:color w:val="8C8C8C"/>
          <w:sz w:val="12"/>
        </w:rPr>
        <w:t>cf-art-5-inc-XXXII-ali-b</w:t>
      </w:r>
      <w:r>
        <w:rPr>
          <w:color w:val="003CA0"/>
          <w:sz w:val="12"/>
        </w:rPr>
        <w:t xml:space="preserve"> | RE 182.641</w:t>
      </w:r>
      <w:r>
        <w:rPr>
          <w:color w:val="003CA0"/>
          <w:sz w:val="12"/>
        </w:rPr>
        <w:t xml:space="preserve"> | rel. Octavio Gallotti</w:t>
      </w:r>
    </w:p>
    <w:p>
      <w:pPr>
        <w:ind w:left="288"/>
      </w:pPr>
      <w:r>
        <w:rPr>
          <w:color w:val="1E1E1E"/>
          <w:sz w:val="18"/>
        </w:rPr>
        <w:t>Cartório de notas. Depende da realização de concurso público de provas e títulos a investidura na titularidade de serventia cuja vaga tenha ocorrido após a promulgação da Constituição de 1988 (art. 236, § 3º), não se configurando direito adquirido ao provimento, por parte de quem haja preenchido, como substituto, o tempo de serviço contemplado no art. 208, acrescentado à Carta de 1967 pela Emenda 22, de 1982.</w:t>
      </w:r>
    </w:p>
    <w:p>
      <w:pPr>
        <w:ind w:left="288"/>
      </w:pPr>
      <w:r>
        <w:rPr>
          <w:b/>
          <w:color w:val="003CA0"/>
          <w:sz w:val="16"/>
        </w:rPr>
        <w:t>[RE 182.641, rel. min. Octavio Gallotti, j. 22-8-1995, 1ª T, DJ de 15-3-1996.]</w:t>
      </w:r>
    </w:p>
    <w:p>
      <w:pPr>
        <w:ind w:left="288"/>
      </w:pPr>
      <w:r>
        <w:rPr>
          <w:color w:val="8C8C8C"/>
          <w:sz w:val="12"/>
        </w:rPr>
        <w:t>cf-art-5-inc-XXXII-ali-b</w:t>
      </w:r>
      <w:r>
        <w:rPr>
          <w:color w:val="003CA0"/>
          <w:sz w:val="12"/>
        </w:rPr>
        <w:t xml:space="preserve"> | AI 829.502</w:t>
      </w:r>
      <w:r>
        <w:rPr>
          <w:color w:val="003CA0"/>
          <w:sz w:val="12"/>
        </w:rPr>
        <w:t xml:space="preserve"> | rel. Gilmar Mendes</w:t>
      </w:r>
    </w:p>
    <w:p>
      <w:pPr>
        <w:ind w:left="288"/>
      </w:pPr>
      <w:r>
        <w:rPr>
          <w:color w:val="1E1E1E"/>
          <w:sz w:val="18"/>
        </w:rPr>
        <w:t>= AI 829.502 AgR, rel. min. Gilmar Mendes, j. 11-9-2012, 2ª T, DJE de 24-9-2012 = MS 28.279, rel. min. Ellen Gracie, j. 16-12-2010, P, DJE de 29-4-2011 Vide ADI 417, rel. min. Maurício Corrêa, j. 5-3-1998, P, DJ de 8-5-1998 Correção monetária. Utilização da Taxa Referencial (TR) como índice de indexação. O STF, no julgamento das ADI 493, rel. min. Moreira Alves; ADI 768, rel. min. Marco Aurélio; e ADI 959/DF, rel. min. Sydney Sanches; não excluiu do universo jurídico a TR, vale dizer, não decidiu no sentido de que a TR não pode ser utilizada como índice de indexação. O que o Supremo Tribunal d</w:t>
      </w:r>
    </w:p>
    <w:p>
      <w:pPr>
        <w:ind w:left="288"/>
      </w:pPr>
      <w:r>
        <w:rPr>
          <w:b/>
          <w:color w:val="003CA0"/>
          <w:sz w:val="16"/>
        </w:rPr>
        <w:t>[RE 175.678, rel. min. Carlos Velloso, j. 29-11-1994, 2ª T, DJ de 4-8-1995.]</w:t>
      </w:r>
    </w:p>
    <w:p>
      <w:pPr>
        <w:ind w:left="288"/>
      </w:pPr>
      <w:r>
        <w:rPr>
          <w:color w:val="8C8C8C"/>
          <w:sz w:val="12"/>
        </w:rPr>
        <w:t>cf-art-5-inc-XXXII-ali-b</w:t>
      </w:r>
      <w:r>
        <w:rPr>
          <w:color w:val="003CA0"/>
          <w:sz w:val="12"/>
        </w:rPr>
        <w:t xml:space="preserve"> | RE 615.339</w:t>
      </w:r>
      <w:r>
        <w:rPr>
          <w:color w:val="003CA0"/>
          <w:sz w:val="12"/>
        </w:rPr>
        <w:t xml:space="preserve"> | rel. Ayres Britto</w:t>
      </w:r>
    </w:p>
    <w:p>
      <w:pPr>
        <w:ind w:left="288"/>
      </w:pPr>
      <w:r>
        <w:rPr>
          <w:color w:val="1E1E1E"/>
          <w:sz w:val="18"/>
        </w:rPr>
        <w:t>= RE 615.339 AgR-segundo, rel. min. Ayres Britto, j. 27-3-2012, 2ª T, DJE de 23-4-2012 A administração pública, observados os limites ditados pela CF, atua de modo discricionário ao instituir o regime jurídico de seus agentes e ao elaborar novos planos de carreira, não podendo o servidor a ela estatutariamente vinculado invocar direito adquirido para reivindicar enquadramento diverso daquele determinado pelo poder público, com fundamento em norma de caráter legal.</w:t>
      </w:r>
    </w:p>
    <w:p>
      <w:pPr>
        <w:ind w:left="288"/>
      </w:pPr>
      <w:r>
        <w:rPr>
          <w:b/>
          <w:color w:val="003CA0"/>
          <w:sz w:val="16"/>
        </w:rPr>
        <w:t>[RE 116.683, rel. min. Celso de Mello, j. 11-6-1991, 1ª T, DJ de 13-3-1992.]</w:t>
      </w:r>
    </w:p>
    <w:p>
      <w:pPr>
        <w:ind w:left="288"/>
      </w:pPr>
      <w:r>
        <w:rPr>
          <w:color w:val="8C8C8C"/>
          <w:sz w:val="12"/>
        </w:rPr>
        <w:t>cf-art-5-inc-XXXII-ali-b</w:t>
      </w:r>
      <w:r>
        <w:rPr>
          <w:color w:val="003CA0"/>
          <w:sz w:val="12"/>
        </w:rPr>
        <w:t xml:space="preserve"> | AI 852.070</w:t>
      </w:r>
      <w:r>
        <w:rPr>
          <w:color w:val="003CA0"/>
          <w:sz w:val="12"/>
        </w:rPr>
        <w:t xml:space="preserve"> | rel. Gilmar Mendes</w:t>
      </w:r>
    </w:p>
    <w:p>
      <w:pPr>
        <w:ind w:left="288"/>
      </w:pPr>
      <w:r>
        <w:rPr>
          <w:color w:val="1E1E1E"/>
          <w:sz w:val="18"/>
        </w:rPr>
        <w:t>= AI 852.070 AgR, rel. min. Gilmar Mendes, j. 29-11-2011, 2ª T, DJE de 7-2-2012 XXXVII - não haverá juízo ou tribunal de exceção; Criação, por lei estadual, de varas especializadas em delitos praticados por organizações criminosas. (...) O princípio do juiz natural não resta violado na hipótese em que lei estadual atribui a vara especializada competência territorial abrangente de todo o território da unidade federada, com fundamento no art. 125 da Constituição, porquanto o tema gravita em torno da organização judiciária, inexistindo afronta aos princípios da territorialidade e do juiz natural.</w:t>
      </w:r>
    </w:p>
    <w:p>
      <w:pPr>
        <w:ind w:left="288"/>
      </w:pPr>
      <w:r>
        <w:rPr>
          <w:b/>
          <w:color w:val="003CA0"/>
          <w:sz w:val="16"/>
        </w:rPr>
        <w:t>[ADI 4.414, rel. min. Luiz Fux, j. 31-5-2012, P, DJE de 17-6-2013.]</w:t>
      </w:r>
    </w:p>
    <w:p>
      <w:pPr>
        <w:ind w:left="288"/>
      </w:pPr>
      <w:r>
        <w:rPr>
          <w:color w:val="8C8C8C"/>
          <w:sz w:val="12"/>
        </w:rPr>
        <w:t>cf-art-5-inc-XXXII-ali-b</w:t>
      </w:r>
      <w:r>
        <w:rPr>
          <w:color w:val="003CA0"/>
          <w:sz w:val="12"/>
        </w:rPr>
        <w:t xml:space="preserve"> | RE 597.133</w:t>
      </w:r>
      <w:r>
        <w:rPr>
          <w:color w:val="003CA0"/>
          <w:sz w:val="12"/>
        </w:rPr>
        <w:t xml:space="preserve"> | rel. Ricardo Lewandowski</w:t>
      </w:r>
    </w:p>
    <w:p>
      <w:pPr>
        <w:ind w:left="288"/>
      </w:pPr>
      <w:r>
        <w:rPr>
          <w:color w:val="1E1E1E"/>
          <w:sz w:val="18"/>
        </w:rPr>
        <w:t>Não viola o postulado constitucional do juiz natural o julgamento de apelação por órgão composto majoritariamente por juízes convocados, autorizado no âmbito da Justiça Federal pela Lei 9.788/1999. Colegiados constituídos por magistrados togados, integrantes da Justiça Federal, e a quem a distribuição de processos é feita aleatoriamente. Julgamentos realizados com estrita observância do princípio da publicidade, bem como do direito ao devido processo legal, à ampla defesa e ao contraditório.</w:t>
      </w:r>
    </w:p>
    <w:p>
      <w:pPr>
        <w:ind w:left="288"/>
      </w:pPr>
      <w:r>
        <w:rPr>
          <w:b/>
          <w:color w:val="003CA0"/>
          <w:sz w:val="16"/>
        </w:rPr>
        <w:t>[RE 597.133, rel. min. Ricardo Lewandowski, j. 17-11-2010, P, DJE de 6-4-2011. Tema 170, com mérito julgado.]</w:t>
      </w:r>
    </w:p>
    <w:p>
      <w:pPr>
        <w:ind w:left="288"/>
      </w:pPr>
      <w:r>
        <w:rPr>
          <w:color w:val="8C8C8C"/>
          <w:sz w:val="12"/>
        </w:rPr>
        <w:t>cf-art-5-inc-XXXII-ali-b</w:t>
      </w:r>
      <w:r>
        <w:rPr>
          <w:color w:val="003CA0"/>
          <w:sz w:val="12"/>
        </w:rPr>
        <w:t xml:space="preserve"> | ARE 755.933</w:t>
      </w:r>
      <w:r>
        <w:rPr>
          <w:color w:val="003CA0"/>
          <w:sz w:val="12"/>
        </w:rPr>
        <w:t xml:space="preserve"> | rel. Dias Toffoli</w:t>
      </w:r>
    </w:p>
    <w:p>
      <w:pPr>
        <w:ind w:left="288"/>
      </w:pPr>
      <w:r>
        <w:rPr>
          <w:color w:val="1E1E1E"/>
          <w:sz w:val="18"/>
        </w:rPr>
        <w:t>Vide ARE 755.933 AgR, rel. min. Dias Toffoli, j. 11-11-2014, 1ª T, DJE de 19-12-2014 Crime previsto no § 4º do art. 14 da Lei nº 9.434/97 (remoção de tecidos, órgãos ou partes do corpo de pessoa viva, para fins de transplante e tratamento, em desacordo com as disposições legais e regulamentares, com resultado morte). Objeto jurídico: ética e moralidade no contexto da doação de tecidos, órgãos e partes do corpo humano, preservação da integridade física e da vida das pessoas e respeito à memória dos mortos. Delito qualificado pelo resultado. Competência do juízo criminal singular. Afastamento da</w:t>
      </w:r>
    </w:p>
    <w:p>
      <w:pPr>
        <w:ind w:left="288"/>
      </w:pPr>
      <w:r>
        <w:rPr>
          <w:b/>
          <w:color w:val="003CA0"/>
          <w:sz w:val="16"/>
        </w:rPr>
        <w:t>[RE 1.313.494, rel. min. Dias Toffoli, j. 14-9-2021, 1ª T, DJE de 6-12-2021.]</w:t>
      </w:r>
    </w:p>
    <w:p>
      <w:pPr>
        <w:ind w:left="288"/>
      </w:pPr>
      <w:r>
        <w:rPr>
          <w:color w:val="8C8C8C"/>
          <w:sz w:val="12"/>
        </w:rPr>
        <w:t>cf-art-5-inc-XXXII-ali-b</w:t>
      </w:r>
      <w:r>
        <w:rPr>
          <w:color w:val="003CA0"/>
          <w:sz w:val="12"/>
        </w:rPr>
        <w:t xml:space="preserve"> | HC 85.060</w:t>
      </w:r>
      <w:r>
        <w:rPr>
          <w:color w:val="003CA0"/>
          <w:sz w:val="12"/>
        </w:rPr>
        <w:t xml:space="preserve"> | rel. Eros Grau</w:t>
      </w:r>
    </w:p>
    <w:p>
      <w:pPr>
        <w:ind w:left="288"/>
      </w:pPr>
      <w:r>
        <w:rPr>
          <w:color w:val="1E1E1E"/>
          <w:sz w:val="18"/>
        </w:rPr>
        <w:t xml:space="preserve">Formação de quadrilha e gestão fraudulenta de instituição financeira. Competência. Especialização de vara por resolução do Poder Judiciário. (...) Paciente condenado a doze anos e oito meses de reclusão pela prática dos crimes de formação de quadrilha (CP, art. 288) e gestão fraudulenta de instituição financeira (Lei 7.492/1986). Inquérito supervisionado pelo juiz federal da Subseção Judiciária de Foz do Iguaçu, que deferiu medidas cautelares. Especialização, por resolução do Tribunal Regional da 4ª Região, da 2ª Vara Federal de Curitiba/PR para o julgamento de crimes financeiros. Remessa dos </w:t>
      </w:r>
    </w:p>
    <w:p>
      <w:pPr>
        <w:ind w:left="288"/>
      </w:pPr>
      <w:r>
        <w:rPr>
          <w:b/>
          <w:color w:val="003CA0"/>
          <w:sz w:val="16"/>
        </w:rPr>
        <w:t>[HC 85.060, rel. min. Eros Grau, j. 23-9-2008, 1ª T, DJE de 13-2-2009.]</w:t>
      </w:r>
    </w:p>
    <w:p>
      <w:pPr>
        <w:ind w:left="288"/>
      </w:pPr>
      <w:r>
        <w:rPr>
          <w:color w:val="8C8C8C"/>
          <w:sz w:val="12"/>
        </w:rPr>
        <w:t>cf-art-5-inc-XXXII-ali-b</w:t>
      </w:r>
      <w:r>
        <w:rPr>
          <w:color w:val="003CA0"/>
          <w:sz w:val="12"/>
        </w:rPr>
        <w:t xml:space="preserve"> | AI 548.203</w:t>
      </w:r>
      <w:r>
        <w:rPr>
          <w:color w:val="003CA0"/>
          <w:sz w:val="12"/>
        </w:rPr>
        <w:t xml:space="preserve"> | rel. Cezar Peluso</w:t>
      </w:r>
    </w:p>
    <w:p>
      <w:pPr>
        <w:ind w:left="288"/>
      </w:pPr>
      <w:r>
        <w:rPr>
          <w:color w:val="1E1E1E"/>
          <w:sz w:val="18"/>
        </w:rPr>
        <w:t>Distribuição injustificada de causa a determinado juízo ofende o justo processo da lei (due process of law) e, como tal, constitui nulidade processual absoluta.</w:t>
      </w:r>
    </w:p>
    <w:p>
      <w:pPr>
        <w:ind w:left="288"/>
      </w:pPr>
      <w:r>
        <w:rPr>
          <w:b/>
          <w:color w:val="003CA0"/>
          <w:sz w:val="16"/>
        </w:rPr>
        <w:t>[AI 548.203 ED, rel. min. Cezar Peluso, j. 12-2-2008, 2ª T, DJE de 7-3-2008.]</w:t>
      </w:r>
    </w:p>
    <w:p>
      <w:pPr>
        <w:ind w:left="288"/>
      </w:pPr>
      <w:r>
        <w:rPr>
          <w:color w:val="8C8C8C"/>
          <w:sz w:val="12"/>
        </w:rPr>
        <w:t>cf-art-5-inc-XXXII-ali-b</w:t>
      </w:r>
      <w:r>
        <w:rPr>
          <w:color w:val="003CA0"/>
          <w:sz w:val="12"/>
        </w:rPr>
        <w:t xml:space="preserve"> | AP 470</w:t>
      </w:r>
      <w:r>
        <w:rPr>
          <w:color w:val="003CA0"/>
          <w:sz w:val="12"/>
        </w:rPr>
        <w:t xml:space="preserve"> | rel. Joaquim Barbosa</w:t>
      </w:r>
    </w:p>
    <w:p>
      <w:pPr>
        <w:ind w:left="288"/>
      </w:pPr>
      <w:r>
        <w:rPr>
          <w:color w:val="1E1E1E"/>
          <w:sz w:val="18"/>
        </w:rPr>
        <w:t>A garantia do juiz natural, prevista nos incisos LIII e XXXVII do art. 5º da CF, é plenamente atendida quando se delegam o interrogatório dos réus e outros atos da instrução processual a juízes federais das respectivas seções judiciárias, escolhidos mediante sorteio.</w:t>
      </w:r>
    </w:p>
    <w:p>
      <w:pPr>
        <w:ind w:left="288"/>
      </w:pPr>
      <w:r>
        <w:rPr>
          <w:b/>
          <w:color w:val="003CA0"/>
          <w:sz w:val="16"/>
        </w:rPr>
        <w:t>[AP 470 QO, rel. min. Joaquim Barbosa, j. 6-12-2007, P, DJE de 14-3-2008.]</w:t>
      </w:r>
    </w:p>
    <w:p>
      <w:pPr>
        <w:ind w:left="288"/>
      </w:pPr>
      <w:r>
        <w:rPr>
          <w:color w:val="8C8C8C"/>
          <w:sz w:val="12"/>
        </w:rPr>
        <w:t>cf-art-5-inc-XXXII-ali-b</w:t>
      </w:r>
      <w:r>
        <w:rPr>
          <w:color w:val="003CA0"/>
          <w:sz w:val="12"/>
        </w:rPr>
        <w:t xml:space="preserve"> | HC 91.253</w:t>
      </w:r>
      <w:r>
        <w:rPr>
          <w:color w:val="003CA0"/>
          <w:sz w:val="12"/>
        </w:rPr>
        <w:t xml:space="preserve"> | rel. Ricardo Lewandowski</w:t>
      </w:r>
    </w:p>
    <w:p>
      <w:pPr>
        <w:ind w:left="288"/>
      </w:pPr>
      <w:r>
        <w:rPr>
          <w:color w:val="1E1E1E"/>
          <w:sz w:val="18"/>
        </w:rPr>
        <w:t>Provimento 275 do CJF da 3ª Região. (...) O provimento apontado como inconstitucional especializou vara federal já criada, nos exatos limites da atribuição que a Carta Magna confere aos tribunais. A remessa para vara especializada fundada em conexão não viola o princípio do juiz natural.</w:t>
      </w:r>
    </w:p>
    <w:p>
      <w:pPr>
        <w:ind w:left="288"/>
      </w:pPr>
      <w:r>
        <w:rPr>
          <w:b/>
          <w:color w:val="003CA0"/>
          <w:sz w:val="16"/>
        </w:rPr>
        <w:t>[HC 91.253, rel. min. Ricardo Lewandowski, j. 16-10-2007, 1ª T, DJ de 14-11-2007.]</w:t>
      </w:r>
    </w:p>
    <w:p>
      <w:pPr>
        <w:ind w:left="288"/>
      </w:pPr>
      <w:r>
        <w:rPr>
          <w:color w:val="8C8C8C"/>
          <w:sz w:val="12"/>
        </w:rPr>
        <w:t>cf-art-5-inc-XXXII-ali-b</w:t>
      </w:r>
      <w:r>
        <w:rPr>
          <w:color w:val="003CA0"/>
          <w:sz w:val="12"/>
        </w:rPr>
        <w:t xml:space="preserve"> | HC 91.509</w:t>
      </w:r>
      <w:r>
        <w:rPr>
          <w:color w:val="003CA0"/>
          <w:sz w:val="12"/>
        </w:rPr>
        <w:t xml:space="preserve"> | rel. Eros Grau</w:t>
      </w:r>
    </w:p>
    <w:p>
      <w:pPr>
        <w:ind w:left="288"/>
      </w:pPr>
      <w:r>
        <w:rPr>
          <w:color w:val="1E1E1E"/>
          <w:sz w:val="18"/>
        </w:rPr>
        <w:t>= HC 91.509, rel. min. Eros Grau, j. 27-10-2009, 2ª T, DJE de 12-2-2010 Obrigação do STF de manter e observar os parâmetros do devido processo legal, do Estado de Direito e dos direitos humanos. Informações veiculadas na mídia sobre a suspensão de nomeação de ministros da Corte Suprema de Justiça da Bolívia e possível interferência do Poder Executivo no Poder Judiciário daquele país. Necessidade de assegurar direitos fundamentais básicos ao extraditando. (...) Tema do juiz natural assume relevo inegável no contexto da extradição, uma vez que o pleito somente poderá ser deferido se o Estado req</w:t>
      </w:r>
    </w:p>
    <w:p>
      <w:pPr>
        <w:ind w:left="288"/>
      </w:pPr>
      <w:r>
        <w:rPr>
          <w:b/>
          <w:color w:val="003CA0"/>
          <w:sz w:val="16"/>
        </w:rPr>
        <w:t>[Ext 986, rel. min. Eros Grau, j. 15-8-2007, P, DJ de 5-10-2007.]</w:t>
      </w:r>
    </w:p>
    <w:p>
      <w:pPr>
        <w:ind w:left="288"/>
      </w:pPr>
      <w:r>
        <w:rPr>
          <w:color w:val="8C8C8C"/>
          <w:sz w:val="12"/>
        </w:rPr>
        <w:t>cf-art-5-inc-XXXII-ali-b</w:t>
      </w:r>
      <w:r>
        <w:rPr>
          <w:color w:val="003CA0"/>
          <w:sz w:val="12"/>
        </w:rPr>
        <w:t xml:space="preserve"> | AI 177.313</w:t>
      </w:r>
      <w:r>
        <w:rPr>
          <w:color w:val="003CA0"/>
          <w:sz w:val="12"/>
        </w:rPr>
        <w:t xml:space="preserve"> | rel. Celso de Mello</w:t>
      </w:r>
    </w:p>
    <w:p>
      <w:pPr>
        <w:ind w:left="288"/>
      </w:pPr>
      <w:r>
        <w:rPr>
          <w:color w:val="1E1E1E"/>
          <w:sz w:val="18"/>
        </w:rPr>
        <w:t>A definição constitucional das hipóteses de prerrogativa de foro ratione muneris representa elemento vinculante da atividade de persecução criminal exercida pelo poder público. (...) O postulado do juiz natural, por encerrar uma expressiva garantia de ordem constitucional, limita, de modo subordinante, os poderes do Estado – que fica, assim, impossibilitado de instituir juízos ad hoc ou de criar tribunais de exceção –, ao mesmo tempo em que assegura ao acusado o direito ao processo perante autoridade competente abstratamente designada na forma da lei anterior, vedados, em consequência, os juíz</w:t>
      </w:r>
    </w:p>
    <w:p>
      <w:pPr>
        <w:ind w:left="288"/>
      </w:pPr>
      <w:r>
        <w:rPr>
          <w:b/>
          <w:color w:val="003CA0"/>
          <w:sz w:val="16"/>
        </w:rPr>
        <w:t>[AI 177.313 AgR, rel. min. Celso de Mello, j. 23-4-1996, 1ª T, DJ de 17-5-1996.]</w:t>
      </w:r>
    </w:p>
    <w:p>
      <w:pPr>
        <w:ind w:left="288"/>
      </w:pPr>
      <w:r>
        <w:rPr>
          <w:color w:val="8C8C8C"/>
          <w:sz w:val="12"/>
        </w:rPr>
        <w:t>cf-art-5-inc-XXXII-ali-b</w:t>
      </w:r>
      <w:r>
        <w:rPr>
          <w:color w:val="003CA0"/>
          <w:sz w:val="12"/>
        </w:rPr>
        <w:t xml:space="preserve"> | EXT 615</w:t>
      </w:r>
      <w:r>
        <w:rPr>
          <w:color w:val="003CA0"/>
          <w:sz w:val="12"/>
        </w:rPr>
        <w:t xml:space="preserve"> | rel. Paulo Brossard</w:t>
      </w:r>
    </w:p>
    <w:p>
      <w:pPr>
        <w:ind w:left="288"/>
      </w:pPr>
      <w:r>
        <w:rPr>
          <w:color w:val="1E1E1E"/>
          <w:sz w:val="18"/>
        </w:rPr>
        <w:t>Tribunal de exceção. Não caracterização quando o julgamento se dá com fundamento e de conformidade com leis, desde há muito vigentes, e por integrantes da Suprema Corte de Justiça do país, na ocasião, regularmente investidos em suas funções.</w:t>
      </w:r>
    </w:p>
    <w:p>
      <w:pPr>
        <w:ind w:left="288"/>
      </w:pPr>
      <w:r>
        <w:rPr>
          <w:b/>
          <w:color w:val="003CA0"/>
          <w:sz w:val="16"/>
        </w:rPr>
        <w:t>[Ext 615, rel. min. Paulo Brossard, j. 19-10-1994, P, DJ de 5-12-1994.]</w:t>
      </w:r>
    </w:p>
    <w:p>
      <w:pPr>
        <w:ind w:left="288"/>
      </w:pPr>
      <w:r>
        <w:rPr>
          <w:color w:val="8C8C8C"/>
          <w:sz w:val="12"/>
        </w:rPr>
        <w:t>cf-art-5-inc-XXXII-ali-b</w:t>
      </w:r>
    </w:p>
    <w:p>
      <w:pPr>
        <w:ind w:left="288"/>
      </w:pPr>
      <w:r>
        <w:rPr>
          <w:color w:val="1E1E1E"/>
          <w:sz w:val="18"/>
        </w:rPr>
        <w:t>XXXVIII - é reconhecida a instituição do júri, com a organização que lhe der a lei, assegurados: O efeito devolutivo da apelação contra decisões do júri é adstrito aos fundamentos da sua interposição.</w:t>
      </w:r>
    </w:p>
    <w:p>
      <w:pPr>
        <w:ind w:left="288"/>
      </w:pPr>
      <w:r>
        <w:rPr>
          <w:b/>
          <w:color w:val="003CA0"/>
          <w:sz w:val="16"/>
        </w:rPr>
        <w:t>[Súmula 713.]</w:t>
      </w:r>
    </w:p>
    <w:p>
      <w:pPr>
        <w:ind w:left="288"/>
      </w:pPr>
      <w:r>
        <w:rPr>
          <w:color w:val="8C8C8C"/>
          <w:sz w:val="12"/>
        </w:rPr>
        <w:t>cf-art-5-inc-XXXII-ali-b</w:t>
      </w:r>
    </w:p>
    <w:p>
      <w:pPr>
        <w:ind w:left="288"/>
      </w:pPr>
      <w:r>
        <w:rPr>
          <w:color w:val="1E1E1E"/>
          <w:sz w:val="18"/>
        </w:rPr>
        <w:t>É absoluta a nulidade do julgamento pelo júri, quando os quesitos da defesa não precedem aos das circunstâncias agravantes.</w:t>
      </w:r>
    </w:p>
    <w:p>
      <w:pPr>
        <w:ind w:left="288"/>
      </w:pPr>
      <w:r>
        <w:rPr>
          <w:b/>
          <w:color w:val="003CA0"/>
          <w:sz w:val="16"/>
        </w:rPr>
        <w:t>[Súmula 162.]</w:t>
      </w:r>
    </w:p>
    <w:p>
      <w:pPr>
        <w:ind w:left="288"/>
      </w:pPr>
      <w:r>
        <w:rPr>
          <w:color w:val="8C8C8C"/>
          <w:sz w:val="12"/>
        </w:rPr>
        <w:t>cf-art-5-inc-XXXII-ali-b</w:t>
      </w:r>
    </w:p>
    <w:p>
      <w:pPr>
        <w:ind w:left="288"/>
      </w:pPr>
      <w:r>
        <w:rPr>
          <w:color w:val="1E1E1E"/>
          <w:sz w:val="18"/>
        </w:rPr>
        <w:t>É absoluta a nulidade do julgamento, pelo júri, por falta de quesito obrigatório.</w:t>
      </w:r>
    </w:p>
    <w:p>
      <w:pPr>
        <w:ind w:left="288"/>
      </w:pPr>
      <w:r>
        <w:rPr>
          <w:b/>
          <w:color w:val="003CA0"/>
          <w:sz w:val="16"/>
        </w:rPr>
        <w:t>[Súmula 156.]</w:t>
      </w:r>
    </w:p>
    <w:p>
      <w:pPr>
        <w:ind w:left="288"/>
      </w:pPr>
      <w:r>
        <w:rPr>
          <w:color w:val="8C8C8C"/>
          <w:sz w:val="12"/>
        </w:rPr>
        <w:t>cf-art-5-inc-XXXII-ali-b</w:t>
      </w:r>
      <w:r>
        <w:rPr>
          <w:color w:val="003CA0"/>
          <w:sz w:val="12"/>
        </w:rPr>
        <w:t xml:space="preserve"> | ADPF 779</w:t>
      </w:r>
      <w:r>
        <w:rPr>
          <w:color w:val="003CA0"/>
          <w:sz w:val="12"/>
        </w:rPr>
        <w:t xml:space="preserve"> | rel. Dias Toffoli</w:t>
      </w:r>
    </w:p>
    <w:p>
      <w:pPr>
        <w:ind w:left="288"/>
      </w:pPr>
      <w:r>
        <w:rPr>
          <w:color w:val="1E1E1E"/>
          <w:sz w:val="18"/>
        </w:rPr>
        <w:t>A “legítima defesa da honra” não pode ser invocada como argumento inerente à plenitude de defesa própria do tribunal do júri, a qual não pode constituir instrumento de salvaguarda de práticas ilícitas. Devem prevalecer a dignidade da pessoa humana, a vedação de todas as formas de discriminação, o direito à igualdade e o direito à vida, tendo em vista os riscos elevados e sistêmicos decorrentes da naturalização, da tolerância e do incentivo à cultura da violência doméstica e do feminicídio. Na hipótese de a defesa lançar mão, direta ou indiretamente, da tese da “legítima defesa da honra” (ou de</w:t>
      </w:r>
    </w:p>
    <w:p>
      <w:pPr>
        <w:ind w:left="288"/>
      </w:pPr>
      <w:r>
        <w:rPr>
          <w:b/>
          <w:color w:val="003CA0"/>
          <w:sz w:val="16"/>
        </w:rPr>
        <w:t>[ADPF 779, rel. min. Dias Toffoli, j. 1º-8-2023, P, DJE de 6-10-2023.]</w:t>
      </w:r>
    </w:p>
    <w:p>
      <w:pPr>
        <w:ind w:left="288"/>
      </w:pPr>
      <w:r>
        <w:rPr>
          <w:color w:val="8C8C8C"/>
          <w:sz w:val="12"/>
        </w:rPr>
        <w:t>cf-art-5-inc-XXXII-ali-b</w:t>
      </w:r>
      <w:r>
        <w:rPr>
          <w:color w:val="003CA0"/>
          <w:sz w:val="12"/>
        </w:rPr>
        <w:t xml:space="preserve"> | ARE 1.458.696</w:t>
      </w:r>
      <w:r>
        <w:rPr>
          <w:color w:val="003CA0"/>
          <w:sz w:val="12"/>
        </w:rPr>
        <w:t xml:space="preserve"> | rel. Flávio Dino</w:t>
      </w:r>
    </w:p>
    <w:p>
      <w:pPr>
        <w:ind w:left="288"/>
      </w:pPr>
      <w:r>
        <w:rPr>
          <w:color w:val="1E1E1E"/>
          <w:sz w:val="18"/>
        </w:rPr>
        <w:t>Possibilidade de despronúncia, após condenação pelo Tribunal do Júri transitada em julgado, por decisão em habeas corpus.</w:t>
      </w:r>
    </w:p>
    <w:p>
      <w:pPr>
        <w:ind w:left="288"/>
      </w:pPr>
      <w:r>
        <w:rPr>
          <w:b/>
          <w:color w:val="003CA0"/>
          <w:sz w:val="16"/>
        </w:rPr>
        <w:t>[ARE 1.458.696 RG, rel. min. Flávio Dino, j. 09.08.2024, P, DJE de 03.10.2024, Tema 1.311, com mérito pendente.]</w:t>
      </w:r>
    </w:p>
    <w:p>
      <w:pPr>
        <w:ind w:left="288"/>
      </w:pPr>
      <w:r>
        <w:rPr>
          <w:color w:val="8C8C8C"/>
          <w:sz w:val="12"/>
        </w:rPr>
        <w:t>cf-art-5-inc-XXXII-ali-b</w:t>
      </w:r>
      <w:r>
        <w:rPr>
          <w:color w:val="003CA0"/>
          <w:sz w:val="12"/>
        </w:rPr>
        <w:t xml:space="preserve"> | HC 107.457</w:t>
      </w:r>
      <w:r>
        <w:rPr>
          <w:color w:val="003CA0"/>
          <w:sz w:val="12"/>
        </w:rPr>
        <w:t xml:space="preserve"> | rel. Cármen Lúcia</w:t>
      </w:r>
    </w:p>
    <w:p>
      <w:pPr>
        <w:ind w:left="288"/>
      </w:pPr>
      <w:r>
        <w:rPr>
          <w:color w:val="1E1E1E"/>
          <w:sz w:val="18"/>
        </w:rPr>
        <w:t>O tribunal do júri é um órgão complexo, notabilizado pela sua heterogeneidade (juiz togado e leigos), sendo que a realização de suas atividades não se resume à atuação dos jurados, pelo que, não tendo competência o juiz federal para organizar e conduzir o tribunal do júri, não pode ser validada a decisão do colegiado popular.</w:t>
      </w:r>
    </w:p>
    <w:p>
      <w:pPr>
        <w:ind w:left="288"/>
      </w:pPr>
      <w:r>
        <w:rPr>
          <w:b/>
          <w:color w:val="003CA0"/>
          <w:sz w:val="16"/>
        </w:rPr>
        <w:t>[HC 107.457, rel. min. Cármen Lúcia, j. 2-10-2012, 2ª T, DJE de 22-10-2012.]</w:t>
      </w:r>
    </w:p>
    <w:p>
      <w:pPr>
        <w:ind w:left="288"/>
      </w:pPr>
      <w:r>
        <w:rPr>
          <w:color w:val="8C8C8C"/>
          <w:sz w:val="12"/>
        </w:rPr>
        <w:t>cf-art-5-inc-XXXII-ali-b</w:t>
      </w:r>
      <w:r>
        <w:rPr>
          <w:color w:val="003CA0"/>
          <w:sz w:val="12"/>
        </w:rPr>
        <w:t xml:space="preserve"> | HC 96.785</w:t>
      </w:r>
      <w:r>
        <w:rPr>
          <w:color w:val="003CA0"/>
          <w:sz w:val="12"/>
        </w:rPr>
        <w:t xml:space="preserve"> | rel. Eros Grau</w:t>
      </w:r>
    </w:p>
    <w:p>
      <w:pPr>
        <w:ind w:left="288"/>
      </w:pPr>
      <w:r>
        <w:rPr>
          <w:color w:val="1E1E1E"/>
          <w:sz w:val="18"/>
        </w:rPr>
        <w:t>Não é necessária, ao desaforamento, a afirmação da certeza da imparcialidade dos jurados, bastando o fundado receio de que reste comprometida.</w:t>
      </w:r>
    </w:p>
    <w:p>
      <w:pPr>
        <w:ind w:left="288"/>
      </w:pPr>
      <w:r>
        <w:rPr>
          <w:b/>
          <w:color w:val="003CA0"/>
          <w:sz w:val="16"/>
        </w:rPr>
        <w:t>[HC 96.785, rel. min. Eros Grau, j. 25-11-2008, 2ª T, DJE de 22-5-2009.]</w:t>
      </w:r>
    </w:p>
    <w:p>
      <w:pPr>
        <w:ind w:left="288"/>
      </w:pPr>
      <w:r>
        <w:rPr>
          <w:color w:val="8C8C8C"/>
          <w:sz w:val="12"/>
        </w:rPr>
        <w:t>cf-art-5-inc-XXXII-ali-b</w:t>
      </w:r>
      <w:r>
        <w:rPr>
          <w:color w:val="003CA0"/>
          <w:sz w:val="12"/>
        </w:rPr>
        <w:t xml:space="preserve"> | HC 97.547</w:t>
      </w:r>
      <w:r>
        <w:rPr>
          <w:color w:val="003CA0"/>
          <w:sz w:val="12"/>
        </w:rPr>
        <w:t xml:space="preserve"> | rel. Joaquim Barbosa</w:t>
      </w:r>
    </w:p>
    <w:p>
      <w:pPr>
        <w:ind w:left="288"/>
      </w:pPr>
      <w:r>
        <w:rPr>
          <w:color w:val="1E1E1E"/>
          <w:sz w:val="18"/>
        </w:rPr>
        <w:t>Vide HC 97.547, rel. min. Joaquim Barbosa, j. 19-10-2010, 2ª T, DJE de 19-11-2010 A competência do tribunal do júri não é absoluta. Afasta-a a própria CF, no que prevê, em face da dignidade de certos cargos e da relevância destes para o Estado, a competência de tribunais – arts. 29, VIII; 96, III; 108, I, a; 105, I, a; e 102, I, b e c.</w:t>
      </w:r>
    </w:p>
    <w:p>
      <w:pPr>
        <w:ind w:left="288"/>
      </w:pPr>
      <w:r>
        <w:rPr>
          <w:b/>
          <w:color w:val="003CA0"/>
          <w:sz w:val="16"/>
        </w:rPr>
        <w:t>[HC 70.581, rel. min. Marco Aurélio, j. 21-9-1993, 2ª T, DJ de 29-10-1993.]</w:t>
      </w:r>
    </w:p>
    <w:p>
      <w:pPr>
        <w:ind w:left="288"/>
      </w:pPr>
      <w:r>
        <w:rPr>
          <w:color w:val="8C8C8C"/>
          <w:sz w:val="12"/>
        </w:rPr>
        <w:t>cf-art-5-inc-XXXII-ali-a</w:t>
      </w:r>
      <w:r>
        <w:rPr>
          <w:color w:val="003CA0"/>
          <w:sz w:val="12"/>
        </w:rPr>
        <w:t xml:space="preserve"> | RHC 119.432</w:t>
      </w:r>
    </w:p>
    <w:p>
      <w:pPr>
        <w:ind w:left="288"/>
      </w:pPr>
      <w:r>
        <w:rPr>
          <w:color w:val="1E1E1E"/>
          <w:sz w:val="18"/>
        </w:rPr>
        <w:t>O indeferimento da produção de prova pericial por meio da qual se visava demonstrar realidade diversa da apontada nas perícias existentes e no conjunto probatório constante no processo-crime mostrou-se em harmonia com o art. 400, § 1º, do CPP, não consubstanciando violação aos princípios do contraditório e da ampla defesa. O magistrado tem a discricionariedade para indeferir a produção de provas que entender irrelevante para o julgamento da matéria.</w:t>
      </w:r>
    </w:p>
    <w:p>
      <w:pPr>
        <w:ind w:left="288"/>
      </w:pPr>
      <w:r>
        <w:rPr>
          <w:b/>
          <w:color w:val="003CA0"/>
          <w:sz w:val="16"/>
        </w:rPr>
        <w:t>[RHC 119.432, voto do min. Marco Aurélio, j. 9-12-2015, 1ª T, DJE de 31-3-2016.]</w:t>
      </w:r>
    </w:p>
    <w:p>
      <w:pPr>
        <w:ind w:left="288"/>
      </w:pPr>
      <w:r>
        <w:rPr>
          <w:color w:val="8C8C8C"/>
          <w:sz w:val="12"/>
        </w:rPr>
        <w:t>cf-art-5-inc-XXXII-ali-a</w:t>
      </w:r>
      <w:r>
        <w:rPr>
          <w:color w:val="003CA0"/>
          <w:sz w:val="12"/>
        </w:rPr>
        <w:t xml:space="preserve"> | HC 103.569</w:t>
      </w:r>
      <w:r>
        <w:rPr>
          <w:color w:val="003CA0"/>
          <w:sz w:val="12"/>
        </w:rPr>
        <w:t xml:space="preserve"> | rel. Dias Toffoli</w:t>
      </w:r>
    </w:p>
    <w:p>
      <w:pPr>
        <w:ind w:left="288"/>
      </w:pPr>
      <w:r>
        <w:rPr>
          <w:color w:val="1E1E1E"/>
          <w:sz w:val="18"/>
        </w:rPr>
        <w:t>A desistência da oitiva de testemunhas arroladas pela própria defesa, que inclusive poderiam vir a ser inquiridas em plenário caso algo de relevante tivessem a dizer, e o não oferecimento das alegações finais em procedimento da competência do tribunal do júri constituem adequada tática da acusação e da defesa de deixarem os argumentos de que dispõem para apresentação no plenário, ocasião em que poderão surtir melhor efeito, por não serem previamente conhecidos pela parte adversária.</w:t>
      </w:r>
    </w:p>
    <w:p>
      <w:pPr>
        <w:ind w:left="288"/>
      </w:pPr>
      <w:r>
        <w:rPr>
          <w:b/>
          <w:color w:val="003CA0"/>
          <w:sz w:val="16"/>
        </w:rPr>
        <w:t>[HC 103.569, rel. min. Dias Toffoli, j. 24-8-2010, 1ª T, DJE de 12-11-2010.]</w:t>
      </w:r>
    </w:p>
    <w:p>
      <w:pPr>
        <w:ind w:left="288"/>
      </w:pPr>
      <w:r>
        <w:rPr>
          <w:color w:val="8C8C8C"/>
          <w:sz w:val="12"/>
        </w:rPr>
        <w:t>cf-art-5-inc-XXXII-ali-a</w:t>
      </w:r>
      <w:r>
        <w:rPr>
          <w:color w:val="003CA0"/>
          <w:sz w:val="12"/>
        </w:rPr>
        <w:t xml:space="preserve"> | HC 92.194</w:t>
      </w:r>
      <w:r>
        <w:rPr>
          <w:color w:val="003CA0"/>
          <w:sz w:val="12"/>
        </w:rPr>
        <w:t xml:space="preserve"> | rel. Cezar Peluso</w:t>
      </w:r>
    </w:p>
    <w:p>
      <w:pPr>
        <w:ind w:left="288"/>
      </w:pPr>
      <w:r>
        <w:rPr>
          <w:color w:val="1E1E1E"/>
          <w:sz w:val="18"/>
        </w:rPr>
        <w:t>Sentença de pronúncia. (...) Não há falar em cerceamento de defesa, se, ante a falta de apresentação das razões de recurso pela defesa técnica, os réus não ratificam interesse recursal, depois de pessoalmente intimados para tanto.</w:t>
      </w:r>
    </w:p>
    <w:p>
      <w:pPr>
        <w:ind w:left="288"/>
      </w:pPr>
      <w:r>
        <w:rPr>
          <w:b/>
          <w:color w:val="003CA0"/>
          <w:sz w:val="16"/>
        </w:rPr>
        <w:t>[HC 92.194, rel. min. Cezar Peluso, j. 2-3-2010, 2ª T, DJE de 23-4-2010.]</w:t>
      </w:r>
    </w:p>
    <w:p>
      <w:pPr>
        <w:ind w:left="288"/>
      </w:pPr>
      <w:r>
        <w:rPr>
          <w:color w:val="8C8C8C"/>
          <w:sz w:val="12"/>
        </w:rPr>
        <w:t>cf-art-5-inc-XXXII-ali-a</w:t>
      </w:r>
      <w:r>
        <w:rPr>
          <w:color w:val="003CA0"/>
          <w:sz w:val="12"/>
        </w:rPr>
        <w:t xml:space="preserve"> | HC 97.313</w:t>
      </w:r>
      <w:r>
        <w:rPr>
          <w:color w:val="003CA0"/>
          <w:sz w:val="12"/>
        </w:rPr>
        <w:t xml:space="preserve"> | rel. Ellen Gracie</w:t>
      </w:r>
    </w:p>
    <w:p>
      <w:pPr>
        <w:ind w:left="288"/>
      </w:pPr>
      <w:r>
        <w:rPr>
          <w:color w:val="1E1E1E"/>
          <w:sz w:val="18"/>
        </w:rPr>
        <w:t>No processo penal vige o princípio tempus regit actum, segundo o qual a lei rege os fatos praticados durante a sua vigência; portanto, apesar da superveniência da Lei 11.689/2008, que alterou todo o capítulo relativo ao procedimento do tribunal do júri, aplica-se à espécie a antiga redação do art. 449 do CPP. Conforme se extrai dos autos, o julgamento da sessão do júri foi adiado em razão da ausência do defensor constituído do paciente e remarcado para a sessão seguinte. Diante do não comparecimento do defensor constituído ao julgamento remarcado, foi nomeado defensor dativo ao paciente. Rigor</w:t>
      </w:r>
    </w:p>
    <w:p>
      <w:pPr>
        <w:ind w:left="288"/>
      </w:pPr>
      <w:r>
        <w:rPr>
          <w:b/>
          <w:color w:val="003CA0"/>
          <w:sz w:val="16"/>
        </w:rPr>
        <w:t>[HC 97.313, rel. min. Ellen Gracie, j. 29-9-2009, 2ª T, DJE de 16-10-2009.]</w:t>
      </w:r>
    </w:p>
    <w:p>
      <w:pPr>
        <w:ind w:left="288"/>
      </w:pPr>
      <w:r>
        <w:rPr>
          <w:color w:val="8C8C8C"/>
          <w:sz w:val="12"/>
        </w:rPr>
        <w:t>cf-art-5-inc-XXXII-ali-a</w:t>
      </w:r>
      <w:r>
        <w:rPr>
          <w:color w:val="003CA0"/>
          <w:sz w:val="12"/>
        </w:rPr>
        <w:t xml:space="preserve"> | HC 123.228</w:t>
      </w:r>
      <w:r>
        <w:rPr>
          <w:color w:val="003CA0"/>
          <w:sz w:val="12"/>
        </w:rPr>
        <w:t xml:space="preserve"> | rel. Cármen Lúcia</w:t>
      </w:r>
    </w:p>
    <w:p>
      <w:pPr>
        <w:ind w:left="288"/>
      </w:pPr>
      <w:r>
        <w:rPr>
          <w:color w:val="1E1E1E"/>
          <w:sz w:val="18"/>
        </w:rPr>
        <w:t xml:space="preserve">Vide HC 123.228, rel. min. Cármen Lúcia, j. 24-6-2015, P, DJE de 28-9-2015 A elaboração dos quesitos é uma das fases processuais mais sensíveis da instituição do júri. Isso porque, diante das variáveis que se materializam na trama dos crimes dolosos contra a vida – tentativas, qualificadoras, causas de aumento e de diminuição de pena, concursos de agentes e outras mais –, condensá-las em quesitos precisos é uma tarefa árdua e não raras vezes ingrata. Na concreta situação dos autos, logo se percebe que os quesitos retrataram as teses sustentadas pela acusação e pela defesa em plenário. Tanto é </w:t>
      </w:r>
    </w:p>
    <w:p>
      <w:pPr>
        <w:ind w:left="288"/>
      </w:pPr>
      <w:r>
        <w:rPr>
          <w:b/>
          <w:color w:val="003CA0"/>
          <w:sz w:val="16"/>
        </w:rPr>
        <w:t>[HC 96.469, rel. min. Ayres Britto, j. 9-6-2009, 1ª T, DJE de 14-8-2009.]</w:t>
      </w:r>
    </w:p>
    <w:p>
      <w:pPr>
        <w:ind w:left="288"/>
      </w:pPr>
      <w:r>
        <w:rPr>
          <w:color w:val="8C8C8C"/>
          <w:sz w:val="12"/>
        </w:rPr>
        <w:t>cf-art-5-inc-XXXII-ali-a</w:t>
      </w:r>
      <w:r>
        <w:rPr>
          <w:color w:val="003CA0"/>
          <w:sz w:val="12"/>
        </w:rPr>
        <w:t xml:space="preserve"> | HC 95.157</w:t>
      </w:r>
      <w:r>
        <w:rPr>
          <w:color w:val="003CA0"/>
          <w:sz w:val="12"/>
        </w:rPr>
        <w:t xml:space="preserve"> | rel. Joaquim Barbosa</w:t>
      </w:r>
    </w:p>
    <w:p>
      <w:pPr>
        <w:ind w:left="288"/>
      </w:pPr>
      <w:r>
        <w:rPr>
          <w:color w:val="1E1E1E"/>
          <w:sz w:val="18"/>
        </w:rPr>
        <w:t>= HC 95.157, rel. min. Joaquim Barbosa, j. 16-11-2010, 2ª T, DJE de 1º-2-2011 Procedimento do júri. Juntada de documentos para leitura requerida três dias antes da data em que a sessão se realizaria. Indeferimento. Art. 475 do CPP. Inteligência. Cerceamento à ampla defesa e ao contraditório. Nulidade absoluta. Prejuízo evidente. (...) O pedido da defesa para juntada de documentos, cuja leitura pretendia realizar em plenário, não poderia ter sido indeferido, pois foi protocolizado exatos três dias antes da data do julgamento. (...) Impossibilidade de interpretação extensiva para prejudicar o ré</w:t>
      </w:r>
    </w:p>
    <w:p>
      <w:pPr>
        <w:ind w:left="288"/>
      </w:pPr>
      <w:r>
        <w:rPr>
          <w:b/>
          <w:color w:val="003CA0"/>
          <w:sz w:val="16"/>
        </w:rPr>
        <w:t>[HC 92.958, rel. min. Joaquim Barbosa, j. 1º-4-2008, 2ª T, DJE de 2-5-2008.]</w:t>
      </w:r>
    </w:p>
    <w:p>
      <w:pPr>
        <w:ind w:left="288"/>
      </w:pPr>
      <w:r>
        <w:rPr>
          <w:color w:val="8C8C8C"/>
          <w:sz w:val="12"/>
        </w:rPr>
        <w:t>cf-art-5-inc-XXXII-ali-b</w:t>
      </w:r>
      <w:r>
        <w:rPr>
          <w:color w:val="003CA0"/>
          <w:sz w:val="12"/>
        </w:rPr>
        <w:t xml:space="preserve"> | HC 104.308</w:t>
      </w:r>
      <w:r>
        <w:rPr>
          <w:color w:val="003CA0"/>
          <w:sz w:val="12"/>
        </w:rPr>
        <w:t xml:space="preserve"> | rel. Luiz Fux</w:t>
      </w:r>
    </w:p>
    <w:p>
      <w:pPr>
        <w:ind w:left="288"/>
      </w:pPr>
      <w:r>
        <w:rPr>
          <w:color w:val="1E1E1E"/>
          <w:sz w:val="18"/>
        </w:rPr>
        <w:t>O veredicto do júri resta imune de vícios acaso não conste o número de votos no Termo de Julgamento no sentido afirmativo ou negativo, não só por força de novatio legis, mas também porque a novel metodologia preserva o sigilo e a soberania da deliberação popular. (...) O art. 487 do CPP foi revogado pela Lei 11.689/2008, aprimorando assim o sistema de votação do júri, já que não se faz mais necessário constar quantos votos foram dados na forma afirmativa ou negativa, respeitando-se, portanto, o sigilo das votações e, consectariamente, a soberania dos veredictos.</w:t>
      </w:r>
    </w:p>
    <w:p>
      <w:pPr>
        <w:ind w:left="288"/>
      </w:pPr>
      <w:r>
        <w:rPr>
          <w:b/>
          <w:color w:val="003CA0"/>
          <w:sz w:val="16"/>
        </w:rPr>
        <w:t>[HC 104.308, rel. min. Luiz Fux, j. 31-5-2011, 1ª T, DJE de 29-6-2011.]</w:t>
      </w:r>
    </w:p>
    <w:p>
      <w:pPr>
        <w:ind w:left="288"/>
      </w:pPr>
      <w:r>
        <w:rPr>
          <w:color w:val="8C8C8C"/>
          <w:sz w:val="12"/>
        </w:rPr>
        <w:t>cf-art-5-inc-XXXII-ali-c</w:t>
      </w:r>
      <w:r>
        <w:rPr>
          <w:color w:val="003CA0"/>
          <w:sz w:val="12"/>
        </w:rPr>
        <w:t xml:space="preserve"> | ARE 1.225.185</w:t>
      </w:r>
      <w:r>
        <w:rPr>
          <w:color w:val="003CA0"/>
          <w:sz w:val="12"/>
        </w:rPr>
        <w:t xml:space="preserve"> | rel. Gilmar Mendes</w:t>
      </w:r>
    </w:p>
    <w:p>
      <w:pPr>
        <w:ind w:left="288"/>
      </w:pPr>
      <w:r>
        <w:rPr>
          <w:color w:val="1E1E1E"/>
          <w:sz w:val="18"/>
        </w:rPr>
        <w:t>1. É cabível recurso de apelação com base no artigo 593, III, d, do Código de Processo Penal, nas hipóteses em que a decisão do Tribunal do Júri, amparada em quesito genérico, for considerada pela acusação como manifestamente contrária à prova dos autos. 2. O Tribunal de Apelação não determinará novo júri quando tiver ocorrido a apresentação, constante em ata, de tese conducente à clemência ao acusado, e esta for acolhida pelos jurados, desde que seja compatível com a Constituição, com os precedentes vinculantes do Supremo Tribunal Federal e com as circunstâncias fáticas dos autos.</w:t>
      </w:r>
    </w:p>
    <w:p>
      <w:pPr>
        <w:ind w:left="288"/>
      </w:pPr>
      <w:r>
        <w:rPr>
          <w:b/>
          <w:color w:val="003CA0"/>
          <w:sz w:val="16"/>
        </w:rPr>
        <w:t>[ARE 1.225.185, rel. min. Gilmar Mendes, red. do ac. min. Edson Fachin, j. 03.10.2024, P, DJE de 16.12.2024, Tema 1.087, com mérito julgado.]</w:t>
      </w:r>
    </w:p>
    <w:p>
      <w:pPr>
        <w:ind w:left="288"/>
      </w:pPr>
      <w:r>
        <w:rPr>
          <w:color w:val="8C8C8C"/>
          <w:sz w:val="12"/>
        </w:rPr>
        <w:t>cf-art-5-inc-XXXII-ali-c</w:t>
      </w:r>
      <w:r>
        <w:rPr>
          <w:color w:val="003CA0"/>
          <w:sz w:val="12"/>
        </w:rPr>
        <w:t xml:space="preserve"> | RE 1.235.340</w:t>
      </w:r>
      <w:r>
        <w:rPr>
          <w:color w:val="003CA0"/>
          <w:sz w:val="12"/>
        </w:rPr>
        <w:t xml:space="preserve"> | rel. Luís Roberto Barroso</w:t>
      </w:r>
    </w:p>
    <w:p>
      <w:pPr>
        <w:ind w:left="288"/>
      </w:pPr>
      <w:r>
        <w:rPr>
          <w:color w:val="1E1E1E"/>
          <w:sz w:val="18"/>
        </w:rPr>
        <w:t>“A soberania dos veredictos do Tribunal do Júri autoriza a imediata execução de condenação imposta pelo corpo de jurados, independentemente do total da pena aplicada”.</w:t>
      </w:r>
    </w:p>
    <w:p>
      <w:pPr>
        <w:ind w:left="288"/>
      </w:pPr>
      <w:r>
        <w:rPr>
          <w:b/>
          <w:color w:val="003CA0"/>
          <w:sz w:val="16"/>
        </w:rPr>
        <w:t>[RE 1.235.340, rel. min. Luís Roberto Barroso, j. 12.09.2024, P, DJE de 13.11.2024, Tema 1.068, com mérito julgado.]</w:t>
      </w:r>
    </w:p>
    <w:p>
      <w:pPr>
        <w:ind w:left="288"/>
      </w:pPr>
      <w:r>
        <w:rPr>
          <w:color w:val="8C8C8C"/>
          <w:sz w:val="12"/>
        </w:rPr>
        <w:t>cf-art-5-inc-XXXII-ali-c</w:t>
      </w:r>
      <w:r>
        <w:rPr>
          <w:color w:val="003CA0"/>
          <w:sz w:val="12"/>
        </w:rPr>
        <w:t xml:space="preserve"> | HC 176.933</w:t>
      </w:r>
    </w:p>
    <w:p>
      <w:pPr>
        <w:ind w:left="288"/>
      </w:pPr>
      <w:r>
        <w:rPr>
          <w:color w:val="1E1E1E"/>
          <w:sz w:val="18"/>
        </w:rPr>
        <w:t>Tribunal do Júri e soberania dos veredictos (art. 5º, XXXVIII, “c”, CF). Impugnabilidade de absolvição a partir de quesito genérico (art. 483, III, c/c §2º, CPP) por hipótese de decisão manifestamente contrária à prova dos autos (art. 593, III, “d”, CPP). Absolvição por clemência e soberania dos veredictos. (...) Considerando o quesito genérico e a desnecessidade de motivação na decisão dos jurados, configura-se a possibilidade de absolvição por clemência, ou seja, mesmo em contrariedade manifesta à prova dos autos. Se ao responder o quesito genérico o jurado pode absolver o réu sem especifica</w:t>
      </w:r>
    </w:p>
    <w:p>
      <w:pPr>
        <w:ind w:left="288"/>
      </w:pPr>
      <w:r>
        <w:rPr>
          <w:b/>
          <w:color w:val="003CA0"/>
          <w:sz w:val="16"/>
        </w:rPr>
        <w:t>[HC 176.933, red. do ac. min. Gilmar Mendes, j. 20-10-2020, 2ª T, DJE de 18-11-2020.]</w:t>
      </w:r>
    </w:p>
    <w:p>
      <w:pPr>
        <w:ind w:left="288"/>
      </w:pPr>
      <w:r>
        <w:rPr>
          <w:color w:val="8C8C8C"/>
          <w:sz w:val="12"/>
        </w:rPr>
        <w:t>cf-art-5-inc-XXXII-ali-c</w:t>
      </w:r>
      <w:r>
        <w:rPr>
          <w:color w:val="003CA0"/>
          <w:sz w:val="12"/>
        </w:rPr>
        <w:t xml:space="preserve"> | HC 126.516</w:t>
      </w:r>
      <w:r>
        <w:rPr>
          <w:color w:val="003CA0"/>
          <w:sz w:val="12"/>
        </w:rPr>
        <w:t xml:space="preserve"> | rel. Luiz Fux</w:t>
      </w:r>
    </w:p>
    <w:p>
      <w:pPr>
        <w:ind w:left="288"/>
      </w:pPr>
      <w:r>
        <w:rPr>
          <w:color w:val="1E1E1E"/>
          <w:sz w:val="18"/>
        </w:rPr>
        <w:t>A soberania dos veredictos do tribunal do júri, prevista no art. 5º, XXXVIII, c, da CF, resta afrontada quando o acórdão da apelação interposta com fundamento no art. 593, III, d, do CPP acolhe a tese de contrariedade à prova dos autos, prestigiando uma das vertentes verossímeis, in casu a da acusação em detrimento da defensiva sufragada pelo Conselho de Sentença (...).</w:t>
      </w:r>
    </w:p>
    <w:p>
      <w:pPr>
        <w:ind w:left="288"/>
      </w:pPr>
      <w:r>
        <w:rPr>
          <w:b/>
          <w:color w:val="003CA0"/>
          <w:sz w:val="16"/>
        </w:rPr>
        <w:t>[HC 126.516, rel. min. Luiz Fux, j. 26-5-2015, 1ª T, DJE de 15-6-2015.]</w:t>
      </w:r>
    </w:p>
    <w:p>
      <w:pPr>
        <w:ind w:left="288"/>
      </w:pPr>
      <w:r>
        <w:rPr>
          <w:color w:val="8C8C8C"/>
          <w:sz w:val="12"/>
        </w:rPr>
        <w:t>cf-art-5-inc-XXXII-ali-c</w:t>
      </w:r>
      <w:r>
        <w:rPr>
          <w:color w:val="003CA0"/>
          <w:sz w:val="12"/>
        </w:rPr>
        <w:t xml:space="preserve"> | HC 88.707</w:t>
      </w:r>
      <w:r>
        <w:rPr>
          <w:color w:val="003CA0"/>
          <w:sz w:val="12"/>
        </w:rPr>
        <w:t xml:space="preserve"> | rel. Ellen Gracie</w:t>
      </w:r>
    </w:p>
    <w:p>
      <w:pPr>
        <w:ind w:left="288"/>
      </w:pPr>
      <w:r>
        <w:rPr>
          <w:color w:val="1E1E1E"/>
          <w:sz w:val="18"/>
        </w:rPr>
        <w:t>Vide HC 88.707, rel. min. Ellen Gracie, j. 9-9-2008, 2ª T, DJE de 17-10-2008 Vide RE 166.896, rel. min. Néri da Silveira, j. 26-3-2002, 2ª T, DJ de 17-5-2002 O Tribunal de segunda instância, ao julgar a ação de revisão criminal, dispõe de competência plena para formular tanto o juízo rescindente (judicium rescindens), que viabiliza a desconstituição da autoridade da coisa julgada penal mediante invalidação da condenação criminal, quanto o juízo rescisório (judicium rescissorium), que legitima o reexame do mérito da causa e autoriza, até mesmo, quando for o caso, a prolação de provimento absolu</w:t>
      </w:r>
    </w:p>
    <w:p>
      <w:pPr>
        <w:ind w:left="288"/>
      </w:pPr>
      <w:r>
        <w:rPr>
          <w:b/>
          <w:color w:val="003CA0"/>
          <w:sz w:val="16"/>
        </w:rPr>
        <w:t>[ARE 674.151, rel. min. Celso de Mello, j. 15-10-2013, dec. monocrática, DJE de 18-10-2013.]</w:t>
      </w:r>
    </w:p>
    <w:p>
      <w:pPr>
        <w:ind w:left="288"/>
      </w:pPr>
      <w:r>
        <w:rPr>
          <w:color w:val="8C8C8C"/>
          <w:sz w:val="12"/>
        </w:rPr>
        <w:t>cf-art-5-inc-XXXII-ali-c</w:t>
      </w:r>
      <w:r>
        <w:rPr>
          <w:color w:val="003CA0"/>
          <w:sz w:val="12"/>
        </w:rPr>
        <w:t xml:space="preserve"> | HC 102.442</w:t>
      </w:r>
      <w:r>
        <w:rPr>
          <w:color w:val="003CA0"/>
          <w:sz w:val="12"/>
        </w:rPr>
        <w:t xml:space="preserve"> | rel. Cármen Lúcia</w:t>
      </w:r>
    </w:p>
    <w:p>
      <w:pPr>
        <w:ind w:left="288"/>
      </w:pPr>
      <w:r>
        <w:rPr>
          <w:color w:val="1E1E1E"/>
          <w:sz w:val="18"/>
        </w:rPr>
        <w:t>Ao contrário de afrontar o princípio constitucional da soberania do veredicto do tribunal do júri, a exibição de documentos nitidamente capazes de influenciar no ânimo dos jurados, sobre os quais a acusação não teve a oportunidade de examinar no prazo legal previsto no art. 475 do CPP, justifica a necessidade de realização de um novo julgamento pelo tribunal do júri.</w:t>
      </w:r>
    </w:p>
    <w:p>
      <w:pPr>
        <w:ind w:left="288"/>
      </w:pPr>
      <w:r>
        <w:rPr>
          <w:b/>
          <w:color w:val="003CA0"/>
          <w:sz w:val="16"/>
        </w:rPr>
        <w:t>[HC 102.442, rel. min. Cármen Lúcia, j. 26-10-2010, 1ª T, DJE de 24-11-2010.]</w:t>
      </w:r>
    </w:p>
    <w:p>
      <w:pPr>
        <w:ind w:left="288"/>
      </w:pPr>
      <w:r>
        <w:rPr>
          <w:color w:val="8C8C8C"/>
          <w:sz w:val="12"/>
        </w:rPr>
        <w:t>cf-art-5-inc-XXXII-ali-c</w:t>
      </w:r>
      <w:r>
        <w:rPr>
          <w:color w:val="003CA0"/>
          <w:sz w:val="12"/>
        </w:rPr>
        <w:t xml:space="preserve"> | HC 94.274</w:t>
      </w:r>
      <w:r>
        <w:rPr>
          <w:color w:val="003CA0"/>
          <w:sz w:val="12"/>
        </w:rPr>
        <w:t xml:space="preserve"> | rel. Ayres Britto</w:t>
      </w:r>
    </w:p>
    <w:p>
      <w:pPr>
        <w:ind w:left="288"/>
      </w:pPr>
      <w:r>
        <w:rPr>
          <w:color w:val="1E1E1E"/>
          <w:sz w:val="18"/>
        </w:rPr>
        <w:t>Na pronúncia, o dever de fundamentação imposto ao magistrado é de ser cumprido dentro de limites estreitos. Fundamentação que é de se restringir à comprovação da materialidade do fato criminoso e à indicação dos indícios da autoria delitiva. Tudo o mais, todas as teses defensivas, todos os elementos de prova já coligidos hão de ser sopesados pelo próprio Conselho de Sentença, que é soberano em tema de crimes dolosos contra a vida. É vedado ao juízo de pronúncia o exame conclusivo dos elementos probatórios constantes dos autos. Além de se esperar que esse juízo pronunciante seja externado em li</w:t>
      </w:r>
    </w:p>
    <w:p>
      <w:pPr>
        <w:ind w:left="288"/>
      </w:pPr>
      <w:r>
        <w:rPr>
          <w:b/>
          <w:color w:val="003CA0"/>
          <w:sz w:val="16"/>
        </w:rPr>
        <w:t>[HC 94.274, rel. min. Ayres Britto, j. 1º-12-2009, 1ª T, DJE de 5-2-2010.]</w:t>
      </w:r>
    </w:p>
    <w:p>
      <w:pPr>
        <w:ind w:left="288"/>
      </w:pPr>
      <w:r>
        <w:rPr>
          <w:color w:val="8C8C8C"/>
          <w:sz w:val="12"/>
        </w:rPr>
        <w:t>cf-art-5-inc-XXXII-ali-c</w:t>
      </w:r>
      <w:r>
        <w:rPr>
          <w:color w:val="003CA0"/>
          <w:sz w:val="12"/>
        </w:rPr>
        <w:t xml:space="preserve"> | HC 99.834</w:t>
      </w:r>
      <w:r>
        <w:rPr>
          <w:color w:val="003CA0"/>
          <w:sz w:val="12"/>
        </w:rPr>
        <w:t xml:space="preserve"> | rel. Joaquim Barbosa</w:t>
      </w:r>
    </w:p>
    <w:p>
      <w:pPr>
        <w:ind w:left="288"/>
      </w:pPr>
      <w:r>
        <w:rPr>
          <w:color w:val="1E1E1E"/>
          <w:sz w:val="18"/>
        </w:rPr>
        <w:t>= HC 99.834, rel. min. Joaquim Barbosa, j. 15-2-2011, 2ª T, DJE de 16-3-2011 A soberania dos veredictos do tribunal do júri não é absoluta, submetendo-se ao controle do juízo ad quem, tal como disciplina o art. 593, III, d, do CPP. Conclusão manifestamente contrária à prova produzida durante a instrução criminal configura error in procedendo, a ensejar a realização de novo julgamento pelo tribunal do júri.</w:t>
      </w:r>
    </w:p>
    <w:p>
      <w:pPr>
        <w:ind w:left="288"/>
      </w:pPr>
      <w:r>
        <w:rPr>
          <w:b/>
          <w:color w:val="003CA0"/>
          <w:sz w:val="16"/>
        </w:rPr>
        <w:t>[HC 88.707, rel. min. Ellen Gracie, j. 9-9-2008, 2ª T, DJE de 17-10-2008.]</w:t>
      </w:r>
    </w:p>
    <w:p>
      <w:pPr>
        <w:ind w:left="288"/>
      </w:pPr>
      <w:r>
        <w:rPr>
          <w:color w:val="8C8C8C"/>
          <w:sz w:val="12"/>
        </w:rPr>
        <w:t>cf-art-5-inc-XXXII-ali-c</w:t>
      </w:r>
      <w:r>
        <w:rPr>
          <w:color w:val="003CA0"/>
          <w:sz w:val="12"/>
        </w:rPr>
        <w:t xml:space="preserve"> | AI 728.023</w:t>
      </w:r>
      <w:r>
        <w:rPr>
          <w:color w:val="003CA0"/>
          <w:sz w:val="12"/>
        </w:rPr>
        <w:t xml:space="preserve"> | rel. Joaquim Barbosa</w:t>
      </w:r>
    </w:p>
    <w:p>
      <w:pPr>
        <w:ind w:left="288"/>
      </w:pPr>
      <w:r>
        <w:rPr>
          <w:color w:val="1E1E1E"/>
          <w:sz w:val="18"/>
        </w:rPr>
        <w:t>= AI 728.023 AgR-segundo, rel. min. Joaquim Barbosa, j. 8-2-2011, 2ª T, DJE de 28-2-2011 = HC 97.905, rel. min. Ricardo Lewandowski, j. 1º-6-2010, 1ª T, DJE de 18-6-2010 Vide HC 126.516, rel. min. Luiz Fux, j. 26-5-2015, 1ª T, DJE de 15-6-2015 Vide HC 84.486 AgR, rel. min. Celso de Mello, j. 1º-6-2010, 2ª T, DJE de 6-8-2010 Uma vez interposto recurso contra a sentença de pronúncia, insistindo-se na configuração da legítima defesa, cumpre ao órgão julgador analisar os elementos coligidos. Esse procedimento não implica supressão da prerrogativa do corpo de jurados quanto ao julgamento final da m</w:t>
      </w:r>
    </w:p>
    <w:p>
      <w:pPr>
        <w:ind w:left="288"/>
      </w:pPr>
      <w:r>
        <w:rPr>
          <w:b/>
          <w:color w:val="003CA0"/>
          <w:sz w:val="16"/>
        </w:rPr>
        <w:t>[HC 90.909, rel. min. Marco Aurélio, j. 19-8-2008, 1ª T, DJE de 21-11-2008.]</w:t>
      </w:r>
    </w:p>
    <w:p>
      <w:pPr>
        <w:ind w:left="288"/>
      </w:pPr>
      <w:r>
        <w:rPr>
          <w:color w:val="8C8C8C"/>
          <w:sz w:val="12"/>
        </w:rPr>
        <w:t>cf-art-5-inc-XXXII-ali-c</w:t>
      </w:r>
      <w:r>
        <w:rPr>
          <w:color w:val="003CA0"/>
          <w:sz w:val="12"/>
        </w:rPr>
        <w:t xml:space="preserve"> | HC 87.614</w:t>
      </w:r>
      <w:r>
        <w:rPr>
          <w:color w:val="003CA0"/>
          <w:sz w:val="12"/>
        </w:rPr>
        <w:t xml:space="preserve"> | rel. Marco Aurélio</w:t>
      </w:r>
    </w:p>
    <w:p>
      <w:pPr>
        <w:ind w:left="288"/>
      </w:pPr>
      <w:r>
        <w:rPr>
          <w:color w:val="1E1E1E"/>
          <w:sz w:val="18"/>
        </w:rPr>
        <w:t>Sendo do tribunal do júri a competência para julgar crime doloso contra a vida, descabe a órgão revisor, apreciando recurso em sentido estrito, absolver o agente e impor medida de segurança.</w:t>
      </w:r>
    </w:p>
    <w:p>
      <w:pPr>
        <w:ind w:left="288"/>
      </w:pPr>
      <w:r>
        <w:rPr>
          <w:b/>
          <w:color w:val="003CA0"/>
          <w:sz w:val="16"/>
        </w:rPr>
        <w:t>[HC 87.614, rel. min. Marco Aurélio, j. 3-4-2007, 1ª T, DJ de 15-6-2007.]</w:t>
      </w:r>
    </w:p>
    <w:p>
      <w:pPr>
        <w:ind w:left="288"/>
      </w:pPr>
      <w:r>
        <w:rPr>
          <w:color w:val="8C8C8C"/>
          <w:sz w:val="12"/>
        </w:rPr>
        <w:t>cf-art-5-inc-XXXII-ali-c</w:t>
      </w:r>
      <w:r>
        <w:rPr>
          <w:color w:val="003CA0"/>
          <w:sz w:val="12"/>
        </w:rPr>
        <w:t xml:space="preserve"> | HC 85.904</w:t>
      </w:r>
      <w:r>
        <w:rPr>
          <w:color w:val="003CA0"/>
          <w:sz w:val="12"/>
        </w:rPr>
        <w:t xml:space="preserve"> | rel. Joaquim Barbosa</w:t>
      </w:r>
    </w:p>
    <w:p>
      <w:pPr>
        <w:ind w:left="288"/>
      </w:pPr>
      <w:r>
        <w:rPr>
          <w:color w:val="1E1E1E"/>
          <w:sz w:val="18"/>
        </w:rPr>
        <w:t>Decisão dos jurados que acolheu a tese do homicídio privilegiado, com base no histórico de discussões entre vítima e réu e no depoimento de testemunha que afirmou ter escutado vozes em tom exaltado momentos antes do crime. Inexistência de decisão arbitrária ou inverossímil. Em verdade, o Tribunal de Justiça considerou a prova de acusação mais sólida do que a de defesa, avaliação esta, entretanto, que é reservada ao tribunal do júri, juízo natural da causa, com base no critério da íntima convicção. Assim, por não caber à Justiça togada, nos estreitos limites da apelação contra veredicto do trib</w:t>
      </w:r>
    </w:p>
    <w:p>
      <w:pPr>
        <w:ind w:left="288"/>
      </w:pPr>
      <w:r>
        <w:rPr>
          <w:b/>
          <w:color w:val="003CA0"/>
          <w:sz w:val="16"/>
        </w:rPr>
        <w:t>[HC 85.904, rel. min. Joaquim Barbosa, j. 13-2-2007, 2ª T, DJ de 29-6-2007.]</w:t>
      </w:r>
    </w:p>
    <w:p>
      <w:pPr>
        <w:ind w:left="288"/>
      </w:pPr>
      <w:r>
        <w:rPr>
          <w:color w:val="8C8C8C"/>
          <w:sz w:val="12"/>
        </w:rPr>
        <w:t>cf-art-5-inc-XXXII-ali-c</w:t>
      </w:r>
      <w:r>
        <w:rPr>
          <w:color w:val="003CA0"/>
          <w:sz w:val="12"/>
        </w:rPr>
        <w:t xml:space="preserve"> | RE 122.706</w:t>
      </w:r>
      <w:r>
        <w:rPr>
          <w:color w:val="003CA0"/>
          <w:sz w:val="12"/>
        </w:rPr>
        <w:t xml:space="preserve"> | rel. Sepúlveda Pertence</w:t>
      </w:r>
    </w:p>
    <w:p>
      <w:pPr>
        <w:ind w:left="288"/>
      </w:pPr>
      <w:r>
        <w:rPr>
          <w:color w:val="1E1E1E"/>
          <w:sz w:val="18"/>
        </w:rPr>
        <w:t>A restrição, no processo penal comum, do efeito devolutivo da apelação do mérito dos veredictos do Conselho de Sentença não tem por base o crime de que se cogita – na espécie, o de homicídio –, mas, sim, a nota de soberania das decisões do júri, outorgada pela Constituição, que não é de estender-se às do órgão de primeiro grau da Justiça Militar (v.g., RE 122.706, 21-11-1990, Pertence, RTJ 137/418; HC 71.893, Primeira Turma, 6-12-1994, Ilmar, DJ de 3-3-1995).</w:t>
      </w:r>
    </w:p>
    <w:p>
      <w:pPr>
        <w:ind w:left="288"/>
      </w:pPr>
      <w:r>
        <w:rPr>
          <w:b/>
          <w:color w:val="003CA0"/>
          <w:sz w:val="16"/>
        </w:rPr>
        <w:t>[HC 84.690, rel. min. Sepúlveda Pertence, j. 27-9-2005, 1ª T, DJ de 18-11-2005.]</w:t>
      </w:r>
    </w:p>
    <w:p>
      <w:pPr>
        <w:ind w:left="288"/>
      </w:pPr>
      <w:r>
        <w:rPr>
          <w:color w:val="8C8C8C"/>
          <w:sz w:val="12"/>
        </w:rPr>
        <w:t>cf-art-5-inc-XXXII-ali-c</w:t>
      </w:r>
      <w:r>
        <w:rPr>
          <w:color w:val="003CA0"/>
          <w:sz w:val="12"/>
        </w:rPr>
        <w:t xml:space="preserve"> | RE 166.896</w:t>
      </w:r>
      <w:r>
        <w:rPr>
          <w:color w:val="003CA0"/>
          <w:sz w:val="12"/>
        </w:rPr>
        <w:t xml:space="preserve"> | rel. Néri da Silveira</w:t>
      </w:r>
    </w:p>
    <w:p>
      <w:pPr>
        <w:ind w:left="288"/>
      </w:pPr>
      <w:r>
        <w:rPr>
          <w:color w:val="1E1E1E"/>
          <w:sz w:val="18"/>
        </w:rPr>
        <w:t xml:space="preserve">Decisão do Conselho de Sentença que colidiu com as provas técnica e testemunhal legitimamente produzidas, de maneira a consistir a tese da legítima defesa em versão absolutamente inaceitável. Inexistência, no acórdão, de dupla versão exposta. A posição do réu é isolada e não pode efetivamente se pôr em confronto valorativo com a versão acolhida pelo aresto, com apoio na prova testemunhal e técnica. Hipótese em que a incidência do art. 593, III, d, do CPP não contraria o preceito maior do art. 5º, XXXVIII, c, da Constituição, quanto à soberania do júri, nos termos em que essa há de entender-se </w:t>
      </w:r>
    </w:p>
    <w:p>
      <w:pPr>
        <w:ind w:left="288"/>
      </w:pPr>
      <w:r>
        <w:rPr>
          <w:b/>
          <w:color w:val="003CA0"/>
          <w:sz w:val="16"/>
        </w:rPr>
        <w:t>[RE 166.896, rel. min. Néri da Silveira, j. 26-3-2002, 2ª T, DJ de 17-5-2002.]</w:t>
      </w:r>
    </w:p>
    <w:p>
      <w:pPr>
        <w:ind w:left="288"/>
      </w:pPr>
      <w:r>
        <w:rPr>
          <w:color w:val="8C8C8C"/>
          <w:sz w:val="12"/>
        </w:rPr>
        <w:t>cf-art-5-inc-XXXII-ali-c</w:t>
      </w:r>
      <w:r>
        <w:rPr>
          <w:color w:val="003CA0"/>
          <w:sz w:val="12"/>
        </w:rPr>
        <w:t xml:space="preserve"> | HC 126.516</w:t>
      </w:r>
      <w:r>
        <w:rPr>
          <w:color w:val="003CA0"/>
          <w:sz w:val="12"/>
        </w:rPr>
        <w:t xml:space="preserve"> | rel. Luiz Fux</w:t>
      </w:r>
    </w:p>
    <w:p>
      <w:pPr>
        <w:ind w:left="288"/>
      </w:pPr>
      <w:r>
        <w:rPr>
          <w:color w:val="1E1E1E"/>
          <w:sz w:val="18"/>
        </w:rPr>
        <w:t>Vide HC 126.516, rel. min. Luiz Fux, j. 26-5-2015, 1ª T, DJE de 15-6-2015 (...) mesmo após o advento da Constituição de 1988, o STF, em reiterada jurisprudência, tem considerado subsistente a norma do art. 593, III, d, do CPP, segundo a qual cabe apelação contra o julgamento perante o júri, quando a decisão dos jurados for manifestamente contrária à prova dos autos.</w:t>
      </w:r>
    </w:p>
    <w:p>
      <w:pPr>
        <w:ind w:left="288"/>
      </w:pPr>
      <w:r>
        <w:rPr>
          <w:b/>
          <w:color w:val="003CA0"/>
          <w:sz w:val="16"/>
        </w:rPr>
        <w:t>[HC 73.686, rel. min. Sydney Sanches, j. 7-5-1996, 1ª T, DJ de 14-6-1996.]</w:t>
      </w:r>
    </w:p>
    <w:p>
      <w:pPr>
        <w:ind w:left="288"/>
      </w:pPr>
      <w:r>
        <w:rPr>
          <w:color w:val="8C8C8C"/>
          <w:sz w:val="12"/>
        </w:rPr>
        <w:t>cf-art-5-inc-XXXII-ali-c</w:t>
      </w:r>
      <w:r>
        <w:rPr>
          <w:color w:val="003CA0"/>
          <w:sz w:val="12"/>
        </w:rPr>
        <w:t xml:space="preserve"> | RHC 118.656</w:t>
      </w:r>
      <w:r>
        <w:rPr>
          <w:color w:val="003CA0"/>
          <w:sz w:val="12"/>
        </w:rPr>
        <w:t xml:space="preserve"> | rel. Ricardo Lewandowski</w:t>
      </w:r>
    </w:p>
    <w:p>
      <w:pPr>
        <w:ind w:left="288"/>
      </w:pPr>
      <w:r>
        <w:rPr>
          <w:color w:val="1E1E1E"/>
          <w:sz w:val="18"/>
        </w:rPr>
        <w:t>= RHC 118.656, rel. min. Ricardo Lewandowski, j. 25-2-2014, 2ª T, DJE de 17-3-2014 A apreciação das descriminantes da legítima defesa e do estado de necessidade é da competência exclusiva do tribunal do júri, cuja soberania dos veredictos é constitucionalmente assegurada, art. 5º, XXXVIII, c.</w:t>
      </w:r>
    </w:p>
    <w:p>
      <w:pPr>
        <w:ind w:left="288"/>
      </w:pPr>
      <w:r>
        <w:rPr>
          <w:b/>
          <w:color w:val="003CA0"/>
          <w:sz w:val="16"/>
        </w:rPr>
        <w:t>[HC 69.552, rel. min. Paulo Brossard, j. 10-11-1992, 2ª T, DJ de 11-12-1992.]</w:t>
      </w:r>
    </w:p>
    <w:p>
      <w:pPr>
        <w:ind w:left="288"/>
      </w:pPr>
      <w:r>
        <w:rPr>
          <w:color w:val="8C8C8C"/>
          <w:sz w:val="12"/>
        </w:rPr>
        <w:t>cf-art-5-inc-XXXII-ali-c</w:t>
      </w:r>
      <w:r>
        <w:rPr>
          <w:color w:val="003CA0"/>
          <w:sz w:val="12"/>
        </w:rPr>
        <w:t xml:space="preserve"> | RE 115.202</w:t>
      </w:r>
      <w:r>
        <w:rPr>
          <w:color w:val="003CA0"/>
          <w:sz w:val="12"/>
        </w:rPr>
        <w:t xml:space="preserve"> | rel. Carlos Velloso</w:t>
      </w:r>
    </w:p>
    <w:p>
      <w:pPr>
        <w:ind w:left="288"/>
      </w:pPr>
      <w:r>
        <w:rPr>
          <w:color w:val="1E1E1E"/>
          <w:sz w:val="18"/>
        </w:rPr>
        <w:t>= RE 115.202, rel. min. Carlos Velloso, j. 30-4-1991, 2ª T, DJ de 21-6-1991</w:t>
      </w:r>
    </w:p>
    <w:p>
      <w:pPr>
        <w:ind w:left="288"/>
      </w:pPr>
      <w:r>
        <w:rPr>
          <w:color w:val="8C8C8C"/>
          <w:sz w:val="12"/>
        </w:rPr>
        <w:t>cf-art-5-inc-XXXII-ali-d</w:t>
      </w:r>
    </w:p>
    <w:p>
      <w:pPr>
        <w:ind w:left="288"/>
      </w:pPr>
      <w:r>
        <w:rPr>
          <w:color w:val="1E1E1E"/>
          <w:sz w:val="18"/>
        </w:rPr>
        <w:t>A competência constitucional do tribunal do júri prevalece sobre o foro por prerrogativa de função estabelecido exclusivamente pela Constituição estadual.</w:t>
      </w:r>
    </w:p>
    <w:p>
      <w:pPr>
        <w:ind w:left="288"/>
      </w:pPr>
      <w:r>
        <w:rPr>
          <w:b/>
          <w:color w:val="003CA0"/>
          <w:sz w:val="16"/>
        </w:rPr>
        <w:t>[Súmula 721.]</w:t>
      </w:r>
    </w:p>
    <w:p>
      <w:pPr>
        <w:ind w:left="288"/>
      </w:pPr>
      <w:r>
        <w:rPr>
          <w:color w:val="8C8C8C"/>
          <w:sz w:val="12"/>
        </w:rPr>
        <w:t>cf-art-5-inc-XXXII-ali-d</w:t>
      </w:r>
    </w:p>
    <w:p>
      <w:pPr>
        <w:ind w:left="288"/>
      </w:pPr>
      <w:r>
        <w:rPr>
          <w:color w:val="1E1E1E"/>
          <w:sz w:val="18"/>
        </w:rPr>
        <w:t>A competência para o processo e julgamento de latrocínio é do juiz singular e não do tribunal do júri.</w:t>
      </w:r>
    </w:p>
    <w:p>
      <w:pPr>
        <w:ind w:left="288"/>
      </w:pPr>
      <w:r>
        <w:rPr>
          <w:b/>
          <w:color w:val="003CA0"/>
          <w:sz w:val="16"/>
        </w:rPr>
        <w:t>[Súmula 603.]</w:t>
      </w:r>
    </w:p>
    <w:p>
      <w:pPr>
        <w:ind w:left="288"/>
      </w:pPr>
      <w:r>
        <w:rPr>
          <w:color w:val="8C8C8C"/>
          <w:sz w:val="12"/>
        </w:rPr>
        <w:t>cf-art-5-inc-XXXII-ali-d</w:t>
      </w:r>
      <w:r>
        <w:rPr>
          <w:color w:val="003CA0"/>
          <w:sz w:val="12"/>
        </w:rPr>
        <w:t xml:space="preserve"> | ADI 4.414</w:t>
      </w:r>
      <w:r>
        <w:rPr>
          <w:color w:val="003CA0"/>
          <w:sz w:val="12"/>
        </w:rPr>
        <w:t xml:space="preserve"> | rel. Luiz Fux</w:t>
      </w:r>
    </w:p>
    <w:p>
      <w:pPr>
        <w:ind w:left="288"/>
      </w:pPr>
      <w:r>
        <w:rPr>
          <w:color w:val="1E1E1E"/>
          <w:sz w:val="18"/>
        </w:rPr>
        <w:t>Criação, por lei estadual, de varas especializadas em delitos praticados por organizações criminosas. (...) A competência constitucional do tribunal do júri (art. 5º, XXXVIII) não pode ser afastada por lei estadual, nem usurpada por vara criminal especializada, sendo vedada, ainda, a alteração da forma de sua composição, que deve ser definida em lei nacional.</w:t>
      </w:r>
    </w:p>
    <w:p>
      <w:pPr>
        <w:ind w:left="288"/>
      </w:pPr>
      <w:r>
        <w:rPr>
          <w:b/>
          <w:color w:val="003CA0"/>
          <w:sz w:val="16"/>
        </w:rPr>
        <w:t>[ADI 4.414, rel. min. Luiz Fux, j. 31-5-2012, P, DJE de 17-6-2013.]</w:t>
      </w:r>
    </w:p>
    <w:p>
      <w:pPr>
        <w:ind w:left="288"/>
      </w:pPr>
      <w:r>
        <w:rPr>
          <w:color w:val="8C8C8C"/>
          <w:sz w:val="12"/>
        </w:rPr>
        <w:t>cf-art-5-inc-XXXII-ali-d</w:t>
      </w:r>
      <w:r>
        <w:rPr>
          <w:color w:val="003CA0"/>
          <w:sz w:val="12"/>
        </w:rPr>
        <w:t xml:space="preserve"> | RE 1.501.524</w:t>
      </w:r>
      <w:r>
        <w:rPr>
          <w:color w:val="003CA0"/>
          <w:sz w:val="12"/>
        </w:rPr>
        <w:t xml:space="preserve"> | rel. Flávio Dino</w:t>
      </w:r>
    </w:p>
    <w:p>
      <w:pPr>
        <w:ind w:left="288"/>
      </w:pPr>
      <w:r>
        <w:rPr>
          <w:color w:val="1E1E1E"/>
          <w:sz w:val="18"/>
        </w:rPr>
        <w:t>Possibilidade de a pronúncia, e consequente submissão ao Tribunal do Júri, poder ser realizada a partir de testemunhos de “ouvir dizer” e se essa prova é lícita e valorável pelos juízes.</w:t>
      </w:r>
    </w:p>
    <w:p>
      <w:pPr>
        <w:ind w:left="288"/>
      </w:pPr>
      <w:r>
        <w:rPr>
          <w:b/>
          <w:color w:val="003CA0"/>
          <w:sz w:val="16"/>
        </w:rPr>
        <w:t>[RE 1.501.524 RG, rel. min. Flávio Dino, j. 06.05.2025, P, DJE de 09.05.2025, Tema 1.392, com mérito pendente.]</w:t>
      </w:r>
    </w:p>
    <w:p>
      <w:pPr>
        <w:ind w:left="288"/>
      </w:pPr>
      <w:r>
        <w:rPr>
          <w:color w:val="8C8C8C"/>
          <w:sz w:val="12"/>
        </w:rPr>
        <w:t>cf-art-5-inc-XXXII-ali-d</w:t>
      </w:r>
      <w:r>
        <w:rPr>
          <w:color w:val="003CA0"/>
          <w:sz w:val="12"/>
        </w:rPr>
        <w:t xml:space="preserve"> | RE 593.443</w:t>
      </w:r>
    </w:p>
    <w:p>
      <w:pPr>
        <w:ind w:left="288"/>
      </w:pPr>
      <w:r>
        <w:rPr>
          <w:color w:val="1E1E1E"/>
          <w:sz w:val="18"/>
        </w:rPr>
        <w:t>Decisão judicial de rejeição de denúncia, impronúncia de réu, de absolvição sumária ou de trancamento de ação penal por falta de justa causa não viola a cláusula constitucional de monopólio do poder de iniciativa do Ministério Público em matéria de persecução penal e tampouco transgride o postulado do juiz natural nos procedimentos penais inerentes ao tribunal do júri.</w:t>
      </w:r>
    </w:p>
    <w:p>
      <w:pPr>
        <w:ind w:left="288"/>
      </w:pPr>
      <w:r>
        <w:rPr>
          <w:b/>
          <w:color w:val="003CA0"/>
          <w:sz w:val="16"/>
        </w:rPr>
        <w:t>[RE 593.443, red. do ac. min. Ricardo Lewandowski, j. 6-6-2013, P, DJE de 22-5-2014. Tema 154, com mérito julgado.]</w:t>
      </w:r>
    </w:p>
    <w:p>
      <w:pPr>
        <w:ind w:left="288"/>
      </w:pPr>
      <w:r>
        <w:rPr>
          <w:color w:val="8C8C8C"/>
          <w:sz w:val="12"/>
        </w:rPr>
        <w:t>cf-art-5-inc-XXXII-ali-d</w:t>
      </w:r>
      <w:r>
        <w:rPr>
          <w:color w:val="003CA0"/>
          <w:sz w:val="12"/>
        </w:rPr>
        <w:t xml:space="preserve"> | HC 110.286</w:t>
      </w:r>
    </w:p>
    <w:p>
      <w:pPr>
        <w:ind w:left="288"/>
      </w:pPr>
      <w:r>
        <w:rPr>
          <w:color w:val="1E1E1E"/>
          <w:sz w:val="18"/>
        </w:rPr>
        <w:t>Competência. Homicídio. Agente militar. Inexistente qualquer elemento configurador, a teor do disposto no art. 9º do CPM, de crime militar, a competência é da Justiça comum, do tribunal do júri.</w:t>
      </w:r>
    </w:p>
    <w:p>
      <w:pPr>
        <w:ind w:left="288"/>
      </w:pPr>
      <w:r>
        <w:rPr>
          <w:b/>
          <w:color w:val="003CA0"/>
          <w:sz w:val="16"/>
        </w:rPr>
        <w:t>[HC 110.286, red. do ac. min. Marco Aurélio, j. 14-2-2012, 1ª T, DJE de 29-3-2012.]</w:t>
      </w:r>
    </w:p>
    <w:p>
      <w:pPr>
        <w:ind w:left="288"/>
      </w:pPr>
      <w:r>
        <w:rPr>
          <w:color w:val="8C8C8C"/>
          <w:sz w:val="12"/>
        </w:rPr>
        <w:t>cf-art-5-inc-XXXII-ali-d</w:t>
      </w:r>
      <w:r>
        <w:rPr>
          <w:color w:val="003CA0"/>
          <w:sz w:val="12"/>
        </w:rPr>
        <w:t xml:space="preserve"> | HC 99.541</w:t>
      </w:r>
      <w:r>
        <w:rPr>
          <w:color w:val="003CA0"/>
          <w:sz w:val="12"/>
        </w:rPr>
        <w:t xml:space="preserve"> | rel. Luiz Fux</w:t>
      </w:r>
    </w:p>
    <w:p>
      <w:pPr>
        <w:ind w:left="288"/>
      </w:pPr>
      <w:r>
        <w:rPr>
          <w:color w:val="1E1E1E"/>
          <w:sz w:val="18"/>
        </w:rPr>
        <w:t>Vide HC 99.541, rel. min. Luiz Fux, j. 10-5-2011, 1ª T, DJE de 25-5-2011 A competência do tribunal do júri para o julgamento dos crimes contra a vida prevalece sobre a da Justiça Militar em se tratando de fato circunscrito ao âmbito privado, sem nexo relevante com as atividades castrenses.</w:t>
      </w:r>
    </w:p>
    <w:p>
      <w:pPr>
        <w:ind w:left="288"/>
      </w:pPr>
      <w:r>
        <w:rPr>
          <w:b/>
          <w:color w:val="003CA0"/>
          <w:sz w:val="16"/>
        </w:rPr>
        <w:t>[HC 103.812, red. do ac. min. Luiz Fux, j. 29-11-2011, 1ª T, DJE de 17-2-2012.]</w:t>
      </w:r>
    </w:p>
    <w:p>
      <w:pPr>
        <w:ind w:left="288"/>
      </w:pPr>
      <w:r>
        <w:rPr>
          <w:color w:val="8C8C8C"/>
          <w:sz w:val="12"/>
        </w:rPr>
        <w:t>cf-art-5-inc-XXXII-ali-d</w:t>
      </w:r>
      <w:r>
        <w:rPr>
          <w:color w:val="003CA0"/>
          <w:sz w:val="12"/>
        </w:rPr>
        <w:t xml:space="preserve"> | RHC 111.025</w:t>
      </w:r>
      <w:r>
        <w:rPr>
          <w:color w:val="003CA0"/>
          <w:sz w:val="12"/>
        </w:rPr>
        <w:t xml:space="preserve"> | rel. Gilmar Mendes</w:t>
      </w:r>
    </w:p>
    <w:p>
      <w:pPr>
        <w:ind w:left="288"/>
      </w:pPr>
      <w:r>
        <w:rPr>
          <w:color w:val="1E1E1E"/>
          <w:sz w:val="18"/>
        </w:rPr>
        <w:t>= RHC 111.025, rel. min. Gilmar Mendes, j. 10-4-2012, 2ª T, DJE de 24-4-2012 Vide HC 99.541, rel. min. Luiz Fux, j. 10-5-2011, 1ª T, DJE de 25-5-2011 A competência do tribunal do júri, fixada no art. 5º, XXXVIII, d, da CF, quanto ao julgamento de crimes dolosos contra a vida é passível de ampliação pelo legislador ordinário. A regra estabelecida no art. 78, I, do CPP, de observância obrigatória, faz com que a competência constitucional do tribunal do júri exerça uma vis atractiva sobre delitos que apresentem relação de continência ou conexão com os crimes dolosos contra a vida. (...) A manifes</w:t>
      </w:r>
    </w:p>
    <w:p>
      <w:pPr>
        <w:ind w:left="288"/>
      </w:pPr>
      <w:r>
        <w:rPr>
          <w:b/>
          <w:color w:val="003CA0"/>
          <w:sz w:val="16"/>
        </w:rPr>
        <w:t>[HC 101.542, rel. min. Ricardo Lewandowski, j. 4-5-2010, 1ª T, DJE de 28-5-2010.]</w:t>
      </w:r>
    </w:p>
    <w:p>
      <w:pPr>
        <w:ind w:left="288"/>
      </w:pPr>
      <w:r>
        <w:rPr>
          <w:color w:val="8C8C8C"/>
          <w:sz w:val="12"/>
        </w:rPr>
        <w:t>cf-art-5-inc-XXXII-ali-d</w:t>
      </w:r>
      <w:r>
        <w:rPr>
          <w:color w:val="003CA0"/>
          <w:sz w:val="12"/>
        </w:rPr>
        <w:t xml:space="preserve"> | RHC 98.731</w:t>
      </w:r>
      <w:r>
        <w:rPr>
          <w:color w:val="003CA0"/>
          <w:sz w:val="12"/>
        </w:rPr>
        <w:t xml:space="preserve"> | rel. Cármen Lúcia</w:t>
      </w:r>
    </w:p>
    <w:p>
      <w:pPr>
        <w:ind w:left="288"/>
      </w:pPr>
      <w:r>
        <w:rPr>
          <w:color w:val="1E1E1E"/>
          <w:sz w:val="18"/>
        </w:rPr>
        <w:t>= RHC 98.731, rel. min. Cármen Lúcia, j. 2-12-2010, 1ª T, DJE de 1º-2-2011 As qualificadoras do crime de homicídio só podem ser afastadas pela sentença de pronúncia quando totalmente divorciadas do conjunto fático-probatório dos autos, sob pena de usurpar-se a competência do juiz natural, qual seja, o tribunal do júri.</w:t>
      </w:r>
    </w:p>
    <w:p>
      <w:pPr>
        <w:ind w:left="288"/>
      </w:pPr>
      <w:r>
        <w:rPr>
          <w:b/>
          <w:color w:val="003CA0"/>
          <w:sz w:val="16"/>
        </w:rPr>
        <w:t>[HC 97.230, rel. min. Ricardo Lewandowski, j. 17-11-2009, 1ª T, DJE de 18-12-2009.]</w:t>
      </w:r>
    </w:p>
    <w:p>
      <w:pPr>
        <w:ind w:left="288"/>
      </w:pPr>
      <w:r>
        <w:rPr>
          <w:color w:val="8C8C8C"/>
          <w:sz w:val="12"/>
        </w:rPr>
        <w:t>cf-art-5-inc-XXXII-ali-d</w:t>
      </w:r>
      <w:r>
        <w:rPr>
          <w:color w:val="003CA0"/>
          <w:sz w:val="12"/>
        </w:rPr>
        <w:t xml:space="preserve"> | HC 103.569</w:t>
      </w:r>
      <w:r>
        <w:rPr>
          <w:color w:val="003CA0"/>
          <w:sz w:val="12"/>
        </w:rPr>
        <w:t xml:space="preserve"> | rel. Dias Toffoli</w:t>
      </w:r>
    </w:p>
    <w:p>
      <w:pPr>
        <w:ind w:left="288"/>
      </w:pPr>
      <w:r>
        <w:rPr>
          <w:color w:val="1E1E1E"/>
          <w:sz w:val="18"/>
        </w:rPr>
        <w:t>= HC 103.569, rel. min. Dias Toffoli, j. 24-8-2010, 1ª T, DJE de 12-11-2010 Vide HC 100.673, rel. min. Ellen Gracie, j. 27-4-2010, 2ª T, DJE de 14-5-2010 A fase processual denominada sumário da culpa é reservada essencialmente à formação de um juízo positivo ou negativo sobre a existência de um crime da competência do tribunal do júri. Ela se desenvolve perante o juiz singular que examinará a existência provável ou possível de um crime doloso contra a vida e, ao final, decidirá (1) pela absolvição sumária, quando presente causa excludente de ilicitude ou de culpabilidade; (2) pela desclassific</w:t>
      </w:r>
    </w:p>
    <w:p>
      <w:pPr>
        <w:ind w:left="288"/>
      </w:pPr>
      <w:r>
        <w:rPr>
          <w:b/>
          <w:color w:val="003CA0"/>
          <w:sz w:val="16"/>
        </w:rPr>
        <w:t>[HC 94.169, rel. min. Menezes Direito, j. 7-10-2008, 1ª T, DJE de 12-12-2008.]</w:t>
      </w:r>
    </w:p>
    <w:p>
      <w:pPr>
        <w:ind w:left="288"/>
      </w:pPr>
      <w:r>
        <w:rPr>
          <w:color w:val="8C8C8C"/>
          <w:sz w:val="12"/>
        </w:rPr>
        <w:t>cf-art-5-inc-XXXII-ali-d</w:t>
      </w:r>
      <w:r>
        <w:rPr>
          <w:color w:val="003CA0"/>
          <w:sz w:val="12"/>
        </w:rPr>
        <w:t xml:space="preserve"> | HC 93.191</w:t>
      </w:r>
      <w:r>
        <w:rPr>
          <w:color w:val="003CA0"/>
          <w:sz w:val="12"/>
        </w:rPr>
        <w:t xml:space="preserve"> | rel. Eros Grau</w:t>
      </w:r>
    </w:p>
    <w:p>
      <w:pPr>
        <w:ind w:left="288"/>
      </w:pPr>
      <w:r>
        <w:rPr>
          <w:color w:val="1E1E1E"/>
          <w:sz w:val="18"/>
        </w:rPr>
        <w:t xml:space="preserve">= HC 93.191, rel. min. Eros Grau, j. 8-9-2009, 2ª T, DJE de 23-10-2009 Vide HC 101.325, rel. min. Ellen Gracie, j. 22-6-2010, 2ª T, DJE de 6-8-2010 Crime doloso contra a vida. Tribunal do júri. Juízo natural. Desaforamento motivado pela imparcialidade dos jurados. Comarca mais próxima. Imprecisão. Recurso parcialmente provido. O art. 424 do CPP, por traduzir hipótese de mitigação das regras processuais de definição de competência, é de ser interpretado de modo restritivo. Logo, impõe-se ao tribunal de apelação o ônus de indicar os motivos pelos quais se faz imperioso o desaforamento da causa, </w:t>
      </w:r>
    </w:p>
    <w:p>
      <w:pPr>
        <w:ind w:left="288"/>
      </w:pPr>
      <w:r>
        <w:rPr>
          <w:b/>
          <w:color w:val="003CA0"/>
          <w:sz w:val="16"/>
        </w:rPr>
        <w:t>[RHC 94.008, rel. min. Ayres Britto, j. 24-6-2008, 1ª T, DJE de 3-4-2009.]</w:t>
      </w:r>
    </w:p>
    <w:p>
      <w:pPr>
        <w:ind w:left="288"/>
      </w:pPr>
      <w:r>
        <w:rPr>
          <w:color w:val="8C8C8C"/>
          <w:sz w:val="12"/>
        </w:rPr>
        <w:t>cf-art-5-inc-XXXII-ali-d</w:t>
      </w:r>
      <w:r>
        <w:rPr>
          <w:color w:val="003CA0"/>
          <w:sz w:val="12"/>
        </w:rPr>
        <w:t xml:space="preserve"> | HC 97.547</w:t>
      </w:r>
      <w:r>
        <w:rPr>
          <w:color w:val="003CA0"/>
          <w:sz w:val="12"/>
        </w:rPr>
        <w:t xml:space="preserve"> | rel. Joaquim Barbosa</w:t>
      </w:r>
    </w:p>
    <w:p>
      <w:pPr>
        <w:ind w:left="288"/>
      </w:pPr>
      <w:r>
        <w:rPr>
          <w:color w:val="1E1E1E"/>
          <w:sz w:val="18"/>
        </w:rPr>
        <w:t>Vide HC 97.547, rel. min. Joaquim Barbosa, j. 19-10-2010, 2ª T, DJE de 19-11-2010 O réu, na qualidade de detentor do mandato de parlamentar federal, detém prerrogativa de foro perante o STF, onde deve ser julgado pela imputação da prática de crime doloso contra a vida. A norma contida no art. 5º, XXXVIII, da CF, que garante a instituição do júri, cede diante do disposto no art. 102, I, b, da Lei Maior, definidor da competência do STF, dada a especialidade deste último. Os crimes dolosos contra a vida estão abarcados pelo conceito de crimes comuns.</w:t>
      </w:r>
    </w:p>
    <w:p>
      <w:pPr>
        <w:ind w:left="288"/>
      </w:pPr>
      <w:r>
        <w:rPr>
          <w:b/>
          <w:color w:val="003CA0"/>
          <w:sz w:val="16"/>
        </w:rPr>
        <w:t>[AP 333, rel. min. Joaquim Barbosa, j. 5-12-2007, P, DJE de 11-4-2008.]</w:t>
      </w:r>
    </w:p>
    <w:p>
      <w:pPr>
        <w:ind w:left="288"/>
      </w:pPr>
      <w:r>
        <w:rPr>
          <w:color w:val="8C8C8C"/>
          <w:sz w:val="12"/>
        </w:rPr>
        <w:t>cf-art-5-inc-XXXII-ali-d</w:t>
      </w:r>
      <w:r>
        <w:rPr>
          <w:color w:val="003CA0"/>
          <w:sz w:val="12"/>
        </w:rPr>
        <w:t xml:space="preserve"> | HC 91.003</w:t>
      </w:r>
      <w:r>
        <w:rPr>
          <w:color w:val="003CA0"/>
          <w:sz w:val="12"/>
        </w:rPr>
        <w:t xml:space="preserve"> | rel. Cármen Lúcia</w:t>
      </w:r>
    </w:p>
    <w:p>
      <w:pPr>
        <w:ind w:left="288"/>
      </w:pPr>
      <w:r>
        <w:rPr>
          <w:color w:val="1E1E1E"/>
          <w:sz w:val="18"/>
        </w:rPr>
        <w:t>A jurisprudência do STF é no sentido de ser constitucional o julgamento dos crimes dolosos contra a vida de militar em serviço pela Justiça Castrense, sem a submissão destes crimes ao tribunal do júri, nos termos do art. 9º, III, d, do CPM.</w:t>
      </w:r>
    </w:p>
    <w:p>
      <w:pPr>
        <w:ind w:left="288"/>
      </w:pPr>
      <w:r>
        <w:rPr>
          <w:b/>
          <w:color w:val="003CA0"/>
          <w:sz w:val="16"/>
        </w:rPr>
        <w:t>[HC 91.003, rel. min. Cármen Lúcia, j. 22-5-2007, 1ª T, DJ de 3-8-2007.]</w:t>
      </w:r>
    </w:p>
    <w:p>
      <w:pPr>
        <w:ind w:left="288"/>
      </w:pPr>
      <w:r>
        <w:rPr>
          <w:color w:val="8C8C8C"/>
          <w:sz w:val="12"/>
        </w:rPr>
        <w:t>cf-art-5-inc-XXXII-ali-d</w:t>
      </w:r>
      <w:r>
        <w:rPr>
          <w:color w:val="003CA0"/>
          <w:sz w:val="12"/>
        </w:rPr>
        <w:t xml:space="preserve"> | HC 110.286</w:t>
      </w:r>
      <w:r>
        <w:rPr>
          <w:color w:val="003CA0"/>
          <w:sz w:val="12"/>
        </w:rPr>
        <w:t xml:space="preserve"> | rel. Cezar Peluso</w:t>
      </w:r>
    </w:p>
    <w:p>
      <w:pPr>
        <w:ind w:left="288"/>
      </w:pPr>
      <w:r>
        <w:rPr>
          <w:color w:val="1E1E1E"/>
          <w:sz w:val="18"/>
        </w:rPr>
        <w:t>Vide HC 110.286, red. do ac. min. Marco Aurélio, j. 14-2-2012, 1ª T, DJE de 29-3-2012 Compete ao tribunal do júri da Justiça Federal julgar os delitos de genocídio e de homicídio ou homicídios dolosos que constituíram modalidade de sua execução.</w:t>
      </w:r>
    </w:p>
    <w:p>
      <w:pPr>
        <w:ind w:left="288"/>
      </w:pPr>
      <w:r>
        <w:rPr>
          <w:b/>
          <w:color w:val="003CA0"/>
          <w:sz w:val="16"/>
        </w:rPr>
        <w:t>[RE 351.487, rel. min. Cezar Peluso, j. 3-8-2006, P, DJ de 10-11-2006.]</w:t>
      </w:r>
    </w:p>
    <w:p>
      <w:pPr>
        <w:ind w:left="288"/>
      </w:pPr>
      <w:r>
        <w:rPr>
          <w:color w:val="8C8C8C"/>
          <w:sz w:val="12"/>
        </w:rPr>
        <w:t>cf-art-5-inc-XXXII-ali-d</w:t>
      </w:r>
      <w:r>
        <w:rPr>
          <w:color w:val="003CA0"/>
          <w:sz w:val="12"/>
        </w:rPr>
        <w:t xml:space="preserve"> | HC 78.168</w:t>
      </w:r>
      <w:r>
        <w:rPr>
          <w:color w:val="003CA0"/>
          <w:sz w:val="12"/>
        </w:rPr>
        <w:t xml:space="preserve"> | rel. Néri da Silveira</w:t>
      </w:r>
    </w:p>
    <w:p>
      <w:pPr>
        <w:ind w:left="288"/>
      </w:pPr>
      <w:r>
        <w:rPr>
          <w:color w:val="1E1E1E"/>
          <w:sz w:val="18"/>
        </w:rPr>
        <w:t>(...) somente regra expressa da Lei Magna da República, prevendo foro especial por prerrogativa de função, para autoridade estadual, nos crimes comuns e de responsabilidade, pode afastar a incidência do art. 5º, XXXVIII, d, da CF, quanto à competência do júri. Em se tratando, portanto, de crimes dolosos contra a vida, os procuradores do Estado da Paraíba hão de ser processados e julgados pelo júri.</w:t>
      </w:r>
    </w:p>
    <w:p>
      <w:pPr>
        <w:ind w:left="288"/>
      </w:pPr>
      <w:r>
        <w:rPr>
          <w:b/>
          <w:color w:val="003CA0"/>
          <w:sz w:val="16"/>
        </w:rPr>
        <w:t>[HC 78.168, rel. min. Néri da Silveira, j. 18-11-1998, 1ª T, DJ de 29-8-2003.]</w:t>
      </w:r>
    </w:p>
    <w:p>
      <w:pPr>
        <w:ind w:left="288"/>
      </w:pPr>
      <w:r>
        <w:rPr>
          <w:color w:val="8C8C8C"/>
          <w:sz w:val="12"/>
        </w:rPr>
        <w:t>cf-art-5-inc-XXXII-ali-d</w:t>
      </w:r>
      <w:r>
        <w:rPr>
          <w:color w:val="003CA0"/>
          <w:sz w:val="12"/>
        </w:rPr>
        <w:t xml:space="preserve"> | HC 73.235</w:t>
      </w:r>
      <w:r>
        <w:rPr>
          <w:color w:val="003CA0"/>
          <w:sz w:val="12"/>
        </w:rPr>
        <w:t xml:space="preserve"> | rel. Néri da Silveira</w:t>
      </w:r>
    </w:p>
    <w:p>
      <w:pPr>
        <w:ind w:left="288"/>
      </w:pPr>
      <w:r>
        <w:rPr>
          <w:color w:val="1E1E1E"/>
          <w:sz w:val="18"/>
        </w:rPr>
        <w:t>O envolvimento de corréus em crime doloso contra a vida, havendo em relação a um deles foro especial por prerrogativa de função, previsto constitucionalmente, não afasta os demais do juiz natural, ut art. 5º, XXXVIII, d, da Constituição.</w:t>
      </w:r>
    </w:p>
    <w:p>
      <w:pPr>
        <w:ind w:left="288"/>
      </w:pPr>
      <w:r>
        <w:rPr>
          <w:b/>
          <w:color w:val="003CA0"/>
          <w:sz w:val="16"/>
        </w:rPr>
        <w:t>[HC 73.235, rel. min. Néri da Silveira, j. 28-11-1995, 2ª T, DJE de 18-10-1996.]</w:t>
      </w:r>
    </w:p>
    <w:p>
      <w:pPr>
        <w:ind w:left="288"/>
      </w:pPr>
      <w:r>
        <w:rPr>
          <w:color w:val="8C8C8C"/>
          <w:sz w:val="12"/>
        </w:rPr>
        <w:t>cf-art-5-inc-XXXII-ali-d</w:t>
      </w:r>
      <w:r>
        <w:rPr>
          <w:color w:val="003CA0"/>
          <w:sz w:val="12"/>
        </w:rPr>
        <w:t xml:space="preserve"> | HC 67.851</w:t>
      </w:r>
      <w:r>
        <w:rPr>
          <w:color w:val="003CA0"/>
          <w:sz w:val="12"/>
        </w:rPr>
        <w:t xml:space="preserve"> | rel. Sydney Sanches</w:t>
      </w:r>
    </w:p>
    <w:p>
      <w:pPr>
        <w:ind w:left="288"/>
      </w:pPr>
      <w:r>
        <w:rPr>
          <w:color w:val="1E1E1E"/>
          <w:sz w:val="18"/>
        </w:rPr>
        <w:t>Juiz natural de processo por crimes dolosos contra a vida é o tribunal do júri. Mas o local do julgamento pode variar, conforme as normas processuais, ou seja, conforme ocorra alguma das hipóteses de desaforamento previstas no art. 424 do CPP, que não são incompatíveis com a Constituição anterior nem com a atual (de 1988) e também não ensejam a formação de um "tribunal de exceção".</w:t>
      </w:r>
    </w:p>
    <w:p>
      <w:pPr>
        <w:ind w:left="288"/>
      </w:pPr>
      <w:r>
        <w:rPr>
          <w:b/>
          <w:color w:val="003CA0"/>
          <w:sz w:val="16"/>
        </w:rPr>
        <w:t>[HC 67.851, rel. min. Sydney Sanches, j. 24-4-1990, 1ª T, DJ de 18-5-1990.]</w:t>
      </w:r>
    </w:p>
    <w:p>
      <w:pPr>
        <w:ind w:left="288"/>
      </w:pPr>
      <w:r>
        <w:rPr>
          <w:color w:val="8C8C8C"/>
          <w:sz w:val="12"/>
        </w:rPr>
        <w:t>cf-art-5-inc-XXXII-ali-d</w:t>
      </w:r>
      <w:r>
        <w:rPr>
          <w:color w:val="003CA0"/>
          <w:sz w:val="12"/>
        </w:rPr>
        <w:t xml:space="preserve"> | HC 103.646</w:t>
      </w:r>
      <w:r>
        <w:rPr>
          <w:color w:val="003CA0"/>
          <w:sz w:val="12"/>
        </w:rPr>
        <w:t xml:space="preserve"> | rel. Ricardo Lewandowski</w:t>
      </w:r>
    </w:p>
    <w:p>
      <w:pPr>
        <w:ind w:left="288"/>
      </w:pPr>
      <w:r>
        <w:rPr>
          <w:color w:val="1E1E1E"/>
          <w:sz w:val="18"/>
        </w:rPr>
        <w:t>= HC 103.646, rel. min. Ricardo Lewandowski, j. 24-8-2010, 1ª T, DJE de 1º-10-2010 Vide HC 97.547, rel. min. Joaquim Barbosa, j. 19-10-2010, 2ª T, DJE de 19-11-2010 XXXIX - não há crime sem lei anterior que o defina, nem pena sem prévia cominação legal; A criminalidade organizada é, hoje, um dos maiores problemas do mundo moderno. (...) Daí a superveniência da Lei n. 12.850, de 02 de agosto de 2013, que define organização criminosa e dispõe sobre a investigação criminal, os meios de obtenção da prova, infrações penais correlatas e o procedimento criminal. A utilização de termos mais abertos pe</w:t>
      </w:r>
    </w:p>
    <w:p>
      <w:pPr>
        <w:ind w:left="288"/>
      </w:pPr>
      <w:r>
        <w:rPr>
          <w:b/>
          <w:color w:val="003CA0"/>
          <w:sz w:val="16"/>
        </w:rPr>
        <w:t>[ADI 5.567, rel. min. Alexandre de Moraes, j. 21.11.2023, P, DJE de 24.1.2024.]</w:t>
      </w:r>
    </w:p>
    <w:p>
      <w:pPr>
        <w:ind w:left="288"/>
      </w:pPr>
      <w:r>
        <w:rPr>
          <w:color w:val="8C8C8C"/>
          <w:sz w:val="12"/>
        </w:rPr>
        <w:t>cf-art-5-inc-XXXII-ali-d</w:t>
      </w:r>
      <w:r>
        <w:rPr>
          <w:color w:val="003CA0"/>
          <w:sz w:val="12"/>
        </w:rPr>
        <w:t xml:space="preserve"> | ADI 3.330</w:t>
      </w:r>
      <w:r>
        <w:rPr>
          <w:color w:val="003CA0"/>
          <w:sz w:val="12"/>
        </w:rPr>
        <w:t xml:space="preserve"> | rel. Ayres Britto</w:t>
      </w:r>
    </w:p>
    <w:p>
      <w:pPr>
        <w:ind w:left="288"/>
      </w:pPr>
      <w:r>
        <w:rPr>
          <w:color w:val="1E1E1E"/>
          <w:sz w:val="18"/>
        </w:rPr>
        <w:t>Programa Universidade para Todos (PROUNI). (...) O art. 9º da Lei 11.096/2005 não desrespeita o inciso XXXIX do art. 5º da CF, porque a matéria nele (no art. 9º) versada não é de natureza penal, mas, sim, administrativa. Trata-se das únicas sanções aplicáveis aos casos de descumprimento das obrigações, assumidas pelos estabelecimentos de ensino superior, após a assinatura do termo de adesão ao programa. Sancionamento a cargo do Ministério da Educação, condicionado à abertura de processo administrativo, com total observância das garantias constitucionais do contraditório e da ampla defesa.</w:t>
      </w:r>
    </w:p>
    <w:p>
      <w:pPr>
        <w:ind w:left="288"/>
      </w:pPr>
      <w:r>
        <w:rPr>
          <w:b/>
          <w:color w:val="003CA0"/>
          <w:sz w:val="16"/>
        </w:rPr>
        <w:t>[ADI 3.330, rel. min. Ayres Britto, j. 3-5-2012, P, DJE de 22-3-2013.]</w:t>
      </w:r>
    </w:p>
    <w:p>
      <w:pPr>
        <w:ind w:left="288"/>
      </w:pPr>
      <w:r>
        <w:rPr>
          <w:color w:val="8C8C8C"/>
          <w:sz w:val="12"/>
        </w:rPr>
        <w:t>cf-art-5-inc-XXXII-ali-d</w:t>
      </w:r>
      <w:r>
        <w:rPr>
          <w:color w:val="003CA0"/>
          <w:sz w:val="12"/>
        </w:rPr>
        <w:t xml:space="preserve"> | ARE 901.623</w:t>
      </w:r>
      <w:r>
        <w:rPr>
          <w:color w:val="003CA0"/>
          <w:sz w:val="12"/>
        </w:rPr>
        <w:t xml:space="preserve"> | rel. Edson Fachin</w:t>
      </w:r>
    </w:p>
    <w:p>
      <w:pPr>
        <w:ind w:left="288"/>
      </w:pPr>
      <w:r>
        <w:rPr>
          <w:color w:val="1E1E1E"/>
          <w:sz w:val="18"/>
        </w:rPr>
        <w:t>“O art. 19 da Lei de Contravenções penais permanece válido e é aplicável ao porte de arma branca, cuja potencialidade lesiva deve ser aferida com base nas circunstâncias do caso concreto, tendo em conta, inclusive, o elemento subjetivo do agente”</w:t>
      </w:r>
    </w:p>
    <w:p>
      <w:pPr>
        <w:ind w:left="288"/>
      </w:pPr>
      <w:r>
        <w:rPr>
          <w:b/>
          <w:color w:val="003CA0"/>
          <w:sz w:val="16"/>
        </w:rPr>
        <w:t>[ARE 901.623, rel. min. Edson Fachin, red. do ac. min. Alexandre de Moraes, j. 07.10.2024, P, DJE de 25.10.2024, Tema 857, com mérito julgado.]</w:t>
      </w:r>
    </w:p>
    <w:p>
      <w:pPr>
        <w:ind w:left="288"/>
      </w:pPr>
      <w:r>
        <w:rPr>
          <w:color w:val="8C8C8C"/>
          <w:sz w:val="12"/>
        </w:rPr>
        <w:t>cf-art-5-inc-XXXII-ali-d</w:t>
      </w:r>
      <w:r>
        <w:rPr>
          <w:color w:val="003CA0"/>
          <w:sz w:val="12"/>
        </w:rPr>
        <w:t xml:space="preserve"> | ARE 1.327.963</w:t>
      </w:r>
      <w:r>
        <w:rPr>
          <w:color w:val="003CA0"/>
          <w:sz w:val="12"/>
        </w:rPr>
        <w:t xml:space="preserve"> | rel. Gilmar Mendes</w:t>
      </w:r>
    </w:p>
    <w:p>
      <w:pPr>
        <w:ind w:left="288"/>
      </w:pPr>
      <w:r>
        <w:rPr>
          <w:color w:val="1E1E1E"/>
          <w:sz w:val="18"/>
        </w:rPr>
        <w:t>Tendo em vista a legalidade e a taxatividade da norma penal (art. 5º, XXXIX, CF), a alteração promovida pela Lei 13.964/2019 no art. 112 da LEP não autoriza a incidência do percentual de 60% (inc. VII) aos condenados reincidentes não específicos para o fim de progressão de regime. Diante da omissão legislativa, impõe-se a analogia in bonam partem, para aplicação, inclusive retroativa, do inciso V do artigo 112 da LEP (lapso temporal de 40%) ao condenado por crime hediondo ou equiparado sem resultado morte reincidente não específico.</w:t>
      </w:r>
    </w:p>
    <w:p>
      <w:pPr>
        <w:ind w:left="288"/>
      </w:pPr>
      <w:r>
        <w:rPr>
          <w:b/>
          <w:color w:val="003CA0"/>
          <w:sz w:val="16"/>
        </w:rPr>
        <w:t>[ARE 1.327.963, rel. min. Gilmar Mendes, j. 17.09.2021, P, DJE de 13.02.2023, Tema 1.169, com mérito julgado.]</w:t>
      </w:r>
    </w:p>
    <w:p>
      <w:pPr>
        <w:ind w:left="288"/>
      </w:pPr>
      <w:r>
        <w:rPr>
          <w:color w:val="8C8C8C"/>
          <w:sz w:val="12"/>
        </w:rPr>
        <w:t>cf-art-5-inc-XXXII-ali-d</w:t>
      </w:r>
      <w:r>
        <w:rPr>
          <w:color w:val="003CA0"/>
          <w:sz w:val="12"/>
        </w:rPr>
        <w:t xml:space="preserve"> | RE 641.320</w:t>
      </w:r>
      <w:r>
        <w:rPr>
          <w:color w:val="003CA0"/>
          <w:sz w:val="12"/>
        </w:rPr>
        <w:t xml:space="preserve"> | rel. Gilmar Mendes</w:t>
      </w:r>
    </w:p>
    <w:p>
      <w:pPr>
        <w:ind w:left="288"/>
      </w:pPr>
      <w:r>
        <w:rPr>
          <w:color w:val="1E1E1E"/>
          <w:sz w:val="18"/>
        </w:rPr>
        <w:t>A falta de estabelecimento penal adequado não autoriza a manutenção do condenado em regime prisional mais gravoso. Os juízes da execução penal poderão avaliar os estabelecimentos destinados aos regimes semiaberto e aberto, para qualificação como adequados a tais regimes. São aceitáveis estabelecimentos que não se qualifiquem como "colônia agrícola, industrial" (regime semiaberto) ou "casa de albergado ou estabelecimento adequado" (regime aberto) (art. 33, § 1º, b e c). No entanto, não deverá haver alojamento conjunto de presos dos regimes semiaberto e aberto com presos do regime fechado. Haven</w:t>
      </w:r>
    </w:p>
    <w:p>
      <w:pPr>
        <w:ind w:left="288"/>
      </w:pPr>
      <w:r>
        <w:rPr>
          <w:b/>
          <w:color w:val="003CA0"/>
          <w:sz w:val="16"/>
        </w:rPr>
        <w:t>[RE 641.320, rel. min. Gilmar Mendes, j. 11-5-2016, P, DJE de 1º-8-2016, Tema 423.]</w:t>
      </w:r>
    </w:p>
    <w:p>
      <w:pPr>
        <w:ind w:left="288"/>
      </w:pPr>
      <w:r>
        <w:rPr>
          <w:color w:val="8C8C8C"/>
          <w:sz w:val="12"/>
        </w:rPr>
        <w:t>cf-art-5-inc-XXXII-ali-d</w:t>
      </w:r>
      <w:r>
        <w:rPr>
          <w:color w:val="003CA0"/>
          <w:sz w:val="12"/>
        </w:rPr>
        <w:t xml:space="preserve"> | RHC 200.879</w:t>
      </w:r>
      <w:r>
        <w:rPr>
          <w:color w:val="003CA0"/>
          <w:sz w:val="12"/>
        </w:rPr>
        <w:t xml:space="preserve"> | rel. Edson Fachin</w:t>
      </w:r>
    </w:p>
    <w:p>
      <w:pPr>
        <w:ind w:left="288"/>
      </w:pPr>
      <w:r>
        <w:rPr>
          <w:color w:val="1E1E1E"/>
          <w:sz w:val="18"/>
        </w:rPr>
        <w:t>A Lei 13.964/2019, ao alterar o art. 112 da LEP, não tratou, de forma expressa, das condições para progressão de regime do condenado por crime hediondo ou equiparado reincidente em crime comum, somente disciplinando a gradação da reprimenda do apenado primário (inciso V) e do reincidente específico (inciso VII). O silêncio normativo, contudo, deve ser saneado em atenção aos princípios norteadores da hermenêutica penal, cumprindo observar a proscrição à analogia in malam partem. Havendo dois incisos que, por analogia, poderiam ser aplicados ao apenado (no caso, o inciso V e o inciso VII), o dis</w:t>
      </w:r>
    </w:p>
    <w:p>
      <w:pPr>
        <w:ind w:left="288"/>
      </w:pPr>
      <w:r>
        <w:rPr>
          <w:b/>
          <w:color w:val="003CA0"/>
          <w:sz w:val="16"/>
        </w:rPr>
        <w:t>[RHC 200.879, rel. min. Edson Fachin, j. 24-5-2021, 2ª T, DJE de 14-6-2021.]</w:t>
      </w:r>
    </w:p>
    <w:p>
      <w:pPr>
        <w:ind w:left="288"/>
      </w:pPr>
      <w:r>
        <w:rPr>
          <w:color w:val="8C8C8C"/>
          <w:sz w:val="12"/>
        </w:rPr>
        <w:t>cf-art-5-inc-XXXII-ali-d</w:t>
      </w:r>
      <w:r>
        <w:rPr>
          <w:color w:val="003CA0"/>
          <w:sz w:val="12"/>
        </w:rPr>
        <w:t xml:space="preserve"> | RHC 130.738</w:t>
      </w:r>
      <w:r>
        <w:rPr>
          <w:color w:val="003CA0"/>
          <w:sz w:val="12"/>
        </w:rPr>
        <w:t xml:space="preserve"> | rel. Celso de Mello</w:t>
      </w:r>
    </w:p>
    <w:p>
      <w:pPr>
        <w:ind w:left="288"/>
      </w:pPr>
      <w:r>
        <w:rPr>
          <w:color w:val="1E1E1E"/>
          <w:sz w:val="18"/>
        </w:rPr>
        <w:t>Crime de lavagem de dinheiro ou de valores (Lei 9.613/1998). (...) Referência, na peça acusatória, como infrações antecedentes, a crimes contra a administração pública (Lei 9.613/1998, art. 1º, V) e ao delito de organização criminosa (Lei 9.613/1998, art. 1º, VII). Eventos ocorridos entre 1997 e 2004. Fatos imputados aos réus supostamente cometidos em momento anterior à vigência da Lei 12.683/2012 e da Lei 12.850/2013. Consequente atipicidade penal do crime de lavagem de dinheiro no ponto em que a denúncia indica como infração antecedente o delito de organização criminosa, que somente veio a s</w:t>
      </w:r>
    </w:p>
    <w:p>
      <w:pPr>
        <w:ind w:left="288"/>
      </w:pPr>
      <w:r>
        <w:rPr>
          <w:b/>
          <w:color w:val="003CA0"/>
          <w:sz w:val="16"/>
        </w:rPr>
        <w:t>[RHC 130.738, rel min. Celso de Mello, j. 1º-7-2016, dec. monocrática, DJE de 2-8-2016.]</w:t>
      </w:r>
    </w:p>
    <w:p>
      <w:pPr>
        <w:ind w:left="288"/>
      </w:pPr>
      <w:r>
        <w:rPr>
          <w:color w:val="8C8C8C"/>
          <w:sz w:val="12"/>
        </w:rPr>
        <w:t>cf-art-5-inc-XXXII-ali-d</w:t>
      </w:r>
      <w:r>
        <w:rPr>
          <w:color w:val="003CA0"/>
          <w:sz w:val="12"/>
        </w:rPr>
        <w:t xml:space="preserve"> | RHC 121.835</w:t>
      </w:r>
      <w:r>
        <w:rPr>
          <w:color w:val="003CA0"/>
          <w:sz w:val="12"/>
        </w:rPr>
        <w:t xml:space="preserve"> | rel. Celso de Mello</w:t>
      </w:r>
    </w:p>
    <w:p>
      <w:pPr>
        <w:ind w:left="288"/>
      </w:pPr>
      <w:r>
        <w:rPr>
          <w:color w:val="1E1E1E"/>
          <w:sz w:val="18"/>
        </w:rPr>
        <w:t>Em matéria penal, prevalece o dogma da reserva constitucional de lei em sentido formal, pois a Constituição da República somente admite a lei interna como única fonte formal e direta de regras de direito penal, a significar, portanto, que as cláusulas de tipificação e de cominação penais, para efeito de repressão estatal, subsumem-se ao âmbito das normas domésticas de direito penal incriminador, regendo-se, em consequência, pelo postulado da reserva de Parlamento. (...) As convenções internacionais, como a Convenção de Palermo, não se qualificam, constitucionalmente, como fonte formal direta l</w:t>
      </w:r>
    </w:p>
    <w:p>
      <w:pPr>
        <w:ind w:left="288"/>
      </w:pPr>
      <w:r>
        <w:rPr>
          <w:b/>
          <w:color w:val="003CA0"/>
          <w:sz w:val="16"/>
        </w:rPr>
        <w:t>[RHC 121.835 AgR, rel. min. Celso de Mello, j. 13-10-2015, 2ª T, DJE de 23-11-2015.]</w:t>
      </w:r>
    </w:p>
    <w:p>
      <w:pPr>
        <w:ind w:left="288"/>
      </w:pPr>
      <w:r>
        <w:rPr>
          <w:color w:val="8C8C8C"/>
          <w:sz w:val="12"/>
        </w:rPr>
        <w:t>cf-art-5-inc-XXXII-ali-d</w:t>
      </w:r>
      <w:r>
        <w:rPr>
          <w:color w:val="003CA0"/>
          <w:sz w:val="12"/>
        </w:rPr>
        <w:t xml:space="preserve"> | HC 97.772</w:t>
      </w:r>
      <w:r>
        <w:rPr>
          <w:color w:val="003CA0"/>
          <w:sz w:val="12"/>
        </w:rPr>
        <w:t xml:space="preserve"> | rel. Cármen Lúcia</w:t>
      </w:r>
    </w:p>
    <w:p>
      <w:pPr>
        <w:ind w:left="288"/>
      </w:pPr>
      <w:r>
        <w:rPr>
          <w:color w:val="1E1E1E"/>
          <w:sz w:val="18"/>
        </w:rPr>
        <w:t>A tipicidade penal não pode ser percebida como o trivial exercício de adequação do fato concreto à norma abstrata. Além da correspondência formal, para a configuração da tipicidade, é necessária uma análise materialmente valorativa das circunstâncias do caso concreto, no sentido de se verificar a ocorrência de alguma lesão grave, contundente e penalmente relevante do bem jurídico tutelado.</w:t>
      </w:r>
    </w:p>
    <w:p>
      <w:pPr>
        <w:ind w:left="288"/>
      </w:pPr>
      <w:r>
        <w:rPr>
          <w:b/>
          <w:color w:val="003CA0"/>
          <w:sz w:val="16"/>
        </w:rPr>
        <w:t>[HC 97.772, rel. min. Cármen Lúcia, j. 3-11-2009, 1ª T, DJE de 20-11-2009.]</w:t>
      </w:r>
    </w:p>
    <w:p>
      <w:pPr>
        <w:ind w:left="288"/>
      </w:pPr>
      <w:r>
        <w:rPr>
          <w:color w:val="8C8C8C"/>
          <w:sz w:val="12"/>
        </w:rPr>
        <w:t>cf-art-5-inc-XXXII-ali-d</w:t>
      </w:r>
      <w:r>
        <w:rPr>
          <w:color w:val="003CA0"/>
          <w:sz w:val="12"/>
        </w:rPr>
        <w:t xml:space="preserve"> | HC 92.411</w:t>
      </w:r>
      <w:r>
        <w:rPr>
          <w:color w:val="003CA0"/>
          <w:sz w:val="12"/>
        </w:rPr>
        <w:t xml:space="preserve"> | rel. Ayres Britto</w:t>
      </w:r>
    </w:p>
    <w:p>
      <w:pPr>
        <w:ind w:left="288"/>
      </w:pPr>
      <w:r>
        <w:rPr>
          <w:color w:val="1E1E1E"/>
          <w:sz w:val="18"/>
        </w:rPr>
        <w:t>Vide HC 92.411, rel. min. Ayres Britto, j. 12-2-2008, 1ª T, DJE de 9-5-2008 Porte de arma de fogo sem autorização e em oposição à determinação legal (art. 14 da Lei 10.826/2003 – Estatuto do Desarmamento). Vacatio legis especial. Atipicidade temporária apenas para o crime de posse. Inexistência de abolitio criminis para o crime de porte. Precedentes. A jurisprudência desta Corte firmou-se no sentido de que as condutas "possuir" e "ser proprietário" foram abolidas, temporariamente, pelos arts. 30 e 32 do Estatuto do Desarmamento, mas não a conduta de portar arma de fogo (fora da residência ou d</w:t>
      </w:r>
    </w:p>
    <w:p>
      <w:pPr>
        <w:ind w:left="288"/>
      </w:pPr>
      <w:r>
        <w:rPr>
          <w:b/>
          <w:color w:val="003CA0"/>
          <w:sz w:val="16"/>
        </w:rPr>
        <w:t>[HC 94.213, rel. min. Menezes Direito, j. 18-11-2008, 1ª T, DJE de 6-2-2009.]</w:t>
      </w:r>
    </w:p>
    <w:p>
      <w:pPr>
        <w:ind w:left="288"/>
      </w:pPr>
      <w:r>
        <w:rPr>
          <w:color w:val="8C8C8C"/>
          <w:sz w:val="12"/>
        </w:rPr>
        <w:t>cf-art-5-inc-XXXII-ali-d</w:t>
      </w:r>
      <w:r>
        <w:rPr>
          <w:color w:val="003CA0"/>
          <w:sz w:val="12"/>
        </w:rPr>
        <w:t xml:space="preserve"> | HC 96.383</w:t>
      </w:r>
      <w:r>
        <w:rPr>
          <w:color w:val="003CA0"/>
          <w:sz w:val="12"/>
        </w:rPr>
        <w:t xml:space="preserve"> | rel. Dias Toffoli</w:t>
      </w:r>
    </w:p>
    <w:p>
      <w:pPr>
        <w:ind w:left="288"/>
      </w:pPr>
      <w:r>
        <w:rPr>
          <w:color w:val="1E1E1E"/>
          <w:sz w:val="18"/>
        </w:rPr>
        <w:t>= HC 96.383, rel. min. Dias Toffoli, j. 23-3-2010, 1ª T, DJE de 16-4-2010 Vide HC 97.811, red. do ac. min. Eros Grau, j. 9-6-2009, 2ª T, DJE de 21-8-2009 Vide HC 96.922, rel. min. Ricardo Lewandowski, j. 17-3-2009, 1ª T, DJE de 17-4-2009 Vide HC 90.995, rel. min. Menezes Direito, j. 12-2-2008, 1ª T, DJE de 7-3-2008 Não pode o julgador, por analogia, estabelecer sanção sem previsão legal, ainda que para beneficiar o réu, ao argumento de que o legislador deveria ter disciplinado a situação de outra forma.</w:t>
      </w:r>
    </w:p>
    <w:p>
      <w:pPr>
        <w:ind w:left="288"/>
      </w:pPr>
      <w:r>
        <w:rPr>
          <w:b/>
          <w:color w:val="003CA0"/>
          <w:sz w:val="16"/>
        </w:rPr>
        <w:t>[HC 92.626, rel. min. Ricardo Lewandowski, j. 25-3-2008, 1ª T, DJE de 2-5-2008.]</w:t>
      </w:r>
    </w:p>
    <w:p>
      <w:pPr>
        <w:ind w:left="288"/>
      </w:pPr>
      <w:r>
        <w:rPr>
          <w:color w:val="8C8C8C"/>
          <w:sz w:val="12"/>
        </w:rPr>
        <w:t>cf-art-5-inc-XXXII-ali-d</w:t>
      </w:r>
      <w:r>
        <w:rPr>
          <w:color w:val="003CA0"/>
          <w:sz w:val="12"/>
        </w:rPr>
        <w:t xml:space="preserve"> | HC 92.399</w:t>
      </w:r>
      <w:r>
        <w:rPr>
          <w:color w:val="003CA0"/>
          <w:sz w:val="12"/>
        </w:rPr>
        <w:t xml:space="preserve"> | rel. Ayres Britto</w:t>
      </w:r>
    </w:p>
    <w:p>
      <w:pPr>
        <w:ind w:left="288"/>
      </w:pPr>
      <w:r>
        <w:rPr>
          <w:color w:val="1E1E1E"/>
          <w:sz w:val="18"/>
        </w:rPr>
        <w:t>= HC 92.399, rel. min. Ayres Britto, j. 29-6-2010, 1ª T, DJE de 27-8-2010 Não sendo, tecnicamente, penas, as medidas socioeducativas refogem ao princípio da legalidade estrita, o que permitem tenham duração indeterminada. Para a prestação de serviços à comunidade, o ECA previu a duração máxima de seis meses (art. 117), prazo tido como mínimo para a liberdade assistida (art. 118, § 2º).</w:t>
      </w:r>
    </w:p>
    <w:p>
      <w:pPr>
        <w:ind w:left="288"/>
      </w:pPr>
      <w:r>
        <w:rPr>
          <w:b/>
          <w:color w:val="003CA0"/>
          <w:sz w:val="16"/>
        </w:rPr>
        <w:t>[HC 90.129, voto do min. Ricardo Lewandowski, j. 10-4-2007, 1ª T, DJ de 18-5-2007.]</w:t>
      </w:r>
    </w:p>
    <w:p>
      <w:pPr>
        <w:ind w:left="288"/>
      </w:pPr>
      <w:r>
        <w:rPr>
          <w:color w:val="8C8C8C"/>
          <w:sz w:val="12"/>
        </w:rPr>
        <w:t>cf-art-5-inc-XXXII-ali-d</w:t>
      </w:r>
      <w:r>
        <w:rPr>
          <w:color w:val="003CA0"/>
          <w:sz w:val="12"/>
        </w:rPr>
        <w:t xml:space="preserve"> | INQ 1.145</w:t>
      </w:r>
      <w:r>
        <w:rPr>
          <w:color w:val="003CA0"/>
          <w:sz w:val="12"/>
        </w:rPr>
        <w:t xml:space="preserve"> | rel. Maurício Corrêa</w:t>
      </w:r>
    </w:p>
    <w:p>
      <w:pPr>
        <w:ind w:left="288"/>
      </w:pPr>
      <w:r>
        <w:rPr>
          <w:color w:val="1E1E1E"/>
          <w:sz w:val="18"/>
        </w:rPr>
        <w:t>Parlamentar denunciado pela suposta prática do crime de estelionato (...). Peça acusatória que descreve a suposta conduta de facilitação do uso de "cola eletrônica" em concurso vestibular (utilização de escuta eletrônica pela qual alguns candidatos – entre outros, a filha do denunciado – teriam recebido as respostas das questões da prova do vestibular de professores contratados para tal fim). O MPF manifestou-se pela configuração da conduta delitiva como falsidade ideológica (...), e não mais como estelionato. A tese vencedora, sistematizada no voto do ministro Gilmar Mendes, apresentou os seg</w:t>
      </w:r>
    </w:p>
    <w:p>
      <w:pPr>
        <w:ind w:left="288"/>
      </w:pPr>
      <w:r>
        <w:rPr>
          <w:b/>
          <w:color w:val="003CA0"/>
          <w:sz w:val="16"/>
        </w:rPr>
        <w:t>[Inq 1.145, rel. min. Maurício Corrêa, red. do ac. min. Gilmar Mendes, j. 19-12-2006, P, DJE de 4-4-2008.]</w:t>
      </w:r>
    </w:p>
    <w:p>
      <w:pPr>
        <w:ind w:left="288"/>
      </w:pPr>
      <w:r>
        <w:rPr>
          <w:color w:val="8C8C8C"/>
          <w:sz w:val="12"/>
        </w:rPr>
        <w:t>cf-art-5-inc-XL</w:t>
      </w:r>
    </w:p>
    <w:p>
      <w:pPr>
        <w:ind w:left="288"/>
      </w:pPr>
      <w:r>
        <w:rPr>
          <w:color w:val="1E1E1E"/>
          <w:sz w:val="18"/>
        </w:rPr>
        <w:t>A lei penal mais grave aplica-se ao crime continuado ou ao crime permanente, se a sua vigência é anterior à cessação da continuidade ou da permanência.</w:t>
      </w:r>
    </w:p>
    <w:p>
      <w:pPr>
        <w:ind w:left="288"/>
      </w:pPr>
      <w:r>
        <w:rPr>
          <w:b/>
          <w:color w:val="003CA0"/>
          <w:sz w:val="16"/>
        </w:rPr>
        <w:t>[Súmula 711.]</w:t>
      </w:r>
    </w:p>
    <w:p>
      <w:pPr>
        <w:ind w:left="288"/>
      </w:pPr>
      <w:r>
        <w:rPr>
          <w:color w:val="8C8C8C"/>
          <w:sz w:val="12"/>
        </w:rPr>
        <w:t>cf-art-5-inc-XL</w:t>
      </w:r>
    </w:p>
    <w:p>
      <w:pPr>
        <w:ind w:left="288"/>
      </w:pPr>
      <w:r>
        <w:rPr>
          <w:color w:val="1E1E1E"/>
          <w:sz w:val="18"/>
        </w:rPr>
        <w:t>Transitada em julgado a sentença condenatória, compete ao juízo das execuções a aplicação de lei mais benigna.</w:t>
      </w:r>
    </w:p>
    <w:p>
      <w:pPr>
        <w:ind w:left="288"/>
      </w:pPr>
      <w:r>
        <w:rPr>
          <w:b/>
          <w:color w:val="003CA0"/>
          <w:sz w:val="16"/>
        </w:rPr>
        <w:t>[Súmula 611.]</w:t>
      </w:r>
    </w:p>
    <w:p>
      <w:pPr>
        <w:ind w:left="288"/>
      </w:pPr>
      <w:r>
        <w:rPr>
          <w:color w:val="8C8C8C"/>
          <w:sz w:val="12"/>
        </w:rPr>
        <w:t>cf-art-5-inc-XL</w:t>
      </w:r>
      <w:r>
        <w:rPr>
          <w:color w:val="003CA0"/>
          <w:sz w:val="12"/>
        </w:rPr>
        <w:t xml:space="preserve"> | ADI 1.719</w:t>
      </w:r>
      <w:r>
        <w:rPr>
          <w:color w:val="003CA0"/>
          <w:sz w:val="12"/>
        </w:rPr>
        <w:t xml:space="preserve"> | rel. Joaquim Barbosa</w:t>
      </w:r>
    </w:p>
    <w:p>
      <w:pPr>
        <w:ind w:left="288"/>
      </w:pPr>
      <w:r>
        <w:rPr>
          <w:color w:val="1E1E1E"/>
          <w:sz w:val="18"/>
        </w:rPr>
        <w:t>O art. 90 da Lei 9.099/1995 determina que as disposições da Lei dos Juizados Especiais não são aplicáveis aos processos penais nos quais a fase de instrução já tenha sido iniciada. Em se tratando de normas de natureza processual, a exceção estabelecida por lei à regra geral contida no art. 2º do CPP não padece de vício de inconstitucionalidade. Contudo, as normas de direito penal que tenham conteúdo mais benéfico aos réus devem retroagir para beneficiá-los, à luz do que determina o art. 5º, XL, da CF. Interpretação conforme ao art. 90 da Lei 9.099/1995 para excluir de sua abrangência as normas</w:t>
      </w:r>
    </w:p>
    <w:p>
      <w:pPr>
        <w:ind w:left="288"/>
      </w:pPr>
      <w:r>
        <w:rPr>
          <w:b/>
          <w:color w:val="003CA0"/>
          <w:sz w:val="16"/>
        </w:rPr>
        <w:t>[ADI 1.719, rel. min. Joaquim Barbosa, j. 18-6-2007, P, DJ de 3-8-2007.]</w:t>
      </w:r>
    </w:p>
    <w:p>
      <w:pPr>
        <w:ind w:left="288"/>
      </w:pPr>
      <w:r>
        <w:rPr>
          <w:color w:val="8C8C8C"/>
          <w:sz w:val="12"/>
        </w:rPr>
        <w:t>cf-art-5-inc-XL</w:t>
      </w:r>
      <w:r>
        <w:rPr>
          <w:color w:val="003CA0"/>
          <w:sz w:val="12"/>
        </w:rPr>
        <w:t xml:space="preserve"> | RE 1.536.743</w:t>
      </w:r>
      <w:r>
        <w:rPr>
          <w:color w:val="003CA0"/>
          <w:sz w:val="12"/>
        </w:rPr>
        <w:t xml:space="preserve"> | rel. Luís Roberto Barroso</w:t>
      </w:r>
    </w:p>
    <w:p>
      <w:pPr>
        <w:ind w:left="288"/>
      </w:pPr>
      <w:r>
        <w:rPr>
          <w:color w:val="1E1E1E"/>
          <w:sz w:val="18"/>
        </w:rPr>
        <w:t>Aplicação da Lei nº 14.843/2024, sobre a obrigatoriedade do exame criminológico para a progressão de regime, na execução de pena por crimes praticados antes de sua vigência.</w:t>
      </w:r>
    </w:p>
    <w:p>
      <w:pPr>
        <w:ind w:left="288"/>
      </w:pPr>
      <w:r>
        <w:rPr>
          <w:b/>
          <w:color w:val="003CA0"/>
          <w:sz w:val="16"/>
        </w:rPr>
        <w:t>[RE 1.536.743 RG, rel. min. Luís Roberto Barroso, j. 13.06.2025, P, DJE de 24.06.2025, Tema 1.408, com mérito pendente.]</w:t>
      </w:r>
    </w:p>
    <w:p>
      <w:pPr>
        <w:ind w:left="288"/>
      </w:pPr>
      <w:r>
        <w:rPr>
          <w:color w:val="8C8C8C"/>
          <w:sz w:val="12"/>
        </w:rPr>
        <w:t>cf-art-5-inc-XL</w:t>
      </w:r>
      <w:r>
        <w:rPr>
          <w:color w:val="003CA0"/>
          <w:sz w:val="12"/>
        </w:rPr>
        <w:t xml:space="preserve"> | RE 1.532.446</w:t>
      </w:r>
      <w:r>
        <w:rPr>
          <w:color w:val="003CA0"/>
          <w:sz w:val="12"/>
        </w:rPr>
        <w:t xml:space="preserve"> | rel. Luís Roberto Barroso</w:t>
      </w:r>
    </w:p>
    <w:p>
      <w:pPr>
        <w:ind w:left="288"/>
      </w:pPr>
      <w:r>
        <w:rPr>
          <w:color w:val="1E1E1E"/>
          <w:sz w:val="18"/>
        </w:rPr>
        <w:t>Aplicação da Lei nº 14.843/2024, sobre saída temporária e trabalho externo do apenado, na execução de pena por crimes praticados antes de sua vigência.</w:t>
      </w:r>
    </w:p>
    <w:p>
      <w:pPr>
        <w:ind w:left="288"/>
      </w:pPr>
      <w:r>
        <w:rPr>
          <w:b/>
          <w:color w:val="003CA0"/>
          <w:sz w:val="16"/>
        </w:rPr>
        <w:t>[RE 1.532.446 RG, rel. min. Luís Roberto Barroso, j. 11.03.2025, P, DJE de 14.03.2025, Tema 1.381, com mérito pendente.]</w:t>
      </w:r>
    </w:p>
    <w:p>
      <w:pPr>
        <w:ind w:left="288"/>
      </w:pPr>
      <w:r>
        <w:rPr>
          <w:color w:val="8C8C8C"/>
          <w:sz w:val="12"/>
        </w:rPr>
        <w:t>cf-art-5-inc-XL</w:t>
      </w:r>
      <w:r>
        <w:rPr>
          <w:color w:val="003CA0"/>
          <w:sz w:val="12"/>
        </w:rPr>
        <w:t xml:space="preserve"> | RE 1.464.013</w:t>
      </w:r>
      <w:r>
        <w:rPr>
          <w:color w:val="003CA0"/>
          <w:sz w:val="12"/>
        </w:rPr>
        <w:t xml:space="preserve"> | rel. Luís Roberto Barroso</w:t>
      </w:r>
    </w:p>
    <w:p>
      <w:pPr>
        <w:ind w:left="288"/>
      </w:pPr>
      <w:r>
        <w:rPr>
          <w:color w:val="1E1E1E"/>
          <w:sz w:val="18"/>
        </w:rPr>
        <w:t>Saber se é possível aplicar retroativamente apenas a parte mais benéfica de lei penal sobre progressão de pena (art. 112, VI, a, da LEP), decotando-se a vedação ao livramento condicional e à saída temporária prevista na mesma lei, porque mais gravosa ao apenado por crime hediondo.</w:t>
      </w:r>
    </w:p>
    <w:p>
      <w:pPr>
        <w:ind w:left="288"/>
      </w:pPr>
      <w:r>
        <w:rPr>
          <w:b/>
          <w:color w:val="003CA0"/>
          <w:sz w:val="16"/>
        </w:rPr>
        <w:t>[RE 1.464.013 RG, rel. min. Luís Roberto Barroso, j. 06.09.2024, P, DJE de 12.09.2024, Tema 1.319, com mérito pendente.]</w:t>
      </w:r>
    </w:p>
    <w:p>
      <w:pPr>
        <w:ind w:left="288"/>
      </w:pPr>
      <w:r>
        <w:rPr>
          <w:color w:val="8C8C8C"/>
          <w:sz w:val="12"/>
        </w:rPr>
        <w:t>cf-art-5-inc-XL</w:t>
      </w:r>
      <w:r>
        <w:rPr>
          <w:color w:val="003CA0"/>
          <w:sz w:val="12"/>
        </w:rPr>
        <w:t xml:space="preserve"> | RE 600.817</w:t>
      </w:r>
      <w:r>
        <w:rPr>
          <w:color w:val="003CA0"/>
          <w:sz w:val="12"/>
        </w:rPr>
        <w:t xml:space="preserve"> | rel. Ricardo Lewandowski</w:t>
      </w:r>
    </w:p>
    <w:p>
      <w:pPr>
        <w:ind w:left="288"/>
      </w:pPr>
      <w:r>
        <w:rPr>
          <w:color w:val="1E1E1E"/>
          <w:sz w:val="18"/>
        </w:rPr>
        <w:t>É inadmissível a aplicação da causa de diminuição prevista no art. 33, § 4º, da Lei 11.343/2006 à pena relativa à condenação por crime cometido na vigência da Lei 6.368/1976. (...) Não é possível a conjugação de partes mais benéficas das referidas normas, para criar-se uma terceira lei, sob pena de violação aos princípios da legalidade e da separação de Poderes. O juiz, contudo, deverá, no caso concreto, avaliar qual das mencionadas leis é mais favorável ao réu e aplicá-la em sua integralidade.</w:t>
      </w:r>
    </w:p>
    <w:p>
      <w:pPr>
        <w:ind w:left="288"/>
      </w:pPr>
      <w:r>
        <w:rPr>
          <w:b/>
          <w:color w:val="003CA0"/>
          <w:sz w:val="16"/>
        </w:rPr>
        <w:t>[RE 600.817, rel. min. Ricardo Lewandowski, j. 7-11-2013, P, DJE de 30-10-2014, Tema 169, com mérito julgado.]</w:t>
      </w:r>
    </w:p>
    <w:p>
      <w:pPr>
        <w:ind w:left="288"/>
      </w:pPr>
      <w:r>
        <w:rPr>
          <w:color w:val="8C8C8C"/>
          <w:sz w:val="12"/>
        </w:rPr>
        <w:t>cf-art-5-inc-XL</w:t>
      </w:r>
      <w:r>
        <w:rPr>
          <w:color w:val="003CA0"/>
          <w:sz w:val="12"/>
        </w:rPr>
        <w:t xml:space="preserve"> | RE 768.494</w:t>
      </w:r>
      <w:r>
        <w:rPr>
          <w:color w:val="003CA0"/>
          <w:sz w:val="12"/>
        </w:rPr>
        <w:t xml:space="preserve"> | rel. Luiz Fux</w:t>
      </w:r>
    </w:p>
    <w:p>
      <w:pPr>
        <w:ind w:left="288"/>
      </w:pPr>
      <w:r>
        <w:rPr>
          <w:color w:val="1E1E1E"/>
          <w:sz w:val="18"/>
        </w:rPr>
        <w:t>O Estatuto do Desarmamento (Lei 10.826/2003) favoreceu os possuidores e proprietários de arma de fogo com duas medidas: (i) permitiu o registro da arma de fogo (art. 30) ou a sua renovação (art. 5º, § 3º); e (ii) facultou a entrega espontânea da arma de fogo à autoridade competente (art. 32). A sucessão legislativa prorrogou diversas vezes o prazo para as referidas medidas, a saber: (i) o Estatuto do Desarmamento, cuja publicação ocorreu em 23 de dezembro de 2003, permitiu aos proprietários e possuidores de armas de fogo tanto a solicitação do registro quanto a entrega das armas no prazo de 18</w:t>
      </w:r>
    </w:p>
    <w:p>
      <w:pPr>
        <w:ind w:left="288"/>
      </w:pPr>
      <w:r>
        <w:rPr>
          <w:b/>
          <w:color w:val="003CA0"/>
          <w:sz w:val="16"/>
        </w:rPr>
        <w:t>[RE 768.494, rel. min. Luiz Fux, j. 19-9-2013, P, DJE de 8-4-2014, Tema 650, com mérito julgado.]</w:t>
      </w:r>
    </w:p>
    <w:p>
      <w:pPr>
        <w:ind w:left="288"/>
      </w:pPr>
      <w:r>
        <w:rPr>
          <w:color w:val="8C8C8C"/>
          <w:sz w:val="12"/>
        </w:rPr>
        <w:t>cf-art-5-inc-XL</w:t>
      </w:r>
      <w:r>
        <w:rPr>
          <w:color w:val="003CA0"/>
          <w:sz w:val="12"/>
        </w:rPr>
        <w:t xml:space="preserve"> | HC 96.168</w:t>
      </w:r>
      <w:r>
        <w:rPr>
          <w:color w:val="003CA0"/>
          <w:sz w:val="12"/>
        </w:rPr>
        <w:t xml:space="preserve"> | rel. Eros Grau</w:t>
      </w:r>
    </w:p>
    <w:p>
      <w:pPr>
        <w:ind w:left="288"/>
      </w:pPr>
      <w:r>
        <w:rPr>
          <w:color w:val="1E1E1E"/>
          <w:sz w:val="18"/>
        </w:rPr>
        <w:t>= HC 96.168, rel. min. Eros Grau, j. 9-12-2008, 2ª T, DJE de 14-8-2009 A Lei 11.464/2007, que majorou o tempo necessário a progredir-se no cumprimento da pena, não se aplica a situações jurídicas que retratem crime cometido em momento anterior à respectiva vigência.</w:t>
      </w:r>
    </w:p>
    <w:p>
      <w:pPr>
        <w:ind w:left="288"/>
      </w:pPr>
      <w:r>
        <w:rPr>
          <w:b/>
          <w:color w:val="003CA0"/>
          <w:sz w:val="16"/>
        </w:rPr>
        <w:t>[RE 579.167, rel. min. Marco Aurélio, j. 16-5-2013, P, DJE de 18-10-2013, Tema 59, com mérito julgado.]</w:t>
      </w:r>
    </w:p>
    <w:p>
      <w:pPr>
        <w:ind w:left="288"/>
      </w:pPr>
      <w:r>
        <w:rPr>
          <w:color w:val="8C8C8C"/>
          <w:sz w:val="12"/>
        </w:rPr>
        <w:t>cf-art-5-inc-XL</w:t>
      </w:r>
      <w:r>
        <w:rPr>
          <w:color w:val="003CA0"/>
          <w:sz w:val="12"/>
        </w:rPr>
        <w:t xml:space="preserve"> | HC 185.913</w:t>
      </w:r>
      <w:r>
        <w:rPr>
          <w:color w:val="003CA0"/>
          <w:sz w:val="12"/>
        </w:rPr>
        <w:t xml:space="preserve"> | rel. Gilmar Mendes</w:t>
      </w:r>
    </w:p>
    <w:p>
      <w:pPr>
        <w:ind w:left="288"/>
      </w:pPr>
      <w:r>
        <w:rPr>
          <w:color w:val="1E1E1E"/>
          <w:sz w:val="18"/>
        </w:rPr>
        <w:t>“1. Compete ao membro do Ministério Público oficiante, motivadamente e no exercício do seu poder-dever, avaliar o preenchimento dos requisitos para negociação e celebração do ANPP, sem prejuízo do regular exercício dos controles jurisdicional e interno; 2. É cabível a celebração de Acordo de Não Persecução Penal em casos de processos em andamento quando da entrada em vigência da Lei nº 13.964, de 2019, mesmo se ausente confissão do réu até aquele momento, desde que o pedido tenha sido feito antes do trânsito em julgado; 3. Nos processos penais em andamento na data da proclamação do resultado d</w:t>
      </w:r>
    </w:p>
    <w:p>
      <w:pPr>
        <w:ind w:left="288"/>
      </w:pPr>
      <w:r>
        <w:rPr>
          <w:b/>
          <w:color w:val="003CA0"/>
          <w:sz w:val="16"/>
        </w:rPr>
        <w:t>[HC 185.913, rel. min. Gilmar Mendes, j. 18.09.2024, P, DJE de 19.11.2024.]</w:t>
      </w:r>
    </w:p>
    <w:p>
      <w:pPr>
        <w:ind w:left="288"/>
      </w:pPr>
      <w:r>
        <w:rPr>
          <w:color w:val="8C8C8C"/>
          <w:sz w:val="12"/>
        </w:rPr>
        <w:t>cf-art-5-inc-XL</w:t>
      </w:r>
      <w:r>
        <w:rPr>
          <w:color w:val="003CA0"/>
          <w:sz w:val="12"/>
        </w:rPr>
        <w:t xml:space="preserve"> | HC 208.817</w:t>
      </w:r>
      <w:r>
        <w:rPr>
          <w:color w:val="003CA0"/>
          <w:sz w:val="12"/>
        </w:rPr>
        <w:t xml:space="preserve"> | rel. Cármen Lúcia</w:t>
      </w:r>
    </w:p>
    <w:p>
      <w:pPr>
        <w:ind w:left="288"/>
      </w:pPr>
      <w:r>
        <w:rPr>
          <w:color w:val="1E1E1E"/>
          <w:sz w:val="18"/>
        </w:rPr>
        <w:t>No § 5º do art. 171 do Código Penal se incluiu nova condição de procedibilidade para a ação penal nos crimes de estelionato que não digam respeito à Administração Pública ou a vítimas vulneráveis especificadas em seus incisos. A norma processual, entretanto, é de natureza híbrida. Repercute diretamente na causa de extinção da punibilidade prevista no inc. IV do art. 107 c/c art. 103 do Código Penal. (...) Há que se ter em conta, pois, as razões de política criminal que motivaram a alteração legislativa e que se põem no sentido de se dotar de maior amplitude a retroatividade da nova norma posta</w:t>
      </w:r>
    </w:p>
    <w:p>
      <w:pPr>
        <w:ind w:left="288"/>
      </w:pPr>
      <w:r>
        <w:rPr>
          <w:b/>
          <w:color w:val="003CA0"/>
          <w:sz w:val="16"/>
        </w:rPr>
        <w:t>[HC 208.817 AgR, voto da rel. min. Cármen Lúcia, j. 13-4-2023, P, DJE de 2-5-2023.]</w:t>
      </w:r>
    </w:p>
    <w:p>
      <w:pPr>
        <w:ind w:left="288"/>
      </w:pPr>
      <w:r>
        <w:rPr>
          <w:color w:val="8C8C8C"/>
          <w:sz w:val="12"/>
        </w:rPr>
        <w:t>cf-art-5-inc-XL</w:t>
      </w:r>
      <w:r>
        <w:rPr>
          <w:color w:val="003CA0"/>
          <w:sz w:val="12"/>
        </w:rPr>
        <w:t xml:space="preserve"> | HC 220.249</w:t>
      </w:r>
      <w:r>
        <w:rPr>
          <w:color w:val="003CA0"/>
          <w:sz w:val="12"/>
        </w:rPr>
        <w:t xml:space="preserve"> | rel. Edson Fachin</w:t>
      </w:r>
    </w:p>
    <w:p>
      <w:pPr>
        <w:ind w:left="288"/>
      </w:pPr>
      <w:r>
        <w:rPr>
          <w:color w:val="1E1E1E"/>
          <w:sz w:val="18"/>
        </w:rPr>
        <w:t>A expressão “lei penal” contida no art. 5º, inciso XL, da Constituição Federal é de ser interpretada como gênero, de maneira a abranger tanto leis penais em sentido estrito quanto leis penais processuais que disciplinam o exercício da pretensão punitiva do Estado ou que interferem diretamente no status libertatis do indivíduo. O art. 28-A do Código de Processo Penal, acrescido pela Lei 13.964/2019, é norma de conteúdo processual-penal ou híbrido, porque consiste em medida despenalizadora, que atinge a própria pretensão punitiva estatal. Conforme explicita a lei, o cumprimento integral do acord</w:t>
      </w:r>
    </w:p>
    <w:p>
      <w:pPr>
        <w:ind w:left="288"/>
      </w:pPr>
      <w:r>
        <w:rPr>
          <w:b/>
          <w:color w:val="003CA0"/>
          <w:sz w:val="16"/>
        </w:rPr>
        <w:t>[HC 220.249, rel. min. Edson Fachin, j. 19-12-2022, 2ª T, DJE de 6-2-2023.]</w:t>
      </w:r>
    </w:p>
    <w:p>
      <w:pPr>
        <w:ind w:left="288"/>
      </w:pPr>
      <w:r>
        <w:rPr>
          <w:color w:val="8C8C8C"/>
          <w:sz w:val="12"/>
        </w:rPr>
        <w:t>cf-art-5-inc-XL</w:t>
      </w:r>
      <w:r>
        <w:rPr>
          <w:color w:val="003CA0"/>
          <w:sz w:val="12"/>
        </w:rPr>
        <w:t xml:space="preserve"> | HC 122.213</w:t>
      </w:r>
      <w:r>
        <w:rPr>
          <w:color w:val="003CA0"/>
          <w:sz w:val="12"/>
        </w:rPr>
        <w:t xml:space="preserve"> | rel. Ricardo Lewandowski</w:t>
      </w:r>
    </w:p>
    <w:p>
      <w:pPr>
        <w:ind w:left="288"/>
      </w:pPr>
      <w:r>
        <w:rPr>
          <w:color w:val="1E1E1E"/>
          <w:sz w:val="18"/>
        </w:rPr>
        <w:t>(...) o princípio da insignificância deve ser aplicado ao delito de descaminho quando o valor sonegado for inferior ao estabelecido no art. 20 da Lei 10.522/2002, atualizado pelas Portarias 75/2012 e 130/2012 do Ministério da Fazenda, que, por se tratar de normas mais benéficas ao réu, devem ser imediatamente aplicadas, consoante o disposto no art. 5º, XL, da Carta Magna.</w:t>
      </w:r>
    </w:p>
    <w:p>
      <w:pPr>
        <w:ind w:left="288"/>
      </w:pPr>
      <w:r>
        <w:rPr>
          <w:b/>
          <w:color w:val="003CA0"/>
          <w:sz w:val="16"/>
        </w:rPr>
        <w:t>[HC 122.213, rel. min. Ricardo Lewandowski, j. 27-5-2014, 2ª T, DJE de 12-6-2014.]</w:t>
      </w:r>
    </w:p>
    <w:p>
      <w:pPr>
        <w:ind w:left="288"/>
      </w:pPr>
      <w:r>
        <w:rPr>
          <w:color w:val="8C8C8C"/>
          <w:sz w:val="12"/>
        </w:rPr>
        <w:t>cf-art-5-inc-XL</w:t>
      </w:r>
      <w:r>
        <w:rPr>
          <w:color w:val="003CA0"/>
          <w:sz w:val="12"/>
        </w:rPr>
        <w:t xml:space="preserve"> | RHC 109.847</w:t>
      </w:r>
      <w:r>
        <w:rPr>
          <w:color w:val="003CA0"/>
          <w:sz w:val="12"/>
        </w:rPr>
        <w:t xml:space="preserve"> | rel. Dias Toffoli</w:t>
      </w:r>
    </w:p>
    <w:p>
      <w:pPr>
        <w:ind w:left="288"/>
      </w:pPr>
      <w:r>
        <w:rPr>
          <w:color w:val="1E1E1E"/>
          <w:sz w:val="18"/>
        </w:rPr>
        <w:t>A nova redação conferida pela Lei 12.433/2011 ao art. 127 da LEP, limita ao patamar máximo de 1/3 a revogação do tempo a ser remido. Por se tratar de uma novatio legis in mellius, nada impede que ela retroaja para beneficiar o paciente no caso concreto. Princípio da retroatividade da lei penal menos gravosa.</w:t>
      </w:r>
    </w:p>
    <w:p>
      <w:pPr>
        <w:ind w:left="288"/>
      </w:pPr>
      <w:r>
        <w:rPr>
          <w:b/>
          <w:color w:val="003CA0"/>
          <w:sz w:val="16"/>
        </w:rPr>
        <w:t>[RHC 109.847, rel. min. Dias Toffoli, j. 22-11-2011, 1ª T, DJE de 6-12-2011.]</w:t>
      </w:r>
    </w:p>
    <w:p>
      <w:pPr>
        <w:ind w:left="288"/>
      </w:pPr>
      <w:r>
        <w:rPr>
          <w:color w:val="8C8C8C"/>
          <w:sz w:val="12"/>
        </w:rPr>
        <w:t>cf-art-5-inc-XL</w:t>
      </w:r>
      <w:r>
        <w:rPr>
          <w:color w:val="003CA0"/>
          <w:sz w:val="12"/>
        </w:rPr>
        <w:t xml:space="preserve"> | HC 110.636</w:t>
      </w:r>
      <w:r>
        <w:rPr>
          <w:color w:val="003CA0"/>
          <w:sz w:val="12"/>
        </w:rPr>
        <w:t xml:space="preserve"> | rel. Luiz Fux</w:t>
      </w:r>
    </w:p>
    <w:p>
      <w:pPr>
        <w:ind w:left="288"/>
      </w:pPr>
      <w:r>
        <w:rPr>
          <w:color w:val="1E1E1E"/>
          <w:sz w:val="18"/>
        </w:rPr>
        <w:t>= HC 110.636, rel. min. Luiz Fux, j. 6-3-2012, 1ª T, DJE de 21-3-2012 = HC 110.040, rel. min. Gilmar Mendes, j. 8-11-2011, 2ª T, DJE de 29-11-2011 A Lei 12.403/2011, na parte em que alterou o quantum da pena máxima para concessão de fiança, é nitidamente processual e por isso se aplica o princípio do tempus regit actum, não o da retroatividade da lei penal mais benéfica.</w:t>
      </w:r>
    </w:p>
    <w:p>
      <w:pPr>
        <w:ind w:left="288"/>
      </w:pPr>
      <w:r>
        <w:rPr>
          <w:b/>
          <w:color w:val="003CA0"/>
          <w:sz w:val="16"/>
        </w:rPr>
        <w:t>[ARE 644.850 ED, rel. min. Gilmar Mendes, j. 18-10-2011, 2ª T, DJE de 4-11-2011.]</w:t>
      </w:r>
    </w:p>
    <w:p>
      <w:pPr>
        <w:ind w:left="288"/>
      </w:pPr>
      <w:r>
        <w:rPr>
          <w:color w:val="8C8C8C"/>
          <w:sz w:val="12"/>
        </w:rPr>
        <w:t>cf-art-5-inc-XL</w:t>
      </w:r>
      <w:r>
        <w:rPr>
          <w:color w:val="003CA0"/>
          <w:sz w:val="12"/>
        </w:rPr>
        <w:t xml:space="preserve"> | HC 96.168</w:t>
      </w:r>
      <w:r>
        <w:rPr>
          <w:color w:val="003CA0"/>
          <w:sz w:val="12"/>
        </w:rPr>
        <w:t xml:space="preserve"> | rel. Eros Grau</w:t>
      </w:r>
    </w:p>
    <w:p>
      <w:pPr>
        <w:ind w:left="288"/>
      </w:pPr>
      <w:r>
        <w:rPr>
          <w:color w:val="1E1E1E"/>
          <w:sz w:val="18"/>
        </w:rPr>
        <w:t>O prazo de 180 dias previsto nos arts. 30 e 32 da Lei 10.826/2003 é para que os possuidores e proprietários de armas de fogo as regularizem ou as entreguem às autoridades. Somente as condutas típicas "possuir ou ser proprietário" foram abolidas temporariamente. Delito de posse de arma de fogo ocorrido anteriormente à vigência da lei que instituiu a abolitio criminis temporária. Não cabimento da pretensão de retroação de lei benéfica.</w:t>
      </w:r>
    </w:p>
    <w:p>
      <w:pPr>
        <w:ind w:left="288"/>
      </w:pPr>
      <w:r>
        <w:rPr>
          <w:b/>
          <w:color w:val="003CA0"/>
          <w:sz w:val="16"/>
        </w:rPr>
        <w:t>[HC 96.168, rel. min. Eros Grau, j. 9-12-2008, 2ª T, DJE de 14-8-2009.]</w:t>
      </w:r>
    </w:p>
    <w:p>
      <w:pPr>
        <w:ind w:left="288"/>
      </w:pPr>
      <w:r>
        <w:rPr>
          <w:color w:val="8C8C8C"/>
          <w:sz w:val="12"/>
        </w:rPr>
        <w:t>cf-art-5-inc-XL</w:t>
      </w:r>
      <w:r>
        <w:rPr>
          <w:color w:val="003CA0"/>
          <w:sz w:val="12"/>
        </w:rPr>
        <w:t xml:space="preserve"> | HC 98.180</w:t>
      </w:r>
      <w:r>
        <w:rPr>
          <w:color w:val="003CA0"/>
          <w:sz w:val="12"/>
        </w:rPr>
        <w:t xml:space="preserve"> | rel. Ricardo Lewandowski</w:t>
      </w:r>
    </w:p>
    <w:p>
      <w:pPr>
        <w:ind w:left="288"/>
      </w:pPr>
      <w:r>
        <w:rPr>
          <w:color w:val="1E1E1E"/>
          <w:sz w:val="18"/>
        </w:rPr>
        <w:t xml:space="preserve">= HC 98.180, rel. min. Ricardo Lewandowski, j. 29-6-2010, 1ª T, DJE de 20-8-2010 = RE 768.494, rel. min. Luiz Fux, j. 19-9-2013, P, DJE de 8-4-2014, Tema 650 Vide HC 97.881, voto do min. Gilmar Mendes, j. 31-8-2010, 2ª T, DJE de 24-9-2010 Tráfico de entorpecentes. Comercialização de "lança-perfume". Edição válida da Resolução/Anvisa 104/2000. (...) Abolitio criminis. Republicação da resolução. Irrelevância. Retroatividade da lei penal mais benéfica. (...) A edição, por autoridade competente e de acordo com as disposições regimentais, da Resolução/Anvisa 104, de 7-12-2000, retirou o cloreto de </w:t>
      </w:r>
    </w:p>
    <w:p>
      <w:pPr>
        <w:ind w:left="288"/>
      </w:pPr>
      <w:r>
        <w:rPr>
          <w:b/>
          <w:color w:val="003CA0"/>
          <w:sz w:val="16"/>
        </w:rPr>
        <w:t>[HC 94.397, rel. min. Cezar Peluso, j. 9-3-2010, 2ª T, DJE de 23-4-2010.]</w:t>
      </w:r>
    </w:p>
    <w:p>
      <w:pPr>
        <w:ind w:left="288"/>
      </w:pPr>
      <w:r>
        <w:rPr>
          <w:color w:val="8C8C8C"/>
          <w:sz w:val="12"/>
        </w:rPr>
        <w:t>cf-art-5-inc-XL</w:t>
      </w:r>
      <w:r>
        <w:rPr>
          <w:color w:val="003CA0"/>
          <w:sz w:val="12"/>
        </w:rPr>
        <w:t xml:space="preserve"> | HC 86.110</w:t>
      </w:r>
      <w:r>
        <w:rPr>
          <w:color w:val="003CA0"/>
          <w:sz w:val="12"/>
        </w:rPr>
        <w:t xml:space="preserve"> | rel. Cezar Peluso</w:t>
      </w:r>
    </w:p>
    <w:p>
      <w:pPr>
        <w:ind w:left="288"/>
      </w:pPr>
      <w:r>
        <w:rPr>
          <w:color w:val="1E1E1E"/>
          <w:sz w:val="18"/>
        </w:rPr>
        <w:t>Estupro e atentado violento ao pudor. (...) Crimes da mesma espécie. (...) Superveniência da Lei 12.015/2009. Retroatividade da lei penal mais benéfica. Art. 5º, XL, da CF. (...) A edição da Lei 12.015/2009 torna possível o reconhecimento da continuidade delitiva dos antigos delitos de estupro e atentado violento ao pudor, quando praticados nas mesmas circunstâncias de tempo, modo e local e contra a mesma vítima.</w:t>
      </w:r>
    </w:p>
    <w:p>
      <w:pPr>
        <w:ind w:left="288"/>
      </w:pPr>
      <w:r>
        <w:rPr>
          <w:b/>
          <w:color w:val="003CA0"/>
          <w:sz w:val="16"/>
        </w:rPr>
        <w:t>[HC 86.110, rel. min. Cezar Peluso, j. 2-3-2010, 2ª T, DJE de 23-4-2010.]</w:t>
      </w:r>
    </w:p>
    <w:p>
      <w:pPr>
        <w:ind w:left="288"/>
      </w:pPr>
      <w:r>
        <w:rPr>
          <w:color w:val="8C8C8C"/>
          <w:sz w:val="12"/>
        </w:rPr>
        <w:t>cf-art-5-inc-XL</w:t>
      </w:r>
      <w:r>
        <w:rPr>
          <w:color w:val="003CA0"/>
          <w:sz w:val="12"/>
        </w:rPr>
        <w:t xml:space="preserve"> | HC 102.199</w:t>
      </w:r>
      <w:r>
        <w:rPr>
          <w:color w:val="003CA0"/>
          <w:sz w:val="12"/>
        </w:rPr>
        <w:t xml:space="preserve"> | rel. Gilmar Mendes</w:t>
      </w:r>
    </w:p>
    <w:p>
      <w:pPr>
        <w:ind w:left="288"/>
      </w:pPr>
      <w:r>
        <w:rPr>
          <w:color w:val="1E1E1E"/>
          <w:sz w:val="18"/>
        </w:rPr>
        <w:t>= HC 102.199, rel. min. Gilmar Mendes, j. 31-8-2010, 2ª T, DJE de 24-9-2010 Vide HC 99.265, rel. min. Cezar Peluso, j. 2-3-2010, 2ª T, DJE de 23-4-2010 A fixação do regime inicial fechado de cumprimento de pena para os crimes hediondos decorre de expressa previsão legal. A Lei 11.464/2007, no que tange à alteração promovida na redação do art. 2º, § 1º, da Lei 8.072/1990, deve ter aplicação retroativa por ser considerada mais benéfica ao sentenciado.</w:t>
      </w:r>
    </w:p>
    <w:p>
      <w:pPr>
        <w:ind w:left="288"/>
      </w:pPr>
      <w:r>
        <w:rPr>
          <w:b/>
          <w:color w:val="003CA0"/>
          <w:sz w:val="16"/>
        </w:rPr>
        <w:t>[HC 97.984, rel. min. Ricardo Lewandowski, j. 17-11-2009, 1ª T, DJE de 18-12-2009.]</w:t>
      </w:r>
    </w:p>
    <w:p>
      <w:pPr>
        <w:ind w:left="288"/>
      </w:pPr>
      <w:r>
        <w:rPr>
          <w:color w:val="8C8C8C"/>
          <w:sz w:val="12"/>
        </w:rPr>
        <w:t>cf-art-5-inc-XL</w:t>
      </w:r>
      <w:r>
        <w:rPr>
          <w:color w:val="003CA0"/>
          <w:sz w:val="12"/>
        </w:rPr>
        <w:t xml:space="preserve"> | HC 91.360</w:t>
      </w:r>
      <w:r>
        <w:rPr>
          <w:color w:val="003CA0"/>
          <w:sz w:val="12"/>
        </w:rPr>
        <w:t xml:space="preserve"> | rel. Joaquim Barbosa</w:t>
      </w:r>
    </w:p>
    <w:p>
      <w:pPr>
        <w:ind w:left="288"/>
      </w:pPr>
      <w:r>
        <w:rPr>
          <w:color w:val="1E1E1E"/>
          <w:sz w:val="18"/>
        </w:rPr>
        <w:t>= HC 91.360, rel. min. Joaquim Barbosa, j. 13-5-2009, 2ª T, DJE de 20-6-2009 Indulto e comutação de pena. Crimes hediondos (...). A vedação de benefícios prevista no Decreto 4.011/2001 àqueles que tenham cometido crime definido na Lei 8.072/1990 como hediondo remete à data em que foi praticado, ante o princípio constitucional da irretroatividade da lei penal mais gravosa.</w:t>
      </w:r>
    </w:p>
    <w:p>
      <w:pPr>
        <w:ind w:left="288"/>
      </w:pPr>
      <w:r>
        <w:rPr>
          <w:b/>
          <w:color w:val="003CA0"/>
          <w:sz w:val="16"/>
        </w:rPr>
        <w:t>[RE 452.991, rel. min. Marco Aurélio, j. 7-4-2009, 1ª T, DJE de 21-8-2009.]</w:t>
      </w:r>
    </w:p>
    <w:p>
      <w:pPr>
        <w:ind w:left="288"/>
      </w:pPr>
      <w:r>
        <w:rPr>
          <w:color w:val="8C8C8C"/>
          <w:sz w:val="12"/>
        </w:rPr>
        <w:t>cf-art-5-inc-XL</w:t>
      </w:r>
      <w:r>
        <w:rPr>
          <w:color w:val="003CA0"/>
          <w:sz w:val="12"/>
        </w:rPr>
        <w:t xml:space="preserve"> | RE 607.666</w:t>
      </w:r>
      <w:r>
        <w:rPr>
          <w:color w:val="003CA0"/>
          <w:sz w:val="12"/>
        </w:rPr>
        <w:t xml:space="preserve"> | rel. Cármen Lúcia</w:t>
      </w:r>
    </w:p>
    <w:p>
      <w:pPr>
        <w:ind w:left="288"/>
      </w:pPr>
      <w:r>
        <w:rPr>
          <w:color w:val="1E1E1E"/>
          <w:sz w:val="18"/>
        </w:rPr>
        <w:t>= RE 607.666 AgR, rel. min. Cármen Lúcia, j. 1º-2-2011, 1ª T, DJE de 23-2-2011 = HC 104.817, rel. min. Gilmar Mendes, j. 23-11-2010, 2ª T, DJE de 14-12-2010 A exigência de depósito prévio como requisito de admissibilidade de recurso administrativo – assunto de indiscutível relevância econômica, social e jurídica – já teve a sua inconstitucionalidade reconhecida por esta Corte, no julgamento do RE 388.359, do RE 389.383 e do RE 390.513, todos de relatoria do eminente ministro Marco Aurélio</w:t>
      </w:r>
    </w:p>
    <w:p>
      <w:pPr>
        <w:ind w:left="288"/>
      </w:pPr>
      <w:r>
        <w:rPr>
          <w:b/>
          <w:color w:val="003CA0"/>
          <w:sz w:val="16"/>
        </w:rPr>
        <w:t>[AI 698.626 QO-RG, rel. min. Ellen Gracie, j. 2-10-2008, P, DJE de 5-12-2008.]</w:t>
      </w:r>
    </w:p>
    <w:p>
      <w:pPr>
        <w:ind w:left="288"/>
      </w:pPr>
      <w:r>
        <w:rPr>
          <w:color w:val="8C8C8C"/>
          <w:sz w:val="12"/>
        </w:rPr>
        <w:t>cf-art-5-inc-XL</w:t>
      </w:r>
      <w:r>
        <w:rPr>
          <w:color w:val="003CA0"/>
          <w:sz w:val="12"/>
        </w:rPr>
        <w:t xml:space="preserve"> | ADPF 156</w:t>
      </w:r>
      <w:r>
        <w:rPr>
          <w:color w:val="003CA0"/>
          <w:sz w:val="12"/>
        </w:rPr>
        <w:t xml:space="preserve"> | rel. Cármen Lúcia</w:t>
      </w:r>
    </w:p>
    <w:p>
      <w:pPr>
        <w:ind w:left="288"/>
      </w:pPr>
      <w:r>
        <w:rPr>
          <w:color w:val="1E1E1E"/>
          <w:sz w:val="18"/>
        </w:rPr>
        <w:t>Vide ADPF 156, rel. min. Cármen Lúcia, j. 18-8-2011, P, DJE de 28-10-2011 O sistema constitucional brasileiro impede que se apliquem leis penais supervenientes mais gravosas, como aquelas que afastam a incidência de causas extintivas da punibilidade sobre fatos delituosos cometidos em momento anterior ao da edição da lex gravior. A eficácia ultrativa da norma penal mais benéfica – sob cuja égide foi praticado o fato delituoso – deve prevalecer por efeito do que prescreve o art. 5º, XL, da Constituição, sempre que, ocorrendo sucessão de leis penais no tempo, constatar-se que o diploma legislati</w:t>
      </w:r>
    </w:p>
    <w:p>
      <w:pPr>
        <w:ind w:left="288"/>
      </w:pPr>
      <w:r>
        <w:rPr>
          <w:b/>
          <w:color w:val="003CA0"/>
          <w:sz w:val="16"/>
        </w:rPr>
        <w:t>[HC 90.140, rel. min. Celso de Mello, j. 11-3-2008, 2ª T, DJE de 17-10-2008.]</w:t>
      </w:r>
    </w:p>
    <w:p>
      <w:pPr>
        <w:ind w:left="288"/>
      </w:pPr>
      <w:r>
        <w:rPr>
          <w:color w:val="8C8C8C"/>
          <w:sz w:val="12"/>
        </w:rPr>
        <w:t>cf-art-5-inc-XL</w:t>
      </w:r>
      <w:r>
        <w:rPr>
          <w:color w:val="003CA0"/>
          <w:sz w:val="12"/>
        </w:rPr>
        <w:t xml:space="preserve"> | HC 100.882</w:t>
      </w:r>
      <w:r>
        <w:rPr>
          <w:color w:val="003CA0"/>
          <w:sz w:val="12"/>
        </w:rPr>
        <w:t xml:space="preserve"> | rel. Ricardo Lewandowski</w:t>
      </w:r>
    </w:p>
    <w:p>
      <w:pPr>
        <w:ind w:left="288"/>
      </w:pPr>
      <w:r>
        <w:rPr>
          <w:color w:val="1E1E1E"/>
          <w:sz w:val="18"/>
        </w:rPr>
        <w:t>= HC 100.882, rel. min. Ricardo Lewandowski, j. 25-5-2010, 1ª T, DJE de 25-6-2010 Suspensão de direitos políticos pela condenação criminal: direito intertemporal. À incidência da regra do art. 15, III, da Constituição, sobre os condenados na sua vigência, não cabe opor a circunstância de ser o fato criminoso anterior à promulgação dela a fim de invocar a garantia da irretroatividade da lei penal mais severa: cuidando-se de norma originária da Constituição, obviamente não lhe são oponíveis as limitações materiais que nela se impuseram ao poder de reforma constitucional.</w:t>
      </w:r>
    </w:p>
    <w:p>
      <w:pPr>
        <w:ind w:left="288"/>
      </w:pPr>
      <w:r>
        <w:rPr>
          <w:b/>
          <w:color w:val="003CA0"/>
          <w:sz w:val="16"/>
        </w:rPr>
        <w:t>[RE 418.876, rel. min. Sepúlveda Pertence, j. 30-3-2004, 1ª T, DJ de 4-6-2004.]</w:t>
      </w:r>
    </w:p>
    <w:p>
      <w:pPr>
        <w:ind w:left="288"/>
      </w:pPr>
      <w:r>
        <w:rPr>
          <w:color w:val="8C8C8C"/>
          <w:sz w:val="12"/>
        </w:rPr>
        <w:t>cf-art-5-inc-XL</w:t>
      </w:r>
      <w:r>
        <w:rPr>
          <w:color w:val="003CA0"/>
          <w:sz w:val="12"/>
        </w:rPr>
        <w:t xml:space="preserve"> | RE 395.269</w:t>
      </w:r>
      <w:r>
        <w:rPr>
          <w:color w:val="003CA0"/>
          <w:sz w:val="12"/>
        </w:rPr>
        <w:t xml:space="preserve"> | rel. Gilmar Mendes</w:t>
      </w:r>
    </w:p>
    <w:p>
      <w:pPr>
        <w:ind w:left="288"/>
      </w:pPr>
      <w:r>
        <w:rPr>
          <w:color w:val="1E1E1E"/>
          <w:sz w:val="18"/>
        </w:rPr>
        <w:t>Não retroatividade da lei mais benigna para alcançar pena já cumprida.</w:t>
      </w:r>
    </w:p>
    <w:p>
      <w:pPr>
        <w:ind w:left="288"/>
      </w:pPr>
      <w:r>
        <w:rPr>
          <w:b/>
          <w:color w:val="003CA0"/>
          <w:sz w:val="16"/>
        </w:rPr>
        <w:t>[RE 395.269 AgR, rel. min. Gilmar Mendes, j. 10-2-2004, 2ª T, DJ de 5-3-2004.]</w:t>
      </w:r>
    </w:p>
    <w:p>
      <w:pPr>
        <w:ind w:left="288"/>
      </w:pPr>
      <w:r>
        <w:rPr>
          <w:color w:val="8C8C8C"/>
          <w:sz w:val="12"/>
        </w:rPr>
        <w:t>cf-art-5-inc-XL</w:t>
      </w:r>
      <w:r>
        <w:rPr>
          <w:color w:val="003CA0"/>
          <w:sz w:val="12"/>
        </w:rPr>
        <w:t xml:space="preserve"> | EXT 864</w:t>
      </w:r>
      <w:r>
        <w:rPr>
          <w:color w:val="003CA0"/>
          <w:sz w:val="12"/>
        </w:rPr>
        <w:t xml:space="preserve"> | rel. Sepúlveda Pertence</w:t>
      </w:r>
    </w:p>
    <w:p>
      <w:pPr>
        <w:ind w:left="288"/>
      </w:pPr>
      <w:r>
        <w:rPr>
          <w:color w:val="1E1E1E"/>
          <w:sz w:val="18"/>
        </w:rPr>
        <w:t>Extradição: lei ou tratado: aplicabilidade imediata. As normas extradicionais, legais ou convencionais, não constituem lei penal, não incidindo, em consequência, a vedação constitucional de aplicação a fato anterior da legislação penal menos favorável.</w:t>
      </w:r>
    </w:p>
    <w:p>
      <w:pPr>
        <w:ind w:left="288"/>
      </w:pPr>
      <w:r>
        <w:rPr>
          <w:b/>
          <w:color w:val="003CA0"/>
          <w:sz w:val="16"/>
        </w:rPr>
        <w:t>[Ext 864, rel. min. Sepúlveda Pertence, j. 18-6-2003, P, DJ de 29-8-2003.]</w:t>
      </w:r>
    </w:p>
    <w:p>
      <w:pPr>
        <w:ind w:left="288"/>
      </w:pPr>
      <w:r>
        <w:rPr>
          <w:color w:val="8C8C8C"/>
          <w:sz w:val="12"/>
        </w:rPr>
        <w:t>cf-art-5-inc-XL</w:t>
      </w:r>
      <w:r>
        <w:rPr>
          <w:color w:val="003CA0"/>
          <w:sz w:val="12"/>
        </w:rPr>
        <w:t xml:space="preserve"> | HC 74.132</w:t>
      </w:r>
      <w:r>
        <w:rPr>
          <w:color w:val="003CA0"/>
          <w:sz w:val="12"/>
        </w:rPr>
        <w:t xml:space="preserve"> | rel. Sydney Sanches</w:t>
      </w:r>
    </w:p>
    <w:p>
      <w:pPr>
        <w:ind w:left="288"/>
      </w:pPr>
      <w:r>
        <w:rPr>
          <w:color w:val="1E1E1E"/>
          <w:sz w:val="18"/>
        </w:rPr>
        <w:t>Precedentes do Plenário e das Turmas têm proclamado que os decretos com benefícios coletivos de indulto e comutação podem favorecer os condenados por certos delitos e excluir os condenados por outros. Essa exclusão pode fazer-se com a simples referência aos crimes que a lei classifica como hediondos (Lei 8.072, de 1990). A alusão, no decreto presidencial de indulto e comutação de penas, aos crimes hediondos, assim considerados na Lei 8.072, de 25-7-1990, modificada pela Lei 8.930, de 6-9-1994, foi uma forma simplificada de referir-se a cada um deles (inclusive o de latrocínio), para excluí-los</w:t>
      </w:r>
    </w:p>
    <w:p>
      <w:pPr>
        <w:ind w:left="288"/>
      </w:pPr>
      <w:r>
        <w:rPr>
          <w:b/>
          <w:color w:val="003CA0"/>
          <w:sz w:val="16"/>
        </w:rPr>
        <w:t>[HC 74.132, rel. min. Sydney Sanches, j. 22-8-1996, P, DJ de 27-9-1996.]</w:t>
      </w:r>
    </w:p>
    <w:p>
      <w:pPr>
        <w:ind w:left="288"/>
      </w:pPr>
      <w:r>
        <w:rPr>
          <w:color w:val="8C8C8C"/>
          <w:sz w:val="12"/>
        </w:rPr>
        <w:t>cf-art-5-inc-XL</w:t>
      </w:r>
      <w:r>
        <w:rPr>
          <w:color w:val="003CA0"/>
          <w:sz w:val="12"/>
        </w:rPr>
        <w:t xml:space="preserve"> | HC 81.810</w:t>
      </w:r>
      <w:r>
        <w:rPr>
          <w:color w:val="003CA0"/>
          <w:sz w:val="12"/>
        </w:rPr>
        <w:t xml:space="preserve"> | rel. Cezar Peluso</w:t>
      </w:r>
    </w:p>
    <w:p>
      <w:pPr>
        <w:ind w:left="288"/>
      </w:pPr>
      <w:r>
        <w:rPr>
          <w:color w:val="1E1E1E"/>
          <w:sz w:val="18"/>
        </w:rPr>
        <w:t>= HC 81.810, rel. min. Cezar Peluso, j. 16-4-2009, P, DJE de 7-8-2009 Vide HC 101.238, rel. min. Eros Grau, j. 2-2-2010, 2ª T, DJE de 21-5-2010 Vide RE 452.991, rel. min. Marco Aurélio, j. 7-4-2009, 1ª T, DJE de 21-8-2009 A cláusula constitucional inscrita no art. 5º, XL, da Carta Política – que consagra o princípio da irretroatividade da lex gravior – incide, no âmbito de sua aplicabilidade, unicamente, sobre as normas de direito penal material, que, no plano da tipificação, ou no da definição das penas aplicáveis, ou no da disciplinação do seu modo de execução, ou, ainda, no do reconheciment</w:t>
      </w:r>
    </w:p>
    <w:p>
      <w:pPr>
        <w:ind w:left="288"/>
      </w:pPr>
      <w:r>
        <w:rPr>
          <w:b/>
          <w:color w:val="003CA0"/>
          <w:sz w:val="16"/>
        </w:rPr>
        <w:t>[AI 177.313 AgR-ED, rel. min. Celso de Mello, j. 18-6-1996, 1ª T, DJ de 13-9-1996.]</w:t>
      </w:r>
    </w:p>
    <w:p>
      <w:pPr>
        <w:ind w:left="288"/>
      </w:pPr>
      <w:r>
        <w:rPr>
          <w:color w:val="8C8C8C"/>
          <w:sz w:val="12"/>
        </w:rPr>
        <w:t>cf-art-5-inc-XL</w:t>
      </w:r>
      <w:r>
        <w:rPr>
          <w:color w:val="003CA0"/>
          <w:sz w:val="12"/>
        </w:rPr>
        <w:t xml:space="preserve"> | HC 70.641</w:t>
      </w:r>
      <w:r>
        <w:rPr>
          <w:color w:val="003CA0"/>
          <w:sz w:val="12"/>
        </w:rPr>
        <w:t xml:space="preserve"> | rel. Sepúlveda Pertence</w:t>
      </w:r>
    </w:p>
    <w:p>
      <w:pPr>
        <w:ind w:left="288"/>
      </w:pPr>
      <w:r>
        <w:rPr>
          <w:color w:val="1E1E1E"/>
          <w:sz w:val="18"/>
        </w:rPr>
        <w:t>Lei penal: retroatividade in melius: inteligência. Lei superveniente, que atribuiu efeito extintivo da punibilidade de determinados crimes ao pagamento de tributos, desde que anterior ao recebimento da denúncia; inaplicabilidade ao pagamento só efetivado posteriormente ao recebimento da denúncia e, no caso, ao próprio trânsito em julgado da condenação. A retroatividade da lei penal mais favorável consiste basicamente em imputar as consequências jurídicas benéficas aos fatos nela previstos, embora ocorridos anteriormente à sua vigência, sem, contudo, poder fazer retroceder o próprio curso do te</w:t>
      </w:r>
    </w:p>
    <w:p>
      <w:pPr>
        <w:ind w:left="288"/>
      </w:pPr>
      <w:r>
        <w:rPr>
          <w:b/>
          <w:color w:val="003CA0"/>
          <w:sz w:val="16"/>
        </w:rPr>
        <w:t>[HC 70.641, rel. min. Sepúlveda Pertence, j. 10-5-1994, 1ª T, DJ de 26-8-1994.]</w:t>
      </w:r>
    </w:p>
    <w:p>
      <w:pPr>
        <w:ind w:left="288"/>
      </w:pPr>
      <w:r>
        <w:rPr>
          <w:color w:val="8C8C8C"/>
          <w:sz w:val="12"/>
        </w:rPr>
        <w:t>cf-art-5-inc-XL</w:t>
      </w:r>
      <w:r>
        <w:rPr>
          <w:color w:val="003CA0"/>
          <w:sz w:val="12"/>
        </w:rPr>
        <w:t xml:space="preserve"> | ADO 26</w:t>
      </w:r>
      <w:r>
        <w:rPr>
          <w:color w:val="003CA0"/>
          <w:sz w:val="12"/>
        </w:rPr>
        <w:t xml:space="preserve"> | rel. Celso de Mello</w:t>
      </w:r>
    </w:p>
    <w:p>
      <w:pPr>
        <w:ind w:left="288"/>
      </w:pPr>
      <w:r>
        <w:rPr>
          <w:color w:val="1E1E1E"/>
          <w:sz w:val="18"/>
        </w:rPr>
        <w:t>XLI - a lei punirá qualquer discriminação atentatória dos direitos e liberdades fundamentais; Até que sobrevenha lei emanada do Congresso Nacional destinada a implementar os mandados de criminalização definidos nos incisos XLI e XLII do art. 5º da Constituição da República, as condutas homofóbicas e transfóbicas, reais ou supostas, que envolvem aversão odiosa à orientação sexual ou à identidade de gênero de alguém, por traduzirem expressões de racismo, compreendido este em sua dimensão social, ajustam-se, por identidade de razão e mediante adequação típica, aos preceitos primários de incrimina</w:t>
      </w:r>
    </w:p>
    <w:p>
      <w:pPr>
        <w:ind w:left="288"/>
      </w:pPr>
      <w:r>
        <w:rPr>
          <w:b/>
          <w:color w:val="003CA0"/>
          <w:sz w:val="16"/>
        </w:rPr>
        <w:t>[ADO 26, rel. min. Celso de Mello, j. 13-6-2019, P, DJE de 6-10-2020.]</w:t>
      </w:r>
    </w:p>
    <w:p>
      <w:pPr>
        <w:ind w:left="288"/>
      </w:pPr>
      <w:r>
        <w:rPr>
          <w:color w:val="8C8C8C"/>
          <w:sz w:val="12"/>
        </w:rPr>
        <w:t>cf-art-5-inc-XL</w:t>
      </w:r>
      <w:r>
        <w:rPr>
          <w:color w:val="003CA0"/>
          <w:sz w:val="12"/>
        </w:rPr>
        <w:t xml:space="preserve"> | MI 4.733</w:t>
      </w:r>
      <w:r>
        <w:rPr>
          <w:color w:val="003CA0"/>
          <w:sz w:val="12"/>
        </w:rPr>
        <w:t xml:space="preserve"> | rel. Edson Fachin</w:t>
      </w:r>
    </w:p>
    <w:p>
      <w:pPr>
        <w:ind w:left="288"/>
      </w:pPr>
      <w:r>
        <w:rPr>
          <w:color w:val="1E1E1E"/>
          <w:sz w:val="18"/>
        </w:rPr>
        <w:t>= MI 4.733, rel. min. Edson Fachin, j. 13-6-2019, P, DJE de 29-9-2020 Vide MI 4.733 ED, rel. min. Edson Fachin, j. 22-8-2023, P, DJE de 11-9-2023 No tocante à violência doméstica, há de considerar-se a necessidade da intervenção estatal. (...) No caso presente, não bastasse a situação de notória desigualdade considerada a mulher, aspecto suficiente a legitimar o necessário tratamento normativo desigual, tem-se como base para assim se proceder a dignidade da pessoa humana – art. 1º, III –, o direito fundamental de igualdade – art. 5º, I – e a previsão pedagógica segundo a qual a lei punirá qual</w:t>
      </w:r>
    </w:p>
    <w:p>
      <w:pPr>
        <w:ind w:left="288"/>
      </w:pPr>
      <w:r>
        <w:rPr>
          <w:b/>
          <w:color w:val="003CA0"/>
          <w:sz w:val="16"/>
        </w:rPr>
        <w:t>[ADI 4.424, voto do min. Marco Aurélio, j. 9-2-2012, P, DJE de 1º-8-2014.]</w:t>
      </w:r>
    </w:p>
    <w:p>
      <w:pPr>
        <w:ind w:left="288"/>
      </w:pPr>
      <w:r>
        <w:rPr>
          <w:color w:val="8C8C8C"/>
          <w:sz w:val="12"/>
        </w:rPr>
        <w:t>cf-art-5-inc-XL</w:t>
      </w:r>
      <w:r>
        <w:rPr>
          <w:color w:val="003CA0"/>
          <w:sz w:val="12"/>
        </w:rPr>
        <w:t xml:space="preserve"> | MI 4.733</w:t>
      </w:r>
      <w:r>
        <w:rPr>
          <w:color w:val="003CA0"/>
          <w:sz w:val="12"/>
        </w:rPr>
        <w:t xml:space="preserve"> | rel. Edson Fachin</w:t>
      </w:r>
    </w:p>
    <w:p>
      <w:pPr>
        <w:ind w:left="288"/>
      </w:pPr>
      <w:r>
        <w:rPr>
          <w:color w:val="1E1E1E"/>
          <w:sz w:val="18"/>
        </w:rPr>
        <w:t>Mandado de injunção julgado procedente, para (i) reconhecer a mora inconstitucional do Congresso Nacional e; (ii) aplicar, até que o Congresso Nacional venha a legislar a respeito, a Lei 7.716/89 à discriminação por orientação sexual ou identidade de gênero. O crime de injúria racial reúne todos os elementos necessários à sua caracterização como uma das espécies de racismo e por ser espécie do gênero racismo, o crime de injúria racial é imprescritível. (...) Entendimento positivado pela Lei 14.532/2023. Tendo em vista que a injúria racial constitui uma espécie do crime de racismo, e que a disc</w:t>
      </w:r>
    </w:p>
    <w:p>
      <w:pPr>
        <w:ind w:left="288"/>
      </w:pPr>
      <w:r>
        <w:rPr>
          <w:b/>
          <w:color w:val="003CA0"/>
          <w:sz w:val="16"/>
        </w:rPr>
        <w:t>[MI 4.733 ED, rel. min. Edson Fachin, j. 22-8-2023, P, DJE de 11-9-2023.]</w:t>
      </w:r>
    </w:p>
    <w:p>
      <w:pPr>
        <w:ind w:left="288"/>
      </w:pPr>
      <w:r>
        <w:rPr>
          <w:color w:val="8C8C8C"/>
          <w:sz w:val="12"/>
        </w:rPr>
        <w:t>cf-art-5-inc-XL</w:t>
      </w:r>
      <w:r>
        <w:rPr>
          <w:color w:val="003CA0"/>
          <w:sz w:val="12"/>
        </w:rPr>
        <w:t xml:space="preserve"> | ADO 26</w:t>
      </w:r>
      <w:r>
        <w:rPr>
          <w:color w:val="003CA0"/>
          <w:sz w:val="12"/>
        </w:rPr>
        <w:t xml:space="preserve"> | rel. Celso de Mello</w:t>
      </w:r>
    </w:p>
    <w:p>
      <w:pPr>
        <w:ind w:left="288"/>
      </w:pPr>
      <w:r>
        <w:rPr>
          <w:color w:val="1E1E1E"/>
          <w:sz w:val="18"/>
        </w:rPr>
        <w:t xml:space="preserve">Vide ADO 26, rel. min. Celso de Mello, j. 13-6-2019, P, DJE de 6-10-2020 XLII - a prática do racismo constitui crime inafiançável e imprescritível, sujeito à pena de reclusão, nos termos da lei; Até que sobrevenha lei emanada do Congresso Nacional destinada a implementar os mandados de criminalização definidos nos incisos XLI e XLII do art. 5º da Constituição da República, as condutas homofóbicas e transfóbicas, reais ou supostas, que envolvem aversão odiosa à orientação sexual ou à identidade de gênero de alguém, por traduzirem expressões de racismo, compreendido este em sua dimensão social, </w:t>
      </w:r>
    </w:p>
    <w:p>
      <w:pPr>
        <w:ind w:left="288"/>
      </w:pPr>
      <w:r>
        <w:rPr>
          <w:b/>
          <w:color w:val="003CA0"/>
          <w:sz w:val="16"/>
        </w:rPr>
        <w:t>[ADO 26, rel. min. Celso de Mello, j. 13-6-2019, P, DJE de 6-10-2020.]</w:t>
      </w:r>
    </w:p>
    <w:p>
      <w:pPr>
        <w:ind w:left="288"/>
      </w:pPr>
      <w:r>
        <w:rPr>
          <w:color w:val="8C8C8C"/>
          <w:sz w:val="12"/>
        </w:rPr>
        <w:t>cf-art-5-inc-XL</w:t>
      </w:r>
      <w:r>
        <w:rPr>
          <w:color w:val="003CA0"/>
          <w:sz w:val="12"/>
        </w:rPr>
        <w:t xml:space="preserve"> | MI 4.733</w:t>
      </w:r>
      <w:r>
        <w:rPr>
          <w:color w:val="003CA0"/>
          <w:sz w:val="12"/>
        </w:rPr>
        <w:t xml:space="preserve"> | rel. Edson Fachin</w:t>
      </w:r>
    </w:p>
    <w:p>
      <w:pPr>
        <w:ind w:left="288"/>
      </w:pPr>
      <w:r>
        <w:rPr>
          <w:color w:val="1E1E1E"/>
          <w:sz w:val="18"/>
        </w:rPr>
        <w:t>= MI 4.733, rel. min. Edson Fachin, j. 13-6-2019, P, DJE de 29-9-2020 Vide MI 4.733 ED, rel. min. Edson Fachin, j. 22-8-2023, P, DJE de 11-9-2023 Mandado de injunção julgado procedente, para (i) reconhecer a mora inconstitucional do Congresso Nacional e; (ii) aplicar, até que o Congresso Nacional venha a legislar a respeito, a Lei 7.716/89 à discriminação por orientação sexual ou identidade de gênero. O crime de injúria racial reúne todos os elementos necessários à sua caracterização como uma das espécies de racismo e por ser espécie do gênero racismo, o crime de injúria racial é imprescritíve</w:t>
      </w:r>
    </w:p>
    <w:p>
      <w:pPr>
        <w:ind w:left="288"/>
      </w:pPr>
      <w:r>
        <w:rPr>
          <w:b/>
          <w:color w:val="003CA0"/>
          <w:sz w:val="16"/>
        </w:rPr>
        <w:t>[MI 4.733 ED, rel. min. Edson Fachin, j. 22-8-2023, P, DJE de 11-9-2023.]</w:t>
      </w:r>
    </w:p>
    <w:p>
      <w:pPr>
        <w:ind w:left="288"/>
      </w:pPr>
      <w:r>
        <w:rPr>
          <w:color w:val="8C8C8C"/>
          <w:sz w:val="12"/>
        </w:rPr>
        <w:t>cf-art-5-inc-XL</w:t>
      </w:r>
      <w:r>
        <w:rPr>
          <w:color w:val="003CA0"/>
          <w:sz w:val="12"/>
        </w:rPr>
        <w:t xml:space="preserve"> | ADO 26</w:t>
      </w:r>
      <w:r>
        <w:rPr>
          <w:color w:val="003CA0"/>
          <w:sz w:val="12"/>
        </w:rPr>
        <w:t xml:space="preserve"> | rel. Celso de Mello</w:t>
      </w:r>
    </w:p>
    <w:p>
      <w:pPr>
        <w:ind w:left="288"/>
      </w:pPr>
      <w:r>
        <w:rPr>
          <w:color w:val="1E1E1E"/>
          <w:sz w:val="18"/>
        </w:rPr>
        <w:t>Vide ADO 26, rel. min. Celso de Mello, j. 13-6-2019, P, DJE de 6-10-2020 Conforme assentou o STF, no julgamento da Ext 1.042, 19-12-2006, Pertence, a CF não proíbe a suspensão da prescrição, por prazo indeterminado, na hipótese do art. 366 do CPP. A indeterminação do prazo da suspensão não constitui, a rigor, hipótese de imprescritibilidade: não impede a retomada do curso da prescrição, apenas a condiciona a um evento futuro e incerto, situação substancialmente diversa da imprescritibilidade. Ademais, a CF se limita, no art. 5º, XLII e XLIV, a excluir os crimes que enumera da incidência materi</w:t>
      </w:r>
    </w:p>
    <w:p>
      <w:pPr>
        <w:ind w:left="288"/>
      </w:pPr>
      <w:r>
        <w:rPr>
          <w:b/>
          <w:color w:val="003CA0"/>
          <w:sz w:val="16"/>
        </w:rPr>
        <w:t>[RE 460.971, rel. min. Sepúlveda Pertence, j. 13-2-2007, 1ª T, DJ de 30-3-2007.]</w:t>
      </w:r>
    </w:p>
    <w:p>
      <w:pPr>
        <w:ind w:left="288"/>
      </w:pPr>
      <w:r>
        <w:rPr>
          <w:color w:val="8C8C8C"/>
          <w:sz w:val="12"/>
        </w:rPr>
        <w:t>cf-art-5-inc-XL</w:t>
      </w:r>
      <w:r>
        <w:rPr>
          <w:color w:val="003CA0"/>
          <w:sz w:val="12"/>
        </w:rPr>
        <w:t xml:space="preserve"> | HC 82.424</w:t>
      </w:r>
      <w:r>
        <w:rPr>
          <w:color w:val="003CA0"/>
          <w:sz w:val="12"/>
        </w:rPr>
        <w:t xml:space="preserve"> | rel. Moreira Alves</w:t>
      </w:r>
    </w:p>
    <w:p>
      <w:pPr>
        <w:ind w:left="288"/>
      </w:pPr>
      <w:r>
        <w:rPr>
          <w:color w:val="1E1E1E"/>
          <w:sz w:val="18"/>
        </w:rPr>
        <w:t>Escrever, editar, divulgar e comerciar livros "fazendo apologia de ideias preconceituosas e discriminatórias" contra a comunidade judaica (Lei 7.716/1989, art. 20, na redação dada pela Lei 8.081/1990) constitui crime de racismo sujeito às cláusulas de inafiançabilidade e imprescritibilidade (CF, art. 5º, XLII). Aplicação do princípio da prescritibilidade geral dos crimes: se os judeus não são uma raça, segue-se que contra eles não pode haver discriminação capaz de ensejar a exceção constitucional de imprescritibilidade. Inconsistência da premissa.</w:t>
      </w:r>
    </w:p>
    <w:p>
      <w:pPr>
        <w:ind w:left="288"/>
      </w:pPr>
      <w:r>
        <w:rPr>
          <w:b/>
          <w:color w:val="003CA0"/>
          <w:sz w:val="16"/>
        </w:rPr>
        <w:t>[HC 82.424, rel. min. Moreira Alves, red. do ac. min. Maurício Corrêa, j. 17-9-2003, P, DJ de 19-3-2004.]</w:t>
      </w:r>
    </w:p>
    <w:p>
      <w:pPr>
        <w:ind w:left="288"/>
      </w:pPr>
      <w:r>
        <w:rPr>
          <w:color w:val="8C8C8C"/>
          <w:sz w:val="12"/>
        </w:rPr>
        <w:t>cf-art-5-inc-XL</w:t>
      </w:r>
    </w:p>
    <w:p>
      <w:pPr>
        <w:ind w:left="288"/>
      </w:pPr>
      <w:r>
        <w:rPr>
          <w:color w:val="1E1E1E"/>
          <w:sz w:val="18"/>
        </w:rPr>
        <w:t>XLIII - a lei considerará crimes inafiançáveis e insuscetíveis de graça ou anistia a prática da tortura, o tráfico ilícito de entorpecentes e drogas afins, o terrorismo e os definidos como crimes hediondos, por eles respondendo os mandantes, os executores e os que, podendo evitá-los, se omitirem; Para efeito de progressão de regime no cumprimento de pena por crime hediondo, ou equiparado, o juízo da execução observará a inconstitucionalidade do art. 2º da Lei 8.072, de 25-7-1990, sem prejuízo de avaliar se o condenado preenche, ou não, os requisitos objetivos e subjetivos do benefício, podendo</w:t>
      </w:r>
    </w:p>
    <w:p>
      <w:pPr>
        <w:ind w:left="288"/>
      </w:pPr>
      <w:r>
        <w:rPr>
          <w:b/>
          <w:color w:val="003CA0"/>
          <w:sz w:val="16"/>
        </w:rPr>
        <w:t>[Súmula Vinculante 26.]</w:t>
      </w:r>
    </w:p>
    <w:p>
      <w:pPr>
        <w:ind w:left="288"/>
      </w:pPr>
      <w:r>
        <w:rPr>
          <w:color w:val="8C8C8C"/>
          <w:sz w:val="12"/>
        </w:rPr>
        <w:t>cf-art-5-inc-XL</w:t>
      </w:r>
      <w:r>
        <w:rPr>
          <w:color w:val="003CA0"/>
          <w:sz w:val="12"/>
        </w:rPr>
        <w:t xml:space="preserve"> | ADPF 153</w:t>
      </w:r>
      <w:r>
        <w:rPr>
          <w:color w:val="003CA0"/>
          <w:sz w:val="12"/>
        </w:rPr>
        <w:t xml:space="preserve"> | rel. Eros Grau</w:t>
      </w:r>
    </w:p>
    <w:p>
      <w:pPr>
        <w:ind w:left="288"/>
      </w:pPr>
      <w:r>
        <w:rPr>
          <w:color w:val="1E1E1E"/>
          <w:sz w:val="18"/>
        </w:rPr>
        <w:t>A chamada Lei da Anistia veicula uma decisão política assumida naquele momento – o momento da transição conciliada de 1979. A Lei 6.683 é uma lei-medida, não uma regra para o futuro, dotada de abstração e generalidade. Há de ser interpretada a partir da realidade no momento em que foi conquistada. A Lei 6.683/1979 precede a Convenção das Nações Unidas contra a Tortura e Outros Tratamentos ou Penas Cruéis, Desumanos ou Degradantes – adotada pela Assembleia Geral em 10-12-1984, vigorando desde 26-6-1987 – e a Lei 9.455, de 7-4-1997, que define o crime de tortura; e o preceito veiculado pelo art.</w:t>
      </w:r>
    </w:p>
    <w:p>
      <w:pPr>
        <w:ind w:left="288"/>
      </w:pPr>
      <w:r>
        <w:rPr>
          <w:b/>
          <w:color w:val="003CA0"/>
          <w:sz w:val="16"/>
        </w:rPr>
        <w:t>[ADPF 153, rel. min. Eros Grau, j. 29-4-2010, P, DJE de 6-8-2010.]</w:t>
      </w:r>
    </w:p>
    <w:p>
      <w:pPr>
        <w:ind w:left="288"/>
      </w:pPr>
      <w:r>
        <w:rPr>
          <w:color w:val="8C8C8C"/>
          <w:sz w:val="12"/>
        </w:rPr>
        <w:t>cf-art-5-inc-XL</w:t>
      </w:r>
      <w:r>
        <w:rPr>
          <w:color w:val="003CA0"/>
          <w:sz w:val="12"/>
        </w:rPr>
        <w:t xml:space="preserve"> | ADI 3.112</w:t>
      </w:r>
      <w:r>
        <w:rPr>
          <w:color w:val="003CA0"/>
          <w:sz w:val="12"/>
        </w:rPr>
        <w:t xml:space="preserve"> | rel. Ricardo Lewandowski</w:t>
      </w:r>
    </w:p>
    <w:p>
      <w:pPr>
        <w:ind w:left="288"/>
      </w:pPr>
      <w:r>
        <w:rPr>
          <w:color w:val="1E1E1E"/>
          <w:sz w:val="18"/>
        </w:rPr>
        <w:t>Lei 10.826/2003. Estatuto do desarmamento. (...) A proibição de estabelecimento de fiança para os delitos de "porte ilegal de arma de fogo de uso permitido" e de "disparo de arma de fogo" mostra-se desarrazoada, porquanto são crimes de mera conduta, que não se equiparam aos crimes que acarretam lesão ou ameaça de lesão à vida ou à propriedade.</w:t>
      </w:r>
    </w:p>
    <w:p>
      <w:pPr>
        <w:ind w:left="288"/>
      </w:pPr>
      <w:r>
        <w:rPr>
          <w:b/>
          <w:color w:val="003CA0"/>
          <w:sz w:val="16"/>
        </w:rPr>
        <w:t>[ADI 3.112, rel. min. Ricardo Lewandowski, j. 2-5-2007, P, DJ de 26-10-2007.]</w:t>
      </w:r>
    </w:p>
    <w:p>
      <w:pPr>
        <w:ind w:left="288"/>
      </w:pPr>
      <w:r>
        <w:rPr>
          <w:color w:val="8C8C8C"/>
          <w:sz w:val="12"/>
        </w:rPr>
        <w:t>cf-art-5-inc-XL</w:t>
      </w:r>
      <w:r>
        <w:rPr>
          <w:color w:val="003CA0"/>
          <w:sz w:val="12"/>
        </w:rPr>
        <w:t xml:space="preserve"> | ADI 2.795</w:t>
      </w:r>
      <w:r>
        <w:rPr>
          <w:color w:val="003CA0"/>
          <w:sz w:val="12"/>
        </w:rPr>
        <w:t xml:space="preserve"> | rel. Maurício Corrêa</w:t>
      </w:r>
    </w:p>
    <w:p>
      <w:pPr>
        <w:ind w:left="288"/>
      </w:pPr>
      <w:r>
        <w:rPr>
          <w:color w:val="1E1E1E"/>
          <w:sz w:val="18"/>
        </w:rPr>
        <w:t>A concessão de indulto aos condenados a penas privativas de liberdade insere-se no exercício do poder discricionário do presidente da República, limitado à vedação prevista no inciso XLIII do art. 5º da Carta da República. A outorga do benefício, precedido das cautelas devidas, não pode ser obstado por hipotética alegação de ameaça à segurança social, que tem como parâmetro simplesmente o montante da pena aplicada. Revela-se inconstitucional a possibilidade de que o indulto seja concedido aos condenados por crimes hediondos, de tortura, terrorismo ou tráfico ilícito de entorpecentes e drogas a</w:t>
      </w:r>
    </w:p>
    <w:p>
      <w:pPr>
        <w:ind w:left="288"/>
      </w:pPr>
      <w:r>
        <w:rPr>
          <w:b/>
          <w:color w:val="003CA0"/>
          <w:sz w:val="16"/>
        </w:rPr>
        <w:t>[ADI 2.795 MC, rel. min. Maurício Corrêa, j. 8-5-2003, P, DJ de 20-6-2003.]</w:t>
      </w:r>
    </w:p>
    <w:p>
      <w:pPr>
        <w:ind w:left="288"/>
      </w:pPr>
      <w:r>
        <w:rPr>
          <w:color w:val="8C8C8C"/>
          <w:sz w:val="12"/>
        </w:rPr>
        <w:t>cf-art-5-inc-XL</w:t>
      </w:r>
      <w:r>
        <w:rPr>
          <w:color w:val="003CA0"/>
          <w:sz w:val="12"/>
        </w:rPr>
        <w:t xml:space="preserve"> | RE 1.542.482</w:t>
      </w:r>
      <w:r>
        <w:rPr>
          <w:color w:val="003CA0"/>
          <w:sz w:val="12"/>
        </w:rPr>
        <w:t xml:space="preserve"> | rel. Luís Roberto Barroso</w:t>
      </w:r>
    </w:p>
    <w:p>
      <w:pPr>
        <w:ind w:left="288"/>
      </w:pPr>
      <w:r>
        <w:rPr>
          <w:color w:val="1E1E1E"/>
          <w:sz w:val="18"/>
        </w:rPr>
        <w:t>“É constitucional a concessão de indulto a condenado por tráfico privilegiado, uma vez que o crime não tem natureza hedionda”.</w:t>
      </w:r>
    </w:p>
    <w:p>
      <w:pPr>
        <w:ind w:left="288"/>
      </w:pPr>
      <w:r>
        <w:rPr>
          <w:b/>
          <w:color w:val="003CA0"/>
          <w:sz w:val="16"/>
        </w:rPr>
        <w:t>[RE 1.542.482 RG, rel. min. Luís Roberto Barroso, j. 30.05.2025, P, DJE de 09.06.2025, Tema 1.400, com mérito julgado.]</w:t>
      </w:r>
    </w:p>
    <w:p>
      <w:pPr>
        <w:ind w:left="288"/>
      </w:pPr>
      <w:r>
        <w:rPr>
          <w:color w:val="8C8C8C"/>
          <w:sz w:val="12"/>
        </w:rPr>
        <w:t>cf-art-5-inc-XL</w:t>
      </w:r>
      <w:r>
        <w:rPr>
          <w:color w:val="003CA0"/>
          <w:sz w:val="12"/>
        </w:rPr>
        <w:t xml:space="preserve"> | ARE 1.052.700</w:t>
      </w:r>
      <w:r>
        <w:rPr>
          <w:color w:val="003CA0"/>
          <w:sz w:val="12"/>
        </w:rPr>
        <w:t xml:space="preserve"> | rel. Edson Fachin</w:t>
      </w:r>
    </w:p>
    <w:p>
      <w:pPr>
        <w:ind w:left="288"/>
      </w:pPr>
      <w:r>
        <w:rPr>
          <w:color w:val="1E1E1E"/>
          <w:sz w:val="18"/>
        </w:rPr>
        <w:t>É inconstitucional a fixação ex lege, com base no art. 2º, § 1º, da Lei 8.072/1990, do regime inicial fechado, devendo o julgador, quando da condenação, ater-se aos parâmetros previstos no art. 33 do CP.</w:t>
      </w:r>
    </w:p>
    <w:p>
      <w:pPr>
        <w:ind w:left="288"/>
      </w:pPr>
      <w:r>
        <w:rPr>
          <w:b/>
          <w:color w:val="003CA0"/>
          <w:sz w:val="16"/>
        </w:rPr>
        <w:t>[ARE 1.052.700 RG, rel. min. Edson Fachin, j. 2-11-2017, P, DJE de 1º-2-2018, Tema 972, com mérito julgado.]</w:t>
      </w:r>
    </w:p>
    <w:p>
      <w:pPr>
        <w:ind w:left="288"/>
      </w:pPr>
      <w:r>
        <w:rPr>
          <w:color w:val="8C8C8C"/>
          <w:sz w:val="12"/>
        </w:rPr>
        <w:t>cf-art-5-inc-XL</w:t>
      </w:r>
      <w:r>
        <w:rPr>
          <w:color w:val="003CA0"/>
          <w:sz w:val="12"/>
        </w:rPr>
        <w:t xml:space="preserve"> | RE 1.038.925</w:t>
      </w:r>
      <w:r>
        <w:rPr>
          <w:color w:val="003CA0"/>
          <w:sz w:val="12"/>
        </w:rPr>
        <w:t xml:space="preserve"> | rel. Gilmar Mendes</w:t>
      </w:r>
    </w:p>
    <w:p>
      <w:pPr>
        <w:ind w:left="288"/>
      </w:pPr>
      <w:r>
        <w:rPr>
          <w:color w:val="1E1E1E"/>
          <w:sz w:val="18"/>
        </w:rPr>
        <w:t>É inconstitucional a expressão “e liberdade provisória”, constante do caput do art. 44 da Lei 11.343/2006.</w:t>
      </w:r>
    </w:p>
    <w:p>
      <w:pPr>
        <w:ind w:left="288"/>
      </w:pPr>
      <w:r>
        <w:rPr>
          <w:b/>
          <w:color w:val="003CA0"/>
          <w:sz w:val="16"/>
        </w:rPr>
        <w:t>[RE 1.038.925 RG, rel. min. Gilmar Mendes, j. 18-8-2017, P, DJE de 19-9-2017, Tema 959, com mérito julgado.]</w:t>
      </w:r>
    </w:p>
    <w:p>
      <w:pPr>
        <w:ind w:left="288"/>
      </w:pPr>
      <w:r>
        <w:rPr>
          <w:color w:val="8C8C8C"/>
          <w:sz w:val="12"/>
        </w:rPr>
        <w:t>cf-art-5-inc-XL</w:t>
      </w:r>
      <w:r>
        <w:rPr>
          <w:color w:val="003CA0"/>
          <w:sz w:val="12"/>
        </w:rPr>
        <w:t xml:space="preserve"> | HC 97.256.</w:t>
      </w:r>
      <w:r>
        <w:rPr>
          <w:color w:val="003CA0"/>
          <w:sz w:val="12"/>
        </w:rPr>
        <w:t xml:space="preserve"> | rel. Luiz Fux</w:t>
      </w:r>
    </w:p>
    <w:p>
      <w:pPr>
        <w:ind w:left="288"/>
      </w:pPr>
      <w:r>
        <w:rPr>
          <w:color w:val="1E1E1E"/>
          <w:sz w:val="18"/>
        </w:rPr>
        <w:t>Tráfico ilícito de entorpecentes. Substituição da pena privativa de liberdade por restritiva de direitos. Entendimento consolidado no HC 97.256. Inconstitucionalidade da vedação. Controvérsia constitucional com repercussão geral. Reafirmação da jurisprudência do STF.</w:t>
      </w:r>
    </w:p>
    <w:p>
      <w:pPr>
        <w:ind w:left="288"/>
      </w:pPr>
      <w:r>
        <w:rPr>
          <w:b/>
          <w:color w:val="003CA0"/>
          <w:sz w:val="16"/>
        </w:rPr>
        <w:t>[ARE 663.261 RG, rel. min. Luiz Fux, j. 13-12-2012, P, DJE de 6-2-2013, Tema 626, com mérito julgado.]</w:t>
      </w:r>
    </w:p>
    <w:p>
      <w:pPr>
        <w:ind w:left="288"/>
      </w:pPr>
      <w:r>
        <w:rPr>
          <w:color w:val="8C8C8C"/>
          <w:sz w:val="12"/>
        </w:rPr>
        <w:t>cf-art-5-inc-XL</w:t>
      </w:r>
      <w:r>
        <w:rPr>
          <w:color w:val="003CA0"/>
          <w:sz w:val="12"/>
        </w:rPr>
        <w:t xml:space="preserve"> | HC 85.894</w:t>
      </w:r>
      <w:r>
        <w:rPr>
          <w:color w:val="003CA0"/>
          <w:sz w:val="12"/>
        </w:rPr>
        <w:t xml:space="preserve"> | rel. Gilmar Mendes</w:t>
      </w:r>
    </w:p>
    <w:p>
      <w:pPr>
        <w:ind w:left="288"/>
      </w:pPr>
      <w:r>
        <w:rPr>
          <w:color w:val="1E1E1E"/>
          <w:sz w:val="18"/>
        </w:rPr>
        <w:t>Vide HC 85.894, rel. min. Gilmar Mendes, j. 19-4-2007, P, DJ de 28-9-2007 Vide HC 82.959, rel. min. Marco Aurélio, j. 23-2-2006, P, DJ de 1º-9-2006 Vide HC 84.928, rel. min. Cezar Peluso, j. 27-9-2005, 1ª T, DJ de 11-11-2005 (...) em caso análogo ao presente, o Ministro Alexandre de Moraes, ao julgar o HC 214.741/SP, assentou “[...] que ‘a revogação do § 2º do art. 2º da Lei 8.072/90 pela Lei 13.964/2019 não tem o condão de retirar do tráfico de drogas sua caracterização como delito equiparado a hediondo, pois a classificação da narcotraficância como infração penal equiparada a hedionda decorr</w:t>
      </w:r>
    </w:p>
    <w:p>
      <w:pPr>
        <w:ind w:left="288"/>
      </w:pPr>
      <w:r>
        <w:rPr>
          <w:b/>
          <w:color w:val="003CA0"/>
          <w:sz w:val="16"/>
        </w:rPr>
        <w:t>[HC 215.771 AgR, rel. min. Ricardo Lewandowski, j. 22-8-2022, 2ª T, DJE de 5-9-2022.]</w:t>
      </w:r>
    </w:p>
    <w:p>
      <w:pPr>
        <w:ind w:left="288"/>
      </w:pPr>
      <w:r>
        <w:rPr>
          <w:color w:val="8C8C8C"/>
          <w:sz w:val="12"/>
        </w:rPr>
        <w:t>cf-art-5-inc-XL</w:t>
      </w:r>
      <w:r>
        <w:rPr>
          <w:color w:val="003CA0"/>
          <w:sz w:val="12"/>
        </w:rPr>
        <w:t xml:space="preserve"> | HC 101.919</w:t>
      </w:r>
      <w:r>
        <w:rPr>
          <w:color w:val="003CA0"/>
          <w:sz w:val="12"/>
        </w:rPr>
        <w:t xml:space="preserve"> | rel. Marco Aurélio</w:t>
      </w:r>
    </w:p>
    <w:p>
      <w:pPr>
        <w:ind w:left="288"/>
      </w:pPr>
      <w:r>
        <w:rPr>
          <w:color w:val="1E1E1E"/>
          <w:sz w:val="18"/>
        </w:rPr>
        <w:t>O óbice, previsto no art. 44 da Lei 11.343/2006, à suspensão condicional da pena imposta ante tráfico de drogas mostra-se afinado com a Lei 8.072/1990 e com o disposto no inciso XLIII do art. 5º da CF.</w:t>
      </w:r>
    </w:p>
    <w:p>
      <w:pPr>
        <w:ind w:left="288"/>
      </w:pPr>
      <w:r>
        <w:rPr>
          <w:b/>
          <w:color w:val="003CA0"/>
          <w:sz w:val="16"/>
        </w:rPr>
        <w:t>[HC 101.919, rel. min. Marco Aurélio, j. 6-9-2011, 1ª T, DJE de 26-10-2011.]</w:t>
      </w:r>
    </w:p>
    <w:p>
      <w:pPr>
        <w:ind w:left="288"/>
      </w:pPr>
      <w:r>
        <w:rPr>
          <w:color w:val="8C8C8C"/>
          <w:sz w:val="12"/>
        </w:rPr>
        <w:t>cf-art-5-inc-XL</w:t>
      </w:r>
      <w:r>
        <w:rPr>
          <w:color w:val="003CA0"/>
          <w:sz w:val="12"/>
        </w:rPr>
        <w:t xml:space="preserve"> | HC 96.869</w:t>
      </w:r>
      <w:r>
        <w:rPr>
          <w:color w:val="003CA0"/>
          <w:sz w:val="12"/>
        </w:rPr>
        <w:t xml:space="preserve"> | rel. Marco Aurélio</w:t>
      </w:r>
    </w:p>
    <w:p>
      <w:pPr>
        <w:ind w:left="288"/>
      </w:pPr>
      <w:r>
        <w:rPr>
          <w:color w:val="1E1E1E"/>
          <w:sz w:val="18"/>
        </w:rPr>
        <w:t>Segundo dispõe o § 2º do art. 2º da Lei 8.072/1990, na sentença, o juízo decidirá, fundamentadamente, sobre a possibilidade, ou não, de o condenado interpor recurso em liberdade, sendo motivo para não acolher o pleito o fato de a persecução criminal haver revelado a necessidade de ter-se o deferimento de extradição.</w:t>
      </w:r>
    </w:p>
    <w:p>
      <w:pPr>
        <w:ind w:left="288"/>
      </w:pPr>
      <w:r>
        <w:rPr>
          <w:b/>
          <w:color w:val="003CA0"/>
          <w:sz w:val="16"/>
        </w:rPr>
        <w:t>[HC 96.869, rel. min. Marco Aurélio, j. 4-5-2010, 1ª T, DJE de 28-5-2010.]</w:t>
      </w:r>
    </w:p>
    <w:p>
      <w:pPr>
        <w:ind w:left="288"/>
      </w:pPr>
      <w:r>
        <w:rPr>
          <w:color w:val="8C8C8C"/>
          <w:sz w:val="12"/>
        </w:rPr>
        <w:t>cf-art-5-inc-XL</w:t>
      </w:r>
      <w:r>
        <w:rPr>
          <w:color w:val="003CA0"/>
          <w:sz w:val="12"/>
        </w:rPr>
        <w:t xml:space="preserve"> | HC 92.612</w:t>
      </w:r>
      <w:r>
        <w:rPr>
          <w:color w:val="003CA0"/>
          <w:sz w:val="12"/>
        </w:rPr>
        <w:t xml:space="preserve"> | rel. Ricardo Lewandowski</w:t>
      </w:r>
    </w:p>
    <w:p>
      <w:pPr>
        <w:ind w:left="288"/>
      </w:pPr>
      <w:r>
        <w:rPr>
          <w:color w:val="1E1E1E"/>
          <w:sz w:val="18"/>
        </w:rPr>
        <w:t>Vide HC 92.612, rel. min. Ricardo Lewandowski, j. 11-3-2008, 1ª T, DJE de 11-4-2008 A fixação do regime inicial fechado de cumprimento de pena para os crimes hediondos decorre de expressa previsão legal. (...) A Lei 11.464/2007, no que tange à alteração promovida na redação do art. 2º, § 1º, da Lei 8.072/1990, deve ter aplicação retroativa por ser considerada mais benéfica ao sentenciado.</w:t>
      </w:r>
    </w:p>
    <w:p>
      <w:pPr>
        <w:ind w:left="288"/>
      </w:pPr>
      <w:r>
        <w:rPr>
          <w:b/>
          <w:color w:val="003CA0"/>
          <w:sz w:val="16"/>
        </w:rPr>
        <w:t>[HC 97.984, rel. min. Ricardo Lewandowski, j. 17-11-2009, 1ª T, DJE de 18-12-2009.]</w:t>
      </w:r>
    </w:p>
    <w:p>
      <w:pPr>
        <w:ind w:left="288"/>
      </w:pPr>
      <w:r>
        <w:rPr>
          <w:color w:val="8C8C8C"/>
          <w:sz w:val="12"/>
        </w:rPr>
        <w:t>cf-art-5-inc-XL</w:t>
      </w:r>
      <w:r>
        <w:rPr>
          <w:color w:val="003CA0"/>
          <w:sz w:val="12"/>
        </w:rPr>
        <w:t xml:space="preserve"> | HC 91.360</w:t>
      </w:r>
      <w:r>
        <w:rPr>
          <w:color w:val="003CA0"/>
          <w:sz w:val="12"/>
        </w:rPr>
        <w:t xml:space="preserve"> | rel. Joaquim Barbosa</w:t>
      </w:r>
    </w:p>
    <w:p>
      <w:pPr>
        <w:ind w:left="288"/>
      </w:pPr>
      <w:r>
        <w:rPr>
          <w:color w:val="1E1E1E"/>
          <w:sz w:val="18"/>
        </w:rPr>
        <w:t>= HC 91.360, rel. min. Joaquim Barbosa, j. 13-5-2009, 2ª T, DJE de 20-6-2009 Crime de tortura. Condenação que implica a perda do cargo ou função pública. (...) O acórdão recorrido está em consonância com a jurisprudência do STF no sentido que é permitida a decretação de perda do cargo ou função pública, no caso de condenação por crime de tortura (art. 1º, § 5º, da Lei 9.455/1997).</w:t>
      </w:r>
    </w:p>
    <w:p>
      <w:pPr>
        <w:ind w:left="288"/>
      </w:pPr>
      <w:r>
        <w:rPr>
          <w:b/>
          <w:color w:val="003CA0"/>
          <w:sz w:val="16"/>
        </w:rPr>
        <w:t>[AI 748.600 AgR, rel. min. Eros Grau, j. 23-6-2009, 2ª T, DJE de 7-8-2009.]</w:t>
      </w:r>
    </w:p>
    <w:p>
      <w:pPr>
        <w:ind w:left="288"/>
      </w:pPr>
      <w:r>
        <w:rPr>
          <w:color w:val="8C8C8C"/>
          <w:sz w:val="12"/>
        </w:rPr>
        <w:t>cf-art-5-inc-XL</w:t>
      </w:r>
      <w:r>
        <w:rPr>
          <w:color w:val="003CA0"/>
          <w:sz w:val="12"/>
        </w:rPr>
        <w:t xml:space="preserve"> | ARE 799.102</w:t>
      </w:r>
      <w:r>
        <w:rPr>
          <w:color w:val="003CA0"/>
          <w:sz w:val="12"/>
        </w:rPr>
        <w:t xml:space="preserve"> | rel. Luiz Fux</w:t>
      </w:r>
    </w:p>
    <w:p>
      <w:pPr>
        <w:ind w:left="288"/>
      </w:pPr>
      <w:r>
        <w:rPr>
          <w:color w:val="1E1E1E"/>
          <w:sz w:val="18"/>
        </w:rPr>
        <w:t>= ARE 799.102 AgR-segundo, rel. min. Luiz Fux, j. 9-12-2014, 1ª T, DJE de 9-2-2015 = AI 769.637 AgR-ED-ED, rel. min. Celso de Mello, j. 25-6-2013, 2ª T, DJE de 16-10-2013 O art. 5º, XLIII, da CF, que proíbe a graça, gênero do qual o indulto é espécie, nos crimes hediondos definidos em lei, não conflita com o art. 84, XII, da Lei Maior. O decreto presidencial que concede o indulto configura ato de governo, caracterizado pela ampla discricionariedade.</w:t>
      </w:r>
    </w:p>
    <w:p>
      <w:pPr>
        <w:ind w:left="288"/>
      </w:pPr>
      <w:r>
        <w:rPr>
          <w:b/>
          <w:color w:val="003CA0"/>
          <w:sz w:val="16"/>
        </w:rPr>
        <w:t>[HC 90.364, rel. min. Ricardo Lewandowski, j. 31-10-2007, P, DJ de 30-11-2007.]</w:t>
      </w:r>
    </w:p>
    <w:p>
      <w:pPr>
        <w:ind w:left="288"/>
      </w:pPr>
      <w:r>
        <w:rPr>
          <w:color w:val="8C8C8C"/>
          <w:sz w:val="12"/>
        </w:rPr>
        <w:t>cf-art-5-inc-XL</w:t>
      </w:r>
      <w:r>
        <w:rPr>
          <w:color w:val="003CA0"/>
          <w:sz w:val="12"/>
        </w:rPr>
        <w:t xml:space="preserve"> | HC 81.810</w:t>
      </w:r>
      <w:r>
        <w:rPr>
          <w:color w:val="003CA0"/>
          <w:sz w:val="12"/>
        </w:rPr>
        <w:t xml:space="preserve"> | rel. Cezar Peluso</w:t>
      </w:r>
    </w:p>
    <w:p>
      <w:pPr>
        <w:ind w:left="288"/>
      </w:pPr>
      <w:r>
        <w:rPr>
          <w:color w:val="1E1E1E"/>
          <w:sz w:val="18"/>
        </w:rPr>
        <w:t>= HC 81.810, rel. min. Cezar Peluso, j. 16-4-2009, P, DJE de 7-8-2009 A progressão no regime de cumprimento da pena, nas espécies fechado, semiaberto e aberto, tem como razão maior a ressocialização do preso que, mais dia ou menos dia, voltará ao convívio social. (...) Conflita com a garantia da individualização da pena – art. 5º, XLVI, da CF – a imposição, mediante norma, do cumprimento da pena em regime integralmente fechado. Nova inteligência do princípio da individualização da pena, em evolução jurisprudencial, assentada a inconstitucionalidade do art. 2º, § 1º, da Lei 8.072/1990.</w:t>
      </w:r>
    </w:p>
    <w:p>
      <w:pPr>
        <w:ind w:left="288"/>
      </w:pPr>
      <w:r>
        <w:rPr>
          <w:b/>
          <w:color w:val="003CA0"/>
          <w:sz w:val="16"/>
        </w:rPr>
        <w:t>[HC 82.959, rel. min. Marco Aurélio, j. 23-2-2006, P, DJ de 1º-9-2006.]</w:t>
      </w:r>
    </w:p>
    <w:p>
      <w:pPr>
        <w:ind w:left="288"/>
      </w:pPr>
      <w:r>
        <w:rPr>
          <w:color w:val="8C8C8C"/>
          <w:sz w:val="12"/>
        </w:rPr>
        <w:t>cf-art-5-inc-XL</w:t>
      </w:r>
      <w:r>
        <w:rPr>
          <w:color w:val="003CA0"/>
          <w:sz w:val="12"/>
        </w:rPr>
        <w:t xml:space="preserve"> | EXT 855</w:t>
      </w:r>
      <w:r>
        <w:rPr>
          <w:color w:val="003CA0"/>
          <w:sz w:val="12"/>
        </w:rPr>
        <w:t xml:space="preserve"> | rel. Celso de Mello</w:t>
      </w:r>
    </w:p>
    <w:p>
      <w:pPr>
        <w:ind w:left="288"/>
      </w:pPr>
      <w:r>
        <w:rPr>
          <w:color w:val="1E1E1E"/>
          <w:sz w:val="18"/>
        </w:rPr>
        <w:t>O repúdio ao terrorismo: um compromisso ético-jurídico assumido pelo Brasil, quer em face de sua própria Constituição, quer perante a comunidade internacional. Os atos delituosos de natureza terrorista, considerados os parâmetros consagrados pela vigente Constituição da República, não se subsumem à noção de criminalidade política, pois a Lei Fundamental proclamou o repúdio ao terrorismo como um dos princípios essenciais que devem reger o Estado brasileiro em suas relações internacionais (CF, art. 4º, VIII), além de haver qualificado o terrorismo, para efeito de repressão interna, como crime eq</w:t>
      </w:r>
    </w:p>
    <w:p>
      <w:pPr>
        <w:ind w:left="288"/>
      </w:pPr>
      <w:r>
        <w:rPr>
          <w:b/>
          <w:color w:val="003CA0"/>
          <w:sz w:val="16"/>
        </w:rPr>
        <w:t>[Ext 855, rel. min. Celso de Mello, j. 26-8-2004, P, DJ de 1º-7-2005.]</w:t>
      </w:r>
    </w:p>
    <w:p>
      <w:pPr>
        <w:ind w:left="288"/>
      </w:pPr>
      <w:r>
        <w:rPr>
          <w:color w:val="8C8C8C"/>
          <w:sz w:val="12"/>
        </w:rPr>
        <w:t>cf-art-5-inc-XL</w:t>
      </w:r>
      <w:r>
        <w:rPr>
          <w:color w:val="003CA0"/>
          <w:sz w:val="12"/>
        </w:rPr>
        <w:t xml:space="preserve"> | HC 84.312</w:t>
      </w:r>
      <w:r>
        <w:rPr>
          <w:color w:val="003CA0"/>
          <w:sz w:val="12"/>
        </w:rPr>
        <w:t xml:space="preserve"> | rel. Sepúlveda Pertence</w:t>
      </w:r>
    </w:p>
    <w:p>
      <w:pPr>
        <w:ind w:left="288"/>
      </w:pPr>
      <w:r>
        <w:rPr>
          <w:color w:val="1E1E1E"/>
          <w:sz w:val="18"/>
        </w:rPr>
        <w:t>(...) é constitucional o art. 2º, I, da Lei 8.072/1990, porque, nele, a menção ao indulto é meramente expletiva da proibição de graça aos condenados por crimes hediondos ditada pelo art. 5º, XLIII, da Constituição. Na Constituição, a graça individual e o indulto coletivo – que ambos, tanto podem ser totais ou parciais, substantivando, nessa última hipótese, a comutação de pena – são modalidades do poder de graça do presidente da República (art. 84, XII) – que, no entanto, sofre a restrição do art. 5º, XLIII, para excluir a possibilidade de sua concessão, quando se trata de condenação por crime</w:t>
      </w:r>
    </w:p>
    <w:p>
      <w:pPr>
        <w:ind w:left="288"/>
      </w:pPr>
      <w:r>
        <w:rPr>
          <w:b/>
          <w:color w:val="003CA0"/>
          <w:sz w:val="16"/>
        </w:rPr>
        <w:t>[HC 84.312, rel. min. Sepúlveda Pertence, j. 15-6-2004, 1ª T, DJ de 25-6-2004.]</w:t>
      </w:r>
    </w:p>
    <w:p>
      <w:pPr>
        <w:ind w:left="288"/>
      </w:pPr>
      <w:r>
        <w:rPr>
          <w:color w:val="8C8C8C"/>
          <w:sz w:val="12"/>
        </w:rPr>
        <w:t>cf-art-5-inc-XL</w:t>
      </w:r>
      <w:r>
        <w:rPr>
          <w:color w:val="003CA0"/>
          <w:sz w:val="12"/>
        </w:rPr>
        <w:t xml:space="preserve"> | HC 103.618</w:t>
      </w:r>
      <w:r>
        <w:rPr>
          <w:color w:val="003CA0"/>
          <w:sz w:val="12"/>
        </w:rPr>
        <w:t xml:space="preserve"> | rel. Dias Toffoli</w:t>
      </w:r>
    </w:p>
    <w:p>
      <w:pPr>
        <w:ind w:left="288"/>
      </w:pPr>
      <w:r>
        <w:rPr>
          <w:color w:val="1E1E1E"/>
          <w:sz w:val="18"/>
        </w:rPr>
        <w:t>= HC 103.618, rel. min. Dias Toffoli, j. 24-8-2010, 1ª T, DJE de 8-11-2010 = HC 81.810, rel. min. Cezar Peluso, j. 16-4-2009, P, DJE de 7-8-2009 Vide HC 95.830, rel. min. Ellen Gracie, j. 9-6-2009, 2ª T, DJE de 26-6-2009 Vide RE 452.991, rel. min. Marco Aurélio, j. 7-4-2009, 1ª T, DJE de 21-8-2009 Os delitos de estupro e de atentado violento ao pudor, ainda que em sua forma simples, configuram modalidades de crime hediondo, sendo irrelevante – para efeito de incidência das restrições fundadas na Constituição da República (art. 5º, XLIII) e na Lei 8.072/1990 (art. 2º) – que a prática de qualque</w:t>
      </w:r>
    </w:p>
    <w:p>
      <w:pPr>
        <w:ind w:left="288"/>
      </w:pPr>
      <w:r>
        <w:rPr>
          <w:b/>
          <w:color w:val="003CA0"/>
          <w:sz w:val="16"/>
        </w:rPr>
        <w:t>[HC 82.235, rel. min. Celso de Mello, j. 24-9-2002, 2ª T, DJ de 28-2-2003.]</w:t>
      </w:r>
    </w:p>
    <w:p>
      <w:pPr>
        <w:ind w:left="288"/>
      </w:pPr>
      <w:r>
        <w:rPr>
          <w:color w:val="8C8C8C"/>
          <w:sz w:val="12"/>
        </w:rPr>
        <w:t>cf-art-5-inc-XL</w:t>
      </w:r>
      <w:r>
        <w:rPr>
          <w:color w:val="003CA0"/>
          <w:sz w:val="12"/>
        </w:rPr>
        <w:t xml:space="preserve"> | HC 99.406</w:t>
      </w:r>
      <w:r>
        <w:rPr>
          <w:color w:val="003CA0"/>
          <w:sz w:val="12"/>
        </w:rPr>
        <w:t xml:space="preserve"> | rel. Ellen Gracie</w:t>
      </w:r>
    </w:p>
    <w:p>
      <w:pPr>
        <w:ind w:left="288"/>
      </w:pPr>
      <w:r>
        <w:rPr>
          <w:color w:val="1E1E1E"/>
          <w:sz w:val="18"/>
        </w:rPr>
        <w:t>= HC 99.406, rel. min. Ellen Gracie, j. 24-8-2010, 2ª T, DJE de 10-9-2010 = HC 97.788, rel. min. Ricardo Lewandowski, j. 25-5-2010, 1ª T, DJE de 25-6-2010 Certo, a Constituição reservou a determinados crimes particular severidade repressiva (art. 5º, XLII, XLIII e XLIV). Mas, como observa Magalhães Gomes Filho, por sua natureza, as restrições que estabelecem são taxativas: delas, não se podem inferir, portanto, exceções a garantia constitucional – qual, a da vedação da prova ilícita –, estabelecida sem limitações em função da gravidade do crime investigado.</w:t>
      </w:r>
    </w:p>
    <w:p>
      <w:pPr>
        <w:ind w:left="288"/>
      </w:pPr>
      <w:r>
        <w:rPr>
          <w:b/>
          <w:color w:val="003CA0"/>
          <w:sz w:val="16"/>
        </w:rPr>
        <w:t>[HC 80.949, voto do min. Sepúlveda Pertence, j. 30-10-2001, 1ª T, DJ de 14-12-2001.]</w:t>
      </w:r>
    </w:p>
    <w:p>
      <w:pPr>
        <w:ind w:left="288"/>
      </w:pPr>
      <w:r>
        <w:rPr>
          <w:color w:val="8C8C8C"/>
          <w:sz w:val="12"/>
        </w:rPr>
        <w:t>cf-art-5-inc-XL</w:t>
      </w:r>
      <w:r>
        <w:rPr>
          <w:color w:val="003CA0"/>
          <w:sz w:val="12"/>
        </w:rPr>
        <w:t xml:space="preserve"> | HC 70.389</w:t>
      </w:r>
    </w:p>
    <w:p>
      <w:pPr>
        <w:ind w:left="288"/>
      </w:pPr>
      <w:r>
        <w:rPr>
          <w:color w:val="1E1E1E"/>
          <w:sz w:val="18"/>
        </w:rPr>
        <w:t>(...) o policial militar que, a pretexto de exercer atividade de repressão criminal em nome do Estado, inflige, mediante desempenho funcional abusivo, danos físicos a menor momentaneamente sujeito ao seu poder de coerção, valendo-se desse meio executivo para intimidá-lo e coagi-lo à confissão de determinado delito, pratica, inequivocamente, o crime de tortura, (...) expondo-se, em função desse comportamento arbitrário, a todas as consequências jurídicas que decorrem da Lei 8.072/1990 (art. 2º), editada com fundamento no art. 5º, XLIII, da Constituição.</w:t>
      </w:r>
    </w:p>
    <w:p>
      <w:pPr>
        <w:ind w:left="288"/>
      </w:pPr>
      <w:r>
        <w:rPr>
          <w:b/>
          <w:color w:val="003CA0"/>
          <w:sz w:val="16"/>
        </w:rPr>
        <w:t>[HC 70.389, voto do min. Celso de Mello, j. 23-6-1994, P, DJ de 10-8-2001.]</w:t>
      </w:r>
    </w:p>
    <w:p>
      <w:pPr>
        <w:ind w:left="288"/>
      </w:pPr>
      <w:r>
        <w:rPr>
          <w:color w:val="8C8C8C"/>
          <w:sz w:val="12"/>
        </w:rPr>
        <w:t>cf-art-5-inc-XL</w:t>
      </w:r>
      <w:r>
        <w:rPr>
          <w:color w:val="003CA0"/>
          <w:sz w:val="12"/>
        </w:rPr>
        <w:t xml:space="preserve"> | ADPF 153.</w:t>
      </w:r>
      <w:r>
        <w:rPr>
          <w:color w:val="003CA0"/>
          <w:sz w:val="12"/>
        </w:rPr>
        <w:t xml:space="preserve"> | rel. Alexandre de Moraes</w:t>
      </w:r>
    </w:p>
    <w:p>
      <w:pPr>
        <w:ind w:left="288"/>
      </w:pPr>
      <w:r>
        <w:rPr>
          <w:color w:val="1E1E1E"/>
          <w:sz w:val="18"/>
        </w:rPr>
        <w:t>XLIV - constitui crime inafiançável e imprescritível a ação de grupos armados, civis ou militares, contra a ordem constitucional e o Estado Democrático; Análise da recepção da Lei nº 6.683, de 28 de agosto de 1979, em relação aos crimes permanentes e àqueles que caracterizaram graves violações aos Direitos Humanos durante a Ditadura Militar, em virtude da decisão proferida pelo SUPREMO TRIBUNAL FEDERAL na ADPF 153.</w:t>
      </w:r>
    </w:p>
    <w:p>
      <w:pPr>
        <w:ind w:left="288"/>
      </w:pPr>
      <w:r>
        <w:rPr>
          <w:b/>
          <w:color w:val="003CA0"/>
          <w:sz w:val="16"/>
        </w:rPr>
        <w:t>[RE 881.748 RG, rel. min. Alexandre de Moraes, j. 21.2.2025, P, DJE de 28.2.2025, Tema 1.374, com mérito pendente.]</w:t>
      </w:r>
    </w:p>
    <w:p>
      <w:pPr>
        <w:ind w:left="288"/>
      </w:pPr>
      <w:r>
        <w:rPr>
          <w:color w:val="8C8C8C"/>
          <w:sz w:val="12"/>
        </w:rPr>
        <w:t>cf-art-5-inc-XL</w:t>
      </w:r>
      <w:r>
        <w:rPr>
          <w:color w:val="003CA0"/>
          <w:sz w:val="12"/>
        </w:rPr>
        <w:t xml:space="preserve"> | ADPF 153.</w:t>
      </w:r>
      <w:r>
        <w:rPr>
          <w:color w:val="003CA0"/>
          <w:sz w:val="12"/>
        </w:rPr>
        <w:t xml:space="preserve"> | rel. Alexandre de Moraes</w:t>
      </w:r>
    </w:p>
    <w:p>
      <w:pPr>
        <w:ind w:left="288"/>
      </w:pPr>
      <w:r>
        <w:rPr>
          <w:color w:val="1E1E1E"/>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r>
    </w:p>
    <w:p>
      <w:pPr>
        <w:ind w:left="288"/>
      </w:pPr>
      <w:r>
        <w:rPr>
          <w:b/>
          <w:color w:val="003CA0"/>
          <w:sz w:val="16"/>
        </w:rPr>
        <w:t>[ARE 1.316.562 RG, rel. min. Alexandre de Moraes, j. 21.2.2025, P, DJE de 28.2.2025, Tema 1.376, com mérito pendente.]</w:t>
      </w:r>
    </w:p>
    <w:p>
      <w:pPr>
        <w:ind w:left="288"/>
      </w:pPr>
      <w:r>
        <w:rPr>
          <w:color w:val="8C8C8C"/>
          <w:sz w:val="12"/>
        </w:rPr>
        <w:t>cf-art-5-inc-XL</w:t>
      </w:r>
      <w:r>
        <w:rPr>
          <w:color w:val="003CA0"/>
          <w:sz w:val="12"/>
        </w:rPr>
        <w:t xml:space="preserve"> | ADPF 153.</w:t>
      </w:r>
      <w:r>
        <w:rPr>
          <w:color w:val="003CA0"/>
          <w:sz w:val="12"/>
        </w:rPr>
        <w:t xml:space="preserve"> | rel. Alexandre de Moraes</w:t>
      </w:r>
    </w:p>
    <w:p>
      <w:pPr>
        <w:ind w:left="288"/>
      </w:pPr>
      <w:r>
        <w:rPr>
          <w:color w:val="1E1E1E"/>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r>
    </w:p>
    <w:p>
      <w:pPr>
        <w:ind w:left="288"/>
      </w:pPr>
      <w:r>
        <w:rPr>
          <w:b/>
          <w:color w:val="003CA0"/>
          <w:sz w:val="16"/>
        </w:rPr>
        <w:t>[ARE 1.058.822 RG, rel. min. Alexandre de Moraes, j. 21.2.2025, P, DJE de 28.2.2025, Tema 1.375, com mérito pendente.]</w:t>
      </w:r>
    </w:p>
    <w:p>
      <w:pPr>
        <w:ind w:left="288"/>
      </w:pPr>
      <w:r>
        <w:rPr>
          <w:color w:val="8C8C8C"/>
          <w:sz w:val="12"/>
        </w:rPr>
        <w:t>cf-art-5-inc-XL</w:t>
      </w:r>
      <w:r>
        <w:rPr>
          <w:color w:val="003CA0"/>
          <w:sz w:val="12"/>
        </w:rPr>
        <w:t xml:space="preserve"> | RE 1.501.674</w:t>
      </w:r>
      <w:r>
        <w:rPr>
          <w:color w:val="003CA0"/>
          <w:sz w:val="12"/>
        </w:rPr>
        <w:t xml:space="preserve"> | rel. Flávio Dino</w:t>
      </w:r>
    </w:p>
    <w:p>
      <w:pPr>
        <w:ind w:left="288"/>
      </w:pPr>
      <w:r>
        <w:rPr>
          <w:color w:val="1E1E1E"/>
          <w:sz w:val="18"/>
        </w:rPr>
        <w:t>Possibilidade, ou não, de reconhecimento de anistia a crime de ocultação de cadáver (crime permanente), cujo início da execução ocorreu antes da vigência da Lei da Anistia, mas continuou de modo ininterrupto a ser executado após a sua vigência, à luz da Emenda Constitucional 26/85 e da Lei nº. 6.683/79.</w:t>
      </w:r>
    </w:p>
    <w:p>
      <w:pPr>
        <w:ind w:left="288"/>
      </w:pPr>
      <w:r>
        <w:rPr>
          <w:b/>
          <w:color w:val="003CA0"/>
          <w:sz w:val="16"/>
        </w:rPr>
        <w:t>[RE 1.501.674 RG, rel. min. Flávio Dino, j. 14.2.2025, P, DJE de 26.2.2025, Tema 1.369, com mérito pendente.]</w:t>
      </w:r>
    </w:p>
    <w:p>
      <w:pPr>
        <w:ind w:left="288"/>
      </w:pPr>
      <w:r>
        <w:rPr>
          <w:color w:val="8C8C8C"/>
          <w:sz w:val="12"/>
        </w:rPr>
        <w:t>cf-art-5-inc-XL</w:t>
      </w:r>
      <w:r>
        <w:rPr>
          <w:color w:val="003CA0"/>
          <w:sz w:val="12"/>
        </w:rPr>
        <w:t xml:space="preserve"> | EXT 1.042</w:t>
      </w:r>
      <w:r>
        <w:rPr>
          <w:color w:val="003CA0"/>
          <w:sz w:val="12"/>
        </w:rPr>
        <w:t xml:space="preserve"> | rel. Sepúlveda Pertence</w:t>
      </w:r>
    </w:p>
    <w:p>
      <w:pPr>
        <w:ind w:left="288"/>
      </w:pPr>
      <w:r>
        <w:rPr>
          <w:color w:val="1E1E1E"/>
          <w:sz w:val="18"/>
        </w:rPr>
        <w:t>Conforme assentou o STF, no julgamento da Ext 1.042, 19-12-2006, Pertence, a CF não proíbe a suspensão da prescrição, por prazo indeterminado, na hipótese do art. 366 do CPP. A indeterminação do prazo da suspensão não constitui, a rigor, hipótese de imprescritibilidade: não impede a retomada do curso da prescrição, apenas a condiciona a um evento futuro e incerto, situação substancialmente diversa da imprescritibilidade. Ademais, a CF se limita, no art. 5º, XLII e XLIV, a excluir os crimes que enumera da incidência material das regras da prescrição, sem proibir, em tese, que a legislação ordin</w:t>
      </w:r>
    </w:p>
    <w:p>
      <w:pPr>
        <w:ind w:left="288"/>
      </w:pPr>
      <w:r>
        <w:rPr>
          <w:b/>
          <w:color w:val="003CA0"/>
          <w:sz w:val="16"/>
        </w:rPr>
        <w:t>[RE 460.971, rel. min. Sepúlveda Pertence, j. 13-2-2007, 1ª T, DJ de 30-3-2007.]</w:t>
      </w:r>
    </w:p>
    <w:p>
      <w:pPr>
        <w:ind w:left="288"/>
      </w:pPr>
      <w:r>
        <w:rPr>
          <w:color w:val="8C8C8C"/>
          <w:sz w:val="12"/>
        </w:rPr>
        <w:t>cf-art-5-inc-XL</w:t>
      </w:r>
      <w:r>
        <w:rPr>
          <w:color w:val="003CA0"/>
          <w:sz w:val="12"/>
        </w:rPr>
        <w:t xml:space="preserve"> | HC 80.949</w:t>
      </w:r>
    </w:p>
    <w:p>
      <w:pPr>
        <w:ind w:left="288"/>
      </w:pPr>
      <w:r>
        <w:rPr>
          <w:color w:val="1E1E1E"/>
          <w:sz w:val="18"/>
        </w:rPr>
        <w:t>Certo, a Constituição reservou a determinados crimes particular severidade repressiva (art. 5º, XLII, XLIII e XLIV). Mas, como observa Magalhães Gomes Filho, por sua natureza, as restrições que estabelecem são taxativas: delas, não se podem inferir, portanto, exceções a garantia constitucional – qual, a da vedação da prova ilícita –, estabelecida sem limitações em função da gravidade do crime investigado.</w:t>
      </w:r>
    </w:p>
    <w:p>
      <w:pPr>
        <w:ind w:left="288"/>
      </w:pPr>
      <w:r>
        <w:rPr>
          <w:b/>
          <w:color w:val="003CA0"/>
          <w:sz w:val="16"/>
        </w:rPr>
        <w:t>[HC 80.949, voto do min. Sepúlveda Pertence, j. 30-10-2001, 1ª T, DJ de 14-12-2001.]</w:t>
      </w:r>
    </w:p>
    <w:p>
      <w:pPr>
        <w:ind w:left="288"/>
      </w:pPr>
      <w:r>
        <w:rPr>
          <w:color w:val="8C8C8C"/>
          <w:sz w:val="12"/>
        </w:rPr>
        <w:t>cf-art-5-inc-XL</w:t>
      </w:r>
      <w:r>
        <w:rPr>
          <w:color w:val="003CA0"/>
          <w:sz w:val="12"/>
        </w:rPr>
        <w:t xml:space="preserve"> | HC 95.009</w:t>
      </w:r>
      <w:r>
        <w:rPr>
          <w:color w:val="003CA0"/>
          <w:sz w:val="12"/>
        </w:rPr>
        <w:t xml:space="preserve"> | rel. Eros Grau</w:t>
      </w:r>
    </w:p>
    <w:p>
      <w:pPr>
        <w:ind w:left="288"/>
      </w:pPr>
      <w:r>
        <w:rPr>
          <w:color w:val="1E1E1E"/>
          <w:sz w:val="18"/>
        </w:rPr>
        <w:t>XLV - nenhuma pena passará da pessoa do condenado, podendo a obrigação de reparar o dano e a decretação do perdimento de bens ser, nos termos da lei, estendidas aos sucessores e contra eles executadas, até o limite do valor do patrimônio transferido; De que vale declarar a Constituição que "a casa é asilo inviolável do indivíduo" (art. 5º, XI) se moradias são invadidas por policiais munidos de mandados que consubstanciem verdadeiras cartas brancas, mandados com poderes de a tudo devassar, só porque o habitante é suspeito de um crime? (...) Esses mandados ordinariamente autorizam a apreensão de</w:t>
      </w:r>
    </w:p>
    <w:p>
      <w:pPr>
        <w:ind w:left="288"/>
      </w:pPr>
      <w:r>
        <w:rPr>
          <w:b/>
          <w:color w:val="003CA0"/>
          <w:sz w:val="16"/>
        </w:rPr>
        <w:t>[HC 95.009, rel. min. Eros Grau, j. 6-11-2008, P, DJE de 19-12-2008.]</w:t>
      </w:r>
    </w:p>
    <w:p>
      <w:pPr>
        <w:ind w:left="288"/>
      </w:pPr>
      <w:r>
        <w:rPr>
          <w:color w:val="8C8C8C"/>
          <w:sz w:val="12"/>
        </w:rPr>
        <w:t>cf-art-5-inc-XL</w:t>
      </w:r>
      <w:r>
        <w:rPr>
          <w:color w:val="003CA0"/>
          <w:sz w:val="12"/>
        </w:rPr>
        <w:t xml:space="preserve"> | AC 1.033</w:t>
      </w:r>
      <w:r>
        <w:rPr>
          <w:color w:val="003CA0"/>
          <w:sz w:val="12"/>
        </w:rPr>
        <w:t xml:space="preserve"> | rel. Celso de Mello</w:t>
      </w:r>
    </w:p>
    <w:p>
      <w:pPr>
        <w:ind w:left="288"/>
      </w:pPr>
      <w:r>
        <w:rPr>
          <w:color w:val="1E1E1E"/>
          <w:sz w:val="18"/>
        </w:rPr>
        <w:t>O postulado da intranscendência impede que sanções e restrições de ordem jurídica superem a dimensão estritamente pessoal do infrator. Em virtude desse princípio, as limitações jurídicas que derivam da inscrição, no Cauc [Cadastro Único de Convênio], das autarquias, das empresas governamentais ou das entidades paraestatais não podem atingir os Estados-membros ou o Distrito Federal, projetando, sobre estes, consequências jurídicas desfavoráveis e gravosas, pois o inadimplemento obrigacional – por revelar-se unicamente imputável aos entes menores integrantes da administração descentralizada – só</w:t>
      </w:r>
    </w:p>
    <w:p>
      <w:pPr>
        <w:ind w:left="288"/>
      </w:pPr>
      <w:r>
        <w:rPr>
          <w:b/>
          <w:color w:val="003CA0"/>
          <w:sz w:val="16"/>
        </w:rPr>
        <w:t>[AC 1.033 AgR-QO, rel. min. Celso de Mello, j. 25-5-2006, P, DJ de 16-6-2006.]</w:t>
      </w:r>
    </w:p>
    <w:p>
      <w:pPr>
        <w:ind w:left="288"/>
      </w:pPr>
      <w:r>
        <w:rPr>
          <w:color w:val="8C8C8C"/>
          <w:sz w:val="12"/>
        </w:rPr>
        <w:t>cf-art-5-inc-XL</w:t>
      </w:r>
      <w:r>
        <w:rPr>
          <w:color w:val="003CA0"/>
          <w:sz w:val="12"/>
        </w:rPr>
        <w:t xml:space="preserve"> | ACO 1.289</w:t>
      </w:r>
      <w:r>
        <w:rPr>
          <w:color w:val="003CA0"/>
          <w:sz w:val="12"/>
        </w:rPr>
        <w:t xml:space="preserve"> | rel. Teori Zavascki</w:t>
      </w:r>
    </w:p>
    <w:p>
      <w:pPr>
        <w:ind w:left="288"/>
      </w:pPr>
      <w:r>
        <w:rPr>
          <w:color w:val="1E1E1E"/>
          <w:sz w:val="18"/>
        </w:rPr>
        <w:t>= ACO 1.289 AgR, rel. min. Teori Zavascki, j. 25-11-2015, P, DJE de 9-12-2015 A intransmissibilidade da pena traduz postulado de ordem constitucional. A sanção penal não passará da pessoa do delinquente. Vulnera o princípio da incontagiabilidade da pena a decisão judicial que permite ao condenado fazer-se substituir, por terceiro absolutamente estranho ao ilícito penal, na prestação de serviços à comunidade.</w:t>
      </w:r>
    </w:p>
    <w:p>
      <w:pPr>
        <w:ind w:left="288"/>
      </w:pPr>
      <w:r>
        <w:rPr>
          <w:b/>
          <w:color w:val="003CA0"/>
          <w:sz w:val="16"/>
        </w:rPr>
        <w:t>[HC 68.309, rel. min. Celso de Mello, j. 27-11-1990, 1ª T, DJ de 8-3-1991.]</w:t>
      </w:r>
    </w:p>
    <w:p>
      <w:pPr>
        <w:ind w:left="288"/>
      </w:pPr>
      <w:r>
        <w:rPr>
          <w:color w:val="8C8C8C"/>
          <w:sz w:val="12"/>
        </w:rPr>
        <w:t>cf-art-5-inc-XL</w:t>
      </w:r>
    </w:p>
    <w:p>
      <w:pPr>
        <w:ind w:left="288"/>
      </w:pPr>
      <w:r>
        <w:rPr>
          <w:color w:val="1E1E1E"/>
          <w:sz w:val="18"/>
        </w:rPr>
        <w:t>XLVI - a lei regulará a individualização da pena e adotará, entre outras, as seguintes: Para efeito de progressão de regime no cumprimento de pena por crime hediondo, ou equiparado, o juízo da execução observará a inconstitucionalidade do art. 2º da Lei 8.072, de 25-7-1990, sem prejuízo de avaliar se o condenado preenche, ou não, os requisitos objetivos e subjetivos do benefício, podendo determinar, para tal fim, de modo fundamentado, a realização de exame criminológico.</w:t>
      </w:r>
    </w:p>
    <w:p>
      <w:pPr>
        <w:ind w:left="288"/>
      </w:pPr>
      <w:r>
        <w:rPr>
          <w:b/>
          <w:color w:val="003CA0"/>
          <w:sz w:val="16"/>
        </w:rPr>
        <w:t>[Súmula Vinculante 26.]</w:t>
      </w:r>
    </w:p>
    <w:p>
      <w:pPr>
        <w:ind w:left="288"/>
      </w:pPr>
      <w:r>
        <w:rPr>
          <w:color w:val="8C8C8C"/>
          <w:sz w:val="12"/>
        </w:rPr>
        <w:t>cf-art-5-inc-XL</w:t>
      </w:r>
      <w:r>
        <w:rPr>
          <w:color w:val="003CA0"/>
          <w:sz w:val="12"/>
        </w:rPr>
        <w:t xml:space="preserve"> | RE 641.320</w:t>
      </w:r>
    </w:p>
    <w:p>
      <w:pPr>
        <w:ind w:left="288"/>
      </w:pPr>
      <w:r>
        <w:rPr>
          <w:color w:val="1E1E1E"/>
          <w:sz w:val="18"/>
        </w:rPr>
        <w:t>A falta de estabelecimento penal adequado não autoriza a manutenção do condenado em regime prisional mais gravoso, devendo-se observar, nessa hipótese, os parâmetros fixados no RE 641.320/RS.</w:t>
      </w:r>
    </w:p>
    <w:p>
      <w:pPr>
        <w:ind w:left="288"/>
      </w:pPr>
      <w:r>
        <w:rPr>
          <w:b/>
          <w:color w:val="003CA0"/>
          <w:sz w:val="16"/>
        </w:rPr>
        <w:t>[Súmula Vinculante 56.]</w:t>
      </w:r>
    </w:p>
    <w:p>
      <w:pPr>
        <w:ind w:left="288"/>
      </w:pPr>
      <w:r>
        <w:rPr>
          <w:color w:val="8C8C8C"/>
          <w:sz w:val="12"/>
        </w:rPr>
        <w:t>cf-art-5-inc-XL</w:t>
      </w:r>
    </w:p>
    <w:p>
      <w:pPr>
        <w:ind w:left="288"/>
      </w:pPr>
      <w:r>
        <w:rPr>
          <w:color w:val="1E1E1E"/>
          <w:sz w:val="18"/>
        </w:rPr>
        <w:t>A imposição do regime de cumprimento mais severo do que a pena aplicada permitir exige motivação idônea.</w:t>
      </w:r>
    </w:p>
    <w:p>
      <w:pPr>
        <w:ind w:left="288"/>
      </w:pPr>
      <w:r>
        <w:rPr>
          <w:b/>
          <w:color w:val="003CA0"/>
          <w:sz w:val="16"/>
        </w:rPr>
        <w:t>[Súmula 719.]</w:t>
      </w:r>
    </w:p>
    <w:p>
      <w:pPr>
        <w:ind w:left="288"/>
      </w:pPr>
      <w:r>
        <w:rPr>
          <w:color w:val="8C8C8C"/>
          <w:sz w:val="12"/>
        </w:rPr>
        <w:t>cf-art-5-inc-XL</w:t>
      </w:r>
    </w:p>
    <w:p>
      <w:pPr>
        <w:ind w:left="288"/>
      </w:pPr>
      <w:r>
        <w:rPr>
          <w:color w:val="1E1E1E"/>
          <w:sz w:val="18"/>
        </w:rPr>
        <w:t>Admite-se a progressão de regime de cumprimento da pena ou a aplicação imediata de regime menos severo nela determinada, antes do trânsito em julgado da sentença condenatória.</w:t>
      </w:r>
    </w:p>
    <w:p>
      <w:pPr>
        <w:ind w:left="288"/>
      </w:pPr>
      <w:r>
        <w:rPr>
          <w:b/>
          <w:color w:val="003CA0"/>
          <w:sz w:val="16"/>
        </w:rPr>
        <w:t>[Súmula 716.]</w:t>
      </w:r>
    </w:p>
    <w:p>
      <w:pPr>
        <w:ind w:left="288"/>
      </w:pPr>
      <w:r>
        <w:rPr>
          <w:color w:val="8C8C8C"/>
          <w:sz w:val="12"/>
        </w:rPr>
        <w:t>cf-art-5-inc-XL</w:t>
      </w:r>
    </w:p>
    <w:p>
      <w:pPr>
        <w:ind w:left="288"/>
      </w:pPr>
      <w:r>
        <w:rPr>
          <w:color w:val="1E1E1E"/>
          <w:sz w:val="18"/>
        </w:rPr>
        <w:t>A pena unificada para atender ao limite de trinta anos de cumprimento, determinado pelo art. 75 do CP, não é considerada para a concessão de outros benefícios, como o livramento condicional ou regime mais favorável de execução.</w:t>
      </w:r>
    </w:p>
    <w:p>
      <w:pPr>
        <w:ind w:left="288"/>
      </w:pPr>
      <w:r>
        <w:rPr>
          <w:b/>
          <w:color w:val="003CA0"/>
          <w:sz w:val="16"/>
        </w:rPr>
        <w:t>[Súmula 715.]</w:t>
      </w:r>
    </w:p>
    <w:p>
      <w:pPr>
        <w:ind w:left="288"/>
      </w:pPr>
      <w:r>
        <w:rPr>
          <w:color w:val="8C8C8C"/>
          <w:sz w:val="12"/>
        </w:rPr>
        <w:t>cf-art-5-inc-XL</w:t>
      </w:r>
      <w:r>
        <w:rPr>
          <w:color w:val="003CA0"/>
          <w:sz w:val="12"/>
        </w:rPr>
        <w:t xml:space="preserve"> | ADI 4.979</w:t>
      </w:r>
      <w:r>
        <w:rPr>
          <w:color w:val="003CA0"/>
          <w:sz w:val="12"/>
        </w:rPr>
        <w:t xml:space="preserve"> | rel. Nunes Marques</w:t>
      </w:r>
    </w:p>
    <w:p>
      <w:pPr>
        <w:ind w:left="288"/>
      </w:pPr>
      <w:r>
        <w:rPr>
          <w:color w:val="1E1E1E"/>
          <w:sz w:val="18"/>
        </w:rPr>
        <w:t>O princípio constitucional da individualização da pena, previsto no art. 5º, XLVI, da Constituição Federal, apresenta as seguintes dimensões: (i) necessidade de observância da proporcionalidade entre a sanção abstratamente cominada no preceito secundário da norma penal e a conduta descrita no tipo; (ii) concretização da pena pelo magistrado em conformidade com a conduta singular do agente e na medida de sua culpabilidade (CP, art. 59); e (iii) individualização no momento da execução, por meio de um sistema progressivo de cumprimento da pena privativa de liberdade em que seja considerada a natu</w:t>
      </w:r>
    </w:p>
    <w:p>
      <w:pPr>
        <w:ind w:left="288"/>
      </w:pPr>
      <w:r>
        <w:rPr>
          <w:b/>
          <w:color w:val="003CA0"/>
          <w:sz w:val="16"/>
        </w:rPr>
        <w:t>[ADI 4.979, rel. min. Nunes Marques, j. 19.08.2024, P, DJE de 02.09.2024.]</w:t>
      </w:r>
    </w:p>
    <w:p>
      <w:pPr>
        <w:ind w:left="288"/>
      </w:pPr>
      <w:r>
        <w:rPr>
          <w:color w:val="8C8C8C"/>
          <w:sz w:val="12"/>
        </w:rPr>
        <w:t>cf-art-5-inc-XL</w:t>
      </w:r>
      <w:r>
        <w:rPr>
          <w:color w:val="003CA0"/>
          <w:sz w:val="12"/>
        </w:rPr>
        <w:t xml:space="preserve"> | ARE 1.481.688</w:t>
      </w:r>
      <w:r>
        <w:rPr>
          <w:color w:val="003CA0"/>
          <w:sz w:val="12"/>
        </w:rPr>
        <w:t xml:space="preserve"> | rel. Luís Roberto Barroso</w:t>
      </w:r>
    </w:p>
    <w:p>
      <w:pPr>
        <w:ind w:left="288"/>
      </w:pPr>
      <w:r>
        <w:rPr>
          <w:color w:val="1E1E1E"/>
          <w:sz w:val="18"/>
        </w:rPr>
        <w:t>“É infraconstitucional a controvérsia sobre o período de valoração de bom comportamento durante a execução da pena para fins de concessão de livramento condicional”.</w:t>
      </w:r>
    </w:p>
    <w:p>
      <w:pPr>
        <w:ind w:left="288"/>
      </w:pPr>
      <w:r>
        <w:rPr>
          <w:b/>
          <w:color w:val="003CA0"/>
          <w:sz w:val="16"/>
        </w:rPr>
        <w:t>[ARE 1.481.688 RG, rel. min. Luís Roberto Barroso, j. 28.2.2025, P, DJE de 7.3.2025, Tema 1.377, com repercussão geral negada.]</w:t>
      </w:r>
    </w:p>
    <w:p>
      <w:pPr>
        <w:ind w:left="288"/>
      </w:pPr>
      <w:r>
        <w:rPr>
          <w:color w:val="8C8C8C"/>
          <w:sz w:val="12"/>
        </w:rPr>
        <w:t>cf-art-5-inc-XL</w:t>
      </w:r>
      <w:r>
        <w:rPr>
          <w:color w:val="003CA0"/>
          <w:sz w:val="12"/>
        </w:rPr>
        <w:t xml:space="preserve"> | ARE 1.052.700</w:t>
      </w:r>
      <w:r>
        <w:rPr>
          <w:color w:val="003CA0"/>
          <w:sz w:val="12"/>
        </w:rPr>
        <w:t xml:space="preserve"> | rel. Edson Fachin</w:t>
      </w:r>
    </w:p>
    <w:p>
      <w:pPr>
        <w:ind w:left="288"/>
      </w:pPr>
      <w:r>
        <w:rPr>
          <w:color w:val="1E1E1E"/>
          <w:sz w:val="18"/>
        </w:rPr>
        <w:t>É inconstitucional a fixação ex lege, com base no art. 2º, § 1º, da Lei 8.072/1990, do regime inicial fechado, devendo o julgador, quando da condenação, ater-se aos parâmetros previstos no art. 33 do CP.</w:t>
      </w:r>
    </w:p>
    <w:p>
      <w:pPr>
        <w:ind w:left="288"/>
      </w:pPr>
      <w:r>
        <w:rPr>
          <w:b/>
          <w:color w:val="003CA0"/>
          <w:sz w:val="16"/>
        </w:rPr>
        <w:t>[ARE 1.052.700 RG, rel. min. Edson Fachin, j. 2-11-2017, P, 1º-2-2018, Tema 972, com mérito julgado.]</w:t>
      </w:r>
    </w:p>
    <w:p>
      <w:pPr>
        <w:ind w:left="288"/>
      </w:pPr>
      <w:r>
        <w:rPr>
          <w:color w:val="8C8C8C"/>
          <w:sz w:val="12"/>
        </w:rPr>
        <w:t>cf-art-5-inc-XL</w:t>
      </w:r>
      <w:r>
        <w:rPr>
          <w:color w:val="003CA0"/>
          <w:sz w:val="12"/>
        </w:rPr>
        <w:t xml:space="preserve"> | RE 641.320</w:t>
      </w:r>
      <w:r>
        <w:rPr>
          <w:color w:val="003CA0"/>
          <w:sz w:val="12"/>
        </w:rPr>
        <w:t xml:space="preserve"> | rel. Gilmar Mendes</w:t>
      </w:r>
    </w:p>
    <w:p>
      <w:pPr>
        <w:ind w:left="288"/>
      </w:pPr>
      <w:r>
        <w:rPr>
          <w:color w:val="1E1E1E"/>
          <w:sz w:val="18"/>
        </w:rPr>
        <w:t>A falta de estabelecimento penal adequado não autoriza a manutenção do condenado em regime prisional mais gravoso. Os juízes da execução penal poderão avaliar os estabelecimentos destinados aos regimes semiaberto e aberto, para qualificação como adequados a tais regimes. São aceitáveis estabelecimentos que não se qualifiquem como "colônia agrícola, industrial" (regime semiaberto) ou "casa de albergado ou estabelecimento adequado" (regime aberto) (art. 33, § 1º, b e c). No entanto, não deverá haver alojamento conjunto de presos dos regimes semiaberto e aberto com presos do regime fechado. Haven</w:t>
      </w:r>
    </w:p>
    <w:p>
      <w:pPr>
        <w:ind w:left="288"/>
      </w:pPr>
      <w:r>
        <w:rPr>
          <w:b/>
          <w:color w:val="003CA0"/>
          <w:sz w:val="16"/>
        </w:rPr>
        <w:t>[RE 641.320, rel. min. Gilmar Mendes, j. 11-5-2016, P, DJE de 1º-8-2016, Tema 423, com mérito julgado.]</w:t>
      </w:r>
    </w:p>
    <w:p>
      <w:pPr>
        <w:ind w:left="288"/>
      </w:pPr>
      <w:r>
        <w:rPr>
          <w:color w:val="8C8C8C"/>
          <w:sz w:val="12"/>
        </w:rPr>
        <w:t>cf-art-5-inc-XL</w:t>
      </w:r>
      <w:r>
        <w:rPr>
          <w:color w:val="003CA0"/>
          <w:sz w:val="12"/>
        </w:rPr>
        <w:t xml:space="preserve"> | ARE 666.334</w:t>
      </w:r>
      <w:r>
        <w:rPr>
          <w:color w:val="003CA0"/>
          <w:sz w:val="12"/>
        </w:rPr>
        <w:t xml:space="preserve"> | rel. Gilmar Mendes</w:t>
      </w:r>
    </w:p>
    <w:p>
      <w:pPr>
        <w:ind w:left="288"/>
      </w:pPr>
      <w:r>
        <w:rPr>
          <w:color w:val="1E1E1E"/>
          <w:sz w:val="18"/>
        </w:rPr>
        <w:t>Tráfico de drogas. Valoração da natureza e da quantidade da droga apreendida em apenas uma das fases do cálculo da pena. Vedação ao bis in idem.</w:t>
      </w:r>
    </w:p>
    <w:p>
      <w:pPr>
        <w:ind w:left="288"/>
      </w:pPr>
      <w:r>
        <w:rPr>
          <w:b/>
          <w:color w:val="003CA0"/>
          <w:sz w:val="16"/>
        </w:rPr>
        <w:t>[ARE 666.334 RG, rel. min. Gilmar Mendes, j. 3-4-2014, P, DJE de 6-5-2014, Tema 712, com mérito julgado.]</w:t>
      </w:r>
    </w:p>
    <w:p>
      <w:pPr>
        <w:ind w:left="288"/>
      </w:pPr>
      <w:r>
        <w:rPr>
          <w:color w:val="8C8C8C"/>
          <w:sz w:val="12"/>
        </w:rPr>
        <w:t>cf-art-5-inc-XL</w:t>
      </w:r>
      <w:r>
        <w:rPr>
          <w:color w:val="003CA0"/>
          <w:sz w:val="12"/>
        </w:rPr>
        <w:t xml:space="preserve"> | RE 579.167</w:t>
      </w:r>
      <w:r>
        <w:rPr>
          <w:color w:val="003CA0"/>
          <w:sz w:val="12"/>
        </w:rPr>
        <w:t xml:space="preserve"> | rel. Marco Aurélio</w:t>
      </w:r>
    </w:p>
    <w:p>
      <w:pPr>
        <w:ind w:left="288"/>
      </w:pPr>
      <w:r>
        <w:rPr>
          <w:color w:val="1E1E1E"/>
          <w:sz w:val="18"/>
        </w:rPr>
        <w:t>A Lei 11.464/2007, que majorou o tempo necessário a progredir-se no cumprimento da pena, não se aplica a situações jurídicas que retratem crime cometido em momento anterior à respectiva vigência.</w:t>
      </w:r>
    </w:p>
    <w:p>
      <w:pPr>
        <w:ind w:left="288"/>
      </w:pPr>
      <w:r>
        <w:rPr>
          <w:b/>
          <w:color w:val="003CA0"/>
          <w:sz w:val="16"/>
        </w:rPr>
        <w:t>[RE 579.167, rel. min. Marco Aurélio, j. 16-5-2013, P, DJE de 18-10-2013, Tema 59, com mérito julgado.]</w:t>
      </w:r>
    </w:p>
    <w:p>
      <w:pPr>
        <w:ind w:left="288"/>
      </w:pPr>
      <w:r>
        <w:rPr>
          <w:color w:val="8C8C8C"/>
          <w:sz w:val="12"/>
        </w:rPr>
        <w:t>cf-art-5-inc-XL</w:t>
      </w:r>
      <w:r>
        <w:rPr>
          <w:color w:val="003CA0"/>
          <w:sz w:val="12"/>
        </w:rPr>
        <w:t xml:space="preserve"> | RE 453.000</w:t>
      </w:r>
    </w:p>
    <w:p>
      <w:pPr>
        <w:ind w:left="288"/>
      </w:pPr>
      <w:r>
        <w:rPr>
          <w:color w:val="1E1E1E"/>
          <w:sz w:val="18"/>
        </w:rPr>
        <w:t>(...) a reincidência repercute em diversos institutos penais, compondo consagrado sistema de política criminal de combate à delinquência. (...) Se assim o é quanto às diversas previsões, de forma diferente não acontece no tocante ao agravamento da pena. Afastem a possibilidade de cogitar de duplicidade. Logicamente, quando da condenação anterior, o instituto não foi considerado. Deve sê-lo na que se segue, em razão do fato de haver ocorrido, sem o interregno referido no art. 64 do CP – cinco anos –, outra prática delituosa. Então, não se aumenta a pena constante do título pretérito, mas, prese</w:t>
      </w:r>
    </w:p>
    <w:p>
      <w:pPr>
        <w:ind w:left="288"/>
      </w:pPr>
      <w:r>
        <w:rPr>
          <w:b/>
          <w:color w:val="003CA0"/>
          <w:sz w:val="16"/>
        </w:rPr>
        <w:t>[RE 453.000, voto do min. Marco Aurélio, j. 4-4-2013, P, DJE de 3-10-2013, Tema 114, com mérito julgado.]</w:t>
      </w:r>
    </w:p>
    <w:p>
      <w:pPr>
        <w:ind w:left="288"/>
      </w:pPr>
      <w:r>
        <w:rPr>
          <w:color w:val="8C8C8C"/>
          <w:sz w:val="12"/>
        </w:rPr>
        <w:t>cf-art-5-inc-XL</w:t>
      </w:r>
      <w:r>
        <w:rPr>
          <w:color w:val="003CA0"/>
          <w:sz w:val="12"/>
        </w:rPr>
        <w:t xml:space="preserve"> | HC 92.626</w:t>
      </w:r>
      <w:r>
        <w:rPr>
          <w:color w:val="003CA0"/>
          <w:sz w:val="12"/>
        </w:rPr>
        <w:t xml:space="preserve"> | rel. Ricardo Lewandowski</w:t>
      </w:r>
    </w:p>
    <w:p>
      <w:pPr>
        <w:ind w:left="288"/>
      </w:pPr>
      <w:r>
        <w:rPr>
          <w:color w:val="1E1E1E"/>
          <w:sz w:val="18"/>
        </w:rPr>
        <w:t>Vide HC 92.626, rel. min. Ricardo Lewandowski, j. 25-3-2008, 1ª T, DJE de 2-5-2008 Tráfico ilícito de entorpecentes. Substituição da pena privativa de liberdade por restritiva de direitos. Entendimento consolidado no HC 97.256. Inconstitucionalidade da vedação. Controvérsia constitucional com repercussão geral. Reafirmação da jurisprudência do STF.</w:t>
      </w:r>
    </w:p>
    <w:p>
      <w:pPr>
        <w:ind w:left="288"/>
      </w:pPr>
      <w:r>
        <w:rPr>
          <w:b/>
          <w:color w:val="003CA0"/>
          <w:sz w:val="16"/>
        </w:rPr>
        <w:t>[ARE 663.261 RG, rel. min. Luiz Fux, j. 13-12-2012, P, DJE de 6-2-2013, Tema 626, com mérito julgado.]</w:t>
      </w:r>
    </w:p>
    <w:p>
      <w:pPr>
        <w:ind w:left="288"/>
      </w:pPr>
      <w:r>
        <w:rPr>
          <w:color w:val="8C8C8C"/>
          <w:sz w:val="12"/>
        </w:rPr>
        <w:t>cf-art-5-inc-XL</w:t>
      </w:r>
      <w:r>
        <w:rPr>
          <w:color w:val="003CA0"/>
          <w:sz w:val="12"/>
        </w:rPr>
        <w:t xml:space="preserve"> | HC 85.894</w:t>
      </w:r>
      <w:r>
        <w:rPr>
          <w:color w:val="003CA0"/>
          <w:sz w:val="12"/>
        </w:rPr>
        <w:t xml:space="preserve"> | rel. Gilmar Mendes</w:t>
      </w:r>
    </w:p>
    <w:p>
      <w:pPr>
        <w:ind w:left="288"/>
      </w:pPr>
      <w:r>
        <w:rPr>
          <w:color w:val="1E1E1E"/>
          <w:sz w:val="18"/>
        </w:rPr>
        <w:t>Vide HC 85.894, rel. min. Gilmar Mendes, j. 19-4-2007, P, DJ de 28-9-2007 Vide HC 82.959, rel. min. Marco Aurélio, j. 23-2-2006, P, DJ de 1º-9-2006 Vide HC 84.928, rel. min. Cezar Peluso, j. 27-9-2005, 1ª T, DJ de 11-11 Condenação. Pena privativa de liberdade. Fixação abaixo do mínimo legal. Inadmissibilidade. Existência apenas de atenuante ou atenuantes genéricas, não de causa especial de redução. Aplicação da pena mínima. Jurisprudência reafirmada, repercussão geral reconhecida e recurso extraordinário improvido. Aplicação do art. 543-B, § 3º, do CPC. Circunstância atenuante genérica não pod</w:t>
      </w:r>
    </w:p>
    <w:p>
      <w:pPr>
        <w:ind w:left="288"/>
      </w:pPr>
      <w:r>
        <w:rPr>
          <w:b/>
          <w:color w:val="003CA0"/>
          <w:sz w:val="16"/>
        </w:rPr>
        <w:t>[RE 597.270 QO-RG, rel. min. Cezar Peluso, j. 26-3-2009, P, DJE de 5-6-2009, Tema 158, com mérito julgado.]</w:t>
      </w:r>
    </w:p>
    <w:p>
      <w:pPr>
        <w:ind w:left="288"/>
      </w:pPr>
      <w:r>
        <w:rPr>
          <w:color w:val="8C8C8C"/>
          <w:sz w:val="12"/>
        </w:rPr>
        <w:t>cf-art-5-inc-XL</w:t>
      </w:r>
      <w:r>
        <w:rPr>
          <w:color w:val="003CA0"/>
          <w:sz w:val="12"/>
        </w:rPr>
        <w:t xml:space="preserve"> | HC 110.191</w:t>
      </w:r>
      <w:r>
        <w:rPr>
          <w:color w:val="003CA0"/>
          <w:sz w:val="12"/>
        </w:rPr>
        <w:t xml:space="preserve"> | rel. Gilmar Mendes</w:t>
      </w:r>
    </w:p>
    <w:p>
      <w:pPr>
        <w:ind w:left="288"/>
      </w:pPr>
      <w:r>
        <w:rPr>
          <w:color w:val="1E1E1E"/>
          <w:sz w:val="18"/>
        </w:rPr>
        <w:t>Registro de uma condenação anterior, por contravenção (dirigir sem habilitação), transitada em julgado em 28-6-1979. Decorridos mais de cinco anos desde a extinção da pena da condenação anterior (CP, art. 64, I), não é possível alargar a interpretação de modo a permitir o reconhecimento dos maus antecedentes. Aplicação do princípio da razoabilidade.</w:t>
      </w:r>
    </w:p>
    <w:p>
      <w:pPr>
        <w:ind w:left="288"/>
      </w:pPr>
      <w:r>
        <w:rPr>
          <w:b/>
          <w:color w:val="003CA0"/>
          <w:sz w:val="16"/>
        </w:rPr>
        <w:t>[HC 110.191, rel. min. Gilmar Mendes, j. 23-4-2013, 2ª T, DJE de 6-5-2013.]</w:t>
      </w:r>
    </w:p>
    <w:p>
      <w:pPr>
        <w:ind w:left="288"/>
      </w:pPr>
      <w:r>
        <w:rPr>
          <w:color w:val="8C8C8C"/>
          <w:sz w:val="12"/>
        </w:rPr>
        <w:t>cf-art-5-inc-XL</w:t>
      </w:r>
      <w:r>
        <w:rPr>
          <w:color w:val="003CA0"/>
          <w:sz w:val="12"/>
        </w:rPr>
        <w:t xml:space="preserve"> | HC 119.200</w:t>
      </w:r>
      <w:r>
        <w:rPr>
          <w:color w:val="003CA0"/>
          <w:sz w:val="12"/>
        </w:rPr>
        <w:t xml:space="preserve"> | rel. Dias Toffoli</w:t>
      </w:r>
    </w:p>
    <w:p>
      <w:pPr>
        <w:ind w:left="288"/>
      </w:pPr>
      <w:r>
        <w:rPr>
          <w:color w:val="1E1E1E"/>
          <w:sz w:val="18"/>
        </w:rPr>
        <w:t>= HC 119.200, rel. min. Dias Toffoli, j. 11-2-2014, 1ª T, DJE de 12-3-2014 Os militares, indivíduos que são, não foram excluídos da garantia constitucional da individualização da pena. Digo isso porque, de ordinário, a CF de 1988, quando quis tratar por modo diferenciado os servidores militares, o fez explicitamente.</w:t>
      </w:r>
    </w:p>
    <w:p>
      <w:pPr>
        <w:ind w:left="288"/>
      </w:pPr>
      <w:r>
        <w:rPr>
          <w:b/>
          <w:color w:val="003CA0"/>
          <w:sz w:val="16"/>
        </w:rPr>
        <w:t>[HC 104.174, rel. min. Ayres Britto, j. 29-3-2011, 2ª T, DJE de 18-5-2011.]</w:t>
      </w:r>
    </w:p>
    <w:p>
      <w:pPr>
        <w:ind w:left="288"/>
      </w:pPr>
      <w:r>
        <w:rPr>
          <w:color w:val="8C8C8C"/>
          <w:sz w:val="12"/>
        </w:rPr>
        <w:t>cf-art-5-inc-XL</w:t>
      </w:r>
      <w:r>
        <w:rPr>
          <w:color w:val="003CA0"/>
          <w:sz w:val="12"/>
        </w:rPr>
        <w:t xml:space="preserve"> | RHC 92.746</w:t>
      </w:r>
      <w:r>
        <w:rPr>
          <w:color w:val="003CA0"/>
          <w:sz w:val="12"/>
        </w:rPr>
        <w:t xml:space="preserve"> | rel. Cármen Lúcia</w:t>
      </w:r>
    </w:p>
    <w:p>
      <w:pPr>
        <w:ind w:left="288"/>
      </w:pPr>
      <w:r>
        <w:rPr>
          <w:color w:val="1E1E1E"/>
          <w:sz w:val="18"/>
        </w:rPr>
        <w:t>= RHC 92.746, rel. min. Cármen Lúcia, j. 11-3-2008, 1ª T, DJE de 9-5-2008 O STF entende que o deferimento de benefícios prisionais está vinculado ao preenchimento, pelo condenado, de requisitos objetivo e subjetivo. Sendo certo que, na aferição do pressuposto subjetivo, pode o juiz da execução usar o exame criminológico como um dos elementos de formação de sua convicção. Noutro falar: a ideia-força que orienta os julgados desta Corte é a de que o exame criminológico pode subsidiar as decisões do juiz das execuções criminais. Juiz, é bom que se diga, que não estará adstrito ao laudo técnico, po</w:t>
      </w:r>
    </w:p>
    <w:p>
      <w:pPr>
        <w:ind w:left="288"/>
      </w:pPr>
      <w:r>
        <w:rPr>
          <w:b/>
          <w:color w:val="003CA0"/>
          <w:sz w:val="16"/>
        </w:rPr>
        <w:t>[HC 94.208, rel. min. Ayres Britto, j. 10-11-2009, 1ª T, DJE de 18-12-2009.]</w:t>
      </w:r>
    </w:p>
    <w:p>
      <w:pPr>
        <w:ind w:left="288"/>
      </w:pPr>
      <w:r>
        <w:rPr>
          <w:color w:val="8C8C8C"/>
          <w:sz w:val="12"/>
        </w:rPr>
        <w:t>cf-art-5-inc-XL</w:t>
      </w:r>
      <w:r>
        <w:rPr>
          <w:color w:val="003CA0"/>
          <w:sz w:val="12"/>
        </w:rPr>
        <w:t xml:space="preserve"> | HC 103.733</w:t>
      </w:r>
      <w:r>
        <w:rPr>
          <w:color w:val="003CA0"/>
          <w:sz w:val="12"/>
        </w:rPr>
        <w:t xml:space="preserve"> | rel. Ricardo Lewandowski</w:t>
      </w:r>
    </w:p>
    <w:p>
      <w:pPr>
        <w:ind w:left="288"/>
      </w:pPr>
      <w:r>
        <w:rPr>
          <w:color w:val="1E1E1E"/>
          <w:sz w:val="18"/>
        </w:rPr>
        <w:t>= HC 103.733, rel. min. Ricardo Lewandowski, j. 26-10-2010, 1ª T, DJE de 19-11-2010 A dosimetria da pena exige do julgador uma cuidadosa ponderação dos efeitos ético-sociais da sanção e das garantias constitucionais, especialmente a garantia da individualização do castigo. Em matéria penal, a necessidade de fundamentação das decisões judiciais tem na fixação da pena um dos seus momentos culminantes. Não há ilegalidade ou abuso de poder se, no trajeto da aplicação da pena, o julgador explicita os motivos de sua decisão. O inconformismo do impetrante com a análise das circunstâncias do crime não</w:t>
      </w:r>
    </w:p>
    <w:p>
      <w:pPr>
        <w:ind w:left="288"/>
      </w:pPr>
      <w:r>
        <w:rPr>
          <w:b/>
          <w:color w:val="003CA0"/>
          <w:sz w:val="16"/>
        </w:rPr>
        <w:t>[RHC 95.778, rel. min. Ayres Britto, j. 15-9-2009, 1ª T, DJE de 16-10-2009.]</w:t>
      </w:r>
    </w:p>
    <w:p>
      <w:pPr>
        <w:ind w:left="288"/>
      </w:pPr>
      <w:r>
        <w:rPr>
          <w:color w:val="8C8C8C"/>
          <w:sz w:val="12"/>
        </w:rPr>
        <w:t>cf-art-5-inc-XL</w:t>
      </w:r>
      <w:r>
        <w:rPr>
          <w:color w:val="003CA0"/>
          <w:sz w:val="12"/>
        </w:rPr>
        <w:t xml:space="preserve"> | HC 72.148</w:t>
      </w:r>
      <w:r>
        <w:rPr>
          <w:color w:val="003CA0"/>
          <w:sz w:val="12"/>
        </w:rPr>
        <w:t xml:space="preserve"> | rel. Celso de Mello</w:t>
      </w:r>
    </w:p>
    <w:p>
      <w:pPr>
        <w:ind w:left="288"/>
      </w:pPr>
      <w:r>
        <w:rPr>
          <w:color w:val="1E1E1E"/>
          <w:sz w:val="18"/>
        </w:rPr>
        <w:t>= HC 72.148, rel. min. Celso de Mello, j. 28-3-1995, 1ª T, DJE de 11-12-2009 Vide HC 68.742, red. do ac. min. Ilmar Galvão, j. 28-6-1991, P, DJ de 2-4-1993 Não é nula a sentença que considera, para a elevação da pena-base pelos maus antecedentes e para a configuração da agravante de reincidência, condenações distintas.</w:t>
      </w:r>
    </w:p>
    <w:p>
      <w:pPr>
        <w:ind w:left="288"/>
      </w:pPr>
      <w:r>
        <w:rPr>
          <w:b/>
          <w:color w:val="003CA0"/>
          <w:sz w:val="16"/>
        </w:rPr>
        <w:t>[HC 94.839, rel. min. Cezar Peluso, j. 8-9-2009, 2ª T, DJE de 16-10-2009.]</w:t>
      </w:r>
    </w:p>
    <w:p>
      <w:pPr>
        <w:ind w:left="288"/>
      </w:pPr>
      <w:r>
        <w:rPr>
          <w:color w:val="8C8C8C"/>
          <w:sz w:val="12"/>
        </w:rPr>
        <w:t>cf-art-5-inc-XL</w:t>
      </w:r>
      <w:r>
        <w:rPr>
          <w:color w:val="003CA0"/>
          <w:sz w:val="12"/>
        </w:rPr>
        <w:t xml:space="preserve"> | HC 96.771</w:t>
      </w:r>
      <w:r>
        <w:rPr>
          <w:color w:val="003CA0"/>
          <w:sz w:val="12"/>
        </w:rPr>
        <w:t xml:space="preserve"> | rel. Gilmar Mendes</w:t>
      </w:r>
    </w:p>
    <w:p>
      <w:pPr>
        <w:ind w:left="288"/>
      </w:pPr>
      <w:r>
        <w:rPr>
          <w:color w:val="1E1E1E"/>
          <w:sz w:val="18"/>
        </w:rPr>
        <w:t>= HC 96.771, rel. min. Gilmar Mendes, j. 17-8-2010, 2ª T, DJE de 3-9-2010 Vide HC 98.803, rel. min. Ellen Gracie, j. 18-8-2009, 2ª T, DJE de 11-9-2009 Esta Corte tem orientação pacífica de que condenação criminal não considerada para efeito de reincidência – em razão de decurso de prazo previsto no art. 64, I, do CP – pode vir a sê-lo para efeito de maus antecedentes quando da análise das circunstâncias judiciais na dosimetria da pena.</w:t>
      </w:r>
    </w:p>
    <w:p>
      <w:pPr>
        <w:ind w:left="288"/>
      </w:pPr>
      <w:r>
        <w:rPr>
          <w:b/>
          <w:color w:val="003CA0"/>
          <w:sz w:val="16"/>
        </w:rPr>
        <w:t>[HC 98.803, rel. min. Ellen Gracie, j. 18-8-2009, 2ª T, DJE de 11-9-2009.]</w:t>
      </w:r>
    </w:p>
    <w:p>
      <w:pPr>
        <w:ind w:left="288"/>
      </w:pPr>
      <w:r>
        <w:rPr>
          <w:color w:val="8C8C8C"/>
          <w:sz w:val="12"/>
        </w:rPr>
        <w:t>cf-art-5-inc-XL</w:t>
      </w:r>
      <w:r>
        <w:rPr>
          <w:color w:val="003CA0"/>
          <w:sz w:val="12"/>
        </w:rPr>
        <w:t xml:space="preserve"> | HC 97.390</w:t>
      </w:r>
      <w:r>
        <w:rPr>
          <w:color w:val="003CA0"/>
          <w:sz w:val="12"/>
        </w:rPr>
        <w:t xml:space="preserve"> | rel. Ricardo Lewandowski</w:t>
      </w:r>
    </w:p>
    <w:p>
      <w:pPr>
        <w:ind w:left="288"/>
      </w:pPr>
      <w:r>
        <w:rPr>
          <w:color w:val="1E1E1E"/>
          <w:sz w:val="18"/>
        </w:rPr>
        <w:t xml:space="preserve">= HC 97.390, rel. min. Ricardo Lewandowski, j. 31-8-2010, 1ª T, DJE de 24-9-2010 = HC 110.191, rel. min. Gilmar Mendes, j. 23-4-2013, 2ª T, DJE de 6-5-2013 Vide HC 94.839, rel. min. Cezar Peluso, j. 8-9-2009, 2ª T, DJE de 16-10-2009 A condenação penal há de refletir a absoluta coerência lógico-jurídica que deve existir entre a motivação e a parte dispositiva da decisão, eis que a análise desses elementos – que necessariamente compõem a estrutura formal da sentença – permitirá concluir, em cada caso ocorrente, se a sua fundamentação ajusta-se, ou não, de maneira harmoniosa, à base empírica que </w:t>
      </w:r>
    </w:p>
    <w:p>
      <w:pPr>
        <w:ind w:left="288"/>
      </w:pPr>
      <w:r>
        <w:rPr>
          <w:b/>
          <w:color w:val="003CA0"/>
          <w:sz w:val="16"/>
        </w:rPr>
        <w:t>[HC 96.590, rel. min. Celso de Mello, j. 9-6-2009, 2ª T, DJE de 4-12-2009.]</w:t>
      </w:r>
    </w:p>
    <w:p>
      <w:pPr>
        <w:ind w:left="288"/>
      </w:pPr>
      <w:r>
        <w:rPr>
          <w:color w:val="8C8C8C"/>
          <w:sz w:val="12"/>
        </w:rPr>
        <w:t>cf-art-5-inc-XL</w:t>
      </w:r>
      <w:r>
        <w:rPr>
          <w:color w:val="003CA0"/>
          <w:sz w:val="12"/>
        </w:rPr>
        <w:t xml:space="preserve"> | HC 98.729</w:t>
      </w:r>
      <w:r>
        <w:rPr>
          <w:color w:val="003CA0"/>
          <w:sz w:val="12"/>
        </w:rPr>
        <w:t xml:space="preserve"> | rel. Ayres Britto</w:t>
      </w:r>
    </w:p>
    <w:p>
      <w:pPr>
        <w:ind w:left="288"/>
      </w:pPr>
      <w:r>
        <w:rPr>
          <w:color w:val="1E1E1E"/>
          <w:sz w:val="18"/>
        </w:rPr>
        <w:t>= HC 98.729, rel. min. Ayres Britto, j. 25-5-2010, 1ª T, DJE de 25-6-2010 Vide HC 95.614, rel. min. Ayres Britto, j. 13-10-2009, 1ª T, DJE de 13-11-2009 Não se considera reincidente quem pratica fato criminoso antes do trânsito em julgado de condenação penal por fato diverso.</w:t>
      </w:r>
    </w:p>
    <w:p>
      <w:pPr>
        <w:ind w:left="288"/>
      </w:pPr>
      <w:r>
        <w:rPr>
          <w:b/>
          <w:color w:val="003CA0"/>
          <w:sz w:val="16"/>
        </w:rPr>
        <w:t>[HC 96.997, rel. min. Cezar Peluso, j. 2-6-2009, 2ª T, DJE de 26-6-2009.]</w:t>
      </w:r>
    </w:p>
    <w:p>
      <w:pPr>
        <w:ind w:left="288"/>
      </w:pPr>
      <w:r>
        <w:rPr>
          <w:color w:val="8C8C8C"/>
          <w:sz w:val="12"/>
        </w:rPr>
        <w:t>cf-art-5-inc-XL</w:t>
      </w:r>
      <w:r>
        <w:rPr>
          <w:color w:val="003CA0"/>
          <w:sz w:val="12"/>
        </w:rPr>
        <w:t xml:space="preserve"> | HC 97.424</w:t>
      </w:r>
      <w:r>
        <w:rPr>
          <w:color w:val="003CA0"/>
          <w:sz w:val="12"/>
        </w:rPr>
        <w:t xml:space="preserve"> | rel. Cezar Peluso</w:t>
      </w:r>
    </w:p>
    <w:p>
      <w:pPr>
        <w:ind w:left="288"/>
      </w:pPr>
      <w:r>
        <w:rPr>
          <w:color w:val="1E1E1E"/>
          <w:sz w:val="18"/>
        </w:rPr>
        <w:t>A só reincidência não constitui razão suficiente para imposição de regime de cumprimento mais severo do que a pena aplicada autorize.</w:t>
      </w:r>
    </w:p>
    <w:p>
      <w:pPr>
        <w:ind w:left="288"/>
      </w:pPr>
      <w:r>
        <w:rPr>
          <w:b/>
          <w:color w:val="003CA0"/>
          <w:sz w:val="16"/>
        </w:rPr>
        <w:t>[HC 97.424, rel. min. Cezar Peluso, j. 2-6-2009, 2ª T, DJE de 26-6-2009.]</w:t>
      </w:r>
    </w:p>
    <w:p>
      <w:pPr>
        <w:ind w:left="288"/>
      </w:pPr>
      <w:r>
        <w:rPr>
          <w:color w:val="8C8C8C"/>
          <w:sz w:val="12"/>
        </w:rPr>
        <w:t>cf-art-5-inc-XL</w:t>
      </w:r>
      <w:r>
        <w:rPr>
          <w:color w:val="003CA0"/>
          <w:sz w:val="12"/>
        </w:rPr>
        <w:t xml:space="preserve"> | HC 122.031</w:t>
      </w:r>
      <w:r>
        <w:rPr>
          <w:color w:val="003CA0"/>
          <w:sz w:val="12"/>
        </w:rPr>
        <w:t xml:space="preserve"> | rel. Ricardo Lewandowski</w:t>
      </w:r>
    </w:p>
    <w:p>
      <w:pPr>
        <w:ind w:left="288"/>
      </w:pPr>
      <w:r>
        <w:rPr>
          <w:color w:val="1E1E1E"/>
          <w:sz w:val="18"/>
        </w:rPr>
        <w:t>Vide HC 122.031, rel. min. Ricardo Lewandowski, j. 6-5-2014, 2ª T, DJE de 26-5-2014 Substituição de pena privativa de liberdade por restritiva de direitos. Art. 44, II e § 3º, do CP. (...) A falta de fundamentação no tocante à denegação do benefício previsto no art. 44 do CP ofende o princípio da individualização da pena.</w:t>
      </w:r>
    </w:p>
    <w:p>
      <w:pPr>
        <w:ind w:left="288"/>
      </w:pPr>
      <w:r>
        <w:rPr>
          <w:b/>
          <w:color w:val="003CA0"/>
          <w:sz w:val="16"/>
        </w:rPr>
        <w:t>[HC 94.990, rel. min. Ricardo Lewandowski, j. 2-12-2008, 1ª T, DJE de 19-12-2008.]</w:t>
      </w:r>
    </w:p>
    <w:p>
      <w:pPr>
        <w:ind w:left="288"/>
      </w:pPr>
      <w:r>
        <w:rPr>
          <w:color w:val="8C8C8C"/>
          <w:sz w:val="12"/>
        </w:rPr>
        <w:t>cf-art-5-inc-XL</w:t>
      </w:r>
      <w:r>
        <w:rPr>
          <w:color w:val="003CA0"/>
          <w:sz w:val="12"/>
        </w:rPr>
        <w:t xml:space="preserve"> | HC 94.874</w:t>
      </w:r>
      <w:r>
        <w:rPr>
          <w:color w:val="003CA0"/>
          <w:sz w:val="12"/>
        </w:rPr>
        <w:t xml:space="preserve"> | rel. Ricardo Lewandowski</w:t>
      </w:r>
    </w:p>
    <w:p>
      <w:pPr>
        <w:ind w:left="288"/>
      </w:pPr>
      <w:r>
        <w:rPr>
          <w:color w:val="1E1E1E"/>
          <w:sz w:val="18"/>
        </w:rPr>
        <w:t>Toda a vez que alguém é condenado por crime doloso à pena não superior a quatro anos, o julgador deve manifestar-se, fundamentadamente, se é ou não o caso de substituição da sanção corporal pela restritiva de direitos. Estando presentes os seus pressupostos, a substituição torna-se imperativa. É necessário, pois, que o juízo fundamente a não aplicação do art. 44 do CP, sob pena de ofensa ao princípio da individualização da pena.</w:t>
      </w:r>
    </w:p>
    <w:p>
      <w:pPr>
        <w:ind w:left="288"/>
      </w:pPr>
      <w:r>
        <w:rPr>
          <w:b/>
          <w:color w:val="003CA0"/>
          <w:sz w:val="16"/>
        </w:rPr>
        <w:t>[HC 94.874, rel. min. Ricardo Lewandowski, j. 21-10-2008, 1ª T, DJE de 12-12-2008.]</w:t>
      </w:r>
    </w:p>
    <w:p>
      <w:pPr>
        <w:ind w:left="288"/>
      </w:pPr>
      <w:r>
        <w:rPr>
          <w:color w:val="8C8C8C"/>
          <w:sz w:val="12"/>
        </w:rPr>
        <w:t>cf-art-5-inc-XL</w:t>
      </w:r>
      <w:r>
        <w:rPr>
          <w:color w:val="003CA0"/>
          <w:sz w:val="12"/>
        </w:rPr>
        <w:t xml:space="preserve"> | HC 100.791</w:t>
      </w:r>
      <w:r>
        <w:rPr>
          <w:color w:val="003CA0"/>
          <w:sz w:val="12"/>
        </w:rPr>
        <w:t xml:space="preserve"> | rel. Ellen Gracie</w:t>
      </w:r>
    </w:p>
    <w:p>
      <w:pPr>
        <w:ind w:left="288"/>
      </w:pPr>
      <w:r>
        <w:rPr>
          <w:color w:val="1E1E1E"/>
          <w:sz w:val="18"/>
        </w:rPr>
        <w:t>Vide HC 100.791, rel. min. Ellen Gracie, j. 24-11-2009, 2ª T, DJE de 11-12-2009 O instituto da continuidade delitiva é modalidade de concreção da garantia constitucional da individualização da pena, a operar mediante benefício àqueles que, nas mesmas circunstâncias de tempo, modo e lugar de execução, cometem crimes da mesma espécie.</w:t>
      </w:r>
    </w:p>
    <w:p>
      <w:pPr>
        <w:ind w:left="288"/>
      </w:pPr>
      <w:r>
        <w:rPr>
          <w:b/>
          <w:color w:val="003CA0"/>
          <w:sz w:val="16"/>
        </w:rPr>
        <w:t>[HC 93.536, rel. min. Ayres Britto, j. 16-9-2008, 1ª T, DJE de 7-8-2009.]</w:t>
      </w:r>
    </w:p>
    <w:p>
      <w:pPr>
        <w:ind w:left="288"/>
      </w:pPr>
      <w:r>
        <w:rPr>
          <w:color w:val="8C8C8C"/>
          <w:sz w:val="12"/>
        </w:rPr>
        <w:t>cf-art-5-inc-XL</w:t>
      </w:r>
      <w:r>
        <w:rPr>
          <w:color w:val="003CA0"/>
          <w:sz w:val="12"/>
        </w:rPr>
        <w:t xml:space="preserve"> | HC 98.831</w:t>
      </w:r>
      <w:r>
        <w:rPr>
          <w:color w:val="003CA0"/>
          <w:sz w:val="12"/>
        </w:rPr>
        <w:t xml:space="preserve"> | rel. Cármen Lúcia</w:t>
      </w:r>
    </w:p>
    <w:p>
      <w:pPr>
        <w:ind w:left="288"/>
      </w:pPr>
      <w:r>
        <w:rPr>
          <w:color w:val="1E1E1E"/>
          <w:sz w:val="18"/>
        </w:rPr>
        <w:t>= HC 98.831, rel. min. Cármen Lúcia, j. 10-11-2009, 1ª T, DJE de 28-5-2010 A individualização da pena não é violada pelo mero fato de as circunstâncias judiciais de alguns réus serem analisadas conjuntamente. Mera irregularidade técnica, que não acarreta qualquer nulidade passível de declaração na via do habeas corpus.</w:t>
      </w:r>
    </w:p>
    <w:p>
      <w:pPr>
        <w:ind w:left="288"/>
      </w:pPr>
      <w:r>
        <w:rPr>
          <w:b/>
          <w:color w:val="003CA0"/>
          <w:sz w:val="16"/>
        </w:rPr>
        <w:t>[RHC 91.190, rel. min. Joaquim Barbosa, j. 29-4-2008, 2ª T, DJE de 1º-8-2008.]</w:t>
      </w:r>
    </w:p>
    <w:p>
      <w:pPr>
        <w:ind w:left="288"/>
      </w:pPr>
      <w:r>
        <w:rPr>
          <w:color w:val="8C8C8C"/>
          <w:sz w:val="12"/>
        </w:rPr>
        <w:t>cf-art-5-inc-XL</w:t>
      </w:r>
      <w:r>
        <w:rPr>
          <w:color w:val="003CA0"/>
          <w:sz w:val="12"/>
        </w:rPr>
        <w:t xml:space="preserve"> | HC 90.991</w:t>
      </w:r>
      <w:r>
        <w:rPr>
          <w:color w:val="003CA0"/>
          <w:sz w:val="12"/>
        </w:rPr>
        <w:t xml:space="preserve"> | rel. Ayres Britto</w:t>
      </w:r>
    </w:p>
    <w:p>
      <w:pPr>
        <w:ind w:left="288"/>
      </w:pPr>
      <w:r>
        <w:rPr>
          <w:color w:val="1E1E1E"/>
          <w:sz w:val="18"/>
        </w:rPr>
        <w:t>As penas restritivas de direito têm assento constitucional (inciso XLVI do art. 5º da CF) e são timbradas pela contraposição aos efeitos certamente traumáticos e estigmatizantes do cárcere. O exame dos requisitos necessários à substituição integra o já tradicional "sistema trifásico" de aplicação de pena. Donde o magistrado não poder silenciar sobre o art. 44 do CP (art. 59 do CP). Para atender à teleologia da norma, o juiz precisa adentrar no exame das circunstâncias do caso concreto para nelas encontrar os fundamentos da negativa ou da concessão das penas restritivas de direito. No caso, a m</w:t>
      </w:r>
    </w:p>
    <w:p>
      <w:pPr>
        <w:ind w:left="288"/>
      </w:pPr>
      <w:r>
        <w:rPr>
          <w:b/>
          <w:color w:val="003CA0"/>
          <w:sz w:val="16"/>
        </w:rPr>
        <w:t>[HC 90.991, Rel. Min. Ayres Britto, j. 21-6-2007, 1ª T, DJ de 19-12-2007.]</w:t>
      </w:r>
    </w:p>
    <w:p>
      <w:pPr>
        <w:ind w:left="288"/>
      </w:pPr>
      <w:r>
        <w:rPr>
          <w:color w:val="8C8C8C"/>
          <w:sz w:val="12"/>
        </w:rPr>
        <w:t>cf-art-5-inc-XL</w:t>
      </w:r>
      <w:r>
        <w:rPr>
          <w:color w:val="003CA0"/>
          <w:sz w:val="12"/>
        </w:rPr>
        <w:t xml:space="preserve"> | HC 70.022</w:t>
      </w:r>
      <w:r>
        <w:rPr>
          <w:color w:val="003CA0"/>
          <w:sz w:val="12"/>
        </w:rPr>
        <w:t xml:space="preserve"> | rel. Celso de Mello</w:t>
      </w:r>
    </w:p>
    <w:p>
      <w:pPr>
        <w:ind w:left="288"/>
      </w:pPr>
      <w:r>
        <w:rPr>
          <w:color w:val="1E1E1E"/>
          <w:sz w:val="18"/>
        </w:rPr>
        <w:t>A norma consubstanciada no art. 29 do CP, que contém atenuações ao princípio da unidade do crime, não impede que o magistrado, ao proferir a sentença penal condenatória, imponha penas desiguais ao autor e ao coautor da prática delituosa. A possibilidade jurídica desse tratamento penal diferenciado justifica-se, quer em face do próprio princípio constitucional da individualização das penas, quer em função da cláusula legal que, inscrita no art. 29, caput, in fine, do CP, destina-se a "minorar os excessos da equiparação global dos coautores" (...).</w:t>
      </w:r>
    </w:p>
    <w:p>
      <w:pPr>
        <w:ind w:left="288"/>
      </w:pPr>
      <w:r>
        <w:rPr>
          <w:b/>
          <w:color w:val="003CA0"/>
          <w:sz w:val="16"/>
        </w:rPr>
        <w:t>[HC 70.022, rel. min. Celso de Mello, j. 20-4-1993, 1ª T, DJ de 14-5-1993.]</w:t>
      </w:r>
    </w:p>
    <w:p>
      <w:pPr>
        <w:ind w:left="288"/>
      </w:pPr>
      <w:r>
        <w:rPr>
          <w:color w:val="8C8C8C"/>
          <w:sz w:val="12"/>
        </w:rPr>
        <w:t>cf-art-5-inc-XL</w:t>
      </w:r>
      <w:r>
        <w:rPr>
          <w:color w:val="003CA0"/>
          <w:sz w:val="12"/>
        </w:rPr>
        <w:t xml:space="preserve"> | HC 69.419</w:t>
      </w:r>
      <w:r>
        <w:rPr>
          <w:color w:val="003CA0"/>
          <w:sz w:val="12"/>
        </w:rPr>
        <w:t xml:space="preserve"> | rel. Sepúlveda Pertence</w:t>
      </w:r>
    </w:p>
    <w:p>
      <w:pPr>
        <w:ind w:left="288"/>
      </w:pPr>
      <w:r>
        <w:rPr>
          <w:color w:val="1E1E1E"/>
          <w:sz w:val="18"/>
        </w:rPr>
        <w:t>A exigência de motivação da individualização da pena – hoje, garantia constitucional do condenado (CF, arts. 5º, XLVI, e 93, IX) – não se satisfaz com a existência na sentença de frases ou palavras quaisquer, a pretexto de cumpri-la: a fundamentação há de explicitar a sua base empírica, e esta, de sua vez, há de guardar relação de pertinência, legalmente adequada, com a exasperação da sanção penal, que visou a justificar.</w:t>
      </w:r>
    </w:p>
    <w:p>
      <w:pPr>
        <w:ind w:left="288"/>
      </w:pPr>
      <w:r>
        <w:rPr>
          <w:b/>
          <w:color w:val="003CA0"/>
          <w:sz w:val="16"/>
        </w:rPr>
        <w:t>[HC 69.419, rel. min. Sepúlveda Pertence, j. 23-6-1992, 1ª T, DJ de 28-8-1992.]</w:t>
      </w:r>
    </w:p>
    <w:p>
      <w:pPr>
        <w:ind w:left="288"/>
      </w:pPr>
      <w:r>
        <w:rPr>
          <w:color w:val="8C8C8C"/>
          <w:sz w:val="12"/>
        </w:rPr>
        <w:t>cf-art-5-inc-XL</w:t>
      </w:r>
      <w:r>
        <w:rPr>
          <w:color w:val="003CA0"/>
          <w:sz w:val="12"/>
        </w:rPr>
        <w:t xml:space="preserve"> | HC 93.857</w:t>
      </w:r>
      <w:r>
        <w:rPr>
          <w:color w:val="003CA0"/>
          <w:sz w:val="12"/>
        </w:rPr>
        <w:t xml:space="preserve"> | rel. Cezar Peluso</w:t>
      </w:r>
    </w:p>
    <w:p>
      <w:pPr>
        <w:ind w:left="288"/>
      </w:pPr>
      <w:r>
        <w:rPr>
          <w:color w:val="1E1E1E"/>
          <w:sz w:val="18"/>
        </w:rPr>
        <w:t>= HC 93.857, rel. min. Cezar Peluso, j. 25-8-2009, 2ª T, DJE de 16-10-2009</w:t>
      </w:r>
    </w:p>
    <w:p>
      <w:pPr>
        <w:ind w:left="288"/>
      </w:pPr>
      <w:r>
        <w:rPr>
          <w:color w:val="8C8C8C"/>
          <w:sz w:val="12"/>
        </w:rPr>
        <w:t>cf-art-5-inc-XL-ali-a</w:t>
      </w:r>
      <w:r>
        <w:rPr>
          <w:color w:val="003CA0"/>
          <w:sz w:val="12"/>
        </w:rPr>
        <w:t xml:space="preserve"> | RE 430.105</w:t>
      </w:r>
      <w:r>
        <w:rPr>
          <w:color w:val="003CA0"/>
          <w:sz w:val="12"/>
        </w:rPr>
        <w:t xml:space="preserve"> | rel. Sepúlveda Pertence</w:t>
      </w:r>
    </w:p>
    <w:p>
      <w:pPr>
        <w:ind w:left="288"/>
      </w:pPr>
      <w:r>
        <w:rPr>
          <w:color w:val="1E1E1E"/>
          <w:sz w:val="18"/>
        </w:rPr>
        <w:t>Posse de droga para consumo pessoal (art. 28 da Lei 11.343/2006 – nova lei de drogas): natureza jurídica de crime. O art. 1º da Lei de Introdução ao Código Penal – que se limita a estabelecer um critério que permite distinguir quando se está diante de um crime ou de uma contravenção – não obsta a que lei ordinária superveniente adote outros critérios gerais de distinção, ou estabeleça para determinado crime – como o fez o art. 28 da Lei 11.343/2006 – pena diversa da privação ou restrição da liberdade, a qual constitui somente uma das opções constitucionais passíveis de adoção pela lei incrimin</w:t>
      </w:r>
    </w:p>
    <w:p>
      <w:pPr>
        <w:ind w:left="288"/>
      </w:pPr>
      <w:r>
        <w:rPr>
          <w:b/>
          <w:color w:val="003CA0"/>
          <w:sz w:val="16"/>
        </w:rPr>
        <w:t>[RE 430.105 QO, rel. min. Sepúlveda Pertence, j. 13-2-2007, 1ª T, DJ de 27-4-2007.]</w:t>
      </w:r>
    </w:p>
    <w:p>
      <w:pPr>
        <w:ind w:left="288"/>
      </w:pPr>
      <w:r>
        <w:rPr>
          <w:color w:val="8C8C8C"/>
          <w:sz w:val="12"/>
        </w:rPr>
        <w:t>cf-art-5-inc-XL-ali-b</w:t>
      </w:r>
      <w:r>
        <w:rPr>
          <w:color w:val="003CA0"/>
          <w:sz w:val="12"/>
        </w:rPr>
        <w:t xml:space="preserve"> | RE 251.008</w:t>
      </w:r>
    </w:p>
    <w:p>
      <w:pPr>
        <w:ind w:left="288"/>
      </w:pPr>
      <w:r>
        <w:rPr>
          <w:color w:val="1E1E1E"/>
          <w:sz w:val="18"/>
        </w:rPr>
        <w:t>Quanto à suposta incompatibilidade entre a previsão da pena administrativa de perdimento de bens e o art. 5º, XLVI, b, da Constituição em vigor, melhor sorte não fica à agravante, consoante penso já ter advertido na decisão agravada: "(...) não precisa esforço algum por atinar com a impertinência da invocação de regra que, introduzida pela vigente CF, seria incompatível com a perseverança das normas jurídicas que serviram de fundamento à pena de perdimento do bem. O art. 5º, XLVI, b, da Constituição vigente não incidiria de nenhum modo no caso, e isso basta por repelir o recurso extraordinário</w:t>
      </w:r>
    </w:p>
    <w:p>
      <w:pPr>
        <w:ind w:left="288"/>
      </w:pPr>
      <w:r>
        <w:rPr>
          <w:b/>
          <w:color w:val="003CA0"/>
          <w:sz w:val="16"/>
        </w:rPr>
        <w:t>[RE 251.008 AgR, voto do min. Cezar Peluso, j. 28-3-2006, 1ª T, DJ de 16-6-2006.]</w:t>
      </w:r>
    </w:p>
    <w:p>
      <w:pPr>
        <w:ind w:left="288"/>
      </w:pPr>
      <w:r>
        <w:rPr>
          <w:color w:val="8C8C8C"/>
          <w:sz w:val="12"/>
        </w:rPr>
        <w:t>cf-art-5-inc-XL-ali-c</w:t>
      </w:r>
      <w:r>
        <w:rPr>
          <w:color w:val="003CA0"/>
          <w:sz w:val="12"/>
        </w:rPr>
        <w:t xml:space="preserve"> | ADI 7.032</w:t>
      </w:r>
      <w:r>
        <w:rPr>
          <w:color w:val="003CA0"/>
          <w:sz w:val="12"/>
        </w:rPr>
        <w:t xml:space="preserve"> | rel. Flávio Dino</w:t>
      </w:r>
    </w:p>
    <w:p>
      <w:pPr>
        <w:ind w:left="288"/>
      </w:pPr>
      <w:r>
        <w:rPr>
          <w:color w:val="1E1E1E"/>
          <w:sz w:val="18"/>
        </w:rPr>
        <w:t>A alteração legislativa implementada no art. 51 do Código Penal, pela Lei nº 13.964/2019, não desnaturou a pena de multa, que permanece dotada do caráter de sanção criminal, a teor do art. 5º, XLVI, “c”, da Constituição da República. (...) É constitucional condicionar o reconhecimento da extinção da punibilidade ao efetivo pagamento da pena de multa - conjuntamente cominada com a pena privativa de liberdade -, ressalvada a hipótese em que demonstrada a impossibilidade de pagamento da sanção patrimonial.</w:t>
      </w:r>
    </w:p>
    <w:p>
      <w:pPr>
        <w:ind w:left="288"/>
      </w:pPr>
      <w:r>
        <w:rPr>
          <w:b/>
          <w:color w:val="003CA0"/>
          <w:sz w:val="16"/>
        </w:rPr>
        <w:t>[ADI 7.032, rel. min. Flávio Dino, j. 25.03.2024, P, DJE de 12.04.2024.]</w:t>
      </w:r>
    </w:p>
    <w:p>
      <w:pPr>
        <w:ind w:left="288"/>
      </w:pPr>
      <w:r>
        <w:rPr>
          <w:color w:val="8C8C8C"/>
          <w:sz w:val="12"/>
        </w:rPr>
        <w:t>cf-art-5-inc-XL-ali-c</w:t>
      </w:r>
      <w:r>
        <w:rPr>
          <w:color w:val="003CA0"/>
          <w:sz w:val="12"/>
        </w:rPr>
        <w:t xml:space="preserve"> | ADI 3.150</w:t>
      </w:r>
    </w:p>
    <w:p>
      <w:pPr>
        <w:ind w:left="288"/>
      </w:pPr>
      <w:r>
        <w:rPr>
          <w:color w:val="1E1E1E"/>
          <w:sz w:val="18"/>
        </w:rPr>
        <w:t>A Lei 9.268/1996, ao considerar a multa penal como dívida de valor, não retirou dela o caráter de sanção criminal, que lhe é inerente por força do art. 5º, XLVI, c, da Constituição Federal. Como consequência, a legitimação prioritária para a execução da multa penal é do Ministério Público perante a Vara de Execuções Penais. Por ser também dívida de valor em face do Poder Público, a multa pode ser subsidiariamente cobrada pela Fazenda Pública, na Vara de Execução Fiscal, se o Ministério Público não houver atuado em prazo razoável (90 dias).</w:t>
      </w:r>
    </w:p>
    <w:p>
      <w:pPr>
        <w:ind w:left="288"/>
      </w:pPr>
      <w:r>
        <w:rPr>
          <w:b/>
          <w:color w:val="003CA0"/>
          <w:sz w:val="16"/>
        </w:rPr>
        <w:t>[ADI 3.150, red. do ac. min. Roberto Barroso, j. 13-12-2018, P, DJE de 6-8-2019.]</w:t>
      </w:r>
    </w:p>
    <w:p>
      <w:pPr>
        <w:ind w:left="288"/>
      </w:pPr>
      <w:r>
        <w:rPr>
          <w:color w:val="8C8C8C"/>
          <w:sz w:val="12"/>
        </w:rPr>
        <w:t>cf-art-5-inc-XL-ali-c</w:t>
      </w:r>
      <w:r>
        <w:rPr>
          <w:color w:val="003CA0"/>
          <w:sz w:val="12"/>
        </w:rPr>
        <w:t xml:space="preserve"> | RE 1.377.843</w:t>
      </w:r>
      <w:r>
        <w:rPr>
          <w:color w:val="003CA0"/>
          <w:sz w:val="12"/>
        </w:rPr>
        <w:t xml:space="preserve"> | rel. Luiz Fux</w:t>
      </w:r>
    </w:p>
    <w:p>
      <w:pPr>
        <w:ind w:left="288"/>
      </w:pPr>
      <w:r>
        <w:rPr>
          <w:color w:val="1E1E1E"/>
          <w:sz w:val="18"/>
        </w:rPr>
        <w:t>Legitimidade subsidiária da Procuradoria da Fazenda Pública, após a vigência da Lei 13.964/2019, para execução de pena de multa decorrente de condenação criminal, nos casos de inércia do Ministério Público.</w:t>
      </w:r>
    </w:p>
    <w:p>
      <w:pPr>
        <w:ind w:left="288"/>
      </w:pPr>
      <w:r>
        <w:rPr>
          <w:b/>
          <w:color w:val="003CA0"/>
          <w:sz w:val="16"/>
        </w:rPr>
        <w:t>[RE 1.377.843 RG, rel. min. Luiz Fux, j. 2-6-2022, P, DJE de 10-6-2022, Tema 1.219, com mérito pendente.]</w:t>
      </w:r>
    </w:p>
    <w:p>
      <w:pPr>
        <w:ind w:left="288"/>
      </w:pPr>
      <w:r>
        <w:rPr>
          <w:color w:val="8C8C8C"/>
          <w:sz w:val="12"/>
        </w:rPr>
        <w:t>cf-art-5-inc-XL-ali-c</w:t>
      </w:r>
      <w:r>
        <w:rPr>
          <w:color w:val="003CA0"/>
          <w:sz w:val="12"/>
        </w:rPr>
        <w:t xml:space="preserve"> | RE 1.346.152</w:t>
      </w:r>
      <w:r>
        <w:rPr>
          <w:color w:val="003CA0"/>
          <w:sz w:val="12"/>
        </w:rPr>
        <w:t xml:space="preserve"> | rel. Alexandre de Moraes</w:t>
      </w:r>
    </w:p>
    <w:p>
      <w:pPr>
        <w:ind w:left="288"/>
      </w:pPr>
      <w:r>
        <w:rPr>
          <w:color w:val="1E1E1E"/>
          <w:sz w:val="18"/>
        </w:rPr>
        <w:t>Recurso Extraordinário conhecido e com proposta de submissão ao regime de Repercussão Geral, com a fixação do seguinte Tema: “Possibilidade de o magistrado, na sentença penal condenatória, deixar de aplicar a pena de multa a pessoa em situação de rua, diante da presunção absoluta de hipossuficiência econômica, em face da proteção do mínimo existencial e dos arts. 1º, III; 5º, caput, II, XLVI e 37, caput, da Constituição Federal.”</w:t>
      </w:r>
    </w:p>
    <w:p>
      <w:pPr>
        <w:ind w:left="288"/>
      </w:pPr>
      <w:r>
        <w:rPr>
          <w:b/>
          <w:color w:val="003CA0"/>
          <w:sz w:val="16"/>
        </w:rPr>
        <w:t>[RE 1.346.152, rel. min. Alexandre de Moraes, red. do ac. min. Flávio Dino, j. 26-11-2025, 1ª T, DJE de 5-3-2026.]</w:t>
      </w:r>
    </w:p>
    <w:p>
      <w:pPr>
        <w:ind w:left="288"/>
      </w:pPr>
      <w:r>
        <w:rPr>
          <w:color w:val="8C8C8C"/>
          <w:sz w:val="12"/>
        </w:rPr>
        <w:t>cf-art-5-inc-XL-ali-c</w:t>
      </w:r>
      <w:r>
        <w:rPr>
          <w:color w:val="003CA0"/>
          <w:sz w:val="12"/>
        </w:rPr>
        <w:t xml:space="preserve"> | rel. Roberto Barroso</w:t>
      </w:r>
    </w:p>
    <w:p>
      <w:pPr>
        <w:ind w:left="288"/>
      </w:pPr>
      <w:r>
        <w:rPr>
          <w:color w:val="1E1E1E"/>
          <w:sz w:val="18"/>
        </w:rPr>
        <w:t>O inadimplemento deliberado da pena de multa cumulativamente aplicada ao sentenciado impede a progressão no regime prisional. Tal regra somente é excepcionada pela comprovação da absoluta impossibilidade econômica do apenado em pagar a multa, ainda que parceladamente.</w:t>
      </w:r>
    </w:p>
    <w:p>
      <w:pPr>
        <w:ind w:left="288"/>
      </w:pPr>
      <w:r>
        <w:rPr>
          <w:b/>
          <w:color w:val="003CA0"/>
          <w:sz w:val="16"/>
        </w:rPr>
        <w:t>[EP 12 ProgReg-AgR, rel. min. Roberto Barroso, j. 8-4-2015, P, DJE de 11-6-2015.]</w:t>
      </w:r>
    </w:p>
    <w:p>
      <w:pPr>
        <w:ind w:left="288"/>
      </w:pPr>
      <w:r>
        <w:rPr>
          <w:color w:val="8C8C8C"/>
          <w:sz w:val="12"/>
        </w:rPr>
        <w:t>cf-art-5-inc-XL-ali-d</w:t>
      </w:r>
      <w:r>
        <w:rPr>
          <w:color w:val="003CA0"/>
          <w:sz w:val="12"/>
        </w:rPr>
        <w:t xml:space="preserve"> | HC 88.741</w:t>
      </w:r>
      <w:r>
        <w:rPr>
          <w:color w:val="003CA0"/>
          <w:sz w:val="12"/>
        </w:rPr>
        <w:t xml:space="preserve"> | rel. Eros Grau</w:t>
      </w:r>
    </w:p>
    <w:p>
      <w:pPr>
        <w:ind w:left="288"/>
      </w:pPr>
      <w:r>
        <w:rPr>
          <w:color w:val="1E1E1E"/>
          <w:sz w:val="18"/>
        </w:rPr>
        <w:t>Pena de detenção substituída pela restritiva de direitos (prestação de serviços comunitários). (...) Embora haja precedentes de que as penas restritivas de direito não ensejam cumprimento antes de seu trânsito em julgado (HC 88.741, rel. min. Eros Grau, e RHC 86.086, rel. min. Marco Aurélio), tem-se que o mesmo tema pode ser interpretado em sentido oposto, em favor da sociedade, destinatária da prestação de serviços comunitários.</w:t>
      </w:r>
    </w:p>
    <w:p>
      <w:pPr>
        <w:ind w:left="288"/>
      </w:pPr>
      <w:r>
        <w:rPr>
          <w:b/>
          <w:color w:val="003CA0"/>
          <w:sz w:val="16"/>
        </w:rPr>
        <w:t>[AC 1.806 AgR, rel. min. Ayres Britto, j. 20-11-2007, 1ª T, DJE de 31-10-2008.]</w:t>
      </w:r>
    </w:p>
    <w:p>
      <w:pPr>
        <w:ind w:left="288"/>
      </w:pPr>
      <w:r>
        <w:rPr>
          <w:color w:val="8C8C8C"/>
          <w:sz w:val="12"/>
        </w:rPr>
        <w:t>cf-art-5-inc-XL-ali-d</w:t>
      </w:r>
      <w:r>
        <w:rPr>
          <w:color w:val="003CA0"/>
          <w:sz w:val="12"/>
        </w:rPr>
        <w:t xml:space="preserve"> | HC 68.309</w:t>
      </w:r>
      <w:r>
        <w:rPr>
          <w:color w:val="003CA0"/>
          <w:sz w:val="12"/>
        </w:rPr>
        <w:t xml:space="preserve"> | rel. Celso de Mello</w:t>
      </w:r>
    </w:p>
    <w:p>
      <w:pPr>
        <w:ind w:left="288"/>
      </w:pPr>
      <w:r>
        <w:rPr>
          <w:color w:val="1E1E1E"/>
          <w:sz w:val="18"/>
        </w:rPr>
        <w:t>A prestação de serviços à comunidade constitui sanção jurídica revestida de caráter penal. Trata-se de medida alternativa ou substitutiva da pena privativa de liberdade. Submete-se, em consequência, ao regime jurídico-constitucional das penas e sofre todas as limitações impostas pelos princípios tutelares da liberdade individual. A exigência judicial de doação de sangue não se ajusta aos parâmetros conceituais, fixados pelo ordenamento positivo, pertinentes à própria inteligência da expressão legal "prestação de serviços à comunidade", cujo sentido, claro e inequívoco, veicula a ideia de reali</w:t>
      </w:r>
    </w:p>
    <w:p>
      <w:pPr>
        <w:ind w:left="288"/>
      </w:pPr>
      <w:r>
        <w:rPr>
          <w:b/>
          <w:color w:val="003CA0"/>
          <w:sz w:val="16"/>
        </w:rPr>
        <w:t>[HC 68.309, rel. min. Celso de Mello, j. 27-11-1990, 1ª T, DJ de 8-3-1991.]</w:t>
      </w:r>
    </w:p>
    <w:p>
      <w:pPr>
        <w:ind w:left="288"/>
      </w:pPr>
      <w:r>
        <w:rPr>
          <w:color w:val="8C8C8C"/>
          <w:sz w:val="12"/>
        </w:rPr>
        <w:t>cf-art-5-inc-XL-ali-e</w:t>
      </w:r>
      <w:r>
        <w:rPr>
          <w:color w:val="003CA0"/>
          <w:sz w:val="12"/>
        </w:rPr>
        <w:t xml:space="preserve"> | ARE 1.470.552</w:t>
      </w:r>
      <w:r>
        <w:rPr>
          <w:color w:val="003CA0"/>
          <w:sz w:val="12"/>
        </w:rPr>
        <w:t xml:space="preserve"> | rel. Edson Fachin</w:t>
      </w:r>
    </w:p>
    <w:p>
      <w:pPr>
        <w:ind w:left="288"/>
      </w:pPr>
      <w:r>
        <w:rPr>
          <w:color w:val="1E1E1E"/>
          <w:sz w:val="18"/>
        </w:rPr>
        <w:t>XLVII - não haverá penas: Direito de liberdade de expressão e produção literária do preso, frente às exigências de segurança pública e disciplina carcerária.</w:t>
      </w:r>
    </w:p>
    <w:p>
      <w:pPr>
        <w:ind w:left="288"/>
      </w:pPr>
      <w:r>
        <w:rPr>
          <w:b/>
          <w:color w:val="003CA0"/>
          <w:sz w:val="16"/>
        </w:rPr>
        <w:t>[ARE 1.470.552 RG, rel. min. Edson Fachin, j. 14.2.2025, P, DJE de 21.2.2025, Tema 1.371, com mérito pendente.]</w:t>
      </w:r>
    </w:p>
    <w:p>
      <w:pPr>
        <w:ind w:left="288"/>
      </w:pPr>
      <w:r>
        <w:rPr>
          <w:color w:val="8C8C8C"/>
          <w:sz w:val="12"/>
        </w:rPr>
        <w:t>cf-art-5-inc-XL-ali-e</w:t>
      </w:r>
      <w:r>
        <w:rPr>
          <w:color w:val="003CA0"/>
          <w:sz w:val="12"/>
        </w:rPr>
        <w:t xml:space="preserve"> | EXT 1.428</w:t>
      </w:r>
      <w:r>
        <w:rPr>
          <w:color w:val="003CA0"/>
          <w:sz w:val="12"/>
        </w:rPr>
        <w:t xml:space="preserve"> | rel. Gilmar Mendes</w:t>
      </w:r>
    </w:p>
    <w:p>
      <w:pPr>
        <w:ind w:left="288"/>
      </w:pPr>
      <w:r>
        <w:rPr>
          <w:color w:val="1E1E1E"/>
          <w:sz w:val="18"/>
        </w:rPr>
        <w:t xml:space="preserve">A Constituição da República e os Tratados Internacionais assinados pelo Brasil proíbem a aplicação da pena de morte e os tratamentos cruéis, desumanos e degradantes. A jurisprudência do STF e das Cortes internacionais seguem o mesmo entendimento. O próprio Tratado de Extradição entre a República Federativa do Brasil e a República Popular da China, em execução por força do Decreto 8.431/2015, prevê a recusa obrigatória da entrega caso a pena imposta conflite com princípios fundamentais do direito da parte requerida, conforme se observa do artigo 3, 1., “i”. A aplicação de pena de morte em caso </w:t>
      </w:r>
    </w:p>
    <w:p>
      <w:pPr>
        <w:ind w:left="288"/>
      </w:pPr>
      <w:r>
        <w:rPr>
          <w:b/>
          <w:color w:val="003CA0"/>
          <w:sz w:val="16"/>
        </w:rPr>
        <w:t>[Ext 1.428, rel. min. Gilmar Mendes, j. 07.05.2019, 2ª T, DJE de 17.08 2020.]</w:t>
      </w:r>
    </w:p>
    <w:p>
      <w:pPr>
        <w:ind w:left="288"/>
      </w:pPr>
      <w:r>
        <w:rPr>
          <w:color w:val="8C8C8C"/>
          <w:sz w:val="12"/>
        </w:rPr>
        <w:t>cf-art-5-inc-XL-ali-e</w:t>
      </w:r>
      <w:r>
        <w:rPr>
          <w:color w:val="003CA0"/>
          <w:sz w:val="12"/>
        </w:rPr>
        <w:t xml:space="preserve"> | EXT 986</w:t>
      </w:r>
      <w:r>
        <w:rPr>
          <w:color w:val="003CA0"/>
          <w:sz w:val="12"/>
        </w:rPr>
        <w:t xml:space="preserve"> | rel. Eros Grau</w:t>
      </w:r>
    </w:p>
    <w:p>
      <w:pPr>
        <w:ind w:left="288"/>
      </w:pPr>
      <w:r>
        <w:rPr>
          <w:color w:val="1E1E1E"/>
          <w:sz w:val="18"/>
        </w:rPr>
        <w:t>Vide Ext 986, rel. min. Eros Grau, j. 15-8-2007, P, DJ de 5-10-2007</w:t>
      </w:r>
    </w:p>
    <w:p>
      <w:pPr>
        <w:ind w:left="288"/>
      </w:pPr>
      <w:r>
        <w:rPr>
          <w:color w:val="8C8C8C"/>
          <w:sz w:val="12"/>
        </w:rPr>
        <w:t>cf-art-5-inc-XL-ali-a</w:t>
      </w:r>
      <w:r>
        <w:rPr>
          <w:color w:val="003CA0"/>
          <w:sz w:val="12"/>
        </w:rPr>
        <w:t xml:space="preserve"> | EXT 633</w:t>
      </w:r>
      <w:r>
        <w:rPr>
          <w:color w:val="003CA0"/>
          <w:sz w:val="12"/>
        </w:rPr>
        <w:t xml:space="preserve"> | rel. Celso de Mello</w:t>
      </w:r>
    </w:p>
    <w:p>
      <w:pPr>
        <w:ind w:left="288"/>
      </w:pPr>
      <w:r>
        <w:rPr>
          <w:color w:val="1E1E1E"/>
          <w:sz w:val="18"/>
        </w:rPr>
        <w:t>O ordenamento positivo brasileiro, nas hipóteses em que se delineia a possibilidade de imposição do supplicium extremum, impede a entrega do extraditando ao Estado requerente, a menos que este, previamente, assuma o compromisso formal de comutar, em pena privativa de liberdade, a pena de morte, ressalvadas, quanto a esta, as situações em que a lei brasileira – fundada na CF (art. 5º, XLVII, a) – permitir a sua aplicação, caso em que se tornará dispensável a exigência de comutação.</w:t>
      </w:r>
    </w:p>
    <w:p>
      <w:pPr>
        <w:ind w:left="288"/>
      </w:pPr>
      <w:r>
        <w:rPr>
          <w:b/>
          <w:color w:val="003CA0"/>
          <w:sz w:val="16"/>
        </w:rPr>
        <w:t>[Ext 633, rel. min. Celso de Mello, j. 28-8-1996, P, DJ de 6-4-2001.]</w:t>
      </w:r>
    </w:p>
    <w:p>
      <w:pPr>
        <w:ind w:left="288"/>
      </w:pPr>
      <w:r>
        <w:rPr>
          <w:color w:val="8C8C8C"/>
          <w:sz w:val="12"/>
        </w:rPr>
        <w:t>cf-art-5-inc-XL-ali-a</w:t>
      </w:r>
      <w:r>
        <w:rPr>
          <w:color w:val="003CA0"/>
          <w:sz w:val="12"/>
        </w:rPr>
        <w:t xml:space="preserve"> | EXT 1.201</w:t>
      </w:r>
      <w:r>
        <w:rPr>
          <w:color w:val="003CA0"/>
          <w:sz w:val="12"/>
        </w:rPr>
        <w:t xml:space="preserve"> | rel. Celso de Mello</w:t>
      </w:r>
    </w:p>
    <w:p>
      <w:pPr>
        <w:ind w:left="288"/>
      </w:pPr>
      <w:r>
        <w:rPr>
          <w:color w:val="1E1E1E"/>
          <w:sz w:val="18"/>
        </w:rPr>
        <w:t>= Ext 1.201, rel. min. Celso de Mello, j. 17-2-2011, P, DJE de 15-3-2011</w:t>
      </w:r>
    </w:p>
    <w:p>
      <w:pPr>
        <w:ind w:left="288"/>
      </w:pPr>
      <w:r>
        <w:rPr>
          <w:color w:val="8C8C8C"/>
          <w:sz w:val="12"/>
        </w:rPr>
        <w:t>cf-art-5-inc-XL-ali-b</w:t>
      </w:r>
      <w:r>
        <w:rPr>
          <w:color w:val="003CA0"/>
          <w:sz w:val="12"/>
        </w:rPr>
        <w:t xml:space="preserve"> | ADI 2.975</w:t>
      </w:r>
      <w:r>
        <w:rPr>
          <w:color w:val="003CA0"/>
          <w:sz w:val="12"/>
        </w:rPr>
        <w:t xml:space="preserve"> | rel. Gilmar Mendes</w:t>
      </w:r>
    </w:p>
    <w:p>
      <w:pPr>
        <w:ind w:left="288"/>
      </w:pPr>
      <w:r>
        <w:rPr>
          <w:color w:val="1E1E1E"/>
          <w:sz w:val="18"/>
        </w:rPr>
        <w:t>Art. 137, parágrafo único, da Lei 8.112/1990. Direito Administrativo Disciplinar. Sanção perpétua. Impossibilidade de retorno ao serviço público. Inconstitucionalidade material. Afronta ao artigo 5º, XLVII, b, da Constituição da República. Norma impugnada que, ao impedir o retorno ao serviço público, impõe sanção de caráter perpétuo. Ação direta julgada procedente para declarar a inconstitucionalidade da norma questionada, sem pronuncia de nulidade. Comunicação ao Congresso Nacional, para que eventualmente delibere sobre o prazo de proibição de retorno ao serviço público a ser aplicável nas hi</w:t>
      </w:r>
    </w:p>
    <w:p>
      <w:pPr>
        <w:ind w:left="288"/>
      </w:pPr>
      <w:r>
        <w:rPr>
          <w:b/>
          <w:color w:val="003CA0"/>
          <w:sz w:val="16"/>
        </w:rPr>
        <w:t>[ADI 2.975, rel. min. Gilmar Mendes, j. 7-12-2020, P, DJE de 4-2-2021.]</w:t>
      </w:r>
    </w:p>
    <w:p>
      <w:pPr>
        <w:ind w:left="288"/>
      </w:pPr>
      <w:r>
        <w:rPr>
          <w:color w:val="8C8C8C"/>
          <w:sz w:val="12"/>
        </w:rPr>
        <w:t>cf-art-5-inc-XL-ali-b</w:t>
      </w:r>
      <w:r>
        <w:rPr>
          <w:color w:val="003CA0"/>
          <w:sz w:val="12"/>
        </w:rPr>
        <w:t xml:space="preserve"> | ADI 2.975</w:t>
      </w:r>
      <w:r>
        <w:rPr>
          <w:color w:val="003CA0"/>
          <w:sz w:val="12"/>
        </w:rPr>
        <w:t xml:space="preserve"> | rel. Gilmar Mendes</w:t>
      </w:r>
    </w:p>
    <w:p>
      <w:pPr>
        <w:ind w:left="288"/>
      </w:pPr>
      <w:r>
        <w:rPr>
          <w:color w:val="1E1E1E"/>
          <w:sz w:val="18"/>
        </w:rPr>
        <w:t>Vide ADI 2.975 ED, rel. min. Gilmar Mendes, red. do ac. min. Roberto Barroso, j. 27-3-2023, P, DJE de 17-5-2023 Extradição executória. (...) Inexistência de óbices legais à extradição. Entrega condicionada à assunção de compromissos. Afastamento da pena acessória de "interdição perpétua do exercício de funções públicas".</w:t>
      </w:r>
    </w:p>
    <w:p>
      <w:pPr>
        <w:ind w:left="288"/>
      </w:pPr>
      <w:r>
        <w:rPr>
          <w:b/>
          <w:color w:val="003CA0"/>
          <w:sz w:val="16"/>
        </w:rPr>
        <w:t>[Ext 1.321, rel. min. Rosa Weber, j. 1º-4-2014, 1ª T, DJE de 22-4-2014.]</w:t>
      </w:r>
    </w:p>
    <w:p>
      <w:pPr>
        <w:ind w:left="288"/>
      </w:pPr>
      <w:r>
        <w:rPr>
          <w:color w:val="8C8C8C"/>
          <w:sz w:val="12"/>
        </w:rPr>
        <w:t>cf-art-5-inc-XL-ali-b</w:t>
      </w:r>
      <w:r>
        <w:rPr>
          <w:color w:val="003CA0"/>
          <w:sz w:val="12"/>
        </w:rPr>
        <w:t xml:space="preserve"> | HC 84.766</w:t>
      </w:r>
      <w:r>
        <w:rPr>
          <w:color w:val="003CA0"/>
          <w:sz w:val="12"/>
        </w:rPr>
        <w:t xml:space="preserve"> | rel. Celso de Mello</w:t>
      </w:r>
    </w:p>
    <w:p>
      <w:pPr>
        <w:ind w:left="288"/>
      </w:pPr>
      <w:r>
        <w:rPr>
          <w:color w:val="1E1E1E"/>
          <w:sz w:val="18"/>
        </w:rPr>
        <w:t>A unificação penal autorizada pela norma inscrita no art. 75 do CP justifica-se como consequência direta e imediata do preceito constitucional que veda (...), de modo absoluto, a existência, no sistema jurídico brasileiro, de sanções penais de caráter perpétuo. Em decorrência dessa cláusula constitucional, o máximo penal legalmente exequível, no ordenamento positivo nacional, é de trinta anos, a significar, portanto, que o tempo de cumprimento das penas privativas de liberdade não pode ser superior àquele limite imposto pelo art. 75, caput, do CP.</w:t>
      </w:r>
    </w:p>
    <w:p>
      <w:pPr>
        <w:ind w:left="288"/>
      </w:pPr>
      <w:r>
        <w:rPr>
          <w:b/>
          <w:color w:val="003CA0"/>
          <w:sz w:val="16"/>
        </w:rPr>
        <w:t>[HC 84.766, rel. min. Celso de Mello, j. 11-9-2007, 2ª T, DJE de 25-4-2008.]</w:t>
      </w:r>
    </w:p>
    <w:p>
      <w:pPr>
        <w:ind w:left="288"/>
      </w:pPr>
      <w:r>
        <w:rPr>
          <w:color w:val="8C8C8C"/>
          <w:sz w:val="12"/>
        </w:rPr>
        <w:t>cf-art-5-inc-XL-ali-b</w:t>
      </w:r>
      <w:r>
        <w:rPr>
          <w:color w:val="003CA0"/>
          <w:sz w:val="12"/>
        </w:rPr>
        <w:t xml:space="preserve"> | HC 84.219</w:t>
      </w:r>
      <w:r>
        <w:rPr>
          <w:color w:val="003CA0"/>
          <w:sz w:val="12"/>
        </w:rPr>
        <w:t xml:space="preserve"> | rel. Marco Aurélio</w:t>
      </w:r>
    </w:p>
    <w:p>
      <w:pPr>
        <w:ind w:left="288"/>
      </w:pPr>
      <w:r>
        <w:rPr>
          <w:color w:val="1E1E1E"/>
          <w:sz w:val="18"/>
        </w:rPr>
        <w:t>Medida de segurança. Projeção no tempo. Limite. A interpretação sistemática e teleológica dos arts. 75, 97 e 183, os dois primeiros do CP e o último da LEP, deve fazer-se considerada a garantia constitucional abolidora das prisões perpétuas. A medida de segurança fica jungida ao período máximo de trinta anos.</w:t>
      </w:r>
    </w:p>
    <w:p>
      <w:pPr>
        <w:ind w:left="288"/>
      </w:pPr>
      <w:r>
        <w:rPr>
          <w:b/>
          <w:color w:val="003CA0"/>
          <w:sz w:val="16"/>
        </w:rPr>
        <w:t>[HC 84.219, rel. min. Marco Aurélio, j. 16-8-2005, 1ª T, DJ de 23-9-2005.]</w:t>
      </w:r>
    </w:p>
    <w:p>
      <w:pPr>
        <w:ind w:left="288"/>
      </w:pPr>
      <w:r>
        <w:rPr>
          <w:color w:val="8C8C8C"/>
          <w:sz w:val="12"/>
        </w:rPr>
        <w:t>cf-art-5-inc-XL-ali-b</w:t>
      </w:r>
      <w:r>
        <w:rPr>
          <w:color w:val="003CA0"/>
          <w:sz w:val="12"/>
        </w:rPr>
        <w:t xml:space="preserve"> | HC 97.621</w:t>
      </w:r>
      <w:r>
        <w:rPr>
          <w:color w:val="003CA0"/>
          <w:sz w:val="12"/>
        </w:rPr>
        <w:t xml:space="preserve"> | rel. Cezar Peluso</w:t>
      </w:r>
    </w:p>
    <w:p>
      <w:pPr>
        <w:ind w:left="288"/>
      </w:pPr>
      <w:r>
        <w:rPr>
          <w:color w:val="1E1E1E"/>
          <w:sz w:val="18"/>
        </w:rPr>
        <w:t>= HC 97.621, rel. min. Cezar Peluso, j. 2-6-2009, 2ª T, DJE de 26-6-2009 Extradição e prisão perpétua: necessidade de prévia comutação, em pena temporária (máximo de trinta anos), da pena de prisão perpétua. Revisão da jurisprudência do STF, em obediência à Declaração Constitucional de Direitos (CF, art. 5º, XLVII, b). A extradição somente será deferida pelo STF, tratando-se de fatos delituosos puníveis com prisão perpétua, se o Estado requerente assumir, formalmente, quanto a ela, perante o Governo brasileiro, o compromisso de comutá-la em pena não superior à duração máxima admitida na lei pe</w:t>
      </w:r>
    </w:p>
    <w:p>
      <w:pPr>
        <w:ind w:left="288"/>
      </w:pPr>
      <w:r>
        <w:rPr>
          <w:b/>
          <w:color w:val="003CA0"/>
          <w:sz w:val="16"/>
        </w:rPr>
        <w:t>[Ext 855, rel. min. Celso de Mello, j. 26-8-2004, P, DJ de 1º-7-2005.]</w:t>
      </w:r>
    </w:p>
    <w:p>
      <w:pPr>
        <w:ind w:left="288"/>
      </w:pPr>
      <w:r>
        <w:rPr>
          <w:color w:val="8C8C8C"/>
          <w:sz w:val="12"/>
        </w:rPr>
        <w:t>cf-art-5-inc-XL-ali-b</w:t>
      </w:r>
      <w:r>
        <w:rPr>
          <w:color w:val="003CA0"/>
          <w:sz w:val="12"/>
        </w:rPr>
        <w:t xml:space="preserve"> | EXT 1.201</w:t>
      </w:r>
      <w:r>
        <w:rPr>
          <w:color w:val="003CA0"/>
          <w:sz w:val="12"/>
        </w:rPr>
        <w:t xml:space="preserve"> | rel. Celso de Mello</w:t>
      </w:r>
    </w:p>
    <w:p>
      <w:pPr>
        <w:ind w:left="288"/>
      </w:pPr>
      <w:r>
        <w:rPr>
          <w:color w:val="1E1E1E"/>
          <w:sz w:val="18"/>
        </w:rPr>
        <w:t>= Ext 1.201, rel. min. Celso de Mello, j. 17-2-2011, P, DJE de 15-3-2011 Pena de inabilitação permanente para o exercício de cargos de administração ou gerência de instituições financeiras. Inadmissibilidade (...).</w:t>
      </w:r>
    </w:p>
    <w:p>
      <w:pPr>
        <w:ind w:left="288"/>
      </w:pPr>
      <w:r>
        <w:rPr>
          <w:b/>
          <w:color w:val="003CA0"/>
          <w:sz w:val="16"/>
        </w:rPr>
        <w:t>[RE 154.134, rel. min. Sydney Sanches, j. 15-12-1998, 1ª T, DJ de 29-10-1999.]</w:t>
      </w:r>
    </w:p>
    <w:p>
      <w:pPr>
        <w:ind w:left="288"/>
      </w:pPr>
      <w:r>
        <w:rPr>
          <w:color w:val="8C8C8C"/>
          <w:sz w:val="12"/>
        </w:rPr>
        <w:t>cf-art-5-inc-XL-ali-c</w:t>
      </w:r>
      <w:r>
        <w:rPr>
          <w:color w:val="003CA0"/>
          <w:sz w:val="12"/>
        </w:rPr>
        <w:t xml:space="preserve"> | EXT 486</w:t>
      </w:r>
    </w:p>
    <w:p>
      <w:pPr>
        <w:ind w:left="288"/>
      </w:pPr>
      <w:r>
        <w:rPr>
          <w:color w:val="1E1E1E"/>
          <w:sz w:val="18"/>
        </w:rPr>
        <w:t>Pondero, entretanto, que tem lugar, no caso, a aplicação da mesma jurisprudência que dispensou a comutação da pena de prisão perpétua. Esta, como a de trabalhos forçados, é inscrita entre as vedadas pelo art. 5º, XLVII, da Constituição. Mas, tanto para uma como para outra, deve a vedação ser entendida, no âmbito do direito interno brasileiro, pois a Lei 6.815/1980 (art. 90, III) só contempla comutação da pena de morte.</w:t>
      </w:r>
    </w:p>
    <w:p>
      <w:pPr>
        <w:ind w:left="288"/>
      </w:pPr>
      <w:r>
        <w:rPr>
          <w:b/>
          <w:color w:val="003CA0"/>
          <w:sz w:val="16"/>
        </w:rPr>
        <w:t>[Ext 486, voto do min. Octavio Gallotti, j. 7-3-1990, P, DJ de 3-8-1990.]</w:t>
      </w:r>
    </w:p>
    <w:p>
      <w:pPr>
        <w:ind w:left="288"/>
      </w:pPr>
      <w:r>
        <w:rPr>
          <w:color w:val="8C8C8C"/>
          <w:sz w:val="12"/>
        </w:rPr>
        <w:t>cf-art-5-inc-XL-ali-e</w:t>
      </w:r>
      <w:r>
        <w:rPr>
          <w:color w:val="003CA0"/>
          <w:sz w:val="12"/>
        </w:rPr>
        <w:t xml:space="preserve"> | HC 172.136</w:t>
      </w:r>
      <w:r>
        <w:rPr>
          <w:color w:val="003CA0"/>
          <w:sz w:val="12"/>
        </w:rPr>
        <w:t xml:space="preserve"> | rel. Nunes Marques</w:t>
      </w:r>
    </w:p>
    <w:p>
      <w:pPr>
        <w:ind w:left="288"/>
      </w:pPr>
      <w:r>
        <w:rPr>
          <w:color w:val="1E1E1E"/>
          <w:sz w:val="18"/>
        </w:rPr>
        <w:t>Há, lamentavelmente, no Brasil, no plano do sistema penitenciário nacional, um claro, indisfarçável e anômalo ‘estado de coisas inconstitucional’ resultante da omissão do Poder Público em implementar medidas eficazes de ordem estrutural que neutralizem a situação de absurda patologia constitucional gerada, incompreensivelmente, pela inércia do Estado, que descumpre a Constituição Federal, que ofende a Lei de Execução Penal, que vulnera a essencial dignidade dos sentenciados e dos custodiados em geral, que fere o sentimento de decência dos cidadãos desta República e que desrespeita as convençõe</w:t>
      </w:r>
    </w:p>
    <w:p>
      <w:pPr>
        <w:ind w:left="288"/>
      </w:pPr>
      <w:r>
        <w:rPr>
          <w:b/>
          <w:color w:val="003CA0"/>
          <w:sz w:val="16"/>
        </w:rPr>
        <w:t>[HC 172.136, rel. min. Nunes Marques, j. 10-10-2020, 2ª T, DJE de 1º-12-2020.]</w:t>
      </w:r>
    </w:p>
    <w:p>
      <w:pPr>
        <w:ind w:left="288"/>
      </w:pPr>
      <w:r>
        <w:rPr>
          <w:color w:val="8C8C8C"/>
          <w:sz w:val="12"/>
        </w:rPr>
        <w:t>cf-art-5-inc-XL-ali-e</w:t>
      </w:r>
      <w:r>
        <w:rPr>
          <w:color w:val="003CA0"/>
          <w:sz w:val="12"/>
        </w:rPr>
        <w:t xml:space="preserve"> | HC 100.087</w:t>
      </w:r>
      <w:r>
        <w:rPr>
          <w:color w:val="003CA0"/>
          <w:sz w:val="12"/>
        </w:rPr>
        <w:t xml:space="preserve"> | rel. Ellen Gracie</w:t>
      </w:r>
    </w:p>
    <w:p>
      <w:pPr>
        <w:ind w:left="288"/>
      </w:pPr>
      <w:r>
        <w:rPr>
          <w:color w:val="1E1E1E"/>
          <w:sz w:val="18"/>
        </w:rPr>
        <w:t>XLVIII - a pena será cumprida em estabelecimentos distintos, de acordo com a natureza do delito, a idade e o sexo do apenado; O art. 86, caput, da LEP permite o cumprimento da pena corporal em local diverso daquele em que houve a perpetração e consumação do crime. Entretanto, o exame minucioso de cada caso concreto pode afastar o comando legal supramencionado, desde que comprovadas as assertivas de falta de segurança do presídio destinatário da remoção, participação do preso em facção criminosa e outras circunstâncias relevantes à administração da Justiça. Ônus do Parquet. No caso sob exame, n</w:t>
      </w:r>
    </w:p>
    <w:p>
      <w:pPr>
        <w:ind w:left="288"/>
      </w:pPr>
      <w:r>
        <w:rPr>
          <w:b/>
          <w:color w:val="003CA0"/>
          <w:sz w:val="16"/>
        </w:rPr>
        <w:t>[HC 100.087, rel. min. Ellen Gracie, j. 16-3-2010, 2ª T, DJE de 9-4-2010.]</w:t>
      </w:r>
    </w:p>
    <w:p>
      <w:pPr>
        <w:ind w:left="288"/>
      </w:pPr>
      <w:r>
        <w:rPr>
          <w:color w:val="8C8C8C"/>
          <w:sz w:val="12"/>
        </w:rPr>
        <w:t>cf-art-5-inc-XL-ali-e</w:t>
      </w:r>
      <w:r>
        <w:rPr>
          <w:color w:val="003CA0"/>
          <w:sz w:val="12"/>
        </w:rPr>
        <w:t xml:space="preserve"> | HC 96.169</w:t>
      </w:r>
      <w:r>
        <w:rPr>
          <w:color w:val="003CA0"/>
          <w:sz w:val="12"/>
        </w:rPr>
        <w:t xml:space="preserve"> | rel. Marco Aurélio</w:t>
      </w:r>
    </w:p>
    <w:p>
      <w:pPr>
        <w:ind w:left="288"/>
      </w:pPr>
      <w:r>
        <w:rPr>
          <w:color w:val="1E1E1E"/>
          <w:sz w:val="18"/>
        </w:rPr>
        <w:t>Incumbe ao Estado aparelhar-se visando à observância irrestrita das decisões judiciais. Se não houver sistema capaz de implicar o cumprimento da pena em regime semiaberto, dá-se a transformação em aberto e, inexistente a casa do albergado, a prisão domiciliar.</w:t>
      </w:r>
    </w:p>
    <w:p>
      <w:pPr>
        <w:ind w:left="288"/>
      </w:pPr>
      <w:r>
        <w:rPr>
          <w:b/>
          <w:color w:val="003CA0"/>
          <w:sz w:val="16"/>
        </w:rPr>
        <w:t>[HC 96.169, rel. min. Marco Aurélio, j. 25-8-2009, 1ª T, DJE de 9-10-2009.]</w:t>
      </w:r>
    </w:p>
    <w:p>
      <w:pPr>
        <w:ind w:left="288"/>
      </w:pPr>
      <w:r>
        <w:rPr>
          <w:color w:val="8C8C8C"/>
          <w:sz w:val="12"/>
        </w:rPr>
        <w:t>cf-art-5-inc-XL-ali-e</w:t>
      </w:r>
      <w:r>
        <w:rPr>
          <w:color w:val="003CA0"/>
          <w:sz w:val="12"/>
        </w:rPr>
        <w:t xml:space="preserve"> | HC 94.810</w:t>
      </w:r>
      <w:r>
        <w:rPr>
          <w:color w:val="003CA0"/>
          <w:sz w:val="12"/>
        </w:rPr>
        <w:t xml:space="preserve"> | rel. Cármen Lúcia</w:t>
      </w:r>
    </w:p>
    <w:p>
      <w:pPr>
        <w:ind w:left="288"/>
      </w:pPr>
      <w:r>
        <w:rPr>
          <w:color w:val="1E1E1E"/>
          <w:sz w:val="18"/>
        </w:rPr>
        <w:t>Vide HC 94.810, rel. min. Cármen Lúcia, j. 28-10-2008, 1ª T, DJE de 6-3-2009 Vide HC 87.985, rel. min. Celso de Mello, j. 20-3-2007, 2ª T, DJE de 1º-8-2013 As instâncias de origem atestam que o paciente – portador de diploma de curso superior – está recolhido em cela distinta da prisão comum, em situação que bem atende à finalidade da norma que se extrai do inciso VII do art. 295 do CPP. Por outra volta, a penitenciária em que o paciente se encontra enclausurado é destinada a "presos especiais" (funcionários da administração da Justiça criminal; ou pessoas que possam sofrer "constrangimento fí</w:t>
      </w:r>
    </w:p>
    <w:p>
      <w:pPr>
        <w:ind w:left="288"/>
      </w:pPr>
      <w:r>
        <w:rPr>
          <w:b/>
          <w:color w:val="003CA0"/>
          <w:sz w:val="16"/>
        </w:rPr>
        <w:t>[HC 95.131, rel. min. Ayres Britto, j. 25-8-2009, 1ª T, DJE de 25-9-2009.]</w:t>
      </w:r>
    </w:p>
    <w:p>
      <w:pPr>
        <w:ind w:left="288"/>
      </w:pPr>
      <w:r>
        <w:rPr>
          <w:color w:val="8C8C8C"/>
          <w:sz w:val="12"/>
        </w:rPr>
        <w:t>cf-art-5-inc-XL-ali-e</w:t>
      </w:r>
      <w:r>
        <w:rPr>
          <w:color w:val="003CA0"/>
          <w:sz w:val="12"/>
        </w:rPr>
        <w:t xml:space="preserve"> | HC 94.810</w:t>
      </w:r>
      <w:r>
        <w:rPr>
          <w:color w:val="003CA0"/>
          <w:sz w:val="12"/>
        </w:rPr>
        <w:t xml:space="preserve"> | rel. Cármen Lúcia</w:t>
      </w:r>
    </w:p>
    <w:p>
      <w:pPr>
        <w:ind w:left="288"/>
      </w:pPr>
      <w:r>
        <w:rPr>
          <w:color w:val="1E1E1E"/>
          <w:sz w:val="18"/>
        </w:rPr>
        <w:t>Prisão para fins de cumprimento de pena em regime semiaberto. (...) A determinação judicial no sentido de que o paciente seja preso em cadeia pública interdita configura constrangimento ilegal. Ordem concedida para que seja assegurado ao paciente o cumprimento da pena em estabelecimento prisional adequado ao regime fixado na sentença, mesmo que em outra localidade.</w:t>
      </w:r>
    </w:p>
    <w:p>
      <w:pPr>
        <w:ind w:left="288"/>
      </w:pPr>
      <w:r>
        <w:rPr>
          <w:b/>
          <w:color w:val="003CA0"/>
          <w:sz w:val="16"/>
        </w:rPr>
        <w:t>[HC 94.810, rel. min. Cármen Lúcia, j. 28-10-2008, 1ª T, DJE de 6-3-2009.]</w:t>
      </w:r>
    </w:p>
    <w:p>
      <w:pPr>
        <w:ind w:left="288"/>
      </w:pPr>
      <w:r>
        <w:rPr>
          <w:color w:val="8C8C8C"/>
          <w:sz w:val="12"/>
        </w:rPr>
        <w:t>cf-art-5-inc-XL-ali-e</w:t>
      </w:r>
      <w:r>
        <w:rPr>
          <w:color w:val="003CA0"/>
          <w:sz w:val="12"/>
        </w:rPr>
        <w:t xml:space="preserve"> | RHC 94.358</w:t>
      </w:r>
      <w:r>
        <w:rPr>
          <w:color w:val="003CA0"/>
          <w:sz w:val="12"/>
        </w:rPr>
        <w:t xml:space="preserve"> | rel. Celso de Mello</w:t>
      </w:r>
    </w:p>
    <w:p>
      <w:pPr>
        <w:ind w:left="288"/>
      </w:pPr>
      <w:r>
        <w:rPr>
          <w:color w:val="1E1E1E"/>
          <w:sz w:val="18"/>
        </w:rPr>
        <w:t>A execução da pena em regime de prisão domiciliar, sempre sob a imediata e direta fiscalização do magistrado competente, constitui medida excepcional, que só se justifica – especialmente quando se tratar de pessoa condenada em caráter definitivo – em situações extraordinárias, apuráveis em cada caso ocorrente, como sucede na hipótese de o sentenciado ostentar, comprovadamente, mediante laudo oficial elaborado por peritos médicos designados pela autoridade judiciária competente, precário estado de saúde, provocado por grave patologia, e o poder público não dispuser de meios que viabilizem pront</w:t>
      </w:r>
    </w:p>
    <w:p>
      <w:pPr>
        <w:ind w:left="288"/>
      </w:pPr>
      <w:r>
        <w:rPr>
          <w:b/>
          <w:color w:val="003CA0"/>
          <w:sz w:val="16"/>
        </w:rPr>
        <w:t>[RHC 94.358, rel. min. Celso de Mello, j. 29-4-2008, 2ª T, DJE de 19-3-2014.]</w:t>
      </w:r>
    </w:p>
    <w:p>
      <w:pPr>
        <w:ind w:left="288"/>
      </w:pPr>
      <w:r>
        <w:rPr>
          <w:color w:val="8C8C8C"/>
          <w:sz w:val="12"/>
        </w:rPr>
        <w:t>cf-art-5-inc-XL-ali-e</w:t>
      </w:r>
      <w:r>
        <w:rPr>
          <w:color w:val="003CA0"/>
          <w:sz w:val="12"/>
        </w:rPr>
        <w:t xml:space="preserve"> | HC 87.985</w:t>
      </w:r>
      <w:r>
        <w:rPr>
          <w:color w:val="003CA0"/>
          <w:sz w:val="12"/>
        </w:rPr>
        <w:t xml:space="preserve"> | rel. Celso de Mello</w:t>
      </w:r>
    </w:p>
    <w:p>
      <w:pPr>
        <w:ind w:left="288"/>
      </w:pPr>
      <w:r>
        <w:rPr>
          <w:color w:val="1E1E1E"/>
          <w:sz w:val="18"/>
        </w:rPr>
        <w:t>O inadimplemento, por parte do Estado, das obrigações que lhe foram impostas pela LEP não pode repercutir, de modo negativo, na esfera jurídica do sentenciado, frustrando-lhe, injustamente, o exercício de direitos subjetivos a ele assegurados pelo ordenamento positivo ou reconhecidos em sentença emanada de órgão judiciário competente, sob pena de configurar-se, se e quando ocorrente tal situação, excesso de execução (LEP, art. 185). Não se revela aceitável que o exercício, pelo sentenciado, de direitos subjetivos – como o de iniciar, desde logo, porque assim ordenado na sentença, o cumprimento</w:t>
      </w:r>
    </w:p>
    <w:p>
      <w:pPr>
        <w:ind w:left="288"/>
      </w:pPr>
      <w:r>
        <w:rPr>
          <w:b/>
          <w:color w:val="003CA0"/>
          <w:sz w:val="16"/>
        </w:rPr>
        <w:t>[HC 87.985, rel. min. Celso de Mello, j. 20-3-2007, 2ª T, DJE de 1º-8-2013.]</w:t>
      </w:r>
    </w:p>
    <w:p>
      <w:pPr>
        <w:ind w:left="288"/>
      </w:pPr>
      <w:r>
        <w:rPr>
          <w:color w:val="8C8C8C"/>
          <w:sz w:val="12"/>
        </w:rPr>
        <w:t>cf-art-5-inc-XL-ali-e</w:t>
      </w:r>
      <w:r>
        <w:rPr>
          <w:color w:val="003CA0"/>
          <w:sz w:val="12"/>
        </w:rPr>
        <w:t xml:space="preserve"> | HC 96.169</w:t>
      </w:r>
      <w:r>
        <w:rPr>
          <w:color w:val="003CA0"/>
          <w:sz w:val="12"/>
        </w:rPr>
        <w:t xml:space="preserve"> | rel. Marco Aurélio</w:t>
      </w:r>
    </w:p>
    <w:p>
      <w:pPr>
        <w:ind w:left="288"/>
      </w:pPr>
      <w:r>
        <w:rPr>
          <w:color w:val="1E1E1E"/>
          <w:sz w:val="18"/>
        </w:rPr>
        <w:t>Vide HC 96.169, rel. min. Marco Aurélio, j. 25-8-2009, 1ª T, DJE de 9-10-2009 XLIX - é assegurado aos presos o respeito à integridade física e moral; 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88"/>
      </w:pPr>
      <w:r>
        <w:rPr>
          <w:b/>
          <w:color w:val="003CA0"/>
          <w:sz w:val="16"/>
        </w:rPr>
        <w:t>[Súmula Vinculante 11.]</w:t>
      </w:r>
    </w:p>
    <w:p>
      <w:pPr>
        <w:ind w:left="288"/>
      </w:pPr>
      <w:r>
        <w:rPr>
          <w:color w:val="8C8C8C"/>
          <w:sz w:val="12"/>
        </w:rPr>
        <w:t>cf-art-5-inc-XL-ali-e</w:t>
      </w:r>
      <w:r>
        <w:rPr>
          <w:color w:val="003CA0"/>
          <w:sz w:val="12"/>
        </w:rPr>
        <w:t xml:space="preserve"> | ADPF 347</w:t>
      </w:r>
      <w:r>
        <w:rPr>
          <w:color w:val="003CA0"/>
          <w:sz w:val="12"/>
        </w:rPr>
        <w:t xml:space="preserve"> | rel. Marco Aurélio</w:t>
      </w:r>
    </w:p>
    <w:p>
      <w:pPr>
        <w:ind w:left="288"/>
      </w:pPr>
      <w:r>
        <w:rPr>
          <w:color w:val="1E1E1E"/>
          <w:sz w:val="18"/>
        </w:rPr>
        <w:t xml:space="preserve">Há um estado de coisas inconstitucional no sistema carcerário brasileiro, responsável pela violação massiva de direitos fundamentais dos presos. Tal estado de coisas demanda a atuação cooperativa das diversas autoridades, instituições e comunidade para a construção de uma solução satisfatória. Diante disso, União, Estados e Distrito Federal, em conjunto com o Departamento de Monitoramento e Fiscalização do Conselho Nacional de Justiça (DMF/CNJ), deverão elaborar planos a serem submetidos à homologação do Supremo Tribunal Federal, nos prazos e observadas as diretrizes e finalidades expostas no </w:t>
      </w:r>
    </w:p>
    <w:p>
      <w:pPr>
        <w:ind w:left="288"/>
      </w:pPr>
      <w:r>
        <w:rPr>
          <w:b/>
          <w:color w:val="003CA0"/>
          <w:sz w:val="16"/>
        </w:rPr>
        <w:t>[ADPF 347, rel. min. Marco Aurélio, red. do ac. min. Luís Roberto Barroso, j. 04.10.2023, P, DJE de 19.12.2023.)</w:t>
      </w:r>
    </w:p>
    <w:p>
      <w:pPr>
        <w:ind w:left="288"/>
      </w:pPr>
      <w:r>
        <w:rPr>
          <w:color w:val="8C8C8C"/>
          <w:sz w:val="12"/>
        </w:rPr>
        <w:t>cf-art-5-inc-XL-ali-e</w:t>
      </w:r>
      <w:r>
        <w:rPr>
          <w:color w:val="003CA0"/>
          <w:sz w:val="12"/>
        </w:rPr>
        <w:t xml:space="preserve"> | ADI 5.240</w:t>
      </w:r>
      <w:r>
        <w:rPr>
          <w:color w:val="003CA0"/>
          <w:sz w:val="12"/>
        </w:rPr>
        <w:t xml:space="preserve"> | rel. Luiz Fux</w:t>
      </w:r>
    </w:p>
    <w:p>
      <w:pPr>
        <w:ind w:left="288"/>
      </w:pPr>
      <w:r>
        <w:rPr>
          <w:color w:val="1E1E1E"/>
          <w:sz w:val="18"/>
        </w:rPr>
        <w:t>A Convenção Americana sobre Direitos do Homem, que dispõe, em seu art. 7º, item 5, que "toda pessoa presa, detida ou retida deve ser conduzida, sem demora, à presença de um juiz", posto ostentar o status jurídico supralegal que os tratados internacionais sobre direitos humanos têm no ordenamento jurídico brasileiro, legitima a denominada "audiência de custódia”, cuja denominação sugere-se “audiência de apresentação". O direito convencional de apresentação do preso ao juiz, consectariamente, deflagra o procedimento legal de habeas corpus, no qual o juiz apreciará a legalidade da prisão, à vista</w:t>
      </w:r>
    </w:p>
    <w:p>
      <w:pPr>
        <w:ind w:left="288"/>
      </w:pPr>
      <w:r>
        <w:rPr>
          <w:b/>
          <w:color w:val="003CA0"/>
          <w:sz w:val="16"/>
        </w:rPr>
        <w:t>[ADI 5.240, rel. min. Luiz Fux, j. 20-8-2015, P, DJE de 1º-2-2016.]</w:t>
      </w:r>
    </w:p>
    <w:p>
      <w:pPr>
        <w:ind w:left="288"/>
      </w:pPr>
      <w:r>
        <w:rPr>
          <w:color w:val="8C8C8C"/>
          <w:sz w:val="12"/>
        </w:rPr>
        <w:t>cf-art-5-inc-XL-ali-e</w:t>
      </w:r>
      <w:r>
        <w:rPr>
          <w:color w:val="003CA0"/>
          <w:sz w:val="12"/>
        </w:rPr>
        <w:t xml:space="preserve"> | RE 580.252</w:t>
      </w:r>
    </w:p>
    <w:p>
      <w:pPr>
        <w:ind w:left="288"/>
      </w:pPr>
      <w:r>
        <w:rPr>
          <w:color w:val="1E1E1E"/>
          <w:sz w:val="18"/>
        </w:rPr>
        <w:t>Considerando que é dever do Estado, imposto pelo sistema normativo, manter em seus presídios os padrões mínimos de humanidade previstos no ordenamento jurídico, é de sua responsabilidade, nos termos do art. 37, § 6º, da Constituição, a obrigação de ressarcir os danos, inclusive morais, comprovadamente causados aos detentos em decorrência da falta ou insuficiência das condições legais de encarceramento.</w:t>
      </w:r>
    </w:p>
    <w:p>
      <w:pPr>
        <w:ind w:left="288"/>
      </w:pPr>
      <w:r>
        <w:rPr>
          <w:b/>
          <w:color w:val="003CA0"/>
          <w:sz w:val="16"/>
        </w:rPr>
        <w:t>[RE 580.252, red. do ac. min. Gilmar Mendes, j. 16-2-2017, P, DJE de 11-9-2017, Tema 365, com mérito julgado.]</w:t>
      </w:r>
    </w:p>
    <w:p>
      <w:pPr>
        <w:ind w:left="288"/>
      </w:pPr>
      <w:r>
        <w:rPr>
          <w:color w:val="8C8C8C"/>
          <w:sz w:val="12"/>
        </w:rPr>
        <w:t>cf-art-5-inc-XL-ali-e</w:t>
      </w:r>
      <w:r>
        <w:rPr>
          <w:color w:val="003CA0"/>
          <w:sz w:val="12"/>
        </w:rPr>
        <w:t xml:space="preserve"> | RE 841.526</w:t>
      </w:r>
      <w:r>
        <w:rPr>
          <w:color w:val="003CA0"/>
          <w:sz w:val="12"/>
        </w:rPr>
        <w:t xml:space="preserve"> | rel. Luiz Fux</w:t>
      </w:r>
    </w:p>
    <w:p>
      <w:pPr>
        <w:ind w:left="288"/>
      </w:pPr>
      <w:r>
        <w:rPr>
          <w:color w:val="1E1E1E"/>
          <w:sz w:val="18"/>
        </w:rPr>
        <w:t>A responsabilidade civil estatal, segundo a CF/1988, em seu art. 37, § 6º, subsume-se à teoria do risco administrativo, tanto para as condutas estatais comissivas quanto para as omissivas, posto rejeitada a teoria do risco integral. A omissão do Estado reclama nexo de causalidade em relação ao dano sofrido pela vítima nos casos em que o poder público ostenta o dever legal e a efetiva possibilidade de agir para impedir o resultado danoso. É dever do Estado e direito subjetivo do preso que a execução da pena se dê de forma humanizada, garantindo-se os direitos fundamentais do detento, e o de ter</w:t>
      </w:r>
    </w:p>
    <w:p>
      <w:pPr>
        <w:ind w:left="288"/>
      </w:pPr>
      <w:r>
        <w:rPr>
          <w:b/>
          <w:color w:val="003CA0"/>
          <w:sz w:val="16"/>
        </w:rPr>
        <w:t>[RE 841.526, rel min. Luiz Fux, j. 30-3-2016, P, DJE de 1º-8-2016, Tema 592, com mérito julgado.]</w:t>
      </w:r>
    </w:p>
    <w:p>
      <w:pPr>
        <w:ind w:left="288"/>
      </w:pPr>
      <w:r>
        <w:rPr>
          <w:color w:val="8C8C8C"/>
          <w:sz w:val="12"/>
        </w:rPr>
        <w:t>cf-art-5-inc-XL-ali-e</w:t>
      </w:r>
      <w:r>
        <w:rPr>
          <w:color w:val="003CA0"/>
          <w:sz w:val="12"/>
        </w:rPr>
        <w:t xml:space="preserve"> | RE 592.581</w:t>
      </w:r>
      <w:r>
        <w:rPr>
          <w:color w:val="003CA0"/>
          <w:sz w:val="12"/>
        </w:rPr>
        <w:t xml:space="preserve"> | rel. Ricardo Lewandowski</w:t>
      </w:r>
    </w:p>
    <w:p>
      <w:pPr>
        <w:ind w:left="288"/>
      </w:pPr>
      <w:r>
        <w:rPr>
          <w:color w:val="1E1E1E"/>
          <w:sz w:val="18"/>
        </w:rPr>
        <w:t>É lícito ao Judiciário impor à administração pública obrigação de fazer, consistente na promoção de medidas ou na execução de obras emergenciais em estabelecimentos prisionais. Supremacia da dignidade da pessoa humana que legitima a intervenção judicial.</w:t>
      </w:r>
    </w:p>
    <w:p>
      <w:pPr>
        <w:ind w:left="288"/>
      </w:pPr>
      <w:r>
        <w:rPr>
          <w:b/>
          <w:color w:val="003CA0"/>
          <w:sz w:val="16"/>
        </w:rPr>
        <w:t>[RE 592.581, rel. min. Ricardo Lewandowski, j. 13-8-2015, P, DJE de 1º-2-2016, Tema 220, com mérito julgado.]</w:t>
      </w:r>
    </w:p>
    <w:p>
      <w:pPr>
        <w:ind w:left="288"/>
      </w:pPr>
      <w:r>
        <w:rPr>
          <w:color w:val="8C8C8C"/>
          <w:sz w:val="12"/>
        </w:rPr>
        <w:t>cf-art-5-inc-XL-ali-e</w:t>
      </w:r>
      <w:r>
        <w:rPr>
          <w:color w:val="003CA0"/>
          <w:sz w:val="12"/>
        </w:rPr>
        <w:t xml:space="preserve"> | ADPF 347</w:t>
      </w:r>
      <w:r>
        <w:rPr>
          <w:color w:val="003CA0"/>
          <w:sz w:val="12"/>
        </w:rPr>
        <w:t xml:space="preserve"> | rel. Edson Fachin</w:t>
      </w:r>
    </w:p>
    <w:p>
      <w:pPr>
        <w:ind w:left="288"/>
      </w:pPr>
      <w:r>
        <w:rPr>
          <w:color w:val="1E1E1E"/>
          <w:sz w:val="18"/>
        </w:rPr>
        <w:t xml:space="preserve">A inobservância a condições minimamente aceitáveis de encarceramento, como aquelas inerentes a quadros de grave superlotação carcerária, não pode ser justificada pela escassez de recursos ou pelo grau de desenvolvimento do Estado (nesse sentido, Mukong v. Camarões, Caso nº. 458/1991, decisão de 21 de maio de 1994, Comitê de Direitos Humanos da ONU). Nessas condições, quando o Poder Judiciário for chamado ao controle judicial da política pública desviada deve atuar positivamente, forte no seu dever de tutela de direitos fundamentais. In casu, satisfeito o requisito da urgência, indispensável a </w:t>
      </w:r>
    </w:p>
    <w:p>
      <w:pPr>
        <w:ind w:left="288"/>
      </w:pPr>
      <w:r>
        <w:rPr>
          <w:b/>
          <w:color w:val="003CA0"/>
          <w:sz w:val="16"/>
        </w:rPr>
        <w:t>[Rcl 58.207 MC, rel. min. Edson Fachin, j. 19.08.2024, 2ª T, DJE de 02.09.2024.]</w:t>
      </w:r>
    </w:p>
    <w:p>
      <w:pPr>
        <w:ind w:left="288"/>
      </w:pPr>
      <w:r>
        <w:rPr>
          <w:color w:val="8C8C8C"/>
          <w:sz w:val="12"/>
        </w:rPr>
        <w:t>cf-art-5-inc-XL-ali-e</w:t>
      </w:r>
      <w:r>
        <w:rPr>
          <w:color w:val="003CA0"/>
          <w:sz w:val="12"/>
        </w:rPr>
        <w:t xml:space="preserve"> | HC 172.136</w:t>
      </w:r>
      <w:r>
        <w:rPr>
          <w:color w:val="003CA0"/>
          <w:sz w:val="12"/>
        </w:rPr>
        <w:t xml:space="preserve"> | rel. Nunes Marques</w:t>
      </w:r>
    </w:p>
    <w:p>
      <w:pPr>
        <w:ind w:left="288"/>
      </w:pPr>
      <w:r>
        <w:rPr>
          <w:color w:val="1E1E1E"/>
          <w:sz w:val="18"/>
        </w:rPr>
        <w:t>Há, lamentavelmente, no Brasil, no plano do sistema penitenciário nacional, um claro, indisfarçável e anômalo ‘estado de coisas inconstitucional’ resultante da omissão do Poder Público em implementar medidas eficazes de ordem estrutural que neutralizem a situação de absurda patologia constitucional gerada, incompreensivelmente, pela inércia do Estado, que descumpre a Constituição Federal, que ofende a Lei de Execução Penal, que vulnera a essencial dignidade dos sentenciados e dos custodiados em geral, que fere o sentimento de decência dos cidadãos desta República e que desrespeita as convençõe</w:t>
      </w:r>
    </w:p>
    <w:p>
      <w:pPr>
        <w:ind w:left="288"/>
      </w:pPr>
      <w:r>
        <w:rPr>
          <w:b/>
          <w:color w:val="003CA0"/>
          <w:sz w:val="16"/>
        </w:rPr>
        <w:t>[HC 172.136, rel. min. Nunes Marques, j. 10-10-2020, 2ª T, DJE de 1º-12-2020.]</w:t>
      </w:r>
    </w:p>
    <w:p>
      <w:pPr>
        <w:ind w:left="288"/>
      </w:pPr>
      <w:r>
        <w:rPr>
          <w:color w:val="8C8C8C"/>
          <w:sz w:val="12"/>
        </w:rPr>
        <w:t>cf-art-5-inc-XL-ali-e</w:t>
      </w:r>
      <w:r>
        <w:rPr>
          <w:color w:val="003CA0"/>
          <w:sz w:val="12"/>
        </w:rPr>
        <w:t xml:space="preserve"> | RCL 9.468</w:t>
      </w:r>
      <w:r>
        <w:rPr>
          <w:color w:val="003CA0"/>
          <w:sz w:val="12"/>
        </w:rPr>
        <w:t xml:space="preserve"> | rel. Ricardo Lewandowski</w:t>
      </w:r>
    </w:p>
    <w:p>
      <w:pPr>
        <w:ind w:left="288"/>
      </w:pPr>
      <w:r>
        <w:rPr>
          <w:color w:val="1E1E1E"/>
          <w:sz w:val="18"/>
        </w:rPr>
        <w:t>O uso de algemas durante audiência de instrução e julgamento pode ser determinado pelo magistrado quando presentes, de maneira concreta, riscos à segurança do acusado ou das pessoas ao ato presentes.</w:t>
      </w:r>
    </w:p>
    <w:p>
      <w:pPr>
        <w:ind w:left="288"/>
      </w:pPr>
      <w:r>
        <w:rPr>
          <w:b/>
          <w:color w:val="003CA0"/>
          <w:sz w:val="16"/>
        </w:rPr>
        <w:t>[Rcl 9.468 AgR, rel. min. Ricardo Lewandowski, j. 24-3-2011, P, DJE de 11-4-2011.]</w:t>
      </w:r>
    </w:p>
    <w:p>
      <w:pPr>
        <w:ind w:left="288"/>
      </w:pPr>
      <w:r>
        <w:rPr>
          <w:color w:val="8C8C8C"/>
          <w:sz w:val="12"/>
        </w:rPr>
        <w:t>cf-art-5-inc-XL-ali-e</w:t>
      </w:r>
      <w:r>
        <w:rPr>
          <w:color w:val="003CA0"/>
          <w:sz w:val="12"/>
        </w:rPr>
        <w:t xml:space="preserve"> | RCL 10.479</w:t>
      </w:r>
      <w:r>
        <w:rPr>
          <w:color w:val="003CA0"/>
          <w:sz w:val="12"/>
        </w:rPr>
        <w:t xml:space="preserve"> | rel. Dias Toffoli</w:t>
      </w:r>
    </w:p>
    <w:p>
      <w:pPr>
        <w:ind w:left="288"/>
      </w:pPr>
      <w:r>
        <w:rPr>
          <w:color w:val="1E1E1E"/>
          <w:sz w:val="18"/>
        </w:rPr>
        <w:t>= Rcl 10.479 AgR, rel. min. Dias Toffoli, j. 23-5-2013, P, DJE de 1º-8-2013 Vide HC 91.952, voto do min. Marco Aurélio, j. 7-8-2008, P, DJE de 19-12-2008 Vide HC 89.429, rel. min. Cármen Lúcia, j. 22-8-2006, 1ª T, DJ de 2-2-2007 Prisão preventiva. (...) Autos instruídos com documentos comprobatórios do debilitado estado de saúde do paciente, que provavelmente definhará na prisão sem a assistência médica de que necessita, o estabelecimento prisional reconhecendo não ter condições de prestá-la. O art. 117 da LEP determina, nas hipóteses mencionadas em seus incisos, o recolhimento do apenado, que</w:t>
      </w:r>
    </w:p>
    <w:p>
      <w:pPr>
        <w:ind w:left="288"/>
      </w:pPr>
      <w:r>
        <w:rPr>
          <w:b/>
          <w:color w:val="003CA0"/>
          <w:sz w:val="16"/>
        </w:rPr>
        <w:t>[HC 98.675, rel. min. Eros Grau, j. 9-6-2009, 2ª T, DJE de 21-8-2009.]</w:t>
      </w:r>
    </w:p>
    <w:p>
      <w:pPr>
        <w:ind w:left="288"/>
      </w:pPr>
      <w:r>
        <w:rPr>
          <w:color w:val="8C8C8C"/>
          <w:sz w:val="12"/>
        </w:rPr>
        <w:t>cf-art-5-inc-XL-ali-e</w:t>
      </w:r>
      <w:r>
        <w:rPr>
          <w:color w:val="003CA0"/>
          <w:sz w:val="12"/>
        </w:rPr>
        <w:t xml:space="preserve"> | HC 95.334</w:t>
      </w:r>
      <w:r>
        <w:rPr>
          <w:color w:val="003CA0"/>
          <w:sz w:val="12"/>
        </w:rPr>
        <w:t xml:space="preserve"> | rel. Ricardo Lewandowski</w:t>
      </w:r>
    </w:p>
    <w:p>
      <w:pPr>
        <w:ind w:left="288"/>
      </w:pPr>
      <w:r>
        <w:rPr>
          <w:color w:val="1E1E1E"/>
          <w:sz w:val="18"/>
        </w:rPr>
        <w:t>Vide HC 95.334, rel. min. Ricardo Lewandowski, red. do ac. min. Marco Aurélio, j. 3-3-2009, 1ª T, DJE de 21-8-2009 Vide RHC 94.358, rel. min. Celso de Mello, j. 29-4-2008, 2ª T, DJE de 19-3-2014 O julgamento perante o tribunal do júri não requer a custódia preventiva do acusado, até então simples acusado – inciso LVII do art. 5º da Lei Maior. Hoje não é necessária sequer a presença do acusado (...). Diante disso, indaga-se: surge harmônico com a Constituição mantê-lo, no recinto, com algemas? A resposta mostra-se iniludivelmente negativa. Em primeiro lugar, levem em conta o princípio da não cu</w:t>
      </w:r>
    </w:p>
    <w:p>
      <w:pPr>
        <w:ind w:left="288"/>
      </w:pPr>
      <w:r>
        <w:rPr>
          <w:b/>
          <w:color w:val="003CA0"/>
          <w:sz w:val="16"/>
        </w:rPr>
        <w:t>[HC 91.952, voto do min. Marco Aurélio, j. 7-8-2008, P, DJE de 19-12-2008.]</w:t>
      </w:r>
    </w:p>
    <w:p>
      <w:pPr>
        <w:ind w:left="288"/>
      </w:pPr>
      <w:r>
        <w:rPr>
          <w:color w:val="8C8C8C"/>
          <w:sz w:val="12"/>
        </w:rPr>
        <w:t>cf-art-5-inc-XL-ali-e</w:t>
      </w:r>
      <w:r>
        <w:rPr>
          <w:color w:val="003CA0"/>
          <w:sz w:val="12"/>
        </w:rPr>
        <w:t xml:space="preserve"> | RCL 9.468</w:t>
      </w:r>
      <w:r>
        <w:rPr>
          <w:color w:val="003CA0"/>
          <w:sz w:val="12"/>
        </w:rPr>
        <w:t xml:space="preserve"> | rel. Ricardo Lewandowski</w:t>
      </w:r>
    </w:p>
    <w:p>
      <w:pPr>
        <w:ind w:left="288"/>
      </w:pPr>
      <w:r>
        <w:rPr>
          <w:color w:val="1E1E1E"/>
          <w:sz w:val="18"/>
        </w:rPr>
        <w:t xml:space="preserve">Vide Rcl 9.468 AgR, rel. min. Ricardo Lewandowski, j. 24-3-2011, P, DJE de 11-4-2011 O fato de o paciente estar condenado por delito tipificado como hediondo não enseja, por si só, uma proibição objetiva incondicional à concessão de prisão domiciliar, pois a dignidade da pessoa humana, especialmente a dos idosos, sempre será preponderante, dada a sua condição de princípio fundamental da República (art. 1º, III, da CF/1988). Por outro lado, incontroverso que essa mesma dignidade se encontrará ameaçada nas hipóteses excepcionalíssimas em que o apenado idoso estiver acometido de doença grave que </w:t>
      </w:r>
    </w:p>
    <w:p>
      <w:pPr>
        <w:ind w:left="288"/>
      </w:pPr>
      <w:r>
        <w:rPr>
          <w:b/>
          <w:color w:val="003CA0"/>
          <w:sz w:val="16"/>
        </w:rPr>
        <w:t>[HC 83.358, rel. min. Ayres Britto, j. 4-5-2004, 1ª T, DJ de 4-6-2004.]</w:t>
      </w:r>
    </w:p>
    <w:p>
      <w:pPr>
        <w:ind w:left="288"/>
      </w:pPr>
      <w:r>
        <w:rPr>
          <w:color w:val="8C8C8C"/>
          <w:sz w:val="12"/>
        </w:rPr>
        <w:t>cf-art-5-inc-XL-ali-e</w:t>
      </w:r>
      <w:r>
        <w:rPr>
          <w:color w:val="003CA0"/>
          <w:sz w:val="12"/>
        </w:rPr>
        <w:t xml:space="preserve"> | RHC 94.358</w:t>
      </w:r>
      <w:r>
        <w:rPr>
          <w:color w:val="003CA0"/>
          <w:sz w:val="12"/>
        </w:rPr>
        <w:t xml:space="preserve"> | rel. Celso de Mello</w:t>
      </w:r>
    </w:p>
    <w:p>
      <w:pPr>
        <w:ind w:left="288"/>
      </w:pPr>
      <w:r>
        <w:rPr>
          <w:color w:val="1E1E1E"/>
          <w:sz w:val="18"/>
        </w:rPr>
        <w:t>= RHC 94.358, rel. min. Celso de Mello, j. 29-4-2008, 2ª T, DJE de 19-3-2014 Tanto quanto possível, incumbe ao Estado adotar medidas preparatórias ao retorno do condenado ao convívio social. Os valores humanos fulminam os enfoques segregacionistas. A ordem jurídica em vigor consagra o direito do preso de ser transferido para local em que possua raízes, visando à indispensável assistência pelos familiares. Os óbices ao acolhimento do pleito devem ser inafastáveis e exsurgir ao primeiro exame, consideradas as precárias condições do sistema carcerário pátrio.</w:t>
      </w:r>
    </w:p>
    <w:p>
      <w:pPr>
        <w:ind w:left="288"/>
      </w:pPr>
      <w:r>
        <w:rPr>
          <w:b/>
          <w:color w:val="003CA0"/>
          <w:sz w:val="16"/>
        </w:rPr>
        <w:t>[HC 71.179, rel. min. Marco Aurélio, j. 19-4-1994, 2ª T, DJ de 3-6-1994.]</w:t>
      </w:r>
    </w:p>
    <w:p>
      <w:pPr>
        <w:ind w:left="288"/>
      </w:pPr>
      <w:r>
        <w:rPr>
          <w:color w:val="8C8C8C"/>
          <w:sz w:val="12"/>
        </w:rPr>
        <w:t>cf-art-5-inc-L</w:t>
      </w:r>
    </w:p>
    <w:p>
      <w:pPr>
        <w:ind w:left="288"/>
      </w:pPr>
      <w:r>
        <w:rPr>
          <w:color w:val="1E1E1E"/>
          <w:sz w:val="18"/>
        </w:rPr>
        <w:t>LI - nenhum brasileiro será extraditado, salvo o naturalizado, em caso de crime comum, praticado antes da naturalização, ou de comprovado envolvimento em tráfico ilícito de entorpecentes e drogas afins, na forma da lei; Não impede a extradição a circunstância de ser o extraditando casado com brasileira ou ter filho brasileiro.</w:t>
      </w:r>
    </w:p>
    <w:p>
      <w:pPr>
        <w:ind w:left="288"/>
      </w:pPr>
      <w:r>
        <w:rPr>
          <w:b/>
          <w:color w:val="003CA0"/>
          <w:sz w:val="16"/>
        </w:rPr>
        <w:t>[Súmula 421.]</w:t>
      </w:r>
    </w:p>
    <w:p>
      <w:pPr>
        <w:ind w:left="288"/>
      </w:pPr>
      <w:r>
        <w:rPr>
          <w:color w:val="8C8C8C"/>
          <w:sz w:val="12"/>
        </w:rPr>
        <w:t>cf-art-5-inc-L</w:t>
      </w:r>
      <w:r>
        <w:rPr>
          <w:color w:val="003CA0"/>
          <w:sz w:val="12"/>
        </w:rPr>
        <w:t xml:space="preserve"> | EXT 1.446</w:t>
      </w:r>
      <w:r>
        <w:rPr>
          <w:color w:val="003CA0"/>
          <w:sz w:val="12"/>
        </w:rPr>
        <w:t xml:space="preserve"> | rel. Dias Toffoli</w:t>
      </w:r>
    </w:p>
    <w:p>
      <w:pPr>
        <w:ind w:left="288"/>
      </w:pPr>
      <w:r>
        <w:rPr>
          <w:color w:val="1E1E1E"/>
          <w:sz w:val="18"/>
        </w:rPr>
        <w:t>Extradição instrutória. (...) Nacionalidade do extraditando. Registros civis brasileiro e paraguaio atestando seu nascimento, na mesma data, em ambos os países. Impossibilidade lógica de sua coexistência. Pretendida suspensão do processo extradicional até o julgamento definitivo de ação anulatória do registro civil brasileiro. Descabimento. Presunção de veracidade do registro brasileiro não infirmada pela prova dos autos. Assento de nascimento brasileiro lavrado cinco meses após o nascimento. Registro congênere alienígena lavrado somente oito anos após o suposto nascimento em solo paraguaio. P</w:t>
      </w:r>
    </w:p>
    <w:p>
      <w:pPr>
        <w:ind w:left="288"/>
      </w:pPr>
      <w:r>
        <w:rPr>
          <w:b/>
          <w:color w:val="003CA0"/>
          <w:sz w:val="16"/>
        </w:rPr>
        <w:t>[Ext 1.446, rel. min. Dias Toffoli, j. 7-11-2017, 2ª T, DJE de 7-12-2017.]</w:t>
      </w:r>
    </w:p>
    <w:p>
      <w:pPr>
        <w:ind w:left="288"/>
      </w:pPr>
      <w:r>
        <w:rPr>
          <w:color w:val="8C8C8C"/>
          <w:sz w:val="12"/>
        </w:rPr>
        <w:t>cf-art-5-inc-L</w:t>
      </w:r>
      <w:r>
        <w:rPr>
          <w:color w:val="003CA0"/>
          <w:sz w:val="12"/>
        </w:rPr>
        <w:t xml:space="preserve"> | HC 97.511</w:t>
      </w:r>
      <w:r>
        <w:rPr>
          <w:color w:val="003CA0"/>
          <w:sz w:val="12"/>
        </w:rPr>
        <w:t xml:space="preserve"> | rel. Ricardo Lewandowski</w:t>
      </w:r>
    </w:p>
    <w:p>
      <w:pPr>
        <w:ind w:left="288"/>
      </w:pPr>
      <w:r>
        <w:rPr>
          <w:color w:val="1E1E1E"/>
          <w:sz w:val="18"/>
        </w:rPr>
        <w:t>A concessão de exequatur em rogatória que vise a obter provas relativas à investigação criminal, levada a efeito em país estrangeiro, não representa risco à liberdade de locomoção do paciente que, além de brasileiro nato, encontra-se domiciliado no Brasil, em face da impossibilidade de extradição.</w:t>
      </w:r>
    </w:p>
    <w:p>
      <w:pPr>
        <w:ind w:left="288"/>
      </w:pPr>
      <w:r>
        <w:rPr>
          <w:b/>
          <w:color w:val="003CA0"/>
          <w:sz w:val="16"/>
        </w:rPr>
        <w:t>[HC 97.511, rel. min. Ricardo Lewandowski, j. 10-8-2010, 1ª T, DJE de 10-9-2010.]</w:t>
      </w:r>
    </w:p>
    <w:p>
      <w:pPr>
        <w:ind w:left="288"/>
      </w:pPr>
      <w:r>
        <w:rPr>
          <w:color w:val="8C8C8C"/>
          <w:sz w:val="12"/>
        </w:rPr>
        <w:t>cf-art-5-inc-L</w:t>
      </w:r>
      <w:r>
        <w:rPr>
          <w:color w:val="003CA0"/>
          <w:sz w:val="12"/>
        </w:rPr>
        <w:t xml:space="preserve"> | EXT 688</w:t>
      </w:r>
      <w:r>
        <w:rPr>
          <w:color w:val="003CA0"/>
          <w:sz w:val="12"/>
        </w:rPr>
        <w:t xml:space="preserve"> | rel. Celso de Mello – Ext 934/República Oriental do Uruguai</w:t>
      </w:r>
    </w:p>
    <w:p>
      <w:pPr>
        <w:ind w:left="288"/>
      </w:pPr>
      <w:r>
        <w:rPr>
          <w:color w:val="1E1E1E"/>
          <w:sz w:val="18"/>
        </w:rPr>
        <w:t>Extradição passiva e brasileiro naturalizado. Possibilidade excepcional. Tráfico ilícito de entorpecentes. Necessidades, em tal hipótese, de que se demonstre "comprovado envolvimento" do brasileiro naturalizado (CF, art. 5º, LI). Exceção constitucional ao modelo de contenciosidade limitada. Inaplicabilidade dessa regra da Constituição da República ao súdito estrangeiro, embora o coautor do mesmo fato delituoso ostente a condição de brasileiro naturalizado. O brasileiro naturalizado, em tema de extradição passiva, dispõe de proteção constitucional mais intensa que aquela outorgada aos súditos e</w:t>
      </w:r>
    </w:p>
    <w:p>
      <w:pPr>
        <w:ind w:left="288"/>
      </w:pPr>
      <w:r>
        <w:rPr>
          <w:b/>
          <w:color w:val="003CA0"/>
          <w:sz w:val="16"/>
        </w:rPr>
        <w:t>[Ext 1.082, rel. min. Celso de Mello, j. 19-6-2008, P, DJE de 8-8-2008.]</w:t>
      </w:r>
    </w:p>
    <w:p>
      <w:pPr>
        <w:ind w:left="288"/>
      </w:pPr>
      <w:r>
        <w:rPr>
          <w:color w:val="8C8C8C"/>
          <w:sz w:val="12"/>
        </w:rPr>
        <w:t>cf-art-5-inc-L</w:t>
      </w:r>
      <w:r>
        <w:rPr>
          <w:color w:val="003CA0"/>
          <w:sz w:val="12"/>
        </w:rPr>
        <w:t xml:space="preserve"> | EXT 1.010</w:t>
      </w:r>
      <w:r>
        <w:rPr>
          <w:color w:val="003CA0"/>
          <w:sz w:val="12"/>
        </w:rPr>
        <w:t xml:space="preserve"> | rel. Joaquim Barbosa</w:t>
      </w:r>
    </w:p>
    <w:p>
      <w:pPr>
        <w:ind w:left="288"/>
      </w:pPr>
      <w:r>
        <w:rPr>
          <w:color w:val="1E1E1E"/>
          <w:sz w:val="18"/>
        </w:rPr>
        <w:t>Pedido de extradição, formulado com base em promessa de reciprocidade, de cidadão brasileiro naturalizado, por fatos relacionados a tráfico de drogas anteriores à entrega do certificado de naturalização. Inviabilidade da extradição, por impossibilidade de cumprimento da promessa de reciprocidade, uma vez que, no país requerente, a vedação de extradição de seus nacionais não admite exceções como as previstas na Constituição da República Federativa do Brasil de 1988 (art. 5º, LI).</w:t>
      </w:r>
    </w:p>
    <w:p>
      <w:pPr>
        <w:ind w:left="288"/>
      </w:pPr>
      <w:r>
        <w:rPr>
          <w:b/>
          <w:color w:val="003CA0"/>
          <w:sz w:val="16"/>
        </w:rPr>
        <w:t>[Ext 1.010 QO, rel. min. Joaquim Barbosa, j. 24-5-2006, P, DJ de 19-12-2006.]</w:t>
      </w:r>
    </w:p>
    <w:p>
      <w:pPr>
        <w:ind w:left="288"/>
      </w:pPr>
      <w:r>
        <w:rPr>
          <w:color w:val="8C8C8C"/>
          <w:sz w:val="12"/>
        </w:rPr>
        <w:t>cf-art-5-inc-L</w:t>
      </w:r>
      <w:r>
        <w:rPr>
          <w:color w:val="003CA0"/>
          <w:sz w:val="12"/>
        </w:rPr>
        <w:t xml:space="preserve"> | EXT 934</w:t>
      </w:r>
      <w:r>
        <w:rPr>
          <w:color w:val="003CA0"/>
          <w:sz w:val="12"/>
        </w:rPr>
        <w:t xml:space="preserve"> | rel. Eros Grau</w:t>
      </w:r>
    </w:p>
    <w:p>
      <w:pPr>
        <w:ind w:left="288"/>
      </w:pPr>
      <w:r>
        <w:rPr>
          <w:color w:val="1E1E1E"/>
          <w:sz w:val="18"/>
        </w:rPr>
        <w:t>Vide Ext 934 QO, rel. min. Eros Grau, j. 9-9-2004, P, DJ de 12-11-2004 A norma inserta no art. 5º, LI, da Constituição do Brasil não é regra de eficácia plena, nem de aplicabilidade imediata. Afigura-se imprescindível a implementação de legislação ordinária regulamentar. Precedente. Ausência de prova cabal de que o extraditando esteja envolvido em tráfico ilícito de entorpecentes e drogas afins. Possibilidade de renovação, no futuro, do pedido de extradição, com base em sentença definitiva, se apurado e comprovado o efetivo envolvimento na prática do referido delito.</w:t>
      </w:r>
    </w:p>
    <w:p>
      <w:pPr>
        <w:ind w:left="288"/>
      </w:pPr>
      <w:r>
        <w:rPr>
          <w:b/>
          <w:color w:val="003CA0"/>
          <w:sz w:val="16"/>
        </w:rPr>
        <w:t>[Ext 934 QO, rel. min. Eros Grau, j. 9-9-2004, P, DJ de 12-11-2004.]</w:t>
      </w:r>
    </w:p>
    <w:p>
      <w:pPr>
        <w:ind w:left="288"/>
      </w:pPr>
      <w:r>
        <w:rPr>
          <w:color w:val="8C8C8C"/>
          <w:sz w:val="12"/>
        </w:rPr>
        <w:t>cf-art-5-inc-L</w:t>
      </w:r>
      <w:r>
        <w:rPr>
          <w:color w:val="003CA0"/>
          <w:sz w:val="12"/>
        </w:rPr>
        <w:t xml:space="preserve"> | EXT 1.010</w:t>
      </w:r>
      <w:r>
        <w:rPr>
          <w:color w:val="003CA0"/>
          <w:sz w:val="12"/>
        </w:rPr>
        <w:t xml:space="preserve"> | rel. Joaquim Barbosa</w:t>
      </w:r>
    </w:p>
    <w:p>
      <w:pPr>
        <w:ind w:left="288"/>
      </w:pPr>
      <w:r>
        <w:rPr>
          <w:color w:val="1E1E1E"/>
          <w:sz w:val="18"/>
        </w:rPr>
        <w:t>Vide Ext 1.010 QO, rel. min. Joaquim Barbosa, j. 24-5-2006, P, DJ de 19-12-2006 O processo remete ao complexo problema da extradição no caso da dupla-nacionalidade, questão examinada pela Corte Internacional de Justiça no célebre caso Nottebohm. Naquele caso a Corte sustentou que, na hipótese de dupla nacionalidade, haveria uma prevalecente – a nacionalidade real e efetiva – identificada a partir de laços fáticos fortes entre a pessoa e o Estado. A falta de elementos concretos no presente processo inviabiliza qualquer solução sob esse enfoque.</w:t>
      </w:r>
    </w:p>
    <w:p>
      <w:pPr>
        <w:ind w:left="288"/>
      </w:pPr>
      <w:r>
        <w:rPr>
          <w:b/>
          <w:color w:val="003CA0"/>
          <w:sz w:val="16"/>
        </w:rPr>
        <w:t>[HC 83.450, rel. min. Marco Aurélio, red. do ac. min. Nelson Jobim, j. 26-8-2004, P, DJ de 4-3-2005.]</w:t>
      </w:r>
    </w:p>
    <w:p>
      <w:pPr>
        <w:ind w:left="288"/>
      </w:pPr>
      <w:r>
        <w:rPr>
          <w:color w:val="8C8C8C"/>
          <w:sz w:val="12"/>
        </w:rPr>
        <w:t>cf-art-5-inc-L</w:t>
      </w:r>
      <w:r>
        <w:rPr>
          <w:color w:val="003CA0"/>
          <w:sz w:val="12"/>
        </w:rPr>
        <w:t xml:space="preserve"> | HC 83.113</w:t>
      </w:r>
      <w:r>
        <w:rPr>
          <w:color w:val="003CA0"/>
          <w:sz w:val="12"/>
        </w:rPr>
        <w:t xml:space="preserve"> | rel. Celso de Mello</w:t>
      </w:r>
    </w:p>
    <w:p>
      <w:pPr>
        <w:ind w:left="288"/>
      </w:pPr>
      <w:r>
        <w:rPr>
          <w:color w:val="1E1E1E"/>
          <w:sz w:val="18"/>
        </w:rPr>
        <w:t>O brasileiro nato, quaisquer que sejam as circunstâncias e a natureza do delito, não pode ser extraditado, pelo Brasil, a pedido de governo estrangeiro, pois a Constituição da República, em cláusula que não comporta exceção, impede, em caráter absoluto, a efetivação da entrega extradicional daquele que é titular, seja pelo critério do jus soli, seja pelo critério do jus sanguinis, de nacionalidade brasileira primária ou originária. Esse privilégio constitucional, que beneficia, sem exceção, o brasileiro nato (CF, art. 5º, LI), não se descaracteriza pelo fato de o Estado estrangeiro, por lei pr</w:t>
      </w:r>
    </w:p>
    <w:p>
      <w:pPr>
        <w:ind w:left="288"/>
      </w:pPr>
      <w:r>
        <w:rPr>
          <w:b/>
          <w:color w:val="003CA0"/>
          <w:sz w:val="16"/>
        </w:rPr>
        <w:t>[HC 83.113 QO, rel. min. Celso de Mello, j. 26-6-2003, P, DJ de 29-8-2003.]</w:t>
      </w:r>
    </w:p>
    <w:p>
      <w:pPr>
        <w:ind w:left="288"/>
      </w:pPr>
      <w:r>
        <w:rPr>
          <w:color w:val="8C8C8C"/>
          <w:sz w:val="12"/>
        </w:rPr>
        <w:t>cf-art-5-inc-L</w:t>
      </w:r>
      <w:r>
        <w:rPr>
          <w:color w:val="003CA0"/>
          <w:sz w:val="12"/>
        </w:rPr>
        <w:t xml:space="preserve"> | EXT 916</w:t>
      </w:r>
      <w:r>
        <w:rPr>
          <w:color w:val="003CA0"/>
          <w:sz w:val="12"/>
        </w:rPr>
        <w:t xml:space="preserve"> | rel. Ayres Britto</w:t>
      </w:r>
    </w:p>
    <w:p>
      <w:pPr>
        <w:ind w:left="288"/>
      </w:pPr>
      <w:r>
        <w:rPr>
          <w:color w:val="1E1E1E"/>
          <w:sz w:val="18"/>
        </w:rPr>
        <w:t>= Ext 916, rel. min. Ayres Britto, j. 19-5-2005, P, DJ de 21-10-2005 O fato de o extraditando possuir domicílio no Brasil não é causa impeditiva da extradição (Lei 6.815/1980, art. 77).</w:t>
      </w:r>
    </w:p>
    <w:p>
      <w:pPr>
        <w:ind w:left="288"/>
      </w:pPr>
      <w:r>
        <w:rPr>
          <w:b/>
          <w:color w:val="003CA0"/>
          <w:sz w:val="16"/>
        </w:rPr>
        <w:t>[Ext 766, rel. min. Nelson Jobim, j. 6-4-2000, P, DJ de 10-8-2000.]</w:t>
      </w:r>
    </w:p>
    <w:p>
      <w:pPr>
        <w:ind w:left="288"/>
      </w:pPr>
      <w:r>
        <w:rPr>
          <w:color w:val="8C8C8C"/>
          <w:sz w:val="12"/>
        </w:rPr>
        <w:t>cf-art-5-inc-L</w:t>
      </w:r>
      <w:r>
        <w:rPr>
          <w:color w:val="003CA0"/>
          <w:sz w:val="12"/>
        </w:rPr>
        <w:t xml:space="preserve"> | EXT 541</w:t>
      </w:r>
      <w:r>
        <w:rPr>
          <w:color w:val="003CA0"/>
          <w:sz w:val="12"/>
        </w:rPr>
        <w:t xml:space="preserve"> | rel. Néri da Silveira</w:t>
      </w:r>
    </w:p>
    <w:p>
      <w:pPr>
        <w:ind w:left="288"/>
      </w:pPr>
      <w:r>
        <w:rPr>
          <w:color w:val="1E1E1E"/>
          <w:sz w:val="18"/>
        </w:rPr>
        <w:t xml:space="preserve">Ao princípio geral de inextraditabilidade do brasileiro, incluído o naturalizado, a Constituição admitiu, no art. 5º, LI, duas exceções: a primeira, de eficácia plena e aplicabilidade imediata, se a naturalização é posterior ao crime comum pelo qual procurado; a segunda, no caso de naturalização anterior ao fato, se se cuida de tráfico de entorpecentes: aí, porém, admitida, não como a de qualquer estrangeiro, mas, sim, "na forma da lei", e por "comprovado envolvimento" no crime: a essas exigências de caráter excepcional não basta a concorrência dos requisitos formais de toda extradição, quais </w:t>
      </w:r>
    </w:p>
    <w:p>
      <w:pPr>
        <w:ind w:left="288"/>
      </w:pPr>
      <w:r>
        <w:rPr>
          <w:b/>
          <w:color w:val="003CA0"/>
          <w:sz w:val="16"/>
        </w:rPr>
        <w:t>[Ext 541, rel. min. Néri da Silveira, red. do ac. min. Sepúlveda Pertence, j. 7-11-1992, P, DJ de 18-12-1992.]</w:t>
      </w:r>
    </w:p>
    <w:p>
      <w:pPr>
        <w:ind w:left="288"/>
      </w:pPr>
      <w:r>
        <w:rPr>
          <w:color w:val="8C8C8C"/>
          <w:sz w:val="12"/>
        </w:rPr>
        <w:t>cf-art-5-inc-L</w:t>
      </w:r>
      <w:r>
        <w:rPr>
          <w:color w:val="003CA0"/>
          <w:sz w:val="12"/>
        </w:rPr>
        <w:t xml:space="preserve"> | EXT 1.203</w:t>
      </w:r>
    </w:p>
    <w:p>
      <w:pPr>
        <w:ind w:left="288"/>
      </w:pPr>
      <w:r>
        <w:rPr>
          <w:color w:val="1E1E1E"/>
          <w:sz w:val="18"/>
        </w:rPr>
        <w:t>LII - não será concedida extradição de estrangeiro por crime político ou de opinião; A presente extradição (...) reveste-se de caráter instrutório, eis que o ora extraditando ainda não sofreu condenação penal definitiva pela suposta prática do crime de conduzir veículo, sob influência de bebida alcoólica e com velocidade excessiva, em contexto de que resultou a morte de sua passageira (...). A infração penal atribuída ao extraditando acha-se desvestida de caráter político. Constitui delito comum, insuscetível de julgamento perante órgãos judiciários ou tribunais de exceção no Estado requerente</w:t>
      </w:r>
    </w:p>
    <w:p>
      <w:pPr>
        <w:ind w:left="288"/>
      </w:pPr>
      <w:r>
        <w:rPr>
          <w:b/>
          <w:color w:val="003CA0"/>
          <w:sz w:val="16"/>
        </w:rPr>
        <w:t>[Ext 1.203, voto do min. Celso de Mello, j. 2-12-2010, P, DJE de 25-2-2011.]</w:t>
      </w:r>
    </w:p>
    <w:p>
      <w:pPr>
        <w:ind w:left="288"/>
      </w:pPr>
      <w:r>
        <w:rPr>
          <w:color w:val="8C8C8C"/>
          <w:sz w:val="12"/>
        </w:rPr>
        <w:t>cf-art-5-inc-L</w:t>
      </w:r>
      <w:r>
        <w:rPr>
          <w:color w:val="003CA0"/>
          <w:sz w:val="12"/>
        </w:rPr>
        <w:t xml:space="preserve"> | EXT 1.085</w:t>
      </w:r>
      <w:r>
        <w:rPr>
          <w:color w:val="003CA0"/>
          <w:sz w:val="12"/>
        </w:rPr>
        <w:t xml:space="preserve"> | rel. Cezar Peluso</w:t>
      </w:r>
    </w:p>
    <w:p>
      <w:pPr>
        <w:ind w:left="288"/>
      </w:pPr>
      <w:r>
        <w:rPr>
          <w:color w:val="1E1E1E"/>
          <w:sz w:val="18"/>
        </w:rPr>
        <w:t>Não configura crime político, para fim de obstar o acolhimento de pedido de extradição, homicídio praticado por membro de organização revolucionária clandestina, em plena normalidade institucional de Estado Democrático de Direito, sem nenhum propósito político imediato ou conotação de reação legítima a regime opressivo. (...) Não caracteriza a hipótese legal de concessão de refúgio, consistente em fundado receio de perseguição política, o pedido de extradição para regular execução de sentenças definitivas de condenação por crimes comuns, proferidas com observância do devido processo legal, qua</w:t>
      </w:r>
    </w:p>
    <w:p>
      <w:pPr>
        <w:ind w:left="288"/>
      </w:pPr>
      <w:r>
        <w:rPr>
          <w:b/>
          <w:color w:val="003CA0"/>
          <w:sz w:val="16"/>
        </w:rPr>
        <w:t>[Ext 1.085, rel. min. Cezar Peluso, j. 16-12-2009, P, DJE de 16-4-2010.]</w:t>
      </w:r>
    </w:p>
    <w:p>
      <w:pPr>
        <w:ind w:left="288"/>
      </w:pPr>
      <w:r>
        <w:rPr>
          <w:color w:val="8C8C8C"/>
          <w:sz w:val="12"/>
        </w:rPr>
        <w:t>cf-art-5-inc-L</w:t>
      </w:r>
      <w:r>
        <w:rPr>
          <w:color w:val="003CA0"/>
          <w:sz w:val="12"/>
        </w:rPr>
        <w:t xml:space="preserve"> | EXT 1.171</w:t>
      </w:r>
      <w:r>
        <w:rPr>
          <w:color w:val="003CA0"/>
          <w:sz w:val="12"/>
        </w:rPr>
        <w:t xml:space="preserve"> | rel. Celso de Mello</w:t>
      </w:r>
    </w:p>
    <w:p>
      <w:pPr>
        <w:ind w:left="288"/>
      </w:pPr>
      <w:r>
        <w:rPr>
          <w:color w:val="1E1E1E"/>
          <w:sz w:val="18"/>
        </w:rPr>
        <w:t>O sistema de contenciosidade limitada, que caracteriza o regime jurídico da extradição passiva no direito positivo brasileiro, não permite qualquer indagação probatória pertinente ao ilícito criminal cuja persecução, no exterior, justificou o ajuizamento da demanda extradicional perante o STF. Revelar-se-á excepcionalmente possível, no entanto, a análise, pelo STF, de aspectos materiais concernentes à própria substância da imputação penal, sempre que tal exame se mostrar indispensável à solução de controvérsia pertinente (a) à ocorrência de prescrição penal, (b) à observância do princípio da d</w:t>
      </w:r>
    </w:p>
    <w:p>
      <w:pPr>
        <w:ind w:left="288"/>
      </w:pPr>
      <w:r>
        <w:rPr>
          <w:b/>
          <w:color w:val="003CA0"/>
          <w:sz w:val="16"/>
        </w:rPr>
        <w:t>[Ext 1.171, rel. min. Celso de Mello, j. 19-11-2009, P, DJE de 25-6-2010.]</w:t>
      </w:r>
    </w:p>
    <w:p>
      <w:pPr>
        <w:ind w:left="288"/>
      </w:pPr>
      <w:r>
        <w:rPr>
          <w:color w:val="8C8C8C"/>
          <w:sz w:val="12"/>
        </w:rPr>
        <w:t>cf-art-5-inc-L</w:t>
      </w:r>
      <w:r>
        <w:rPr>
          <w:color w:val="003CA0"/>
          <w:sz w:val="12"/>
        </w:rPr>
        <w:t xml:space="preserve"> | EXT 493</w:t>
      </w:r>
      <w:r>
        <w:rPr>
          <w:color w:val="003CA0"/>
          <w:sz w:val="12"/>
        </w:rPr>
        <w:t xml:space="preserve"> | rel. Gilmar Mendes</w:t>
      </w:r>
    </w:p>
    <w:p>
      <w:pPr>
        <w:ind w:left="288"/>
      </w:pPr>
      <w:r>
        <w:rPr>
          <w:color w:val="1E1E1E"/>
          <w:sz w:val="18"/>
        </w:rPr>
        <w:t>Extradição: Colômbia: crimes relacionados à participação do extraditando – então sacerdote da Igreja Católica – em ação militar das Forças Armadas Revolucionárias da Colômbia (FARC). Questão de ordem. Reconhecimento do status de refugiado do extraditando, por decisão do Comitê Nacional para Refugiados (CONARE): pertinência temática entre a motivação do deferimento do refúgio e o objeto do pedido de extradição: aplicação da Lei 9.474/1997, art. 33 (Estatuto do Refugiado), cuja constitucionalidade é reconhecida: ausência de violação do princípio constitucional da separação dos Poderes. De acordo</w:t>
      </w:r>
    </w:p>
    <w:p>
      <w:pPr>
        <w:ind w:left="288"/>
      </w:pPr>
      <w:r>
        <w:rPr>
          <w:b/>
          <w:color w:val="003CA0"/>
          <w:sz w:val="16"/>
        </w:rPr>
        <w:t>[Ext 1.008, rel. min. Gilmar Mendes, red. do ac. min. Sepúlveda Pertence, j. 21-3-2007, P, DJ de 17-8-2007.]</w:t>
      </w:r>
    </w:p>
    <w:p>
      <w:pPr>
        <w:ind w:left="288"/>
      </w:pPr>
      <w:r>
        <w:rPr>
          <w:color w:val="8C8C8C"/>
          <w:sz w:val="12"/>
        </w:rPr>
        <w:t>cf-art-5-inc-L</w:t>
      </w:r>
      <w:r>
        <w:rPr>
          <w:color w:val="003CA0"/>
          <w:sz w:val="12"/>
        </w:rPr>
        <w:t xml:space="preserve"> | EXT 994</w:t>
      </w:r>
      <w:r>
        <w:rPr>
          <w:color w:val="003CA0"/>
          <w:sz w:val="12"/>
        </w:rPr>
        <w:t xml:space="preserve"> | rel. Marco Aurélio</w:t>
      </w:r>
    </w:p>
    <w:p>
      <w:pPr>
        <w:ind w:left="288"/>
      </w:pPr>
      <w:r>
        <w:rPr>
          <w:color w:val="1E1E1E"/>
          <w:sz w:val="18"/>
        </w:rPr>
        <w:t>Uma vez constatado o entrelaçamento de crimes de natureza política e comum, impõe indeferir a extradição.</w:t>
      </w:r>
    </w:p>
    <w:p>
      <w:pPr>
        <w:ind w:left="288"/>
      </w:pPr>
      <w:r>
        <w:rPr>
          <w:b/>
          <w:color w:val="003CA0"/>
          <w:sz w:val="16"/>
        </w:rPr>
        <w:t>[Ext 994, rel. min. Marco Aurélio, j. 14-12-2005, P, DJ de 4-8-2006.]</w:t>
      </w:r>
    </w:p>
    <w:p>
      <w:pPr>
        <w:ind w:left="288"/>
      </w:pPr>
      <w:r>
        <w:rPr>
          <w:color w:val="8C8C8C"/>
          <w:sz w:val="12"/>
        </w:rPr>
        <w:t>cf-art-5-inc-L</w:t>
      </w:r>
      <w:r>
        <w:rPr>
          <w:color w:val="003CA0"/>
          <w:sz w:val="12"/>
        </w:rPr>
        <w:t xml:space="preserve"> | EXT 855</w:t>
      </w:r>
      <w:r>
        <w:rPr>
          <w:color w:val="003CA0"/>
          <w:sz w:val="12"/>
        </w:rPr>
        <w:t xml:space="preserve"> | rel. Celso de Mello</w:t>
      </w:r>
    </w:p>
    <w:p>
      <w:pPr>
        <w:ind w:left="288"/>
      </w:pPr>
      <w:r>
        <w:rPr>
          <w:color w:val="1E1E1E"/>
          <w:sz w:val="18"/>
        </w:rPr>
        <w:t>A cláusula de proteção constante do art. 5º, LII, da Constituição da República – que veda a extradição de estrangeiros por crime político ou de opinião – não se estende, por tal razão, ao autor de atos delituosos de natureza terrorista, considerado o frontal repúdio que a ordem constitucional brasileira dispensa ao terrorismo e ao terrorista. A extradição – enquanto meio legítimo de cooperação internacional na repressão às práticas de criminalidade comum – representa instrumento de significativa importância no combate eficaz ao terrorismo, que constitui "uma grave ameaça para os valores democr</w:t>
      </w:r>
    </w:p>
    <w:p>
      <w:pPr>
        <w:ind w:left="288"/>
      </w:pPr>
      <w:r>
        <w:rPr>
          <w:b/>
          <w:color w:val="003CA0"/>
          <w:sz w:val="16"/>
        </w:rPr>
        <w:t>[Ext 855, rel. min. Celso de Mello, j. 26-8-2004, P, DJ de 1º-7-2005.]</w:t>
      </w:r>
    </w:p>
    <w:p>
      <w:pPr>
        <w:ind w:left="288"/>
      </w:pPr>
      <w:r>
        <w:rPr>
          <w:color w:val="8C8C8C"/>
          <w:sz w:val="12"/>
        </w:rPr>
        <w:t>cf-art-5-inc-L</w:t>
      </w:r>
      <w:r>
        <w:rPr>
          <w:color w:val="003CA0"/>
          <w:sz w:val="12"/>
        </w:rPr>
        <w:t xml:space="preserve"> | EXT 700</w:t>
      </w:r>
      <w:r>
        <w:rPr>
          <w:color w:val="003CA0"/>
          <w:sz w:val="12"/>
        </w:rPr>
        <w:t xml:space="preserve"> | rel. Octavio Gallotti</w:t>
      </w:r>
    </w:p>
    <w:p>
      <w:pPr>
        <w:ind w:left="288"/>
      </w:pPr>
      <w:r>
        <w:rPr>
          <w:color w:val="1E1E1E"/>
          <w:sz w:val="18"/>
        </w:rPr>
        <w:t>Extraditando acusado de transmitir ao Iraque segredo de Estado do Governo requerente (República Federal da Alemanha), utilizável em projeto de desenvolvimento de armamento nuclear. Crime político puro, cujo conceito compreende não só o cometido contra a segurança interna, como o praticado contra a segurança externa do Estado, a caracterizarem, ambas as hipóteses, a excludente de concessão de extradição.</w:t>
      </w:r>
    </w:p>
    <w:p>
      <w:pPr>
        <w:ind w:left="288"/>
      </w:pPr>
      <w:r>
        <w:rPr>
          <w:b/>
          <w:color w:val="003CA0"/>
          <w:sz w:val="16"/>
        </w:rPr>
        <w:t>[Ext 700, rel. min. Octavio Gallotti, j. 4-3-1998, P, DJ de 5-11-1999.]</w:t>
      </w:r>
    </w:p>
    <w:p>
      <w:pPr>
        <w:ind w:left="288"/>
      </w:pPr>
      <w:r>
        <w:rPr>
          <w:color w:val="8C8C8C"/>
          <w:sz w:val="12"/>
        </w:rPr>
        <w:t>cf-art-5-inc-L</w:t>
      </w:r>
      <w:r>
        <w:rPr>
          <w:color w:val="003CA0"/>
          <w:sz w:val="12"/>
        </w:rPr>
        <w:t xml:space="preserve"> | EXT 615</w:t>
      </w:r>
      <w:r>
        <w:rPr>
          <w:color w:val="003CA0"/>
          <w:sz w:val="12"/>
        </w:rPr>
        <w:t xml:space="preserve"> | rel. Paulo Brossard</w:t>
      </w:r>
    </w:p>
    <w:p>
      <w:pPr>
        <w:ind w:left="288"/>
      </w:pPr>
      <w:r>
        <w:rPr>
          <w:color w:val="1E1E1E"/>
          <w:sz w:val="18"/>
        </w:rPr>
        <w:t>Não havendo a Constituição definido o crime político, ao Supremo cabe, em face da conceituação da legislação ordinária vigente, dizer se os delitos pelos quais se pede a extradição, constituem infração de natureza política ou não, tendo em vista o sistema da principalidade ou da preponderância.</w:t>
      </w:r>
    </w:p>
    <w:p>
      <w:pPr>
        <w:ind w:left="288"/>
      </w:pPr>
      <w:r>
        <w:rPr>
          <w:b/>
          <w:color w:val="003CA0"/>
          <w:sz w:val="16"/>
        </w:rPr>
        <w:t>[Ext 615, rel. min. Paulo Brossard, j. 19-10-1994, P, DJ de 5-12-1994.]</w:t>
      </w:r>
    </w:p>
    <w:p>
      <w:pPr>
        <w:ind w:left="288"/>
      </w:pPr>
      <w:r>
        <w:rPr>
          <w:color w:val="8C8C8C"/>
          <w:sz w:val="12"/>
        </w:rPr>
        <w:t>cf-art-5-inc-L</w:t>
      </w:r>
      <w:r>
        <w:rPr>
          <w:color w:val="003CA0"/>
          <w:sz w:val="12"/>
        </w:rPr>
        <w:t xml:space="preserve"> | EXT 524</w:t>
      </w:r>
      <w:r>
        <w:rPr>
          <w:color w:val="003CA0"/>
          <w:sz w:val="12"/>
        </w:rPr>
        <w:t xml:space="preserve"> | rel. Celso de Mello</w:t>
      </w:r>
    </w:p>
    <w:p>
      <w:pPr>
        <w:ind w:left="288"/>
      </w:pPr>
      <w:r>
        <w:rPr>
          <w:color w:val="1E1E1E"/>
          <w:sz w:val="18"/>
        </w:rPr>
        <w:t>A inextraditabilidade de estrangeiros por delitos políticos ou de opinião reflete, em nosso sistema jurídico, uma tradição constitucional republicana. Dela emerge, em favor dos súditos estrangeiros, um direito público subjetivo, oponível ao próprio Estado e de cogência inquestionável. Há, no preceito normativo que consagra esse favor constitutionis, uma insuperável limitação jurídica ao poder de extraditar do Estado brasileiro. Não há incompatibilidade absoluta entre o instituto do asilo político e o da extradição passiva, na exata medida em que o STF não está vinculado ao juízo formulado pelo</w:t>
      </w:r>
    </w:p>
    <w:p>
      <w:pPr>
        <w:ind w:left="288"/>
      </w:pPr>
      <w:r>
        <w:rPr>
          <w:b/>
          <w:color w:val="003CA0"/>
          <w:sz w:val="16"/>
        </w:rPr>
        <w:t>[Ext 524, rel. min. Celso de Mello, j. 31-10-1989, P, DJ de 8-3-1991.]</w:t>
      </w:r>
    </w:p>
    <w:p>
      <w:pPr>
        <w:ind w:left="288"/>
      </w:pPr>
      <w:r>
        <w:rPr>
          <w:color w:val="8C8C8C"/>
          <w:sz w:val="12"/>
        </w:rPr>
        <w:t>cf-art-5-inc-L</w:t>
      </w:r>
    </w:p>
    <w:p>
      <w:pPr>
        <w:ind w:left="288"/>
      </w:pPr>
      <w:r>
        <w:rPr>
          <w:color w:val="1E1E1E"/>
          <w:sz w:val="18"/>
        </w:rPr>
        <w:t>LIII - ninguém será processado nem sentenciado senão pela autoridade competente; Não viola as garantias do juiz natural, da ampla defesa e do devido processo legal a atração por continência ou conexão do processo do corréu ao foro por prerrogativa de função de um dos denunciados.</w:t>
      </w:r>
    </w:p>
    <w:p>
      <w:pPr>
        <w:ind w:left="288"/>
      </w:pPr>
      <w:r>
        <w:rPr>
          <w:b/>
          <w:color w:val="003CA0"/>
          <w:sz w:val="16"/>
        </w:rPr>
        <w:t>[Súmula 704.]</w:t>
      </w:r>
    </w:p>
    <w:p>
      <w:pPr>
        <w:ind w:left="288"/>
      </w:pPr>
      <w:r>
        <w:rPr>
          <w:color w:val="8C8C8C"/>
          <w:sz w:val="12"/>
        </w:rPr>
        <w:t>cf-art-5-inc-L</w:t>
      </w:r>
      <w:r>
        <w:rPr>
          <w:color w:val="003CA0"/>
          <w:sz w:val="12"/>
        </w:rPr>
        <w:t xml:space="preserve"> | ADI 7.600</w:t>
      </w:r>
      <w:r>
        <w:rPr>
          <w:color w:val="003CA0"/>
          <w:sz w:val="12"/>
        </w:rPr>
        <w:t xml:space="preserve"> | rel. Dias Toffoli</w:t>
      </w:r>
    </w:p>
    <w:p>
      <w:pPr>
        <w:ind w:left="288"/>
      </w:pPr>
      <w:r>
        <w:rPr>
          <w:color w:val="1E1E1E"/>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w:t>
      </w:r>
    </w:p>
    <w:p>
      <w:pPr>
        <w:ind w:left="288"/>
      </w:pPr>
      <w:r>
        <w:rPr>
          <w:b/>
          <w:color w:val="003CA0"/>
          <w:sz w:val="16"/>
        </w:rPr>
        <w:t>[ADI 7.600, ADI 7.601 e 7.608, rel. min. Dias Toffoli, j. 01.07.2025, P, DJE de 15.09.2025.]</w:t>
      </w:r>
    </w:p>
    <w:p>
      <w:pPr>
        <w:ind w:left="288"/>
      </w:pPr>
      <w:r>
        <w:rPr>
          <w:color w:val="8C8C8C"/>
          <w:sz w:val="12"/>
        </w:rPr>
        <w:t>cf-art-5-inc-L</w:t>
      </w:r>
      <w:r>
        <w:rPr>
          <w:color w:val="003CA0"/>
          <w:sz w:val="12"/>
        </w:rPr>
        <w:t xml:space="preserve"> | ADI 5.953</w:t>
      </w:r>
      <w:r>
        <w:rPr>
          <w:color w:val="003CA0"/>
          <w:sz w:val="12"/>
        </w:rPr>
        <w:t xml:space="preserve"> | rel. Edson Fachin</w:t>
      </w:r>
    </w:p>
    <w:p>
      <w:pPr>
        <w:ind w:left="288"/>
      </w:pPr>
      <w:r>
        <w:rPr>
          <w:color w:val="1E1E1E"/>
          <w:sz w:val="18"/>
        </w:rPr>
        <w:t>Art. 144, inciso VIII, do Código de Processo Civil. Causa de impedimento de magistrado. Violação aos princípios da razoabilidade, da proporcionalidade e do juiz natural. (...) O inciso VIII do art. 144 do CPC (...) trata do impedimento do juiz no processo em que for parte “cliente do escritório de advocacia” de seu cônjuge, companheiro ou parente, “mesmo que patrocinado por advogado de outro escritório” (CPC, art. 144, VIII – grifo nosso). Portanto, esta ação direta tem por objeto a regra de impedimento do caso em que o “cliente do escritório de advocacia” do indivíduo que ostente a condição d</w:t>
      </w:r>
    </w:p>
    <w:p>
      <w:pPr>
        <w:ind w:left="288"/>
      </w:pPr>
      <w:r>
        <w:rPr>
          <w:b/>
          <w:color w:val="003CA0"/>
          <w:sz w:val="16"/>
        </w:rPr>
        <w:t>[ADI 5.953, rel. min. Edson Fachin, red. do ac. min. Gilmar Mendes, j. 22-8-2023, P, DJE de 18-10-2023.]</w:t>
      </w:r>
    </w:p>
    <w:p>
      <w:pPr>
        <w:ind w:left="288"/>
      </w:pPr>
      <w:r>
        <w:rPr>
          <w:color w:val="8C8C8C"/>
          <w:sz w:val="12"/>
        </w:rPr>
        <w:t>cf-art-5-inc-L</w:t>
      </w:r>
      <w:r>
        <w:rPr>
          <w:color w:val="003CA0"/>
          <w:sz w:val="12"/>
        </w:rPr>
        <w:t xml:space="preserve"> | ADI 4.414</w:t>
      </w:r>
      <w:r>
        <w:rPr>
          <w:color w:val="003CA0"/>
          <w:sz w:val="12"/>
        </w:rPr>
        <w:t xml:space="preserve"> | rel. Luiz Fux</w:t>
      </w:r>
    </w:p>
    <w:p>
      <w:pPr>
        <w:ind w:left="288"/>
      </w:pPr>
      <w:r>
        <w:rPr>
          <w:color w:val="1E1E1E"/>
          <w:sz w:val="18"/>
        </w:rPr>
        <w:t>Criação, por lei estadual, de varas especializadas em delitos praticados por organizações criminosas. (...) O princípio do juiz natural não resta violado na hipótese em que lei estadual atribui a vara especializada competência territorial abrangente de todo o território da unidade federada, com fundamento no art. 125 da Constituição, porquanto o tema gravita em torno da organização judiciária, inexistindo afronta aos princípios da territorialidade e do juiz natural. A perpetuatio jurisdictionis é excepcionada nas hipóteses de modificação da competência ratione materiae do órgão, motivo pelo qu</w:t>
      </w:r>
    </w:p>
    <w:p>
      <w:pPr>
        <w:ind w:left="288"/>
      </w:pPr>
      <w:r>
        <w:rPr>
          <w:b/>
          <w:color w:val="003CA0"/>
          <w:sz w:val="16"/>
        </w:rPr>
        <w:t>[RE 860.631, rel. min. Luiz Fux, j. 26-10-2023, P, DJE de 14-2-2024, Tema 982, com mérito julgado.]</w:t>
      </w:r>
    </w:p>
    <w:p>
      <w:pPr>
        <w:ind w:left="288"/>
      </w:pPr>
      <w:r>
        <w:rPr>
          <w:color w:val="8C8C8C"/>
          <w:sz w:val="12"/>
        </w:rPr>
        <w:t>cf-art-5-inc-L</w:t>
      </w:r>
      <w:r>
        <w:rPr>
          <w:color w:val="003CA0"/>
          <w:sz w:val="12"/>
        </w:rPr>
        <w:t xml:space="preserve"> | RE 549.560</w:t>
      </w:r>
      <w:r>
        <w:rPr>
          <w:color w:val="003CA0"/>
          <w:sz w:val="12"/>
        </w:rPr>
        <w:t xml:space="preserve"> | rel. Ricardo Lewandowski</w:t>
      </w:r>
    </w:p>
    <w:p>
      <w:pPr>
        <w:ind w:left="288"/>
      </w:pPr>
      <w:r>
        <w:rPr>
          <w:color w:val="1E1E1E"/>
          <w:sz w:val="18"/>
        </w:rPr>
        <w:t>A vitaliciedade é garantia inerente ao exercício do cargo pelos magistrados e tem como objetivo prover a jurisdição de independência e imparcialidade. Exercem a jurisdição, tão somente, os magistrados na atividade, não se estendendo aos inativos o foro especial por prerrogativa de função. A aposentadoria do magistrado, ainda que voluntária, transfere a competência para processamento e julgamento de eventual ilícito penal para o primeiro grau de jurisdição. [RE 549.560, rel. min. Ricardo Lewandowski, j. 22-3-2012, P, DJE de 30-5-2014, Tema 453, com mérito julgado.] Vide ADI 2.797 e ADI 2.860, r</w:t>
      </w:r>
    </w:p>
    <w:p>
      <w:pPr>
        <w:ind w:left="288"/>
      </w:pPr>
      <w:r>
        <w:rPr>
          <w:b/>
          <w:color w:val="003CA0"/>
          <w:sz w:val="16"/>
        </w:rPr>
        <w:t>[RE 597.133, rel. min. Ricardo Lewandowski, j. 17-11-2010, P, DJE de 6-4-2011, Tema 170, com mérito julgado.]</w:t>
      </w:r>
    </w:p>
    <w:p>
      <w:pPr>
        <w:ind w:left="288"/>
      </w:pPr>
      <w:r>
        <w:rPr>
          <w:color w:val="8C8C8C"/>
          <w:sz w:val="12"/>
        </w:rPr>
        <w:t>cf-art-5-inc-L</w:t>
      </w:r>
      <w:r>
        <w:rPr>
          <w:color w:val="003CA0"/>
          <w:sz w:val="12"/>
        </w:rPr>
        <w:t xml:space="preserve"> | ARE 755.933</w:t>
      </w:r>
      <w:r>
        <w:rPr>
          <w:color w:val="003CA0"/>
          <w:sz w:val="12"/>
        </w:rPr>
        <w:t xml:space="preserve"> | rel. Dias Toffoli</w:t>
      </w:r>
    </w:p>
    <w:p>
      <w:pPr>
        <w:ind w:left="288"/>
      </w:pPr>
      <w:r>
        <w:rPr>
          <w:color w:val="1E1E1E"/>
          <w:sz w:val="18"/>
        </w:rPr>
        <w:t>Vide ARE 755.933 AgR, rel. min. Dias Toffoli, j. 11-11-2014, 1ª T, DJE de 19-12-2014 O princípio do Juiz Natural deve ser interpretado em sua plenitude, de forma a não só proibir a criação de Tribunais ou Juízos de Exceção, mas também exigir respeito absoluto às regras objetivas de determinação de competência, para que não seja afetada a independência e a imparcialidade do órgão julgador. A imparcialidade do órgão julgador e a segurança do povo contra o arbítrio estatal encontram em tais valores, proclamados nos incisos XXXVII, LIII e LV do art. 5º da Constituição Federal, algumas de suas gara</w:t>
      </w:r>
    </w:p>
    <w:p>
      <w:pPr>
        <w:ind w:left="288"/>
      </w:pPr>
      <w:r>
        <w:rPr>
          <w:b/>
          <w:color w:val="003CA0"/>
          <w:sz w:val="16"/>
        </w:rPr>
        <w:t>[Rcl 47.666 AgR, rel. min. Alexandre de Moraes, j. 9-3-2022, 1ª T, DJE de 15-3-2022.]</w:t>
      </w:r>
    </w:p>
    <w:p>
      <w:pPr>
        <w:ind w:left="288"/>
      </w:pPr>
      <w:r>
        <w:rPr>
          <w:color w:val="8C8C8C"/>
          <w:sz w:val="12"/>
        </w:rPr>
        <w:t>cf-art-5-inc-L</w:t>
      </w:r>
      <w:r>
        <w:rPr>
          <w:color w:val="003CA0"/>
          <w:sz w:val="12"/>
        </w:rPr>
        <w:t xml:space="preserve"> | RHC 135.683</w:t>
      </w:r>
      <w:r>
        <w:rPr>
          <w:color w:val="003CA0"/>
          <w:sz w:val="12"/>
        </w:rPr>
        <w:t xml:space="preserve"> | rel. Dias Toffoli</w:t>
      </w:r>
    </w:p>
    <w:p>
      <w:pPr>
        <w:ind w:left="288"/>
      </w:pPr>
      <w:r>
        <w:rPr>
          <w:color w:val="1E1E1E"/>
          <w:sz w:val="18"/>
        </w:rPr>
        <w:t>Interceptações telefônicas realizadas em primeiro grau de jurisdição. Operação Vegas. Surgimento de indícios do envolvimento de senador da República, detentor de prerrogativa de foro, em fatos criminosos em apuração. Competência do STF para processar e julgar originariamente a causa (...). Necessidade de imediata remessa dos autos à Corte. Não ocorrência. Usurpação de sua competência constitucional configurada. Prosseguimento das investigações em primeiro grau. Tentativa de arrecadar maiores elementos de informação por via oblíqua sem a autorização do STF. Violação do princípio do juiz natural</w:t>
      </w:r>
    </w:p>
    <w:p>
      <w:pPr>
        <w:ind w:left="288"/>
      </w:pPr>
      <w:r>
        <w:rPr>
          <w:b/>
          <w:color w:val="003CA0"/>
          <w:sz w:val="16"/>
        </w:rPr>
        <w:t>[Inq 3.732, rel. min. Cármen Lúcia, j. 8-3-2016, 2ª T, DJE de 22-3-2016.]</w:t>
      </w:r>
    </w:p>
    <w:p>
      <w:pPr>
        <w:ind w:left="288"/>
      </w:pPr>
      <w:r>
        <w:rPr>
          <w:color w:val="8C8C8C"/>
          <w:sz w:val="12"/>
        </w:rPr>
        <w:t>cf-art-5-inc-L</w:t>
      </w:r>
      <w:r>
        <w:rPr>
          <w:color w:val="003CA0"/>
          <w:sz w:val="12"/>
        </w:rPr>
        <w:t xml:space="preserve"> | INQ 4.130</w:t>
      </w:r>
      <w:r>
        <w:rPr>
          <w:color w:val="003CA0"/>
          <w:sz w:val="12"/>
        </w:rPr>
        <w:t xml:space="preserve"> | rel. Dias Toffoli</w:t>
      </w:r>
    </w:p>
    <w:p>
      <w:pPr>
        <w:ind w:left="288"/>
      </w:pPr>
      <w:r>
        <w:rPr>
          <w:color w:val="1E1E1E"/>
          <w:sz w:val="18"/>
        </w:rPr>
        <w:t>Prevenção de ministro da Corte que supervisiona as investigações de crimes relacionados à Petrobras. Inexistência. Ausência de conexão entre os fatos reconhecida pela Presidência da Corte. Imbricação da matéria com o desmembramento do feito e seus consectários. Necessidade de seu exame para a determinação do juízo de primeiro grau competente para processar e julgar o feito desmembrado. Crimes de organização criminosa, lavagem de dinheiro, falsidade ideológica e corrupção passiva. Colaboração premiada. Delação de crimes não conexos com a investigação primária. Equiparação ao encontro fortuito d</w:t>
      </w:r>
    </w:p>
    <w:p>
      <w:pPr>
        <w:ind w:left="288"/>
      </w:pPr>
      <w:r>
        <w:rPr>
          <w:b/>
          <w:color w:val="003CA0"/>
          <w:sz w:val="16"/>
        </w:rPr>
        <w:t>[Inq 4.130 QO, rel. min. Dias Toffoli, j. 23-9-2015, P, DJE de 3-2-2016.]</w:t>
      </w:r>
    </w:p>
    <w:p>
      <w:pPr>
        <w:ind w:left="288"/>
      </w:pPr>
      <w:r>
        <w:rPr>
          <w:color w:val="8C8C8C"/>
          <w:sz w:val="12"/>
        </w:rPr>
        <w:t>cf-art-5-inc-L</w:t>
      </w:r>
      <w:r>
        <w:rPr>
          <w:color w:val="003CA0"/>
          <w:sz w:val="12"/>
        </w:rPr>
        <w:t xml:space="preserve"> | ARE 755.933</w:t>
      </w:r>
      <w:r>
        <w:rPr>
          <w:color w:val="003CA0"/>
          <w:sz w:val="12"/>
        </w:rPr>
        <w:t xml:space="preserve"> | rel. Dias Toffoli</w:t>
      </w:r>
    </w:p>
    <w:p>
      <w:pPr>
        <w:ind w:left="288"/>
      </w:pPr>
      <w:r>
        <w:rPr>
          <w:color w:val="1E1E1E"/>
          <w:sz w:val="18"/>
        </w:rPr>
        <w:t>O STF já firmou entendimento acerca da constitucionalidade da convocação de desembargadores para atuar nos tribunais superiores, ao passo que o RISTJ traz essa autorização em seu art. 56, não configurando isso, portanto, afronta ao princípio constitucional do juiz natural.</w:t>
        <w:br/>
        <w:t>[ARE 755.933 AgR, rel. min. Dias Toffoli, j. 11-11-2014, 1ª T, DJE de 19-12-2014.]</w:t>
        <w:br/>
        <w:t>Vide RE 597.133, rel. min. Ricardo Lewandowski, j. 17-11-2010, P, DJE de 6-4-2011, Tema 170 A designação de comissão disciplinar posteriormente ao fato, por si só, não configura violação do princípio do juiz natural, pois à autoridade se impõe</w:t>
      </w:r>
    </w:p>
    <w:p>
      <w:pPr>
        <w:ind w:left="288"/>
      </w:pPr>
      <w:r>
        <w:rPr>
          <w:b/>
          <w:color w:val="003CA0"/>
          <w:sz w:val="16"/>
        </w:rPr>
        <w:t>[RMS 31.207, rel min. Dias Toffoli, j. 18-12-2012, 1ª T, DJE de 25-2-2013].</w:t>
      </w:r>
    </w:p>
    <w:p>
      <w:pPr>
        <w:ind w:left="288"/>
      </w:pPr>
      <w:r>
        <w:rPr>
          <w:color w:val="8C8C8C"/>
          <w:sz w:val="12"/>
        </w:rPr>
        <w:t>cf-art-5-inc-L</w:t>
      </w:r>
      <w:r>
        <w:rPr>
          <w:color w:val="003CA0"/>
          <w:sz w:val="12"/>
        </w:rPr>
        <w:t xml:space="preserve"> | RE 636.359</w:t>
      </w:r>
      <w:r>
        <w:rPr>
          <w:color w:val="003CA0"/>
          <w:sz w:val="12"/>
        </w:rPr>
        <w:t xml:space="preserve"> | rel. Luiz Fux</w:t>
      </w:r>
    </w:p>
    <w:p>
      <w:pPr>
        <w:ind w:left="288"/>
      </w:pPr>
      <w:r>
        <w:rPr>
          <w:color w:val="1E1E1E"/>
          <w:sz w:val="18"/>
        </w:rPr>
        <w:t>O pleito de suspensão do processo (CPC, art. 265, III), na hipótese em que a arguição de suspeição de ministro deste STF seja manifestamente impertinente para a apreciação monocrática do recurso, não é apto a impedir o prosseguimento do feito, sob pena de beneficiar uma das partes em prejuízo da celeridade na solução dos conflitos, especialmente aquela tutelada pela decisão judicial que se pretende reverter. A inadmissibilidade recursal não pode ser declarada nas hipóteses em que a regularidade formal como requisito extrínseco não se verifica por fato inimputável ao recorrente. (...) A violaçã</w:t>
      </w:r>
    </w:p>
    <w:p>
      <w:pPr>
        <w:ind w:left="288"/>
      </w:pPr>
      <w:r>
        <w:rPr>
          <w:b/>
          <w:color w:val="003CA0"/>
          <w:sz w:val="16"/>
        </w:rPr>
        <w:t>[RE 636.359 AgR-segundo, rel. min. Luiz Fux, j. 3-11-2011, P, DJE de 25-11-2011.]</w:t>
      </w:r>
    </w:p>
    <w:p>
      <w:pPr>
        <w:ind w:left="288"/>
      </w:pPr>
      <w:r>
        <w:rPr>
          <w:color w:val="8C8C8C"/>
          <w:sz w:val="12"/>
        </w:rPr>
        <w:t>cf-art-5-inc-L</w:t>
      </w:r>
      <w:r>
        <w:rPr>
          <w:color w:val="003CA0"/>
          <w:sz w:val="12"/>
        </w:rPr>
        <w:t xml:space="preserve"> | RE 484.388</w:t>
      </w:r>
    </w:p>
    <w:p>
      <w:pPr>
        <w:ind w:left="288"/>
      </w:pPr>
      <w:r>
        <w:rPr>
          <w:color w:val="1E1E1E"/>
          <w:sz w:val="18"/>
        </w:rPr>
        <w:t>O quinto constitucional previsto para o provimento de lugares em Tribunal, quando eventualmente não observado, não gera nulidade do julgado, máxime em razão da ilegitimidade da parte para questionar os critérios de preenchimento das vagas nos órgãos do Judiciário, mercê da incidência do princípio pas de nullité sans grief, consagrado no art. 499 do CPPM (...).</w:t>
      </w:r>
    </w:p>
    <w:p>
      <w:pPr>
        <w:ind w:left="288"/>
      </w:pPr>
      <w:r>
        <w:rPr>
          <w:b/>
          <w:color w:val="003CA0"/>
          <w:sz w:val="16"/>
        </w:rPr>
        <w:t>[RE 484.388, red. do ac. min. Luiz Fux, j. 13-10-2011, P, DJE de 13-3-2012.]</w:t>
      </w:r>
    </w:p>
    <w:p>
      <w:pPr>
        <w:ind w:left="288"/>
      </w:pPr>
      <w:r>
        <w:rPr>
          <w:color w:val="8C8C8C"/>
          <w:sz w:val="12"/>
        </w:rPr>
        <w:t>cf-art-5-inc-L</w:t>
      </w:r>
      <w:r>
        <w:rPr>
          <w:color w:val="003CA0"/>
          <w:sz w:val="12"/>
        </w:rPr>
        <w:t xml:space="preserve"> | AO 1.408</w:t>
      </w:r>
    </w:p>
    <w:p>
      <w:pPr>
        <w:ind w:left="288"/>
      </w:pPr>
      <w:r>
        <w:rPr>
          <w:color w:val="1E1E1E"/>
          <w:sz w:val="18"/>
        </w:rPr>
        <w:t>(...) a simples condição de beneficiários de plano de saúde da excipiente não torna suspeitos os desembargadores (...) no julgamento da lide relacionada ao descredenciamento de hospital, a toda evidência. A alegação de parcialidade, na realidade, trata-se de mera conjectura, destituída de qualquer elemento objetivo.</w:t>
      </w:r>
    </w:p>
    <w:p>
      <w:pPr>
        <w:ind w:left="288"/>
      </w:pPr>
      <w:r>
        <w:rPr>
          <w:b/>
          <w:color w:val="003CA0"/>
          <w:sz w:val="16"/>
        </w:rPr>
        <w:t>[AO 1.408 AgR-segundo, voto do  min. Gilmar Mendes, j. 9-6-2011, P, DJE de 8-8-2011.]</w:t>
      </w:r>
    </w:p>
    <w:p>
      <w:pPr>
        <w:ind w:left="288"/>
      </w:pPr>
      <w:r>
        <w:rPr>
          <w:color w:val="8C8C8C"/>
          <w:sz w:val="12"/>
        </w:rPr>
        <w:t>cf-art-5-inc-L</w:t>
      </w:r>
      <w:r>
        <w:rPr>
          <w:color w:val="003CA0"/>
          <w:sz w:val="12"/>
        </w:rPr>
        <w:t xml:space="preserve"> | RCL 7.913</w:t>
      </w:r>
      <w:r>
        <w:rPr>
          <w:color w:val="003CA0"/>
          <w:sz w:val="12"/>
        </w:rPr>
        <w:t xml:space="preserve"> | rel. Dias Toffoli</w:t>
      </w:r>
    </w:p>
    <w:p>
      <w:pPr>
        <w:ind w:left="288"/>
      </w:pPr>
      <w:r>
        <w:rPr>
          <w:color w:val="1E1E1E"/>
          <w:sz w:val="18"/>
        </w:rPr>
        <w:t>Desmembramento de representação criminal. Envolvimento de parlamentar federal. (...) Até que esta Suprema Corte procedesse à análise devida, não cabia ao juízo de primeiro grau, ao deparar-se, nas investigações então conjuntamente realizadas, com suspeitos detentores de prerrogativa de foro – em razão das funções em que se encontravam investidos –, determinar a cisão das investigações e a remessa a esta Suprema Corte da apuração relativa a esses últimos, com o que acabou por usurpar competência que não detinha. Inadmissível pretendida convalidação de atos decisórios praticados por autoridade i</w:t>
      </w:r>
    </w:p>
    <w:p>
      <w:pPr>
        <w:ind w:left="288"/>
      </w:pPr>
      <w:r>
        <w:rPr>
          <w:b/>
          <w:color w:val="003CA0"/>
          <w:sz w:val="16"/>
        </w:rPr>
        <w:t>[Rcl 7.913 AgR, rel. min. Dias Toffoli, j. 12-5-2011, P, DJE de 9-9-2011.]</w:t>
      </w:r>
    </w:p>
    <w:p>
      <w:pPr>
        <w:ind w:left="288"/>
      </w:pPr>
      <w:r>
        <w:rPr>
          <w:color w:val="8C8C8C"/>
          <w:sz w:val="12"/>
        </w:rPr>
        <w:t>cf-art-5-inc-L</w:t>
      </w:r>
      <w:r>
        <w:rPr>
          <w:color w:val="003CA0"/>
          <w:sz w:val="12"/>
        </w:rPr>
        <w:t xml:space="preserve"> | HC 104.957</w:t>
      </w:r>
      <w:r>
        <w:rPr>
          <w:color w:val="003CA0"/>
          <w:sz w:val="12"/>
        </w:rPr>
        <w:t xml:space="preserve"> | rel. Cármen Lúcia</w:t>
      </w:r>
    </w:p>
    <w:p>
      <w:pPr>
        <w:ind w:left="288"/>
      </w:pPr>
      <w:r>
        <w:rPr>
          <w:color w:val="1E1E1E"/>
          <w:sz w:val="18"/>
        </w:rPr>
        <w:t>Reunião de inquéritos. Conveniência da instrução. Possibilidade. (...) Competência definida por prerrogativa de função. (...) Julgamento dos corréus na mesma instância. Jurisdição de maior graduação. Art. 78, III, do CPP. Preservação do princípio do juiz natural. A reunião de inquéritos policiais instaurados em unidades da federação diferentes pode ser determinada, quando presente qualquer das situações previstas no art. 76 do CPP. O CPP não condiciona o reconhecimento da conexão à perfeita simetria entre as condutas dos corréus.</w:t>
      </w:r>
    </w:p>
    <w:p>
      <w:pPr>
        <w:ind w:left="288"/>
      </w:pPr>
      <w:r>
        <w:rPr>
          <w:b/>
          <w:color w:val="003CA0"/>
          <w:sz w:val="16"/>
        </w:rPr>
        <w:t>[HC 104.957, rel. min. Cármen Lúcia, j. 22-3-2011, 1ª T, DJE de 27-5-2011.]</w:t>
      </w:r>
    </w:p>
    <w:p>
      <w:pPr>
        <w:ind w:left="288"/>
      </w:pPr>
      <w:r>
        <w:rPr>
          <w:color w:val="8C8C8C"/>
          <w:sz w:val="12"/>
        </w:rPr>
        <w:t>cf-art-5-inc-L</w:t>
      </w:r>
      <w:r>
        <w:rPr>
          <w:color w:val="003CA0"/>
          <w:sz w:val="12"/>
        </w:rPr>
        <w:t xml:space="preserve"> | EXT 1.162</w:t>
      </w:r>
      <w:r>
        <w:rPr>
          <w:color w:val="003CA0"/>
          <w:sz w:val="12"/>
        </w:rPr>
        <w:t xml:space="preserve"> | rel. Cármen Lúcia</w:t>
      </w:r>
    </w:p>
    <w:p>
      <w:pPr>
        <w:ind w:left="288"/>
      </w:pPr>
      <w:r>
        <w:rPr>
          <w:color w:val="1E1E1E"/>
          <w:sz w:val="18"/>
        </w:rPr>
        <w:t>O STF exerce com exclusividade constitucional o papel de juiz natural do processo de extradição, sendo irrelevante, para efeitos de declaração de nulidade, a eventual delegação de atribuição para o processamento e cumprimento de cartas de ordem nas instâncias ordinárias.</w:t>
      </w:r>
    </w:p>
    <w:p>
      <w:pPr>
        <w:ind w:left="288"/>
      </w:pPr>
      <w:r>
        <w:rPr>
          <w:b/>
          <w:color w:val="003CA0"/>
          <w:sz w:val="16"/>
        </w:rPr>
        <w:t>[Ext 1.162, rel. min. Cármen Lúcia, j. 17-3-2011, P, DJE de 5-4-2011.]</w:t>
      </w:r>
    </w:p>
    <w:p>
      <w:pPr>
        <w:ind w:left="288"/>
      </w:pPr>
      <w:r>
        <w:rPr>
          <w:color w:val="8C8C8C"/>
          <w:sz w:val="12"/>
        </w:rPr>
        <w:t>cf-art-5-inc-L</w:t>
      </w:r>
    </w:p>
    <w:p>
      <w:pPr>
        <w:ind w:left="288"/>
      </w:pPr>
      <w:r>
        <w:rPr>
          <w:color w:val="1E1E1E"/>
          <w:sz w:val="18"/>
        </w:rPr>
        <w:t>Quanto à suposta nulidade da decisão recorrida, em virtude de processo sobre o mesmo assunto anteriormente distribuído ao min. Celso de Mello, registre-se que a Seção de Prevenção e Distribuição deste Tribunal não identificou situação que revelasse conexão ou continência entre os processos. Ainda que assim não fosse, o art. 67, § 6º, do Regimento Interno desta Casa estabelece que a prevenção deve ser alegada pela parte na primeira oportunidade em que se lhe apresente, sob pena de preclusão, o que não ocorreu no presente caso. (...) Entendimento contrário permitiria que manobras artificiosas ma</w:t>
      </w:r>
    </w:p>
    <w:p>
      <w:pPr>
        <w:ind w:left="288"/>
      </w:pPr>
      <w:r>
        <w:rPr>
          <w:b/>
          <w:color w:val="003CA0"/>
          <w:sz w:val="16"/>
        </w:rPr>
        <w:t>[CC 7.699 AgR, voto do min. Gilmar Mendes, j. 24-2-2011, P, DJE de 18-3-2011.]</w:t>
      </w:r>
    </w:p>
    <w:p>
      <w:pPr>
        <w:ind w:left="288"/>
      </w:pPr>
      <w:r>
        <w:rPr>
          <w:color w:val="8C8C8C"/>
          <w:sz w:val="12"/>
        </w:rPr>
        <w:t>cf-art-5-inc-L</w:t>
      </w:r>
      <w:r>
        <w:rPr>
          <w:color w:val="003CA0"/>
          <w:sz w:val="12"/>
        </w:rPr>
        <w:t xml:space="preserve"> | HC 97.544</w:t>
      </w:r>
    </w:p>
    <w:p>
      <w:pPr>
        <w:ind w:left="288"/>
      </w:pPr>
      <w:r>
        <w:rPr>
          <w:color w:val="1E1E1E"/>
          <w:sz w:val="18"/>
        </w:rPr>
        <w:t>(...) entendo não se tratar de causa de impedimento o fato de um juiz com jurisdição ampla julgar, sucessivamente, o feito criminal e o de natureza cível decorrentes do mesmo fato. Quando esta Corte Suprema assenta que não se pode estender, pela via da interpretação, o rol do art. 252 do CPP, quer ela dizer que não é possível ao Judiciário legislar para incluir causa não prevista pelo legislador. Essa inclusão pode se dar por analogia pura e simples, como também pela dita interpretação extensiva, que nada mais é do que a inclusão, a partir de um referencial legal, de um item não previsto em um</w:t>
      </w:r>
    </w:p>
    <w:p>
      <w:pPr>
        <w:ind w:left="288"/>
      </w:pPr>
      <w:r>
        <w:rPr>
          <w:b/>
          <w:color w:val="003CA0"/>
          <w:sz w:val="16"/>
        </w:rPr>
        <w:t>[HC 97.544, voto do red. do ac. min. Gilmar Mendes, j. 21-9-2010, 2ª T, DJE de 3-12-2010.]</w:t>
      </w:r>
    </w:p>
    <w:p>
      <w:pPr>
        <w:ind w:left="288"/>
      </w:pPr>
      <w:r>
        <w:rPr>
          <w:color w:val="8C8C8C"/>
          <w:sz w:val="12"/>
        </w:rPr>
        <w:t>cf-art-5-inc-L</w:t>
      </w:r>
      <w:r>
        <w:rPr>
          <w:color w:val="003CA0"/>
          <w:sz w:val="12"/>
        </w:rPr>
        <w:t xml:space="preserve"> | HC 92.893</w:t>
      </w:r>
      <w:r>
        <w:rPr>
          <w:color w:val="003CA0"/>
          <w:sz w:val="12"/>
        </w:rPr>
        <w:t xml:space="preserve"> | rel. Ricardo Lewandowski</w:t>
      </w:r>
    </w:p>
    <w:p>
      <w:pPr>
        <w:ind w:left="288"/>
      </w:pPr>
      <w:r>
        <w:rPr>
          <w:color w:val="1E1E1E"/>
          <w:sz w:val="18"/>
        </w:rPr>
        <w:t>Vide HC 92.893, rel. min. Ricardo Lewandowski, j. 2-10-2008, P, DJE de 12-12-2008 Vide ADI 1.570, rel. min. Maurício Corrêa, j. 12-2-2004, P, DJ de 22-10-2004 Desmembramento indeferido. Prejuízo à exata compreensão do feito. (...) Embora apenas um dos réus detenha prerrogativa de foro no STF, o desmembramento da ação penal comprometeria a prestação jurisdicional, tornando inaplicáveis os precedentes da Corte no sentido do desmembramento. O julgamento do réu com foro privilegiado depende da análise das condutas imputadas aos corréus, tendo em vista a formação coletiva da vontade no sentido da p</w:t>
      </w:r>
    </w:p>
    <w:p>
      <w:pPr>
        <w:ind w:left="288"/>
      </w:pPr>
      <w:r>
        <w:rPr>
          <w:b/>
          <w:color w:val="003CA0"/>
          <w:sz w:val="16"/>
        </w:rPr>
        <w:t>[AP 420 AgR, rel. min. Joaquim Barbosa, j. 9-9-2010, P, DJE de 14-3-2012.]</w:t>
      </w:r>
    </w:p>
    <w:p>
      <w:pPr>
        <w:ind w:left="288"/>
      </w:pPr>
      <w:r>
        <w:rPr>
          <w:color w:val="8C8C8C"/>
          <w:sz w:val="12"/>
        </w:rPr>
        <w:t>cf-art-5-inc-L</w:t>
      </w:r>
      <w:r>
        <w:rPr>
          <w:color w:val="003CA0"/>
          <w:sz w:val="12"/>
        </w:rPr>
        <w:t xml:space="preserve"> | INQ 2.718</w:t>
      </w:r>
      <w:r>
        <w:rPr>
          <w:color w:val="003CA0"/>
          <w:sz w:val="12"/>
        </w:rPr>
        <w:t xml:space="preserve"> | rel. Ricardo Lewandowski</w:t>
      </w:r>
    </w:p>
    <w:p>
      <w:pPr>
        <w:ind w:left="288"/>
      </w:pPr>
      <w:r>
        <w:rPr>
          <w:color w:val="1E1E1E"/>
          <w:sz w:val="18"/>
        </w:rPr>
        <w:t>Vide Inq 2.718 QO, rel. min. Ricardo Lewandowski, j. 20-8-2009, P, DJE de 27-11-2009 Vide AP 351, rel. min. Marco Aurélio, j. 12-8-2004, P, DJ de 17-9-2004 Cabe ao órgão jurisdicional competente a decisão sobre eventual litispendência, não podendo esta Suprema Corte antecipar-se ao juiz natural da causa.</w:t>
      </w:r>
    </w:p>
    <w:p>
      <w:pPr>
        <w:ind w:left="288"/>
      </w:pPr>
      <w:r>
        <w:rPr>
          <w:b/>
          <w:color w:val="003CA0"/>
          <w:sz w:val="16"/>
        </w:rPr>
        <w:t>[HC 98.842, rel. min. Ricardo Lewandowski, j. 25-5-2010, 1ª T, DJE de 25-6-2010.]</w:t>
      </w:r>
    </w:p>
    <w:p>
      <w:pPr>
        <w:ind w:left="288"/>
      </w:pPr>
      <w:r>
        <w:rPr>
          <w:color w:val="8C8C8C"/>
          <w:sz w:val="12"/>
        </w:rPr>
        <w:t>cf-art-5-inc-L</w:t>
      </w:r>
      <w:r>
        <w:rPr>
          <w:color w:val="003CA0"/>
          <w:sz w:val="12"/>
        </w:rPr>
        <w:t xml:space="preserve"> | MS 28.712</w:t>
      </w:r>
      <w:r>
        <w:rPr>
          <w:color w:val="003CA0"/>
          <w:sz w:val="12"/>
        </w:rPr>
        <w:t xml:space="preserve"> | rel. Celso de Mello</w:t>
      </w:r>
    </w:p>
    <w:p>
      <w:pPr>
        <w:ind w:left="288"/>
      </w:pPr>
      <w:r>
        <w:rPr>
          <w:color w:val="1E1E1E"/>
          <w:sz w:val="18"/>
        </w:rPr>
        <w:t>(...) o postulado do juiz natural deriva de cláusula constitucional tipicamente bifronte, pois, dirigindo-se a dois destinatários distintos, ora representa um direito do réu ou do indiciado/sindicado (eficácia positiva da garantia constitucional), ora traduz uma imposição ao Estado (eficácia negativa dessa mesma garantia constitucional). O princípio da naturalidade do juízo, portanto, encerrando uma garantia constitucional, limita, de um lado, os poderes do Estado (impossibilitado, assim, de instituir juízos ad hoc ou de criar tribunais de exceção) e assegura, ao acusado (ou ao sindicado/indic</w:t>
      </w:r>
    </w:p>
    <w:p>
      <w:pPr>
        <w:ind w:left="288"/>
      </w:pPr>
      <w:r>
        <w:rPr>
          <w:b/>
          <w:color w:val="003CA0"/>
          <w:sz w:val="16"/>
        </w:rPr>
        <w:t>[MS 28.712 MC, rel. min. Celso de Mello, j. 6-5-2010, dec. monocrática, DJE de 11-5-2010.]</w:t>
      </w:r>
    </w:p>
    <w:p>
      <w:pPr>
        <w:ind w:left="288"/>
      </w:pPr>
      <w:r>
        <w:rPr>
          <w:color w:val="8C8C8C"/>
          <w:sz w:val="12"/>
        </w:rPr>
        <w:t>cf-art-5-inc-L</w:t>
      </w:r>
      <w:r>
        <w:rPr>
          <w:color w:val="003CA0"/>
          <w:sz w:val="12"/>
        </w:rPr>
        <w:t xml:space="preserve"> | HC 94.309</w:t>
      </w:r>
      <w:r>
        <w:rPr>
          <w:color w:val="003CA0"/>
          <w:sz w:val="12"/>
        </w:rPr>
        <w:t xml:space="preserve"> | rel. Marco Aurélio</w:t>
      </w:r>
    </w:p>
    <w:p>
      <w:pPr>
        <w:ind w:left="288"/>
      </w:pPr>
      <w:r>
        <w:rPr>
          <w:color w:val="1E1E1E"/>
          <w:sz w:val="18"/>
        </w:rPr>
        <w:t>O princípio do juízo natural afasta a possibilidade de o relator, como porta-voz do Colegiado, julgar o habeas corpus.</w:t>
      </w:r>
    </w:p>
    <w:p>
      <w:pPr>
        <w:ind w:left="288"/>
      </w:pPr>
      <w:r>
        <w:rPr>
          <w:b/>
          <w:color w:val="003CA0"/>
          <w:sz w:val="16"/>
        </w:rPr>
        <w:t>[HC 94.309, rel. min. Marco Aurélio, j. 13-4-2010, 1ª T, DJE de 7-5-2010.]</w:t>
      </w:r>
    </w:p>
    <w:p>
      <w:pPr>
        <w:ind w:left="288"/>
      </w:pPr>
      <w:r>
        <w:rPr>
          <w:color w:val="8C8C8C"/>
          <w:sz w:val="12"/>
        </w:rPr>
        <w:t>cf-art-5-inc-L</w:t>
      </w:r>
      <w:r>
        <w:rPr>
          <w:color w:val="003CA0"/>
          <w:sz w:val="12"/>
        </w:rPr>
        <w:t xml:space="preserve"> | HC 96.821</w:t>
      </w:r>
      <w:r>
        <w:rPr>
          <w:color w:val="003CA0"/>
          <w:sz w:val="12"/>
        </w:rPr>
        <w:t xml:space="preserve"> | rel. Ricardo Lewandowski</w:t>
      </w:r>
    </w:p>
    <w:p>
      <w:pPr>
        <w:ind w:left="288"/>
      </w:pPr>
      <w:r>
        <w:rPr>
          <w:color w:val="1E1E1E"/>
          <w:sz w:val="18"/>
        </w:rPr>
        <w:t>(...) não viola o postulado constitucional do juiz natural o julgamento de apelação por órgão composto majoritariamente por juízes convocados na forma de edital publicado na imprensa oficial.</w:t>
      </w:r>
    </w:p>
    <w:p>
      <w:pPr>
        <w:ind w:left="288"/>
      </w:pPr>
      <w:r>
        <w:rPr>
          <w:b/>
          <w:color w:val="003CA0"/>
          <w:sz w:val="16"/>
        </w:rPr>
        <w:t>[HC 96.821, rel. min. Ricardo Lewandowski, j. 8-4-2010, P, DJE de 25-6-2010.]</w:t>
      </w:r>
    </w:p>
    <w:p>
      <w:pPr>
        <w:ind w:left="288"/>
      </w:pPr>
      <w:r>
        <w:rPr>
          <w:color w:val="8C8C8C"/>
          <w:sz w:val="12"/>
        </w:rPr>
        <w:t>cf-art-5-inc-L</w:t>
      </w:r>
      <w:r>
        <w:rPr>
          <w:color w:val="003CA0"/>
          <w:sz w:val="12"/>
        </w:rPr>
        <w:t xml:space="preserve"> | HC 101.473</w:t>
      </w:r>
      <w:r>
        <w:rPr>
          <w:color w:val="003CA0"/>
          <w:sz w:val="12"/>
        </w:rPr>
        <w:t xml:space="preserve"> | rel. Marco Aurélio</w:t>
      </w:r>
    </w:p>
    <w:p>
      <w:pPr>
        <w:ind w:left="288"/>
      </w:pPr>
      <w:r>
        <w:rPr>
          <w:color w:val="1E1E1E"/>
          <w:sz w:val="18"/>
        </w:rPr>
        <w:t>= HC 101.473, rel. min. Marco Aurélio, red. do ac. min. Roberto Barroso, j. 16-2-2016, 1ª T, DJE de 8-6-2016 = RHC 109.070, rel. min. Joaquim Barbosa, j. 15-5-2012, 2ª T, DJE de 30-5-2012 A jurisprudência do STF fixou entendimento no sentido de que a concentração de vários processos que versem sobre a mesma matéria em um mesmo órgão julgador não ofende o princípio do juiz natural.</w:t>
      </w:r>
    </w:p>
    <w:p>
      <w:pPr>
        <w:ind w:left="288"/>
      </w:pPr>
      <w:r>
        <w:rPr>
          <w:b/>
          <w:color w:val="003CA0"/>
          <w:sz w:val="16"/>
        </w:rPr>
        <w:t>[AI 753.445 AgR, rel. min. Eros Grau, j. 8-9-2009, 2ª T, DJE de 25-9-2009.]</w:t>
      </w:r>
    </w:p>
    <w:p>
      <w:pPr>
        <w:ind w:left="288"/>
      </w:pPr>
      <w:r>
        <w:rPr>
          <w:color w:val="8C8C8C"/>
          <w:sz w:val="12"/>
        </w:rPr>
        <w:t>cf-art-5-inc-L</w:t>
      </w:r>
      <w:r>
        <w:rPr>
          <w:color w:val="003CA0"/>
          <w:sz w:val="12"/>
        </w:rPr>
        <w:t xml:space="preserve"> | AI 579.592</w:t>
      </w:r>
      <w:r>
        <w:rPr>
          <w:color w:val="003CA0"/>
          <w:sz w:val="12"/>
        </w:rPr>
        <w:t xml:space="preserve"> | rel. Marco Aurélio</w:t>
      </w:r>
    </w:p>
    <w:p>
      <w:pPr>
        <w:ind w:left="288"/>
      </w:pPr>
      <w:r>
        <w:rPr>
          <w:color w:val="1E1E1E"/>
          <w:sz w:val="18"/>
        </w:rPr>
        <w:t>Vício na distribuição há de ser veiculado na primeira oportunidade que a parte tiver para falar nos autos ou no processo.</w:t>
      </w:r>
    </w:p>
    <w:p>
      <w:pPr>
        <w:ind w:left="288"/>
      </w:pPr>
      <w:r>
        <w:rPr>
          <w:b/>
          <w:color w:val="003CA0"/>
          <w:sz w:val="16"/>
        </w:rPr>
        <w:t>[AI 579.592 AgR, rel. min. Marco Aurélio, j. 30-6-2009, 1ª T, DJE de 6-11-2009.]</w:t>
      </w:r>
    </w:p>
    <w:p>
      <w:pPr>
        <w:ind w:left="288"/>
      </w:pPr>
      <w:r>
        <w:rPr>
          <w:color w:val="8C8C8C"/>
          <w:sz w:val="12"/>
        </w:rPr>
        <w:t>cf-art-5-inc-L</w:t>
      </w:r>
      <w:r>
        <w:rPr>
          <w:color w:val="003CA0"/>
          <w:sz w:val="12"/>
        </w:rPr>
        <w:t xml:space="preserve"> | HC 97.293</w:t>
      </w:r>
      <w:r>
        <w:rPr>
          <w:color w:val="003CA0"/>
          <w:sz w:val="12"/>
        </w:rPr>
        <w:t xml:space="preserve"> | rel. Cármen Lúcia</w:t>
      </w:r>
    </w:p>
    <w:p>
      <w:pPr>
        <w:ind w:left="288"/>
      </w:pPr>
      <w:r>
        <w:rPr>
          <w:color w:val="1E1E1E"/>
          <w:sz w:val="18"/>
        </w:rPr>
        <w:t>O art. 252, III, do CPP (...) não preceitua qualquer ilegalidade em razão do juízo de admissibilidade dos recursos especial e extraordinário ser realizado pelo juiz que julgou o recurso de apelação criminal.</w:t>
      </w:r>
    </w:p>
    <w:p>
      <w:pPr>
        <w:ind w:left="288"/>
      </w:pPr>
      <w:r>
        <w:rPr>
          <w:b/>
          <w:color w:val="003CA0"/>
          <w:sz w:val="16"/>
        </w:rPr>
        <w:t>[HC 97.293, rel. min. Cármen Lúcia, j. 16-6-2009, 1ª T, DJE de 16-4-2010.]</w:t>
      </w:r>
    </w:p>
    <w:p>
      <w:pPr>
        <w:ind w:left="288"/>
      </w:pPr>
      <w:r>
        <w:rPr>
          <w:color w:val="8C8C8C"/>
          <w:sz w:val="12"/>
        </w:rPr>
        <w:t>cf-art-5-inc-L</w:t>
      </w:r>
      <w:r>
        <w:rPr>
          <w:color w:val="003CA0"/>
          <w:sz w:val="12"/>
        </w:rPr>
        <w:t xml:space="preserve"> | HC 92.893</w:t>
      </w:r>
      <w:r>
        <w:rPr>
          <w:color w:val="003CA0"/>
          <w:sz w:val="12"/>
        </w:rPr>
        <w:t xml:space="preserve"> | rel. Ricardo Lewandowski</w:t>
      </w:r>
    </w:p>
    <w:p>
      <w:pPr>
        <w:ind w:left="288"/>
      </w:pPr>
      <w:r>
        <w:rPr>
          <w:color w:val="1E1E1E"/>
          <w:sz w:val="18"/>
        </w:rPr>
        <w:t>Vide HC 92.893, rel. min. Ricardo Lewandowski, j. 2-10-2008, P, DJE de 12-12-2008 A inobservância da prerrogativa de foro conferida a deputado estadual, ainda que na fase pré-processual, torna ilícitos os atos investigatórios praticados após sua diplomação.</w:t>
      </w:r>
    </w:p>
    <w:p>
      <w:pPr>
        <w:ind w:left="288"/>
      </w:pPr>
      <w:r>
        <w:rPr>
          <w:b/>
          <w:color w:val="003CA0"/>
          <w:sz w:val="16"/>
        </w:rPr>
        <w:t>[HC 94.705, rel. min. Ricardo Lewandowski, j. 9-6-2009, 1ª T, DJE de 7-8-2009.]</w:t>
      </w:r>
    </w:p>
    <w:p>
      <w:pPr>
        <w:ind w:left="288"/>
      </w:pPr>
      <w:r>
        <w:rPr>
          <w:color w:val="8C8C8C"/>
          <w:sz w:val="12"/>
        </w:rPr>
        <w:t>cf-art-5-inc-L</w:t>
      </w:r>
      <w:r>
        <w:rPr>
          <w:color w:val="003CA0"/>
          <w:sz w:val="12"/>
        </w:rPr>
        <w:t xml:space="preserve"> | AI 706.078</w:t>
      </w:r>
      <w:r>
        <w:rPr>
          <w:color w:val="003CA0"/>
          <w:sz w:val="12"/>
        </w:rPr>
        <w:t xml:space="preserve"> | rel. Celso de Mello</w:t>
      </w:r>
    </w:p>
    <w:p>
      <w:pPr>
        <w:ind w:left="288"/>
      </w:pPr>
      <w:r>
        <w:rPr>
          <w:color w:val="1E1E1E"/>
          <w:sz w:val="18"/>
        </w:rPr>
        <w:t>Ministro do STJ que vem a julgar recurso interposto pelo réu condenado em processo no qual esse mesmo magistrado atuou, em momento anterior, como membro do Ministério Público. Inadmissibilidade. Hipótese de impedimento (CPP, art. 252, II). Causa de nulidade absoluta do julgamento. Necessidade de renovação desse mesmo julgamento, sem a participação do ministro impedido.</w:t>
      </w:r>
    </w:p>
    <w:p>
      <w:pPr>
        <w:ind w:left="288"/>
      </w:pPr>
      <w:r>
        <w:rPr>
          <w:b/>
          <w:color w:val="003CA0"/>
          <w:sz w:val="16"/>
        </w:rPr>
        <w:t>[AI 706.078 QO, rel. min. Celso de Mello, j. 10-3-2009, 2ª T, DJE de 23-10-2009.]</w:t>
      </w:r>
    </w:p>
    <w:p>
      <w:pPr>
        <w:ind w:left="288"/>
      </w:pPr>
      <w:r>
        <w:rPr>
          <w:color w:val="8C8C8C"/>
          <w:sz w:val="12"/>
        </w:rPr>
        <w:t>cf-art-5-inc-L</w:t>
      </w:r>
      <w:r>
        <w:rPr>
          <w:color w:val="003CA0"/>
          <w:sz w:val="12"/>
        </w:rPr>
        <w:t xml:space="preserve"> | HC 126.845</w:t>
      </w:r>
      <w:r>
        <w:rPr>
          <w:color w:val="003CA0"/>
          <w:sz w:val="12"/>
        </w:rPr>
        <w:t xml:space="preserve"> | rel. Teori Zavascki</w:t>
      </w:r>
    </w:p>
    <w:p>
      <w:pPr>
        <w:ind w:left="288"/>
      </w:pPr>
      <w:r>
        <w:rPr>
          <w:color w:val="1E1E1E"/>
          <w:sz w:val="18"/>
        </w:rPr>
        <w:t>Vide HC 126.845, rel. min. Teori Zavascki, j. 19-5-2015, 2ª T, DJE de 1º-6-2015 Vide HC 88.759 AgR-ED, rel. min. Gilmar Mendes, j. 1º-7-2009, P, DJE de 27-8-2010 Não é necessária, ao desaforamento, a afirmação da certeza da imparcialidade dos jurados, bastando o fundado receio de que reste comprometida.</w:t>
      </w:r>
    </w:p>
    <w:p>
      <w:pPr>
        <w:ind w:left="288"/>
      </w:pPr>
      <w:r>
        <w:rPr>
          <w:b/>
          <w:color w:val="003CA0"/>
          <w:sz w:val="16"/>
        </w:rPr>
        <w:t>[HC 96.785, rel. min. Eros Grau, j. 25-11-2008, 2ª T, DJE de 22-5-2009.]</w:t>
      </w:r>
    </w:p>
    <w:p>
      <w:pPr>
        <w:ind w:left="288"/>
      </w:pPr>
      <w:r>
        <w:rPr>
          <w:color w:val="8C8C8C"/>
          <w:sz w:val="12"/>
        </w:rPr>
        <w:t>cf-art-5-inc-L</w:t>
      </w:r>
      <w:r>
        <w:rPr>
          <w:color w:val="003CA0"/>
          <w:sz w:val="12"/>
        </w:rPr>
        <w:t xml:space="preserve"> | HC 97.547</w:t>
      </w:r>
      <w:r>
        <w:rPr>
          <w:color w:val="003CA0"/>
          <w:sz w:val="12"/>
        </w:rPr>
        <w:t xml:space="preserve"> | rel. Joaquim Barbosa</w:t>
      </w:r>
    </w:p>
    <w:p>
      <w:pPr>
        <w:ind w:left="288"/>
      </w:pPr>
      <w:r>
        <w:rPr>
          <w:color w:val="1E1E1E"/>
          <w:sz w:val="18"/>
        </w:rPr>
        <w:t>Vide HC 97.547, rel. min. Joaquim Barbosa, j. 19-10-2010, 2ª T, DJE de 19-11-2010 As hipóteses de impedimento elencadas no art. 252 do CPP constituem um numerus clausus. Não é possível, pois, interpretar-se extensivamente os seus incisos I e II de modo a entender que o juiz que atua em fase pré-processual desempenha funções equivalentes ao de um delegado de polícia ou membro do Ministério Público. Precedentes. Não se adotou, no Brasil, o instituto acolhido por outros países do juizado de instrução, no qual o magistrado exerce, grosso modo, as competências da polícia judiciária. O juiz, ao pres</w:t>
      </w:r>
    </w:p>
    <w:p>
      <w:pPr>
        <w:ind w:left="288"/>
      </w:pPr>
      <w:r>
        <w:rPr>
          <w:b/>
          <w:color w:val="003CA0"/>
          <w:sz w:val="16"/>
        </w:rPr>
        <w:t>[HC 92.893, rel. min. Ricardo Lewandowski, j. 2-10-2008, P, DJE de 12-12-2008.]</w:t>
      </w:r>
    </w:p>
    <w:p>
      <w:pPr>
        <w:ind w:left="288"/>
      </w:pPr>
      <w:r>
        <w:rPr>
          <w:color w:val="8C8C8C"/>
          <w:sz w:val="12"/>
        </w:rPr>
        <w:t>cf-art-5-inc-L</w:t>
      </w:r>
      <w:r>
        <w:rPr>
          <w:color w:val="003CA0"/>
          <w:sz w:val="12"/>
        </w:rPr>
        <w:t xml:space="preserve"> | HC 91.593</w:t>
      </w:r>
      <w:r>
        <w:rPr>
          <w:color w:val="003CA0"/>
          <w:sz w:val="12"/>
        </w:rPr>
        <w:t xml:space="preserve"> | rel. Ayres Britto</w:t>
      </w:r>
    </w:p>
    <w:p>
      <w:pPr>
        <w:ind w:left="288"/>
      </w:pPr>
      <w:r>
        <w:rPr>
          <w:color w:val="1E1E1E"/>
          <w:sz w:val="18"/>
        </w:rPr>
        <w:t>= AImp 4 AgR, rel. min. Ayres Britto, j. 24-5-2012, P, DJE de 29-6-2012 Prerrogativa de foro. Termo inicial. Recebida a denúncia em data anterior ao fenômeno gerador da prerrogativa de foro, descabe entender insubsistente o ato judicial formalizado, não se podendo concluir pela existência de vício considerado o fator tempo.</w:t>
      </w:r>
    </w:p>
    <w:p>
      <w:pPr>
        <w:ind w:left="288"/>
      </w:pPr>
      <w:r>
        <w:rPr>
          <w:b/>
          <w:color w:val="003CA0"/>
          <w:sz w:val="16"/>
        </w:rPr>
        <w:t>[HC 91.593, rel. min. Marco Aurélio, j. 11-9-2008, P, DJE de 17-4-2009.]</w:t>
      </w:r>
    </w:p>
    <w:p>
      <w:pPr>
        <w:ind w:left="288"/>
      </w:pPr>
      <w:r>
        <w:rPr>
          <w:color w:val="8C8C8C"/>
          <w:sz w:val="12"/>
        </w:rPr>
        <w:t>cf-art-5-inc-L</w:t>
      </w:r>
      <w:r>
        <w:rPr>
          <w:color w:val="003CA0"/>
          <w:sz w:val="12"/>
        </w:rPr>
        <w:t xml:space="preserve"> | RE 463.560</w:t>
      </w:r>
      <w:r>
        <w:rPr>
          <w:color w:val="003CA0"/>
          <w:sz w:val="12"/>
        </w:rPr>
        <w:t xml:space="preserve"> | rel. Joaquim Barbosa</w:t>
      </w:r>
    </w:p>
    <w:p>
      <w:pPr>
        <w:ind w:left="288"/>
      </w:pPr>
      <w:r>
        <w:rPr>
          <w:color w:val="1E1E1E"/>
          <w:sz w:val="18"/>
        </w:rPr>
        <w:t>Os juizados especiais e as turmas recursais foram instituídos, no Estado de Santa Catarina, por lei complementar estadual, anteriormente à edição da Lei 9.099/1995. Assim, a posterior exigência, por este último diploma legal, de lei estadual para a criação de juizados e turmas recursais nos Estados, já estava atendida no Estado de Santa Catarina. O fato de a lei complementar estadual prever apenas competência cível para as turmas de recursos não torna ilegítima a resolução do Tribunal de Justiça que declara a existência da competência também em matéria criminal. Observância dos princípios nort</w:t>
      </w:r>
    </w:p>
    <w:p>
      <w:pPr>
        <w:ind w:left="288"/>
      </w:pPr>
      <w:r>
        <w:rPr>
          <w:b/>
          <w:color w:val="003CA0"/>
          <w:sz w:val="16"/>
        </w:rPr>
        <w:t>[RE 463.560, rel. min. Joaquim Barbosa, j. 29-4-2008, 2ª T, DJE de 20-6-2008.]</w:t>
      </w:r>
    </w:p>
    <w:p>
      <w:pPr>
        <w:ind w:left="288"/>
      </w:pPr>
      <w:r>
        <w:rPr>
          <w:color w:val="8C8C8C"/>
          <w:sz w:val="12"/>
        </w:rPr>
        <w:t>cf-art-5-inc-L</w:t>
      </w:r>
      <w:r>
        <w:rPr>
          <w:color w:val="003CA0"/>
          <w:sz w:val="12"/>
        </w:rPr>
        <w:t xml:space="preserve"> | RE 721.967</w:t>
      </w:r>
      <w:r>
        <w:rPr>
          <w:color w:val="003CA0"/>
          <w:sz w:val="12"/>
        </w:rPr>
        <w:t xml:space="preserve"> | rel. Gilmar Mendes</w:t>
      </w:r>
    </w:p>
    <w:p>
      <w:pPr>
        <w:ind w:left="288"/>
      </w:pPr>
      <w:r>
        <w:rPr>
          <w:color w:val="1E1E1E"/>
          <w:sz w:val="18"/>
        </w:rPr>
        <w:t>= RE 721.967 AgR, rel. min. Gilmar Mendes, j. 19-11-2013, 2ª T, DJE de 5-12-2013 Desde que submetidos ao mesmo juízo, pode o magistrado utilizar-se da faculdade de não reunir processos conexos, por força do que dispõe o art. 80 do CPP (HC 80.717/SP, Tribunal Pleno, rel. min. Sepúlveda Pertence, DJ de 5-3-2004.) Embora a conexão não implique, necessariamente, a reunião dos feitos em curso num único processo, devem eles ser submetidos à competência do mesmo juízo prevento.</w:t>
      </w:r>
    </w:p>
    <w:p>
      <w:pPr>
        <w:ind w:left="288"/>
      </w:pPr>
      <w:r>
        <w:rPr>
          <w:b/>
          <w:color w:val="003CA0"/>
          <w:sz w:val="16"/>
        </w:rPr>
        <w:t>[HC 91.895, rel. min. Menezes Direito, j. 1º-4-2008, 1ª T, DJE de 8-8-2008.]</w:t>
      </w:r>
    </w:p>
    <w:p>
      <w:pPr>
        <w:ind w:left="288"/>
      </w:pPr>
      <w:r>
        <w:rPr>
          <w:color w:val="8C8C8C"/>
          <w:sz w:val="12"/>
        </w:rPr>
        <w:t>cf-art-5-inc-L</w:t>
      </w:r>
      <w:r>
        <w:rPr>
          <w:color w:val="003CA0"/>
          <w:sz w:val="12"/>
        </w:rPr>
        <w:t xml:space="preserve"> | INQ 2.443</w:t>
      </w:r>
      <w:r>
        <w:rPr>
          <w:color w:val="003CA0"/>
          <w:sz w:val="12"/>
        </w:rPr>
        <w:t xml:space="preserve"> | rel. Ellen Gracie</w:t>
      </w:r>
    </w:p>
    <w:p>
      <w:pPr>
        <w:ind w:left="288"/>
      </w:pPr>
      <w:r>
        <w:rPr>
          <w:color w:val="1E1E1E"/>
          <w:sz w:val="18"/>
        </w:rPr>
        <w:t>Inquérito penal que se baseia em provas cuja licitude é questionada no âmbito de habeas corpus em trâmite nesta Suprema Corte. A prejudicialidade das questões debatidas no âmbito do habeas corpus, a respeito da ilegalidade ou não dos documentos que subsidiam o presente inquérito, autoriza que se reconheça a prevenção de competência do ministro relator do writ.</w:t>
      </w:r>
    </w:p>
    <w:p>
      <w:pPr>
        <w:ind w:left="288"/>
      </w:pPr>
      <w:r>
        <w:rPr>
          <w:b/>
          <w:color w:val="003CA0"/>
          <w:sz w:val="16"/>
        </w:rPr>
        <w:t>[Inq 2.443 AgR, rel. min. Ellen Gracie, j. 28-2-2008, P, DJE de 2-5-2008.)</w:t>
      </w:r>
    </w:p>
    <w:p>
      <w:pPr>
        <w:ind w:left="288"/>
      </w:pPr>
      <w:r>
        <w:rPr>
          <w:color w:val="8C8C8C"/>
          <w:sz w:val="12"/>
        </w:rPr>
        <w:t>cf-art-5-inc-L</w:t>
      </w:r>
      <w:r>
        <w:rPr>
          <w:color w:val="003CA0"/>
          <w:sz w:val="12"/>
        </w:rPr>
        <w:t xml:space="preserve"> | INQ 2.767</w:t>
      </w:r>
      <w:r>
        <w:rPr>
          <w:color w:val="003CA0"/>
          <w:sz w:val="12"/>
        </w:rPr>
        <w:t xml:space="preserve"> | rel. Joaquim Barbosa</w:t>
      </w:r>
    </w:p>
    <w:p>
      <w:pPr>
        <w:ind w:left="288"/>
      </w:pPr>
      <w:r>
        <w:rPr>
          <w:color w:val="1E1E1E"/>
          <w:sz w:val="18"/>
        </w:rPr>
        <w:t xml:space="preserve">= Inq 2.767, rel. min. Joaquim Barbosa, j. 18-6-2009, P, DJE de 4-9-2009 Suspeição de magistrado. Impossibilidade de análise do conjunto probatório. Ciência posterior dos fatos que levaram à declaração de suspeição. Validade dos atos praticados até então. (...) Embora os fatos ensejadores da suspeição tenham ocorrido há mais de quinze anos, a motivação da suspeição se deu posteriormente, com a ciência do parentesco entre o paciente e a promotora de justiça que atuara no processo em que foi parte o magistrado, fato revelado somente com a apresentação da exceção, não havendo nenhuma ilegalidade </w:t>
      </w:r>
    </w:p>
    <w:p>
      <w:pPr>
        <w:ind w:left="288"/>
      </w:pPr>
      <w:r>
        <w:rPr>
          <w:b/>
          <w:color w:val="003CA0"/>
          <w:sz w:val="16"/>
        </w:rPr>
        <w:t>[HC 92.494, rel. min. Menezes Direito, j. 19-2-2008, 1ª T, DJE de 4-4-2008.]</w:t>
      </w:r>
    </w:p>
    <w:p>
      <w:pPr>
        <w:ind w:left="288"/>
      </w:pPr>
      <w:r>
        <w:rPr>
          <w:color w:val="8C8C8C"/>
          <w:sz w:val="12"/>
        </w:rPr>
        <w:t>cf-art-5-inc-L</w:t>
      </w:r>
      <w:r>
        <w:rPr>
          <w:color w:val="003CA0"/>
          <w:sz w:val="12"/>
        </w:rPr>
        <w:t xml:space="preserve"> | HC 95.254</w:t>
      </w:r>
      <w:r>
        <w:rPr>
          <w:color w:val="003CA0"/>
          <w:sz w:val="12"/>
        </w:rPr>
        <w:t xml:space="preserve"> | rel. Ricardo Lewandowski</w:t>
      </w:r>
    </w:p>
    <w:p>
      <w:pPr>
        <w:ind w:left="288"/>
      </w:pPr>
      <w:r>
        <w:rPr>
          <w:color w:val="1E1E1E"/>
          <w:sz w:val="18"/>
        </w:rPr>
        <w:t>= HC 95.254, rel. min. Ricardo Lewandowski, j. 9-3-2010, 1ª T, DJE de 26-3-2010 A garantia do juiz natural, prevista nos incisos LIII e XXXVII do art. 5º da CF, é plenamente atendida quando se delegam o interrogatório dos réus e outros atos da instrução processual a juízes federais das respectivas seções judiciárias, escolhidos mediante sorteio.</w:t>
      </w:r>
    </w:p>
    <w:p>
      <w:pPr>
        <w:ind w:left="288"/>
      </w:pPr>
      <w:r>
        <w:rPr>
          <w:b/>
          <w:color w:val="003CA0"/>
          <w:sz w:val="16"/>
        </w:rPr>
        <w:t>[AP 470 QO, rel. min. Joaquim Barbosa, j. 6-12-2007, P, DJE de 14-3-2008.]</w:t>
      </w:r>
    </w:p>
    <w:p>
      <w:pPr>
        <w:ind w:left="288"/>
      </w:pPr>
      <w:r>
        <w:rPr>
          <w:color w:val="8C8C8C"/>
          <w:sz w:val="12"/>
        </w:rPr>
        <w:t>cf-art-5-inc-L</w:t>
      </w:r>
      <w:r>
        <w:rPr>
          <w:color w:val="003CA0"/>
          <w:sz w:val="12"/>
        </w:rPr>
        <w:t xml:space="preserve"> | HC 91.253</w:t>
      </w:r>
      <w:r>
        <w:rPr>
          <w:color w:val="003CA0"/>
          <w:sz w:val="12"/>
        </w:rPr>
        <w:t xml:space="preserve"> | rel. Ricardo Lewandowski</w:t>
      </w:r>
    </w:p>
    <w:p>
      <w:pPr>
        <w:ind w:left="288"/>
      </w:pPr>
      <w:r>
        <w:rPr>
          <w:color w:val="1E1E1E"/>
          <w:sz w:val="18"/>
        </w:rPr>
        <w:t>A remessa para vara especializada fundada em conexão não viola o princípio do juiz natural.</w:t>
      </w:r>
    </w:p>
    <w:p>
      <w:pPr>
        <w:ind w:left="288"/>
      </w:pPr>
      <w:r>
        <w:rPr>
          <w:b/>
          <w:color w:val="003CA0"/>
          <w:sz w:val="16"/>
        </w:rPr>
        <w:t>[HC 91.253, rel. min. Ricardo Lewandowski, j. 16-10-2007, 1ª T, DJ de 14-11-2007.]</w:t>
      </w:r>
    </w:p>
    <w:p>
      <w:pPr>
        <w:ind w:left="288"/>
      </w:pPr>
      <w:r>
        <w:rPr>
          <w:color w:val="8C8C8C"/>
          <w:sz w:val="12"/>
        </w:rPr>
        <w:t>cf-art-5-inc-L</w:t>
      </w:r>
      <w:r>
        <w:rPr>
          <w:color w:val="003CA0"/>
          <w:sz w:val="12"/>
        </w:rPr>
        <w:t xml:space="preserve"> | HC 90.305</w:t>
      </w:r>
      <w:r>
        <w:rPr>
          <w:color w:val="003CA0"/>
          <w:sz w:val="12"/>
        </w:rPr>
        <w:t xml:space="preserve"> | rel. Ayres Britto</w:t>
      </w:r>
    </w:p>
    <w:p>
      <w:pPr>
        <w:ind w:left="288"/>
      </w:pPr>
      <w:r>
        <w:rPr>
          <w:color w:val="1E1E1E"/>
          <w:sz w:val="18"/>
        </w:rPr>
        <w:t>O pedido de reconhecimento de incompetência absoluta do juízo processante afeta diretamente a defesa de um direito individual indisponível do paciente: o de ser julgado por um juiz competente, nos exatos termos do que dispõe o inciso LIII do art. 5º da CF. O Ministério Público, órgão de defesa de toda a ordem jurídica, é parte legítima para impetrar habeas corpus que vise ao reconhecimento da incompetência absoluta do juiz processante de ação penal.</w:t>
      </w:r>
    </w:p>
    <w:p>
      <w:pPr>
        <w:ind w:left="288"/>
      </w:pPr>
      <w:r>
        <w:rPr>
          <w:b/>
          <w:color w:val="003CA0"/>
          <w:sz w:val="16"/>
        </w:rPr>
        <w:t>[HC 90.305, rel. min. Ayres Britto, j. 20-3-2007, 1ª T, DJ de 25-5-2007.]</w:t>
      </w:r>
    </w:p>
    <w:p>
      <w:pPr>
        <w:ind w:left="288"/>
      </w:pPr>
      <w:r>
        <w:rPr>
          <w:color w:val="8C8C8C"/>
          <w:sz w:val="12"/>
        </w:rPr>
        <w:t>cf-art-5-inc-L</w:t>
      </w:r>
      <w:r>
        <w:rPr>
          <w:color w:val="003CA0"/>
          <w:sz w:val="12"/>
        </w:rPr>
        <w:t xml:space="preserve"> | RHC 89.890</w:t>
      </w:r>
      <w:r>
        <w:rPr>
          <w:color w:val="003CA0"/>
          <w:sz w:val="12"/>
        </w:rPr>
        <w:t xml:space="preserve"> | rel. Ricardo Lewandowski</w:t>
      </w:r>
    </w:p>
    <w:p>
      <w:pPr>
        <w:ind w:left="288"/>
      </w:pPr>
      <w:r>
        <w:rPr>
          <w:color w:val="1E1E1E"/>
          <w:sz w:val="18"/>
        </w:rPr>
        <w:t>A designação de juiz para atuar, de forma genérica, em uma determinada vara, não ofende o princípio do juiz natural. Configura nulidade processual apenas a designação específica, casuística, de magistrado para atuar em determinado feito. Diante do pedido de afastamento do juiz titular, por motivo de foro íntimo, o processo deve ser encaminhado para o outro juiz, designado pelo Tribunal de Justiça, ante o acúmulo de processos, para ter exercício naquela vara.</w:t>
      </w:r>
    </w:p>
    <w:p>
      <w:pPr>
        <w:ind w:left="288"/>
      </w:pPr>
      <w:r>
        <w:rPr>
          <w:b/>
          <w:color w:val="003CA0"/>
          <w:sz w:val="16"/>
        </w:rPr>
        <w:t>[RHC 89.890, rel. min. Ricardo Lewandowski, j. 5-12-2006, 1ª T, DJ de 2-3-2007.]</w:t>
      </w:r>
    </w:p>
    <w:p>
      <w:pPr>
        <w:ind w:left="288"/>
      </w:pPr>
      <w:r>
        <w:rPr>
          <w:color w:val="8C8C8C"/>
          <w:sz w:val="12"/>
        </w:rPr>
        <w:t>cf-art-5-inc-L</w:t>
      </w:r>
      <w:r>
        <w:rPr>
          <w:color w:val="003CA0"/>
          <w:sz w:val="12"/>
        </w:rPr>
        <w:t xml:space="preserve"> | RE 418.852</w:t>
      </w:r>
      <w:r>
        <w:rPr>
          <w:color w:val="003CA0"/>
          <w:sz w:val="12"/>
        </w:rPr>
        <w:t xml:space="preserve"> | rel. Ayres Britto</w:t>
      </w:r>
    </w:p>
    <w:p>
      <w:pPr>
        <w:ind w:left="288"/>
      </w:pPr>
      <w:r>
        <w:rPr>
          <w:color w:val="1E1E1E"/>
          <w:sz w:val="18"/>
        </w:rPr>
        <w:t>Com efeito, a garantia do juízo natural, proclamada no inciso LIII do art. 5º da Carta de Outubro, é uma das mais eficazes condições de independência dos magistrados. Independência, a seu turno, que opera como um dos mais claros pressupostos de imparcialidade que deles, julgadores, se exige.</w:t>
      </w:r>
    </w:p>
    <w:p>
      <w:pPr>
        <w:ind w:left="288"/>
      </w:pPr>
      <w:r>
        <w:rPr>
          <w:b/>
          <w:color w:val="003CA0"/>
          <w:sz w:val="16"/>
        </w:rPr>
        <w:t>[RE 418.852, rel. min. Ayres Britto, j. 6-12-2005, 1ª T, DJ de 10-3-2006.]</w:t>
      </w:r>
    </w:p>
    <w:p>
      <w:pPr>
        <w:ind w:left="288"/>
      </w:pPr>
      <w:r>
        <w:rPr>
          <w:color w:val="8C8C8C"/>
          <w:sz w:val="12"/>
        </w:rPr>
        <w:t>cf-art-5-inc-L</w:t>
      </w:r>
      <w:r>
        <w:rPr>
          <w:color w:val="003CA0"/>
          <w:sz w:val="12"/>
        </w:rPr>
        <w:t xml:space="preserve"> | HC 85.056</w:t>
      </w:r>
      <w:r>
        <w:rPr>
          <w:color w:val="003CA0"/>
          <w:sz w:val="12"/>
        </w:rPr>
        <w:t xml:space="preserve"> | rel. Ayres Britto</w:t>
      </w:r>
    </w:p>
    <w:p>
      <w:pPr>
        <w:ind w:left="288"/>
      </w:pPr>
      <w:r>
        <w:rPr>
          <w:color w:val="1E1E1E"/>
          <w:sz w:val="18"/>
        </w:rPr>
        <w:t>Muito embora o inciso III do art. 252 do CPP não se aplique às turmas recursais integrantes dos juizados especiais (ante a inexistência de dualidade de instâncias), é de se ter como inconstitucional, por ofensiva ao inciso LIII do art. 5º da CF, norma regimental que habilita o magistrado prolator do ato impugnado a participar, já no âmbito das turmas recursais, da revisão do mesmo decisum que proferiu. Revela-se obstativa da automática aplicação da garantia fundamental do juiz natural a autorização de que, entre os três integrantes de turma recursal, figure o próprio autor do provimento questi</w:t>
      </w:r>
    </w:p>
    <w:p>
      <w:pPr>
        <w:ind w:left="288"/>
      </w:pPr>
      <w:r>
        <w:rPr>
          <w:b/>
          <w:color w:val="003CA0"/>
          <w:sz w:val="16"/>
        </w:rPr>
        <w:t>[HC 85.056, rel. min. Ayres Britto, j. 17-11-2005, P, DJ de 25-8-2006.]</w:t>
      </w:r>
    </w:p>
    <w:p>
      <w:pPr>
        <w:ind w:left="288"/>
      </w:pPr>
      <w:r>
        <w:rPr>
          <w:color w:val="8C8C8C"/>
          <w:sz w:val="12"/>
        </w:rPr>
        <w:t>cf-art-5-inc-L</w:t>
      </w:r>
      <w:r>
        <w:rPr>
          <w:color w:val="003CA0"/>
          <w:sz w:val="12"/>
        </w:rPr>
        <w:t xml:space="preserve"> | AO 1.120</w:t>
      </w:r>
      <w:r>
        <w:rPr>
          <w:color w:val="003CA0"/>
          <w:sz w:val="12"/>
        </w:rPr>
        <w:t xml:space="preserve"> | rel. Ellen Gracie</w:t>
      </w:r>
    </w:p>
    <w:p>
      <w:pPr>
        <w:ind w:left="288"/>
      </w:pPr>
      <w:r>
        <w:rPr>
          <w:color w:val="1E1E1E"/>
          <w:sz w:val="18"/>
        </w:rPr>
        <w:t>Contratação superveniente de advogado, após julgamento de embargos infringentes, que provoca a antevista declaração de suspeição da maioria dos integrantes do tribunal estadual para apreciar embargos de declaração. Ofensa ao postulado constitucional do juízo natural.</w:t>
      </w:r>
    </w:p>
    <w:p>
      <w:pPr>
        <w:ind w:left="288"/>
      </w:pPr>
      <w:r>
        <w:rPr>
          <w:b/>
          <w:color w:val="003CA0"/>
          <w:sz w:val="16"/>
        </w:rPr>
        <w:t>[AO 1.120 QO, rel. min. Ellen Gracie, j. 30-6-2005, P, DJ de 26-8-2005.]</w:t>
      </w:r>
    </w:p>
    <w:p>
      <w:pPr>
        <w:ind w:left="288"/>
      </w:pPr>
      <w:r>
        <w:rPr>
          <w:color w:val="8C8C8C"/>
          <w:sz w:val="12"/>
        </w:rPr>
        <w:t>cf-art-5-inc-L</w:t>
      </w:r>
      <w:r>
        <w:rPr>
          <w:color w:val="003CA0"/>
          <w:sz w:val="12"/>
        </w:rPr>
        <w:t xml:space="preserve"> | HC 84.635</w:t>
      </w:r>
      <w:r>
        <w:rPr>
          <w:color w:val="003CA0"/>
          <w:sz w:val="12"/>
        </w:rPr>
        <w:t xml:space="preserve"> | rel. Marco Aurélio</w:t>
      </w:r>
    </w:p>
    <w:p>
      <w:pPr>
        <w:ind w:left="288"/>
      </w:pPr>
      <w:r>
        <w:rPr>
          <w:color w:val="1E1E1E"/>
          <w:sz w:val="18"/>
        </w:rPr>
        <w:t>Consoante dispõe o art. 71 do RISTJ – norma semelhante ao art. 69 do RISTF –, a prevenção de relator pressupõe recurso ou medida judicial resultante do mesmo processo que implicara o exame de medida anteriormente apreciada. Sendo diversos os processos, descabe, sob pena de transgressão do princípio do juiz natural, a redistribuição.</w:t>
      </w:r>
    </w:p>
    <w:p>
      <w:pPr>
        <w:ind w:left="288"/>
      </w:pPr>
      <w:r>
        <w:rPr>
          <w:b/>
          <w:color w:val="003CA0"/>
          <w:sz w:val="16"/>
        </w:rPr>
        <w:t>[HC 84.635, rel. min. Marco Aurélio, j. 22-6-2005, 1ª T, DJ de 9-9-2005.]</w:t>
      </w:r>
    </w:p>
    <w:p>
      <w:pPr>
        <w:ind w:left="288"/>
      </w:pPr>
      <w:r>
        <w:rPr>
          <w:color w:val="8C8C8C"/>
          <w:sz w:val="12"/>
        </w:rPr>
        <w:t>cf-art-5-inc-L</w:t>
      </w:r>
      <w:r>
        <w:rPr>
          <w:color w:val="003CA0"/>
          <w:sz w:val="12"/>
        </w:rPr>
        <w:t xml:space="preserve"> | AP 351</w:t>
      </w:r>
      <w:r>
        <w:rPr>
          <w:color w:val="003CA0"/>
          <w:sz w:val="12"/>
        </w:rPr>
        <w:t xml:space="preserve"> | rel. Marco Aurélio</w:t>
      </w:r>
    </w:p>
    <w:p>
      <w:pPr>
        <w:ind w:left="288"/>
      </w:pPr>
      <w:r>
        <w:rPr>
          <w:color w:val="1E1E1E"/>
          <w:sz w:val="18"/>
        </w:rPr>
        <w:t>A racionalidade dos trabalhos do Judiciário direciona ao desmembramento do processo para remessa à primeira instância, objetivando a sequência no tocante aos que não gozem de prerrogativa de foro, preservando-se com isso o princípio constitucional do juiz natural.</w:t>
      </w:r>
    </w:p>
    <w:p>
      <w:pPr>
        <w:ind w:left="288"/>
      </w:pPr>
      <w:r>
        <w:rPr>
          <w:b/>
          <w:color w:val="003CA0"/>
          <w:sz w:val="16"/>
        </w:rPr>
        <w:t>[AP 351, rel. min. Marco Aurélio, j. 12-8-2004, P, DJ de 17-9-2004.]</w:t>
      </w:r>
    </w:p>
    <w:p>
      <w:pPr>
        <w:ind w:left="288"/>
      </w:pPr>
      <w:r>
        <w:rPr>
          <w:color w:val="8C8C8C"/>
          <w:sz w:val="12"/>
        </w:rPr>
        <w:t>cf-art-5-inc-L</w:t>
      </w:r>
      <w:r>
        <w:rPr>
          <w:color w:val="003CA0"/>
          <w:sz w:val="12"/>
        </w:rPr>
        <w:t xml:space="preserve"> | INQ 2.168</w:t>
      </w:r>
      <w:r>
        <w:rPr>
          <w:color w:val="003CA0"/>
          <w:sz w:val="12"/>
        </w:rPr>
        <w:t xml:space="preserve"> | rel. Menezes Direito</w:t>
      </w:r>
    </w:p>
    <w:p>
      <w:pPr>
        <w:ind w:left="288"/>
      </w:pPr>
      <w:r>
        <w:rPr>
          <w:color w:val="1E1E1E"/>
          <w:sz w:val="18"/>
        </w:rPr>
        <w:t>= Inq 2.168 ED, rel. min. Menezes Direito, j. 15-4-2009, P, DJE de 28-8-2009 Vide AP 420 AgR, rel. min. Joaquim Barbosa, j. 9-9-2010, P, DJE de 14-3-2012 O postulado do juiz natural representa garantia constitucional indisponível, assegurada a qualquer réu, em sede de persecução penal, mesmo quando instaurada perante a Justiça Militar da União. (...) O postulado do juiz natural, em sua projeção político-jurídica, reveste-se de dupla função instrumental, pois, enquanto garantia indisponível, tem, por titular, qualquer pessoa exposta, em juízo criminal, à ação persecutória do Estado, e, enquanto</w:t>
      </w:r>
    </w:p>
    <w:p>
      <w:pPr>
        <w:ind w:left="288"/>
      </w:pPr>
      <w:r>
        <w:rPr>
          <w:b/>
          <w:color w:val="003CA0"/>
          <w:sz w:val="16"/>
        </w:rPr>
        <w:t>[HC 81.963, rel. min. Celso de Mello, j. 18-6-2002, 2ª T, DJ de 28-10-2004.]</w:t>
      </w:r>
    </w:p>
    <w:p>
      <w:pPr>
        <w:ind w:left="288"/>
      </w:pPr>
      <w:r>
        <w:rPr>
          <w:color w:val="8C8C8C"/>
          <w:sz w:val="12"/>
        </w:rPr>
        <w:t>cf-art-5-inc-L</w:t>
      </w:r>
      <w:r>
        <w:rPr>
          <w:color w:val="003CA0"/>
          <w:sz w:val="12"/>
        </w:rPr>
        <w:t xml:space="preserve"> | HC 79.865</w:t>
      </w:r>
      <w:r>
        <w:rPr>
          <w:color w:val="003CA0"/>
          <w:sz w:val="12"/>
        </w:rPr>
        <w:t xml:space="preserve"> | rel. Celso de Mello</w:t>
      </w:r>
    </w:p>
    <w:p>
      <w:pPr>
        <w:ind w:left="288"/>
      </w:pPr>
      <w:r>
        <w:rPr>
          <w:color w:val="1E1E1E"/>
          <w:sz w:val="18"/>
        </w:rPr>
        <w:t>O princípio da naturalidade do juízo representa uma das mais importantes matrizes político-ideológicas que conformam a própria atividade legislativa do Estado e condicionam o desempenho, por parte do poder público, das funções de caráter penal-persecutório, notadamente quando exercidas em sede judicial.</w:t>
      </w:r>
    </w:p>
    <w:p>
      <w:pPr>
        <w:ind w:left="288"/>
      </w:pPr>
      <w:r>
        <w:rPr>
          <w:b/>
          <w:color w:val="003CA0"/>
          <w:sz w:val="16"/>
        </w:rPr>
        <w:t>[HC 79.865, rel. min. Celso de Mello, j. 14-3-2000, 2ª T, DJ de 20-4-2001.]</w:t>
      </w:r>
    </w:p>
    <w:p>
      <w:pPr>
        <w:ind w:left="288"/>
      </w:pPr>
      <w:r>
        <w:rPr>
          <w:color w:val="8C8C8C"/>
          <w:sz w:val="12"/>
        </w:rPr>
        <w:t>cf-art-5-inc-L</w:t>
      </w:r>
      <w:r>
        <w:rPr>
          <w:color w:val="003CA0"/>
          <w:sz w:val="12"/>
        </w:rPr>
        <w:t xml:space="preserve"> | HC 71.448</w:t>
      </w:r>
      <w:r>
        <w:rPr>
          <w:color w:val="003CA0"/>
          <w:sz w:val="12"/>
        </w:rPr>
        <w:t xml:space="preserve"> | rel. Celso de Mello</w:t>
      </w:r>
    </w:p>
    <w:p>
      <w:pPr>
        <w:ind w:left="288"/>
      </w:pPr>
      <w:r>
        <w:rPr>
          <w:color w:val="1E1E1E"/>
          <w:sz w:val="18"/>
        </w:rPr>
        <w:t>Não se registra situação configuradora de impedimento se o magistrado, no curso do procedimento penal, não se pronunciou sobre matéria de fato ou sobre questão de direito, uma e outra concernentes ao mérito da demanda penal. Eventual prática de atos de ordenação processual não basta, só por si, para caracterizar hipótese de impedimento do juiz.</w:t>
      </w:r>
    </w:p>
    <w:p>
      <w:pPr>
        <w:ind w:left="288"/>
      </w:pPr>
      <w:r>
        <w:rPr>
          <w:b/>
          <w:color w:val="003CA0"/>
          <w:sz w:val="16"/>
        </w:rPr>
        <w:t>[HC 71.448, rel. min. Celso de Mello, j.14-2-1995, 1ª T, DJE de 4-12-2009.]</w:t>
      </w:r>
    </w:p>
    <w:p>
      <w:pPr>
        <w:ind w:left="288"/>
      </w:pPr>
      <w:r>
        <w:rPr>
          <w:color w:val="8C8C8C"/>
          <w:sz w:val="12"/>
        </w:rPr>
        <w:t>cf-art-5-inc-L</w:t>
      </w:r>
      <w:r>
        <w:rPr>
          <w:color w:val="003CA0"/>
          <w:sz w:val="12"/>
        </w:rPr>
        <w:t xml:space="preserve"> | HC 92.893</w:t>
      </w:r>
      <w:r>
        <w:rPr>
          <w:color w:val="003CA0"/>
          <w:sz w:val="12"/>
        </w:rPr>
        <w:t xml:space="preserve"> | rel. Ricardo Lewandowski</w:t>
      </w:r>
    </w:p>
    <w:p>
      <w:pPr>
        <w:ind w:left="288"/>
      </w:pPr>
      <w:r>
        <w:rPr>
          <w:color w:val="1E1E1E"/>
          <w:sz w:val="18"/>
        </w:rPr>
        <w:t>Vide HC 92.893, rel. min. Ricardo Lewandowski, j. 2-10-2008, 2ª T, DJE de 12-12-2008 A Justiça Militar estadual não dispõe de competência penal para processar e julgar civil que tenha sido denunciado pela prática de crime contra a Polícia Militar do Estado. Qualquer tentativa de submeter os réus civis a procedimentos penais persecutórios instaurados perante órgãos da Justiça Militar estadual representa, no contexto de nosso sistema jurídico, clara violação ao princípio constitucional do juiz natural (CF, art. 5º, LIII).</w:t>
      </w:r>
    </w:p>
    <w:p>
      <w:pPr>
        <w:ind w:left="288"/>
      </w:pPr>
      <w:r>
        <w:rPr>
          <w:b/>
          <w:color w:val="003CA0"/>
          <w:sz w:val="16"/>
        </w:rPr>
        <w:t>[HC 70.604, rel. min. Celso de Mello, j. 10-5-1994, 1ª T, DJ de 1º-7-1994.]</w:t>
      </w:r>
    </w:p>
    <w:p>
      <w:pPr>
        <w:ind w:left="288"/>
      </w:pPr>
      <w:r>
        <w:rPr>
          <w:color w:val="8C8C8C"/>
          <w:sz w:val="12"/>
        </w:rPr>
        <w:t>cf-art-5-inc-L</w:t>
      </w:r>
      <w:r>
        <w:rPr>
          <w:color w:val="003CA0"/>
          <w:sz w:val="12"/>
        </w:rPr>
        <w:t xml:space="preserve"> | HC 69.601</w:t>
      </w:r>
      <w:r>
        <w:rPr>
          <w:color w:val="003CA0"/>
          <w:sz w:val="12"/>
        </w:rPr>
        <w:t xml:space="preserve"> | rel. Celso de Mello</w:t>
      </w:r>
    </w:p>
    <w:p>
      <w:pPr>
        <w:ind w:left="288"/>
      </w:pPr>
      <w:r>
        <w:rPr>
          <w:color w:val="1E1E1E"/>
          <w:sz w:val="18"/>
        </w:rPr>
        <w:t>O princípio da naturalidade do juízo – que traduz significativa conquista do processo penal liberal, essencialmente fundado em bases democráticas – atua como fator de limitação dos poderes persecutórios do Estado e representa importante garantia de imparcialidade dos juízes e tribunais. Nesse contexto, o mecanismo das substituições dos juízes traduz aspecto dos mais delicados nas relações entre o Estado, no exercício de sua atividade persecutória, e o indivíduo, na sua condição de imputado nos processos penais condenatórios.</w:t>
      </w:r>
    </w:p>
    <w:p>
      <w:pPr>
        <w:ind w:left="288"/>
      </w:pPr>
      <w:r>
        <w:rPr>
          <w:b/>
          <w:color w:val="003CA0"/>
          <w:sz w:val="16"/>
        </w:rPr>
        <w:t>[HC 69.601, rel. min. Celso de Mello, j. 24-11-1992, 1ª T, DJ de 18-12-1992.]</w:t>
      </w:r>
    </w:p>
    <w:p>
      <w:pPr>
        <w:ind w:left="288"/>
      </w:pPr>
      <w:r>
        <w:rPr>
          <w:color w:val="8C8C8C"/>
          <w:sz w:val="12"/>
        </w:rPr>
        <w:t>cf-art-5-inc-L</w:t>
      </w:r>
    </w:p>
    <w:p>
      <w:pPr>
        <w:ind w:left="288"/>
      </w:pPr>
      <w:r>
        <w:rPr>
          <w:color w:val="1E1E1E"/>
          <w:sz w:val="18"/>
        </w:rPr>
        <w:t>LIV - ninguém será privado da liberdade ou de seus bens sem o devido processo legal; Não se tipifica crime material contra a ordem tributária, previsto no art. 1º, I a IV, da Lei 8.137/1990, antes do lançamento definitivo do tributo.</w:t>
      </w:r>
    </w:p>
    <w:p>
      <w:pPr>
        <w:ind w:left="288"/>
      </w:pPr>
      <w:r>
        <w:rPr>
          <w:b/>
          <w:color w:val="003CA0"/>
          <w:sz w:val="16"/>
        </w:rPr>
        <w:t>[Súmula Vinculante 24.]</w:t>
      </w:r>
    </w:p>
    <w:p>
      <w:pPr>
        <w:ind w:left="288"/>
      </w:pPr>
      <w:r>
        <w:rPr>
          <w:color w:val="8C8C8C"/>
          <w:sz w:val="12"/>
        </w:rPr>
        <w:t>cf-art-5-inc-L</w:t>
      </w:r>
    </w:p>
    <w:p>
      <w:pPr>
        <w:ind w:left="288"/>
      </w:pPr>
      <w:r>
        <w:rPr>
          <w:color w:val="1E1E1E"/>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288"/>
      </w:pPr>
      <w:r>
        <w:rPr>
          <w:color w:val="8C8C8C"/>
          <w:sz w:val="12"/>
        </w:rPr>
        <w:t>cf-art-5-inc-L</w:t>
      </w:r>
    </w:p>
    <w:p>
      <w:pPr>
        <w:ind w:left="288"/>
      </w:pPr>
      <w:r>
        <w:rPr>
          <w:color w:val="1E1E1E"/>
          <w:sz w:val="18"/>
        </w:rPr>
        <w:t>Não viola as garantias do juiz natural, da ampla defesa e do devido processo legal a atração por continência ou conexão do processo do corréu ao foro por prerrogativa de função de um dos denunciados.</w:t>
      </w:r>
    </w:p>
    <w:p>
      <w:pPr>
        <w:ind w:left="288"/>
      </w:pPr>
      <w:r>
        <w:rPr>
          <w:b/>
          <w:color w:val="003CA0"/>
          <w:sz w:val="16"/>
        </w:rPr>
        <w:t>[Súmula 704.]</w:t>
      </w:r>
    </w:p>
    <w:p>
      <w:pPr>
        <w:ind w:left="288"/>
      </w:pPr>
      <w:r>
        <w:rPr>
          <w:color w:val="8C8C8C"/>
          <w:sz w:val="12"/>
        </w:rPr>
        <w:t>cf-art-5-inc-L</w:t>
      </w:r>
    </w:p>
    <w:p>
      <w:pPr>
        <w:ind w:left="288"/>
      </w:pPr>
      <w:r>
        <w:rPr>
          <w:color w:val="1E1E1E"/>
          <w:sz w:val="18"/>
        </w:rPr>
        <w:t>Ao contribuinte em débito, não é lícito à autoridade proibir que adquira estampilhas, despache mercadorias nas alfândegas e exerça suas atividades profissionais.</w:t>
      </w:r>
    </w:p>
    <w:p>
      <w:pPr>
        <w:ind w:left="288"/>
      </w:pPr>
      <w:r>
        <w:rPr>
          <w:b/>
          <w:color w:val="003CA0"/>
          <w:sz w:val="16"/>
        </w:rPr>
        <w:t>[Súmula 547.]</w:t>
      </w:r>
    </w:p>
    <w:p>
      <w:pPr>
        <w:ind w:left="288"/>
      </w:pPr>
      <w:r>
        <w:rPr>
          <w:color w:val="8C8C8C"/>
          <w:sz w:val="12"/>
        </w:rPr>
        <w:t>cf-art-5-inc-L</w:t>
      </w:r>
    </w:p>
    <w:p>
      <w:pPr>
        <w:ind w:left="288"/>
      </w:pPr>
      <w:r>
        <w:rPr>
          <w:color w:val="1E1E1E"/>
          <w:sz w:val="18"/>
        </w:rPr>
        <w:t>É inadmissível a apreensão de mercadorias como meio coercitivo para pagamento de tributos.</w:t>
      </w:r>
    </w:p>
    <w:p>
      <w:pPr>
        <w:ind w:left="288"/>
      </w:pPr>
      <w:r>
        <w:rPr>
          <w:b/>
          <w:color w:val="003CA0"/>
          <w:sz w:val="16"/>
        </w:rPr>
        <w:t>[Súmula 323.]</w:t>
      </w:r>
    </w:p>
    <w:p>
      <w:pPr>
        <w:ind w:left="288"/>
      </w:pPr>
      <w:r>
        <w:rPr>
          <w:color w:val="8C8C8C"/>
          <w:sz w:val="12"/>
        </w:rPr>
        <w:t>cf-art-5-inc-L</w:t>
      </w:r>
    </w:p>
    <w:p>
      <w:pPr>
        <w:ind w:left="288"/>
      </w:pPr>
      <w:r>
        <w:rPr>
          <w:color w:val="1E1E1E"/>
          <w:sz w:val="18"/>
        </w:rPr>
        <w:t>É inadmissível a interdição de estabelecimento como meio coercitivo para cobrança de tributo.</w:t>
      </w:r>
    </w:p>
    <w:p>
      <w:pPr>
        <w:ind w:left="288"/>
      </w:pPr>
      <w:r>
        <w:rPr>
          <w:b/>
          <w:color w:val="003CA0"/>
          <w:sz w:val="16"/>
        </w:rPr>
        <w:t>[Súmula 70.]</w:t>
      </w:r>
    </w:p>
    <w:p>
      <w:pPr>
        <w:ind w:left="288"/>
      </w:pPr>
      <w:r>
        <w:rPr>
          <w:color w:val="8C8C8C"/>
          <w:sz w:val="12"/>
        </w:rPr>
        <w:t>cf-art-5-inc-L</w:t>
      </w:r>
      <w:r>
        <w:rPr>
          <w:color w:val="003CA0"/>
          <w:sz w:val="12"/>
        </w:rPr>
        <w:t xml:space="preserve"> | ADI 7.600</w:t>
      </w:r>
      <w:r>
        <w:rPr>
          <w:color w:val="003CA0"/>
          <w:sz w:val="12"/>
        </w:rPr>
        <w:t xml:space="preserve"> | rel. Dias Toffoli</w:t>
      </w:r>
    </w:p>
    <w:p>
      <w:pPr>
        <w:ind w:left="288"/>
      </w:pPr>
      <w:r>
        <w:rPr>
          <w:color w:val="1E1E1E"/>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w:t>
      </w:r>
    </w:p>
    <w:p>
      <w:pPr>
        <w:ind w:left="288"/>
      </w:pPr>
      <w:r>
        <w:rPr>
          <w:b/>
          <w:color w:val="003CA0"/>
          <w:sz w:val="16"/>
        </w:rPr>
        <w:t>[ADI 7.600, ADI 7.601 e 7.608, rel. min. Dias Toffoli, j. 01.07.2025, P, DJE de 15.09.2025.]</w:t>
      </w:r>
    </w:p>
    <w:p>
      <w:pPr>
        <w:ind w:left="288"/>
      </w:pPr>
      <w:r>
        <w:rPr>
          <w:color w:val="8C8C8C"/>
          <w:sz w:val="12"/>
        </w:rPr>
        <w:t>cf-art-5-inc-L</w:t>
      </w:r>
      <w:r>
        <w:rPr>
          <w:color w:val="003CA0"/>
          <w:sz w:val="12"/>
        </w:rPr>
        <w:t xml:space="preserve"> | ADI 3.952</w:t>
      </w:r>
      <w:r>
        <w:rPr>
          <w:color w:val="003CA0"/>
          <w:sz w:val="12"/>
        </w:rPr>
        <w:t xml:space="preserve"> | rel. Joaquim Barbosa</w:t>
      </w:r>
    </w:p>
    <w:p>
      <w:pPr>
        <w:ind w:left="288"/>
      </w:pPr>
      <w:r>
        <w:rPr>
          <w:color w:val="1E1E1E"/>
          <w:sz w:val="18"/>
        </w:rPr>
        <w:t>Ao contribuinte alegadamente inadimplente é garantido o direito de insurgir-se contra a exigência tributária que repute indevida ou a aplicação de restrição administrativa que ponha em risco o livre exercício de sua atividade comercial. Entretanto, não pode o contribuinte, sob o pálio da livre de iniciativa, adotar prática comercial dirigida à inadimplência contumaz e preordenada para, valendo-se de infundadas impugnações administrativas ou judiciais sobre a exigibilidade da exação, alcançar vantagem competitiva capaz de desequilibrar a concorrência e frustrar o atendimento à função extrafisca</w:t>
      </w:r>
    </w:p>
    <w:p>
      <w:pPr>
        <w:ind w:left="288"/>
      </w:pPr>
      <w:r>
        <w:rPr>
          <w:b/>
          <w:color w:val="003CA0"/>
          <w:sz w:val="16"/>
        </w:rPr>
        <w:t>[ADI 3.952, rel. min. Joaquim Barbosa, red. do ac. min, Cármen Lúcia, j. 29.11.2023, P, DJE de 08.03.2024.]</w:t>
      </w:r>
    </w:p>
    <w:p>
      <w:pPr>
        <w:ind w:left="288"/>
      </w:pPr>
      <w:r>
        <w:rPr>
          <w:color w:val="8C8C8C"/>
          <w:sz w:val="12"/>
        </w:rPr>
        <w:t>cf-art-5-inc-L</w:t>
      </w:r>
      <w:r>
        <w:rPr>
          <w:color w:val="003CA0"/>
          <w:sz w:val="12"/>
        </w:rPr>
        <w:t xml:space="preserve"> | ADI 2.926</w:t>
      </w:r>
      <w:r>
        <w:rPr>
          <w:color w:val="003CA0"/>
          <w:sz w:val="12"/>
        </w:rPr>
        <w:t xml:space="preserve"> | rel. Nunes Marques</w:t>
      </w:r>
    </w:p>
    <w:p>
      <w:pPr>
        <w:ind w:left="288"/>
      </w:pPr>
      <w:r>
        <w:rPr>
          <w:color w:val="1E1E1E"/>
          <w:sz w:val="18"/>
        </w:rPr>
        <w:t>Por violar as cláusulas do devido processo legal e da não culpabilidade (CF, art. 5º, LIV e LIV), é inconstitucional o afastamento temporário do exercício do cargo ou das funções, com supressão das vantagens, do servidor processado criminalmente.</w:t>
      </w:r>
    </w:p>
    <w:p>
      <w:pPr>
        <w:ind w:left="288"/>
      </w:pPr>
      <w:r>
        <w:rPr>
          <w:b/>
          <w:color w:val="003CA0"/>
          <w:sz w:val="16"/>
        </w:rPr>
        <w:t>[ADI 2.926, rel. min. Nunes Marques, j. 18-3-2023, P, DJE de 22-5-2023.]</w:t>
      </w:r>
    </w:p>
    <w:p>
      <w:pPr>
        <w:ind w:left="288"/>
      </w:pPr>
      <w:r>
        <w:rPr>
          <w:color w:val="8C8C8C"/>
          <w:sz w:val="12"/>
        </w:rPr>
        <w:t>cf-art-5-inc-L</w:t>
      </w:r>
      <w:r>
        <w:rPr>
          <w:color w:val="003CA0"/>
          <w:sz w:val="12"/>
        </w:rPr>
        <w:t xml:space="preserve"> | ADI 5.755</w:t>
      </w:r>
      <w:r>
        <w:rPr>
          <w:color w:val="003CA0"/>
          <w:sz w:val="12"/>
        </w:rPr>
        <w:t xml:space="preserve"> | rel. Rosa Weber</w:t>
      </w:r>
    </w:p>
    <w:p>
      <w:pPr>
        <w:ind w:left="288"/>
      </w:pPr>
      <w:r>
        <w:rPr>
          <w:color w:val="1E1E1E"/>
          <w:sz w:val="18"/>
        </w:rPr>
        <w:t>A Lei nº 13.463/2017 criou verdadeira inovação ao disciplinar o pagamento de montantes por precatórios e requisições de pequeno valor por meio da determinação de um limite temporal para o exercício do direito de levantamento do importe do crédito depositado. A transferência automática, pela instituição financeira depositária, dos valores depositados para a Conta Única do Tesouro Nacional sem prévia ciência do interessado ou formalização de contraditório (art. 5º, LV, CF) afronta o devido processo legal (CF, art. 5º, LIV) no que atine ao respeito ao contraditório e à ampla defesa. 4. Tal lei de</w:t>
      </w:r>
    </w:p>
    <w:p>
      <w:pPr>
        <w:ind w:left="288"/>
      </w:pPr>
      <w:r>
        <w:rPr>
          <w:b/>
          <w:color w:val="003CA0"/>
          <w:sz w:val="16"/>
        </w:rPr>
        <w:t>[ADI 5.755, rel. min. Rosa Weber, j. 30-6-2022, P, DJE de 4-10-2022.]</w:t>
      </w:r>
    </w:p>
    <w:p>
      <w:pPr>
        <w:ind w:left="288"/>
      </w:pPr>
      <w:r>
        <w:rPr>
          <w:color w:val="8C8C8C"/>
          <w:sz w:val="12"/>
        </w:rPr>
        <w:t>cf-art-5-inc-L</w:t>
      </w:r>
      <w:r>
        <w:rPr>
          <w:color w:val="003CA0"/>
          <w:sz w:val="12"/>
        </w:rPr>
        <w:t xml:space="preserve"> | ADI 3.951</w:t>
      </w:r>
    </w:p>
    <w:p>
      <w:pPr>
        <w:ind w:left="288"/>
      </w:pPr>
      <w:r>
        <w:rPr>
          <w:color w:val="1E1E1E"/>
          <w:sz w:val="18"/>
        </w:rPr>
        <w:t xml:space="preserve">A suspensão imediata do direito de dirigir e a apreensão do documento de habilitação previstas no artigo 218, III, do Código de Trânsito Brasileiro, serão aplicadas pela autoridade competente, em caso de cometimento de infração classificada como gravíssima, de maneira conforme ao procedimento previsto no art. 281 e seguintes do mesmo diploma legal, asseguradas as garantias constitucionais inerentes ao devido processo legal. Trata-se de providências administrativas de natureza acautelatória que objetivam assegurar a eficiência da fiscalização de trânsito em casos de flagrante de prática de ato </w:t>
      </w:r>
    </w:p>
    <w:p>
      <w:pPr>
        <w:ind w:left="288"/>
      </w:pPr>
      <w:r>
        <w:rPr>
          <w:b/>
          <w:color w:val="003CA0"/>
          <w:sz w:val="16"/>
        </w:rPr>
        <w:t>[ADI 3.951, red. do ac. min. Edson Fachin, j. 29-5-2020, P, DJE de 8-7-2020.]</w:t>
      </w:r>
    </w:p>
    <w:p>
      <w:pPr>
        <w:ind w:left="288"/>
      </w:pPr>
      <w:r>
        <w:rPr>
          <w:color w:val="8C8C8C"/>
          <w:sz w:val="12"/>
        </w:rPr>
        <w:t>cf-art-5-inc-L</w:t>
      </w:r>
      <w:r>
        <w:rPr>
          <w:color w:val="003CA0"/>
          <w:sz w:val="12"/>
        </w:rPr>
        <w:t xml:space="preserve"> | ADI 5.139</w:t>
      </w:r>
      <w:r>
        <w:rPr>
          <w:color w:val="003CA0"/>
          <w:sz w:val="12"/>
        </w:rPr>
        <w:t xml:space="preserve"> | rel. Cármen Lúcia</w:t>
      </w:r>
    </w:p>
    <w:p>
      <w:pPr>
        <w:ind w:left="288"/>
      </w:pPr>
      <w:r>
        <w:rPr>
          <w:color w:val="1E1E1E"/>
          <w:sz w:val="18"/>
        </w:rPr>
        <w:t>Constitucional a iniciativa do legislador alagoano para editar a Lei estadual 7.508/2013, pela qual se determina que os estabelecimentos de ensino fundamental, médio e superior, públicos e privados, e cursos de extensão disponibilizem ‘cadeiras adaptadas para alunos portadores de deficiência física ou mobilidade reduzida’ (art. 1º). Desproporcionalidade da definição normativa do número de cadeiras a ser disponibilizado: interpretação conforme ao parágrafo único do art. 2º da Lei estadual 7.508/2013 para se entender que a expressão ‘número de alunos regularmente matriculados em cada sala’ se re</w:t>
      </w:r>
    </w:p>
    <w:p>
      <w:pPr>
        <w:ind w:left="288"/>
      </w:pPr>
      <w:r>
        <w:rPr>
          <w:b/>
          <w:color w:val="003CA0"/>
          <w:sz w:val="16"/>
        </w:rPr>
        <w:t>[ADI 5.139, rel. min. Cármen Lúcia, j. 11-10-2019, P, DJE de 6-11-2019.]</w:t>
      </w:r>
    </w:p>
    <w:p>
      <w:pPr>
        <w:ind w:left="288"/>
      </w:pPr>
      <w:r>
        <w:rPr>
          <w:color w:val="8C8C8C"/>
          <w:sz w:val="12"/>
        </w:rPr>
        <w:t>cf-art-5-inc-L</w:t>
      </w:r>
      <w:r>
        <w:rPr>
          <w:color w:val="003CA0"/>
          <w:sz w:val="12"/>
        </w:rPr>
        <w:t xml:space="preserve"> | ADI 4.338</w:t>
      </w:r>
      <w:r>
        <w:rPr>
          <w:color w:val="003CA0"/>
          <w:sz w:val="12"/>
        </w:rPr>
        <w:t xml:space="preserve"> | rel. Rosa Weber</w:t>
      </w:r>
    </w:p>
    <w:p>
      <w:pPr>
        <w:ind w:left="288"/>
      </w:pPr>
      <w:r>
        <w:rPr>
          <w:color w:val="1E1E1E"/>
          <w:sz w:val="18"/>
        </w:rPr>
        <w:t>Serviço de transporte público coletivo. Interrupção ou não conclusão da viagem. Ressarcimento de tarifa aos usuários. Extensão ao transporte de passageiros entre o Distrito Federal e a região do entorno. Transporte interestadual. (...) Ao instituir hipótese de presunção legal absoluta quanto à veracidade do fato alegado em denúncia de infração realizada por usuário do serviço de transporte público coletivo, o art. 3º, parágrafo único, da Lei 4.112/2008 do Distrito Federal inviabiliza o contraditório e impede o exercício do direito de defesa na esfera administrativa, mostrando-se incompatível c</w:t>
      </w:r>
    </w:p>
    <w:p>
      <w:pPr>
        <w:ind w:left="288"/>
      </w:pPr>
      <w:r>
        <w:rPr>
          <w:b/>
          <w:color w:val="003CA0"/>
          <w:sz w:val="16"/>
        </w:rPr>
        <w:t>[ADI 4.338, rel. min. Rosa Weber, j. 23-8-2019, P, DJE de 9-9-2019.]</w:t>
      </w:r>
    </w:p>
    <w:p>
      <w:pPr>
        <w:ind w:left="288"/>
      </w:pPr>
      <w:r>
        <w:rPr>
          <w:color w:val="8C8C8C"/>
          <w:sz w:val="12"/>
        </w:rPr>
        <w:t>cf-art-5-inc-L</w:t>
      </w:r>
      <w:r>
        <w:rPr>
          <w:color w:val="003CA0"/>
          <w:sz w:val="12"/>
        </w:rPr>
        <w:t xml:space="preserve"> | ADPF 378</w:t>
      </w:r>
    </w:p>
    <w:p>
      <w:pPr>
        <w:ind w:left="288"/>
      </w:pPr>
      <w:r>
        <w:rPr>
          <w:color w:val="1E1E1E"/>
          <w:sz w:val="18"/>
        </w:rPr>
        <w:t>No curso do procedimento de impeachment, o acusado tem a prerrogativa de se manifestar, de um modo geral, após a acusação. Concretização da garantia constitucional do devido processo legal (due process of law).</w:t>
      </w:r>
    </w:p>
    <w:p>
      <w:pPr>
        <w:ind w:left="288"/>
      </w:pPr>
      <w:r>
        <w:rPr>
          <w:b/>
          <w:color w:val="003CA0"/>
          <w:sz w:val="16"/>
        </w:rPr>
        <w:t>[ADPF 378 MC, red. do ac. min. Roberto Barroso, j. 16-12-2015, P, DJE de 8-3-2016.]</w:t>
      </w:r>
    </w:p>
    <w:p>
      <w:pPr>
        <w:ind w:left="288"/>
      </w:pPr>
      <w:r>
        <w:rPr>
          <w:color w:val="8C8C8C"/>
          <w:sz w:val="12"/>
        </w:rPr>
        <w:t>cf-art-5-inc-L</w:t>
      </w:r>
      <w:r>
        <w:rPr>
          <w:color w:val="003CA0"/>
          <w:sz w:val="12"/>
        </w:rPr>
        <w:t xml:space="preserve"> | ADI 1.082</w:t>
      </w:r>
      <w:r>
        <w:rPr>
          <w:color w:val="003CA0"/>
          <w:sz w:val="12"/>
        </w:rPr>
        <w:t xml:space="preserve"> | rel. Marco Aurélio</w:t>
      </w:r>
    </w:p>
    <w:p>
      <w:pPr>
        <w:ind w:left="288"/>
      </w:pPr>
      <w:r>
        <w:rPr>
          <w:color w:val="1E1E1E"/>
          <w:sz w:val="18"/>
        </w:rPr>
        <w:t>Surgem constitucionais as previsões, contidas nos arts. 7º, parágrafo único, e 23 da LC 64/1990, sobre a atuação do juiz no que é autorizado a formar convicção atendendo a fatos e circunstâncias constantes do processo, ainda que não arguidos pelas partes, e a considerar fatos públicos e notórios, indícios e presunções, mesmo que não indicados ou alegados pelos envolvidos no conflito de interesses.</w:t>
      </w:r>
    </w:p>
    <w:p>
      <w:pPr>
        <w:ind w:left="288"/>
      </w:pPr>
      <w:r>
        <w:rPr>
          <w:b/>
          <w:color w:val="003CA0"/>
          <w:sz w:val="16"/>
        </w:rPr>
        <w:t>[ADI 1.082, rel. min. Marco Aurélio, j. 22-5-2014, P, DJE de 30-10-2014.]</w:t>
      </w:r>
    </w:p>
    <w:p>
      <w:pPr>
        <w:ind w:left="288"/>
      </w:pPr>
      <w:r>
        <w:rPr>
          <w:color w:val="8C8C8C"/>
          <w:sz w:val="12"/>
        </w:rPr>
        <w:t>cf-art-5-inc-L</w:t>
      </w:r>
      <w:r>
        <w:rPr>
          <w:color w:val="003CA0"/>
          <w:sz w:val="12"/>
        </w:rPr>
        <w:t xml:space="preserve"> | ADPF 156</w:t>
      </w:r>
      <w:r>
        <w:rPr>
          <w:color w:val="003CA0"/>
          <w:sz w:val="12"/>
        </w:rPr>
        <w:t xml:space="preserve"> | rel. Cármen Lúcia</w:t>
      </w:r>
    </w:p>
    <w:p>
      <w:pPr>
        <w:ind w:left="288"/>
      </w:pPr>
      <w:r>
        <w:rPr>
          <w:color w:val="1E1E1E"/>
          <w:sz w:val="18"/>
        </w:rPr>
        <w:t>Arguição de descumprimento de preceito fundamental. Parágrafo 1º do art. 636 da CLT: não recepção pela Constituição de 1988. Incompatibilidade da exigência de depósito prévio do valor correspondente à multa como condição de admissibilidade de recurso administrativo interposto junto à autoridade trabalhista (§ 1º do art. 636 da CLT) com a Constituição de 1988. Inobservância das garantias constitucionais do devido processo legal e da ampla defesa (art. 5º, LIV e LV); do princípio da isonomia (art. 5º, caput); do direito de petição (art. 5º, XXXIV, a).</w:t>
      </w:r>
    </w:p>
    <w:p>
      <w:pPr>
        <w:ind w:left="288"/>
      </w:pPr>
      <w:r>
        <w:rPr>
          <w:b/>
          <w:color w:val="003CA0"/>
          <w:sz w:val="16"/>
        </w:rPr>
        <w:t>[ADPF 156, rel. min. Cármen Lúcia, j. 18-8-2011, P, DJE de 28-10-2011.]</w:t>
      </w:r>
    </w:p>
    <w:p>
      <w:pPr>
        <w:ind w:left="288"/>
      </w:pPr>
      <w:r>
        <w:rPr>
          <w:color w:val="8C8C8C"/>
          <w:sz w:val="12"/>
        </w:rPr>
        <w:t>cf-art-5-inc-L</w:t>
      </w:r>
      <w:r>
        <w:rPr>
          <w:color w:val="003CA0"/>
          <w:sz w:val="12"/>
        </w:rPr>
        <w:t xml:space="preserve"> | AI 698.626</w:t>
      </w:r>
      <w:r>
        <w:rPr>
          <w:color w:val="003CA0"/>
          <w:sz w:val="12"/>
        </w:rPr>
        <w:t xml:space="preserve"> | rel. Ellen Gracie</w:t>
      </w:r>
    </w:p>
    <w:p>
      <w:pPr>
        <w:ind w:left="288"/>
      </w:pPr>
      <w:r>
        <w:rPr>
          <w:color w:val="1E1E1E"/>
          <w:sz w:val="18"/>
        </w:rPr>
        <w:t>Vide AI 698.626 QO-RG, rel. min. Ellen Gracie, j. 2-10-2008, P, DJE de 5-12-2008 A suspensão preventiva dos membros da Polícia Civil do Estado de Minas Gerais está a se revelar como consequência automática do recebimento da denúncia pelo Poder Judiciário. Automaticidade que viola as garantias constitucionais do devido processo legal, do contraditório e da ampla defesa (incisos LIV e LV do art. 5º). Existência de outra lei estadual que adota idêntica medida cautelar administrativa, admitindo a suspensão, pelo prazo máximo de noventa dias, no curso de um processo administrativo específico, garan</w:t>
      </w:r>
    </w:p>
    <w:p>
      <w:pPr>
        <w:ind w:left="288"/>
      </w:pPr>
      <w:r>
        <w:rPr>
          <w:b/>
          <w:color w:val="003CA0"/>
          <w:sz w:val="16"/>
        </w:rPr>
        <w:t>[ADI 3.288, rel. min. Ayres Britto, j. 13-10-2010, P, DJE de 24-2-2011.]</w:t>
      </w:r>
    </w:p>
    <w:p>
      <w:pPr>
        <w:ind w:left="288"/>
      </w:pPr>
      <w:r>
        <w:rPr>
          <w:color w:val="8C8C8C"/>
          <w:sz w:val="12"/>
        </w:rPr>
        <w:t>cf-art-5-inc-L</w:t>
      </w:r>
      <w:r>
        <w:rPr>
          <w:color w:val="003CA0"/>
          <w:sz w:val="12"/>
        </w:rPr>
        <w:t xml:space="preserve"> | ADI 173</w:t>
      </w:r>
      <w:r>
        <w:rPr>
          <w:color w:val="003CA0"/>
          <w:sz w:val="12"/>
        </w:rPr>
        <w:t xml:space="preserve"> | rel. Joaquim Barbosa</w:t>
      </w:r>
    </w:p>
    <w:p>
      <w:pPr>
        <w:ind w:left="288"/>
      </w:pPr>
      <w:r>
        <w:rPr>
          <w:color w:val="1E1E1E"/>
          <w:sz w:val="18"/>
        </w:rPr>
        <w:t>Ações diretas de inconstitucionalidade ajuizadas contra os arts. 1º, I, II, III e IV, § 1º a § 3º, e 2º da Lei 7.711/1988 (...). (...) Esta Corte tem historicamente confirmado e garantido a proibição constitucional às sanções políticas, invocando, para tanto, o direito ao exercício de atividades econômicas e profissionais lícitas (...), a violação do devido processo legal substantivo (falta de proporcionalidade e razoabilidade de medidas gravosas que se predispõem a substituir os mecanismos de cobrança de créditos tributários) e a violação do devido processo legal manifestado no direito de ace</w:t>
      </w:r>
    </w:p>
    <w:p>
      <w:pPr>
        <w:ind w:left="288"/>
      </w:pPr>
      <w:r>
        <w:rPr>
          <w:b/>
          <w:color w:val="003CA0"/>
          <w:sz w:val="16"/>
        </w:rPr>
        <w:t>[ADI 173 e ADI 394, rel. min. Joaquim Barbosa, j. 25-9-2008, P, DJE de 20-3-2009.]</w:t>
      </w:r>
    </w:p>
    <w:p>
      <w:pPr>
        <w:ind w:left="288"/>
      </w:pPr>
      <w:r>
        <w:rPr>
          <w:color w:val="8C8C8C"/>
          <w:sz w:val="12"/>
        </w:rPr>
        <w:t>cf-art-5-inc-L</w:t>
      </w:r>
      <w:r>
        <w:rPr>
          <w:color w:val="003CA0"/>
          <w:sz w:val="12"/>
        </w:rPr>
        <w:t xml:space="preserve"> | RE 565.048</w:t>
      </w:r>
      <w:r>
        <w:rPr>
          <w:color w:val="003CA0"/>
          <w:sz w:val="12"/>
        </w:rPr>
        <w:t xml:space="preserve"> | rel. Marco Aurélio</w:t>
      </w:r>
    </w:p>
    <w:p>
      <w:pPr>
        <w:ind w:left="288"/>
      </w:pPr>
      <w:r>
        <w:rPr>
          <w:color w:val="1E1E1E"/>
          <w:sz w:val="18"/>
        </w:rPr>
        <w:t>= RE 565.048, rel. min. Marco Aurélio, j. 29-5-2014, P, DJE de 9-10-2014, Tema 31 A sustentação oral pelo advogado, após o voto do relator, afronta o devido processo legal, além de poder causar tumulto processual, uma vez que o contraditório se estabelece entre as partes.</w:t>
      </w:r>
    </w:p>
    <w:p>
      <w:pPr>
        <w:ind w:left="288"/>
      </w:pPr>
      <w:r>
        <w:rPr>
          <w:b/>
          <w:color w:val="003CA0"/>
          <w:sz w:val="16"/>
        </w:rPr>
        <w:t>[ADI 1.127, rel. min. Marco Aurélio, red. do ac. min. Ricardo Lewandowski, j. 17-5-2006, P, DJE de 11-6-2010.]</w:t>
      </w:r>
    </w:p>
    <w:p>
      <w:pPr>
        <w:ind w:left="288"/>
      </w:pPr>
      <w:r>
        <w:rPr>
          <w:color w:val="8C8C8C"/>
          <w:sz w:val="12"/>
        </w:rPr>
        <w:t>cf-art-5-inc-L</w:t>
      </w:r>
      <w:r>
        <w:rPr>
          <w:color w:val="003CA0"/>
          <w:sz w:val="12"/>
        </w:rPr>
        <w:t xml:space="preserve"> | HC 87.926</w:t>
      </w:r>
      <w:r>
        <w:rPr>
          <w:color w:val="003CA0"/>
          <w:sz w:val="12"/>
        </w:rPr>
        <w:t xml:space="preserve"> | rel. Cezar Peluso</w:t>
      </w:r>
    </w:p>
    <w:p>
      <w:pPr>
        <w:ind w:left="288"/>
      </w:pPr>
      <w:r>
        <w:rPr>
          <w:color w:val="1E1E1E"/>
          <w:sz w:val="18"/>
        </w:rPr>
        <w:t>Vide HC 87.926, rel. min. Cezar Peluso, j. 20-2-2008, P, DJE de 25-4-2008 Lei 1.952, de 19-3-1999, do Estado de Mato Grosso do Sul, que transfere os depósitos judiciais, referentes a tributos estaduais, à conta do erário da unidade federada. (...) Devolução do depósito após o trânsito em julgado já prevista no art. 32 da Lei de Execuções Fiscais – Lei 6.830, de 22-12-1980. Inexistência de ofensa ao princípio do devido processo legal.</w:t>
      </w:r>
    </w:p>
    <w:p>
      <w:pPr>
        <w:ind w:left="288"/>
      </w:pPr>
      <w:r>
        <w:rPr>
          <w:b/>
          <w:color w:val="003CA0"/>
          <w:sz w:val="16"/>
        </w:rPr>
        <w:t>[ADI 2.214 MC, rel. min. Maurício Corrêa, j. 6-2-2002, P, DJ de 19-4-2002.]</w:t>
      </w:r>
    </w:p>
    <w:p>
      <w:pPr>
        <w:ind w:left="288"/>
      </w:pPr>
      <w:r>
        <w:rPr>
          <w:color w:val="8C8C8C"/>
          <w:sz w:val="12"/>
        </w:rPr>
        <w:t>cf-art-5-inc-L</w:t>
      </w:r>
      <w:r>
        <w:rPr>
          <w:color w:val="003CA0"/>
          <w:sz w:val="12"/>
        </w:rPr>
        <w:t xml:space="preserve"> | ADI 1.933</w:t>
      </w:r>
      <w:r>
        <w:rPr>
          <w:color w:val="003CA0"/>
          <w:sz w:val="12"/>
        </w:rPr>
        <w:t xml:space="preserve"> | rel. Eros Grau</w:t>
      </w:r>
    </w:p>
    <w:p>
      <w:pPr>
        <w:ind w:left="288"/>
      </w:pPr>
      <w:r>
        <w:rPr>
          <w:color w:val="1E1E1E"/>
          <w:sz w:val="18"/>
        </w:rPr>
        <w:t>= ADI 1.933, rel. min. Eros Grau, j. 14-4-2010, P, DJE de 3-9-2010 Abrindo o debate, deixo expresso que a Constituição de 1988 consagra o devido processo legal nos seus dois aspectos, substantivo e processual, nos incisos LIV e LV do art. 5º, respectivamente. (...) Due process of law, com conteúdo substantivo – substantive due process – constitui limite ao Legislativo, no sentido de que as leis devem ser elaboradas com justiça, devem ser dotadas de razoabilidade (reasonableness) e de racionalidade (rationality), devem guardar, segundo W. Holmes, um real e substancial nexo com o objetivo que se</w:t>
      </w:r>
    </w:p>
    <w:p>
      <w:pPr>
        <w:ind w:left="288"/>
      </w:pPr>
      <w:r>
        <w:rPr>
          <w:b/>
          <w:color w:val="003CA0"/>
          <w:sz w:val="16"/>
        </w:rPr>
        <w:t>[ADI 1.511 MC, voto do min. Carlos Velloso, j. 16-10-1996, P, DJ de 6-6-2003.]</w:t>
      </w:r>
    </w:p>
    <w:p>
      <w:pPr>
        <w:ind w:left="288"/>
      </w:pPr>
      <w:r>
        <w:rPr>
          <w:color w:val="8C8C8C"/>
          <w:sz w:val="12"/>
        </w:rPr>
        <w:t>cf-art-5-inc-L</w:t>
      </w:r>
      <w:r>
        <w:rPr>
          <w:color w:val="003CA0"/>
          <w:sz w:val="12"/>
        </w:rPr>
        <w:t xml:space="preserve"> | ARE 1.467.470</w:t>
      </w:r>
      <w:r>
        <w:rPr>
          <w:color w:val="003CA0"/>
          <w:sz w:val="12"/>
        </w:rPr>
        <w:t xml:space="preserve"> | rel. Luís Roberto Barroso</w:t>
      </w:r>
    </w:p>
    <w:p>
      <w:pPr>
        <w:ind w:left="288"/>
      </w:pPr>
      <w:r>
        <w:rPr>
          <w:color w:val="1E1E1E"/>
          <w:sz w:val="18"/>
        </w:rPr>
        <w:t>Validade do reconhecimento pessoal realizado em desconformidade com o art. 226 do Código de Processo Penal.</w:t>
      </w:r>
    </w:p>
    <w:p>
      <w:pPr>
        <w:ind w:left="288"/>
      </w:pPr>
      <w:r>
        <w:rPr>
          <w:b/>
          <w:color w:val="003CA0"/>
          <w:sz w:val="16"/>
        </w:rPr>
        <w:t>[ARE 1.467.470 RG, rel. min. Luís Roberto Barroso, j. 28.2.2025, P, DJE de 7.3.2025, Tema 1.380, com mérito pendente.]</w:t>
      </w:r>
    </w:p>
    <w:p>
      <w:pPr>
        <w:ind w:left="288"/>
      </w:pPr>
      <w:r>
        <w:rPr>
          <w:color w:val="8C8C8C"/>
          <w:sz w:val="12"/>
        </w:rPr>
        <w:t>cf-art-5-inc-L</w:t>
      </w:r>
      <w:r>
        <w:rPr>
          <w:color w:val="003CA0"/>
          <w:sz w:val="12"/>
        </w:rPr>
        <w:t xml:space="preserve"> | RE 860.631</w:t>
      </w:r>
      <w:r>
        <w:rPr>
          <w:color w:val="003CA0"/>
          <w:sz w:val="12"/>
        </w:rPr>
        <w:t xml:space="preserve"> | rel. Luiz Fux</w:t>
      </w:r>
    </w:p>
    <w:p>
      <w:pPr>
        <w:ind w:left="288"/>
      </w:pPr>
      <w:r>
        <w:rPr>
          <w:color w:val="1E1E1E"/>
          <w:sz w:val="18"/>
        </w:rPr>
        <w:t>A execução extrajudicial nos contratos de mútuo com alienação fiduciária de imóvel, prevista na Lei 9.514/1997, é compatível com as garantias constitucionais, destacando-se inexistir afronta ao princípio da inafastabilidade da jurisdição e do acesso à justiça (art. 5º, inciso XXXV, da CF/88) e do juiz natural (art. 5º, LIII, CF/88), posto que se assegura às partes, a qualquer momento, a possibilidade de controle de legalidade do procedimento executório na via judicial. Inexiste, igualmente, violação aos princípios do devido processo legal, do contraditório e da ampla defesa (art. 5º, LIV e LV,</w:t>
      </w:r>
    </w:p>
    <w:p>
      <w:pPr>
        <w:ind w:left="288"/>
      </w:pPr>
      <w:r>
        <w:rPr>
          <w:b/>
          <w:color w:val="003CA0"/>
          <w:sz w:val="16"/>
        </w:rPr>
        <w:t>[RE 860.631, rel. min. Luiz Fux, j. 26-10-2023, P, DJE de 14-2-2024, Tema 982, com mérito julgado.]</w:t>
      </w:r>
    </w:p>
    <w:p>
      <w:pPr>
        <w:ind w:left="288"/>
      </w:pPr>
      <w:r>
        <w:rPr>
          <w:color w:val="8C8C8C"/>
          <w:sz w:val="12"/>
        </w:rPr>
        <w:t>cf-art-5-inc-L</w:t>
      </w:r>
      <w:r>
        <w:rPr>
          <w:color w:val="003CA0"/>
          <w:sz w:val="12"/>
        </w:rPr>
        <w:t xml:space="preserve"> | ARE 1.423.084</w:t>
      </w:r>
      <w:r>
        <w:rPr>
          <w:color w:val="003CA0"/>
          <w:sz w:val="12"/>
        </w:rPr>
        <w:t xml:space="preserve"> | rel. Rosa Weber</w:t>
      </w:r>
    </w:p>
    <w:p>
      <w:pPr>
        <w:ind w:left="288"/>
      </w:pPr>
      <w:r>
        <w:rPr>
          <w:color w:val="1E1E1E"/>
          <w:sz w:val="18"/>
        </w:rPr>
        <w:t>“Assentada a constitucionalidade das Resoluções ANTT 233/2003 e 3.075/2009, é infraconstitucional, a ela aplicando-se os efeitos da ausência de repercussão geral, a controvérsia acerca da validade de execução fiscal de créditos relativos a multa por infração administrativa nelas previstas.”</w:t>
      </w:r>
    </w:p>
    <w:p>
      <w:pPr>
        <w:ind w:left="288"/>
      </w:pPr>
      <w:r>
        <w:rPr>
          <w:b/>
          <w:color w:val="003CA0"/>
          <w:sz w:val="16"/>
        </w:rPr>
        <w:t>[ARE 1.423.084 RG, rel. min. Rosa Weber, j. 21.08.2023, P, DJE de 28.08.2023, Tema 1.263, com repercussão geral negada.]</w:t>
      </w:r>
    </w:p>
    <w:p>
      <w:pPr>
        <w:ind w:left="288"/>
      </w:pPr>
      <w:r>
        <w:rPr>
          <w:color w:val="8C8C8C"/>
          <w:sz w:val="12"/>
        </w:rPr>
        <w:t>cf-art-5-inc-L</w:t>
      </w:r>
      <w:r>
        <w:rPr>
          <w:color w:val="003CA0"/>
          <w:sz w:val="12"/>
        </w:rPr>
        <w:t xml:space="preserve"> | RE 627.106</w:t>
      </w:r>
      <w:r>
        <w:rPr>
          <w:color w:val="003CA0"/>
          <w:sz w:val="12"/>
        </w:rPr>
        <w:t xml:space="preserve"> | rel. Dias Toffoli</w:t>
      </w:r>
    </w:p>
    <w:p>
      <w:pPr>
        <w:ind w:left="288"/>
      </w:pPr>
      <w:r>
        <w:rPr>
          <w:color w:val="1E1E1E"/>
          <w:sz w:val="18"/>
        </w:rPr>
        <w:t>É constitucional, pois foi devidamente recepcionado pela Constituição Federal de 1988, o procedimento de execução extrajudicial previsto no Decreto-lei nº 70/66.</w:t>
      </w:r>
    </w:p>
    <w:p>
      <w:pPr>
        <w:ind w:left="288"/>
      </w:pPr>
      <w:r>
        <w:rPr>
          <w:b/>
          <w:color w:val="003CA0"/>
          <w:sz w:val="16"/>
        </w:rPr>
        <w:t>[RE 627.106, rel. min. Dias Toffoli, j. 8-4-2021, P, DJE de 14-6-2021, Tema 249, com mérito julgado.]</w:t>
      </w:r>
    </w:p>
    <w:p>
      <w:pPr>
        <w:ind w:left="288"/>
      </w:pPr>
      <w:r>
        <w:rPr>
          <w:color w:val="8C8C8C"/>
          <w:sz w:val="12"/>
        </w:rPr>
        <w:t>cf-art-5-inc-L</w:t>
      </w:r>
      <w:r>
        <w:rPr>
          <w:color w:val="003CA0"/>
          <w:sz w:val="12"/>
        </w:rPr>
        <w:t xml:space="preserve"> | RE 808.424</w:t>
      </w:r>
      <w:r>
        <w:rPr>
          <w:color w:val="003CA0"/>
          <w:sz w:val="12"/>
        </w:rPr>
        <w:t xml:space="preserve"> | rel. Marco Aurélio</w:t>
      </w:r>
    </w:p>
    <w:p>
      <w:pPr>
        <w:ind w:left="288"/>
      </w:pPr>
      <w:r>
        <w:rPr>
          <w:color w:val="1E1E1E"/>
          <w:sz w:val="18"/>
        </w:rPr>
        <w:t>É inconstitucional, sob o ângulo da liberdade fundamental do exercício da profissão e do devido processo legal, preceito normativo a versar previsão de cancelamento automático do registro em conselho profissional, ante a inadimplência da anuidade, ausente prévia oitiva do associado.</w:t>
      </w:r>
    </w:p>
    <w:p>
      <w:pPr>
        <w:ind w:left="288"/>
      </w:pPr>
      <w:r>
        <w:rPr>
          <w:b/>
          <w:color w:val="003CA0"/>
          <w:sz w:val="16"/>
        </w:rPr>
        <w:t>[RE 808.424, rel. min. Marco Aurélio, j. 19-12-2019, P, DJE de 30-4-2020, Tema 757, com mérito julgado.]</w:t>
      </w:r>
    </w:p>
    <w:p>
      <w:pPr>
        <w:ind w:left="288"/>
      </w:pPr>
      <w:r>
        <w:rPr>
          <w:color w:val="8C8C8C"/>
          <w:sz w:val="12"/>
        </w:rPr>
        <w:t>cf-art-5-inc-L</w:t>
      </w:r>
      <w:r>
        <w:rPr>
          <w:color w:val="003CA0"/>
          <w:sz w:val="12"/>
        </w:rPr>
        <w:t xml:space="preserve"> | RE 590.871</w:t>
      </w:r>
      <w:r>
        <w:rPr>
          <w:color w:val="003CA0"/>
          <w:sz w:val="12"/>
        </w:rPr>
        <w:t xml:space="preserve"> | rel. Edson Fachin</w:t>
      </w:r>
    </w:p>
    <w:p>
      <w:pPr>
        <w:ind w:left="288"/>
      </w:pPr>
      <w:r>
        <w:rPr>
          <w:color w:val="1E1E1E"/>
          <w:sz w:val="18"/>
        </w:rPr>
        <w:t>É compatível com a Constituição da República de 1988 a ampliação para 30 (trinta) dias do prazo de oposição de embargos à execução pela Fazenda Pública.</w:t>
      </w:r>
    </w:p>
    <w:p>
      <w:pPr>
        <w:ind w:left="288"/>
      </w:pPr>
      <w:r>
        <w:rPr>
          <w:b/>
          <w:color w:val="003CA0"/>
          <w:sz w:val="16"/>
        </w:rPr>
        <w:t>[RE 590.871, rel. min. Edson Fachin, j. 11-11-2019, P, DJE de 28-11-2019, Tema 137, com mérito julgado.]</w:t>
      </w:r>
    </w:p>
    <w:p>
      <w:pPr>
        <w:ind w:left="288"/>
      </w:pPr>
      <w:r>
        <w:rPr>
          <w:color w:val="8C8C8C"/>
          <w:sz w:val="12"/>
        </w:rPr>
        <w:t>cf-art-5-inc-L</w:t>
      </w:r>
      <w:r>
        <w:rPr>
          <w:color w:val="003CA0"/>
          <w:sz w:val="12"/>
        </w:rPr>
        <w:t xml:space="preserve"> | RE 795.567</w:t>
      </w:r>
      <w:r>
        <w:rPr>
          <w:color w:val="003CA0"/>
          <w:sz w:val="12"/>
        </w:rPr>
        <w:t xml:space="preserve"> | rel. Teori Zavascki</w:t>
      </w:r>
    </w:p>
    <w:p>
      <w:pPr>
        <w:ind w:left="288"/>
      </w:pPr>
      <w:r>
        <w:rPr>
          <w:color w:val="1E1E1E"/>
          <w:sz w:val="18"/>
        </w:rPr>
        <w:t>(...) os efeitos jurídicos previstos no art. 91 do CP são decorrentes de sentença penal condenatória. Tal não se verifica, portanto, quando há transação penal (art. 76 da Lei 9.099/1995), cuja sentença tem natureza homologatória, sem qualquer juízo sobre a responsabilidade criminal do aceitante. As consequências da homologação da transação são aquelas estipuladas de modo consensual no termo de acordo.</w:t>
      </w:r>
    </w:p>
    <w:p>
      <w:pPr>
        <w:ind w:left="288"/>
      </w:pPr>
      <w:r>
        <w:rPr>
          <w:b/>
          <w:color w:val="003CA0"/>
          <w:sz w:val="16"/>
        </w:rPr>
        <w:t>[RE 795.567, rel. min. Teori Zavascki, j. 28-5-2015, P, DJE de 9-9-2015, Tema 187, com mérito julgado.]</w:t>
      </w:r>
    </w:p>
    <w:p>
      <w:pPr>
        <w:ind w:left="288"/>
      </w:pPr>
      <w:r>
        <w:rPr>
          <w:color w:val="8C8C8C"/>
          <w:sz w:val="12"/>
        </w:rPr>
        <w:t>cf-art-5-inc-L</w:t>
      </w:r>
      <w:r>
        <w:rPr>
          <w:color w:val="003CA0"/>
          <w:sz w:val="12"/>
        </w:rPr>
        <w:t xml:space="preserve"> | ARE 691.306</w:t>
      </w:r>
    </w:p>
    <w:p>
      <w:pPr>
        <w:ind w:left="288"/>
      </w:pPr>
      <w:r>
        <w:rPr>
          <w:color w:val="1E1E1E"/>
          <w:sz w:val="18"/>
        </w:rPr>
        <w:t>A Corte possui jurisprudência firmada no sentido de que a competência conferida à Justiça Militar pelo art. 125, § 4º, da Constituição é relativa à perda de graduação como pena acessória criminal, e não à sanção disciplinar, que pode decorrer de adequado processo administrativo (Súmula 673). Firmou-se, ainda, entendimento de que não há óbice à aplicação de sanção disciplinar administrativa antes do trânsito em julgado da ação penal, pois são relativamente independentes as instâncias jurisdicional e administrativa.</w:t>
      </w:r>
    </w:p>
    <w:p>
      <w:pPr>
        <w:ind w:left="288"/>
      </w:pPr>
      <w:r>
        <w:rPr>
          <w:b/>
          <w:color w:val="003CA0"/>
          <w:sz w:val="16"/>
        </w:rPr>
        <w:t>[ARE 691.306 RG, voto do min. Cezar Peluso, j. 23-8-2012, P, DJE de 11-9-2012, Tema 565, com mérito julgado.]</w:t>
      </w:r>
    </w:p>
    <w:p>
      <w:pPr>
        <w:ind w:left="288"/>
      </w:pPr>
      <w:r>
        <w:rPr>
          <w:color w:val="8C8C8C"/>
          <w:sz w:val="12"/>
        </w:rPr>
        <w:t>cf-art-5-inc-L</w:t>
      </w:r>
      <w:r>
        <w:rPr>
          <w:color w:val="003CA0"/>
          <w:sz w:val="12"/>
        </w:rPr>
        <w:t xml:space="preserve"> | MS 21.545</w:t>
      </w:r>
      <w:r>
        <w:rPr>
          <w:color w:val="003CA0"/>
          <w:sz w:val="12"/>
        </w:rPr>
        <w:t xml:space="preserve"> | rel. Moreira Alves</w:t>
      </w:r>
    </w:p>
    <w:p>
      <w:pPr>
        <w:ind w:left="288"/>
      </w:pPr>
      <w:r>
        <w:rPr>
          <w:color w:val="1E1E1E"/>
          <w:sz w:val="18"/>
        </w:rPr>
        <w:t>Vide MS 21.545, rel. min. Moreira Alves, j. 11-3-1993, P, DJ de 2-4-1993 Cabimento do agravo interno no âmbito dos juizados especiais. Constitucionalidade do julgamento monocrático do recurso desde que haja possibilidade de revisão pelo órgão colegiado.</w:t>
      </w:r>
    </w:p>
    <w:p>
      <w:pPr>
        <w:ind w:left="288"/>
      </w:pPr>
      <w:r>
        <w:rPr>
          <w:b/>
          <w:color w:val="003CA0"/>
          <w:sz w:val="16"/>
        </w:rPr>
        <w:t>[RE 612.359 RG, rel. min. Ellen Gracie, j. 13-8-2010, P, DJE de 27-8-2010, Tema 294, com mérito julgado.]</w:t>
      </w:r>
    </w:p>
    <w:p>
      <w:pPr>
        <w:ind w:left="288"/>
      </w:pPr>
      <w:r>
        <w:rPr>
          <w:color w:val="8C8C8C"/>
          <w:sz w:val="12"/>
        </w:rPr>
        <w:t>cf-art-5-inc-L</w:t>
      </w:r>
      <w:r>
        <w:rPr>
          <w:color w:val="003CA0"/>
          <w:sz w:val="12"/>
        </w:rPr>
        <w:t xml:space="preserve"> | RE 602.527</w:t>
      </w:r>
      <w:r>
        <w:rPr>
          <w:color w:val="003CA0"/>
          <w:sz w:val="12"/>
        </w:rPr>
        <w:t xml:space="preserve"> | rel. Cezar Peluso</w:t>
      </w:r>
    </w:p>
    <w:p>
      <w:pPr>
        <w:ind w:left="288"/>
      </w:pPr>
      <w:r>
        <w:rPr>
          <w:color w:val="1E1E1E"/>
          <w:sz w:val="18"/>
        </w:rPr>
        <w:t>Prescrição da pretensão punitiva “em perspectiva, projetada ou antecipada”. Ausência de previsão legal. (...) É inadmissível a extinção da punibilidade em virtude de prescrição da pretensão punitiva com base em previsão da pena que hipoteticamente seria aplicada, independentemente da existência ou sorte do processo criminal.</w:t>
      </w:r>
    </w:p>
    <w:p>
      <w:pPr>
        <w:ind w:left="288"/>
      </w:pPr>
      <w:r>
        <w:rPr>
          <w:b/>
          <w:color w:val="003CA0"/>
          <w:sz w:val="16"/>
        </w:rPr>
        <w:t>[RE 602.527 RG-QO, rel. min. Cezar Peluso, j. 19-11-2009, P, DJE de 18-12-2009, Tema 239, com mérito julgado.]</w:t>
      </w:r>
    </w:p>
    <w:p>
      <w:pPr>
        <w:ind w:left="288"/>
      </w:pPr>
      <w:r>
        <w:rPr>
          <w:color w:val="8C8C8C"/>
          <w:sz w:val="12"/>
        </w:rPr>
        <w:t>cf-art-5-inc-L</w:t>
      </w:r>
      <w:r>
        <w:rPr>
          <w:color w:val="003CA0"/>
          <w:sz w:val="12"/>
        </w:rPr>
        <w:t xml:space="preserve"> | RE 602.072</w:t>
      </w:r>
      <w:r>
        <w:rPr>
          <w:color w:val="003CA0"/>
          <w:sz w:val="12"/>
        </w:rPr>
        <w:t xml:space="preserve"> | rel. Cezar Peluso</w:t>
      </w:r>
    </w:p>
    <w:p>
      <w:pPr>
        <w:ind w:left="288"/>
      </w:pPr>
      <w:r>
        <w:rPr>
          <w:color w:val="1E1E1E"/>
          <w:sz w:val="18"/>
        </w:rPr>
        <w:t>Não fere os preceitos constitucionais a propositura de ação penal em decorrência do não cumprimento das condições estabelecidas em transação penal.</w:t>
      </w:r>
    </w:p>
    <w:p>
      <w:pPr>
        <w:ind w:left="288"/>
      </w:pPr>
      <w:r>
        <w:rPr>
          <w:b/>
          <w:color w:val="003CA0"/>
          <w:sz w:val="16"/>
        </w:rPr>
        <w:t>[RE 602.072 RG-QO, rel. min. Cezar Peluso, j. 19-11-2009, P, DJE de 26-2-2010, Tema 238, com mérito julgado.]</w:t>
      </w:r>
    </w:p>
    <w:p>
      <w:pPr>
        <w:ind w:left="288"/>
      </w:pPr>
      <w:r>
        <w:rPr>
          <w:color w:val="8C8C8C"/>
          <w:sz w:val="12"/>
        </w:rPr>
        <w:t>cf-art-5-inc-L</w:t>
      </w:r>
      <w:r>
        <w:rPr>
          <w:color w:val="003CA0"/>
          <w:sz w:val="12"/>
        </w:rPr>
        <w:t xml:space="preserve"> | RE 565.048</w:t>
      </w:r>
      <w:r>
        <w:rPr>
          <w:color w:val="003CA0"/>
          <w:sz w:val="12"/>
        </w:rPr>
        <w:t xml:space="preserve"> | rel. Marco Aurélio</w:t>
      </w:r>
    </w:p>
    <w:p>
      <w:pPr>
        <w:ind w:left="288"/>
      </w:pPr>
      <w:r>
        <w:rPr>
          <w:color w:val="1E1E1E"/>
          <w:sz w:val="18"/>
        </w:rPr>
        <w:t>Discrepa, a mais não poder, da Carta Federal a sanção política objetivando a cobrança de tributos – Verbetes 70, 323 e 547 da Súmula do Supremo. (...) Consubstancia sanção política visando ao recolhimento de tributo condicionar a expedição de notas fiscais a fiança, garantia real ou fidejussória por parte do contribuinte.</w:t>
      </w:r>
    </w:p>
    <w:p>
      <w:pPr>
        <w:ind w:left="288"/>
      </w:pPr>
      <w:r>
        <w:rPr>
          <w:b/>
          <w:color w:val="003CA0"/>
          <w:sz w:val="16"/>
        </w:rPr>
        <w:t>[RE 565.048, rel. min. Marco Aurélio, j. 29-5-2014, P, DJE de 9-10-2014, Tema 31, com mérito julgado.]</w:t>
      </w:r>
    </w:p>
    <w:p>
      <w:pPr>
        <w:ind w:left="288"/>
      </w:pPr>
      <w:r>
        <w:rPr>
          <w:color w:val="8C8C8C"/>
          <w:sz w:val="12"/>
        </w:rPr>
        <w:t>cf-art-5-inc-L</w:t>
      </w:r>
      <w:r>
        <w:rPr>
          <w:color w:val="003CA0"/>
          <w:sz w:val="12"/>
        </w:rPr>
        <w:t xml:space="preserve"> | ADI 173</w:t>
      </w:r>
      <w:r>
        <w:rPr>
          <w:color w:val="003CA0"/>
          <w:sz w:val="12"/>
        </w:rPr>
        <w:t xml:space="preserve"> | rel. Joaquim Barbosa</w:t>
      </w:r>
    </w:p>
    <w:p>
      <w:pPr>
        <w:ind w:left="288"/>
      </w:pPr>
      <w:r>
        <w:rPr>
          <w:color w:val="1E1E1E"/>
          <w:sz w:val="18"/>
        </w:rPr>
        <w:t>= ADI 173 e ADI 394, rel. min. Joaquim Barbosa, j. 25-9-2008, P, DJE de 20-3-2009 O Corregedor Nacional de Justiça não pode inadmitir, por decisão monocrática, recurso administrativo interposto em face de decisão singular que determina o arquivamento sumário do feito, sob pena de ofensa ao due process of law (art. 5º, LIV, da CRFB/88).</w:t>
      </w:r>
    </w:p>
    <w:p>
      <w:pPr>
        <w:ind w:left="288"/>
      </w:pPr>
      <w:r>
        <w:rPr>
          <w:b/>
          <w:color w:val="003CA0"/>
          <w:sz w:val="16"/>
        </w:rPr>
        <w:t>[MS 34.702-AgR, rel. min. Luiz Fux, j. 15-6-2018, 1ª T, DJE de 27-8-2018.]</w:t>
      </w:r>
    </w:p>
    <w:p>
      <w:pPr>
        <w:ind w:left="288"/>
      </w:pPr>
      <w:r>
        <w:rPr>
          <w:color w:val="8C8C8C"/>
          <w:sz w:val="12"/>
        </w:rPr>
        <w:t>cf-art-5-inc-L</w:t>
      </w:r>
      <w:r>
        <w:rPr>
          <w:color w:val="003CA0"/>
          <w:sz w:val="12"/>
        </w:rPr>
        <w:t xml:space="preserve"> | HC 155.363</w:t>
      </w:r>
      <w:r>
        <w:rPr>
          <w:color w:val="003CA0"/>
          <w:sz w:val="12"/>
        </w:rPr>
        <w:t xml:space="preserve"> | rel. Dias Toffoli</w:t>
      </w:r>
    </w:p>
    <w:p>
      <w:pPr>
        <w:ind w:left="288"/>
      </w:pPr>
      <w:r>
        <w:rPr>
          <w:color w:val="1E1E1E"/>
          <w:sz w:val="18"/>
        </w:rPr>
        <w:t>O princípio do livre convencimento motivado (CPP, art. 400, § 1º) faculta ao juiz o indeferimento das provas consideradas irrelevantes, impertinentes ou protelatórias (v.g. RHC nº 126.853/SP-AgR, Primeira Turma, Relator o Ministro Luiz Fux, DJe de 15/9/15). Não obstante, o indeferimento das testemunhas de defesa, à luz desse princípio, se afigura inadmissível em um estado democrático de direito, em que a plenitude de defesa é garantia constitucional de todos os acusados (CF, art. 5º, inciso LV). A decisão em comento extrapola os limites do razoável, mormente se levado em consideração que a med</w:t>
      </w:r>
    </w:p>
    <w:p>
      <w:pPr>
        <w:ind w:left="288"/>
      </w:pPr>
      <w:r>
        <w:rPr>
          <w:b/>
          <w:color w:val="003CA0"/>
          <w:sz w:val="16"/>
        </w:rPr>
        <w:t>[MS 28.775, red. do ac. min. Ricardo Lewandowski, j. 17-10-2017, 2ª T, DJE de 9-3-2018.]</w:t>
      </w:r>
    </w:p>
    <w:p>
      <w:pPr>
        <w:ind w:left="288"/>
      </w:pPr>
      <w:r>
        <w:rPr>
          <w:color w:val="8C8C8C"/>
          <w:sz w:val="12"/>
        </w:rPr>
        <w:t>cf-art-5-inc-L</w:t>
      </w:r>
      <w:r>
        <w:rPr>
          <w:color w:val="003CA0"/>
          <w:sz w:val="12"/>
        </w:rPr>
        <w:t xml:space="preserve"> | ACO 1.803</w:t>
      </w:r>
      <w:r>
        <w:rPr>
          <w:color w:val="003CA0"/>
          <w:sz w:val="12"/>
        </w:rPr>
        <w:t xml:space="preserve"> | rel. Ricardo Lewandowski</w:t>
      </w:r>
    </w:p>
    <w:p>
      <w:pPr>
        <w:ind w:left="288"/>
      </w:pPr>
      <w:r>
        <w:rPr>
          <w:color w:val="1E1E1E"/>
          <w:sz w:val="18"/>
        </w:rPr>
        <w:t>Inscrição de Estado-membro no Siafi/Cauc [Cadastro Único de Convênio]. (...) Atuação do Estado em desconformidade com a legislação aplicável, que, autuado pela Delegacia Regional do Trabalho, deixou de sanar as irregularidades em prazo razoável. Constitucionalidade do art. 25, IV, a, da LC 101/2000, que em nada ofende o princípio da proporcionalidade (Constituição, art. 5º, LIV), situando-se dentro da margem de conformação do legislador para garantia da responsabilidade no trato da coisa pública.</w:t>
      </w:r>
    </w:p>
    <w:p>
      <w:pPr>
        <w:ind w:left="288"/>
      </w:pPr>
      <w:r>
        <w:rPr>
          <w:b/>
          <w:color w:val="003CA0"/>
          <w:sz w:val="16"/>
        </w:rPr>
        <w:t>[ACO 1.803 AgR, rel. min. Ricardo Lewandowski, j. 21-8-2017, P, DJE de 25-8-2017.]</w:t>
      </w:r>
    </w:p>
    <w:p>
      <w:pPr>
        <w:ind w:left="288"/>
      </w:pPr>
      <w:r>
        <w:rPr>
          <w:color w:val="8C8C8C"/>
          <w:sz w:val="12"/>
        </w:rPr>
        <w:t>cf-art-5-inc-L</w:t>
      </w:r>
      <w:r>
        <w:rPr>
          <w:color w:val="003CA0"/>
          <w:sz w:val="12"/>
        </w:rPr>
        <w:t xml:space="preserve"> | INQ 3.990</w:t>
      </w:r>
      <w:r>
        <w:rPr>
          <w:color w:val="003CA0"/>
          <w:sz w:val="12"/>
        </w:rPr>
        <w:t xml:space="preserve"> | rel. Edson Fachin</w:t>
      </w:r>
    </w:p>
    <w:p>
      <w:pPr>
        <w:ind w:left="288"/>
      </w:pPr>
      <w:r>
        <w:rPr>
          <w:color w:val="1E1E1E"/>
          <w:sz w:val="18"/>
        </w:rPr>
        <w:t>É possível assegurar, também no âmbito da Lei 8.038/1990, o direito ao órgão acusador de réplica às respostas dos denunciados, especialmente quando suscitadas questões que, se acolhidas, poderão impedir a deflagração da ação penal. Só assim se estará prestigiando o princípio constitucional do contraditório (art. 5º, LV, CF), que garante aos litigantes, e não apenas à defesa, a efetiva participação na decisão judicial. De outro lado, configura mera irregularidade a apresentação dessa peça pelo Ministério Público após o transcurso dos cinco dias prescritos no art. 5º da Lei 8.038/1990, uma vez q</w:t>
      </w:r>
    </w:p>
    <w:p>
      <w:pPr>
        <w:ind w:left="288"/>
      </w:pPr>
      <w:r>
        <w:rPr>
          <w:b/>
          <w:color w:val="003CA0"/>
          <w:sz w:val="16"/>
        </w:rPr>
        <w:t>[Inq 3.990, rel. min. Edson Fachin, j. 14-3-2017, 2ª T, DJE de 2-6-2017.]</w:t>
      </w:r>
    </w:p>
    <w:p>
      <w:pPr>
        <w:ind w:left="288"/>
      </w:pPr>
      <w:r>
        <w:rPr>
          <w:color w:val="8C8C8C"/>
          <w:sz w:val="12"/>
        </w:rPr>
        <w:t>cf-art-5-inc-L</w:t>
      </w:r>
      <w:r>
        <w:rPr>
          <w:color w:val="003CA0"/>
          <w:sz w:val="12"/>
        </w:rPr>
        <w:t xml:space="preserve"> | MS 30.248</w:t>
      </w:r>
      <w:r>
        <w:rPr>
          <w:color w:val="003CA0"/>
          <w:sz w:val="12"/>
        </w:rPr>
        <w:t xml:space="preserve"> | rel. Roberto Barroso</w:t>
      </w:r>
    </w:p>
    <w:p>
      <w:pPr>
        <w:ind w:left="288"/>
      </w:pPr>
      <w:r>
        <w:rPr>
          <w:color w:val="1E1E1E"/>
          <w:sz w:val="18"/>
        </w:rPr>
        <w:t>A Lei 8.443/1992 (Lei Orgânica do TCU) autoriza o desconto integral ou parcelado da dívida nos vencimentos, salários ou proventos (art. 28, I). Não obstante, fixado o percentual do desconto pelo TCU, a sua majoração exige a observância prévia do contraditório e da ampla defesa.</w:t>
      </w:r>
    </w:p>
    <w:p>
      <w:pPr>
        <w:ind w:left="288"/>
      </w:pPr>
      <w:r>
        <w:rPr>
          <w:b/>
          <w:color w:val="003CA0"/>
          <w:sz w:val="16"/>
        </w:rPr>
        <w:t>[MS 30.248 AgR, rel. min. Roberto Barroso, j. 7-10-2016, 1ª T, DJE de 26-10-2016.]</w:t>
      </w:r>
    </w:p>
    <w:p>
      <w:pPr>
        <w:ind w:left="288"/>
      </w:pPr>
      <w:r>
        <w:rPr>
          <w:color w:val="8C8C8C"/>
          <w:sz w:val="12"/>
        </w:rPr>
        <w:t>cf-art-5-inc-L</w:t>
      </w:r>
      <w:r>
        <w:rPr>
          <w:color w:val="003CA0"/>
          <w:sz w:val="12"/>
        </w:rPr>
        <w:t xml:space="preserve"> | RE 781.794</w:t>
      </w:r>
      <w:r>
        <w:rPr>
          <w:color w:val="003CA0"/>
          <w:sz w:val="12"/>
        </w:rPr>
        <w:t xml:space="preserve"> | rel. Luiz Fux</w:t>
      </w:r>
    </w:p>
    <w:p>
      <w:pPr>
        <w:ind w:left="288"/>
      </w:pPr>
      <w:r>
        <w:rPr>
          <w:color w:val="1E1E1E"/>
          <w:sz w:val="18"/>
        </w:rPr>
        <w:t>Administrativo. Ensino superior. Cancelamento de matrícula sem observância do devido processo legal. Impossibilidade.</w:t>
      </w:r>
    </w:p>
    <w:p>
      <w:pPr>
        <w:ind w:left="288"/>
      </w:pPr>
      <w:r>
        <w:rPr>
          <w:b/>
          <w:color w:val="003CA0"/>
          <w:sz w:val="16"/>
        </w:rPr>
        <w:t>[RE 781.794 AgR, rel. min. Luiz Fux, j. 2-8-2016, 1ª T, DJE de 19-8-2016.]</w:t>
      </w:r>
    </w:p>
    <w:p>
      <w:pPr>
        <w:ind w:left="288"/>
      </w:pPr>
      <w:r>
        <w:rPr>
          <w:color w:val="8C8C8C"/>
          <w:sz w:val="12"/>
        </w:rPr>
        <w:t>cf-art-5-inc-L</w:t>
      </w:r>
      <w:r>
        <w:rPr>
          <w:color w:val="003CA0"/>
          <w:sz w:val="12"/>
        </w:rPr>
        <w:t xml:space="preserve"> | HC 127.483</w:t>
      </w:r>
      <w:r>
        <w:rPr>
          <w:color w:val="003CA0"/>
          <w:sz w:val="12"/>
        </w:rPr>
        <w:t xml:space="preserve"> | rel. Dias Toffoli</w:t>
      </w:r>
    </w:p>
    <w:p>
      <w:pPr>
        <w:ind w:left="288"/>
      </w:pPr>
      <w:r>
        <w:rPr>
          <w:color w:val="1E1E1E"/>
          <w:sz w:val="18"/>
        </w:rPr>
        <w:t>Por se tratar de negócio jurídico personalíssimo, o acordo de colaboração premiada não pode ser impugnado por coautores ou partícipes do colaborador na organização criminosa e nas infrações penais por ela praticadas, ainda que venham a ser expressamente nominados no respectivo instrumento no “relato da colaboração e seus possíveis resultados” (art. 6º, I, da Lei 12.850/2013). De todo modo, nos procedimentos em que figurarem como imputados, os coautores ou partícipes delatados – no exercício do contraditório – poderão confrontar, em juízo, as declarações do colaborador e as provas por ele indic</w:t>
      </w:r>
    </w:p>
    <w:p>
      <w:pPr>
        <w:ind w:left="288"/>
      </w:pPr>
      <w:r>
        <w:rPr>
          <w:b/>
          <w:color w:val="003CA0"/>
          <w:sz w:val="16"/>
        </w:rPr>
        <w:t>[HC 127.483, rel. min. Dias Toffoli, j. 27-8-2015, P, DJE de 4-2-2016.]</w:t>
      </w:r>
    </w:p>
    <w:p>
      <w:pPr>
        <w:ind w:left="288"/>
      </w:pPr>
      <w:r>
        <w:rPr>
          <w:color w:val="8C8C8C"/>
          <w:sz w:val="12"/>
        </w:rPr>
        <w:t>cf-art-5-inc-L</w:t>
      </w:r>
      <w:r>
        <w:rPr>
          <w:color w:val="003CA0"/>
          <w:sz w:val="12"/>
        </w:rPr>
        <w:t xml:space="preserve"> | MS 28.417</w:t>
      </w:r>
      <w:r>
        <w:rPr>
          <w:color w:val="003CA0"/>
          <w:sz w:val="12"/>
        </w:rPr>
        <w:t xml:space="preserve"> | rel. Dias Toffoli</w:t>
      </w:r>
    </w:p>
    <w:p>
      <w:pPr>
        <w:ind w:left="288"/>
      </w:pPr>
      <w:r>
        <w:rPr>
          <w:color w:val="1E1E1E"/>
          <w:sz w:val="18"/>
        </w:rPr>
        <w:t>As garantias do contraditório e da ampla defesa não são absolutas quando considerado o caráter de urgência do pedido liminar, podendo o relator despachar a medida antes da oitiva das partes interessadas.</w:t>
      </w:r>
    </w:p>
    <w:p>
      <w:pPr>
        <w:ind w:left="288"/>
      </w:pPr>
      <w:r>
        <w:rPr>
          <w:b/>
          <w:color w:val="003CA0"/>
          <w:sz w:val="16"/>
        </w:rPr>
        <w:t>[MS 28.417 AgR, rel. min. Dias Toffoli, j. 27-2-2014, P, DJE de 2-4-2014.]</w:t>
      </w:r>
    </w:p>
    <w:p>
      <w:pPr>
        <w:ind w:left="288"/>
      </w:pPr>
      <w:r>
        <w:rPr>
          <w:color w:val="8C8C8C"/>
          <w:sz w:val="12"/>
        </w:rPr>
        <w:t>cf-art-5-inc-L</w:t>
      </w:r>
      <w:r>
        <w:rPr>
          <w:color w:val="003CA0"/>
          <w:sz w:val="12"/>
        </w:rPr>
        <w:t xml:space="preserve"> | RCL 10.771</w:t>
      </w:r>
      <w:r>
        <w:rPr>
          <w:color w:val="003CA0"/>
          <w:sz w:val="12"/>
        </w:rPr>
        <w:t xml:space="preserve"> | rel. Marco Aurélio</w:t>
      </w:r>
    </w:p>
    <w:p>
      <w:pPr>
        <w:ind w:left="288"/>
      </w:pPr>
      <w:r>
        <w:rPr>
          <w:color w:val="1E1E1E"/>
          <w:sz w:val="18"/>
        </w:rPr>
        <w:t>O Verbete 14 da Súmula Vinculante do Supremo não alcança sindicância administrativa objetivando elucidar fatos sob o ângulo do cometimento de infração administrativa.</w:t>
      </w:r>
    </w:p>
    <w:p>
      <w:pPr>
        <w:ind w:left="288"/>
      </w:pPr>
      <w:r>
        <w:rPr>
          <w:b/>
          <w:color w:val="003CA0"/>
          <w:sz w:val="16"/>
        </w:rPr>
        <w:t>[Rcl 10.771 AgR, rel. min. Marco Aurélio, j. 4-2-2014, 1ª T, DJE de 18-2-2014.]</w:t>
      </w:r>
    </w:p>
    <w:p>
      <w:pPr>
        <w:ind w:left="288"/>
      </w:pPr>
      <w:r>
        <w:rPr>
          <w:color w:val="8C8C8C"/>
          <w:sz w:val="12"/>
        </w:rPr>
        <w:t>cf-art-5-inc-L</w:t>
      </w:r>
      <w:r>
        <w:rPr>
          <w:color w:val="003CA0"/>
          <w:sz w:val="12"/>
        </w:rPr>
        <w:t xml:space="preserve"> | AP 516</w:t>
      </w:r>
    </w:p>
    <w:p>
      <w:pPr>
        <w:ind w:left="288"/>
      </w:pPr>
      <w:r>
        <w:rPr>
          <w:color w:val="1E1E1E"/>
          <w:sz w:val="18"/>
        </w:rPr>
        <w:t>Os embargos de declaração não consubstanciam crítica ao ofício judicante, mas lhe servem ao aprimoramento, devendo o órgão apreciá-los com espírito de compreensão, por consubstanciarem verdadeira contribuição da parte em prol do devido processo legal, havendo, inclusive, corrente jurisprudencial que admite a extrapolação do âmbito normal da eficácia dos embargos quando, utilizados para sanar omissões, contradições, obscuridades ou equívocos manifestos, impliquem modificação do que restou decidido no julgamento embargado.</w:t>
      </w:r>
    </w:p>
    <w:p>
      <w:pPr>
        <w:ind w:left="288"/>
      </w:pPr>
      <w:r>
        <w:rPr>
          <w:b/>
          <w:color w:val="003CA0"/>
          <w:sz w:val="16"/>
        </w:rPr>
        <w:t>[AP 516 ED, red. do ac. min. Luiz Fux, j. 5-12-2013, P, DJE de 1º-8-2014.]</w:t>
      </w:r>
    </w:p>
    <w:p>
      <w:pPr>
        <w:ind w:left="288"/>
      </w:pPr>
      <w:r>
        <w:rPr>
          <w:color w:val="8C8C8C"/>
          <w:sz w:val="12"/>
        </w:rPr>
        <w:t>cf-art-5-inc-L</w:t>
      </w:r>
      <w:r>
        <w:rPr>
          <w:color w:val="003CA0"/>
          <w:sz w:val="12"/>
        </w:rPr>
        <w:t xml:space="preserve"> | RE 550.769</w:t>
      </w:r>
      <w:r>
        <w:rPr>
          <w:color w:val="003CA0"/>
          <w:sz w:val="12"/>
        </w:rPr>
        <w:t xml:space="preserve"> | rel. Joaquim Barbosa</w:t>
      </w:r>
    </w:p>
    <w:p>
      <w:pPr>
        <w:ind w:left="288"/>
      </w:pPr>
      <w:r>
        <w:rPr>
          <w:color w:val="1E1E1E"/>
          <w:sz w:val="18"/>
        </w:rPr>
        <w:t>A orientação firmada pelo STF rechaça a aplicação de sanção política em matéria tributária. Contudo, para se caracterizar como sanção política, a norma extraída da interpretação do art. 2º, II, do DL 1.593/1977 deve atentar contra os seguintes parâmetros: (1) relevância do valor dos créditos tributários em aberto, cujo não pagamento implica a restrição ao funcionamento da empresa; (2) manutenção proporcional e razoável do devido processo legal de controle do ato de aplicação da penalidade; e (3) manutenção proporcional e razoável do devido processo legal de controle da validade dos créditos tr</w:t>
      </w:r>
    </w:p>
    <w:p>
      <w:pPr>
        <w:ind w:left="288"/>
      </w:pPr>
      <w:r>
        <w:rPr>
          <w:b/>
          <w:color w:val="003CA0"/>
          <w:sz w:val="16"/>
        </w:rPr>
        <w:t>[RE 550.769, rel. min. Joaquim Barbosa, j. 22-5-2013, P, DJE de 3-4-2014.]</w:t>
      </w:r>
    </w:p>
    <w:p>
      <w:pPr>
        <w:ind w:left="288"/>
      </w:pPr>
      <w:r>
        <w:rPr>
          <w:color w:val="8C8C8C"/>
          <w:sz w:val="12"/>
        </w:rPr>
        <w:t>cf-art-5-inc-L</w:t>
      </w:r>
      <w:r>
        <w:rPr>
          <w:color w:val="003CA0"/>
          <w:sz w:val="12"/>
        </w:rPr>
        <w:t xml:space="preserve"> | ADI 173</w:t>
      </w:r>
      <w:r>
        <w:rPr>
          <w:color w:val="003CA0"/>
          <w:sz w:val="12"/>
        </w:rPr>
        <w:t xml:space="preserve"> | rel. Joaquim Barbosa</w:t>
      </w:r>
    </w:p>
    <w:p>
      <w:pPr>
        <w:ind w:left="288"/>
      </w:pPr>
      <w:r>
        <w:rPr>
          <w:color w:val="1E1E1E"/>
          <w:sz w:val="18"/>
        </w:rPr>
        <w:t>Vide ADI 173 e ADI 394, rel. min. Joaquim Barbosa, j. 25-9-2008, P, DJE de 20-3-2009 Doutrina e jurisprudência são unânimes na exigência de que a cassação ou revogação dos atos administrativos benéficos sejam precedidas da oitiva do interessado, em atenção aos princípios constitucionais do contraditório e da ampla defesa, corolários da cláusula do devido processo legal. Contudo, na hipótese em análise, inexiste ato administrativo concessivo do auxílio-alimentação. Ao contrário, a impetrante foi buscar no Poder Judiciário provimento que lhe reconhecesse o direito à percepção da mencionada verba</w:t>
      </w:r>
    </w:p>
    <w:p>
      <w:pPr>
        <w:ind w:left="288"/>
      </w:pPr>
      <w:r>
        <w:rPr>
          <w:b/>
          <w:color w:val="003CA0"/>
          <w:sz w:val="16"/>
        </w:rPr>
        <w:t>[MS 29.247, voto do min. Marco Aurélio, j. 20-11-2012, 1ª T, DJE de 25-2-2013.]</w:t>
      </w:r>
    </w:p>
    <w:p>
      <w:pPr>
        <w:ind w:left="288"/>
      </w:pPr>
      <w:r>
        <w:rPr>
          <w:color w:val="8C8C8C"/>
          <w:sz w:val="12"/>
        </w:rPr>
        <w:t>cf-art-5-inc-L</w:t>
      </w:r>
      <w:r>
        <w:rPr>
          <w:color w:val="003CA0"/>
          <w:sz w:val="12"/>
        </w:rPr>
        <w:t xml:space="preserve"> | MS 30.799</w:t>
      </w:r>
      <w:r>
        <w:rPr>
          <w:color w:val="003CA0"/>
          <w:sz w:val="12"/>
        </w:rPr>
        <w:t xml:space="preserve"> | rel. Cármen Lúcia</w:t>
      </w:r>
    </w:p>
    <w:p>
      <w:pPr>
        <w:ind w:left="288"/>
      </w:pPr>
      <w:r>
        <w:rPr>
          <w:color w:val="1E1E1E"/>
          <w:sz w:val="18"/>
        </w:rPr>
        <w:t>TCU. Suspensão de pensão concedida com base em lei de anistia por presunção de ilegalidade, sem prévio exame do ato de concessão. Contrariedade ao princípio do devido processo legal.</w:t>
      </w:r>
    </w:p>
    <w:p>
      <w:pPr>
        <w:ind w:left="288"/>
      </w:pPr>
      <w:r>
        <w:rPr>
          <w:b/>
          <w:color w:val="003CA0"/>
          <w:sz w:val="16"/>
        </w:rPr>
        <w:t>[MS 30.799, rel. min. Cármen Lúcia, j. 2-10-2012, 2ª T, DJE de 9-11-2012.]</w:t>
      </w:r>
    </w:p>
    <w:p>
      <w:pPr>
        <w:ind w:left="288"/>
      </w:pPr>
      <w:r>
        <w:rPr>
          <w:color w:val="8C8C8C"/>
          <w:sz w:val="12"/>
        </w:rPr>
        <w:t>cf-art-5-inc-L</w:t>
      </w:r>
      <w:r>
        <w:rPr>
          <w:color w:val="003CA0"/>
          <w:sz w:val="12"/>
        </w:rPr>
        <w:t xml:space="preserve"> | RMS 28.047</w:t>
      </w:r>
      <w:r>
        <w:rPr>
          <w:color w:val="003CA0"/>
          <w:sz w:val="12"/>
        </w:rPr>
        <w:t xml:space="preserve"> | rel. Ricardo Lewandowski</w:t>
      </w:r>
    </w:p>
    <w:p>
      <w:pPr>
        <w:ind w:left="288"/>
      </w:pPr>
      <w:r>
        <w:rPr>
          <w:color w:val="1E1E1E"/>
          <w:sz w:val="18"/>
        </w:rPr>
        <w:t>Processo administrativo disciplinar. (...) Nada impede que a autoridade competente para a prática de um ato motive-o mediante remissão aos fundamentos de parecer ou relatório conclusivo elaborado por autoridade de menor hierarquia.</w:t>
      </w:r>
    </w:p>
    <w:p>
      <w:pPr>
        <w:ind w:left="288"/>
      </w:pPr>
      <w:r>
        <w:rPr>
          <w:b/>
          <w:color w:val="003CA0"/>
          <w:sz w:val="16"/>
        </w:rPr>
        <w:t>[RMS 28.047, rel. min. Ricardo Lewandowski, j. 6-12-2011, 2ª T, DJE de 19-12-2011.]</w:t>
      </w:r>
    </w:p>
    <w:p>
      <w:pPr>
        <w:ind w:left="288"/>
      </w:pPr>
      <w:r>
        <w:rPr>
          <w:color w:val="8C8C8C"/>
          <w:sz w:val="12"/>
        </w:rPr>
        <w:t>cf-art-5-inc-L</w:t>
      </w:r>
      <w:r>
        <w:rPr>
          <w:color w:val="003CA0"/>
          <w:sz w:val="12"/>
        </w:rPr>
        <w:t xml:space="preserve"> | HC 108.037</w:t>
      </w:r>
      <w:r>
        <w:rPr>
          <w:color w:val="003CA0"/>
          <w:sz w:val="12"/>
        </w:rPr>
        <w:t xml:space="preserve"> | rel. Marco Aurélio</w:t>
      </w:r>
    </w:p>
    <w:p>
      <w:pPr>
        <w:ind w:left="288"/>
      </w:pPr>
      <w:r>
        <w:rPr>
          <w:color w:val="1E1E1E"/>
          <w:sz w:val="18"/>
        </w:rPr>
        <w:t>Crime tributário. Processo administrativo. Persecução criminal. Necessidade. Caso a caso, é preciso perquirir a necessidade de esgotamento do processo administrativo-fiscal para iniciar-se a persecução criminal. Vale notar que, no tocante aos crimes tributários, a ordem jurídica constitucional não prevê a fase administrativa para ter-se a judicialização. Crime tributário. Justa causa. Surge a configurar a existência de justa causa situação concreta em que o Ministério Público haja atuado a partir de provocação da Receita Federal tendo em conta auto de infração relativa à sonegação de informaçõ</w:t>
      </w:r>
    </w:p>
    <w:p>
      <w:pPr>
        <w:ind w:left="288"/>
      </w:pPr>
      <w:r>
        <w:rPr>
          <w:b/>
          <w:color w:val="003CA0"/>
          <w:sz w:val="16"/>
        </w:rPr>
        <w:t>[HC 108.037, rel. min. Marco Aurélio, j. 29-11-2011, 1ª T, DJE de 1º-2-2012.]</w:t>
      </w:r>
    </w:p>
    <w:p>
      <w:pPr>
        <w:ind w:left="288"/>
      </w:pPr>
      <w:r>
        <w:rPr>
          <w:color w:val="8C8C8C"/>
          <w:sz w:val="12"/>
        </w:rPr>
        <w:t>cf-art-5-inc-L</w:t>
      </w:r>
      <w:r>
        <w:rPr>
          <w:color w:val="003CA0"/>
          <w:sz w:val="12"/>
        </w:rPr>
        <w:t xml:space="preserve"> | HC 101.900</w:t>
      </w:r>
      <w:r>
        <w:rPr>
          <w:color w:val="003CA0"/>
          <w:sz w:val="12"/>
        </w:rPr>
        <w:t xml:space="preserve"> | rel. Celso de Mello</w:t>
      </w:r>
    </w:p>
    <w:p>
      <w:pPr>
        <w:ind w:left="288"/>
      </w:pPr>
      <w:r>
        <w:rPr>
          <w:color w:val="1E1E1E"/>
          <w:sz w:val="18"/>
        </w:rPr>
        <w:t>Vide HC 101.900, rel. min. Celso de Mello, j. 21-9-2010, 2ª T, DJE de 11-3-2014 Abrangência da cláusula constitucional do due process of law, que compreende, entre as diversas prerrogativas de ordem jurídica que a compõem, o direito à prova. O fato de o poder público considerar suficientes os elementos de informação produzidos no procedimento administrativo não legitima nem autoriza a adoção, pelo órgão estatal competente, de medidas que, tomadas em detrimento daquele que sofre a persecução administrativa, culminem por frustrar a possibilidade de o próprio interessado produzir as provas que re</w:t>
      </w:r>
    </w:p>
    <w:p>
      <w:pPr>
        <w:ind w:left="288"/>
      </w:pPr>
      <w:r>
        <w:rPr>
          <w:b/>
          <w:color w:val="003CA0"/>
          <w:sz w:val="16"/>
        </w:rPr>
        <w:t>[RMS 28.517, rel. min. Celso de Mello, j. 1º-8-2011, dec. monocrática, DJE de 4-8-2011.]</w:t>
      </w:r>
    </w:p>
    <w:p>
      <w:pPr>
        <w:ind w:left="288"/>
      </w:pPr>
      <w:r>
        <w:rPr>
          <w:color w:val="8C8C8C"/>
          <w:sz w:val="12"/>
        </w:rPr>
        <w:t>cf-art-5-inc-L</w:t>
      </w:r>
      <w:r>
        <w:rPr>
          <w:color w:val="003CA0"/>
          <w:sz w:val="12"/>
        </w:rPr>
        <w:t xml:space="preserve"> | AI 541.949</w:t>
      </w:r>
      <w:r>
        <w:rPr>
          <w:color w:val="003CA0"/>
          <w:sz w:val="12"/>
        </w:rPr>
        <w:t xml:space="preserve"> | rel. Marco Aurélio</w:t>
      </w:r>
    </w:p>
    <w:p>
      <w:pPr>
        <w:ind w:left="288"/>
      </w:pPr>
      <w:r>
        <w:rPr>
          <w:color w:val="1E1E1E"/>
          <w:sz w:val="18"/>
        </w:rPr>
        <w:t>A alteração de proventos de servidor público somente pode ocorrer oportunizando-se o direito de defesa, ou seja, instaurando-se processo administrativo.</w:t>
      </w:r>
    </w:p>
    <w:p>
      <w:pPr>
        <w:ind w:left="288"/>
      </w:pPr>
      <w:r>
        <w:rPr>
          <w:b/>
          <w:color w:val="003CA0"/>
          <w:sz w:val="16"/>
        </w:rPr>
        <w:t>[AI 541.949 AgR, rel. min. Marco Aurélio, j. 13-4-2011, 1ª T, DJE de 18-5-2011.]</w:t>
      </w:r>
    </w:p>
    <w:p>
      <w:pPr>
        <w:ind w:left="288"/>
      </w:pPr>
      <w:r>
        <w:rPr>
          <w:color w:val="8C8C8C"/>
          <w:sz w:val="12"/>
        </w:rPr>
        <w:t>cf-art-5-inc-L</w:t>
      </w:r>
      <w:r>
        <w:rPr>
          <w:color w:val="003CA0"/>
          <w:sz w:val="12"/>
        </w:rPr>
        <w:t xml:space="preserve"> | RE 501.869</w:t>
      </w:r>
      <w:r>
        <w:rPr>
          <w:color w:val="003CA0"/>
          <w:sz w:val="12"/>
        </w:rPr>
        <w:t xml:space="preserve"> | rel. Eros Grau</w:t>
      </w:r>
    </w:p>
    <w:p>
      <w:pPr>
        <w:ind w:left="288"/>
      </w:pPr>
      <w:r>
        <w:rPr>
          <w:color w:val="1E1E1E"/>
          <w:sz w:val="18"/>
        </w:rPr>
        <w:t>Vide RE 501.869 AgR, rel. min. Eros Grau, j. 23-9-2008, 2ª T, DJE de 31-10-2008 Não é cabível, em sede de inquérito, encaminhar à Receita Federal informações bancárias obtidas por meio de requisição judicial quando o delito investigado for de natureza diversa daquele apurado pelo fisco. Ademais, a autoridade fiscal, em sede de procedimento administrativo, pode utilizar-se da faculdade insculpida no art. 6º da LC 105/2001, do que resulta desnecessário o compartilhamento in casu.</w:t>
      </w:r>
    </w:p>
    <w:p>
      <w:pPr>
        <w:ind w:left="288"/>
      </w:pPr>
      <w:r>
        <w:rPr>
          <w:b/>
          <w:color w:val="003CA0"/>
          <w:sz w:val="16"/>
        </w:rPr>
        <w:t>[Inq 2.593 AgR, rel. min. Ricardo Lewandowski, j. 9-12-2010, P, DJE de 15-2-2011.]</w:t>
      </w:r>
    </w:p>
    <w:p>
      <w:pPr>
        <w:ind w:left="288"/>
      </w:pPr>
      <w:r>
        <w:rPr>
          <w:color w:val="8C8C8C"/>
          <w:sz w:val="12"/>
        </w:rPr>
        <w:t>cf-art-5-inc-L</w:t>
      </w:r>
      <w:r>
        <w:rPr>
          <w:color w:val="003CA0"/>
          <w:sz w:val="12"/>
        </w:rPr>
        <w:t xml:space="preserve"> | AP 470</w:t>
      </w:r>
      <w:r>
        <w:rPr>
          <w:color w:val="003CA0"/>
          <w:sz w:val="12"/>
        </w:rPr>
        <w:t xml:space="preserve"> | rel. Joaquim Barbosa</w:t>
      </w:r>
    </w:p>
    <w:p>
      <w:pPr>
        <w:ind w:left="288"/>
      </w:pPr>
      <w:r>
        <w:rPr>
          <w:color w:val="1E1E1E"/>
          <w:sz w:val="18"/>
        </w:rPr>
        <w:t>A Lei 8.038/1990 é especial em relação ao CPP, alterado pela Lei 11.719/2008. Por conseguinte, as disposições do CPP aplicam-se aos feitos sujeitos ao procedimento previsto na Lei 8.038/1990 apenas subsidiariamente, somente "no que for aplicável" ou "no que couber". Daí por que a modificação legislativa referida pelos acusados em nada altera o procedimento até então observado, uma vez que a fase processual em que deve ocorrer o interrogatório continua expressamente prescrita no art. 7º Lei 8.038/1990, o qual prevê tal ato processual como a próxima etapa depois do recebimento da denúncia (ou qu</w:t>
      </w:r>
    </w:p>
    <w:p>
      <w:pPr>
        <w:ind w:left="288"/>
      </w:pPr>
      <w:r>
        <w:rPr>
          <w:b/>
          <w:color w:val="003CA0"/>
          <w:sz w:val="16"/>
        </w:rPr>
        <w:t>[AP 470 QO-oitava, rel. min. Joaquim Barbosa, j. 7-10-2010, P, DJE de 2-5-2011.]</w:t>
      </w:r>
    </w:p>
    <w:p>
      <w:pPr>
        <w:ind w:left="288"/>
      </w:pPr>
      <w:r>
        <w:rPr>
          <w:color w:val="8C8C8C"/>
          <w:sz w:val="12"/>
        </w:rPr>
        <w:t>cf-art-5-inc-L</w:t>
      </w:r>
      <w:r>
        <w:rPr>
          <w:color w:val="003CA0"/>
          <w:sz w:val="12"/>
        </w:rPr>
        <w:t xml:space="preserve"> | HC 101.900</w:t>
      </w:r>
      <w:r>
        <w:rPr>
          <w:color w:val="003CA0"/>
          <w:sz w:val="12"/>
        </w:rPr>
        <w:t xml:space="preserve"> | rel. Celso de Mello</w:t>
      </w:r>
    </w:p>
    <w:p>
      <w:pPr>
        <w:ind w:left="288"/>
      </w:pPr>
      <w:r>
        <w:rPr>
          <w:color w:val="1E1E1E"/>
          <w:sz w:val="18"/>
        </w:rPr>
        <w:t>Enquanto o crédito tributário não se constituir, definitivamente, em sede administrativa, não se terá por caracterizado, no plano da tipicidade penal, o crime contra a ordem tributária, tal como previsto no art. 1º da Lei 8.137/1990. É que, até então, não havendo sido ainda reconhecida a exigibilidade do crédito tributário (an debeatur) e determinado o respectivo valor (quantum debeatur), estar-se-á diante de conduta absolutamente desvestida de tipicidade penal. A instauração de persecução penal, desse modo, nos crimes contra a ordem tributária definidos no art. 1º da Lei 8.137/1990 somente se</w:t>
      </w:r>
    </w:p>
    <w:p>
      <w:pPr>
        <w:ind w:left="288"/>
      </w:pPr>
      <w:r>
        <w:rPr>
          <w:b/>
          <w:color w:val="003CA0"/>
          <w:sz w:val="16"/>
        </w:rPr>
        <w:t>[HC 101.900, rel. min. Celso de Mello, j. 21-9-2010, 2ª T, DJE de 11-3-2014.]</w:t>
      </w:r>
    </w:p>
    <w:p>
      <w:pPr>
        <w:ind w:left="288"/>
      </w:pPr>
      <w:r>
        <w:rPr>
          <w:color w:val="8C8C8C"/>
          <w:sz w:val="12"/>
        </w:rPr>
        <w:t>cf-art-5-inc-L</w:t>
      </w:r>
      <w:r>
        <w:rPr>
          <w:color w:val="003CA0"/>
          <w:sz w:val="12"/>
        </w:rPr>
        <w:t xml:space="preserve"> | HC 108.037</w:t>
      </w:r>
      <w:r>
        <w:rPr>
          <w:color w:val="003CA0"/>
          <w:sz w:val="12"/>
        </w:rPr>
        <w:t xml:space="preserve"> | rel. Marco Aurélio</w:t>
      </w:r>
    </w:p>
    <w:p>
      <w:pPr>
        <w:ind w:left="288"/>
      </w:pPr>
      <w:r>
        <w:rPr>
          <w:color w:val="1E1E1E"/>
          <w:sz w:val="18"/>
        </w:rPr>
        <w:t>Vide HC 108.037, rel. min. Marco Aurélio, j. 29-11-2011, 1ª T, DJE de 1º-2-2012 Não há violação do devido processo legal se o tribunal de origem considera argumentação posta em contrarrazões de apelação, ainda que sobre ela nada tenha dito a sentença recorrida.</w:t>
      </w:r>
    </w:p>
    <w:p>
      <w:pPr>
        <w:ind w:left="288"/>
      </w:pPr>
      <w:r>
        <w:rPr>
          <w:b/>
          <w:color w:val="003CA0"/>
          <w:sz w:val="16"/>
        </w:rPr>
        <w:t>[RE 495.370 AgR, rel. min. Joaquim Barbosa, j. 10-8-2010, 2ª T, DJE de 1º-10-2010.]</w:t>
      </w:r>
    </w:p>
    <w:p>
      <w:pPr>
        <w:ind w:left="288"/>
      </w:pPr>
      <w:r>
        <w:rPr>
          <w:color w:val="8C8C8C"/>
          <w:sz w:val="12"/>
        </w:rPr>
        <w:t>cf-art-5-inc-L</w:t>
      </w:r>
      <w:r>
        <w:rPr>
          <w:color w:val="003CA0"/>
          <w:sz w:val="12"/>
        </w:rPr>
        <w:t xml:space="preserve"> | HC 102.094</w:t>
      </w:r>
      <w:r>
        <w:rPr>
          <w:color w:val="003CA0"/>
          <w:sz w:val="12"/>
        </w:rPr>
        <w:t xml:space="preserve"> | rel. Celso de Mello</w:t>
      </w:r>
    </w:p>
    <w:p>
      <w:pPr>
        <w:ind w:left="288"/>
      </w:pPr>
      <w:r>
        <w:rPr>
          <w:color w:val="1E1E1E"/>
          <w:sz w:val="18"/>
        </w:rPr>
        <w:t>Receptação simples (dolo direto) e receptação qualificada (dolo indireto eventual). Cominação de pena mais leve para o crime mais grave (CP, art. 180, caput) e pena mais severa para o crime menos grave (CP, art. 180, § 1º). (...) O exame da adequação de determinado ato estatal ao princípio da proporcionalidade, exatamente por viabilizar o controle de sua razoabilidade, com fundamento no art. 5º, LIV, da Carta Política, inclui-se, por isso mesmo, no âmbito da própria fiscalização de constitucionalidade das prescrições normativas emanadas do poder público. Esse entendimento é prestigiado pela ju</w:t>
      </w:r>
    </w:p>
    <w:p>
      <w:pPr>
        <w:ind w:left="288"/>
      </w:pPr>
      <w:r>
        <w:rPr>
          <w:b/>
          <w:color w:val="003CA0"/>
          <w:sz w:val="16"/>
        </w:rPr>
        <w:t>[HC 102.094 MC, rel. min. Celso de Mello, j. 1º-7-2010, dec. monocrática, DJE de 2-8-2010.]</w:t>
      </w:r>
    </w:p>
    <w:p>
      <w:pPr>
        <w:ind w:left="288"/>
      </w:pPr>
      <w:r>
        <w:rPr>
          <w:color w:val="8C8C8C"/>
          <w:sz w:val="12"/>
        </w:rPr>
        <w:t>cf-art-5-inc-L</w:t>
      </w:r>
      <w:r>
        <w:rPr>
          <w:color w:val="003CA0"/>
          <w:sz w:val="12"/>
        </w:rPr>
        <w:t xml:space="preserve"> | HC 96.328</w:t>
      </w:r>
      <w:r>
        <w:rPr>
          <w:color w:val="003CA0"/>
          <w:sz w:val="12"/>
        </w:rPr>
        <w:t xml:space="preserve"> | rel. Cezar Peluso</w:t>
      </w:r>
    </w:p>
    <w:p>
      <w:pPr>
        <w:ind w:left="288"/>
      </w:pPr>
      <w:r>
        <w:rPr>
          <w:color w:val="1E1E1E"/>
          <w:sz w:val="18"/>
        </w:rPr>
        <w:t>O regime disciplinar diferenciado é sanção disciplinar, e sua aplicação depende de prévia instauração de procedimento administrativo para apuração dos fatos imputados ao custodiado.</w:t>
      </w:r>
    </w:p>
    <w:p>
      <w:pPr>
        <w:ind w:left="288"/>
      </w:pPr>
      <w:r>
        <w:rPr>
          <w:b/>
          <w:color w:val="003CA0"/>
          <w:sz w:val="16"/>
        </w:rPr>
        <w:t>[HC 96.328, rel. min. Cezar Peluso, j. 2-3-2010, 2ª T, DJE de 9-4-2010.]</w:t>
      </w:r>
    </w:p>
    <w:p>
      <w:pPr>
        <w:ind w:left="288"/>
      </w:pPr>
      <w:r>
        <w:rPr>
          <w:color w:val="8C8C8C"/>
          <w:sz w:val="12"/>
        </w:rPr>
        <w:t>cf-art-5-inc-L</w:t>
      </w:r>
      <w:r>
        <w:rPr>
          <w:color w:val="003CA0"/>
          <w:sz w:val="12"/>
        </w:rPr>
        <w:t xml:space="preserve"> | HC 96.864</w:t>
      </w:r>
      <w:r>
        <w:rPr>
          <w:color w:val="003CA0"/>
          <w:sz w:val="12"/>
        </w:rPr>
        <w:t xml:space="preserve"> | rel. Cármen Lúcia</w:t>
      </w:r>
    </w:p>
    <w:p>
      <w:pPr>
        <w:ind w:left="288"/>
      </w:pPr>
      <w:r>
        <w:rPr>
          <w:color w:val="1E1E1E"/>
          <w:sz w:val="18"/>
        </w:rPr>
        <w:t>O simples fato de olvidar-se elemento próprio ao devido processo legal gera a presunção de prejuízo, que, depois de prolatada decisão condenatória, fica certificado mediante instrumento público formalizado pelo Judiciário.</w:t>
      </w:r>
    </w:p>
    <w:p>
      <w:pPr>
        <w:ind w:left="288"/>
      </w:pPr>
      <w:r>
        <w:rPr>
          <w:b/>
          <w:color w:val="003CA0"/>
          <w:sz w:val="16"/>
        </w:rPr>
        <w:t>[HC 96.864, rel. min. Cármen Lúcia, red. do ac. min. Marco Aurélio, j. 20-10-2009, 1ª T, DJE de 18-12-2009.]</w:t>
      </w:r>
    </w:p>
    <w:p>
      <w:pPr>
        <w:ind w:left="288"/>
      </w:pPr>
      <w:r>
        <w:rPr>
          <w:color w:val="8C8C8C"/>
          <w:sz w:val="12"/>
        </w:rPr>
        <w:t>cf-art-5-inc-L</w:t>
      </w:r>
      <w:r>
        <w:rPr>
          <w:color w:val="003CA0"/>
          <w:sz w:val="12"/>
        </w:rPr>
        <w:t xml:space="preserve"> | RE 591.604</w:t>
      </w:r>
      <w:r>
        <w:rPr>
          <w:color w:val="003CA0"/>
          <w:sz w:val="12"/>
        </w:rPr>
        <w:t xml:space="preserve"> | rel. Cezar Peluso</w:t>
      </w:r>
    </w:p>
    <w:p>
      <w:pPr>
        <w:ind w:left="288"/>
      </w:pPr>
      <w:r>
        <w:rPr>
          <w:color w:val="1E1E1E"/>
          <w:sz w:val="18"/>
        </w:rPr>
        <w:t>Deve ser anulado julgamento realizado por engano, em momento posterior à homologação de requerimento de desistência.</w:t>
      </w:r>
    </w:p>
    <w:p>
      <w:pPr>
        <w:ind w:left="288"/>
      </w:pPr>
      <w:r>
        <w:rPr>
          <w:b/>
          <w:color w:val="003CA0"/>
          <w:sz w:val="16"/>
        </w:rPr>
        <w:t>[RE 591.604 AgR-ED-QO, rel. min. Cezar Peluso, j. 6-10-2009, 2ª T, DJE de 20-11-2009.]</w:t>
      </w:r>
    </w:p>
    <w:p>
      <w:pPr>
        <w:ind w:left="288"/>
      </w:pPr>
      <w:r>
        <w:rPr>
          <w:color w:val="8C8C8C"/>
          <w:sz w:val="12"/>
        </w:rPr>
        <w:t>cf-art-5-inc-L</w:t>
      </w:r>
      <w:r>
        <w:rPr>
          <w:color w:val="003CA0"/>
          <w:sz w:val="12"/>
        </w:rPr>
        <w:t xml:space="preserve"> | RHC 90.532</w:t>
      </w:r>
      <w:r>
        <w:rPr>
          <w:color w:val="003CA0"/>
          <w:sz w:val="12"/>
        </w:rPr>
        <w:t xml:space="preserve"> | rel. Joaquim Barbosa</w:t>
      </w:r>
    </w:p>
    <w:p>
      <w:pPr>
        <w:ind w:left="288"/>
      </w:pPr>
      <w:r>
        <w:rPr>
          <w:color w:val="1E1E1E"/>
          <w:sz w:val="18"/>
        </w:rPr>
        <w:t>Visando os embargos declaratórios à modificação do provimento embargado, impõe-se, considerado o devido processo legal e a ampla defesa, a ciência da parte contrária para, querendo, apresentar contrarrazões. O tipo penal previsto no art. 2º, I, da Lei 8.137/1990 é crime formal e, portanto, independe da consumação do resultado naturalístico correspondente à auferição de vantagem ilícita em desfavor do Fisco, bastando a omissão de informações ou a prestação de declaração falsa, não demandando a efetiva percepção material do ardil aplicado. Dispensável, por conseguinte, a conclusão de procediment</w:t>
      </w:r>
    </w:p>
    <w:p>
      <w:pPr>
        <w:ind w:left="288"/>
      </w:pPr>
      <w:r>
        <w:rPr>
          <w:b/>
          <w:color w:val="003CA0"/>
          <w:sz w:val="16"/>
        </w:rPr>
        <w:t>[RHC 90.532 ED, rel. min. Joaquim Barbosa, j. 23-9-2009, P, DJE de 6-11-2009.]</w:t>
      </w:r>
    </w:p>
    <w:p>
      <w:pPr>
        <w:ind w:left="288"/>
      </w:pPr>
      <w:r>
        <w:rPr>
          <w:color w:val="8C8C8C"/>
          <w:sz w:val="12"/>
        </w:rPr>
        <w:t>cf-art-5-inc-L</w:t>
      </w:r>
      <w:r>
        <w:rPr>
          <w:color w:val="003CA0"/>
          <w:sz w:val="12"/>
        </w:rPr>
        <w:t xml:space="preserve"> | AC 2.403</w:t>
      </w:r>
      <w:r>
        <w:rPr>
          <w:color w:val="003CA0"/>
          <w:sz w:val="12"/>
        </w:rPr>
        <w:t xml:space="preserve"> | rel. Celso de Mello</w:t>
      </w:r>
    </w:p>
    <w:p>
      <w:pPr>
        <w:ind w:left="288"/>
      </w:pPr>
      <w:r>
        <w:rPr>
          <w:color w:val="1E1E1E"/>
          <w:sz w:val="18"/>
        </w:rPr>
        <w:t>Recusa de prestação de aval pela União Federal e negativa de autorização, por parte da Secretaria do Tesouro Nacional (...). Obstáculos que impedem o Distrito Federal de celebrar operação de crédito com instituição financeira internacional. Sistema Siafi. Inclusão nesse sistema de cadastro nacional da Câmara Legislativa e órgãos integrantes do Distrito Federal. (...) A Constituição da República estabelece, em seu art. 5º, LIV e LV, considerada a essencialidade da garantia constitucional da plenitude de defesa e do contraditório, que ninguém pode ser privado de sua liberdade, de seus bens ou de</w:t>
      </w:r>
    </w:p>
    <w:p>
      <w:pPr>
        <w:ind w:left="288"/>
      </w:pPr>
      <w:r>
        <w:rPr>
          <w:b/>
          <w:color w:val="003CA0"/>
          <w:sz w:val="16"/>
        </w:rPr>
        <w:t>[AC 2.403 MC-ED-REF, rel. min. Celso de Mello, j. 20-8-2009, P, DJE de 18-9-2009.]</w:t>
      </w:r>
    </w:p>
    <w:p>
      <w:pPr>
        <w:ind w:left="288"/>
      </w:pPr>
      <w:r>
        <w:rPr>
          <w:color w:val="8C8C8C"/>
          <w:sz w:val="12"/>
        </w:rPr>
        <w:t>cf-art-5-inc-L</w:t>
      </w:r>
      <w:r>
        <w:rPr>
          <w:color w:val="003CA0"/>
          <w:sz w:val="12"/>
        </w:rPr>
        <w:t xml:space="preserve"> | HC 84.487</w:t>
      </w:r>
      <w:r>
        <w:rPr>
          <w:color w:val="003CA0"/>
          <w:sz w:val="12"/>
        </w:rPr>
        <w:t xml:space="preserve"> | rel. Cezar Peluso</w:t>
      </w:r>
    </w:p>
    <w:p>
      <w:pPr>
        <w:ind w:left="288"/>
      </w:pPr>
      <w:r>
        <w:rPr>
          <w:color w:val="1E1E1E"/>
          <w:sz w:val="18"/>
        </w:rPr>
        <w:t>A perfeição dos tipos de crimes comuns contra a previdência social independe da definição de prévio procedimento administrativo.</w:t>
      </w:r>
    </w:p>
    <w:p>
      <w:pPr>
        <w:ind w:left="288"/>
      </w:pPr>
      <w:r>
        <w:rPr>
          <w:b/>
          <w:color w:val="003CA0"/>
          <w:sz w:val="16"/>
        </w:rPr>
        <w:t>[HC 84.487, rel. min. Cezar Peluso, j. 2-6-2009, 2ª T, DJE de 26-6-2009.]</w:t>
      </w:r>
    </w:p>
    <w:p>
      <w:pPr>
        <w:ind w:left="288"/>
      </w:pPr>
      <w:r>
        <w:rPr>
          <w:color w:val="8C8C8C"/>
          <w:sz w:val="12"/>
        </w:rPr>
        <w:t>cf-art-5-inc-L</w:t>
      </w:r>
      <w:r>
        <w:rPr>
          <w:color w:val="003CA0"/>
          <w:sz w:val="12"/>
        </w:rPr>
        <w:t xml:space="preserve"> | HC 93.628</w:t>
      </w:r>
      <w:r>
        <w:rPr>
          <w:color w:val="003CA0"/>
          <w:sz w:val="12"/>
        </w:rPr>
        <w:t xml:space="preserve"> | rel. Ricardo Lewandowski</w:t>
      </w:r>
    </w:p>
    <w:p>
      <w:pPr>
        <w:ind w:left="288"/>
      </w:pPr>
      <w:r>
        <w:rPr>
          <w:color w:val="1E1E1E"/>
          <w:sz w:val="18"/>
        </w:rPr>
        <w:t>Em crimes societários, a denúncia deve pormenorizar a ação dos denunciados no quanto possível. Não impede a ampla defesa, entretanto, quando se evidencia o vínculo dos denunciados com a ação da empresa denunciada.</w:t>
      </w:r>
    </w:p>
    <w:p>
      <w:pPr>
        <w:ind w:left="288"/>
      </w:pPr>
      <w:r>
        <w:rPr>
          <w:b/>
          <w:color w:val="003CA0"/>
          <w:sz w:val="16"/>
        </w:rPr>
        <w:t>[HC 93.628, rel. min. Ricardo Lewandowski, j. 31-3-2009, 1ª T, DJE de 17-4-2009.]</w:t>
      </w:r>
    </w:p>
    <w:p>
      <w:pPr>
        <w:ind w:left="288"/>
      </w:pPr>
      <w:r>
        <w:rPr>
          <w:color w:val="8C8C8C"/>
          <w:sz w:val="12"/>
        </w:rPr>
        <w:t>cf-art-5-inc-L</w:t>
      </w:r>
      <w:r>
        <w:rPr>
          <w:color w:val="003CA0"/>
          <w:sz w:val="12"/>
        </w:rPr>
        <w:t xml:space="preserve"> | HC 101.754</w:t>
      </w:r>
      <w:r>
        <w:rPr>
          <w:color w:val="003CA0"/>
          <w:sz w:val="12"/>
        </w:rPr>
        <w:t xml:space="preserve"> | rel. Ellen Gracie</w:t>
      </w:r>
    </w:p>
    <w:p>
      <w:pPr>
        <w:ind w:left="288"/>
      </w:pPr>
      <w:r>
        <w:rPr>
          <w:color w:val="1E1E1E"/>
          <w:sz w:val="18"/>
        </w:rPr>
        <w:t xml:space="preserve">= HC 101.754, rel. min. Ellen Gracie, j. 8-6-2010, 2ª T, DJE de 25-6-2010 Vide HC 94.670, rel. min. Cármen Lúcia, j. 21-10-2008, P, DJE de 24-4-2009 Vide HC 86.879, rel. min. Joaquim Barbosa, red. do ac. min. Gilmar Mendes, j. 21-2-2006, 2ª T, DJ de 16-6-2006 Abstraídos os demais fundamentos do pedido, estou em que se patenteia, no caso, quebra da chamada imparcialidade objetiva, de que deve, como cláusula elementar do princípio constitucional do justo processo da lei (due process of law), revestir-se, na situação de cada causa, o magistrado competente para decidi-la. E, por implicar nulidade </w:t>
      </w:r>
    </w:p>
    <w:p>
      <w:pPr>
        <w:ind w:left="288"/>
      </w:pPr>
      <w:r>
        <w:rPr>
          <w:b/>
          <w:color w:val="003CA0"/>
          <w:sz w:val="16"/>
        </w:rPr>
        <w:t>[HC 94.641, rel. min. Ellen Gracie, red. do ac. min. Joaquim Barbosa, voto do min. Cezar Peluso, j. 11-11-2008, 2ª T, DJE de 6-3-2009.]</w:t>
      </w:r>
    </w:p>
    <w:p>
      <w:pPr>
        <w:ind w:left="288"/>
      </w:pPr>
      <w:r>
        <w:rPr>
          <w:color w:val="8C8C8C"/>
          <w:sz w:val="12"/>
        </w:rPr>
        <w:t>cf-art-5-inc-L</w:t>
      </w:r>
      <w:r>
        <w:rPr>
          <w:color w:val="003CA0"/>
          <w:sz w:val="12"/>
        </w:rPr>
        <w:t xml:space="preserve"> | MS 25.962</w:t>
      </w:r>
      <w:r>
        <w:rPr>
          <w:color w:val="003CA0"/>
          <w:sz w:val="12"/>
        </w:rPr>
        <w:t xml:space="preserve"> | rel. Marco Aurélio</w:t>
      </w:r>
    </w:p>
    <w:p>
      <w:pPr>
        <w:ind w:left="288"/>
      </w:pPr>
      <w:r>
        <w:rPr>
          <w:color w:val="1E1E1E"/>
          <w:sz w:val="18"/>
        </w:rPr>
        <w:t>CNJ. Devido processo legal. Ciência ficta. A espécie de conhecimento ficto, presente publicação ou edital fixado em setor do órgão, pressupõe a ciência do processo em curso, surgindo como regra a comunicação direta. (...) Desconhecida a existência do processo, mostra-se inconstitucional dispositivo do Regimento Interno do CNJ – art. 98 – prevendo a ciência ficta de quem pode ser alcançado por decisão administrativa.</w:t>
      </w:r>
    </w:p>
    <w:p>
      <w:pPr>
        <w:ind w:left="288"/>
      </w:pPr>
      <w:r>
        <w:rPr>
          <w:b/>
          <w:color w:val="003CA0"/>
          <w:sz w:val="16"/>
        </w:rPr>
        <w:t>[MS 25.962, rel. min. Marco Aurélio, j. 23-10-2008, P, DJE de 20-3-2009.]</w:t>
      </w:r>
    </w:p>
    <w:p>
      <w:pPr>
        <w:ind w:left="288"/>
      </w:pPr>
      <w:r>
        <w:rPr>
          <w:color w:val="8C8C8C"/>
          <w:sz w:val="12"/>
        </w:rPr>
        <w:t>cf-art-5-inc-L</w:t>
      </w:r>
      <w:r>
        <w:rPr>
          <w:color w:val="003CA0"/>
          <w:sz w:val="12"/>
        </w:rPr>
        <w:t xml:space="preserve"> | HC 94.670</w:t>
      </w:r>
      <w:r>
        <w:rPr>
          <w:color w:val="003CA0"/>
          <w:sz w:val="12"/>
        </w:rPr>
        <w:t xml:space="preserve"> | rel. Cármen Lúcia</w:t>
      </w:r>
    </w:p>
    <w:p>
      <w:pPr>
        <w:ind w:left="288"/>
      </w:pPr>
      <w:r>
        <w:rPr>
          <w:color w:val="1E1E1E"/>
          <w:sz w:val="18"/>
        </w:rPr>
        <w:t>Crime societário. Não há falar em inépcia da inicial quando está suficientemente indicada a responsabilidade dos denunciados pela condução da sociedade e esta condição não foi afastada, de plano, pelo ato constitutivo da pessoa jurídica. Embora a jurisprudência do STF se encaminhe no sentido de que, em relação aos delitos societários, a denúncia deve conter, ainda que minimamente, a descrição individualizada da conduta supostamente praticada por cada um dos denunciados, a observância do que disposto no art. 41 do CPP deve ser examinada caso a caso, sendo também deste Supremo Tribunal a orienta</w:t>
      </w:r>
    </w:p>
    <w:p>
      <w:pPr>
        <w:ind w:left="288"/>
      </w:pPr>
      <w:r>
        <w:rPr>
          <w:b/>
          <w:color w:val="003CA0"/>
          <w:sz w:val="16"/>
        </w:rPr>
        <w:t>[HC 94.670, rel. min. Cármen Lúcia, j. 21-10-2008, P, DJE de 24-4-2009.]</w:t>
      </w:r>
    </w:p>
    <w:p>
      <w:pPr>
        <w:ind w:left="288"/>
      </w:pPr>
      <w:r>
        <w:rPr>
          <w:color w:val="8C8C8C"/>
          <w:sz w:val="12"/>
        </w:rPr>
        <w:t>cf-art-5-inc-L</w:t>
      </w:r>
      <w:r>
        <w:rPr>
          <w:color w:val="003CA0"/>
          <w:sz w:val="12"/>
        </w:rPr>
        <w:t xml:space="preserve"> | HC 97.259</w:t>
      </w:r>
      <w:r>
        <w:rPr>
          <w:color w:val="003CA0"/>
          <w:sz w:val="12"/>
        </w:rPr>
        <w:t xml:space="preserve"> | rel. Ricardo Lewandowski</w:t>
      </w:r>
    </w:p>
    <w:p>
      <w:pPr>
        <w:ind w:left="288"/>
      </w:pPr>
      <w:r>
        <w:rPr>
          <w:color w:val="1E1E1E"/>
          <w:sz w:val="18"/>
        </w:rPr>
        <w:t>= HC 97.259, rel. min. Ricardo Lewandowski, j. 15-12-2009, 1ª T, DJE de 26-2-2010 Vide HC 105.953, rel. min. Celso de Mello, j. 18-2-2015, dec. monocrática, DJE de 23-2-2015 Recurso. Pauta. Adiamento. Regra especial. Se do regimento interno do tribunal constar a possibilidade de o recurso ser julgado nas duas sessões subsequentes àquela referida na pauta, ocorrendo o exame dentro do aludido intervalo, é de se concluir pela observância da norma de regência.</w:t>
      </w:r>
    </w:p>
    <w:p>
      <w:pPr>
        <w:ind w:left="288"/>
      </w:pPr>
      <w:r>
        <w:rPr>
          <w:b/>
          <w:color w:val="003CA0"/>
          <w:sz w:val="16"/>
        </w:rPr>
        <w:t>[HC 95.682, rel. min. Marco Aurélio, j. 14-10-2008, 1ª T, DJE de 19-12-2008.]</w:t>
      </w:r>
    </w:p>
    <w:p>
      <w:pPr>
        <w:ind w:left="288"/>
      </w:pPr>
      <w:r>
        <w:rPr>
          <w:color w:val="8C8C8C"/>
          <w:sz w:val="12"/>
        </w:rPr>
        <w:t>cf-art-5-inc-L</w:t>
      </w:r>
      <w:r>
        <w:rPr>
          <w:color w:val="003CA0"/>
          <w:sz w:val="12"/>
        </w:rPr>
        <w:t xml:space="preserve"> | RE 552.598</w:t>
      </w:r>
      <w:r>
        <w:rPr>
          <w:color w:val="003CA0"/>
          <w:sz w:val="12"/>
        </w:rPr>
        <w:t xml:space="preserve"> | rel. Menezes Direito</w:t>
      </w:r>
    </w:p>
    <w:p>
      <w:pPr>
        <w:ind w:left="288"/>
      </w:pPr>
      <w:r>
        <w:rPr>
          <w:color w:val="1E1E1E"/>
          <w:sz w:val="18"/>
        </w:rPr>
        <w:t>Citação por edital. Inventário. (...) A citação por edital prevista no art. 999, § 1º, do CPC não agride nenhum dispositivo da CF.</w:t>
      </w:r>
    </w:p>
    <w:p>
      <w:pPr>
        <w:ind w:left="288"/>
      </w:pPr>
      <w:r>
        <w:rPr>
          <w:b/>
          <w:color w:val="003CA0"/>
          <w:sz w:val="16"/>
        </w:rPr>
        <w:t>[RE 552.598, rel. min. Menezes Direito, j. 8-10-2008, P, DJE de 21-11-2008.]</w:t>
      </w:r>
    </w:p>
    <w:p>
      <w:pPr>
        <w:ind w:left="288"/>
      </w:pPr>
      <w:r>
        <w:rPr>
          <w:color w:val="8C8C8C"/>
          <w:sz w:val="12"/>
        </w:rPr>
        <w:t>cf-art-5-inc-L</w:t>
      </w:r>
      <w:r>
        <w:rPr>
          <w:color w:val="003CA0"/>
          <w:sz w:val="12"/>
        </w:rPr>
        <w:t xml:space="preserve"> | RE 501.869</w:t>
      </w:r>
      <w:r>
        <w:rPr>
          <w:color w:val="003CA0"/>
          <w:sz w:val="12"/>
        </w:rPr>
        <w:t xml:space="preserve"> | rel. Eros Grau</w:t>
      </w:r>
    </w:p>
    <w:p>
      <w:pPr>
        <w:ind w:left="288"/>
      </w:pPr>
      <w:r>
        <w:rPr>
          <w:color w:val="1E1E1E"/>
          <w:sz w:val="18"/>
        </w:rPr>
        <w:t>O STF fixou jurisprudência no sentido de que é necessária a observância do devido processo legal para a anulação de ato administrativo que tenha repercutido no campo de interesses individuais.</w:t>
      </w:r>
    </w:p>
    <w:p>
      <w:pPr>
        <w:ind w:left="288"/>
      </w:pPr>
      <w:r>
        <w:rPr>
          <w:b/>
          <w:color w:val="003CA0"/>
          <w:sz w:val="16"/>
        </w:rPr>
        <w:t>[RE 501.869 AgR, rel. min. Eros Grau, j. 23-9-2008, 2ª T, DJE de 31-10-2008.]</w:t>
      </w:r>
    </w:p>
    <w:p>
      <w:pPr>
        <w:ind w:left="288"/>
      </w:pPr>
      <w:r>
        <w:rPr>
          <w:color w:val="8C8C8C"/>
          <w:sz w:val="12"/>
        </w:rPr>
        <w:t>cf-art-5-inc-L</w:t>
      </w:r>
      <w:r>
        <w:rPr>
          <w:color w:val="003CA0"/>
          <w:sz w:val="12"/>
        </w:rPr>
        <w:t xml:space="preserve"> | AI 541.949</w:t>
      </w:r>
      <w:r>
        <w:rPr>
          <w:color w:val="003CA0"/>
          <w:sz w:val="12"/>
        </w:rPr>
        <w:t xml:space="preserve"> | rel. Marco Aurélio</w:t>
      </w:r>
    </w:p>
    <w:p>
      <w:pPr>
        <w:ind w:left="288"/>
      </w:pPr>
      <w:r>
        <w:rPr>
          <w:color w:val="1E1E1E"/>
          <w:sz w:val="18"/>
        </w:rPr>
        <w:t>Vide AI 541.949 AgR, rel. min. Marco Aurélio, j. 13-4-2011, 1ª T, DJE de 18-5-2011 Vide SS 3.952 AgR, rel. min. Cezar Peluso, j. 12-8-2010, P, DJE de 27-8-2010 A regra, antes do trânsito em julgado da sentença, é a liberdade; a prisão é a exceção, somente podendo ser decretada em situações excepcionalíssimas, demonstradas concretamente. A citação por edital não autoriza presumir que o paciente fugiu. A prisão cautelar, com fundamento nessa presunção, não se justifica para garantia da ordem pública nem por conveniência da instrução criminal.</w:t>
      </w:r>
    </w:p>
    <w:p>
      <w:pPr>
        <w:ind w:left="288"/>
      </w:pPr>
      <w:r>
        <w:rPr>
          <w:b/>
          <w:color w:val="003CA0"/>
          <w:sz w:val="16"/>
        </w:rPr>
        <w:t>[HC 95.674, rel. min. Eros Grau, j. 23-9-2008, 2ª T, DJE de 19-12-2008.]</w:t>
      </w:r>
    </w:p>
    <w:p>
      <w:pPr>
        <w:ind w:left="288"/>
      </w:pPr>
      <w:r>
        <w:rPr>
          <w:color w:val="8C8C8C"/>
          <w:sz w:val="12"/>
        </w:rPr>
        <w:t>cf-art-5-inc-L</w:t>
      </w:r>
      <w:r>
        <w:rPr>
          <w:color w:val="003CA0"/>
          <w:sz w:val="12"/>
        </w:rPr>
        <w:t xml:space="preserve"> | HC 97.028</w:t>
      </w:r>
      <w:r>
        <w:rPr>
          <w:color w:val="003CA0"/>
          <w:sz w:val="12"/>
        </w:rPr>
        <w:t xml:space="preserve"> | rel. Eros Grau</w:t>
      </w:r>
    </w:p>
    <w:p>
      <w:pPr>
        <w:ind w:left="288"/>
      </w:pPr>
      <w:r>
        <w:rPr>
          <w:color w:val="1E1E1E"/>
          <w:sz w:val="18"/>
        </w:rPr>
        <w:t>Vide HC 97.028, rel. min. Eros Grau, j. 16-12-2008, 2ª T, DJE de 14-8-2009 Impõe-se, ao Judiciário, o dever de assegurar, mesmo ao réu estrangeiro sem domicílio no Brasil, os direitos básicos que resultam do postulado do devido processo legal, notadamente as prerrogativas inerentes à garantia da ampla defesa, à garantia do contraditório, à igualdade entre as partes perante o juiz natural e à garantia de imparcialidade do magistrado processante. A essencialidade do postulado do devido processo legal, que se qualifica como requisito legitimador da própria persecutio criminis. O exame da cláusula</w:t>
      </w:r>
    </w:p>
    <w:p>
      <w:pPr>
        <w:ind w:left="288"/>
      </w:pPr>
      <w:r>
        <w:rPr>
          <w:b/>
          <w:color w:val="003CA0"/>
          <w:sz w:val="16"/>
        </w:rPr>
        <w:t>[HC 94.016, rel. min. Celso de Mello, j. 16-9-2008, 2ª T, DJE de 27-2-2009].</w:t>
      </w:r>
    </w:p>
    <w:p>
      <w:pPr>
        <w:ind w:left="288"/>
      </w:pPr>
      <w:r>
        <w:rPr>
          <w:color w:val="8C8C8C"/>
          <w:sz w:val="12"/>
        </w:rPr>
        <w:t>cf-art-5-inc-L</w:t>
      </w:r>
      <w:r>
        <w:rPr>
          <w:color w:val="003CA0"/>
          <w:sz w:val="12"/>
        </w:rPr>
        <w:t xml:space="preserve"> | EXT 1.126</w:t>
      </w:r>
      <w:r>
        <w:rPr>
          <w:color w:val="003CA0"/>
          <w:sz w:val="12"/>
        </w:rPr>
        <w:t xml:space="preserve"> | rel. Joaquim Barbosa</w:t>
      </w:r>
    </w:p>
    <w:p>
      <w:pPr>
        <w:ind w:left="288"/>
      </w:pPr>
      <w:r>
        <w:rPr>
          <w:color w:val="1E1E1E"/>
          <w:sz w:val="18"/>
        </w:rPr>
        <w:t>= Ext 1.126, rel. min. Joaquim Barbosa, j. 22-10-2009, P, DJE de 11-12-2009 Desapropriação. Interesse social. Reforma agrária. Imóvel rural. Levantamento de dados e informações. Vistoria. Prévia comunicação escrita ao proprietário, preposto ou representante. Elemento essencial do devido processo da lei (due process of law). Inobservância. Proprietária pessoalmente cientificada por ofício e aviso de recebimento sem menção da data em que foram recebidos. Notificação irregular e ineficaz. Nulidade do decreto reconhecida. Ofensa a direito líquido e certo. Segurança concedida. Aplicação do art. 2º,</w:t>
      </w:r>
    </w:p>
    <w:p>
      <w:pPr>
        <w:ind w:left="288"/>
      </w:pPr>
      <w:r>
        <w:rPr>
          <w:b/>
          <w:color w:val="003CA0"/>
          <w:sz w:val="16"/>
        </w:rPr>
        <w:t>[MS 24.130, rel. min. Cezar Peluso, j. 16-4-2008, P, DJE de 20-6-2008.]</w:t>
      </w:r>
    </w:p>
    <w:p>
      <w:pPr>
        <w:ind w:left="288"/>
      </w:pPr>
      <w:r>
        <w:rPr>
          <w:color w:val="8C8C8C"/>
          <w:sz w:val="12"/>
        </w:rPr>
        <w:t>cf-art-5-inc-L</w:t>
      </w:r>
      <w:r>
        <w:rPr>
          <w:color w:val="003CA0"/>
          <w:sz w:val="12"/>
        </w:rPr>
        <w:t xml:space="preserve"> | MS 25.793</w:t>
      </w:r>
      <w:r>
        <w:rPr>
          <w:color w:val="003CA0"/>
          <w:sz w:val="12"/>
        </w:rPr>
        <w:t xml:space="preserve"> | rel. Celso de Mello</w:t>
      </w:r>
    </w:p>
    <w:p>
      <w:pPr>
        <w:ind w:left="288"/>
      </w:pPr>
      <w:r>
        <w:rPr>
          <w:color w:val="1E1E1E"/>
          <w:sz w:val="18"/>
        </w:rPr>
        <w:t xml:space="preserve">Vide MS 25.793, rel. min. Celso de Mello, j. 5-11-2010, dec. monocrática, DJE de 11-11-2010 Não se faz necessária a notificação prévia e pessoal da data em que será realizada a sessão de julgamento de recurso de reconsideração pelo TCU. Ausência de ofensa aos princípios da ampla defesa e do devido processo legal quando a pauta de julgamentos é publicada no DOU. O pedido de sustentação oral pode ser feito, conforme autoriza o art. 168 do Regimento Interno do TCU, até quatro horas antes da sessão. Para tanto, é necessário que os interessados no julgamento acompanhem o andamento do processo e as </w:t>
      </w:r>
    </w:p>
    <w:p>
      <w:pPr>
        <w:ind w:left="288"/>
      </w:pPr>
      <w:r>
        <w:rPr>
          <w:b/>
          <w:color w:val="003CA0"/>
          <w:sz w:val="16"/>
        </w:rPr>
        <w:t>[MS 26.732 AgR, rel. min. Cármen Lúcia, j. 25-6-2008, P, DJE de 15-8-2008.]</w:t>
      </w:r>
    </w:p>
    <w:p>
      <w:pPr>
        <w:ind w:left="288"/>
      </w:pPr>
      <w:r>
        <w:rPr>
          <w:color w:val="8C8C8C"/>
          <w:sz w:val="12"/>
        </w:rPr>
        <w:t>cf-art-5-inc-L</w:t>
      </w:r>
      <w:r>
        <w:rPr>
          <w:color w:val="003CA0"/>
          <w:sz w:val="12"/>
        </w:rPr>
        <w:t xml:space="preserve"> | AC 1.621</w:t>
      </w:r>
      <w:r>
        <w:rPr>
          <w:color w:val="003CA0"/>
          <w:sz w:val="12"/>
        </w:rPr>
        <w:t xml:space="preserve"> | rel. Marco Aurélio</w:t>
      </w:r>
    </w:p>
    <w:p>
      <w:pPr>
        <w:ind w:left="288"/>
      </w:pPr>
      <w:r>
        <w:rPr>
          <w:color w:val="1E1E1E"/>
          <w:sz w:val="18"/>
        </w:rPr>
        <w:t>Estado. Inadimplência. Surpresa. Ajuizamento de ação. Suspensão do enquadramento. O enquadramento do Estado como inadimplente há de observar o devido processo legal, surgindo no campo da excepcionalidade. Relevância do tema e risco de manter-se com plena eficácia o quadro ante a necessidade de obter empréstimos externos.[AC 1.621 MC, rel. min. Marco Aurélio, j. 14-4-2008, P, DJE de 20-6-2008.] Padece de nulidade absoluta o processo penal em que, devidamente intimado, o advogado constituído do réu deixa de apresentar alegações finais, sem que o juízo, antes de proferir sentença condenatória, lh</w:t>
      </w:r>
    </w:p>
    <w:p>
      <w:pPr>
        <w:ind w:left="288"/>
      </w:pPr>
      <w:r>
        <w:rPr>
          <w:b/>
          <w:color w:val="003CA0"/>
          <w:sz w:val="16"/>
        </w:rPr>
        <w:t>[HC 92.680, rel. min. Cezar Peluso, j. 11-3-2008, 1ª T, DJE de 25-4-2008.]</w:t>
      </w:r>
    </w:p>
    <w:p>
      <w:pPr>
        <w:ind w:left="288"/>
      </w:pPr>
      <w:r>
        <w:rPr>
          <w:color w:val="8C8C8C"/>
          <w:sz w:val="12"/>
        </w:rPr>
        <w:t>cf-art-5-inc-L</w:t>
      </w:r>
      <w:r>
        <w:rPr>
          <w:color w:val="003CA0"/>
          <w:sz w:val="12"/>
        </w:rPr>
        <w:t xml:space="preserve"> | HC 95.667</w:t>
      </w:r>
      <w:r>
        <w:rPr>
          <w:color w:val="003CA0"/>
          <w:sz w:val="12"/>
        </w:rPr>
        <w:t xml:space="preserve"> | rel. Ricardo Lewandowski</w:t>
      </w:r>
    </w:p>
    <w:p>
      <w:pPr>
        <w:ind w:left="288"/>
      </w:pPr>
      <w:r>
        <w:rPr>
          <w:color w:val="1E1E1E"/>
          <w:sz w:val="18"/>
        </w:rPr>
        <w:t>= HC 95.667, rel. min. Ricardo Lewandowski, j. 16-6-2010, 1ª T, DJE de 1º-7-2010 Vide HC 98.664, rel. min. Marco Aurélio, j. 23-2-2010, 1ª T, DJE de 26-3-2010 Mandado de segurança. Legitimidade passiva para a causa. Pessoa jurídica de direito público a que pertence a autoridade. Representante processual do ente público. Falta de intimação da decisão concessiva da segurança. Violação do justo processo da lei (due process of law). Nulidade processual absoluta. (...) É nulo o processo de mandado de segurança a partir da falta de intimação, quanto à sentença, da pessoa jurídica de direito público,</w:t>
      </w:r>
    </w:p>
    <w:p>
      <w:pPr>
        <w:ind w:left="288"/>
      </w:pPr>
      <w:r>
        <w:rPr>
          <w:b/>
          <w:color w:val="003CA0"/>
          <w:sz w:val="16"/>
        </w:rPr>
        <w:t>[AI 431.264 AgR-segundo, rel. min. Cezar Peluso, j. 30-10-2007, 2ª T, DJ de 23-11-2007.]</w:t>
      </w:r>
    </w:p>
    <w:p>
      <w:pPr>
        <w:ind w:left="288"/>
      </w:pPr>
      <w:r>
        <w:rPr>
          <w:color w:val="8C8C8C"/>
          <w:sz w:val="12"/>
        </w:rPr>
        <w:t>cf-art-5-inc-L</w:t>
      </w:r>
      <w:r>
        <w:rPr>
          <w:color w:val="003CA0"/>
          <w:sz w:val="12"/>
        </w:rPr>
        <w:t xml:space="preserve"> | HC 85.717</w:t>
      </w:r>
      <w:r>
        <w:rPr>
          <w:color w:val="003CA0"/>
          <w:sz w:val="12"/>
        </w:rPr>
        <w:t xml:space="preserve"> | rel. Celso de Mello</w:t>
      </w:r>
    </w:p>
    <w:p>
      <w:pPr>
        <w:ind w:left="288"/>
      </w:pPr>
      <w:r>
        <w:rPr>
          <w:color w:val="1E1E1E"/>
          <w:sz w:val="18"/>
        </w:rPr>
        <w:t>Alegações finais inconsistentes e superficiais, produzidas, além do mais, por advogada com inscrição suspensa na OAB. Ofensa evidente ao direito de defesa do acusado. Nulidade processual absoluta. Desrespeito à garantia do due process of law. Abrangência dessa cláusula constitucional, que compreende, dentre as diversas prerrogativas de ordem jurídica que a compõem, o direito ao contraditório e à plenitude de defesa (direito à autodefesa e direito à defesa técnica, que deve ser adequada e efetiva).</w:t>
      </w:r>
    </w:p>
    <w:p>
      <w:pPr>
        <w:ind w:left="288"/>
      </w:pPr>
      <w:r>
        <w:rPr>
          <w:b/>
          <w:color w:val="003CA0"/>
          <w:sz w:val="16"/>
        </w:rPr>
        <w:t>[HC 85.717, rel. min. Celso de Mello, j. 9-10-2007, 1ª T, DJE de 14-6-2013.]</w:t>
      </w:r>
    </w:p>
    <w:p>
      <w:pPr>
        <w:ind w:left="288"/>
      </w:pPr>
      <w:r>
        <w:rPr>
          <w:color w:val="8C8C8C"/>
          <w:sz w:val="12"/>
        </w:rPr>
        <w:t>cf-art-5-inc-L</w:t>
      </w:r>
      <w:r>
        <w:rPr>
          <w:color w:val="003CA0"/>
          <w:sz w:val="12"/>
        </w:rPr>
        <w:t xml:space="preserve"> | RHC 119.900</w:t>
      </w:r>
      <w:r>
        <w:rPr>
          <w:color w:val="003CA0"/>
          <w:sz w:val="12"/>
        </w:rPr>
        <w:t xml:space="preserve"> | rel. Teori Zavascki</w:t>
      </w:r>
    </w:p>
    <w:p>
      <w:pPr>
        <w:ind w:left="288"/>
      </w:pPr>
      <w:r>
        <w:rPr>
          <w:color w:val="1E1E1E"/>
          <w:sz w:val="18"/>
        </w:rPr>
        <w:t>Vide RHC 119.900, rel. min. Teori Zavascki, j. 5-5-2015, 2ª T, DJE de 20-5-2015 É desnecessária a juntada do conteúdo integral das degravações das escutas telefônicas realizadas nos autos do inquérito no qual são investigados os ora pacientes, pois basta que se tenham degravados os excertos necessários ao embasamento da denúncia oferecida, não configurando, essa restrição, ofensa ao princípio do devido processo legal (art. 5º, LV, da Constituição da República).</w:t>
      </w:r>
    </w:p>
    <w:p>
      <w:pPr>
        <w:ind w:left="288"/>
      </w:pPr>
      <w:r>
        <w:rPr>
          <w:b/>
          <w:color w:val="003CA0"/>
          <w:sz w:val="16"/>
        </w:rPr>
        <w:t>[HC 91.207 MC, rel. min. Marco Aurélio, red. do ac. min. Cármen Lúcia, j. 11-6-2007, P, DJ de 21-9-2007.]</w:t>
      </w:r>
    </w:p>
    <w:p>
      <w:pPr>
        <w:ind w:left="288"/>
      </w:pPr>
      <w:r>
        <w:rPr>
          <w:color w:val="8C8C8C"/>
          <w:sz w:val="12"/>
        </w:rPr>
        <w:t>cf-art-5-inc-L</w:t>
      </w:r>
      <w:r>
        <w:rPr>
          <w:color w:val="003CA0"/>
          <w:sz w:val="12"/>
        </w:rPr>
        <w:t xml:space="preserve"> | INQ 2.774</w:t>
      </w:r>
      <w:r>
        <w:rPr>
          <w:color w:val="003CA0"/>
          <w:sz w:val="12"/>
        </w:rPr>
        <w:t xml:space="preserve"> | rel. Gilmar Mendes</w:t>
      </w:r>
    </w:p>
    <w:p>
      <w:pPr>
        <w:ind w:left="288"/>
      </w:pPr>
      <w:r>
        <w:rPr>
          <w:color w:val="1E1E1E"/>
          <w:sz w:val="18"/>
        </w:rPr>
        <w:t>= Inq 2.774, rel. min. Gilmar Mendes, j. 28-4-2011, P, DJE de 6-9-2011 O princípio do devido processo legal, que lastreia todo o leque de garantias constitucionais voltadas para a efetividade dos processos jurisdicionais e administrativos, assegura que todo julgamento seja realizado com a observância das regras procedimentais previamente estabelecidas e, além disso, representa uma exigência de fair trial, no sentido de garantir a participação equânime, justa, leal, enfim, sempre imbuída pela boa-fé e pela ética dos sujeitos processuais. A máxima do fair trial é uma das faces do princípio do de</w:t>
      </w:r>
    </w:p>
    <w:p>
      <w:pPr>
        <w:ind w:left="288"/>
      </w:pPr>
      <w:r>
        <w:rPr>
          <w:b/>
          <w:color w:val="003CA0"/>
          <w:sz w:val="16"/>
        </w:rPr>
        <w:t>[AI 529.733, voto do min. Gilmar Mendes, j. 17-10-2006, 2ª T, DJ de 1º-12-2006.]</w:t>
      </w:r>
    </w:p>
    <w:p>
      <w:pPr>
        <w:ind w:left="288"/>
      </w:pPr>
      <w:r>
        <w:rPr>
          <w:color w:val="8C8C8C"/>
          <w:sz w:val="12"/>
        </w:rPr>
        <w:t>cf-art-5-inc-L</w:t>
      </w:r>
      <w:r>
        <w:rPr>
          <w:color w:val="003CA0"/>
          <w:sz w:val="12"/>
        </w:rPr>
        <w:t xml:space="preserve"> | AC 1.033</w:t>
      </w:r>
      <w:r>
        <w:rPr>
          <w:color w:val="003CA0"/>
          <w:sz w:val="12"/>
        </w:rPr>
        <w:t xml:space="preserve"> | rel. Celso de Mello</w:t>
      </w:r>
    </w:p>
    <w:p>
      <w:pPr>
        <w:ind w:left="288"/>
      </w:pPr>
      <w:r>
        <w:rPr>
          <w:color w:val="1E1E1E"/>
          <w:sz w:val="18"/>
        </w:rPr>
        <w:t>Limitação de direitos e necessária observância, para efeito de sua imposição, da garantia constitucional do devido processo legal. A imposição estatal de restrições de ordem jurídica, quer se concretize na esfera judicial, quer se realize no âmbito estritamente administrativo (como sucede com a inclusão de supostos devedores em cadastros públicos de inadimplentes), supõe, para legitimar-se constitucionalmente, o efetivo respeito, pelo poder público, da garantia indisponível do due process of law, assegurada, pela Constituição da República (art. 5º, LIV), à generalidade das pessoas, inclusive à</w:t>
      </w:r>
    </w:p>
    <w:p>
      <w:pPr>
        <w:ind w:left="288"/>
      </w:pPr>
      <w:r>
        <w:rPr>
          <w:b/>
          <w:color w:val="003CA0"/>
          <w:sz w:val="16"/>
        </w:rPr>
        <w:t>[AC 1.033 AgR-QO, rel. min. Celso de Mello, j. 25-5-2006, P, DJ de 16-6-2006.]</w:t>
      </w:r>
    </w:p>
    <w:p>
      <w:pPr>
        <w:ind w:left="288"/>
      </w:pPr>
      <w:r>
        <w:rPr>
          <w:color w:val="8C8C8C"/>
          <w:sz w:val="12"/>
        </w:rPr>
        <w:t>cf-art-5-inc-L</w:t>
      </w:r>
      <w:r>
        <w:rPr>
          <w:color w:val="003CA0"/>
          <w:sz w:val="12"/>
        </w:rPr>
        <w:t xml:space="preserve"> | HC 86.879</w:t>
      </w:r>
      <w:r>
        <w:rPr>
          <w:color w:val="003CA0"/>
          <w:sz w:val="12"/>
        </w:rPr>
        <w:t xml:space="preserve"> | rel. Joaquim Barbosa</w:t>
      </w:r>
    </w:p>
    <w:p>
      <w:pPr>
        <w:ind w:left="288"/>
      </w:pPr>
      <w:r>
        <w:rPr>
          <w:color w:val="1E1E1E"/>
          <w:sz w:val="18"/>
        </w:rPr>
        <w:t>Crimes contra o Sistema Financeiro Nacional (Lei 7.492, de 1986). Crime societário. Alegada inépcia da denúncia, por ausência de indicação da conduta individualizada dos acusados. Mudança de orientação jurisprudencial, que, no caso de crimes societários, entendia ser apta a denúncia que não individualizasse as condutas de cada indiciado, bastando a indicação de que os acusados fossem de algum modo responsáveis pela condução da sociedade comercial sob a qual foram supostamente praticados os delitos. (...) Necessidade de individualização das respectivas condutas dos indiciados. Observância dos p</w:t>
      </w:r>
    </w:p>
    <w:p>
      <w:pPr>
        <w:ind w:left="288"/>
      </w:pPr>
      <w:r>
        <w:rPr>
          <w:b/>
          <w:color w:val="003CA0"/>
          <w:sz w:val="16"/>
        </w:rPr>
        <w:t>[HC 86.879, rel. min. Joaquim Barbosa, red. do ac. min. Gilmar Mendes, j. 21-2-2006, 2ª T, DJ de 16-6-2006.]</w:t>
      </w:r>
    </w:p>
    <w:p>
      <w:pPr>
        <w:ind w:left="288"/>
      </w:pPr>
      <w:r>
        <w:rPr>
          <w:color w:val="8C8C8C"/>
          <w:sz w:val="12"/>
        </w:rPr>
        <w:t>cf-art-5-inc-L</w:t>
      </w:r>
      <w:r>
        <w:rPr>
          <w:color w:val="003CA0"/>
          <w:sz w:val="12"/>
        </w:rPr>
        <w:t xml:space="preserve"> | HC 88.875</w:t>
      </w:r>
      <w:r>
        <w:rPr>
          <w:color w:val="003CA0"/>
          <w:sz w:val="12"/>
        </w:rPr>
        <w:t xml:space="preserve"> | rel. Celso de Mello</w:t>
      </w:r>
    </w:p>
    <w:p>
      <w:pPr>
        <w:ind w:left="288"/>
      </w:pPr>
      <w:r>
        <w:rPr>
          <w:color w:val="1E1E1E"/>
          <w:sz w:val="18"/>
        </w:rPr>
        <w:t>= HC 88.875, rel. min. Celso de Mello, j. 7-12-2010, 2ª T, DJE de 12-3-2012 Vide HC 93.628, rel. min. Ricardo Lewandowski, j. 31-3-2009, 1ª T, DJE de 17-4-2009 Vide HC 94.670, rel. min. Cármen Lúcia, j. 21-10-2008, P, DJE de 24-4-2009 Sociedade civil sem fins lucrativos. Entidade que integra espaço público, ainda que não estatal. Atividade de caráter público. Exclusão de sócio sem garantia do devido processo legal. Aplicação direta dos direitos fundamentais à ampla defesa e ao contraditório. As associações privadas que exercem função predominante em determinado âmbito econômico e/ou social, ma</w:t>
      </w:r>
    </w:p>
    <w:p>
      <w:pPr>
        <w:ind w:left="288"/>
      </w:pPr>
      <w:r>
        <w:rPr>
          <w:b/>
          <w:color w:val="003CA0"/>
          <w:sz w:val="16"/>
        </w:rPr>
        <w:t>[RE 201.819, rel. min. Ellen Gracie, red. do ac. min. Gilmar Mendes, j. 11-10-2005, 2ª T, DJ de 27-10-2006.]</w:t>
      </w:r>
    </w:p>
    <w:p>
      <w:pPr>
        <w:ind w:left="288"/>
      </w:pPr>
      <w:r>
        <w:rPr>
          <w:color w:val="8C8C8C"/>
          <w:sz w:val="12"/>
        </w:rPr>
        <w:t>cf-art-5-inc-L</w:t>
      </w:r>
      <w:r>
        <w:rPr>
          <w:color w:val="003CA0"/>
          <w:sz w:val="12"/>
        </w:rPr>
        <w:t xml:space="preserve"> | RE 413.327</w:t>
      </w:r>
      <w:r>
        <w:rPr>
          <w:color w:val="003CA0"/>
          <w:sz w:val="12"/>
        </w:rPr>
        <w:t xml:space="preserve"> | rel. Joaquim Barbosa</w:t>
      </w:r>
    </w:p>
    <w:p>
      <w:pPr>
        <w:ind w:left="288"/>
      </w:pPr>
      <w:r>
        <w:rPr>
          <w:color w:val="1E1E1E"/>
          <w:sz w:val="18"/>
        </w:rPr>
        <w:t>Sistema de votação que previa a distribuição de duas cédulas a cada vereador, uma contendo a palavra "sim" e outra a palavra "não". Ausência, nos autos, de controvérsia acerca da inexistência de recipiente para recolhimento dos votos remanescentes. Adotado formalmente pela Câmara de Vereadores o sigilo como regra do processo de cassação do mandato de vereador, é indispensável a previsão de mecanismo apto a assegurar, com plena eficácia, que os votos sejam proferidos de forma sigilosa, sob pena de violação do princípio do devido processo legal.</w:t>
      </w:r>
    </w:p>
    <w:p>
      <w:pPr>
        <w:ind w:left="288"/>
      </w:pPr>
      <w:r>
        <w:rPr>
          <w:b/>
          <w:color w:val="003CA0"/>
          <w:sz w:val="16"/>
        </w:rPr>
        <w:t>[RE 413.327, rel. min. Joaquim Barbosa, j. 14-12-2004, 2ª T, DJ de 3-6-2005.]</w:t>
      </w:r>
    </w:p>
    <w:p>
      <w:pPr>
        <w:ind w:left="288"/>
      </w:pPr>
      <w:r>
        <w:rPr>
          <w:color w:val="8C8C8C"/>
          <w:sz w:val="12"/>
        </w:rPr>
        <w:t>cf-art-5-inc-L</w:t>
      </w:r>
      <w:r>
        <w:rPr>
          <w:color w:val="003CA0"/>
          <w:sz w:val="12"/>
        </w:rPr>
        <w:t xml:space="preserve"> | EXT 897</w:t>
      </w:r>
      <w:r>
        <w:rPr>
          <w:color w:val="003CA0"/>
          <w:sz w:val="12"/>
        </w:rPr>
        <w:t xml:space="preserve"> | rel. Celso de Mello</w:t>
      </w:r>
    </w:p>
    <w:p>
      <w:pPr>
        <w:ind w:left="288"/>
      </w:pPr>
      <w:r>
        <w:rPr>
          <w:color w:val="1E1E1E"/>
          <w:sz w:val="18"/>
        </w:rPr>
        <w:t>O STF não deve autorizar a extradição, se se demonstrar que o ordenamento jurídico do Estado estrangeiro que a requer não se revela capaz de assegurar, aos réus, em juízo criminal, os direitos básicos que resultam do postulado do due process of law (RTJ 134/56-58 – RTJ 177/485-488), notadamente as prerrogativas inerentes à garantia da ampla defesa, à garantia do contraditório, à igualdade entre as partes perante o juiz natural e à garantia de imparcialidade do magistrado processante.</w:t>
      </w:r>
    </w:p>
    <w:p>
      <w:pPr>
        <w:ind w:left="288"/>
      </w:pPr>
      <w:r>
        <w:rPr>
          <w:b/>
          <w:color w:val="003CA0"/>
          <w:sz w:val="16"/>
        </w:rPr>
        <w:t>[Ext 897, rel. min. Celso de Mello, j. 23-9-2004, P, DJ de 18-2-2005.]</w:t>
      </w:r>
    </w:p>
    <w:p>
      <w:pPr>
        <w:ind w:left="288"/>
      </w:pPr>
      <w:r>
        <w:rPr>
          <w:color w:val="8C8C8C"/>
          <w:sz w:val="12"/>
        </w:rPr>
        <w:t>cf-art-5-inc-L</w:t>
      </w:r>
      <w:r>
        <w:rPr>
          <w:color w:val="003CA0"/>
          <w:sz w:val="12"/>
        </w:rPr>
        <w:t xml:space="preserve"> | EXT 986</w:t>
      </w:r>
      <w:r>
        <w:rPr>
          <w:color w:val="003CA0"/>
          <w:sz w:val="12"/>
        </w:rPr>
        <w:t xml:space="preserve"> | rel. Eros Grau</w:t>
      </w:r>
    </w:p>
    <w:p>
      <w:pPr>
        <w:ind w:left="288"/>
      </w:pPr>
      <w:r>
        <w:rPr>
          <w:color w:val="1E1E1E"/>
          <w:sz w:val="18"/>
        </w:rPr>
        <w:t>= Ext 986, rel. min. Eros Grau, j. 15-8-2007, P, DJ de 5-10-2007 O servidor público ocupante de cargo efetivo, ainda que em estágio probatório, não pode ser exonerado ad nutum, com base em decreto que declara a desnecessidade do cargo, sob pena de ofensa à garantia do devido processo legal, do contraditório e da ampla defesa. Incidência da Súmula 21/STF.</w:t>
      </w:r>
    </w:p>
    <w:p>
      <w:pPr>
        <w:ind w:left="288"/>
      </w:pPr>
      <w:r>
        <w:rPr>
          <w:b/>
          <w:color w:val="003CA0"/>
          <w:sz w:val="16"/>
        </w:rPr>
        <w:t>[RE 378.041, rel. min. Ayres Britto, j. 21-9-2004, 1ª T, DJ de 11-2-2005.]</w:t>
      </w:r>
    </w:p>
    <w:p>
      <w:pPr>
        <w:ind w:left="288"/>
      </w:pPr>
      <w:r>
        <w:rPr>
          <w:color w:val="8C8C8C"/>
          <w:sz w:val="12"/>
        </w:rPr>
        <w:t>cf-art-5-inc-L</w:t>
      </w:r>
      <w:r>
        <w:rPr>
          <w:color w:val="003CA0"/>
          <w:sz w:val="12"/>
        </w:rPr>
        <w:t xml:space="preserve"> | AI 623.854</w:t>
      </w:r>
      <w:r>
        <w:rPr>
          <w:color w:val="003CA0"/>
          <w:sz w:val="12"/>
        </w:rPr>
        <w:t xml:space="preserve"> | rel. Cármen Lúcia</w:t>
      </w:r>
    </w:p>
    <w:p>
      <w:pPr>
        <w:ind w:left="288"/>
      </w:pPr>
      <w:r>
        <w:rPr>
          <w:color w:val="1E1E1E"/>
          <w:sz w:val="18"/>
        </w:rPr>
        <w:t>= AI 623.854 AgR, rel. min. Cármen Lúcia, j. 25-8-2009, 1ª T, DJE de 23-10-2009. Vide RE 223.904, rel. min. Ellen Gracie, j. 8-6-2004, 2ª T, DJ de 6-8-2004 Vide RE 222.532, rel. min. Sepúlveda Pertence, j. 8-8-2000, 1ª T, DJ de 1º-9-2000 É nulo o decreto expropriatório de imóvel rural para fim de reforma agrária, quando o proprietário não tenha sido notificado antes do início dos trabalhos de vistoria, senão no dia em que esses tiveram início, ou quando a notificação, posto que prévia, não lhe haja sido entregue pessoalmente, nem a preposto ou representante seu.</w:t>
      </w:r>
    </w:p>
    <w:p>
      <w:pPr>
        <w:ind w:left="288"/>
      </w:pPr>
      <w:r>
        <w:rPr>
          <w:b/>
          <w:color w:val="003CA0"/>
          <w:sz w:val="16"/>
        </w:rPr>
        <w:t>[MS 24.417, rel. min. Cezar Peluso, j. 2-6-2004, P, DJ de 28-10-2004.]</w:t>
      </w:r>
    </w:p>
    <w:p>
      <w:pPr>
        <w:ind w:left="288"/>
      </w:pPr>
      <w:r>
        <w:rPr>
          <w:color w:val="8C8C8C"/>
          <w:sz w:val="12"/>
        </w:rPr>
        <w:t>cf-art-5-inc-L</w:t>
      </w:r>
      <w:r>
        <w:rPr>
          <w:color w:val="003CA0"/>
          <w:sz w:val="12"/>
        </w:rPr>
        <w:t xml:space="preserve"> | MS 22.164</w:t>
      </w:r>
      <w:r>
        <w:rPr>
          <w:color w:val="003CA0"/>
          <w:sz w:val="12"/>
        </w:rPr>
        <w:t xml:space="preserve"> | rel. Celso de Mello</w:t>
      </w:r>
    </w:p>
    <w:p>
      <w:pPr>
        <w:ind w:left="288"/>
      </w:pPr>
      <w:r>
        <w:rPr>
          <w:color w:val="1E1E1E"/>
          <w:sz w:val="18"/>
        </w:rPr>
        <w:t>= MS 22.164, rel. min. Celso de Mello, j. 30-10-1995, P, DJ de 17-11-1995 Crime material contra a ordem tributária (Lei 8.137/1990, art. 1º): lançamento do tributo pendente de decisão definitiva do processo administrativo: falta de justa causa para a ação penal, suspenso, porém, o curso da prescrição enquanto obstada a sua propositura pela falta do lançamento definitivo. Embora não condicionada a denúncia à representação da autoridade fiscal (ADI 1.571 MC), falta justa causa para a ação penal pela prática do crime tipificado no art. 1º da Lei 8.137/1990 – que é material ou de resultado –, enqu</w:t>
      </w:r>
    </w:p>
    <w:p>
      <w:pPr>
        <w:ind w:left="288"/>
      </w:pPr>
      <w:r>
        <w:rPr>
          <w:b/>
          <w:color w:val="003CA0"/>
          <w:sz w:val="16"/>
        </w:rPr>
        <w:t>[HC 81.611, rel. min. Sepúlveda Pertence, j. 10-12-2003, P, DJ de 13-5-2005.]</w:t>
      </w:r>
    </w:p>
    <w:p>
      <w:pPr>
        <w:ind w:left="288"/>
      </w:pPr>
      <w:r>
        <w:rPr>
          <w:color w:val="8C8C8C"/>
          <w:sz w:val="12"/>
        </w:rPr>
        <w:t>cf-art-5-inc-L</w:t>
      </w:r>
      <w:r>
        <w:rPr>
          <w:color w:val="003CA0"/>
          <w:sz w:val="12"/>
        </w:rPr>
        <w:t xml:space="preserve"> | HC 96.832</w:t>
      </w:r>
      <w:r>
        <w:rPr>
          <w:color w:val="003CA0"/>
          <w:sz w:val="12"/>
        </w:rPr>
        <w:t xml:space="preserve"> | rel. Joaquim Barbosa</w:t>
      </w:r>
    </w:p>
    <w:p>
      <w:pPr>
        <w:ind w:left="288"/>
      </w:pPr>
      <w:r>
        <w:rPr>
          <w:color w:val="1E1E1E"/>
          <w:sz w:val="18"/>
        </w:rPr>
        <w:t xml:space="preserve">= HC 96.832, rel. min. Joaquim Barbosa, j. 10-8-2010, 2ª T, DJE de 10-9-2010 = HC 97.118, rel. min. Ricardo Lewandowski, j. 23-3-2010, 1ª T, DJE de 23-4-2010 = Inq 2.486, rel. min. Ayres Britto, j. 8-10-2009, P, DJE de 18-12-2009 Vide HC 108.037, rel. min. Marco Aurélio, j. 29-11-2011, 1ª T, DJE de 1º-2-2012 Vide RHC 99.778, rel. min. Dias Toffoli, red. do ac. min. Luiz Fux, j. 2-8-2011, 1ª T, DJE de 2-9-2011 Vide HC 96.324, voto do min. Marco Aurélio, j. 14-6-2011, 1ª T, DJE de 17-8-2011 Vide HC 101.900, rel. min. Celso de Mello, j. 21-9-2010, 2ª T, DJE de 11-3-2014 Vide HC 92.959, rel. min. </w:t>
      </w:r>
    </w:p>
    <w:p>
      <w:pPr>
        <w:ind w:left="288"/>
      </w:pPr>
      <w:r>
        <w:rPr>
          <w:b/>
          <w:color w:val="003CA0"/>
          <w:sz w:val="16"/>
        </w:rPr>
        <w:t>[HC 83.255, rel. min. Marco Aurélio, j. 5-11-2003, P, DJ de 12-3-2004.]</w:t>
      </w:r>
    </w:p>
    <w:p>
      <w:pPr>
        <w:ind w:left="288"/>
      </w:pPr>
      <w:r>
        <w:rPr>
          <w:color w:val="8C8C8C"/>
          <w:sz w:val="12"/>
        </w:rPr>
        <w:t>cf-art-5-inc-L</w:t>
      </w:r>
      <w:r>
        <w:rPr>
          <w:color w:val="003CA0"/>
          <w:sz w:val="12"/>
        </w:rPr>
        <w:t xml:space="preserve"> | MS 23.949</w:t>
      </w:r>
      <w:r>
        <w:rPr>
          <w:color w:val="003CA0"/>
          <w:sz w:val="12"/>
        </w:rPr>
        <w:t xml:space="preserve"> | rel. Celso de Mello</w:t>
      </w:r>
    </w:p>
    <w:p>
      <w:pPr>
        <w:ind w:left="288"/>
      </w:pPr>
      <w:r>
        <w:rPr>
          <w:color w:val="1E1E1E"/>
          <w:sz w:val="18"/>
        </w:rPr>
        <w:t>Reforma agrária (...). Ofensa ao postulado do due process of law (CF, art. 5º, LIV). Nulidade radical da declaração expropriatória (...). O postulado constitucional do due process of law, em sua destinação jurídica, também está vocacionado à proteção da propriedade. Ninguém será privado de seus bens sem o devido processo legal (CF, art. 5º, LIV). A União Federal, mesmo tratando-se de execução e implementação do programa de reforma agrária, não está dispensada da obrigação de respeitar, no desempenho de sua atividade de expropriação, por interesse social, os princípios constitucionais que, em t</w:t>
      </w:r>
    </w:p>
    <w:p>
      <w:pPr>
        <w:ind w:left="288"/>
      </w:pPr>
      <w:r>
        <w:rPr>
          <w:b/>
          <w:color w:val="003CA0"/>
          <w:sz w:val="16"/>
        </w:rPr>
        <w:t>[MS 23.949, rel. min. Celso de Mello, j. 1º-2-2002, P, DJE de 27-3-2009.]</w:t>
      </w:r>
    </w:p>
    <w:p>
      <w:pPr>
        <w:ind w:left="288"/>
      </w:pPr>
      <w:r>
        <w:rPr>
          <w:color w:val="8C8C8C"/>
          <w:sz w:val="12"/>
        </w:rPr>
        <w:t>cf-art-5-inc-L</w:t>
      </w:r>
      <w:r>
        <w:rPr>
          <w:color w:val="003CA0"/>
          <w:sz w:val="12"/>
        </w:rPr>
        <w:t xml:space="preserve"> | RE 148.872</w:t>
      </w:r>
      <w:r>
        <w:rPr>
          <w:color w:val="003CA0"/>
          <w:sz w:val="12"/>
        </w:rPr>
        <w:t xml:space="preserve"> | rel. Moreira Alves</w:t>
      </w:r>
    </w:p>
    <w:p>
      <w:pPr>
        <w:ind w:left="288"/>
      </w:pPr>
      <w:r>
        <w:rPr>
          <w:color w:val="1E1E1E"/>
          <w:sz w:val="18"/>
        </w:rPr>
        <w:t>Execução extrajudicial. Recepção, pela Constituição de 1988, do DL 70/1966. Esta Corte, em vários precedentes (assim, a título exemplificativo, nos RE 148.872, RE 223.075 e RE 240.361), tem-se orientado no sentido de que o DL 70/1966 é compatível com a atual Constituição, não se chocando, inclusive, com o disposto nos incisos XXXV, LIV e LV do art. 5º desta, razão por que foi por ela recebido.</w:t>
      </w:r>
    </w:p>
    <w:p>
      <w:pPr>
        <w:ind w:left="288"/>
      </w:pPr>
      <w:r>
        <w:rPr>
          <w:b/>
          <w:color w:val="003CA0"/>
          <w:sz w:val="16"/>
        </w:rPr>
        <w:t>[RE 287.453, rel. min. Moreira Alves, j. 18-9-2001, 1ª T, DJ de 26-10-2001.]</w:t>
      </w:r>
    </w:p>
    <w:p>
      <w:pPr>
        <w:ind w:left="288"/>
      </w:pPr>
      <w:r>
        <w:rPr>
          <w:color w:val="8C8C8C"/>
          <w:sz w:val="12"/>
        </w:rPr>
        <w:t>cf-art-5-inc-L</w:t>
      </w:r>
      <w:r>
        <w:rPr>
          <w:color w:val="003CA0"/>
          <w:sz w:val="12"/>
        </w:rPr>
        <w:t xml:space="preserve"> | AI 663.578</w:t>
      </w:r>
      <w:r>
        <w:rPr>
          <w:color w:val="003CA0"/>
          <w:sz w:val="12"/>
        </w:rPr>
        <w:t xml:space="preserve"> | rel. Ellen Gracie</w:t>
      </w:r>
    </w:p>
    <w:p>
      <w:pPr>
        <w:ind w:left="288"/>
      </w:pPr>
      <w:r>
        <w:rPr>
          <w:color w:val="1E1E1E"/>
          <w:sz w:val="18"/>
        </w:rPr>
        <w:t>= AI 663.578 AgR, rel. min. Ellen Gracie, j. 4-8-2009, 2ª T, DJE de 28-8-2009 Na hipótese de exclusão de associado decorrente de conduta contrária aos estatutos, impõe-se a observância ao devido processo legal, viabilizado o exercício amplo da defesa. Simples desafio do associado à assembleia geral, no que toca à exclusão, não é de molde a atrair adoção de processo sumário. Observância obrigatória do próprio estatuto da cooperativa.</w:t>
      </w:r>
    </w:p>
    <w:p>
      <w:pPr>
        <w:ind w:left="288"/>
      </w:pPr>
      <w:r>
        <w:rPr>
          <w:b/>
          <w:color w:val="003CA0"/>
          <w:sz w:val="16"/>
        </w:rPr>
        <w:t>[RE 158.215, rel. min. Marco Aurélio, j. 30-4-1996, 2ª T, DJ de 7-6-1996.]</w:t>
      </w:r>
    </w:p>
    <w:p>
      <w:pPr>
        <w:ind w:left="288"/>
      </w:pPr>
      <w:r>
        <w:rPr>
          <w:color w:val="8C8C8C"/>
          <w:sz w:val="12"/>
        </w:rPr>
        <w:t>cf-art-5-inc-L</w:t>
      </w:r>
      <w:r>
        <w:rPr>
          <w:color w:val="003CA0"/>
          <w:sz w:val="12"/>
        </w:rPr>
        <w:t xml:space="preserve"> | MS 21.545</w:t>
      </w:r>
      <w:r>
        <w:rPr>
          <w:color w:val="003CA0"/>
          <w:sz w:val="12"/>
        </w:rPr>
        <w:t xml:space="preserve"> | rel. Moreira Alves</w:t>
      </w:r>
    </w:p>
    <w:p>
      <w:pPr>
        <w:ind w:left="288"/>
      </w:pPr>
      <w:r>
        <w:rPr>
          <w:color w:val="1E1E1E"/>
          <w:sz w:val="18"/>
        </w:rPr>
        <w:t>Não há dúvida de que são independentes as instâncias penal e administrativa, só repercutindo aquela nesta quando ela se manifesta pela inexistência material do fato ou pela negativa de sua autoria.</w:t>
      </w:r>
    </w:p>
    <w:p>
      <w:pPr>
        <w:ind w:left="288"/>
      </w:pPr>
      <w:r>
        <w:rPr>
          <w:b/>
          <w:color w:val="003CA0"/>
          <w:sz w:val="16"/>
        </w:rPr>
        <w:t>[MS 21.545, rel. min. Moreira Alves, j. 11-3-1993, P, DJ de 2-4-1993.]</w:t>
      </w:r>
    </w:p>
    <w:p>
      <w:pPr>
        <w:ind w:left="288"/>
      </w:pPr>
      <w:r>
        <w:rPr>
          <w:color w:val="8C8C8C"/>
          <w:sz w:val="12"/>
        </w:rPr>
        <w:t>cf-art-5-inc-L</w:t>
      </w:r>
      <w:r>
        <w:rPr>
          <w:color w:val="003CA0"/>
          <w:sz w:val="12"/>
        </w:rPr>
        <w:t xml:space="preserve"> | ARE 691.306</w:t>
      </w:r>
      <w:r>
        <w:rPr>
          <w:color w:val="003CA0"/>
          <w:sz w:val="12"/>
        </w:rPr>
        <w:t xml:space="preserve"> | rel. Cezar Peluso</w:t>
      </w:r>
    </w:p>
    <w:p>
      <w:pPr>
        <w:ind w:left="288"/>
      </w:pPr>
      <w:r>
        <w:rPr>
          <w:color w:val="1E1E1E"/>
          <w:sz w:val="18"/>
        </w:rPr>
        <w:t>Vide ARE 691.306 RG, rel. min. Cezar Peluso, j. 23-8-2012, P, DJE de 11-9-2012, Tema 565 LV - aos litigantes, em processo judicial ou administrativo, e aos acusados em geral são assegurados o contraditório e ampla defesa, com os meios e recursos a ela inerentes;</w:t>
      </w:r>
    </w:p>
    <w:p>
      <w:pPr>
        <w:ind w:left="144"/>
      </w:pPr>
      <w:r>
        <w:rPr>
          <w:b/>
          <w:color w:val="B45A00"/>
          <w:sz w:val="16"/>
        </w:rPr>
        <w:t>SUMULA VINCULANTE</w:t>
      </w:r>
    </w:p>
    <w:p>
      <w:pPr>
        <w:ind w:left="288"/>
      </w:pPr>
      <w:r>
        <w:rPr>
          <w:color w:val="8C8C8C"/>
          <w:sz w:val="12"/>
        </w:rPr>
        <w:t>cf-art-5-inc-L</w:t>
      </w:r>
    </w:p>
    <w:p>
      <w:pPr>
        <w:ind w:left="288"/>
      </w:pPr>
      <w:r>
        <w:rPr>
          <w:color w:val="1E1E1E"/>
          <w:sz w:val="18"/>
        </w:rPr>
        <w:t>É inconstitucional a exigência de depósito prévio como requisito de admissibilidade de ação judicial na qual se pretenda discutir a exigibilidade de crédito tributário.</w:t>
      </w:r>
    </w:p>
    <w:p>
      <w:pPr>
        <w:ind w:left="288"/>
      </w:pPr>
      <w:r>
        <w:rPr>
          <w:b/>
          <w:color w:val="003CA0"/>
          <w:sz w:val="16"/>
        </w:rPr>
        <w:t>[Súmula Vinculante 28.]</w:t>
      </w:r>
    </w:p>
    <w:p>
      <w:pPr>
        <w:ind w:left="288"/>
      </w:pPr>
      <w:r>
        <w:rPr>
          <w:color w:val="8C8C8C"/>
          <w:sz w:val="12"/>
        </w:rPr>
        <w:t>cf-art-5-inc-L</w:t>
      </w:r>
    </w:p>
    <w:p>
      <w:pPr>
        <w:ind w:left="288"/>
      </w:pPr>
      <w:r>
        <w:rPr>
          <w:color w:val="1E1E1E"/>
          <w:sz w:val="18"/>
        </w:rPr>
        <w:t>É inconstitucional a exigência de depósito ou arrolamento prévios de dinheiro ou bens para admissibilidade de recurso administrativo.</w:t>
      </w:r>
    </w:p>
    <w:p>
      <w:pPr>
        <w:ind w:left="288"/>
      </w:pPr>
      <w:r>
        <w:rPr>
          <w:b/>
          <w:color w:val="003CA0"/>
          <w:sz w:val="16"/>
        </w:rPr>
        <w:t>[Súmula Vinculante 21.]</w:t>
      </w:r>
    </w:p>
    <w:p>
      <w:pPr>
        <w:ind w:left="288"/>
      </w:pPr>
      <w:r>
        <w:rPr>
          <w:color w:val="8C8C8C"/>
          <w:sz w:val="12"/>
        </w:rPr>
        <w:t>cf-art-5-inc-L</w:t>
      </w:r>
    </w:p>
    <w:p>
      <w:pPr>
        <w:ind w:left="288"/>
      </w:pPr>
      <w:r>
        <w:rPr>
          <w:color w:val="1E1E1E"/>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288"/>
      </w:pPr>
      <w:r>
        <w:rPr>
          <w:color w:val="8C8C8C"/>
          <w:sz w:val="12"/>
        </w:rPr>
        <w:t>cf-art-5-inc-L</w:t>
      </w:r>
    </w:p>
    <w:p>
      <w:pPr>
        <w:ind w:left="288"/>
      </w:pPr>
      <w:r>
        <w:rPr>
          <w:color w:val="1E1E1E"/>
          <w:sz w:val="18"/>
        </w:rPr>
        <w:t>A falta de defesa técnica por advogado no processo administrativo disciplinar não ofende a Constituição.</w:t>
      </w:r>
    </w:p>
    <w:p>
      <w:pPr>
        <w:ind w:left="288"/>
      </w:pPr>
      <w:r>
        <w:rPr>
          <w:b/>
          <w:color w:val="003CA0"/>
          <w:sz w:val="16"/>
        </w:rPr>
        <w:t>[Súmula Vinculante 5.]</w:t>
      </w:r>
    </w:p>
    <w:p>
      <w:pPr>
        <w:ind w:left="288"/>
      </w:pPr>
      <w:r>
        <w:rPr>
          <w:color w:val="8C8C8C"/>
          <w:sz w:val="12"/>
        </w:rPr>
        <w:t>cf-art-5-inc-L</w:t>
      </w:r>
    </w:p>
    <w:p>
      <w:pPr>
        <w:ind w:left="288"/>
      </w:pPr>
      <w:r>
        <w:rPr>
          <w:color w:val="1E1E1E"/>
          <w:sz w:val="18"/>
        </w:rPr>
        <w:t>Nos processos perante o TCU asseguram-se o contraditório e a ampla defesa quando da decisão puder resultar anulação ou revogação de ato administrativo que beneficie o interessado, excetuada a apreciação da legalidade do ato de concessão inicial de aposentadoria, reforma e pensão.</w:t>
      </w:r>
    </w:p>
    <w:p>
      <w:pPr>
        <w:ind w:left="288"/>
      </w:pPr>
      <w:r>
        <w:rPr>
          <w:b/>
          <w:color w:val="003CA0"/>
          <w:sz w:val="16"/>
        </w:rPr>
        <w:t>[Súmula Vinculante 3.]</w:t>
      </w:r>
    </w:p>
    <w:p>
      <w:pPr>
        <w:ind w:left="288"/>
      </w:pPr>
      <w:r>
        <w:rPr>
          <w:color w:val="8C8C8C"/>
          <w:sz w:val="12"/>
        </w:rPr>
        <w:t>cf-art-5-inc-L</w:t>
      </w:r>
    </w:p>
    <w:p>
      <w:pPr>
        <w:ind w:left="288"/>
      </w:pPr>
      <w:r>
        <w:rPr>
          <w:color w:val="1E1E1E"/>
          <w:sz w:val="18"/>
        </w:rPr>
        <w:t>É nulo o julgamento da apelação se, após a manifestação nos autos da renúncia do único defensor, o réu não foi previamente intimado para constituir outro.</w:t>
      </w:r>
    </w:p>
    <w:p>
      <w:pPr>
        <w:ind w:left="288"/>
      </w:pPr>
      <w:r>
        <w:rPr>
          <w:b/>
          <w:color w:val="003CA0"/>
          <w:sz w:val="16"/>
        </w:rPr>
        <w:t>[Súmula 708.]</w:t>
      </w:r>
    </w:p>
    <w:p>
      <w:pPr>
        <w:ind w:left="288"/>
      </w:pPr>
      <w:r>
        <w:rPr>
          <w:color w:val="8C8C8C"/>
          <w:sz w:val="12"/>
        </w:rPr>
        <w:t>cf-art-5-inc-L</w:t>
      </w:r>
    </w:p>
    <w:p>
      <w:pPr>
        <w:ind w:left="288"/>
      </w:pPr>
      <w:r>
        <w:rPr>
          <w:color w:val="1E1E1E"/>
          <w:sz w:val="18"/>
        </w:rPr>
        <w:t>Não viola as garantias do juiz natural, da ampla defesa e do devido processo legal a atração por continência ou conexão do processo do corréu ao foro por prerrogativa de função de um dos denunciados.</w:t>
      </w:r>
    </w:p>
    <w:p>
      <w:pPr>
        <w:ind w:left="288"/>
      </w:pPr>
      <w:r>
        <w:rPr>
          <w:b/>
          <w:color w:val="003CA0"/>
          <w:sz w:val="16"/>
        </w:rPr>
        <w:t>[Súmula 704.]</w:t>
      </w:r>
    </w:p>
    <w:p>
      <w:pPr>
        <w:ind w:left="288"/>
      </w:pPr>
      <w:r>
        <w:rPr>
          <w:color w:val="8C8C8C"/>
          <w:sz w:val="12"/>
        </w:rPr>
        <w:t>cf-art-5-inc-L</w:t>
      </w:r>
    </w:p>
    <w:p>
      <w:pPr>
        <w:ind w:left="288"/>
      </w:pPr>
      <w:r>
        <w:rPr>
          <w:color w:val="1E1E1E"/>
          <w:sz w:val="18"/>
        </w:rPr>
        <w:t>No mandado de segurança impetrado pelo Ministério Público contra decisão proferida em processo penal, é obrigatória a citação do réu como litisconsorte passivo.</w:t>
      </w:r>
    </w:p>
    <w:p>
      <w:pPr>
        <w:ind w:left="288"/>
      </w:pPr>
      <w:r>
        <w:rPr>
          <w:b/>
          <w:color w:val="003CA0"/>
          <w:sz w:val="16"/>
        </w:rPr>
        <w:t>[Súmula 701.]</w:t>
      </w:r>
    </w:p>
    <w:p>
      <w:pPr>
        <w:ind w:left="288"/>
      </w:pPr>
      <w:r>
        <w:rPr>
          <w:color w:val="8C8C8C"/>
          <w:sz w:val="12"/>
        </w:rPr>
        <w:t>cf-art-5-inc-L</w:t>
      </w:r>
    </w:p>
    <w:p>
      <w:pPr>
        <w:ind w:left="288"/>
      </w:pPr>
      <w:r>
        <w:rPr>
          <w:color w:val="1E1E1E"/>
          <w:sz w:val="18"/>
        </w:rPr>
        <w:t>No processo penal, a falta da defesa constitui nulidade absoluta, mas a sua deficiência só o anulará se houver prova de prejuízo para o réu.</w:t>
      </w:r>
    </w:p>
    <w:p>
      <w:pPr>
        <w:ind w:left="288"/>
      </w:pPr>
      <w:r>
        <w:rPr>
          <w:b/>
          <w:color w:val="003CA0"/>
          <w:sz w:val="16"/>
        </w:rPr>
        <w:t>[Súmula 523.]</w:t>
      </w:r>
    </w:p>
    <w:p>
      <w:pPr>
        <w:ind w:left="288"/>
      </w:pPr>
      <w:r>
        <w:rPr>
          <w:color w:val="8C8C8C"/>
          <w:sz w:val="12"/>
        </w:rPr>
        <w:t>cf-art-5-inc-L</w:t>
      </w:r>
    </w:p>
    <w:p>
      <w:pPr>
        <w:ind w:left="288"/>
      </w:pPr>
      <w:r>
        <w:rPr>
          <w:color w:val="1E1E1E"/>
          <w:sz w:val="18"/>
        </w:rPr>
        <w:t>É necessário processo administrativo com ampla defesa, para demissão de funcionário admitido por concurso.</w:t>
      </w:r>
    </w:p>
    <w:p>
      <w:pPr>
        <w:ind w:left="288"/>
      </w:pPr>
      <w:r>
        <w:rPr>
          <w:b/>
          <w:color w:val="003CA0"/>
          <w:sz w:val="16"/>
        </w:rPr>
        <w:t>[Súmula 20.]</w:t>
      </w:r>
    </w:p>
    <w:p>
      <w:pPr>
        <w:ind w:left="288"/>
      </w:pPr>
      <w:r>
        <w:rPr>
          <w:color w:val="8C8C8C"/>
          <w:sz w:val="12"/>
        </w:rPr>
        <w:t>cf-art-5-inc-L</w:t>
      </w:r>
      <w:r>
        <w:rPr>
          <w:color w:val="003CA0"/>
          <w:sz w:val="12"/>
        </w:rPr>
        <w:t xml:space="preserve"> | ADI 7.600</w:t>
      </w:r>
      <w:r>
        <w:rPr>
          <w:color w:val="003CA0"/>
          <w:sz w:val="12"/>
        </w:rPr>
        <w:t xml:space="preserve"> | rel. Dias Toffoli</w:t>
      </w:r>
    </w:p>
    <w:p>
      <w:pPr>
        <w:ind w:left="288"/>
      </w:pPr>
      <w:r>
        <w:rPr>
          <w:color w:val="1E1E1E"/>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w:t>
      </w:r>
    </w:p>
    <w:p>
      <w:pPr>
        <w:ind w:left="288"/>
      </w:pPr>
      <w:r>
        <w:rPr>
          <w:b/>
          <w:color w:val="003CA0"/>
          <w:sz w:val="16"/>
        </w:rPr>
        <w:t>[ADI 7.600, ADI 7.601 e 7.608, rel. min. Dias Toffoli, j. 01.07.2025, P, DJE de 15.09.2025.]</w:t>
      </w:r>
    </w:p>
    <w:p>
      <w:pPr>
        <w:ind w:left="288"/>
      </w:pPr>
      <w:r>
        <w:rPr>
          <w:color w:val="8C8C8C"/>
          <w:sz w:val="12"/>
        </w:rPr>
        <w:t>cf-art-5-inc-L</w:t>
      </w:r>
      <w:r>
        <w:rPr>
          <w:color w:val="003CA0"/>
          <w:sz w:val="12"/>
        </w:rPr>
        <w:t xml:space="preserve"> | ADI 5.465</w:t>
      </w:r>
      <w:r>
        <w:rPr>
          <w:color w:val="003CA0"/>
          <w:sz w:val="12"/>
        </w:rPr>
        <w:t xml:space="preserve"> | rel. Nunes Marques</w:t>
      </w:r>
    </w:p>
    <w:p>
      <w:pPr>
        <w:ind w:left="288"/>
      </w:pPr>
      <w:r>
        <w:rPr>
          <w:color w:val="1E1E1E"/>
          <w:sz w:val="18"/>
        </w:rPr>
        <w:t>Ação direta de inconstitucionalidade proposta contra a Lei n. 14.946, de 28 de janeiro de 2013, do Estado de São Paulo, que “dispõe sobre a cassação da inscrição no cadastro de contribuintes do Imposto sobre Operações Relativas à Circulação de Mercadorias e sobre Prestações de Serviços de Transporte Interestadual e Intermunicipal – ICMS, de qualquer empresa que faça uso direto ou indireto de trabalho escravo ou em condições análogas”. (...) Pedido julgado parcialmente procedente, para conferir interpretação conforme à Constituição ao (i) art. 1º da Lei n. 14.946/2013, do Estado de São Paulo, d</w:t>
      </w:r>
    </w:p>
    <w:p>
      <w:pPr>
        <w:ind w:left="288"/>
      </w:pPr>
      <w:r>
        <w:rPr>
          <w:b/>
          <w:color w:val="003CA0"/>
          <w:sz w:val="16"/>
        </w:rPr>
        <w:t>[ADI 5.465, rel. min. Nunes Marques, j. 09.04.2025, P, DJE de 11.06.2025.]</w:t>
      </w:r>
    </w:p>
    <w:p>
      <w:pPr>
        <w:ind w:left="144"/>
      </w:pPr>
      <w:r>
        <w:rPr>
          <w:b/>
          <w:color w:val="B45A00"/>
          <w:sz w:val="16"/>
        </w:rPr>
        <w:t>CONTROLE CONCENTRADO</w:t>
      </w:r>
    </w:p>
    <w:p>
      <w:pPr>
        <w:ind w:left="288"/>
      </w:pPr>
      <w:r>
        <w:rPr>
          <w:color w:val="8C8C8C"/>
          <w:sz w:val="12"/>
        </w:rPr>
        <w:t>cf-art-5-inc-L</w:t>
      </w:r>
      <w:r>
        <w:rPr>
          <w:color w:val="003CA0"/>
          <w:sz w:val="12"/>
        </w:rPr>
        <w:t xml:space="preserve"> | ADI 5.737</w:t>
      </w:r>
      <w:r>
        <w:rPr>
          <w:color w:val="003CA0"/>
          <w:sz w:val="12"/>
        </w:rPr>
        <w:t xml:space="preserve"> | rel. Dias Toffoli</w:t>
      </w:r>
    </w:p>
    <w:p>
      <w:pPr>
        <w:ind w:left="288"/>
      </w:pPr>
      <w:r>
        <w:rPr>
          <w:color w:val="1E1E1E"/>
          <w:sz w:val="18"/>
        </w:rPr>
        <w:t>Nas hipóteses previstas nos arts. 9º, parágrafo único, inciso II, e 311, parágrafo único, do CPC/2015, o contraditório não foi suprimido, e sim diferido, como ocorre em qualquer provimento liminar. O legislador realizou uma ponderação entre a garantia do contraditório, de um lado, e a garantia de um processo justo e efetivo, de outro, o qual compreende a duração razoável do processo, a celeridade de sua tramitação e o acesso à justiça na dimensão material. Os preceitos questionados também conferem consequências de ordem prática às teses vinculantes firmadas nos termos do CPC/2015.</w:t>
        <w:br/>
        <w:t xml:space="preserve">[ADI 5.737, </w:t>
      </w:r>
    </w:p>
    <w:p>
      <w:pPr>
        <w:ind w:left="288"/>
      </w:pPr>
      <w:r>
        <w:rPr>
          <w:b/>
          <w:color w:val="003CA0"/>
          <w:sz w:val="16"/>
        </w:rPr>
        <w:t>[ADI 5.755, rel. min. Rosa Weber, j. 30-6-2022, P, DJE de 4-10-2022.]</w:t>
      </w:r>
    </w:p>
    <w:p>
      <w:pPr>
        <w:ind w:left="288"/>
      </w:pPr>
      <w:r>
        <w:rPr>
          <w:color w:val="8C8C8C"/>
          <w:sz w:val="12"/>
        </w:rPr>
        <w:t>cf-art-5-inc-L</w:t>
      </w:r>
      <w:r>
        <w:rPr>
          <w:color w:val="003CA0"/>
          <w:sz w:val="12"/>
        </w:rPr>
        <w:t xml:space="preserve"> | ADPF 509</w:t>
      </w:r>
      <w:r>
        <w:rPr>
          <w:color w:val="003CA0"/>
          <w:sz w:val="12"/>
        </w:rPr>
        <w:t xml:space="preserve"> | rel. Marco Aurélio</w:t>
      </w:r>
    </w:p>
    <w:p>
      <w:pPr>
        <w:ind w:left="288"/>
      </w:pPr>
      <w:r>
        <w:rPr>
          <w:color w:val="1E1E1E"/>
          <w:sz w:val="18"/>
        </w:rPr>
        <w:t>Identificada, por auditor-fiscal, exploração de trabalho em condição análoga à de escravo e lavrado auto de infração, a inclusão do empregador em cadastro ocorre após decisão administrativa irrecorrível, assegurados o contraditório e a ampla defesa.</w:t>
      </w:r>
    </w:p>
    <w:p>
      <w:pPr>
        <w:ind w:left="288"/>
      </w:pPr>
      <w:r>
        <w:rPr>
          <w:b/>
          <w:color w:val="003CA0"/>
          <w:sz w:val="16"/>
        </w:rPr>
        <w:t>[ADPF 509, rel. min. Marco Aurélio, j. 16-9-2020, P, DJE de 5-10-2020.]</w:t>
      </w:r>
    </w:p>
    <w:p>
      <w:pPr>
        <w:ind w:left="288"/>
      </w:pPr>
      <w:r>
        <w:rPr>
          <w:color w:val="8C8C8C"/>
          <w:sz w:val="12"/>
        </w:rPr>
        <w:t>cf-art-5-inc-L</w:t>
      </w:r>
      <w:r>
        <w:rPr>
          <w:color w:val="003CA0"/>
          <w:sz w:val="12"/>
        </w:rPr>
        <w:t xml:space="preserve"> | ADI 758</w:t>
      </w:r>
      <w:r>
        <w:rPr>
          <w:color w:val="003CA0"/>
          <w:sz w:val="12"/>
        </w:rPr>
        <w:t xml:space="preserve"> | rel. Dias Toffoli</w:t>
      </w:r>
    </w:p>
    <w:p>
      <w:pPr>
        <w:ind w:left="288"/>
      </w:pPr>
      <w:r>
        <w:rPr>
          <w:color w:val="1E1E1E"/>
          <w:sz w:val="18"/>
        </w:rPr>
        <w:t>Não ofende os princípios da isonomia, da ampla defesa e do contraditório a ausência de previsão, nas normas regimentais, de limitação de tempo para o Ministério Público realizar sustentação oral quando atuar na qualidade de custos legis, pois, nessa condição, não se equipara às partes e persegue o interesse público, pugnando pelo cumprimento do ordenamento jurídico de forma imparcial e independente.</w:t>
      </w:r>
    </w:p>
    <w:p>
      <w:pPr>
        <w:ind w:left="288"/>
      </w:pPr>
      <w:r>
        <w:rPr>
          <w:b/>
          <w:color w:val="003CA0"/>
          <w:sz w:val="16"/>
        </w:rPr>
        <w:t>[ADI 758, rel. min. Dias Toffoli, j. 27-9-2019, P, DJE de 18-11-2019.]</w:t>
      </w:r>
    </w:p>
    <w:p>
      <w:pPr>
        <w:ind w:left="288"/>
      </w:pPr>
      <w:r>
        <w:rPr>
          <w:color w:val="8C8C8C"/>
          <w:sz w:val="12"/>
        </w:rPr>
        <w:t>cf-art-5-inc-L</w:t>
      </w:r>
      <w:r>
        <w:rPr>
          <w:color w:val="003CA0"/>
          <w:sz w:val="12"/>
        </w:rPr>
        <w:t xml:space="preserve"> | ADI 4.338</w:t>
      </w:r>
      <w:r>
        <w:rPr>
          <w:color w:val="003CA0"/>
          <w:sz w:val="12"/>
        </w:rPr>
        <w:t xml:space="preserve"> | rel. Rosa Weber</w:t>
      </w:r>
    </w:p>
    <w:p>
      <w:pPr>
        <w:ind w:left="288"/>
      </w:pPr>
      <w:r>
        <w:rPr>
          <w:color w:val="1E1E1E"/>
          <w:sz w:val="18"/>
        </w:rPr>
        <w:t>Serviço de transporte público coletivo. Interrupção ou não conclusão da viagem. Ressarcimento de tarifa aos usuários. Extensão ao transporte de passageiros entre o Distrito Federal e a região do entorno. Transporte interestadual. (...) Ao instituir hipótese de presunção legal absoluta quanto à veracidade do fato alegado em denúncia de infração realizada por usuário do serviço de transporte público coletivo, o art. 3º, parágrafo único, da Lei 4.112/2008 do Distrito Federal inviabiliza o contraditório e impede o exercício do direito de defesa na esfera administrativa, mostrando-se incompatível c</w:t>
      </w:r>
    </w:p>
    <w:p>
      <w:pPr>
        <w:ind w:left="288"/>
      </w:pPr>
      <w:r>
        <w:rPr>
          <w:b/>
          <w:color w:val="003CA0"/>
          <w:sz w:val="16"/>
        </w:rPr>
        <w:t>[ADI 4.338, rel. min. Rosa Weber, j. 23-8-2019, P, DJE de 9-9-2019.]</w:t>
      </w:r>
    </w:p>
    <w:p>
      <w:pPr>
        <w:ind w:left="288"/>
      </w:pPr>
      <w:r>
        <w:rPr>
          <w:color w:val="8C8C8C"/>
          <w:sz w:val="12"/>
        </w:rPr>
        <w:t>cf-art-5-inc-L</w:t>
      </w:r>
      <w:r>
        <w:rPr>
          <w:color w:val="003CA0"/>
          <w:sz w:val="12"/>
        </w:rPr>
        <w:t xml:space="preserve"> | ADI 2.144</w:t>
      </w:r>
      <w:r>
        <w:rPr>
          <w:color w:val="003CA0"/>
          <w:sz w:val="12"/>
        </w:rPr>
        <w:t xml:space="preserve"> | rel. Teori Zavascki</w:t>
      </w:r>
    </w:p>
    <w:p>
      <w:pPr>
        <w:ind w:left="288"/>
      </w:pPr>
      <w:r>
        <w:rPr>
          <w:color w:val="1E1E1E"/>
          <w:sz w:val="18"/>
        </w:rPr>
        <w:t>É constitucional o tratamento diferenciado dado às intimações do defensor constituído, do advogado do querelante e do assistente, realizadas por meio de publicação oficial, em contraposição às do Ministério Público e do defensor nomeado, feitas pessoalmente (CPP, art. 370, §§ 1º e 4º).</w:t>
      </w:r>
    </w:p>
    <w:p>
      <w:pPr>
        <w:ind w:left="288"/>
      </w:pPr>
      <w:r>
        <w:rPr>
          <w:b/>
          <w:color w:val="003CA0"/>
          <w:sz w:val="16"/>
        </w:rPr>
        <w:t>[ADI 2.144, rel. min. Teori Zavascki, j. 2-6-2016, P, DJE de 14-6-2016.]</w:t>
      </w:r>
    </w:p>
    <w:p>
      <w:pPr>
        <w:ind w:left="288"/>
      </w:pPr>
      <w:r>
        <w:rPr>
          <w:color w:val="8C8C8C"/>
          <w:sz w:val="12"/>
        </w:rPr>
        <w:t>cf-art-5-inc-L</w:t>
      </w:r>
      <w:r>
        <w:rPr>
          <w:color w:val="003CA0"/>
          <w:sz w:val="12"/>
        </w:rPr>
        <w:t xml:space="preserve"> | HC 102.597</w:t>
      </w:r>
      <w:r>
        <w:rPr>
          <w:color w:val="003CA0"/>
          <w:sz w:val="12"/>
        </w:rPr>
        <w:t xml:space="preserve"> | rel. Cármen Lúcia</w:t>
      </w:r>
    </w:p>
    <w:p>
      <w:pPr>
        <w:ind w:left="288"/>
      </w:pPr>
      <w:r>
        <w:rPr>
          <w:color w:val="1E1E1E"/>
          <w:sz w:val="18"/>
        </w:rPr>
        <w:t>= HC 102.597, rel. min. Cármen Lúcia, j. 24-8-2010, 1ª T, DJE de 10-9-2010 Vide HC 98.802, rel. min. Joaquim Barbosa, j. 20-10-2009, 2ª T, DJE de 27-11-2009 Vide HC 89.315, rel. min. Ricardo Lewandowski, j. 19-9-2006, 1ª T, DJ de 13-10-2006 A apresentação de defesa prévia não é uma exigência do princípio constitucional da ampla defesa: ela é exceção, e não a regra no processo penal. Não há, portanto, impedimento para que a primeira oportunidade de apresentação de defesa no processo penal comum se dê após o recebimento da denúncia. No caso dos autos, muito embora não se assegure defesa previame</w:t>
      </w:r>
    </w:p>
    <w:p>
      <w:pPr>
        <w:ind w:left="288"/>
      </w:pPr>
      <w:r>
        <w:rPr>
          <w:b/>
          <w:color w:val="003CA0"/>
          <w:sz w:val="16"/>
        </w:rPr>
        <w:t>[ADPF 378 MC, red. do ac. min. Roberto Barroso, j. 16-12-2015, P, DJE de 8-3-2016.]</w:t>
      </w:r>
    </w:p>
    <w:p>
      <w:pPr>
        <w:ind w:left="288"/>
      </w:pPr>
      <w:r>
        <w:rPr>
          <w:color w:val="8C8C8C"/>
          <w:sz w:val="12"/>
        </w:rPr>
        <w:t>cf-art-5-inc-L</w:t>
      </w:r>
      <w:r>
        <w:rPr>
          <w:color w:val="003CA0"/>
          <w:sz w:val="12"/>
        </w:rPr>
        <w:t xml:space="preserve"> | ADPF 156</w:t>
      </w:r>
      <w:r>
        <w:rPr>
          <w:color w:val="003CA0"/>
          <w:sz w:val="12"/>
        </w:rPr>
        <w:t xml:space="preserve"> | rel. Cármen Lúcia</w:t>
      </w:r>
    </w:p>
    <w:p>
      <w:pPr>
        <w:ind w:left="288"/>
      </w:pPr>
      <w:r>
        <w:rPr>
          <w:color w:val="1E1E1E"/>
          <w:sz w:val="18"/>
        </w:rPr>
        <w:t>Arguição de descumprimento de preceito fundamental. Parágrafo 1º do art. 636 da CLT: não recepção pela Constituição de 1988. Incompatibilidade da exigência de depósito prévio do valor correspondente à multa como condição de admissibilidade de recurso administrativo interposto junto à autoridade trabalhista (§ 1º do art. 636 da CLT) com a Constituição de 1988. Inobservância das garantias constitucionais do devido processo legal e da ampla defesa (art. 5º, LIV e LV); do princípio da isonomia (art. 5º, caput); do direito de petição (art. 5º, XXXIV, a).</w:t>
      </w:r>
    </w:p>
    <w:p>
      <w:pPr>
        <w:ind w:left="288"/>
      </w:pPr>
      <w:r>
        <w:rPr>
          <w:b/>
          <w:color w:val="003CA0"/>
          <w:sz w:val="16"/>
        </w:rPr>
        <w:t>[ADPF 156, rel. min. Cármen Lúcia, j. 18-8-2011, P, DJE de 28-10-2011.]</w:t>
        <w:br/>
        <w:t>Vide AI 698.626 QO-RG, rel. min. Ellen Gracie, j. 2-10-2008, P, DJE de 5-12-2008</w:t>
      </w:r>
    </w:p>
    <w:p>
      <w:pPr>
        <w:ind w:left="288"/>
      </w:pPr>
      <w:r>
        <w:rPr>
          <w:color w:val="8C8C8C"/>
          <w:sz w:val="12"/>
        </w:rPr>
        <w:t>cf-art-5-inc-L</w:t>
      </w:r>
      <w:r>
        <w:rPr>
          <w:color w:val="003CA0"/>
          <w:sz w:val="12"/>
        </w:rPr>
        <w:t xml:space="preserve"> | ADI 4.264</w:t>
      </w:r>
      <w:r>
        <w:rPr>
          <w:color w:val="003CA0"/>
          <w:sz w:val="12"/>
        </w:rPr>
        <w:t xml:space="preserve"> | rel. Ricardo Lewandowski</w:t>
      </w:r>
    </w:p>
    <w:p>
      <w:pPr>
        <w:ind w:left="288"/>
      </w:pPr>
      <w:r>
        <w:rPr>
          <w:color w:val="1E1E1E"/>
          <w:sz w:val="18"/>
        </w:rPr>
        <w:t>Ofende as garantias do contraditório e da ampla defesa o convite aos interessados, por meio de edital, para subsidiar a Administração na demarcação da posição das linhas do preamar médio do ano de 1831, uma vez que o cumprimento do devido processo legal pressupõe a intimação pessoal.</w:t>
      </w:r>
    </w:p>
    <w:p>
      <w:pPr>
        <w:ind w:left="288"/>
      </w:pPr>
      <w:r>
        <w:rPr>
          <w:b/>
          <w:color w:val="003CA0"/>
          <w:sz w:val="16"/>
        </w:rPr>
        <w:t>[ADI 4.264 MC, rel. min. Ricardo Lewandowski, j. 16-3-2011, P, DJE de 30-5-2011.]</w:t>
      </w:r>
    </w:p>
    <w:p>
      <w:pPr>
        <w:ind w:left="288"/>
      </w:pPr>
      <w:r>
        <w:rPr>
          <w:color w:val="8C8C8C"/>
          <w:sz w:val="12"/>
        </w:rPr>
        <w:t>cf-art-5-inc-L</w:t>
      </w:r>
      <w:r>
        <w:rPr>
          <w:color w:val="003CA0"/>
          <w:sz w:val="12"/>
        </w:rPr>
        <w:t xml:space="preserve"> | ADI 3.288</w:t>
      </w:r>
      <w:r>
        <w:rPr>
          <w:color w:val="003CA0"/>
          <w:sz w:val="12"/>
        </w:rPr>
        <w:t xml:space="preserve"> | rel. Ayres Britto</w:t>
      </w:r>
    </w:p>
    <w:p>
      <w:pPr>
        <w:ind w:left="288"/>
      </w:pPr>
      <w:r>
        <w:rPr>
          <w:color w:val="1E1E1E"/>
          <w:sz w:val="18"/>
        </w:rPr>
        <w:t>A suspensão preventiva dos membros da Polícia Civil do Estado de Minas Gerais está a se revelar como consequência automática do recebimento da denúncia pelo Poder Judiciário. Automaticidade que viola as garantias constitucionais do devido processo legal, do contraditório e da ampla defesa (incisos LIV e LV do art. 5º). Existência de outra lei estadual que adota idêntica medida cautelar administrativa, admitindo a suspensão, pelo prazo máximo de noventa dias, no curso de um processo administrativo específico, garantidos o contraditório e a ampla defesa. Ação direta que se julga procedente.</w:t>
      </w:r>
    </w:p>
    <w:p>
      <w:pPr>
        <w:ind w:left="288"/>
      </w:pPr>
      <w:r>
        <w:rPr>
          <w:b/>
          <w:color w:val="003CA0"/>
          <w:sz w:val="16"/>
        </w:rPr>
        <w:t>[ADI 3.288, rel. min. Ayres Britto, j. 13-10-2010, P, DJE de 24-2-2011.]</w:t>
      </w:r>
    </w:p>
    <w:p>
      <w:pPr>
        <w:ind w:left="288"/>
      </w:pPr>
      <w:r>
        <w:rPr>
          <w:color w:val="8C8C8C"/>
          <w:sz w:val="12"/>
        </w:rPr>
        <w:t>cf-art-5-inc-L</w:t>
      </w:r>
      <w:r>
        <w:rPr>
          <w:color w:val="003CA0"/>
          <w:sz w:val="12"/>
        </w:rPr>
        <w:t xml:space="preserve"> | ADI 2.120</w:t>
      </w:r>
      <w:r>
        <w:rPr>
          <w:color w:val="003CA0"/>
          <w:sz w:val="12"/>
        </w:rPr>
        <w:t xml:space="preserve"> | rel. Celso de Mello</w:t>
      </w:r>
    </w:p>
    <w:p>
      <w:pPr>
        <w:ind w:left="288"/>
      </w:pPr>
      <w:r>
        <w:rPr>
          <w:color w:val="1E1E1E"/>
          <w:sz w:val="18"/>
        </w:rPr>
        <w:t>Nenhuma penalidade poderá ser imposta, mesmo no campo do direito administrativo, sem que se ofereça ao imputado a possibilidade de se defender previamente. A preterição do direito de defesa torna írrito e nulo o ato punitivo. Nemo inauditus damnari debet. O direito constitucional à ampla (e prévia) defesa, sob o domínio da Constituição de 1988 (art. 5º, LV), tem como precípuo destinatário o acusado, qualquer acusado, ainda que em sede meramente administrativa. O STF, ao proclamar a imprescindibilidade da observância desse postulado, essencial e inerente ao due process of law, tem advertido que</w:t>
      </w:r>
    </w:p>
    <w:p>
      <w:pPr>
        <w:ind w:left="288"/>
      </w:pPr>
      <w:r>
        <w:rPr>
          <w:b/>
          <w:color w:val="003CA0"/>
          <w:sz w:val="16"/>
        </w:rPr>
        <w:t>[ADI 2.120, rel. min. Celso de Mello, j. 16-10-2008, P, DJE de 30-10-2014.]</w:t>
      </w:r>
    </w:p>
    <w:p>
      <w:pPr>
        <w:ind w:left="288"/>
      </w:pPr>
      <w:r>
        <w:rPr>
          <w:color w:val="8C8C8C"/>
          <w:sz w:val="12"/>
        </w:rPr>
        <w:t>cf-art-5-inc-L</w:t>
      </w:r>
      <w:r>
        <w:rPr>
          <w:color w:val="003CA0"/>
          <w:sz w:val="12"/>
        </w:rPr>
        <w:t xml:space="preserve"> | ADI 3.168</w:t>
      </w:r>
      <w:r>
        <w:rPr>
          <w:color w:val="003CA0"/>
          <w:sz w:val="12"/>
        </w:rPr>
        <w:t xml:space="preserve"> | rel. Joaquim Barbosa</w:t>
      </w:r>
    </w:p>
    <w:p>
      <w:pPr>
        <w:ind w:left="288"/>
      </w:pPr>
      <w:r>
        <w:rPr>
          <w:color w:val="1E1E1E"/>
          <w:sz w:val="18"/>
        </w:rPr>
        <w:t>Perante os juizados especiais federais, em processos de natureza cível, as partes podem comparecer pessoalmente em juízo ou designar representante, advogado ou não, desde que a causa não ultrapasse o valor de sessenta salários mínimos (art. 3º da Lei 10.259/2001) e sem prejuízo da aplicação subsidiária integral dos parágrafos do art. 9º da Lei 9.099/1995. Já quanto aos processos de natureza criminal, em homenagem ao princípio da ampla defesa, é imperativo que o réu compareça ao processo devidamente acompanhado de profissional habilitado a oferecer-lhe defesa técnica de qualidade, ou seja, de a</w:t>
      </w:r>
    </w:p>
    <w:p>
      <w:pPr>
        <w:ind w:left="288"/>
      </w:pPr>
      <w:r>
        <w:rPr>
          <w:b/>
          <w:color w:val="003CA0"/>
          <w:sz w:val="16"/>
        </w:rPr>
        <w:t>[ADI 3.168, rel. min. Joaquim Barbosa, j. 8-6-2006, P, DJ de 3-8-2007.]</w:t>
      </w:r>
    </w:p>
    <w:p>
      <w:pPr>
        <w:ind w:left="288"/>
      </w:pPr>
      <w:r>
        <w:rPr>
          <w:color w:val="8C8C8C"/>
          <w:sz w:val="12"/>
        </w:rPr>
        <w:t>cf-art-5-inc-L</w:t>
      </w:r>
      <w:r>
        <w:rPr>
          <w:color w:val="003CA0"/>
          <w:sz w:val="12"/>
        </w:rPr>
        <w:t xml:space="preserve"> | ADI 1.127</w:t>
      </w:r>
      <w:r>
        <w:rPr>
          <w:color w:val="003CA0"/>
          <w:sz w:val="12"/>
        </w:rPr>
        <w:t xml:space="preserve"> | rel. Marco Aurélio</w:t>
      </w:r>
    </w:p>
    <w:p>
      <w:pPr>
        <w:ind w:left="288"/>
      </w:pPr>
      <w:r>
        <w:rPr>
          <w:color w:val="1E1E1E"/>
          <w:sz w:val="18"/>
        </w:rPr>
        <w:t>A sustentação oral pelo advogado, após o voto do relator, afronta o devido processo legal, além de poder causar tumulto processual, uma vez que o contraditório se estabelece entre as partes.</w:t>
      </w:r>
    </w:p>
    <w:p>
      <w:pPr>
        <w:ind w:left="288"/>
      </w:pPr>
      <w:r>
        <w:rPr>
          <w:b/>
          <w:color w:val="003CA0"/>
          <w:sz w:val="16"/>
        </w:rPr>
        <w:t>[ADI 1.127, rel. min. Marco Aurélio, red. do ac. min. Ricardo Lewandowski, j. 17-5-2006, P, DJE de 11-6-2010.]</w:t>
      </w:r>
    </w:p>
    <w:p>
      <w:pPr>
        <w:ind w:left="288"/>
      </w:pPr>
      <w:r>
        <w:rPr>
          <w:color w:val="8C8C8C"/>
          <w:sz w:val="12"/>
        </w:rPr>
        <w:t>cf-art-5-inc-L</w:t>
      </w:r>
      <w:r>
        <w:rPr>
          <w:color w:val="003CA0"/>
          <w:sz w:val="12"/>
        </w:rPr>
        <w:t xml:space="preserve"> | HC 87.926</w:t>
      </w:r>
      <w:r>
        <w:rPr>
          <w:color w:val="003CA0"/>
          <w:sz w:val="12"/>
        </w:rPr>
        <w:t xml:space="preserve"> | rel. Cezar Peluso</w:t>
      </w:r>
    </w:p>
    <w:p>
      <w:pPr>
        <w:ind w:left="288"/>
      </w:pPr>
      <w:r>
        <w:rPr>
          <w:color w:val="1E1E1E"/>
          <w:sz w:val="18"/>
        </w:rPr>
        <w:t>Vide HC 87.926, rel. min. Cezar Peluso, j. 20-2-2008, P, DJE de 25-4-2008 (...) a Lei estadual  5.839/1999, ao condicionar a imposição de multa à notificação via Correios, não trata de legislação de trânsito, mas de processo administrativo. Trata-se de mera pretensão fiscal, e não do exercício da ação fiscal. O Fisco só exercerá sua pretensão após o recebimento de notificação. Norma estatal que confere máxima efetividade do direito de defesa (CF, art. 5º, LV).</w:t>
      </w:r>
    </w:p>
    <w:p>
      <w:pPr>
        <w:ind w:left="288"/>
      </w:pPr>
      <w:r>
        <w:rPr>
          <w:b/>
          <w:color w:val="003CA0"/>
          <w:sz w:val="16"/>
        </w:rPr>
        <w:t>[ADI 2.374, rel. min. Gilmar Mendes, j. 6-10-2004, P, DJ de 16-2-2007.]</w:t>
      </w:r>
    </w:p>
    <w:p>
      <w:pPr>
        <w:ind w:left="288"/>
      </w:pPr>
      <w:r>
        <w:rPr>
          <w:color w:val="8C8C8C"/>
          <w:sz w:val="12"/>
        </w:rPr>
        <w:t>cf-art-5-inc-L</w:t>
      </w:r>
      <w:r>
        <w:rPr>
          <w:color w:val="003CA0"/>
          <w:sz w:val="12"/>
        </w:rPr>
        <w:t xml:space="preserve"> | ADI 1.511</w:t>
      </w:r>
    </w:p>
    <w:p>
      <w:pPr>
        <w:ind w:left="288"/>
      </w:pPr>
      <w:r>
        <w:rPr>
          <w:color w:val="1E1E1E"/>
          <w:sz w:val="18"/>
        </w:rPr>
        <w:t>Abrindo o debate, deixo expresso que a Constituição de 1988 consagra o devido processo legal nos seus dois aspectos, substantivo e processual, nos incisos LIV e LV do art. 5º, respectivamente. (...) Due process of law, com conteúdo substantivo – substantive due process – constitui limite ao Legislativo, no sentido de que as leis devem ser elaboradas com justiça, devem ser dotadas de razoabilidade (reasonableness) e de racionalidade (rationality), devem guardar, segundo W. Holmes, um real e substancial nexo com o objetivo que se quer atingir. Paralelamente, due process of law, com caráter proce</w:t>
      </w:r>
    </w:p>
    <w:p>
      <w:pPr>
        <w:ind w:left="288"/>
      </w:pPr>
      <w:r>
        <w:rPr>
          <w:b/>
          <w:color w:val="003CA0"/>
          <w:sz w:val="16"/>
        </w:rPr>
        <w:t>[ADI 1.511 MC, voto do min. Carlos Velloso, j. 16-10-1996, P, DJ de 6-6-2003.]</w:t>
      </w:r>
    </w:p>
    <w:p>
      <w:pPr>
        <w:ind w:left="288"/>
      </w:pPr>
      <w:r>
        <w:rPr>
          <w:color w:val="8C8C8C"/>
          <w:sz w:val="12"/>
        </w:rPr>
        <w:t>cf-art-5-inc-L</w:t>
      </w:r>
      <w:r>
        <w:rPr>
          <w:color w:val="003CA0"/>
          <w:sz w:val="12"/>
        </w:rPr>
        <w:t xml:space="preserve"> | RE 1.387.795</w:t>
      </w:r>
      <w:r>
        <w:rPr>
          <w:color w:val="003CA0"/>
          <w:sz w:val="12"/>
        </w:rPr>
        <w:t xml:space="preserve"> | rel. Dias Toffoli</w:t>
      </w:r>
    </w:p>
    <w:p>
      <w:pPr>
        <w:ind w:left="288"/>
      </w:pPr>
      <w:r>
        <w:rPr>
          <w:color w:val="1E1E1E"/>
          <w:sz w:val="18"/>
        </w:rPr>
        <w:t>“1 - O cumprimento de sentença trabalhista não poderá ser promovido em face de empresa que não tiver participado da fase de conhecimento do processo, devendo o reclamante indicar, na petição inicial, as pessoas jurídicas corresponsáveis solidárias contra as quais pretende direcionar a execução de eventual título judicial, inclusive nas hipóteses de grupo econômico (art. 2°, §§ 2° e 3°, da CLT), demonstrando concretamente, nessa hipótese, a presença dos requisitos legais; 2 - Admite-se, excepcionalmente, o redirecionamento da execução trabalhista a terceiro que não tenha participado do processo</w:t>
      </w:r>
    </w:p>
    <w:p>
      <w:pPr>
        <w:ind w:left="288"/>
      </w:pPr>
      <w:r>
        <w:rPr>
          <w:b/>
          <w:color w:val="003CA0"/>
          <w:sz w:val="16"/>
        </w:rPr>
        <w:t>[RE 1.387.795, rel. min. Dias Toffoli, j. 13.10.2025, P, DJE de 10.12.2025, Tema 1.232, com mérito julgado.]</w:t>
      </w:r>
    </w:p>
    <w:p>
      <w:pPr>
        <w:ind w:left="288"/>
      </w:pPr>
      <w:r>
        <w:rPr>
          <w:color w:val="8C8C8C"/>
          <w:sz w:val="12"/>
        </w:rPr>
        <w:t>cf-art-5-inc-L</w:t>
      </w:r>
      <w:r>
        <w:rPr>
          <w:color w:val="003CA0"/>
          <w:sz w:val="12"/>
        </w:rPr>
        <w:t xml:space="preserve"> | ARE 1.467.470</w:t>
      </w:r>
      <w:r>
        <w:rPr>
          <w:color w:val="003CA0"/>
          <w:sz w:val="12"/>
        </w:rPr>
        <w:t xml:space="preserve"> | rel. Luís Roberto Barroso</w:t>
      </w:r>
    </w:p>
    <w:p>
      <w:pPr>
        <w:ind w:left="288"/>
      </w:pPr>
      <w:r>
        <w:rPr>
          <w:color w:val="1E1E1E"/>
          <w:sz w:val="18"/>
        </w:rPr>
        <w:t>Validade do reconhecimento pessoal realizado em desconformidade com o art. 226 do Código de Processo Penal.</w:t>
      </w:r>
    </w:p>
    <w:p>
      <w:pPr>
        <w:ind w:left="288"/>
      </w:pPr>
      <w:r>
        <w:rPr>
          <w:b/>
          <w:color w:val="003CA0"/>
          <w:sz w:val="16"/>
        </w:rPr>
        <w:t>[ARE 1.467.470 RG, rel. min. Luís Roberto Barroso, j. 28.2.2025, P, DJE de 7.3.2025, Tema 1.380, com mérito pendente.]</w:t>
      </w:r>
    </w:p>
    <w:p>
      <w:pPr>
        <w:ind w:left="288"/>
      </w:pPr>
      <w:r>
        <w:rPr>
          <w:color w:val="8C8C8C"/>
          <w:sz w:val="12"/>
        </w:rPr>
        <w:t>cf-art-5-inc-L</w:t>
      </w:r>
      <w:r>
        <w:rPr>
          <w:color w:val="003CA0"/>
          <w:sz w:val="12"/>
        </w:rPr>
        <w:t xml:space="preserve"> | ARE 1.467.384</w:t>
      </w:r>
      <w:r>
        <w:rPr>
          <w:color w:val="003CA0"/>
          <w:sz w:val="12"/>
        </w:rPr>
        <w:t xml:space="preserve"> | rel. Luís Roberto Barroso</w:t>
      </w:r>
    </w:p>
    <w:p>
      <w:pPr>
        <w:ind w:left="288"/>
      </w:pPr>
      <w:r>
        <w:rPr>
          <w:color w:val="1E1E1E"/>
          <w:sz w:val="18"/>
        </w:rPr>
        <w:t>“É infraconstitucional a controvérsia sobre a necessidade de dupla notificação para aplicação de penalidade à pessoa jurídica que deixa de identificar o condutor responsável por infração de trânsito”.</w:t>
      </w:r>
    </w:p>
    <w:p>
      <w:pPr>
        <w:ind w:left="288"/>
      </w:pPr>
      <w:r>
        <w:rPr>
          <w:b/>
          <w:color w:val="003CA0"/>
          <w:sz w:val="16"/>
        </w:rPr>
        <w:t>[ARE 1.467.384 RG, rel. min. Luís Roberto Barroso, j. 11.11.2024, P, DJE de 14.11.2024, Tema 1.351, com repercussão geral negada.]</w:t>
      </w:r>
    </w:p>
    <w:p>
      <w:pPr>
        <w:ind w:left="288"/>
      </w:pPr>
      <w:r>
        <w:rPr>
          <w:color w:val="8C8C8C"/>
          <w:sz w:val="12"/>
        </w:rPr>
        <w:t>cf-art-5-inc-L</w:t>
      </w:r>
      <w:r>
        <w:rPr>
          <w:color w:val="003CA0"/>
          <w:sz w:val="12"/>
        </w:rPr>
        <w:t xml:space="preserve"> | RE 860.631</w:t>
      </w:r>
      <w:r>
        <w:rPr>
          <w:color w:val="003CA0"/>
          <w:sz w:val="12"/>
        </w:rPr>
        <w:t xml:space="preserve"> | rel. Luiz Fux</w:t>
      </w:r>
    </w:p>
    <w:p>
      <w:pPr>
        <w:ind w:left="288"/>
      </w:pPr>
      <w:r>
        <w:rPr>
          <w:color w:val="1E1E1E"/>
          <w:sz w:val="18"/>
        </w:rPr>
        <w:t>A execução extrajudicial nos contratos de mútuo com alienação fiduciária de imóvel, prevista na Lei 9.514/1997, é compatível com as garantias constitucionais, destacando-se inexistir afronta ao princípio da inafastabilidade da jurisdição e do acesso à justiça (art. 5º, inciso XXXV, da CF/88) e do juiz natural (art. 5º, LIII, CF/88), posto que se assegura às partes, a qualquer momento, a possibilidade de controle de legalidade do procedimento executório na via judicial. Inexiste, igualmente, violação aos princípios do devido processo legal, do contraditório e da ampla defesa (art. 5º, LIV e LV,</w:t>
      </w:r>
    </w:p>
    <w:p>
      <w:pPr>
        <w:ind w:left="288"/>
      </w:pPr>
      <w:r>
        <w:rPr>
          <w:b/>
          <w:color w:val="003CA0"/>
          <w:sz w:val="16"/>
        </w:rPr>
        <w:t>[RE 860.631, rel. min. Luiz Fux, j. 26-10-2023, P, DJE de 14-2-2024, Tema 982, com mérito julgado.]</w:t>
      </w:r>
    </w:p>
    <w:p>
      <w:pPr>
        <w:ind w:left="288"/>
      </w:pPr>
      <w:r>
        <w:rPr>
          <w:color w:val="8C8C8C"/>
          <w:sz w:val="12"/>
        </w:rPr>
        <w:t>cf-art-5-inc-L</w:t>
      </w:r>
      <w:r>
        <w:rPr>
          <w:color w:val="003CA0"/>
          <w:sz w:val="12"/>
        </w:rPr>
        <w:t xml:space="preserve"> | RE 629.647</w:t>
      </w:r>
      <w:r>
        <w:rPr>
          <w:color w:val="003CA0"/>
          <w:sz w:val="12"/>
        </w:rPr>
        <w:t xml:space="preserve"> | rel. Marco Aurélio</w:t>
      </w:r>
    </w:p>
    <w:p>
      <w:pPr>
        <w:ind w:left="288"/>
      </w:pPr>
      <w:r>
        <w:rPr>
          <w:color w:val="1E1E1E"/>
          <w:sz w:val="18"/>
        </w:rPr>
        <w:t>Em ação civil pública proposta pelo Ministério Público do Trabalho em face de empresa estatal, com o propósito de invalidar a contratação irregular de pessoal, não é cabível o ingresso, no polo passivo da causa, de todos os empregados atingidos, mas é indispensável sua representação pelo sindicato da categoria.</w:t>
      </w:r>
    </w:p>
    <w:p>
      <w:pPr>
        <w:ind w:left="288"/>
      </w:pPr>
      <w:r>
        <w:rPr>
          <w:b/>
          <w:color w:val="003CA0"/>
          <w:sz w:val="16"/>
        </w:rPr>
        <w:t>[RE 629.647, rel. min. Marco Aurélio, redator do acórdão min. Alexandre de Moraes, j. 3-11-2022, P, DJE de 9-1-2023, Tema 1.004, com mérito julgado.]</w:t>
      </w:r>
    </w:p>
    <w:p>
      <w:pPr>
        <w:ind w:left="288"/>
      </w:pPr>
      <w:r>
        <w:rPr>
          <w:color w:val="8C8C8C"/>
          <w:sz w:val="12"/>
        </w:rPr>
        <w:t>cf-art-5-inc-L</w:t>
      </w:r>
      <w:r>
        <w:rPr>
          <w:color w:val="003CA0"/>
          <w:sz w:val="12"/>
        </w:rPr>
        <w:t xml:space="preserve"> | RE 627.106</w:t>
      </w:r>
      <w:r>
        <w:rPr>
          <w:color w:val="003CA0"/>
          <w:sz w:val="12"/>
        </w:rPr>
        <w:t xml:space="preserve"> | rel. Dias Toffoli</w:t>
      </w:r>
    </w:p>
    <w:p>
      <w:pPr>
        <w:ind w:left="288"/>
      </w:pPr>
      <w:r>
        <w:rPr>
          <w:color w:val="1E1E1E"/>
          <w:sz w:val="18"/>
        </w:rPr>
        <w:t>É constitucional, pois foi devidamente recepcionado pela Constituição Federal de 1988, o procedimento de execução extrajudicial previsto no Decreto-lei nº 70/66.</w:t>
      </w:r>
    </w:p>
    <w:p>
      <w:pPr>
        <w:ind w:left="288"/>
      </w:pPr>
      <w:r>
        <w:rPr>
          <w:b/>
          <w:color w:val="003CA0"/>
          <w:sz w:val="16"/>
        </w:rPr>
        <w:t>[RE 627.106, rel. min. Dias Toffoli, j. 7-4-2021, P, DJE de 14-6-2021, Tema 249, com mérito julgado.]</w:t>
      </w:r>
    </w:p>
    <w:p>
      <w:pPr>
        <w:ind w:left="288"/>
      </w:pPr>
      <w:r>
        <w:rPr>
          <w:color w:val="8C8C8C"/>
          <w:sz w:val="12"/>
        </w:rPr>
        <w:t>cf-art-5-inc-L</w:t>
      </w:r>
      <w:r>
        <w:rPr>
          <w:color w:val="003CA0"/>
          <w:sz w:val="12"/>
        </w:rPr>
        <w:t xml:space="preserve"> | RE 635.145</w:t>
      </w:r>
    </w:p>
    <w:p>
      <w:pPr>
        <w:ind w:left="288"/>
      </w:pPr>
      <w:r>
        <w:rPr>
          <w:color w:val="1E1E1E"/>
          <w:sz w:val="18"/>
        </w:rPr>
        <w:t>É constitucional a citação por hora certa, prevista no art. 362, do Código de Processo Penal. A conformação dada pelo legislador à citação por hora certa está de acordo com a Constituição Federal e com o Pacto de São José da Costa Rica. A ocultação do réu para ser citado infringe cláusulas constitucionais do devido processo legal e viola as garantias constitucionais do acesso à justiça e da razoável duração do processo. O acusado que se utiliza de meios escusos para não ser pessoalmente citado atua em exercício abusivo de seu direito de defesa.</w:t>
      </w:r>
    </w:p>
    <w:p>
      <w:pPr>
        <w:ind w:left="288"/>
      </w:pPr>
      <w:r>
        <w:rPr>
          <w:b/>
          <w:color w:val="003CA0"/>
          <w:sz w:val="16"/>
        </w:rPr>
        <w:t>[RE 635.145, red. do ac. min. Luiz Fux, j. 1º-8-2016, P, DJE de 13-9-2017, Tema 613, com mérito julgado.]</w:t>
      </w:r>
    </w:p>
    <w:p>
      <w:pPr>
        <w:ind w:left="288"/>
      </w:pPr>
      <w:r>
        <w:rPr>
          <w:color w:val="8C8C8C"/>
          <w:sz w:val="12"/>
        </w:rPr>
        <w:t>cf-art-5-inc-L</w:t>
      </w:r>
      <w:r>
        <w:rPr>
          <w:color w:val="003CA0"/>
          <w:sz w:val="12"/>
        </w:rPr>
        <w:t xml:space="preserve"> | ARE 648.629</w:t>
      </w:r>
      <w:r>
        <w:rPr>
          <w:color w:val="003CA0"/>
          <w:sz w:val="12"/>
        </w:rPr>
        <w:t xml:space="preserve"> | rel. Luiz Fux</w:t>
      </w:r>
    </w:p>
    <w:p>
      <w:pPr>
        <w:ind w:left="288"/>
      </w:pPr>
      <w:r>
        <w:rPr>
          <w:color w:val="1E1E1E"/>
          <w:sz w:val="18"/>
        </w:rPr>
        <w:t>As exceções ao princípio da paridade de armas apenas têm lugar quando houver fundamento razoável baseado na necessidade de remediar um desequilíbrio entre as partes, e devem ser interpretadas de modo restritivo, conforme a parêmia exceptiones sunt strictissimae interpretationis. (...) Não se aplica aos juizados especiais federais a prerrogativa de intimação pessoal dos ocupantes de cargo de procurador federal, prevista no art. 17 da Lei 10.910/2004, na medida em que neste rito especial, ante a simplicidade das causas nele julgadas, particular e Fazenda Pública apresentam semelhante, se não idê</w:t>
      </w:r>
    </w:p>
    <w:p>
      <w:pPr>
        <w:ind w:left="288"/>
      </w:pPr>
      <w:r>
        <w:rPr>
          <w:b/>
          <w:color w:val="003CA0"/>
          <w:sz w:val="16"/>
        </w:rPr>
        <w:t>[ARE 648.629, rel. min. Luiz Fux, j. 24-4-2013, P, DJE de 8-4-2014, Tema 549, com mérito julgado.]</w:t>
      </w:r>
    </w:p>
    <w:p>
      <w:pPr>
        <w:ind w:left="288"/>
      </w:pPr>
      <w:r>
        <w:rPr>
          <w:color w:val="8C8C8C"/>
          <w:sz w:val="12"/>
        </w:rPr>
        <w:t>cf-art-5-inc-L</w:t>
      </w:r>
      <w:r>
        <w:rPr>
          <w:color w:val="003CA0"/>
          <w:sz w:val="12"/>
        </w:rPr>
        <w:t xml:space="preserve"> | RE 594.296</w:t>
      </w:r>
      <w:r>
        <w:rPr>
          <w:color w:val="003CA0"/>
          <w:sz w:val="12"/>
        </w:rPr>
        <w:t xml:space="preserve"> | rel. Dias Toffoli</w:t>
      </w:r>
    </w:p>
    <w:p>
      <w:pPr>
        <w:ind w:left="288"/>
      </w:pPr>
      <w:r>
        <w:rPr>
          <w:color w:val="1E1E1E"/>
          <w:sz w:val="18"/>
        </w:rPr>
        <w:t>Ao Estado é facultada a revogação de atos que repute ilegalmente praticados; porém, se de tais atos já decorreram efeitos concretos, seu desfazimento deve ser precedido de regular processo administrativo.</w:t>
      </w:r>
    </w:p>
    <w:p>
      <w:pPr>
        <w:ind w:left="288"/>
      </w:pPr>
      <w:r>
        <w:rPr>
          <w:b/>
          <w:color w:val="003CA0"/>
          <w:sz w:val="16"/>
        </w:rPr>
        <w:t>[RE 594.296, rel. min. Dias Toffoli, j. 21-9-2011, P, DJE de 13-2-2012, Tema 138, com mérito julgado.]</w:t>
      </w:r>
    </w:p>
    <w:p>
      <w:pPr>
        <w:ind w:left="288"/>
      </w:pPr>
      <w:r>
        <w:rPr>
          <w:color w:val="8C8C8C"/>
          <w:sz w:val="12"/>
        </w:rPr>
        <w:t>cf-art-5-inc-L</w:t>
      </w:r>
      <w:r>
        <w:rPr>
          <w:color w:val="003CA0"/>
          <w:sz w:val="12"/>
        </w:rPr>
        <w:t xml:space="preserve"> | AI 710.085</w:t>
      </w:r>
      <w:r>
        <w:rPr>
          <w:color w:val="003CA0"/>
          <w:sz w:val="12"/>
        </w:rPr>
        <w:t xml:space="preserve"> | rel. Ricardo Lewandowski</w:t>
      </w:r>
    </w:p>
    <w:p>
      <w:pPr>
        <w:ind w:left="288"/>
      </w:pPr>
      <w:r>
        <w:rPr>
          <w:color w:val="1E1E1E"/>
          <w:sz w:val="18"/>
        </w:rPr>
        <w:t>Vide AI 710.085 AgR, rel. min. Ricardo Lewandowski, j. 3-2-2009, 1ª T, DJE de 6-3-2009 Cabimento do agravo interno no âmbito dos juizados especiais. Constitucionalidade do julgamento monocrático do recurso desde que haja possibilidade de revisão pelo órgão colegiado.</w:t>
        <w:br/>
        <w:t>[RE 612.359 RG, rel. min. Ellen Gracie, j. 13-8-2010, P, DJE de 27-8-2010, Tema 294, com mérito julgado.] Não fere os preceitos constitucionais a propositura de ação penal em decorrência do não cumprimento das condições estabelecidas em transação penal.</w:t>
        <w:br/>
        <w:t>[RE 602.072 RG-QO, rel. min. Cezar Peluso, j. 19-11-2009, P, DJE de 26-2-2010,</w:t>
      </w:r>
    </w:p>
    <w:p>
      <w:pPr>
        <w:ind w:left="288"/>
      </w:pPr>
      <w:r>
        <w:rPr>
          <w:b/>
          <w:color w:val="003CA0"/>
          <w:sz w:val="16"/>
        </w:rPr>
        <w:t>[RE 576.847, rel. min. Eros Grau, j. 20-5-2009, P, DJE de 7-8-2009, Tema 77, com mérito julgado.]</w:t>
      </w:r>
    </w:p>
    <w:p>
      <w:pPr>
        <w:ind w:left="288"/>
      </w:pPr>
      <w:r>
        <w:rPr>
          <w:color w:val="8C8C8C"/>
          <w:sz w:val="12"/>
        </w:rPr>
        <w:t>cf-art-5-inc-L</w:t>
      </w:r>
      <w:r>
        <w:rPr>
          <w:color w:val="003CA0"/>
          <w:sz w:val="12"/>
        </w:rPr>
        <w:t xml:space="preserve"> | ARE 1.454.259</w:t>
      </w:r>
      <w:r>
        <w:rPr>
          <w:color w:val="003CA0"/>
          <w:sz w:val="12"/>
        </w:rPr>
        <w:t xml:space="preserve"> | rel. Roberto Barroso</w:t>
      </w:r>
    </w:p>
    <w:p>
      <w:pPr>
        <w:ind w:left="288"/>
      </w:pPr>
      <w:r>
        <w:rPr>
          <w:color w:val="1E1E1E"/>
          <w:sz w:val="18"/>
        </w:rPr>
        <w:t>A jurisprudência deste Tribunal já firmou entendimento de que o julgamento de processos no plenário virtual não enseja qualquer prejuízo às partes, sendo uma excepcionalidade, a ser deferida pelo relator. (...) No caso em análise, ainda que o acórdão tenha deixado de apreciar o pedido de destaque, impondo o esclarecimento da omissão, essa não trouxe qualquer prejuízo à parte. As razões apresentadas pela parte embargante não são capazes de justificar a excepcionalidade requerida.</w:t>
      </w:r>
    </w:p>
    <w:p>
      <w:pPr>
        <w:ind w:left="288"/>
      </w:pPr>
      <w:r>
        <w:rPr>
          <w:b/>
          <w:color w:val="003CA0"/>
          <w:sz w:val="16"/>
        </w:rPr>
        <w:t>[ARE 1.454.259-AgR-ED, rel. min. Roberto Barroso, j. 4-12-2023, P, DJE de 8-1-2024.]</w:t>
      </w:r>
    </w:p>
    <w:p>
      <w:pPr>
        <w:ind w:left="288"/>
      </w:pPr>
      <w:r>
        <w:rPr>
          <w:color w:val="8C8C8C"/>
          <w:sz w:val="12"/>
        </w:rPr>
        <w:t>cf-art-5-inc-L</w:t>
      </w:r>
      <w:r>
        <w:rPr>
          <w:color w:val="003CA0"/>
          <w:sz w:val="12"/>
        </w:rPr>
        <w:t xml:space="preserve"> | ARE 1.369.282</w:t>
      </w:r>
      <w:r>
        <w:rPr>
          <w:color w:val="003CA0"/>
          <w:sz w:val="12"/>
        </w:rPr>
        <w:t xml:space="preserve"> | rel. Ricardo Lewandowski</w:t>
      </w:r>
    </w:p>
    <w:p>
      <w:pPr>
        <w:ind w:left="288"/>
      </w:pPr>
      <w:r>
        <w:rPr>
          <w:color w:val="1E1E1E"/>
          <w:sz w:val="18"/>
        </w:rPr>
        <w:t>O dano moral sofrido pela vítima é inerente aos crimes praticados contra a mulher no âmbito doméstico e familiar, de modo que a fixação do respectivo valor mínimo indenizatório (CPP/1941, art. 387, IV) pressupõe o respeito aos princípios do contraditório e da ampla defesa, viabilizados pela oportunidade de manifestação do réu durante o curso da ação penal.</w:t>
      </w:r>
    </w:p>
    <w:p>
      <w:pPr>
        <w:ind w:left="288"/>
      </w:pPr>
      <w:r>
        <w:rPr>
          <w:b/>
          <w:color w:val="003CA0"/>
          <w:sz w:val="16"/>
        </w:rPr>
        <w:t>[ARE 1.369.282 AgR, rel. min. Ricardo Lewandowski, red. do ac. min. Edson Fachin, j. 19-9-2023, 2ª T, DJE de 1-12-2023.]</w:t>
      </w:r>
    </w:p>
    <w:p>
      <w:pPr>
        <w:ind w:left="288"/>
      </w:pPr>
      <w:r>
        <w:rPr>
          <w:color w:val="8C8C8C"/>
          <w:sz w:val="12"/>
        </w:rPr>
        <w:t>cf-art-5-inc-L</w:t>
      </w:r>
      <w:r>
        <w:rPr>
          <w:color w:val="003CA0"/>
          <w:sz w:val="12"/>
        </w:rPr>
        <w:t xml:space="preserve"> | MS 36.849</w:t>
      </w:r>
      <w:r>
        <w:rPr>
          <w:color w:val="003CA0"/>
          <w:sz w:val="12"/>
        </w:rPr>
        <w:t xml:space="preserve"> | rel. Dias Toffoli</w:t>
      </w:r>
    </w:p>
    <w:p>
      <w:pPr>
        <w:ind w:left="288"/>
      </w:pPr>
      <w:r>
        <w:rPr>
          <w:color w:val="1E1E1E"/>
          <w:sz w:val="18"/>
        </w:rPr>
        <w:t>A instauração de procedimento prévio de apuração prescinde da intimação de eventuais responsáveis, os quais apenas ingressam no feito quando da formal instauração da tomada de contas especial. Há possibilidade, destarte, de que, ao cabo desse procedimento, porque meramente preparatório, seja determinado que os sócios da empresa objeto da investigação passem a integrar o polo passivo da tomada de contas especial que será realizada. Inexistência de ofensa aos princípios do contraditório e da ampla defesa nesse proceder, pois o exercício da defesa técnica será devidamente assegurado aos investiga</w:t>
      </w:r>
    </w:p>
    <w:p>
      <w:pPr>
        <w:ind w:left="288"/>
      </w:pPr>
      <w:r>
        <w:rPr>
          <w:b/>
          <w:color w:val="003CA0"/>
          <w:sz w:val="16"/>
        </w:rPr>
        <w:t>[MS 36.849 AgR, rel. min. Dias Toffoli, j. 28-9-2021, 1ª T, DJE de 7-2-2022.]</w:t>
      </w:r>
    </w:p>
    <w:p>
      <w:pPr>
        <w:ind w:left="288"/>
      </w:pPr>
      <w:r>
        <w:rPr>
          <w:color w:val="8C8C8C"/>
          <w:sz w:val="12"/>
        </w:rPr>
        <w:t>cf-art-5-inc-L</w:t>
      </w:r>
      <w:r>
        <w:rPr>
          <w:color w:val="003CA0"/>
          <w:sz w:val="12"/>
        </w:rPr>
        <w:t xml:space="preserve"> | MS 35.715</w:t>
      </w:r>
      <w:r>
        <w:rPr>
          <w:color w:val="003CA0"/>
          <w:sz w:val="12"/>
        </w:rPr>
        <w:t xml:space="preserve"> | rel. Marco Aurelio</w:t>
      </w:r>
    </w:p>
    <w:p>
      <w:pPr>
        <w:ind w:left="288"/>
      </w:pPr>
      <w:r>
        <w:rPr>
          <w:color w:val="1E1E1E"/>
          <w:sz w:val="18"/>
        </w:rPr>
        <w:t xml:space="preserve">Ato do TCU que indeferiu acesso a documentos. (...) O exercício da prerrogativa do TCU relacionada com a competência constitucional implícita para garantir o cumprimento de suas atribuições, conforme o art. 71 da Constituição Federal, encontra-se delimitada por outros valores constitucionais, em especial, o do devido processo legal, que deixou de ser observado no presente caso. Nessa linha de consideração, o poder geral de cautela não exime o TCU de observar o contraditório e a ampla defesa, disponibilizando os documentos levados em consideração para a concessão da medida restritiva, sob pena </w:t>
      </w:r>
    </w:p>
    <w:p>
      <w:pPr>
        <w:ind w:left="288"/>
      </w:pPr>
      <w:r>
        <w:rPr>
          <w:b/>
          <w:color w:val="003CA0"/>
          <w:sz w:val="16"/>
        </w:rPr>
        <w:t>[MS 35.715, rel. min. Marco Aurelio, red. do ac. min. Alexandre de Moraes, j. 3-8-2021, 1ª T, DJE de 25-11-2021.]</w:t>
      </w:r>
    </w:p>
    <w:p>
      <w:pPr>
        <w:ind w:left="288"/>
      </w:pPr>
      <w:r>
        <w:rPr>
          <w:color w:val="8C8C8C"/>
          <w:sz w:val="12"/>
        </w:rPr>
        <w:t>cf-art-5-inc-L</w:t>
      </w:r>
      <w:r>
        <w:rPr>
          <w:color w:val="003CA0"/>
          <w:sz w:val="12"/>
        </w:rPr>
        <w:t xml:space="preserve"> | ACO 2.716</w:t>
      </w:r>
      <w:r>
        <w:rPr>
          <w:color w:val="003CA0"/>
          <w:sz w:val="12"/>
        </w:rPr>
        <w:t xml:space="preserve"> | rel. Marco Aurelio</w:t>
      </w:r>
    </w:p>
    <w:p>
      <w:pPr>
        <w:ind w:left="288"/>
      </w:pPr>
      <w:r>
        <w:rPr>
          <w:color w:val="1E1E1E"/>
          <w:sz w:val="18"/>
        </w:rPr>
        <w:t>A não abertura do procedimento de Tomada de Contas Especial, quando da inscrição dos entes federados nos cadastros de inadimplentes, configura violação aos princípios constitucionais do devido processo legal, do contraditório e da ampla defesa.</w:t>
      </w:r>
    </w:p>
    <w:p>
      <w:pPr>
        <w:ind w:left="288"/>
      </w:pPr>
      <w:r>
        <w:rPr>
          <w:b/>
          <w:color w:val="003CA0"/>
          <w:sz w:val="16"/>
        </w:rPr>
        <w:t>[ACO 2.716, rel. min. Marco Aurelio, j. 11-11-2020, P, DJE de 27-11-2020.]</w:t>
      </w:r>
    </w:p>
    <w:p>
      <w:pPr>
        <w:ind w:left="288"/>
      </w:pPr>
      <w:r>
        <w:rPr>
          <w:color w:val="8C8C8C"/>
          <w:sz w:val="12"/>
        </w:rPr>
        <w:t>cf-art-5-inc-L</w:t>
      </w:r>
      <w:r>
        <w:rPr>
          <w:color w:val="003CA0"/>
          <w:sz w:val="12"/>
        </w:rPr>
        <w:t xml:space="preserve"> | MS 32.505</w:t>
      </w:r>
      <w:r>
        <w:rPr>
          <w:color w:val="003CA0"/>
          <w:sz w:val="12"/>
        </w:rPr>
        <w:t xml:space="preserve"> | rel. Marco Aurélio</w:t>
      </w:r>
    </w:p>
    <w:p>
      <w:pPr>
        <w:ind w:left="288"/>
      </w:pPr>
      <w:r>
        <w:rPr>
          <w:color w:val="1E1E1E"/>
          <w:sz w:val="18"/>
        </w:rPr>
        <w:t>A exigibilidade do contraditório pressupõe o envolvimento, considerado processo administrativo ou judicial, de acusado ou litígio. Descabe observá-lo em julgamento implementado pelo Tribunal de Contas da União ante auditoria realizada em órgão público.</w:t>
      </w:r>
    </w:p>
    <w:p>
      <w:pPr>
        <w:ind w:left="288"/>
      </w:pPr>
      <w:r>
        <w:rPr>
          <w:b/>
          <w:color w:val="003CA0"/>
          <w:sz w:val="16"/>
        </w:rPr>
        <w:t>[MS 32.505, rel. min. Marco Aurélio, j. 22-9-2020, P, DJE de 9-10-2020.]</w:t>
      </w:r>
    </w:p>
    <w:p>
      <w:pPr>
        <w:ind w:left="288"/>
      </w:pPr>
      <w:r>
        <w:rPr>
          <w:color w:val="8C8C8C"/>
          <w:sz w:val="12"/>
        </w:rPr>
        <w:t>cf-art-5-inc-L</w:t>
      </w:r>
      <w:r>
        <w:rPr>
          <w:color w:val="003CA0"/>
          <w:sz w:val="12"/>
        </w:rPr>
        <w:t xml:space="preserve"> | ACO 2.892</w:t>
      </w:r>
    </w:p>
    <w:p>
      <w:pPr>
        <w:ind w:left="288"/>
      </w:pPr>
      <w:r>
        <w:rPr>
          <w:color w:val="1E1E1E"/>
          <w:sz w:val="18"/>
        </w:rPr>
        <w:t>(...) somente após a realização e término do procedimento de tomada de contas especial, é possível a inscrição dos entes federativos nos cadastros federais de inadimplentes que apresentam - e essa a grande importância - a repercussão do repasse de verbas imprescindíveis para continuidade de todos os outros projetos públicos daqueles entes estatais. Cabe lembrar, ainda, que a tomada de contas especial, procedimento pelo qual se alcança o reconhecimento definitivo das regularidades, com a devida observância do contraditório e da ampla defesa, tem suas regras definidas pela Lei 8.433, sendo possí</w:t>
      </w:r>
    </w:p>
    <w:p>
      <w:pPr>
        <w:ind w:left="288"/>
      </w:pPr>
      <w:r>
        <w:rPr>
          <w:b/>
          <w:color w:val="003CA0"/>
          <w:sz w:val="16"/>
        </w:rPr>
        <w:t>[ACO 2.892 AgR, voto do red. do ac. min.. Alexandre de Moraes, j. 11-9-2019, P, DJE de 27-11-2019.]</w:t>
      </w:r>
    </w:p>
    <w:p>
      <w:pPr>
        <w:ind w:left="288"/>
      </w:pPr>
      <w:r>
        <w:rPr>
          <w:color w:val="8C8C8C"/>
          <w:sz w:val="12"/>
        </w:rPr>
        <w:t>cf-art-5-inc-L</w:t>
      </w:r>
      <w:r>
        <w:rPr>
          <w:color w:val="003CA0"/>
          <w:sz w:val="12"/>
        </w:rPr>
        <w:t xml:space="preserve"> | MS 34.690</w:t>
      </w:r>
      <w:r>
        <w:rPr>
          <w:color w:val="003CA0"/>
          <w:sz w:val="12"/>
        </w:rPr>
        <w:t xml:space="preserve"> | rel. Edson Fachin</w:t>
      </w:r>
    </w:p>
    <w:p>
      <w:pPr>
        <w:ind w:left="288"/>
      </w:pPr>
      <w:r>
        <w:rPr>
          <w:color w:val="1E1E1E"/>
          <w:sz w:val="18"/>
        </w:rPr>
        <w:t>São mitigadas as exigências de contraditório na fase interna da tomada de contas especial, pois não existe um processo que tem por finalidade julgar a regularidade das condutas e a responsabilidade dos agentes, mas há apenas um procedimento investigatório da Administração Pública para resguardar a legalidade e a economicidade na aplicação dos recursos públicos.</w:t>
      </w:r>
    </w:p>
    <w:p>
      <w:pPr>
        <w:ind w:left="288"/>
      </w:pPr>
      <w:r>
        <w:rPr>
          <w:b/>
          <w:color w:val="003CA0"/>
          <w:sz w:val="16"/>
        </w:rPr>
        <w:t>[MS 34.690-AgR, rel. min. Edson Fachin, j. 25-9-2018, 2ª T, DJE de 5-10-2018.]</w:t>
      </w:r>
    </w:p>
    <w:p>
      <w:pPr>
        <w:ind w:left="288"/>
      </w:pPr>
      <w:r>
        <w:rPr>
          <w:color w:val="8C8C8C"/>
          <w:sz w:val="12"/>
        </w:rPr>
        <w:t>cf-art-5-inc-L</w:t>
      </w:r>
      <w:r>
        <w:rPr>
          <w:color w:val="003CA0"/>
          <w:sz w:val="12"/>
        </w:rPr>
        <w:t xml:space="preserve"> | MS 34.972</w:t>
      </w:r>
      <w:r>
        <w:rPr>
          <w:color w:val="003CA0"/>
          <w:sz w:val="12"/>
        </w:rPr>
        <w:t xml:space="preserve"> | rel. Marco Aurélio</w:t>
      </w:r>
    </w:p>
    <w:p>
      <w:pPr>
        <w:ind w:left="288"/>
      </w:pPr>
      <w:r>
        <w:rPr>
          <w:color w:val="1E1E1E"/>
          <w:sz w:val="18"/>
        </w:rPr>
        <w:t>A exigibilidade do contraditório pressupõe o envolvimento de acusado ou de litígio, não sendo necessário observá-lo em momento anterior à conversão do processo de monitoramento em tomada de contas especial.</w:t>
      </w:r>
    </w:p>
    <w:p>
      <w:pPr>
        <w:ind w:left="288"/>
      </w:pPr>
      <w:r>
        <w:rPr>
          <w:b/>
          <w:color w:val="003CA0"/>
          <w:sz w:val="16"/>
        </w:rPr>
        <w:t>[MS 34.972, rel. min. Marco Aurélio, j. 8-5-2018, 1ª T, DJE de 21-5-2018.]</w:t>
      </w:r>
    </w:p>
    <w:p>
      <w:pPr>
        <w:ind w:left="288"/>
      </w:pPr>
      <w:r>
        <w:rPr>
          <w:color w:val="8C8C8C"/>
          <w:sz w:val="12"/>
        </w:rPr>
        <w:t>cf-art-5-inc-L</w:t>
      </w:r>
      <w:r>
        <w:rPr>
          <w:color w:val="003CA0"/>
          <w:sz w:val="12"/>
        </w:rPr>
        <w:t xml:space="preserve"> | MS 34.180</w:t>
      </w:r>
      <w:r>
        <w:rPr>
          <w:color w:val="003CA0"/>
          <w:sz w:val="12"/>
        </w:rPr>
        <w:t xml:space="preserve"> | rel. Celso de Mello</w:t>
      </w:r>
    </w:p>
    <w:p>
      <w:pPr>
        <w:ind w:left="288"/>
      </w:pPr>
      <w:r>
        <w:rPr>
          <w:color w:val="1E1E1E"/>
          <w:sz w:val="18"/>
        </w:rPr>
        <w:t xml:space="preserve">(...) assiste ao interessado, mesmo em procedimentos de índole administrativa, como direta emanação da própria garantia constitucional do due process of law (independentemente, portanto, de haver, ou não, previsão normativa nos estatutos que regem a atuação dos órgãos do Estado), a prerrogativa indisponível do contraditório e da plenitude de defesa, com os meios e recursos a ela inerentes, consoante prescreve a Constituição da República, em seu art. 5º, LIV e LV. (...) O exame da garantia constitucional do due process of law permite nela identificar, em seu conteúdo material, alguns elementos </w:t>
      </w:r>
    </w:p>
    <w:p>
      <w:pPr>
        <w:ind w:left="288"/>
      </w:pPr>
      <w:r>
        <w:rPr>
          <w:b/>
          <w:color w:val="003CA0"/>
          <w:sz w:val="16"/>
        </w:rPr>
        <w:t>[HC 129.936, rel. min. Dias Toffoli, j. 31-5-2016, 2ª T, DJE de 15-6-2016.]</w:t>
      </w:r>
    </w:p>
    <w:p>
      <w:pPr>
        <w:ind w:left="288"/>
      </w:pPr>
      <w:r>
        <w:rPr>
          <w:color w:val="8C8C8C"/>
          <w:sz w:val="12"/>
        </w:rPr>
        <w:t>cf-art-5-inc-L</w:t>
      </w:r>
      <w:r>
        <w:rPr>
          <w:color w:val="003CA0"/>
          <w:sz w:val="12"/>
        </w:rPr>
        <w:t xml:space="preserve"> | INQ 4.013</w:t>
      </w:r>
      <w:r>
        <w:rPr>
          <w:color w:val="003CA0"/>
          <w:sz w:val="12"/>
        </w:rPr>
        <w:t xml:space="preserve"> | rel. Marco Aurélio</w:t>
      </w:r>
    </w:p>
    <w:p>
      <w:pPr>
        <w:ind w:left="288"/>
      </w:pPr>
      <w:r>
        <w:rPr>
          <w:color w:val="1E1E1E"/>
          <w:sz w:val="18"/>
        </w:rPr>
        <w:t>Complementos de diligências, como juntada ao processo de inquérito, procedimento administrativo licitatório e transcrição integral das conversas telefônicas interceptadas, podem ser providenciados no curso da instrução, não impedindo o recebimento da denúncia.</w:t>
      </w:r>
    </w:p>
    <w:p>
      <w:pPr>
        <w:ind w:left="288"/>
      </w:pPr>
      <w:r>
        <w:rPr>
          <w:b/>
          <w:color w:val="003CA0"/>
          <w:sz w:val="16"/>
        </w:rPr>
        <w:t>[Inq 4.013, rel. min. Marco Aurélio, j. 5-4-2016, 1ª T, DJE de 25-8-2016.]</w:t>
      </w:r>
    </w:p>
    <w:p>
      <w:pPr>
        <w:ind w:left="288"/>
      </w:pPr>
      <w:r>
        <w:rPr>
          <w:color w:val="8C8C8C"/>
          <w:sz w:val="12"/>
        </w:rPr>
        <w:t>cf-art-5-inc-L</w:t>
      </w:r>
      <w:r>
        <w:rPr>
          <w:color w:val="003CA0"/>
          <w:sz w:val="12"/>
        </w:rPr>
        <w:t xml:space="preserve"> | HC 123.228</w:t>
      </w:r>
      <w:r>
        <w:rPr>
          <w:color w:val="003CA0"/>
          <w:sz w:val="12"/>
        </w:rPr>
        <w:t xml:space="preserve"> | rel. Cármen Lúcia</w:t>
      </w:r>
    </w:p>
    <w:p>
      <w:pPr>
        <w:ind w:left="288"/>
      </w:pPr>
      <w:r>
        <w:rPr>
          <w:color w:val="1E1E1E"/>
          <w:sz w:val="18"/>
        </w:rPr>
        <w:t>Aplicação do rito previsto na Lei 11.719/2008 com a realização do interrogatório ao final da instrução. Pretensão de realização de novo interrogatório ao final da instrução criminal. Art. 400 do CPP. Impossibilidade. Ato praticado conforme à lei vigente à época. Tempus regit actum. (...) Interrogatório dos pacientes ocorrido em data anterior à publicação da Lei 11.719/2008. Impossibilidade de realização de novo interrogatório. Aplicação do princípio do tempus regit actum.</w:t>
      </w:r>
    </w:p>
    <w:p>
      <w:pPr>
        <w:ind w:left="288"/>
      </w:pPr>
      <w:r>
        <w:rPr>
          <w:b/>
          <w:color w:val="003CA0"/>
          <w:sz w:val="16"/>
        </w:rPr>
        <w:t>[HC 123.228, rel. min. Cármen Lúcia, j. 24-6-2015, P, DJE de 28-9-2015.]</w:t>
      </w:r>
    </w:p>
    <w:p>
      <w:pPr>
        <w:ind w:left="288"/>
      </w:pPr>
      <w:r>
        <w:rPr>
          <w:color w:val="8C8C8C"/>
          <w:sz w:val="12"/>
        </w:rPr>
        <w:t>cf-art-5-inc-L</w:t>
      </w:r>
      <w:r>
        <w:rPr>
          <w:color w:val="003CA0"/>
          <w:sz w:val="12"/>
        </w:rPr>
        <w:t xml:space="preserve"> | HC 97.313</w:t>
      </w:r>
      <w:r>
        <w:rPr>
          <w:color w:val="003CA0"/>
          <w:sz w:val="12"/>
        </w:rPr>
        <w:t xml:space="preserve"> | rel. Ellen Gracie</w:t>
      </w:r>
    </w:p>
    <w:p>
      <w:pPr>
        <w:ind w:left="288"/>
      </w:pPr>
      <w:r>
        <w:rPr>
          <w:color w:val="1E1E1E"/>
          <w:sz w:val="18"/>
        </w:rPr>
        <w:t>Vide HC 97.313, rel. min. Ellen Gracie, j. 29-9-2009, 2ª T, DJE de 16-10-2009 O duplo grau não é absoluto no âmbito jurisdicional. Desse modo, a previsão legal de instância única no contencioso administrativo não viola o alegado direito ao mencionado instituto.</w:t>
      </w:r>
    </w:p>
    <w:p>
      <w:pPr>
        <w:ind w:left="288"/>
      </w:pPr>
      <w:r>
        <w:rPr>
          <w:b/>
          <w:color w:val="003CA0"/>
          <w:sz w:val="16"/>
        </w:rPr>
        <w:t>[RE 794.149 AgR, rel. min. Dias Toffoli, j. 18-11-2014, 1ª T, DJE de 4-12-2014.]</w:t>
      </w:r>
    </w:p>
    <w:p>
      <w:pPr>
        <w:ind w:left="288"/>
      </w:pPr>
      <w:r>
        <w:rPr>
          <w:color w:val="8C8C8C"/>
          <w:sz w:val="12"/>
        </w:rPr>
        <w:t>cf-art-5-inc-L</w:t>
      </w:r>
      <w:r>
        <w:rPr>
          <w:color w:val="003CA0"/>
          <w:sz w:val="12"/>
        </w:rPr>
        <w:t xml:space="preserve"> | RHC 117.051</w:t>
      </w:r>
      <w:r>
        <w:rPr>
          <w:color w:val="003CA0"/>
          <w:sz w:val="12"/>
        </w:rPr>
        <w:t xml:space="preserve"> | rel. Luiz Fux</w:t>
      </w:r>
    </w:p>
    <w:p>
      <w:pPr>
        <w:ind w:left="288"/>
      </w:pPr>
      <w:r>
        <w:rPr>
          <w:color w:val="1E1E1E"/>
          <w:sz w:val="18"/>
        </w:rPr>
        <w:t>In casu, a Corte estadual consignou que "não há que se falar em nulidade do feito por falta de intimação do advogado constituído para o interrogatório realizado, por três razões. A uma, porque tal intimação efetivamente ocorreu, conforme certidão (...). A duas, porque não houve prova de prejuízo algum ao acusado, já que os advogados têm livre acesso aos estabelecimentos prisionais e podem orientar adequadamente seus clientes em qualquer momento antes do interrogatório judicial, não sendo prudente que aguardem os breves instantes que antecedem o ato para tanto. A três, porque a defesa constituí</w:t>
      </w:r>
    </w:p>
    <w:p>
      <w:pPr>
        <w:ind w:left="288"/>
      </w:pPr>
      <w:r>
        <w:rPr>
          <w:b/>
          <w:color w:val="003CA0"/>
          <w:sz w:val="16"/>
        </w:rPr>
        <w:t>[RHC 117.051, rel. min. Luiz Fux, j. 6-5-2014, 1ª T, DJE de 23-5-2014.]</w:t>
      </w:r>
    </w:p>
    <w:p>
      <w:pPr>
        <w:ind w:left="288"/>
      </w:pPr>
      <w:r>
        <w:rPr>
          <w:color w:val="8C8C8C"/>
          <w:sz w:val="12"/>
        </w:rPr>
        <w:t>cf-art-5-inc-L</w:t>
      </w:r>
      <w:r>
        <w:rPr>
          <w:color w:val="003CA0"/>
          <w:sz w:val="12"/>
        </w:rPr>
        <w:t xml:space="preserve"> | RHC 89.892</w:t>
      </w:r>
      <w:r>
        <w:rPr>
          <w:color w:val="003CA0"/>
          <w:sz w:val="12"/>
        </w:rPr>
        <w:t xml:space="preserve"> | rel. Celso de Mello</w:t>
      </w:r>
    </w:p>
    <w:p>
      <w:pPr>
        <w:ind w:left="288"/>
      </w:pPr>
      <w:r>
        <w:rPr>
          <w:color w:val="1E1E1E"/>
          <w:sz w:val="18"/>
        </w:rPr>
        <w:t xml:space="preserve">Vide RHC 89.892, rel. min. Celso de Mello, j. 6-3-2007, 2ª T, DJE de 26-4-2013 A administração pública submete-se ao princípio da legalidade, sobrepondo-se ao regulamento a lei em sentido formal e material. (...) Consoante dispõe o inciso II do art. 141 da Lei 8.112/1990, viabilizando o salutar duplo grau administrativo, cumpre à autoridade de hierarquia imediatamente inferior às mencionadas na cabeça do artigo, entre as quais os presidentes dos tribunais federais, impor a suspensão do servidor quando ultrapassado o período de trinta dias. Inconstitucionalidade do Regulamento da Secretaria do </w:t>
      </w:r>
    </w:p>
    <w:p>
      <w:pPr>
        <w:ind w:left="288"/>
      </w:pPr>
      <w:r>
        <w:rPr>
          <w:b/>
          <w:color w:val="003CA0"/>
          <w:sz w:val="16"/>
        </w:rPr>
        <w:t>[MS 28.033, rel. min. Marco Aurélio, j. 23-4-2014, P, DJE de 30-10-2014.]</w:t>
      </w:r>
    </w:p>
    <w:p>
      <w:pPr>
        <w:ind w:left="288"/>
      </w:pPr>
      <w:r>
        <w:rPr>
          <w:color w:val="8C8C8C"/>
          <w:sz w:val="12"/>
        </w:rPr>
        <w:t>cf-art-5-inc-L</w:t>
      </w:r>
      <w:r>
        <w:rPr>
          <w:color w:val="003CA0"/>
          <w:sz w:val="12"/>
        </w:rPr>
        <w:t xml:space="preserve"> | MS 29.270</w:t>
      </w:r>
      <w:r>
        <w:rPr>
          <w:color w:val="003CA0"/>
          <w:sz w:val="12"/>
        </w:rPr>
        <w:t xml:space="preserve"> | rel. Dias Toffoli</w:t>
      </w:r>
    </w:p>
    <w:p>
      <w:pPr>
        <w:ind w:left="288"/>
      </w:pPr>
      <w:r>
        <w:rPr>
          <w:color w:val="1E1E1E"/>
          <w:sz w:val="18"/>
        </w:rPr>
        <w:t>Quando configurada a identidade de objetos, não há violação do contraditório, mas, antes, respeito à duração razoável do processo, na análise conjunta pelo CNJ de pedidos de providência paralelamente instaurados naquele Conselho. Fica dispensada, na hipótese, nova intimação dos interessados, máxime quando suas razões forem apreciadas pelo CNJ e por comissão especialmente instituída no tribunal para o qual for dirigida a ordem do Conselho.</w:t>
      </w:r>
    </w:p>
    <w:p>
      <w:pPr>
        <w:ind w:left="288"/>
      </w:pPr>
      <w:r>
        <w:rPr>
          <w:b/>
          <w:color w:val="003CA0"/>
          <w:sz w:val="16"/>
        </w:rPr>
        <w:t>[MS 29.270 AgR, rel. min. Dias Toffoli, j. 10-4-2014, P, DJE de 2-6-2014.]</w:t>
      </w:r>
    </w:p>
    <w:p>
      <w:pPr>
        <w:ind w:left="288"/>
      </w:pPr>
      <w:r>
        <w:rPr>
          <w:color w:val="8C8C8C"/>
          <w:sz w:val="12"/>
        </w:rPr>
        <w:t>cf-art-5-inc-L</w:t>
      </w:r>
      <w:r>
        <w:rPr>
          <w:color w:val="003CA0"/>
          <w:sz w:val="12"/>
        </w:rPr>
        <w:t xml:space="preserve"> | HC 118.344</w:t>
      </w:r>
      <w:r>
        <w:rPr>
          <w:color w:val="003CA0"/>
          <w:sz w:val="12"/>
        </w:rPr>
        <w:t xml:space="preserve"> | rel. Gilmar Mendes</w:t>
      </w:r>
    </w:p>
    <w:p>
      <w:pPr>
        <w:ind w:left="288"/>
      </w:pPr>
      <w:r>
        <w:rPr>
          <w:color w:val="1E1E1E"/>
          <w:sz w:val="18"/>
        </w:rPr>
        <w:t>Condenação. Apelo defensivo. Juntada do voto divergente quinze dias após a publicação do acórdão no Diário da Justiça. Certificação do trânsito em julgado e expedição do mandado de prisão para o início do cumprimento da pena. Constrangimento ilegal verificado. Violação à ampla defesa. Ausente o voto vencido, ficou a parte impedida de verificar os fundamentos e a extensão da divergência para apresentar corretamente o recurso cabível. Ordem concedida parcialmente para reconhecer a nulidade da certidão de trânsito em julgado da condenação, e, assim, determinar à Corte Estadual que, superada a int</w:t>
      </w:r>
    </w:p>
    <w:p>
      <w:pPr>
        <w:ind w:left="288"/>
      </w:pPr>
      <w:r>
        <w:rPr>
          <w:b/>
          <w:color w:val="003CA0"/>
          <w:sz w:val="16"/>
        </w:rPr>
        <w:t>[HC 118.344, rel. min. Gilmar Mendes, j. 18-3-2014, 2ª T, DJE de 16-6-2014.]</w:t>
      </w:r>
    </w:p>
    <w:p>
      <w:pPr>
        <w:ind w:left="288"/>
      </w:pPr>
      <w:r>
        <w:rPr>
          <w:color w:val="8C8C8C"/>
          <w:sz w:val="12"/>
        </w:rPr>
        <w:t>cf-art-5-inc-L</w:t>
      </w:r>
      <w:r>
        <w:rPr>
          <w:color w:val="003CA0"/>
          <w:sz w:val="12"/>
        </w:rPr>
        <w:t xml:space="preserve"> | MS 28.417</w:t>
      </w:r>
      <w:r>
        <w:rPr>
          <w:color w:val="003CA0"/>
          <w:sz w:val="12"/>
        </w:rPr>
        <w:t xml:space="preserve"> | rel. Dias Toffoli</w:t>
      </w:r>
    </w:p>
    <w:p>
      <w:pPr>
        <w:ind w:left="288"/>
      </w:pPr>
      <w:r>
        <w:rPr>
          <w:color w:val="1E1E1E"/>
          <w:sz w:val="18"/>
        </w:rPr>
        <w:t>As garantias do contraditório e da ampla defesa não são absolutas quando considerado o caráter de urgência do pedido liminar, podendo o relator despachar a medida antes da oitiva das partes interessadas.</w:t>
      </w:r>
    </w:p>
    <w:p>
      <w:pPr>
        <w:ind w:left="288"/>
      </w:pPr>
      <w:r>
        <w:rPr>
          <w:b/>
          <w:color w:val="003CA0"/>
          <w:sz w:val="16"/>
        </w:rPr>
        <w:t>[MS 28.417 AgR, rel. min. Dias Toffoli, j. 27-2-2014, P, DJE de 2-4-2014.]</w:t>
      </w:r>
    </w:p>
    <w:p>
      <w:pPr>
        <w:ind w:left="288"/>
      </w:pPr>
      <w:r>
        <w:rPr>
          <w:color w:val="8C8C8C"/>
          <w:sz w:val="12"/>
        </w:rPr>
        <w:t>cf-art-5-inc-L</w:t>
      </w:r>
      <w:r>
        <w:rPr>
          <w:color w:val="003CA0"/>
          <w:sz w:val="12"/>
        </w:rPr>
        <w:t xml:space="preserve"> | RCL 10.771</w:t>
      </w:r>
      <w:r>
        <w:rPr>
          <w:color w:val="003CA0"/>
          <w:sz w:val="12"/>
        </w:rPr>
        <w:t xml:space="preserve"> | rel. Marco Aurélio</w:t>
      </w:r>
    </w:p>
    <w:p>
      <w:pPr>
        <w:ind w:left="288"/>
      </w:pPr>
      <w:r>
        <w:rPr>
          <w:color w:val="1E1E1E"/>
          <w:sz w:val="18"/>
        </w:rPr>
        <w:t>O Verbete 14 da Súmula Vinculante do Supremo não alcança sindicância administrativa objetivando elucidar fatos sob o ângulo do cometimento de infração administrativa.</w:t>
      </w:r>
    </w:p>
    <w:p>
      <w:pPr>
        <w:ind w:left="288"/>
      </w:pPr>
      <w:r>
        <w:rPr>
          <w:b/>
          <w:color w:val="003CA0"/>
          <w:sz w:val="16"/>
        </w:rPr>
        <w:t>[Rcl 10.771 AgR, rel. min. Marco Aurélio, j. 4-2-2014, 1ª T, DJE de 18-2-2014.]</w:t>
      </w:r>
    </w:p>
    <w:p>
      <w:pPr>
        <w:ind w:left="288"/>
      </w:pPr>
      <w:r>
        <w:rPr>
          <w:color w:val="8C8C8C"/>
          <w:sz w:val="12"/>
        </w:rPr>
        <w:t>cf-art-5-inc-L</w:t>
      </w:r>
      <w:r>
        <w:rPr>
          <w:color w:val="003CA0"/>
          <w:sz w:val="12"/>
        </w:rPr>
        <w:t xml:space="preserve"> | MS 28.290</w:t>
      </w:r>
      <w:r>
        <w:rPr>
          <w:color w:val="003CA0"/>
          <w:sz w:val="12"/>
        </w:rPr>
        <w:t xml:space="preserve"> | rel. Rosa Weber</w:t>
      </w:r>
    </w:p>
    <w:p>
      <w:pPr>
        <w:ind w:left="288"/>
      </w:pPr>
      <w:r>
        <w:rPr>
          <w:color w:val="1E1E1E"/>
          <w:sz w:val="18"/>
        </w:rPr>
        <w:t>Concurso público. Delegação de serviços notariais do Estado de Goiás. Concurso de ingresso. Prova de títulos. Possibilidade de cumulação de pontos relativos a títulos de mesma categoria. Procedimento de controle administrativo (PCA). CNJ. (...) A ausência de notificação a todos os interessados acerca da existência, no CNJ, de PCA relativo à avaliação de títulos em concurso público não implicou afronta à ampla defesa e ao contraditório. Não detinham os candidatos aprovados nas fases anteriores a titularidade de situações jurídicas consolidadas antes de iniciado o PCA. Quando da intervenção do C</w:t>
      </w:r>
    </w:p>
    <w:p>
      <w:pPr>
        <w:ind w:left="288"/>
      </w:pPr>
      <w:r>
        <w:rPr>
          <w:b/>
          <w:color w:val="003CA0"/>
          <w:sz w:val="16"/>
        </w:rPr>
        <w:t>[MS 28.290, MS 28.330, MS 28.375 e MS 28.477, rel. min. Rosa Weber, j. 4-12-2013, P, DJE de 9-5-2014.]</w:t>
      </w:r>
    </w:p>
    <w:p>
      <w:pPr>
        <w:ind w:left="288"/>
      </w:pPr>
      <w:r>
        <w:rPr>
          <w:color w:val="8C8C8C"/>
          <w:sz w:val="12"/>
        </w:rPr>
        <w:t>cf-art-5-inc-L</w:t>
      </w:r>
      <w:r>
        <w:rPr>
          <w:color w:val="003CA0"/>
          <w:sz w:val="12"/>
        </w:rPr>
        <w:t xml:space="preserve"> | AP 528</w:t>
      </w:r>
      <w:r>
        <w:rPr>
          <w:color w:val="003CA0"/>
          <w:sz w:val="12"/>
        </w:rPr>
        <w:t xml:space="preserve"> | rel. Ricardo Lewandowski</w:t>
      </w:r>
    </w:p>
    <w:p>
      <w:pPr>
        <w:ind w:left="288"/>
      </w:pPr>
      <w:r>
        <w:rPr>
          <w:color w:val="1E1E1E"/>
          <w:sz w:val="18"/>
        </w:rPr>
        <w:t xml:space="preserve">O art. 400 do CPP, com a redação dada pela Lei 11.719/2008, fixou o interrogatório do réu como ato derradeiro da instrução penal, prestigiando a máxima efetividade das garantias constitucionais do contraditório e da ampla defesa (CRFB, art. 5º, LV), dimensões elementares do devido processo legal (CRFB, art. 5º, LIV) e cânones essenciais do Estado Democrático de Direito (CRFB, art. 1º, caput), por isso que a nova regra do CPP comum também deve ser observada no processo penal militar, em detrimento da norma específica prevista no art. 302 do DL 1.002/1969, conforme precedente firmado pelo Pleno </w:t>
      </w:r>
    </w:p>
    <w:p>
      <w:pPr>
        <w:ind w:left="288"/>
      </w:pPr>
      <w:r>
        <w:rPr>
          <w:b/>
          <w:color w:val="003CA0"/>
          <w:sz w:val="16"/>
        </w:rPr>
        <w:t>[RHC 119.188, rel. min. Luiz Fux, j. 1º-10-2013, 1ª T, DJE de 23-10-2013.]</w:t>
      </w:r>
    </w:p>
    <w:p>
      <w:pPr>
        <w:ind w:left="288"/>
      </w:pPr>
      <w:r>
        <w:rPr>
          <w:color w:val="8C8C8C"/>
          <w:sz w:val="12"/>
        </w:rPr>
        <w:t>cf-art-5-inc-L</w:t>
      </w:r>
      <w:r>
        <w:rPr>
          <w:color w:val="003CA0"/>
          <w:sz w:val="12"/>
        </w:rPr>
        <w:t xml:space="preserve"> | AP 528</w:t>
      </w:r>
      <w:r>
        <w:rPr>
          <w:color w:val="003CA0"/>
          <w:sz w:val="12"/>
        </w:rPr>
        <w:t xml:space="preserve"> | rel. Ricardo Lewandowski</w:t>
      </w:r>
    </w:p>
    <w:p>
      <w:pPr>
        <w:ind w:left="288"/>
      </w:pPr>
      <w:r>
        <w:rPr>
          <w:color w:val="1E1E1E"/>
          <w:sz w:val="18"/>
        </w:rPr>
        <w:t>Vide AP 528 AgR, rel. min. Ricardo Lewandowski, j. 24-3-2011, P, DJE de 8-6-2011 Sendo a matéria debatida no âmbito do CNJ unicamente de direito, uma vez que relativa à aplicação do princípio da isonomia, a mera apresentação de manifestações e documentos na qualidade de memoriais, por si só, não configura prejuízo à defesa.</w:t>
      </w:r>
    </w:p>
    <w:p>
      <w:pPr>
        <w:ind w:left="288"/>
      </w:pPr>
      <w:r>
        <w:rPr>
          <w:b/>
          <w:color w:val="003CA0"/>
          <w:sz w:val="16"/>
        </w:rPr>
        <w:t>[MS 26.284 ED-ED, rel. min. Dias Toffoli, j. 19-6-2013, P, DJE de 19-9-2013.]</w:t>
      </w:r>
    </w:p>
    <w:p>
      <w:pPr>
        <w:ind w:left="288"/>
      </w:pPr>
      <w:r>
        <w:rPr>
          <w:color w:val="8C8C8C"/>
          <w:sz w:val="12"/>
        </w:rPr>
        <w:t>cf-art-5-inc-L</w:t>
      </w:r>
      <w:r>
        <w:rPr>
          <w:color w:val="003CA0"/>
          <w:sz w:val="12"/>
        </w:rPr>
        <w:t xml:space="preserve"> | AI 742.764</w:t>
      </w:r>
      <w:r>
        <w:rPr>
          <w:color w:val="003CA0"/>
          <w:sz w:val="12"/>
        </w:rPr>
        <w:t xml:space="preserve"> | rel. Luiz Fux</w:t>
      </w:r>
    </w:p>
    <w:p>
      <w:pPr>
        <w:ind w:left="288"/>
      </w:pPr>
      <w:r>
        <w:rPr>
          <w:color w:val="1E1E1E"/>
          <w:sz w:val="18"/>
        </w:rPr>
        <w:t>O advogado diligente que se antecipa à publicação do decisum está a contribuir com a celeridade e a efetividade da entrega da prestação jurisdicional. Desse modo, nos moldes do art. 242 do CPC, o proceder do advogado que teve ciência pessoal e formal de determinado pronunciamento decisório traz como consequência o início da fluência do prazo recursal na data da cientificação, pois estaria abdicando da intimação ficta que se dá via publicação do ato no Diário da Justiça.</w:t>
      </w:r>
    </w:p>
    <w:p>
      <w:pPr>
        <w:ind w:left="288"/>
      </w:pPr>
      <w:r>
        <w:rPr>
          <w:b/>
          <w:color w:val="003CA0"/>
          <w:sz w:val="16"/>
        </w:rPr>
        <w:t>[AI 742.764 AgR-AgR, rel. min. Luiz Fux, j. 28-5-2013, 1ª T, DJE de 12-6-2013.]</w:t>
      </w:r>
    </w:p>
    <w:p>
      <w:pPr>
        <w:ind w:left="288"/>
      </w:pPr>
      <w:r>
        <w:rPr>
          <w:color w:val="8C8C8C"/>
          <w:sz w:val="12"/>
        </w:rPr>
        <w:t>cf-art-5-inc-L</w:t>
      </w:r>
      <w:r>
        <w:rPr>
          <w:color w:val="003CA0"/>
          <w:sz w:val="12"/>
        </w:rPr>
        <w:t xml:space="preserve"> | RE 289.321</w:t>
      </w:r>
      <w:r>
        <w:rPr>
          <w:color w:val="003CA0"/>
          <w:sz w:val="12"/>
        </w:rPr>
        <w:t xml:space="preserve"> | rel. Marco Aurélio</w:t>
      </w:r>
    </w:p>
    <w:p>
      <w:pPr>
        <w:ind w:left="288"/>
      </w:pPr>
      <w:r>
        <w:rPr>
          <w:color w:val="1E1E1E"/>
          <w:sz w:val="18"/>
        </w:rPr>
        <w:t>A estabilidade prevista no art. 19 do ADCT requer tempo de serviço, à época da promulgação da Carta de 1988, igual a cinco anos. (...) A cessação de relação jurídica regida pela CLT, no tocante a servidor público que não detenha a estabilidade, prescinde da formalização de processo administrativo e, portanto, do contraditório.</w:t>
      </w:r>
    </w:p>
    <w:p>
      <w:pPr>
        <w:ind w:left="288"/>
      </w:pPr>
      <w:r>
        <w:rPr>
          <w:b/>
          <w:color w:val="003CA0"/>
          <w:sz w:val="16"/>
        </w:rPr>
        <w:t>[RE 289.321, rel. min. Marco Aurélio, j. 2-12-2010, 1ª T, DJE de 2-6-2011.]</w:t>
      </w:r>
    </w:p>
    <w:p>
      <w:pPr>
        <w:ind w:left="288"/>
      </w:pPr>
      <w:r>
        <w:rPr>
          <w:color w:val="8C8C8C"/>
          <w:sz w:val="12"/>
        </w:rPr>
        <w:t>cf-art-5-inc-L</w:t>
      </w:r>
      <w:r>
        <w:rPr>
          <w:color w:val="003CA0"/>
          <w:sz w:val="12"/>
        </w:rPr>
        <w:t xml:space="preserve"> | MS 29.247</w:t>
      </w:r>
    </w:p>
    <w:p>
      <w:pPr>
        <w:ind w:left="288"/>
      </w:pPr>
      <w:r>
        <w:rPr>
          <w:color w:val="1E1E1E"/>
          <w:sz w:val="18"/>
        </w:rPr>
        <w:t>Doutrina e jurisprudência são unânimes na exigência de que a cassação ou revogação dos atos administrativos benéficos sejam precedidas da oitiva do interessado, em atenção aos princípios constitucionais do contraditório e da ampla defesa, corolários da cláusula do devido processo legal. Contudo, na hipótese em análise, inexiste ato administrativo concessivo do auxílio-alimentação. Ao contrário, a impetrante foi buscar no Poder Judiciário provimento que lhe reconhecesse o direito à percepção da mencionada verba, tendo inclusive formulado pedido de natureza antecipatória. O Juízo da 5ª Vara Fede</w:t>
      </w:r>
    </w:p>
    <w:p>
      <w:pPr>
        <w:ind w:left="288"/>
      </w:pPr>
      <w:r>
        <w:rPr>
          <w:b/>
          <w:color w:val="003CA0"/>
          <w:sz w:val="16"/>
        </w:rPr>
        <w:t>[MS 29.247, voto do min. Marco Aurélio, j. 20-11-2012, 1ª T, DJE de 25-2-2013.]</w:t>
      </w:r>
    </w:p>
    <w:p>
      <w:pPr>
        <w:ind w:left="288"/>
      </w:pPr>
      <w:r>
        <w:rPr>
          <w:color w:val="8C8C8C"/>
          <w:sz w:val="12"/>
        </w:rPr>
        <w:t>cf-art-5-inc-L</w:t>
      </w:r>
      <w:r>
        <w:rPr>
          <w:color w:val="003CA0"/>
          <w:sz w:val="12"/>
        </w:rPr>
        <w:t xml:space="preserve"> | RMS 30.881</w:t>
      </w:r>
      <w:r>
        <w:rPr>
          <w:color w:val="003CA0"/>
          <w:sz w:val="12"/>
        </w:rPr>
        <w:t xml:space="preserve"> | rel. Cármen Lúcia</w:t>
      </w:r>
    </w:p>
    <w:p>
      <w:pPr>
        <w:ind w:left="288"/>
      </w:pPr>
      <w:r>
        <w:rPr>
          <w:color w:val="1E1E1E"/>
          <w:sz w:val="18"/>
        </w:rPr>
        <w:t>O indeferimento motivado de pedido de prova testemunhal formulado após o término da instrução do processo administrativo não caracteriza cerceamento de defesa.</w:t>
      </w:r>
    </w:p>
    <w:p>
      <w:pPr>
        <w:ind w:left="288"/>
      </w:pPr>
      <w:r>
        <w:rPr>
          <w:b/>
          <w:color w:val="003CA0"/>
          <w:sz w:val="16"/>
        </w:rPr>
        <w:t>[RMS 30.881, rel. min. Cármen Lúcia, j. 2-10-2012, 2ª T, DJE de 29-10-2012.]</w:t>
      </w:r>
    </w:p>
    <w:p>
      <w:pPr>
        <w:ind w:left="288"/>
      </w:pPr>
      <w:r>
        <w:rPr>
          <w:color w:val="8C8C8C"/>
          <w:sz w:val="12"/>
        </w:rPr>
        <w:t>cf-art-5-inc-L</w:t>
      </w:r>
      <w:r>
        <w:rPr>
          <w:color w:val="003CA0"/>
          <w:sz w:val="12"/>
        </w:rPr>
        <w:t xml:space="preserve"> | RMS 24.716</w:t>
      </w:r>
      <w:r>
        <w:rPr>
          <w:color w:val="003CA0"/>
          <w:sz w:val="12"/>
        </w:rPr>
        <w:t xml:space="preserve"> | rel. Gilmar Mendes</w:t>
      </w:r>
    </w:p>
    <w:p>
      <w:pPr>
        <w:ind w:left="288"/>
      </w:pPr>
      <w:r>
        <w:rPr>
          <w:color w:val="1E1E1E"/>
          <w:sz w:val="18"/>
        </w:rPr>
        <w:t>É dispensável a intimação de acusado em PAD [processo administrativo disciplinar] para interrogatório dos demais envolvidos, não se configurando, na espécie, cerceamento de defesa (art. 159, § 1º, Lei 8.112/1990). Ausência de intimação do acusado para interrogatório de testemunhas. Cerceamento de defesa configurado. Reconhecimento da ausência de irregularidades na conduta do impetrante. Inexistência de dano ao erário.</w:t>
      </w:r>
    </w:p>
    <w:p>
      <w:pPr>
        <w:ind w:left="288"/>
      </w:pPr>
      <w:r>
        <w:rPr>
          <w:b/>
          <w:color w:val="003CA0"/>
          <w:sz w:val="16"/>
        </w:rPr>
        <w:t>[RMS 24.716, rel. min. Gilmar Mendes, j. 6-3-2012, 2ª T, DJE de 23-5-2012.]</w:t>
      </w:r>
    </w:p>
    <w:p>
      <w:pPr>
        <w:ind w:left="288"/>
      </w:pPr>
      <w:r>
        <w:rPr>
          <w:color w:val="8C8C8C"/>
          <w:sz w:val="12"/>
        </w:rPr>
        <w:t>cf-art-5-inc-L</w:t>
      </w:r>
      <w:r>
        <w:rPr>
          <w:color w:val="003CA0"/>
          <w:sz w:val="12"/>
        </w:rPr>
        <w:t xml:space="preserve"> | RE 337.179</w:t>
      </w:r>
    </w:p>
    <w:p>
      <w:pPr>
        <w:ind w:left="288"/>
      </w:pPr>
      <w:r>
        <w:rPr>
          <w:color w:val="1E1E1E"/>
          <w:sz w:val="18"/>
        </w:rPr>
        <w:t>No rol das garantias, mais precisamente no inciso LV do art. 5º da Carta de 1988, está assegurado aos litigantes, em processo judicial ou administrativo, e aos acusados em geral o contraditório e a ampla defesa, com os meios e recursos a ela inerentes. O preceito visa possibilitar àquele que se diga titular de uma situação jurídica veicular o que entenda a respaldá-la. Pouco importa o móvel de glosa a ser possivelmente implementada. A adequação desta deve submeter-se a análise, concluindo-se, ante as peculiaridades do caso concreto, pela incidência de acontecimento verificado, como na hipótese</w:t>
      </w:r>
    </w:p>
    <w:p>
      <w:pPr>
        <w:ind w:left="288"/>
      </w:pPr>
      <w:r>
        <w:rPr>
          <w:b/>
          <w:color w:val="003CA0"/>
          <w:sz w:val="16"/>
        </w:rPr>
        <w:t>[RE 337.179, voto do min. Marco Aurélio, j. 13-2-2012, 1ª T, DJE de 22-2-2012.]</w:t>
      </w:r>
    </w:p>
    <w:p>
      <w:pPr>
        <w:ind w:left="288"/>
      </w:pPr>
      <w:r>
        <w:rPr>
          <w:color w:val="8C8C8C"/>
          <w:sz w:val="12"/>
        </w:rPr>
        <w:t>cf-art-5-inc-L</w:t>
      </w:r>
      <w:r>
        <w:rPr>
          <w:color w:val="003CA0"/>
          <w:sz w:val="12"/>
        </w:rPr>
        <w:t xml:space="preserve"> | AI 634.719</w:t>
      </w:r>
      <w:r>
        <w:rPr>
          <w:color w:val="003CA0"/>
          <w:sz w:val="12"/>
        </w:rPr>
        <w:t xml:space="preserve"> | rel. Dias Toffoli</w:t>
      </w:r>
    </w:p>
    <w:p>
      <w:pPr>
        <w:ind w:left="288"/>
      </w:pPr>
      <w:r>
        <w:rPr>
          <w:color w:val="1E1E1E"/>
          <w:sz w:val="18"/>
        </w:rPr>
        <w:t>A decisão ora agravada reflete a pacífica jurisprudência desta Corte a respeito do tema, que reconhece a necessidade da observância dos princípios do contraditório e da ampla defesa em procedimento de dispensa de servidor público. Esses postulados devem ser seguidos ainda que se trate de servidor contratado sob o regime celetista e mesmo que ainda se encontre em fase de estágio probatório.</w:t>
      </w:r>
    </w:p>
    <w:p>
      <w:pPr>
        <w:ind w:left="288"/>
      </w:pPr>
      <w:r>
        <w:rPr>
          <w:b/>
          <w:color w:val="003CA0"/>
          <w:sz w:val="16"/>
        </w:rPr>
        <w:t>[AI 634.719 ED, rel. min. Dias Toffoli, j. 7-2-2012, 1ª T, DJE de 9-3-2012.]</w:t>
      </w:r>
    </w:p>
    <w:p>
      <w:pPr>
        <w:ind w:left="288"/>
      </w:pPr>
      <w:r>
        <w:rPr>
          <w:color w:val="8C8C8C"/>
          <w:sz w:val="12"/>
        </w:rPr>
        <w:t>cf-art-5-inc-L</w:t>
      </w:r>
      <w:r>
        <w:rPr>
          <w:color w:val="003CA0"/>
          <w:sz w:val="12"/>
        </w:rPr>
        <w:t xml:space="preserve"> | RE 834.922</w:t>
      </w:r>
      <w:r>
        <w:rPr>
          <w:color w:val="003CA0"/>
          <w:sz w:val="12"/>
        </w:rPr>
        <w:t xml:space="preserve"> | rel. Gilmar Mendes</w:t>
      </w:r>
    </w:p>
    <w:p>
      <w:pPr>
        <w:ind w:left="288"/>
      </w:pPr>
      <w:r>
        <w:rPr>
          <w:color w:val="1E1E1E"/>
          <w:sz w:val="18"/>
        </w:rPr>
        <w:t>= RE 834.922 AgR, rel. min. Gilmar Mendes, j. 24-3-2015, 2ª T, DJE de 17-4-2015 Alegação de nulidade decorrente da falta de intimação pessoal do defensor público para a sessão de julgamento do recurso em sentido estrito. Não ocorrência. Inércia da defesa. Nulidade arguida somente após dois anos.</w:t>
      </w:r>
    </w:p>
    <w:p>
      <w:pPr>
        <w:ind w:left="288"/>
      </w:pPr>
      <w:r>
        <w:rPr>
          <w:b/>
          <w:color w:val="003CA0"/>
          <w:sz w:val="16"/>
        </w:rPr>
        <w:t>[HC 110.603, rel. min. Gilmar Mendes, j. 7-2-2012, 2ª T, DJE de 24-2-2012.]</w:t>
      </w:r>
    </w:p>
    <w:p>
      <w:pPr>
        <w:ind w:left="288"/>
      </w:pPr>
      <w:r>
        <w:rPr>
          <w:color w:val="8C8C8C"/>
          <w:sz w:val="12"/>
        </w:rPr>
        <w:t>cf-art-5-inc-L</w:t>
      </w:r>
      <w:r>
        <w:rPr>
          <w:color w:val="003CA0"/>
          <w:sz w:val="12"/>
        </w:rPr>
        <w:t xml:space="preserve"> | MS 30.604</w:t>
      </w:r>
      <w:r>
        <w:rPr>
          <w:color w:val="003CA0"/>
          <w:sz w:val="12"/>
        </w:rPr>
        <w:t xml:space="preserve"> | rel. Gilmar Mendes</w:t>
      </w:r>
    </w:p>
    <w:p>
      <w:pPr>
        <w:ind w:left="288"/>
      </w:pPr>
      <w:r>
        <w:rPr>
          <w:color w:val="1E1E1E"/>
          <w:sz w:val="18"/>
        </w:rPr>
        <w:t>Mandado de segurança. Concurso público. MPU. Notificação da impetrante via postal do indeferimento do recurso administrativo no qual pleiteava o reconhecimento da condição de portadora de deficiência. Posterior convocação para realização da perícia médica somente mediante a publicação de edital. Não comparecimento. Não é razoável exigir que candidato que tomou conhecimento do indeferimento de seu pleito administrativo por meio de correspondência seja obrigado a continuar acompanhando as publicações referentes ao certame para o qual concorria. Banca examinadora deveria diligenciar no sentido de</w:t>
      </w:r>
    </w:p>
    <w:p>
      <w:pPr>
        <w:ind w:left="288"/>
      </w:pPr>
      <w:r>
        <w:rPr>
          <w:b/>
          <w:color w:val="003CA0"/>
          <w:sz w:val="16"/>
        </w:rPr>
        <w:t>[MS 30.604, rel. min. Gilmar Mendes, j. 29-11-2011, 2ª T, DJE de 1º-3-2012.]</w:t>
      </w:r>
    </w:p>
    <w:p>
      <w:pPr>
        <w:ind w:left="288"/>
      </w:pPr>
      <w:r>
        <w:rPr>
          <w:color w:val="8C8C8C"/>
          <w:sz w:val="12"/>
        </w:rPr>
        <w:t>cf-art-5-inc-L</w:t>
      </w:r>
      <w:r>
        <w:rPr>
          <w:color w:val="003CA0"/>
          <w:sz w:val="12"/>
        </w:rPr>
        <w:t xml:space="preserve"> | MS 28.594</w:t>
      </w:r>
    </w:p>
    <w:p>
      <w:pPr>
        <w:ind w:left="288"/>
      </w:pPr>
      <w:r>
        <w:rPr>
          <w:color w:val="1E1E1E"/>
          <w:sz w:val="18"/>
        </w:rPr>
        <w:t>Como o ato de aprovação dos ora impetrantes representava um ato administrativo benéfico, a sua anulação deveria contar com a prévia instauração do contraditório entre os particulares envolvidos e a administração. Como, na espécie, a anulação não foi precedida de informação e possibilidade de manifestação, o ato do CNJ é nulo de pleno direito, a teor do art. 5º, LV, CRFB e do art. 2º da Lei 9.784/1999, dispositivos nos quais está previsto o princípio do contraditório como de observância cogente pela administração pública.</w:t>
      </w:r>
    </w:p>
    <w:p>
      <w:pPr>
        <w:ind w:left="288"/>
      </w:pPr>
      <w:r>
        <w:rPr>
          <w:b/>
          <w:color w:val="003CA0"/>
          <w:sz w:val="16"/>
        </w:rPr>
        <w:t>[MS 28.594, red. do ac. min. Marco Aurélio, voto do min. Luiz Fux, j. 6-10-2011, P, DJE de 19-10-2012.]</w:t>
      </w:r>
    </w:p>
    <w:p>
      <w:pPr>
        <w:ind w:left="288"/>
      </w:pPr>
      <w:r>
        <w:rPr>
          <w:color w:val="8C8C8C"/>
          <w:sz w:val="12"/>
        </w:rPr>
        <w:t>cf-art-5-inc-L</w:t>
      </w:r>
      <w:r>
        <w:rPr>
          <w:color w:val="003CA0"/>
          <w:sz w:val="12"/>
        </w:rPr>
        <w:t xml:space="preserve"> | RMS 31.661</w:t>
      </w:r>
      <w:r>
        <w:rPr>
          <w:color w:val="003CA0"/>
          <w:sz w:val="12"/>
        </w:rPr>
        <w:t xml:space="preserve"> | rel. Gilmar Mendes</w:t>
      </w:r>
    </w:p>
    <w:p>
      <w:pPr>
        <w:ind w:left="288"/>
      </w:pPr>
      <w:r>
        <w:rPr>
          <w:color w:val="1E1E1E"/>
          <w:sz w:val="18"/>
        </w:rPr>
        <w:t>Vide RMS 31.661, rel. min. Gilmar Mendes, j. 10-12-2013, 2ª T, DJE de 8-5-2014 Os princípios do contraditório e da ampla defesa aplicam-se plenamente à constituição do crédito tributário em desfavor de qualquer espécie de sujeito passivo, irrelevante sua nomenclatura legal (contribuintes, responsáveis, substitutos, devedores solidários etc). Porém, no caso em exame, houve oportunidade de impugnação integral da constituição do crédito tributário, não obstante os lapsos de linguagem da autoridade fiscal.</w:t>
      </w:r>
    </w:p>
    <w:p>
      <w:pPr>
        <w:ind w:left="288"/>
      </w:pPr>
      <w:r>
        <w:rPr>
          <w:b/>
          <w:color w:val="003CA0"/>
          <w:sz w:val="16"/>
        </w:rPr>
        <w:t>[RE 608.426 AgR, rel. min. Joaquim Barbosa, j. 4-10-2011, 2ª T, DJE de 24-10-2011.]</w:t>
      </w:r>
    </w:p>
    <w:p>
      <w:pPr>
        <w:ind w:left="288"/>
      </w:pPr>
      <w:r>
        <w:rPr>
          <w:color w:val="8C8C8C"/>
          <w:sz w:val="12"/>
        </w:rPr>
        <w:t>cf-art-5-inc-L</w:t>
      </w:r>
      <w:r>
        <w:rPr>
          <w:color w:val="003CA0"/>
          <w:sz w:val="12"/>
        </w:rPr>
        <w:t xml:space="preserve"> | RMS 30.234</w:t>
      </w:r>
      <w:r>
        <w:rPr>
          <w:color w:val="003CA0"/>
          <w:sz w:val="12"/>
        </w:rPr>
        <w:t xml:space="preserve"> | rel. Cármen Lúcia</w:t>
      </w:r>
    </w:p>
    <w:p>
      <w:pPr>
        <w:ind w:left="288"/>
      </w:pPr>
      <w:r>
        <w:rPr>
          <w:color w:val="1E1E1E"/>
          <w:sz w:val="18"/>
        </w:rPr>
        <w:t>A apresentação de memoriais não é ato essencial à defesa, mas mera faculdade que pode ser exercida pelas partes em qualquer momento processual anterior ao julgamento da causa. A negativa de adiamento de sessão de julgamento para a prática de ato processual de caráter facultativo não importa em cerceamento de defesa.</w:t>
      </w:r>
    </w:p>
    <w:p>
      <w:pPr>
        <w:ind w:left="288"/>
      </w:pPr>
      <w:r>
        <w:rPr>
          <w:b/>
          <w:color w:val="003CA0"/>
          <w:sz w:val="16"/>
        </w:rPr>
        <w:t>[RMS 30.234, rel. min. Cármen Lúcia, j. 4-10-2011, 1ª T, DJE de 20-10-2011.]</w:t>
      </w:r>
    </w:p>
    <w:p>
      <w:pPr>
        <w:ind w:left="288"/>
      </w:pPr>
      <w:r>
        <w:rPr>
          <w:color w:val="8C8C8C"/>
          <w:sz w:val="12"/>
        </w:rPr>
        <w:t>cf-art-5-inc-L</w:t>
      </w:r>
      <w:r>
        <w:rPr>
          <w:color w:val="003CA0"/>
          <w:sz w:val="12"/>
        </w:rPr>
        <w:t xml:space="preserve"> | MS 27.851</w:t>
      </w:r>
    </w:p>
    <w:p>
      <w:pPr>
        <w:ind w:left="288"/>
      </w:pPr>
      <w:r>
        <w:rPr>
          <w:color w:val="1E1E1E"/>
          <w:sz w:val="18"/>
        </w:rPr>
        <w:t>Desconto nos subsídios de magistrados para a recomposição de valores percebidos indevidamente. A realização do desconto ou a sua majoração dependem da observância do contraditório e da ampla defesa. É que as manifestações de vontade da administração pública devem, à medida do que for possível e viável, tal como in casu, obedecer um processo dialético que conte com a oitiva da parte interessada. A procedimentalização dos atos administrativos exige o respeito e prévia consulta aos administrados afetados quando da edição de um ato estatal executado na função administrativa.</w:t>
      </w:r>
    </w:p>
    <w:p>
      <w:pPr>
        <w:ind w:left="288"/>
      </w:pPr>
      <w:r>
        <w:rPr>
          <w:b/>
          <w:color w:val="003CA0"/>
          <w:sz w:val="16"/>
        </w:rPr>
        <w:t>[MS 27.851, red. do ac. min. Luiz Fux, j. 27-9-2011, 1ª T, DJE de 23-11-2011.]</w:t>
      </w:r>
    </w:p>
    <w:p>
      <w:pPr>
        <w:ind w:left="288"/>
      </w:pPr>
      <w:r>
        <w:rPr>
          <w:color w:val="8C8C8C"/>
          <w:sz w:val="12"/>
        </w:rPr>
        <w:t>cf-art-5-inc-L</w:t>
      </w:r>
      <w:r>
        <w:rPr>
          <w:color w:val="003CA0"/>
          <w:sz w:val="12"/>
        </w:rPr>
        <w:t xml:space="preserve"> | MS 30.932</w:t>
      </w:r>
      <w:r>
        <w:rPr>
          <w:color w:val="003CA0"/>
          <w:sz w:val="12"/>
        </w:rPr>
        <w:t xml:space="preserve"> | rel. Cármen Lúcia</w:t>
      </w:r>
    </w:p>
    <w:p>
      <w:pPr>
        <w:ind w:left="288"/>
      </w:pPr>
      <w:r>
        <w:rPr>
          <w:color w:val="1E1E1E"/>
          <w:sz w:val="18"/>
        </w:rPr>
        <w:t>= MS 30.932, rel. min. Cármen Lúcia, j. 18-12-2012, 2ª T, DJE de 14-5-2013 Prefeito municipal. Contas rejeitadas pela câmara municipal. Direito ao contraditório e à ampla defesa. (...) É pacífica a jurisprudência desta nossa Casa de Justiça no sentido de que é de ser assegurado a ex-prefeito o direito de defesa quando da deliberação da câmara municipal sobre suas contas.</w:t>
      </w:r>
    </w:p>
    <w:p>
      <w:pPr>
        <w:ind w:left="288"/>
      </w:pPr>
      <w:r>
        <w:rPr>
          <w:b/>
          <w:color w:val="003CA0"/>
          <w:sz w:val="16"/>
        </w:rPr>
        <w:t>[RE 414.908 AgR, rel. min. Ayres Britto, j. 16-8-2011, 2ª T, DJE de 18-10-2011.]</w:t>
      </w:r>
    </w:p>
    <w:p>
      <w:pPr>
        <w:ind w:left="288"/>
      </w:pPr>
      <w:r>
        <w:rPr>
          <w:color w:val="8C8C8C"/>
          <w:sz w:val="12"/>
        </w:rPr>
        <w:t>cf-art-5-inc-L</w:t>
      </w:r>
      <w:r>
        <w:rPr>
          <w:color w:val="003CA0"/>
          <w:sz w:val="12"/>
        </w:rPr>
        <w:t xml:space="preserve"> | RE 682.011</w:t>
      </w:r>
      <w:r>
        <w:rPr>
          <w:color w:val="003CA0"/>
          <w:sz w:val="12"/>
        </w:rPr>
        <w:t xml:space="preserve"> | rel. Celso de Mello</w:t>
      </w:r>
    </w:p>
    <w:p>
      <w:pPr>
        <w:ind w:left="288"/>
      </w:pPr>
      <w:r>
        <w:rPr>
          <w:color w:val="1E1E1E"/>
          <w:sz w:val="18"/>
        </w:rPr>
        <w:t>= RE 682.011, rel. min. Celso de Mello, j. 8-6-2012, dec.monocrática, DJE de 13-6-2012 (...) em procedimento administrativo-disciplinar, instaurado para apurar o cometimento de falta grave por réu condenado, tendo em vista estar em jogo a liberdade de ir e vir, deve ser observado amplamente o princípio do contraditório, com a presença de advogado constituído ou defensor público nomeado, devendo ser-lhe apresentada defesa, em observância às regras específicas contidas na LEP (...).</w:t>
      </w:r>
    </w:p>
    <w:p>
      <w:pPr>
        <w:ind w:left="288"/>
      </w:pPr>
      <w:r>
        <w:rPr>
          <w:b/>
          <w:color w:val="003CA0"/>
          <w:sz w:val="16"/>
        </w:rPr>
        <w:t>[RHC 104.584, voto do min. Gilmar Mendes, j. 24-5-2011, 2ª T, DJE de 6-6-2011.]</w:t>
      </w:r>
    </w:p>
    <w:p>
      <w:pPr>
        <w:ind w:left="288"/>
      </w:pPr>
      <w:r>
        <w:rPr>
          <w:color w:val="8C8C8C"/>
          <w:sz w:val="12"/>
        </w:rPr>
        <w:t>cf-art-5-inc-L</w:t>
      </w:r>
      <w:r>
        <w:rPr>
          <w:color w:val="003CA0"/>
          <w:sz w:val="12"/>
        </w:rPr>
        <w:t xml:space="preserve"> | RE 481.955</w:t>
      </w:r>
      <w:r>
        <w:rPr>
          <w:color w:val="003CA0"/>
          <w:sz w:val="12"/>
        </w:rPr>
        <w:t xml:space="preserve"> | rel. Cármen Lúcia</w:t>
      </w:r>
    </w:p>
    <w:p>
      <w:pPr>
        <w:ind w:left="288"/>
      </w:pPr>
      <w:r>
        <w:rPr>
          <w:color w:val="1E1E1E"/>
          <w:sz w:val="18"/>
        </w:rPr>
        <w:t>Desnecessidade de observância no inquérito civil dos princípios do contraditório e da ampla defesa.</w:t>
      </w:r>
    </w:p>
    <w:p>
      <w:pPr>
        <w:ind w:left="288"/>
      </w:pPr>
      <w:r>
        <w:rPr>
          <w:b/>
          <w:color w:val="003CA0"/>
          <w:sz w:val="16"/>
        </w:rPr>
        <w:t>[RE 481.955 AgR, rel. min. Cármen Lúcia, j. 10-5-2011, 1ª T, DJE de 26-5-2011.]</w:t>
      </w:r>
    </w:p>
    <w:p>
      <w:pPr>
        <w:ind w:left="288"/>
      </w:pPr>
      <w:r>
        <w:rPr>
          <w:color w:val="8C8C8C"/>
          <w:sz w:val="12"/>
        </w:rPr>
        <w:t>cf-art-5-inc-L</w:t>
      </w:r>
      <w:r>
        <w:rPr>
          <w:color w:val="003CA0"/>
          <w:sz w:val="12"/>
        </w:rPr>
        <w:t xml:space="preserve"> | HC 82.354</w:t>
      </w:r>
      <w:r>
        <w:rPr>
          <w:color w:val="003CA0"/>
          <w:sz w:val="12"/>
        </w:rPr>
        <w:t xml:space="preserve"> | rel. Sepúlveda Pertence</w:t>
      </w:r>
    </w:p>
    <w:p>
      <w:pPr>
        <w:ind w:left="288"/>
      </w:pPr>
      <w:r>
        <w:rPr>
          <w:color w:val="1E1E1E"/>
          <w:sz w:val="18"/>
        </w:rPr>
        <w:t>Vide HC 82.354, rel. min. Sepúlveda Pertence, j. 10-8-2004, 1ª T, DJ de 24-9-2004 A determinação de elaboração de laudo pericial na fase do inquérito, sem prévio oferecimento de quesitos pela defesa, não ofende o princípio da ampla defesa. Posterior juntada e oportunidade de manifestação da defesa e oferecimento de quesitos.</w:t>
      </w:r>
    </w:p>
    <w:p>
      <w:pPr>
        <w:ind w:left="288"/>
      </w:pPr>
      <w:r>
        <w:rPr>
          <w:b/>
          <w:color w:val="003CA0"/>
          <w:sz w:val="16"/>
        </w:rPr>
        <w:t>[AI 658.050 AgR, rel. min. Joaquim Barbosa, j. 12-4-2011, 2ª T, DJE de 29-4-2011.]</w:t>
      </w:r>
    </w:p>
    <w:p>
      <w:pPr>
        <w:ind w:left="288"/>
      </w:pPr>
      <w:r>
        <w:rPr>
          <w:color w:val="8C8C8C"/>
          <w:sz w:val="12"/>
        </w:rPr>
        <w:t>cf-art-5-inc-L</w:t>
      </w:r>
      <w:r>
        <w:rPr>
          <w:color w:val="003CA0"/>
          <w:sz w:val="12"/>
        </w:rPr>
        <w:t xml:space="preserve"> | HC 106.833</w:t>
      </w:r>
      <w:r>
        <w:rPr>
          <w:color w:val="003CA0"/>
          <w:sz w:val="12"/>
        </w:rPr>
        <w:t xml:space="preserve"> | rel. Ricardo Lewandowski</w:t>
      </w:r>
    </w:p>
    <w:p>
      <w:pPr>
        <w:ind w:left="288"/>
      </w:pPr>
      <w:r>
        <w:rPr>
          <w:color w:val="1E1E1E"/>
          <w:sz w:val="18"/>
        </w:rPr>
        <w:t>A ausência de intimação do advogado constituído pelo paciente para o oferecimento de contrarrazões ao recurso especial interposto importa violação aos princípios do contraditório, da ampla defesa e do devido processo legal.</w:t>
      </w:r>
    </w:p>
    <w:p>
      <w:pPr>
        <w:ind w:left="288"/>
      </w:pPr>
      <w:r>
        <w:rPr>
          <w:b/>
          <w:color w:val="003CA0"/>
          <w:sz w:val="16"/>
        </w:rPr>
        <w:t>[HC 106.833, rel. min. Ricardo Lewandowski, j. 12-4-2011, 1ª T, DJE de 6-5-2011.]</w:t>
      </w:r>
    </w:p>
    <w:p>
      <w:pPr>
        <w:ind w:left="288"/>
      </w:pPr>
      <w:r>
        <w:rPr>
          <w:color w:val="8C8C8C"/>
          <w:sz w:val="12"/>
        </w:rPr>
        <w:t>cf-art-5-inc-L</w:t>
      </w:r>
      <w:r>
        <w:rPr>
          <w:color w:val="003CA0"/>
          <w:sz w:val="12"/>
        </w:rPr>
        <w:t xml:space="preserve"> | AP 528</w:t>
      </w:r>
      <w:r>
        <w:rPr>
          <w:color w:val="003CA0"/>
          <w:sz w:val="12"/>
        </w:rPr>
        <w:t xml:space="preserve"> | rel. Ricardo Lewandowski</w:t>
      </w:r>
    </w:p>
    <w:p>
      <w:pPr>
        <w:ind w:left="288"/>
      </w:pPr>
      <w:r>
        <w:rPr>
          <w:color w:val="1E1E1E"/>
          <w:sz w:val="18"/>
        </w:rPr>
        <w:t>O art. 400 do CPP, com a redação dada pela Lei 11.719/2008, fixou o interrogatório do réu como ato derradeiro da instrução penal. Sendo tal prática benéfica à defesa, deve prevalecer nas ações penais originárias perante o STF, em detrimento do previsto no art. 7º da Lei 8.038/1990 nesse aspecto. Exceção apenas quanto às ações nas quais o interrogatório já se ultimou. Interpretação sistemática e teleológica do direito.</w:t>
      </w:r>
    </w:p>
    <w:p>
      <w:pPr>
        <w:ind w:left="288"/>
      </w:pPr>
      <w:r>
        <w:rPr>
          <w:b/>
          <w:color w:val="003CA0"/>
          <w:sz w:val="16"/>
        </w:rPr>
        <w:t>[AP 528 AgR, rel. min. Ricardo Lewandowski, j. 24-3-2011, P, DJE de 8-6-2011.]</w:t>
      </w:r>
    </w:p>
    <w:p>
      <w:pPr>
        <w:ind w:left="288"/>
      </w:pPr>
      <w:r>
        <w:rPr>
          <w:color w:val="8C8C8C"/>
          <w:sz w:val="12"/>
        </w:rPr>
        <w:t>cf-art-5-inc-L</w:t>
      </w:r>
      <w:r>
        <w:rPr>
          <w:color w:val="003CA0"/>
          <w:sz w:val="12"/>
        </w:rPr>
        <w:t xml:space="preserve"> | AP 470</w:t>
      </w:r>
      <w:r>
        <w:rPr>
          <w:color w:val="003CA0"/>
          <w:sz w:val="12"/>
        </w:rPr>
        <w:t xml:space="preserve"> | rel. Joaquim Barbosa</w:t>
      </w:r>
    </w:p>
    <w:p>
      <w:pPr>
        <w:ind w:left="288"/>
      </w:pPr>
      <w:r>
        <w:rPr>
          <w:color w:val="1E1E1E"/>
          <w:sz w:val="18"/>
        </w:rPr>
        <w:t>Vide AP 470 QO-oitava, rel. min. Joaquim Barbosa, j. 7-10-2010, P, DJE de 2-5-2011 A recente jurisprudência consolidada do STF passou a se manifestar no sentido de exigir que o TCU assegure a ampla defesa e o contraditório nos casos em que o controle externo de legalidade exercido pela Corte de Contas, para registro de aposentadorias e pensões, ultrapassar o prazo de cinco anos, sob pena de ofensa ao princípio da confiança – face subjetiva do princípio da segurança jurídica.</w:t>
      </w:r>
    </w:p>
    <w:p>
      <w:pPr>
        <w:ind w:left="288"/>
      </w:pPr>
      <w:r>
        <w:rPr>
          <w:b/>
          <w:color w:val="003CA0"/>
          <w:sz w:val="16"/>
        </w:rPr>
        <w:t>[MS 24.781, red. do ac. min. Gilmar Mendes, j. 2-3-2011, P, DJE de 9-6-2011.]</w:t>
      </w:r>
    </w:p>
    <w:p>
      <w:pPr>
        <w:ind w:left="288"/>
      </w:pPr>
      <w:r>
        <w:rPr>
          <w:color w:val="8C8C8C"/>
          <w:sz w:val="12"/>
        </w:rPr>
        <w:t>cf-art-5-inc-L</w:t>
      </w:r>
      <w:r>
        <w:rPr>
          <w:color w:val="003CA0"/>
          <w:sz w:val="12"/>
        </w:rPr>
        <w:t xml:space="preserve"> | MS 31.342</w:t>
      </w:r>
      <w:r>
        <w:rPr>
          <w:color w:val="003CA0"/>
          <w:sz w:val="12"/>
        </w:rPr>
        <w:t xml:space="preserve"> | rel. Dias Toffoli</w:t>
      </w:r>
    </w:p>
    <w:p>
      <w:pPr>
        <w:ind w:left="288"/>
      </w:pPr>
      <w:r>
        <w:rPr>
          <w:color w:val="1E1E1E"/>
          <w:sz w:val="18"/>
        </w:rPr>
        <w:t>= MS 31.342 AgR, rel. min. Dias Toffoli, j. 30-10-2012, 1ª T, DJE de 10-12-2012 (...) a decisão prolatada por esta Corte nos autos da ADC 4/DF não veda toda e qualquer antecipação de tutela contra a Fazenda Pública, mas tão somente as hipóteses taxativamente previstas no art. 1º da Lei 9.494/1997. A preocupação do Plenário deste Tribunal no julgamento da ADC 4 MC/DF foi justamente a de preservar a Fazenda Pública contra o deferimento generalizado de tutelas antecipatórias, em sede de cognição sumária, sem a observância do contraditório e da ampla defesa.</w:t>
      </w:r>
    </w:p>
    <w:p>
      <w:pPr>
        <w:ind w:left="288"/>
      </w:pPr>
      <w:r>
        <w:rPr>
          <w:b/>
          <w:color w:val="003CA0"/>
          <w:sz w:val="16"/>
        </w:rPr>
        <w:t>[Rcl 6.327 AgR, voto do min. Ricardo Lewandowski, j. 2-3-2011, P, DJE de 1º-4-2011.]</w:t>
      </w:r>
    </w:p>
    <w:p>
      <w:pPr>
        <w:ind w:left="288"/>
      </w:pPr>
      <w:r>
        <w:rPr>
          <w:color w:val="8C8C8C"/>
          <w:sz w:val="12"/>
        </w:rPr>
        <w:t>cf-art-5-inc-L</w:t>
      </w:r>
      <w:r>
        <w:rPr>
          <w:color w:val="003CA0"/>
          <w:sz w:val="12"/>
        </w:rPr>
        <w:t xml:space="preserve"> | MS 28.061</w:t>
      </w:r>
      <w:r>
        <w:rPr>
          <w:color w:val="003CA0"/>
          <w:sz w:val="12"/>
        </w:rPr>
        <w:t xml:space="preserve"> | rel. Ellen Gracie</w:t>
      </w:r>
    </w:p>
    <w:p>
      <w:pPr>
        <w:ind w:left="288"/>
      </w:pPr>
      <w:r>
        <w:rPr>
          <w:color w:val="1E1E1E"/>
          <w:sz w:val="18"/>
        </w:rPr>
        <w:t>O TCU considerou legal o ato de concessão inicial de pensão do montepio civil da União em favor da impetrante e de sua irmã, ordenando o seu registro. A Corte de Contas também determinou a adoção de medidas com o objetivo de efetuar a alteração dessa pensão para que a irmã da impetrante passasse a ser a única beneficiária, com fundamento em suposta ocorrência de união estável superveniente. Necessidade de garantir-se à impetrante o exercício do contraditório e da ampla defesa quanto à suposta união estável por ela mantida. Incidência na espécie da Súmula Vinculante 3. Cassação do acórdão do TC</w:t>
      </w:r>
    </w:p>
    <w:p>
      <w:pPr>
        <w:ind w:left="288"/>
      </w:pPr>
      <w:r>
        <w:rPr>
          <w:b/>
          <w:color w:val="003CA0"/>
          <w:sz w:val="16"/>
        </w:rPr>
        <w:t>[MS 28.061 AgR, rel. min. Ellen Gracie, j. 2-3-2011, P, DJE de 11-4-2011.]</w:t>
      </w:r>
    </w:p>
    <w:p>
      <w:pPr>
        <w:ind w:left="288"/>
      </w:pPr>
      <w:r>
        <w:rPr>
          <w:color w:val="8C8C8C"/>
          <w:sz w:val="12"/>
        </w:rPr>
        <w:t>cf-art-5-inc-L</w:t>
      </w:r>
      <w:r>
        <w:rPr>
          <w:color w:val="003CA0"/>
          <w:sz w:val="12"/>
        </w:rPr>
        <w:t xml:space="preserve"> | HC 102.019</w:t>
      </w:r>
      <w:r>
        <w:rPr>
          <w:color w:val="003CA0"/>
          <w:sz w:val="12"/>
        </w:rPr>
        <w:t xml:space="preserve"> | rel. Ricardo Lewandowski</w:t>
      </w:r>
    </w:p>
    <w:p>
      <w:pPr>
        <w:ind w:left="288"/>
      </w:pPr>
      <w:r>
        <w:rPr>
          <w:color w:val="1E1E1E"/>
          <w:sz w:val="18"/>
        </w:rPr>
        <w:t>A defesa técnica é aquela exercida por profissional legalmente habilitado, com capacidade postulatória, constituindo direito indisponível e irrenunciável. A pretensão do paciente de realizar sua própria defesa mostra-se inadmissível, pois se trata de faculdade excepcional, exercida nas hipóteses estritamente previstas na Constituição e nas leis processuais. Ao réu é assegurado o exercício da autodefesa consistente em ser interrogado pelo juízo ou em invocar direito ao silêncio, bem como de poder acompanhar os atos da instrução criminal, além de apresentar ao respectivo advogado a sua versão do</w:t>
      </w:r>
    </w:p>
    <w:p>
      <w:pPr>
        <w:ind w:left="288"/>
      </w:pPr>
      <w:r>
        <w:rPr>
          <w:b/>
          <w:color w:val="003CA0"/>
          <w:sz w:val="16"/>
        </w:rPr>
        <w:t>[HC 102.019, rel. min. Ricardo Lewandowski, j. 17-8-2010, 1ª T, DJE de 22-10-2010.]</w:t>
      </w:r>
    </w:p>
    <w:p>
      <w:pPr>
        <w:ind w:left="288"/>
      </w:pPr>
      <w:r>
        <w:rPr>
          <w:color w:val="8C8C8C"/>
          <w:sz w:val="12"/>
        </w:rPr>
        <w:t>cf-art-5-inc-L</w:t>
      </w:r>
      <w:r>
        <w:rPr>
          <w:color w:val="003CA0"/>
          <w:sz w:val="12"/>
        </w:rPr>
        <w:t xml:space="preserve"> | HC 102.836</w:t>
      </w:r>
      <w:r>
        <w:rPr>
          <w:color w:val="003CA0"/>
          <w:sz w:val="12"/>
        </w:rPr>
        <w:t xml:space="preserve"> | rel. Cármen Lúcia</w:t>
      </w:r>
    </w:p>
    <w:p>
      <w:pPr>
        <w:ind w:left="288"/>
      </w:pPr>
      <w:r>
        <w:rPr>
          <w:color w:val="1E1E1E"/>
          <w:sz w:val="18"/>
        </w:rPr>
        <w:t>Vide HC 102.836 AgR, rel. min. Cármen Lúcia, red. do ac. min. Dias Toffoli, j. 8-11-2011, 1ª T, DJE de 27-2-2012 Vide RHC 104.723, rel. min. Dias Toffoli, j. 23-11-2010, 1ª T, DJE de 22-2-2011 Vide HC 99.330, rel. min. Ellen Gracie, red. do ac. min. Eros Grau, j. 16-3-2010, 2ª T, DJE de 23-4-2010 Vide RE 459.131, rel. min. Ricardo Lewandowski, j. 12-8-2008, 1ª T, DJE de 12-9-2008 Não há risco de grave lesão à ordem pública na decisão judicial que determina sejam observados os princípios da ampla defesa e do contraditório em processo administrativo instaurado para anular contrato de concessão d</w:t>
      </w:r>
    </w:p>
    <w:p>
      <w:pPr>
        <w:ind w:left="288"/>
      </w:pPr>
      <w:r>
        <w:rPr>
          <w:b/>
          <w:color w:val="003CA0"/>
          <w:sz w:val="16"/>
        </w:rPr>
        <w:t>[SS 3.952 AgR, rel. min. Cezar Peluso, j. 12-8-2010, P, DJE de 27-8-2010.]</w:t>
      </w:r>
    </w:p>
    <w:p>
      <w:pPr>
        <w:ind w:left="288"/>
      </w:pPr>
      <w:r>
        <w:rPr>
          <w:color w:val="8C8C8C"/>
          <w:sz w:val="12"/>
        </w:rPr>
        <w:t>cf-art-5-inc-L</w:t>
      </w:r>
      <w:r>
        <w:rPr>
          <w:color w:val="003CA0"/>
          <w:sz w:val="12"/>
        </w:rPr>
        <w:t xml:space="preserve"> | HC 102.375</w:t>
      </w:r>
      <w:r>
        <w:rPr>
          <w:color w:val="003CA0"/>
          <w:sz w:val="12"/>
        </w:rPr>
        <w:t xml:space="preserve"> | rel. Cármen Lúcia</w:t>
      </w:r>
    </w:p>
    <w:p>
      <w:pPr>
        <w:ind w:left="288"/>
      </w:pPr>
      <w:r>
        <w:rPr>
          <w:color w:val="1E1E1E"/>
          <w:sz w:val="18"/>
        </w:rPr>
        <w:t>(...) o acusado se defende dos fatos narrados, e não da capitulação dada pelo Ministério Público. O juiz pode dar aos eventos delituosos descritos na inicial acusatória a classificação legal que entender mais adequada, procedendo à emenda na acusação (emendatio libelli), sem que isso gere surpresa para a defesa. A peça inicial acusatória, na forma redigida, possibilitou ao paciente saber exatamente os fatos que lhe eram imputados, não havendo que se falar em acusação incerta, que tivesse dificultado ou inviabilizado o exercício da defesa.</w:t>
      </w:r>
    </w:p>
    <w:p>
      <w:pPr>
        <w:ind w:left="288"/>
      </w:pPr>
      <w:r>
        <w:rPr>
          <w:b/>
          <w:color w:val="003CA0"/>
          <w:sz w:val="16"/>
        </w:rPr>
        <w:t>[HC 102.375, rel. min. Cármen Lúcia, j. 29-6-2010, 1ª T, DJE de 20-8-2010.]</w:t>
      </w:r>
    </w:p>
    <w:p>
      <w:pPr>
        <w:ind w:left="288"/>
      </w:pPr>
      <w:r>
        <w:rPr>
          <w:color w:val="8C8C8C"/>
          <w:sz w:val="12"/>
        </w:rPr>
        <w:t>cf-art-5-inc-L</w:t>
      </w:r>
      <w:r>
        <w:rPr>
          <w:color w:val="003CA0"/>
          <w:sz w:val="12"/>
        </w:rPr>
        <w:t xml:space="preserve"> | AP 372</w:t>
      </w:r>
      <w:r>
        <w:rPr>
          <w:color w:val="003CA0"/>
          <w:sz w:val="12"/>
        </w:rPr>
        <w:t xml:space="preserve"> | rel. Dias Toffoli</w:t>
      </w:r>
    </w:p>
    <w:p>
      <w:pPr>
        <w:ind w:left="288"/>
      </w:pPr>
      <w:r>
        <w:rPr>
          <w:color w:val="1E1E1E"/>
          <w:sz w:val="18"/>
        </w:rPr>
        <w:t>= AP 372, rel. min. Dias Toffoli, j. 16-12-2010, P, DJE de 4-4-2011 As notas taquigráficas são revisadas e devolvidas pelos ministros no prazo regimental. Durante esse período as manifestações podem ser canceladas pelo ministro que as houver proferido, hipótese em que não serão publicadas com o acórdão. Não há nulidade na publicação de acórdão sem a juntada de voto vogal que aderiu à tese vencedora do acórdão recorrido e foi cancelado na revisão de notas taquigráficas pelo ministro que o proferiu.</w:t>
      </w:r>
    </w:p>
    <w:p>
      <w:pPr>
        <w:ind w:left="288"/>
      </w:pPr>
      <w:r>
        <w:rPr>
          <w:b/>
          <w:color w:val="003CA0"/>
          <w:sz w:val="16"/>
        </w:rPr>
        <w:t>[RE 592.905 ED, rel. min. Eros Grau, j. 17-6-2010, P, DJE de 6-8-2010.]</w:t>
      </w:r>
    </w:p>
    <w:p>
      <w:pPr>
        <w:ind w:left="288"/>
      </w:pPr>
      <w:r>
        <w:rPr>
          <w:color w:val="8C8C8C"/>
          <w:sz w:val="12"/>
        </w:rPr>
        <w:t>cf-art-5-inc-L</w:t>
      </w:r>
      <w:r>
        <w:rPr>
          <w:color w:val="003CA0"/>
          <w:sz w:val="12"/>
        </w:rPr>
        <w:t xml:space="preserve"> | INQ 2.424</w:t>
      </w:r>
      <w:r>
        <w:rPr>
          <w:color w:val="003CA0"/>
          <w:sz w:val="12"/>
        </w:rPr>
        <w:t xml:space="preserve"> | rel. Gilmar Mendes</w:t>
      </w:r>
    </w:p>
    <w:p>
      <w:pPr>
        <w:ind w:left="288"/>
      </w:pPr>
      <w:r>
        <w:rPr>
          <w:color w:val="1E1E1E"/>
          <w:sz w:val="18"/>
        </w:rPr>
        <w:t>= Inq 2.424 ED, rel. min. Gilmar Mendes, j. 19-8-2010, P, DJE de 21-10-2011 Ausência de comunicação ao advogado da sessão de julgamento. Nulidade por cerceamento de defesa. Inocorrência. (...) É desnecessária de nova publicação quando o feito é incluído em pauta e julgado em prazo razoável nas sessões subsequentes, depois de cientificado o advogado. (...) Não há violação dos princípios do contraditório e da ampla defesa, quando, em julgamento de recurso de apelação do Ministério Público, o Tribunal aplica agravante não reconhecida pelo juiz de primeiro grau, mas cuja existência consta dos auto</w:t>
      </w:r>
    </w:p>
    <w:p>
      <w:pPr>
        <w:ind w:left="288"/>
      </w:pPr>
      <w:r>
        <w:rPr>
          <w:b/>
          <w:color w:val="003CA0"/>
          <w:sz w:val="16"/>
        </w:rPr>
        <w:t>[RHC 99.306, rel. min. Ricardo Lewandowski, j. 16-6-2010, 1ª T, DJE de 20-8-2010.]</w:t>
      </w:r>
    </w:p>
    <w:p>
      <w:pPr>
        <w:ind w:left="288"/>
      </w:pPr>
      <w:r>
        <w:rPr>
          <w:color w:val="8C8C8C"/>
          <w:sz w:val="12"/>
        </w:rPr>
        <w:t>cf-art-5-inc-L</w:t>
      </w:r>
      <w:r>
        <w:rPr>
          <w:color w:val="003CA0"/>
          <w:sz w:val="12"/>
        </w:rPr>
        <w:t xml:space="preserve"> | MS 26.872</w:t>
      </w:r>
      <w:r>
        <w:rPr>
          <w:color w:val="003CA0"/>
          <w:sz w:val="12"/>
        </w:rPr>
        <w:t xml:space="preserve"> | rel. Marco Aurélio</w:t>
      </w:r>
    </w:p>
    <w:p>
      <w:pPr>
        <w:ind w:left="288"/>
      </w:pPr>
      <w:r>
        <w:rPr>
          <w:color w:val="1E1E1E"/>
          <w:sz w:val="18"/>
        </w:rPr>
        <w:t>Aposentadoria. Registro. Revisão. Direito de defesa. Surgindo do processo notícia sobre a ciência do beneficiário do registro da aposentadoria revisto, tem-se como observado o devido processo administrativo.</w:t>
      </w:r>
    </w:p>
    <w:p>
      <w:pPr>
        <w:ind w:left="288"/>
      </w:pPr>
      <w:r>
        <w:rPr>
          <w:b/>
          <w:color w:val="003CA0"/>
          <w:sz w:val="16"/>
        </w:rPr>
        <w:t>[MS 26.872, rel. min. Marco Aurélio, j. 19-5-2010, P, DJE de 6-8-2010.]</w:t>
      </w:r>
    </w:p>
    <w:p>
      <w:pPr>
        <w:ind w:left="288"/>
      </w:pPr>
      <w:r>
        <w:rPr>
          <w:color w:val="8C8C8C"/>
          <w:sz w:val="12"/>
        </w:rPr>
        <w:t>cf-art-5-inc-L</w:t>
      </w:r>
      <w:r>
        <w:rPr>
          <w:color w:val="003CA0"/>
          <w:sz w:val="12"/>
        </w:rPr>
        <w:t xml:space="preserve"> | HC 96.943</w:t>
      </w:r>
      <w:r>
        <w:rPr>
          <w:color w:val="003CA0"/>
          <w:sz w:val="12"/>
        </w:rPr>
        <w:t xml:space="preserve"> | rel. Marco Aurélio</w:t>
      </w:r>
    </w:p>
    <w:p>
      <w:pPr>
        <w:ind w:left="288"/>
      </w:pPr>
      <w:r>
        <w:rPr>
          <w:color w:val="1E1E1E"/>
          <w:sz w:val="18"/>
        </w:rPr>
        <w:t>Havendo ocorrido a intimação para ciência da sentença, vindo a defesa a manifestar-se no sentido de não interpor recurso, fazendo-o mediante atuação de representante processual constituído, descabe versar nulidade.</w:t>
      </w:r>
    </w:p>
    <w:p>
      <w:pPr>
        <w:ind w:left="288"/>
      </w:pPr>
      <w:r>
        <w:rPr>
          <w:b/>
          <w:color w:val="003CA0"/>
          <w:sz w:val="16"/>
        </w:rPr>
        <w:t>[HC 96.943, rel. min. Marco Aurélio, j. 18-5-2010, 1ª T, DJE de 4-6-2010.]</w:t>
      </w:r>
    </w:p>
    <w:p>
      <w:pPr>
        <w:ind w:left="288"/>
      </w:pPr>
      <w:r>
        <w:rPr>
          <w:color w:val="8C8C8C"/>
          <w:sz w:val="12"/>
        </w:rPr>
        <w:t>cf-art-5-inc-L</w:t>
      </w:r>
      <w:r>
        <w:rPr>
          <w:color w:val="003CA0"/>
          <w:sz w:val="12"/>
        </w:rPr>
        <w:t xml:space="preserve"> | HC 93.120</w:t>
      </w:r>
      <w:r>
        <w:rPr>
          <w:color w:val="003CA0"/>
          <w:sz w:val="12"/>
        </w:rPr>
        <w:t xml:space="preserve"> | rel. Joaquim Barbosa</w:t>
      </w:r>
    </w:p>
    <w:p>
      <w:pPr>
        <w:ind w:left="288"/>
      </w:pPr>
      <w:r>
        <w:rPr>
          <w:color w:val="1E1E1E"/>
          <w:sz w:val="18"/>
        </w:rPr>
        <w:t>Vide HC 93.120, rel. min. Joaquim Barbosa, j. 8-4-2008, 2ª T, DJE de 27-6-2008 Não há nulidade, por falta de intimação dos advogados, quando o réu é intimado pessoalmente da sentença de pronúncia e, conforme restou comprovado, sua defesa revelou plena ciência do ato. A alegação de eventual nulidade deve ser arguida em momento oportuno sob pena de preclusão. Necessária, também, a comprovação do prejuízo sofrido.</w:t>
      </w:r>
    </w:p>
    <w:p>
      <w:pPr>
        <w:ind w:left="288"/>
      </w:pPr>
      <w:r>
        <w:rPr>
          <w:b/>
          <w:color w:val="003CA0"/>
          <w:sz w:val="16"/>
        </w:rPr>
        <w:t>[RHC 99.685, rel. min. Ricardo Lewandowski, j. 18-5-2010, 1ª T, DJE de 4-6-2010.]</w:t>
      </w:r>
    </w:p>
    <w:p>
      <w:pPr>
        <w:ind w:left="288"/>
      </w:pPr>
      <w:r>
        <w:rPr>
          <w:color w:val="8C8C8C"/>
          <w:sz w:val="12"/>
        </w:rPr>
        <w:t>cf-art-5-inc-L</w:t>
      </w:r>
      <w:r>
        <w:rPr>
          <w:color w:val="003CA0"/>
          <w:sz w:val="12"/>
        </w:rPr>
        <w:t xml:space="preserve"> | HC 95.712</w:t>
      </w:r>
      <w:r>
        <w:rPr>
          <w:color w:val="003CA0"/>
          <w:sz w:val="12"/>
        </w:rPr>
        <w:t xml:space="preserve"> | rel. Ayres Britto</w:t>
      </w:r>
    </w:p>
    <w:p>
      <w:pPr>
        <w:ind w:left="288"/>
      </w:pPr>
      <w:r>
        <w:rPr>
          <w:color w:val="1E1E1E"/>
          <w:sz w:val="18"/>
        </w:rPr>
        <w:t>Funcionário público. (...) Art. 514 do CPP. (...) a ausência de oportunidade para o oferecimento da resposta preliminar na ocasião legalmente assinalada revela-se incompatível com a pureza do princípio constitucional da plenitude de defesa e do contraditório, mormente em matéria penal. Noutros termos, a falta da defesa preliminar à decisão judicial quanto ao recebimento da denúncia, em processo tão vincado pela garantia constitucional da ampla defesa e do contraditório, como efetivamente é o processo penal, caracteriza vício insanável. A ampla defesa é transformada em curta defesa, ainda que p</w:t>
      </w:r>
    </w:p>
    <w:p>
      <w:pPr>
        <w:ind w:left="288"/>
      </w:pPr>
      <w:r>
        <w:rPr>
          <w:b/>
          <w:color w:val="003CA0"/>
          <w:sz w:val="16"/>
        </w:rPr>
        <w:t>[HC 95.712, rel. min. Ayres Britto, j. 20-4-2010, 1ª T, DJE de 21-5-2010.]</w:t>
      </w:r>
    </w:p>
    <w:p>
      <w:pPr>
        <w:ind w:left="288"/>
      </w:pPr>
      <w:r>
        <w:rPr>
          <w:color w:val="8C8C8C"/>
          <w:sz w:val="12"/>
        </w:rPr>
        <w:t>cf-art-5-inc-L</w:t>
      </w:r>
      <w:r>
        <w:rPr>
          <w:color w:val="003CA0"/>
          <w:sz w:val="12"/>
        </w:rPr>
        <w:t xml:space="preserve"> | HC 97.033</w:t>
      </w:r>
      <w:r>
        <w:rPr>
          <w:color w:val="003CA0"/>
          <w:sz w:val="12"/>
        </w:rPr>
        <w:t xml:space="preserve"> | rel. Cármen Lúcia</w:t>
      </w:r>
    </w:p>
    <w:p>
      <w:pPr>
        <w:ind w:left="288"/>
      </w:pPr>
      <w:r>
        <w:rPr>
          <w:color w:val="1E1E1E"/>
          <w:sz w:val="18"/>
        </w:rPr>
        <w:t>Vide HC 97.033, rel. min. Cármen Lúcia, j. 12-5-2009, 1ª T, DJE de 12-6-2009 Alteração da parte dispositiva de decisão, de forma a contrair ou exceder os fundamentos mantidos na decisão modificada, não configura mera correção de erro de fato, mas caracteriza nova decisão, a justificar a reabertura do prazo para recurso.</w:t>
      </w:r>
    </w:p>
    <w:p>
      <w:pPr>
        <w:ind w:left="288"/>
      </w:pPr>
      <w:r>
        <w:rPr>
          <w:b/>
          <w:color w:val="003CA0"/>
          <w:sz w:val="16"/>
        </w:rPr>
        <w:t>[RE 582.258 AgR-AgR, rel. min. Ricardo Lewandowski, j. 6-4-2010, 1ª T, DJE de 14-5-2010.]</w:t>
      </w:r>
    </w:p>
    <w:p>
      <w:pPr>
        <w:ind w:left="288"/>
      </w:pPr>
      <w:r>
        <w:rPr>
          <w:color w:val="8C8C8C"/>
          <w:sz w:val="12"/>
        </w:rPr>
        <w:t>cf-art-5-inc-L</w:t>
      </w:r>
      <w:r>
        <w:rPr>
          <w:color w:val="003CA0"/>
          <w:sz w:val="12"/>
        </w:rPr>
        <w:t xml:space="preserve"> | HC 99.330</w:t>
      </w:r>
      <w:r>
        <w:rPr>
          <w:color w:val="003CA0"/>
          <w:sz w:val="12"/>
        </w:rPr>
        <w:t xml:space="preserve"> | rel. Ellen Gracie</w:t>
      </w:r>
    </w:p>
    <w:p>
      <w:pPr>
        <w:ind w:left="288"/>
      </w:pPr>
      <w:r>
        <w:rPr>
          <w:color w:val="1E1E1E"/>
          <w:sz w:val="18"/>
        </w:rPr>
        <w:t>A Constituição do Brasil/1988 determina que "o advogado é indispensável à administração da justiça" (art. 133). É por intermédio dele que se exerce "o contraditório e a ampla defesa, com os meios e recursos a ela inerentes" (art. 5º, LV). O falecimento do patrono do réu cinco dias antes da publicação do acórdão, do STJ, que não admitiu o agravo de instrumento consubstancia situação relevante. Isso porque, havendo apenas um advogado constituído nos autos, a intimação do acórdão tornou-se impossível após a sua morte. Em consequência, o paciente ficou sem defesa técnica. Há, no caso, nítida viola</w:t>
      </w:r>
    </w:p>
    <w:p>
      <w:pPr>
        <w:ind w:left="288"/>
      </w:pPr>
      <w:r>
        <w:rPr>
          <w:b/>
          <w:color w:val="003CA0"/>
          <w:sz w:val="16"/>
        </w:rPr>
        <w:t>[HC 99.330, rel. min. Ellen Gracie, red. do ac. min. Eros Grau, j. 16-3-2010, 2ª T, DJE de 23-4-2010.]</w:t>
      </w:r>
    </w:p>
    <w:p>
      <w:pPr>
        <w:ind w:left="288"/>
      </w:pPr>
      <w:r>
        <w:rPr>
          <w:color w:val="8C8C8C"/>
          <w:sz w:val="12"/>
        </w:rPr>
        <w:t>cf-art-5-inc-L</w:t>
      </w:r>
      <w:r>
        <w:rPr>
          <w:color w:val="003CA0"/>
          <w:sz w:val="12"/>
        </w:rPr>
        <w:t xml:space="preserve"> | RHC 104.723</w:t>
      </w:r>
      <w:r>
        <w:rPr>
          <w:color w:val="003CA0"/>
          <w:sz w:val="12"/>
        </w:rPr>
        <w:t xml:space="preserve"> | rel. Dias Toffoli</w:t>
      </w:r>
    </w:p>
    <w:p>
      <w:pPr>
        <w:ind w:left="288"/>
      </w:pPr>
      <w:r>
        <w:rPr>
          <w:color w:val="1E1E1E"/>
          <w:sz w:val="18"/>
        </w:rPr>
        <w:t>= RHC 104.723, rel. min. Dias Toffoli, j. 23-11-2010, 1ª T, DJE de 22-2-2011 Uma vez verificado o silêncio do defensor dativo, deixando de apresentar contrarrazões, impõe-se designar outro profissional da advocacia ou intimar a Defensoria Pública para afastar a omissão, sob pena de nulidade.</w:t>
      </w:r>
    </w:p>
    <w:p>
      <w:pPr>
        <w:ind w:left="288"/>
      </w:pPr>
      <w:r>
        <w:rPr>
          <w:b/>
          <w:color w:val="003CA0"/>
          <w:sz w:val="16"/>
        </w:rPr>
        <w:t>[HC 98.664, rel. min. Marco Aurélio, j. 23-2-2010, 1ª T, DJE de 26-3-2010.]</w:t>
      </w:r>
    </w:p>
    <w:p>
      <w:pPr>
        <w:ind w:left="288"/>
      </w:pPr>
      <w:r>
        <w:rPr>
          <w:color w:val="8C8C8C"/>
          <w:sz w:val="12"/>
        </w:rPr>
        <w:t>cf-art-5-inc-L</w:t>
      </w:r>
      <w:r>
        <w:rPr>
          <w:color w:val="003CA0"/>
          <w:sz w:val="12"/>
        </w:rPr>
        <w:t xml:space="preserve"> | HC 92.680</w:t>
      </w:r>
      <w:r>
        <w:rPr>
          <w:color w:val="003CA0"/>
          <w:sz w:val="12"/>
        </w:rPr>
        <w:t xml:space="preserve"> | rel. Cezar Peluso</w:t>
      </w:r>
    </w:p>
    <w:p>
      <w:pPr>
        <w:ind w:left="288"/>
      </w:pPr>
      <w:r>
        <w:rPr>
          <w:color w:val="1E1E1E"/>
          <w:sz w:val="18"/>
        </w:rPr>
        <w:t>Vide HC 92.680, rel. min. Cezar Peluso, j. 11-3-2008, 1ª T, DJE de 25-4-2008 Não há que falar em desrespeito às garantias do contraditório e da ampla defesa, dado que, à luz das provas dos autos, foram realizados estudos técnicos e consultas às populações interessadas, antes da criação da estação ecológica.</w:t>
      </w:r>
    </w:p>
    <w:p>
      <w:pPr>
        <w:ind w:left="288"/>
      </w:pPr>
      <w:r>
        <w:rPr>
          <w:b/>
          <w:color w:val="003CA0"/>
          <w:sz w:val="16"/>
        </w:rPr>
        <w:t>[MS 25.347, rel. min. Ayres Britto, j. 17-2-2010, P, DJE de 19-3-2010.]</w:t>
      </w:r>
    </w:p>
    <w:p>
      <w:pPr>
        <w:ind w:left="288"/>
      </w:pPr>
      <w:r>
        <w:rPr>
          <w:color w:val="8C8C8C"/>
          <w:sz w:val="12"/>
        </w:rPr>
        <w:t>cf-art-5-inc-L</w:t>
      </w:r>
      <w:r>
        <w:rPr>
          <w:color w:val="003CA0"/>
          <w:sz w:val="12"/>
        </w:rPr>
        <w:t xml:space="preserve"> | HC 95.128</w:t>
      </w:r>
      <w:r>
        <w:rPr>
          <w:color w:val="003CA0"/>
          <w:sz w:val="12"/>
        </w:rPr>
        <w:t xml:space="preserve"> | rel. Dias Toffoli</w:t>
      </w:r>
    </w:p>
    <w:p>
      <w:pPr>
        <w:ind w:left="288"/>
      </w:pPr>
      <w:r>
        <w:rPr>
          <w:color w:val="1E1E1E"/>
          <w:sz w:val="18"/>
        </w:rPr>
        <w:t>Esta Suprema Corte já consolidou o entendimento de que, em se tratando de crime sujeito à ação penal pública, como no presente caso, as custas só se tornam exigíveis depois do trânsito em julgado da condenação, motivo pelo qual não pode o recurso do réu deixar de ser admitido pela ausência de preparo. Mutatis mutandis, esse entendimento deve ser aplicado ao presente caso, sob pena de violação do princípio da ampla defesa, especialmente porque, ainda que depois de transcorrido o prazo fixado para a complementação, o paciente acabou complementando o preparo, não podendo ser ignorado esse fato.</w:t>
      </w:r>
    </w:p>
    <w:p>
      <w:pPr>
        <w:ind w:left="288"/>
      </w:pPr>
      <w:r>
        <w:rPr>
          <w:b/>
          <w:color w:val="003CA0"/>
          <w:sz w:val="16"/>
        </w:rPr>
        <w:t>[HC 95.128, rel. min. Dias Toffoli, j. 9-2-2010, 1ª T, DJE de 5-3-2010.]</w:t>
      </w:r>
    </w:p>
    <w:p>
      <w:pPr>
        <w:ind w:left="288"/>
      </w:pPr>
      <w:r>
        <w:rPr>
          <w:color w:val="8C8C8C"/>
          <w:sz w:val="12"/>
        </w:rPr>
        <w:t>cf-art-5-inc-L</w:t>
      </w:r>
      <w:r>
        <w:rPr>
          <w:color w:val="003CA0"/>
          <w:sz w:val="12"/>
        </w:rPr>
        <w:t xml:space="preserve"> | RMS 24.902</w:t>
      </w:r>
      <w:r>
        <w:rPr>
          <w:color w:val="003CA0"/>
          <w:sz w:val="12"/>
        </w:rPr>
        <w:t xml:space="preserve"> | rel. Eros Grau</w:t>
      </w:r>
    </w:p>
    <w:p>
      <w:pPr>
        <w:ind w:left="288"/>
      </w:pPr>
      <w:r>
        <w:rPr>
          <w:color w:val="1E1E1E"/>
          <w:sz w:val="18"/>
        </w:rPr>
        <w:t>Não há cerceamento de defesa quando o servidor público, intimado diversas vezes pessoalmente do andamento do processo administrativo disciplinar e da necessidade de arrolamento de testemunhas, permanece inerte, limitando-se a alegar a existência de irregularidade na portaria que instaurou o feito.</w:t>
      </w:r>
    </w:p>
    <w:p>
      <w:pPr>
        <w:ind w:left="288"/>
      </w:pPr>
      <w:r>
        <w:rPr>
          <w:b/>
          <w:color w:val="003CA0"/>
          <w:sz w:val="16"/>
        </w:rPr>
        <w:t>[RMS 24.902 ED, rel. min. Eros Grau, j. 9-2-2010, 2ª T, DJE de 26-3-2010.]</w:t>
      </w:r>
    </w:p>
    <w:p>
      <w:pPr>
        <w:ind w:left="288"/>
      </w:pPr>
      <w:r>
        <w:rPr>
          <w:color w:val="8C8C8C"/>
          <w:sz w:val="12"/>
        </w:rPr>
        <w:t>cf-art-5-inc-L</w:t>
      </w:r>
      <w:r>
        <w:rPr>
          <w:color w:val="003CA0"/>
          <w:sz w:val="12"/>
        </w:rPr>
        <w:t xml:space="preserve"> | HC 99.684</w:t>
      </w:r>
      <w:r>
        <w:rPr>
          <w:color w:val="003CA0"/>
          <w:sz w:val="12"/>
        </w:rPr>
        <w:t xml:space="preserve"> | rel. Ellen Gracie</w:t>
      </w:r>
    </w:p>
    <w:p>
      <w:pPr>
        <w:ind w:left="288"/>
      </w:pPr>
      <w:r>
        <w:rPr>
          <w:color w:val="1E1E1E"/>
          <w:sz w:val="18"/>
        </w:rPr>
        <w:t>O direito de entrevista prévia e reservada entre o réu e seu defensor está ligado ao interrogatório do acusado e não à audiência de instrução e julgamento. A garantia possibilita ao réu que não possua advogado constituído conversar antecipadamente com o defensor nomeado, para que possa ser orientado sobre as consequências de suas declarações, de modo a não prejudicar sua defesa.</w:t>
      </w:r>
    </w:p>
    <w:p>
      <w:pPr>
        <w:ind w:left="288"/>
      </w:pPr>
      <w:r>
        <w:rPr>
          <w:b/>
          <w:color w:val="003CA0"/>
          <w:sz w:val="16"/>
        </w:rPr>
        <w:t>[HC 99.684, rel. min. Ellen Gracie, j. 24-11-2009, 2ª T, DJE de 11-12-2009.]</w:t>
      </w:r>
    </w:p>
    <w:p>
      <w:pPr>
        <w:ind w:left="288"/>
      </w:pPr>
      <w:r>
        <w:rPr>
          <w:color w:val="8C8C8C"/>
          <w:sz w:val="12"/>
        </w:rPr>
        <w:t>cf-art-5-inc-L</w:t>
      </w:r>
      <w:r>
        <w:rPr>
          <w:color w:val="003CA0"/>
          <w:sz w:val="12"/>
        </w:rPr>
        <w:t xml:space="preserve"> | RE 304.857</w:t>
      </w:r>
      <w:r>
        <w:rPr>
          <w:color w:val="003CA0"/>
          <w:sz w:val="12"/>
        </w:rPr>
        <w:t xml:space="preserve"> | rel. Marco Aurélio</w:t>
      </w:r>
    </w:p>
    <w:p>
      <w:pPr>
        <w:ind w:left="288"/>
      </w:pPr>
      <w:r>
        <w:rPr>
          <w:color w:val="1E1E1E"/>
          <w:sz w:val="18"/>
        </w:rPr>
        <w:t>Descabe ter-se como necessário o contraditório em inquérito administrativo. O instrumento consubstancia simples sindicância visando a, se for o caso, instaurar processo administrativo no qual observado o direito de defesa.</w:t>
      </w:r>
    </w:p>
    <w:p>
      <w:pPr>
        <w:ind w:left="288"/>
      </w:pPr>
      <w:r>
        <w:rPr>
          <w:b/>
          <w:color w:val="003CA0"/>
          <w:sz w:val="16"/>
        </w:rPr>
        <w:t>[RE 304.857, rel. min. Marco Aurélio, j. 24-11-2009, 1ª T, DJE de 5-2-2010.]</w:t>
      </w:r>
    </w:p>
    <w:p>
      <w:pPr>
        <w:ind w:left="288"/>
      </w:pPr>
      <w:r>
        <w:rPr>
          <w:color w:val="8C8C8C"/>
          <w:sz w:val="12"/>
        </w:rPr>
        <w:t>cf-art-5-inc-L</w:t>
      </w:r>
      <w:r>
        <w:rPr>
          <w:color w:val="003CA0"/>
          <w:sz w:val="12"/>
        </w:rPr>
        <w:t xml:space="preserve"> | RE 459.623</w:t>
      </w:r>
      <w:r>
        <w:rPr>
          <w:color w:val="003CA0"/>
          <w:sz w:val="12"/>
        </w:rPr>
        <w:t xml:space="preserve"> | rel. Joaquim Barbosa</w:t>
      </w:r>
    </w:p>
    <w:p>
      <w:pPr>
        <w:ind w:left="288"/>
      </w:pPr>
      <w:r>
        <w:rPr>
          <w:color w:val="1E1E1E"/>
          <w:sz w:val="18"/>
        </w:rPr>
        <w:t>(...) há decisões desta Turma no sentido da necessidade de observância do princípio da ampla defesa no processo administrativo que resulta na suspensão de benefício previdenciário.</w:t>
      </w:r>
    </w:p>
    <w:p>
      <w:pPr>
        <w:ind w:left="288"/>
      </w:pPr>
      <w:r>
        <w:rPr>
          <w:b/>
          <w:color w:val="003CA0"/>
          <w:sz w:val="16"/>
        </w:rPr>
        <w:t>[RE 459.623 AgR, rel. min. Joaquim Barbosa, j. 24-11-2009, 2ª T, DJE de 18-12-2009.]</w:t>
      </w:r>
    </w:p>
    <w:p>
      <w:pPr>
        <w:ind w:left="288"/>
      </w:pPr>
      <w:r>
        <w:rPr>
          <w:color w:val="8C8C8C"/>
          <w:sz w:val="12"/>
        </w:rPr>
        <w:t>cf-art-5-inc-L</w:t>
      </w:r>
      <w:r>
        <w:rPr>
          <w:color w:val="003CA0"/>
          <w:sz w:val="12"/>
        </w:rPr>
        <w:t xml:space="preserve"> | RE 469.247</w:t>
      </w:r>
      <w:r>
        <w:rPr>
          <w:color w:val="003CA0"/>
          <w:sz w:val="12"/>
        </w:rPr>
        <w:t xml:space="preserve"> | rel. Dias Toffoli</w:t>
      </w:r>
    </w:p>
    <w:p>
      <w:pPr>
        <w:ind w:left="288"/>
      </w:pPr>
      <w:r>
        <w:rPr>
          <w:color w:val="1E1E1E"/>
          <w:sz w:val="18"/>
        </w:rPr>
        <w:t>= RE 469.247 ED, rel. min. Dias Toffoli, j. 7-2-2012, 1ª T, DJE de 16-3-2012 Vide RE 426.147 AgR, rel. min. Gilmar Mendes, j. 28-3-2006, 2ª T, DJ de 5-5-2006 A jurisprudência desta Corte é no sentido de que a nulidade por deficiência na defesa do réu só deverá ser declarada se comprovado o efetivo prejuízo. Esse entendimento está, ainda, preconizado na Súmula 523/STF (...).</w:t>
      </w:r>
    </w:p>
    <w:p>
      <w:pPr>
        <w:ind w:left="288"/>
      </w:pPr>
      <w:r>
        <w:rPr>
          <w:b/>
          <w:color w:val="003CA0"/>
          <w:sz w:val="16"/>
        </w:rPr>
        <w:t>[HC 97.413, rel. min. Dias Toffoli, j. 24-11-2009, 1ª T, DJE de 18-12-2009.]</w:t>
      </w:r>
    </w:p>
    <w:p>
      <w:pPr>
        <w:ind w:left="288"/>
      </w:pPr>
      <w:r>
        <w:rPr>
          <w:color w:val="8C8C8C"/>
          <w:sz w:val="12"/>
        </w:rPr>
        <w:t>cf-art-5-inc-L</w:t>
      </w:r>
      <w:r>
        <w:rPr>
          <w:color w:val="003CA0"/>
          <w:sz w:val="12"/>
        </w:rPr>
        <w:t xml:space="preserve"> | HC 97.245</w:t>
      </w:r>
      <w:r>
        <w:rPr>
          <w:color w:val="003CA0"/>
          <w:sz w:val="12"/>
        </w:rPr>
        <w:t xml:space="preserve"> | rel. Cármen Lúcia</w:t>
      </w:r>
    </w:p>
    <w:p>
      <w:pPr>
        <w:ind w:left="288"/>
      </w:pPr>
      <w:r>
        <w:rPr>
          <w:color w:val="1E1E1E"/>
          <w:sz w:val="18"/>
        </w:rPr>
        <w:t>= HC 97.245, rel. min. Cármen Lúcia, j. 24-8-2010, 1ª T, DJE de 8-2-2011 É firme a jurisprudência deste Supremo Tribunal no sentido de que, havendo sido regularmente intimado o defensor constituído, não há como prosperar a alegação de ofensa aos princípios do devido processo legal, do contraditório e da ampla defesa, em razão da não apresentação das contrarrazões ao recurso especial.</w:t>
      </w:r>
    </w:p>
    <w:p>
      <w:pPr>
        <w:ind w:left="288"/>
      </w:pPr>
      <w:r>
        <w:rPr>
          <w:b/>
          <w:color w:val="003CA0"/>
          <w:sz w:val="16"/>
        </w:rPr>
        <w:t>[HC 98.256, rel. min. Cármen Lúcia, j. 3-11-2009, 1ª T, DJE de 11-12-2009.]</w:t>
      </w:r>
    </w:p>
    <w:p>
      <w:pPr>
        <w:ind w:left="288"/>
      </w:pPr>
      <w:r>
        <w:rPr>
          <w:color w:val="8C8C8C"/>
          <w:sz w:val="12"/>
        </w:rPr>
        <w:t>cf-art-5-inc-L</w:t>
      </w:r>
      <w:r>
        <w:rPr>
          <w:color w:val="003CA0"/>
          <w:sz w:val="12"/>
        </w:rPr>
        <w:t xml:space="preserve"> | MS 27.260</w:t>
      </w:r>
      <w:r>
        <w:rPr>
          <w:color w:val="003CA0"/>
          <w:sz w:val="12"/>
        </w:rPr>
        <w:t xml:space="preserve"> | rel. Ayres Britto</w:t>
      </w:r>
    </w:p>
    <w:p>
      <w:pPr>
        <w:ind w:left="288"/>
      </w:pPr>
      <w:r>
        <w:rPr>
          <w:color w:val="1E1E1E"/>
          <w:sz w:val="18"/>
        </w:rPr>
        <w:t>A ausência de previsão no edital do certame de interposição de novos recursos por candidatos prejudicados pela modificação do gabarito preliminar não contraria os princípios constitucionais do contraditório e da ampla defesa.</w:t>
      </w:r>
    </w:p>
    <w:p>
      <w:pPr>
        <w:ind w:left="288"/>
      </w:pPr>
      <w:r>
        <w:rPr>
          <w:b/>
          <w:color w:val="003CA0"/>
          <w:sz w:val="16"/>
        </w:rPr>
        <w:t>[MS 27.260, rel. min. Ayres Britto, red. do ac. min. Cármen Lúcia, j. 29-10-2009, P, DJE de 26-3-2010.]</w:t>
      </w:r>
    </w:p>
    <w:p>
      <w:pPr>
        <w:ind w:left="288"/>
      </w:pPr>
      <w:r>
        <w:rPr>
          <w:color w:val="8C8C8C"/>
          <w:sz w:val="12"/>
        </w:rPr>
        <w:t>cf-art-5-inc-L</w:t>
      </w:r>
      <w:r>
        <w:rPr>
          <w:color w:val="003CA0"/>
          <w:sz w:val="12"/>
        </w:rPr>
        <w:t xml:space="preserve"> | RCL 6.396</w:t>
      </w:r>
      <w:r>
        <w:rPr>
          <w:color w:val="003CA0"/>
          <w:sz w:val="12"/>
        </w:rPr>
        <w:t xml:space="preserve"> | rel. Joaquim Barbosa</w:t>
      </w:r>
    </w:p>
    <w:p>
      <w:pPr>
        <w:ind w:left="288"/>
      </w:pPr>
      <w:r>
        <w:rPr>
          <w:color w:val="1E1E1E"/>
          <w:sz w:val="18"/>
        </w:rPr>
        <w:t>(...) a Súmula Vinculante 3 se dirige, exclusivamente, às decisões do TCU que anulem ou revoguem atos administrativos que beneficiem algum interessado. Os precedentes que subsidiaram a elaboração da Súmula Vinculante 3 tratam tão somente de decisões da Corte de Contas que cancelaram aposentadorias ou pensões. Em nenhum deles há referência a procedimentos de tomadas de contas. O procedimento de tomadas de contas se destina à verificação, pelo Tribunal de Contas, da regularidade da utilização das verbas públicas pelos responsáveis. Ou seja, este procedimento não envolve a anulação ou a revogação</w:t>
      </w:r>
    </w:p>
    <w:p>
      <w:pPr>
        <w:ind w:left="288"/>
      </w:pPr>
      <w:r>
        <w:rPr>
          <w:b/>
          <w:color w:val="003CA0"/>
          <w:sz w:val="16"/>
        </w:rPr>
        <w:t>[Rcl 6.396 AgR, rel. min. Joaquim Barbosa, j. 21-10-2009, P, DJE de 13-11-2009.]</w:t>
      </w:r>
    </w:p>
    <w:p>
      <w:pPr>
        <w:ind w:left="288"/>
      </w:pPr>
      <w:r>
        <w:rPr>
          <w:color w:val="8C8C8C"/>
          <w:sz w:val="12"/>
        </w:rPr>
        <w:t>cf-art-5-inc-L</w:t>
      </w:r>
      <w:r>
        <w:rPr>
          <w:color w:val="003CA0"/>
          <w:sz w:val="12"/>
        </w:rPr>
        <w:t xml:space="preserve"> | RCL 10.546</w:t>
      </w:r>
      <w:r>
        <w:rPr>
          <w:color w:val="003CA0"/>
          <w:sz w:val="12"/>
        </w:rPr>
        <w:t xml:space="preserve"> | rel. Cármen Lúcia</w:t>
      </w:r>
    </w:p>
    <w:p>
      <w:pPr>
        <w:ind w:left="288"/>
      </w:pPr>
      <w:r>
        <w:rPr>
          <w:color w:val="1E1E1E"/>
          <w:sz w:val="18"/>
        </w:rPr>
        <w:t>= Rcl 10.546 AgR, rel. min. Cármen Lúcia, j. 24-2-2011, P, DJE de 13-4-2011 (...) mesmo quando conduzida, unilateralmente, pelo Ministério Público, a investigação penal não legitimará qualquer condenação criminal, se os elementos de convicção nela produzidos – porém não reproduzidos em juízo, sob a garantia do contraditório – forem os únicos dados probatórios existentes contra a pessoa investigada, o que afasta a objeção de que a investigação penal, quando realizada pelo Ministério Público, poderia comprometer o exercício do direito de defesa.</w:t>
      </w:r>
    </w:p>
    <w:p>
      <w:pPr>
        <w:ind w:left="288"/>
      </w:pPr>
      <w:r>
        <w:rPr>
          <w:b/>
          <w:color w:val="003CA0"/>
          <w:sz w:val="16"/>
        </w:rPr>
        <w:t>[HC 89.837, voto do min. Celso de Mello, j. 20-10-2009, 2ª T, DJE de 20-11-2009.]</w:t>
      </w:r>
    </w:p>
    <w:p>
      <w:pPr>
        <w:ind w:left="288"/>
      </w:pPr>
      <w:r>
        <w:rPr>
          <w:color w:val="8C8C8C"/>
          <w:sz w:val="12"/>
        </w:rPr>
        <w:t>cf-art-5-inc-L</w:t>
      </w:r>
      <w:r>
        <w:rPr>
          <w:color w:val="003CA0"/>
          <w:sz w:val="12"/>
        </w:rPr>
        <w:t xml:space="preserve"> | HC 84.965</w:t>
      </w:r>
      <w:r>
        <w:rPr>
          <w:color w:val="003CA0"/>
          <w:sz w:val="12"/>
        </w:rPr>
        <w:t xml:space="preserve"> | rel. Gilmar Mendes</w:t>
      </w:r>
    </w:p>
    <w:p>
      <w:pPr>
        <w:ind w:left="288"/>
      </w:pPr>
      <w:r>
        <w:rPr>
          <w:color w:val="1E1E1E"/>
          <w:sz w:val="18"/>
        </w:rPr>
        <w:t>= HC 84.965, rel. min. Gilmar Mendes, j. 13-12-2011, 2ª T, DJE de 11-4-2012 Vide HC 93.224, rel. min. Eros Grau, j. 13-5-2008, 2ª T, DJE de 5-9-2008 É entendimento reiterado desta Corte que a prerrogativa de intimação pessoal dos defensores de réus de ação penal é inerente aos defensores dativos, por força do art. 370, § 4º, do CPP, e decorrente da própria Constituição, que assegura o direito à ampla defesa em procedimento estatal que respeite as prerrogativas do devido processo legal. A falta de intimação pessoal do defensor dativo qualifica-se como causa geradora de nulidade processual absol</w:t>
      </w:r>
    </w:p>
    <w:p>
      <w:pPr>
        <w:ind w:left="288"/>
      </w:pPr>
      <w:r>
        <w:rPr>
          <w:b/>
          <w:color w:val="003CA0"/>
          <w:sz w:val="16"/>
        </w:rPr>
        <w:t>[HC 98.802, rel. min. Joaquim Barbosa, j. 20-10-2009, 2ª T, DJE de 27-11-2009.]</w:t>
      </w:r>
    </w:p>
    <w:p>
      <w:pPr>
        <w:ind w:left="288"/>
      </w:pPr>
      <w:r>
        <w:rPr>
          <w:color w:val="8C8C8C"/>
          <w:sz w:val="12"/>
        </w:rPr>
        <w:t>cf-art-5-inc-L</w:t>
      </w:r>
      <w:r>
        <w:rPr>
          <w:color w:val="003CA0"/>
          <w:sz w:val="12"/>
        </w:rPr>
        <w:t xml:space="preserve"> | HC 101.715</w:t>
      </w:r>
      <w:r>
        <w:rPr>
          <w:color w:val="003CA0"/>
          <w:sz w:val="12"/>
        </w:rPr>
        <w:t xml:space="preserve"> | rel. Dias Toffoli</w:t>
      </w:r>
    </w:p>
    <w:p>
      <w:pPr>
        <w:ind w:left="288"/>
      </w:pPr>
      <w:r>
        <w:rPr>
          <w:color w:val="1E1E1E"/>
          <w:sz w:val="18"/>
        </w:rPr>
        <w:t>= HC 101.715, rel min. Dias Toffoli, j. 9-3-2010, 1ª T, DJE de 9-4-2010 Vide HC 133.476, rel. min. Teori Zavascki, j. 14-6-2016, 2ª T, DJE de 27-6-2016 Vide HC 102.155, rel. min. Ayres Britto, j. 27-4-2010, 1ª T, DJE de 21-5-2010 Vide RHC 88.512, rel. min. Cezar Peluso, j. 9-3-2010, 2ª T, DJE de 23-4-2010 Vide HC 89.315, rel. min. Ricardo Lewandowski, j. 19-9-2006, 1ª T, DJ de 13-10-2006 O exame preliminar da denúncia é balizado pelos arts. 41 e 395 do CPP. No art. 41, a lei adjetiva penal indica um necessário conteúdo positivo para a denúncia. É dizer: ela, denúncia, deve conter a exposição d</w:t>
      </w:r>
    </w:p>
    <w:p>
      <w:pPr>
        <w:ind w:left="288"/>
      </w:pPr>
      <w:r>
        <w:rPr>
          <w:b/>
          <w:color w:val="003CA0"/>
          <w:sz w:val="16"/>
        </w:rPr>
        <w:t>[Inq 2.486, rel. min. Ayres Britto, j. 8-10-2009, P, DJE de 18-12-2009.]</w:t>
      </w:r>
    </w:p>
    <w:p>
      <w:pPr>
        <w:ind w:left="288"/>
      </w:pPr>
      <w:r>
        <w:rPr>
          <w:color w:val="8C8C8C"/>
          <w:sz w:val="12"/>
        </w:rPr>
        <w:t>cf-art-5-inc-L</w:t>
      </w:r>
      <w:r>
        <w:rPr>
          <w:color w:val="003CA0"/>
          <w:sz w:val="12"/>
        </w:rPr>
        <w:t xml:space="preserve"> | INQ 3.016</w:t>
      </w:r>
      <w:r>
        <w:rPr>
          <w:color w:val="003CA0"/>
          <w:sz w:val="12"/>
        </w:rPr>
        <w:t xml:space="preserve"> | rel. Ellen Gracie</w:t>
      </w:r>
    </w:p>
    <w:p>
      <w:pPr>
        <w:ind w:left="288"/>
      </w:pPr>
      <w:r>
        <w:rPr>
          <w:color w:val="1E1E1E"/>
          <w:sz w:val="18"/>
        </w:rPr>
        <w:t>= Inq 3.016, rel. min. Ellen Gracie, j. 30-9-2010, P, DJE de 17-2-2011 A decisão judicial, que, motivada pela existência de outras provas e elementos de convicção constantes dos autos, considera desnecessária a realização de determinada diligência probatória e julga antecipadamente a lide, não ofende a cláusula constitucional da plenitude de defesa.</w:t>
      </w:r>
    </w:p>
    <w:p>
      <w:pPr>
        <w:ind w:left="288"/>
      </w:pPr>
      <w:r>
        <w:rPr>
          <w:b/>
          <w:color w:val="003CA0"/>
          <w:sz w:val="16"/>
        </w:rPr>
        <w:t>[AI 752.176 AgR, rel. min. Celso de Mello, j. 29-9-2009, 2ª T, DJE de 20-11-2009.]</w:t>
      </w:r>
    </w:p>
    <w:p>
      <w:pPr>
        <w:ind w:left="288"/>
      </w:pPr>
      <w:r>
        <w:rPr>
          <w:color w:val="8C8C8C"/>
          <w:sz w:val="12"/>
        </w:rPr>
        <w:t>cf-art-5-inc-L</w:t>
      </w:r>
      <w:r>
        <w:rPr>
          <w:color w:val="003CA0"/>
          <w:sz w:val="12"/>
        </w:rPr>
        <w:t xml:space="preserve"> | HC 98.865</w:t>
      </w:r>
      <w:r>
        <w:rPr>
          <w:color w:val="003CA0"/>
          <w:sz w:val="12"/>
        </w:rPr>
        <w:t xml:space="preserve"> | rel. Ricardo Lewandowski</w:t>
      </w:r>
    </w:p>
    <w:p>
      <w:pPr>
        <w:ind w:left="288"/>
      </w:pPr>
      <w:r>
        <w:rPr>
          <w:color w:val="1E1E1E"/>
          <w:sz w:val="18"/>
        </w:rPr>
        <w:t>= HC 98.865, rel. min. Ricardo Lewandowski, j. 18-5-2010, 1ª T, DJE de 4-6-2010 Vide AI 623.228 AgR, rel. min. Sepúlveda Pertence, j. 14-8-2007, 1ª T, DJ de 14-9-2007 É nulo o processo penal desde a intimação do réu que não se fez na pessoa do defensor público que o assiste na causa.</w:t>
      </w:r>
    </w:p>
    <w:p>
      <w:pPr>
        <w:ind w:left="288"/>
      </w:pPr>
      <w:r>
        <w:rPr>
          <w:b/>
          <w:color w:val="003CA0"/>
          <w:sz w:val="16"/>
        </w:rPr>
        <w:t>[HC 98.905, rel. min. Cezar Peluso, j. 8-9-2009, 2ª T, DJE de 16-10-2009.]</w:t>
      </w:r>
    </w:p>
    <w:p>
      <w:pPr>
        <w:ind w:left="288"/>
      </w:pPr>
      <w:r>
        <w:rPr>
          <w:color w:val="8C8C8C"/>
          <w:sz w:val="12"/>
        </w:rPr>
        <w:t>cf-art-5-inc-L</w:t>
      </w:r>
      <w:r>
        <w:rPr>
          <w:color w:val="003CA0"/>
          <w:sz w:val="12"/>
        </w:rPr>
        <w:t xml:space="preserve"> | HC 72.204</w:t>
      </w:r>
      <w:r>
        <w:rPr>
          <w:color w:val="003CA0"/>
          <w:sz w:val="12"/>
        </w:rPr>
        <w:t xml:space="preserve"> | rel. Celso de Mello</w:t>
      </w:r>
    </w:p>
    <w:p>
      <w:pPr>
        <w:ind w:left="288"/>
      </w:pPr>
      <w:r>
        <w:rPr>
          <w:color w:val="1E1E1E"/>
          <w:sz w:val="18"/>
        </w:rPr>
        <w:t xml:space="preserve">Vide HC 72.204, rel. min. Celso de Mello, j. 15-8-1995, 1ª T, DJ de 24-8-2007 Diante da formulação de proposta de suspensão condicional do processo pelo Ministério Público, o denunciado tem o direito de aguardar a fase de recebimento da denúncia, para declarar se a aceita ou não. A suspensão condicional do processo, embora traga ínsita a idéia de benefício ao denunciado, que se vê afastado da ação penal mediante o cumprimento de certas condições, não deixa de representar constrangimento, caracterizado pela necessidade de submeter-se a condições que, viesse a ser exonerado da acusação, não lhe </w:t>
      </w:r>
    </w:p>
    <w:p>
      <w:pPr>
        <w:ind w:left="288"/>
      </w:pPr>
      <w:r>
        <w:rPr>
          <w:b/>
          <w:color w:val="003CA0"/>
          <w:sz w:val="16"/>
        </w:rPr>
        <w:t>[Pet 3.898, rel. min. Gilmar Mendes, j. 27-8-2009, P, DJE de 18-12-2009.]</w:t>
      </w:r>
    </w:p>
    <w:p>
      <w:pPr>
        <w:ind w:left="288"/>
      </w:pPr>
      <w:r>
        <w:rPr>
          <w:color w:val="8C8C8C"/>
          <w:sz w:val="12"/>
        </w:rPr>
        <w:t>cf-art-5-inc-L</w:t>
      </w:r>
      <w:r>
        <w:rPr>
          <w:color w:val="003CA0"/>
          <w:sz w:val="12"/>
        </w:rPr>
        <w:t xml:space="preserve"> | HC 84.580</w:t>
      </w:r>
      <w:r>
        <w:rPr>
          <w:color w:val="003CA0"/>
          <w:sz w:val="12"/>
        </w:rPr>
        <w:t xml:space="preserve"> | rel. Celso de Mello</w:t>
      </w:r>
    </w:p>
    <w:p>
      <w:pPr>
        <w:ind w:left="288"/>
      </w:pPr>
      <w:r>
        <w:rPr>
          <w:color w:val="1E1E1E"/>
          <w:sz w:val="18"/>
        </w:rPr>
        <w:t>Para o acusado exercer, em plenitude, a garantia do contraditório, torna-se indispensável que o órgão da acusação descreva, de modo preciso, os elementos estruturais (essentialia delicti) que compõem o tipo penal, sob pena de se devolver, ilegitimamente, ao réu, o ônus (que sobre ele não incide) de provar que é inocente. Em matéria de responsabilidade penal, não se registra, no modelo constitucional brasileiro, qualquer possibilidade de o Judiciário, por simples presunção ou com fundamento em meras suspeitas, reconhecer a culpa do réu. Os princípios democráticos que informam o sistema jurídico</w:t>
      </w:r>
    </w:p>
    <w:p>
      <w:pPr>
        <w:ind w:left="288"/>
      </w:pPr>
      <w:r>
        <w:rPr>
          <w:b/>
          <w:color w:val="003CA0"/>
          <w:sz w:val="16"/>
        </w:rPr>
        <w:t>[HC 84.580, rel. min. Celso de Mello, j. 25-8-2009, 2ª T, DJE de 18-9-2009.]</w:t>
      </w:r>
    </w:p>
    <w:p>
      <w:pPr>
        <w:ind w:left="288"/>
      </w:pPr>
      <w:r>
        <w:rPr>
          <w:color w:val="8C8C8C"/>
          <w:sz w:val="12"/>
        </w:rPr>
        <w:t>cf-art-5-inc-L</w:t>
      </w:r>
      <w:r>
        <w:rPr>
          <w:color w:val="003CA0"/>
          <w:sz w:val="12"/>
        </w:rPr>
        <w:t xml:space="preserve"> | AC 2.403</w:t>
      </w:r>
      <w:r>
        <w:rPr>
          <w:color w:val="003CA0"/>
          <w:sz w:val="12"/>
        </w:rPr>
        <w:t xml:space="preserve"> | rel. Celso de Mello</w:t>
      </w:r>
    </w:p>
    <w:p>
      <w:pPr>
        <w:ind w:left="288"/>
      </w:pPr>
      <w:r>
        <w:rPr>
          <w:color w:val="1E1E1E"/>
          <w:sz w:val="18"/>
        </w:rPr>
        <w:t>Recusa de prestação de aval pela União Federal e negativa de autorização, por parte da Secretaria do Tesouro Nacional (...). Obstáculos que impedem o Distrito Federal de celebrar operação de crédito com instituição financeira internacional. Sistema Siafi. Inclusão, nesse sistema de cadastro nacional da Câmara Legislativa e órgãos integrantes do Distrito Federal. (...) A Constituição da República estabelece, em seu art. 5º, LIV e LV, considerada a essencialidade da garantia constitucional da plenitude de defesa e do contraditório, que ninguém pode ser privado de sua liberdade, de seus bens ou d</w:t>
      </w:r>
    </w:p>
    <w:p>
      <w:pPr>
        <w:ind w:left="288"/>
      </w:pPr>
      <w:r>
        <w:rPr>
          <w:b/>
          <w:color w:val="003CA0"/>
          <w:sz w:val="16"/>
        </w:rPr>
        <w:t>[AC 2.403 MC-ED-REF, rel. min. Celso de Mello, j. 20-8-2009, P, DJE de 18-9-2009.]</w:t>
      </w:r>
    </w:p>
    <w:p>
      <w:pPr>
        <w:ind w:left="288"/>
      </w:pPr>
      <w:r>
        <w:rPr>
          <w:color w:val="8C8C8C"/>
          <w:sz w:val="12"/>
        </w:rPr>
        <w:t>cf-art-5-inc-L</w:t>
      </w:r>
      <w:r>
        <w:rPr>
          <w:color w:val="003CA0"/>
          <w:sz w:val="12"/>
        </w:rPr>
        <w:t xml:space="preserve"> | ACO 1.000</w:t>
      </w:r>
      <w:r>
        <w:rPr>
          <w:color w:val="003CA0"/>
          <w:sz w:val="12"/>
        </w:rPr>
        <w:t xml:space="preserve"> | rel. Joaquim Barbosa</w:t>
      </w:r>
    </w:p>
    <w:p>
      <w:pPr>
        <w:ind w:left="288"/>
      </w:pPr>
      <w:r>
        <w:rPr>
          <w:color w:val="1E1E1E"/>
          <w:sz w:val="18"/>
        </w:rPr>
        <w:t>Vide ACO 1.000 MC-AgR, rel. min. Joaquim Barbosa, j. 25-6-2008, P, DJE de 15-8-2008 Estrangeiro. Tráfico de substância entorpecente. Expulsão. (...) O art. 72 da Lei 6.815/1980 veda a interposição de pedido de reconsideração na hipótese dos autos. Não há, portanto, violação do contraditório e da ampla defesa, até porque essas garantias foram asseguradas no inquérito que precedeu ao decreto presidencial.</w:t>
      </w:r>
    </w:p>
    <w:p>
      <w:pPr>
        <w:ind w:left="288"/>
      </w:pPr>
      <w:r>
        <w:rPr>
          <w:b/>
          <w:color w:val="003CA0"/>
          <w:sz w:val="16"/>
        </w:rPr>
        <w:t>[HC 85.203, rel. min. Eros Grau, j. 6-8-2009, P, DJE de 16-12-2010.]</w:t>
      </w:r>
    </w:p>
    <w:p>
      <w:pPr>
        <w:ind w:left="288"/>
      </w:pPr>
      <w:r>
        <w:rPr>
          <w:color w:val="8C8C8C"/>
          <w:sz w:val="12"/>
        </w:rPr>
        <w:t>cf-art-5-inc-L</w:t>
      </w:r>
      <w:r>
        <w:rPr>
          <w:color w:val="003CA0"/>
          <w:sz w:val="12"/>
        </w:rPr>
        <w:t xml:space="preserve"> | HC 101.528</w:t>
      </w:r>
      <w:r>
        <w:rPr>
          <w:color w:val="003CA0"/>
          <w:sz w:val="12"/>
        </w:rPr>
        <w:t xml:space="preserve"> | rel. Dias Toffoli</w:t>
      </w:r>
    </w:p>
    <w:p>
      <w:pPr>
        <w:ind w:left="288"/>
      </w:pPr>
      <w:r>
        <w:rPr>
          <w:color w:val="1E1E1E"/>
          <w:sz w:val="18"/>
        </w:rPr>
        <w:t>= HC 101.528, rel. min. Dias Toffoli, j. 9-12-2010, P, DJE de 22-3-2011 = HC 68.324, rel. min. Sydney Sanches, j. 1º-3-1991, P, DJ de 14-6-1991 A utilização indevida das espécies recursais, consubstanciada na interposição de inúmeros e sucessivos recursos contrários à jurisprudência desta Suprema Corte, como mero expediente protelatório para evitar a execução da pena pela ocorrência da prescrição, desvirtua o próprio postulado constitucional da ampla defesa.</w:t>
      </w:r>
    </w:p>
    <w:p>
      <w:pPr>
        <w:ind w:left="288"/>
      </w:pPr>
      <w:r>
        <w:rPr>
          <w:b/>
          <w:color w:val="003CA0"/>
          <w:sz w:val="16"/>
        </w:rPr>
        <w:t>[HC 99.157, rel. min. Ellen Gracie, j. 4-8-2009, 2ª T, DJE de 28-8-2009.]</w:t>
      </w:r>
    </w:p>
    <w:p>
      <w:pPr>
        <w:ind w:left="288"/>
      </w:pPr>
      <w:r>
        <w:rPr>
          <w:color w:val="8C8C8C"/>
          <w:sz w:val="12"/>
        </w:rPr>
        <w:t>cf-art-5-inc-L</w:t>
      </w:r>
      <w:r>
        <w:rPr>
          <w:color w:val="003CA0"/>
          <w:sz w:val="12"/>
        </w:rPr>
        <w:t xml:space="preserve"> | HC 111.226</w:t>
      </w:r>
      <w:r>
        <w:rPr>
          <w:color w:val="003CA0"/>
          <w:sz w:val="12"/>
        </w:rPr>
        <w:t xml:space="preserve"> | rel. Luiz Fux</w:t>
      </w:r>
    </w:p>
    <w:p>
      <w:pPr>
        <w:ind w:left="288"/>
      </w:pPr>
      <w:r>
        <w:rPr>
          <w:color w:val="1E1E1E"/>
          <w:sz w:val="18"/>
        </w:rPr>
        <w:t>= HC 111.226, rel. min. Luiz Fux, j. 18-9-2012, 1ª T, DJE de 3-10-2012 Descabe assentar a inexistência de defesa quando profissional da advocacia comparece a audiência designada para a oitiva de testemunhas, requer a dispensa da presença do acusado, informa ao juízo não ter perguntas a formalizar e pede para retirar-se do local.</w:t>
      </w:r>
    </w:p>
    <w:p>
      <w:pPr>
        <w:ind w:left="288"/>
      </w:pPr>
      <w:r>
        <w:rPr>
          <w:b/>
          <w:color w:val="003CA0"/>
          <w:sz w:val="16"/>
        </w:rPr>
        <w:t>[HC 95.776, rel. min. Marco Aurélio, j. 30-6-2009, 1ª T, DJE de 21-8-2009.]</w:t>
      </w:r>
    </w:p>
    <w:p>
      <w:pPr>
        <w:ind w:left="288"/>
      </w:pPr>
      <w:r>
        <w:rPr>
          <w:color w:val="8C8C8C"/>
          <w:sz w:val="12"/>
        </w:rPr>
        <w:t>cf-art-5-inc-L</w:t>
      </w:r>
      <w:r>
        <w:rPr>
          <w:color w:val="003CA0"/>
          <w:sz w:val="12"/>
        </w:rPr>
        <w:t xml:space="preserve"> | HC 97.293</w:t>
      </w:r>
      <w:r>
        <w:rPr>
          <w:color w:val="003CA0"/>
          <w:sz w:val="12"/>
        </w:rPr>
        <w:t xml:space="preserve"> | rel. Cármen Lúcia</w:t>
      </w:r>
    </w:p>
    <w:p>
      <w:pPr>
        <w:ind w:left="288"/>
      </w:pPr>
      <w:r>
        <w:rPr>
          <w:color w:val="1E1E1E"/>
          <w:sz w:val="18"/>
        </w:rPr>
        <w:t>Não se verifica qualquer nulidade na circunstância de ser realizada a sustentação oral do membro do MPF depois da sustentação da defesa em sede de habeas corpus, notadamente porque a ação constitucional de habeas corpus foi pela defesa promovida, o que garante ao impetrante o direito de se pronunciar em primeiro lugar. Os regimentos internos do STJ e deste STF asseguram textualmente a sustentação oral primeira ao impetrante, e não ao Ministério Público, nas sessões do Plenário e das Turmas (art. 159, § 1º, do RISTJ; e art. 131 do RISTF).</w:t>
      </w:r>
    </w:p>
    <w:p>
      <w:pPr>
        <w:ind w:left="288"/>
      </w:pPr>
      <w:r>
        <w:rPr>
          <w:b/>
          <w:color w:val="003CA0"/>
          <w:sz w:val="16"/>
        </w:rPr>
        <w:t>[HC 97.293, rel. min. Cármen Lúcia, j. 16-6-2009, 1ª T, DJE de 16-4-2010.]</w:t>
      </w:r>
    </w:p>
    <w:p>
      <w:pPr>
        <w:ind w:left="288"/>
      </w:pPr>
      <w:r>
        <w:rPr>
          <w:color w:val="8C8C8C"/>
          <w:sz w:val="12"/>
        </w:rPr>
        <w:t>cf-art-5-inc-L</w:t>
      </w:r>
      <w:r>
        <w:rPr>
          <w:color w:val="003CA0"/>
          <w:sz w:val="12"/>
        </w:rPr>
        <w:t xml:space="preserve"> | HC 102.732</w:t>
      </w:r>
      <w:r>
        <w:rPr>
          <w:color w:val="003CA0"/>
          <w:sz w:val="12"/>
        </w:rPr>
        <w:t xml:space="preserve"> | rel. Marco Aurélio</w:t>
      </w:r>
    </w:p>
    <w:p>
      <w:pPr>
        <w:ind w:left="288"/>
      </w:pPr>
      <w:r>
        <w:rPr>
          <w:color w:val="1E1E1E"/>
          <w:sz w:val="18"/>
        </w:rPr>
        <w:t>= HC 102.732, rel. min. Marco Aurélio, j. 4-3-2010, P, DJE de 7-5-2010 Vide HC 87.926, rel. min. Cezar Peluso, j. 20-2-2008, P, DJE de 25-4-2008 Não há ofensa à garantia do contraditório e da ampla defesa, inerente ao devido processo legal, quando, em procedimento administrativo, o interessado, notificado, deixa, sem justa causa, de apresentar defesa no prazo legal.</w:t>
      </w:r>
    </w:p>
    <w:p>
      <w:pPr>
        <w:ind w:left="288"/>
      </w:pPr>
      <w:r>
        <w:rPr>
          <w:b/>
          <w:color w:val="003CA0"/>
          <w:sz w:val="16"/>
        </w:rPr>
        <w:t>[RMS 26.027 AgR, rel. min. Cezar Peluso, j. 2-6-2009, 2ª T, DJE de 7-8-2009.]</w:t>
      </w:r>
    </w:p>
    <w:p>
      <w:pPr>
        <w:ind w:left="288"/>
      </w:pPr>
      <w:r>
        <w:rPr>
          <w:color w:val="8C8C8C"/>
          <w:sz w:val="12"/>
        </w:rPr>
        <w:t>cf-art-5-inc-L</w:t>
      </w:r>
      <w:r>
        <w:rPr>
          <w:color w:val="003CA0"/>
          <w:sz w:val="12"/>
        </w:rPr>
        <w:t xml:space="preserve"> | HC 82.899</w:t>
      </w:r>
      <w:r>
        <w:rPr>
          <w:color w:val="003CA0"/>
          <w:sz w:val="12"/>
        </w:rPr>
        <w:t xml:space="preserve"> | rel. Cezar Peluso</w:t>
      </w:r>
    </w:p>
    <w:p>
      <w:pPr>
        <w:ind w:left="288"/>
      </w:pPr>
      <w:r>
        <w:rPr>
          <w:color w:val="1E1E1E"/>
          <w:sz w:val="18"/>
        </w:rPr>
        <w:t>Não há, no processo penal, nulidade ainda que absoluta, quando do vício alegado não haja decorrido prejuízo algum ao réu.</w:t>
      </w:r>
    </w:p>
    <w:p>
      <w:pPr>
        <w:ind w:left="288"/>
      </w:pPr>
      <w:r>
        <w:rPr>
          <w:b/>
          <w:color w:val="003CA0"/>
          <w:sz w:val="16"/>
        </w:rPr>
        <w:t>[HC 82.899, rel. min. Cezar Peluso, j. 2-6-2009, 2ª T, DJE de 26-6-2009.]</w:t>
      </w:r>
    </w:p>
    <w:p>
      <w:pPr>
        <w:ind w:left="288"/>
      </w:pPr>
      <w:r>
        <w:rPr>
          <w:color w:val="8C8C8C"/>
          <w:sz w:val="12"/>
        </w:rPr>
        <w:t>cf-art-5-inc-L</w:t>
      </w:r>
      <w:r>
        <w:rPr>
          <w:color w:val="003CA0"/>
          <w:sz w:val="12"/>
        </w:rPr>
        <w:t xml:space="preserve"> | HC 72.198</w:t>
      </w:r>
      <w:r>
        <w:rPr>
          <w:color w:val="003CA0"/>
          <w:sz w:val="12"/>
        </w:rPr>
        <w:t xml:space="preserve"> | rel. Cármen Lúcia</w:t>
      </w:r>
    </w:p>
    <w:p>
      <w:pPr>
        <w:ind w:left="288"/>
      </w:pPr>
      <w:r>
        <w:rPr>
          <w:color w:val="1E1E1E"/>
          <w:sz w:val="18"/>
        </w:rPr>
        <w:t xml:space="preserve">A ausência da notificação prévia de que trata o art. 514 do CPP constitui vício que gera nulidade relativa e deve ser arguida oportunamente, sob pena de preclusão. Precedentes. O princípio do pas de nullité sans grief exige a demonstração de prejuízo concreto à parte que suscita o vício, independentemente da sanção prevista para o ato, pois não se declara nulidade processual por mera presunção. Precedentes. A jurisprudência deste STF assentou o entendimento de que o art. 514 do CPP tem por objetivo "dar ao réu-funcionário a possibilidade de evitar a instauração de processo temerário, com base </w:t>
      </w:r>
    </w:p>
    <w:p>
      <w:pPr>
        <w:ind w:left="288"/>
      </w:pPr>
      <w:r>
        <w:rPr>
          <w:b/>
          <w:color w:val="003CA0"/>
          <w:sz w:val="16"/>
        </w:rPr>
        <w:t>[HC 97.033, rel. min. Cármen Lúcia, j. 12-5-2009, 1ª T, DJE de 12-6-2009.]</w:t>
      </w:r>
    </w:p>
    <w:p>
      <w:pPr>
        <w:ind w:left="288"/>
      </w:pPr>
      <w:r>
        <w:rPr>
          <w:color w:val="8C8C8C"/>
          <w:sz w:val="12"/>
        </w:rPr>
        <w:t>cf-art-5-inc-L</w:t>
      </w:r>
      <w:r>
        <w:rPr>
          <w:color w:val="003CA0"/>
          <w:sz w:val="12"/>
        </w:rPr>
        <w:t xml:space="preserve"> | HC 89.517</w:t>
      </w:r>
      <w:r>
        <w:rPr>
          <w:color w:val="003CA0"/>
          <w:sz w:val="12"/>
        </w:rPr>
        <w:t xml:space="preserve"> | rel. Cezar Peluso</w:t>
      </w:r>
    </w:p>
    <w:p>
      <w:pPr>
        <w:ind w:left="288"/>
      </w:pPr>
      <w:r>
        <w:rPr>
          <w:color w:val="1E1E1E"/>
          <w:sz w:val="18"/>
        </w:rPr>
        <w:t>= HC 89.517, rel. min. Cezar Peluso, j. 15-12-2009, 2ª T, DJE de 12-2-2010 Vide HC 95.712, rel. min. Ayres Britto, j. 20-4-2010, 1ª T, DJE de 21-5-2010 Vide HC 89.686, rel. min. Sepúlveda Pertence, j. 12-6-2007, 1ª T, DJ de 17-8-2007 Descabe falar em insubsistência da denúncia quando, na peça, são narrados os fatos que, em tese, consubstanciam crime, ficando, assim, viabilizada a defesa.</w:t>
      </w:r>
    </w:p>
    <w:p>
      <w:pPr>
        <w:ind w:left="288"/>
      </w:pPr>
      <w:r>
        <w:rPr>
          <w:b/>
          <w:color w:val="003CA0"/>
          <w:sz w:val="16"/>
        </w:rPr>
        <w:t>[HC 93.553, rel. min. Marco Aurélio, j. 7-5-2009, P, DJE de 4-9-2009.]</w:t>
      </w:r>
    </w:p>
    <w:p>
      <w:pPr>
        <w:ind w:left="288"/>
      </w:pPr>
      <w:r>
        <w:rPr>
          <w:color w:val="8C8C8C"/>
          <w:sz w:val="12"/>
        </w:rPr>
        <w:t>cf-art-5-inc-L</w:t>
      </w:r>
      <w:r>
        <w:rPr>
          <w:color w:val="003CA0"/>
          <w:sz w:val="12"/>
        </w:rPr>
        <w:t xml:space="preserve"> | RHC 97.925</w:t>
      </w:r>
      <w:r>
        <w:rPr>
          <w:color w:val="003CA0"/>
          <w:sz w:val="12"/>
        </w:rPr>
        <w:t xml:space="preserve"> | rel. Gilmar Mendes</w:t>
      </w:r>
    </w:p>
    <w:p>
      <w:pPr>
        <w:ind w:left="288"/>
      </w:pPr>
      <w:r>
        <w:rPr>
          <w:color w:val="1E1E1E"/>
          <w:sz w:val="18"/>
        </w:rPr>
        <w:t>= RHC 97.925, rel. min. Gilmar Mendes, j. 16-11-2010, 2ª T, DJE de 2-12-2010 Não está caracterizado cerceamento de defesa decorrente da negativa de acesso aos autos suplementares, porque a própria redação da Súmula Vinculante 14/STF prevê que o advogado poderá ter acesso aos autos do procedimento investigatório sigiloso somente após a documentação das diligências realizadas. Ademais, a defesa teve acesso ao procedimento suplementar tão logo foram encerradas as diligências e encaminhados os documentos ao Magistrado respectivo.</w:t>
      </w:r>
    </w:p>
    <w:p>
      <w:pPr>
        <w:ind w:left="288"/>
      </w:pPr>
      <w:r>
        <w:rPr>
          <w:b/>
          <w:color w:val="003CA0"/>
          <w:sz w:val="16"/>
        </w:rPr>
        <w:t>[HC 96.511, rel. min. Menezes Direito, j. 28-4-2009, 1ª T, DJE de 29-5-2009.]</w:t>
      </w:r>
    </w:p>
    <w:p>
      <w:pPr>
        <w:ind w:left="288"/>
      </w:pPr>
      <w:r>
        <w:rPr>
          <w:color w:val="8C8C8C"/>
          <w:sz w:val="12"/>
        </w:rPr>
        <w:t>cf-art-5-inc-L</w:t>
      </w:r>
      <w:r>
        <w:rPr>
          <w:color w:val="003CA0"/>
          <w:sz w:val="12"/>
        </w:rPr>
        <w:t xml:space="preserve"> | HC 95.402</w:t>
      </w:r>
      <w:r>
        <w:rPr>
          <w:color w:val="003CA0"/>
          <w:sz w:val="12"/>
        </w:rPr>
        <w:t xml:space="preserve"> | rel. Eros Grau</w:t>
      </w:r>
    </w:p>
    <w:p>
      <w:pPr>
        <w:ind w:left="288"/>
      </w:pPr>
      <w:r>
        <w:rPr>
          <w:color w:val="1E1E1E"/>
          <w:sz w:val="18"/>
        </w:rPr>
        <w:t>Crimes funcionais típicos, afiançáveis. Denúncia lastreada em inquérito policial, afastando-se o rito estabelecido no art. 514 do CPP. A não observância de formalidade essencial em procedimentos específicos viola frontalmente a garantia constitucional da ampla defesa.</w:t>
      </w:r>
    </w:p>
    <w:p>
      <w:pPr>
        <w:ind w:left="288"/>
      </w:pPr>
      <w:r>
        <w:rPr>
          <w:b/>
          <w:color w:val="003CA0"/>
          <w:sz w:val="16"/>
        </w:rPr>
        <w:t>[HC 95.402, rel. min. Eros Grau, j. 31-3-2009, 2ª T, DJE de 8-5-2009.]</w:t>
      </w:r>
    </w:p>
    <w:p>
      <w:pPr>
        <w:ind w:left="288"/>
      </w:pPr>
      <w:r>
        <w:rPr>
          <w:color w:val="8C8C8C"/>
          <w:sz w:val="12"/>
        </w:rPr>
        <w:t>cf-art-5-inc-L</w:t>
      </w:r>
      <w:r>
        <w:rPr>
          <w:color w:val="003CA0"/>
          <w:sz w:val="12"/>
        </w:rPr>
        <w:t xml:space="preserve"> | HC 95.712</w:t>
      </w:r>
      <w:r>
        <w:rPr>
          <w:color w:val="003CA0"/>
          <w:sz w:val="12"/>
        </w:rPr>
        <w:t xml:space="preserve"> | rel. Ayres Britto</w:t>
      </w:r>
    </w:p>
    <w:p>
      <w:pPr>
        <w:ind w:left="288"/>
      </w:pPr>
      <w:r>
        <w:rPr>
          <w:color w:val="1E1E1E"/>
          <w:sz w:val="18"/>
        </w:rPr>
        <w:t>= HC 95.712, rel. min. Ayres Britto, j. 20-4-2010, 1ª T, DJE de 21-5-2010 Vide HC 85.779, rel. min. Gilmar Mendes, red. do ac. min. Cármen Lúcia, j. 28-2-2007, P, DJ de 29-6-2007 Pedido do impetrante de intimação da apresentação do feito em mesa para julgamento. Ausência de comunicação. Havendo pedido de comunicação da data de apresentação em mesa para apreciação do feito e ausente a comunicação da Defensoria Pública da União, não subsiste o julgamento.</w:t>
      </w:r>
    </w:p>
    <w:p>
      <w:pPr>
        <w:ind w:left="288"/>
      </w:pPr>
      <w:r>
        <w:rPr>
          <w:b/>
          <w:color w:val="003CA0"/>
          <w:sz w:val="16"/>
        </w:rPr>
        <w:t>[HC 93.833 QO, rel. min. Ayres Britto, j. 31-3-2009, 1ª T, DJE de 8-5-2009.]</w:t>
      </w:r>
    </w:p>
    <w:p>
      <w:pPr>
        <w:ind w:left="288"/>
      </w:pPr>
      <w:r>
        <w:rPr>
          <w:color w:val="8C8C8C"/>
          <w:sz w:val="12"/>
        </w:rPr>
        <w:t>cf-art-5-inc-L</w:t>
      </w:r>
      <w:r>
        <w:rPr>
          <w:color w:val="003CA0"/>
          <w:sz w:val="12"/>
        </w:rPr>
        <w:t xml:space="preserve"> | HC 86.551</w:t>
      </w:r>
      <w:r>
        <w:rPr>
          <w:color w:val="003CA0"/>
          <w:sz w:val="12"/>
        </w:rPr>
        <w:t xml:space="preserve"> | rel. Celso de Mello</w:t>
      </w:r>
    </w:p>
    <w:p>
      <w:pPr>
        <w:ind w:left="288"/>
      </w:pPr>
      <w:r>
        <w:rPr>
          <w:color w:val="1E1E1E"/>
          <w:sz w:val="18"/>
        </w:rPr>
        <w:t>= HC 86.551, rel. min. Celso de Mello, j. 14-4-2009, 2ª T, DJE de 29-5-2009 Em crimes societários, a denúncia deve pormenorizar a ação dos denunciados no quanto possível. Não impede a ampla defesa, entretanto, quando se evidencia o vínculo dos denunciados com a ação da empresa denunciada.</w:t>
      </w:r>
    </w:p>
    <w:p>
      <w:pPr>
        <w:ind w:left="288"/>
      </w:pPr>
      <w:r>
        <w:rPr>
          <w:b/>
          <w:color w:val="003CA0"/>
          <w:sz w:val="16"/>
        </w:rPr>
        <w:t>[HC 93.628, rel. min. Ricardo Lewandowski, j. 31-3-2009, 1ª T, DJE de 17-4-2009.]</w:t>
      </w:r>
    </w:p>
    <w:p>
      <w:pPr>
        <w:ind w:left="288"/>
      </w:pPr>
      <w:r>
        <w:rPr>
          <w:color w:val="8C8C8C"/>
          <w:sz w:val="12"/>
        </w:rPr>
        <w:t>cf-art-5-inc-L</w:t>
      </w:r>
      <w:r>
        <w:rPr>
          <w:color w:val="003CA0"/>
          <w:sz w:val="12"/>
        </w:rPr>
        <w:t xml:space="preserve"> | HC 101.754</w:t>
      </w:r>
      <w:r>
        <w:rPr>
          <w:color w:val="003CA0"/>
          <w:sz w:val="12"/>
        </w:rPr>
        <w:t xml:space="preserve"> | rel. Ellen Gracie</w:t>
      </w:r>
    </w:p>
    <w:p>
      <w:pPr>
        <w:ind w:left="288"/>
      </w:pPr>
      <w:r>
        <w:rPr>
          <w:color w:val="1E1E1E"/>
          <w:sz w:val="18"/>
        </w:rPr>
        <w:t>= HC 101.754, rel. min. Ellen Gracie, j. 8-6-2010, 2ª T, DJE de 25-6-2010 Há precedentes desta Suprema Corte validando a disciplina da Resolução 9 do STJ, em que se assentou ser legítima, em carta rogatória, a realização de diligência sem a prévia audiência e sem a presença do réu da ação penal, quando essas possam frustrar o resultado da diligência, isso sem prejuízo da possibilidade do que se chama de exercício pleno do direito de defesa diferido, através de embargos, cabendo agravo regimental da decisão desses embargos.</w:t>
      </w:r>
    </w:p>
    <w:p>
      <w:pPr>
        <w:ind w:left="288"/>
      </w:pPr>
      <w:r>
        <w:rPr>
          <w:b/>
          <w:color w:val="003CA0"/>
          <w:sz w:val="16"/>
        </w:rPr>
        <w:t>[HC 89.171, rel. p/ o ac. min. Menezes Direito, j. 24-3-2009, 1ª T, DJE de 8-5-2009.]</w:t>
      </w:r>
    </w:p>
    <w:p>
      <w:pPr>
        <w:ind w:left="288"/>
      </w:pPr>
      <w:r>
        <w:rPr>
          <w:color w:val="8C8C8C"/>
          <w:sz w:val="12"/>
        </w:rPr>
        <w:t>cf-art-5-inc-L</w:t>
      </w:r>
      <w:r>
        <w:rPr>
          <w:color w:val="003CA0"/>
          <w:sz w:val="12"/>
        </w:rPr>
        <w:t xml:space="preserve"> | MS 24.045</w:t>
      </w:r>
      <w:r>
        <w:rPr>
          <w:color w:val="003CA0"/>
          <w:sz w:val="12"/>
        </w:rPr>
        <w:t xml:space="preserve"> | rel. Ayres Britto</w:t>
      </w:r>
    </w:p>
    <w:p>
      <w:pPr>
        <w:ind w:left="288"/>
      </w:pPr>
      <w:r>
        <w:rPr>
          <w:color w:val="1E1E1E"/>
          <w:sz w:val="18"/>
        </w:rPr>
        <w:t>Demarcação da Terra Indígena Raposa Serra do Sol. (...) Inexistência de vícios no processo administrativo demarcatório. Processo que observou as regras do Decreto 1.775/1996, já declaradas constitucionais pelo STF no MS 24.045, da relatoria do min. Joaquim Barbosa. Os interessados tiveram a oportunidade de se habilitar no processo administrativo de demarcação das terras indígenas, como de fato assim procederam o Estado de Roraima, o Município de Normandia, os pretensos posseiros e comunidades indígenas, estas por meio de petições, cartas e prestação de informações. Observância das garantias co</w:t>
      </w:r>
    </w:p>
    <w:p>
      <w:pPr>
        <w:ind w:left="288"/>
      </w:pPr>
      <w:r>
        <w:rPr>
          <w:b/>
          <w:color w:val="003CA0"/>
          <w:sz w:val="16"/>
        </w:rPr>
        <w:t>[Pet 3.388, rel. min. Ayres Britto, j. 19-3-2009, P, DJE de 1º-7-2010.]</w:t>
      </w:r>
    </w:p>
    <w:p>
      <w:pPr>
        <w:ind w:left="288"/>
      </w:pPr>
      <w:r>
        <w:rPr>
          <w:color w:val="8C8C8C"/>
          <w:sz w:val="12"/>
        </w:rPr>
        <w:t>cf-art-5-inc-L</w:t>
      </w:r>
      <w:r>
        <w:rPr>
          <w:color w:val="003CA0"/>
          <w:sz w:val="12"/>
        </w:rPr>
        <w:t xml:space="preserve"> | HC 82.980</w:t>
      </w:r>
      <w:r>
        <w:rPr>
          <w:color w:val="003CA0"/>
          <w:sz w:val="12"/>
        </w:rPr>
        <w:t xml:space="preserve"> | rel. Ayres Britto</w:t>
      </w:r>
    </w:p>
    <w:p>
      <w:pPr>
        <w:ind w:left="288"/>
      </w:pPr>
      <w:r>
        <w:rPr>
          <w:color w:val="1E1E1E"/>
          <w:sz w:val="18"/>
        </w:rPr>
        <w:t>O procedimento do Júri, marcado por duas fases distintas e procedimentos específicos, exige a correlação obrigatória entre pronúncia-libelo-quesitação. Correlação, essa, que decorre não só da garantia da ampla defesa e do contraditório do réu – que não pode ser surpreendido com nova imputação em plenário –, mas também da necessidade de observância à paridade de armas entre acusação e defesa. Daí a impossibilidade de alteração, na segunda fase do Júri (judicium causae), das teses balizadas pelas partes na primeira fase (judicium accusationis), não dispondo o Conselho de Sentença dos amplos pode</w:t>
      </w:r>
    </w:p>
    <w:p>
      <w:pPr>
        <w:ind w:left="288"/>
      </w:pPr>
      <w:r>
        <w:rPr>
          <w:b/>
          <w:color w:val="003CA0"/>
          <w:sz w:val="16"/>
        </w:rPr>
        <w:t>[HC 82.980, rel. min. Ayres Britto, j. 17-3-2009, 1ª T, DJE de 23-10-2009.]</w:t>
      </w:r>
    </w:p>
    <w:p>
      <w:pPr>
        <w:ind w:left="288"/>
      </w:pPr>
      <w:r>
        <w:rPr>
          <w:color w:val="8C8C8C"/>
          <w:sz w:val="12"/>
        </w:rPr>
        <w:t>cf-art-5-inc-L</w:t>
      </w:r>
      <w:r>
        <w:rPr>
          <w:color w:val="003CA0"/>
          <w:sz w:val="12"/>
        </w:rPr>
        <w:t xml:space="preserve"> | HC 93.637</w:t>
      </w:r>
      <w:r>
        <w:rPr>
          <w:color w:val="003CA0"/>
          <w:sz w:val="12"/>
        </w:rPr>
        <w:t xml:space="preserve"> | rel. Ellen Gracie</w:t>
      </w:r>
    </w:p>
    <w:p>
      <w:pPr>
        <w:ind w:left="288"/>
      </w:pPr>
      <w:r>
        <w:rPr>
          <w:color w:val="1E1E1E"/>
          <w:sz w:val="18"/>
        </w:rPr>
        <w:t>Por estar ilegível a data da certidão de publicação do acórdão recorrido, tal circunstância equivale à sua ausência, fato que impede a aferição da tempestividade do recurso, pressuposto de ordem pública do seu cabimento.</w:t>
      </w:r>
    </w:p>
    <w:p>
      <w:pPr>
        <w:ind w:left="288"/>
      </w:pPr>
      <w:r>
        <w:rPr>
          <w:b/>
          <w:color w:val="003CA0"/>
          <w:sz w:val="16"/>
        </w:rPr>
        <w:t>[HC 93.637, rel. min. Ellen Gracie, j. 17-3-2009, 2ª T, DJE de 17-4-2009.]</w:t>
      </w:r>
    </w:p>
    <w:p>
      <w:pPr>
        <w:ind w:left="288"/>
      </w:pPr>
      <w:r>
        <w:rPr>
          <w:color w:val="8C8C8C"/>
          <w:sz w:val="12"/>
        </w:rPr>
        <w:t>cf-art-5-inc-L</w:t>
      </w:r>
      <w:r>
        <w:rPr>
          <w:color w:val="003CA0"/>
          <w:sz w:val="12"/>
        </w:rPr>
        <w:t xml:space="preserve"> | AI 659.758</w:t>
      </w:r>
      <w:r>
        <w:rPr>
          <w:color w:val="003CA0"/>
          <w:sz w:val="12"/>
        </w:rPr>
        <w:t xml:space="preserve"> | rel. Cezar Peluso</w:t>
      </w:r>
    </w:p>
    <w:p>
      <w:pPr>
        <w:ind w:left="288"/>
      </w:pPr>
      <w:r>
        <w:rPr>
          <w:color w:val="1E1E1E"/>
          <w:sz w:val="18"/>
        </w:rPr>
        <w:t>Quando abusiva a interposição de recurso, deve o Tribunal determinar a imediata baixa dos autos ao juízo de origem, independentemente do trânsito em julgado da decisão recorrida.</w:t>
      </w:r>
    </w:p>
    <w:p>
      <w:pPr>
        <w:ind w:left="288"/>
      </w:pPr>
      <w:r>
        <w:rPr>
          <w:b/>
          <w:color w:val="003CA0"/>
          <w:sz w:val="16"/>
        </w:rPr>
        <w:t>[AI 659.758 ED, rel. min. Cezar Peluso, j. 17-2-2009, 2ª T, DJE de 8-5-2009.]</w:t>
      </w:r>
    </w:p>
    <w:p>
      <w:pPr>
        <w:ind w:left="288"/>
      </w:pPr>
      <w:r>
        <w:rPr>
          <w:color w:val="8C8C8C"/>
          <w:sz w:val="12"/>
        </w:rPr>
        <w:t>cf-art-5-inc-L</w:t>
      </w:r>
      <w:r>
        <w:rPr>
          <w:color w:val="003CA0"/>
          <w:sz w:val="12"/>
        </w:rPr>
        <w:t xml:space="preserve"> | RHC 107.452</w:t>
      </w:r>
      <w:r>
        <w:rPr>
          <w:color w:val="003CA0"/>
          <w:sz w:val="12"/>
        </w:rPr>
        <w:t xml:space="preserve"> | rel. Celso de Mello</w:t>
      </w:r>
    </w:p>
    <w:p>
      <w:pPr>
        <w:ind w:left="288"/>
      </w:pPr>
      <w:r>
        <w:rPr>
          <w:color w:val="1E1E1E"/>
          <w:sz w:val="18"/>
        </w:rPr>
        <w:t>= RHC 107.452 ED-ED, rel. min. Celso de Mello, j. 25-3-2014, 2ª T, DJE de 12-5-2014 (...) o simples fato de a paciente participar de programa televisivo, discorrendo sobre o quadro empírico do crime de latrocínio a que foi condenada, não tem a força de justificar a respectiva segregação cautelar. Pelo que tenho como inidôneo o fato superveniente, apontado pelo juízo-processante da causa para a decretação da custódia provisória. Ainda mais – repito – quando esse fato não passou de uma entrevista concedida a emissora de televisão, ocasião em que a paciente simplesmente manifestou a sua própria v</w:t>
      </w:r>
    </w:p>
    <w:p>
      <w:pPr>
        <w:ind w:left="288"/>
      </w:pPr>
      <w:r>
        <w:rPr>
          <w:b/>
          <w:color w:val="003CA0"/>
          <w:sz w:val="16"/>
        </w:rPr>
        <w:t>[HC 95.116, voto do rel. min. Ayres Britto, j. 3-2-2009, 1ª T, DJE de 6-3-2009.]</w:t>
      </w:r>
    </w:p>
    <w:p>
      <w:pPr>
        <w:ind w:left="288"/>
      </w:pPr>
      <w:r>
        <w:rPr>
          <w:color w:val="8C8C8C"/>
          <w:sz w:val="12"/>
        </w:rPr>
        <w:t>cf-art-5-inc-L</w:t>
      </w:r>
      <w:r>
        <w:rPr>
          <w:color w:val="003CA0"/>
          <w:sz w:val="12"/>
        </w:rPr>
        <w:t xml:space="preserve"> | HC 99.558</w:t>
      </w:r>
      <w:r>
        <w:rPr>
          <w:color w:val="003CA0"/>
          <w:sz w:val="12"/>
        </w:rPr>
        <w:t xml:space="preserve"> | rel. Gilmar Mendes</w:t>
      </w:r>
    </w:p>
    <w:p>
      <w:pPr>
        <w:ind w:left="288"/>
      </w:pPr>
      <w:r>
        <w:rPr>
          <w:color w:val="1E1E1E"/>
          <w:sz w:val="18"/>
        </w:rPr>
        <w:t>Vide HC 99.558, rel. min. Gilmar Mendes, j. 14-12-2010, 2ª T, DJE de 7-2-2011 O entendimento da Corte é no sentido de que, embora a administração esteja autorizada a anular seus próprios atos quando eivados de vícios que os tornem ilegais (Súmula 473/STF), não prescinde do processo administrativo, com obediência aos princípios constitucionais da ampla defesa e do contraditório.</w:t>
        <w:br/>
        <w:t>[AI 710.085 AgR, rel. min. Ricardo Lewandowski, j. 3-2-2009, 1ª T, DJE de 6-3-2009.]</w:t>
        <w:br/>
        <w:t>= RMS 25.856, rel. min. Eros Grau, j. 9-3-2010, 2ª T, DJE de 14-5-2010</w:t>
        <w:br/>
        <w:t>Vide RE 594.296, rel. min. Dias Toffoli, j. 21-9-2011, P, DJE d</w:t>
      </w:r>
    </w:p>
    <w:p>
      <w:pPr>
        <w:ind w:left="288"/>
      </w:pPr>
      <w:r>
        <w:rPr>
          <w:b/>
          <w:color w:val="003CA0"/>
          <w:sz w:val="16"/>
        </w:rPr>
        <w:t>[AI 680.650 AgR, rel. min. Ayres Britto, j. 16-12-2008, 1ª T, DJE de 13-2-2009.]</w:t>
      </w:r>
    </w:p>
    <w:p>
      <w:pPr>
        <w:ind w:left="288"/>
      </w:pPr>
      <w:r>
        <w:rPr>
          <w:color w:val="8C8C8C"/>
          <w:sz w:val="12"/>
        </w:rPr>
        <w:t>cf-art-5-inc-L</w:t>
      </w:r>
      <w:r>
        <w:rPr>
          <w:color w:val="003CA0"/>
          <w:sz w:val="12"/>
        </w:rPr>
        <w:t xml:space="preserve"> | RE 469.871</w:t>
      </w:r>
      <w:r>
        <w:rPr>
          <w:color w:val="003CA0"/>
          <w:sz w:val="12"/>
        </w:rPr>
        <w:t xml:space="preserve"> | rel. Joaquim Barbosa</w:t>
      </w:r>
    </w:p>
    <w:p>
      <w:pPr>
        <w:ind w:left="288"/>
      </w:pPr>
      <w:r>
        <w:rPr>
          <w:color w:val="1E1E1E"/>
          <w:sz w:val="18"/>
        </w:rPr>
        <w:t>= RE 469.871 AgR, rel. min. Joaquim Barbosa, j. 30-6-2009, 2ª T, DJE de 14-8-2009 No que se refere especificamente à intimação da defesa quanto à data da audiência para oitiva de testemunha no juízo deprecado, registro que a jurisprudência consolidada desta Corte Suprema já assentou que "a ausência de intimação para a oitiva de testemunhas no juízo deprecado não consubstancia nulidade (precedentes). Havendo ciência da expedição da carta precatória, como no caso, cabe ao paciente ou a seu defensor acompanhar o andamento no juízo deprecado" (HC 89.159/SP, rel. min. Eros Grau, Segunda Turma, DJ d</w:t>
      </w:r>
    </w:p>
    <w:p>
      <w:pPr>
        <w:ind w:left="288"/>
      </w:pPr>
      <w:r>
        <w:rPr>
          <w:b/>
          <w:color w:val="003CA0"/>
          <w:sz w:val="16"/>
        </w:rPr>
        <w:t>[HC 96.026, rel. min. Ellen Gracie, j. 9-12-2008, 2ª T, DJE de 6-2-2009.]</w:t>
      </w:r>
    </w:p>
    <w:p>
      <w:pPr>
        <w:ind w:left="288"/>
      </w:pPr>
      <w:r>
        <w:rPr>
          <w:color w:val="8C8C8C"/>
          <w:sz w:val="12"/>
        </w:rPr>
        <w:t>cf-art-5-inc-L</w:t>
      </w:r>
      <w:r>
        <w:rPr>
          <w:color w:val="003CA0"/>
          <w:sz w:val="12"/>
        </w:rPr>
        <w:t xml:space="preserve"> | RHC 93.817</w:t>
      </w:r>
      <w:r>
        <w:rPr>
          <w:color w:val="003CA0"/>
          <w:sz w:val="12"/>
        </w:rPr>
        <w:t xml:space="preserve"> | rel. Ayres Britto</w:t>
      </w:r>
    </w:p>
    <w:p>
      <w:pPr>
        <w:ind w:left="288"/>
      </w:pPr>
      <w:r>
        <w:rPr>
          <w:color w:val="1E1E1E"/>
          <w:sz w:val="18"/>
        </w:rPr>
        <w:t>= RHC 93.817, rel. min. Ayres Britto, j. 30-6-2009, 1ª T, DJE de 28-8-2009 Não cabe sustentação oral, em sede de "agravo regimental", considerada a existência de expressa vedação regimental (RISTF, art. 131, § 2º), fundada em norma cuja constitucionalidade foi expressamente reconhecida, já sob a égide da Constituição de 1988, pelo STF.</w:t>
      </w:r>
    </w:p>
    <w:p>
      <w:pPr>
        <w:ind w:left="288"/>
      </w:pPr>
      <w:r>
        <w:rPr>
          <w:b/>
          <w:color w:val="003CA0"/>
          <w:sz w:val="16"/>
        </w:rPr>
        <w:t>[HC 94.993 MC-AgR, rel. min. Celso de Mello, j. 26-11-2008, P, DJE de 13-2-2009.]</w:t>
      </w:r>
    </w:p>
    <w:p>
      <w:pPr>
        <w:ind w:left="288"/>
      </w:pPr>
      <w:r>
        <w:rPr>
          <w:color w:val="8C8C8C"/>
          <w:sz w:val="12"/>
        </w:rPr>
        <w:t>cf-art-5-inc-L</w:t>
      </w:r>
      <w:r>
        <w:rPr>
          <w:color w:val="003CA0"/>
          <w:sz w:val="12"/>
        </w:rPr>
        <w:t xml:space="preserve"> | AI 795.683</w:t>
      </w:r>
      <w:r>
        <w:rPr>
          <w:color w:val="003CA0"/>
          <w:sz w:val="12"/>
        </w:rPr>
        <w:t xml:space="preserve"> | rel. Ricardo Lewandowski</w:t>
      </w:r>
    </w:p>
    <w:p>
      <w:pPr>
        <w:ind w:left="288"/>
      </w:pPr>
      <w:r>
        <w:rPr>
          <w:color w:val="1E1E1E"/>
          <w:sz w:val="18"/>
        </w:rPr>
        <w:t>= AI 795.683 AgR, rel. min. Ricardo Lewandowski, j. 19-10-2010, 1ª T, DJE de 12-11-2010 Vide HC 152.676-AgR, rel. min. Edson Fachin, red. do ac. min. Gilmar Mendes, j. em 9-4-2019, 2ª T, DJE de 03-08-2020 (...) possibilidade de sustentação oral nos recursos de agravo interno interpostos no processo penal de “habeas corpus”, mediante aplicação analógica de regras fundadas no novo Código de Processo Civil (art. 1.021 c/c o art. 937, VI), que também estende essa mesma prerrogativa às hipóteses de recurso de agravo contra decisão monocrática que extingue, por ato do Relator, processo de mandado de</w:t>
      </w:r>
    </w:p>
    <w:p>
      <w:pPr>
        <w:ind w:left="288"/>
      </w:pPr>
      <w:r>
        <w:rPr>
          <w:b/>
          <w:color w:val="003CA0"/>
          <w:sz w:val="16"/>
        </w:rPr>
        <w:t>[HC 152.676 AgR, rel. min. Edson Fachin, red. do ac. min. Gilmar Mendes, voto do min. Celso de Mello, j. 09.04.2019, 2ª T, DJE de 03.08.2020.)</w:t>
      </w:r>
    </w:p>
    <w:p>
      <w:pPr>
        <w:ind w:left="288"/>
      </w:pPr>
      <w:r>
        <w:rPr>
          <w:color w:val="8C8C8C"/>
          <w:sz w:val="12"/>
        </w:rPr>
        <w:t>cf-art-5-inc-L</w:t>
      </w:r>
      <w:r>
        <w:rPr>
          <w:color w:val="003CA0"/>
          <w:sz w:val="12"/>
        </w:rPr>
        <w:t xml:space="preserve"> | HC 94.993</w:t>
      </w:r>
      <w:r>
        <w:rPr>
          <w:color w:val="003CA0"/>
          <w:sz w:val="12"/>
        </w:rPr>
        <w:t xml:space="preserve"> | rel. Celso de Mello</w:t>
      </w:r>
    </w:p>
    <w:p>
      <w:pPr>
        <w:ind w:left="288"/>
      </w:pPr>
      <w:r>
        <w:rPr>
          <w:color w:val="1E1E1E"/>
          <w:sz w:val="18"/>
        </w:rPr>
        <w:t>Vide HC 94.993 MC-AgR, rel. min. Celso de Mello, j. 26-11-2008, P, DJE de 13-2-2009 A intimação pessoal do Ministério Público pode ocorrer por mandado ou com a entrega dos autos, devidamente formalizada, no setor administrativo do Ministério Público, sendo que, para efeitos de comprovação da tempestividade do recurso, admite-se, excepcionalmente, a "aposição do ciente". Havendo a intimação pessoal por diversas formas, considera-se, para a contagem dos prazos recursais, a que ocorrer primeiro. Precedente. No caso, o Ministério Público foi intimado por mandado (Súmula 710/STF) e interpôs fora do</w:t>
      </w:r>
    </w:p>
    <w:p>
      <w:pPr>
        <w:ind w:left="288"/>
      </w:pPr>
      <w:r>
        <w:rPr>
          <w:b/>
          <w:color w:val="003CA0"/>
          <w:sz w:val="16"/>
        </w:rPr>
        <w:t>[AI 661.622 AgR-AgR, rel. min. Cármen Lúcia, j. 28-10-2008, 2ª T, DJE de 19-12-2008.]</w:t>
      </w:r>
    </w:p>
    <w:p>
      <w:pPr>
        <w:ind w:left="288"/>
      </w:pPr>
      <w:r>
        <w:rPr>
          <w:color w:val="8C8C8C"/>
          <w:sz w:val="12"/>
        </w:rPr>
        <w:t>cf-art-5-inc-L</w:t>
      </w:r>
      <w:r>
        <w:rPr>
          <w:color w:val="003CA0"/>
          <w:sz w:val="12"/>
        </w:rPr>
        <w:t xml:space="preserve"> | HC 83.255</w:t>
      </w:r>
      <w:r>
        <w:rPr>
          <w:color w:val="003CA0"/>
          <w:sz w:val="12"/>
        </w:rPr>
        <w:t xml:space="preserve"> | rel. Marco Aurélio</w:t>
      </w:r>
    </w:p>
    <w:p>
      <w:pPr>
        <w:ind w:left="288"/>
      </w:pPr>
      <w:r>
        <w:rPr>
          <w:color w:val="1E1E1E"/>
          <w:sz w:val="18"/>
        </w:rPr>
        <w:t>Vide HC 83.255, rel. min. Marco Aurélio, j. 5-11-2003, P, DJ de 12-3-2004 CNJ. Devido processo legal. Contraditório. Envolvida, no processo administrativo, situação constituída no tocante a terceiros, impõe-se a ciência destes para, querendo, apresentarem defesa.</w:t>
      </w:r>
    </w:p>
    <w:p>
      <w:pPr>
        <w:ind w:left="288"/>
      </w:pPr>
      <w:r>
        <w:rPr>
          <w:b/>
          <w:color w:val="003CA0"/>
          <w:sz w:val="16"/>
        </w:rPr>
        <w:t>[MS 25.962, rel. min. Marco Aurélio, j. 23-10-2008, P, DJE de 20-3-2009.]</w:t>
      </w:r>
    </w:p>
    <w:p>
      <w:pPr>
        <w:ind w:left="288"/>
      </w:pPr>
      <w:r>
        <w:rPr>
          <w:color w:val="8C8C8C"/>
          <w:sz w:val="12"/>
        </w:rPr>
        <w:t>cf-art-5-inc-L</w:t>
      </w:r>
      <w:r>
        <w:rPr>
          <w:color w:val="003CA0"/>
          <w:sz w:val="12"/>
        </w:rPr>
        <w:t xml:space="preserve"> | MS 27.154</w:t>
      </w:r>
      <w:r>
        <w:rPr>
          <w:color w:val="003CA0"/>
          <w:sz w:val="12"/>
        </w:rPr>
        <w:t xml:space="preserve"> | rel. Joaquim Barbosa</w:t>
      </w:r>
    </w:p>
    <w:p>
      <w:pPr>
        <w:ind w:left="288"/>
      </w:pPr>
      <w:r>
        <w:rPr>
          <w:color w:val="1E1E1E"/>
          <w:sz w:val="18"/>
        </w:rPr>
        <w:t>= MS 27.154, rel. min. Joaquim Barbosa, j. 10-11-2010, P, DJE de 8-2-2011 Servidor público. Funcionário. Aposentadoria. Cumulação de gratificações. Anulação pelo TCU. Inadmissibilidade. Ato julgado legal pelo TCU há mais de cinco anos. Anulação do julgamento. Inadmissibilidade. Decadência administrativa. Consumação reconhecida. Ofensa a direito líquido e certo. Respeito ao princípio da confiança e segurança jurídica. Cassação do acórdão. Segurança concedida para esse fim. Aplicação do art. 5º, LV, da CF e art. 54 da Lei federal 9.784/1999. Não pode o TCU, sob fundamento ou pretexto algum, anul</w:t>
      </w:r>
    </w:p>
    <w:p>
      <w:pPr>
        <w:ind w:left="288"/>
      </w:pPr>
      <w:r>
        <w:rPr>
          <w:b/>
          <w:color w:val="003CA0"/>
          <w:sz w:val="16"/>
        </w:rPr>
        <w:t>[MS 25.963, rel. min. Cezar Peluso, j. 23-10-2008, P, DJE de 21-11-2008.]</w:t>
      </w:r>
    </w:p>
    <w:p>
      <w:pPr>
        <w:ind w:left="288"/>
      </w:pPr>
      <w:r>
        <w:rPr>
          <w:color w:val="8C8C8C"/>
          <w:sz w:val="12"/>
        </w:rPr>
        <w:t>cf-art-5-inc-L</w:t>
      </w:r>
      <w:r>
        <w:rPr>
          <w:color w:val="003CA0"/>
          <w:sz w:val="12"/>
        </w:rPr>
        <w:t xml:space="preserve"> | HC 95.682</w:t>
      </w:r>
      <w:r>
        <w:rPr>
          <w:color w:val="003CA0"/>
          <w:sz w:val="12"/>
        </w:rPr>
        <w:t xml:space="preserve"> | rel. Marco Aurélio</w:t>
      </w:r>
    </w:p>
    <w:p>
      <w:pPr>
        <w:ind w:left="288"/>
      </w:pPr>
      <w:r>
        <w:rPr>
          <w:color w:val="1E1E1E"/>
          <w:sz w:val="18"/>
        </w:rPr>
        <w:t>Recurso. Pauta. Adiamento. Regra especial. Se do regimento interno do tribunal constar a possibilidade de o recurso ser julgado nas duas sessões subsequentes àquela referida na pauta, ocorrendo o exame dentro do aludido intervalo, é de se concluir pela observância da norma de regência.</w:t>
      </w:r>
    </w:p>
    <w:p>
      <w:pPr>
        <w:ind w:left="288"/>
      </w:pPr>
      <w:r>
        <w:rPr>
          <w:b/>
          <w:color w:val="003CA0"/>
          <w:sz w:val="16"/>
        </w:rPr>
        <w:t>[HC 95.682, rel. min. Marco Aurélio, j. 14-10-2008, 2ª T, DJE de 19-12-2008.]</w:t>
      </w:r>
    </w:p>
    <w:p>
      <w:pPr>
        <w:ind w:left="288"/>
      </w:pPr>
      <w:r>
        <w:rPr>
          <w:color w:val="8C8C8C"/>
          <w:sz w:val="12"/>
        </w:rPr>
        <w:t>cf-art-5-inc-L</w:t>
      </w:r>
      <w:r>
        <w:rPr>
          <w:color w:val="003CA0"/>
          <w:sz w:val="12"/>
        </w:rPr>
        <w:t xml:space="preserve"> | RHC 94.350</w:t>
      </w:r>
      <w:r>
        <w:rPr>
          <w:color w:val="003CA0"/>
          <w:sz w:val="12"/>
        </w:rPr>
        <w:t xml:space="preserve"> | rel. Cármen Lúcia</w:t>
      </w:r>
    </w:p>
    <w:p>
      <w:pPr>
        <w:ind w:left="288"/>
      </w:pPr>
      <w:r>
        <w:rPr>
          <w:color w:val="1E1E1E"/>
          <w:sz w:val="18"/>
        </w:rPr>
        <w:t>Juntada de parecer e aditamento da apelação. Documento: não caracterização. Constrangimento ilegal inexistente. Recurso ordinário ao qual se nega provimento. Parecer da lavra de jurista renomado não constitui documento nos termos da legislação processual penal vigente. A apelação da defesa, salvo limitação explícita no ato de sua interposição, devolve ao Tribunal todas as questões relevantes do processo, independentemente de elas terem sido arguidas pelos recorrentes nas razões de apelação ou, no caso, no pedido de aditamento.</w:t>
      </w:r>
    </w:p>
    <w:p>
      <w:pPr>
        <w:ind w:left="288"/>
      </w:pPr>
      <w:r>
        <w:rPr>
          <w:b/>
          <w:color w:val="003CA0"/>
          <w:sz w:val="16"/>
        </w:rPr>
        <w:t>[RHC 94.350, rel. min. Cármen Lúcia, j. 14-10-2008, 1ª T, DJE de 31-10-2008.]</w:t>
      </w:r>
    </w:p>
    <w:p>
      <w:pPr>
        <w:ind w:left="288"/>
      </w:pPr>
      <w:r>
        <w:rPr>
          <w:color w:val="8C8C8C"/>
          <w:sz w:val="12"/>
        </w:rPr>
        <w:t>cf-art-5-inc-L</w:t>
      </w:r>
      <w:r>
        <w:rPr>
          <w:color w:val="003CA0"/>
          <w:sz w:val="12"/>
        </w:rPr>
        <w:t xml:space="preserve"> | HC 88.008</w:t>
      </w:r>
      <w:r>
        <w:rPr>
          <w:color w:val="003CA0"/>
          <w:sz w:val="12"/>
        </w:rPr>
        <w:t xml:space="preserve"> | rel. Cezar Peluso</w:t>
      </w:r>
    </w:p>
    <w:p>
      <w:pPr>
        <w:ind w:left="288"/>
      </w:pPr>
      <w:r>
        <w:rPr>
          <w:color w:val="1E1E1E"/>
          <w:sz w:val="18"/>
        </w:rPr>
        <w:t>= HC 88.008, rel. min. Cezar Peluso, j. 2-2-2010, 2ª T, DJE de 19-2-2010 Exigência de depósito prévio em recurso administrativo. (...) Ratificação do entendimento. (...) A exigência de depósito prévio como requisito de admissibilidade de recurso administrativo – assunto de indiscutível relevância econômica, social e jurídica – já teve a sua inconstitucionalidade reconhecida por esta Corte, no julgamento do RE 388.359, do RE 389.383 e do RE 390.513, todos de relatoria do eminente ministro Marco Aurélio.</w:t>
      </w:r>
    </w:p>
    <w:p>
      <w:pPr>
        <w:ind w:left="288"/>
      </w:pPr>
      <w:r>
        <w:rPr>
          <w:b/>
          <w:color w:val="003CA0"/>
          <w:sz w:val="16"/>
        </w:rPr>
        <w:t>[AI 698.626 QO-RG, rel. min. Ellen Gracie, j. 2-10-2008, P, DJE de 5-12-2008.]</w:t>
      </w:r>
    </w:p>
    <w:p>
      <w:pPr>
        <w:ind w:left="288"/>
      </w:pPr>
      <w:r>
        <w:rPr>
          <w:color w:val="8C8C8C"/>
          <w:sz w:val="12"/>
        </w:rPr>
        <w:t>cf-art-5-inc-L</w:t>
      </w:r>
      <w:r>
        <w:rPr>
          <w:color w:val="003CA0"/>
          <w:sz w:val="12"/>
        </w:rPr>
        <w:t xml:space="preserve"> | ADPF 156</w:t>
      </w:r>
      <w:r>
        <w:rPr>
          <w:color w:val="003CA0"/>
          <w:sz w:val="12"/>
        </w:rPr>
        <w:t xml:space="preserve"> | rel. Cármen Lúcia</w:t>
      </w:r>
    </w:p>
    <w:p>
      <w:pPr>
        <w:ind w:left="288"/>
      </w:pPr>
      <w:r>
        <w:rPr>
          <w:color w:val="1E1E1E"/>
          <w:sz w:val="18"/>
        </w:rPr>
        <w:t>Vide ADPF 156, rel. min. Cármen Lúcia, j. 18-8-2011, P, DJE de 28-10-2011 Assiste a cada um dos litisconsortes penais passivos o direito – fundado em cláusulas constitucionais (CF, art. 5º, LIV e LV) – de formular reperguntas aos demais corréus, que, no entanto, não estão obrigados a respondê-las, em face da prerrogativa contra a autoincriminação, de que também são titulares. O desrespeito a essa franquia individual do réu, resultante da arbitrária recusa em lhe permitir a formulação de reperguntas, qualifica-se como causa geradora de nulidade processual absoluta, por implicar grave transgress</w:t>
      </w:r>
    </w:p>
    <w:p>
      <w:pPr>
        <w:ind w:left="288"/>
      </w:pPr>
      <w:r>
        <w:rPr>
          <w:b/>
          <w:color w:val="003CA0"/>
          <w:sz w:val="16"/>
        </w:rPr>
        <w:t>[HC 94.016, rel. min. Celso de Mello, j. 16-9-2008, 2ª T, DJE de 27-2-2009.]</w:t>
      </w:r>
    </w:p>
    <w:p>
      <w:pPr>
        <w:ind w:left="288"/>
      </w:pPr>
      <w:r>
        <w:rPr>
          <w:color w:val="8C8C8C"/>
          <w:sz w:val="12"/>
        </w:rPr>
        <w:t>cf-art-5-inc-L</w:t>
      </w:r>
      <w:r>
        <w:rPr>
          <w:color w:val="003CA0"/>
          <w:sz w:val="12"/>
        </w:rPr>
        <w:t xml:space="preserve"> | HC 101.648</w:t>
      </w:r>
      <w:r>
        <w:rPr>
          <w:color w:val="003CA0"/>
          <w:sz w:val="12"/>
        </w:rPr>
        <w:t xml:space="preserve"> | rel. Cármen Lúcia</w:t>
      </w:r>
    </w:p>
    <w:p>
      <w:pPr>
        <w:ind w:left="288"/>
      </w:pPr>
      <w:r>
        <w:rPr>
          <w:color w:val="1E1E1E"/>
          <w:sz w:val="18"/>
        </w:rPr>
        <w:t>= HC 101.648, rel. min. Cármen Lúcia, j. 11-5-2010, 1ª T, DJE de 9-2-2011 Vide HC 90.830, rel. min. Cezar Peluso, j. 2-3-2010, 2ª T, DJE de 23-4-2010 A tese da nulidade da citação por edital em razão da alegada falta de esgotamento dos meios para localização do paciente não merece acolhimento. Houve mera irregularidade no fato de o juiz haver decretado a revelia sem aguardar o retorno da carta precatória expedida para citação do paciente. O STF já decidiu que eventual nulidade da citação do acusado é sanada com a constituição de defesa técnica que passou a atuar desde o início do processo, com</w:t>
      </w:r>
    </w:p>
    <w:p>
      <w:pPr>
        <w:ind w:left="288"/>
      </w:pPr>
      <w:r>
        <w:rPr>
          <w:b/>
          <w:color w:val="003CA0"/>
          <w:sz w:val="16"/>
        </w:rPr>
        <w:t>[HC 94.619, rel. min. Ellen Gracie, j. 2-9-2008, 2ª T, DJE de 26-9-2008.]</w:t>
      </w:r>
    </w:p>
    <w:p>
      <w:pPr>
        <w:ind w:left="288"/>
      </w:pPr>
      <w:r>
        <w:rPr>
          <w:color w:val="8C8C8C"/>
          <w:sz w:val="12"/>
        </w:rPr>
        <w:t>cf-art-5-inc-L</w:t>
      </w:r>
      <w:r>
        <w:rPr>
          <w:color w:val="003CA0"/>
          <w:sz w:val="12"/>
        </w:rPr>
        <w:t xml:space="preserve"> | HC 91.371</w:t>
      </w:r>
      <w:r>
        <w:rPr>
          <w:color w:val="003CA0"/>
          <w:sz w:val="12"/>
        </w:rPr>
        <w:t xml:space="preserve"> | rel. Cezar Peluso</w:t>
      </w:r>
    </w:p>
    <w:p>
      <w:pPr>
        <w:ind w:left="288"/>
      </w:pPr>
      <w:r>
        <w:rPr>
          <w:color w:val="1E1E1E"/>
          <w:sz w:val="18"/>
        </w:rPr>
        <w:t>= HC 91.371, rel. min. Cezar Peluso, j. 2-3-2010, 2ª T, DJE de 23-4-2010 Vide HC 97.196, rel. min. Cármen Lúcia, j. 12-5-2009, 1ª T, DJE de 18-6-2010 Os embargos de declaração não se revestem, ordinariamente, de caráter infringente. Os embargos de declaração – desde que ausentes os seus requisitos de admissibilidade – não podem ser utilizados com o indevido objetivo de infringir o julgado, sob pena de inaceitável desvio da específica função jurídico-processual para a qual esse tipo recursal se acha instrumentalmente vocacionado. (...). O abuso do direito de recorrer – por qualificar-se como pr</w:t>
      </w:r>
    </w:p>
    <w:p>
      <w:pPr>
        <w:ind w:left="288"/>
      </w:pPr>
      <w:r>
        <w:rPr>
          <w:b/>
          <w:color w:val="003CA0"/>
          <w:sz w:val="16"/>
        </w:rPr>
        <w:t>[AI 664.123 AgR-ED-ED, rel. min. Celso de Mello, j. 26-8-2008, 2ª T, DJE de 3-10-2008.]</w:t>
      </w:r>
    </w:p>
    <w:p>
      <w:pPr>
        <w:ind w:left="288"/>
      </w:pPr>
      <w:r>
        <w:rPr>
          <w:color w:val="8C8C8C"/>
          <w:sz w:val="12"/>
        </w:rPr>
        <w:t>cf-art-5-inc-L</w:t>
      </w:r>
      <w:r>
        <w:rPr>
          <w:color w:val="003CA0"/>
          <w:sz w:val="12"/>
        </w:rPr>
        <w:t xml:space="preserve"> | AI 768.175</w:t>
      </w:r>
      <w:r>
        <w:rPr>
          <w:color w:val="003CA0"/>
          <w:sz w:val="12"/>
        </w:rPr>
        <w:t xml:space="preserve"> | rel. Cezar Peluso</w:t>
      </w:r>
    </w:p>
    <w:p>
      <w:pPr>
        <w:ind w:left="288"/>
      </w:pPr>
      <w:r>
        <w:rPr>
          <w:color w:val="1E1E1E"/>
          <w:sz w:val="18"/>
        </w:rPr>
        <w:t>= AI 768.175 AgR-ED, rel. min. Cezar Peluso, j. 7-10-2010, P, DJE de 11-11-2010 Processo penal. Interrogatório. Assistência técnica. A exigência de defesa técnica para observância do devido processo legal impõe a presença do profissional da advocacia na audiência de interrogatório do acusado. Não bastasse o disposto no art. 261 do CPP, a Lei 10.792/2003 explicitou a formalidade de cunho nitidamente constitucional. Art. 5º, LV, da CF.</w:t>
      </w:r>
    </w:p>
    <w:p>
      <w:pPr>
        <w:ind w:left="288"/>
      </w:pPr>
      <w:r>
        <w:rPr>
          <w:b/>
          <w:color w:val="003CA0"/>
          <w:sz w:val="16"/>
        </w:rPr>
        <w:t>[RE 459.131, rel. min. Ricardo Lewandowski, j. 12-8-2008, 1ª T, DJE de 12-9-2008.]</w:t>
      </w:r>
    </w:p>
    <w:p>
      <w:pPr>
        <w:ind w:left="288"/>
      </w:pPr>
      <w:r>
        <w:rPr>
          <w:color w:val="8C8C8C"/>
          <w:sz w:val="12"/>
        </w:rPr>
        <w:t>cf-art-5-inc-L</w:t>
      </w:r>
      <w:r>
        <w:rPr>
          <w:color w:val="003CA0"/>
          <w:sz w:val="12"/>
        </w:rPr>
        <w:t xml:space="preserve"> | HC 102.019</w:t>
      </w:r>
      <w:r>
        <w:rPr>
          <w:color w:val="003CA0"/>
          <w:sz w:val="12"/>
        </w:rPr>
        <w:t xml:space="preserve"> | rel. Ricardo Lewandowski</w:t>
      </w:r>
    </w:p>
    <w:p>
      <w:pPr>
        <w:ind w:left="288"/>
      </w:pPr>
      <w:r>
        <w:rPr>
          <w:color w:val="1E1E1E"/>
          <w:sz w:val="18"/>
        </w:rPr>
        <w:t>Vide HC 102.019, rel. min. Ricardo Lewandowski, j. 17-8-2010, 1ª T, DJE de 22-10-2010 Se o acusado, citado por edital, não comparece nem constitui advogado, pode o juiz, suspenso o processo, determinar colheita antecipada de elemento de prova testemunhal, apenas quando esta seja urgente nos termos do art. 225 do CPP.</w:t>
      </w:r>
    </w:p>
    <w:p>
      <w:pPr>
        <w:ind w:left="288"/>
      </w:pPr>
      <w:r>
        <w:rPr>
          <w:b/>
          <w:color w:val="003CA0"/>
          <w:sz w:val="16"/>
        </w:rPr>
        <w:t>[HC 85.824, rel. min. Cezar Peluso, j. 5-8-2008, 2ª T, DJE de 22-8-2008.]</w:t>
      </w:r>
    </w:p>
    <w:p>
      <w:pPr>
        <w:ind w:left="288"/>
      </w:pPr>
      <w:r>
        <w:rPr>
          <w:color w:val="8C8C8C"/>
          <w:sz w:val="12"/>
        </w:rPr>
        <w:t>cf-art-5-inc-L</w:t>
      </w:r>
      <w:r>
        <w:rPr>
          <w:color w:val="003CA0"/>
          <w:sz w:val="12"/>
        </w:rPr>
        <w:t xml:space="preserve"> | HC 96.325</w:t>
      </w:r>
      <w:r>
        <w:rPr>
          <w:color w:val="003CA0"/>
          <w:sz w:val="12"/>
        </w:rPr>
        <w:t xml:space="preserve"> | rel. Cármen Lúcia</w:t>
      </w:r>
    </w:p>
    <w:p>
      <w:pPr>
        <w:ind w:left="288"/>
      </w:pPr>
      <w:r>
        <w:rPr>
          <w:color w:val="1E1E1E"/>
          <w:sz w:val="18"/>
        </w:rPr>
        <w:t>= HC 96.325, rel. min. Cármen Lúcia, j. 19-5-2009, 1ª T, DJE de 21-8-2009 Não se faz necessária a notificação prévia e pessoal da data em que será realizada a sessão de julgamento de recurso de reconsideração pelo TCU. Ausência de ofensa aos princípios da ampla defesa e do devido processo legal quando a pauta de julgamentos é publicada no DOU. O pedido de sustentação oral pode ser feito, conforme autoriza o art. 168 do Regimento Interno do TCU, até quatro horas antes da sessão. Para tanto, é necessário que os interessados no julgamento acompanhem o andamento do processo e as publicações feitas</w:t>
      </w:r>
    </w:p>
    <w:p>
      <w:pPr>
        <w:ind w:left="288"/>
      </w:pPr>
      <w:r>
        <w:rPr>
          <w:b/>
          <w:color w:val="003CA0"/>
          <w:sz w:val="16"/>
        </w:rPr>
        <w:t>[MS 26.732 AgR, rel. min. Cármen Lúcia, j. 25-6-2008, P, DJE de 15-8-2008.]</w:t>
      </w:r>
    </w:p>
    <w:p>
      <w:pPr>
        <w:ind w:left="288"/>
      </w:pPr>
      <w:r>
        <w:rPr>
          <w:color w:val="8C8C8C"/>
          <w:sz w:val="12"/>
        </w:rPr>
        <w:t>cf-art-5-inc-L</w:t>
      </w:r>
      <w:r>
        <w:rPr>
          <w:color w:val="003CA0"/>
          <w:sz w:val="12"/>
        </w:rPr>
        <w:t xml:space="preserve"> | ACO 1.000</w:t>
      </w:r>
      <w:r>
        <w:rPr>
          <w:color w:val="003CA0"/>
          <w:sz w:val="12"/>
        </w:rPr>
        <w:t xml:space="preserve"> | rel. Joaquim Barbosa</w:t>
      </w:r>
    </w:p>
    <w:p>
      <w:pPr>
        <w:ind w:left="288"/>
      </w:pPr>
      <w:r>
        <w:rPr>
          <w:color w:val="1E1E1E"/>
          <w:sz w:val="18"/>
        </w:rPr>
        <w:t>Sistema Integrado de Administração Financeira (SIAFI) e Sistema de Acompanhamento das Leis de Incentivo à Cultura (SALIC). Registro de inadimplência de Estado-membro. Ausência de contraditório. Agravo interposto de decisão que reputou ausente o fumus boni juris pertinente à alegada violação dos direitos constitucionais ao contraditório e à ampla defesa, porquanto presentes nos autos documentos que indicam que a União ofereceu prazo para que o Estado-autor impugnasse as pretensas irregularidades apuradas na execução de três convênios. Não obstante a abertura de prazo, o Estado-autor não apresen</w:t>
      </w:r>
    </w:p>
    <w:p>
      <w:pPr>
        <w:ind w:left="288"/>
      </w:pPr>
      <w:r>
        <w:rPr>
          <w:b/>
          <w:color w:val="003CA0"/>
          <w:sz w:val="16"/>
        </w:rPr>
        <w:t>[ACO 1.000 MC-AgR, rel. min. Joaquim Barbosa, j. 25-6-2008, P, DJE de 15-8-2008.]</w:t>
      </w:r>
    </w:p>
    <w:p>
      <w:pPr>
        <w:ind w:left="288"/>
      </w:pPr>
      <w:r>
        <w:rPr>
          <w:color w:val="8C8C8C"/>
          <w:sz w:val="12"/>
        </w:rPr>
        <w:t>cf-art-5-inc-L</w:t>
      </w:r>
      <w:r>
        <w:rPr>
          <w:color w:val="003CA0"/>
          <w:sz w:val="12"/>
        </w:rPr>
        <w:t xml:space="preserve"> | HC 93.073</w:t>
      </w:r>
      <w:r>
        <w:rPr>
          <w:color w:val="003CA0"/>
          <w:sz w:val="12"/>
        </w:rPr>
        <w:t xml:space="preserve"> | rel. Joaquim Barbosa</w:t>
      </w:r>
    </w:p>
    <w:p>
      <w:pPr>
        <w:ind w:left="288"/>
      </w:pPr>
      <w:r>
        <w:rPr>
          <w:color w:val="1E1E1E"/>
          <w:sz w:val="18"/>
        </w:rPr>
        <w:t>É assegurado o contraditório e a ampla defesa no procedimento administrativo destinado à apuração de falta disciplinar. A ausência de intimação da defesa para se manifestar previamente à aplicação de penalidade disciplinar viola os princípios do contraditório e da ampla defesa, ocasionando a nulidade absoluta de todos os atos subsequentes.</w:t>
      </w:r>
    </w:p>
    <w:p>
      <w:pPr>
        <w:ind w:left="288"/>
      </w:pPr>
      <w:r>
        <w:rPr>
          <w:b/>
          <w:color w:val="003CA0"/>
          <w:sz w:val="16"/>
        </w:rPr>
        <w:t>[HC 93.073, rel. min. Joaquim Barbosa, j. 24-6-2008, 2ª T, DJE de 6-3-2009.]</w:t>
      </w:r>
    </w:p>
    <w:p>
      <w:pPr>
        <w:ind w:left="288"/>
      </w:pPr>
      <w:r>
        <w:rPr>
          <w:color w:val="8C8C8C"/>
          <w:sz w:val="12"/>
        </w:rPr>
        <w:t>cf-art-5-inc-L</w:t>
      </w:r>
      <w:r>
        <w:rPr>
          <w:color w:val="003CA0"/>
          <w:sz w:val="12"/>
        </w:rPr>
        <w:t xml:space="preserve"> | EXT 1.082</w:t>
      </w:r>
      <w:r>
        <w:rPr>
          <w:color w:val="003CA0"/>
          <w:sz w:val="12"/>
        </w:rPr>
        <w:t xml:space="preserve"> | rel. Celso de Mello</w:t>
      </w:r>
    </w:p>
    <w:p>
      <w:pPr>
        <w:ind w:left="288"/>
      </w:pPr>
      <w:r>
        <w:rPr>
          <w:color w:val="1E1E1E"/>
          <w:sz w:val="18"/>
        </w:rPr>
        <w:t>Validade constitucional do art. 85, § 1º, da Lei 6.815/1980. As restrições de ordem temática, estabelecidas no Estatuto do Estrangeiro (art. 85, § 1º) – cuja incidência delimita, nas ações de extradição passiva, o âmbito material do exercício do direito de defesa –, não são inconstitucionais, nem ofendem a garantia da plenitude de defesa, em face da natureza mesma de que se reveste o processo extradicional no direito brasileiro e, ainda, em decorrência do próprio modelo de contenciosidade limitada adotado pelo ordenamento positivo nacional.</w:t>
      </w:r>
    </w:p>
    <w:p>
      <w:pPr>
        <w:ind w:left="288"/>
      </w:pPr>
      <w:r>
        <w:rPr>
          <w:b/>
          <w:color w:val="003CA0"/>
          <w:sz w:val="16"/>
        </w:rPr>
        <w:t>[Ext 1.082, rel. min. Celso de Mello, j. 19-6-2008, P, DJE de 8-8-2008.]</w:t>
      </w:r>
    </w:p>
    <w:p>
      <w:pPr>
        <w:ind w:left="288"/>
      </w:pPr>
      <w:r>
        <w:rPr>
          <w:color w:val="8C8C8C"/>
          <w:sz w:val="12"/>
        </w:rPr>
        <w:t>cf-art-5-inc-L</w:t>
      </w:r>
      <w:r>
        <w:rPr>
          <w:color w:val="003CA0"/>
          <w:sz w:val="12"/>
        </w:rPr>
        <w:t xml:space="preserve"> | RE 513.585</w:t>
      </w:r>
      <w:r>
        <w:rPr>
          <w:color w:val="003CA0"/>
          <w:sz w:val="12"/>
        </w:rPr>
        <w:t xml:space="preserve"> | rel. Eros Grau</w:t>
      </w:r>
    </w:p>
    <w:p>
      <w:pPr>
        <w:ind w:left="288"/>
      </w:pPr>
      <w:r>
        <w:rPr>
          <w:color w:val="1E1E1E"/>
          <w:sz w:val="18"/>
        </w:rPr>
        <w:t>A jurisprudência desta Corte tem-se fixado no sentido de que a ausência de processo administrativo ou a inobservância aos princípios do contraditório e da ampla defesa tornam nulo o ato de demissão de servidor público, seja ele civil ou militar, estável ou não.</w:t>
      </w:r>
    </w:p>
    <w:p>
      <w:pPr>
        <w:ind w:left="288"/>
      </w:pPr>
      <w:r>
        <w:rPr>
          <w:b/>
          <w:color w:val="003CA0"/>
          <w:sz w:val="16"/>
        </w:rPr>
        <w:t>[RE 513.585 AgR, rel. min. Eros Grau, j. 17-6-2008, 2ª T, DJE de 1º-8-2008.]</w:t>
      </w:r>
    </w:p>
    <w:p>
      <w:pPr>
        <w:ind w:left="288"/>
      </w:pPr>
      <w:r>
        <w:rPr>
          <w:color w:val="8C8C8C"/>
          <w:sz w:val="12"/>
        </w:rPr>
        <w:t>cf-art-5-inc-L</w:t>
      </w:r>
      <w:r>
        <w:rPr>
          <w:color w:val="003CA0"/>
          <w:sz w:val="12"/>
        </w:rPr>
        <w:t xml:space="preserve"> | RE 594.040</w:t>
      </w:r>
      <w:r>
        <w:rPr>
          <w:color w:val="003CA0"/>
          <w:sz w:val="12"/>
        </w:rPr>
        <w:t xml:space="preserve"> | rel. Ricardo Lewandowski</w:t>
      </w:r>
    </w:p>
    <w:p>
      <w:pPr>
        <w:ind w:left="288"/>
      </w:pPr>
      <w:r>
        <w:rPr>
          <w:color w:val="1E1E1E"/>
          <w:sz w:val="18"/>
        </w:rPr>
        <w:t>= RE 594.040 AgR, rel. min. Ricardo Lewandowski, j. 6-4-2010, 1ª T, DJE de 23-4-2010 Não há ilegalidade na ampliação da acusação a servidor público, se durante o processo administrativo forem apurados fatos novos que constituam infração disciplinar. O princípio do contraditório e da ampla defesa deve ser rigorosamente observado. É permitido ao agente administrativo, para complementar suas razões, encampar os termos de parecer exarado por autoridade de menor hierarquia. A autoridade julgadora não está vinculada às conclusões da comissão processante. Precedentes: (MS 23.201, rel. min. Ellen Grac</w:t>
      </w:r>
    </w:p>
    <w:p>
      <w:pPr>
        <w:ind w:left="288"/>
      </w:pPr>
      <w:r>
        <w:rPr>
          <w:b/>
          <w:color w:val="003CA0"/>
          <w:sz w:val="16"/>
        </w:rPr>
        <w:t>[RMS 24.526, rel. min. Eros Grau, j. 3-6-2008, 1ª T, DJE de 15-8-2008.]</w:t>
      </w:r>
    </w:p>
    <w:p>
      <w:pPr>
        <w:ind w:left="288"/>
      </w:pPr>
      <w:r>
        <w:rPr>
          <w:color w:val="8C8C8C"/>
          <w:sz w:val="12"/>
        </w:rPr>
        <w:t>cf-art-5-inc-L</w:t>
      </w:r>
      <w:r>
        <w:rPr>
          <w:color w:val="003CA0"/>
          <w:sz w:val="12"/>
        </w:rPr>
        <w:t xml:space="preserve"> | RMS 30.881</w:t>
      </w:r>
      <w:r>
        <w:rPr>
          <w:color w:val="003CA0"/>
          <w:sz w:val="12"/>
        </w:rPr>
        <w:t xml:space="preserve"> | rel. Cármen Lúcia</w:t>
      </w:r>
    </w:p>
    <w:p>
      <w:pPr>
        <w:ind w:left="288"/>
      </w:pPr>
      <w:r>
        <w:rPr>
          <w:color w:val="1E1E1E"/>
          <w:sz w:val="18"/>
        </w:rPr>
        <w:t>= RMS 30.881, rel. min. Cármen Lúcia, j. 2-10-2012, 2ª T, DJE de 29-10-2012 A denúncia que descreve de forma clara, precisa, pormenorizada e individualizada a conduta praticada por todos e cada um dos corréus, viabilizando o exercício da ampla defesa, não é inepta. Está na peça acusatória que o paciente ordenou – verbo nuclear do tipo relativo ao delito de abuso de poder – que o delegado de polícia mantivesse, abusivamente, a prisão de pessoas, conduzindo-as à delegacia policial, sem flagrante delito ou ordem fundamentada da autoridade judiciária competente. Sendo o paciente membro do Ministér</w:t>
      </w:r>
    </w:p>
    <w:p>
      <w:pPr>
        <w:ind w:left="288"/>
      </w:pPr>
      <w:r>
        <w:rPr>
          <w:b/>
          <w:color w:val="003CA0"/>
          <w:sz w:val="16"/>
        </w:rPr>
        <w:t>[HC 93.224, rel. min. Eros Grau, j. 13-5-2008, 2ª T, DJE de 5-9-2008.]</w:t>
      </w:r>
    </w:p>
    <w:p>
      <w:pPr>
        <w:ind w:left="288"/>
      </w:pPr>
      <w:r>
        <w:rPr>
          <w:color w:val="8C8C8C"/>
          <w:sz w:val="12"/>
        </w:rPr>
        <w:t>cf-art-5-inc-L</w:t>
      </w:r>
      <w:r>
        <w:rPr>
          <w:color w:val="003CA0"/>
          <w:sz w:val="12"/>
        </w:rPr>
        <w:t xml:space="preserve"> | HC 100.968</w:t>
      </w:r>
      <w:r>
        <w:rPr>
          <w:color w:val="003CA0"/>
          <w:sz w:val="12"/>
        </w:rPr>
        <w:t xml:space="preserve"> | rel. Ricardo Lewandowski</w:t>
      </w:r>
    </w:p>
    <w:p>
      <w:pPr>
        <w:ind w:left="288"/>
      </w:pPr>
      <w:r>
        <w:rPr>
          <w:color w:val="1E1E1E"/>
          <w:sz w:val="18"/>
        </w:rPr>
        <w:t>= HC 100.968, rel. min. Ricardo Lewandowski, j. 18-5-2010, 1ª T, DJE de 4-6-2010 Vide HC 84.965, rel. min. Gilmar Mendes, j. 13-12-2011, 2ª T, DJE de 11-4-2012 Vide HC 89.837, rel. min. Celso de Mello, j. 20-10-2009, 2ª T, DJE de 20-11-2009 Não havendo elementos que o justifiquem, constitui constrangimento ilegal o ato de indiciamento em inquérito policial.</w:t>
      </w:r>
    </w:p>
    <w:p>
      <w:pPr>
        <w:ind w:left="288"/>
      </w:pPr>
      <w:r>
        <w:rPr>
          <w:b/>
          <w:color w:val="003CA0"/>
          <w:sz w:val="16"/>
        </w:rPr>
        <w:t>[HC 85.541, rel. min. Cezar Peluso, j. 22-4-2008, 2ª T, DJE de 22-8-2008.]</w:t>
      </w:r>
    </w:p>
    <w:p>
      <w:pPr>
        <w:ind w:left="288"/>
      </w:pPr>
      <w:r>
        <w:rPr>
          <w:color w:val="8C8C8C"/>
          <w:sz w:val="12"/>
        </w:rPr>
        <w:t>cf-art-5-inc-L</w:t>
      </w:r>
      <w:r>
        <w:rPr>
          <w:color w:val="003CA0"/>
          <w:sz w:val="12"/>
        </w:rPr>
        <w:t xml:space="preserve"> | HC 93.120</w:t>
      </w:r>
      <w:r>
        <w:rPr>
          <w:color w:val="003CA0"/>
          <w:sz w:val="12"/>
        </w:rPr>
        <w:t xml:space="preserve"> | rel. Joaquim Barbosa</w:t>
      </w:r>
    </w:p>
    <w:p>
      <w:pPr>
        <w:ind w:left="288"/>
      </w:pPr>
      <w:r>
        <w:rPr>
          <w:color w:val="1E1E1E"/>
          <w:sz w:val="18"/>
        </w:rPr>
        <w:t>Os réus e o defensor constituído foram regularmente intimados da sentença penal condenatória. A não interposição de apelação não equivale à ausência de defesa, porquanto o defensor constituído ofereceu embargos de declaração à sentença penal condenatória em tempo hábil. Ausência de recurso que se situa no âmbito da estratégia de defesa delineada pelo defensor constituído, dada a voluntariedade recursal. Não há qualquer dispositivo legal que determine a necessidade de o mandado de intimação de sentença condenatória ser acompanhado de um termo de apelação. Ausência de constrangimento ilegal.</w:t>
      </w:r>
    </w:p>
    <w:p>
      <w:pPr>
        <w:ind w:left="288"/>
      </w:pPr>
      <w:r>
        <w:rPr>
          <w:b/>
          <w:color w:val="003CA0"/>
          <w:sz w:val="16"/>
        </w:rPr>
        <w:t>[HC 93.120, rel. min. Joaquim Barbosa, j. 8-4-2008, 2ª T, DJE de 27-6-2008.]</w:t>
      </w:r>
    </w:p>
    <w:p>
      <w:pPr>
        <w:ind w:left="288"/>
      </w:pPr>
      <w:r>
        <w:rPr>
          <w:color w:val="8C8C8C"/>
          <w:sz w:val="12"/>
        </w:rPr>
        <w:t>cf-art-5-inc-L</w:t>
      </w:r>
      <w:r>
        <w:rPr>
          <w:color w:val="003CA0"/>
          <w:sz w:val="12"/>
        </w:rPr>
        <w:t xml:space="preserve"> | HC 104.166</w:t>
      </w:r>
      <w:r>
        <w:rPr>
          <w:color w:val="003CA0"/>
          <w:sz w:val="12"/>
        </w:rPr>
        <w:t xml:space="preserve"> | rel. Gilmar Mendes</w:t>
      </w:r>
    </w:p>
    <w:p>
      <w:pPr>
        <w:ind w:left="288"/>
      </w:pPr>
      <w:r>
        <w:rPr>
          <w:color w:val="1E1E1E"/>
          <w:sz w:val="18"/>
        </w:rPr>
        <w:t>= HC 104.166, rel. min. Gilmar Mendes, j. 15-2-2010, 2ª T, DJE de 1º-3-2011 Vide HC 96.943, rel. min. Marco Aurélio, j. 18-5-2010, 1ª T, DJE de 4-6-2010 A multiplicidade de ações penais não constitui, por si só, obstáculo ao exercício do direito de ampla defesa do paciente. Somente é possível aferir eventual desrespeito a essa garantia constitucional diante de situação concreta.</w:t>
      </w:r>
    </w:p>
    <w:p>
      <w:pPr>
        <w:ind w:left="288"/>
      </w:pPr>
      <w:r>
        <w:rPr>
          <w:b/>
          <w:color w:val="003CA0"/>
          <w:sz w:val="16"/>
        </w:rPr>
        <w:t>[HC 91.895, rel. min. Menezes Direito, j. 1º-4-2008, 1ª T, DJE de 8-8-2008.]</w:t>
      </w:r>
    </w:p>
    <w:p>
      <w:pPr>
        <w:ind w:left="288"/>
      </w:pPr>
      <w:r>
        <w:rPr>
          <w:color w:val="8C8C8C"/>
          <w:sz w:val="12"/>
        </w:rPr>
        <w:t>cf-art-5-inc-L</w:t>
      </w:r>
      <w:r>
        <w:rPr>
          <w:color w:val="003CA0"/>
          <w:sz w:val="12"/>
        </w:rPr>
        <w:t xml:space="preserve"> | HC 92.972</w:t>
      </w:r>
      <w:r>
        <w:rPr>
          <w:color w:val="003CA0"/>
          <w:sz w:val="12"/>
        </w:rPr>
        <w:t xml:space="preserve"> | rel. Ricardo Lewandowski</w:t>
      </w:r>
    </w:p>
    <w:p>
      <w:pPr>
        <w:ind w:left="288"/>
      </w:pPr>
      <w:r>
        <w:rPr>
          <w:color w:val="1E1E1E"/>
          <w:sz w:val="18"/>
        </w:rPr>
        <w:t>Não há falar em cerceamento à ampla defesa ou ao devido processo legal quando, ao devedor de alimentos, é viabilizado o conhecimento do inteiro teor da inicial da execução e da decisão que decretou sua prisão.</w:t>
      </w:r>
    </w:p>
    <w:p>
      <w:pPr>
        <w:ind w:left="288"/>
      </w:pPr>
      <w:r>
        <w:rPr>
          <w:b/>
          <w:color w:val="003CA0"/>
          <w:sz w:val="16"/>
        </w:rPr>
        <w:t>[HC 92.972, rel. min. Ricardo Lewandowski, j. 25-3-2008, 1ª T, DJE de 18-4-2008.]</w:t>
      </w:r>
    </w:p>
    <w:p>
      <w:pPr>
        <w:ind w:left="288"/>
      </w:pPr>
      <w:r>
        <w:rPr>
          <w:color w:val="8C8C8C"/>
          <w:sz w:val="12"/>
        </w:rPr>
        <w:t>cf-art-5-inc-L</w:t>
      </w:r>
      <w:r>
        <w:rPr>
          <w:color w:val="003CA0"/>
          <w:sz w:val="12"/>
        </w:rPr>
        <w:t xml:space="preserve"> | HC 88.548</w:t>
      </w:r>
      <w:r>
        <w:rPr>
          <w:color w:val="003CA0"/>
          <w:sz w:val="12"/>
        </w:rPr>
        <w:t xml:space="preserve"> | rel. Gilmar Mendes</w:t>
      </w:r>
    </w:p>
    <w:p>
      <w:pPr>
        <w:ind w:left="288"/>
      </w:pPr>
      <w:r>
        <w:rPr>
          <w:color w:val="1E1E1E"/>
          <w:sz w:val="18"/>
        </w:rPr>
        <w:t>Citação editalícia diretamente determinada pelo juízo, à vista de anterior informação, colhida na fase de inquérito, de que o então indiciado não fora localizado em seu local de trabalho e no endereço residencial que constava de sua ficha cadastral. Constata-se que não foram esgotados todos os meios disponíveis para a citação pessoal do paciente, antes de proceder-se à citação por edital. Não se verificando a regular cientificação do acusado, com uso de todos os meios ao alcance do juízo para que fosse localizado, negou-se-lhe o direito ao interrogatório, ato classificado pela melhor doutrina,</w:t>
      </w:r>
    </w:p>
    <w:p>
      <w:pPr>
        <w:ind w:left="288"/>
      </w:pPr>
      <w:r>
        <w:rPr>
          <w:b/>
          <w:color w:val="003CA0"/>
          <w:sz w:val="16"/>
        </w:rPr>
        <w:t>[HC 88.548, rel. min. Gilmar Mendes, j. 18-3-2008, 2ª T, DJE de 26-9-2008.]</w:t>
      </w:r>
    </w:p>
    <w:p>
      <w:pPr>
        <w:ind w:left="288"/>
      </w:pPr>
      <w:r>
        <w:rPr>
          <w:color w:val="8C8C8C"/>
          <w:sz w:val="12"/>
        </w:rPr>
        <w:t>cf-art-5-inc-L</w:t>
      </w:r>
      <w:r>
        <w:rPr>
          <w:color w:val="003CA0"/>
          <w:sz w:val="12"/>
        </w:rPr>
        <w:t xml:space="preserve"> | HC 92.680</w:t>
      </w:r>
      <w:r>
        <w:rPr>
          <w:color w:val="003CA0"/>
          <w:sz w:val="12"/>
        </w:rPr>
        <w:t xml:space="preserve"> | rel. Cezar Peluso</w:t>
      </w:r>
    </w:p>
    <w:p>
      <w:pPr>
        <w:ind w:left="288"/>
      </w:pPr>
      <w:r>
        <w:rPr>
          <w:color w:val="1E1E1E"/>
          <w:sz w:val="18"/>
        </w:rPr>
        <w:t>Padece de nulidade absoluta o processo penal em que, devidamente intimado, o advogado constituído do réu deixa de apresentar alegações finais, sem que o juízo, antes de proferir sentença condenatória, lhe haja designado defensor dativo ou público para suprir a falta.</w:t>
      </w:r>
    </w:p>
    <w:p>
      <w:pPr>
        <w:ind w:left="288"/>
      </w:pPr>
      <w:r>
        <w:rPr>
          <w:b/>
          <w:color w:val="003CA0"/>
          <w:sz w:val="16"/>
        </w:rPr>
        <w:t>[HC 92.680, rel. min. Cezar Peluso, j. 11-3-2008, 2ª T, DJE de 25-4-2008.]</w:t>
      </w:r>
    </w:p>
    <w:p>
      <w:pPr>
        <w:ind w:left="288"/>
      </w:pPr>
      <w:r>
        <w:rPr>
          <w:color w:val="8C8C8C"/>
          <w:sz w:val="12"/>
        </w:rPr>
        <w:t>cf-art-5-inc-L</w:t>
      </w:r>
      <w:r>
        <w:rPr>
          <w:color w:val="003CA0"/>
          <w:sz w:val="12"/>
        </w:rPr>
        <w:t xml:space="preserve"> | HC 95.667</w:t>
      </w:r>
      <w:r>
        <w:rPr>
          <w:color w:val="003CA0"/>
          <w:sz w:val="12"/>
        </w:rPr>
        <w:t xml:space="preserve"> | rel. Ricardo Lewandowski</w:t>
      </w:r>
    </w:p>
    <w:p>
      <w:pPr>
        <w:ind w:left="288"/>
      </w:pPr>
      <w:r>
        <w:rPr>
          <w:color w:val="1E1E1E"/>
          <w:sz w:val="18"/>
        </w:rPr>
        <w:t>= HC 95.667, rel. min. Ricardo Lewandowski, j. 16-6-2010, 1ª T, DJE de 1º-7-2010 Vide HC 98.664, rel. min. Marco Aurélio, j. 23-2-2010, 1ª T, DJE de 26-3-2010 Réu não encontrado por erro no mandado. Citação editalícia. Falta de intimação de defensor público para sessão de julgamento. Nulidade. (...) A nulidade que vicia a citação pessoal do acusado, impedindo-lhe o exercício da autodefesa e de constituir defensor de sua livre escolha causa prejuízo evidente. Tal vício pode ser alegado a qualquer tempo, por tratar-se de nulidade absoluta. É imprescindível a intimação pessoal do defensor público</w:t>
      </w:r>
    </w:p>
    <w:p>
      <w:pPr>
        <w:ind w:left="288"/>
      </w:pPr>
      <w:r>
        <w:rPr>
          <w:b/>
          <w:color w:val="003CA0"/>
          <w:sz w:val="16"/>
        </w:rPr>
        <w:t>[HC 92.569, rel. min. Ricardo Lewandowski, j. 11-3-2008, 1ª T, DJE de 25-4-2008.]</w:t>
      </w:r>
    </w:p>
    <w:p>
      <w:pPr>
        <w:ind w:left="288"/>
      </w:pPr>
      <w:r>
        <w:rPr>
          <w:color w:val="8C8C8C"/>
          <w:sz w:val="12"/>
        </w:rPr>
        <w:t>cf-art-5-inc-L</w:t>
      </w:r>
      <w:r>
        <w:rPr>
          <w:color w:val="003CA0"/>
          <w:sz w:val="12"/>
        </w:rPr>
        <w:t xml:space="preserve"> | HC 86.889</w:t>
      </w:r>
      <w:r>
        <w:rPr>
          <w:color w:val="003CA0"/>
          <w:sz w:val="12"/>
        </w:rPr>
        <w:t xml:space="preserve"> | rel. Menezes Direito</w:t>
      </w:r>
    </w:p>
    <w:p>
      <w:pPr>
        <w:ind w:left="288"/>
      </w:pPr>
      <w:r>
        <w:rPr>
          <w:color w:val="1E1E1E"/>
          <w:sz w:val="18"/>
        </w:rPr>
        <w:t>Pedido de comunicação da data do julgamento para sustentação oral devidamente observado. Cerceamento de defesa não caracterizado. Não ocorre cerceamento de defesa quando o impetrante foi comunicado antecipadamente da data do julgamento do feito para sustentar oralmente as razões da impetração (art. 192, parágrafo único-A, do RISTF). Essa comunicação poderá ocorrer por qualquer meio idôneo, sem necessidade de intimação pelos meios oficiais.</w:t>
      </w:r>
    </w:p>
    <w:p>
      <w:pPr>
        <w:ind w:left="288"/>
      </w:pPr>
      <w:r>
        <w:rPr>
          <w:b/>
          <w:color w:val="003CA0"/>
          <w:sz w:val="16"/>
        </w:rPr>
        <w:t>[HC 86.889 ED, rel. min. Menezes Direito, j. 11-3-2008, 1ª T, DJE de 11-4-2008.]</w:t>
      </w:r>
    </w:p>
    <w:p>
      <w:pPr>
        <w:ind w:left="288"/>
      </w:pPr>
      <w:r>
        <w:rPr>
          <w:color w:val="8C8C8C"/>
          <w:sz w:val="12"/>
        </w:rPr>
        <w:t>cf-art-5-inc-L</w:t>
      </w:r>
      <w:r>
        <w:rPr>
          <w:color w:val="003CA0"/>
          <w:sz w:val="12"/>
        </w:rPr>
        <w:t xml:space="preserve"> | HC 92.498</w:t>
      </w:r>
      <w:r>
        <w:rPr>
          <w:color w:val="003CA0"/>
          <w:sz w:val="12"/>
        </w:rPr>
        <w:t xml:space="preserve"> | rel. Ricardo Lewandowski</w:t>
      </w:r>
    </w:p>
    <w:p>
      <w:pPr>
        <w:ind w:left="288"/>
      </w:pPr>
      <w:r>
        <w:rPr>
          <w:color w:val="1E1E1E"/>
          <w:sz w:val="18"/>
        </w:rPr>
        <w:t>A jurisprudência da Casa é no sentido de que a intimação nos tribunais superiores se dá, em regra, por meio de publicação na imprensa oficial. (...) Registre-se que apenas a decisão correspondente à sentença é que deve ser objeto de intimação pessoal do advogado, podendo ela ser feita por outras vias, nas demais hipóteses. A eventual incúria ou engano de patrono anterior, devidamente intimado da decisão pelo DJ (...), à evidência, não é causa de nulidade.</w:t>
      </w:r>
    </w:p>
    <w:p>
      <w:pPr>
        <w:ind w:left="288"/>
      </w:pPr>
      <w:r>
        <w:rPr>
          <w:b/>
          <w:color w:val="003CA0"/>
          <w:sz w:val="16"/>
        </w:rPr>
        <w:t>[HC 92.498, voto do rel. min. Ricardo Lewandowski, j. 4-3-2008, 1ª T, DJE de 28-3-2008.]</w:t>
      </w:r>
    </w:p>
    <w:p>
      <w:pPr>
        <w:ind w:left="288"/>
      </w:pPr>
      <w:r>
        <w:rPr>
          <w:color w:val="8C8C8C"/>
          <w:sz w:val="12"/>
        </w:rPr>
        <w:t>cf-art-5-inc-L</w:t>
      </w:r>
      <w:r>
        <w:rPr>
          <w:color w:val="003CA0"/>
          <w:sz w:val="12"/>
        </w:rPr>
        <w:t xml:space="preserve"> | HC 101.643</w:t>
      </w:r>
      <w:r>
        <w:rPr>
          <w:color w:val="003CA0"/>
          <w:sz w:val="12"/>
        </w:rPr>
        <w:t xml:space="preserve"> | rel. Dias Tofolli</w:t>
      </w:r>
    </w:p>
    <w:p>
      <w:pPr>
        <w:ind w:left="288"/>
      </w:pPr>
      <w:r>
        <w:rPr>
          <w:color w:val="1E1E1E"/>
          <w:sz w:val="18"/>
        </w:rPr>
        <w:t>= HC 101.643, rel. min. Dias Tofolli, j. 28-9-2010, 1ª T, DJE de 30-11-2010 Ofensa às regras do contraditório e da ampla defesa, elementares do devido processo legal. (...) No processo criminal, a sustentação oral do representante do Ministério Público, sobretudo quando seja recorrente único, deve sempre preceder à da defesa, sob pena de nulidade do julgamento.</w:t>
      </w:r>
    </w:p>
    <w:p>
      <w:pPr>
        <w:ind w:left="288"/>
      </w:pPr>
      <w:r>
        <w:rPr>
          <w:b/>
          <w:color w:val="003CA0"/>
          <w:sz w:val="16"/>
        </w:rPr>
        <w:t>[HC 87.926, rel. min. Cezar Peluso, j. 20-2-2008, P, DJE de 25-4-2008.]</w:t>
      </w:r>
    </w:p>
    <w:p>
      <w:pPr>
        <w:ind w:left="288"/>
      </w:pPr>
      <w:r>
        <w:rPr>
          <w:color w:val="8C8C8C"/>
          <w:sz w:val="12"/>
        </w:rPr>
        <w:t>cf-art-5-inc-L</w:t>
      </w:r>
      <w:r>
        <w:rPr>
          <w:color w:val="003CA0"/>
          <w:sz w:val="12"/>
        </w:rPr>
        <w:t xml:space="preserve"> | HC 102.732</w:t>
      </w:r>
      <w:r>
        <w:rPr>
          <w:color w:val="003CA0"/>
          <w:sz w:val="12"/>
        </w:rPr>
        <w:t xml:space="preserve"> | rel. Marco Aurélio</w:t>
      </w:r>
    </w:p>
    <w:p>
      <w:pPr>
        <w:ind w:left="288"/>
      </w:pPr>
      <w:r>
        <w:rPr>
          <w:color w:val="1E1E1E"/>
          <w:sz w:val="18"/>
        </w:rPr>
        <w:t>Vide HC 102.732, rel. min. Marco Aurélio, j. 4-3-2010, P, DJE de 7-5-2010 Vide HC 97.293, rel. min. Cármen Lúcia, j. 16-6-2009, 1ª T, DJE de 16-4-2010 Vide ADI 1.127, rel. min. Marco Aurélio, red. do ac. min. Ricardo Lewandowski, j. 17-5-2006, P, DJE de 11-6-2010 Não pode o TCU, sob fundamento ou pretexto algum, anular ascensão funcional de servidor operada e aprovada há mais de cinco anos, sobretudo em procedimento que lhe não assegura o contraditório e a ampla defesa.</w:t>
      </w:r>
    </w:p>
    <w:p>
      <w:pPr>
        <w:ind w:left="288"/>
      </w:pPr>
      <w:r>
        <w:rPr>
          <w:b/>
          <w:color w:val="003CA0"/>
          <w:sz w:val="16"/>
        </w:rPr>
        <w:t>[MS 26.560, rel. min. Cezar Peluso, j. 17-12-2007, P, DJE de 22-2-2008.]</w:t>
      </w:r>
    </w:p>
    <w:p>
      <w:pPr>
        <w:ind w:left="288"/>
      </w:pPr>
      <w:r>
        <w:rPr>
          <w:color w:val="8C8C8C"/>
          <w:sz w:val="12"/>
        </w:rPr>
        <w:t>cf-art-5-inc-L</w:t>
      </w:r>
      <w:r>
        <w:rPr>
          <w:color w:val="003CA0"/>
          <w:sz w:val="12"/>
        </w:rPr>
        <w:t xml:space="preserve"> | MS 26.237</w:t>
      </w:r>
      <w:r>
        <w:rPr>
          <w:color w:val="003CA0"/>
          <w:sz w:val="12"/>
        </w:rPr>
        <w:t xml:space="preserve"> | rel. Dias Toffoli</w:t>
      </w:r>
    </w:p>
    <w:p>
      <w:pPr>
        <w:ind w:left="288"/>
      </w:pPr>
      <w:r>
        <w:rPr>
          <w:color w:val="1E1E1E"/>
          <w:sz w:val="18"/>
        </w:rPr>
        <w:t>= MS 26.237 AgR, rel. min. Dias Toffoli, j. 21-8-2012, 1ª T, DJE de 6-9-2012 Havendo requerimento expresso do impetrante quanto à comunicação da data do julgamento de habeas corpus, para o fim de sustentação oral das razões do writ, deve a Corte Superior de Justiça adotar procedimento capaz de permitir o uso de tal instrumento de defesa. Segundo orientação jurisprudencial desta nossa Turma, tal procedimento consiste na divulgação, no endereço oficial do STJ na internet, da provável data do julgamento, com antecedência mínima de 48 horas. Isso, é claro, na falta de ciência dos impetrantes por o</w:t>
      </w:r>
    </w:p>
    <w:p>
      <w:pPr>
        <w:ind w:left="288"/>
      </w:pPr>
      <w:r>
        <w:rPr>
          <w:b/>
          <w:color w:val="003CA0"/>
          <w:sz w:val="16"/>
        </w:rPr>
        <w:t>[HC 92.253, rel. min. Ayres Britto, j. 27-11-2007, 1ª T, DJ de 14-12-2007.]</w:t>
      </w:r>
    </w:p>
    <w:p>
      <w:pPr>
        <w:ind w:left="288"/>
      </w:pPr>
      <w:r>
        <w:rPr>
          <w:color w:val="8C8C8C"/>
          <w:sz w:val="12"/>
        </w:rPr>
        <w:t>cf-art-5-inc-L</w:t>
      </w:r>
      <w:r>
        <w:rPr>
          <w:color w:val="003CA0"/>
          <w:sz w:val="12"/>
        </w:rPr>
        <w:t xml:space="preserve"> | HC 84.223</w:t>
      </w:r>
      <w:r>
        <w:rPr>
          <w:color w:val="003CA0"/>
          <w:sz w:val="12"/>
        </w:rPr>
        <w:t xml:space="preserve"> | rel. Eros Grau</w:t>
      </w:r>
    </w:p>
    <w:p>
      <w:pPr>
        <w:ind w:left="288"/>
      </w:pPr>
      <w:r>
        <w:rPr>
          <w:color w:val="1E1E1E"/>
          <w:sz w:val="18"/>
        </w:rPr>
        <w:t>Vide HC 84.223 ED, rel. min. Eros Grau, j. 14-9-2004, 1ª T, DJE de 23-10-2009 Processo penal. Interrogatório. Assistência técnica. A exigência de defesa técnica para observância do devido processo legal impõe a presença do profissional da advocacia na audiência de interrogatório do acusado. Não bastasse o disposto no art.  261 do CPP, a Lei 10.792/2003 apenas explicitou a formalidade de cunho nitidamente constitucional – art. 5º, LV, da Carta Federal.</w:t>
      </w:r>
    </w:p>
    <w:p>
      <w:pPr>
        <w:ind w:left="288"/>
      </w:pPr>
      <w:r>
        <w:rPr>
          <w:b/>
          <w:color w:val="003CA0"/>
          <w:sz w:val="16"/>
        </w:rPr>
        <w:t>[RE 459.518, rel. min. Marco Aurélio, j. 23-10-2007, 1ª T, DJ de 1º-2-2008.]</w:t>
      </w:r>
    </w:p>
    <w:p>
      <w:pPr>
        <w:ind w:left="288"/>
      </w:pPr>
      <w:r>
        <w:rPr>
          <w:color w:val="8C8C8C"/>
          <w:sz w:val="12"/>
        </w:rPr>
        <w:t>cf-art-5-inc-L</w:t>
      </w:r>
      <w:r>
        <w:rPr>
          <w:color w:val="003CA0"/>
          <w:sz w:val="12"/>
        </w:rPr>
        <w:t xml:space="preserve"> | HC 90.828</w:t>
      </w:r>
      <w:r>
        <w:rPr>
          <w:color w:val="003CA0"/>
          <w:sz w:val="12"/>
        </w:rPr>
        <w:t xml:space="preserve"> | rel. Ricardo Lewandowski</w:t>
      </w:r>
    </w:p>
    <w:p>
      <w:pPr>
        <w:ind w:left="288"/>
      </w:pPr>
      <w:r>
        <w:rPr>
          <w:color w:val="1E1E1E"/>
          <w:sz w:val="18"/>
        </w:rPr>
        <w:t>A intimação do julgamento em segundo grau, com três dias de antecedência, é suficiente para que a defesa tome as providências que entender necessárias, inocorrendo a alegada violação ao princípio da razoabilidade. Tendo sido examinada na peça subscrita pelos advogados na sessão de julgamento, não há que se falar em ausência de defesa técnica.</w:t>
      </w:r>
    </w:p>
    <w:p>
      <w:pPr>
        <w:ind w:left="288"/>
      </w:pPr>
      <w:r>
        <w:rPr>
          <w:b/>
          <w:color w:val="003CA0"/>
          <w:sz w:val="16"/>
        </w:rPr>
        <w:t>[HC 90.828, rel. min. Ricardo Lewandowski, j. 23-10-2007, P, DJ de 30-11-2007.]</w:t>
      </w:r>
    </w:p>
    <w:p>
      <w:pPr>
        <w:ind w:left="288"/>
      </w:pPr>
      <w:r>
        <w:rPr>
          <w:color w:val="8C8C8C"/>
          <w:sz w:val="12"/>
        </w:rPr>
        <w:t>cf-art-5-inc-L</w:t>
      </w:r>
      <w:r>
        <w:rPr>
          <w:color w:val="003CA0"/>
          <w:sz w:val="12"/>
        </w:rPr>
        <w:t xml:space="preserve"> | RE 285.495</w:t>
      </w:r>
      <w:r>
        <w:rPr>
          <w:color w:val="003CA0"/>
          <w:sz w:val="12"/>
        </w:rPr>
        <w:t xml:space="preserve"> | rel. Marco Aurélio</w:t>
      </w:r>
    </w:p>
    <w:p>
      <w:pPr>
        <w:ind w:left="288"/>
      </w:pPr>
      <w:r>
        <w:rPr>
          <w:color w:val="1E1E1E"/>
          <w:sz w:val="18"/>
        </w:rPr>
        <w:t>Uma vez aperfeiçoado o ato complexo alusivo à aposentadoria, com a homologação pelo Tribunal de Contas, a modificação dos proventos não prescinde da observação do devido processo legal, presente a medula deste último, ou seja, o contraditório.</w:t>
      </w:r>
    </w:p>
    <w:p>
      <w:pPr>
        <w:ind w:left="288"/>
      </w:pPr>
      <w:r>
        <w:rPr>
          <w:b/>
          <w:color w:val="003CA0"/>
          <w:sz w:val="16"/>
        </w:rPr>
        <w:t>[RE 285.495, rel. min. Marco Aurélio, j. 2-10-2007, 1ª T, DJ de 30-11-2007.]</w:t>
      </w:r>
    </w:p>
    <w:p>
      <w:pPr>
        <w:ind w:left="288"/>
      </w:pPr>
      <w:r>
        <w:rPr>
          <w:color w:val="8C8C8C"/>
          <w:sz w:val="12"/>
        </w:rPr>
        <w:t>cf-art-5-inc-L</w:t>
      </w:r>
      <w:r>
        <w:rPr>
          <w:color w:val="003CA0"/>
          <w:sz w:val="12"/>
        </w:rPr>
        <w:t xml:space="preserve"> | MS 24.448</w:t>
      </w:r>
      <w:r>
        <w:rPr>
          <w:color w:val="003CA0"/>
          <w:sz w:val="12"/>
        </w:rPr>
        <w:t xml:space="preserve"> | rel. Ayres Britto</w:t>
      </w:r>
    </w:p>
    <w:p>
      <w:pPr>
        <w:ind w:left="288"/>
      </w:pPr>
      <w:r>
        <w:rPr>
          <w:color w:val="1E1E1E"/>
          <w:sz w:val="18"/>
        </w:rPr>
        <w:t>Ato do TCU (...). O prazo de cinco anos é de ser aplicado aos processos de contas que tenham por objeto o exame de legalidade dos atos concessivos de aposentadorias, reformas e pensões. Transcorrido in albis o interregno quinquenal, é de se convocarem os particulares para participar do processo de seu interesse, a fim de desfrutar das garantias do contraditório e da ampla defesa (inciso LV do art. 5º).</w:t>
      </w:r>
    </w:p>
    <w:p>
      <w:pPr>
        <w:ind w:left="288"/>
      </w:pPr>
      <w:r>
        <w:rPr>
          <w:b/>
          <w:color w:val="003CA0"/>
          <w:sz w:val="16"/>
        </w:rPr>
        <w:t>[MS 24.448, rel. min. Ayres Britto, j. 27-9-2007, P, DJ de 14-11-2007.]</w:t>
      </w:r>
    </w:p>
    <w:p>
      <w:pPr>
        <w:ind w:left="288"/>
      </w:pPr>
      <w:r>
        <w:rPr>
          <w:color w:val="8C8C8C"/>
          <w:sz w:val="12"/>
        </w:rPr>
        <w:t>cf-art-5-inc-L</w:t>
      </w:r>
      <w:r>
        <w:rPr>
          <w:color w:val="003CA0"/>
          <w:sz w:val="12"/>
        </w:rPr>
        <w:t xml:space="preserve"> | HC 81.489</w:t>
      </w:r>
      <w:r>
        <w:rPr>
          <w:color w:val="003CA0"/>
          <w:sz w:val="12"/>
        </w:rPr>
        <w:t xml:space="preserve"> | rel. Cezar Peluso</w:t>
      </w:r>
    </w:p>
    <w:p>
      <w:pPr>
        <w:ind w:left="288"/>
      </w:pPr>
      <w:r>
        <w:rPr>
          <w:color w:val="1E1E1E"/>
          <w:sz w:val="18"/>
        </w:rPr>
        <w:t>O só fato de, à míngua de Defensoria Pública, criada apenas ao depois, ter sido designado defensor dativo a réu carente, sem alegação nem demonstração de prejuízo concreto à defesa, não caracteriza nulidade processual.</w:t>
      </w:r>
    </w:p>
    <w:p>
      <w:pPr>
        <w:ind w:left="288"/>
      </w:pPr>
      <w:r>
        <w:rPr>
          <w:b/>
          <w:color w:val="003CA0"/>
          <w:sz w:val="16"/>
        </w:rPr>
        <w:t>[HC 81.489, rel. min. Cezar Peluso, j. 25-9-2007, 2ª T, DJ de 23-11-2007.]</w:t>
      </w:r>
    </w:p>
    <w:p>
      <w:pPr>
        <w:ind w:left="288"/>
      </w:pPr>
      <w:r>
        <w:rPr>
          <w:color w:val="8C8C8C"/>
          <w:sz w:val="12"/>
        </w:rPr>
        <w:t>cf-art-5-inc-L</w:t>
      </w:r>
      <w:r>
        <w:rPr>
          <w:color w:val="003CA0"/>
          <w:sz w:val="12"/>
        </w:rPr>
        <w:t xml:space="preserve"> | HC 89.222</w:t>
      </w:r>
      <w:r>
        <w:rPr>
          <w:color w:val="003CA0"/>
          <w:sz w:val="12"/>
        </w:rPr>
        <w:t xml:space="preserve"> | rel. Marco Aurélio</w:t>
      </w:r>
    </w:p>
    <w:p>
      <w:pPr>
        <w:ind w:left="288"/>
      </w:pPr>
      <w:r>
        <w:rPr>
          <w:color w:val="1E1E1E"/>
          <w:sz w:val="18"/>
        </w:rPr>
        <w:t>A garantia constitucional da defesa há de ser observada sob o ângulo efetivo, e não simplesmente formal. Veiculada por estagiário, sem a presença de profissional da advocacia quer na fase de instrução, quer na de alegações finais, longe fica de atender aos ditames legais.</w:t>
      </w:r>
    </w:p>
    <w:p>
      <w:pPr>
        <w:ind w:left="288"/>
      </w:pPr>
      <w:r>
        <w:rPr>
          <w:b/>
          <w:color w:val="003CA0"/>
          <w:sz w:val="16"/>
        </w:rPr>
        <w:t>[HC 89.222, rel. min. Marco Aurélio, j. 4-9-2007, 1ª T, DJE de 31-10-2008.]</w:t>
      </w:r>
    </w:p>
    <w:p>
      <w:pPr>
        <w:ind w:left="288"/>
      </w:pPr>
      <w:r>
        <w:rPr>
          <w:color w:val="8C8C8C"/>
          <w:sz w:val="12"/>
        </w:rPr>
        <w:t>cf-art-5-inc-L</w:t>
      </w:r>
      <w:r>
        <w:rPr>
          <w:color w:val="003CA0"/>
          <w:sz w:val="12"/>
        </w:rPr>
        <w:t xml:space="preserve"> | RMS 24.188</w:t>
      </w:r>
      <w:r>
        <w:rPr>
          <w:color w:val="003CA0"/>
          <w:sz w:val="12"/>
        </w:rPr>
        <w:t xml:space="preserve"> | rel. Cezar Peluso</w:t>
      </w:r>
    </w:p>
    <w:p>
      <w:pPr>
        <w:ind w:left="288"/>
      </w:pPr>
      <w:r>
        <w:rPr>
          <w:color w:val="1E1E1E"/>
          <w:sz w:val="18"/>
        </w:rPr>
        <w:t>Não incidência do art. 5º, LV, da CF, nem do art. 49, § 3º, da Lei 8.666/1993. (...) É lícito à administração pública, com base em fatos supervenientes configuradores do interesse público, revogar motivadamente, mas sem audiência dos concorrentes habilitados, procedimento de licitação antes do início da fase de qualificação das propostas.</w:t>
      </w:r>
    </w:p>
    <w:p>
      <w:pPr>
        <w:ind w:left="288"/>
      </w:pPr>
      <w:r>
        <w:rPr>
          <w:b/>
          <w:color w:val="003CA0"/>
          <w:sz w:val="16"/>
        </w:rPr>
        <w:t>[RMS 24.188, rel. min. Cezar Peluso, j. 14-8-2007, 2ª T, DJ de 14-9-2007.]</w:t>
      </w:r>
    </w:p>
    <w:p>
      <w:pPr>
        <w:ind w:left="288"/>
      </w:pPr>
      <w:r>
        <w:rPr>
          <w:color w:val="8C8C8C"/>
          <w:sz w:val="12"/>
        </w:rPr>
        <w:t>cf-art-5-inc-L</w:t>
      </w:r>
      <w:r>
        <w:rPr>
          <w:color w:val="003CA0"/>
          <w:sz w:val="12"/>
        </w:rPr>
        <w:t xml:space="preserve"> | RE 360.037</w:t>
      </w:r>
      <w:r>
        <w:rPr>
          <w:color w:val="003CA0"/>
          <w:sz w:val="12"/>
        </w:rPr>
        <w:t xml:space="preserve"> | rel. Cezar Peluso</w:t>
      </w:r>
    </w:p>
    <w:p>
      <w:pPr>
        <w:ind w:left="288"/>
      </w:pPr>
      <w:r>
        <w:rPr>
          <w:color w:val="1E1E1E"/>
          <w:sz w:val="18"/>
        </w:rPr>
        <w:t>Não fere as garantias do contraditório, da ampla defesa, nem da motivação das decisões judiciais, a adoção, como ratio decidendi, da manifestação, a título de custos legis, do Ministério Público.</w:t>
      </w:r>
    </w:p>
    <w:p>
      <w:pPr>
        <w:ind w:left="288"/>
      </w:pPr>
      <w:r>
        <w:rPr>
          <w:b/>
          <w:color w:val="003CA0"/>
          <w:sz w:val="16"/>
        </w:rPr>
        <w:t>[RE 360.037 AgR, rel. min. Cezar Peluso, j. 7-8-2007, 2ª T, DJ de 14-9-2007.]</w:t>
      </w:r>
    </w:p>
    <w:p>
      <w:pPr>
        <w:ind w:left="288"/>
      </w:pPr>
      <w:r>
        <w:rPr>
          <w:color w:val="8C8C8C"/>
          <w:sz w:val="12"/>
        </w:rPr>
        <w:t>cf-art-5-inc-L</w:t>
      </w:r>
      <w:r>
        <w:rPr>
          <w:color w:val="003CA0"/>
          <w:sz w:val="12"/>
        </w:rPr>
        <w:t xml:space="preserve"> | HC 91.251</w:t>
      </w:r>
      <w:r>
        <w:rPr>
          <w:color w:val="003CA0"/>
          <w:sz w:val="12"/>
        </w:rPr>
        <w:t xml:space="preserve"> | rel. Cármen Lúcia</w:t>
      </w:r>
    </w:p>
    <w:p>
      <w:pPr>
        <w:ind w:left="288"/>
      </w:pPr>
      <w:r>
        <w:rPr>
          <w:color w:val="1E1E1E"/>
          <w:sz w:val="18"/>
        </w:rPr>
        <w:t>A jurisprudência do STF firmou o entendimento de que a ausência de razões da apelação e de contrarrazões à apelação do Ministério Público não é causa de nulidade por cerceamento de defesa, se o defensor constituído pelo réu foi devidamente intimado para apresentá-las.</w:t>
      </w:r>
    </w:p>
    <w:p>
      <w:pPr>
        <w:ind w:left="288"/>
      </w:pPr>
      <w:r>
        <w:rPr>
          <w:b/>
          <w:color w:val="003CA0"/>
          <w:sz w:val="16"/>
        </w:rPr>
        <w:t>[HC 91.251, rel. min. Cármen Lúcia, j. 19-6-2007, 1ª T, DJ de 17-8-2007.]</w:t>
      </w:r>
    </w:p>
    <w:p>
      <w:pPr>
        <w:ind w:left="288"/>
      </w:pPr>
      <w:r>
        <w:rPr>
          <w:color w:val="8C8C8C"/>
          <w:sz w:val="12"/>
        </w:rPr>
        <w:t>cf-art-5-inc-L</w:t>
      </w:r>
      <w:r>
        <w:rPr>
          <w:color w:val="003CA0"/>
          <w:sz w:val="12"/>
        </w:rPr>
        <w:t xml:space="preserve"> | HC 102.142</w:t>
      </w:r>
      <w:r>
        <w:rPr>
          <w:color w:val="003CA0"/>
          <w:sz w:val="12"/>
        </w:rPr>
        <w:t xml:space="preserve"> | rel. Ricardo Lewandowski</w:t>
      </w:r>
    </w:p>
    <w:p>
      <w:pPr>
        <w:ind w:left="288"/>
      </w:pPr>
      <w:r>
        <w:rPr>
          <w:color w:val="1E1E1E"/>
          <w:sz w:val="18"/>
        </w:rPr>
        <w:t>= HC 102.142, rel. min. Ricardo Lewandowski, j. 3-8-2010, 1ª T, DJE de 27-8-2010 Necessidade de notificação prévia (CPP, art. 514). É da jurisprudência do Supremo Tribunal (v.g. HC 73.099, Primeira Turma, 3-10-1995, Moreira, DJ de 17-5-1996) que o procedimento previsto nos arts. 513 e seguintes do CPP se reserva aos casos em que a denúncia veicula tão somente crimes funcionais típicos (CP, arts. 312 a 326). (...) Ao julgar o HC 85.779, Gilmar, Informativo STF 457, o Plenário do Supremo Tribunal, abandonando entendimento anterior da jurisprudência, assentou, como obter dictum, que o fato de a d</w:t>
      </w:r>
    </w:p>
    <w:p>
      <w:pPr>
        <w:ind w:left="288"/>
      </w:pPr>
      <w:r>
        <w:rPr>
          <w:b/>
          <w:color w:val="003CA0"/>
          <w:sz w:val="16"/>
        </w:rPr>
        <w:t>[HC 89.686, rel. min. Sepúlveda Pertence, j. 12-6-2007, 1ª T, DJ de 17-8-2007.]</w:t>
      </w:r>
    </w:p>
    <w:p>
      <w:pPr>
        <w:ind w:left="288"/>
      </w:pPr>
      <w:r>
        <w:rPr>
          <w:color w:val="8C8C8C"/>
          <w:sz w:val="12"/>
        </w:rPr>
        <w:t>cf-art-5-inc-L</w:t>
      </w:r>
      <w:r>
        <w:rPr>
          <w:color w:val="003CA0"/>
          <w:sz w:val="12"/>
        </w:rPr>
        <w:t xml:space="preserve"> | HC 95.969</w:t>
      </w:r>
      <w:r>
        <w:rPr>
          <w:color w:val="003CA0"/>
          <w:sz w:val="12"/>
        </w:rPr>
        <w:t xml:space="preserve"> | rel. Ricardo Lewandowski</w:t>
      </w:r>
    </w:p>
    <w:p>
      <w:pPr>
        <w:ind w:left="288"/>
      </w:pPr>
      <w:r>
        <w:rPr>
          <w:color w:val="1E1E1E"/>
          <w:sz w:val="18"/>
        </w:rPr>
        <w:t>= HC 95.969, rel. min. Ricardo Lewandowski, j. 12-5-2009, 1ª T, DJE de 12-6-2009 = HC 96.058, rel. min. Eros Grau, j. 17-3-2009, 2ª T, DJE de 14-8-2009 O instituto do autolançamento do tributo, a revelar, em última análise, a confissão do contribuinte, dispensa a notificação para ter-se a exigibilidade.</w:t>
      </w:r>
    </w:p>
    <w:p>
      <w:pPr>
        <w:ind w:left="288"/>
      </w:pPr>
      <w:r>
        <w:rPr>
          <w:b/>
          <w:color w:val="003CA0"/>
          <w:sz w:val="16"/>
        </w:rPr>
        <w:t>[AI 539.891 AgR, rel. min. Marco Aurélio, j. 22-5-2007, 1ª T, DJ de 21-9-2007.]</w:t>
      </w:r>
    </w:p>
    <w:p>
      <w:pPr>
        <w:ind w:left="288"/>
      </w:pPr>
      <w:r>
        <w:rPr>
          <w:color w:val="8C8C8C"/>
          <w:sz w:val="12"/>
        </w:rPr>
        <w:t>cf-art-5-inc-L</w:t>
      </w:r>
      <w:r>
        <w:rPr>
          <w:color w:val="003CA0"/>
          <w:sz w:val="12"/>
        </w:rPr>
        <w:t xml:space="preserve"> | AI 144.609</w:t>
      </w:r>
      <w:r>
        <w:rPr>
          <w:color w:val="003CA0"/>
          <w:sz w:val="12"/>
        </w:rPr>
        <w:t xml:space="preserve"> | rel. Maurício Corrêa</w:t>
      </w:r>
    </w:p>
    <w:p>
      <w:pPr>
        <w:ind w:left="288"/>
      </w:pPr>
      <w:r>
        <w:rPr>
          <w:color w:val="1E1E1E"/>
          <w:sz w:val="18"/>
        </w:rPr>
        <w:t>Vide AI 144.609 AgR, rel. min. Maurício Corrêa, j. 11-4-1995, 2ª T, DJ de 1º-9-1995 Inicialmente, há precedentes de ambas as Turmas do STF que denotavam o entendimento no sentido de que a sustentação oral não seria ato essencial à defesa. A jurisprudência da Corte evoluiu adotando nova orientação para as sustentações orais em sede de habeas corpus a partir da Emenda Regimental 17, de 9-2-2006. Precedentes: RHC 90.891/GO, rel. min. Cezar Peluso, Segunda Turma, unânime, julgado em 24-4-2007; e HC 84.193/MG, de minha relatoria, Segunda Turma, maioria, DJ de 11-5-2007. A rigor, seria caso de acolh</w:t>
      </w:r>
    </w:p>
    <w:p>
      <w:pPr>
        <w:ind w:left="288"/>
      </w:pPr>
      <w:r>
        <w:rPr>
          <w:b/>
          <w:color w:val="003CA0"/>
          <w:sz w:val="16"/>
        </w:rPr>
        <w:t>[HC 86.186, rel. min. Gilmar Mendes, j. 15-5-2007, P, DJ de 17-8-2007.]</w:t>
      </w:r>
    </w:p>
    <w:p>
      <w:pPr>
        <w:ind w:left="288"/>
      </w:pPr>
      <w:r>
        <w:rPr>
          <w:color w:val="8C8C8C"/>
          <w:sz w:val="12"/>
        </w:rPr>
        <w:t>cf-art-5-inc-L</w:t>
      </w:r>
      <w:r>
        <w:rPr>
          <w:color w:val="003CA0"/>
          <w:sz w:val="12"/>
        </w:rPr>
        <w:t xml:space="preserve"> | HC 92.290</w:t>
      </w:r>
      <w:r>
        <w:rPr>
          <w:color w:val="003CA0"/>
          <w:sz w:val="12"/>
        </w:rPr>
        <w:t xml:space="preserve"> | rel. Ricardo Lewandowski</w:t>
      </w:r>
    </w:p>
    <w:p>
      <w:pPr>
        <w:ind w:left="288"/>
      </w:pPr>
      <w:r>
        <w:rPr>
          <w:color w:val="1E1E1E"/>
          <w:sz w:val="18"/>
        </w:rPr>
        <w:t>= HC 92.290, rel. min. Ricardo Lewandowski, j. 30-10-2007, 1ª T, DJ de 30-11-2007 Vide HC 84.223 ED, rel. min. Eros Grau, j. 14-9-2004, 1ª T, DJE de 23-10-2009 Vide HC 81.369, rel. min. Celso de Mello, j. 12-12-2001, P, DJE de 13-2-2009 Alegada ausência de intimação dos defensores constituídos pelo acusado para o interrogatório judicial. Inocorrência. Inúmeras tentativas frustradas para a viabilização dessa intimação. Nomeação de defensor ad hoc, havendo sido garantido, inclusive, o direito de entrevista prévia e reservada (CPP, art. 185, § 5º). Inexistência de demonstração de qualquer prejuíz</w:t>
      </w:r>
    </w:p>
    <w:p>
      <w:pPr>
        <w:ind w:left="288"/>
      </w:pPr>
      <w:r>
        <w:rPr>
          <w:b/>
          <w:color w:val="003CA0"/>
          <w:sz w:val="16"/>
        </w:rPr>
        <w:t>[RHC 89.892, rel. min. Celso de Mello, j. 6-3-2007, 1ª T, DJE de 26-4-2013.]</w:t>
      </w:r>
    </w:p>
    <w:p>
      <w:pPr>
        <w:ind w:left="288"/>
      </w:pPr>
      <w:r>
        <w:rPr>
          <w:color w:val="8C8C8C"/>
          <w:sz w:val="12"/>
        </w:rPr>
        <w:t>cf-art-5-inc-L</w:t>
      </w:r>
      <w:r>
        <w:rPr>
          <w:color w:val="003CA0"/>
          <w:sz w:val="12"/>
        </w:rPr>
        <w:t xml:space="preserve"> | RHC 117.051</w:t>
      </w:r>
      <w:r>
        <w:rPr>
          <w:color w:val="003CA0"/>
          <w:sz w:val="12"/>
        </w:rPr>
        <w:t xml:space="preserve"> | rel. Luiz Fux</w:t>
      </w:r>
    </w:p>
    <w:p>
      <w:pPr>
        <w:ind w:left="288"/>
      </w:pPr>
      <w:r>
        <w:rPr>
          <w:color w:val="1E1E1E"/>
          <w:sz w:val="18"/>
        </w:rPr>
        <w:t>Vide RHC 117.051, rel. min. Luiz Fux, j. 6-5-2014, 1ª T, DJE de 23-5-2014 A mera circunstância de a parte haver exercido o direito de recorrer não basta, só por si, para justificar seja formulado, contra ela, juízo de desrespeito ao postulado da lealdade processual, nem permite que se lhe atribua, por tal motivo, a qualificação de improbus litigator, ainda mais se o recurso que deduziu foi interposto em momento anterior ao da publicação do acórdão consubstanciador do julgamento plenário do leading case. Não se presume o caráter malicioso, procrastinatório ou fraudulento da conduta processual d</w:t>
      </w:r>
    </w:p>
    <w:p>
      <w:pPr>
        <w:ind w:left="288"/>
      </w:pPr>
      <w:r>
        <w:rPr>
          <w:b/>
          <w:color w:val="003CA0"/>
          <w:sz w:val="16"/>
        </w:rPr>
        <w:t>[AI 282.333 ED, rel. min. Celso de Mello, j. 12-12-2006, 2ª T, DJE de 19-2-2010.]</w:t>
      </w:r>
    </w:p>
    <w:p>
      <w:pPr>
        <w:ind w:left="288"/>
      </w:pPr>
      <w:r>
        <w:rPr>
          <w:color w:val="8C8C8C"/>
          <w:sz w:val="12"/>
        </w:rPr>
        <w:t>cf-art-5-inc-L</w:t>
      </w:r>
      <w:r>
        <w:rPr>
          <w:color w:val="003CA0"/>
          <w:sz w:val="12"/>
        </w:rPr>
        <w:t xml:space="preserve"> | HC 89.315</w:t>
      </w:r>
      <w:r>
        <w:rPr>
          <w:color w:val="003CA0"/>
          <w:sz w:val="12"/>
        </w:rPr>
        <w:t xml:space="preserve"> | rel. Ricardo Lewandowski</w:t>
      </w:r>
    </w:p>
    <w:p>
      <w:pPr>
        <w:ind w:left="288"/>
      </w:pPr>
      <w:r>
        <w:rPr>
          <w:color w:val="1E1E1E"/>
          <w:sz w:val="18"/>
        </w:rPr>
        <w:t>A partir da edição da Lei 9.271/1996, que incluiu o § 4º ao art. 370 do CPP, os defensores nomeados, entre os quais se inclui o defensor dativo, passaram também a possuir a prerrogativa da intimação pessoal.</w:t>
      </w:r>
    </w:p>
    <w:p>
      <w:pPr>
        <w:ind w:left="288"/>
      </w:pPr>
      <w:r>
        <w:rPr>
          <w:b/>
          <w:color w:val="003CA0"/>
          <w:sz w:val="16"/>
        </w:rPr>
        <w:t>[HC 89.315, rel. min. Ricardo Lewandowski, j. 19-9-2006, 1ª T, DJ de 13-10-2006.]</w:t>
      </w:r>
    </w:p>
    <w:p>
      <w:pPr>
        <w:ind w:left="288"/>
      </w:pPr>
      <w:r>
        <w:rPr>
          <w:color w:val="8C8C8C"/>
          <w:sz w:val="12"/>
        </w:rPr>
        <w:t>cf-art-5-inc-L</w:t>
      </w:r>
      <w:r>
        <w:rPr>
          <w:color w:val="003CA0"/>
          <w:sz w:val="12"/>
        </w:rPr>
        <w:t xml:space="preserve"> | HC 91.567</w:t>
      </w:r>
      <w:r>
        <w:rPr>
          <w:color w:val="003CA0"/>
          <w:sz w:val="12"/>
        </w:rPr>
        <w:t xml:space="preserve"> | rel. Ellen Gracie</w:t>
      </w:r>
    </w:p>
    <w:p>
      <w:pPr>
        <w:ind w:left="288"/>
      </w:pPr>
      <w:r>
        <w:rPr>
          <w:color w:val="1E1E1E"/>
          <w:sz w:val="18"/>
        </w:rPr>
        <w:t>= HC 91.567, rel. min. Ellen Gracie, j. 2-9-2008, 2ª T, DJE de 26-9-2008 Vide HC 102.155, rel. min. Ayres Britto, j. 27-4-2010, 1ª T, DJE de 21-5-2010 Vide RHC 88.512, rel. min. Cezar Peluso, j. 9-3-2010, 2ª T, DJE de 23-4-2010 Vide HC 98.802, rel. min. Joaquim Barbosa, j. 20-10-2009, 2ª T, DJE de 27-11-2009 Tal como ocorre no processo penal, no processo administrativo-parlamentar por quebra de decoro parlamentar o acompanhamento dos atos e termos do processo é função ordinária do profissional da advocacia, no exercício da representação do seu cliente, quanto atua no sentido de constituir espé</w:t>
      </w:r>
    </w:p>
    <w:p>
      <w:pPr>
        <w:ind w:left="288"/>
      </w:pPr>
      <w:r>
        <w:rPr>
          <w:b/>
          <w:color w:val="003CA0"/>
          <w:sz w:val="16"/>
        </w:rPr>
        <w:t>[MS 25.917, rel. min. Gilmar Mendes, j. 1º-6-2006, P, DJ de 1º-9-2006.]</w:t>
      </w:r>
    </w:p>
    <w:p>
      <w:pPr>
        <w:ind w:left="288"/>
      </w:pPr>
      <w:r>
        <w:rPr>
          <w:color w:val="8C8C8C"/>
          <w:sz w:val="12"/>
        </w:rPr>
        <w:t>cf-art-5-inc-L</w:t>
      </w:r>
      <w:r>
        <w:rPr>
          <w:color w:val="003CA0"/>
          <w:sz w:val="12"/>
        </w:rPr>
        <w:t xml:space="preserve"> | RE 467.658</w:t>
      </w:r>
      <w:r>
        <w:rPr>
          <w:color w:val="003CA0"/>
          <w:sz w:val="12"/>
        </w:rPr>
        <w:t xml:space="preserve"> | rel. Sepúlveda Pertence</w:t>
      </w:r>
    </w:p>
    <w:p>
      <w:pPr>
        <w:ind w:left="288"/>
      </w:pPr>
      <w:r>
        <w:rPr>
          <w:color w:val="1E1E1E"/>
          <w:sz w:val="18"/>
        </w:rPr>
        <w:t>Defesa: devido processo legal e contraditório (CF, art. 5º, LIV e LV): manifesta nulidade decorrente da abertura de prazo para alegações finais antes de encerrada a instrução, tendo sido, após a apresentação delas, inquiridas outras testemunhas, sobre as quais, por isso não foi dada oportunidade à defesa para manifestar-se: demonstração de prejuízo concreto: prova impossível. Consequente anulação do processo a partir da audiência em que inquirida a última das testemunhas, abrindo-se novo prazo para requerimento de diligências e alegações finais (Lei 8.038/1990, arts. 10 e seguintes).</w:t>
      </w:r>
    </w:p>
    <w:p>
      <w:pPr>
        <w:ind w:left="288"/>
      </w:pPr>
      <w:r>
        <w:rPr>
          <w:b/>
          <w:color w:val="003CA0"/>
          <w:sz w:val="16"/>
        </w:rPr>
        <w:t>[RE 467.658, rel. min. Sepúlveda Pertence, j. 30-5-2006, 1ª T, DJ de 25-8-2006.]</w:t>
      </w:r>
    </w:p>
    <w:p>
      <w:pPr>
        <w:ind w:left="288"/>
      </w:pPr>
      <w:r>
        <w:rPr>
          <w:color w:val="8C8C8C"/>
          <w:sz w:val="12"/>
        </w:rPr>
        <w:t>cf-art-5-inc-L</w:t>
      </w:r>
      <w:r>
        <w:rPr>
          <w:color w:val="003CA0"/>
          <w:sz w:val="12"/>
        </w:rPr>
        <w:t xml:space="preserve"> | RE 426.147</w:t>
      </w:r>
      <w:r>
        <w:rPr>
          <w:color w:val="003CA0"/>
          <w:sz w:val="12"/>
        </w:rPr>
        <w:t xml:space="preserve"> | rel. Gilmar Mendes</w:t>
      </w:r>
    </w:p>
    <w:p>
      <w:pPr>
        <w:ind w:left="288"/>
      </w:pPr>
      <w:r>
        <w:rPr>
          <w:color w:val="1E1E1E"/>
          <w:sz w:val="18"/>
        </w:rPr>
        <w:t>A garantia do direito de defesa contempla, no seu âmbito de proteção, todos os processos judiciais ou administrativos.</w:t>
      </w:r>
    </w:p>
    <w:p>
      <w:pPr>
        <w:ind w:left="288"/>
      </w:pPr>
      <w:r>
        <w:rPr>
          <w:b/>
          <w:color w:val="003CA0"/>
          <w:sz w:val="16"/>
        </w:rPr>
        <w:t>[RE 426.147 AgR, rel. min. Gilmar Mendes, j. 28-3-2006, 2ª T, DJ de 5-5-2006.]</w:t>
      </w:r>
    </w:p>
    <w:p>
      <w:pPr>
        <w:ind w:left="288"/>
      </w:pPr>
      <w:r>
        <w:rPr>
          <w:color w:val="8C8C8C"/>
          <w:sz w:val="12"/>
        </w:rPr>
        <w:t>cf-art-5-inc-L</w:t>
      </w:r>
      <w:r>
        <w:rPr>
          <w:color w:val="003CA0"/>
          <w:sz w:val="12"/>
        </w:rPr>
        <w:t xml:space="preserve"> | RE 459.623</w:t>
      </w:r>
      <w:r>
        <w:rPr>
          <w:color w:val="003CA0"/>
          <w:sz w:val="12"/>
        </w:rPr>
        <w:t xml:space="preserve"> | rel. Joaquim Barbosa</w:t>
      </w:r>
    </w:p>
    <w:p>
      <w:pPr>
        <w:ind w:left="288"/>
      </w:pPr>
      <w:r>
        <w:rPr>
          <w:color w:val="1E1E1E"/>
          <w:sz w:val="18"/>
        </w:rPr>
        <w:t>Vide RE 459.623 AgR, rel. min. Joaquim Barbosa, j. 24-11-2009, 2ª T, DJE de 18-12-2009 Crimes contra o Sistema Financeiro Nacional (Lei 7.492, de 1986). Crime societário. Alegada inépcia da denúncia, por ausência de indicação da conduta individualizada dos acusados. Mudança de orientação jurisprudencial, que, no caso de crimes societários, entendia ser apta a denúncia que não individualizasse as condutas de cada indiciado, bastando a indicação de que os acusados fossem de algum modo responsáveis pela condução da sociedade comercial sob a qual foram supostamente praticados os delitos. (...) Nec</w:t>
      </w:r>
    </w:p>
    <w:p>
      <w:pPr>
        <w:ind w:left="288"/>
      </w:pPr>
      <w:r>
        <w:rPr>
          <w:b/>
          <w:color w:val="003CA0"/>
          <w:sz w:val="16"/>
        </w:rPr>
        <w:t>[HC 86.879, rel. min. Joaquim Barbosa, red. do ac. min.Gilmar Mendes, j. 21-2-2006, 2ª T, DJ de 16-6-2006.]</w:t>
      </w:r>
    </w:p>
    <w:p>
      <w:pPr>
        <w:ind w:left="288"/>
      </w:pPr>
      <w:r>
        <w:rPr>
          <w:color w:val="8C8C8C"/>
          <w:sz w:val="12"/>
        </w:rPr>
        <w:t>cf-art-5-inc-L</w:t>
      </w:r>
      <w:r>
        <w:rPr>
          <w:color w:val="003CA0"/>
          <w:sz w:val="12"/>
        </w:rPr>
        <w:t xml:space="preserve"> | HC 96.100</w:t>
      </w:r>
      <w:r>
        <w:rPr>
          <w:color w:val="003CA0"/>
          <w:sz w:val="12"/>
        </w:rPr>
        <w:t xml:space="preserve"> | rel. Cármen Lúcia</w:t>
      </w:r>
    </w:p>
    <w:p>
      <w:pPr>
        <w:ind w:left="288"/>
      </w:pPr>
      <w:r>
        <w:rPr>
          <w:color w:val="1E1E1E"/>
          <w:sz w:val="18"/>
        </w:rPr>
        <w:t>= HC 96.100, rel. min. Cármen Lúcia, j. 23-6-2009, 1ª T, DJE de 7-8-2009 A falta de recursos materiais a inviabilizar as garantias constitucionais dos acusados em processo penal é inadmissível, na medida em que implica disparidade dos meios de manifestação entre a acusação e a defesa, com graves reflexos em um dos bens mais valiosos da vida, a liberdade. A circunstância de que a paciente poderia contatar a Defensora Pública por telefone e cartas, aventada no ato impugnado, não tem a virtude de sanar a nulidade alegada, senão o intuito de contorná-la, resultando franco prejuízo à defesa, sabido</w:t>
      </w:r>
    </w:p>
    <w:p>
      <w:pPr>
        <w:ind w:left="288"/>
      </w:pPr>
      <w:r>
        <w:rPr>
          <w:b/>
          <w:color w:val="003CA0"/>
          <w:sz w:val="16"/>
        </w:rPr>
        <w:t>[HC 85.200, rel. min. Eros Grau, j. 8-11-2005, 1ª T, DJ de 3-2-2006.]</w:t>
      </w:r>
    </w:p>
    <w:p>
      <w:pPr>
        <w:ind w:left="288"/>
      </w:pPr>
      <w:r>
        <w:rPr>
          <w:color w:val="8C8C8C"/>
          <w:sz w:val="12"/>
        </w:rPr>
        <w:t>cf-art-5-inc-L</w:t>
      </w:r>
      <w:r>
        <w:rPr>
          <w:color w:val="003CA0"/>
          <w:sz w:val="12"/>
        </w:rPr>
        <w:t xml:space="preserve"> | RE 201.819</w:t>
      </w:r>
      <w:r>
        <w:rPr>
          <w:color w:val="003CA0"/>
          <w:sz w:val="12"/>
        </w:rPr>
        <w:t xml:space="preserve"> | rel. Ellen Gracie</w:t>
      </w:r>
    </w:p>
    <w:p>
      <w:pPr>
        <w:ind w:left="288"/>
      </w:pPr>
      <w:r>
        <w:rPr>
          <w:color w:val="1E1E1E"/>
          <w:sz w:val="18"/>
        </w:rPr>
        <w:t>A União Brasileira de Compositores (UBC), sociedade civil sem fins lucrativos, integra a estrutura do Ecad [Escritório Central de Arrecadação e Distribuição] e, portanto, assume posição privilegiada para determinar a extensão do gozo e fruição dos direitos autorais de seus associados. A exclusão de sócio do quadro social da UBC, sem qualquer garantia de ampla defesa, do contraditório ou do devido processo constitucional, onera consideravelmente o recorrido, o qual fica impossibilitado de perceber os direitos autorais relativos à execução de suas obras. A vedação das garantias constitucionais d</w:t>
      </w:r>
    </w:p>
    <w:p>
      <w:pPr>
        <w:ind w:left="288"/>
      </w:pPr>
      <w:r>
        <w:rPr>
          <w:b/>
          <w:color w:val="003CA0"/>
          <w:sz w:val="16"/>
        </w:rPr>
        <w:t>[RE 201.819, rel. min. Ellen Gracie, red. do ac. min. Gilmar Mendes, j. 11-10-2005, 2ª T, DJ de 27-10-2006.]</w:t>
      </w:r>
    </w:p>
    <w:p>
      <w:pPr>
        <w:ind w:left="288"/>
      </w:pPr>
      <w:r>
        <w:rPr>
          <w:color w:val="8C8C8C"/>
          <w:sz w:val="12"/>
        </w:rPr>
        <w:t>cf-art-5-inc-L</w:t>
      </w:r>
      <w:r>
        <w:rPr>
          <w:color w:val="003CA0"/>
          <w:sz w:val="12"/>
        </w:rPr>
        <w:t xml:space="preserve"> | RHC 85.512</w:t>
      </w:r>
      <w:r>
        <w:rPr>
          <w:color w:val="003CA0"/>
          <w:sz w:val="12"/>
        </w:rPr>
        <w:t xml:space="preserve"> | rel. Carlos Velloso</w:t>
      </w:r>
    </w:p>
    <w:p>
      <w:pPr>
        <w:ind w:left="288"/>
      </w:pPr>
      <w:r>
        <w:rPr>
          <w:color w:val="1E1E1E"/>
          <w:sz w:val="18"/>
        </w:rPr>
        <w:t>A apresentação de memoriais não constitui ato essencial à defesa. É faculdade concedida às partes, que dela se utilizam ou não. Todavia, se o relator do habeas corpus defere pedido de vista do defensor, no qual esse manifesta, expressamente, o desejo de apresentar memoriais, o julgamento do writ antes da publicação do despacho e da retirada dos autos pelo advogado, impedindo a possibilidade da apresentação dos memoriais, constitui cerceamento de defesa.</w:t>
      </w:r>
    </w:p>
    <w:p>
      <w:pPr>
        <w:ind w:left="288"/>
      </w:pPr>
      <w:r>
        <w:rPr>
          <w:b/>
          <w:color w:val="003CA0"/>
          <w:sz w:val="16"/>
        </w:rPr>
        <w:t>[RHC 85.512, rel. min. Carlos Velloso, j. 16-8-2005, 1ª T, DJ de 23-9-2005.]</w:t>
      </w:r>
    </w:p>
    <w:p>
      <w:pPr>
        <w:ind w:left="288"/>
      </w:pPr>
      <w:r>
        <w:rPr>
          <w:color w:val="8C8C8C"/>
          <w:sz w:val="12"/>
        </w:rPr>
        <w:t>cf-art-5-inc-L</w:t>
      </w:r>
      <w:r>
        <w:rPr>
          <w:color w:val="003CA0"/>
          <w:sz w:val="12"/>
        </w:rPr>
        <w:t xml:space="preserve"> | HC 85.239</w:t>
      </w:r>
      <w:r>
        <w:rPr>
          <w:color w:val="003CA0"/>
          <w:sz w:val="12"/>
        </w:rPr>
        <w:t xml:space="preserve"> | rel. Gilmar Mendes</w:t>
      </w:r>
    </w:p>
    <w:p>
      <w:pPr>
        <w:ind w:left="288"/>
      </w:pPr>
      <w:r>
        <w:rPr>
          <w:color w:val="1E1E1E"/>
          <w:sz w:val="18"/>
        </w:rPr>
        <w:t>Dúvida sobre a tempestividade do desejo de apelar manifestado pelo próprio condenado. Inércia do defensor dativo. Ofensa ao princípio da ampla defesa. Prevalência da interpretação mais favorável ao réu.</w:t>
      </w:r>
    </w:p>
    <w:p>
      <w:pPr>
        <w:ind w:left="288"/>
      </w:pPr>
      <w:r>
        <w:rPr>
          <w:b/>
          <w:color w:val="003CA0"/>
          <w:sz w:val="16"/>
        </w:rPr>
        <w:t>[HC 85.239, rel. min. Gilmar Mendes, j. 22-2-2005, 1ª T, DJ de 8-4-2005.]</w:t>
      </w:r>
    </w:p>
    <w:p>
      <w:pPr>
        <w:ind w:left="288"/>
      </w:pPr>
      <w:r>
        <w:rPr>
          <w:color w:val="8C8C8C"/>
          <w:sz w:val="12"/>
        </w:rPr>
        <w:t>cf-art-5-inc-L</w:t>
      </w:r>
      <w:r>
        <w:rPr>
          <w:color w:val="003CA0"/>
          <w:sz w:val="12"/>
        </w:rPr>
        <w:t xml:space="preserve"> | RMS 24.699</w:t>
      </w:r>
      <w:r>
        <w:rPr>
          <w:color w:val="003CA0"/>
          <w:sz w:val="12"/>
        </w:rPr>
        <w:t xml:space="preserve"> | rel. Eros Grau</w:t>
      </w:r>
    </w:p>
    <w:p>
      <w:pPr>
        <w:ind w:left="288"/>
      </w:pPr>
      <w:r>
        <w:rPr>
          <w:color w:val="1E1E1E"/>
          <w:sz w:val="18"/>
        </w:rPr>
        <w:t xml:space="preserve">Servidor público. Processo administrativo. Demissão. Poder disciplinar. Limites de atuação do Poder Judiciário. Princípio da ampla defesa. Ato de improbidade. (...) A autoridade administrativa está autorizada a praticar atos discricionários apenas quando norma jurídica válida expressamente a ela atribuir essa livre atuação. Os atos administrativos que envolvem a aplicação de "conceitos indeterminados" estão sujeitos ao exame e controle do Poder Judiciário. O controle jurisdicional pode e deve incidir sobre os elementos do ato, à luz dos princípios que regem a atuação da Administração. (...) A </w:t>
      </w:r>
    </w:p>
    <w:p>
      <w:pPr>
        <w:ind w:left="288"/>
      </w:pPr>
      <w:r>
        <w:rPr>
          <w:b/>
          <w:color w:val="003CA0"/>
          <w:sz w:val="16"/>
        </w:rPr>
        <w:t>[RMS 24.699, rel. min. Eros Grau, j. 30-11-2004, 1ª T, DJ de 1º-7-2005.]</w:t>
      </w:r>
    </w:p>
    <w:p>
      <w:pPr>
        <w:ind w:left="288"/>
      </w:pPr>
      <w:r>
        <w:rPr>
          <w:color w:val="8C8C8C"/>
          <w:sz w:val="12"/>
        </w:rPr>
        <w:t>cf-art-5-inc-L</w:t>
      </w:r>
      <w:r>
        <w:rPr>
          <w:color w:val="003CA0"/>
          <w:sz w:val="12"/>
        </w:rPr>
        <w:t xml:space="preserve"> | RMS 24.129</w:t>
      </w:r>
      <w:r>
        <w:rPr>
          <w:color w:val="003CA0"/>
          <w:sz w:val="12"/>
        </w:rPr>
        <w:t xml:space="preserve"> | rel. Joaquim Barbosa</w:t>
      </w:r>
    </w:p>
    <w:p>
      <w:pPr>
        <w:ind w:left="288"/>
      </w:pPr>
      <w:r>
        <w:rPr>
          <w:color w:val="1E1E1E"/>
          <w:sz w:val="18"/>
        </w:rPr>
        <w:t xml:space="preserve">= RMS 24.129, rel. min. Joaquim Barbosa, j. 20-3-2012, 2ª T, DJE de 30-4-2012 A tomada de contas especial não constitui procedimento administrativo disciplinar. Ela tem por escopo a defesa da coisa pública. Busca a Corte de Contas, com tal medida, o ressarcimento pela lesão causada ao erário. A tomada de contas é procedimento administrativo, certo que a extensão da garantia do contraditório (CF, art. 5º, LV) aos procedimentos administrativos não exige a adoção da normatividade própria do processo judicial, em que é indispensável a atuação do advogado: AI 207.197 AgR/PR, min. Octavio Gallotti, </w:t>
      </w:r>
    </w:p>
    <w:p>
      <w:pPr>
        <w:ind w:left="288"/>
      </w:pPr>
      <w:r>
        <w:rPr>
          <w:b/>
          <w:color w:val="003CA0"/>
          <w:sz w:val="16"/>
        </w:rPr>
        <w:t>[MS 24.961, rel. min. Carlos Velloso, j. 24-11-2004, P, DJ de 4-3-2005.]</w:t>
      </w:r>
    </w:p>
    <w:p>
      <w:pPr>
        <w:ind w:left="288"/>
      </w:pPr>
      <w:r>
        <w:rPr>
          <w:color w:val="8C8C8C"/>
          <w:sz w:val="12"/>
        </w:rPr>
        <w:t>cf-art-5-inc-L</w:t>
      </w:r>
      <w:r>
        <w:rPr>
          <w:color w:val="003CA0"/>
          <w:sz w:val="12"/>
        </w:rPr>
        <w:t xml:space="preserve"> | MS 25.643</w:t>
      </w:r>
      <w:r>
        <w:rPr>
          <w:color w:val="003CA0"/>
          <w:sz w:val="12"/>
        </w:rPr>
        <w:t xml:space="preserve"> | rel. Ricardo Lewandowski</w:t>
      </w:r>
    </w:p>
    <w:p>
      <w:pPr>
        <w:ind w:left="288"/>
      </w:pPr>
      <w:r>
        <w:rPr>
          <w:color w:val="1E1E1E"/>
          <w:sz w:val="18"/>
        </w:rPr>
        <w:t>= MS 25.643, rel. min. Ricardo Lewandowski, j. 2-8-2011, 1ª T, DJE de 26-8-2011 Denúncia: cabimento, com base em elementos de informação colhidos em auditoria do Tribunal de Contas, sem que a estes – como também sucede com os colhidos em inquérito policial – caiba opor, para esse fim, a inobservância da garantia ao contraditório.</w:t>
      </w:r>
    </w:p>
    <w:p>
      <w:pPr>
        <w:ind w:left="288"/>
      </w:pPr>
      <w:r>
        <w:rPr>
          <w:b/>
          <w:color w:val="003CA0"/>
          <w:sz w:val="16"/>
        </w:rPr>
        <w:t>[Inq 1.070, rel. min. Sepúlveda Pertence, j. 24-11-2004, 1ª T, DJ de 1º-7-2005.]</w:t>
      </w:r>
    </w:p>
    <w:p>
      <w:pPr>
        <w:ind w:left="288"/>
      </w:pPr>
      <w:r>
        <w:rPr>
          <w:color w:val="8C8C8C"/>
          <w:sz w:val="12"/>
        </w:rPr>
        <w:t>cf-art-5-inc-L</w:t>
      </w:r>
      <w:r>
        <w:rPr>
          <w:color w:val="003CA0"/>
          <w:sz w:val="12"/>
        </w:rPr>
        <w:t xml:space="preserve"> | RE 205.260</w:t>
      </w:r>
      <w:r>
        <w:rPr>
          <w:color w:val="003CA0"/>
          <w:sz w:val="12"/>
        </w:rPr>
        <w:t xml:space="preserve"> | rel. Sepúlveda Pertence</w:t>
      </w:r>
    </w:p>
    <w:p>
      <w:pPr>
        <w:ind w:left="288"/>
      </w:pPr>
      <w:r>
        <w:rPr>
          <w:color w:val="1E1E1E"/>
          <w:sz w:val="18"/>
        </w:rPr>
        <w:t>Policial militar: processo administrativo disciplinar: validade: ampla defesa assegurada. No caso, o defensor dativo – malgrado sem contestar a materialidade do ilícito disciplinar – extrai dos testemunhos acerca das qualidades pessoais do acusado a base de sustentação do pedido de que lhe fosse imposta pena menos severa que a exclusão. Ante a evidência da responsabilidade do acusado, a postulação no vazio da absolvição pode configurar temeridade tática da defesa, da qual será lícito ao defensor furtar-se, de modo a resguardar a credibilidade da pretensão de uma penalidade menos rigorosa. Essa</w:t>
      </w:r>
    </w:p>
    <w:p>
      <w:pPr>
        <w:ind w:left="288"/>
      </w:pPr>
      <w:r>
        <w:rPr>
          <w:b/>
          <w:color w:val="003CA0"/>
          <w:sz w:val="16"/>
        </w:rPr>
        <w:t>[RE 205.260, rel. min. Sepúlveda Pertence, j. 23-11-2004, 1ª T, DJ de 4-2-2005.]</w:t>
      </w:r>
    </w:p>
    <w:p>
      <w:pPr>
        <w:ind w:left="288"/>
      </w:pPr>
      <w:r>
        <w:rPr>
          <w:color w:val="8C8C8C"/>
          <w:sz w:val="12"/>
        </w:rPr>
        <w:t>cf-art-5-inc-L</w:t>
      </w:r>
      <w:r>
        <w:rPr>
          <w:color w:val="003CA0"/>
          <w:sz w:val="12"/>
        </w:rPr>
        <w:t xml:space="preserve"> | RE 378.041</w:t>
      </w:r>
      <w:r>
        <w:rPr>
          <w:color w:val="003CA0"/>
          <w:sz w:val="12"/>
        </w:rPr>
        <w:t xml:space="preserve"> | rel. Ayres Britto</w:t>
      </w:r>
    </w:p>
    <w:p>
      <w:pPr>
        <w:ind w:left="288"/>
      </w:pPr>
      <w:r>
        <w:rPr>
          <w:color w:val="1E1E1E"/>
          <w:sz w:val="18"/>
        </w:rPr>
        <w:t>O servidor público ocupante de cargo efetivo, ainda que em estágio probatório, não pode ser exonerado ad nutum, com base em decreto que declara a desnecessidade do cargo, sob pena de ofensa à garantia do devido processo legal, do contraditório e da ampla defesa. Incidência da Súmula 21/STF.</w:t>
      </w:r>
    </w:p>
    <w:p>
      <w:pPr>
        <w:ind w:left="288"/>
      </w:pPr>
      <w:r>
        <w:rPr>
          <w:b/>
          <w:color w:val="003CA0"/>
          <w:sz w:val="16"/>
        </w:rPr>
        <w:t>[RE 378.041, rel. min. Ayres Britto, j. 21-9-2004, 1ª T, DJ de 11-2-2005.]</w:t>
      </w:r>
    </w:p>
    <w:p>
      <w:pPr>
        <w:ind w:left="288"/>
      </w:pPr>
      <w:r>
        <w:rPr>
          <w:color w:val="8C8C8C"/>
          <w:sz w:val="12"/>
        </w:rPr>
        <w:t>cf-art-5-inc-L</w:t>
      </w:r>
      <w:r>
        <w:rPr>
          <w:color w:val="003CA0"/>
          <w:sz w:val="12"/>
        </w:rPr>
        <w:t xml:space="preserve"> | AI 623.854</w:t>
      </w:r>
      <w:r>
        <w:rPr>
          <w:color w:val="003CA0"/>
          <w:sz w:val="12"/>
        </w:rPr>
        <w:t xml:space="preserve"> | rel. Cármen Lúcia</w:t>
      </w:r>
    </w:p>
    <w:p>
      <w:pPr>
        <w:ind w:left="288"/>
      </w:pPr>
      <w:r>
        <w:rPr>
          <w:color w:val="1E1E1E"/>
          <w:sz w:val="18"/>
        </w:rPr>
        <w:t>= AI 623.854 AgR, rel. min. Cármen Lúcia, j. 25-8-2009, 1ª T, DJE de 23-10-2009 Vide RE 223.904, rel. min. Ellen Gracie, j. 8-6-2004, 2ª T, DJ de 6-8-2004 Vide RE 222.532, rel. min. Sepúlveda Pertence, j. 8-8-2000, 1ª T, DJ de 1º-9-2000 A garantia constitucional da ampla defesa tem, por força direta da Constituição, um conteúdo mínimo, que independe da interpretação da lei ordinária que a discipline (RE 255.397, Primeira Turma, Pertence, DJ de 7-5-2004). (...) Não há afronta à garantia da ampla defesa no indeferimento de prova desnecessária ou irrelevante.</w:t>
      </w:r>
    </w:p>
    <w:p>
      <w:pPr>
        <w:ind w:left="288"/>
      </w:pPr>
      <w:r>
        <w:rPr>
          <w:b/>
          <w:color w:val="003CA0"/>
          <w:sz w:val="16"/>
        </w:rPr>
        <w:t>[RE 345.580, rel. min. Sepúlveda Pertence, j. 17-8-2004, 1ª T, DJ de 10-9-2004.]</w:t>
      </w:r>
    </w:p>
    <w:p>
      <w:pPr>
        <w:ind w:left="288"/>
      </w:pPr>
      <w:r>
        <w:rPr>
          <w:color w:val="8C8C8C"/>
          <w:sz w:val="12"/>
        </w:rPr>
        <w:t>cf-art-5-inc-L</w:t>
      </w:r>
      <w:r>
        <w:rPr>
          <w:color w:val="003CA0"/>
          <w:sz w:val="12"/>
        </w:rPr>
        <w:t xml:space="preserve"> | RHC 96.433</w:t>
      </w:r>
      <w:r>
        <w:rPr>
          <w:color w:val="003CA0"/>
          <w:sz w:val="12"/>
        </w:rPr>
        <w:t xml:space="preserve"> | rel. Cármen Lúcia</w:t>
      </w:r>
    </w:p>
    <w:p>
      <w:pPr>
        <w:ind w:left="288"/>
      </w:pPr>
      <w:r>
        <w:rPr>
          <w:color w:val="1E1E1E"/>
          <w:sz w:val="18"/>
        </w:rPr>
        <w:t>= RHC 96.433, rel. min. Cármen Lúcia, j. 20-10-2009, 1ª T, DJE de 20-11-2009 = HC 95.983, rel. min. Eros Grau, j. 3-2-2009, 2ª T, DJE de 20-3-2009 = HC 89.766, rel. min. Ayres Britto, j. 25-3-2008, 1ª T, DJE de 26-9-2008 Inaplicabilidade da garantia constitucional do contraditório e da ampla defesa ao inquérito policial, que não é processo, porque não destinado a decidir litígio algum, ainda que na esfera administrativa; existência, não obstante, de direitos fundamentais do indiciado no curso do inquérito, entre os quais o de fazer-se assistir por advogado, o de não se incriminar e o de manter</w:t>
      </w:r>
    </w:p>
    <w:p>
      <w:pPr>
        <w:ind w:left="288"/>
      </w:pPr>
      <w:r>
        <w:rPr>
          <w:b/>
          <w:color w:val="003CA0"/>
          <w:sz w:val="16"/>
        </w:rPr>
        <w:t>[HC 82.354, rel. min. Sepúlveda Pertence, j. 10-8-2004, 1ª T, DJ de 24-9-2004.]</w:t>
      </w:r>
    </w:p>
    <w:p>
      <w:pPr>
        <w:ind w:left="288"/>
      </w:pPr>
      <w:r>
        <w:rPr>
          <w:color w:val="8C8C8C"/>
          <w:sz w:val="12"/>
        </w:rPr>
        <w:t>cf-art-5-inc-L</w:t>
      </w:r>
      <w:r>
        <w:rPr>
          <w:color w:val="003CA0"/>
          <w:sz w:val="12"/>
        </w:rPr>
        <w:t xml:space="preserve"> | RE 481.955</w:t>
      </w:r>
      <w:r>
        <w:rPr>
          <w:color w:val="003CA0"/>
          <w:sz w:val="12"/>
        </w:rPr>
        <w:t xml:space="preserve"> | rel. Cármen Lúcia</w:t>
      </w:r>
    </w:p>
    <w:p>
      <w:pPr>
        <w:ind w:left="288"/>
      </w:pPr>
      <w:r>
        <w:rPr>
          <w:color w:val="1E1E1E"/>
          <w:sz w:val="18"/>
        </w:rPr>
        <w:t>Vide RE 481.955 AgR, rel. min. Cármen Lúcia, j. 10-5-2011, 1ª T, DJE de 26-5-2011 A entrega de processo em setor administrativo do Ministério Público, formalizada a carga pelo servidor, configura intimação direta, pessoal, cabendo tomar a data em que ocorrida como a da ciência da decisão judicial. Imprópria é a prática da colocação do processo em prateleira e a retirada à livre discrição do membro do Ministério Público, oportunidade na qual, de forma juridicamente irrelevante, apõe o "ciente", com a finalidade de, somente então, considerar-se intimado e em curso o prazo recursal.</w:t>
      </w:r>
    </w:p>
    <w:p>
      <w:pPr>
        <w:ind w:left="288"/>
      </w:pPr>
      <w:r>
        <w:rPr>
          <w:b/>
          <w:color w:val="003CA0"/>
          <w:sz w:val="16"/>
        </w:rPr>
        <w:t>[HC 83.255, rel. min. Marco Aurélio, j. 5-11-2003, P, DJ de 12-3-2004.]</w:t>
      </w:r>
    </w:p>
    <w:p>
      <w:pPr>
        <w:ind w:left="288"/>
      </w:pPr>
      <w:r>
        <w:rPr>
          <w:color w:val="8C8C8C"/>
          <w:sz w:val="12"/>
        </w:rPr>
        <w:t>cf-art-5-inc-L</w:t>
      </w:r>
      <w:r>
        <w:rPr>
          <w:color w:val="003CA0"/>
          <w:sz w:val="12"/>
        </w:rPr>
        <w:t xml:space="preserve"> | HC 94.815</w:t>
      </w:r>
      <w:r>
        <w:rPr>
          <w:color w:val="003CA0"/>
          <w:sz w:val="12"/>
        </w:rPr>
        <w:t xml:space="preserve"> | rel. Joaquim Barbosa</w:t>
      </w:r>
    </w:p>
    <w:p>
      <w:pPr>
        <w:ind w:left="288"/>
      </w:pPr>
      <w:r>
        <w:rPr>
          <w:color w:val="1E1E1E"/>
          <w:sz w:val="18"/>
        </w:rPr>
        <w:t>= HC 94.815, rel. min. Joaquim Barbosa, j. 4-8-2009, 2ª T, DJE de 18-9-2009 Vide AI 661.622 AgR-AgR, rel. min. Cármen Lúcia, j. 28-10-2008, 2ª T, DJE de 19-12-2008 O inquérito policial é peça meramente informativa, não suscetível de contraditório, e sua eventual irregularidade não é motivo para decretação de nulidade da ação penal.</w:t>
      </w:r>
    </w:p>
    <w:p>
      <w:pPr>
        <w:ind w:left="288"/>
      </w:pPr>
      <w:r>
        <w:rPr>
          <w:b/>
          <w:color w:val="003CA0"/>
          <w:sz w:val="16"/>
        </w:rPr>
        <w:t>[HC 83.233, rel. min. Nelson Jobim, j. 4-11-2003, 2ª T, DJ de 19-3-2004.]</w:t>
      </w:r>
    </w:p>
    <w:p>
      <w:pPr>
        <w:ind w:left="288"/>
      </w:pPr>
      <w:r>
        <w:rPr>
          <w:color w:val="8C8C8C"/>
          <w:sz w:val="12"/>
        </w:rPr>
        <w:t>cf-art-5-inc-L</w:t>
      </w:r>
      <w:r>
        <w:rPr>
          <w:color w:val="003CA0"/>
          <w:sz w:val="12"/>
        </w:rPr>
        <w:t xml:space="preserve"> | HC 99.936</w:t>
      </w:r>
      <w:r>
        <w:rPr>
          <w:color w:val="003CA0"/>
          <w:sz w:val="12"/>
        </w:rPr>
        <w:t xml:space="preserve"> | rel. Ellen Gracie</w:t>
      </w:r>
    </w:p>
    <w:p>
      <w:pPr>
        <w:ind w:left="288"/>
      </w:pPr>
      <w:r>
        <w:rPr>
          <w:color w:val="1E1E1E"/>
          <w:sz w:val="18"/>
        </w:rPr>
        <w:t>= HC 99.936, rel. min. Ellen Gracie, j. 24-11-2009, 2ª T, DJE de 11-12-2009 Ofende a garantia constitucional do contraditório fundar-se a condenação exclusivamente em testemunhos prestados no inquérito policial, sob o pretexto de não se haver provado, em juízo, que tivessem sido obtidos mediante coação.</w:t>
      </w:r>
    </w:p>
    <w:p>
      <w:pPr>
        <w:ind w:left="288"/>
      </w:pPr>
      <w:r>
        <w:rPr>
          <w:b/>
          <w:color w:val="003CA0"/>
          <w:sz w:val="16"/>
        </w:rPr>
        <w:t>[RE 287.658, rel. min. Sepúlveda Pertence, j. 16-9-2003, 1ª T, DJ de 3-10-2003.]</w:t>
      </w:r>
    </w:p>
    <w:p>
      <w:pPr>
        <w:ind w:left="288"/>
      </w:pPr>
      <w:r>
        <w:rPr>
          <w:color w:val="8C8C8C"/>
          <w:sz w:val="12"/>
        </w:rPr>
        <w:t>cf-art-5-inc-L</w:t>
      </w:r>
      <w:r>
        <w:rPr>
          <w:color w:val="003CA0"/>
          <w:sz w:val="12"/>
        </w:rPr>
        <w:t xml:space="preserve"> | AI 243.275</w:t>
      </w:r>
      <w:r>
        <w:rPr>
          <w:color w:val="003CA0"/>
          <w:sz w:val="12"/>
        </w:rPr>
        <w:t xml:space="preserve"> | rel. Nelson Jobim</w:t>
      </w:r>
    </w:p>
    <w:p>
      <w:pPr>
        <w:ind w:left="288"/>
      </w:pPr>
      <w:r>
        <w:rPr>
          <w:color w:val="1E1E1E"/>
          <w:sz w:val="18"/>
        </w:rPr>
        <w:t>Incorreção, pela simples omissão de uma consoante, na grafia do sobrenome do advogado. Circunstância que não configura nulidade do ato processual, nem mesmo sua ineficácia, vez que não se tornou impossível a identificação do processo, para efeito de intimação.</w:t>
      </w:r>
    </w:p>
    <w:p>
      <w:pPr>
        <w:ind w:left="288"/>
      </w:pPr>
      <w:r>
        <w:rPr>
          <w:b/>
          <w:color w:val="003CA0"/>
          <w:sz w:val="16"/>
        </w:rPr>
        <w:t>[AI 243.275 petição avulsa-AgR, rel. min. Nelson Jobim, red. do ac. min. Gilmar Mendes, j. 7-5-2003, P, DJ de 5-10-2007.]</w:t>
      </w:r>
    </w:p>
    <w:p>
      <w:pPr>
        <w:ind w:left="288"/>
      </w:pPr>
      <w:r>
        <w:rPr>
          <w:color w:val="8C8C8C"/>
          <w:sz w:val="12"/>
        </w:rPr>
        <w:t>cf-art-5-inc-L</w:t>
      </w:r>
      <w:r>
        <w:rPr>
          <w:color w:val="003CA0"/>
          <w:sz w:val="12"/>
        </w:rPr>
        <w:t xml:space="preserve"> | AI 765.746</w:t>
      </w:r>
      <w:r>
        <w:rPr>
          <w:color w:val="003CA0"/>
          <w:sz w:val="12"/>
        </w:rPr>
        <w:t xml:space="preserve"> | rel. Cármen Lúcia</w:t>
      </w:r>
    </w:p>
    <w:p>
      <w:pPr>
        <w:ind w:left="288"/>
      </w:pPr>
      <w:r>
        <w:rPr>
          <w:color w:val="1E1E1E"/>
          <w:sz w:val="18"/>
        </w:rPr>
        <w:t>= AI 765.746 AgR-ED-AgR, rel. min. Cármen Lúcia, j. 18-5-2010, 1ª T, DJE de 4-6-2010 = AI 635.885 ED, rel. min. Ellen Gracie, j. 20-9-2007, P, DJE de 9-11-2007 Alegação de cerceamento do exercício do direito à sustentação oral por ausência de prévia publicação da pauta de julgamento. Inocorrência. Antecedência mínima de 48 horas de publicação da pauta que foi observada no caso. Habeas corpus indeferido. A sustentação oral constitui ato essencial à defesa. A injusta frustração dessa magna prerrogativa afeta, de modo substancial, o princípio da amplitude de defesa que vem proclamado no próprio t</w:t>
      </w:r>
    </w:p>
    <w:p>
      <w:pPr>
        <w:ind w:left="288"/>
      </w:pPr>
      <w:r>
        <w:rPr>
          <w:b/>
          <w:color w:val="003CA0"/>
          <w:sz w:val="16"/>
        </w:rPr>
        <w:t>[HC 81.369, rel. min. Celso de Mello, j. 12-12-2001, P, DJE de 13-2-2009.]</w:t>
      </w:r>
    </w:p>
    <w:p>
      <w:pPr>
        <w:ind w:left="288"/>
      </w:pPr>
      <w:r>
        <w:rPr>
          <w:color w:val="8C8C8C"/>
          <w:sz w:val="12"/>
        </w:rPr>
        <w:t>cf-art-5-inc-L</w:t>
      </w:r>
      <w:r>
        <w:rPr>
          <w:color w:val="003CA0"/>
          <w:sz w:val="12"/>
        </w:rPr>
        <w:t xml:space="preserve"> | RE 585.535</w:t>
      </w:r>
      <w:r>
        <w:rPr>
          <w:color w:val="003CA0"/>
          <w:sz w:val="12"/>
        </w:rPr>
        <w:t xml:space="preserve"> | rel. Ellen Gracie</w:t>
      </w:r>
    </w:p>
    <w:p>
      <w:pPr>
        <w:ind w:left="288"/>
      </w:pPr>
      <w:r>
        <w:rPr>
          <w:color w:val="1E1E1E"/>
          <w:sz w:val="18"/>
        </w:rPr>
        <w:t xml:space="preserve">= RE 585.535 AgR, rel. min. Ellen Gracie, j. 17-12-2010, P, DJE de 4-3-2011 Vide HC 103.867 MC, rel. min. Celso de Mello, j. 23-6-2010, dec. monocrática, DJE de 29-6-2010 Há de se distinguir no processo penal duas formas de atuação do Ministério Público. A primeira como dominus litis e outra como custos legis. O promotor de justiça agiu como titular da ação penal ao oferecer denúncia e contrarrazões à apelação aviada. Já no Tribunal de Justiça do Estado de Minas Gerais e no STJ atuaram o procurador de justiça e o subprocurador-geral da República como fiscais da lei. Não há contraditório a ser </w:t>
      </w:r>
    </w:p>
    <w:p>
      <w:pPr>
        <w:ind w:left="288"/>
      </w:pPr>
      <w:r>
        <w:rPr>
          <w:b/>
          <w:color w:val="003CA0"/>
          <w:sz w:val="16"/>
        </w:rPr>
        <w:t>[HC 81.436, voto do min. Néri da Silveira, j. 11-12-2001, 2ª T, DJ de 22-2-2002.]</w:t>
      </w:r>
    </w:p>
    <w:p>
      <w:pPr>
        <w:ind w:left="288"/>
      </w:pPr>
      <w:r>
        <w:rPr>
          <w:color w:val="8C8C8C"/>
          <w:sz w:val="12"/>
        </w:rPr>
        <w:t>cf-art-5-inc-L</w:t>
      </w:r>
      <w:r>
        <w:rPr>
          <w:color w:val="003CA0"/>
          <w:sz w:val="12"/>
        </w:rPr>
        <w:t xml:space="preserve"> | RHC 107.584</w:t>
      </w:r>
      <w:r>
        <w:rPr>
          <w:color w:val="003CA0"/>
          <w:sz w:val="12"/>
        </w:rPr>
        <w:t xml:space="preserve"> | rel. Luiz Fux</w:t>
      </w:r>
    </w:p>
    <w:p>
      <w:pPr>
        <w:ind w:left="288"/>
      </w:pPr>
      <w:r>
        <w:rPr>
          <w:color w:val="1E1E1E"/>
          <w:sz w:val="18"/>
        </w:rPr>
        <w:t>= RHC 107.584, rel. min. Luiz Fux, j. 14-6-2011, 1ª T, DJE de 28-9-2011 Execução extrajudicial. Recepção, pela Constituição de 1988, do DL 70/1966. Esta Corte, em vários precedentes (assim, a título exemplificativo, nos RE 148.872, RE 223.075 e RE 240.361),  tem-se orientado no sentido de que o DL 70/1966 é compatível com a atual Constituição, não se chocando, inclusive, com o disposto nos incisos XXXV, LIV e LV do art. 5º desta, razão por que foi por ela recebido.</w:t>
      </w:r>
    </w:p>
    <w:p>
      <w:pPr>
        <w:ind w:left="288"/>
      </w:pPr>
      <w:r>
        <w:rPr>
          <w:b/>
          <w:color w:val="003CA0"/>
          <w:sz w:val="16"/>
        </w:rPr>
        <w:t>[RE 287.453, rel. min. Moreira Alves, j. 18-9-2001, 1ª T, DJ de 26-10-2001.]</w:t>
      </w:r>
    </w:p>
    <w:p>
      <w:pPr>
        <w:ind w:left="288"/>
      </w:pPr>
      <w:r>
        <w:rPr>
          <w:color w:val="8C8C8C"/>
          <w:sz w:val="12"/>
        </w:rPr>
        <w:t>cf-art-5-inc-L</w:t>
      </w:r>
      <w:r>
        <w:rPr>
          <w:color w:val="003CA0"/>
          <w:sz w:val="12"/>
        </w:rPr>
        <w:t xml:space="preserve"> | AI 663.578</w:t>
      </w:r>
      <w:r>
        <w:rPr>
          <w:color w:val="003CA0"/>
          <w:sz w:val="12"/>
        </w:rPr>
        <w:t xml:space="preserve"> | rel. Ellen Gracie</w:t>
      </w:r>
    </w:p>
    <w:p>
      <w:pPr>
        <w:ind w:left="288"/>
      </w:pPr>
      <w:r>
        <w:rPr>
          <w:color w:val="1E1E1E"/>
          <w:sz w:val="18"/>
        </w:rPr>
        <w:t>= AI 663.578 AgR, rel. min. Ellen Gracie, j. 4-8-2009, 2ª T, DJE de 28-8-2009 Esta Corte já firmou o entendimento de que a perda de graduação de praça da polícia militar, como sanção disciplinar administrativa, não se dá por meio de julgamento da Justiça Militar estadual, mas mediante processo administrativo na própria corporação, assegurando-se direito de defesa e o contraditório (...).</w:t>
      </w:r>
    </w:p>
    <w:p>
      <w:pPr>
        <w:ind w:left="288"/>
      </w:pPr>
      <w:r>
        <w:rPr>
          <w:b/>
          <w:color w:val="003CA0"/>
          <w:sz w:val="16"/>
        </w:rPr>
        <w:t>[RE 206.971, rel. min. Moreira Alves, j. 18-4-2000, 1ª T, DJ de 9-6-2000.]</w:t>
      </w:r>
    </w:p>
    <w:p>
      <w:pPr>
        <w:ind w:left="288"/>
      </w:pPr>
      <w:r>
        <w:rPr>
          <w:color w:val="8C8C8C"/>
          <w:sz w:val="12"/>
        </w:rPr>
        <w:t>cf-art-5-inc-L</w:t>
      </w:r>
      <w:r>
        <w:rPr>
          <w:color w:val="003CA0"/>
          <w:sz w:val="12"/>
        </w:rPr>
        <w:t xml:space="preserve"> | AI 760.320</w:t>
      </w:r>
      <w:r>
        <w:rPr>
          <w:color w:val="003CA0"/>
          <w:sz w:val="12"/>
        </w:rPr>
        <w:t xml:space="preserve"> | rel. Gilmar Mendes</w:t>
      </w:r>
    </w:p>
    <w:p>
      <w:pPr>
        <w:ind w:left="288"/>
      </w:pPr>
      <w:r>
        <w:rPr>
          <w:color w:val="1E1E1E"/>
          <w:sz w:val="18"/>
        </w:rPr>
        <w:t>= AI 760.320 AgR, rel. min. Gilmar Mendes, j. 1º-3-2011, 2ª T, DJE de 23-3-2011 O interessado, uma vez admitido ao processo de reclamação – e observada a fase procedimental em que este se acha –, tem o direito de ser intimado dos atos e termos processuais, assistindo-lhes, ainda, a prerrogativa de fazer sustentação oral, quando do julgamento final da causa.</w:t>
      </w:r>
    </w:p>
    <w:p>
      <w:pPr>
        <w:ind w:left="288"/>
      </w:pPr>
      <w:r>
        <w:rPr>
          <w:b/>
          <w:color w:val="003CA0"/>
          <w:sz w:val="16"/>
        </w:rPr>
        <w:t>[Rcl 449 AgR, rel. min. Celso de Mello, j. 12-12-1996, P, DJ de 21-2-1997.]</w:t>
      </w:r>
    </w:p>
    <w:p>
      <w:pPr>
        <w:ind w:left="288"/>
      </w:pPr>
      <w:r>
        <w:rPr>
          <w:color w:val="8C8C8C"/>
          <w:sz w:val="12"/>
        </w:rPr>
        <w:t>cf-art-5-inc-L</w:t>
      </w:r>
      <w:r>
        <w:rPr>
          <w:color w:val="003CA0"/>
          <w:sz w:val="12"/>
        </w:rPr>
        <w:t xml:space="preserve"> | RCL 8.478</w:t>
      </w:r>
      <w:r>
        <w:rPr>
          <w:color w:val="003CA0"/>
          <w:sz w:val="12"/>
        </w:rPr>
        <w:t xml:space="preserve"> | rel. Cármen Lúcia</w:t>
      </w:r>
    </w:p>
    <w:p>
      <w:pPr>
        <w:ind w:left="288"/>
      </w:pPr>
      <w:r>
        <w:rPr>
          <w:color w:val="1E1E1E"/>
          <w:sz w:val="18"/>
        </w:rPr>
        <w:t>= Rcl 8.478 AgR, rel. min. Cármen Lúcia, j. 1º-8-2011, P, DJE de 22-8-2011 = Rcl 3.375 AgR, rel. min. Gilmar Mendes, j. 27-9-2006, P, DJ de 19-12-2006 Não configura violência ao inciso LV do rol das garantias constitucionais decisão que, em embargos a execução, resulta no indeferimento de prova pericial, tendo em conta o fato de a cobrança do tributo resultar de autolançamento.</w:t>
      </w:r>
    </w:p>
    <w:p>
      <w:pPr>
        <w:ind w:left="288"/>
      </w:pPr>
      <w:r>
        <w:rPr>
          <w:b/>
          <w:color w:val="003CA0"/>
          <w:sz w:val="16"/>
        </w:rPr>
        <w:t>[AI 167.503 AgR, rel. min. Marco Aurélio, j. 12-3-1996, 2ª T, DJ de 26-4-1996.]</w:t>
      </w:r>
    </w:p>
    <w:p>
      <w:pPr>
        <w:ind w:left="288"/>
      </w:pPr>
      <w:r>
        <w:rPr>
          <w:color w:val="8C8C8C"/>
          <w:sz w:val="12"/>
        </w:rPr>
        <w:t>cf-art-5-inc-L</w:t>
      </w:r>
      <w:r>
        <w:rPr>
          <w:color w:val="003CA0"/>
          <w:sz w:val="12"/>
        </w:rPr>
        <w:t xml:space="preserve"> | AI 171.577</w:t>
      </w:r>
      <w:r>
        <w:rPr>
          <w:color w:val="003CA0"/>
          <w:sz w:val="12"/>
        </w:rPr>
        <w:t xml:space="preserve"> | rel. Francisco Rezek</w:t>
      </w:r>
    </w:p>
    <w:p>
      <w:pPr>
        <w:ind w:left="288"/>
      </w:pPr>
      <w:r>
        <w:rPr>
          <w:color w:val="1E1E1E"/>
          <w:sz w:val="18"/>
        </w:rPr>
        <w:t>O fato de o defensor público não ter recorrido não significa necessariamente falta de defesa, a atrair a incidência da Súmula 523.</w:t>
      </w:r>
    </w:p>
    <w:p>
      <w:pPr>
        <w:ind w:left="288"/>
      </w:pPr>
      <w:r>
        <w:rPr>
          <w:b/>
          <w:color w:val="003CA0"/>
          <w:sz w:val="16"/>
        </w:rPr>
        <w:t>[AI 171.577 AgR, rel. min. Francisco Rezek, j. 28-11-1995, 2ª T, DJ de 7-12-1995.]</w:t>
      </w:r>
    </w:p>
    <w:p>
      <w:pPr>
        <w:ind w:left="288"/>
      </w:pPr>
      <w:r>
        <w:rPr>
          <w:color w:val="8C8C8C"/>
          <w:sz w:val="12"/>
        </w:rPr>
        <w:t>cf-art-5-inc-L</w:t>
      </w:r>
      <w:r>
        <w:rPr>
          <w:color w:val="003CA0"/>
          <w:sz w:val="12"/>
        </w:rPr>
        <w:t xml:space="preserve"> | HC 72.204</w:t>
      </w:r>
      <w:r>
        <w:rPr>
          <w:color w:val="003CA0"/>
          <w:sz w:val="12"/>
        </w:rPr>
        <w:t xml:space="preserve"> | rel. Celso de Mello</w:t>
      </w:r>
    </w:p>
    <w:p>
      <w:pPr>
        <w:ind w:left="288"/>
      </w:pPr>
      <w:r>
        <w:rPr>
          <w:color w:val="1E1E1E"/>
          <w:sz w:val="18"/>
        </w:rPr>
        <w:t>O defensor público tem a prerrogativa jurídica de ser intimado, pessoalmente, de todos os atos do processo, qualquer que seja a natureza deste, sob pena de nulidade, especialmente quando a ausência da cientificação in faciem frustra o exercício do direito à sustentação oral.</w:t>
      </w:r>
    </w:p>
    <w:p>
      <w:pPr>
        <w:ind w:left="288"/>
      </w:pPr>
      <w:r>
        <w:rPr>
          <w:b/>
          <w:color w:val="003CA0"/>
          <w:sz w:val="16"/>
        </w:rPr>
        <w:t>[HC 72.204, rel. min. Celso de Mello, j. 15-8-1995, 1ª T, DJ de 24-8-2007.]</w:t>
      </w:r>
    </w:p>
    <w:p>
      <w:pPr>
        <w:ind w:left="288"/>
      </w:pPr>
      <w:r>
        <w:rPr>
          <w:color w:val="8C8C8C"/>
          <w:sz w:val="12"/>
        </w:rPr>
        <w:t>cf-art-5-inc-L</w:t>
      </w:r>
      <w:r>
        <w:rPr>
          <w:color w:val="003CA0"/>
          <w:sz w:val="12"/>
        </w:rPr>
        <w:t xml:space="preserve"> | HC 98.905</w:t>
      </w:r>
      <w:r>
        <w:rPr>
          <w:color w:val="003CA0"/>
          <w:sz w:val="12"/>
        </w:rPr>
        <w:t xml:space="preserve"> | rel. Cezar Peluso</w:t>
      </w:r>
    </w:p>
    <w:p>
      <w:pPr>
        <w:ind w:left="288"/>
      </w:pPr>
      <w:r>
        <w:rPr>
          <w:color w:val="1E1E1E"/>
          <w:sz w:val="18"/>
        </w:rPr>
        <w:t>Vide HC 98.905, rel. min. Cezar Peluso, j. 8-9-2009, 2ª T, DJE de 16-10-2009 Concurso público. Inscrição. Vida pregressa. Contraditório e ampla defesa. O que se contém no inciso LV do art. 5º da CF, a pressupor litígio ou acusação, não tem pertinência à hipótese em que analisado o atendimento de requisitos referentes à inscrição de candidato a concurso público. O levantamento ético-social dispensa o contraditório, não se podendo cogitar quer da existência de litígio, quer de acusação que vise a determinada sanção.</w:t>
      </w:r>
    </w:p>
    <w:p>
      <w:pPr>
        <w:ind w:left="288"/>
      </w:pPr>
      <w:r>
        <w:rPr>
          <w:b/>
          <w:color w:val="003CA0"/>
          <w:sz w:val="16"/>
        </w:rPr>
        <w:t>[RE 156.400, rel. min. Marco Aurélio, j. 5-6-1995, 2ª T, DJ de 15-9-1995.]</w:t>
      </w:r>
    </w:p>
    <w:p>
      <w:pPr>
        <w:ind w:left="288"/>
      </w:pPr>
      <w:r>
        <w:rPr>
          <w:color w:val="8C8C8C"/>
          <w:sz w:val="12"/>
        </w:rPr>
        <w:t>cf-art-5-inc-L</w:t>
      </w:r>
      <w:r>
        <w:rPr>
          <w:color w:val="003CA0"/>
          <w:sz w:val="12"/>
        </w:rPr>
        <w:t xml:space="preserve"> | RE 233.303</w:t>
      </w:r>
      <w:r>
        <w:rPr>
          <w:color w:val="003CA0"/>
          <w:sz w:val="12"/>
        </w:rPr>
        <w:t xml:space="preserve"> | rel. Menezes Direito</w:t>
      </w:r>
    </w:p>
    <w:p>
      <w:pPr>
        <w:ind w:left="288"/>
      </w:pPr>
      <w:r>
        <w:rPr>
          <w:color w:val="1E1E1E"/>
          <w:sz w:val="18"/>
        </w:rPr>
        <w:t>= RE 233.303, rel. min. Menezes Direito, j. 27-5-2008, 1ª T, DJE de 1º-8-2008 Em se tratando de autolançamento de débito fiscal declarado e não pago, desnecessária a instauração de procedimento administrativo para a inscrição e posterior cobrança.</w:t>
      </w:r>
    </w:p>
    <w:p>
      <w:pPr>
        <w:ind w:left="288"/>
      </w:pPr>
      <w:r>
        <w:rPr>
          <w:b/>
          <w:color w:val="003CA0"/>
          <w:sz w:val="16"/>
        </w:rPr>
        <w:t>[AI 144.609 AgR, rel. min. Maurício Corrêa, j. 11-4-1995, 2ª T, DJ de 1º-9-1995.]</w:t>
      </w:r>
    </w:p>
    <w:p>
      <w:pPr>
        <w:ind w:left="288"/>
      </w:pPr>
      <w:r>
        <w:rPr>
          <w:color w:val="8C8C8C"/>
          <w:sz w:val="12"/>
        </w:rPr>
        <w:t>cf-art-5-inc-L</w:t>
      </w:r>
      <w:r>
        <w:rPr>
          <w:color w:val="003CA0"/>
          <w:sz w:val="12"/>
        </w:rPr>
        <w:t xml:space="preserve"> | AI 767.629</w:t>
      </w:r>
      <w:r>
        <w:rPr>
          <w:color w:val="003CA0"/>
          <w:sz w:val="12"/>
        </w:rPr>
        <w:t xml:space="preserve"> | rel. Cármen Lúcia</w:t>
      </w:r>
    </w:p>
    <w:p>
      <w:pPr>
        <w:ind w:left="288"/>
      </w:pPr>
      <w:r>
        <w:rPr>
          <w:color w:val="1E1E1E"/>
          <w:sz w:val="18"/>
        </w:rPr>
        <w:t>= AI 767.629 AgR, rel. min. Cármen Lúcia, j. 8-2-2011, 1ª T, DJE de 24-3-2011 Vide AI 539.891 AgR, rel. min. Marco Aurélio, j. 22-5-2007, 1ª T, DJ de 21-9-2007 A colidência de teses defensivas é apenas invocável, como causa nullitatis, nas hipóteses em que, comprovado o efetivo prejuízo aos direitos dos réus, a defesa destes vem a ser confiada a um só defensor dativo, eis que – consoante adverte a jurisprudência do STF – "Não se configura a nulidade, se o defensor único foi livremente constituído pelos próprios acusados" (RTJ 58/858 – RTJ 59/360 – 69/52 – RTJ 88/481 – RTJ 110/95). A indisponib</w:t>
      </w:r>
    </w:p>
    <w:p>
      <w:pPr>
        <w:ind w:left="288"/>
      </w:pPr>
      <w:r>
        <w:rPr>
          <w:b/>
          <w:color w:val="003CA0"/>
          <w:sz w:val="16"/>
        </w:rPr>
        <w:t>[HC 70.600, rel. min. Celso de Mello, j. 19-4-1994, 1ª T, DJE de 21-8-2009.]</w:t>
      </w:r>
    </w:p>
    <w:p>
      <w:pPr>
        <w:ind w:left="288"/>
      </w:pPr>
      <w:r>
        <w:rPr>
          <w:color w:val="8C8C8C"/>
          <w:sz w:val="12"/>
        </w:rPr>
        <w:t>cf-art-5-inc-L</w:t>
      </w:r>
      <w:r>
        <w:rPr>
          <w:color w:val="003CA0"/>
          <w:sz w:val="12"/>
        </w:rPr>
        <w:t xml:space="preserve"> | HC 99.485</w:t>
      </w:r>
      <w:r>
        <w:rPr>
          <w:color w:val="003CA0"/>
          <w:sz w:val="12"/>
        </w:rPr>
        <w:t xml:space="preserve"> | rel. Cármen Lúcia</w:t>
      </w:r>
    </w:p>
    <w:p>
      <w:pPr>
        <w:ind w:left="288"/>
      </w:pPr>
      <w:r>
        <w:rPr>
          <w:color w:val="1E1E1E"/>
          <w:sz w:val="18"/>
        </w:rPr>
        <w:t>= HC 99.485, rel. min. Cármen Lúcia, j. 9-11-2010, 1ª T, DJE de 25-11-2010 A prova emprestada, especialmente no processo penal condenatório, tem valor precário, quando produzida sem observância do princípio constitucional do contraditório. Embora admissível, é questionável a sua eficácia jurídica. Inocorre, contudo, cerceamento de defesa, se, inobstante a existência de prova testemunhal emprestada, não foi ela a única a fundamentar a sentença de pronúncia.</w:t>
      </w:r>
    </w:p>
    <w:p>
      <w:pPr>
        <w:ind w:left="288"/>
      </w:pPr>
      <w:r>
        <w:rPr>
          <w:b/>
          <w:color w:val="003CA0"/>
          <w:sz w:val="16"/>
        </w:rPr>
        <w:t>[HC 67.707, rel. min. Celso de Mello, j. 7-11-1989, 1ª T, DJ de 14-8-1992.]</w:t>
      </w:r>
    </w:p>
    <w:p>
      <w:pPr>
        <w:ind w:left="288"/>
      </w:pPr>
      <w:r>
        <w:rPr>
          <w:color w:val="8C8C8C"/>
          <w:sz w:val="12"/>
        </w:rPr>
        <w:t>cf-art-5-inc-L</w:t>
      </w:r>
      <w:r>
        <w:rPr>
          <w:color w:val="003CA0"/>
          <w:sz w:val="12"/>
        </w:rPr>
        <w:t xml:space="preserve"> | RHC 106.398</w:t>
      </w:r>
      <w:r>
        <w:rPr>
          <w:color w:val="003CA0"/>
          <w:sz w:val="12"/>
        </w:rPr>
        <w:t xml:space="preserve"> | rel. Celso de Mello</w:t>
      </w:r>
    </w:p>
    <w:p>
      <w:pPr>
        <w:ind w:left="288"/>
      </w:pPr>
      <w:r>
        <w:rPr>
          <w:color w:val="1E1E1E"/>
          <w:sz w:val="18"/>
        </w:rPr>
        <w:t>= RHC 106.398, rel. min. Celso de Mello, j. 4-10-2011, 2ª T, DJE de 3-4-2012 = HC 95.186, rel. min. Ricardo Lewandowski, j. 26-5-2009, 1ª T, DJE de 12-6-2009 LVI - são inadmissíveis, no processo, as provas obtidas por meios ilícitos; Provas obtidas pelo Ministério Público por requisição de relatórios de inteligência financeira ou de procedimentos fiscalizatórios da Receita, sem autorização judicial e/ou sem a prévia instauração de procedimento de investigação formal.</w:t>
      </w:r>
    </w:p>
    <w:p>
      <w:pPr>
        <w:ind w:left="288"/>
      </w:pPr>
      <w:r>
        <w:rPr>
          <w:b/>
          <w:color w:val="003CA0"/>
          <w:sz w:val="16"/>
        </w:rPr>
        <w:t>[RE 1.537.165 RG, rel. min. Luís Roberto Barroso, j. 06.06.2025, P, DJE de 24.06.2025, Tema 1.404, com mérito pendente.]</w:t>
      </w:r>
    </w:p>
    <w:p>
      <w:pPr>
        <w:ind w:left="288"/>
      </w:pPr>
      <w:r>
        <w:rPr>
          <w:color w:val="8C8C8C"/>
          <w:sz w:val="12"/>
        </w:rPr>
        <w:t>cf-art-5-inc-L</w:t>
      </w:r>
      <w:r>
        <w:rPr>
          <w:color w:val="003CA0"/>
          <w:sz w:val="12"/>
        </w:rPr>
        <w:t xml:space="preserve"> | RE 1.501.524</w:t>
      </w:r>
      <w:r>
        <w:rPr>
          <w:color w:val="003CA0"/>
          <w:sz w:val="12"/>
        </w:rPr>
        <w:t xml:space="preserve"> | rel. Flávio Dino</w:t>
      </w:r>
    </w:p>
    <w:p>
      <w:pPr>
        <w:ind w:left="288"/>
      </w:pPr>
      <w:r>
        <w:rPr>
          <w:color w:val="1E1E1E"/>
          <w:sz w:val="18"/>
        </w:rPr>
        <w:t>Possibilidade de a pronúncia, e consequente submissão ao Tribunal do Júri, poder ser realizada a partir de testemunhos de “ouvir dizer” e se essa prova é lícita e valorável pelos juízes.</w:t>
      </w:r>
    </w:p>
    <w:p>
      <w:pPr>
        <w:ind w:left="288"/>
      </w:pPr>
      <w:r>
        <w:rPr>
          <w:b/>
          <w:color w:val="003CA0"/>
          <w:sz w:val="16"/>
        </w:rPr>
        <w:t>[RE 1.501.524 RG, rel. min. Flávio Dino, j. 06.05.2025, P, DJE de 09.05.2025, Tema 1.392, com mérito pendente.]</w:t>
      </w:r>
    </w:p>
    <w:p>
      <w:pPr>
        <w:ind w:left="288"/>
      </w:pPr>
      <w:r>
        <w:rPr>
          <w:color w:val="8C8C8C"/>
          <w:sz w:val="12"/>
        </w:rPr>
        <w:t>cf-art-5-inc-L</w:t>
      </w:r>
      <w:r>
        <w:rPr>
          <w:color w:val="003CA0"/>
          <w:sz w:val="12"/>
        </w:rPr>
        <w:t xml:space="preserve"> | ARE 959.620</w:t>
      </w:r>
      <w:r>
        <w:rPr>
          <w:color w:val="003CA0"/>
          <w:sz w:val="12"/>
        </w:rPr>
        <w:t xml:space="preserve"> | rel. Edson Fachin</w:t>
      </w:r>
    </w:p>
    <w:p>
      <w:pPr>
        <w:ind w:left="288"/>
      </w:pPr>
      <w:r>
        <w:rPr>
          <w:color w:val="1E1E1E"/>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w:t>
      </w:r>
    </w:p>
    <w:p>
      <w:pPr>
        <w:ind w:left="288"/>
      </w:pPr>
      <w:r>
        <w:rPr>
          <w:b/>
          <w:color w:val="003CA0"/>
          <w:sz w:val="16"/>
        </w:rPr>
        <w:t>[ARE 959.620, rel. min. Edson Fachin, j. 02.04.2025, P, DJE de 02.07.2025, Tema 998, com mérito julgado.]</w:t>
      </w:r>
    </w:p>
    <w:p>
      <w:pPr>
        <w:ind w:left="288"/>
      </w:pPr>
      <w:r>
        <w:rPr>
          <w:color w:val="8C8C8C"/>
          <w:sz w:val="12"/>
        </w:rPr>
        <w:t>cf-art-5-inc-L</w:t>
      </w:r>
      <w:r>
        <w:rPr>
          <w:color w:val="003CA0"/>
          <w:sz w:val="12"/>
        </w:rPr>
        <w:t xml:space="preserve"> | ARE 1.467.470</w:t>
      </w:r>
      <w:r>
        <w:rPr>
          <w:color w:val="003CA0"/>
          <w:sz w:val="12"/>
        </w:rPr>
        <w:t xml:space="preserve"> | rel. Luís Roberto Barroso</w:t>
      </w:r>
    </w:p>
    <w:p>
      <w:pPr>
        <w:ind w:left="288"/>
      </w:pPr>
      <w:r>
        <w:rPr>
          <w:color w:val="1E1E1E"/>
          <w:sz w:val="18"/>
        </w:rPr>
        <w:t>Validade do reconhecimento pessoal realizado em desconformidade com o art. 226 do Código de Processo Penal.</w:t>
      </w:r>
    </w:p>
    <w:p>
      <w:pPr>
        <w:ind w:left="288"/>
      </w:pPr>
      <w:r>
        <w:rPr>
          <w:b/>
          <w:color w:val="003CA0"/>
          <w:sz w:val="16"/>
        </w:rPr>
        <w:t>[ARE 1.467.470 RG, rel. min. Luís Roberto Barroso, j. 28.2.2025, P, DJE de 7.3.2025, Tema 1.380, com mérito pendente.]</w:t>
      </w:r>
    </w:p>
    <w:p>
      <w:pPr>
        <w:ind w:left="288"/>
      </w:pPr>
      <w:r>
        <w:rPr>
          <w:color w:val="8C8C8C"/>
          <w:sz w:val="12"/>
        </w:rPr>
        <w:t>cf-art-5-inc-L</w:t>
      </w:r>
      <w:r>
        <w:rPr>
          <w:color w:val="003CA0"/>
          <w:sz w:val="12"/>
        </w:rPr>
        <w:t xml:space="preserve"> | RE 1.040.515</w:t>
      </w:r>
      <w:r>
        <w:rPr>
          <w:color w:val="003CA0"/>
          <w:sz w:val="12"/>
        </w:rPr>
        <w:t xml:space="preserve"> | rel. Dias Toffoli</w:t>
      </w:r>
    </w:p>
    <w:p>
      <w:pPr>
        <w:ind w:left="288"/>
      </w:pPr>
      <w:r>
        <w:rPr>
          <w:color w:val="1E1E1E"/>
          <w:sz w:val="18"/>
        </w:rPr>
        <w:t>No processo eleitoral, é ilícita a prova colhida por meio de gravação ambiental clandestina, sem autorização judicial e com violação da privacidade e da intimidade dos interlocutores, ainda que realizada por um dos participantes, sem o conhecimento dos demais. b) A exceção à regra da ilicitude da gravação ambiental feita sem o conhecimento de um dos interlocutores e sem autorização judicial ocorre na hipótese de registro de fato ocorrido em local público desprovido de qualquer controle de acesso, pois, nesse caso, não há violação da intimidade ou quebra da expectativa de privacidade.</w:t>
      </w:r>
    </w:p>
    <w:p>
      <w:pPr>
        <w:ind w:left="288"/>
      </w:pPr>
      <w:r>
        <w:rPr>
          <w:b/>
          <w:color w:val="003CA0"/>
          <w:sz w:val="16"/>
        </w:rPr>
        <w:t>[RE 1.040.515, rel. min. Dias Toffoli, j. 29.04.2024, P, DJE de 24.06.2024, Tema 979, com mérito julgado.]</w:t>
      </w:r>
    </w:p>
    <w:p>
      <w:pPr>
        <w:ind w:left="288"/>
      </w:pPr>
      <w:r>
        <w:rPr>
          <w:color w:val="8C8C8C"/>
          <w:sz w:val="12"/>
        </w:rPr>
        <w:t>cf-art-5-inc-L</w:t>
      </w:r>
      <w:r>
        <w:rPr>
          <w:color w:val="003CA0"/>
          <w:sz w:val="12"/>
        </w:rPr>
        <w:t xml:space="preserve"> | RE 1.116.949</w:t>
      </w:r>
      <w:r>
        <w:rPr>
          <w:color w:val="003CA0"/>
          <w:sz w:val="12"/>
        </w:rPr>
        <w:t xml:space="preserve"> | rel. Edson Fachin</w:t>
      </w:r>
    </w:p>
    <w:p>
      <w:pPr>
        <w:ind w:left="288"/>
      </w:pPr>
      <w:r>
        <w:rPr>
          <w:color w:val="1E1E1E"/>
          <w:sz w:val="18"/>
        </w:rPr>
        <w:t>(1) Sem autorização judicial ou fora das hipóteses legais, é ilícita a prova obtida mediante abertura de carta, telegrama, pacote ou meio análogo, salvo se ocorrida em estabelecimento penitenciário, quando houver fundados indícios da prática de atividades ilícitas; (2) Em relação a abertura de encomenda postada nos Correios, a prova obtida somente será lícita quando houver fundados indícios da prática de atividade ilícita, formalizando-se as providências adotadas para fins de controle administrativo ou judicial.</w:t>
      </w:r>
    </w:p>
    <w:p>
      <w:pPr>
        <w:ind w:left="288"/>
      </w:pPr>
      <w:r>
        <w:rPr>
          <w:b/>
          <w:color w:val="003CA0"/>
          <w:sz w:val="16"/>
        </w:rPr>
        <w:t>[RE 1.116.949 ED, rel. min. Edson Fachin, j. 30.11.2023, P, DJE de 24.05.2024, Tema 1.041, com mérito julgado.]</w:t>
      </w:r>
    </w:p>
    <w:p>
      <w:pPr>
        <w:ind w:left="288"/>
      </w:pPr>
      <w:r>
        <w:rPr>
          <w:color w:val="8C8C8C"/>
          <w:sz w:val="12"/>
        </w:rPr>
        <w:t>cf-art-5-inc-L</w:t>
      </w:r>
      <w:r>
        <w:rPr>
          <w:color w:val="003CA0"/>
          <w:sz w:val="12"/>
        </w:rPr>
        <w:t xml:space="preserve"> | RE 1.316.369</w:t>
      </w:r>
      <w:r>
        <w:rPr>
          <w:color w:val="003CA0"/>
          <w:sz w:val="12"/>
        </w:rPr>
        <w:t xml:space="preserve"> | rel. Edson Fachin</w:t>
      </w:r>
    </w:p>
    <w:p>
      <w:pPr>
        <w:ind w:left="288"/>
      </w:pPr>
      <w:r>
        <w:rPr>
          <w:color w:val="1E1E1E"/>
          <w:sz w:val="18"/>
        </w:rPr>
        <w:t>“São inadmissíveis, em processos administrativos de qualquer espécie, provas consideradas ilícitas pelo Poder Judiciário.”</w:t>
      </w:r>
    </w:p>
    <w:p>
      <w:pPr>
        <w:ind w:left="288"/>
      </w:pPr>
      <w:r>
        <w:rPr>
          <w:b/>
          <w:color w:val="003CA0"/>
          <w:sz w:val="16"/>
        </w:rPr>
        <w:t>[RE 1.316.369, rel. min. Edson Fachin, red. do ac. min. Gilmar Mendes, j. 9-12-2022, P, DJE de 22-3-2023, Tema 1.238, com mérito julgado.]</w:t>
      </w:r>
    </w:p>
    <w:p>
      <w:pPr>
        <w:ind w:left="288"/>
      </w:pPr>
      <w:r>
        <w:rPr>
          <w:color w:val="8C8C8C"/>
          <w:sz w:val="12"/>
        </w:rPr>
        <w:t>cf-art-5-inc-L</w:t>
      </w:r>
      <w:r>
        <w:rPr>
          <w:color w:val="003CA0"/>
          <w:sz w:val="12"/>
        </w:rPr>
        <w:t xml:space="preserve"> | RE 583.937</w:t>
      </w:r>
      <w:r>
        <w:rPr>
          <w:color w:val="003CA0"/>
          <w:sz w:val="12"/>
        </w:rPr>
        <w:t xml:space="preserve"> | rel. Cezar Peluso</w:t>
      </w:r>
    </w:p>
    <w:p>
      <w:pPr>
        <w:ind w:left="288"/>
      </w:pPr>
      <w:r>
        <w:rPr>
          <w:color w:val="1E1E1E"/>
          <w:sz w:val="18"/>
        </w:rPr>
        <w:t>É lícita a prova consistente em gravação ambiental realizada por um dos interlocutores sem o conhecimento do outro.</w:t>
      </w:r>
    </w:p>
    <w:p>
      <w:pPr>
        <w:ind w:left="288"/>
      </w:pPr>
      <w:r>
        <w:rPr>
          <w:b/>
          <w:color w:val="003CA0"/>
          <w:sz w:val="16"/>
        </w:rPr>
        <w:t>[RE 583.937 QO-RG, rel. min. Cezar Peluso, j. 19-11-2009, P, DJE de 18-12-2009, Tema 237, com mérito julgado.]</w:t>
      </w:r>
    </w:p>
    <w:p>
      <w:pPr>
        <w:ind w:left="288"/>
      </w:pPr>
      <w:r>
        <w:rPr>
          <w:color w:val="8C8C8C"/>
          <w:sz w:val="12"/>
        </w:rPr>
        <w:t>cf-art-5-inc-L</w:t>
      </w:r>
      <w:r>
        <w:rPr>
          <w:color w:val="003CA0"/>
          <w:sz w:val="12"/>
        </w:rPr>
        <w:t xml:space="preserve"> | HC 129.678</w:t>
      </w:r>
    </w:p>
    <w:p>
      <w:pPr>
        <w:ind w:left="288"/>
      </w:pPr>
      <w:r>
        <w:rPr>
          <w:color w:val="1E1E1E"/>
          <w:sz w:val="18"/>
        </w:rPr>
        <w:t>O “crime achado”, ou seja, a infração penal desconhecida e, portanto, até aquele momento não investigada, sempre deve ser cuidadosamente analisada para que não se relativize em excesso o inciso XII do art. 5º da CF. A prova obtida mediante interceptação telefônica, quando referente a infração penal diversa da investigada, deve ser considerada lícita se presentes os requisitos constitucionais e legais.</w:t>
      </w:r>
    </w:p>
    <w:p>
      <w:pPr>
        <w:ind w:left="288"/>
      </w:pPr>
      <w:r>
        <w:rPr>
          <w:b/>
          <w:color w:val="003CA0"/>
          <w:sz w:val="16"/>
        </w:rPr>
        <w:t>[HC 129.678, red. do ac. min. Alexandre de Moraes, j. 13-6-2017, 1ª T, DJE de 18-8-2017.]</w:t>
      </w:r>
    </w:p>
    <w:p>
      <w:pPr>
        <w:ind w:left="288"/>
      </w:pPr>
      <w:r>
        <w:rPr>
          <w:color w:val="8C8C8C"/>
          <w:sz w:val="12"/>
        </w:rPr>
        <w:t>cf-art-5-inc-L</w:t>
      </w:r>
      <w:r>
        <w:rPr>
          <w:color w:val="003CA0"/>
          <w:sz w:val="12"/>
        </w:rPr>
        <w:t xml:space="preserve"> | RHC 135.683</w:t>
      </w:r>
      <w:r>
        <w:rPr>
          <w:color w:val="003CA0"/>
          <w:sz w:val="12"/>
        </w:rPr>
        <w:t xml:space="preserve"> | rel. Dias Toffoli</w:t>
      </w:r>
    </w:p>
    <w:p>
      <w:pPr>
        <w:ind w:left="288"/>
      </w:pPr>
      <w:r>
        <w:rPr>
          <w:color w:val="1E1E1E"/>
          <w:sz w:val="18"/>
        </w:rPr>
        <w:t>Interceptações telefônicas realizadas em primeiro grau de jurisdição. Operação Vegas. Surgimento de indícios do envolvimento de senador da República, detentor de prerrogativa de foro, em fatos criminosos em apuração. Competência do STF para processar e julgar originariamente a causa (...). Necessidade de imediata remessa dos autos à Corte. Não ocorrência. Usurpação de sua competência constitucional configurada. Prosseguimento das investigações em primeiro grau. Tentativa de arrecadar maiores elementos de informação por via oblíqua sem a autorização do STF. Violação do princípio do juiz natural</w:t>
      </w:r>
    </w:p>
    <w:p>
      <w:pPr>
        <w:ind w:left="288"/>
      </w:pPr>
      <w:r>
        <w:rPr>
          <w:b/>
          <w:color w:val="003CA0"/>
          <w:sz w:val="16"/>
        </w:rPr>
        <w:t>[RHC 135.683, rel. min. Dias Toffoli, j. 25-10-2016, 2ª T, DJE de 3-4-2017.]</w:t>
      </w:r>
    </w:p>
    <w:p>
      <w:pPr>
        <w:ind w:left="288"/>
      </w:pPr>
      <w:r>
        <w:rPr>
          <w:color w:val="8C8C8C"/>
          <w:sz w:val="12"/>
        </w:rPr>
        <w:t>cf-art-5-inc-L</w:t>
      </w:r>
      <w:r>
        <w:rPr>
          <w:color w:val="003CA0"/>
          <w:sz w:val="12"/>
        </w:rPr>
        <w:t xml:space="preserve"> | MS 33.751</w:t>
      </w:r>
    </w:p>
    <w:p>
      <w:pPr>
        <w:ind w:left="288"/>
      </w:pPr>
      <w:r>
        <w:rPr>
          <w:color w:val="1E1E1E"/>
          <w:sz w:val="18"/>
        </w:rPr>
        <w:t>As provas produzidas em contexto internacional, na hipótese em que amplamente disponíveis ao público em geral, como no caso de publicação na rede mundial de computadores, podem ser utilizadas em âmbito interno. Tratados de cooperação internacional têm como supedâneo a desburocratização da colheita da prova, de modo que, salvo proteção de interesse específico ou disposição expressa em sentido contrário, tais acordos não merecem aplicação, por ausência de interesse público, se consubstanciarem indevido obstáculo à apuração parlamentar.</w:t>
      </w:r>
    </w:p>
    <w:p>
      <w:pPr>
        <w:ind w:left="288"/>
      </w:pPr>
      <w:r>
        <w:rPr>
          <w:b/>
          <w:color w:val="003CA0"/>
          <w:sz w:val="16"/>
        </w:rPr>
        <w:t>[MS 33.751, red. do ac. min. Edson Fachin, j. 15-12-2015, 1ª T, DJE de 31-3-2016.]</w:t>
      </w:r>
    </w:p>
    <w:p>
      <w:pPr>
        <w:ind w:left="288"/>
      </w:pPr>
      <w:r>
        <w:rPr>
          <w:color w:val="8C8C8C"/>
          <w:sz w:val="12"/>
        </w:rPr>
        <w:t>cf-art-5-inc-L</w:t>
      </w:r>
      <w:r>
        <w:rPr>
          <w:color w:val="003CA0"/>
          <w:sz w:val="12"/>
        </w:rPr>
        <w:t xml:space="preserve"> | HC 91.867</w:t>
      </w:r>
      <w:r>
        <w:rPr>
          <w:color w:val="003CA0"/>
          <w:sz w:val="12"/>
        </w:rPr>
        <w:t xml:space="preserve"> | rel. Gilmar Mendes</w:t>
      </w:r>
    </w:p>
    <w:p>
      <w:pPr>
        <w:ind w:left="288"/>
      </w:pPr>
      <w:r>
        <w:rPr>
          <w:color w:val="1E1E1E"/>
          <w:sz w:val="18"/>
        </w:rPr>
        <w:t xml:space="preserve">Art. 6º do CPP: dever da autoridade policial de proceder à coleta do material comprobatório da prática da infração penal. Ao proceder à pesquisa na agenda eletrônica dos aparelhos devidamente apreendidos, meio material indireto de prova, a autoridade policial, cumprindo o seu mister, buscou, unicamente, colher elementos de informação hábeis a esclarecer a autoria e a materialidade do delito (dessa análise logrou encontrar ligações entre o executor do homicídio e o ora paciente). Verificação que permitiu a orientação inicial da linha investigatória a ser adotada, bem como possibilitou concluir </w:t>
      </w:r>
    </w:p>
    <w:p>
      <w:pPr>
        <w:ind w:left="288"/>
      </w:pPr>
      <w:r>
        <w:rPr>
          <w:b/>
          <w:color w:val="003CA0"/>
          <w:sz w:val="16"/>
        </w:rPr>
        <w:t>[HC 91.867, rel. min. Gilmar Mendes, j. 24-4-2012, 2ª T, DJE de 20-9-2012.]</w:t>
      </w:r>
    </w:p>
    <w:p>
      <w:pPr>
        <w:ind w:left="288"/>
      </w:pPr>
      <w:r>
        <w:rPr>
          <w:color w:val="8C8C8C"/>
          <w:sz w:val="12"/>
        </w:rPr>
        <w:t>cf-art-5-inc-L</w:t>
      </w:r>
      <w:r>
        <w:rPr>
          <w:color w:val="003CA0"/>
          <w:sz w:val="12"/>
        </w:rPr>
        <w:t xml:space="preserve"> | HC 93.050</w:t>
      </w:r>
      <w:r>
        <w:rPr>
          <w:color w:val="003CA0"/>
          <w:sz w:val="12"/>
        </w:rPr>
        <w:t xml:space="preserve"> | rel. Celso de Mello</w:t>
      </w:r>
    </w:p>
    <w:p>
      <w:pPr>
        <w:ind w:left="288"/>
      </w:pPr>
      <w:r>
        <w:rPr>
          <w:color w:val="1E1E1E"/>
          <w:sz w:val="18"/>
        </w:rPr>
        <w:t xml:space="preserve">Vide HC 93.050, rel. min. Celso de Mello, j. 10-6-2008, 2ª T, DJE de 1º-8-2008 (...) imperioso concluir que a mera alusão ao "requerimento" do Parquet e/ou da autoridade policial não se mostra suficiente para legitimar a quebra dos sigilos telefônico e bancário dos pacientes. A referência – argumento de autoridade – não passa pelo crivo da proporcionalidade, na medida em que não apresenta motivação idônea para fazer ceder a essa situação excepcional de ruptura da esfera da intimidade de quem se encontra sob investigação. Na espécie, em momento algum, o magistrado de primeiro grau aponta fatos </w:t>
      </w:r>
    </w:p>
    <w:p>
      <w:pPr>
        <w:ind w:left="288"/>
      </w:pPr>
      <w:r>
        <w:rPr>
          <w:b/>
          <w:color w:val="003CA0"/>
          <w:sz w:val="16"/>
        </w:rPr>
        <w:t>[HC 96.056, voto do min. Gilmar Mendes, j. 28-6-2011, 2ª T, DJE de 8-5-2012.]</w:t>
      </w:r>
    </w:p>
    <w:p>
      <w:pPr>
        <w:ind w:left="288"/>
      </w:pPr>
      <w:r>
        <w:rPr>
          <w:color w:val="8C8C8C"/>
          <w:sz w:val="12"/>
        </w:rPr>
        <w:t>cf-art-5-inc-L</w:t>
      </w:r>
      <w:r>
        <w:rPr>
          <w:color w:val="003CA0"/>
          <w:sz w:val="12"/>
        </w:rPr>
        <w:t xml:space="preserve"> | HC 91.883</w:t>
      </w:r>
      <w:r>
        <w:rPr>
          <w:color w:val="003CA0"/>
          <w:sz w:val="12"/>
        </w:rPr>
        <w:t xml:space="preserve"> | rel. Ellen Gracie</w:t>
      </w:r>
    </w:p>
    <w:p>
      <w:pPr>
        <w:ind w:left="288"/>
      </w:pPr>
      <w:r>
        <w:rPr>
          <w:color w:val="1E1E1E"/>
          <w:sz w:val="18"/>
        </w:rPr>
        <w:t>Vide HC 91.883, rel. min. Ellen Gracie, j. 24-6-2008, 2ª T, DJE de 22-8-2008 Vide HC 94.164, rel. min. Ricardo Lewandowski, j. 17-6-2008, 1ª T, DJE de 22-8-2008 Vide HC 93.748, rel. min. Cármen Lúcia, j. 1º-4-2008, 1ª T, DJE de 25-4-2008 As referências às escutas telefônicas empreendidas sem autorização judicial, por ilícitas, devem ser desentranhadas dos autos, na esteira do que determina o inciso LVI do art. 5º da Constituição da República. (...) Eventuais deficiências qualitativas na tradução do material degravado não invalidam a prova regularmente colhida, devendo o tema ser tratado no cur</w:t>
      </w:r>
    </w:p>
    <w:p>
      <w:pPr>
        <w:ind w:left="288"/>
      </w:pPr>
      <w:r>
        <w:rPr>
          <w:b/>
          <w:color w:val="003CA0"/>
          <w:sz w:val="16"/>
        </w:rPr>
        <w:t>[HC 106.244, rel. min. Cármen Lúcia, j. 17-5-2011, 1ª T, DJE de 19-8-2011.]</w:t>
      </w:r>
    </w:p>
    <w:p>
      <w:pPr>
        <w:ind w:left="288"/>
      </w:pPr>
      <w:r>
        <w:rPr>
          <w:color w:val="8C8C8C"/>
          <w:sz w:val="12"/>
        </w:rPr>
        <w:t>cf-art-5-inc-L</w:t>
      </w:r>
      <w:r>
        <w:rPr>
          <w:color w:val="003CA0"/>
          <w:sz w:val="12"/>
        </w:rPr>
        <w:t xml:space="preserve"> | HC 82.862</w:t>
      </w:r>
      <w:r>
        <w:rPr>
          <w:color w:val="003CA0"/>
          <w:sz w:val="12"/>
        </w:rPr>
        <w:t xml:space="preserve"> | rel. Cezar Peluso</w:t>
      </w:r>
    </w:p>
    <w:p>
      <w:pPr>
        <w:ind w:left="288"/>
      </w:pPr>
      <w:r>
        <w:rPr>
          <w:color w:val="1E1E1E"/>
          <w:sz w:val="18"/>
        </w:rPr>
        <w:t>Vide HC 82.862, rel. min. Cezar Peluso, j. 19-2-2008, 2ª T, DJE de 13-6-2008 O reconhecimento da ilicitude da interceptação telefônica, empreendida anteriormente ao lançamento definitivo do tributo, não inibe a instauração de outras ações penais contra o paciente por crimes de natureza diversa daquele contra a ordem tributária, desde que sejam apresentados outros elementos probatórios.</w:t>
      </w:r>
    </w:p>
    <w:p>
      <w:pPr>
        <w:ind w:left="288"/>
      </w:pPr>
      <w:r>
        <w:rPr>
          <w:b/>
          <w:color w:val="003CA0"/>
          <w:sz w:val="16"/>
        </w:rPr>
        <w:t>[HC 106.271, rel. min. Cármen Lúcia, j. 12-4-2011, 1ª T, DJE de 6-5-2011.]</w:t>
      </w:r>
    </w:p>
    <w:p>
      <w:pPr>
        <w:ind w:left="288"/>
      </w:pPr>
      <w:r>
        <w:rPr>
          <w:color w:val="8C8C8C"/>
          <w:sz w:val="12"/>
        </w:rPr>
        <w:t>cf-art-5-inc-L</w:t>
      </w:r>
      <w:r>
        <w:rPr>
          <w:color w:val="003CA0"/>
          <w:sz w:val="12"/>
        </w:rPr>
        <w:t xml:space="preserve"> | AI 626.214</w:t>
      </w:r>
      <w:r>
        <w:rPr>
          <w:color w:val="003CA0"/>
          <w:sz w:val="12"/>
        </w:rPr>
        <w:t xml:space="preserve"> | rel. Joaquim Barbosa</w:t>
      </w:r>
    </w:p>
    <w:p>
      <w:pPr>
        <w:ind w:left="288"/>
      </w:pPr>
      <w:r>
        <w:rPr>
          <w:color w:val="1E1E1E"/>
          <w:sz w:val="18"/>
        </w:rPr>
        <w:t>Encontro fortuito de prova da prática de crime punido com detenção. (...) O STF, como intérprete maior da Constituição da República, considerou compatível com o art. 5º, XII e LVI, o uso de prova obtida fortuitamente através de interceptação telefônica licitamente conduzida, ainda que o crime descoberto, conexo ao que foi objeto da interceptação, seja punido com detenção.</w:t>
      </w:r>
    </w:p>
    <w:p>
      <w:pPr>
        <w:ind w:left="288"/>
      </w:pPr>
      <w:r>
        <w:rPr>
          <w:b/>
          <w:color w:val="003CA0"/>
          <w:sz w:val="16"/>
        </w:rPr>
        <w:t>[AI 626.214 AgR, rel. min. Joaquim Barbosa, j. 21-9-2010, 2ª T, DJE de 8-10-2010.]</w:t>
      </w:r>
    </w:p>
    <w:p>
      <w:pPr>
        <w:ind w:left="288"/>
      </w:pPr>
      <w:r>
        <w:rPr>
          <w:color w:val="8C8C8C"/>
          <w:sz w:val="12"/>
        </w:rPr>
        <w:t>cf-art-5-inc-L</w:t>
      </w:r>
      <w:r>
        <w:rPr>
          <w:color w:val="003CA0"/>
          <w:sz w:val="12"/>
        </w:rPr>
        <w:t xml:space="preserve"> | HC 83.515</w:t>
      </w:r>
      <w:r>
        <w:rPr>
          <w:color w:val="003CA0"/>
          <w:sz w:val="12"/>
        </w:rPr>
        <w:t xml:space="preserve"> | rel. Nelson Jobim</w:t>
      </w:r>
    </w:p>
    <w:p>
      <w:pPr>
        <w:ind w:left="288"/>
      </w:pPr>
      <w:r>
        <w:rPr>
          <w:color w:val="1E1E1E"/>
          <w:sz w:val="18"/>
        </w:rPr>
        <w:t>= HC 83.515, rel. min. Nelson Jobim, j. 16-9-2004, P, DJ de 4-3-2005 Vide HC 102.304, rel. min. Cármen Lúcia, j. 25-5-2010, 1ª T, DJE de 25-5-2011 Interceptação realizada em linha telefônica do corréu que captou diálogo entre este e o ora paciente, mediante autorização judicial. Prova lícita que pode ser utilizada para subsidiar ação penal, sem contrariedade ao art. 5º, XII, LIV, LV e LVI, da Constituição da República.</w:t>
      </w:r>
    </w:p>
    <w:p>
      <w:pPr>
        <w:ind w:left="288"/>
      </w:pPr>
      <w:r>
        <w:rPr>
          <w:b/>
          <w:color w:val="003CA0"/>
          <w:sz w:val="16"/>
        </w:rPr>
        <w:t>[HC 102.304, rel. min. Cármen Lúcia, j. 25-5-2010, 1ª T, DJE de 25-5-2011.]</w:t>
      </w:r>
    </w:p>
    <w:p>
      <w:pPr>
        <w:ind w:left="288"/>
      </w:pPr>
      <w:r>
        <w:rPr>
          <w:color w:val="8C8C8C"/>
          <w:sz w:val="12"/>
        </w:rPr>
        <w:t>cf-art-5-inc-L</w:t>
      </w:r>
      <w:r>
        <w:rPr>
          <w:color w:val="003CA0"/>
          <w:sz w:val="12"/>
        </w:rPr>
        <w:t xml:space="preserve"> | AI 626.214</w:t>
      </w:r>
      <w:r>
        <w:rPr>
          <w:color w:val="003CA0"/>
          <w:sz w:val="12"/>
        </w:rPr>
        <w:t xml:space="preserve"> | rel. Joaquim Barbosa</w:t>
      </w:r>
    </w:p>
    <w:p>
      <w:pPr>
        <w:ind w:left="288"/>
      </w:pPr>
      <w:r>
        <w:rPr>
          <w:color w:val="1E1E1E"/>
          <w:sz w:val="18"/>
        </w:rPr>
        <w:t>Vide AI 626.214 AgR, rel. min. Joaquim Barbosa, j. 21-9-2010, 2ª T, DJE de 8-10-2010 A gravação de conversa telefônica feita por um dos interlocutores, sem conhecimento do outro, quando ausente causa legal de sigilo ou de reserva da conversação não é considerada prova ilícita.</w:t>
      </w:r>
    </w:p>
    <w:p>
      <w:pPr>
        <w:ind w:left="288"/>
      </w:pPr>
      <w:r>
        <w:rPr>
          <w:b/>
          <w:color w:val="003CA0"/>
          <w:sz w:val="16"/>
        </w:rPr>
        <w:t>[AI 578.858 AgR, rel. min. Ellen Gracie, j. 4-8-2009, 2ª T, DJE de 28-8-2009.]</w:t>
      </w:r>
    </w:p>
    <w:p>
      <w:pPr>
        <w:ind w:left="288"/>
      </w:pPr>
      <w:r>
        <w:rPr>
          <w:color w:val="8C8C8C"/>
          <w:sz w:val="12"/>
        </w:rPr>
        <w:t>cf-art-5-inc-L</w:t>
      </w:r>
      <w:r>
        <w:rPr>
          <w:color w:val="003CA0"/>
          <w:sz w:val="12"/>
        </w:rPr>
        <w:t xml:space="preserve"> | RE 630.944</w:t>
      </w:r>
      <w:r>
        <w:rPr>
          <w:color w:val="003CA0"/>
          <w:sz w:val="12"/>
        </w:rPr>
        <w:t xml:space="preserve"> | rel. Ayres Britto</w:t>
      </w:r>
    </w:p>
    <w:p>
      <w:pPr>
        <w:ind w:left="288"/>
      </w:pPr>
      <w:r>
        <w:rPr>
          <w:color w:val="1E1E1E"/>
          <w:sz w:val="18"/>
        </w:rPr>
        <w:t>= RE 630.944 AgR, rel. min. Ayres Britto, j. 25-10-2011, 2ª T, DJE de 19-12-2011 Vide RE 453.562 AgR, rel. min. Joaquim Barbosa, j. 23-9-2008, 2ª T, DJE de 28-11-2008 Nada impede a remessa à PGR, para fins de instrução de outros procedimentos, de cópias de documentos que instruíram ação penal extinta, desde que respeitado Acordo Internacional de cooperação judicial. Após a extinção da ação, resta sem sentido discutir eventual ilicitude na obtenção das provas documentais relativas ao caso, visto não mais ostentarem esta qualidade.</w:t>
      </w:r>
    </w:p>
    <w:p>
      <w:pPr>
        <w:ind w:left="288"/>
      </w:pPr>
      <w:r>
        <w:rPr>
          <w:b/>
          <w:color w:val="003CA0"/>
          <w:sz w:val="16"/>
        </w:rPr>
        <w:t>[AP 483 AgR-AgR, rel. min. Ricardo Lewandowski, j. 12-3-2009, P, DJE de 24-4-2009.]</w:t>
      </w:r>
    </w:p>
    <w:p>
      <w:pPr>
        <w:ind w:left="288"/>
      </w:pPr>
      <w:r>
        <w:rPr>
          <w:color w:val="8C8C8C"/>
          <w:sz w:val="12"/>
        </w:rPr>
        <w:t>cf-art-5-inc-L</w:t>
      </w:r>
      <w:r>
        <w:rPr>
          <w:color w:val="003CA0"/>
          <w:sz w:val="12"/>
        </w:rPr>
        <w:t xml:space="preserve"> | RE 453.562</w:t>
      </w:r>
      <w:r>
        <w:rPr>
          <w:color w:val="003CA0"/>
          <w:sz w:val="12"/>
        </w:rPr>
        <w:t xml:space="preserve"> | rel. Joaquim Barbosa</w:t>
      </w:r>
    </w:p>
    <w:p>
      <w:pPr>
        <w:ind w:left="288"/>
      </w:pPr>
      <w:r>
        <w:rPr>
          <w:color w:val="1E1E1E"/>
          <w:sz w:val="18"/>
        </w:rPr>
        <w:t>Alegação de ofensa ao art. 5°, XII, LIV e LVI, da CF. Recurso extraordinário que afirma a existência de interceptação telefônica ilícita porque efetivada por terceiros. Conversa gravada por um dos interlocutores. Precedentes do STF. Agravo regimental improvido. Alegação de existência de prova ilícita, porquanto a interceptação telefônica teria sido realizada sem autorização judicial. Não há interceptação telefônica quando a conversa é gravada por um dos interlocutores, ainda que com a ajuda de um repórter.</w:t>
      </w:r>
    </w:p>
    <w:p>
      <w:pPr>
        <w:ind w:left="288"/>
      </w:pPr>
      <w:r>
        <w:rPr>
          <w:b/>
          <w:color w:val="003CA0"/>
          <w:sz w:val="16"/>
        </w:rPr>
        <w:t>[RE 453.562 AgR, rel. min. Joaquim Barbosa, j. 23-9-2008, 2ª T, DJE de 28-11-2008.]</w:t>
      </w:r>
    </w:p>
    <w:p>
      <w:pPr>
        <w:ind w:left="288"/>
      </w:pPr>
      <w:r>
        <w:rPr>
          <w:color w:val="8C8C8C"/>
          <w:sz w:val="12"/>
        </w:rPr>
        <w:t>cf-art-5-inc-L</w:t>
      </w:r>
      <w:r>
        <w:rPr>
          <w:color w:val="003CA0"/>
          <w:sz w:val="12"/>
        </w:rPr>
        <w:t xml:space="preserve"> | AI 578.858</w:t>
      </w:r>
      <w:r>
        <w:rPr>
          <w:color w:val="003CA0"/>
          <w:sz w:val="12"/>
        </w:rPr>
        <w:t xml:space="preserve"> | rel. Ellen Gracie</w:t>
      </w:r>
    </w:p>
    <w:p>
      <w:pPr>
        <w:ind w:left="288"/>
      </w:pPr>
      <w:r>
        <w:rPr>
          <w:color w:val="1E1E1E"/>
          <w:sz w:val="18"/>
        </w:rPr>
        <w:t>Vide AI 578.858 AgR, rel. min. Ellen Gracie, j. 4-8-2009, 2ª T, DJE de 28-8-2009 Ilicitude da prova. Inadmissibilidade de sua produção em juízo (ou perante qualquer instância de poder). Inidoneidade jurídica da prova resultante de transgressão estatal ao regime constitucional dos direitos e garantias individuais. A ação persecutória do Estado, qualquer que seja a instância de poder perante a qual se instaure, para revestir-se de legitimidade, não pode apoiar-se em elementos probatórios ilicitamente obtidos, sob pena de ofensa à garantia constitucional do due process of law, que tem, no dogma d</w:t>
      </w:r>
    </w:p>
    <w:p>
      <w:pPr>
        <w:ind w:left="288"/>
      </w:pPr>
      <w:r>
        <w:rPr>
          <w:b/>
          <w:color w:val="003CA0"/>
          <w:sz w:val="16"/>
        </w:rPr>
        <w:t>[HC 93.050, rel. min. Celso de Mello, j. 10-6-2008, 2ª T, DJE de 1º-8-2008.]</w:t>
      </w:r>
    </w:p>
    <w:p>
      <w:pPr>
        <w:ind w:left="288"/>
      </w:pPr>
      <w:r>
        <w:rPr>
          <w:color w:val="8C8C8C"/>
          <w:sz w:val="12"/>
        </w:rPr>
        <w:t>cf-art-5-inc-L</w:t>
      </w:r>
      <w:r>
        <w:rPr>
          <w:color w:val="003CA0"/>
          <w:sz w:val="12"/>
        </w:rPr>
        <w:t xml:space="preserve"> | AP 341</w:t>
      </w:r>
      <w:r>
        <w:rPr>
          <w:color w:val="003CA0"/>
          <w:sz w:val="12"/>
        </w:rPr>
        <w:t xml:space="preserve"> | rel. Marco Aurélio</w:t>
      </w:r>
    </w:p>
    <w:p>
      <w:pPr>
        <w:ind w:left="288"/>
      </w:pPr>
      <w:r>
        <w:rPr>
          <w:color w:val="1E1E1E"/>
          <w:sz w:val="18"/>
        </w:rPr>
        <w:t xml:space="preserve">= AP 341, rel. min. Marco Aurélio, j. 25-8-2015, 1ª T, DJE de 2-10-2015 = HC 90.094, rel. min. Eros Grau, j. 8-6-2010, 2ª T, DJE de 6-8-2010 Vide HC 91.867, rel. min. Gilmar Mendes, j. 24-4-2012, 2ª T, DJE de 20-9-2012 Prova ilícita. Ofensa ao art. 5º, LVI, da CF e aos arts. 152, parágrafo único, 153 e 154 do CP. Desentranhamento determinado (...) Não se admite, sob nenhum pretexto ou fundamento, a juntada, em autos de inquérito policial ou de ação penal, de cópias ou originais de documentos confidenciais de empresa, obtidos, sem autorização nem conhecimento desta, por ex-empregado, ainda que </w:t>
      </w:r>
    </w:p>
    <w:p>
      <w:pPr>
        <w:ind w:left="288"/>
      </w:pPr>
      <w:r>
        <w:rPr>
          <w:b/>
          <w:color w:val="003CA0"/>
          <w:sz w:val="16"/>
        </w:rPr>
        <w:t>[HC 82.862, rel. min. Cezar Peluso, j. 19-2-2008, 2ª T, DJE de 13-6-2008.]</w:t>
      </w:r>
    </w:p>
    <w:p>
      <w:pPr>
        <w:ind w:left="288"/>
      </w:pPr>
      <w:r>
        <w:rPr>
          <w:color w:val="8C8C8C"/>
          <w:sz w:val="12"/>
        </w:rPr>
        <w:t>cf-art-5-inc-L</w:t>
      </w:r>
      <w:r>
        <w:rPr>
          <w:color w:val="003CA0"/>
          <w:sz w:val="12"/>
        </w:rPr>
        <w:t xml:space="preserve"> | HC 106.244</w:t>
      </w:r>
      <w:r>
        <w:rPr>
          <w:color w:val="003CA0"/>
          <w:sz w:val="12"/>
        </w:rPr>
        <w:t xml:space="preserve"> | rel. Cármen Lúcia</w:t>
      </w:r>
    </w:p>
    <w:p>
      <w:pPr>
        <w:ind w:left="288"/>
      </w:pPr>
      <w:r>
        <w:rPr>
          <w:color w:val="1E1E1E"/>
          <w:sz w:val="18"/>
        </w:rPr>
        <w:t>Vide HC 106.244, rel. min. Cármen Lúcia, j. 17-5-2011, 1ª T, DJE de 19-8-2011 Prova emprestada. (...) Dados obtidos em interceptação de comunicações telefônicas e em escutas ambientais, judicialmente autorizadas para produção de prova em investigação criminal ou em instrução processual penal, podem ser usados em procedimento administrativo disciplinar, contra a mesma ou as mesmas pessoas em relação às quais foram colhidos, ou contra outros servidores cujos supostos ilícitos teriam despontado à colheita dessa prova.</w:t>
      </w:r>
    </w:p>
    <w:p>
      <w:pPr>
        <w:ind w:left="288"/>
      </w:pPr>
      <w:r>
        <w:rPr>
          <w:b/>
          <w:color w:val="003CA0"/>
          <w:sz w:val="16"/>
        </w:rPr>
        <w:t>[Inq 2.424 QO-QO, rel. min. Cezar Peluso, j. 20-6-2007, P, DJ de 24-8-2007.]</w:t>
      </w:r>
    </w:p>
    <w:p>
      <w:pPr>
        <w:ind w:left="288"/>
      </w:pPr>
      <w:r>
        <w:rPr>
          <w:color w:val="8C8C8C"/>
          <w:sz w:val="12"/>
        </w:rPr>
        <w:t>cf-art-5-inc-L</w:t>
      </w:r>
      <w:r>
        <w:rPr>
          <w:color w:val="003CA0"/>
          <w:sz w:val="12"/>
        </w:rPr>
        <w:t xml:space="preserve"> | RMS 28.774</w:t>
      </w:r>
      <w:r>
        <w:rPr>
          <w:color w:val="003CA0"/>
          <w:sz w:val="12"/>
        </w:rPr>
        <w:t xml:space="preserve"> | rel. Marco Aurélio</w:t>
      </w:r>
    </w:p>
    <w:p>
      <w:pPr>
        <w:ind w:left="288"/>
      </w:pPr>
      <w:r>
        <w:rPr>
          <w:color w:val="1E1E1E"/>
          <w:sz w:val="18"/>
        </w:rPr>
        <w:t>= RMS 28.774, rel. min. Marco Aurélio, red. do ac. min. Roberto Barroso, j. 9-8-2016, 1ª T, DJE de 25-8-2016 Inteligência do art. 5º, LVI, da CF e da Resolução 9/2005 do STJ. É legítima, em carta rogatória, a realização liminar de diligências sem a ciência prévia nem a presença do réu da ação penal, quando estas possam frustrar o resultado daquelas.</w:t>
      </w:r>
    </w:p>
    <w:p>
      <w:pPr>
        <w:ind w:left="288"/>
      </w:pPr>
      <w:r>
        <w:rPr>
          <w:b/>
          <w:color w:val="003CA0"/>
          <w:sz w:val="16"/>
        </w:rPr>
        <w:t>[HC 90.485, rel. min. Cezar Peluso, j. 10-4-2007, 2ª T, DJ de 8-6-2007.]</w:t>
      </w:r>
    </w:p>
    <w:p>
      <w:pPr>
        <w:ind w:left="288"/>
      </w:pPr>
      <w:r>
        <w:rPr>
          <w:color w:val="8C8C8C"/>
          <w:sz w:val="12"/>
        </w:rPr>
        <w:t>cf-art-5-inc-L</w:t>
      </w:r>
      <w:r>
        <w:rPr>
          <w:color w:val="003CA0"/>
          <w:sz w:val="12"/>
        </w:rPr>
        <w:t xml:space="preserve"> | HC 89.171</w:t>
      </w:r>
      <w:r>
        <w:rPr>
          <w:color w:val="003CA0"/>
          <w:sz w:val="12"/>
        </w:rPr>
        <w:t xml:space="preserve"> | rel. Marco Aurélio</w:t>
      </w:r>
    </w:p>
    <w:p>
      <w:pPr>
        <w:ind w:left="288"/>
      </w:pPr>
      <w:r>
        <w:rPr>
          <w:color w:val="1E1E1E"/>
          <w:sz w:val="18"/>
        </w:rPr>
        <w:t>= HC 89.171, rel. min. Marco Aurélio, red. do ac. min. Menezes Direito, j. 24-3-2009, 1ª T, DJE de 8-5-2009 Filmagem realizada pela vítima, em sua própria vaga de garagem, situada no edifício em que reside. Gravação de imagens feita com o objetivo de identificar o autor de danos praticados contra o patrimônio da vítima. Legitimidade jurídica desse comportamento do ofendido. Desnecessidade, em tal hipótese, de prévia autorização judicial. Alegada ilicitude da prova penal. Inocorrência. Validade dos elementos de informação produzidos, em seu próprio espaço privado, pela vítima de atos delituosos</w:t>
      </w:r>
    </w:p>
    <w:p>
      <w:pPr>
        <w:ind w:left="288"/>
      </w:pPr>
      <w:r>
        <w:rPr>
          <w:b/>
          <w:color w:val="003CA0"/>
          <w:sz w:val="16"/>
        </w:rPr>
        <w:t>[HC 84.203, rel. min. Celso de Mello, j. 19-10-2004, 2ª T, DJE de 25-9-2009.]</w:t>
      </w:r>
    </w:p>
    <w:p>
      <w:pPr>
        <w:ind w:left="288"/>
      </w:pPr>
      <w:r>
        <w:rPr>
          <w:color w:val="8C8C8C"/>
          <w:sz w:val="12"/>
        </w:rPr>
        <w:t>cf-art-5-inc-L</w:t>
      </w:r>
      <w:r>
        <w:rPr>
          <w:color w:val="003CA0"/>
          <w:sz w:val="12"/>
        </w:rPr>
        <w:t xml:space="preserve"> | HC 83.921</w:t>
      </w:r>
      <w:r>
        <w:rPr>
          <w:color w:val="003CA0"/>
          <w:sz w:val="12"/>
        </w:rPr>
        <w:t xml:space="preserve"> | rel. Eros Grau</w:t>
      </w:r>
    </w:p>
    <w:p>
      <w:pPr>
        <w:ind w:left="288"/>
      </w:pPr>
      <w:r>
        <w:rPr>
          <w:color w:val="1E1E1E"/>
          <w:sz w:val="18"/>
        </w:rPr>
        <w:t>Eventuais vícios do inquérito policial não contaminam a ação penal. O reconhecimento fotográfico, procedido na fase inquisitorial, em desconformidade com o art. 226, I, do CPP, não tem a virtude de contaminar o acervo probatório coligido na fase judicial, sob o crivo do contraditório. Inaplicabilidade da teoria da árvore dos frutos envenenados (fruits of the poisonous tree). Sentença condenatória embasada em provas autônomas produzidas em juízo.</w:t>
      </w:r>
    </w:p>
    <w:p>
      <w:pPr>
        <w:ind w:left="288"/>
      </w:pPr>
      <w:r>
        <w:rPr>
          <w:b/>
          <w:color w:val="003CA0"/>
          <w:sz w:val="16"/>
        </w:rPr>
        <w:t>[HC 83.921, rel. min. Eros Grau, j. 3-8-2004, 1ª T, DJ de 27-8-2004.]</w:t>
      </w:r>
    </w:p>
    <w:p>
      <w:pPr>
        <w:ind w:left="288"/>
      </w:pPr>
      <w:r>
        <w:rPr>
          <w:color w:val="8C8C8C"/>
          <w:sz w:val="12"/>
        </w:rPr>
        <w:t>cf-art-5-inc-L</w:t>
      </w:r>
      <w:r>
        <w:rPr>
          <w:color w:val="003CA0"/>
          <w:sz w:val="12"/>
        </w:rPr>
        <w:t xml:space="preserve"> | RE 626.600</w:t>
      </w:r>
      <w:r>
        <w:rPr>
          <w:color w:val="003CA0"/>
          <w:sz w:val="12"/>
        </w:rPr>
        <w:t xml:space="preserve"> | rel. Cármen Lúcia</w:t>
      </w:r>
    </w:p>
    <w:p>
      <w:pPr>
        <w:ind w:left="288"/>
      </w:pPr>
      <w:r>
        <w:rPr>
          <w:color w:val="1E1E1E"/>
          <w:sz w:val="18"/>
        </w:rPr>
        <w:t>= RE 626.600 AgR, rel. min. Cármen Lúcia, j. 9-11-2010, 1ª T, DJE de 25-11-2010 Da explícita proscrição da prova ilícita, sem distinções quanto ao crime objeto do processo (CF, art. 5º, LVI), resulta a prevalência da garantia nela estabelecida sobre o interesse na busca, a qualquer custo, da verdade real no processo: consequente impertinência de apelar-se ao princípio da proporcionalidade – à luz de teorias estrangeiras inadequadas à ordem constitucional brasileira – para sobrepor, à vedação constitucional da admissão da prova ilícita, considerações sobre a gravidade da infração penal objeto d</w:t>
      </w:r>
    </w:p>
    <w:p>
      <w:pPr>
        <w:ind w:left="288"/>
      </w:pPr>
      <w:r>
        <w:rPr>
          <w:b/>
          <w:color w:val="003CA0"/>
          <w:sz w:val="16"/>
        </w:rPr>
        <w:t>[HC 80.949, rel. min. Sepúlveda Pertence, j. 30-10-2001, 1ª T, DJ de 14-12-2001.]</w:t>
      </w:r>
    </w:p>
    <w:p>
      <w:pPr>
        <w:ind w:left="288"/>
      </w:pPr>
      <w:r>
        <w:rPr>
          <w:color w:val="8C8C8C"/>
          <w:sz w:val="12"/>
        </w:rPr>
        <w:t>cf-art-5-inc-L</w:t>
      </w:r>
      <w:r>
        <w:rPr>
          <w:color w:val="003CA0"/>
          <w:sz w:val="12"/>
        </w:rPr>
        <w:t xml:space="preserve"> | HC 81.154</w:t>
      </w:r>
      <w:r>
        <w:rPr>
          <w:color w:val="003CA0"/>
          <w:sz w:val="12"/>
        </w:rPr>
        <w:t xml:space="preserve"> | rel. Maurício Corrêa</w:t>
      </w:r>
    </w:p>
    <w:p>
      <w:pPr>
        <w:ind w:left="288"/>
      </w:pPr>
      <w:r>
        <w:rPr>
          <w:color w:val="1E1E1E"/>
          <w:sz w:val="18"/>
        </w:rPr>
        <w:t>Interceptação telefônica. Prova ilícita. Autorização judicial deferida anteriormente à Lei 9.296/1996, que regulamentou o inciso XII do art. 5º da CF. Nulidade da ação penal, por fundar-se exclusivamente em conversas obtidas mediante quebra dos sigilos telefônicos dos pacientes.</w:t>
      </w:r>
    </w:p>
    <w:p>
      <w:pPr>
        <w:ind w:left="288"/>
      </w:pPr>
      <w:r>
        <w:rPr>
          <w:b/>
          <w:color w:val="003CA0"/>
          <w:sz w:val="16"/>
        </w:rPr>
        <w:t>[HC 81.154, rel. min. Maurício Corrêa, j. 2-10-2001, 2ª T, DJ de 19-12-2001.]</w:t>
      </w:r>
    </w:p>
    <w:p>
      <w:pPr>
        <w:ind w:left="288"/>
      </w:pPr>
      <w:r>
        <w:rPr>
          <w:color w:val="8C8C8C"/>
          <w:sz w:val="12"/>
        </w:rPr>
        <w:t>cf-art-5-inc-L</w:t>
      </w:r>
      <w:r>
        <w:rPr>
          <w:color w:val="003CA0"/>
          <w:sz w:val="12"/>
        </w:rPr>
        <w:t xml:space="preserve"> | HC 74.116</w:t>
      </w:r>
      <w:r>
        <w:rPr>
          <w:color w:val="003CA0"/>
          <w:sz w:val="12"/>
        </w:rPr>
        <w:t xml:space="preserve"> | rel. Sepúlveda Pertence</w:t>
      </w:r>
    </w:p>
    <w:p>
      <w:pPr>
        <w:ind w:left="288"/>
      </w:pPr>
      <w:r>
        <w:rPr>
          <w:color w:val="1E1E1E"/>
          <w:sz w:val="18"/>
        </w:rPr>
        <w:t>= HC 74.116, rel. Néri da Silveira, red. do ac. min. Maurício Corrêa, j. 5-11-1996, 2ª T, DJ de 14-3-1997 Objeção de princípio – em relação à qual houve reserva de ministros do Tribunal – à tese aventada de que à garantia constitucional da inadmissibilidade da prova ilícita se possa opor, com o fim de dar-lhe prevalência em nome do princípio da proporcionalidade, o interesse público na eficácia da repressão penal em geral ou, em particular, na de determinados crimes: é que, aí, foi a Constituição mesma que ponderou os valores contrapostos e optou – em prejuízo, se necessário da eficácia da per</w:t>
      </w:r>
    </w:p>
    <w:p>
      <w:pPr>
        <w:ind w:left="288"/>
      </w:pPr>
      <w:r>
        <w:rPr>
          <w:b/>
          <w:color w:val="003CA0"/>
          <w:sz w:val="16"/>
        </w:rPr>
        <w:t>[HC 79.512, rel. min. Sepúlveda Pertence, j. 16-12-1999, P, DJ de 16-5-2003.]</w:t>
      </w:r>
    </w:p>
    <w:p>
      <w:pPr>
        <w:ind w:left="288"/>
      </w:pPr>
      <w:r>
        <w:rPr>
          <w:color w:val="8C8C8C"/>
          <w:sz w:val="12"/>
        </w:rPr>
        <w:t>cf-art-5-inc-L</w:t>
      </w:r>
      <w:r>
        <w:rPr>
          <w:color w:val="003CA0"/>
          <w:sz w:val="12"/>
        </w:rPr>
        <w:t xml:space="preserve"> | HC 78.937</w:t>
      </w:r>
      <w:r>
        <w:rPr>
          <w:color w:val="003CA0"/>
          <w:sz w:val="12"/>
        </w:rPr>
        <w:t xml:space="preserve"> | rel. Maurício Corrêa</w:t>
      </w:r>
    </w:p>
    <w:p>
      <w:pPr>
        <w:ind w:left="288"/>
      </w:pPr>
      <w:r>
        <w:rPr>
          <w:color w:val="1E1E1E"/>
          <w:sz w:val="18"/>
        </w:rPr>
        <w:t>A falta de autenticação de cópia de laudo pericial juntado aos autos não caracteriza prova ilícita desde que a omissão possa ser suprida por outro meio idôneo. Precedente. Não configura prova ilícita o laudo de engenharia subscrito por diversos engenheiros, alguns sem inscrição profissional no Conselho Regional de Engenharia, Arquitetura e Agronomia (Crea).</w:t>
      </w:r>
    </w:p>
    <w:p>
      <w:pPr>
        <w:ind w:left="288"/>
      </w:pPr>
      <w:r>
        <w:rPr>
          <w:b/>
          <w:color w:val="003CA0"/>
          <w:sz w:val="16"/>
        </w:rPr>
        <w:t>[HC 78.937, rel. min. Maurício Corrêa, j. 18-5-1999, 2ª T, DJ de 29-8-2003.]</w:t>
      </w:r>
    </w:p>
    <w:p>
      <w:pPr>
        <w:ind w:left="288"/>
      </w:pPr>
      <w:r>
        <w:rPr>
          <w:color w:val="8C8C8C"/>
          <w:sz w:val="12"/>
        </w:rPr>
        <w:t>cf-art-5-inc-L</w:t>
      </w:r>
      <w:r>
        <w:rPr>
          <w:color w:val="003CA0"/>
          <w:sz w:val="12"/>
        </w:rPr>
        <w:t xml:space="preserve"> | HC 75.338</w:t>
      </w:r>
      <w:r>
        <w:rPr>
          <w:color w:val="003CA0"/>
          <w:sz w:val="12"/>
        </w:rPr>
        <w:t xml:space="preserve"> | rel. Nelson Jobim</w:t>
      </w:r>
    </w:p>
    <w:p>
      <w:pPr>
        <w:ind w:left="288"/>
      </w:pPr>
      <w:r>
        <w:rPr>
          <w:color w:val="1E1E1E"/>
          <w:sz w:val="18"/>
        </w:rPr>
        <w:t>É lícita a gravação de conversa telefônica feita por um dos interlocutores, ou com sua autorização, sem ciência do outro, quando há investida criminosa deste último.</w:t>
      </w:r>
    </w:p>
    <w:p>
      <w:pPr>
        <w:ind w:left="288"/>
      </w:pPr>
      <w:r>
        <w:rPr>
          <w:b/>
          <w:color w:val="003CA0"/>
          <w:sz w:val="16"/>
        </w:rPr>
        <w:t>[HC 75.338, rel. min. Nelson Jobim, j. 11-3-1998, P, DJ de 25-9-1998.]</w:t>
      </w:r>
    </w:p>
    <w:p>
      <w:pPr>
        <w:ind w:left="288"/>
      </w:pPr>
      <w:r>
        <w:rPr>
          <w:color w:val="8C8C8C"/>
          <w:sz w:val="12"/>
        </w:rPr>
        <w:t>cf-art-5-inc-L</w:t>
      </w:r>
      <w:r>
        <w:rPr>
          <w:color w:val="003CA0"/>
          <w:sz w:val="12"/>
        </w:rPr>
        <w:t xml:space="preserve"> | HC 74.678</w:t>
      </w:r>
      <w:r>
        <w:rPr>
          <w:color w:val="003CA0"/>
          <w:sz w:val="12"/>
        </w:rPr>
        <w:t xml:space="preserve"> | rel. Moreira Alves</w:t>
      </w:r>
    </w:p>
    <w:p>
      <w:pPr>
        <w:ind w:left="288"/>
      </w:pPr>
      <w:r>
        <w:rPr>
          <w:color w:val="1E1E1E"/>
          <w:sz w:val="18"/>
        </w:rPr>
        <w:t>= HC 74.678, rel. min. Moreira Alves, j. 10-6-1997, 1ª T, DJ de 15-8-1997 Vide AI 769.798 AgR, rel. min. Cármen Lúcia, j. 1º-2-2011, 1ª T, DJE de 23-2-2011 Vide RE 212.081, rel. min. Octavio Gallotti, j. 5-12-1997, 1ª T, DJ de 27-3-1998 A prova ilícita (...), não sendo a única mencionada na denúncia, não compromete a validade das demais provas que, por ela não contaminadas e dela não decorrentes, integram o conjunto probatório.</w:t>
      </w:r>
    </w:p>
    <w:p>
      <w:pPr>
        <w:ind w:left="288"/>
      </w:pPr>
      <w:r>
        <w:rPr>
          <w:b/>
          <w:color w:val="003CA0"/>
          <w:sz w:val="16"/>
        </w:rPr>
        <w:t>[RHC 74.807, rel. min. Maurício Corrêa, j. 22-4-1997, 2ª T, DJ de 20-6-1997.]</w:t>
      </w:r>
    </w:p>
    <w:p>
      <w:pPr>
        <w:ind w:left="288"/>
      </w:pPr>
      <w:r>
        <w:rPr>
          <w:color w:val="8C8C8C"/>
          <w:sz w:val="12"/>
        </w:rPr>
        <w:t>cf-art-5-inc-L</w:t>
      </w:r>
      <w:r>
        <w:rPr>
          <w:color w:val="003CA0"/>
          <w:sz w:val="12"/>
        </w:rPr>
        <w:t xml:space="preserve"> | HC 92.467</w:t>
      </w:r>
      <w:r>
        <w:rPr>
          <w:color w:val="003CA0"/>
          <w:sz w:val="12"/>
        </w:rPr>
        <w:t xml:space="preserve"> | rel. Eros Grau</w:t>
      </w:r>
    </w:p>
    <w:p>
      <w:pPr>
        <w:ind w:left="288"/>
      </w:pPr>
      <w:r>
        <w:rPr>
          <w:color w:val="1E1E1E"/>
          <w:sz w:val="18"/>
        </w:rPr>
        <w:t xml:space="preserve">= HC 92.467, rel. min. Eros Grau, red. do ac. min. Gilmar Mendes, j. 26-10-2010, 2ª T, DJE de 15-2-2011 Prova ilícita. Escuta telefônica. Fruits of the poisonous tree. Não acolhimento. Não cabe anular-se a decisão condenatória com base na alegação de haver a prisão em flagrante resultado de informação obtida por meio de censura telefônica deferida judicialmente. É que a interceptação telefônica – prova tida por ilícita até a edição da Lei 9.296, de 24-7-1996, e que contaminava as demais provas que dela se originavam – não foi a prova exclusiva que desencadeou o procedimento penal, mas somente </w:t>
      </w:r>
    </w:p>
    <w:p>
      <w:pPr>
        <w:ind w:left="288"/>
      </w:pPr>
      <w:r>
        <w:rPr>
          <w:b/>
          <w:color w:val="003CA0"/>
          <w:sz w:val="16"/>
        </w:rPr>
        <w:t>[HC 74.599, rel. min. Ilmar Galvão, j. 3-12-1996, 1ª T, DJ de 7-2-1997.]</w:t>
      </w:r>
    </w:p>
    <w:p>
      <w:pPr>
        <w:ind w:left="288"/>
      </w:pPr>
      <w:r>
        <w:rPr>
          <w:color w:val="8C8C8C"/>
          <w:sz w:val="12"/>
        </w:rPr>
        <w:t>cf-art-5-inc-L</w:t>
      </w:r>
      <w:r>
        <w:rPr>
          <w:color w:val="003CA0"/>
          <w:sz w:val="12"/>
        </w:rPr>
        <w:t xml:space="preserve"> | HC 74.267</w:t>
      </w:r>
      <w:r>
        <w:rPr>
          <w:color w:val="003CA0"/>
          <w:sz w:val="12"/>
        </w:rPr>
        <w:t xml:space="preserve"> | rel. Francisco Rezek</w:t>
      </w:r>
    </w:p>
    <w:p>
      <w:pPr>
        <w:ind w:left="288"/>
      </w:pPr>
      <w:r>
        <w:rPr>
          <w:color w:val="1E1E1E"/>
          <w:sz w:val="18"/>
        </w:rPr>
        <w:t>O reconhecimento fotográfico tem valor probante pleno quando acompanhado e reforçado por outros elementos de convicção.</w:t>
      </w:r>
    </w:p>
    <w:p>
      <w:pPr>
        <w:ind w:left="288"/>
      </w:pPr>
      <w:r>
        <w:rPr>
          <w:b/>
          <w:color w:val="003CA0"/>
          <w:sz w:val="16"/>
        </w:rPr>
        <w:t>[HC 74.267, rel. min. Francisco Rezek, j. 26-11-1996, 2ª T, DJ de 28-2-1997.]</w:t>
      </w:r>
    </w:p>
    <w:p>
      <w:pPr>
        <w:ind w:left="288"/>
      </w:pPr>
      <w:r>
        <w:rPr>
          <w:color w:val="8C8C8C"/>
          <w:sz w:val="12"/>
        </w:rPr>
        <w:t>cf-art-5-inc-L</w:t>
      </w:r>
      <w:r>
        <w:rPr>
          <w:color w:val="003CA0"/>
          <w:sz w:val="12"/>
        </w:rPr>
        <w:t xml:space="preserve"> | HC 104.404</w:t>
      </w:r>
      <w:r>
        <w:rPr>
          <w:color w:val="003CA0"/>
          <w:sz w:val="12"/>
        </w:rPr>
        <w:t xml:space="preserve"> | rel. Dias Tofolli</w:t>
      </w:r>
    </w:p>
    <w:p>
      <w:pPr>
        <w:ind w:left="288"/>
      </w:pPr>
      <w:r>
        <w:rPr>
          <w:color w:val="1E1E1E"/>
          <w:sz w:val="18"/>
        </w:rPr>
        <w:t>= HC 104.404, rel. min. Dias Tofolli, j. 21-9-2010, 1ª T, DJE de 30-11-2010 Impõe-se a extensão de habeas corpus, para anular-se o processo criminal, se a decisão se baseou em prova ilícita, a afastar qualquer caráter pessoal. Cuida-se de estabelecer, na forma do art. 580 do CPP, igualdade de tratamento entre os corréus que se encontram na mesma situação processual.</w:t>
      </w:r>
    </w:p>
    <w:p>
      <w:pPr>
        <w:ind w:left="288"/>
      </w:pPr>
      <w:r>
        <w:rPr>
          <w:b/>
          <w:color w:val="003CA0"/>
          <w:sz w:val="16"/>
        </w:rPr>
        <w:t>[HC 74.113, rel. min. Ilmar Galvão, j. 28-6-1996, P, DJ de 4-4-1997.]</w:t>
      </w:r>
    </w:p>
    <w:p>
      <w:pPr>
        <w:ind w:left="288"/>
      </w:pPr>
      <w:r>
        <w:rPr>
          <w:color w:val="8C8C8C"/>
          <w:sz w:val="12"/>
        </w:rPr>
        <w:t>cf-art-5-inc-L</w:t>
      </w:r>
      <w:r>
        <w:rPr>
          <w:color w:val="003CA0"/>
          <w:sz w:val="12"/>
        </w:rPr>
        <w:t xml:space="preserve"> | HC 72.588</w:t>
      </w:r>
      <w:r>
        <w:rPr>
          <w:color w:val="003CA0"/>
          <w:sz w:val="12"/>
        </w:rPr>
        <w:t xml:space="preserve"> | rel. Maurício Corrêa</w:t>
      </w:r>
    </w:p>
    <w:p>
      <w:pPr>
        <w:ind w:left="288"/>
      </w:pPr>
      <w:r>
        <w:rPr>
          <w:color w:val="1E1E1E"/>
          <w:sz w:val="18"/>
        </w:rPr>
        <w:t>As provas obtidas por meios ilícitos contaminam as que são exclusivamente delas decorrentes; tornam-se inadmissíveis no processo e não podem ensejar a investigação criminal e, com mais razão, a denúncia, a instrução e o julgamento (CF, art. 5º, LVI), ainda que tenha restado sobejamente comprovado, por meio delas, que o juiz foi vítima das contumélias do paciente.</w:t>
      </w:r>
    </w:p>
    <w:p>
      <w:pPr>
        <w:ind w:left="288"/>
      </w:pPr>
      <w:r>
        <w:rPr>
          <w:b/>
          <w:color w:val="003CA0"/>
          <w:sz w:val="16"/>
        </w:rPr>
        <w:t>[HC 72.588, rel. min. Maurício Corrêa, j. 12-6-1996, P, DJ de 4-8-2000.]</w:t>
      </w:r>
    </w:p>
    <w:p>
      <w:pPr>
        <w:ind w:left="288"/>
      </w:pPr>
      <w:r>
        <w:rPr>
          <w:color w:val="8C8C8C"/>
          <w:sz w:val="12"/>
        </w:rPr>
        <w:t>cf-art-5-inc-L</w:t>
      </w:r>
      <w:r>
        <w:rPr>
          <w:color w:val="003CA0"/>
          <w:sz w:val="12"/>
        </w:rPr>
        <w:t xml:space="preserve"> | HC 74.586</w:t>
      </w:r>
      <w:r>
        <w:rPr>
          <w:color w:val="003CA0"/>
          <w:sz w:val="12"/>
        </w:rPr>
        <w:t xml:space="preserve"> | rel. Marco Aurélio</w:t>
      </w:r>
    </w:p>
    <w:p>
      <w:pPr>
        <w:ind w:left="288"/>
      </w:pPr>
      <w:r>
        <w:rPr>
          <w:color w:val="1E1E1E"/>
          <w:sz w:val="18"/>
        </w:rPr>
        <w:t>= HC 74.586, rel. min. Marco Aurélio, j. 5-8-1997, 2ª T, DJ de 27-4-2001 Inadmissibilidade, como prova, de laudos de degravação de conversa telefônica e de registros contidos na memória de microcomputador, obtidos por meios ilícitos (art. 5º, LVI, da CF); no primeiro caso, por se tratar de gravação realizada por um dos interlocutores, sem conhecimento do outro, havendo a degravação sido feita com inobservância do princípio do contraditório, e utilizada com violação à privacidade alheia (art. 5º, X, da CF); e, no segundo caso, por estar-se diante de microcomputador que, além de ter sido apreend</w:t>
      </w:r>
    </w:p>
    <w:p>
      <w:pPr>
        <w:ind w:left="288"/>
      </w:pPr>
      <w:r>
        <w:rPr>
          <w:b/>
          <w:color w:val="003CA0"/>
          <w:sz w:val="16"/>
        </w:rPr>
        <w:t>[AP 307, rel. min. Ilmar Galvão, j. 13-12-1994, P, DJ de 13-10-1995.]</w:t>
      </w:r>
    </w:p>
    <w:p>
      <w:pPr>
        <w:ind w:left="288"/>
      </w:pPr>
      <w:r>
        <w:rPr>
          <w:color w:val="8C8C8C"/>
          <w:sz w:val="12"/>
        </w:rPr>
        <w:t>cf-art-5-inc-L</w:t>
      </w:r>
    </w:p>
    <w:p>
      <w:pPr>
        <w:ind w:left="288"/>
      </w:pPr>
      <w:r>
        <w:rPr>
          <w:color w:val="1E1E1E"/>
          <w:sz w:val="18"/>
        </w:rPr>
        <w:t>LVII - ninguém será considerado culpado até o trânsito em julgado de sentença penal condenatória; 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88"/>
      </w:pPr>
      <w:r>
        <w:rPr>
          <w:b/>
          <w:color w:val="003CA0"/>
          <w:sz w:val="16"/>
        </w:rPr>
        <w:t>[Súmula Vinculante 11.]</w:t>
      </w:r>
    </w:p>
    <w:p>
      <w:pPr>
        <w:ind w:left="288"/>
      </w:pPr>
      <w:r>
        <w:rPr>
          <w:color w:val="8C8C8C"/>
          <w:sz w:val="12"/>
        </w:rPr>
        <w:t>cf-art-5-inc-L</w:t>
      </w:r>
      <w:r>
        <w:rPr>
          <w:color w:val="003CA0"/>
          <w:sz w:val="12"/>
        </w:rPr>
        <w:t xml:space="preserve"> | ADI 6.620</w:t>
      </w:r>
      <w:r>
        <w:rPr>
          <w:color w:val="003CA0"/>
          <w:sz w:val="12"/>
        </w:rPr>
        <w:t xml:space="preserve"> | rel. Alexandre de Moraes</w:t>
      </w:r>
    </w:p>
    <w:p>
      <w:pPr>
        <w:ind w:left="288"/>
      </w:pPr>
      <w:r>
        <w:rPr>
          <w:color w:val="1E1E1E"/>
          <w:sz w:val="18"/>
        </w:rPr>
        <w:t>Competência estadual para a instituição de cadastros de crimes contra a dignidade sexual de crianças e adolescentes e de violência contra a mulher. (...) Os cadastros instituídos pelas Leis 10.315/2015 e 10.915/2019 do Estado de Mato Grosso constituem mecanismos voltados a subsidiar os órgãos públicos no controle de dados e informações relevantes para a persecução penal e para a adoção de políticas públicas, e fornecem à sociedade mato-grossense a possibilidade de monitoramento desses dados. Trata-se de uma medida apta a contribuir para a prevenção de novos delitos. (...) A sistematização de d</w:t>
      </w:r>
    </w:p>
    <w:p>
      <w:pPr>
        <w:ind w:left="288"/>
      </w:pPr>
      <w:r>
        <w:rPr>
          <w:b/>
          <w:color w:val="003CA0"/>
          <w:sz w:val="16"/>
        </w:rPr>
        <w:t>[ADI 6.620, rel. min. Alexandre de Moraes, j. 18.04.2024, P, DJE de 20.06.2024.]</w:t>
      </w:r>
    </w:p>
    <w:p>
      <w:pPr>
        <w:ind w:left="288"/>
      </w:pPr>
      <w:r>
        <w:rPr>
          <w:color w:val="8C8C8C"/>
          <w:sz w:val="12"/>
        </w:rPr>
        <w:t>cf-art-5-inc-L</w:t>
      </w:r>
      <w:r>
        <w:rPr>
          <w:color w:val="003CA0"/>
          <w:sz w:val="12"/>
        </w:rPr>
        <w:t xml:space="preserve"> | ADC 43</w:t>
      </w:r>
      <w:r>
        <w:rPr>
          <w:color w:val="003CA0"/>
          <w:sz w:val="12"/>
        </w:rPr>
        <w:t xml:space="preserve"> | rel. Marco Aurélio</w:t>
      </w:r>
    </w:p>
    <w:p>
      <w:pPr>
        <w:ind w:left="288"/>
      </w:pPr>
      <w:r>
        <w:rPr>
          <w:color w:val="1E1E1E"/>
          <w:sz w:val="18"/>
        </w:rPr>
        <w:t>Surge constitucional o artigo 283 do Código de Processo Penal, a condicionar o início do cumprimento da pena ao trânsito em julgado da sentença penal condenatória, considerado o alcance da garantia versada no artigo 5º, inciso LVII, da Constituição Federal, no que direciona a apurar para, selada a culpa em virtude de título precluso na via da recorribilidade, prender, em execução da sanção, a qual não admite forma provisória.</w:t>
      </w:r>
    </w:p>
    <w:p>
      <w:pPr>
        <w:ind w:left="288"/>
      </w:pPr>
      <w:r>
        <w:rPr>
          <w:b/>
          <w:color w:val="003CA0"/>
          <w:sz w:val="16"/>
        </w:rPr>
        <w:t>[ADC 43, ADC 44 e ADC 54, rel. min. Marco Aurélio, j. 7-11-2019, P, DJE de 12-11-2020.]</w:t>
      </w:r>
    </w:p>
    <w:p>
      <w:pPr>
        <w:ind w:left="288"/>
      </w:pPr>
      <w:r>
        <w:rPr>
          <w:color w:val="8C8C8C"/>
          <w:sz w:val="12"/>
        </w:rPr>
        <w:t>cf-art-5-inc-L</w:t>
      </w:r>
      <w:r>
        <w:rPr>
          <w:color w:val="003CA0"/>
          <w:sz w:val="12"/>
        </w:rPr>
        <w:t xml:space="preserve"> | ADPF 395</w:t>
      </w:r>
      <w:r>
        <w:rPr>
          <w:color w:val="003CA0"/>
          <w:sz w:val="12"/>
        </w:rPr>
        <w:t xml:space="preserve"> | rel. Gilmar Mendes</w:t>
      </w:r>
    </w:p>
    <w:p>
      <w:pPr>
        <w:ind w:left="288"/>
      </w:pPr>
      <w:r>
        <w:rPr>
          <w:color w:val="1E1E1E"/>
          <w:sz w:val="18"/>
        </w:rPr>
        <w:t xml:space="preserve">Presunção de não culpabilidade. A condução coercitiva representa restrição temporária da liberdade de locomoção mediante condução sob custódia por forças policiais, em vias públicas, não sendo tratamento normalmente aplicado a pessoas inocentes. Violação. Dignidade da pessoa humana (art. 1º, III, da CF/88). O indivíduo deve ser reconhecido como um membro da sociedade dotado de valor intrínseco, em condições de igualdade e com direitos iguais. Tornar o ser humano mero objeto no Estado, consequentemente, contraria a dignidade humana (NETO, João Costa. Dignidade Humana: São Paulo, Saraiva, 2014. </w:t>
      </w:r>
    </w:p>
    <w:p>
      <w:pPr>
        <w:ind w:left="288"/>
      </w:pPr>
      <w:r>
        <w:rPr>
          <w:b/>
          <w:color w:val="003CA0"/>
          <w:sz w:val="16"/>
        </w:rPr>
        <w:t>[ADPF 395 e ADPF 444, rel. min. Gilmar Mendes, j. 14-6-2018, P, DJE de 22-5-2019.]</w:t>
      </w:r>
    </w:p>
    <w:p>
      <w:pPr>
        <w:ind w:left="288"/>
      </w:pPr>
      <w:r>
        <w:rPr>
          <w:color w:val="8C8C8C"/>
          <w:sz w:val="12"/>
        </w:rPr>
        <w:t>cf-art-5-inc-L</w:t>
      </w:r>
      <w:r>
        <w:rPr>
          <w:color w:val="003CA0"/>
          <w:sz w:val="12"/>
        </w:rPr>
        <w:t xml:space="preserve"> | ADC 29</w:t>
      </w:r>
      <w:r>
        <w:rPr>
          <w:color w:val="003CA0"/>
          <w:sz w:val="12"/>
        </w:rPr>
        <w:t xml:space="preserve"> | rel. Luiz Fux</w:t>
      </w:r>
    </w:p>
    <w:p>
      <w:pPr>
        <w:ind w:left="288"/>
      </w:pPr>
      <w:r>
        <w:rPr>
          <w:color w:val="1E1E1E"/>
          <w:sz w:val="18"/>
        </w:rPr>
        <w:t>A presunção de inocência consagrada no art. 5º, LVII, da CF deve ser reconhecida como uma regra e interpretada com o recurso da metodologia análoga a uma redução teleológica, que reaproxime o enunciado normativo da sua própria literalidade, de modo a reconduzi-la aos efeitos próprios da condenação criminal (que podem incluir a perda ou a suspensão de direitos políticos, mas não a inelegibilidade), sob pena de frustrar o propósito moralizante do art. 14, § 9º, da CF. Não é violado pela LC 135/2010 o princípio constitucional da vedação de retrocesso, posto não vislumbrado o pressuposto de sua ap</w:t>
      </w:r>
    </w:p>
    <w:p>
      <w:pPr>
        <w:ind w:left="288"/>
      </w:pPr>
      <w:r>
        <w:rPr>
          <w:b/>
          <w:color w:val="003CA0"/>
          <w:sz w:val="16"/>
        </w:rPr>
        <w:t>[ADC 29, ADC 30 e ADI 4.578, rel. min. Luiz Fux, j. 16-2-2012, P, DJE de 29-6-2012.]</w:t>
      </w:r>
    </w:p>
    <w:p>
      <w:pPr>
        <w:ind w:left="288"/>
      </w:pPr>
      <w:r>
        <w:rPr>
          <w:color w:val="8C8C8C"/>
          <w:sz w:val="12"/>
        </w:rPr>
        <w:t>cf-art-5-inc-L</w:t>
      </w:r>
      <w:r>
        <w:rPr>
          <w:color w:val="003CA0"/>
          <w:sz w:val="12"/>
        </w:rPr>
        <w:t xml:space="preserve"> | ADI 3.112</w:t>
      </w:r>
      <w:r>
        <w:rPr>
          <w:color w:val="003CA0"/>
          <w:sz w:val="12"/>
        </w:rPr>
        <w:t xml:space="preserve"> | rel. Ricardo Lewandowski</w:t>
      </w:r>
    </w:p>
    <w:p>
      <w:pPr>
        <w:ind w:left="288"/>
      </w:pPr>
      <w:r>
        <w:rPr>
          <w:color w:val="1E1E1E"/>
          <w:sz w:val="18"/>
        </w:rPr>
        <w:t>Ação direta de inconstitucionalidade. Lei 10.826/2003. Estatuto do desarmamento. Insusceptibilidade de liberdade provisória quanto aos delitos elencados nos arts. 16, 17 e 18. Inconstitucionalidade reconhecida, visto que o Texto Magno não autoriza a prisão ex lege, em face dos princípios da presunção de inocência e da obrigatoriedade de fundamentação dos mandados de prisão pela autoridade judiciária competente.</w:t>
      </w:r>
    </w:p>
    <w:p>
      <w:pPr>
        <w:ind w:left="288"/>
      </w:pPr>
      <w:r>
        <w:rPr>
          <w:b/>
          <w:color w:val="003CA0"/>
          <w:sz w:val="16"/>
        </w:rPr>
        <w:t>[ADI 3.112, rel. min. Ricardo Lewandowski, j. 2-5-2007, P, DJ de 26-10-2007.]</w:t>
      </w:r>
    </w:p>
    <w:p>
      <w:pPr>
        <w:ind w:left="288"/>
      </w:pPr>
      <w:r>
        <w:rPr>
          <w:color w:val="8C8C8C"/>
          <w:sz w:val="12"/>
        </w:rPr>
        <w:t>cf-art-5-inc-L</w:t>
      </w:r>
      <w:r>
        <w:rPr>
          <w:color w:val="003CA0"/>
          <w:sz w:val="12"/>
        </w:rPr>
        <w:t xml:space="preserve"> | ARE 848.107</w:t>
      </w:r>
      <w:r>
        <w:rPr>
          <w:color w:val="003CA0"/>
          <w:sz w:val="12"/>
        </w:rPr>
        <w:t xml:space="preserve"> | rel. Dias Toffoli</w:t>
      </w:r>
    </w:p>
    <w:p>
      <w:pPr>
        <w:ind w:left="288"/>
      </w:pPr>
      <w:r>
        <w:rPr>
          <w:color w:val="1E1E1E"/>
          <w:sz w:val="18"/>
        </w:rPr>
        <w:t>A prescrição da execução da pena concretamente aplicada começa a correr do dia em que transita em julgado a sentença condenatória para ambas as partes, momento em que nasce para o Estado a pretensão executória da pena, conforme interpretação dada pelo Supremo Tribunal Federal, nas ADC nºs 43, 44 e 54, ao princípio da presunção de inocência (art. 5º, inciso LVII, da Constituição Federal).</w:t>
      </w:r>
    </w:p>
    <w:p>
      <w:pPr>
        <w:ind w:left="288"/>
      </w:pPr>
      <w:r>
        <w:rPr>
          <w:b/>
          <w:color w:val="003CA0"/>
          <w:sz w:val="16"/>
        </w:rPr>
        <w:t>[ARE 848.107, rel. min. Dias Toffoli, j. 3-7-2023, P, DJE de 4-8-2023, Tema 788, com mérito julgado.]</w:t>
      </w:r>
    </w:p>
    <w:p>
      <w:pPr>
        <w:ind w:left="288"/>
      </w:pPr>
      <w:r>
        <w:rPr>
          <w:color w:val="8C8C8C"/>
          <w:sz w:val="12"/>
        </w:rPr>
        <w:t>cf-art-5-inc-L</w:t>
      </w:r>
      <w:r>
        <w:rPr>
          <w:color w:val="003CA0"/>
          <w:sz w:val="12"/>
        </w:rPr>
        <w:t xml:space="preserve"> | RE 1.038.925</w:t>
      </w:r>
      <w:r>
        <w:rPr>
          <w:color w:val="003CA0"/>
          <w:sz w:val="12"/>
        </w:rPr>
        <w:t xml:space="preserve"> | rel. Gilmar Mendes</w:t>
      </w:r>
    </w:p>
    <w:p>
      <w:pPr>
        <w:ind w:left="288"/>
      </w:pPr>
      <w:r>
        <w:rPr>
          <w:color w:val="1E1E1E"/>
          <w:sz w:val="18"/>
        </w:rPr>
        <w:t>É inconstitucional a expressão “e liberdade provisória”, constante do caput do art. 44 da Lei 11.343/2006.</w:t>
      </w:r>
    </w:p>
    <w:p>
      <w:pPr>
        <w:ind w:left="288"/>
      </w:pPr>
      <w:r>
        <w:rPr>
          <w:b/>
          <w:color w:val="003CA0"/>
          <w:sz w:val="16"/>
        </w:rPr>
        <w:t>[RE 1.038.925 RG, rel. min. Gilmar Mendes, j. 18-8-2017, P, DJE de 19-9-2017, Tema 959, com mérito julgado.]</w:t>
      </w:r>
    </w:p>
    <w:p>
      <w:pPr>
        <w:ind w:left="288"/>
      </w:pPr>
      <w:r>
        <w:rPr>
          <w:color w:val="8C8C8C"/>
          <w:sz w:val="12"/>
        </w:rPr>
        <w:t>cf-art-5-inc-L</w:t>
      </w:r>
      <w:r>
        <w:rPr>
          <w:color w:val="003CA0"/>
          <w:sz w:val="12"/>
        </w:rPr>
        <w:t xml:space="preserve"> | ARE 964.246</w:t>
      </w:r>
      <w:r>
        <w:rPr>
          <w:color w:val="003CA0"/>
          <w:sz w:val="12"/>
        </w:rPr>
        <w:t xml:space="preserve"> | rel. Teori Zavascki</w:t>
      </w:r>
    </w:p>
    <w:p>
      <w:pPr>
        <w:ind w:left="288"/>
      </w:pPr>
      <w:r>
        <w:rPr>
          <w:color w:val="1E1E1E"/>
          <w:sz w:val="18"/>
        </w:rPr>
        <w:t>Em regime de repercussão geral, fica reafirmada a jurisprudência do STF no sentido de que a execução provisória de acórdão penal condenatório proferido em grau recursal, ainda que sujeito a recurso especial ou extraordinário, não compromete o princípio constitucional da presunção de inocência afirmado pelo art. 5º, LVII, da CF.</w:t>
      </w:r>
    </w:p>
    <w:p>
      <w:pPr>
        <w:ind w:left="288"/>
      </w:pPr>
      <w:r>
        <w:rPr>
          <w:b/>
          <w:color w:val="003CA0"/>
          <w:sz w:val="16"/>
        </w:rPr>
        <w:t>[ARE 964.246 RG, rel. min. Teori Zavascki, j. 10-11-2016, P, DJE de 25-11-2016, Tema 925, com mérito julgado.]</w:t>
      </w:r>
    </w:p>
    <w:p>
      <w:pPr>
        <w:ind w:left="288"/>
      </w:pPr>
      <w:r>
        <w:rPr>
          <w:color w:val="8C8C8C"/>
          <w:sz w:val="12"/>
        </w:rPr>
        <w:t>cf-art-5-inc-L</w:t>
      </w:r>
      <w:r>
        <w:rPr>
          <w:color w:val="003CA0"/>
          <w:sz w:val="12"/>
        </w:rPr>
        <w:t xml:space="preserve"> | HC 142.173</w:t>
      </w:r>
      <w:r>
        <w:rPr>
          <w:color w:val="003CA0"/>
          <w:sz w:val="12"/>
        </w:rPr>
        <w:t xml:space="preserve"> | rel. Gilmar Mendes</w:t>
      </w:r>
    </w:p>
    <w:p>
      <w:pPr>
        <w:ind w:left="288"/>
      </w:pPr>
      <w:r>
        <w:rPr>
          <w:color w:val="1E1E1E"/>
          <w:sz w:val="18"/>
        </w:rPr>
        <w:t>Vide HC 142.173, rel. min. Gilmar Mendes, j. 23-5-2017, 2ª T, DJE de 6-6-2017. Ante o princípio constitucional da não culpabilidade, inquéritos e processos criminais em curso são neutros na definição dos antecedentes criminais.</w:t>
      </w:r>
    </w:p>
    <w:p>
      <w:pPr>
        <w:ind w:left="288"/>
      </w:pPr>
      <w:r>
        <w:rPr>
          <w:b/>
          <w:color w:val="003CA0"/>
          <w:sz w:val="16"/>
        </w:rPr>
        <w:t>[RE 591.054, rel. min. Marco Aurélio, j. 17-12-2014, P, DJE de 26-2-2015, Tema 129, com mérito julgado.]</w:t>
      </w:r>
    </w:p>
    <w:p>
      <w:pPr>
        <w:ind w:left="288"/>
      </w:pPr>
      <w:r>
        <w:rPr>
          <w:color w:val="8C8C8C"/>
          <w:sz w:val="12"/>
        </w:rPr>
        <w:t>cf-art-5-inc-L</w:t>
      </w:r>
      <w:r>
        <w:rPr>
          <w:color w:val="003CA0"/>
          <w:sz w:val="12"/>
        </w:rPr>
        <w:t xml:space="preserve"> | AI 794.971</w:t>
      </w:r>
      <w:r>
        <w:rPr>
          <w:color w:val="003CA0"/>
          <w:sz w:val="12"/>
        </w:rPr>
        <w:t xml:space="preserve"> | rel. Roberto Barroso</w:t>
      </w:r>
    </w:p>
    <w:p>
      <w:pPr>
        <w:ind w:left="288"/>
      </w:pPr>
      <w:r>
        <w:rPr>
          <w:color w:val="1E1E1E"/>
          <w:sz w:val="18"/>
        </w:rPr>
        <w:t>Prescrição. Recurso. Inadmissibilidade. Enquanto não proclamada a inadmissão de recurso de natureza excepcional, tem-se o curso da prescrição da pretensão punitiva, e não a da pretensão executória. Prescrição. Pretensão punitiva. Transcorrido, entre os fatores interruptivos, período previsto no artigo 109 do Código Penal, tem-se prescrição da pretensão punitiva do Estado. Prescrição. Pretensão executória. Termo inicial. A prescrição da pretensão executória, no que pressupõe quadro a revelar a possibilidade de execução da pena, tem como marco inicial o trânsito em julgado, para ambas as partes,</w:t>
      </w:r>
    </w:p>
    <w:p>
      <w:pPr>
        <w:ind w:left="288"/>
      </w:pPr>
      <w:r>
        <w:rPr>
          <w:b/>
          <w:color w:val="003CA0"/>
          <w:sz w:val="16"/>
        </w:rPr>
        <w:t>[AI 794.971-AgR, rel. min. Roberto Barroso, red. do ac. min. Marco Aurélio, j. 16-4-2021, P, DJE de 28-6-2021.]</w:t>
      </w:r>
    </w:p>
    <w:p>
      <w:pPr>
        <w:ind w:left="288"/>
      </w:pPr>
      <w:r>
        <w:rPr>
          <w:color w:val="8C8C8C"/>
          <w:sz w:val="12"/>
        </w:rPr>
        <w:t>cf-art-5-inc-L</w:t>
      </w:r>
      <w:r>
        <w:rPr>
          <w:color w:val="003CA0"/>
          <w:sz w:val="12"/>
        </w:rPr>
        <w:t xml:space="preserve"> | HC 134.508</w:t>
      </w:r>
      <w:r>
        <w:rPr>
          <w:color w:val="003CA0"/>
          <w:sz w:val="12"/>
        </w:rPr>
        <w:t xml:space="preserve"> | rel. Celso de Mello</w:t>
      </w:r>
    </w:p>
    <w:p>
      <w:pPr>
        <w:ind w:left="288"/>
      </w:pPr>
      <w:r>
        <w:rPr>
          <w:color w:val="1E1E1E"/>
          <w:sz w:val="18"/>
        </w:rPr>
        <w:t>Prisão em flagrante. Furto simples (CP, art. 155, caput) e direção ilegal de veículo automotor (CTB, art. 309). Paciente que, por ser pobre, não tem condições de prestar fiança criminal (CPP, art. 325, § 1º, I). Manutenção, mesmo assim, de sua prisão cautelar. Ausência dos requisitos de cautelaridade. (...) Presunção constitucional de inocência. Direito fundamental que assiste a qualquer pessoa. Caráter excepcional da prisão cautelar. Incongruência de manter-se cautelarmente preso alguém que, se condenado, sofrerá a execução da pena em regime aberto (CP, art. 33, § 2º, c), caso o magistrado se</w:t>
      </w:r>
    </w:p>
    <w:p>
      <w:pPr>
        <w:ind w:left="288"/>
      </w:pPr>
      <w:r>
        <w:rPr>
          <w:b/>
          <w:color w:val="003CA0"/>
          <w:sz w:val="16"/>
        </w:rPr>
        <w:t>[HC 134.508 MC, rel. min. Celso de Mello, j. 22-6-2016, dec. monocrática, DJE de 27-6-2016.]</w:t>
      </w:r>
    </w:p>
    <w:p>
      <w:pPr>
        <w:ind w:left="288"/>
      </w:pPr>
      <w:r>
        <w:rPr>
          <w:color w:val="8C8C8C"/>
          <w:sz w:val="12"/>
        </w:rPr>
        <w:t>cf-art-5-inc-L</w:t>
      </w:r>
      <w:r>
        <w:rPr>
          <w:color w:val="003CA0"/>
          <w:sz w:val="12"/>
        </w:rPr>
        <w:t xml:space="preserve"> | PET 5.700</w:t>
      </w:r>
      <w:r>
        <w:rPr>
          <w:color w:val="003CA0"/>
          <w:sz w:val="12"/>
        </w:rPr>
        <w:t xml:space="preserve"> | rel. Celso de Mello</w:t>
      </w:r>
    </w:p>
    <w:p>
      <w:pPr>
        <w:ind w:left="288"/>
      </w:pPr>
      <w:r>
        <w:rPr>
          <w:color w:val="1E1E1E"/>
          <w:sz w:val="18"/>
        </w:rPr>
        <w:t>A colaboração premiada, que não é meio de prova, acha-se legalmente disciplinada como instrumento de obtenção de dados e subsídios informativos. Valor e restrição concernentes ao depoimento do agente colaborador. O "Caso Enzo Tortora" na Itália: um clamoroso erro judiciário. A investigação penal como dever jurídico e resposta legítima do Estado à notitia criminis: o investigado como sujeito de direitos e titular de garantias oponíveis ao Estado. A presunção constitucional de inocência não cessa nem deixa de prevalecer em face da instauração de investigação penal e/ou de processo criminal. Regi</w:t>
      </w:r>
    </w:p>
    <w:p>
      <w:pPr>
        <w:ind w:left="288"/>
      </w:pPr>
      <w:r>
        <w:rPr>
          <w:b/>
          <w:color w:val="003CA0"/>
          <w:sz w:val="16"/>
        </w:rPr>
        <w:t>[Pet 5.700, rel. min. Celso de Mello, j. 22-9-2015, dec. monocrática, DJE de 24-9-2015.]</w:t>
      </w:r>
    </w:p>
    <w:p>
      <w:pPr>
        <w:ind w:left="288"/>
      </w:pPr>
      <w:r>
        <w:rPr>
          <w:color w:val="8C8C8C"/>
          <w:sz w:val="12"/>
        </w:rPr>
        <w:t>cf-art-5-inc-L</w:t>
      </w:r>
      <w:r>
        <w:rPr>
          <w:color w:val="003CA0"/>
          <w:sz w:val="12"/>
        </w:rPr>
        <w:t xml:space="preserve"> | HC 122.072</w:t>
      </w:r>
      <w:r>
        <w:rPr>
          <w:color w:val="003CA0"/>
          <w:sz w:val="12"/>
        </w:rPr>
        <w:t xml:space="preserve"> | rel. Dias Toffoli</w:t>
      </w:r>
    </w:p>
    <w:p>
      <w:pPr>
        <w:ind w:left="288"/>
      </w:pPr>
      <w:r>
        <w:rPr>
          <w:color w:val="1E1E1E"/>
          <w:sz w:val="18"/>
        </w:rPr>
        <w:t>A presunção de inocência se aplica ao processo em que se apura a prática de ato infracional, uma vez que as medidas socioeducativas, ainda que primordialmente tenham natureza pedagógica e finalidade protetiva, podem importar na compressão da liberdade do adolescente, e, portanto, revestem-se de caráter sancionatório-aflitivo. A internação provisória, antes do trânsito em julgado da sentença, assim como a prisão preventiva, tem natureza cautelar, e não satisfativa, uma vez que visa resguardar os meios ou os fins do processo, a exigir, nos termos do art. 108, parágrafo único, do ECA, a demonstra</w:t>
      </w:r>
    </w:p>
    <w:p>
      <w:pPr>
        <w:ind w:left="288"/>
      </w:pPr>
      <w:r>
        <w:rPr>
          <w:b/>
          <w:color w:val="003CA0"/>
          <w:sz w:val="16"/>
        </w:rPr>
        <w:t>[HC 122.072, rel. min. Dias Toffoli, j. 2-9-2014, 1ª T, DJE de 29-9-2014.]</w:t>
      </w:r>
    </w:p>
    <w:p>
      <w:pPr>
        <w:ind w:left="288"/>
      </w:pPr>
      <w:r>
        <w:rPr>
          <w:color w:val="8C8C8C"/>
          <w:sz w:val="12"/>
        </w:rPr>
        <w:t>cf-art-5-inc-L</w:t>
      </w:r>
      <w:r>
        <w:rPr>
          <w:color w:val="003CA0"/>
          <w:sz w:val="12"/>
        </w:rPr>
        <w:t xml:space="preserve"> | HC 84.078</w:t>
      </w:r>
      <w:r>
        <w:rPr>
          <w:color w:val="003CA0"/>
          <w:sz w:val="12"/>
        </w:rPr>
        <w:t xml:space="preserve"> | rel. Eros Grau</w:t>
      </w:r>
    </w:p>
    <w:p>
      <w:pPr>
        <w:ind w:left="288"/>
      </w:pPr>
      <w:r>
        <w:rPr>
          <w:color w:val="1E1E1E"/>
          <w:sz w:val="18"/>
        </w:rPr>
        <w:t>Vide HC 84.078, rel. min. Eros Grau, j. 5-2-2009, P, DJE de 26-2-2010 Viola o princípio da presunção de inocência a negativa em homologar diploma de curso de formação de vigilante, com fundamento em inquéritos ou ações penais sem o trânsito em julgado.</w:t>
      </w:r>
    </w:p>
    <w:p>
      <w:pPr>
        <w:ind w:left="288"/>
      </w:pPr>
      <w:r>
        <w:rPr>
          <w:b/>
          <w:color w:val="003CA0"/>
          <w:sz w:val="16"/>
        </w:rPr>
        <w:t>[RE 805.821 AgR, rel. min. Ricardo Lewandowski, j. 24-6-2014, 2ª T, DJE de 15-8-2014.]</w:t>
      </w:r>
    </w:p>
    <w:p>
      <w:pPr>
        <w:ind w:left="288"/>
      </w:pPr>
      <w:r>
        <w:rPr>
          <w:color w:val="8C8C8C"/>
          <w:sz w:val="12"/>
        </w:rPr>
        <w:t>cf-art-5-inc-L</w:t>
      </w:r>
      <w:r>
        <w:rPr>
          <w:color w:val="003CA0"/>
          <w:sz w:val="12"/>
        </w:rPr>
        <w:t xml:space="preserve"> | ARE 943.503</w:t>
      </w:r>
      <w:r>
        <w:rPr>
          <w:color w:val="003CA0"/>
          <w:sz w:val="12"/>
        </w:rPr>
        <w:t xml:space="preserve"> | rel. Roberto Barroso</w:t>
      </w:r>
    </w:p>
    <w:p>
      <w:pPr>
        <w:ind w:left="288"/>
      </w:pPr>
      <w:r>
        <w:rPr>
          <w:color w:val="1E1E1E"/>
          <w:sz w:val="18"/>
        </w:rPr>
        <w:t>= ARE 943.503 AgR, rel. min. Roberto Barroso, j. 8-12-2016, 1ª T, DJE de 1º-2-2017 Vide RE 559.135 AgR, rel. min. Ricardo Lewandowski, j. 20-5-2008, 1ª T, DJE de 13-6-2008 Poder disciplinar. Prescrição. Anotação de fatos desabonadores nos assentamentos funcionais. Declaração incidental de inconstitucionalidade do art. 170 da Lei 8.112/1990. Violação do princípio da presunção de inocência. (...) A instauração do processo disciplinar interrompe o curso do prazo prescricional da infração, que volta a correr depois de ultrapassados 140 dias sem que haja decisão definitiva. O princípio da presunção</w:t>
      </w:r>
    </w:p>
    <w:p>
      <w:pPr>
        <w:ind w:left="288"/>
      </w:pPr>
      <w:r>
        <w:rPr>
          <w:b/>
          <w:color w:val="003CA0"/>
          <w:sz w:val="16"/>
        </w:rPr>
        <w:t>[MS 23.262, rel. min. Dias Toffoli, j. 23-4-2014, P, DJE de 30-10-2014.]</w:t>
      </w:r>
    </w:p>
    <w:p>
      <w:pPr>
        <w:ind w:left="288"/>
      </w:pPr>
      <w:r>
        <w:rPr>
          <w:color w:val="8C8C8C"/>
          <w:sz w:val="12"/>
        </w:rPr>
        <w:t>cf-art-5-inc-L</w:t>
      </w:r>
      <w:r>
        <w:rPr>
          <w:color w:val="003CA0"/>
          <w:sz w:val="12"/>
        </w:rPr>
        <w:t xml:space="preserve"> | AI 829.186</w:t>
      </w:r>
      <w:r>
        <w:rPr>
          <w:color w:val="003CA0"/>
          <w:sz w:val="12"/>
        </w:rPr>
        <w:t xml:space="preserve"> | rel. Dias Toffoli</w:t>
      </w:r>
    </w:p>
    <w:p>
      <w:pPr>
        <w:ind w:left="288"/>
      </w:pPr>
      <w:r>
        <w:rPr>
          <w:color w:val="1E1E1E"/>
          <w:sz w:val="18"/>
        </w:rPr>
        <w:t>Concurso público. (...) Investigação social. Exclusão do certame. (...) A jurisprudência da Corte firmou o entendimento de que viola o princípio da presunção de inocência a exclusão de certame público de candidato que responda a inquérito policial ou ação penal sem trânsito em julgado da sentença condenatória.</w:t>
      </w:r>
    </w:p>
    <w:p>
      <w:pPr>
        <w:ind w:left="288"/>
      </w:pPr>
      <w:r>
        <w:rPr>
          <w:b/>
          <w:color w:val="003CA0"/>
          <w:sz w:val="16"/>
        </w:rPr>
        <w:t>[AI 829.186 AgR, rel. min. Dias Toffoli, j. 23-4-2013, 1ª T, DJE de 27-6-2013.]</w:t>
      </w:r>
    </w:p>
    <w:p>
      <w:pPr>
        <w:ind w:left="288"/>
      </w:pPr>
      <w:r>
        <w:rPr>
          <w:color w:val="8C8C8C"/>
          <w:sz w:val="12"/>
        </w:rPr>
        <w:t>cf-art-5-inc-L</w:t>
      </w:r>
      <w:r>
        <w:rPr>
          <w:color w:val="003CA0"/>
          <w:sz w:val="12"/>
        </w:rPr>
        <w:t xml:space="preserve"> | ARE 847.535</w:t>
      </w:r>
      <w:r>
        <w:rPr>
          <w:color w:val="003CA0"/>
          <w:sz w:val="12"/>
        </w:rPr>
        <w:t xml:space="preserve"> | rel. Celso de Mello</w:t>
      </w:r>
    </w:p>
    <w:p>
      <w:pPr>
        <w:ind w:left="288"/>
      </w:pPr>
      <w:r>
        <w:rPr>
          <w:color w:val="1E1E1E"/>
          <w:sz w:val="18"/>
        </w:rPr>
        <w:t>= ARE 847.535 AgR, rel. min. Celso de Mello, j. 30-6-2015, 2ª T, DJE de 6-8-2015 Vide ARE 915.004 AgR, rel. min. Dias Toffoli, j. 15-3-2016, 2ª T, DJE de 18-4-2016 Vide RE 827.546 AgR, rel. min. Dias Toffoli, j. 14-4-2015, 2ª T, DJE de 26-5-2015 A presunção de não culpabilidade trata, mais do que de uma garantia, de um direito substantivo. Direito material que tem por conteúdo a presunção de não culpabilidade. Esse o bem jurídico substantivamente tutelado pela Constituição; ou seja, a presunção de não culpabilidade como o próprio conteúdo de um direito substantivo de matriz constitucional. Log</w:t>
      </w:r>
    </w:p>
    <w:p>
      <w:pPr>
        <w:ind w:left="288"/>
      </w:pPr>
      <w:r>
        <w:rPr>
          <w:b/>
          <w:color w:val="003CA0"/>
          <w:sz w:val="16"/>
        </w:rPr>
        <w:t>[HC 101.909, rel. min. Ayres Britto, j. 28-2-2012, 2ª T, DJE de 19-6-2012.]</w:t>
      </w:r>
    </w:p>
    <w:p>
      <w:pPr>
        <w:ind w:left="288"/>
      </w:pPr>
      <w:r>
        <w:rPr>
          <w:color w:val="8C8C8C"/>
          <w:sz w:val="12"/>
        </w:rPr>
        <w:t>cf-art-5-inc-L</w:t>
      </w:r>
      <w:r>
        <w:rPr>
          <w:color w:val="003CA0"/>
          <w:sz w:val="12"/>
        </w:rPr>
        <w:t xml:space="preserve"> | RHC 99.293</w:t>
      </w:r>
      <w:r>
        <w:rPr>
          <w:color w:val="003CA0"/>
          <w:sz w:val="12"/>
        </w:rPr>
        <w:t xml:space="preserve"> | rel. Cármen Lúcia</w:t>
      </w:r>
    </w:p>
    <w:p>
      <w:pPr>
        <w:ind w:left="288"/>
      </w:pPr>
      <w:r>
        <w:rPr>
          <w:color w:val="1E1E1E"/>
          <w:sz w:val="18"/>
        </w:rPr>
        <w:t>Na análise da conduta social, não poderia ter sido considerado como desfavorável o fato de responder o paciente a uma ação penal sem trânsito em julgado.</w:t>
      </w:r>
    </w:p>
    <w:p>
      <w:pPr>
        <w:ind w:left="288"/>
      </w:pPr>
      <w:r>
        <w:rPr>
          <w:b/>
          <w:color w:val="003CA0"/>
          <w:sz w:val="16"/>
        </w:rPr>
        <w:t>[RHC 99.293, rel. min. Cármen Lúcia, j. 31-8-2010, 1ª T, DJE de 7-2-2011.]</w:t>
      </w:r>
    </w:p>
    <w:p>
      <w:pPr>
        <w:ind w:left="288"/>
      </w:pPr>
      <w:r>
        <w:rPr>
          <w:color w:val="8C8C8C"/>
          <w:sz w:val="12"/>
        </w:rPr>
        <w:t>cf-art-5-inc-L</w:t>
      </w:r>
      <w:r>
        <w:rPr>
          <w:color w:val="003CA0"/>
          <w:sz w:val="12"/>
        </w:rPr>
        <w:t xml:space="preserve"> | HC 98.233</w:t>
      </w:r>
      <w:r>
        <w:rPr>
          <w:color w:val="003CA0"/>
          <w:sz w:val="12"/>
        </w:rPr>
        <w:t xml:space="preserve"> | rel. Eros Grau</w:t>
      </w:r>
    </w:p>
    <w:p>
      <w:pPr>
        <w:ind w:left="288"/>
      </w:pPr>
      <w:r>
        <w:rPr>
          <w:color w:val="1E1E1E"/>
          <w:sz w:val="18"/>
        </w:rPr>
        <w:t>Os fundamentos da prisão cautelar, considerada a excepcionalidade dessa medida, devem ser reavaliados a qualquer tempo, a fim de evitar-se o cumprimento da pena sem sentença transitada em julgado, em evidente afronta ao art. 5º, LVII, da Constituição do Brasil.</w:t>
      </w:r>
    </w:p>
    <w:p>
      <w:pPr>
        <w:ind w:left="288"/>
      </w:pPr>
      <w:r>
        <w:rPr>
          <w:b/>
          <w:color w:val="003CA0"/>
          <w:sz w:val="16"/>
        </w:rPr>
        <w:t>[HC 98.233, rel. min. Eros Grau, j. 6-10-2009, 2ª T, DJE de 29-10-2009.]</w:t>
      </w:r>
    </w:p>
    <w:p>
      <w:pPr>
        <w:ind w:left="288"/>
      </w:pPr>
      <w:r>
        <w:rPr>
          <w:color w:val="8C8C8C"/>
          <w:sz w:val="12"/>
        </w:rPr>
        <w:t>cf-art-5-inc-L</w:t>
      </w:r>
      <w:r>
        <w:rPr>
          <w:color w:val="003CA0"/>
          <w:sz w:val="12"/>
        </w:rPr>
        <w:t xml:space="preserve"> | HC 99.891</w:t>
      </w:r>
      <w:r>
        <w:rPr>
          <w:color w:val="003CA0"/>
          <w:sz w:val="12"/>
        </w:rPr>
        <w:t xml:space="preserve"> | rel. Celso de Mello</w:t>
      </w:r>
    </w:p>
    <w:p>
      <w:pPr>
        <w:ind w:left="288"/>
      </w:pPr>
      <w:r>
        <w:rPr>
          <w:color w:val="1E1E1E"/>
          <w:sz w:val="18"/>
        </w:rPr>
        <w:t xml:space="preserve">A Convenção Americana sobre Direitos Humanos não assegura, de modo irrestrito, ao condenado, o direito de (sempre) recorrer em liberdade, pois o Pacto de São José da Costa Rica, em tema de proteção ao status libertatis do réu, estabelece, em seu art. 7º, n. 2, que "Ninguém pode ser privado de sua liberdade física, salvo pelas causas e nas condições previamente fixadas pelas Constituições políticas dos Estados-partes ou pelas leis de acordo com elas promulgadas", admitindo, desse modo, a possibilidade de cada sistema jurídico nacional instituir os casos em que se legitimará, ou não, a privação </w:t>
      </w:r>
    </w:p>
    <w:p>
      <w:pPr>
        <w:ind w:left="288"/>
      </w:pPr>
      <w:r>
        <w:rPr>
          <w:b/>
          <w:color w:val="003CA0"/>
          <w:sz w:val="16"/>
        </w:rPr>
        <w:t>[HC 99.891, rel. min. Celso de Mello, j. 15-9-2009, 2ª T, DJE de 18-12-2009.]</w:t>
      </w:r>
    </w:p>
    <w:p>
      <w:pPr>
        <w:ind w:left="288"/>
      </w:pPr>
      <w:r>
        <w:rPr>
          <w:color w:val="8C8C8C"/>
          <w:sz w:val="12"/>
        </w:rPr>
        <w:t>cf-art-5-inc-L</w:t>
      </w:r>
      <w:r>
        <w:rPr>
          <w:color w:val="003CA0"/>
          <w:sz w:val="12"/>
        </w:rPr>
        <w:t xml:space="preserve"> | PET 3.898</w:t>
      </w:r>
      <w:r>
        <w:rPr>
          <w:color w:val="003CA0"/>
          <w:sz w:val="12"/>
        </w:rPr>
        <w:t xml:space="preserve"> | rel. Gilmar Mendes</w:t>
      </w:r>
    </w:p>
    <w:p>
      <w:pPr>
        <w:ind w:left="288"/>
      </w:pPr>
      <w:r>
        <w:rPr>
          <w:color w:val="1E1E1E"/>
          <w:sz w:val="18"/>
        </w:rPr>
        <w:t>Diante da formulação de proposta de suspensão condicional do processo pelo Ministério Público, o denunciado tem o direito de aguardar a fase de recebimento da denúncia, para declarar se a aceita ou não. A suspensão condicional do processo, embora traga ínsita a ideia de benefício ao denunciado, que se vê afastado da ação penal mediante o cumprimento de certas condições, não deixa de representar constrangimento, caracterizado pela necessidade de submeter-se a condições que, viesse a ser exonerado da acusação, não lhe seriam impostas. Diante da apresentação da acusação pelo Parquet, a interpreta</w:t>
      </w:r>
    </w:p>
    <w:p>
      <w:pPr>
        <w:ind w:left="288"/>
      </w:pPr>
      <w:r>
        <w:rPr>
          <w:b/>
          <w:color w:val="003CA0"/>
          <w:sz w:val="16"/>
        </w:rPr>
        <w:t>[Pet 3.898, rel. min. Gilmar Mendes, j. 27-8-2009, P, DJE de 18-12-2009.]</w:t>
      </w:r>
    </w:p>
    <w:p>
      <w:pPr>
        <w:ind w:left="288"/>
      </w:pPr>
      <w:r>
        <w:rPr>
          <w:color w:val="8C8C8C"/>
          <w:sz w:val="12"/>
        </w:rPr>
        <w:t>cf-art-5-inc-L</w:t>
      </w:r>
      <w:r>
        <w:rPr>
          <w:color w:val="003CA0"/>
          <w:sz w:val="12"/>
        </w:rPr>
        <w:t xml:space="preserve"> | INQ 2.424</w:t>
      </w:r>
      <w:r>
        <w:rPr>
          <w:color w:val="003CA0"/>
          <w:sz w:val="12"/>
        </w:rPr>
        <w:t xml:space="preserve"> | rel. Cezar Peluso</w:t>
      </w:r>
    </w:p>
    <w:p>
      <w:pPr>
        <w:ind w:left="288"/>
      </w:pPr>
      <w:r>
        <w:rPr>
          <w:color w:val="1E1E1E"/>
          <w:sz w:val="18"/>
        </w:rPr>
        <w:t>Afastamento do exercício da função jurisdicional. Aplicação do art. 29 da Loman (LC 35/1979). Medida aconselhável de resguardo ao prestígio do cargo e à própria respeitabilidade do juiz. (...) Não viola a garantia constitucional da chamada presunção de inocência o afastamento do cargo de magistrado contra o qual é recebida denúncia ou queixa.</w:t>
      </w:r>
    </w:p>
    <w:p>
      <w:pPr>
        <w:ind w:left="288"/>
      </w:pPr>
      <w:r>
        <w:rPr>
          <w:b/>
          <w:color w:val="003CA0"/>
          <w:sz w:val="16"/>
        </w:rPr>
        <w:t>[Inq 2.424, rel. min. Cezar Peluso, j. 26-11-2008, P, DJE de 26-3-2010.]</w:t>
      </w:r>
    </w:p>
    <w:p>
      <w:pPr>
        <w:ind w:left="288"/>
      </w:pPr>
      <w:r>
        <w:rPr>
          <w:color w:val="8C8C8C"/>
          <w:sz w:val="12"/>
        </w:rPr>
        <w:t>cf-art-5-inc-L</w:t>
      </w:r>
      <w:r>
        <w:rPr>
          <w:color w:val="003CA0"/>
          <w:sz w:val="12"/>
        </w:rPr>
        <w:t xml:space="preserve"> | HC 95.009</w:t>
      </w:r>
      <w:r>
        <w:rPr>
          <w:color w:val="003CA0"/>
          <w:sz w:val="12"/>
        </w:rPr>
        <w:t xml:space="preserve"> | rel. Eros Grau</w:t>
      </w:r>
    </w:p>
    <w:p>
      <w:pPr>
        <w:ind w:left="288"/>
      </w:pPr>
      <w:r>
        <w:rPr>
          <w:color w:val="1E1E1E"/>
          <w:sz w:val="18"/>
        </w:rPr>
        <w:t>A prisão preventiva em situações que vigorosamente não a justifiquem equivale a antecipação da pena, sanção a ser no futuro eventualmente imposta a quem a mereça, mediante sentença transitada em julgado. A afronta ao princípio da presunção de não culpabilidade, contemplado no plano constitucional (art. 5º, LVII, da Constituição do Brasil), é, desde essa perspectiva, evidente. Antes do trânsito em julgado da sentença condenatória, a regra é a liberdade; a prisão, a exceção. Aquela cede a esta em casos excepcionais. É necessária a demonstração de situações efetivas que justifiquem o sacrifício d</w:t>
      </w:r>
    </w:p>
    <w:p>
      <w:pPr>
        <w:ind w:left="288"/>
      </w:pPr>
      <w:r>
        <w:rPr>
          <w:b/>
          <w:color w:val="003CA0"/>
          <w:sz w:val="16"/>
        </w:rPr>
        <w:t>[HC 95.009, rel. min. Eros Grau, j. 6-11-2008, P, DJE de 19-12-2008.]</w:t>
      </w:r>
    </w:p>
    <w:p>
      <w:pPr>
        <w:ind w:left="288"/>
      </w:pPr>
      <w:r>
        <w:rPr>
          <w:color w:val="8C8C8C"/>
          <w:sz w:val="12"/>
        </w:rPr>
        <w:t>cf-art-5-inc-L</w:t>
      </w:r>
      <w:r>
        <w:rPr>
          <w:color w:val="003CA0"/>
          <w:sz w:val="12"/>
        </w:rPr>
        <w:t xml:space="preserve"> | HC 96.577</w:t>
      </w:r>
      <w:r>
        <w:rPr>
          <w:color w:val="003CA0"/>
          <w:sz w:val="12"/>
        </w:rPr>
        <w:t xml:space="preserve"> | rel. Celso de Mello</w:t>
      </w:r>
    </w:p>
    <w:p>
      <w:pPr>
        <w:ind w:left="288"/>
      </w:pPr>
      <w:r>
        <w:rPr>
          <w:color w:val="1E1E1E"/>
          <w:sz w:val="18"/>
        </w:rPr>
        <w:t xml:space="preserve">= HC 96.577, rel. min. Celso de Mello, j. 10-2-2009, 2ª T, DJE de 19-3-2010 Vide HC 97.028, rel. min. Eros Grau, j. 16-12-2008, 2ª T, DJE de 14-8-2009 A questão jurídica debatida neste habeas corpus consiste na possibilidade (ou não) da imposição de condições ao paciente com a revogação da decisão que decretou sua prisão preventiva. Houve a observância dos princípios e regras constitucionais aplicáveis à matéria na decisão que condicionou a revogação do decreto prisional ao cumprimento de certas condições judiciais. (...) A medida adotada na decisão impugnada tem clara natureza acautelatória, </w:t>
      </w:r>
    </w:p>
    <w:p>
      <w:pPr>
        <w:ind w:left="288"/>
      </w:pPr>
      <w:r>
        <w:rPr>
          <w:b/>
          <w:color w:val="003CA0"/>
          <w:sz w:val="16"/>
        </w:rPr>
        <w:t>[HC 94.147, rel. min. Ellen Gracie, j. 27-5-2008, 2ª T, DJE de 13-6-2008.]</w:t>
      </w:r>
    </w:p>
    <w:p>
      <w:pPr>
        <w:ind w:left="288"/>
      </w:pPr>
      <w:r>
        <w:rPr>
          <w:color w:val="8C8C8C"/>
          <w:sz w:val="12"/>
        </w:rPr>
        <w:t>cf-art-5-inc-L</w:t>
      </w:r>
      <w:r>
        <w:rPr>
          <w:color w:val="003CA0"/>
          <w:sz w:val="12"/>
        </w:rPr>
        <w:t xml:space="preserve"> | RE 459.320</w:t>
      </w:r>
      <w:r>
        <w:rPr>
          <w:color w:val="003CA0"/>
          <w:sz w:val="12"/>
        </w:rPr>
        <w:t xml:space="preserve"> | rel. Eros Grau</w:t>
      </w:r>
    </w:p>
    <w:p>
      <w:pPr>
        <w:ind w:left="288"/>
      </w:pPr>
      <w:r>
        <w:rPr>
          <w:color w:val="1E1E1E"/>
          <w:sz w:val="18"/>
        </w:rPr>
        <w:t>A jurisprudência do Supremo é no sentido da inexistência de violação do princípio da presunção da inocência (Constituição do Brasil/1988, art. 5º, LVII) no fato de a lei não permitir a inclusão de oficial militar no quadro de acesso à promoção em razão de denúncia em processo criminal.</w:t>
      </w:r>
    </w:p>
    <w:p>
      <w:pPr>
        <w:ind w:left="288"/>
      </w:pPr>
      <w:r>
        <w:rPr>
          <w:b/>
          <w:color w:val="003CA0"/>
          <w:sz w:val="16"/>
        </w:rPr>
        <w:t>[RE 459.320 AgR, rel. min. Eros Grau, j. 22-4-2008, 2ª T, DJE de 23-5-2008.]</w:t>
      </w:r>
    </w:p>
    <w:p>
      <w:pPr>
        <w:ind w:left="288"/>
      </w:pPr>
      <w:r>
        <w:rPr>
          <w:color w:val="8C8C8C"/>
          <w:sz w:val="12"/>
        </w:rPr>
        <w:t>cf-art-5-inc-L</w:t>
      </w:r>
      <w:r>
        <w:rPr>
          <w:color w:val="003CA0"/>
          <w:sz w:val="12"/>
        </w:rPr>
        <w:t xml:space="preserve"> | RE 434.198</w:t>
      </w:r>
      <w:r>
        <w:rPr>
          <w:color w:val="003CA0"/>
          <w:sz w:val="12"/>
        </w:rPr>
        <w:t xml:space="preserve"> | rel. Dias Toffoli</w:t>
      </w:r>
    </w:p>
    <w:p>
      <w:pPr>
        <w:ind w:left="288"/>
      </w:pPr>
      <w:r>
        <w:rPr>
          <w:color w:val="1E1E1E"/>
          <w:sz w:val="18"/>
        </w:rPr>
        <w:t>= RE 434.198 AgR, rel. min. Dias Toffoli, j. 28-2-2012, 1ª T, DJE de 30-3-2012 Sentença contra a evidência dos autos. Fragilidade evidente do conjunto probatório. Imutabilidade das decisões judiciais. Primazia do direito à presunção de não culpabilidade. A revisão criminal retrata o compromisso do nosso direito processual penal com a verdade material das decisões judiciais e permite ao Poder Judiciário reparar erros ou insuficiência cognitiva de seus julgados. Em matéria penal, a densificação do valor constitucional do justo real é o direito à presunção de não culpabilidade (...). É dizer: que</w:t>
      </w:r>
    </w:p>
    <w:p>
      <w:pPr>
        <w:ind w:left="288"/>
      </w:pPr>
      <w:r>
        <w:rPr>
          <w:b/>
          <w:color w:val="003CA0"/>
          <w:sz w:val="16"/>
        </w:rPr>
        <w:t>[HC 92.435, rel. min. Ayres Britto, j. 25-3-2008, 1ª T, DJE de 17-10-2008.]</w:t>
      </w:r>
    </w:p>
    <w:p>
      <w:pPr>
        <w:ind w:left="288"/>
      </w:pPr>
      <w:r>
        <w:rPr>
          <w:color w:val="8C8C8C"/>
          <w:sz w:val="12"/>
        </w:rPr>
        <w:t>cf-art-5-inc-L</w:t>
      </w:r>
      <w:r>
        <w:rPr>
          <w:color w:val="003CA0"/>
          <w:sz w:val="12"/>
        </w:rPr>
        <w:t xml:space="preserve"> | RE 482.006</w:t>
      </w:r>
      <w:r>
        <w:rPr>
          <w:color w:val="003CA0"/>
          <w:sz w:val="12"/>
        </w:rPr>
        <w:t xml:space="preserve"> | rel. Ricardo Lewandowski</w:t>
      </w:r>
    </w:p>
    <w:p>
      <w:pPr>
        <w:ind w:left="288"/>
      </w:pPr>
      <w:r>
        <w:rPr>
          <w:color w:val="1E1E1E"/>
          <w:sz w:val="18"/>
        </w:rPr>
        <w:t>A redução de vencimentos de servidores públicos processados criminalmente colide com o disposto nos arts. 5º, LVII, e 37, XV, da Constituição, que abrigam, respectivamente, os princípios da presunção de inocência e da irredutibilidade de vencimentos. Norma estadual não recepcionada pela atual Carta Magna, sendo irrelevante a previsão que nela se contém de devolução dos valores descontados em caso de absolvição.</w:t>
      </w:r>
    </w:p>
    <w:p>
      <w:pPr>
        <w:ind w:left="288"/>
      </w:pPr>
      <w:r>
        <w:rPr>
          <w:b/>
          <w:color w:val="003CA0"/>
          <w:sz w:val="16"/>
        </w:rPr>
        <w:t>[RE 482.006, rel. min. Ricardo Lewandowski, j. 7-11-2007, P, DJ de 14-12-2007.]</w:t>
      </w:r>
    </w:p>
    <w:p>
      <w:pPr>
        <w:ind w:left="288"/>
      </w:pPr>
      <w:r>
        <w:rPr>
          <w:color w:val="8C8C8C"/>
          <w:sz w:val="12"/>
        </w:rPr>
        <w:t>cf-art-5-inc-L</w:t>
      </w:r>
      <w:r>
        <w:rPr>
          <w:color w:val="003CA0"/>
          <w:sz w:val="12"/>
        </w:rPr>
        <w:t xml:space="preserve"> | ARE 776.213</w:t>
      </w:r>
      <w:r>
        <w:rPr>
          <w:color w:val="003CA0"/>
          <w:sz w:val="12"/>
        </w:rPr>
        <w:t xml:space="preserve"> | rel. Gilmar Mendes</w:t>
      </w:r>
    </w:p>
    <w:p>
      <w:pPr>
        <w:ind w:left="288"/>
      </w:pPr>
      <w:r>
        <w:rPr>
          <w:color w:val="1E1E1E"/>
          <w:sz w:val="18"/>
        </w:rPr>
        <w:t>= ARE 776.213 AgR, rel. min. Gilmar Mendes, j. 19-8-2014, 2ª T, DJE de 4-9-2014 = AI 723.284 AgR, rel. min. Dias Toffoli, j. 27-8-2013, 1ª T, DJE de 23-10-2013 Ofensa à presunção constitucional de inocência. Constrangimento ilegal caracterizado. Aplicação do art. 5º, LVII, da CF. Precedentes. É ilegal o decreto de prisão preventiva que se funda na periculosidade presumida do réu.</w:t>
      </w:r>
    </w:p>
    <w:p>
      <w:pPr>
        <w:ind w:left="288"/>
      </w:pPr>
      <w:r>
        <w:rPr>
          <w:b/>
          <w:color w:val="003CA0"/>
          <w:sz w:val="16"/>
        </w:rPr>
        <w:t>[HC 90.471, rel. min. Cezar Peluso, j. 7-8-2007, 1ª T, DJ de 14-9-2007.]</w:t>
      </w:r>
    </w:p>
    <w:p>
      <w:pPr>
        <w:ind w:left="288"/>
      </w:pPr>
      <w:r>
        <w:rPr>
          <w:color w:val="8C8C8C"/>
          <w:sz w:val="12"/>
        </w:rPr>
        <w:t>cf-art-5-inc-L</w:t>
      </w:r>
      <w:r>
        <w:rPr>
          <w:color w:val="003CA0"/>
          <w:sz w:val="12"/>
        </w:rPr>
        <w:t xml:space="preserve"> | HC 88.721</w:t>
      </w:r>
      <w:r>
        <w:rPr>
          <w:color w:val="003CA0"/>
          <w:sz w:val="12"/>
        </w:rPr>
        <w:t xml:space="preserve"> | rel. Marco Aurélio</w:t>
      </w:r>
    </w:p>
    <w:p>
      <w:pPr>
        <w:ind w:left="288"/>
      </w:pPr>
      <w:r>
        <w:rPr>
          <w:color w:val="1E1E1E"/>
          <w:sz w:val="18"/>
        </w:rPr>
        <w:t>= HC 88.721, rel. min. Marco Aurélio, j. 28-4-2009, 1ª T, DJE de 29-5-2009 O simples fato de o réu estar sendo processado por outros crimes e respondendo a outros inquéritos policiais não é suficiente para justificar a manutenção da constrição cautelar.</w:t>
      </w:r>
    </w:p>
    <w:p>
      <w:pPr>
        <w:ind w:left="288"/>
      </w:pPr>
      <w:r>
        <w:rPr>
          <w:b/>
          <w:color w:val="003CA0"/>
          <w:sz w:val="16"/>
        </w:rPr>
        <w:t>[HC 86.186, rel. min. Gilmar Mendes, j. 15-5-2007, 2ª T, DJ de 17-8-2007.]</w:t>
      </w:r>
    </w:p>
    <w:p>
      <w:pPr>
        <w:ind w:left="288"/>
      </w:pPr>
      <w:r>
        <w:rPr>
          <w:color w:val="8C8C8C"/>
          <w:sz w:val="12"/>
        </w:rPr>
        <w:t>cf-art-5-inc-L</w:t>
      </w:r>
      <w:r>
        <w:rPr>
          <w:color w:val="003CA0"/>
          <w:sz w:val="12"/>
        </w:rPr>
        <w:t xml:space="preserve"> | HC 100.091</w:t>
      </w:r>
      <w:r>
        <w:rPr>
          <w:color w:val="003CA0"/>
          <w:sz w:val="12"/>
        </w:rPr>
        <w:t xml:space="preserve"> | rel. Celso de Mello</w:t>
      </w:r>
    </w:p>
    <w:p>
      <w:pPr>
        <w:ind w:left="288"/>
      </w:pPr>
      <w:r>
        <w:rPr>
          <w:color w:val="1E1E1E"/>
          <w:sz w:val="18"/>
        </w:rPr>
        <w:t>= HC 100.091, rel. min. Celso de Mello, j. 15-9-2009, 2ª T, DJE de 28-6-2013 Inteligência dos arts. 5º, LVII, da CF e 312 do CPP. É ilegal o decreto de prisão preventiva que, a título de necessidade de garantia da ordem pública, se baseia no só fato de o réu já ter sido condenado, em primeiro grau, noutro processo, por delito igual ao que lhe é imputado.</w:t>
      </w:r>
    </w:p>
    <w:p>
      <w:pPr>
        <w:ind w:left="288"/>
      </w:pPr>
      <w:r>
        <w:rPr>
          <w:b/>
          <w:color w:val="003CA0"/>
          <w:sz w:val="16"/>
        </w:rPr>
        <w:t>[HC 87.717, rel. min. Cezar Peluso, j. 3-4-2007, 2ª T, DJ de 8-6-2007.]</w:t>
      </w:r>
    </w:p>
    <w:p>
      <w:pPr>
        <w:ind w:left="288"/>
      </w:pPr>
      <w:r>
        <w:rPr>
          <w:color w:val="8C8C8C"/>
          <w:sz w:val="12"/>
        </w:rPr>
        <w:t>cf-art-5-inc-L</w:t>
      </w:r>
      <w:r>
        <w:rPr>
          <w:color w:val="003CA0"/>
          <w:sz w:val="12"/>
        </w:rPr>
        <w:t xml:space="preserve"> | HC 118.345</w:t>
      </w:r>
      <w:r>
        <w:rPr>
          <w:color w:val="003CA0"/>
          <w:sz w:val="12"/>
        </w:rPr>
        <w:t xml:space="preserve"> | rel. Teori Zavascki</w:t>
      </w:r>
    </w:p>
    <w:p>
      <w:pPr>
        <w:ind w:left="288"/>
      </w:pPr>
      <w:r>
        <w:rPr>
          <w:color w:val="1E1E1E"/>
          <w:sz w:val="18"/>
        </w:rPr>
        <w:t>= HC 118.345, rel min. Teori Zavascki, j. 25-2-2014, 2ª T, DJE de 11-3-2014 Vide HC 118.361, rel. min. Gilmar Mendes, j. 25-2-2014, 2ª T, DJE de 17-3-2014 O postulado constitucional da não culpabilidade impede que o Estado trate, como se culpado fosse, aquele que ainda não sofreu condenação penal irrecorrível. A prerrogativa jurídica da liberdade – que possui extração constitucional (CF, art. 5º, LXI e LXV) – não pode ser ofendida por interpretações doutrinárias ou jurisprudenciais, que, fundadas em preocupante discurso de conteúdo autoritário, culminam por consagrar, paradoxalmente, em detrim</w:t>
      </w:r>
    </w:p>
    <w:p>
      <w:pPr>
        <w:ind w:left="288"/>
      </w:pPr>
      <w:r>
        <w:rPr>
          <w:b/>
          <w:color w:val="003CA0"/>
          <w:sz w:val="16"/>
        </w:rPr>
        <w:t>[HC 89.501, rel. min. Celso de Mello, j. 12-12-2006, 2ª T, DJ de 16-3-2007.]</w:t>
      </w:r>
    </w:p>
    <w:p>
      <w:pPr>
        <w:ind w:left="288"/>
      </w:pPr>
      <w:r>
        <w:rPr>
          <w:color w:val="8C8C8C"/>
          <w:sz w:val="12"/>
        </w:rPr>
        <w:t>cf-art-5-inc-L</w:t>
      </w:r>
      <w:r>
        <w:rPr>
          <w:color w:val="003CA0"/>
          <w:sz w:val="12"/>
        </w:rPr>
        <w:t xml:space="preserve"> | HC 84.677</w:t>
      </w:r>
      <w:r>
        <w:rPr>
          <w:color w:val="003CA0"/>
          <w:sz w:val="12"/>
        </w:rPr>
        <w:t xml:space="preserve"> | rel. Eros Grau</w:t>
      </w:r>
    </w:p>
    <w:p>
      <w:pPr>
        <w:ind w:left="288"/>
      </w:pPr>
      <w:r>
        <w:rPr>
          <w:color w:val="1E1E1E"/>
          <w:sz w:val="18"/>
        </w:rPr>
        <w:t>Pena restritiva de direitos só pode ser executada após o trânsito em julgado da sentença que a impôs.</w:t>
      </w:r>
    </w:p>
    <w:p>
      <w:pPr>
        <w:ind w:left="288"/>
      </w:pPr>
      <w:r>
        <w:rPr>
          <w:b/>
          <w:color w:val="003CA0"/>
          <w:sz w:val="16"/>
        </w:rPr>
        <w:t>[HC 84.677, rel. min. Eros Grau, red. do ac. min. Cezar Peluso, j. 23-11-2004, 1ª T, DJ de 8-4-2005.]</w:t>
      </w:r>
    </w:p>
    <w:p>
      <w:pPr>
        <w:ind w:left="288"/>
      </w:pPr>
      <w:r>
        <w:rPr>
          <w:color w:val="8C8C8C"/>
          <w:sz w:val="12"/>
        </w:rPr>
        <w:t>cf-art-5-inc-L</w:t>
      </w:r>
      <w:r>
        <w:rPr>
          <w:color w:val="003CA0"/>
          <w:sz w:val="12"/>
        </w:rPr>
        <w:t xml:space="preserve"> | HC 88.500</w:t>
      </w:r>
      <w:r>
        <w:rPr>
          <w:color w:val="003CA0"/>
          <w:sz w:val="12"/>
        </w:rPr>
        <w:t xml:space="preserve"> | rel. Joaquim Barbosa</w:t>
      </w:r>
    </w:p>
    <w:p>
      <w:pPr>
        <w:ind w:left="288"/>
      </w:pPr>
      <w:r>
        <w:rPr>
          <w:color w:val="1E1E1E"/>
          <w:sz w:val="18"/>
        </w:rPr>
        <w:t>Vide HC 88.500, rel. min. Joaquim Barbosa, j. 20-10-2009, 2ª T, DJE de 18-12-2009 A privação cautelar da liberdade individual reveste-se de caráter excepcional, somente devendo ser decretada em situações de absoluta necessidade. A prisão preventiva, para legitimar-se em face de nosso sistema jurídico, impõe – além da satisfação dos pressupostos a que se refere o art. 312 do CPP (prova da existência material do crime e indício suficiente de autoria) – que se evidenciem, com fundamento em base empírica idônea, razões justificadoras da imprescindibilidade dessa extraordinária medida cautelar de p</w:t>
      </w:r>
    </w:p>
    <w:p>
      <w:pPr>
        <w:ind w:left="288"/>
      </w:pPr>
      <w:r>
        <w:rPr>
          <w:b/>
          <w:color w:val="003CA0"/>
          <w:sz w:val="16"/>
        </w:rPr>
        <w:t>[HC 80.719, rel. min. Celso de Mello, j. 26-6-2001, 2ª T, DJ de 28-9-2001.]</w:t>
      </w:r>
    </w:p>
    <w:p>
      <w:pPr>
        <w:ind w:left="288"/>
      </w:pPr>
      <w:r>
        <w:rPr>
          <w:color w:val="8C8C8C"/>
          <w:sz w:val="12"/>
        </w:rPr>
        <w:t>cf-art-5-inc-L</w:t>
      </w:r>
      <w:r>
        <w:rPr>
          <w:color w:val="003CA0"/>
          <w:sz w:val="12"/>
        </w:rPr>
        <w:t xml:space="preserve"> | HC 95.483</w:t>
      </w:r>
      <w:r>
        <w:rPr>
          <w:color w:val="003CA0"/>
          <w:sz w:val="12"/>
        </w:rPr>
        <w:t xml:space="preserve"> | rel. Marco Aurélio</w:t>
      </w:r>
    </w:p>
    <w:p>
      <w:pPr>
        <w:ind w:left="288"/>
      </w:pPr>
      <w:r>
        <w:rPr>
          <w:color w:val="1E1E1E"/>
          <w:sz w:val="18"/>
        </w:rPr>
        <w:t>= HC 95.483, rel. min. Marco Aurélio, j. 15-9-2009, 1ª T, DJE 29-10-2009 A medida despenalizadora da suspensão condicional do processo (Lei 9.099/1995, art. 89) visa evitar que o autor do fato não tenha que ser submetido aos efeitos deletérios do processo. Uma vez respondendo a um processo e condenado por outro, a medida não se justifica. Precedentes: HC 73.793, min. Maurício Corrêa; HC 74.463, min. Celso de Mello; AGED 202.467, min. Moreira Alves. A restrição não é inconstitucional. Ela não viola o princípio constitucional da inocência.</w:t>
      </w:r>
    </w:p>
    <w:p>
      <w:pPr>
        <w:ind w:left="288"/>
      </w:pPr>
      <w:r>
        <w:rPr>
          <w:b/>
          <w:color w:val="003CA0"/>
          <w:sz w:val="16"/>
        </w:rPr>
        <w:t>[RHC 79.460, voto do red. do ac. min. Nelson Jobim, j. 27-10-1999, P, DJ de 18-5-2001.]</w:t>
      </w:r>
    </w:p>
    <w:p>
      <w:pPr>
        <w:ind w:left="288"/>
      </w:pPr>
      <w:r>
        <w:rPr>
          <w:color w:val="8C8C8C"/>
          <w:sz w:val="12"/>
        </w:rPr>
        <w:t>cf-art-5-inc-L</w:t>
      </w:r>
      <w:r>
        <w:rPr>
          <w:color w:val="003CA0"/>
          <w:sz w:val="12"/>
        </w:rPr>
        <w:t xml:space="preserve"> | HC 85.106</w:t>
      </w:r>
      <w:r>
        <w:rPr>
          <w:color w:val="003CA0"/>
          <w:sz w:val="12"/>
        </w:rPr>
        <w:t xml:space="preserve"> | rel. Sepúlveda Pertence</w:t>
      </w:r>
    </w:p>
    <w:p>
      <w:pPr>
        <w:ind w:left="288"/>
      </w:pPr>
      <w:r>
        <w:rPr>
          <w:color w:val="1E1E1E"/>
          <w:sz w:val="18"/>
        </w:rPr>
        <w:t>= HC 85.106, rel. min. Sepúlveda Pertence, j. 14-12-2004, 1ª T, DJ de 4-3-2005 Nenhuma acusação penal se presume provada. Não compete ao réu demonstrar a sua inocência. Cabe ao Ministério Público comprovar, de forma inequívoca, a culpabilidade do acusado. Já não mais prevalece, em nosso sistema de direito positivo, a regra, que, em dado momento histórico do processo político brasileiro (Estado Novo), criou, para o réu, com a falta de pudor que caracteriza os regimes autoritários, a obrigação de o acusado provar a sua própria inocência (DL 88, de 20-12-1937, art. 20, 5). Não se justifica, sem b</w:t>
      </w:r>
    </w:p>
    <w:p>
      <w:pPr>
        <w:ind w:left="288"/>
      </w:pPr>
      <w:r>
        <w:rPr>
          <w:b/>
          <w:color w:val="003CA0"/>
          <w:sz w:val="16"/>
        </w:rPr>
        <w:t>[HC 73.338, rel. min. Celso de Mello, j. 13-8-1996,1ª T, DJ de 19-12-1996.]</w:t>
      </w:r>
    </w:p>
    <w:p>
      <w:pPr>
        <w:ind w:left="288"/>
      </w:pPr>
      <w:r>
        <w:rPr>
          <w:color w:val="8C8C8C"/>
          <w:sz w:val="12"/>
        </w:rPr>
        <w:t>cf-art-5-inc-L</w:t>
      </w:r>
      <w:r>
        <w:rPr>
          <w:color w:val="003CA0"/>
          <w:sz w:val="12"/>
        </w:rPr>
        <w:t xml:space="preserve"> | HC 71.169</w:t>
      </w:r>
      <w:r>
        <w:rPr>
          <w:color w:val="003CA0"/>
          <w:sz w:val="12"/>
        </w:rPr>
        <w:t xml:space="preserve"> | rel. Moreira Alves</w:t>
      </w:r>
    </w:p>
    <w:p>
      <w:pPr>
        <w:ind w:left="288"/>
      </w:pPr>
      <w:r>
        <w:rPr>
          <w:color w:val="1E1E1E"/>
          <w:sz w:val="18"/>
        </w:rPr>
        <w:t>Já se firmou a jurisprudência desta Corte no sentido de que a prisão cautelar não viola o princípio constitucional da presunção de inocência, conclusão essa que decorre da conjugação dos incisos LVII, LXI e LXVI do art. 5º da CF.</w:t>
      </w:r>
    </w:p>
    <w:p>
      <w:pPr>
        <w:ind w:left="288"/>
      </w:pPr>
      <w:r>
        <w:rPr>
          <w:b/>
          <w:color w:val="003CA0"/>
          <w:sz w:val="16"/>
        </w:rPr>
        <w:t>[HC 71.169, rel. min. Moreira Alves, j. 26-4-1994, 1ª T, DJ de 16-9-1994.]</w:t>
      </w:r>
    </w:p>
    <w:p>
      <w:pPr>
        <w:ind w:left="288"/>
      </w:pPr>
      <w:r>
        <w:rPr>
          <w:color w:val="8C8C8C"/>
          <w:sz w:val="12"/>
        </w:rPr>
        <w:t>cf-art-5-inc-L</w:t>
      </w:r>
      <w:r>
        <w:rPr>
          <w:color w:val="003CA0"/>
          <w:sz w:val="12"/>
        </w:rPr>
        <w:t xml:space="preserve"> | RHC 93.123</w:t>
      </w:r>
      <w:r>
        <w:rPr>
          <w:color w:val="003CA0"/>
          <w:sz w:val="12"/>
        </w:rPr>
        <w:t xml:space="preserve"> | rel. Cármen Lúcia</w:t>
      </w:r>
    </w:p>
    <w:p>
      <w:pPr>
        <w:ind w:left="288"/>
      </w:pPr>
      <w:r>
        <w:rPr>
          <w:color w:val="1E1E1E"/>
          <w:sz w:val="18"/>
        </w:rPr>
        <w:t>= RHC 93.123, rel. min. Cármen Lúcia, j. 19-2-2009, P, DJE 1º-7-2009 Não há dúvida de que são independentes as instâncias penal e administrativa, só repercutindo aquela nesta quando ela se manifesta pela inexistência material do fato ou pela negativa de sua autoria. Assim, a administração pública, para punir por falta disciplinar que também pode configurar crime, não está obrigada a esperar a decisão judicial, até porque ela não pune pela prática de crime, por não ter competência para impor sanção penal, mas pela ocorrência de infração administrativa que pode, também, ser enquadrada como delit</w:t>
      </w:r>
    </w:p>
    <w:p>
      <w:pPr>
        <w:ind w:left="288"/>
      </w:pPr>
      <w:r>
        <w:rPr>
          <w:b/>
          <w:color w:val="003CA0"/>
          <w:sz w:val="16"/>
        </w:rPr>
        <w:t>[MS 21.545, voto do min. Moreira Alves, j. 11-3-1993, P, DJ de 2-4-1993.]</w:t>
      </w:r>
    </w:p>
    <w:p>
      <w:pPr>
        <w:ind w:left="288"/>
      </w:pPr>
      <w:r>
        <w:rPr>
          <w:color w:val="8C8C8C"/>
          <w:sz w:val="12"/>
        </w:rPr>
        <w:t>cf-art-5-inc-L</w:t>
      </w:r>
      <w:r>
        <w:rPr>
          <w:color w:val="003CA0"/>
          <w:sz w:val="12"/>
        </w:rPr>
        <w:t xml:space="preserve"> | AI 747.753</w:t>
      </w:r>
      <w:r>
        <w:rPr>
          <w:color w:val="003CA0"/>
          <w:sz w:val="12"/>
        </w:rPr>
        <w:t xml:space="preserve"> | rel. Ayres Britto</w:t>
      </w:r>
    </w:p>
    <w:p>
      <w:pPr>
        <w:ind w:left="288"/>
      </w:pPr>
      <w:r>
        <w:rPr>
          <w:color w:val="1E1E1E"/>
          <w:sz w:val="18"/>
        </w:rPr>
        <w:t>= AI 747.753 AgR, rel. min. Ayres Britto, j. 14-9-2010, 2ª T, DJE de 28-10-2010 Reconhecimento, pelo magistrado sentenciante, de que a existência de referido inquérito policial legitima a formulação de juízo negativo de maus antecedentes (...). A mera sujeição de alguém a simples investigações policiais (arquivadas ou não), ou a persecuções criminais ainda em curso, não basta, só por si – ante a inexistência, em tais situações, de condenação penal transitada em julgado –, para justificar o reconhecimento de que o réu não possui bons antecedentes. Somente a condenação penal transitada em julgad</w:t>
      </w:r>
    </w:p>
    <w:p>
      <w:pPr>
        <w:ind w:left="288"/>
      </w:pPr>
      <w:r>
        <w:rPr>
          <w:b/>
          <w:color w:val="003CA0"/>
          <w:sz w:val="16"/>
        </w:rPr>
        <w:t>[HC 69.298, red. do ac. min. Celso de Mello, j. 9-6-1992, 1ª T, DJ de 15-12-2006.]</w:t>
      </w:r>
    </w:p>
    <w:p>
      <w:pPr>
        <w:ind w:left="288"/>
      </w:pPr>
      <w:r>
        <w:rPr>
          <w:color w:val="8C8C8C"/>
          <w:sz w:val="12"/>
        </w:rPr>
        <w:t>cf-art-5-inc-L</w:t>
      </w:r>
      <w:r>
        <w:rPr>
          <w:color w:val="003CA0"/>
          <w:sz w:val="12"/>
        </w:rPr>
        <w:t xml:space="preserve"> | HC 104.266</w:t>
      </w:r>
      <w:r>
        <w:rPr>
          <w:color w:val="003CA0"/>
          <w:sz w:val="12"/>
        </w:rPr>
        <w:t xml:space="preserve"> | rel. Teori Zavascki</w:t>
      </w:r>
    </w:p>
    <w:p>
      <w:pPr>
        <w:ind w:left="288"/>
      </w:pPr>
      <w:r>
        <w:rPr>
          <w:color w:val="1E1E1E"/>
          <w:sz w:val="18"/>
        </w:rPr>
        <w:t>= HC 104.266, rel. min. Teori Zavascki, j. 12-5-2015, 2ª T, DJE de 26-5-2015 = HC 103.292, rel. min. Cármen Lúcia, j. 9-11-2010, 1ª T, DJE de 25-11-2010 LVIII - o civilmente identificado não será submetido a identificação criminal, salvo nas hipóteses previstas em lei; Identificação criminal que não se justifica, no caso, após o advento da Constituição de 1988. Precedentes de ambas as Turmas do STF. Recurso provido para determinar o cancelamento da identificação criminal do recorrente.</w:t>
      </w:r>
    </w:p>
    <w:p>
      <w:pPr>
        <w:ind w:left="288"/>
      </w:pPr>
      <w:r>
        <w:rPr>
          <w:b/>
          <w:color w:val="003CA0"/>
          <w:sz w:val="16"/>
        </w:rPr>
        <w:t>[RHC 66.471, rel. min. Célio Borja, j. 28-2-1989, 2ª T, DJ de 31-3-1989.]</w:t>
      </w:r>
    </w:p>
    <w:p>
      <w:pPr>
        <w:ind w:left="288"/>
      </w:pPr>
      <w:r>
        <w:rPr>
          <w:color w:val="8C8C8C"/>
          <w:sz w:val="12"/>
        </w:rPr>
        <w:t>cf-art-5-inc-L</w:t>
      </w:r>
      <w:r>
        <w:rPr>
          <w:color w:val="003CA0"/>
          <w:sz w:val="12"/>
        </w:rPr>
        <w:t xml:space="preserve"> | RHC 66.180</w:t>
      </w:r>
      <w:r>
        <w:rPr>
          <w:color w:val="003CA0"/>
          <w:sz w:val="12"/>
        </w:rPr>
        <w:t xml:space="preserve"> | rel. Francisco Rezek</w:t>
      </w:r>
    </w:p>
    <w:p>
      <w:pPr>
        <w:ind w:left="288"/>
      </w:pPr>
      <w:r>
        <w:rPr>
          <w:color w:val="1E1E1E"/>
          <w:sz w:val="18"/>
        </w:rPr>
        <w:t>A identificação criminal não será feita se apresentada, ante a autoridade policial, a identidade civil da indiciada (...).</w:t>
      </w:r>
    </w:p>
    <w:p>
      <w:pPr>
        <w:ind w:left="288"/>
      </w:pPr>
      <w:r>
        <w:rPr>
          <w:b/>
          <w:color w:val="003CA0"/>
          <w:sz w:val="16"/>
        </w:rPr>
        <w:t>[RHC 66.180, rel. min. Francisco Rezek, j. 16-12-1988, 2ª T, DJ de 10-3-1989.]</w:t>
      </w:r>
    </w:p>
    <w:p>
      <w:pPr>
        <w:ind w:left="288"/>
      </w:pPr>
      <w:r>
        <w:rPr>
          <w:color w:val="8C8C8C"/>
          <w:sz w:val="12"/>
        </w:rPr>
        <w:t>cf-art-5-inc-L</w:t>
      </w:r>
      <w:r>
        <w:rPr>
          <w:color w:val="003CA0"/>
          <w:sz w:val="12"/>
        </w:rPr>
        <w:t xml:space="preserve"> | RHC 67.066</w:t>
      </w:r>
      <w:r>
        <w:rPr>
          <w:color w:val="003CA0"/>
          <w:sz w:val="12"/>
        </w:rPr>
        <w:t xml:space="preserve"> | rel. Octavio Gallotti</w:t>
      </w:r>
    </w:p>
    <w:p>
      <w:pPr>
        <w:ind w:left="288"/>
      </w:pPr>
      <w:r>
        <w:rPr>
          <w:color w:val="1E1E1E"/>
          <w:sz w:val="18"/>
        </w:rPr>
        <w:t>Exigência de identificação criminal que não se evidencia ser ilegal, por falta de comprovação de haver sido o paciente civilmente identificado.</w:t>
      </w:r>
    </w:p>
    <w:p>
      <w:pPr>
        <w:ind w:left="288"/>
      </w:pPr>
      <w:r>
        <w:rPr>
          <w:b/>
          <w:color w:val="003CA0"/>
          <w:sz w:val="16"/>
        </w:rPr>
        <w:t>[RHC 67.066, rel. min. Octavio Gallotti, j. 6-12-1988, 1ª T, DJ de 10-2-1989.]</w:t>
      </w:r>
    </w:p>
    <w:p>
      <w:pPr>
        <w:ind w:left="288"/>
      </w:pPr>
      <w:r>
        <w:rPr>
          <w:color w:val="8C8C8C"/>
          <w:sz w:val="12"/>
        </w:rPr>
        <w:t>cf-art-5-inc-L</w:t>
      </w:r>
      <w:r>
        <w:rPr>
          <w:color w:val="003CA0"/>
          <w:sz w:val="12"/>
        </w:rPr>
        <w:t xml:space="preserve"> | ARE 859.251</w:t>
      </w:r>
      <w:r>
        <w:rPr>
          <w:color w:val="003CA0"/>
          <w:sz w:val="12"/>
        </w:rPr>
        <w:t xml:space="preserve"> | rel. Gilmar Mendes</w:t>
      </w:r>
    </w:p>
    <w:p>
      <w:pPr>
        <w:ind w:left="288"/>
      </w:pPr>
      <w:r>
        <w:rPr>
          <w:color w:val="1E1E1E"/>
          <w:sz w:val="18"/>
        </w:rPr>
        <w:t>LIX - será admitida ação privada nos crimes de ação pública, se esta não for intentada no prazo legal; Direito a mover ação penal privada subsidiária da pública. Art. 5º, LIX, da CF. Direito da vítima e sua família à aplicação da lei penal, inclusive tomando as rédeas da ação criminal, se o Ministério Público não agir em tempo. Relevância jurídica. Repercussão geral reconhecida. Inquérito policial relatado remetido ao Ministério Público. Ausência de movimentação externa ao Parquet por prazo superior ao legal (art. 46 do CPP). Surgimento do direito potestativo a propor ação penal privada. Quest</w:t>
      </w:r>
    </w:p>
    <w:p>
      <w:pPr>
        <w:ind w:left="288"/>
      </w:pPr>
      <w:r>
        <w:rPr>
          <w:b/>
          <w:color w:val="003CA0"/>
          <w:sz w:val="16"/>
        </w:rPr>
        <w:t>[ARE 859.251-RG, rel. min. Gilmar Mendes, j. 16-4-2015, P, DJE de 21-5-2015, Tema 811, com mérito julgado.]</w:t>
      </w:r>
    </w:p>
    <w:p>
      <w:pPr>
        <w:ind w:left="288"/>
      </w:pPr>
      <w:r>
        <w:rPr>
          <w:color w:val="8C8C8C"/>
          <w:sz w:val="12"/>
        </w:rPr>
        <w:t>cf-art-5-inc-L</w:t>
      </w:r>
      <w:r>
        <w:rPr>
          <w:color w:val="003CA0"/>
          <w:sz w:val="12"/>
        </w:rPr>
        <w:t xml:space="preserve"> | PET 4.281</w:t>
      </w:r>
      <w:r>
        <w:rPr>
          <w:color w:val="003CA0"/>
          <w:sz w:val="12"/>
        </w:rPr>
        <w:t xml:space="preserve"> | rel. Celso de Mello</w:t>
      </w:r>
    </w:p>
    <w:p>
      <w:pPr>
        <w:ind w:left="288"/>
      </w:pPr>
      <w:r>
        <w:rPr>
          <w:color w:val="1E1E1E"/>
          <w:sz w:val="18"/>
        </w:rPr>
        <w:t>Crimes militares: possibilidade, em tese, quanto a eles, de ajuizamento de queixa subsidiária. Ausência, no caso, dos pressupostos autorizadores da utilização da ação penal privada subsidiária. (...) Ausência, no caso, de legitimação ativa ad causam da associação civil de direito privado que ajuizou a queixa subsidiária. Entidade civil que não se qualifica, no contexto em exame, como sujeito passivo das condutas delituosas que imputou aos querelados, achando-se excluída, por isso mesmo, do rol (que é taxativo) daqueles ativamente legitimados ao exercício da queixa subsidiária (CPP, art. 29, c/</w:t>
      </w:r>
    </w:p>
    <w:p>
      <w:pPr>
        <w:ind w:left="288"/>
      </w:pPr>
      <w:r>
        <w:rPr>
          <w:b/>
          <w:color w:val="003CA0"/>
          <w:sz w:val="16"/>
        </w:rPr>
        <w:t>[Pet 4.281, rel. min. Celso de Mello, j. 10-8-2009, dec. monocrática, DJE de 17-8-2009.]</w:t>
      </w:r>
    </w:p>
    <w:p>
      <w:pPr>
        <w:ind w:left="288"/>
      </w:pPr>
      <w:r>
        <w:rPr>
          <w:color w:val="8C8C8C"/>
          <w:sz w:val="12"/>
        </w:rPr>
        <w:t>cf-art-5-inc-L</w:t>
      </w:r>
      <w:r>
        <w:rPr>
          <w:color w:val="003CA0"/>
          <w:sz w:val="12"/>
        </w:rPr>
        <w:t xml:space="preserve"> | HC 74.276</w:t>
      </w:r>
      <w:r>
        <w:rPr>
          <w:color w:val="003CA0"/>
          <w:sz w:val="12"/>
        </w:rPr>
        <w:t xml:space="preserve"> | rel. Celso de Mello</w:t>
      </w:r>
    </w:p>
    <w:p>
      <w:pPr>
        <w:ind w:left="288"/>
      </w:pPr>
      <w:r>
        <w:rPr>
          <w:color w:val="1E1E1E"/>
          <w:sz w:val="18"/>
        </w:rPr>
        <w:t>O STF tem enfatizado que, arquivado o inquérito policial, por decisão judicial, a pedido do Ministério Público, não cabe a ação penal subsidiária.</w:t>
      </w:r>
    </w:p>
    <w:p>
      <w:pPr>
        <w:ind w:left="288"/>
      </w:pPr>
      <w:r>
        <w:rPr>
          <w:b/>
          <w:color w:val="003CA0"/>
          <w:sz w:val="16"/>
        </w:rPr>
        <w:t>[HC 74.276, rel. min. Celso de Mello, j. 3-9-1996, 1ª T, DJE de 24-2-2011.]</w:t>
      </w:r>
    </w:p>
    <w:p>
      <w:pPr>
        <w:ind w:left="288"/>
      </w:pPr>
      <w:r>
        <w:rPr>
          <w:color w:val="8C8C8C"/>
          <w:sz w:val="12"/>
        </w:rPr>
        <w:t>cf-art-5-inc-L</w:t>
      </w:r>
      <w:r>
        <w:rPr>
          <w:color w:val="003CA0"/>
          <w:sz w:val="12"/>
        </w:rPr>
        <w:t xml:space="preserve"> | RE 274.115</w:t>
      </w:r>
      <w:r>
        <w:rPr>
          <w:color w:val="003CA0"/>
          <w:sz w:val="12"/>
        </w:rPr>
        <w:t xml:space="preserve"> | rel. Ellen Gracie</w:t>
      </w:r>
    </w:p>
    <w:p>
      <w:pPr>
        <w:ind w:left="288"/>
      </w:pPr>
      <w:r>
        <w:rPr>
          <w:color w:val="1E1E1E"/>
          <w:sz w:val="18"/>
        </w:rPr>
        <w:t>= RE 274.115 AgR, rel. min. Ellen Gracie, j. 12-8-2003, 2ª T, DJ de 19-9-2003 O direito de recorrer, que nasce no processo – embora condicionado ao exercício e instrumentalmente conexo ao direito de ação, que preexiste ao processo – a ele não se pode reduzir, sem abstração das diferenças substanciais que os distinguem. Em si mesma, a titularidade privativa da ação penal pública, deferida pela Constituição ao Ministério Público, veda que o poder de iniciativa do processo de ação penal pública se configura a outrem, mas nada antecipa sobre a outorga ou não de outros direitos e poderes processuai</w:t>
      </w:r>
    </w:p>
    <w:p>
      <w:pPr>
        <w:ind w:left="288"/>
      </w:pPr>
      <w:r>
        <w:rPr>
          <w:b/>
          <w:color w:val="003CA0"/>
          <w:sz w:val="16"/>
        </w:rPr>
        <w:t>[HC 68.413, rel. min. Sepúlveda Pertence, j. 22-5-1991, P, DJ de 18-10-1991.]</w:t>
      </w:r>
    </w:p>
    <w:p>
      <w:pPr>
        <w:ind w:left="288"/>
      </w:pPr>
      <w:r>
        <w:rPr>
          <w:color w:val="8C8C8C"/>
          <w:sz w:val="12"/>
        </w:rPr>
        <w:t>cf-art-5-inc-L</w:t>
      </w:r>
      <w:r>
        <w:rPr>
          <w:color w:val="003CA0"/>
          <w:sz w:val="12"/>
        </w:rPr>
        <w:t xml:space="preserve"> | ADI 4.414</w:t>
      </w:r>
      <w:r>
        <w:rPr>
          <w:color w:val="003CA0"/>
          <w:sz w:val="12"/>
        </w:rPr>
        <w:t xml:space="preserve"> | rel. Luiz Fux</w:t>
      </w:r>
    </w:p>
    <w:p>
      <w:pPr>
        <w:ind w:left="288"/>
      </w:pPr>
      <w:r>
        <w:rPr>
          <w:color w:val="1E1E1E"/>
          <w:sz w:val="18"/>
        </w:rPr>
        <w:t>LX - a lei só poderá restringir a publicidade dos atos processuais quando a defesa da intimidade ou o interesse social o exigirem; A publicidade assegurada constitucionalmente (art. 5º, LX, e 93, IX, da CRFB) alcança os autos do processo, e não somente as sessões e audiências, razão pela qual padece de inconstitucionalidade disposição normativa que determine abstratamente segredo de justiça em todos os processos em curso perante vara criminal.</w:t>
      </w:r>
    </w:p>
    <w:p>
      <w:pPr>
        <w:ind w:left="288"/>
      </w:pPr>
      <w:r>
        <w:rPr>
          <w:b/>
          <w:color w:val="003CA0"/>
          <w:sz w:val="16"/>
        </w:rPr>
        <w:t>[ADI 4.414, rel. min. Luiz Fux, j. 31-5-2012, P, DJE de 17-6-2013.]</w:t>
      </w:r>
    </w:p>
    <w:p>
      <w:pPr>
        <w:ind w:left="288"/>
      </w:pPr>
      <w:r>
        <w:rPr>
          <w:color w:val="8C8C8C"/>
          <w:sz w:val="12"/>
        </w:rPr>
        <w:t>cf-art-5-inc-L</w:t>
      </w:r>
      <w:r>
        <w:rPr>
          <w:color w:val="003CA0"/>
          <w:sz w:val="12"/>
        </w:rPr>
        <w:t xml:space="preserve"> | RE 575.144</w:t>
      </w:r>
    </w:p>
    <w:p>
      <w:pPr>
        <w:ind w:left="288"/>
      </w:pPr>
      <w:r>
        <w:rPr>
          <w:color w:val="1E1E1E"/>
          <w:sz w:val="18"/>
        </w:rPr>
        <w:t>Conforme destacado no relatório, o ministro relator apresentou o agravo regimental ao Plenário do STM, nos termos do art. 118, § 2º, do Regimento Interno daquela Corte Superior, para manter a decisão que concluiu pela competência da Justiça Militar da União para apreciar a matéria. (...) Ora, uma das garantias mais importantes no tocante aos atos processuais é a de sua ampla publicidade, abrigada no art. 5º, LX, da CR, e que somente admite temperamentos "quando a defesa da intimidade ou o interesse social o exigirem". Salta vista, pois, que a falta de formalização do acórdão, com base em norma</w:t>
      </w:r>
    </w:p>
    <w:p>
      <w:pPr>
        <w:ind w:left="288"/>
      </w:pPr>
      <w:r>
        <w:rPr>
          <w:b/>
          <w:color w:val="003CA0"/>
          <w:sz w:val="16"/>
        </w:rPr>
        <w:t>[RE 575.144, voto do min. Ricardo Lewandowski, j. 11-12-2008, P, DJE de 20-2-2009, Tema 50, com mérito julgado.]</w:t>
      </w:r>
    </w:p>
    <w:p>
      <w:pPr>
        <w:ind w:left="288"/>
      </w:pPr>
      <w:r>
        <w:rPr>
          <w:color w:val="8C8C8C"/>
          <w:sz w:val="12"/>
        </w:rPr>
        <w:t>cf-art-5-inc-L</w:t>
      </w:r>
      <w:r>
        <w:rPr>
          <w:color w:val="003CA0"/>
          <w:sz w:val="12"/>
        </w:rPr>
        <w:t xml:space="preserve"> | RCL 11.949</w:t>
      </w:r>
      <w:r>
        <w:rPr>
          <w:color w:val="003CA0"/>
          <w:sz w:val="12"/>
        </w:rPr>
        <w:t xml:space="preserve"> | rel. Cármen Lúcia</w:t>
      </w:r>
    </w:p>
    <w:p>
      <w:pPr>
        <w:ind w:left="288"/>
      </w:pPr>
      <w:r>
        <w:rPr>
          <w:color w:val="1E1E1E"/>
          <w:sz w:val="18"/>
        </w:rPr>
        <w:t>A decisão proferida no julgamento do Recurso Ordinário no Mandado de Segurança 23.036 não restringiu o acesso dos então impetrantes aos documentos e arquivos fonográficos relacionados às sessões públicas de julgamentos do STM ocorridas na década de 1970, assentando que todos os julgamentos seriam públicos e que as gravações dos áudios dessas sessões deveriam ser disponibilizadas aos impetrantes, também no que se refere aos debates e votos proferidos pelos julgadores. Injustificável a resistência que o STM tenta opor ao cumprimento da decisão emanada deste Supremo Tribunal, que afastou os obstá</w:t>
      </w:r>
    </w:p>
    <w:p>
      <w:pPr>
        <w:ind w:left="288"/>
      </w:pPr>
      <w:r>
        <w:rPr>
          <w:b/>
          <w:color w:val="003CA0"/>
          <w:sz w:val="16"/>
        </w:rPr>
        <w:t>[Rcl 11.949, rel. min. Cármen Lúcia, j. 15-3-2017, P, DJE de 16-8-2017.]</w:t>
      </w:r>
    </w:p>
    <w:p>
      <w:pPr>
        <w:ind w:left="288"/>
      </w:pPr>
      <w:r>
        <w:rPr>
          <w:color w:val="8C8C8C"/>
          <w:sz w:val="12"/>
        </w:rPr>
        <w:t>cf-art-5-inc-L</w:t>
      </w:r>
      <w:r>
        <w:rPr>
          <w:color w:val="003CA0"/>
          <w:sz w:val="12"/>
        </w:rPr>
        <w:t xml:space="preserve"> | HC 93.364</w:t>
      </w:r>
      <w:r>
        <w:rPr>
          <w:color w:val="003CA0"/>
          <w:sz w:val="12"/>
        </w:rPr>
        <w:t xml:space="preserve"> | rel. Marco Aurélio</w:t>
      </w:r>
    </w:p>
    <w:p>
      <w:pPr>
        <w:ind w:left="288"/>
      </w:pPr>
      <w:r>
        <w:rPr>
          <w:color w:val="1E1E1E"/>
          <w:sz w:val="18"/>
        </w:rPr>
        <w:t>Pregão. Ciência da data. Verificado o pregão do processo sem que avisado o impetrante quanto à data, deixando de ser observado requerimento em tal sentido, impõe-se a declaração de insubsistência do julgamento.</w:t>
      </w:r>
    </w:p>
    <w:p>
      <w:pPr>
        <w:ind w:left="288"/>
      </w:pPr>
      <w:r>
        <w:rPr>
          <w:b/>
          <w:color w:val="003CA0"/>
          <w:sz w:val="16"/>
        </w:rPr>
        <w:t>[HC 93.364 QO, rel. min. Marco Aurélio, j. 11-11-2008, 1ª T, DJE de 19-12-2008.]</w:t>
      </w:r>
    </w:p>
    <w:p>
      <w:pPr>
        <w:ind w:left="288"/>
      </w:pPr>
      <w:r>
        <w:rPr>
          <w:color w:val="8C8C8C"/>
          <w:sz w:val="12"/>
        </w:rPr>
        <w:t>cf-art-5-inc-L</w:t>
      </w:r>
      <w:r>
        <w:rPr>
          <w:color w:val="003CA0"/>
          <w:sz w:val="12"/>
        </w:rPr>
        <w:t xml:space="preserve"> | HC 90.321</w:t>
      </w:r>
      <w:r>
        <w:rPr>
          <w:color w:val="003CA0"/>
          <w:sz w:val="12"/>
        </w:rPr>
        <w:t xml:space="preserve"> | rel. Ellen Gracie</w:t>
      </w:r>
    </w:p>
    <w:p>
      <w:pPr>
        <w:ind w:left="288"/>
      </w:pPr>
      <w:r>
        <w:rPr>
          <w:color w:val="1E1E1E"/>
          <w:sz w:val="18"/>
        </w:rPr>
        <w:t>A tese de nulidade do ato do interrogatório do paciente devido ao sigilo das informações acerca da qualificação de uma das testemunhas arroladas na denúncia não deve ser acolhida. No caso concreto, há indicações claras de que houve a preservação do sigilo quanto à identidade de uma das testemunhas devido ao temor de represálias, sendo que sua qualificação foi anotada fora dos autos com acesso restrito aos juízes de direito, promotores de justiça e advogados constituídos e nomeados. Fatos imputados ao paciente foram de formação de quadrilha armada, da prática de dois latrocínios e de porte ileg</w:t>
      </w:r>
    </w:p>
    <w:p>
      <w:pPr>
        <w:ind w:left="288"/>
      </w:pPr>
      <w:r>
        <w:rPr>
          <w:b/>
          <w:color w:val="003CA0"/>
          <w:sz w:val="16"/>
        </w:rPr>
        <w:t>[HC 90.321, rel. min. Ellen Gracie, j. 2-9-2008, 2ª T, DJE de 26-9-2008.]</w:t>
      </w:r>
    </w:p>
    <w:p>
      <w:pPr>
        <w:ind w:left="288"/>
      </w:pPr>
      <w:r>
        <w:rPr>
          <w:color w:val="8C8C8C"/>
          <w:sz w:val="12"/>
        </w:rPr>
        <w:t>cf-art-5-inc-L</w:t>
      </w:r>
      <w:r>
        <w:rPr>
          <w:color w:val="003CA0"/>
          <w:sz w:val="12"/>
        </w:rPr>
        <w:t xml:space="preserve"> | MS 27.483</w:t>
      </w:r>
      <w:r>
        <w:rPr>
          <w:color w:val="003CA0"/>
          <w:sz w:val="12"/>
        </w:rPr>
        <w:t xml:space="preserve"> | rel. Cezar Peluso</w:t>
      </w:r>
    </w:p>
    <w:p>
      <w:pPr>
        <w:ind w:left="288"/>
      </w:pPr>
      <w:r>
        <w:rPr>
          <w:color w:val="1E1E1E"/>
          <w:sz w:val="18"/>
        </w:rPr>
        <w:t>Inteligência dos arts. 5º, X e LX, e 58, § 3º, da CF, art. 325 do CP, e art. 10, c/c art. 1º da Lei federal 9.296/1996. CPI não tem poder jurídico de, mediante requisição, a operadoras de telefonia, de cópias de decisão nem de mandado judicial de interceptação telefônica, quebrar sigilo imposto a processo sujeito a segredo de justiça. Este é oponível a CPI, representando expressiva limitação aos seus poderes constitucionais.</w:t>
      </w:r>
    </w:p>
    <w:p>
      <w:pPr>
        <w:ind w:left="288"/>
      </w:pPr>
      <w:r>
        <w:rPr>
          <w:b/>
          <w:color w:val="003CA0"/>
          <w:sz w:val="16"/>
        </w:rPr>
        <w:t>[MS 27.483 MC-REF, rel. min. Cezar Peluso, j. 14-8-2008, P, DJE de 10-10-2008.]</w:t>
      </w:r>
    </w:p>
    <w:p>
      <w:pPr>
        <w:ind w:left="288"/>
      </w:pPr>
      <w:r>
        <w:rPr>
          <w:color w:val="8C8C8C"/>
          <w:sz w:val="12"/>
        </w:rPr>
        <w:t>cf-art-5-inc-L</w:t>
      </w:r>
      <w:r>
        <w:rPr>
          <w:color w:val="003CA0"/>
          <w:sz w:val="12"/>
        </w:rPr>
        <w:t xml:space="preserve"> | HC 90.688</w:t>
      </w:r>
      <w:r>
        <w:rPr>
          <w:color w:val="003CA0"/>
          <w:sz w:val="12"/>
        </w:rPr>
        <w:t xml:space="preserve"> | rel. Ricardo Lewandowski</w:t>
      </w:r>
    </w:p>
    <w:p>
      <w:pPr>
        <w:ind w:left="288"/>
      </w:pPr>
      <w:r>
        <w:rPr>
          <w:color w:val="1E1E1E"/>
          <w:sz w:val="18"/>
        </w:rPr>
        <w:t>Acordo de cooperação. Delação premiada. Direito de saber quais as autoridades que participaram do ato. Admissibilidade. Parcialidade dos membros do Ministério Público. Suspeitas fundadas. (...) Sigilo do acordo de delação que, por definição legal, não pode ser quebrado. Sendo fundadas as suspeitas de impedimento das autoridades que propuseram ou homologaram o acordo, razoável a expedição de certidão dando fé de seus nomes.</w:t>
      </w:r>
    </w:p>
    <w:p>
      <w:pPr>
        <w:ind w:left="288"/>
      </w:pPr>
      <w:r>
        <w:rPr>
          <w:b/>
          <w:color w:val="003CA0"/>
          <w:sz w:val="16"/>
        </w:rPr>
        <w:t>[HC 90.688, rel. min. Ricardo Lewandowski, j. 12-2-2008, 1ª T, DJE de 25-4-2008.]</w:t>
      </w:r>
    </w:p>
    <w:p>
      <w:pPr>
        <w:ind w:left="288"/>
      </w:pPr>
      <w:r>
        <w:rPr>
          <w:color w:val="8C8C8C"/>
          <w:sz w:val="12"/>
        </w:rPr>
        <w:t>cf-art-5-inc-L</w:t>
      </w:r>
      <w:r>
        <w:rPr>
          <w:color w:val="003CA0"/>
          <w:sz w:val="12"/>
        </w:rPr>
        <w:t xml:space="preserve"> | RMS 23.036</w:t>
      </w:r>
      <w:r>
        <w:rPr>
          <w:color w:val="003CA0"/>
          <w:sz w:val="12"/>
        </w:rPr>
        <w:t xml:space="preserve"> | rel. Maurício Corrêa</w:t>
      </w:r>
    </w:p>
    <w:p>
      <w:pPr>
        <w:ind w:left="288"/>
      </w:pPr>
      <w:r>
        <w:rPr>
          <w:color w:val="1E1E1E"/>
          <w:sz w:val="18"/>
        </w:rPr>
        <w:t xml:space="preserve">A publicidade e o direito à informação não podem ser restringidos com base em atos de natureza discricionária, salvo quando justificados, em casos excepcionais, para a defesa da honra, da imagem e da intimidade de terceiros ou quando a medida for essencial para a proteção do interesse público. A coleta de dados históricos a partir de documentos públicos e registros fonográficos, mesmo que para fins particulares, constitui-se em motivação legítima a garantir o acesso a tais informações. No caso, tratava-se da busca por fontes a subsidiar elaboração de livro (em homenagem a advogados defensores </w:t>
      </w:r>
    </w:p>
    <w:p>
      <w:pPr>
        <w:ind w:left="288"/>
      </w:pPr>
      <w:r>
        <w:rPr>
          <w:b/>
          <w:color w:val="003CA0"/>
          <w:sz w:val="16"/>
        </w:rPr>
        <w:t>[RMS 23.036, rel. min. Maurício Corrêa, red. do ac. min. Nelson Jobim, j. 28-3-2006, 2ª T, DJ de 25-8-2006.]</w:t>
      </w:r>
    </w:p>
    <w:p>
      <w:pPr>
        <w:ind w:left="288"/>
      </w:pPr>
      <w:r>
        <w:rPr>
          <w:color w:val="8C8C8C"/>
          <w:sz w:val="12"/>
        </w:rPr>
        <w:t>cf-art-5-inc-L</w:t>
      </w:r>
      <w:r>
        <w:rPr>
          <w:color w:val="003CA0"/>
          <w:sz w:val="12"/>
        </w:rPr>
        <w:t xml:space="preserve"> | RCL 11.949</w:t>
      </w:r>
      <w:r>
        <w:rPr>
          <w:color w:val="003CA0"/>
          <w:sz w:val="12"/>
        </w:rPr>
        <w:t xml:space="preserve"> | rel. Cármen Lúcia</w:t>
      </w:r>
    </w:p>
    <w:p>
      <w:pPr>
        <w:ind w:left="288"/>
      </w:pPr>
      <w:r>
        <w:rPr>
          <w:color w:val="1E1E1E"/>
          <w:sz w:val="18"/>
        </w:rPr>
        <w:t>Vide Rcl 11.949, rel. min. Cármen Lúcia, j. 15-3-2017, P, DJE de 16-8-2017 LXI - ninguém será preso senão em flagrante delito ou por ordem escrita e fundamentada de autoridade judiciária competente, salvo nos casos de transgressão militar ou crime propriamente militar, definidos em lei; Estatuto da Criança e do Adolescente. Art. 16, I, consagra o direito de ir e vir da criança e do adolescente, e art. 230 tipifica criminalmente a apreensão de menor fora das hipóteses de flagrante ou de cumprimento de mandado de apreensão. Alegação de ofensa ao devido processo legal e à proteção integral – art.</w:t>
      </w:r>
    </w:p>
    <w:p>
      <w:pPr>
        <w:ind w:left="288"/>
      </w:pPr>
      <w:r>
        <w:rPr>
          <w:b/>
          <w:color w:val="003CA0"/>
          <w:sz w:val="16"/>
        </w:rPr>
        <w:t>[ADI 3.446, rel. min. Gilmar Mendes, j. 8-8-2019, P, DJE de 31-7-2020.]</w:t>
      </w:r>
    </w:p>
    <w:p>
      <w:pPr>
        <w:ind w:left="288"/>
      </w:pPr>
      <w:r>
        <w:rPr>
          <w:color w:val="8C8C8C"/>
          <w:sz w:val="12"/>
        </w:rPr>
        <w:t>cf-art-5-inc-L</w:t>
      </w:r>
      <w:r>
        <w:rPr>
          <w:color w:val="003CA0"/>
          <w:sz w:val="12"/>
        </w:rPr>
        <w:t xml:space="preserve"> | ADI 3.112</w:t>
      </w:r>
      <w:r>
        <w:rPr>
          <w:color w:val="003CA0"/>
          <w:sz w:val="12"/>
        </w:rPr>
        <w:t xml:space="preserve"> | rel. Ricardo Lewandowski</w:t>
      </w:r>
    </w:p>
    <w:p>
      <w:pPr>
        <w:ind w:left="288"/>
      </w:pPr>
      <w:r>
        <w:rPr>
          <w:color w:val="1E1E1E"/>
          <w:sz w:val="18"/>
        </w:rPr>
        <w:t>Ação direta de inconstitucionalidade. Lei 10.826/2003. Estatuto do desarmamento. (...) Insusceptibilidade de liberdade provisória quanto aos delitos elencados nos arts. 16, 17 e 18. Inconstitucionalidade reconhecida, visto que o Texto Magno não autoriza a prisão ex lege, em face dos princípios da presunção de inocência e da obrigatoriedade de fundamentação dos mandados de prisão pela autoridade judiciária competente.</w:t>
      </w:r>
    </w:p>
    <w:p>
      <w:pPr>
        <w:ind w:left="288"/>
      </w:pPr>
      <w:r>
        <w:rPr>
          <w:b/>
          <w:color w:val="003CA0"/>
          <w:sz w:val="16"/>
        </w:rPr>
        <w:t>[ADI 3.112, rel. min. Ricardo Lewandowski, j. 2-5-2007, P, DJ de 26-10-2007.]</w:t>
      </w:r>
    </w:p>
    <w:p>
      <w:pPr>
        <w:ind w:left="288"/>
      </w:pPr>
      <w:r>
        <w:rPr>
          <w:color w:val="8C8C8C"/>
          <w:sz w:val="12"/>
        </w:rPr>
        <w:t>cf-art-5-inc-L</w:t>
      </w:r>
      <w:r>
        <w:rPr>
          <w:color w:val="003CA0"/>
          <w:sz w:val="12"/>
        </w:rPr>
        <w:t xml:space="preserve"> | RE 603.116</w:t>
      </w:r>
      <w:r>
        <w:rPr>
          <w:color w:val="003CA0"/>
          <w:sz w:val="12"/>
        </w:rPr>
        <w:t xml:space="preserve"> | rel. Dias Toffoli</w:t>
      </w:r>
    </w:p>
    <w:p>
      <w:pPr>
        <w:ind w:left="288"/>
      </w:pPr>
      <w:r>
        <w:rPr>
          <w:color w:val="1E1E1E"/>
          <w:sz w:val="18"/>
        </w:rPr>
        <w:t>O art. 47 da Lei nº 6.880/80 foi recepcionado pela Constituição Federal de 1988, sendo válidos, por conseguinte, os incisos IV e V do art. 24 do Decreto nº 4.346/02, os quais não implicam ofensa ao princípio da reserva legal.</w:t>
      </w:r>
    </w:p>
    <w:p>
      <w:pPr>
        <w:ind w:left="288"/>
      </w:pPr>
      <w:r>
        <w:rPr>
          <w:b/>
          <w:color w:val="003CA0"/>
          <w:sz w:val="16"/>
        </w:rPr>
        <w:t>[RE 603.116, rel. min. Dias Toffoli, j. 19.08.2024, P, DJE de 11.10.2024, Tema 703, com mérito julgado.]</w:t>
      </w:r>
    </w:p>
    <w:p>
      <w:pPr>
        <w:ind w:left="288"/>
      </w:pPr>
      <w:r>
        <w:rPr>
          <w:color w:val="8C8C8C"/>
          <w:sz w:val="12"/>
        </w:rPr>
        <w:t>cf-art-5-inc-L</w:t>
      </w:r>
      <w:r>
        <w:rPr>
          <w:color w:val="003CA0"/>
          <w:sz w:val="12"/>
        </w:rPr>
        <w:t xml:space="preserve"> | HC 126.501</w:t>
      </w:r>
    </w:p>
    <w:p>
      <w:pPr>
        <w:ind w:left="288"/>
      </w:pPr>
      <w:r>
        <w:rPr>
          <w:color w:val="1E1E1E"/>
          <w:sz w:val="18"/>
        </w:rPr>
        <w:t>A periculosidade do agente pode ser aferida por intermédio de diversos elementos concretos, tal como o registro de inquéritos policiais e ações penais em andamento que, embora não possam ser fonte desfavorável da constatação de maus antecedentes, podem servir de respaldo da necessidade da imposição de custódia preventiva. Diante do disposto no art. 156 do CPP, não se reveste de ilegalidade a atuação de ofício do magistrado que, em pesquisa a banco de dados virtuais, verifica a presença de registros criminais em face do paciente.</w:t>
      </w:r>
    </w:p>
    <w:p>
      <w:pPr>
        <w:ind w:left="288"/>
      </w:pPr>
      <w:r>
        <w:rPr>
          <w:b/>
          <w:color w:val="003CA0"/>
          <w:sz w:val="16"/>
        </w:rPr>
        <w:t>[HC 126.501, red. do ac. min. Edson Fachin, j. 14-6-2016, 1ª T, DJE de 4-10-2016.]</w:t>
      </w:r>
    </w:p>
    <w:p>
      <w:pPr>
        <w:ind w:left="288"/>
      </w:pPr>
      <w:r>
        <w:rPr>
          <w:color w:val="8C8C8C"/>
          <w:sz w:val="12"/>
        </w:rPr>
        <w:t>cf-art-5-inc-L</w:t>
      </w:r>
      <w:r>
        <w:rPr>
          <w:color w:val="003CA0"/>
          <w:sz w:val="12"/>
        </w:rPr>
        <w:t xml:space="preserve"> | RHC 100.973</w:t>
      </w:r>
      <w:r>
        <w:rPr>
          <w:color w:val="003CA0"/>
          <w:sz w:val="12"/>
        </w:rPr>
        <w:t xml:space="preserve"> | rel. Ellen Gracie</w:t>
      </w:r>
    </w:p>
    <w:p>
      <w:pPr>
        <w:ind w:left="288"/>
      </w:pPr>
      <w:r>
        <w:rPr>
          <w:color w:val="1E1E1E"/>
          <w:sz w:val="18"/>
        </w:rPr>
        <w:t>Vide RHC 100.973, rel. min. Ellen Gracie, j. 4-5-2010, 2ª T, DJE de 28-5-2010 Esta Suprema Corte possui jurisprudência no sentido de permitir a decretação de nova prisão preventiva contra o réu que deixa de cumprir os compromissos firmados perante o juízo.</w:t>
      </w:r>
    </w:p>
    <w:p>
      <w:pPr>
        <w:ind w:left="288"/>
      </w:pPr>
      <w:r>
        <w:rPr>
          <w:b/>
          <w:color w:val="003CA0"/>
          <w:sz w:val="16"/>
        </w:rPr>
        <w:t>[HC 100.372, rel. min. Ellen Gracie, j. 14-9-2010, 2ª T, DJE de 1º-10-2010.]</w:t>
      </w:r>
    </w:p>
    <w:p>
      <w:pPr>
        <w:ind w:left="288"/>
      </w:pPr>
      <w:r>
        <w:rPr>
          <w:color w:val="8C8C8C"/>
          <w:sz w:val="12"/>
        </w:rPr>
        <w:t>cf-art-5-inc-L</w:t>
      </w:r>
      <w:r>
        <w:rPr>
          <w:color w:val="003CA0"/>
          <w:sz w:val="12"/>
        </w:rPr>
        <w:t xml:space="preserve"> | HC 93.705</w:t>
      </w:r>
      <w:r>
        <w:rPr>
          <w:color w:val="003CA0"/>
          <w:sz w:val="12"/>
        </w:rPr>
        <w:t xml:space="preserve"> | rel. Eros Grau</w:t>
      </w:r>
    </w:p>
    <w:p>
      <w:pPr>
        <w:ind w:left="288"/>
      </w:pPr>
      <w:r>
        <w:rPr>
          <w:color w:val="1E1E1E"/>
          <w:sz w:val="18"/>
        </w:rPr>
        <w:t>= HC 93.705, rel. min. Eros Grau, j. 20-5-2008, 2ª T, DJE de 15-8-2008 Esta Suprema Corte firmou entendimento no sentido de ser inidônea a decretação de prisão preventiva fundamentada apenas nos maus antecedentes do réu, mormente quando respondeu ao processo em liberdade (...).</w:t>
      </w:r>
    </w:p>
    <w:p>
      <w:pPr>
        <w:ind w:left="288"/>
      </w:pPr>
      <w:r>
        <w:rPr>
          <w:b/>
          <w:color w:val="003CA0"/>
          <w:sz w:val="16"/>
        </w:rPr>
        <w:t>[RHC 100.973, rel. min. Ellen Gracie, j. 4-5-2010, 2ª T, DJE de 28-5-2010.]</w:t>
      </w:r>
    </w:p>
    <w:p>
      <w:pPr>
        <w:ind w:left="288"/>
      </w:pPr>
      <w:r>
        <w:rPr>
          <w:color w:val="8C8C8C"/>
          <w:sz w:val="12"/>
        </w:rPr>
        <w:t>cf-art-5-inc-L</w:t>
      </w:r>
      <w:r>
        <w:rPr>
          <w:color w:val="003CA0"/>
          <w:sz w:val="12"/>
        </w:rPr>
        <w:t xml:space="preserve"> | HC 126.501</w:t>
      </w:r>
      <w:r>
        <w:rPr>
          <w:color w:val="003CA0"/>
          <w:sz w:val="12"/>
        </w:rPr>
        <w:t xml:space="preserve"> | rel. Marco Aurélio</w:t>
      </w:r>
    </w:p>
    <w:p>
      <w:pPr>
        <w:ind w:left="288"/>
      </w:pPr>
      <w:r>
        <w:rPr>
          <w:color w:val="1E1E1E"/>
          <w:sz w:val="18"/>
        </w:rPr>
        <w:t>Vide HC 126.501, rel. min. Marco Aurélio, red. do ac. min. Edson Fachin, j. 14-6-2016, 1ª T, DJE de 4-10-2016 Vide HC 96.019, rel. min. Joaquim Barbosa, j. 16-12-2008, 2ª T, DJE de 27-3-2009 Vide HC 97.177, rel. min. Cezar Peluso, j. 8-9-2009, 2ª T, DJE de 9-10-2009 A prática de atos concretos voltados a obstaculizar, de início, a apuração dos fatos mediante inquérito conduz à prisão preventiva de quem nela envolvido como investigado, pouco importando a ausência de atuação direta, incidindo a norma geral e abstrata do art. 312 do CPC. (...) A prisão preventiva prescinde da ciência prévia do de</w:t>
      </w:r>
    </w:p>
    <w:p>
      <w:pPr>
        <w:ind w:left="288"/>
      </w:pPr>
      <w:r>
        <w:rPr>
          <w:b/>
          <w:color w:val="003CA0"/>
          <w:sz w:val="16"/>
        </w:rPr>
        <w:t>[HC 102.732, rel. min. Marco Aurélio, j. 4-3-2010, P, DJE de 7-5-2010.]</w:t>
      </w:r>
    </w:p>
    <w:p>
      <w:pPr>
        <w:ind w:left="288"/>
      </w:pPr>
      <w:r>
        <w:rPr>
          <w:color w:val="8C8C8C"/>
          <w:sz w:val="12"/>
        </w:rPr>
        <w:t>cf-art-5-inc-L</w:t>
      </w:r>
      <w:r>
        <w:rPr>
          <w:color w:val="003CA0"/>
          <w:sz w:val="12"/>
        </w:rPr>
        <w:t xml:space="preserve"> | HC 90.178</w:t>
      </w:r>
      <w:r>
        <w:rPr>
          <w:color w:val="003CA0"/>
          <w:sz w:val="12"/>
        </w:rPr>
        <w:t xml:space="preserve"> | rel. Cezar Peluso</w:t>
      </w:r>
    </w:p>
    <w:p>
      <w:pPr>
        <w:ind w:left="288"/>
      </w:pPr>
      <w:r>
        <w:rPr>
          <w:color w:val="1E1E1E"/>
          <w:sz w:val="18"/>
        </w:rPr>
        <w:t>Não é nulo o inquérito policial instaurado a partir da prisão em flagrante dos acusados, ainda que a autoridade policial tenha tomado conhecimento prévios dos fatos por meio de denúncia anônima.</w:t>
      </w:r>
    </w:p>
    <w:p>
      <w:pPr>
        <w:ind w:left="288"/>
      </w:pPr>
      <w:r>
        <w:rPr>
          <w:b/>
          <w:color w:val="003CA0"/>
          <w:sz w:val="16"/>
        </w:rPr>
        <w:t>[HC 90.178, rel. min. Cezar Peluso, j. 2-2-2010, 2ª T, DJE de 26-3-2010.]</w:t>
      </w:r>
    </w:p>
    <w:p>
      <w:pPr>
        <w:ind w:left="288"/>
      </w:pPr>
      <w:r>
        <w:rPr>
          <w:color w:val="8C8C8C"/>
          <w:sz w:val="12"/>
        </w:rPr>
        <w:t>cf-art-5-inc-L</w:t>
      </w:r>
      <w:r>
        <w:rPr>
          <w:color w:val="003CA0"/>
          <w:sz w:val="12"/>
        </w:rPr>
        <w:t xml:space="preserve"> | HC 98.006</w:t>
      </w:r>
      <w:r>
        <w:rPr>
          <w:color w:val="003CA0"/>
          <w:sz w:val="12"/>
        </w:rPr>
        <w:t xml:space="preserve"> | rel. Ayres Britto</w:t>
      </w:r>
    </w:p>
    <w:p>
      <w:pPr>
        <w:ind w:left="288"/>
      </w:pPr>
      <w:r>
        <w:rPr>
          <w:color w:val="1E1E1E"/>
          <w:sz w:val="18"/>
        </w:rPr>
        <w:t>No caso, tenho por desatendido o dever jurisdicional de fundamentação real das decisões. É que a ordem constritiva está assentada, tão somente, na reprodução de algumas das expressões do art. 312 do CPP. Pelo que não se enxerga no decreto de prisão o conteúdo mínimo da garantia da fundamentação real das decisões judiciais. Garantia constitucional que se lê na segunda parte do inciso LXI do art. 5º e na parte inicial do inciso IX do art. 93 da Constituição e sem a qual não se viabiliza a ampla defesa nem se afere o dever do juiz de se manter equidistante das partes processuais em litígio. Noutr</w:t>
      </w:r>
    </w:p>
    <w:p>
      <w:pPr>
        <w:ind w:left="288"/>
      </w:pPr>
      <w:r>
        <w:rPr>
          <w:b/>
          <w:color w:val="003CA0"/>
          <w:sz w:val="16"/>
        </w:rPr>
        <w:t>[HC 98.006, rel. min. Ayres Britto, j. 24-11-2009, 1ª T, DJE de 5-2-2010.]</w:t>
      </w:r>
    </w:p>
    <w:p>
      <w:pPr>
        <w:ind w:left="288"/>
      </w:pPr>
      <w:r>
        <w:rPr>
          <w:color w:val="8C8C8C"/>
          <w:sz w:val="12"/>
        </w:rPr>
        <w:t>cf-art-5-inc-L</w:t>
      </w:r>
      <w:r>
        <w:rPr>
          <w:color w:val="003CA0"/>
          <w:sz w:val="12"/>
        </w:rPr>
        <w:t xml:space="preserve"> | HC 100.340</w:t>
      </w:r>
      <w:r>
        <w:rPr>
          <w:color w:val="003CA0"/>
          <w:sz w:val="12"/>
        </w:rPr>
        <w:t xml:space="preserve"> | rel. Cezar Peluso</w:t>
      </w:r>
    </w:p>
    <w:p>
      <w:pPr>
        <w:ind w:left="288"/>
      </w:pPr>
      <w:r>
        <w:rPr>
          <w:color w:val="1E1E1E"/>
          <w:sz w:val="18"/>
        </w:rPr>
        <w:t>Se a custódia cautelar foi decretada apenas com fundamento na conveniência da instrução criminal, o encerramento desta torna desnecessária aquela.</w:t>
      </w:r>
    </w:p>
    <w:p>
      <w:pPr>
        <w:ind w:left="288"/>
      </w:pPr>
      <w:r>
        <w:rPr>
          <w:b/>
          <w:color w:val="003CA0"/>
          <w:sz w:val="16"/>
        </w:rPr>
        <w:t>[HC 100.340, rel. min. Cezar Peluso, j. 10-11-2009, 2ª T, DJE de 18-12-2009.]</w:t>
      </w:r>
    </w:p>
    <w:p>
      <w:pPr>
        <w:ind w:left="288"/>
      </w:pPr>
      <w:r>
        <w:rPr>
          <w:color w:val="8C8C8C"/>
          <w:sz w:val="12"/>
        </w:rPr>
        <w:t>cf-art-5-inc-L</w:t>
      </w:r>
      <w:r>
        <w:rPr>
          <w:color w:val="003CA0"/>
          <w:sz w:val="12"/>
        </w:rPr>
        <w:t xml:space="preserve"> | HC 97.690</w:t>
      </w:r>
      <w:r>
        <w:rPr>
          <w:color w:val="003CA0"/>
          <w:sz w:val="12"/>
        </w:rPr>
        <w:t xml:space="preserve"> | rel. Ricardo Lewandowski</w:t>
      </w:r>
    </w:p>
    <w:p>
      <w:pPr>
        <w:ind w:left="288"/>
      </w:pPr>
      <w:r>
        <w:rPr>
          <w:color w:val="1E1E1E"/>
          <w:sz w:val="18"/>
        </w:rPr>
        <w:t>A incompetência do juízo gera a nulidade do decreto de prisão preventiva.</w:t>
      </w:r>
    </w:p>
    <w:p>
      <w:pPr>
        <w:ind w:left="288"/>
      </w:pPr>
      <w:r>
        <w:rPr>
          <w:b/>
          <w:color w:val="003CA0"/>
          <w:sz w:val="16"/>
        </w:rPr>
        <w:t>[HC 97.690, rel. min. Ricardo Lewandowski, j. 6-10-2009, 1ª T, DJE de 23-10-2009.]</w:t>
      </w:r>
    </w:p>
    <w:p>
      <w:pPr>
        <w:ind w:left="288"/>
      </w:pPr>
      <w:r>
        <w:rPr>
          <w:color w:val="8C8C8C"/>
          <w:sz w:val="12"/>
        </w:rPr>
        <w:t>cf-art-5-inc-L</w:t>
      </w:r>
      <w:r>
        <w:rPr>
          <w:color w:val="003CA0"/>
          <w:sz w:val="12"/>
        </w:rPr>
        <w:t xml:space="preserve"> | HC 98.689</w:t>
      </w:r>
      <w:r>
        <w:rPr>
          <w:color w:val="003CA0"/>
          <w:sz w:val="12"/>
        </w:rPr>
        <w:t xml:space="preserve"> | rel. Ricardo Lewandowski</w:t>
      </w:r>
    </w:p>
    <w:p>
      <w:pPr>
        <w:ind w:left="288"/>
      </w:pPr>
      <w:r>
        <w:rPr>
          <w:color w:val="1E1E1E"/>
          <w:sz w:val="18"/>
        </w:rPr>
        <w:t>As condições subjetivas favoráveis do paciente não obstam a segregação cautelar, desde que presentes nos autos elementos concretos a recomendar sua manutenção (...).</w:t>
      </w:r>
    </w:p>
    <w:p>
      <w:pPr>
        <w:ind w:left="288"/>
      </w:pPr>
      <w:r>
        <w:rPr>
          <w:b/>
          <w:color w:val="003CA0"/>
          <w:sz w:val="16"/>
        </w:rPr>
        <w:t>[HC 98.689, rel. min. Ricardo Lewandowski, j. 6-10-2009, 1ª T, DJE de 6-11-2009.]</w:t>
      </w:r>
    </w:p>
    <w:p>
      <w:pPr>
        <w:ind w:left="288"/>
      </w:pPr>
      <w:r>
        <w:rPr>
          <w:color w:val="8C8C8C"/>
          <w:sz w:val="12"/>
        </w:rPr>
        <w:t>cf-art-5-inc-L</w:t>
      </w:r>
      <w:r>
        <w:rPr>
          <w:color w:val="003CA0"/>
          <w:sz w:val="12"/>
        </w:rPr>
        <w:t xml:space="preserve"> | HC 100.372</w:t>
      </w:r>
      <w:r>
        <w:rPr>
          <w:color w:val="003CA0"/>
          <w:sz w:val="12"/>
        </w:rPr>
        <w:t xml:space="preserve"> | rel. Ellen Gracie</w:t>
      </w:r>
    </w:p>
    <w:p>
      <w:pPr>
        <w:ind w:left="288"/>
      </w:pPr>
      <w:r>
        <w:rPr>
          <w:color w:val="1E1E1E"/>
          <w:sz w:val="18"/>
        </w:rPr>
        <w:t>= HC 100.372, rel. min. Ellen Gracie, j. 14-9-2010, 2ª T, DJE de 1º-10-2010 Os fundamentos da prisão cautelar, considerada a excepcionalidade dessa medida, devem ser reavaliados a qualquer tempo, a fim de evitar-se o cumprimento da pena sem sentença transitada em julgado, em evidente afronta ao art. 5º, LVII, da Constituição do Brasil.</w:t>
      </w:r>
    </w:p>
    <w:p>
      <w:pPr>
        <w:ind w:left="288"/>
      </w:pPr>
      <w:r>
        <w:rPr>
          <w:b/>
          <w:color w:val="003CA0"/>
          <w:sz w:val="16"/>
        </w:rPr>
        <w:t>[HC 98.233, rel. min. Eros Grau, j. 6-10-2009, 2ª T, DJE de 29-10-2009.]</w:t>
      </w:r>
    </w:p>
    <w:p>
      <w:pPr>
        <w:ind w:left="288"/>
      </w:pPr>
      <w:r>
        <w:rPr>
          <w:color w:val="8C8C8C"/>
          <w:sz w:val="12"/>
        </w:rPr>
        <w:t>cf-art-5-inc-L</w:t>
      </w:r>
      <w:r>
        <w:rPr>
          <w:color w:val="003CA0"/>
          <w:sz w:val="12"/>
        </w:rPr>
        <w:t xml:space="preserve"> | HC 99.379</w:t>
      </w:r>
      <w:r>
        <w:rPr>
          <w:color w:val="003CA0"/>
          <w:sz w:val="12"/>
        </w:rPr>
        <w:t xml:space="preserve"> | rel. Eros Grau</w:t>
      </w:r>
    </w:p>
    <w:p>
      <w:pPr>
        <w:ind w:left="288"/>
      </w:pPr>
      <w:r>
        <w:rPr>
          <w:color w:val="1E1E1E"/>
          <w:sz w:val="18"/>
        </w:rPr>
        <w:t>O fundamento da garantia da ordem pública é inidôneo quando alicerçado na credibilidade da justiça e na gravidade do crime. De igual modo, circunstâncias judiciais como a gravidade do crime, o motivo, a frieza, a premeditação, o emprego de violência e o desprezo pelas normas que regem a vida em sociedade não conferem base concreta à prisão preventiva para garantia da ordem pública. Circunstâncias dessa ordem hão de refletir-se – e apenas isso – na fixação a pena.</w:t>
      </w:r>
    </w:p>
    <w:p>
      <w:pPr>
        <w:ind w:left="288"/>
      </w:pPr>
      <w:r>
        <w:rPr>
          <w:b/>
          <w:color w:val="003CA0"/>
          <w:sz w:val="16"/>
        </w:rPr>
        <w:t>[HC 99.379, rel. min. Eros Grau, j. 8-9-2009, 2ª T, DJE de 23-10-2009.]</w:t>
      </w:r>
    </w:p>
    <w:p>
      <w:pPr>
        <w:ind w:left="288"/>
      </w:pPr>
      <w:r>
        <w:rPr>
          <w:color w:val="8C8C8C"/>
          <w:sz w:val="12"/>
        </w:rPr>
        <w:t>cf-art-5-inc-L</w:t>
      </w:r>
      <w:r>
        <w:rPr>
          <w:color w:val="003CA0"/>
          <w:sz w:val="12"/>
        </w:rPr>
        <w:t xml:space="preserve"> | HC 95.290</w:t>
      </w:r>
      <w:r>
        <w:rPr>
          <w:color w:val="003CA0"/>
          <w:sz w:val="12"/>
        </w:rPr>
        <w:t xml:space="preserve"> | rel. Celso de Mello</w:t>
      </w:r>
    </w:p>
    <w:p>
      <w:pPr>
        <w:ind w:left="288"/>
      </w:pPr>
      <w:r>
        <w:rPr>
          <w:color w:val="1E1E1E"/>
          <w:sz w:val="18"/>
        </w:rPr>
        <w:t>= HC 95.290, rel. min. Celso de Mello, j. 1º-3-2012, 2ª T, DJE de 1º-8-2012 A legalidade da decisão que decreta a prisão cautelar ou que denega liberdade provisória deverá ser aferida em função dos fundamentos que lhe dão suporte, e não em face de eventual reforço advindo dos julgamentos emanados das instâncias judiciárias superiores. Precedentes. A motivação há de ser própria, inerente e contemporânea à decisão que decreta o ato excepcional de privação cautelar da liberdade, pois a ausência ou a deficiência de fundamentação não podem ser supridas a posteriori.</w:t>
      </w:r>
    </w:p>
    <w:p>
      <w:pPr>
        <w:ind w:left="288"/>
      </w:pPr>
      <w:r>
        <w:rPr>
          <w:b/>
          <w:color w:val="003CA0"/>
          <w:sz w:val="16"/>
        </w:rPr>
        <w:t>[HC 98.862, rel. min. Celso de Mello, j. 23-6-2009, 2ª T, DJE de 23-10-2009.]</w:t>
      </w:r>
    </w:p>
    <w:p>
      <w:pPr>
        <w:ind w:left="288"/>
      </w:pPr>
      <w:r>
        <w:rPr>
          <w:color w:val="8C8C8C"/>
          <w:sz w:val="12"/>
        </w:rPr>
        <w:t>cf-art-5-inc-L</w:t>
      </w:r>
      <w:r>
        <w:rPr>
          <w:color w:val="003CA0"/>
          <w:sz w:val="12"/>
        </w:rPr>
        <w:t xml:space="preserve"> | HC 101.980</w:t>
      </w:r>
      <w:r>
        <w:rPr>
          <w:color w:val="003CA0"/>
          <w:sz w:val="12"/>
        </w:rPr>
        <w:t xml:space="preserve"> | rel. Dias Toffoli</w:t>
      </w:r>
    </w:p>
    <w:p>
      <w:pPr>
        <w:ind w:left="288"/>
      </w:pPr>
      <w:r>
        <w:rPr>
          <w:color w:val="1E1E1E"/>
          <w:sz w:val="18"/>
        </w:rPr>
        <w:t>= HC 101.980, rel. min. Dias Toffoli, j. 11-5-2010, 1ª T, DJE de 4-6-2010. A superveniência do decreto de prisão preventiva, que constitui novo título da prisão, prejudica a alegação de ausência de fundamentação cautelar válida para a prisão temporária.</w:t>
      </w:r>
    </w:p>
    <w:p>
      <w:pPr>
        <w:ind w:left="288"/>
      </w:pPr>
      <w:r>
        <w:rPr>
          <w:b/>
          <w:color w:val="003CA0"/>
          <w:sz w:val="16"/>
        </w:rPr>
        <w:t>[HC 96.680, rel. min. Cármen Lúcia, j. 23-6-2009, 1ª T, DJE de 7-8-2009.]</w:t>
      </w:r>
    </w:p>
    <w:p>
      <w:pPr>
        <w:ind w:left="288"/>
      </w:pPr>
      <w:r>
        <w:rPr>
          <w:color w:val="8C8C8C"/>
          <w:sz w:val="12"/>
        </w:rPr>
        <w:t>cf-art-5-inc-L</w:t>
      </w:r>
      <w:r>
        <w:rPr>
          <w:color w:val="003CA0"/>
          <w:sz w:val="12"/>
        </w:rPr>
        <w:t xml:space="preserve"> | HC 97.049</w:t>
      </w:r>
      <w:r>
        <w:rPr>
          <w:color w:val="003CA0"/>
          <w:sz w:val="12"/>
        </w:rPr>
        <w:t xml:space="preserve"> | rel. Ayres Britto</w:t>
      </w:r>
    </w:p>
    <w:p>
      <w:pPr>
        <w:ind w:left="288"/>
      </w:pPr>
      <w:r>
        <w:rPr>
          <w:color w:val="1E1E1E"/>
          <w:sz w:val="18"/>
        </w:rPr>
        <w:t>Não há ilegalidade por abuso de poder quando o condenado, preso antes mesmo da instrução criminal, tem a sua prisão mantida por fundamento lançado na sentença penal condenatória. É dizer: carece de lógica permitir que o réu, preso preventivamente durante todo o desenrolar da instrução criminal, aguarde em liberdade o trânsito em julgado da causa se expressamente mantidos, na decisão condenatória, os motivos ensejadores da segregação cautelar.</w:t>
      </w:r>
    </w:p>
    <w:p>
      <w:pPr>
        <w:ind w:left="288"/>
      </w:pPr>
      <w:r>
        <w:rPr>
          <w:b/>
          <w:color w:val="003CA0"/>
          <w:sz w:val="16"/>
        </w:rPr>
        <w:t>[HC 97.049, rel. min. Ayres Britto, j. 16-6-2009, 1ª T, DJE de 7-8-2009.]</w:t>
      </w:r>
    </w:p>
    <w:p>
      <w:pPr>
        <w:ind w:left="288"/>
      </w:pPr>
      <w:r>
        <w:rPr>
          <w:color w:val="8C8C8C"/>
          <w:sz w:val="12"/>
        </w:rPr>
        <w:t>cf-art-5-inc-L</w:t>
      </w:r>
      <w:r>
        <w:rPr>
          <w:color w:val="003CA0"/>
          <w:sz w:val="12"/>
        </w:rPr>
        <w:t xml:space="preserve"> | RHC 103.744</w:t>
      </w:r>
      <w:r>
        <w:rPr>
          <w:color w:val="003CA0"/>
          <w:sz w:val="12"/>
        </w:rPr>
        <w:t xml:space="preserve"> | rel. Marco Aurélio</w:t>
      </w:r>
    </w:p>
    <w:p>
      <w:pPr>
        <w:ind w:left="288"/>
      </w:pPr>
      <w:r>
        <w:rPr>
          <w:color w:val="1E1E1E"/>
          <w:sz w:val="18"/>
        </w:rPr>
        <w:t>= RHC 103.744, rel. Ricardo Lewandowski, red. do ac. min. Dias Toffoli, j. 31-8-2010, 1ª T, DJE de 25-10-2010 Surge imprópria decretação de prisão preventiva lastreada em condutas delituosas suspeitas e, portanto, na presunção de culpabilidade do paciente.</w:t>
      </w:r>
    </w:p>
    <w:p>
      <w:pPr>
        <w:ind w:left="288"/>
      </w:pPr>
      <w:r>
        <w:rPr>
          <w:b/>
          <w:color w:val="003CA0"/>
          <w:sz w:val="16"/>
        </w:rPr>
        <w:t>[HC 88.721, rel. min. Marco Aurélio, j. 28-4-2009, 1ª T, DJE de 29-5-2009.]</w:t>
      </w:r>
    </w:p>
    <w:p>
      <w:pPr>
        <w:ind w:left="288"/>
      </w:pPr>
      <w:r>
        <w:rPr>
          <w:color w:val="8C8C8C"/>
          <w:sz w:val="12"/>
        </w:rPr>
        <w:t>cf-art-5-inc-L</w:t>
      </w:r>
      <w:r>
        <w:rPr>
          <w:color w:val="003CA0"/>
          <w:sz w:val="12"/>
        </w:rPr>
        <w:t xml:space="preserve"> | HC 98.061</w:t>
      </w:r>
      <w:r>
        <w:rPr>
          <w:color w:val="003CA0"/>
          <w:sz w:val="12"/>
        </w:rPr>
        <w:t xml:space="preserve"> | rel. Eros Grau</w:t>
      </w:r>
    </w:p>
    <w:p>
      <w:pPr>
        <w:ind w:left="288"/>
      </w:pPr>
      <w:r>
        <w:rPr>
          <w:color w:val="1E1E1E"/>
          <w:sz w:val="18"/>
        </w:rPr>
        <w:t>O julgamento sem a presença do réu, previsto na recente reforma do procedimento do júri, não elimina, como o impetrante sustenta, a necessidade da prisão cautelar para garantia da aplicação da lei penal, eis que esta não se confunde com a conveniência da instrução criminal. Na primeira hipótese, havendo nítida intenção, como no caso se dá, de o paciente pretender frustrar a aplicação da lei penal, a segregação cautelar se impõe.</w:t>
      </w:r>
    </w:p>
    <w:p>
      <w:pPr>
        <w:ind w:left="288"/>
      </w:pPr>
      <w:r>
        <w:rPr>
          <w:b/>
          <w:color w:val="003CA0"/>
          <w:sz w:val="16"/>
        </w:rPr>
        <w:t>[HC 98.061, rel. min. Eros Grau, j. 28-4-2009, 2ª T, DJE de 21-8-2009.]</w:t>
      </w:r>
    </w:p>
    <w:p>
      <w:pPr>
        <w:ind w:left="288"/>
      </w:pPr>
      <w:r>
        <w:rPr>
          <w:color w:val="8C8C8C"/>
          <w:sz w:val="12"/>
        </w:rPr>
        <w:t>cf-art-5-inc-L</w:t>
      </w:r>
      <w:r>
        <w:rPr>
          <w:color w:val="003CA0"/>
          <w:sz w:val="12"/>
        </w:rPr>
        <w:t xml:space="preserve"> | HC 94.344</w:t>
      </w:r>
      <w:r>
        <w:rPr>
          <w:color w:val="003CA0"/>
          <w:sz w:val="12"/>
        </w:rPr>
        <w:t xml:space="preserve"> | rel. Cezar Peluso</w:t>
      </w:r>
    </w:p>
    <w:p>
      <w:pPr>
        <w:ind w:left="288"/>
      </w:pPr>
      <w:r>
        <w:rPr>
          <w:color w:val="1E1E1E"/>
          <w:sz w:val="18"/>
        </w:rPr>
        <w:t>Quando a falta ou insuficiência de fundamentação de prisão preventiva constitua causa de nulidade da decisão, não a podem suprir informações prestadas em habeas corpus, nem o acórdão que o denegue ou negue provimento a recurso.</w:t>
      </w:r>
    </w:p>
    <w:p>
      <w:pPr>
        <w:ind w:left="288"/>
      </w:pPr>
      <w:r>
        <w:rPr>
          <w:b/>
          <w:color w:val="003CA0"/>
          <w:sz w:val="16"/>
        </w:rPr>
        <w:t>[HC 94.344, rel. min. Cezar Peluso, j. 31-3-2009, 2ª T, DJE de 22-5-2009.</w:t>
      </w:r>
    </w:p>
    <w:p>
      <w:pPr>
        <w:ind w:left="288"/>
      </w:pPr>
      <w:r>
        <w:rPr>
          <w:color w:val="8C8C8C"/>
          <w:sz w:val="12"/>
        </w:rPr>
        <w:t>cf-art-5-inc-L</w:t>
      </w:r>
      <w:r>
        <w:rPr>
          <w:color w:val="003CA0"/>
          <w:sz w:val="12"/>
        </w:rPr>
        <w:t xml:space="preserve"> | HC 94.421</w:t>
      </w:r>
      <w:r>
        <w:rPr>
          <w:color w:val="003CA0"/>
          <w:sz w:val="12"/>
        </w:rPr>
        <w:t xml:space="preserve"> | rel. Cármen Lúcia</w:t>
      </w:r>
    </w:p>
    <w:p>
      <w:pPr>
        <w:ind w:left="288"/>
      </w:pPr>
      <w:r>
        <w:rPr>
          <w:color w:val="1E1E1E"/>
          <w:sz w:val="18"/>
        </w:rPr>
        <w:t>Vide HC 94.421, rel. min. Cármen Lúcia, j. 3-6-2008, 1ª T, DJE de 31-10-2008 Há justa causa no decreto de prisão preventiva para garantia da ordem pública, quando o agente se revela propenso a prática delituosa, demonstrando menosprezo pelas normas penais. Nesse caso, a não decretação da prisão pode representar indesejável sensação de impunidade, que incentiva o cometimento de crimes e abala a credibilidade do Poder Judiciário. A circunstância de o paciente ser primário e ter bons antecedentes, à evidência, não se mostra obstáculo ao decreto de prisão preventiva, desde que presentes os pressup</w:t>
      </w:r>
    </w:p>
    <w:p>
      <w:pPr>
        <w:ind w:left="288"/>
      </w:pPr>
      <w:r>
        <w:rPr>
          <w:b/>
          <w:color w:val="003CA0"/>
          <w:sz w:val="16"/>
        </w:rPr>
        <w:t>[HC 83.868, rel. Marco Aurélio, red. do ac. min. Ellen Gracie, j. 5-3-2009, P, DJE de 17-4-2009.]</w:t>
      </w:r>
    </w:p>
    <w:p>
      <w:pPr>
        <w:ind w:left="288"/>
      </w:pPr>
      <w:r>
        <w:rPr>
          <w:color w:val="8C8C8C"/>
          <w:sz w:val="12"/>
        </w:rPr>
        <w:t>cf-art-5-inc-L</w:t>
      </w:r>
      <w:r>
        <w:rPr>
          <w:color w:val="003CA0"/>
          <w:sz w:val="12"/>
        </w:rPr>
        <w:t xml:space="preserve"> | RHC 93.123</w:t>
      </w:r>
      <w:r>
        <w:rPr>
          <w:color w:val="003CA0"/>
          <w:sz w:val="12"/>
        </w:rPr>
        <w:t xml:space="preserve"> | rel. Cármen Lúcia</w:t>
      </w:r>
    </w:p>
    <w:p>
      <w:pPr>
        <w:ind w:left="288"/>
      </w:pPr>
      <w:r>
        <w:rPr>
          <w:color w:val="1E1E1E"/>
          <w:sz w:val="18"/>
        </w:rPr>
        <w:t>É firme a jurisprudência deste Supremo Tribunal no sentido de que, para negar ao recorrente o direito de apelar em liberdade, pode o juízo local amparar-se em fundamentação cautelar nova e idônea a comprovar a necessidade da prisão.</w:t>
      </w:r>
    </w:p>
    <w:p>
      <w:pPr>
        <w:ind w:left="288"/>
      </w:pPr>
      <w:r>
        <w:rPr>
          <w:b/>
          <w:color w:val="003CA0"/>
          <w:sz w:val="16"/>
        </w:rPr>
        <w:t>[RHC 93.123, rel. min. Cármen Lúcia, j. 19-2-2009, P, DJE de 1º-7-2009.]</w:t>
      </w:r>
    </w:p>
    <w:p>
      <w:pPr>
        <w:ind w:left="288"/>
      </w:pPr>
      <w:r>
        <w:rPr>
          <w:color w:val="8C8C8C"/>
          <w:sz w:val="12"/>
        </w:rPr>
        <w:t>cf-art-5-inc-L</w:t>
      </w:r>
      <w:r>
        <w:rPr>
          <w:color w:val="003CA0"/>
          <w:sz w:val="12"/>
        </w:rPr>
        <w:t xml:space="preserve"> | HC 97.240</w:t>
      </w:r>
      <w:r>
        <w:rPr>
          <w:color w:val="003CA0"/>
          <w:sz w:val="12"/>
        </w:rPr>
        <w:t xml:space="preserve"> | rel. Ellen Gracie</w:t>
      </w:r>
    </w:p>
    <w:p>
      <w:pPr>
        <w:ind w:left="288"/>
      </w:pPr>
      <w:r>
        <w:rPr>
          <w:color w:val="1E1E1E"/>
          <w:sz w:val="18"/>
        </w:rPr>
        <w:t>= HC 97.240 AgR, rel. min. Ellen Gracie, j. 2-6-2009, 2ª T, DJE de 14-8-2009 Condições pessoais como primariedade, trabalho fixo e residência conhecida não impedem a prisão preventiva quando presentes seus requisitos.</w:t>
      </w:r>
    </w:p>
    <w:p>
      <w:pPr>
        <w:ind w:left="288"/>
      </w:pPr>
      <w:r>
        <w:rPr>
          <w:b/>
          <w:color w:val="003CA0"/>
          <w:sz w:val="16"/>
        </w:rPr>
        <w:t>[HC 93.798, rel. min. Eros Grau, j. 17-2-2009, 2ª T, DJE de 22-5-2009.]</w:t>
      </w:r>
    </w:p>
    <w:p>
      <w:pPr>
        <w:ind w:left="288"/>
      </w:pPr>
      <w:r>
        <w:rPr>
          <w:color w:val="8C8C8C"/>
          <w:sz w:val="12"/>
        </w:rPr>
        <w:t>cf-art-5-inc-L</w:t>
      </w:r>
      <w:r>
        <w:rPr>
          <w:color w:val="003CA0"/>
          <w:sz w:val="12"/>
        </w:rPr>
        <w:t xml:space="preserve"> | HC 97.177</w:t>
      </w:r>
      <w:r>
        <w:rPr>
          <w:color w:val="003CA0"/>
          <w:sz w:val="12"/>
        </w:rPr>
        <w:t xml:space="preserve"> | rel. Cezar Peluso</w:t>
      </w:r>
    </w:p>
    <w:p>
      <w:pPr>
        <w:ind w:left="288"/>
      </w:pPr>
      <w:r>
        <w:rPr>
          <w:color w:val="1E1E1E"/>
          <w:sz w:val="18"/>
        </w:rPr>
        <w:t>Vide HC 97.177, rel. min. Cezar Peluso, j. 8-9-2009, 2ª T, DJE de 9-10-2009 Vide HC 83.868, rel. min. Marco Aurélio, red. do ac. min. Ellen Gracie, j. 5-3-2009, P, DJE de 17-4-2009 O decreto de prisão cautelar há que se fundamentar em elementos fáticos concretos suficientes a demonstrar a necessidade da medida constritiva. Precedentes. A mera afirmação de suposta periculosidade e de gravidade em abstrato do crime, por si só, não são suficientes para fundamentar a constrição cautelar, sob pena de transformar o acusado em instrumento para a satisfação do anseio coletivo pela resposta penal.</w:t>
      </w:r>
    </w:p>
    <w:p>
      <w:pPr>
        <w:ind w:left="288"/>
      </w:pPr>
      <w:r>
        <w:rPr>
          <w:b/>
          <w:color w:val="003CA0"/>
          <w:sz w:val="16"/>
        </w:rPr>
        <w:t>[HC 93.971, rel. min. Joaquim Barbosa, j. 10-2-2009, 2ª T, DJE de 20-3-2009.]</w:t>
      </w:r>
    </w:p>
    <w:p>
      <w:pPr>
        <w:ind w:left="288"/>
      </w:pPr>
      <w:r>
        <w:rPr>
          <w:color w:val="8C8C8C"/>
          <w:sz w:val="12"/>
        </w:rPr>
        <w:t>cf-art-5-inc-L</w:t>
      </w:r>
      <w:r>
        <w:rPr>
          <w:color w:val="003CA0"/>
          <w:sz w:val="12"/>
        </w:rPr>
        <w:t xml:space="preserve"> | HC 101.705</w:t>
      </w:r>
      <w:r>
        <w:rPr>
          <w:color w:val="003CA0"/>
          <w:sz w:val="12"/>
        </w:rPr>
        <w:t xml:space="preserve"> | rel. Ayres Britto</w:t>
      </w:r>
    </w:p>
    <w:p>
      <w:pPr>
        <w:ind w:left="288"/>
      </w:pPr>
      <w:r>
        <w:rPr>
          <w:color w:val="1E1E1E"/>
          <w:sz w:val="18"/>
        </w:rPr>
        <w:t xml:space="preserve">= HC 101.705, rel. min. Ayres Britto, j. 29-6-2010, 1ª T, DJE de 3-9-2010 Segundo a jurisprudência do STF, não basta a mera explicitação textual dos requisitos previstos pelo art. 312 do CPP, mas é indispensável a indicação de elementos concretos que demonstrem a necessidade da segregação preventiva. Precedentes. A prisão preventiva é medida excepcional que demanda a explicitação de fundamentos consistentes e individualizados com relação a cada um dos cidadãos investigados (...). A existência de indícios de autoria e materialidade, por si só, não justifica a decretação de prisão preventiva. A </w:t>
      </w:r>
    </w:p>
    <w:p>
      <w:pPr>
        <w:ind w:left="288"/>
      </w:pPr>
      <w:r>
        <w:rPr>
          <w:b/>
          <w:color w:val="003CA0"/>
          <w:sz w:val="16"/>
        </w:rPr>
        <w:t>[HC 91.386, rel. min. Gilmar Mendes, j. 19-2-2008, 2ª T, DJE de 16-5-2008.]</w:t>
      </w:r>
    </w:p>
    <w:p>
      <w:pPr>
        <w:ind w:left="288"/>
      </w:pPr>
      <w:r>
        <w:rPr>
          <w:color w:val="8C8C8C"/>
          <w:sz w:val="12"/>
        </w:rPr>
        <w:t>cf-art-5-inc-L</w:t>
      </w:r>
      <w:r>
        <w:rPr>
          <w:color w:val="003CA0"/>
          <w:sz w:val="12"/>
        </w:rPr>
        <w:t xml:space="preserve"> | HC 91.205</w:t>
      </w:r>
      <w:r>
        <w:rPr>
          <w:color w:val="003CA0"/>
          <w:sz w:val="12"/>
        </w:rPr>
        <w:t xml:space="preserve"> | rel. Menezes Direito</w:t>
      </w:r>
    </w:p>
    <w:p>
      <w:pPr>
        <w:ind w:left="288"/>
      </w:pPr>
      <w:r>
        <w:rPr>
          <w:color w:val="1E1E1E"/>
          <w:sz w:val="18"/>
        </w:rPr>
        <w:t>Efeitos do decreto de prisão preventiva no tempo. Superveniência de pronúncia (...). A atual jurisprudência desta Corte é no sentido de que a sentença de pronúncia não autoriza, por si só, a prisão do réu, devendo, antes, indicar fundamentos tipicamente cautelares para tanto. Isso não significa que a segregação imposta preventivamente em momento anterior à pronúncia não possa persistir mesmo após o seu advento. Tal fica induvidoso quando o juiz afirmar na sentença de pronúncia que os fundamentos da prisão cautelar persistem. Precedente desta Primeira Turma, de que fui relator (HC 91.205/DF), a</w:t>
      </w:r>
    </w:p>
    <w:p>
      <w:pPr>
        <w:ind w:left="288"/>
      </w:pPr>
      <w:r>
        <w:rPr>
          <w:b/>
          <w:color w:val="003CA0"/>
          <w:sz w:val="16"/>
        </w:rPr>
        <w:t>[HC 96.182, rel. min. Menezes Direito, j. 2-12-2008, 1ª T, DJE de 20-3-2009.]</w:t>
      </w:r>
    </w:p>
    <w:p>
      <w:pPr>
        <w:ind w:left="288"/>
      </w:pPr>
      <w:r>
        <w:rPr>
          <w:color w:val="8C8C8C"/>
          <w:sz w:val="12"/>
        </w:rPr>
        <w:t>cf-art-5-inc-L</w:t>
      </w:r>
      <w:r>
        <w:rPr>
          <w:color w:val="003CA0"/>
          <w:sz w:val="12"/>
        </w:rPr>
        <w:t xml:space="preserve"> | HC 101.350</w:t>
      </w:r>
      <w:r>
        <w:rPr>
          <w:color w:val="003CA0"/>
          <w:sz w:val="12"/>
        </w:rPr>
        <w:t xml:space="preserve"> | rel. Marco Aurélio</w:t>
      </w:r>
    </w:p>
    <w:p>
      <w:pPr>
        <w:ind w:left="288"/>
      </w:pPr>
      <w:r>
        <w:rPr>
          <w:color w:val="1E1E1E"/>
          <w:sz w:val="18"/>
        </w:rPr>
        <w:t>= HC 101.350, rel. min. Marco Aurélio, red. do ac. min. Luiz Fux, j. 31-5-2011, 1ª T, DJE de 1º-8-2011 Vide HC 97.649 AgR, rel. min. Ellen Gracie, j. 15-9-2009, 2ª T, DJE de 9-10-2009 Mera suposição – vocábulo abundantemente utilizado no decreto prisional – de que o paciente obstruirá as investigações ou continuará delinquindo não autorizam a medida excepcional de constrição prematura da liberdade de locomoção. Indispensável, também aí, a indicação de elementos concretos que demonstrassem, cabalmente, a necessidade da prisão. (...) A prisão preventiva em situações que vigorosamente não a justi</w:t>
      </w:r>
    </w:p>
    <w:p>
      <w:pPr>
        <w:ind w:left="288"/>
      </w:pPr>
      <w:r>
        <w:rPr>
          <w:b/>
          <w:color w:val="003CA0"/>
          <w:sz w:val="16"/>
        </w:rPr>
        <w:t>[HC 95.009, rel. min. Eros Grau, j. 6-11-2008, P, DJE de 19-12-2008.]</w:t>
      </w:r>
    </w:p>
    <w:p>
      <w:pPr>
        <w:ind w:left="288"/>
      </w:pPr>
      <w:r>
        <w:rPr>
          <w:color w:val="8C8C8C"/>
          <w:sz w:val="12"/>
        </w:rPr>
        <w:t>cf-art-5-inc-L</w:t>
      </w:r>
      <w:r>
        <w:rPr>
          <w:color w:val="003CA0"/>
          <w:sz w:val="12"/>
        </w:rPr>
        <w:t xml:space="preserve"> | HC 94.541</w:t>
      </w:r>
      <w:r>
        <w:rPr>
          <w:color w:val="003CA0"/>
          <w:sz w:val="12"/>
        </w:rPr>
        <w:t xml:space="preserve"> | rel. Marco Aurélio</w:t>
      </w:r>
    </w:p>
    <w:p>
      <w:pPr>
        <w:ind w:left="288"/>
      </w:pPr>
      <w:r>
        <w:rPr>
          <w:color w:val="1E1E1E"/>
          <w:sz w:val="18"/>
        </w:rPr>
        <w:t>= HC 94.541, rel. min. Marco Aurélio, j. 30-6-2009, 1ª T, DJE de 23-10-2009 A prática do crime de deserção quando o paciente ainda ostentava a qualidade de militar autoriza a instauração de instrução provisória de deserção, assim como a prisão do desertor, independentemente de ordem judicial (art. 5º, LXI, da Constituição).</w:t>
      </w:r>
    </w:p>
    <w:p>
      <w:pPr>
        <w:ind w:left="288"/>
      </w:pPr>
      <w:r>
        <w:rPr>
          <w:b/>
          <w:color w:val="003CA0"/>
          <w:sz w:val="16"/>
        </w:rPr>
        <w:t>[HC 94.367, rel. min. Joaquim Barbosa, j. 21-10-2008, 2ª T, DJE de 6-2-2009.]</w:t>
      </w:r>
    </w:p>
    <w:p>
      <w:pPr>
        <w:ind w:left="288"/>
      </w:pPr>
      <w:r>
        <w:rPr>
          <w:color w:val="8C8C8C"/>
          <w:sz w:val="12"/>
        </w:rPr>
        <w:t>cf-art-5-inc-L</w:t>
      </w:r>
      <w:r>
        <w:rPr>
          <w:color w:val="003CA0"/>
          <w:sz w:val="12"/>
        </w:rPr>
        <w:t xml:space="preserve"> | HC 107.275</w:t>
      </w:r>
      <w:r>
        <w:rPr>
          <w:color w:val="003CA0"/>
          <w:sz w:val="12"/>
        </w:rPr>
        <w:t xml:space="preserve"> | rel. Ayres Britto</w:t>
      </w:r>
    </w:p>
    <w:p>
      <w:pPr>
        <w:ind w:left="288"/>
      </w:pPr>
      <w:r>
        <w:rPr>
          <w:color w:val="1E1E1E"/>
          <w:sz w:val="18"/>
        </w:rPr>
        <w:t>Vide HC 107.275, rel. min. Ayres Britto, j. 28-2-2012, 2ª T, DJE de 18-6-2012 A prisão do súdito estrangeiro constitui pressuposto indispensável ao regular processamento da ação de extradição passiva, sendo-lhe inaplicáveis, para efeito de sua válida decretação, os pressupostos e os fundamentos referidos no art. 312 do CPP. A privação cautelar da liberdade individual do extraditando deve perdurar até o julgamento final, pelo STF, do pedido de extradição, vedada, em regra, a adoção de meios alternativos que a substituam, como a prisão domiciliar, a prisão-albergue ou a liberdade vigiada (Lei 6.</w:t>
      </w:r>
    </w:p>
    <w:p>
      <w:pPr>
        <w:ind w:left="288"/>
      </w:pPr>
      <w:r>
        <w:rPr>
          <w:b/>
          <w:color w:val="003CA0"/>
          <w:sz w:val="16"/>
        </w:rPr>
        <w:t>[Ext 1.121 AgR, rel. min. Celso de Mello, j. 4-9-2008, P, DJE de 17-4-2009.]</w:t>
      </w:r>
    </w:p>
    <w:p>
      <w:pPr>
        <w:ind w:left="288"/>
      </w:pPr>
      <w:r>
        <w:rPr>
          <w:color w:val="8C8C8C"/>
          <w:sz w:val="12"/>
        </w:rPr>
        <w:t>cf-art-5-inc-L</w:t>
      </w:r>
      <w:r>
        <w:rPr>
          <w:color w:val="003CA0"/>
          <w:sz w:val="12"/>
        </w:rPr>
        <w:t xml:space="preserve"> | EXT 1.254</w:t>
      </w:r>
      <w:r>
        <w:rPr>
          <w:color w:val="003CA0"/>
          <w:sz w:val="12"/>
        </w:rPr>
        <w:t xml:space="preserve"> | rel. Ayres Britto</w:t>
      </w:r>
    </w:p>
    <w:p>
      <w:pPr>
        <w:ind w:left="288"/>
      </w:pPr>
      <w:r>
        <w:rPr>
          <w:color w:val="1E1E1E"/>
          <w:sz w:val="18"/>
        </w:rPr>
        <w:t>Vide Ext 1.254 QO, rel. min. Ayres Britto, j. 6-9-2011,2ª T, DJE de 20-9-2011 A privação cautelar da liberdade individual reveste-se de caráter excepcional, somente devendo ser decretada em situações de absoluta necessidade. A prisão preventiva, para legitimar-se em face de nosso sistema jurídico, impõe – além da satisfação dos pressupostos a que se refere o art. 312 do CPP (prova da existência material do crime e presença de indícios suficientes de autoria) – que se evidenciem, com fundamento em base empírica idônea, razões justificadoras da imprescindibilidade dessa extraordinária medida cau</w:t>
      </w:r>
    </w:p>
    <w:p>
      <w:pPr>
        <w:ind w:left="288"/>
      </w:pPr>
      <w:r>
        <w:rPr>
          <w:b/>
          <w:color w:val="003CA0"/>
          <w:sz w:val="16"/>
        </w:rPr>
        <w:t>[HC 93.883, rel. min. Celso de Mello, j. 26-8-2008, 2ª T, DJE de 27-3-2009.]</w:t>
      </w:r>
    </w:p>
    <w:p>
      <w:pPr>
        <w:ind w:left="288"/>
      </w:pPr>
      <w:r>
        <w:rPr>
          <w:color w:val="8C8C8C"/>
          <w:sz w:val="12"/>
        </w:rPr>
        <w:t>cf-art-5-inc-L</w:t>
      </w:r>
      <w:r>
        <w:rPr>
          <w:color w:val="003CA0"/>
          <w:sz w:val="12"/>
        </w:rPr>
        <w:t xml:space="preserve"> | HC 98.620</w:t>
      </w:r>
      <w:r>
        <w:rPr>
          <w:color w:val="003CA0"/>
          <w:sz w:val="12"/>
        </w:rPr>
        <w:t xml:space="preserve"> | rel. Marco Aurélio</w:t>
      </w:r>
    </w:p>
    <w:p>
      <w:pPr>
        <w:ind w:left="288"/>
      </w:pPr>
      <w:r>
        <w:rPr>
          <w:color w:val="1E1E1E"/>
          <w:sz w:val="18"/>
        </w:rPr>
        <w:t>= HC 98.620, rel. min. Marco Aurélio, red. do ac. min. Luiz Fux, j. 12-4-2011, 1ª T, DJE de 31-5-2011 Devem ser desconsiderados quaisquer fundamentos que não tenham sido expressamente mencionados no decreto de prisão preventiva, pois, na linha da jurisprudência deste Supremo Tribunal, a idoneidade formal e substancial da motivação das decisões judiciais há de ser aferida segundo o que nela haja posto o juiz da causa, não sendo dado "ao tribunal do habeas corpus, que a impugne, suprir-lhe as faltas ou complementá-la" (HC 90.064, rel. min. Sepúlveda Pertence, DJ de 22-6-2007; HC 79.248, rel. min</w:t>
      </w:r>
    </w:p>
    <w:p>
      <w:pPr>
        <w:ind w:left="288"/>
      </w:pPr>
      <w:r>
        <w:rPr>
          <w:b/>
          <w:color w:val="003CA0"/>
          <w:sz w:val="16"/>
        </w:rPr>
        <w:t>[HC 94.421, rel. min. Cármen Lúcia, j. 3-6-2008, 1ª T, DJE de 31-10-2008.]</w:t>
      </w:r>
    </w:p>
    <w:p>
      <w:pPr>
        <w:ind w:left="288"/>
      </w:pPr>
      <w:r>
        <w:rPr>
          <w:color w:val="8C8C8C"/>
          <w:sz w:val="12"/>
        </w:rPr>
        <w:t>cf-art-5-inc-L</w:t>
      </w:r>
      <w:r>
        <w:rPr>
          <w:color w:val="003CA0"/>
          <w:sz w:val="12"/>
        </w:rPr>
        <w:t xml:space="preserve"> | HC 97.487</w:t>
      </w:r>
      <w:r>
        <w:rPr>
          <w:color w:val="003CA0"/>
          <w:sz w:val="12"/>
        </w:rPr>
        <w:t xml:space="preserve"> | rel. Ellen Gracie</w:t>
      </w:r>
    </w:p>
    <w:p>
      <w:pPr>
        <w:ind w:left="288"/>
      </w:pPr>
      <w:r>
        <w:rPr>
          <w:color w:val="1E1E1E"/>
          <w:sz w:val="18"/>
        </w:rPr>
        <w:t>= HC 97.487, rel. min. Ellen Gracie, j. 9-6-2009, 2ª T, DJE de 14-8-2009 Vide HC 94.344, rel. min. Cezar Peluso, j. 31-3-2009, 2ª T, DJE de 22-5-2009 Não há que se falar em inidoneidade do decreto de prisão, se este embasa a custódia cautelar em dados concretos. A prisão preventiva pode ser decretada para evitar que o acusado pratique novos delitos. O decreto preventivo contém dados concretos quanto à periculosidade do paciente e da quadrilha de cujo comando faz parte. Ordem pública a se traduzir na tutela dos superiores bens jurídicos da incolumidade das pessoas e do patrimônio, constituindo-</w:t>
      </w:r>
    </w:p>
    <w:p>
      <w:pPr>
        <w:ind w:left="288"/>
      </w:pPr>
      <w:r>
        <w:rPr>
          <w:b/>
          <w:color w:val="003CA0"/>
          <w:sz w:val="16"/>
        </w:rPr>
        <w:t>[HC 91.016, rel. min. Ayres Britto, j. 13-11-2007, 1ª T, DJE de 9-5-2008.]</w:t>
      </w:r>
    </w:p>
    <w:p>
      <w:pPr>
        <w:ind w:left="288"/>
      </w:pPr>
      <w:r>
        <w:rPr>
          <w:color w:val="8C8C8C"/>
          <w:sz w:val="12"/>
        </w:rPr>
        <w:t>cf-art-5-inc-L</w:t>
      </w:r>
      <w:r>
        <w:rPr>
          <w:color w:val="003CA0"/>
          <w:sz w:val="12"/>
        </w:rPr>
        <w:t xml:space="preserve"> | HC 94.179</w:t>
      </w:r>
      <w:r>
        <w:rPr>
          <w:color w:val="003CA0"/>
          <w:sz w:val="12"/>
        </w:rPr>
        <w:t xml:space="preserve"> | rel. Gilmar Mendes</w:t>
      </w:r>
    </w:p>
    <w:p>
      <w:pPr>
        <w:ind w:left="288"/>
      </w:pPr>
      <w:r>
        <w:rPr>
          <w:color w:val="1E1E1E"/>
          <w:sz w:val="18"/>
        </w:rPr>
        <w:t>= HC 94.179, rel. min. Gilmar Mendes, j. 25-5-2010, 2ª T, DJE de 13-8-2010 A busca da proteção da ordem pública há de estar calcada em fatos concretos, descabendo potencializar o subjetivismo e, a mercê de capacidade intuitiva, imaginar dados passíveis de acontecer (...).</w:t>
      </w:r>
    </w:p>
    <w:p>
      <w:pPr>
        <w:ind w:left="288"/>
      </w:pPr>
      <w:r>
        <w:rPr>
          <w:b/>
          <w:color w:val="003CA0"/>
          <w:sz w:val="16"/>
        </w:rPr>
        <w:t>[HC 87.794, rel. min. Marco Aurélio, j. 14-11-2006, 1ª T, DJ de 2-2-2007.]</w:t>
      </w:r>
    </w:p>
    <w:p>
      <w:pPr>
        <w:ind w:left="288"/>
      </w:pPr>
      <w:r>
        <w:rPr>
          <w:color w:val="8C8C8C"/>
          <w:sz w:val="12"/>
        </w:rPr>
        <w:t>cf-art-5-inc-L</w:t>
      </w:r>
      <w:r>
        <w:rPr>
          <w:color w:val="003CA0"/>
          <w:sz w:val="12"/>
        </w:rPr>
        <w:t xml:space="preserve"> | HC 95.125</w:t>
      </w:r>
      <w:r>
        <w:rPr>
          <w:color w:val="003CA0"/>
          <w:sz w:val="12"/>
        </w:rPr>
        <w:t xml:space="preserve"> | rel. Ricardo Lewandowski</w:t>
      </w:r>
    </w:p>
    <w:p>
      <w:pPr>
        <w:ind w:left="288"/>
      </w:pPr>
      <w:r>
        <w:rPr>
          <w:color w:val="1E1E1E"/>
          <w:sz w:val="18"/>
        </w:rPr>
        <w:t>= HC 95.125, rel. min. Ricardo Lewandowski, j. 8-6-2010, 1ª T, DJE de 24-9-2010 O relaxamento da prisão preventiva, por excesso de prazo, não impede sua decretação por outros fundamentos explicitados na sentença.</w:t>
      </w:r>
    </w:p>
    <w:p>
      <w:pPr>
        <w:ind w:left="288"/>
      </w:pPr>
      <w:r>
        <w:rPr>
          <w:b/>
          <w:color w:val="003CA0"/>
          <w:sz w:val="16"/>
        </w:rPr>
        <w:t>[HC 86.304, rel. min. Eros Grau, j. 4-10-2005, 1ª T, DJ de 3-2-2006.]</w:t>
      </w:r>
    </w:p>
    <w:p>
      <w:pPr>
        <w:ind w:left="288"/>
      </w:pPr>
      <w:r>
        <w:rPr>
          <w:color w:val="8C8C8C"/>
          <w:sz w:val="12"/>
        </w:rPr>
        <w:t>cf-art-5-inc-L</w:t>
      </w:r>
      <w:r>
        <w:rPr>
          <w:color w:val="003CA0"/>
          <w:sz w:val="12"/>
        </w:rPr>
        <w:t xml:space="preserve"> | HC 103.881</w:t>
      </w:r>
      <w:r>
        <w:rPr>
          <w:color w:val="003CA0"/>
          <w:sz w:val="12"/>
        </w:rPr>
        <w:t xml:space="preserve"> | rel. Dias Toffoli</w:t>
      </w:r>
    </w:p>
    <w:p>
      <w:pPr>
        <w:ind w:left="288"/>
      </w:pPr>
      <w:r>
        <w:rPr>
          <w:color w:val="1E1E1E"/>
          <w:sz w:val="18"/>
        </w:rPr>
        <w:t>= HC 103.881, rel. min. Dias Toffoli, j. 31-8-2010, 1ª T, DJE de 22-10-2010 É firme o entendimento desta Corte no sentido de que a simples invocação do clamor público e da repercussão social, provocados pelo fato delituoso, não constituem fundamentos idôneos à decretação e manutenção da prisão cautelar.</w:t>
      </w:r>
    </w:p>
    <w:p>
      <w:pPr>
        <w:ind w:left="288"/>
      </w:pPr>
      <w:r>
        <w:rPr>
          <w:b/>
          <w:color w:val="003CA0"/>
          <w:sz w:val="16"/>
        </w:rPr>
        <w:t>[HC 85.046, rel. min. Eros Grau, j. 15-3-2005, 1ª T, DJ de 10-6-2005.]</w:t>
      </w:r>
    </w:p>
    <w:p>
      <w:pPr>
        <w:ind w:left="288"/>
      </w:pPr>
      <w:r>
        <w:rPr>
          <w:color w:val="8C8C8C"/>
          <w:sz w:val="12"/>
        </w:rPr>
        <w:t>cf-art-5-inc-L</w:t>
      </w:r>
      <w:r>
        <w:rPr>
          <w:color w:val="003CA0"/>
          <w:sz w:val="12"/>
        </w:rPr>
        <w:t xml:space="preserve"> | HC 95.290</w:t>
      </w:r>
      <w:r>
        <w:rPr>
          <w:color w:val="003CA0"/>
          <w:sz w:val="12"/>
        </w:rPr>
        <w:t xml:space="preserve"> | rel. Celso de Mello</w:t>
      </w:r>
    </w:p>
    <w:p>
      <w:pPr>
        <w:ind w:left="288"/>
      </w:pPr>
      <w:r>
        <w:rPr>
          <w:color w:val="1E1E1E"/>
          <w:sz w:val="18"/>
        </w:rPr>
        <w:t>= HC 95.290, rel. min. Celso de Mello, j. 1º-3-2012, 2ª T, DJE de 1º-8-2012 LXII - a prisão de qualquer pessoa e o local onde se encontre serão comunicados imediatamente ao juiz competente e à família do preso ou à pessoa por ele indicada; Não ocorre descumprimento do inciso LXII do art. 5º da CF, quando o preso, voluntariamente, não indica pessoa a ser comunicada da sua prisão. Encontrando-se o paciente cumprindo pena por condenação definitiva, é irrelevante eventual nulidade formal que tenha ocorrido no auto de prisão em flagrante, eis que se encontra preso por outro título.</w:t>
      </w:r>
    </w:p>
    <w:p>
      <w:pPr>
        <w:ind w:left="288"/>
      </w:pPr>
      <w:r>
        <w:rPr>
          <w:b/>
          <w:color w:val="003CA0"/>
          <w:sz w:val="16"/>
        </w:rPr>
        <w:t>[HC 69.630, rel. min. Paulo Brossard, j. 20-10-1992, 2ª T, DJ de 4-12-1992.]</w:t>
      </w:r>
    </w:p>
    <w:p>
      <w:pPr>
        <w:ind w:left="288"/>
      </w:pPr>
      <w:r>
        <w:rPr>
          <w:color w:val="8C8C8C"/>
          <w:sz w:val="12"/>
        </w:rPr>
        <w:t>cf-art-5-inc-L</w:t>
      </w:r>
      <w:r>
        <w:rPr>
          <w:color w:val="003CA0"/>
          <w:sz w:val="12"/>
        </w:rPr>
        <w:t xml:space="preserve"> | HC 68.503</w:t>
      </w:r>
      <w:r>
        <w:rPr>
          <w:color w:val="003CA0"/>
          <w:sz w:val="12"/>
        </w:rPr>
        <w:t xml:space="preserve"> | rel. Célio Borja</w:t>
      </w:r>
    </w:p>
    <w:p>
      <w:pPr>
        <w:ind w:left="288"/>
      </w:pPr>
      <w:r>
        <w:rPr>
          <w:color w:val="1E1E1E"/>
          <w:sz w:val="18"/>
        </w:rPr>
        <w:t>Descumprimento do inciso LXII do art. 5º da Constituição: circunstância que não compromete a materialidade dos delitos e sua autoria, nem autoriza o trancamento da ação penal, podendo ensejar a responsabilidade das autoridades envolvidas.</w:t>
      </w:r>
    </w:p>
    <w:p>
      <w:pPr>
        <w:ind w:left="288"/>
      </w:pPr>
      <w:r>
        <w:rPr>
          <w:b/>
          <w:color w:val="003CA0"/>
          <w:sz w:val="16"/>
        </w:rPr>
        <w:t>[HC 68.503, rel. min. Célio Borja, j. 19-3-1991, 2ª T, DJ de 29-5-1992.]</w:t>
      </w:r>
    </w:p>
    <w:p>
      <w:pPr>
        <w:ind w:left="288"/>
      </w:pPr>
      <w:r>
        <w:rPr>
          <w:color w:val="8C8C8C"/>
          <w:sz w:val="12"/>
        </w:rPr>
        <w:t>cf-art-5-inc-L</w:t>
      </w:r>
    </w:p>
    <w:p>
      <w:pPr>
        <w:ind w:left="288"/>
      </w:pPr>
      <w:r>
        <w:rPr>
          <w:color w:val="1E1E1E"/>
          <w:sz w:val="18"/>
        </w:rPr>
        <w:t>LXIII - o preso será informado de seus direitos, entre os quais o de permanecer calado, sendo-lhe assegurada a assistência da família e de advogado; 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288"/>
      </w:pPr>
      <w:r>
        <w:rPr>
          <w:color w:val="8C8C8C"/>
          <w:sz w:val="12"/>
        </w:rPr>
        <w:t>cf-art-5-inc-L</w:t>
      </w:r>
      <w:r>
        <w:rPr>
          <w:color w:val="003CA0"/>
          <w:sz w:val="12"/>
        </w:rPr>
        <w:t xml:space="preserve"> | ADI 5.567</w:t>
      </w:r>
      <w:r>
        <w:rPr>
          <w:color w:val="003CA0"/>
          <w:sz w:val="12"/>
        </w:rPr>
        <w:t xml:space="preserve"> | rel. Alexandre de Moraes</w:t>
      </w:r>
    </w:p>
    <w:p>
      <w:pPr>
        <w:ind w:left="288"/>
      </w:pPr>
      <w:r>
        <w:rPr>
          <w:color w:val="1E1E1E"/>
          <w:sz w:val="18"/>
        </w:rPr>
        <w:t xml:space="preserve">Caberá ao próprio indivíduo decidir, livremente e na presença da sua defesa técnica, se colabora (ou não) com os órgãos responsáveis pela persecução penal. Os benefícios legais oriundos da colaboração premiada servem como estímulo para o acusado fazer uso do exercício de não mais permanecer em silêncio. Compreensível, então, o termo "renúncia" ao direito ao silêncio não como forma de esgotamento da garantia do direito ao silêncio, que é irrenunciável e inalienável, mas sim como forma de "livre exercício do direito ao silêncio e da não autoincriminação pelos colaboradores, em relação aos fatos </w:t>
      </w:r>
    </w:p>
    <w:p>
      <w:pPr>
        <w:ind w:left="288"/>
      </w:pPr>
      <w:r>
        <w:rPr>
          <w:b/>
          <w:color w:val="003CA0"/>
          <w:sz w:val="16"/>
        </w:rPr>
        <w:t>[ADI 5.567, rel. min. Alexandre de Moraes, j. 21.11.2023, P, DJE de 24.1.2024.]</w:t>
      </w:r>
    </w:p>
    <w:p>
      <w:pPr>
        <w:ind w:left="288"/>
      </w:pPr>
      <w:r>
        <w:rPr>
          <w:color w:val="8C8C8C"/>
          <w:sz w:val="12"/>
        </w:rPr>
        <w:t>cf-art-5-inc-L</w:t>
      </w:r>
      <w:r>
        <w:rPr>
          <w:color w:val="003CA0"/>
          <w:sz w:val="12"/>
        </w:rPr>
        <w:t xml:space="preserve"> | RE 1.224.374</w:t>
      </w:r>
      <w:r>
        <w:rPr>
          <w:color w:val="003CA0"/>
          <w:sz w:val="12"/>
        </w:rPr>
        <w:t xml:space="preserve"> | rel. Luiz Fux</w:t>
      </w:r>
    </w:p>
    <w:p>
      <w:pPr>
        <w:ind w:left="288"/>
      </w:pPr>
      <w:r>
        <w:rPr>
          <w:color w:val="1E1E1E"/>
          <w:sz w:val="18"/>
        </w:rPr>
        <w:t>Não viola a Constituição a imposição legal de sanções administrativas ao condutor de veículo automotor que se recuse à realização dos testes, exames clínicos ou perícias voltados a aferir a influência de álcool ou outra substância psicoativa (art. 165-A e art. 277, §§ 2º e 3º, todos do CTB, na redação dada pela Lei 13.281/2016).</w:t>
      </w:r>
    </w:p>
    <w:p>
      <w:pPr>
        <w:ind w:left="288"/>
      </w:pPr>
      <w:r>
        <w:rPr>
          <w:b/>
          <w:color w:val="003CA0"/>
          <w:sz w:val="16"/>
        </w:rPr>
        <w:t>[RE 1.224.374, rel. min. Luiz Fux, j. 19-5-2022, P, DJE de 23-9-2022, Tema 1.079, com mérito julgado.]</w:t>
      </w:r>
    </w:p>
    <w:p>
      <w:pPr>
        <w:ind w:left="288"/>
      </w:pPr>
      <w:r>
        <w:rPr>
          <w:color w:val="8C8C8C"/>
          <w:sz w:val="12"/>
        </w:rPr>
        <w:t>cf-art-5-inc-L</w:t>
      </w:r>
      <w:r>
        <w:rPr>
          <w:color w:val="003CA0"/>
          <w:sz w:val="12"/>
        </w:rPr>
        <w:t xml:space="preserve"> | RE 971.959</w:t>
      </w:r>
      <w:r>
        <w:rPr>
          <w:color w:val="003CA0"/>
          <w:sz w:val="12"/>
        </w:rPr>
        <w:t xml:space="preserve"> | rel. Luiz Fux</w:t>
      </w:r>
    </w:p>
    <w:p>
      <w:pPr>
        <w:ind w:left="288"/>
      </w:pPr>
      <w:r>
        <w:rPr>
          <w:color w:val="1E1E1E"/>
          <w:sz w:val="18"/>
        </w:rPr>
        <w:t>O prncípio da vedação à autoincriminação, conquanto direito fundamental assegurado na Constituição Federal, pode ser restringido, desde que (a) não seja afetado o núcleo essencial da garantia por meio da exigência de uma postura ativa do agente na assunção da responsabilidade que lhe é imputada; e que (b) a restrição decorra de um exercício de ponderação que viabilize a efetivação de outros direitos também assegurados constitucionalmente, respeitado o cânone da dignidade humana do agente. O direito de não produzir prova contra si mesmo (nemo tenetur se detegere – nada a temer por se deter), do</w:t>
      </w:r>
    </w:p>
    <w:p>
      <w:pPr>
        <w:ind w:left="288"/>
      </w:pPr>
      <w:r>
        <w:rPr>
          <w:b/>
          <w:color w:val="003CA0"/>
          <w:sz w:val="16"/>
        </w:rPr>
        <w:t>[RE 971.959, rel. min. Luiz Fux, j. 14-11-2018, P, DJE de 31-7-2020, Tema 907, com mérito julgado.]</w:t>
      </w:r>
    </w:p>
    <w:p>
      <w:pPr>
        <w:ind w:left="288"/>
      </w:pPr>
      <w:r>
        <w:rPr>
          <w:color w:val="8C8C8C"/>
          <w:sz w:val="12"/>
        </w:rPr>
        <w:t>cf-art-5-inc-L</w:t>
      </w:r>
      <w:r>
        <w:rPr>
          <w:color w:val="003CA0"/>
          <w:sz w:val="12"/>
        </w:rPr>
        <w:t xml:space="preserve"> | RE 640.139</w:t>
      </w:r>
      <w:r>
        <w:rPr>
          <w:color w:val="003CA0"/>
          <w:sz w:val="12"/>
        </w:rPr>
        <w:t xml:space="preserve"> | rel. Dias Toffoli</w:t>
      </w:r>
    </w:p>
    <w:p>
      <w:pPr>
        <w:ind w:left="288"/>
      </w:pPr>
      <w:r>
        <w:rPr>
          <w:color w:val="1E1E1E"/>
          <w:sz w:val="18"/>
        </w:rPr>
        <w:t>O princípio constitucional da autodefesa (art. 5º, LXIII, da CF/1988) não alcança aquele que atribui falsa identidade perante autoridade policial com o intento de ocultar maus antecedentes, sendo, portanto, típica a conduta praticada pelo agente (art. 307 do CP).</w:t>
      </w:r>
    </w:p>
    <w:p>
      <w:pPr>
        <w:ind w:left="288"/>
      </w:pPr>
      <w:r>
        <w:rPr>
          <w:b/>
          <w:color w:val="003CA0"/>
          <w:sz w:val="16"/>
        </w:rPr>
        <w:t>[RE 640.139 RG, rel. min. Dias Toffoli, j. 22-9-2011, P, DJE de 14-10-2011, Tema 478, com mérito julgado.]</w:t>
      </w:r>
    </w:p>
    <w:p>
      <w:pPr>
        <w:ind w:left="288"/>
      </w:pPr>
      <w:r>
        <w:rPr>
          <w:color w:val="8C8C8C"/>
          <w:sz w:val="12"/>
        </w:rPr>
        <w:t>cf-art-5-inc-L</w:t>
      </w:r>
      <w:r>
        <w:rPr>
          <w:color w:val="003CA0"/>
          <w:sz w:val="12"/>
        </w:rPr>
        <w:t xml:space="preserve"> | RHC 170.843</w:t>
      </w:r>
      <w:r>
        <w:rPr>
          <w:color w:val="003CA0"/>
          <w:sz w:val="12"/>
        </w:rPr>
        <w:t xml:space="preserve"> | rel. Gilmar Mendes</w:t>
      </w:r>
    </w:p>
    <w:p>
      <w:pPr>
        <w:ind w:left="288"/>
      </w:pPr>
      <w:r>
        <w:rPr>
          <w:color w:val="1E1E1E"/>
          <w:sz w:val="18"/>
        </w:rPr>
        <w:t>Não se admite condenação baseada exclusivamente em declarações informais prestadas a policiais no momento da prisão em flagrante. A Constituição Federal impõe ao Estado a obrigação de informar ao preso seu direito ao silêncio não apenas no interrogatório formal, mas logo no momento da abordagem, quando recebe voz de prisão por policial, em situação de flagrante delito.</w:t>
      </w:r>
    </w:p>
    <w:p>
      <w:pPr>
        <w:ind w:left="288"/>
      </w:pPr>
      <w:r>
        <w:rPr>
          <w:b/>
          <w:color w:val="003CA0"/>
          <w:sz w:val="16"/>
        </w:rPr>
        <w:t>[RHC 170.843, rel. min. Gilmar Mendes, j. 4-5-2021, P, DJE de 1-9-2021.]</w:t>
      </w:r>
    </w:p>
    <w:p>
      <w:pPr>
        <w:ind w:left="288"/>
      </w:pPr>
      <w:r>
        <w:rPr>
          <w:color w:val="8C8C8C"/>
          <w:sz w:val="12"/>
        </w:rPr>
        <w:t>cf-art-5-inc-L</w:t>
      </w:r>
      <w:r>
        <w:rPr>
          <w:color w:val="003CA0"/>
          <w:sz w:val="12"/>
        </w:rPr>
        <w:t xml:space="preserve"> | HC 101.909</w:t>
      </w:r>
      <w:r>
        <w:rPr>
          <w:color w:val="003CA0"/>
          <w:sz w:val="12"/>
        </w:rPr>
        <w:t xml:space="preserve"> | rel. Ayres Britto</w:t>
      </w:r>
    </w:p>
    <w:p>
      <w:pPr>
        <w:ind w:left="288"/>
      </w:pPr>
      <w:r>
        <w:rPr>
          <w:color w:val="1E1E1E"/>
          <w:sz w:val="18"/>
        </w:rPr>
        <w:t>A CF assegura aos presos o direito ao silêncio (inciso LXIII do art. 5º). Nessa mesma linha de orientação, o Pacto Internacional sobre Direitos Civis e Políticos (Pacto de São José da Costa Rica) institucionaliza o princípio da "não autoincriminação" (nemo tenetur se detegere). Esse direito subjetivo de não se autoincriminar constitui uma das mais eminentes formas de densificação da garantia do devido processo penal e do direito à presunção de não culpabilidade (inciso LVII do art. 5º da CF). A revelar, primeiro, que o processo penal é o espaço de atuação apropriada para o órgão de acusação de</w:t>
      </w:r>
    </w:p>
    <w:p>
      <w:pPr>
        <w:ind w:left="288"/>
      </w:pPr>
      <w:r>
        <w:rPr>
          <w:b/>
          <w:color w:val="003CA0"/>
          <w:sz w:val="16"/>
        </w:rPr>
        <w:t>[HC 101.909, rel. min. Ayres Britto, j. 28-2-2012, 2ª T, DJE de 19-6-2012.]</w:t>
      </w:r>
    </w:p>
    <w:p>
      <w:pPr>
        <w:ind w:left="288"/>
      </w:pPr>
      <w:r>
        <w:rPr>
          <w:color w:val="8C8C8C"/>
          <w:sz w:val="12"/>
        </w:rPr>
        <w:t>cf-art-5-inc-L</w:t>
      </w:r>
      <w:r>
        <w:rPr>
          <w:color w:val="003CA0"/>
          <w:sz w:val="12"/>
        </w:rPr>
        <w:t xml:space="preserve"> | HC 103.236</w:t>
      </w:r>
      <w:r>
        <w:rPr>
          <w:color w:val="003CA0"/>
          <w:sz w:val="12"/>
        </w:rPr>
        <w:t xml:space="preserve"> | rel. Gilmar Mendes</w:t>
      </w:r>
    </w:p>
    <w:p>
      <w:pPr>
        <w:ind w:left="288"/>
      </w:pPr>
      <w:r>
        <w:rPr>
          <w:color w:val="1E1E1E"/>
          <w:sz w:val="18"/>
        </w:rPr>
        <w:t>(...) não pode vingar a tese da impetração de que o fato de a autoridade judiciária competente ter determinado a interceptação telefônica dos pacientes, envolvidos em investigação criminal, fere o direito constitucional ao silêncio, a não autoincriminação.</w:t>
      </w:r>
    </w:p>
    <w:p>
      <w:pPr>
        <w:ind w:left="288"/>
      </w:pPr>
      <w:r>
        <w:rPr>
          <w:b/>
          <w:color w:val="003CA0"/>
          <w:sz w:val="16"/>
        </w:rPr>
        <w:t>[HC 103.236, voto do rel. min. Gilmar Mendes, j. 14-6-2010, 2ª T, DJE de 3-9-2010.]</w:t>
      </w:r>
    </w:p>
    <w:p>
      <w:pPr>
        <w:ind w:left="288"/>
      </w:pPr>
      <w:r>
        <w:rPr>
          <w:color w:val="8C8C8C"/>
          <w:sz w:val="12"/>
        </w:rPr>
        <w:t>cf-art-5-inc-L</w:t>
      </w:r>
      <w:r>
        <w:rPr>
          <w:color w:val="003CA0"/>
          <w:sz w:val="12"/>
        </w:rPr>
        <w:t xml:space="preserve"> | HC 102.732</w:t>
      </w:r>
      <w:r>
        <w:rPr>
          <w:color w:val="003CA0"/>
          <w:sz w:val="12"/>
        </w:rPr>
        <w:t xml:space="preserve"> | rel. Marco Aurélio</w:t>
      </w:r>
    </w:p>
    <w:p>
      <w:pPr>
        <w:ind w:left="288"/>
      </w:pPr>
      <w:r>
        <w:rPr>
          <w:color w:val="1E1E1E"/>
          <w:sz w:val="18"/>
        </w:rPr>
        <w:t>A documentação do flagrante prescinde da presença do defensor técnico do conduzido, sendo suficiente a lembrança, pela autoridade policial, dos direitos constitucionais do preso de ser assistido, comunicando-se com a família e com profissional da advocacia, e de permanecer calado.</w:t>
      </w:r>
    </w:p>
    <w:p>
      <w:pPr>
        <w:ind w:left="288"/>
      </w:pPr>
      <w:r>
        <w:rPr>
          <w:b/>
          <w:color w:val="003CA0"/>
          <w:sz w:val="16"/>
        </w:rPr>
        <w:t>[HC 102.732, rel. min. Marco Aurélio, j. 4-3-2010, P, DJE de 7-5-2010.]</w:t>
      </w:r>
    </w:p>
    <w:p>
      <w:pPr>
        <w:ind w:left="288"/>
      </w:pPr>
      <w:r>
        <w:rPr>
          <w:color w:val="8C8C8C"/>
          <w:sz w:val="12"/>
        </w:rPr>
        <w:t>cf-art-5-inc-L</w:t>
      </w:r>
      <w:r>
        <w:rPr>
          <w:color w:val="003CA0"/>
          <w:sz w:val="12"/>
        </w:rPr>
        <w:t xml:space="preserve"> | HC 89.837</w:t>
      </w:r>
      <w:r>
        <w:rPr>
          <w:color w:val="003CA0"/>
          <w:sz w:val="12"/>
        </w:rPr>
        <w:t xml:space="preserve"> | rel. Celso de Mello</w:t>
      </w:r>
    </w:p>
    <w:p>
      <w:pPr>
        <w:ind w:left="288"/>
      </w:pPr>
      <w:r>
        <w:rPr>
          <w:color w:val="1E1E1E"/>
          <w:sz w:val="18"/>
        </w:rPr>
        <w:t xml:space="preserve">O Ministério Público, sem prejuízo da fiscalização intraorgânica e daquela desempenhada pelo Conselho Nacional do Ministério Público, está permanentemente sujeito ao controle jurisdicional dos atos que pratique no âmbito das investigações penais que promova ex propria auctoritate, não podendo, dentre outras limitações de ordem jurídica, desrespeitar o direito do investigado ao silêncio (nemo tenetur se detegere), nem lhe ordenar a condução coercitiva, nem constrangê-lo a produzir prova contra si próprio, nem lhe recusar o conhecimento das razões motivadoras do procedimento investigatório, nem </w:t>
      </w:r>
    </w:p>
    <w:p>
      <w:pPr>
        <w:ind w:left="288"/>
      </w:pPr>
      <w:r>
        <w:rPr>
          <w:b/>
          <w:color w:val="003CA0"/>
          <w:sz w:val="16"/>
        </w:rPr>
        <w:t>[HC 89.837, rel. min. Celso de Mello, j. 20-10-2009, 2ª T, DJE de 20-11-2009.]</w:t>
      </w:r>
    </w:p>
    <w:p>
      <w:pPr>
        <w:ind w:left="288"/>
      </w:pPr>
      <w:r>
        <w:rPr>
          <w:color w:val="8C8C8C"/>
          <w:sz w:val="12"/>
        </w:rPr>
        <w:t>cf-art-5-inc-L</w:t>
      </w:r>
      <w:r>
        <w:rPr>
          <w:color w:val="003CA0"/>
          <w:sz w:val="12"/>
        </w:rPr>
        <w:t xml:space="preserve"> | HC 96.219</w:t>
      </w:r>
      <w:r>
        <w:rPr>
          <w:color w:val="003CA0"/>
          <w:sz w:val="12"/>
        </w:rPr>
        <w:t xml:space="preserve"> | rel. Celso de Mello</w:t>
      </w:r>
    </w:p>
    <w:p>
      <w:pPr>
        <w:ind w:left="288"/>
      </w:pPr>
      <w:r>
        <w:rPr>
          <w:color w:val="1E1E1E"/>
          <w:sz w:val="18"/>
        </w:rPr>
        <w:t>O Estado – que não tem o direito de tratar suspeitos, indiciados ou réus, como se culpados fossem, antes do trânsito em julgado de eventual sentença penal condenatória (RTJ 176/805-806) – também não pode constrangê-los a produzir provas contra si próprios (RTJ 141/512), em face da cláusula que lhes garante, constitucionalmente, a prerrogativa contra a autoincriminação. Aquele que sofre persecução penal instaurada pelo Estado tem, entre outras prerrogativas básicas, (a) o direito de permanecer em silêncio, (b) o direito de não ser compelido a produzir elementos de incriminação contra si próprio</w:t>
      </w:r>
    </w:p>
    <w:p>
      <w:pPr>
        <w:ind w:left="288"/>
      </w:pPr>
      <w:r>
        <w:rPr>
          <w:b/>
          <w:color w:val="003CA0"/>
          <w:sz w:val="16"/>
        </w:rPr>
        <w:t>[HC 99.289, rel. min. Celso de Mello, j. 23-6-2009, 2ª T, DJE de 4-8-2011.]</w:t>
      </w:r>
    </w:p>
    <w:p>
      <w:pPr>
        <w:ind w:left="288"/>
      </w:pPr>
      <w:r>
        <w:rPr>
          <w:color w:val="8C8C8C"/>
          <w:sz w:val="12"/>
        </w:rPr>
        <w:t>cf-art-5-inc-L</w:t>
      </w:r>
      <w:r>
        <w:rPr>
          <w:color w:val="003CA0"/>
          <w:sz w:val="12"/>
        </w:rPr>
        <w:t xml:space="preserve"> | HC 95.009</w:t>
      </w:r>
      <w:r>
        <w:rPr>
          <w:color w:val="003CA0"/>
          <w:sz w:val="12"/>
        </w:rPr>
        <w:t xml:space="preserve"> | rel. Eros Grau</w:t>
      </w:r>
    </w:p>
    <w:p>
      <w:pPr>
        <w:ind w:left="288"/>
      </w:pPr>
      <w:r>
        <w:rPr>
          <w:color w:val="1E1E1E"/>
          <w:sz w:val="18"/>
        </w:rPr>
        <w:t xml:space="preserve">O controle difuso da constitucionalidade da prisão temporária deverá ser desenvolvido perquirindo-se necessidade e indispensabilidade da medida. A primeira indagação a ser feita no curso desse controle há de ser a seguinte: em que e no que o corpo do suspeito é necessário à investigação? Exclua-se desde logo a afirmação de que se prende para ouvir o detido. Pois a Constituição garante a qualquer um o direito de permanecer calado (art. 5º, LXIII), o que faz com que a resposta à inquirição investigatória consubstancie uma faculdade. Ora, não se prende alguém para que exerça uma faculdade. Sendo </w:t>
      </w:r>
    </w:p>
    <w:p>
      <w:pPr>
        <w:ind w:left="288"/>
      </w:pPr>
      <w:r>
        <w:rPr>
          <w:b/>
          <w:color w:val="003CA0"/>
          <w:sz w:val="16"/>
        </w:rPr>
        <w:t>[HC 95.009, rel. min. Eros Grau, j. 6-11-2008, P, DJE de 19-12-2008.]</w:t>
      </w:r>
    </w:p>
    <w:p>
      <w:pPr>
        <w:ind w:left="288"/>
      </w:pPr>
      <w:r>
        <w:rPr>
          <w:color w:val="8C8C8C"/>
          <w:sz w:val="12"/>
        </w:rPr>
        <w:t>cf-art-5-inc-L</w:t>
      </w:r>
      <w:r>
        <w:rPr>
          <w:color w:val="003CA0"/>
          <w:sz w:val="12"/>
        </w:rPr>
        <w:t xml:space="preserve"> | HC 94.016</w:t>
      </w:r>
      <w:r>
        <w:rPr>
          <w:color w:val="003CA0"/>
          <w:sz w:val="12"/>
        </w:rPr>
        <w:t xml:space="preserve"> | rel. Celso de Mello</w:t>
      </w:r>
    </w:p>
    <w:p>
      <w:pPr>
        <w:ind w:left="288"/>
      </w:pPr>
      <w:r>
        <w:rPr>
          <w:color w:val="1E1E1E"/>
          <w:sz w:val="18"/>
        </w:rPr>
        <w:t>Em sede de persecução penal, o interrogatório judicial – notadamente após o advento da Lei 10.792/2003 – qualifica-se como ato de defesa do réu, que, além de não ser obrigado a responder a qualquer indagação feita pelo magistrado processante, também não pode sofrer qualquer restrição em sua esfera jurídica em virtude do exercício, sempre legítimo, dessa especial prerrogativa. Doutrina. Precedentes. (...) Assiste, a cada um dos litisconsortes penais passivos, o direito – fundado em cláusulas constitucionais (CF, art. 5º, incisos LIV e LV) – de formular reperguntas aos demais corréus, que, no en</w:t>
      </w:r>
    </w:p>
    <w:p>
      <w:pPr>
        <w:ind w:left="288"/>
      </w:pPr>
      <w:r>
        <w:rPr>
          <w:b/>
          <w:color w:val="003CA0"/>
          <w:sz w:val="16"/>
        </w:rPr>
        <w:t>[HC 94.016, rel. min. Celso de Mello, j. 16-9-2008, 2ª T, DJE de 27-2-2009.]</w:t>
      </w:r>
    </w:p>
    <w:p>
      <w:pPr>
        <w:ind w:left="288"/>
      </w:pPr>
      <w:r>
        <w:rPr>
          <w:color w:val="8C8C8C"/>
          <w:sz w:val="12"/>
        </w:rPr>
        <w:t>cf-art-5-inc-L</w:t>
      </w:r>
      <w:r>
        <w:rPr>
          <w:color w:val="003CA0"/>
          <w:sz w:val="12"/>
        </w:rPr>
        <w:t xml:space="preserve"> | HC 91.654</w:t>
      </w:r>
      <w:r>
        <w:rPr>
          <w:color w:val="003CA0"/>
          <w:sz w:val="12"/>
        </w:rPr>
        <w:t xml:space="preserve"> | rel. Ayres Britto</w:t>
      </w:r>
    </w:p>
    <w:p>
      <w:pPr>
        <w:ind w:left="288"/>
      </w:pPr>
      <w:r>
        <w:rPr>
          <w:color w:val="1E1E1E"/>
          <w:sz w:val="18"/>
        </w:rPr>
        <w:t>"Toda pessoa acusada de um delito terá direito, em plena igualdade, a, pelo menos, as seguintes garantias:" (...) "g) de não ser obrigada a depor contra si mesma, nem a confessar-se culpada" (art. 14, 3, g, do Pacto Internacional sobre Direitos Civis e Políticos). Esse efetivo direito a não se autoincriminar constitui uma das mais eminentes formas de densificação da garantia do processo acusatório e do direito à presunção de não culpabilidade. A revelar que o processo é o meio de plena demonstração da materialidade do delito e da autoria.</w:t>
      </w:r>
    </w:p>
    <w:p>
      <w:pPr>
        <w:ind w:left="288"/>
      </w:pPr>
      <w:r>
        <w:rPr>
          <w:b/>
          <w:color w:val="003CA0"/>
          <w:sz w:val="16"/>
        </w:rPr>
        <w:t>[HC 91.654, rel. min. Ayres Britto, j. 8-4-2008, 1ª T, DJE de 7-11-2008.]</w:t>
      </w:r>
    </w:p>
    <w:p>
      <w:pPr>
        <w:ind w:left="288"/>
      </w:pPr>
      <w:r>
        <w:rPr>
          <w:color w:val="8C8C8C"/>
          <w:sz w:val="12"/>
        </w:rPr>
        <w:t>cf-art-5-inc-L</w:t>
      </w:r>
      <w:r>
        <w:rPr>
          <w:color w:val="003CA0"/>
          <w:sz w:val="12"/>
        </w:rPr>
        <w:t xml:space="preserve"> | HC 91.514</w:t>
      </w:r>
      <w:r>
        <w:rPr>
          <w:color w:val="003CA0"/>
          <w:sz w:val="12"/>
        </w:rPr>
        <w:t xml:space="preserve"> | rel. Gilmar Mendes</w:t>
      </w:r>
    </w:p>
    <w:p>
      <w:pPr>
        <w:ind w:left="288"/>
      </w:pPr>
      <w:r>
        <w:rPr>
          <w:color w:val="1E1E1E"/>
          <w:sz w:val="18"/>
        </w:rPr>
        <w:t>A boa aplicação dos direitos fundamentais de caráter processual, principalmente a proteção judicial efetiva, permite distinguir o Estado de Direito do Estado Policial. Na medida em que o silêncio corresponde a garantia fundamental intrínseca do direito constitucional de defesa, a mera recusa de manifestação por parte do paciente não pode ser interpretada em seu desfavor para fins de decretação de prisão preventiva.</w:t>
      </w:r>
    </w:p>
    <w:p>
      <w:pPr>
        <w:ind w:left="288"/>
      </w:pPr>
      <w:r>
        <w:rPr>
          <w:b/>
          <w:color w:val="003CA0"/>
          <w:sz w:val="16"/>
        </w:rPr>
        <w:t>[HC 91.514, rel. min. Gilmar Mendes, j. 11-3-2008, 2ª T, DJE de 16-5-2008.]</w:t>
      </w:r>
    </w:p>
    <w:p>
      <w:pPr>
        <w:ind w:left="288"/>
      </w:pPr>
      <w:r>
        <w:rPr>
          <w:color w:val="8C8C8C"/>
          <w:sz w:val="12"/>
        </w:rPr>
        <w:t>cf-art-5-inc-L</w:t>
      </w:r>
      <w:r>
        <w:rPr>
          <w:color w:val="003CA0"/>
          <w:sz w:val="12"/>
        </w:rPr>
        <w:t xml:space="preserve"> | HC 99.289</w:t>
      </w:r>
      <w:r>
        <w:rPr>
          <w:color w:val="003CA0"/>
          <w:sz w:val="12"/>
        </w:rPr>
        <w:t xml:space="preserve"> | rel. Celso de Mello</w:t>
      </w:r>
    </w:p>
    <w:p>
      <w:pPr>
        <w:ind w:left="288"/>
      </w:pPr>
      <w:r>
        <w:rPr>
          <w:color w:val="1E1E1E"/>
          <w:sz w:val="18"/>
        </w:rPr>
        <w:t>= HC 99.289, rel. min. Celso de Mello, j. 23-6-2009, 2ª T, DJE de 4-8-2011 O privilégio contra a autoincriminação, garantia constitucional, permite ao paciente o exercício do direito de silêncio, não estando, por essa razão, obrigado a fornecer os padrões vocais necessários a subsidiar prova pericial que entende lhe ser desfavorável.</w:t>
      </w:r>
    </w:p>
    <w:p>
      <w:pPr>
        <w:ind w:left="288"/>
      </w:pPr>
      <w:r>
        <w:rPr>
          <w:b/>
          <w:color w:val="003CA0"/>
          <w:sz w:val="16"/>
        </w:rPr>
        <w:t>[HC 83.096, rel. min. Ellen Gracie, j. 18-11-2003, 2ª T, DJ de 12-12-2003.]</w:t>
      </w:r>
    </w:p>
    <w:p>
      <w:pPr>
        <w:ind w:left="288"/>
      </w:pPr>
      <w:r>
        <w:rPr>
          <w:color w:val="8C8C8C"/>
          <w:sz w:val="12"/>
        </w:rPr>
        <w:t>cf-art-5-inc-L</w:t>
      </w:r>
      <w:r>
        <w:rPr>
          <w:color w:val="003CA0"/>
          <w:sz w:val="12"/>
        </w:rPr>
        <w:t xml:space="preserve"> | HC 82.463</w:t>
      </w:r>
      <w:r>
        <w:rPr>
          <w:color w:val="003CA0"/>
          <w:sz w:val="12"/>
        </w:rPr>
        <w:t xml:space="preserve"> | rel. Ellen Gracie</w:t>
      </w:r>
    </w:p>
    <w:p>
      <w:pPr>
        <w:ind w:left="288"/>
      </w:pPr>
      <w:r>
        <w:rPr>
          <w:color w:val="1E1E1E"/>
          <w:sz w:val="18"/>
        </w:rPr>
        <w:t>Juizados especiais criminais. (...) Não tendo sido o acusado informado do seu direito ao silêncio pelo juízo (art. 5º, LXIII), a audiência realizada, que se restringiu à sua oitiva, é nula.</w:t>
      </w:r>
    </w:p>
    <w:p>
      <w:pPr>
        <w:ind w:left="288"/>
      </w:pPr>
      <w:r>
        <w:rPr>
          <w:b/>
          <w:color w:val="003CA0"/>
          <w:sz w:val="16"/>
        </w:rPr>
        <w:t>[HC 82.463, rel. min. Ellen Gracie, j. 5-11-2002, 1ª T, DJ de 19-12-2002.]</w:t>
      </w:r>
    </w:p>
    <w:p>
      <w:pPr>
        <w:ind w:left="288"/>
      </w:pPr>
      <w:r>
        <w:rPr>
          <w:color w:val="8C8C8C"/>
          <w:sz w:val="12"/>
        </w:rPr>
        <w:t>cf-art-5-inc-L</w:t>
      </w:r>
      <w:r>
        <w:rPr>
          <w:color w:val="003CA0"/>
          <w:sz w:val="12"/>
        </w:rPr>
        <w:t xml:space="preserve"> | RHC 79.973</w:t>
      </w:r>
      <w:r>
        <w:rPr>
          <w:color w:val="003CA0"/>
          <w:sz w:val="12"/>
        </w:rPr>
        <w:t xml:space="preserve"> | rel. Nelson Jobim</w:t>
      </w:r>
    </w:p>
    <w:p>
      <w:pPr>
        <w:ind w:left="288"/>
      </w:pPr>
      <w:r>
        <w:rPr>
          <w:color w:val="1E1E1E"/>
          <w:sz w:val="18"/>
        </w:rPr>
        <w:t>= RHC 79.973, rel. min. Nelson Jobim, j. 23-5-2000, 2ª T, DJ de 13-10-2000 Gravação clandestina de "conversa informal" do indiciado com policiais. Ilicitude decorrente – quando não da evidência de estar o suspeito, na ocasião, ilegalmente preso ou da falta de prova idônea do seu assentimento à gravação ambiental –, de constituir, dita "conversa informal", modalidade de "interrogatório" sub-reptício, o qual – além de realizar-se sem as formalidades legais do interrogatório no inquérito policial (CPP, art. 6º, V) –, se faz sem que o indiciado seja advertido do seu direito ao silêncio. O privilég</w:t>
      </w:r>
    </w:p>
    <w:p>
      <w:pPr>
        <w:ind w:left="288"/>
      </w:pPr>
      <w:r>
        <w:rPr>
          <w:b/>
          <w:color w:val="003CA0"/>
          <w:sz w:val="16"/>
        </w:rPr>
        <w:t>[HC 80.949, rel. min. Sepúlveda Pertence, j. 30-10-2001, 1ª T, DJ de 14-12-2001.]</w:t>
      </w:r>
    </w:p>
    <w:p>
      <w:pPr>
        <w:ind w:left="288"/>
      </w:pPr>
      <w:r>
        <w:rPr>
          <w:color w:val="8C8C8C"/>
          <w:sz w:val="12"/>
        </w:rPr>
        <w:t>cf-art-5-inc-L</w:t>
      </w:r>
      <w:r>
        <w:rPr>
          <w:color w:val="003CA0"/>
          <w:sz w:val="12"/>
        </w:rPr>
        <w:t xml:space="preserve"> | HC 69.818</w:t>
      </w:r>
      <w:r>
        <w:rPr>
          <w:color w:val="003CA0"/>
          <w:sz w:val="12"/>
        </w:rPr>
        <w:t xml:space="preserve"> | rel. Sepúlveda Pertence</w:t>
      </w:r>
    </w:p>
    <w:p>
      <w:pPr>
        <w:ind w:left="288"/>
      </w:pPr>
      <w:r>
        <w:rPr>
          <w:color w:val="1E1E1E"/>
          <w:sz w:val="18"/>
        </w:rPr>
        <w:t>= HC 69.818, rel. min. Sepúlveda Pertence, j. 3-11-1992, 1ª T, DJ de 27-11-1992 O privilégio contra a autoincriminação – que é plenamente invocável perante as CPIs – traduz direito público subjetivo assegurado a qualquer pessoa, que, na condição de testemunha, de indiciado ou de réu, deva prestar depoimento perante órgãos do Poder Legislativo, do Poder Executivo ou do Poder Judiciário. O exercício do direito de permanecer em silêncio não autoriza os órgãos estatais a dispensarem qualquer tratamento que implique restrição à esfera jurídica daquele que regularmente invocou essa prerrogativa fund</w:t>
      </w:r>
    </w:p>
    <w:p>
      <w:pPr>
        <w:ind w:left="288"/>
      </w:pPr>
      <w:r>
        <w:rPr>
          <w:b/>
          <w:color w:val="003CA0"/>
          <w:sz w:val="16"/>
        </w:rPr>
        <w:t>[HC 79.812, rel. min. Celso de Mello, j. 8-11-2000, P, DJ de 16-2-2001.]</w:t>
      </w:r>
    </w:p>
    <w:p>
      <w:pPr>
        <w:ind w:left="288"/>
      </w:pPr>
      <w:r>
        <w:rPr>
          <w:color w:val="8C8C8C"/>
          <w:sz w:val="12"/>
        </w:rPr>
        <w:t>cf-art-5-inc-L</w:t>
      </w:r>
      <w:r>
        <w:rPr>
          <w:color w:val="003CA0"/>
          <w:sz w:val="12"/>
        </w:rPr>
        <w:t xml:space="preserve"> | HC 80.584</w:t>
      </w:r>
      <w:r>
        <w:rPr>
          <w:color w:val="003CA0"/>
          <w:sz w:val="12"/>
        </w:rPr>
        <w:t xml:space="preserve"> | rel. Néri da Silveira</w:t>
      </w:r>
    </w:p>
    <w:p>
      <w:pPr>
        <w:ind w:left="288"/>
      </w:pPr>
      <w:r>
        <w:rPr>
          <w:color w:val="1E1E1E"/>
          <w:sz w:val="18"/>
        </w:rPr>
        <w:t>= HC 80.584, rel. min. Néri da Silveira, j. 8-3-2001, P, DJ de 6-4-2001 Prisão preventiva: fundamentação inadequada. Não constituem fundamentos idôneos, por si sós, à prisão preventiva: (...) b) a consideração de que, interrogado, o acusado não haja demonstrado "interesse em colaborar com a Justiça"; ao indiciado não cabe o ônus de cooperar de qualquer modo com a apuração dos fatos que o possam incriminar – que é todo dos organismos estatais da repressão penal (...).</w:t>
      </w:r>
    </w:p>
    <w:p>
      <w:pPr>
        <w:ind w:left="288"/>
      </w:pPr>
      <w:r>
        <w:rPr>
          <w:b/>
          <w:color w:val="003CA0"/>
          <w:sz w:val="16"/>
        </w:rPr>
        <w:t>[HC 79.781, rel. min. Sepúlveda Pertence, j. 18-4-2000, 1ª T, DJ de 9-6-2000.]</w:t>
      </w:r>
    </w:p>
    <w:p>
      <w:pPr>
        <w:ind w:left="288"/>
      </w:pPr>
      <w:r>
        <w:rPr>
          <w:color w:val="8C8C8C"/>
          <w:sz w:val="12"/>
        </w:rPr>
        <w:t>cf-art-5-inc-L</w:t>
      </w:r>
      <w:r>
        <w:rPr>
          <w:color w:val="003CA0"/>
          <w:sz w:val="12"/>
        </w:rPr>
        <w:t xml:space="preserve"> | HC 79.244</w:t>
      </w:r>
      <w:r>
        <w:rPr>
          <w:color w:val="003CA0"/>
          <w:sz w:val="12"/>
        </w:rPr>
        <w:t xml:space="preserve"> | rel. Sepúlveda Pertence</w:t>
      </w:r>
    </w:p>
    <w:p>
      <w:pPr>
        <w:ind w:left="288"/>
      </w:pPr>
      <w:r>
        <w:rPr>
          <w:color w:val="1E1E1E"/>
          <w:sz w:val="18"/>
        </w:rPr>
        <w:t>Se o objeto da CPI é mais amplo do que os fatos em relação aos quais o cidadão intimado a depor tem sido objeto de suspeitas, do direito ao silêncio não decorre o de recusar-se de logo a depor, mas sim o de não responder às perguntas cujas repostas entenda possam vir a incriminá-lo (...).</w:t>
      </w:r>
    </w:p>
    <w:p>
      <w:pPr>
        <w:ind w:left="288"/>
      </w:pPr>
      <w:r>
        <w:rPr>
          <w:b/>
          <w:color w:val="003CA0"/>
          <w:sz w:val="16"/>
        </w:rPr>
        <w:t>[HC 79.244, rel. min. Sepúlveda Pertence, j. 23-2-2000, P, DJ de 24-3-2000.]</w:t>
      </w:r>
    </w:p>
    <w:p>
      <w:pPr>
        <w:ind w:left="288"/>
      </w:pPr>
      <w:r>
        <w:rPr>
          <w:color w:val="8C8C8C"/>
          <w:sz w:val="12"/>
        </w:rPr>
        <w:t>cf-art-5-inc-L</w:t>
      </w:r>
      <w:r>
        <w:rPr>
          <w:color w:val="003CA0"/>
          <w:sz w:val="12"/>
        </w:rPr>
        <w:t xml:space="preserve"> | HC 78.708</w:t>
      </w:r>
      <w:r>
        <w:rPr>
          <w:color w:val="003CA0"/>
          <w:sz w:val="12"/>
        </w:rPr>
        <w:t xml:space="preserve"> | rel. Sepúlveda Pertence</w:t>
      </w:r>
    </w:p>
    <w:p>
      <w:pPr>
        <w:ind w:left="288"/>
      </w:pPr>
      <w:r>
        <w:rPr>
          <w:color w:val="1E1E1E"/>
          <w:sz w:val="18"/>
        </w:rPr>
        <w:t>Informação do direito ao silêncio (Constituição, art. 5º, LXIII): relevância, momento de exigibilidade, consequências da omissão: elisão, no caso, pelo comportamento processual do acusado. O direito à informação da faculdade de manter-se silente ganhou dignidade constitucional, porque instrumento insubstituível da eficácia real da vetusta garantia contra a autoincriminação que a persistência planetária dos abusos policiais não deixa perder atualidade. Em princípio, ao invés de constituir desprezível irregularidade, a omissão do dever de informação ao preso dos seus direitos, no momento adequad</w:t>
      </w:r>
    </w:p>
    <w:p>
      <w:pPr>
        <w:ind w:left="288"/>
      </w:pPr>
      <w:r>
        <w:rPr>
          <w:b/>
          <w:color w:val="003CA0"/>
          <w:sz w:val="16"/>
        </w:rPr>
        <w:t>[HC 78.708, rel. min. Sepúlveda Pertence, j. 9-3-1999, 1ª T, DJ de 16-4-1999.]</w:t>
        <w:br/>
        <w:t>= RE 1.158.507 AgR, rel. min. Ricardo Lewandowski, red. do ac. min. Edson Fachin, j. 19-6-2023, 2ª T, DJE de 15-9-2023</w:t>
      </w:r>
    </w:p>
    <w:p>
      <w:pPr>
        <w:ind w:left="288"/>
      </w:pPr>
      <w:r>
        <w:rPr>
          <w:color w:val="8C8C8C"/>
          <w:sz w:val="12"/>
        </w:rPr>
        <w:t>cf-art-5-inc-L</w:t>
      </w:r>
      <w:r>
        <w:rPr>
          <w:color w:val="003CA0"/>
          <w:sz w:val="12"/>
        </w:rPr>
        <w:t xml:space="preserve"> | HC 77.862</w:t>
      </w:r>
      <w:r>
        <w:rPr>
          <w:color w:val="003CA0"/>
          <w:sz w:val="12"/>
        </w:rPr>
        <w:t xml:space="preserve"> | rel. Ilmar Galvão</w:t>
      </w:r>
    </w:p>
    <w:p>
      <w:pPr>
        <w:ind w:left="288"/>
      </w:pPr>
      <w:r>
        <w:rPr>
          <w:color w:val="1E1E1E"/>
          <w:sz w:val="18"/>
        </w:rPr>
        <w:t>Condenado submetido a sindicância para apuração de falta disciplinar de natureza grave. Defesa técnica. Formalidade a ser observada, sob pena de nulidade do procedimento – que pode repercutir na remição da pena, na concessão de livramento condicional, no indulto e em outros incidentes da execução –, em face das normas do art. 5º, LXIII, da Constituição e do art. 59 da LEP, não sendo por outra razão que esse último diploma legal impõe às unidades da Federação o dever de dotar os estabelecimentos penais de serviços de assistência judiciária, obviamente destinados aos presos e internados sem recu</w:t>
      </w:r>
    </w:p>
    <w:p>
      <w:pPr>
        <w:ind w:left="288"/>
      </w:pPr>
      <w:r>
        <w:rPr>
          <w:b/>
          <w:color w:val="003CA0"/>
          <w:sz w:val="16"/>
        </w:rPr>
        <w:t>[HC 77.862, rel. min. Ilmar Galvão, j. 17-12-1998, P, DJ de 2-4-2004.]</w:t>
      </w:r>
    </w:p>
    <w:p>
      <w:pPr>
        <w:ind w:left="288"/>
      </w:pPr>
      <w:r>
        <w:rPr>
          <w:color w:val="8C8C8C"/>
          <w:sz w:val="12"/>
        </w:rPr>
        <w:t>cf-art-5-inc-L</w:t>
      </w:r>
      <w:r>
        <w:rPr>
          <w:color w:val="003CA0"/>
          <w:sz w:val="12"/>
        </w:rPr>
        <w:t xml:space="preserve"> | HC 77.135</w:t>
      </w:r>
      <w:r>
        <w:rPr>
          <w:color w:val="003CA0"/>
          <w:sz w:val="12"/>
        </w:rPr>
        <w:t xml:space="preserve"> | rel. Ilmar Galvão</w:t>
      </w:r>
    </w:p>
    <w:p>
      <w:pPr>
        <w:ind w:left="288"/>
      </w:pPr>
      <w:r>
        <w:rPr>
          <w:color w:val="1E1E1E"/>
          <w:sz w:val="18"/>
        </w:rPr>
        <w:t>Diante do princípio nemo tenetur se detegere, que informa o nosso direito de punir, é fora de dúvida que o dispositivo do inciso IV do art. 174 do CPP há de ser interpretado no sentido de não poder ser o indiciado compelido a fornecer padrões gráficos do próprio punho, para os exames periciais, cabendo apenas ser intimado para fazê-lo a seu alvedrio.</w:t>
      </w:r>
    </w:p>
    <w:p>
      <w:pPr>
        <w:ind w:left="288"/>
      </w:pPr>
      <w:r>
        <w:rPr>
          <w:b/>
          <w:color w:val="003CA0"/>
          <w:sz w:val="16"/>
        </w:rPr>
        <w:t>[HC 77.135, rel. min. Ilmar Galvão, j. 8-9-1998, 1ª T, DJ de 6-11-1998.]</w:t>
      </w:r>
    </w:p>
    <w:p>
      <w:pPr>
        <w:ind w:left="288"/>
      </w:pPr>
      <w:r>
        <w:rPr>
          <w:color w:val="8C8C8C"/>
          <w:sz w:val="12"/>
        </w:rPr>
        <w:t>cf-art-5-inc-L</w:t>
      </w:r>
      <w:r>
        <w:rPr>
          <w:color w:val="003CA0"/>
          <w:sz w:val="12"/>
        </w:rPr>
        <w:t xml:space="preserve"> | HC 75.257</w:t>
      </w:r>
      <w:r>
        <w:rPr>
          <w:color w:val="003CA0"/>
          <w:sz w:val="12"/>
        </w:rPr>
        <w:t xml:space="preserve"> | rel. Moreira Alves</w:t>
      </w:r>
    </w:p>
    <w:p>
      <w:pPr>
        <w:ind w:left="288"/>
      </w:pPr>
      <w:r>
        <w:rPr>
          <w:color w:val="1E1E1E"/>
          <w:sz w:val="18"/>
        </w:rPr>
        <w:t>Falsidade ideológica. No caso, a hipótese não diz respeito, propriamente, à falsidade quanto à identidade do réu, mas, sim, ao fato de o então indiciado ter faltado com a verdade quando negou, em inquérito policial em que figurava como indiciado, que tivesse assinado termo de declarações anteriores que, assim, não seriam suas. Ora, tendo o indiciado o direito de permanecer calado e até mesmo o de mentir para não autoincriminar-se com as declarações prestadas, não tinha ele o dever de dizer a verdade, não se enquadrando, pois, sua conduta no tipo previsto no art. 299 do CP.</w:t>
      </w:r>
    </w:p>
    <w:p>
      <w:pPr>
        <w:ind w:left="288"/>
      </w:pPr>
      <w:r>
        <w:rPr>
          <w:b/>
          <w:color w:val="003CA0"/>
          <w:sz w:val="16"/>
        </w:rPr>
        <w:t>[HC 75.257, rel. min. Moreira Alves, j. 17-6-1997, 1ª T, DJ de 29-8-1997.]</w:t>
      </w:r>
    </w:p>
    <w:p>
      <w:pPr>
        <w:ind w:left="288"/>
      </w:pPr>
      <w:r>
        <w:rPr>
          <w:color w:val="8C8C8C"/>
          <w:sz w:val="12"/>
        </w:rPr>
        <w:t>cf-art-5-inc-L</w:t>
      </w:r>
      <w:r>
        <w:rPr>
          <w:color w:val="003CA0"/>
          <w:sz w:val="12"/>
        </w:rPr>
        <w:t xml:space="preserve"> | HC 72.815</w:t>
      </w:r>
      <w:r>
        <w:rPr>
          <w:color w:val="003CA0"/>
          <w:sz w:val="12"/>
        </w:rPr>
        <w:t xml:space="preserve"> | rel. Moreira Alves</w:t>
      </w:r>
    </w:p>
    <w:p>
      <w:pPr>
        <w:ind w:left="288"/>
      </w:pPr>
      <w:r>
        <w:rPr>
          <w:color w:val="1E1E1E"/>
          <w:sz w:val="18"/>
        </w:rPr>
        <w:t>O comportamento do réu durante o processo na tentativa de defender-se não pode ser levado em consideração para o efeito de aumento da pena, sendo certo, também, que o réu não está obrigado a dizer a verdade (art. 5º, LXIII, da Constituição) e que as testemunhas, se mentirosas, devem elas, sem reflexo na fixação da pena do réu em favor de quem depuseram, ser punidas, se for o caso, pelo crime de falso testemunho.</w:t>
      </w:r>
    </w:p>
    <w:p>
      <w:pPr>
        <w:ind w:left="288"/>
      </w:pPr>
      <w:r>
        <w:rPr>
          <w:b/>
          <w:color w:val="003CA0"/>
          <w:sz w:val="16"/>
        </w:rPr>
        <w:t>[HC 72.815, rel. min. Moreira Alves, j. 5-9-1995, 1ª T, DJ de 6-10-1995.]</w:t>
      </w:r>
    </w:p>
    <w:p>
      <w:pPr>
        <w:ind w:left="288"/>
      </w:pPr>
      <w:r>
        <w:rPr>
          <w:color w:val="8C8C8C"/>
          <w:sz w:val="12"/>
        </w:rPr>
        <w:t>cf-art-5-inc-L</w:t>
      </w:r>
      <w:r>
        <w:rPr>
          <w:color w:val="003CA0"/>
          <w:sz w:val="12"/>
        </w:rPr>
        <w:t xml:space="preserve"> | RE 136.239</w:t>
      </w:r>
      <w:r>
        <w:rPr>
          <w:color w:val="003CA0"/>
          <w:sz w:val="12"/>
        </w:rPr>
        <w:t xml:space="preserve"> | rel. Celso de Mello</w:t>
      </w:r>
    </w:p>
    <w:p>
      <w:pPr>
        <w:ind w:left="288"/>
      </w:pPr>
      <w:r>
        <w:rPr>
          <w:color w:val="1E1E1E"/>
          <w:sz w:val="18"/>
        </w:rPr>
        <w:t>A regra constitucional superveniente – tal como a inscrita no art. 5º, LXIII, e no art. 133 da Carta Política – não se reveste de retroprojeção normativa, eis que os preceitos de uma nova Constituição aplicam-se imediatamente, com eficácia ex nunc, ressalvadas as situações excepcionais, expressamente definidas no texto da Lei Fundamental. O princípio da imediata incidência das regras jurídico-constitucionais somente pode ser excepcionado, inclusive para efeito de sua aplicação retroativa, quando expressamente o dispuser a Carta Política, pois "As Constituições não têm, de ordinário, retroeficá</w:t>
      </w:r>
    </w:p>
    <w:p>
      <w:pPr>
        <w:ind w:left="288"/>
      </w:pPr>
      <w:r>
        <w:rPr>
          <w:b/>
          <w:color w:val="003CA0"/>
          <w:sz w:val="16"/>
        </w:rPr>
        <w:t>[RE 136.239, rel. min. Celso de Mello, j. 7-4-1992, 1ª T, DJ de 14-8-1992.]</w:t>
      </w:r>
    </w:p>
    <w:p>
      <w:pPr>
        <w:ind w:left="288"/>
      </w:pPr>
      <w:r>
        <w:rPr>
          <w:color w:val="8C8C8C"/>
          <w:sz w:val="12"/>
        </w:rPr>
        <w:t>cf-art-5-inc-L</w:t>
      </w:r>
      <w:r>
        <w:rPr>
          <w:color w:val="003CA0"/>
          <w:sz w:val="12"/>
        </w:rPr>
        <w:t xml:space="preserve"> | HC 68.929</w:t>
      </w:r>
      <w:r>
        <w:rPr>
          <w:color w:val="003CA0"/>
          <w:sz w:val="12"/>
        </w:rPr>
        <w:t xml:space="preserve"> | rel. Celso de Mello</w:t>
      </w:r>
    </w:p>
    <w:p>
      <w:pPr>
        <w:ind w:left="288"/>
      </w:pPr>
      <w:r>
        <w:rPr>
          <w:color w:val="1E1E1E"/>
          <w:sz w:val="18"/>
        </w:rPr>
        <w:t>Qualquer indivíduo que figure como objeto de procedimentos investigatórios policiais ou que ostente, em juízo penal, a condição jurídica de imputado tem, entre as várias prerrogativas que lhe são constitucionalmente asseguradas, o direito de permanecer calado. Nemo tenetur se detegere. Ninguém pode ser constrangido a confessar a prática de um ilícito penal. O direito de permanecer em silêncio insere-se no alcance concreto da cláusula constitucional do devido processo legal. E nesse direito ao silêncio inclui-se, até mesmo por implicitude, a prerrogativa processual de o acusado negar, ainda que</w:t>
      </w:r>
    </w:p>
    <w:p>
      <w:pPr>
        <w:ind w:left="288"/>
      </w:pPr>
      <w:r>
        <w:rPr>
          <w:b/>
          <w:color w:val="003CA0"/>
          <w:sz w:val="16"/>
        </w:rPr>
        <w:t>[HC 68.929, rel. min. Celso de Mello, j. 22-10-1991, 1ª T, DJ de 28-8-1992.]</w:t>
      </w:r>
    </w:p>
    <w:p>
      <w:pPr>
        <w:ind w:left="288"/>
      </w:pPr>
      <w:r>
        <w:rPr>
          <w:color w:val="8C8C8C"/>
          <w:sz w:val="12"/>
        </w:rPr>
        <w:t>cf-art-5-inc-L</w:t>
      </w:r>
      <w:r>
        <w:rPr>
          <w:color w:val="003CA0"/>
          <w:sz w:val="12"/>
        </w:rPr>
        <w:t xml:space="preserve"> | HC 68.742</w:t>
      </w:r>
      <w:r>
        <w:rPr>
          <w:color w:val="003CA0"/>
          <w:sz w:val="12"/>
        </w:rPr>
        <w:t xml:space="preserve"> | rel. Ilmar Galvão</w:t>
      </w:r>
    </w:p>
    <w:p>
      <w:pPr>
        <w:ind w:left="288"/>
      </w:pPr>
      <w:r>
        <w:rPr>
          <w:color w:val="1E1E1E"/>
          <w:sz w:val="18"/>
        </w:rPr>
        <w:t>A fixação da pena acima do mínimo legal exige fundamentação adequada, baseada em circunstâncias que, em tese, se enquadrem entre aquelas a ponderar, na forma prevista no art. 59 do CP, não se incluindo, entre elas, o fato de haver o acusado negado falsamente o crime, em virtude do princípio constitucional – nemo tenetur se detegere .</w:t>
      </w:r>
    </w:p>
    <w:p>
      <w:pPr>
        <w:ind w:left="288"/>
      </w:pPr>
      <w:r>
        <w:rPr>
          <w:b/>
          <w:color w:val="003CA0"/>
          <w:sz w:val="16"/>
        </w:rPr>
        <w:t>[HC 68.742, rel. p/ o ac. min. Ilmar Galvão, j. 28-6-1991, P, DJ de 2-4-1993.]</w:t>
      </w:r>
    </w:p>
    <w:p>
      <w:pPr>
        <w:ind w:left="288"/>
      </w:pPr>
      <w:r>
        <w:rPr>
          <w:color w:val="8C8C8C"/>
          <w:sz w:val="12"/>
        </w:rPr>
        <w:t>cf-art-5-inc-L</w:t>
      </w:r>
      <w:r>
        <w:rPr>
          <w:color w:val="003CA0"/>
          <w:sz w:val="12"/>
        </w:rPr>
        <w:t xml:space="preserve"> | HC 96.190</w:t>
      </w:r>
      <w:r>
        <w:rPr>
          <w:color w:val="003CA0"/>
          <w:sz w:val="12"/>
        </w:rPr>
        <w:t xml:space="preserve"> | rel. Gilmar Mendes</w:t>
      </w:r>
    </w:p>
    <w:p>
      <w:pPr>
        <w:ind w:left="288"/>
      </w:pPr>
      <w:r>
        <w:rPr>
          <w:color w:val="1E1E1E"/>
          <w:sz w:val="18"/>
        </w:rPr>
        <w:t>= HC 96.190, rel. min. Gilmar Mendes, j. 14-6-2010, 2ª T, DJE de 3-9-2010 LXIV - o preso tem direito à identificação dos responsáveis por sua prisão ou por seu interrogatório policial; LXV - a prisão ilegal será imediatamente relaxada pela autoridade judiciária;</w:t>
      </w:r>
    </w:p>
    <w:p>
      <w:pPr>
        <w:ind w:left="288"/>
      </w:pPr>
      <w:r>
        <w:rPr>
          <w:color w:val="8C8C8C"/>
          <w:sz w:val="12"/>
        </w:rPr>
        <w:t>cf-art-5-inc-L</w:t>
      </w:r>
      <w:r>
        <w:rPr>
          <w:color w:val="003CA0"/>
          <w:sz w:val="12"/>
        </w:rPr>
        <w:t xml:space="preserve"> | ADI 4.414</w:t>
      </w:r>
      <w:r>
        <w:rPr>
          <w:color w:val="003CA0"/>
          <w:sz w:val="12"/>
        </w:rPr>
        <w:t xml:space="preserve"> | rel. Luiz Fux</w:t>
      </w:r>
    </w:p>
    <w:p>
      <w:pPr>
        <w:ind w:left="288"/>
      </w:pPr>
      <w:r>
        <w:rPr>
          <w:color w:val="1E1E1E"/>
          <w:sz w:val="18"/>
        </w:rPr>
        <w:t>O juízo incompetente pode, salvante os casos de erro grosseiro e manifesta má-fé, em hipóteses de urgência e desde que haja dúvida razoável a respeito do órgão que deve processar a causa, determinar o relaxamento de prisão ilegal, remetendo o caso, em seguida, ao juiz natural, configurando hipótese de translatio iudicii inferida do art. 5º, LXV, da Carta Magna, o qual não exige a competência da autoridade judiciária responsável pelo relaxamento, sendo certo que a complexidade dos critérios de divisão da competência jurisdicional não podem obstaculizar o acesso à justiça (art. 5º, XXXV, da CRFB</w:t>
      </w:r>
    </w:p>
    <w:p>
      <w:pPr>
        <w:ind w:left="288"/>
      </w:pPr>
      <w:r>
        <w:rPr>
          <w:b/>
          <w:color w:val="003CA0"/>
          <w:sz w:val="16"/>
        </w:rPr>
        <w:t>[ADI 4.414, rel. min. Luiz Fux, j. 31-5-2012, P, DJE de 17-6-2013.]</w:t>
      </w:r>
    </w:p>
    <w:p>
      <w:pPr>
        <w:ind w:left="144"/>
      </w:pPr>
      <w:r>
        <w:rPr>
          <w:b/>
          <w:color w:val="B45A00"/>
          <w:sz w:val="16"/>
        </w:rPr>
        <w:t>JULGADOS CORRELATOS</w:t>
      </w:r>
    </w:p>
    <w:p>
      <w:pPr>
        <w:ind w:left="288"/>
      </w:pPr>
      <w:r>
        <w:rPr>
          <w:color w:val="8C8C8C"/>
          <w:sz w:val="12"/>
        </w:rPr>
        <w:t>cf-art-5-inc-L</w:t>
      </w:r>
      <w:r>
        <w:rPr>
          <w:color w:val="003CA0"/>
          <w:sz w:val="12"/>
        </w:rPr>
        <w:t xml:space="preserve"> | EXT 1.054</w:t>
      </w:r>
      <w:r>
        <w:rPr>
          <w:color w:val="003CA0"/>
          <w:sz w:val="12"/>
        </w:rPr>
        <w:t xml:space="preserve"> | rel. Marco Aurélio</w:t>
      </w:r>
    </w:p>
    <w:p>
      <w:pPr>
        <w:ind w:left="288"/>
      </w:pPr>
      <w:r>
        <w:rPr>
          <w:color w:val="1E1E1E"/>
          <w:sz w:val="18"/>
        </w:rPr>
        <w:t>Uma vez configurada a inércia do Governo requerente no cumprimento de diligência visando a instruir o pedido de extradição e projetada a prisão do extraditando no tempo, incumbe o relaxamento, expedindo-se alvará de soltura a ser cumprido com as cautelas próprias.</w:t>
      </w:r>
    </w:p>
    <w:p>
      <w:pPr>
        <w:ind w:left="288"/>
      </w:pPr>
      <w:r>
        <w:rPr>
          <w:b/>
          <w:color w:val="003CA0"/>
          <w:sz w:val="16"/>
        </w:rPr>
        <w:t>[Ext 1.054 QO, rel. min. Marco Aurélio, j. 29-8-2007, P, DJE de 22-2-2008.]</w:t>
      </w:r>
    </w:p>
    <w:p>
      <w:pPr>
        <w:ind w:left="288"/>
      </w:pPr>
      <w:r>
        <w:rPr>
          <w:color w:val="8C8C8C"/>
          <w:sz w:val="12"/>
        </w:rPr>
        <w:t>cf-art-5-inc-L</w:t>
      </w:r>
      <w:r>
        <w:rPr>
          <w:color w:val="003CA0"/>
          <w:sz w:val="12"/>
        </w:rPr>
        <w:t xml:space="preserve"> | HC 89.238</w:t>
      </w:r>
      <w:r>
        <w:rPr>
          <w:color w:val="003CA0"/>
          <w:sz w:val="12"/>
        </w:rPr>
        <w:t xml:space="preserve"> | rel. Gilmar Mendes</w:t>
      </w:r>
    </w:p>
    <w:p>
      <w:pPr>
        <w:ind w:left="288"/>
      </w:pPr>
      <w:r>
        <w:rPr>
          <w:color w:val="1E1E1E"/>
          <w:sz w:val="18"/>
        </w:rPr>
        <w:t>Na linha da jurisprudência deste Tribunal, porém, não basta, a mera explicitação textual dos requisitos previstos pelo art. 312 do CPP. (...) Da simples leitura do decreto prisional, as únicas afirmações ou adjetivações apresentadas pelo juízo de origem são ilações de que a constrição pautar-se-ia no modus operandi da prática criminosa imputada ao paciente e na "comoção social que a gravidade do delito causou na sociedade paulistana". Não há razões bastantes para a manutenção da custódia preventiva, seja tanto pela garantia da ordem pública, seja pela aplicação da lei penal e conveniência da i</w:t>
      </w:r>
    </w:p>
    <w:p>
      <w:pPr>
        <w:ind w:left="288"/>
      </w:pPr>
      <w:r>
        <w:rPr>
          <w:b/>
          <w:color w:val="003CA0"/>
          <w:sz w:val="16"/>
        </w:rPr>
        <w:t>[HC 89.238, rel. min. Gilmar Mendes, j. 29-5-2007, 2ª T, DJE de 28-3-2008.]</w:t>
      </w:r>
    </w:p>
    <w:p>
      <w:pPr>
        <w:ind w:left="288"/>
      </w:pPr>
      <w:r>
        <w:rPr>
          <w:color w:val="8C8C8C"/>
          <w:sz w:val="12"/>
        </w:rPr>
        <w:t>cf-art-5-inc-L</w:t>
      </w:r>
      <w:r>
        <w:rPr>
          <w:color w:val="003CA0"/>
          <w:sz w:val="12"/>
        </w:rPr>
        <w:t xml:space="preserve"> | HC 80.719</w:t>
      </w:r>
      <w:r>
        <w:rPr>
          <w:color w:val="003CA0"/>
          <w:sz w:val="12"/>
        </w:rPr>
        <w:t xml:space="preserve"> | rel. Celso de Mello</w:t>
      </w:r>
    </w:p>
    <w:p>
      <w:pPr>
        <w:ind w:left="288"/>
      </w:pPr>
      <w:r>
        <w:rPr>
          <w:color w:val="1E1E1E"/>
          <w:sz w:val="18"/>
        </w:rPr>
        <w:t>Sem que se caracterize situação de real necessidade, não se legitima a privação cautelar da liberdade individual do indiciado ou do réu. (...) Discursos de caráter autoritário não podem jamais subjugar o princípio da liberdade. A prerrogativa jurídica da liberdade – que possui extração constitucional (CF, art. 5º, LXI e LXV) – não pode ser ofendida por interpretações doutrinárias ou jurisprudenciais, que, fundadas em preocupante discurso de conteúdo autoritário, culminam por consagrar, paradoxalmente, em detrimento de direitos e garantias fundamentais proclamados pela Constituição da República</w:t>
      </w:r>
    </w:p>
    <w:p>
      <w:pPr>
        <w:ind w:left="288"/>
      </w:pPr>
      <w:r>
        <w:rPr>
          <w:b/>
          <w:color w:val="003CA0"/>
          <w:sz w:val="16"/>
        </w:rPr>
        <w:t>[HC 80.719, rel. min. Celso de Mello, j. 26-6-2001, 2ª T, DJ de 28-9-2001.]</w:t>
      </w:r>
    </w:p>
    <w:p>
      <w:pPr>
        <w:ind w:left="288"/>
      </w:pPr>
      <w:r>
        <w:rPr>
          <w:color w:val="8C8C8C"/>
          <w:sz w:val="12"/>
        </w:rPr>
        <w:t>cf-art-5-inc-L</w:t>
      </w:r>
      <w:r>
        <w:rPr>
          <w:color w:val="003CA0"/>
          <w:sz w:val="12"/>
        </w:rPr>
        <w:t xml:space="preserve"> | HC 80.379</w:t>
      </w:r>
      <w:r>
        <w:rPr>
          <w:color w:val="003CA0"/>
          <w:sz w:val="12"/>
        </w:rPr>
        <w:t xml:space="preserve"> | rel. Celso de Mello</w:t>
      </w:r>
    </w:p>
    <w:p>
      <w:pPr>
        <w:ind w:left="288"/>
      </w:pPr>
      <w:r>
        <w:rPr>
          <w:color w:val="1E1E1E"/>
          <w:sz w:val="18"/>
        </w:rPr>
        <w:t>A prerrogativa jurídica da liberdade – que possui extração constitucional (CF, art. 5º, LXI e LXV) – não pode ser ofendida por atos arbitrários do Poder Público, mesmo que se trate de pessoa acusada da suposta prática de crime hediondo, eis que, até que sobrevenha sentença condenatória irrecorrível (CF, art. 5º, LVII), não se revela possível presumir a culpabilidade do réu, qualquer que seja a natureza da infração penal que lhe tenha sido imputada. O clamor público não constitui fator de legitimação da privação cautelar da liberdade. (...) A natureza da infração penal não pode restringir a apl</w:t>
      </w:r>
    </w:p>
    <w:p>
      <w:pPr>
        <w:ind w:left="288"/>
      </w:pPr>
      <w:r>
        <w:rPr>
          <w:b/>
          <w:color w:val="003CA0"/>
          <w:sz w:val="16"/>
        </w:rPr>
        <w:t>[HC 80.379, rel. min. Celso de Mello, j. 18-12-2000, 2ª T, DJ de 25-5-2001.]</w:t>
      </w:r>
    </w:p>
    <w:p>
      <w:pPr>
        <w:ind w:left="288"/>
      </w:pPr>
      <w:r>
        <w:rPr>
          <w:color w:val="8C8C8C"/>
          <w:sz w:val="12"/>
        </w:rPr>
        <w:t>cf-art-5-inc-L</w:t>
      </w:r>
      <w:r>
        <w:rPr>
          <w:color w:val="003CA0"/>
          <w:sz w:val="12"/>
        </w:rPr>
        <w:t xml:space="preserve"> | HC 96.577</w:t>
      </w:r>
      <w:r>
        <w:rPr>
          <w:color w:val="003CA0"/>
          <w:sz w:val="12"/>
        </w:rPr>
        <w:t xml:space="preserve"> | rel. Celso de Mello</w:t>
      </w:r>
    </w:p>
    <w:p>
      <w:pPr>
        <w:ind w:left="288"/>
      </w:pPr>
      <w:r>
        <w:rPr>
          <w:color w:val="1E1E1E"/>
          <w:sz w:val="18"/>
        </w:rPr>
        <w:t>= HC 96.577, rel. min. Celso de Mello, j. 10-2-2009, 2ª T, DJE de 19-3-2010 Vide HC 103.399, rel. min. Ayres Britto, j. 22-6-2010, 1ª T, DJE de 20-8-2010 LXVI - ninguém será levado à prisão ou nela mantido, quando a lei admitir a liberdade provisória, com ou sem fiança;</w:t>
      </w:r>
    </w:p>
    <w:p>
      <w:pPr>
        <w:ind w:left="144"/>
      </w:pPr>
      <w:r>
        <w:rPr>
          <w:b/>
          <w:color w:val="B45A00"/>
          <w:sz w:val="16"/>
        </w:rPr>
        <w:t>REPERCUSSAO GERAL</w:t>
      </w:r>
    </w:p>
    <w:p>
      <w:pPr>
        <w:ind w:left="288"/>
      </w:pPr>
      <w:r>
        <w:rPr>
          <w:color w:val="8C8C8C"/>
          <w:sz w:val="12"/>
        </w:rPr>
        <w:t>cf-art-5-inc-L</w:t>
      </w:r>
      <w:r>
        <w:rPr>
          <w:color w:val="003CA0"/>
          <w:sz w:val="12"/>
        </w:rPr>
        <w:t xml:space="preserve"> | RE 1.038.925</w:t>
      </w:r>
      <w:r>
        <w:rPr>
          <w:color w:val="003CA0"/>
          <w:sz w:val="12"/>
        </w:rPr>
        <w:t xml:space="preserve"> | rel. Gilmar Mendes</w:t>
      </w:r>
    </w:p>
    <w:p>
      <w:pPr>
        <w:ind w:left="288"/>
      </w:pPr>
      <w:r>
        <w:rPr>
          <w:color w:val="1E1E1E"/>
          <w:sz w:val="18"/>
        </w:rPr>
        <w:t>Tráfico de drogas. Vedação legal de liberdade provisória. Interpretação dos incisos XLIII e LXVI do art. 5º da CF. Reafirmação de jurisprudência. Proposta de fixação da seguinte tese: É inconstitucional a expressão “e liberdade provisória”, constante do caput do art. 44 da Lei 11.343/2006.</w:t>
        <w:br/>
        <w:t>[RE 1.038.925 RG, rel. min. Gilmar Mendes, j. 18-8-2017, P, DJE de 19-9-2017, Tema 959, com mérito julgado.]</w:t>
      </w:r>
    </w:p>
    <w:p>
      <w:pPr>
        <w:ind w:left="144"/>
      </w:pPr>
      <w:r>
        <w:rPr>
          <w:b/>
          <w:color w:val="B45A00"/>
          <w:sz w:val="16"/>
        </w:rPr>
        <w:t>JULGADOS CORRELATOS</w:t>
      </w:r>
    </w:p>
    <w:p>
      <w:pPr>
        <w:ind w:left="288"/>
      </w:pPr>
      <w:r>
        <w:rPr>
          <w:color w:val="8C8C8C"/>
          <w:sz w:val="12"/>
        </w:rPr>
        <w:t>cf-art-5-inc-L</w:t>
      </w:r>
      <w:r>
        <w:rPr>
          <w:color w:val="003CA0"/>
          <w:sz w:val="12"/>
        </w:rPr>
        <w:t xml:space="preserve"> | HC 94.157</w:t>
      </w:r>
      <w:r>
        <w:rPr>
          <w:color w:val="003CA0"/>
          <w:sz w:val="12"/>
        </w:rPr>
        <w:t xml:space="preserve"> | rel. Celso de Mello</w:t>
      </w:r>
    </w:p>
    <w:p>
      <w:pPr>
        <w:ind w:left="288"/>
      </w:pPr>
      <w:r>
        <w:rPr>
          <w:color w:val="1E1E1E"/>
          <w:sz w:val="18"/>
        </w:rPr>
        <w:t>Aquele que foi preso em flagrante, embora formalmente perfeito o auto respectivo (CPP, arts. 304 a 306) e não obstante tecnicamente caracterizada a situação de flagrância (CPP, art. 302), tem, mesmo assim, direito subjetivo à obtenção da liberdade provisória (...), desde que não se registre, quanto a ele, qualquer das hipóteses autorizadoras da prisão preventiva, a significar que a prisão em flagrante somente deverá subsistir se se demonstrar que aquele que a sofreu deve permanecer sob a custódia cautelar do Estado, em razão de se verificarem, quanto a ele, os requisitos objetivos e subjetivos</w:t>
      </w:r>
    </w:p>
    <w:p>
      <w:pPr>
        <w:ind w:left="288"/>
      </w:pPr>
      <w:r>
        <w:rPr>
          <w:b/>
          <w:color w:val="003CA0"/>
          <w:sz w:val="16"/>
        </w:rPr>
        <w:t>[HC 94.157, rel. min. Celso de Mello, j. 10-6-2008, 2ª T, DJE de 28-3-2011.]</w:t>
      </w:r>
    </w:p>
    <w:p>
      <w:pPr>
        <w:ind w:left="288"/>
      </w:pPr>
      <w:r>
        <w:rPr>
          <w:color w:val="8C8C8C"/>
          <w:sz w:val="12"/>
        </w:rPr>
        <w:t>cf-art-5-inc-L</w:t>
      </w:r>
      <w:r>
        <w:rPr>
          <w:color w:val="003CA0"/>
          <w:sz w:val="12"/>
        </w:rPr>
        <w:t xml:space="preserve"> | HC 92.824</w:t>
      </w:r>
      <w:r>
        <w:rPr>
          <w:color w:val="003CA0"/>
          <w:sz w:val="12"/>
        </w:rPr>
        <w:t xml:space="preserve"> | rel. Joaquim Barbosa</w:t>
      </w:r>
    </w:p>
    <w:p>
      <w:pPr>
        <w:ind w:left="288"/>
      </w:pPr>
      <w:r>
        <w:rPr>
          <w:color w:val="1E1E1E"/>
          <w:sz w:val="18"/>
        </w:rPr>
        <w:t>A atual jurisprudência desta Corte admite a concessão de liberdade provisória em crimes hediondos ou equiparados, em hipóteses nas quais estejam ausentes os fundamentos previstos no art. 312 do CPP. Precedentes desta Corte. Em razão da supressão pela Lei 11.646/2007, da vedação à concessão de liberdade provisória nas hipóteses de crimes hediondos, é legítima a concessão de liberdade provisória ao paciente, em face da ausência de fundamentação idônea para a sua prisão.</w:t>
      </w:r>
    </w:p>
    <w:p>
      <w:pPr>
        <w:ind w:left="288"/>
      </w:pPr>
      <w:r>
        <w:rPr>
          <w:b/>
          <w:color w:val="003CA0"/>
          <w:sz w:val="16"/>
        </w:rPr>
        <w:t>[HC 92.824, rel. min. Joaquim Barbosa, j. 18-12-2007, 1ª T,  DJE de 9-5-2008.]</w:t>
      </w:r>
    </w:p>
    <w:p>
      <w:pPr>
        <w:ind w:left="288"/>
      </w:pPr>
      <w:r>
        <w:rPr>
          <w:color w:val="8C8C8C"/>
          <w:sz w:val="12"/>
        </w:rPr>
        <w:t>cf-art-5-inc-L</w:t>
      </w:r>
      <w:r>
        <w:rPr>
          <w:color w:val="003CA0"/>
          <w:sz w:val="12"/>
        </w:rPr>
        <w:t xml:space="preserve"> | HC 91.657</w:t>
      </w:r>
      <w:r>
        <w:rPr>
          <w:color w:val="003CA0"/>
          <w:sz w:val="12"/>
        </w:rPr>
        <w:t xml:space="preserve"> | rel. Gilmar Mendes</w:t>
      </w:r>
    </w:p>
    <w:p>
      <w:pPr>
        <w:ind w:left="288"/>
      </w:pPr>
      <w:r>
        <w:rPr>
          <w:color w:val="1E1E1E"/>
          <w:sz w:val="18"/>
        </w:rPr>
        <w:t>Pedido de revogação de prisão preventiva para extradição (PPE). (...) O Pacto de São José da Costa Rica proclama a liberdade provisória como direito fundamental da pessoa humana (art. 7º, 5). A prisão é medida excepcional em nosso Estado de Direito e não pode ser utilizada como meio generalizado de limitação das liberdades dos cidadãos (art. 5º, LXVI). Inexiste razão, tanto com base na CF/1988, quanto nos tratados internacionais com relação ao respeito aos direitos humanos e à dignidade da pessoa humana, para que tal entendimento não seja também aplicado às PPEs.</w:t>
      </w:r>
    </w:p>
    <w:p>
      <w:pPr>
        <w:ind w:left="288"/>
      </w:pPr>
      <w:r>
        <w:rPr>
          <w:b/>
          <w:color w:val="003CA0"/>
          <w:sz w:val="16"/>
        </w:rPr>
        <w:t>[HC 91.657, rel. min. Gilmar Mendes, j. 13-9-2007, P, DJE de 14-3-2008.]</w:t>
      </w:r>
    </w:p>
    <w:p>
      <w:pPr>
        <w:ind w:left="288"/>
      </w:pPr>
      <w:r>
        <w:rPr>
          <w:color w:val="8C8C8C"/>
          <w:sz w:val="12"/>
        </w:rPr>
        <w:t>cf-art-5-inc-L</w:t>
      </w:r>
    </w:p>
    <w:p>
      <w:pPr>
        <w:ind w:left="288"/>
      </w:pPr>
      <w:r>
        <w:rPr>
          <w:color w:val="1E1E1E"/>
          <w:sz w:val="18"/>
        </w:rPr>
        <w:t>LXVII - não haverá prisão civil por dívida, salvo a do responsável pelo inadimplemento voluntário e inescusável de obrigação alimentícia e a do depositário infiel;</w:t>
      </w:r>
    </w:p>
    <w:p>
      <w:pPr>
        <w:ind w:left="144"/>
      </w:pPr>
      <w:r>
        <w:rPr>
          <w:b/>
          <w:color w:val="B45A00"/>
          <w:sz w:val="16"/>
        </w:rPr>
        <w:t>SUMULA VINCULANTE</w:t>
      </w:r>
    </w:p>
    <w:p>
      <w:pPr>
        <w:ind w:left="288"/>
      </w:pPr>
      <w:r>
        <w:rPr>
          <w:color w:val="8C8C8C"/>
          <w:sz w:val="12"/>
        </w:rPr>
        <w:t>cf-art-5-inc-L</w:t>
      </w:r>
    </w:p>
    <w:p>
      <w:pPr>
        <w:ind w:left="288"/>
      </w:pPr>
      <w:r>
        <w:rPr>
          <w:color w:val="1E1E1E"/>
          <w:sz w:val="18"/>
        </w:rPr>
        <w:t>É ilícita a prisão civil de depositário infiel, qualquer que seja a modalidade do depósito.</w:t>
      </w:r>
    </w:p>
    <w:p>
      <w:pPr>
        <w:ind w:left="288"/>
      </w:pPr>
      <w:r>
        <w:rPr>
          <w:b/>
          <w:color w:val="003CA0"/>
          <w:sz w:val="16"/>
        </w:rPr>
        <w:t>[Súmula Vinculante 25.]</w:t>
      </w:r>
    </w:p>
    <w:p>
      <w:pPr>
        <w:ind w:left="144"/>
      </w:pPr>
      <w:r>
        <w:rPr>
          <w:b/>
          <w:color w:val="B45A00"/>
          <w:sz w:val="16"/>
        </w:rPr>
        <w:t>REPERCUSSAO GERAL</w:t>
      </w:r>
    </w:p>
    <w:p>
      <w:pPr>
        <w:ind w:left="288"/>
      </w:pPr>
      <w:r>
        <w:rPr>
          <w:color w:val="8C8C8C"/>
          <w:sz w:val="12"/>
        </w:rPr>
        <w:t>cf-art-5-inc-L</w:t>
      </w:r>
      <w:r>
        <w:rPr>
          <w:color w:val="003CA0"/>
          <w:sz w:val="12"/>
        </w:rPr>
        <w:t xml:space="preserve"> | ARE 999.425</w:t>
      </w:r>
      <w:r>
        <w:rPr>
          <w:color w:val="003CA0"/>
          <w:sz w:val="12"/>
        </w:rPr>
        <w:t xml:space="preserve"> | rel. Ricardo Lewandowski</w:t>
      </w:r>
    </w:p>
    <w:p>
      <w:pPr>
        <w:ind w:left="288"/>
      </w:pPr>
      <w:r>
        <w:rPr>
          <w:color w:val="1E1E1E"/>
          <w:sz w:val="18"/>
        </w:rPr>
        <w:t>A jurisprudência deste Supremo Tribunal é pacífica no sentido de que os delitos previstos na Lei 8.137/1990 não violam o disposto no art. 5°, LXVII, da Lei Maior, em virtude de terem caráter penal e não se relacionarem com a prisão civil por dívida. (...) as condutas tipificadas na Lei 8.137/1991 não se referem simplesmente ao não pagamento de tributos, mas aos atos praticados pelo contribuinte com o fim de sonegar o tributo devido, consubstanciados em fraude, omissão, prestação de informações falsas às autoridades fazendárias e outros ardis. Não se trata de punir a inadimplência do contribuin</w:t>
      </w:r>
    </w:p>
    <w:p>
      <w:pPr>
        <w:ind w:left="144"/>
      </w:pPr>
      <w:r>
        <w:rPr>
          <w:b/>
          <w:color w:val="B45A00"/>
          <w:sz w:val="16"/>
        </w:rPr>
        <w:t>JULGADOS CORRELATOS</w:t>
      </w:r>
    </w:p>
    <w:p>
      <w:pPr>
        <w:ind w:left="288"/>
      </w:pPr>
      <w:r>
        <w:rPr>
          <w:color w:val="8C8C8C"/>
          <w:sz w:val="12"/>
        </w:rPr>
        <w:t>cf-art-5-inc-L</w:t>
      </w:r>
      <w:r>
        <w:rPr>
          <w:color w:val="003CA0"/>
          <w:sz w:val="12"/>
        </w:rPr>
        <w:t xml:space="preserve"> | HC 121.426</w:t>
      </w:r>
      <w:r>
        <w:rPr>
          <w:color w:val="003CA0"/>
          <w:sz w:val="12"/>
        </w:rPr>
        <w:t xml:space="preserve"> | rel. Marco Aurélio</w:t>
      </w:r>
    </w:p>
    <w:p>
      <w:pPr>
        <w:ind w:left="288"/>
      </w:pPr>
      <w:r>
        <w:rPr>
          <w:color w:val="1E1E1E"/>
          <w:sz w:val="18"/>
        </w:rPr>
        <w:t>A prisão por dívida de natureza alimentícia está ligada ao inadimplemento inescusável de prestação, não alcançando situação jurídica a revelar cobrança de saldo devedor.</w:t>
      </w:r>
    </w:p>
    <w:p>
      <w:pPr>
        <w:ind w:left="288"/>
      </w:pPr>
      <w:r>
        <w:rPr>
          <w:b/>
          <w:color w:val="003CA0"/>
          <w:sz w:val="16"/>
        </w:rPr>
        <w:t>[HC 121.426, rel. min. Marco Aurélio, j. 14-3-2017, 1ª T, DJE de 29-3-2017.]</w:t>
      </w:r>
    </w:p>
    <w:p>
      <w:pPr>
        <w:ind w:left="288"/>
      </w:pPr>
      <w:r>
        <w:rPr>
          <w:color w:val="8C8C8C"/>
          <w:sz w:val="12"/>
        </w:rPr>
        <w:t>cf-art-5-inc-L</w:t>
      </w:r>
      <w:r>
        <w:rPr>
          <w:color w:val="003CA0"/>
          <w:sz w:val="12"/>
        </w:rPr>
        <w:t xml:space="preserve"> | HC 117.229</w:t>
      </w:r>
      <w:r>
        <w:rPr>
          <w:color w:val="003CA0"/>
          <w:sz w:val="12"/>
        </w:rPr>
        <w:t xml:space="preserve"> | rel. Marco Aurélio</w:t>
      </w:r>
    </w:p>
    <w:p>
      <w:pPr>
        <w:ind w:left="288"/>
      </w:pPr>
      <w:r>
        <w:rPr>
          <w:color w:val="1E1E1E"/>
          <w:sz w:val="18"/>
        </w:rPr>
        <w:t>Nos termos do que dispõe o § 1º do art. 733 do CPC, o juiz poderá decretar a prisão do devedor de alimentos pelo prazo de um a três meses.</w:t>
      </w:r>
    </w:p>
    <w:p>
      <w:pPr>
        <w:ind w:left="288"/>
      </w:pPr>
      <w:r>
        <w:rPr>
          <w:b/>
          <w:color w:val="003CA0"/>
          <w:sz w:val="16"/>
        </w:rPr>
        <w:t>[HC 117.229 AgR, rel. min. Marco Aurélio, j. 18-2-2014, 1ª T, DJE de 20-3-2014.]</w:t>
      </w:r>
    </w:p>
    <w:p>
      <w:pPr>
        <w:ind w:left="288"/>
      </w:pPr>
      <w:r>
        <w:rPr>
          <w:color w:val="8C8C8C"/>
          <w:sz w:val="12"/>
        </w:rPr>
        <w:t>cf-art-5-inc-L</w:t>
      </w:r>
      <w:r>
        <w:rPr>
          <w:color w:val="003CA0"/>
          <w:sz w:val="12"/>
        </w:rPr>
        <w:t xml:space="preserve"> | HC 106.709</w:t>
      </w:r>
    </w:p>
    <w:p>
      <w:pPr>
        <w:ind w:left="288"/>
      </w:pPr>
      <w:r>
        <w:rPr>
          <w:color w:val="1E1E1E"/>
          <w:sz w:val="18"/>
        </w:rPr>
        <w:t>(...) a jurisprudência do STF é no sentido de que a incapacidade econômica do alimentante não serve, por si só, de supedâneo para evitar a decretação de prisão civil, tendo em vista que o habeas corpus não é via adequada para análise de questões de provas. (...) Observam-se, no caso concreto, peculiaridades aptas a afastar o decreto prisional. É que, conforme consta da decisão formalizada pelo tribunal de justiça estadual, o paciente não possuía rendimentos suficientes para o pagamento da pensão alimentícia inicialmente determinada (R$ 765,00), que lhe demonstra a incapacidade de pagá-la. Dian</w:t>
      </w:r>
    </w:p>
    <w:p>
      <w:pPr>
        <w:ind w:left="288"/>
      </w:pPr>
      <w:r>
        <w:rPr>
          <w:b/>
          <w:color w:val="003CA0"/>
          <w:sz w:val="16"/>
        </w:rPr>
        <w:t>[HC 106.709, voto do min. Gilmar Mendes, j. 21-6-2011, 2ª T, DJE de 15-9-2011.]</w:t>
      </w:r>
    </w:p>
    <w:p>
      <w:pPr>
        <w:ind w:left="288"/>
      </w:pPr>
      <w:r>
        <w:rPr>
          <w:color w:val="8C8C8C"/>
          <w:sz w:val="12"/>
        </w:rPr>
        <w:t>cf-art-5-inc-L</w:t>
      </w:r>
      <w:r>
        <w:rPr>
          <w:color w:val="003CA0"/>
          <w:sz w:val="12"/>
        </w:rPr>
        <w:t xml:space="preserve"> | HC 100.104</w:t>
      </w:r>
      <w:r>
        <w:rPr>
          <w:color w:val="003CA0"/>
          <w:sz w:val="12"/>
        </w:rPr>
        <w:t xml:space="preserve"> | rel. Ellen Gracie</w:t>
      </w:r>
    </w:p>
    <w:p>
      <w:pPr>
        <w:ind w:left="288"/>
      </w:pPr>
      <w:r>
        <w:rPr>
          <w:color w:val="1E1E1E"/>
          <w:sz w:val="18"/>
        </w:rPr>
        <w:t>O afastamento do trabalho é efeito lógico da prisão, não podendo o paciente basear-se em tal fato para alegar a ausência de efeito prático da sua prisão, mormente quando já lhe foi conferida oportunidade para pagar sua dívida em liberdade.</w:t>
      </w:r>
    </w:p>
    <w:p>
      <w:pPr>
        <w:ind w:left="288"/>
      </w:pPr>
      <w:r>
        <w:rPr>
          <w:b/>
          <w:color w:val="003CA0"/>
          <w:sz w:val="16"/>
        </w:rPr>
        <w:t>[HC 100.104, rel. min. Ellen Gracie, j. 18-8-2009, 2ª T, DJE de 11-9-2009.]</w:t>
      </w:r>
    </w:p>
    <w:p>
      <w:pPr>
        <w:ind w:left="288"/>
      </w:pPr>
      <w:r>
        <w:rPr>
          <w:color w:val="8C8C8C"/>
          <w:sz w:val="12"/>
        </w:rPr>
        <w:t>cf-art-5-inc-L</w:t>
      </w:r>
      <w:r>
        <w:rPr>
          <w:color w:val="003CA0"/>
          <w:sz w:val="12"/>
        </w:rPr>
        <w:t xml:space="preserve"> | HC 92.566</w:t>
      </w:r>
      <w:r>
        <w:rPr>
          <w:color w:val="003CA0"/>
          <w:sz w:val="12"/>
        </w:rPr>
        <w:t xml:space="preserve"> | rel. Marco Aurélio</w:t>
      </w:r>
    </w:p>
    <w:p>
      <w:pPr>
        <w:ind w:left="288"/>
      </w:pPr>
      <w:r>
        <w:rPr>
          <w:color w:val="1E1E1E"/>
          <w:sz w:val="18"/>
        </w:rPr>
        <w:t>Prisão civil. Penhor rural. Cédula rural pignoratícia. Bens. Garantia. Impropriedade. Ante o ordenamento jurídico pátrio, a prisão civil somente subsiste no caso de descumprimento inescusável de obrigação alimentícia, e não no de depositário considerada a cédula rural pignoratícia.</w:t>
      </w:r>
    </w:p>
    <w:p>
      <w:pPr>
        <w:ind w:left="288"/>
      </w:pPr>
      <w:r>
        <w:rPr>
          <w:b/>
          <w:color w:val="003CA0"/>
          <w:sz w:val="16"/>
        </w:rPr>
        <w:t>[HC 92.566, rel. min. Marco Aurélio, j. 3-12-2008, P, DJE de 5-6-2009.]</w:t>
      </w:r>
    </w:p>
    <w:p>
      <w:pPr>
        <w:ind w:left="288"/>
      </w:pPr>
      <w:r>
        <w:rPr>
          <w:color w:val="8C8C8C"/>
          <w:sz w:val="12"/>
        </w:rPr>
        <w:t>cf-art-5-inc-L</w:t>
      </w:r>
      <w:r>
        <w:rPr>
          <w:color w:val="003CA0"/>
          <w:sz w:val="12"/>
        </w:rPr>
        <w:t xml:space="preserve"> | HC 87.134</w:t>
      </w:r>
      <w:r>
        <w:rPr>
          <w:color w:val="003CA0"/>
          <w:sz w:val="12"/>
        </w:rPr>
        <w:t xml:space="preserve"> | rel. Sepúlveda Pertence</w:t>
      </w:r>
    </w:p>
    <w:p>
      <w:pPr>
        <w:ind w:left="288"/>
      </w:pPr>
      <w:r>
        <w:rPr>
          <w:color w:val="1E1E1E"/>
          <w:sz w:val="18"/>
        </w:rPr>
        <w:t>Prisão civil por inadimplemento de obrigação alimentar: cabimento, dado que o acúmulo de parcelas não se deu por inércia do credor e não se comprovou o pagamento das prestações que venceram ao longo da ação de execução, que não podem ser consideradas pretéritas, de modo a perder o seu caráter alimentar.</w:t>
      </w:r>
    </w:p>
    <w:p>
      <w:pPr>
        <w:ind w:left="288"/>
      </w:pPr>
      <w:r>
        <w:rPr>
          <w:b/>
          <w:color w:val="003CA0"/>
          <w:sz w:val="16"/>
        </w:rPr>
        <w:t>[HC 87.134, rel. min. Sepúlveda Pertence, j. 8-8-2006, 1ª T, DJ de 29-9-2006.]</w:t>
      </w:r>
    </w:p>
    <w:p>
      <w:pPr>
        <w:ind w:left="288"/>
      </w:pPr>
      <w:r>
        <w:rPr>
          <w:color w:val="8C8C8C"/>
          <w:sz w:val="12"/>
        </w:rPr>
        <w:t>cf-art-5-inc-L</w:t>
      </w:r>
      <w:r>
        <w:rPr>
          <w:color w:val="003CA0"/>
          <w:sz w:val="12"/>
        </w:rPr>
        <w:t xml:space="preserve"> | RE 391.996</w:t>
      </w:r>
      <w:r>
        <w:rPr>
          <w:color w:val="003CA0"/>
          <w:sz w:val="12"/>
        </w:rPr>
        <w:t xml:space="preserve"> | rel. Ellen Gracie</w:t>
      </w:r>
    </w:p>
    <w:p>
      <w:pPr>
        <w:ind w:left="288"/>
      </w:pPr>
      <w:r>
        <w:rPr>
          <w:color w:val="1E1E1E"/>
          <w:sz w:val="18"/>
        </w:rPr>
        <w:t>Apropriação indébita. Não recolhimento de contribuições previdenciárias. Prisão criminal, e não civil. Inocorrência de ofensa ao art. 5º, LXVII, da CF.</w:t>
      </w:r>
    </w:p>
    <w:p>
      <w:pPr>
        <w:ind w:left="288"/>
      </w:pPr>
      <w:r>
        <w:rPr>
          <w:b/>
          <w:color w:val="003CA0"/>
          <w:sz w:val="16"/>
        </w:rPr>
        <w:t>[RE 391.996 AgR, rel. min. Ellen Gracie, j. 25-11-2003, 2ª T, DJ de 19-12-2003.]</w:t>
      </w:r>
    </w:p>
    <w:p>
      <w:pPr>
        <w:ind w:left="288"/>
      </w:pPr>
      <w:r>
        <w:rPr>
          <w:color w:val="8C8C8C"/>
          <w:sz w:val="12"/>
        </w:rPr>
        <w:t>cf-art-5-inc-L</w:t>
      </w:r>
      <w:r>
        <w:rPr>
          <w:color w:val="003CA0"/>
          <w:sz w:val="12"/>
        </w:rPr>
        <w:t xml:space="preserve"> | AI 800.589</w:t>
      </w:r>
      <w:r>
        <w:rPr>
          <w:color w:val="003CA0"/>
          <w:sz w:val="12"/>
        </w:rPr>
        <w:t xml:space="preserve"> | rel. Ayres Britto</w:t>
      </w:r>
    </w:p>
    <w:p>
      <w:pPr>
        <w:ind w:left="288"/>
      </w:pPr>
      <w:r>
        <w:rPr>
          <w:color w:val="1E1E1E"/>
          <w:sz w:val="18"/>
        </w:rPr>
        <w:t>= AI 800.589 AgR, rel. min. Ayres Britto, j. 26-10-2010, 2ª T, DJE de 14-2-2011 Responsável pelo inadimplemento de obrigação alimentícia. (...) Inexiste ilegalidade no decreto de prisão civil da paciente, dado que, além de expressamente autorizada pela Constituição (art. 5º, LXVII), não decorre ela da totalidade das parcelas em atraso, mas tão somente dos três meses anteriores ao ajuizamento da ação, mais as subsequentes.</w:t>
      </w:r>
    </w:p>
    <w:p>
      <w:pPr>
        <w:ind w:left="288"/>
      </w:pPr>
      <w:r>
        <w:rPr>
          <w:b/>
          <w:color w:val="003CA0"/>
          <w:sz w:val="16"/>
        </w:rPr>
        <w:t>[HC 82.839, rel. min. Carlos Velloso, j. 17-6-2003, 2ª T, DJ de 22-8-2003.]</w:t>
      </w:r>
    </w:p>
    <w:p>
      <w:pPr>
        <w:ind w:left="288"/>
      </w:pPr>
      <w:r>
        <w:rPr>
          <w:color w:val="8C8C8C"/>
          <w:sz w:val="12"/>
        </w:rPr>
        <w:t>cf-art-5-inc-L</w:t>
      </w:r>
      <w:r>
        <w:rPr>
          <w:color w:val="003CA0"/>
          <w:sz w:val="12"/>
        </w:rPr>
        <w:t xml:space="preserve"> | HC 117.229</w:t>
      </w:r>
      <w:r>
        <w:rPr>
          <w:color w:val="003CA0"/>
          <w:sz w:val="12"/>
        </w:rPr>
        <w:t xml:space="preserve"> | rel. Marco Aurélio</w:t>
      </w:r>
    </w:p>
    <w:p>
      <w:pPr>
        <w:ind w:left="288"/>
      </w:pPr>
      <w:r>
        <w:rPr>
          <w:color w:val="1E1E1E"/>
          <w:sz w:val="18"/>
        </w:rPr>
        <w:t>= HC 117.229 AgR, rel. min. Marco Aurélio, j. 18-2-2014, 1ª T, DJE de 20-3-2014 Como observam os doutrinadores: "A Lei 9.268, de 1º-4-1996 (DO de 2-4-1996), deu nova redação ao caput do art. 51 do CP e revogou os  §§ 1º e 2º, não mais existindo as anteriores conversão da multa em detenção e revogação da conversão. Essa alteração foi salutar, tendo em vista que a antiga conversão da multa em detenção correspondia, ainda que disfarçadamente, à verdadeira prisão por dívida (...)".</w:t>
      </w:r>
    </w:p>
    <w:p>
      <w:pPr>
        <w:ind w:left="288"/>
      </w:pPr>
      <w:r>
        <w:rPr>
          <w:b/>
          <w:color w:val="003CA0"/>
          <w:sz w:val="16"/>
        </w:rPr>
        <w:t>[HC 81.480 AgR, rel. min. Sydney Sanches, j. 5-2-2002, 1ª T, DJ de 5-4-2002.]</w:t>
      </w:r>
    </w:p>
    <w:p>
      <w:pPr>
        <w:ind w:left="288"/>
      </w:pPr>
      <w:r>
        <w:rPr>
          <w:color w:val="8C8C8C"/>
          <w:sz w:val="12"/>
        </w:rPr>
        <w:t>cf-art-5-inc-L</w:t>
      </w:r>
      <w:r>
        <w:rPr>
          <w:color w:val="003CA0"/>
          <w:sz w:val="12"/>
        </w:rPr>
        <w:t xml:space="preserve"> | HC 83.238</w:t>
      </w:r>
      <w:r>
        <w:rPr>
          <w:color w:val="003CA0"/>
          <w:sz w:val="12"/>
        </w:rPr>
        <w:t xml:space="preserve"> | rel. Celso de Mello</w:t>
      </w:r>
    </w:p>
    <w:p>
      <w:pPr>
        <w:ind w:left="288"/>
      </w:pPr>
      <w:r>
        <w:rPr>
          <w:color w:val="1E1E1E"/>
          <w:sz w:val="18"/>
        </w:rPr>
        <w:t>= HC 83.238, rel. min. Celso de Mello, j. 25-11-2003, 2ª T, DJE de 24-4-2009 LXVIII - conceder-se-á habeas corpus sempre que alguém sofrer ou se achar ameaçado de sofrer violência ou coação em sua liberdade de locomoção, por ilegalidade ou abuso de poder; Não cabe habeas corpus quando já extinta a pena privativa de liberdade.</w:t>
      </w:r>
    </w:p>
    <w:p>
      <w:pPr>
        <w:ind w:left="288"/>
      </w:pPr>
      <w:r>
        <w:rPr>
          <w:b/>
          <w:color w:val="003CA0"/>
          <w:sz w:val="16"/>
        </w:rPr>
        <w:t>[Súmula 695.]</w:t>
      </w:r>
    </w:p>
    <w:p>
      <w:pPr>
        <w:ind w:left="288"/>
      </w:pPr>
      <w:r>
        <w:rPr>
          <w:color w:val="8C8C8C"/>
          <w:sz w:val="12"/>
        </w:rPr>
        <w:t>cf-art-5-inc-L</w:t>
      </w:r>
    </w:p>
    <w:p>
      <w:pPr>
        <w:ind w:left="288"/>
      </w:pPr>
      <w:r>
        <w:rPr>
          <w:color w:val="1E1E1E"/>
          <w:sz w:val="18"/>
        </w:rPr>
        <w:t>Não cabe habeas corpus contra a imposição da pena de exclusão de militar ou de perda de patente ou de função pública.</w:t>
      </w:r>
    </w:p>
    <w:p>
      <w:pPr>
        <w:ind w:left="288"/>
      </w:pPr>
      <w:r>
        <w:rPr>
          <w:b/>
          <w:color w:val="003CA0"/>
          <w:sz w:val="16"/>
        </w:rPr>
        <w:t>[Súmula 694.]</w:t>
      </w:r>
    </w:p>
    <w:p>
      <w:pPr>
        <w:ind w:left="288"/>
      </w:pPr>
      <w:r>
        <w:rPr>
          <w:color w:val="8C8C8C"/>
          <w:sz w:val="12"/>
        </w:rPr>
        <w:t>cf-art-5-inc-L</w:t>
      </w:r>
    </w:p>
    <w:p>
      <w:pPr>
        <w:ind w:left="288"/>
      </w:pPr>
      <w:r>
        <w:rPr>
          <w:color w:val="1E1E1E"/>
          <w:sz w:val="18"/>
        </w:rPr>
        <w:t>Não cabe habeas corpus contra decisão condenatória a pena de multa, ou relativo a processo em curso por infração penal a que a pena pecuniária seja a única cominada.</w:t>
      </w:r>
    </w:p>
    <w:p>
      <w:pPr>
        <w:ind w:left="288"/>
      </w:pPr>
      <w:r>
        <w:rPr>
          <w:b/>
          <w:color w:val="003CA0"/>
          <w:sz w:val="16"/>
        </w:rPr>
        <w:t>[Súmula 693.]</w:t>
      </w:r>
    </w:p>
    <w:p>
      <w:pPr>
        <w:ind w:left="288"/>
      </w:pPr>
      <w:r>
        <w:rPr>
          <w:color w:val="8C8C8C"/>
          <w:sz w:val="12"/>
        </w:rPr>
        <w:t>cf-art-5-inc-L</w:t>
      </w:r>
    </w:p>
    <w:p>
      <w:pPr>
        <w:ind w:left="288"/>
      </w:pPr>
      <w:r>
        <w:rPr>
          <w:color w:val="1E1E1E"/>
          <w:sz w:val="18"/>
        </w:rPr>
        <w:t>Não se conhece de habeas corpus contra omissão de relator de extradição, se fundado em fato ou direito estrangeiro cuja prova não constava dos autos, nem foi ele provocado a respeito.</w:t>
      </w:r>
    </w:p>
    <w:p>
      <w:pPr>
        <w:ind w:left="288"/>
      </w:pPr>
      <w:r>
        <w:rPr>
          <w:b/>
          <w:color w:val="003CA0"/>
          <w:sz w:val="16"/>
        </w:rPr>
        <w:t>[Súmula 692.]</w:t>
      </w:r>
    </w:p>
    <w:p>
      <w:pPr>
        <w:ind w:left="288"/>
      </w:pPr>
      <w:r>
        <w:rPr>
          <w:color w:val="8C8C8C"/>
          <w:sz w:val="12"/>
        </w:rPr>
        <w:t>cf-art-5-inc-L</w:t>
      </w:r>
    </w:p>
    <w:p>
      <w:pPr>
        <w:ind w:left="288"/>
      </w:pPr>
      <w:r>
        <w:rPr>
          <w:color w:val="1E1E1E"/>
          <w:sz w:val="18"/>
        </w:rPr>
        <w:t>Não se conhece de recurso de habeas corpus cujo objeto seja resolver sobre o ônus das custas, por não estar mais em causa a liberdade de locomoção.</w:t>
      </w:r>
    </w:p>
    <w:p>
      <w:pPr>
        <w:ind w:left="288"/>
      </w:pPr>
      <w:r>
        <w:rPr>
          <w:b/>
          <w:color w:val="003CA0"/>
          <w:sz w:val="16"/>
        </w:rPr>
        <w:t>[Súmula 395.]</w:t>
      </w:r>
    </w:p>
    <w:p>
      <w:pPr>
        <w:ind w:left="288"/>
      </w:pPr>
      <w:r>
        <w:rPr>
          <w:color w:val="8C8C8C"/>
          <w:sz w:val="12"/>
        </w:rPr>
        <w:t>cf-art-5-inc-L</w:t>
      </w:r>
      <w:r>
        <w:rPr>
          <w:color w:val="003CA0"/>
          <w:sz w:val="12"/>
        </w:rPr>
        <w:t xml:space="preserve"> | HC 216.917</w:t>
      </w:r>
      <w:r>
        <w:rPr>
          <w:color w:val="003CA0"/>
          <w:sz w:val="12"/>
        </w:rPr>
        <w:t xml:space="preserve"> | rel. André Mendonça</w:t>
      </w:r>
    </w:p>
    <w:p>
      <w:pPr>
        <w:ind w:left="288"/>
      </w:pPr>
      <w:r>
        <w:rPr>
          <w:color w:val="1E1E1E"/>
          <w:sz w:val="18"/>
        </w:rPr>
        <w:t>A demora exacerbada para emissão de visto às menores haitianas viola, na via direta, o direito de entrada no país (liberdade de locomoção) e, de maneira indireta, os direitos do imigrante à reunião familiar e à acolhida humanitária, bem assim colide com a proteção conferida pelo arcabouço normativo pátrio à família e, com absoluta prioridade, às crianças e aos adolescentes (Arts. 1º, inc. III, 4º, incs. II e IX, 226 e 227, da CRFB; e arts. 3º, incs. I, VI, VIII, XII, XV, XVII, XVIII, e 4º, incs. I e III, da Lei nº 13.445, de 2017).</w:t>
      </w:r>
    </w:p>
    <w:p>
      <w:pPr>
        <w:ind w:left="288"/>
      </w:pPr>
      <w:r>
        <w:rPr>
          <w:b/>
          <w:color w:val="003CA0"/>
          <w:sz w:val="16"/>
        </w:rPr>
        <w:t>[HC 216.917, rel. min. André Mendonça, j. 8-10-2022, 2ª T, DJE de 11-11-2022.]</w:t>
      </w:r>
    </w:p>
    <w:p>
      <w:pPr>
        <w:ind w:left="288"/>
      </w:pPr>
      <w:r>
        <w:rPr>
          <w:color w:val="8C8C8C"/>
          <w:sz w:val="12"/>
        </w:rPr>
        <w:t>cf-art-5-inc-L</w:t>
      </w:r>
      <w:r>
        <w:rPr>
          <w:color w:val="003CA0"/>
          <w:sz w:val="12"/>
        </w:rPr>
        <w:t xml:space="preserve"> | HC 109.956</w:t>
      </w:r>
      <w:r>
        <w:rPr>
          <w:color w:val="003CA0"/>
          <w:sz w:val="12"/>
        </w:rPr>
        <w:t xml:space="preserve"> | rel. Marco Aurélio</w:t>
      </w:r>
    </w:p>
    <w:p>
      <w:pPr>
        <w:ind w:left="288"/>
      </w:pPr>
      <w:r>
        <w:rPr>
          <w:color w:val="1E1E1E"/>
          <w:sz w:val="18"/>
        </w:rPr>
        <w:t>Habeas corpus. Julgamento por tribunal superior. Impugnação. A teor do disposto no art. 102, II, a, da CF, contra decisão, proferida em processo revelador de habeas corpus, a implicar a não concessão da ordem, cabível é o recurso ordinário. Evolução quanto à admissibilidade do substitutivo do habeas corpus.</w:t>
      </w:r>
    </w:p>
    <w:p>
      <w:pPr>
        <w:ind w:left="288"/>
      </w:pPr>
      <w:r>
        <w:rPr>
          <w:b/>
          <w:color w:val="003CA0"/>
          <w:sz w:val="16"/>
        </w:rPr>
        <w:t>[HC 109.956, rel. min. Marco Aurélio, j. 7-8-2012, 1ª T, DJE de 11-9-2012.]</w:t>
      </w:r>
    </w:p>
    <w:p>
      <w:pPr>
        <w:ind w:left="288"/>
      </w:pPr>
      <w:r>
        <w:rPr>
          <w:color w:val="8C8C8C"/>
          <w:sz w:val="12"/>
        </w:rPr>
        <w:t>cf-art-5-inc-L</w:t>
      </w:r>
      <w:r>
        <w:rPr>
          <w:color w:val="003CA0"/>
          <w:sz w:val="12"/>
        </w:rPr>
        <w:t xml:space="preserve"> | HC 115.168</w:t>
      </w:r>
      <w:r>
        <w:rPr>
          <w:color w:val="003CA0"/>
          <w:sz w:val="12"/>
        </w:rPr>
        <w:t xml:space="preserve"> | rel. Marco Aurélio</w:t>
      </w:r>
    </w:p>
    <w:p>
      <w:pPr>
        <w:ind w:left="288"/>
      </w:pPr>
      <w:r>
        <w:rPr>
          <w:color w:val="1E1E1E"/>
          <w:sz w:val="18"/>
        </w:rPr>
        <w:t>Vide HC 115.168, rel. min. Marco Aurélio, j. 21-5-2013, 1ª T, DJE de 17-6-2013 Vide RHC 94.271, rel. min. Cármen Lúcia, j. 14-10-2008, 1ª T, DJE de 20-2-2009 Vide HC 91.570, rel. min. Marco Aurélio, j. 19-8-2008, 1ª T, DJE de 24-10-2008 A jurisprudência da Segunda Turma do Supremo Tribunal Federal consolidou-se no sentido de possibilitar a impetração de habeas corpus coletivo, notadamente nos casos em que se busca a tutela jurisdicional coletiva de direitos individuais homogêneos, sendo irrelevante, para esse efeito, a circunstância de inexistir previsão constitucional a respeito.</w:t>
      </w:r>
    </w:p>
    <w:p>
      <w:pPr>
        <w:ind w:left="288"/>
      </w:pPr>
      <w:r>
        <w:rPr>
          <w:b/>
          <w:color w:val="003CA0"/>
          <w:sz w:val="16"/>
        </w:rPr>
        <w:t>[HC 172.136, rel. min. Nunes Marques, j. 10-10-2020, 2ª T, DJE de 1º-12-2020.]</w:t>
      </w:r>
    </w:p>
    <w:p>
      <w:pPr>
        <w:ind w:left="288"/>
      </w:pPr>
      <w:r>
        <w:rPr>
          <w:color w:val="8C8C8C"/>
          <w:sz w:val="12"/>
        </w:rPr>
        <w:t>cf-art-5-inc-L</w:t>
      </w:r>
      <w:r>
        <w:rPr>
          <w:color w:val="003CA0"/>
          <w:sz w:val="12"/>
        </w:rPr>
        <w:t xml:space="preserve"> | HC 129.129</w:t>
      </w:r>
      <w:r>
        <w:rPr>
          <w:color w:val="003CA0"/>
          <w:sz w:val="12"/>
        </w:rPr>
        <w:t xml:space="preserve"> | rel. Cármen Lúcia</w:t>
      </w:r>
    </w:p>
    <w:p>
      <w:pPr>
        <w:ind w:left="288"/>
      </w:pPr>
      <w:r>
        <w:rPr>
          <w:color w:val="1E1E1E"/>
          <w:sz w:val="18"/>
        </w:rPr>
        <w:t>Este Supremo Tribunal reconhece o direito ao ingresso nos recintos reservados ao público na Câmara dos Deputados, respeitada a legislação vigente, incluída aquela pela qual assegurado o dever-poder dos deputados de atuarem livremente nas discussões e votações das matérias sujeitas a deliberação.</w:t>
      </w:r>
    </w:p>
    <w:p>
      <w:pPr>
        <w:ind w:left="288"/>
      </w:pPr>
      <w:r>
        <w:rPr>
          <w:b/>
          <w:color w:val="003CA0"/>
          <w:sz w:val="16"/>
        </w:rPr>
        <w:t>[HC 129.129, rel. min. Cármen Lúcia, 2ª. T, j. em 17-10-2019, DJE de 25-11-2019]</w:t>
      </w:r>
    </w:p>
    <w:p>
      <w:pPr>
        <w:ind w:left="288"/>
      </w:pPr>
      <w:r>
        <w:rPr>
          <w:color w:val="8C8C8C"/>
          <w:sz w:val="12"/>
        </w:rPr>
        <w:t>cf-art-5-inc-L</w:t>
      </w:r>
      <w:r>
        <w:rPr>
          <w:color w:val="003CA0"/>
          <w:sz w:val="12"/>
        </w:rPr>
        <w:t xml:space="preserve"> | HC 145.118</w:t>
      </w:r>
      <w:r>
        <w:rPr>
          <w:color w:val="003CA0"/>
          <w:sz w:val="12"/>
        </w:rPr>
        <w:t xml:space="preserve"> | rel. Dias Toffoli</w:t>
      </w:r>
    </w:p>
    <w:p>
      <w:pPr>
        <w:ind w:left="288"/>
      </w:pPr>
      <w:r>
        <w:rPr>
          <w:color w:val="1E1E1E"/>
          <w:sz w:val="18"/>
        </w:rPr>
        <w:t>Execução penal. Discussão a respeito da legalidade da proibição de visita a paciente preso. Meio inidôneo para questionar sua legalidade. Inexistência de efetiva restrição a seu status libertatis. (...) O habeas corpus não constitui meio idôneo para se discutir a legalidade da proibição de visita a paciente preso, por inexistência de efetiva restrição a seu status libertatis.</w:t>
      </w:r>
    </w:p>
    <w:p>
      <w:pPr>
        <w:ind w:left="288"/>
      </w:pPr>
      <w:r>
        <w:rPr>
          <w:b/>
          <w:color w:val="003CA0"/>
          <w:sz w:val="16"/>
        </w:rPr>
        <w:t>[HC 145.118 AgR, rel. min. Dias Toffoli, j. 6-10-2017, 2ª T, DJE de 26-10-2017.]</w:t>
      </w:r>
    </w:p>
    <w:p>
      <w:pPr>
        <w:ind w:left="288"/>
      </w:pPr>
      <w:r>
        <w:rPr>
          <w:color w:val="8C8C8C"/>
          <w:sz w:val="12"/>
        </w:rPr>
        <w:t>cf-art-5-inc-L</w:t>
      </w:r>
      <w:r>
        <w:rPr>
          <w:color w:val="003CA0"/>
          <w:sz w:val="12"/>
        </w:rPr>
        <w:t xml:space="preserve"> | HC 107.701</w:t>
      </w:r>
      <w:r>
        <w:rPr>
          <w:color w:val="003CA0"/>
          <w:sz w:val="12"/>
        </w:rPr>
        <w:t xml:space="preserve"> | rel. Gilmar Mendes</w:t>
      </w:r>
    </w:p>
    <w:p>
      <w:pPr>
        <w:ind w:left="288"/>
      </w:pPr>
      <w:r>
        <w:rPr>
          <w:color w:val="1E1E1E"/>
          <w:sz w:val="18"/>
        </w:rPr>
        <w:t>= HC 107.701, rel. min. Gilmar Mendes, j. 13-9-2011, 2ª T, DJE de 26-3-2012 (...) a parte se insurge contra erro no sistema de peticionamento desta Corte Suprema, porquanto manejou recurso ordinário contra decisão proferida por ministro do STF em sede de habeas corpus. No entanto, tal fato não é apto a ensejar a impetração de novo habeas corpus neste Tribunal, uma vez que eventuais erros de sistema ou administrativos devem ser solucionados diretamente com o setor responsável.</w:t>
      </w:r>
    </w:p>
    <w:p>
      <w:pPr>
        <w:ind w:left="288"/>
      </w:pPr>
      <w:r>
        <w:rPr>
          <w:b/>
          <w:color w:val="003CA0"/>
          <w:sz w:val="16"/>
        </w:rPr>
        <w:t>[HC 121.579 AgR, voto do rel. min. Gilmar Mendes, j. 29-4-2014, 2ª T, DJE de 13-5-2014.]</w:t>
      </w:r>
    </w:p>
    <w:p>
      <w:pPr>
        <w:ind w:left="288"/>
      </w:pPr>
      <w:r>
        <w:rPr>
          <w:color w:val="8C8C8C"/>
          <w:sz w:val="12"/>
        </w:rPr>
        <w:t>cf-art-5-inc-L</w:t>
      </w:r>
      <w:r>
        <w:rPr>
          <w:color w:val="003CA0"/>
          <w:sz w:val="12"/>
        </w:rPr>
        <w:t xml:space="preserve"> | HC 81.681</w:t>
      </w:r>
      <w:r>
        <w:rPr>
          <w:color w:val="003CA0"/>
          <w:sz w:val="12"/>
        </w:rPr>
        <w:t xml:space="preserve"> | rel. Néri da Silveira</w:t>
      </w:r>
    </w:p>
    <w:p>
      <w:pPr>
        <w:ind w:left="288"/>
      </w:pPr>
      <w:r>
        <w:rPr>
          <w:color w:val="1E1E1E"/>
          <w:sz w:val="18"/>
        </w:rPr>
        <w:t>Agravo regimental em habeas corpus. Decisão impugnada que negou seguimento ao writ, ao fundamento de que a via eleita não se mostra adequada ao intento perseguido, ou seja, sanar eventual inconformismo com sentença desfavorável em disputa de guarda de menor. "O habeas corpus não é sucedâneo de recurso cabível, não sendo, por esse meio, de pretender-se a solução de questão relativa à guarda de filhos" (HC 81.681/RS, rel. min. Néri da Silveira, DJ de 29-8-2003).</w:t>
      </w:r>
    </w:p>
    <w:p>
      <w:pPr>
        <w:ind w:left="288"/>
      </w:pPr>
      <w:r>
        <w:rPr>
          <w:b/>
          <w:color w:val="003CA0"/>
          <w:sz w:val="16"/>
        </w:rPr>
        <w:t>[HC 99.945 AgR, red. do ac. min. Gilmar Mendes, j. 7-2-2013, P, DJE de 21-2-2014.]</w:t>
      </w:r>
    </w:p>
    <w:p>
      <w:pPr>
        <w:ind w:left="288"/>
      </w:pPr>
      <w:r>
        <w:rPr>
          <w:color w:val="8C8C8C"/>
          <w:sz w:val="12"/>
        </w:rPr>
        <w:t>cf-art-5-inc-L</w:t>
      </w:r>
      <w:r>
        <w:rPr>
          <w:color w:val="003CA0"/>
          <w:sz w:val="12"/>
        </w:rPr>
        <w:t xml:space="preserve"> | HC 99.369</w:t>
      </w:r>
      <w:r>
        <w:rPr>
          <w:color w:val="003CA0"/>
          <w:sz w:val="12"/>
        </w:rPr>
        <w:t xml:space="preserve"> | rel. Cezar Peluso</w:t>
      </w:r>
    </w:p>
    <w:p>
      <w:pPr>
        <w:ind w:left="288"/>
      </w:pPr>
      <w:r>
        <w:rPr>
          <w:color w:val="1E1E1E"/>
          <w:sz w:val="18"/>
        </w:rPr>
        <w:t>Vide HC 99.369 AgR, rel. min. Cezar Peluso, j. 18-8-2009, 2ª T, DJE de 16-10-2009 O habeas corpus não é o meio adequado para impugnar ato alusivo a sequestro de bens móveis e imóveis bem como a bloqueio de valores.</w:t>
      </w:r>
    </w:p>
    <w:p>
      <w:pPr>
        <w:ind w:left="288"/>
      </w:pPr>
      <w:r>
        <w:rPr>
          <w:b/>
          <w:color w:val="003CA0"/>
          <w:sz w:val="16"/>
        </w:rPr>
        <w:t>[HC 103.823, rel. min. Marco Aurélio, j. 3-4-2012, 1ª T, DJE de 26-4-2012.]</w:t>
      </w:r>
    </w:p>
    <w:p>
      <w:pPr>
        <w:ind w:left="288"/>
      </w:pPr>
      <w:r>
        <w:rPr>
          <w:color w:val="8C8C8C"/>
          <w:sz w:val="12"/>
        </w:rPr>
        <w:t>cf-art-5-inc-L</w:t>
      </w:r>
      <w:r>
        <w:rPr>
          <w:color w:val="003CA0"/>
          <w:sz w:val="12"/>
        </w:rPr>
        <w:t xml:space="preserve"> | HC 99.619</w:t>
      </w:r>
    </w:p>
    <w:p>
      <w:pPr>
        <w:ind w:left="288"/>
      </w:pPr>
      <w:r>
        <w:rPr>
          <w:color w:val="1E1E1E"/>
          <w:sz w:val="18"/>
        </w:rPr>
        <w:t>O habeas corpus, garantia de liberdade de locomoção, não se presta para discutir confisco criminal de bem.</w:t>
      </w:r>
    </w:p>
    <w:p>
      <w:pPr>
        <w:ind w:left="288"/>
      </w:pPr>
      <w:r>
        <w:rPr>
          <w:b/>
          <w:color w:val="003CA0"/>
          <w:sz w:val="16"/>
        </w:rPr>
        <w:t>[HC 99.619, red. do ac. min. Rosa Weber, j. 14-2-2012, 1ª T, DJE de 22-3-2012.]</w:t>
      </w:r>
    </w:p>
    <w:p>
      <w:pPr>
        <w:ind w:left="288"/>
      </w:pPr>
      <w:r>
        <w:rPr>
          <w:color w:val="8C8C8C"/>
          <w:sz w:val="12"/>
        </w:rPr>
        <w:t>cf-art-5-inc-L</w:t>
      </w:r>
      <w:r>
        <w:rPr>
          <w:color w:val="003CA0"/>
          <w:sz w:val="12"/>
        </w:rPr>
        <w:t xml:space="preserve"> | HC 106.124</w:t>
      </w:r>
      <w:r>
        <w:rPr>
          <w:color w:val="003CA0"/>
          <w:sz w:val="12"/>
        </w:rPr>
        <w:t xml:space="preserve"> | rel. Celso de Mello</w:t>
      </w:r>
    </w:p>
    <w:p>
      <w:pPr>
        <w:ind w:left="288"/>
      </w:pPr>
      <w:r>
        <w:rPr>
          <w:color w:val="1E1E1E"/>
          <w:sz w:val="18"/>
        </w:rPr>
        <w:t>Inviável, em nosso sistema normativo, o arquivamento ex officio, por iniciativa do Poder Judiciário, de peças informativas e/ou de inquéritos policiais, pois, tratando-se de delitos perseguíveis mediante ação penal pública, a proposta de arquivamento só pode emanar, legítima e exclusivamente, do próprio Ministério Público. (...) Essa prerrogativa do Parquet, contudo, não impede que o magistrado, se eventualmente vislumbrar ausente a tipicidade penal dos fatos investigados, reconheça caracterizada situação de injusto constrangimento, tornando-se consequentemente lícita a concessão ex officio de</w:t>
      </w:r>
    </w:p>
    <w:p>
      <w:pPr>
        <w:ind w:left="288"/>
      </w:pPr>
      <w:r>
        <w:rPr>
          <w:b/>
          <w:color w:val="003CA0"/>
          <w:sz w:val="16"/>
        </w:rPr>
        <w:t>[HC 106.124, rel. min. Celso de Mello, j. 22-11-2011, 2ª T, DJE de 11-9-2013.]</w:t>
      </w:r>
    </w:p>
    <w:p>
      <w:pPr>
        <w:ind w:left="288"/>
      </w:pPr>
      <w:r>
        <w:rPr>
          <w:color w:val="8C8C8C"/>
          <w:sz w:val="12"/>
        </w:rPr>
        <w:t>cf-art-5-inc-L</w:t>
      </w:r>
      <w:r>
        <w:rPr>
          <w:color w:val="003CA0"/>
          <w:sz w:val="12"/>
        </w:rPr>
        <w:t xml:space="preserve"> | HC 99.829</w:t>
      </w:r>
      <w:r>
        <w:rPr>
          <w:color w:val="003CA0"/>
          <w:sz w:val="12"/>
        </w:rPr>
        <w:t xml:space="preserve"> | rel. Gilmar Mendes</w:t>
      </w:r>
    </w:p>
    <w:p>
      <w:pPr>
        <w:ind w:left="288"/>
      </w:pPr>
      <w:r>
        <w:rPr>
          <w:color w:val="1E1E1E"/>
          <w:sz w:val="18"/>
        </w:rPr>
        <w:t>O afastamento ou a perda do cargo de juiz federal não são ofensas atacáveis por habeas corpus.</w:t>
      </w:r>
    </w:p>
    <w:p>
      <w:pPr>
        <w:ind w:left="288"/>
      </w:pPr>
      <w:r>
        <w:rPr>
          <w:b/>
          <w:color w:val="003CA0"/>
          <w:sz w:val="16"/>
        </w:rPr>
        <w:t>[HC 99.829, rel. min. Gilmar Mendes, j. 27-9-2011, 2ª T, DJE de 21-11-2011.]</w:t>
      </w:r>
    </w:p>
    <w:p>
      <w:pPr>
        <w:ind w:left="288"/>
      </w:pPr>
      <w:r>
        <w:rPr>
          <w:color w:val="8C8C8C"/>
          <w:sz w:val="12"/>
        </w:rPr>
        <w:t>cf-art-5-inc-L</w:t>
      </w:r>
      <w:r>
        <w:rPr>
          <w:color w:val="003CA0"/>
          <w:sz w:val="12"/>
        </w:rPr>
        <w:t xml:space="preserve"> | HC 110.537</w:t>
      </w:r>
      <w:r>
        <w:rPr>
          <w:color w:val="003CA0"/>
          <w:sz w:val="12"/>
        </w:rPr>
        <w:t xml:space="preserve"> | rel. Roberto Barroso</w:t>
      </w:r>
    </w:p>
    <w:p>
      <w:pPr>
        <w:ind w:left="288"/>
      </w:pPr>
      <w:r>
        <w:rPr>
          <w:color w:val="1E1E1E"/>
          <w:sz w:val="18"/>
        </w:rPr>
        <w:t>= HC 110.537 AgR, rel. min. Roberto Barroso, j. 22-10-2013, 1ª T, DJE de 18-11-2013 Vide HC 95.496, rel. min. Cezar Peluso, j. 10-3-2009, 2ª T, DJE de 17-4-2009 Direito do paciente, preso há quase dez anos, de receber a visita de seus dois filhos e três enteados. Cognoscibilidade. Possibilidade. Liberdade de locomoção entendida de forma ampla, afetando toda e qualquer medida de autoridade que possa em tese acarretar constrangimento da liberdade de ir e vir. (...) Direito de visitas como desdobramento do direito de liberdade. Só há se falar em direito de visitas porque a liberdade do apenado en</w:t>
      </w:r>
    </w:p>
    <w:p>
      <w:pPr>
        <w:ind w:left="288"/>
      </w:pPr>
      <w:r>
        <w:rPr>
          <w:b/>
          <w:color w:val="003CA0"/>
          <w:sz w:val="16"/>
        </w:rPr>
        <w:t>[HC 107.701, rel. min. Gilmar Mendes, j. 13-9-2011, 2ª T, DJE de 26-3-2012.]</w:t>
      </w:r>
    </w:p>
    <w:p>
      <w:pPr>
        <w:ind w:left="288"/>
      </w:pPr>
      <w:r>
        <w:rPr>
          <w:color w:val="8C8C8C"/>
          <w:sz w:val="12"/>
        </w:rPr>
        <w:t>cf-art-5-inc-L</w:t>
      </w:r>
      <w:r>
        <w:rPr>
          <w:color w:val="003CA0"/>
          <w:sz w:val="12"/>
        </w:rPr>
        <w:t xml:space="preserve"> | HC 145.118</w:t>
      </w:r>
      <w:r>
        <w:rPr>
          <w:color w:val="003CA0"/>
          <w:sz w:val="12"/>
        </w:rPr>
        <w:t xml:space="preserve"> | rel. Dias Toffoli</w:t>
      </w:r>
    </w:p>
    <w:p>
      <w:pPr>
        <w:ind w:left="288"/>
      </w:pPr>
      <w:r>
        <w:rPr>
          <w:color w:val="1E1E1E"/>
          <w:sz w:val="18"/>
        </w:rPr>
        <w:t>= HC 145.118 AgR, rel. min. Dias Toffoli, j. 6-10-2017, 2ª T, DJE de 26-10-2017 O habeas corpus é garantia constitucional que pressupõe, para o seu adequado manejo, uma ilegalidade ou um abuso de poder tão flagrante que se revele de plano (inciso LXVIII do art. 5º da Magna Carta de 1988). Tal qual o mandado de segurança, a ação constitucional de habeas corpus é via processual de verdadeiro atalho. Isso no pressuposto do seu adequado ajuizamento, a se dar quando a petição inicial já vem aparelhada com material probatório que se revele, ao menos num primeiro exame, induvidoso quanto à sua fatici</w:t>
      </w:r>
    </w:p>
    <w:p>
      <w:pPr>
        <w:ind w:left="288"/>
      </w:pPr>
      <w:r>
        <w:rPr>
          <w:b/>
          <w:color w:val="003CA0"/>
          <w:sz w:val="16"/>
        </w:rPr>
        <w:t>[HC 96.787, rel. min. Ayres Britto, j. 31-5-2011, 2ª T, DJE de 21-11-2011.]</w:t>
      </w:r>
    </w:p>
    <w:p>
      <w:pPr>
        <w:ind w:left="288"/>
      </w:pPr>
      <w:r>
        <w:rPr>
          <w:color w:val="8C8C8C"/>
          <w:sz w:val="12"/>
        </w:rPr>
        <w:t>cf-art-5-inc-L</w:t>
      </w:r>
      <w:r>
        <w:rPr>
          <w:color w:val="003CA0"/>
          <w:sz w:val="12"/>
        </w:rPr>
        <w:t xml:space="preserve"> | HC 102.041</w:t>
      </w:r>
    </w:p>
    <w:p>
      <w:pPr>
        <w:ind w:left="288"/>
      </w:pPr>
      <w:r>
        <w:rPr>
          <w:color w:val="1E1E1E"/>
          <w:sz w:val="18"/>
        </w:rPr>
        <w:t>O acórdão ora embargado não afastou a possibilidade de utilização do remédio de habeas corpus, mesmo nas hipóteses de cooperação jurídica internacional (de que o auxílio direto constitui modalidade), desde que presentes, no entanto, quanto ao writ constitucional, os requisitos de sua admissibilidade (...).</w:t>
      </w:r>
    </w:p>
    <w:p>
      <w:pPr>
        <w:ind w:left="288"/>
      </w:pPr>
      <w:r>
        <w:rPr>
          <w:b/>
          <w:color w:val="003CA0"/>
          <w:sz w:val="16"/>
        </w:rPr>
        <w:t>[HC 102.041 ED, voto do min. Celso de Mello, j. 15-2-2011, 2ª T, DJE de 8-3-2013.]</w:t>
      </w:r>
    </w:p>
    <w:p>
      <w:pPr>
        <w:ind w:left="288"/>
      </w:pPr>
      <w:r>
        <w:rPr>
          <w:color w:val="8C8C8C"/>
          <w:sz w:val="12"/>
        </w:rPr>
        <w:t>cf-art-5-inc-L</w:t>
      </w:r>
      <w:r>
        <w:rPr>
          <w:color w:val="003CA0"/>
          <w:sz w:val="12"/>
        </w:rPr>
        <w:t xml:space="preserve"> | HC 94.016</w:t>
      </w:r>
      <w:r>
        <w:rPr>
          <w:color w:val="003CA0"/>
          <w:sz w:val="12"/>
        </w:rPr>
        <w:t xml:space="preserve"> | rel. Celso de Mello</w:t>
      </w:r>
    </w:p>
    <w:p>
      <w:pPr>
        <w:ind w:left="288"/>
      </w:pPr>
      <w:r>
        <w:rPr>
          <w:color w:val="1E1E1E"/>
          <w:sz w:val="18"/>
        </w:rPr>
        <w:t>Vide HC 94.016, rel. min. Celso de Mello, j. 16-9-2008, 2ª T, DJE de 27-2-2009 O habeas corpus não é instrumental próprio a questionar a sequência de processo administrativo.</w:t>
      </w:r>
    </w:p>
    <w:p>
      <w:pPr>
        <w:ind w:left="288"/>
      </w:pPr>
      <w:r>
        <w:rPr>
          <w:b/>
          <w:color w:val="003CA0"/>
          <w:sz w:val="16"/>
        </w:rPr>
        <w:t>[HC 100.664, rel. min. Marco Aurélio, j. 2-12-2010, 1ª T, DJE de 22-2-2011.]</w:t>
      </w:r>
    </w:p>
    <w:p>
      <w:pPr>
        <w:ind w:left="288"/>
      </w:pPr>
      <w:r>
        <w:rPr>
          <w:color w:val="8C8C8C"/>
          <w:sz w:val="12"/>
        </w:rPr>
        <w:t>cf-art-5-inc-L</w:t>
      </w:r>
      <w:r>
        <w:rPr>
          <w:color w:val="003CA0"/>
          <w:sz w:val="12"/>
        </w:rPr>
        <w:t xml:space="preserve"> | RHC 92.886</w:t>
      </w:r>
      <w:r>
        <w:rPr>
          <w:color w:val="003CA0"/>
          <w:sz w:val="12"/>
        </w:rPr>
        <w:t xml:space="preserve"> | rel. Joaquim Barbosa</w:t>
      </w:r>
    </w:p>
    <w:p>
      <w:pPr>
        <w:ind w:left="288"/>
      </w:pPr>
      <w:r>
        <w:rPr>
          <w:color w:val="1E1E1E"/>
          <w:sz w:val="18"/>
        </w:rPr>
        <w:t>O habeas corpus não se presta à revisão, em tese, do teor de súmulas da jurisprudência dos tribunais.</w:t>
      </w:r>
    </w:p>
    <w:p>
      <w:pPr>
        <w:ind w:left="288"/>
      </w:pPr>
      <w:r>
        <w:rPr>
          <w:b/>
          <w:color w:val="003CA0"/>
          <w:sz w:val="16"/>
        </w:rPr>
        <w:t>[RHC 92.886 AgR, rel. min. Joaquim Barbosa, j. 21-9-2010, 2ª T, DJE de 22-10-2010.]</w:t>
      </w:r>
    </w:p>
    <w:p>
      <w:pPr>
        <w:ind w:left="288"/>
      </w:pPr>
      <w:r>
        <w:rPr>
          <w:color w:val="8C8C8C"/>
          <w:sz w:val="12"/>
        </w:rPr>
        <w:t>cf-art-5-inc-L</w:t>
      </w:r>
      <w:r>
        <w:rPr>
          <w:color w:val="003CA0"/>
          <w:sz w:val="12"/>
        </w:rPr>
        <w:t xml:space="preserve"> | HC 91.716</w:t>
      </w:r>
      <w:r>
        <w:rPr>
          <w:color w:val="003CA0"/>
          <w:sz w:val="12"/>
        </w:rPr>
        <w:t xml:space="preserve"> | rel. Joaquim Barbosa</w:t>
      </w:r>
    </w:p>
    <w:p>
      <w:pPr>
        <w:ind w:left="288"/>
      </w:pPr>
      <w:r>
        <w:rPr>
          <w:color w:val="1E1E1E"/>
          <w:sz w:val="18"/>
        </w:rPr>
        <w:t>Decisão singular em recurso especial que, examinando o mérito da causa, deu parcial provimento (...). Insurgência do impetrante quanto à parte da decisão que negou provimento ao recurso com base no art. 557, § 1º-A, do CPC, e em conformidade com a jurisprudência consolidada no STJ. Ausência de ofensa ao princípio da colegialidade. Faculdade outorgada pela norma que possibilita ao relator dar provimento ao recurso quando a decisão recorrida estiver em manifesto confronto com súmula ou com jurisprudência dominante do Tribunal Superior. Ausência de ilegalidade a ser reparada por habeas corpus.</w:t>
      </w:r>
    </w:p>
    <w:p>
      <w:pPr>
        <w:ind w:left="288"/>
      </w:pPr>
      <w:r>
        <w:rPr>
          <w:b/>
          <w:color w:val="003CA0"/>
          <w:sz w:val="16"/>
        </w:rPr>
        <w:t>[HC 91.716, rel. min. Joaquim Barbosa, j. 31-8-2010, 2ª T, DJE de 1º-10-2010.]</w:t>
      </w:r>
    </w:p>
    <w:p>
      <w:pPr>
        <w:ind w:left="288"/>
      </w:pPr>
      <w:r>
        <w:rPr>
          <w:color w:val="8C8C8C"/>
          <w:sz w:val="12"/>
        </w:rPr>
        <w:t>cf-art-5-inc-L</w:t>
      </w:r>
      <w:r>
        <w:rPr>
          <w:color w:val="003CA0"/>
          <w:sz w:val="12"/>
        </w:rPr>
        <w:t xml:space="preserve"> | HC 84.486</w:t>
      </w:r>
      <w:r>
        <w:rPr>
          <w:color w:val="003CA0"/>
          <w:sz w:val="12"/>
        </w:rPr>
        <w:t xml:space="preserve"> | rel. Celso de Mello</w:t>
      </w:r>
    </w:p>
    <w:p>
      <w:pPr>
        <w:ind w:left="288"/>
      </w:pPr>
      <w:r>
        <w:rPr>
          <w:color w:val="1E1E1E"/>
          <w:sz w:val="18"/>
        </w:rPr>
        <w:t>Vide HC 84.486 AgR, rel. min. Celso de Mello, j. 1º-6-2010, 2ª T, DJE de 6-8-2010 Vide HC 93.401, rel. min. Ayres Britto, j. 16-9-2008, 1ª T, DJE de 31-10-2008 É possível a concessão de habeas corpus para a extinção de ação penal sempre que se constatar ou imputação de fato atípico, ou inexistência de qualquer elemento que demonstre a autoria do delito, ou extinção da punibilidade. (...) Nas palavras de Reale Júnior, tipicidade é a "congruência entre a ação concreta e o paradigma legal ou a configuração típica do injusto". Não preenchidos esses requisitos, inexiste justa causa para a instauraç</w:t>
      </w:r>
    </w:p>
    <w:p>
      <w:pPr>
        <w:ind w:left="288"/>
      </w:pPr>
      <w:r>
        <w:rPr>
          <w:b/>
          <w:color w:val="003CA0"/>
          <w:sz w:val="16"/>
        </w:rPr>
        <w:t>[HC 102.422, rel. min. Dias Toffoli, j. 10-6-2010, P, DJE de 14-9-2011.]</w:t>
      </w:r>
    </w:p>
    <w:p>
      <w:pPr>
        <w:ind w:left="288"/>
      </w:pPr>
      <w:r>
        <w:rPr>
          <w:color w:val="8C8C8C"/>
          <w:sz w:val="12"/>
        </w:rPr>
        <w:t>cf-art-5-inc-L</w:t>
      </w:r>
      <w:r>
        <w:rPr>
          <w:color w:val="003CA0"/>
          <w:sz w:val="12"/>
        </w:rPr>
        <w:t xml:space="preserve"> | HC 91.464</w:t>
      </w:r>
      <w:r>
        <w:rPr>
          <w:color w:val="003CA0"/>
          <w:sz w:val="12"/>
        </w:rPr>
        <w:t xml:space="preserve"> | rel. Cezar Peluso</w:t>
      </w:r>
    </w:p>
    <w:p>
      <w:pPr>
        <w:ind w:left="288"/>
      </w:pPr>
      <w:r>
        <w:rPr>
          <w:color w:val="1E1E1E"/>
          <w:sz w:val="18"/>
        </w:rPr>
        <w:t>= HC 91.464, rel. min. Cezar Peluso, j. 2-3-2010, 2ª T, DJE de 11-6-2010 Vide RHC 95.958, rel. min. Ricardo Lewandowski, j. 18-8-2009, 1ª T, DJE de 4-9-2009 Habeas corpus. Jurisprudência do STF consolidada quanto à matéria versada na impetração. Possibilidade, em tal hipótese, de o relator da causa decidir, monocraticamente, a controvérsia jurídica. Competência monocrática que o STF delegou, validamente, em sede regimental (RISTF, art. 192, caput, na redação dada pela Emenda Regimental 30/2009). Inocorrência de transgressão ao princípio da colegialidade. Plena legitimidade jurídica dessa deleg</w:t>
      </w:r>
    </w:p>
    <w:p>
      <w:pPr>
        <w:ind w:left="288"/>
      </w:pPr>
      <w:r>
        <w:rPr>
          <w:b/>
          <w:color w:val="003CA0"/>
          <w:sz w:val="16"/>
        </w:rPr>
        <w:t>[HC 84.486 AgR, rel. min. Celso de Mello, j. 1º-6-2010, 2ª T, DJE de 6-8-2010.]</w:t>
      </w:r>
    </w:p>
    <w:p>
      <w:pPr>
        <w:ind w:left="288"/>
      </w:pPr>
      <w:r>
        <w:rPr>
          <w:color w:val="8C8C8C"/>
          <w:sz w:val="12"/>
        </w:rPr>
        <w:t>cf-art-5-inc-L</w:t>
      </w:r>
      <w:r>
        <w:rPr>
          <w:color w:val="003CA0"/>
          <w:sz w:val="12"/>
        </w:rPr>
        <w:t xml:space="preserve"> | HC 91.716</w:t>
      </w:r>
      <w:r>
        <w:rPr>
          <w:color w:val="003CA0"/>
          <w:sz w:val="12"/>
        </w:rPr>
        <w:t xml:space="preserve"> | rel. Joaquim Barbosa</w:t>
      </w:r>
    </w:p>
    <w:p>
      <w:pPr>
        <w:ind w:left="288"/>
      </w:pPr>
      <w:r>
        <w:rPr>
          <w:color w:val="1E1E1E"/>
          <w:sz w:val="18"/>
        </w:rPr>
        <w:t>Vide HC 91.716, rel. min. Joaquim Barbosa, j. 31-8-2010, 2ª T, DJE de 1º-10-2010 Vide AI 684.893 AgR, rel. min. Ellen Gracie, j. 6-10-2009, 2ª T, DJE de 29-10-2009 Não é possível, na via do habeas corpus, fazer incursão sobre a correta tipificação dos fatos imputados ao paciente na ação penal.</w:t>
      </w:r>
    </w:p>
    <w:p>
      <w:pPr>
        <w:ind w:left="288"/>
      </w:pPr>
      <w:r>
        <w:rPr>
          <w:b/>
          <w:color w:val="003CA0"/>
          <w:sz w:val="16"/>
        </w:rPr>
        <w:t>[HC 99.417, rel. min. Ricardo Lewandowski, j. 1º-6-2010, 1ª T, DJE de 18-6-2010.]</w:t>
      </w:r>
    </w:p>
    <w:p>
      <w:pPr>
        <w:ind w:left="288"/>
      </w:pPr>
      <w:r>
        <w:rPr>
          <w:color w:val="8C8C8C"/>
          <w:sz w:val="12"/>
        </w:rPr>
        <w:t>cf-art-5-inc-L</w:t>
      </w:r>
      <w:r>
        <w:rPr>
          <w:color w:val="003CA0"/>
          <w:sz w:val="12"/>
        </w:rPr>
        <w:t xml:space="preserve"> | HC 101.918</w:t>
      </w:r>
      <w:r>
        <w:rPr>
          <w:color w:val="003CA0"/>
          <w:sz w:val="12"/>
        </w:rPr>
        <w:t xml:space="preserve"> | rel. Ricardo Lewandowski</w:t>
      </w:r>
    </w:p>
    <w:p>
      <w:pPr>
        <w:ind w:left="288"/>
      </w:pPr>
      <w:r>
        <w:rPr>
          <w:color w:val="1E1E1E"/>
          <w:sz w:val="18"/>
        </w:rPr>
        <w:t>O habeas corpus, ressalvadas hipóteses excepcionais, não pode servir para a correção da dosimetria da pena imposta pelo magistrado, mormente se observadas as determinações legais pertinentes ao sistema trifásico de cálculo.</w:t>
      </w:r>
    </w:p>
    <w:p>
      <w:pPr>
        <w:ind w:left="288"/>
      </w:pPr>
      <w:r>
        <w:rPr>
          <w:b/>
          <w:color w:val="003CA0"/>
          <w:sz w:val="16"/>
        </w:rPr>
        <w:t>[HC 101.918, rel. min. Ricardo Lewandowski, j. 11-5-2010, 1ª T, DJE de 4-6-2010.]</w:t>
      </w:r>
    </w:p>
    <w:p>
      <w:pPr>
        <w:ind w:left="288"/>
      </w:pPr>
      <w:r>
        <w:rPr>
          <w:color w:val="8C8C8C"/>
          <w:sz w:val="12"/>
        </w:rPr>
        <w:t>cf-art-5-inc-L</w:t>
      </w:r>
      <w:r>
        <w:rPr>
          <w:color w:val="003CA0"/>
          <w:sz w:val="12"/>
        </w:rPr>
        <w:t xml:space="preserve"> | HC 102.783</w:t>
      </w:r>
      <w:r>
        <w:rPr>
          <w:color w:val="003CA0"/>
          <w:sz w:val="12"/>
        </w:rPr>
        <w:t xml:space="preserve"> | rel. Cármen Lúcia</w:t>
      </w:r>
    </w:p>
    <w:p>
      <w:pPr>
        <w:ind w:left="288"/>
      </w:pPr>
      <w:r>
        <w:rPr>
          <w:color w:val="1E1E1E"/>
          <w:sz w:val="18"/>
        </w:rPr>
        <w:t>Não ofende o princípio da colegialidade a decisão de ministro relator do STJ que, constatando a reiteração de pedido com os mesmos fundamentos do anterior, nega seguimento ao segundo pedido por decisão monocrática. Aplicação do art. 210 do RISTJ. Possibilidade de recurso contra a decisão monocrática, fazendo com que os autos sejam levados a julgamento no órgão colegiado competente.</w:t>
      </w:r>
    </w:p>
    <w:p>
      <w:pPr>
        <w:ind w:left="288"/>
      </w:pPr>
      <w:r>
        <w:rPr>
          <w:b/>
          <w:color w:val="003CA0"/>
          <w:sz w:val="16"/>
        </w:rPr>
        <w:t>[HC 102.783, rel. min. Cármen Lúcia, j. 4-5-2010, 1ª T, DJE de 28-5-2010.]</w:t>
      </w:r>
    </w:p>
    <w:p>
      <w:pPr>
        <w:ind w:left="288"/>
      </w:pPr>
      <w:r>
        <w:rPr>
          <w:color w:val="8C8C8C"/>
          <w:sz w:val="12"/>
        </w:rPr>
        <w:t>cf-art-5-inc-L</w:t>
      </w:r>
      <w:r>
        <w:rPr>
          <w:color w:val="003CA0"/>
          <w:sz w:val="12"/>
        </w:rPr>
        <w:t xml:space="preserve"> | HC 98.304</w:t>
      </w:r>
      <w:r>
        <w:rPr>
          <w:color w:val="003CA0"/>
          <w:sz w:val="12"/>
        </w:rPr>
        <w:t xml:space="preserve"> | rel. Cezar Peluso</w:t>
      </w:r>
    </w:p>
    <w:p>
      <w:pPr>
        <w:ind w:left="288"/>
      </w:pPr>
      <w:r>
        <w:rPr>
          <w:color w:val="1E1E1E"/>
          <w:sz w:val="18"/>
        </w:rPr>
        <w:t>= HC 98.304, rel. min. Cezar Peluso, j. 8-9-2009, 2ª T, DJE de 16-10-2009 = HC 93.401, rel. min. Ayres Britto, j. 16-9-2008, 1ª T, DJE de 31-10-2008 O habeas corpus, ademais, em que pese configurar remédio constitucional de largo espectro, não pode ser utilizado como sucedâneo da revisão criminal, salvo em situações nas quais se verifique flagrante nulidade processual, seja na sentença condenatória, seja no acórdão que a tenha confirmado.</w:t>
      </w:r>
    </w:p>
    <w:p>
      <w:pPr>
        <w:ind w:left="288"/>
      </w:pPr>
      <w:r>
        <w:rPr>
          <w:b/>
          <w:color w:val="003CA0"/>
          <w:sz w:val="16"/>
        </w:rPr>
        <w:t>[HC 101.542, rel. min. Ricardo Lewandowski, j. 4-5-2010, 1ª T, DJE de 28-5-2010.]</w:t>
      </w:r>
    </w:p>
    <w:p>
      <w:pPr>
        <w:ind w:left="288"/>
      </w:pPr>
      <w:r>
        <w:rPr>
          <w:color w:val="8C8C8C"/>
          <w:sz w:val="12"/>
        </w:rPr>
        <w:t>cf-art-5-inc-L</w:t>
      </w:r>
      <w:r>
        <w:rPr>
          <w:color w:val="003CA0"/>
          <w:sz w:val="12"/>
        </w:rPr>
        <w:t xml:space="preserve"> | HC 109.547</w:t>
      </w:r>
      <w:r>
        <w:rPr>
          <w:color w:val="003CA0"/>
          <w:sz w:val="12"/>
        </w:rPr>
        <w:t xml:space="preserve"> | rel. Cármen Lúcia</w:t>
      </w:r>
    </w:p>
    <w:p>
      <w:pPr>
        <w:ind w:left="288"/>
      </w:pPr>
      <w:r>
        <w:rPr>
          <w:color w:val="1E1E1E"/>
          <w:sz w:val="18"/>
        </w:rPr>
        <w:t>= HC 109.547, rel. min. Cármen Lúcia, j. 13-3-2012, 1ª T, DJE de 29-3-2012 Para que o habeas corpus mostre-se adequado, basta alegar-se prática de ato, a alcançar a liberdade de ir e vir do paciente, à margem da ordem jurídica e existir órgão capaz de aferir o merecimento do que decidido. A procedência da causa de pedir pressupõe demonstração do vício.</w:t>
      </w:r>
    </w:p>
    <w:p>
      <w:pPr>
        <w:ind w:left="288"/>
      </w:pPr>
      <w:r>
        <w:rPr>
          <w:b/>
          <w:color w:val="003CA0"/>
          <w:sz w:val="16"/>
        </w:rPr>
        <w:t>[HC 95.431, rel. min. Marco Aurélio, j. 27-4-2010, 1ª T, DJE de 14-5-2010.]</w:t>
      </w:r>
    </w:p>
    <w:p>
      <w:pPr>
        <w:ind w:left="288"/>
      </w:pPr>
      <w:r>
        <w:rPr>
          <w:color w:val="8C8C8C"/>
          <w:sz w:val="12"/>
        </w:rPr>
        <w:t>cf-art-5-inc-L</w:t>
      </w:r>
      <w:r>
        <w:rPr>
          <w:color w:val="003CA0"/>
          <w:sz w:val="12"/>
        </w:rPr>
        <w:t xml:space="preserve"> | HC 102.041</w:t>
      </w:r>
      <w:r>
        <w:rPr>
          <w:color w:val="003CA0"/>
          <w:sz w:val="12"/>
        </w:rPr>
        <w:t xml:space="preserve"> | rel. Celso de Mello</w:t>
      </w:r>
    </w:p>
    <w:p>
      <w:pPr>
        <w:ind w:left="288"/>
      </w:pPr>
      <w:r>
        <w:rPr>
          <w:color w:val="1E1E1E"/>
          <w:sz w:val="18"/>
        </w:rPr>
        <w:t>A ação de habeas corpus não se revela cabível, quando inexistente situação de dano efetivo ou de risco potencial ao jus manendi, ambulandi, eundi ultro citroque do paciente. Esse entendimento decorre da circunstância histórica de a reforma constitucional de 1926 – que importou na cessação da doutrina brasileira do habeas corpus – haver restaurado a função clássica desse extraordinário remédio processual, destinando-o, quanto à sua finalidade, à específica tutela jurisdicional da imediata liberdade de locomoção física das pessoas.</w:t>
      </w:r>
    </w:p>
    <w:p>
      <w:pPr>
        <w:ind w:left="288"/>
      </w:pPr>
      <w:r>
        <w:rPr>
          <w:b/>
          <w:color w:val="003CA0"/>
          <w:sz w:val="16"/>
        </w:rPr>
        <w:t>[HC 102.041, rel. min. Celso de Mello, j. 20-4-2010, 2ª T, DJE de 20-8-2010.]</w:t>
      </w:r>
    </w:p>
    <w:p>
      <w:pPr>
        <w:ind w:left="288"/>
      </w:pPr>
      <w:r>
        <w:rPr>
          <w:color w:val="8C8C8C"/>
          <w:sz w:val="12"/>
        </w:rPr>
        <w:t>cf-art-5-inc-L</w:t>
      </w:r>
      <w:r>
        <w:rPr>
          <w:color w:val="003CA0"/>
          <w:sz w:val="12"/>
        </w:rPr>
        <w:t xml:space="preserve"> | HC 112.091</w:t>
      </w:r>
      <w:r>
        <w:rPr>
          <w:color w:val="003CA0"/>
          <w:sz w:val="12"/>
        </w:rPr>
        <w:t xml:space="preserve"> | rel. Dias Toffoli</w:t>
      </w:r>
    </w:p>
    <w:p>
      <w:pPr>
        <w:ind w:left="288"/>
      </w:pPr>
      <w:r>
        <w:rPr>
          <w:color w:val="1E1E1E"/>
          <w:sz w:val="18"/>
        </w:rPr>
        <w:t>= HC 112.091 AgR, rel. min. Dias Toffoli, j. 26-6-2012, 1ª T, DJE de 11-9-2012 A sedimentada jurisprudência desta Corte exige, para caracterizar o interesse de agir em habeas corpus destinado ao questionamento da regularidade de outro processo ou procedimento, que a pretensão posta no writ seja previamente levada à apreciação do relator do feito questionado. A peculiar natureza processual do habeas corpus não admite a realização de dilação probatória, incumbindo ao impetrante o ônus de demonstrar inequívoca e previamente os fatos constitutivos do direito invocado em favor do paciente.</w:t>
      </w:r>
    </w:p>
    <w:p>
      <w:pPr>
        <w:ind w:left="288"/>
      </w:pPr>
      <w:r>
        <w:rPr>
          <w:b/>
          <w:color w:val="003CA0"/>
          <w:sz w:val="16"/>
        </w:rPr>
        <w:t>[HC 92.702, rel. min. Joaquim Barbosa, j. 18-2-2010, P, DJE de 26-3-2010.]</w:t>
      </w:r>
    </w:p>
    <w:p>
      <w:pPr>
        <w:ind w:left="288"/>
      </w:pPr>
      <w:r>
        <w:rPr>
          <w:color w:val="8C8C8C"/>
          <w:sz w:val="12"/>
        </w:rPr>
        <w:t>cf-art-5-inc-L</w:t>
      </w:r>
      <w:r>
        <w:rPr>
          <w:color w:val="003CA0"/>
          <w:sz w:val="12"/>
        </w:rPr>
        <w:t xml:space="preserve"> | HC 92.664</w:t>
      </w:r>
      <w:r>
        <w:rPr>
          <w:color w:val="003CA0"/>
          <w:sz w:val="12"/>
        </w:rPr>
        <w:t xml:space="preserve"> | rel. Cezar Peluso</w:t>
      </w:r>
    </w:p>
    <w:p>
      <w:pPr>
        <w:ind w:left="288"/>
      </w:pPr>
      <w:r>
        <w:rPr>
          <w:color w:val="1E1E1E"/>
          <w:sz w:val="18"/>
        </w:rPr>
        <w:t>Vide HC 92.664 AgR, rel. min. Cezar Peluso, j. 13-12-2007, P, DJE de 15-2-2008 O julgamento de habeas corpus independe de pauta ou qualquer tipo de comunicação, cumprindo ao impetrante acompanhar a colocação do processo em mesa para julgamento, se deixa de requerer intimação ou ciência prévia para expor oralmente as razões da impetração.</w:t>
      </w:r>
    </w:p>
    <w:p>
      <w:pPr>
        <w:ind w:left="288"/>
      </w:pPr>
      <w:r>
        <w:rPr>
          <w:b/>
          <w:color w:val="003CA0"/>
          <w:sz w:val="16"/>
        </w:rPr>
        <w:t>[HC 89.339, rel. min. Cezar Peluso, j. 2-2-2010, 2ª T, DJE de 19-2-2010.]</w:t>
      </w:r>
    </w:p>
    <w:p>
      <w:pPr>
        <w:ind w:left="288"/>
      </w:pPr>
      <w:r>
        <w:rPr>
          <w:color w:val="8C8C8C"/>
          <w:sz w:val="12"/>
        </w:rPr>
        <w:t>cf-art-5-inc-L</w:t>
      </w:r>
      <w:r>
        <w:rPr>
          <w:color w:val="003CA0"/>
          <w:sz w:val="12"/>
        </w:rPr>
        <w:t xml:space="preserve"> | HC 86.889</w:t>
      </w:r>
      <w:r>
        <w:rPr>
          <w:color w:val="003CA0"/>
          <w:sz w:val="12"/>
        </w:rPr>
        <w:t xml:space="preserve"> | rel. Menezes Direito</w:t>
      </w:r>
    </w:p>
    <w:p>
      <w:pPr>
        <w:ind w:left="288"/>
      </w:pPr>
      <w:r>
        <w:rPr>
          <w:color w:val="1E1E1E"/>
          <w:sz w:val="18"/>
        </w:rPr>
        <w:t>Vide HC 86.889 ED, rel. min. Menezes Direito, j. 11-3-2008, 1ª T, DJE de 11-4-2008 Vide HC 90.326 QO, rel. min. Menezes Direito, j. 11-12-2007, 1ª T, DJE de 29-2-2008 Vide HC 92.253, rel. min. Ayres Britto, j. 27-11-2007, 1ª T, DJ de 14-12-2007 Ato coator imputado ao juízo de primeiro grau. Matéria não alegada nem submetida ao tribunal local. Supressão de instância. Não conhecimento pelo STJ. Constrangimento ilegal. Inocorrência. Recurso em habeas corpus a que se nega provimento. Não é ilegal a decisão de tribunal superior que não conhece de habeas corpus cujas questões não foram apreciadas pe</w:t>
      </w:r>
    </w:p>
    <w:p>
      <w:pPr>
        <w:ind w:left="288"/>
      </w:pPr>
      <w:r>
        <w:rPr>
          <w:b/>
          <w:color w:val="003CA0"/>
          <w:sz w:val="16"/>
        </w:rPr>
        <w:t>[RHC 84.570, rel. min. Cezar Peluso, j. 2-2-2010, 2ª T, DJE de 26-3-2010.]</w:t>
      </w:r>
    </w:p>
    <w:p>
      <w:pPr>
        <w:ind w:left="288"/>
      </w:pPr>
      <w:r>
        <w:rPr>
          <w:color w:val="8C8C8C"/>
          <w:sz w:val="12"/>
        </w:rPr>
        <w:t>cf-art-5-inc-L</w:t>
      </w:r>
      <w:r>
        <w:rPr>
          <w:color w:val="003CA0"/>
          <w:sz w:val="12"/>
        </w:rPr>
        <w:t xml:space="preserve"> | HC 99.114</w:t>
      </w:r>
      <w:r>
        <w:rPr>
          <w:color w:val="003CA0"/>
          <w:sz w:val="12"/>
        </w:rPr>
        <w:t xml:space="preserve"> | rel. Ricardo Lewandowski</w:t>
      </w:r>
    </w:p>
    <w:p>
      <w:pPr>
        <w:ind w:left="288"/>
      </w:pPr>
      <w:r>
        <w:rPr>
          <w:color w:val="1E1E1E"/>
          <w:sz w:val="18"/>
        </w:rPr>
        <w:t>= HC 99.114, rel. min. Ricardo Lewandowski, j. 21-9-2010, 1ª T, DJE de 15-10-2010 O habeas corpus é meio processual destinado à proteção do direito de ir e vir ameaçado por ilegalidade ou abuso de poder. Daí a impropriedade desse instrumento processual para solver controvérsia cível. Ainda que se admita que a ação de improbidade administrativa tem natureza penal, não há como trancá-la em habeas corpus, porquanto as sanções previstas na Lei 8.429/1992 não consubstanciam risco à liberdade de locomoção.</w:t>
      </w:r>
    </w:p>
    <w:p>
      <w:pPr>
        <w:ind w:left="288"/>
      </w:pPr>
      <w:r>
        <w:rPr>
          <w:b/>
          <w:color w:val="003CA0"/>
          <w:sz w:val="16"/>
        </w:rPr>
        <w:t>[HC 100.244 AgR, rel. min. Eros Grau, j. 24-11-2009, 2ª T, DJE de 19-2-2010.]</w:t>
      </w:r>
    </w:p>
    <w:p>
      <w:pPr>
        <w:ind w:left="288"/>
      </w:pPr>
      <w:r>
        <w:rPr>
          <w:color w:val="8C8C8C"/>
          <w:sz w:val="12"/>
        </w:rPr>
        <w:t>cf-art-5-inc-L</w:t>
      </w:r>
      <w:r>
        <w:rPr>
          <w:color w:val="003CA0"/>
          <w:sz w:val="12"/>
        </w:rPr>
        <w:t xml:space="preserve"> | HC 100.340</w:t>
      </w:r>
      <w:r>
        <w:rPr>
          <w:color w:val="003CA0"/>
          <w:sz w:val="12"/>
        </w:rPr>
        <w:t xml:space="preserve"> | rel. Cezar Peluso</w:t>
      </w:r>
    </w:p>
    <w:p>
      <w:pPr>
        <w:ind w:left="288"/>
      </w:pPr>
      <w:r>
        <w:rPr>
          <w:color w:val="1E1E1E"/>
          <w:sz w:val="18"/>
        </w:rPr>
        <w:t>Não é lícito às instâncias superiores suprir, em habeas corpus ou recurso da defesa, com novas razões, a falta ou deficiência de fundamentação da decisão penal impugnada.</w:t>
      </w:r>
    </w:p>
    <w:p>
      <w:pPr>
        <w:ind w:left="288"/>
      </w:pPr>
      <w:r>
        <w:rPr>
          <w:b/>
          <w:color w:val="003CA0"/>
          <w:sz w:val="16"/>
        </w:rPr>
        <w:t>[HC 100.340, rel. min. Cezar Peluso, j. 10-11-2009, 2ª T, DJE de 18-12-2009.]</w:t>
      </w:r>
    </w:p>
    <w:p>
      <w:pPr>
        <w:ind w:left="288"/>
      </w:pPr>
      <w:r>
        <w:rPr>
          <w:color w:val="8C8C8C"/>
          <w:sz w:val="12"/>
        </w:rPr>
        <w:t>cf-art-5-inc-L</w:t>
      </w:r>
      <w:r>
        <w:rPr>
          <w:color w:val="003CA0"/>
          <w:sz w:val="12"/>
        </w:rPr>
        <w:t xml:space="preserve"> | HC 91.665</w:t>
      </w:r>
      <w:r>
        <w:rPr>
          <w:color w:val="003CA0"/>
          <w:sz w:val="12"/>
        </w:rPr>
        <w:t xml:space="preserve"> | rel. Ricardo Lewandowski</w:t>
      </w:r>
    </w:p>
    <w:p>
      <w:pPr>
        <w:ind w:left="288"/>
      </w:pPr>
      <w:r>
        <w:rPr>
          <w:color w:val="1E1E1E"/>
          <w:sz w:val="18"/>
        </w:rPr>
        <w:t>O superveniente julgamento do mérito de habeas corpus impetrado ao STJ e cujo pedido de liminar foi inferido monocraticamente, dando ensejo à impetração do presente writ, acarreta a perda desta ação, impetrada ao STF (HC 91.665, rel. min. Ricardo Lewandowski, julgamento em 23-10-2010, Primeira Turma, DJE de 9-11-2007).</w:t>
      </w:r>
    </w:p>
    <w:p>
      <w:pPr>
        <w:ind w:left="288"/>
      </w:pPr>
      <w:r>
        <w:rPr>
          <w:b/>
          <w:color w:val="003CA0"/>
          <w:sz w:val="16"/>
        </w:rPr>
        <w:t>[HC 100.097, rel. min. Joaquim Barbosa, j. 3-11-2009, 2ª T, DJE de 27-11-2009.]</w:t>
      </w:r>
    </w:p>
    <w:p>
      <w:pPr>
        <w:ind w:left="288"/>
      </w:pPr>
      <w:r>
        <w:rPr>
          <w:color w:val="8C8C8C"/>
          <w:sz w:val="12"/>
        </w:rPr>
        <w:t>cf-art-5-inc-L</w:t>
      </w:r>
      <w:r>
        <w:rPr>
          <w:color w:val="003CA0"/>
          <w:sz w:val="12"/>
        </w:rPr>
        <w:t xml:space="preserve"> | HC 102.319</w:t>
      </w:r>
      <w:r>
        <w:rPr>
          <w:color w:val="003CA0"/>
          <w:sz w:val="12"/>
        </w:rPr>
        <w:t xml:space="preserve"> | rel. Cármen Lúcia</w:t>
      </w:r>
    </w:p>
    <w:p>
      <w:pPr>
        <w:ind w:left="288"/>
      </w:pPr>
      <w:r>
        <w:rPr>
          <w:color w:val="1E1E1E"/>
          <w:sz w:val="18"/>
        </w:rPr>
        <w:t>= HC 102.319, rel. min. Cármen Lúcia, j. 14-9-2010, 1ª T , DJE de 1º-10-2010 Vide HC 100.056, rel. min. Joaquim Barbosa, j. 1º-12-2009, 2ª T, DJE de 18-12-2009 O habeas corpus não é meio hábil para questionar-se aspectos ligados quer ao inquérito civil público, quer à ação civil pública, porquanto, nesses procedimentos, não se faz em jogo, sequer na via indireta, a liberdade de ir e vir.</w:t>
      </w:r>
    </w:p>
    <w:p>
      <w:pPr>
        <w:ind w:left="288"/>
      </w:pPr>
      <w:r>
        <w:rPr>
          <w:b/>
          <w:color w:val="003CA0"/>
          <w:sz w:val="16"/>
        </w:rPr>
        <w:t>[HC 90.378, rel. min. Marco Aurélio, j. 13-10-2009, 1ª T, DJE de 6-11-2009.]</w:t>
      </w:r>
    </w:p>
    <w:p>
      <w:pPr>
        <w:ind w:left="288"/>
      </w:pPr>
      <w:r>
        <w:rPr>
          <w:color w:val="8C8C8C"/>
          <w:sz w:val="12"/>
        </w:rPr>
        <w:t>cf-art-5-inc-L</w:t>
      </w:r>
      <w:r>
        <w:rPr>
          <w:color w:val="003CA0"/>
          <w:sz w:val="12"/>
        </w:rPr>
        <w:t xml:space="preserve"> | HC 97.649</w:t>
      </w:r>
      <w:r>
        <w:rPr>
          <w:color w:val="003CA0"/>
          <w:sz w:val="12"/>
        </w:rPr>
        <w:t xml:space="preserve"> | rel. Ellen Gracie</w:t>
      </w:r>
    </w:p>
    <w:p>
      <w:pPr>
        <w:ind w:left="288"/>
      </w:pPr>
      <w:r>
        <w:rPr>
          <w:color w:val="1E1E1E"/>
          <w:sz w:val="18"/>
        </w:rPr>
        <w:t>Esta Suprema Corte possui precedentes no sentido de que "a superveniência da sentença condenatória prejudica o habeas corpus quando esse tenha por objeto o decreto de prisão preventiva, dado que passa a sentença a constituir novo título para a prisão". O prosseguimento do feito após a superveniência da sentença condenatória implicaria em inadmissível supressão de instância, uma vez que o novo título prisional não foi submetido à análise das instâncias inferiores.</w:t>
      </w:r>
    </w:p>
    <w:p>
      <w:pPr>
        <w:ind w:left="288"/>
      </w:pPr>
      <w:r>
        <w:rPr>
          <w:b/>
          <w:color w:val="003CA0"/>
          <w:sz w:val="16"/>
        </w:rPr>
        <w:t>[HC 97.649 AgR, rel. min. Ellen Gracie, j. 15-9-2009, 2ª T, DJE de 9-10-2009.]</w:t>
      </w:r>
    </w:p>
    <w:p>
      <w:pPr>
        <w:ind w:left="288"/>
      </w:pPr>
      <w:r>
        <w:rPr>
          <w:color w:val="8C8C8C"/>
          <w:sz w:val="12"/>
        </w:rPr>
        <w:t>cf-art-5-inc-L</w:t>
      </w:r>
      <w:r>
        <w:rPr>
          <w:color w:val="003CA0"/>
          <w:sz w:val="12"/>
        </w:rPr>
        <w:t xml:space="preserve"> | HC 101.644</w:t>
      </w:r>
      <w:r>
        <w:rPr>
          <w:color w:val="003CA0"/>
          <w:sz w:val="12"/>
        </w:rPr>
        <w:t xml:space="preserve"> | rel. Dias Toffoli</w:t>
      </w:r>
    </w:p>
    <w:p>
      <w:pPr>
        <w:ind w:left="288"/>
      </w:pPr>
      <w:r>
        <w:rPr>
          <w:color w:val="1E1E1E"/>
          <w:sz w:val="18"/>
        </w:rPr>
        <w:t xml:space="preserve">= HC 101.644 AgR, rel. min. Dias Toffoli, j. 25-5-2010, 1ª T, DJE de 27-8-2010 Vide HC 96.182, rel. min. Menezes Direito, j. 2-12-2008, 1ª T, DJE de 20-3-2009 Vide HC 93.345, rel. min. Menezes Direito, j. 3-6-2008, 1ª T, DJE de 1º-8-2008 Habeas corpus. Negativa de seguimento. (...) Na concreta situação dos autos, a pessoa jurídica da qual o paciente é representante legal se acha processada por delitos ambientais. Pessoa jurídica que somente poderá ser punida com multa e pena restritiva de direitos. Noutro falar: a liberdade de locomoção do agravante não está, nem mesmo indiretamente, ameaçada </w:t>
      </w:r>
    </w:p>
    <w:p>
      <w:pPr>
        <w:ind w:left="288"/>
      </w:pPr>
      <w:r>
        <w:rPr>
          <w:b/>
          <w:color w:val="003CA0"/>
          <w:sz w:val="16"/>
        </w:rPr>
        <w:t>[HC 88.747 AgR, rel. min. Ayres Britto, j. 15-9-2009, 1ª T, DJE de 29-10-2009.]</w:t>
      </w:r>
    </w:p>
    <w:p>
      <w:pPr>
        <w:ind w:left="288"/>
      </w:pPr>
      <w:r>
        <w:rPr>
          <w:color w:val="8C8C8C"/>
          <w:sz w:val="12"/>
        </w:rPr>
        <w:t>cf-art-5-inc-L</w:t>
      </w:r>
      <w:r>
        <w:rPr>
          <w:color w:val="003CA0"/>
          <w:sz w:val="12"/>
        </w:rPr>
        <w:t xml:space="preserve"> | HC 98.668</w:t>
      </w:r>
      <w:r>
        <w:rPr>
          <w:color w:val="003CA0"/>
          <w:sz w:val="12"/>
        </w:rPr>
        <w:t xml:space="preserve"> | rel. Marco Aurélio</w:t>
      </w:r>
    </w:p>
    <w:p>
      <w:pPr>
        <w:ind w:left="288"/>
      </w:pPr>
      <w:r>
        <w:rPr>
          <w:color w:val="1E1E1E"/>
          <w:sz w:val="18"/>
        </w:rPr>
        <w:t>Verificada a duplicidade de causa de pedir e de pedido, considerado habeas julgado por Colegiado do Supremo, descabe novo pronunciamento, à míngua de aspecto jurídico novo.</w:t>
      </w:r>
    </w:p>
    <w:p>
      <w:pPr>
        <w:ind w:left="288"/>
      </w:pPr>
      <w:r>
        <w:rPr>
          <w:b/>
          <w:color w:val="003CA0"/>
          <w:sz w:val="16"/>
        </w:rPr>
        <w:t>[HC 98.668, rel. min. Marco Aurélio, j. 15-9-2009, 1ª T, DJE de 9-10-2009.]</w:t>
      </w:r>
    </w:p>
    <w:p>
      <w:pPr>
        <w:ind w:left="288"/>
      </w:pPr>
      <w:r>
        <w:rPr>
          <w:color w:val="8C8C8C"/>
          <w:sz w:val="12"/>
        </w:rPr>
        <w:t>cf-art-5-inc-L</w:t>
      </w:r>
      <w:r>
        <w:rPr>
          <w:color w:val="003CA0"/>
          <w:sz w:val="12"/>
        </w:rPr>
        <w:t xml:space="preserve"> | HC 99.369</w:t>
      </w:r>
      <w:r>
        <w:rPr>
          <w:color w:val="003CA0"/>
          <w:sz w:val="12"/>
        </w:rPr>
        <w:t xml:space="preserve"> | rel. Cezar Peluso</w:t>
      </w:r>
    </w:p>
    <w:p>
      <w:pPr>
        <w:ind w:left="288"/>
      </w:pPr>
      <w:r>
        <w:rPr>
          <w:color w:val="1E1E1E"/>
          <w:sz w:val="18"/>
        </w:rPr>
        <w:t>Habeas corpus não é remédio processual adequado para tutela do direito de visita de menor cuja guarda se disputa judicialmente.</w:t>
      </w:r>
    </w:p>
    <w:p>
      <w:pPr>
        <w:ind w:left="288"/>
      </w:pPr>
      <w:r>
        <w:rPr>
          <w:b/>
          <w:color w:val="003CA0"/>
          <w:sz w:val="16"/>
        </w:rPr>
        <w:t>[HC 99.369 AgR, rel. min. Cezar Peluso, j. 18-8-2009, 2ª T, DJE de 16-10-2009.]</w:t>
      </w:r>
    </w:p>
    <w:p>
      <w:pPr>
        <w:ind w:left="288"/>
      </w:pPr>
      <w:r>
        <w:rPr>
          <w:color w:val="8C8C8C"/>
          <w:sz w:val="12"/>
        </w:rPr>
        <w:t>cf-art-5-inc-L</w:t>
      </w:r>
      <w:r>
        <w:rPr>
          <w:color w:val="003CA0"/>
          <w:sz w:val="12"/>
        </w:rPr>
        <w:t xml:space="preserve"> | HC 99.945</w:t>
      </w:r>
      <w:r>
        <w:rPr>
          <w:color w:val="003CA0"/>
          <w:sz w:val="12"/>
        </w:rPr>
        <w:t xml:space="preserve"> | rel. Gilmar Mendes</w:t>
      </w:r>
    </w:p>
    <w:p>
      <w:pPr>
        <w:ind w:left="288"/>
      </w:pPr>
      <w:r>
        <w:rPr>
          <w:color w:val="1E1E1E"/>
          <w:sz w:val="18"/>
        </w:rPr>
        <w:t>Vide HC 99.945 AgR, rel. min. Gilmar Mendes, red. do ac. min. Gilmar Mendes, j. 7-2-2013, P, DJE de 21-2-2014 Se estiver presente ilegalidade, o habeas corpus é remédio próprio a atacar ato tanto comissivo quanto omissivo. (...) O órgão julgador, ao assentar a culpa do acusado, impondo-lhe pena, deve examinar, independentemente de provocação, a prescrição. O silêncio a revelar ato omissivo desafia não só embargos declaratórios como também habeas corpus.</w:t>
      </w:r>
    </w:p>
    <w:p>
      <w:pPr>
        <w:ind w:left="288"/>
      </w:pPr>
      <w:r>
        <w:rPr>
          <w:b/>
          <w:color w:val="003CA0"/>
          <w:sz w:val="16"/>
        </w:rPr>
        <w:t>[HC 95.563, rel. min. Marco Aurélio, j. 23-6-2009, 1ª T, DJE de 21-8-2009.]</w:t>
      </w:r>
    </w:p>
    <w:p>
      <w:pPr>
        <w:ind w:left="288"/>
      </w:pPr>
      <w:r>
        <w:rPr>
          <w:color w:val="8C8C8C"/>
          <w:sz w:val="12"/>
        </w:rPr>
        <w:t>cf-art-5-inc-L</w:t>
      </w:r>
      <w:r>
        <w:rPr>
          <w:color w:val="003CA0"/>
          <w:sz w:val="12"/>
        </w:rPr>
        <w:t xml:space="preserve"> | HC 96.220</w:t>
      </w:r>
      <w:r>
        <w:rPr>
          <w:color w:val="003CA0"/>
          <w:sz w:val="12"/>
        </w:rPr>
        <w:t xml:space="preserve"> | rel. Cármen Lúcia</w:t>
      </w:r>
    </w:p>
    <w:p>
      <w:pPr>
        <w:ind w:left="288"/>
      </w:pPr>
      <w:r>
        <w:rPr>
          <w:color w:val="1E1E1E"/>
          <w:sz w:val="18"/>
        </w:rPr>
        <w:t>A mera formulação de pedido de prisão preventiva por representante do Ministério Público não importa em ofensa à liberdade de locomoção física nos termos constitucionalmente garantidos, sendo firme a jurisprudência deste STF no sentido de que, não havendo risco efetivo de constrição à liberdade de locomoção física, não se revela pertinente o remédio do habeas corpus, cuja utilização supõe, necessariamente, a concreta configuração de ofensa – atual ou iminente – ao direito de ir, vir e permanecer das pessoas.</w:t>
      </w:r>
    </w:p>
    <w:p>
      <w:pPr>
        <w:ind w:left="288"/>
      </w:pPr>
      <w:r>
        <w:rPr>
          <w:b/>
          <w:color w:val="003CA0"/>
          <w:sz w:val="16"/>
        </w:rPr>
        <w:t>[HC 96.220, rel. min. Cármen Lúcia, j. 2-6-2009, 1ª T, DJE de 1º-7-2009.]</w:t>
      </w:r>
    </w:p>
    <w:p>
      <w:pPr>
        <w:ind w:left="288"/>
      </w:pPr>
      <w:r>
        <w:rPr>
          <w:color w:val="8C8C8C"/>
          <w:sz w:val="12"/>
        </w:rPr>
        <w:t>cf-art-5-inc-L</w:t>
      </w:r>
      <w:r>
        <w:rPr>
          <w:color w:val="003CA0"/>
          <w:sz w:val="12"/>
        </w:rPr>
        <w:t xml:space="preserve"> | HC 87.107</w:t>
      </w:r>
      <w:r>
        <w:rPr>
          <w:color w:val="003CA0"/>
          <w:sz w:val="12"/>
        </w:rPr>
        <w:t xml:space="preserve"> | rel. Cezar Peluso</w:t>
      </w:r>
    </w:p>
    <w:p>
      <w:pPr>
        <w:ind w:left="288"/>
      </w:pPr>
      <w:r>
        <w:rPr>
          <w:color w:val="1E1E1E"/>
          <w:sz w:val="18"/>
        </w:rPr>
        <w:t>Impetração contra denegação de outro habeas corpus. (...) Não se conhece de habeas corpus cujas questões não foram apreciadas pela decisão denegatória doutro habeas corpus, contra a qual é impetrado.</w:t>
      </w:r>
    </w:p>
    <w:p>
      <w:pPr>
        <w:ind w:left="288"/>
      </w:pPr>
      <w:r>
        <w:rPr>
          <w:b/>
          <w:color w:val="003CA0"/>
          <w:sz w:val="16"/>
        </w:rPr>
        <w:t>[HC 87.107, rel. min. Cezar Peluso, j. 2-6-2009, 2ª T, DJE de 26-6-2009.]</w:t>
      </w:r>
    </w:p>
    <w:p>
      <w:pPr>
        <w:ind w:left="288"/>
      </w:pPr>
      <w:r>
        <w:rPr>
          <w:color w:val="8C8C8C"/>
          <w:sz w:val="12"/>
        </w:rPr>
        <w:t>cf-art-5-inc-L</w:t>
      </w:r>
      <w:r>
        <w:rPr>
          <w:color w:val="003CA0"/>
          <w:sz w:val="12"/>
        </w:rPr>
        <w:t xml:space="preserve"> | HC 93.553</w:t>
      </w:r>
      <w:r>
        <w:rPr>
          <w:color w:val="003CA0"/>
          <w:sz w:val="12"/>
        </w:rPr>
        <w:t xml:space="preserve"> | rel. Marco Aurélio</w:t>
      </w:r>
    </w:p>
    <w:p>
      <w:pPr>
        <w:ind w:left="288"/>
      </w:pPr>
      <w:r>
        <w:rPr>
          <w:color w:val="1E1E1E"/>
          <w:sz w:val="18"/>
        </w:rPr>
        <w:t>Surge a adequação do habeas corpus com a articulação de prática de ato ilegal e a existência de órgão capaz de afastá-lo.</w:t>
      </w:r>
    </w:p>
    <w:p>
      <w:pPr>
        <w:ind w:left="288"/>
      </w:pPr>
      <w:r>
        <w:rPr>
          <w:b/>
          <w:color w:val="003CA0"/>
          <w:sz w:val="16"/>
        </w:rPr>
        <w:t>[HC 93.553, rel. min. Marco Aurélio, j. 7-5-2009, P, DJE de 4-9-2009.]</w:t>
      </w:r>
    </w:p>
    <w:p>
      <w:pPr>
        <w:ind w:left="288"/>
      </w:pPr>
      <w:r>
        <w:rPr>
          <w:color w:val="8C8C8C"/>
          <w:sz w:val="12"/>
        </w:rPr>
        <w:t>cf-art-5-inc-L</w:t>
      </w:r>
      <w:r>
        <w:rPr>
          <w:color w:val="003CA0"/>
          <w:sz w:val="12"/>
        </w:rPr>
        <w:t xml:space="preserve"> | RHC 94.444</w:t>
      </w:r>
      <w:r>
        <w:rPr>
          <w:color w:val="003CA0"/>
          <w:sz w:val="12"/>
        </w:rPr>
        <w:t xml:space="preserve"> | rel. Joaquim Barbosa</w:t>
      </w:r>
    </w:p>
    <w:p>
      <w:pPr>
        <w:ind w:left="288"/>
      </w:pPr>
      <w:r>
        <w:rPr>
          <w:color w:val="1E1E1E"/>
          <w:sz w:val="18"/>
        </w:rPr>
        <w:t>O prazo do livramento condicional do recorrente escoou, sem que houvesse a revogação do benefício. Com isso, operou-se o cumprimento da sua pena (ainda que a extinção da reprimenda ainda não tenha sido declarada), o que impede o conhecimento do recurso ordinário em habeas corpus, nos termos da Súmula 695/STF.</w:t>
      </w:r>
    </w:p>
    <w:p>
      <w:pPr>
        <w:ind w:left="288"/>
      </w:pPr>
      <w:r>
        <w:rPr>
          <w:b/>
          <w:color w:val="003CA0"/>
          <w:sz w:val="16"/>
        </w:rPr>
        <w:t>[RHC 94.444, rel. min. Joaquim Barbosa, j. 24-3-2009, 2ª T, DJE de 8-5-2009.]</w:t>
      </w:r>
    </w:p>
    <w:p>
      <w:pPr>
        <w:ind w:left="288"/>
      </w:pPr>
      <w:r>
        <w:rPr>
          <w:color w:val="8C8C8C"/>
          <w:sz w:val="12"/>
        </w:rPr>
        <w:t>cf-art-5-inc-L</w:t>
      </w:r>
      <w:r>
        <w:rPr>
          <w:color w:val="003CA0"/>
          <w:sz w:val="12"/>
        </w:rPr>
        <w:t xml:space="preserve"> | HC 95.270</w:t>
      </w:r>
      <w:r>
        <w:rPr>
          <w:color w:val="003CA0"/>
          <w:sz w:val="12"/>
        </w:rPr>
        <w:t xml:space="preserve"> | rel. Cármen Lúcia</w:t>
      </w:r>
    </w:p>
    <w:p>
      <w:pPr>
        <w:ind w:left="288"/>
      </w:pPr>
      <w:r>
        <w:rPr>
          <w:color w:val="1E1E1E"/>
          <w:sz w:val="18"/>
        </w:rPr>
        <w:t>Não se tranca ação penal, quando descritos, na denúncia, comportamentos típicos, ou seja, quando factíveis e manifestos os indícios de autoria e materialidade delitivas. (...) O exame da alegada inocência do paciente não se coaduna com a via processual eleita, sendo essa análise reservada aos processos de conhecimento, nos quais a dilação probatória tem espaço garantido.</w:t>
      </w:r>
    </w:p>
    <w:p>
      <w:pPr>
        <w:ind w:left="288"/>
      </w:pPr>
      <w:r>
        <w:rPr>
          <w:b/>
          <w:color w:val="003CA0"/>
          <w:sz w:val="16"/>
        </w:rPr>
        <w:t>[HC 95.270, rel. min. Cármen Lúcia, j. 24-3-2009, 1ª T, DJE de 24-4-2009.]</w:t>
      </w:r>
    </w:p>
    <w:p>
      <w:pPr>
        <w:ind w:left="288"/>
      </w:pPr>
      <w:r>
        <w:rPr>
          <w:color w:val="8C8C8C"/>
          <w:sz w:val="12"/>
        </w:rPr>
        <w:t>cf-art-5-inc-L</w:t>
      </w:r>
      <w:r>
        <w:rPr>
          <w:color w:val="003CA0"/>
          <w:sz w:val="12"/>
        </w:rPr>
        <w:t xml:space="preserve"> | HC 102.946</w:t>
      </w:r>
      <w:r>
        <w:rPr>
          <w:color w:val="003CA0"/>
          <w:sz w:val="12"/>
        </w:rPr>
        <w:t xml:space="preserve"> | rel. Gilmar Mendes</w:t>
      </w:r>
    </w:p>
    <w:p>
      <w:pPr>
        <w:ind w:left="288"/>
      </w:pPr>
      <w:r>
        <w:rPr>
          <w:color w:val="1E1E1E"/>
          <w:sz w:val="18"/>
        </w:rPr>
        <w:t>= HC 102.946, rel. min. Gilmar Mendes, j. 21-9-2010, 2ª T, DJE de 15-10-2010 Não cabe pedido de habeas corpus contra decisão que afasta das funções, em ação penal, magistrado que nela é acusado.</w:t>
      </w:r>
    </w:p>
    <w:p>
      <w:pPr>
        <w:ind w:left="288"/>
      </w:pPr>
      <w:r>
        <w:rPr>
          <w:b/>
          <w:color w:val="003CA0"/>
          <w:sz w:val="16"/>
        </w:rPr>
        <w:t>[HC 95.496, rel. min. Cezar Peluso, j. 10-3-2009, 2ª T, DJE de 17-4-2009.]</w:t>
      </w:r>
    </w:p>
    <w:p>
      <w:pPr>
        <w:ind w:left="288"/>
      </w:pPr>
      <w:r>
        <w:rPr>
          <w:color w:val="8C8C8C"/>
          <w:sz w:val="12"/>
        </w:rPr>
        <w:t>cf-art-5-inc-L</w:t>
      </w:r>
      <w:r>
        <w:rPr>
          <w:color w:val="003CA0"/>
          <w:sz w:val="12"/>
        </w:rPr>
        <w:t xml:space="preserve"> | HC 99.829</w:t>
      </w:r>
      <w:r>
        <w:rPr>
          <w:color w:val="003CA0"/>
          <w:sz w:val="12"/>
        </w:rPr>
        <w:t xml:space="preserve"> | rel. Gilmar Mendes</w:t>
      </w:r>
    </w:p>
    <w:p>
      <w:pPr>
        <w:ind w:left="288"/>
      </w:pPr>
      <w:r>
        <w:rPr>
          <w:color w:val="1E1E1E"/>
          <w:sz w:val="18"/>
        </w:rPr>
        <w:t>Vide HC 99.829, rel. min. Gilmar Mendes, j. 27-9-2011, 2ª T, DJE de 21-11-2011 O habeas corpus não é a via adequada para a análise da pena-base quando sua exasperação tiver apoio nas circunstâncias judiciais constantes do art. 59 do CP.</w:t>
      </w:r>
    </w:p>
    <w:p>
      <w:pPr>
        <w:ind w:left="288"/>
      </w:pPr>
      <w:r>
        <w:rPr>
          <w:b/>
          <w:color w:val="003CA0"/>
          <w:sz w:val="16"/>
        </w:rPr>
        <w:t>[HC 95.056, rel. min. Menezes Direito, j. 3-2-2009, 1ª T, DJE de 13-3-2009.]</w:t>
      </w:r>
    </w:p>
    <w:p>
      <w:pPr>
        <w:ind w:left="288"/>
      </w:pPr>
      <w:r>
        <w:rPr>
          <w:color w:val="8C8C8C"/>
          <w:sz w:val="12"/>
        </w:rPr>
        <w:t>cf-art-5-inc-L</w:t>
      </w:r>
      <w:r>
        <w:rPr>
          <w:color w:val="003CA0"/>
          <w:sz w:val="12"/>
        </w:rPr>
        <w:t xml:space="preserve"> | HC 97.776</w:t>
      </w:r>
      <w:r>
        <w:rPr>
          <w:color w:val="003CA0"/>
          <w:sz w:val="12"/>
        </w:rPr>
        <w:t xml:space="preserve"> | rel. Ellen Gracie</w:t>
      </w:r>
    </w:p>
    <w:p>
      <w:pPr>
        <w:ind w:left="288"/>
      </w:pPr>
      <w:r>
        <w:rPr>
          <w:color w:val="1E1E1E"/>
          <w:sz w:val="18"/>
        </w:rPr>
        <w:t>= HC 97.776, rel. min. Ellen Gracie, j. 2-6-2009, 2ª T, DJE de 19-6-2009 Vide RHC 88.288, rel. min. Eros Grau, j. 2-5-2006, 2ª T, DJ de 19-5-2006 É firme a jurisprudência deste STF no sentido de que a extinção da CPI prejudica o conhecimento do habeas corpus impetrado contra as eventuais ilegalidades de seu relatório final, notadamente por não mais existir legitimidade passiva do órgão impetrado.</w:t>
      </w:r>
    </w:p>
    <w:p>
      <w:pPr>
        <w:ind w:left="288"/>
      </w:pPr>
      <w:r>
        <w:rPr>
          <w:b/>
          <w:color w:val="003CA0"/>
          <w:sz w:val="16"/>
        </w:rPr>
        <w:t>[HC 95.277, rel. min. Cármen Lúcia, j. 19-12-2008, P, DJE de 20-2-2009.]</w:t>
      </w:r>
    </w:p>
    <w:p>
      <w:pPr>
        <w:ind w:left="288"/>
      </w:pPr>
      <w:r>
        <w:rPr>
          <w:color w:val="8C8C8C"/>
          <w:sz w:val="12"/>
        </w:rPr>
        <w:t>cf-art-5-inc-L</w:t>
      </w:r>
      <w:r>
        <w:rPr>
          <w:color w:val="003CA0"/>
          <w:sz w:val="12"/>
        </w:rPr>
        <w:t xml:space="preserve"> | HC 87.214</w:t>
      </w:r>
      <w:r>
        <w:rPr>
          <w:color w:val="003CA0"/>
          <w:sz w:val="12"/>
        </w:rPr>
        <w:t xml:space="preserve"> | rel. Marco Aurélio</w:t>
      </w:r>
    </w:p>
    <w:p>
      <w:pPr>
        <w:ind w:left="288"/>
      </w:pPr>
      <w:r>
        <w:rPr>
          <w:color w:val="1E1E1E"/>
          <w:sz w:val="18"/>
        </w:rPr>
        <w:t>= HC 87.214 AgR, rel. min. Marco Aurélio, j. 6-5-2010, P, DJE de 28-5-2010 Vide MS 25.459 AgR, rel. min. Cezar Peluso, j. 4-2-2010, P, DJE de 12-3-2010 Não pode a mesma autoridade desempenhar a função de juiz relator no julgamento da apelação criminal e do habeas corpus nos quais figurou, como apelante e paciente, respectivamente, a mesma parte, sob pena de nulidade.</w:t>
      </w:r>
    </w:p>
    <w:p>
      <w:pPr>
        <w:ind w:left="288"/>
      </w:pPr>
      <w:r>
        <w:rPr>
          <w:b/>
          <w:color w:val="003CA0"/>
          <w:sz w:val="16"/>
        </w:rPr>
        <w:t>[HC 96.774, rel. min. Cármen Lúcia, j. 16-12-2008, 1ª T, DJE de 17-4-2009.]</w:t>
      </w:r>
    </w:p>
    <w:p>
      <w:pPr>
        <w:ind w:left="288"/>
      </w:pPr>
      <w:r>
        <w:rPr>
          <w:color w:val="8C8C8C"/>
          <w:sz w:val="12"/>
        </w:rPr>
        <w:t>cf-art-5-inc-L</w:t>
      </w:r>
      <w:r>
        <w:rPr>
          <w:color w:val="003CA0"/>
          <w:sz w:val="12"/>
        </w:rPr>
        <w:t xml:space="preserve"> | RHC 95.183</w:t>
      </w:r>
      <w:r>
        <w:rPr>
          <w:color w:val="003CA0"/>
          <w:sz w:val="12"/>
        </w:rPr>
        <w:t xml:space="preserve"> | rel. Cármen Lúcia</w:t>
      </w:r>
    </w:p>
    <w:p>
      <w:pPr>
        <w:ind w:left="288"/>
      </w:pPr>
      <w:r>
        <w:rPr>
          <w:color w:val="1E1E1E"/>
          <w:sz w:val="18"/>
        </w:rPr>
        <w:t>Investigação de paternidade. Produção de prova em comarca diversa. Liberdade de locomoção. (...) Nos termos do art. 5º, LXVIII, da Constituição da República, conceder-se-á habeas corpus sempre que alguém sofrer ou se achar ameaçado de sofrer violência ou coação em sua liberdade de locomoção, por ilegalidade ou abuso de poder, sendo também assegurada a liberdade de não se locomover. A jurisprudência do STF repudia a determinação compulsória ou condução coercitiva ao fornecimento de material genético.</w:t>
      </w:r>
    </w:p>
    <w:p>
      <w:pPr>
        <w:ind w:left="288"/>
      </w:pPr>
      <w:r>
        <w:rPr>
          <w:b/>
          <w:color w:val="003CA0"/>
          <w:sz w:val="16"/>
        </w:rPr>
        <w:t>[RHC 95.183, rel. min. Cármen Lúcia, j. 9-12-2008, 1ª T, DJE de 17-10-2013.]</w:t>
      </w:r>
    </w:p>
    <w:p>
      <w:pPr>
        <w:ind w:left="288"/>
      </w:pPr>
      <w:r>
        <w:rPr>
          <w:color w:val="8C8C8C"/>
          <w:sz w:val="12"/>
        </w:rPr>
        <w:t>cf-art-5-inc-L</w:t>
      </w:r>
      <w:r>
        <w:rPr>
          <w:color w:val="003CA0"/>
          <w:sz w:val="12"/>
        </w:rPr>
        <w:t xml:space="preserve"> | HC 86.548</w:t>
      </w:r>
      <w:r>
        <w:rPr>
          <w:color w:val="003CA0"/>
          <w:sz w:val="12"/>
        </w:rPr>
        <w:t xml:space="preserve"> | rel. Cezar Peluso</w:t>
      </w:r>
    </w:p>
    <w:p>
      <w:pPr>
        <w:ind w:left="288"/>
      </w:pPr>
      <w:r>
        <w:rPr>
          <w:color w:val="1E1E1E"/>
          <w:sz w:val="18"/>
        </w:rPr>
        <w:t>Aplicação analógica da Súmula 606. Precedentes. (...) Não cabe pedido de habeas corpus originário para o Tribunal Pleno, contra ato de ministro ou outro órgão fracionário da Corte.</w:t>
      </w:r>
    </w:p>
    <w:p>
      <w:pPr>
        <w:ind w:left="288"/>
      </w:pPr>
      <w:r>
        <w:rPr>
          <w:b/>
          <w:color w:val="003CA0"/>
          <w:sz w:val="16"/>
        </w:rPr>
        <w:t>[HC 86.548, rel. min. Cezar Peluso, j. 16-10-2008, P, DJE de 19-12-2008.]</w:t>
      </w:r>
    </w:p>
    <w:p>
      <w:pPr>
        <w:ind w:left="288"/>
      </w:pPr>
      <w:r>
        <w:rPr>
          <w:color w:val="8C8C8C"/>
          <w:sz w:val="12"/>
        </w:rPr>
        <w:t>cf-art-5-inc-L</w:t>
      </w:r>
      <w:r>
        <w:rPr>
          <w:color w:val="003CA0"/>
          <w:sz w:val="12"/>
        </w:rPr>
        <w:t xml:space="preserve"> | HC 84.444</w:t>
      </w:r>
      <w:r>
        <w:rPr>
          <w:color w:val="003CA0"/>
          <w:sz w:val="12"/>
        </w:rPr>
        <w:t xml:space="preserve"> | rel. Celso de Mello</w:t>
      </w:r>
    </w:p>
    <w:p>
      <w:pPr>
        <w:ind w:left="288"/>
      </w:pPr>
      <w:r>
        <w:rPr>
          <w:color w:val="1E1E1E"/>
          <w:sz w:val="18"/>
        </w:rPr>
        <w:t>Vide HC 84.444 AgR, rel. min. Celso de Mello, j. 9-8-2007, P, DJ de 14-9-2007 Vide HC 80.082 QO, rel. min. Sepúlveda Pertence, j. 16-8-2001, P, DJ de 1º-8-2003 Basta haver, na via direta ou indireta, o envolvimento da liberdade de ir e vir e a assertiva sobre a prática de um ato ilícito à margem da ordem jurídica para concluir-se pela adequação. Portanto, se, no curso de uma ação penal, surge questionamento sobre suspeição ou impedimento do relator, esse questionamento pode desafiar o habeas corpus.</w:t>
      </w:r>
    </w:p>
    <w:p>
      <w:pPr>
        <w:ind w:left="288"/>
      </w:pPr>
      <w:r>
        <w:rPr>
          <w:b/>
          <w:color w:val="003CA0"/>
          <w:sz w:val="16"/>
        </w:rPr>
        <w:t>[HC 92.893, rel. min. Ricardo Lewandowski, voto do min. Marco Aurélio, j. 2-10-2008, P, DJE de 12-12-2008.]</w:t>
      </w:r>
    </w:p>
    <w:p>
      <w:pPr>
        <w:ind w:left="288"/>
      </w:pPr>
      <w:r>
        <w:rPr>
          <w:color w:val="8C8C8C"/>
          <w:sz w:val="12"/>
        </w:rPr>
        <w:t>cf-art-5-inc-L</w:t>
      </w:r>
      <w:r>
        <w:rPr>
          <w:color w:val="003CA0"/>
          <w:sz w:val="12"/>
        </w:rPr>
        <w:t xml:space="preserve"> | HC 94.016</w:t>
      </w:r>
      <w:r>
        <w:rPr>
          <w:color w:val="003CA0"/>
          <w:sz w:val="12"/>
        </w:rPr>
        <w:t xml:space="preserve"> | rel. Celso de Mello</w:t>
      </w:r>
    </w:p>
    <w:p>
      <w:pPr>
        <w:ind w:left="288"/>
      </w:pPr>
      <w:r>
        <w:rPr>
          <w:color w:val="1E1E1E"/>
          <w:sz w:val="18"/>
        </w:rPr>
        <w:t>O súdito estrangeiro, mesmo o não domiciliado no Brasil, tem plena legitimidade para impetrar o remédio constitucional do habeas corpus, em ordem a tornar efetivo, nas hipóteses de persecução penal, o direito subjetivo, de que também é titular, à observância e ao integral respeito, por parte do Estado, das prerrogativas que compõem e dão significado à cláusula do devido processo legal. A condição jurídica de não nacional do Brasil e a circunstância de o réu estrangeiro não possuir domicílio em nosso país não legitimam a adoção, contra tal acusado, de qualquer tratamento arbitrário ou discrimin</w:t>
      </w:r>
    </w:p>
    <w:p>
      <w:pPr>
        <w:ind w:left="288"/>
      </w:pPr>
      <w:r>
        <w:rPr>
          <w:b/>
          <w:color w:val="003CA0"/>
          <w:sz w:val="16"/>
        </w:rPr>
        <w:t>[HC 94.016, rel. min. Celso de Mello, j. 16-9-2008, 2ª T, DJE de 27-2-2009.]</w:t>
      </w:r>
    </w:p>
    <w:p>
      <w:pPr>
        <w:ind w:left="288"/>
      </w:pPr>
      <w:r>
        <w:rPr>
          <w:color w:val="8C8C8C"/>
          <w:sz w:val="12"/>
        </w:rPr>
        <w:t>cf-art-5-inc-L</w:t>
      </w:r>
      <w:r>
        <w:rPr>
          <w:color w:val="003CA0"/>
          <w:sz w:val="12"/>
        </w:rPr>
        <w:t xml:space="preserve"> | HC 102.041</w:t>
      </w:r>
      <w:r>
        <w:rPr>
          <w:color w:val="003CA0"/>
          <w:sz w:val="12"/>
        </w:rPr>
        <w:t xml:space="preserve"> | rel. Celso de Mello</w:t>
      </w:r>
    </w:p>
    <w:p>
      <w:pPr>
        <w:ind w:left="288"/>
      </w:pPr>
      <w:r>
        <w:rPr>
          <w:color w:val="1E1E1E"/>
          <w:sz w:val="18"/>
        </w:rPr>
        <w:t>Vide HC 102.041 ED, rel. min. Celso de Mello, j. 15-2-2011, 2ª T, DJE de 8-3-2013 A decisão singular do ministro relator no STJ, ao apreciar o mérito da impetração, negou seguimento ao habeas corpus ali ajuizado. O que viola o princípio da colegialidade, nos termos da Lei 8.038/1990 e do RISTJ (art. 202). Precedentes específicos: HC 90.367, da relatoria do min. Ricardo Lewandowski (Primeira Turma); e HC 90.427, da relatoria do min. Joaquim Barbosa (Segunda Turma).</w:t>
      </w:r>
    </w:p>
    <w:p>
      <w:pPr>
        <w:ind w:left="288"/>
      </w:pPr>
      <w:r>
        <w:rPr>
          <w:b/>
          <w:color w:val="003CA0"/>
          <w:sz w:val="16"/>
        </w:rPr>
        <w:t>[HC 93.401, rel. min. Ayres Britto, j. 16-9-2008, 1ª T, DJE de 31-10-2008.]</w:t>
      </w:r>
    </w:p>
    <w:p>
      <w:pPr>
        <w:ind w:left="288"/>
      </w:pPr>
      <w:r>
        <w:rPr>
          <w:color w:val="8C8C8C"/>
          <w:sz w:val="12"/>
        </w:rPr>
        <w:t>cf-art-5-inc-L</w:t>
      </w:r>
      <w:r>
        <w:rPr>
          <w:color w:val="003CA0"/>
          <w:sz w:val="12"/>
        </w:rPr>
        <w:t xml:space="preserve"> | HC 94.830</w:t>
      </w:r>
      <w:r>
        <w:rPr>
          <w:color w:val="003CA0"/>
          <w:sz w:val="12"/>
        </w:rPr>
        <w:t xml:space="preserve"> | rel. Joaquim Barbosa</w:t>
      </w:r>
    </w:p>
    <w:p>
      <w:pPr>
        <w:ind w:left="288"/>
      </w:pPr>
      <w:r>
        <w:rPr>
          <w:color w:val="1E1E1E"/>
          <w:sz w:val="18"/>
        </w:rPr>
        <w:t>= HC 94.830, rel. min. Joaquim Barbosa, j. 18-11-2008, 2ª T, DJE de 5-12-2008 ≠ HC 102.783, rel. min. Cármen Lúcia, j. 4-5-2010, 1ª T, DJE de 28-5-2010 Vide HC 91.716, rel. min. Joaquim Barbosa, j. 31-8-2010, 2ª T, DJE de 1º-10-2010 O STF não tem competência para conhecer e julgar pedido de habeas corpus cuja causa de pedir ainda não foi submetida ao crivo das Cortes ordinárias e do STJ, sob pena de supressão de instância.</w:t>
      </w:r>
    </w:p>
    <w:p>
      <w:pPr>
        <w:ind w:left="288"/>
      </w:pPr>
      <w:r>
        <w:rPr>
          <w:b/>
          <w:color w:val="003CA0"/>
          <w:sz w:val="16"/>
        </w:rPr>
        <w:t>[HC 94.619, rel. min. Ellen Gracie, j. 2-9-2008, 2ª T, DJE de 26-9-2008.]</w:t>
      </w:r>
    </w:p>
    <w:p>
      <w:pPr>
        <w:ind w:left="288"/>
      </w:pPr>
      <w:r>
        <w:rPr>
          <w:color w:val="8C8C8C"/>
          <w:sz w:val="12"/>
        </w:rPr>
        <w:t>cf-art-5-inc-L</w:t>
      </w:r>
      <w:r>
        <w:rPr>
          <w:color w:val="003CA0"/>
          <w:sz w:val="12"/>
        </w:rPr>
        <w:t xml:space="preserve"> | HC 101.377</w:t>
      </w:r>
      <w:r>
        <w:rPr>
          <w:color w:val="003CA0"/>
          <w:sz w:val="12"/>
        </w:rPr>
        <w:t xml:space="preserve"> | rel. Joaquim Barbosa</w:t>
      </w:r>
    </w:p>
    <w:p>
      <w:pPr>
        <w:ind w:left="288"/>
      </w:pPr>
      <w:r>
        <w:rPr>
          <w:color w:val="1E1E1E"/>
          <w:sz w:val="18"/>
        </w:rPr>
        <w:t>= HC 101.377, rel. min. Joaquim Barbosa, j. 20-4-2010, 2ª T, DJE de 27-8-2010 Vide HC 101.884, rel. min. Joaquim Barbosa, j. 14-9-2010, 2ª T, DJE de 1º-10-2010 Revolvimento da prova versus enquadramento jurídico dos fatos incontroversos. Sem fato não há julgamento. Descabe, de qualquer modo, confundir, considerado o habeas corpus, o revolvimento da prova com o enquadramento jurídico do que assentado na decisão condenatória.</w:t>
      </w:r>
    </w:p>
    <w:p>
      <w:pPr>
        <w:ind w:left="288"/>
      </w:pPr>
      <w:r>
        <w:rPr>
          <w:b/>
          <w:color w:val="003CA0"/>
          <w:sz w:val="16"/>
        </w:rPr>
        <w:t>[RHC 92.430, rel. min. Marco Aurélio, j. 26-8-2008, 1ª T, DJE de 21-11-2008.]</w:t>
      </w:r>
    </w:p>
    <w:p>
      <w:pPr>
        <w:ind w:left="288"/>
      </w:pPr>
      <w:r>
        <w:rPr>
          <w:color w:val="8C8C8C"/>
          <w:sz w:val="12"/>
        </w:rPr>
        <w:t>cf-art-5-inc-L</w:t>
      </w:r>
      <w:r>
        <w:rPr>
          <w:color w:val="003CA0"/>
          <w:sz w:val="12"/>
        </w:rPr>
        <w:t xml:space="preserve"> | HC 98.197</w:t>
      </w:r>
      <w:r>
        <w:rPr>
          <w:color w:val="003CA0"/>
          <w:sz w:val="12"/>
        </w:rPr>
        <w:t xml:space="preserve"> | rel. Eros Grau</w:t>
      </w:r>
    </w:p>
    <w:p>
      <w:pPr>
        <w:ind w:left="288"/>
      </w:pPr>
      <w:r>
        <w:rPr>
          <w:color w:val="1E1E1E"/>
          <w:sz w:val="18"/>
        </w:rPr>
        <w:t>=  HC 98.197, rel. min. Eros Grau, j. 12-5-2009, 2ª T, DJE de 1º-7-2009 A jurisprudência desta Suprema Corte consolidou-se no sentido de que "a coisa julgada estabelecida no processo condenatório não é empecilho, por si só, à concessão de habeas corpus por órgão jurisdicional de gradação superior, de modo a desconstituir a decisão coberta pela preclusão máxima" (RHC 82.045/SP, Primeira Turma, rel. min. Sepúlveda Pertence, DJ de 25-10-2002).</w:t>
      </w:r>
    </w:p>
    <w:p>
      <w:pPr>
        <w:ind w:left="288"/>
      </w:pPr>
      <w:r>
        <w:rPr>
          <w:b/>
          <w:color w:val="003CA0"/>
          <w:sz w:val="16"/>
        </w:rPr>
        <w:t>[HC 94.903, rel. min. Menezes Direito, j. 26-8-2008, 1ª T, DJE de 10-10-2008.]</w:t>
      </w:r>
    </w:p>
    <w:p>
      <w:pPr>
        <w:ind w:left="288"/>
      </w:pPr>
      <w:r>
        <w:rPr>
          <w:color w:val="8C8C8C"/>
          <w:sz w:val="12"/>
        </w:rPr>
        <w:t>cf-art-5-inc-L</w:t>
      </w:r>
      <w:r>
        <w:rPr>
          <w:color w:val="003CA0"/>
          <w:sz w:val="12"/>
        </w:rPr>
        <w:t xml:space="preserve"> | HC 95.570</w:t>
      </w:r>
      <w:r>
        <w:rPr>
          <w:color w:val="003CA0"/>
          <w:sz w:val="12"/>
        </w:rPr>
        <w:t xml:space="preserve"> | rel. Dias Toffoli</w:t>
      </w:r>
    </w:p>
    <w:p>
      <w:pPr>
        <w:ind w:left="288"/>
      </w:pPr>
      <w:r>
        <w:rPr>
          <w:color w:val="1E1E1E"/>
          <w:sz w:val="18"/>
        </w:rPr>
        <w:t>= HC 95.570, rel. min. Dias Toffoli, j. 1º-6-2010, 1ª T, DJE de 27-8-2010 Descabe, no julgamento de habeas corpus, formalizar decisão que venha a agravar a situação do paciente tal como retratada no ato que a impetração visa fulminar.</w:t>
      </w:r>
    </w:p>
    <w:p>
      <w:pPr>
        <w:ind w:left="288"/>
      </w:pPr>
      <w:r>
        <w:rPr>
          <w:b/>
          <w:color w:val="003CA0"/>
          <w:sz w:val="16"/>
        </w:rPr>
        <w:t>[RHC 90.509, rel. min. Marco Aurélio, j. 19-8-2008, 1ª T, DJE de 20-2-2009.]</w:t>
      </w:r>
    </w:p>
    <w:p>
      <w:pPr>
        <w:ind w:left="288"/>
      </w:pPr>
      <w:r>
        <w:rPr>
          <w:color w:val="8C8C8C"/>
          <w:sz w:val="12"/>
        </w:rPr>
        <w:t>cf-art-5-inc-L</w:t>
      </w:r>
      <w:r>
        <w:rPr>
          <w:color w:val="003CA0"/>
          <w:sz w:val="12"/>
        </w:rPr>
        <w:t xml:space="preserve"> | HC 91.570</w:t>
      </w:r>
      <w:r>
        <w:rPr>
          <w:color w:val="003CA0"/>
          <w:sz w:val="12"/>
        </w:rPr>
        <w:t xml:space="preserve"> | rel. Marco Aurélio</w:t>
      </w:r>
    </w:p>
    <w:p>
      <w:pPr>
        <w:ind w:left="288"/>
      </w:pPr>
      <w:r>
        <w:rPr>
          <w:color w:val="1E1E1E"/>
          <w:sz w:val="18"/>
        </w:rPr>
        <w:t>O habeas corpus não sofre qualquer peia, sendo-lhe estranhos os institutos da prescrição, da decadência e da preclusão ante o fator tempo.</w:t>
      </w:r>
    </w:p>
    <w:p>
      <w:pPr>
        <w:ind w:left="288"/>
      </w:pPr>
      <w:r>
        <w:rPr>
          <w:b/>
          <w:color w:val="003CA0"/>
          <w:sz w:val="16"/>
        </w:rPr>
        <w:t>[HC 91.570, rel. min. Marco Aurélio, j. 19-8-2008, 1ª T, DJE de 24-10-2008.]</w:t>
      </w:r>
    </w:p>
    <w:p>
      <w:pPr>
        <w:ind w:left="288"/>
      </w:pPr>
      <w:r>
        <w:rPr>
          <w:color w:val="8C8C8C"/>
          <w:sz w:val="12"/>
        </w:rPr>
        <w:t>cf-art-5-inc-L</w:t>
      </w:r>
      <w:r>
        <w:rPr>
          <w:color w:val="003CA0"/>
          <w:sz w:val="12"/>
        </w:rPr>
        <w:t xml:space="preserve"> | HC 94.154</w:t>
      </w:r>
      <w:r>
        <w:rPr>
          <w:color w:val="003CA0"/>
          <w:sz w:val="12"/>
        </w:rPr>
        <w:t xml:space="preserve"> | rel. Joaquim Barbosa</w:t>
      </w:r>
    </w:p>
    <w:p>
      <w:pPr>
        <w:ind w:left="288"/>
      </w:pPr>
      <w:r>
        <w:rPr>
          <w:color w:val="1E1E1E"/>
          <w:sz w:val="18"/>
        </w:rPr>
        <w:t>O real objetivo do impetrante é afastar a inabilitação do paciente para o exercício de funções públicas, que o impediria de participar do próximo pleito eleitoral. Ausente ameaça ao direito de ir e vir. O habeas corpus não pode se transformar em panaceia para quaisquer objetividades jurídicas, devendo restringir-se à garantia do direito de locomoção, que não está em jogo, na hipótese. A irresignação do paciente somente poderia ser objeto, se observados todos os seus pressupostos, de revisão criminal.</w:t>
      </w:r>
    </w:p>
    <w:p>
      <w:pPr>
        <w:ind w:left="288"/>
      </w:pPr>
      <w:r>
        <w:rPr>
          <w:b/>
          <w:color w:val="003CA0"/>
          <w:sz w:val="16"/>
        </w:rPr>
        <w:t>[HC 94.154, rel. min. Joaquim Barbosa, j. 24-6-2008, 1ª T, DJE de 19-9-2008.]</w:t>
      </w:r>
    </w:p>
    <w:p>
      <w:pPr>
        <w:ind w:left="288"/>
      </w:pPr>
      <w:r>
        <w:rPr>
          <w:color w:val="8C8C8C"/>
          <w:sz w:val="12"/>
        </w:rPr>
        <w:t>cf-art-5-inc-L</w:t>
      </w:r>
      <w:r>
        <w:rPr>
          <w:color w:val="003CA0"/>
          <w:sz w:val="12"/>
        </w:rPr>
        <w:t xml:space="preserve"> | HC 94.000</w:t>
      </w:r>
      <w:r>
        <w:rPr>
          <w:color w:val="003CA0"/>
          <w:sz w:val="12"/>
        </w:rPr>
        <w:t xml:space="preserve"> | rel. Ayres Britto</w:t>
      </w:r>
    </w:p>
    <w:p>
      <w:pPr>
        <w:ind w:left="288"/>
      </w:pPr>
      <w:r>
        <w:rPr>
          <w:color w:val="1E1E1E"/>
          <w:sz w:val="18"/>
        </w:rPr>
        <w:t>É pacífica a jurisprudência deste STF no sentido da inadmissibilidade de impetração sucessiva de habeas corpus, sem o julgamento definitivo do writ anteriormente impetrado. Tal jurisprudência comporta relativização, quando de logo avulta que o cerceio à liberdade de locomoção dos pacientes decorre de ilegalidade ou de abuso de poder (inciso LXVIII do art. 5º da CF/1988).</w:t>
      </w:r>
    </w:p>
    <w:p>
      <w:pPr>
        <w:ind w:left="288"/>
      </w:pPr>
      <w:r>
        <w:rPr>
          <w:b/>
          <w:color w:val="003CA0"/>
          <w:sz w:val="16"/>
        </w:rPr>
        <w:t>[HC 94.000, rel. min. Ayres Britto, j. 17-6-2008, 1ª T, DJE de 13-3-2009.]</w:t>
      </w:r>
    </w:p>
    <w:p>
      <w:pPr>
        <w:ind w:left="288"/>
      </w:pPr>
      <w:r>
        <w:rPr>
          <w:color w:val="8C8C8C"/>
          <w:sz w:val="12"/>
        </w:rPr>
        <w:t>cf-art-5-inc-L</w:t>
      </w:r>
      <w:r>
        <w:rPr>
          <w:color w:val="003CA0"/>
          <w:sz w:val="12"/>
        </w:rPr>
        <w:t xml:space="preserve"> | HC 94.224</w:t>
      </w:r>
      <w:r>
        <w:rPr>
          <w:color w:val="003CA0"/>
          <w:sz w:val="12"/>
        </w:rPr>
        <w:t xml:space="preserve"> | rel. Menezes Direito</w:t>
      </w:r>
    </w:p>
    <w:p>
      <w:pPr>
        <w:ind w:left="288"/>
      </w:pPr>
      <w:r>
        <w:rPr>
          <w:color w:val="1E1E1E"/>
          <w:sz w:val="18"/>
        </w:rPr>
        <w:t>É inviável o habeas corpus, pois a impetração, tal como posta nos autos, tem a finalidade exclusiva de alterar o local no qual deverá ser processado e julgado o paciente, o que demonstra, em última análise, que os impetrantes não buscam afastar ou evitar qualquer ameaça ao direito de locomoção do paciente mas, tão somente, alterar o órgão jurisdicional para o seu processamento e julgamento.</w:t>
      </w:r>
    </w:p>
    <w:p>
      <w:pPr>
        <w:ind w:left="288"/>
      </w:pPr>
      <w:r>
        <w:rPr>
          <w:b/>
          <w:color w:val="003CA0"/>
          <w:sz w:val="16"/>
        </w:rPr>
        <w:t>[HC 94.224 AgR, rel. min. Menezes Direito, j. 12-6-2008, P, DJE de 12-9-2008.]</w:t>
      </w:r>
    </w:p>
    <w:p>
      <w:pPr>
        <w:ind w:left="288"/>
      </w:pPr>
      <w:r>
        <w:rPr>
          <w:color w:val="8C8C8C"/>
          <w:sz w:val="12"/>
        </w:rPr>
        <w:t>cf-art-5-inc-L</w:t>
      </w:r>
      <w:r>
        <w:rPr>
          <w:color w:val="003CA0"/>
          <w:sz w:val="12"/>
        </w:rPr>
        <w:t xml:space="preserve"> | HC 93.345</w:t>
      </w:r>
      <w:r>
        <w:rPr>
          <w:color w:val="003CA0"/>
          <w:sz w:val="12"/>
        </w:rPr>
        <w:t xml:space="preserve"> | rel. Menezes Direito</w:t>
      </w:r>
    </w:p>
    <w:p>
      <w:pPr>
        <w:ind w:left="288"/>
      </w:pPr>
      <w:r>
        <w:rPr>
          <w:color w:val="1E1E1E"/>
          <w:sz w:val="18"/>
        </w:rPr>
        <w:t>Não é causa de prejudicialidade do habeas corpus a superveniência de sentença condenatória que mantém a prisão cautelar dos pacientes, com base nos fundamentos expostos no decreto preventivo.</w:t>
      </w:r>
    </w:p>
    <w:p>
      <w:pPr>
        <w:ind w:left="288"/>
      </w:pPr>
      <w:r>
        <w:rPr>
          <w:b/>
          <w:color w:val="003CA0"/>
          <w:sz w:val="16"/>
        </w:rPr>
        <w:t>[HC 93.345, rel. min. Menezes Direito, j. 3-6-2008, 1ª T, DJE de 1º-8-2008.]</w:t>
      </w:r>
    </w:p>
    <w:p>
      <w:pPr>
        <w:ind w:left="288"/>
      </w:pPr>
      <w:r>
        <w:rPr>
          <w:color w:val="8C8C8C"/>
          <w:sz w:val="12"/>
        </w:rPr>
        <w:t>cf-art-5-inc-L</w:t>
      </w:r>
      <w:r>
        <w:rPr>
          <w:color w:val="003CA0"/>
          <w:sz w:val="12"/>
        </w:rPr>
        <w:t xml:space="preserve"> | HC 104.459</w:t>
      </w:r>
      <w:r>
        <w:rPr>
          <w:color w:val="003CA0"/>
          <w:sz w:val="12"/>
        </w:rPr>
        <w:t xml:space="preserve"> | rel. Ricardo Lewandowski</w:t>
      </w:r>
    </w:p>
    <w:p>
      <w:pPr>
        <w:ind w:left="288"/>
      </w:pPr>
      <w:r>
        <w:rPr>
          <w:color w:val="1E1E1E"/>
          <w:sz w:val="18"/>
        </w:rPr>
        <w:t>= HC 104.459, rel. min. Ricardo Lewandowski, j. 14-9-2010, 1ª T, DJE de 3-11-2010 Vide HC 97.649 AgR, rel. min. Ellen Gracie, j. 15-9-2009, 2ª T, DJE de 9-10-2009 Não é possível a desistência do habeas corpus após o seu julgamento pelo Colegiado. Conhecimento como desistência de recursos.</w:t>
      </w:r>
    </w:p>
    <w:p>
      <w:pPr>
        <w:ind w:left="288"/>
      </w:pPr>
      <w:r>
        <w:rPr>
          <w:b/>
          <w:color w:val="003CA0"/>
          <w:sz w:val="16"/>
        </w:rPr>
        <w:t>[HC 92.170 segundo julgamento, red. do ac. min. Ricardo Lewandowski, j. 27-5-2008, 1ª T, DJE de 15-8-2008.]</w:t>
      </w:r>
    </w:p>
    <w:p>
      <w:pPr>
        <w:ind w:left="288"/>
      </w:pPr>
      <w:r>
        <w:rPr>
          <w:color w:val="8C8C8C"/>
          <w:sz w:val="12"/>
        </w:rPr>
        <w:t>cf-art-5-inc-L</w:t>
      </w:r>
      <w:r>
        <w:rPr>
          <w:color w:val="003CA0"/>
          <w:sz w:val="12"/>
        </w:rPr>
        <w:t xml:space="preserve"> | RHC 82.365</w:t>
      </w:r>
      <w:r>
        <w:rPr>
          <w:color w:val="003CA0"/>
          <w:sz w:val="12"/>
        </w:rPr>
        <w:t xml:space="preserve"> | rel. Cezar Peluso</w:t>
      </w:r>
    </w:p>
    <w:p>
      <w:pPr>
        <w:ind w:left="288"/>
      </w:pPr>
      <w:r>
        <w:rPr>
          <w:color w:val="1E1E1E"/>
          <w:sz w:val="18"/>
        </w:rPr>
        <w:t>A aceitação de proposta de suspensão condicional do processo não subtrai ao réu o interesse jurídico para ajuizar pedido de habeas corpus para trancamento da ação penal por falta de justa causa.</w:t>
      </w:r>
    </w:p>
    <w:p>
      <w:pPr>
        <w:ind w:left="288"/>
      </w:pPr>
      <w:r>
        <w:rPr>
          <w:b/>
          <w:color w:val="003CA0"/>
          <w:sz w:val="16"/>
        </w:rPr>
        <w:t>[RHC 82.365, rel. min. Cezar Peluso, j. 27-5-2008, 2ª T, DJE de 27-6-2008.]</w:t>
      </w:r>
    </w:p>
    <w:p>
      <w:pPr>
        <w:ind w:left="288"/>
      </w:pPr>
      <w:r>
        <w:rPr>
          <w:color w:val="8C8C8C"/>
          <w:sz w:val="12"/>
        </w:rPr>
        <w:t>cf-art-5-inc-L</w:t>
      </w:r>
      <w:r>
        <w:rPr>
          <w:color w:val="003CA0"/>
          <w:sz w:val="12"/>
        </w:rPr>
        <w:t xml:space="preserve"> | PET 3.898</w:t>
      </w:r>
      <w:r>
        <w:rPr>
          <w:color w:val="003CA0"/>
          <w:sz w:val="12"/>
        </w:rPr>
        <w:t xml:space="preserve"> | rel. Gilmar Mendes</w:t>
      </w:r>
    </w:p>
    <w:p>
      <w:pPr>
        <w:ind w:left="288"/>
      </w:pPr>
      <w:r>
        <w:rPr>
          <w:color w:val="1E1E1E"/>
          <w:sz w:val="18"/>
        </w:rPr>
        <w:t>Vide Pet 3.898, rel. min. Gilmar Mendes, j. 27-8-2009, P, DJE de 18-12-2009 O habeas corpus constitui remédio hábil para arguição e pronúncia de nulidade do processo, ainda que já tenha transitado em julgado a sentença penal condenatória.</w:t>
      </w:r>
    </w:p>
    <w:p>
      <w:pPr>
        <w:ind w:left="288"/>
      </w:pPr>
      <w:r>
        <w:rPr>
          <w:b/>
          <w:color w:val="003CA0"/>
          <w:sz w:val="16"/>
        </w:rPr>
        <w:t>[HC 93.942, rel. min. Cezar Peluso, j. 6-5-2008, 2ª T, DJE de 1º-8-2008.]</w:t>
      </w:r>
    </w:p>
    <w:p>
      <w:pPr>
        <w:ind w:left="288"/>
      </w:pPr>
      <w:r>
        <w:rPr>
          <w:color w:val="8C8C8C"/>
          <w:sz w:val="12"/>
        </w:rPr>
        <w:t>cf-art-5-inc-L</w:t>
      </w:r>
      <w:r>
        <w:rPr>
          <w:color w:val="003CA0"/>
          <w:sz w:val="12"/>
        </w:rPr>
        <w:t xml:space="preserve"> | HC 92.487</w:t>
      </w:r>
      <w:r>
        <w:rPr>
          <w:color w:val="003CA0"/>
          <w:sz w:val="12"/>
        </w:rPr>
        <w:t xml:space="preserve"> | rel. Marco Aurélio</w:t>
      </w:r>
    </w:p>
    <w:p>
      <w:pPr>
        <w:ind w:left="288"/>
      </w:pPr>
      <w:r>
        <w:rPr>
          <w:color w:val="1E1E1E"/>
          <w:sz w:val="18"/>
        </w:rPr>
        <w:t>Habeas corpus. Impetrações sucessivas. A sucessividade de impetrações, com processos em curso, não implica o prejuízo das formalizadas nos tribunais de origem, ainda que no Supremo haja sido deferida liminar, sempre de caráter precário e efêmero. Habeas corpus. Indeferimento de liminar em idêntica medida. Extinção de processo sem apreciação do mérito. Alcance. Estando o habeas por último impetrado voltado contra indeferimento de liminar em idêntica medida, sendo esta extinta sem julgamento de mérito, ocorre o prejuízo do pedido. Habeas corpus de ofício. Alcance. O instituto da concessão de hab</w:t>
      </w:r>
    </w:p>
    <w:p>
      <w:pPr>
        <w:ind w:left="288"/>
      </w:pPr>
      <w:r>
        <w:rPr>
          <w:b/>
          <w:color w:val="003CA0"/>
          <w:sz w:val="16"/>
        </w:rPr>
        <w:t>[HC 92.487, rel. min. Marco Aurélio, j. 25-3-2008, 1ª T, DJE 1º-8-2008.]</w:t>
      </w:r>
    </w:p>
    <w:p>
      <w:pPr>
        <w:ind w:left="288"/>
      </w:pPr>
      <w:r>
        <w:rPr>
          <w:color w:val="8C8C8C"/>
          <w:sz w:val="12"/>
        </w:rPr>
        <w:t>cf-art-5-inc-L</w:t>
      </w:r>
      <w:r>
        <w:rPr>
          <w:color w:val="003CA0"/>
          <w:sz w:val="12"/>
        </w:rPr>
        <w:t xml:space="preserve"> | HC 88.062</w:t>
      </w:r>
      <w:r>
        <w:rPr>
          <w:color w:val="003CA0"/>
          <w:sz w:val="12"/>
        </w:rPr>
        <w:t xml:space="preserve"> | rel. Marco Aurélio</w:t>
      </w:r>
    </w:p>
    <w:p>
      <w:pPr>
        <w:ind w:left="288"/>
      </w:pPr>
      <w:r>
        <w:rPr>
          <w:color w:val="1E1E1E"/>
          <w:sz w:val="18"/>
        </w:rPr>
        <w:t>Habeas corpus. Extensão. Fator temporal. O fato de a Turma haver apreciado o habeas corpus não implica óbice à extensão da ordem, a ser implementada mediante submissão da matéria ao Colegiado.</w:t>
      </w:r>
    </w:p>
    <w:p>
      <w:pPr>
        <w:ind w:left="288"/>
      </w:pPr>
      <w:r>
        <w:rPr>
          <w:b/>
          <w:color w:val="003CA0"/>
          <w:sz w:val="16"/>
        </w:rPr>
        <w:t>[HC 88.062, rel. min. Marco Aurélio, j. 18-3-2008, 1ª T, DJE de 9-5-2008.]</w:t>
      </w:r>
    </w:p>
    <w:p>
      <w:pPr>
        <w:ind w:left="288"/>
      </w:pPr>
      <w:r>
        <w:rPr>
          <w:color w:val="8C8C8C"/>
          <w:sz w:val="12"/>
        </w:rPr>
        <w:t>cf-art-5-inc-L</w:t>
      </w:r>
      <w:r>
        <w:rPr>
          <w:color w:val="003CA0"/>
          <w:sz w:val="12"/>
        </w:rPr>
        <w:t xml:space="preserve"> | HC 91.352</w:t>
      </w:r>
      <w:r>
        <w:rPr>
          <w:color w:val="003CA0"/>
          <w:sz w:val="12"/>
        </w:rPr>
        <w:t xml:space="preserve"> | rel. Menezes Direito</w:t>
      </w:r>
    </w:p>
    <w:p>
      <w:pPr>
        <w:ind w:left="288"/>
      </w:pPr>
      <w:r>
        <w:rPr>
          <w:color w:val="1E1E1E"/>
          <w:sz w:val="18"/>
        </w:rPr>
        <w:t>O habeas corpus não tem passagem quando impugna ato emanado por órgão fracionário deste Tribunal. Incidência da Súmula 606/STF.</w:t>
      </w:r>
    </w:p>
    <w:p>
      <w:pPr>
        <w:ind w:left="288"/>
      </w:pPr>
      <w:r>
        <w:rPr>
          <w:b/>
          <w:color w:val="003CA0"/>
          <w:sz w:val="16"/>
        </w:rPr>
        <w:t>[HC 91.352, rel. min. Menezes Direito, j. 28-2-2008, P, DJE de 18-4-2008.]</w:t>
      </w:r>
    </w:p>
    <w:p>
      <w:pPr>
        <w:ind w:left="288"/>
      </w:pPr>
      <w:r>
        <w:rPr>
          <w:color w:val="8C8C8C"/>
          <w:sz w:val="12"/>
        </w:rPr>
        <w:t>cf-art-5-inc-L</w:t>
      </w:r>
      <w:r>
        <w:rPr>
          <w:color w:val="003CA0"/>
          <w:sz w:val="12"/>
        </w:rPr>
        <w:t xml:space="preserve"> | HC 84.444</w:t>
      </w:r>
      <w:r>
        <w:rPr>
          <w:color w:val="003CA0"/>
          <w:sz w:val="12"/>
        </w:rPr>
        <w:t xml:space="preserve"> | rel. Celso de Mello</w:t>
      </w:r>
    </w:p>
    <w:p>
      <w:pPr>
        <w:ind w:left="288"/>
      </w:pPr>
      <w:r>
        <w:rPr>
          <w:color w:val="1E1E1E"/>
          <w:sz w:val="18"/>
        </w:rPr>
        <w:t>Vide HC 84.444 AgR, rel. min. Celso de Mello, j. 9-8-2007, P, DJ de 14-9-2007 Vide HC 80.082 QO, rel. min. Sepúlveda Pertence, j. 16-8-2001, P, DJ de 1º-8-2003 A decretação da perda do cargo público não se discute em habeas corpus por se tratar de via processual inadequada para discutir sua validade, dado que não representa ameaça à liberdade de locomoção.</w:t>
      </w:r>
    </w:p>
    <w:p>
      <w:pPr>
        <w:ind w:left="288"/>
      </w:pPr>
      <w:r>
        <w:rPr>
          <w:b/>
          <w:color w:val="003CA0"/>
          <w:sz w:val="16"/>
        </w:rPr>
        <w:t>[HC 91.760, rel. min. Cármen Lúcia, j. 30-10-2007, 1ª T, DJE de 29-2-2008.]</w:t>
      </w:r>
    </w:p>
    <w:p>
      <w:pPr>
        <w:ind w:left="288"/>
      </w:pPr>
      <w:r>
        <w:rPr>
          <w:color w:val="8C8C8C"/>
          <w:sz w:val="12"/>
        </w:rPr>
        <w:t>cf-art-5-inc-L</w:t>
      </w:r>
      <w:r>
        <w:rPr>
          <w:color w:val="003CA0"/>
          <w:sz w:val="12"/>
        </w:rPr>
        <w:t xml:space="preserve"> | HC 92.534</w:t>
      </w:r>
      <w:r>
        <w:rPr>
          <w:color w:val="003CA0"/>
          <w:sz w:val="12"/>
        </w:rPr>
        <w:t xml:space="preserve"> | rel. Ayres Britto</w:t>
      </w:r>
    </w:p>
    <w:p>
      <w:pPr>
        <w:ind w:left="288"/>
      </w:pPr>
      <w:r>
        <w:rPr>
          <w:color w:val="1E1E1E"/>
          <w:sz w:val="18"/>
        </w:rPr>
        <w:t>É certo que o enunciado da Súmula 691/STF comporta relativização. Mas somente quando, de logo, avulta que o cerceio à liberdade de locomoção do paciente decorre de ilegalidade ou abuso de poder (...).</w:t>
      </w:r>
    </w:p>
    <w:p>
      <w:pPr>
        <w:ind w:left="288"/>
      </w:pPr>
      <w:r>
        <w:rPr>
          <w:b/>
          <w:color w:val="003CA0"/>
          <w:sz w:val="16"/>
        </w:rPr>
        <w:t>[HC 92.534 AgR, rel. min. Ayres Britto, j. 23-10-2007, 1ª T, DJE de 29-8-2008.]</w:t>
      </w:r>
    </w:p>
    <w:p>
      <w:pPr>
        <w:ind w:left="288"/>
      </w:pPr>
      <w:r>
        <w:rPr>
          <w:color w:val="8C8C8C"/>
          <w:sz w:val="12"/>
        </w:rPr>
        <w:t>cf-art-5-inc-L</w:t>
      </w:r>
      <w:r>
        <w:rPr>
          <w:color w:val="003CA0"/>
          <w:sz w:val="12"/>
        </w:rPr>
        <w:t xml:space="preserve"> | HC 98.920</w:t>
      </w:r>
      <w:r>
        <w:rPr>
          <w:color w:val="003CA0"/>
          <w:sz w:val="12"/>
        </w:rPr>
        <w:t xml:space="preserve"> | rel. Luiz Fux</w:t>
      </w:r>
    </w:p>
    <w:p>
      <w:pPr>
        <w:ind w:left="288"/>
      </w:pPr>
      <w:r>
        <w:rPr>
          <w:color w:val="1E1E1E"/>
          <w:sz w:val="18"/>
        </w:rPr>
        <w:t>= HC 98.920 AgR, rel. min. Luiz Fux, j. 28-6-2011, 1ª T, DJE de 9-8-2011 O habeas corpus não se presta a discutir os requisitos subjetivos para a concessão de progressão de regime.</w:t>
      </w:r>
    </w:p>
    <w:p>
      <w:pPr>
        <w:ind w:left="288"/>
      </w:pPr>
      <w:r>
        <w:rPr>
          <w:b/>
          <w:color w:val="003CA0"/>
          <w:sz w:val="16"/>
        </w:rPr>
        <w:t>[HC 91.440, rel. min. Ricardo Lewandowski, j. 25-9-2007, 1ª T, DJ de 11-10-2007.]</w:t>
      </w:r>
    </w:p>
    <w:p>
      <w:pPr>
        <w:ind w:left="288"/>
      </w:pPr>
      <w:r>
        <w:rPr>
          <w:color w:val="8C8C8C"/>
          <w:sz w:val="12"/>
        </w:rPr>
        <w:t>cf-art-5-inc-L</w:t>
      </w:r>
      <w:r>
        <w:rPr>
          <w:color w:val="003CA0"/>
          <w:sz w:val="12"/>
        </w:rPr>
        <w:t xml:space="preserve"> | HC 95.746</w:t>
      </w:r>
      <w:r>
        <w:rPr>
          <w:color w:val="003CA0"/>
          <w:sz w:val="12"/>
        </w:rPr>
        <w:t xml:space="preserve"> | rel. Cármen Lúcia</w:t>
      </w:r>
    </w:p>
    <w:p>
      <w:pPr>
        <w:ind w:left="288"/>
      </w:pPr>
      <w:r>
        <w:rPr>
          <w:color w:val="1E1E1E"/>
          <w:sz w:val="18"/>
        </w:rPr>
        <w:t>= HC 95.746, rel. min. Cármen Lúcia, j. 30-9-2008, 1ª T, DJE de 1º-2-2011 O habeas corpus deve ser apresentado ao Colegiado após seu regular processamento, sendo indevida a decisão monocrática terminativa depois de apreciado o pedido liminar e oferecido o parecer do Ministério Público.</w:t>
      </w:r>
    </w:p>
    <w:p>
      <w:pPr>
        <w:ind w:left="288"/>
      </w:pPr>
      <w:r>
        <w:rPr>
          <w:b/>
          <w:color w:val="003CA0"/>
          <w:sz w:val="16"/>
        </w:rPr>
        <w:t>[HC 90.367, rel. min. Ricardo Lewandowski, j. 11-9-2007, 1ª T, DJ de 19-10-2007.]</w:t>
      </w:r>
    </w:p>
    <w:p>
      <w:pPr>
        <w:ind w:left="288"/>
      </w:pPr>
      <w:r>
        <w:rPr>
          <w:color w:val="8C8C8C"/>
          <w:sz w:val="12"/>
        </w:rPr>
        <w:t>cf-art-5-inc-L</w:t>
      </w:r>
      <w:r>
        <w:rPr>
          <w:color w:val="003CA0"/>
          <w:sz w:val="12"/>
        </w:rPr>
        <w:t xml:space="preserve"> | HC 90.138</w:t>
      </w:r>
      <w:r>
        <w:rPr>
          <w:color w:val="003CA0"/>
          <w:sz w:val="12"/>
        </w:rPr>
        <w:t xml:space="preserve"> | rel. Ricardo Lewandowski</w:t>
      </w:r>
    </w:p>
    <w:p>
      <w:pPr>
        <w:ind w:left="288"/>
      </w:pPr>
      <w:r>
        <w:rPr>
          <w:color w:val="1E1E1E"/>
          <w:sz w:val="18"/>
        </w:rPr>
        <w:t>A concessão de habeas corpus a determinados corréus, em situações processuais diversas, não implica violação ao princípio da isonomia.</w:t>
      </w:r>
    </w:p>
    <w:p>
      <w:pPr>
        <w:ind w:left="288"/>
      </w:pPr>
      <w:r>
        <w:rPr>
          <w:b/>
          <w:color w:val="003CA0"/>
          <w:sz w:val="16"/>
        </w:rPr>
        <w:t>[HC 90.138, rel. min. Ricardo Lewandowski, j. 11-9-2007, 1ª T, DJ de 28-9-2007.]</w:t>
      </w:r>
    </w:p>
    <w:p>
      <w:pPr>
        <w:ind w:left="288"/>
      </w:pPr>
      <w:r>
        <w:rPr>
          <w:color w:val="8C8C8C"/>
          <w:sz w:val="12"/>
        </w:rPr>
        <w:t>cf-art-5-inc-L</w:t>
      </w:r>
      <w:r>
        <w:rPr>
          <w:color w:val="003CA0"/>
          <w:sz w:val="12"/>
        </w:rPr>
        <w:t xml:space="preserve"> | HC 89.222</w:t>
      </w:r>
      <w:r>
        <w:rPr>
          <w:color w:val="003CA0"/>
          <w:sz w:val="12"/>
        </w:rPr>
        <w:t xml:space="preserve"> | rel. Marco Aurélio</w:t>
      </w:r>
    </w:p>
    <w:p>
      <w:pPr>
        <w:ind w:left="288"/>
      </w:pPr>
      <w:r>
        <w:rPr>
          <w:color w:val="1E1E1E"/>
          <w:sz w:val="18"/>
        </w:rPr>
        <w:t>A passagem do tempo não prejudica o habeas corpus quando voltado ao reconhecimento de nulidade absoluta e presente o direito de ir e vir.</w:t>
      </w:r>
    </w:p>
    <w:p>
      <w:pPr>
        <w:ind w:left="288"/>
      </w:pPr>
      <w:r>
        <w:rPr>
          <w:b/>
          <w:color w:val="003CA0"/>
          <w:sz w:val="16"/>
        </w:rPr>
        <w:t>[HC 89.222, rel. min. Marco Aurélio, j. 4-9-2007, 1ª T, DJE de 31-10-2008.]</w:t>
      </w:r>
    </w:p>
    <w:p>
      <w:pPr>
        <w:ind w:left="288"/>
      </w:pPr>
      <w:r>
        <w:rPr>
          <w:color w:val="8C8C8C"/>
          <w:sz w:val="12"/>
        </w:rPr>
        <w:t>cf-art-5-inc-L</w:t>
      </w:r>
      <w:r>
        <w:rPr>
          <w:color w:val="003CA0"/>
          <w:sz w:val="12"/>
        </w:rPr>
        <w:t xml:space="preserve"> | HC 91.233</w:t>
      </w:r>
      <w:r>
        <w:rPr>
          <w:color w:val="003CA0"/>
          <w:sz w:val="12"/>
        </w:rPr>
        <w:t xml:space="preserve"> | rel. Marco Aurélio</w:t>
      </w:r>
    </w:p>
    <w:p>
      <w:pPr>
        <w:ind w:left="288"/>
      </w:pPr>
      <w:r>
        <w:rPr>
          <w:color w:val="1E1E1E"/>
          <w:sz w:val="18"/>
        </w:rPr>
        <w:t>Habeas corpus. Instrumentalidade. Afastamento da ortodoxia. A envergadura maior do habeas, no que direcionado à preservação da liberdade de ir e vir, leva à flexibilização da forma.</w:t>
      </w:r>
    </w:p>
    <w:p>
      <w:pPr>
        <w:ind w:left="288"/>
      </w:pPr>
      <w:r>
        <w:rPr>
          <w:b/>
          <w:color w:val="003CA0"/>
          <w:sz w:val="16"/>
        </w:rPr>
        <w:t>[HC 91.233, rel. min. Marco Aurélio, j. 19-6-2007, 1ª T, DJ de 11-10-2007.]</w:t>
      </w:r>
    </w:p>
    <w:p>
      <w:pPr>
        <w:ind w:left="288"/>
      </w:pPr>
      <w:r>
        <w:rPr>
          <w:color w:val="8C8C8C"/>
          <w:sz w:val="12"/>
        </w:rPr>
        <w:t>cf-art-5-inc-L</w:t>
      </w:r>
      <w:r>
        <w:rPr>
          <w:color w:val="003CA0"/>
          <w:sz w:val="12"/>
        </w:rPr>
        <w:t xml:space="preserve"> | HC 91.200</w:t>
      </w:r>
      <w:r>
        <w:rPr>
          <w:color w:val="003CA0"/>
          <w:sz w:val="12"/>
        </w:rPr>
        <w:t xml:space="preserve"> | rel. Marco Aurélio</w:t>
      </w:r>
    </w:p>
    <w:p>
      <w:pPr>
        <w:ind w:left="288"/>
      </w:pPr>
      <w:r>
        <w:rPr>
          <w:color w:val="1E1E1E"/>
          <w:sz w:val="18"/>
        </w:rPr>
        <w:t>O habeas corpus, voltado à preservação da liberdade de ir e vir, deve merecer, sob todos os títulos, preferência no julgamento.</w:t>
      </w:r>
    </w:p>
    <w:p>
      <w:pPr>
        <w:ind w:left="288"/>
      </w:pPr>
      <w:r>
        <w:rPr>
          <w:b/>
          <w:color w:val="003CA0"/>
          <w:sz w:val="16"/>
        </w:rPr>
        <w:t>[HC 91.200, rel. min. Marco Aurélio, j. 19-6-2007, 1ª T, DJ de 11-10-2007.]</w:t>
      </w:r>
    </w:p>
    <w:p>
      <w:pPr>
        <w:ind w:left="288"/>
      </w:pPr>
      <w:r>
        <w:rPr>
          <w:color w:val="8C8C8C"/>
          <w:sz w:val="12"/>
        </w:rPr>
        <w:t>cf-art-5-inc-L</w:t>
      </w:r>
      <w:r>
        <w:rPr>
          <w:color w:val="003CA0"/>
          <w:sz w:val="12"/>
        </w:rPr>
        <w:t xml:space="preserve"> | HC 91.041</w:t>
      </w:r>
      <w:r>
        <w:rPr>
          <w:color w:val="003CA0"/>
          <w:sz w:val="12"/>
        </w:rPr>
        <w:t xml:space="preserve"> | rel. Cármen Lúcia</w:t>
      </w:r>
    </w:p>
    <w:p>
      <w:pPr>
        <w:ind w:left="288"/>
      </w:pPr>
      <w:r>
        <w:rPr>
          <w:color w:val="1E1E1E"/>
          <w:sz w:val="18"/>
        </w:rPr>
        <w:t>O direito a razoável duração do processo, do ângulo do indivíduo, transmuta-se em tradicional garantia de acesso eficaz ao Poder Judiciário. Direito, esse, a que corresponde o dever estatal de julgar. No habeas corpus, o dever de decidir se marca por um tônus de presteza máxima. Assiste ao STF determinar aos tribunais superiores o julgamento de mérito de habeas corpus, se entender irrazoável a demora no julgamento. Isso, é claro, sempre que o impetrante se desincumbir do seu dever processual de pré-constituir a prova de que se encontra padecente de "violência ou coação em sua liberdade de loco</w:t>
      </w:r>
    </w:p>
    <w:p>
      <w:pPr>
        <w:ind w:left="288"/>
      </w:pPr>
      <w:r>
        <w:rPr>
          <w:b/>
          <w:color w:val="003CA0"/>
          <w:sz w:val="16"/>
        </w:rPr>
        <w:t>[HC 91.041, rel. min. Cármen Lúcia, red. do ac. min. Ayres Britto, j. 5-6-2007, 1ª T, DJ de 17-8-2007.]</w:t>
      </w:r>
    </w:p>
    <w:p>
      <w:pPr>
        <w:ind w:left="288"/>
      </w:pPr>
      <w:r>
        <w:rPr>
          <w:color w:val="8C8C8C"/>
          <w:sz w:val="12"/>
        </w:rPr>
        <w:t>cf-art-5-inc-L</w:t>
      </w:r>
      <w:r>
        <w:rPr>
          <w:color w:val="003CA0"/>
          <w:sz w:val="12"/>
        </w:rPr>
        <w:t xml:space="preserve"> | HC 103.108</w:t>
      </w:r>
      <w:r>
        <w:rPr>
          <w:color w:val="003CA0"/>
          <w:sz w:val="12"/>
        </w:rPr>
        <w:t xml:space="preserve"> | rel. Dias Toffoli</w:t>
      </w:r>
    </w:p>
    <w:p>
      <w:pPr>
        <w:ind w:left="288"/>
      </w:pPr>
      <w:r>
        <w:rPr>
          <w:color w:val="1E1E1E"/>
          <w:sz w:val="18"/>
        </w:rPr>
        <w:t>= HC 103.108, rel. min. Dias Toffoli, j. 29-6-2010, 1ª T, DJE de 27-8-2010 A via do habeas corpus não é a adequada para o fim pretendido pela impetrante -- pedido de reabilitação do paciente. Extinta a punibilidade ou encerrada a sua execução, não há se falar em constrangimento à liberdade de locomoção do paciente a ser protegido via habeas corpus.</w:t>
      </w:r>
    </w:p>
    <w:p>
      <w:pPr>
        <w:ind w:left="288"/>
      </w:pPr>
      <w:r>
        <w:rPr>
          <w:b/>
          <w:color w:val="003CA0"/>
          <w:sz w:val="16"/>
        </w:rPr>
        <w:t>[HC 90.554, rel. min. Cármen Lúcia, j. 6-3-2007, 1ª T, DJ de 23-3-2007.]</w:t>
      </w:r>
    </w:p>
    <w:p>
      <w:pPr>
        <w:ind w:left="288"/>
      </w:pPr>
      <w:r>
        <w:rPr>
          <w:color w:val="8C8C8C"/>
          <w:sz w:val="12"/>
        </w:rPr>
        <w:t>cf-art-5-inc-L</w:t>
      </w:r>
      <w:r>
        <w:rPr>
          <w:color w:val="003CA0"/>
          <w:sz w:val="12"/>
        </w:rPr>
        <w:t xml:space="preserve"> | HC 89.105</w:t>
      </w:r>
      <w:r>
        <w:rPr>
          <w:color w:val="003CA0"/>
          <w:sz w:val="12"/>
        </w:rPr>
        <w:t xml:space="preserve"> | rel. Gilmar Mendes</w:t>
      </w:r>
    </w:p>
    <w:p>
      <w:pPr>
        <w:ind w:left="288"/>
      </w:pPr>
      <w:r>
        <w:rPr>
          <w:color w:val="1E1E1E"/>
          <w:sz w:val="18"/>
        </w:rPr>
        <w:t>A extensão da decisão em habeas corpus para corréu somente pode abranger aquele que esteja em situação objetivamente e/ou subjetivamente idêntica à do beneficiado.</w:t>
      </w:r>
    </w:p>
    <w:p>
      <w:pPr>
        <w:ind w:left="288"/>
      </w:pPr>
      <w:r>
        <w:rPr>
          <w:b/>
          <w:color w:val="003CA0"/>
          <w:sz w:val="16"/>
        </w:rPr>
        <w:t>[HC 89.105 segunda extensão, rel. min. Gilmar Mendes, j. 27-2-2007, 2ª T, DJ de 14-9-2007.]</w:t>
      </w:r>
    </w:p>
    <w:p>
      <w:pPr>
        <w:ind w:left="288"/>
      </w:pPr>
      <w:r>
        <w:rPr>
          <w:color w:val="8C8C8C"/>
          <w:sz w:val="12"/>
        </w:rPr>
        <w:t>cf-art-5-inc-L</w:t>
      </w:r>
      <w:r>
        <w:rPr>
          <w:color w:val="003CA0"/>
          <w:sz w:val="12"/>
        </w:rPr>
        <w:t xml:space="preserve"> | HC 97.599</w:t>
      </w:r>
      <w:r>
        <w:rPr>
          <w:color w:val="003CA0"/>
          <w:sz w:val="12"/>
        </w:rPr>
        <w:t xml:space="preserve"> | rel. Dias Toffoli</w:t>
      </w:r>
    </w:p>
    <w:p>
      <w:pPr>
        <w:ind w:left="288"/>
      </w:pPr>
      <w:r>
        <w:rPr>
          <w:color w:val="1E1E1E"/>
          <w:sz w:val="18"/>
        </w:rPr>
        <w:t>= HC 97.599, rel. min. Dias Toffoli, j. 9-3-2010, 1ª T, DJE de 16-4-2010 Vide HC 83.428, rel. min. Cezar Peluso, j. 6-10-2009, 2ª T, DJE de 27-11-2009 A superveniência de sentença penal condenatória torna prejudicada a impetração que visava ao trancamento da ação penal, por falta de justa causa (precedentes).</w:t>
      </w:r>
    </w:p>
    <w:p>
      <w:pPr>
        <w:ind w:left="288"/>
      </w:pPr>
      <w:r>
        <w:rPr>
          <w:b/>
          <w:color w:val="003CA0"/>
          <w:sz w:val="16"/>
        </w:rPr>
        <w:t>[HC 88.292, rel. min. Eros Grau, j. 13-6-2006, 2ª T, DJE de 4-8-2006.]</w:t>
      </w:r>
    </w:p>
    <w:p>
      <w:pPr>
        <w:ind w:left="288"/>
      </w:pPr>
      <w:r>
        <w:rPr>
          <w:color w:val="8C8C8C"/>
          <w:sz w:val="12"/>
        </w:rPr>
        <w:t>cf-art-5-inc-L</w:t>
      </w:r>
      <w:r>
        <w:rPr>
          <w:color w:val="003CA0"/>
          <w:sz w:val="12"/>
        </w:rPr>
        <w:t xml:space="preserve"> | HC 97.725</w:t>
      </w:r>
      <w:r>
        <w:rPr>
          <w:color w:val="003CA0"/>
          <w:sz w:val="12"/>
        </w:rPr>
        <w:t xml:space="preserve"> | rel. Cármen Lúcia</w:t>
      </w:r>
    </w:p>
    <w:p>
      <w:pPr>
        <w:ind w:left="288"/>
      </w:pPr>
      <w:r>
        <w:rPr>
          <w:color w:val="1E1E1E"/>
          <w:sz w:val="18"/>
        </w:rPr>
        <w:t>= HC 97.725, rel. min. Cármen Lúcia, j. 9-3-2010, 1ª T, DJE de 26-3-2010 Vide HC 88.521, rel. min. Joaquim Barbosa, j. 29-9-2009, 2ª T, DJE de 20-8-2010 Jurisprudência predominante no STF no sentido de que, salvo no caso de querelante, não há compatibilidade entre o rito do habeas corpus e os tipos de intervenção de terceiro.</w:t>
      </w:r>
    </w:p>
    <w:p>
      <w:pPr>
        <w:ind w:left="288"/>
      </w:pPr>
      <w:r>
        <w:rPr>
          <w:b/>
          <w:color w:val="003CA0"/>
          <w:sz w:val="16"/>
        </w:rPr>
        <w:t>[HC 83.170, rel. min. Gilmar Mendes, j. 18-5-2006, P, DJ de 9-6-2006.]</w:t>
      </w:r>
    </w:p>
    <w:p>
      <w:pPr>
        <w:ind w:left="288"/>
      </w:pPr>
      <w:r>
        <w:rPr>
          <w:color w:val="8C8C8C"/>
          <w:sz w:val="12"/>
        </w:rPr>
        <w:t>cf-art-5-inc-L</w:t>
      </w:r>
      <w:r>
        <w:rPr>
          <w:color w:val="003CA0"/>
          <w:sz w:val="12"/>
        </w:rPr>
        <w:t xml:space="preserve"> | HC 93.033</w:t>
      </w:r>
      <w:r>
        <w:rPr>
          <w:color w:val="003CA0"/>
          <w:sz w:val="12"/>
        </w:rPr>
        <w:t xml:space="preserve"> | rel. Celso de Mello</w:t>
      </w:r>
    </w:p>
    <w:p>
      <w:pPr>
        <w:ind w:left="288"/>
      </w:pPr>
      <w:r>
        <w:rPr>
          <w:color w:val="1E1E1E"/>
          <w:sz w:val="18"/>
        </w:rPr>
        <w:t>= HC 93.033, rel. min. Celso de Mello, j. 1º-8-2011, dec. monocrática, DJE de 8-8-2011 O CPP, em consonância com o Texto Constitucional de 1988, prestigia o caráter popular do habeas corpus, ao admitir a impetração por qualquer pessoa, em seu favor ou de outrem. Assim, não é de se exigir habilitação legal para impetração originária do writ ou para interposição do respectivo recurso ordinário.</w:t>
      </w:r>
    </w:p>
    <w:p>
      <w:pPr>
        <w:ind w:left="288"/>
      </w:pPr>
      <w:r>
        <w:rPr>
          <w:b/>
          <w:color w:val="003CA0"/>
          <w:sz w:val="16"/>
        </w:rPr>
        <w:t>[HC 86.307, rel. min. Ayres Britto, j. 17-11-2005, 1ª T, DJ de 26-5-2006.]</w:t>
      </w:r>
    </w:p>
    <w:p>
      <w:pPr>
        <w:ind w:left="288"/>
      </w:pPr>
      <w:r>
        <w:rPr>
          <w:color w:val="8C8C8C"/>
          <w:sz w:val="12"/>
        </w:rPr>
        <w:t>cf-art-5-inc-L</w:t>
      </w:r>
      <w:r>
        <w:rPr>
          <w:color w:val="003CA0"/>
          <w:sz w:val="12"/>
        </w:rPr>
        <w:t xml:space="preserve"> | HC 86.619</w:t>
      </w:r>
      <w:r>
        <w:rPr>
          <w:color w:val="003CA0"/>
          <w:sz w:val="12"/>
        </w:rPr>
        <w:t xml:space="preserve"> | rel. Sepúlveda Pertence</w:t>
      </w:r>
    </w:p>
    <w:p>
      <w:pPr>
        <w:ind w:left="288"/>
      </w:pPr>
      <w:r>
        <w:rPr>
          <w:color w:val="1E1E1E"/>
          <w:sz w:val="18"/>
        </w:rPr>
        <w:t>Habeas corpus: cabimento quanto à condenação à pena de prestação pecuniária, dado que esta, diversamente da pena de multa, se descumprida injustificadamente, converte-se em pena privativa de liberdade (CP, art. 44, § 4º).</w:t>
      </w:r>
    </w:p>
    <w:p>
      <w:pPr>
        <w:ind w:left="288"/>
      </w:pPr>
      <w:r>
        <w:rPr>
          <w:b/>
          <w:color w:val="003CA0"/>
          <w:sz w:val="16"/>
        </w:rPr>
        <w:t>[HC 86.619, rel. min. Sepúlveda Pertence, j. 27-9-2005, 1ª T, DJ de 14-10-2005.]</w:t>
      </w:r>
    </w:p>
    <w:p>
      <w:pPr>
        <w:ind w:left="288"/>
      </w:pPr>
      <w:r>
        <w:rPr>
          <w:color w:val="8C8C8C"/>
          <w:sz w:val="12"/>
        </w:rPr>
        <w:t>cf-art-5-inc-L</w:t>
      </w:r>
      <w:r>
        <w:rPr>
          <w:color w:val="003CA0"/>
          <w:sz w:val="12"/>
        </w:rPr>
        <w:t xml:space="preserve"> | HC 85.185</w:t>
      </w:r>
      <w:r>
        <w:rPr>
          <w:color w:val="003CA0"/>
          <w:sz w:val="12"/>
        </w:rPr>
        <w:t xml:space="preserve"> | rel. Cezar Peluso</w:t>
      </w:r>
    </w:p>
    <w:p>
      <w:pPr>
        <w:ind w:left="288"/>
      </w:pPr>
      <w:r>
        <w:rPr>
          <w:color w:val="1E1E1E"/>
          <w:sz w:val="18"/>
        </w:rPr>
        <w:t>Habeas corpus. Impetração contra decisão de ministro relator do STJ. Indeferimento de liminar em habeas corpus. Rejeição de proposta de cancelamento da Súmula 691 do Supremo. Conhecimento admitido no caso, com atenuação do alcance do enunciado da súmula. O enunciado da Súmula 691 do Supremo não o impede de, tal seja a hipótese, conhecer de habeas corpus contra decisão do relator que, em habeas corpus requerido ao STJ, indefere liminar.</w:t>
      </w:r>
    </w:p>
    <w:p>
      <w:pPr>
        <w:ind w:left="288"/>
      </w:pPr>
      <w:r>
        <w:rPr>
          <w:b/>
          <w:color w:val="003CA0"/>
          <w:sz w:val="16"/>
        </w:rPr>
        <w:t>[HC 85.185, rel. min. Cezar Peluso, j. 10-8-2005, P, DJ de 1º-9-2006.]</w:t>
      </w:r>
    </w:p>
    <w:p>
      <w:pPr>
        <w:ind w:left="288"/>
      </w:pPr>
      <w:r>
        <w:rPr>
          <w:color w:val="8C8C8C"/>
          <w:sz w:val="12"/>
        </w:rPr>
        <w:t>cf-art-5-inc-L</w:t>
      </w:r>
      <w:r>
        <w:rPr>
          <w:color w:val="003CA0"/>
          <w:sz w:val="12"/>
        </w:rPr>
        <w:t xml:space="preserve"> | HC 94.132</w:t>
      </w:r>
      <w:r>
        <w:rPr>
          <w:color w:val="003CA0"/>
          <w:sz w:val="12"/>
        </w:rPr>
        <w:t xml:space="preserve"> | rel. Ayres Britto</w:t>
      </w:r>
    </w:p>
    <w:p>
      <w:pPr>
        <w:ind w:left="288"/>
      </w:pPr>
      <w:r>
        <w:rPr>
          <w:color w:val="1E1E1E"/>
          <w:sz w:val="18"/>
        </w:rPr>
        <w:t>= HC 94.132 AgR, rel. min. Ayres Britto, j. 16-12-2008, 1ª T, DJE de 20-3-2009 Vide HC 100.082 AgR, rel. min. Ellen Gracie, j. 1º-12-2009, 2ª T, DJE de 18-12-2009 Dar amplitude ao writ para trancar sindicância administrativa é desbordar da destinação constitucional desse precioso instrumento de proteção do direito de ir e vir.</w:t>
      </w:r>
    </w:p>
    <w:p>
      <w:pPr>
        <w:ind w:left="288"/>
      </w:pPr>
      <w:r>
        <w:rPr>
          <w:b/>
          <w:color w:val="003CA0"/>
          <w:sz w:val="16"/>
        </w:rPr>
        <w:t>[RHC 85.105 AgR, rel. min. Eros Grau, j. 28-6-2005, 1ª T, DJ de 16-9-2005.]</w:t>
      </w:r>
    </w:p>
    <w:p>
      <w:pPr>
        <w:ind w:left="288"/>
      </w:pPr>
      <w:r>
        <w:rPr>
          <w:color w:val="8C8C8C"/>
          <w:sz w:val="12"/>
        </w:rPr>
        <w:t>cf-art-5-inc-L</w:t>
      </w:r>
      <w:r>
        <w:rPr>
          <w:color w:val="003CA0"/>
          <w:sz w:val="12"/>
        </w:rPr>
        <w:t xml:space="preserve"> | HC 85.457</w:t>
      </w:r>
      <w:r>
        <w:rPr>
          <w:color w:val="003CA0"/>
          <w:sz w:val="12"/>
        </w:rPr>
        <w:t xml:space="preserve"> | rel. Sepúlveda Pertence</w:t>
      </w:r>
    </w:p>
    <w:p>
      <w:pPr>
        <w:ind w:left="288"/>
      </w:pPr>
      <w:r>
        <w:rPr>
          <w:color w:val="1E1E1E"/>
          <w:sz w:val="18"/>
        </w:rPr>
        <w:t>Não cabe o habeas corpus para solver controvérsia de fato dependente da ponderação de provas desencontradas; cabe, entretanto, para aferir a idoneidade jurídica ou não das provas onde se fundou a decisão condenatória.</w:t>
      </w:r>
    </w:p>
    <w:p>
      <w:pPr>
        <w:ind w:left="288"/>
      </w:pPr>
      <w:r>
        <w:rPr>
          <w:b/>
          <w:color w:val="003CA0"/>
          <w:sz w:val="16"/>
        </w:rPr>
        <w:t>[HC 85.457, rel. min. Sepúlveda Pertence, j. 22-3-2005, 2ª T, DJ de 15-4-2005.]</w:t>
      </w:r>
    </w:p>
    <w:p>
      <w:pPr>
        <w:ind w:left="288"/>
      </w:pPr>
      <w:r>
        <w:rPr>
          <w:color w:val="8C8C8C"/>
          <w:sz w:val="12"/>
        </w:rPr>
        <w:t>cf-art-5-inc-L</w:t>
      </w:r>
      <w:r>
        <w:rPr>
          <w:color w:val="003CA0"/>
          <w:sz w:val="12"/>
        </w:rPr>
        <w:t xml:space="preserve"> | RHC 94.806</w:t>
      </w:r>
      <w:r>
        <w:rPr>
          <w:color w:val="003CA0"/>
          <w:sz w:val="12"/>
        </w:rPr>
        <w:t xml:space="preserve"> | rel. Cármen Lúcia</w:t>
      </w:r>
    </w:p>
    <w:p>
      <w:pPr>
        <w:ind w:left="288"/>
      </w:pPr>
      <w:r>
        <w:rPr>
          <w:color w:val="1E1E1E"/>
          <w:sz w:val="18"/>
        </w:rPr>
        <w:t>= RHC 94.806, rel. min. Cármen Lúcia, j. 9-3-2010, 1ª T, DJE de 16-4-2010 Não cabe habeas corpus quando já extinta a punibilidade pelo cumprimento da obrigação assumida em transação penal (Súmula 695/STF).</w:t>
      </w:r>
    </w:p>
    <w:p>
      <w:pPr>
        <w:ind w:left="288"/>
      </w:pPr>
      <w:r>
        <w:rPr>
          <w:b/>
          <w:color w:val="003CA0"/>
          <w:sz w:val="16"/>
        </w:rPr>
        <w:t>[RHC 84.413, rel. min. Carlos Velloso, j. 29-6-2004, 2ª T, DJ de 20-8-2004.]</w:t>
      </w:r>
    </w:p>
    <w:p>
      <w:pPr>
        <w:ind w:left="288"/>
      </w:pPr>
      <w:r>
        <w:rPr>
          <w:color w:val="8C8C8C"/>
          <w:sz w:val="12"/>
        </w:rPr>
        <w:t>cf-art-5-inc-L</w:t>
      </w:r>
      <w:r>
        <w:rPr>
          <w:color w:val="003CA0"/>
          <w:sz w:val="12"/>
        </w:rPr>
        <w:t xml:space="preserve"> | HC 68.715</w:t>
      </w:r>
      <w:r>
        <w:rPr>
          <w:color w:val="003CA0"/>
          <w:sz w:val="12"/>
        </w:rPr>
        <w:t xml:space="preserve"> | rel. Paulo Brossard</w:t>
      </w:r>
    </w:p>
    <w:p>
      <w:pPr>
        <w:ind w:left="288"/>
      </w:pPr>
      <w:r>
        <w:rPr>
          <w:color w:val="1E1E1E"/>
          <w:sz w:val="18"/>
        </w:rPr>
        <w:t xml:space="preserve">Vide HC 68.715, rel. min. Paulo Brossard, j. 10-12-1991, 2ª T, DJ de 14-2-1992 Com a cessação, em 1926, da doutrina brasileira do habeas corpus, a destinação constitucional do remédio heroico restringiu-se, no campo de sua específica projeção, ao plano da estreita tutela da imediata liberdade física de ir, vir e permanecer dos indivíduos, pertencendo, residualmente, ao âmbito do mandado de segurança, a tutela jurisdicional contra ofensas que desrespeitem os demais direitos líquidos e certos, mesmo quando tais situações de ilicitude ou de abuso de poder venham a afetar, ainda que obliquamente, </w:t>
      </w:r>
    </w:p>
    <w:p>
      <w:pPr>
        <w:ind w:left="288"/>
      </w:pPr>
      <w:r>
        <w:rPr>
          <w:b/>
          <w:color w:val="003CA0"/>
          <w:sz w:val="16"/>
        </w:rPr>
        <w:t>[HC 83.966 AgR, rel. min. Celso de Mello, j. 23-6-2004, P, DJ de 25-11-2005.]</w:t>
      </w:r>
    </w:p>
    <w:p>
      <w:pPr>
        <w:ind w:left="288"/>
      </w:pPr>
      <w:r>
        <w:rPr>
          <w:color w:val="8C8C8C"/>
          <w:sz w:val="12"/>
        </w:rPr>
        <w:t>cf-art-5-inc-L</w:t>
      </w:r>
      <w:r>
        <w:rPr>
          <w:color w:val="003CA0"/>
          <w:sz w:val="12"/>
        </w:rPr>
        <w:t xml:space="preserve"> | HC 83.162</w:t>
      </w:r>
      <w:r>
        <w:rPr>
          <w:color w:val="003CA0"/>
          <w:sz w:val="12"/>
        </w:rPr>
        <w:t xml:space="preserve"> | rel. Carlos Velloso</w:t>
      </w:r>
    </w:p>
    <w:p>
      <w:pPr>
        <w:ind w:left="288"/>
      </w:pPr>
      <w:r>
        <w:rPr>
          <w:color w:val="1E1E1E"/>
          <w:sz w:val="18"/>
        </w:rPr>
        <w:t>Não é somente a coação ou ameaça direta à liberdade de locomoção que autoriza a impetração do habeas corpus. Também a coação ou a ameaça indireta à liberdade individual justifica a impetração da garantia constitucional inscrita no art. 5º, LXVIII, da CF.</w:t>
      </w:r>
    </w:p>
    <w:p>
      <w:pPr>
        <w:ind w:left="288"/>
      </w:pPr>
      <w:r>
        <w:rPr>
          <w:b/>
          <w:color w:val="003CA0"/>
          <w:sz w:val="16"/>
        </w:rPr>
        <w:t>[HC 83.162, rel. min. Carlos Velloso, j. 2-9-2003, 2ª T, DJ de 26-9-2003.]</w:t>
      </w:r>
    </w:p>
    <w:p>
      <w:pPr>
        <w:ind w:left="288"/>
      </w:pPr>
      <w:r>
        <w:rPr>
          <w:color w:val="8C8C8C"/>
          <w:sz w:val="12"/>
        </w:rPr>
        <w:t>cf-art-5-inc-L</w:t>
      </w:r>
      <w:r>
        <w:rPr>
          <w:color w:val="003CA0"/>
          <w:sz w:val="12"/>
        </w:rPr>
        <w:t xml:space="preserve"> | HC 80.744</w:t>
      </w:r>
      <w:r>
        <w:rPr>
          <w:color w:val="003CA0"/>
          <w:sz w:val="12"/>
        </w:rPr>
        <w:t xml:space="preserve"> | rel. Nelson Jobim</w:t>
      </w:r>
    </w:p>
    <w:p>
      <w:pPr>
        <w:ind w:left="288"/>
      </w:pPr>
      <w:r>
        <w:rPr>
          <w:color w:val="1E1E1E"/>
          <w:sz w:val="18"/>
        </w:rPr>
        <w:t>A ação de habeas corpus pode ser ajuizada por qualquer pessoa, independente de sua qualificação profissional (CF, art. 5º, LXVIII e LXXIII, c/c CPP, art. 654). Não é exigível linguagem técnico-jurídica. Entretanto, o habeas não pode servir de instrumento para ataques às instituições. Nem para assaques de ofensas a seus membros. O emprego de expressões de baixo calão, num linguajar chulo e deselegante, não pode ser tolerado.</w:t>
      </w:r>
    </w:p>
    <w:p>
      <w:pPr>
        <w:ind w:left="288"/>
      </w:pPr>
      <w:r>
        <w:rPr>
          <w:b/>
          <w:color w:val="003CA0"/>
          <w:sz w:val="16"/>
        </w:rPr>
        <w:t>[HC 80.744, rel. min. Nelson Jobim, j. 27-3-2001, 2ª T, DJ de 28-6-2002.]</w:t>
      </w:r>
    </w:p>
    <w:p>
      <w:pPr>
        <w:ind w:left="288"/>
      </w:pPr>
      <w:r>
        <w:rPr>
          <w:color w:val="8C8C8C"/>
          <w:sz w:val="12"/>
        </w:rPr>
        <w:t>cf-art-5-inc-L</w:t>
      </w:r>
      <w:r>
        <w:rPr>
          <w:color w:val="003CA0"/>
          <w:sz w:val="12"/>
        </w:rPr>
        <w:t xml:space="preserve"> | HC 80.674</w:t>
      </w:r>
      <w:r>
        <w:rPr>
          <w:color w:val="003CA0"/>
          <w:sz w:val="12"/>
        </w:rPr>
        <w:t xml:space="preserve"> | rel. Nelson Jobim</w:t>
      </w:r>
    </w:p>
    <w:p>
      <w:pPr>
        <w:ind w:left="288"/>
      </w:pPr>
      <w:r>
        <w:rPr>
          <w:color w:val="1E1E1E"/>
          <w:sz w:val="18"/>
        </w:rPr>
        <w:t>= HC 80.674, rel. min. Nelson Jobim, j. 27-3-2001, 2ª T, DJ de 17-8-2001 A jurisprudência do STF tem reconhecido a inadmissibilidade, em sede de habeas corpus, de impetrações que se limitam a reproduzir, sem qualquer inovação de fato ou de direito, os mesmos fundamentos objeto de postulação anterior, especialmente quando esta resultar não conhecida, por incabível.</w:t>
      </w:r>
    </w:p>
    <w:p>
      <w:pPr>
        <w:ind w:left="288"/>
      </w:pPr>
      <w:r>
        <w:rPr>
          <w:b/>
          <w:color w:val="003CA0"/>
          <w:sz w:val="16"/>
        </w:rPr>
        <w:t>[HC 80.623 AgR, rel. min. Celso de Mello, j. 15-2-2001, P, DJ de 6-4-2001.]</w:t>
      </w:r>
    </w:p>
    <w:p>
      <w:pPr>
        <w:ind w:left="288"/>
      </w:pPr>
      <w:r>
        <w:rPr>
          <w:color w:val="8C8C8C"/>
          <w:sz w:val="12"/>
        </w:rPr>
        <w:t>cf-art-5-inc-L</w:t>
      </w:r>
      <w:r>
        <w:rPr>
          <w:color w:val="003CA0"/>
          <w:sz w:val="12"/>
        </w:rPr>
        <w:t xml:space="preserve"> | HC 103.693</w:t>
      </w:r>
      <w:r>
        <w:rPr>
          <w:color w:val="003CA0"/>
          <w:sz w:val="12"/>
        </w:rPr>
        <w:t xml:space="preserve"> | rel. Dias Toffoli</w:t>
      </w:r>
    </w:p>
    <w:p>
      <w:pPr>
        <w:ind w:left="288"/>
      </w:pPr>
      <w:r>
        <w:rPr>
          <w:color w:val="1E1E1E"/>
          <w:sz w:val="18"/>
        </w:rPr>
        <w:t>= HC 103.693 AgR, rel. min. Dias Toffoli, j. 21-9-2010, 1ª T, DJE de 2-12-2010 Negativa de suspensão do processo a paciente contemplado com sursis. Hipótese em que o writ não pode ser considerado, de plano, como incabível, dado o reflexo que eventual revogação do benefício da suspensão condicional da pena produziria sobre o direito de ir e vir do condenado.</w:t>
      </w:r>
    </w:p>
    <w:p>
      <w:pPr>
        <w:ind w:left="288"/>
      </w:pPr>
      <w:r>
        <w:rPr>
          <w:b/>
          <w:color w:val="003CA0"/>
          <w:sz w:val="16"/>
        </w:rPr>
        <w:t>[HC 80.218, rel. min. Ilmar Galvão, j. 8-8-2000, 1ª T, DJ de 13-10-2000.]</w:t>
      </w:r>
    </w:p>
    <w:p>
      <w:pPr>
        <w:ind w:left="288"/>
      </w:pPr>
      <w:r>
        <w:rPr>
          <w:color w:val="8C8C8C"/>
          <w:sz w:val="12"/>
        </w:rPr>
        <w:t>cf-art-5-inc-L</w:t>
      </w:r>
      <w:r>
        <w:rPr>
          <w:color w:val="003CA0"/>
          <w:sz w:val="12"/>
        </w:rPr>
        <w:t xml:space="preserve"> | HC 79.513</w:t>
      </w:r>
      <w:r>
        <w:rPr>
          <w:color w:val="003CA0"/>
          <w:sz w:val="12"/>
        </w:rPr>
        <w:t xml:space="preserve"> | rel. Sepúlveda Pertence</w:t>
      </w:r>
    </w:p>
    <w:p>
      <w:pPr>
        <w:ind w:left="288"/>
      </w:pPr>
      <w:r>
        <w:rPr>
          <w:color w:val="1E1E1E"/>
          <w:sz w:val="18"/>
        </w:rPr>
        <w:t>Impossibilidade do reexame, em habeas corpus, da existência, ou não, do dissídio de jurisprudência que determinou o conhecimento do recurso especial, por configurar hipótese de matéria de fato.</w:t>
      </w:r>
    </w:p>
    <w:p>
      <w:pPr>
        <w:ind w:left="288"/>
      </w:pPr>
      <w:r>
        <w:rPr>
          <w:b/>
          <w:color w:val="003CA0"/>
          <w:sz w:val="16"/>
        </w:rPr>
        <w:t>[HC 79.513, rel. min. Sepúlveda Pertence, red. do ac. min. Ilmar Galvão, j. 28-3-2000, 1ª T, DJ de 26-9-2003.]</w:t>
      </w:r>
    </w:p>
    <w:p>
      <w:pPr>
        <w:ind w:left="288"/>
      </w:pPr>
      <w:r>
        <w:rPr>
          <w:color w:val="8C8C8C"/>
          <w:sz w:val="12"/>
        </w:rPr>
        <w:t>cf-art-5-inc-L</w:t>
      </w:r>
      <w:r>
        <w:rPr>
          <w:color w:val="003CA0"/>
          <w:sz w:val="12"/>
        </w:rPr>
        <w:t xml:space="preserve"> | HC 78.796</w:t>
      </w:r>
      <w:r>
        <w:rPr>
          <w:color w:val="003CA0"/>
          <w:sz w:val="12"/>
        </w:rPr>
        <w:t xml:space="preserve"> | rel. Marco Aurélio</w:t>
      </w:r>
    </w:p>
    <w:p>
      <w:pPr>
        <w:ind w:left="288"/>
      </w:pPr>
      <w:r>
        <w:rPr>
          <w:color w:val="1E1E1E"/>
          <w:sz w:val="18"/>
        </w:rPr>
        <w:t>Cumpre ao órgão julgador emitir entendimento explícito sobre as causas de pedir versadas no habeas corpus, sob pena de vir a praticar, com a omissão, ato de constrangimento.</w:t>
      </w:r>
    </w:p>
    <w:p>
      <w:pPr>
        <w:ind w:left="288"/>
      </w:pPr>
      <w:r>
        <w:rPr>
          <w:b/>
          <w:color w:val="003CA0"/>
          <w:sz w:val="16"/>
        </w:rPr>
        <w:t>[HC 78.796, rel. min. Marco Aurélio, j. 15-6-1999, 2ª T, DJ de 10-9-1999.]</w:t>
      </w:r>
    </w:p>
    <w:p>
      <w:pPr>
        <w:ind w:left="288"/>
      </w:pPr>
      <w:r>
        <w:rPr>
          <w:color w:val="8C8C8C"/>
          <w:sz w:val="12"/>
        </w:rPr>
        <w:t>cf-art-5-inc-L</w:t>
      </w:r>
      <w:r>
        <w:rPr>
          <w:color w:val="003CA0"/>
          <w:sz w:val="12"/>
        </w:rPr>
        <w:t xml:space="preserve"> | HC 79.084</w:t>
      </w:r>
      <w:r>
        <w:rPr>
          <w:color w:val="003CA0"/>
          <w:sz w:val="12"/>
        </w:rPr>
        <w:t xml:space="preserve"> | rel. Octavio Gallotti</w:t>
      </w:r>
    </w:p>
    <w:p>
      <w:pPr>
        <w:ind w:left="288"/>
      </w:pPr>
      <w:r>
        <w:rPr>
          <w:color w:val="1E1E1E"/>
          <w:sz w:val="18"/>
        </w:rPr>
        <w:t>Advogado. Exigência de identificação, por meio de botton ou adesivo, para trânsito em dependências do tribunal. Habeas corpus de que não se conhece, por não se achar em causa direito de locomoção, senão suposta restrição ao exercício profissional.</w:t>
      </w:r>
    </w:p>
    <w:p>
      <w:pPr>
        <w:ind w:left="288"/>
      </w:pPr>
      <w:r>
        <w:rPr>
          <w:b/>
          <w:color w:val="003CA0"/>
          <w:sz w:val="16"/>
        </w:rPr>
        <w:t>[HC 79.084, rel. min. Octavio Gallotti, j. 4-5-1999, 1ª T, DJ de 11-2-2000.]</w:t>
      </w:r>
    </w:p>
    <w:p>
      <w:pPr>
        <w:ind w:left="288"/>
      </w:pPr>
      <w:r>
        <w:rPr>
          <w:color w:val="8C8C8C"/>
          <w:sz w:val="12"/>
        </w:rPr>
        <w:t>cf-art-5-inc-L</w:t>
      </w:r>
      <w:r>
        <w:rPr>
          <w:color w:val="003CA0"/>
          <w:sz w:val="12"/>
        </w:rPr>
        <w:t xml:space="preserve"> | RHC 78.951</w:t>
      </w:r>
      <w:r>
        <w:rPr>
          <w:color w:val="003CA0"/>
          <w:sz w:val="12"/>
        </w:rPr>
        <w:t xml:space="preserve"> | rel. Carlos Velloso</w:t>
      </w:r>
    </w:p>
    <w:p>
      <w:pPr>
        <w:ind w:left="288"/>
      </w:pPr>
      <w:r>
        <w:rPr>
          <w:color w:val="1E1E1E"/>
          <w:sz w:val="18"/>
        </w:rPr>
        <w:t>Não cabimento de habeas corpus em relação a punições disciplinares: CF, art. 142, § 2º: a restrição limita-se ao exame do mérito do ato.</w:t>
      </w:r>
    </w:p>
    <w:p>
      <w:pPr>
        <w:ind w:left="288"/>
      </w:pPr>
      <w:r>
        <w:rPr>
          <w:b/>
          <w:color w:val="003CA0"/>
          <w:sz w:val="16"/>
        </w:rPr>
        <w:t>[RHC 78.951, rel. min. Carlos Velloso, j. 13-4-1999, 1ª T, DJ de 28-5-1999.]</w:t>
      </w:r>
    </w:p>
    <w:p>
      <w:pPr>
        <w:ind w:left="288"/>
      </w:pPr>
      <w:r>
        <w:rPr>
          <w:color w:val="8C8C8C"/>
          <w:sz w:val="12"/>
        </w:rPr>
        <w:t>cf-art-5-inc-L</w:t>
      </w:r>
      <w:r>
        <w:rPr>
          <w:color w:val="003CA0"/>
          <w:sz w:val="12"/>
        </w:rPr>
        <w:t xml:space="preserve"> | HC 75.778</w:t>
      </w:r>
      <w:r>
        <w:rPr>
          <w:color w:val="003CA0"/>
          <w:sz w:val="12"/>
        </w:rPr>
        <w:t xml:space="preserve"> | rel. Néri da Silveira</w:t>
      </w:r>
    </w:p>
    <w:p>
      <w:pPr>
        <w:ind w:left="288"/>
      </w:pPr>
      <w:r>
        <w:rPr>
          <w:color w:val="1E1E1E"/>
          <w:sz w:val="18"/>
        </w:rPr>
        <w:t>Não cabe habeas corpus contra despacho do relator, no STF, que nega seguimento a pedido de habeas corpus, notadamente, quando se cuida de inépcia da inicial.</w:t>
      </w:r>
    </w:p>
    <w:p>
      <w:pPr>
        <w:ind w:left="288"/>
      </w:pPr>
      <w:r>
        <w:rPr>
          <w:b/>
          <w:color w:val="003CA0"/>
          <w:sz w:val="16"/>
        </w:rPr>
        <w:t>[HC 75.778 QO, rel. min. Néri da Silveira, j. 28-8-1997, P, DJ de 10-10-1997.]</w:t>
      </w:r>
    </w:p>
    <w:p>
      <w:pPr>
        <w:ind w:left="288"/>
      </w:pPr>
      <w:r>
        <w:rPr>
          <w:color w:val="8C8C8C"/>
          <w:sz w:val="12"/>
        </w:rPr>
        <w:t>cf-art-5-inc-L</w:t>
      </w:r>
      <w:r>
        <w:rPr>
          <w:color w:val="003CA0"/>
          <w:sz w:val="12"/>
        </w:rPr>
        <w:t xml:space="preserve"> | RHC 74.860</w:t>
      </w:r>
      <w:r>
        <w:rPr>
          <w:color w:val="003CA0"/>
          <w:sz w:val="12"/>
        </w:rPr>
        <w:t xml:space="preserve"> | rel. Carlos Velloso</w:t>
      </w:r>
    </w:p>
    <w:p>
      <w:pPr>
        <w:ind w:left="288"/>
      </w:pPr>
      <w:r>
        <w:rPr>
          <w:color w:val="1E1E1E"/>
          <w:sz w:val="18"/>
        </w:rPr>
        <w:t>Inquérito policial instaurado mediante requisição de autoridade judiciária: a esta atribui-se a coação e não à autoridade policial que preside o inquérito.</w:t>
      </w:r>
    </w:p>
    <w:p>
      <w:pPr>
        <w:ind w:left="288"/>
      </w:pPr>
      <w:r>
        <w:rPr>
          <w:b/>
          <w:color w:val="003CA0"/>
          <w:sz w:val="16"/>
        </w:rPr>
        <w:t>[RHC 74.860, rel. min. Carlos Velloso, j. 18-2-1997, 2ª T, DJ de 6-6-1997.]</w:t>
      </w:r>
    </w:p>
    <w:p>
      <w:pPr>
        <w:ind w:left="288"/>
      </w:pPr>
      <w:r>
        <w:rPr>
          <w:color w:val="8C8C8C"/>
          <w:sz w:val="12"/>
        </w:rPr>
        <w:t>cf-art-5-inc-L</w:t>
      </w:r>
      <w:r>
        <w:rPr>
          <w:color w:val="003CA0"/>
          <w:sz w:val="12"/>
        </w:rPr>
        <w:t xml:space="preserve"> | HC 73.455</w:t>
      </w:r>
      <w:r>
        <w:rPr>
          <w:color w:val="003CA0"/>
          <w:sz w:val="12"/>
        </w:rPr>
        <w:t xml:space="preserve"> | rel. Francisco Rezek</w:t>
      </w:r>
    </w:p>
    <w:p>
      <w:pPr>
        <w:ind w:left="288"/>
      </w:pPr>
      <w:r>
        <w:rPr>
          <w:color w:val="1E1E1E"/>
          <w:sz w:val="18"/>
        </w:rPr>
        <w:t>Quem tem legitimação para propor habeas corpus tem também legitimação para dele recorrer. Nas hipóteses de denegação do writ no tribunal de origem, aceita-se a interposição, pelo impetrante – independentemente de habilitação legal ou de representação –, de recurso ordinário constitucional.</w:t>
      </w:r>
    </w:p>
    <w:p>
      <w:pPr>
        <w:ind w:left="288"/>
      </w:pPr>
      <w:r>
        <w:rPr>
          <w:b/>
          <w:color w:val="003CA0"/>
          <w:sz w:val="16"/>
        </w:rPr>
        <w:t>[HC 73.455, rel. min. Francisco Rezek, j. 25-6-1996, 2ª T, DJ de 7-3-1997.]</w:t>
      </w:r>
    </w:p>
    <w:p>
      <w:pPr>
        <w:ind w:left="288"/>
      </w:pPr>
      <w:r>
        <w:rPr>
          <w:color w:val="8C8C8C"/>
          <w:sz w:val="12"/>
        </w:rPr>
        <w:t>cf-art-5-inc-L</w:t>
      </w:r>
      <w:r>
        <w:rPr>
          <w:color w:val="003CA0"/>
          <w:sz w:val="12"/>
        </w:rPr>
        <w:t xml:space="preserve"> | HC 102.836</w:t>
      </w:r>
      <w:r>
        <w:rPr>
          <w:color w:val="003CA0"/>
          <w:sz w:val="12"/>
        </w:rPr>
        <w:t xml:space="preserve"> | rel. Cármen Lúcia</w:t>
      </w:r>
    </w:p>
    <w:p>
      <w:pPr>
        <w:ind w:left="288"/>
      </w:pPr>
      <w:r>
        <w:rPr>
          <w:color w:val="1E1E1E"/>
          <w:sz w:val="18"/>
        </w:rPr>
        <w:t>= HC 102.836 AgR, rel min. Cármen Lúcia, red. do ac. min. Dias Toffoli, j. 8-11-2011, 1ª T, DJE de 27-2-2012 Versando o habeas corpus sobre a inviabilidade da extradição, indispensável é que a causa de pedir seja veiculada nos autos respectivos. Sem o conhecimento por parte do relator, não se pode dizer da prática, ou não, de ato de constrangimento.</w:t>
      </w:r>
    </w:p>
    <w:p>
      <w:pPr>
        <w:ind w:left="288"/>
      </w:pPr>
      <w:r>
        <w:rPr>
          <w:b/>
          <w:color w:val="003CA0"/>
          <w:sz w:val="16"/>
        </w:rPr>
        <w:t>[HC 73.783, rel. min. Marco Aurélio, j. 22-5-1996, P, DJ de 1º-7-1996.]</w:t>
      </w:r>
    </w:p>
    <w:p>
      <w:pPr>
        <w:ind w:left="288"/>
      </w:pPr>
      <w:r>
        <w:rPr>
          <w:color w:val="8C8C8C"/>
          <w:sz w:val="12"/>
        </w:rPr>
        <w:t>cf-art-5-inc-L</w:t>
      </w:r>
      <w:r>
        <w:rPr>
          <w:color w:val="003CA0"/>
          <w:sz w:val="12"/>
        </w:rPr>
        <w:t xml:space="preserve"> | HC 72.851</w:t>
      </w:r>
      <w:r>
        <w:rPr>
          <w:color w:val="003CA0"/>
          <w:sz w:val="12"/>
        </w:rPr>
        <w:t xml:space="preserve"> | rel. Celso de Mello</w:t>
      </w:r>
    </w:p>
    <w:p>
      <w:pPr>
        <w:ind w:left="288"/>
      </w:pPr>
      <w:r>
        <w:rPr>
          <w:color w:val="1E1E1E"/>
          <w:sz w:val="18"/>
        </w:rPr>
        <w:t>O remédio de habeas corpus não constitui instrumento processual adequado à invalidação do procedimento administrativo de expulsão regularmente instaurado e promovido pelo Departamento de Polícia Federal, especialmente se o súdito estrangeiro interessado – a quem se estendeu, de modo pleno, a garantia constitucional do direito de defesa – não invocou, em momento algum, por inocorrentes, quaisquer das causas de inexpulsabilidade previstas em lei.</w:t>
      </w:r>
    </w:p>
    <w:p>
      <w:pPr>
        <w:ind w:left="288"/>
      </w:pPr>
      <w:r>
        <w:rPr>
          <w:b/>
          <w:color w:val="003CA0"/>
          <w:sz w:val="16"/>
        </w:rPr>
        <w:t>[HC 72.851, rel. min. Celso de Mello, j. 25-10-1995, P, DJE de 28-11-2008.]</w:t>
      </w:r>
    </w:p>
    <w:p>
      <w:pPr>
        <w:ind w:left="288"/>
      </w:pPr>
      <w:r>
        <w:rPr>
          <w:color w:val="8C8C8C"/>
          <w:sz w:val="12"/>
        </w:rPr>
        <w:t>cf-art-5-inc-L</w:t>
      </w:r>
      <w:r>
        <w:rPr>
          <w:color w:val="003CA0"/>
          <w:sz w:val="12"/>
        </w:rPr>
        <w:t xml:space="preserve"> | HC 92.769</w:t>
      </w:r>
      <w:r>
        <w:rPr>
          <w:color w:val="003CA0"/>
          <w:sz w:val="12"/>
        </w:rPr>
        <w:t xml:space="preserve"> | rel. Celso de Mello</w:t>
      </w:r>
    </w:p>
    <w:p>
      <w:pPr>
        <w:ind w:left="288"/>
      </w:pPr>
      <w:r>
        <w:rPr>
          <w:color w:val="1E1E1E"/>
          <w:sz w:val="18"/>
        </w:rPr>
        <w:t>= HC 92.769, rel. min. Celso de Mello, j. 19-5-2014, dec. monocrática, DJE de 22-5-2014 Vide HC 72.082, rel. min. Francisco Rezek, j. 19-4-1995, P, DJ de 1º-3-1996 Pouco importa a natureza do recurso que viabiliza a reapreciação do habeas corpus. Ordinário ou extraordinário, como é o caso do especial definido no inciso III do art. 105 da CF, ocorrido o empate, cumpre proclamar a decisão mais favorável ao paciente, isso já tendo proferido voto o presidente do órgão julgador – inteligência dos arts. 664, parágrafo único, do CPP, e 162, § 2º e § 3º, e 181, § 4º, do RISTJ.</w:t>
      </w:r>
    </w:p>
    <w:p>
      <w:pPr>
        <w:ind w:left="288"/>
      </w:pPr>
      <w:r>
        <w:rPr>
          <w:b/>
          <w:color w:val="003CA0"/>
          <w:sz w:val="16"/>
        </w:rPr>
        <w:t>[HC 72.445, rel. min. Marco Aurélio, j. 2-5-1995, 2ª T, DJ de 22-9-1995.]</w:t>
      </w:r>
    </w:p>
    <w:p>
      <w:pPr>
        <w:ind w:left="288"/>
      </w:pPr>
      <w:r>
        <w:rPr>
          <w:color w:val="8C8C8C"/>
          <w:sz w:val="12"/>
        </w:rPr>
        <w:t>cf-art-5-inc-L</w:t>
      </w:r>
      <w:r>
        <w:rPr>
          <w:color w:val="003CA0"/>
          <w:sz w:val="12"/>
        </w:rPr>
        <w:t xml:space="preserve"> | HC 89.974</w:t>
      </w:r>
      <w:r>
        <w:rPr>
          <w:color w:val="003CA0"/>
          <w:sz w:val="12"/>
        </w:rPr>
        <w:t xml:space="preserve"> | rel. Cezar Peluso</w:t>
      </w:r>
    </w:p>
    <w:p>
      <w:pPr>
        <w:ind w:left="288"/>
      </w:pPr>
      <w:r>
        <w:rPr>
          <w:color w:val="1E1E1E"/>
          <w:sz w:val="18"/>
        </w:rPr>
        <w:t>= HC 89.974, rel. min. Cezar Peluso, j. 18-11-2008, 2ª T, DJE de 5-12-2008 O meio processual adequado para se impugnar decreto expulsório é o habeas corpus. Assim se firmou a jurisprudência do Supremo, seja porque o expulsando via de regra está preso, seja porque se trata de remédio mais expedito.</w:t>
      </w:r>
    </w:p>
    <w:p>
      <w:pPr>
        <w:ind w:left="288"/>
      </w:pPr>
      <w:r>
        <w:rPr>
          <w:b/>
          <w:color w:val="003CA0"/>
          <w:sz w:val="16"/>
        </w:rPr>
        <w:t>[HC 72.082, rel. min. Francisco Rezek, j. 19-4-1995, P, DJ de 1º-3-1996.]</w:t>
      </w:r>
    </w:p>
    <w:p>
      <w:pPr>
        <w:ind w:left="288"/>
      </w:pPr>
      <w:r>
        <w:rPr>
          <w:color w:val="8C8C8C"/>
          <w:sz w:val="12"/>
        </w:rPr>
        <w:t>cf-art-5-inc-L</w:t>
      </w:r>
      <w:r>
        <w:rPr>
          <w:color w:val="003CA0"/>
          <w:sz w:val="12"/>
        </w:rPr>
        <w:t xml:space="preserve"> | HC 72.851</w:t>
      </w:r>
      <w:r>
        <w:rPr>
          <w:color w:val="003CA0"/>
          <w:sz w:val="12"/>
        </w:rPr>
        <w:t xml:space="preserve"> | rel. Celso de Mello</w:t>
      </w:r>
    </w:p>
    <w:p>
      <w:pPr>
        <w:ind w:left="288"/>
      </w:pPr>
      <w:r>
        <w:rPr>
          <w:color w:val="1E1E1E"/>
          <w:sz w:val="18"/>
        </w:rPr>
        <w:t>Vide HC 72.851, rel. min. Celso de Mello, j. 25-10-1995, P, DJE de 28-11-2008 O processo de habeas corpus, uma vez cumprida, integralmente, a pena de prisão, não se revela meio juridicamente idôneo à discussão de eventual ocorrência de nulidade processual na causa de que resultou a condenação criminal, pois, em referido contexto, o exame de tal matéria comporta-se no âmbito da ação de revisão criminal, que constitui, para essa específica finalidade, o instrumento processual adequado.</w:t>
      </w:r>
    </w:p>
    <w:p>
      <w:pPr>
        <w:ind w:left="288"/>
      </w:pPr>
      <w:r>
        <w:rPr>
          <w:b/>
          <w:color w:val="003CA0"/>
          <w:sz w:val="16"/>
        </w:rPr>
        <w:t>[HC 71.597, rel. min. Celso de Mello, j. 14-3-1995, 1ª T, DJE de 11-12-2009.]</w:t>
      </w:r>
    </w:p>
    <w:p>
      <w:pPr>
        <w:ind w:left="288"/>
      </w:pPr>
      <w:r>
        <w:rPr>
          <w:color w:val="8C8C8C"/>
          <w:sz w:val="12"/>
        </w:rPr>
        <w:t>cf-art-5-inc-L</w:t>
      </w:r>
      <w:r>
        <w:rPr>
          <w:color w:val="003CA0"/>
          <w:sz w:val="12"/>
        </w:rPr>
        <w:t xml:space="preserve"> | HC 72.391</w:t>
      </w:r>
      <w:r>
        <w:rPr>
          <w:color w:val="003CA0"/>
          <w:sz w:val="12"/>
        </w:rPr>
        <w:t xml:space="preserve"> | rel. Celso de Mello</w:t>
      </w:r>
    </w:p>
    <w:p>
      <w:pPr>
        <w:ind w:left="288"/>
      </w:pPr>
      <w:r>
        <w:rPr>
          <w:color w:val="1E1E1E"/>
          <w:sz w:val="18"/>
        </w:rPr>
        <w:t>É inquestionável o direito de súditos estrangeiros ajuizarem, em causa própria, a ação de habeas corpus, eis que esse remédio constitucional – por qualificar-se como verdadeira ação popular – pode ser utilizado por qualquer pessoa, independentemente da condição jurídica resultante de sua origem nacional. A petição com que impetrado o habeas corpus deve ser redigida em português, sob pena de não conhecimento do writ constitucional (CPC, art. 156, c/c CPP, art. 3º), eis que o conteúdo dessa peça processual deve ser acessível a todos, sendo irrelevante, para esse efeito, que o juiz da causa conhe</w:t>
      </w:r>
    </w:p>
    <w:p>
      <w:pPr>
        <w:ind w:left="288"/>
      </w:pPr>
      <w:r>
        <w:rPr>
          <w:b/>
          <w:color w:val="003CA0"/>
          <w:sz w:val="16"/>
        </w:rPr>
        <w:t>[HC 72.391 QO, rel. min. Celso de Mello, j. 8-3-1995, P, DJ de 17-3-1995.]</w:t>
      </w:r>
    </w:p>
    <w:p>
      <w:pPr>
        <w:ind w:left="288"/>
      </w:pPr>
      <w:r>
        <w:rPr>
          <w:color w:val="8C8C8C"/>
          <w:sz w:val="12"/>
        </w:rPr>
        <w:t>cf-art-5-inc-L</w:t>
      </w:r>
      <w:r>
        <w:rPr>
          <w:color w:val="003CA0"/>
          <w:sz w:val="12"/>
        </w:rPr>
        <w:t xml:space="preserve"> | HC 94.016</w:t>
      </w:r>
      <w:r>
        <w:rPr>
          <w:color w:val="003CA0"/>
          <w:sz w:val="12"/>
        </w:rPr>
        <w:t xml:space="preserve"> | rel. Celso de Mello</w:t>
      </w:r>
    </w:p>
    <w:p>
      <w:pPr>
        <w:ind w:left="288"/>
      </w:pPr>
      <w:r>
        <w:rPr>
          <w:color w:val="1E1E1E"/>
          <w:sz w:val="18"/>
        </w:rPr>
        <w:t>Vide HC 94.016, rel. min. Celso de Mello, j. 16-9-2008, 2ª T, DJE de 27-2-2009 O habeas corpus pode ser impetrado, perante o STF, mediante fax. A petição de habeas corpus transmitida por reprodução fac-similar deverá, no entanto, ser ratificada pelo impetrante dentro do prazo que lhe for assinado. A ausência dessa necessária ratificação implicará o não conhecimento do pedido.</w:t>
      </w:r>
    </w:p>
    <w:p>
      <w:pPr>
        <w:ind w:left="288"/>
      </w:pPr>
      <w:r>
        <w:rPr>
          <w:b/>
          <w:color w:val="003CA0"/>
          <w:sz w:val="16"/>
        </w:rPr>
        <w:t>[HC 71.084 QO, rel. min. Celso de Mello, j. 22-2-1994, 1ª T, DJ de 10-6-1994.]</w:t>
      </w:r>
    </w:p>
    <w:p>
      <w:pPr>
        <w:ind w:left="288"/>
      </w:pPr>
      <w:r>
        <w:rPr>
          <w:color w:val="8C8C8C"/>
          <w:sz w:val="12"/>
        </w:rPr>
        <w:t>cf-art-5-inc-L</w:t>
      </w:r>
      <w:r>
        <w:rPr>
          <w:color w:val="003CA0"/>
          <w:sz w:val="12"/>
        </w:rPr>
        <w:t xml:space="preserve"> | RHC 81.961</w:t>
      </w:r>
      <w:r>
        <w:rPr>
          <w:color w:val="003CA0"/>
          <w:sz w:val="12"/>
        </w:rPr>
        <w:t xml:space="preserve"> | rel. Carlos Velloso</w:t>
      </w:r>
    </w:p>
    <w:p>
      <w:pPr>
        <w:ind w:left="288"/>
      </w:pPr>
      <w:r>
        <w:rPr>
          <w:color w:val="1E1E1E"/>
          <w:sz w:val="18"/>
        </w:rPr>
        <w:t>Vide RHC 81.961, rel. min. Carlos Velloso, j. 4-6-2002, 2ª T, DJ de 28-6-2002 O Ministério Público dispõe de legitimidade ativa ad causam para ajuizar, em favor de terceiros, a ação penal de habeas corpus. O remédio processual do habeas corpus não pode ser utilizado como instrumento de tutela dos direitos do Estado. Esse writ constitucional há de ser visto e interpretado em função de sua específica destinação tutelar: a salvaguarda do estado de liberdade do paciente. A impetração do habeas corpus, com desvio de sua finalidade jurídico-constitucional, objetivando satisfazer, ainda que por via r</w:t>
      </w:r>
    </w:p>
    <w:p>
      <w:pPr>
        <w:ind w:left="288"/>
      </w:pPr>
      <w:r>
        <w:rPr>
          <w:b/>
          <w:color w:val="003CA0"/>
          <w:sz w:val="16"/>
        </w:rPr>
        <w:t>[HC 69.889 diligência, rel. min. Celso de Mello, j. 2-2-1993, 1ª T, DJ de 1º-7-1993.]</w:t>
      </w:r>
    </w:p>
    <w:p>
      <w:pPr>
        <w:ind w:left="288"/>
      </w:pPr>
      <w:r>
        <w:rPr>
          <w:color w:val="8C8C8C"/>
          <w:sz w:val="12"/>
        </w:rPr>
        <w:t>cf-art-5-inc-L</w:t>
      </w:r>
      <w:r>
        <w:rPr>
          <w:color w:val="003CA0"/>
          <w:sz w:val="12"/>
        </w:rPr>
        <w:t xml:space="preserve"> | HC 75.347</w:t>
      </w:r>
      <w:r>
        <w:rPr>
          <w:color w:val="003CA0"/>
          <w:sz w:val="12"/>
        </w:rPr>
        <w:t xml:space="preserve"> | rel. Carlos Velloso</w:t>
      </w:r>
    </w:p>
    <w:p>
      <w:pPr>
        <w:ind w:left="288"/>
      </w:pPr>
      <w:r>
        <w:rPr>
          <w:color w:val="1E1E1E"/>
          <w:sz w:val="18"/>
        </w:rPr>
        <w:t>= HC 75.347, rel. min. Carlos Velloso, j. 3-12-1997, P, DJ de 6-3-1998 = HC 90.303, rel. min. Ricardo Lewandowski, j. 12-6-2007, 1ª T, DJE de 11-4-2008 A ação de habeas corpus constitui remédio processual inadequado, quando ajuizada com objetivo (a) de promover a análise da prova penal, (b) de efetuar o reexame do conjunto probatório regularmente produzido, (c) de provocar a reapreciação da matéria de fato e (d) de proceder à revalorização dos elementos instrutórios coligidos no processo penal de conhecimento.</w:t>
      </w:r>
    </w:p>
    <w:p>
      <w:pPr>
        <w:ind w:left="288"/>
      </w:pPr>
      <w:r>
        <w:rPr>
          <w:b/>
          <w:color w:val="003CA0"/>
          <w:sz w:val="16"/>
        </w:rPr>
        <w:t>[HC 69.780, rel. min. Celso de Mello, j. 1º-12-1992, 1ª T, DJ de 17-6-2005.]</w:t>
      </w:r>
    </w:p>
    <w:p>
      <w:pPr>
        <w:ind w:left="288"/>
      </w:pPr>
      <w:r>
        <w:rPr>
          <w:color w:val="8C8C8C"/>
          <w:sz w:val="12"/>
        </w:rPr>
        <w:t>cf-art-5-inc-L</w:t>
      </w:r>
      <w:r>
        <w:rPr>
          <w:color w:val="003CA0"/>
          <w:sz w:val="12"/>
        </w:rPr>
        <w:t xml:space="preserve"> | HC 94.817</w:t>
      </w:r>
      <w:r>
        <w:rPr>
          <w:color w:val="003CA0"/>
          <w:sz w:val="12"/>
        </w:rPr>
        <w:t xml:space="preserve"> | rel. Gilmar Mendes</w:t>
      </w:r>
    </w:p>
    <w:p>
      <w:pPr>
        <w:ind w:left="288"/>
      </w:pPr>
      <w:r>
        <w:rPr>
          <w:color w:val="1E1E1E"/>
          <w:sz w:val="18"/>
        </w:rPr>
        <w:t>= HC 94.817, rel. min. Gilmar Mendes, j. 3-8-2010, 2ª T, DJE de 3-9-2010 Vide HC 98.816, rel. min. Ricardo Lewandowski, j. 29-6-2010, 1ª T, DJE de 3-9-2010 São bastante estritos os pressupostos de aplicabilidade da norma inscrita no art. 580 do CPP, que somente se estende ao réu – que não recorreu – em quatro situações específicas: ausência de materialidade do fato; atipicidade do comportamento do agente; descaracterização da natureza infracional do ato objeto da imputação penal; e configuração de causa extintiva de punibilidade.</w:t>
      </w:r>
    </w:p>
    <w:p>
      <w:pPr>
        <w:ind w:left="288"/>
      </w:pPr>
      <w:r>
        <w:rPr>
          <w:b/>
          <w:color w:val="003CA0"/>
          <w:sz w:val="16"/>
        </w:rPr>
        <w:t>[HC 69.570, rel. min. Celso de Mello, j. 29-9-1992, 1ª T, DJE de 27-10-2006.]</w:t>
      </w:r>
    </w:p>
    <w:p>
      <w:pPr>
        <w:ind w:left="288"/>
      </w:pPr>
      <w:r>
        <w:rPr>
          <w:color w:val="8C8C8C"/>
          <w:sz w:val="12"/>
        </w:rPr>
        <w:t>cf-art-5-inc-L</w:t>
      </w:r>
      <w:r>
        <w:rPr>
          <w:color w:val="003CA0"/>
          <w:sz w:val="12"/>
        </w:rPr>
        <w:t xml:space="preserve"> | RHC 97.458</w:t>
      </w:r>
      <w:r>
        <w:rPr>
          <w:color w:val="003CA0"/>
          <w:sz w:val="12"/>
        </w:rPr>
        <w:t xml:space="preserve"> | rel. Cármen Lúcia</w:t>
      </w:r>
    </w:p>
    <w:p>
      <w:pPr>
        <w:ind w:left="288"/>
      </w:pPr>
      <w:r>
        <w:rPr>
          <w:color w:val="1E1E1E"/>
          <w:sz w:val="18"/>
        </w:rPr>
        <w:t>= RHC 97.458 extensão, rel. min. Cármen Lúcia, j. 26-10-2010, 1ª T, DJE de 30-11-2010 Na apreciação de habeas corpus, o órgão investido do ofício judicante não está vinculado à causa de pedir e ao pedido formulados. Exsurgindo das peças dos autos a convicção sobre a existência de ato ilegal não veiculado pelo impetrante, cumpre-lhe afastá-lo, ainda que isto implique concessão de ordem em sentido diverso do pleiteado. Esta conclusão decorre da norma inserta no § 2º do art. 654 do CPP, no que disciplina a atuação judicante em tal campo independentemente da impetração do habeas corpus.</w:t>
      </w:r>
    </w:p>
    <w:p>
      <w:pPr>
        <w:ind w:left="288"/>
      </w:pPr>
      <w:r>
        <w:rPr>
          <w:b/>
          <w:color w:val="003CA0"/>
          <w:sz w:val="16"/>
        </w:rPr>
        <w:t>[HC 69.421, rel. min. Marco Aurélio, j. 30-6-1992, 2ª T, DJ de 28-8-1992.]</w:t>
      </w:r>
    </w:p>
    <w:p>
      <w:pPr>
        <w:ind w:left="288"/>
      </w:pPr>
      <w:r>
        <w:rPr>
          <w:color w:val="8C8C8C"/>
          <w:sz w:val="12"/>
        </w:rPr>
        <w:t>cf-art-5-inc-L</w:t>
      </w:r>
      <w:r>
        <w:rPr>
          <w:color w:val="003CA0"/>
          <w:sz w:val="12"/>
        </w:rPr>
        <w:t xml:space="preserve"> | HC 69.619</w:t>
      </w:r>
      <w:r>
        <w:rPr>
          <w:color w:val="003CA0"/>
          <w:sz w:val="12"/>
        </w:rPr>
        <w:t xml:space="preserve"> | rel. Sepúlveda Pertence</w:t>
      </w:r>
    </w:p>
    <w:p>
      <w:pPr>
        <w:ind w:left="288"/>
      </w:pPr>
      <w:r>
        <w:rPr>
          <w:color w:val="1E1E1E"/>
          <w:sz w:val="18"/>
        </w:rPr>
        <w:t>Habeas corpus: inidoneidade, segundo a jurisprudência atual (v.g., HC 69.619 e HC 68.507), para corrigir quaisquer ilegalidades da sentença penal condenatória que não impliquem coação ou iminência direta de coação à liberdade de ir e vir: aplicação a fortiori à hipótese do caso, quando a perda de bens já apreendidos operou-se ipso jure com o trânsito em julgado da condenação, sem que caiba, portanto, cogitar de quaisquer eventuais reflexos sobre a liberdade pessoal do paciente, que pudessem advir da execução do confisco.</w:t>
      </w:r>
    </w:p>
    <w:p>
      <w:pPr>
        <w:ind w:left="288"/>
      </w:pPr>
      <w:r>
        <w:rPr>
          <w:b/>
          <w:color w:val="003CA0"/>
          <w:sz w:val="16"/>
        </w:rPr>
        <w:t>[HC 69.419, rel. min. Sepúlveda Pertence, j. 23-6-1992, 1ª T, DJ de 28-8-1992.]</w:t>
      </w:r>
    </w:p>
    <w:p>
      <w:pPr>
        <w:ind w:left="288"/>
      </w:pPr>
      <w:r>
        <w:rPr>
          <w:color w:val="8C8C8C"/>
          <w:sz w:val="12"/>
        </w:rPr>
        <w:t>cf-art-5-inc-L</w:t>
      </w:r>
      <w:r>
        <w:rPr>
          <w:color w:val="003CA0"/>
          <w:sz w:val="12"/>
        </w:rPr>
        <w:t xml:space="preserve"> | HC 68.397</w:t>
      </w:r>
      <w:r>
        <w:rPr>
          <w:color w:val="003CA0"/>
          <w:sz w:val="12"/>
        </w:rPr>
        <w:t xml:space="preserve"> | rel. Celso de Mello</w:t>
      </w:r>
    </w:p>
    <w:p>
      <w:pPr>
        <w:ind w:left="288"/>
      </w:pPr>
      <w:r>
        <w:rPr>
          <w:color w:val="1E1E1E"/>
          <w:sz w:val="18"/>
        </w:rPr>
        <w:t>O processo de habeas corpus não comporta, ordinariamente, em face de seu caráter sumaríssimo, qualquer dilação probatória. Nada impede, contudo, como medida excepcional – e ante a singularidade do caso ocorrente – que o STF determine, nas situações de comprovada homonímia, a realização de prova que, por sua natureza essencial e indispensável, reveste-se de definitividade plena: a comparação pericial das individuais dactiloscópicas. Impõe-se a concessão do writ se, do confronto das individuais dactiloscópicas, resultar configurado que o paciente e o seu homônimo, que sofreu condenação penal, nã</w:t>
      </w:r>
    </w:p>
    <w:p>
      <w:pPr>
        <w:ind w:left="288"/>
      </w:pPr>
      <w:r>
        <w:rPr>
          <w:b/>
          <w:color w:val="003CA0"/>
          <w:sz w:val="16"/>
        </w:rPr>
        <w:t>[HC 68.397, rel. min. Celso de Mello, j. 18-2-1992, 1ª T, DJ de 26-6-1992.]</w:t>
      </w:r>
    </w:p>
    <w:p>
      <w:pPr>
        <w:ind w:left="288"/>
      </w:pPr>
      <w:r>
        <w:rPr>
          <w:color w:val="8C8C8C"/>
          <w:sz w:val="12"/>
        </w:rPr>
        <w:t>cf-art-5-inc-L</w:t>
      </w:r>
      <w:r>
        <w:rPr>
          <w:color w:val="003CA0"/>
          <w:sz w:val="12"/>
        </w:rPr>
        <w:t xml:space="preserve"> | HC 68.715</w:t>
      </w:r>
      <w:r>
        <w:rPr>
          <w:color w:val="003CA0"/>
          <w:sz w:val="12"/>
        </w:rPr>
        <w:t xml:space="preserve"> | rel. Paulo Brossard</w:t>
      </w:r>
    </w:p>
    <w:p>
      <w:pPr>
        <w:ind w:left="288"/>
      </w:pPr>
      <w:r>
        <w:rPr>
          <w:color w:val="1E1E1E"/>
          <w:sz w:val="18"/>
        </w:rPr>
        <w:t>Se o paciente já cumpriu a pena imposta na condenação, não cabe habeas corpus por lhe faltar o objeto específico de sua tutela: a "liberdade de locomoção" – atual ou ameaçada.</w:t>
      </w:r>
    </w:p>
    <w:p>
      <w:pPr>
        <w:ind w:left="288"/>
      </w:pPr>
      <w:r>
        <w:rPr>
          <w:b/>
          <w:color w:val="003CA0"/>
          <w:sz w:val="16"/>
        </w:rPr>
        <w:t>[HC 68.715, rel. min. Paulo Brossard, j. 10-12-1991, 2ª T, DJ de 14-2-1992.]</w:t>
      </w:r>
    </w:p>
    <w:p>
      <w:pPr>
        <w:ind w:left="288"/>
      </w:pPr>
      <w:r>
        <w:rPr>
          <w:color w:val="8C8C8C"/>
          <w:sz w:val="12"/>
        </w:rPr>
        <w:t>cf-art-5-inc-L</w:t>
      </w:r>
      <w:r>
        <w:rPr>
          <w:color w:val="003CA0"/>
          <w:sz w:val="12"/>
        </w:rPr>
        <w:t xml:space="preserve"> | HC 104.105</w:t>
      </w:r>
      <w:r>
        <w:rPr>
          <w:color w:val="003CA0"/>
          <w:sz w:val="12"/>
        </w:rPr>
        <w:t xml:space="preserve"> | rel. Ricardo Lewandowski</w:t>
      </w:r>
    </w:p>
    <w:p>
      <w:pPr>
        <w:ind w:left="288"/>
      </w:pPr>
      <w:r>
        <w:rPr>
          <w:color w:val="1E1E1E"/>
          <w:sz w:val="18"/>
        </w:rPr>
        <w:t>= HC 104.105, rel. min. Ricardo Lewandowski, j. 5-10-2010, 1ª T, DJE de 4-11-2010 Vide RHC 84.413, rel. min. Carlos Velloso, j. 29-6-2004, 2ª T, DJ de 20-8-2004 Habeas corpus: julgamento no STF: intervenção do querelante: garantias constitucionais do devido processo legal, do contraditório e da ampla defesa dos litigantes. Em habeas corpus impetrado em favor do querelado contra decisão que recebeu a queixa, é irrecusável a intervenção do querelante, que comparece ao feito para oferecer razões escritas e sustentá-las oralmente. Diferentemente do assistente do Ministério Público, que não é parte</w:t>
      </w:r>
    </w:p>
    <w:p>
      <w:pPr>
        <w:ind w:left="288"/>
      </w:pPr>
      <w:r>
        <w:rPr>
          <w:b/>
          <w:color w:val="003CA0"/>
          <w:sz w:val="16"/>
        </w:rPr>
        <w:t>[Pet 423 AgR, rel. min. Celso de Mello, red. do ac. min. Sepúlveda Pertence, j. 26-4-1991, P, DJ de 13-3-1992.]</w:t>
      </w:r>
    </w:p>
    <w:p>
      <w:pPr>
        <w:ind w:left="288"/>
      </w:pPr>
      <w:r>
        <w:rPr>
          <w:color w:val="8C8C8C"/>
          <w:sz w:val="12"/>
        </w:rPr>
        <w:t>cf-art-5-inc-L</w:t>
      </w:r>
      <w:r>
        <w:rPr>
          <w:color w:val="003CA0"/>
          <w:sz w:val="12"/>
        </w:rPr>
        <w:t xml:space="preserve"> | HC 68.242</w:t>
      </w:r>
      <w:r>
        <w:rPr>
          <w:color w:val="003CA0"/>
          <w:sz w:val="12"/>
        </w:rPr>
        <w:t xml:space="preserve"> | rel. Celso de Mello</w:t>
      </w:r>
    </w:p>
    <w:p>
      <w:pPr>
        <w:ind w:left="288"/>
      </w:pPr>
      <w:r>
        <w:rPr>
          <w:color w:val="1E1E1E"/>
          <w:sz w:val="18"/>
        </w:rPr>
        <w:t>A via jurisdicional do habeas corpus, necessariamente estreita em função de seu caráter sumaríssimo, não se revela hábil para a análise das excludentes anímicas, animus jocandi, animus defendendi, animus consulendi, animus corrigendi, animus narrandi, cuja efetiva ocorrência descaracterizaria a intenção de injuriar.</w:t>
      </w:r>
    </w:p>
    <w:p>
      <w:pPr>
        <w:ind w:left="288"/>
      </w:pPr>
      <w:r>
        <w:rPr>
          <w:b/>
          <w:color w:val="003CA0"/>
          <w:sz w:val="16"/>
        </w:rPr>
        <w:t>[HC 68.242, rel. min. Celso de Mello, j. 6-11-1990, P, DJ de 15-3-1991.]</w:t>
      </w:r>
    </w:p>
    <w:p>
      <w:pPr>
        <w:ind w:left="288"/>
      </w:pPr>
      <w:r>
        <w:rPr>
          <w:color w:val="8C8C8C"/>
          <w:sz w:val="12"/>
        </w:rPr>
        <w:t>cf-art-5-inc-L</w:t>
      </w:r>
    </w:p>
    <w:p>
      <w:pPr>
        <w:ind w:left="288"/>
      </w:pPr>
      <w:r>
        <w:rPr>
          <w:color w:val="1E1E1E"/>
          <w:sz w:val="18"/>
        </w:rPr>
        <w:t>LXIX - conceder-se-á mandado de segurança para proteger direito líquido e certo, não amparado por habeas corpus ou habeas data, quando o responsável pela ilegalidade ou abuso de poder for autoridade pública ou agente de pessoa jurídica no exercício de atribuições do Poder Público; É constitucional lei que fixa prazo de decadência para impetração de mandado de segurança.</w:t>
      </w:r>
    </w:p>
    <w:p>
      <w:pPr>
        <w:ind w:left="288"/>
      </w:pPr>
      <w:r>
        <w:rPr>
          <w:b/>
          <w:color w:val="003CA0"/>
          <w:sz w:val="16"/>
        </w:rPr>
        <w:t>[Súmula 632.]</w:t>
      </w:r>
    </w:p>
    <w:p>
      <w:pPr>
        <w:ind w:left="288"/>
      </w:pPr>
      <w:r>
        <w:rPr>
          <w:color w:val="8C8C8C"/>
          <w:sz w:val="12"/>
        </w:rPr>
        <w:t>cf-art-5-inc-L</w:t>
      </w:r>
    </w:p>
    <w:p>
      <w:pPr>
        <w:ind w:left="288"/>
      </w:pPr>
      <w:r>
        <w:rPr>
          <w:color w:val="1E1E1E"/>
          <w:sz w:val="18"/>
        </w:rPr>
        <w:t>A entidade de classe tem legitimação para o mandado de segurança ainda quando a pretensão veiculada interesse apenas a uma parte da respectiva categoria.</w:t>
      </w:r>
    </w:p>
    <w:p>
      <w:pPr>
        <w:ind w:left="288"/>
      </w:pPr>
      <w:r>
        <w:rPr>
          <w:b/>
          <w:color w:val="003CA0"/>
          <w:sz w:val="16"/>
        </w:rPr>
        <w:t>[Súmula 630.]</w:t>
      </w:r>
    </w:p>
    <w:p>
      <w:pPr>
        <w:ind w:left="288"/>
      </w:pPr>
      <w:r>
        <w:rPr>
          <w:color w:val="8C8C8C"/>
          <w:sz w:val="12"/>
        </w:rPr>
        <w:t>cf-art-5-inc-L</w:t>
      </w:r>
    </w:p>
    <w:p>
      <w:pPr>
        <w:ind w:left="288"/>
      </w:pPr>
      <w:r>
        <w:rPr>
          <w:color w:val="1E1E1E"/>
          <w:sz w:val="18"/>
        </w:rPr>
        <w:t>Controvérsia sobre matéria de direito não impede concessão de mandado de segurança.</w:t>
      </w:r>
    </w:p>
    <w:p>
      <w:pPr>
        <w:ind w:left="288"/>
      </w:pPr>
      <w:r>
        <w:rPr>
          <w:b/>
          <w:color w:val="003CA0"/>
          <w:sz w:val="16"/>
        </w:rPr>
        <w:t>[Súmula 625.]</w:t>
      </w:r>
    </w:p>
    <w:p>
      <w:pPr>
        <w:ind w:left="288"/>
      </w:pPr>
      <w:r>
        <w:rPr>
          <w:color w:val="8C8C8C"/>
          <w:sz w:val="12"/>
        </w:rPr>
        <w:t>cf-art-5-inc-L</w:t>
      </w:r>
    </w:p>
    <w:p>
      <w:pPr>
        <w:ind w:left="288"/>
      </w:pPr>
      <w:r>
        <w:rPr>
          <w:color w:val="1E1E1E"/>
          <w:sz w:val="18"/>
        </w:rPr>
        <w:t>Não cabe condenação em honorários de advogado na ação de mandado de segurança.</w:t>
      </w:r>
    </w:p>
    <w:p>
      <w:pPr>
        <w:ind w:left="288"/>
      </w:pPr>
      <w:r>
        <w:rPr>
          <w:b/>
          <w:color w:val="003CA0"/>
          <w:sz w:val="16"/>
        </w:rPr>
        <w:t>[Súmula 512.]</w:t>
      </w:r>
    </w:p>
    <w:p>
      <w:pPr>
        <w:ind w:left="288"/>
      </w:pPr>
      <w:r>
        <w:rPr>
          <w:color w:val="8C8C8C"/>
          <w:sz w:val="12"/>
        </w:rPr>
        <w:t>cf-art-5-inc-L</w:t>
      </w:r>
    </w:p>
    <w:p>
      <w:pPr>
        <w:ind w:left="288"/>
      </w:pPr>
      <w:r>
        <w:rPr>
          <w:color w:val="1E1E1E"/>
          <w:sz w:val="18"/>
        </w:rPr>
        <w:t>Praticado o ato por autoridade, no exercício de competência delegada, contra ela cabe o mandado de segurança ou a medida judicial.</w:t>
      </w:r>
    </w:p>
    <w:p>
      <w:pPr>
        <w:ind w:left="288"/>
      </w:pPr>
      <w:r>
        <w:rPr>
          <w:b/>
          <w:color w:val="003CA0"/>
          <w:sz w:val="16"/>
        </w:rPr>
        <w:t>[Súmula 510.]</w:t>
      </w:r>
    </w:p>
    <w:p>
      <w:pPr>
        <w:ind w:left="288"/>
      </w:pPr>
      <w:r>
        <w:rPr>
          <w:color w:val="8C8C8C"/>
          <w:sz w:val="12"/>
        </w:rPr>
        <w:t>cf-art-5-inc-L</w:t>
      </w:r>
    </w:p>
    <w:p>
      <w:pPr>
        <w:ind w:left="288"/>
      </w:pPr>
      <w:r>
        <w:rPr>
          <w:color w:val="1E1E1E"/>
          <w:sz w:val="18"/>
        </w:rPr>
        <w:t>Pedido de reconsideração na via administrativa não interrompe o prazo para o mandado de segurança.</w:t>
      </w:r>
    </w:p>
    <w:p>
      <w:pPr>
        <w:ind w:left="288"/>
      </w:pPr>
      <w:r>
        <w:rPr>
          <w:b/>
          <w:color w:val="003CA0"/>
          <w:sz w:val="16"/>
        </w:rPr>
        <w:t>[Súmula 430.]</w:t>
      </w:r>
    </w:p>
    <w:p>
      <w:pPr>
        <w:ind w:left="288"/>
      </w:pPr>
      <w:r>
        <w:rPr>
          <w:color w:val="8C8C8C"/>
          <w:sz w:val="12"/>
        </w:rPr>
        <w:t>cf-art-5-inc-L</w:t>
      </w:r>
    </w:p>
    <w:p>
      <w:pPr>
        <w:ind w:left="288"/>
      </w:pPr>
      <w:r>
        <w:rPr>
          <w:color w:val="1E1E1E"/>
          <w:sz w:val="18"/>
        </w:rPr>
        <w:t>Concessão de mandado de segurança não produz efeitos patrimoniais em relação a período pretérito, os quais devem ser reclamados administrativamente ou pela via judicial própria.</w:t>
      </w:r>
    </w:p>
    <w:p>
      <w:pPr>
        <w:ind w:left="288"/>
      </w:pPr>
      <w:r>
        <w:rPr>
          <w:b/>
          <w:color w:val="003CA0"/>
          <w:sz w:val="16"/>
        </w:rPr>
        <w:t>[Súmula 271.]</w:t>
      </w:r>
    </w:p>
    <w:p>
      <w:pPr>
        <w:ind w:left="288"/>
      </w:pPr>
      <w:r>
        <w:rPr>
          <w:color w:val="8C8C8C"/>
          <w:sz w:val="12"/>
        </w:rPr>
        <w:t>cf-art-5-inc-L</w:t>
      </w:r>
    </w:p>
    <w:p>
      <w:pPr>
        <w:ind w:left="288"/>
      </w:pPr>
      <w:r>
        <w:rPr>
          <w:color w:val="1E1E1E"/>
          <w:sz w:val="18"/>
        </w:rPr>
        <w:t>Não cabe mandado de segurança para impugnar enquadramento da Lei 3.780, de 12-7-1960, que envolva exame de prova ou de situação funcional complexa.</w:t>
      </w:r>
    </w:p>
    <w:p>
      <w:pPr>
        <w:ind w:left="288"/>
      </w:pPr>
      <w:r>
        <w:rPr>
          <w:b/>
          <w:color w:val="003CA0"/>
          <w:sz w:val="16"/>
        </w:rPr>
        <w:t>[Súmula 270.]</w:t>
      </w:r>
    </w:p>
    <w:p>
      <w:pPr>
        <w:ind w:left="288"/>
      </w:pPr>
      <w:r>
        <w:rPr>
          <w:color w:val="8C8C8C"/>
          <w:sz w:val="12"/>
        </w:rPr>
        <w:t>cf-art-5-inc-L</w:t>
      </w:r>
    </w:p>
    <w:p>
      <w:pPr>
        <w:ind w:left="288"/>
      </w:pPr>
      <w:r>
        <w:rPr>
          <w:color w:val="1E1E1E"/>
          <w:sz w:val="18"/>
        </w:rPr>
        <w:t>O mandado de segurança não é substitutivo de ação de cobrança.</w:t>
      </w:r>
    </w:p>
    <w:p>
      <w:pPr>
        <w:ind w:left="288"/>
      </w:pPr>
      <w:r>
        <w:rPr>
          <w:b/>
          <w:color w:val="003CA0"/>
          <w:sz w:val="16"/>
        </w:rPr>
        <w:t>[Súmula 269.]</w:t>
      </w:r>
    </w:p>
    <w:p>
      <w:pPr>
        <w:ind w:left="288"/>
      </w:pPr>
      <w:r>
        <w:rPr>
          <w:color w:val="8C8C8C"/>
          <w:sz w:val="12"/>
        </w:rPr>
        <w:t>cf-art-5-inc-L</w:t>
      </w:r>
    </w:p>
    <w:p>
      <w:pPr>
        <w:ind w:left="288"/>
      </w:pPr>
      <w:r>
        <w:rPr>
          <w:color w:val="1E1E1E"/>
          <w:sz w:val="18"/>
        </w:rPr>
        <w:t>Não cabe mandado de segurança contra decisão judicial com trânsito em julgado.</w:t>
      </w:r>
    </w:p>
    <w:p>
      <w:pPr>
        <w:ind w:left="288"/>
      </w:pPr>
      <w:r>
        <w:rPr>
          <w:b/>
          <w:color w:val="003CA0"/>
          <w:sz w:val="16"/>
        </w:rPr>
        <w:t>[Súmula 268.]</w:t>
      </w:r>
    </w:p>
    <w:p>
      <w:pPr>
        <w:ind w:left="288"/>
      </w:pPr>
      <w:r>
        <w:rPr>
          <w:color w:val="8C8C8C"/>
          <w:sz w:val="12"/>
        </w:rPr>
        <w:t>cf-art-5-inc-L</w:t>
      </w:r>
    </w:p>
    <w:p>
      <w:pPr>
        <w:ind w:left="288"/>
      </w:pPr>
      <w:r>
        <w:rPr>
          <w:color w:val="1E1E1E"/>
          <w:sz w:val="18"/>
        </w:rPr>
        <w:t>Não cabe mandado de segurança contra ato judicial passível de recurso ou correição.</w:t>
      </w:r>
    </w:p>
    <w:p>
      <w:pPr>
        <w:ind w:left="288"/>
      </w:pPr>
      <w:r>
        <w:rPr>
          <w:b/>
          <w:color w:val="003CA0"/>
          <w:sz w:val="16"/>
        </w:rPr>
        <w:t>[Súmula 267.]</w:t>
      </w:r>
    </w:p>
    <w:p>
      <w:pPr>
        <w:ind w:left="288"/>
      </w:pPr>
      <w:r>
        <w:rPr>
          <w:color w:val="8C8C8C"/>
          <w:sz w:val="12"/>
        </w:rPr>
        <w:t>cf-art-5-inc-L</w:t>
      </w:r>
    </w:p>
    <w:p>
      <w:pPr>
        <w:ind w:left="288"/>
      </w:pPr>
      <w:r>
        <w:rPr>
          <w:color w:val="1E1E1E"/>
          <w:sz w:val="18"/>
        </w:rPr>
        <w:t>Não cabe mandado de segurança contra lei em tese.</w:t>
      </w:r>
    </w:p>
    <w:p>
      <w:pPr>
        <w:ind w:left="288"/>
      </w:pPr>
      <w:r>
        <w:rPr>
          <w:b/>
          <w:color w:val="003CA0"/>
          <w:sz w:val="16"/>
        </w:rPr>
        <w:t>[Súmula 266.]</w:t>
      </w:r>
    </w:p>
    <w:p>
      <w:pPr>
        <w:ind w:left="288"/>
      </w:pPr>
      <w:r>
        <w:rPr>
          <w:color w:val="8C8C8C"/>
          <w:sz w:val="12"/>
        </w:rPr>
        <w:t>cf-art-5-inc-L</w:t>
      </w:r>
    </w:p>
    <w:p>
      <w:pPr>
        <w:ind w:left="288"/>
      </w:pPr>
      <w:r>
        <w:rPr>
          <w:color w:val="1E1E1E"/>
          <w:sz w:val="18"/>
        </w:rPr>
        <w:t>O mandado de segurança não substitui a ação popular.</w:t>
      </w:r>
    </w:p>
    <w:p>
      <w:pPr>
        <w:ind w:left="288"/>
      </w:pPr>
      <w:r>
        <w:rPr>
          <w:b/>
          <w:color w:val="003CA0"/>
          <w:sz w:val="16"/>
        </w:rPr>
        <w:t>[Súmula 101.]</w:t>
      </w:r>
    </w:p>
    <w:p>
      <w:pPr>
        <w:ind w:left="288"/>
      </w:pPr>
      <w:r>
        <w:rPr>
          <w:color w:val="8C8C8C"/>
          <w:sz w:val="12"/>
        </w:rPr>
        <w:t>cf-art-5-inc-L</w:t>
      </w:r>
      <w:r>
        <w:rPr>
          <w:color w:val="003CA0"/>
          <w:sz w:val="12"/>
        </w:rPr>
        <w:t xml:space="preserve"> | ADI 4.296</w:t>
      </w:r>
      <w:r>
        <w:rPr>
          <w:color w:val="003CA0"/>
          <w:sz w:val="12"/>
        </w:rPr>
        <w:t xml:space="preserve"> | rel. Marco Aurélio</w:t>
      </w:r>
    </w:p>
    <w:p>
      <w:pPr>
        <w:ind w:left="288"/>
      </w:pPr>
      <w:r>
        <w:rPr>
          <w:color w:val="1E1E1E"/>
          <w:sz w:val="18"/>
        </w:rPr>
        <w:t>Não cabe mandado de segurança contra atos de gestão comercial praticados por administradores de empresas públicas, sociedades de economia mista e concessionárias de serviço público (Lei 12.016/2019, art. 1º, § 2º).</w:t>
      </w:r>
    </w:p>
    <w:p>
      <w:pPr>
        <w:ind w:left="288"/>
      </w:pPr>
      <w:r>
        <w:rPr>
          <w:b/>
          <w:color w:val="003CA0"/>
          <w:sz w:val="16"/>
        </w:rPr>
        <w:t>[ADI 4.296, rel. min. Marco Aurélio, red. do ac. min. Alexandre de Moraes, j. 9-6-2021, P, DJE de 11-10-2021.]</w:t>
      </w:r>
    </w:p>
    <w:p>
      <w:pPr>
        <w:ind w:left="288"/>
      </w:pPr>
      <w:r>
        <w:rPr>
          <w:color w:val="8C8C8C"/>
          <w:sz w:val="12"/>
        </w:rPr>
        <w:t>cf-art-5-inc-L</w:t>
      </w:r>
      <w:r>
        <w:rPr>
          <w:color w:val="003CA0"/>
          <w:sz w:val="12"/>
        </w:rPr>
        <w:t xml:space="preserve"> | ADI 4.403</w:t>
      </w:r>
      <w:r>
        <w:rPr>
          <w:color w:val="003CA0"/>
          <w:sz w:val="12"/>
        </w:rPr>
        <w:t xml:space="preserve"> | rel. Edson Fachin</w:t>
      </w:r>
    </w:p>
    <w:p>
      <w:pPr>
        <w:ind w:left="288"/>
      </w:pPr>
      <w:r>
        <w:rPr>
          <w:color w:val="1E1E1E"/>
          <w:sz w:val="18"/>
        </w:rPr>
        <w:t>O art. 14, §2º, da Lei n. 12.016/2009, conferiu legitimidade recursal, não capacidade postulatória, à autoridade coatora, não havendo, pois, ofensa ao art. 133 da CRFB.</w:t>
      </w:r>
    </w:p>
    <w:p>
      <w:pPr>
        <w:ind w:left="288"/>
      </w:pPr>
      <w:r>
        <w:rPr>
          <w:b/>
          <w:color w:val="003CA0"/>
          <w:sz w:val="16"/>
        </w:rPr>
        <w:t>[ADI 4.403, rel. min. Edson Fachin, j. 23-8-2019, P, DJE de 9-9-2019.]</w:t>
      </w:r>
    </w:p>
    <w:p>
      <w:pPr>
        <w:ind w:left="288"/>
      </w:pPr>
      <w:r>
        <w:rPr>
          <w:color w:val="8C8C8C"/>
          <w:sz w:val="12"/>
        </w:rPr>
        <w:t>cf-art-5-inc-L</w:t>
      </w:r>
      <w:r>
        <w:rPr>
          <w:color w:val="003CA0"/>
          <w:sz w:val="12"/>
        </w:rPr>
        <w:t xml:space="preserve"> | MS 26.890</w:t>
      </w:r>
    </w:p>
    <w:p>
      <w:pPr>
        <w:ind w:left="288"/>
      </w:pPr>
      <w:r>
        <w:rPr>
          <w:color w:val="1E1E1E"/>
          <w:sz w:val="18"/>
        </w:rPr>
        <w:t>(...) na jurisprudência tradicional desta Suprema Corte: (i) “É lícito ao impetrante desistir da ação de mandado de segurança, independentemente de aquiescência da autoridade apontada como coatora ou da entidade estatal interessada ou, ainda, quando for o caso, dos litisconsortes passivos necessários” (MS 26.890 AgR/DF, Pleno, ministro Celso de Mello, DJE de 23-10-2009), (ii) “a qualquer momento antes do término do julgamento” (MS 24.584 AgR/DF, Pleno, ministro Ricardo Lewandowski, DJE de 20-6-2008), (iii) “mesmo após eventual sentença concessiva do writ constitucional, (…) não se aplicando, e</w:t>
      </w:r>
    </w:p>
    <w:p>
      <w:pPr>
        <w:ind w:left="288"/>
      </w:pPr>
      <w:r>
        <w:rPr>
          <w:b/>
          <w:color w:val="003CA0"/>
          <w:sz w:val="16"/>
        </w:rPr>
        <w:t>[RE 669.367, voto do red. do ac. min. Rosa Weber, j. 2-5-2013, P, DJE de 30-10-2014, Tema 530, com mérito julgado.]</w:t>
      </w:r>
    </w:p>
    <w:p>
      <w:pPr>
        <w:ind w:left="288"/>
      </w:pPr>
      <w:r>
        <w:rPr>
          <w:color w:val="8C8C8C"/>
          <w:sz w:val="12"/>
        </w:rPr>
        <w:t>cf-art-5-inc-L</w:t>
      </w:r>
      <w:r>
        <w:rPr>
          <w:color w:val="003CA0"/>
          <w:sz w:val="12"/>
        </w:rPr>
        <w:t xml:space="preserve"> | MS 29.083</w:t>
      </w:r>
      <w:r>
        <w:rPr>
          <w:color w:val="003CA0"/>
          <w:sz w:val="12"/>
        </w:rPr>
        <w:t xml:space="preserve"> | rel. Eros Grau</w:t>
      </w:r>
    </w:p>
    <w:p>
      <w:pPr>
        <w:ind w:left="288"/>
      </w:pPr>
      <w:r>
        <w:rPr>
          <w:color w:val="1E1E1E"/>
          <w:sz w:val="18"/>
        </w:rPr>
        <w:t>Vide MS 29.083 ED-ED-AgR, red. do ac. min. Dias Toffoli, j. 16-5-2017, 2ª T, DJE de 6-10-2017 Não cabe mandado de segurança das decisões interlocutórias exaradas em processos submetidos ao rito da Lei 9.099/1995.</w:t>
      </w:r>
    </w:p>
    <w:p>
      <w:pPr>
        <w:ind w:left="288"/>
      </w:pPr>
      <w:r>
        <w:rPr>
          <w:b/>
          <w:color w:val="003CA0"/>
          <w:sz w:val="16"/>
        </w:rPr>
        <w:t>[RE 576.847, rel. min. Eros Grau, j. 20-5-2009, P, DJE de 7-8-2009, Tema 77, com mérito julgado.]</w:t>
      </w:r>
    </w:p>
    <w:p>
      <w:pPr>
        <w:ind w:left="288"/>
      </w:pPr>
      <w:r>
        <w:rPr>
          <w:color w:val="8C8C8C"/>
          <w:sz w:val="12"/>
        </w:rPr>
        <w:t>cf-art-5-inc-L</w:t>
      </w:r>
      <w:r>
        <w:rPr>
          <w:color w:val="003CA0"/>
          <w:sz w:val="12"/>
        </w:rPr>
        <w:t xml:space="preserve"> | RE 669.367</w:t>
      </w:r>
    </w:p>
    <w:p>
      <w:pPr>
        <w:ind w:left="288"/>
      </w:pPr>
      <w:r>
        <w:rPr>
          <w:color w:val="1E1E1E"/>
          <w:sz w:val="18"/>
        </w:rPr>
        <w:t>Nas hipóteses em que demonstrado o mero intuito de se recusar observância a jurisprudência pacífica da Corte, o Supremo Tribunal tem afastado o entendimento firmado no RE 669.367 RG (relatora para o acórdão a ministra Rosa Weber, Pleno, DJE de 30-10-2014), segundo o qual pode a parte impetrante manifestar desistência da ação mandamental a qualquer tempo, mesmo após a sentença, independentemente da concordância da parte impetrada.</w:t>
      </w:r>
    </w:p>
    <w:p>
      <w:pPr>
        <w:ind w:left="288"/>
      </w:pPr>
      <w:r>
        <w:rPr>
          <w:b/>
          <w:color w:val="003CA0"/>
          <w:sz w:val="16"/>
        </w:rPr>
        <w:t>[MS 29.083 ED-ED-AgR, red. do ac. min. Dias Toffoli, j. 16-5-2017, 2ª T, DJE de 6-10-2017.]</w:t>
      </w:r>
    </w:p>
    <w:p>
      <w:pPr>
        <w:ind w:left="288"/>
      </w:pPr>
      <w:r>
        <w:rPr>
          <w:color w:val="8C8C8C"/>
          <w:sz w:val="12"/>
        </w:rPr>
        <w:t>cf-art-5-inc-L</w:t>
      </w:r>
      <w:r>
        <w:rPr>
          <w:color w:val="003CA0"/>
          <w:sz w:val="12"/>
        </w:rPr>
        <w:t xml:space="preserve"> | RE 669.367</w:t>
      </w:r>
      <w:r>
        <w:rPr>
          <w:color w:val="003CA0"/>
          <w:sz w:val="12"/>
        </w:rPr>
        <w:t xml:space="preserve"> | rel. Edson Fachin)</w:t>
      </w:r>
    </w:p>
    <w:p>
      <w:pPr>
        <w:ind w:left="288"/>
      </w:pPr>
      <w:r>
        <w:rPr>
          <w:color w:val="1E1E1E"/>
          <w:sz w:val="18"/>
        </w:rPr>
        <w:t>Vide RE 669.367, red. do ac. min. Rosa Weber, j. 2-5-2013, P, DJE de 30-10-2014, Tema 530 Embora haja questionamentos sobre a constitucionalidade do art. 14, § 1º, da Lei 12.016/2009, que estende à autoridade impetrada o direito de recorrer (ADI 4.403, rel. min. Edson Fachin), para os fins desta análise liminar, apoio-me na presunção de constitucionalidade do dispositivo e deixo de problematizar a ilegitimidade do ora recorrente. Nada obstante isso, o recurso não deve ser conhecido, por ausência de interesse recursal. A decisão recorrida considerou presente a plausibilidade jurídica das alegaç</w:t>
      </w:r>
    </w:p>
    <w:p>
      <w:pPr>
        <w:ind w:left="288"/>
      </w:pPr>
      <w:r>
        <w:rPr>
          <w:b/>
          <w:color w:val="003CA0"/>
          <w:sz w:val="16"/>
        </w:rPr>
        <w:t>[MS 33.729 MC-AgR, voto do min. Roberto Barroso, j. 3-9-2015, P, DJE de 4-2-2016.]</w:t>
      </w:r>
    </w:p>
    <w:p>
      <w:pPr>
        <w:ind w:left="288"/>
      </w:pPr>
      <w:r>
        <w:rPr>
          <w:color w:val="8C8C8C"/>
          <w:sz w:val="12"/>
        </w:rPr>
        <w:t>cf-art-5-inc-L</w:t>
      </w:r>
      <w:r>
        <w:rPr>
          <w:color w:val="003CA0"/>
          <w:sz w:val="12"/>
        </w:rPr>
        <w:t xml:space="preserve"> | MS 33.694</w:t>
      </w:r>
      <w:r>
        <w:rPr>
          <w:color w:val="003CA0"/>
          <w:sz w:val="12"/>
        </w:rPr>
        <w:t xml:space="preserve"> | rel. Cármen Lúcia</w:t>
      </w:r>
    </w:p>
    <w:p>
      <w:pPr>
        <w:ind w:left="288"/>
      </w:pPr>
      <w:r>
        <w:rPr>
          <w:color w:val="1E1E1E"/>
          <w:sz w:val="18"/>
        </w:rPr>
        <w:t>(...) o impetrante pretende submeter ao controle abstrato de constitucionalidade deste Supremo Tribunal o mérito do veto aposto pela presidente da República a proposta legislativa votada pelo Congresso Nacional, afirmando-o contrário aos arts. 5º, §§ 2º e 3º, e 206, I, da Constituição da República (...). Pretende obter a declaração de inconstitucionalidade do veto e, com isso, a promulgação de normas vetadas. O impetrante pretende substituir os instrumentos de controle abstrato de constitucionalidade pela ação de mandado de segurança. Aqueles instrumentos são dispostos constitucionalmente, têm</w:t>
      </w:r>
    </w:p>
    <w:p>
      <w:pPr>
        <w:ind w:left="288"/>
      </w:pPr>
      <w:r>
        <w:rPr>
          <w:b/>
          <w:color w:val="003CA0"/>
          <w:sz w:val="16"/>
        </w:rPr>
        <w:t>[MS 33.694, rel. min. Cármen Lúcia, j. 6-8-2015, dec. monocrática, DJE de 14-8-2015.]</w:t>
      </w:r>
    </w:p>
    <w:p>
      <w:pPr>
        <w:ind w:left="288"/>
      </w:pPr>
      <w:r>
        <w:rPr>
          <w:color w:val="8C8C8C"/>
          <w:sz w:val="12"/>
        </w:rPr>
        <w:t>cf-art-5-inc-L</w:t>
      </w:r>
      <w:r>
        <w:rPr>
          <w:color w:val="003CA0"/>
          <w:sz w:val="12"/>
        </w:rPr>
        <w:t xml:space="preserve"> | MS 33.694</w:t>
      </w:r>
      <w:r>
        <w:rPr>
          <w:color w:val="003CA0"/>
          <w:sz w:val="12"/>
        </w:rPr>
        <w:t xml:space="preserve"> | rel. Cármen Lúcia</w:t>
      </w:r>
    </w:p>
    <w:p>
      <w:pPr>
        <w:ind w:left="288"/>
      </w:pPr>
      <w:r>
        <w:rPr>
          <w:color w:val="1E1E1E"/>
          <w:sz w:val="18"/>
        </w:rPr>
        <w:t>= MS 33.694 AgR, rel. min. Cármen Lúcia, j. 7-10-2015, P, DJE de 26-10-2015 (...) mandado de segurança (...). Ilegitimidade do particular para, na qualidade de cidadão, atuar em face da Mesa da Câmara dos Deputados ou do Senado Federal na defesa de interesse de toda a coletividade.</w:t>
      </w:r>
    </w:p>
    <w:p>
      <w:pPr>
        <w:ind w:left="288"/>
      </w:pPr>
      <w:r>
        <w:rPr>
          <w:b/>
          <w:color w:val="003CA0"/>
          <w:sz w:val="16"/>
        </w:rPr>
        <w:t>[MS 32.052 AgR, rel. min. Dias Toffoli, j. 18-12-2013, P, DJE de 19-2-2014.]</w:t>
      </w:r>
    </w:p>
    <w:p>
      <w:pPr>
        <w:ind w:left="288"/>
      </w:pPr>
      <w:r>
        <w:rPr>
          <w:color w:val="8C8C8C"/>
          <w:sz w:val="12"/>
        </w:rPr>
        <w:t>cf-art-5-inc-L</w:t>
      </w:r>
      <w:r>
        <w:rPr>
          <w:color w:val="003CA0"/>
          <w:sz w:val="12"/>
        </w:rPr>
        <w:t xml:space="preserve"> | MS 28.772</w:t>
      </w:r>
      <w:r>
        <w:rPr>
          <w:color w:val="003CA0"/>
          <w:sz w:val="12"/>
        </w:rPr>
        <w:t xml:space="preserve"> | rel. Dias Toffoli</w:t>
      </w:r>
    </w:p>
    <w:p>
      <w:pPr>
        <w:ind w:left="288"/>
      </w:pPr>
      <w:r>
        <w:rPr>
          <w:color w:val="1E1E1E"/>
          <w:sz w:val="18"/>
        </w:rPr>
        <w:t>O mandado de segurança pressupõe a existência de direito próprio do impetrante. Somente pode socorrer-se dessa ação o titular do direito lesado ou ameaçado de lesão por ato ou omissão de autoridade, o que não se vislumbra na espécie.</w:t>
      </w:r>
    </w:p>
    <w:p>
      <w:pPr>
        <w:ind w:left="288"/>
      </w:pPr>
      <w:r>
        <w:rPr>
          <w:b/>
          <w:color w:val="003CA0"/>
          <w:sz w:val="16"/>
        </w:rPr>
        <w:t>[MS 28.772 AgR, rel. min. Dias Toffoli, j. 19-9-2013, P, DJE de 18-11-2013.]</w:t>
      </w:r>
    </w:p>
    <w:p>
      <w:pPr>
        <w:ind w:left="288"/>
      </w:pPr>
      <w:r>
        <w:rPr>
          <w:color w:val="8C8C8C"/>
          <w:sz w:val="12"/>
        </w:rPr>
        <w:t>cf-art-5-inc-L</w:t>
      </w:r>
      <w:r>
        <w:rPr>
          <w:color w:val="003CA0"/>
          <w:sz w:val="12"/>
        </w:rPr>
        <w:t xml:space="preserve"> | MS 31.816</w:t>
      </w:r>
    </w:p>
    <w:p>
      <w:pPr>
        <w:ind w:left="288"/>
      </w:pPr>
      <w:r>
        <w:rPr>
          <w:color w:val="1E1E1E"/>
          <w:sz w:val="18"/>
        </w:rPr>
        <w:t>A concessão de liminar, em mandado de segurança, supõe, além do risco de ineficácia da futura decisão definitiva da demanda, a elevada probabilidade de êxito da pretensão, tal como nela formulada.</w:t>
      </w:r>
    </w:p>
    <w:p>
      <w:pPr>
        <w:ind w:left="288"/>
      </w:pPr>
      <w:r>
        <w:rPr>
          <w:b/>
          <w:color w:val="003CA0"/>
          <w:sz w:val="16"/>
        </w:rPr>
        <w:t>[MS 31.816 MC-AgR, red. do ac. min. Teori Zavascki, j. 27-2-2013, P, DJE de 13-5-2013.]</w:t>
      </w:r>
    </w:p>
    <w:p>
      <w:pPr>
        <w:ind w:left="288"/>
      </w:pPr>
      <w:r>
        <w:rPr>
          <w:color w:val="8C8C8C"/>
          <w:sz w:val="12"/>
        </w:rPr>
        <w:t>cf-art-5-inc-L</w:t>
      </w:r>
      <w:r>
        <w:rPr>
          <w:color w:val="003CA0"/>
          <w:sz w:val="12"/>
        </w:rPr>
        <w:t xml:space="preserve"> | MS 28.177</w:t>
      </w:r>
      <w:r>
        <w:rPr>
          <w:color w:val="003CA0"/>
          <w:sz w:val="12"/>
        </w:rPr>
        <w:t xml:space="preserve"> | rel. Dias Toffoli</w:t>
      </w:r>
    </w:p>
    <w:p>
      <w:pPr>
        <w:ind w:left="288"/>
      </w:pPr>
      <w:r>
        <w:rPr>
          <w:color w:val="1E1E1E"/>
          <w:sz w:val="18"/>
        </w:rPr>
        <w:t>Vide MS 28.177 MC-AgR, red. do ac. min. min. Ricardo Lewandowski, j. 30-9-2009, P, DJE de 18-12-2009 É posição pacífica da jurisprudência desta Suprema Corte que o prazo decadencial para ajuizamento do mandado de segurança, mesmo que tenha ocorrido perante juízo absolutamente incompetente, há de ser aferido pela data em que foi originariamente protocolizado.</w:t>
      </w:r>
    </w:p>
    <w:p>
      <w:pPr>
        <w:ind w:left="288"/>
      </w:pPr>
      <w:r>
        <w:rPr>
          <w:b/>
          <w:color w:val="003CA0"/>
          <w:sz w:val="16"/>
        </w:rPr>
        <w:t>[MS 26.792 AgR, rel. min. Dias Toffoli, j. 4-9-2012, 1ª T, DJE de 27-9-2012.]</w:t>
      </w:r>
    </w:p>
    <w:p>
      <w:pPr>
        <w:ind w:left="288"/>
      </w:pPr>
      <w:r>
        <w:rPr>
          <w:color w:val="8C8C8C"/>
          <w:sz w:val="12"/>
        </w:rPr>
        <w:t>cf-art-5-inc-L</w:t>
      </w:r>
      <w:r>
        <w:rPr>
          <w:color w:val="003CA0"/>
          <w:sz w:val="12"/>
        </w:rPr>
        <w:t xml:space="preserve"> | MS 27.750</w:t>
      </w:r>
    </w:p>
    <w:p>
      <w:pPr>
        <w:ind w:left="288"/>
      </w:pPr>
      <w:r>
        <w:rPr>
          <w:color w:val="1E1E1E"/>
          <w:sz w:val="18"/>
        </w:rPr>
        <w:t>Com efeito, o alegado direito líquido e certo à posse na data aprazada ou à reserva de vaga não configura direito autônomo do impetrante que mereça ser amparado por mandado de segurança, significando, tão somente, a extensão do provimento que se busca para acautelar eventual procedência da ação ordinária (...), devendo, portanto, ser postulado no juízo competente para conhecer da matéria de fundo.</w:t>
      </w:r>
    </w:p>
    <w:p>
      <w:pPr>
        <w:ind w:left="288"/>
      </w:pPr>
      <w:r>
        <w:rPr>
          <w:b/>
          <w:color w:val="003CA0"/>
          <w:sz w:val="16"/>
        </w:rPr>
        <w:t>[MS 27.750 AgR, voto do min. Dias Toffoli, j. 12-6-2012, 1ª T, DJE de 9-8-2012.]</w:t>
      </w:r>
    </w:p>
    <w:p>
      <w:pPr>
        <w:ind w:left="288"/>
      </w:pPr>
      <w:r>
        <w:rPr>
          <w:color w:val="8C8C8C"/>
          <w:sz w:val="12"/>
        </w:rPr>
        <w:t>cf-art-5-inc-L</w:t>
      </w:r>
      <w:r>
        <w:rPr>
          <w:color w:val="003CA0"/>
          <w:sz w:val="12"/>
        </w:rPr>
        <w:t xml:space="preserve"> | RE 676.774</w:t>
      </w:r>
      <w:r>
        <w:rPr>
          <w:color w:val="003CA0"/>
          <w:sz w:val="12"/>
        </w:rPr>
        <w:t xml:space="preserve"> | rel. Celso de Mello</w:t>
      </w:r>
    </w:p>
    <w:p>
      <w:pPr>
        <w:ind w:left="288"/>
      </w:pPr>
      <w:r>
        <w:rPr>
          <w:color w:val="1E1E1E"/>
          <w:sz w:val="18"/>
        </w:rPr>
        <w:t>Os efeitos patrimoniais resultantes da concessão de mandado de segurança somente abrangem os valores devidos a partir da data da impetração mandamental, excluídas, em consequência, as parcelas anteriores ao ajuizamento da ação de mandado de segurança, que poderão, no entanto, ser vindicadas em sede administrativa ou demandadas em via judicial própria.</w:t>
      </w:r>
    </w:p>
    <w:p>
      <w:pPr>
        <w:ind w:left="288"/>
      </w:pPr>
      <w:r>
        <w:rPr>
          <w:b/>
          <w:color w:val="003CA0"/>
          <w:sz w:val="16"/>
        </w:rPr>
        <w:t>[RE 676.774, rel. min. Celso de Mello, j. 8-6-2012, dec. monocrática, DJE de 13-6-2012.]</w:t>
      </w:r>
    </w:p>
    <w:p>
      <w:pPr>
        <w:ind w:left="288"/>
      </w:pPr>
      <w:r>
        <w:rPr>
          <w:color w:val="8C8C8C"/>
          <w:sz w:val="12"/>
        </w:rPr>
        <w:t>cf-art-5-inc-L</w:t>
      </w:r>
      <w:r>
        <w:rPr>
          <w:color w:val="003CA0"/>
          <w:sz w:val="12"/>
        </w:rPr>
        <w:t xml:space="preserve"> | MS 30.822</w:t>
      </w:r>
      <w:r>
        <w:rPr>
          <w:color w:val="003CA0"/>
          <w:sz w:val="12"/>
        </w:rPr>
        <w:t xml:space="preserve"> | rel. Ricardo Lewandowski</w:t>
      </w:r>
    </w:p>
    <w:p>
      <w:pPr>
        <w:ind w:left="288"/>
      </w:pPr>
      <w:r>
        <w:rPr>
          <w:color w:val="1E1E1E"/>
          <w:sz w:val="18"/>
        </w:rPr>
        <w:t>O art. 5º, I, da Lei 12.016/2009 não configura uma condição de procedibilidade, mas tão somente uma causa impeditiva de que se utilize simultaneamente o recurso administrativo com efeito suspensivo e o mandamus.</w:t>
      </w:r>
    </w:p>
    <w:p>
      <w:pPr>
        <w:ind w:left="288"/>
      </w:pPr>
      <w:r>
        <w:rPr>
          <w:b/>
          <w:color w:val="003CA0"/>
          <w:sz w:val="16"/>
        </w:rPr>
        <w:t>[MS 30.822, rel. min. Ricardo Lewandowski, j. 5-6-2012, 2ª T, DJE de 26-6-2012.]</w:t>
      </w:r>
    </w:p>
    <w:p>
      <w:pPr>
        <w:ind w:left="288"/>
      </w:pPr>
      <w:r>
        <w:rPr>
          <w:color w:val="8C8C8C"/>
          <w:sz w:val="12"/>
        </w:rPr>
        <w:t>cf-art-5-inc-L</w:t>
      </w:r>
      <w:r>
        <w:rPr>
          <w:color w:val="003CA0"/>
          <w:sz w:val="12"/>
        </w:rPr>
        <w:t xml:space="preserve"> | RMS 30.990</w:t>
      </w:r>
      <w:r>
        <w:rPr>
          <w:color w:val="003CA0"/>
          <w:sz w:val="12"/>
        </w:rPr>
        <w:t xml:space="preserve"> | rel. Marco Aurélio</w:t>
      </w:r>
    </w:p>
    <w:p>
      <w:pPr>
        <w:ind w:left="288"/>
      </w:pPr>
      <w:r>
        <w:rPr>
          <w:color w:val="1E1E1E"/>
          <w:sz w:val="18"/>
        </w:rPr>
        <w:t>O mandado de segurança há de ser impetrado no prazo assinado em lei, não o reabrindo pedido de reconsideração formalizado anos após o ato atacado ter vindo à balha.</w:t>
      </w:r>
    </w:p>
    <w:p>
      <w:pPr>
        <w:ind w:left="288"/>
      </w:pPr>
      <w:r>
        <w:rPr>
          <w:b/>
          <w:color w:val="003CA0"/>
          <w:sz w:val="16"/>
        </w:rPr>
        <w:t>[RMS 30.990, rel. min. Marco Aurélio, j. 8-5-2012, 1ª T, DJE de 5-6-2012.]</w:t>
      </w:r>
    </w:p>
    <w:p>
      <w:pPr>
        <w:ind w:left="288"/>
      </w:pPr>
      <w:r>
        <w:rPr>
          <w:color w:val="8C8C8C"/>
          <w:sz w:val="12"/>
        </w:rPr>
        <w:t>cf-art-5-inc-L</w:t>
      </w:r>
      <w:r>
        <w:rPr>
          <w:color w:val="003CA0"/>
          <w:sz w:val="12"/>
        </w:rPr>
        <w:t xml:space="preserve"> | MS 30.981</w:t>
      </w:r>
      <w:r>
        <w:rPr>
          <w:color w:val="003CA0"/>
          <w:sz w:val="12"/>
        </w:rPr>
        <w:t xml:space="preserve"> | rel. Gilmar Mendes</w:t>
      </w:r>
    </w:p>
    <w:p>
      <w:pPr>
        <w:ind w:left="288"/>
      </w:pPr>
      <w:r>
        <w:rPr>
          <w:color w:val="1E1E1E"/>
          <w:sz w:val="18"/>
        </w:rPr>
        <w:t>= MS 30.981 AgR, rel. min. Gilmar Mendes, j. 14-8-2012, 2ª T, DJE de 27-8-2012 CNJ. Decisão que determina a nomeação de candidatos aprovados em concurso público. Decadência do mandado de segurança. Alegada ausência de efeitos imediatos da decisão recorrida. Improcedência. O ato apontado como coator tem natureza comissiva e produz efeitos desde sua edição. O deferimento de prazo para o cumprimento da determinação não afasta a natureza cogente da decisão, que incide imediatamente na esfera jurídica da parte contra a qual ela é dirigida, restringindo sua autonomia para decidir sobre o momento e a</w:t>
      </w:r>
    </w:p>
    <w:p>
      <w:pPr>
        <w:ind w:left="288"/>
      </w:pPr>
      <w:r>
        <w:rPr>
          <w:b/>
          <w:color w:val="003CA0"/>
          <w:sz w:val="16"/>
        </w:rPr>
        <w:t>[MS 30.588 AgR, rel. min. Cármen Lúcia, j. 6-10-2011, P, DJE de 25-10-2011.]</w:t>
      </w:r>
    </w:p>
    <w:p>
      <w:pPr>
        <w:ind w:left="288"/>
      </w:pPr>
      <w:r>
        <w:rPr>
          <w:color w:val="8C8C8C"/>
          <w:sz w:val="12"/>
        </w:rPr>
        <w:t>cf-art-5-inc-L</w:t>
      </w:r>
      <w:r>
        <w:rPr>
          <w:color w:val="003CA0"/>
          <w:sz w:val="12"/>
        </w:rPr>
        <w:t xml:space="preserve"> | MS 27.851</w:t>
      </w:r>
      <w:r>
        <w:rPr>
          <w:color w:val="003CA0"/>
          <w:sz w:val="12"/>
        </w:rPr>
        <w:t xml:space="preserve"> | rel. Dias Toffoli</w:t>
      </w:r>
    </w:p>
    <w:p>
      <w:pPr>
        <w:ind w:left="288"/>
      </w:pPr>
      <w:r>
        <w:rPr>
          <w:color w:val="1E1E1E"/>
          <w:sz w:val="18"/>
        </w:rPr>
        <w:t>A própria Lei 12.016, no intuito de se amoldar ao entendimento desta Corte, estipulou, no seu art. 6º, §3º, que não apenas a autoridade que edita o ato mas também aquela que ordena a sua execução deverão figurar no polo passivo do writ.</w:t>
      </w:r>
    </w:p>
    <w:p>
      <w:pPr>
        <w:ind w:left="288"/>
      </w:pPr>
      <w:r>
        <w:rPr>
          <w:b/>
          <w:color w:val="003CA0"/>
          <w:sz w:val="16"/>
        </w:rPr>
        <w:t>[MS 27.851, rel. min. Dias Toffoli, red. do ac. Luiz Fux, j. 27-9-2011, 1ª T, DJE de 23-11-2011.]</w:t>
      </w:r>
    </w:p>
    <w:p>
      <w:pPr>
        <w:ind w:left="288"/>
      </w:pPr>
      <w:r>
        <w:rPr>
          <w:color w:val="8C8C8C"/>
          <w:sz w:val="12"/>
        </w:rPr>
        <w:t>cf-art-5-inc-L</w:t>
      </w:r>
      <w:r>
        <w:rPr>
          <w:color w:val="003CA0"/>
          <w:sz w:val="12"/>
        </w:rPr>
        <w:t xml:space="preserve"> | MS 28.447</w:t>
      </w:r>
      <w:r>
        <w:rPr>
          <w:color w:val="003CA0"/>
          <w:sz w:val="12"/>
        </w:rPr>
        <w:t xml:space="preserve"> | rel. Dias Toffoli</w:t>
      </w:r>
    </w:p>
    <w:p>
      <w:pPr>
        <w:ind w:left="288"/>
      </w:pPr>
      <w:r>
        <w:rPr>
          <w:color w:val="1E1E1E"/>
          <w:sz w:val="18"/>
        </w:rPr>
        <w:t>A condição de candidato elegível para cargo de direção de tribunal confere-lhe pretensão a ser deduzida em juízo, possuindo legitimidade para propositura do mandamus.</w:t>
      </w:r>
    </w:p>
    <w:p>
      <w:pPr>
        <w:ind w:left="288"/>
      </w:pPr>
      <w:r>
        <w:rPr>
          <w:b/>
          <w:color w:val="003CA0"/>
          <w:sz w:val="16"/>
        </w:rPr>
        <w:t>[MS 28.447, rel. min. Dias Toffoli, j. 25-8-2011, P, DJE de 23-11-2011.]</w:t>
      </w:r>
    </w:p>
    <w:p>
      <w:pPr>
        <w:ind w:left="288"/>
      </w:pPr>
      <w:r>
        <w:rPr>
          <w:color w:val="8C8C8C"/>
          <w:sz w:val="12"/>
        </w:rPr>
        <w:t>cf-art-5-inc-L</w:t>
      </w:r>
      <w:r>
        <w:rPr>
          <w:color w:val="003CA0"/>
          <w:sz w:val="12"/>
        </w:rPr>
        <w:t xml:space="preserve"> | MS 29.108</w:t>
      </w:r>
      <w:r>
        <w:rPr>
          <w:color w:val="003CA0"/>
          <w:sz w:val="12"/>
        </w:rPr>
        <w:t xml:space="preserve"> | rel. Celso de Mello</w:t>
      </w:r>
    </w:p>
    <w:p>
      <w:pPr>
        <w:ind w:left="288"/>
      </w:pPr>
      <w:r>
        <w:rPr>
          <w:color w:val="1E1E1E"/>
          <w:sz w:val="18"/>
        </w:rPr>
        <w:t>O termo inicial do prazo decadencial de 120 dias começa a fluir, para efeito de impetração do mandado de segurança, a partir da data em que o ato do poder público, formalmente divulgado no Diário Oficial, revela-se apto a gerar efeitos lesivos na esfera jurídica do interessado. (...) O ato estatal eivado de ilegalidade ou de abuso de poder não se convalida nem adquire consistência jurídica pelo simples decurso, in albis, do prazo decadencial a que se refere o art. 23 da Lei 12.016/2009. A extinção do direito de impetrar mandado de segurança, resultante da consumação do prazo decadencial, embor</w:t>
      </w:r>
    </w:p>
    <w:p>
      <w:pPr>
        <w:ind w:left="288"/>
      </w:pPr>
      <w:r>
        <w:rPr>
          <w:b/>
          <w:color w:val="003CA0"/>
          <w:sz w:val="16"/>
        </w:rPr>
        <w:t>[MS 29.108 ED, rel. min. Celso de Mello, j. 11-5-2011, P, DJE de 22-6-2011.]</w:t>
      </w:r>
    </w:p>
    <w:p>
      <w:pPr>
        <w:ind w:left="288"/>
      </w:pPr>
      <w:r>
        <w:rPr>
          <w:color w:val="8C8C8C"/>
          <w:sz w:val="12"/>
        </w:rPr>
        <w:t>cf-art-5-inc-L</w:t>
      </w:r>
      <w:r>
        <w:rPr>
          <w:color w:val="003CA0"/>
          <w:sz w:val="12"/>
        </w:rPr>
        <w:t xml:space="preserve"> | MS 25.985</w:t>
      </w:r>
      <w:r>
        <w:rPr>
          <w:color w:val="003CA0"/>
          <w:sz w:val="12"/>
        </w:rPr>
        <w:t xml:space="preserve"> | rel. Marco Aurélio</w:t>
      </w:r>
    </w:p>
    <w:p>
      <w:pPr>
        <w:ind w:left="288"/>
      </w:pPr>
      <w:r>
        <w:rPr>
          <w:color w:val="1E1E1E"/>
          <w:sz w:val="18"/>
        </w:rPr>
        <w:t>Vide MS 25.985 AgR, rel. min. Marco Aurélio, j. 1º-7-2009, P, DJE de 21-8-2009 Vide RMS 23.987, rel. min. Moreira Alves, j. 25-3-2003, 1ª T, DJ de 2-5-2003 Mandado de segurança preventivo. A circunstância de a alegada ameaça de lesão ao direito pretensamente titularizado pelo impetrante ter-se convolado em ato concreto não acarreta perda de objeto da ação.</w:t>
      </w:r>
    </w:p>
    <w:p>
      <w:pPr>
        <w:ind w:left="288"/>
      </w:pPr>
      <w:r>
        <w:rPr>
          <w:b/>
          <w:color w:val="003CA0"/>
          <w:sz w:val="16"/>
        </w:rPr>
        <w:t>[MS 30.260 e MS 30.272, rel. min. Cármen Lúcia, j. 27-4-2011, P, DJE de 30-8-2011.]</w:t>
      </w:r>
    </w:p>
    <w:p>
      <w:pPr>
        <w:ind w:left="288"/>
      </w:pPr>
      <w:r>
        <w:rPr>
          <w:color w:val="8C8C8C"/>
          <w:sz w:val="12"/>
        </w:rPr>
        <w:t>cf-art-5-inc-L</w:t>
      </w:r>
      <w:r>
        <w:rPr>
          <w:color w:val="003CA0"/>
          <w:sz w:val="12"/>
        </w:rPr>
        <w:t xml:space="preserve"> | MS 34.217</w:t>
      </w:r>
      <w:r>
        <w:rPr>
          <w:color w:val="003CA0"/>
          <w:sz w:val="12"/>
        </w:rPr>
        <w:t xml:space="preserve"> | rel. Celso de Mello</w:t>
      </w:r>
    </w:p>
    <w:p>
      <w:pPr>
        <w:ind w:left="288"/>
      </w:pPr>
      <w:r>
        <w:rPr>
          <w:color w:val="1E1E1E"/>
          <w:sz w:val="18"/>
        </w:rPr>
        <w:t>= MS 34.217 MC, rel. min. Celso de Mello, j. 22-8-2016, dec. monocrática, DJE de 25-8-2016 Mostra-se válido o redirecionamento subjetivo do mandado de segurança quando a inicial é aditada dentro do prazo de 120 dias da prática do ato impugnado.</w:t>
      </w:r>
    </w:p>
    <w:p>
      <w:pPr>
        <w:ind w:left="288"/>
      </w:pPr>
      <w:r>
        <w:rPr>
          <w:b/>
          <w:color w:val="003CA0"/>
          <w:sz w:val="16"/>
        </w:rPr>
        <w:t>[MS 26.391, rel. min. Marco Aurélio, j. 13-4-2011, P, DJE de 6-6-2011.]</w:t>
      </w:r>
    </w:p>
    <w:p>
      <w:pPr>
        <w:ind w:left="288"/>
      </w:pPr>
      <w:r>
        <w:rPr>
          <w:color w:val="8C8C8C"/>
          <w:sz w:val="12"/>
        </w:rPr>
        <w:t>cf-art-5-inc-L</w:t>
      </w:r>
      <w:r>
        <w:rPr>
          <w:color w:val="003CA0"/>
          <w:sz w:val="12"/>
        </w:rPr>
        <w:t xml:space="preserve"> | MS 25.563</w:t>
      </w:r>
      <w:r>
        <w:rPr>
          <w:color w:val="003CA0"/>
          <w:sz w:val="12"/>
        </w:rPr>
        <w:t xml:space="preserve"> | rel. Marco Aurélio</w:t>
      </w:r>
    </w:p>
    <w:p>
      <w:pPr>
        <w:ind w:left="288"/>
      </w:pPr>
      <w:r>
        <w:rPr>
          <w:color w:val="1E1E1E"/>
          <w:sz w:val="18"/>
        </w:rPr>
        <w:t>Vide MS 25.563 AgR, rel. min. Marco Aurélio, j. 9-12-2010, P, DJE de 10-2-2011 O mandado de segurança há de ser tomado conforme os parâmetros subjetivos e objetivos retratados na inicial, não cabendo redirecionamento.</w:t>
      </w:r>
    </w:p>
    <w:p>
      <w:pPr>
        <w:ind w:left="288"/>
      </w:pPr>
      <w:r>
        <w:rPr>
          <w:b/>
          <w:color w:val="003CA0"/>
          <w:sz w:val="16"/>
        </w:rPr>
        <w:t>[MS 25.563 AgR, rel. min. Marco Aurélio, j. 9-12-2010, P, DJE de 10-2-2011.]</w:t>
      </w:r>
    </w:p>
    <w:p>
      <w:pPr>
        <w:ind w:left="288"/>
      </w:pPr>
      <w:r>
        <w:rPr>
          <w:color w:val="8C8C8C"/>
          <w:sz w:val="12"/>
        </w:rPr>
        <w:t>cf-art-5-inc-L</w:t>
      </w:r>
      <w:r>
        <w:rPr>
          <w:color w:val="003CA0"/>
          <w:sz w:val="12"/>
        </w:rPr>
        <w:t xml:space="preserve"> | MS 26.391</w:t>
      </w:r>
      <w:r>
        <w:rPr>
          <w:color w:val="003CA0"/>
          <w:sz w:val="12"/>
        </w:rPr>
        <w:t xml:space="preserve"> | rel. Marco Aurélio</w:t>
      </w:r>
    </w:p>
    <w:p>
      <w:pPr>
        <w:ind w:left="288"/>
      </w:pPr>
      <w:r>
        <w:rPr>
          <w:color w:val="1E1E1E"/>
          <w:sz w:val="18"/>
        </w:rPr>
        <w:t>Vide MS 26.391, rel. min. Marco Aurélio, j. 13-4-2011, P, DJE de 6-6-2011 Ante o objeto limitado do mandado de segurança, presente interesse subjetivo peculiar, é inadmissível a intervenção de terceiro na relação processual.</w:t>
      </w:r>
    </w:p>
    <w:p>
      <w:pPr>
        <w:ind w:left="288"/>
      </w:pPr>
      <w:r>
        <w:rPr>
          <w:b/>
          <w:color w:val="003CA0"/>
          <w:sz w:val="16"/>
        </w:rPr>
        <w:t>[RE 575.093 AgR, rel. min. Marco Aurélio, j. 9-12-2010, P, DJE de 11-2-2011.]</w:t>
      </w:r>
    </w:p>
    <w:p>
      <w:pPr>
        <w:ind w:left="288"/>
      </w:pPr>
      <w:r>
        <w:rPr>
          <w:color w:val="8C8C8C"/>
          <w:sz w:val="12"/>
        </w:rPr>
        <w:t>cf-art-5-inc-L</w:t>
      </w:r>
      <w:r>
        <w:rPr>
          <w:color w:val="003CA0"/>
          <w:sz w:val="12"/>
        </w:rPr>
        <w:t xml:space="preserve"> | MS 26.662</w:t>
      </w:r>
      <w:r>
        <w:rPr>
          <w:color w:val="003CA0"/>
          <w:sz w:val="12"/>
        </w:rPr>
        <w:t xml:space="preserve"> | rel. Ayres Britto</w:t>
      </w:r>
    </w:p>
    <w:p>
      <w:pPr>
        <w:ind w:left="288"/>
      </w:pPr>
      <w:r>
        <w:rPr>
          <w:color w:val="1E1E1E"/>
          <w:sz w:val="18"/>
        </w:rPr>
        <w:t>A existência de diferentes impetrados não afasta a identidade de partes se as autoridades são vinculadas a u´a mesma pessoa jurídica de direito público. Há litispendência, e não continência, se a diferença entre os objetos das ações mandamentais é matéria insusceptível de exame por meio de mandado de segurança.</w:t>
      </w:r>
    </w:p>
    <w:p>
      <w:pPr>
        <w:ind w:left="288"/>
      </w:pPr>
      <w:r>
        <w:rPr>
          <w:b/>
          <w:color w:val="003CA0"/>
          <w:sz w:val="16"/>
        </w:rPr>
        <w:t>[MS 26.662 AgR, rel. min. Ayres Britto, j. 10-11-2010, P, DJE de 15-12-2010.]</w:t>
      </w:r>
    </w:p>
    <w:p>
      <w:pPr>
        <w:ind w:left="288"/>
      </w:pPr>
      <w:r>
        <w:rPr>
          <w:color w:val="8C8C8C"/>
          <w:sz w:val="12"/>
        </w:rPr>
        <w:t>cf-art-5-inc-L</w:t>
      </w:r>
      <w:r>
        <w:rPr>
          <w:color w:val="003CA0"/>
          <w:sz w:val="12"/>
        </w:rPr>
        <w:t xml:space="preserve"> | RMS 27.434</w:t>
      </w:r>
      <w:r>
        <w:rPr>
          <w:color w:val="003CA0"/>
          <w:sz w:val="12"/>
        </w:rPr>
        <w:t xml:space="preserve"> | rel. Marco Aurélio</w:t>
      </w:r>
    </w:p>
    <w:p>
      <w:pPr>
        <w:ind w:left="288"/>
      </w:pPr>
      <w:r>
        <w:rPr>
          <w:color w:val="1E1E1E"/>
          <w:sz w:val="18"/>
        </w:rPr>
        <w:t>Decadência. Mandado de segurança. Em se tratando de impugnação a ato que não deságua em prestações continuadas, incide o prazo decadencial.</w:t>
      </w:r>
    </w:p>
    <w:p>
      <w:pPr>
        <w:ind w:left="288"/>
      </w:pPr>
      <w:r>
        <w:rPr>
          <w:b/>
          <w:color w:val="003CA0"/>
          <w:sz w:val="16"/>
        </w:rPr>
        <w:t>[RMS 27.434, rel. min. Marco Aurélio, j. 24-8-2010, 1ª T, DJE de 15-2-2011.]</w:t>
      </w:r>
    </w:p>
    <w:p>
      <w:pPr>
        <w:ind w:left="288"/>
      </w:pPr>
      <w:r>
        <w:rPr>
          <w:color w:val="8C8C8C"/>
          <w:sz w:val="12"/>
        </w:rPr>
        <w:t>cf-art-5-inc-L</w:t>
      </w:r>
      <w:r>
        <w:rPr>
          <w:color w:val="003CA0"/>
          <w:sz w:val="12"/>
        </w:rPr>
        <w:t xml:space="preserve"> | RMS 27.241</w:t>
      </w:r>
      <w:r>
        <w:rPr>
          <w:color w:val="003CA0"/>
          <w:sz w:val="12"/>
        </w:rPr>
        <w:t xml:space="preserve"> | rel. Cármen Lúcia</w:t>
      </w:r>
    </w:p>
    <w:p>
      <w:pPr>
        <w:ind w:left="288"/>
      </w:pPr>
      <w:r>
        <w:rPr>
          <w:color w:val="1E1E1E"/>
          <w:sz w:val="18"/>
        </w:rPr>
        <w:t>É inadmissível a impetração de mandado de segurança para desconstituir ato revestido de conteúdo jurisdicional.</w:t>
      </w:r>
    </w:p>
    <w:p>
      <w:pPr>
        <w:ind w:left="288"/>
      </w:pPr>
      <w:r>
        <w:rPr>
          <w:b/>
          <w:color w:val="003CA0"/>
          <w:sz w:val="16"/>
        </w:rPr>
        <w:t>[RMS 27.241, rel. min. Cármen Lúcia, j. 22-6-2010, 1ª T, DJE de 13-8-2010.]</w:t>
      </w:r>
    </w:p>
    <w:p>
      <w:pPr>
        <w:ind w:left="288"/>
      </w:pPr>
      <w:r>
        <w:rPr>
          <w:color w:val="8C8C8C"/>
          <w:sz w:val="12"/>
        </w:rPr>
        <w:t>cf-art-5-inc-L</w:t>
      </w:r>
      <w:r>
        <w:rPr>
          <w:color w:val="003CA0"/>
          <w:sz w:val="12"/>
        </w:rPr>
        <w:t xml:space="preserve"> | RMS 28.193</w:t>
      </w:r>
      <w:r>
        <w:rPr>
          <w:color w:val="003CA0"/>
          <w:sz w:val="12"/>
        </w:rPr>
        <w:t xml:space="preserve"> | rel. Eros Grau</w:t>
      </w:r>
    </w:p>
    <w:p>
      <w:pPr>
        <w:ind w:left="288"/>
      </w:pPr>
      <w:r>
        <w:rPr>
          <w:color w:val="1E1E1E"/>
          <w:sz w:val="18"/>
        </w:rPr>
        <w:t>A autoridade administrativa legítima para figurar no polo passivo da impetração é a competente para a prática do ato no momento do ajuizamento do writ.</w:t>
      </w:r>
    </w:p>
    <w:p>
      <w:pPr>
        <w:ind w:left="288"/>
      </w:pPr>
      <w:r>
        <w:rPr>
          <w:b/>
          <w:color w:val="003CA0"/>
          <w:sz w:val="16"/>
        </w:rPr>
        <w:t>[RMS 28.193, rel. min. Eros Grau, j. 11-5-2010, 2ª T, DJE de 4-6-2010.]</w:t>
      </w:r>
    </w:p>
    <w:p>
      <w:pPr>
        <w:ind w:left="288"/>
      </w:pPr>
      <w:r>
        <w:rPr>
          <w:color w:val="8C8C8C"/>
          <w:sz w:val="12"/>
        </w:rPr>
        <w:t>cf-art-5-inc-L</w:t>
      </w:r>
      <w:r>
        <w:rPr>
          <w:color w:val="003CA0"/>
          <w:sz w:val="12"/>
        </w:rPr>
        <w:t xml:space="preserve"> | MS 28.245</w:t>
      </w:r>
      <w:r>
        <w:rPr>
          <w:color w:val="003CA0"/>
          <w:sz w:val="12"/>
        </w:rPr>
        <w:t xml:space="preserve"> | rel. Marco Aurélio</w:t>
      </w:r>
    </w:p>
    <w:p>
      <w:pPr>
        <w:ind w:left="288"/>
      </w:pPr>
      <w:r>
        <w:rPr>
          <w:color w:val="1E1E1E"/>
          <w:sz w:val="18"/>
        </w:rPr>
        <w:t>Ao mandado de segurança deve-se emprestar tramitação célere. Com esta não se coaduna a interposição de agravo, mediante apresentação de minuta improcedente, visando transmudar indeferimento de medida acauteladora em deferimento.</w:t>
      </w:r>
    </w:p>
    <w:p>
      <w:pPr>
        <w:ind w:left="288"/>
      </w:pPr>
      <w:r>
        <w:rPr>
          <w:b/>
          <w:color w:val="003CA0"/>
          <w:sz w:val="16"/>
        </w:rPr>
        <w:t>[MS 28.245 MC-AgR, rel. min. Marco Aurélio, j. 6-5-2010, P, DJE de 28-5-2010.]</w:t>
      </w:r>
    </w:p>
    <w:p>
      <w:pPr>
        <w:ind w:left="288"/>
      </w:pPr>
      <w:r>
        <w:rPr>
          <w:color w:val="8C8C8C"/>
          <w:sz w:val="12"/>
        </w:rPr>
        <w:t>cf-art-5-inc-L</w:t>
      </w:r>
      <w:r>
        <w:rPr>
          <w:color w:val="003CA0"/>
          <w:sz w:val="12"/>
        </w:rPr>
        <w:t xml:space="preserve"> | MS 25.459</w:t>
      </w:r>
      <w:r>
        <w:rPr>
          <w:color w:val="003CA0"/>
          <w:sz w:val="12"/>
        </w:rPr>
        <w:t xml:space="preserve"> | rel. Cezar Peluso</w:t>
      </w:r>
    </w:p>
    <w:p>
      <w:pPr>
        <w:ind w:left="288"/>
      </w:pPr>
      <w:r>
        <w:rPr>
          <w:color w:val="1E1E1E"/>
          <w:sz w:val="18"/>
        </w:rPr>
        <w:t>Encerrados os trabalhos de CPI, contra a qual tenha sido impetrado, extingue-se, sem julgamento de mérito, o processo de mandado de segurança.</w:t>
      </w:r>
    </w:p>
    <w:p>
      <w:pPr>
        <w:ind w:left="288"/>
      </w:pPr>
      <w:r>
        <w:rPr>
          <w:b/>
          <w:color w:val="003CA0"/>
          <w:sz w:val="16"/>
        </w:rPr>
        <w:t>[MS 25.459 AgR, rel. min. Cezar Peluso, j. 4-2-2010, P, DJE de 12-3-2010.]</w:t>
      </w:r>
    </w:p>
    <w:p>
      <w:pPr>
        <w:ind w:left="288"/>
      </w:pPr>
      <w:r>
        <w:rPr>
          <w:color w:val="8C8C8C"/>
          <w:sz w:val="12"/>
        </w:rPr>
        <w:t>cf-art-5-inc-L</w:t>
      </w:r>
      <w:r>
        <w:rPr>
          <w:color w:val="003CA0"/>
          <w:sz w:val="12"/>
        </w:rPr>
        <w:t xml:space="preserve"> | MS 28.250</w:t>
      </w:r>
      <w:r>
        <w:rPr>
          <w:color w:val="003CA0"/>
          <w:sz w:val="12"/>
        </w:rPr>
        <w:t xml:space="preserve"> | rel. Eros Grau</w:t>
      </w:r>
    </w:p>
    <w:p>
      <w:pPr>
        <w:ind w:left="288"/>
      </w:pPr>
      <w:r>
        <w:rPr>
          <w:color w:val="1E1E1E"/>
          <w:sz w:val="18"/>
        </w:rPr>
        <w:t>Não cabe mandado de segurança contra ato do presidente do STF dotado de caráter normativo, ato que disciplina situações gerais e abstratas. A portaria impugnada neste writ produz efeitos análogos ao de uma "lei em tese", contra a qual não cabe mandado de segurança (Súmula 266 desta Corte).</w:t>
      </w:r>
    </w:p>
    <w:p>
      <w:pPr>
        <w:ind w:left="288"/>
      </w:pPr>
      <w:r>
        <w:rPr>
          <w:b/>
          <w:color w:val="003CA0"/>
          <w:sz w:val="16"/>
        </w:rPr>
        <w:t>[MS 28.250 AgR, rel. min. Eros Grau, j. 4-2-2010, P, DJE de 26-3-2010.]</w:t>
      </w:r>
    </w:p>
    <w:p>
      <w:pPr>
        <w:ind w:left="288"/>
      </w:pPr>
      <w:r>
        <w:rPr>
          <w:color w:val="8C8C8C"/>
          <w:sz w:val="12"/>
        </w:rPr>
        <w:t>cf-art-5-inc-L</w:t>
      </w:r>
      <w:r>
        <w:rPr>
          <w:color w:val="003CA0"/>
          <w:sz w:val="12"/>
        </w:rPr>
        <w:t xml:space="preserve"> | MS 28.985</w:t>
      </w:r>
      <w:r>
        <w:rPr>
          <w:color w:val="003CA0"/>
          <w:sz w:val="12"/>
        </w:rPr>
        <w:t xml:space="preserve"> | rel. Dias Toffoli</w:t>
      </w:r>
    </w:p>
    <w:p>
      <w:pPr>
        <w:ind w:left="288"/>
      </w:pPr>
      <w:r>
        <w:rPr>
          <w:color w:val="1E1E1E"/>
          <w:sz w:val="18"/>
        </w:rPr>
        <w:t>= MS 28.985 AgR, rel. min. Dias Toffoli, j. 19-9-2013, P, DJE de 19-11-2013 “Não há fundamento legal para a interposição de agravo de instrumento diretamente nesta Corte contra decisão de juiz de primeiro grau que indefere petição inicial de mandado de segurança. Indeferida liminarmente a petição inicial pelo juiz de primeiro grau, cabe recurso de apelação, que será julgado pelo tribunal ao qual vinculado o magistrado. Em se tratando de mandado de segurança de competência originária de tribunal local, contra a decisão do relator cabe o recurso de agravo, que será julgado pelo órgão definido no</w:t>
      </w:r>
    </w:p>
    <w:p>
      <w:pPr>
        <w:ind w:left="288"/>
      </w:pPr>
      <w:r>
        <w:rPr>
          <w:b/>
          <w:color w:val="003CA0"/>
          <w:sz w:val="16"/>
        </w:rPr>
        <w:t>[Pet 4.673 AgR, rel. min. Eros Grau, j. 25-11-2009, P, DJE de 18-12-2009.]</w:t>
      </w:r>
    </w:p>
    <w:p>
      <w:pPr>
        <w:ind w:left="288"/>
      </w:pPr>
      <w:r>
        <w:rPr>
          <w:color w:val="8C8C8C"/>
          <w:sz w:val="12"/>
        </w:rPr>
        <w:t>cf-art-5-inc-L</w:t>
      </w:r>
      <w:r>
        <w:rPr>
          <w:color w:val="003CA0"/>
          <w:sz w:val="12"/>
        </w:rPr>
        <w:t xml:space="preserve"> | RMS 26.744</w:t>
      </w:r>
      <w:r>
        <w:rPr>
          <w:color w:val="003CA0"/>
          <w:sz w:val="12"/>
        </w:rPr>
        <w:t xml:space="preserve"> | rel. Marco Aurélio</w:t>
      </w:r>
    </w:p>
    <w:p>
      <w:pPr>
        <w:ind w:left="288"/>
      </w:pPr>
      <w:r>
        <w:rPr>
          <w:color w:val="1E1E1E"/>
          <w:sz w:val="18"/>
        </w:rPr>
        <w:t>O mandado de segurança não abre margem a dilação probatória. Os fatos articulados na inicial devem vir demonstrados mediante os documentos próprios, viabilizando-se requisição quando se encontrarem em setor público.</w:t>
      </w:r>
    </w:p>
    <w:p>
      <w:pPr>
        <w:ind w:left="288"/>
      </w:pPr>
      <w:r>
        <w:rPr>
          <w:b/>
          <w:color w:val="003CA0"/>
          <w:sz w:val="16"/>
        </w:rPr>
        <w:t>[RMS 26.744, rel. min. Marco Aurélio, j. 13-10-2009, 1ª T, DJE de 13-11-2009.]</w:t>
      </w:r>
    </w:p>
    <w:p>
      <w:pPr>
        <w:ind w:left="288"/>
      </w:pPr>
      <w:r>
        <w:rPr>
          <w:color w:val="8C8C8C"/>
          <w:sz w:val="12"/>
        </w:rPr>
        <w:t>cf-art-5-inc-L</w:t>
      </w:r>
      <w:r>
        <w:rPr>
          <w:color w:val="003CA0"/>
          <w:sz w:val="12"/>
        </w:rPr>
        <w:t xml:space="preserve"> | RMS 26.361</w:t>
      </w:r>
      <w:r>
        <w:rPr>
          <w:color w:val="003CA0"/>
          <w:sz w:val="12"/>
        </w:rPr>
        <w:t xml:space="preserve"> | rel. Marco Aurélio</w:t>
      </w:r>
    </w:p>
    <w:p>
      <w:pPr>
        <w:ind w:left="288"/>
      </w:pPr>
      <w:r>
        <w:rPr>
          <w:color w:val="1E1E1E"/>
          <w:sz w:val="18"/>
        </w:rPr>
        <w:t>Vide RMS 26.361, rel. min. Marco Aurélio, j. 4-3-2008, 1ª T, DJE de 9-5-2008 A concessão de medida liminar em mandado de segurança pressupõe a ineficácia da medida, caso seja deferida ao final. Além disso, a impetrante não demonstrou urgência na publicação das informações buscadas. A medida liminar, ademais, se mostra satisfativa, isto é, esvazia o próprio objeto do mandamus.</w:t>
      </w:r>
    </w:p>
    <w:p>
      <w:pPr>
        <w:ind w:left="288"/>
      </w:pPr>
      <w:r>
        <w:rPr>
          <w:b/>
          <w:color w:val="003CA0"/>
          <w:sz w:val="16"/>
        </w:rPr>
        <w:t>[MS 28.177 MC-AgR, rel. min. Marco Aurélio, red. do ac. min. Ricardo Lewandowski, j. 30-9-2009, P, DJE de 18-12-2009.]</w:t>
      </w:r>
    </w:p>
    <w:p>
      <w:pPr>
        <w:ind w:left="288"/>
      </w:pPr>
      <w:r>
        <w:rPr>
          <w:color w:val="8C8C8C"/>
          <w:sz w:val="12"/>
        </w:rPr>
        <w:t>cf-art-5-inc-L</w:t>
      </w:r>
      <w:r>
        <w:rPr>
          <w:color w:val="003CA0"/>
          <w:sz w:val="12"/>
        </w:rPr>
        <w:t xml:space="preserve"> | MS 31.816</w:t>
      </w:r>
      <w:r>
        <w:rPr>
          <w:color w:val="003CA0"/>
          <w:sz w:val="12"/>
        </w:rPr>
        <w:t xml:space="preserve"> | rel. Luiz Fux</w:t>
      </w:r>
    </w:p>
    <w:p>
      <w:pPr>
        <w:ind w:left="288"/>
      </w:pPr>
      <w:r>
        <w:rPr>
          <w:color w:val="1E1E1E"/>
          <w:sz w:val="18"/>
        </w:rPr>
        <w:t>Vide MS 31.816 MC-AgR, rel. min. Luiz Fux, red. do ac. min. Teori Zavascki, j. 27-2-2013, P, DJE de 13-5-2013 O prazo decadencial para ajuizamento de mandado de segurança renova-se mês a mês, quando o ato impugnado respeite a pagamento de prestações de trato sucessivo, sem que tenha havido indeferimento expresso da pretensão pela autoridade.</w:t>
      </w:r>
    </w:p>
    <w:p>
      <w:pPr>
        <w:ind w:left="288"/>
      </w:pPr>
      <w:r>
        <w:rPr>
          <w:b/>
          <w:color w:val="003CA0"/>
          <w:sz w:val="16"/>
        </w:rPr>
        <w:t>[RMS 24.250, rel. min. Cezar Peluso, j. 29-9-2009, 2ª T, DJE de 5-3-2010.]</w:t>
      </w:r>
    </w:p>
    <w:p>
      <w:pPr>
        <w:ind w:left="288"/>
      </w:pPr>
      <w:r>
        <w:rPr>
          <w:color w:val="8C8C8C"/>
          <w:sz w:val="12"/>
        </w:rPr>
        <w:t>cf-art-5-inc-L</w:t>
      </w:r>
      <w:r>
        <w:rPr>
          <w:color w:val="003CA0"/>
          <w:sz w:val="12"/>
        </w:rPr>
        <w:t xml:space="preserve"> | MS 25.985</w:t>
      </w:r>
      <w:r>
        <w:rPr>
          <w:color w:val="003CA0"/>
          <w:sz w:val="12"/>
        </w:rPr>
        <w:t xml:space="preserve"> | rel. Marco Aurélio</w:t>
      </w:r>
    </w:p>
    <w:p>
      <w:pPr>
        <w:ind w:left="288"/>
      </w:pPr>
      <w:r>
        <w:rPr>
          <w:color w:val="1E1E1E"/>
          <w:sz w:val="18"/>
        </w:rPr>
        <w:t>Mandado de segurança. Decadência. Ato do TCU. O prazo decadencial alusivo à impetração começa a correr a partir da ciência do ato atacado e não da primeira supressão da parcela glosada pelo TCU.</w:t>
      </w:r>
    </w:p>
    <w:p>
      <w:pPr>
        <w:ind w:left="288"/>
      </w:pPr>
      <w:r>
        <w:rPr>
          <w:b/>
          <w:color w:val="003CA0"/>
          <w:sz w:val="16"/>
        </w:rPr>
        <w:t>[MS 25.985 AgR, rel. min. Marco Aurélio, j. 1º-7-2009, P, DJE de 21-8-2009.]</w:t>
      </w:r>
    </w:p>
    <w:p>
      <w:pPr>
        <w:ind w:left="288"/>
      </w:pPr>
      <w:r>
        <w:rPr>
          <w:color w:val="8C8C8C"/>
          <w:sz w:val="12"/>
        </w:rPr>
        <w:t>cf-art-5-inc-L</w:t>
      </w:r>
      <w:r>
        <w:rPr>
          <w:color w:val="003CA0"/>
          <w:sz w:val="12"/>
        </w:rPr>
        <w:t xml:space="preserve"> | MS 26.282</w:t>
      </w:r>
      <w:r>
        <w:rPr>
          <w:color w:val="003CA0"/>
          <w:sz w:val="12"/>
        </w:rPr>
        <w:t xml:space="preserve"> | rel. Dias Toffoli</w:t>
      </w:r>
    </w:p>
    <w:p>
      <w:pPr>
        <w:ind w:left="288"/>
      </w:pPr>
      <w:r>
        <w:rPr>
          <w:color w:val="1E1E1E"/>
          <w:sz w:val="18"/>
        </w:rPr>
        <w:t>= MS 26.282 AgR, rel. min. Dias Toffoli, j. 12-6-2012, 1ª T, DJE de 9-8-2012 Impetrado, em 21-3-2007, mandado de segurança contra a Decisão Normativa 79/2006 do TCU, publicada no DOU em 20-11-2006, é de se reconhecer a decadência da impetração (art. 18 da Lei 1.533/1951). A ação mandamental foi manejada contra ato do TCU, e não contra os repasses mensais das quotas do Fundo de Participação dos Municípios. Daí não se poder falar em relação de trato sucessivo ou prestação continuada.</w:t>
      </w:r>
    </w:p>
    <w:p>
      <w:pPr>
        <w:ind w:left="288"/>
      </w:pPr>
      <w:r>
        <w:rPr>
          <w:b/>
          <w:color w:val="003CA0"/>
          <w:sz w:val="16"/>
        </w:rPr>
        <w:t>[MS 26.465 AgR, MS 26.475 AgR, MS 26.485 AgR e MS 26.495 AgR, rel. min. Ayres Britto, j. 1º-7-2009, P, DJE de 28-8-2009.]</w:t>
      </w:r>
    </w:p>
    <w:p>
      <w:pPr>
        <w:ind w:left="288"/>
      </w:pPr>
      <w:r>
        <w:rPr>
          <w:color w:val="8C8C8C"/>
          <w:sz w:val="12"/>
        </w:rPr>
        <w:t>cf-art-5-inc-L</w:t>
      </w:r>
      <w:r>
        <w:rPr>
          <w:color w:val="003CA0"/>
          <w:sz w:val="12"/>
        </w:rPr>
        <w:t xml:space="preserve"> | MS 26.043</w:t>
      </w:r>
      <w:r>
        <w:rPr>
          <w:color w:val="003CA0"/>
          <w:sz w:val="12"/>
        </w:rPr>
        <w:t xml:space="preserve"> | rel. Marco Aurélio</w:t>
      </w:r>
    </w:p>
    <w:p>
      <w:pPr>
        <w:ind w:left="288"/>
      </w:pPr>
      <w:r>
        <w:rPr>
          <w:color w:val="1E1E1E"/>
          <w:sz w:val="18"/>
        </w:rPr>
        <w:t>= MS 26.043 AgR, rel. min. Marco Aurélio, j. 18-9-2012, 1ª T, DJE de 3-10-2012 A impetração de mandado de segurança, após o lançamento definitivo do crédito tributário, não tem o condão de impedir o início da ação penal (...).</w:t>
      </w:r>
    </w:p>
    <w:p>
      <w:pPr>
        <w:ind w:left="288"/>
      </w:pPr>
      <w:r>
        <w:rPr>
          <w:b/>
          <w:color w:val="003CA0"/>
          <w:sz w:val="16"/>
        </w:rPr>
        <w:t>[HC 95.578, rel. min. Menezes Direito, j. 10-3-2009, 1ª T, DJE de 17-4-2009.]</w:t>
      </w:r>
    </w:p>
    <w:p>
      <w:pPr>
        <w:ind w:left="288"/>
      </w:pPr>
      <w:r>
        <w:rPr>
          <w:color w:val="8C8C8C"/>
          <w:sz w:val="12"/>
        </w:rPr>
        <w:t>cf-art-5-inc-L</w:t>
      </w:r>
      <w:r>
        <w:rPr>
          <w:color w:val="003CA0"/>
          <w:sz w:val="12"/>
        </w:rPr>
        <w:t xml:space="preserve"> | RHC 95.108</w:t>
      </w:r>
      <w:r>
        <w:rPr>
          <w:color w:val="003CA0"/>
          <w:sz w:val="12"/>
        </w:rPr>
        <w:t xml:space="preserve"> | rel. Ellen Gracie</w:t>
      </w:r>
    </w:p>
    <w:p>
      <w:pPr>
        <w:ind w:left="288"/>
      </w:pPr>
      <w:r>
        <w:rPr>
          <w:color w:val="1E1E1E"/>
          <w:sz w:val="18"/>
        </w:rPr>
        <w:t>= RHC 95.108, rel. min. Ellen Gracie, j. 24-11-2009, 2ª T, DJE de 18-12-2009 Mandado de segurança. Resolução do CNJ que proíbe o nepotismo. Lei em tese. Incabível. (...) A Resolução 20/CNJ tem eficácia erga omnes, valendo para todos que ocupam cargos no âmbito do Poder Judiciário. Não há qualquer ato concreto que tenha levado ao afastamento dos impetrantes de suas atividades.</w:t>
      </w:r>
    </w:p>
    <w:p>
      <w:pPr>
        <w:ind w:left="288"/>
      </w:pPr>
      <w:r>
        <w:rPr>
          <w:b/>
          <w:color w:val="003CA0"/>
          <w:sz w:val="16"/>
        </w:rPr>
        <w:t>[MS 27.188 AgR, rel. min. Ricardo Lewandowski, j. 19-12-2008, P, DJE de 20-2-2009.]</w:t>
      </w:r>
    </w:p>
    <w:p>
      <w:pPr>
        <w:ind w:left="288"/>
      </w:pPr>
      <w:r>
        <w:rPr>
          <w:color w:val="8C8C8C"/>
          <w:sz w:val="12"/>
        </w:rPr>
        <w:t>cf-art-5-inc-L</w:t>
      </w:r>
      <w:r>
        <w:rPr>
          <w:color w:val="003CA0"/>
          <w:sz w:val="12"/>
        </w:rPr>
        <w:t xml:space="preserve"> | MS 26.682</w:t>
      </w:r>
      <w:r>
        <w:rPr>
          <w:color w:val="003CA0"/>
          <w:sz w:val="12"/>
        </w:rPr>
        <w:t xml:space="preserve"> | rel. Cezar Peluso</w:t>
      </w:r>
    </w:p>
    <w:p>
      <w:pPr>
        <w:ind w:left="288"/>
      </w:pPr>
      <w:r>
        <w:rPr>
          <w:color w:val="1E1E1E"/>
          <w:sz w:val="18"/>
        </w:rPr>
        <w:t>Ação de mandado de segurança. Impetração contra ato do PGR. Legitimação excepcional deste como representante judicial da pessoa jurídica. (...) Não obstante seja, de regra, a pessoa jurídica de direito público a parte passiva legitimada para ação de mandado de segurança, admite-se, em exceção, figure no polo passivo o seu representante judicial, cujo ato é impugnado na causa.</w:t>
      </w:r>
    </w:p>
    <w:p>
      <w:pPr>
        <w:ind w:left="288"/>
      </w:pPr>
      <w:r>
        <w:rPr>
          <w:b/>
          <w:color w:val="003CA0"/>
          <w:sz w:val="16"/>
        </w:rPr>
        <w:t>[MS 26.682 ED, rel. min. Cezar Peluso, j. 18-9-2008, P, DJE de 7-11-2008.]</w:t>
      </w:r>
    </w:p>
    <w:p>
      <w:pPr>
        <w:ind w:left="288"/>
      </w:pPr>
      <w:r>
        <w:rPr>
          <w:color w:val="8C8C8C"/>
          <w:sz w:val="12"/>
        </w:rPr>
        <w:t>cf-art-5-inc-L</w:t>
      </w:r>
      <w:r>
        <w:rPr>
          <w:color w:val="003CA0"/>
          <w:sz w:val="12"/>
        </w:rPr>
        <w:t xml:space="preserve"> | RMS 24.953</w:t>
      </w:r>
      <w:r>
        <w:rPr>
          <w:color w:val="003CA0"/>
          <w:sz w:val="12"/>
        </w:rPr>
        <w:t xml:space="preserve"> | rel. Carlos Velloso). Considerando que a lei fixou prazo para a autoridade efetuar o pagamento da indenização – no caso</w:t>
      </w:r>
    </w:p>
    <w:p>
      <w:pPr>
        <w:ind w:left="288"/>
      </w:pPr>
      <w:r>
        <w:rPr>
          <w:color w:val="1E1E1E"/>
          <w:sz w:val="18"/>
        </w:rPr>
        <w:t>Anistiado político. Lei 10.559/2002. Indenização. Valores retroativos, fixados em portaria do ministro da Justiça. Cabimento da segurança. Decadência. Adequação da via eleita, dado que "a hipótese não consubstancia ação de cobrança, mas tem por finalidade sanar omissão da autoridade coatora, que não deu cumprimento integral às portarias do ministro de Estado da Justiça" (RMS 24.953, rel. min. Carlos Velloso). Considerando que a lei fixou prazo para a autoridade efetuar o pagamento da indenização – no caso, sessenta dias –, o término desse prazo, sem a aludida providência, implica o início da c</w:t>
      </w:r>
    </w:p>
    <w:p>
      <w:pPr>
        <w:ind w:left="288"/>
      </w:pPr>
      <w:r>
        <w:rPr>
          <w:b/>
          <w:color w:val="003CA0"/>
          <w:sz w:val="16"/>
        </w:rPr>
        <w:t>[RMS 26.881, rel. min. Ayres Britto, j. 20-5-2008, 1ª T, DJE de 7-11-2008.]</w:t>
      </w:r>
    </w:p>
    <w:p>
      <w:pPr>
        <w:ind w:left="288"/>
      </w:pPr>
      <w:r>
        <w:rPr>
          <w:color w:val="8C8C8C"/>
          <w:sz w:val="12"/>
        </w:rPr>
        <w:t>cf-art-5-inc-L</w:t>
      </w:r>
      <w:r>
        <w:rPr>
          <w:color w:val="003CA0"/>
          <w:sz w:val="12"/>
        </w:rPr>
        <w:t xml:space="preserve"> | RMS 26.947</w:t>
      </w:r>
      <w:r>
        <w:rPr>
          <w:color w:val="003CA0"/>
          <w:sz w:val="12"/>
        </w:rPr>
        <w:t xml:space="preserve"> | rel. Cármen Lúcia</w:t>
      </w:r>
    </w:p>
    <w:p>
      <w:pPr>
        <w:ind w:left="288"/>
      </w:pPr>
      <w:r>
        <w:rPr>
          <w:color w:val="1E1E1E"/>
          <w:sz w:val="18"/>
        </w:rPr>
        <w:t>= RMS 26.947, rel. min. Cármen Lúcia, j. 10-3-2009, 1ª T, DJE de 17-4-2009 Vide AI 798.495 AgR, rel. min. Gilmar Mendes, j. 16-11-2010, 2ª T, DJE de 30-11-2010 Com efeito, o mandado de segurança impetrado contra decisão judicial só é admissível nas raras hipóteses em que ela não possa ser atacada por outro remédio processual, exigindo-se ademais, a presença de direito líquido e certo. Nesse sentido, o ministro Marco Aurélio, no MS 25.340/DF, consignou o seguinte: "Mandado de segurança. Ato jurisdicional. Excepcionalidade não verificada. A admissão do mandado de segurança contra decisão judicia</w:t>
      </w:r>
    </w:p>
    <w:p>
      <w:pPr>
        <w:ind w:left="288"/>
      </w:pPr>
      <w:r>
        <w:rPr>
          <w:b/>
          <w:color w:val="003CA0"/>
          <w:sz w:val="16"/>
        </w:rPr>
        <w:t>[RMS 25.141, voto do min. Ricardo Lewandowski, j. 13-5-2008, P, DJE de 30-5-2008.]</w:t>
      </w:r>
    </w:p>
    <w:p>
      <w:pPr>
        <w:ind w:left="288"/>
      </w:pPr>
      <w:r>
        <w:rPr>
          <w:color w:val="8C8C8C"/>
          <w:sz w:val="12"/>
        </w:rPr>
        <w:t>cf-art-5-inc-L</w:t>
      </w:r>
      <w:r>
        <w:rPr>
          <w:color w:val="003CA0"/>
          <w:sz w:val="12"/>
        </w:rPr>
        <w:t xml:space="preserve"> | RE 170.145</w:t>
      </w:r>
      <w:r>
        <w:rPr>
          <w:color w:val="003CA0"/>
          <w:sz w:val="12"/>
        </w:rPr>
        <w:t xml:space="preserve"> | rel. Menezes Direito</w:t>
      </w:r>
    </w:p>
    <w:p>
      <w:pPr>
        <w:ind w:left="288"/>
      </w:pPr>
      <w:r>
        <w:rPr>
          <w:color w:val="1E1E1E"/>
          <w:sz w:val="18"/>
        </w:rPr>
        <w:t>Não se considera prejudicado o mandado de segurança em razão do julgamento do recurso administrativo por força de medida liminar, se o direito pleiteado necessita de definição jurisdicional considerando a disciplina da CF.</w:t>
      </w:r>
    </w:p>
    <w:p>
      <w:pPr>
        <w:ind w:left="288"/>
      </w:pPr>
      <w:r>
        <w:rPr>
          <w:b/>
          <w:color w:val="003CA0"/>
          <w:sz w:val="16"/>
        </w:rPr>
        <w:t>[RE 170.145, rel. min. Menezes Direito, j. 15-4-2008, 1ª T, DJE de 23-5-2008.]</w:t>
      </w:r>
    </w:p>
    <w:p>
      <w:pPr>
        <w:ind w:left="288"/>
      </w:pPr>
      <w:r>
        <w:rPr>
          <w:color w:val="8C8C8C"/>
          <w:sz w:val="12"/>
        </w:rPr>
        <w:t>cf-art-5-inc-L</w:t>
      </w:r>
      <w:r>
        <w:rPr>
          <w:color w:val="003CA0"/>
          <w:sz w:val="12"/>
        </w:rPr>
        <w:t xml:space="preserve"> | MS 26.231</w:t>
      </w:r>
      <w:r>
        <w:rPr>
          <w:color w:val="003CA0"/>
          <w:sz w:val="12"/>
        </w:rPr>
        <w:t xml:space="preserve"> | rel. Ayres Britto</w:t>
      </w:r>
    </w:p>
    <w:p>
      <w:pPr>
        <w:ind w:left="288"/>
      </w:pPr>
      <w:r>
        <w:rPr>
          <w:color w:val="1E1E1E"/>
          <w:sz w:val="18"/>
        </w:rPr>
        <w:t>O mandado de segurança impetrado contra ato omissivo do diretor-geral da Câmara dos Deputados, que deixou de cumprir decisão administrativa do primeiro secretário, perde objeto quando o ato da própria mesa diretora suspende a decisão a ser cumprida e, assim, faz cessar a omissão. Não pode o juízo de primeiro grau substituir a autoridade tida por coatora e alterar a causa de pedir e o pedido da ação. A identidade do mandado de segurança não se altera com o novo ato da administração superior. A questão é de subsistência, ou não, das condições da ação; não de incompetência superveniente do juízo.</w:t>
      </w:r>
    </w:p>
    <w:p>
      <w:pPr>
        <w:ind w:left="288"/>
      </w:pPr>
      <w:r>
        <w:rPr>
          <w:b/>
          <w:color w:val="003CA0"/>
          <w:sz w:val="16"/>
        </w:rPr>
        <w:t>[MS 26.231 QO, rel. min. Ayres Britto, j. 7-4-2008, 1ª T, DJE de 16-5-2008.]</w:t>
      </w:r>
    </w:p>
    <w:p>
      <w:pPr>
        <w:ind w:left="288"/>
      </w:pPr>
      <w:r>
        <w:rPr>
          <w:color w:val="8C8C8C"/>
          <w:sz w:val="12"/>
        </w:rPr>
        <w:t>cf-art-5-inc-L</w:t>
      </w:r>
      <w:r>
        <w:rPr>
          <w:color w:val="003CA0"/>
          <w:sz w:val="12"/>
        </w:rPr>
        <w:t xml:space="preserve"> | RMS 26.361</w:t>
      </w:r>
      <w:r>
        <w:rPr>
          <w:color w:val="003CA0"/>
          <w:sz w:val="12"/>
        </w:rPr>
        <w:t xml:space="preserve"> | rel. Marco Aurélio</w:t>
      </w:r>
    </w:p>
    <w:p>
      <w:pPr>
        <w:ind w:left="288"/>
      </w:pPr>
      <w:r>
        <w:rPr>
          <w:color w:val="1E1E1E"/>
          <w:sz w:val="18"/>
        </w:rPr>
        <w:t>Mandado de segurança. Prova pré-constituída. A exigência de haver, com a inicial, elementos a respaldá-la não se confunde com o enquadramento jurídico da controvérsia.</w:t>
      </w:r>
    </w:p>
    <w:p>
      <w:pPr>
        <w:ind w:left="288"/>
      </w:pPr>
      <w:r>
        <w:rPr>
          <w:b/>
          <w:color w:val="003CA0"/>
          <w:sz w:val="16"/>
        </w:rPr>
        <w:t>[RMS 26.361, rel. min. Marco Aurélio, j. 4-3-2008, 1ª T, DJE de 9-5-2008.]</w:t>
      </w:r>
    </w:p>
    <w:p>
      <w:pPr>
        <w:ind w:left="288"/>
      </w:pPr>
      <w:r>
        <w:rPr>
          <w:color w:val="8C8C8C"/>
          <w:sz w:val="12"/>
        </w:rPr>
        <w:t>cf-art-5-inc-L</w:t>
      </w:r>
      <w:r>
        <w:rPr>
          <w:color w:val="003CA0"/>
          <w:sz w:val="12"/>
        </w:rPr>
        <w:t xml:space="preserve"> | RMS 26.744</w:t>
      </w:r>
      <w:r>
        <w:rPr>
          <w:color w:val="003CA0"/>
          <w:sz w:val="12"/>
        </w:rPr>
        <w:t xml:space="preserve"> | rel. Marco Aurélio</w:t>
      </w:r>
    </w:p>
    <w:p>
      <w:pPr>
        <w:ind w:left="288"/>
      </w:pPr>
      <w:r>
        <w:rPr>
          <w:color w:val="1E1E1E"/>
          <w:sz w:val="18"/>
        </w:rPr>
        <w:t>Vide RMS 26.744, rel. min. Marco Aurélio, j. 13-10-2009, 1ª T, DJE de 13-11-2009 Em mandado de segurança não se aplica preceito de lei superveniente à impetração. O ato impugnado tem como parâmetro obrigatório a legislação em vigor ao tempo de sua expedição.</w:t>
      </w:r>
    </w:p>
    <w:p>
      <w:pPr>
        <w:ind w:left="288"/>
      </w:pPr>
      <w:r>
        <w:rPr>
          <w:b/>
          <w:color w:val="003CA0"/>
          <w:sz w:val="16"/>
        </w:rPr>
        <w:t>[RE 457.508 AgR, rel. min. Eros Grau, j. 14-8-2007, 2ª T, DJ de 21-9-2007.]</w:t>
      </w:r>
    </w:p>
    <w:p>
      <w:pPr>
        <w:ind w:left="288"/>
      </w:pPr>
      <w:r>
        <w:rPr>
          <w:color w:val="8C8C8C"/>
          <w:sz w:val="12"/>
        </w:rPr>
        <w:t>cf-art-5-inc-L</w:t>
      </w:r>
      <w:r>
        <w:rPr>
          <w:color w:val="003CA0"/>
          <w:sz w:val="12"/>
        </w:rPr>
        <w:t xml:space="preserve"> | RE 318.281</w:t>
      </w:r>
      <w:r>
        <w:rPr>
          <w:color w:val="003CA0"/>
          <w:sz w:val="12"/>
        </w:rPr>
        <w:t xml:space="preserve"> | rel. Eros Grau</w:t>
      </w:r>
    </w:p>
    <w:p>
      <w:pPr>
        <w:ind w:left="288"/>
      </w:pPr>
      <w:r>
        <w:rPr>
          <w:color w:val="1E1E1E"/>
          <w:sz w:val="18"/>
        </w:rPr>
        <w:t>A jurisprudência do Supremo pacificou entendimento no sentido de que a desistência, no mandado de segurança, não depende de aquiescência do impetrado. Essa regra aplica-se também aos casos em que a desistência é parcial.</w:t>
      </w:r>
    </w:p>
    <w:p>
      <w:pPr>
        <w:ind w:left="288"/>
      </w:pPr>
      <w:r>
        <w:rPr>
          <w:b/>
          <w:color w:val="003CA0"/>
          <w:sz w:val="16"/>
        </w:rPr>
        <w:t>[RE 318.281 AgR, rel. min. Eros Grau, j. 14-8-2007, 2ª T, DJ de 21-9-2007.]</w:t>
      </w:r>
    </w:p>
    <w:p>
      <w:pPr>
        <w:ind w:left="288"/>
      </w:pPr>
      <w:r>
        <w:rPr>
          <w:color w:val="8C8C8C"/>
          <w:sz w:val="12"/>
        </w:rPr>
        <w:t>cf-art-5-inc-L</w:t>
      </w:r>
      <w:r>
        <w:rPr>
          <w:color w:val="003CA0"/>
          <w:sz w:val="12"/>
        </w:rPr>
        <w:t xml:space="preserve"> | AI 221.462</w:t>
      </w:r>
      <w:r>
        <w:rPr>
          <w:color w:val="003CA0"/>
          <w:sz w:val="12"/>
        </w:rPr>
        <w:t xml:space="preserve"> | rel. Cezar Peluso</w:t>
      </w:r>
    </w:p>
    <w:p>
      <w:pPr>
        <w:ind w:left="288"/>
      </w:pPr>
      <w:r>
        <w:rPr>
          <w:color w:val="1E1E1E"/>
          <w:sz w:val="18"/>
        </w:rPr>
        <w:t>Vide AI 221.462 AgR-AgR, rel. min. Cezar Peluso, j. 7-8-2007, 1ª T, DJ de 24-8-2007 “Não se dará mandado de segurança quando se tratar de ato de que caiba recurso administrativo com efeito suspensivo" (...).</w:t>
      </w:r>
    </w:p>
    <w:p>
      <w:pPr>
        <w:ind w:left="288"/>
      </w:pPr>
      <w:r>
        <w:rPr>
          <w:b/>
          <w:color w:val="003CA0"/>
          <w:sz w:val="16"/>
        </w:rPr>
        <w:t>[MS 26.178 AgR, rel. min. Ayres Britto, j. 6-6-2007, P, DJE de 11-4-2008.]</w:t>
      </w:r>
    </w:p>
    <w:p>
      <w:pPr>
        <w:ind w:left="288"/>
      </w:pPr>
      <w:r>
        <w:rPr>
          <w:color w:val="8C8C8C"/>
          <w:sz w:val="12"/>
        </w:rPr>
        <w:t>cf-art-5-inc-L</w:t>
      </w:r>
      <w:r>
        <w:rPr>
          <w:color w:val="003CA0"/>
          <w:sz w:val="12"/>
        </w:rPr>
        <w:t xml:space="preserve"> | MS 26.737</w:t>
      </w:r>
      <w:r>
        <w:rPr>
          <w:color w:val="003CA0"/>
          <w:sz w:val="12"/>
        </w:rPr>
        <w:t xml:space="preserve"> | rel. Cármen Lúcia</w:t>
      </w:r>
    </w:p>
    <w:p>
      <w:pPr>
        <w:ind w:left="288"/>
      </w:pPr>
      <w:r>
        <w:rPr>
          <w:color w:val="1E1E1E"/>
          <w:sz w:val="18"/>
        </w:rPr>
        <w:t>= MS 26.737 ED, rel. min. Cármen Lúcia, j. 25-6-2008, P, DJE de 13-3-2009 Não cabe mandado de segurança contra lei em tese, nem sequer sob alegação de caráter preventivo, quando não tenha sido praticado nenhum ato suscetível de induzir receio fundado de lesão a direito subjetivo.</w:t>
      </w:r>
    </w:p>
    <w:p>
      <w:pPr>
        <w:ind w:left="288"/>
      </w:pPr>
      <w:r>
        <w:rPr>
          <w:b/>
          <w:color w:val="003CA0"/>
          <w:sz w:val="16"/>
        </w:rPr>
        <w:t>[RMS 25.473 AgR, rel. min. Cezar Peluso, j. 22-5-2007, 2ª T, DJ de 29-6-2007.]</w:t>
      </w:r>
    </w:p>
    <w:p>
      <w:pPr>
        <w:ind w:left="288"/>
      </w:pPr>
      <w:r>
        <w:rPr>
          <w:color w:val="8C8C8C"/>
          <w:sz w:val="12"/>
        </w:rPr>
        <w:t>cf-art-5-inc-L</w:t>
      </w:r>
      <w:r>
        <w:rPr>
          <w:color w:val="003CA0"/>
          <w:sz w:val="12"/>
        </w:rPr>
        <w:t xml:space="preserve"> | RMS 25.475</w:t>
      </w:r>
      <w:r>
        <w:rPr>
          <w:color w:val="003CA0"/>
          <w:sz w:val="12"/>
        </w:rPr>
        <w:t xml:space="preserve"> | rel. Gilmar Mendes</w:t>
      </w:r>
    </w:p>
    <w:p>
      <w:pPr>
        <w:ind w:left="288"/>
      </w:pPr>
      <w:r>
        <w:rPr>
          <w:color w:val="1E1E1E"/>
          <w:sz w:val="18"/>
        </w:rPr>
        <w:t>= RMS 25.475, rel. min. Gilmar Mendes, j. 11-9-2007, 2ª T, DJ de 19-10-2007 A inércia da autoridade coatora em apreciar recurso administrativo regularmente apresentado, sem justificativa razoável, configura omissão impugnável pela via do mandado de segurança. Ordem parcialmente concedida, para que seja fixado o prazo de trinta dias para a apreciação do recurso administrativo.</w:t>
      </w:r>
    </w:p>
    <w:p>
      <w:pPr>
        <w:ind w:left="288"/>
      </w:pPr>
      <w:r>
        <w:rPr>
          <w:b/>
          <w:color w:val="003CA0"/>
          <w:sz w:val="16"/>
        </w:rPr>
        <w:t>[MS 24.167, rel. min. Joaquim Barbosa, j. 5-10-2006, P, DJ de 2-2-2007.]</w:t>
      </w:r>
    </w:p>
    <w:p>
      <w:pPr>
        <w:ind w:left="288"/>
      </w:pPr>
      <w:r>
        <w:rPr>
          <w:color w:val="8C8C8C"/>
          <w:sz w:val="12"/>
        </w:rPr>
        <w:t>cf-art-5-inc-L</w:t>
      </w:r>
      <w:r>
        <w:rPr>
          <w:color w:val="003CA0"/>
          <w:sz w:val="12"/>
        </w:rPr>
        <w:t xml:space="preserve"> | MS 22.355</w:t>
      </w:r>
      <w:r>
        <w:rPr>
          <w:color w:val="003CA0"/>
          <w:sz w:val="12"/>
        </w:rPr>
        <w:t xml:space="preserve"> | rel. Eros Grau</w:t>
      </w:r>
    </w:p>
    <w:p>
      <w:pPr>
        <w:ind w:left="288"/>
      </w:pPr>
      <w:r>
        <w:rPr>
          <w:color w:val="1E1E1E"/>
          <w:sz w:val="18"/>
        </w:rPr>
        <w:t>A habilitação de herdeiros do impetrante de mandado de segurança é impossível em razão do caráter mandamental do writ e da natureza personalíssima do direito postulado.</w:t>
      </w:r>
    </w:p>
    <w:p>
      <w:pPr>
        <w:ind w:left="288"/>
      </w:pPr>
      <w:r>
        <w:rPr>
          <w:b/>
          <w:color w:val="003CA0"/>
          <w:sz w:val="16"/>
        </w:rPr>
        <w:t>[MS 22.355, rel. min. Eros Grau, j. 22-6-2006, P, DJ de 4-8-2006.]</w:t>
      </w:r>
    </w:p>
    <w:p>
      <w:pPr>
        <w:ind w:left="288"/>
      </w:pPr>
      <w:r>
        <w:rPr>
          <w:color w:val="8C8C8C"/>
          <w:sz w:val="12"/>
        </w:rPr>
        <w:t>cf-art-5-inc-L</w:t>
      </w:r>
      <w:r>
        <w:rPr>
          <w:color w:val="003CA0"/>
          <w:sz w:val="12"/>
        </w:rPr>
        <w:t xml:space="preserve"> | RE 445.409</w:t>
      </w:r>
      <w:r>
        <w:rPr>
          <w:color w:val="003CA0"/>
          <w:sz w:val="12"/>
        </w:rPr>
        <w:t xml:space="preserve"> | rel. Dias Toffoli</w:t>
      </w:r>
    </w:p>
    <w:p>
      <w:pPr>
        <w:ind w:left="288"/>
      </w:pPr>
      <w:r>
        <w:rPr>
          <w:color w:val="1E1E1E"/>
          <w:sz w:val="18"/>
        </w:rPr>
        <w:t>= RE 445.409 AgR, rel. min. Dias Toffoli, j. 26-4-2011, 1ª T, DJE de 1º-8-2011 O mandado de segurança não constitui instrumento hábil a pleitear parcelas remanescentes de Títulos da Dívida Agrária já resgatados, vez que não substitui a ação de cobrança (Súmula 269).</w:t>
      </w:r>
    </w:p>
    <w:p>
      <w:pPr>
        <w:ind w:left="288"/>
      </w:pPr>
      <w:r>
        <w:rPr>
          <w:b/>
          <w:color w:val="003CA0"/>
          <w:sz w:val="16"/>
        </w:rPr>
        <w:t>[RMS 24.613 AgR, rel. min. Eros Grau, j. 22-6-2005, 1ª T, DJE de 12-8-2005.]</w:t>
      </w:r>
    </w:p>
    <w:p>
      <w:pPr>
        <w:ind w:left="288"/>
      </w:pPr>
      <w:r>
        <w:rPr>
          <w:color w:val="8C8C8C"/>
          <w:sz w:val="12"/>
        </w:rPr>
        <w:t>cf-art-5-inc-L</w:t>
      </w:r>
      <w:r>
        <w:rPr>
          <w:color w:val="003CA0"/>
          <w:sz w:val="12"/>
        </w:rPr>
        <w:t xml:space="preserve"> | RMS 24.479</w:t>
      </w:r>
      <w:r>
        <w:rPr>
          <w:color w:val="003CA0"/>
          <w:sz w:val="12"/>
        </w:rPr>
        <w:t xml:space="preserve"> | rel. Eros Grau</w:t>
      </w:r>
    </w:p>
    <w:p>
      <w:pPr>
        <w:ind w:left="288"/>
      </w:pPr>
      <w:r>
        <w:rPr>
          <w:color w:val="1E1E1E"/>
          <w:sz w:val="18"/>
        </w:rPr>
        <w:t>= RMS 24.479, rel. min. Eros Grau, red. do ac. min. Gilmar Mendes, j. 17-8-2010, 2ª T, DJE de 8-10-2010 Com a cessação, em 1926, da doutrina brasileira do habeas corpus, a destinação constitucional do remédio heroico restringiu-se, no campo de sua específica projeção, ao plano da estreita tutela da imediata liberdade física de ir, vir e permanecer dos indivíduos, pertencendo, residualmente, ao âmbito do mandado de segurança, a tutela jurisdicional contra ofensas que desrespeitem os demais direitos líquidos e certos, mesmo quando tais situações de ilicitude ou de abuso de poder venham a afetar,</w:t>
      </w:r>
    </w:p>
    <w:p>
      <w:pPr>
        <w:ind w:left="288"/>
      </w:pPr>
      <w:r>
        <w:rPr>
          <w:b/>
          <w:color w:val="003CA0"/>
          <w:sz w:val="16"/>
        </w:rPr>
        <w:t>[HC 83.966 AgR, rel. min. Celso de Mello, j. 23-6-2004, 1ª T, DJ de 25-11-2005.]</w:t>
      </w:r>
    </w:p>
    <w:p>
      <w:pPr>
        <w:ind w:left="288"/>
      </w:pPr>
      <w:r>
        <w:rPr>
          <w:color w:val="8C8C8C"/>
          <w:sz w:val="12"/>
        </w:rPr>
        <w:t>cf-art-5-inc-L</w:t>
      </w:r>
      <w:r>
        <w:rPr>
          <w:color w:val="003CA0"/>
          <w:sz w:val="12"/>
        </w:rPr>
        <w:t xml:space="preserve"> | MS 24.667</w:t>
      </w:r>
      <w:r>
        <w:rPr>
          <w:color w:val="003CA0"/>
          <w:sz w:val="12"/>
        </w:rPr>
        <w:t xml:space="preserve"> | rel. Carlos Velloso</w:t>
      </w:r>
    </w:p>
    <w:p>
      <w:pPr>
        <w:ind w:left="288"/>
      </w:pPr>
      <w:r>
        <w:rPr>
          <w:color w:val="1E1E1E"/>
          <w:sz w:val="18"/>
        </w:rP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pPr>
        <w:ind w:left="288"/>
      </w:pPr>
      <w:r>
        <w:rPr>
          <w:b/>
          <w:color w:val="003CA0"/>
          <w:sz w:val="16"/>
        </w:rPr>
        <w:t>[MS 24.667 AgR, rel. min. Carlos Velloso, j. 4-12-2003, P, DJ de 23-4-2004.]</w:t>
      </w:r>
    </w:p>
    <w:p>
      <w:pPr>
        <w:ind w:left="288"/>
      </w:pPr>
      <w:r>
        <w:rPr>
          <w:color w:val="8C8C8C"/>
          <w:sz w:val="12"/>
        </w:rPr>
        <w:t>cf-art-5-inc-L</w:t>
      </w:r>
      <w:r>
        <w:rPr>
          <w:color w:val="003CA0"/>
          <w:sz w:val="12"/>
        </w:rPr>
        <w:t xml:space="preserve"> | MS 32.033</w:t>
      </w:r>
      <w:r>
        <w:rPr>
          <w:color w:val="003CA0"/>
          <w:sz w:val="12"/>
        </w:rPr>
        <w:t xml:space="preserve"> | rel. Maurício Corrêa</w:t>
      </w:r>
    </w:p>
    <w:p>
      <w:pPr>
        <w:ind w:left="288"/>
      </w:pPr>
      <w:r>
        <w:rPr>
          <w:color w:val="1E1E1E"/>
          <w:sz w:val="18"/>
        </w:rPr>
        <w:t>= MS 32.033, red. do ac. min. Teori Zavascki, j. 20-6-2013, P, DJE de 18-2-2014 Se o ato impugnado em mandado de segurança decorre de fatos apurados em processo administrativo, a competência do Poder Judiciário circunscreve-se ao exame da legalidade do ato coator, dos possíveis vícios de caráter formal ou dos que atentem contra os postulados constitucionais da ampla defesa e do due process of law.</w:t>
      </w:r>
    </w:p>
    <w:p>
      <w:pPr>
        <w:ind w:left="288"/>
      </w:pPr>
      <w:r>
        <w:rPr>
          <w:b/>
          <w:color w:val="003CA0"/>
          <w:sz w:val="16"/>
        </w:rPr>
        <w:t>[RMS 24.347, rel. min. Maurício Corrêa, j. 11-3-2003, P, DJ de 4-4-2003.]</w:t>
      </w:r>
    </w:p>
    <w:p>
      <w:pPr>
        <w:ind w:left="288"/>
      </w:pPr>
      <w:r>
        <w:rPr>
          <w:color w:val="8C8C8C"/>
          <w:sz w:val="12"/>
        </w:rPr>
        <w:t>cf-art-5-inc-L</w:t>
      </w:r>
      <w:r>
        <w:rPr>
          <w:color w:val="003CA0"/>
          <w:sz w:val="12"/>
        </w:rPr>
        <w:t xml:space="preserve"> | MS 24.803</w:t>
      </w:r>
      <w:r>
        <w:rPr>
          <w:color w:val="003CA0"/>
          <w:sz w:val="12"/>
        </w:rPr>
        <w:t xml:space="preserve"> | rel. Joaquim Barbosa</w:t>
      </w:r>
    </w:p>
    <w:p>
      <w:pPr>
        <w:ind w:left="288"/>
      </w:pPr>
      <w:r>
        <w:rPr>
          <w:color w:val="1E1E1E"/>
          <w:sz w:val="18"/>
        </w:rPr>
        <w:t>= MS 24.803, rel. min. Joaquim Barbosa, j. 29-10-2008, P, DJE de 5-6-2009 Completa reformulação da legislação, quanto à suspensão das liminares nos diversos processos, até mesmo na ação civil pública e na ação popular. Disciplina assimétrica na legislação do mandado de segurança. Recorribilidade, tão somente, da decisão que nega o pedido de suspensão em mandado de segurança. Súmula 506. Configuração de lacuna de regulação superveniente. Necessidade de sua colmatação. Extensão da disciplina prevista na Lei 8.437, de 1992, à hipótese de indeferimento do pedido de suspensão em mandado de seguranç</w:t>
      </w:r>
    </w:p>
    <w:p>
      <w:pPr>
        <w:ind w:left="288"/>
      </w:pPr>
      <w:r>
        <w:rPr>
          <w:b/>
          <w:color w:val="003CA0"/>
          <w:sz w:val="16"/>
        </w:rPr>
        <w:t>[SS 1.945 AgR-AgR-AgR-QO, rel. min. Marco Aurélio, red. do ac. min. Gilmar Mendes, j. 19-12-2002, P, DJ de 1º-8-2003.]</w:t>
      </w:r>
    </w:p>
    <w:p>
      <w:pPr>
        <w:ind w:left="288"/>
      </w:pPr>
      <w:r>
        <w:rPr>
          <w:color w:val="8C8C8C"/>
          <w:sz w:val="12"/>
        </w:rPr>
        <w:t>cf-art-5-inc-L</w:t>
      </w:r>
      <w:r>
        <w:rPr>
          <w:color w:val="003CA0"/>
          <w:sz w:val="12"/>
        </w:rPr>
        <w:t xml:space="preserve"> | MS 24.138</w:t>
      </w:r>
      <w:r>
        <w:rPr>
          <w:color w:val="003CA0"/>
          <w:sz w:val="12"/>
        </w:rPr>
        <w:t xml:space="preserve"> | rel. Gilmar Mendes</w:t>
      </w:r>
    </w:p>
    <w:p>
      <w:pPr>
        <w:ind w:left="288"/>
      </w:pPr>
      <w:r>
        <w:rPr>
          <w:color w:val="1E1E1E"/>
          <w:sz w:val="18"/>
        </w:rPr>
        <w:t>Mandado de segurança. Processo legislativo: projeto de lei. Controle de constitucionalidade preventivo. Conflito de atribuições. Comprometimento do modelo de controle repressivo e do sistema de divisão de poderes estabelecidos na Constituição.</w:t>
      </w:r>
    </w:p>
    <w:p>
      <w:pPr>
        <w:ind w:left="288"/>
      </w:pPr>
      <w:r>
        <w:rPr>
          <w:b/>
          <w:color w:val="003CA0"/>
          <w:sz w:val="16"/>
        </w:rPr>
        <w:t>[MS 24.138, rel. min. Gilmar Mendes, j. 28-11-2002, P, DJ de 14-3-2003.]</w:t>
      </w:r>
    </w:p>
    <w:p>
      <w:pPr>
        <w:ind w:left="288"/>
      </w:pPr>
      <w:r>
        <w:rPr>
          <w:color w:val="8C8C8C"/>
          <w:sz w:val="12"/>
        </w:rPr>
        <w:t>cf-art-5-inc-L</w:t>
      </w:r>
      <w:r>
        <w:rPr>
          <w:color w:val="003CA0"/>
          <w:sz w:val="12"/>
        </w:rPr>
        <w:t xml:space="preserve"> | MS 32.033</w:t>
      </w:r>
      <w:r>
        <w:rPr>
          <w:color w:val="003CA0"/>
          <w:sz w:val="12"/>
        </w:rPr>
        <w:t xml:space="preserve"> | rel. Gilmar Mendes</w:t>
      </w:r>
    </w:p>
    <w:p>
      <w:pPr>
        <w:ind w:left="288"/>
      </w:pPr>
      <w:r>
        <w:rPr>
          <w:color w:val="1E1E1E"/>
          <w:sz w:val="18"/>
        </w:rPr>
        <w:t>= MS 32.033, rel. min. Gilmar Mendes, red. do ac. min. Teori Zavascki, j. 20-6-2013, P, DJE de 18-2-2014 Hipótese excepcional em que se conhece de mandado de segurança impetrado contra ato jurisdicional da Presidência que, revogando despacho concessivo anterior, recusou a suspensão de segurança pleiteada.</w:t>
      </w:r>
    </w:p>
    <w:p>
      <w:pPr>
        <w:ind w:left="288"/>
      </w:pPr>
      <w:r>
        <w:rPr>
          <w:b/>
          <w:color w:val="003CA0"/>
          <w:sz w:val="16"/>
        </w:rPr>
        <w:t>[MS 24.159 QO, rel. min. Ellen Gracie, j. 26-6-2002, P, DJ de 31-10-2003.]</w:t>
      </w:r>
    </w:p>
    <w:p>
      <w:pPr>
        <w:ind w:left="288"/>
      </w:pPr>
      <w:r>
        <w:rPr>
          <w:color w:val="8C8C8C"/>
          <w:sz w:val="12"/>
        </w:rPr>
        <w:t>cf-art-5-inc-L</w:t>
      </w:r>
      <w:r>
        <w:rPr>
          <w:color w:val="003CA0"/>
          <w:sz w:val="12"/>
        </w:rPr>
        <w:t xml:space="preserve"> | MS 24.001</w:t>
      </w:r>
      <w:r>
        <w:rPr>
          <w:color w:val="003CA0"/>
          <w:sz w:val="12"/>
        </w:rPr>
        <w:t xml:space="preserve"> | rel. Maurício Corrêa</w:t>
      </w:r>
    </w:p>
    <w:p>
      <w:pPr>
        <w:ind w:left="288"/>
      </w:pPr>
      <w:r>
        <w:rPr>
          <w:color w:val="1E1E1E"/>
          <w:sz w:val="18"/>
        </w:rPr>
        <w:t>O TCU é parte legítima para figurar no polo passivo do mandado de segurança, quando a decisão impugnada revestir-se de caráter impositivo.</w:t>
      </w:r>
    </w:p>
    <w:p>
      <w:pPr>
        <w:ind w:left="288"/>
      </w:pPr>
      <w:r>
        <w:rPr>
          <w:b/>
          <w:color w:val="003CA0"/>
          <w:sz w:val="16"/>
        </w:rPr>
        <w:t>[MS 24.001, rel. min. Maurício Corrêa, j. 20-5-2002, P, DJ de 20-9-2002.]</w:t>
      </w:r>
    </w:p>
    <w:p>
      <w:pPr>
        <w:ind w:left="288"/>
      </w:pPr>
      <w:r>
        <w:rPr>
          <w:color w:val="8C8C8C"/>
          <w:sz w:val="12"/>
        </w:rPr>
        <w:t>cf-art-5-inc-L</w:t>
      </w:r>
      <w:r>
        <w:rPr>
          <w:color w:val="003CA0"/>
          <w:sz w:val="12"/>
        </w:rPr>
        <w:t xml:space="preserve"> | MS 25.149</w:t>
      </w:r>
      <w:r>
        <w:rPr>
          <w:color w:val="003CA0"/>
          <w:sz w:val="12"/>
        </w:rPr>
        <w:t xml:space="preserve"> | rel. Celso de Mello</w:t>
      </w:r>
    </w:p>
    <w:p>
      <w:pPr>
        <w:ind w:left="288"/>
      </w:pPr>
      <w:r>
        <w:rPr>
          <w:color w:val="1E1E1E"/>
          <w:sz w:val="18"/>
        </w:rPr>
        <w:t>= MS 25.149, rel. min. Celso de Mello, j. 9-6-2005, P, DJE de 18-9-2009 Não tem legitimidade ativa ad causam para impetrar mandado de segurança o parlamentar que pretende defender prerrogativa do Congresso Nacional, visto que "direito individual, para fins de mandado de segurança, é o que pertence a quem o invoca e não apenas à sua categoria, corporação ou associação de classe" (...).</w:t>
      </w:r>
    </w:p>
    <w:p>
      <w:pPr>
        <w:ind w:left="288"/>
      </w:pPr>
      <w:r>
        <w:rPr>
          <w:b/>
          <w:color w:val="003CA0"/>
          <w:sz w:val="16"/>
        </w:rPr>
        <w:t>[MS 23.914 AgR, rel. min. Maurício Corrêa, j. 20-6-2001, P, DJ de 24-8-2001.]</w:t>
      </w:r>
    </w:p>
    <w:p>
      <w:pPr>
        <w:ind w:left="288"/>
      </w:pPr>
      <w:r>
        <w:rPr>
          <w:color w:val="8C8C8C"/>
          <w:sz w:val="12"/>
        </w:rPr>
        <w:t>cf-art-5-inc-L</w:t>
      </w:r>
      <w:r>
        <w:rPr>
          <w:color w:val="003CA0"/>
          <w:sz w:val="12"/>
        </w:rPr>
        <w:t xml:space="preserve"> | RMS 28.251</w:t>
      </w:r>
      <w:r>
        <w:rPr>
          <w:color w:val="003CA0"/>
          <w:sz w:val="12"/>
        </w:rPr>
        <w:t xml:space="preserve"> | rel. Ricardo Lewandowski</w:t>
      </w:r>
    </w:p>
    <w:p>
      <w:pPr>
        <w:ind w:left="288"/>
      </w:pPr>
      <w:r>
        <w:rPr>
          <w:color w:val="1E1E1E"/>
          <w:sz w:val="18"/>
        </w:rPr>
        <w:t>= RMS 28.251 AgR, rel. min. Ricardo Lewandowski, j. 18-10-2011, 2ª T, DJE de 22-11-2011 Ao estrangeiro, residente no exterior, também é assegurado o direito de impetrar mandado de segurança, como decorre da interpretação sistemática do art. 153, caput, da Emenda Constitucional de 1969 e do [art.] 5º, LXIX, da Constituição atual.</w:t>
      </w:r>
    </w:p>
    <w:p>
      <w:pPr>
        <w:ind w:left="288"/>
      </w:pPr>
      <w:r>
        <w:rPr>
          <w:b/>
          <w:color w:val="003CA0"/>
          <w:sz w:val="16"/>
        </w:rPr>
        <w:t>[RE 215.267, rel. min. Ellen Gracie, j. 24-4-2001, 1ª T, DJ de 25-5-2001.]</w:t>
      </w:r>
    </w:p>
    <w:p>
      <w:pPr>
        <w:ind w:left="288"/>
      </w:pPr>
      <w:r>
        <w:rPr>
          <w:color w:val="8C8C8C"/>
          <w:sz w:val="12"/>
        </w:rPr>
        <w:t>cf-art-5-inc-L</w:t>
      </w:r>
      <w:r>
        <w:rPr>
          <w:color w:val="003CA0"/>
          <w:sz w:val="12"/>
        </w:rPr>
        <w:t xml:space="preserve"> | MS 22.623</w:t>
      </w:r>
      <w:r>
        <w:rPr>
          <w:color w:val="003CA0"/>
          <w:sz w:val="12"/>
        </w:rPr>
        <w:t xml:space="preserve"> | rel. Sydney Sanches</w:t>
      </w:r>
    </w:p>
    <w:p>
      <w:pPr>
        <w:ind w:left="288"/>
      </w:pPr>
      <w:r>
        <w:rPr>
          <w:color w:val="1E1E1E"/>
          <w:sz w:val="18"/>
        </w:rPr>
        <w:t>É certo que esta Corte, abrandando a rigidez da Súmula 267, tem admitido mandado de segurança quando, do ato impugnado, puder resultar dano irreparável, desde logo cabalmente demonstrado.</w:t>
      </w:r>
    </w:p>
    <w:p>
      <w:pPr>
        <w:ind w:left="288"/>
      </w:pPr>
      <w:r>
        <w:rPr>
          <w:b/>
          <w:color w:val="003CA0"/>
          <w:sz w:val="16"/>
        </w:rPr>
        <w:t>[MS 22.623 AgR, rel. min. Sydney Sanches, j. 9-12-1996, P, DJ de 7-3-1997.]</w:t>
      </w:r>
    </w:p>
    <w:p>
      <w:pPr>
        <w:ind w:left="288"/>
      </w:pPr>
      <w:r>
        <w:rPr>
          <w:color w:val="8C8C8C"/>
          <w:sz w:val="12"/>
        </w:rPr>
        <w:t>cf-art-5-inc-L</w:t>
      </w:r>
      <w:r>
        <w:rPr>
          <w:color w:val="003CA0"/>
          <w:sz w:val="12"/>
        </w:rPr>
        <w:t xml:space="preserve"> | RMS 25.293</w:t>
      </w:r>
      <w:r>
        <w:rPr>
          <w:color w:val="003CA0"/>
          <w:sz w:val="12"/>
        </w:rPr>
        <w:t xml:space="preserve"> | rel. Ayres Britto</w:t>
      </w:r>
    </w:p>
    <w:p>
      <w:pPr>
        <w:ind w:left="288"/>
      </w:pPr>
      <w:r>
        <w:rPr>
          <w:color w:val="1E1E1E"/>
          <w:sz w:val="18"/>
        </w:rPr>
        <w:t>= RMS 25.293, rel. min. Ayres Britto, j. 7-3-2006, 1ª T, DJ de 5-5-2006 O remédio constitucional do mandado de segurança não tem cabimento quando utilizado com o objetivo de desconstituir a autoridade da coisa julgada penal. O ordenamento jurídico brasileiro contempla, para esse efeito, um meio processual específico: a revisão criminal.</w:t>
      </w:r>
    </w:p>
    <w:p>
      <w:pPr>
        <w:ind w:left="288"/>
      </w:pPr>
      <w:r>
        <w:rPr>
          <w:b/>
          <w:color w:val="003CA0"/>
          <w:sz w:val="16"/>
        </w:rPr>
        <w:t>[RMS 21.597, rel. min. Celso de Mello, j. 29-3-1994, 1ª T, DJ de 30-9-1994.]</w:t>
      </w:r>
    </w:p>
    <w:p>
      <w:pPr>
        <w:ind w:left="288"/>
      </w:pPr>
      <w:r>
        <w:rPr>
          <w:color w:val="8C8C8C"/>
          <w:sz w:val="12"/>
        </w:rPr>
        <w:t>cf-art-5-inc-L</w:t>
      </w:r>
      <w:r>
        <w:rPr>
          <w:color w:val="003CA0"/>
          <w:sz w:val="12"/>
        </w:rPr>
        <w:t xml:space="preserve"> | RMS 21.514</w:t>
      </w:r>
      <w:r>
        <w:rPr>
          <w:color w:val="003CA0"/>
          <w:sz w:val="12"/>
        </w:rPr>
        <w:t xml:space="preserve"> | rel. Marco Aurélio</w:t>
      </w:r>
    </w:p>
    <w:p>
      <w:pPr>
        <w:ind w:left="288"/>
      </w:pPr>
      <w:r>
        <w:rPr>
          <w:color w:val="1E1E1E"/>
          <w:sz w:val="18"/>
        </w:rPr>
        <w:t>Há de se distinguir a complexidade dos fatos e do tema de direito daquelas situações que não prescindem da abertura de fase de instrução. Se o caso está compreendido no campo da referida dificuldade, nem por isso o mandado de segurança exsurge como via imprópria, impondo-se o julgamento de mérito. Somente em defrontando-se o órgão julgador com quadro a exigir elucidação de fatos cabe dizer da impertinência da medida, sinalizando no sentido do ingresso em juízo mediante ação ordinária.</w:t>
      </w:r>
    </w:p>
    <w:p>
      <w:pPr>
        <w:ind w:left="288"/>
      </w:pPr>
      <w:r>
        <w:rPr>
          <w:b/>
          <w:color w:val="003CA0"/>
          <w:sz w:val="16"/>
        </w:rPr>
        <w:t>[RMS 21.514, rel. min. Marco Aurélio, j. 27-4-1993, 2ª T, DJ de 18-6-1993.]</w:t>
      </w:r>
    </w:p>
    <w:p>
      <w:pPr>
        <w:ind w:left="288"/>
      </w:pPr>
      <w:r>
        <w:rPr>
          <w:color w:val="8C8C8C"/>
          <w:sz w:val="12"/>
        </w:rPr>
        <w:t>cf-art-5-inc-L</w:t>
      </w:r>
      <w:r>
        <w:rPr>
          <w:color w:val="003CA0"/>
          <w:sz w:val="12"/>
        </w:rPr>
        <w:t xml:space="preserve"> | RMS 21.476</w:t>
      </w:r>
      <w:r>
        <w:rPr>
          <w:color w:val="003CA0"/>
          <w:sz w:val="12"/>
        </w:rPr>
        <w:t xml:space="preserve"> | rel. Celso de Mello</w:t>
      </w:r>
    </w:p>
    <w:p>
      <w:pPr>
        <w:ind w:left="288"/>
      </w:pPr>
      <w:r>
        <w:rPr>
          <w:color w:val="1E1E1E"/>
          <w:sz w:val="18"/>
        </w:rPr>
        <w:t xml:space="preserve">Não cabe ao Poder Judiciário, sem iniciativa da parte, proceder à substituição de autoridade apontada pelo impetrante como órgão coator. Verificada a ilegitimidade passiva ad causam do impetrado, impõe-se ao juiz declarar extinto o processo mandamental, sem julgamento de mérito, por ausência de uma das condições da ação, com fundamento no art. 267, VI, do CPC. Não ofende a Constituição a norma legal que estipula prazo para a impetração do mandado de segurança. A circunstância de a Constituição da República nada dispor sobre a fixação de prazo para efeito de ajuizamento da ação mandamental não </w:t>
      </w:r>
    </w:p>
    <w:p>
      <w:pPr>
        <w:ind w:left="288"/>
      </w:pPr>
      <w:r>
        <w:rPr>
          <w:b/>
          <w:color w:val="003CA0"/>
          <w:sz w:val="16"/>
        </w:rPr>
        <w:t>[RMS 21.476, rel. min. Celso de Mello, j. 16-6-1992, 1ª T, DJ de 4-9-1992.]</w:t>
      </w:r>
    </w:p>
    <w:p>
      <w:pPr>
        <w:ind w:left="288"/>
      </w:pPr>
      <w:r>
        <w:rPr>
          <w:color w:val="8C8C8C"/>
          <w:sz w:val="12"/>
        </w:rPr>
        <w:t>cf-art-5-inc-L</w:t>
      </w:r>
      <w:r>
        <w:rPr>
          <w:color w:val="003CA0"/>
          <w:sz w:val="12"/>
        </w:rPr>
        <w:t xml:space="preserve"> | MS 28.549</w:t>
      </w:r>
      <w:r>
        <w:rPr>
          <w:color w:val="003CA0"/>
          <w:sz w:val="12"/>
        </w:rPr>
        <w:t xml:space="preserve"> | rel. Dias Toffoli</w:t>
      </w:r>
    </w:p>
    <w:p>
      <w:pPr>
        <w:ind w:left="288"/>
      </w:pPr>
      <w:r>
        <w:rPr>
          <w:color w:val="1E1E1E"/>
          <w:sz w:val="18"/>
        </w:rPr>
        <w:t>= MS 28.549 AgR-ED, rel. min. Dias Toffoli, j. 19-9-2013, P, DJE de 29-10-2013 A legitimidade ad causam no mandado de segurança pressupõe que o impetrante se afirme titular de um direito subjetivo próprio, violado ou ameaçado por ato de autoridade; no entanto, segundo assentado pela doutrina mais autorizada (cf. Jellinek, Malberg, Duguit, Dabin, Santi Romano), entre os direitos públicos subjetivos, incluem-se os chamados direitos-função, que têm por objeto a posse e o exercício da função pública pelo titular que a detenha, em toda a extensão das competências e prerrogativas que a substantivem:</w:t>
      </w:r>
    </w:p>
    <w:p>
      <w:pPr>
        <w:ind w:left="288"/>
      </w:pPr>
      <w:r>
        <w:rPr>
          <w:b/>
          <w:color w:val="003CA0"/>
          <w:sz w:val="16"/>
        </w:rPr>
        <w:t>[MS 21.239, rel. min. Sepúlveda Pertence, j. 5-6-1991, P, DJ de 23-4-1993.]</w:t>
      </w:r>
    </w:p>
    <w:p>
      <w:pPr>
        <w:ind w:left="288"/>
      </w:pPr>
      <w:r>
        <w:rPr>
          <w:color w:val="8C8C8C"/>
          <w:sz w:val="12"/>
        </w:rPr>
        <w:t>cf-art-5-inc-L</w:t>
      </w:r>
      <w:r>
        <w:rPr>
          <w:color w:val="003CA0"/>
          <w:sz w:val="12"/>
        </w:rPr>
        <w:t xml:space="preserve"> | MS 30.717</w:t>
      </w:r>
      <w:r>
        <w:rPr>
          <w:color w:val="003CA0"/>
          <w:sz w:val="12"/>
        </w:rPr>
        <w:t xml:space="preserve"> | rel. Ricardo Lewandowski</w:t>
      </w:r>
    </w:p>
    <w:p>
      <w:pPr>
        <w:ind w:left="288"/>
      </w:pPr>
      <w:r>
        <w:rPr>
          <w:color w:val="1E1E1E"/>
          <w:sz w:val="18"/>
        </w:rPr>
        <w:t>= MS 30.717 AgR, rel. min. Ricardo Lewandowski, j. 27-9-2011, 2ª T, DJE de 11-10-2011 LXX - o mandado de segurança coletivo pode ser impetrado por: É desnecessária a autorização expressa dos associados, a relação nominal destes, bem como a comprovação de filiação prévia, para a cobrança de valores pretéritos de título judicial decorrente de mandado de segurança coletivo impetrado por entidade associativa de caráter civil.</w:t>
      </w:r>
    </w:p>
    <w:p>
      <w:pPr>
        <w:ind w:left="288"/>
      </w:pPr>
      <w:r>
        <w:rPr>
          <w:b/>
          <w:color w:val="003CA0"/>
          <w:sz w:val="16"/>
        </w:rPr>
        <w:t>[RE 1.293.130, rel. min. Luiz Fux, j. 17-12-2020, P, DJE de 8-1-2021, Tema 1.119, com mérito julgado e reafirmação de jurisprudência.]</w:t>
      </w:r>
    </w:p>
    <w:p>
      <w:pPr>
        <w:ind w:left="288"/>
      </w:pPr>
      <w:r>
        <w:rPr>
          <w:color w:val="8C8C8C"/>
          <w:sz w:val="12"/>
        </w:rPr>
        <w:t>cf-art-5-inc-L</w:t>
      </w:r>
      <w:r>
        <w:rPr>
          <w:color w:val="003CA0"/>
          <w:sz w:val="12"/>
        </w:rPr>
        <w:t xml:space="preserve"> | ARE 1.339.496</w:t>
      </w:r>
      <w:r>
        <w:rPr>
          <w:color w:val="003CA0"/>
          <w:sz w:val="12"/>
        </w:rPr>
        <w:t xml:space="preserve"> | rel. Edson Fachin</w:t>
      </w:r>
    </w:p>
    <w:p>
      <w:pPr>
        <w:ind w:left="288"/>
      </w:pPr>
      <w:r>
        <w:rPr>
          <w:color w:val="1E1E1E"/>
          <w:sz w:val="18"/>
        </w:rPr>
        <w:t>Não se aplica às associações genéricas — que não representam qualquer categoria econômica ou profissional específica — a tese firmada no Tema 1.119 da sistemática da repercussão geral, sendo insuficiente a mera regularidade registral da entidade para sua atuação em sede de mandado de segurança coletivo, pois passível de causar prejuízo aos interesses dos beneficiários supostamente defendidos.</w:t>
      </w:r>
    </w:p>
    <w:p>
      <w:pPr>
        <w:ind w:left="288"/>
      </w:pPr>
      <w:r>
        <w:rPr>
          <w:b/>
          <w:color w:val="003CA0"/>
          <w:sz w:val="16"/>
        </w:rPr>
        <w:t>[ARE 1.339.496-AgR, rel. min. Edson Fachin, red. do ac. min. André Mendonça, j. 7-2-2023, 2ª T, Dje 10-4-2023.]</w:t>
      </w:r>
    </w:p>
    <w:p>
      <w:pPr>
        <w:ind w:left="288"/>
      </w:pPr>
      <w:r>
        <w:rPr>
          <w:color w:val="8C8C8C"/>
          <w:sz w:val="12"/>
        </w:rPr>
        <w:t>cf-art-5-inc-L</w:t>
      </w:r>
      <w:r>
        <w:rPr>
          <w:color w:val="003CA0"/>
          <w:sz w:val="12"/>
        </w:rPr>
        <w:t xml:space="preserve"> | MS 32.832</w:t>
      </w:r>
      <w:r>
        <w:rPr>
          <w:color w:val="003CA0"/>
          <w:sz w:val="12"/>
        </w:rPr>
        <w:t xml:space="preserve"> | rel. Rosa Weber</w:t>
      </w:r>
    </w:p>
    <w:p>
      <w:pPr>
        <w:ind w:left="288"/>
      </w:pPr>
      <w:r>
        <w:rPr>
          <w:color w:val="1E1E1E"/>
          <w:sz w:val="18"/>
        </w:rPr>
        <w:t>Pessoas físicas já impetrantes de mandados de segurança individuais não possuem autorização constitucional para nova impetração "coletiva". Eventual litisconsórcio ativo, instituto da teoria geral do processo, não se confunde com as hipóteses constitucionais do art. 5º, LXX, da CF/1988.</w:t>
      </w:r>
    </w:p>
    <w:p>
      <w:pPr>
        <w:ind w:left="288"/>
      </w:pPr>
      <w:r>
        <w:rPr>
          <w:b/>
          <w:color w:val="003CA0"/>
          <w:sz w:val="16"/>
        </w:rPr>
        <w:t>[MS 32.832 AgR, rel. min. Rosa Weber, j. 24-2-2015, 1ª T, DJE de 11-3-2015.]</w:t>
      </w:r>
    </w:p>
    <w:p>
      <w:pPr>
        <w:ind w:left="288"/>
      </w:pPr>
      <w:r>
        <w:rPr>
          <w:color w:val="8C8C8C"/>
          <w:sz w:val="12"/>
        </w:rPr>
        <w:t>cf-art-5-inc-L</w:t>
      </w:r>
      <w:r>
        <w:rPr>
          <w:color w:val="003CA0"/>
          <w:sz w:val="12"/>
        </w:rPr>
        <w:t xml:space="preserve"> | MS 26.794</w:t>
      </w:r>
      <w:r>
        <w:rPr>
          <w:color w:val="003CA0"/>
          <w:sz w:val="12"/>
        </w:rPr>
        <w:t xml:space="preserve"> | rel. Marco Aurélio</w:t>
      </w:r>
    </w:p>
    <w:p>
      <w:pPr>
        <w:ind w:left="288"/>
      </w:pPr>
      <w:r>
        <w:rPr>
          <w:color w:val="1E1E1E"/>
          <w:sz w:val="18"/>
        </w:rPr>
        <w:t>Impetrado mandado de segurança coletivo, descabe admitir, como terceiros interessados, os substituídos.</w:t>
      </w:r>
    </w:p>
    <w:p>
      <w:pPr>
        <w:ind w:left="288"/>
      </w:pPr>
      <w:r>
        <w:rPr>
          <w:b/>
          <w:color w:val="003CA0"/>
          <w:sz w:val="16"/>
        </w:rPr>
        <w:t>[MS 26.794 AgR, rel. min. Marco Aurélio, j. 23-5-2013, P, DJE de 1º-8-2013.]</w:t>
      </w:r>
    </w:p>
    <w:p>
      <w:pPr>
        <w:ind w:left="288"/>
      </w:pPr>
      <w:r>
        <w:rPr>
          <w:color w:val="8C8C8C"/>
          <w:sz w:val="12"/>
        </w:rPr>
        <w:t>cf-art-5-inc-L</w:t>
      </w:r>
      <w:r>
        <w:rPr>
          <w:color w:val="003CA0"/>
          <w:sz w:val="12"/>
        </w:rPr>
        <w:t xml:space="preserve"> | RE 601.914</w:t>
      </w:r>
      <w:r>
        <w:rPr>
          <w:color w:val="003CA0"/>
          <w:sz w:val="12"/>
        </w:rPr>
        <w:t xml:space="preserve"> | rel. Celso de Mello</w:t>
      </w:r>
    </w:p>
    <w:p>
      <w:pPr>
        <w:ind w:left="288"/>
      </w:pPr>
      <w:r>
        <w:rPr>
          <w:color w:val="1E1E1E"/>
          <w:sz w:val="18"/>
        </w:rPr>
        <w:t>Possibilidade de execução individual de sentença proferida em processo coletivo. O fato de tratar-se de mandado de segurança coletivo não representa obstáculo para que o interessado, favorecido pela sentença mandamental coletiva, promova, ele próprio, desde que integrante do grupo ou categoria processualmente substituídos pela parte impetrante, a execução individual desse mesmo julgado.</w:t>
      </w:r>
    </w:p>
    <w:p>
      <w:pPr>
        <w:ind w:left="288"/>
      </w:pPr>
      <w:r>
        <w:rPr>
          <w:b/>
          <w:color w:val="003CA0"/>
          <w:sz w:val="16"/>
        </w:rPr>
        <w:t>[RE 601.914 AgR, rel. min. Celso de Mello, j. 6-3-2012, 2ª T, DJE de 25-2-2013.]</w:t>
      </w:r>
    </w:p>
    <w:p>
      <w:pPr>
        <w:ind w:left="288"/>
      </w:pPr>
      <w:r>
        <w:rPr>
          <w:color w:val="8C8C8C"/>
          <w:sz w:val="12"/>
        </w:rPr>
        <w:t>cf-art-5-inc-L</w:t>
      </w:r>
      <w:r>
        <w:rPr>
          <w:color w:val="003CA0"/>
          <w:sz w:val="12"/>
        </w:rPr>
        <w:t xml:space="preserve"> | MS 23.769</w:t>
      </w:r>
      <w:r>
        <w:rPr>
          <w:color w:val="003CA0"/>
          <w:sz w:val="12"/>
        </w:rPr>
        <w:t xml:space="preserve"> | rel. Ellen Gracie</w:t>
      </w:r>
    </w:p>
    <w:p>
      <w:pPr>
        <w:ind w:left="288"/>
      </w:pPr>
      <w:r>
        <w:rPr>
          <w:color w:val="1E1E1E"/>
          <w:sz w:val="18"/>
        </w:rPr>
        <w:t>Não aplicação, ao mandado de segurança coletivo, da exigência inscrita no art. 2º-A da Lei 9.494/1997, de instrução da petição inicial com a relação nominal dos associados da impetrante e da indicação dos seus respectivos endereços.</w:t>
      </w:r>
    </w:p>
    <w:p>
      <w:pPr>
        <w:ind w:left="288"/>
      </w:pPr>
      <w:r>
        <w:rPr>
          <w:b/>
          <w:color w:val="003CA0"/>
          <w:sz w:val="16"/>
        </w:rPr>
        <w:t>[MS 23.769, rel. min. Ellen Gracie, j. 3-4-2002, P, DJ de 30-4-2004.]</w:t>
      </w:r>
    </w:p>
    <w:p>
      <w:pPr>
        <w:ind w:left="288"/>
      </w:pPr>
      <w:r>
        <w:rPr>
          <w:color w:val="8C8C8C"/>
          <w:sz w:val="12"/>
        </w:rPr>
        <w:t>cf-art-5-inc-L</w:t>
      </w:r>
      <w:r>
        <w:rPr>
          <w:color w:val="003CA0"/>
          <w:sz w:val="12"/>
        </w:rPr>
        <w:t xml:space="preserve"> | RE 501.953</w:t>
      </w:r>
      <w:r>
        <w:rPr>
          <w:color w:val="003CA0"/>
          <w:sz w:val="12"/>
        </w:rPr>
        <w:t xml:space="preserve"> | rel. Dias Toffoli</w:t>
      </w:r>
    </w:p>
    <w:p>
      <w:pPr>
        <w:ind w:left="288"/>
      </w:pPr>
      <w:r>
        <w:rPr>
          <w:color w:val="1E1E1E"/>
          <w:sz w:val="18"/>
        </w:rPr>
        <w:t>= RE 501.953 AgR, rel. min. Dias Toffoli, j. 20-3-2012, 1ª T, DJE de 26-4-2012 Lei 8.437, de 1992, art. 2º: no mandado de segurança coletivo e na ação civil pública, a liminar será concedida, quando cabível, após a audiência do representante judicial da pessoa jurídica de direito público, que deverá se pronunciar no prazo de 72 horas.</w:t>
      </w:r>
    </w:p>
    <w:p>
      <w:pPr>
        <w:ind w:left="288"/>
      </w:pPr>
      <w:r>
        <w:rPr>
          <w:b/>
          <w:color w:val="003CA0"/>
          <w:sz w:val="16"/>
        </w:rPr>
        <w:t>[Pet 2.066 AgR, rel. min. Carlos Velloso, j. 19-10-2000, P, DJ de 28-2-2003.]</w:t>
      </w:r>
    </w:p>
    <w:p>
      <w:pPr>
        <w:ind w:left="288"/>
      </w:pPr>
      <w:r>
        <w:rPr>
          <w:color w:val="8C8C8C"/>
          <w:sz w:val="12"/>
        </w:rPr>
        <w:t>cf-art-5-inc-L</w:t>
      </w:r>
      <w:r>
        <w:rPr>
          <w:color w:val="003CA0"/>
          <w:sz w:val="12"/>
        </w:rPr>
        <w:t xml:space="preserve"> | RMS 22.350</w:t>
      </w:r>
      <w:r>
        <w:rPr>
          <w:color w:val="003CA0"/>
          <w:sz w:val="12"/>
        </w:rPr>
        <w:t xml:space="preserve"> | rel. Sydney Sanches</w:t>
      </w:r>
    </w:p>
    <w:p>
      <w:pPr>
        <w:ind w:left="288"/>
      </w:pPr>
      <w:r>
        <w:rPr>
          <w:color w:val="1E1E1E"/>
          <w:sz w:val="18"/>
        </w:rPr>
        <w:t>Em se tratando de mandado de segurança, é imprescindível a demonstração de que o ato ilegal da autoridade prejudicou direito subjetivo, líquido e certo do impetrante, ou de seus representados, no caso de mandado de segurança coletivo.</w:t>
      </w:r>
    </w:p>
    <w:p>
      <w:pPr>
        <w:ind w:left="288"/>
      </w:pPr>
      <w:r>
        <w:rPr>
          <w:b/>
          <w:color w:val="003CA0"/>
          <w:sz w:val="16"/>
        </w:rPr>
        <w:t>[RMS 22.350, rel. min. Sydney Sanches, j. 3-9-1996, 1ª T, DJ de 8-11-1996.]</w:t>
      </w:r>
    </w:p>
    <w:p>
      <w:pPr>
        <w:ind w:left="288"/>
      </w:pPr>
      <w:r>
        <w:rPr>
          <w:color w:val="8C8C8C"/>
          <w:sz w:val="12"/>
        </w:rPr>
        <w:t>cf-art-5-inc-L</w:t>
      </w:r>
      <w:r>
        <w:rPr>
          <w:color w:val="003CA0"/>
          <w:sz w:val="12"/>
        </w:rPr>
        <w:t xml:space="preserve"> | MS 21.615</w:t>
      </w:r>
      <w:r>
        <w:rPr>
          <w:color w:val="003CA0"/>
          <w:sz w:val="12"/>
        </w:rPr>
        <w:t xml:space="preserve"> | rel. Néri da Silveira</w:t>
      </w:r>
    </w:p>
    <w:p>
      <w:pPr>
        <w:ind w:left="288"/>
      </w:pPr>
      <w:r>
        <w:rPr>
          <w:color w:val="1E1E1E"/>
          <w:sz w:val="18"/>
        </w:rPr>
        <w:t>Os princípios básicos que regem o mandado de segurança individual informam e condicionam, no plano jurídico-processual, a utilização do writ mandamental coletivo. Atos em tese acham-se pré-excluídos do âmbito de atuação e incidência do mandado de segurança, aplicando-se, em consequência, às ações mandamentais de caráter coletivo, a Súmula 266/STF.</w:t>
      </w:r>
    </w:p>
    <w:p>
      <w:pPr>
        <w:ind w:left="288"/>
      </w:pPr>
      <w:r>
        <w:rPr>
          <w:b/>
          <w:color w:val="003CA0"/>
          <w:sz w:val="16"/>
        </w:rPr>
        <w:t>[MS 21.615, rel. min. Néri da Silveira, red. do ac. min. Celso de Mello, j. 10-2-1994, P, DJ de 13-3-1998.]</w:t>
      </w:r>
    </w:p>
    <w:p>
      <w:pPr>
        <w:ind w:left="288"/>
      </w:pPr>
      <w:r>
        <w:rPr>
          <w:color w:val="8C8C8C"/>
          <w:sz w:val="12"/>
        </w:rPr>
        <w:t>cf-art-5-inc-L</w:t>
      </w:r>
      <w:r>
        <w:rPr>
          <w:color w:val="003CA0"/>
          <w:sz w:val="12"/>
        </w:rPr>
        <w:t xml:space="preserve"> | RMS 21.514</w:t>
      </w:r>
      <w:r>
        <w:rPr>
          <w:color w:val="003CA0"/>
          <w:sz w:val="12"/>
        </w:rPr>
        <w:t xml:space="preserve"> | rel. Marco Aurélio</w:t>
      </w:r>
    </w:p>
    <w:p>
      <w:pPr>
        <w:ind w:left="288"/>
      </w:pPr>
      <w:r>
        <w:rPr>
          <w:color w:val="1E1E1E"/>
          <w:sz w:val="18"/>
        </w:rPr>
        <w:t>O inciso LXX do art. 5º da CF encerra o instituto da substituição processual, distanciando-se da hipótese do inciso XXI, no que surge no âmbito da representação. As entidades e pessoas jurídicas nele mencionadas atuam, em nome próprio, na defesa de interesses que se irradiam, encontrando-se no patrimônio de pessoas diversas. Descabe a exigência de demonstração do credenciamento.</w:t>
      </w:r>
    </w:p>
    <w:p>
      <w:pPr>
        <w:ind w:left="288"/>
      </w:pPr>
      <w:r>
        <w:rPr>
          <w:b/>
          <w:color w:val="003CA0"/>
          <w:sz w:val="16"/>
        </w:rPr>
        <w:t>[RMS 21.514, rel. min. Marco Aurélio, j. 27-4-1993, 2ª T, DJ de 18-6-1993.]</w:t>
      </w:r>
    </w:p>
    <w:p>
      <w:pPr>
        <w:ind w:left="288"/>
      </w:pPr>
      <w:r>
        <w:rPr>
          <w:color w:val="8C8C8C"/>
          <w:sz w:val="12"/>
        </w:rPr>
        <w:t>cf-art-5-inc-L</w:t>
      </w:r>
      <w:r>
        <w:rPr>
          <w:color w:val="003CA0"/>
          <w:sz w:val="12"/>
        </w:rPr>
        <w:t xml:space="preserve"> | MS 21.291</w:t>
      </w:r>
      <w:r>
        <w:rPr>
          <w:color w:val="003CA0"/>
          <w:sz w:val="12"/>
        </w:rPr>
        <w:t xml:space="preserve"> | rel. Celso de Mello</w:t>
      </w:r>
    </w:p>
    <w:p>
      <w:pPr>
        <w:ind w:left="288"/>
      </w:pPr>
      <w:r>
        <w:rPr>
          <w:color w:val="1E1E1E"/>
          <w:sz w:val="18"/>
        </w:rPr>
        <w:t>O mandado de segurança coletivo – que constitui, ao lado do writ individual, mera espécie da ação mandamental instituída pela Constituição de 1934 – destina-se, em sua precípua função jurídico-processual, a viabilizar a tutela jurisdicional de direito líquido e certo não amparável pelos remédios constitucionais do habeas corpus e do habeas data. Simples interesses, que não configurem direitos, não legitimam a válida utilização do mandado de segurança coletivo.</w:t>
      </w:r>
    </w:p>
    <w:p>
      <w:pPr>
        <w:ind w:left="288"/>
      </w:pPr>
      <w:r>
        <w:rPr>
          <w:b/>
          <w:color w:val="003CA0"/>
          <w:sz w:val="16"/>
        </w:rPr>
        <w:t>[MS 21.291 AgR-QO, rel. min. Celso de Mello, j. 12-4-1991, P, DJ de 27-10-1995.]</w:t>
      </w:r>
    </w:p>
    <w:p>
      <w:pPr>
        <w:ind w:left="288"/>
      </w:pPr>
      <w:r>
        <w:rPr>
          <w:color w:val="8C8C8C"/>
          <w:sz w:val="12"/>
        </w:rPr>
        <w:t>cf-art-5-inc-L</w:t>
      </w:r>
      <w:r>
        <w:rPr>
          <w:color w:val="003CA0"/>
          <w:sz w:val="12"/>
        </w:rPr>
        <w:t xml:space="preserve"> | ADPF 307</w:t>
      </w:r>
      <w:r>
        <w:rPr>
          <w:color w:val="003CA0"/>
          <w:sz w:val="12"/>
        </w:rPr>
        <w:t xml:space="preserve"> | rel. Dias Toffoli</w:t>
      </w:r>
    </w:p>
    <w:p>
      <w:pPr>
        <w:ind w:left="288"/>
      </w:pPr>
      <w:r>
        <w:rPr>
          <w:color w:val="1E1E1E"/>
          <w:sz w:val="18"/>
        </w:rPr>
        <w:t>= ADPF 307 MC-REF, rel. min. Dias Toffoli, j. 19-12-2013, P, DJE de 27-3-2014 Ao Estado-membro não se outorgou legitimação extraordinária para a defesa, contra ato de autoridade federal no exercício de competência privativa da União, seja para a tutela de interesses difusos de sua população – que é restrito aos enumerados na lei da ação civil pública (Lei 7.347/1985) –, seja para a impetração de mandado de segurança coletivo, que é objeto da enumeração taxativa do art. 5º, LXX, da Constituição. Além de não se poder extrair mediante construção ou raciocínio analógicos, a alegada legitimação ext</w:t>
      </w:r>
    </w:p>
    <w:p>
      <w:pPr>
        <w:ind w:left="288"/>
      </w:pPr>
      <w:r>
        <w:rPr>
          <w:b/>
          <w:color w:val="003CA0"/>
          <w:sz w:val="16"/>
        </w:rPr>
        <w:t>[MS 21.059, rel. min. Sepúlveda Pertence, j. 5-9-1990, P, DJ de 19-10-1990.]</w:t>
      </w:r>
    </w:p>
    <w:p>
      <w:pPr>
        <w:ind w:left="288"/>
      </w:pPr>
      <w:r>
        <w:rPr>
          <w:color w:val="8C8C8C"/>
          <w:sz w:val="12"/>
        </w:rPr>
        <w:t>cf-art-5-inc-L-ali-a</w:t>
      </w:r>
      <w:r>
        <w:rPr>
          <w:color w:val="003CA0"/>
          <w:sz w:val="12"/>
        </w:rPr>
        <w:t xml:space="preserve"> | RE 213.631</w:t>
      </w:r>
      <w:r>
        <w:rPr>
          <w:color w:val="003CA0"/>
          <w:sz w:val="12"/>
        </w:rPr>
        <w:t xml:space="preserve"> | rel. Ilmar Galvão</w:t>
      </w:r>
    </w:p>
    <w:p>
      <w:pPr>
        <w:ind w:left="288"/>
      </w:pPr>
      <w:r>
        <w:rPr>
          <w:color w:val="1E1E1E"/>
          <w:sz w:val="18"/>
        </w:rPr>
        <w:t>Uma exigência tributária configura interesse de grupo ou classe de pessoas, só podendo ser impugnada por eles próprios, de forma individual ou coletiva. Precedente: RE 213.631, rel. min. Ilmar Galvão, DJ de 7-4-2000. O partido político não está, pois, autorizado a valer-se do mandado de segurança coletivo para, substituindo todos os cidadãos na defesa de interesses individuais, impugnar majoração de tributo.</w:t>
      </w:r>
    </w:p>
    <w:p>
      <w:pPr>
        <w:ind w:left="288"/>
      </w:pPr>
      <w:r>
        <w:rPr>
          <w:b/>
          <w:color w:val="003CA0"/>
          <w:sz w:val="16"/>
        </w:rPr>
        <w:t>[RE 196.184, rel. min. Ellen Gracie, j. 27-10-2004, P, DJ de 18-2-2005.]</w:t>
      </w:r>
    </w:p>
    <w:p>
      <w:pPr>
        <w:ind w:left="288"/>
      </w:pPr>
      <w:r>
        <w:rPr>
          <w:color w:val="8C8C8C"/>
          <w:sz w:val="12"/>
        </w:rPr>
        <w:t>cf-art-5-inc-L-ali-b</w:t>
      </w:r>
    </w:p>
    <w:p>
      <w:pPr>
        <w:ind w:left="288"/>
      </w:pPr>
      <w:r>
        <w:rPr>
          <w:color w:val="1E1E1E"/>
          <w:sz w:val="18"/>
        </w:rPr>
        <w:t>A entidade de classe tem legitimação para o mandado de segurança ainda quando a pretensão veiculada interesse apenas a uma parte da respectiva categoria.</w:t>
      </w:r>
    </w:p>
    <w:p>
      <w:pPr>
        <w:ind w:left="288"/>
      </w:pPr>
      <w:r>
        <w:rPr>
          <w:b/>
          <w:color w:val="003CA0"/>
          <w:sz w:val="16"/>
        </w:rPr>
        <w:t>[Súmula 630.]</w:t>
      </w:r>
    </w:p>
    <w:p>
      <w:pPr>
        <w:ind w:left="288"/>
      </w:pPr>
      <w:r>
        <w:rPr>
          <w:color w:val="8C8C8C"/>
          <w:sz w:val="12"/>
        </w:rPr>
        <w:t>cf-art-5-inc-L-ali-b</w:t>
      </w:r>
    </w:p>
    <w:p>
      <w:pPr>
        <w:ind w:left="288"/>
      </w:pPr>
      <w:r>
        <w:rPr>
          <w:color w:val="1E1E1E"/>
          <w:sz w:val="18"/>
        </w:rPr>
        <w:t>A impetração de mandado de segurança coletivo por entidade de classe em favor dos associados independe da autorização destes.</w:t>
      </w:r>
    </w:p>
    <w:p>
      <w:pPr>
        <w:ind w:left="288"/>
      </w:pPr>
      <w:r>
        <w:rPr>
          <w:b/>
          <w:color w:val="003CA0"/>
          <w:sz w:val="16"/>
        </w:rPr>
        <w:t>[Súmula 629.]</w:t>
      </w:r>
    </w:p>
    <w:p>
      <w:pPr>
        <w:ind w:left="288"/>
      </w:pPr>
      <w:r>
        <w:rPr>
          <w:color w:val="8C8C8C"/>
          <w:sz w:val="12"/>
        </w:rPr>
        <w:t>cf-art-5-inc-L-ali-b</w:t>
      </w:r>
      <w:r>
        <w:rPr>
          <w:color w:val="003CA0"/>
          <w:sz w:val="12"/>
        </w:rPr>
        <w:t xml:space="preserve"> | RE 370.834</w:t>
      </w:r>
      <w:r>
        <w:rPr>
          <w:color w:val="003CA0"/>
          <w:sz w:val="12"/>
        </w:rPr>
        <w:t xml:space="preserve"> | rel. Marco Aurélio</w:t>
      </w:r>
    </w:p>
    <w:p>
      <w:pPr>
        <w:ind w:left="288"/>
      </w:pPr>
      <w:r>
        <w:rPr>
          <w:color w:val="1E1E1E"/>
          <w:sz w:val="18"/>
        </w:rPr>
        <w:t>A legitimidade de sindicato para atuar como substituto processual no mandado de segurança coletivo pressupõe tão somente a existência jurídica, ou seja, o registro no cartório próprio, sendo indiferente estarem ou não os estatutos arquivados e registrados no Ministério do Trabalho.</w:t>
      </w:r>
    </w:p>
    <w:p>
      <w:pPr>
        <w:ind w:left="288"/>
      </w:pPr>
      <w:r>
        <w:rPr>
          <w:b/>
          <w:color w:val="003CA0"/>
          <w:sz w:val="16"/>
        </w:rPr>
        <w:t>[RE 370.834, rel. min. Marco Aurélio, j. 30-8-2011, 1ª T, DJE de 26-9-2011.]</w:t>
      </w:r>
    </w:p>
    <w:p>
      <w:pPr>
        <w:ind w:left="288"/>
      </w:pPr>
      <w:r>
        <w:rPr>
          <w:color w:val="8C8C8C"/>
          <w:sz w:val="12"/>
        </w:rPr>
        <w:t>cf-art-5-inc-L-ali-b</w:t>
      </w:r>
      <w:r>
        <w:rPr>
          <w:color w:val="003CA0"/>
          <w:sz w:val="12"/>
        </w:rPr>
        <w:t xml:space="preserve"> | MS 25.347</w:t>
      </w:r>
    </w:p>
    <w:p>
      <w:pPr>
        <w:ind w:left="288"/>
      </w:pPr>
      <w:r>
        <w:rPr>
          <w:color w:val="1E1E1E"/>
          <w:sz w:val="18"/>
        </w:rPr>
        <w:t>De saída, afasto a preliminar de ilegitimidade ativa, suscitada pelo presidente da República. É que a impetrante demonstrou ser associação legalmente constituída há mais de um ano. Sua legitimidade para a impetração de mandado de segurança, portanto, decorre diretamente do Texto Constitucional (inciso LXX do art. 5º), não obstante o silêncio do estatuto da autora quanto à representação judicial de seus associados.</w:t>
      </w:r>
    </w:p>
    <w:p>
      <w:pPr>
        <w:ind w:left="288"/>
      </w:pPr>
      <w:r>
        <w:rPr>
          <w:b/>
          <w:color w:val="003CA0"/>
          <w:sz w:val="16"/>
        </w:rPr>
        <w:t>[MS 25.347, voto do min. Ayres Britto, j. 17-2-2010, P, DJE de 19-3-2010.]</w:t>
      </w:r>
    </w:p>
    <w:p>
      <w:pPr>
        <w:ind w:left="288"/>
      </w:pPr>
      <w:r>
        <w:rPr>
          <w:color w:val="8C8C8C"/>
          <w:sz w:val="12"/>
        </w:rPr>
        <w:t>cf-art-5-inc-L-ali-b</w:t>
      </w:r>
      <w:r>
        <w:rPr>
          <w:color w:val="003CA0"/>
          <w:sz w:val="12"/>
        </w:rPr>
        <w:t xml:space="preserve"> | RE 266.689</w:t>
      </w:r>
      <w:r>
        <w:rPr>
          <w:color w:val="003CA0"/>
          <w:sz w:val="12"/>
        </w:rPr>
        <w:t xml:space="preserve"> | rel. Ellen Gracie</w:t>
      </w:r>
    </w:p>
    <w:p>
      <w:pPr>
        <w:ind w:left="288"/>
      </w:pPr>
      <w:r>
        <w:rPr>
          <w:color w:val="1E1E1E"/>
          <w:sz w:val="18"/>
        </w:rPr>
        <w:t>Presente a OAB – autarquia federal de regime especial – no polo ativo de mandado de segurança coletivo impetrado em favor de seus membros, a competência para julgá-lo é da Justiça Federal, a despeito de a autora não postular direito próprio.</w:t>
      </w:r>
    </w:p>
    <w:p>
      <w:pPr>
        <w:ind w:left="288"/>
      </w:pPr>
      <w:r>
        <w:rPr>
          <w:b/>
          <w:color w:val="003CA0"/>
          <w:sz w:val="16"/>
        </w:rPr>
        <w:t>[RE 266.689 AgR, rel. min. Ellen Gracie, j. 17-8-2004, 2ª T, DJE 3-9-2004.]</w:t>
      </w:r>
    </w:p>
    <w:p>
      <w:pPr>
        <w:ind w:left="288"/>
      </w:pPr>
      <w:r>
        <w:rPr>
          <w:color w:val="8C8C8C"/>
          <w:sz w:val="12"/>
        </w:rPr>
        <w:t>cf-art-5-inc-L-ali-b</w:t>
      </w:r>
      <w:r>
        <w:rPr>
          <w:color w:val="003CA0"/>
          <w:sz w:val="12"/>
        </w:rPr>
        <w:t xml:space="preserve"> | RCL 1.097</w:t>
      </w:r>
      <w:r>
        <w:rPr>
          <w:color w:val="003CA0"/>
          <w:sz w:val="12"/>
        </w:rPr>
        <w:t xml:space="preserve"> | rel. Moreira Alves</w:t>
      </w:r>
    </w:p>
    <w:p>
      <w:pPr>
        <w:ind w:left="288"/>
      </w:pPr>
      <w:r>
        <w:rPr>
          <w:color w:val="1E1E1E"/>
          <w:sz w:val="18"/>
        </w:rPr>
        <w:t>Em se tratando de mandado de segurança coletivo, esta Corte já firmou o entendimento de que, em tal caso, a entidade de classe ou a associação é parte legítima para impetrá-lo, ocorrendo, nesse caso, substituição processual. Na substituição processual, distingue-se o substituto como parte em sentido formal e os substituídos como partes em sentido material, por serem estes, embora não integrando a relação processual, titulares do direito que, em nome próprio, é defendido pelo substituto.</w:t>
      </w:r>
    </w:p>
    <w:p>
      <w:pPr>
        <w:ind w:left="288"/>
      </w:pPr>
      <w:r>
        <w:rPr>
          <w:b/>
          <w:color w:val="003CA0"/>
          <w:sz w:val="16"/>
        </w:rPr>
        <w:t>[Rcl 1.097 AgR, rel. min. Moreira Alves, j. 2-9-1999, P, DJ de 12-11-1999.]</w:t>
      </w:r>
    </w:p>
    <w:p>
      <w:pPr>
        <w:ind w:left="288"/>
      </w:pPr>
      <w:r>
        <w:rPr>
          <w:color w:val="8C8C8C"/>
          <w:sz w:val="12"/>
        </w:rPr>
        <w:t>cf-art-5-inc-L-ali-b</w:t>
      </w:r>
      <w:r>
        <w:rPr>
          <w:color w:val="003CA0"/>
          <w:sz w:val="12"/>
        </w:rPr>
        <w:t xml:space="preserve"> | RE 198.919</w:t>
      </w:r>
      <w:r>
        <w:rPr>
          <w:color w:val="003CA0"/>
          <w:sz w:val="12"/>
        </w:rPr>
        <w:t xml:space="preserve"> | rel. Ilmar Galvão</w:t>
      </w:r>
    </w:p>
    <w:p>
      <w:pPr>
        <w:ind w:left="288"/>
      </w:pPr>
      <w:r>
        <w:rPr>
          <w:color w:val="1E1E1E"/>
          <w:sz w:val="18"/>
        </w:rPr>
        <w:t>Legitimidade do sindicato para a impetração de mandado de segurança coletivo independentemente da comprovação de um ano de constituição e funcionamento.</w:t>
      </w:r>
    </w:p>
    <w:p>
      <w:pPr>
        <w:ind w:left="288"/>
      </w:pPr>
      <w:r>
        <w:rPr>
          <w:b/>
          <w:color w:val="003CA0"/>
          <w:sz w:val="16"/>
        </w:rPr>
        <w:t>[RE 198.919, rel. min. Ilmar Galvão, j. 15-6-1999, 1ª T, DJ de 24-9-1999.]</w:t>
      </w:r>
    </w:p>
    <w:p>
      <w:pPr>
        <w:ind w:left="288"/>
      </w:pPr>
      <w:r>
        <w:rPr>
          <w:color w:val="8C8C8C"/>
          <w:sz w:val="12"/>
        </w:rPr>
        <w:t>cf-art-5-inc-L-ali-b</w:t>
      </w:r>
      <w:r>
        <w:rPr>
          <w:color w:val="003CA0"/>
          <w:sz w:val="12"/>
        </w:rPr>
        <w:t xml:space="preserve"> | MS 22.451</w:t>
      </w:r>
      <w:r>
        <w:rPr>
          <w:color w:val="003CA0"/>
          <w:sz w:val="12"/>
        </w:rPr>
        <w:t xml:space="preserve"> | rel. Maurício Corrêa</w:t>
      </w:r>
    </w:p>
    <w:p>
      <w:pPr>
        <w:ind w:left="288"/>
      </w:pPr>
      <w:r>
        <w:rPr>
          <w:color w:val="1E1E1E"/>
          <w:sz w:val="18"/>
        </w:rPr>
        <w:t>As entidades de classe representativas da defesa de seus associados credenciam-se para figurarem no polo ativo da relação processual, legitimando-se para a utilização da via mandamental coletiva, se os seus atos constitutivos revestem-se das formalidades legais (...).</w:t>
      </w:r>
    </w:p>
    <w:p>
      <w:pPr>
        <w:ind w:left="288"/>
      </w:pPr>
      <w:r>
        <w:rPr>
          <w:b/>
          <w:color w:val="003CA0"/>
          <w:sz w:val="16"/>
        </w:rPr>
        <w:t>[MS 22.451, rel. min. Maurício Corrêa, j. 5-6-1997, P, DJ de 15-8-1997.]</w:t>
      </w:r>
    </w:p>
    <w:p>
      <w:pPr>
        <w:ind w:left="288"/>
      </w:pPr>
      <w:r>
        <w:rPr>
          <w:color w:val="8C8C8C"/>
          <w:sz w:val="12"/>
        </w:rPr>
        <w:t>cf-art-5-inc-L-ali-b</w:t>
      </w:r>
      <w:r>
        <w:rPr>
          <w:color w:val="003CA0"/>
          <w:sz w:val="12"/>
        </w:rPr>
        <w:t xml:space="preserve"> | MS 22.132</w:t>
      </w:r>
      <w:r>
        <w:rPr>
          <w:color w:val="003CA0"/>
          <w:sz w:val="12"/>
        </w:rPr>
        <w:t xml:space="preserve"> | rel. Carlos Velloso</w:t>
      </w:r>
    </w:p>
    <w:p>
      <w:pPr>
        <w:ind w:left="288"/>
      </w:pPr>
      <w:r>
        <w:rPr>
          <w:color w:val="1E1E1E"/>
          <w:sz w:val="18"/>
        </w:rPr>
        <w:t>O objeto do mandado de segurança coletivo será um direito dos associados, independentemente de guardar vínculo com os fins próprios da entidade impetrante do writ, exigindo-se, entretanto, que o direito esteja compreendido nas atividades exercidas pelos associados, mas não se exigindo que o direito seja peculiar, próprio, da classe.</w:t>
      </w:r>
    </w:p>
    <w:p>
      <w:pPr>
        <w:ind w:left="288"/>
      </w:pPr>
      <w:r>
        <w:rPr>
          <w:b/>
          <w:color w:val="003CA0"/>
          <w:sz w:val="16"/>
        </w:rPr>
        <w:t>[MS 22.132, rel. min. Carlos Velloso, j. 21-8-1996, P, DJ de 18-10-1996.]</w:t>
      </w:r>
    </w:p>
    <w:p>
      <w:pPr>
        <w:ind w:left="288"/>
      </w:pPr>
      <w:r>
        <w:rPr>
          <w:color w:val="8C8C8C"/>
          <w:sz w:val="12"/>
        </w:rPr>
        <w:t>cf-art-5-inc-L-ali-b</w:t>
      </w:r>
      <w:r>
        <w:rPr>
          <w:color w:val="003CA0"/>
          <w:sz w:val="12"/>
        </w:rPr>
        <w:t xml:space="preserve"> | RE 157.234</w:t>
      </w:r>
      <w:r>
        <w:rPr>
          <w:color w:val="003CA0"/>
          <w:sz w:val="12"/>
        </w:rPr>
        <w:t xml:space="preserve"> | rel. Marco Aurélio</w:t>
      </w:r>
    </w:p>
    <w:p>
      <w:pPr>
        <w:ind w:left="288"/>
      </w:pPr>
      <w:r>
        <w:rPr>
          <w:color w:val="1E1E1E"/>
          <w:sz w:val="18"/>
        </w:rPr>
        <w:t>O interesse exigido para a impetração de mandado de segurança coletivo há de ter ligação com o objeto da entidade sindical e, portanto, com o interesse jurídico desta, o que se configura quando em jogo a contribuição social sobre o lucro das pessoas jurídicas prevista na Lei 7.689/1988.</w:t>
      </w:r>
    </w:p>
    <w:p>
      <w:pPr>
        <w:ind w:left="288"/>
      </w:pPr>
      <w:r>
        <w:rPr>
          <w:b/>
          <w:color w:val="003CA0"/>
          <w:sz w:val="16"/>
        </w:rPr>
        <w:t>[RE 157.234, rel. min. Marco Aurélio, j. 12-6-1995, 2ª T, DJ de 22-9-1995.]</w:t>
      </w:r>
    </w:p>
    <w:p>
      <w:pPr>
        <w:ind w:left="288"/>
      </w:pPr>
      <w:r>
        <w:rPr>
          <w:color w:val="8C8C8C"/>
          <w:sz w:val="12"/>
        </w:rPr>
        <w:t>cf-art-5-inc-L-ali-b</w:t>
      </w:r>
      <w:r>
        <w:rPr>
          <w:color w:val="003CA0"/>
          <w:sz w:val="12"/>
        </w:rPr>
        <w:t xml:space="preserve"> | RMS 21.514</w:t>
      </w:r>
      <w:r>
        <w:rPr>
          <w:color w:val="003CA0"/>
          <w:sz w:val="12"/>
        </w:rPr>
        <w:t xml:space="preserve"> | rel. Marco Aurélio</w:t>
      </w:r>
    </w:p>
    <w:p>
      <w:pPr>
        <w:ind w:left="288"/>
      </w:pPr>
      <w:r>
        <w:rPr>
          <w:color w:val="1E1E1E"/>
          <w:sz w:val="18"/>
        </w:rPr>
        <w:t>Na disciplina constitucional do mandado de segurança coletivo, inconfundível com a relativa à ação direta de inconstitucionalidade, não se tem, quanto à legitimação ativa, a exigência de tratar-se de entidade de classe que congregue categoria única. Constatada a abrangência, a ponto de alcançar os titulares do direito substancial em questão, mister é concluir pela configuração de hipótese ensejadora da substituição processual que distingue a espécie de mandado de segurança que é o coletivo.</w:t>
      </w:r>
    </w:p>
    <w:p>
      <w:pPr>
        <w:ind w:left="288"/>
      </w:pPr>
      <w:r>
        <w:rPr>
          <w:b/>
          <w:color w:val="003CA0"/>
          <w:sz w:val="16"/>
        </w:rPr>
        <w:t>[RMS 21.514, rel. min. Marco Aurélio, j. 27-4-1993, 2ª T, DJ de 18-6-1993.]</w:t>
      </w:r>
    </w:p>
    <w:p>
      <w:pPr>
        <w:ind w:left="288"/>
      </w:pPr>
      <w:r>
        <w:rPr>
          <w:color w:val="8C8C8C"/>
          <w:sz w:val="12"/>
        </w:rPr>
        <w:t>cf-art-5-inc-L-ali-b</w:t>
      </w:r>
      <w:r>
        <w:rPr>
          <w:color w:val="003CA0"/>
          <w:sz w:val="12"/>
        </w:rPr>
        <w:t xml:space="preserve"> | MS 21.098</w:t>
      </w:r>
      <w:r>
        <w:rPr>
          <w:color w:val="003CA0"/>
          <w:sz w:val="12"/>
        </w:rPr>
        <w:t xml:space="preserve"> | rel. Sepúlveda Pertence</w:t>
      </w:r>
    </w:p>
    <w:p>
      <w:pPr>
        <w:ind w:left="288"/>
      </w:pPr>
      <w:r>
        <w:rPr>
          <w:color w:val="1E1E1E"/>
          <w:sz w:val="18"/>
        </w:rPr>
        <w:t>A ação de mandado de segurança – ainda que se trate do writ coletivo, que se submete às mesmas exigências e aos mesmos princípios básicos inerentes ao mandamus individual – não admite, em função de sua própria natureza, qualquer dilação probatória. É da essência do processo de mandado de segurança a característica de somente admitir prova literal pré-constituída, ressalvadas as situações excepcionais previstas em lei (...).</w:t>
      </w:r>
    </w:p>
    <w:p>
      <w:pPr>
        <w:ind w:left="288"/>
      </w:pPr>
      <w:r>
        <w:rPr>
          <w:b/>
          <w:color w:val="003CA0"/>
          <w:sz w:val="16"/>
        </w:rPr>
        <w:t>[MS 21.098, rel. min. Sepúlveda Pertence, red. do ac. min. Celso de Mello, j. 20-8-1991, 1ª T, DJ de 27-3-1992.]</w:t>
      </w:r>
    </w:p>
    <w:p>
      <w:pPr>
        <w:ind w:left="288"/>
      </w:pPr>
      <w:r>
        <w:rPr>
          <w:color w:val="8C8C8C"/>
          <w:sz w:val="12"/>
        </w:rPr>
        <w:t>cf-art-5-inc-L-ali-b</w:t>
      </w:r>
      <w:r>
        <w:rPr>
          <w:color w:val="003CA0"/>
          <w:sz w:val="12"/>
        </w:rPr>
        <w:t xml:space="preserve"> | RE 970.823</w:t>
      </w:r>
    </w:p>
    <w:p>
      <w:pPr>
        <w:ind w:left="288"/>
      </w:pPr>
      <w:r>
        <w:rPr>
          <w:color w:val="1E1E1E"/>
          <w:sz w:val="18"/>
        </w:rPr>
        <w:t xml:space="preserve">LXXI - conceder-se-á mandado de injunção sempre que a falta de norma regulamentadora torne inviável o exercício dos direitos e liberdades constitucionais e das prerrogativas inerentes à nacionalidade, à soberania e à cidadania; Nota: As decisões em que o Plenário do STF declarou a mora do Poder Legislativo e que ainda se encontram pendentes de disciplina estão disponíveis para consulta no sítio do Tribunal (https://portal.stf.jus.br/textos/verTexto.asp?servico=jurisprudenciaOmissaoInconstitucional). “I - A Constituição Federal não prevê adicional noturno aos Militares Estaduais ou Distritais. </w:t>
      </w:r>
    </w:p>
    <w:p>
      <w:pPr>
        <w:ind w:left="288"/>
      </w:pPr>
      <w:r>
        <w:rPr>
          <w:b/>
          <w:color w:val="003CA0"/>
          <w:sz w:val="16"/>
        </w:rPr>
        <w:t>[RE 970.823, red. do ac. min.. Alexandre de Moraes, j. 18-8-2020, P, DJE de 4-9-2020, Tema 1.038, com mérito julgado.]</w:t>
      </w:r>
    </w:p>
    <w:p>
      <w:pPr>
        <w:ind w:left="288"/>
      </w:pPr>
      <w:r>
        <w:rPr>
          <w:color w:val="8C8C8C"/>
          <w:sz w:val="12"/>
        </w:rPr>
        <w:t>cf-art-5-inc-L-ali-b</w:t>
      </w:r>
      <w:r>
        <w:rPr>
          <w:color w:val="003CA0"/>
          <w:sz w:val="12"/>
        </w:rPr>
        <w:t xml:space="preserve"> | MI 6.616</w:t>
      </w:r>
      <w:r>
        <w:rPr>
          <w:color w:val="003CA0"/>
          <w:sz w:val="12"/>
        </w:rPr>
        <w:t xml:space="preserve"> | rel. Alexandre de Moraes</w:t>
      </w:r>
    </w:p>
    <w:p>
      <w:pPr>
        <w:ind w:left="288"/>
      </w:pPr>
      <w:r>
        <w:rPr>
          <w:color w:val="1E1E1E"/>
          <w:sz w:val="18"/>
        </w:rPr>
        <w:t>A via injuncional não se presta à repristinação de normas revogadas ou à função de sucedâneo recursal, sendo igualmente pacífico o entendimento desta Corte no sentido de que “a simples insatisfação com o conteúdo da disciplina infraconstitucional editada não autoriza o manuseio do mandado de injunção” (MI 6.616 AgR, Relator: Min. NUNES MARQUES, Tribunal Pleno, DJe de 07/04/2022).</w:t>
      </w:r>
    </w:p>
    <w:p>
      <w:pPr>
        <w:ind w:left="288"/>
      </w:pPr>
      <w:r>
        <w:rPr>
          <w:b/>
          <w:color w:val="003CA0"/>
          <w:sz w:val="16"/>
        </w:rPr>
        <w:t>[MI 7.495 AgR, rel. min. Alexandre de Moraes, j. 01.07.2025, P, DJE de 08.07.2025.]</w:t>
      </w:r>
    </w:p>
    <w:p>
      <w:pPr>
        <w:ind w:left="288"/>
      </w:pPr>
      <w:r>
        <w:rPr>
          <w:color w:val="8C8C8C"/>
          <w:sz w:val="12"/>
        </w:rPr>
        <w:t>cf-art-5-inc-L-ali-b</w:t>
      </w:r>
      <w:r>
        <w:rPr>
          <w:color w:val="003CA0"/>
          <w:sz w:val="12"/>
        </w:rPr>
        <w:t xml:space="preserve"> | MI 6.591</w:t>
      </w:r>
      <w:r>
        <w:rPr>
          <w:color w:val="003CA0"/>
          <w:sz w:val="12"/>
        </w:rPr>
        <w:t xml:space="preserve"> | rel. Luiz Fux</w:t>
      </w:r>
    </w:p>
    <w:p>
      <w:pPr>
        <w:ind w:left="288"/>
      </w:pPr>
      <w:r>
        <w:rPr>
          <w:color w:val="1E1E1E"/>
          <w:sz w:val="18"/>
        </w:rPr>
        <w:t>(...) não há norma constitucional que imponha ao legislador o dever de regulamentar os direitos do nascituro. Como se infere do art. 5º, LXXI, da CRFB/1988, o mandado de injunção tem lugar quando a falta de norma regulamentadora impedir o exercício de direitos e liberdades constitucionais e das prerrogativas inerentes à nacionalidade, à soberania e à cidadania. Nesse passo, inexistente a previsão do direito na Constituição Federal, tampouco do dever de regulamentação, não há que se falar em omissão legislativa que possa ser imputada às autoridades impetradas.</w:t>
      </w:r>
    </w:p>
    <w:p>
      <w:pPr>
        <w:ind w:left="288"/>
      </w:pPr>
      <w:r>
        <w:rPr>
          <w:b/>
          <w:color w:val="003CA0"/>
          <w:sz w:val="16"/>
        </w:rPr>
        <w:t>[MI 6.591 AgR, rel. min. Luiz Fux, j. 16-6-2016, P, DJE de 30-6-2016.]</w:t>
      </w:r>
    </w:p>
    <w:p>
      <w:pPr>
        <w:ind w:left="288"/>
      </w:pPr>
      <w:r>
        <w:rPr>
          <w:color w:val="8C8C8C"/>
          <w:sz w:val="12"/>
        </w:rPr>
        <w:t>cf-art-5-inc-L-ali-b</w:t>
      </w:r>
      <w:r>
        <w:rPr>
          <w:color w:val="003CA0"/>
          <w:sz w:val="12"/>
        </w:rPr>
        <w:t xml:space="preserve"> | MI 5.926</w:t>
      </w:r>
      <w:r>
        <w:rPr>
          <w:color w:val="003CA0"/>
          <w:sz w:val="12"/>
        </w:rPr>
        <w:t xml:space="preserve"> | rel. Celso de Mello</w:t>
      </w:r>
    </w:p>
    <w:p>
      <w:pPr>
        <w:ind w:left="288"/>
      </w:pPr>
      <w:r>
        <w:rPr>
          <w:color w:val="1E1E1E"/>
          <w:sz w:val="18"/>
        </w:rPr>
        <w:t>O direito à legislação só pode ser invocado pelo interessado, quando também existir – simultaneamente imposta pelo próprio texto constitucional – a previsão do dever estatal de emanar normas legais. Isso significa que o direito individual à atividade legislativa do Estado apenas se evidenciará naquelas estritas hipóteses em que o desempenho da função de legislar refletir, por efeito de exclusiva determinação constitucional, uma obrigação jurídica indeclinável imposta ao poder público.</w:t>
      </w:r>
    </w:p>
    <w:p>
      <w:pPr>
        <w:ind w:left="288"/>
      </w:pPr>
      <w:r>
        <w:rPr>
          <w:b/>
          <w:color w:val="003CA0"/>
          <w:sz w:val="16"/>
        </w:rPr>
        <w:t>[MI 5.926 AgR, rel. min. Celso de Mello, j. 10-4-2014, P, DJE de 2-6-2014.]</w:t>
      </w:r>
    </w:p>
    <w:p>
      <w:pPr>
        <w:ind w:left="288"/>
      </w:pPr>
      <w:r>
        <w:rPr>
          <w:color w:val="8C8C8C"/>
          <w:sz w:val="12"/>
        </w:rPr>
        <w:t>cf-art-5-inc-L-ali-b</w:t>
      </w:r>
      <w:r>
        <w:rPr>
          <w:color w:val="003CA0"/>
          <w:sz w:val="12"/>
        </w:rPr>
        <w:t xml:space="preserve"> | MI 1.007</w:t>
      </w:r>
      <w:r>
        <w:rPr>
          <w:color w:val="003CA0"/>
          <w:sz w:val="12"/>
        </w:rPr>
        <w:t xml:space="preserve"> | rel. Dias Toffoli</w:t>
      </w:r>
    </w:p>
    <w:p>
      <w:pPr>
        <w:ind w:left="288"/>
      </w:pPr>
      <w:r>
        <w:rPr>
          <w:color w:val="1E1E1E"/>
          <w:sz w:val="18"/>
        </w:rPr>
        <w:t>Impossibilidade de formação de litisconsórcio passivo, em sede de mandado de injunção, entre a autoridade competente para a elaboração da norma regulamentadora de dispositivo constitucional e particulares.</w:t>
      </w:r>
    </w:p>
    <w:p>
      <w:pPr>
        <w:ind w:left="288"/>
      </w:pPr>
      <w:r>
        <w:rPr>
          <w:b/>
          <w:color w:val="003CA0"/>
          <w:sz w:val="16"/>
        </w:rPr>
        <w:t>[MI 1.007 AgR, rel. min. Dias Toffoli, j. 18-12-2013, P, DJE de 11-3-2014.]</w:t>
      </w:r>
    </w:p>
    <w:p>
      <w:pPr>
        <w:ind w:left="288"/>
      </w:pPr>
      <w:r>
        <w:rPr>
          <w:color w:val="8C8C8C"/>
          <w:sz w:val="12"/>
        </w:rPr>
        <w:t>cf-art-5-inc-L-ali-b</w:t>
      </w:r>
      <w:r>
        <w:rPr>
          <w:color w:val="003CA0"/>
          <w:sz w:val="12"/>
        </w:rPr>
        <w:t xml:space="preserve"> | MI 4.503</w:t>
      </w:r>
      <w:r>
        <w:rPr>
          <w:color w:val="003CA0"/>
          <w:sz w:val="12"/>
        </w:rPr>
        <w:t xml:space="preserve"> | rel. Ricardo Lewandowski</w:t>
      </w:r>
    </w:p>
    <w:p>
      <w:pPr>
        <w:ind w:left="288"/>
      </w:pPr>
      <w:r>
        <w:rPr>
          <w:color w:val="1E1E1E"/>
          <w:sz w:val="18"/>
        </w:rPr>
        <w:t>A jurisprudência desta Corte sedimentou a possibilidade de as entidades de classe, desde que legalmente constituídas e em funcionamento há pelo menos um ano, utilizarem o mandado de injunção coletivo.</w:t>
      </w:r>
    </w:p>
    <w:p>
      <w:pPr>
        <w:ind w:left="288"/>
      </w:pPr>
      <w:r>
        <w:rPr>
          <w:b/>
          <w:color w:val="003CA0"/>
          <w:sz w:val="16"/>
        </w:rPr>
        <w:t>[MI 4.503 AgR, rel. min. Ricardo Lewandowski, j. 7-11-2013, P, DJE de 3-12-2013.]</w:t>
      </w:r>
    </w:p>
    <w:p>
      <w:pPr>
        <w:ind w:left="288"/>
      </w:pPr>
      <w:r>
        <w:rPr>
          <w:color w:val="8C8C8C"/>
          <w:sz w:val="12"/>
        </w:rPr>
        <w:t>cf-art-5-inc-L-ali-b</w:t>
      </w:r>
      <w:r>
        <w:rPr>
          <w:color w:val="003CA0"/>
          <w:sz w:val="12"/>
        </w:rPr>
        <w:t xml:space="preserve"> | MI 472</w:t>
      </w:r>
      <w:r>
        <w:rPr>
          <w:color w:val="003CA0"/>
          <w:sz w:val="12"/>
        </w:rPr>
        <w:t xml:space="preserve"> | rel. Celso de Mello</w:t>
      </w:r>
    </w:p>
    <w:p>
      <w:pPr>
        <w:ind w:left="288"/>
      </w:pPr>
      <w:r>
        <w:rPr>
          <w:color w:val="1E1E1E"/>
          <w:sz w:val="18"/>
        </w:rPr>
        <w:t>Vide MI 472, rel. min. Celso de Mello, j. 6-9-2005, P, DJ de 2-3-2001 Nos mandados de injunção coletivos, a emissão de juízo de mérito pressupõe a especificação dos substituídos e a demonstração de que efetivamente inviabilizado o exercício do direito com base na lacuna normativa apontada.</w:t>
      </w:r>
    </w:p>
    <w:p>
      <w:pPr>
        <w:ind w:left="288"/>
      </w:pPr>
      <w:r>
        <w:rPr>
          <w:b/>
          <w:color w:val="003CA0"/>
          <w:sz w:val="16"/>
        </w:rPr>
        <w:t>[MI 2.859 ED, rel. min. Rosa Weber, j. 19-6-2013, P, DJE de 13-8-2013.]</w:t>
      </w:r>
    </w:p>
    <w:p>
      <w:pPr>
        <w:ind w:left="288"/>
      </w:pPr>
      <w:r>
        <w:rPr>
          <w:color w:val="8C8C8C"/>
          <w:sz w:val="12"/>
        </w:rPr>
        <w:t>cf-art-5-inc-L-ali-b</w:t>
      </w:r>
      <w:r>
        <w:rPr>
          <w:color w:val="003CA0"/>
          <w:sz w:val="12"/>
        </w:rPr>
        <w:t xml:space="preserve"> | MI 4.831</w:t>
      </w:r>
      <w:r>
        <w:rPr>
          <w:color w:val="003CA0"/>
          <w:sz w:val="12"/>
        </w:rPr>
        <w:t xml:space="preserve"> | rel. Teori Zavascki</w:t>
      </w:r>
    </w:p>
    <w:p>
      <w:pPr>
        <w:ind w:left="288"/>
      </w:pPr>
      <w:r>
        <w:rPr>
          <w:color w:val="1E1E1E"/>
          <w:sz w:val="18"/>
        </w:rPr>
        <w:t>(...) o mandado de injunção não é o meio processual adequado para questionar a efetividade da lei regulamentadora.</w:t>
      </w:r>
    </w:p>
    <w:p>
      <w:pPr>
        <w:ind w:left="288"/>
      </w:pPr>
      <w:r>
        <w:rPr>
          <w:b/>
          <w:color w:val="003CA0"/>
          <w:sz w:val="16"/>
        </w:rPr>
        <w:t>[MI 4.831 AgR, rel. min. Teori Zavascki, j. 29-5-2013, P, DJE de 28-8-2013.]</w:t>
      </w:r>
    </w:p>
    <w:p>
      <w:pPr>
        <w:ind w:left="288"/>
      </w:pPr>
      <w:r>
        <w:rPr>
          <w:color w:val="8C8C8C"/>
          <w:sz w:val="12"/>
        </w:rPr>
        <w:t>cf-art-5-inc-L-ali-b</w:t>
      </w:r>
      <w:r>
        <w:rPr>
          <w:color w:val="003CA0"/>
          <w:sz w:val="12"/>
        </w:rPr>
        <w:t xml:space="preserve"> | MI 5.071</w:t>
      </w:r>
      <w:r>
        <w:rPr>
          <w:color w:val="003CA0"/>
          <w:sz w:val="12"/>
        </w:rPr>
        <w:t xml:space="preserve"> | rel. Cármen Lúcia</w:t>
      </w:r>
    </w:p>
    <w:p>
      <w:pPr>
        <w:ind w:left="288"/>
      </w:pPr>
      <w:r>
        <w:rPr>
          <w:color w:val="1E1E1E"/>
          <w:sz w:val="18"/>
        </w:rPr>
        <w:t>Autoridade administrativa não necessita de decisão em mandado de injunção em favor de servidor público para simples verificação se ele preenche, ou não, os requisitos necessários para a aposentadoria especial (art. 57 da Lei 8.213/1991).</w:t>
      </w:r>
    </w:p>
    <w:p>
      <w:pPr>
        <w:ind w:left="288"/>
      </w:pPr>
      <w:r>
        <w:rPr>
          <w:b/>
          <w:color w:val="003CA0"/>
          <w:sz w:val="16"/>
        </w:rPr>
        <w:t>[MI 5.071 AgR, rel. min. Cármen Lúcia, j. 8-5-2013, P, DJE de 28-5-2013.]</w:t>
      </w:r>
    </w:p>
    <w:p>
      <w:pPr>
        <w:ind w:left="288"/>
      </w:pPr>
      <w:r>
        <w:rPr>
          <w:color w:val="8C8C8C"/>
          <w:sz w:val="12"/>
        </w:rPr>
        <w:t>cf-art-5-inc-L-ali-b</w:t>
      </w:r>
      <w:r>
        <w:rPr>
          <w:color w:val="003CA0"/>
          <w:sz w:val="12"/>
        </w:rPr>
        <w:t xml:space="preserve"> | MI 1.565</w:t>
      </w:r>
      <w:r>
        <w:rPr>
          <w:color w:val="003CA0"/>
          <w:sz w:val="12"/>
        </w:rPr>
        <w:t xml:space="preserve"> | rel. Teori Zavascki</w:t>
      </w:r>
    </w:p>
    <w:p>
      <w:pPr>
        <w:ind w:left="288"/>
      </w:pPr>
      <w:r>
        <w:rPr>
          <w:color w:val="1E1E1E"/>
          <w:sz w:val="18"/>
        </w:rPr>
        <w:t>(...) o STF tem competência para apreciar os mandados de injunção impetrados por servidores públicos municipais, estaduais e distritais, e não há litisconsórcio passivo necessário com o Estado ou instituto de previdência.</w:t>
      </w:r>
    </w:p>
    <w:p>
      <w:pPr>
        <w:ind w:left="288"/>
      </w:pPr>
      <w:r>
        <w:rPr>
          <w:b/>
          <w:color w:val="003CA0"/>
          <w:sz w:val="16"/>
        </w:rPr>
        <w:t>[MI 1.565 AgR, rel. min. Teori Zavascki, j. 24-4-2013, P, DJE de 27-5-2013.]</w:t>
      </w:r>
    </w:p>
    <w:p>
      <w:pPr>
        <w:ind w:left="288"/>
      </w:pPr>
      <w:r>
        <w:rPr>
          <w:color w:val="8C8C8C"/>
          <w:sz w:val="12"/>
        </w:rPr>
        <w:t>cf-art-5-inc-L-ali-b</w:t>
      </w:r>
      <w:r>
        <w:rPr>
          <w:color w:val="003CA0"/>
          <w:sz w:val="12"/>
        </w:rPr>
        <w:t xml:space="preserve"> | MI 2.247</w:t>
      </w:r>
      <w:r>
        <w:rPr>
          <w:color w:val="003CA0"/>
          <w:sz w:val="12"/>
        </w:rPr>
        <w:t xml:space="preserve"> | rel. Luiz Fux</w:t>
      </w:r>
    </w:p>
    <w:p>
      <w:pPr>
        <w:ind w:left="288"/>
      </w:pPr>
      <w:r>
        <w:rPr>
          <w:color w:val="1E1E1E"/>
          <w:sz w:val="18"/>
        </w:rPr>
        <w:t>= MI 2.247 AgR, rel. min. Luiz Fux, j. 19-9-2013, P, DJE de 11-10-2013 Aposentadoria especial de servidor público. (...) nos mandados de injunção coletivos, a petição inicial deve ser instruída com a especificação das categorias de servidores beneficiados pelo pedido, bem como de prova do requerimento e o indeferimento administrativo do pedido de aposentadoria especial.</w:t>
      </w:r>
    </w:p>
    <w:p>
      <w:pPr>
        <w:ind w:left="288"/>
      </w:pPr>
      <w:r>
        <w:rPr>
          <w:b/>
          <w:color w:val="003CA0"/>
          <w:sz w:val="16"/>
        </w:rPr>
        <w:t>[MI 1.708 AgR, rel. min. Teori Zavascki, j. 24-4-2013, P, DJE de 27-5-2013.]</w:t>
      </w:r>
    </w:p>
    <w:p>
      <w:pPr>
        <w:ind w:left="288"/>
      </w:pPr>
      <w:r>
        <w:rPr>
          <w:color w:val="8C8C8C"/>
          <w:sz w:val="12"/>
        </w:rPr>
        <w:t>cf-art-5-inc-L-ali-b</w:t>
      </w:r>
      <w:r>
        <w:rPr>
          <w:color w:val="003CA0"/>
          <w:sz w:val="12"/>
        </w:rPr>
        <w:t xml:space="preserve"> | MI 4.842</w:t>
      </w:r>
      <w:r>
        <w:rPr>
          <w:color w:val="003CA0"/>
          <w:sz w:val="12"/>
        </w:rPr>
        <w:t xml:space="preserve"> | rel. Cármen Lúcia</w:t>
      </w:r>
    </w:p>
    <w:p>
      <w:pPr>
        <w:ind w:left="288"/>
      </w:pPr>
      <w:r>
        <w:rPr>
          <w:color w:val="1E1E1E"/>
          <w:sz w:val="18"/>
        </w:rPr>
        <w:t>Cabível é o mandado de injunção quando a autoridade administrativa se recusa a examinar requerimento de aposentadoria especial de servidor público, com fundamento na ausência da norma regulamentadora do art. 40, § 4º, da Constituição da República.</w:t>
      </w:r>
    </w:p>
    <w:p>
      <w:pPr>
        <w:ind w:left="288"/>
      </w:pPr>
      <w:r>
        <w:rPr>
          <w:b/>
          <w:color w:val="003CA0"/>
          <w:sz w:val="16"/>
        </w:rPr>
        <w:t>[MI 4.842 AgR, rel. min. Cármen Lúcia, j. 6-3-2013, P, DJE de 1º-4-2013.]</w:t>
      </w:r>
    </w:p>
    <w:p>
      <w:pPr>
        <w:ind w:left="288"/>
      </w:pPr>
      <w:r>
        <w:rPr>
          <w:color w:val="8C8C8C"/>
          <w:sz w:val="12"/>
        </w:rPr>
        <w:t>cf-art-5-inc-L-ali-b</w:t>
      </w:r>
      <w:r>
        <w:rPr>
          <w:color w:val="003CA0"/>
          <w:sz w:val="12"/>
        </w:rPr>
        <w:t xml:space="preserve"> | MI 1.841</w:t>
      </w:r>
      <w:r>
        <w:rPr>
          <w:color w:val="003CA0"/>
          <w:sz w:val="12"/>
        </w:rPr>
        <w:t xml:space="preserve"> | rel. Celso de Mello</w:t>
      </w:r>
    </w:p>
    <w:p>
      <w:pPr>
        <w:ind w:left="288"/>
      </w:pPr>
      <w:r>
        <w:rPr>
          <w:color w:val="1E1E1E"/>
          <w:sz w:val="18"/>
        </w:rPr>
        <w:t>Servidor público. Direito público subjetivo à aposentadoria especial (CF, art. 40, § 4º). Injusta frustração desse direito em decorrência de inconstitucional, prolongada e lesiva omissão imputável a órgãos estatais da União Federal. Correlação entre a imposição constitucional de legislar e o reconhecimento do direito subjetivo à legislação. Descumprimento de imposição constitucional legiferante e desvalorização funcional da constituição escrita. A inércia do poder público como elemento revelador do desrespeito estatal ao dever de legislar imposto pela Constituição. Omissões normativas inconsti</w:t>
      </w:r>
    </w:p>
    <w:p>
      <w:pPr>
        <w:ind w:left="288"/>
      </w:pPr>
      <w:r>
        <w:rPr>
          <w:b/>
          <w:color w:val="003CA0"/>
          <w:sz w:val="16"/>
        </w:rPr>
        <w:t>[MI 1.841 AgR, rel. min. Celso de Mello, j. 6-2-2013, P, DJE de 14-3-2013.]</w:t>
      </w:r>
    </w:p>
    <w:p>
      <w:pPr>
        <w:ind w:left="288"/>
      </w:pPr>
      <w:r>
        <w:rPr>
          <w:color w:val="8C8C8C"/>
          <w:sz w:val="12"/>
        </w:rPr>
        <w:t>cf-art-5-inc-L-ali-b</w:t>
      </w:r>
      <w:r>
        <w:rPr>
          <w:color w:val="003CA0"/>
          <w:sz w:val="12"/>
        </w:rPr>
        <w:t xml:space="preserve"> | MI 1.011</w:t>
      </w:r>
      <w:r>
        <w:rPr>
          <w:color w:val="003CA0"/>
          <w:sz w:val="12"/>
        </w:rPr>
        <w:t xml:space="preserve"> | rel. Ricardo Lewandowski</w:t>
      </w:r>
    </w:p>
    <w:p>
      <w:pPr>
        <w:ind w:left="288"/>
      </w:pPr>
      <w:r>
        <w:rPr>
          <w:color w:val="1E1E1E"/>
          <w:sz w:val="18"/>
        </w:rPr>
        <w:t>A orientação do STF é pela prejudicialidade do mandado de injunção com a edição da norma regulamentadora então ausente. Excede os limites da via eleita a pretensão de sanar a alegada lacuna normativa do período pretérito à edição da lei regulamentadora.</w:t>
      </w:r>
    </w:p>
    <w:p>
      <w:pPr>
        <w:ind w:left="288"/>
      </w:pPr>
      <w:r>
        <w:rPr>
          <w:b/>
          <w:color w:val="003CA0"/>
          <w:sz w:val="16"/>
        </w:rPr>
        <w:t>[MI 1.011 AgR e MI 1.022 AgR, rel. min. Ricardo Lewandowski, j. 10-5-2012, P, DJE de 30-5-2012.]</w:t>
      </w:r>
    </w:p>
    <w:p>
      <w:pPr>
        <w:ind w:left="288"/>
      </w:pPr>
      <w:r>
        <w:rPr>
          <w:color w:val="8C8C8C"/>
          <w:sz w:val="12"/>
        </w:rPr>
        <w:t>cf-art-5-inc-L-ali-b</w:t>
      </w:r>
      <w:r>
        <w:rPr>
          <w:color w:val="003CA0"/>
          <w:sz w:val="12"/>
        </w:rPr>
        <w:t xml:space="preserve"> | MI 2.195</w:t>
      </w:r>
    </w:p>
    <w:p>
      <w:pPr>
        <w:ind w:left="288"/>
      </w:pPr>
      <w:r>
        <w:rPr>
          <w:color w:val="1E1E1E"/>
          <w:sz w:val="18"/>
        </w:rPr>
        <w:t>Para ser cabível o mandado de injunção, não basta que haja eventual obstáculo ao exercício de direito ou liberdade constitucional em razão de omissão legislativa, mas concreta inviabilidade de sua plena fruição pelo seu titular. Daí por que há de ser comprovada, de plano, a titularidade do direito (...) e a sua inviabilidade decorrente da ausência de norma regulamentadora do direito constitucional.</w:t>
      </w:r>
    </w:p>
    <w:p>
      <w:pPr>
        <w:ind w:left="288"/>
      </w:pPr>
      <w:r>
        <w:rPr>
          <w:b/>
          <w:color w:val="003CA0"/>
          <w:sz w:val="16"/>
        </w:rPr>
        <w:t>[MI 2.195 AgR, voto da min. Cármen Lúcia, j. 23-2-2011, P, DJE de 18-3-2011.]</w:t>
      </w:r>
    </w:p>
    <w:p>
      <w:pPr>
        <w:ind w:left="288"/>
      </w:pPr>
      <w:r>
        <w:rPr>
          <w:color w:val="8C8C8C"/>
          <w:sz w:val="12"/>
        </w:rPr>
        <w:t>cf-art-5-inc-L-ali-b</w:t>
      </w:r>
      <w:r>
        <w:rPr>
          <w:color w:val="003CA0"/>
          <w:sz w:val="12"/>
        </w:rPr>
        <w:t xml:space="preserve"> | MI 2.757</w:t>
      </w:r>
      <w:r>
        <w:rPr>
          <w:color w:val="003CA0"/>
          <w:sz w:val="12"/>
        </w:rPr>
        <w:t xml:space="preserve"> | rel. Gilmar Mendes</w:t>
      </w:r>
    </w:p>
    <w:p>
      <w:pPr>
        <w:ind w:left="288"/>
      </w:pPr>
      <w:r>
        <w:rPr>
          <w:color w:val="1E1E1E"/>
          <w:sz w:val="18"/>
        </w:rPr>
        <w:t>= MI 2.757, rel. min. Gilmar Mendes, j. 5-3-2012, dec. monocrática, DJE de 9-3-2012 = MI 624, rel. min. Menezes Direito, j. 21-11-2007, P, DJE de 28-3-2008 Os agravantes objetivam a regulamentação da atividade de jogos de bingo, mas não indicam o dispositivo constitucional que expressamente enuncie esse suposto direito. Para o cabimento do mandado de injunção, é imprescindível a existência de um direito previsto na Constituição que não esteja sendo exercido por ausência de norma regulamentadora. O mandado de injunção não é remédio destinado a fazer suprir lacuna ou ausência de regulamentação d</w:t>
      </w:r>
    </w:p>
    <w:p>
      <w:pPr>
        <w:ind w:left="288"/>
      </w:pPr>
      <w:r>
        <w:rPr>
          <w:b/>
          <w:color w:val="003CA0"/>
          <w:sz w:val="16"/>
        </w:rPr>
        <w:t>[MI 766 AgR, rel. min. Joaquim Barbosa, j. 21-10-2009, P, DJE de 13-11-2009.]</w:t>
      </w:r>
    </w:p>
    <w:p>
      <w:pPr>
        <w:ind w:left="288"/>
      </w:pPr>
      <w:r>
        <w:rPr>
          <w:color w:val="8C8C8C"/>
          <w:sz w:val="12"/>
        </w:rPr>
        <w:t>cf-art-5-inc-L-ali-b</w:t>
      </w:r>
      <w:r>
        <w:rPr>
          <w:color w:val="003CA0"/>
          <w:sz w:val="12"/>
        </w:rPr>
        <w:t xml:space="preserve"> | MI 4.345</w:t>
      </w:r>
      <w:r>
        <w:rPr>
          <w:color w:val="003CA0"/>
          <w:sz w:val="12"/>
        </w:rPr>
        <w:t xml:space="preserve"> | rel. Dias Toffoli</w:t>
      </w:r>
    </w:p>
    <w:p>
      <w:pPr>
        <w:ind w:left="288"/>
      </w:pPr>
      <w:r>
        <w:rPr>
          <w:color w:val="1E1E1E"/>
          <w:sz w:val="18"/>
        </w:rPr>
        <w:t>= MI 4.345 AgR, rel. min. Dias Toffoli, j. 23-5-2013, P, DJE de 1º-8-2013 Em observância aos ditames da segurança jurídica e à evolução jurisprudencial na interpretação da omissão legislativa sobre o direito de greve dos servidores públicos civis, fixação do prazo de sessenta dias para que o Congresso Nacional legisle sobre a matéria. Mandado de injunção deferido para determinar a aplicação das Leis 7.701/1988 e 7.783/1989. Sinais de evolução da garantia fundamental do mandado de injunção na jurisprudência do STF. No julgamento do MI 107/DF, rel. min. Moreira Alves, DJ de  21-9-1990, o Plenári</w:t>
      </w:r>
    </w:p>
    <w:p>
      <w:pPr>
        <w:ind w:left="288"/>
      </w:pPr>
      <w:r>
        <w:rPr>
          <w:b/>
          <w:color w:val="003CA0"/>
          <w:sz w:val="16"/>
        </w:rPr>
        <w:t>[MI 708, rel. min. Gilmar Mendes, j. 25-10-2007, P, DJE de 31-10-2008.]</w:t>
      </w:r>
    </w:p>
    <w:p>
      <w:pPr>
        <w:ind w:left="288"/>
      </w:pPr>
      <w:r>
        <w:rPr>
          <w:color w:val="8C8C8C"/>
          <w:sz w:val="12"/>
        </w:rPr>
        <w:t>cf-art-5-inc-L-ali-b</w:t>
      </w:r>
      <w:r>
        <w:rPr>
          <w:color w:val="003CA0"/>
          <w:sz w:val="12"/>
        </w:rPr>
        <w:t xml:space="preserve"> | MI 670</w:t>
      </w:r>
      <w:r>
        <w:rPr>
          <w:color w:val="003CA0"/>
          <w:sz w:val="12"/>
        </w:rPr>
        <w:t xml:space="preserve"> | rel. Maurício Corrêa</w:t>
      </w:r>
    </w:p>
    <w:p>
      <w:pPr>
        <w:ind w:left="288"/>
      </w:pPr>
      <w:r>
        <w:rPr>
          <w:color w:val="1E1E1E"/>
          <w:sz w:val="18"/>
        </w:rPr>
        <w:t>= MI 670, rel. min. Maurício Corrêa, red. do ac. min. Gilmar Mendes, e MI 712, rel. min. Eros Grau, j. 25-10-2007, P, DJE de 31-10-2008 A posse da capacidade postulatória constitui pressuposto processual subjetivo referente à parte. Sem que esta titularize o jus postulandi, torna-se inviável a válida constituição da própria relação processual, o que faz incidir a norma inscrita no art. 267, IV, do CPC, gerando, em consequência, como necessário efeito de ordem jurídica, a extinção do processo, sem resolução de mérito. Ninguém, ordinariamente, pode postular em juízo sem a assistência de advogado</w:t>
      </w:r>
    </w:p>
    <w:p>
      <w:pPr>
        <w:ind w:left="288"/>
      </w:pPr>
      <w:r>
        <w:rPr>
          <w:b/>
          <w:color w:val="003CA0"/>
          <w:sz w:val="16"/>
        </w:rPr>
        <w:t>[MI 772 AgR, rel. min. Celso de Mello, j. 24-10-2007, P, DJE de 20-3-2009.]</w:t>
      </w:r>
    </w:p>
    <w:p>
      <w:pPr>
        <w:ind w:left="288"/>
      </w:pPr>
      <w:r>
        <w:rPr>
          <w:color w:val="8C8C8C"/>
          <w:sz w:val="12"/>
        </w:rPr>
        <w:t>cf-art-5-inc-L-ali-b</w:t>
      </w:r>
      <w:r>
        <w:rPr>
          <w:color w:val="003CA0"/>
          <w:sz w:val="12"/>
        </w:rPr>
        <w:t xml:space="preserve"> | MI 712</w:t>
      </w:r>
      <w:r>
        <w:rPr>
          <w:color w:val="003CA0"/>
          <w:sz w:val="12"/>
        </w:rPr>
        <w:t xml:space="preserve"> | rel. Eros Grau</w:t>
      </w:r>
    </w:p>
    <w:p>
      <w:pPr>
        <w:ind w:left="288"/>
      </w:pPr>
      <w:r>
        <w:rPr>
          <w:color w:val="1E1E1E"/>
          <w:sz w:val="18"/>
        </w:rPr>
        <w:t>É incabível o pedido de desistência formulado após o início do julgamento por esta Corte, quando a maioria dos ministros já havia se manifestado favoravelmente à concessão da medida. O mandado de injunção coletivo, bem como a ação direta de inconstitucionalidade, não pode ser utilizado como meio de pressão sobre o Poder Judiciário ou qualquer entidade. Sindicato que, na relação processual, é legitimado extraordinário para figurar na causa; sindicato que postula em nome próprio, na defesa de direito alheio. Os substitutos processuais não detêm a titularidade dessas ações. O princípio da indispo</w:t>
      </w:r>
    </w:p>
    <w:p>
      <w:pPr>
        <w:ind w:left="288"/>
      </w:pPr>
      <w:r>
        <w:rPr>
          <w:b/>
          <w:color w:val="003CA0"/>
          <w:sz w:val="16"/>
        </w:rPr>
        <w:t>[MI 712 QO, rel. min. Eros Grau, j. 15-10-2007, P, DJ de 23-11-2007.]</w:t>
      </w:r>
    </w:p>
    <w:p>
      <w:pPr>
        <w:ind w:left="288"/>
      </w:pPr>
      <w:r>
        <w:rPr>
          <w:color w:val="8C8C8C"/>
          <w:sz w:val="12"/>
        </w:rPr>
        <w:t>cf-art-5-inc-L-ali-b</w:t>
      </w:r>
      <w:r>
        <w:rPr>
          <w:color w:val="003CA0"/>
          <w:sz w:val="12"/>
        </w:rPr>
        <w:t xml:space="preserve"> | MI 751</w:t>
      </w:r>
      <w:r>
        <w:rPr>
          <w:color w:val="003CA0"/>
          <w:sz w:val="12"/>
        </w:rPr>
        <w:t xml:space="preserve"> | rel. Ricardo Lewandowski</w:t>
      </w:r>
    </w:p>
    <w:p>
      <w:pPr>
        <w:ind w:left="288"/>
      </w:pPr>
      <w:r>
        <w:rPr>
          <w:color w:val="1E1E1E"/>
          <w:sz w:val="18"/>
        </w:rPr>
        <w:t>Acesso às notas taquigráficas dos julgamentos desta Corte. Inexistência de lacuna normativa. (...) Somente é cabível mandado de injunção quando existente lacuna normativa que impossibilite o exercício dos direitos e garantias constitucionais e das prerrogativas inerentes à nacionalidade, à soberania e à cidadania. O RISTF regulamenta o acesso às notas taquigráficas. Inexiste, portanto, lacuna normativa.</w:t>
      </w:r>
    </w:p>
    <w:p>
      <w:pPr>
        <w:ind w:left="288"/>
      </w:pPr>
      <w:r>
        <w:rPr>
          <w:b/>
          <w:color w:val="003CA0"/>
          <w:sz w:val="16"/>
        </w:rPr>
        <w:t>[MI 751 AgR, rel. min. Ricardo Lewandowski, j. 11-10-2007, P, DJ de 9-11-2007.]</w:t>
      </w:r>
    </w:p>
    <w:p>
      <w:pPr>
        <w:ind w:left="288"/>
      </w:pPr>
      <w:r>
        <w:rPr>
          <w:color w:val="8C8C8C"/>
          <w:sz w:val="12"/>
        </w:rPr>
        <w:t>cf-art-5-inc-L-ali-b</w:t>
      </w:r>
      <w:r>
        <w:rPr>
          <w:color w:val="003CA0"/>
          <w:sz w:val="12"/>
        </w:rPr>
        <w:t xml:space="preserve"> | MI 721</w:t>
      </w:r>
      <w:r>
        <w:rPr>
          <w:color w:val="003CA0"/>
          <w:sz w:val="12"/>
        </w:rPr>
        <w:t xml:space="preserve"> | rel. Marco Aurélio</w:t>
      </w:r>
    </w:p>
    <w:p>
      <w:pPr>
        <w:ind w:left="288"/>
      </w:pPr>
      <w:r>
        <w:rPr>
          <w:color w:val="1E1E1E"/>
          <w:sz w:val="18"/>
        </w:rPr>
        <w:t>Mandado de injunção. Natureza. Conforme disposto no inciso LXXI do art. 5º da CF, conceder-se-á mandado de injunção quando necessário ao exercício dos direitos e liberdades constitucionais e das prerrogativas inerentes à nacionalidade, à soberania e à cidadania. Há ação mandamental e não simplesmente declaratória de omissão. A carga de declaração não é objeto da impetração, mas premissa da ordem a ser formalizada. Mandado de injunção. Decisão. Balizas. Tratando-se de processo subjetivo, a decisão possui eficácia considerada a relação jurídica nele revelada. Aposentadoria. Trabalho em condições</w:t>
      </w:r>
    </w:p>
    <w:p>
      <w:pPr>
        <w:ind w:left="288"/>
      </w:pPr>
      <w:r>
        <w:rPr>
          <w:b/>
          <w:color w:val="003CA0"/>
          <w:sz w:val="16"/>
        </w:rPr>
        <w:t>[MI 721, rel. min. Marco Aurélio, j. 30-8-2007, P, DJ de 30-11-2007.]</w:t>
      </w:r>
    </w:p>
    <w:p>
      <w:pPr>
        <w:ind w:left="288"/>
      </w:pPr>
      <w:r>
        <w:rPr>
          <w:color w:val="8C8C8C"/>
          <w:sz w:val="12"/>
        </w:rPr>
        <w:t>cf-art-5-inc-L-ali-b</w:t>
      </w:r>
      <w:r>
        <w:rPr>
          <w:color w:val="003CA0"/>
          <w:sz w:val="12"/>
        </w:rPr>
        <w:t xml:space="preserve"> | MI 1.231</w:t>
      </w:r>
      <w:r>
        <w:rPr>
          <w:color w:val="003CA0"/>
          <w:sz w:val="12"/>
        </w:rPr>
        <w:t xml:space="preserve"> | rel. Ricardo Lewandowski</w:t>
      </w:r>
    </w:p>
    <w:p>
      <w:pPr>
        <w:ind w:left="288"/>
      </w:pPr>
      <w:r>
        <w:rPr>
          <w:color w:val="1E1E1E"/>
          <w:sz w:val="18"/>
        </w:rPr>
        <w:t>= MI 1.231 AgR, rel. min. Ricardo Lewandowski, j. 16-11-2011, P, DJE de 1º-12-2011 O mandado de injunção é ação constitutiva; não é ação condenatória, não se presta a condenar o Congresso ao cumprimento de obrigação de fazer. Não cabe a cominação de pena pecuniária pela continuidade da omissão legislativa.</w:t>
      </w:r>
    </w:p>
    <w:p>
      <w:pPr>
        <w:ind w:left="288"/>
      </w:pPr>
      <w:r>
        <w:rPr>
          <w:b/>
          <w:color w:val="003CA0"/>
          <w:sz w:val="16"/>
        </w:rPr>
        <w:t>[MI 689, rel. min. Eros Grau, j. 7-6-2006, P, DJ de 18-8-2006.]</w:t>
      </w:r>
    </w:p>
    <w:p>
      <w:pPr>
        <w:ind w:left="288"/>
      </w:pPr>
      <w:r>
        <w:rPr>
          <w:color w:val="8C8C8C"/>
          <w:sz w:val="12"/>
        </w:rPr>
        <w:t>cf-art-5-inc-L-ali-b</w:t>
      </w:r>
      <w:r>
        <w:rPr>
          <w:color w:val="003CA0"/>
          <w:sz w:val="12"/>
        </w:rPr>
        <w:t xml:space="preserve"> | MI 472</w:t>
      </w:r>
      <w:r>
        <w:rPr>
          <w:color w:val="003CA0"/>
          <w:sz w:val="12"/>
        </w:rPr>
        <w:t xml:space="preserve"> | rel. Celso de Mello</w:t>
      </w:r>
    </w:p>
    <w:p>
      <w:pPr>
        <w:ind w:left="288"/>
      </w:pPr>
      <w:r>
        <w:rPr>
          <w:color w:val="1E1E1E"/>
          <w:sz w:val="18"/>
        </w:rPr>
        <w:t>Entidades sindicais dispõem de legitimidade ativa para a impetração do mandado de injunção coletivo, que constitui instrumento de atuação processual destinado a viabilizar, em favor dos integrantes das categorias que essas instituições representam, o exercício de liberdades, prerrogativas e direitos assegurados pelo ordenamento constitucional.</w:t>
      </w:r>
    </w:p>
    <w:p>
      <w:pPr>
        <w:ind w:left="288"/>
      </w:pPr>
      <w:r>
        <w:rPr>
          <w:b/>
          <w:color w:val="003CA0"/>
          <w:sz w:val="16"/>
        </w:rPr>
        <w:t>[MI 472, rel. min. Celso de Mello, j. 6-9-2005, P, DJ de 2-3-2001.]</w:t>
      </w:r>
    </w:p>
    <w:p>
      <w:pPr>
        <w:ind w:left="288"/>
      </w:pPr>
      <w:r>
        <w:rPr>
          <w:color w:val="8C8C8C"/>
          <w:sz w:val="12"/>
        </w:rPr>
        <w:t>cf-art-5-inc-L-ali-b</w:t>
      </w:r>
      <w:r>
        <w:rPr>
          <w:color w:val="003CA0"/>
          <w:sz w:val="12"/>
        </w:rPr>
        <w:t xml:space="preserve"> | MI 3.322</w:t>
      </w:r>
      <w:r>
        <w:rPr>
          <w:color w:val="003CA0"/>
          <w:sz w:val="12"/>
        </w:rPr>
        <w:t xml:space="preserve"> | rel. Celso de Mello</w:t>
      </w:r>
    </w:p>
    <w:p>
      <w:pPr>
        <w:ind w:left="288"/>
      </w:pPr>
      <w:r>
        <w:rPr>
          <w:color w:val="1E1E1E"/>
          <w:sz w:val="18"/>
        </w:rPr>
        <w:t xml:space="preserve">= MI 3.322, rel. min. Celso de Mello, j. 1º-6-2011, dec. monocrática, DJE de 6-6-2011 Vide MI 4.503 AgR, rel. min. Ricardo Lewandowski, j. 7-11-2013, P, DJE de 3-12-2013 Na marcha do delineamento pretoriano do instituto do mandado de injunção, assentou este Supremo Tribunal que "a mera superação dos prazos constitucionalmente assinalados é bastante para qualificar, como omissão juridicamente relevante, a inércia estatal, apta a ensejar, como ordinário efeito consequencial, o reconhecimento, hic et nunc, de uma situação de inatividade inconstitucional". (MI 543, voto do min. Celso de Mello, DJ </w:t>
      </w:r>
    </w:p>
    <w:p>
      <w:pPr>
        <w:ind w:left="288"/>
      </w:pPr>
      <w:r>
        <w:rPr>
          <w:b/>
          <w:color w:val="003CA0"/>
          <w:sz w:val="16"/>
        </w:rPr>
        <w:t>[MI 562, rel. min. Carlos Velloso, red. do ac. min. Ellen Gracie, j. 20-2-2003, P, DJ de 20-6-2003.]</w:t>
      </w:r>
    </w:p>
    <w:p>
      <w:pPr>
        <w:ind w:left="288"/>
      </w:pPr>
      <w:r>
        <w:rPr>
          <w:color w:val="8C8C8C"/>
          <w:sz w:val="12"/>
        </w:rPr>
        <w:t>cf-art-5-inc-L-ali-b</w:t>
      </w:r>
      <w:r>
        <w:rPr>
          <w:color w:val="003CA0"/>
          <w:sz w:val="12"/>
        </w:rPr>
        <w:t xml:space="preserve"> | MI 498</w:t>
      </w:r>
      <w:r>
        <w:rPr>
          <w:color w:val="003CA0"/>
          <w:sz w:val="12"/>
        </w:rPr>
        <w:t xml:space="preserve"> | rel. Marco Aurélio</w:t>
      </w:r>
    </w:p>
    <w:p>
      <w:pPr>
        <w:ind w:left="288"/>
      </w:pPr>
      <w:r>
        <w:rPr>
          <w:color w:val="1E1E1E"/>
          <w:sz w:val="18"/>
        </w:rPr>
        <w:t>O mandado de injunção não é o meio próprio a ver-se declarada inconstitucionalidade por omissão, considerado ato administrativo do presidente da República criando determinado conselho e deixando de contemplar participação possivelmente assegurada, a entidade sindical, pelo texto constitucional.</w:t>
      </w:r>
    </w:p>
    <w:p>
      <w:pPr>
        <w:ind w:left="288"/>
      </w:pPr>
      <w:r>
        <w:rPr>
          <w:b/>
          <w:color w:val="003CA0"/>
          <w:sz w:val="16"/>
        </w:rPr>
        <w:t>[MI 498, rel. min. Marco Aurélio, j. 6-2-1997, P, DJ de 4-4-1997.]</w:t>
      </w:r>
    </w:p>
    <w:p>
      <w:pPr>
        <w:ind w:left="288"/>
      </w:pPr>
      <w:r>
        <w:rPr>
          <w:color w:val="8C8C8C"/>
          <w:sz w:val="12"/>
        </w:rPr>
        <w:t>cf-art-5-inc-L-ali-b</w:t>
      </w:r>
      <w:r>
        <w:rPr>
          <w:color w:val="003CA0"/>
          <w:sz w:val="12"/>
        </w:rPr>
        <w:t xml:space="preserve"> | MI 444</w:t>
      </w:r>
      <w:r>
        <w:rPr>
          <w:color w:val="003CA0"/>
          <w:sz w:val="12"/>
        </w:rPr>
        <w:t xml:space="preserve"> | rel. Sydney Sanches</w:t>
      </w:r>
    </w:p>
    <w:p>
      <w:pPr>
        <w:ind w:left="288"/>
      </w:pPr>
      <w:r>
        <w:rPr>
          <w:color w:val="1E1E1E"/>
          <w:sz w:val="18"/>
        </w:rPr>
        <w:t>Tratando-se de mera faculdade conferida ao legislador, que ainda não a exercitou, não há direito constitucional já criado, e cujo exercício esteja dependendo de norma regulamentadora.</w:t>
      </w:r>
    </w:p>
    <w:p>
      <w:pPr>
        <w:ind w:left="288"/>
      </w:pPr>
      <w:r>
        <w:rPr>
          <w:b/>
          <w:color w:val="003CA0"/>
          <w:sz w:val="16"/>
        </w:rPr>
        <w:t>[MI 444 QO, rel. min. Sydney Sanches, j. 29-9-1994, P, DJ de 4-11-1994.]</w:t>
      </w:r>
    </w:p>
    <w:p>
      <w:pPr>
        <w:ind w:left="288"/>
      </w:pPr>
      <w:r>
        <w:rPr>
          <w:color w:val="8C8C8C"/>
          <w:sz w:val="12"/>
        </w:rPr>
        <w:t>cf-art-5-inc-L-ali-b</w:t>
      </w:r>
      <w:r>
        <w:rPr>
          <w:color w:val="003CA0"/>
          <w:sz w:val="12"/>
        </w:rPr>
        <w:t xml:space="preserve"> | MI 352</w:t>
      </w:r>
      <w:r>
        <w:rPr>
          <w:color w:val="003CA0"/>
          <w:sz w:val="12"/>
        </w:rPr>
        <w:t xml:space="preserve"> | rel. Néri da Silveira</w:t>
      </w:r>
    </w:p>
    <w:p>
      <w:pPr>
        <w:ind w:left="288"/>
      </w:pPr>
      <w:r>
        <w:rPr>
          <w:color w:val="1E1E1E"/>
          <w:sz w:val="18"/>
        </w:rPr>
        <w:t>(...) o mandado de injunção há de dirigir-se contra o poder, o órgão, a entidade ou a autoridade que tem o dever de regulamentar a norma constitucional, não se legitimando ad causam, passivamente, em princípio, quem não estiver obrigado a editar a regulamentação respectiva.</w:t>
      </w:r>
    </w:p>
    <w:p>
      <w:pPr>
        <w:ind w:left="288"/>
      </w:pPr>
      <w:r>
        <w:rPr>
          <w:b/>
          <w:color w:val="003CA0"/>
          <w:sz w:val="16"/>
        </w:rPr>
        <w:t>[MI 352 QO, rel. min. Néri da Silveira, j. 4-9-1991, P, DJ de 12-12-1997.]</w:t>
      </w:r>
    </w:p>
    <w:p>
      <w:pPr>
        <w:ind w:left="288"/>
      </w:pPr>
      <w:r>
        <w:rPr>
          <w:color w:val="8C8C8C"/>
          <w:sz w:val="12"/>
        </w:rPr>
        <w:t>cf-art-5-inc-L-ali-b</w:t>
      </w:r>
      <w:r>
        <w:rPr>
          <w:color w:val="003CA0"/>
          <w:sz w:val="12"/>
        </w:rPr>
        <w:t xml:space="preserve"> | MI 1.231</w:t>
      </w:r>
      <w:r>
        <w:rPr>
          <w:color w:val="003CA0"/>
          <w:sz w:val="12"/>
        </w:rPr>
        <w:t xml:space="preserve"> | rel. Ricardo Lewandowski</w:t>
      </w:r>
    </w:p>
    <w:p>
      <w:pPr>
        <w:ind w:left="288"/>
      </w:pPr>
      <w:r>
        <w:rPr>
          <w:color w:val="1E1E1E"/>
          <w:sz w:val="18"/>
        </w:rPr>
        <w:t>= MI 1.231 AgR, rel. min. Ricardo Lewandowski, j. 16-11-2011, P, DJE de 1º-12-2011 É impróprio o uso do mandado de injunção para o exercício de direito decorrente de norma constitucional autoaplicável.</w:t>
      </w:r>
    </w:p>
    <w:p>
      <w:pPr>
        <w:ind w:left="288"/>
      </w:pPr>
      <w:r>
        <w:rPr>
          <w:b/>
          <w:color w:val="003CA0"/>
          <w:sz w:val="16"/>
        </w:rPr>
        <w:t>[MI 97 QO, rel. min. Sydney Sanches, j. 1º-2-1990, P, DJ de 23-3-1990.]</w:t>
      </w:r>
    </w:p>
    <w:p>
      <w:pPr>
        <w:ind w:left="288"/>
      </w:pPr>
      <w:r>
        <w:rPr>
          <w:color w:val="8C8C8C"/>
          <w:sz w:val="12"/>
        </w:rPr>
        <w:t>cf-art-5-inc-L-ali-b</w:t>
      </w:r>
      <w:r>
        <w:rPr>
          <w:color w:val="003CA0"/>
          <w:sz w:val="12"/>
        </w:rPr>
        <w:t xml:space="preserve"> | MI 14</w:t>
      </w:r>
      <w:r>
        <w:rPr>
          <w:color w:val="003CA0"/>
          <w:sz w:val="12"/>
        </w:rPr>
        <w:t xml:space="preserve"> | rel. Sydney Sanches</w:t>
      </w:r>
    </w:p>
    <w:p>
      <w:pPr>
        <w:ind w:left="288"/>
      </w:pPr>
      <w:r>
        <w:rPr>
          <w:color w:val="1E1E1E"/>
          <w:sz w:val="18"/>
        </w:rPr>
        <w:t>Não se presta o mandado de injunção à declaração judicial de vacância de cargo, nem a compelir o presidente da República a praticar ato administrativo, concreto e determinado, consistente na indicação, ao Senado Federal, de nome de membro do MPF, para ser investido no cargo de PGR.</w:t>
      </w:r>
    </w:p>
    <w:p>
      <w:pPr>
        <w:ind w:left="288"/>
      </w:pPr>
      <w:r>
        <w:rPr>
          <w:b/>
          <w:color w:val="003CA0"/>
          <w:sz w:val="16"/>
        </w:rPr>
        <w:t>[MI 14 QO, rel. min. Sydney Sanches, j. 26-10-1988, P, DJ de 18-11-1988.]</w:t>
      </w:r>
    </w:p>
    <w:p>
      <w:pPr>
        <w:ind w:left="288"/>
      </w:pPr>
      <w:r>
        <w:rPr>
          <w:color w:val="8C8C8C"/>
          <w:sz w:val="12"/>
        </w:rPr>
        <w:t>cf-art-5-inc-L-ali-b</w:t>
      </w:r>
      <w:r>
        <w:rPr>
          <w:color w:val="003CA0"/>
          <w:sz w:val="12"/>
        </w:rPr>
        <w:t xml:space="preserve"> | rel. Luiz Fux</w:t>
      </w:r>
    </w:p>
    <w:p>
      <w:pPr>
        <w:ind w:left="288"/>
      </w:pPr>
      <w:r>
        <w:rPr>
          <w:color w:val="1E1E1E"/>
          <w:sz w:val="18"/>
        </w:rPr>
        <w:t>LXXII - conceder-se-á habeas data: O habeas data é via processual inadequada ao atendimento de pretensão do autor de sustar a publicação de matéria em sítio eletrônico.</w:t>
      </w:r>
    </w:p>
    <w:p>
      <w:pPr>
        <w:ind w:left="288"/>
      </w:pPr>
      <w:r>
        <w:rPr>
          <w:b/>
          <w:color w:val="003CA0"/>
          <w:sz w:val="16"/>
        </w:rPr>
        <w:t>[HD 100 AgR, rel. min. Luiz Fux, j. 25-11-2014, 1ª T, DJE de 16-12-2014.]</w:t>
      </w:r>
    </w:p>
    <w:p>
      <w:pPr>
        <w:ind w:left="288"/>
      </w:pPr>
      <w:r>
        <w:rPr>
          <w:color w:val="8C8C8C"/>
          <w:sz w:val="12"/>
        </w:rPr>
        <w:t>cf-art-5-inc-L-ali-b</w:t>
      </w:r>
      <w:r>
        <w:rPr>
          <w:color w:val="003CA0"/>
          <w:sz w:val="12"/>
        </w:rPr>
        <w:t xml:space="preserve"> | rel. Ellen Gracie</w:t>
      </w:r>
    </w:p>
    <w:p>
      <w:pPr>
        <w:ind w:left="288"/>
      </w:pPr>
      <w:r>
        <w:rPr>
          <w:color w:val="1E1E1E"/>
          <w:sz w:val="18"/>
        </w:rPr>
        <w:t>A ação de habeas data visa à proteção da privacidade do indivíduo contra abuso no registro e/ou revelação de dados pessoais falsos ou equivocados. O habeas data não se revela meio idôneo para se obter vista de processo administrativo.</w:t>
      </w:r>
    </w:p>
    <w:p>
      <w:pPr>
        <w:ind w:left="288"/>
      </w:pPr>
      <w:r>
        <w:rPr>
          <w:b/>
          <w:color w:val="003CA0"/>
          <w:sz w:val="16"/>
        </w:rPr>
        <w:t>[HD 90 AgR, rel. min. Ellen Gracie, j. 18-2-2010, P, DJE de 19-3-2010.]</w:t>
      </w:r>
    </w:p>
    <w:p>
      <w:pPr>
        <w:ind w:left="288"/>
      </w:pPr>
      <w:r>
        <w:rPr>
          <w:color w:val="8C8C8C"/>
          <w:sz w:val="12"/>
        </w:rPr>
        <w:t>cf-art-5-inc-L-ali-b</w:t>
      </w:r>
      <w:r>
        <w:rPr>
          <w:color w:val="003CA0"/>
          <w:sz w:val="12"/>
        </w:rPr>
        <w:t xml:space="preserve"> | RMS 24.617</w:t>
      </w:r>
      <w:r>
        <w:rPr>
          <w:color w:val="003CA0"/>
          <w:sz w:val="12"/>
        </w:rPr>
        <w:t xml:space="preserve"> | rel. Gilmar Mendes</w:t>
      </w:r>
    </w:p>
    <w:p>
      <w:pPr>
        <w:ind w:left="288"/>
      </w:pPr>
      <w:r>
        <w:rPr>
          <w:color w:val="1E1E1E"/>
          <w:sz w:val="18"/>
        </w:rPr>
        <w:t>= HD 92 AgR, rel. min. Gilmar Mendes, j. 18-8-2010, P, DJE de 3-9-2010 O habeas data tem finalidade específica: assegurar o conhecimento de informações relativas à pessoa do impetrante, constantes de registros ou bancos de dados de entidades governamentais ou de caráter público, ou para a retificação de dados, quando não se prefira fazê-lo por processo sigiloso, judicial ou administrativo (CF, art. 5º, LXXII, a e b). No caso, visa a segurança ao fornecimento ao impetrante da identidade dos autores de agressões e denúncias que lhe foram feitas. A segurança, em tal caso, é meio adequado.</w:t>
      </w:r>
    </w:p>
    <w:p>
      <w:pPr>
        <w:ind w:left="288"/>
      </w:pPr>
      <w:r>
        <w:rPr>
          <w:b/>
          <w:color w:val="003CA0"/>
          <w:sz w:val="16"/>
        </w:rPr>
        <w:t>[RMS 24.617, rel. min. Carlos Velloso, j. 17-5-2005, 2ª T, DJ de 10-6-2005.]</w:t>
      </w:r>
    </w:p>
    <w:p>
      <w:pPr>
        <w:ind w:left="288"/>
      </w:pPr>
      <w:r>
        <w:rPr>
          <w:color w:val="8C8C8C"/>
          <w:sz w:val="12"/>
        </w:rPr>
        <w:t>cf-art-5-inc-L-ali-b</w:t>
      </w:r>
      <w:r>
        <w:rPr>
          <w:color w:val="003CA0"/>
          <w:sz w:val="12"/>
        </w:rPr>
        <w:t xml:space="preserve"> | rel. Maurício Corrêa</w:t>
      </w:r>
    </w:p>
    <w:p>
      <w:pPr>
        <w:ind w:left="288"/>
      </w:pPr>
      <w:r>
        <w:rPr>
          <w:color w:val="1E1E1E"/>
          <w:sz w:val="18"/>
        </w:rPr>
        <w:t>A Lei 9.507, de 12-11-1997, que regula o direito de acesso a informações e disciplina o rito processual do habeas data, acolheu os princípios gerais já proclamados por construção pretoriana.</w:t>
      </w:r>
    </w:p>
    <w:p>
      <w:pPr>
        <w:ind w:left="288"/>
      </w:pPr>
      <w:r>
        <w:rPr>
          <w:b/>
          <w:color w:val="003CA0"/>
          <w:sz w:val="16"/>
        </w:rPr>
        <w:t>[RHD 24, rel. min. Maurício Corrêa, j. 28-11-1997, 2ª T, DJ de 13-2-1998.]</w:t>
      </w:r>
    </w:p>
    <w:p>
      <w:pPr>
        <w:ind w:left="288"/>
      </w:pPr>
      <w:r>
        <w:rPr>
          <w:color w:val="8C8C8C"/>
          <w:sz w:val="12"/>
        </w:rPr>
        <w:t>cf-art-5-inc-L-ali-b</w:t>
      </w:r>
      <w:r>
        <w:rPr>
          <w:color w:val="003CA0"/>
          <w:sz w:val="12"/>
        </w:rPr>
        <w:t xml:space="preserve"> | rel. Marco Aurélio</w:t>
      </w:r>
    </w:p>
    <w:p>
      <w:pPr>
        <w:ind w:left="288"/>
      </w:pPr>
      <w:r>
        <w:rPr>
          <w:color w:val="1E1E1E"/>
          <w:sz w:val="18"/>
        </w:rPr>
        <w:t>O habeas data configura remédio jurídico-processual, de natureza constitucional, que se destina a garantir, em favor da pessoa interessada, o exercício de pretensão jurídica discernível em seu tríplice aspecto: (a) direito de acesso aos registros; (b) direito de retificação dos registros; e (c) direito de complementação dos registros. Trata-se de relevante instrumento de ativação da jurisdição constitucional das liberdades, a qual representa, no plano institucional, a mais expressiva reação jurídica do Estado às situações que lesem, efetiva ou potencialmente, os direitos fundamentais da pessoa</w:t>
      </w:r>
    </w:p>
    <w:p>
      <w:pPr>
        <w:ind w:left="288"/>
      </w:pPr>
      <w:r>
        <w:rPr>
          <w:b/>
          <w:color w:val="003CA0"/>
          <w:sz w:val="16"/>
        </w:rPr>
        <w:t>[RHD 22, rel. min. Marco Aurélio, red. do ac. min. Celso de Mello, j. 19-9-1991, P, DJ de 1º-9-1995.]</w:t>
      </w:r>
    </w:p>
    <w:p>
      <w:pPr>
        <w:ind w:left="288"/>
      </w:pPr>
      <w:r>
        <w:rPr>
          <w:color w:val="8C8C8C"/>
          <w:sz w:val="12"/>
        </w:rPr>
        <w:t>cf-art-5-inc-L-ali-b</w:t>
      </w:r>
      <w:r>
        <w:rPr>
          <w:color w:val="003CA0"/>
          <w:sz w:val="12"/>
        </w:rPr>
        <w:t xml:space="preserve"> | rel. Cármen Lúcia</w:t>
      </w:r>
    </w:p>
    <w:p>
      <w:pPr>
        <w:ind w:left="288"/>
      </w:pPr>
      <w:r>
        <w:rPr>
          <w:color w:val="1E1E1E"/>
          <w:sz w:val="18"/>
        </w:rPr>
        <w:t>= HD 87 AgR, rel. min. Cármen Lúcia, j. 25-11-2009, P, DJE de 5-2-2010</w:t>
      </w:r>
    </w:p>
    <w:p>
      <w:pPr>
        <w:ind w:left="288"/>
      </w:pPr>
      <w:r>
        <w:rPr>
          <w:color w:val="8C8C8C"/>
          <w:sz w:val="12"/>
        </w:rPr>
        <w:t>cf-art-5-inc-L-ali-a</w:t>
      </w:r>
      <w:r>
        <w:rPr>
          <w:color w:val="003CA0"/>
          <w:sz w:val="12"/>
        </w:rPr>
        <w:t xml:space="preserve"> | RE 673.707</w:t>
      </w:r>
      <w:r>
        <w:rPr>
          <w:color w:val="003CA0"/>
          <w:sz w:val="12"/>
        </w:rPr>
        <w:t xml:space="preserve"> | rel. Luiz Fux</w:t>
      </w:r>
    </w:p>
    <w:p>
      <w:pPr>
        <w:ind w:left="288"/>
      </w:pPr>
      <w:r>
        <w:rPr>
          <w:color w:val="1E1E1E"/>
          <w:sz w:val="18"/>
        </w:rPr>
        <w:t>O habeas data é garantia constitucional adequada para a obtenção dos dados concernentes ao pagamento de tributos do próprio contribuinte constantes dos sistemas informatizados de apoio à arrecadação dos órgãos da administração fazendária dos entes estatais.</w:t>
      </w:r>
    </w:p>
    <w:p>
      <w:pPr>
        <w:ind w:left="288"/>
      </w:pPr>
      <w:r>
        <w:rPr>
          <w:b/>
          <w:color w:val="003CA0"/>
          <w:sz w:val="16"/>
        </w:rPr>
        <w:t>[RE 673.707, rel. min. Luiz Fux, j. 17-6-2015, P, DJE de 30-9-2015, Tema 582, com mérito julgado.]</w:t>
      </w:r>
    </w:p>
    <w:p>
      <w:pPr>
        <w:ind w:left="288"/>
      </w:pPr>
      <w:r>
        <w:rPr>
          <w:color w:val="8C8C8C"/>
          <w:sz w:val="12"/>
        </w:rPr>
        <w:t>cf-art-5-inc-L-ali-a</w:t>
      </w:r>
      <w:r>
        <w:rPr>
          <w:color w:val="003CA0"/>
          <w:sz w:val="12"/>
        </w:rPr>
        <w:t xml:space="preserve"> | rel. Cármen Lúcia</w:t>
      </w:r>
    </w:p>
    <w:p>
      <w:pPr>
        <w:ind w:left="288"/>
      </w:pPr>
      <w:r>
        <w:rPr>
          <w:color w:val="1E1E1E"/>
          <w:sz w:val="18"/>
        </w:rPr>
        <w:t>O habeas data não se presta para solicitar informações relativas a terceiros, pois, nos termos do inciso LXXII do art. 5º da CF, sua impetração deve ter por objetivo "assegurar o conhecimento de informações relativas à pessoa do impetrante”.</w:t>
      </w:r>
    </w:p>
    <w:p>
      <w:pPr>
        <w:ind w:left="288"/>
      </w:pPr>
      <w:r>
        <w:rPr>
          <w:b/>
          <w:color w:val="003CA0"/>
          <w:sz w:val="16"/>
        </w:rPr>
        <w:t>[HD 87 AgR, rel. min. Cármen Lúcia, j. 25-11-2009, P, DJE de 5-2-2010.]</w:t>
      </w:r>
    </w:p>
    <w:p>
      <w:pPr>
        <w:ind w:left="288"/>
      </w:pPr>
      <w:r>
        <w:rPr>
          <w:color w:val="8C8C8C"/>
          <w:sz w:val="12"/>
        </w:rPr>
        <w:t>cf-art-5-inc-L-ali-a</w:t>
      </w:r>
      <w:r>
        <w:rPr>
          <w:color w:val="003CA0"/>
          <w:sz w:val="12"/>
        </w:rPr>
        <w:t xml:space="preserve"> | RE 165.304</w:t>
      </w:r>
      <w:r>
        <w:rPr>
          <w:color w:val="003CA0"/>
          <w:sz w:val="12"/>
        </w:rPr>
        <w:t xml:space="preserve"> | rel. Octavio Gallotti</w:t>
      </w:r>
    </w:p>
    <w:p>
      <w:pPr>
        <w:ind w:left="288"/>
      </w:pPr>
      <w:r>
        <w:rPr>
          <w:color w:val="1E1E1E"/>
          <w:sz w:val="18"/>
        </w:rPr>
        <w:t>Habeas data. Ilegitimidade passiva do Banco do Brasil S.A. para a revelação, a ex-empregada, do conteúdo da ficha de pessoal, por não se tratar, no caso, de registro de caráter público, nem atuar o impetrado na condição de entidade governamental (Constituição, art. 5º, LXXII, a, e art. 173, § 1º, texto original.).</w:t>
      </w:r>
    </w:p>
    <w:p>
      <w:pPr>
        <w:ind w:left="288"/>
      </w:pPr>
      <w:r>
        <w:rPr>
          <w:b/>
          <w:color w:val="003CA0"/>
          <w:sz w:val="16"/>
        </w:rPr>
        <w:t>[RE 165.304, rel. min. Octavio Gallotti, j. 19-10-2000, P, DJ de 15-12-2000.]</w:t>
      </w:r>
    </w:p>
    <w:p>
      <w:pPr>
        <w:ind w:left="288"/>
      </w:pPr>
      <w:r>
        <w:rPr>
          <w:color w:val="8C8C8C"/>
          <w:sz w:val="12"/>
        </w:rPr>
        <w:t>cf-art-5-inc-L-ali-b</w:t>
      </w:r>
    </w:p>
    <w:p>
      <w:pPr>
        <w:ind w:left="288"/>
      </w:pPr>
      <w:r>
        <w:rPr>
          <w:color w:val="1E1E1E"/>
          <w:sz w:val="18"/>
        </w:rPr>
        <w:t>LXXIII - qualquer cidadão é parte legítima para propor ação popular que vise a anular ato lesivo ao patrimônio público ou de entidade de que o Estado participe, à moralidade administrativa, ao meio ambiente e ao patrimônio histórico e cultural, ficando o autor, salvo comprovada má-fé, isento de custas judiciais e do ônus da sucumbência; Pessoa jurídica não tem legitimidade para propor ação popular.</w:t>
      </w:r>
    </w:p>
    <w:p>
      <w:pPr>
        <w:ind w:left="288"/>
      </w:pPr>
      <w:r>
        <w:rPr>
          <w:b/>
          <w:color w:val="003CA0"/>
          <w:sz w:val="16"/>
        </w:rPr>
        <w:t>[Súmula 365.]</w:t>
      </w:r>
    </w:p>
    <w:p>
      <w:pPr>
        <w:ind w:left="288"/>
      </w:pPr>
      <w:r>
        <w:rPr>
          <w:color w:val="8C8C8C"/>
          <w:sz w:val="12"/>
        </w:rPr>
        <w:t>cf-art-5-inc-L-ali-b</w:t>
      </w:r>
    </w:p>
    <w:p>
      <w:pPr>
        <w:ind w:left="288"/>
      </w:pPr>
      <w:r>
        <w:rPr>
          <w:color w:val="1E1E1E"/>
          <w:sz w:val="18"/>
        </w:rPr>
        <w:t>O mandado de segurança não substitui a ação popular.</w:t>
      </w:r>
    </w:p>
    <w:p>
      <w:pPr>
        <w:ind w:left="288"/>
      </w:pPr>
      <w:r>
        <w:rPr>
          <w:b/>
          <w:color w:val="003CA0"/>
          <w:sz w:val="16"/>
        </w:rPr>
        <w:t>[Súmula 101.]</w:t>
      </w:r>
    </w:p>
    <w:p>
      <w:pPr>
        <w:ind w:left="288"/>
      </w:pPr>
      <w:r>
        <w:rPr>
          <w:color w:val="8C8C8C"/>
          <w:sz w:val="12"/>
        </w:rPr>
        <w:t>cf-art-5-inc-L-ali-b</w:t>
      </w:r>
      <w:r>
        <w:rPr>
          <w:color w:val="003CA0"/>
          <w:sz w:val="12"/>
        </w:rPr>
        <w:t xml:space="preserve"> | ADI 769</w:t>
      </w:r>
      <w:r>
        <w:rPr>
          <w:color w:val="003CA0"/>
          <w:sz w:val="12"/>
        </w:rPr>
        <w:t xml:space="preserve"> | rel. Celso de Mello</w:t>
      </w:r>
    </w:p>
    <w:p>
      <w:pPr>
        <w:ind w:left="288"/>
      </w:pPr>
      <w:r>
        <w:rPr>
          <w:color w:val="1E1E1E"/>
          <w:sz w:val="18"/>
        </w:rPr>
        <w:t>A ação direta de inconstitucionalidade não constitui sucedâneo da ação popular constitucional, destinada, esta sim, a preservar, em função de seu amplo espectro de atuação jurídico-processual, a intangibilidade do patrimônio público e a integridade do princípio da moralidade administrativa (CF, art. 5º, LXXIII).</w:t>
      </w:r>
    </w:p>
    <w:p>
      <w:pPr>
        <w:ind w:left="288"/>
      </w:pPr>
      <w:r>
        <w:rPr>
          <w:b/>
          <w:color w:val="003CA0"/>
          <w:sz w:val="16"/>
        </w:rPr>
        <w:t>[ADI 769 MC, rel. min. Celso de Mello, j. 22-4-1993, P, DJ de 8-4-1994.]</w:t>
      </w:r>
    </w:p>
    <w:p>
      <w:pPr>
        <w:ind w:left="288"/>
      </w:pPr>
      <w:r>
        <w:rPr>
          <w:color w:val="8C8C8C"/>
          <w:sz w:val="12"/>
        </w:rPr>
        <w:t>cf-art-5-inc-L-ali-b</w:t>
      </w:r>
      <w:r>
        <w:rPr>
          <w:color w:val="003CA0"/>
          <w:sz w:val="12"/>
        </w:rPr>
        <w:t xml:space="preserve"> | AO 1.725</w:t>
      </w:r>
      <w:r>
        <w:rPr>
          <w:color w:val="003CA0"/>
          <w:sz w:val="12"/>
        </w:rPr>
        <w:t xml:space="preserve"> | rel. Luiz Fux</w:t>
      </w:r>
    </w:p>
    <w:p>
      <w:pPr>
        <w:ind w:left="288"/>
      </w:pPr>
      <w:r>
        <w:rPr>
          <w:color w:val="1E1E1E"/>
          <w:sz w:val="18"/>
        </w:rPr>
        <w:t>Vide AO 1.725 AgR, rel. min. Luiz Fux, j. 24-2-2015, 1ª T, DJE de 11-3-2015 I - É inconstitucional a redação do art. 16 da Lei 7.347/1985, alterada pela Lei 9.494/1997, sendo repristinada sua redação original. II - Em se tratando de ação civil pública de efeitos nacionais ou regionais, a competência deve observar o art. 93, II, da Lei 8.078/1990 (Código de Defesa do Consumidor). III - Ajuizadas múltiplas ações civis públicas de âmbito nacional ou regional e fixada a competência nos termos do item II, firma-se a prevenção do juízo que primeiro conheceu de uma delas, para o julgamento de todas a</w:t>
      </w:r>
    </w:p>
    <w:p>
      <w:pPr>
        <w:ind w:left="288"/>
      </w:pPr>
      <w:r>
        <w:rPr>
          <w:b/>
          <w:color w:val="003CA0"/>
          <w:sz w:val="16"/>
        </w:rPr>
        <w:t>[RE 1.101.937, rel. min. Alexandre de Moraes, j. 4-3-2021, P. DJE de 14-6-2021, Tema 1.075, com mérito julgado.]</w:t>
      </w:r>
    </w:p>
    <w:p>
      <w:pPr>
        <w:ind w:left="288"/>
      </w:pPr>
      <w:r>
        <w:rPr>
          <w:color w:val="8C8C8C"/>
          <w:sz w:val="12"/>
        </w:rPr>
        <w:t>cf-art-5-inc-L-ali-b</w:t>
      </w:r>
      <w:r>
        <w:rPr>
          <w:color w:val="003CA0"/>
          <w:sz w:val="12"/>
        </w:rPr>
        <w:t xml:space="preserve"> | ARE 824.781</w:t>
      </w:r>
      <w:r>
        <w:rPr>
          <w:color w:val="003CA0"/>
          <w:sz w:val="12"/>
        </w:rPr>
        <w:t xml:space="preserve"> | rel. Dias Toffoli</w:t>
      </w:r>
    </w:p>
    <w:p>
      <w:pPr>
        <w:ind w:left="288"/>
      </w:pPr>
      <w:r>
        <w:rPr>
          <w:color w:val="1E1E1E"/>
          <w:sz w:val="18"/>
        </w:rPr>
        <w:t>O entendimento sufragado no acórdão recorrido de que, para o cabimento de ação popular, é exigível a menção na exordial e a prova de prejuízo material aos cofres públicos, diverge do entendimento sufragado pelo STF. A decisão objurgada ofende o art. 5º, LXXIII, da CF, que tem como objetos a serem defendidos pelo cidadão, separadamente, qualquer ato lesivo ao patrimônio material público ou de entidade de que o Estado participe, ao patrimônio moral, ao cultural e ao histórico.</w:t>
      </w:r>
    </w:p>
    <w:p>
      <w:pPr>
        <w:ind w:left="288"/>
      </w:pPr>
      <w:r>
        <w:rPr>
          <w:b/>
          <w:color w:val="003CA0"/>
          <w:sz w:val="16"/>
        </w:rPr>
        <w:t>[ARE 824.781 RG, rel. min. Dias Toffoli, j. 27-8-2015, P, DJE de 9-10-2015, Tema 836, com mérito julgado.]</w:t>
      </w:r>
    </w:p>
    <w:p>
      <w:pPr>
        <w:ind w:left="288"/>
      </w:pPr>
      <w:r>
        <w:rPr>
          <w:color w:val="8C8C8C"/>
          <w:sz w:val="12"/>
        </w:rPr>
        <w:t>cf-art-5-inc-L-ali-b</w:t>
      </w:r>
      <w:r>
        <w:rPr>
          <w:color w:val="003CA0"/>
          <w:sz w:val="12"/>
        </w:rPr>
        <w:t xml:space="preserve"> | AO 1.725</w:t>
      </w:r>
      <w:r>
        <w:rPr>
          <w:color w:val="003CA0"/>
          <w:sz w:val="12"/>
        </w:rPr>
        <w:t xml:space="preserve"> | rel. Luiz Fux</w:t>
      </w:r>
    </w:p>
    <w:p>
      <w:pPr>
        <w:ind w:left="288"/>
      </w:pPr>
      <w:r>
        <w:rPr>
          <w:color w:val="1E1E1E"/>
          <w:sz w:val="18"/>
        </w:rPr>
        <w:t>A ação popular (...) não pode ser utilizada como alternativa à não propositura de uma ação direta de inconstitucionalidade, sob pena de uma ampliação indevida do rol de legitimados previsto no art. 103 da Constituição da República. Tal instrumento processual tem como objetivo anular atos administrativos lesivos ao Estado, e não a anulação de atos normativos genéricos.</w:t>
      </w:r>
    </w:p>
    <w:p>
      <w:pPr>
        <w:ind w:left="288"/>
      </w:pPr>
      <w:r>
        <w:rPr>
          <w:b/>
          <w:color w:val="003CA0"/>
          <w:sz w:val="16"/>
        </w:rPr>
        <w:t>[AO 1.725 AgR, rel. min. Luiz Fux, j. 24-2-2015, 1ª T, DJE de 11-3-2015.]</w:t>
      </w:r>
    </w:p>
    <w:p>
      <w:pPr>
        <w:ind w:left="288"/>
      </w:pPr>
      <w:r>
        <w:rPr>
          <w:color w:val="8C8C8C"/>
          <w:sz w:val="12"/>
        </w:rPr>
        <w:t>cf-art-5-inc-L-ali-b</w:t>
      </w:r>
      <w:r>
        <w:rPr>
          <w:color w:val="003CA0"/>
          <w:sz w:val="12"/>
        </w:rPr>
        <w:t xml:space="preserve"> | RCL 1.017</w:t>
      </w:r>
      <w:r>
        <w:rPr>
          <w:color w:val="003CA0"/>
          <w:sz w:val="12"/>
        </w:rPr>
        <w:t xml:space="preserve"> | rel. Sepúlveda Pertence</w:t>
      </w:r>
    </w:p>
    <w:p>
      <w:pPr>
        <w:ind w:left="288"/>
      </w:pPr>
      <w:r>
        <w:rPr>
          <w:color w:val="1E1E1E"/>
          <w:sz w:val="18"/>
        </w:rPr>
        <w:t>Vide Rcl 1.017, rel. min. Sepúlveda Pertence, j. 7-4-2005, P, DJ de 3-6-2005 Vide ADI 769 MC, rel. min. Celso de Mello, j. 22-4-1993, P, DJ de 8-4-1994 Ação popular. Demarcação da terra indígena Raposa Serra do Sol. (...) A decisão proferida em ação popular é desprovida de força vinculante, em sentido técnico. Nesses termos, os fundamentos adotados pela Corte não se estendem, de forma automática, a outros processos em que se discuta matéria similar. Sem prejuízo disso, o acórdão embargado ostenta a força moral e persuasiva de uma decisão da mais alta Corte do País, do que decorre um elevado ôn</w:t>
      </w:r>
    </w:p>
    <w:p>
      <w:pPr>
        <w:ind w:left="288"/>
      </w:pPr>
      <w:r>
        <w:rPr>
          <w:b/>
          <w:color w:val="003CA0"/>
          <w:sz w:val="16"/>
        </w:rPr>
        <w:t>[Pet 3.388 ED, rel. min. Roberto Barroso, j. 23-10-2013, P, DJE de 4-2-2014.]</w:t>
      </w:r>
    </w:p>
    <w:p>
      <w:pPr>
        <w:ind w:left="288"/>
      </w:pPr>
      <w:r>
        <w:rPr>
          <w:color w:val="8C8C8C"/>
          <w:sz w:val="12"/>
        </w:rPr>
        <w:t>cf-art-5-inc-L-ali-b</w:t>
      </w:r>
      <w:r>
        <w:rPr>
          <w:color w:val="003CA0"/>
          <w:sz w:val="12"/>
        </w:rPr>
        <w:t xml:space="preserve"> | RE 335.428</w:t>
      </w:r>
      <w:r>
        <w:rPr>
          <w:color w:val="003CA0"/>
          <w:sz w:val="12"/>
        </w:rPr>
        <w:t xml:space="preserve"> | rel. Dias Toffoli</w:t>
      </w:r>
    </w:p>
    <w:p>
      <w:pPr>
        <w:ind w:left="288"/>
      </w:pPr>
      <w:r>
        <w:rPr>
          <w:color w:val="1E1E1E"/>
          <w:sz w:val="18"/>
        </w:rPr>
        <w:t>Recurso extraordinário.  Medida cautelar preparatória de futura ação popular. Demanda principal que, contudo, não chegou a ser proposta. Irrelevância, para fins de isenção do autor do ônus da sucumbência, conforme expressa previsão constitucional. Procedimento cautelar intrinsecamente ligado ao processo principal. Interpretação restritiva do comando do art. 5º, LXXIII, da CF, que não pode prosperar. Recurso provido para isentar o recorrente do ônus da sucumbência.</w:t>
      </w:r>
    </w:p>
    <w:p>
      <w:pPr>
        <w:ind w:left="288"/>
      </w:pPr>
      <w:r>
        <w:rPr>
          <w:b/>
          <w:color w:val="003CA0"/>
          <w:sz w:val="16"/>
        </w:rPr>
        <w:t>[RE 335.428, rel. min. Dias Toffoli, j. 18-5-2010, 1ª T, DJE de 6-8-2010.]</w:t>
      </w:r>
    </w:p>
    <w:p>
      <w:pPr>
        <w:ind w:left="288"/>
      </w:pPr>
      <w:r>
        <w:rPr>
          <w:color w:val="8C8C8C"/>
          <w:sz w:val="12"/>
        </w:rPr>
        <w:t>cf-art-5-inc-L-ali-b</w:t>
      </w:r>
      <w:r>
        <w:rPr>
          <w:color w:val="003CA0"/>
          <w:sz w:val="12"/>
        </w:rPr>
        <w:t xml:space="preserve"> | PET 3.388</w:t>
      </w:r>
      <w:r>
        <w:rPr>
          <w:color w:val="003CA0"/>
          <w:sz w:val="12"/>
        </w:rPr>
        <w:t xml:space="preserve"> | rel. Ayres Britto</w:t>
      </w:r>
    </w:p>
    <w:p>
      <w:pPr>
        <w:ind w:left="288"/>
      </w:pPr>
      <w:r>
        <w:rPr>
          <w:color w:val="1E1E1E"/>
          <w:sz w:val="18"/>
        </w:rPr>
        <w:t xml:space="preserve">Demarcação da Terra Indígena Raposa Serra do Sol. (...) Inexistência de vícios processuais na ação popular. Nulidade dos atos, ainda que formais, tendo por objeto a ocupação, o domínio e a posse das terras situadas na área indígena Raposa Serra do Sol. Pretensos titulares privados que não são partes na presente ação popular. Ação que se destina à proteção do patrimônio público ou de entidade de que o Estado participe (inciso LXXIII do art. 5º da CF), e não à defesa de interesses particulares. Ilegitimidade passiva do Estado de Roraima, que não foi acusado de praticar ato lesivo ao tipo de bem </w:t>
      </w:r>
    </w:p>
    <w:p>
      <w:pPr>
        <w:ind w:left="288"/>
      </w:pPr>
      <w:r>
        <w:rPr>
          <w:b/>
          <w:color w:val="003CA0"/>
          <w:sz w:val="16"/>
        </w:rPr>
        <w:t>[Pet 3.388, rel. min. Ayres Britto, j. 19-3-2009, P, DJE de 1º-7-2010.]</w:t>
      </w:r>
    </w:p>
    <w:p>
      <w:pPr>
        <w:ind w:left="288"/>
      </w:pPr>
      <w:r>
        <w:rPr>
          <w:color w:val="8C8C8C"/>
          <w:sz w:val="12"/>
        </w:rPr>
        <w:t>cf-art-5-inc-L-ali-b</w:t>
      </w:r>
      <w:r>
        <w:rPr>
          <w:color w:val="003CA0"/>
          <w:sz w:val="12"/>
        </w:rPr>
        <w:t xml:space="preserve"> | PET 3.674</w:t>
      </w:r>
      <w:r>
        <w:rPr>
          <w:color w:val="003CA0"/>
          <w:sz w:val="12"/>
        </w:rPr>
        <w:t xml:space="preserve"> | rel. Sepúlveda Pertence</w:t>
      </w:r>
    </w:p>
    <w:p>
      <w:pPr>
        <w:ind w:left="288"/>
      </w:pPr>
      <w:r>
        <w:rPr>
          <w:color w:val="1E1E1E"/>
          <w:sz w:val="18"/>
        </w:rPr>
        <w:t>Competência originária do Supremo Tribunal para as ações contra o CNJ e contra o Conselho Nacional do Ministério Público (CF, art. 102, I, r, com a redação da EC 45/2004): inteligência: não inclusão da ação popular, ainda quando nela se vise à declaração de nulidade do ato de qualquer um dos conselhos nela referidos. Tratando-se de ação popular, o STF – com as únicas ressalvas da incidência da alínea n do art. 102, I, da Constituição ou de a lide substantivar conflito entre a União e Estado-membro – jamais admitiu a própria competência originária: ao contrário, a incompetência do Tribunal para</w:t>
      </w:r>
    </w:p>
    <w:p>
      <w:pPr>
        <w:ind w:left="288"/>
      </w:pPr>
      <w:r>
        <w:rPr>
          <w:b/>
          <w:color w:val="003CA0"/>
          <w:sz w:val="16"/>
        </w:rPr>
        <w:t>[Pet 3.674 QO, rel. min. Sepúlveda Pertence, j. 4-10-2006, P, DJ de 19-12-2006.]</w:t>
      </w:r>
    </w:p>
    <w:p>
      <w:pPr>
        <w:ind w:left="288"/>
      </w:pPr>
      <w:r>
        <w:rPr>
          <w:color w:val="8C8C8C"/>
          <w:sz w:val="12"/>
        </w:rPr>
        <w:t>cf-art-5-inc-L-ali-b</w:t>
      </w:r>
      <w:r>
        <w:rPr>
          <w:color w:val="003CA0"/>
          <w:sz w:val="12"/>
        </w:rPr>
        <w:t xml:space="preserve"> | RCL 2.769</w:t>
      </w:r>
      <w:r>
        <w:rPr>
          <w:color w:val="003CA0"/>
          <w:sz w:val="12"/>
        </w:rPr>
        <w:t xml:space="preserve"> | rel. Cármen Lúcia</w:t>
      </w:r>
    </w:p>
    <w:p>
      <w:pPr>
        <w:ind w:left="288"/>
      </w:pPr>
      <w:r>
        <w:rPr>
          <w:color w:val="1E1E1E"/>
          <w:sz w:val="18"/>
        </w:rPr>
        <w:t>= Rcl 2.769 AgR, rel. min. Cármen Lúcia, j. 23-9-2009, P, DJE de 16-10-2009 Competência: Justiça comum: ação popular contra o Sebrae [Serviço Brasileiro de Apoio às Micro e Pequenas Empresas] (...). O Sebrae não corresponde à noção constitucional de autarquia, que, para começar, há de ser criada por lei específica (CF, art. 37, XIX) e não na forma de sociedade civil, com personalidade de direito privado, como é o caso do recorrido. Por isso, o disposto no art. 20, f, da Lei 4.717/1965 (Lei de Ação Popular – LAP), para não se chocar com a Constituição, há de ter o seu alcance reduzido: não tran</w:t>
      </w:r>
    </w:p>
    <w:p>
      <w:pPr>
        <w:ind w:left="288"/>
      </w:pPr>
      <w:r>
        <w:rPr>
          <w:b/>
          <w:color w:val="003CA0"/>
          <w:sz w:val="16"/>
        </w:rPr>
        <w:t>[RE 366.168, rel. min. Sepúlveda Pertence, j. 3-2-2004, 1ª T, DJ de 14-5-2004.]</w:t>
      </w:r>
    </w:p>
    <w:p>
      <w:pPr>
        <w:ind w:left="288"/>
      </w:pPr>
      <w:r>
        <w:rPr>
          <w:color w:val="8C8C8C"/>
          <w:sz w:val="12"/>
        </w:rPr>
        <w:t>cf-art-5-inc-L-ali-b</w:t>
      </w:r>
      <w:r>
        <w:rPr>
          <w:color w:val="003CA0"/>
          <w:sz w:val="12"/>
        </w:rPr>
        <w:t xml:space="preserve"> | AO 859</w:t>
      </w:r>
      <w:r>
        <w:rPr>
          <w:color w:val="003CA0"/>
          <w:sz w:val="12"/>
        </w:rPr>
        <w:t xml:space="preserve"> | rel. Ellen Gracie</w:t>
      </w:r>
    </w:p>
    <w:p>
      <w:pPr>
        <w:ind w:left="288"/>
      </w:pPr>
      <w:r>
        <w:rPr>
          <w:color w:val="1E1E1E"/>
          <w:sz w:val="18"/>
        </w:rPr>
        <w:t>A competência para julgar ação popular contra ato de qualquer autoridade, até mesmo do presidente da República, é, via de regra, do juízo competente de primeiro grau.</w:t>
      </w:r>
    </w:p>
    <w:p>
      <w:pPr>
        <w:ind w:left="288"/>
      </w:pPr>
      <w:r>
        <w:rPr>
          <w:b/>
          <w:color w:val="003CA0"/>
          <w:sz w:val="16"/>
        </w:rPr>
        <w:t>[AO 859 QO, rel. min. Ellen Gracie, red. do ac. min. Maurício Corrêa, j. 11-10-2001, P, DJ de 1º-8-2003.]</w:t>
      </w:r>
    </w:p>
    <w:p>
      <w:pPr>
        <w:ind w:left="288"/>
      </w:pPr>
      <w:r>
        <w:rPr>
          <w:color w:val="8C8C8C"/>
          <w:sz w:val="12"/>
        </w:rPr>
        <w:t>cf-art-5-inc-L-ali-b</w:t>
      </w:r>
      <w:r>
        <w:rPr>
          <w:color w:val="003CA0"/>
          <w:sz w:val="12"/>
        </w:rPr>
        <w:t xml:space="preserve"> | PET 2.018</w:t>
      </w:r>
      <w:r>
        <w:rPr>
          <w:color w:val="003CA0"/>
          <w:sz w:val="12"/>
        </w:rPr>
        <w:t xml:space="preserve"> | rel. Celso de Mello</w:t>
      </w:r>
    </w:p>
    <w:p>
      <w:pPr>
        <w:ind w:left="288"/>
      </w:pPr>
      <w:r>
        <w:rPr>
          <w:color w:val="1E1E1E"/>
          <w:sz w:val="18"/>
        </w:rPr>
        <w:t>O STF – por ausência de previsão constitucional – não dispõe de competência originária para processar e julgar ação popular promovida contra qualquer órgão ou autoridade da República, mesmo que o ato cuja invalidação se pleiteie tenha emanado do presidente da República, das Mesas da Câmara dos Deputados ou do Senado Federal, ou, ainda, de qualquer dos tribunais superiores da União. (...) Os atos de conteúdo jurisdicional – precisamente por não se revestirem de caráter administrativo – estão excluídos do âmbito de incidência da ação popular, notadamente porque se acham sujeitos a um sistema esp</w:t>
      </w:r>
    </w:p>
    <w:p>
      <w:pPr>
        <w:ind w:left="288"/>
      </w:pPr>
      <w:r>
        <w:rPr>
          <w:b/>
          <w:color w:val="003CA0"/>
          <w:sz w:val="16"/>
        </w:rPr>
        <w:t>[Pet 2.018 AgR, rel. min. Celso de Mello, j. 22-8-2000, 2ª T, DJ de 16-2-2001.]</w:t>
      </w:r>
    </w:p>
    <w:p>
      <w:pPr>
        <w:ind w:left="288"/>
      </w:pPr>
      <w:r>
        <w:rPr>
          <w:color w:val="8C8C8C"/>
          <w:sz w:val="12"/>
        </w:rPr>
        <w:t>cf-art-5-inc-L-ali-b</w:t>
      </w:r>
      <w:r>
        <w:rPr>
          <w:color w:val="003CA0"/>
          <w:sz w:val="12"/>
        </w:rPr>
        <w:t xml:space="preserve"> | RCL 2.769</w:t>
      </w:r>
      <w:r>
        <w:rPr>
          <w:color w:val="003CA0"/>
          <w:sz w:val="12"/>
        </w:rPr>
        <w:t xml:space="preserve"> | rel. Cármen Lúcia</w:t>
      </w:r>
    </w:p>
    <w:p>
      <w:pPr>
        <w:ind w:left="288"/>
      </w:pPr>
      <w:r>
        <w:rPr>
          <w:color w:val="1E1E1E"/>
          <w:sz w:val="18"/>
        </w:rPr>
        <w:t>= Rcl 2.769 AgR, rel. min. Cármen Lúcia, j. 23-9-2009, P, DJE de 16-10-2009 A não ser quando há comprovação de má-fé do autor da ação popular, não pode ele ser condenado nos ônus das custas e da sucumbência.</w:t>
      </w:r>
    </w:p>
    <w:p>
      <w:pPr>
        <w:ind w:left="288"/>
      </w:pPr>
      <w:r>
        <w:rPr>
          <w:b/>
          <w:color w:val="003CA0"/>
          <w:sz w:val="16"/>
        </w:rPr>
        <w:t>[RE 221.291, rel. min. Moreira Alves, j. 11-4-2000, 1ª T, DJ de 9-6-2000.]</w:t>
      </w:r>
    </w:p>
    <w:p>
      <w:pPr>
        <w:ind w:left="288"/>
      </w:pPr>
      <w:r>
        <w:rPr>
          <w:color w:val="8C8C8C"/>
          <w:sz w:val="12"/>
        </w:rPr>
        <w:t>cf-art-5-inc-L-ali-b</w:t>
      </w:r>
      <w:r>
        <w:rPr>
          <w:color w:val="003CA0"/>
          <w:sz w:val="12"/>
        </w:rPr>
        <w:t xml:space="preserve"> | AI 582.683</w:t>
      </w:r>
      <w:r>
        <w:rPr>
          <w:color w:val="003CA0"/>
          <w:sz w:val="12"/>
        </w:rPr>
        <w:t xml:space="preserve"> | rel. Ayres Britto</w:t>
      </w:r>
    </w:p>
    <w:p>
      <w:pPr>
        <w:ind w:left="288"/>
      </w:pPr>
      <w:r>
        <w:rPr>
          <w:color w:val="1E1E1E"/>
          <w:sz w:val="18"/>
        </w:rPr>
        <w:t>= AI 582.683 AgR, rel. min. Ayres Britto, j. 17-8-2010, 2ª T, DJE de 17-9-2010 Vide AR 1.178, rel. min. Marco Aurélio, j. 3-5-1995, P, DJ de 6-9-1996 A ação popular é cabível, já que objetiva a suspensão definitiva do pagamento da gratificação de nível superior e a consequente condenação dos beneficiários à devolução de todas as quantias recebidas, devidamente corrigidas. Com efeito, a ação popular, como regulada pela Lei 4.717, de 29-6-1965, visa à declaração de nulidade ou à anulação de atos administrativos, quando lesivos ao patrimônio público, como dispõem seus arts. 1º, 2º e 4º. Mas não é</w:t>
      </w:r>
    </w:p>
    <w:p>
      <w:pPr>
        <w:ind w:left="288"/>
      </w:pPr>
      <w:r>
        <w:rPr>
          <w:b/>
          <w:color w:val="003CA0"/>
          <w:sz w:val="16"/>
        </w:rPr>
        <w:t>[AO 506 QO, rel. min. Sydney Sanches, j. 6-5-1998, P, DJ de 4-12-1998.]</w:t>
      </w:r>
    </w:p>
    <w:p>
      <w:pPr>
        <w:ind w:left="288"/>
      </w:pPr>
      <w:r>
        <w:rPr>
          <w:color w:val="8C8C8C"/>
          <w:sz w:val="12"/>
        </w:rPr>
        <w:t>cf-art-5-inc-L-ali-b</w:t>
      </w:r>
      <w:r>
        <w:rPr>
          <w:color w:val="003CA0"/>
          <w:sz w:val="12"/>
        </w:rPr>
        <w:t xml:space="preserve"> | RE 206.889</w:t>
      </w:r>
      <w:r>
        <w:rPr>
          <w:color w:val="003CA0"/>
          <w:sz w:val="12"/>
        </w:rPr>
        <w:t xml:space="preserve"> | rel. Carlos Velloso</w:t>
      </w:r>
    </w:p>
    <w:p>
      <w:pPr>
        <w:ind w:left="288"/>
      </w:pPr>
      <w:r>
        <w:rPr>
          <w:color w:val="1E1E1E"/>
          <w:sz w:val="18"/>
        </w:rPr>
        <w:t>Fixando os vereadores a sua própria remuneração, vale dizer, fixando essa remuneração para viger na própria legislatura, pratica ato inconstitucional lesivo não só ao patrimônio material do Poder Público, como à moralidade administrativa, que constitui patrimônio moral da sociedade. CF, art. 5º, LXXIII.</w:t>
      </w:r>
    </w:p>
    <w:p>
      <w:pPr>
        <w:ind w:left="288"/>
      </w:pPr>
      <w:r>
        <w:rPr>
          <w:b/>
          <w:color w:val="003CA0"/>
          <w:sz w:val="16"/>
        </w:rPr>
        <w:t>[RE 206.889, rel. min. Carlos Velloso, j. 25-3-1997, 2ª T, DJ de 13-6-1997.]</w:t>
      </w:r>
    </w:p>
    <w:p>
      <w:pPr>
        <w:ind w:left="288"/>
      </w:pPr>
      <w:r>
        <w:rPr>
          <w:color w:val="8C8C8C"/>
          <w:sz w:val="12"/>
        </w:rPr>
        <w:t>cf-art-5-inc-L-ali-b</w:t>
      </w:r>
      <w:r>
        <w:rPr>
          <w:color w:val="003CA0"/>
          <w:sz w:val="12"/>
        </w:rPr>
        <w:t xml:space="preserve"> | AR 1.178</w:t>
      </w:r>
      <w:r>
        <w:rPr>
          <w:color w:val="003CA0"/>
          <w:sz w:val="12"/>
        </w:rPr>
        <w:t xml:space="preserve"> | rel. Marco Aurélio</w:t>
      </w:r>
    </w:p>
    <w:p>
      <w:pPr>
        <w:ind w:left="288"/>
      </w:pPr>
      <w:r>
        <w:rPr>
          <w:color w:val="1E1E1E"/>
          <w:sz w:val="18"/>
        </w:rPr>
        <w:t>Tratando-se de rescisória ajuizada contra acórdão proferido em ação popular julgada procedente, descabe a condenação dos autores desta e réus na rescisória ao pagamento dos honorários advocatícios, a menos que exsurja a iniciativa em propô-la, como configuradora de procedimento de má-fé.</w:t>
      </w:r>
    </w:p>
    <w:p>
      <w:pPr>
        <w:ind w:left="288"/>
      </w:pPr>
      <w:r>
        <w:rPr>
          <w:b/>
          <w:color w:val="003CA0"/>
          <w:sz w:val="16"/>
        </w:rPr>
        <w:t>[AR 1.178, rel. min. Marco Aurélio, j. 3-5-1995, P, DJ de 6-9-1996.]</w:t>
      </w:r>
    </w:p>
    <w:p>
      <w:pPr>
        <w:ind w:left="288"/>
      </w:pPr>
      <w:r>
        <w:rPr>
          <w:color w:val="8C8C8C"/>
          <w:sz w:val="12"/>
        </w:rPr>
        <w:t>cf-art-5-inc-L-ali-b</w:t>
      </w:r>
      <w:r>
        <w:rPr>
          <w:color w:val="003CA0"/>
          <w:sz w:val="12"/>
        </w:rPr>
        <w:t xml:space="preserve"> | RE 221.291</w:t>
      </w:r>
      <w:r>
        <w:rPr>
          <w:color w:val="003CA0"/>
          <w:sz w:val="12"/>
        </w:rPr>
        <w:t xml:space="preserve"> | rel. Moreira Alves</w:t>
      </w:r>
    </w:p>
    <w:p>
      <w:pPr>
        <w:ind w:left="288"/>
      </w:pPr>
      <w:r>
        <w:rPr>
          <w:color w:val="1E1E1E"/>
          <w:sz w:val="18"/>
        </w:rPr>
        <w:t>Vide RE 221.291, rel. min. Moreira Alves, j. 11-4-2000, 1ª T, DJ de 9-6-2000 LXXIV - o Estado prestará assistência jurídica integral e gratuita aos que comprovarem insuficiência de recursos; A Constituição Federal, ao tratar da Defensoria Pública, previu em seu art. 5º, inciso LXXIV, que o ‘Estado prestará assistência jurídica integral e gratuita aos que comprovem insuficiência de recursos’. Já no art. 134, com redação dada pela Emenda Constitucional 80/2014, determinou a atuação da Defensoria em favor dos ‘necessitados’, na forma do inciso LXXIV do art. 5º. Ora, tanto a expressão ‘insuficiênc</w:t>
      </w:r>
    </w:p>
    <w:p>
      <w:pPr>
        <w:ind w:left="288"/>
      </w:pPr>
      <w:r>
        <w:rPr>
          <w:b/>
          <w:color w:val="003CA0"/>
          <w:sz w:val="16"/>
        </w:rPr>
        <w:t>[ADI 4.636, voto do min. Gilmar Mendes, j. 4-11-2021, P, DJE de 10-2-2022.]</w:t>
      </w:r>
    </w:p>
    <w:p>
      <w:pPr>
        <w:ind w:left="288"/>
      </w:pPr>
      <w:r>
        <w:rPr>
          <w:color w:val="8C8C8C"/>
          <w:sz w:val="12"/>
        </w:rPr>
        <w:t>cf-art-5-inc-L-ali-b</w:t>
      </w:r>
      <w:r>
        <w:rPr>
          <w:color w:val="003CA0"/>
          <w:sz w:val="12"/>
        </w:rPr>
        <w:t xml:space="preserve"> | ADI 5.766</w:t>
      </w:r>
      <w:r>
        <w:rPr>
          <w:color w:val="003CA0"/>
          <w:sz w:val="12"/>
        </w:rPr>
        <w:t xml:space="preserve"> | rel. Roberto Barroso</w:t>
      </w:r>
    </w:p>
    <w:p>
      <w:pPr>
        <w:ind w:left="288"/>
      </w:pPr>
      <w:r>
        <w:rPr>
          <w:color w:val="1E1E1E"/>
          <w:sz w:val="18"/>
        </w:rPr>
        <w:t xml:space="preserve">É inconstitucional a legislação que presume a perda da condição de hipossuficiência econômica para efeito de aplicação do benefício de gratuidade de justiça, apenas em razão da apuração de créditos em favor do trabalhador em outra relação processual, dispensado o empregador do ônus processual de comprovar eventual modificação na capacidade econômica do beneficiário. A ausência injustificada à audiência de julgamento frustra o exercício da jurisdição e acarreta prejuízos materiais para o órgão judiciário e para a parte reclamada, o que não se coaduna com deveres mínimos de boa-fé, cooperação e </w:t>
      </w:r>
    </w:p>
    <w:p>
      <w:pPr>
        <w:ind w:left="288"/>
      </w:pPr>
      <w:r>
        <w:rPr>
          <w:b/>
          <w:color w:val="003CA0"/>
          <w:sz w:val="16"/>
        </w:rPr>
        <w:t>[ADI 5.766, rel. min. Roberto Barroso, red. do ac. min. Alexandre de Moraes, j. 20-10-2021, P, DJE de 03-5-2022.]</w:t>
      </w:r>
    </w:p>
    <w:p>
      <w:pPr>
        <w:ind w:left="288"/>
      </w:pPr>
      <w:r>
        <w:rPr>
          <w:color w:val="8C8C8C"/>
          <w:sz w:val="12"/>
        </w:rPr>
        <w:t>cf-art-5-inc-L-ali-b</w:t>
      </w:r>
      <w:r>
        <w:rPr>
          <w:color w:val="003CA0"/>
          <w:sz w:val="12"/>
        </w:rPr>
        <w:t xml:space="preserve"> | ADI 3.658</w:t>
      </w:r>
      <w:r>
        <w:rPr>
          <w:color w:val="003CA0"/>
          <w:sz w:val="12"/>
        </w:rPr>
        <w:t xml:space="preserve"> | rel. Marco Aurélio</w:t>
      </w:r>
    </w:p>
    <w:p>
      <w:pPr>
        <w:ind w:left="288"/>
      </w:pPr>
      <w:r>
        <w:rPr>
          <w:color w:val="1E1E1E"/>
          <w:sz w:val="18"/>
        </w:rPr>
        <w:t>A isenção do pagamento de custas não fica jungida à inviabilidade de atuação da Defensoria Pública, sendo cabível no tocante a cidadão que, sem o prejuízo da assistência própria ou da família, não tenha condições de recolhê-las. Alcance do disposto no artigo 5º, inciso LXXIV, da Carta Federal, presentes princípios constitucionais explícitos e implícitos voltados ao pleno exercício de direitos inerentes à cidadania.</w:t>
      </w:r>
    </w:p>
    <w:p>
      <w:pPr>
        <w:ind w:left="288"/>
      </w:pPr>
      <w:r>
        <w:rPr>
          <w:b/>
          <w:color w:val="003CA0"/>
          <w:sz w:val="16"/>
        </w:rPr>
        <w:t>[ADI 3.658, rel. min. Marco Aurélio, j. 10-10-2019, P, DJE de 24-10-2019.]</w:t>
      </w:r>
    </w:p>
    <w:p>
      <w:pPr>
        <w:ind w:left="288"/>
      </w:pPr>
      <w:r>
        <w:rPr>
          <w:color w:val="8C8C8C"/>
          <w:sz w:val="12"/>
        </w:rPr>
        <w:t>cf-art-5-inc-L-ali-b</w:t>
      </w:r>
      <w:r>
        <w:rPr>
          <w:color w:val="003CA0"/>
          <w:sz w:val="12"/>
        </w:rPr>
        <w:t xml:space="preserve"> | ADI 3.892</w:t>
      </w:r>
      <w:r>
        <w:rPr>
          <w:color w:val="003CA0"/>
          <w:sz w:val="12"/>
        </w:rPr>
        <w:t xml:space="preserve"> | rel. Joaquim Barbosa</w:t>
      </w:r>
    </w:p>
    <w:p>
      <w:pPr>
        <w:ind w:left="288"/>
      </w:pPr>
      <w:r>
        <w:rPr>
          <w:color w:val="1E1E1E"/>
          <w:sz w:val="18"/>
        </w:rPr>
        <w:t>Art. 104 da Constituição do Estado de Santa Catarina. LC estadual 155/1997. Convênio com a seccional da OAB/SC para prestação de serviço de "defensoria pública dativa". Inexistência, no Estado de Santa Catarina, de órgão estatal destinado à orientação jurídica e à defesa dos necessitados. Situação institucional que configura severo ataque à dignidade do ser humano. Violação do inciso LXXIV do art. 5º e do art. 134, caput, da redação originária da Constituição de 1988. Ações diretas julgadas procedentes para declarar a inconstitucionalidade do art. 104 da Constituição do Estado de Santa Catarin</w:t>
      </w:r>
    </w:p>
    <w:p>
      <w:pPr>
        <w:ind w:left="288"/>
      </w:pPr>
      <w:r>
        <w:rPr>
          <w:b/>
          <w:color w:val="003CA0"/>
          <w:sz w:val="16"/>
        </w:rPr>
        <w:t>[ADI 3.892 e ADI 4.270, rel. min. Joaquim Barbosa, j. 14-3-2012, P, DJE de 25-9-2012.]</w:t>
      </w:r>
    </w:p>
    <w:p>
      <w:pPr>
        <w:ind w:left="288"/>
      </w:pPr>
      <w:r>
        <w:rPr>
          <w:color w:val="8C8C8C"/>
          <w:sz w:val="12"/>
        </w:rPr>
        <w:t>cf-art-5-inc-L-ali-b</w:t>
      </w:r>
      <w:r>
        <w:rPr>
          <w:color w:val="003CA0"/>
          <w:sz w:val="12"/>
        </w:rPr>
        <w:t xml:space="preserve"> | ARE 767.615</w:t>
      </w:r>
      <w:r>
        <w:rPr>
          <w:color w:val="003CA0"/>
          <w:sz w:val="12"/>
        </w:rPr>
        <w:t xml:space="preserve"> | rel. Cármen Lúcia</w:t>
      </w:r>
    </w:p>
    <w:p>
      <w:pPr>
        <w:ind w:left="288"/>
      </w:pPr>
      <w:r>
        <w:rPr>
          <w:color w:val="1E1E1E"/>
          <w:sz w:val="18"/>
        </w:rPr>
        <w:t>Vide ARE 767.615 AgR, rel. min. Cármen Lúcia, j. 5-11-2013, 2ª T, DJE de 11-11-2013 Reconhecimento, pelas Turmas desta Corte, da obrigatoriedade do custeio do exame de DNA pelo Estado-membro, em favor de hipossuficientes. O custeio do exame pericial da justiça gratuita viabiliza o efetivo exercício do direito à assistência judiciária, consagrado no art. 5º, LXXIV, da CF/1988.</w:t>
      </w:r>
    </w:p>
    <w:p>
      <w:pPr>
        <w:ind w:left="288"/>
      </w:pPr>
      <w:r>
        <w:rPr>
          <w:b/>
          <w:color w:val="003CA0"/>
          <w:sz w:val="16"/>
        </w:rPr>
        <w:t>[ADI 3.394, rel. min. Eros Grau, j. 2-4-2007, P, DJE de 15-8-2008.]</w:t>
      </w:r>
    </w:p>
    <w:p>
      <w:pPr>
        <w:ind w:left="288"/>
      </w:pPr>
      <w:r>
        <w:rPr>
          <w:color w:val="8C8C8C"/>
          <w:sz w:val="12"/>
        </w:rPr>
        <w:t>cf-art-5-inc-L-ali-b</w:t>
      </w:r>
      <w:r>
        <w:rPr>
          <w:color w:val="003CA0"/>
          <w:sz w:val="12"/>
        </w:rPr>
        <w:t xml:space="preserve"> | RE 207.732</w:t>
      </w:r>
      <w:r>
        <w:rPr>
          <w:color w:val="003CA0"/>
          <w:sz w:val="12"/>
        </w:rPr>
        <w:t xml:space="preserve"> | rel. Ellen Gracie</w:t>
      </w:r>
    </w:p>
    <w:p>
      <w:pPr>
        <w:ind w:left="288"/>
      </w:pPr>
      <w:r>
        <w:rPr>
          <w:color w:val="1E1E1E"/>
          <w:sz w:val="18"/>
        </w:rPr>
        <w:t>= RE 207.732, rel. min. Ellen Gracie, j. 11-6-2002, 1ª T, DJ de 2-8-2002 O art. 12 da Lei 1.060/1950 foi recepcionado quanto às custas processuais em sentido estrito, porquanto se mostra razoável interpretar que, em relação às custas não submetidas ao regime tributário, ao "isentar" o jurisdicionado beneficiário da justiça gratuita, o que ocorre é o estabelecimento, por força de lei, de uma condição suspensiva de exigibilidade. Em relação à taxa judiciária, firma-se convicção no sentido da recepção material e formal do art. 12 da Lei 1.060/1950, porquanto o Poder Legislativo em sua relativa li</w:t>
      </w:r>
    </w:p>
    <w:p>
      <w:pPr>
        <w:ind w:left="288"/>
      </w:pPr>
      <w:r>
        <w:rPr>
          <w:b/>
          <w:color w:val="003CA0"/>
          <w:sz w:val="16"/>
        </w:rPr>
        <w:t>[RE 249.003 ED, RE 249.277 ED e RE 284.729 AgR, rel. min. Edson Fachin, j. 9-12-2015, P, DJE de 10-5-2016.]</w:t>
      </w:r>
    </w:p>
    <w:p>
      <w:pPr>
        <w:ind w:left="288"/>
      </w:pPr>
      <w:r>
        <w:rPr>
          <w:color w:val="8C8C8C"/>
          <w:sz w:val="12"/>
        </w:rPr>
        <w:t>cf-art-5-inc-L-ali-b</w:t>
      </w:r>
      <w:r>
        <w:rPr>
          <w:color w:val="003CA0"/>
          <w:sz w:val="12"/>
        </w:rPr>
        <w:t xml:space="preserve"> | RE 482.367</w:t>
      </w:r>
      <w:r>
        <w:rPr>
          <w:color w:val="003CA0"/>
          <w:sz w:val="12"/>
        </w:rPr>
        <w:t xml:space="preserve"> | rel. Cármen Lúcia</w:t>
      </w:r>
    </w:p>
    <w:p>
      <w:pPr>
        <w:ind w:left="288"/>
      </w:pPr>
      <w:r>
        <w:rPr>
          <w:color w:val="1E1E1E"/>
          <w:sz w:val="18"/>
        </w:rPr>
        <w:t>= RE 482.367 AgR-AgR, rel. min. Cármen Lúcia, j. 15-12-2009, 1ª T, DJE de 5-2-2010 = RE 184.841, rel. min. Sepúlveda Pertence, j. 21-3-1995, 1ª T, DJ de 8-9-1995 Defensoria Pública. Implantação. Omissão estatal que compromete e frustra direitos fundamentais de pessoas necessitadas. Situação constitucionalmente intolerável. O reconhecimento, em favor de populações carentes e desassistidas, postas à margem do sistema jurídico, do "direito a ter direitos" como pressuposto de acesso aos demais direitos, liberdades e garantias. Intervenção jurisdicional concretizadora de programa constitucional des</w:t>
      </w:r>
    </w:p>
    <w:p>
      <w:pPr>
        <w:ind w:left="288"/>
      </w:pPr>
      <w:r>
        <w:rPr>
          <w:b/>
          <w:color w:val="003CA0"/>
          <w:sz w:val="16"/>
        </w:rPr>
        <w:t>[AI 598.212 ED, rel. min. Celso de Mello, j. 25-3-2014, 2ª T, DJE de 24-4-2014.]</w:t>
      </w:r>
    </w:p>
    <w:p>
      <w:pPr>
        <w:ind w:left="288"/>
      </w:pPr>
      <w:r>
        <w:rPr>
          <w:color w:val="8C8C8C"/>
          <w:sz w:val="12"/>
        </w:rPr>
        <w:t>cf-art-5-inc-L-ali-b</w:t>
      </w:r>
      <w:r>
        <w:rPr>
          <w:color w:val="003CA0"/>
          <w:sz w:val="12"/>
        </w:rPr>
        <w:t xml:space="preserve"> | AI 652.139</w:t>
      </w:r>
    </w:p>
    <w:p>
      <w:pPr>
        <w:ind w:left="288"/>
      </w:pPr>
      <w:r>
        <w:rPr>
          <w:color w:val="1E1E1E"/>
          <w:sz w:val="18"/>
        </w:rPr>
        <w:t>Justiça gratuita. Requerimento. Ausência de apreciação. Consequências. Uma vez pleiteado o reconhecimento do direito à justiça gratuita, afirmando a parte interessada não ter condições de fazer frente a preparo, cumpre afastar a deserção.</w:t>
      </w:r>
    </w:p>
    <w:p>
      <w:pPr>
        <w:ind w:left="288"/>
      </w:pPr>
      <w:r>
        <w:rPr>
          <w:b/>
          <w:color w:val="003CA0"/>
          <w:sz w:val="16"/>
        </w:rPr>
        <w:t>[AI 652.139 AgR, red. do ac. min.Marco Aurélio, j. 22-5-2012, 1ª T, DJE de 23-8-2012.]</w:t>
      </w:r>
    </w:p>
    <w:p>
      <w:pPr>
        <w:ind w:left="288"/>
      </w:pPr>
      <w:r>
        <w:rPr>
          <w:color w:val="8C8C8C"/>
          <w:sz w:val="12"/>
        </w:rPr>
        <w:t>cf-art-5-inc-L-ali-b</w:t>
      </w:r>
      <w:r>
        <w:rPr>
          <w:color w:val="003CA0"/>
          <w:sz w:val="12"/>
        </w:rPr>
        <w:t xml:space="preserve"> | AI 242.160</w:t>
      </w:r>
      <w:r>
        <w:rPr>
          <w:color w:val="003CA0"/>
          <w:sz w:val="12"/>
        </w:rPr>
        <w:t xml:space="preserve"> | rel. Dias Toffoli</w:t>
      </w:r>
    </w:p>
    <w:p>
      <w:pPr>
        <w:ind w:left="288"/>
      </w:pPr>
      <w:r>
        <w:rPr>
          <w:color w:val="1E1E1E"/>
          <w:sz w:val="18"/>
        </w:rPr>
        <w:t>A jurisprudência desta Corte é no sentido de que o prazo em dobro previsto na Lei 1.060/1950 é prerrogativa concedida unicamente aos defensores públicos, não sendo extensível aos beneficiários da justiça gratuita assistidos por advogados, como no caso, de sua livre escolha.</w:t>
      </w:r>
    </w:p>
    <w:p>
      <w:pPr>
        <w:ind w:left="288"/>
      </w:pPr>
      <w:r>
        <w:rPr>
          <w:b/>
          <w:color w:val="003CA0"/>
          <w:sz w:val="16"/>
        </w:rPr>
        <w:t>[AI 242.160 AgR, rel. min. Dias Toffoli, j. 28-2-2012, 1ª T, DJE de 10-4-2012.]</w:t>
      </w:r>
    </w:p>
    <w:p>
      <w:pPr>
        <w:ind w:left="288"/>
      </w:pPr>
      <w:r>
        <w:rPr>
          <w:color w:val="8C8C8C"/>
          <w:sz w:val="12"/>
        </w:rPr>
        <w:t>cf-art-5-inc-L-ali-b</w:t>
      </w:r>
      <w:r>
        <w:rPr>
          <w:color w:val="003CA0"/>
          <w:sz w:val="12"/>
        </w:rPr>
        <w:t xml:space="preserve"> | RE 346.566</w:t>
      </w:r>
      <w:r>
        <w:rPr>
          <w:color w:val="003CA0"/>
          <w:sz w:val="12"/>
        </w:rPr>
        <w:t xml:space="preserve"> | rel. Ricardo Lewandowski</w:t>
      </w:r>
    </w:p>
    <w:p>
      <w:pPr>
        <w:ind w:left="288"/>
      </w:pPr>
      <w:r>
        <w:rPr>
          <w:color w:val="1E1E1E"/>
          <w:sz w:val="18"/>
        </w:rPr>
        <w:t>O beneficiário de justiça gratuita não necessita comprovar o recolhimento do preparo para oposição de embargos de divergência.</w:t>
      </w:r>
    </w:p>
    <w:p>
      <w:pPr>
        <w:ind w:left="288"/>
      </w:pPr>
      <w:r>
        <w:rPr>
          <w:b/>
          <w:color w:val="003CA0"/>
          <w:sz w:val="16"/>
        </w:rPr>
        <w:t>[RE 346.566 AgR-AgR-EDv-AgR, rel. min. Ricardo Lewandowski, j. 18-11-2010, P, DJE de 13-12-2010.]</w:t>
      </w:r>
    </w:p>
    <w:p>
      <w:pPr>
        <w:ind w:left="288"/>
      </w:pPr>
      <w:r>
        <w:rPr>
          <w:color w:val="8C8C8C"/>
          <w:sz w:val="12"/>
        </w:rPr>
        <w:t>cf-art-5-inc-L-ali-b</w:t>
      </w:r>
      <w:r>
        <w:rPr>
          <w:color w:val="003CA0"/>
          <w:sz w:val="12"/>
        </w:rPr>
        <w:t xml:space="preserve"> | AI 342.393</w:t>
      </w:r>
      <w:r>
        <w:rPr>
          <w:color w:val="003CA0"/>
          <w:sz w:val="12"/>
        </w:rPr>
        <w:t xml:space="preserve"> | rel. Celso de Mello</w:t>
      </w:r>
    </w:p>
    <w:p>
      <w:pPr>
        <w:ind w:left="288"/>
      </w:pPr>
      <w:r>
        <w:rPr>
          <w:color w:val="1E1E1E"/>
          <w:sz w:val="18"/>
        </w:rPr>
        <w:t>A multa a que se refere o art. 18 do CPC – também incidente sobre o beneficiário da gratuidade – possui inquestionável função inibitória, eis que visa a impedir a procrastinação processual e a obstar o exercício abusivo do direito de recorrer.</w:t>
      </w:r>
    </w:p>
    <w:p>
      <w:pPr>
        <w:ind w:left="288"/>
      </w:pPr>
      <w:r>
        <w:rPr>
          <w:b/>
          <w:color w:val="003CA0"/>
          <w:sz w:val="16"/>
        </w:rPr>
        <w:t>[AI 342.393 AgR-ED-EI, rel. min. Celso de Mello, j. 6-4-2010, 2ª T, DJE de 23-4-2010.]</w:t>
      </w:r>
    </w:p>
    <w:p>
      <w:pPr>
        <w:ind w:left="288"/>
      </w:pPr>
      <w:r>
        <w:rPr>
          <w:color w:val="8C8C8C"/>
          <w:sz w:val="12"/>
        </w:rPr>
        <w:t>cf-art-5-inc-L-ali-b</w:t>
      </w:r>
      <w:r>
        <w:rPr>
          <w:color w:val="003CA0"/>
          <w:sz w:val="12"/>
        </w:rPr>
        <w:t xml:space="preserve"> | RHC 88.512</w:t>
      </w:r>
      <w:r>
        <w:rPr>
          <w:color w:val="003CA0"/>
          <w:sz w:val="12"/>
        </w:rPr>
        <w:t xml:space="preserve"> | rel. Cezar Peluso</w:t>
      </w:r>
    </w:p>
    <w:p>
      <w:pPr>
        <w:ind w:left="288"/>
      </w:pPr>
      <w:r>
        <w:rPr>
          <w:color w:val="1E1E1E"/>
          <w:sz w:val="18"/>
        </w:rPr>
        <w:t>Não é nulo o julgamento de apelação sem a intimação pessoal de defensor dativo, nos casos anteriores à entrada em vigor da Lei 9.271/1996.</w:t>
      </w:r>
    </w:p>
    <w:p>
      <w:pPr>
        <w:ind w:left="288"/>
      </w:pPr>
      <w:r>
        <w:rPr>
          <w:b/>
          <w:color w:val="003CA0"/>
          <w:sz w:val="16"/>
        </w:rPr>
        <w:t>[RHC 88.512, rel. min. Cezar Peluso, j. 9-3-2010, 2ª T, DJE de 23-4-2010.]</w:t>
      </w:r>
    </w:p>
    <w:p>
      <w:pPr>
        <w:ind w:left="288"/>
      </w:pPr>
      <w:r>
        <w:rPr>
          <w:color w:val="8C8C8C"/>
          <w:sz w:val="12"/>
        </w:rPr>
        <w:t>cf-art-5-inc-L-ali-b</w:t>
      </w:r>
      <w:r>
        <w:rPr>
          <w:color w:val="003CA0"/>
          <w:sz w:val="12"/>
        </w:rPr>
        <w:t xml:space="preserve"> | HC 105.500</w:t>
      </w:r>
      <w:r>
        <w:rPr>
          <w:color w:val="003CA0"/>
          <w:sz w:val="12"/>
        </w:rPr>
        <w:t xml:space="preserve"> | rel. Dias Toffoli</w:t>
      </w:r>
    </w:p>
    <w:p>
      <w:pPr>
        <w:ind w:left="288"/>
      </w:pPr>
      <w:r>
        <w:rPr>
          <w:color w:val="1E1E1E"/>
          <w:sz w:val="18"/>
        </w:rPr>
        <w:t>= HC 105.500, rel. min. Dias Toffoli, j. 22-5-2012, 1ª T, DJE de 14-6-2012 = HC 99.226, rel. min. Gilmar Mendes, j. 21-9-2010, 2ª T, DJE de 8-10-2010 O paciente postulou a assistência judiciária da Defensoria Pública da União, ao impetrar habeas corpus perante o STJ, de próprio punho. Pedido que não foi examinado pela autoridade apontada como coatora. O que viola as garantias constitucionais do devido processo legal e da "assistência judiciária integral e gratuita aos que comprovarem insuficiência de recursos" (...).</w:t>
      </w:r>
    </w:p>
    <w:p>
      <w:pPr>
        <w:ind w:left="288"/>
      </w:pPr>
      <w:r>
        <w:rPr>
          <w:b/>
          <w:color w:val="003CA0"/>
          <w:sz w:val="16"/>
        </w:rPr>
        <w:t>[HC 90.423, rel. min. Ayres Britto, j. 1º-12-2009, 1ª T, DJE de 12-2-2010.]</w:t>
      </w:r>
    </w:p>
    <w:p>
      <w:pPr>
        <w:ind w:left="288"/>
      </w:pPr>
      <w:r>
        <w:rPr>
          <w:color w:val="8C8C8C"/>
          <w:sz w:val="12"/>
        </w:rPr>
        <w:t>cf-art-5-inc-L-ali-b</w:t>
      </w:r>
      <w:r>
        <w:rPr>
          <w:color w:val="003CA0"/>
          <w:sz w:val="12"/>
        </w:rPr>
        <w:t xml:space="preserve"> | RE 231.705</w:t>
      </w:r>
      <w:r>
        <w:rPr>
          <w:color w:val="003CA0"/>
          <w:sz w:val="12"/>
        </w:rPr>
        <w:t xml:space="preserve"> | rel. Joaquim Barbosa</w:t>
      </w:r>
    </w:p>
    <w:p>
      <w:pPr>
        <w:ind w:left="288"/>
      </w:pPr>
      <w:r>
        <w:rPr>
          <w:color w:val="1E1E1E"/>
          <w:sz w:val="18"/>
        </w:rPr>
        <w:t>A omissão do Poder Judiciário sobre pedido de concessão do benefício da assistência judiciária não pode prejudicar a parte, especialmente quando não houver qualquer impugnação à concessão desse benefício.</w:t>
      </w:r>
    </w:p>
    <w:p>
      <w:pPr>
        <w:ind w:left="288"/>
      </w:pPr>
      <w:r>
        <w:rPr>
          <w:b/>
          <w:color w:val="003CA0"/>
          <w:sz w:val="16"/>
        </w:rPr>
        <w:t>[RE 231.705 ED, rel. min. Joaquim Barbosa, j. 29-9-2009, 2ª T, DJE de 29-10-2009.]</w:t>
      </w:r>
    </w:p>
    <w:p>
      <w:pPr>
        <w:ind w:left="288"/>
      </w:pPr>
      <w:r>
        <w:rPr>
          <w:color w:val="8C8C8C"/>
          <w:sz w:val="12"/>
        </w:rPr>
        <w:t>cf-art-5-inc-L-ali-b</w:t>
      </w:r>
      <w:r>
        <w:rPr>
          <w:color w:val="003CA0"/>
          <w:sz w:val="12"/>
        </w:rPr>
        <w:t xml:space="preserve"> | AI 744.487</w:t>
      </w:r>
      <w:r>
        <w:rPr>
          <w:color w:val="003CA0"/>
          <w:sz w:val="12"/>
        </w:rPr>
        <w:t xml:space="preserve"> | rel. Ricardo Lewandowski</w:t>
      </w:r>
    </w:p>
    <w:p>
      <w:pPr>
        <w:ind w:left="288"/>
      </w:pPr>
      <w:r>
        <w:rPr>
          <w:color w:val="1E1E1E"/>
          <w:sz w:val="18"/>
        </w:rPr>
        <w:t>O deferimento do benefício da gratuidade da justiça só produz efeitos futuros, assim, julgado deserto o recurso, de nada adiantaria a concessão posterior do benefício.</w:t>
      </w:r>
    </w:p>
    <w:p>
      <w:pPr>
        <w:ind w:left="288"/>
      </w:pPr>
      <w:r>
        <w:rPr>
          <w:b/>
          <w:color w:val="003CA0"/>
          <w:sz w:val="16"/>
        </w:rPr>
        <w:t>[AI 744.487 AgR, rel. min. Ricardo Lewandowski, j. 15-9-2009, 1ª T, DJE de 16-10-2009.]</w:t>
      </w:r>
    </w:p>
    <w:p>
      <w:pPr>
        <w:ind w:left="288"/>
      </w:pPr>
      <w:r>
        <w:rPr>
          <w:color w:val="8C8C8C"/>
          <w:sz w:val="12"/>
        </w:rPr>
        <w:t>cf-art-5-inc-L-ali-b</w:t>
      </w:r>
      <w:r>
        <w:rPr>
          <w:color w:val="003CA0"/>
          <w:sz w:val="12"/>
        </w:rPr>
        <w:t xml:space="preserve"> | AI 573.444</w:t>
      </w:r>
      <w:r>
        <w:rPr>
          <w:color w:val="003CA0"/>
          <w:sz w:val="12"/>
        </w:rPr>
        <w:t xml:space="preserve"> | rel. Cezar Peluso</w:t>
      </w:r>
    </w:p>
    <w:p>
      <w:pPr>
        <w:ind w:left="288"/>
      </w:pPr>
      <w:r>
        <w:rPr>
          <w:color w:val="1E1E1E"/>
          <w:sz w:val="18"/>
        </w:rPr>
        <w:t>É dever do Poder Judiciário prover gratuitamente a respeito de peças que devam compor instrumento de agravo interposto por beneficiário de gratuidade de justiça.</w:t>
      </w:r>
    </w:p>
    <w:p>
      <w:pPr>
        <w:ind w:left="288"/>
      </w:pPr>
      <w:r>
        <w:rPr>
          <w:b/>
          <w:color w:val="003CA0"/>
          <w:sz w:val="16"/>
        </w:rPr>
        <w:t>[AI 573.444 AgR, rel. min. Cezar Peluso, j. 8-9-2009, 2ª T, DJE de 9-10-2009.]</w:t>
      </w:r>
    </w:p>
    <w:p>
      <w:pPr>
        <w:ind w:left="288"/>
      </w:pPr>
      <w:r>
        <w:rPr>
          <w:color w:val="8C8C8C"/>
          <w:sz w:val="12"/>
        </w:rPr>
        <w:t>cf-art-5-inc-L-ali-b</w:t>
      </w:r>
      <w:r>
        <w:rPr>
          <w:color w:val="003CA0"/>
          <w:sz w:val="12"/>
        </w:rPr>
        <w:t xml:space="preserve"> | AI 580.880</w:t>
      </w:r>
      <w:r>
        <w:rPr>
          <w:color w:val="003CA0"/>
          <w:sz w:val="12"/>
        </w:rPr>
        <w:t xml:space="preserve"> | rel. Menezes Direito</w:t>
      </w:r>
    </w:p>
    <w:p>
      <w:pPr>
        <w:ind w:left="288"/>
      </w:pPr>
      <w:r>
        <w:rPr>
          <w:color w:val="1E1E1E"/>
          <w:sz w:val="18"/>
        </w:rPr>
        <w:t>Vide AI 580.880 AgR, rel. min. Menezes Direito, j. 7-4-2009, 1ª T, DJE de 8-5-2009 A gratuidade de justiça visa facilitar o amplo acesso ao Poder Judiciário, e não pode o devedor de alimentos se eximir de seu dever de prestá-los por ter sido beneficiado por esse direito.</w:t>
      </w:r>
    </w:p>
    <w:p>
      <w:pPr>
        <w:ind w:left="288"/>
      </w:pPr>
      <w:r>
        <w:rPr>
          <w:b/>
          <w:color w:val="003CA0"/>
          <w:sz w:val="16"/>
        </w:rPr>
        <w:t>[HC 100.104, rel. min. Ellen Gracie, j. 18-8-2009, 2ª T, DJE de 11-9-2009.]</w:t>
      </w:r>
    </w:p>
    <w:p>
      <w:pPr>
        <w:ind w:left="288"/>
      </w:pPr>
      <w:r>
        <w:rPr>
          <w:color w:val="8C8C8C"/>
          <w:sz w:val="12"/>
        </w:rPr>
        <w:t>cf-art-5-inc-L-ali-b</w:t>
      </w:r>
      <w:r>
        <w:rPr>
          <w:color w:val="003CA0"/>
          <w:sz w:val="12"/>
        </w:rPr>
        <w:t xml:space="preserve"> | AP 470</w:t>
      </w:r>
      <w:r>
        <w:rPr>
          <w:color w:val="003CA0"/>
          <w:sz w:val="12"/>
        </w:rPr>
        <w:t xml:space="preserve"> | rel. Joaquim Barbosa</w:t>
      </w:r>
    </w:p>
    <w:p>
      <w:pPr>
        <w:ind w:left="288"/>
      </w:pPr>
      <w:r>
        <w:rPr>
          <w:color w:val="1E1E1E"/>
          <w:sz w:val="18"/>
        </w:rPr>
        <w:t>A expedição de cartas rogatórias para oitiva de testemunhas residentes no exterior condiciona-se à demonstração da imprescindibilidade da diligência e ao pagamento prévio das respectivas custas, pela parte requerente, nos termos do art. 222-A do CPP, ressalvada a possibilidade de concessão de assistência judiciária aos economicamente necessitados.</w:t>
      </w:r>
    </w:p>
    <w:p>
      <w:pPr>
        <w:ind w:left="288"/>
      </w:pPr>
      <w:r>
        <w:rPr>
          <w:b/>
          <w:color w:val="003CA0"/>
          <w:sz w:val="16"/>
        </w:rPr>
        <w:t>[AP 470 QO-quarta, rel. min. Joaquim Barbosa, j. 10-6-2009, P, DJE de 2-10-2009.]</w:t>
      </w:r>
    </w:p>
    <w:p>
      <w:pPr>
        <w:ind w:left="288"/>
      </w:pPr>
      <w:r>
        <w:rPr>
          <w:color w:val="8C8C8C"/>
          <w:sz w:val="12"/>
        </w:rPr>
        <w:t>cf-art-5-inc-L-ali-b</w:t>
      </w:r>
      <w:r>
        <w:rPr>
          <w:color w:val="003CA0"/>
          <w:sz w:val="12"/>
        </w:rPr>
        <w:t xml:space="preserve"> | AI 580.880</w:t>
      </w:r>
      <w:r>
        <w:rPr>
          <w:color w:val="003CA0"/>
          <w:sz w:val="12"/>
        </w:rPr>
        <w:t xml:space="preserve"> | rel. Menezes Direito</w:t>
      </w:r>
    </w:p>
    <w:p>
      <w:pPr>
        <w:ind w:left="288"/>
      </w:pPr>
      <w:r>
        <w:rPr>
          <w:color w:val="1E1E1E"/>
          <w:sz w:val="18"/>
        </w:rPr>
        <w:t>O benefício da assistência judiciária gratuita implica a isenção de despesas, não de ônus processuais de outra natureza, como o de indicar as peças a serem trasladadas e o de fiscalizar a correta formação do instrumento.</w:t>
      </w:r>
    </w:p>
    <w:p>
      <w:pPr>
        <w:ind w:left="288"/>
      </w:pPr>
      <w:r>
        <w:rPr>
          <w:b/>
          <w:color w:val="003CA0"/>
          <w:sz w:val="16"/>
        </w:rPr>
        <w:t>[AI 580.880 AgR, rel. min. Menezes Direito, j. 7-4-2009, 1ª T, DJE de 8-5-2009.]</w:t>
      </w:r>
    </w:p>
    <w:p>
      <w:pPr>
        <w:ind w:left="288"/>
      </w:pPr>
      <w:r>
        <w:rPr>
          <w:color w:val="8C8C8C"/>
          <w:sz w:val="12"/>
        </w:rPr>
        <w:t>cf-art-5-inc-L-ali-b</w:t>
      </w:r>
      <w:r>
        <w:rPr>
          <w:color w:val="003CA0"/>
          <w:sz w:val="12"/>
        </w:rPr>
        <w:t xml:space="preserve"> | AI 748.374</w:t>
      </w:r>
      <w:r>
        <w:rPr>
          <w:color w:val="003CA0"/>
          <w:sz w:val="12"/>
        </w:rPr>
        <w:t xml:space="preserve"> | rel. Joaquim Barbosa</w:t>
      </w:r>
    </w:p>
    <w:p>
      <w:pPr>
        <w:ind w:left="288"/>
      </w:pPr>
      <w:r>
        <w:rPr>
          <w:color w:val="1E1E1E"/>
          <w:sz w:val="18"/>
        </w:rPr>
        <w:t>= AI 748.374 AgR, rel. min. Joaquim Barbosa, j. 16-3-2010, 2ª T, DJE de 7-5-2010 Vide AI 573.444 AgR, rel. min. Cezar Peluso, j. 8-9-2009, 2ª T, DJE de 9-10-2009 A tese da possibilidade ou não do fracionamento da execução principal contra a Fazenda Pública para pagamento de custas processuais não pôde ser examinada em razão de peculiaridade do caso concreto. No caso, o titular do cartório tem legitimidade para executar as custas processuais, uma vez que a parte, por ser beneficiária de assistência judiciária gratuita, não as adiantou.</w:t>
      </w:r>
    </w:p>
    <w:p>
      <w:pPr>
        <w:ind w:left="288"/>
      </w:pPr>
      <w:r>
        <w:rPr>
          <w:b/>
          <w:color w:val="003CA0"/>
          <w:sz w:val="16"/>
        </w:rPr>
        <w:t>[RE 578.695, rel. min. Ricardo Lewandowski, j. 29-10-2008, P, DJE de 20-3-2009.]</w:t>
      </w:r>
    </w:p>
    <w:p>
      <w:pPr>
        <w:ind w:left="288"/>
      </w:pPr>
      <w:r>
        <w:rPr>
          <w:color w:val="8C8C8C"/>
          <w:sz w:val="12"/>
        </w:rPr>
        <w:t>cf-art-5-inc-L-ali-b</w:t>
      </w:r>
      <w:r>
        <w:rPr>
          <w:color w:val="003CA0"/>
          <w:sz w:val="12"/>
        </w:rPr>
        <w:t xml:space="preserve"> | RE 601.115</w:t>
      </w:r>
      <w:r>
        <w:rPr>
          <w:color w:val="003CA0"/>
          <w:sz w:val="12"/>
        </w:rPr>
        <w:t xml:space="preserve"> | rel. Eros Grau</w:t>
      </w:r>
    </w:p>
    <w:p>
      <w:pPr>
        <w:ind w:left="288"/>
      </w:pPr>
      <w:r>
        <w:rPr>
          <w:color w:val="1E1E1E"/>
          <w:sz w:val="18"/>
        </w:rPr>
        <w:t>= RE 601.115 AgR, rel. min. Eros Grau, j. 24-11-2009, 2ª T, DJE de 18-12-2009 A partir da edição da Lei 9.271/1996, que incluiu o § 4º ao art. 370 do CPP, os defensores nomeados, entre os quais se inclui o defensor dativo, passaram também a possuir a prerrogativa da intimação pessoal.</w:t>
      </w:r>
    </w:p>
    <w:p>
      <w:pPr>
        <w:ind w:left="288"/>
      </w:pPr>
      <w:r>
        <w:rPr>
          <w:b/>
          <w:color w:val="003CA0"/>
          <w:sz w:val="16"/>
        </w:rPr>
        <w:t>[HC 89.315, rel. min. Ricardo Lewandowski, j. 19-9-2006, 1ª T, DJ de 13-10-2006.]</w:t>
      </w:r>
    </w:p>
    <w:p>
      <w:pPr>
        <w:ind w:left="288"/>
      </w:pPr>
      <w:r>
        <w:rPr>
          <w:color w:val="8C8C8C"/>
          <w:sz w:val="12"/>
        </w:rPr>
        <w:t>cf-art-5-inc-L-ali-b</w:t>
      </w:r>
      <w:r>
        <w:rPr>
          <w:color w:val="003CA0"/>
          <w:sz w:val="12"/>
        </w:rPr>
        <w:t xml:space="preserve"> | HC 91.567</w:t>
      </w:r>
      <w:r>
        <w:rPr>
          <w:color w:val="003CA0"/>
          <w:sz w:val="12"/>
        </w:rPr>
        <w:t xml:space="preserve"> | rel. Ellen Gracie</w:t>
      </w:r>
    </w:p>
    <w:p>
      <w:pPr>
        <w:ind w:left="288"/>
      </w:pPr>
      <w:r>
        <w:rPr>
          <w:color w:val="1E1E1E"/>
          <w:sz w:val="18"/>
        </w:rPr>
        <w:t>= HC 91.567, rel. min. Ellen Gracie, j. 2-9-2008, 2ª T, DJE de 26-9-2008 Vide HC 102.155, rel. min. Ayres Britto, j. 27-4-2010, 1ª T, DJE de 21-5-2010 Vide RHC 88.512, rel. min. Cezar Peluso, j. 9-3-2010, 2ª T, DJE de 23-4-2010 Vide HC 98.802, rel. min. Joaquim Barbosa, j. 20-10-2009, 2ª T, DJE de 27-11-2009 Ao contrário do que ocorre relativamente às pessoas naturais, não basta a pessoa jurídica asseverar a insuficiência de recursos, devendo comprovar, isto sim, o fato de se encontrar em situação inviabilizadora da assunção dos ônus decorrentes do ingresso em juízo.</w:t>
      </w:r>
    </w:p>
    <w:p>
      <w:pPr>
        <w:ind w:left="288"/>
      </w:pPr>
      <w:r>
        <w:rPr>
          <w:b/>
          <w:color w:val="003CA0"/>
          <w:sz w:val="16"/>
        </w:rPr>
        <w:t>[Rcl 1.905 ED-AgR, rel. min. Marco Aurélio, j. 15-8-2002, P, DJ de 20-9-2002.]</w:t>
      </w:r>
    </w:p>
    <w:p>
      <w:pPr>
        <w:ind w:left="288"/>
      </w:pPr>
      <w:r>
        <w:rPr>
          <w:color w:val="8C8C8C"/>
          <w:sz w:val="12"/>
        </w:rPr>
        <w:t>cf-art-5-inc-L-ali-b</w:t>
      </w:r>
      <w:r>
        <w:rPr>
          <w:color w:val="003CA0"/>
          <w:sz w:val="12"/>
        </w:rPr>
        <w:t xml:space="preserve"> | AI 810.593</w:t>
      </w:r>
      <w:r>
        <w:rPr>
          <w:color w:val="003CA0"/>
          <w:sz w:val="12"/>
        </w:rPr>
        <w:t xml:space="preserve"> | rel. Celso de Mello</w:t>
      </w:r>
    </w:p>
    <w:p>
      <w:pPr>
        <w:ind w:left="288"/>
      </w:pPr>
      <w:r>
        <w:rPr>
          <w:color w:val="1E1E1E"/>
          <w:sz w:val="18"/>
        </w:rPr>
        <w:t>= AI 810.593 AgR-segundo, rel. min. Celso de Mello, j. 20-9-2011, 2ª T, DJE de 4-10-2011 O dever de assistência judiciária pelo Estado não se exaure com o previsto no art. 5º, LXXIV, da Constituição, razão por que o reconhecimento, no caso, da responsabilidade dele pelo pagamento à recorrida, pelo exercício da curadoria especial, a que alude o art. 9º, II, do CPC, não viola o disposto no referido dispositivo constitucional, por não se estar exigindo do Estado mais do que a Carta Magna lhe impõe.</w:t>
      </w:r>
    </w:p>
    <w:p>
      <w:pPr>
        <w:ind w:left="288"/>
      </w:pPr>
      <w:r>
        <w:rPr>
          <w:b/>
          <w:color w:val="003CA0"/>
          <w:sz w:val="16"/>
        </w:rPr>
        <w:t>[RE 223.043, rel. min. Moreira Alves, j. 21-3-2000, 1ª T, DJ de 9-2-2001.]</w:t>
      </w:r>
    </w:p>
    <w:p>
      <w:pPr>
        <w:ind w:left="288"/>
      </w:pPr>
      <w:r>
        <w:rPr>
          <w:color w:val="8C8C8C"/>
          <w:sz w:val="12"/>
        </w:rPr>
        <w:t>cf-art-5-inc-L-ali-b</w:t>
      </w:r>
      <w:r>
        <w:rPr>
          <w:color w:val="003CA0"/>
          <w:sz w:val="12"/>
        </w:rPr>
        <w:t xml:space="preserve"> | RE 205.746</w:t>
      </w:r>
      <w:r>
        <w:rPr>
          <w:color w:val="003CA0"/>
          <w:sz w:val="12"/>
        </w:rPr>
        <w:t xml:space="preserve"> | rel. Carlos Velloso</w:t>
      </w:r>
    </w:p>
    <w:p>
      <w:pPr>
        <w:ind w:left="288"/>
      </w:pPr>
      <w:r>
        <w:rPr>
          <w:color w:val="1E1E1E"/>
          <w:sz w:val="18"/>
        </w:rPr>
        <w:t>A garantia do art. 5º, LXXIV – assistência jurídica integral e gratuita aos que comprovarem insuficiência de recursos –, não revogou a de assistência judiciária gratuita da Lei 1.060, de 1950, aos necessitados, certo que, para obtenção desta, basta a declaração, feita pelo próprio interessado, de que a sua situação econômica não permite vir a juízo sem prejuízo da sua manutenção ou de sua família. Essa norma infraconstitucional põe-se, ademais, dentro do espírito da Constituição, que deseja que seja facilitado o acesso de todos à Justiça (CF, art. 5º, XXXV).</w:t>
      </w:r>
    </w:p>
    <w:p>
      <w:pPr>
        <w:ind w:left="288"/>
      </w:pPr>
      <w:r>
        <w:rPr>
          <w:b/>
          <w:color w:val="003CA0"/>
          <w:sz w:val="16"/>
        </w:rPr>
        <w:t>[RE 205.746, rel. min. Carlos Velloso, j. 26-11-1996, 2ª T, DJ de 28-2-1997.]</w:t>
      </w:r>
    </w:p>
    <w:p>
      <w:pPr>
        <w:ind w:left="288"/>
      </w:pPr>
      <w:r>
        <w:rPr>
          <w:color w:val="8C8C8C"/>
          <w:sz w:val="12"/>
        </w:rPr>
        <w:t>cf-art-5-inc-L-ali-b</w:t>
      </w:r>
      <w:r>
        <w:rPr>
          <w:color w:val="003CA0"/>
          <w:sz w:val="12"/>
        </w:rPr>
        <w:t xml:space="preserve"> | HC 72.328</w:t>
      </w:r>
      <w:r>
        <w:rPr>
          <w:color w:val="003CA0"/>
          <w:sz w:val="12"/>
        </w:rPr>
        <w:t xml:space="preserve"> | rel. Celso de Mello</w:t>
      </w:r>
    </w:p>
    <w:p>
      <w:pPr>
        <w:ind w:left="288"/>
      </w:pPr>
      <w:r>
        <w:rPr>
          <w:color w:val="1E1E1E"/>
          <w:sz w:val="18"/>
        </w:rPr>
        <w:t>A demonstração do estado de miserabilidade pode resultar de quaisquer outros meios probatórios idôneos, além do atestado de pobreza fornecido por autoridade policial competente.</w:t>
      </w:r>
    </w:p>
    <w:p>
      <w:pPr>
        <w:ind w:left="288"/>
      </w:pPr>
      <w:r>
        <w:rPr>
          <w:b/>
          <w:color w:val="003CA0"/>
          <w:sz w:val="16"/>
        </w:rPr>
        <w:t>[HC 72.328, rel. min. Celso de Mello, j. 21-3-1995, 1ª T, DJE de 11-12-2009.)</w:t>
      </w:r>
    </w:p>
    <w:p>
      <w:pPr>
        <w:ind w:left="288"/>
      </w:pPr>
      <w:r>
        <w:rPr>
          <w:color w:val="8C8C8C"/>
          <w:sz w:val="12"/>
        </w:rPr>
        <w:t>cf-art-5-inc-L-ali-b</w:t>
      </w:r>
      <w:r>
        <w:rPr>
          <w:color w:val="003CA0"/>
          <w:sz w:val="12"/>
        </w:rPr>
        <w:t xml:space="preserve"> | HC 67.954</w:t>
      </w:r>
      <w:r>
        <w:rPr>
          <w:color w:val="003CA0"/>
          <w:sz w:val="12"/>
        </w:rPr>
        <w:t xml:space="preserve"> | rel. Paulo Brossard</w:t>
      </w:r>
    </w:p>
    <w:p>
      <w:pPr>
        <w:ind w:left="288"/>
      </w:pPr>
      <w:r>
        <w:rPr>
          <w:color w:val="1E1E1E"/>
          <w:sz w:val="18"/>
        </w:rPr>
        <w:t>Habeas corpus. Revisão criminal. Pedido formulado por advogado integrante de órgão público encarregado da prestação da assistência judiciária gratuita, sem instrumento de mandato outorgado pelo assistido para esse fim. Possibilidade em face da norma do parágrafo único, art. 16 da Lei 1.060/1950 e, hoje, da integralidade da assistência jurídica ao necessitado, consagrada no art. 5º, LXXIV, da CF.</w:t>
      </w:r>
    </w:p>
    <w:p>
      <w:pPr>
        <w:ind w:left="288"/>
      </w:pPr>
      <w:r>
        <w:rPr>
          <w:b/>
          <w:color w:val="003CA0"/>
          <w:sz w:val="16"/>
        </w:rPr>
        <w:t>[HC 67.954, rel. min. Paulo Brossard, j. 24-4-1990, 2ª T, DJ de 9-11-1990.]</w:t>
      </w:r>
    </w:p>
    <w:p>
      <w:pPr>
        <w:ind w:left="288"/>
      </w:pPr>
      <w:r>
        <w:rPr>
          <w:color w:val="8C8C8C"/>
          <w:sz w:val="12"/>
        </w:rPr>
        <w:t>cf-art-5-inc-L-ali-b</w:t>
      </w:r>
      <w:r>
        <w:rPr>
          <w:color w:val="003CA0"/>
          <w:sz w:val="12"/>
        </w:rPr>
        <w:t xml:space="preserve"> | RE 505.393</w:t>
      </w:r>
      <w:r>
        <w:rPr>
          <w:color w:val="003CA0"/>
          <w:sz w:val="12"/>
        </w:rPr>
        <w:t xml:space="preserve"> | rel. Sepúlveda Pertence</w:t>
      </w:r>
    </w:p>
    <w:p>
      <w:pPr>
        <w:ind w:left="288"/>
      </w:pPr>
      <w:r>
        <w:rPr>
          <w:color w:val="1E1E1E"/>
          <w:sz w:val="18"/>
        </w:rPr>
        <w:t>LXXV - o Estado indenizará o condenado por erro judiciário, assim como o que ficar preso além do tempo fixado na sentença; Erro judiciário. Responsabilidade civil objetiva do Estado. Direito à indenização por danos morais decorrentes de condenação desconstituída em revisão criminal e de prisão preventiva. CF, art. 5º, LXXV. CPP, art. 630. O direito à indenização da vítima de erro judiciário e daquela presa além do tempo devido, previsto no art. 5º, LXXV, da Constituição, já era previsto no art. 630 do CPP, com a exceção do caso de ação penal privada e só uma hipótese de exoneração, quando para</w:t>
      </w:r>
    </w:p>
    <w:p>
      <w:pPr>
        <w:ind w:left="288"/>
      </w:pPr>
      <w:r>
        <w:rPr>
          <w:b/>
          <w:color w:val="003CA0"/>
          <w:sz w:val="16"/>
        </w:rPr>
        <w:t>[RE 505.393, rel. min. Sepúlveda Pertence, j. 26-6-2007, 1ª T, DJ de 5-10-2007.]</w:t>
      </w:r>
    </w:p>
    <w:p>
      <w:pPr>
        <w:ind w:left="288"/>
      </w:pPr>
      <w:r>
        <w:rPr>
          <w:color w:val="8C8C8C"/>
          <w:sz w:val="12"/>
        </w:rPr>
        <w:t>cf-art-5-inc-L-ali-b</w:t>
      </w:r>
      <w:r>
        <w:rPr>
          <w:color w:val="003CA0"/>
          <w:sz w:val="12"/>
        </w:rPr>
        <w:t xml:space="preserve"> | HC 73.523</w:t>
      </w:r>
      <w:r>
        <w:rPr>
          <w:color w:val="003CA0"/>
          <w:sz w:val="12"/>
        </w:rPr>
        <w:t xml:space="preserve"> | rel. Octavio Gallotti</w:t>
      </w:r>
    </w:p>
    <w:p>
      <w:pPr>
        <w:ind w:left="288"/>
      </w:pPr>
      <w:r>
        <w:rPr>
          <w:color w:val="1E1E1E"/>
          <w:sz w:val="18"/>
        </w:rPr>
        <w:t>Alegação de erro judiciário que, a despeito de sua reconhecida relevância, não apresenta liquidez suficiente para exame em rito de habeas corpus.</w:t>
      </w:r>
    </w:p>
    <w:p>
      <w:pPr>
        <w:ind w:left="288"/>
      </w:pPr>
      <w:r>
        <w:rPr>
          <w:b/>
          <w:color w:val="003CA0"/>
          <w:sz w:val="16"/>
        </w:rPr>
        <w:t>[HC 73.523, rel. min. Octavio Gallotti, j. 26-3-1996, 1ª T, DJ de 25-10-1996.]</w:t>
      </w:r>
    </w:p>
    <w:p>
      <w:pPr>
        <w:ind w:left="288"/>
      </w:pPr>
      <w:r>
        <w:rPr>
          <w:color w:val="8C8C8C"/>
          <w:sz w:val="12"/>
        </w:rPr>
        <w:t>cf-art-5-inc-L-ali-b</w:t>
      </w:r>
      <w:r>
        <w:rPr>
          <w:color w:val="003CA0"/>
          <w:sz w:val="12"/>
        </w:rPr>
        <w:t xml:space="preserve"> | HC 70.766</w:t>
      </w:r>
      <w:r>
        <w:rPr>
          <w:color w:val="003CA0"/>
          <w:sz w:val="12"/>
        </w:rPr>
        <w:t xml:space="preserve"> | rel. Moreira Alves</w:t>
      </w:r>
    </w:p>
    <w:p>
      <w:pPr>
        <w:ind w:left="288"/>
      </w:pPr>
      <w:r>
        <w:rPr>
          <w:color w:val="1E1E1E"/>
          <w:sz w:val="18"/>
        </w:rPr>
        <w:t>= HC 70.766, rel. min. Moreira Alves, j. 9-11-1993, 1ª T, DJ de 11-3-1994 LXXVI - são gratuitos para os reconhecidamente pobres, na forma da lei: Lei 9.534/1997. Registros públicos. Atos relacionados ao exercício da cidadania. Gratuidade. (...) A atividade desenvolvida pelos titulares das serventias de notas e registros, embora seja análoga à atividade empresarial, sujeita-se a um regime de direito público. Não ofende o princípio da proporcionalidade lei que isenta os "reconhecidamente pobres" do pagamento dos emolumentos devidos pela expedição de registro civil de nascimento e de óbito, bem c</w:t>
      </w:r>
    </w:p>
    <w:p>
      <w:pPr>
        <w:ind w:left="288"/>
      </w:pPr>
      <w:r>
        <w:rPr>
          <w:b/>
          <w:color w:val="003CA0"/>
          <w:sz w:val="16"/>
        </w:rPr>
        <w:t>[ADC 5, rel. min. Ricardo Lewandowski, j. 11-6-2007, P, DJ de 5-10-2007.]</w:t>
      </w:r>
    </w:p>
    <w:p>
      <w:pPr>
        <w:ind w:left="288"/>
      </w:pPr>
      <w:r>
        <w:rPr>
          <w:color w:val="8C8C8C"/>
          <w:sz w:val="12"/>
        </w:rPr>
        <w:t>cf-art-5-inc-L-ali-b</w:t>
      </w:r>
      <w:r>
        <w:rPr>
          <w:color w:val="003CA0"/>
          <w:sz w:val="12"/>
        </w:rPr>
        <w:t xml:space="preserve"> | RE 1.018.911</w:t>
      </w:r>
      <w:r>
        <w:rPr>
          <w:color w:val="003CA0"/>
          <w:sz w:val="12"/>
        </w:rPr>
        <w:t xml:space="preserve"> | rel. Luiz Fux</w:t>
      </w:r>
    </w:p>
    <w:p>
      <w:pPr>
        <w:ind w:left="288"/>
      </w:pPr>
      <w:r>
        <w:rPr>
          <w:color w:val="1E1E1E"/>
          <w:sz w:val="18"/>
        </w:rPr>
        <w:t>É imune ao pagamento de taxas para registro da regularização migratória o estrangeiro que demonstre sua condição de hipossuficiente, nos termos da legislação de regência.</w:t>
      </w:r>
    </w:p>
    <w:p>
      <w:pPr>
        <w:ind w:left="288"/>
      </w:pPr>
      <w:r>
        <w:rPr>
          <w:b/>
          <w:color w:val="003CA0"/>
          <w:sz w:val="16"/>
        </w:rPr>
        <w:t>[RE 1.018.911, rel. min. Luiz Fux, j. 11-11-2021, P, DJE de 2-12-2021, Tema 988, com mérito julgado.]</w:t>
      </w:r>
    </w:p>
    <w:p>
      <w:pPr>
        <w:ind w:left="288"/>
      </w:pPr>
      <w:r>
        <w:rPr>
          <w:color w:val="8C8C8C"/>
          <w:sz w:val="12"/>
        </w:rPr>
        <w:t>cf-art-5-inc-L-ali-b</w:t>
      </w:r>
      <w:r>
        <w:rPr>
          <w:color w:val="003CA0"/>
          <w:sz w:val="12"/>
        </w:rPr>
        <w:t xml:space="preserve"> | ADI 4.825</w:t>
      </w:r>
      <w:r>
        <w:rPr>
          <w:color w:val="003CA0"/>
          <w:sz w:val="12"/>
        </w:rPr>
        <w:t xml:space="preserve"> | rel. Edson Fachin</w:t>
      </w:r>
    </w:p>
    <w:p>
      <w:pPr>
        <w:ind w:left="288"/>
      </w:pPr>
      <w:r>
        <w:rPr>
          <w:color w:val="1E1E1E"/>
          <w:sz w:val="18"/>
        </w:rPr>
        <w:t>LXXVII - são gratuitas as ações de habeas corpus e habeas data, e, na forma da lei, os atos necessários ao exercício da cidadania. O Registro Geral (RG) ou carteira de identidade é um documento público emitido para cidadãos nascidos e registrados no Brasil e para nascidos no exterior, que sejam filhos de brasileiros, servindo para confirmar a identidade da pessoa natural, solicitação de outros documentos e exercício de direitos relacionados à cidadania. A gratuidade da emissão da primeira via da carteira de identidade não desborda da legítima liberdade de conformação normativa do Poder Legisla</w:t>
      </w:r>
    </w:p>
    <w:p>
      <w:pPr>
        <w:ind w:left="288"/>
      </w:pPr>
      <w:r>
        <w:rPr>
          <w:b/>
          <w:color w:val="003CA0"/>
          <w:sz w:val="16"/>
        </w:rPr>
        <w:t>[ADI 4.825, rel. min. Edson Fachin, j. 15-12-2016, 1ª T, DJE de 9-2-2017.]</w:t>
      </w:r>
    </w:p>
    <w:p>
      <w:pPr>
        <w:ind w:left="288"/>
      </w:pPr>
      <w:r>
        <w:rPr>
          <w:color w:val="8C8C8C"/>
          <w:sz w:val="12"/>
        </w:rPr>
        <w:t>cf-art-5-inc-L-ali-b</w:t>
      </w:r>
      <w:r>
        <w:rPr>
          <w:color w:val="003CA0"/>
          <w:sz w:val="12"/>
        </w:rPr>
        <w:t xml:space="preserve"> | ADI 5.737</w:t>
      </w:r>
      <w:r>
        <w:rPr>
          <w:color w:val="003CA0"/>
          <w:sz w:val="12"/>
        </w:rPr>
        <w:t xml:space="preserve"> | rel. Dias Toffoli</w:t>
      </w:r>
    </w:p>
    <w:p>
      <w:pPr>
        <w:ind w:left="288"/>
      </w:pPr>
      <w:r>
        <w:rPr>
          <w:color w:val="1E1E1E"/>
          <w:sz w:val="18"/>
        </w:rPr>
        <w:t>LXXVIII - a todos, no âmbito judicial e administrativo, são assegurados a razoável duração do processo e os meios que garantam a celeridade de sua tramitação. (Incluído pela EC n. 45/2004) Nas hipóteses previstas nos arts. 9º, parágrafo único, inciso II, e 311, parágrafo único, do CPC/2015, o contraditório não foi suprimido, e sim diferido, como ocorre em qualquer provimento liminar. O legislador realizou uma ponderação entre a garantia do contraditório, de um lado, e a garantia de um processo justo e efetivo, de outro, o qual compreende a duração razoável do processo, a celeridade de sua tram</w:t>
      </w:r>
    </w:p>
    <w:p>
      <w:pPr>
        <w:ind w:left="288"/>
      </w:pPr>
      <w:r>
        <w:rPr>
          <w:b/>
          <w:color w:val="003CA0"/>
          <w:sz w:val="16"/>
        </w:rPr>
        <w:t>[ADI 5.737, rel. min. Dias Toffoli, red. do ac. min. Roberto Barroso, j. 25-4-2023, P, DJE de 27-6-2023.]</w:t>
      </w:r>
    </w:p>
    <w:p>
      <w:pPr>
        <w:ind w:left="288"/>
      </w:pPr>
      <w:r>
        <w:rPr>
          <w:color w:val="8C8C8C"/>
          <w:sz w:val="12"/>
        </w:rPr>
        <w:t>cf-art-5-inc-L-ali-b</w:t>
      </w:r>
      <w:r>
        <w:rPr>
          <w:color w:val="003CA0"/>
          <w:sz w:val="12"/>
        </w:rPr>
        <w:t xml:space="preserve"> | ADI 5.941</w:t>
      </w:r>
      <w:r>
        <w:rPr>
          <w:color w:val="003CA0"/>
          <w:sz w:val="12"/>
        </w:rPr>
        <w:t xml:space="preserve"> | rel. Luiz Fux</w:t>
      </w:r>
    </w:p>
    <w:p>
      <w:pPr>
        <w:ind w:left="288"/>
      </w:pPr>
      <w:r>
        <w:rPr>
          <w:color w:val="1E1E1E"/>
          <w:sz w:val="18"/>
        </w:rPr>
        <w:t>Os poderes do juiz no processo (...) incluem “determinar todas as medidas indutivas, coercitivas, mandamentais ou subrogatórias necessárias para assegurar o cumprimento de ordem judicial, inclusive nas ações que tenham por objeto prestação pecuniária” (artigo 139, IV), obedecidos o devido processo legal, a proporcionalidade, a eficiência, e, notadamente, a sistemática positivada no próprio NCPC, cuja leitura deve ser contextualizada e razoável à luz do texto legal. (...) In casu, o argumento da eventual possibilidade teórica de restrição irrazoável da liberdade do cidadão, por meio da aplicaçã</w:t>
      </w:r>
    </w:p>
    <w:p>
      <w:pPr>
        <w:ind w:left="288"/>
      </w:pPr>
      <w:r>
        <w:rPr>
          <w:b/>
          <w:color w:val="003CA0"/>
          <w:sz w:val="16"/>
        </w:rPr>
        <w:t>[ADI 5.941, rel. min. Luiz Fux, j. 9-2-2023, P, DJE de 28-4-2023.]</w:t>
      </w:r>
    </w:p>
    <w:p>
      <w:pPr>
        <w:ind w:left="288"/>
      </w:pPr>
      <w:r>
        <w:rPr>
          <w:color w:val="8C8C8C"/>
          <w:sz w:val="12"/>
        </w:rPr>
        <w:t>cf-art-5-inc-L-ali-b</w:t>
      </w:r>
      <w:r>
        <w:rPr>
          <w:color w:val="003CA0"/>
          <w:sz w:val="12"/>
        </w:rPr>
        <w:t xml:space="preserve"> | ADI 5.507</w:t>
      </w:r>
      <w:r>
        <w:rPr>
          <w:color w:val="003CA0"/>
          <w:sz w:val="12"/>
        </w:rPr>
        <w:t xml:space="preserve"> | rel. Dias Toffoli</w:t>
      </w:r>
    </w:p>
    <w:p>
      <w:pPr>
        <w:ind w:left="288"/>
      </w:pPr>
      <w:r>
        <w:rPr>
          <w:color w:val="1E1E1E"/>
          <w:sz w:val="18"/>
        </w:rPr>
        <w:t>Artigo 2º da Lei nº 13.165/15. Inclusão do art. 96-b na Lei nº 9.504/97 (Lei das eleições). (...) Quanto à expressão na instância em que ele se encontrar, prevista no § 2º do art. 96-B da Lei das Eleições, na hipótese de ajuizamento de ações por autores distintos, há que se determinar, sempre que possível, a reunião dos processos, o que equivaleria a um litisconsórcio ativo facultativo de uma única demanda. 7. Todavia, não se pode desconsiderar o juízo de conveniência e oportunidade a ser realizado pelo próprio julgador, que deverá avaliar se a reunião causará tumulto processual, violação do c</w:t>
      </w:r>
    </w:p>
    <w:p>
      <w:pPr>
        <w:ind w:left="288"/>
      </w:pPr>
      <w:r>
        <w:rPr>
          <w:b/>
          <w:color w:val="003CA0"/>
          <w:sz w:val="16"/>
        </w:rPr>
        <w:t>[ADI 5.507, rel. min. Dias Toffoli, j. 5-9-2022, P, DJE de 3-10-2022.]</w:t>
      </w:r>
    </w:p>
    <w:p>
      <w:pPr>
        <w:ind w:left="288"/>
      </w:pPr>
      <w:r>
        <w:rPr>
          <w:color w:val="8C8C8C"/>
          <w:sz w:val="12"/>
        </w:rPr>
        <w:t>cf-art-5-inc-L-ali-b</w:t>
      </w:r>
      <w:r>
        <w:rPr>
          <w:color w:val="003CA0"/>
          <w:sz w:val="12"/>
        </w:rPr>
        <w:t xml:space="preserve"> | ADI 3.880</w:t>
      </w:r>
      <w:r>
        <w:rPr>
          <w:color w:val="003CA0"/>
          <w:sz w:val="12"/>
        </w:rPr>
        <w:t xml:space="preserve"> | rel. Edson Fachin</w:t>
      </w:r>
    </w:p>
    <w:p>
      <w:pPr>
        <w:ind w:left="288"/>
      </w:pPr>
      <w:r>
        <w:rPr>
          <w:color w:val="1E1E1E"/>
          <w:sz w:val="18"/>
        </w:rPr>
        <w:t>A Lei 11.419/2006 tem o propósito de viabilizar o uso de recursos tecnológicos disponíveis de modo a garantir uma prestação jurisdicional mais célere e eficiente, tal como previsto como direito fundamental no art. 5º, LXXVII, incluído pela Emenda Constitucional 45/2004, a reforma do Judiciário. Na esteira dessa Emenda, a lei 11.419/06 inaugurou a informatização dos processos judiciais, disciplinando os parâmetros de incorporação dessas inovações, a fim de resguardar a segurança e a credibilidade do sistema processual.</w:t>
      </w:r>
    </w:p>
    <w:p>
      <w:pPr>
        <w:ind w:left="288"/>
      </w:pPr>
      <w:r>
        <w:rPr>
          <w:b/>
          <w:color w:val="003CA0"/>
          <w:sz w:val="16"/>
        </w:rPr>
        <w:t>[ADI 3.880, rel. min. Edson Fachin, j. 21-2-2020, P, DJE de 16-11-2020.]</w:t>
      </w:r>
    </w:p>
    <w:p>
      <w:pPr>
        <w:ind w:left="288"/>
      </w:pPr>
      <w:r>
        <w:rPr>
          <w:color w:val="8C8C8C"/>
          <w:sz w:val="12"/>
        </w:rPr>
        <w:t>cf-art-5-inc-L-ali-b</w:t>
      </w:r>
      <w:r>
        <w:rPr>
          <w:color w:val="003CA0"/>
          <w:sz w:val="12"/>
        </w:rPr>
        <w:t xml:space="preserve"> | RE 1.018.911</w:t>
      </w:r>
      <w:r>
        <w:rPr>
          <w:color w:val="003CA0"/>
          <w:sz w:val="12"/>
        </w:rPr>
        <w:t xml:space="preserve"> | rel. Luiz Fux</w:t>
      </w:r>
    </w:p>
    <w:p>
      <w:pPr>
        <w:ind w:left="288"/>
      </w:pPr>
      <w:r>
        <w:rPr>
          <w:color w:val="1E1E1E"/>
          <w:sz w:val="18"/>
        </w:rPr>
        <w:t>É imune ao pagamento de taxas para registro da regularização migratória o estrangeiro que demonstre sua condição de hipossuficiente, nos termos da legislação de regência.</w:t>
      </w:r>
    </w:p>
    <w:p>
      <w:pPr>
        <w:ind w:left="288"/>
      </w:pPr>
      <w:r>
        <w:rPr>
          <w:b/>
          <w:color w:val="003CA0"/>
          <w:sz w:val="16"/>
        </w:rPr>
        <w:t>[RE 1.018.911, rel. min. Luiz Fux, j. 10-11-2021, P, DJE de 2-12-2021, Tema 988, com mérito julgado.]</w:t>
      </w:r>
    </w:p>
    <w:p>
      <w:pPr>
        <w:ind w:left="288"/>
      </w:pPr>
      <w:r>
        <w:rPr>
          <w:color w:val="8C8C8C"/>
          <w:sz w:val="12"/>
        </w:rPr>
        <w:t>cf-art-5-inc-L-ali-b</w:t>
      </w:r>
      <w:r>
        <w:rPr>
          <w:color w:val="003CA0"/>
          <w:sz w:val="12"/>
        </w:rPr>
        <w:t xml:space="preserve"> | RCL 44.398</w:t>
      </w:r>
      <w:r>
        <w:rPr>
          <w:color w:val="003CA0"/>
          <w:sz w:val="12"/>
        </w:rPr>
        <w:t xml:space="preserve"> | rel. Edson Fachin</w:t>
      </w:r>
    </w:p>
    <w:p>
      <w:pPr>
        <w:ind w:left="288"/>
      </w:pPr>
      <w:r>
        <w:rPr>
          <w:color w:val="1E1E1E"/>
          <w:sz w:val="18"/>
        </w:rPr>
        <w:t>O Princípio Constitucional da Duração Razoável do processo, previsto no art. 5º, LXXVII, da Constituição Federal e no art. 8º da Convenção Americana de Direitos Humanos [CADH; Caso Baena Ricardo e outros v. Panamá], aplica-se a qualquer procedimento estatal, com três sentidos distintos. O primeiro é o de garantir à definição da situação jurídica de arguidos perante os procedimentos sancionatórios estatais, evitando a prorrogação do contexto de incerteza. O segundo é o de conferir estabilidade às relações jurídicas dos envolvidos, fundamento do próprio Estado. O terceiro é o de proporcionar con</w:t>
      </w:r>
    </w:p>
    <w:p>
      <w:pPr>
        <w:ind w:left="288"/>
      </w:pPr>
      <w:r>
        <w:rPr>
          <w:b/>
          <w:color w:val="003CA0"/>
          <w:sz w:val="16"/>
        </w:rPr>
        <w:t>[Rcl 44.398 AgR, rel. min. Edson Fachin, red. do ac. min. Gilmar Mendes, j. 5-6-2023, 2ª T, DJE de 29-8-2023.]</w:t>
      </w:r>
    </w:p>
    <w:p>
      <w:pPr>
        <w:ind w:left="288"/>
      </w:pPr>
      <w:r>
        <w:rPr>
          <w:color w:val="8C8C8C"/>
          <w:sz w:val="12"/>
        </w:rPr>
        <w:t>cf-art-5-inc-L-ali-b</w:t>
      </w:r>
      <w:r>
        <w:rPr>
          <w:color w:val="003CA0"/>
          <w:sz w:val="12"/>
        </w:rPr>
        <w:t xml:space="preserve"> | INQ 4.419</w:t>
      </w:r>
      <w:r>
        <w:rPr>
          <w:color w:val="003CA0"/>
          <w:sz w:val="12"/>
        </w:rPr>
        <w:t xml:space="preserve"> | rel. Gilmar Mendes</w:t>
      </w:r>
    </w:p>
    <w:p>
      <w:pPr>
        <w:ind w:left="288"/>
      </w:pPr>
      <w:r>
        <w:rPr>
          <w:color w:val="1E1E1E"/>
          <w:sz w:val="18"/>
        </w:rPr>
        <w:t>Constrangimento ilegal. Art. 231, §4o, do RISTF. Art. 654, §2o, CPP. Colaboração premiada. Necessidade de corroboração mínima das declarações. Falta de suporte fático-probatório para prosseguimento das investigações. Ausência de prazo razoável. Constrangimento manifestamente ilegal. Na forma do art. 231, §4°, “e”, do Regimento Interno do STF (RISTF) e do art. 654, §2o, do CPP, o relator deve determinar o arquivamento do inquérito quando verificar a ausência de indícios mínimos de autoria e materialidade e/ou nos casos em que foram descumpridos os prazos para a instrução. Trata-se de dispositiv</w:t>
      </w:r>
    </w:p>
    <w:p>
      <w:pPr>
        <w:ind w:left="288"/>
      </w:pPr>
      <w:r>
        <w:rPr>
          <w:b/>
          <w:color w:val="003CA0"/>
          <w:sz w:val="16"/>
        </w:rPr>
        <w:t>[INQ 4.419, rel. min. Gilmar Mendes, j. 11-9-2018, 2ª T, DJE de 23-11-2018.]</w:t>
      </w:r>
    </w:p>
    <w:p>
      <w:pPr>
        <w:ind w:left="288"/>
      </w:pPr>
      <w:r>
        <w:rPr>
          <w:color w:val="8C8C8C"/>
          <w:sz w:val="12"/>
        </w:rPr>
        <w:t>cf-art-5-inc-L-ali-b</w:t>
      </w:r>
      <w:r>
        <w:rPr>
          <w:color w:val="003CA0"/>
          <w:sz w:val="12"/>
        </w:rPr>
        <w:t xml:space="preserve"> | AR 1.244</w:t>
      </w:r>
      <w:r>
        <w:rPr>
          <w:color w:val="003CA0"/>
          <w:sz w:val="12"/>
        </w:rPr>
        <w:t xml:space="preserve"> | rel. Cármen Lúcia</w:t>
      </w:r>
    </w:p>
    <w:p>
      <w:pPr>
        <w:ind w:left="288"/>
      </w:pPr>
      <w:r>
        <w:rPr>
          <w:color w:val="1E1E1E"/>
          <w:sz w:val="18"/>
        </w:rPr>
        <w:t>Ressalte-se que a prestação jurisdicional firmou-se como um verdadeiro direito público subjetivo do cidadão na Constituição da República. Assim, o Poder Judiciário não é fonte de justiça segundo suas próprias razões, como se fosse um fim e a sociedade um meio. O Judiciário foi criado pela sociedade para fazer justiça, para que os cidadãos tenham convivência harmoniosa. Portanto, é dever do Judiciário dar a resposta buscada pelo cidadão no prazo razoável. A justiça humana se presta aos vivos e em prol da vida que se julga.</w:t>
      </w:r>
    </w:p>
    <w:p>
      <w:pPr>
        <w:ind w:left="288"/>
      </w:pPr>
      <w:r>
        <w:rPr>
          <w:b/>
          <w:color w:val="003CA0"/>
          <w:sz w:val="16"/>
        </w:rPr>
        <w:t>[AR 1.244 EI, rel. min. Cármen Lúcia, j. 22-9-2016, P, DJE de 30-3-2017.]</w:t>
      </w:r>
    </w:p>
    <w:p>
      <w:pPr>
        <w:ind w:left="288"/>
      </w:pPr>
      <w:r>
        <w:rPr>
          <w:color w:val="8C8C8C"/>
          <w:sz w:val="12"/>
        </w:rPr>
        <w:t>cf-art-5-inc-L-ali-b</w:t>
      </w:r>
      <w:r>
        <w:rPr>
          <w:color w:val="003CA0"/>
          <w:sz w:val="12"/>
        </w:rPr>
        <w:t xml:space="preserve"> | MS 29.270</w:t>
      </w:r>
      <w:r>
        <w:rPr>
          <w:color w:val="003CA0"/>
          <w:sz w:val="12"/>
        </w:rPr>
        <w:t xml:space="preserve"> | rel. Dias Toffoli</w:t>
      </w:r>
    </w:p>
    <w:p>
      <w:pPr>
        <w:ind w:left="288"/>
      </w:pPr>
      <w:r>
        <w:rPr>
          <w:color w:val="1E1E1E"/>
          <w:sz w:val="18"/>
        </w:rPr>
        <w:t>Quando configurada a identidade de objetos, não há violação do contraditório, mas, antes, respeito à duração razoável do processo, na análise conjunta pelo CNJ de pedidos de providência paralelamente instaurados naquele Conselho. Fica dispensada, na hipótese, nova intimação dos interessados, máxime quando suas razões forem apreciadas pelo CNJ e por comissão especialmente instituída no tribunal para o qual for dirigida a ordem do Conselho.</w:t>
      </w:r>
    </w:p>
    <w:p>
      <w:pPr>
        <w:ind w:left="288"/>
      </w:pPr>
      <w:r>
        <w:rPr>
          <w:b/>
          <w:color w:val="003CA0"/>
          <w:sz w:val="16"/>
        </w:rPr>
        <w:t>[MS 29.270 AgR, rel. min. Dias Toffoli, j. 10-4-2014, P, DJE de 2-6-2014.]</w:t>
      </w:r>
    </w:p>
    <w:p>
      <w:pPr>
        <w:ind w:left="288"/>
      </w:pPr>
      <w:r>
        <w:rPr>
          <w:color w:val="8C8C8C"/>
          <w:sz w:val="12"/>
        </w:rPr>
        <w:t>cf-art-5-inc-L-ali-b</w:t>
      </w:r>
      <w:r>
        <w:rPr>
          <w:color w:val="003CA0"/>
          <w:sz w:val="12"/>
        </w:rPr>
        <w:t xml:space="preserve"> | RCL 10.202</w:t>
      </w:r>
    </w:p>
    <w:p>
      <w:pPr>
        <w:ind w:left="288"/>
      </w:pPr>
      <w:r>
        <w:rPr>
          <w:color w:val="1E1E1E"/>
          <w:sz w:val="18"/>
        </w:rPr>
        <w:t>Prazo para a Fazenda Pública opor embargos à execução. (...) Aplicação do prazo ampliado de trinta dias, previsto no art. 730 do CPC, dando-se processamento imediato à petição, em respeito à razoável duração do processo.</w:t>
      </w:r>
    </w:p>
    <w:p>
      <w:pPr>
        <w:ind w:left="288"/>
      </w:pPr>
      <w:r>
        <w:rPr>
          <w:b/>
          <w:color w:val="003CA0"/>
          <w:sz w:val="16"/>
        </w:rPr>
        <w:t>[Rcl 10.202 AgR, red. do ac. min. Dias Toffoli, j. 18-11-2010, P, DJE de 17-5-2011.]</w:t>
      </w:r>
    </w:p>
    <w:p>
      <w:pPr>
        <w:ind w:left="288"/>
      </w:pPr>
      <w:r>
        <w:rPr>
          <w:color w:val="8C8C8C"/>
          <w:sz w:val="12"/>
        </w:rPr>
        <w:t>cf-art-5-inc-L-ali-b</w:t>
      </w:r>
      <w:r>
        <w:rPr>
          <w:color w:val="003CA0"/>
          <w:sz w:val="12"/>
        </w:rPr>
        <w:t xml:space="preserve"> | HC 100.299</w:t>
      </w:r>
      <w:r>
        <w:rPr>
          <w:color w:val="003CA0"/>
          <w:sz w:val="12"/>
        </w:rPr>
        <w:t xml:space="preserve"> | rel. Ricardo Lewandowski</w:t>
      </w:r>
    </w:p>
    <w:p>
      <w:pPr>
        <w:ind w:left="288"/>
      </w:pPr>
      <w:r>
        <w:rPr>
          <w:color w:val="1E1E1E"/>
          <w:sz w:val="18"/>
        </w:rPr>
        <w:t>O excesso de trabalho que assoberba o STJ permite a flexibilização, em alguma medida, da desejável celeridade processual. Instrução processual que se mostra deficiente, inviabilizando a apreciação do pleito. A concessão da ordem para determinar o julgamento do writ na Corte a quo, ademais, poderia redundar na injustiça de se determinar que a impetração manejada em favor do paciente seja colocada em posição privilegiada em relação a de outros jurisdicionados.</w:t>
      </w:r>
    </w:p>
    <w:p>
      <w:pPr>
        <w:ind w:left="288"/>
      </w:pPr>
      <w:r>
        <w:rPr>
          <w:b/>
          <w:color w:val="003CA0"/>
          <w:sz w:val="16"/>
        </w:rPr>
        <w:t>[HC 100.299, rel. min. Ricardo Lewandowski, j. 2-2-2010, 1ª T, DJE de 5-3-2010.]</w:t>
      </w:r>
    </w:p>
    <w:p>
      <w:pPr>
        <w:ind w:left="288"/>
      </w:pPr>
      <w:r>
        <w:rPr>
          <w:color w:val="8C8C8C"/>
          <w:sz w:val="12"/>
        </w:rPr>
        <w:t>cf-art-5-inc-L-ali-b</w:t>
      </w:r>
      <w:r>
        <w:rPr>
          <w:color w:val="003CA0"/>
          <w:sz w:val="12"/>
        </w:rPr>
        <w:t xml:space="preserve"> | HC 102.457</w:t>
      </w:r>
      <w:r>
        <w:rPr>
          <w:color w:val="003CA0"/>
          <w:sz w:val="12"/>
        </w:rPr>
        <w:t xml:space="preserve"> | rel. Celso de Mello</w:t>
      </w:r>
    </w:p>
    <w:p>
      <w:pPr>
        <w:ind w:left="288"/>
      </w:pPr>
      <w:r>
        <w:rPr>
          <w:color w:val="1E1E1E"/>
          <w:sz w:val="18"/>
        </w:rPr>
        <w:t>= HC 102.457, rel. min. Celso de Mello, j. 3-8-2010, 2ª T, DJE de 1º-8-2013 = HC 96.504, rel. min. Cármen Lúcia, j. 30-6-2009, 1ª T, DJE de 23-10-2009 = HC 91.041, red. do ac. min. Ayres Britto, j. 5-6-2007, 1ª T, DJ de 17-8-2007 Vide HC 91.408, rel. min. Eros Grau, j. 14-8-2007, 2ª T, DJ de 26-10-2007 Extrapola o limite do razoável o não julgamento de recurso de apelação interposto há quase dois anos e meio. Impõe-se rever o entendimento de que o excesso de prazo deve ser computado somente até a prolação da sentença, quando há a formação da culpa. Há de se impor, também, tempo razoável para o</w:t>
      </w:r>
    </w:p>
    <w:p>
      <w:pPr>
        <w:ind w:left="288"/>
      </w:pPr>
      <w:r>
        <w:rPr>
          <w:b/>
          <w:color w:val="003CA0"/>
          <w:sz w:val="16"/>
        </w:rPr>
        <w:t>[HC 99.425, rel. min. Eros Grau, j. 15-12-2009, 2ª T, DJE de 16-4-2010.]</w:t>
      </w:r>
    </w:p>
    <w:p>
      <w:pPr>
        <w:ind w:left="288"/>
      </w:pPr>
      <w:r>
        <w:rPr>
          <w:color w:val="8C8C8C"/>
          <w:sz w:val="12"/>
        </w:rPr>
        <w:t>cf-art-5-inc-L-ali-b</w:t>
      </w:r>
      <w:r>
        <w:rPr>
          <w:color w:val="003CA0"/>
          <w:sz w:val="12"/>
        </w:rPr>
        <w:t xml:space="preserve"> | HC 96.665</w:t>
      </w:r>
      <w:r>
        <w:rPr>
          <w:color w:val="003CA0"/>
          <w:sz w:val="12"/>
        </w:rPr>
        <w:t xml:space="preserve"> | rel. Joaquim Barbosa</w:t>
      </w:r>
    </w:p>
    <w:p>
      <w:pPr>
        <w:ind w:left="288"/>
      </w:pPr>
      <w:r>
        <w:rPr>
          <w:color w:val="1E1E1E"/>
          <w:sz w:val="18"/>
        </w:rPr>
        <w:t>= HC 96.665, rel. min. Joaquim Barbosa, j. 1º-2-2011, 2ª T, DJE de 16-3-2011 A mera expectativa de que a instrução criminal possa encerrar-se em data próxima não supera a alegação de excesso de prazo, quando não há previsão concreta de julgamento.</w:t>
      </w:r>
    </w:p>
    <w:p>
      <w:pPr>
        <w:ind w:left="288"/>
      </w:pPr>
      <w:r>
        <w:rPr>
          <w:b/>
          <w:color w:val="003CA0"/>
          <w:sz w:val="16"/>
        </w:rPr>
        <w:t>[HC 100.111, rel. min. Cezar Peluso, j. 17-11-2009, 2ª T, DJE de 18-12-2009.]</w:t>
      </w:r>
    </w:p>
    <w:p>
      <w:pPr>
        <w:ind w:left="288"/>
      </w:pPr>
      <w:r>
        <w:rPr>
          <w:color w:val="8C8C8C"/>
          <w:sz w:val="12"/>
        </w:rPr>
        <w:t>cf-art-5-inc-L-ali-b</w:t>
      </w:r>
      <w:r>
        <w:rPr>
          <w:color w:val="003CA0"/>
          <w:sz w:val="12"/>
        </w:rPr>
        <w:t xml:space="preserve"> | HC 100.574</w:t>
      </w:r>
      <w:r>
        <w:rPr>
          <w:color w:val="003CA0"/>
          <w:sz w:val="12"/>
        </w:rPr>
        <w:t xml:space="preserve"> | rel. Celso de Mello</w:t>
      </w:r>
    </w:p>
    <w:p>
      <w:pPr>
        <w:ind w:left="288"/>
      </w:pPr>
      <w:r>
        <w:rPr>
          <w:color w:val="1E1E1E"/>
          <w:sz w:val="18"/>
        </w:rPr>
        <w:t>O excesso de prazo, mesmo tratando-se de delito hediondo (ou a este equiparado), não pode ser tolerado, impondo-se, ao Poder Judiciário, em obséquio aos princípios consagrados na Constituição da República, a imediata revogação da prisão cautelar do indiciado ou do réu.</w:t>
      </w:r>
    </w:p>
    <w:p>
      <w:pPr>
        <w:ind w:left="288"/>
      </w:pPr>
      <w:r>
        <w:rPr>
          <w:b/>
          <w:color w:val="003CA0"/>
          <w:sz w:val="16"/>
        </w:rPr>
        <w:t>[HC 100.574, rel. min. Celso de Mello, j. 10-11-2009, 2ª T,  DJE de 9-4-2010.]</w:t>
      </w:r>
    </w:p>
    <w:p>
      <w:pPr>
        <w:ind w:left="288"/>
      </w:pPr>
      <w:r>
        <w:rPr>
          <w:color w:val="8C8C8C"/>
          <w:sz w:val="12"/>
        </w:rPr>
        <w:t>cf-art-5-inc-L-ali-b</w:t>
      </w:r>
      <w:r>
        <w:rPr>
          <w:color w:val="003CA0"/>
          <w:sz w:val="12"/>
        </w:rPr>
        <w:t xml:space="preserve"> | HC 98.163</w:t>
      </w:r>
      <w:r>
        <w:rPr>
          <w:color w:val="003CA0"/>
          <w:sz w:val="12"/>
        </w:rPr>
        <w:t xml:space="preserve"> | rel. Ellen Gracie</w:t>
      </w:r>
    </w:p>
    <w:p>
      <w:pPr>
        <w:ind w:left="288"/>
      </w:pPr>
      <w:r>
        <w:rPr>
          <w:color w:val="1E1E1E"/>
          <w:sz w:val="18"/>
        </w:rPr>
        <w:t>Como regra, desde que devidamente fundamentada e com base no parâmetro da razoabilidade, é possível a prorrogação dos prazos processuais para o término da instrução criminal de caráter complexo.</w:t>
      </w:r>
    </w:p>
    <w:p>
      <w:pPr>
        <w:ind w:left="288"/>
      </w:pPr>
      <w:r>
        <w:rPr>
          <w:b/>
          <w:color w:val="003CA0"/>
          <w:sz w:val="16"/>
        </w:rPr>
        <w:t>[HC 98.163, rel. min. Ellen Gracie, j. 6-10-2009, 2ª T, DJE de 29-10-2009.]</w:t>
      </w:r>
    </w:p>
    <w:p>
      <w:pPr>
        <w:ind w:left="288"/>
      </w:pPr>
      <w:r>
        <w:rPr>
          <w:color w:val="8C8C8C"/>
          <w:sz w:val="12"/>
        </w:rPr>
        <w:t>cf-art-5-inc-L-ali-b</w:t>
      </w:r>
      <w:r>
        <w:rPr>
          <w:color w:val="003CA0"/>
          <w:sz w:val="12"/>
        </w:rPr>
        <w:t xml:space="preserve"> | AP 470</w:t>
      </w:r>
      <w:r>
        <w:rPr>
          <w:color w:val="003CA0"/>
          <w:sz w:val="12"/>
        </w:rPr>
        <w:t xml:space="preserve"> | rel. Joaquim Barbosa</w:t>
      </w:r>
    </w:p>
    <w:p>
      <w:pPr>
        <w:ind w:left="288"/>
      </w:pPr>
      <w:r>
        <w:rPr>
          <w:color w:val="1E1E1E"/>
          <w:sz w:val="18"/>
        </w:rPr>
        <w:t>A expedição de cartas rogatórias para oitiva de testemunhas residentes no exterior condiciona-se à demonstração da imprescindibilidade da diligência (...). A norma que impõe à parte no processo penal a obrigatoriedade de demonstrar a imprescindibilidade da oitiva da testemunha por ela arrolada, e que vive no exterior, guarda perfeita harmonia com o inciso LXXVIII do art. 5º da CF.</w:t>
      </w:r>
    </w:p>
    <w:p>
      <w:pPr>
        <w:ind w:left="288"/>
      </w:pPr>
      <w:r>
        <w:rPr>
          <w:b/>
          <w:color w:val="003CA0"/>
          <w:sz w:val="16"/>
        </w:rPr>
        <w:t>[AP 470 QO-quarta, rel. min. Joaquim Barbosa, j. 10-6-2009, P, DJE de 2-10-2009.]</w:t>
      </w:r>
    </w:p>
    <w:p>
      <w:pPr>
        <w:ind w:left="288"/>
      </w:pPr>
      <w:r>
        <w:rPr>
          <w:color w:val="8C8C8C"/>
          <w:sz w:val="12"/>
        </w:rPr>
        <w:t>cf-art-5-inc-L-ali-b</w:t>
      </w:r>
      <w:r>
        <w:rPr>
          <w:color w:val="003CA0"/>
          <w:sz w:val="12"/>
        </w:rPr>
        <w:t xml:space="preserve"> | AP 477</w:t>
      </w:r>
      <w:r>
        <w:rPr>
          <w:color w:val="003CA0"/>
          <w:sz w:val="12"/>
        </w:rPr>
        <w:t xml:space="preserve"> | rel. Ricardo Lewandowski</w:t>
      </w:r>
    </w:p>
    <w:p>
      <w:pPr>
        <w:ind w:left="288"/>
      </w:pPr>
      <w:r>
        <w:rPr>
          <w:color w:val="1E1E1E"/>
          <w:sz w:val="18"/>
        </w:rPr>
        <w:t>= AP 477 AgR, rel. min. Ricardo Lewandowski, j. 7-10-2010, P, DJE de 25-10-2010 A interpretação da Constituição não é para ser procedida à margem da realidade, sem que se a compreenda como elemento da norma resultante da interpretação. A práxis social é, nesse sentido, elemento da norma, de modo que interpretações corretas são incompatíveis com teorizações nutridas em idealismo que não a tome, a práxis, como seu fundamento. Ao interpretá-la, a Constituição, o intérprete há de tomar como objeto de compreensão também a realidade em cujo contexto dá-se a interpretação, no momento histórico em que</w:t>
      </w:r>
    </w:p>
    <w:p>
      <w:pPr>
        <w:ind w:left="288"/>
      </w:pPr>
      <w:r>
        <w:rPr>
          <w:b/>
          <w:color w:val="003CA0"/>
          <w:sz w:val="16"/>
        </w:rPr>
        <w:t>[RE 433.512, rel. min. Eros Grau, j. 26-5-2009, 2ª T, DJE de 7-8-2009.]</w:t>
      </w:r>
    </w:p>
    <w:p>
      <w:pPr>
        <w:ind w:left="288"/>
      </w:pPr>
      <w:r>
        <w:rPr>
          <w:color w:val="8C8C8C"/>
          <w:sz w:val="12"/>
        </w:rPr>
        <w:t>cf-art-5-inc-L-ali-b</w:t>
      </w:r>
      <w:r>
        <w:rPr>
          <w:color w:val="003CA0"/>
          <w:sz w:val="12"/>
        </w:rPr>
        <w:t xml:space="preserve"> | ADC 11</w:t>
      </w:r>
      <w:r>
        <w:rPr>
          <w:color w:val="003CA0"/>
          <w:sz w:val="12"/>
        </w:rPr>
        <w:t xml:space="preserve"> | rel. Cármen Lúcia</w:t>
      </w:r>
    </w:p>
    <w:p>
      <w:pPr>
        <w:ind w:left="288"/>
      </w:pPr>
      <w:r>
        <w:rPr>
          <w:color w:val="1E1E1E"/>
          <w:sz w:val="18"/>
        </w:rPr>
        <w:t>A decisão que deixa de receber embargos à execução trabalhista opostos no prazo legal, afastando a aplicação do art. 1º-B da Lei 9.494/1997, descumpre a decisão proferida na ADC 11 MC/DF. A prestação jurisdicional é uma das formas de se concretizar o princípio da dignidade humana, o que torna imprescindível seja ela realizada de forma célere, plena e eficaz. Não é razoável que, diante das peculiaridades do caso e da idade avançada da exequente, se determine suspensão da execução trabalhista e se imponha à parte que aguarde o julgamento definitivo da ação apontada como paradigma nesta reclamaçã</w:t>
      </w:r>
    </w:p>
    <w:p>
      <w:pPr>
        <w:ind w:left="288"/>
      </w:pPr>
      <w:r>
        <w:rPr>
          <w:b/>
          <w:color w:val="003CA0"/>
          <w:sz w:val="16"/>
        </w:rPr>
        <w:t>[Rcl 5.758, rel. min. Cármen Lúcia, j. 13-5-2009, P, DJE de 7-8-2009.]</w:t>
      </w:r>
    </w:p>
    <w:p>
      <w:pPr>
        <w:ind w:left="288"/>
      </w:pPr>
      <w:r>
        <w:rPr>
          <w:color w:val="8C8C8C"/>
          <w:sz w:val="12"/>
        </w:rPr>
        <w:t>cf-art-5-inc-L-ali-b</w:t>
      </w:r>
      <w:r>
        <w:rPr>
          <w:color w:val="003CA0"/>
          <w:sz w:val="12"/>
        </w:rPr>
        <w:t xml:space="preserve"> | RCL 15.880</w:t>
      </w:r>
      <w:r>
        <w:rPr>
          <w:color w:val="003CA0"/>
          <w:sz w:val="12"/>
        </w:rPr>
        <w:t xml:space="preserve"> | rel. Teori Zavascki</w:t>
      </w:r>
    </w:p>
    <w:p>
      <w:pPr>
        <w:ind w:left="288"/>
      </w:pPr>
      <w:r>
        <w:rPr>
          <w:color w:val="1E1E1E"/>
          <w:sz w:val="18"/>
        </w:rPr>
        <w:t>= Rcl 15.880 AgR, rel. min. Teori Zavascki, j. 17-10-2013, P, DJE de 8-11-2013 (...) o excesso de prazo não resulta de simples operação aritmética. Complexidade do processo, retardamento justificado, atos procrastinatórios da defesa e número de réus envolvidos são fatores que, analisados em conjunto ou separadamente, indicam ser, ou não, razoável o prazo para o encerramento da instrução criminal.</w:t>
      </w:r>
    </w:p>
    <w:p>
      <w:pPr>
        <w:ind w:left="288"/>
      </w:pPr>
      <w:r>
        <w:rPr>
          <w:b/>
          <w:color w:val="003CA0"/>
          <w:sz w:val="16"/>
        </w:rPr>
        <w:t>[HC 97.461, rel. min. Eros Grau, j. 12-5-2009, 2ª T, DJE de 1º-7-2009.]</w:t>
      </w:r>
    </w:p>
    <w:p>
      <w:pPr>
        <w:ind w:left="288"/>
      </w:pPr>
      <w:r>
        <w:rPr>
          <w:color w:val="8C8C8C"/>
          <w:sz w:val="12"/>
        </w:rPr>
        <w:t>cf-art-5-inc-L-ali-b</w:t>
      </w:r>
      <w:r>
        <w:rPr>
          <w:color w:val="003CA0"/>
          <w:sz w:val="12"/>
        </w:rPr>
        <w:t xml:space="preserve"> | HC 96.511</w:t>
      </w:r>
      <w:r>
        <w:rPr>
          <w:color w:val="003CA0"/>
          <w:sz w:val="12"/>
        </w:rPr>
        <w:t xml:space="preserve"> | rel. Menezes Direito</w:t>
      </w:r>
    </w:p>
    <w:p>
      <w:pPr>
        <w:ind w:left="288"/>
      </w:pPr>
      <w:r>
        <w:rPr>
          <w:color w:val="1E1E1E"/>
          <w:sz w:val="18"/>
        </w:rPr>
        <w:t>Há comprovação nos autos de que a marcha processual ainda continua em razão de diligências requeridas pelo próprio paciente, que atua em defesa própria, não configurando, portanto, constrangimento ilegal flagrante decorrente do alegado excesso de prazo para o encerramento da instrução criminal.</w:t>
      </w:r>
    </w:p>
    <w:p>
      <w:pPr>
        <w:ind w:left="288"/>
      </w:pPr>
      <w:r>
        <w:rPr>
          <w:b/>
          <w:color w:val="003CA0"/>
          <w:sz w:val="16"/>
        </w:rPr>
        <w:t>[HC 96.511, rel. min. Menezes Direito, j. 28-4-2009, 1ª T, DJE de 29-5-2009.]</w:t>
      </w:r>
    </w:p>
    <w:p>
      <w:pPr>
        <w:ind w:left="288"/>
      </w:pPr>
      <w:r>
        <w:rPr>
          <w:color w:val="8C8C8C"/>
          <w:sz w:val="12"/>
        </w:rPr>
        <w:t>cf-art-5-inc-L-ali-b</w:t>
      </w:r>
      <w:r>
        <w:rPr>
          <w:color w:val="003CA0"/>
          <w:sz w:val="12"/>
        </w:rPr>
        <w:t xml:space="preserve"> | HC 102.449</w:t>
      </w:r>
      <w:r>
        <w:rPr>
          <w:color w:val="003CA0"/>
          <w:sz w:val="12"/>
        </w:rPr>
        <w:t xml:space="preserve"> | rel. Joaquim Barbosa</w:t>
      </w:r>
    </w:p>
    <w:p>
      <w:pPr>
        <w:ind w:left="288"/>
      </w:pPr>
      <w:r>
        <w:rPr>
          <w:color w:val="1E1E1E"/>
          <w:sz w:val="18"/>
        </w:rPr>
        <w:t>= HC 102.449, rel. min. Joaquim Barbosa, j. 21-9-2010, 2ª T, DJE de 22-10-2010 A prioridade de tramitação nos casos em que figurem como parte os maiores de sessenta anos abrange todas as instâncias recursais (art. 71 da Lei 10.741/2003). Não há razão para falar-se na impetração de mandado de segurança visando à concessão do benefício, bastando o requerimento com prova de sua idade, nos próprios autos em que se pretende a prioridade de tramitação (art. 71, § 1º, da Lei 10.741/2003).</w:t>
      </w:r>
    </w:p>
    <w:p>
      <w:pPr>
        <w:ind w:left="288"/>
      </w:pPr>
      <w:r>
        <w:rPr>
          <w:b/>
          <w:color w:val="003CA0"/>
          <w:sz w:val="16"/>
        </w:rPr>
        <w:t>[MS 26.946 AgR, rel. min. Eros Grau, j. 8-10-2008, P, DJE de 14-11-2008.]</w:t>
      </w:r>
    </w:p>
    <w:p>
      <w:pPr>
        <w:ind w:left="288"/>
      </w:pPr>
      <w:r>
        <w:rPr>
          <w:color w:val="8C8C8C"/>
          <w:sz w:val="12"/>
        </w:rPr>
        <w:t>cf-art-5-inc-L-ali-b</w:t>
      </w:r>
      <w:r>
        <w:rPr>
          <w:color w:val="003CA0"/>
          <w:sz w:val="12"/>
        </w:rPr>
        <w:t xml:space="preserve"> | HC 95.045</w:t>
      </w:r>
      <w:r>
        <w:rPr>
          <w:color w:val="003CA0"/>
          <w:sz w:val="12"/>
        </w:rPr>
        <w:t xml:space="preserve"> | rel. Ellen Gracie</w:t>
      </w:r>
    </w:p>
    <w:p>
      <w:pPr>
        <w:ind w:left="288"/>
      </w:pPr>
      <w:r>
        <w:rPr>
          <w:color w:val="1E1E1E"/>
          <w:sz w:val="18"/>
        </w:rPr>
        <w:t>A razoável duração do processo (...), logicamente, deve ser harmonizada com outros princípios e valores constitucionalmente adotados no direito brasileiro, não podendo ser considerada de maneira isolada e descontextualizada do caso relacionado à lide penal que se instaurou a partir da prática dos ilícitos. A jurisprudência desta Corte é uniforme ao considerar que o encerramento da instrução criminal torna prejudicada a alegação de excesso de prazo (...).</w:t>
      </w:r>
    </w:p>
    <w:p>
      <w:pPr>
        <w:ind w:left="288"/>
      </w:pPr>
      <w:r>
        <w:rPr>
          <w:b/>
          <w:color w:val="003CA0"/>
          <w:sz w:val="16"/>
        </w:rPr>
        <w:t>[HC 95.045, rel. min. Ellen Gracie, j. 9-9-2008, 2ª T, DJE de 26-9-2008.]</w:t>
      </w:r>
    </w:p>
    <w:p>
      <w:pPr>
        <w:ind w:left="288"/>
      </w:pPr>
      <w:r>
        <w:rPr>
          <w:color w:val="8C8C8C"/>
          <w:sz w:val="12"/>
        </w:rPr>
        <w:t>cf-art-5-inc-L-ali-b</w:t>
      </w:r>
      <w:r>
        <w:rPr>
          <w:color w:val="003CA0"/>
          <w:sz w:val="12"/>
        </w:rPr>
        <w:t xml:space="preserve"> | RHC 98.731</w:t>
      </w:r>
      <w:r>
        <w:rPr>
          <w:color w:val="003CA0"/>
          <w:sz w:val="12"/>
        </w:rPr>
        <w:t xml:space="preserve"> | rel. Cármen Lúcia</w:t>
      </w:r>
    </w:p>
    <w:p>
      <w:pPr>
        <w:ind w:left="288"/>
      </w:pPr>
      <w:r>
        <w:rPr>
          <w:color w:val="1E1E1E"/>
          <w:sz w:val="18"/>
        </w:rPr>
        <w:t>= RHC 98.731, rel. min. Cármen Lúcia, j. 2-12-2010, 1ª T, DJE de 1º-2-2011 Vide HC 98.621, rel. min. Ricardo Lewandowski, j. 23-3-2010, 1ª T, DJE de 23-4-2010 O direito de petição e o acesso ao Poder Judiciário para reparar lesão ou ameaça a direito são garantias previstas na CF. Contudo, o exercício abusivo desses direitos acaba por atrapalhar o bom andamento de ações que deveriam ser ininterruptas e mais céleres possíveis, justamente para garantir ao jurisdicionado a efetiva prestação da tutela pretendida.</w:t>
      </w:r>
    </w:p>
    <w:p>
      <w:pPr>
        <w:ind w:left="288"/>
      </w:pPr>
      <w:r>
        <w:rPr>
          <w:b/>
          <w:color w:val="003CA0"/>
          <w:sz w:val="16"/>
        </w:rPr>
        <w:t>[HC 94.170, rel. min. Menezes Direito, j. 10-6-2008, 1ª T, DJE de 8-8-2008.]</w:t>
      </w:r>
    </w:p>
    <w:p>
      <w:pPr>
        <w:ind w:left="288"/>
      </w:pPr>
      <w:r>
        <w:rPr>
          <w:color w:val="8C8C8C"/>
          <w:sz w:val="12"/>
        </w:rPr>
        <w:t>cf-art-5-inc-L-ali-b</w:t>
      </w:r>
      <w:r>
        <w:rPr>
          <w:color w:val="003CA0"/>
          <w:sz w:val="12"/>
        </w:rPr>
        <w:t xml:space="preserve"> | HC 94.421</w:t>
      </w:r>
      <w:r>
        <w:rPr>
          <w:color w:val="003CA0"/>
          <w:sz w:val="12"/>
        </w:rPr>
        <w:t xml:space="preserve"> | rel. Cármen Lúcia</w:t>
      </w:r>
    </w:p>
    <w:p>
      <w:pPr>
        <w:ind w:left="288"/>
      </w:pPr>
      <w:r>
        <w:rPr>
          <w:color w:val="1E1E1E"/>
          <w:sz w:val="18"/>
        </w:rPr>
        <w:t>Se a alegação de excesso de prazo da prisão não foi submetida às instâncias antecedentes, não cabe ao Supremo Tribunal dela conhecer originariamente, sob pena de supressão de instância.</w:t>
      </w:r>
    </w:p>
    <w:p>
      <w:pPr>
        <w:ind w:left="288"/>
      </w:pPr>
      <w:r>
        <w:rPr>
          <w:b/>
          <w:color w:val="003CA0"/>
          <w:sz w:val="16"/>
        </w:rPr>
        <w:t>[HC 94.421, rel. min. Cármen Lúcia, j. 3-6-2008, 1ª T, DJE de 31-10-2008.]</w:t>
      </w:r>
    </w:p>
    <w:p>
      <w:pPr>
        <w:ind w:left="288"/>
      </w:pPr>
      <w:r>
        <w:rPr>
          <w:color w:val="8C8C8C"/>
          <w:sz w:val="12"/>
        </w:rPr>
        <w:t>cf-art-5-inc-L-ali-b</w:t>
      </w:r>
      <w:r>
        <w:rPr>
          <w:color w:val="003CA0"/>
          <w:sz w:val="12"/>
        </w:rPr>
        <w:t xml:space="preserve"> | HC 97.072</w:t>
      </w:r>
      <w:r>
        <w:rPr>
          <w:color w:val="003CA0"/>
          <w:sz w:val="12"/>
        </w:rPr>
        <w:t xml:space="preserve"> | rel. Eros Grau</w:t>
      </w:r>
    </w:p>
    <w:p>
      <w:pPr>
        <w:ind w:left="288"/>
      </w:pPr>
      <w:r>
        <w:rPr>
          <w:color w:val="1E1E1E"/>
          <w:sz w:val="18"/>
        </w:rPr>
        <w:t>= HC 97.072 AgR, rel. min. Eros Grau, j. 3-3-2009, 2ª T, DJE de 14-8-2009 (...) a elaboração de uma petição de recurso extraordinário com a apresentação da repercussão geral da matéria constitucional suscitada em um tópico destacado torna mais célere a prestação jurisdicional almejada, otimizando a administração da Justiça (...).</w:t>
      </w:r>
    </w:p>
    <w:p>
      <w:pPr>
        <w:ind w:left="288"/>
      </w:pPr>
      <w:r>
        <w:rPr>
          <w:b/>
          <w:color w:val="003CA0"/>
          <w:sz w:val="16"/>
        </w:rPr>
        <w:t>[RE 569.476 AgR, voto da min. Ellen Gracie, j. 2-4-2008, P, DJE de 25-4-2008.]</w:t>
      </w:r>
    </w:p>
    <w:p>
      <w:pPr>
        <w:ind w:left="288"/>
      </w:pPr>
      <w:r>
        <w:rPr>
          <w:color w:val="8C8C8C"/>
          <w:sz w:val="12"/>
        </w:rPr>
        <w:t>cf-art-5-inc-L-ali-b</w:t>
      </w:r>
      <w:r>
        <w:rPr>
          <w:color w:val="003CA0"/>
          <w:sz w:val="12"/>
        </w:rPr>
        <w:t xml:space="preserve"> | HC 93.302</w:t>
      </w:r>
      <w:r>
        <w:rPr>
          <w:color w:val="003CA0"/>
          <w:sz w:val="12"/>
        </w:rPr>
        <w:t xml:space="preserve"> | rel. Cármen Lúcia</w:t>
      </w:r>
    </w:p>
    <w:p>
      <w:pPr>
        <w:ind w:left="288"/>
      </w:pPr>
      <w:r>
        <w:rPr>
          <w:color w:val="1E1E1E"/>
          <w:sz w:val="18"/>
        </w:rPr>
        <w:t>A superveniência da sentença condenatória – novo título de prisão – prejudica a questão referente ao excesso de prazo da prisão.</w:t>
      </w:r>
    </w:p>
    <w:p>
      <w:pPr>
        <w:ind w:left="288"/>
      </w:pPr>
      <w:r>
        <w:rPr>
          <w:b/>
          <w:color w:val="003CA0"/>
          <w:sz w:val="16"/>
        </w:rPr>
        <w:t>[HC 93.302, rel. min. Cármen Lúcia, j. 25-3-2008, 1ª T, DJE de 9-5-2008.]</w:t>
      </w:r>
    </w:p>
    <w:p>
      <w:pPr>
        <w:ind w:left="288"/>
      </w:pPr>
      <w:r>
        <w:rPr>
          <w:color w:val="8C8C8C"/>
          <w:sz w:val="12"/>
        </w:rPr>
        <w:t>cf-art-5-inc-L-ali-b</w:t>
      </w:r>
      <w:r>
        <w:rPr>
          <w:color w:val="003CA0"/>
          <w:sz w:val="12"/>
        </w:rPr>
        <w:t xml:space="preserve"> | HC 97.013</w:t>
      </w:r>
      <w:r>
        <w:rPr>
          <w:color w:val="003CA0"/>
          <w:sz w:val="12"/>
        </w:rPr>
        <w:t xml:space="preserve"> | rel. Marco Aurélio</w:t>
      </w:r>
    </w:p>
    <w:p>
      <w:pPr>
        <w:ind w:left="288"/>
      </w:pPr>
      <w:r>
        <w:rPr>
          <w:color w:val="1E1E1E"/>
          <w:sz w:val="18"/>
        </w:rPr>
        <w:t>= HC 97.013, rel. min. Marco Aurélio, red. do ac. min. Dias Toffoli, j. 28-9-2010, 1ª T, DJE de 15-2-2011 Não caracteriza constrangimento ilegal o excesso de prazo que não decorra de inércia ou desídia do Poder Judiciário.</w:t>
      </w:r>
    </w:p>
    <w:p>
      <w:pPr>
        <w:ind w:left="288"/>
      </w:pPr>
      <w:r>
        <w:rPr>
          <w:b/>
          <w:color w:val="003CA0"/>
          <w:sz w:val="16"/>
        </w:rPr>
        <w:t>[HC 91.480, rel. min. Cezar Peluso, j. 25-9-2007, 2ª T, DJ de 30-11-2007.]</w:t>
      </w:r>
    </w:p>
    <w:p>
      <w:pPr>
        <w:ind w:left="288"/>
      </w:pPr>
      <w:r>
        <w:rPr>
          <w:color w:val="8C8C8C"/>
          <w:sz w:val="12"/>
        </w:rPr>
        <w:t>cf-art-5-inc-L-ali-b</w:t>
      </w:r>
      <w:r>
        <w:rPr>
          <w:color w:val="003CA0"/>
          <w:sz w:val="12"/>
        </w:rPr>
        <w:t xml:space="preserve"> | HC 103.302</w:t>
      </w:r>
      <w:r>
        <w:rPr>
          <w:color w:val="003CA0"/>
          <w:sz w:val="12"/>
        </w:rPr>
        <w:t xml:space="preserve"> | rel. Ricardo Lewandowski</w:t>
      </w:r>
    </w:p>
    <w:p>
      <w:pPr>
        <w:ind w:left="288"/>
      </w:pPr>
      <w:r>
        <w:rPr>
          <w:color w:val="1E1E1E"/>
          <w:sz w:val="18"/>
        </w:rPr>
        <w:t>= HC 103.302, rel. min. Ricardo Lewandowski, j. 1º-6-2010, 1ª T, DJE de 25-6-2010 A Constituição do Brasil determina que "a todos, no âmbito judicial e administrativo, são assegurados a razoável duração do processo e os meios que garantam a celeridade de sua tramitação" (Constituição do Brasil, art. 5º, LXXVIII). A realidade pública e notória enfrentada pelo STJ e por esta Corte, marcada pela excessiva carga de processos, impede a plena realização da garantia constitucional do julgamento célere. Ordem denegada, mas com a recomendação, e não com a determinação, de que o STJ dê preferência aos j</w:t>
      </w:r>
    </w:p>
    <w:p>
      <w:pPr>
        <w:ind w:left="288"/>
      </w:pPr>
      <w:r>
        <w:rPr>
          <w:b/>
          <w:color w:val="003CA0"/>
          <w:sz w:val="16"/>
        </w:rPr>
        <w:t>[HC 91.408, rel. min. Eros Grau, j. 14-8-2007, 2ª T, DJ de 26-10-2007.]</w:t>
      </w:r>
    </w:p>
    <w:p>
      <w:pPr>
        <w:ind w:left="288"/>
      </w:pPr>
      <w:r>
        <w:rPr>
          <w:color w:val="8C8C8C"/>
          <w:sz w:val="12"/>
        </w:rPr>
        <w:t>cf-art-5-inc-L-ali-b</w:t>
      </w:r>
      <w:r>
        <w:rPr>
          <w:color w:val="003CA0"/>
          <w:sz w:val="12"/>
        </w:rPr>
        <w:t xml:space="preserve"> | HC 101.726</w:t>
      </w:r>
      <w:r>
        <w:rPr>
          <w:color w:val="003CA0"/>
          <w:sz w:val="12"/>
        </w:rPr>
        <w:t xml:space="preserve"> | rel. Ellen Gracie</w:t>
      </w:r>
    </w:p>
    <w:p>
      <w:pPr>
        <w:ind w:left="288"/>
      </w:pPr>
      <w:r>
        <w:rPr>
          <w:color w:val="1E1E1E"/>
          <w:sz w:val="18"/>
        </w:rPr>
        <w:t xml:space="preserve">= HC 101.726, rel. min. Ellen Gracie, j. 22-6-2010, 2ª T, DJE de 17-9-2010 Vide HC 101.693, rel. min. Ayres Britto, red. do ac. min. Dias Toffoli, j. 16-6-2010, 1ª T, DJE de 24-11-2010 Vide HC 100.299, rel. min. Ricardo Lewandowski, j. 2-2-2010, 1ª T, DJE de 5-3-2010 No caso concreto, o STJ determinou o afastamento do paciente do cargo de desembargador do TJPE e essa situação perdura por quase quatro anos sem que a instrução criminal tenha sido devidamente concluída. (...) O réu não pode suportar, preso, processo excessivamente demorado, a cuja delonga a defesa não deu causa. Diverso é o caso </w:t>
      </w:r>
    </w:p>
    <w:p>
      <w:pPr>
        <w:ind w:left="288"/>
      </w:pPr>
      <w:r>
        <w:rPr>
          <w:b/>
          <w:color w:val="003CA0"/>
          <w:sz w:val="16"/>
        </w:rPr>
        <w:t>[HC 90.617 QO, rel. min. Gilmar Mendes, j. 19-6-2007, 2ª T, DJ de 6-9-2007.]</w:t>
      </w:r>
    </w:p>
    <w:p>
      <w:pPr>
        <w:ind w:left="288"/>
      </w:pPr>
      <w:r>
        <w:rPr>
          <w:color w:val="8C8C8C"/>
          <w:sz w:val="12"/>
        </w:rPr>
        <w:t>cf-art-5-inc-L-ali-b</w:t>
      </w:r>
      <w:r>
        <w:rPr>
          <w:color w:val="003CA0"/>
          <w:sz w:val="12"/>
        </w:rPr>
        <w:t xml:space="preserve"> | MS 23.841</w:t>
      </w:r>
      <w:r>
        <w:rPr>
          <w:color w:val="003CA0"/>
          <w:sz w:val="12"/>
        </w:rPr>
        <w:t xml:space="preserve"> | rel. Eros Grau</w:t>
      </w:r>
    </w:p>
    <w:p>
      <w:pPr>
        <w:ind w:left="288"/>
      </w:pPr>
      <w:r>
        <w:rPr>
          <w:color w:val="1E1E1E"/>
          <w:sz w:val="18"/>
        </w:rPr>
        <w:t>A interposição de embargos de declaração com a finalidade meramente protelatória autoriza o imediato cumprimento da decisão emanada pelo STF, independente da publicação do acórdão.</w:t>
      </w:r>
    </w:p>
    <w:p>
      <w:pPr>
        <w:ind w:left="288"/>
      </w:pPr>
      <w:r>
        <w:rPr>
          <w:b/>
          <w:color w:val="003CA0"/>
          <w:sz w:val="16"/>
        </w:rPr>
        <w:t>[MS 23.841 AgR-ED-ED, rel. min. Eros Grau, j. 18-12-2006, 1ª T, DJ de 16-2-2007.]</w:t>
      </w:r>
    </w:p>
    <w:p>
      <w:pPr>
        <w:ind w:left="288"/>
      </w:pPr>
      <w:r>
        <w:rPr>
          <w:color w:val="8C8C8C"/>
          <w:sz w:val="12"/>
        </w:rPr>
        <w:t>cf-art-5-inc-L-ali-b</w:t>
      </w:r>
      <w:r>
        <w:rPr>
          <w:color w:val="003CA0"/>
          <w:sz w:val="12"/>
        </w:rPr>
        <w:t xml:space="preserve"> | AI 716.970</w:t>
      </w:r>
      <w:r>
        <w:rPr>
          <w:color w:val="003CA0"/>
          <w:sz w:val="12"/>
        </w:rPr>
        <w:t xml:space="preserve"> | rel. Ricardo Lewandowski</w:t>
      </w:r>
    </w:p>
    <w:p>
      <w:pPr>
        <w:ind w:left="288"/>
      </w:pPr>
      <w:r>
        <w:rPr>
          <w:color w:val="1E1E1E"/>
          <w:sz w:val="18"/>
        </w:rPr>
        <w:t>= AI 716.970 AgR-ED-AgR-ED, rel. min. Ricardo Lewandowski, j. 9-11-2010, 1ª T, DJE de 30-11-2010 O STF – reputando essencial impedir que a interposição sucessiva de recursos, destituídos de fundamento juridicamente idôneo, culmine por gerar inaceitável procrastinação do encerramento da causa – tem admitido, em caráter excepcional, notadamente quando se tratar de processos eleitorais, que se proceda ao imediato cumprimento da decisão recorrida, independentemente da publicação de acórdão e de eventual oposição ulterior de embargos de declaração.</w:t>
      </w:r>
    </w:p>
    <w:p>
      <w:pPr>
        <w:ind w:left="288"/>
      </w:pPr>
      <w:r>
        <w:rPr>
          <w:b/>
          <w:color w:val="003CA0"/>
          <w:sz w:val="16"/>
        </w:rPr>
        <w:t>[RE 247.416 EDv-ED-AgR, rel. min. Celso de Mello, j. 29-6-2000, P, DJ de 24-11-2000.]</w:t>
      </w:r>
    </w:p>
    <w:p>
      <w:pPr>
        <w:ind w:left="288"/>
      </w:pPr>
      <w:r>
        <w:rPr>
          <w:color w:val="8C8C8C"/>
          <w:sz w:val="12"/>
        </w:rPr>
        <w:t>cf-art-5-inc-L-ali-b</w:t>
      </w:r>
      <w:r>
        <w:rPr>
          <w:color w:val="003CA0"/>
          <w:sz w:val="12"/>
        </w:rPr>
        <w:t xml:space="preserve"> | AI 554.858</w:t>
      </w:r>
      <w:r>
        <w:rPr>
          <w:color w:val="003CA0"/>
          <w:sz w:val="12"/>
        </w:rPr>
        <w:t xml:space="preserve"> | rel. Ayres Britto</w:t>
      </w:r>
    </w:p>
    <w:p>
      <w:pPr>
        <w:ind w:left="288"/>
      </w:pPr>
      <w:r>
        <w:rPr>
          <w:color w:val="1E1E1E"/>
          <w:sz w:val="18"/>
        </w:rPr>
        <w:t>= AI 554.858 AgR-AgR-ED-ED, rel. min. Ayres Britto, j. 27-10-2009, 1ª T, DJE de 11-12-2009 Vide AI 759.450 ED, rel. min. Ellen Gracie, j. 1º-12-2009, 2ª T, DJE de 18-12-2009 Em tema de habeas corpus, o tamanho do direito à razoável duração do processo é ainda maior. Mais forte a sua compleição. Ele é a prioridade das prioridades ou o primus inter pares procedimental. A plenificar, por consequência, o correlato dever estatal da não negação de justiça.</w:t>
      </w:r>
    </w:p>
    <w:p>
      <w:pPr>
        <w:ind w:left="288"/>
      </w:pPr>
      <w:r>
        <w:rPr>
          <w:b/>
          <w:color w:val="003CA0"/>
          <w:sz w:val="16"/>
        </w:rPr>
        <w:t>[HC 106.518, rel. min. Ayres Britto, j. 5-4-2011, 2ª T, DJE de 13-10-2011.]</w:t>
      </w:r>
    </w:p>
    <w:p>
      <w:pPr>
        <w:ind w:left="288"/>
      </w:pPr>
      <w:r>
        <w:rPr>
          <w:color w:val="8C8C8C"/>
          <w:sz w:val="12"/>
        </w:rPr>
        <w:t>cf-art-5-inc-L-ali-b</w:t>
      </w:r>
      <w:r>
        <w:rPr>
          <w:color w:val="003CA0"/>
          <w:sz w:val="12"/>
        </w:rPr>
        <w:t xml:space="preserve"> | ARE 1.551.254</w:t>
      </w:r>
      <w:r>
        <w:rPr>
          <w:color w:val="003CA0"/>
          <w:sz w:val="12"/>
        </w:rPr>
        <w:t xml:space="preserve"> | rel. Cristiano Zanin</w:t>
      </w:r>
    </w:p>
    <w:p>
      <w:pPr>
        <w:ind w:left="288"/>
      </w:pPr>
      <w:r>
        <w:rPr>
          <w:color w:val="1E1E1E"/>
          <w:sz w:val="18"/>
        </w:rPr>
        <w:t>LXXIX - é assegurado, nos termos da lei, o direito à proteção dos dados pessoais, inclusive nos meios digitais. (Incluído pela EC n. 115/2022) 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w:t>
      </w:r>
    </w:p>
    <w:p>
      <w:pPr>
        <w:ind w:left="288"/>
      </w:pPr>
      <w:r>
        <w:rPr>
          <w:b/>
          <w:color w:val="003CA0"/>
          <w:sz w:val="16"/>
        </w:rPr>
        <w:t>[ARE 1.551.254 AgR, rel. min. Cristiano Zanin, j. 22-12-2025, P, DJE de 2-2-2026.]</w:t>
      </w:r>
    </w:p>
    <w:p>
      <w:pPr>
        <w:ind w:left="288"/>
      </w:pPr>
      <w:r>
        <w:rPr>
          <w:color w:val="8C8C8C"/>
          <w:sz w:val="12"/>
        </w:rPr>
        <w:t>cf-art-5-inc-L-ali-b</w:t>
      </w:r>
      <w:r>
        <w:rPr>
          <w:color w:val="003CA0"/>
          <w:sz w:val="12"/>
        </w:rPr>
        <w:t xml:space="preserve"> | ADI 4.906</w:t>
      </w:r>
      <w:r>
        <w:rPr>
          <w:color w:val="003CA0"/>
          <w:sz w:val="12"/>
        </w:rPr>
        <w:t xml:space="preserve"> | rel. Nunes Marques</w:t>
      </w:r>
    </w:p>
    <w:p>
      <w:pPr>
        <w:ind w:left="288"/>
      </w:pPr>
      <w:r>
        <w:rPr>
          <w:color w:val="1E1E1E"/>
          <w:sz w:val="18"/>
        </w:rPr>
        <w:t>Conforme entendimento do Supremo, a proteção versada no art. 5º, XII, da Constituição Federal refere-se à comunicação de dados, e não aos dados em si mesmos. (...) O direito fundamental à proteção de dados e à autodeterminação informativa (CF, art. 5º, LXXIX) impõe a adoção de mecanismos capazes de assegurar a proteção e a segurança dos dados pessoais manipulados pelo poder público e por terceiros. É compatível com a Constituição de 1988 o compartilhamento direto de dados cadastrais genéricos com os órgãos de persecução penal, para fins de investigação criminal, mesmo sem autorização da Justiç</w:t>
      </w:r>
    </w:p>
    <w:p>
      <w:pPr>
        <w:ind w:left="288"/>
      </w:pPr>
      <w:r>
        <w:rPr>
          <w:b/>
          <w:color w:val="003CA0"/>
          <w:sz w:val="16"/>
        </w:rPr>
        <w:t>[ADI 4.906, rel. min. Nunes Marques, j. 11.09.2024, P, DJE de 24.10.2024.]</w:t>
      </w:r>
    </w:p>
    <w:p>
      <w:pPr>
        <w:ind w:left="288"/>
      </w:pPr>
      <w:r>
        <w:rPr>
          <w:color w:val="8C8C8C"/>
          <w:sz w:val="12"/>
        </w:rPr>
        <w:t>cf-art-5-inc-L-ali-b</w:t>
      </w:r>
      <w:r>
        <w:rPr>
          <w:color w:val="003CA0"/>
          <w:sz w:val="12"/>
        </w:rPr>
        <w:t xml:space="preserve"> | ADI 6.649</w:t>
      </w:r>
      <w:r>
        <w:rPr>
          <w:color w:val="003CA0"/>
          <w:sz w:val="12"/>
        </w:rPr>
        <w:t xml:space="preserve"> | rel. Gilmar Mendes</w:t>
      </w:r>
    </w:p>
    <w:p>
      <w:pPr>
        <w:ind w:left="288"/>
      </w:pPr>
      <w:r>
        <w:rPr>
          <w:color w:val="1E1E1E"/>
          <w:sz w:val="18"/>
        </w:rPr>
        <w:t>É legítimo, desde que observados alguns parâmetros, o compartilhamento de dados pessoais entre órgãos e entidades da Administração Pública federal, sem qualquer prejuízo da irrestrita observância dos princípios gerais e mecanismos de proteção elencados na Lei Geral de Proteção de Dados Pessoais (Lei 13.709/2018) e dos direitos constitucionais à privacidade e proteção de dados. Consoante recente entendimento desta Corte, a proteção de dados pessoais e a autodeterminação informacional são direitos fundamentais autônomos, dos quais decorrem tutela jurídica específica e dimensão normativa própria.</w:t>
      </w:r>
    </w:p>
    <w:p>
      <w:pPr>
        <w:ind w:left="288"/>
      </w:pPr>
      <w:r>
        <w:rPr>
          <w:b/>
          <w:color w:val="003CA0"/>
          <w:sz w:val="16"/>
        </w:rPr>
        <w:t>[ADI 6.649, rel. min. Gilmar Mendes, j. 15-9-2022, P, DJE de 19-6-2023.]</w:t>
      </w:r>
    </w:p>
    <w:p>
      <w:pPr>
        <w:ind w:left="288"/>
      </w:pPr>
      <w:r>
        <w:rPr>
          <w:color w:val="8C8C8C"/>
          <w:sz w:val="12"/>
        </w:rPr>
        <w:t>cf-art-5-inc-L-ali-b</w:t>
      </w:r>
      <w:r>
        <w:rPr>
          <w:color w:val="003CA0"/>
          <w:sz w:val="12"/>
        </w:rPr>
        <w:t xml:space="preserve"> | ARE 1.042.075</w:t>
      </w:r>
      <w:r>
        <w:rPr>
          <w:color w:val="003CA0"/>
          <w:sz w:val="12"/>
        </w:rPr>
        <w:t xml:space="preserve"> | rel. Dias Toffoli</w:t>
      </w:r>
    </w:p>
    <w:p>
      <w:pPr>
        <w:ind w:left="288"/>
      </w:pPr>
      <w:r>
        <w:rPr>
          <w:color w:val="1E1E1E"/>
          <w:sz w:val="18"/>
        </w:rPr>
        <w:t>“1. A mera apreensão de aparelho celular, nos termos do art. 6º do CPP ou em flagrante delito, não está sujeita à reserva de jurisdição. Contudo, o acesso aos dados nele contidos deve observar as seguintes condicionantes: 1.1 Nas hipóteses de encontro fortuito de aparelho celular, o acesso aos respectivos dados para o fim exclusivo de se esclarecer a autoria do fato supostamente criminoso, ou quem seja o proprietário do aparelho, não depende de consentimento ou de prévia decisão judicial, desde que justificada posteriormente a adoção da medida. 1.2 No caso de aparelho celular apreendido por oc</w:t>
      </w:r>
    </w:p>
    <w:p>
      <w:pPr>
        <w:ind w:left="288"/>
      </w:pPr>
      <w:r>
        <w:rPr>
          <w:b/>
          <w:color w:val="003CA0"/>
          <w:sz w:val="16"/>
        </w:rPr>
        <w:t>[ARE 1.042.075, rel. min. Dias Toffoli, j. 25.06.2025, P, DJE de 24.09.2025, Tema 977, com mérito julgado.]</w:t>
      </w:r>
    </w:p>
    <w:p>
      <w:pPr>
        <w:ind w:left="288"/>
      </w:pPr>
      <w:r>
        <w:rPr>
          <w:color w:val="8C8C8C"/>
          <w:sz w:val="12"/>
        </w:rPr>
        <w:t>cf-art-5-inc-L-ali-b</w:t>
      </w:r>
      <w:r>
        <w:rPr>
          <w:color w:val="003CA0"/>
          <w:sz w:val="12"/>
        </w:rPr>
        <w:t xml:space="preserve"> | HC 222.141</w:t>
      </w:r>
      <w:r>
        <w:rPr>
          <w:color w:val="003CA0"/>
          <w:sz w:val="12"/>
        </w:rPr>
        <w:t xml:space="preserve"> | rel. Ricardo Lewandowski</w:t>
      </w:r>
    </w:p>
    <w:p>
      <w:pPr>
        <w:ind w:left="288"/>
      </w:pPr>
      <w:r>
        <w:rPr>
          <w:color w:val="1E1E1E"/>
          <w:sz w:val="18"/>
        </w:rPr>
        <w:t>Provedores e plataformas dos registros de conexão e registros de acesso a aplicações de Internet. Congelamento do conteúdo de comunicações privadas e de dados pessoais da paciente, com base no art. 13, § 2º, do Marco Civil da Internet, por determinação do Ministério Público, sem prévia autorização judicial. Ilegitimidade. A disponibilização de dados pessoais, comunicações privadas ou informações relativas a registros de conexão/acesso está condicionada à determinação do juiz. A exceção fica por conta dos dados cadastrais, que podem ser alcançados por autoridades administrativas devidamente aut</w:t>
      </w:r>
    </w:p>
    <w:p>
      <w:pPr>
        <w:ind w:left="288"/>
      </w:pPr>
      <w:r>
        <w:rPr>
          <w:b/>
          <w:color w:val="003CA0"/>
          <w:sz w:val="16"/>
        </w:rPr>
        <w:t>[HC 222.141 AgR, rel. min. Ricardo Lewandowski, red. do ac. min. Gilmar Mendes j. 06.02.2024, 2ª T, DJE de 03.04.2024.]</w:t>
      </w:r>
    </w:p>
    <w:p>
      <w:pPr>
        <w:ind w:left="288"/>
      </w:pPr>
      <w:r>
        <w:rPr>
          <w:color w:val="8C8C8C"/>
          <w:sz w:val="12"/>
        </w:rPr>
        <w:t>cf-art-5-par-1</w:t>
      </w:r>
      <w:r>
        <w:rPr>
          <w:color w:val="003CA0"/>
          <w:sz w:val="12"/>
        </w:rPr>
        <w:t xml:space="preserve"> | RE 1.381.261</w:t>
      </w:r>
      <w:r>
        <w:rPr>
          <w:color w:val="003CA0"/>
          <w:sz w:val="12"/>
        </w:rPr>
        <w:t xml:space="preserve"> | rel. Dias Toffoli</w:t>
      </w:r>
    </w:p>
    <w:p>
      <w:pPr>
        <w:ind w:left="288"/>
      </w:pPr>
      <w:r>
        <w:rPr>
          <w:color w:val="1E1E1E"/>
          <w:sz w:val="18"/>
        </w:rPr>
        <w:t>São inconstitucionais o Decreto n 3.048/99 e a Portaria MPAS n 1.135/01 no que alteraram a base de cálculo da contribuição previdenciária incidente sobre a remuneração paga ou creditada a transportadores autônomos, devendo o reconhecimento da inconstitucionalidade observar os princípios da congruência e da devolutividade.</w:t>
      </w:r>
    </w:p>
    <w:p>
      <w:pPr>
        <w:ind w:left="288"/>
      </w:pPr>
      <w:r>
        <w:rPr>
          <w:b/>
          <w:color w:val="003CA0"/>
          <w:sz w:val="16"/>
        </w:rPr>
        <w:t>[RE 1.381.261 RG rel. min. Dias Toffoli, j. 5-8-2022, P, DJE de 11-10-2022, Tema 1.223, com mérito julgado e reafirmação de jurisprudência.]</w:t>
      </w:r>
    </w:p>
    <w:p>
      <w:pPr>
        <w:ind w:left="288"/>
      </w:pPr>
      <w:r>
        <w:rPr>
          <w:color w:val="8C8C8C"/>
          <w:sz w:val="12"/>
        </w:rPr>
        <w:t>cf-art-5-par-1</w:t>
      </w:r>
      <w:r>
        <w:rPr>
          <w:color w:val="003CA0"/>
          <w:sz w:val="12"/>
        </w:rPr>
        <w:t xml:space="preserve"> | EXT 986</w:t>
      </w:r>
      <w:r>
        <w:rPr>
          <w:color w:val="003CA0"/>
          <w:sz w:val="12"/>
        </w:rPr>
        <w:t xml:space="preserve"> | rel. Eros Grau</w:t>
      </w:r>
    </w:p>
    <w:p>
      <w:pPr>
        <w:ind w:left="288"/>
      </w:pPr>
      <w:r>
        <w:rPr>
          <w:color w:val="1E1E1E"/>
          <w:sz w:val="18"/>
        </w:rPr>
        <w:t>Extradição e necessidade de observância dos parâmetros do devido processo legal, do estado de direito e do respeito aos direitos humanos. Constituição do Brasil, arts. 5º, § 1º, e 60, § 4º. (...) Obrigação do STF de manter e observar os parâmetros do devido processo legal, do estado de direito e dos direitos humanos. Informações veiculadas na mídia sobre a suspensão de nomeação de ministros da Corte Suprema de Justiça da Bolívia e possível interferência do Poder Executivo no Poder Judiciário daquele país. Necessidade de assegurar direitos fundamentais básicos ao extraditando. Direitos e garant</w:t>
      </w:r>
    </w:p>
    <w:p>
      <w:pPr>
        <w:ind w:left="288"/>
      </w:pPr>
      <w:r>
        <w:rPr>
          <w:b/>
          <w:color w:val="003CA0"/>
          <w:sz w:val="16"/>
        </w:rPr>
        <w:t>[Ext 986, rel. min. Eros Grau, j. 15-8-2007, P, DJ de 5-10-2007.]</w:t>
      </w:r>
    </w:p>
    <w:p>
      <w:pPr>
        <w:ind w:left="288"/>
      </w:pPr>
      <w:r>
        <w:rPr>
          <w:color w:val="8C8C8C"/>
          <w:sz w:val="12"/>
        </w:rPr>
        <w:t>cf-art-5-par-1</w:t>
      </w:r>
      <w:r>
        <w:rPr>
          <w:color w:val="003CA0"/>
          <w:sz w:val="12"/>
        </w:rPr>
        <w:t xml:space="preserve"> | EXT 1.428</w:t>
      </w:r>
      <w:r>
        <w:rPr>
          <w:color w:val="003CA0"/>
          <w:sz w:val="12"/>
        </w:rPr>
        <w:t xml:space="preserve"> | rel. Gilmar Mendes</w:t>
      </w:r>
    </w:p>
    <w:p>
      <w:pPr>
        <w:ind w:left="288"/>
      </w:pPr>
      <w:r>
        <w:rPr>
          <w:color w:val="1E1E1E"/>
          <w:sz w:val="18"/>
        </w:rPr>
        <w:t>Vide Ext 1.428, rel. min. Gilmar Mendes, j. em 7-5-2019, 2ª T, Dje de 17-8-2020</w:t>
      </w:r>
    </w:p>
    <w:p>
      <w:pPr>
        <w:ind w:left="288"/>
      </w:pPr>
      <w:r>
        <w:rPr>
          <w:color w:val="8C8C8C"/>
          <w:sz w:val="12"/>
        </w:rPr>
        <w:t>cf-art-5-par-2</w:t>
      </w:r>
    </w:p>
    <w:p>
      <w:pPr>
        <w:ind w:left="288"/>
      </w:pPr>
      <w:r>
        <w:rPr>
          <w:color w:val="1E1E1E"/>
          <w:sz w:val="18"/>
        </w:rPr>
        <w:t>É ilícita a prisão civil de depositário infiel, qualquer que seja a modalidade do depósito.</w:t>
      </w:r>
    </w:p>
    <w:p>
      <w:pPr>
        <w:ind w:left="288"/>
      </w:pPr>
      <w:r>
        <w:rPr>
          <w:b/>
          <w:color w:val="003CA0"/>
          <w:sz w:val="16"/>
        </w:rPr>
        <w:t>[Súmula Vinculante 25.]</w:t>
      </w:r>
    </w:p>
    <w:p>
      <w:pPr>
        <w:ind w:left="288"/>
      </w:pPr>
      <w:r>
        <w:rPr>
          <w:color w:val="8C8C8C"/>
          <w:sz w:val="12"/>
        </w:rPr>
        <w:t>cf-art-5-par-2</w:t>
      </w:r>
      <w:r>
        <w:rPr>
          <w:color w:val="003CA0"/>
          <w:sz w:val="12"/>
        </w:rPr>
        <w:t xml:space="preserve"> | ADPF 708</w:t>
      </w:r>
      <w:r>
        <w:rPr>
          <w:color w:val="003CA0"/>
          <w:sz w:val="12"/>
        </w:rPr>
        <w:t xml:space="preserve"> | rel. Roberto Barroso</w:t>
      </w:r>
    </w:p>
    <w:p>
      <w:pPr>
        <w:ind w:left="288"/>
      </w:pPr>
      <w:r>
        <w:rPr>
          <w:color w:val="1E1E1E"/>
          <w:sz w:val="18"/>
        </w:rPr>
        <w:t>O Poder Executivo tem o dever constitucional de fazer funcionar e alocar anualmente os recursos do Fundo Clima, para fins de mitigação das mudanças climáticas, estando vedado seu contingenciamento, em razão do dever constitucional de tutela ao meio ambiente (CF, art. 225), de direitos e compromissos internacionais assumidos pelo Brasil (CF, art. 5º, § 2º), bem como do princípio constitucional da separação dos poderes (CF, art. 2º, c/c o art. 9º, § 2º, LRF).</w:t>
      </w:r>
    </w:p>
    <w:p>
      <w:pPr>
        <w:ind w:left="288"/>
      </w:pPr>
      <w:r>
        <w:rPr>
          <w:b/>
          <w:color w:val="003CA0"/>
          <w:sz w:val="16"/>
        </w:rPr>
        <w:t>[ADPF 708, rel. min. Roberto Barroso, j. 4-7-2022, P, DJE de 28-9-2022.]</w:t>
      </w:r>
    </w:p>
    <w:p>
      <w:pPr>
        <w:ind w:left="288"/>
      </w:pPr>
      <w:r>
        <w:rPr>
          <w:color w:val="8C8C8C"/>
          <w:sz w:val="12"/>
        </w:rPr>
        <w:t>cf-art-5-par-2</w:t>
      </w:r>
      <w:r>
        <w:rPr>
          <w:color w:val="003CA0"/>
          <w:sz w:val="12"/>
        </w:rPr>
        <w:t xml:space="preserve"> | ADI 4.277</w:t>
      </w:r>
      <w:r>
        <w:rPr>
          <w:color w:val="003CA0"/>
          <w:sz w:val="12"/>
        </w:rPr>
        <w:t xml:space="preserve"> | rel. Ayres Britto</w:t>
      </w:r>
    </w:p>
    <w:p>
      <w:pPr>
        <w:ind w:left="288"/>
      </w:pPr>
      <w:r>
        <w:rPr>
          <w:color w:val="1E1E1E"/>
          <w:sz w:val="18"/>
        </w:rPr>
        <w:t>A Constituição não interdita a formação de família por pessoas do mesmo sexo. Consagração do juízo de que não se proíbe nada a ninguém senão em face de um direito ou de proteção de um legítimo interesse de outrem, ou de toda a sociedade, o que não se dá na hipótese sub judice. Inexistência do direito dos indivíduos heteroafetivos à sua não equiparação jurídica com os indivíduos homoafetivos. Aplicabilidade do § 2º do art. 5º da CF, a evidenciar que outros direitos e garantias, não expressamente listados na Constituição, emergem "do regime e dos princípios por ela adotados" (...).</w:t>
      </w:r>
    </w:p>
    <w:p>
      <w:pPr>
        <w:ind w:left="288"/>
      </w:pPr>
      <w:r>
        <w:rPr>
          <w:b/>
          <w:color w:val="003CA0"/>
          <w:sz w:val="16"/>
        </w:rPr>
        <w:t>[ADI 4.277 e ADPF 132, rel. min. Ayres Britto, j. 5-5-2011, P, DJE de 14-10-2011.]</w:t>
      </w:r>
    </w:p>
    <w:p>
      <w:pPr>
        <w:ind w:left="288"/>
      </w:pPr>
      <w:r>
        <w:rPr>
          <w:color w:val="8C8C8C"/>
          <w:sz w:val="12"/>
        </w:rPr>
        <w:t>cf-art-5-par-2</w:t>
      </w:r>
      <w:r>
        <w:rPr>
          <w:color w:val="003CA0"/>
          <w:sz w:val="12"/>
        </w:rPr>
        <w:t xml:space="preserve"> | ADPF 101</w:t>
      </w:r>
      <w:r>
        <w:rPr>
          <w:color w:val="003CA0"/>
          <w:sz w:val="12"/>
        </w:rPr>
        <w:t xml:space="preserve"> | rel. Cármen Lúcia</w:t>
      </w:r>
    </w:p>
    <w:p>
      <w:pPr>
        <w:ind w:left="288"/>
      </w:pPr>
      <w:r>
        <w:rPr>
          <w:color w:val="1E1E1E"/>
          <w:sz w:val="18"/>
        </w:rPr>
        <w:t xml:space="preserve">Arguição de descumprimento dos preceitos fundamentais constitucionalmente estabelecidos: decisões judiciais nacionais permitindo a importação de pneus usados de países que não compõem o Mercosul: objeto de contencioso na Organização Mundial do Comércio, a partir de 20-6-2005, pela Solicitação de Consulta da União Europeia ao Brasil. (...) Autorização para importação de remoldados provenientes de Estados integrantes do Mercosul limitados ao produto final, pneu, e não às carcaças: determinação do tribunal ad hoc, à qual teve de se submeter o Brasil em decorrência dos acordos firmados pelo bloco </w:t>
      </w:r>
    </w:p>
    <w:p>
      <w:pPr>
        <w:ind w:left="288"/>
      </w:pPr>
      <w:r>
        <w:rPr>
          <w:b/>
          <w:color w:val="003CA0"/>
          <w:sz w:val="16"/>
        </w:rPr>
        <w:t>[ADPF 101, rel. min. Cármen Lúcia, j. 24-6-2009, P, DJE de 4-6-2012.]</w:t>
      </w:r>
    </w:p>
    <w:p>
      <w:pPr>
        <w:ind w:left="288"/>
      </w:pPr>
      <w:r>
        <w:rPr>
          <w:color w:val="8C8C8C"/>
          <w:sz w:val="12"/>
        </w:rPr>
        <w:t>cf-art-5-par-2</w:t>
      </w:r>
      <w:r>
        <w:rPr>
          <w:color w:val="003CA0"/>
          <w:sz w:val="12"/>
        </w:rPr>
        <w:t xml:space="preserve"> | RE 1.034.840</w:t>
      </w:r>
      <w:r>
        <w:rPr>
          <w:color w:val="003CA0"/>
          <w:sz w:val="12"/>
        </w:rPr>
        <w:t xml:space="preserve"> | rel. Luiz Fux</w:t>
      </w:r>
    </w:p>
    <w:p>
      <w:pPr>
        <w:ind w:left="288"/>
      </w:pPr>
      <w:r>
        <w:rPr>
          <w:color w:val="1E1E1E"/>
          <w:sz w:val="18"/>
        </w:rPr>
        <w:t>O organismo internacional que tenha garantida a imunidade de jurisdição em tratado firmado pelo Brasil e internalizado na ordem jurídica brasileira não pode ser demandado em juízo, salvo em caso de renúncia expressa a essa imunidade.</w:t>
      </w:r>
    </w:p>
    <w:p>
      <w:pPr>
        <w:ind w:left="288"/>
      </w:pPr>
      <w:r>
        <w:rPr>
          <w:b/>
          <w:color w:val="003CA0"/>
          <w:sz w:val="16"/>
        </w:rPr>
        <w:t>[RE 1.034.840 RG, rel. min. Luiz Fux, j. 1º-6-2017, P, DJE de 30-6-2017, Tema 947, com mérito julgado.]</w:t>
      </w:r>
    </w:p>
    <w:p>
      <w:pPr>
        <w:ind w:left="288"/>
      </w:pPr>
      <w:r>
        <w:rPr>
          <w:color w:val="8C8C8C"/>
          <w:sz w:val="12"/>
        </w:rPr>
        <w:t>cf-art-5-par-2</w:t>
      </w:r>
      <w:r>
        <w:rPr>
          <w:color w:val="003CA0"/>
          <w:sz w:val="12"/>
        </w:rPr>
        <w:t xml:space="preserve"> | RE 222.368</w:t>
      </w:r>
      <w:r>
        <w:rPr>
          <w:color w:val="003CA0"/>
          <w:sz w:val="12"/>
        </w:rPr>
        <w:t xml:space="preserve"> | rel. Celso de Mello</w:t>
      </w:r>
    </w:p>
    <w:p>
      <w:pPr>
        <w:ind w:left="288"/>
      </w:pPr>
      <w:r>
        <w:rPr>
          <w:color w:val="1E1E1E"/>
          <w:sz w:val="18"/>
        </w:rPr>
        <w:t>Vide RE 222.368 AgR, rel. min. Celso de Mello, j. 30-4-2002, 2ª T, DJ de 14-2-2003 Vide ACi 9.696, rel. min. Sydney Sanches, j. 31-5-1989, P, DJ de 12-10-1990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w:t>
      </w:r>
    </w:p>
    <w:p>
      <w:pPr>
        <w:ind w:left="288"/>
      </w:pPr>
      <w:r>
        <w:rPr>
          <w:b/>
          <w:color w:val="003CA0"/>
          <w:sz w:val="16"/>
        </w:rPr>
        <w:t>[RE 636.331, rel. min. Gilmar Mendes, j. 25-5-2017, P, DJE de 13-11-2017, Tema 210, com mérito julgado.]</w:t>
      </w:r>
    </w:p>
    <w:p>
      <w:pPr>
        <w:ind w:left="288"/>
      </w:pPr>
      <w:r>
        <w:rPr>
          <w:color w:val="8C8C8C"/>
          <w:sz w:val="12"/>
        </w:rPr>
        <w:t>cf-art-5-par-2</w:t>
      </w:r>
      <w:r>
        <w:rPr>
          <w:color w:val="003CA0"/>
          <w:sz w:val="12"/>
        </w:rPr>
        <w:t xml:space="preserve"> | RE 466.343</w:t>
      </w:r>
      <w:r>
        <w:rPr>
          <w:color w:val="003CA0"/>
          <w:sz w:val="12"/>
        </w:rPr>
        <w:t xml:space="preserve"> | rel. Cezar Peluso</w:t>
      </w:r>
    </w:p>
    <w:p>
      <w:pPr>
        <w:ind w:left="288"/>
      </w:pPr>
      <w:r>
        <w:rPr>
          <w:color w:val="1E1E1E"/>
          <w:sz w:val="18"/>
        </w:rPr>
        <w:t>(...) desde a adesão do Brasil, sem qualquer reserva, ao Pacto Internacional dos Direitos Civis e Políticos (art. 11) e à Convenção Americana sobre Direitos Humanos – Pacto de São José da Costa Rica (art. 7º, 7), ambos no ano de 1992, não há mais base legal para prisão civil do depositário infiel, pois o caráter especial desses diplomas internacionais sobre direitos humanos lhes reserva lugar específico no ordenamento jurídico, estando abaixo da Constituição, porém acima da legislação interna. O status normativo supralegal dos tratados internacionais de direitos humanos subscritos pelo Brasil,</w:t>
      </w:r>
    </w:p>
    <w:p>
      <w:pPr>
        <w:ind w:left="288"/>
      </w:pPr>
      <w:r>
        <w:rPr>
          <w:b/>
          <w:color w:val="003CA0"/>
          <w:sz w:val="16"/>
        </w:rPr>
        <w:t>[RE 466.343, rel. min. Cezar Peluso, voto do min. Gilmar Mendes, j. 3-12-2008, P, DJE de 5-6-2009, Tema 60, com mérito julgado.]</w:t>
      </w:r>
    </w:p>
    <w:p>
      <w:pPr>
        <w:ind w:left="288"/>
      </w:pPr>
      <w:r>
        <w:rPr>
          <w:color w:val="8C8C8C"/>
          <w:sz w:val="12"/>
        </w:rPr>
        <w:t>cf-art-5-par-2</w:t>
      </w:r>
      <w:r>
        <w:rPr>
          <w:color w:val="003CA0"/>
          <w:sz w:val="12"/>
        </w:rPr>
        <w:t xml:space="preserve"> | AI 601.832</w:t>
      </w:r>
      <w:r>
        <w:rPr>
          <w:color w:val="003CA0"/>
          <w:sz w:val="12"/>
        </w:rPr>
        <w:t xml:space="preserve"> | rel. Joaquim Barbosa</w:t>
      </w:r>
    </w:p>
    <w:p>
      <w:pPr>
        <w:ind w:left="288"/>
      </w:pPr>
      <w:r>
        <w:rPr>
          <w:color w:val="1E1E1E"/>
          <w:sz w:val="18"/>
        </w:rPr>
        <w:t>Vide AI 601.832 AgR, rel. min. Joaquim Barbosa, j. 17-3-2009, 2ª T, DJE de 3-4-2009 Vide HC 91.361, rel. min. Celso de Mello, j. 23-9-2008, 2ª T, DJE de 6-2-2009 Vide HC 72.131, red. do ac. min. Moreira Alves, j. 23-11-1995, P, DJ de 1º-8-2003 Não se vê, no caso em tela, ofensa às disposições do Tratado de Assistência Mútua em Matéria Penal celebrado entre o Governo da República Federativa do Brasil e o Governo do Canadá -- internalizado pelo Decreto 6.747/2009 --, porquanto as mensagens interceptadas foram trocadas em território brasileiro e por pessoas com residência no Brasil, sendo a inter</w:t>
      </w:r>
    </w:p>
    <w:p>
      <w:pPr>
        <w:ind w:left="288"/>
      </w:pPr>
      <w:r>
        <w:rPr>
          <w:b/>
          <w:color w:val="003CA0"/>
          <w:sz w:val="16"/>
        </w:rPr>
        <w:t>[Inq 3.990, rel. min. Edson Fachin, j. 14-3-2017, 2ª T, DJE de 2-6-2017.]</w:t>
      </w:r>
    </w:p>
    <w:p>
      <w:pPr>
        <w:ind w:left="288"/>
      </w:pPr>
      <w:r>
        <w:rPr>
          <w:color w:val="8C8C8C"/>
          <w:sz w:val="12"/>
        </w:rPr>
        <w:t>cf-art-5-par-2</w:t>
      </w:r>
      <w:r>
        <w:rPr>
          <w:color w:val="003CA0"/>
          <w:sz w:val="12"/>
        </w:rPr>
        <w:t xml:space="preserve"> | HC 97.256</w:t>
      </w:r>
      <w:r>
        <w:rPr>
          <w:color w:val="003CA0"/>
          <w:sz w:val="12"/>
        </w:rPr>
        <w:t xml:space="preserve"> | rel. Ayres Britto</w:t>
      </w:r>
    </w:p>
    <w:p>
      <w:pPr>
        <w:ind w:left="288"/>
      </w:pPr>
      <w:r>
        <w:rPr>
          <w:color w:val="1E1E1E"/>
          <w:sz w:val="18"/>
        </w:rPr>
        <w:t xml:space="preserve">No plano dos tratados e convenções internacionais, aprovados e promulgados pelo Estado brasileiro, é conferido tratamento diferenciado ao tráfico ilícito de entorpecentes que se caracterize pelo seu menor potencial ofensivo. Tratamento diferenciado, esse, para possibilitar alternativas ao encarceramento. É o caso da Convenção contra o Tráfico Ilícito de Entorpecentes e de Substâncias Psicotrópicas, incorporada ao direito interno pelo Decreto 154, de 26-6-1991. Norma supralegal de hierarquia intermediária, portanto, que autoriza cada Estado soberano a adotar norma comum interna que viabilize a </w:t>
      </w:r>
    </w:p>
    <w:p>
      <w:pPr>
        <w:ind w:left="288"/>
      </w:pPr>
      <w:r>
        <w:rPr>
          <w:b/>
          <w:color w:val="003CA0"/>
          <w:sz w:val="16"/>
        </w:rPr>
        <w:t>[HC 97.256, rel. min. Ayres Britto, j. 1º-9-2010, P, DJE de 16-12-2010.]</w:t>
      </w:r>
    </w:p>
    <w:p>
      <w:pPr>
        <w:ind w:left="288"/>
      </w:pPr>
      <w:r>
        <w:rPr>
          <w:color w:val="8C8C8C"/>
          <w:sz w:val="12"/>
        </w:rPr>
        <w:t>cf-art-5-par-2</w:t>
      </w:r>
      <w:r>
        <w:rPr>
          <w:color w:val="003CA0"/>
          <w:sz w:val="12"/>
        </w:rPr>
        <w:t xml:space="preserve"> | RE 511.961</w:t>
      </w:r>
      <w:r>
        <w:rPr>
          <w:color w:val="003CA0"/>
          <w:sz w:val="12"/>
        </w:rPr>
        <w:t xml:space="preserve"> | rel. Gilmar Mendes</w:t>
      </w:r>
    </w:p>
    <w:p>
      <w:pPr>
        <w:ind w:left="288"/>
      </w:pPr>
      <w:r>
        <w:rPr>
          <w:color w:val="1E1E1E"/>
          <w:sz w:val="18"/>
        </w:rPr>
        <w:t>A exigência de diploma de curso superior para a prática do jornalismo – o qual, em sua essência, é o desenvolvimento profissional das liberdades de expressão e de informação – não está autorizada pela ordem constitucional, pois constitui uma restrição, um impedimento, uma verdadeira supressão do pleno, incondicionado e efetivo exercício da liberdade jornalística, expressamente proibido pelo art. 220, § 1º, da Constituição. (...) A Corte Interamericana de Direitos Humanos proferiu decisão no dia 13-11-1985, declarando que a obrigatoriedade do diploma universitário e da inscrição em ordem profis</w:t>
      </w:r>
    </w:p>
    <w:p>
      <w:pPr>
        <w:ind w:left="288"/>
      </w:pPr>
      <w:r>
        <w:rPr>
          <w:b/>
          <w:color w:val="003CA0"/>
          <w:sz w:val="16"/>
        </w:rPr>
        <w:t>[RE 511.961, rel. min. Gilmar Mendes, j. 17-6-2009, P, DJE de 13-11-2009.]</w:t>
      </w:r>
    </w:p>
    <w:p>
      <w:pPr>
        <w:ind w:left="288"/>
      </w:pPr>
      <w:r>
        <w:rPr>
          <w:color w:val="8C8C8C"/>
          <w:sz w:val="12"/>
        </w:rPr>
        <w:t>cf-art-5-par-2</w:t>
      </w:r>
      <w:r>
        <w:rPr>
          <w:color w:val="003CA0"/>
          <w:sz w:val="12"/>
        </w:rPr>
        <w:t xml:space="preserve"> | ADPF 172</w:t>
      </w:r>
      <w:r>
        <w:rPr>
          <w:color w:val="003CA0"/>
          <w:sz w:val="12"/>
        </w:rPr>
        <w:t xml:space="preserve"> | rel. Marco Aurélio</w:t>
      </w:r>
    </w:p>
    <w:p>
      <w:pPr>
        <w:ind w:left="288"/>
      </w:pPr>
      <w:r>
        <w:rPr>
          <w:color w:val="1E1E1E"/>
          <w:sz w:val="18"/>
        </w:rPr>
        <w:t>Gostaria (...) de tecer algumas considerações sobre a Convenção da Haia e a sua aplicação pelo Poder Judiciário brasileiro. (...) A primeira observação a ser feita, portanto, é a de que estamos diante de um documento produzido no contexto de negociações multilaterais a que o País formalmente aderiu e ratificou. Tais documentos, em que se incluem os tratados, as convenções e os acordos, pressupõem o cumprimento de boa-fé pelos Estados signatários. É o que expressa o velho brocardo "Pacta sunt servanda". A observância dessa prescrição é o que permite a coexistência e a cooperação entre nações so</w:t>
      </w:r>
    </w:p>
    <w:p>
      <w:pPr>
        <w:ind w:left="288"/>
      </w:pPr>
      <w:r>
        <w:rPr>
          <w:b/>
          <w:color w:val="003CA0"/>
          <w:sz w:val="16"/>
        </w:rPr>
        <w:t>[ADPF 172 MC-REF, rel. min. Marco Aurélio, voto da min. Ellen Gracie, j. 10-6-2009, P, DJE de 21-8-2009.]</w:t>
      </w:r>
    </w:p>
    <w:p>
      <w:pPr>
        <w:ind w:left="288"/>
      </w:pPr>
      <w:r>
        <w:rPr>
          <w:color w:val="8C8C8C"/>
          <w:sz w:val="12"/>
        </w:rPr>
        <w:t>cf-art-5-par-2</w:t>
      </w:r>
      <w:r>
        <w:rPr>
          <w:color w:val="003CA0"/>
          <w:sz w:val="12"/>
        </w:rPr>
        <w:t xml:space="preserve"> | HC 87.585</w:t>
      </w:r>
      <w:r>
        <w:rPr>
          <w:color w:val="003CA0"/>
          <w:sz w:val="12"/>
        </w:rPr>
        <w:t xml:space="preserve"> | rel. Marco Aurélio</w:t>
      </w:r>
    </w:p>
    <w:p>
      <w:pPr>
        <w:ind w:left="288"/>
      </w:pPr>
      <w:r>
        <w:rPr>
          <w:color w:val="1E1E1E"/>
          <w:sz w:val="18"/>
        </w:rPr>
        <w:t>A subscrição pelo Brasil do Pacto de São José da Costa Rica, limitando a prisão civil por dívida ao descumprimento inescusável de prestação alimentícia, implicou a derrogação das normas estritamente legais referentes à prisão do depositário infiel.</w:t>
      </w:r>
    </w:p>
    <w:p>
      <w:pPr>
        <w:ind w:left="288"/>
      </w:pPr>
      <w:r>
        <w:rPr>
          <w:b/>
          <w:color w:val="003CA0"/>
          <w:sz w:val="16"/>
        </w:rPr>
        <w:t>[HC 87.585, rel. min. Marco Aurélio, j. 3-12-2008, P, DJE de 26-6-2009.]</w:t>
      </w:r>
    </w:p>
    <w:p>
      <w:pPr>
        <w:ind w:left="288"/>
      </w:pPr>
      <w:r>
        <w:rPr>
          <w:color w:val="8C8C8C"/>
          <w:sz w:val="12"/>
        </w:rPr>
        <w:t>cf-art-5-par-2</w:t>
      </w:r>
      <w:r>
        <w:rPr>
          <w:color w:val="003CA0"/>
          <w:sz w:val="12"/>
        </w:rPr>
        <w:t xml:space="preserve"> | HC 94.404</w:t>
      </w:r>
      <w:r>
        <w:rPr>
          <w:color w:val="003CA0"/>
          <w:sz w:val="12"/>
        </w:rPr>
        <w:t xml:space="preserve"> | rel. Celso de Mello</w:t>
      </w:r>
    </w:p>
    <w:p>
      <w:pPr>
        <w:ind w:left="288"/>
      </w:pPr>
      <w:r>
        <w:rPr>
          <w:color w:val="1E1E1E"/>
          <w:sz w:val="18"/>
        </w:rPr>
        <w:t>Cláusulas inscritas nos textos de tratados internacionais que imponham a compulsória adoção, por autoridades judiciárias nacionais, de medidas de privação cautelar da liberdade individual, ou que vedem, em caráter imperativo, a concessão de liberdade provisória, não podem prevalecer em nosso sistema de direito positivo, sob pena de ofensa à presunção de inocência, entre outros princípios constitucionais que informam e compõem o estatuto jurídico daqueles que sofrem persecução penal instaurada pelo Estado.</w:t>
      </w:r>
    </w:p>
    <w:p>
      <w:pPr>
        <w:ind w:left="288"/>
      </w:pPr>
      <w:r>
        <w:rPr>
          <w:b/>
          <w:color w:val="003CA0"/>
          <w:sz w:val="16"/>
        </w:rPr>
        <w:t>[HC 94.404, rel. min. Celso de Mello, j. 18-11-2008, 2ª T, DJE de 18-6-2010.]</w:t>
      </w:r>
    </w:p>
    <w:p>
      <w:pPr>
        <w:ind w:left="288"/>
      </w:pPr>
      <w:r>
        <w:rPr>
          <w:color w:val="8C8C8C"/>
          <w:sz w:val="12"/>
        </w:rPr>
        <w:t>cf-art-5-par-2</w:t>
      </w:r>
      <w:r>
        <w:rPr>
          <w:color w:val="003CA0"/>
          <w:sz w:val="12"/>
        </w:rPr>
        <w:t xml:space="preserve"> | MI 772</w:t>
      </w:r>
      <w:r>
        <w:rPr>
          <w:color w:val="003CA0"/>
          <w:sz w:val="12"/>
        </w:rPr>
        <w:t xml:space="preserve"> | rel. Celso de Mello</w:t>
      </w:r>
    </w:p>
    <w:p>
      <w:pPr>
        <w:ind w:left="288"/>
      </w:pPr>
      <w:r>
        <w:rPr>
          <w:color w:val="1E1E1E"/>
          <w:sz w:val="18"/>
        </w:rPr>
        <w:t>Supremacia da Constituição da República sobre todos os tratados internacionais. O exercício do treaty-making power, pelo Estado brasileiro, está sujeito à observância das limitações jurídicas emergentes do texto constitucional. Os tratados celebrados pelo Brasil estão subordinados à autoridade normativa da Constituição da República. Nenhum valor jurídico terá o tratado internacional, que, incorporado ao sistema de direito positivo interno, transgredir, formal ou materialmente, o texto da Carta Política.</w:t>
      </w:r>
    </w:p>
    <w:p>
      <w:pPr>
        <w:ind w:left="288"/>
      </w:pPr>
      <w:r>
        <w:rPr>
          <w:b/>
          <w:color w:val="003CA0"/>
          <w:sz w:val="16"/>
        </w:rPr>
        <w:t>[MI 772 AgR, rel. min. Celso de Mello, j. 24-10-2007, P, DJE de 20-3-2009.]</w:t>
      </w:r>
    </w:p>
    <w:p>
      <w:pPr>
        <w:ind w:left="288"/>
      </w:pPr>
      <w:r>
        <w:rPr>
          <w:color w:val="8C8C8C"/>
          <w:sz w:val="12"/>
        </w:rPr>
        <w:t>cf-art-5-par-2</w:t>
      </w:r>
      <w:r>
        <w:rPr>
          <w:color w:val="003CA0"/>
          <w:sz w:val="12"/>
        </w:rPr>
        <w:t xml:space="preserve"> | HC 88.420</w:t>
      </w:r>
      <w:r>
        <w:rPr>
          <w:color w:val="003CA0"/>
          <w:sz w:val="12"/>
        </w:rPr>
        <w:t xml:space="preserve"> | rel. Ricardo Lewandowski</w:t>
      </w:r>
    </w:p>
    <w:p>
      <w:pPr>
        <w:ind w:left="288"/>
      </w:pPr>
      <w:r>
        <w:rPr>
          <w:color w:val="1E1E1E"/>
          <w:sz w:val="18"/>
        </w:rPr>
        <w:t>O acesso à instância recursal superior consubstancia direito que se encontra incorporado ao sistema pátrio de direitos e garantias fundamentais. Ainda que não se empreste dignidade constitucional ao duplo grau de jurisdição, trata-se de garantia prevista na Convenção Interamericana de Direitos Humanos, cuja ratificação pelo Brasil deu-se em 1992, data posterior à promulgação do CPP. A incorporação posterior ao ordenamento brasileiro de regra prevista em tratado internacional tem o condão de modificar a legislação ordinária que lhe é anterior.</w:t>
      </w:r>
    </w:p>
    <w:p>
      <w:pPr>
        <w:ind w:left="288"/>
      </w:pPr>
      <w:r>
        <w:rPr>
          <w:b/>
          <w:color w:val="003CA0"/>
          <w:sz w:val="16"/>
        </w:rPr>
        <w:t>[HC 88.420, rel. min. Ricardo Lewandowski, j. 17-4-2007, 1ª T, DJ de 8-6-2007.]</w:t>
      </w:r>
    </w:p>
    <w:p>
      <w:pPr>
        <w:ind w:left="288"/>
      </w:pPr>
      <w:r>
        <w:rPr>
          <w:color w:val="8C8C8C"/>
          <w:sz w:val="12"/>
        </w:rPr>
        <w:t>cf-art-5-par-3</w:t>
      </w:r>
      <w:r>
        <w:rPr>
          <w:color w:val="003CA0"/>
          <w:sz w:val="12"/>
        </w:rPr>
        <w:t xml:space="preserve"> | ADI 7.754</w:t>
      </w:r>
      <w:r>
        <w:rPr>
          <w:color w:val="003CA0"/>
          <w:sz w:val="12"/>
        </w:rPr>
        <w:t xml:space="preserve"> | rel. André Mendonça</w:t>
      </w:r>
    </w:p>
    <w:p>
      <w:pPr>
        <w:ind w:left="288"/>
      </w:pPr>
      <w:r>
        <w:rPr>
          <w:color w:val="1E1E1E"/>
          <w:sz w:val="18"/>
        </w:rPr>
        <w:t>É inconstitucional — por ofender o princípio da vedação ao retrocesso — lei estadual que dispõe sobre o transporte de animais de assistência emocional e de serviço nas cabines das aeronaves em voos operados em seu âmbito, restringindo direitos assegurados, em normas gerais, a pessoas com deficiência.</w:t>
      </w:r>
    </w:p>
    <w:p>
      <w:pPr>
        <w:ind w:left="288"/>
      </w:pPr>
      <w:r>
        <w:rPr>
          <w:b/>
          <w:color w:val="003CA0"/>
          <w:sz w:val="16"/>
        </w:rPr>
        <w:t>[ADI 7.754 MC-Ref, rel. min. André Mendonça, j. 19-11-2025, P, Informativo STF 1.200.]</w:t>
      </w:r>
    </w:p>
    <w:p>
      <w:pPr>
        <w:ind w:left="288"/>
      </w:pPr>
      <w:r>
        <w:rPr>
          <w:color w:val="8C8C8C"/>
          <w:sz w:val="12"/>
        </w:rPr>
        <w:t>cf-art-5-par-3</w:t>
      </w:r>
      <w:r>
        <w:rPr>
          <w:color w:val="003CA0"/>
          <w:sz w:val="12"/>
        </w:rPr>
        <w:t xml:space="preserve"> | ADPF 936</w:t>
      </w:r>
      <w:r>
        <w:rPr>
          <w:color w:val="003CA0"/>
          <w:sz w:val="12"/>
        </w:rPr>
        <w:t xml:space="preserve"> | rel. Dias Toffoli</w:t>
      </w:r>
    </w:p>
    <w:p>
      <w:pPr>
        <w:ind w:left="288"/>
      </w:pPr>
      <w:r>
        <w:rPr>
          <w:color w:val="1E1E1E"/>
          <w:sz w:val="18"/>
        </w:rPr>
        <w:t>A Convenção sobre os Direitos das Pessoas com Deficiência, internalizada pela ordem jurídica brasileira com status de emenda constitucional (art. 5º, § 3º, da Constituição Federal), obriga os estados-partes a instituir um ou mais mecanismos independentes de promoção, proteção e monitoramento das disposições do diploma internacional, assegurada a participação da sociedade civil nesse processo. A característica fulcral do CONADE é seu caráter de mecanismo independente, o qual carece de uma atuação, além de propositiva, crítica e fiscalizadora, cuja consecução afasta a possibilidade de qualquer i</w:t>
      </w:r>
    </w:p>
    <w:p>
      <w:pPr>
        <w:ind w:left="288"/>
      </w:pPr>
      <w:r>
        <w:rPr>
          <w:b/>
          <w:color w:val="003CA0"/>
          <w:sz w:val="16"/>
        </w:rPr>
        <w:t>[ADPF 936, rel. min. Dias Toffoli, j. 21.10.2024, P, DJE de 30.10.2024.]</w:t>
      </w:r>
    </w:p>
    <w:p>
      <w:pPr>
        <w:ind w:left="288"/>
      </w:pPr>
      <w:r>
        <w:rPr>
          <w:color w:val="8C8C8C"/>
          <w:sz w:val="12"/>
        </w:rPr>
        <w:t>cf-art-5-par-3</w:t>
      </w:r>
      <w:r>
        <w:rPr>
          <w:color w:val="003CA0"/>
          <w:sz w:val="12"/>
        </w:rPr>
        <w:t xml:space="preserve"> | ADI 7.028</w:t>
      </w:r>
      <w:r>
        <w:rPr>
          <w:color w:val="003CA0"/>
          <w:sz w:val="12"/>
        </w:rPr>
        <w:t xml:space="preserve"> | rel. Roberto Barroso</w:t>
      </w:r>
    </w:p>
    <w:p>
      <w:pPr>
        <w:ind w:left="288"/>
      </w:pPr>
      <w:r>
        <w:rPr>
          <w:color w:val="1E1E1E"/>
          <w:sz w:val="18"/>
        </w:rPr>
        <w:t>“É inconstitucional lei estadual que (a) reduza o conceito de pessoas com deficiência previsto na Constituição, na Convenção Internacional sobre os Direitos das Pessoas com Deficiência, de estatura constitucional, e na lei federal de normas gerais; (b) desconsidere, para a aferição da deficiência, a avaliação biopsicossocial por equipe multiprofissional e interdisciplinar prevista pela lei federal; ou (c) exclua o dever de adaptação de unidade escolar para o ensino inclusivo”.</w:t>
      </w:r>
    </w:p>
    <w:p>
      <w:pPr>
        <w:ind w:left="288"/>
      </w:pPr>
      <w:r>
        <w:rPr>
          <w:b/>
          <w:color w:val="003CA0"/>
          <w:sz w:val="16"/>
        </w:rPr>
        <w:t>[ADI 7.028, rel. min. Roberto Barroso, j. 19-6-2023, P, DJE de 23-6-2023.]</w:t>
      </w:r>
    </w:p>
    <w:p>
      <w:pPr>
        <w:ind w:left="288"/>
      </w:pPr>
      <w:r>
        <w:rPr>
          <w:color w:val="8C8C8C"/>
          <w:sz w:val="12"/>
        </w:rPr>
        <w:t>cf-art-5-par-3</w:t>
      </w:r>
      <w:r>
        <w:rPr>
          <w:color w:val="003CA0"/>
          <w:sz w:val="12"/>
        </w:rPr>
        <w:t xml:space="preserve"> | ADI 903</w:t>
      </w:r>
      <w:r>
        <w:rPr>
          <w:color w:val="003CA0"/>
          <w:sz w:val="12"/>
        </w:rPr>
        <w:t xml:space="preserve"> | rel. Dias Toffoli</w:t>
      </w:r>
    </w:p>
    <w:p>
      <w:pPr>
        <w:ind w:left="288"/>
      </w:pPr>
      <w:r>
        <w:rPr>
          <w:color w:val="1E1E1E"/>
          <w:sz w:val="18"/>
        </w:rPr>
        <w:t xml:space="preserve">A ordem constitucional brasileira, inaugurada em 1988, trouxe desde seus escritos originais a preocupação com a proteção das pessoas portadoras de necessidades especiais, construindo políticas e diretrizes de inserção nas diversas áreas sociais e econômicas da comunidade (trabalho privado, serviço público, previdência e assistência social). Estabeleceu, assim, nos arts. 227, § 2º, e 244, a necessidade de se conferir amplo acesso e plena capacidade de locomoção às pessoas com deficiência, no que concerne tanto aos logradouros públicos quanto aos veículos de transporte coletivo, determinando ao </w:t>
      </w:r>
    </w:p>
    <w:p>
      <w:pPr>
        <w:ind w:left="288"/>
      </w:pPr>
      <w:r>
        <w:rPr>
          <w:b/>
          <w:color w:val="003CA0"/>
          <w:sz w:val="16"/>
        </w:rPr>
        <w:t>[ADI 903, rel. min. Dias Toffoli, j. 22-5-2013, P, DJE de 7-2-2014.]</w:t>
      </w:r>
    </w:p>
    <w:p>
      <w:pPr>
        <w:ind w:left="288"/>
      </w:pPr>
      <w:r>
        <w:rPr>
          <w:color w:val="8C8C8C"/>
          <w:sz w:val="12"/>
        </w:rPr>
        <w:t>cf-art-5-par-3</w:t>
      </w:r>
      <w:r>
        <w:rPr>
          <w:color w:val="003CA0"/>
          <w:sz w:val="12"/>
        </w:rPr>
        <w:t xml:space="preserve"> | RMS 32.732</w:t>
      </w:r>
      <w:r>
        <w:rPr>
          <w:color w:val="003CA0"/>
          <w:sz w:val="12"/>
        </w:rPr>
        <w:t xml:space="preserve"> | rel. Celso de Mello</w:t>
      </w:r>
    </w:p>
    <w:p>
      <w:pPr>
        <w:ind w:left="288"/>
      </w:pPr>
      <w:r>
        <w:rPr>
          <w:color w:val="1E1E1E"/>
          <w:sz w:val="18"/>
        </w:rPr>
        <w:t>= RMS 32.732 AgR, rel. min. Celso de Mello, j. 3-6-2014, 2ª T, DJE de 1º-8-2014 (...) desde a adesão do Brasil, sem qualquer reserva, ao Pacto Internacional dos Direitos Civis e Políticos (art. 11) e à Convenção Americana sobre Direitos Humanos – Pacto de São José da Costa Rica (art. 7º, 7), ambos no ano de 1992, não há mais base legal para prisão civil do depositário infiel, pois o caráter especial desses diplomas internacionais sobre direitos humanos lhes reserva lugar específico no ordenamento jurídico, estando abaixo da Constituição, porém acima da legislação interna. O status normativo su</w:t>
      </w:r>
    </w:p>
    <w:p>
      <w:pPr>
        <w:ind w:left="288"/>
      </w:pPr>
      <w:r>
        <w:rPr>
          <w:b/>
          <w:color w:val="003CA0"/>
          <w:sz w:val="16"/>
        </w:rPr>
        <w:t>[RE 466.343, rel. min. Cezar Peluso, voto do min. Gilmar Mendes, j. 3-12-2008, P, DJE de 5-6-2009, Tema 60, com mérito julgado.]</w:t>
      </w:r>
    </w:p>
    <w:p>
      <w:pPr>
        <w:ind w:left="288"/>
      </w:pPr>
      <w:r>
        <w:rPr>
          <w:color w:val="8C8C8C"/>
          <w:sz w:val="12"/>
        </w:rPr>
        <w:t>cf-art-5-par-3</w:t>
      </w:r>
      <w:r>
        <w:rPr>
          <w:color w:val="003CA0"/>
          <w:sz w:val="12"/>
        </w:rPr>
        <w:t xml:space="preserve"> | AI 601.832</w:t>
      </w:r>
      <w:r>
        <w:rPr>
          <w:color w:val="003CA0"/>
          <w:sz w:val="12"/>
        </w:rPr>
        <w:t xml:space="preserve"> | rel. Joaquim Barbosa</w:t>
      </w:r>
    </w:p>
    <w:p>
      <w:pPr>
        <w:ind w:left="288"/>
      </w:pPr>
      <w:r>
        <w:rPr>
          <w:color w:val="1E1E1E"/>
          <w:sz w:val="18"/>
        </w:rPr>
        <w:t>Vide AI 601.832 AgR, rel. min. Joaquim Barbosa, j. 17-3-2009, 2ª T, DJE de 3-4-2009 Vide HC 91.361, rel. min. Celso de Mello, j. 23-9-2008, 2ª T, DJE de 6-2-2009 A subscrição pelo Brasil do Pacto de São José da Costa Rica, limitando a prisão civil por dívida ao descumprimento inescusável de prestação alimentícia, implicou a derrogação das normas estritamente legais referentes à prisão do depositário infiel.</w:t>
      </w:r>
    </w:p>
    <w:p>
      <w:pPr>
        <w:ind w:left="288"/>
      </w:pPr>
      <w:r>
        <w:rPr>
          <w:b/>
          <w:color w:val="003CA0"/>
          <w:sz w:val="16"/>
        </w:rPr>
        <w:t>[HC 87.585, rel. min. Marco Aurélio, j. 3-12-2008, P, DJE de 26-6-2009.]</w:t>
      </w:r>
    </w:p>
    <w:p>
      <w:pPr>
        <w:ind w:left="288"/>
      </w:pPr>
      <w:r>
        <w:rPr>
          <w:color w:val="8C8C8C"/>
          <w:sz w:val="12"/>
        </w:rPr>
        <w:t>cf-art-5-par-3</w:t>
      </w:r>
      <w:r>
        <w:rPr>
          <w:color w:val="003CA0"/>
          <w:sz w:val="12"/>
        </w:rPr>
        <w:t xml:space="preserve"> | MI 772</w:t>
      </w:r>
      <w:r>
        <w:rPr>
          <w:color w:val="003CA0"/>
          <w:sz w:val="12"/>
        </w:rPr>
        <w:t xml:space="preserve"> | rel. Celso de Mello</w:t>
      </w:r>
    </w:p>
    <w:p>
      <w:pPr>
        <w:ind w:left="288"/>
      </w:pPr>
      <w:r>
        <w:rPr>
          <w:color w:val="1E1E1E"/>
          <w:sz w:val="18"/>
        </w:rPr>
        <w:t>Supremacia da Constituição da República sobre todos os tratados internacionais. O exercício do treaty-making power, pelo Estado brasileiro, está sujeito à observância das limitações jurídicas emergentes do texto constitucional. Os tratados celebrados pelo Brasil estão subordinados à autoridade normativa da Constituição da República. Nenhum valor jurídico terá o tratado internacional, que, incorporado ao sistema de direito positivo interno, transgredir, formal ou materialmente, o texto da Carta Política.</w:t>
      </w:r>
    </w:p>
    <w:p>
      <w:pPr>
        <w:ind w:left="288"/>
      </w:pPr>
      <w:r>
        <w:rPr>
          <w:b/>
          <w:color w:val="003CA0"/>
          <w:sz w:val="16"/>
        </w:rPr>
        <w:t>[MI 772 AgR, rel. min. Celso de Mello, j. 24-10-2007, P, DJE de 20-3-2009.]</w:t>
      </w:r>
    </w:p>
    <w:p>
      <w:pPr>
        <w:ind w:left="288"/>
      </w:pPr>
      <w:r>
        <w:rPr>
          <w:color w:val="8C8C8C"/>
          <w:sz w:val="12"/>
        </w:rPr>
        <w:t>cf-art-5-par-4</w:t>
      </w:r>
      <w:r>
        <w:rPr>
          <w:color w:val="003CA0"/>
          <w:sz w:val="12"/>
        </w:rPr>
        <w:t xml:space="preserve"> | PET 4.625</w:t>
      </w:r>
    </w:p>
    <w:p>
      <w:pPr>
        <w:ind w:left="288"/>
      </w:pPr>
      <w:r>
        <w:rPr>
          <w:color w:val="1E1E1E"/>
          <w:sz w:val="18"/>
        </w:rPr>
        <w:t>Estatuto de Roma. Incorporação dessa convenção multilateral ao ordenamento jurídico interno brasileiro (Decreto 4.388/2002). Instituição do Tribunal Penal Internacional. Caráter supraestatal desse organismo judiciário. Incidência do princípio da complementaridade (ou da subsidiariedade) sobre o exercício, pelo Tribunal Penal Internacional, de sua jurisdição. Cooperação internacional e auxílio judiciário: obrigação geral que se impõe aos Estados-partes do Estatuto de Roma (art. 86). Pedido de detenção de chefe de Estado estrangeiro e de sua ulterior entrega ao Tribunal Penal Internacional, para</w:t>
      </w:r>
    </w:p>
    <w:p>
      <w:pPr>
        <w:ind w:left="288"/>
      </w:pPr>
      <w:r>
        <w:rPr>
          <w:b/>
          <w:color w:val="003CA0"/>
          <w:sz w:val="16"/>
        </w:rPr>
        <w:t>[Pet 4.625, ementa do despacho proferido pelo min. Celso de Mello, no exercício da Presidência, em 17-7-2009, DJE de 4-8-2009 e Informativo 554.]</w:t>
      </w:r>
    </w:p>
    <w:p>
      <w:pPr>
        <w:ind w:left="288"/>
      </w:pPr>
      <w:r>
        <w:rPr>
          <w:color w:val="8C8C8C"/>
          <w:sz w:val="12"/>
        </w:rPr>
        <w:t>cf-art-5-par-4</w:t>
      </w:r>
    </w:p>
    <w:p>
      <w:pPr>
        <w:ind w:left="288"/>
      </w:pPr>
      <w:r>
        <w:rPr>
          <w:color w:val="1E1E1E"/>
          <w:sz w:val="18"/>
        </w:rPr>
        <w:t>CAPÍTULO II Dos Direitos Sociais SUMÁRIO</w:t>
      </w:r>
    </w:p>
    <w:p>
      <w:pPr>
        <w:ind w:left="432"/>
      </w:pPr>
      <w:r>
        <w:rPr>
          <w:color w:val="003366"/>
          <w:sz w:val="18"/>
        </w:rPr>
        <w:t xml:space="preserve">§ 1 Para as eleições de 15 de novembro de 1988 será exigido domicílio eleitoral </w:t>
      </w:r>
    </w:p>
    <w:p>
      <w:pPr>
        <w:ind w:left="432"/>
      </w:pPr>
      <w:r>
        <w:rPr>
          <w:color w:val="003366"/>
          <w:sz w:val="18"/>
        </w:rPr>
        <w:t>§ 2 Na ausência de norma legal específica, caberá ao Tribunal Superior Eleitoral</w:t>
      </w:r>
    </w:p>
    <w:p>
      <w:pPr>
        <w:ind w:left="432"/>
      </w:pPr>
      <w:r>
        <w:rPr>
          <w:color w:val="003366"/>
          <w:sz w:val="18"/>
        </w:rPr>
        <w:t>§ 3 Os atuais parlamentares federais e estaduais eleitos Vice-Prefeitos, se conv</w:t>
      </w:r>
    </w:p>
    <w:p>
      <w:pPr>
        <w:ind w:left="432"/>
      </w:pPr>
      <w:r>
        <w:rPr>
          <w:color w:val="003366"/>
          <w:sz w:val="18"/>
        </w:rPr>
        <w:t>§ 4 O número de vereadores por município será fixado, para a representação a ser</w:t>
      </w:r>
    </w:p>
    <w:p>
      <w:pPr>
        <w:ind w:left="432"/>
      </w:pPr>
      <w:r>
        <w:rPr>
          <w:color w:val="003366"/>
          <w:sz w:val="18"/>
        </w:rPr>
        <w:t>§ 5 Para as eleições de 15 de novembro de 1988, ressalvados os que já exercem ma</w:t>
      </w:r>
    </w:p>
    <w:p>
      <w:r>
        <w:rPr>
          <w:b/>
          <w:color w:val="003366"/>
          <w:sz w:val="20"/>
        </w:rPr>
        <w:t>Art. 6 Nos seis meses posteriores à promulgação da Constituição, parlamentares f</w:t>
      </w:r>
      <w:r>
        <w:rPr>
          <w:color w:val="8C8C8C"/>
          <w:sz w:val="14"/>
        </w:rPr>
        <w:t xml:space="preserve">  [25 decisoes]</w:t>
      </w:r>
    </w:p>
    <w:p>
      <w:pPr>
        <w:ind w:left="288"/>
      </w:pPr>
      <w:r>
        <w:rPr>
          <w:color w:val="8C8C8C"/>
          <w:sz w:val="12"/>
        </w:rPr>
        <w:t>cf-art-6</w:t>
      </w:r>
      <w:r>
        <w:rPr>
          <w:color w:val="003CA0"/>
          <w:sz w:val="12"/>
        </w:rPr>
        <w:t xml:space="preserve"> | RCL 82.271</w:t>
      </w:r>
      <w:r>
        <w:rPr>
          <w:color w:val="003CA0"/>
          <w:sz w:val="12"/>
        </w:rPr>
        <w:t xml:space="preserve"> | rel. Dias Toffoli</w:t>
      </w:r>
    </w:p>
    <w:p>
      <w:pPr>
        <w:ind w:left="288"/>
      </w:pPr>
      <w:r>
        <w:rPr>
          <w:color w:val="1E1E1E"/>
          <w:sz w:val="18"/>
        </w:rPr>
        <w:t>O indeferimento de fornecimento de produto a base de canabidiol pelo poder público por ausência de comprovação do uso das alternativas terapêuticas disponíveis no Sistema Público de Saúde e da refratariedade aos tratamentos está em consonância com a tese do Tema nº 1.161 da RG.</w:t>
      </w:r>
    </w:p>
    <w:p>
      <w:pPr>
        <w:ind w:left="288"/>
      </w:pPr>
      <w:r>
        <w:rPr>
          <w:b/>
          <w:color w:val="003CA0"/>
          <w:sz w:val="16"/>
        </w:rPr>
        <w:t>[Rcl 82.271 AgR, rel. min. Dias Toffoli, j. 22.09.2025, 2ª T, DJE de 23.09.2025.]</w:t>
      </w:r>
    </w:p>
    <w:p>
      <w:pPr>
        <w:ind w:left="288"/>
      </w:pPr>
      <w:r>
        <w:rPr>
          <w:color w:val="8C8C8C"/>
          <w:sz w:val="12"/>
        </w:rPr>
        <w:t>cf-art-6</w:t>
      </w:r>
      <w:r>
        <w:rPr>
          <w:color w:val="003CA0"/>
          <w:sz w:val="12"/>
        </w:rPr>
        <w:t xml:space="preserve"> | ADI 6.618</w:t>
      </w:r>
      <w:r>
        <w:rPr>
          <w:color w:val="003CA0"/>
          <w:sz w:val="12"/>
        </w:rPr>
        <w:t xml:space="preserve"> | rel. Cristiano Zanin</w:t>
      </w:r>
    </w:p>
    <w:p>
      <w:pPr>
        <w:ind w:left="288"/>
      </w:pPr>
      <w:r>
        <w:rPr>
          <w:color w:val="1E1E1E"/>
          <w:sz w:val="18"/>
        </w:rPr>
        <w:t>O processo decisório ambiental do licenciamento é de alta complexidade e envolve também questões sociais, políticas e econômicas. O deslocamento de famílias interfere em profundas questões humanas, como identidade, memória e histórias, e em significativos direitos sociais, como os de moradia, de trabalho, de saúde, entre outros. Dessa forma, relegar o devido planejamento e, sobretudo, as decisões da realocação de pessoas apenas para a fase da Licença de Operação, significa proteger de forma deficiente os direitos fundamentais.</w:t>
      </w:r>
    </w:p>
    <w:p>
      <w:pPr>
        <w:ind w:left="288"/>
      </w:pPr>
      <w:r>
        <w:rPr>
          <w:b/>
          <w:color w:val="003CA0"/>
          <w:sz w:val="16"/>
        </w:rPr>
        <w:t>[ADI 6.618, rel. min. Cristiano Zanin, j. 07.04.2025, P, DJE de 09.05.2025.]</w:t>
      </w:r>
    </w:p>
    <w:p>
      <w:pPr>
        <w:ind w:left="144"/>
      </w:pPr>
      <w:r>
        <w:rPr>
          <w:b/>
          <w:color w:val="B45A00"/>
          <w:sz w:val="16"/>
        </w:rPr>
        <w:t>CONTROLE CONCENTRADO</w:t>
      </w:r>
    </w:p>
    <w:p>
      <w:pPr>
        <w:ind w:left="288"/>
      </w:pPr>
      <w:r>
        <w:rPr>
          <w:color w:val="8C8C8C"/>
          <w:sz w:val="12"/>
        </w:rPr>
        <w:t>cf-art-6</w:t>
      </w:r>
      <w:r>
        <w:rPr>
          <w:color w:val="003CA0"/>
          <w:sz w:val="12"/>
        </w:rPr>
        <w:t xml:space="preserve"> | ADPF 828</w:t>
      </w:r>
      <w:r>
        <w:rPr>
          <w:color w:val="003CA0"/>
          <w:sz w:val="12"/>
        </w:rPr>
        <w:t xml:space="preserve"> | rel. Roberto Barroso</w:t>
      </w:r>
    </w:p>
    <w:p>
      <w:pPr>
        <w:ind w:left="288"/>
      </w:pPr>
      <w:r>
        <w:rPr>
          <w:color w:val="1E1E1E"/>
          <w:sz w:val="18"/>
        </w:rPr>
        <w:t>Pedido de extensão da medida cautelar anteriormente deferida, a fim de que se mantenha a suspensão de desocupações coletivas e despejos enquanto perdurarem os efeitos da crise sanitária da COVID-19. Alteração do cenário epidemiológico no Brasil e arrefecimento dos efeitos da pandemia, notadamente com (i) a redução do número de casos diários e de mortes pela doença, (ii) o aumento exponencial da cobertura vacinal no país e (iii) a flexibilização das medidas de distanciamento físico e de uso de máscaras faciais. (...). Regime de transição quanto às ocupações coletivas. Determinação de criação im</w:t>
      </w:r>
    </w:p>
    <w:p>
      <w:pPr>
        <w:ind w:left="288"/>
      </w:pPr>
      <w:r>
        <w:rPr>
          <w:b/>
          <w:color w:val="003CA0"/>
          <w:sz w:val="16"/>
        </w:rPr>
        <w:t>[ADPF 828 TPI-quarta-REF, rel. min. Roberto Barroso, j. 2-11-2022, P, DJE de 1º-12-2022.]</w:t>
      </w:r>
    </w:p>
    <w:p>
      <w:pPr>
        <w:ind w:left="288"/>
      </w:pPr>
      <w:r>
        <w:rPr>
          <w:color w:val="8C8C8C"/>
          <w:sz w:val="12"/>
        </w:rPr>
        <w:t>cf-art-6</w:t>
      </w:r>
      <w:r>
        <w:rPr>
          <w:color w:val="003CA0"/>
          <w:sz w:val="12"/>
        </w:rPr>
        <w:t xml:space="preserve"> | ADI 6.466</w:t>
      </w:r>
      <w:r>
        <w:rPr>
          <w:color w:val="003CA0"/>
          <w:sz w:val="12"/>
        </w:rPr>
        <w:t xml:space="preserve"> | rel. Edson Fachin</w:t>
      </w:r>
    </w:p>
    <w:p>
      <w:pPr>
        <w:ind w:left="288"/>
      </w:pPr>
      <w:r>
        <w:rPr>
          <w:color w:val="1E1E1E"/>
          <w:sz w:val="18"/>
        </w:rPr>
        <w:t>Os direitos à vida e à segurança são dotados não apenas de dimensão negativa, senão também de dimensão positiva, constituindo exigência de que o Estado construa políticas de segurança pública e controle da violência armada. As obrigações assumidas pelo Estado brasileiro perante o direito internacional dos direitos humanos aprofundam a semântica dos direitos à vida e à segurança, devendo a responsabilidade do Poder Público passar pelo crivo da diligência devida e da proporcionalidade. O legislador, ao delegar ao Poder Executivo, no art. 4º, §2º da Lei nº 10.826, de 22 de dezembro de 2003, as de</w:t>
      </w:r>
    </w:p>
    <w:p>
      <w:pPr>
        <w:ind w:left="288"/>
      </w:pPr>
      <w:r>
        <w:rPr>
          <w:b/>
          <w:color w:val="003CA0"/>
          <w:sz w:val="16"/>
        </w:rPr>
        <w:t>[ADI 6.466 MC-REF, rel. min. Edson Fachin, j. 21-9-2022, P, DJE de 19-12-2022.]</w:t>
      </w:r>
    </w:p>
    <w:p>
      <w:pPr>
        <w:ind w:left="288"/>
      </w:pPr>
      <w:r>
        <w:rPr>
          <w:color w:val="8C8C8C"/>
          <w:sz w:val="12"/>
        </w:rPr>
        <w:t>cf-art-6</w:t>
      </w:r>
      <w:r>
        <w:rPr>
          <w:color w:val="003CA0"/>
          <w:sz w:val="12"/>
        </w:rPr>
        <w:t xml:space="preserve"> | ADI 5.583</w:t>
      </w:r>
      <w:r>
        <w:rPr>
          <w:color w:val="003CA0"/>
          <w:sz w:val="12"/>
        </w:rPr>
        <w:t xml:space="preserve"> | rel. Marco Aurélio</w:t>
      </w:r>
    </w:p>
    <w:p>
      <w:pPr>
        <w:ind w:left="288"/>
      </w:pPr>
      <w:r>
        <w:rPr>
          <w:color w:val="1E1E1E"/>
          <w:sz w:val="18"/>
        </w:rPr>
        <w:t>“O dispositivo impugnado traz um desestímulo a que as pessoas com deficiência busquem alternativas para se inserir no mercado de trabalho, principalmente quando incorrem em elevadas despesas médicas – que não raro estão atreladas a deficiências mais graves. Nessa hipótese, seu genitor ou responsável deixaria de deduzir tais gastos da base de cálculo do imposto devido. E, dados os baixos salários comumente pagos a elas, tal dedução dificilmente seria possível na sua própria declaração de imposto sobre a renda. (...) Na apuração do imposto sobre a renda de pessoa física, a pessoa com deficiência</w:t>
      </w:r>
    </w:p>
    <w:p>
      <w:pPr>
        <w:ind w:left="288"/>
      </w:pPr>
      <w:r>
        <w:rPr>
          <w:b/>
          <w:color w:val="003CA0"/>
          <w:sz w:val="16"/>
        </w:rPr>
        <w:t>[ADI 5.583, rel. min. Marco Aurélio, red. do ac. min. Roberto Barroso, j. 17-5-2021, P, DJE de 28-6-2021.]</w:t>
      </w:r>
    </w:p>
    <w:p>
      <w:pPr>
        <w:ind w:left="288"/>
      </w:pPr>
      <w:r>
        <w:rPr>
          <w:color w:val="8C8C8C"/>
          <w:sz w:val="12"/>
        </w:rPr>
        <w:t>cf-art-6</w:t>
      </w:r>
      <w:r>
        <w:rPr>
          <w:color w:val="003CA0"/>
          <w:sz w:val="12"/>
        </w:rPr>
        <w:t xml:space="preserve"> | RE 626.489</w:t>
      </w:r>
      <w:r>
        <w:rPr>
          <w:color w:val="003CA0"/>
          <w:sz w:val="12"/>
        </w:rPr>
        <w:t xml:space="preserve"> | rel. Edson Fachin</w:t>
      </w:r>
    </w:p>
    <w:p>
      <w:pPr>
        <w:ind w:left="288"/>
      </w:pPr>
      <w:r>
        <w:rPr>
          <w:color w:val="1E1E1E"/>
          <w:sz w:val="18"/>
        </w:rPr>
        <w:t>O núcleo essencial do direito fundamental à previdência social é imprescritível, irrenunciável e indisponível, motivo pelo qual não deve ser afetada pelos efeitos do tempo e da inércia de seu titular a pretensão relativa ao direito ao recebimento de benefício previdenciário. Este Supremo Tribunal Federal, no RE 626.489, de relatoria do i. Min. Roberto Barroso, admitiu a instituição de prazo decadencial para a revisão do ato concessório porque atingida tão somente a pretensão de rediscutir a graduação pecuniária do benefício, isto é, a forma de cálculo ou o valor final da prestação, já que, con</w:t>
      </w:r>
    </w:p>
    <w:p>
      <w:pPr>
        <w:ind w:left="288"/>
      </w:pPr>
      <w:r>
        <w:rPr>
          <w:b/>
          <w:color w:val="003CA0"/>
          <w:sz w:val="16"/>
        </w:rPr>
        <w:t>[ADI 6.096, rel. min. Edson Fachin, j. 13-10-2020, P, DJE de 26-11-2020.]</w:t>
      </w:r>
    </w:p>
    <w:p>
      <w:pPr>
        <w:ind w:left="288"/>
      </w:pPr>
      <w:r>
        <w:rPr>
          <w:color w:val="8C8C8C"/>
          <w:sz w:val="12"/>
        </w:rPr>
        <w:t>cf-art-6</w:t>
      </w:r>
      <w:r>
        <w:rPr>
          <w:color w:val="003CA0"/>
          <w:sz w:val="12"/>
        </w:rPr>
        <w:t xml:space="preserve"> | ADI 4.406</w:t>
      </w:r>
      <w:r>
        <w:rPr>
          <w:color w:val="003CA0"/>
          <w:sz w:val="12"/>
        </w:rPr>
        <w:t xml:space="preserve"> | rel. Rosa Weber</w:t>
      </w:r>
    </w:p>
    <w:p>
      <w:pPr>
        <w:ind w:left="288"/>
      </w:pPr>
      <w:r>
        <w:rPr>
          <w:color w:val="1E1E1E"/>
          <w:sz w:val="18"/>
        </w:rPr>
        <w:t>A Lei 8.112/1990 aplica-se aos professores universitários federais, que integram os quadros dos servidores públicos civis da União. O artigo 96-A, §§ 2°, 3° e 7°, da Lei nº 8.112/1990 não desrespeita a autonomia universitária. Inexiste, na autonomia universitária, espaço discricionário para a liberação dos professores universitários federais para participar de pós-graduação stricto sensu a qualquer tempo, sem observância dos requisitos mínimos legalmente determinados. A norma prestigia o direito social à educação, efetivamente concretizado pela oferta legal da oportunidade de aperfeiçoamento m</w:t>
      </w:r>
    </w:p>
    <w:p>
      <w:pPr>
        <w:ind w:left="288"/>
      </w:pPr>
      <w:r>
        <w:rPr>
          <w:b/>
          <w:color w:val="003CA0"/>
          <w:sz w:val="16"/>
        </w:rPr>
        <w:t>[ADI 4.406, rel. min. Rosa Weber, j. 18-10-2019, P, DJE de 4-11-2019.]</w:t>
      </w:r>
    </w:p>
    <w:p>
      <w:pPr>
        <w:ind w:left="288"/>
      </w:pPr>
      <w:r>
        <w:rPr>
          <w:color w:val="8C8C8C"/>
          <w:sz w:val="12"/>
        </w:rPr>
        <w:t>cf-art-6</w:t>
      </w:r>
      <w:r>
        <w:rPr>
          <w:color w:val="003CA0"/>
          <w:sz w:val="12"/>
        </w:rPr>
        <w:t xml:space="preserve"> | ADI 5.592</w:t>
      </w:r>
    </w:p>
    <w:p>
      <w:pPr>
        <w:ind w:left="288"/>
      </w:pPr>
      <w:r>
        <w:rPr>
          <w:color w:val="1E1E1E"/>
          <w:sz w:val="18"/>
        </w:rPr>
        <w:t>Apesar de submeter a incorporação do mecanismo de dispersão de substâncias químicas por aeronaves para combate ao mosquito transmissor do vírus da dengue, do vírus chikungunya e do vírus da zika à autorização da autoridade sanitária e à comprovação de eficácia da prática no combate ao mosquito, o legislador assumiu a positivação do instrumento sem a realização prévia de estudos em obediência ao princípio da precaução, o que pode levar à violação à sistemática de proteção ambiental contida no artigo 225 da Constituição Federal. (...) Em atendimento aos princípios da precaução e da prevenção, be</w:t>
      </w:r>
    </w:p>
    <w:p>
      <w:pPr>
        <w:ind w:left="288"/>
      </w:pPr>
      <w:r>
        <w:rPr>
          <w:b/>
          <w:color w:val="003CA0"/>
          <w:sz w:val="16"/>
        </w:rPr>
        <w:t>[ADI 5.592, red. do ac. min. Edson Fachin, j. 11-9-2019, P, DJE de 10-3-2020.]</w:t>
      </w:r>
    </w:p>
    <w:p>
      <w:pPr>
        <w:ind w:left="288"/>
      </w:pPr>
      <w:r>
        <w:rPr>
          <w:color w:val="8C8C8C"/>
          <w:sz w:val="12"/>
        </w:rPr>
        <w:t>cf-art-6</w:t>
      </w:r>
      <w:r>
        <w:rPr>
          <w:color w:val="003CA0"/>
          <w:sz w:val="12"/>
        </w:rPr>
        <w:t xml:space="preserve"> | ADI 5.938</w:t>
      </w:r>
      <w:r>
        <w:rPr>
          <w:color w:val="003CA0"/>
          <w:sz w:val="12"/>
        </w:rPr>
        <w:t xml:space="preserve"> | rel. Alexandre de Moraes</w:t>
      </w:r>
    </w:p>
    <w:p>
      <w:pPr>
        <w:ind w:left="288"/>
      </w:pPr>
      <w:r>
        <w:rPr>
          <w:color w:val="1E1E1E"/>
          <w:sz w:val="18"/>
        </w:rPr>
        <w:t xml:space="preserve">A Constituição Federal proclama importantes direitos em seu artigo 6º, entre eles a proteção à maternidade, que é a ratio para inúmeros outros direitos sociais instrumentais, tais como a licença-gestante e o direito à segurança no emprego, a proteção do mercado de trabalho da mulher, mediante incentivos específicos, nos termos da lei, e redução dos riscos inerentes ao trabalho, por meio de normas de saúde, higiene e segurança. A proteção contra a exposição da gestante e lactante a atividades insalubres caracteriza-se como importante direito social instrumental protetivo tanto da mulher quanto </w:t>
      </w:r>
    </w:p>
    <w:p>
      <w:pPr>
        <w:ind w:left="288"/>
      </w:pPr>
      <w:r>
        <w:rPr>
          <w:b/>
          <w:color w:val="003CA0"/>
          <w:sz w:val="16"/>
        </w:rPr>
        <w:t>[ADI 5.938, rel. min. Alexandre de Moraes, j. 29-5-2019, P, DJE de 23-9-2019.]</w:t>
      </w:r>
    </w:p>
    <w:p>
      <w:pPr>
        <w:ind w:left="288"/>
      </w:pPr>
      <w:r>
        <w:rPr>
          <w:color w:val="8C8C8C"/>
          <w:sz w:val="12"/>
        </w:rPr>
        <w:t>cf-art-6</w:t>
      </w:r>
      <w:r>
        <w:rPr>
          <w:color w:val="003CA0"/>
          <w:sz w:val="12"/>
        </w:rPr>
        <w:t xml:space="preserve"> | ADI 3.330</w:t>
      </w:r>
      <w:r>
        <w:rPr>
          <w:color w:val="003CA0"/>
          <w:sz w:val="12"/>
        </w:rPr>
        <w:t xml:space="preserve"> | rel. Ayres Britto</w:t>
      </w:r>
    </w:p>
    <w:p>
      <w:pPr>
        <w:ind w:left="288"/>
      </w:pPr>
      <w:r>
        <w:rPr>
          <w:color w:val="1E1E1E"/>
          <w:sz w:val="18"/>
        </w:rPr>
        <w:t xml:space="preserve">Programa Universidade para Todos (PROUNI). Ações afirmativas do Estado. Cumprimento do princípio constitucional da isonomia. (...) A educação, notadamente a escolar ou formal, é direito social que a todos deve alcançar. Por isso mesmo, dever do Estado e uma de suas políticas públicas de primeiríssima prioridade. A Lei 11.096/2005 não laborou no campo material reservado à lei complementar. Tratou, tão somente, de erigir um critério objetivo de contabilidade compensatória da aplicação financeira em gratuidade por parte das instituições educacionais. Critério que, se atendido, possibilita o gozo </w:t>
      </w:r>
    </w:p>
    <w:p>
      <w:pPr>
        <w:ind w:left="288"/>
      </w:pPr>
      <w:r>
        <w:rPr>
          <w:b/>
          <w:color w:val="003CA0"/>
          <w:sz w:val="16"/>
        </w:rPr>
        <w:t>[ADI 3.330, rel. min. Ayres Britto, j. 3-5-2012, P, DJE de 22-3-2013.]</w:t>
      </w:r>
    </w:p>
    <w:p>
      <w:pPr>
        <w:ind w:left="288"/>
      </w:pPr>
      <w:r>
        <w:rPr>
          <w:color w:val="8C8C8C"/>
          <w:sz w:val="12"/>
        </w:rPr>
        <w:t>cf-art-6</w:t>
      </w:r>
      <w:r>
        <w:rPr>
          <w:color w:val="003CA0"/>
          <w:sz w:val="12"/>
        </w:rPr>
        <w:t xml:space="preserve"> | ADI 1.698</w:t>
      </w:r>
      <w:r>
        <w:rPr>
          <w:color w:val="003CA0"/>
          <w:sz w:val="12"/>
        </w:rPr>
        <w:t xml:space="preserve"> | rel. Cármen Lúcia</w:t>
      </w:r>
    </w:p>
    <w:p>
      <w:pPr>
        <w:ind w:left="288"/>
      </w:pPr>
      <w:r>
        <w:rPr>
          <w:color w:val="1E1E1E"/>
          <w:sz w:val="18"/>
        </w:rPr>
        <w:t>Ação direta de inconstitucionalidade por omissão em relação ao disposto nos arts. 6º; 23, V; 208, I; e 214, I, da Constituição da República. Alegada inércia atribuída ao presidente da República para erradicar o analfabetismo no País e para implementar o ensino fundamental obrigatório e gratuito a todos os brasileiros. Dados do recenseamento do IBGE demonstram redução do índice da população analfabeta, complementado pelo aumento da escolaridade de jovens e adultos. Ausência de omissão por parte do chefe do Poder Executivo federal em razão do elevado número de programas governamentais para a áre</w:t>
      </w:r>
    </w:p>
    <w:p>
      <w:pPr>
        <w:ind w:left="288"/>
      </w:pPr>
      <w:r>
        <w:rPr>
          <w:b/>
          <w:color w:val="003CA0"/>
          <w:sz w:val="16"/>
        </w:rPr>
        <w:t>[ADI 1.698, rel. min. Cármen Lúcia, j. 25-2-2010, P, DJE de 16-4-2010.]</w:t>
      </w:r>
    </w:p>
    <w:p>
      <w:pPr>
        <w:ind w:left="288"/>
      </w:pPr>
      <w:r>
        <w:rPr>
          <w:color w:val="8C8C8C"/>
          <w:sz w:val="12"/>
        </w:rPr>
        <w:t>cf-art-6</w:t>
      </w:r>
      <w:r>
        <w:rPr>
          <w:color w:val="003CA0"/>
          <w:sz w:val="12"/>
        </w:rPr>
        <w:t xml:space="preserve"> | ADI 3.510</w:t>
      </w:r>
      <w:r>
        <w:rPr>
          <w:color w:val="003CA0"/>
          <w:sz w:val="12"/>
        </w:rPr>
        <w:t xml:space="preserve"> | rel. Ayres Britto</w:t>
      </w:r>
    </w:p>
    <w:p>
      <w:pPr>
        <w:ind w:left="288"/>
      </w:pPr>
      <w:r>
        <w:rPr>
          <w:color w:val="1E1E1E"/>
          <w:sz w:val="18"/>
        </w:rPr>
        <w:t>O § 4º do art. 199 da Constituição, versante sobre pesquisas com substâncias humanas para fins terapêuticos, faz parte da seção normativa dedicada à "Saúde" (Seção II do Capítulo II do Título VIII). Direito à saúde, positivado como um dos primeiros dos direitos sociais de natureza fundamental (art. 6º da CF) e também como o primeiro dos direitos constitutivos da seguridade social (cabeça do artigo constitucional de n. 194). Saúde que é "direito de todos e dever do Estado" (caput do art. 196 da Constituição), garantida mediante ações e serviços de pronto qualificados como "de relevância pública</w:t>
      </w:r>
    </w:p>
    <w:p>
      <w:pPr>
        <w:ind w:left="288"/>
      </w:pPr>
      <w:r>
        <w:rPr>
          <w:b/>
          <w:color w:val="003CA0"/>
          <w:sz w:val="16"/>
        </w:rPr>
        <w:t>[ADI 3.510, rel. min. Ayres Britto, j. 29-5-2008, P, DJE de 28-5-2010.]</w:t>
      </w:r>
    </w:p>
    <w:p>
      <w:pPr>
        <w:ind w:left="288"/>
      </w:pPr>
      <w:r>
        <w:rPr>
          <w:color w:val="8C8C8C"/>
          <w:sz w:val="12"/>
        </w:rPr>
        <w:t>cf-art-6</w:t>
      </w:r>
      <w:r>
        <w:rPr>
          <w:color w:val="003CA0"/>
          <w:sz w:val="12"/>
        </w:rPr>
        <w:t xml:space="preserve"> | ARE 1.484.919</w:t>
      </w:r>
      <w:r>
        <w:rPr>
          <w:color w:val="003CA0"/>
          <w:sz w:val="12"/>
        </w:rPr>
        <w:t xml:space="preserve"> | rel. Alexandre de Moraes</w:t>
      </w:r>
    </w:p>
    <w:p>
      <w:pPr>
        <w:ind w:left="288"/>
      </w:pPr>
      <w:r>
        <w:rPr>
          <w:color w:val="1E1E1E"/>
          <w:sz w:val="18"/>
        </w:rPr>
        <w:t>Indisponibilidade de bem de família e previsão de ressarcimento integral ao erário pela prática de ato de improbidade administrativa. Necessidade de conciliação interpretativa dos artigos 6º e 37, §4º da Constituição Federal.</w:t>
      </w:r>
    </w:p>
    <w:p>
      <w:pPr>
        <w:ind w:left="288"/>
      </w:pPr>
      <w:r>
        <w:rPr>
          <w:b/>
          <w:color w:val="003CA0"/>
          <w:sz w:val="16"/>
        </w:rPr>
        <w:t>[ARE 1.484.919 RG, rel. min. Alexandre de Moraes, j. 16.08.2024, P, DJE de 30.08.2024, Tema 1.316, com mérito pendente.]</w:t>
      </w:r>
    </w:p>
    <w:p>
      <w:pPr>
        <w:ind w:left="144"/>
      </w:pPr>
      <w:r>
        <w:rPr>
          <w:b/>
          <w:color w:val="B45A00"/>
          <w:sz w:val="16"/>
        </w:rPr>
        <w:t>REPERCUSSAO GERAL</w:t>
      </w:r>
    </w:p>
    <w:p>
      <w:pPr>
        <w:ind w:left="288"/>
      </w:pPr>
      <w:r>
        <w:rPr>
          <w:color w:val="8C8C8C"/>
          <w:sz w:val="12"/>
        </w:rPr>
        <w:t>cf-art-6</w:t>
      </w:r>
      <w:r>
        <w:rPr>
          <w:color w:val="003CA0"/>
          <w:sz w:val="12"/>
        </w:rPr>
        <w:t xml:space="preserve"> | RE 1.307.334</w:t>
      </w:r>
      <w:r>
        <w:rPr>
          <w:color w:val="003CA0"/>
          <w:sz w:val="12"/>
        </w:rPr>
        <w:t xml:space="preserve"> | rel. Alexandre de Moraes</w:t>
      </w:r>
    </w:p>
    <w:p>
      <w:pPr>
        <w:ind w:left="288"/>
      </w:pPr>
      <w:r>
        <w:rPr>
          <w:color w:val="1E1E1E"/>
          <w:sz w:val="18"/>
        </w:rPr>
        <w:t>É constitucional a penhora de bem de família pertencente a fiador de contrato de locação, seja residencial, seja comercial.</w:t>
        <w:br/>
        <w:t>[RE 1.307.334, rel. min. Alexandre de Moraes, j. 9-3-2022, P, DJE de 26-5-2022, Tema 1.127, com mérito julgado.] Cabe ao Estado fornecer, em termos excepcionais, medicamento que, embora não possua registro na ANVISA, tem a sua importação autorizada pela agência de vigilância sanitária, desde que comprovada a incapacidade econômica do paciente, a imprescindibilidade clínica do tratamento, e a impossibilidade de substituição por outro similar constante das listas oficiais d</w:t>
      </w:r>
    </w:p>
    <w:p>
      <w:pPr>
        <w:ind w:left="288"/>
      </w:pPr>
      <w:r>
        <w:rPr>
          <w:b/>
          <w:color w:val="003CA0"/>
          <w:sz w:val="16"/>
        </w:rPr>
        <w:t>[RE 1.165.959, rel. min. Marco Aurélio, red. do ac. Min. Alexandre de Moraes, j. 18-6-2021, P, DJE de 22-10-2021, RG, Tema 1.161, com mérito em julgado.]</w:t>
      </w:r>
    </w:p>
    <w:p>
      <w:pPr>
        <w:ind w:left="288"/>
      </w:pPr>
      <w:r>
        <w:rPr>
          <w:color w:val="8C8C8C"/>
          <w:sz w:val="12"/>
        </w:rPr>
        <w:t>cf-art-6</w:t>
      </w:r>
      <w:r>
        <w:rPr>
          <w:color w:val="003CA0"/>
          <w:sz w:val="12"/>
        </w:rPr>
        <w:t xml:space="preserve"> | RE 407.688</w:t>
      </w:r>
      <w:r>
        <w:rPr>
          <w:color w:val="003CA0"/>
          <w:sz w:val="12"/>
        </w:rPr>
        <w:t xml:space="preserve"> | rel. Cezar Peluso</w:t>
      </w:r>
    </w:p>
    <w:p>
      <w:pPr>
        <w:ind w:left="288"/>
      </w:pPr>
      <w:r>
        <w:rPr>
          <w:color w:val="1E1E1E"/>
          <w:sz w:val="18"/>
        </w:rPr>
        <w:t>O Plenário do STF, no julgamento do RE 407.688, rel. min. Cezar Peluso, DJ de 6-10-2006, afirmou ser legítima a penhora de bem de família pertencente a fiador de contrato de locação, em virtude da compatibilidade da exceção prevista no art. 3º, VII, da Lei 8.009/1990 com o direito à moradia consagrado no art. 6º da CF, com a redação da EC 26/2000.</w:t>
      </w:r>
    </w:p>
    <w:p>
      <w:pPr>
        <w:ind w:left="288"/>
      </w:pPr>
      <w:r>
        <w:rPr>
          <w:b/>
          <w:color w:val="003CA0"/>
          <w:sz w:val="16"/>
        </w:rPr>
        <w:t>[RE 612.360 RG, voto da min. Ellen Gracie, j. 13-8-2010, P, DJE de 3-9-2010, Tema 295, com mérito em julgado.]</w:t>
      </w:r>
    </w:p>
    <w:p>
      <w:pPr>
        <w:ind w:left="288"/>
      </w:pPr>
      <w:r>
        <w:rPr>
          <w:color w:val="8C8C8C"/>
          <w:sz w:val="12"/>
        </w:rPr>
        <w:t>cf-art-6</w:t>
      </w:r>
      <w:r>
        <w:rPr>
          <w:color w:val="003CA0"/>
          <w:sz w:val="12"/>
        </w:rPr>
        <w:t xml:space="preserve"> | RE 605.709</w:t>
      </w:r>
      <w:r>
        <w:rPr>
          <w:color w:val="003CA0"/>
          <w:sz w:val="12"/>
        </w:rPr>
        <w:t xml:space="preserve"> | rel. Flávio Dino</w:t>
      </w:r>
    </w:p>
    <w:p>
      <w:pPr>
        <w:ind w:left="288"/>
      </w:pPr>
      <w:r>
        <w:rPr>
          <w:color w:val="1E1E1E"/>
          <w:sz w:val="18"/>
        </w:rPr>
        <w:t>Vide RE 605.709, red. do ac. min. Rosa Weber, j. 12-6-2018, 1ª T, DJE de 18-2-2019 Mandado de injunção ajuizado com o objetivo de suprir alegada omissão normativa parcial no âmbito do CNJ acerca da definição de critérios objetivos, transparentes e não discriminatórios de identificação de vulnerabilidade em conflitos possessórios coletivos (ADPF 828; Resolução CNJ nº 510/2023). O Estado de Mato Grosso, a pretexto de suprir a suposta omissão do CNJ, fixou critérios restritivos e desconectados do diagnóstico social para caracterização de vulnerabilidade (renda per capita rígida, exclusão automáti</w:t>
      </w:r>
    </w:p>
    <w:p>
      <w:pPr>
        <w:ind w:left="288"/>
      </w:pPr>
      <w:r>
        <w:rPr>
          <w:b/>
          <w:color w:val="003CA0"/>
          <w:sz w:val="16"/>
        </w:rPr>
        <w:t>[MI 7.503 MC-REF, rel. min. Flávio Dino, j. 27.10.2025, P, DJE de 04.12.2025.]</w:t>
      </w:r>
    </w:p>
    <w:p>
      <w:pPr>
        <w:ind w:left="288"/>
      </w:pPr>
      <w:r>
        <w:rPr>
          <w:color w:val="8C8C8C"/>
          <w:sz w:val="12"/>
        </w:rPr>
        <w:t>cf-art-6</w:t>
      </w:r>
      <w:r>
        <w:rPr>
          <w:color w:val="003CA0"/>
          <w:sz w:val="12"/>
        </w:rPr>
        <w:t xml:space="preserve"> | MS 40.297</w:t>
      </w:r>
      <w:r>
        <w:rPr>
          <w:color w:val="003CA0"/>
          <w:sz w:val="12"/>
        </w:rPr>
        <w:t xml:space="preserve"> | rel. Flávio Dino</w:t>
      </w:r>
    </w:p>
    <w:p>
      <w:pPr>
        <w:ind w:left="288"/>
      </w:pPr>
      <w:r>
        <w:rPr>
          <w:color w:val="1E1E1E"/>
          <w:sz w:val="18"/>
        </w:rPr>
        <w:t>A Medida Provisória nº 1.287/2025, que institui a concessão de indenização às famílias de crianças com sequelas decorrentes da síndrome congênita do vírus da Zika, ainda não foi regulamentada nem operacionalizada pela administração pública, o que impede o acesso efetivo ao benefício. Há risco de perda do direito, pois a Medida Provisória deixará de valer em 2 de junho de 2025, caso não seja convertida em lei pelo Congresso Nacional. A omissão pode comprometer os direitos constitucionais das crianças e pessoas com deficiência, como o direito à saúde, à proteção integral e à dignidade (arts. 6º,</w:t>
      </w:r>
    </w:p>
    <w:p>
      <w:pPr>
        <w:ind w:left="288"/>
      </w:pPr>
      <w:r>
        <w:rPr>
          <w:b/>
          <w:color w:val="003CA0"/>
          <w:sz w:val="16"/>
        </w:rPr>
        <w:t>[MS 40.297 MC-REF rel. min. Flávio Dino, j. 10.06.2025, P, DJE de 06.08.2025.]</w:t>
      </w:r>
    </w:p>
    <w:p>
      <w:pPr>
        <w:ind w:left="144"/>
      </w:pPr>
      <w:r>
        <w:rPr>
          <w:b/>
          <w:color w:val="B45A00"/>
          <w:sz w:val="16"/>
        </w:rPr>
        <w:t>JULGADOS CORRELATOS</w:t>
      </w:r>
    </w:p>
    <w:p>
      <w:pPr>
        <w:ind w:left="288"/>
      </w:pPr>
      <w:r>
        <w:rPr>
          <w:color w:val="8C8C8C"/>
          <w:sz w:val="12"/>
        </w:rPr>
        <w:t>cf-art-6</w:t>
      </w:r>
      <w:r>
        <w:rPr>
          <w:color w:val="003CA0"/>
          <w:sz w:val="12"/>
        </w:rPr>
        <w:t xml:space="preserve"> | ADPF 672</w:t>
      </w:r>
      <w:r>
        <w:rPr>
          <w:color w:val="003CA0"/>
          <w:sz w:val="12"/>
        </w:rPr>
        <w:t xml:space="preserve"> | rel. Alexandre de Moraes</w:t>
      </w:r>
    </w:p>
    <w:p>
      <w:pPr>
        <w:ind w:left="288"/>
      </w:pPr>
      <w:r>
        <w:rPr>
          <w:color w:val="1E1E1E"/>
          <w:sz w:val="18"/>
        </w:rPr>
        <w:t>Compete à União promover a defesa permanente contra as calamidades públicas, impondo-lhe atuar como ente central de planejamento e coordenação em situação de emergência sanitária, ‘(...) inclusive no tocante ao financiamento e apoio logístico aos órgãos regionais e locais de saúde pública’ (ADPF 672, Rel. Min. Alexandre de Moraes, Plenário). Pedido julgado parcialmente procedente para determinar que a União preste suporte técnico e apoio financeiro para a expansão da rede de UTI no Estado durante o período de emergência sanitária.</w:t>
      </w:r>
    </w:p>
    <w:p>
      <w:pPr>
        <w:ind w:left="288"/>
      </w:pPr>
      <w:r>
        <w:rPr>
          <w:b/>
          <w:color w:val="003CA0"/>
          <w:sz w:val="16"/>
        </w:rPr>
        <w:t>[ACO 3.473, ACO 3.474, ACO 3.475, ACO 3.478 e ACO 3.483, rel. min. Rosa Weber, j. 11-11-2021, P, DJE de 2-12-2021.]</w:t>
      </w:r>
    </w:p>
    <w:p>
      <w:pPr>
        <w:ind w:left="288"/>
      </w:pPr>
      <w:r>
        <w:rPr>
          <w:color w:val="8C8C8C"/>
          <w:sz w:val="12"/>
        </w:rPr>
        <w:t>cf-art-6</w:t>
      </w:r>
      <w:r>
        <w:rPr>
          <w:color w:val="003CA0"/>
          <w:sz w:val="12"/>
        </w:rPr>
        <w:t xml:space="preserve"> | ACO 3.490</w:t>
      </w:r>
      <w:r>
        <w:rPr>
          <w:color w:val="003CA0"/>
          <w:sz w:val="12"/>
        </w:rPr>
        <w:t xml:space="preserve"> | rel. Rosa Weber</w:t>
      </w:r>
    </w:p>
    <w:p>
      <w:pPr>
        <w:ind w:left="288"/>
      </w:pPr>
      <w:r>
        <w:rPr>
          <w:color w:val="1E1E1E"/>
          <w:sz w:val="18"/>
        </w:rPr>
        <w:t>“As incertezas sobre a progressão da pandemia e a imprevisibilidade da conjuntura de saúde pública causada pela COVID-19 autorizam a fração genérica do pedido, no que diz ao quantitativo dos insumos do kit intubação, porquanto inviável ‘determinar, desde logo, as consequências do ato ou do fato’. Inépcia da petição inicial não configurada (art. 322, § 2º, c/c art. 324, § 1º, II, do CPC/15). O princípio da precaução orienta as políticas públicas sanitárias a gerenciar de forma imediata os riscos coletivos, com o olhar voltado para o futuro: in dubio pro salute. Dever estatal de enfrentamento da</w:t>
      </w:r>
    </w:p>
    <w:p>
      <w:pPr>
        <w:ind w:left="288"/>
      </w:pPr>
      <w:r>
        <w:rPr>
          <w:b/>
          <w:color w:val="003CA0"/>
          <w:sz w:val="16"/>
        </w:rPr>
        <w:t>[ACO 3.490-TP-Ref, rel. min. Rosa Weber, j. 14-6-2021, P, DJE de 24-6-2021.]</w:t>
      </w:r>
    </w:p>
    <w:p>
      <w:pPr>
        <w:ind w:left="288"/>
      </w:pPr>
      <w:r>
        <w:rPr>
          <w:color w:val="8C8C8C"/>
          <w:sz w:val="12"/>
        </w:rPr>
        <w:t>cf-art-6</w:t>
      </w:r>
      <w:r>
        <w:rPr>
          <w:color w:val="003CA0"/>
          <w:sz w:val="12"/>
        </w:rPr>
        <w:t xml:space="preserve"> | PET 8.002</w:t>
      </w:r>
      <w:r>
        <w:rPr>
          <w:color w:val="003CA0"/>
          <w:sz w:val="12"/>
        </w:rPr>
        <w:t xml:space="preserve"> | rel. Luiz Fux</w:t>
      </w:r>
    </w:p>
    <w:p>
      <w:pPr>
        <w:ind w:left="288"/>
      </w:pPr>
      <w:r>
        <w:rPr>
          <w:color w:val="1E1E1E"/>
          <w:sz w:val="18"/>
        </w:rPr>
        <w:t>In casu: (i) os acórdãos do Superior Tribunal de Justiça e do Tribunal Regional Federal da 4ª Região invocaram os princípios constitucionais da dignidade da pessoa humana (art. 1º, III, CRFB) e da isonomia (art. 5º, caput, CRFB), bem como os direitos sociais (art. 6º CRFB), para estender o adicional de assistência permanente previsto no art. 45 da Lei nº 8.213/91 a beneficiários diversos dos aposentados por invalidez, indicando o fumus boni iuris quanto à admissão do Recurso Extraordinário; (ii) o risco de lesão grave a ser afastado com a suspensão dos processos que versem sobre a controvérsia</w:t>
      </w:r>
    </w:p>
    <w:p>
      <w:pPr>
        <w:ind w:left="288"/>
      </w:pPr>
      <w:r>
        <w:rPr>
          <w:b/>
          <w:color w:val="003CA0"/>
          <w:sz w:val="16"/>
        </w:rPr>
        <w:t>[PET 8.002-AgR, rel. min. Luiz Fux, j. 12-3-2019, 1ª T, DJE de 1º-8-2019.]</w:t>
      </w:r>
    </w:p>
    <w:p>
      <w:pPr>
        <w:ind w:left="288"/>
      </w:pPr>
      <w:r>
        <w:rPr>
          <w:color w:val="8C8C8C"/>
          <w:sz w:val="12"/>
        </w:rPr>
        <w:t>cf-art-6</w:t>
      </w:r>
      <w:r>
        <w:rPr>
          <w:color w:val="003CA0"/>
          <w:sz w:val="12"/>
        </w:rPr>
        <w:t xml:space="preserve"> | ARE 908.144</w:t>
      </w:r>
      <w:r>
        <w:rPr>
          <w:color w:val="003CA0"/>
          <w:sz w:val="12"/>
        </w:rPr>
        <w:t xml:space="preserve"> | rel. Edson Fachin</w:t>
      </w:r>
    </w:p>
    <w:p>
      <w:pPr>
        <w:ind w:left="288"/>
      </w:pPr>
      <w:r>
        <w:rPr>
          <w:color w:val="1E1E1E"/>
          <w:sz w:val="18"/>
        </w:rPr>
        <w:t>Direito fundamental à moradia. Imóvel público. Loteamento irregular. Inércia do poder público. (...) O exercício do poder de polícia de ordenação territorial pode ser analisado a partir dos direitos fundamentais, que constituem, a toda evidência, o fundamento e o fim da atividade estatal. Na presença de instrumentos do Estatuto das Cidades (Lei 10.257/2001) para efetivar as diretrizes constitucionais, é razoável exigir do poder público medidas para mitigar as consequências causadas pela demolição de construções familiares erigidas em terrenos irregulares. Diante da previsão constitucional expr</w:t>
      </w:r>
    </w:p>
    <w:p>
      <w:pPr>
        <w:ind w:left="288"/>
      </w:pPr>
      <w:r>
        <w:rPr>
          <w:b/>
          <w:color w:val="003CA0"/>
          <w:sz w:val="16"/>
        </w:rPr>
        <w:t>[ARE 908.144-AgR, rel. min. Edson Fachin, j. 17-8-2018, 2ª T, DJE de 27-8-2018.]</w:t>
      </w:r>
    </w:p>
    <w:p>
      <w:pPr>
        <w:ind w:left="288"/>
      </w:pPr>
      <w:r>
        <w:rPr>
          <w:color w:val="8C8C8C"/>
          <w:sz w:val="12"/>
        </w:rPr>
        <w:t>cf-art-6</w:t>
      </w:r>
      <w:r>
        <w:rPr>
          <w:color w:val="003CA0"/>
          <w:sz w:val="12"/>
        </w:rPr>
        <w:t xml:space="preserve"> | RE 605.709</w:t>
      </w:r>
    </w:p>
    <w:p>
      <w:pPr>
        <w:ind w:left="288"/>
      </w:pPr>
      <w:r>
        <w:rPr>
          <w:color w:val="1E1E1E"/>
          <w:sz w:val="18"/>
        </w:rPr>
        <w:t>Insubmissão à sistemática da repercussão geral. Premissas distintas das verificadas em precedentes desta Suprema Corte, que abordaram garantia fidejussória em locação residencial. Caso concreto que envolve dívida decorrente de contrato de locação de imóvel comercial. Penhora de bem de família do fiador. Incompatibilidade com o direito à moradia e com o princípio da isonomia. A dignidade da pessoa humana e a proteção à família exigem que se ponham ao abrigo da constrição e da alienação forçada determinados bens. É o que ocorre com o bem de família do fiador, destinado à sua moradia, cujo sacrif</w:t>
      </w:r>
    </w:p>
    <w:p>
      <w:pPr>
        <w:ind w:left="288"/>
      </w:pPr>
      <w:r>
        <w:rPr>
          <w:b/>
          <w:color w:val="003CA0"/>
          <w:sz w:val="16"/>
        </w:rPr>
        <w:t>[RE 605.709, red. do ac. min. Rosa Weber, j. 12-6-2018, 1ª T, DJE de 18-2-2019.]</w:t>
      </w:r>
    </w:p>
    <w:p>
      <w:pPr>
        <w:ind w:left="288"/>
      </w:pPr>
      <w:r>
        <w:rPr>
          <w:color w:val="8C8C8C"/>
          <w:sz w:val="12"/>
        </w:rPr>
        <w:t>cf-art-6</w:t>
      </w:r>
      <w:r>
        <w:rPr>
          <w:color w:val="003CA0"/>
          <w:sz w:val="12"/>
        </w:rPr>
        <w:t xml:space="preserve"> | RE 1.304.844</w:t>
      </w:r>
      <w:r>
        <w:rPr>
          <w:color w:val="003CA0"/>
          <w:sz w:val="12"/>
        </w:rPr>
        <w:t xml:space="preserve"> | rel. Ricardo Lewandowski</w:t>
      </w:r>
    </w:p>
    <w:p>
      <w:pPr>
        <w:ind w:left="288"/>
      </w:pPr>
      <w:r>
        <w:rPr>
          <w:color w:val="1E1E1E"/>
          <w:sz w:val="18"/>
        </w:rPr>
        <w:t xml:space="preserve">= RE 1.304.844 AgR, rel. min. Ricardo Lewandowski, j. 22-3-2021, ª T, DJE de 4-5-2021 Suspensão de inclusão de novos beneficiários. Operadora de plano de saúde. GEAP [Autogestão em Saúde]. Óbice ao ingresso de servidor do Poder Executivo cedido à Justiça Federal, que, acometido de doença grave, retornou ao órgão de origem para aposentadoria por invalidez. Impossibilidade de interrupção do tratamento da doença iniciado durante período de cessão. Vedação administrativa excepcionada pelas peculiaridades da espécie em exame. Princípio da dignidade da pessoa humana e do direito à saúde. Mandado de </w:t>
      </w:r>
    </w:p>
    <w:p>
      <w:pPr>
        <w:ind w:left="288"/>
      </w:pPr>
      <w:r>
        <w:rPr>
          <w:b/>
          <w:color w:val="003CA0"/>
          <w:sz w:val="16"/>
        </w:rPr>
        <w:t>[MS 33.619, rel. min. Cármen Lúcia, j. 23-8-2016, 2ª T, DJE de 6-9-2016.]</w:t>
      </w:r>
    </w:p>
    <w:p>
      <w:pPr>
        <w:ind w:left="288"/>
      </w:pPr>
      <w:r>
        <w:rPr>
          <w:color w:val="8C8C8C"/>
          <w:sz w:val="12"/>
        </w:rPr>
        <w:t>cf-art-6</w:t>
      </w:r>
      <w:r>
        <w:rPr>
          <w:color w:val="003CA0"/>
          <w:sz w:val="12"/>
        </w:rPr>
        <w:t xml:space="preserve"> | RE 559.646</w:t>
      </w:r>
      <w:r>
        <w:rPr>
          <w:color w:val="003CA0"/>
          <w:sz w:val="12"/>
        </w:rPr>
        <w:t xml:space="preserve"> | rel. Ellen Gracie</w:t>
      </w:r>
    </w:p>
    <w:p>
      <w:pPr>
        <w:ind w:left="288"/>
      </w:pPr>
      <w:r>
        <w:rPr>
          <w:color w:val="1E1E1E"/>
          <w:sz w:val="18"/>
        </w:rPr>
        <w:t>O direito a segurança é prerrogativa constitucional indisponível, garantido mediante a implementação de políticas públicas, impondo ao Estado a obrigação de criar condições objetivas que possibilitem o efetivo acesso a tal serviço. É possível ao Poder Judiciário determinar a implementação pelo Estado, quando inadimplente, de políticas públicas constitucionalmente previstas, sem que haja ingerência em questão que envolve o poder discricionário do Poder Executivo.</w:t>
      </w:r>
    </w:p>
    <w:p>
      <w:pPr>
        <w:ind w:left="288"/>
      </w:pPr>
      <w:r>
        <w:rPr>
          <w:b/>
          <w:color w:val="003CA0"/>
          <w:sz w:val="16"/>
        </w:rPr>
        <w:t>[RE 559.646 AgR, rel. min. Ellen Gracie, j. 7-6-2011, 2ª T, DJE de 24-6-2011.]</w:t>
      </w:r>
    </w:p>
    <w:p>
      <w:pPr>
        <w:ind w:left="288"/>
      </w:pPr>
      <w:r>
        <w:rPr>
          <w:color w:val="8C8C8C"/>
          <w:sz w:val="12"/>
        </w:rPr>
        <w:t>cf-art-6</w:t>
      </w:r>
      <w:r>
        <w:rPr>
          <w:color w:val="003CA0"/>
          <w:sz w:val="12"/>
        </w:rPr>
        <w:t xml:space="preserve"> | ARE 654.823</w:t>
      </w:r>
      <w:r>
        <w:rPr>
          <w:color w:val="003CA0"/>
          <w:sz w:val="12"/>
        </w:rPr>
        <w:t xml:space="preserve"> | rel. Dias Toffoli</w:t>
      </w:r>
    </w:p>
    <w:p>
      <w:pPr>
        <w:ind w:left="288"/>
      </w:pPr>
      <w:r>
        <w:rPr>
          <w:color w:val="1E1E1E"/>
          <w:sz w:val="18"/>
        </w:rPr>
        <w:t>= ARE 654.823 AgR, rel. min. Dias Toffoli, j. 12-11-2013, 1ª T, DJE de 5-12-2013 Bem de família. Penhora. Decorrência de despesas condominiais. A relação condominial é, tipicamente, relação de comunhão de escopo. O pagamento da contribuição condominial (obrigação propter rem) é essencial à conservação da propriedade, vale dizer, à garantia da subsistência individual e familiar – a dignidade da pessoa humana. Não há razão para, no caso, cogitar-se de impenhorabilidade.</w:t>
      </w:r>
    </w:p>
    <w:p>
      <w:pPr>
        <w:ind w:left="288"/>
      </w:pPr>
      <w:r>
        <w:rPr>
          <w:b/>
          <w:color w:val="003CA0"/>
          <w:sz w:val="16"/>
        </w:rPr>
        <w:t>[RE 439.003, rel. min. Eros Grau, j. 6-2-2007, 2ª T, DJ de 2-3-2007.]</w:t>
      </w:r>
    </w:p>
    <w:p>
      <w:pPr>
        <w:ind w:left="432"/>
      </w:pPr>
      <w:r>
        <w:rPr>
          <w:color w:val="003366"/>
          <w:sz w:val="18"/>
        </w:rPr>
        <w:t>§ 1 O registro provisório, que será concedido de plano pelo Tribunal Superior El</w:t>
      </w:r>
    </w:p>
    <w:p>
      <w:pPr>
        <w:ind w:left="432"/>
      </w:pPr>
      <w:r>
        <w:rPr>
          <w:color w:val="003366"/>
          <w:sz w:val="18"/>
        </w:rPr>
        <w:t xml:space="preserve">§ 2 O novo partido perderá automaticamente seu registro provisório se, no prazo </w:t>
      </w:r>
    </w:p>
    <w:p>
      <w:r>
        <w:rPr>
          <w:b/>
          <w:color w:val="003366"/>
          <w:sz w:val="20"/>
        </w:rPr>
        <w:t>Art. 7 O Brasil propugnará pela formação de um tribunal internacional dos direit</w:t>
      </w:r>
      <w:r>
        <w:rPr>
          <w:color w:val="8C8C8C"/>
          <w:sz w:val="14"/>
        </w:rPr>
        <w:t xml:space="preserve">  [175 decisoes]</w:t>
      </w:r>
    </w:p>
    <w:p>
      <w:pPr>
        <w:ind w:left="288"/>
      </w:pPr>
      <w:r>
        <w:rPr>
          <w:color w:val="8C8C8C"/>
          <w:sz w:val="12"/>
        </w:rPr>
        <w:t>cf-art-7</w:t>
      </w:r>
      <w:r>
        <w:rPr>
          <w:color w:val="003CA0"/>
          <w:sz w:val="12"/>
        </w:rPr>
        <w:t xml:space="preserve"> | ADI 5.826</w:t>
      </w:r>
      <w:r>
        <w:rPr>
          <w:color w:val="003CA0"/>
          <w:sz w:val="12"/>
        </w:rPr>
        <w:t xml:space="preserve"> | rel. Edson Fachin</w:t>
      </w:r>
    </w:p>
    <w:p>
      <w:pPr>
        <w:ind w:left="288"/>
      </w:pPr>
      <w:r>
        <w:rPr>
          <w:color w:val="1E1E1E"/>
          <w:sz w:val="18"/>
        </w:rPr>
        <w:t xml:space="preserve">Contrato de trabalho intermitente. Regras instituídas pela Lei nº 13.467/2017 e pela Medida Provisória nº 808/2017. (...) A regulamentação do contrato intermitente, nos termos estabelecidos pelas normas questionadas, encontra fundamento de validade nos arts. 1º, IV, e 170, caput, da Constituição Federal, os quais consagram a livre iniciativa e o valor social do trabalho. A flexibilização promovida pela Reforma Trabalhista visa à ampliação do mercado de trabalho, sem prejuízo das garantias mínimas asseguradas pela ordem constitucional trabalhista. Uma vez que a contratação intermitente observa </w:t>
      </w:r>
    </w:p>
    <w:p>
      <w:pPr>
        <w:ind w:left="288"/>
      </w:pPr>
      <w:r>
        <w:rPr>
          <w:b/>
          <w:color w:val="003CA0"/>
          <w:sz w:val="16"/>
        </w:rPr>
        <w:t>[ADI 5.826, ADI 5.829 e ADI 6.154, rel. min. Edson Fachin, red. do ac. min. Nunes Marques, j. 16.12.2024, P, DJE de 13.02.2025.]</w:t>
      </w:r>
    </w:p>
    <w:p>
      <w:pPr>
        <w:ind w:left="144"/>
      </w:pPr>
      <w:r>
        <w:rPr>
          <w:b/>
          <w:color w:val="B45A00"/>
          <w:sz w:val="16"/>
        </w:rPr>
        <w:t>CONTROLE CONCENTRADO</w:t>
      </w:r>
    </w:p>
    <w:p>
      <w:pPr>
        <w:ind w:left="288"/>
      </w:pPr>
      <w:r>
        <w:rPr>
          <w:color w:val="8C8C8C"/>
          <w:sz w:val="12"/>
        </w:rPr>
        <w:t>cf-art-7</w:t>
      </w:r>
      <w:r>
        <w:rPr>
          <w:color w:val="003CA0"/>
          <w:sz w:val="12"/>
        </w:rPr>
        <w:t xml:space="preserve"> | ADI 639</w:t>
      </w:r>
      <w:r>
        <w:rPr>
          <w:color w:val="003CA0"/>
          <w:sz w:val="12"/>
        </w:rPr>
        <w:t xml:space="preserve"> | rel. Joaquim Barbosa</w:t>
      </w:r>
    </w:p>
    <w:p>
      <w:pPr>
        <w:ind w:left="288"/>
      </w:pPr>
      <w:r>
        <w:rPr>
          <w:color w:val="1E1E1E"/>
          <w:sz w:val="18"/>
        </w:rPr>
        <w:t>(...) deve-se mencionar que o rol de garantias do art. 7º da Constituição não exaure a proteção aos direitos sociais.</w:t>
      </w:r>
    </w:p>
    <w:p>
      <w:pPr>
        <w:ind w:left="288"/>
      </w:pPr>
      <w:r>
        <w:rPr>
          <w:b/>
          <w:color w:val="003CA0"/>
          <w:sz w:val="16"/>
        </w:rPr>
        <w:t>[ADI 639, voto do rel. min. Joaquim Barbosa, j. 2-6-2005, P, DJ de 21-10-2005.]</w:t>
      </w:r>
    </w:p>
    <w:p>
      <w:pPr>
        <w:ind w:left="144"/>
      </w:pPr>
      <w:r>
        <w:rPr>
          <w:b/>
          <w:color w:val="B45A00"/>
          <w:sz w:val="16"/>
        </w:rPr>
        <w:t>JULGADOS CORRELATOS</w:t>
      </w:r>
    </w:p>
    <w:p>
      <w:pPr>
        <w:ind w:left="288"/>
      </w:pPr>
      <w:r>
        <w:rPr>
          <w:color w:val="8C8C8C"/>
          <w:sz w:val="12"/>
        </w:rPr>
        <w:t>cf-art-7</w:t>
      </w:r>
      <w:r>
        <w:rPr>
          <w:color w:val="003CA0"/>
          <w:sz w:val="12"/>
        </w:rPr>
        <w:t xml:space="preserve"> | RE 630.918</w:t>
      </w:r>
      <w:r>
        <w:rPr>
          <w:color w:val="003CA0"/>
          <w:sz w:val="12"/>
        </w:rPr>
        <w:t xml:space="preserve"> | rel. Roberto Barroso</w:t>
      </w:r>
    </w:p>
    <w:p>
      <w:pPr>
        <w:ind w:left="288"/>
      </w:pPr>
      <w:r>
        <w:rPr>
          <w:color w:val="1E1E1E"/>
          <w:sz w:val="18"/>
        </w:rPr>
        <w:t>O entendimento do Supremo Tribunal Federal (STF) orienta-se no sentido de que cabe à legislação infraconstitucional, com observância das regras de competência de cada ente federado, a disciplina da extensão aos servidores públicos civis dos direitos sociais estabelecidos no art. 7º do Texto Constitucional.</w:t>
      </w:r>
    </w:p>
    <w:p>
      <w:pPr>
        <w:ind w:left="288"/>
      </w:pPr>
      <w:r>
        <w:rPr>
          <w:b/>
          <w:color w:val="003CA0"/>
          <w:sz w:val="16"/>
        </w:rPr>
        <w:t>[RE 630.918 AgR-segundo, rel. min. Roberto Barroso, j. 23-3-2018, 1ª T, DJE de 12-4-2018.]</w:t>
      </w:r>
    </w:p>
    <w:p>
      <w:pPr>
        <w:ind w:left="144"/>
      </w:pPr>
      <w:r>
        <w:rPr>
          <w:b/>
          <w:color w:val="B45A00"/>
          <w:sz w:val="16"/>
        </w:rPr>
        <w:t>CONTROLE CONCENTRADO</w:t>
      </w:r>
    </w:p>
    <w:p>
      <w:pPr>
        <w:ind w:left="288"/>
      </w:pPr>
      <w:r>
        <w:rPr>
          <w:color w:val="8C8C8C"/>
          <w:sz w:val="12"/>
        </w:rPr>
        <w:t>cf-art-7-inc-I</w:t>
      </w:r>
      <w:r>
        <w:rPr>
          <w:color w:val="003CA0"/>
          <w:sz w:val="12"/>
        </w:rPr>
        <w:t xml:space="preserve"> | ADI 3.934</w:t>
      </w:r>
    </w:p>
    <w:p>
      <w:pPr>
        <w:ind w:left="288"/>
      </w:pPr>
      <w:r>
        <w:rPr>
          <w:color w:val="1E1E1E"/>
          <w:sz w:val="18"/>
        </w:rPr>
        <w:t>Com efeito, nos termos do art. 22, I, da CF, compete privativamente à União legislar sobre direito do trabalho, não estando ela obrigada a utilizar-se de lei complementar para disciplinar a matéria, que somente é exigida, nos termos do art. 7º, I, da mesma Carta, para regrar a dispensa imotivada. Esse tema, porém, definitivamente, não constitui objeto da Lei 11.101/2005. Não é difícil constatar, a meu ver, que o escopo do referido diploma normativo restringe-se a estabelecer normas para a recuperação judicial e a falência das empresas, além de proteger os direitos de seus credores. Mesmo que s</w:t>
      </w:r>
    </w:p>
    <w:p>
      <w:pPr>
        <w:ind w:left="288"/>
      </w:pPr>
      <w:r>
        <w:rPr>
          <w:b/>
          <w:color w:val="003CA0"/>
          <w:sz w:val="16"/>
        </w:rPr>
        <w:t>[ADI 3.934, voto do min. Ricardo Lewandowski, j. 27-5-2009, P, DJE de 6-11-2009.]</w:t>
      </w:r>
    </w:p>
    <w:p>
      <w:pPr>
        <w:ind w:left="288"/>
      </w:pPr>
      <w:r>
        <w:rPr>
          <w:color w:val="8C8C8C"/>
          <w:sz w:val="12"/>
        </w:rPr>
        <w:t>cf-art-7-inc-I</w:t>
      </w:r>
      <w:r>
        <w:rPr>
          <w:color w:val="003CA0"/>
          <w:sz w:val="12"/>
        </w:rPr>
        <w:t xml:space="preserve"> | ADI 1.721</w:t>
      </w:r>
      <w:r>
        <w:rPr>
          <w:color w:val="003CA0"/>
          <w:sz w:val="12"/>
        </w:rPr>
        <w:t xml:space="preserve"> | rel. Ayres Britto</w:t>
      </w:r>
    </w:p>
    <w:p>
      <w:pPr>
        <w:ind w:left="288"/>
      </w:pPr>
      <w:r>
        <w:rPr>
          <w:color w:val="1E1E1E"/>
          <w:sz w:val="18"/>
        </w:rPr>
        <w:t xml:space="preserve">Ação direta de inconstitucionalidade. Art. 3º da MP 1.596-14/1997, convertida na Lei 9.528/1997, que adicionou ao art. 453 da CLT um segundo parágrafo para extinguir o vínculo empregatício quando da concessão da aposentadoria espontânea. Procedência da ação. (...) Os valores sociais do trabalho constituem: a) fundamento da República Federativa do Brasil (inciso IV do art. 1º da CF); b) alicerce da ordem econômica, que tem por finalidade assegurar a todos existência digna, conforme os ditames da justiça social, e, por um dos seus princípios, a busca do pleno emprego (art. 170, caput, VIII); c) </w:t>
      </w:r>
    </w:p>
    <w:p>
      <w:pPr>
        <w:ind w:left="288"/>
      </w:pPr>
      <w:r>
        <w:rPr>
          <w:b/>
          <w:color w:val="003CA0"/>
          <w:sz w:val="16"/>
        </w:rPr>
        <w:t>[ADI 1.721, rel. min. Ayres Britto, j. 11-10-2006, P, DJ de 29-6-2007.]</w:t>
      </w:r>
    </w:p>
    <w:p>
      <w:pPr>
        <w:ind w:left="288"/>
      </w:pPr>
      <w:r>
        <w:rPr>
          <w:color w:val="8C8C8C"/>
          <w:sz w:val="12"/>
        </w:rPr>
        <w:t>cf-art-7-inc-I</w:t>
      </w:r>
      <w:r>
        <w:rPr>
          <w:color w:val="003CA0"/>
          <w:sz w:val="12"/>
        </w:rPr>
        <w:t xml:space="preserve"> | AI 756.861</w:t>
      </w:r>
      <w:r>
        <w:rPr>
          <w:color w:val="003CA0"/>
          <w:sz w:val="12"/>
        </w:rPr>
        <w:t xml:space="preserve"> | rel. Cármen Lúcia</w:t>
      </w:r>
    </w:p>
    <w:p>
      <w:pPr>
        <w:ind w:left="288"/>
      </w:pPr>
      <w:r>
        <w:rPr>
          <w:color w:val="1E1E1E"/>
          <w:sz w:val="18"/>
        </w:rPr>
        <w:t>= AI 756.861 ED, rel. min. Cármen Lúcia, j. 1º-2-2011, 1ª T, DJE de 4-3-2011 Norma que assegura ao trabalhador a manutenção de contrato de trabalho por doze meses após a cessão do auxílio-doença, independentemente de percepção de auxílio-acidente. Alegação de ofensa à reserva de lei complementar, prevista no art. 7º, I, da CF, para a disciplina da proteção da relação de emprego contra despedida arbitrária ou sem justa causa. Norma que se refere às garantias constitucionais do trabalhador em face de acidentes de trabalho e não guarda pertinência com a proteção da relação de emprego nos termos d</w:t>
      </w:r>
    </w:p>
    <w:p>
      <w:pPr>
        <w:ind w:left="288"/>
      </w:pPr>
      <w:r>
        <w:rPr>
          <w:b/>
          <w:color w:val="003CA0"/>
          <w:sz w:val="16"/>
        </w:rPr>
        <w:t>[ADI 639, rel. min. Joaquim Barbosa, j. 2-6-2005, P, DJ de 21-10-2005.]</w:t>
      </w:r>
    </w:p>
    <w:p>
      <w:pPr>
        <w:ind w:left="288"/>
      </w:pPr>
      <w:r>
        <w:rPr>
          <w:color w:val="8C8C8C"/>
          <w:sz w:val="12"/>
        </w:rPr>
        <w:t>cf-art-7-inc-I</w:t>
      </w:r>
      <w:r>
        <w:rPr>
          <w:color w:val="003CA0"/>
          <w:sz w:val="12"/>
        </w:rPr>
        <w:t xml:space="preserve"> | ADI 1.480</w:t>
      </w:r>
      <w:r>
        <w:rPr>
          <w:color w:val="003CA0"/>
          <w:sz w:val="12"/>
        </w:rPr>
        <w:t xml:space="preserve"> | rel. Celso de Mello</w:t>
      </w:r>
    </w:p>
    <w:p>
      <w:pPr>
        <w:ind w:left="288"/>
      </w:pPr>
      <w:r>
        <w:rPr>
          <w:color w:val="1E1E1E"/>
          <w:sz w:val="18"/>
        </w:rPr>
        <w:t>A Convenção 158 da OIT (...) não consagrou, como única consequência derivada da ruptura abusiva ou arbitrária do contrato de trabalho, o dever de os Estados-partes, como o Brasil, instituírem, em sua legislação nacional, apenas a garantia da reintegração no emprego. Pelo contrário, a Convenção 158/OIT expressamente permite a cada Estado-parte (art. 10), que, em função de seu próprio ordenamento positivo interno, opte pela solução normativa que se revelar mais consentânea e compatível com a legislação e a prática nacionais, adotando, em consequência, sempre com estrita observância do estatuto f</w:t>
      </w:r>
    </w:p>
    <w:p>
      <w:pPr>
        <w:ind w:left="288"/>
      </w:pPr>
      <w:r>
        <w:rPr>
          <w:b/>
          <w:color w:val="003CA0"/>
          <w:sz w:val="16"/>
        </w:rPr>
        <w:t>[ADI 1.480 MC, rel. min. Celso de Mello, j. 4-9-1997, P, DJ de 18-5-2001.]</w:t>
      </w:r>
    </w:p>
    <w:p>
      <w:pPr>
        <w:ind w:left="144"/>
      </w:pPr>
      <w:r>
        <w:rPr>
          <w:b/>
          <w:color w:val="B45A00"/>
          <w:sz w:val="16"/>
        </w:rPr>
        <w:t>REPERCUSSAO GERAL</w:t>
      </w:r>
    </w:p>
    <w:p>
      <w:pPr>
        <w:ind w:left="288"/>
      </w:pPr>
      <w:r>
        <w:rPr>
          <w:color w:val="8C8C8C"/>
          <w:sz w:val="12"/>
        </w:rPr>
        <w:t>cf-art-7-inc-I</w:t>
      </w:r>
      <w:r>
        <w:rPr>
          <w:color w:val="003CA0"/>
          <w:sz w:val="12"/>
        </w:rPr>
        <w:t xml:space="preserve"> | RE 999.435</w:t>
      </w:r>
      <w:r>
        <w:rPr>
          <w:color w:val="003CA0"/>
          <w:sz w:val="12"/>
        </w:rPr>
        <w:t xml:space="preserve"> | rel. Marco Aurélio</w:t>
      </w:r>
    </w:p>
    <w:p>
      <w:pPr>
        <w:ind w:left="288"/>
      </w:pPr>
      <w:r>
        <w:rPr>
          <w:color w:val="1E1E1E"/>
          <w:sz w:val="18"/>
        </w:rPr>
        <w:t>A intervenção sindical prévia é exigência procedimental imprescindível para a dispensa em massa de trabalhadores, que não se confunde com autorização prévia por parte da entidade sindical, ou celebração de convenção o acordo coletivo.</w:t>
      </w:r>
    </w:p>
    <w:p>
      <w:pPr>
        <w:ind w:left="288"/>
      </w:pPr>
      <w:r>
        <w:rPr>
          <w:b/>
          <w:color w:val="003CA0"/>
          <w:sz w:val="16"/>
        </w:rPr>
        <w:t>[RE 999.435, rel. min. Marco Aurélio, red. do ac. min. Edson Fachin, j. 8-6-2022, P, DJE de 15-9-2022, Tema 638, com mérito julgado.]</w:t>
      </w:r>
    </w:p>
    <w:p>
      <w:pPr>
        <w:ind w:left="288"/>
      </w:pPr>
      <w:r>
        <w:rPr>
          <w:color w:val="8C8C8C"/>
          <w:sz w:val="12"/>
        </w:rPr>
        <w:t>cf-art-7-inc-I</w:t>
      </w:r>
      <w:r>
        <w:rPr>
          <w:color w:val="003CA0"/>
          <w:sz w:val="12"/>
        </w:rPr>
        <w:t xml:space="preserve"> | RE 806.190</w:t>
      </w:r>
    </w:p>
    <w:p>
      <w:pPr>
        <w:ind w:left="288"/>
      </w:pPr>
      <w:r>
        <w:rPr>
          <w:color w:val="1E1E1E"/>
          <w:sz w:val="18"/>
        </w:rPr>
        <w:t>O Tribunal de origem, ao assentar a inconstitucionalidade do art. 31 da Lei 8.880/1994, fundamentado no art. 7º, I, da CF, destoou da jurisprudência desta Corte, a qual é firme no sentido de que o dispositivo questionado configurou medida legislativa emergencial do Estado em busca da preservação do nível de emprego durante o período de transição monetária (implantação do denominado Plano Real), não tendo a finalidade de implantar um sistema geral e definitivo de proteção da relação de emprego, mas se configurando como norma de ajustamento do sistema monetário, cuja competência é privativa da U</w:t>
      </w:r>
    </w:p>
    <w:p>
      <w:pPr>
        <w:ind w:left="288"/>
      </w:pPr>
      <w:r>
        <w:rPr>
          <w:b/>
          <w:color w:val="003CA0"/>
          <w:sz w:val="16"/>
        </w:rPr>
        <w:t>[RE 806.190 RG, voto do min. Gilmar Mendes, j. 12-6-2014, P, DJE de 27-6-2014, Tema 748, com mérito julgado.]</w:t>
      </w:r>
    </w:p>
    <w:p>
      <w:pPr>
        <w:ind w:left="144"/>
      </w:pPr>
      <w:r>
        <w:rPr>
          <w:b/>
          <w:color w:val="B45A00"/>
          <w:sz w:val="16"/>
        </w:rPr>
        <w:t>JULGADOS CORRELATOS</w:t>
      </w:r>
    </w:p>
    <w:p>
      <w:pPr>
        <w:ind w:left="288"/>
      </w:pPr>
      <w:r>
        <w:rPr>
          <w:color w:val="8C8C8C"/>
          <w:sz w:val="12"/>
        </w:rPr>
        <w:t>cf-art-7-inc-I</w:t>
      </w:r>
      <w:r>
        <w:rPr>
          <w:color w:val="003CA0"/>
          <w:sz w:val="12"/>
        </w:rPr>
        <w:t xml:space="preserve"> | RE 449.420</w:t>
      </w:r>
      <w:r>
        <w:rPr>
          <w:color w:val="003CA0"/>
          <w:sz w:val="12"/>
        </w:rPr>
        <w:t xml:space="preserve"> | rel. Sepúlveda Pertence</w:t>
      </w:r>
    </w:p>
    <w:p>
      <w:pPr>
        <w:ind w:left="288"/>
      </w:pPr>
      <w:r>
        <w:rPr>
          <w:color w:val="1E1E1E"/>
          <w:sz w:val="18"/>
        </w:rPr>
        <w:t>Previdência social: aposentadoria espontânea não implica, por si só, extinção do contrato de trabalho. Despedida arbitrária ou sem justa causa (CF, art. 7º, I): viola a garantia constitucional o acórdão que, partindo de premissa derivada de interpretação conferida ao art. 453, caput, da CLT (redação alterada pela Lei 6.204/1975), decide que a aposentadoria espontânea extingue o contrato de trabalho, mesmo quando o empregado continua a trabalhar na empresa após a concessão do benefício previdenciário. A aposentadoria espontânea pode ou não ser acompanhada do afastamento do empregado de seu trab</w:t>
      </w:r>
    </w:p>
    <w:p>
      <w:pPr>
        <w:ind w:left="288"/>
      </w:pPr>
      <w:r>
        <w:rPr>
          <w:b/>
          <w:color w:val="003CA0"/>
          <w:sz w:val="16"/>
        </w:rPr>
        <w:t>[RE 449.420, rel. min. Sepúlveda Pertence, j. 16-8-2005, 1ª T, DJ de 14-10-2005.]</w:t>
      </w:r>
    </w:p>
    <w:p>
      <w:pPr>
        <w:ind w:left="288"/>
      </w:pPr>
      <w:r>
        <w:rPr>
          <w:color w:val="8C8C8C"/>
          <w:sz w:val="12"/>
        </w:rPr>
        <w:t>cf-art-7-inc-I</w:t>
      </w:r>
      <w:r>
        <w:rPr>
          <w:color w:val="003CA0"/>
          <w:sz w:val="12"/>
        </w:rPr>
        <w:t xml:space="preserve"> | RE 605.501</w:t>
      </w:r>
      <w:r>
        <w:rPr>
          <w:color w:val="003CA0"/>
          <w:sz w:val="12"/>
        </w:rPr>
        <w:t xml:space="preserve"> | rel. Ricardo Lewandowski</w:t>
      </w:r>
    </w:p>
    <w:p>
      <w:pPr>
        <w:ind w:left="288"/>
      </w:pPr>
      <w:r>
        <w:rPr>
          <w:color w:val="1E1E1E"/>
          <w:sz w:val="18"/>
        </w:rPr>
        <w:t>= RE 605.501 AgR, rel. min. Ricardo Lewandowski, j. 2-12-2010, 1ª T, DJE de 1º-2-2011 Estabilidade provisória decorrente da gravidez (CF, art. 7º, I; ADCT, art. 10, II, b). Extinção do cargo, assegurando-se à ocupante, que detinha estabilidade provisória decorrente da gravidez, as vantagens financeiras pelo período constitucional da estabilidade.</w:t>
      </w:r>
    </w:p>
    <w:p>
      <w:pPr>
        <w:ind w:left="288"/>
      </w:pPr>
      <w:r>
        <w:rPr>
          <w:b/>
          <w:color w:val="003CA0"/>
          <w:sz w:val="16"/>
        </w:rPr>
        <w:t>[RMS 21.328, rel. min. Carlos Velloso, j. 11-12-2001, 2ª T, DJ de 3-5-2002.]</w:t>
      </w:r>
    </w:p>
    <w:p>
      <w:pPr>
        <w:ind w:left="288"/>
      </w:pPr>
      <w:r>
        <w:rPr>
          <w:color w:val="8C8C8C"/>
          <w:sz w:val="12"/>
        </w:rPr>
        <w:t>cf-art-7-inc-I</w:t>
      </w:r>
      <w:r>
        <w:rPr>
          <w:color w:val="003CA0"/>
          <w:sz w:val="12"/>
        </w:rPr>
        <w:t xml:space="preserve"> | RE 179.193</w:t>
      </w:r>
      <w:r>
        <w:rPr>
          <w:color w:val="003CA0"/>
          <w:sz w:val="12"/>
        </w:rPr>
        <w:t xml:space="preserve"> | rel. Ilmar Galvão</w:t>
      </w:r>
    </w:p>
    <w:p>
      <w:pPr>
        <w:ind w:left="288"/>
      </w:pPr>
      <w:r>
        <w:rPr>
          <w:color w:val="1E1E1E"/>
          <w:sz w:val="18"/>
        </w:rPr>
        <w:t>Não estabeleceu a Constituição de 1988 qualquer exceção expressa que conduzisse à estabilidade permanente, nem é possível admiti-la por interpretação extensiva ou por analogia, porquanto, como decorre, inequivocamente, do inciso I do art. 7º da Constituição, a proteção que ele dá à relação de emprego contra despedida arbitrária ou sem justa causa é a indenização compensatória que a lei complementar terá necessariamente que prever, além de outros direitos que venha esta a estabelecer, exceto, evidentemente, o de estabilidade permanente ou plena que daria margem a um bis in idem inadmissível com</w:t>
      </w:r>
    </w:p>
    <w:p>
      <w:pPr>
        <w:ind w:left="288"/>
      </w:pPr>
      <w:r>
        <w:rPr>
          <w:b/>
          <w:color w:val="003CA0"/>
          <w:sz w:val="16"/>
        </w:rPr>
        <w:t>[RE 179.193, rel. min. Ilmar Galvão, red. do ac. min. Moreira Alves, j. 18-12-1996, P, DJ de 19-10-2001.]</w:t>
      </w:r>
    </w:p>
    <w:p>
      <w:pPr>
        <w:ind w:left="288"/>
      </w:pPr>
      <w:r>
        <w:rPr>
          <w:color w:val="8C8C8C"/>
          <w:sz w:val="12"/>
        </w:rPr>
        <w:t>cf-art-7-inc-II</w:t>
      </w:r>
      <w:r>
        <w:rPr>
          <w:color w:val="003CA0"/>
          <w:sz w:val="12"/>
        </w:rPr>
        <w:t xml:space="preserve"> | ADI 5.340</w:t>
      </w:r>
      <w:r>
        <w:rPr>
          <w:color w:val="003CA0"/>
          <w:sz w:val="12"/>
        </w:rPr>
        <w:t xml:space="preserve"> | rel. Dias Toffoli</w:t>
      </w:r>
    </w:p>
    <w:p>
      <w:pPr>
        <w:ind w:left="288"/>
      </w:pPr>
      <w:r>
        <w:rPr>
          <w:color w:val="1E1E1E"/>
          <w:sz w:val="18"/>
        </w:rPr>
        <w:t>“A Lei nº 13.134/15, relativamente aos prazos de carência do seguro-desemprego, não importou em violação do princípio da proibição do retrocesso social nem do princípio da segurança jurídica”.</w:t>
      </w:r>
    </w:p>
    <w:p>
      <w:pPr>
        <w:ind w:left="288"/>
      </w:pPr>
      <w:r>
        <w:rPr>
          <w:b/>
          <w:color w:val="003CA0"/>
          <w:sz w:val="16"/>
        </w:rPr>
        <w:t>[ADI 5.340, rel. min. Dias Toffoli, j. 21.10.2024, P, DJE de 05.11.2024.]</w:t>
      </w:r>
    </w:p>
    <w:p>
      <w:pPr>
        <w:ind w:left="144"/>
      </w:pPr>
      <w:r>
        <w:rPr>
          <w:b/>
          <w:color w:val="B45A00"/>
          <w:sz w:val="16"/>
        </w:rPr>
        <w:t>CONTROLE CONCENTRADO</w:t>
      </w:r>
    </w:p>
    <w:p>
      <w:pPr>
        <w:ind w:left="288"/>
      </w:pPr>
      <w:r>
        <w:rPr>
          <w:color w:val="8C8C8C"/>
          <w:sz w:val="12"/>
        </w:rPr>
        <w:t>cf-art-7-inc-II</w:t>
      </w:r>
      <w:r>
        <w:rPr>
          <w:color w:val="003CA0"/>
          <w:sz w:val="12"/>
        </w:rPr>
        <w:t xml:space="preserve"> | ADI 3.464</w:t>
      </w:r>
      <w:r>
        <w:rPr>
          <w:color w:val="003CA0"/>
          <w:sz w:val="12"/>
        </w:rPr>
        <w:t xml:space="preserve"> | rel. Menezes Direito</w:t>
      </w:r>
    </w:p>
    <w:p>
      <w:pPr>
        <w:ind w:left="288"/>
      </w:pPr>
      <w:r>
        <w:rPr>
          <w:color w:val="1E1E1E"/>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88"/>
      </w:pPr>
      <w:r>
        <w:rPr>
          <w:b/>
          <w:color w:val="003CA0"/>
          <w:sz w:val="16"/>
        </w:rPr>
        <w:t>[ADI 3.464, rel. min. Menezes Direito, j. 29-10-2008, P, DJE de 6-3-2009.]</w:t>
      </w:r>
    </w:p>
    <w:p>
      <w:pPr>
        <w:ind w:left="288"/>
      </w:pPr>
      <w:r>
        <w:rPr>
          <w:color w:val="8C8C8C"/>
          <w:sz w:val="12"/>
        </w:rPr>
        <w:t>cf-art-7-inc-II</w:t>
      </w:r>
      <w:r>
        <w:rPr>
          <w:color w:val="003CA0"/>
          <w:sz w:val="12"/>
        </w:rPr>
        <w:t xml:space="preserve"> | RE 1.504.945</w:t>
      </w:r>
      <w:r>
        <w:rPr>
          <w:color w:val="003CA0"/>
          <w:sz w:val="12"/>
        </w:rPr>
        <w:t xml:space="preserve"> | rel. Luís Roberto Barroso</w:t>
      </w:r>
    </w:p>
    <w:p>
      <w:pPr>
        <w:ind w:left="288"/>
      </w:pPr>
      <w:r>
        <w:rPr>
          <w:color w:val="1E1E1E"/>
          <w:sz w:val="18"/>
        </w:rPr>
        <w:t>“É infraconstitucional e pressupõe o exame de matéria fática a controvérsia sobre a ocorrência de prescrição de pretensão de recebimento de seguro-desemprego de pescador artesanal para o período de defeso de 2015/2016”.</w:t>
      </w:r>
    </w:p>
    <w:p>
      <w:pPr>
        <w:ind w:left="288"/>
      </w:pPr>
      <w:r>
        <w:rPr>
          <w:b/>
          <w:color w:val="003CA0"/>
          <w:sz w:val="16"/>
        </w:rPr>
        <w:t>[RE 1.504.945 RG, rel. min. Luís Roberto Barroso, j. 13.09.2024, P, DJE de 18.09.2024, Tema 1.321, com repercussão geral negada.]</w:t>
      </w:r>
    </w:p>
    <w:p>
      <w:pPr>
        <w:ind w:left="144"/>
      </w:pPr>
      <w:r>
        <w:rPr>
          <w:b/>
          <w:color w:val="B45A00"/>
          <w:sz w:val="16"/>
        </w:rPr>
        <w:t>REPERCUSSAO GERAL</w:t>
      </w:r>
    </w:p>
    <w:p>
      <w:pPr>
        <w:ind w:left="288"/>
      </w:pPr>
      <w:r>
        <w:rPr>
          <w:color w:val="8C8C8C"/>
          <w:sz w:val="12"/>
        </w:rPr>
        <w:t>cf-art-7-inc-II</w:t>
      </w:r>
      <w:r>
        <w:rPr>
          <w:color w:val="003CA0"/>
          <w:sz w:val="12"/>
        </w:rPr>
        <w:t xml:space="preserve"> | ARE 1.389.781</w:t>
      </w:r>
      <w:r>
        <w:rPr>
          <w:color w:val="003CA0"/>
          <w:sz w:val="12"/>
        </w:rPr>
        <w:t xml:space="preserve"> | rel. Luiz Fux</w:t>
      </w:r>
    </w:p>
    <w:p>
      <w:pPr>
        <w:ind w:left="288"/>
      </w:pPr>
      <w:r>
        <w:rPr>
          <w:color w:val="1E1E1E"/>
          <w:sz w:val="18"/>
        </w:rPr>
        <w:t>Seguro-desemprego. Pescador profissional artesanal. Defeso da lagosta com duração de seis meses. Benefício limitado a cinco meses. Leis 10.779/2003 e 13.134/2015. Instrução Normativa 206/2008 do Instituto Brasileiro do Meio Ambiente e dos Recursos Naturais Renováveis – IBAMA. Controvérsia de índole infraconstitucional.</w:t>
      </w:r>
    </w:p>
    <w:p>
      <w:pPr>
        <w:ind w:left="288"/>
      </w:pPr>
      <w:r>
        <w:rPr>
          <w:b/>
          <w:color w:val="003CA0"/>
          <w:sz w:val="16"/>
        </w:rPr>
        <w:t>[ARE 1.389.781 RG, rel. min. Luiz Fux, j. 19-8-2022, P, DJE de 26-8-2022, Tema 1.228, com repercussão geral negada.]</w:t>
      </w:r>
    </w:p>
    <w:p>
      <w:pPr>
        <w:ind w:left="144"/>
      </w:pPr>
      <w:r>
        <w:rPr>
          <w:b/>
          <w:color w:val="B45A00"/>
          <w:sz w:val="16"/>
        </w:rPr>
        <w:t>SUMULA VINCULANTE</w:t>
      </w:r>
    </w:p>
    <w:p>
      <w:pPr>
        <w:ind w:left="288"/>
      </w:pPr>
      <w:r>
        <w:rPr>
          <w:color w:val="8C8C8C"/>
          <w:sz w:val="12"/>
        </w:rPr>
        <w:t>cf-art-7-inc-III</w:t>
      </w:r>
    </w:p>
    <w:p>
      <w:pPr>
        <w:ind w:left="288"/>
      </w:pPr>
      <w:r>
        <w:rPr>
          <w:color w:val="1E1E1E"/>
          <w:sz w:val="18"/>
        </w:rPr>
        <w:t>Ofende a garantia constitucional do ato jurídico perfeito a decisão que, sem ponderar as circunstâncias do caso concreto, desconsidera a validez e a eficácia de acordo constante de termo de adesão instituído pela LC 110/2001.</w:t>
      </w:r>
    </w:p>
    <w:p>
      <w:pPr>
        <w:ind w:left="288"/>
      </w:pPr>
      <w:r>
        <w:rPr>
          <w:b/>
          <w:color w:val="003CA0"/>
          <w:sz w:val="16"/>
        </w:rPr>
        <w:t>[Súmula Vinculante 1.]</w:t>
      </w:r>
    </w:p>
    <w:p>
      <w:pPr>
        <w:ind w:left="144"/>
      </w:pPr>
      <w:r>
        <w:rPr>
          <w:b/>
          <w:color w:val="B45A00"/>
          <w:sz w:val="16"/>
        </w:rPr>
        <w:t>CONTROLE CONCENTRADO</w:t>
      </w:r>
    </w:p>
    <w:p>
      <w:pPr>
        <w:ind w:left="288"/>
      </w:pPr>
      <w:r>
        <w:rPr>
          <w:color w:val="8C8C8C"/>
          <w:sz w:val="12"/>
        </w:rPr>
        <w:t>cf-art-7-inc-III</w:t>
      </w:r>
      <w:r>
        <w:rPr>
          <w:color w:val="003CA0"/>
          <w:sz w:val="12"/>
        </w:rPr>
        <w:t xml:space="preserve"> | ADI 5.090</w:t>
      </w:r>
      <w:r>
        <w:rPr>
          <w:color w:val="003CA0"/>
          <w:sz w:val="12"/>
        </w:rPr>
        <w:t xml:space="preserve"> | rel. Luís Roberto Barroso</w:t>
      </w:r>
    </w:p>
    <w:p>
      <w:pPr>
        <w:ind w:left="288"/>
      </w:pPr>
      <w:r>
        <w:rPr>
          <w:color w:val="1E1E1E"/>
          <w:sz w:val="18"/>
        </w:rPr>
        <w:t>O FGTS tem natureza dual porque cumpre a função de poupança individual dos trabalhadores, ao mesmo tempo em que serve como fonte de financiamento para investimentos em áreas sociais. Nenhuma dessas funções deve sobrepor-se à outra, de modo que a remuneração dos depósitos deve ser compatível com a taxa cobrada nos empréstimos em que são alocados, para não comprometer a finalidade social do Fundo. O art. 13, caput, da Lei nº 8.036/1990 e o art. 17, caput, da Lei nº 8.177/1991 devem ser interpretados conforme a Constituição para que a remuneração do saldo das contas do FGTS (TR + 3% ao ano + dist</w:t>
      </w:r>
    </w:p>
    <w:p>
      <w:pPr>
        <w:ind w:left="144"/>
      </w:pPr>
      <w:r>
        <w:rPr>
          <w:b/>
          <w:color w:val="B45A00"/>
          <w:sz w:val="16"/>
        </w:rPr>
        <w:t>REPERCUSSAO GERAL</w:t>
      </w:r>
    </w:p>
    <w:p>
      <w:pPr>
        <w:ind w:left="288"/>
      </w:pPr>
      <w:r>
        <w:rPr>
          <w:color w:val="8C8C8C"/>
          <w:sz w:val="12"/>
        </w:rPr>
        <w:t>cf-art-7-inc-III</w:t>
      </w:r>
      <w:r>
        <w:rPr>
          <w:color w:val="003CA0"/>
          <w:sz w:val="12"/>
        </w:rPr>
        <w:t xml:space="preserve"> | ARE 709.212</w:t>
      </w:r>
      <w:r>
        <w:rPr>
          <w:color w:val="003CA0"/>
          <w:sz w:val="12"/>
        </w:rPr>
        <w:t xml:space="preserve"> | rel. Gilmar Mendes</w:t>
      </w:r>
    </w:p>
    <w:p>
      <w:pPr>
        <w:ind w:left="288"/>
      </w:pPr>
      <w:r>
        <w:rPr>
          <w:color w:val="1E1E1E"/>
          <w:sz w:val="18"/>
        </w:rPr>
        <w:t>FGTS. Cobrança de valores não pagos. Prazo prescricional. Prescrição quinquenal. Art. 7º, XXIX, da Constituição. Superação de entendimento anterior sobre prescrição trintenária. Inconstitucionalidade dos arts. 23, § 5º, da Lei 8.036/1990 e 55 do Regulamento do FGTS aprovado pelo Decreto 99.684/1990.</w:t>
      </w:r>
    </w:p>
    <w:p>
      <w:pPr>
        <w:ind w:left="288"/>
      </w:pPr>
      <w:r>
        <w:rPr>
          <w:b/>
          <w:color w:val="003CA0"/>
          <w:sz w:val="16"/>
        </w:rPr>
        <w:t>[ARE 709.212, rel. min. Gilmar Mendes, j. 13-11-2014, P, DJE de 19-2-2015, Tema 608, com mérito julgado.]</w:t>
      </w:r>
    </w:p>
    <w:p>
      <w:pPr>
        <w:ind w:left="288"/>
      </w:pPr>
      <w:r>
        <w:rPr>
          <w:color w:val="8C8C8C"/>
          <w:sz w:val="12"/>
        </w:rPr>
        <w:t>cf-art-7-inc-III</w:t>
      </w:r>
      <w:r>
        <w:rPr>
          <w:color w:val="003CA0"/>
          <w:sz w:val="12"/>
        </w:rPr>
        <w:t xml:space="preserve"> | RE 596.478</w:t>
      </w:r>
    </w:p>
    <w:p>
      <w:pPr>
        <w:ind w:left="288"/>
      </w:pPr>
      <w:r>
        <w:rPr>
          <w:color w:val="1E1E1E"/>
          <w:sz w:val="18"/>
        </w:rPr>
        <w:t>É constitucional o art. 19-A da Lei 8.036/1990, o qual dispõe ser devido o depósito do FGTS na conta de trabalhador cujo contrato com a administração pública seja declarado nulo por ausência de prévia aprovação em concurso público, desde que mantido o seu direito ao salário. Mesmo quando reconhecida a nulidade da contratação do empregado público, nos termos do art. 37, § 2º, da CF, subsiste o direito do trabalhador ao depósito do FGTS quando reconhecido ser devido o salário pelos serviços prestados.</w:t>
        <w:br/>
        <w:t>[RE 596.478, red. do ac. min. Dias Toffoli, j. 13-6-2012, P, DJE de 1º-3-2013, Tema 191.]</w:t>
      </w:r>
    </w:p>
    <w:p>
      <w:pPr>
        <w:ind w:left="144"/>
      </w:pPr>
      <w:r>
        <w:rPr>
          <w:b/>
          <w:color w:val="B45A00"/>
          <w:sz w:val="16"/>
        </w:rPr>
        <w:t>JULGADOS CORRELATOS</w:t>
      </w:r>
    </w:p>
    <w:p>
      <w:pPr>
        <w:ind w:left="288"/>
      </w:pPr>
      <w:r>
        <w:rPr>
          <w:color w:val="8C8C8C"/>
          <w:sz w:val="12"/>
        </w:rPr>
        <w:t>cf-art-7-inc-III</w:t>
      </w:r>
      <w:r>
        <w:rPr>
          <w:color w:val="003CA0"/>
          <w:sz w:val="12"/>
        </w:rPr>
        <w:t xml:space="preserve"> | RE 226.855</w:t>
      </w:r>
      <w:r>
        <w:rPr>
          <w:color w:val="003CA0"/>
          <w:sz w:val="12"/>
        </w:rPr>
        <w:t xml:space="preserve"> | rel. Moreira Alves</w:t>
      </w:r>
    </w:p>
    <w:p>
      <w:pPr>
        <w:ind w:left="288"/>
      </w:pPr>
      <w:r>
        <w:rPr>
          <w:color w:val="1E1E1E"/>
          <w:sz w:val="18"/>
        </w:rPr>
        <w:t>O FGTS, ao contrário do que sucede com as cadernetas de poupança, não tem natureza contratual, mas, sim, estatutária, por decorrer da lei e por ela ser disciplinado. Assim, é de aplicar-se a ele a firme jurisprudência desta Corte no sentido de que não há direito adquirido a regime jurídico. Quanto à atualização dos saldos do FGTS relativos aos Planos Verão e Collor I (este no que diz respeito ao mês de abril de 1990), não há questão de direito adquirido a ser examinada, situando-se a matéria exclusivamente no terreno legal infraconstitucional. No tocante, porém, aos Planos Bresser, Collor I (q</w:t>
      </w:r>
    </w:p>
    <w:p>
      <w:pPr>
        <w:ind w:left="288"/>
      </w:pPr>
      <w:r>
        <w:rPr>
          <w:b/>
          <w:color w:val="003CA0"/>
          <w:sz w:val="16"/>
        </w:rPr>
        <w:t>[RE 226.855, rel. min. Moreira Alves, j. 31-8-2000, P, DJ de 13-10-2000.]</w:t>
      </w:r>
    </w:p>
    <w:p>
      <w:pPr>
        <w:ind w:left="288"/>
      </w:pPr>
      <w:r>
        <w:rPr>
          <w:color w:val="8C8C8C"/>
          <w:sz w:val="12"/>
        </w:rPr>
        <w:t>cf-art-7-inc-III</w:t>
      </w:r>
      <w:r>
        <w:rPr>
          <w:color w:val="003CA0"/>
          <w:sz w:val="12"/>
        </w:rPr>
        <w:t xml:space="preserve"> | AR 1.768</w:t>
      </w:r>
      <w:r>
        <w:rPr>
          <w:color w:val="003CA0"/>
          <w:sz w:val="12"/>
        </w:rPr>
        <w:t xml:space="preserve"> | rel. Dias Toffoli</w:t>
      </w:r>
    </w:p>
    <w:p>
      <w:pPr>
        <w:ind w:left="288"/>
      </w:pPr>
      <w:r>
        <w:rPr>
          <w:color w:val="1E1E1E"/>
          <w:sz w:val="18"/>
        </w:rPr>
        <w:t>= AR 1.768 AgR, rel. min. Dias Toffoli, j. 19-12-2012, P, DJE de 26-2-2013 IV - salário mínimo, fixado em lei, nacionalmente unificado, capaz de atender a suas necessidades vitais básicas e às de sua família com moradia, alimentação, educação, saúde, lazer, vestuário, higiene, transporte e previdência social, com reajustes periódicos que lhe preservem o poder aquisitivo, sendo vedada sua vinculação para qualquer fim;</w:t>
      </w:r>
    </w:p>
    <w:p>
      <w:pPr>
        <w:ind w:left="144"/>
      </w:pPr>
      <w:r>
        <w:rPr>
          <w:b/>
          <w:color w:val="B45A00"/>
          <w:sz w:val="16"/>
        </w:rPr>
        <w:t>SUMULA VINCULANTE</w:t>
      </w:r>
    </w:p>
    <w:p>
      <w:pPr>
        <w:ind w:left="288"/>
      </w:pPr>
      <w:r>
        <w:rPr>
          <w:color w:val="8C8C8C"/>
          <w:sz w:val="12"/>
        </w:rPr>
        <w:t>cf-art-7-inc-III</w:t>
      </w:r>
    </w:p>
    <w:p>
      <w:pPr>
        <w:ind w:left="288"/>
      </w:pPr>
      <w:r>
        <w:rPr>
          <w:color w:val="1E1E1E"/>
          <w:sz w:val="18"/>
        </w:rPr>
        <w:t>Os arts. 7º, IV, e 39, § 3º (redação da EC 19/1998), da Constituição referem-se ao total da remuneração percebida pelo servidor público.</w:t>
      </w:r>
    </w:p>
    <w:p>
      <w:pPr>
        <w:ind w:left="288"/>
      </w:pPr>
      <w:r>
        <w:rPr>
          <w:b/>
          <w:color w:val="003CA0"/>
          <w:sz w:val="16"/>
        </w:rPr>
        <w:t>[Súmula Vinculante 16.]</w:t>
      </w:r>
    </w:p>
    <w:p>
      <w:pPr>
        <w:ind w:left="288"/>
      </w:pPr>
      <w:r>
        <w:rPr>
          <w:color w:val="8C8C8C"/>
          <w:sz w:val="12"/>
        </w:rPr>
        <w:t>cf-art-7-inc-III</w:t>
      </w:r>
    </w:p>
    <w:p>
      <w:pPr>
        <w:ind w:left="288"/>
      </w:pPr>
      <w:r>
        <w:rPr>
          <w:color w:val="1E1E1E"/>
          <w:sz w:val="18"/>
        </w:rPr>
        <w:t>O cálculo de gratificações e outras vantagens do servidor público não incide sobre o abono utilizado para se atingir o salário mínimo.</w:t>
      </w:r>
    </w:p>
    <w:p>
      <w:pPr>
        <w:ind w:left="288"/>
      </w:pPr>
      <w:r>
        <w:rPr>
          <w:b/>
          <w:color w:val="003CA0"/>
          <w:sz w:val="16"/>
        </w:rPr>
        <w:t>[Súmula Vinculante 15.]</w:t>
      </w:r>
    </w:p>
    <w:p>
      <w:pPr>
        <w:ind w:left="288"/>
      </w:pPr>
      <w:r>
        <w:rPr>
          <w:color w:val="8C8C8C"/>
          <w:sz w:val="12"/>
        </w:rPr>
        <w:t>cf-art-7-inc-III</w:t>
      </w:r>
    </w:p>
    <w:p>
      <w:pPr>
        <w:ind w:left="288"/>
      </w:pPr>
      <w:r>
        <w:rPr>
          <w:color w:val="1E1E1E"/>
          <w:sz w:val="18"/>
        </w:rPr>
        <w:t>Não viola a Constituição o estabelecimento de remuneração inferior ao salário mínimo para as praças prestadoras de serviço militar inicial.</w:t>
      </w:r>
    </w:p>
    <w:p>
      <w:pPr>
        <w:ind w:left="288"/>
      </w:pPr>
      <w:r>
        <w:rPr>
          <w:b/>
          <w:color w:val="003CA0"/>
          <w:sz w:val="16"/>
        </w:rPr>
        <w:t>[Súmula Vinculante 6.]</w:t>
      </w:r>
    </w:p>
    <w:p>
      <w:pPr>
        <w:ind w:left="288"/>
      </w:pPr>
      <w:r>
        <w:rPr>
          <w:color w:val="8C8C8C"/>
          <w:sz w:val="12"/>
        </w:rPr>
        <w:t>cf-art-7-inc-III</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144"/>
      </w:pPr>
      <w:r>
        <w:rPr>
          <w:b/>
          <w:color w:val="B45A00"/>
          <w:sz w:val="16"/>
        </w:rPr>
        <w:t>CONTROLE CONCENTRADO</w:t>
      </w:r>
    </w:p>
    <w:p>
      <w:pPr>
        <w:ind w:left="288"/>
      </w:pPr>
      <w:r>
        <w:rPr>
          <w:color w:val="8C8C8C"/>
          <w:sz w:val="12"/>
        </w:rPr>
        <w:t>cf-art-7-inc-III</w:t>
      </w:r>
      <w:r>
        <w:rPr>
          <w:color w:val="003CA0"/>
          <w:sz w:val="12"/>
        </w:rPr>
        <w:t xml:space="preserve"> | ADPF 53</w:t>
      </w:r>
      <w:r>
        <w:rPr>
          <w:color w:val="003CA0"/>
          <w:sz w:val="12"/>
        </w:rPr>
        <w:t xml:space="preserve"> | rel. Rosa Weber</w:t>
      </w:r>
    </w:p>
    <w:p>
      <w:pPr>
        <w:ind w:left="288"/>
      </w:pPr>
      <w:r>
        <w:rPr>
          <w:color w:val="1E1E1E"/>
          <w:sz w:val="18"/>
        </w:rPr>
        <w:t>O texto constitucional (CF, art. 7º, IV, fine) não proíbe a utilização de múltiplos do salário-mínimo como mera referência paradigmática para definição do valor justo e proporcional do piso salarial destinado à remuneração de categorias profissionais especializadas (CF, art. 7º, V), impedindo, no entanto, reajustamentos automáticos futuros, destinados à adequação do salário inicialmente contratado aos novos valores vigentes para o salário-mínimo nacional. Fixada interpretação conforme à Constituição, com adoção da técnica do congelamento da base de cálculo dos pisos salariais, a fim de que sej</w:t>
      </w:r>
    </w:p>
    <w:p>
      <w:pPr>
        <w:ind w:left="288"/>
      </w:pPr>
      <w:r>
        <w:rPr>
          <w:b/>
          <w:color w:val="003CA0"/>
          <w:sz w:val="16"/>
        </w:rPr>
        <w:t>[ADPF 53 MC-REF, rel. min. Rosa Weber, j. 21-2-2022, P, DJE de 18-3-2022.]</w:t>
      </w:r>
    </w:p>
    <w:p>
      <w:pPr>
        <w:ind w:left="288"/>
      </w:pPr>
      <w:r>
        <w:rPr>
          <w:color w:val="8C8C8C"/>
          <w:sz w:val="12"/>
        </w:rPr>
        <w:t>cf-art-7-inc-III</w:t>
      </w:r>
      <w:r>
        <w:rPr>
          <w:color w:val="003CA0"/>
          <w:sz w:val="12"/>
        </w:rPr>
        <w:t xml:space="preserve"> | ADPF 336</w:t>
      </w:r>
      <w:r>
        <w:rPr>
          <w:color w:val="003CA0"/>
          <w:sz w:val="12"/>
        </w:rPr>
        <w:t xml:space="preserve"> | rel. Luiz Fux</w:t>
      </w:r>
    </w:p>
    <w:p>
      <w:pPr>
        <w:ind w:left="288"/>
      </w:pPr>
      <w:r>
        <w:rPr>
          <w:color w:val="1E1E1E"/>
          <w:sz w:val="18"/>
        </w:rPr>
        <w:t xml:space="preserve">O trabalho do preso, cuja remuneração é fixada em três quartos do salário mínimo o patamar base de remuneração do trabalho do preso (artigo 29, caput, da Lei de Execução Penal) deve ser analisada não apenas sob a ótica da regra do salário mínimo (artigo 7º, IV, da CRFB), mas também de outros vetores constitucionais, como a busca do pleno emprego (artigo 170, VIII, da CRFB) e a individualização da pena na fase de execução (artigo 5º, XLVI, da CRFB). (...) O trabalho do condenado constitui um dever, obrigatório na medida de suas aptidões e capacidade, e possui finalidades educativa e produtiva, </w:t>
      </w:r>
    </w:p>
    <w:p>
      <w:pPr>
        <w:ind w:left="288"/>
      </w:pPr>
      <w:r>
        <w:rPr>
          <w:b/>
          <w:color w:val="003CA0"/>
          <w:sz w:val="16"/>
        </w:rPr>
        <w:t>[ADPF 336, rel. min. Luiz Fux, j. 1º-3-2021, P, DJE de 10-5-2021]</w:t>
      </w:r>
    </w:p>
    <w:p>
      <w:pPr>
        <w:ind w:left="288"/>
      </w:pPr>
      <w:r>
        <w:rPr>
          <w:color w:val="8C8C8C"/>
          <w:sz w:val="12"/>
        </w:rPr>
        <w:t>cf-art-7-inc-III</w:t>
      </w:r>
      <w:r>
        <w:rPr>
          <w:color w:val="003CA0"/>
          <w:sz w:val="12"/>
        </w:rPr>
        <w:t xml:space="preserve"> | ADI 4.637</w:t>
      </w:r>
      <w:r>
        <w:rPr>
          <w:color w:val="003CA0"/>
          <w:sz w:val="12"/>
        </w:rPr>
        <w:t xml:space="preserve"> | rel. Gilmar Mendes</w:t>
      </w:r>
    </w:p>
    <w:p>
      <w:pPr>
        <w:ind w:left="288"/>
      </w:pPr>
      <w:r>
        <w:rPr>
          <w:color w:val="1E1E1E"/>
          <w:sz w:val="18"/>
        </w:rPr>
        <w:t>Empresa Individual de Responsabilidade Limitada (EIRELI). Art. 980–A do Código Civil, com redação dada pelo Art. 2º da Lei 12.441, de 11 de julho de 2011. Exigência de integralização de capital social não inferior a 100 (cem) vezes o maior salário-mínimo vigente no País. Constitucionalidade. Proibição de vinculação do salário mínimo para qualquer fim. Art. 7º, IV, da Constituição Federal. Ausência de violação. Uso meramente referencial.</w:t>
      </w:r>
    </w:p>
    <w:p>
      <w:pPr>
        <w:ind w:left="288"/>
      </w:pPr>
      <w:r>
        <w:rPr>
          <w:b/>
          <w:color w:val="003CA0"/>
          <w:sz w:val="16"/>
        </w:rPr>
        <w:t>[ADI 4.637, rel. min. Gilmar Mendes, j. 7-12-2020, P, DJE de 4-2-2021.]</w:t>
      </w:r>
    </w:p>
    <w:p>
      <w:pPr>
        <w:ind w:left="288"/>
      </w:pPr>
      <w:r>
        <w:rPr>
          <w:color w:val="8C8C8C"/>
          <w:sz w:val="12"/>
        </w:rPr>
        <w:t>cf-art-7-inc-III</w:t>
      </w:r>
      <w:r>
        <w:rPr>
          <w:color w:val="003CA0"/>
          <w:sz w:val="12"/>
        </w:rPr>
        <w:t xml:space="preserve"> | ADI 4.726</w:t>
      </w:r>
      <w:r>
        <w:rPr>
          <w:color w:val="003CA0"/>
          <w:sz w:val="12"/>
        </w:rPr>
        <w:t xml:space="preserve"> | rel. Marco Aurélio</w:t>
      </w:r>
    </w:p>
    <w:p>
      <w:pPr>
        <w:ind w:left="288"/>
      </w:pPr>
      <w:r>
        <w:rPr>
          <w:color w:val="1E1E1E"/>
          <w:sz w:val="18"/>
        </w:rPr>
        <w:t>É constitucional referência ao salário mínimo contida em norma de regência de benefício assistencial como a fixar valor unitário na data da edição da lei, vedada vinculação futura como mecanismo de indexação.</w:t>
      </w:r>
    </w:p>
    <w:p>
      <w:pPr>
        <w:ind w:left="288"/>
      </w:pPr>
      <w:r>
        <w:rPr>
          <w:b/>
          <w:color w:val="003CA0"/>
          <w:sz w:val="16"/>
        </w:rPr>
        <w:t>[ADI 4.726, rel. min. Marco Aurélio, j. 11-11-2020, P, DJE de 30-11-2020.]</w:t>
      </w:r>
    </w:p>
    <w:p>
      <w:pPr>
        <w:ind w:left="288"/>
      </w:pPr>
      <w:r>
        <w:rPr>
          <w:color w:val="8C8C8C"/>
          <w:sz w:val="12"/>
        </w:rPr>
        <w:t>cf-art-7-inc-III</w:t>
      </w:r>
      <w:r>
        <w:rPr>
          <w:color w:val="003CA0"/>
          <w:sz w:val="12"/>
        </w:rPr>
        <w:t xml:space="preserve"> | ADPF 151</w:t>
      </w:r>
      <w:r>
        <w:rPr>
          <w:color w:val="003CA0"/>
          <w:sz w:val="12"/>
        </w:rPr>
        <w:t xml:space="preserve"> | rel. Roberto Barroso</w:t>
      </w:r>
    </w:p>
    <w:p>
      <w:pPr>
        <w:ind w:left="288"/>
      </w:pPr>
      <w:r>
        <w:rPr>
          <w:color w:val="1E1E1E"/>
          <w:sz w:val="18"/>
        </w:rPr>
        <w:t>Piso salarial dos técnicos em radiologia. Adicional de insalubridade. Indexação ao salário mínimo. (...) Inconstitucionalidade da indexação de piso salarial ao valor do salário mínimo. Congelamento da base de cálculo, a fim de que seja calculada de acordo com o valor de dois salários mínimos vigentes na data de estabilização da decisão que deferiu a medida cautelar. Não-recepção do art. 16 da Lei 7.394/1985.</w:t>
      </w:r>
    </w:p>
    <w:p>
      <w:pPr>
        <w:ind w:left="288"/>
      </w:pPr>
      <w:r>
        <w:rPr>
          <w:b/>
          <w:color w:val="003CA0"/>
          <w:sz w:val="16"/>
        </w:rPr>
        <w:t>[ADPF 151, rel. min. Roberto Barroso, j. 7-2-2019, P, DJE de 11-4-2019.]</w:t>
      </w:r>
    </w:p>
    <w:p>
      <w:pPr>
        <w:ind w:left="288"/>
      </w:pPr>
      <w:r>
        <w:rPr>
          <w:color w:val="8C8C8C"/>
          <w:sz w:val="12"/>
        </w:rPr>
        <w:t>cf-art-7-inc-III</w:t>
      </w:r>
      <w:r>
        <w:rPr>
          <w:color w:val="003CA0"/>
          <w:sz w:val="12"/>
        </w:rPr>
        <w:t xml:space="preserve"> | ADI 4.568</w:t>
      </w:r>
      <w:r>
        <w:rPr>
          <w:color w:val="003CA0"/>
          <w:sz w:val="12"/>
        </w:rPr>
        <w:t xml:space="preserve"> | rel. Cármen Lúcia</w:t>
      </w:r>
    </w:p>
    <w:p>
      <w:pPr>
        <w:ind w:left="288"/>
      </w:pPr>
      <w:r>
        <w:rPr>
          <w:color w:val="1E1E1E"/>
          <w:sz w:val="18"/>
        </w:rPr>
        <w:t>A exigência constitucional de lei formal para fixação do valor do salário mínimo está atendida pela Lei 12.382/2011. A utilização de decreto presidencial, definida pela Lei 12.382/2011 como instrumento de anunciação e divulgação do valor nominal do salário mínimo de 2012 a 2015, não desobedece o comando constitucional posto no inciso IV do art. 7º da Constituição do Brasil. A Lei 12.382/2011 definiu o valor do salário mínimo e sua política de afirmação de novos valores nominais para o período indicado (arts. 1º e 2º). Cabe ao presidente da República, exclusivamente, aplicar os índices definido</w:t>
      </w:r>
    </w:p>
    <w:p>
      <w:pPr>
        <w:ind w:left="288"/>
      </w:pPr>
      <w:r>
        <w:rPr>
          <w:b/>
          <w:color w:val="003CA0"/>
          <w:sz w:val="16"/>
        </w:rPr>
        <w:t>[ADI 4.568, rel. min. Cármen Lúcia, j. 3-11-2011, P, DJE de 30-3-2012.]</w:t>
      </w:r>
    </w:p>
    <w:p>
      <w:pPr>
        <w:ind w:left="288"/>
      </w:pPr>
      <w:r>
        <w:rPr>
          <w:color w:val="8C8C8C"/>
          <w:sz w:val="12"/>
        </w:rPr>
        <w:t>cf-art-7-inc-III</w:t>
      </w:r>
      <w:r>
        <w:rPr>
          <w:color w:val="003CA0"/>
          <w:sz w:val="12"/>
        </w:rPr>
        <w:t xml:space="preserve"> | ADI 3.934</w:t>
      </w:r>
    </w:p>
    <w:p>
      <w:pPr>
        <w:ind w:left="288"/>
      </w:pPr>
      <w:r>
        <w:rPr>
          <w:color w:val="1E1E1E"/>
          <w:sz w:val="18"/>
        </w:rPr>
        <w:t>(...) não vejo qualquer ofensa à Constituição no tocante ao estabelecimento de um limite máximo de 150 salários mínimos, para além do qual os créditos decorrentes da relação de trabalho deixam de ser preferenciais. É que – diga-se desde logo – não há aqui qualquer perda de direitos por parte dos trabalhadores, porquanto, independentemente da categoria em que tais créditos estejam classificados, eles não deixam de existir nem se tornam inexigíveis. Quer dizer, os créditos trabalhistas não desaparecem pelo simples fato de serem convertidos em quirografários, mas apenas perdem o seu caráter prefe</w:t>
      </w:r>
    </w:p>
    <w:p>
      <w:pPr>
        <w:ind w:left="288"/>
      </w:pPr>
      <w:r>
        <w:rPr>
          <w:b/>
          <w:color w:val="003CA0"/>
          <w:sz w:val="16"/>
        </w:rPr>
        <w:t>[ADI 3.934, voto do min. Ricardo Lewandowski, j. 27-5-2009, P, DJE de 6-11-2009.]</w:t>
      </w:r>
    </w:p>
    <w:p>
      <w:pPr>
        <w:ind w:left="288"/>
      </w:pPr>
      <w:r>
        <w:rPr>
          <w:color w:val="8C8C8C"/>
          <w:sz w:val="12"/>
        </w:rPr>
        <w:t>cf-art-7-inc-III</w:t>
      </w:r>
      <w:r>
        <w:rPr>
          <w:color w:val="003CA0"/>
          <w:sz w:val="12"/>
        </w:rPr>
        <w:t xml:space="preserve"> | ADPF 95</w:t>
      </w:r>
      <w:r>
        <w:rPr>
          <w:color w:val="003CA0"/>
          <w:sz w:val="12"/>
        </w:rPr>
        <w:t xml:space="preserve"> | rel. Eros Grau</w:t>
      </w:r>
    </w:p>
    <w:p>
      <w:pPr>
        <w:ind w:left="288"/>
      </w:pPr>
      <w:r>
        <w:rPr>
          <w:color w:val="1E1E1E"/>
          <w:sz w:val="18"/>
        </w:rPr>
        <w:t>O art. 3º da Lei federal 6.194 vincula ao salário mínimo as indenizações pagas em decorrência de morte, invalidez permanente e despesas de assistência médica e suplementares resultantes de acidentes causados por veículos automotores de via terrestre. (...) votos majoritários que entenderam ausentes o fumus boni iuris e o periculum in mora, eis que o art. 7º, IV, da Constituição do Brasil não vedaria a utilização do salário mínimo como parâmetro quantificador de indenização e a Lei 6.194 teria sido inserida no ordenamento jurídico em 1974, respectivamente; (...). Medida cautelar indeferida, con</w:t>
      </w:r>
    </w:p>
    <w:p>
      <w:pPr>
        <w:ind w:left="288"/>
      </w:pPr>
      <w:r>
        <w:rPr>
          <w:b/>
          <w:color w:val="003CA0"/>
          <w:sz w:val="16"/>
        </w:rPr>
        <w:t>[ADPF 95 MC, rel. min. Eros Grau, j. 31-8-2006, P, DJ de 11-5-2007.]</w:t>
      </w:r>
    </w:p>
    <w:p>
      <w:pPr>
        <w:ind w:left="288"/>
      </w:pPr>
      <w:r>
        <w:rPr>
          <w:color w:val="8C8C8C"/>
          <w:sz w:val="12"/>
        </w:rPr>
        <w:t>cf-art-7-inc-III</w:t>
      </w:r>
      <w:r>
        <w:rPr>
          <w:color w:val="003CA0"/>
          <w:sz w:val="12"/>
        </w:rPr>
        <w:t xml:space="preserve"> | ADI 2.672</w:t>
      </w:r>
      <w:r>
        <w:rPr>
          <w:color w:val="003CA0"/>
          <w:sz w:val="12"/>
        </w:rPr>
        <w:t xml:space="preserve"> | rel. Ellen Gracie</w:t>
      </w:r>
    </w:p>
    <w:p>
      <w:pPr>
        <w:ind w:left="288"/>
      </w:pPr>
      <w:r>
        <w:rPr>
          <w:color w:val="1E1E1E"/>
          <w:sz w:val="18"/>
        </w:rPr>
        <w:t>(...) não ofende a Carta Magna a utilização do salário mínimo como critério de aferição do nível de pobreza dos aspirantes às carreiras públicas, para fins de concessão do benefício de que trata a Lei capixaba 6.663/2001.</w:t>
      </w:r>
    </w:p>
    <w:p>
      <w:pPr>
        <w:ind w:left="288"/>
      </w:pPr>
      <w:r>
        <w:rPr>
          <w:b/>
          <w:color w:val="003CA0"/>
          <w:sz w:val="16"/>
        </w:rPr>
        <w:t>[ADI 2.672, rel. min. Ellen Gracie, red. do ac. min. Ayres Britto, j. 22-6-2006, P, DJ de 10-11-2006.]</w:t>
      </w:r>
    </w:p>
    <w:p>
      <w:pPr>
        <w:ind w:left="288"/>
      </w:pPr>
      <w:r>
        <w:rPr>
          <w:color w:val="8C8C8C"/>
          <w:sz w:val="12"/>
        </w:rPr>
        <w:t>cf-art-7-inc-III</w:t>
      </w:r>
      <w:r>
        <w:rPr>
          <w:color w:val="003CA0"/>
          <w:sz w:val="12"/>
        </w:rPr>
        <w:t xml:space="preserve"> | ADPF 33</w:t>
      </w:r>
      <w:r>
        <w:rPr>
          <w:color w:val="003CA0"/>
          <w:sz w:val="12"/>
        </w:rPr>
        <w:t xml:space="preserve"> | rel. Gilmar Mendes</w:t>
      </w:r>
    </w:p>
    <w:p>
      <w:pPr>
        <w:ind w:left="288"/>
      </w:pPr>
      <w:r>
        <w:rPr>
          <w:color w:val="1E1E1E"/>
          <w:sz w:val="18"/>
        </w:rPr>
        <w:t>Norma impugnada que trata da remuneração do pessoal de autarquia estadual, vinculando o quadro de salários ao salário mínimo. (...) Arguição de descumprimento de preceito fundamental julgada procedente para declarar a ilegitimidade (não recepção) do Regulamento de Pessoal do extinto Idesp em face do princípio federativo e da proibição de vinculação de salários a múltiplos do salário mínimo (art. 60, § 4º, I, c/c art. 7º, IV, in fine, da CF).</w:t>
      </w:r>
    </w:p>
    <w:p>
      <w:pPr>
        <w:ind w:left="288"/>
      </w:pPr>
      <w:r>
        <w:rPr>
          <w:b/>
          <w:color w:val="003CA0"/>
          <w:sz w:val="16"/>
        </w:rPr>
        <w:t>[ADPF 33, rel. min. Gilmar Mendes, j. 7-12-2005, P, DJ de 27-10-2006.]</w:t>
      </w:r>
    </w:p>
    <w:p>
      <w:pPr>
        <w:ind w:left="288"/>
      </w:pPr>
      <w:r>
        <w:rPr>
          <w:color w:val="8C8C8C"/>
          <w:sz w:val="12"/>
        </w:rPr>
        <w:t>cf-art-7-inc-III</w:t>
      </w:r>
      <w:r>
        <w:rPr>
          <w:color w:val="003CA0"/>
          <w:sz w:val="12"/>
        </w:rPr>
        <w:t xml:space="preserve"> | AC 2.288</w:t>
      </w:r>
      <w:r>
        <w:rPr>
          <w:color w:val="003CA0"/>
          <w:sz w:val="12"/>
        </w:rPr>
        <w:t xml:space="preserve"> | rel. Celso de Mello</w:t>
      </w:r>
    </w:p>
    <w:p>
      <w:pPr>
        <w:ind w:left="288"/>
      </w:pPr>
      <w:r>
        <w:rPr>
          <w:color w:val="1E1E1E"/>
          <w:sz w:val="18"/>
        </w:rPr>
        <w:t xml:space="preserve">= AC 2.288 MC-REF, rel. min. Celso de Mello, j. 10-3-2009, 2ª T, DJE de 10-8-2012 A insuficiência do valor correspondente ao salário mínimo – definido em importância que se revele incapaz de atender as necessidades vitais básicas do trabalhador e dos membros de sua família – configura um claro descumprimento, ainda que parcial, da Constituição da República, pois o legislador, em tal hipótese, longe de atuar como sujeito concretizante do postulado constitucional que garante à classe trabalhadora um piso geral de remuneração digna (CF, art. 7º, IV), estará realizando, de modo imperfeito, porque </w:t>
      </w:r>
    </w:p>
    <w:p>
      <w:pPr>
        <w:ind w:left="288"/>
      </w:pPr>
      <w:r>
        <w:rPr>
          <w:b/>
          <w:color w:val="003CA0"/>
          <w:sz w:val="16"/>
        </w:rPr>
        <w:t>[ADI 1.442, rel. min. Celso de Mello, j. 3-11-2004, P, DJ de 29-4-2005.]</w:t>
      </w:r>
    </w:p>
    <w:p>
      <w:pPr>
        <w:ind w:left="288"/>
      </w:pPr>
      <w:r>
        <w:rPr>
          <w:color w:val="8C8C8C"/>
          <w:sz w:val="12"/>
        </w:rPr>
        <w:t>cf-art-7-inc-III</w:t>
      </w:r>
      <w:r>
        <w:rPr>
          <w:color w:val="003CA0"/>
          <w:sz w:val="12"/>
        </w:rPr>
        <w:t xml:space="preserve"> | ARE 1.409.059</w:t>
      </w:r>
      <w:r>
        <w:rPr>
          <w:color w:val="003CA0"/>
          <w:sz w:val="12"/>
        </w:rPr>
        <w:t xml:space="preserve"> | rel. Gilmar Mendes</w:t>
      </w:r>
    </w:p>
    <w:p>
      <w:pPr>
        <w:ind w:left="288"/>
      </w:pPr>
      <w:r>
        <w:rPr>
          <w:color w:val="1E1E1E"/>
          <w:sz w:val="18"/>
        </w:rPr>
        <w:t>“A fixação de multa administrativa em múltiplos do salário mínimo não viola o disposto no art. 7º, IV, da Constituição Federal”.</w:t>
      </w:r>
    </w:p>
    <w:p>
      <w:pPr>
        <w:ind w:left="288"/>
      </w:pPr>
      <w:r>
        <w:rPr>
          <w:b/>
          <w:color w:val="003CA0"/>
          <w:sz w:val="16"/>
        </w:rPr>
        <w:t>[ARE 1.409.059, rel. min. Gilmar Mendes, j. 05.11.2025, P, DJE de 27.11.2025, Tema 1.244, com mérito julgado.]</w:t>
      </w:r>
    </w:p>
    <w:p>
      <w:pPr>
        <w:ind w:left="144"/>
      </w:pPr>
      <w:r>
        <w:rPr>
          <w:b/>
          <w:color w:val="B45A00"/>
          <w:sz w:val="16"/>
        </w:rPr>
        <w:t>REPERCUSSAO GERAL</w:t>
      </w:r>
    </w:p>
    <w:p>
      <w:pPr>
        <w:ind w:left="288"/>
      </w:pPr>
      <w:r>
        <w:rPr>
          <w:color w:val="8C8C8C"/>
          <w:sz w:val="12"/>
        </w:rPr>
        <w:t>cf-art-7-inc-III</w:t>
      </w:r>
      <w:r>
        <w:rPr>
          <w:color w:val="003CA0"/>
          <w:sz w:val="12"/>
        </w:rPr>
        <w:t xml:space="preserve"> | RE 964.659</w:t>
      </w:r>
      <w:r>
        <w:rPr>
          <w:color w:val="003CA0"/>
          <w:sz w:val="12"/>
        </w:rPr>
        <w:t xml:space="preserve"> | rel. Dias Toffoli</w:t>
      </w:r>
    </w:p>
    <w:p>
      <w:pPr>
        <w:ind w:left="288"/>
      </w:pPr>
      <w:r>
        <w:rPr>
          <w:color w:val="1E1E1E"/>
          <w:sz w:val="18"/>
        </w:rPr>
        <w:t>(...) ”[é] defeso o pagamento de remuneração em valor inferior ao salário mínimo ao servidor público, ainda que labore em jornada reduzida de trabalho”.</w:t>
      </w:r>
    </w:p>
    <w:p>
      <w:pPr>
        <w:ind w:left="288"/>
      </w:pPr>
      <w:r>
        <w:rPr>
          <w:b/>
          <w:color w:val="003CA0"/>
          <w:sz w:val="16"/>
        </w:rPr>
        <w:t>[RE 964.659, rel. min. Dias Toffoli, j. 8-8-2022, P, DJE de 1º-9-2022, Tema 900, com mérito julgado.]</w:t>
      </w:r>
    </w:p>
    <w:p>
      <w:pPr>
        <w:ind w:left="288"/>
      </w:pPr>
      <w:r>
        <w:rPr>
          <w:color w:val="8C8C8C"/>
          <w:sz w:val="12"/>
        </w:rPr>
        <w:t>cf-art-7-inc-III</w:t>
      </w:r>
      <w:r>
        <w:rPr>
          <w:color w:val="003CA0"/>
          <w:sz w:val="12"/>
        </w:rPr>
        <w:t xml:space="preserve"> | RE 968.414</w:t>
      </w:r>
      <w:r>
        <w:rPr>
          <w:color w:val="003CA0"/>
          <w:sz w:val="12"/>
        </w:rPr>
        <w:t xml:space="preserve"> | rel. Marco Aurélio</w:t>
      </w:r>
    </w:p>
    <w:p>
      <w:pPr>
        <w:ind w:left="288"/>
      </w:pPr>
      <w:r>
        <w:rPr>
          <w:color w:val="1E1E1E"/>
          <w:sz w:val="18"/>
        </w:rPr>
        <w:t>Não encontra amparo no Texto Constitucional revisão de benefício previdenciário pelo valor nominal do salário mínimo.</w:t>
      </w:r>
    </w:p>
    <w:p>
      <w:pPr>
        <w:ind w:left="288"/>
      </w:pPr>
      <w:r>
        <w:rPr>
          <w:b/>
          <w:color w:val="003CA0"/>
          <w:sz w:val="16"/>
        </w:rPr>
        <w:t>[RE 968.414, rel. min. Marco Aurélio, j. 15-5-2020, P, DJE de 3-6-2020, Tema 996, com mérito julgado.]</w:t>
      </w:r>
    </w:p>
    <w:p>
      <w:pPr>
        <w:ind w:left="288"/>
      </w:pPr>
      <w:r>
        <w:rPr>
          <w:color w:val="8C8C8C"/>
          <w:sz w:val="12"/>
        </w:rPr>
        <w:t>cf-art-7-inc-III</w:t>
      </w:r>
      <w:r>
        <w:rPr>
          <w:color w:val="003CA0"/>
          <w:sz w:val="12"/>
        </w:rPr>
        <w:t xml:space="preserve"> | ARE 842.157</w:t>
      </w:r>
    </w:p>
    <w:p>
      <w:pPr>
        <w:ind w:left="288"/>
      </w:pPr>
      <w:r>
        <w:rPr>
          <w:color w:val="1E1E1E"/>
          <w:sz w:val="18"/>
        </w:rPr>
        <w:t xml:space="preserve">(...) a vedação da vinculação ao salário mínimo insculpida no art. 7º,  IV, da Constituição visa impossibilitar a utilização do mencionado parâmetro como fator de indexação para as obrigações não dotadas de caráter alimentar. Conforme precedentes desta Suprema Corte, a utilização do salário mínimo como base de cálculo do valor da pensão alimentícia não ofende o dispositivo constitucional invocado, dada a premissa de que a prestação tem por objetivo a preservação da subsistência humana e o resguardo do padrão de vida daquele que a percebe, o qual é hipossuficiente e, por isso mesmo, dependente </w:t>
      </w:r>
    </w:p>
    <w:p>
      <w:pPr>
        <w:ind w:left="288"/>
      </w:pPr>
      <w:r>
        <w:rPr>
          <w:b/>
          <w:color w:val="003CA0"/>
          <w:sz w:val="16"/>
        </w:rPr>
        <w:t>[ARE 842.157 RG, voto do min. Dias Toffoli, j. 4-6-2015, P, DJE de 20-8-2015, Tema 821, com mérito julgado.]</w:t>
      </w:r>
    </w:p>
    <w:p>
      <w:pPr>
        <w:ind w:left="288"/>
      </w:pPr>
      <w:r>
        <w:rPr>
          <w:color w:val="8C8C8C"/>
          <w:sz w:val="12"/>
        </w:rPr>
        <w:t>cf-art-7-inc-III</w:t>
      </w:r>
      <w:r>
        <w:rPr>
          <w:color w:val="003CA0"/>
          <w:sz w:val="12"/>
        </w:rPr>
        <w:t xml:space="preserve"> | RE 603.451</w:t>
      </w:r>
      <w:r>
        <w:rPr>
          <w:color w:val="003CA0"/>
          <w:sz w:val="12"/>
        </w:rPr>
        <w:t xml:space="preserve"> | rel. Ellen Gracie</w:t>
      </w:r>
    </w:p>
    <w:p>
      <w:pPr>
        <w:ind w:left="288"/>
      </w:pPr>
      <w:r>
        <w:rPr>
          <w:color w:val="1E1E1E"/>
          <w:sz w:val="18"/>
        </w:rPr>
        <w:t>Ex-empregado da FEPASA. Complementação de aposentadoria. Base de cálculo. Salário mínimo. Súmula Vinculante 4. Impossibilidade de o Poder Judiciário determinar nova base de cálculo. Ratificação da jurisprudência firmada por esta Suprema Corte. Existência de repercussão geral.</w:t>
        <w:br/>
        <w:t>[RE 603.451 RG, rel. min. Ellen Gracie, j. 11-3-2010, P, DJE de 23-4-2010, Tema 256, com mérito julgado.] O Plenário, no julgamento do RE 199.098/SC e RE 265.129/RS, rel. min. Ilmar Galvão, decidiu que o art. 7º, IV, da Constituição refere-se ao total da remuneração percebida pelo servidor e não apenas ao vencimento-base.</w:t>
      </w:r>
    </w:p>
    <w:p>
      <w:pPr>
        <w:ind w:left="288"/>
      </w:pPr>
      <w:r>
        <w:rPr>
          <w:b/>
          <w:color w:val="003CA0"/>
          <w:sz w:val="16"/>
        </w:rPr>
        <w:t>[RE 565.714, rel. min. Cármen Lúcia, j. 30-4-2008, P, DJE de 7-11-2008, Tema 25, com mérito julgado.]</w:t>
      </w:r>
    </w:p>
    <w:p>
      <w:pPr>
        <w:ind w:left="288"/>
      </w:pPr>
      <w:r>
        <w:rPr>
          <w:color w:val="8C8C8C"/>
          <w:sz w:val="12"/>
        </w:rPr>
        <w:t>cf-art-7-inc-III</w:t>
      </w:r>
      <w:r>
        <w:rPr>
          <w:color w:val="003CA0"/>
          <w:sz w:val="12"/>
        </w:rPr>
        <w:t xml:space="preserve"> | ARE 1.526.509</w:t>
      </w:r>
      <w:r>
        <w:rPr>
          <w:color w:val="003CA0"/>
          <w:sz w:val="12"/>
        </w:rPr>
        <w:t xml:space="preserve"> | rel. André Mendonça</w:t>
      </w:r>
    </w:p>
    <w:p>
      <w:pPr>
        <w:ind w:left="288"/>
      </w:pPr>
      <w:r>
        <w:rPr>
          <w:color w:val="1E1E1E"/>
          <w:sz w:val="18"/>
        </w:rPr>
        <w:t>“1. A vinculação automática de remuneração ao salário mínimo viola o enunciado nº 4 da Súmula Vinculante do STF, aplicável tanto a empregados públicos quanto a servidores estatutários. 2. A coisa julgada formada sob regime celetista não gera efeitos sobre a remuneração de servidores públicos submetidos ao regime jurídico único, cujos vencimentos são estipulados por normas estatutárias. 3. A irredutibilidade de vencimentos, no momento de transição para o regime estatutário, não confere direito a reajustes automáticos baseados em aumentos do salário mínimo.”</w:t>
      </w:r>
    </w:p>
    <w:p>
      <w:pPr>
        <w:ind w:left="288"/>
      </w:pPr>
      <w:r>
        <w:rPr>
          <w:b/>
          <w:color w:val="003CA0"/>
          <w:sz w:val="16"/>
        </w:rPr>
        <w:t>[ARE 1.526.509 AgR, rel. min. André Mendonça, j. 22.02.2025, 2ª T, DJE de 07.03.2025.]</w:t>
      </w:r>
    </w:p>
    <w:p>
      <w:pPr>
        <w:ind w:left="144"/>
      </w:pPr>
      <w:r>
        <w:rPr>
          <w:b/>
          <w:color w:val="B45A00"/>
          <w:sz w:val="16"/>
        </w:rPr>
        <w:t>JULGADOS CORRELATOS</w:t>
      </w:r>
    </w:p>
    <w:p>
      <w:pPr>
        <w:ind w:left="288"/>
      </w:pPr>
      <w:r>
        <w:rPr>
          <w:color w:val="8C8C8C"/>
          <w:sz w:val="12"/>
        </w:rPr>
        <w:t>cf-art-7-inc-III</w:t>
      </w:r>
      <w:r>
        <w:rPr>
          <w:color w:val="003CA0"/>
          <w:sz w:val="12"/>
        </w:rPr>
        <w:t xml:space="preserve"> | RE 674.967</w:t>
      </w:r>
      <w:r>
        <w:rPr>
          <w:color w:val="003CA0"/>
          <w:sz w:val="12"/>
        </w:rPr>
        <w:t xml:space="preserve"> | rel. Ricardo Lewandowski</w:t>
      </w:r>
    </w:p>
    <w:p>
      <w:pPr>
        <w:ind w:left="288"/>
      </w:pPr>
      <w:r>
        <w:rPr>
          <w:color w:val="1E1E1E"/>
          <w:sz w:val="18"/>
        </w:rPr>
        <w:t>Não contraria a Constituição a decisão de tribunal que, em razão da omissão legislativa e da impossibilidade de vinculação ao salário mínimo, supre lacuna existente na legislação e fixa o vencimento básico do servidor como base de cálculo do adicional de insalubridade.</w:t>
      </w:r>
    </w:p>
    <w:p>
      <w:pPr>
        <w:ind w:left="288"/>
      </w:pPr>
      <w:r>
        <w:rPr>
          <w:b/>
          <w:color w:val="003CA0"/>
          <w:sz w:val="16"/>
        </w:rPr>
        <w:t>[RE 674.967 AgR-segundo, rel. min. Ricardo Lewandowski, j. 24-9-2013, 2ª T, DJE de 11-10-2013.]</w:t>
      </w:r>
    </w:p>
    <w:p>
      <w:pPr>
        <w:ind w:left="288"/>
      </w:pPr>
      <w:r>
        <w:rPr>
          <w:color w:val="8C8C8C"/>
          <w:sz w:val="12"/>
        </w:rPr>
        <w:t>cf-art-7-inc-III</w:t>
      </w:r>
      <w:r>
        <w:rPr>
          <w:color w:val="003CA0"/>
          <w:sz w:val="12"/>
        </w:rPr>
        <w:t xml:space="preserve"> | RE 634.341</w:t>
      </w:r>
      <w:r>
        <w:rPr>
          <w:color w:val="003CA0"/>
          <w:sz w:val="12"/>
        </w:rPr>
        <w:t xml:space="preserve"> | rel. Dias Toffoli</w:t>
      </w:r>
    </w:p>
    <w:p>
      <w:pPr>
        <w:ind w:left="288"/>
      </w:pPr>
      <w:r>
        <w:rPr>
          <w:color w:val="1E1E1E"/>
          <w:sz w:val="18"/>
        </w:rPr>
        <w:t>= RE 634.341 AgR, rel. min. Dias Toffoli, j. 4-2-2014, 1ª T, DJE de 25-2-2014 O Supremo assentou o entendimento de que não é possível a vinculação do piso-base ao salário mínimo, nos termos do disposto na parte final do inciso IV do art. 7º da Constituição do Brasil.</w:t>
      </w:r>
    </w:p>
    <w:p>
      <w:pPr>
        <w:ind w:left="288"/>
      </w:pPr>
      <w:r>
        <w:rPr>
          <w:b/>
          <w:color w:val="003CA0"/>
          <w:sz w:val="16"/>
        </w:rPr>
        <w:t>[AI 763.641 AgR, rel. min. Eros Grau, j. 17-11-2009, 2ª T, DJE de 4-12-2009.]</w:t>
      </w:r>
    </w:p>
    <w:p>
      <w:pPr>
        <w:ind w:left="288"/>
      </w:pPr>
      <w:r>
        <w:rPr>
          <w:color w:val="8C8C8C"/>
          <w:sz w:val="12"/>
        </w:rPr>
        <w:t>cf-art-7-inc-III</w:t>
      </w:r>
      <w:r>
        <w:rPr>
          <w:color w:val="003CA0"/>
          <w:sz w:val="12"/>
        </w:rPr>
        <w:t xml:space="preserve"> | RE 258.386</w:t>
      </w:r>
      <w:r>
        <w:rPr>
          <w:color w:val="003CA0"/>
          <w:sz w:val="12"/>
        </w:rPr>
        <w:t xml:space="preserve"> | rel. Maurício Corrêa</w:t>
      </w:r>
    </w:p>
    <w:p>
      <w:pPr>
        <w:ind w:left="288"/>
      </w:pPr>
      <w:r>
        <w:rPr>
          <w:color w:val="1E1E1E"/>
          <w:sz w:val="18"/>
        </w:rPr>
        <w:t>= RE 258.386 AgR, rel. min. Maurício Corrêa, j. 14-8-2001, 2ª T, DJE de 5-10-2001 Longe fica de transgredir a Carta da República pronunciamento judicial que implique a satisfação dos proventos considerado o valor representado pelo salário mínimo.</w:t>
      </w:r>
    </w:p>
    <w:p>
      <w:pPr>
        <w:ind w:left="288"/>
      </w:pPr>
      <w:r>
        <w:rPr>
          <w:b/>
          <w:color w:val="003CA0"/>
          <w:sz w:val="16"/>
        </w:rPr>
        <w:t>[AI 482.810 AgR, rel. min. Marco Aurélio, j. 9-6-2009, 1ª T, DJE de 21-8-2009.]</w:t>
      </w:r>
    </w:p>
    <w:p>
      <w:pPr>
        <w:ind w:left="288"/>
      </w:pPr>
      <w:r>
        <w:rPr>
          <w:color w:val="8C8C8C"/>
          <w:sz w:val="12"/>
        </w:rPr>
        <w:t>cf-art-7-inc-III</w:t>
      </w:r>
      <w:r>
        <w:rPr>
          <w:color w:val="003CA0"/>
          <w:sz w:val="12"/>
        </w:rPr>
        <w:t xml:space="preserve"> | AI 577.908</w:t>
      </w:r>
      <w:r>
        <w:rPr>
          <w:color w:val="003CA0"/>
          <w:sz w:val="12"/>
        </w:rPr>
        <w:t xml:space="preserve"> | rel. Gilmar Mendes</w:t>
      </w:r>
    </w:p>
    <w:p>
      <w:pPr>
        <w:ind w:left="288"/>
      </w:pPr>
      <w:r>
        <w:rPr>
          <w:color w:val="1E1E1E"/>
          <w:sz w:val="18"/>
        </w:rPr>
        <w:t>Morte de preso no interior de estabelecimento prisional. Indenização por danos morais e materiais. Cabimento. Responsabilidade objetiva do Estado. (...) Pensão fixada. Hipótese excepcional em que se permite a vinculação ao salário mínimo.</w:t>
      </w:r>
    </w:p>
    <w:p>
      <w:pPr>
        <w:ind w:left="288"/>
      </w:pPr>
      <w:r>
        <w:rPr>
          <w:b/>
          <w:color w:val="003CA0"/>
          <w:sz w:val="16"/>
        </w:rPr>
        <w:t>[AI 577.908 AgR, rel. min. Gilmar Mendes, j. 30-9-2008, 2ª T, DJE de 21-11-2008.]</w:t>
      </w:r>
    </w:p>
    <w:p>
      <w:pPr>
        <w:ind w:left="288"/>
      </w:pPr>
      <w:r>
        <w:rPr>
          <w:color w:val="8C8C8C"/>
          <w:sz w:val="12"/>
        </w:rPr>
        <w:t>cf-art-7-inc-III</w:t>
      </w:r>
      <w:r>
        <w:rPr>
          <w:color w:val="003CA0"/>
          <w:sz w:val="12"/>
        </w:rPr>
        <w:t xml:space="preserve"> | RE 388.658</w:t>
      </w:r>
      <w:r>
        <w:rPr>
          <w:color w:val="003CA0"/>
          <w:sz w:val="12"/>
        </w:rPr>
        <w:t xml:space="preserve"> | rel. Marco Aurélio</w:t>
      </w:r>
    </w:p>
    <w:p>
      <w:pPr>
        <w:ind w:left="288"/>
      </w:pPr>
      <w:r>
        <w:rPr>
          <w:color w:val="1E1E1E"/>
          <w:sz w:val="18"/>
        </w:rPr>
        <w:t>Adicional de insalubridade. Base de cálculo. Salário mínimo. Mesmo em se tratando de adicional de insalubridade, descabe considerar o salário mínimo como base de cálculo. Verbete Vinculante 4 da Súmula do Supremo. Agravo. Reforma. Alcance. Afasta-se a observância do verbete vinculante quando conclusão diversa acarreta o prejuízo do recorrente.</w:t>
      </w:r>
    </w:p>
    <w:p>
      <w:pPr>
        <w:ind w:left="288"/>
      </w:pPr>
      <w:r>
        <w:rPr>
          <w:b/>
          <w:color w:val="003CA0"/>
          <w:sz w:val="16"/>
        </w:rPr>
        <w:t>[RE 388.658 AgR, rel. min. Marco Aurélio, j. 12-8-2008, 1ª T, DJE de 26-9-2008.]</w:t>
      </w:r>
    </w:p>
    <w:p>
      <w:pPr>
        <w:ind w:left="288"/>
      </w:pPr>
      <w:r>
        <w:rPr>
          <w:color w:val="8C8C8C"/>
          <w:sz w:val="12"/>
        </w:rPr>
        <w:t>cf-art-7-inc-III</w:t>
      </w:r>
      <w:r>
        <w:rPr>
          <w:color w:val="003CA0"/>
          <w:sz w:val="12"/>
        </w:rPr>
        <w:t xml:space="preserve"> | RE 349.850</w:t>
      </w:r>
      <w:r>
        <w:rPr>
          <w:color w:val="003CA0"/>
          <w:sz w:val="12"/>
        </w:rPr>
        <w:t xml:space="preserve"> | rel. Marco Aurélio</w:t>
      </w:r>
    </w:p>
    <w:p>
      <w:pPr>
        <w:ind w:left="288"/>
      </w:pPr>
      <w:r>
        <w:rPr>
          <w:color w:val="1E1E1E"/>
          <w:sz w:val="18"/>
        </w:rPr>
        <w:t>Vulnera o disposto no inciso IV do art. 7º da CF vincular vencimentos ao salário mínimo, não gerando a prática direito à manutenção do valor alcançado.</w:t>
      </w:r>
    </w:p>
    <w:p>
      <w:pPr>
        <w:ind w:left="288"/>
      </w:pPr>
      <w:r>
        <w:rPr>
          <w:b/>
          <w:color w:val="003CA0"/>
          <w:sz w:val="16"/>
        </w:rPr>
        <w:t>[RE 349.850, rel. min. Marco Aurélio, j. 25-3-2008, 1ª T, DJE de 23-5-2008.]</w:t>
      </w:r>
    </w:p>
    <w:p>
      <w:pPr>
        <w:ind w:left="288"/>
      </w:pPr>
      <w:r>
        <w:rPr>
          <w:color w:val="8C8C8C"/>
          <w:sz w:val="12"/>
        </w:rPr>
        <w:t>cf-art-7-inc-III</w:t>
      </w:r>
      <w:r>
        <w:rPr>
          <w:color w:val="003CA0"/>
          <w:sz w:val="12"/>
        </w:rPr>
        <w:t xml:space="preserve"> | AI 494.258</w:t>
      </w:r>
      <w:r>
        <w:rPr>
          <w:color w:val="003CA0"/>
          <w:sz w:val="12"/>
        </w:rPr>
        <w:t xml:space="preserve"> | rel. Dias Toffoli</w:t>
      </w:r>
    </w:p>
    <w:p>
      <w:pPr>
        <w:ind w:left="288"/>
      </w:pPr>
      <w:r>
        <w:rPr>
          <w:color w:val="1E1E1E"/>
          <w:sz w:val="18"/>
        </w:rPr>
        <w:t>= AI 494.258 ED, rel. min. Dias Toffoli, j. 26-4-2011, 1ª T, DJE de 1º-8-2011 Indenização vinculada ao salário mínimo: impossibilidade. CF, art. 7º, IV. O que a Constituição veda – art. 7º, IV – é a fixação do quantum da indenização em múltiplo de salários mínimos. STF, RE 225.488/PR, rel. min. Moreira Alves; ADI 1.425. A indenização pode ser fixada, entretanto, em salários mínimos, observado o valor deste na data do julgamento. A partir daí, esse quantum será corrigido por índice oficial.</w:t>
      </w:r>
    </w:p>
    <w:p>
      <w:pPr>
        <w:ind w:left="288"/>
      </w:pPr>
      <w:r>
        <w:rPr>
          <w:b/>
          <w:color w:val="003CA0"/>
          <w:sz w:val="16"/>
        </w:rPr>
        <w:t>[RE 409.427 AgR, rel. min. Carlos Velloso, j. 16-3-2004, 1ª T, DJ de 2-4-2004.]</w:t>
      </w:r>
    </w:p>
    <w:p>
      <w:pPr>
        <w:ind w:left="288"/>
      </w:pPr>
      <w:r>
        <w:rPr>
          <w:color w:val="8C8C8C"/>
          <w:sz w:val="12"/>
        </w:rPr>
        <w:t>cf-art-7-inc-III</w:t>
      </w:r>
      <w:r>
        <w:rPr>
          <w:color w:val="003CA0"/>
          <w:sz w:val="12"/>
        </w:rPr>
        <w:t xml:space="preserve"> | AI 537.333</w:t>
      </w:r>
      <w:r>
        <w:rPr>
          <w:color w:val="003CA0"/>
          <w:sz w:val="12"/>
        </w:rPr>
        <w:t xml:space="preserve"> | rel. Joaquim Barbosa</w:t>
      </w:r>
    </w:p>
    <w:p>
      <w:pPr>
        <w:ind w:left="288"/>
      </w:pPr>
      <w:r>
        <w:rPr>
          <w:color w:val="1E1E1E"/>
          <w:sz w:val="18"/>
        </w:rPr>
        <w:t>= AI 537.333 ED, rel. min. Joaquim Barbosa, j. 12-5-2009, 2ª T, DJE de 26-6-2009 Vide RE 467.011 AgR, rel. min. Cármen Lúcia, j. 15-9-2009, 1ª T, DJE de 16-10-2009 Multa administrativa vinculada a salário mínimo. (...) O Plenário desta Corte, ao julgar a ADI 1.425, firmou o entendimento de que, ao estabelecer o art. 7º, IV, da Constituição que é vedada a vinculação ao salário mínimo para qualquer fim, "quis evitar que interesses estranhos aos versados na norma constitucional venham a ter influência na fixação do valor mínimo a ser observado". Ora, no caso, a vinculação se dá para que o salário</w:t>
      </w:r>
    </w:p>
    <w:p>
      <w:pPr>
        <w:ind w:left="288"/>
      </w:pPr>
      <w:r>
        <w:rPr>
          <w:b/>
          <w:color w:val="003CA0"/>
          <w:sz w:val="16"/>
        </w:rPr>
        <w:t>[RE 237.965, rel. min. Moreira Alves, j. 10-2-2000, P, DJ de 31-3-2000.]</w:t>
      </w:r>
    </w:p>
    <w:p>
      <w:pPr>
        <w:ind w:left="288"/>
      </w:pPr>
      <w:r>
        <w:rPr>
          <w:color w:val="8C8C8C"/>
          <w:sz w:val="12"/>
        </w:rPr>
        <w:t>cf-art-7-inc-III</w:t>
      </w:r>
      <w:r>
        <w:rPr>
          <w:color w:val="003CA0"/>
          <w:sz w:val="12"/>
        </w:rPr>
        <w:t xml:space="preserve"> | RE 445.282</w:t>
      </w:r>
      <w:r>
        <w:rPr>
          <w:color w:val="003CA0"/>
          <w:sz w:val="12"/>
        </w:rPr>
        <w:t xml:space="preserve"> | rel. Marco Aurélio</w:t>
      </w:r>
    </w:p>
    <w:p>
      <w:pPr>
        <w:ind w:left="288"/>
      </w:pPr>
      <w:r>
        <w:rPr>
          <w:color w:val="1E1E1E"/>
          <w:sz w:val="18"/>
        </w:rPr>
        <w:t>= RE 445.282 AgR, rel. min. Marco Aurélio, j. 7-4-2009, 1ª T, DJE de 5-6-2009</w:t>
      </w:r>
    </w:p>
    <w:p>
      <w:pPr>
        <w:ind w:left="144"/>
      </w:pPr>
      <w:r>
        <w:rPr>
          <w:b/>
          <w:color w:val="B45A00"/>
          <w:sz w:val="16"/>
        </w:rPr>
        <w:t>CONTROLE CONCENTRADO</w:t>
      </w:r>
    </w:p>
    <w:p>
      <w:pPr>
        <w:ind w:left="288"/>
      </w:pPr>
      <w:r>
        <w:rPr>
          <w:color w:val="8C8C8C"/>
          <w:sz w:val="12"/>
        </w:rPr>
        <w:t>cf-art-7-inc-V</w:t>
      </w:r>
      <w:r>
        <w:rPr>
          <w:color w:val="003CA0"/>
          <w:sz w:val="12"/>
        </w:rPr>
        <w:t xml:space="preserve"> | ADPF 53</w:t>
      </w:r>
      <w:r>
        <w:rPr>
          <w:color w:val="003CA0"/>
          <w:sz w:val="12"/>
        </w:rPr>
        <w:t xml:space="preserve"> | rel. Rosa Weber</w:t>
      </w:r>
    </w:p>
    <w:p>
      <w:pPr>
        <w:ind w:left="288"/>
      </w:pPr>
      <w:r>
        <w:rPr>
          <w:color w:val="1E1E1E"/>
          <w:sz w:val="18"/>
        </w:rPr>
        <w:t>A jurisprudência desta Corte entende violar o princípio federativo a estipulação de piso remuneratório nacional apenas em relação aos servidores públicos efetivos, por interferir na autonomia administrativa dos demais entes federados. Em relação aos empregados públicos sujeitos ao vínculo jurídico celetista estendem-se, no ponto, as mesmas garantias dos trabalhadores em geral. A adoção da técnica de ‘congelamento’ da base de cálculo do piso salarial não importa em nenhuma distinção salarial entre empregados antigos e novos contratados. O piso salarial constitui referência mínima de contratação</w:t>
      </w:r>
    </w:p>
    <w:p>
      <w:pPr>
        <w:ind w:left="288"/>
      </w:pPr>
      <w:r>
        <w:rPr>
          <w:b/>
          <w:color w:val="003CA0"/>
          <w:sz w:val="16"/>
        </w:rPr>
        <w:t>[ADPF 53 ED, ADPF 149 ED e ADPF 171 ED, rel. min. Rosa Weber, j. 4-7-2022, P, DJE de 12-7-2022.]</w:t>
      </w:r>
    </w:p>
    <w:p>
      <w:pPr>
        <w:ind w:left="288"/>
      </w:pPr>
      <w:r>
        <w:rPr>
          <w:color w:val="8C8C8C"/>
          <w:sz w:val="12"/>
        </w:rPr>
        <w:t>cf-art-7-inc-V</w:t>
      </w:r>
      <w:r>
        <w:rPr>
          <w:color w:val="003CA0"/>
          <w:sz w:val="12"/>
        </w:rPr>
        <w:t xml:space="preserve"> | ADPF 53</w:t>
      </w:r>
      <w:r>
        <w:rPr>
          <w:color w:val="003CA0"/>
          <w:sz w:val="12"/>
        </w:rPr>
        <w:t xml:space="preserve"> | rel. Rosa Weber</w:t>
      </w:r>
    </w:p>
    <w:p>
      <w:pPr>
        <w:ind w:left="288"/>
      </w:pPr>
      <w:r>
        <w:rPr>
          <w:color w:val="1E1E1E"/>
          <w:sz w:val="18"/>
        </w:rPr>
        <w:t>O texto constitucional (CF, art. 7º, IV, fine) não proíbe a utilização de múltiplos do salário-mínimo como mera referência paradigmática para definição do valor justo e proporcional do piso salarial destinado à remuneração de categorias profissionais especializadas (CF, art. 7º, V), impedindo, no entanto, reajustamentos automáticos futuros, destinados à adequação do salário inicialmente contratado aos novos valores vigentes para o salário-mínimo nacional. Fixada interpretação conforme à Constituição, com adoção da técnica do congelamento da base de cálculo dos pisos salariais, a fim de que sej</w:t>
      </w:r>
    </w:p>
    <w:p>
      <w:pPr>
        <w:ind w:left="288"/>
      </w:pPr>
      <w:r>
        <w:rPr>
          <w:b/>
          <w:color w:val="003CA0"/>
          <w:sz w:val="16"/>
        </w:rPr>
        <w:t>[ADPF 53 MC-REF, rel. min. Rosa Weber, j. 21-2-2022, P, DJE de 18-3-2022.]</w:t>
      </w:r>
    </w:p>
    <w:p>
      <w:pPr>
        <w:ind w:left="288"/>
      </w:pPr>
      <w:r>
        <w:rPr>
          <w:color w:val="8C8C8C"/>
          <w:sz w:val="12"/>
        </w:rPr>
        <w:t>cf-art-7-inc-V</w:t>
      </w:r>
      <w:r>
        <w:rPr>
          <w:color w:val="003CA0"/>
          <w:sz w:val="12"/>
        </w:rPr>
        <w:t xml:space="preserve"> | ADI 4.364</w:t>
      </w:r>
      <w:r>
        <w:rPr>
          <w:color w:val="003CA0"/>
          <w:sz w:val="12"/>
        </w:rPr>
        <w:t xml:space="preserve"> | rel. Dias Toffoli</w:t>
      </w:r>
    </w:p>
    <w:p>
      <w:pPr>
        <w:ind w:left="288"/>
      </w:pPr>
      <w:r>
        <w:rPr>
          <w:color w:val="1E1E1E"/>
          <w:sz w:val="18"/>
        </w:rPr>
        <w:t>A menção ao dever de obediência a patamar mínimo fixado em lei foi feita – em relação aos trabalhadores alcançados pela lei estadual, não abrangidos por nenhuma forma de negociação coletiva anterior – como reforço argumentativo, com o intuito de realçar a liberdade de atuação dos órgãos sindicais na construção das políticas salariais dos seus representados. Como foi destacado, o piso salarial fixado pela legislação estadual, em razão da limitação contida na LC federal 103/2000 e conforme ressalva expressa no art. 3º da lei estadual questionada, não incidirá sobre as profissões que tenham conve</w:t>
      </w:r>
    </w:p>
    <w:p>
      <w:pPr>
        <w:ind w:left="288"/>
      </w:pPr>
      <w:r>
        <w:rPr>
          <w:b/>
          <w:color w:val="003CA0"/>
          <w:sz w:val="16"/>
        </w:rPr>
        <w:t>[ADI 4.364 ED, rel. min. Dias Toffoli, j. 29-5-2013, P, DJE de 20-9-2013.]</w:t>
      </w:r>
    </w:p>
    <w:p>
      <w:pPr>
        <w:ind w:left="288"/>
      </w:pPr>
      <w:r>
        <w:rPr>
          <w:color w:val="8C8C8C"/>
          <w:sz w:val="12"/>
        </w:rPr>
        <w:t>cf-art-7-inc-V</w:t>
      </w:r>
      <w:r>
        <w:rPr>
          <w:color w:val="003CA0"/>
          <w:sz w:val="12"/>
        </w:rPr>
        <w:t xml:space="preserve"> | ADI 4.364</w:t>
      </w:r>
      <w:r>
        <w:rPr>
          <w:color w:val="003CA0"/>
          <w:sz w:val="12"/>
        </w:rPr>
        <w:t xml:space="preserve"> | rel. Dias Toffoli</w:t>
      </w:r>
    </w:p>
    <w:p>
      <w:pPr>
        <w:ind w:left="288"/>
      </w:pPr>
      <w:r>
        <w:rPr>
          <w:color w:val="1E1E1E"/>
          <w:sz w:val="18"/>
        </w:rPr>
        <w:t>Vide ADI 4.364, rel. min. Dias Toffoli, j. 2-3-2011, P, DJE de 16-5-2011 A lei questionada não viola o princípio do pleno emprego. Ao contrário, a instituição do piso salarial regional visa, exatamente, reduzir as desigualdades sociais, conferindo proteção aos trabalhadores e assegurando a eles melhores condições salariais. Não viola o poder normativo da Justiça do Trabalho (art. 114, § 2º, da Lei Maior) o fato de a lei estadual não ter excluído dos seus efeitos a hipótese de piso salarial determinado em dissídio coletivo. A lei atuou nos exatos contornos da autorização conferida pela delegaçã</w:t>
      </w:r>
    </w:p>
    <w:p>
      <w:pPr>
        <w:ind w:left="288"/>
      </w:pPr>
      <w:r>
        <w:rPr>
          <w:b/>
          <w:color w:val="003CA0"/>
          <w:sz w:val="16"/>
        </w:rPr>
        <w:t>[ADI 4.364, rel. min. Dias Toffoli, j. 2-3-2011, P, DJE de 16-5-2011.]</w:t>
      </w:r>
    </w:p>
    <w:p>
      <w:pPr>
        <w:ind w:left="288"/>
      </w:pPr>
      <w:r>
        <w:rPr>
          <w:color w:val="8C8C8C"/>
          <w:sz w:val="12"/>
        </w:rPr>
        <w:t>cf-art-7-inc-V</w:t>
      </w:r>
      <w:r>
        <w:rPr>
          <w:color w:val="003CA0"/>
          <w:sz w:val="12"/>
        </w:rPr>
        <w:t xml:space="preserve"> | ADI 4.364</w:t>
      </w:r>
      <w:r>
        <w:rPr>
          <w:color w:val="003CA0"/>
          <w:sz w:val="12"/>
        </w:rPr>
        <w:t xml:space="preserve"> | rel. Dias Toffoli</w:t>
      </w:r>
    </w:p>
    <w:p>
      <w:pPr>
        <w:ind w:left="288"/>
      </w:pPr>
      <w:r>
        <w:rPr>
          <w:color w:val="1E1E1E"/>
          <w:sz w:val="18"/>
        </w:rPr>
        <w:t>Vide ADI 4.364 ED, rel. min. Dias Toffoli, j. 29-5-2013, P, DJE de 20-9-2013</w:t>
      </w:r>
    </w:p>
    <w:p>
      <w:pPr>
        <w:ind w:left="144"/>
      </w:pPr>
      <w:r>
        <w:rPr>
          <w:b/>
          <w:color w:val="B45A00"/>
          <w:sz w:val="16"/>
        </w:rPr>
        <w:t>REPERCUSSAO GERAL</w:t>
      </w:r>
    </w:p>
    <w:p>
      <w:pPr>
        <w:ind w:left="288"/>
      </w:pPr>
      <w:r>
        <w:rPr>
          <w:color w:val="8C8C8C"/>
          <w:sz w:val="12"/>
        </w:rPr>
        <w:t>cf-art-7-inc-V</w:t>
      </w:r>
      <w:r>
        <w:rPr>
          <w:color w:val="003CA0"/>
          <w:sz w:val="12"/>
        </w:rPr>
        <w:t xml:space="preserve"> | RE 1.343.477</w:t>
      </w:r>
      <w:r>
        <w:rPr>
          <w:color w:val="003CA0"/>
          <w:sz w:val="12"/>
        </w:rPr>
        <w:t xml:space="preserve"> | rel. Luiz Fux</w:t>
      </w:r>
    </w:p>
    <w:p>
      <w:pPr>
        <w:ind w:left="288"/>
      </w:pPr>
      <w:r>
        <w:rPr>
          <w:color w:val="1E1E1E"/>
          <w:sz w:val="18"/>
        </w:rPr>
        <w:t>É infraconstitucional, a ela se aplicando os efeitos da ausência de repercussão geral, a controvérsia relativa ao cálculo do piso salarial devido aos professores da rede de educação básica, considerada a fixação de jornada inferior a 40 (quarenta) horas semanais e a distribuição da carga horária dentro e fora de sala de aula.</w:t>
        <w:br/>
        <w:t>[RE 1.343.477 RG, rel. min. Luiz Fux, j. 28-10-2021, P, DJE de 12-11-2021, Tema 1.179, com repercussão geral negada.]</w:t>
      </w:r>
    </w:p>
    <w:p>
      <w:pPr>
        <w:ind w:left="144"/>
      </w:pPr>
      <w:r>
        <w:rPr>
          <w:b/>
          <w:color w:val="B45A00"/>
          <w:sz w:val="16"/>
        </w:rPr>
        <w:t>CONTROLE CONCENTRADO</w:t>
      </w:r>
    </w:p>
    <w:p>
      <w:pPr>
        <w:ind w:left="288"/>
      </w:pPr>
      <w:r>
        <w:rPr>
          <w:color w:val="8C8C8C"/>
          <w:sz w:val="12"/>
        </w:rPr>
        <w:t>cf-art-7-inc-VI</w:t>
      </w:r>
      <w:r>
        <w:rPr>
          <w:color w:val="003CA0"/>
          <w:sz w:val="12"/>
        </w:rPr>
        <w:t xml:space="preserve"> | ADI 6.363</w:t>
      </w:r>
    </w:p>
    <w:p>
      <w:pPr>
        <w:ind w:left="288"/>
      </w:pPr>
      <w:r>
        <w:rPr>
          <w:color w:val="1E1E1E"/>
          <w:sz w:val="18"/>
        </w:rPr>
        <w:t>A temporariedade e a excepcionalidade da medida, que é destinada (...) a manter empregos e a atividade econômica nacional, a proporcionalidade, porque há uma redução remuneratória com redução da carga horária, além da complementação parcial por parte do Poder Público, e a finalidade maior da medida provisória de preservar o vínculo trabalhista e a renda do trabalhador para a sua subsistência, para a subsistência da sua família, estão (...) em absoluta consonância com uma proteção social ao emprego, ao trabalho, a proteção à dignidade da pessoa humana, o respeito aos valores sociais do trabalho</w:t>
      </w:r>
    </w:p>
    <w:p>
      <w:pPr>
        <w:ind w:left="288"/>
      </w:pPr>
      <w:r>
        <w:rPr>
          <w:b/>
          <w:color w:val="003CA0"/>
          <w:sz w:val="16"/>
        </w:rPr>
        <w:t>[ADI 6.363 MC-Ref, voto do redator do acórdão Min. Alexandre de Moraes, j. 17-4-2020, P, DJE de 24-11-2020.]</w:t>
      </w:r>
    </w:p>
    <w:p>
      <w:pPr>
        <w:ind w:left="288"/>
      </w:pPr>
      <w:r>
        <w:rPr>
          <w:color w:val="8C8C8C"/>
          <w:sz w:val="12"/>
        </w:rPr>
        <w:t>cf-art-7-inc-VI</w:t>
      </w:r>
      <w:r>
        <w:rPr>
          <w:color w:val="003CA0"/>
          <w:sz w:val="12"/>
        </w:rPr>
        <w:t xml:space="preserve"> | ARE 1.514.806</w:t>
      </w:r>
      <w:r>
        <w:rPr>
          <w:color w:val="003CA0"/>
          <w:sz w:val="12"/>
        </w:rPr>
        <w:t xml:space="preserve"> | rel. Luís Roberto Barroso</w:t>
      </w:r>
    </w:p>
    <w:p>
      <w:pPr>
        <w:ind w:left="288"/>
      </w:pPr>
      <w:r>
        <w:rPr>
          <w:color w:val="1E1E1E"/>
          <w:sz w:val="18"/>
        </w:rPr>
        <w:t>“É infraconstitucional e pressupõe o exame de matéria fática a controvérsia sobre a redução de vencimentos de policiais militares do Estado de Pernambuco após a edição da Lei Complementar estadual nº 169/2011”.</w:t>
      </w:r>
    </w:p>
    <w:p>
      <w:pPr>
        <w:ind w:left="288"/>
      </w:pPr>
      <w:r>
        <w:rPr>
          <w:b/>
          <w:color w:val="003CA0"/>
          <w:sz w:val="16"/>
        </w:rPr>
        <w:t>[ARE 1.514.806 RG, rel. min. Luís Roberto Barroso, j. 04.10.2024, P, DJE de 09.10.2024, Tema 1.327, com repercussão geral negada.]</w:t>
      </w:r>
    </w:p>
    <w:p>
      <w:pPr>
        <w:ind w:left="144"/>
      </w:pPr>
      <w:r>
        <w:rPr>
          <w:b/>
          <w:color w:val="B45A00"/>
          <w:sz w:val="16"/>
        </w:rPr>
        <w:t>JULGADOS CORRELATOS</w:t>
      </w:r>
    </w:p>
    <w:p>
      <w:pPr>
        <w:ind w:left="288"/>
      </w:pPr>
      <w:r>
        <w:rPr>
          <w:color w:val="8C8C8C"/>
          <w:sz w:val="12"/>
        </w:rPr>
        <w:t>cf-art-7-inc-VI</w:t>
      </w:r>
      <w:r>
        <w:rPr>
          <w:color w:val="003CA0"/>
          <w:sz w:val="12"/>
        </w:rPr>
        <w:t xml:space="preserve"> | RE 599.618</w:t>
      </w:r>
      <w:r>
        <w:rPr>
          <w:color w:val="003CA0"/>
          <w:sz w:val="12"/>
        </w:rPr>
        <w:t xml:space="preserve"> | rel. Cármen Lúcia</w:t>
      </w:r>
    </w:p>
    <w:p>
      <w:pPr>
        <w:ind w:left="288"/>
      </w:pPr>
      <w:r>
        <w:rPr>
          <w:color w:val="1E1E1E"/>
          <w:sz w:val="18"/>
        </w:rPr>
        <w:t>Transposição do regime celetista para o estatutário. Inexistência de direito adquirido a regime jurídico. Possibilidade de diminuição ou supressão de vantagens sem redução do valor da remuneração.</w:t>
      </w:r>
    </w:p>
    <w:p>
      <w:pPr>
        <w:ind w:left="288"/>
      </w:pPr>
      <w:r>
        <w:rPr>
          <w:b/>
          <w:color w:val="003CA0"/>
          <w:sz w:val="16"/>
        </w:rPr>
        <w:t>[RE 599.618 ED, rel. min. Cármen Lúcia, j. 1º-2-2011, 1ª T, DJE de 14-3-2011.]</w:t>
      </w:r>
    </w:p>
    <w:p>
      <w:pPr>
        <w:ind w:left="288"/>
      </w:pPr>
      <w:r>
        <w:rPr>
          <w:color w:val="8C8C8C"/>
          <w:sz w:val="12"/>
        </w:rPr>
        <w:t>cf-art-7-inc-VI</w:t>
      </w:r>
      <w:r>
        <w:rPr>
          <w:color w:val="003CA0"/>
          <w:sz w:val="12"/>
        </w:rPr>
        <w:t xml:space="preserve"> | RE 212.131</w:t>
      </w:r>
      <w:r>
        <w:rPr>
          <w:color w:val="003CA0"/>
          <w:sz w:val="12"/>
        </w:rPr>
        <w:t xml:space="preserve"> | rel. Ilmar Galvão</w:t>
      </w:r>
    </w:p>
    <w:p>
      <w:pPr>
        <w:ind w:left="288"/>
      </w:pPr>
      <w:r>
        <w:rPr>
          <w:color w:val="1E1E1E"/>
          <w:sz w:val="18"/>
        </w:rPr>
        <w:t xml:space="preserve">Vide RE 212.131, rel. min. Ilmar Galvão, j. 3-8-1999, 1ª T, DJ de 29-10-1999 Funcionário público. Conversão compulsória do regime contratual em estatutário. Redução verificada na remuneração. Art. 7º, VI, c/c art. 39, § 2º, da Constituição. Situação incompatível com o princípio da irredutibilidade que protegia os salários e protege os vencimentos do servidor, exsurgindo, como solução razoável para o impasse, o enquadramento do servidor do nível mais alto da categoria funcional que veio a integrar, convertido, ainda, eventual excesso remuneratório verificado em vantagem pessoal a ser absorvida </w:t>
      </w:r>
    </w:p>
    <w:p>
      <w:pPr>
        <w:ind w:left="288"/>
      </w:pPr>
      <w:r>
        <w:rPr>
          <w:b/>
          <w:color w:val="003CA0"/>
          <w:sz w:val="16"/>
        </w:rPr>
        <w:t>[RE 212.131, rel. min. Ilmar Galvão, j. 3-8-1999, 1ª T, DJ de 29-10-1999.]</w:t>
      </w:r>
    </w:p>
    <w:p>
      <w:pPr>
        <w:ind w:left="288"/>
      </w:pPr>
      <w:r>
        <w:rPr>
          <w:color w:val="8C8C8C"/>
          <w:sz w:val="12"/>
        </w:rPr>
        <w:t>cf-art-7-inc-VI</w:t>
      </w:r>
      <w:r>
        <w:rPr>
          <w:color w:val="003CA0"/>
          <w:sz w:val="12"/>
        </w:rPr>
        <w:t xml:space="preserve"> | AI 794.665</w:t>
      </w:r>
      <w:r>
        <w:rPr>
          <w:color w:val="003CA0"/>
          <w:sz w:val="12"/>
        </w:rPr>
        <w:t xml:space="preserve"> | rel. Cármen Lúcia</w:t>
      </w:r>
    </w:p>
    <w:p>
      <w:pPr>
        <w:ind w:left="288"/>
      </w:pPr>
      <w:r>
        <w:rPr>
          <w:color w:val="1E1E1E"/>
          <w:sz w:val="18"/>
        </w:rPr>
        <w:t>= AI 794.665 AgR, rel. min. Cármen Lúcia, j. 9-11-2010, 1ª T, DJE de 30-11-2010 Vide RE 599.618 ED, rel. min. Cármen Lúcia, j. 1º-2-2011, 1ª T, DJE de 14-3-2011</w:t>
      </w:r>
    </w:p>
    <w:p>
      <w:pPr>
        <w:ind w:left="144"/>
      </w:pPr>
      <w:r>
        <w:rPr>
          <w:b/>
          <w:color w:val="B45A00"/>
          <w:sz w:val="16"/>
        </w:rPr>
        <w:t>SUMULA VINCULANTE</w:t>
      </w:r>
    </w:p>
    <w:p>
      <w:pPr>
        <w:ind w:left="288"/>
      </w:pPr>
      <w:r>
        <w:rPr>
          <w:color w:val="8C8C8C"/>
          <w:sz w:val="12"/>
        </w:rPr>
        <w:t>cf-art-7-inc-VII</w:t>
      </w:r>
    </w:p>
    <w:p>
      <w:pPr>
        <w:ind w:left="288"/>
      </w:pPr>
      <w:r>
        <w:rPr>
          <w:color w:val="1E1E1E"/>
          <w:sz w:val="18"/>
        </w:rPr>
        <w:t>Não viola a Constituição o estabelecimento de remuneração inferior ao salário mínimo para as praças prestadoras de serviço militar inicial.</w:t>
      </w:r>
    </w:p>
    <w:p>
      <w:pPr>
        <w:ind w:left="288"/>
      </w:pPr>
      <w:r>
        <w:rPr>
          <w:b/>
          <w:color w:val="003CA0"/>
          <w:sz w:val="16"/>
        </w:rPr>
        <w:t>[Súmula Vinculante 6.]</w:t>
      </w:r>
    </w:p>
    <w:p>
      <w:pPr>
        <w:ind w:left="144"/>
      </w:pPr>
      <w:r>
        <w:rPr>
          <w:b/>
          <w:color w:val="B45A00"/>
          <w:sz w:val="16"/>
        </w:rPr>
        <w:t>CONTROLE CONCENTRADO</w:t>
      </w:r>
    </w:p>
    <w:p>
      <w:pPr>
        <w:ind w:left="288"/>
      </w:pPr>
      <w:r>
        <w:rPr>
          <w:color w:val="8C8C8C"/>
          <w:sz w:val="12"/>
        </w:rPr>
        <w:t>cf-art-7-inc-VII</w:t>
      </w:r>
      <w:r>
        <w:rPr>
          <w:color w:val="003CA0"/>
          <w:sz w:val="12"/>
        </w:rPr>
        <w:t xml:space="preserve"> | ADI 5.322</w:t>
      </w:r>
      <w:r>
        <w:rPr>
          <w:color w:val="003CA0"/>
          <w:sz w:val="12"/>
        </w:rPr>
        <w:t xml:space="preserve"> | rel. Alexandre de Moraes</w:t>
      </w:r>
    </w:p>
    <w:p>
      <w:pPr>
        <w:ind w:left="288"/>
      </w:pPr>
      <w:r>
        <w:rPr>
          <w:color w:val="1E1E1E"/>
          <w:sz w:val="18"/>
        </w:rPr>
        <w:t>Não há inconstitucionalidade da norma que prevê o pagamento do motorista profissional por meio de remuneração variável, que, inclusive, possui assento constitucional, conforme disposto no inciso VII do art. 7º da Constituição Federal.</w:t>
        <w:br/>
        <w:t>[ADI 5.322, rel. min. Alexandre de Moraes, j. 3-7-2023, P, DJE de 30-8-2023.]</w:t>
      </w:r>
    </w:p>
    <w:p>
      <w:pPr>
        <w:ind w:left="144"/>
      </w:pPr>
      <w:r>
        <w:rPr>
          <w:b/>
          <w:color w:val="B45A00"/>
          <w:sz w:val="16"/>
        </w:rPr>
        <w:t>REPERCUSSAO GERAL</w:t>
      </w:r>
    </w:p>
    <w:p>
      <w:pPr>
        <w:ind w:left="288"/>
      </w:pPr>
      <w:r>
        <w:rPr>
          <w:color w:val="8C8C8C"/>
          <w:sz w:val="12"/>
        </w:rPr>
        <w:t>cf-art-7-inc-VII</w:t>
      </w:r>
      <w:r>
        <w:rPr>
          <w:color w:val="003CA0"/>
          <w:sz w:val="12"/>
        </w:rPr>
        <w:t xml:space="preserve"> | RE 570.177</w:t>
      </w:r>
      <w:r>
        <w:rPr>
          <w:color w:val="003CA0"/>
          <w:sz w:val="12"/>
        </w:rPr>
        <w:t xml:space="preserve"> | rel. Ricardo Lewandowski</w:t>
      </w:r>
    </w:p>
    <w:p>
      <w:pPr>
        <w:ind w:left="288"/>
      </w:pPr>
      <w:r>
        <w:rPr>
          <w:color w:val="1E1E1E"/>
          <w:sz w:val="18"/>
        </w:rPr>
        <w:t>Serviço militar obrigatório. Soldo. Valor inferior ao salário mínimo. Violação aos arts. 1º, III; 5º, caput; e 7º, IV, da CF. Inocorrência. (...) A CF não estendeu aos militares a garantia de remuneração não inferior ao salário mínimo, como o fez para outras categorias de trabalhadores. O regime a que submetem os militares não se confunde com aquele aplicável aos servidores civis, visto que têm direitos, garantias, prerrogativas e impedimentos próprios. Os cidadãos que prestam serviço militar obrigatório exercem um múnus público relacionado com a defesa da soberania da pátria. A obrigação do E</w:t>
      </w:r>
    </w:p>
    <w:p>
      <w:pPr>
        <w:ind w:left="144"/>
      </w:pPr>
      <w:r>
        <w:rPr>
          <w:b/>
          <w:color w:val="B45A00"/>
          <w:sz w:val="16"/>
        </w:rPr>
        <w:t>JULGADOS CORRELATOS</w:t>
      </w:r>
    </w:p>
    <w:p>
      <w:pPr>
        <w:ind w:left="288"/>
      </w:pPr>
      <w:r>
        <w:rPr>
          <w:color w:val="8C8C8C"/>
          <w:sz w:val="12"/>
        </w:rPr>
        <w:t>cf-art-7-inc-VIII</w:t>
      </w:r>
      <w:r>
        <w:rPr>
          <w:color w:val="003CA0"/>
          <w:sz w:val="12"/>
        </w:rPr>
        <w:t xml:space="preserve"> | RE 260.922</w:t>
      </w:r>
      <w:r>
        <w:rPr>
          <w:color w:val="003CA0"/>
          <w:sz w:val="12"/>
        </w:rPr>
        <w:t xml:space="preserve"> | rel. Marco Aurélio</w:t>
      </w:r>
    </w:p>
    <w:p>
      <w:pPr>
        <w:ind w:left="288"/>
      </w:pPr>
      <w:r>
        <w:rPr>
          <w:color w:val="1E1E1E"/>
          <w:sz w:val="18"/>
        </w:rPr>
        <w:t>A natureza da gratificação natalina é remuneratória e integra, para todos os efeitos, a remuneração do empregado, conforme estabelece a Súmula 207/STF.</w:t>
      </w:r>
    </w:p>
    <w:p>
      <w:pPr>
        <w:ind w:left="288"/>
      </w:pPr>
      <w:r>
        <w:rPr>
          <w:b/>
          <w:color w:val="003CA0"/>
          <w:sz w:val="16"/>
        </w:rPr>
        <w:t>[RE 260.922, rel. min. Marco Aurélio, red.do ac. min. Maurício Corrêa, j. 30-5-2000, 2ª T, DJ de 20-10-2000.]</w:t>
      </w:r>
    </w:p>
    <w:p>
      <w:pPr>
        <w:ind w:left="288"/>
      </w:pPr>
      <w:r>
        <w:rPr>
          <w:color w:val="8C8C8C"/>
          <w:sz w:val="12"/>
        </w:rPr>
        <w:t>cf-art-7-inc-VIII</w:t>
      </w:r>
    </w:p>
    <w:p>
      <w:pPr>
        <w:ind w:left="288"/>
      </w:pPr>
      <w:r>
        <w:rPr>
          <w:color w:val="1E1E1E"/>
          <w:sz w:val="18"/>
        </w:rPr>
        <w:t>IX - remuneração do trabalho noturno superior à do diurno;</w:t>
      </w:r>
    </w:p>
    <w:p>
      <w:pPr>
        <w:ind w:left="288"/>
      </w:pPr>
      <w:r>
        <w:rPr>
          <w:color w:val="8C8C8C"/>
          <w:sz w:val="12"/>
        </w:rPr>
        <w:t>cf-art-7-inc-VIII</w:t>
      </w:r>
      <w:r>
        <w:rPr>
          <w:color w:val="003CA0"/>
          <w:sz w:val="12"/>
        </w:rPr>
        <w:t xml:space="preserve"> | RE 185.312</w:t>
      </w:r>
      <w:r>
        <w:rPr>
          <w:color w:val="003CA0"/>
          <w:sz w:val="12"/>
        </w:rPr>
        <w:t xml:space="preserve"> | rel. Menezes Direito</w:t>
      </w:r>
    </w:p>
    <w:p>
      <w:pPr>
        <w:ind w:left="288"/>
      </w:pPr>
      <w:r>
        <w:rPr>
          <w:color w:val="1E1E1E"/>
          <w:sz w:val="18"/>
        </w:rPr>
        <w:t>Gratificação especial de trabalho policial. Adicional noturno. (...) Não malfere o disposto no art. 7º, IX, da CF a interpretação oferecida pelas instâncias ordinárias que consideraram que a gratificação chamada Regime Especial de Trabalho Policial (RETP), como expressamente previsto na legislação de regência, alcança o trabalho em horário irregular, incluído o regime de plantões noturno. Interpretação em outra direção conflita com o disposto no art. 37, XIV, da CF.</w:t>
      </w:r>
    </w:p>
    <w:p>
      <w:pPr>
        <w:ind w:left="288"/>
      </w:pPr>
      <w:r>
        <w:rPr>
          <w:b/>
          <w:color w:val="003CA0"/>
          <w:sz w:val="16"/>
        </w:rPr>
        <w:t>[RE 185.312, rel. min. Menezes Direito, j. 15-4-2008, 2ª T, DJE de 30-5-2008.]</w:t>
      </w:r>
    </w:p>
    <w:p>
      <w:pPr>
        <w:ind w:left="288"/>
      </w:pPr>
      <w:r>
        <w:rPr>
          <w:color w:val="8C8C8C"/>
          <w:sz w:val="12"/>
        </w:rPr>
        <w:t>cf-art-7-inc-X</w:t>
      </w:r>
      <w:r>
        <w:rPr>
          <w:color w:val="003CA0"/>
          <w:sz w:val="12"/>
        </w:rPr>
        <w:t xml:space="preserve"> | ADO 82</w:t>
      </w:r>
      <w:r>
        <w:rPr>
          <w:color w:val="003CA0"/>
          <w:sz w:val="12"/>
        </w:rPr>
        <w:t xml:space="preserve"> | rel. Maria Thereza de Assis Moura</w:t>
      </w:r>
    </w:p>
    <w:p>
      <w:pPr>
        <w:ind w:left="288"/>
      </w:pPr>
      <w:r>
        <w:rPr>
          <w:color w:val="1E1E1E"/>
          <w:sz w:val="18"/>
        </w:rPr>
        <w:t>O mandado de criminalização contido na parte final do inciso X do art. 7º da Constituição de 1988 é inédito. Surge com o texto constitucional vigente, não havendo norma equivalente – ou similar – nas constituições pretéritas, o que demonstra o compromisso da Constituição de 1988 – a Constituição Cidadã – com os trabalhadores urbanos e rurais, por serem eles socialmente mais vulneráveis. Não obstante, fato é que, transcorridas quase quatro décadas, o legislador ainda não procedeu à tipificação penal da retenção dolosa do salário do trabalhador, contra a determinação expressa do constituinte ori</w:t>
      </w:r>
    </w:p>
    <w:p>
      <w:pPr>
        <w:ind w:left="288"/>
      </w:pPr>
      <w:r>
        <w:rPr>
          <w:b/>
          <w:color w:val="003CA0"/>
          <w:sz w:val="16"/>
        </w:rPr>
        <w:t>[ADO 82, rel. min. Dias Toffoli, j. 26.05.2025, P, DJE de 04.06.2025.]</w:t>
      </w:r>
    </w:p>
    <w:p>
      <w:pPr>
        <w:ind w:left="288"/>
      </w:pPr>
      <w:r>
        <w:rPr>
          <w:color w:val="8C8C8C"/>
          <w:sz w:val="12"/>
        </w:rPr>
        <w:t>cf-art-7-inc-X</w:t>
      </w:r>
      <w:r>
        <w:rPr>
          <w:color w:val="003CA0"/>
          <w:sz w:val="12"/>
        </w:rPr>
        <w:t xml:space="preserve"> | ADI 7.728</w:t>
      </w:r>
      <w:r>
        <w:rPr>
          <w:color w:val="003CA0"/>
          <w:sz w:val="12"/>
        </w:rPr>
        <w:t xml:space="preserve"> | rel. Gilmar Mendes</w:t>
      </w:r>
    </w:p>
    <w:p>
      <w:pPr>
        <w:ind w:left="288"/>
      </w:pPr>
      <w:r>
        <w:rPr>
          <w:color w:val="1E1E1E"/>
          <w:sz w:val="18"/>
        </w:rPr>
        <w:t>XI - participação nos lucros, ou resultados, desvinculada da remuneração, e, excepcionalmente, participação na gestão da empresa, conforme definido em lei; Excepcional participação dos trabalhadores urbanos e rurais na gestão da empresa (CF, art. 7º, XI). Necessidade de regulamentação. Norma originária. Dever constitucional de legislar. Transcurso de prazo razoável para legislar. Omissão inconstitucional. Existência, no âmbito do Congresso Nacional, de diversos projetos de lei apresentados visando à regulamentação do adicional em questão. Inertia deliberandi das Casas Legislativas. Pedido julg</w:t>
      </w:r>
    </w:p>
    <w:p>
      <w:pPr>
        <w:ind w:left="288"/>
      </w:pPr>
      <w:r>
        <w:rPr>
          <w:b/>
          <w:color w:val="003CA0"/>
          <w:sz w:val="16"/>
        </w:rPr>
        <w:t>[ADI 7.728 , rel. min. Gilmar Mendes, j. 17.02.2025, P, DJE de 21.02.2025.]</w:t>
      </w:r>
    </w:p>
    <w:p>
      <w:pPr>
        <w:ind w:left="144"/>
      </w:pPr>
      <w:r>
        <w:rPr>
          <w:b/>
          <w:color w:val="B45A00"/>
          <w:sz w:val="16"/>
        </w:rPr>
        <w:t>CONTROLE CONCENTRADO</w:t>
      </w:r>
    </w:p>
    <w:p>
      <w:pPr>
        <w:ind w:left="288"/>
      </w:pPr>
      <w:r>
        <w:rPr>
          <w:color w:val="8C8C8C"/>
          <w:sz w:val="12"/>
        </w:rPr>
        <w:t>cf-art-7-inc-X</w:t>
      </w:r>
      <w:r>
        <w:rPr>
          <w:color w:val="003CA0"/>
          <w:sz w:val="12"/>
        </w:rPr>
        <w:t xml:space="preserve"> | ADI 5.417</w:t>
      </w:r>
      <w:r>
        <w:rPr>
          <w:color w:val="003CA0"/>
          <w:sz w:val="12"/>
        </w:rPr>
        <w:t xml:space="preserve"> | rel. Cármen Lúcia</w:t>
      </w:r>
    </w:p>
    <w:p>
      <w:pPr>
        <w:ind w:left="288"/>
      </w:pPr>
      <w:r>
        <w:rPr>
          <w:color w:val="1E1E1E"/>
          <w:sz w:val="18"/>
        </w:rPr>
        <w:t>Pela Constituição da República de 1988 se objetiva estimular a integração do trabalhador ao desenvolvimento da empresa pela participação negociada nos ganhos econômicos (inc. XI do art. 7º e § 4º do art. 218). Não de demonstra inconstitucionalidade de norma pela se prevê a participação nos lucros e resultados pelos trabalhadores das empresas estatais, de acordo com as diretrizes específicas elaboradas pelo Poder Executivo a que estejam submetidas respectivas entidades. As empresas estatais, embora sujeitas a controle público, são competentes para celebrar negociação coletiva sobre participação</w:t>
      </w:r>
    </w:p>
    <w:p>
      <w:pPr>
        <w:ind w:left="288"/>
      </w:pPr>
      <w:r>
        <w:rPr>
          <w:b/>
          <w:color w:val="003CA0"/>
          <w:sz w:val="16"/>
        </w:rPr>
        <w:t>[ADI 5.417, rel. min. Cármen Lúcia, j. 7-12-2020, P, DJE de 4-2-2021.]</w:t>
      </w:r>
    </w:p>
    <w:p>
      <w:pPr>
        <w:ind w:left="288"/>
      </w:pPr>
      <w:r>
        <w:rPr>
          <w:color w:val="8C8C8C"/>
          <w:sz w:val="12"/>
        </w:rPr>
        <w:t>cf-art-7-inc-X</w:t>
      </w:r>
      <w:r>
        <w:rPr>
          <w:color w:val="003CA0"/>
          <w:sz w:val="12"/>
        </w:rPr>
        <w:t xml:space="preserve"> | ADI 1.229</w:t>
      </w:r>
      <w:r>
        <w:rPr>
          <w:color w:val="003CA0"/>
          <w:sz w:val="12"/>
        </w:rPr>
        <w:t xml:space="preserve"> | rel. Edson Fachin</w:t>
      </w:r>
    </w:p>
    <w:p>
      <w:pPr>
        <w:ind w:left="288"/>
      </w:pPr>
      <w:r>
        <w:rPr>
          <w:color w:val="1E1E1E"/>
          <w:sz w:val="18"/>
        </w:rPr>
        <w:t>Constituição do Estado de Santa Catarina. Impugnação ao art. 14, II, da Constituição Estadual e ao inteiro teor da Lei Estadual disciplinadora 1.178/1994. (...) Normas que instituem a participação obrigatória de 1 (um) representante dos empregados, por eles indicado, mediante processo eletivo, no conselho de administração e na diretoria das empresas públicas, sociedades de economia mista e suas subsidiárias. Exercício do direito assegurado pelo art. 7º, XII, da CRFB/88. A gestão democrática, constitucionalmente contemplada no preceito alusivo aos direitos trabalhistas (CFRB/88, art. 7º, XI), é</w:t>
      </w:r>
    </w:p>
    <w:p>
      <w:pPr>
        <w:ind w:left="288"/>
      </w:pPr>
      <w:r>
        <w:rPr>
          <w:b/>
          <w:color w:val="003CA0"/>
          <w:sz w:val="16"/>
        </w:rPr>
        <w:t>[ADI 1.229, rel. min. Edson Fachin, j. 23-8-2019, P, DJE de 9-9-2019.]</w:t>
      </w:r>
    </w:p>
    <w:p>
      <w:pPr>
        <w:ind w:left="288"/>
      </w:pPr>
      <w:r>
        <w:rPr>
          <w:color w:val="8C8C8C"/>
          <w:sz w:val="12"/>
        </w:rPr>
        <w:t>cf-art-7-inc-X</w:t>
      </w:r>
      <w:r>
        <w:rPr>
          <w:color w:val="003CA0"/>
          <w:sz w:val="12"/>
        </w:rPr>
        <w:t xml:space="preserve"> | ADI 2.296</w:t>
      </w:r>
      <w:r>
        <w:rPr>
          <w:color w:val="003CA0"/>
          <w:sz w:val="12"/>
        </w:rPr>
        <w:t xml:space="preserve"> | rel. Sepúlveda Pertence</w:t>
      </w:r>
    </w:p>
    <w:p>
      <w:pPr>
        <w:ind w:left="288"/>
      </w:pPr>
      <w:r>
        <w:rPr>
          <w:color w:val="1E1E1E"/>
          <w:sz w:val="18"/>
        </w:rPr>
        <w:t>Participação dos empregados na gestão da empresa: admitida, com base no art. 7º, XI, CF, parece que, na eleição do representante, o sufrágio deve ser concedido apenas aos empregados em atividade, não aos inativos.</w:t>
      </w:r>
    </w:p>
    <w:p>
      <w:pPr>
        <w:ind w:left="288"/>
      </w:pPr>
      <w:r>
        <w:rPr>
          <w:b/>
          <w:color w:val="003CA0"/>
          <w:sz w:val="16"/>
        </w:rPr>
        <w:t>[ADI 2.296 MC, rel. min. Sepúlveda Pertence, j. 16-11-2000, P, DJ de 23-2-2001.]</w:t>
      </w:r>
    </w:p>
    <w:p>
      <w:pPr>
        <w:ind w:left="144"/>
      </w:pPr>
      <w:r>
        <w:rPr>
          <w:b/>
          <w:color w:val="B45A00"/>
          <w:sz w:val="16"/>
        </w:rPr>
        <w:t>REPERCUSSAO GERAL</w:t>
      </w:r>
    </w:p>
    <w:p>
      <w:pPr>
        <w:ind w:left="288"/>
      </w:pPr>
      <w:r>
        <w:rPr>
          <w:color w:val="8C8C8C"/>
          <w:sz w:val="12"/>
        </w:rPr>
        <w:t>cf-art-7-inc-X</w:t>
      </w:r>
      <w:r>
        <w:rPr>
          <w:color w:val="003CA0"/>
          <w:sz w:val="12"/>
        </w:rPr>
        <w:t xml:space="preserve"> | RE 569.441</w:t>
      </w:r>
    </w:p>
    <w:p>
      <w:pPr>
        <w:ind w:left="288"/>
      </w:pPr>
      <w:r>
        <w:rPr>
          <w:color w:val="1E1E1E"/>
          <w:sz w:val="18"/>
        </w:rPr>
        <w:t>Segundo afirmado por precedentes de ambas as Turmas deste STF, a eficácia do preceito veiculado pelo art. 7º, XI, da CF – inclusive no que se refere à natureza jurídica dos valores pagos a trabalhadores sob a forma de participação nos lucros para fins tributários – depende de regulamentação. Na medida em que a disciplina do direito à participação nos lucros somente se operou com a edição da MP 794/1994 e que o fato gerador em causa concretizou-se antes da vigência desse ato normativo, deve incidir, sobre os valores em questão, a respectiva contribuição previdenciária.</w:t>
      </w:r>
    </w:p>
    <w:p>
      <w:pPr>
        <w:ind w:left="288"/>
      </w:pPr>
      <w:r>
        <w:rPr>
          <w:b/>
          <w:color w:val="003CA0"/>
          <w:sz w:val="16"/>
        </w:rPr>
        <w:t>[RE 569.441, red. do ac. min. Teori Zavascki, j. 30-10-2014, P, DJE de 10-2-2015, Tema 344, com mérito julgado.]</w:t>
      </w:r>
    </w:p>
    <w:p>
      <w:pPr>
        <w:ind w:left="288"/>
      </w:pPr>
      <w:r>
        <w:rPr>
          <w:color w:val="8C8C8C"/>
          <w:sz w:val="12"/>
        </w:rPr>
        <w:t>cf-art-7-inc-XII</w:t>
      </w:r>
    </w:p>
    <w:p>
      <w:pPr>
        <w:ind w:left="288"/>
      </w:pPr>
      <w:r>
        <w:rPr>
          <w:color w:val="1E1E1E"/>
          <w:sz w:val="18"/>
        </w:rPr>
        <w:t>XIII - duração do trabalho normal não superior a oito horas diárias e quarenta e quatro semanais, facultada a compensação de horários e a redução da jornada, mediante acordo ou convenção coletiva de trabalho;</w:t>
      </w:r>
    </w:p>
    <w:p>
      <w:pPr>
        <w:ind w:left="144"/>
      </w:pPr>
      <w:r>
        <w:rPr>
          <w:b/>
          <w:color w:val="B45A00"/>
          <w:sz w:val="16"/>
        </w:rPr>
        <w:t>CONTROLE CONCENTRADO</w:t>
      </w:r>
    </w:p>
    <w:p>
      <w:pPr>
        <w:ind w:left="288"/>
      </w:pPr>
      <w:r>
        <w:rPr>
          <w:color w:val="8C8C8C"/>
          <w:sz w:val="12"/>
        </w:rPr>
        <w:t>cf-art-7-inc-XII</w:t>
      </w:r>
      <w:r>
        <w:rPr>
          <w:color w:val="003CA0"/>
          <w:sz w:val="12"/>
        </w:rPr>
        <w:t xml:space="preserve"> | ADI 5.322</w:t>
      </w:r>
      <w:r>
        <w:rPr>
          <w:color w:val="003CA0"/>
          <w:sz w:val="12"/>
        </w:rPr>
        <w:t xml:space="preserve"> | rel. Alexandre de Moraes</w:t>
      </w:r>
    </w:p>
    <w:p>
      <w:pPr>
        <w:ind w:left="288"/>
      </w:pPr>
      <w:r>
        <w:rPr>
          <w:color w:val="1E1E1E"/>
          <w:sz w:val="18"/>
        </w:rPr>
        <w:t>Inconstitucionalidade na exclusão do tempo de trabalho efetivo do motorista profissional, quando está à disposição do empregador durante o carregamento/descarregamento de mercadorias, ou ainda durante fiscalização em barreiras fiscais ou alfandegárias, conhecido como “tempo de espera”. Impossibilidade de decote da jornada normal de trabalho e nem da jornada extraordinária, sob pena de desvirtuar a própria relação jurídica trabalhista reconhecida. Inconstitucionalidade de normas da Lei 13.103/2015 ao prever hipótese de descanso de motorista com o veículo em movimento. Prejuízo ao efetivo descan</w:t>
      </w:r>
    </w:p>
    <w:p>
      <w:pPr>
        <w:ind w:left="144"/>
      </w:pPr>
      <w:r>
        <w:rPr>
          <w:b/>
          <w:color w:val="B45A00"/>
          <w:sz w:val="16"/>
        </w:rPr>
        <w:t>JULGADOS CORRELATOS</w:t>
      </w:r>
    </w:p>
    <w:p>
      <w:pPr>
        <w:ind w:left="288"/>
      </w:pPr>
      <w:r>
        <w:rPr>
          <w:color w:val="8C8C8C"/>
          <w:sz w:val="12"/>
        </w:rPr>
        <w:t>cf-art-7-inc-XII</w:t>
      </w:r>
      <w:r>
        <w:rPr>
          <w:color w:val="003CA0"/>
          <w:sz w:val="12"/>
        </w:rPr>
        <w:t xml:space="preserve"> | RE 563.851</w:t>
      </w:r>
      <w:r>
        <w:rPr>
          <w:color w:val="003CA0"/>
          <w:sz w:val="12"/>
        </w:rPr>
        <w:t xml:space="preserve"> | rel. Cezar Peluso</w:t>
      </w:r>
    </w:p>
    <w:p>
      <w:pPr>
        <w:ind w:left="288"/>
      </w:pPr>
      <w:r>
        <w:rPr>
          <w:color w:val="1E1E1E"/>
          <w:sz w:val="18"/>
        </w:rPr>
        <w:t>Não afronta o art. 7º, XIII, da Constituição da República a decisão que excepciona os ocupantes de cargos de gestão do controle de jornada de trabalho.</w:t>
      </w:r>
    </w:p>
    <w:p>
      <w:pPr>
        <w:ind w:left="288"/>
      </w:pPr>
      <w:r>
        <w:rPr>
          <w:b/>
          <w:color w:val="003CA0"/>
          <w:sz w:val="16"/>
        </w:rPr>
        <w:t>[RE 563.851 AgR, rel. min. Cezar Peluso, j. 26-2-2008, 2ª T, DJE de 28-3-2008.]</w:t>
      </w:r>
    </w:p>
    <w:p>
      <w:pPr>
        <w:ind w:left="288"/>
      </w:pPr>
      <w:r>
        <w:rPr>
          <w:color w:val="8C8C8C"/>
          <w:sz w:val="12"/>
        </w:rPr>
        <w:t>cf-art-7-inc-XII</w:t>
      </w:r>
      <w:r>
        <w:rPr>
          <w:color w:val="003CA0"/>
          <w:sz w:val="12"/>
        </w:rPr>
        <w:t xml:space="preserve"> | RE 325.550</w:t>
      </w:r>
      <w:r>
        <w:rPr>
          <w:color w:val="003CA0"/>
          <w:sz w:val="12"/>
        </w:rPr>
        <w:t xml:space="preserve"> | rel. Sepúlveda Pertence</w:t>
      </w:r>
    </w:p>
    <w:p>
      <w:pPr>
        <w:ind w:left="288"/>
      </w:pPr>
      <w:r>
        <w:rPr>
          <w:color w:val="1E1E1E"/>
          <w:sz w:val="18"/>
        </w:rPr>
        <w:t>(...) a apuração do salário-hora, para efeito de cálculo da hora extraordinária, há de ser feita, no caso do trabalhador mensalista, mediante a divisão do salário por 220, e não por 240 (...).</w:t>
      </w:r>
    </w:p>
    <w:p>
      <w:pPr>
        <w:ind w:left="288"/>
      </w:pPr>
      <w:r>
        <w:rPr>
          <w:b/>
          <w:color w:val="003CA0"/>
          <w:sz w:val="16"/>
        </w:rPr>
        <w:t>[RE 325.550, voto do rel. min. Sepúlveda Pertence, j. 26-2-2002, 1ª T, DJ de 5-4-2002.]</w:t>
      </w:r>
    </w:p>
    <w:p>
      <w:pPr>
        <w:ind w:left="288"/>
      </w:pPr>
      <w:r>
        <w:rPr>
          <w:color w:val="8C8C8C"/>
          <w:sz w:val="12"/>
        </w:rPr>
        <w:t>cf-art-7-inc-XII</w:t>
      </w:r>
    </w:p>
    <w:p>
      <w:pPr>
        <w:ind w:left="288"/>
      </w:pPr>
      <w:r>
        <w:rPr>
          <w:color w:val="1E1E1E"/>
          <w:sz w:val="18"/>
        </w:rPr>
        <w:t>XIV - jornada de seis horas para o trabalho realizado em turnos ininterruptos de revezamento, salvo negociação coletiva;</w:t>
      </w:r>
    </w:p>
    <w:p>
      <w:pPr>
        <w:ind w:left="144"/>
      </w:pPr>
      <w:r>
        <w:rPr>
          <w:b/>
          <w:color w:val="B45A00"/>
          <w:sz w:val="16"/>
        </w:rPr>
        <w:t>SUMULA</w:t>
      </w:r>
    </w:p>
    <w:p>
      <w:pPr>
        <w:ind w:left="288"/>
      </w:pPr>
      <w:r>
        <w:rPr>
          <w:color w:val="8C8C8C"/>
          <w:sz w:val="12"/>
        </w:rPr>
        <w:t>cf-art-7-inc-XII</w:t>
      </w:r>
    </w:p>
    <w:p>
      <w:pPr>
        <w:ind w:left="288"/>
      </w:pPr>
      <w:r>
        <w:rPr>
          <w:color w:val="1E1E1E"/>
          <w:sz w:val="18"/>
        </w:rPr>
        <w:t>Os intervalos fixados para descanso e alimentação durante a jornada de seis horas não descaracterizam o sistema de turnos ininterruptos de revezamento para o efeito do art. 7º, XIV, da Constituição.</w:t>
      </w:r>
    </w:p>
    <w:p>
      <w:pPr>
        <w:ind w:left="288"/>
      </w:pPr>
      <w:r>
        <w:rPr>
          <w:b/>
          <w:color w:val="003CA0"/>
          <w:sz w:val="16"/>
        </w:rPr>
        <w:t>[Súmula 675.]</w:t>
      </w:r>
    </w:p>
    <w:p>
      <w:pPr>
        <w:ind w:left="144"/>
      </w:pPr>
      <w:r>
        <w:rPr>
          <w:b/>
          <w:color w:val="B45A00"/>
          <w:sz w:val="16"/>
        </w:rPr>
        <w:t>JULGADOS CORRELATOS</w:t>
      </w:r>
    </w:p>
    <w:p>
      <w:pPr>
        <w:ind w:left="288"/>
      </w:pPr>
      <w:r>
        <w:rPr>
          <w:color w:val="8C8C8C"/>
          <w:sz w:val="12"/>
        </w:rPr>
        <w:t>cf-art-7-inc-XII</w:t>
      </w:r>
      <w:r>
        <w:rPr>
          <w:color w:val="003CA0"/>
          <w:sz w:val="12"/>
        </w:rPr>
        <w:t xml:space="preserve"> | AI 543.614</w:t>
      </w:r>
      <w:r>
        <w:rPr>
          <w:color w:val="003CA0"/>
          <w:sz w:val="12"/>
        </w:rPr>
        <w:t xml:space="preserve"> | rel. Marco Aurélio</w:t>
      </w:r>
    </w:p>
    <w:p>
      <w:pPr>
        <w:ind w:left="288"/>
      </w:pPr>
      <w:r>
        <w:rPr>
          <w:color w:val="1E1E1E"/>
          <w:sz w:val="18"/>
        </w:rPr>
        <w:t>Não vulnera o inciso XIV do art. 7º da Carta Política da República, voltado à proteção dos trabalhadores, pronunciamento judicial em que se conclui que, contratado o prestador dos serviços para trabalhar em turnos ininterruptos mediante o salário-hora, a sétima e oitava horas são devidas como extraordinárias.</w:t>
      </w:r>
    </w:p>
    <w:p>
      <w:pPr>
        <w:ind w:left="288"/>
      </w:pPr>
      <w:r>
        <w:rPr>
          <w:b/>
          <w:color w:val="003CA0"/>
          <w:sz w:val="16"/>
        </w:rPr>
        <w:t>[AI 543.614 AgR, rel. min. Marco Aurélio, j. 18-10-2005, 1ª T, DJ de 9-12-2005.]</w:t>
      </w:r>
    </w:p>
    <w:p>
      <w:pPr>
        <w:ind w:left="288"/>
      </w:pPr>
      <w:r>
        <w:rPr>
          <w:color w:val="8C8C8C"/>
          <w:sz w:val="12"/>
        </w:rPr>
        <w:t>cf-art-7-inc-XII</w:t>
      </w:r>
      <w:r>
        <w:rPr>
          <w:color w:val="003CA0"/>
          <w:sz w:val="12"/>
        </w:rPr>
        <w:t xml:space="preserve"> | RE 205.815</w:t>
      </w:r>
      <w:r>
        <w:rPr>
          <w:color w:val="003CA0"/>
          <w:sz w:val="12"/>
        </w:rPr>
        <w:t xml:space="preserve"> | rel. Carlos Velloso</w:t>
      </w:r>
    </w:p>
    <w:p>
      <w:pPr>
        <w:ind w:left="288"/>
      </w:pPr>
      <w:r>
        <w:rPr>
          <w:color w:val="1E1E1E"/>
          <w:sz w:val="18"/>
        </w:rPr>
        <w:t>A expressão "ininterrupto" aplica-se a turnos, pois são eles que podem ser ininterruptos. Intraturno não há interrupção, mas suspensão ou, como nominado pela CLT, intervalo. A ininterrupção do texto constitucional diz com turnos entre si. Nada com as suspensões ou intervalos intraturnos. São os turnos que devem ser ininterruptos e não o trabalho da empresa. Circunscreve-se a expressão "turno" aos segmentos das 24 horas, pelo que se tem como irrelevante a paralisação coletiva do trabalho aos domingos. O trabalhador, por texto constitucional, tem direito ao repouso semanal remunerado. Se a empre</w:t>
      </w:r>
    </w:p>
    <w:p>
      <w:pPr>
        <w:ind w:left="288"/>
      </w:pPr>
      <w:r>
        <w:rPr>
          <w:b/>
          <w:color w:val="003CA0"/>
          <w:sz w:val="16"/>
        </w:rPr>
        <w:t>[RE 205.815, rel. min Carlos Velloso, red. do ac. min. Nelson Jobim, j. 4-12-1997, 1ª T, DJ de 2-10-1998.]</w:t>
      </w:r>
    </w:p>
    <w:p>
      <w:pPr>
        <w:ind w:left="288"/>
      </w:pPr>
      <w:r>
        <w:rPr>
          <w:color w:val="8C8C8C"/>
          <w:sz w:val="12"/>
        </w:rPr>
        <w:t>cf-art-7-inc-XII</w:t>
      </w:r>
    </w:p>
    <w:p>
      <w:pPr>
        <w:ind w:left="288"/>
      </w:pPr>
      <w:r>
        <w:rPr>
          <w:color w:val="1E1E1E"/>
          <w:sz w:val="18"/>
        </w:rPr>
        <w:t>XV - repouso semanal remunerado, preferencialmente aos domingos; XVI - remuneração do serviço extraordinário superior, no mínimo, em cinqüenta por cento à do normal;</w:t>
      </w:r>
    </w:p>
    <w:p>
      <w:pPr>
        <w:ind w:left="144"/>
      </w:pPr>
      <w:r>
        <w:rPr>
          <w:b/>
          <w:color w:val="B45A00"/>
          <w:sz w:val="16"/>
        </w:rPr>
        <w:t>CONTROLE CONCENTRADO</w:t>
      </w:r>
    </w:p>
    <w:p>
      <w:pPr>
        <w:ind w:left="288"/>
      </w:pPr>
      <w:r>
        <w:rPr>
          <w:color w:val="8C8C8C"/>
          <w:sz w:val="12"/>
        </w:rPr>
        <w:t>cf-art-7-inc-XII</w:t>
      </w:r>
      <w:r>
        <w:rPr>
          <w:color w:val="003CA0"/>
          <w:sz w:val="12"/>
        </w:rPr>
        <w:t xml:space="preserve"> | ADI 5.322</w:t>
      </w:r>
      <w:r>
        <w:rPr>
          <w:color w:val="003CA0"/>
          <w:sz w:val="12"/>
        </w:rPr>
        <w:t xml:space="preserve"> | rel. Alexandre de Moraes</w:t>
      </w:r>
    </w:p>
    <w:p>
      <w:pPr>
        <w:ind w:left="288"/>
      </w:pPr>
      <w:r>
        <w:rPr>
          <w:color w:val="1E1E1E"/>
          <w:sz w:val="18"/>
        </w:rPr>
        <w:t>CLT – Lei 13.103/2015. Possibilidade de regulamentação do exercício da profissão de motorista. (...) A Constituição Federal não determinou um limite máximo de prestação em serviço extraordinário, de modo que compete à negociação coletiva de trabalho examinar a possibilidade de prorrogação da jornada da categoria por até quatro horas, em sintonia com a previsão constitucional disciplinada no art. 7º, XXVI, da CF. Constitucionalidade da norma que prevê a possibilidade, excepcional e justificada, de o motorista profissional prorrogar a jornada de trabalho pelo tempo necessário até o veículo chega</w:t>
      </w:r>
    </w:p>
    <w:p>
      <w:pPr>
        <w:ind w:left="144"/>
      </w:pPr>
      <w:r>
        <w:rPr>
          <w:b/>
          <w:color w:val="B45A00"/>
          <w:sz w:val="16"/>
        </w:rPr>
        <w:t>JULGADOS CORRELATOS</w:t>
      </w:r>
    </w:p>
    <w:p>
      <w:pPr>
        <w:ind w:left="288"/>
      </w:pPr>
      <w:r>
        <w:rPr>
          <w:color w:val="8C8C8C"/>
          <w:sz w:val="12"/>
        </w:rPr>
        <w:t>cf-art-7-inc-XII</w:t>
      </w:r>
      <w:r>
        <w:rPr>
          <w:color w:val="003CA0"/>
          <w:sz w:val="12"/>
        </w:rPr>
        <w:t xml:space="preserve"> | AI 642.528</w:t>
      </w:r>
      <w:r>
        <w:rPr>
          <w:color w:val="003CA0"/>
          <w:sz w:val="12"/>
        </w:rPr>
        <w:t xml:space="preserve"> | rel. Dias Toffoli</w:t>
      </w:r>
    </w:p>
    <w:p>
      <w:pPr>
        <w:ind w:left="288"/>
      </w:pPr>
      <w:r>
        <w:rPr>
          <w:color w:val="1E1E1E"/>
          <w:sz w:val="18"/>
        </w:rPr>
        <w:t>O art. 7º, XVI, da CF, que cuida do direito dos trabalhadores urbanos e rurais à remuneração pelo serviço extraordinário com acréscimo de, no mínimo, 50%, aplica-se imediatamente aos servidores públicos, por consistir em norma autoaplicável.</w:t>
      </w:r>
    </w:p>
    <w:p>
      <w:pPr>
        <w:ind w:left="288"/>
      </w:pPr>
      <w:r>
        <w:rPr>
          <w:b/>
          <w:color w:val="003CA0"/>
          <w:sz w:val="16"/>
        </w:rPr>
        <w:t>[AI 642.528 AgR, rel. min. Dias Toffoli, j. 25-9-2012, 1ª T, DJE de 15-10-2012.]</w:t>
      </w:r>
    </w:p>
    <w:p>
      <w:pPr>
        <w:ind w:left="288"/>
      </w:pPr>
      <w:r>
        <w:rPr>
          <w:color w:val="8C8C8C"/>
          <w:sz w:val="12"/>
        </w:rPr>
        <w:t>cf-art-7-inc-XII</w:t>
      </w:r>
      <w:r>
        <w:rPr>
          <w:color w:val="003CA0"/>
          <w:sz w:val="12"/>
        </w:rPr>
        <w:t xml:space="preserve"> | RE 553.159</w:t>
      </w:r>
      <w:r>
        <w:rPr>
          <w:color w:val="003CA0"/>
          <w:sz w:val="12"/>
        </w:rPr>
        <w:t xml:space="preserve"> | rel. Ellen Gracie</w:t>
      </w:r>
    </w:p>
    <w:p>
      <w:pPr>
        <w:ind w:left="288"/>
      </w:pPr>
      <w:r>
        <w:rPr>
          <w:color w:val="1E1E1E"/>
          <w:sz w:val="18"/>
        </w:rPr>
        <w:t>O reconhecimento da ilegalidade do ato que majorou o percentual das horas extras incorporadas aos proventos não determina, automaticamente, a restituição ao erário dos valores recebidos, pois foi comprovada boa-fé do autor.</w:t>
      </w:r>
    </w:p>
    <w:p>
      <w:pPr>
        <w:ind w:left="288"/>
      </w:pPr>
      <w:r>
        <w:rPr>
          <w:b/>
          <w:color w:val="003CA0"/>
          <w:sz w:val="16"/>
        </w:rPr>
        <w:t>[RE 553.159 ED, rel. min. Ellen Gracie, j. 1º-12-2009, 2ª T, DJE de 18-12-2009.]</w:t>
      </w:r>
    </w:p>
    <w:p>
      <w:pPr>
        <w:ind w:left="288"/>
      </w:pPr>
      <w:r>
        <w:rPr>
          <w:color w:val="8C8C8C"/>
          <w:sz w:val="12"/>
        </w:rPr>
        <w:t>cf-art-7-inc-XII</w:t>
      </w:r>
      <w:r>
        <w:rPr>
          <w:color w:val="003CA0"/>
          <w:sz w:val="12"/>
        </w:rPr>
        <w:t xml:space="preserve"> | MS 22.455</w:t>
      </w:r>
      <w:r>
        <w:rPr>
          <w:color w:val="003CA0"/>
          <w:sz w:val="12"/>
        </w:rPr>
        <w:t xml:space="preserve"> | rel. Néri da Silveira</w:t>
      </w:r>
    </w:p>
    <w:p>
      <w:pPr>
        <w:ind w:left="288"/>
      </w:pPr>
      <w:r>
        <w:rPr>
          <w:color w:val="1E1E1E"/>
          <w:sz w:val="18"/>
        </w:rPr>
        <w:t>Ato administrativo que determinou a suspensão de pagamento de horas extras incorporadas ao salário dos impetrantes, por decisão do TCU. Entendimento assente no Tribunal de Contas deflui da aplicação de preceitos atinentes à limitação que as normas administrativas impõem à incidência da legislação trabalhista sobre os servidores públicos regidos pela CLT, à época em que tal situação podia configurar-se. Entendimento no sentido de que não é possível a coexistência das vantagens dos dois regimes funcionais. Ao ensejo da transferência do impetrante para o sistema estatutário, ut Lei 8.112/1990, há</w:t>
      </w:r>
    </w:p>
    <w:p>
      <w:pPr>
        <w:ind w:left="288"/>
      </w:pPr>
      <w:r>
        <w:rPr>
          <w:b/>
          <w:color w:val="003CA0"/>
          <w:sz w:val="16"/>
        </w:rPr>
        <w:t>[MS 22.455, rel. min. Néri da Silveira, j. 22-4-2002, P, DJ de 7-6-2002.]</w:t>
      </w:r>
    </w:p>
    <w:p>
      <w:pPr>
        <w:ind w:left="288"/>
      </w:pPr>
      <w:r>
        <w:rPr>
          <w:color w:val="8C8C8C"/>
          <w:sz w:val="12"/>
        </w:rPr>
        <w:t>cf-art-7-inc-XII</w:t>
      </w:r>
      <w:r>
        <w:rPr>
          <w:color w:val="003CA0"/>
          <w:sz w:val="12"/>
        </w:rPr>
        <w:t xml:space="preserve"> | AI 697.499</w:t>
      </w:r>
      <w:r>
        <w:rPr>
          <w:color w:val="003CA0"/>
          <w:sz w:val="12"/>
        </w:rPr>
        <w:t xml:space="preserve"> | rel. Ricardo Lewandowski</w:t>
      </w:r>
    </w:p>
    <w:p>
      <w:pPr>
        <w:ind w:left="288"/>
      </w:pPr>
      <w:r>
        <w:rPr>
          <w:color w:val="1E1E1E"/>
          <w:sz w:val="18"/>
        </w:rPr>
        <w:t>= AI 697.499 AgR, rel. min. Ricardo Lewandowski, j. 30-6-2009, 1ª T, DJE de 21-8-2009 XVII - gozo de férias anuais remuneradas com, pelo menos, um terço a mais do que o salário normal;</w:t>
      </w:r>
    </w:p>
    <w:p>
      <w:pPr>
        <w:ind w:left="144"/>
      </w:pPr>
      <w:r>
        <w:rPr>
          <w:b/>
          <w:color w:val="B45A00"/>
          <w:sz w:val="16"/>
        </w:rPr>
        <w:t>CONTROLE CONCENTRADO</w:t>
      </w:r>
    </w:p>
    <w:p>
      <w:pPr>
        <w:ind w:left="288"/>
      </w:pPr>
      <w:r>
        <w:rPr>
          <w:color w:val="8C8C8C"/>
          <w:sz w:val="12"/>
        </w:rPr>
        <w:t>cf-art-7-inc-XII</w:t>
      </w:r>
      <w:r>
        <w:rPr>
          <w:color w:val="003CA0"/>
          <w:sz w:val="12"/>
        </w:rPr>
        <w:t xml:space="preserve"> | ADI 2.964</w:t>
      </w:r>
      <w:r>
        <w:rPr>
          <w:color w:val="003CA0"/>
          <w:sz w:val="12"/>
        </w:rPr>
        <w:t xml:space="preserve"> | rel. Gilmar Mendes</w:t>
      </w:r>
    </w:p>
    <w:p>
      <w:pPr>
        <w:ind w:left="288"/>
      </w:pPr>
      <w:r>
        <w:rPr>
          <w:color w:val="1E1E1E"/>
          <w:sz w:val="18"/>
        </w:rPr>
        <w:t>(...) o Supremo entende que a limitação do adicional de férias anuais dos membros da magistratura e do ministério público constitui flagrante ofensa ao art. 7º, XVII, da Constituição Federal, que assegura aos trabalhadores em geral férias anuais remuneradas com adicional mínimo de um terço calculado sobre o salário normal. Desse modo, se as férias forem de sessenta dias (dois períodos de trinta dias), o adicional de um terço incidirá sobre o valor correspondente a dois salários, pois, caso contrário, se o adicional incidisse apenas sobre um período de trinta dias (salário mensal), as férias de</w:t>
      </w:r>
    </w:p>
    <w:p>
      <w:pPr>
        <w:ind w:left="288"/>
      </w:pPr>
      <w:r>
        <w:rPr>
          <w:b/>
          <w:color w:val="003CA0"/>
          <w:sz w:val="16"/>
        </w:rPr>
        <w:t>[ADI 2.964, rel. min. Gilmar Mendes, j. 9-5-2019, P, DJE de 1º-8-2019.]</w:t>
      </w:r>
    </w:p>
    <w:p>
      <w:pPr>
        <w:ind w:left="288"/>
      </w:pPr>
      <w:r>
        <w:rPr>
          <w:color w:val="8C8C8C"/>
          <w:sz w:val="12"/>
        </w:rPr>
        <w:t>cf-art-7-inc-XII</w:t>
      </w:r>
      <w:r>
        <w:rPr>
          <w:color w:val="003CA0"/>
          <w:sz w:val="12"/>
        </w:rPr>
        <w:t xml:space="preserve"> | ADI 2.579</w:t>
      </w:r>
      <w:r>
        <w:rPr>
          <w:color w:val="003CA0"/>
          <w:sz w:val="12"/>
        </w:rPr>
        <w:t xml:space="preserve"> | rel. Carlos Velloso</w:t>
      </w:r>
    </w:p>
    <w:p>
      <w:pPr>
        <w:ind w:left="288"/>
      </w:pPr>
      <w:r>
        <w:rPr>
          <w:color w:val="1E1E1E"/>
          <w:sz w:val="18"/>
        </w:rPr>
        <w:t>O direito às férias remuneradas é assegurado ao servidor público em atividade. O acréscimo de 1/3 da remuneração segue o principal: somente faz jus a esse acréscimo o servidor com direito ao gozo de férias remuneradas. CF, art. 7º, XVII. Servidor público aposentado não tem direito, obviamente, ao gozo de férias.</w:t>
      </w:r>
    </w:p>
    <w:p>
      <w:pPr>
        <w:ind w:left="288"/>
      </w:pPr>
      <w:r>
        <w:rPr>
          <w:b/>
          <w:color w:val="003CA0"/>
          <w:sz w:val="16"/>
        </w:rPr>
        <w:t>[ADI 2.579, rel. min. Carlos Velloso, j. 21-8-2003, P, DJ de 26-9-2003.]</w:t>
      </w:r>
    </w:p>
    <w:p>
      <w:pPr>
        <w:ind w:left="288"/>
      </w:pPr>
      <w:r>
        <w:rPr>
          <w:color w:val="8C8C8C"/>
          <w:sz w:val="12"/>
        </w:rPr>
        <w:t>cf-art-7-inc-XII</w:t>
      </w:r>
      <w:r>
        <w:rPr>
          <w:color w:val="003CA0"/>
          <w:sz w:val="12"/>
        </w:rPr>
        <w:t xml:space="preserve"> | ADI 1.158</w:t>
      </w:r>
      <w:r>
        <w:rPr>
          <w:color w:val="003CA0"/>
          <w:sz w:val="12"/>
        </w:rPr>
        <w:t xml:space="preserve"> | rel. Dias Toffoli</w:t>
      </w:r>
    </w:p>
    <w:p>
      <w:pPr>
        <w:ind w:left="288"/>
      </w:pPr>
      <w:r>
        <w:rPr>
          <w:color w:val="1E1E1E"/>
          <w:sz w:val="18"/>
        </w:rPr>
        <w:t>= ADI 1.158, rel. min. Dias Toffoli, j. 20-8-2014, P, DJE de 8-10-2014 “É infraconstitucional a controvérsia sobre os períodos de afastamento que devem ser incluídos no cálculo do terço constitucional de férias de servidores públicos”.</w:t>
      </w:r>
    </w:p>
    <w:p>
      <w:pPr>
        <w:ind w:left="288"/>
      </w:pPr>
      <w:r>
        <w:rPr>
          <w:b/>
          <w:color w:val="003CA0"/>
          <w:sz w:val="16"/>
        </w:rPr>
        <w:t>[RE 1.535.083 RG, rel. min. Luís Roberto Barroso, j. 06.05.2025, P, DJE de 09.05.2025, Tema 1.395, com repercussão geral negada.]</w:t>
      </w:r>
    </w:p>
    <w:p>
      <w:pPr>
        <w:ind w:left="288"/>
      </w:pPr>
      <w:r>
        <w:rPr>
          <w:color w:val="8C8C8C"/>
          <w:sz w:val="12"/>
        </w:rPr>
        <w:t>cf-art-7-inc-XII</w:t>
      </w:r>
      <w:r>
        <w:rPr>
          <w:color w:val="003CA0"/>
          <w:sz w:val="12"/>
        </w:rPr>
        <w:t xml:space="preserve"> | RE 1.072.485</w:t>
      </w:r>
      <w:r>
        <w:rPr>
          <w:color w:val="003CA0"/>
          <w:sz w:val="12"/>
        </w:rPr>
        <w:t xml:space="preserve"> | rel. Marco Aurélio</w:t>
      </w:r>
    </w:p>
    <w:p>
      <w:pPr>
        <w:ind w:left="288"/>
      </w:pPr>
      <w:r>
        <w:rPr>
          <w:color w:val="1E1E1E"/>
          <w:sz w:val="18"/>
        </w:rPr>
        <w:t>A mudança da jurisprudência é motivo ensejador de modulação dos efeitos, em respeito à segurança jurídica e ao sistema integrado de precedentes. CPC/2015 e decisões desta Corte. Embargos de declaração parcialmente providos, para atribuir efeitos ex nunc ao acórdão de mérito, a contar da publicação de sua ata de julgamento, ressalvadas as contribuições já pagas e não impugnadas judicialmente até essa mesma data, que não serão devolvidas pela União.</w:t>
      </w:r>
    </w:p>
    <w:p>
      <w:pPr>
        <w:ind w:left="288"/>
      </w:pPr>
      <w:r>
        <w:rPr>
          <w:b/>
          <w:color w:val="003CA0"/>
          <w:sz w:val="16"/>
        </w:rPr>
        <w:t>[RE 1.072.485 ED, rel. min. Marco Aurélio, red. do ac. min. Luís Roberto Barroso, j. 12.06.2024, P, DJE de 19.09.2024, Tema 985, com mérito julgado.]</w:t>
      </w:r>
    </w:p>
    <w:p>
      <w:pPr>
        <w:ind w:left="288"/>
      </w:pPr>
      <w:r>
        <w:rPr>
          <w:color w:val="8C8C8C"/>
          <w:sz w:val="12"/>
        </w:rPr>
        <w:t>cf-art-7-inc-XII</w:t>
      </w:r>
      <w:r>
        <w:rPr>
          <w:color w:val="003CA0"/>
          <w:sz w:val="12"/>
        </w:rPr>
        <w:t xml:space="preserve"> | RE 593.448</w:t>
      </w:r>
      <w:r>
        <w:rPr>
          <w:color w:val="003CA0"/>
          <w:sz w:val="12"/>
        </w:rPr>
        <w:t xml:space="preserve"> | rel. Edson Fachin</w:t>
      </w:r>
    </w:p>
    <w:p>
      <w:pPr>
        <w:ind w:left="288"/>
      </w:pPr>
      <w:r>
        <w:rPr>
          <w:color w:val="1E1E1E"/>
          <w:sz w:val="18"/>
        </w:rPr>
        <w:t>“No exercício da autonomia legislativa municipal, não pode o Município, ao disciplinar o regime jurídico de seus servidores, restringir o direito de férias a servidor em licença saúde de maneira a inviabilizar o gozo de férias anuais previsto no art. 7º, XVII da Constituição Federal de 1988”.</w:t>
      </w:r>
    </w:p>
    <w:p>
      <w:pPr>
        <w:ind w:left="288"/>
      </w:pPr>
      <w:r>
        <w:rPr>
          <w:b/>
          <w:color w:val="003CA0"/>
          <w:sz w:val="16"/>
        </w:rPr>
        <w:t>[RE 593.448, rel. min. Edson Fachin, j. 05.12.2022, P, DJE de 19.12.2022, Tema 221, com mérito julgado.]</w:t>
      </w:r>
    </w:p>
    <w:p>
      <w:pPr>
        <w:ind w:left="288"/>
      </w:pPr>
      <w:r>
        <w:rPr>
          <w:color w:val="8C8C8C"/>
          <w:sz w:val="12"/>
        </w:rPr>
        <w:t>cf-art-7-inc-XII</w:t>
      </w:r>
      <w:r>
        <w:rPr>
          <w:color w:val="003CA0"/>
          <w:sz w:val="12"/>
        </w:rPr>
        <w:t xml:space="preserve"> | RE 1.072.485</w:t>
      </w:r>
      <w:r>
        <w:rPr>
          <w:color w:val="003CA0"/>
          <w:sz w:val="12"/>
        </w:rPr>
        <w:t xml:space="preserve"> | rel. Marco Aurélio</w:t>
      </w:r>
    </w:p>
    <w:p>
      <w:pPr>
        <w:ind w:left="288"/>
      </w:pPr>
      <w:r>
        <w:rPr>
          <w:color w:val="1E1E1E"/>
          <w:sz w:val="18"/>
        </w:rPr>
        <w:t>É legítima a incidência de contribuição social sobre o valor satisfeito a título de terço constitucional de férias.</w:t>
        <w:br/>
        <w:t>[RE 1.072.485, rel. min. Marco Aurélio, j. 31-8-2020, P, DJE de 2-10-2020, Tema 985, com mérito julgado.] O direito individual às férias é adquirido após o período de doze meses trabalhados, sendo devido o pagamento do terço constitucional independente do exercício desse direito. A ausência de previsão legal não pode restringir o direito ao pagamento do terço constitucional aos servidores exonerados de cargos comissionados que não usufruíram férias. O não pagamento do terço const</w:t>
      </w:r>
    </w:p>
    <w:p>
      <w:pPr>
        <w:ind w:left="288"/>
      </w:pPr>
      <w:r>
        <w:rPr>
          <w:b/>
          <w:color w:val="003CA0"/>
          <w:sz w:val="16"/>
        </w:rPr>
        <w:t>[RE 570.908, rel. min. Cármen Lúcia, j. 16-9-2009, P, DJE de 12-3-2010, Tema 30, com mérito julgado.]</w:t>
      </w:r>
    </w:p>
    <w:p>
      <w:pPr>
        <w:ind w:left="144"/>
      </w:pPr>
      <w:r>
        <w:rPr>
          <w:b/>
          <w:color w:val="B45A00"/>
          <w:sz w:val="16"/>
        </w:rPr>
        <w:t>JULGADOS CORRELATOS</w:t>
      </w:r>
    </w:p>
    <w:p>
      <w:pPr>
        <w:ind w:left="288"/>
      </w:pPr>
      <w:r>
        <w:rPr>
          <w:color w:val="8C8C8C"/>
          <w:sz w:val="12"/>
        </w:rPr>
        <w:t>cf-art-7-inc-XII</w:t>
      </w:r>
      <w:r>
        <w:rPr>
          <w:color w:val="003CA0"/>
          <w:sz w:val="12"/>
        </w:rPr>
        <w:t xml:space="preserve"> | MS 26.739</w:t>
      </w:r>
      <w:r>
        <w:rPr>
          <w:color w:val="003CA0"/>
          <w:sz w:val="12"/>
        </w:rPr>
        <w:t xml:space="preserve"> | rel. Dias Toffoli</w:t>
      </w:r>
    </w:p>
    <w:p>
      <w:pPr>
        <w:ind w:left="288"/>
      </w:pPr>
      <w:r>
        <w:rPr>
          <w:color w:val="1E1E1E"/>
          <w:sz w:val="18"/>
        </w:rPr>
        <w:t>Ato do CNJ. Anulação da fixação de férias em sessenta dias para servidores de segunda instância da Justiça estadual mineira. (...) A conclusão do Supremo Tribunal pela inconstitucionalidade, a partir da EC 45/2004, das férias coletivas nos tribunais se aplica aos servidores do TJMG, cujo direito às férias de sessenta dias se estabeleceu em normativos fundamentados nas férias forenses coletivas.</w:t>
        <w:br/>
        <w:t>[MS 26.739, rel. min. Dias Toffoli, j. 1º-3-2016, 2ª T, DJE de 14-6-2016.]</w:t>
        <w:br/>
        <w:t>Vide ADI 3.085, rel. min. Eros Grau, j. 17-2-2005, P, DJ de 28-4-2006 É pacífica a jurisprudência desta Corte no sentido de que</w:t>
      </w:r>
    </w:p>
    <w:p>
      <w:pPr>
        <w:ind w:left="288"/>
      </w:pPr>
      <w:r>
        <w:rPr>
          <w:b/>
          <w:color w:val="003CA0"/>
          <w:sz w:val="16"/>
        </w:rPr>
        <w:t>[RE 234.485 AgR, rel. min. Dias Toffoli, j. 2-8-2011, 1ª T, DJE de 19-9-2011.]</w:t>
      </w:r>
    </w:p>
    <w:p>
      <w:pPr>
        <w:ind w:left="288"/>
      </w:pPr>
      <w:r>
        <w:rPr>
          <w:color w:val="8C8C8C"/>
          <w:sz w:val="12"/>
        </w:rPr>
        <w:t>cf-art-7-inc-XII</w:t>
      </w:r>
      <w:r>
        <w:rPr>
          <w:color w:val="003CA0"/>
          <w:sz w:val="12"/>
        </w:rPr>
        <w:t xml:space="preserve"> | RE 587.941</w:t>
      </w:r>
      <w:r>
        <w:rPr>
          <w:color w:val="003CA0"/>
          <w:sz w:val="12"/>
        </w:rPr>
        <w:t xml:space="preserve"> | rel. Celso de Mello</w:t>
      </w:r>
    </w:p>
    <w:p>
      <w:pPr>
        <w:ind w:left="288"/>
      </w:pPr>
      <w:r>
        <w:rPr>
          <w:color w:val="1E1E1E"/>
          <w:sz w:val="18"/>
        </w:rPr>
        <w:t>O STF, em sucessivos julgamentos, firmou entendimento no sentido da não incidência de contribuição social sobre o adicional de um terço, a que se refere o art. 7º, XVII, da CF. Precedentes.</w:t>
      </w:r>
    </w:p>
    <w:p>
      <w:pPr>
        <w:ind w:left="288"/>
      </w:pPr>
      <w:r>
        <w:rPr>
          <w:b/>
          <w:color w:val="003CA0"/>
          <w:sz w:val="16"/>
        </w:rPr>
        <w:t>[RE 587.941 AgR, rel. min. Celso de Mello, j. 30-9-2008, 2ª T, DJE de 21-11-2008.]</w:t>
      </w:r>
    </w:p>
    <w:p>
      <w:pPr>
        <w:ind w:left="288"/>
      </w:pPr>
      <w:r>
        <w:rPr>
          <w:color w:val="8C8C8C"/>
          <w:sz w:val="12"/>
        </w:rPr>
        <w:t>cf-art-7-inc-XII</w:t>
      </w:r>
      <w:r>
        <w:rPr>
          <w:color w:val="003CA0"/>
          <w:sz w:val="12"/>
        </w:rPr>
        <w:t xml:space="preserve"> | AI 710.361</w:t>
      </w:r>
      <w:r>
        <w:rPr>
          <w:color w:val="003CA0"/>
          <w:sz w:val="12"/>
        </w:rPr>
        <w:t xml:space="preserve"> | rel. Cármen Lúcia</w:t>
      </w:r>
    </w:p>
    <w:p>
      <w:pPr>
        <w:ind w:left="288"/>
      </w:pPr>
      <w:r>
        <w:rPr>
          <w:color w:val="1E1E1E"/>
          <w:sz w:val="18"/>
        </w:rPr>
        <w:t>= AI 710.361 AgR, rel. min. Cármen Lúcia, j. 7-4-2009, 1ª T, DJE de 8-5-2009 O STF já se posicionou pela possibilidade de compensação da gratificação denominada pós-férias, instituída por norma coletiva, com o adicional de 1/3 sobre as férias, previsto no inciso XVII do art. 7º da Magna Carta. Precedentes: AI 360.306 AgR, rel. min. Moreira Alves; AI 401.304 AgR e AI 506.362 AgR, rel. min. Sepúlveda Pertence; e RE 380.960, de minha relatoria.</w:t>
      </w:r>
    </w:p>
    <w:p>
      <w:pPr>
        <w:ind w:left="288"/>
      </w:pPr>
      <w:r>
        <w:rPr>
          <w:b/>
          <w:color w:val="003CA0"/>
          <w:sz w:val="16"/>
        </w:rPr>
        <w:t>[AI 513.027 AgR, rel. min. Ayres Britto, j. 29-6-2006, 1ª T, DJ de 8-9-2006.]</w:t>
      </w:r>
    </w:p>
    <w:p>
      <w:pPr>
        <w:ind w:left="288"/>
      </w:pPr>
      <w:r>
        <w:rPr>
          <w:color w:val="8C8C8C"/>
          <w:sz w:val="12"/>
        </w:rPr>
        <w:t>cf-art-7-inc-XII</w:t>
      </w:r>
      <w:r>
        <w:rPr>
          <w:color w:val="003CA0"/>
          <w:sz w:val="12"/>
        </w:rPr>
        <w:t xml:space="preserve"> | ADI 7.524</w:t>
      </w:r>
      <w:r>
        <w:rPr>
          <w:color w:val="003CA0"/>
          <w:sz w:val="12"/>
        </w:rPr>
        <w:t xml:space="preserve"> | rel. Nunes Marques</w:t>
      </w:r>
    </w:p>
    <w:p>
      <w:pPr>
        <w:ind w:left="288"/>
      </w:pPr>
      <w:r>
        <w:rPr>
          <w:color w:val="1E1E1E"/>
          <w:sz w:val="18"/>
        </w:rPr>
        <w:t>XVIII - licença à gestante, sem prejuízo do emprego e do salário, com a duração de cento e vinte dias; A jurisprudência do STF estabelece que não pode haver discriminação entre mães biológicas e adotantes, uma vez que a licença-maternidade não visa apenas atender à necessidade biológica de recuperação da mulher após o processo de gestação e parto, mas também privilegiar outros valores importantes, tais como o convívio da criança com os pais, o desenvolvimento do vínculo afetivo e a adaptação da criança ao núcleo familiar. (...) É inconstitucional a imposição de limites temporais à licença-mate</w:t>
      </w:r>
    </w:p>
    <w:p>
      <w:pPr>
        <w:ind w:left="288"/>
      </w:pPr>
      <w:r>
        <w:rPr>
          <w:b/>
          <w:color w:val="003CA0"/>
          <w:sz w:val="16"/>
        </w:rPr>
        <w:t>[ADI 7.524, rel. min. Nunes Marques, j. 30-10-2025, P, DJE de 13-2-2026.]</w:t>
      </w:r>
    </w:p>
    <w:p>
      <w:pPr>
        <w:ind w:left="288"/>
      </w:pPr>
      <w:r>
        <w:rPr>
          <w:color w:val="8C8C8C"/>
          <w:sz w:val="12"/>
        </w:rPr>
        <w:t>cf-art-7-inc-XII</w:t>
      </w:r>
      <w:r>
        <w:rPr>
          <w:color w:val="003CA0"/>
          <w:sz w:val="12"/>
        </w:rPr>
        <w:t xml:space="preserve"> | ADI 7.532</w:t>
      </w:r>
      <w:r>
        <w:rPr>
          <w:color w:val="003CA0"/>
          <w:sz w:val="12"/>
        </w:rPr>
        <w:t xml:space="preserve"> | rel. André Mendonça</w:t>
      </w:r>
    </w:p>
    <w:p>
      <w:pPr>
        <w:ind w:left="288"/>
      </w:pPr>
      <w:r>
        <w:rPr>
          <w:color w:val="1E1E1E"/>
          <w:sz w:val="18"/>
        </w:rPr>
        <w:t>A servidora pública gestante tem direito ao gozo de licença-maternidade, independentemente do regime jurídico aplicável, se contratual ou administrativo, ainda que ocupe cargo em comissão ou seja contratada por tempo determinado. O prazo para fruição da licença-maternidade pelas servidoras públicas em cargo comissionado ou contratadas temporariamente deve ser concedido de acordo com a respectiva lei estadual que regule a contratação comissionada ou temporária, ou, eventualmente, a legislação trabalhista que incida sobre o caso, na hipótese de vínculo não-administrativo. (...) Não cabe ao Poder</w:t>
      </w:r>
    </w:p>
    <w:p>
      <w:pPr>
        <w:ind w:left="288"/>
      </w:pPr>
      <w:r>
        <w:rPr>
          <w:b/>
          <w:color w:val="003CA0"/>
          <w:sz w:val="16"/>
        </w:rPr>
        <w:t>[ADI 7.532, rel. min. André Mendonça, j. 24.02.2025, P, DJE de 29.04.2025.]</w:t>
      </w:r>
    </w:p>
    <w:p>
      <w:pPr>
        <w:ind w:left="288"/>
      </w:pPr>
      <w:r>
        <w:rPr>
          <w:color w:val="8C8C8C"/>
          <w:sz w:val="12"/>
        </w:rPr>
        <w:t>cf-art-7-inc-XII</w:t>
      </w:r>
      <w:r>
        <w:rPr>
          <w:color w:val="003CA0"/>
          <w:sz w:val="12"/>
        </w:rPr>
        <w:t xml:space="preserve"> | ADI 7.531</w:t>
      </w:r>
      <w:r>
        <w:rPr>
          <w:color w:val="003CA0"/>
          <w:sz w:val="12"/>
        </w:rPr>
        <w:t xml:space="preserve"> | rel. Nunes Marques</w:t>
      </w:r>
    </w:p>
    <w:p>
      <w:pPr>
        <w:ind w:left="288"/>
      </w:pPr>
      <w:r>
        <w:rPr>
          <w:color w:val="1E1E1E"/>
          <w:sz w:val="18"/>
        </w:rPr>
        <w:t>O direito à convivência familiar e o melhor interesse da criança justificam a extensão do direito à licença-maternidade aos genitores monoparentais, sejam eles estatutários, militares ou temporários.</w:t>
      </w:r>
    </w:p>
    <w:p>
      <w:pPr>
        <w:ind w:left="288"/>
      </w:pPr>
      <w:r>
        <w:rPr>
          <w:b/>
          <w:color w:val="003CA0"/>
          <w:sz w:val="16"/>
        </w:rPr>
        <w:t>[ADI 7.531, rel. min. Nunes Marques, j. 16.12.2024, P, DJE de 10.02.2025.]</w:t>
      </w:r>
    </w:p>
    <w:p>
      <w:pPr>
        <w:ind w:left="288"/>
      </w:pPr>
      <w:r>
        <w:rPr>
          <w:color w:val="8C8C8C"/>
          <w:sz w:val="12"/>
        </w:rPr>
        <w:t>cf-art-7-inc-XII</w:t>
      </w:r>
      <w:r>
        <w:rPr>
          <w:color w:val="003CA0"/>
          <w:sz w:val="12"/>
        </w:rPr>
        <w:t xml:space="preserve"> | RE 1.348.854</w:t>
      </w:r>
      <w:r>
        <w:rPr>
          <w:color w:val="003CA0"/>
          <w:sz w:val="12"/>
        </w:rPr>
        <w:t xml:space="preserve"> | rel. Alexandre de Moraes</w:t>
      </w:r>
    </w:p>
    <w:p>
      <w:pPr>
        <w:ind w:left="288"/>
      </w:pPr>
      <w:r>
        <w:rPr>
          <w:color w:val="1E1E1E"/>
          <w:sz w:val="18"/>
        </w:rPr>
        <w:t>Vide RE 1.348.854, rel. min. Alexandre de Moraes, j. 12.5.2022, P, DJE de 24.10.2022, Tema 1.182, com mérito julgado</w:t>
      </w:r>
    </w:p>
    <w:p>
      <w:pPr>
        <w:ind w:left="144"/>
      </w:pPr>
      <w:r>
        <w:rPr>
          <w:b/>
          <w:color w:val="B45A00"/>
          <w:sz w:val="16"/>
        </w:rPr>
        <w:t>CONTROLE CONCENTRADO</w:t>
      </w:r>
    </w:p>
    <w:p>
      <w:pPr>
        <w:ind w:left="288"/>
      </w:pPr>
      <w:r>
        <w:rPr>
          <w:color w:val="8C8C8C"/>
          <w:sz w:val="12"/>
        </w:rPr>
        <w:t>cf-art-7-inc-XII</w:t>
      </w:r>
      <w:r>
        <w:rPr>
          <w:color w:val="003CA0"/>
          <w:sz w:val="12"/>
        </w:rPr>
        <w:t xml:space="preserve"> | ADI 6.327</w:t>
      </w:r>
      <w:r>
        <w:rPr>
          <w:color w:val="003CA0"/>
          <w:sz w:val="12"/>
        </w:rPr>
        <w:t xml:space="preserve"> | rel. Edson Fachin</w:t>
      </w:r>
    </w:p>
    <w:p>
      <w:pPr>
        <w:ind w:left="288"/>
      </w:pPr>
      <w:r>
        <w:rPr>
          <w:color w:val="1E1E1E"/>
          <w:sz w:val="18"/>
        </w:rPr>
        <w:t>(...) interpretação conforme à Constituição ao artigo 392, §1º, da CLT, assim como ao artigo 71 da Lei n.º 8.213/91 e, por arrastamento, ao artigo 93 do seu Regulamento (Decreto n.º 3.048/99), de modo a se considerar como termo inicial da licença-maternidade e do respectivo salário-maternidade a alta hospitalar do recém-nascido e/ou de sua mãe, o que ocorrer por último, prorrogando-se em todo o período os benefícios, quando o período de internação exceder as duas semanas previstas no art. 392, §2º, da CLT, e no art. 93, §3º, do Decreto n.º 3.048/99.</w:t>
      </w:r>
    </w:p>
    <w:p>
      <w:pPr>
        <w:ind w:left="288"/>
      </w:pPr>
      <w:r>
        <w:rPr>
          <w:b/>
          <w:color w:val="003CA0"/>
          <w:sz w:val="16"/>
        </w:rPr>
        <w:t>[ADI 6.327, rel. min. Edson Fachin, j. 24-10-2022, P, DJE de 7-11-2022.]</w:t>
      </w:r>
    </w:p>
    <w:p>
      <w:pPr>
        <w:ind w:left="288"/>
      </w:pPr>
      <w:r>
        <w:rPr>
          <w:color w:val="8C8C8C"/>
          <w:sz w:val="12"/>
        </w:rPr>
        <w:t>cf-art-7-inc-XII</w:t>
      </w:r>
      <w:r>
        <w:rPr>
          <w:color w:val="003CA0"/>
          <w:sz w:val="12"/>
        </w:rPr>
        <w:t xml:space="preserve"> | ADI 1.946</w:t>
      </w:r>
      <w:r>
        <w:rPr>
          <w:color w:val="003CA0"/>
          <w:sz w:val="12"/>
        </w:rPr>
        <w:t xml:space="preserve"> | rel. Sydney Sanches</w:t>
      </w:r>
    </w:p>
    <w:p>
      <w:pPr>
        <w:ind w:left="288"/>
      </w:pPr>
      <w:r>
        <w:rPr>
          <w:color w:val="1E1E1E"/>
          <w:sz w:val="18"/>
        </w:rPr>
        <w:t>O legislador brasileiro, a partir de 1932 e mais claramente desde 1974, vem tratando o problema da proteção à gestante, cada vez menos como um encargo trabalhista (do empregador) e cada vez mais como de natureza previdenciária. (...) Diante desse quadro histórico, não é de se presumir que o legislador constituinte derivado, na Emenda 20/1998, mais precisamente em seu art. 14, haja pretendido a revogação, ainda que implícita, do art. 7º, XVIII, da CF originária. Se esse tivesse sido o objetivo da norma constitucional derivada, por certo a EC 20/1998 conteria referência expressa a respeito. E, à</w:t>
      </w:r>
    </w:p>
    <w:p>
      <w:pPr>
        <w:ind w:left="288"/>
      </w:pPr>
      <w:r>
        <w:rPr>
          <w:b/>
          <w:color w:val="003CA0"/>
          <w:sz w:val="16"/>
        </w:rPr>
        <w:t>[ADI 1.946, rel. min. Sydney Sanches, j. 3-4-2003, P, DJ de 16-5-2003.]</w:t>
      </w:r>
    </w:p>
    <w:p>
      <w:pPr>
        <w:ind w:left="144"/>
      </w:pPr>
      <w:r>
        <w:rPr>
          <w:b/>
          <w:color w:val="B45A00"/>
          <w:sz w:val="16"/>
        </w:rPr>
        <w:t>REPERCUSSAO GERAL</w:t>
      </w:r>
    </w:p>
    <w:p>
      <w:pPr>
        <w:ind w:left="288"/>
      </w:pPr>
      <w:r>
        <w:rPr>
          <w:color w:val="8C8C8C"/>
          <w:sz w:val="12"/>
        </w:rPr>
        <w:t>cf-art-7-inc-XII</w:t>
      </w:r>
      <w:r>
        <w:rPr>
          <w:color w:val="003CA0"/>
          <w:sz w:val="12"/>
        </w:rPr>
        <w:t xml:space="preserve"> | RE 1.211.446</w:t>
      </w:r>
      <w:r>
        <w:rPr>
          <w:color w:val="003CA0"/>
          <w:sz w:val="12"/>
        </w:rPr>
        <w:t xml:space="preserve"> | rel. Alexandre de Moraes</w:t>
      </w:r>
    </w:p>
    <w:p>
      <w:pPr>
        <w:ind w:left="288"/>
      </w:pPr>
      <w:r>
        <w:rPr>
          <w:color w:val="1E1E1E"/>
          <w:sz w:val="18"/>
        </w:rPr>
        <w:t>“A servidora pública ou a trabalhadora regida pela CLT não gestante em união homoafetiva têm direito ao gozo da licença-maternidade. Caso a companheira tenha usufruído do benefício, fará jus a período de afastamento correspondente ao da licença-paternidade”.</w:t>
      </w:r>
    </w:p>
    <w:p>
      <w:pPr>
        <w:ind w:left="288"/>
      </w:pPr>
      <w:r>
        <w:rPr>
          <w:b/>
          <w:color w:val="003CA0"/>
          <w:sz w:val="16"/>
        </w:rPr>
        <w:t>[RE 1.211.446, rel. min. Alexandre de Moraes, j. 13.03.2024, P, DJE de 21.05.2024, Tema 1.072, com mérito julgado.]</w:t>
      </w:r>
    </w:p>
    <w:p>
      <w:pPr>
        <w:ind w:left="288"/>
      </w:pPr>
      <w:r>
        <w:rPr>
          <w:color w:val="8C8C8C"/>
          <w:sz w:val="12"/>
        </w:rPr>
        <w:t>cf-art-7-inc-XII</w:t>
      </w:r>
      <w:r>
        <w:rPr>
          <w:color w:val="003CA0"/>
          <w:sz w:val="12"/>
        </w:rPr>
        <w:t xml:space="preserve"> | RE 842.844</w:t>
      </w:r>
      <w:r>
        <w:rPr>
          <w:color w:val="003CA0"/>
          <w:sz w:val="12"/>
        </w:rPr>
        <w:t xml:space="preserve"> | rel. Luiz Fux</w:t>
      </w:r>
    </w:p>
    <w:p>
      <w:pPr>
        <w:ind w:left="288"/>
      </w:pPr>
      <w:r>
        <w:rPr>
          <w:color w:val="1E1E1E"/>
          <w:sz w:val="18"/>
        </w:rPr>
        <w:t>A trabalhadora gestante tem direito ao gozo de licença-maternidade e à estabilidade provisória, independentemente do regime jurídico aplicável, se contratual ou administrativo, ainda que ocupe cargo em comissão ou seja contratada por tempo determinado, nos termos dos arts. 7º, XVIII; 37, II; e 39, § 3º; da Constituição Federal, e 10, II, b, do Ato das Disposições Constitucionais Transitórias.</w:t>
        <w:br/>
        <w:t>[RE 842.844, rel. min. Luiz Fux, j. 5-10-2023, P, DJE de 6-12-2023, Tema 542, com mérito julgado.] À luz do art. 227 da CF que confere proteção integral da criança com absoluta prioridade, bem como do pri</w:t>
      </w:r>
    </w:p>
    <w:p>
      <w:pPr>
        <w:ind w:left="288"/>
      </w:pPr>
      <w:r>
        <w:rPr>
          <w:b/>
          <w:color w:val="003CA0"/>
          <w:sz w:val="16"/>
        </w:rPr>
        <w:t>[RE 1.348.854, rel. min. Alexandre de Moraes, j. 12-5-2022, P, DJE de 24-10-2022, Tema 1.182, com mérito julgado.]</w:t>
      </w:r>
    </w:p>
    <w:p>
      <w:pPr>
        <w:ind w:left="288"/>
      </w:pPr>
      <w:r>
        <w:rPr>
          <w:color w:val="8C8C8C"/>
          <w:sz w:val="12"/>
        </w:rPr>
        <w:t>cf-art-7-inc-XII</w:t>
      </w:r>
      <w:r>
        <w:rPr>
          <w:color w:val="003CA0"/>
          <w:sz w:val="12"/>
        </w:rPr>
        <w:t xml:space="preserve"> | ADI 7.531</w:t>
      </w:r>
      <w:r>
        <w:rPr>
          <w:color w:val="003CA0"/>
          <w:sz w:val="12"/>
        </w:rPr>
        <w:t xml:space="preserve"> | rel. Nunes Marques</w:t>
      </w:r>
    </w:p>
    <w:p>
      <w:pPr>
        <w:ind w:left="288"/>
      </w:pPr>
      <w:r>
        <w:rPr>
          <w:color w:val="1E1E1E"/>
          <w:sz w:val="18"/>
        </w:rPr>
        <w:t xml:space="preserve">Vide ADI 7.531, rel. min. Nunes Marques, j. 16.12.2024, P, DJE de 10.02.2025 A licença-maternidade prevista no artigo 7º, XVIII, da Constituição abrange tanto a licença-gestante quanto a licença-adotante, ambas asseguradas pelo prazo mínimo de 120 dias. Interpretação sistemática da Constituição à luz da dignidade da pessoa humana, da igualdade entre filhos biológicos e adotados, da doutrina da proteção integral, do princípio da prioridade e do interesse superior do menor. (...) Tese de repercussão geral: "Os prazos da licença-adotante não podem ser inferiores aos prazos da licença-gestante, o </w:t>
      </w:r>
    </w:p>
    <w:p>
      <w:pPr>
        <w:ind w:left="288"/>
      </w:pPr>
      <w:r>
        <w:rPr>
          <w:b/>
          <w:color w:val="003CA0"/>
          <w:sz w:val="16"/>
        </w:rPr>
        <w:t>[RE 778.889, rel. min. Roberto Barroso, j. 10-3-2016, P, DJE de 1º-8-2016, Tema 782, com mérito julgado.]</w:t>
      </w:r>
    </w:p>
    <w:p>
      <w:pPr>
        <w:ind w:left="144"/>
      </w:pPr>
      <w:r>
        <w:rPr>
          <w:b/>
          <w:color w:val="B45A00"/>
          <w:sz w:val="16"/>
        </w:rPr>
        <w:t>JULGADOS CORRELATOS</w:t>
      </w:r>
    </w:p>
    <w:p>
      <w:pPr>
        <w:ind w:left="288"/>
      </w:pPr>
      <w:r>
        <w:rPr>
          <w:color w:val="8C8C8C"/>
          <w:sz w:val="12"/>
        </w:rPr>
        <w:t>cf-art-7-inc-XII</w:t>
      </w:r>
      <w:r>
        <w:rPr>
          <w:color w:val="003CA0"/>
          <w:sz w:val="12"/>
        </w:rPr>
        <w:t xml:space="preserve"> | RE 523.572</w:t>
      </w:r>
      <w:r>
        <w:rPr>
          <w:color w:val="003CA0"/>
          <w:sz w:val="12"/>
        </w:rPr>
        <w:t xml:space="preserve"> | rel. Ellen Gracie</w:t>
      </w:r>
    </w:p>
    <w:p>
      <w:pPr>
        <w:ind w:left="288"/>
      </w:pPr>
      <w:r>
        <w:rPr>
          <w:color w:val="1E1E1E"/>
          <w:sz w:val="18"/>
        </w:rPr>
        <w:t>A estabilidade provisória advinda de licença-maternidade decorre de proteção constitucional às trabalhadoras em geral. O direito amparado pelo art. 7º, XVIII, da CF, nos termos do art. 142, VIII, da CF/1988, alcança as militares.</w:t>
      </w:r>
    </w:p>
    <w:p>
      <w:pPr>
        <w:ind w:left="288"/>
      </w:pPr>
      <w:r>
        <w:rPr>
          <w:b/>
          <w:color w:val="003CA0"/>
          <w:sz w:val="16"/>
        </w:rPr>
        <w:t>[RE 523.572 AgR, rel. min. Ellen Gracie, j. 6-10-2009, 2ª T, DJE de 29-10-2009.]</w:t>
      </w:r>
    </w:p>
    <w:p>
      <w:pPr>
        <w:ind w:left="288"/>
      </w:pPr>
      <w:r>
        <w:rPr>
          <w:color w:val="8C8C8C"/>
          <w:sz w:val="12"/>
        </w:rPr>
        <w:t>cf-art-7-inc-XII</w:t>
      </w:r>
      <w:r>
        <w:rPr>
          <w:color w:val="003CA0"/>
          <w:sz w:val="12"/>
        </w:rPr>
        <w:t xml:space="preserve"> | AI 811.376</w:t>
      </w:r>
      <w:r>
        <w:rPr>
          <w:color w:val="003CA0"/>
          <w:sz w:val="12"/>
        </w:rPr>
        <w:t xml:space="preserve"> | rel. Gilmar Mendes</w:t>
      </w:r>
    </w:p>
    <w:p>
      <w:pPr>
        <w:ind w:left="288"/>
      </w:pPr>
      <w:r>
        <w:rPr>
          <w:color w:val="1E1E1E"/>
          <w:sz w:val="18"/>
        </w:rPr>
        <w:t>= AI 811.376 AgR, rel. min. Gilmar Mendes, j. 1º-3-2011, 2ª T, DJE de 23-3-2011 XIX - licença-paternidade, nos termos fixados em lei; A concessão de licença-paternidade por períodos distintos entre servidores estaduais, sem justificativa idônea, configura violação aos princípios da isonomia, da proteção integral e do melhor interesse da criança, e o seu direito à convivência familiar a salvo de toda forma de discriminação, além do dever estatal constitucionalmente imposto de proteção da família. Assim, deve ser reconhecido aos servidores públicos estaduais, independentemente do vínculo jurídic</w:t>
      </w:r>
    </w:p>
    <w:p>
      <w:pPr>
        <w:ind w:left="288"/>
      </w:pPr>
      <w:r>
        <w:rPr>
          <w:b/>
          <w:color w:val="003CA0"/>
          <w:sz w:val="16"/>
        </w:rPr>
        <w:t>[ADI 7.524, rel. min. Nunes Marques, j. 30-10-2025, P, DJE de 13-2-2026.]</w:t>
      </w:r>
    </w:p>
    <w:p>
      <w:pPr>
        <w:ind w:left="288"/>
      </w:pPr>
      <w:r>
        <w:rPr>
          <w:color w:val="8C8C8C"/>
          <w:sz w:val="12"/>
        </w:rPr>
        <w:t>cf-art-7-inc-XII</w:t>
      </w:r>
      <w:r>
        <w:rPr>
          <w:color w:val="003CA0"/>
          <w:sz w:val="12"/>
        </w:rPr>
        <w:t xml:space="preserve"> | ADI 7.532</w:t>
      </w:r>
      <w:r>
        <w:rPr>
          <w:color w:val="003CA0"/>
          <w:sz w:val="12"/>
        </w:rPr>
        <w:t xml:space="preserve"> | rel. André Mendonça</w:t>
      </w:r>
    </w:p>
    <w:p>
      <w:pPr>
        <w:ind w:left="288"/>
      </w:pPr>
      <w:r>
        <w:rPr>
          <w:color w:val="1E1E1E"/>
          <w:sz w:val="18"/>
        </w:rPr>
        <w:t>Não há como se adotar a legislação federal como paradigma para fixação do prazo da licença-paternidade no âmbito estadual, distrital ou municipal, pois, no que se refere ao regime jurídico dos servidores públicos, as leis federais não têm natureza de norma geral. É inconstitucional qualquer interpretação ou ato normativo que diferencie a concessão de licença-paternidade em caso de paternidade biológica ou em caso de adoção (ou, ainda, de guarda judicial para fins de adoção), bem como que fixe prazo diferenciado em função da idade do adotado. Não cabe ao Poder Judiciário fixar a possibilidade d</w:t>
      </w:r>
    </w:p>
    <w:p>
      <w:pPr>
        <w:ind w:left="288"/>
      </w:pPr>
      <w:r>
        <w:rPr>
          <w:b/>
          <w:color w:val="003CA0"/>
          <w:sz w:val="16"/>
        </w:rPr>
        <w:t>[ADI 7.532, rel. min. André Mendonça, j. 24.02.2025, P, DJE de 29.04.2025.]</w:t>
      </w:r>
    </w:p>
    <w:p>
      <w:pPr>
        <w:ind w:left="144"/>
      </w:pPr>
      <w:r>
        <w:rPr>
          <w:b/>
          <w:color w:val="B45A00"/>
          <w:sz w:val="16"/>
        </w:rPr>
        <w:t>CONTROLE CONCENTRADO</w:t>
      </w:r>
    </w:p>
    <w:p>
      <w:pPr>
        <w:ind w:left="288"/>
      </w:pPr>
      <w:r>
        <w:rPr>
          <w:color w:val="8C8C8C"/>
          <w:sz w:val="12"/>
        </w:rPr>
        <w:t>cf-art-7-inc-XII</w:t>
      </w:r>
      <w:r>
        <w:rPr>
          <w:color w:val="003CA0"/>
          <w:sz w:val="12"/>
        </w:rPr>
        <w:t xml:space="preserve"> | ADO 20</w:t>
      </w:r>
      <w:r>
        <w:rPr>
          <w:color w:val="003CA0"/>
          <w:sz w:val="12"/>
        </w:rPr>
        <w:t xml:space="preserve"> | rel. Marco Aurélio</w:t>
      </w:r>
    </w:p>
    <w:p>
      <w:pPr>
        <w:ind w:left="288"/>
      </w:pPr>
      <w:r>
        <w:rPr>
          <w:color w:val="1E1E1E"/>
          <w:sz w:val="18"/>
        </w:rPr>
        <w:t>“Há omissão inconstitucional quanto à edição de lei regulamentadora da licença-paternidade, prevista no artigo 7º, XIX, da Constituição da República de 1988, fixando-se o prazo de 18 (dezoito) meses para que seja sanada a omissão pelo Poder Legislativo, o que, se não ocorrer, autoriza ao Supremo Tribunal Federal a deliberar sobre as condições concretas necessárias ao gozo do direito fundamental à licença-paternidade.”</w:t>
      </w:r>
    </w:p>
    <w:p>
      <w:pPr>
        <w:ind w:left="288"/>
      </w:pPr>
      <w:r>
        <w:rPr>
          <w:b/>
          <w:color w:val="003CA0"/>
          <w:sz w:val="16"/>
        </w:rPr>
        <w:t>[ADO 20, rel. min. Marco Aurélio, red. do ac. min. Edson Fachin, j. 14.12.2023, P, DJE de 02.04.2024.]</w:t>
      </w:r>
    </w:p>
    <w:p>
      <w:pPr>
        <w:ind w:left="288"/>
      </w:pPr>
      <w:r>
        <w:rPr>
          <w:color w:val="8C8C8C"/>
          <w:sz w:val="12"/>
        </w:rPr>
        <w:t>cf-art-7-inc-XII</w:t>
      </w:r>
      <w:r>
        <w:rPr>
          <w:color w:val="003CA0"/>
          <w:sz w:val="12"/>
        </w:rPr>
        <w:t xml:space="preserve"> | RE 1.532.276</w:t>
      </w:r>
      <w:r>
        <w:rPr>
          <w:color w:val="003CA0"/>
          <w:sz w:val="12"/>
        </w:rPr>
        <w:t xml:space="preserve"> | rel. André Mendonça</w:t>
      </w:r>
    </w:p>
    <w:p>
      <w:pPr>
        <w:ind w:left="288"/>
      </w:pPr>
      <w:r>
        <w:rPr>
          <w:color w:val="1E1E1E"/>
          <w:sz w:val="18"/>
        </w:rPr>
        <w:t>O termo inicial da licença-paternidade, em caso de internação hospitalar do recém-nascido, deve ser considerado como a data de sua alta.</w:t>
      </w:r>
    </w:p>
    <w:p>
      <w:pPr>
        <w:ind w:left="288"/>
      </w:pPr>
      <w:r>
        <w:rPr>
          <w:b/>
          <w:color w:val="003CA0"/>
          <w:sz w:val="16"/>
        </w:rPr>
        <w:t>[RE 1.532.276, rel. min. André Mendonça, j. 22.02.2025, 2ª T, DJE de 07.03.2025.]</w:t>
      </w:r>
    </w:p>
    <w:p>
      <w:pPr>
        <w:ind w:left="288"/>
      </w:pPr>
      <w:r>
        <w:rPr>
          <w:color w:val="8C8C8C"/>
          <w:sz w:val="12"/>
        </w:rPr>
        <w:t>cf-art-7-inc-XX</w:t>
      </w:r>
      <w:r>
        <w:rPr>
          <w:color w:val="003CA0"/>
          <w:sz w:val="12"/>
        </w:rPr>
        <w:t xml:space="preserve"> | ADI 7.492</w:t>
      </w:r>
      <w:r>
        <w:rPr>
          <w:color w:val="003CA0"/>
          <w:sz w:val="12"/>
        </w:rPr>
        <w:t xml:space="preserve"> | rel. Cristiano Zanin</w:t>
      </w:r>
    </w:p>
    <w:p>
      <w:pPr>
        <w:ind w:left="288"/>
      </w:pPr>
      <w:r>
        <w:rPr>
          <w:color w:val="1E1E1E"/>
          <w:sz w:val="18"/>
        </w:rPr>
        <w:t>A exegese do art. 2º, § 2º, da Lei 3.498, de 19 de abril de 2010, do Estado do Amazonas, na redação que lhe foi conferida pela Lei estadual 5.671, de 8 de novembro de 2021, que permite restrição de vagas, ainda que parcial, para candidatas do sexo feminino e/ou vagas exclusivas para candidatos do sexo masculino viola os direitos à isonomia e à igualdade entre homens e mulheres (art. 5º, caput e I, da CF), à não discriminação em razão de sexo (art. 3º, IV, da CF), à proteção do mercado de trabalho da mulher (art. 7º, XX, da CF), à não adoção de critério discriminatório por motivo de sexo, quand</w:t>
      </w:r>
    </w:p>
    <w:p>
      <w:pPr>
        <w:ind w:left="288"/>
      </w:pPr>
      <w:r>
        <w:rPr>
          <w:b/>
          <w:color w:val="003CA0"/>
          <w:sz w:val="16"/>
        </w:rPr>
        <w:t>[ADI 7.492, rel. min. Cristiano Zanin, j. 14.02.2024, P, DJE de 08.04.2024.]</w:t>
      </w:r>
    </w:p>
    <w:p>
      <w:pPr>
        <w:ind w:left="144"/>
      </w:pPr>
      <w:r>
        <w:rPr>
          <w:b/>
          <w:color w:val="B45A00"/>
          <w:sz w:val="16"/>
        </w:rPr>
        <w:t>REPERCUSSAO GERAL</w:t>
      </w:r>
    </w:p>
    <w:p>
      <w:pPr>
        <w:ind w:left="288"/>
      </w:pPr>
      <w:r>
        <w:rPr>
          <w:color w:val="8C8C8C"/>
          <w:sz w:val="12"/>
        </w:rPr>
        <w:t>cf-art-7-inc-XX</w:t>
      </w:r>
      <w:r>
        <w:rPr>
          <w:color w:val="003CA0"/>
          <w:sz w:val="12"/>
        </w:rPr>
        <w:t xml:space="preserve"> | RE 658.312</w:t>
      </w:r>
      <w:r>
        <w:rPr>
          <w:color w:val="003CA0"/>
          <w:sz w:val="12"/>
        </w:rPr>
        <w:t xml:space="preserve"> | rel. Dias Toffoli</w:t>
      </w:r>
    </w:p>
    <w:p>
      <w:pPr>
        <w:ind w:left="288"/>
      </w:pPr>
      <w:r>
        <w:rPr>
          <w:color w:val="1E1E1E"/>
          <w:sz w:val="18"/>
        </w:rPr>
        <w:t>O art. 384 da CLT, em relação ao período anterior à edição da Lei n. 13.467/2017, foi recepcionado pela Constituição Federal de 1988, aplicando-se a todas as mulheres trabalhadoras.</w:t>
      </w:r>
    </w:p>
    <w:p>
      <w:pPr>
        <w:ind w:left="288"/>
      </w:pPr>
      <w:r>
        <w:rPr>
          <w:b/>
          <w:color w:val="003CA0"/>
          <w:sz w:val="16"/>
        </w:rPr>
        <w:t>[RE 658.312 2º Julg, rel. min. Dias Toffoli, j. 15-9-2021, P, DJE de 6-12-2021, Tema 528.]</w:t>
      </w:r>
    </w:p>
    <w:p>
      <w:pPr>
        <w:ind w:left="288"/>
      </w:pPr>
      <w:r>
        <w:rPr>
          <w:color w:val="8C8C8C"/>
          <w:sz w:val="12"/>
        </w:rPr>
        <w:t>cf-art-7-inc-XX</w:t>
      </w:r>
      <w:r>
        <w:rPr>
          <w:color w:val="003CA0"/>
          <w:sz w:val="12"/>
        </w:rPr>
        <w:t xml:space="preserve"> | ARE 1.562.586</w:t>
      </w:r>
      <w:r>
        <w:rPr>
          <w:color w:val="003CA0"/>
          <w:sz w:val="12"/>
        </w:rPr>
        <w:t xml:space="preserve"> | rel. Flávio Dino</w:t>
      </w:r>
    </w:p>
    <w:p>
      <w:pPr>
        <w:ind w:left="288"/>
      </w:pPr>
      <w:r>
        <w:rPr>
          <w:color w:val="1E1E1E"/>
          <w:sz w:val="18"/>
        </w:rPr>
        <w:t>A interpretação teleológica e sistemática do artigo 389, §§ 1º e 2º, da CLT, deve ser no sentido de densificar o direito humano e fundamental ao aleitamento materno, devendo ser interpretado de modo a garantir a máxima efetividade dos direitos fundamentais à saúde e à alimentação da criança, à proteção da maternidade e à infância (art. 227, da CF), bem como a proteção do mercado de trabalho da mulher (art. 7º, XX, da CF), em consonância com a eficácia horizontal e diagonal dos direitos fundamentais. A disponibilização de espaços para aleitamento materno concretiza simultaneamente a proteção do</w:t>
      </w:r>
    </w:p>
    <w:p>
      <w:pPr>
        <w:ind w:left="288"/>
      </w:pPr>
      <w:r>
        <w:rPr>
          <w:b/>
          <w:color w:val="003CA0"/>
          <w:sz w:val="16"/>
        </w:rPr>
        <w:t>[ARE 1.562.586 AgR, rel. min. Flávio Dino, j. 13.10.2025, 1ª Turma, DJE de 17.10.2025.]</w:t>
      </w:r>
    </w:p>
    <w:p>
      <w:pPr>
        <w:ind w:left="144"/>
      </w:pPr>
      <w:r>
        <w:rPr>
          <w:b/>
          <w:color w:val="B45A00"/>
          <w:sz w:val="16"/>
        </w:rPr>
        <w:t>JULGADOS CORRELATOS</w:t>
      </w:r>
    </w:p>
    <w:p>
      <w:pPr>
        <w:ind w:left="288"/>
      </w:pPr>
      <w:r>
        <w:rPr>
          <w:color w:val="8C8C8C"/>
          <w:sz w:val="12"/>
        </w:rPr>
        <w:t>cf-art-7-inc-XXI</w:t>
      </w:r>
      <w:r>
        <w:rPr>
          <w:color w:val="003CA0"/>
          <w:sz w:val="12"/>
        </w:rPr>
        <w:t xml:space="preserve"> | MI 1.011</w:t>
      </w:r>
      <w:r>
        <w:rPr>
          <w:color w:val="003CA0"/>
          <w:sz w:val="12"/>
        </w:rPr>
        <w:t xml:space="preserve"> | rel. Ricardo Lewandowski</w:t>
      </w:r>
    </w:p>
    <w:p>
      <w:pPr>
        <w:ind w:left="288"/>
      </w:pPr>
      <w:r>
        <w:rPr>
          <w:color w:val="1E1E1E"/>
          <w:sz w:val="18"/>
        </w:rPr>
        <w:t>No caso de mandado de injunção impetrado antes da edição da Lei 12.506/2011, o empregado possui interesse processual no writ para ter assegurado o seu direito ao aviso prévio proporcional ao tempo de serviço na hipótese de tê-lo recebido em valor inferior ao que seria devido uma vez regulamentado o dispositivo constitucional.</w:t>
      </w:r>
    </w:p>
    <w:p>
      <w:pPr>
        <w:ind w:left="288"/>
      </w:pPr>
      <w:r>
        <w:rPr>
          <w:b/>
          <w:color w:val="003CA0"/>
          <w:sz w:val="16"/>
        </w:rPr>
        <w:t>[MI 1.011 AgR-segundo, rel. min. Ricardo Lewandowski, j. 14-5-2014, P, DJE de 4-6-2014.]</w:t>
      </w:r>
    </w:p>
    <w:p>
      <w:pPr>
        <w:ind w:left="288"/>
      </w:pPr>
      <w:r>
        <w:rPr>
          <w:color w:val="8C8C8C"/>
          <w:sz w:val="12"/>
        </w:rPr>
        <w:t>cf-art-7-inc-XXI</w:t>
      </w:r>
      <w:r>
        <w:rPr>
          <w:color w:val="003CA0"/>
          <w:sz w:val="12"/>
        </w:rPr>
        <w:t xml:space="preserve"> | MI 1.009</w:t>
      </w:r>
      <w:r>
        <w:rPr>
          <w:color w:val="003CA0"/>
          <w:sz w:val="12"/>
        </w:rPr>
        <w:t xml:space="preserve"> | rel. Cármen Lúcia</w:t>
      </w:r>
    </w:p>
    <w:p>
      <w:pPr>
        <w:ind w:left="288"/>
      </w:pPr>
      <w:r>
        <w:rPr>
          <w:color w:val="1E1E1E"/>
          <w:sz w:val="18"/>
        </w:rPr>
        <w:t>Mandado de injunção. Aviso prévio proporcional. (...) Ilegitimidade da ex-empregadora para figurar no polo passivo da ação.</w:t>
      </w:r>
    </w:p>
    <w:p>
      <w:pPr>
        <w:ind w:left="288"/>
      </w:pPr>
      <w:r>
        <w:rPr>
          <w:b/>
          <w:color w:val="003CA0"/>
          <w:sz w:val="16"/>
        </w:rPr>
        <w:t>[MI 1.009 AgR-segundo, rel. min. Cármen Lúcia, j. 18-12-2013, P, DJE de 19-2-2014.]</w:t>
      </w:r>
    </w:p>
    <w:p>
      <w:pPr>
        <w:ind w:left="288"/>
      </w:pPr>
      <w:r>
        <w:rPr>
          <w:color w:val="8C8C8C"/>
          <w:sz w:val="12"/>
        </w:rPr>
        <w:t>cf-art-7-inc-XXI</w:t>
      </w:r>
      <w:r>
        <w:rPr>
          <w:color w:val="003CA0"/>
          <w:sz w:val="12"/>
        </w:rPr>
        <w:t xml:space="preserve"> | MI 1.008</w:t>
      </w:r>
      <w:r>
        <w:rPr>
          <w:color w:val="003CA0"/>
          <w:sz w:val="12"/>
        </w:rPr>
        <w:t xml:space="preserve"> | rel. Teori Zavascki</w:t>
      </w:r>
    </w:p>
    <w:p>
      <w:pPr>
        <w:ind w:left="288"/>
      </w:pPr>
      <w:r>
        <w:rPr>
          <w:color w:val="1E1E1E"/>
          <w:sz w:val="18"/>
        </w:rPr>
        <w:t>Mandado de injunção. (...) O pagamento do aviso prévio em valor inferior ao que seria devido com a regulamentação do art. 7º, XXI, da Constituição caracteriza a pretensão resistida.</w:t>
      </w:r>
    </w:p>
    <w:p>
      <w:pPr>
        <w:ind w:left="288"/>
      </w:pPr>
      <w:r>
        <w:rPr>
          <w:b/>
          <w:color w:val="003CA0"/>
          <w:sz w:val="16"/>
        </w:rPr>
        <w:t>[MI 1.008 AgR-segundo, rel. min. Teori Zavascki, j. 16-5-2013, P, DJE de 31-5-2013.]</w:t>
      </w:r>
    </w:p>
    <w:p>
      <w:pPr>
        <w:ind w:left="288"/>
      </w:pPr>
      <w:r>
        <w:rPr>
          <w:color w:val="8C8C8C"/>
          <w:sz w:val="12"/>
        </w:rPr>
        <w:t>cf-art-7-inc-XXI</w:t>
      </w:r>
      <w:r>
        <w:rPr>
          <w:color w:val="003CA0"/>
          <w:sz w:val="12"/>
        </w:rPr>
        <w:t xml:space="preserve"> | MI 1.090</w:t>
      </w:r>
      <w:r>
        <w:rPr>
          <w:color w:val="003CA0"/>
          <w:sz w:val="12"/>
        </w:rPr>
        <w:t xml:space="preserve"> | rel. Gilmar Mendes</w:t>
      </w:r>
    </w:p>
    <w:p>
      <w:pPr>
        <w:ind w:left="288"/>
      </w:pPr>
      <w:r>
        <w:rPr>
          <w:color w:val="1E1E1E"/>
          <w:sz w:val="18"/>
        </w:rPr>
        <w:t>Mandado de injunção. Aviso prévio proporcional ao tempo de serviço. Art. 7º, XXI, da CF. Ausência de regulamentação. Ação julgada procedente. Indicação de adiamento com vistas a consolidar proposta conciliatória de concretização do direito ao aviso prévio proporcional. Retomado o julgamento. Advento da Lei 12.506/2011, que regulamentou o direito ao aviso prévio proporcional. Aplicação judicial de parâmetros idênticos aos da referida legislação. Autorização para que os ministros apliquem monocraticamente esse entendimento aos mandados de injunção pendentes de julgamento, desde que impetrados an</w:t>
      </w:r>
    </w:p>
    <w:p>
      <w:pPr>
        <w:ind w:left="288"/>
      </w:pPr>
      <w:r>
        <w:rPr>
          <w:b/>
          <w:color w:val="003CA0"/>
          <w:sz w:val="16"/>
        </w:rPr>
        <w:t>[MI 1.090, rel. min. Gilmar Mendes, j. 6-2-2013, P, DJE de 23-4-2013.]</w:t>
      </w:r>
    </w:p>
    <w:p>
      <w:pPr>
        <w:ind w:left="288"/>
      </w:pPr>
      <w:r>
        <w:rPr>
          <w:color w:val="8C8C8C"/>
          <w:sz w:val="12"/>
        </w:rPr>
        <w:t>cf-art-7-inc-XXI</w:t>
      </w:r>
      <w:r>
        <w:rPr>
          <w:color w:val="003CA0"/>
          <w:sz w:val="12"/>
        </w:rPr>
        <w:t xml:space="preserve"> | MI 369</w:t>
      </w:r>
      <w:r>
        <w:rPr>
          <w:color w:val="003CA0"/>
          <w:sz w:val="12"/>
        </w:rPr>
        <w:t xml:space="preserve"> | rel. Sepúlveda Pertence</w:t>
      </w:r>
    </w:p>
    <w:p>
      <w:pPr>
        <w:ind w:left="288"/>
      </w:pPr>
      <w:r>
        <w:rPr>
          <w:color w:val="1E1E1E"/>
          <w:sz w:val="18"/>
        </w:rPr>
        <w:t>Vide MI 369, red. do ac. min. Francisco Rezek, j. 19-8-1992, P, DJ de 26-2-1993 Vide MI 695, rel. min. Sepúlveda Pertence, j. 1º-3-2007, P, DJ de 20-4-2007 Mandado de injunção: ausência de regulamentação do direito ao aviso prévio proporcional previsto no art. 7º, XXI, da Constituição da República. Mora legislativa: critério objetivo de sua verificação: procedência para declarar a mora e comunicar a decisão ao Congresso Nacional para que a supra.</w:t>
      </w:r>
    </w:p>
    <w:p>
      <w:pPr>
        <w:ind w:left="288"/>
      </w:pPr>
      <w:r>
        <w:rPr>
          <w:b/>
          <w:color w:val="003CA0"/>
          <w:sz w:val="16"/>
        </w:rPr>
        <w:t>[MI 695, rel. min. Sepúlveda Pertence, j. 1º-3-2007, P, DJ de 20-4-2007.]</w:t>
      </w:r>
    </w:p>
    <w:p>
      <w:pPr>
        <w:ind w:left="288"/>
      </w:pPr>
      <w:r>
        <w:rPr>
          <w:color w:val="8C8C8C"/>
          <w:sz w:val="12"/>
        </w:rPr>
        <w:t>cf-art-7-inc-XXI</w:t>
      </w:r>
      <w:r>
        <w:rPr>
          <w:color w:val="003CA0"/>
          <w:sz w:val="12"/>
        </w:rPr>
        <w:t xml:space="preserve"> | MI 1.090</w:t>
      </w:r>
      <w:r>
        <w:rPr>
          <w:color w:val="003CA0"/>
          <w:sz w:val="12"/>
        </w:rPr>
        <w:t xml:space="preserve"> | rel. Gilmar Mendes</w:t>
      </w:r>
    </w:p>
    <w:p>
      <w:pPr>
        <w:ind w:left="288"/>
      </w:pPr>
      <w:r>
        <w:rPr>
          <w:color w:val="1E1E1E"/>
          <w:sz w:val="18"/>
        </w:rPr>
        <w:t>Vide MI 1.090, rel. min. Gilmar Mendes, j. 6-2-2013, P, DJE de 23-4-2013</w:t>
      </w:r>
    </w:p>
    <w:p>
      <w:pPr>
        <w:ind w:left="144"/>
      </w:pPr>
      <w:r>
        <w:rPr>
          <w:b/>
          <w:color w:val="B45A00"/>
          <w:sz w:val="16"/>
        </w:rPr>
        <w:t>SUMULA</w:t>
      </w:r>
    </w:p>
    <w:p>
      <w:pPr>
        <w:ind w:left="288"/>
      </w:pPr>
      <w:r>
        <w:rPr>
          <w:color w:val="8C8C8C"/>
          <w:sz w:val="12"/>
        </w:rPr>
        <w:t>cf-art-7-inc-XXII</w:t>
      </w:r>
    </w:p>
    <w:p>
      <w:pPr>
        <w:ind w:left="288"/>
      </w:pPr>
      <w:r>
        <w:rPr>
          <w:color w:val="1E1E1E"/>
          <w:sz w:val="18"/>
        </w:rPr>
        <w:t>Compete à Justiça do Trabalho julgar as ações que tenham como causa de pedir o descumprimento de normas trabalhistas relativas à segurança, higiene e saúde dos trabalhadores.</w:t>
      </w:r>
    </w:p>
    <w:p>
      <w:pPr>
        <w:ind w:left="288"/>
      </w:pPr>
      <w:r>
        <w:rPr>
          <w:b/>
          <w:color w:val="003CA0"/>
          <w:sz w:val="16"/>
        </w:rPr>
        <w:t>[Súmula 736.]</w:t>
      </w:r>
    </w:p>
    <w:p>
      <w:pPr>
        <w:ind w:left="144"/>
      </w:pPr>
      <w:r>
        <w:rPr>
          <w:b/>
          <w:color w:val="B45A00"/>
          <w:sz w:val="16"/>
        </w:rPr>
        <w:t>CONTROLE CONCENTRADO</w:t>
      </w:r>
    </w:p>
    <w:p>
      <w:pPr>
        <w:ind w:left="288"/>
      </w:pPr>
      <w:r>
        <w:rPr>
          <w:color w:val="8C8C8C"/>
          <w:sz w:val="12"/>
        </w:rPr>
        <w:t>cf-art-7-inc-XXII</w:t>
      </w:r>
      <w:r>
        <w:rPr>
          <w:color w:val="003CA0"/>
          <w:sz w:val="12"/>
        </w:rPr>
        <w:t xml:space="preserve"> | ADI 5.322</w:t>
      </w:r>
      <w:r>
        <w:rPr>
          <w:color w:val="003CA0"/>
          <w:sz w:val="12"/>
        </w:rPr>
        <w:t xml:space="preserve"> | rel. Alexandre de Moraes</w:t>
      </w:r>
    </w:p>
    <w:p>
      <w:pPr>
        <w:ind w:left="288"/>
      </w:pPr>
      <w:r>
        <w:rPr>
          <w:color w:val="1E1E1E"/>
          <w:sz w:val="18"/>
        </w:rPr>
        <w:t>Compete ao Ministério do Trabalho e Emprego a regulamentação das condições de segurança, sanitárias e de conforto nos locais de espera, repouso e descanso dos motoristas profissionais de cargas e passageiros. É inconstitucional o dispositivo legal que permite a redução e/ou o fracionamento dos intervalos interjornadas e do descanso semanal remunerado. Normas constitucionais de proteção da saúde do trabalhador (art. 7º, XXII, da CF).</w:t>
        <w:br/>
        <w:t>[ADI 5.322, rel. min. Alexandre de Moraes, j. 3-7-2023, P, DJE de 30-8-2023.] O consenso dos órgãos oficiais de saúde geral e de saúde do trabalhador em torno da n</w:t>
      </w:r>
    </w:p>
    <w:p>
      <w:pPr>
        <w:ind w:left="288"/>
      </w:pPr>
      <w:r>
        <w:rPr>
          <w:b/>
          <w:color w:val="003CA0"/>
          <w:sz w:val="16"/>
        </w:rPr>
        <w:t>[ARE 1.499.613 ED-AgR, rel. min. Flávio Dino, j. 27.05.2025,1ª T, DJE de 29.05.2025.]</w:t>
      </w:r>
    </w:p>
    <w:p>
      <w:pPr>
        <w:ind w:left="144"/>
      </w:pPr>
      <w:r>
        <w:rPr>
          <w:b/>
          <w:color w:val="B45A00"/>
          <w:sz w:val="16"/>
        </w:rPr>
        <w:t>SUMULA VINCULANTE</w:t>
      </w:r>
    </w:p>
    <w:p>
      <w:pPr>
        <w:ind w:left="288"/>
      </w:pPr>
      <w:r>
        <w:rPr>
          <w:color w:val="8C8C8C"/>
          <w:sz w:val="12"/>
        </w:rPr>
        <w:t>cf-art-7-inc-XXIII</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144"/>
      </w:pPr>
      <w:r>
        <w:rPr>
          <w:b/>
          <w:color w:val="B45A00"/>
          <w:sz w:val="16"/>
        </w:rPr>
        <w:t>CONTROLE CONCENTRADO</w:t>
      </w:r>
    </w:p>
    <w:p>
      <w:pPr>
        <w:ind w:left="288"/>
      </w:pPr>
      <w:r>
        <w:rPr>
          <w:color w:val="8C8C8C"/>
          <w:sz w:val="12"/>
        </w:rPr>
        <w:t>cf-art-7-inc-XXIII</w:t>
      </w:r>
      <w:r>
        <w:rPr>
          <w:color w:val="003CA0"/>
          <w:sz w:val="12"/>
        </w:rPr>
        <w:t xml:space="preserve"> | ADO 74</w:t>
      </w:r>
      <w:r>
        <w:rPr>
          <w:color w:val="003CA0"/>
          <w:sz w:val="12"/>
        </w:rPr>
        <w:t xml:space="preserve"> | rel. Gilmar Mendes</w:t>
      </w:r>
    </w:p>
    <w:p>
      <w:pPr>
        <w:ind w:left="288"/>
      </w:pPr>
      <w:r>
        <w:rPr>
          <w:color w:val="1E1E1E"/>
          <w:sz w:val="18"/>
        </w:rPr>
        <w:t>Adicional de penosidade aos trabalhadores urbanos e rurais (CF, art. 7º, XXIII). Necessidade de regulamentação do adicional de penosidade para sua percepção. Norma originária. Dever constitucional de legislar. Transcurso de prazo razoável para legislar. Omissão inconstitucional. Existência, no âmbito do Congresso Nacional, de diversos projetos de lei apresentados visando à regulamentação do adicional em questão. Inertia deliberandi das Casas Legislativas. Pedido julgado procedente. Estipulado prazo de 18 (dezoito) meses.</w:t>
        <w:br/>
        <w:t>[ADO 74, rel. min. Gilmar Mendes, j. 05.06.2024, P, DJE de 25.06.2024.] “</w:t>
      </w:r>
    </w:p>
    <w:p>
      <w:pPr>
        <w:ind w:left="288"/>
      </w:pPr>
      <w:r>
        <w:rPr>
          <w:b/>
          <w:color w:val="003CA0"/>
          <w:sz w:val="16"/>
        </w:rPr>
        <w:t>[RE 1.509.788 RG, rel. min. Luís Roberto Barroso, j. 04.10.2024, P, DJE de 09.10.2024, Tema 1.328, com repercussão geral negada.]</w:t>
      </w:r>
    </w:p>
    <w:p>
      <w:pPr>
        <w:ind w:left="144"/>
      </w:pPr>
      <w:r>
        <w:rPr>
          <w:b/>
          <w:color w:val="B45A00"/>
          <w:sz w:val="16"/>
        </w:rPr>
        <w:t>REPERCUSSAO GERAL</w:t>
      </w:r>
    </w:p>
    <w:p>
      <w:pPr>
        <w:ind w:left="288"/>
      </w:pPr>
      <w:r>
        <w:rPr>
          <w:color w:val="8C8C8C"/>
          <w:sz w:val="12"/>
        </w:rPr>
        <w:t>cf-art-7-inc-XXIII</w:t>
      </w:r>
      <w:r>
        <w:rPr>
          <w:color w:val="003CA0"/>
          <w:sz w:val="12"/>
        </w:rPr>
        <w:t xml:space="preserve"> | RE 217.700</w:t>
      </w:r>
      <w:r>
        <w:rPr>
          <w:color w:val="003CA0"/>
          <w:sz w:val="12"/>
        </w:rPr>
        <w:t xml:space="preserve"> | rel. Cármen Lúcia</w:t>
      </w:r>
    </w:p>
    <w:p>
      <w:pPr>
        <w:ind w:left="288"/>
      </w:pPr>
      <w:r>
        <w:rPr>
          <w:color w:val="1E1E1E"/>
          <w:sz w:val="18"/>
        </w:rPr>
        <w:t>Art. 7º, IV, da Constituição da República. Não recepção do art. 3º, § 1º, da LC paulista 432/1985 pela Constituição de 1988. Inconstitucionalidade de vinculação do adicional de insalubridade ao salário mínimo: precedentes. Impossibilidade da modificação da base de cálculo do benefício por decisão judicial. Recurso extraordinário ao qual se nega provimento. O sentido da vedação constante da parte final do inciso IV do art. 7º da Constituição impede que o salário mínimo possa ser aproveitado como fator de indexação; essa utilização tolheria eventual aumento do salário mínimo pela cadeia de aumen</w:t>
      </w:r>
    </w:p>
    <w:p>
      <w:pPr>
        <w:ind w:left="144"/>
      </w:pPr>
      <w:r>
        <w:rPr>
          <w:b/>
          <w:color w:val="B45A00"/>
          <w:sz w:val="16"/>
        </w:rPr>
        <w:t>JULGADOS CORRELATOS</w:t>
      </w:r>
    </w:p>
    <w:p>
      <w:pPr>
        <w:ind w:left="288"/>
      </w:pPr>
      <w:r>
        <w:rPr>
          <w:color w:val="8C8C8C"/>
          <w:sz w:val="12"/>
        </w:rPr>
        <w:t>cf-art-7-inc-XXIII</w:t>
      </w:r>
      <w:r>
        <w:rPr>
          <w:color w:val="003CA0"/>
          <w:sz w:val="12"/>
        </w:rPr>
        <w:t xml:space="preserve"> | MI 5.062</w:t>
      </w:r>
      <w:r>
        <w:rPr>
          <w:color w:val="003CA0"/>
          <w:sz w:val="12"/>
        </w:rPr>
        <w:t xml:space="preserve"> | rel. Gilmar Mendes</w:t>
      </w:r>
    </w:p>
    <w:p>
      <w:pPr>
        <w:ind w:left="288"/>
      </w:pPr>
      <w:r>
        <w:rPr>
          <w:color w:val="1E1E1E"/>
          <w:sz w:val="18"/>
        </w:rPr>
        <w:t>Ausência de direito subjetivo constitucional de servidor público a adicional de penosidade para exercício de atividade em área de fronteira.</w:t>
        <w:br/>
        <w:t>[MI 5.062 AgR, rel. min. Gilmar Mendes, j. 1º-8-2014, P, DJE de 7-10-2014.] Servidor público. Adicional de remuneração para as atividades penosas, insalubres ou perigosas, na forma da lei. Art. 7º, XXIII, da CF. O art. 39, § 2º, da CF apenas estendeu aos servidores públicos civis da União, dos Estados, do Distrito Federal e dos Municípios alguns dos direitos sociais por meio de remissão, para não ser necessária a repetição de seus enunciados, mas com isso</w:t>
      </w:r>
    </w:p>
    <w:p>
      <w:pPr>
        <w:ind w:left="288"/>
      </w:pPr>
      <w:r>
        <w:rPr>
          <w:b/>
          <w:color w:val="003CA0"/>
          <w:sz w:val="16"/>
        </w:rPr>
        <w:t>[RE 169.173, rel. min. Moreira Alves, j. 10-5-1996, 1ª T, DJ de 16-5-1997.]</w:t>
      </w:r>
    </w:p>
    <w:p>
      <w:pPr>
        <w:ind w:left="288"/>
      </w:pPr>
      <w:r>
        <w:rPr>
          <w:color w:val="8C8C8C"/>
          <w:sz w:val="12"/>
        </w:rPr>
        <w:t>cf-art-7-inc-XXIII</w:t>
      </w:r>
      <w:r>
        <w:rPr>
          <w:color w:val="003CA0"/>
          <w:sz w:val="12"/>
        </w:rPr>
        <w:t xml:space="preserve"> | RE 637.282</w:t>
      </w:r>
      <w:r>
        <w:rPr>
          <w:color w:val="003CA0"/>
          <w:sz w:val="12"/>
        </w:rPr>
        <w:t xml:space="preserve"> | rel. Dias Toffoli</w:t>
      </w:r>
    </w:p>
    <w:p>
      <w:pPr>
        <w:ind w:left="288"/>
      </w:pPr>
      <w:r>
        <w:rPr>
          <w:color w:val="1E1E1E"/>
          <w:sz w:val="18"/>
        </w:rPr>
        <w:t>= RE 637.282, rel. min. Dias Toffoli, j. 23-8-2012, dec. monocrática, DJE de 31-8-2012 XXIV - aposentadoria;</w:t>
      </w:r>
    </w:p>
    <w:p>
      <w:pPr>
        <w:ind w:left="288"/>
      </w:pPr>
      <w:r>
        <w:rPr>
          <w:color w:val="8C8C8C"/>
          <w:sz w:val="12"/>
        </w:rPr>
        <w:t>cf-art-7-inc-XXIII</w:t>
      </w:r>
      <w:r>
        <w:rPr>
          <w:color w:val="003CA0"/>
          <w:sz w:val="12"/>
        </w:rPr>
        <w:t xml:space="preserve"> | RE 521.703</w:t>
      </w:r>
      <w:r>
        <w:rPr>
          <w:color w:val="003CA0"/>
          <w:sz w:val="12"/>
        </w:rPr>
        <w:t xml:space="preserve"> | rel. Joaquim Barbosa</w:t>
      </w:r>
    </w:p>
    <w:p>
      <w:pPr>
        <w:ind w:left="288"/>
      </w:pPr>
      <w:r>
        <w:rPr>
          <w:color w:val="1E1E1E"/>
          <w:sz w:val="18"/>
        </w:rPr>
        <w:t>Previdenciário. INSS. Aposentadoria por tempo de serviço. Lei 8.213/1991. Efeito retroativo. Impossibilidade. Esta Turma já se manifestou no sentido da impossibilidade de ser estendida a lei mais vantajosa (Lei 8.213/1991, art. 53, I e II) a benefício que lhe é anterior.</w:t>
      </w:r>
    </w:p>
    <w:p>
      <w:pPr>
        <w:ind w:left="288"/>
      </w:pPr>
      <w:r>
        <w:rPr>
          <w:b/>
          <w:color w:val="003CA0"/>
          <w:sz w:val="16"/>
        </w:rPr>
        <w:t>[RE 521.703 ED, rel. min. Joaquim Barbosa, j. 27-11-2007, P, DJE de 1º-2-2008.]</w:t>
      </w:r>
    </w:p>
    <w:p>
      <w:pPr>
        <w:ind w:left="288"/>
      </w:pPr>
      <w:r>
        <w:rPr>
          <w:color w:val="8C8C8C"/>
          <w:sz w:val="12"/>
        </w:rPr>
        <w:t>cf-art-7-inc-XXIII</w:t>
      </w:r>
      <w:r>
        <w:rPr>
          <w:color w:val="003CA0"/>
          <w:sz w:val="12"/>
        </w:rPr>
        <w:t xml:space="preserve"> | RE 514.060</w:t>
      </w:r>
      <w:r>
        <w:rPr>
          <w:color w:val="003CA0"/>
          <w:sz w:val="12"/>
        </w:rPr>
        <w:t xml:space="preserve"> | rel. Ayres Britto</w:t>
      </w:r>
    </w:p>
    <w:p>
      <w:pPr>
        <w:ind w:left="288"/>
      </w:pPr>
      <w:r>
        <w:rPr>
          <w:color w:val="1E1E1E"/>
          <w:sz w:val="18"/>
        </w:rPr>
        <w:t>= RE 514.060 AgR, rel. min. Ayres Britto, j. 9-8-2011, 2ª T, DJE de 25-10-2011 Previdência social: aposentadoria espontânea não implica, por si só, extinção do contrato de trabalho. Despedida arbitrária ou sem justa causa (CF, art. 7º, I): viola a garantia constitucional o acórdão que, partindo de premissa derivada de interpretação conferida ao art. 453, caput, da CLT (redação alterada pela Lei 6.204/1975), decide que a aposentadoria espontânea extingue o contrato de trabalho, mesmo quando o empregado continua a trabalhar na empresa após a concessão do benefício previdenciário. A aposentadoria</w:t>
      </w:r>
    </w:p>
    <w:p>
      <w:pPr>
        <w:ind w:left="288"/>
      </w:pPr>
      <w:r>
        <w:rPr>
          <w:b/>
          <w:color w:val="003CA0"/>
          <w:sz w:val="16"/>
        </w:rPr>
        <w:t>[RE 449.420, rel. min. Sepúlveda Pertence, j. 16-8-2005, 1ª T, DJ de 14-10-2005.]</w:t>
      </w:r>
    </w:p>
    <w:p>
      <w:pPr>
        <w:ind w:left="288"/>
      </w:pPr>
      <w:r>
        <w:rPr>
          <w:color w:val="8C8C8C"/>
          <w:sz w:val="12"/>
        </w:rPr>
        <w:t>cf-art-7-inc-XXIII</w:t>
      </w:r>
      <w:r>
        <w:rPr>
          <w:color w:val="003CA0"/>
          <w:sz w:val="12"/>
        </w:rPr>
        <w:t xml:space="preserve"> | RE 487.734</w:t>
      </w:r>
      <w:r>
        <w:rPr>
          <w:color w:val="003CA0"/>
          <w:sz w:val="12"/>
        </w:rPr>
        <w:t xml:space="preserve"> | rel. Cármen Lúcia</w:t>
      </w:r>
    </w:p>
    <w:p>
      <w:pPr>
        <w:ind w:left="288"/>
      </w:pPr>
      <w:r>
        <w:rPr>
          <w:color w:val="1E1E1E"/>
          <w:sz w:val="18"/>
        </w:rPr>
        <w:t>= RE 487.734 AgR, rel. min. Cármen Lúcia, j. 13-10-2009, 1ª T, DJE de 13-11-2009 XXV - assistência gratuita aos filhos e dependentes desde o nascimento até 5 (cinco) anos de idade em creches e pré-escolas; (Redação da EC n. 53/2006) XXVI - reconhecimento das convenções e acordos coletivos de trabalho; 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w:t>
      </w:r>
    </w:p>
    <w:p>
      <w:pPr>
        <w:ind w:left="288"/>
      </w:pPr>
      <w:r>
        <w:rPr>
          <w:b/>
          <w:color w:val="003CA0"/>
          <w:sz w:val="16"/>
        </w:rPr>
        <w:t>[ADPF 1.058 MC-Ref, rel. min. Gilmar Mendes, j. 13-11-2025, P, Informativo STF 1.199.]</w:t>
      </w:r>
    </w:p>
    <w:p>
      <w:pPr>
        <w:ind w:left="144"/>
      </w:pPr>
      <w:r>
        <w:rPr>
          <w:b/>
          <w:color w:val="B45A00"/>
          <w:sz w:val="16"/>
        </w:rPr>
        <w:t>CONTROLE CONCENTRADO</w:t>
      </w:r>
    </w:p>
    <w:p>
      <w:pPr>
        <w:ind w:left="288"/>
      </w:pPr>
      <w:r>
        <w:rPr>
          <w:color w:val="8C8C8C"/>
          <w:sz w:val="12"/>
        </w:rPr>
        <w:t>cf-art-7-inc-XXIII</w:t>
      </w:r>
      <w:r>
        <w:rPr>
          <w:color w:val="003CA0"/>
          <w:sz w:val="12"/>
        </w:rPr>
        <w:t xml:space="preserve"> | ADI 5.322</w:t>
      </w:r>
      <w:r>
        <w:rPr>
          <w:color w:val="003CA0"/>
          <w:sz w:val="12"/>
        </w:rPr>
        <w:t xml:space="preserve"> | rel. Alexandre de Moraes</w:t>
      </w:r>
    </w:p>
    <w:p>
      <w:pPr>
        <w:ind w:left="288"/>
      </w:pPr>
      <w:r>
        <w:rPr>
          <w:color w:val="1E1E1E"/>
          <w:sz w:val="18"/>
        </w:rPr>
        <w:t>Reconhecimento da autonomia das negociações coletivas (art. 7º, XXVI, da CF). Constitucionalidade da redução e/ou fracionamento do intervalo intrajornada dos motoristas profissionais, desde que ajustado em acordo ou convenção coletiva de trabalho. A Constituição Federal não determinou um limite máximo de prestação em serviço extraordinário, de modo que compete à negociação coletiva de trabalho examinar a possibilidade de prorrogação da jornada da categoria por até quatro horas, em sintonia com a previsão constitucional disciplinada no art. 7º, XXVI, da CF. Constitucionalidade da norma que prev</w:t>
      </w:r>
    </w:p>
    <w:p>
      <w:pPr>
        <w:ind w:left="288"/>
      </w:pPr>
      <w:r>
        <w:rPr>
          <w:b/>
          <w:color w:val="003CA0"/>
          <w:sz w:val="16"/>
        </w:rPr>
        <w:t>[ADPF 323, rel. min. Gilmar Mendes, j. 30.05.2022, P, DJE de 15.09.2022.]</w:t>
      </w:r>
    </w:p>
    <w:p>
      <w:pPr>
        <w:ind w:left="288"/>
      </w:pPr>
      <w:r>
        <w:rPr>
          <w:color w:val="8C8C8C"/>
          <w:sz w:val="12"/>
        </w:rPr>
        <w:t>cf-art-7-inc-XXIII</w:t>
      </w:r>
      <w:r>
        <w:rPr>
          <w:color w:val="003CA0"/>
          <w:sz w:val="12"/>
        </w:rPr>
        <w:t xml:space="preserve"> | ADI 4.468</w:t>
      </w:r>
      <w:r>
        <w:rPr>
          <w:color w:val="003CA0"/>
          <w:sz w:val="12"/>
        </w:rPr>
        <w:t xml:space="preserve"> | rel. Celso de Mello</w:t>
      </w:r>
    </w:p>
    <w:p>
      <w:pPr>
        <w:ind w:left="288"/>
      </w:pPr>
      <w:r>
        <w:rPr>
          <w:color w:val="1E1E1E"/>
          <w:sz w:val="18"/>
        </w:rPr>
        <w:t>A fixação da jornada de trabalho mediante lei (tal como sucedeu em relação aos Assistentes Sociais), além de não traduzir ofensa à autonomia sindical ou ao processo de negociação coletiva para deliberar sobre esse tema, revela-se plenamente legítima e inteiramente compatível com o texto da Constituição da República, seja porque a Lei nº 12.317/2010 emanou de pessoa estatal competente (CF, art. 22, I), seja, ainda, porque mencionado diploma legislativo veiculou, no caso, norma claramente favorável a essa categoria profissional, pois instituiu, “in melius”, regime jurídico mais benéfico pertinen</w:t>
      </w:r>
    </w:p>
    <w:p>
      <w:pPr>
        <w:ind w:left="288"/>
      </w:pPr>
      <w:r>
        <w:rPr>
          <w:b/>
          <w:color w:val="003CA0"/>
          <w:sz w:val="16"/>
        </w:rPr>
        <w:t>[ADI 2.288, rel. min. Cármen Lúcia, j. 4-6-2020, P, DJE de 9-9-2020.]</w:t>
      </w:r>
    </w:p>
    <w:p>
      <w:pPr>
        <w:ind w:left="288"/>
      </w:pPr>
      <w:r>
        <w:rPr>
          <w:color w:val="8C8C8C"/>
          <w:sz w:val="12"/>
        </w:rPr>
        <w:t>cf-art-7-inc-XXIII</w:t>
      </w:r>
      <w:r>
        <w:rPr>
          <w:color w:val="003CA0"/>
          <w:sz w:val="12"/>
        </w:rPr>
        <w:t xml:space="preserve"> | ADI 1.764</w:t>
      </w:r>
    </w:p>
    <w:p>
      <w:pPr>
        <w:ind w:left="288"/>
      </w:pPr>
      <w:r>
        <w:rPr>
          <w:color w:val="1E1E1E"/>
          <w:sz w:val="18"/>
        </w:rPr>
        <w:t>A Lei 9.610 submete a possibilidade do contrato de trabalho por prazo determinado à existência de acordo ou convenção coletiva de trabalho. A possibilidade de tais acordos e convenções é prevista na Constituição Federal, que, além de prever sua ocorrência no caso de redução do salário (art. 7º, VI) e compensação ou redução de jornada (art. 7º, XIII), expressamente reconhece sua validade no inciso XXVI do art. 7º (...). Ressalto que há uma tendência em respeitar a autonomia nas relações de trabalho, decorrentes dos acordos e convenções coletivas, cuja importância é reafirmada na chamada Reforma</w:t>
      </w:r>
    </w:p>
    <w:p>
      <w:pPr>
        <w:ind w:left="288"/>
      </w:pPr>
      <w:r>
        <w:rPr>
          <w:b/>
          <w:color w:val="003CA0"/>
          <w:sz w:val="16"/>
        </w:rPr>
        <w:t>[ADI 1.764, voto do min. Gilmar Mendes, j. 20-4-2020, P, DJE de 29-5-2020.]</w:t>
      </w:r>
    </w:p>
    <w:p>
      <w:pPr>
        <w:ind w:left="288"/>
      </w:pPr>
      <w:r>
        <w:rPr>
          <w:color w:val="8C8C8C"/>
          <w:sz w:val="12"/>
        </w:rPr>
        <w:t>cf-art-7-inc-XXIII</w:t>
      </w:r>
      <w:r>
        <w:rPr>
          <w:color w:val="003CA0"/>
          <w:sz w:val="12"/>
        </w:rPr>
        <w:t xml:space="preserve"> | ADI 4.364</w:t>
      </w:r>
      <w:r>
        <w:rPr>
          <w:color w:val="003CA0"/>
          <w:sz w:val="12"/>
        </w:rPr>
        <w:t xml:space="preserve"> | rel. Dias Toffoli</w:t>
      </w:r>
    </w:p>
    <w:p>
      <w:pPr>
        <w:ind w:left="288"/>
      </w:pPr>
      <w:r>
        <w:rPr>
          <w:color w:val="1E1E1E"/>
          <w:sz w:val="18"/>
        </w:rPr>
        <w:t>A menção ao dever de obediência a patamar mínimo fixado em lei foi feita – em relação aos trabalhadores alcançados pela lei estadual, não abrangidos por nenhuma forma de negociação coletiva anterior – como reforço argumentativo, com o intuito de realçar a liberdade de atuação dos órgãos sindicais na construção das políticas salariais dos seus representados. Como foi destacado, o piso salarial fixado pela legislação estadual, em razão da limitação contida na LC federal 103/2000 e conforme ressalva expressa no art. 3º da lei estadual questionada, não incidirá sobre as profissões que tenham conve</w:t>
      </w:r>
    </w:p>
    <w:p>
      <w:pPr>
        <w:ind w:left="288"/>
      </w:pPr>
      <w:r>
        <w:rPr>
          <w:b/>
          <w:color w:val="003CA0"/>
          <w:sz w:val="16"/>
        </w:rPr>
        <w:t>[ADI 4.364 ED, rel. min. Dias Toffoli, j. 29-5-2013, P, DJE de 20-9-2013.]</w:t>
      </w:r>
    </w:p>
    <w:p>
      <w:pPr>
        <w:ind w:left="288"/>
      </w:pPr>
      <w:r>
        <w:rPr>
          <w:color w:val="8C8C8C"/>
          <w:sz w:val="12"/>
        </w:rPr>
        <w:t>cf-art-7-inc-XXIII</w:t>
      </w:r>
      <w:r>
        <w:rPr>
          <w:color w:val="003CA0"/>
          <w:sz w:val="12"/>
        </w:rPr>
        <w:t xml:space="preserve"> | ADI 4.364</w:t>
      </w:r>
      <w:r>
        <w:rPr>
          <w:color w:val="003CA0"/>
          <w:sz w:val="12"/>
        </w:rPr>
        <w:t xml:space="preserve"> | rel. Dias Toffoli</w:t>
      </w:r>
    </w:p>
    <w:p>
      <w:pPr>
        <w:ind w:left="288"/>
      </w:pPr>
      <w:r>
        <w:rPr>
          <w:color w:val="1E1E1E"/>
          <w:sz w:val="18"/>
        </w:rPr>
        <w:t>Vide ADI 4.364, rel. min. Dias Toffoli, j. 2-3-2011, P, DJE de 16-5-2011 A fim de manter-se o incentivo à negociação coletiva (art. 7º, XXVI, CF/1988), os pisos salariais regionais somente serão estabelecidos por lei naqueles casos em que não haja convenção ou acordo coletivo de trabalho. As entidades sindicais continuarão podendo atuar nas negociações coletivas, desde que respeitado o patamar mínimo legalmente assegurado.</w:t>
      </w:r>
    </w:p>
    <w:p>
      <w:pPr>
        <w:ind w:left="288"/>
      </w:pPr>
      <w:r>
        <w:rPr>
          <w:b/>
          <w:color w:val="003CA0"/>
          <w:sz w:val="16"/>
        </w:rPr>
        <w:t>[ADI 4.364, rel. min. Dias Toffoli, j. 2-3-2011, P, DJE de 16-5-2011.]</w:t>
      </w:r>
    </w:p>
    <w:p>
      <w:pPr>
        <w:ind w:left="288"/>
      </w:pPr>
      <w:r>
        <w:rPr>
          <w:color w:val="8C8C8C"/>
          <w:sz w:val="12"/>
        </w:rPr>
        <w:t>cf-art-7-inc-XXIII</w:t>
      </w:r>
      <w:r>
        <w:rPr>
          <w:color w:val="003CA0"/>
          <w:sz w:val="12"/>
        </w:rPr>
        <w:t xml:space="preserve"> | ADI 4.364</w:t>
      </w:r>
      <w:r>
        <w:rPr>
          <w:color w:val="003CA0"/>
          <w:sz w:val="12"/>
        </w:rPr>
        <w:t xml:space="preserve"> | rel. Dias Toffoli</w:t>
      </w:r>
    </w:p>
    <w:p>
      <w:pPr>
        <w:ind w:left="288"/>
      </w:pPr>
      <w:r>
        <w:rPr>
          <w:color w:val="1E1E1E"/>
          <w:sz w:val="18"/>
        </w:rPr>
        <w:t>Vide ADI 4.364 ED, rel. min. Dias Toffoli, j. 29-5-2013, P, DJE de 20-9-2013 A celebração de convenções e acordos coletivos de trabalho constitui direito reservado exclusivamente aos trabalhadores da iniciativa privada. A negociação coletiva demanda a existência de partes detentoras de ampla autonomia negocial, o que não se realiza no plano da relação estatutária. A administração pública é vinculada pelo princípio da legalidade. A atribuição de vantagens aos servidores somente pode ser concedida a partir de projeto de lei de iniciativa do chefe do Poder Executivo, consoante dispõe o art. 61, §</w:t>
      </w:r>
    </w:p>
    <w:p>
      <w:pPr>
        <w:ind w:left="288"/>
      </w:pPr>
      <w:r>
        <w:rPr>
          <w:b/>
          <w:color w:val="003CA0"/>
          <w:sz w:val="16"/>
        </w:rPr>
        <w:t>[ADI 559, rel. min. Eros Grau, j. 15-2-2006, P, DJ de 5-5-2006.]</w:t>
      </w:r>
    </w:p>
    <w:p>
      <w:pPr>
        <w:ind w:left="144"/>
      </w:pPr>
      <w:r>
        <w:rPr>
          <w:b/>
          <w:color w:val="B45A00"/>
          <w:sz w:val="16"/>
        </w:rPr>
        <w:t>REPERCUSSAO GERAL</w:t>
      </w:r>
    </w:p>
    <w:p>
      <w:pPr>
        <w:ind w:left="288"/>
      </w:pPr>
      <w:r>
        <w:rPr>
          <w:color w:val="8C8C8C"/>
          <w:sz w:val="12"/>
        </w:rPr>
        <w:t>cf-art-7-inc-XXIII</w:t>
      </w:r>
      <w:r>
        <w:rPr>
          <w:color w:val="003CA0"/>
          <w:sz w:val="12"/>
        </w:rPr>
        <w:t xml:space="preserve"> | ARE 1.121.633</w:t>
      </w:r>
      <w:r>
        <w:rPr>
          <w:color w:val="003CA0"/>
          <w:sz w:val="12"/>
        </w:rPr>
        <w:t xml:space="preserve"> | rel. Gilmar Mendes</w:t>
      </w:r>
    </w:p>
    <w:p>
      <w:pPr>
        <w:ind w:left="288"/>
      </w:pPr>
      <w:r>
        <w:rPr>
          <w:color w:val="1E1E1E"/>
          <w:sz w:val="18"/>
        </w:rPr>
        <w:t>São constitucionais os acordos e as convenções coletivas que, ao considerarem a adequação setorial negociada, pactuem limitações ou afastamentos de direitos trabalhistas, independentemente da explicitação especificada de vantagens compensatórias, desde que respeitados os direitos absolutamente indisponíveis.</w:t>
        <w:br/>
        <w:t xml:space="preserve">[ARE 1.121.633, rel. min. Gilmar Mendes, j. 2-6-2022, P, DJE de 28-4-2023, Tema 1.046, com mérito julgado.] A Constituição de 1988, em seu art. 7º, XXVI, prestigiou a autonomia coletiva da vontade e a autocomposição dos conflitos trabalhistas, acompanhando a tendência mundial ao crescente </w:t>
      </w:r>
    </w:p>
    <w:p>
      <w:pPr>
        <w:ind w:left="288"/>
      </w:pPr>
      <w:r>
        <w:rPr>
          <w:b/>
          <w:color w:val="003CA0"/>
          <w:sz w:val="16"/>
        </w:rPr>
        <w:t>[RE 590.415, rel. min. Roberto Barroso, j. 30-4-2015, P, DJE de 29-5-2015, Tema 152.]</w:t>
        <w:br/>
        <w:t>Vide RE 895.759 AgR-segundo, rel. min. Teori Zavascki, j. 8-12-2016, 2ª T, DJE de 23-5-2017</w:t>
      </w:r>
    </w:p>
    <w:p>
      <w:pPr>
        <w:ind w:left="144"/>
      </w:pPr>
      <w:r>
        <w:rPr>
          <w:b/>
          <w:color w:val="B45A00"/>
          <w:sz w:val="16"/>
        </w:rPr>
        <w:t>JULGADOS CORRELATOS</w:t>
      </w:r>
    </w:p>
    <w:p>
      <w:pPr>
        <w:ind w:left="288"/>
      </w:pPr>
      <w:r>
        <w:rPr>
          <w:color w:val="8C8C8C"/>
          <w:sz w:val="12"/>
        </w:rPr>
        <w:t>cf-art-7-inc-XXIII</w:t>
      </w:r>
      <w:r>
        <w:rPr>
          <w:color w:val="003CA0"/>
          <w:sz w:val="12"/>
        </w:rPr>
        <w:t xml:space="preserve"> | RE 590.415</w:t>
      </w:r>
      <w:r>
        <w:rPr>
          <w:color w:val="003CA0"/>
          <w:sz w:val="12"/>
        </w:rPr>
        <w:t xml:space="preserve"> | rel. Roberto Barroso</w:t>
      </w:r>
    </w:p>
    <w:p>
      <w:pPr>
        <w:ind w:left="288"/>
      </w:pPr>
      <w:r>
        <w:rPr>
          <w:color w:val="1E1E1E"/>
          <w:sz w:val="18"/>
        </w:rPr>
        <w:t xml:space="preserve">Conforme assentado pelo Plenário do STF no julgamento do RE 590.415 (rel. min. Roberto Barroso, DJE de 29-5-2015, Tema 152), a CF "reconheceu as convenções e os acordos coletivos como instrumentos legítimos de prevenção e de autocomposição de conflitos trabalhistas", tornando explícita inclusive "a possibilidade desses instrumentos para a redução de direitos trabalhistas". Ainda segundo esse precedente, as normas coletivas de trabalho podem prevalecer sobre "o padrão geral heterônomo, mesmo que sejam restritivas dos direitos dos trabalhadores, desde que não transacionem setorialmente parcelas </w:t>
      </w:r>
    </w:p>
    <w:p>
      <w:pPr>
        <w:ind w:left="288"/>
      </w:pPr>
      <w:r>
        <w:rPr>
          <w:b/>
          <w:color w:val="003CA0"/>
          <w:sz w:val="16"/>
        </w:rPr>
        <w:t>[RE 593.126 AgR, rel. min. Eros Grau, j. 10-2-2009, 2ª T, DJE de 13-3-2009.]</w:t>
      </w:r>
    </w:p>
    <w:p>
      <w:pPr>
        <w:ind w:left="288"/>
      </w:pPr>
      <w:r>
        <w:rPr>
          <w:color w:val="8C8C8C"/>
          <w:sz w:val="12"/>
        </w:rPr>
        <w:t>cf-art-7-inc-XXIII</w:t>
      </w:r>
      <w:r>
        <w:rPr>
          <w:color w:val="003CA0"/>
          <w:sz w:val="12"/>
        </w:rPr>
        <w:t xml:space="preserve"> | RE 564.425</w:t>
      </w:r>
      <w:r>
        <w:rPr>
          <w:color w:val="003CA0"/>
          <w:sz w:val="12"/>
        </w:rPr>
        <w:t xml:space="preserve"> | rel. Joaquim Barbosa</w:t>
      </w:r>
    </w:p>
    <w:p>
      <w:pPr>
        <w:ind w:left="288"/>
      </w:pPr>
      <w:r>
        <w:rPr>
          <w:color w:val="1E1E1E"/>
          <w:sz w:val="18"/>
        </w:rPr>
        <w:t>= RE 564.425 AgR, rel. min. Joaquim Barbosa, j. 5-6-2012, 2ª T, DJE de 22-6-2012 Acordo coletivo de trabalho: o art. 7º, XXVI, da CF não elide a declaração de nulidade de cláusula de acordo coletivo de trabalho à luz da legislação ordinária.</w:t>
      </w:r>
    </w:p>
    <w:p>
      <w:pPr>
        <w:ind w:left="288"/>
      </w:pPr>
      <w:r>
        <w:rPr>
          <w:b/>
          <w:color w:val="003CA0"/>
          <w:sz w:val="16"/>
        </w:rPr>
        <w:t>[AI 617.006 AgR, rel. min. Sepúlveda Pertence, j. 2-3-2007, P, DJ de 23-3-2007.]</w:t>
      </w:r>
    </w:p>
    <w:p>
      <w:pPr>
        <w:ind w:left="288"/>
      </w:pPr>
      <w:r>
        <w:rPr>
          <w:color w:val="8C8C8C"/>
          <w:sz w:val="12"/>
        </w:rPr>
        <w:t>cf-art-7-inc-XXIII</w:t>
      </w:r>
      <w:r>
        <w:rPr>
          <w:color w:val="003CA0"/>
          <w:sz w:val="12"/>
        </w:rPr>
        <w:t xml:space="preserve"> | AI 507.348</w:t>
      </w:r>
    </w:p>
    <w:p>
      <w:pPr>
        <w:ind w:left="288"/>
      </w:pPr>
      <w:r>
        <w:rPr>
          <w:color w:val="1E1E1E"/>
          <w:sz w:val="18"/>
        </w:rPr>
        <w:t>(...) a CF apenas assegura o reconhecimento dos acordos e convenções coletivas, genericamente, sem aludir ao prazo de validade das condições de trabalho estabelecidas, matéria afeta à lei ordinária.</w:t>
      </w:r>
    </w:p>
    <w:p>
      <w:pPr>
        <w:ind w:left="288"/>
      </w:pPr>
      <w:r>
        <w:rPr>
          <w:b/>
          <w:color w:val="003CA0"/>
          <w:sz w:val="16"/>
        </w:rPr>
        <w:t>[AI 507.348 AgR, voto do min. Marco Aurélio, j. 31-5-2005, 1ª T, DJ de 5-8-2005.]</w:t>
      </w:r>
    </w:p>
    <w:p>
      <w:pPr>
        <w:ind w:left="288"/>
      </w:pPr>
      <w:r>
        <w:rPr>
          <w:color w:val="8C8C8C"/>
          <w:sz w:val="12"/>
        </w:rPr>
        <w:t>cf-art-7-inc-XXIII</w:t>
      </w:r>
      <w:r>
        <w:rPr>
          <w:color w:val="003CA0"/>
          <w:sz w:val="12"/>
        </w:rPr>
        <w:t xml:space="preserve"> | RE 572.061</w:t>
      </w:r>
      <w:r>
        <w:rPr>
          <w:color w:val="003CA0"/>
          <w:sz w:val="12"/>
        </w:rPr>
        <w:t xml:space="preserve"> | rel. Ayres Britto</w:t>
      </w:r>
    </w:p>
    <w:p>
      <w:pPr>
        <w:ind w:left="288"/>
      </w:pPr>
      <w:r>
        <w:rPr>
          <w:color w:val="1E1E1E"/>
          <w:sz w:val="18"/>
        </w:rPr>
        <w:t>= RE 572.061 AgR, rel. min. Ayres Britto, j. 22-2-2011, 2ª T, DJE de 28-4-2011 XXVII - proteção em face da automação, na forma da lei; Ação direta de inconstitucionalidade por omissão contra mora atribuída ao Congresso Nacional na regulamentação da proteção do trabalhador em face da automação, prevista no art. 7º, XXVII, da CF. (...) Desde a Primeira Revolução Industrial, a evolução da tecnologia empregada nos meios de produção tem repercussões sobre a oferta e a qualidade dos postos de trabalho. (...) A Revolução Tecnológica ou Digital insere novos elementos nessa equação, especialmente com o</w:t>
      </w:r>
    </w:p>
    <w:p>
      <w:pPr>
        <w:ind w:left="288"/>
      </w:pPr>
      <w:r>
        <w:rPr>
          <w:b/>
          <w:color w:val="003CA0"/>
          <w:sz w:val="16"/>
        </w:rPr>
        <w:t>[ADO 73, rel. min. Luís Roberto Barroso, j. 09.10.2025, P, DJE de 18.12.2025.]</w:t>
      </w:r>
    </w:p>
    <w:p>
      <w:pPr>
        <w:ind w:left="144"/>
      </w:pPr>
      <w:r>
        <w:rPr>
          <w:b/>
          <w:color w:val="B45A00"/>
          <w:sz w:val="16"/>
        </w:rPr>
        <w:t>CONTROLE CONCENTRADO</w:t>
      </w:r>
    </w:p>
    <w:p>
      <w:pPr>
        <w:ind w:left="288"/>
      </w:pPr>
      <w:r>
        <w:rPr>
          <w:color w:val="8C8C8C"/>
          <w:sz w:val="12"/>
        </w:rPr>
        <w:t>cf-art-7-inc-XXIII</w:t>
      </w:r>
      <w:r>
        <w:rPr>
          <w:color w:val="003CA0"/>
          <w:sz w:val="12"/>
        </w:rPr>
        <w:t xml:space="preserve"> | ADI 3.899</w:t>
      </w:r>
      <w:r>
        <w:rPr>
          <w:color w:val="003CA0"/>
          <w:sz w:val="12"/>
        </w:rPr>
        <w:t xml:space="preserve"> | rel. Nunes Marques</w:t>
      </w:r>
    </w:p>
    <w:p>
      <w:pPr>
        <w:ind w:left="288"/>
      </w:pPr>
      <w:r>
        <w:rPr>
          <w:color w:val="1E1E1E"/>
          <w:sz w:val="18"/>
        </w:rPr>
        <w:t>A Lei distrital n. 3.923/2006 conferiu a fruição de um direito subjetivo – estabilidade parcial no emprego – a cobradores de ônibus que mantinham vínculo trabalhista com as concessionárias do serviço de transporte de passageiros do Distrito Federal na época em que implantada a bilhetagem eletrônica. A garantia de permanência no emprego traduz-se em estabilidade no emprego, matéria típica de direito do trabalho, de competência da União (CF, art. 22, I). A admitir-se que leis locais tratem desse tema, serão múltiplos os regimes trabalhistas no país, o que vai de encontro ao modelo federativo imp</w:t>
      </w:r>
    </w:p>
    <w:p>
      <w:pPr>
        <w:ind w:left="144"/>
      </w:pPr>
      <w:r>
        <w:rPr>
          <w:b/>
          <w:color w:val="B45A00"/>
          <w:sz w:val="16"/>
        </w:rPr>
        <w:t>SUMULA VINCULANTE</w:t>
      </w:r>
    </w:p>
    <w:p>
      <w:pPr>
        <w:ind w:left="288"/>
      </w:pPr>
      <w:r>
        <w:rPr>
          <w:color w:val="8C8C8C"/>
          <w:sz w:val="12"/>
        </w:rPr>
        <w:t>cf-art-7-inc-XXIII</w:t>
      </w:r>
    </w:p>
    <w:p>
      <w:pPr>
        <w:ind w:left="288"/>
      </w:pPr>
      <w:r>
        <w:rPr>
          <w:color w:val="1E1E1E"/>
          <w:sz w:val="18"/>
        </w:rPr>
        <w:t>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EC 45/2004.</w:t>
      </w:r>
    </w:p>
    <w:p>
      <w:pPr>
        <w:ind w:left="288"/>
      </w:pPr>
      <w:r>
        <w:rPr>
          <w:b/>
          <w:color w:val="003CA0"/>
          <w:sz w:val="16"/>
        </w:rPr>
        <w:t>[Súmula Vinculante 22.]</w:t>
      </w:r>
    </w:p>
    <w:p>
      <w:pPr>
        <w:ind w:left="144"/>
      </w:pPr>
      <w:r>
        <w:rPr>
          <w:b/>
          <w:color w:val="B45A00"/>
          <w:sz w:val="16"/>
        </w:rPr>
        <w:t>REPERCUSSAO GERAL</w:t>
      </w:r>
    </w:p>
    <w:p>
      <w:pPr>
        <w:ind w:left="288"/>
      </w:pPr>
      <w:r>
        <w:rPr>
          <w:color w:val="8C8C8C"/>
          <w:sz w:val="12"/>
        </w:rPr>
        <w:t>cf-art-7-inc-XXIII</w:t>
      </w:r>
      <w:r>
        <w:rPr>
          <w:color w:val="003CA0"/>
          <w:sz w:val="12"/>
        </w:rPr>
        <w:t xml:space="preserve"> | RE 828.040</w:t>
      </w:r>
      <w:r>
        <w:rPr>
          <w:color w:val="003CA0"/>
          <w:sz w:val="12"/>
        </w:rPr>
        <w:t xml:space="preserve"> | rel. Alexandre de Moraes</w:t>
      </w:r>
    </w:p>
    <w:p>
      <w:pPr>
        <w:ind w:left="288"/>
      </w:pPr>
      <w:r>
        <w:rPr>
          <w:color w:val="1E1E1E"/>
          <w:sz w:val="18"/>
        </w:rPr>
        <w:t>O artigo 927, parágrafo único, do Código Civil é compatível com o artigo 7º, XXVIII, da Constituição Federal, sendo constitucional a responsabilização objetiva do empregador por danos decorrentes de acidentes de trabalho, nos casos especificados em lei, ou quando a atividade normalmente desenvolvida, por sua natureza, apresentar exposição habitual a risco especial, com potencialidade lesiva e implicar ao trabalhador ônus maior do que aos demais membros da coletividade.</w:t>
      </w:r>
    </w:p>
    <w:p>
      <w:pPr>
        <w:ind w:left="288"/>
      </w:pPr>
      <w:r>
        <w:rPr>
          <w:b/>
          <w:color w:val="003CA0"/>
          <w:sz w:val="16"/>
        </w:rPr>
        <w:t>[RE 828.040, rel. min. Alexandre de Moraes, j. 12-3-2020, P, DJE de 26-6-2020, Tema 932, com mérito julgado.]</w:t>
      </w:r>
    </w:p>
    <w:p>
      <w:pPr>
        <w:ind w:left="144"/>
      </w:pPr>
      <w:r>
        <w:rPr>
          <w:b/>
          <w:color w:val="B45A00"/>
          <w:sz w:val="16"/>
        </w:rPr>
        <w:t>JULGADOS CORRELATOS</w:t>
      </w:r>
    </w:p>
    <w:p>
      <w:pPr>
        <w:ind w:left="288"/>
      </w:pPr>
      <w:r>
        <w:rPr>
          <w:color w:val="8C8C8C"/>
          <w:sz w:val="12"/>
        </w:rPr>
        <w:t>cf-art-7-inc-XXIII</w:t>
      </w:r>
      <w:r>
        <w:rPr>
          <w:color w:val="003CA0"/>
          <w:sz w:val="12"/>
        </w:rPr>
        <w:t xml:space="preserve"> | AI 742.458</w:t>
      </w:r>
      <w:r>
        <w:rPr>
          <w:color w:val="003CA0"/>
          <w:sz w:val="12"/>
        </w:rPr>
        <w:t xml:space="preserve"> | rel. Eros Grau</w:t>
      </w:r>
    </w:p>
    <w:p>
      <w:pPr>
        <w:ind w:left="288"/>
      </w:pPr>
      <w:r>
        <w:rPr>
          <w:color w:val="1E1E1E"/>
          <w:sz w:val="18"/>
        </w:rPr>
        <w:t>A cobrança da contribuição ao Seguro de Acidente de Trabalho (SAT) incidente sobre o total das remunerações pagas tanto aos empregados quanto aos trabalhadores avulsos é legítima.</w:t>
      </w:r>
    </w:p>
    <w:p>
      <w:pPr>
        <w:ind w:left="288"/>
      </w:pPr>
      <w:r>
        <w:rPr>
          <w:b/>
          <w:color w:val="003CA0"/>
          <w:sz w:val="16"/>
        </w:rPr>
        <w:t>[AI 742.458 AgR, rel. min. Eros Grau, j. 14-4-2009, 2ª T, DJE de 15-5-2009.]</w:t>
      </w:r>
    </w:p>
    <w:p>
      <w:pPr>
        <w:ind w:left="288"/>
      </w:pPr>
      <w:r>
        <w:rPr>
          <w:color w:val="8C8C8C"/>
          <w:sz w:val="12"/>
        </w:rPr>
        <w:t>cf-art-7-inc-XXIII</w:t>
      </w:r>
      <w:r>
        <w:rPr>
          <w:color w:val="003CA0"/>
          <w:sz w:val="12"/>
        </w:rPr>
        <w:t xml:space="preserve"> | RE 459.099</w:t>
      </w:r>
      <w:r>
        <w:rPr>
          <w:color w:val="003CA0"/>
          <w:sz w:val="12"/>
        </w:rPr>
        <w:t xml:space="preserve"> | rel. Dias Toffoli</w:t>
      </w:r>
    </w:p>
    <w:p>
      <w:pPr>
        <w:ind w:left="288"/>
      </w:pPr>
      <w:r>
        <w:rPr>
          <w:color w:val="1E1E1E"/>
          <w:sz w:val="18"/>
        </w:rPr>
        <w:t>= RE 459.099 AgR, rel. min. Dias Toffoli, j. 13-8-2013, 1ª T, DJE de 18-10-2013 O STF decidiu ser constitucional o art. 22, II, da Lei 8.212/1991, com a redação que lhe foi conferida pela Lei 9.732/1998, o qual expressamente estabelece que a contribuição destinada ao seguro de acidente do trabalho também custeará o benefício de aposentadoria especial.</w:t>
      </w:r>
    </w:p>
    <w:p>
      <w:pPr>
        <w:ind w:left="288"/>
      </w:pPr>
      <w:r>
        <w:rPr>
          <w:b/>
          <w:color w:val="003CA0"/>
          <w:sz w:val="16"/>
        </w:rPr>
        <w:t>[RE 365.913 AgR-ED, rel. min. Eros Grau, j. 28-3-2006, 2ª T, DJ de 23-6-2006.]</w:t>
      </w:r>
    </w:p>
    <w:p>
      <w:pPr>
        <w:ind w:left="288"/>
      </w:pPr>
      <w:r>
        <w:rPr>
          <w:color w:val="8C8C8C"/>
          <w:sz w:val="12"/>
        </w:rPr>
        <w:t>cf-art-7-inc-XXIII</w:t>
      </w:r>
      <w:r>
        <w:rPr>
          <w:color w:val="003CA0"/>
          <w:sz w:val="12"/>
        </w:rPr>
        <w:t xml:space="preserve"> | AI 804.423</w:t>
      </w:r>
      <w:r>
        <w:rPr>
          <w:color w:val="003CA0"/>
          <w:sz w:val="12"/>
        </w:rPr>
        <w:t xml:space="preserve"> | rel. Cármen Lúcia</w:t>
      </w:r>
    </w:p>
    <w:p>
      <w:pPr>
        <w:ind w:left="288"/>
      </w:pPr>
      <w:r>
        <w:rPr>
          <w:color w:val="1E1E1E"/>
          <w:sz w:val="18"/>
        </w:rPr>
        <w:t>= AI 804.423 AgR, rel. min. Cármen Lúcia, j. 23-3-2011, 1ª T, DJE de 12-4-2011 Contribuição para o custeio do Seguro de Acidente do Trabalho (SAT): Lei 7.787/1989, art. 3º, II; Lei 8.212/1991, art. 22, II: alegação no sentido de que são ofensivos ao art. 195, § 4º, c/c o art. 154, I, da CF: improcedência. Desnecessidade de observância da técnica da competência residual da União, CF, art. 154, I. Desnecessidade de lei complementar para a instituição da contribuição para o SAT.</w:t>
      </w:r>
    </w:p>
    <w:p>
      <w:pPr>
        <w:ind w:left="288"/>
      </w:pPr>
      <w:r>
        <w:rPr>
          <w:b/>
          <w:color w:val="003CA0"/>
          <w:sz w:val="16"/>
        </w:rPr>
        <w:t>[RE 343.446, rel. min. Carlos Velloso, j. 20-3-2003, P, DJ de 4-4-2003.]</w:t>
      </w:r>
    </w:p>
    <w:p>
      <w:pPr>
        <w:ind w:left="288"/>
      </w:pPr>
      <w:r>
        <w:rPr>
          <w:color w:val="8C8C8C"/>
          <w:sz w:val="12"/>
        </w:rPr>
        <w:t>cf-art-7-inc-XXIII</w:t>
      </w:r>
      <w:r>
        <w:rPr>
          <w:color w:val="003CA0"/>
          <w:sz w:val="12"/>
        </w:rPr>
        <w:t xml:space="preserve"> | AI 736.299</w:t>
      </w:r>
      <w:r>
        <w:rPr>
          <w:color w:val="003CA0"/>
          <w:sz w:val="12"/>
        </w:rPr>
        <w:t xml:space="preserve"> | rel. Gilmar Mendes</w:t>
      </w:r>
    </w:p>
    <w:p>
      <w:pPr>
        <w:ind w:left="288"/>
      </w:pPr>
      <w:r>
        <w:rPr>
          <w:color w:val="1E1E1E"/>
          <w:sz w:val="18"/>
        </w:rPr>
        <w:t>= AI 736.299 AgR, rel. min. Gilmar Mendes, j. 22-2-2011, 2ª T, DJE de 11-3-2011 XXIX - ação, quanto aos créditos resultantes das relações de trabalho, com prazo prescricional de cinco anos para os trabalhadores urbanos e rurais, até o limite de dois anos após a extinção do contrato de trabalho; (Redação da EC n. 28/2000)</w:t>
      </w:r>
    </w:p>
    <w:p>
      <w:pPr>
        <w:ind w:left="144"/>
      </w:pPr>
      <w:r>
        <w:rPr>
          <w:b/>
          <w:color w:val="B45A00"/>
          <w:sz w:val="16"/>
        </w:rPr>
        <w:t>CONTROLE CONCENTRADO</w:t>
      </w:r>
    </w:p>
    <w:p>
      <w:pPr>
        <w:ind w:left="288"/>
      </w:pPr>
      <w:r>
        <w:rPr>
          <w:color w:val="8C8C8C"/>
          <w:sz w:val="12"/>
        </w:rPr>
        <w:t>cf-art-7-inc-XXIII</w:t>
      </w:r>
      <w:r>
        <w:rPr>
          <w:color w:val="003CA0"/>
          <w:sz w:val="12"/>
        </w:rPr>
        <w:t xml:space="preserve"> | ADI 5.132</w:t>
      </w:r>
    </w:p>
    <w:p>
      <w:pPr>
        <w:ind w:left="288"/>
      </w:pPr>
      <w:r>
        <w:rPr>
          <w:color w:val="1E1E1E"/>
          <w:sz w:val="18"/>
        </w:rPr>
        <w:t>A Constituição da República, ao consignar, em seu art. 7º, o direito ‘à ação, quanto aos créditos resultantes das relações de trabalho, com prazo prescricional de cinco anos para os trabalhadores urbanos e rurais, até o limite de dois anos após a extinção do contrato de trabalho (inciso XXIX) e ‘a igualdade de direitos entre o trabalhador com vínculo empregatício permanente e o trabalhador avulso’ (inciso XXXIV), não elidiu a possibilidade de que, dentro do preceituado pelas normas constitucionais, em atenção aos princípios da valorização social do trabalho (art. 1º, IV) e de justiça social (a</w:t>
      </w:r>
    </w:p>
    <w:p>
      <w:pPr>
        <w:ind w:left="288"/>
      </w:pPr>
      <w:r>
        <w:rPr>
          <w:b/>
          <w:color w:val="003CA0"/>
          <w:sz w:val="16"/>
        </w:rPr>
        <w:t>[ADI 5.132, red. do ac. min. Edson Fachin, j. 29-3-2021, P, DJE de 15-4-2021.]</w:t>
      </w:r>
    </w:p>
    <w:p>
      <w:pPr>
        <w:ind w:left="288"/>
      </w:pPr>
      <w:r>
        <w:rPr>
          <w:color w:val="8C8C8C"/>
          <w:sz w:val="12"/>
        </w:rPr>
        <w:t>cf-art-7-inc-XXIII</w:t>
      </w:r>
      <w:r>
        <w:rPr>
          <w:color w:val="003CA0"/>
          <w:sz w:val="12"/>
        </w:rPr>
        <w:t xml:space="preserve"> | ADC 48</w:t>
      </w:r>
      <w:r>
        <w:rPr>
          <w:color w:val="003CA0"/>
          <w:sz w:val="12"/>
        </w:rPr>
        <w:t xml:space="preserve"> | rel. Roberto Barroso</w:t>
      </w:r>
    </w:p>
    <w:p>
      <w:pPr>
        <w:ind w:left="288"/>
      </w:pPr>
      <w:r>
        <w:rPr>
          <w:color w:val="1E1E1E"/>
          <w:sz w:val="18"/>
        </w:rPr>
        <w:t>A Lei 11.442/2007 (i) regulamentou a contratação de transportadores autônomos de carga por proprietários de carga e por empresas transportadoras de carga; (ii) autorizou a terceirização da atividade-fim pelas empresas transportadoras; e (iii) afastou a configuração de vínculo de emprego nessa hipótese. (...) Não há inconstitucionalidade no prazo prescricional de 1 (um) ano, a contar da ciência do dano, para a propositura de ação de reparação de danos, prevista no art. 18 da Lei 11.442/2007, à luz do art. 7º, XXIX, CF, uma vez que não se trata de relação de trabalho, mas de relação comercial.</w:t>
      </w:r>
    </w:p>
    <w:p>
      <w:pPr>
        <w:ind w:left="288"/>
      </w:pPr>
      <w:r>
        <w:rPr>
          <w:b/>
          <w:color w:val="003CA0"/>
          <w:sz w:val="16"/>
        </w:rPr>
        <w:t>[ADC 48, rel. min. Roberto Barroso, j. 15-4-2020, P, DJE de 19-5-2020.]</w:t>
      </w:r>
    </w:p>
    <w:p>
      <w:pPr>
        <w:ind w:left="288"/>
      </w:pPr>
      <w:r>
        <w:rPr>
          <w:color w:val="8C8C8C"/>
          <w:sz w:val="12"/>
        </w:rPr>
        <w:t>cf-art-7-inc-XXIII</w:t>
      </w:r>
      <w:r>
        <w:rPr>
          <w:color w:val="003CA0"/>
          <w:sz w:val="12"/>
        </w:rPr>
        <w:t xml:space="preserve"> | RE 1.336.848</w:t>
      </w:r>
      <w:r>
        <w:rPr>
          <w:color w:val="003CA0"/>
          <w:sz w:val="12"/>
        </w:rPr>
        <w:t xml:space="preserve"> | rel. Gilmar Mendes</w:t>
      </w:r>
    </w:p>
    <w:p>
      <w:pPr>
        <w:ind w:left="288"/>
      </w:pPr>
      <w:r>
        <w:rPr>
          <w:color w:val="1E1E1E"/>
          <w:sz w:val="18"/>
        </w:rPr>
        <w:t>“O prazo bienal para ajuizamento de ação, previsto na parte final do art. 7º, XXIX, da Constituição Federal, não se aplica aos servidores temporários que tiveram seus contratos declarados nulos, por se tratarem de ocupantes de cargos públicos regidos por vínculo de natureza jurídico-administrativa. Nesses casos, incide o prazo prescricional quinquenal, nos termos do art. 1º do Decreto nº 20.910/1932."</w:t>
      </w:r>
    </w:p>
    <w:p>
      <w:pPr>
        <w:ind w:left="288"/>
      </w:pPr>
      <w:r>
        <w:rPr>
          <w:b/>
          <w:color w:val="003CA0"/>
          <w:sz w:val="16"/>
        </w:rPr>
        <w:t>[RE 1.336.848, rel. min. Gilmar Mendes, j. 01.09.2025, P, DJE de 09.09.2025, Tema 1.189, com mérito julgado.]</w:t>
      </w:r>
    </w:p>
    <w:p>
      <w:pPr>
        <w:ind w:left="144"/>
      </w:pPr>
      <w:r>
        <w:rPr>
          <w:b/>
          <w:color w:val="B45A00"/>
          <w:sz w:val="16"/>
        </w:rPr>
        <w:t>REPERCUSSAO GERAL</w:t>
      </w:r>
    </w:p>
    <w:p>
      <w:pPr>
        <w:ind w:left="288"/>
      </w:pPr>
      <w:r>
        <w:rPr>
          <w:color w:val="8C8C8C"/>
          <w:sz w:val="12"/>
        </w:rPr>
        <w:t>cf-art-7-inc-XXIII</w:t>
      </w:r>
      <w:r>
        <w:rPr>
          <w:color w:val="003CA0"/>
          <w:sz w:val="12"/>
        </w:rPr>
        <w:t xml:space="preserve"> | ARE 709.212</w:t>
      </w:r>
      <w:r>
        <w:rPr>
          <w:color w:val="003CA0"/>
          <w:sz w:val="12"/>
        </w:rPr>
        <w:t xml:space="preserve"> | rel. Gilmar Mendes</w:t>
      </w:r>
    </w:p>
    <w:p>
      <w:pPr>
        <w:ind w:left="288"/>
      </w:pPr>
      <w:r>
        <w:rPr>
          <w:color w:val="1E1E1E"/>
          <w:sz w:val="18"/>
        </w:rPr>
        <w:t>FGTS. Cobrança de valores não pagos. Prazo prescricional. Prescrição quinquenal. Art. 7º, XXIX, da Constituição. Superação de entendimento anterior sobre prescrição trintenária. Inconstitucionalidade dos arts. 23, § 5º, da Lei 8.036/1990 e 55 do Regulamento do FGTS aprovado pelo Decreto 99.684/1990.</w:t>
      </w:r>
    </w:p>
    <w:p>
      <w:pPr>
        <w:ind w:left="288"/>
      </w:pPr>
      <w:r>
        <w:rPr>
          <w:b/>
          <w:color w:val="003CA0"/>
          <w:sz w:val="16"/>
        </w:rPr>
        <w:t>[ARE 709.212, rel. min. Gilmar Mendes, j. 13-11-2014, P, DJE de 19-2-2015, Tema 608, com mérito julgado.]</w:t>
      </w:r>
    </w:p>
    <w:p>
      <w:pPr>
        <w:ind w:left="144"/>
      </w:pPr>
      <w:r>
        <w:rPr>
          <w:b/>
          <w:color w:val="B45A00"/>
          <w:sz w:val="16"/>
        </w:rPr>
        <w:t>JULGADOS CORRELATOS</w:t>
      </w:r>
    </w:p>
    <w:p>
      <w:pPr>
        <w:ind w:left="288"/>
      </w:pPr>
      <w:r>
        <w:rPr>
          <w:color w:val="8C8C8C"/>
          <w:sz w:val="12"/>
        </w:rPr>
        <w:t>cf-art-7-inc-XXIII</w:t>
      </w:r>
      <w:r>
        <w:rPr>
          <w:color w:val="003CA0"/>
          <w:sz w:val="12"/>
        </w:rPr>
        <w:t xml:space="preserve"> | RE 556.180</w:t>
      </w:r>
      <w:r>
        <w:rPr>
          <w:color w:val="003CA0"/>
          <w:sz w:val="12"/>
        </w:rPr>
        <w:t xml:space="preserve"> | rel. Ellen Gracie</w:t>
      </w:r>
    </w:p>
    <w:p>
      <w:pPr>
        <w:ind w:left="288"/>
      </w:pPr>
      <w:r>
        <w:rPr>
          <w:color w:val="1E1E1E"/>
          <w:sz w:val="18"/>
        </w:rPr>
        <w:t>O STF entende que o prazo prescricional previsto no art. 7º, XXIX, da CF não se aplica a contratos de trabalho encerrados antes de sua entrada em vigor.</w:t>
      </w:r>
    </w:p>
    <w:p>
      <w:pPr>
        <w:ind w:left="288"/>
      </w:pPr>
      <w:r>
        <w:rPr>
          <w:b/>
          <w:color w:val="003CA0"/>
          <w:sz w:val="16"/>
        </w:rPr>
        <w:t>[RE 556.180 ED, rel. min. Ellen Gracie, j. 15-3-2011, 2ª T, DJE de 4-4-2011.]</w:t>
      </w:r>
    </w:p>
    <w:p>
      <w:pPr>
        <w:ind w:left="288"/>
      </w:pPr>
      <w:r>
        <w:rPr>
          <w:color w:val="8C8C8C"/>
          <w:sz w:val="12"/>
        </w:rPr>
        <w:t>cf-art-7-inc-XXIII</w:t>
      </w:r>
      <w:r>
        <w:rPr>
          <w:color w:val="003CA0"/>
          <w:sz w:val="12"/>
        </w:rPr>
        <w:t xml:space="preserve"> | AI 475.350</w:t>
      </w:r>
      <w:r>
        <w:rPr>
          <w:color w:val="003CA0"/>
          <w:sz w:val="12"/>
        </w:rPr>
        <w:t xml:space="preserve"> | rel. Ellen Gracie</w:t>
      </w:r>
    </w:p>
    <w:p>
      <w:pPr>
        <w:ind w:left="288"/>
      </w:pPr>
      <w:r>
        <w:rPr>
          <w:color w:val="1E1E1E"/>
          <w:sz w:val="18"/>
        </w:rPr>
        <w:t>FGTS. (...) O prazo prescricional do direito de ação referente a créditos trabalhistas é de dois anos da extinção do contrato de trabalho, conforme art. 7º, XXIX, da CF.</w:t>
      </w:r>
    </w:p>
    <w:p>
      <w:pPr>
        <w:ind w:left="288"/>
      </w:pPr>
      <w:r>
        <w:rPr>
          <w:b/>
          <w:color w:val="003CA0"/>
          <w:sz w:val="16"/>
        </w:rPr>
        <w:t>[AI 475.350 ED, rel. min. Ellen Gracie, j. 23-3-2010, 2ª T, DJE de 16-4-2010.]</w:t>
      </w:r>
    </w:p>
    <w:p>
      <w:pPr>
        <w:ind w:left="288"/>
      </w:pPr>
      <w:r>
        <w:rPr>
          <w:color w:val="8C8C8C"/>
          <w:sz w:val="12"/>
        </w:rPr>
        <w:t>cf-art-7-inc-XXIII</w:t>
      </w:r>
      <w:r>
        <w:rPr>
          <w:color w:val="003CA0"/>
          <w:sz w:val="12"/>
        </w:rPr>
        <w:t xml:space="preserve"> | AI 788.059</w:t>
      </w:r>
      <w:r>
        <w:rPr>
          <w:color w:val="003CA0"/>
          <w:sz w:val="12"/>
        </w:rPr>
        <w:t xml:space="preserve"> | rel. Gilmar Mendes</w:t>
      </w:r>
    </w:p>
    <w:p>
      <w:pPr>
        <w:ind w:left="288"/>
      </w:pPr>
      <w:r>
        <w:rPr>
          <w:color w:val="1E1E1E"/>
          <w:sz w:val="18"/>
        </w:rPr>
        <w:t>= AI 788.059 AgR, rel. min. Gilmar Mendes, j. 28-9-2010, 2ª T, DJE de 15-10-2010 O art. 7º, XXIX, da Carta Magna estabelece apenas o prazo prescricional. A relação da dicotomia entre as espécies de prescrição: parcial ou total, reside, exclusivamente, no âmbito infraconstitucional.</w:t>
      </w:r>
    </w:p>
    <w:p>
      <w:pPr>
        <w:ind w:left="288"/>
      </w:pPr>
      <w:r>
        <w:rPr>
          <w:b/>
          <w:color w:val="003CA0"/>
          <w:sz w:val="16"/>
        </w:rPr>
        <w:t>[RE 575.019 AgR, rel. min. Ellen Gracie, j. 3-2-2009, 2ª T, DJE de 6-3-2009.]</w:t>
      </w:r>
    </w:p>
    <w:p>
      <w:pPr>
        <w:ind w:left="288"/>
      </w:pPr>
      <w:r>
        <w:rPr>
          <w:color w:val="8C8C8C"/>
          <w:sz w:val="12"/>
        </w:rPr>
        <w:t>cf-art-7-inc-XXIII</w:t>
      </w:r>
      <w:r>
        <w:rPr>
          <w:color w:val="003CA0"/>
          <w:sz w:val="12"/>
        </w:rPr>
        <w:t xml:space="preserve"> | RE 317.660</w:t>
      </w:r>
      <w:r>
        <w:rPr>
          <w:color w:val="003CA0"/>
          <w:sz w:val="12"/>
        </w:rPr>
        <w:t xml:space="preserve"> | rel. Ilmar Galvão</w:t>
      </w:r>
    </w:p>
    <w:p>
      <w:pPr>
        <w:ind w:left="288"/>
      </w:pPr>
      <w:r>
        <w:rPr>
          <w:color w:val="1E1E1E"/>
          <w:sz w:val="18"/>
        </w:rPr>
        <w:t>Com a conversão do regime de trabalho do servidor, de celetista em estatutário, não obstante tenha resultado sem solução de continuidade o vínculo existente entre as mesmas partes, é de ter-se por extinto o contrato de trabalho e, consequentemente, iniciado, a partir de então, o curso do biênio estabelecido pela Carta Magna no dispositivo sob referência.</w:t>
      </w:r>
    </w:p>
    <w:p>
      <w:pPr>
        <w:ind w:left="288"/>
      </w:pPr>
      <w:r>
        <w:rPr>
          <w:b/>
          <w:color w:val="003CA0"/>
          <w:sz w:val="16"/>
        </w:rPr>
        <w:t>[RE 317.660, rel. min. Ilmar Galvão, j. 6-2-2002, P, DJ de 26-9-2003.]</w:t>
      </w:r>
    </w:p>
    <w:p>
      <w:pPr>
        <w:ind w:left="288"/>
      </w:pPr>
      <w:r>
        <w:rPr>
          <w:color w:val="8C8C8C"/>
          <w:sz w:val="12"/>
        </w:rPr>
        <w:t>cf-art-7-inc-XXIII</w:t>
      </w:r>
      <w:r>
        <w:rPr>
          <w:color w:val="003CA0"/>
          <w:sz w:val="12"/>
        </w:rPr>
        <w:t xml:space="preserve"> | RE 686.633</w:t>
      </w:r>
      <w:r>
        <w:rPr>
          <w:color w:val="003CA0"/>
          <w:sz w:val="12"/>
        </w:rPr>
        <w:t xml:space="preserve"> | rel. Cármen Lúcia</w:t>
      </w:r>
    </w:p>
    <w:p>
      <w:pPr>
        <w:ind w:left="288"/>
      </w:pPr>
      <w:r>
        <w:rPr>
          <w:color w:val="1E1E1E"/>
          <w:sz w:val="18"/>
        </w:rPr>
        <w:t>= RE 686.633, rel. min. Cármen Lúcia, j. 19-6-2012, dec. monocrática, DJE de 27-6-2012</w:t>
      </w:r>
    </w:p>
    <w:p>
      <w:pPr>
        <w:ind w:left="144"/>
      </w:pPr>
      <w:r>
        <w:rPr>
          <w:b/>
          <w:color w:val="B45A00"/>
          <w:sz w:val="16"/>
        </w:rPr>
        <w:t>SUMULA</w:t>
      </w:r>
    </w:p>
    <w:p>
      <w:pPr>
        <w:ind w:left="288"/>
      </w:pPr>
      <w:r>
        <w:rPr>
          <w:color w:val="8C8C8C"/>
          <w:sz w:val="12"/>
        </w:rPr>
        <w:t>cf-art-7-inc-XXX</w:t>
      </w:r>
    </w:p>
    <w:p>
      <w:pPr>
        <w:ind w:left="288"/>
      </w:pPr>
      <w:r>
        <w:rPr>
          <w:color w:val="1E1E1E"/>
          <w:sz w:val="18"/>
        </w:rPr>
        <w:t>O limite de idade para a inscrição em concurso público só se legitima em face do art. 7º, XXX, da Constituição, quando possa ser justificado pela natureza das atribuições do cargo a ser preenchido.</w:t>
      </w:r>
    </w:p>
    <w:p>
      <w:pPr>
        <w:ind w:left="288"/>
      </w:pPr>
      <w:r>
        <w:rPr>
          <w:b/>
          <w:color w:val="003CA0"/>
          <w:sz w:val="16"/>
        </w:rPr>
        <w:t>[Súmula 683.]</w:t>
      </w:r>
    </w:p>
    <w:p>
      <w:pPr>
        <w:ind w:left="144"/>
      </w:pPr>
      <w:r>
        <w:rPr>
          <w:b/>
          <w:color w:val="B45A00"/>
          <w:sz w:val="16"/>
        </w:rPr>
        <w:t>CONTROLE CONCENTRADO</w:t>
      </w:r>
    </w:p>
    <w:p>
      <w:pPr>
        <w:ind w:left="288"/>
      </w:pPr>
      <w:r>
        <w:rPr>
          <w:color w:val="8C8C8C"/>
          <w:sz w:val="12"/>
        </w:rPr>
        <w:t>cf-art-7-inc-XXX</w:t>
      </w:r>
      <w:r>
        <w:rPr>
          <w:color w:val="003CA0"/>
          <w:sz w:val="12"/>
        </w:rPr>
        <w:t xml:space="preserve"> | ADI 7.483</w:t>
      </w:r>
      <w:r>
        <w:rPr>
          <w:color w:val="003CA0"/>
          <w:sz w:val="12"/>
        </w:rPr>
        <w:t xml:space="preserve"> | rel. Cristiano Zanin</w:t>
      </w:r>
    </w:p>
    <w:p>
      <w:pPr>
        <w:ind w:left="288"/>
      </w:pPr>
      <w:r>
        <w:rPr>
          <w:color w:val="1E1E1E"/>
          <w:sz w:val="18"/>
        </w:rPr>
        <w:t>A interpretação de que o art. 11 da Lei n. 2.108/1993, do Estado do Rio de Janeiro, pode restringir o acesso de mulheres a cargos da Polícia Militar viola diversos dispositivos e princípios constitucionais, tais como o direito à isonomia e à igualdade entre homens e mulheres (art. 5º, caput e I, da CF), o direito à não discriminação em razão de sexo (art. 3º, IV, da CF), o direito à proteção do mercado de trabalho da mulher (art. 7º, XX, da CF), a proibição à adoção de qualquer critério discriminatório por motivo de sexo, quando da admissão em ocupações públicas (art. 7º, XXX, da CF), o direit</w:t>
      </w:r>
    </w:p>
    <w:p>
      <w:pPr>
        <w:ind w:left="288"/>
      </w:pPr>
      <w:r>
        <w:rPr>
          <w:b/>
          <w:color w:val="003CA0"/>
          <w:sz w:val="16"/>
        </w:rPr>
        <w:t>[ADI 5.400, rel. min. Luiz Fux, j. 21-2-2020, P, DJE de 12-3-2020.]</w:t>
      </w:r>
    </w:p>
    <w:p>
      <w:pPr>
        <w:ind w:left="288"/>
      </w:pPr>
      <w:r>
        <w:rPr>
          <w:color w:val="8C8C8C"/>
          <w:sz w:val="12"/>
        </w:rPr>
        <w:t>cf-art-7-inc-XXX</w:t>
      </w:r>
      <w:r>
        <w:rPr>
          <w:color w:val="003CA0"/>
          <w:sz w:val="12"/>
        </w:rPr>
        <w:t xml:space="preserve"> | RE 1.530.083</w:t>
      </w:r>
      <w:r>
        <w:rPr>
          <w:color w:val="003CA0"/>
          <w:sz w:val="12"/>
        </w:rPr>
        <w:t xml:space="preserve"> | rel. Luiz Fux</w:t>
      </w:r>
    </w:p>
    <w:p>
      <w:pPr>
        <w:ind w:left="288"/>
      </w:pPr>
      <w:r>
        <w:rPr>
          <w:color w:val="1E1E1E"/>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w:t>
      </w:r>
    </w:p>
    <w:p>
      <w:pPr>
        <w:ind w:left="288"/>
      </w:pPr>
      <w:r>
        <w:rPr>
          <w:b/>
          <w:color w:val="003CA0"/>
          <w:sz w:val="16"/>
        </w:rPr>
        <w:t>[RE 1.530.083, rel. min. Luiz Fux, j. 27.08.2025, P, DJE de 29.10.2025, Tema 1.388, com mérito julgado.]</w:t>
      </w:r>
    </w:p>
    <w:p>
      <w:pPr>
        <w:ind w:left="288"/>
      </w:pPr>
      <w:r>
        <w:rPr>
          <w:color w:val="8C8C8C"/>
          <w:sz w:val="12"/>
        </w:rPr>
        <w:t>cf-art-7-inc-XXX</w:t>
      </w:r>
      <w:r>
        <w:rPr>
          <w:color w:val="003CA0"/>
          <w:sz w:val="12"/>
        </w:rPr>
        <w:t xml:space="preserve"> | RE 1.530.083</w:t>
      </w:r>
      <w:r>
        <w:rPr>
          <w:color w:val="003CA0"/>
          <w:sz w:val="12"/>
        </w:rPr>
        <w:t xml:space="preserve"> | rel. Luiz Fux</w:t>
      </w:r>
    </w:p>
    <w:p>
      <w:pPr>
        <w:ind w:left="288"/>
      </w:pPr>
      <w:r>
        <w:rPr>
          <w:color w:val="1E1E1E"/>
          <w:sz w:val="18"/>
        </w:rPr>
        <w:t>Compatibilidade do artigo 144-A, da Lei n. 6.880/1980 (Estatuto dos Militares) com a Constituição Federal, em razão de restringir acesso e permanência nos órgãos de formação ou graduação de oficiais e de praças que os mantenham em regime de internato, de dedicação exclusiva e de disponibilidade permanente peculiar à carreira militar, àqueles que não tenham filhos ou dependentes e não sejam casados ou não tenham constituído união estável.</w:t>
      </w:r>
    </w:p>
    <w:p>
      <w:pPr>
        <w:ind w:left="288"/>
      </w:pPr>
      <w:r>
        <w:rPr>
          <w:b/>
          <w:color w:val="003CA0"/>
          <w:sz w:val="16"/>
        </w:rPr>
        <w:t>[RE 1.530.083 RG, rel. min. Luiz Fux, j. 11.04.2025, P, DJE de 30.04.2025, Tema 1.388, com mérito pendente.]</w:t>
      </w:r>
    </w:p>
    <w:p>
      <w:pPr>
        <w:ind w:left="144"/>
      </w:pPr>
      <w:r>
        <w:rPr>
          <w:b/>
          <w:color w:val="B45A00"/>
          <w:sz w:val="16"/>
        </w:rPr>
        <w:t>REPERCUSSAO GERAL</w:t>
      </w:r>
    </w:p>
    <w:p>
      <w:pPr>
        <w:ind w:left="288"/>
      </w:pPr>
      <w:r>
        <w:rPr>
          <w:color w:val="8C8C8C"/>
          <w:sz w:val="12"/>
        </w:rPr>
        <w:t>cf-art-7-inc-XXX</w:t>
      </w:r>
      <w:r>
        <w:rPr>
          <w:color w:val="003CA0"/>
          <w:sz w:val="12"/>
        </w:rPr>
        <w:t xml:space="preserve"> | RE 658.312</w:t>
      </w:r>
      <w:r>
        <w:rPr>
          <w:color w:val="003CA0"/>
          <w:sz w:val="12"/>
        </w:rPr>
        <w:t xml:space="preserve"> | rel. Dias Toffoli</w:t>
      </w:r>
    </w:p>
    <w:p>
      <w:pPr>
        <w:ind w:left="288"/>
      </w:pPr>
      <w:r>
        <w:rPr>
          <w:color w:val="1E1E1E"/>
          <w:sz w:val="18"/>
        </w:rPr>
        <w:t>O art. 384 da CLT, em relação ao período anterior à edição da Lei n. 13.467/2017, foi recepcionado pela Constituição Federal de 1988, aplicando-se a todas as mulheres trabalhadoras.</w:t>
      </w:r>
    </w:p>
    <w:p>
      <w:pPr>
        <w:ind w:left="288"/>
      </w:pPr>
      <w:r>
        <w:rPr>
          <w:b/>
          <w:color w:val="003CA0"/>
          <w:sz w:val="16"/>
        </w:rPr>
        <w:t>[RE 658.312 2º Julg, rel. min. Dias Toffoli, j. 15-9-2021, P, DJE de 6-12-2021, Tema 528, com mérito julgado.]</w:t>
      </w:r>
    </w:p>
    <w:p>
      <w:pPr>
        <w:ind w:left="288"/>
      </w:pPr>
      <w:r>
        <w:rPr>
          <w:color w:val="8C8C8C"/>
          <w:sz w:val="12"/>
        </w:rPr>
        <w:t>cf-art-7-inc-XXX</w:t>
      </w:r>
      <w:r>
        <w:rPr>
          <w:color w:val="003CA0"/>
          <w:sz w:val="12"/>
        </w:rPr>
        <w:t xml:space="preserve"> | ARE 678.112</w:t>
      </w:r>
    </w:p>
    <w:p>
      <w:pPr>
        <w:ind w:left="288"/>
      </w:pPr>
      <w:r>
        <w:rPr>
          <w:color w:val="1E1E1E"/>
          <w:sz w:val="18"/>
        </w:rPr>
        <w:t xml:space="preserve">Insta saber se é razoável ou não limitar idade para ingressar em carreira policial, a par da aprovação em testes médicos e físicos. Com efeito, o Supremo tem entendido, em casos semelhantes, que o estabelecimento de limite de idade para inscrição em concurso público apenas é legítimo quando justificado pela natureza das atribuições do cargo a ser preenchido. (...) Nesse mesmo sentido, o teor do Enunciado 683 da Súmula da jurisprudência dominante neste Pretório Excelso: "O limite de idade para a inscrição em concurso público só se legitima em face do art. 7º, XXX, da Constituição, quando possa </w:t>
      </w:r>
    </w:p>
    <w:p>
      <w:pPr>
        <w:ind w:left="288"/>
      </w:pPr>
      <w:r>
        <w:rPr>
          <w:b/>
          <w:color w:val="003CA0"/>
          <w:sz w:val="16"/>
        </w:rPr>
        <w:t>[ARE 678.112 RG, voto do min. Luiz Fux, j. 25-4-2013, P, DJE de 17-5-2013, Tema 646, com mérito julgado.]</w:t>
      </w:r>
    </w:p>
    <w:p>
      <w:pPr>
        <w:ind w:left="288"/>
      </w:pPr>
      <w:r>
        <w:rPr>
          <w:color w:val="8C8C8C"/>
          <w:sz w:val="12"/>
        </w:rPr>
        <w:t>cf-art-7-inc-XXX</w:t>
      </w:r>
      <w:r>
        <w:rPr>
          <w:color w:val="003CA0"/>
          <w:sz w:val="12"/>
        </w:rPr>
        <w:t xml:space="preserve"> | RE 523.737</w:t>
      </w:r>
      <w:r>
        <w:rPr>
          <w:color w:val="003CA0"/>
          <w:sz w:val="12"/>
        </w:rPr>
        <w:t xml:space="preserve"> | rel. Ellen Gracie</w:t>
      </w:r>
    </w:p>
    <w:p>
      <w:pPr>
        <w:ind w:left="288"/>
      </w:pPr>
      <w:r>
        <w:rPr>
          <w:color w:val="1E1E1E"/>
          <w:sz w:val="18"/>
        </w:rPr>
        <w:t>Vide RE 523.737 AgR, rel. min. Ellen Gracie, j. 22-6-2010, 2ª T, DJE de 6-8-2010</w:t>
      </w:r>
    </w:p>
    <w:p>
      <w:pPr>
        <w:ind w:left="144"/>
      </w:pPr>
      <w:r>
        <w:rPr>
          <w:b/>
          <w:color w:val="B45A00"/>
          <w:sz w:val="16"/>
        </w:rPr>
        <w:t>JULGADOS CORRELATOS</w:t>
      </w:r>
    </w:p>
    <w:p>
      <w:pPr>
        <w:ind w:left="288"/>
      </w:pPr>
      <w:r>
        <w:rPr>
          <w:color w:val="8C8C8C"/>
          <w:sz w:val="12"/>
        </w:rPr>
        <w:t>cf-art-7-inc-XXX</w:t>
      </w:r>
      <w:r>
        <w:rPr>
          <w:color w:val="003CA0"/>
          <w:sz w:val="12"/>
        </w:rPr>
        <w:t xml:space="preserve"> | RE 161.243</w:t>
      </w:r>
      <w:r>
        <w:rPr>
          <w:color w:val="003CA0"/>
          <w:sz w:val="12"/>
        </w:rPr>
        <w:t xml:space="preserve"> | rel. Carlos Velloso</w:t>
      </w:r>
    </w:p>
    <w:p>
      <w:pPr>
        <w:ind w:left="288"/>
      </w:pPr>
      <w:r>
        <w:rPr>
          <w:color w:val="1E1E1E"/>
          <w:sz w:val="18"/>
        </w:rPr>
        <w:t>(...) no que concerne aos direitos sociais, nosso sistema veda, no inciso XXX do art. 7º da CF, qualquer discriminação decorrente – além, evidentemente, da nacionalidade – de sexo, idade, cor ou estado civil. Dessa maneira, nosso sistema constitucional é contrário a tratamento discriminatório entre pessoas que prestam serviços iguais a um empregador. No que concerne ao estrangeiro, quando a Constituição quis limitar-lhe o acesso a algum direito, expressamente estipulou. (...) Mas o princípio do nosso sistema é o da igualdade de tratamento. Em consequência, não pode uma empresa, no Brasil, seja</w:t>
      </w:r>
    </w:p>
    <w:p>
      <w:pPr>
        <w:ind w:left="288"/>
      </w:pPr>
      <w:r>
        <w:rPr>
          <w:b/>
          <w:color w:val="003CA0"/>
          <w:sz w:val="16"/>
        </w:rPr>
        <w:t>[RE 161.243, rel. min. Carlos Velloso, voto do min. Néri da Silveira, j. 29-10-1996, 2ª T, DJ de 19-12-1997.]</w:t>
      </w:r>
    </w:p>
    <w:p>
      <w:pPr>
        <w:ind w:left="144"/>
      </w:pPr>
      <w:r>
        <w:rPr>
          <w:b/>
          <w:color w:val="B45A00"/>
          <w:sz w:val="16"/>
        </w:rPr>
        <w:t>CONTROLE CONCENTRADO</w:t>
      </w:r>
    </w:p>
    <w:p>
      <w:pPr>
        <w:ind w:left="288"/>
      </w:pPr>
      <w:r>
        <w:rPr>
          <w:color w:val="8C8C8C"/>
          <w:sz w:val="12"/>
        </w:rPr>
        <w:t>cf-art-7-inc-XXXI</w:t>
      </w:r>
      <w:r>
        <w:rPr>
          <w:color w:val="003CA0"/>
          <w:sz w:val="12"/>
        </w:rPr>
        <w:t xml:space="preserve"> | ADI 5.760</w:t>
      </w:r>
      <w:r>
        <w:rPr>
          <w:color w:val="003CA0"/>
          <w:sz w:val="12"/>
        </w:rPr>
        <w:t xml:space="preserve"> | rel. Alexandre de Moraes</w:t>
      </w:r>
    </w:p>
    <w:p>
      <w:pPr>
        <w:ind w:left="288"/>
      </w:pPr>
      <w:r>
        <w:rPr>
          <w:color w:val="1E1E1E"/>
          <w:sz w:val="18"/>
        </w:rPr>
        <w:t>A deficiência física, por si só, não incapacita generalizadamente o trabalhador para o desempenho de atividades laborais em embarcações, não existindo exigência legal ou convencional de plena capacidade física para toda e qualquer atividade marítima. A eventual incompatibilidade entre determinadas atividades e certas limitações físicas não justifica a exclusão do trabalho marítimo do alcance da política pública de inclusão social das pessoas com deficiência. A exclusão de postos de trabalho marítimo embarcado do cálculo destinado a apurar o número de vagas destinadas aos deficientes (art. 93 d</w:t>
      </w:r>
    </w:p>
    <w:p>
      <w:pPr>
        <w:ind w:left="288"/>
      </w:pPr>
      <w:r>
        <w:rPr>
          <w:b/>
          <w:color w:val="003CA0"/>
          <w:sz w:val="16"/>
        </w:rPr>
        <w:t>[ADI 5.760, rel. min. Alexandre de Moraes, j. 13-9-2019, P, DJE de 26-9-2019.]</w:t>
      </w:r>
    </w:p>
    <w:p>
      <w:pPr>
        <w:ind w:left="288"/>
      </w:pPr>
      <w:r>
        <w:rPr>
          <w:color w:val="8C8C8C"/>
          <w:sz w:val="12"/>
        </w:rPr>
        <w:t>cf-art-7-inc-XXXII</w:t>
      </w:r>
    </w:p>
    <w:p>
      <w:pPr>
        <w:ind w:left="288"/>
      </w:pPr>
      <w:r>
        <w:rPr>
          <w:color w:val="1E1E1E"/>
          <w:sz w:val="18"/>
        </w:rPr>
        <w:t>XXXIII - proibição de trabalho noturno, perigoso ou insalubre a menores de dezoito e de qualquer trabalho a menores de dezesseis anos, salvo na condição de aprendiz, a partir de quatorze anos; (Redação da EC n. 20/1998)</w:t>
      </w:r>
    </w:p>
    <w:p>
      <w:pPr>
        <w:ind w:left="288"/>
      </w:pPr>
      <w:r>
        <w:rPr>
          <w:color w:val="8C8C8C"/>
          <w:sz w:val="12"/>
        </w:rPr>
        <w:t>cf-art-7-inc-XXXII</w:t>
      </w:r>
      <w:r>
        <w:rPr>
          <w:color w:val="003CA0"/>
          <w:sz w:val="12"/>
        </w:rPr>
        <w:t xml:space="preserve"> | ADI 2.096</w:t>
      </w:r>
      <w:r>
        <w:rPr>
          <w:color w:val="003CA0"/>
          <w:sz w:val="12"/>
        </w:rPr>
        <w:t xml:space="preserve"> | rel. Celso de Mello</w:t>
      </w:r>
    </w:p>
    <w:p>
      <w:pPr>
        <w:ind w:left="288"/>
      </w:pPr>
      <w:r>
        <w:rPr>
          <w:color w:val="1E1E1E"/>
          <w:sz w:val="18"/>
        </w:rPr>
        <w:t>Proibição de qualquer trabalho a menores de 16 (dezesseis) anos, salvo na condição de aprendiz, a partir dos 14 (quatorze) anos (...) A evolução jurídica das formas de tratamento legislativo dispensado à criança e ao adolescente: da fase da absoluta indiferença à doutrina da proteção integral – Abolição da exploração do trabalho infantil de caráter estritamente econômico e elevação progressiva da idade mínima de admissão para o trabalho e o emprego – Observância dos compromissos firmados pelo Brasil no plano internacional (Convenção sobre os Direitos da Criança, Convenção OIT nº 138 e Meta 8.7</w:t>
      </w:r>
    </w:p>
    <w:p>
      <w:pPr>
        <w:ind w:left="288"/>
      </w:pPr>
      <w:r>
        <w:rPr>
          <w:b/>
          <w:color w:val="003CA0"/>
          <w:sz w:val="16"/>
        </w:rPr>
        <w:t>[ADI 2.096, rel. min. Celso de Mello, j. 13-10-2020, P, DJE de 27-10-2020.]</w:t>
      </w:r>
    </w:p>
    <w:p>
      <w:pPr>
        <w:ind w:left="144"/>
      </w:pPr>
      <w:r>
        <w:rPr>
          <w:b/>
          <w:color w:val="B45A00"/>
          <w:sz w:val="16"/>
        </w:rPr>
        <w:t>JULGADOS CORRELATOS</w:t>
      </w:r>
    </w:p>
    <w:p>
      <w:pPr>
        <w:ind w:left="288"/>
      </w:pPr>
      <w:r>
        <w:rPr>
          <w:color w:val="8C8C8C"/>
          <w:sz w:val="12"/>
        </w:rPr>
        <w:t>cf-art-7-inc-XXXII</w:t>
      </w:r>
      <w:r>
        <w:rPr>
          <w:color w:val="003CA0"/>
          <w:sz w:val="12"/>
        </w:rPr>
        <w:t xml:space="preserve"> | RE 537.040</w:t>
      </w:r>
      <w:r>
        <w:rPr>
          <w:color w:val="003CA0"/>
          <w:sz w:val="12"/>
        </w:rPr>
        <w:t xml:space="preserve"> | rel. Dias Toffoli). [RE 600.616 AgR</w:t>
      </w:r>
    </w:p>
    <w:p>
      <w:pPr>
        <w:ind w:left="288"/>
      </w:pPr>
      <w:r>
        <w:rPr>
          <w:color w:val="1E1E1E"/>
          <w:sz w:val="18"/>
        </w:rPr>
        <w:t>Trabalhadora rural. Menor de dezesseis anos de idade. Concessão de salário-maternidade. (...) Nos termos da jurisprudência do STF, o art. 7º, XXXIII, da Constituição "não pode ser interpretado em prejuízo da criança ou adolescente que exerce atividade laboral, haja vista que a regra constitucional foi criada para a proteção e defesa dos trabalhadores, não podendo ser utilizada para privá-los dos seus direitos" (RE 537.040, rel. min. Dias Toffoli).</w:t>
      </w:r>
    </w:p>
    <w:p>
      <w:pPr>
        <w:ind w:left="288"/>
      </w:pPr>
      <w:r>
        <w:rPr>
          <w:b/>
          <w:color w:val="003CA0"/>
          <w:sz w:val="16"/>
        </w:rPr>
        <w:t>[RE 600.616 AgR, rel. min. Roberto Barroso, j. 26-8-2014, 1ª T, DJE de 10-9-2014.]</w:t>
      </w:r>
    </w:p>
    <w:p>
      <w:pPr>
        <w:ind w:left="288"/>
      </w:pPr>
      <w:r>
        <w:rPr>
          <w:color w:val="8C8C8C"/>
          <w:sz w:val="12"/>
        </w:rPr>
        <w:t>cf-art-7-inc-XXXII</w:t>
      </w:r>
      <w:r>
        <w:rPr>
          <w:color w:val="003CA0"/>
          <w:sz w:val="12"/>
        </w:rPr>
        <w:t xml:space="preserve"> | RE 1.225.475</w:t>
      </w:r>
      <w:r>
        <w:rPr>
          <w:color w:val="003CA0"/>
          <w:sz w:val="12"/>
        </w:rPr>
        <w:t xml:space="preserve"> | rel. Ricardo Lewandowski</w:t>
      </w:r>
    </w:p>
    <w:p>
      <w:pPr>
        <w:ind w:left="288"/>
      </w:pPr>
      <w:r>
        <w:rPr>
          <w:color w:val="1E1E1E"/>
          <w:sz w:val="18"/>
        </w:rPr>
        <w:t>= RE 1.225.475 AgR, rel. min. Ricardo Lewandowski, j. 21-12-2020, 2ª T, DJE de 5-2-2021 Trabalhador rural ou rurícola menor de quatorze anos. Contagem de tempo de serviço. Art. 11, VII, da Lei  8.213. Possibilidade. Precedentes. (...) Impossibilidade de declaração de efeitos retroativos para o caso de declaração de nulidade de contratos trabalhistas. Tratamento similar na doutrina do direito comparado: México, Alemanha, França e Itália. Norma de garantia do trabalhador que não se interpreta em seu detrimento. Acórdão do STJ em conformidade com a jurisprudência desta Corte.</w:t>
      </w:r>
    </w:p>
    <w:p>
      <w:pPr>
        <w:ind w:left="288"/>
      </w:pPr>
      <w:r>
        <w:rPr>
          <w:b/>
          <w:color w:val="003CA0"/>
          <w:sz w:val="16"/>
        </w:rPr>
        <w:t>[AI 529.694, rel. min. Gilmar Mendes, j. 15-2-2005, 2ª T, DJ de 11-3-2005.]</w:t>
      </w:r>
    </w:p>
    <w:p>
      <w:pPr>
        <w:ind w:left="288"/>
      </w:pPr>
      <w:r>
        <w:rPr>
          <w:color w:val="8C8C8C"/>
          <w:sz w:val="12"/>
        </w:rPr>
        <w:t>cf-art-7-inc-XXXII</w:t>
      </w:r>
    </w:p>
    <w:p>
      <w:pPr>
        <w:ind w:left="288"/>
      </w:pPr>
      <w:r>
        <w:rPr>
          <w:color w:val="1E1E1E"/>
          <w:sz w:val="18"/>
        </w:rPr>
        <w:t>XXXIV - igualdade de direitos entre o trabalhador com vínculo empregatício permanente e o trabalhador avulso.</w:t>
      </w:r>
    </w:p>
    <w:p>
      <w:pPr>
        <w:ind w:left="144"/>
      </w:pPr>
      <w:r>
        <w:rPr>
          <w:b/>
          <w:color w:val="B45A00"/>
          <w:sz w:val="16"/>
        </w:rPr>
        <w:t>CONTROLE CONCENTRADO</w:t>
      </w:r>
    </w:p>
    <w:p>
      <w:pPr>
        <w:ind w:left="288"/>
      </w:pPr>
      <w:r>
        <w:rPr>
          <w:color w:val="8C8C8C"/>
          <w:sz w:val="12"/>
        </w:rPr>
        <w:t>cf-art-7-inc-XXXII</w:t>
      </w:r>
      <w:r>
        <w:rPr>
          <w:color w:val="003CA0"/>
          <w:sz w:val="12"/>
        </w:rPr>
        <w:t xml:space="preserve"> | ADI 5.132</w:t>
      </w:r>
    </w:p>
    <w:p>
      <w:pPr>
        <w:ind w:left="288"/>
      </w:pPr>
      <w:r>
        <w:rPr>
          <w:color w:val="1E1E1E"/>
          <w:sz w:val="18"/>
        </w:rPr>
        <w:t>A Constituição da República, ao consignar, em seu art. 7º, o direito ‘à ação, quanto aos créditos resultantes das relações de trabalho, com prazo prescricional de cinco anos para os trabalhadores urbanos e rurais, até o limite de dois anos após a extinção do contrato de trabalho (inciso XXIX) e ‘a igualdade de direitos entre o trabalhador com vínculo empregatício permanente e o trabalhador avulso’ (inciso XXXIV), não elidiu a possibilidade de que, dentro do preceituado pelas normas constitucionais, em atenção aos princípios da valorização social do trabalho (art. 1º, IV) e de justiça social (a</w:t>
      </w:r>
    </w:p>
    <w:p>
      <w:pPr>
        <w:ind w:left="288"/>
      </w:pPr>
      <w:r>
        <w:rPr>
          <w:b/>
          <w:color w:val="003CA0"/>
          <w:sz w:val="16"/>
        </w:rPr>
        <w:t>[ADI 5.132, red. do ac. min. Edson Fachin, j. 29-3-2021, P, DJE de 15-4-2021.]</w:t>
      </w:r>
    </w:p>
    <w:p>
      <w:pPr>
        <w:ind w:left="144"/>
      </w:pPr>
      <w:r>
        <w:rPr>
          <w:b/>
          <w:color w:val="B45A00"/>
          <w:sz w:val="16"/>
        </w:rPr>
        <w:t>REPERCUSSAO GERAL</w:t>
      </w:r>
    </w:p>
    <w:p>
      <w:pPr>
        <w:ind w:left="288"/>
      </w:pPr>
      <w:r>
        <w:rPr>
          <w:color w:val="8C8C8C"/>
          <w:sz w:val="12"/>
        </w:rPr>
        <w:t>cf-art-7-inc-XXXII</w:t>
      </w:r>
      <w:r>
        <w:rPr>
          <w:color w:val="003CA0"/>
          <w:sz w:val="12"/>
        </w:rPr>
        <w:t xml:space="preserve"> | RE 597.124</w:t>
      </w:r>
      <w:r>
        <w:rPr>
          <w:color w:val="003CA0"/>
          <w:sz w:val="12"/>
        </w:rPr>
        <w:t xml:space="preserve"> | rel. Edson Fachin</w:t>
      </w:r>
    </w:p>
    <w:p>
      <w:pPr>
        <w:ind w:left="288"/>
      </w:pPr>
      <w:r>
        <w:rPr>
          <w:color w:val="1E1E1E"/>
          <w:sz w:val="18"/>
        </w:rPr>
        <w:t>Sempre que for pago ao trabalhador com vínculo permanente, o adicional de riscos é devido, nos mesmos termos, ao trabalhador portuário avulso.</w:t>
      </w:r>
    </w:p>
    <w:p>
      <w:pPr>
        <w:ind w:left="288"/>
      </w:pPr>
      <w:r>
        <w:rPr>
          <w:b/>
          <w:color w:val="003CA0"/>
          <w:sz w:val="16"/>
        </w:rPr>
        <w:t>[RE 597.124, rel. min. Edson Fachin, j. 3-6-2020, P, DJE de 23-10-2020, Tema 222, com mérito julgado.]</w:t>
      </w:r>
    </w:p>
    <w:p>
      <w:pPr>
        <w:ind w:left="288"/>
      </w:pPr>
      <w:r>
        <w:rPr>
          <w:color w:val="8C8C8C"/>
          <w:sz w:val="12"/>
        </w:rPr>
        <w:t>cf-art-7-inc-XXXII</w:t>
      </w:r>
    </w:p>
    <w:p>
      <w:pPr>
        <w:ind w:left="288"/>
      </w:pPr>
      <w:r>
        <w:rPr>
          <w:color w:val="1E1E1E"/>
          <w:sz w:val="18"/>
        </w:rPr>
        <w:t>Parágrafo único. São assegurados à categoria dos trabalhadores domésticos os direitos previstos nos incisos IV, VI, VII, VIII, X, XIII, XV, XVI, XVII, XVIII, XIX, XXI, XXII, XXIV, XXVI, XXX, XXXI e XXXIII e, atendidas as condições estabelecidas em lei e observada a simplificação do cumprimento das obrigações tributárias, principais e acessórias, decorrentes da relação de trabalho e suas peculiaridades, os previstos nos incisos I, II, III, IX, XII, XXV e XXVIII, bem como a sua integração à previdência social. (Redação da EC n. 72/2013)</w:t>
      </w:r>
    </w:p>
    <w:p>
      <w:r>
        <w:rPr>
          <w:b/>
          <w:color w:val="003366"/>
          <w:sz w:val="20"/>
        </w:rPr>
        <w:t>Art. 8 É concedida anistia aos que, no período de 18 de setembro de 1946 até a d</w:t>
      </w:r>
      <w:r>
        <w:rPr>
          <w:color w:val="8C8C8C"/>
          <w:sz w:val="14"/>
        </w:rPr>
        <w:t xml:space="preserve">  [74 decisoes]</w:t>
      </w:r>
    </w:p>
    <w:p>
      <w:pPr>
        <w:ind w:left="144"/>
      </w:pPr>
      <w:r>
        <w:rPr>
          <w:b/>
          <w:color w:val="B45A00"/>
          <w:sz w:val="16"/>
        </w:rPr>
        <w:t>CONTROLE CONCENTRADO</w:t>
      </w:r>
    </w:p>
    <w:p>
      <w:pPr>
        <w:ind w:left="288"/>
      </w:pPr>
      <w:r>
        <w:rPr>
          <w:color w:val="8C8C8C"/>
          <w:sz w:val="12"/>
        </w:rPr>
        <w:t>cf-art-8</w:t>
      </w:r>
      <w:r>
        <w:rPr>
          <w:color w:val="003CA0"/>
          <w:sz w:val="12"/>
        </w:rPr>
        <w:t xml:space="preserve"> | ADI 5.251</w:t>
      </w:r>
      <w:r>
        <w:rPr>
          <w:color w:val="003CA0"/>
          <w:sz w:val="12"/>
        </w:rPr>
        <w:t xml:space="preserve"> | rel. Marco Aurélio</w:t>
      </w:r>
    </w:p>
    <w:p>
      <w:pPr>
        <w:ind w:left="288"/>
      </w:pPr>
      <w:r>
        <w:rPr>
          <w:color w:val="1E1E1E"/>
          <w:sz w:val="18"/>
        </w:rPr>
        <w:t>É incompatível, com a liberdade de associação profissional ou sindical – artigo 8º, cabeça e inciso V, da Carta da República –, a exigência, para o exercício de profissão, de inscrição em órgão de classe ou sindicato.</w:t>
      </w:r>
    </w:p>
    <w:p>
      <w:pPr>
        <w:ind w:left="288"/>
      </w:pPr>
      <w:r>
        <w:rPr>
          <w:b/>
          <w:color w:val="003CA0"/>
          <w:sz w:val="16"/>
        </w:rPr>
        <w:t>[ADI 5.251, rel. min. Marco Aurélio, j. 8-4-2021, P, DJE de 16-4-2021.]</w:t>
      </w:r>
    </w:p>
    <w:p>
      <w:pPr>
        <w:ind w:left="288"/>
      </w:pPr>
      <w:r>
        <w:rPr>
          <w:color w:val="8C8C8C"/>
          <w:sz w:val="12"/>
        </w:rPr>
        <w:t>cf-art-8</w:t>
      </w:r>
      <w:r>
        <w:rPr>
          <w:color w:val="003CA0"/>
          <w:sz w:val="12"/>
        </w:rPr>
        <w:t xml:space="preserve"> | ADPF 276</w:t>
      </w:r>
      <w:r>
        <w:rPr>
          <w:color w:val="003CA0"/>
          <w:sz w:val="12"/>
        </w:rPr>
        <w:t xml:space="preserve"> | rel. Cármen Lúcia</w:t>
      </w:r>
    </w:p>
    <w:p>
      <w:pPr>
        <w:ind w:left="288"/>
      </w:pPr>
      <w:r>
        <w:rPr>
          <w:color w:val="1E1E1E"/>
          <w:sz w:val="18"/>
        </w:rPr>
        <w:t>Recepção do art. 522 da Consolidação Das Leis do Trabalho. (...) A liberdade sindical tem previsão constitucional, mas não se dota de caráter absoluto. A previsão legal de número máximo de dirigentes sindicais dotados de estabilidade de emprego não esvazia aquela liberdade, que se preserva para cumprir a finalidade de autonomia da entidade sindical, não para criar situações de estabilidade genérica e ilimitada sem se conciliar com a razoabilidade e a finalidade da norma constitucional garantidora do direito.</w:t>
      </w:r>
    </w:p>
    <w:p>
      <w:pPr>
        <w:ind w:left="288"/>
      </w:pPr>
      <w:r>
        <w:rPr>
          <w:b/>
          <w:color w:val="003CA0"/>
          <w:sz w:val="16"/>
        </w:rPr>
        <w:t>[ADPF 276, rel. min. Cármen Lúcia, j. 15-5-2020, P, DJE de 3-6-2020.]</w:t>
      </w:r>
    </w:p>
    <w:p>
      <w:pPr>
        <w:ind w:left="288"/>
      </w:pPr>
      <w:r>
        <w:rPr>
          <w:color w:val="8C8C8C"/>
          <w:sz w:val="12"/>
        </w:rPr>
        <w:t>cf-art-8</w:t>
      </w:r>
      <w:r>
        <w:rPr>
          <w:color w:val="003CA0"/>
          <w:sz w:val="12"/>
        </w:rPr>
        <w:t xml:space="preserve"> | ADI 5.794</w:t>
      </w:r>
      <w:r>
        <w:rPr>
          <w:color w:val="003CA0"/>
          <w:sz w:val="12"/>
        </w:rPr>
        <w:t xml:space="preserve"> | rel. Dias Toffoli</w:t>
      </w:r>
    </w:p>
    <w:p>
      <w:pPr>
        <w:ind w:left="288"/>
      </w:pPr>
      <w:r>
        <w:rPr>
          <w:color w:val="1E1E1E"/>
          <w:sz w:val="18"/>
        </w:rPr>
        <w:t>A Carta Magna não contém qualquer comando impondo a compulsoriedade da contribuição sindical, na medida em que o art. 8º, IV, da Constituição remete à lei a tarefa de dispor sobre a referida contribuição e o art. 149 da Lei Maior, por sua vez, limita-se a conferir à União o poder de criar contribuições sociais, o que, evidentemente, inclui a prerrogativa de extinguir ou modificar a natureza de contribuições existentes. A supressão do caráter compulsório das contribuições sindicais não vulnera o princípio constitucional da autonomia da organização sindical, previsto no art. 8º, I, da Carta Magn</w:t>
      </w:r>
    </w:p>
    <w:p>
      <w:pPr>
        <w:ind w:left="288"/>
      </w:pPr>
      <w:r>
        <w:rPr>
          <w:b/>
          <w:color w:val="003CA0"/>
          <w:sz w:val="16"/>
        </w:rPr>
        <w:t>[ARE 1.541.256 AgR, rel. min. Dias Toffoli, j. 13.05.2025, P, DJE de 06.06.2025.]</w:t>
      </w:r>
    </w:p>
    <w:p>
      <w:pPr>
        <w:ind w:left="288"/>
      </w:pPr>
      <w:r>
        <w:rPr>
          <w:color w:val="8C8C8C"/>
          <w:sz w:val="12"/>
        </w:rPr>
        <w:t>cf-art-8</w:t>
      </w:r>
    </w:p>
    <w:p>
      <w:pPr>
        <w:ind w:left="288"/>
      </w:pPr>
      <w:r>
        <w:rPr>
          <w:color w:val="1E1E1E"/>
          <w:sz w:val="18"/>
        </w:rPr>
        <w:t>I - a lei não poderá exigir autorização do Estado para a fundação de sindicato, ressalvado o registro no órgão competente, vedadas ao Poder Público a interferência e a intervenção na organização sindical;</w:t>
      </w:r>
    </w:p>
    <w:p>
      <w:pPr>
        <w:ind w:left="144"/>
      </w:pPr>
      <w:r>
        <w:rPr>
          <w:b/>
          <w:color w:val="B45A00"/>
          <w:sz w:val="16"/>
        </w:rPr>
        <w:t>SUMULA</w:t>
      </w:r>
    </w:p>
    <w:p>
      <w:pPr>
        <w:ind w:left="288"/>
      </w:pPr>
      <w:r>
        <w:rPr>
          <w:color w:val="8C8C8C"/>
          <w:sz w:val="12"/>
        </w:rPr>
        <w:t>cf-art-8</w:t>
      </w:r>
    </w:p>
    <w:p>
      <w:pPr>
        <w:ind w:left="288"/>
      </w:pPr>
      <w:r>
        <w:rPr>
          <w:color w:val="1E1E1E"/>
          <w:sz w:val="18"/>
        </w:rPr>
        <w:t>Até que lei venha a dispor a respeito, incumbe ao Ministério do Trabalho proceder ao registro das entidades sindicais e zelar pela observância do princípio da unicidade.</w:t>
      </w:r>
    </w:p>
    <w:p>
      <w:pPr>
        <w:ind w:left="288"/>
      </w:pPr>
      <w:r>
        <w:rPr>
          <w:b/>
          <w:color w:val="003CA0"/>
          <w:sz w:val="16"/>
        </w:rPr>
        <w:t>[Súmula 677.]</w:t>
      </w:r>
    </w:p>
    <w:p>
      <w:pPr>
        <w:ind w:left="144"/>
      </w:pPr>
      <w:r>
        <w:rPr>
          <w:b/>
          <w:color w:val="B45A00"/>
          <w:sz w:val="16"/>
        </w:rPr>
        <w:t>CONTROLE CONCENTRADO</w:t>
      </w:r>
    </w:p>
    <w:p>
      <w:pPr>
        <w:ind w:left="288"/>
      </w:pPr>
      <w:r>
        <w:rPr>
          <w:color w:val="8C8C8C"/>
          <w:sz w:val="12"/>
        </w:rPr>
        <w:t>cf-art-8</w:t>
      </w:r>
      <w:r>
        <w:rPr>
          <w:color w:val="003CA0"/>
          <w:sz w:val="12"/>
        </w:rPr>
        <w:t xml:space="preserve"> | ADI 4.468</w:t>
      </w:r>
      <w:r>
        <w:rPr>
          <w:color w:val="003CA0"/>
          <w:sz w:val="12"/>
        </w:rPr>
        <w:t xml:space="preserve"> | rel. Celso de Mello</w:t>
      </w:r>
    </w:p>
    <w:p>
      <w:pPr>
        <w:ind w:left="288"/>
      </w:pPr>
      <w:r>
        <w:rPr>
          <w:color w:val="1E1E1E"/>
          <w:sz w:val="18"/>
        </w:rPr>
        <w:t>A fixação da jornada de trabalho mediante lei (tal como sucedeu em relação aos Assistentes Sociais), além de não traduzir ofensa à autonomia sindical ou ao processo de negociação coletiva para deliberar sobre esse tema, revela-se plenamente legítima e inteiramente compatível com o texto da Constituição da República, seja porque a Lei nº 12.317/2010 emanou de pessoa estatal competente (CF, art. 22, I), seja, ainda, porque mencionado diploma legislativo veiculou, no caso, norma claramente favorável a essa categoria profissional, pois instituiu, “in melius”, regime jurídico mais benéfico pertinen</w:t>
      </w:r>
    </w:p>
    <w:p>
      <w:pPr>
        <w:ind w:left="288"/>
      </w:pPr>
      <w:r>
        <w:rPr>
          <w:b/>
          <w:color w:val="003CA0"/>
          <w:sz w:val="16"/>
        </w:rPr>
        <w:t>[ADI 4.468, rel. min. Celso de Mello, j. 13-10-2020, P, DJE de 27-10-2020.]</w:t>
      </w:r>
    </w:p>
    <w:p>
      <w:pPr>
        <w:ind w:left="288"/>
      </w:pPr>
      <w:r>
        <w:rPr>
          <w:color w:val="8C8C8C"/>
          <w:sz w:val="12"/>
        </w:rPr>
        <w:t>cf-art-8</w:t>
      </w:r>
      <w:r>
        <w:rPr>
          <w:color w:val="003CA0"/>
          <w:sz w:val="12"/>
        </w:rPr>
        <w:t xml:space="preserve"> | ADI 4.364</w:t>
      </w:r>
      <w:r>
        <w:rPr>
          <w:color w:val="003CA0"/>
          <w:sz w:val="12"/>
        </w:rPr>
        <w:t xml:space="preserve"> | rel. Dias Toffoli</w:t>
      </w:r>
    </w:p>
    <w:p>
      <w:pPr>
        <w:ind w:left="288"/>
      </w:pPr>
      <w:r>
        <w:rPr>
          <w:color w:val="1E1E1E"/>
          <w:sz w:val="18"/>
        </w:rPr>
        <w:t>A parte final do parágrafo único do art. 2º da LC 459/2009, ao determinar a participação do "Governo do Estado de Santa Catarina" nas negociações entre as entidades sindicais de trabalhadores e empregadores para atualização dos pisos salariais fixados na referida lei complementar, ofende o princípio da autonomia sindical (art. 8º, I, CF/1988) e extrapola os contornos da competência legislativa delegada pela União. As negociações coletivas devem ocorrer com a participação dos representantes dos empregadores e dos trabalhadores, sem intromissão do governo (princípio da negociação livre). Ao cria</w:t>
      </w:r>
    </w:p>
    <w:p>
      <w:pPr>
        <w:ind w:left="288"/>
      </w:pPr>
      <w:r>
        <w:rPr>
          <w:b/>
          <w:color w:val="003CA0"/>
          <w:sz w:val="16"/>
        </w:rPr>
        <w:t>[ADI 4.364, rel. min. Dias Toffoli, j. 2-3-2011, P, DJE de 16-5-2011.]</w:t>
      </w:r>
    </w:p>
    <w:p>
      <w:pPr>
        <w:ind w:left="288"/>
      </w:pPr>
      <w:r>
        <w:rPr>
          <w:color w:val="8C8C8C"/>
          <w:sz w:val="12"/>
        </w:rPr>
        <w:t>cf-art-8</w:t>
      </w:r>
      <w:r>
        <w:rPr>
          <w:color w:val="003CA0"/>
          <w:sz w:val="12"/>
        </w:rPr>
        <w:t xml:space="preserve"> | ADI 4.033</w:t>
      </w:r>
      <w:r>
        <w:rPr>
          <w:color w:val="003CA0"/>
          <w:sz w:val="12"/>
        </w:rPr>
        <w:t xml:space="preserve"> | rel. Joaquim Barbosa</w:t>
      </w:r>
    </w:p>
    <w:p>
      <w:pPr>
        <w:ind w:left="288"/>
      </w:pPr>
      <w:r>
        <w:rPr>
          <w:color w:val="1E1E1E"/>
          <w:sz w:val="18"/>
        </w:rPr>
        <w:t>Contribuição sindical patronal. Isenção concedida às microempresas e empresas de pequeno porte. Simples Nacional ("Supersimples"). LC 123/2006, art. 13, § 3º. (...) Risco à autonomia sindical afastado, na medida em que o benefício em exame poderá tanto elevar o número de empresas a patamar superior ao da faixa de isenção quanto fomentar a atividade econômica e o consumo para as empresas de médio ou de grande porte, ao incentivar a regularização de empreendimentos.</w:t>
      </w:r>
    </w:p>
    <w:p>
      <w:pPr>
        <w:ind w:left="288"/>
      </w:pPr>
      <w:r>
        <w:rPr>
          <w:b/>
          <w:color w:val="003CA0"/>
          <w:sz w:val="16"/>
        </w:rPr>
        <w:t>[ADI 4.033, rel. min. Joaquim Barbosa, j. 15-9-2010, P, DJE de 7-2-2011.]</w:t>
      </w:r>
    </w:p>
    <w:p>
      <w:pPr>
        <w:ind w:left="288"/>
      </w:pPr>
      <w:r>
        <w:rPr>
          <w:color w:val="8C8C8C"/>
          <w:sz w:val="12"/>
        </w:rPr>
        <w:t>cf-art-8</w:t>
      </w:r>
      <w:r>
        <w:rPr>
          <w:color w:val="003CA0"/>
          <w:sz w:val="12"/>
        </w:rPr>
        <w:t xml:space="preserve"> | ADI 2.522</w:t>
      </w:r>
      <w:r>
        <w:rPr>
          <w:color w:val="003CA0"/>
          <w:sz w:val="12"/>
        </w:rPr>
        <w:t xml:space="preserve"> | rel. Eros Grau</w:t>
      </w:r>
    </w:p>
    <w:p>
      <w:pPr>
        <w:ind w:left="288"/>
      </w:pPr>
      <w:r>
        <w:rPr>
          <w:color w:val="1E1E1E"/>
          <w:sz w:val="18"/>
        </w:rPr>
        <w:t>Art. 47 da Lei federal 8.906/1994. Estatuto da Advocacia e da Ordem dos Advogados do Brasil. Contribuição anual à OAB. Isenção do pagamento obrigatório da contribuição sindical. (...) O texto hostilizado não consubstancia violação da independência sindical, visto não ser expressivo de interferência e/ou intervenção na organização dos sindicatos. (...) O texto atacado não obsta a liberdade dos advogados.</w:t>
      </w:r>
    </w:p>
    <w:p>
      <w:pPr>
        <w:ind w:left="288"/>
      </w:pPr>
      <w:r>
        <w:rPr>
          <w:b/>
          <w:color w:val="003CA0"/>
          <w:sz w:val="16"/>
        </w:rPr>
        <w:t>[ADI 2.522, rel. min. Eros Grau, j. 8-6-2006, P, DJ de 18-8-2006.]</w:t>
      </w:r>
    </w:p>
    <w:p>
      <w:pPr>
        <w:ind w:left="288"/>
      </w:pPr>
      <w:r>
        <w:rPr>
          <w:color w:val="8C8C8C"/>
          <w:sz w:val="12"/>
        </w:rPr>
        <w:t>cf-art-8</w:t>
      </w:r>
      <w:r>
        <w:rPr>
          <w:color w:val="003CA0"/>
          <w:sz w:val="12"/>
        </w:rPr>
        <w:t xml:space="preserve"> | ADI 1.121</w:t>
      </w:r>
      <w:r>
        <w:rPr>
          <w:color w:val="003CA0"/>
          <w:sz w:val="12"/>
        </w:rPr>
        <w:t xml:space="preserve"> | rel. Sepúlveda Pertence. O registro sindical qualifica-se como ato administrativo essencialmente vinculado</w:t>
      </w:r>
    </w:p>
    <w:p>
      <w:pPr>
        <w:ind w:left="288"/>
      </w:pPr>
      <w:r>
        <w:rPr>
          <w:color w:val="1E1E1E"/>
          <w:sz w:val="18"/>
        </w:rPr>
        <w:t>A jurisprudência do STF, ao interpretar a norma inscrita no art. 8º, I, da Carta Política – e tendo presentes as várias posições assumidas pelo magistério doutrinário (uma, que sustenta a suficiência do registro da entidade sindical no Registro Civil das Pessoas Jurídicas; outra, que se satisfaz com o registro personificador no Ministério do Trabalho; e a última, que exige o duplo registro: no Registro Civil das Pessoas Jurídicas, para efeito de aquisição da personalidade meramente civil, e no Ministério do Trabalho, para obtenção da personalidade sindical) –, firmou orientação no sentido de q</w:t>
      </w:r>
    </w:p>
    <w:p>
      <w:pPr>
        <w:ind w:left="288"/>
      </w:pPr>
      <w:r>
        <w:rPr>
          <w:b/>
          <w:color w:val="003CA0"/>
          <w:sz w:val="16"/>
        </w:rPr>
        <w:t>[ADI 1.121 MC, rel. min. Celso de Mello, j. 6-9-1995, P, DJ de 6-10-1995.]</w:t>
      </w:r>
    </w:p>
    <w:p>
      <w:pPr>
        <w:ind w:left="288"/>
      </w:pPr>
      <w:r>
        <w:rPr>
          <w:color w:val="8C8C8C"/>
          <w:sz w:val="12"/>
        </w:rPr>
        <w:t>cf-art-8</w:t>
      </w:r>
      <w:r>
        <w:rPr>
          <w:color w:val="003CA0"/>
          <w:sz w:val="12"/>
        </w:rPr>
        <w:t xml:space="preserve"> | ADPF 288</w:t>
      </w:r>
      <w:r>
        <w:rPr>
          <w:color w:val="003CA0"/>
          <w:sz w:val="12"/>
        </w:rPr>
        <w:t xml:space="preserve"> | rel. Celso de Mello</w:t>
      </w:r>
    </w:p>
    <w:p>
      <w:pPr>
        <w:ind w:left="288"/>
      </w:pPr>
      <w:r>
        <w:rPr>
          <w:color w:val="1E1E1E"/>
          <w:sz w:val="18"/>
        </w:rPr>
        <w:t>= ADPF 288 MC, rel. min. Celso de Mello, j. 21-10-2013, dec. monocrática, DJE de 25-10-2013 = ADI 3.805 AgR, rel. min. Eros Grau, j. 22-4-2009, P, DJE de 14-8-2009 “É infraconstitucional e pressupõe o exame de matéria fática e contratual a controvérsia sobre a possibilidade de o contrato celebrado com sindicato, para a defesa de interesses em ação coletiva, permitir a retenção de honorários advocatícios contratuais em execuções individuais.”</w:t>
      </w:r>
    </w:p>
    <w:p>
      <w:pPr>
        <w:ind w:left="288"/>
      </w:pPr>
      <w:r>
        <w:rPr>
          <w:b/>
          <w:color w:val="003CA0"/>
          <w:sz w:val="16"/>
        </w:rPr>
        <w:t>[RE 1.520.954 RG, rel. min. Luís Roberto Barroso, j. 13.12.2024, P, DJE de 18.12.2024, Tema 1.364, com repercussão geral negada.]</w:t>
      </w:r>
    </w:p>
    <w:p>
      <w:pPr>
        <w:ind w:left="144"/>
      </w:pPr>
      <w:r>
        <w:rPr>
          <w:b/>
          <w:color w:val="B45A00"/>
          <w:sz w:val="16"/>
        </w:rPr>
        <w:t>JULGADOS CORRELATOS</w:t>
      </w:r>
    </w:p>
    <w:p>
      <w:pPr>
        <w:ind w:left="288"/>
      </w:pPr>
      <w:r>
        <w:rPr>
          <w:color w:val="8C8C8C"/>
          <w:sz w:val="12"/>
        </w:rPr>
        <w:t>cf-art-8</w:t>
      </w:r>
      <w:r>
        <w:rPr>
          <w:color w:val="003CA0"/>
          <w:sz w:val="12"/>
        </w:rPr>
        <w:t xml:space="preserve"> | RE 157.940</w:t>
      </w:r>
      <w:r>
        <w:rPr>
          <w:color w:val="003CA0"/>
          <w:sz w:val="12"/>
        </w:rPr>
        <w:t xml:space="preserve"> | rel. Maurício Corrêa</w:t>
      </w:r>
    </w:p>
    <w:p>
      <w:pPr>
        <w:ind w:left="288"/>
      </w:pPr>
      <w:r>
        <w:rPr>
          <w:color w:val="1E1E1E"/>
          <w:sz w:val="18"/>
        </w:rPr>
        <w:t>O ato de fiscalização estatal se restringe à observância da norma constitucional no que diz respeito à vedação da sobreposição, na mesma base territorial, de organização sindical do mesmo grau. Interferência estatal na liberdade de organização sindical. Inexistência. O poder público, tendo em vista o preceito constitucional proibitivo, exerce mera fiscalização.</w:t>
      </w:r>
    </w:p>
    <w:p>
      <w:pPr>
        <w:ind w:left="288"/>
      </w:pPr>
      <w:r>
        <w:rPr>
          <w:b/>
          <w:color w:val="003CA0"/>
          <w:sz w:val="16"/>
        </w:rPr>
        <w:t>[RE 157.940, rel. min. Maurício Corrêa, j. 3-11-1997, 2ª T, DJ de 27-3-1998.]</w:t>
      </w:r>
    </w:p>
    <w:p>
      <w:pPr>
        <w:ind w:left="288"/>
      </w:pPr>
      <w:r>
        <w:rPr>
          <w:color w:val="8C8C8C"/>
          <w:sz w:val="12"/>
        </w:rPr>
        <w:t>cf-art-8</w:t>
      </w:r>
      <w:r>
        <w:rPr>
          <w:color w:val="003CA0"/>
          <w:sz w:val="12"/>
        </w:rPr>
        <w:t xml:space="preserve"> | MI 144</w:t>
      </w:r>
      <w:r>
        <w:rPr>
          <w:color w:val="003CA0"/>
          <w:sz w:val="12"/>
        </w:rPr>
        <w:t xml:space="preserve"> | rel. Sepúlveda Pertence</w:t>
      </w:r>
    </w:p>
    <w:p>
      <w:pPr>
        <w:ind w:left="288"/>
      </w:pPr>
      <w:r>
        <w:rPr>
          <w:color w:val="1E1E1E"/>
          <w:sz w:val="18"/>
        </w:rPr>
        <w:t>Liberdade e unicidade sindical e competência para o registro de entidades sindicais (CF, art. 8º, I e II): recepção em termos, da competência do Ministério do Trabalho, sem prejuízo da possibilidade de a lei vir a criar regime diverso. O que é inerente à nova concepção constitucional positiva de liberdade sindical é, não a inexistência de registro público – o qual é reclamado, no sistema brasileiro, para o aperfeiçoamento da constituição de toda e qualquer pessoa jurídica de direito privado –, mas, a teor do art. 8º, I, do Texto Fundamental, "que a lei não poderá exigir autorização do Estado p</w:t>
      </w:r>
    </w:p>
    <w:p>
      <w:pPr>
        <w:ind w:left="288"/>
      </w:pPr>
      <w:r>
        <w:rPr>
          <w:b/>
          <w:color w:val="003CA0"/>
          <w:sz w:val="16"/>
        </w:rPr>
        <w:t>[MI 144, rel. min. Sepúlveda Pertence, j. 3-8-1992, P, DJ de 28-5-1993.]</w:t>
      </w:r>
    </w:p>
    <w:p>
      <w:pPr>
        <w:ind w:left="288"/>
      </w:pPr>
      <w:r>
        <w:rPr>
          <w:color w:val="8C8C8C"/>
          <w:sz w:val="12"/>
        </w:rPr>
        <w:t>cf-art-8</w:t>
      </w:r>
      <w:r>
        <w:rPr>
          <w:color w:val="003CA0"/>
          <w:sz w:val="12"/>
        </w:rPr>
        <w:t xml:space="preserve"> | AI 789.108</w:t>
      </w:r>
      <w:r>
        <w:rPr>
          <w:color w:val="003CA0"/>
          <w:sz w:val="12"/>
        </w:rPr>
        <w:t xml:space="preserve"> | rel. Ellen Gracie</w:t>
      </w:r>
    </w:p>
    <w:p>
      <w:pPr>
        <w:ind w:left="288"/>
      </w:pPr>
      <w:r>
        <w:rPr>
          <w:color w:val="1E1E1E"/>
          <w:sz w:val="18"/>
        </w:rPr>
        <w:t>= AI 789.108 AgR, rel. min. Ellen Gracie, j. 5-10-2010, 2ª T, DJE de 28-10-2010 II - é vedada a criação de mais de uma organização sindical, em qualquer grau, representativa de categoria profissional ou econômica, na mesma base territorial, que será definida pelos trabalhadores ou empregadores interessados, não podendo ser inferior à área de um Município;</w:t>
      </w:r>
    </w:p>
    <w:p>
      <w:pPr>
        <w:ind w:left="144"/>
      </w:pPr>
      <w:r>
        <w:rPr>
          <w:b/>
          <w:color w:val="B45A00"/>
          <w:sz w:val="16"/>
        </w:rPr>
        <w:t>SUMULA</w:t>
      </w:r>
    </w:p>
    <w:p>
      <w:pPr>
        <w:ind w:left="288"/>
      </w:pPr>
      <w:r>
        <w:rPr>
          <w:color w:val="8C8C8C"/>
          <w:sz w:val="12"/>
        </w:rPr>
        <w:t>cf-art-8</w:t>
      </w:r>
    </w:p>
    <w:p>
      <w:pPr>
        <w:ind w:left="288"/>
      </w:pPr>
      <w:r>
        <w:rPr>
          <w:color w:val="1E1E1E"/>
          <w:sz w:val="18"/>
        </w:rPr>
        <w:t>Até que lei venha a dispor a respeito, cabe ao Ministério do Trabalho proceder ao registro das entidades sindicais e zelar pela observância do princípio da unicidade.</w:t>
      </w:r>
    </w:p>
    <w:p>
      <w:pPr>
        <w:ind w:left="288"/>
      </w:pPr>
      <w:r>
        <w:rPr>
          <w:b/>
          <w:color w:val="003CA0"/>
          <w:sz w:val="16"/>
        </w:rPr>
        <w:t>[Súmula 677.]</w:t>
      </w:r>
    </w:p>
    <w:p>
      <w:pPr>
        <w:ind w:left="144"/>
      </w:pPr>
      <w:r>
        <w:rPr>
          <w:b/>
          <w:color w:val="B45A00"/>
          <w:sz w:val="16"/>
        </w:rPr>
        <w:t>REPERCUSSAO GERAL</w:t>
      </w:r>
    </w:p>
    <w:p>
      <w:pPr>
        <w:ind w:left="288"/>
      </w:pPr>
      <w:r>
        <w:rPr>
          <w:color w:val="8C8C8C"/>
          <w:sz w:val="12"/>
        </w:rPr>
        <w:t>cf-art-8</w:t>
      </w:r>
      <w:r>
        <w:rPr>
          <w:color w:val="003CA0"/>
          <w:sz w:val="12"/>
        </w:rPr>
        <w:t xml:space="preserve"> | RE 646.104</w:t>
      </w:r>
      <w:r>
        <w:rPr>
          <w:color w:val="003CA0"/>
          <w:sz w:val="12"/>
        </w:rPr>
        <w:t xml:space="preserve"> | rel. Dias Toffoli</w:t>
      </w:r>
    </w:p>
    <w:p>
      <w:pPr>
        <w:ind w:left="288"/>
      </w:pPr>
      <w:r>
        <w:rPr>
          <w:color w:val="1E1E1E"/>
          <w:sz w:val="18"/>
        </w:rPr>
        <w:t>“Em observância ao princípio da unicidade sindical, previsto no art. 8º, inciso II, da Constituição Federal de 1988, a quantidade de empregados, ou qualquer outro critério relativo à dimensão da empresa, não constitui elemento apto a embasar a definição de categoria econômica ou profissional para fins de criação de sindicatos de micros e pequenas empresas”.</w:t>
        <w:br/>
        <w:t>[RE 646.104, rel. min. Dias Toffoli, j. 29.05.2024, P, DJE de 03.09.2024, Tema 488, com mérito julgado.]</w:t>
      </w:r>
    </w:p>
    <w:p>
      <w:pPr>
        <w:ind w:left="144"/>
      </w:pPr>
      <w:r>
        <w:rPr>
          <w:b/>
          <w:color w:val="B45A00"/>
          <w:sz w:val="16"/>
        </w:rPr>
        <w:t>JULGADOS CORRELATOS</w:t>
      </w:r>
    </w:p>
    <w:p>
      <w:pPr>
        <w:ind w:left="288"/>
      </w:pPr>
      <w:r>
        <w:rPr>
          <w:color w:val="8C8C8C"/>
          <w:sz w:val="12"/>
        </w:rPr>
        <w:t>cf-art-8</w:t>
      </w:r>
      <w:r>
        <w:rPr>
          <w:color w:val="003CA0"/>
          <w:sz w:val="12"/>
        </w:rPr>
        <w:t xml:space="preserve"> | RCL 4.990</w:t>
      </w:r>
      <w:r>
        <w:rPr>
          <w:color w:val="003CA0"/>
          <w:sz w:val="12"/>
        </w:rPr>
        <w:t xml:space="preserve"> | rel. Ellen Gracie</w:t>
      </w:r>
    </w:p>
    <w:p>
      <w:pPr>
        <w:ind w:left="288"/>
      </w:pPr>
      <w:r>
        <w:rPr>
          <w:color w:val="1E1E1E"/>
          <w:sz w:val="18"/>
        </w:rPr>
        <w:t>Incumbe ao sindicato comprovar que possui registro sindical junto ao Ministério do Trabalho e Emprego, instrumento indispensável para a fiscalização do postulado da unicidade sindical. O registro sindical é o ato que habilita as entidades sindicais para a representação de determinada categoria, tendo em vista a necessidade de observância do postulado da unicidade sindical.</w:t>
      </w:r>
    </w:p>
    <w:p>
      <w:pPr>
        <w:ind w:left="288"/>
      </w:pPr>
      <w:r>
        <w:rPr>
          <w:b/>
          <w:color w:val="003CA0"/>
          <w:sz w:val="16"/>
        </w:rPr>
        <w:t>[Rcl 4.990 AgR, rel. min. Ellen Gracie, j. 4-3-2009, P, DJE de 27-3-2009.]</w:t>
      </w:r>
    </w:p>
    <w:p>
      <w:pPr>
        <w:ind w:left="288"/>
      </w:pPr>
      <w:r>
        <w:rPr>
          <w:color w:val="8C8C8C"/>
          <w:sz w:val="12"/>
        </w:rPr>
        <w:t>cf-art-8</w:t>
      </w:r>
      <w:r>
        <w:rPr>
          <w:color w:val="003CA0"/>
          <w:sz w:val="12"/>
        </w:rPr>
        <w:t xml:space="preserve"> | ARE 697.852</w:t>
      </w:r>
      <w:r>
        <w:rPr>
          <w:color w:val="003CA0"/>
          <w:sz w:val="12"/>
        </w:rPr>
        <w:t xml:space="preserve"> | rel. Cármen Lúcia</w:t>
      </w:r>
    </w:p>
    <w:p>
      <w:pPr>
        <w:ind w:left="288"/>
      </w:pPr>
      <w:r>
        <w:rPr>
          <w:color w:val="1E1E1E"/>
          <w:sz w:val="18"/>
        </w:rPr>
        <w:t>= ARE 697.852 AgR, rel. min. Cármen Lúcia, j. 30-10-2012, 2ª T, DJE de 21-11-2012 É pacífica a jurisprudência deste nosso Tribunal no sentido de que não implica ofensa ao princípio da unidade sindical a criação de novo sindicato, por desdobramento de sindicato preexistente, para representação de categoria profissional específica, desde que respeitados os requisitos impostos pela legislação trabalhista e atendida a abrangência territorial mínima estabelecida pela CF.</w:t>
      </w:r>
    </w:p>
    <w:p>
      <w:pPr>
        <w:ind w:left="288"/>
      </w:pPr>
      <w:r>
        <w:rPr>
          <w:b/>
          <w:color w:val="003CA0"/>
          <w:sz w:val="16"/>
        </w:rPr>
        <w:t>[AI 609.989 AgR, rel. min. Ayres Britto, j. 30-8-2011, 2ª T, DJE de 17-10-2011.]</w:t>
      </w:r>
    </w:p>
    <w:p>
      <w:pPr>
        <w:ind w:left="288"/>
      </w:pPr>
      <w:r>
        <w:rPr>
          <w:color w:val="8C8C8C"/>
          <w:sz w:val="12"/>
        </w:rPr>
        <w:t>cf-art-8</w:t>
      </w:r>
      <w:r>
        <w:rPr>
          <w:color w:val="003CA0"/>
          <w:sz w:val="12"/>
        </w:rPr>
        <w:t xml:space="preserve"> | RE 202.097</w:t>
      </w:r>
      <w:r>
        <w:rPr>
          <w:color w:val="003CA0"/>
          <w:sz w:val="12"/>
        </w:rPr>
        <w:t xml:space="preserve"> | rel. Ilmar Galvão</w:t>
      </w:r>
    </w:p>
    <w:p>
      <w:pPr>
        <w:ind w:left="288"/>
      </w:pPr>
      <w:r>
        <w:rPr>
          <w:color w:val="1E1E1E"/>
          <w:sz w:val="18"/>
        </w:rPr>
        <w:t>Vide RE 202.097, rel. min. Ilmar Galvão, j. 16-5-2000, 1ª T, DJ de 4-8-2000 Vide RMS 21.305, rel. min. Marco Aurélio, j. 17-10-1991, P, DJ de 29-11-1991 Uma vez respeitada a unicidade quanto a certa base territorial, descabe impor exigências incompatíveis com a liberdade de associação.</w:t>
      </w:r>
    </w:p>
    <w:p>
      <w:pPr>
        <w:ind w:left="288"/>
      </w:pPr>
      <w:r>
        <w:rPr>
          <w:b/>
          <w:color w:val="003CA0"/>
          <w:sz w:val="16"/>
        </w:rPr>
        <w:t>[RMS 21.053, red. do ac. min. Marco Aurélio, j. 24-11-2010, P, DJE de 25-3-2011.]</w:t>
      </w:r>
    </w:p>
    <w:p>
      <w:pPr>
        <w:ind w:left="288"/>
      </w:pPr>
      <w:r>
        <w:rPr>
          <w:color w:val="8C8C8C"/>
          <w:sz w:val="12"/>
        </w:rPr>
        <w:t>cf-art-8</w:t>
      </w:r>
      <w:r>
        <w:rPr>
          <w:color w:val="003CA0"/>
          <w:sz w:val="12"/>
        </w:rPr>
        <w:t xml:space="preserve"> | RE 310.811</w:t>
      </w:r>
      <w:r>
        <w:rPr>
          <w:color w:val="003CA0"/>
          <w:sz w:val="12"/>
        </w:rPr>
        <w:t xml:space="preserve"> | rel. Ellen Gracie</w:t>
      </w:r>
    </w:p>
    <w:p>
      <w:pPr>
        <w:ind w:left="288"/>
      </w:pPr>
      <w:r>
        <w:rPr>
          <w:color w:val="1E1E1E"/>
          <w:sz w:val="18"/>
        </w:rPr>
        <w:t>O princípio da unicidade sindical, previsto no art. 8º, II, da CF, é a mais importante das limitações constitucionais à liberdade sindical.</w:t>
      </w:r>
    </w:p>
    <w:p>
      <w:pPr>
        <w:ind w:left="288"/>
      </w:pPr>
      <w:r>
        <w:rPr>
          <w:b/>
          <w:color w:val="003CA0"/>
          <w:sz w:val="16"/>
        </w:rPr>
        <w:t>[RE 310.811 AgR, rel. min. Ellen Gracie, j. 12-5-2009, 2ª T, DJE de 5-6-2009.]</w:t>
      </w:r>
    </w:p>
    <w:p>
      <w:pPr>
        <w:ind w:left="288"/>
      </w:pPr>
      <w:r>
        <w:rPr>
          <w:color w:val="8C8C8C"/>
          <w:sz w:val="12"/>
        </w:rPr>
        <w:t>cf-art-8</w:t>
      </w:r>
      <w:r>
        <w:rPr>
          <w:color w:val="003CA0"/>
          <w:sz w:val="12"/>
        </w:rPr>
        <w:t xml:space="preserve"> | RE 433.195</w:t>
      </w:r>
      <w:r>
        <w:rPr>
          <w:color w:val="003CA0"/>
          <w:sz w:val="12"/>
        </w:rPr>
        <w:t xml:space="preserve"> | rel. Ayres Britto</w:t>
      </w:r>
    </w:p>
    <w:p>
      <w:pPr>
        <w:ind w:left="288"/>
      </w:pPr>
      <w:r>
        <w:rPr>
          <w:color w:val="1E1E1E"/>
          <w:sz w:val="18"/>
        </w:rPr>
        <w:t>Sindicato. Desmembramento. Alegação de afronta ao princípio da unicidade sindical. Improcedência. Caso em que determinada categoria profissional – até então filiada a sindicato que representava diversas categorias, em bases territoriais diferentes – forma organização sindical específica, em base territorial de menor abrangência.</w:t>
      </w:r>
    </w:p>
    <w:p>
      <w:pPr>
        <w:ind w:left="288"/>
      </w:pPr>
      <w:r>
        <w:rPr>
          <w:b/>
          <w:color w:val="003CA0"/>
          <w:sz w:val="16"/>
        </w:rPr>
        <w:t>[RE 433.195 AgR, rel. min. Ayres Britto, j. 20-5-2008, 1ª T, DJE de 19-9-2008.]</w:t>
      </w:r>
    </w:p>
    <w:p>
      <w:pPr>
        <w:ind w:left="288"/>
      </w:pPr>
      <w:r>
        <w:rPr>
          <w:color w:val="8C8C8C"/>
          <w:sz w:val="12"/>
        </w:rPr>
        <w:t>cf-art-8</w:t>
      </w:r>
      <w:r>
        <w:rPr>
          <w:color w:val="003CA0"/>
          <w:sz w:val="12"/>
        </w:rPr>
        <w:t xml:space="preserve"> | RMS 24.288</w:t>
      </w:r>
      <w:r>
        <w:rPr>
          <w:color w:val="003CA0"/>
          <w:sz w:val="12"/>
        </w:rPr>
        <w:t xml:space="preserve"> | rel. Gilmar Mendes</w:t>
      </w:r>
    </w:p>
    <w:p>
      <w:pPr>
        <w:ind w:left="288"/>
      </w:pPr>
      <w:r>
        <w:rPr>
          <w:color w:val="1E1E1E"/>
          <w:sz w:val="18"/>
        </w:rPr>
        <w:t>= RMS 24.288 AgR, rel. min. Gilmar Mendes, j. 8-3-2016, 2ª T, DJE de 14-4-2016 = RE 608.304 AgR, rel. min. Dias Toffoli, j. 28-8-2012, 1ª T, DJE de 13-9-2012 Sindicato: unicidade e desmembramento. O princípio da unicidade sindical (CF, art. 8º, II) não garante por si só ao sindicato a intangibilidade de sua base territorial; ao contrário, a jurisprudência do STF está consolidada no sentido da legitimidade constitucional do desmembramento territorial de um sindicato para constituir outro, por deliberação dos partícipes da fundação deste, desde que o território de ambos não se reduza a área infe</w:t>
      </w:r>
    </w:p>
    <w:p>
      <w:pPr>
        <w:ind w:left="288"/>
      </w:pPr>
      <w:r>
        <w:rPr>
          <w:b/>
          <w:color w:val="003CA0"/>
          <w:sz w:val="16"/>
        </w:rPr>
        <w:t>[RE 154.250 AgR, rel. min. Sepúlveda Pertence, j. 15-5-2007, 1ª T, DJ de 8-6-2007.]</w:t>
      </w:r>
    </w:p>
    <w:p>
      <w:pPr>
        <w:ind w:left="288"/>
      </w:pPr>
      <w:r>
        <w:rPr>
          <w:color w:val="8C8C8C"/>
          <w:sz w:val="12"/>
        </w:rPr>
        <w:t>cf-art-8</w:t>
      </w:r>
      <w:r>
        <w:rPr>
          <w:color w:val="003CA0"/>
          <w:sz w:val="12"/>
        </w:rPr>
        <w:t xml:space="preserve"> | RE 573.533</w:t>
      </w:r>
      <w:r>
        <w:rPr>
          <w:color w:val="003CA0"/>
          <w:sz w:val="12"/>
        </w:rPr>
        <w:t xml:space="preserve"> | rel. Ayres Britto</w:t>
      </w:r>
    </w:p>
    <w:p>
      <w:pPr>
        <w:ind w:left="288"/>
      </w:pPr>
      <w:r>
        <w:rPr>
          <w:color w:val="1E1E1E"/>
          <w:sz w:val="18"/>
        </w:rPr>
        <w:t>= RE 573.533 AgR, rel. min. Ayres Britto, j. 14-2-2012, 2ª T, DJE de 19-3-2012 A liberdade de associação, observada, relativamente às entidades sindicais, a base territorial mínima – a área de um Município –, é predicado do Estado Democrático de Direito. Recepção da CLT pela Carta da República de 1988, no que viabilizados o agrupamento de atividades profissionais e a dissociação, visando a formar sindicato específico.</w:t>
      </w:r>
    </w:p>
    <w:p>
      <w:pPr>
        <w:ind w:left="288"/>
      </w:pPr>
      <w:r>
        <w:rPr>
          <w:b/>
          <w:color w:val="003CA0"/>
          <w:sz w:val="16"/>
        </w:rPr>
        <w:t>[RMS 24.069, rel. min. Marco Aurélio, j. 22-3-2005, 1ª T, DJ de 24-6-2005.]</w:t>
      </w:r>
    </w:p>
    <w:p>
      <w:pPr>
        <w:ind w:left="288"/>
      </w:pPr>
      <w:r>
        <w:rPr>
          <w:color w:val="8C8C8C"/>
          <w:sz w:val="12"/>
        </w:rPr>
        <w:t>cf-art-8</w:t>
      </w:r>
      <w:r>
        <w:rPr>
          <w:color w:val="003CA0"/>
          <w:sz w:val="12"/>
        </w:rPr>
        <w:t xml:space="preserve"> | RE 222.285</w:t>
      </w:r>
      <w:r>
        <w:rPr>
          <w:color w:val="003CA0"/>
          <w:sz w:val="12"/>
        </w:rPr>
        <w:t xml:space="preserve"> | rel. Carlos Velloso</w:t>
      </w:r>
    </w:p>
    <w:p>
      <w:pPr>
        <w:ind w:left="288"/>
      </w:pPr>
      <w:r>
        <w:rPr>
          <w:color w:val="1E1E1E"/>
          <w:sz w:val="18"/>
        </w:rPr>
        <w:t>Liberdade e unicidade sindical: competência para o registro de entidades sindicais (CF, art. 8º, I e II): recepção, pela CF/1988, da competência do Ministério do Trabalho para o registro. Esse registro é que propicia verificar se a unicidade sindical, limitação constitucional ao princípio da liberdade sindical, estaria sendo observada ou não, já que o Ministério do Trabalho é detentor das informações respectivas.</w:t>
      </w:r>
    </w:p>
    <w:p>
      <w:pPr>
        <w:ind w:left="288"/>
      </w:pPr>
      <w:r>
        <w:rPr>
          <w:b/>
          <w:color w:val="003CA0"/>
          <w:sz w:val="16"/>
        </w:rPr>
        <w:t>[RE 222.285 AgR, rel. min. Carlos Velloso, j. 26-2-2002, 2ª T, DJ de 22-3-2002.]</w:t>
      </w:r>
    </w:p>
    <w:p>
      <w:pPr>
        <w:ind w:left="288"/>
      </w:pPr>
      <w:r>
        <w:rPr>
          <w:color w:val="8C8C8C"/>
          <w:sz w:val="12"/>
        </w:rPr>
        <w:t>cf-art-8</w:t>
      </w:r>
      <w:r>
        <w:rPr>
          <w:color w:val="003CA0"/>
          <w:sz w:val="12"/>
        </w:rPr>
        <w:t xml:space="preserve"> | AI 789.108</w:t>
      </w:r>
      <w:r>
        <w:rPr>
          <w:color w:val="003CA0"/>
          <w:sz w:val="12"/>
        </w:rPr>
        <w:t xml:space="preserve"> | rel. Ellen Gracie</w:t>
      </w:r>
    </w:p>
    <w:p>
      <w:pPr>
        <w:ind w:left="288"/>
      </w:pPr>
      <w:r>
        <w:rPr>
          <w:color w:val="1E1E1E"/>
          <w:sz w:val="18"/>
        </w:rPr>
        <w:t>= AI 789.108 AgR, rel. min. Ellen Gracie, j. 5-10-2010, 2ª T, DJE de 28-10-2010 Havendo identidade entre categoria de trabalhadores representados pelo autor e pelo réu e sendo idênticas também as bases territoriais de atuação de um e de outro sindicato, deve prevalecer o primeiro deles, dada a sua constituição anterior.</w:t>
      </w:r>
    </w:p>
    <w:p>
      <w:pPr>
        <w:ind w:left="288"/>
      </w:pPr>
      <w:r>
        <w:rPr>
          <w:b/>
          <w:color w:val="003CA0"/>
          <w:sz w:val="16"/>
        </w:rPr>
        <w:t>[RE 199.142, rel. min. Nelson Jobim, j. 3-10-2000, 2ª T, DJ de 14-12-2001.]</w:t>
      </w:r>
    </w:p>
    <w:p>
      <w:pPr>
        <w:ind w:left="288"/>
      </w:pPr>
      <w:r>
        <w:rPr>
          <w:color w:val="8C8C8C"/>
          <w:sz w:val="12"/>
        </w:rPr>
        <w:t>cf-art-8</w:t>
      </w:r>
      <w:r>
        <w:rPr>
          <w:color w:val="003CA0"/>
          <w:sz w:val="12"/>
        </w:rPr>
        <w:t xml:space="preserve"> | RE 241.935</w:t>
      </w:r>
      <w:r>
        <w:rPr>
          <w:color w:val="003CA0"/>
          <w:sz w:val="12"/>
        </w:rPr>
        <w:t xml:space="preserve"> | rel. Ilmar Galvão</w:t>
      </w:r>
    </w:p>
    <w:p>
      <w:pPr>
        <w:ind w:left="288"/>
      </w:pPr>
      <w:r>
        <w:rPr>
          <w:color w:val="1E1E1E"/>
          <w:sz w:val="18"/>
        </w:rPr>
        <w:t>Confederação Nacional de Saúde. Hospitais, estabelecimentos e serviços. CNS. Desmembramento da Confederação Nacional do Comércio. Alegada ofensa ao princípio da unicidade. Improcedência da alegação, posto que a novel entidade representa categoria específica, até então congregada por entidade de natureza eclética, hipótese em que estava fadada ao desmembramento, concretizado como manifestação da liberdade sindical consagrada no art. 8º, II, da CF.</w:t>
      </w:r>
    </w:p>
    <w:p>
      <w:pPr>
        <w:ind w:left="288"/>
      </w:pPr>
      <w:r>
        <w:rPr>
          <w:b/>
          <w:color w:val="003CA0"/>
          <w:sz w:val="16"/>
        </w:rPr>
        <w:t>[RE 241.935 AgR, rel. min. Ilmar Galvão, j. 26-9-2000, 2ª T, DJ de 27-10-2000.]</w:t>
      </w:r>
    </w:p>
    <w:p>
      <w:pPr>
        <w:ind w:left="288"/>
      </w:pPr>
      <w:r>
        <w:rPr>
          <w:color w:val="8C8C8C"/>
          <w:sz w:val="12"/>
        </w:rPr>
        <w:t>cf-art-8</w:t>
      </w:r>
      <w:r>
        <w:rPr>
          <w:color w:val="003CA0"/>
          <w:sz w:val="12"/>
        </w:rPr>
        <w:t xml:space="preserve"> | RE 402.831</w:t>
      </w:r>
      <w:r>
        <w:rPr>
          <w:color w:val="003CA0"/>
          <w:sz w:val="12"/>
        </w:rPr>
        <w:t xml:space="preserve"> | rel. Roberto Barroso</w:t>
      </w:r>
    </w:p>
    <w:p>
      <w:pPr>
        <w:ind w:left="288"/>
      </w:pPr>
      <w:r>
        <w:rPr>
          <w:color w:val="1E1E1E"/>
          <w:sz w:val="18"/>
        </w:rPr>
        <w:t>= RE 402.831 AgR, rel. min. Roberto Barroso, j. 3-3-2015, 1ª T, DJE de 17-3-2015 Trabalhadores em postos de serviço de combustíveis e derivados de petróleo ("frentistas"). Organização em entidade própria, desmembrada da representativa da categoria dos trabalhadores no comércio de minérios e derivados de petróleo. Alegada ofensa ao princípio da unicidade sindical. Improcedência da alegação, posto que a novel entidade representa categoria específica que, até então, se achava englobada pela dos empregados congregados nos sindicatos filiados à Federação Nacional dos Trabalhadores no Comércio de Mi</w:t>
      </w:r>
    </w:p>
    <w:p>
      <w:pPr>
        <w:ind w:left="288"/>
      </w:pPr>
      <w:r>
        <w:rPr>
          <w:b/>
          <w:color w:val="003CA0"/>
          <w:sz w:val="16"/>
        </w:rPr>
        <w:t>[RE 202.097, rel. min. Ilmar Galvão, j. 16-5-2000, 1ª T, DJ de 4-8-2000.]</w:t>
      </w:r>
    </w:p>
    <w:p>
      <w:pPr>
        <w:ind w:left="288"/>
      </w:pPr>
      <w:r>
        <w:rPr>
          <w:color w:val="8C8C8C"/>
          <w:sz w:val="12"/>
        </w:rPr>
        <w:t>cf-art-8</w:t>
      </w:r>
      <w:r>
        <w:rPr>
          <w:color w:val="003CA0"/>
          <w:sz w:val="12"/>
        </w:rPr>
        <w:t xml:space="preserve"> | RCL 3.488</w:t>
      </w:r>
      <w:r>
        <w:rPr>
          <w:color w:val="003CA0"/>
          <w:sz w:val="12"/>
        </w:rPr>
        <w:t xml:space="preserve"> | rel. Ayres Britto</w:t>
      </w:r>
    </w:p>
    <w:p>
      <w:pPr>
        <w:ind w:left="288"/>
      </w:pPr>
      <w:r>
        <w:rPr>
          <w:color w:val="1E1E1E"/>
          <w:sz w:val="18"/>
        </w:rPr>
        <w:t>= Rcl 3.488, rel. min. Ayres Britto, j. 9-5-2006, 1ª T, DJ de 29-9-2006 Cisão de federações. Licitude, no caso de ficar evidenciada a diferenciação de interesses econômicos entre duas espécies de trabalhadores, mesmo sendo conexas (art. 511, § 1º, da CLT). (...) Inadmissibilidade da exigência de obediência às prescrições estatutárias da federação mais antiga, tendo em vista a garantia de liberdade de instituição da nova entidade (CF, art. 8º, II).</w:t>
      </w:r>
    </w:p>
    <w:p>
      <w:pPr>
        <w:ind w:left="288"/>
      </w:pPr>
      <w:r>
        <w:rPr>
          <w:b/>
          <w:color w:val="003CA0"/>
          <w:sz w:val="16"/>
        </w:rPr>
        <w:t>[RE 217.328, rel. min. Octavio Gallotti, j. 21-3-2000, 1ª T, DJ de 9-6-2000.]</w:t>
      </w:r>
    </w:p>
    <w:p>
      <w:pPr>
        <w:ind w:left="288"/>
      </w:pPr>
      <w:r>
        <w:rPr>
          <w:color w:val="8C8C8C"/>
          <w:sz w:val="12"/>
        </w:rPr>
        <w:t>cf-art-8</w:t>
      </w:r>
      <w:r>
        <w:rPr>
          <w:color w:val="003CA0"/>
          <w:sz w:val="12"/>
        </w:rPr>
        <w:t xml:space="preserve"> | RE 209.993</w:t>
      </w:r>
      <w:r>
        <w:rPr>
          <w:color w:val="003CA0"/>
          <w:sz w:val="12"/>
        </w:rPr>
        <w:t xml:space="preserve"> | rel. Ilmar Galvão</w:t>
      </w:r>
    </w:p>
    <w:p>
      <w:pPr>
        <w:ind w:left="288"/>
      </w:pPr>
      <w:r>
        <w:rPr>
          <w:color w:val="1E1E1E"/>
          <w:sz w:val="18"/>
        </w:rPr>
        <w:t>Entidades sindicais constituídas numa mesma base territorial. (...) Conflito acertadamente resolvido pelo acórdão com base no princípio da anterioridade.</w:t>
      </w:r>
    </w:p>
    <w:p>
      <w:pPr>
        <w:ind w:left="288"/>
      </w:pPr>
      <w:r>
        <w:rPr>
          <w:b/>
          <w:color w:val="003CA0"/>
          <w:sz w:val="16"/>
        </w:rPr>
        <w:t>[RE 209.993, rel. min. Ilmar Galvão, j. 15-6-1999, 1ª T, DJ de 22-10-1999.]</w:t>
      </w:r>
    </w:p>
    <w:p>
      <w:pPr>
        <w:ind w:left="288"/>
      </w:pPr>
      <w:r>
        <w:rPr>
          <w:color w:val="8C8C8C"/>
          <w:sz w:val="12"/>
        </w:rPr>
        <w:t>cf-art-8</w:t>
      </w:r>
      <w:r>
        <w:rPr>
          <w:color w:val="003CA0"/>
          <w:sz w:val="12"/>
        </w:rPr>
        <w:t xml:space="preserve"> | RE 227.642</w:t>
      </w:r>
      <w:r>
        <w:rPr>
          <w:color w:val="003CA0"/>
          <w:sz w:val="12"/>
        </w:rPr>
        <w:t xml:space="preserve"> | rel. Octavio Gallotti</w:t>
      </w:r>
    </w:p>
    <w:p>
      <w:pPr>
        <w:ind w:left="288"/>
      </w:pPr>
      <w:r>
        <w:rPr>
          <w:color w:val="1E1E1E"/>
          <w:sz w:val="18"/>
        </w:rPr>
        <w:t>Os princípios da unicidade e da autonomia sindical não obstam a definição, pela categoria respectiva, e o consequente desmembramento de área com a criação de novo sindicato, independentemente de aquiescência do anteriormente instituído, desde que não resulte, para algum deles, espaço inferior ao território de um Município (CF, art. 8º, II)</w:t>
      </w:r>
    </w:p>
    <w:p>
      <w:pPr>
        <w:ind w:left="288"/>
      </w:pPr>
      <w:r>
        <w:rPr>
          <w:b/>
          <w:color w:val="003CA0"/>
          <w:sz w:val="16"/>
        </w:rPr>
        <w:t>[RE 227.642, rel. min. Octavio Gallotti, j. 14-12-1998, 1ª T, DJ de 30-4-1999.]</w:t>
      </w:r>
    </w:p>
    <w:p>
      <w:pPr>
        <w:ind w:left="288"/>
      </w:pPr>
      <w:r>
        <w:rPr>
          <w:color w:val="8C8C8C"/>
          <w:sz w:val="12"/>
        </w:rPr>
        <w:t>cf-art-8</w:t>
      </w:r>
      <w:r>
        <w:rPr>
          <w:color w:val="003CA0"/>
          <w:sz w:val="12"/>
        </w:rPr>
        <w:t xml:space="preserve"> | RE 207.858</w:t>
      </w:r>
      <w:r>
        <w:rPr>
          <w:color w:val="003CA0"/>
          <w:sz w:val="12"/>
        </w:rPr>
        <w:t xml:space="preserve"> | rel. Marco Aurélio</w:t>
      </w:r>
    </w:p>
    <w:p>
      <w:pPr>
        <w:ind w:left="288"/>
      </w:pPr>
      <w:r>
        <w:rPr>
          <w:color w:val="1E1E1E"/>
          <w:sz w:val="18"/>
        </w:rPr>
        <w:t>Não se há de confundir a liberdade de associação, prevista de forma geral no inciso XVII do rol das garantias constitucionais, com a criação, em si, de sindicato. O critério da especificidade direciona à observação do disposto no inciso II do art. 8º da CF, no que agasalhada a unicidade sindical de forma mitigada, ou seja, considerada a área de atuação, nunca inferior à de um Município.</w:t>
      </w:r>
    </w:p>
    <w:p>
      <w:pPr>
        <w:ind w:left="288"/>
      </w:pPr>
      <w:r>
        <w:rPr>
          <w:b/>
          <w:color w:val="003CA0"/>
          <w:sz w:val="16"/>
        </w:rPr>
        <w:t>[RE 207.858, rel. min. Marco Aurélio, j. 27-10-1998, 1ª T, DJ de 14-5-1999.]</w:t>
      </w:r>
    </w:p>
    <w:p>
      <w:pPr>
        <w:ind w:left="288"/>
      </w:pPr>
      <w:r>
        <w:rPr>
          <w:color w:val="8C8C8C"/>
          <w:sz w:val="12"/>
        </w:rPr>
        <w:t>cf-art-8</w:t>
      </w:r>
      <w:r>
        <w:rPr>
          <w:color w:val="003CA0"/>
          <w:sz w:val="12"/>
        </w:rPr>
        <w:t xml:space="preserve"> | RE 178.045</w:t>
      </w:r>
      <w:r>
        <w:rPr>
          <w:color w:val="003CA0"/>
          <w:sz w:val="12"/>
        </w:rPr>
        <w:t xml:space="preserve"> | rel. Octavio Gallotti</w:t>
      </w:r>
    </w:p>
    <w:p>
      <w:pPr>
        <w:ind w:left="288"/>
      </w:pPr>
      <w:r>
        <w:rPr>
          <w:color w:val="1E1E1E"/>
          <w:sz w:val="18"/>
        </w:rPr>
        <w:t>Não contraria o disposto no art. 8º, II, o acórdão que, em face da diversidade das categorias contempladas, admitiu a dualidade de sua representação sindical.</w:t>
      </w:r>
    </w:p>
    <w:p>
      <w:pPr>
        <w:ind w:left="288"/>
      </w:pPr>
      <w:r>
        <w:rPr>
          <w:b/>
          <w:color w:val="003CA0"/>
          <w:sz w:val="16"/>
        </w:rPr>
        <w:t>[RE 178.045, rel. min. Octavio Gallotti, j. 3-3-1998, 1ª T, DJ de 3-4-1998.]</w:t>
      </w:r>
    </w:p>
    <w:p>
      <w:pPr>
        <w:ind w:left="288"/>
      </w:pPr>
      <w:r>
        <w:rPr>
          <w:color w:val="8C8C8C"/>
          <w:sz w:val="12"/>
        </w:rPr>
        <w:t>cf-art-8</w:t>
      </w:r>
      <w:r>
        <w:rPr>
          <w:color w:val="003CA0"/>
          <w:sz w:val="12"/>
        </w:rPr>
        <w:t xml:space="preserve"> | RE 159.228</w:t>
      </w:r>
      <w:r>
        <w:rPr>
          <w:color w:val="003CA0"/>
          <w:sz w:val="12"/>
        </w:rPr>
        <w:t xml:space="preserve"> | rel. Celso de Mello</w:t>
      </w:r>
    </w:p>
    <w:p>
      <w:pPr>
        <w:ind w:left="288"/>
      </w:pPr>
      <w:r>
        <w:rPr>
          <w:color w:val="1E1E1E"/>
          <w:sz w:val="18"/>
        </w:rPr>
        <w:t>A existência, na mesma base territorial, de entidades sindicais que representem estratos diversos da vasta categoria dos servidores públicos – funcionários públicos pertencentes à administração direta, de um lado, e empregados públicos vinculados a entidades paraestatais, de outro, cada qual com regime jurídico próprio – não ofende o princípio da unicidade sindical.</w:t>
      </w:r>
    </w:p>
    <w:p>
      <w:pPr>
        <w:ind w:left="288"/>
      </w:pPr>
      <w:r>
        <w:rPr>
          <w:b/>
          <w:color w:val="003CA0"/>
          <w:sz w:val="16"/>
        </w:rPr>
        <w:t>[RE 159.228, rel. min. Celso de Mello, j. 23-8-1994, 1ª T, DJ de 27-10-1994.]</w:t>
      </w:r>
    </w:p>
    <w:p>
      <w:pPr>
        <w:ind w:left="288"/>
      </w:pPr>
      <w:r>
        <w:rPr>
          <w:color w:val="8C8C8C"/>
          <w:sz w:val="12"/>
        </w:rPr>
        <w:t>cf-art-8</w:t>
      </w:r>
      <w:r>
        <w:rPr>
          <w:color w:val="003CA0"/>
          <w:sz w:val="12"/>
        </w:rPr>
        <w:t xml:space="preserve"> | MS 21.549</w:t>
      </w:r>
      <w:r>
        <w:rPr>
          <w:color w:val="003CA0"/>
          <w:sz w:val="12"/>
        </w:rPr>
        <w:t xml:space="preserve"> | rel. Sepúlveda Pertence</w:t>
      </w:r>
    </w:p>
    <w:p>
      <w:pPr>
        <w:ind w:left="288"/>
      </w:pPr>
      <w:r>
        <w:rPr>
          <w:color w:val="1E1E1E"/>
          <w:sz w:val="18"/>
        </w:rPr>
        <w:t>Nem o princípio da unicidade sindical, nem o sistema confederativo, mantidos pela Constituição, impõem que os sindicatos se filiem à federação que pretenda abranger-lhe a categoria-base; por isso, nenhuma federação pode arrogar-se âmbito de representatividade maior que o resultante da soma das categorias e respectivas bases territoriais dos sindicatos que a ela se filiem.</w:t>
      </w:r>
    </w:p>
    <w:p>
      <w:pPr>
        <w:ind w:left="288"/>
      </w:pPr>
      <w:r>
        <w:rPr>
          <w:b/>
          <w:color w:val="003CA0"/>
          <w:sz w:val="16"/>
        </w:rPr>
        <w:t>[MS 21.549, rel. min. Sepúlveda Pertence, j. 17-11-1993, P, DJ de 6-10-1995.]</w:t>
      </w:r>
    </w:p>
    <w:p>
      <w:pPr>
        <w:ind w:left="288"/>
      </w:pPr>
      <w:r>
        <w:rPr>
          <w:color w:val="8C8C8C"/>
          <w:sz w:val="12"/>
        </w:rPr>
        <w:t>cf-art-8</w:t>
      </w:r>
      <w:r>
        <w:rPr>
          <w:color w:val="003CA0"/>
          <w:sz w:val="12"/>
        </w:rPr>
        <w:t xml:space="preserve"> | RMS 21.305</w:t>
      </w:r>
      <w:r>
        <w:rPr>
          <w:color w:val="003CA0"/>
          <w:sz w:val="12"/>
        </w:rPr>
        <w:t xml:space="preserve"> | rel. Marco Aurélio</w:t>
      </w:r>
    </w:p>
    <w:p>
      <w:pPr>
        <w:ind w:left="288"/>
      </w:pPr>
      <w:r>
        <w:rPr>
          <w:color w:val="1E1E1E"/>
          <w:sz w:val="18"/>
        </w:rPr>
        <w:t>Mostra-se contrária ao princípio da unicidade sindical a criação de ente que implique desdobramento de categoria disciplinada em lei como única. Em vista da existência do Sindicato Nacional dos Aeronautas, a criação do Sindicato Nacional dos Pilotos da Aviação Civil não subsiste, em face da ilicitude do objeto.</w:t>
      </w:r>
    </w:p>
    <w:p>
      <w:pPr>
        <w:ind w:left="288"/>
      </w:pPr>
      <w:r>
        <w:rPr>
          <w:b/>
          <w:color w:val="003CA0"/>
          <w:sz w:val="16"/>
        </w:rPr>
        <w:t>[RMS 21.305, rel. min. Marco Aurélio, j. 17-10-1991, P, DJ de 29-11-1991.]</w:t>
      </w:r>
    </w:p>
    <w:p>
      <w:pPr>
        <w:ind w:left="288"/>
      </w:pPr>
      <w:r>
        <w:rPr>
          <w:color w:val="8C8C8C"/>
          <w:sz w:val="12"/>
        </w:rPr>
        <w:t>cf-art-8</w:t>
      </w:r>
      <w:r>
        <w:rPr>
          <w:color w:val="003CA0"/>
          <w:sz w:val="12"/>
        </w:rPr>
        <w:t xml:space="preserve"> | AI 609.989</w:t>
      </w:r>
      <w:r>
        <w:rPr>
          <w:color w:val="003CA0"/>
          <w:sz w:val="12"/>
        </w:rPr>
        <w:t xml:space="preserve"> | rel. Ayres Britto</w:t>
      </w:r>
    </w:p>
    <w:p>
      <w:pPr>
        <w:ind w:left="288"/>
      </w:pPr>
      <w:r>
        <w:rPr>
          <w:color w:val="1E1E1E"/>
          <w:sz w:val="18"/>
        </w:rPr>
        <w:t>Vide AI 609.989 AgR, rel. min. Ayres Britto, j. 30-8-2011, 2ª T, DJE de 17-10-2011</w:t>
      </w:r>
    </w:p>
    <w:p>
      <w:pPr>
        <w:ind w:left="144"/>
      </w:pPr>
      <w:r>
        <w:rPr>
          <w:b/>
          <w:color w:val="B45A00"/>
          <w:sz w:val="16"/>
        </w:rPr>
        <w:t>CONTROLE CONCENTRADO</w:t>
      </w:r>
    </w:p>
    <w:p>
      <w:pPr>
        <w:ind w:left="288"/>
      </w:pPr>
      <w:r>
        <w:rPr>
          <w:color w:val="8C8C8C"/>
          <w:sz w:val="12"/>
        </w:rPr>
        <w:t>cf-art-8-inc-III</w:t>
      </w:r>
      <w:r>
        <w:rPr>
          <w:color w:val="003CA0"/>
          <w:sz w:val="12"/>
        </w:rPr>
        <w:t xml:space="preserve"> | ADI 4.468</w:t>
      </w:r>
      <w:r>
        <w:rPr>
          <w:color w:val="003CA0"/>
          <w:sz w:val="12"/>
        </w:rPr>
        <w:t xml:space="preserve"> | rel. Celso de Mello</w:t>
      </w:r>
    </w:p>
    <w:p>
      <w:pPr>
        <w:ind w:left="288"/>
      </w:pPr>
      <w:r>
        <w:rPr>
          <w:color w:val="1E1E1E"/>
          <w:sz w:val="18"/>
        </w:rPr>
        <w:t>A fixação da jornada de trabalho mediante lei (tal como sucedeu em relação aos Assistentes Sociais), além de não traduzir ofensa à autonomia sindical ou ao processo de negociação coletiva para deliberar sobre esse tema, revela-se plenamente legítima e inteiramente compatível com o texto da Constituição da República, seja porque a Lei nº 12.317/2010 emanou de pessoa estatal competente (CF, art. 22, I), seja, ainda, porque mencionado diploma legislativo veiculou, no caso, norma claramente favorável a essa categoria profissional, pois instituiu, “in melius”, regime jurídico mais benéfico pertinen</w:t>
      </w:r>
    </w:p>
    <w:p>
      <w:pPr>
        <w:ind w:left="288"/>
      </w:pPr>
      <w:r>
        <w:rPr>
          <w:b/>
          <w:color w:val="003CA0"/>
          <w:sz w:val="16"/>
        </w:rPr>
        <w:t>[ADI 4.468, rel. min. Celso de Mello, j. 13-10-2020, P, DJE de 27-10-2020.]</w:t>
      </w:r>
    </w:p>
    <w:p>
      <w:pPr>
        <w:ind w:left="288"/>
      </w:pPr>
      <w:r>
        <w:rPr>
          <w:color w:val="8C8C8C"/>
          <w:sz w:val="12"/>
        </w:rPr>
        <w:t>cf-art-8-inc-III</w:t>
      </w:r>
      <w:r>
        <w:rPr>
          <w:color w:val="003CA0"/>
          <w:sz w:val="12"/>
        </w:rPr>
        <w:t xml:space="preserve"> | ADI 4.461</w:t>
      </w:r>
      <w:r>
        <w:rPr>
          <w:color w:val="003CA0"/>
          <w:sz w:val="12"/>
        </w:rPr>
        <w:t xml:space="preserve"> | rel. Roberto Barroso</w:t>
      </w:r>
    </w:p>
    <w:p>
      <w:pPr>
        <w:ind w:left="288"/>
      </w:pPr>
      <w:r>
        <w:rPr>
          <w:color w:val="1E1E1E"/>
          <w:sz w:val="18"/>
        </w:rPr>
        <w:t>O art. 8º, III, da Constituição não trata da necessidade de participação das entidades sindicais representativas de servidores públicos na reformulação de planos de cargos e remuneração que atinjam as categorias representadas.</w:t>
      </w:r>
    </w:p>
    <w:p>
      <w:pPr>
        <w:ind w:left="288"/>
      </w:pPr>
      <w:r>
        <w:rPr>
          <w:b/>
          <w:color w:val="003CA0"/>
          <w:sz w:val="16"/>
        </w:rPr>
        <w:t>[ADI 4.461, rel. min. Roberto Barroso, j. 11-11-2019, P, DJE de 4-12-2019.]</w:t>
      </w:r>
    </w:p>
    <w:p>
      <w:pPr>
        <w:ind w:left="288"/>
      </w:pPr>
      <w:r>
        <w:rPr>
          <w:color w:val="8C8C8C"/>
          <w:sz w:val="12"/>
        </w:rPr>
        <w:t>cf-art-8-inc-III</w:t>
      </w:r>
      <w:r>
        <w:rPr>
          <w:color w:val="003CA0"/>
          <w:sz w:val="12"/>
        </w:rPr>
        <w:t xml:space="preserve"> | ADI 2.522</w:t>
      </w:r>
      <w:r>
        <w:rPr>
          <w:color w:val="003CA0"/>
          <w:sz w:val="12"/>
        </w:rPr>
        <w:t xml:space="preserve"> | rel. Eros Grau</w:t>
      </w:r>
    </w:p>
    <w:p>
      <w:pPr>
        <w:ind w:left="288"/>
      </w:pPr>
      <w:r>
        <w:rPr>
          <w:color w:val="1E1E1E"/>
          <w:sz w:val="18"/>
        </w:rPr>
        <w:t>A Lei federal 8.906/94 atribui à OAB função tradicionalmente desempenhada pelos sindicatos, ou seja, a defesa dos direitos e interesses coletivos ou individuais da categoria. A OAB ampara todos os inscritos, não apenas os empregados, como o fazem os sindicatos. Não há como traçar relação de igualdade entre os sindicatos de advogados e os demais. As funções que deveriam, em tese, ser por eles desempenhadas foram atribuídas à Ordem dos Advogados.</w:t>
      </w:r>
    </w:p>
    <w:p>
      <w:pPr>
        <w:ind w:left="288"/>
      </w:pPr>
      <w:r>
        <w:rPr>
          <w:b/>
          <w:color w:val="003CA0"/>
          <w:sz w:val="16"/>
        </w:rPr>
        <w:t>[ADI 2.522, rel. min. Eros Grau, j. 8-6-2006, P, DJ de 18-8-2006.]</w:t>
      </w:r>
    </w:p>
    <w:p>
      <w:pPr>
        <w:ind w:left="288"/>
      </w:pPr>
      <w:r>
        <w:rPr>
          <w:color w:val="8C8C8C"/>
          <w:sz w:val="12"/>
        </w:rPr>
        <w:t>cf-art-8-inc-III</w:t>
      </w:r>
      <w:r>
        <w:rPr>
          <w:color w:val="003CA0"/>
          <w:sz w:val="12"/>
        </w:rPr>
        <w:t xml:space="preserve"> | RE 1.520.954</w:t>
      </w:r>
      <w:r>
        <w:rPr>
          <w:color w:val="003CA0"/>
          <w:sz w:val="12"/>
        </w:rPr>
        <w:t xml:space="preserve"> | rel. Luís Roberto Barroso</w:t>
      </w:r>
    </w:p>
    <w:p>
      <w:pPr>
        <w:ind w:left="288"/>
      </w:pPr>
      <w:r>
        <w:rPr>
          <w:color w:val="1E1E1E"/>
          <w:sz w:val="18"/>
        </w:rPr>
        <w:t>“É infraconstitucional e pressupõe o exame de matéria fática e contratual a controvérsia sobre a possibilidade de o contrato celebrado com sindicato, para a defesa de interesses em ação coletiva, permitir a retenção de honorários advocatícios contratuais em execuções individuais.”</w:t>
      </w:r>
    </w:p>
    <w:p>
      <w:pPr>
        <w:ind w:left="288"/>
      </w:pPr>
      <w:r>
        <w:rPr>
          <w:b/>
          <w:color w:val="003CA0"/>
          <w:sz w:val="16"/>
        </w:rPr>
        <w:t>[RE 1.520.954 RG, rel. min. Luís Roberto Barroso, j. 13.12.2024, P, DJE de 18.12.2024, Tema 1.364, com repercussão geral negada.]</w:t>
      </w:r>
    </w:p>
    <w:p>
      <w:pPr>
        <w:ind w:left="288"/>
      </w:pPr>
      <w:r>
        <w:rPr>
          <w:color w:val="8C8C8C"/>
          <w:sz w:val="12"/>
        </w:rPr>
        <w:t>cf-art-8-inc-III</w:t>
      </w:r>
      <w:r>
        <w:rPr>
          <w:color w:val="003CA0"/>
          <w:sz w:val="12"/>
        </w:rPr>
        <w:t xml:space="preserve"> | ARE 1.520.376</w:t>
      </w:r>
      <w:r>
        <w:rPr>
          <w:color w:val="003CA0"/>
          <w:sz w:val="12"/>
        </w:rPr>
        <w:t xml:space="preserve"> | rel. Luís Roberto Barroso</w:t>
      </w:r>
    </w:p>
    <w:p>
      <w:pPr>
        <w:ind w:left="288"/>
      </w:pPr>
      <w:r>
        <w:rPr>
          <w:color w:val="1E1E1E"/>
          <w:sz w:val="18"/>
        </w:rPr>
        <w:t>Saber se as federações sindicais têm legitimidade extraordinária para a defesa de interesses individuais e coletivos, nos casos em que não há entidade sindical na circunscrição territorial.</w:t>
      </w:r>
    </w:p>
    <w:p>
      <w:pPr>
        <w:ind w:left="288"/>
      </w:pPr>
      <w:r>
        <w:rPr>
          <w:b/>
          <w:color w:val="003CA0"/>
          <w:sz w:val="16"/>
        </w:rPr>
        <w:t>[ARE 1.520.376 RG, rel. min. Luís Roberto Barroso, j. 18.11.2024, P, DJE de 22.11.2024, Tema 1.355, com mérito pendente.]</w:t>
      </w:r>
    </w:p>
    <w:p>
      <w:pPr>
        <w:ind w:left="144"/>
      </w:pPr>
      <w:r>
        <w:rPr>
          <w:b/>
          <w:color w:val="B45A00"/>
          <w:sz w:val="16"/>
        </w:rPr>
        <w:t>JULGADOS CORRELATOS</w:t>
      </w:r>
    </w:p>
    <w:p>
      <w:pPr>
        <w:ind w:left="288"/>
      </w:pPr>
      <w:r>
        <w:rPr>
          <w:color w:val="8C8C8C"/>
          <w:sz w:val="12"/>
        </w:rPr>
        <w:t>cf-art-8-inc-III</w:t>
      </w:r>
      <w:r>
        <w:rPr>
          <w:color w:val="003CA0"/>
          <w:sz w:val="12"/>
        </w:rPr>
        <w:t xml:space="preserve"> | RCL 4.990</w:t>
      </w:r>
      <w:r>
        <w:rPr>
          <w:color w:val="003CA0"/>
          <w:sz w:val="12"/>
        </w:rPr>
        <w:t xml:space="preserve"> | rel. Ellen Gracie</w:t>
      </w:r>
    </w:p>
    <w:p>
      <w:pPr>
        <w:ind w:left="288"/>
      </w:pPr>
      <w:r>
        <w:rPr>
          <w:color w:val="1E1E1E"/>
          <w:sz w:val="18"/>
        </w:rPr>
        <w:t>Ausência de legitimidade do sindicato para atuar perante a Suprema Corte. Ausência de registro sindical no Ministério do Trabalho e Emprego. (...) O registro sindical é o ato que habilita as entidades sindicais para a representação de determinada categoria, tendo em vista a necessidade de observância do postulado da unicidade sindical.</w:t>
      </w:r>
    </w:p>
    <w:p>
      <w:pPr>
        <w:ind w:left="288"/>
      </w:pPr>
      <w:r>
        <w:rPr>
          <w:b/>
          <w:color w:val="003CA0"/>
          <w:sz w:val="16"/>
        </w:rPr>
        <w:t>[Rcl 4.990 AgR, rel. min. Ellen Gracie, j. 4-3-2009, P, DJE de 27-3-2009.]</w:t>
      </w:r>
    </w:p>
    <w:p>
      <w:pPr>
        <w:ind w:left="288"/>
      </w:pPr>
      <w:r>
        <w:rPr>
          <w:color w:val="8C8C8C"/>
          <w:sz w:val="12"/>
        </w:rPr>
        <w:t>cf-art-8-inc-III</w:t>
      </w:r>
      <w:r>
        <w:rPr>
          <w:color w:val="003CA0"/>
          <w:sz w:val="12"/>
        </w:rPr>
        <w:t xml:space="preserve"> | RE 555.720</w:t>
      </w:r>
    </w:p>
    <w:p>
      <w:pPr>
        <w:ind w:left="288"/>
      </w:pPr>
      <w:r>
        <w:rPr>
          <w:color w:val="1E1E1E"/>
          <w:sz w:val="18"/>
        </w:rPr>
        <w:t>Esta Corte firmou o entendimento segundo o qual o sindicato tem legitimidade para atuar como substituto processual na defesa de direitos e interesses coletivos ou individuais homogêneos da categoria que representa. (...) Quanto à violação ao art. 5º, LXX e XXI, da Carta Magna, esta Corte firmou entendimento de que é desnecessária a expressa autorização dos sindicalizados para a substituição processual.</w:t>
      </w:r>
    </w:p>
    <w:p>
      <w:pPr>
        <w:ind w:left="288"/>
      </w:pPr>
      <w:r>
        <w:rPr>
          <w:b/>
          <w:color w:val="003CA0"/>
          <w:sz w:val="16"/>
        </w:rPr>
        <w:t>[RE 555.720 AgR, voto do min. Gilmar Mendes, j. 30-9-2008, 2ª T, DJE de 21-11-2008.]</w:t>
      </w:r>
    </w:p>
    <w:p>
      <w:pPr>
        <w:ind w:left="288"/>
      </w:pPr>
      <w:r>
        <w:rPr>
          <w:color w:val="8C8C8C"/>
          <w:sz w:val="12"/>
        </w:rPr>
        <w:t>cf-art-8-inc-III</w:t>
      </w:r>
      <w:r>
        <w:rPr>
          <w:color w:val="003CA0"/>
          <w:sz w:val="12"/>
        </w:rPr>
        <w:t xml:space="preserve"> | RE 217.566</w:t>
      </w:r>
      <w:r>
        <w:rPr>
          <w:color w:val="003CA0"/>
          <w:sz w:val="12"/>
        </w:rPr>
        <w:t xml:space="preserve"> | rel. Marco Aurélio</w:t>
      </w:r>
    </w:p>
    <w:p>
      <w:pPr>
        <w:ind w:left="288"/>
      </w:pPr>
      <w:r>
        <w:rPr>
          <w:color w:val="1E1E1E"/>
          <w:sz w:val="18"/>
        </w:rPr>
        <w:t>= RE 217.566 AgR, rel. min. Marco Aurélio, j. 8-2-2011, 1ª T, DJE de 3-3-2011 É incabível o pedido de desistência formulado após o início do julgamento por esta Corte, quando a maioria dos ministros já havia se manifestado favoravelmente à concessão da medida. O mandado de injunção coletivo, bem como a ação direta de inconstitucionalidade, não pode ser utilizado como meio de pressão sobre o Poder Judiciário ou qualquer entidade. Sindicato que, na relação processual, é legitimado extraordinário para figurar na causa; sindicato que postula em nome próprio, na defesa de direito alheio. Os substit</w:t>
      </w:r>
    </w:p>
    <w:p>
      <w:pPr>
        <w:ind w:left="288"/>
      </w:pPr>
      <w:r>
        <w:rPr>
          <w:b/>
          <w:color w:val="003CA0"/>
          <w:sz w:val="16"/>
        </w:rPr>
        <w:t>[MI 712 QO, rel. min. Eros Grau, j. 15-10-2007, P, DJE de 23-11-2007.]</w:t>
      </w:r>
    </w:p>
    <w:p>
      <w:pPr>
        <w:ind w:left="288"/>
      </w:pPr>
      <w:r>
        <w:rPr>
          <w:color w:val="8C8C8C"/>
          <w:sz w:val="12"/>
        </w:rPr>
        <w:t>cf-art-8-inc-III</w:t>
      </w:r>
      <w:r>
        <w:rPr>
          <w:color w:val="003CA0"/>
          <w:sz w:val="12"/>
        </w:rPr>
        <w:t xml:space="preserve"> | RE 363.860</w:t>
      </w:r>
      <w:r>
        <w:rPr>
          <w:color w:val="003CA0"/>
          <w:sz w:val="12"/>
        </w:rPr>
        <w:t xml:space="preserve"> | rel. Cezar Peluso</w:t>
      </w:r>
    </w:p>
    <w:p>
      <w:pPr>
        <w:ind w:left="288"/>
      </w:pPr>
      <w:r>
        <w:rPr>
          <w:color w:val="1E1E1E"/>
          <w:sz w:val="18"/>
        </w:rPr>
        <w:t>É prescindível a comprovação da situação funcional de cada substituído, na fase de conhecimento, nas ações em que os sindicatos agem como substituto processual.</w:t>
      </w:r>
    </w:p>
    <w:p>
      <w:pPr>
        <w:ind w:left="288"/>
      </w:pPr>
      <w:r>
        <w:rPr>
          <w:b/>
          <w:color w:val="003CA0"/>
          <w:sz w:val="16"/>
        </w:rPr>
        <w:t>[RE 363.860 AgR, rel. min. Cezar Peluso, j. 25-9-2007, 2ª T, DJ de 19-10-2007.]</w:t>
      </w:r>
    </w:p>
    <w:p>
      <w:pPr>
        <w:ind w:left="288"/>
      </w:pPr>
      <w:r>
        <w:rPr>
          <w:color w:val="8C8C8C"/>
          <w:sz w:val="12"/>
        </w:rPr>
        <w:t>cf-art-8-inc-III</w:t>
      </w:r>
      <w:r>
        <w:rPr>
          <w:color w:val="003CA0"/>
          <w:sz w:val="12"/>
        </w:rPr>
        <w:t xml:space="preserve"> | AI 840.917</w:t>
      </w:r>
      <w:r>
        <w:rPr>
          <w:color w:val="003CA0"/>
          <w:sz w:val="12"/>
        </w:rPr>
        <w:t xml:space="preserve"> | rel. Dias Toffoli</w:t>
      </w:r>
    </w:p>
    <w:p>
      <w:pPr>
        <w:ind w:left="288"/>
      </w:pPr>
      <w:r>
        <w:rPr>
          <w:color w:val="1E1E1E"/>
          <w:sz w:val="18"/>
        </w:rPr>
        <w:t>= AI 840.917 AgR, rel. min. Dias Toffoli, j. 17-9-2013, 1ª T, DJE de 5-11-2013 IV - a assembleia geral fixará a contribuição que, em se tratando de categoria profissional, será descontada em folha, para custeio do sistema confederativo da representação sindical respectiva, independentemente da contribuição prevista em lei;</w:t>
      </w:r>
    </w:p>
    <w:p>
      <w:pPr>
        <w:ind w:left="144"/>
      </w:pPr>
      <w:r>
        <w:rPr>
          <w:b/>
          <w:color w:val="B45A00"/>
          <w:sz w:val="16"/>
        </w:rPr>
        <w:t>SUMULA VINCULANTE</w:t>
      </w:r>
    </w:p>
    <w:p>
      <w:pPr>
        <w:ind w:left="288"/>
      </w:pPr>
      <w:r>
        <w:rPr>
          <w:color w:val="8C8C8C"/>
          <w:sz w:val="12"/>
        </w:rPr>
        <w:t>cf-art-8-inc-III</w:t>
      </w:r>
    </w:p>
    <w:p>
      <w:pPr>
        <w:ind w:left="288"/>
      </w:pPr>
      <w:r>
        <w:rPr>
          <w:color w:val="1E1E1E"/>
          <w:sz w:val="18"/>
        </w:rPr>
        <w:t>A contribuição confederativa de que trata o art. 8º, IV, da CF só é exigível dos filiados ao sindicato respectivo.</w:t>
      </w:r>
    </w:p>
    <w:p>
      <w:pPr>
        <w:ind w:left="288"/>
      </w:pPr>
      <w:r>
        <w:rPr>
          <w:b/>
          <w:color w:val="003CA0"/>
          <w:sz w:val="16"/>
        </w:rPr>
        <w:t>[Súmula Vinculante 40.]</w:t>
      </w:r>
    </w:p>
    <w:p>
      <w:pPr>
        <w:ind w:left="144"/>
      </w:pPr>
      <w:r>
        <w:rPr>
          <w:b/>
          <w:color w:val="B45A00"/>
          <w:sz w:val="16"/>
        </w:rPr>
        <w:t>CONTROLE CONCENTRADO</w:t>
      </w:r>
    </w:p>
    <w:p>
      <w:pPr>
        <w:ind w:left="288"/>
      </w:pPr>
      <w:r>
        <w:rPr>
          <w:color w:val="8C8C8C"/>
          <w:sz w:val="12"/>
        </w:rPr>
        <w:t>cf-art-8-inc-III</w:t>
      </w:r>
      <w:r>
        <w:rPr>
          <w:color w:val="003CA0"/>
          <w:sz w:val="12"/>
        </w:rPr>
        <w:t xml:space="preserve"> | ADI 5.794</w:t>
      </w:r>
    </w:p>
    <w:p>
      <w:pPr>
        <w:ind w:left="288"/>
      </w:pPr>
      <w:r>
        <w:rPr>
          <w:color w:val="1E1E1E"/>
          <w:sz w:val="18"/>
        </w:rPr>
        <w:t>A Carta Magna não contém qualquer comando impondo a compulsoriedade da contribuição sindical, na medida em que o art. 8º, IV, da Constituição remete à lei a tarefa de dispor sobre a referida contribuição e o art. 149 da Lei Maior, por sua vez, limita-se a conferir à União o poder de criar contribuições sociais, o que, evidentemente, inclui a prerrogativa de extinguir ou modificar a natureza de contribuições existentes. A supressão do caráter compulsório das contribuições sindicais não vulnera o princípio constitucional da autonomia da organização sindical, previsto no art. 8º, I, da Carta Magn</w:t>
      </w:r>
    </w:p>
    <w:p>
      <w:pPr>
        <w:ind w:left="288"/>
      </w:pPr>
      <w:r>
        <w:rPr>
          <w:b/>
          <w:color w:val="003CA0"/>
          <w:sz w:val="16"/>
        </w:rPr>
        <w:t>[ADI 5.794, red. do ac. min. Luiz Fux, j. 29-6-2018, P, DJE de 23-4-2019.]</w:t>
      </w:r>
    </w:p>
    <w:p>
      <w:pPr>
        <w:ind w:left="288"/>
      </w:pPr>
      <w:r>
        <w:rPr>
          <w:color w:val="8C8C8C"/>
          <w:sz w:val="12"/>
        </w:rPr>
        <w:t>cf-art-8-inc-III</w:t>
      </w:r>
      <w:r>
        <w:rPr>
          <w:color w:val="003CA0"/>
          <w:sz w:val="12"/>
        </w:rPr>
        <w:t xml:space="preserve"> | ADI 4.033</w:t>
      </w:r>
      <w:r>
        <w:rPr>
          <w:color w:val="003CA0"/>
          <w:sz w:val="12"/>
        </w:rPr>
        <w:t xml:space="preserve"> | rel. Joaquim Barbosa</w:t>
      </w:r>
    </w:p>
    <w:p>
      <w:pPr>
        <w:ind w:left="288"/>
      </w:pPr>
      <w:r>
        <w:rPr>
          <w:color w:val="1E1E1E"/>
          <w:sz w:val="18"/>
        </w:rPr>
        <w:t>Contribuição sindical patronal. Isenção concedida às microempresas e empresas de pequeno porte. Simples Nacional ("Supersimples"). LC 123/2006, art. 13, § 3º. (...) O fomento da micro e da pequena empresa foi elevado à condição de princípio constitucional, de modo a orientar todos os entes federados a conferir tratamento favorecido aos empreendedores que contam com menos recursos para fazer frente à concorrência. Por tal motivo, a literalidade da complexa legislação tributária deve ceder à interpretação mais adequada e harmônica com a finalidade de assegurar equivalência de condições para as e</w:t>
      </w:r>
    </w:p>
    <w:p>
      <w:pPr>
        <w:ind w:left="288"/>
      </w:pPr>
      <w:r>
        <w:rPr>
          <w:b/>
          <w:color w:val="003CA0"/>
          <w:sz w:val="16"/>
        </w:rPr>
        <w:t>[ADI 4.033, rel. min. Joaquim Barbosa, j. 15-9-2010, P, DJE de 7-2-2011.]</w:t>
      </w:r>
    </w:p>
    <w:p>
      <w:pPr>
        <w:ind w:left="288"/>
      </w:pPr>
      <w:r>
        <w:rPr>
          <w:color w:val="8C8C8C"/>
          <w:sz w:val="12"/>
        </w:rPr>
        <w:t>cf-art-8-inc-III</w:t>
      </w:r>
      <w:r>
        <w:rPr>
          <w:color w:val="003CA0"/>
          <w:sz w:val="12"/>
        </w:rPr>
        <w:t xml:space="preserve"> | ADI 2.522</w:t>
      </w:r>
      <w:r>
        <w:rPr>
          <w:color w:val="003CA0"/>
          <w:sz w:val="12"/>
        </w:rPr>
        <w:t xml:space="preserve"> | rel. Eros Grau</w:t>
      </w:r>
    </w:p>
    <w:p>
      <w:pPr>
        <w:ind w:left="288"/>
      </w:pPr>
      <w:r>
        <w:rPr>
          <w:color w:val="1E1E1E"/>
          <w:sz w:val="18"/>
        </w:rPr>
        <w:t>Art. 47 da Lei federal 8.906/1994. Estatuto da Advocacia e da Ordem dos Advogados do Brasil. Contribuição anual à OAB. Isenção do pagamento obrigatório da contribuição sindical. (...) Não se sustenta o argumento de que o preceito impugnado retira do sindicato sua fonte essencial de custeio.</w:t>
      </w:r>
    </w:p>
    <w:p>
      <w:pPr>
        <w:ind w:left="288"/>
      </w:pPr>
      <w:r>
        <w:rPr>
          <w:b/>
          <w:color w:val="003CA0"/>
          <w:sz w:val="16"/>
        </w:rPr>
        <w:t>[ADI 2.522, rel. min. Eros Grau, j. 8-6-2006, P, DJ de 18-8-2006.]</w:t>
      </w:r>
    </w:p>
    <w:p>
      <w:pPr>
        <w:ind w:left="288"/>
      </w:pPr>
      <w:r>
        <w:rPr>
          <w:color w:val="8C8C8C"/>
          <w:sz w:val="12"/>
        </w:rPr>
        <w:t>cf-art-8-inc-III</w:t>
      </w:r>
      <w:r>
        <w:rPr>
          <w:color w:val="003CA0"/>
          <w:sz w:val="12"/>
        </w:rPr>
        <w:t xml:space="preserve"> | ADI 1.416</w:t>
      </w:r>
      <w:r>
        <w:rPr>
          <w:color w:val="003CA0"/>
          <w:sz w:val="12"/>
        </w:rPr>
        <w:t xml:space="preserve"> | rel. Gilmar Mendes</w:t>
      </w:r>
    </w:p>
    <w:p>
      <w:pPr>
        <w:ind w:left="288"/>
      </w:pPr>
      <w:r>
        <w:rPr>
          <w:color w:val="1E1E1E"/>
          <w:sz w:val="18"/>
        </w:rPr>
        <w:t>Vedação de desconto de contribuição sindical. Violação ao art. 8º, IV, c/c o art. 37, VI, da Constituição.</w:t>
      </w:r>
    </w:p>
    <w:p>
      <w:pPr>
        <w:ind w:left="288"/>
      </w:pPr>
      <w:r>
        <w:rPr>
          <w:b/>
          <w:color w:val="003CA0"/>
          <w:sz w:val="16"/>
        </w:rPr>
        <w:t>[ADI 1.416, rel. min. Gilmar Mendes, j. 10-10-2002, P, DJ de 14-11-2002.]</w:t>
      </w:r>
    </w:p>
    <w:p>
      <w:pPr>
        <w:ind w:left="288"/>
      </w:pPr>
      <w:r>
        <w:rPr>
          <w:color w:val="8C8C8C"/>
          <w:sz w:val="12"/>
        </w:rPr>
        <w:t>cf-art-8-inc-III</w:t>
      </w:r>
      <w:r>
        <w:rPr>
          <w:color w:val="003CA0"/>
          <w:sz w:val="12"/>
        </w:rPr>
        <w:t xml:space="preserve"> | ADI 1.088</w:t>
      </w:r>
      <w:r>
        <w:rPr>
          <w:color w:val="003CA0"/>
          <w:sz w:val="12"/>
        </w:rPr>
        <w:t xml:space="preserve"> | rel. Nelson Jobim</w:t>
      </w:r>
    </w:p>
    <w:p>
      <w:pPr>
        <w:ind w:left="288"/>
      </w:pPr>
      <w:r>
        <w:rPr>
          <w:color w:val="1E1E1E"/>
          <w:sz w:val="18"/>
        </w:rPr>
        <w:t>Portaria do Tribunal de Justiça do Piauí que determina que os pedidos de descontos em folha de contribuições sindicais devidas à associação ou sindicato de classe deverão ser formuladas pelo servidor e dirigidos ao presidente do Tribunal de Justiça. Ofensa ao art. 8º, IV, da CF.</w:t>
      </w:r>
    </w:p>
    <w:p>
      <w:pPr>
        <w:ind w:left="288"/>
      </w:pPr>
      <w:r>
        <w:rPr>
          <w:b/>
          <w:color w:val="003CA0"/>
          <w:sz w:val="16"/>
        </w:rPr>
        <w:t>[ADI 1.088, rel. min. Nelson Jobim, j. 20-2-2002, P, DJ de 22-11-2002.]</w:t>
      </w:r>
    </w:p>
    <w:p>
      <w:pPr>
        <w:ind w:left="288"/>
      </w:pPr>
      <w:r>
        <w:rPr>
          <w:color w:val="8C8C8C"/>
          <w:sz w:val="12"/>
        </w:rPr>
        <w:t>cf-art-8-inc-III</w:t>
      </w:r>
      <w:r>
        <w:rPr>
          <w:color w:val="003CA0"/>
          <w:sz w:val="12"/>
        </w:rPr>
        <w:t xml:space="preserve"> | ADI 962</w:t>
      </w:r>
      <w:r>
        <w:rPr>
          <w:color w:val="003CA0"/>
          <w:sz w:val="12"/>
        </w:rPr>
        <w:t xml:space="preserve"> | rel. Ilmar Galvão</w:t>
      </w:r>
    </w:p>
    <w:p>
      <w:pPr>
        <w:ind w:left="288"/>
      </w:pPr>
      <w:r>
        <w:rPr>
          <w:color w:val="1E1E1E"/>
          <w:sz w:val="18"/>
        </w:rPr>
        <w:t>O cancelamento do desconto, em folha, da contribuição sindical de servidor público do Poder Judiciário, salvo se expressamente autorizado, encerra orientação que, prima facie, se revela incompatível com o princípio da liberdade de associação sindical, que garante aos sindicatos o desconto automático daquela parcela, tão logo haja a filiação e sua comunicação ao órgão responsável pelo pagamento dos vencimentos.</w:t>
      </w:r>
    </w:p>
    <w:p>
      <w:pPr>
        <w:ind w:left="288"/>
      </w:pPr>
      <w:r>
        <w:rPr>
          <w:b/>
          <w:color w:val="003CA0"/>
          <w:sz w:val="16"/>
        </w:rPr>
        <w:t>[ADI 962 MC, rel. min. Ilmar Galvão, j. 11-11-1993, P, DJ de 11-2-1994.]</w:t>
      </w:r>
    </w:p>
    <w:p>
      <w:pPr>
        <w:ind w:left="144"/>
      </w:pPr>
      <w:r>
        <w:rPr>
          <w:b/>
          <w:color w:val="B45A00"/>
          <w:sz w:val="16"/>
        </w:rPr>
        <w:t>REPERCUSSAO GERAL</w:t>
      </w:r>
    </w:p>
    <w:p>
      <w:pPr>
        <w:ind w:left="288"/>
      </w:pPr>
      <w:r>
        <w:rPr>
          <w:color w:val="8C8C8C"/>
          <w:sz w:val="12"/>
        </w:rPr>
        <w:t>cf-art-8-inc-III</w:t>
      </w:r>
      <w:r>
        <w:rPr>
          <w:color w:val="003CA0"/>
          <w:sz w:val="12"/>
        </w:rPr>
        <w:t xml:space="preserve"> | ARE 1.018.459</w:t>
      </w:r>
      <w:r>
        <w:rPr>
          <w:color w:val="003CA0"/>
          <w:sz w:val="12"/>
        </w:rPr>
        <w:t xml:space="preserve"> | rel. Gilmar Mendes</w:t>
      </w:r>
    </w:p>
    <w:p>
      <w:pPr>
        <w:ind w:left="288"/>
      </w:pPr>
      <w:r>
        <w:rPr>
          <w:color w:val="1E1E1E"/>
          <w:sz w:val="18"/>
        </w:rPr>
        <w:t>“É constitucional a instituição, por acordo ou convenção coletivos, de contribuições assistenciais a serem impostas a todos os empregados da categoria, ainda que não sindicalizados, desde que assegurado o direito de oposição.”</w:t>
        <w:br/>
        <w:t xml:space="preserve">[ARE 1.018.459 ED, rel. min. Gilmar Mendes, j. 12-9-2023, P, DJE de 30-10-2023, Tema 935, com mérito julgado.] (...) a Contribuição Sindical Rural, instituída pelo DL 1.661/1971, não configura hipótese de bitributação e que tal tributo foi recepcionado pela ordem constitucional vigente. </w:t>
        <w:br/>
        <w:t>[RE 883.542, voto do min. Gilmar Mendes, j. 2-6-2017, P, DJE de 27-11-2017, Tema 948</w:t>
      </w:r>
    </w:p>
    <w:p>
      <w:pPr>
        <w:ind w:left="288"/>
      </w:pPr>
      <w:r>
        <w:rPr>
          <w:b/>
          <w:color w:val="003CA0"/>
          <w:sz w:val="16"/>
        </w:rPr>
        <w:t>[ARE 1.018.459 ED-ED, rel. min. Gilmar Mendes, j. 26.11.2025, P, DJE de 09.12.2025.]</w:t>
      </w:r>
    </w:p>
    <w:p>
      <w:pPr>
        <w:ind w:left="144"/>
      </w:pPr>
      <w:r>
        <w:rPr>
          <w:b/>
          <w:color w:val="B45A00"/>
          <w:sz w:val="16"/>
        </w:rPr>
        <w:t>JULGADOS CORRELATOS</w:t>
      </w:r>
    </w:p>
    <w:p>
      <w:pPr>
        <w:ind w:left="288"/>
      </w:pPr>
      <w:r>
        <w:rPr>
          <w:color w:val="8C8C8C"/>
          <w:sz w:val="12"/>
        </w:rPr>
        <w:t>cf-art-8-inc-III</w:t>
      </w:r>
      <w:r>
        <w:rPr>
          <w:color w:val="003CA0"/>
          <w:sz w:val="12"/>
        </w:rPr>
        <w:t xml:space="preserve"> | ARE 1.428.886</w:t>
      </w:r>
      <w:r>
        <w:rPr>
          <w:color w:val="003CA0"/>
          <w:sz w:val="12"/>
        </w:rPr>
        <w:t xml:space="preserve"> | rel. Edson Fachin</w:t>
      </w:r>
    </w:p>
    <w:p>
      <w:pPr>
        <w:ind w:left="288"/>
      </w:pPr>
      <w:r>
        <w:rPr>
          <w:color w:val="1E1E1E"/>
          <w:sz w:val="18"/>
        </w:rPr>
        <w:t>A compulsoriedade do recolhimento da contribuição sindical pelos servidores públicos civis para os respectivos sindicatos, com fundamento nos arts. 578 e seguintes da CLT, foi recepcionada pela Constituição de 1988. O fundamento constitucional para essa contribuição sindical (art. 8º, IV, in fine, da Constituição) é norma de eficácia plena, não dependendo de lei integrativa para ser exigível.</w:t>
        <w:br/>
        <w:t>[ARE 1.428.886 AgR, rel. min. Edson Fachin, j. 3-7-2023, 2ª T, DJE de 2-8-2023.] O STF tem se orientado no sentido de que a contribuição sindical é devida pelos servidores públicos, independentemente da e</w:t>
      </w:r>
    </w:p>
    <w:p>
      <w:pPr>
        <w:ind w:left="288"/>
      </w:pPr>
      <w:r>
        <w:rPr>
          <w:b/>
          <w:color w:val="003CA0"/>
          <w:sz w:val="16"/>
        </w:rPr>
        <w:t>[RE 189.960, voto do min. Marco Aurélio, j. 7-11-2000, 2ª T, DJ de 10-8-2001.]</w:t>
      </w:r>
    </w:p>
    <w:p>
      <w:pPr>
        <w:ind w:left="288"/>
      </w:pPr>
      <w:r>
        <w:rPr>
          <w:color w:val="8C8C8C"/>
          <w:sz w:val="12"/>
        </w:rPr>
        <w:t>cf-art-8-inc-III</w:t>
      </w:r>
      <w:r>
        <w:rPr>
          <w:color w:val="003CA0"/>
          <w:sz w:val="12"/>
        </w:rPr>
        <w:t xml:space="preserve"> | RE 161.547</w:t>
      </w:r>
      <w:r>
        <w:rPr>
          <w:color w:val="003CA0"/>
          <w:sz w:val="12"/>
        </w:rPr>
        <w:t xml:space="preserve"> | rel. Sepúlveda Pertence</w:t>
      </w:r>
    </w:p>
    <w:p>
      <w:pPr>
        <w:ind w:left="288"/>
      </w:pPr>
      <w:r>
        <w:rPr>
          <w:color w:val="1E1E1E"/>
          <w:sz w:val="18"/>
        </w:rPr>
        <w:t>Sindicato: contribuição confederativa instituída pela assembleia geral: eficácia plena e aplicabilidade imediata da regra constitucional que a previu (CF, art. 8º, IV). Coerente com a sua jurisprudência no sentido do caráter não tributário da contribuição confederativa, o STF tem afirmado a eficácia plena e imediata da norma constitucional que a previu (CF, art. 8º, IV) (...).</w:t>
      </w:r>
    </w:p>
    <w:p>
      <w:pPr>
        <w:ind w:left="288"/>
      </w:pPr>
      <w:r>
        <w:rPr>
          <w:b/>
          <w:color w:val="003CA0"/>
          <w:sz w:val="16"/>
        </w:rPr>
        <w:t>[RE 161.547, rel. min. Sepúlveda Pertence, j. 24-3-1998, 1ª T, DJ de 8-5-1998.]</w:t>
      </w:r>
    </w:p>
    <w:p>
      <w:pPr>
        <w:ind w:left="144"/>
      </w:pPr>
      <w:r>
        <w:rPr>
          <w:b/>
          <w:color w:val="B45A00"/>
          <w:sz w:val="16"/>
        </w:rPr>
        <w:t>CONTROLE CONCENTRADO</w:t>
      </w:r>
    </w:p>
    <w:p>
      <w:pPr>
        <w:ind w:left="288"/>
      </w:pPr>
      <w:r>
        <w:rPr>
          <w:color w:val="8C8C8C"/>
          <w:sz w:val="12"/>
        </w:rPr>
        <w:t>cf-art-8-inc-V</w:t>
      </w:r>
      <w:r>
        <w:rPr>
          <w:color w:val="003CA0"/>
          <w:sz w:val="12"/>
        </w:rPr>
        <w:t xml:space="preserve"> | ADI 5.251</w:t>
      </w:r>
      <w:r>
        <w:rPr>
          <w:color w:val="003CA0"/>
          <w:sz w:val="12"/>
        </w:rPr>
        <w:t xml:space="preserve"> | rel. Marco Aurélio</w:t>
      </w:r>
    </w:p>
    <w:p>
      <w:pPr>
        <w:ind w:left="288"/>
      </w:pPr>
      <w:r>
        <w:rPr>
          <w:color w:val="1E1E1E"/>
          <w:sz w:val="18"/>
        </w:rPr>
        <w:t>É incompatível, com a liberdade de associação profissional ou sindical – artigo 8º, cabeça e inciso V, da Carta da República –, a exigência, para o exercício de profissão, de inscrição em órgão de classe ou sindicato.</w:t>
      </w:r>
    </w:p>
    <w:p>
      <w:pPr>
        <w:ind w:left="288"/>
      </w:pPr>
      <w:r>
        <w:rPr>
          <w:b/>
          <w:color w:val="003CA0"/>
          <w:sz w:val="16"/>
        </w:rPr>
        <w:t>[ADI 5.251, rel. min. Marco Aurélio, j. 8-4-2021, P, DJE de 16-4-2021.]</w:t>
      </w:r>
    </w:p>
    <w:p>
      <w:pPr>
        <w:ind w:left="288"/>
      </w:pPr>
      <w:r>
        <w:rPr>
          <w:color w:val="8C8C8C"/>
          <w:sz w:val="12"/>
        </w:rPr>
        <w:t>cf-art-8-inc-V</w:t>
      </w:r>
      <w:r>
        <w:rPr>
          <w:color w:val="003CA0"/>
          <w:sz w:val="12"/>
        </w:rPr>
        <w:t xml:space="preserve"> | ADI 2.811</w:t>
      </w:r>
      <w:r>
        <w:rPr>
          <w:color w:val="003CA0"/>
          <w:sz w:val="12"/>
        </w:rPr>
        <w:t xml:space="preserve"> | rel. Rosa Weber</w:t>
      </w:r>
    </w:p>
    <w:p>
      <w:pPr>
        <w:ind w:left="288"/>
      </w:pPr>
      <w:r>
        <w:rPr>
          <w:color w:val="1E1E1E"/>
          <w:sz w:val="18"/>
        </w:rPr>
        <w:t>O condicionamento da participação das cooperativas em processos licitatórios à apresentação de certificado de registro no Sindicato e Organização das Cooperativas do Estado malfere a garantia da liberdade de associação sindical, consagrada no art. 8º, V, da Lei Maior.</w:t>
      </w:r>
    </w:p>
    <w:p>
      <w:pPr>
        <w:ind w:left="288"/>
      </w:pPr>
      <w:r>
        <w:rPr>
          <w:b/>
          <w:color w:val="003CA0"/>
          <w:sz w:val="16"/>
        </w:rPr>
        <w:t>[ADI 2.811, rel. min. Rosa Weber, j. 25-10-2019, P, DJE de 7-11-2019.]</w:t>
      </w:r>
    </w:p>
    <w:p>
      <w:pPr>
        <w:ind w:left="288"/>
      </w:pPr>
      <w:r>
        <w:rPr>
          <w:color w:val="8C8C8C"/>
          <w:sz w:val="12"/>
        </w:rPr>
        <w:t>cf-art-8-inc-V</w:t>
      </w:r>
      <w:r>
        <w:rPr>
          <w:color w:val="003CA0"/>
          <w:sz w:val="12"/>
        </w:rPr>
        <w:t xml:space="preserve"> | ADI 3.464</w:t>
      </w:r>
      <w:r>
        <w:rPr>
          <w:color w:val="003CA0"/>
          <w:sz w:val="12"/>
        </w:rPr>
        <w:t xml:space="preserve"> | rel. Menezes Direito</w:t>
      </w:r>
    </w:p>
    <w:p>
      <w:pPr>
        <w:ind w:left="288"/>
      </w:pPr>
      <w:r>
        <w:rPr>
          <w:color w:val="1E1E1E"/>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88"/>
      </w:pPr>
      <w:r>
        <w:rPr>
          <w:b/>
          <w:color w:val="003CA0"/>
          <w:sz w:val="16"/>
        </w:rPr>
        <w:t>[ADI 3.464, rel. min. Menezes Direito, j. 29-10-2008, P, DJE de 6-3-2009.]</w:t>
      </w:r>
    </w:p>
    <w:p>
      <w:pPr>
        <w:ind w:left="288"/>
      </w:pPr>
      <w:r>
        <w:rPr>
          <w:color w:val="8C8C8C"/>
          <w:sz w:val="12"/>
        </w:rPr>
        <w:t>cf-art-8-inc-VI</w:t>
      </w:r>
      <w:r>
        <w:rPr>
          <w:color w:val="003CA0"/>
          <w:sz w:val="12"/>
        </w:rPr>
        <w:t xml:space="preserve"> | ADI 3.587</w:t>
      </w:r>
      <w:r>
        <w:rPr>
          <w:color w:val="003CA0"/>
          <w:sz w:val="12"/>
        </w:rPr>
        <w:t xml:space="preserve"> | rel. Gilmar Mendes</w:t>
      </w:r>
    </w:p>
    <w:p>
      <w:pPr>
        <w:ind w:left="288"/>
      </w:pPr>
      <w:r>
        <w:rPr>
          <w:color w:val="1E1E1E"/>
          <w:sz w:val="18"/>
        </w:rPr>
        <w:t>Lei distrital 3.136/2003, que "disciplina a atividade de transporte de bagagens nos terminais rodoviários do Distrito Federal". (...) com relação ao art. 1º da lei distrital, verifica-se violação ao art. 8º, VI, da CF, por afrontar a "liberdade de associação sindical", uma vez que a norma objeto desta impugnação sujeita o exercício da profissão de carregador e transportador de bagagens à prévia filiação ao sindicato da categoria.</w:t>
      </w:r>
    </w:p>
    <w:p>
      <w:pPr>
        <w:ind w:left="288"/>
      </w:pPr>
      <w:r>
        <w:rPr>
          <w:b/>
          <w:color w:val="003CA0"/>
          <w:sz w:val="16"/>
        </w:rPr>
        <w:t>[ADI 3.587, rel. min. Gilmar Mendes, j. 12-12-2007, P, DJE de 22-2-2008.]</w:t>
      </w:r>
    </w:p>
    <w:p>
      <w:pPr>
        <w:ind w:left="144"/>
      </w:pPr>
      <w:r>
        <w:rPr>
          <w:b/>
          <w:color w:val="B45A00"/>
          <w:sz w:val="16"/>
        </w:rPr>
        <w:t>JULGADOS CORRELATOS</w:t>
      </w:r>
    </w:p>
    <w:p>
      <w:pPr>
        <w:ind w:left="288"/>
      </w:pPr>
      <w:r>
        <w:rPr>
          <w:color w:val="8C8C8C"/>
          <w:sz w:val="12"/>
        </w:rPr>
        <w:t>cf-art-8-inc-VI</w:t>
      </w:r>
      <w:r>
        <w:rPr>
          <w:color w:val="003CA0"/>
          <w:sz w:val="12"/>
        </w:rPr>
        <w:t xml:space="preserve"> | RMS 31.587</w:t>
      </w:r>
      <w:r>
        <w:rPr>
          <w:color w:val="003CA0"/>
          <w:sz w:val="12"/>
        </w:rPr>
        <w:t xml:space="preserve"> | rel. Cármen Lúcia</w:t>
      </w:r>
    </w:p>
    <w:p>
      <w:pPr>
        <w:ind w:left="288"/>
      </w:pPr>
      <w:r>
        <w:rPr>
          <w:color w:val="1E1E1E"/>
          <w:sz w:val="18"/>
        </w:rPr>
        <w:t>Participação de sindicato na Mesa Nacional de Negociação Permanente. Limitação a sindicatos de âmbito nacional.</w:t>
      </w:r>
    </w:p>
    <w:p>
      <w:pPr>
        <w:ind w:left="288"/>
      </w:pPr>
      <w:r>
        <w:rPr>
          <w:b/>
          <w:color w:val="003CA0"/>
          <w:sz w:val="16"/>
        </w:rPr>
        <w:t>[RMS 31.587, rel. min. Cármen Lúcia, j. 2-10-2012, 2ª T, DJE de 29-10-2012.]</w:t>
      </w:r>
    </w:p>
    <w:p>
      <w:pPr>
        <w:ind w:left="288"/>
      </w:pPr>
      <w:r>
        <w:rPr>
          <w:color w:val="8C8C8C"/>
          <w:sz w:val="12"/>
        </w:rPr>
        <w:t>cf-art-8-inc-VII</w:t>
      </w:r>
    </w:p>
    <w:p>
      <w:pPr>
        <w:ind w:left="288"/>
      </w:pPr>
      <w:r>
        <w:rPr>
          <w:color w:val="1E1E1E"/>
          <w:sz w:val="18"/>
        </w:rPr>
        <w:t>VIII - é vedada a dispensa do empregado sindicalizado a partir do registro da candidatura a cargo de direção ou representação sindical e, se eleito, ainda que suplente, até um ano após o final do mandato, salvo se cometer falta grave nos termos da lei.</w:t>
      </w:r>
    </w:p>
    <w:p>
      <w:pPr>
        <w:ind w:left="288"/>
      </w:pPr>
      <w:r>
        <w:rPr>
          <w:color w:val="8C8C8C"/>
          <w:sz w:val="12"/>
        </w:rPr>
        <w:t>cf-art-8-inc-VII</w:t>
      </w:r>
      <w:r>
        <w:rPr>
          <w:color w:val="003CA0"/>
          <w:sz w:val="12"/>
        </w:rPr>
        <w:t xml:space="preserve"> | RE 777.227</w:t>
      </w:r>
      <w:r>
        <w:rPr>
          <w:color w:val="003CA0"/>
          <w:sz w:val="12"/>
        </w:rPr>
        <w:t xml:space="preserve"> | rel. Roberto Barroso</w:t>
      </w:r>
    </w:p>
    <w:p>
      <w:pPr>
        <w:ind w:left="288"/>
      </w:pPr>
      <w:r>
        <w:rPr>
          <w:color w:val="1E1E1E"/>
          <w:sz w:val="18"/>
        </w:rPr>
        <w:t>O STF assentou entendimento de que o art. 8º, VIII, da CF, ao fazer a distinção, no caput, entre associação e sindicato, teria conferido a garantia de estabilidade provisória somente ao último, ou seja, aos dirigentes ou representantes sindicais.</w:t>
        <w:br/>
        <w:t>[RE 777.227 AgR, rel. min. Roberto Barroso, j. 25-8-2017, 1ª T, DJE de 9-8-2017.] Nos termos da orientação firmada por esta Corte, a estabilidade dos dirigentes sindicais está condicionada ao atendimento da limitação prevista no art. 522 da CLT, o qual foi recepcionado pela CF.</w:t>
        <w:br/>
        <w:t>[RE 394.579 AgR, rel. min. Joaquim Barbosa, j. 29-5-2012, 2ª T, DJE de 25-</w:t>
      </w:r>
    </w:p>
    <w:p>
      <w:pPr>
        <w:ind w:left="288"/>
      </w:pPr>
      <w:r>
        <w:rPr>
          <w:b/>
          <w:color w:val="003CA0"/>
          <w:sz w:val="16"/>
        </w:rPr>
        <w:t>[AI 454.064 AgR, rel. min. Celso de Mello, j. 14-3-2006, 2ª T, DJE de 5-2-2013.]</w:t>
      </w:r>
    </w:p>
    <w:p>
      <w:pPr>
        <w:ind w:left="288"/>
      </w:pPr>
      <w:r>
        <w:rPr>
          <w:color w:val="8C8C8C"/>
          <w:sz w:val="12"/>
        </w:rPr>
        <w:t>cf-art-8-inc-VII</w:t>
      </w:r>
      <w:r>
        <w:rPr>
          <w:color w:val="003CA0"/>
          <w:sz w:val="12"/>
        </w:rPr>
        <w:t xml:space="preserve"> | RE 222.334</w:t>
      </w:r>
      <w:r>
        <w:rPr>
          <w:color w:val="003CA0"/>
          <w:sz w:val="12"/>
        </w:rPr>
        <w:t xml:space="preserve"> | rel. Maurício Corrêa</w:t>
      </w:r>
    </w:p>
    <w:p>
      <w:pPr>
        <w:ind w:left="288"/>
      </w:pPr>
      <w:r>
        <w:rPr>
          <w:color w:val="1E1E1E"/>
          <w:sz w:val="18"/>
        </w:rPr>
        <w:t>A garantia constitucional assegurada ao empregado enquanto no cumprimento de mandato sindical (CF, art. 8º, VIII) não se destina a ele propriamente dito, ex intuitu personae, mas sim à representação sindical de que se investe, que deixa de existir, entretanto, se extinta a empresa empregadora.</w:t>
      </w:r>
    </w:p>
    <w:p>
      <w:pPr>
        <w:ind w:left="288"/>
      </w:pPr>
      <w:r>
        <w:rPr>
          <w:b/>
          <w:color w:val="003CA0"/>
          <w:sz w:val="16"/>
        </w:rPr>
        <w:t>[RE 222.334, rel. min. Maurício Corrêa, j. 30-10-2001, 2ª T, DJ de 8-3-2002.]</w:t>
      </w:r>
    </w:p>
    <w:p>
      <w:pPr>
        <w:ind w:left="288"/>
      </w:pPr>
      <w:r>
        <w:rPr>
          <w:color w:val="8C8C8C"/>
          <w:sz w:val="12"/>
        </w:rPr>
        <w:t>cf-art-8-inc-VII</w:t>
      </w:r>
      <w:r>
        <w:rPr>
          <w:color w:val="003CA0"/>
          <w:sz w:val="12"/>
        </w:rPr>
        <w:t xml:space="preserve"> | RE 248.282</w:t>
      </w:r>
      <w:r>
        <w:rPr>
          <w:color w:val="003CA0"/>
          <w:sz w:val="12"/>
        </w:rPr>
        <w:t xml:space="preserve"> | rel. Marco Aurélio</w:t>
      </w:r>
    </w:p>
    <w:p>
      <w:pPr>
        <w:ind w:left="288"/>
      </w:pPr>
      <w:r>
        <w:rPr>
          <w:color w:val="1E1E1E"/>
          <w:sz w:val="18"/>
        </w:rPr>
        <w:t>Insubsistente o ingresso no serviço público ante o desrespeito à norma do inciso II do art. 37 da CF – aprovação em concurso –, descabe assentar a existência da estabilidade prevista no inciso VIII do art. 8º da CF.</w:t>
      </w:r>
    </w:p>
    <w:p>
      <w:pPr>
        <w:ind w:left="288"/>
      </w:pPr>
      <w:r>
        <w:rPr>
          <w:b/>
          <w:color w:val="003CA0"/>
          <w:sz w:val="16"/>
        </w:rPr>
        <w:t>[RE 248.282, rel. min. Marco Aurélio, j. 13-2-2001, 2ª T, DJ de 27-4-2001.]</w:t>
      </w:r>
    </w:p>
    <w:p>
      <w:pPr>
        <w:ind w:left="288"/>
      </w:pPr>
      <w:r>
        <w:rPr>
          <w:color w:val="8C8C8C"/>
          <w:sz w:val="12"/>
        </w:rPr>
        <w:t>cf-art-8-inc-VII</w:t>
      </w:r>
      <w:r>
        <w:rPr>
          <w:color w:val="003CA0"/>
          <w:sz w:val="12"/>
        </w:rPr>
        <w:t xml:space="preserve"> | RE 217.355</w:t>
      </w:r>
      <w:r>
        <w:rPr>
          <w:color w:val="003CA0"/>
          <w:sz w:val="12"/>
        </w:rPr>
        <w:t xml:space="preserve"> | rel. Maurício Corrêa</w:t>
      </w:r>
    </w:p>
    <w:p>
      <w:pPr>
        <w:ind w:left="288"/>
      </w:pPr>
      <w:r>
        <w:rPr>
          <w:color w:val="1E1E1E"/>
          <w:sz w:val="18"/>
        </w:rPr>
        <w:t>Interpretação restritiva do inciso VIII do art. 8º da CF: impossibilidade. Inexistência de norma legal ou constitucional que estabeleça distinção entre o dirigente sindical patronal e o dos trabalhadores. Não perde a condição de empregado o trabalhador que, malgrado ocupe cargo de confiança na empresa empregadora, exerça mandato sindical como representante da categoria econômica. Representante sindical patronal. Dispensa no curso do mandato. Indenização e consectários legais devidos desde a data da despedida até um ano após o final do mandato.</w:t>
      </w:r>
    </w:p>
    <w:p>
      <w:pPr>
        <w:ind w:left="288"/>
      </w:pPr>
      <w:r>
        <w:rPr>
          <w:b/>
          <w:color w:val="003CA0"/>
          <w:sz w:val="16"/>
        </w:rPr>
        <w:t>[RE 217.355, rel. min. Maurício Corrêa, j. 29-8-2000, 2ª T, DJ de 2-2-2001.]</w:t>
      </w:r>
    </w:p>
    <w:p>
      <w:pPr>
        <w:ind w:left="288"/>
      </w:pPr>
      <w:r>
        <w:rPr>
          <w:color w:val="8C8C8C"/>
          <w:sz w:val="12"/>
        </w:rPr>
        <w:t>cf-art-8-inc-VII</w:t>
      </w:r>
      <w:r>
        <w:rPr>
          <w:color w:val="003CA0"/>
          <w:sz w:val="12"/>
        </w:rPr>
        <w:t xml:space="preserve"> | RE 183.884</w:t>
      </w:r>
      <w:r>
        <w:rPr>
          <w:color w:val="003CA0"/>
          <w:sz w:val="12"/>
        </w:rPr>
        <w:t xml:space="preserve"> | rel. Sepúlveda Pertence</w:t>
      </w:r>
    </w:p>
    <w:p>
      <w:pPr>
        <w:ind w:left="288"/>
      </w:pPr>
      <w:r>
        <w:rPr>
          <w:color w:val="1E1E1E"/>
          <w:sz w:val="18"/>
        </w:rPr>
        <w:t>Estabilidade sindical provisória (art. 8º, VIII, CF): não alcança o servidor público, regido por regime especial, ocupante de cargo em comissão e, concomitantemente, de cargo de direção no sindicato da categoria.</w:t>
      </w:r>
    </w:p>
    <w:p>
      <w:pPr>
        <w:ind w:left="288"/>
      </w:pPr>
      <w:r>
        <w:rPr>
          <w:b/>
          <w:color w:val="003CA0"/>
          <w:sz w:val="16"/>
        </w:rPr>
        <w:t>[RE 183.884, rel. min. Sepúlveda Pertence, j. 8-6-1999, 1ª T, DJ de 13-8-1999.]</w:t>
      </w:r>
    </w:p>
    <w:p>
      <w:pPr>
        <w:ind w:left="288"/>
      </w:pPr>
      <w:r>
        <w:rPr>
          <w:color w:val="8C8C8C"/>
          <w:sz w:val="12"/>
        </w:rPr>
        <w:t>cf-art-8-inc-VII</w:t>
      </w:r>
      <w:r>
        <w:rPr>
          <w:color w:val="003CA0"/>
          <w:sz w:val="12"/>
        </w:rPr>
        <w:t xml:space="preserve"> | RE 224.667</w:t>
      </w:r>
      <w:r>
        <w:rPr>
          <w:color w:val="003CA0"/>
          <w:sz w:val="12"/>
        </w:rPr>
        <w:t xml:space="preserve"> | rel. Marco Aurélio</w:t>
      </w:r>
    </w:p>
    <w:p>
      <w:pPr>
        <w:ind w:left="288"/>
      </w:pPr>
      <w:r>
        <w:rPr>
          <w:color w:val="1E1E1E"/>
          <w:sz w:val="18"/>
        </w:rPr>
        <w:t>A formalidade prevista no art. 543, § 5º, da CLT – ciência do empregador da candidatura do empregado – não se mostrou incompatível com a norma do inciso VIII do art. 8º da CF, isto diante do princípio da razoabilidade.</w:t>
      </w:r>
    </w:p>
    <w:p>
      <w:pPr>
        <w:ind w:left="288"/>
      </w:pPr>
      <w:r>
        <w:rPr>
          <w:b/>
          <w:color w:val="003CA0"/>
          <w:sz w:val="16"/>
        </w:rPr>
        <w:t>[RE 224.667, rel. min. Marco Aurélio, j. 13-4-1999, 2ª T, DJ de 4-6-1999.]</w:t>
      </w:r>
    </w:p>
    <w:p>
      <w:pPr>
        <w:ind w:left="288"/>
      </w:pPr>
      <w:r>
        <w:rPr>
          <w:color w:val="8C8C8C"/>
          <w:sz w:val="12"/>
        </w:rPr>
        <w:t>cf-art-8-inc-VII</w:t>
      </w:r>
      <w:r>
        <w:rPr>
          <w:color w:val="003CA0"/>
          <w:sz w:val="12"/>
        </w:rPr>
        <w:t xml:space="preserve"> | RE 208.436</w:t>
      </w:r>
      <w:r>
        <w:rPr>
          <w:color w:val="003CA0"/>
          <w:sz w:val="12"/>
        </w:rPr>
        <w:t xml:space="preserve"> | rel. Ilmar Galvão</w:t>
      </w:r>
    </w:p>
    <w:p>
      <w:pPr>
        <w:ind w:left="288"/>
      </w:pPr>
      <w:r>
        <w:rPr>
          <w:color w:val="1E1E1E"/>
          <w:sz w:val="18"/>
        </w:rPr>
        <w:t>A Constituição, conquanto haja estendido ao servidor público o exercício de prerrogativas próprias do empregado regido pelo direito comum do trabalho (...), cuidou de estabelecer limitações indispensáveis a que o exercício de tais direitos não entre em choque com as vigas mestras do regime administrativo que preside as relações funcionais, entre essas, a relativa à estabilidade sindical do art. 8º, VIII, que importaria a supressão do estágio probatório, a que estão sujeitos todos os servidores.</w:t>
      </w:r>
    </w:p>
    <w:p>
      <w:pPr>
        <w:ind w:left="288"/>
      </w:pPr>
      <w:r>
        <w:rPr>
          <w:b/>
          <w:color w:val="003CA0"/>
          <w:sz w:val="16"/>
        </w:rPr>
        <w:t>[RE 208.436, rel. min. Ilmar Galvão, j. 13-10-1998, 1ª T, DJ de 26-3-1999.]</w:t>
      </w:r>
    </w:p>
    <w:p>
      <w:pPr>
        <w:ind w:left="288"/>
      </w:pPr>
      <w:r>
        <w:rPr>
          <w:color w:val="8C8C8C"/>
          <w:sz w:val="12"/>
        </w:rPr>
        <w:t>cf-art-8-inc-VII</w:t>
      </w:r>
      <w:r>
        <w:rPr>
          <w:color w:val="003CA0"/>
          <w:sz w:val="12"/>
        </w:rPr>
        <w:t xml:space="preserve"> | RE 204.625</w:t>
      </w:r>
      <w:r>
        <w:rPr>
          <w:color w:val="003CA0"/>
          <w:sz w:val="12"/>
        </w:rPr>
        <w:t xml:space="preserve"> | rel. Octavio Gallotti</w:t>
      </w:r>
    </w:p>
    <w:p>
      <w:pPr>
        <w:ind w:left="288"/>
      </w:pPr>
      <w:r>
        <w:rPr>
          <w:color w:val="1E1E1E"/>
          <w:sz w:val="18"/>
        </w:rPr>
        <w:t>A condição de dirigente ou representante sindical não impede a exoneração do servidor público estatutário, regularmente reprovado em estágio probatório (...).</w:t>
      </w:r>
    </w:p>
    <w:p>
      <w:pPr>
        <w:ind w:left="288"/>
      </w:pPr>
      <w:r>
        <w:rPr>
          <w:b/>
          <w:color w:val="003CA0"/>
          <w:sz w:val="16"/>
        </w:rPr>
        <w:t>[RE 204.625, rel. min. Octavio Gallotti, j. 2-10-1998, 1ª T, DJ de 12-5-2000.]</w:t>
      </w:r>
    </w:p>
    <w:p>
      <w:pPr>
        <w:ind w:left="288"/>
      </w:pPr>
      <w:r>
        <w:rPr>
          <w:color w:val="8C8C8C"/>
          <w:sz w:val="12"/>
        </w:rPr>
        <w:t>cf-art-8-inc-VII</w:t>
      </w:r>
      <w:r>
        <w:rPr>
          <w:color w:val="003CA0"/>
          <w:sz w:val="12"/>
        </w:rPr>
        <w:t xml:space="preserve"> | MI 144</w:t>
      </w:r>
      <w:r>
        <w:rPr>
          <w:color w:val="003CA0"/>
          <w:sz w:val="12"/>
        </w:rPr>
        <w:t xml:space="preserve"> | rel. Sepúlveda Pertence</w:t>
      </w:r>
    </w:p>
    <w:p>
      <w:pPr>
        <w:ind w:left="288"/>
      </w:pPr>
      <w:r>
        <w:rPr>
          <w:color w:val="1E1E1E"/>
          <w:sz w:val="18"/>
        </w:rPr>
        <w:t>Estabilidade sindical provisória (...); reconhecimento da garantia aos diretores eleitos, na assembleia constitutiva da entidade sindical, desde, pelo menos, a data do pedido de registro no Ministério do Trabalho, o que não contraria a exigência deste, constante do art. 8º, I, da Constituição. A constituição de um sindicato – posto culmine no registro no Ministério do Trabalho (STF, MI 144, 3-8-1992, Pertence, RTJ 147/868) – a ele não se resume: não é um ato, mas um processo. Da exigência do registro para o aperfeiçoamento da constituição do sindicato, não cabe inferir que só a partir dele est</w:t>
      </w:r>
    </w:p>
    <w:p>
      <w:pPr>
        <w:ind w:left="288"/>
      </w:pPr>
      <w:r>
        <w:rPr>
          <w:b/>
          <w:color w:val="003CA0"/>
          <w:sz w:val="16"/>
        </w:rPr>
        <w:t>[RE 205.107, rel. min. Sepúlveda Pertence, j. 6-8-1998, P, DJ de 25-9-1998.]</w:t>
      </w:r>
    </w:p>
    <w:p>
      <w:pPr>
        <w:ind w:left="288"/>
      </w:pPr>
      <w:r>
        <w:rPr>
          <w:color w:val="8C8C8C"/>
          <w:sz w:val="12"/>
        </w:rPr>
        <w:t>cf-art-8-inc-VII</w:t>
      </w:r>
      <w:r>
        <w:rPr>
          <w:color w:val="003CA0"/>
          <w:sz w:val="12"/>
        </w:rPr>
        <w:t xml:space="preserve"> | RE 234.431</w:t>
      </w:r>
      <w:r>
        <w:rPr>
          <w:color w:val="003CA0"/>
          <w:sz w:val="12"/>
        </w:rPr>
        <w:t xml:space="preserve"> | rel. Sepúlveda Pertence</w:t>
      </w:r>
    </w:p>
    <w:p>
      <w:pPr>
        <w:ind w:left="288"/>
      </w:pPr>
      <w:r>
        <w:rPr>
          <w:color w:val="1E1E1E"/>
          <w:sz w:val="18"/>
        </w:rPr>
        <w:t>= RE 234.431, rel. min. Sepúlveda Pertence, j. 14-2-2006, 1ª T, DJ de 17-3-2006 Os preceitos insculpidos no inciso VIII do art. 8º da CF e no art. 543 da CLT não alcançam a disponibilidade. Descabe confundi-la com a cessação imotivada do contrato individual de trabalho. Sendo o direito uma ciência, os institutos, as expressões e os vocábulos têm sentido próprio e, quanto à pureza da linguagem, a organicidade pertinente.</w:t>
      </w:r>
    </w:p>
    <w:p>
      <w:pPr>
        <w:ind w:left="288"/>
      </w:pPr>
      <w:r>
        <w:rPr>
          <w:b/>
          <w:color w:val="003CA0"/>
          <w:sz w:val="16"/>
        </w:rPr>
        <w:t>[MS 21.143, rel. min. Marco Aurélio, j. 27-9-1995, P, DJ de 25-9-1998.]</w:t>
      </w:r>
    </w:p>
    <w:p>
      <w:pPr>
        <w:ind w:left="288"/>
      </w:pPr>
      <w:r>
        <w:rPr>
          <w:color w:val="8C8C8C"/>
          <w:sz w:val="12"/>
        </w:rPr>
        <w:t>cf-art-8-inc-VII</w:t>
      </w:r>
    </w:p>
    <w:p>
      <w:pPr>
        <w:ind w:left="288"/>
      </w:pPr>
      <w:r>
        <w:rPr>
          <w:color w:val="1E1E1E"/>
          <w:sz w:val="18"/>
        </w:rPr>
        <w:t>Parágrafo único. As disposições deste artigo aplicam-se à organização de sindicatos rurais e de colônias de pescadores, atendidas as condições que a lei estabelecer.</w:t>
      </w:r>
    </w:p>
    <w:p>
      <w:pPr>
        <w:ind w:left="144"/>
      </w:pPr>
      <w:r>
        <w:rPr>
          <w:b/>
          <w:color w:val="B45A00"/>
          <w:sz w:val="16"/>
        </w:rPr>
        <w:t>CONTROLE CONCENTRADO</w:t>
      </w:r>
    </w:p>
    <w:p>
      <w:pPr>
        <w:ind w:left="288"/>
      </w:pPr>
      <w:r>
        <w:rPr>
          <w:color w:val="8C8C8C"/>
          <w:sz w:val="12"/>
        </w:rPr>
        <w:t>cf-art-8-inc-VII</w:t>
      </w:r>
      <w:r>
        <w:rPr>
          <w:color w:val="003CA0"/>
          <w:sz w:val="12"/>
        </w:rPr>
        <w:t xml:space="preserve"> | ADI 3.464</w:t>
      </w:r>
      <w:r>
        <w:rPr>
          <w:color w:val="003CA0"/>
          <w:sz w:val="12"/>
        </w:rPr>
        <w:t xml:space="preserve"> | rel. Menezes Direito</w:t>
      </w:r>
    </w:p>
    <w:p>
      <w:pPr>
        <w:ind w:left="288"/>
      </w:pPr>
      <w:r>
        <w:rPr>
          <w:color w:val="1E1E1E"/>
          <w:sz w:val="18"/>
        </w:rPr>
        <w:t>Art. 2º, IV, a, b e c, da Lei 10.779/2003. Filiação à colônia de pescadores para habilitação ao seguro-desemprego (...). Viola os princípios constitucionais da liberdade de associação (art. 5º, XX) e da liberdade sindical (art. 8º, V), ambos em sua dimensão negativa, a norma legal que condiciona, ainda que indiretamente, o recebimento do benefício do seguro-desemprego à filiação do interessado a colônia de pescadores de sua região.</w:t>
      </w:r>
    </w:p>
    <w:p>
      <w:pPr>
        <w:ind w:left="288"/>
      </w:pPr>
      <w:r>
        <w:rPr>
          <w:b/>
          <w:color w:val="003CA0"/>
          <w:sz w:val="16"/>
        </w:rPr>
        <w:t>[ADI 3.464, rel. min. Menezes Direito, j. 29-10-2008, P, DJE de 6-3-2009.]</w:t>
      </w:r>
    </w:p>
    <w:p>
      <w:pPr>
        <w:ind w:left="432"/>
      </w:pPr>
      <w:r>
        <w:rPr>
          <w:color w:val="003366"/>
          <w:sz w:val="18"/>
        </w:rPr>
        <w:t>§ 1 O disposto neste artigo somente gerará efeitos financeiros a partir da promu</w:t>
      </w:r>
    </w:p>
    <w:p>
      <w:pPr>
        <w:ind w:left="432"/>
      </w:pPr>
      <w:r>
        <w:rPr>
          <w:color w:val="003366"/>
          <w:sz w:val="18"/>
        </w:rPr>
        <w:t>§ 2 Ficam assegurados os benefícios estabelecidos neste artigo aos trabalhadores</w:t>
      </w:r>
    </w:p>
    <w:p>
      <w:pPr>
        <w:ind w:left="432"/>
      </w:pPr>
      <w:r>
        <w:rPr>
          <w:color w:val="003366"/>
          <w:sz w:val="18"/>
        </w:rPr>
        <w:t>§ 3 Aos cidadãos que foram impedidos de exercer, na vida civil, atividade profis</w:t>
      </w:r>
    </w:p>
    <w:p>
      <w:pPr>
        <w:ind w:left="432"/>
      </w:pPr>
      <w:r>
        <w:rPr>
          <w:color w:val="003366"/>
          <w:sz w:val="18"/>
        </w:rPr>
        <w:t>§ 4 Aos que, por força de atos institucionais, tenham exercido gratuitamente man</w:t>
      </w:r>
    </w:p>
    <w:p>
      <w:pPr>
        <w:ind w:left="432"/>
      </w:pPr>
      <w:r>
        <w:rPr>
          <w:color w:val="003366"/>
          <w:sz w:val="18"/>
        </w:rPr>
        <w:t>§ 5 A anistia concedida nos termos deste artigo aplica-se aos servidores público</w:t>
      </w:r>
    </w:p>
    <w:p>
      <w:r>
        <w:rPr>
          <w:b/>
          <w:color w:val="003366"/>
          <w:sz w:val="20"/>
        </w:rPr>
        <w:t>Art. 9 Os que, por motivos exclusivamente políticos, foram cassados ou tiveram s</w:t>
      </w:r>
      <w:r>
        <w:rPr>
          <w:color w:val="8C8C8C"/>
          <w:sz w:val="14"/>
        </w:rPr>
        <w:t xml:space="preserve">  [5 decisoes]</w:t>
      </w:r>
    </w:p>
    <w:p>
      <w:pPr>
        <w:ind w:left="144"/>
      </w:pPr>
      <w:r>
        <w:rPr>
          <w:b/>
          <w:color w:val="B45A00"/>
          <w:sz w:val="16"/>
        </w:rPr>
        <w:t>SUMULA</w:t>
      </w:r>
    </w:p>
    <w:p>
      <w:pPr>
        <w:ind w:left="288"/>
      </w:pPr>
      <w:r>
        <w:rPr>
          <w:color w:val="8C8C8C"/>
          <w:sz w:val="12"/>
        </w:rPr>
        <w:t>cf-art-9</w:t>
      </w:r>
    </w:p>
    <w:p>
      <w:pPr>
        <w:ind w:left="288"/>
      </w:pPr>
      <w:r>
        <w:rPr>
          <w:color w:val="1E1E1E"/>
          <w:sz w:val="18"/>
        </w:rPr>
        <w:t>A simples adesão à greve não constitui falta grave.</w:t>
      </w:r>
    </w:p>
    <w:p>
      <w:pPr>
        <w:ind w:left="288"/>
      </w:pPr>
      <w:r>
        <w:rPr>
          <w:b/>
          <w:color w:val="003CA0"/>
          <w:sz w:val="16"/>
        </w:rPr>
        <w:t>[Súmula 316.]</w:t>
      </w:r>
    </w:p>
    <w:p>
      <w:pPr>
        <w:ind w:left="144"/>
      </w:pPr>
      <w:r>
        <w:rPr>
          <w:b/>
          <w:color w:val="B45A00"/>
          <w:sz w:val="16"/>
        </w:rPr>
        <w:t>JULGADOS CORRELATOS</w:t>
      </w:r>
    </w:p>
    <w:p>
      <w:pPr>
        <w:ind w:left="288"/>
      </w:pPr>
      <w:r>
        <w:rPr>
          <w:color w:val="8C8C8C"/>
          <w:sz w:val="12"/>
        </w:rPr>
        <w:t>cf-art-9</w:t>
      </w:r>
      <w:r>
        <w:rPr>
          <w:color w:val="003CA0"/>
          <w:sz w:val="12"/>
        </w:rPr>
        <w:t xml:space="preserve"> | RE 184.083</w:t>
      </w:r>
      <w:r>
        <w:rPr>
          <w:color w:val="003CA0"/>
          <w:sz w:val="12"/>
        </w:rPr>
        <w:t xml:space="preserve"> | rel. Marco Aurélio</w:t>
      </w:r>
    </w:p>
    <w:p>
      <w:pPr>
        <w:ind w:left="288"/>
      </w:pPr>
      <w:r>
        <w:rPr>
          <w:color w:val="1E1E1E"/>
          <w:sz w:val="18"/>
        </w:rPr>
        <w:t>O direito à greve não é absoluto, devendo a categoria observar os parâmetros legais de regência. (...) Descabe falar em transgressão à Carta da República quando o indeferimento da garantia de emprego decorre do fato de se haver enquadrado a greve como ilegal.</w:t>
      </w:r>
    </w:p>
    <w:p>
      <w:pPr>
        <w:ind w:left="288"/>
      </w:pPr>
      <w:r>
        <w:rPr>
          <w:b/>
          <w:color w:val="003CA0"/>
          <w:sz w:val="16"/>
        </w:rPr>
        <w:t>[RE 184.083, rel. min. Marco Aurélio, j. 7-11-2000, 2ª T, DJ de 18-5-2001.]</w:t>
      </w:r>
    </w:p>
    <w:p>
      <w:pPr>
        <w:ind w:left="144"/>
      </w:pPr>
      <w:r>
        <w:rPr>
          <w:b/>
          <w:color w:val="B45A00"/>
          <w:sz w:val="16"/>
        </w:rPr>
        <w:t>REPERCUSSAO GERAL</w:t>
      </w:r>
    </w:p>
    <w:p>
      <w:pPr>
        <w:ind w:left="288"/>
      </w:pPr>
      <w:r>
        <w:rPr>
          <w:color w:val="8C8C8C"/>
          <w:sz w:val="12"/>
        </w:rPr>
        <w:t>cf-art-9-par-1</w:t>
      </w:r>
      <w:r>
        <w:rPr>
          <w:color w:val="003CA0"/>
          <w:sz w:val="12"/>
        </w:rPr>
        <w:t xml:space="preserve"> | ARE 654.432</w:t>
      </w:r>
    </w:p>
    <w:p>
      <w:pPr>
        <w:ind w:left="288"/>
      </w:pPr>
      <w:r>
        <w:rPr>
          <w:color w:val="1E1E1E"/>
          <w:sz w:val="18"/>
        </w:rPr>
        <w:t>O exercício do direito de greve, sob qualquer forma ou modalidade, é vedado aos policiais civis e a todos os servidores públicos que atuem diretamente na área de segurança pública. 2 - É obrigatória a participação do Poder Público em mediação instaurada pelos órgãos classistas das carreiras de segurança pública, nos termos do art. 165 do Código de Processo Civil, para vocalização dos interesses da categoria.</w:t>
      </w:r>
    </w:p>
    <w:p>
      <w:pPr>
        <w:ind w:left="288"/>
      </w:pPr>
      <w:r>
        <w:rPr>
          <w:b/>
          <w:color w:val="003CA0"/>
          <w:sz w:val="16"/>
        </w:rPr>
        <w:t>[ARE 654.432, red. do ac. min. Alexandre de Moraes, j. 5-4-2017, P, DJE de 11-6-2018, Tema 541, com mérito julgado.]</w:t>
      </w:r>
    </w:p>
    <w:p>
      <w:pPr>
        <w:ind w:left="144"/>
      </w:pPr>
      <w:r>
        <w:rPr>
          <w:b/>
          <w:color w:val="B45A00"/>
          <w:sz w:val="16"/>
        </w:rPr>
        <w:t>JULGADOS CORRELATOS</w:t>
      </w:r>
    </w:p>
    <w:p>
      <w:pPr>
        <w:ind w:left="288"/>
      </w:pPr>
      <w:r>
        <w:rPr>
          <w:color w:val="8C8C8C"/>
          <w:sz w:val="12"/>
        </w:rPr>
        <w:t>cf-art-9-par-1</w:t>
      </w:r>
      <w:r>
        <w:rPr>
          <w:color w:val="003CA0"/>
          <w:sz w:val="12"/>
        </w:rPr>
        <w:t xml:space="preserve"> | MI 708</w:t>
      </w:r>
      <w:r>
        <w:rPr>
          <w:color w:val="003CA0"/>
          <w:sz w:val="12"/>
        </w:rPr>
        <w:t xml:space="preserve"> | rel. Gilmar Mendes</w:t>
      </w:r>
    </w:p>
    <w:p>
      <w:pPr>
        <w:ind w:left="288"/>
      </w:pPr>
      <w:r>
        <w:rPr>
          <w:color w:val="1E1E1E"/>
          <w:sz w:val="18"/>
        </w:rPr>
        <w:t>A disciplina do direito de greve para os trabalhadores em geral, quanto às "atividades essenciais", é especificamente delineada nos arts. 9º a 11 da Lei 7.783/1989. Na hipótese de aplicação dessa legislação geral ao caso específico do direito de greve dos servidores públicos, antes de tudo, afigura-se inegável o conflito existente entre as necessidades mínimas de legislação para o exercício do direito de greve dos servidores públicos civis (CF, art. 9º, caput, c/c art. 37, VII), de um lado, e o direito a serviços públicos adequados e prestados de forma contínua a todos os cidadãos (CF, art. 9º</w:t>
      </w:r>
    </w:p>
    <w:p>
      <w:pPr>
        <w:ind w:left="288"/>
      </w:pPr>
      <w:r>
        <w:rPr>
          <w:b/>
          <w:color w:val="003CA0"/>
          <w:sz w:val="16"/>
        </w:rPr>
        <w:t>[MI 708, rel. min. Gilmar Mendes, j. 25-10-2007, P, DJE de 31-10-2008.]</w:t>
      </w:r>
    </w:p>
    <w:p>
      <w:pPr>
        <w:ind w:left="288"/>
      </w:pPr>
      <w:r>
        <w:rPr>
          <w:color w:val="8C8C8C"/>
          <w:sz w:val="12"/>
        </w:rPr>
        <w:t>cf-art-9-par-2</w:t>
      </w:r>
      <w:r>
        <w:rPr>
          <w:color w:val="003CA0"/>
          <w:sz w:val="12"/>
        </w:rPr>
        <w:t xml:space="preserve"> | AI 282.682</w:t>
      </w:r>
      <w:r>
        <w:rPr>
          <w:color w:val="003CA0"/>
          <w:sz w:val="12"/>
        </w:rPr>
        <w:t xml:space="preserve"> | rel. Celso de Mello</w:t>
      </w:r>
    </w:p>
    <w:p>
      <w:pPr>
        <w:ind w:left="288"/>
      </w:pPr>
      <w:r>
        <w:rPr>
          <w:color w:val="1E1E1E"/>
          <w:sz w:val="18"/>
        </w:rPr>
        <w:t>O reconhecimento judicial da abusividade do direito de greve e a interpretação do alcance da Lei 7.783/1989 qualificam-se como matérias revestidas de caráter simplesmente ordinário, podendo traduzir, quando muito, situação configuradora de ofensa meramente reflexa ao texto da Constituição, o que basta, por si só, para inviabilizar o conhecimento do recurso extraordinário.</w:t>
      </w:r>
    </w:p>
    <w:p>
      <w:pPr>
        <w:ind w:left="288"/>
      </w:pPr>
      <w:r>
        <w:rPr>
          <w:b/>
          <w:color w:val="003CA0"/>
          <w:sz w:val="16"/>
        </w:rPr>
        <w:t>[AI 282.682 AgR, rel. min. Celso de Mello, j. 14-5-2002, 2ª T, DJ de 21-6-2002.]</w:t>
      </w:r>
    </w:p>
    <w:p>
      <w:r>
        <w:rPr>
          <w:b/>
          <w:color w:val="003366"/>
          <w:sz w:val="20"/>
        </w:rPr>
        <w:t>Art. 10 Até que seja promulgada a lei complementar a que se refere o art. 7º, I,</w:t>
      </w:r>
    </w:p>
    <w:p>
      <w:pPr>
        <w:ind w:left="720"/>
      </w:pPr>
      <w:r>
        <w:rPr>
          <w:color w:val="003366"/>
          <w:sz w:val="18"/>
        </w:rPr>
        <w:t>I – fica limitada a proteção nele referida ao aumento, para quatro vezes, da por</w:t>
      </w:r>
    </w:p>
    <w:p>
      <w:pPr>
        <w:ind w:left="720"/>
      </w:pPr>
      <w:r>
        <w:rPr>
          <w:color w:val="003366"/>
          <w:sz w:val="18"/>
        </w:rPr>
        <w:t>II – fica vedada a dispensa arbitrária ou sem justa causa:</w:t>
      </w:r>
    </w:p>
    <w:p>
      <w:pPr>
        <w:ind w:left="1008"/>
      </w:pPr>
      <w:r>
        <w:rPr>
          <w:color w:val="003366"/>
          <w:sz w:val="18"/>
        </w:rPr>
        <w:t xml:space="preserve">a) do empregado eleito para cargo de direção de comissões internas de prevenção </w:t>
      </w:r>
    </w:p>
    <w:p>
      <w:pPr>
        <w:ind w:left="1008"/>
      </w:pPr>
      <w:r>
        <w:rPr>
          <w:color w:val="003366"/>
          <w:sz w:val="18"/>
        </w:rPr>
        <w:t>b) da empregada gestante, desde a confirmação da gravidez até cinco meses após o</w:t>
      </w:r>
    </w:p>
    <w:p>
      <w:pPr>
        <w:ind w:left="432"/>
      </w:pPr>
      <w:r>
        <w:rPr>
          <w:color w:val="003366"/>
          <w:sz w:val="18"/>
        </w:rPr>
        <w:t>§ 1 Até que a lei venha a disciplinar o disposto no art. 7º, XIX, da Constituiçã</w:t>
      </w:r>
    </w:p>
    <w:p>
      <w:pPr>
        <w:ind w:left="432"/>
      </w:pPr>
      <w:r>
        <w:rPr>
          <w:color w:val="003366"/>
          <w:sz w:val="18"/>
        </w:rPr>
        <w:t>§ 2 Até ulterior disposição legal, a cobrança das contribuições para o custeio d</w:t>
      </w:r>
    </w:p>
    <w:p>
      <w:pPr>
        <w:ind w:left="432"/>
      </w:pPr>
      <w:r>
        <w:rPr>
          <w:color w:val="003366"/>
          <w:sz w:val="18"/>
        </w:rPr>
        <w:t>§ 3 Na primeira comprovação do cumprimento das obrigações trabalhistas pelo empr</w:t>
      </w:r>
    </w:p>
    <w:p>
      <w:r>
        <w:rPr>
          <w:b/>
          <w:color w:val="003366"/>
          <w:sz w:val="20"/>
        </w:rPr>
        <w:t>Art. 11 Cada Assembléia Legislativa, com poderes constituintes, elaborará a Cons</w:t>
      </w:r>
      <w:r>
        <w:rPr>
          <w:color w:val="8C8C8C"/>
          <w:sz w:val="14"/>
        </w:rPr>
        <w:t xml:space="preserve">  [1 decisoes]</w:t>
      </w:r>
    </w:p>
    <w:p>
      <w:pPr>
        <w:ind w:left="288"/>
      </w:pPr>
      <w:r>
        <w:rPr>
          <w:color w:val="8C8C8C"/>
          <w:sz w:val="12"/>
        </w:rPr>
        <w:t>cf-art-11</w:t>
      </w:r>
    </w:p>
    <w:p>
      <w:pPr>
        <w:ind w:left="288"/>
      </w:pPr>
      <w:r>
        <w:rPr>
          <w:color w:val="1E1E1E"/>
          <w:sz w:val="18"/>
        </w:rPr>
        <w:t>CAPÍTULO III Da Nacionalidade SUMÁRIO</w:t>
      </w:r>
    </w:p>
    <w:p>
      <w:r>
        <w:rPr>
          <w:b/>
          <w:color w:val="003366"/>
          <w:sz w:val="20"/>
        </w:rPr>
        <w:t>Art. 12 Será criada, dentro de noventa dias da promulgação da Constituição, Comi</w:t>
      </w:r>
      <w:r>
        <w:rPr>
          <w:color w:val="8C8C8C"/>
          <w:sz w:val="14"/>
        </w:rPr>
        <w:t xml:space="preserve">  [15 decisoes]</w:t>
      </w:r>
    </w:p>
    <w:p>
      <w:pPr>
        <w:ind w:left="144"/>
      </w:pPr>
      <w:r>
        <w:rPr>
          <w:b/>
          <w:color w:val="B45A00"/>
          <w:sz w:val="16"/>
        </w:rPr>
        <w:t>JULGADOS CORRELATOS</w:t>
      </w:r>
    </w:p>
    <w:p>
      <w:pPr>
        <w:ind w:left="288"/>
      </w:pPr>
      <w:r>
        <w:rPr>
          <w:color w:val="8C8C8C"/>
          <w:sz w:val="12"/>
        </w:rPr>
        <w:t>cf-art-12</w:t>
      </w:r>
      <w:r>
        <w:rPr>
          <w:color w:val="003CA0"/>
          <w:sz w:val="12"/>
        </w:rPr>
        <w:t xml:space="preserve"> | HC 83.113</w:t>
      </w:r>
      <w:r>
        <w:rPr>
          <w:color w:val="003CA0"/>
          <w:sz w:val="12"/>
        </w:rPr>
        <w:t xml:space="preserve"> | rel. Celso de Mello</w:t>
      </w:r>
    </w:p>
    <w:p>
      <w:pPr>
        <w:ind w:left="288"/>
      </w:pPr>
      <w:r>
        <w:rPr>
          <w:color w:val="1E1E1E"/>
          <w:sz w:val="18"/>
        </w:rPr>
        <w:t>As hipóteses de outorga da nacionalidade brasileira, quer se trate de nacionalidade primária ou originária (da qual emana a condição de brasileiro nato), quer se cuide de nacionalidade secundária ou derivada (da qual resulta o status de brasileiro naturalizado), decorrem, exclusivamente, em função de sua natureza mesma, do texto constitucional, pois a questão da nacionalidade traduz matéria que se sujeita, unicamente, quanto à sua definição, ao poder soberano do Estado brasileiro.</w:t>
      </w:r>
    </w:p>
    <w:p>
      <w:pPr>
        <w:ind w:left="288"/>
      </w:pPr>
      <w:r>
        <w:rPr>
          <w:b/>
          <w:color w:val="003CA0"/>
          <w:sz w:val="16"/>
        </w:rPr>
        <w:t>[HC 83.113 QO, rel. min. Celso de Mello, j. 26-6-2003, 2ª T, DJ de 29-8-2003.)</w:t>
      </w:r>
    </w:p>
    <w:p>
      <w:pPr>
        <w:ind w:left="288"/>
      </w:pPr>
      <w:r>
        <w:rPr>
          <w:color w:val="8C8C8C"/>
          <w:sz w:val="12"/>
        </w:rPr>
        <w:t>cf-art-12-inc-I</w:t>
      </w:r>
      <w:r>
        <w:rPr>
          <w:color w:val="003CA0"/>
          <w:sz w:val="12"/>
        </w:rPr>
        <w:t xml:space="preserve"> | HC 83.450</w:t>
      </w:r>
      <w:r>
        <w:rPr>
          <w:color w:val="003CA0"/>
          <w:sz w:val="12"/>
        </w:rPr>
        <w:t xml:space="preserve"> | rel. Marco Aurélio</w:t>
      </w:r>
    </w:p>
    <w:p>
      <w:pPr>
        <w:ind w:left="288"/>
      </w:pPr>
      <w:r>
        <w:rPr>
          <w:color w:val="1E1E1E"/>
          <w:sz w:val="18"/>
        </w:rPr>
        <w:t>O processo remete ao complexo problema da extradição no caso da dupla nacionalidade, questão examinada pela Corte Internacional de Justiça no célebre caso Nottebohm. Naquele caso a Corte sustentou que, na hipótese de dupla nacionalidade, haveria uma prevalecente – a nacionalidade real e efetiva – identificada a partir de laços fáticos fortes entre a pessoa e o Estado. A falta de elementos concretos no presente processo inviabiliza qualquer solução sob esse enfoque.</w:t>
      </w:r>
    </w:p>
    <w:p>
      <w:pPr>
        <w:ind w:left="288"/>
      </w:pPr>
      <w:r>
        <w:rPr>
          <w:b/>
          <w:color w:val="003CA0"/>
          <w:sz w:val="16"/>
        </w:rPr>
        <w:t>[HC 83.450, rel. min. Marco Aurélio, red. do ac. min. Nelson Jobim, j. 26-8-2004, P, DJ de 4-3-2005.]</w:t>
      </w:r>
    </w:p>
    <w:p>
      <w:pPr>
        <w:ind w:left="288"/>
      </w:pPr>
      <w:r>
        <w:rPr>
          <w:color w:val="8C8C8C"/>
          <w:sz w:val="12"/>
        </w:rPr>
        <w:t>cf-art-12-inc-I</w:t>
      </w:r>
      <w:r>
        <w:rPr>
          <w:color w:val="003CA0"/>
          <w:sz w:val="12"/>
        </w:rPr>
        <w:t xml:space="preserve"> | HC 83.113</w:t>
      </w:r>
      <w:r>
        <w:rPr>
          <w:color w:val="003CA0"/>
          <w:sz w:val="12"/>
        </w:rPr>
        <w:t xml:space="preserve"> | rel. Celso de Mello</w:t>
      </w:r>
    </w:p>
    <w:p>
      <w:pPr>
        <w:ind w:left="288"/>
      </w:pPr>
      <w:r>
        <w:rPr>
          <w:color w:val="1E1E1E"/>
          <w:sz w:val="18"/>
        </w:rPr>
        <w:t>O brasileiro nato, quaisquer que sejam as circunstâncias e a natureza do delito, não pode ser extraditado, pelo Brasil, a pedido de Governo estrangeiro, pois a Constituição da República, em cláusula que não comporta exceção, impede, em caráter absoluto, a efetivação da entrega extradicional daquele que é titular, seja pelo critério do jus soli, seja pelo critério do jus sanguinis, de nacionalidade brasileira primária ou originária.</w:t>
      </w:r>
    </w:p>
    <w:p>
      <w:pPr>
        <w:ind w:left="288"/>
      </w:pPr>
      <w:r>
        <w:rPr>
          <w:b/>
          <w:color w:val="003CA0"/>
          <w:sz w:val="16"/>
        </w:rPr>
        <w:t>[HC 83.113 QO, rel. min. Celso de Mello, j. 26-6-2003, P, DJ de 29-8-2003.]</w:t>
      </w:r>
    </w:p>
    <w:p>
      <w:pPr>
        <w:ind w:left="288"/>
      </w:pPr>
      <w:r>
        <w:rPr>
          <w:color w:val="8C8C8C"/>
          <w:sz w:val="12"/>
        </w:rPr>
        <w:t>cf-art-12-inc-I-ali-b</w:t>
      </w:r>
    </w:p>
    <w:p>
      <w:pPr>
        <w:ind w:left="288"/>
      </w:pPr>
      <w:r>
        <w:rPr>
          <w:color w:val="1E1E1E"/>
          <w:sz w:val="18"/>
        </w:rPr>
        <w:t>c) os nascidos no estrangeiro de pai brasileiro ou de mãe brasileira, desde que sejam registrados em repartição brasileira competente ou venham a residir na República Federativa do Brasil e optem, em qualquer tempo, depois de atingida a maioridade, pela nacionalidade brasileira; (Redação da EC n. 54/2007)</w:t>
      </w:r>
    </w:p>
    <w:p>
      <w:pPr>
        <w:ind w:left="288"/>
      </w:pPr>
      <w:r>
        <w:rPr>
          <w:color w:val="8C8C8C"/>
          <w:sz w:val="12"/>
        </w:rPr>
        <w:t>cf-art-12-inc-I-ali-b</w:t>
      </w:r>
      <w:r>
        <w:rPr>
          <w:color w:val="003CA0"/>
          <w:sz w:val="12"/>
        </w:rPr>
        <w:t xml:space="preserve"> | RE 418.096</w:t>
      </w:r>
      <w:r>
        <w:rPr>
          <w:color w:val="003CA0"/>
          <w:sz w:val="12"/>
        </w:rPr>
        <w:t xml:space="preserve"> | rel. Carlos Velloso</w:t>
      </w:r>
    </w:p>
    <w:p>
      <w:pPr>
        <w:ind w:left="288"/>
      </w:pPr>
      <w:r>
        <w:rPr>
          <w:color w:val="1E1E1E"/>
          <w:sz w:val="18"/>
        </w:rPr>
        <w:t xml:space="preserve">Essa opção somente pode ser manifestada depois de alcançada a maioridade. É que a opção, por decorrer da vontade, tem caráter personalíssimo. Exige-se, então, que o optante tenha capacidade plena para manifestar a sua vontade, capacidade que se adquire com a maioridade. Vindo o nascido no estrangeiro, de pai brasileiro ou de mãe brasileira, a residir no Brasil, ainda menor, passa a ser considerado brasileiro nato, sujeita essa nacionalidade a manifestação da vontade do interessado, mediante a opção, depois de atingida a maioridade. Atingida a maioridade, enquanto não manifestada a opção, esta </w:t>
      </w:r>
    </w:p>
    <w:p>
      <w:pPr>
        <w:ind w:left="288"/>
      </w:pPr>
      <w:r>
        <w:rPr>
          <w:b/>
          <w:color w:val="003CA0"/>
          <w:sz w:val="16"/>
        </w:rPr>
        <w:t>[RE 418.096, rel. min. Carlos Velloso, j. 22-3-2005, 2ª T, DJ de 22-4-2005.]</w:t>
      </w:r>
    </w:p>
    <w:p>
      <w:pPr>
        <w:ind w:left="288"/>
      </w:pPr>
      <w:r>
        <w:rPr>
          <w:color w:val="8C8C8C"/>
          <w:sz w:val="12"/>
        </w:rPr>
        <w:t>cf-art-12-inc-I-ali-b</w:t>
      </w:r>
      <w:r>
        <w:rPr>
          <w:color w:val="003CA0"/>
          <w:sz w:val="12"/>
        </w:rPr>
        <w:t xml:space="preserve"> | AC 70</w:t>
      </w:r>
      <w:r>
        <w:rPr>
          <w:color w:val="003CA0"/>
          <w:sz w:val="12"/>
        </w:rPr>
        <w:t xml:space="preserve"> | rel. Sepúlveda Pertence</w:t>
      </w:r>
    </w:p>
    <w:p>
      <w:pPr>
        <w:ind w:left="288"/>
      </w:pPr>
      <w:r>
        <w:rPr>
          <w:color w:val="1E1E1E"/>
          <w:sz w:val="18"/>
        </w:rPr>
        <w:t>Nacionalidade brasileira de quem, nascido no estrangeiro, é filho de pai ou mãe brasileiros, que não estivesse a serviço do Brasil: evolução constitucional e situação vigente. Na Constituição de 1946, até o termo final do prazo de opção – de quatro anos, contados da maioridade –, o indivíduo, na hipótese considerada, se considerava, para todos os efeitos, brasileiro nato sob a condição resolutiva de que não optasse a tempo pela nacionalidade pátria. Sob a Constituição de 1988, que passou a admitir a opção "em qualquer tempo" – antes e depois da EC de revisão 3/1994, que suprimiu também a exigê</w:t>
      </w:r>
    </w:p>
    <w:p>
      <w:pPr>
        <w:ind w:left="288"/>
      </w:pPr>
      <w:r>
        <w:rPr>
          <w:b/>
          <w:color w:val="003CA0"/>
          <w:sz w:val="16"/>
        </w:rPr>
        <w:t>[AC 70 QO, rel. min. Sepúlveda Pertence, j. 25-9-2003, P, DJ de 12-3-2004.]</w:t>
      </w:r>
    </w:p>
    <w:p>
      <w:pPr>
        <w:ind w:left="288"/>
      </w:pPr>
      <w:r>
        <w:rPr>
          <w:color w:val="8C8C8C"/>
          <w:sz w:val="12"/>
        </w:rPr>
        <w:t>cf-art-12-inc-I-ali-b</w:t>
      </w:r>
      <w:r>
        <w:rPr>
          <w:color w:val="003CA0"/>
          <w:sz w:val="12"/>
        </w:rPr>
        <w:t xml:space="preserve"> | EXT 778</w:t>
      </w:r>
    </w:p>
    <w:p>
      <w:pPr>
        <w:ind w:left="288"/>
      </w:pPr>
      <w:r>
        <w:rPr>
          <w:color w:val="1E1E1E"/>
          <w:sz w:val="18"/>
        </w:rPr>
        <w:t>Não tem procedência, na espécie, a invocação do art. 77, I, da Lei 6.815/1980, segundo o qual não se dará a extradição de brasileiro, "salvo se a aquisição dessa nacionalidade verificar-se após o fato que motivar o pedido". Essa regra dirige-se, imediatamente, à forma de aquisição dessa nacionalidade brasileira, por via de natualização voluntária, e não da nacionalidade originária. Não se contempla, aí, a condição do brasileito nato (...), que detém o extraditanto. Na espécie, o extraditanto teve acolhida a opção da nacionalidade brasileira. Esse status logra previsão constitucional bastante a</w:t>
      </w:r>
    </w:p>
    <w:p>
      <w:pPr>
        <w:ind w:left="288"/>
      </w:pPr>
      <w:r>
        <w:rPr>
          <w:b/>
          <w:color w:val="003CA0"/>
          <w:sz w:val="16"/>
        </w:rPr>
        <w:t>[Ext 778 QO, voto do min. Néri da Silveira, j. 31-8-2000, P, DJ de 20-4-2001.]</w:t>
      </w:r>
    </w:p>
    <w:p>
      <w:pPr>
        <w:ind w:left="288"/>
      </w:pPr>
      <w:r>
        <w:rPr>
          <w:color w:val="8C8C8C"/>
          <w:sz w:val="12"/>
        </w:rPr>
        <w:t>cf-art-12-inc-II</w:t>
      </w:r>
      <w:r>
        <w:rPr>
          <w:color w:val="003CA0"/>
          <w:sz w:val="12"/>
        </w:rPr>
        <w:t xml:space="preserve"> | EXT 1.121</w:t>
      </w:r>
      <w:r>
        <w:rPr>
          <w:color w:val="003CA0"/>
          <w:sz w:val="12"/>
        </w:rPr>
        <w:t xml:space="preserve"> | rel. Celso de Mello</w:t>
      </w:r>
    </w:p>
    <w:p>
      <w:pPr>
        <w:ind w:left="288"/>
      </w:pPr>
      <w:r>
        <w:rPr>
          <w:color w:val="1E1E1E"/>
          <w:sz w:val="18"/>
        </w:rPr>
        <w:t>Não se revela possível, em nosso sistema jurídico-constitucional, a aquisição da nacionalidade brasileira jure matrimonii, vale dizer, como efeito direto e imediato resultante do casamento civil.</w:t>
      </w:r>
    </w:p>
    <w:p>
      <w:pPr>
        <w:ind w:left="288"/>
      </w:pPr>
      <w:r>
        <w:rPr>
          <w:b/>
          <w:color w:val="003CA0"/>
          <w:sz w:val="16"/>
        </w:rPr>
        <w:t>[Ext 1.121, rel. min. Celso de Mello, j. 18-12-2009, P, DJE de 25-6-2010.]</w:t>
      </w:r>
    </w:p>
    <w:p>
      <w:pPr>
        <w:ind w:left="288"/>
      </w:pPr>
      <w:r>
        <w:rPr>
          <w:color w:val="8C8C8C"/>
          <w:sz w:val="12"/>
        </w:rPr>
        <w:t>cf-art-12-inc-II-ali-a</w:t>
      </w:r>
    </w:p>
    <w:p>
      <w:pPr>
        <w:ind w:left="288"/>
      </w:pPr>
      <w:r>
        <w:rPr>
          <w:color w:val="1E1E1E"/>
          <w:sz w:val="18"/>
        </w:rPr>
        <w:t>b) os estrangeiros de qualquer nacionalidade, residentes na República Federativa do Brasil há mais de quinze anos ininterruptos e sem condenação penal, desde que requeiram a nacionalidade brasileira. (Redação da ECR n. 3/1994)</w:t>
      </w:r>
    </w:p>
    <w:p>
      <w:pPr>
        <w:ind w:left="288"/>
      </w:pPr>
      <w:r>
        <w:rPr>
          <w:color w:val="8C8C8C"/>
          <w:sz w:val="12"/>
        </w:rPr>
        <w:t>cf-art-12-inc-II-ali-a</w:t>
      </w:r>
      <w:r>
        <w:rPr>
          <w:color w:val="003CA0"/>
          <w:sz w:val="12"/>
        </w:rPr>
        <w:t xml:space="preserve"> | RE 264.848</w:t>
      </w:r>
      <w:r>
        <w:rPr>
          <w:color w:val="003CA0"/>
          <w:sz w:val="12"/>
        </w:rPr>
        <w:t xml:space="preserve"> | rel. Ayres Britto</w:t>
      </w:r>
    </w:p>
    <w:p>
      <w:pPr>
        <w:ind w:left="288"/>
      </w:pPr>
      <w:r>
        <w:rPr>
          <w:color w:val="1E1E1E"/>
          <w:sz w:val="18"/>
        </w:rPr>
        <w:t>O requerimento de aquisição da nacionalidade brasileira, previsto na alínea b do inciso II do art. 12 da Carta de Outubro, é suficiente para viabilizar a posse no cargo triunfalmente disputado mediante concurso público. Isso quando a pessoa requerente contar com quinze anos ininterruptos de residência fixa no Brasil, sem condenação penal. A portaria de formal reconhecimento da naturalização, expedida pelo ministro de Estado da Justiça, é de caráter meramente declaratório. Pelo que seus efeitos hão de retroagir à data do requerimento do interessado.</w:t>
      </w:r>
    </w:p>
    <w:p>
      <w:pPr>
        <w:ind w:left="288"/>
      </w:pPr>
      <w:r>
        <w:rPr>
          <w:b/>
          <w:color w:val="003CA0"/>
          <w:sz w:val="16"/>
        </w:rPr>
        <w:t>[RE 264.848, rel. min. Ayres Britto, j. 29-6-2005, 1ª T, DJ de 14-10-2005.]</w:t>
      </w:r>
    </w:p>
    <w:p>
      <w:pPr>
        <w:ind w:left="288"/>
      </w:pPr>
      <w:r>
        <w:rPr>
          <w:color w:val="8C8C8C"/>
          <w:sz w:val="12"/>
        </w:rPr>
        <w:t>cf-art-12-inc-II-ali-a</w:t>
      </w:r>
      <w:r>
        <w:rPr>
          <w:color w:val="003CA0"/>
          <w:sz w:val="12"/>
        </w:rPr>
        <w:t xml:space="preserve"> | RE 655.658</w:t>
      </w:r>
      <w:r>
        <w:rPr>
          <w:color w:val="003CA0"/>
          <w:sz w:val="12"/>
        </w:rPr>
        <w:t xml:space="preserve"> | rel. Cármen Lúcia</w:t>
      </w:r>
    </w:p>
    <w:p>
      <w:pPr>
        <w:ind w:left="288"/>
      </w:pPr>
      <w:r>
        <w:rPr>
          <w:color w:val="1E1E1E"/>
          <w:sz w:val="18"/>
        </w:rPr>
        <w:t>= RE 655.658 AgR, rel. min. Cármen Lúcia, j. 25-9-2012, 2ª T, DJE de 11-10-2012 A aplicação da regra da alínea b do inciso II do art. 12 da CF pressupõe a prova inequívoca de que o extraditando requereu e obteve a nacionalidade brasileira.</w:t>
      </w:r>
    </w:p>
    <w:p>
      <w:pPr>
        <w:ind w:left="288"/>
      </w:pPr>
      <w:r>
        <w:rPr>
          <w:b/>
          <w:color w:val="003CA0"/>
          <w:sz w:val="16"/>
        </w:rPr>
        <w:t>[HC 85.381, rel. min. Ayres  Britto, j. 25-5-2005, P, DJ de 5-5-2006.]</w:t>
      </w:r>
    </w:p>
    <w:p>
      <w:pPr>
        <w:ind w:left="288"/>
      </w:pPr>
      <w:r>
        <w:rPr>
          <w:color w:val="8C8C8C"/>
          <w:sz w:val="12"/>
        </w:rPr>
        <w:t>cf-art-12-par-1</w:t>
      </w:r>
      <w:r>
        <w:rPr>
          <w:color w:val="003CA0"/>
          <w:sz w:val="12"/>
        </w:rPr>
        <w:t xml:space="preserve"> | EXT 890</w:t>
      </w:r>
      <w:r>
        <w:rPr>
          <w:color w:val="003CA0"/>
          <w:sz w:val="12"/>
        </w:rPr>
        <w:t xml:space="preserve"> | rel. Celso de Mello</w:t>
      </w:r>
    </w:p>
    <w:p>
      <w:pPr>
        <w:ind w:left="288"/>
      </w:pPr>
      <w:r>
        <w:rPr>
          <w:color w:val="1E1E1E"/>
          <w:sz w:val="18"/>
        </w:rPr>
        <w:t>A norma inscrita no art. 12, § 1º, da Constituição da República – que contempla, em seu texto, hipótese excepcional de quase-nacionalidade – não opera de modo imediato, seja quanto ao seu conteúdo eficacial, seja no que se refere a todas as consequências jurídicas que dela derivam, pois, para incidir, além de supor o pronunciamento aquiescente do Estado brasileiro, fundado em sua própria soberania, depende, ainda, de requerimento do súdito português interessado, a quem se impõe, para tal efeito, a obrigação de preencher os requisitos estipulados pela Convenção sobre Igualdade de Direitos e Dev</w:t>
      </w:r>
    </w:p>
    <w:p>
      <w:pPr>
        <w:ind w:left="288"/>
      </w:pPr>
      <w:r>
        <w:rPr>
          <w:b/>
          <w:color w:val="003CA0"/>
          <w:sz w:val="16"/>
        </w:rPr>
        <w:t>[Ext 890, rel. min. Celso de Mello, j. 5-8-2004,1ª T, DJ de 28-10-2004.]</w:t>
      </w:r>
    </w:p>
    <w:p>
      <w:pPr>
        <w:ind w:left="288"/>
      </w:pPr>
      <w:r>
        <w:rPr>
          <w:color w:val="8C8C8C"/>
          <w:sz w:val="12"/>
        </w:rPr>
        <w:t>cf-art-12-par-1</w:t>
      </w:r>
      <w:r>
        <w:rPr>
          <w:color w:val="003CA0"/>
          <w:sz w:val="12"/>
        </w:rPr>
        <w:t xml:space="preserve"> | HC 100.793</w:t>
      </w:r>
      <w:r>
        <w:rPr>
          <w:color w:val="003CA0"/>
          <w:sz w:val="12"/>
        </w:rPr>
        <w:t xml:space="preserve"> | rel. Marco Aurélio</w:t>
      </w:r>
    </w:p>
    <w:p>
      <w:pPr>
        <w:ind w:left="288"/>
      </w:pPr>
      <w:r>
        <w:rPr>
          <w:color w:val="1E1E1E"/>
          <w:sz w:val="18"/>
        </w:rPr>
        <w:t>= HC 100.793, rel. min. Marco Aurélio, j. 2-12-2010, P, DJE de 1º-2-2011</w:t>
      </w:r>
    </w:p>
    <w:p>
      <w:pPr>
        <w:ind w:left="288"/>
      </w:pPr>
      <w:r>
        <w:rPr>
          <w:color w:val="8C8C8C"/>
          <w:sz w:val="12"/>
        </w:rPr>
        <w:t>cf-art-12-par-4</w:t>
      </w:r>
      <w:r>
        <w:rPr>
          <w:color w:val="003CA0"/>
          <w:sz w:val="12"/>
        </w:rPr>
        <w:t xml:space="preserve"> | HC 83.113</w:t>
      </w:r>
      <w:r>
        <w:rPr>
          <w:color w:val="003CA0"/>
          <w:sz w:val="12"/>
        </w:rPr>
        <w:t xml:space="preserve"> | rel. Celso de Mello</w:t>
      </w:r>
    </w:p>
    <w:p>
      <w:pPr>
        <w:ind w:left="288"/>
      </w:pPr>
      <w:r>
        <w:rPr>
          <w:color w:val="1E1E1E"/>
          <w:sz w:val="18"/>
        </w:rPr>
        <w:t>A perda da nacionalidade brasileira, por sua vez, somente pode ocorrer nas hipóteses taxativamente definidas na Constituição da República, não se revelando lícito, ao Estado brasileiro, seja mediante simples regramento legislativo, seja mediante tratados ou convenções internacionais, inovar nesse tema, quer para ampliar, quer para restringir, quer, ainda, para modificar os casos autorizadores da privação – sempre excepcional – da condição político-jurídica de nacional do Brasil.</w:t>
      </w:r>
    </w:p>
    <w:p>
      <w:pPr>
        <w:ind w:left="288"/>
      </w:pPr>
      <w:r>
        <w:rPr>
          <w:b/>
          <w:color w:val="003CA0"/>
          <w:sz w:val="16"/>
        </w:rPr>
        <w:t>[HC 83.113 QO, rel. min. Celso de Mello, j. 26-3-2003, P, DJ de 29-8-2003.]</w:t>
      </w:r>
    </w:p>
    <w:p>
      <w:pPr>
        <w:ind w:left="288"/>
      </w:pPr>
      <w:r>
        <w:rPr>
          <w:color w:val="8C8C8C"/>
          <w:sz w:val="12"/>
        </w:rPr>
        <w:t>cf-art-12-par-4</w:t>
      </w:r>
    </w:p>
    <w:p>
      <w:pPr>
        <w:ind w:left="288"/>
      </w:pPr>
      <w:r>
        <w:rPr>
          <w:color w:val="1E1E1E"/>
          <w:sz w:val="18"/>
        </w:rPr>
        <w:t>I - tiver cancelada sua naturalização, por sentença judicial, em virtude de fraude relacionada ao processo de naturalização ou de atentado contra a ordem constitucional e o Estado Democrático; (Redação dada pela EC n. 131/2023)</w:t>
      </w:r>
    </w:p>
    <w:p>
      <w:pPr>
        <w:ind w:left="432"/>
      </w:pPr>
      <w:r>
        <w:rPr>
          <w:color w:val="003366"/>
          <w:sz w:val="18"/>
        </w:rPr>
        <w:t>§ 1 No prazo de um ano, a Comissão submeterá ao Congresso Nacional os resultados</w:t>
      </w:r>
    </w:p>
    <w:p>
      <w:pPr>
        <w:ind w:left="432"/>
      </w:pPr>
      <w:r>
        <w:rPr>
          <w:color w:val="003366"/>
          <w:sz w:val="18"/>
        </w:rPr>
        <w:t>§ 2 Os Estados e os Municípios deverão, no prazo de três anos, a contar da promu</w:t>
      </w:r>
    </w:p>
    <w:p>
      <w:pPr>
        <w:ind w:left="432"/>
      </w:pPr>
      <w:r>
        <w:rPr>
          <w:color w:val="003366"/>
          <w:sz w:val="18"/>
        </w:rPr>
        <w:t>§ 3 Havendo solicitação dos Estados e Municípios interessados, a União poderá en</w:t>
      </w:r>
    </w:p>
    <w:p>
      <w:pPr>
        <w:ind w:left="432"/>
      </w:pPr>
      <w:r>
        <w:rPr>
          <w:color w:val="003366"/>
          <w:sz w:val="18"/>
        </w:rPr>
        <w:t>§ 4 Se, decorrido o prazo de três anos, a contar da promulgação da Constituição,</w:t>
      </w:r>
    </w:p>
    <w:p>
      <w:pPr>
        <w:ind w:left="432"/>
      </w:pPr>
      <w:r>
        <w:rPr>
          <w:color w:val="003366"/>
          <w:sz w:val="18"/>
        </w:rPr>
        <w:t xml:space="preserve">§ 5 Ficam reconhecidos e homologados os atuais limites do Estado do Acre com os </w:t>
      </w:r>
    </w:p>
    <w:p>
      <w:r>
        <w:rPr>
          <w:b/>
          <w:color w:val="003366"/>
          <w:sz w:val="20"/>
        </w:rPr>
        <w:t>Art. 13 É criado o Estado do Tocantins, pelo desmembramento da área descrita nes</w:t>
      </w:r>
      <w:r>
        <w:rPr>
          <w:color w:val="8C8C8C"/>
          <w:sz w:val="14"/>
        </w:rPr>
        <w:t xml:space="preserve">  [4 decisoes]</w:t>
      </w:r>
    </w:p>
    <w:p>
      <w:pPr>
        <w:ind w:left="288"/>
      </w:pPr>
      <w:r>
        <w:rPr>
          <w:color w:val="8C8C8C"/>
          <w:sz w:val="12"/>
        </w:rPr>
        <w:t>cf-art-13</w:t>
      </w:r>
      <w:r>
        <w:rPr>
          <w:color w:val="003CA0"/>
          <w:sz w:val="12"/>
        </w:rPr>
        <w:t xml:space="preserve"> | ADPF 1.151</w:t>
      </w:r>
      <w:r>
        <w:rPr>
          <w:color w:val="003CA0"/>
          <w:sz w:val="12"/>
        </w:rPr>
        <w:t xml:space="preserve"> | rel. Dias Toffoli</w:t>
      </w:r>
    </w:p>
    <w:p>
      <w:pPr>
        <w:ind w:left="288"/>
      </w:pPr>
      <w:r>
        <w:rPr>
          <w:color w:val="1E1E1E"/>
          <w:sz w:val="18"/>
        </w:rP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Ademais, a Constituição de 1988, ao enumerar os objetivos da República Federativa do Brasil, acaba por det</w:t>
      </w:r>
    </w:p>
    <w:p>
      <w:pPr>
        <w:ind w:left="288"/>
      </w:pPr>
      <w:r>
        <w:rPr>
          <w:b/>
          <w:color w:val="003CA0"/>
          <w:sz w:val="16"/>
        </w:rPr>
        <w:t>[ADPF 1.151, rel. min. Dias Toffoli, j. 09.12.2024, P, DJE de 13.12.2024.]</w:t>
      </w:r>
    </w:p>
    <w:p>
      <w:pPr>
        <w:ind w:left="144"/>
      </w:pPr>
      <w:r>
        <w:rPr>
          <w:b/>
          <w:color w:val="B45A00"/>
          <w:sz w:val="16"/>
        </w:rPr>
        <w:t>CONTROLE CONCENTRADO</w:t>
      </w:r>
    </w:p>
    <w:p>
      <w:pPr>
        <w:ind w:left="288"/>
      </w:pPr>
      <w:r>
        <w:rPr>
          <w:color w:val="8C8C8C"/>
          <w:sz w:val="12"/>
        </w:rPr>
        <w:t>cf-art-13</w:t>
      </w:r>
      <w:r>
        <w:rPr>
          <w:color w:val="003CA0"/>
          <w:sz w:val="12"/>
        </w:rPr>
        <w:t xml:space="preserve"> | ADI 7.644</w:t>
      </w:r>
      <w:r>
        <w:rPr>
          <w:color w:val="003CA0"/>
          <w:sz w:val="12"/>
        </w:rPr>
        <w:t xml:space="preserve"> | rel. Flávio Dino</w:t>
      </w:r>
    </w:p>
    <w:p>
      <w:pPr>
        <w:ind w:left="288"/>
      </w:pPr>
      <w:r>
        <w:rPr>
          <w:color w:val="1E1E1E"/>
          <w:sz w:val="18"/>
        </w:rPr>
        <w:t>Qualquer mudança jurídica no ensino do idioma oficial brasileiro, tal como atualmente disciplinado pela União, depende do exercício de sua competência privativa para legislar sobre diretrizes e bases da educação, bem como sobre normas de uso da língua portuguesa editadas em consonância com o art. 13 da Constituição Federal. Esta matéria somente pode ser regulada pelo Congresso Nacional, sendo vedada a edição de leis estaduais ou municipais, contra ou a favor da linguagem neutra em sistemas de ensino.</w:t>
        <w:br/>
        <w:t>[ADI 7.644 MC-REF, rel. min. Flávio Dino, j. 24.06.2024, P, DJE de 29.07.2024.]</w:t>
      </w:r>
    </w:p>
    <w:p>
      <w:pPr>
        <w:ind w:left="144"/>
      </w:pPr>
      <w:r>
        <w:rPr>
          <w:b/>
          <w:color w:val="B45A00"/>
          <w:sz w:val="16"/>
        </w:rPr>
        <w:t>JULGADOS CORRELATOS</w:t>
      </w:r>
    </w:p>
    <w:p>
      <w:pPr>
        <w:ind w:left="288"/>
      </w:pPr>
      <w:r>
        <w:rPr>
          <w:color w:val="8C8C8C"/>
          <w:sz w:val="12"/>
        </w:rPr>
        <w:t>cf-art-13</w:t>
      </w:r>
      <w:r>
        <w:rPr>
          <w:color w:val="003CA0"/>
          <w:sz w:val="12"/>
        </w:rPr>
        <w:t xml:space="preserve"> | HC 72.391</w:t>
      </w:r>
      <w:r>
        <w:rPr>
          <w:color w:val="003CA0"/>
          <w:sz w:val="12"/>
        </w:rPr>
        <w:t xml:space="preserve"> | rel. Celso de Mello</w:t>
      </w:r>
    </w:p>
    <w:p>
      <w:pPr>
        <w:ind w:left="288"/>
      </w:pPr>
      <w:r>
        <w:rPr>
          <w:color w:val="1E1E1E"/>
          <w:sz w:val="18"/>
        </w:rPr>
        <w:t>A petição com que impetrado o habeas corpus deve ser redigida em português, sob pena de não conhecimento do writ constitucional (CPC, art. 156, c/c CPP, art. 3º), eis que o conteúdo dessa peça processual deve ser acessível a todos, sendo irrelevante, para esse efeito, que o juiz da causa conheça, eventualmente, o idioma estrangeiro utilizado pelo impetrante. A imprescindibilidade do uso do idioma nacional nos atos processuais, além de corresponder a uma exigência que decorre de razões vinculadas à própria soberania nacional, constitui projeção concretizadora da norma inscrita no art. 13, caput</w:t>
      </w:r>
    </w:p>
    <w:p>
      <w:pPr>
        <w:ind w:left="288"/>
      </w:pPr>
      <w:r>
        <w:rPr>
          <w:b/>
          <w:color w:val="003CA0"/>
          <w:sz w:val="16"/>
        </w:rPr>
        <w:t>[HC 72.391 QO, rel. min. Celso de Mello, j. 8-3-1995, P, DJ de 17-3-1995.]</w:t>
      </w:r>
    </w:p>
    <w:p>
      <w:pPr>
        <w:ind w:left="288"/>
      </w:pPr>
      <w:r>
        <w:rPr>
          <w:color w:val="8C8C8C"/>
          <w:sz w:val="12"/>
        </w:rPr>
        <w:t>cf-art-13-par-2</w:t>
      </w:r>
    </w:p>
    <w:p>
      <w:pPr>
        <w:ind w:left="288"/>
      </w:pPr>
      <w:r>
        <w:rPr>
          <w:color w:val="1E1E1E"/>
          <w:sz w:val="18"/>
        </w:rPr>
        <w:t>CAPÍTULO IV Dos Direitos Políticos SUMÁRIO</w:t>
      </w:r>
    </w:p>
    <w:p>
      <w:pPr>
        <w:ind w:left="432"/>
      </w:pPr>
      <w:r>
        <w:rPr>
          <w:color w:val="003366"/>
          <w:sz w:val="18"/>
        </w:rPr>
        <w:t>§ 1 O Estado do Tocantins integra a Região Norte e limita-se com o Estado de Goi</w:t>
      </w:r>
    </w:p>
    <w:p>
      <w:pPr>
        <w:ind w:left="432"/>
      </w:pPr>
      <w:r>
        <w:rPr>
          <w:color w:val="003366"/>
          <w:sz w:val="18"/>
        </w:rPr>
        <w:t>§ 2 O Poder Executivo designará uma das cidades do Estado para sua Capital provi</w:t>
      </w:r>
    </w:p>
    <w:p>
      <w:pPr>
        <w:ind w:left="432"/>
      </w:pPr>
      <w:r>
        <w:rPr>
          <w:color w:val="003366"/>
          <w:sz w:val="18"/>
        </w:rPr>
        <w:t>§ 3 O Governador, o Vice-Governador, os Senadores, os Deputados Federais e os De</w:t>
      </w:r>
    </w:p>
    <w:p>
      <w:pPr>
        <w:ind w:left="720"/>
      </w:pPr>
      <w:r>
        <w:rPr>
          <w:color w:val="003366"/>
          <w:sz w:val="18"/>
        </w:rPr>
        <w:t>I – o prazo de filiação partidária dos candidatos será encerrado setenta e cinco</w:t>
      </w:r>
    </w:p>
    <w:p>
      <w:pPr>
        <w:ind w:left="720"/>
      </w:pPr>
      <w:r>
        <w:rPr>
          <w:color w:val="003366"/>
          <w:sz w:val="18"/>
        </w:rPr>
        <w:t xml:space="preserve">II – as datas das convenções regionais partidárias destinadas a deliberar sobre </w:t>
      </w:r>
    </w:p>
    <w:p>
      <w:pPr>
        <w:ind w:left="720"/>
      </w:pPr>
      <w:r>
        <w:rPr>
          <w:color w:val="003366"/>
          <w:sz w:val="18"/>
        </w:rPr>
        <w:t xml:space="preserve">III – são inelegíveis os ocupantes de cargos estaduais ou municipais que não se </w:t>
      </w:r>
    </w:p>
    <w:p>
      <w:pPr>
        <w:ind w:left="720"/>
      </w:pPr>
      <w:r>
        <w:rPr>
          <w:color w:val="003366"/>
          <w:sz w:val="18"/>
        </w:rPr>
        <w:t>IV – ficam mantidos os atuais diretórios regionais dos partidos políticos do Est</w:t>
      </w:r>
    </w:p>
    <w:p>
      <w:pPr>
        <w:ind w:left="432"/>
      </w:pPr>
      <w:r>
        <w:rPr>
          <w:color w:val="003366"/>
          <w:sz w:val="18"/>
        </w:rPr>
        <w:t>§ 4 Os mandatos do Governador, do Vice-Governador, dos Deputados Federais e Esta</w:t>
      </w:r>
    </w:p>
    <w:p>
      <w:pPr>
        <w:ind w:left="432"/>
      </w:pPr>
      <w:r>
        <w:rPr>
          <w:color w:val="003366"/>
          <w:sz w:val="18"/>
        </w:rPr>
        <w:t xml:space="preserve">§ 5 A Assembléia Estadual Constituinte será instalada no quadragésimo sexto dia </w:t>
      </w:r>
    </w:p>
    <w:p>
      <w:pPr>
        <w:ind w:left="432"/>
      </w:pPr>
      <w:r>
        <w:rPr>
          <w:color w:val="003366"/>
          <w:sz w:val="18"/>
        </w:rPr>
        <w:t xml:space="preserve">§ 6 Aplicam-se à criação e instalação do Estado do Tocantins, no que couber, as </w:t>
      </w:r>
    </w:p>
    <w:p>
      <w:pPr>
        <w:ind w:left="432"/>
      </w:pPr>
      <w:r>
        <w:rPr>
          <w:color w:val="003366"/>
          <w:sz w:val="18"/>
        </w:rPr>
        <w:t>§ 7 Fica o Estado de Goiás liberado dos débitos e encargos decorrentes de empree</w:t>
      </w:r>
    </w:p>
    <w:p>
      <w:r>
        <w:rPr>
          <w:b/>
          <w:color w:val="003366"/>
          <w:sz w:val="20"/>
        </w:rPr>
        <w:t>Art. 14 Os Territórios Federais de Roraima e do Amapá são transformados em Estad</w:t>
      </w:r>
      <w:r>
        <w:rPr>
          <w:color w:val="8C8C8C"/>
          <w:sz w:val="14"/>
        </w:rPr>
        <w:t xml:space="preserve">  [61 decisoes]</w:t>
      </w:r>
    </w:p>
    <w:p>
      <w:pPr>
        <w:ind w:left="144"/>
      </w:pPr>
      <w:r>
        <w:rPr>
          <w:b/>
          <w:color w:val="B45A00"/>
          <w:sz w:val="16"/>
        </w:rPr>
        <w:t>CONTROLE CONCENTRADO</w:t>
      </w:r>
    </w:p>
    <w:p>
      <w:pPr>
        <w:ind w:left="288"/>
      </w:pPr>
      <w:r>
        <w:rPr>
          <w:color w:val="8C8C8C"/>
          <w:sz w:val="12"/>
        </w:rPr>
        <w:t>cf-art-14</w:t>
      </w:r>
      <w:r>
        <w:rPr>
          <w:color w:val="003CA0"/>
          <w:sz w:val="12"/>
        </w:rPr>
        <w:t xml:space="preserve"> | ADPF 1.013</w:t>
      </w:r>
      <w:r>
        <w:rPr>
          <w:color w:val="003CA0"/>
          <w:sz w:val="12"/>
        </w:rPr>
        <w:t xml:space="preserve"> | rel. Luís Roberto Barroso</w:t>
      </w:r>
    </w:p>
    <w:p>
      <w:pPr>
        <w:ind w:left="288"/>
      </w:pPr>
      <w:r>
        <w:rPr>
          <w:color w:val="1E1E1E"/>
          <w:sz w:val="18"/>
        </w:rPr>
        <w:t>Arguição de descumprimento de preceito fundamental contra a omissão do poder público em ofertar, nos dias das eleições, transporte público gratuito e em frequência compatível com aquela praticada em dias úteis. A pretensão se fundamenta no direito dos cidadãos ao transporte e, especialmente, no seu direito ao voto, ao argumento de que a locomoção às seções eleitorais tem custo substancialmente maior do que o valor da multa pela abstenção. Considerada a extrema desigualdade social existente no Brasil, a ausência de política pública de concessão de transporte gratuito no dia das eleições tem o p</w:t>
      </w:r>
    </w:p>
    <w:p>
      <w:pPr>
        <w:ind w:left="288"/>
      </w:pPr>
      <w:r>
        <w:rPr>
          <w:b/>
          <w:color w:val="003CA0"/>
          <w:sz w:val="16"/>
        </w:rPr>
        <w:t>[ADI 4.467, rel. min. Rosa Weber, j. 20-10-2020, P, DJE de 29-10-2020.]</w:t>
      </w:r>
    </w:p>
    <w:p>
      <w:pPr>
        <w:ind w:left="288"/>
      </w:pPr>
      <w:r>
        <w:rPr>
          <w:color w:val="8C8C8C"/>
          <w:sz w:val="12"/>
        </w:rPr>
        <w:t>cf-art-14</w:t>
      </w:r>
      <w:r>
        <w:rPr>
          <w:color w:val="003CA0"/>
          <w:sz w:val="12"/>
        </w:rPr>
        <w:t xml:space="preserve"> | ADI 5.889</w:t>
      </w:r>
      <w:r>
        <w:rPr>
          <w:color w:val="003CA0"/>
          <w:sz w:val="12"/>
        </w:rPr>
        <w:t xml:space="preserve"> | rel. Gilmar Mendes</w:t>
      </w:r>
    </w:p>
    <w:p>
      <w:pPr>
        <w:ind w:left="288"/>
      </w:pPr>
      <w:r>
        <w:rPr>
          <w:color w:val="1E1E1E"/>
          <w:sz w:val="18"/>
        </w:rPr>
        <w:t>Legitimidade do Congresso Nacional para adoção de sistemas e procedimentos de escrutínio eleitoral com observância das garantias de sigilosidade e liberdade do voto (CF, arts. 14 e 60, § 4º, II). Modelo híbrido de votação previsto pelo art. 59-A da Lei 9.504/1997. Potencialidade de risco na identificação do eleitor configuradora de ameaça à sua livre escolha. Inconstitucionalidade.</w:t>
      </w:r>
    </w:p>
    <w:p>
      <w:pPr>
        <w:ind w:left="288"/>
      </w:pPr>
      <w:r>
        <w:rPr>
          <w:b/>
          <w:color w:val="003CA0"/>
          <w:sz w:val="16"/>
        </w:rPr>
        <w:t>[ADI 5.889, rel. min. Gilmar Mendes, j. 16-9-2020, P, DJE de 5-10-2020.]</w:t>
      </w:r>
    </w:p>
    <w:p>
      <w:pPr>
        <w:ind w:left="288"/>
      </w:pPr>
      <w:r>
        <w:rPr>
          <w:color w:val="8C8C8C"/>
          <w:sz w:val="12"/>
        </w:rPr>
        <w:t>cf-art-14</w:t>
      </w:r>
      <w:r>
        <w:rPr>
          <w:color w:val="003CA0"/>
          <w:sz w:val="12"/>
        </w:rPr>
        <w:t xml:space="preserve"> | MS 26.602</w:t>
      </w:r>
      <w:r>
        <w:rPr>
          <w:color w:val="003CA0"/>
          <w:sz w:val="12"/>
        </w:rPr>
        <w:t xml:space="preserve"> | rel. Roberto Barroso</w:t>
      </w:r>
    </w:p>
    <w:p>
      <w:pPr>
        <w:ind w:left="288"/>
      </w:pPr>
      <w:r>
        <w:rPr>
          <w:color w:val="1E1E1E"/>
          <w:sz w:val="18"/>
        </w:rPr>
        <w:t>Inaplicabilidade da regra de perda do mandato por infidelidade partidária ao sistema eleitoral majoritário. (...) As decisões no MS 26.602, no MS 26.603 e no MS 26.604 tiveram como pano de fundo o sistema proporcional, que é adotado para a eleição de deputados federais, estaduais e vereadores. As características do sistema proporcional, com sua ênfase nos votos obtidos pelos partidos, tornam a fidelidade partidária importante para garantir que as opções políticas feitas pelo eleitor no momento da eleição sejam minimamente preservadas. Daí a legitimidade de se decretar a perda do mandato do can</w:t>
      </w:r>
    </w:p>
    <w:p>
      <w:pPr>
        <w:ind w:left="288"/>
      </w:pPr>
      <w:r>
        <w:rPr>
          <w:b/>
          <w:color w:val="003CA0"/>
          <w:sz w:val="16"/>
        </w:rPr>
        <w:t>[ADI 5.081, rel. min. Roberto Barroso, j. 27-5-2015, P, DJE de 19-8-2015.]</w:t>
      </w:r>
    </w:p>
    <w:p>
      <w:pPr>
        <w:ind w:left="288"/>
      </w:pPr>
      <w:r>
        <w:rPr>
          <w:color w:val="8C8C8C"/>
          <w:sz w:val="12"/>
        </w:rPr>
        <w:t>cf-art-14</w:t>
      </w:r>
      <w:r>
        <w:rPr>
          <w:color w:val="003CA0"/>
          <w:sz w:val="12"/>
        </w:rPr>
        <w:t xml:space="preserve"> | MS 26.604</w:t>
      </w:r>
      <w:r>
        <w:rPr>
          <w:color w:val="003CA0"/>
          <w:sz w:val="12"/>
        </w:rPr>
        <w:t xml:space="preserve"> | rel. Cármen Lúcia</w:t>
      </w:r>
    </w:p>
    <w:p>
      <w:pPr>
        <w:ind w:left="288"/>
      </w:pPr>
      <w:r>
        <w:rPr>
          <w:color w:val="1E1E1E"/>
          <w:sz w:val="18"/>
        </w:rPr>
        <w:t>Vide MS 26.604, rel. min. Cármen Lúcia, j. 4-10-2007, P, DJE de 3-10-2008 A cláusula tutelar inscrita no art. 14, caput, da Constituição tem por destinatário específico e exclusivo o eleitor comum, no exercício das prerrogativas inerentes ao status activae civitatis. Essa norma de garantia não se aplica, contudo, ao membro do Poder Legislativo nos procedimentos de votação parlamentar, em cujo âmbito prevalece, como regra, o postulado da deliberação ostensiva ou aberta. As deliberações parlamentares regem-se, ordinariamente, pelo princípio da publicidade, que traduz dogma do regime constitucion</w:t>
      </w:r>
    </w:p>
    <w:p>
      <w:pPr>
        <w:ind w:left="288"/>
      </w:pPr>
      <w:r>
        <w:rPr>
          <w:b/>
          <w:color w:val="003CA0"/>
          <w:sz w:val="16"/>
        </w:rPr>
        <w:t>[ADI 1.057 MC, rel. min. Celso de Mello, j. 20-4-1994, P, DJ de 6-4-2001.]</w:t>
      </w:r>
    </w:p>
    <w:p>
      <w:pPr>
        <w:ind w:left="288"/>
      </w:pPr>
      <w:r>
        <w:rPr>
          <w:color w:val="8C8C8C"/>
          <w:sz w:val="12"/>
        </w:rPr>
        <w:t>cf-art-14</w:t>
      </w:r>
      <w:r>
        <w:rPr>
          <w:color w:val="003CA0"/>
          <w:sz w:val="12"/>
        </w:rPr>
        <w:t xml:space="preserve"> | ADI 4.298</w:t>
      </w:r>
      <w:r>
        <w:rPr>
          <w:color w:val="003CA0"/>
          <w:sz w:val="12"/>
        </w:rPr>
        <w:t xml:space="preserve"> | rel. Cezar Peluso</w:t>
      </w:r>
    </w:p>
    <w:p>
      <w:pPr>
        <w:ind w:left="288"/>
      </w:pPr>
      <w:r>
        <w:rPr>
          <w:color w:val="1E1E1E"/>
          <w:sz w:val="18"/>
        </w:rPr>
        <w:t>Vide ADI 4.298 MC, rel. min. Cezar Peluso, j. 7-10-2009, P, DJE de 27-11-2009</w:t>
      </w:r>
    </w:p>
    <w:p>
      <w:pPr>
        <w:ind w:left="144"/>
      </w:pPr>
      <w:r>
        <w:rPr>
          <w:b/>
          <w:color w:val="B45A00"/>
          <w:sz w:val="16"/>
        </w:rPr>
        <w:t>REPERCUSSAO GERAL</w:t>
      </w:r>
    </w:p>
    <w:p>
      <w:pPr>
        <w:ind w:left="288"/>
      </w:pPr>
      <w:r>
        <w:rPr>
          <w:color w:val="8C8C8C"/>
          <w:sz w:val="12"/>
        </w:rPr>
        <w:t>cf-art-14</w:t>
      </w:r>
      <w:r>
        <w:rPr>
          <w:color w:val="003CA0"/>
          <w:sz w:val="12"/>
        </w:rPr>
        <w:t xml:space="preserve"> | RE 1.096.029</w:t>
      </w:r>
    </w:p>
    <w:p>
      <w:pPr>
        <w:ind w:left="288"/>
      </w:pPr>
      <w:r>
        <w:rPr>
          <w:color w:val="1E1E1E"/>
          <w:sz w:val="18"/>
        </w:rPr>
        <w:t>A realização de novas eleições nos casos em que o candidato mais votado tiver o registro da candidatura indeferido, independentemente do número de votos, reafirma a soberania popular (...). (...) constitucionalidade da expressão ‘indeferimento do registro’ constante do § 3º do art. 224 do Código Eleitoral, acrescido pela Lei 13.165/2015.</w:t>
      </w:r>
    </w:p>
    <w:p>
      <w:pPr>
        <w:ind w:left="288"/>
      </w:pPr>
      <w:r>
        <w:rPr>
          <w:b/>
          <w:color w:val="003CA0"/>
          <w:sz w:val="16"/>
        </w:rPr>
        <w:t>[RE 1.096.029, voto do min. Dias Toffoli, j. 4-3-2020, P, DJE de 18-5-2020, Tema 986.]</w:t>
      </w:r>
    </w:p>
    <w:p>
      <w:pPr>
        <w:ind w:left="144"/>
      </w:pPr>
      <w:r>
        <w:rPr>
          <w:b/>
          <w:color w:val="B45A00"/>
          <w:sz w:val="16"/>
        </w:rPr>
        <w:t>JULGADOS CORRELATOS</w:t>
      </w:r>
    </w:p>
    <w:p>
      <w:pPr>
        <w:ind w:left="288"/>
      </w:pPr>
      <w:r>
        <w:rPr>
          <w:color w:val="8C8C8C"/>
          <w:sz w:val="12"/>
        </w:rPr>
        <w:t>cf-art-14</w:t>
      </w:r>
      <w:r>
        <w:rPr>
          <w:color w:val="003CA0"/>
          <w:sz w:val="12"/>
        </w:rPr>
        <w:t xml:space="preserve"> | AI 133.468</w:t>
      </w:r>
      <w:r>
        <w:rPr>
          <w:color w:val="003CA0"/>
          <w:sz w:val="12"/>
        </w:rPr>
        <w:t xml:space="preserve"> | rel. Sepúlveda Pertence</w:t>
      </w:r>
    </w:p>
    <w:p>
      <w:pPr>
        <w:ind w:left="288"/>
      </w:pPr>
      <w:r>
        <w:rPr>
          <w:color w:val="1E1E1E"/>
          <w:sz w:val="18"/>
        </w:rPr>
        <w:t>O princípio do sufrágio universal vem conjugado, no art. 14 da Constituição, à exigência do sigilo do voto: não o ofende, portanto, a decisão que entende nula a cédula assinalada de modo a poder identificar o eleitor.</w:t>
      </w:r>
    </w:p>
    <w:p>
      <w:pPr>
        <w:ind w:left="288"/>
      </w:pPr>
      <w:r>
        <w:rPr>
          <w:b/>
          <w:color w:val="003CA0"/>
          <w:sz w:val="16"/>
        </w:rPr>
        <w:t>[AI 133.468 AgR, rel. min. Sepúlveda Pertence, j. 15-2-1990, P, DJ de 9-3-1990.]</w:t>
      </w:r>
    </w:p>
    <w:p>
      <w:pPr>
        <w:ind w:left="144"/>
      </w:pPr>
      <w:r>
        <w:rPr>
          <w:b/>
          <w:color w:val="B45A00"/>
          <w:sz w:val="16"/>
        </w:rPr>
        <w:t>CONTROLE CONCENTRADO</w:t>
      </w:r>
    </w:p>
    <w:p>
      <w:pPr>
        <w:ind w:left="288"/>
      </w:pPr>
      <w:r>
        <w:rPr>
          <w:color w:val="8C8C8C"/>
          <w:sz w:val="12"/>
        </w:rPr>
        <w:t>cf-art-14-par-1</w:t>
      </w:r>
      <w:r>
        <w:rPr>
          <w:color w:val="003CA0"/>
          <w:sz w:val="12"/>
        </w:rPr>
        <w:t xml:space="preserve"> | ADPF 541</w:t>
      </w:r>
      <w:r>
        <w:rPr>
          <w:color w:val="003CA0"/>
          <w:sz w:val="12"/>
        </w:rPr>
        <w:t xml:space="preserve"> | rel. Roberto Barroso</w:t>
      </w:r>
    </w:p>
    <w:p>
      <w:pPr>
        <w:ind w:left="288"/>
      </w:pPr>
      <w:r>
        <w:rPr>
          <w:color w:val="1E1E1E"/>
          <w:sz w:val="18"/>
        </w:rPr>
        <w:t>O exercício do direito de voto é componente essencial da democracia representativa. O alistamento eleitoral e sua revisão periódica são indispensáveis para que esse direito seja exercido de maneira ordenada e segura. A revisão eleitoral é estabelecida em lei e se destina a atualizar o alistamento eleitoral previsto na Constituição. Também o cancelamento de título não apresentado à revisão tem base legal. Inexiste qualquer elemento que sugira ter havido direcionamento, quer na revisão eleitoral, quer no cancelamento de títulos. Tendo lastro constitucional e legal, e não tendo havido vício na su</w:t>
      </w:r>
    </w:p>
    <w:p>
      <w:pPr>
        <w:ind w:left="288"/>
      </w:pPr>
      <w:r>
        <w:rPr>
          <w:b/>
          <w:color w:val="003CA0"/>
          <w:sz w:val="16"/>
        </w:rPr>
        <w:t>[ADPF 541, rel. min. Roberto Barroso, j. 26-9-2018, P, DJE de 16-5-2019.]</w:t>
      </w:r>
    </w:p>
    <w:p>
      <w:pPr>
        <w:ind w:left="288"/>
      </w:pPr>
      <w:r>
        <w:rPr>
          <w:color w:val="8C8C8C"/>
          <w:sz w:val="12"/>
        </w:rPr>
        <w:t>cf-art-14-par-3</w:t>
      </w:r>
      <w:r>
        <w:rPr>
          <w:color w:val="003CA0"/>
          <w:sz w:val="12"/>
        </w:rPr>
        <w:t xml:space="preserve"> | ADI 2.938</w:t>
      </w:r>
      <w:r>
        <w:rPr>
          <w:color w:val="003CA0"/>
          <w:sz w:val="12"/>
        </w:rPr>
        <w:t xml:space="preserve"> | rel. Eros Grau</w:t>
      </w:r>
    </w:p>
    <w:p>
      <w:pPr>
        <w:ind w:left="288"/>
      </w:pPr>
      <w:r>
        <w:rPr>
          <w:color w:val="1E1E1E"/>
          <w:sz w:val="18"/>
        </w:rPr>
        <w:t>A fixação por lei estadual de condições de elegibilidade em relação aos candidatos a juiz de paz, além das constitucionalmente previstas no art. 14, § 3º, invade a competência da União para legislar sobre direito eleitoral, definida no art. 22, I, da Constituição do Brasil.</w:t>
      </w:r>
    </w:p>
    <w:p>
      <w:pPr>
        <w:ind w:left="288"/>
      </w:pPr>
      <w:r>
        <w:rPr>
          <w:b/>
          <w:color w:val="003CA0"/>
          <w:sz w:val="16"/>
        </w:rPr>
        <w:t>[ADI 2.938, rel. min. Eros Grau, j. 9-6-2005, P, DJ de 9-12-2005.]</w:t>
      </w:r>
    </w:p>
    <w:p>
      <w:pPr>
        <w:ind w:left="288"/>
      </w:pPr>
      <w:r>
        <w:rPr>
          <w:color w:val="8C8C8C"/>
          <w:sz w:val="12"/>
        </w:rPr>
        <w:t>cf-art-14-par-3</w:t>
      </w:r>
      <w:r>
        <w:rPr>
          <w:color w:val="003CA0"/>
          <w:sz w:val="12"/>
        </w:rPr>
        <w:t xml:space="preserve"> | ADI 1.063</w:t>
      </w:r>
      <w:r>
        <w:rPr>
          <w:color w:val="003CA0"/>
          <w:sz w:val="12"/>
        </w:rPr>
        <w:t xml:space="preserve"> | rel. Celso de Mello</w:t>
      </w:r>
    </w:p>
    <w:p>
      <w:pPr>
        <w:ind w:left="288"/>
      </w:pPr>
      <w:r>
        <w:rPr>
          <w:color w:val="1E1E1E"/>
          <w:sz w:val="18"/>
        </w:rPr>
        <w:t>O domicílio eleitoral na circunscrição e a filiação partidária, constituindo condições de elegibilidade (CF, art. 14, § 3º), revelam-se passíveis de válida disciplinação mediante simples lei ordinária. Os requisitos de elegibilidade não se confundem, no plano jurídico-conceitual, com as hipóteses de inelegibilidade, cuja definição – além das situações já previstas diretamente pelo próprio texto constitucional (CF, art. 14, § 5º a § 8º) – só pode derivar de norma inscrita em lei complementar (CF, art. 14, § 9º).</w:t>
      </w:r>
    </w:p>
    <w:p>
      <w:pPr>
        <w:ind w:left="288"/>
      </w:pPr>
      <w:r>
        <w:rPr>
          <w:b/>
          <w:color w:val="003CA0"/>
          <w:sz w:val="16"/>
        </w:rPr>
        <w:t>[ADI 1.063 MC, rel. min. Celso de Mello, j. 18-5-1994, P, DJ de 27-4-2001.]</w:t>
      </w:r>
    </w:p>
    <w:p>
      <w:pPr>
        <w:ind w:left="288"/>
      </w:pPr>
      <w:r>
        <w:rPr>
          <w:color w:val="8C8C8C"/>
          <w:sz w:val="12"/>
        </w:rPr>
        <w:t>cf-art-14-par-3</w:t>
      </w:r>
      <w:r>
        <w:rPr>
          <w:color w:val="003CA0"/>
          <w:sz w:val="12"/>
        </w:rPr>
        <w:t xml:space="preserve"> | ADI 1.057</w:t>
      </w:r>
      <w:r>
        <w:rPr>
          <w:color w:val="003CA0"/>
          <w:sz w:val="12"/>
        </w:rPr>
        <w:t xml:space="preserve"> | rel. Celso de Mello</w:t>
      </w:r>
    </w:p>
    <w:p>
      <w:pPr>
        <w:ind w:left="288"/>
      </w:pPr>
      <w:r>
        <w:rPr>
          <w:color w:val="1E1E1E"/>
          <w:sz w:val="18"/>
        </w:rPr>
        <w:t>As condições de elegibilidade (CF, art. 14, § 3º) e as hipóteses de inelegibilidade (CF, art. 14, § 4º a § 8º), inclusive aquelas decorrentes de legislação complementar (CF, art. 14, § 9º),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pPr>
        <w:ind w:left="288"/>
      </w:pPr>
      <w:r>
        <w:rPr>
          <w:b/>
          <w:color w:val="003CA0"/>
          <w:sz w:val="16"/>
        </w:rPr>
        <w:t>[ADI 1.057 MC, rel. min. Celso de Mello, j. 20-4-1994, P, DJ de 6-4-2001.]</w:t>
      </w:r>
    </w:p>
    <w:p>
      <w:pPr>
        <w:ind w:left="288"/>
      </w:pPr>
      <w:r>
        <w:rPr>
          <w:color w:val="8C8C8C"/>
          <w:sz w:val="12"/>
        </w:rPr>
        <w:t>cf-art-14-par-3</w:t>
      </w:r>
      <w:r>
        <w:rPr>
          <w:color w:val="003CA0"/>
          <w:sz w:val="12"/>
        </w:rPr>
        <w:t xml:space="preserve"> | ADI 4.298</w:t>
      </w:r>
      <w:r>
        <w:rPr>
          <w:color w:val="003CA0"/>
          <w:sz w:val="12"/>
        </w:rPr>
        <w:t xml:space="preserve"> | rel. Cezar Peluso</w:t>
      </w:r>
    </w:p>
    <w:p>
      <w:pPr>
        <w:ind w:left="288"/>
      </w:pPr>
      <w:r>
        <w:rPr>
          <w:color w:val="1E1E1E"/>
          <w:sz w:val="18"/>
        </w:rPr>
        <w:t>= ADI 4.298 MC, rel. min. Cezar Peluso, j. 7-10-2009, P, DJE de 27-11-2009</w:t>
      </w:r>
    </w:p>
    <w:p>
      <w:pPr>
        <w:ind w:left="144"/>
      </w:pPr>
      <w:r>
        <w:rPr>
          <w:b/>
          <w:color w:val="B45A00"/>
          <w:sz w:val="16"/>
        </w:rPr>
        <w:t>JULGADOS CORRELATOS</w:t>
      </w:r>
    </w:p>
    <w:p>
      <w:pPr>
        <w:ind w:left="288"/>
      </w:pPr>
      <w:r>
        <w:rPr>
          <w:color w:val="8C8C8C"/>
          <w:sz w:val="12"/>
        </w:rPr>
        <w:t>cf-art-14-par-3-inc-II</w:t>
      </w:r>
      <w:r>
        <w:rPr>
          <w:color w:val="003CA0"/>
          <w:sz w:val="12"/>
        </w:rPr>
        <w:t xml:space="preserve"> | AI 231.917</w:t>
      </w:r>
      <w:r>
        <w:rPr>
          <w:color w:val="003CA0"/>
          <w:sz w:val="12"/>
        </w:rPr>
        <w:t xml:space="preserve"> | rel. Sepúlveda Pertence</w:t>
      </w:r>
    </w:p>
    <w:p>
      <w:pPr>
        <w:ind w:left="288"/>
      </w:pPr>
      <w:r>
        <w:rPr>
          <w:color w:val="1E1E1E"/>
          <w:sz w:val="18"/>
        </w:rPr>
        <w:t>O indeferimento de registro de candidato por deficiência de documentação exigida por lei não implica suspensão de direitos políticos: a titularidade plena dos direitos políticos não o dispensava do registro de sua candidatura por partido ou coligação e esse, da prova documentada dos pressupostos de elegibilidade, entre eles, o pleno exercício dos mesmos direitos políticos (CF, art. 14, § 3º, II): negar o registro por falta de prova oportuna desse pressuposto não equivale obviamente a negar-lhe a realidade, mas apenas a afirmá-la não comprovada.</w:t>
      </w:r>
    </w:p>
    <w:p>
      <w:pPr>
        <w:ind w:left="288"/>
      </w:pPr>
      <w:r>
        <w:rPr>
          <w:b/>
          <w:color w:val="003CA0"/>
          <w:sz w:val="16"/>
        </w:rPr>
        <w:t>[AI 231.917 AgR, rel. min. Sepúlveda Pertence, j. 3-12-1998, P, DJ de 5-2-1999.]</w:t>
      </w:r>
    </w:p>
    <w:p>
      <w:pPr>
        <w:ind w:left="288"/>
      </w:pPr>
      <w:r>
        <w:rPr>
          <w:color w:val="8C8C8C"/>
          <w:sz w:val="12"/>
        </w:rPr>
        <w:t>cf-art-14-par-3-inc-IV</w:t>
      </w:r>
      <w:r>
        <w:rPr>
          <w:color w:val="003CA0"/>
          <w:sz w:val="12"/>
        </w:rPr>
        <w:t xml:space="preserve"> | INQ 1.645</w:t>
      </w:r>
      <w:r>
        <w:rPr>
          <w:color w:val="003CA0"/>
          <w:sz w:val="12"/>
        </w:rPr>
        <w:t xml:space="preserve"> | rel. Eros Grau</w:t>
      </w:r>
    </w:p>
    <w:p>
      <w:pPr>
        <w:ind w:left="288"/>
      </w:pPr>
      <w:r>
        <w:rPr>
          <w:color w:val="1E1E1E"/>
          <w:sz w:val="18"/>
        </w:rPr>
        <w:t>Inquérito. Conduta que configura, em tese, crime de falsa declaração de domicílio eleitoral (CE, art. 350). Declaração falsa firmada pelo proprietário do imóvel visando a comprovar que o indiciado, candidato ao cargo de prefeito municipal, tinha domicílio eleitoral na cidade de Santo André/SP.</w:t>
      </w:r>
    </w:p>
    <w:p>
      <w:pPr>
        <w:ind w:left="288"/>
      </w:pPr>
      <w:r>
        <w:rPr>
          <w:b/>
          <w:color w:val="003CA0"/>
          <w:sz w:val="16"/>
        </w:rPr>
        <w:t>[Inq 1.645, rel. min. Eros Grau, j. 5-6-2008, P, DJE de 5-9-2008.]</w:t>
      </w:r>
    </w:p>
    <w:p>
      <w:pPr>
        <w:ind w:left="144"/>
      </w:pPr>
      <w:r>
        <w:rPr>
          <w:b/>
          <w:color w:val="B45A00"/>
          <w:sz w:val="16"/>
        </w:rPr>
        <w:t>CONTROLE CONCENTRADO</w:t>
      </w:r>
    </w:p>
    <w:p>
      <w:pPr>
        <w:ind w:left="288"/>
      </w:pPr>
      <w:r>
        <w:rPr>
          <w:color w:val="8C8C8C"/>
          <w:sz w:val="12"/>
        </w:rPr>
        <w:t>cf-art-14-par-3-inc-V</w:t>
      </w:r>
      <w:r>
        <w:rPr>
          <w:color w:val="003CA0"/>
          <w:sz w:val="12"/>
        </w:rPr>
        <w:t xml:space="preserve"> | ADI 4.513</w:t>
      </w:r>
      <w:r>
        <w:rPr>
          <w:color w:val="003CA0"/>
          <w:sz w:val="12"/>
        </w:rPr>
        <w:t xml:space="preserve"> | rel. Roberto Barroso</w:t>
      </w:r>
    </w:p>
    <w:p>
      <w:pPr>
        <w:ind w:left="288"/>
      </w:pPr>
      <w:r>
        <w:rPr>
          <w:color w:val="1E1E1E"/>
          <w:sz w:val="18"/>
        </w:rPr>
        <w:t>A leitura do parágrafo único do art. 16-A da Lei nº 9.504/1997 que pretenda impedir que os votos dados aos candidatos com registro deferido ou não apreciado no dia da eleição sejam, como regra geral, computados para a respectiva agremiação padece de inconstitucionalidade. Em primeiro lugar, essa interpretação retira todo efeito útil ao voto dado pelo eleitor em situação em que não tinha razões para questionar a validade da candidatura, em detrimento dos princípios democrático e da soberania popular (arts. 1º e 14, CF). Em segundo lugar, tal tese vai na contramão do dever constitucional de valo</w:t>
      </w:r>
    </w:p>
    <w:p>
      <w:pPr>
        <w:ind w:left="288"/>
      </w:pPr>
      <w:r>
        <w:rPr>
          <w:b/>
          <w:color w:val="003CA0"/>
          <w:sz w:val="16"/>
        </w:rPr>
        <w:t>[ADI 5.081, rel. min. Roberto Barroso, j. 27-5-2015, P, DJE de 19-8-2015.]</w:t>
      </w:r>
    </w:p>
    <w:p>
      <w:pPr>
        <w:ind w:left="288"/>
      </w:pPr>
      <w:r>
        <w:rPr>
          <w:color w:val="8C8C8C"/>
          <w:sz w:val="12"/>
        </w:rPr>
        <w:t>cf-art-14-par-3-inc-V</w:t>
      </w:r>
      <w:r>
        <w:rPr>
          <w:color w:val="003CA0"/>
          <w:sz w:val="12"/>
        </w:rPr>
        <w:t xml:space="preserve"> | MS 26.604</w:t>
      </w:r>
      <w:r>
        <w:rPr>
          <w:color w:val="003CA0"/>
          <w:sz w:val="12"/>
        </w:rPr>
        <w:t xml:space="preserve"> | rel. Cármen Lúcia</w:t>
      </w:r>
    </w:p>
    <w:p>
      <w:pPr>
        <w:ind w:left="288"/>
      </w:pPr>
      <w:r>
        <w:rPr>
          <w:color w:val="1E1E1E"/>
          <w:sz w:val="18"/>
        </w:rPr>
        <w:t>Vide MS 26.604, rel. min. Cármen Lúcia, j. 4-10-2007, P, DJE de 3-10-2008 A definição de limitações ao exercício das funções eleitorais pelos partidos políticos é decreto de ordem excepcional, ressalva feita àquelas condicionantes oriundas da CF, a exemplo do art. 17 do Texto Magno. No caso do art. 4º da Lei 9.504/1997, embora se estabeleça limitação consistente na exigência do prazo mínimo de um ano de existência para que partidos políticos possam concorrer em eleições, há excepcionalidade que justifica a limitação da ampla liberdade de atuação dos partidos políticos na seara eleitoral. A pre</w:t>
      </w:r>
    </w:p>
    <w:p>
      <w:pPr>
        <w:ind w:left="288"/>
      </w:pPr>
      <w:r>
        <w:rPr>
          <w:b/>
          <w:color w:val="003CA0"/>
          <w:sz w:val="16"/>
        </w:rPr>
        <w:t>[ADI 1.817, rel. min. Dias Toffoli, j. 28-5-2014, P, DJE de 1º-8-2014.]</w:t>
      </w:r>
    </w:p>
    <w:p>
      <w:pPr>
        <w:ind w:left="288"/>
      </w:pPr>
      <w:r>
        <w:rPr>
          <w:color w:val="8C8C8C"/>
          <w:sz w:val="12"/>
        </w:rPr>
        <w:t>cf-art-14-par-3-inc-V</w:t>
      </w:r>
      <w:r>
        <w:rPr>
          <w:color w:val="003CA0"/>
          <w:sz w:val="12"/>
        </w:rPr>
        <w:t xml:space="preserve"> | MS 26.602</w:t>
      </w:r>
      <w:r>
        <w:rPr>
          <w:color w:val="003CA0"/>
          <w:sz w:val="12"/>
        </w:rPr>
        <w:t xml:space="preserve"> | rel. Joaquim Barbosa</w:t>
      </w:r>
    </w:p>
    <w:p>
      <w:pPr>
        <w:ind w:left="288"/>
      </w:pPr>
      <w:r>
        <w:rPr>
          <w:color w:val="1E1E1E"/>
          <w:sz w:val="18"/>
        </w:rPr>
        <w:t>Fidelidade partidária. Ação direta de inconstitucionalidade ajuizada contra as Resoluções 22.610/2007 e 22.733/2008, que disciplinam a perda do cargo eletivo e o processo de justificação da desfiliação partidária. (...) O STF, por ocasião do julgamento dos MS 26.602, 26.603 e 26.604, reconheceu a existência do dever constitucional de observância do princípio da fidelidade partidária. (...) Não faria sentido a Corte reconhecer a existência de um direito constitucional sem prever um instrumento para assegurá-lo. As resoluções impugnadas surgem em contexto excepcional e transitório, tão somente c</w:t>
      </w:r>
    </w:p>
    <w:p>
      <w:pPr>
        <w:ind w:left="288"/>
      </w:pPr>
      <w:r>
        <w:rPr>
          <w:b/>
          <w:color w:val="003CA0"/>
          <w:sz w:val="16"/>
        </w:rPr>
        <w:t>[ADI 3.999 e ADI 4.086, rel. min. Joaquim Barbosa, j. 12-11-2008, P, DJE de 17-4-2009.]</w:t>
      </w:r>
    </w:p>
    <w:p>
      <w:pPr>
        <w:ind w:left="288"/>
      </w:pPr>
      <w:r>
        <w:rPr>
          <w:color w:val="8C8C8C"/>
          <w:sz w:val="12"/>
        </w:rPr>
        <w:t>cf-art-14-par-3-inc-V</w:t>
      </w:r>
      <w:r>
        <w:rPr>
          <w:color w:val="003CA0"/>
          <w:sz w:val="12"/>
        </w:rPr>
        <w:t xml:space="preserve"> | RE 1.238.853</w:t>
      </w:r>
      <w:r>
        <w:rPr>
          <w:color w:val="003CA0"/>
          <w:sz w:val="12"/>
        </w:rPr>
        <w:t xml:space="preserve"> | rel. Luís Roberto Barroso. Red. do ac. min. Alexandre de Moraes</w:t>
      </w:r>
    </w:p>
    <w:p>
      <w:pPr>
        <w:ind w:left="288"/>
      </w:pPr>
      <w:r>
        <w:rPr>
          <w:color w:val="1E1E1E"/>
          <w:sz w:val="18"/>
        </w:rPr>
        <w:t>“Não são admitidas candidaturas avulsas no sistema eleitoral brasileiro, prevalecendo a filiação partidária como condição de elegibilidade, nos termos do art. 14, § 3º, V, da Constituição”.</w:t>
      </w:r>
    </w:p>
    <w:p>
      <w:pPr>
        <w:ind w:left="288"/>
      </w:pPr>
      <w:r>
        <w:rPr>
          <w:b/>
          <w:color w:val="003CA0"/>
          <w:sz w:val="16"/>
        </w:rPr>
        <w:t>[RE 1.238.853, rel. min. Luís Roberto Barroso. Red. do ac. min. Alexandre de Moraes, j. 26-11-2025, P, DJE de 8-1-2026, Tema 974, com mérito julgado.]</w:t>
      </w:r>
    </w:p>
    <w:p>
      <w:pPr>
        <w:ind w:left="144"/>
      </w:pPr>
      <w:r>
        <w:rPr>
          <w:b/>
          <w:color w:val="B45A00"/>
          <w:sz w:val="16"/>
        </w:rPr>
        <w:t>JULGADOS CORRELATOS</w:t>
      </w:r>
    </w:p>
    <w:p>
      <w:pPr>
        <w:ind w:left="288"/>
      </w:pPr>
      <w:r>
        <w:rPr>
          <w:color w:val="8C8C8C"/>
          <w:sz w:val="12"/>
        </w:rPr>
        <w:t>cf-art-14-par-3-inc-V</w:t>
      </w:r>
      <w:r>
        <w:rPr>
          <w:color w:val="003CA0"/>
          <w:sz w:val="12"/>
        </w:rPr>
        <w:t xml:space="preserve"> | MS 27.938</w:t>
      </w:r>
      <w:r>
        <w:rPr>
          <w:color w:val="003CA0"/>
          <w:sz w:val="12"/>
        </w:rPr>
        <w:t xml:space="preserve"> | rel. Joaquim Barbosa</w:t>
      </w:r>
    </w:p>
    <w:p>
      <w:pPr>
        <w:ind w:left="288"/>
      </w:pPr>
      <w:r>
        <w:rPr>
          <w:color w:val="1E1E1E"/>
          <w:sz w:val="18"/>
        </w:rPr>
        <w:t>O reconhecimento da justa causa para transferência de partido político afasta a perda do mandato eletivo por infidelidade partidária. Contudo, ela não transfere ao novo partido o direito de sucessão à vaga.</w:t>
      </w:r>
    </w:p>
    <w:p>
      <w:pPr>
        <w:ind w:left="288"/>
      </w:pPr>
      <w:r>
        <w:rPr>
          <w:b/>
          <w:color w:val="003CA0"/>
          <w:sz w:val="16"/>
        </w:rPr>
        <w:t>[MS 27.938, rel. min. Joaquim Barbosa, j. 11-3-2010, P, DJE de 30-4-2010.]</w:t>
      </w:r>
    </w:p>
    <w:p>
      <w:pPr>
        <w:ind w:left="288"/>
      </w:pPr>
      <w:r>
        <w:rPr>
          <w:color w:val="8C8C8C"/>
          <w:sz w:val="12"/>
        </w:rPr>
        <w:t>cf-art-14-par-3-inc-V</w:t>
      </w:r>
      <w:r>
        <w:rPr>
          <w:color w:val="003CA0"/>
          <w:sz w:val="12"/>
        </w:rPr>
        <w:t xml:space="preserve"> | MS 26.604</w:t>
      </w:r>
      <w:r>
        <w:rPr>
          <w:color w:val="003CA0"/>
          <w:sz w:val="12"/>
        </w:rPr>
        <w:t xml:space="preserve"> | rel. Cármen Lúcia</w:t>
      </w:r>
    </w:p>
    <w:p>
      <w:pPr>
        <w:ind w:left="288"/>
      </w:pPr>
      <w:r>
        <w:rPr>
          <w:color w:val="1E1E1E"/>
          <w:sz w:val="18"/>
        </w:rPr>
        <w:t>Vide MS 26.604, rel. min. Cármen Lúcia, j. 4-10-2007, P, DJE de 3-10-2008 Mandado de segurança contra ato do presidente da Câmara dos Deputados. Vacância dos cargos de deputado federal dos litisconsortes passivos, deputados federais eleitos pelo partido impetrante e transferidos, por vontade própria, para outra agremiação no curso do mandato. (...) Resposta do TSE a consulta eleitoral não tem natureza jurisdicional nem efeito vinculante. Mandado de segurança impetrado contra ato concreto praticado pelo presidente da Câmara dos Deputados, sem relação de dependência necessária com a resposta à C</w:t>
      </w:r>
    </w:p>
    <w:p>
      <w:pPr>
        <w:ind w:left="288"/>
      </w:pPr>
      <w:r>
        <w:rPr>
          <w:b/>
          <w:color w:val="003CA0"/>
          <w:sz w:val="16"/>
        </w:rPr>
        <w:t>[MS 26.604, rel. min. Cármen Lúcia, j. 4-10-2007, P, DJE de 3-10-2008.]</w:t>
      </w:r>
    </w:p>
    <w:p>
      <w:pPr>
        <w:ind w:left="288"/>
      </w:pPr>
      <w:r>
        <w:rPr>
          <w:color w:val="8C8C8C"/>
          <w:sz w:val="12"/>
        </w:rPr>
        <w:t>cf-art-14-par-3-inc-V</w:t>
      </w:r>
      <w:r>
        <w:rPr>
          <w:color w:val="003CA0"/>
          <w:sz w:val="12"/>
        </w:rPr>
        <w:t xml:space="preserve"> | MS 26.602</w:t>
      </w:r>
      <w:r>
        <w:rPr>
          <w:color w:val="003CA0"/>
          <w:sz w:val="12"/>
        </w:rPr>
        <w:t xml:space="preserve"> | rel. Eros Grau</w:t>
      </w:r>
    </w:p>
    <w:p>
      <w:pPr>
        <w:ind w:left="288"/>
      </w:pPr>
      <w:r>
        <w:rPr>
          <w:color w:val="1E1E1E"/>
          <w:sz w:val="18"/>
        </w:rPr>
        <w:t>= MS 26.602, rel. min. Eros Grau, j. 4-10-2007, P, DJE de 17-10-2008 = MS 26.603, rel. min. Celso de Mello, j. 4-10-2007, P, DJE de 19-12-2008 Vide ADI 5.081, rel. min. Roberto Barroso, j. 27-5-2015, P, DJE de 19-8-2015 Vide MS 27.938, rel. min. Joaquim Barbosa, j. 11-3-2010, P, DJE de 30-4-2010 Vide ADI 3.999 e ADI 4.086, rel. min. Joaquim Barbosa, j. 12-11-2008, P, DJE de 17-4-2009</w:t>
      </w:r>
    </w:p>
    <w:p>
      <w:pPr>
        <w:ind w:left="144"/>
      </w:pPr>
      <w:r>
        <w:rPr>
          <w:b/>
          <w:color w:val="B45A00"/>
          <w:sz w:val="16"/>
        </w:rPr>
        <w:t>CONTROLE CONCENTRADO</w:t>
      </w:r>
    </w:p>
    <w:p>
      <w:pPr>
        <w:ind w:left="288"/>
      </w:pPr>
      <w:r>
        <w:rPr>
          <w:color w:val="8C8C8C"/>
          <w:sz w:val="12"/>
        </w:rPr>
        <w:t>cf-art-14-par-4</w:t>
      </w:r>
      <w:r>
        <w:rPr>
          <w:color w:val="003CA0"/>
          <w:sz w:val="12"/>
        </w:rPr>
        <w:t xml:space="preserve"> | ADI 1.057</w:t>
      </w:r>
      <w:r>
        <w:rPr>
          <w:color w:val="003CA0"/>
          <w:sz w:val="12"/>
        </w:rPr>
        <w:t xml:space="preserve"> | rel. Celso de Mello</w:t>
      </w:r>
    </w:p>
    <w:p>
      <w:pPr>
        <w:ind w:left="288"/>
      </w:pPr>
      <w:r>
        <w:rPr>
          <w:color w:val="1E1E1E"/>
          <w:sz w:val="18"/>
        </w:rPr>
        <w:t>As condições de elegibilidade (CF, art. 14, § 3º) e as hipóteses de inelegibilidade (CF, art. 14, § 4º a § 8º), inclusive aquelas decorrentes de legislação complementar (CF, art. 14, § 9º),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pPr>
        <w:ind w:left="288"/>
      </w:pPr>
      <w:r>
        <w:rPr>
          <w:b/>
          <w:color w:val="003CA0"/>
          <w:sz w:val="16"/>
        </w:rPr>
        <w:t>[ADI 1.057 MC, rel. min. Celso de Mello, j. 20-4-1994, P, DJ de 6-4-2001.]</w:t>
      </w:r>
    </w:p>
    <w:p>
      <w:pPr>
        <w:ind w:left="288"/>
      </w:pPr>
      <w:r>
        <w:rPr>
          <w:color w:val="8C8C8C"/>
          <w:sz w:val="12"/>
        </w:rPr>
        <w:t>cf-art-14-par-4</w:t>
      </w:r>
      <w:r>
        <w:rPr>
          <w:color w:val="003CA0"/>
          <w:sz w:val="12"/>
        </w:rPr>
        <w:t xml:space="preserve"> | ADI 4.298</w:t>
      </w:r>
      <w:r>
        <w:rPr>
          <w:color w:val="003CA0"/>
          <w:sz w:val="12"/>
        </w:rPr>
        <w:t xml:space="preserve"> | rel. Cezar Peluso</w:t>
      </w:r>
    </w:p>
    <w:p>
      <w:pPr>
        <w:ind w:left="288"/>
      </w:pPr>
      <w:r>
        <w:rPr>
          <w:color w:val="1E1E1E"/>
          <w:sz w:val="18"/>
        </w:rPr>
        <w:t>= ADI 4.298 MC, rel. min. Cezar Peluso, j. 7-10-2009, P, DJE de 27-11-2009</w:t>
      </w:r>
    </w:p>
    <w:p>
      <w:pPr>
        <w:ind w:left="288"/>
      </w:pPr>
      <w:r>
        <w:rPr>
          <w:color w:val="8C8C8C"/>
          <w:sz w:val="12"/>
        </w:rPr>
        <w:t>cf-art-14-par-5</w:t>
      </w:r>
      <w:r>
        <w:rPr>
          <w:color w:val="003CA0"/>
          <w:sz w:val="12"/>
        </w:rPr>
        <w:t xml:space="preserve"> | ADI 1.805</w:t>
      </w:r>
      <w:r>
        <w:rPr>
          <w:color w:val="003CA0"/>
          <w:sz w:val="12"/>
        </w:rPr>
        <w:t xml:space="preserve"> | rel. Néri da Silveira</w:t>
      </w:r>
    </w:p>
    <w:p>
      <w:pPr>
        <w:ind w:left="288"/>
      </w:pPr>
      <w:r>
        <w:rPr>
          <w:color w:val="1E1E1E"/>
          <w:sz w:val="18"/>
        </w:rPr>
        <w:t>Alegação de inconstitucionalidade a) da interpretação dada ao § 5º do art. 14 da Constituição, na redação da EC 16/1997, ao não exigir a renúncia aos respectivos mandatos até seis meses antes do pleito, para o titular concorrer à reeleição (...). Na redação original, o § 5º do art. 14 da Constituição era regra de inelegibilidade absoluta. Com a redação resultante da EC 16/1997, o § 5º do art. 14 da Constituição passou a ter a natureza de norma de elegibilidade. Distinção entre condições de elegibilidade e causas de inelegibilidade. Correlação entre inelegibilidade e desincompatibilização, aten</w:t>
      </w:r>
    </w:p>
    <w:p>
      <w:pPr>
        <w:ind w:left="288"/>
      </w:pPr>
      <w:r>
        <w:rPr>
          <w:b/>
          <w:color w:val="003CA0"/>
          <w:sz w:val="16"/>
        </w:rPr>
        <w:t>[ADI 1.805 MC, rel. min. Néri da Silveira, j. 26-3-1998, P, DJ de 14-11-2003.]</w:t>
      </w:r>
    </w:p>
    <w:p>
      <w:pPr>
        <w:ind w:left="288"/>
      </w:pPr>
      <w:r>
        <w:rPr>
          <w:color w:val="8C8C8C"/>
          <w:sz w:val="12"/>
        </w:rPr>
        <w:t>cf-art-14-par-5</w:t>
      </w:r>
      <w:r>
        <w:rPr>
          <w:color w:val="003CA0"/>
          <w:sz w:val="12"/>
        </w:rPr>
        <w:t xml:space="preserve"> | RE 1.355.228</w:t>
      </w:r>
      <w:r>
        <w:rPr>
          <w:color w:val="003CA0"/>
          <w:sz w:val="12"/>
        </w:rPr>
        <w:t xml:space="preserve"> | rel. Nunes Marques</w:t>
      </w:r>
    </w:p>
    <w:p>
      <w:pPr>
        <w:ind w:left="288"/>
      </w:pPr>
      <w:r>
        <w:rPr>
          <w:color w:val="1E1E1E"/>
          <w:sz w:val="18"/>
        </w:rPr>
        <w:t>“O exercício da chefia do Poder Executivo, nos seis meses anteriores ao pleito, em decorrência de decisão judicial não transitada em julgado, não conta como exercício de um mandato para efeito de reeleição.”</w:t>
      </w:r>
    </w:p>
    <w:p>
      <w:pPr>
        <w:ind w:left="288"/>
      </w:pPr>
      <w:r>
        <w:rPr>
          <w:b/>
          <w:color w:val="003CA0"/>
          <w:sz w:val="16"/>
        </w:rPr>
        <w:t>[RE 1.355.228, rel. min. Nunes Marques, j. 26-11-2025, P, Informativo STF 1.201, Tema 1.229, com mérito julgado.]</w:t>
      </w:r>
    </w:p>
    <w:p>
      <w:pPr>
        <w:ind w:left="144"/>
      </w:pPr>
      <w:r>
        <w:rPr>
          <w:b/>
          <w:color w:val="B45A00"/>
          <w:sz w:val="16"/>
        </w:rPr>
        <w:t>REPERCUSSAO GERAL</w:t>
      </w:r>
    </w:p>
    <w:p>
      <w:pPr>
        <w:ind w:left="288"/>
      </w:pPr>
      <w:r>
        <w:rPr>
          <w:color w:val="8C8C8C"/>
          <w:sz w:val="12"/>
        </w:rPr>
        <w:t>cf-art-14-par-5</w:t>
      </w:r>
      <w:r>
        <w:rPr>
          <w:color w:val="003CA0"/>
          <w:sz w:val="12"/>
        </w:rPr>
        <w:t xml:space="preserve"> | RE 637.485</w:t>
      </w:r>
      <w:r>
        <w:rPr>
          <w:color w:val="003CA0"/>
          <w:sz w:val="12"/>
        </w:rPr>
        <w:t xml:space="preserve"> | rel. Gilmar Mendes</w:t>
      </w:r>
    </w:p>
    <w:p>
      <w:pPr>
        <w:ind w:left="288"/>
      </w:pPr>
      <w:r>
        <w:rPr>
          <w:color w:val="1E1E1E"/>
          <w:sz w:val="18"/>
        </w:rPr>
        <w:t>O instituto da reeleição tem fundamento não somente no postulado da continuidade administrativa, mas também no princípio republicano, que impede a perpetuação de uma mesma pessoa ou grupo no poder. O princípio republicano condiciona a interpretação e a aplicação do próprio comando da norma constitucional, de modo que a reeleição é permitida por apenas uma única vez. Esse princípio impede a terceira eleição não apenas no mesmo Município, mas em relação a qualquer outro Município da Federação. Entendimento contrário tornaria possível a figura do denominado "prefeito itinerante" ou do "prefeito p</w:t>
      </w:r>
    </w:p>
    <w:p>
      <w:pPr>
        <w:ind w:left="288"/>
      </w:pPr>
      <w:r>
        <w:rPr>
          <w:b/>
          <w:color w:val="003CA0"/>
          <w:sz w:val="16"/>
        </w:rPr>
        <w:t>[RE 637.485, rel. min. Gilmar Mendes, j. 1º-8-2012, P, DJE de 21-5-2013, Tema 564, com mérito julgado.]</w:t>
      </w:r>
    </w:p>
    <w:p>
      <w:pPr>
        <w:ind w:left="288"/>
      </w:pPr>
      <w:r>
        <w:rPr>
          <w:color w:val="8C8C8C"/>
          <w:sz w:val="12"/>
        </w:rPr>
        <w:t>cf-art-14-par-5</w:t>
      </w:r>
      <w:r>
        <w:rPr>
          <w:color w:val="003CA0"/>
          <w:sz w:val="12"/>
        </w:rPr>
        <w:t xml:space="preserve"> | RE 597.994</w:t>
      </w:r>
    </w:p>
    <w:p>
      <w:pPr>
        <w:ind w:left="288"/>
      </w:pPr>
      <w:r>
        <w:rPr>
          <w:color w:val="1E1E1E"/>
          <w:sz w:val="18"/>
        </w:rPr>
        <w:t>Não há, efetivamente, direito adquirido do membro do Ministério Público a candidatar-se ao exercício de novo mandado político. O que socorre a recorrente é o direito atual – não adquirido no passado, mas atual – a concorrer a nova eleição e ser reeleita, afirmado pelo art. 14, § 5º, da Constituição do Brasil. Não há contradição entre os preceitos contidos no § 5º do art. 14 e no art. 128, § 5º, II, e, da Constituição do Brasil. A interpretação do direito, e da Constituição, não se reduz a singelo exercício de leitura dos seus textos, compreendendo processo de contínua adaptação à realidade e s</w:t>
      </w:r>
    </w:p>
    <w:p>
      <w:pPr>
        <w:ind w:left="144"/>
      </w:pPr>
      <w:r>
        <w:rPr>
          <w:b/>
          <w:color w:val="B45A00"/>
          <w:sz w:val="16"/>
        </w:rPr>
        <w:t>JULGADOS CORRELATOS</w:t>
      </w:r>
    </w:p>
    <w:p>
      <w:pPr>
        <w:ind w:left="288"/>
      </w:pPr>
      <w:r>
        <w:rPr>
          <w:color w:val="8C8C8C"/>
          <w:sz w:val="12"/>
        </w:rPr>
        <w:t>cf-art-14-par-5</w:t>
      </w:r>
      <w:r>
        <w:rPr>
          <w:color w:val="003CA0"/>
          <w:sz w:val="12"/>
        </w:rPr>
        <w:t xml:space="preserve"> | RE 464.277</w:t>
      </w:r>
      <w:r>
        <w:rPr>
          <w:color w:val="003CA0"/>
          <w:sz w:val="12"/>
        </w:rPr>
        <w:t xml:space="preserve"> | rel. Ayres  Britto</w:t>
      </w:r>
    </w:p>
    <w:p>
      <w:pPr>
        <w:ind w:left="288"/>
      </w:pPr>
      <w:r>
        <w:rPr>
          <w:color w:val="1E1E1E"/>
          <w:sz w:val="18"/>
        </w:rPr>
        <w:t>Vice-prefeito que ocupou o cargo de prefeito por força de decisão judicial que determinou o afastamento do titular. Registro de candidatura a uma terceira assunção na chefia do Poder Executivo municipal. Impossibilidade. Nos termos do § 5º do art. 14 da CF, "os prefeitos e quem os houver sucedido ou substituído no curso dos mandatos poderão ser reeleitos para um único período subsequente".</w:t>
      </w:r>
    </w:p>
    <w:p>
      <w:pPr>
        <w:ind w:left="288"/>
      </w:pPr>
      <w:r>
        <w:rPr>
          <w:b/>
          <w:color w:val="003CA0"/>
          <w:sz w:val="16"/>
        </w:rPr>
        <w:t>[RE 464.277 AgR, rel. min. Ayres  Britto, j. 9-10-2007, 1ª T, DJE de 4-4-2008.]</w:t>
      </w:r>
    </w:p>
    <w:p>
      <w:pPr>
        <w:ind w:left="288"/>
      </w:pPr>
      <w:r>
        <w:rPr>
          <w:color w:val="8C8C8C"/>
          <w:sz w:val="12"/>
        </w:rPr>
        <w:t>cf-art-14-par-5</w:t>
      </w:r>
      <w:r>
        <w:rPr>
          <w:color w:val="003CA0"/>
          <w:sz w:val="12"/>
        </w:rPr>
        <w:t xml:space="preserve"> | RE 756.073</w:t>
      </w:r>
      <w:r>
        <w:rPr>
          <w:color w:val="003CA0"/>
          <w:sz w:val="12"/>
        </w:rPr>
        <w:t xml:space="preserve"> | rel. Ricardo Lewandowski</w:t>
      </w:r>
    </w:p>
    <w:p>
      <w:pPr>
        <w:ind w:left="288"/>
      </w:pPr>
      <w:r>
        <w:rPr>
          <w:color w:val="1E1E1E"/>
          <w:sz w:val="18"/>
        </w:rPr>
        <w:t>= RE 756.073 AgR, rel. min. Ricardo Lewandowski, j. 17-12-2013, 2ª T, DJE de 13-2-2014 Vide RE 1.128.439 AgR, rel. min. Celso de Mello, j. 23-10-2018, 2ª T, DJE de 14-12-2018 Vice-governador eleito duas vezes para o cargo de vice-governador. No segundo mandato de vice, sucedeu o titular. Certo que, no seu primeiro mandato de vice, teria substituído o governador. Possibilidade de reeleger-se ao cargo de governador, porque o exercício da titularidade do cargo dá-se mediante eleição ou por sucessão. Somente quando sucedeu o titular é que passou a exercer o seu primeiro mandato como titular do car</w:t>
      </w:r>
    </w:p>
    <w:p>
      <w:pPr>
        <w:ind w:left="288"/>
      </w:pPr>
      <w:r>
        <w:rPr>
          <w:b/>
          <w:color w:val="003CA0"/>
          <w:sz w:val="16"/>
        </w:rPr>
        <w:t>[RE 366.488, rel. min. Carlos Velloso, j. 4-10-2005, 2ª T, DJ de 28-10-2005.]</w:t>
      </w:r>
    </w:p>
    <w:p>
      <w:pPr>
        <w:ind w:left="288"/>
      </w:pPr>
      <w:r>
        <w:rPr>
          <w:color w:val="8C8C8C"/>
          <w:sz w:val="12"/>
        </w:rPr>
        <w:t>cf-art-14-par-5</w:t>
      </w:r>
      <w:r>
        <w:rPr>
          <w:color w:val="003CA0"/>
          <w:sz w:val="12"/>
        </w:rPr>
        <w:t xml:space="preserve"> | AI 782.434</w:t>
      </w:r>
      <w:r>
        <w:rPr>
          <w:color w:val="003CA0"/>
          <w:sz w:val="12"/>
        </w:rPr>
        <w:t xml:space="preserve"> | rel. Cármen Lúcia</w:t>
      </w:r>
    </w:p>
    <w:p>
      <w:pPr>
        <w:ind w:left="288"/>
      </w:pPr>
      <w:r>
        <w:rPr>
          <w:color w:val="1E1E1E"/>
          <w:sz w:val="18"/>
        </w:rPr>
        <w:t>= AI 782.434 AgR, rel. min. Cármen Lúcia, j. 8-2-2011, 1ª T, DJE de 24-3-2011</w:t>
      </w:r>
    </w:p>
    <w:p>
      <w:pPr>
        <w:ind w:left="288"/>
      </w:pPr>
      <w:r>
        <w:rPr>
          <w:color w:val="8C8C8C"/>
          <w:sz w:val="12"/>
        </w:rPr>
        <w:t>cf-art-14-par-6</w:t>
      </w:r>
      <w:r>
        <w:rPr>
          <w:color w:val="003CA0"/>
          <w:sz w:val="12"/>
        </w:rPr>
        <w:t xml:space="preserve"> | RE 345.822</w:t>
      </w:r>
      <w:r>
        <w:rPr>
          <w:color w:val="003CA0"/>
          <w:sz w:val="12"/>
        </w:rPr>
        <w:t xml:space="preserve"> | rel. Carlos Velloso</w:t>
      </w:r>
    </w:p>
    <w:p>
      <w:pPr>
        <w:ind w:left="288"/>
      </w:pPr>
      <w:r>
        <w:rPr>
          <w:color w:val="1E1E1E"/>
          <w:sz w:val="18"/>
        </w:rPr>
        <w:t>Presidente da câmara municipal que substitui ou sucede o prefeito nos seis meses anteriores ao pleito é inelegível para o cargo de vereador. CF, art. 14, § 6º. Inaplicabilidade das regras dos § 5º e § 7º do art. 14, CF.</w:t>
      </w:r>
    </w:p>
    <w:p>
      <w:pPr>
        <w:ind w:left="288"/>
      </w:pPr>
      <w:r>
        <w:rPr>
          <w:b/>
          <w:color w:val="003CA0"/>
          <w:sz w:val="16"/>
        </w:rPr>
        <w:t>[RE 345.822, rel. min. Carlos Velloso, j. 18-11-2003, 2ª T, DJ de 12-12-2003.]</w:t>
      </w:r>
    </w:p>
    <w:p>
      <w:pPr>
        <w:ind w:left="288"/>
      </w:pPr>
      <w:r>
        <w:rPr>
          <w:color w:val="8C8C8C"/>
          <w:sz w:val="12"/>
        </w:rPr>
        <w:t>cf-art-14-par-6</w:t>
      </w:r>
    </w:p>
    <w:p>
      <w:pPr>
        <w:ind w:left="288"/>
      </w:pPr>
      <w:r>
        <w:rPr>
          <w:color w:val="1E1E1E"/>
          <w:sz w:val="18"/>
        </w:rPr>
        <w:t>§ 7º São inelegíveis, no território de jurisdição do titular, o cônjuge e os parentes consangüíneos ou afins, até o segundo grau ou por adoção, do Presidente da República, de Governador de Estado ou Território, do Distrito Federal, de Prefeito ou de quem os haja substituído dentro dos seis meses anteriores ao pleito, salvo se já titular de mandato eletivo e candidato à reeleição.</w:t>
      </w:r>
    </w:p>
    <w:p>
      <w:pPr>
        <w:ind w:left="144"/>
      </w:pPr>
      <w:r>
        <w:rPr>
          <w:b/>
          <w:color w:val="B45A00"/>
          <w:sz w:val="16"/>
        </w:rPr>
        <w:t>SUMULA VINCULANTE</w:t>
      </w:r>
    </w:p>
    <w:p>
      <w:pPr>
        <w:ind w:left="288"/>
      </w:pPr>
      <w:r>
        <w:rPr>
          <w:color w:val="8C8C8C"/>
          <w:sz w:val="12"/>
        </w:rPr>
        <w:t>cf-art-14-par-6</w:t>
      </w:r>
    </w:p>
    <w:p>
      <w:pPr>
        <w:ind w:left="288"/>
      </w:pPr>
      <w:r>
        <w:rPr>
          <w:color w:val="1E1E1E"/>
          <w:sz w:val="18"/>
        </w:rPr>
        <w:t>A dissolução da sociedade ou do vínculo conjugal, no curso do mandato, não afasta a inelegibilidade prevista no § 7º do art. 14 da CF.</w:t>
      </w:r>
    </w:p>
    <w:p>
      <w:pPr>
        <w:ind w:left="288"/>
      </w:pPr>
      <w:r>
        <w:rPr>
          <w:b/>
          <w:color w:val="003CA0"/>
          <w:sz w:val="16"/>
        </w:rPr>
        <w:t>[Súmula Vinculante 18.]</w:t>
      </w:r>
    </w:p>
    <w:p>
      <w:pPr>
        <w:ind w:left="144"/>
      </w:pPr>
      <w:r>
        <w:rPr>
          <w:b/>
          <w:color w:val="B45A00"/>
          <w:sz w:val="16"/>
        </w:rPr>
        <w:t>CONTROLE CONCENTRADO</w:t>
      </w:r>
    </w:p>
    <w:p>
      <w:pPr>
        <w:ind w:left="288"/>
      </w:pPr>
      <w:r>
        <w:rPr>
          <w:color w:val="8C8C8C"/>
          <w:sz w:val="12"/>
        </w:rPr>
        <w:t>cf-art-14-par-6</w:t>
      </w:r>
      <w:r>
        <w:rPr>
          <w:color w:val="003CA0"/>
          <w:sz w:val="12"/>
        </w:rPr>
        <w:t xml:space="preserve"> | ADPF 1.089</w:t>
      </w:r>
      <w:r>
        <w:rPr>
          <w:color w:val="003CA0"/>
          <w:sz w:val="12"/>
        </w:rPr>
        <w:t xml:space="preserve"> | rel. Cármen Lúcia</w:t>
      </w:r>
    </w:p>
    <w:p>
      <w:pPr>
        <w:ind w:left="288"/>
      </w:pPr>
      <w:r>
        <w:rPr>
          <w:color w:val="1E1E1E"/>
          <w:sz w:val="18"/>
        </w:rPr>
        <w:t>Não contraria o § 7º do art. 14 da Constituição da República a prática de ocupação do cargo de Presidente das Casas Legislativas (Federal, Estadual, Distrital e Municipal) por cônjuge, companheiro ou parente direto ou colateral, até o segundo grau, do Chefe do Poder Executivo do respectivo ente federado pela ausência de previsão constitucional nesse sentido. A interpretação do disposto no § 7º do art. 14 da Constituição da República deve ser restritiva, por ser norma limitadora de direito fundamental.</w:t>
        <w:br/>
        <w:t>[ADPF 1.089 MC, rel. min. Cármen Lúcia, j. 05.06.2024, P, DJE de 06.09.2024.]</w:t>
      </w:r>
    </w:p>
    <w:p>
      <w:pPr>
        <w:ind w:left="144"/>
      </w:pPr>
      <w:r>
        <w:rPr>
          <w:b/>
          <w:color w:val="B45A00"/>
          <w:sz w:val="16"/>
        </w:rPr>
        <w:t>REPERCUSSAO GERAL</w:t>
      </w:r>
    </w:p>
    <w:p>
      <w:pPr>
        <w:ind w:left="288"/>
      </w:pPr>
      <w:r>
        <w:rPr>
          <w:color w:val="8C8C8C"/>
          <w:sz w:val="12"/>
        </w:rPr>
        <w:t>cf-art-14-par-6</w:t>
      </w:r>
      <w:r>
        <w:rPr>
          <w:color w:val="003CA0"/>
          <w:sz w:val="12"/>
        </w:rPr>
        <w:t xml:space="preserve"> | RE 843.455</w:t>
      </w:r>
      <w:r>
        <w:rPr>
          <w:color w:val="003CA0"/>
          <w:sz w:val="12"/>
        </w:rPr>
        <w:t xml:space="preserve"> | rel. Teori Zavascki</w:t>
      </w:r>
    </w:p>
    <w:p>
      <w:pPr>
        <w:ind w:left="288"/>
      </w:pPr>
      <w:r>
        <w:rPr>
          <w:color w:val="1E1E1E"/>
          <w:sz w:val="18"/>
        </w:rPr>
        <w:t>As hipóteses de inelegibilidade previstas no art. 14, § 7º, da Constituição Federal, inclusive quanto ao prazo de seis meses, são aplicáveis às eleições suplementares.</w:t>
      </w:r>
    </w:p>
    <w:p>
      <w:pPr>
        <w:ind w:left="288"/>
      </w:pPr>
      <w:r>
        <w:rPr>
          <w:b/>
          <w:color w:val="003CA0"/>
          <w:sz w:val="16"/>
        </w:rPr>
        <w:t>[RE 843.455, rel. min. Teori Zavascki, j. 7-10-2015, P, DJE de 1º-2-2016, Tema 781, com mérito julgado.]</w:t>
      </w:r>
    </w:p>
    <w:p>
      <w:pPr>
        <w:ind w:left="288"/>
      </w:pPr>
      <w:r>
        <w:rPr>
          <w:color w:val="8C8C8C"/>
          <w:sz w:val="12"/>
        </w:rPr>
        <w:t>cf-art-14-par-6</w:t>
      </w:r>
      <w:r>
        <w:rPr>
          <w:color w:val="003CA0"/>
          <w:sz w:val="12"/>
        </w:rPr>
        <w:t xml:space="preserve"> | RE 758.461</w:t>
      </w:r>
      <w:r>
        <w:rPr>
          <w:color w:val="003CA0"/>
          <w:sz w:val="12"/>
        </w:rPr>
        <w:t xml:space="preserve"> | rel. Teori Zavascki</w:t>
      </w:r>
    </w:p>
    <w:p>
      <w:pPr>
        <w:ind w:left="288"/>
      </w:pPr>
      <w:r>
        <w:rPr>
          <w:color w:val="1E1E1E"/>
          <w:sz w:val="18"/>
        </w:rPr>
        <w:t>O que orientou a edição da Súmula Vinculante 18 e os recentes precedentes do STF foi a preocupação de inibir que a dissolução fraudulenta ou simulada de sociedade conjugal seja utilizada como mecanismo de burla à norma da inelegibilidade reflexa prevista no § 7º do art. 14 da Constituição. Portanto, não atrai a aplicação do entendimento constante da referida súmula a extinção do vínculo conjugal pela morte de um dos cônjuges.</w:t>
      </w:r>
    </w:p>
    <w:p>
      <w:pPr>
        <w:ind w:left="288"/>
      </w:pPr>
      <w:r>
        <w:rPr>
          <w:b/>
          <w:color w:val="003CA0"/>
          <w:sz w:val="16"/>
        </w:rPr>
        <w:t>[RE 758.461, rel. min. Teori Zavascki, j. 22-5-2014, P, DJE de 30-10-2014, Tema 678, com mérito julgado.]</w:t>
      </w:r>
    </w:p>
    <w:p>
      <w:pPr>
        <w:ind w:left="288"/>
      </w:pPr>
      <w:r>
        <w:rPr>
          <w:color w:val="8C8C8C"/>
          <w:sz w:val="12"/>
        </w:rPr>
        <w:t>cf-art-14-par-6</w:t>
      </w:r>
      <w:r>
        <w:rPr>
          <w:color w:val="003CA0"/>
          <w:sz w:val="12"/>
        </w:rPr>
        <w:t xml:space="preserve"> | RE 568.596</w:t>
      </w:r>
      <w:r>
        <w:rPr>
          <w:color w:val="003CA0"/>
          <w:sz w:val="12"/>
        </w:rPr>
        <w:t xml:space="preserve"> | rel. Ricardo Lewandowski</w:t>
      </w:r>
    </w:p>
    <w:p>
      <w:pPr>
        <w:ind w:left="288"/>
      </w:pPr>
      <w:r>
        <w:rPr>
          <w:color w:val="1E1E1E"/>
          <w:sz w:val="18"/>
        </w:rPr>
        <w:t>A dissolução da sociedade conjugal no curso do mandato não afasta a inelegibilidade prevista no art. 14, § 7º, da CF. Se a separação judicial ocorrer em meio à gestão do titular do cargo que gera a vedação, o vínculo de parentesco, para os fins de inelegibilidade, persiste até o término do mandato, inviabilizando a candidatura do ex-cônjuge ao pleito subsequente, na mesma circunscrição, a não ser que aquele se desincompatibilize seis meses antes das eleições.</w:t>
        <w:br/>
        <w:t>[RE 568.596, rel. min. Ricardo Lewandowski, j. 1º-10-2008, P, DJE de 21-11-2008, Tema 61, com mérito julgado.]</w:t>
      </w:r>
    </w:p>
    <w:p>
      <w:pPr>
        <w:ind w:left="144"/>
      </w:pPr>
      <w:r>
        <w:rPr>
          <w:b/>
          <w:color w:val="B45A00"/>
          <w:sz w:val="16"/>
        </w:rPr>
        <w:t>JULGADOS CORRELATOS</w:t>
      </w:r>
    </w:p>
    <w:p>
      <w:pPr>
        <w:ind w:left="288"/>
      </w:pPr>
      <w:r>
        <w:rPr>
          <w:color w:val="8C8C8C"/>
          <w:sz w:val="12"/>
        </w:rPr>
        <w:t>cf-art-14-par-6</w:t>
      </w:r>
      <w:r>
        <w:rPr>
          <w:color w:val="003CA0"/>
          <w:sz w:val="12"/>
        </w:rPr>
        <w:t xml:space="preserve"> | RE 1.128.439</w:t>
      </w:r>
      <w:r>
        <w:rPr>
          <w:color w:val="003CA0"/>
          <w:sz w:val="12"/>
        </w:rPr>
        <w:t xml:space="preserve"> | rel. Celso de Mello</w:t>
      </w:r>
    </w:p>
    <w:p>
      <w:pPr>
        <w:ind w:left="288"/>
      </w:pPr>
      <w:r>
        <w:rPr>
          <w:color w:val="1E1E1E"/>
          <w:sz w:val="18"/>
        </w:rPr>
        <w:t>(...) mesmo na hipótese de mandato-tampão, inexiste tratamento diferenciado em relação ao mandato regular, de tal modo que o recorrente, embora pudesse validamente eleger-se (como se elegeu) Prefeito Municipal em sucessão ao seu cunhado, não podia disputar a reeleição, em virtude da inelegibilidade por parentesco (CF, art. 14, §§ 5º e 7º), em face do descabimento do exercício da Chefia do Poder Executivo local, pela terceira vez consecutiva, por membros integrantes do mesmo grupo familiar.</w:t>
      </w:r>
    </w:p>
    <w:p>
      <w:pPr>
        <w:ind w:left="288"/>
      </w:pPr>
      <w:r>
        <w:rPr>
          <w:b/>
          <w:color w:val="003CA0"/>
          <w:sz w:val="16"/>
        </w:rPr>
        <w:t>[RE 1.128.439 AgR, rel. min. Celso de Mello, j. 23-10-2018, 2ª T, DJE de 14-12-2018.]</w:t>
      </w:r>
    </w:p>
    <w:p>
      <w:pPr>
        <w:ind w:left="288"/>
      </w:pPr>
      <w:r>
        <w:rPr>
          <w:color w:val="8C8C8C"/>
          <w:sz w:val="12"/>
        </w:rPr>
        <w:t>cf-art-14-par-6</w:t>
      </w:r>
      <w:r>
        <w:rPr>
          <w:color w:val="003CA0"/>
          <w:sz w:val="12"/>
        </w:rPr>
        <w:t xml:space="preserve"> | RE 756.073</w:t>
      </w:r>
      <w:r>
        <w:rPr>
          <w:color w:val="003CA0"/>
          <w:sz w:val="12"/>
        </w:rPr>
        <w:t xml:space="preserve"> | rel. Ricardo Lewandowski</w:t>
      </w:r>
    </w:p>
    <w:p>
      <w:pPr>
        <w:ind w:left="288"/>
      </w:pPr>
      <w:r>
        <w:rPr>
          <w:color w:val="1E1E1E"/>
          <w:sz w:val="18"/>
        </w:rPr>
        <w:t>Vide RE 756.073 AgR, rel. min. Ricardo Lewandowski, j. 17-12-2013, 2ª T, DJE de 13-2-2014 O art. 14, § 7º, da Constituição do Brasil deve ser interpretado de maneira a dar eficácia e efetividade aos postulados republicanos e democráticos da Constituição, evitando-se a perpetuidade ou alongada presença de familiares no poder.</w:t>
      </w:r>
    </w:p>
    <w:p>
      <w:pPr>
        <w:ind w:left="288"/>
      </w:pPr>
      <w:r>
        <w:rPr>
          <w:b/>
          <w:color w:val="003CA0"/>
          <w:sz w:val="16"/>
        </w:rPr>
        <w:t>[RE 543.117 AgR, rel. min. Eros Grau, j. 24-6-2008, 2ª T, DJE de 22-8-2008.]</w:t>
      </w:r>
    </w:p>
    <w:p>
      <w:pPr>
        <w:ind w:left="288"/>
      </w:pPr>
      <w:r>
        <w:rPr>
          <w:color w:val="8C8C8C"/>
          <w:sz w:val="12"/>
        </w:rPr>
        <w:t>cf-art-14-par-6</w:t>
      </w:r>
      <w:r>
        <w:rPr>
          <w:color w:val="003CA0"/>
          <w:sz w:val="12"/>
        </w:rPr>
        <w:t xml:space="preserve"> | RE 409.459</w:t>
      </w:r>
      <w:r>
        <w:rPr>
          <w:color w:val="003CA0"/>
          <w:sz w:val="12"/>
        </w:rPr>
        <w:t xml:space="preserve"> | rel. Gilmar Mendes</w:t>
      </w:r>
    </w:p>
    <w:p>
      <w:pPr>
        <w:ind w:left="288"/>
      </w:pPr>
      <w:r>
        <w:rPr>
          <w:color w:val="1E1E1E"/>
          <w:sz w:val="18"/>
        </w:rPr>
        <w:t>Art. 14, § 7º, parte final, da CF. Cláusula de inelegibilidade. Exceção. Interpretação restritiva que alcança, tão somente, os titulares de mandato eletivo e não beneficia os suplentes.</w:t>
      </w:r>
    </w:p>
    <w:p>
      <w:pPr>
        <w:ind w:left="288"/>
      </w:pPr>
      <w:r>
        <w:rPr>
          <w:b/>
          <w:color w:val="003CA0"/>
          <w:sz w:val="16"/>
        </w:rPr>
        <w:t>[RE 409.459, rel. min. Gilmar Mendes, j. 20-4-2004, 2ª T, DJ de 4-6-2004.]</w:t>
      </w:r>
    </w:p>
    <w:p>
      <w:pPr>
        <w:ind w:left="288"/>
      </w:pPr>
      <w:r>
        <w:rPr>
          <w:color w:val="8C8C8C"/>
          <w:sz w:val="12"/>
        </w:rPr>
        <w:t>cf-art-14-par-6</w:t>
      </w:r>
      <w:r>
        <w:rPr>
          <w:color w:val="003CA0"/>
          <w:sz w:val="12"/>
        </w:rPr>
        <w:t xml:space="preserve"> | RE 344.882</w:t>
      </w:r>
      <w:r>
        <w:rPr>
          <w:color w:val="003CA0"/>
          <w:sz w:val="12"/>
        </w:rPr>
        <w:t xml:space="preserve"> | rel. Sepúlveda Pertence</w:t>
      </w:r>
    </w:p>
    <w:p>
      <w:pPr>
        <w:ind w:left="288"/>
      </w:pPr>
      <w:r>
        <w:rPr>
          <w:color w:val="1E1E1E"/>
          <w:sz w:val="18"/>
        </w:rPr>
        <w:t>A evolução do direito eleitoral brasileiro, no campo das inelegibilidades, girou durante décadas em torno do princípio basilar da vedação de reeleição para o período imediato dos titulares do Poder Executivo: regra introduzida, como única previsão constitucional de inelegibilidade, na primeira Carta Política da República (Constituição de 1891, art. 47, § 4º), a proibição se manteve incólume ao advento dos textos posteriores, incluídos os que regeram as fases de mais acendrado autoritarismo (assim, na Carta de 1937, os arts. 75 a 84, embora equívocos, não chegaram à admissão explícita da reelei</w:t>
      </w:r>
    </w:p>
    <w:p>
      <w:pPr>
        <w:ind w:left="288"/>
      </w:pPr>
      <w:r>
        <w:rPr>
          <w:b/>
          <w:color w:val="003CA0"/>
          <w:sz w:val="16"/>
        </w:rPr>
        <w:t>[RE 344.882, rel. min. Sepúlveda Pertence, j. 7-4-2003, P, DJ de 6-8-2004.]</w:t>
      </w:r>
    </w:p>
    <w:p>
      <w:pPr>
        <w:ind w:left="288"/>
      </w:pPr>
      <w:r>
        <w:rPr>
          <w:color w:val="8C8C8C"/>
          <w:sz w:val="12"/>
        </w:rPr>
        <w:t>cf-art-14-par-6</w:t>
      </w:r>
      <w:r>
        <w:rPr>
          <w:color w:val="003CA0"/>
          <w:sz w:val="12"/>
        </w:rPr>
        <w:t xml:space="preserve"> | RE 247.416</w:t>
      </w:r>
      <w:r>
        <w:rPr>
          <w:color w:val="003CA0"/>
          <w:sz w:val="12"/>
        </w:rPr>
        <w:t xml:space="preserve"> | rel. Octavio Gallotti</w:t>
      </w:r>
    </w:p>
    <w:p>
      <w:pPr>
        <w:ind w:left="288"/>
      </w:pPr>
      <w:r>
        <w:rPr>
          <w:color w:val="1E1E1E"/>
          <w:sz w:val="18"/>
        </w:rPr>
        <w:t>É inelegível o filho do prefeito titular que haja exercido por qualquer tempo o mandato no período imediatamente anterior – Constituição, art. 14, § 7º – sem que se possa considerar modificado esse preceito ante a redação dada ao § 5º do mesmo art. 14, pela Emenda 16, de 1997.</w:t>
      </w:r>
    </w:p>
    <w:p>
      <w:pPr>
        <w:ind w:left="288"/>
      </w:pPr>
      <w:r>
        <w:rPr>
          <w:b/>
          <w:color w:val="003CA0"/>
          <w:sz w:val="16"/>
        </w:rPr>
        <w:t>[RE 247.416, rel. min. Octavio Gallotti, j. 29-2-2000, 1ª T, DJ de 31-3-2000.]</w:t>
      </w:r>
    </w:p>
    <w:p>
      <w:pPr>
        <w:ind w:left="288"/>
      </w:pPr>
      <w:r>
        <w:rPr>
          <w:color w:val="8C8C8C"/>
          <w:sz w:val="12"/>
        </w:rPr>
        <w:t>cf-art-14-par-6</w:t>
      </w:r>
      <w:r>
        <w:rPr>
          <w:color w:val="003CA0"/>
          <w:sz w:val="12"/>
        </w:rPr>
        <w:t xml:space="preserve"> | RE 236.948</w:t>
      </w:r>
      <w:r>
        <w:rPr>
          <w:color w:val="003CA0"/>
          <w:sz w:val="12"/>
        </w:rPr>
        <w:t xml:space="preserve"> | rel. Octavio Gallotti</w:t>
      </w:r>
    </w:p>
    <w:p>
      <w:pPr>
        <w:ind w:left="288"/>
      </w:pPr>
      <w:r>
        <w:rPr>
          <w:color w:val="1E1E1E"/>
          <w:sz w:val="18"/>
        </w:rPr>
        <w:t>Inelegibilidade de cunhado de governador (art. 14, § 7º, da Constituição). Condição a ser objetivamente verificada, sem caber a indagação subjetiva, acerca da filiação partidária das pessoas envolvidas, da animosidade ou rivalidade política entre elas prevalecente, bem como dos motivos que haveriam inspirado casamento gerador da afinidade causadora da inelegibilidade.</w:t>
      </w:r>
    </w:p>
    <w:p>
      <w:pPr>
        <w:ind w:left="288"/>
      </w:pPr>
      <w:r>
        <w:rPr>
          <w:b/>
          <w:color w:val="003CA0"/>
          <w:sz w:val="16"/>
        </w:rPr>
        <w:t>[RE 236.948, rel. min. Octavio Gallotti, j. 24-9-1998, P, DJ de 31-8-2001.]</w:t>
      </w:r>
    </w:p>
    <w:p>
      <w:pPr>
        <w:ind w:left="288"/>
      </w:pPr>
      <w:r>
        <w:rPr>
          <w:color w:val="8C8C8C"/>
          <w:sz w:val="12"/>
        </w:rPr>
        <w:t>cf-art-14-par-6</w:t>
      </w:r>
      <w:r>
        <w:rPr>
          <w:color w:val="003CA0"/>
          <w:sz w:val="12"/>
        </w:rPr>
        <w:t xml:space="preserve"> | RE 171.061</w:t>
      </w:r>
      <w:r>
        <w:rPr>
          <w:color w:val="003CA0"/>
          <w:sz w:val="12"/>
        </w:rPr>
        <w:t xml:space="preserve"> | rel. Francisco Rezek</w:t>
      </w:r>
    </w:p>
    <w:p>
      <w:pPr>
        <w:ind w:left="288"/>
      </w:pPr>
      <w:r>
        <w:rPr>
          <w:color w:val="1E1E1E"/>
          <w:sz w:val="18"/>
        </w:rPr>
        <w:t>A causa de inelegibilidade prevista no art. 14, § 7º, da Constituição alcança a cunhada de governador quando concorre a cargo eletivo de Município situado no mesmo Estado.</w:t>
      </w:r>
    </w:p>
    <w:p>
      <w:pPr>
        <w:ind w:left="288"/>
      </w:pPr>
      <w:r>
        <w:rPr>
          <w:b/>
          <w:color w:val="003CA0"/>
          <w:sz w:val="16"/>
        </w:rPr>
        <w:t>[RE 171.061, rel. min. Francisco Rezek, j. 2-3-1994, P, DJ de 25-8-1995.]</w:t>
      </w:r>
    </w:p>
    <w:p>
      <w:pPr>
        <w:ind w:left="288"/>
      </w:pPr>
      <w:r>
        <w:rPr>
          <w:color w:val="8C8C8C"/>
          <w:sz w:val="12"/>
        </w:rPr>
        <w:t>cf-art-14-par-6</w:t>
      </w:r>
      <w:r>
        <w:rPr>
          <w:color w:val="003CA0"/>
          <w:sz w:val="12"/>
        </w:rPr>
        <w:t xml:space="preserve"> | RE 158.314</w:t>
      </w:r>
      <w:r>
        <w:rPr>
          <w:color w:val="003CA0"/>
          <w:sz w:val="12"/>
        </w:rPr>
        <w:t xml:space="preserve"> | rel. Celso de Mello</w:t>
      </w:r>
    </w:p>
    <w:p>
      <w:pPr>
        <w:ind w:left="288"/>
      </w:pPr>
      <w:r>
        <w:rPr>
          <w:color w:val="1E1E1E"/>
          <w:sz w:val="18"/>
        </w:rPr>
        <w:t>É inelegível para o cargo de prefeito de Município resultante de desmembramento territorial o irmão do atual chefe do Poder Executivo do município-mãe. O regime jurídico das inelegibilidades comporta interpretação construtiva dos preceitos que lhe compõem a estrutura normativa. Disso resulta a plena validade da exegese que, norteada por parâmetros axiológicos consagrados pela própria Constituição, visa a impedir que se formem grupos hegemônicos nas instâncias políticas locais. O primado da ideia republicana – cujo fundamento ético-político repousa no exercício do regime democrático e no postul</w:t>
      </w:r>
    </w:p>
    <w:p>
      <w:pPr>
        <w:ind w:left="288"/>
      </w:pPr>
      <w:r>
        <w:rPr>
          <w:b/>
          <w:color w:val="003CA0"/>
          <w:sz w:val="16"/>
        </w:rPr>
        <w:t>[RE 158.314, rel. min. Celso de Mello, j. 15-12-1992, 1ª T, DJ de 12-2-1993.]</w:t>
      </w:r>
    </w:p>
    <w:p>
      <w:pPr>
        <w:ind w:left="144"/>
      </w:pPr>
      <w:r>
        <w:rPr>
          <w:b/>
          <w:color w:val="B45A00"/>
          <w:sz w:val="16"/>
        </w:rPr>
        <w:t>CONTROLE CONCENTRADO</w:t>
      </w:r>
    </w:p>
    <w:p>
      <w:pPr>
        <w:ind w:left="288"/>
      </w:pPr>
      <w:r>
        <w:rPr>
          <w:color w:val="8C8C8C"/>
          <w:sz w:val="12"/>
        </w:rPr>
        <w:t>cf-art-14-par-8</w:t>
      </w:r>
      <w:r>
        <w:rPr>
          <w:color w:val="003CA0"/>
          <w:sz w:val="12"/>
        </w:rPr>
        <w:t xml:space="preserve"> | ADI 1.381</w:t>
      </w:r>
      <w:r>
        <w:rPr>
          <w:color w:val="003CA0"/>
          <w:sz w:val="12"/>
        </w:rPr>
        <w:t xml:space="preserve"> | rel. Dias Toffoli</w:t>
      </w:r>
    </w:p>
    <w:p>
      <w:pPr>
        <w:ind w:left="288"/>
      </w:pPr>
      <w:r>
        <w:rPr>
          <w:color w:val="1E1E1E"/>
          <w:sz w:val="18"/>
        </w:rPr>
        <w:t>Lei estadual 5.729/1995. (...) Elegibilidade do policial militar. Matéria de direito eleitoral. Competência legislativa da União (CF, art. 22, I, e art. 14, § 8º). (...) A Lei estadual 5.729/1995 ofendeu (...) o conteúdo material do art. 14, § 8º, da Constituição, quando previu hipóteses i) de retorno ao serviço de policial militar que tenha assumido cargo público eletivo e ii) de opção pela fonte de remuneração.</w:t>
      </w:r>
    </w:p>
    <w:p>
      <w:pPr>
        <w:ind w:left="288"/>
      </w:pPr>
      <w:r>
        <w:rPr>
          <w:b/>
          <w:color w:val="003CA0"/>
          <w:sz w:val="16"/>
        </w:rPr>
        <w:t>[ADI 1.381, rel. min. Dias Toffoli, j. 21-8-2014, P, DJE de 9-10-2014.]</w:t>
      </w:r>
    </w:p>
    <w:p>
      <w:pPr>
        <w:ind w:left="144"/>
      </w:pPr>
      <w:r>
        <w:rPr>
          <w:b/>
          <w:color w:val="B45A00"/>
          <w:sz w:val="16"/>
        </w:rPr>
        <w:t>JULGADOS CORRELATOS</w:t>
      </w:r>
    </w:p>
    <w:p>
      <w:pPr>
        <w:ind w:left="288"/>
      </w:pPr>
      <w:r>
        <w:rPr>
          <w:color w:val="8C8C8C"/>
          <w:sz w:val="12"/>
        </w:rPr>
        <w:t>cf-art-14-par-8-inc-I</w:t>
      </w:r>
      <w:r>
        <w:rPr>
          <w:color w:val="003CA0"/>
          <w:sz w:val="12"/>
        </w:rPr>
        <w:t xml:space="preserve"> | RE 279.469</w:t>
      </w:r>
    </w:p>
    <w:p>
      <w:pPr>
        <w:ind w:left="288"/>
      </w:pPr>
      <w:r>
        <w:rPr>
          <w:color w:val="1E1E1E"/>
          <w:sz w:val="18"/>
        </w:rPr>
        <w:t>Diversamente do que sucede ao militar com mais de dez anos de serviço, deve afastar-se definitivamente da atividade o servidor militar que, contando menos de dez anos de serviço, pretenda candidatar-se a cargo eletivo.</w:t>
      </w:r>
    </w:p>
    <w:p>
      <w:pPr>
        <w:ind w:left="288"/>
      </w:pPr>
      <w:r>
        <w:rPr>
          <w:b/>
          <w:color w:val="003CA0"/>
          <w:sz w:val="16"/>
        </w:rPr>
        <w:t>[RE 279.469, red. do ac. min. Cezar Peluso, j. 16-3-2011, P, DJE de 20-6-2011.]</w:t>
      </w:r>
    </w:p>
    <w:p>
      <w:pPr>
        <w:ind w:left="288"/>
      </w:pPr>
      <w:r>
        <w:rPr>
          <w:color w:val="8C8C8C"/>
          <w:sz w:val="12"/>
        </w:rPr>
        <w:t>cf-art-14-par-8-inc-II</w:t>
      </w:r>
      <w:r>
        <w:rPr>
          <w:color w:val="003CA0"/>
          <w:sz w:val="12"/>
        </w:rPr>
        <w:t xml:space="preserve"> | RE 1.452.937</w:t>
      </w:r>
      <w:r>
        <w:rPr>
          <w:color w:val="003CA0"/>
          <w:sz w:val="12"/>
        </w:rPr>
        <w:t xml:space="preserve"> | rel. Gilmar Mendes</w:t>
      </w:r>
    </w:p>
    <w:p>
      <w:pPr>
        <w:ind w:left="288"/>
      </w:pPr>
      <w:r>
        <w:rPr>
          <w:color w:val="1E1E1E"/>
          <w:sz w:val="18"/>
        </w:rPr>
        <w:t>Dispositivos legais que permitem o retorno de militares ao serviço da ativa após o encerramento de mandato eletivo. (...) Desrespeito ao art. 14, § 8º, da CF/88. Militares com mais de dez anos de serviço: afastamento definitivo, automaticamente, no ato da diplomação. Inadmissibilidade de retorno às atividades militares após o encerramento do mandato eletivo. Impedimento de politização e partidarização das forças militares.</w:t>
        <w:br/>
        <w:t>[RE 1.452.937 AgR-segundo, rel. min. Gilmar Mendes, j. 15.04.2024, P, DJE de 26.04.2024.] Longe fica de contrariar o inciso II do § 8º do art. 14 da CF provimento que impliq</w:t>
      </w:r>
    </w:p>
    <w:p>
      <w:pPr>
        <w:ind w:left="288"/>
      </w:pPr>
      <w:r>
        <w:rPr>
          <w:b/>
          <w:color w:val="003CA0"/>
          <w:sz w:val="16"/>
        </w:rPr>
        <w:t>[AI 189.907 AgR, rel. min. Marco Aurélio, j. 29-9-1997, 2ª T, DJ de 21-11-1997.]</w:t>
      </w:r>
    </w:p>
    <w:p>
      <w:pPr>
        <w:ind w:left="288"/>
      </w:pPr>
      <w:r>
        <w:rPr>
          <w:color w:val="8C8C8C"/>
          <w:sz w:val="12"/>
        </w:rPr>
        <w:t>cf-art-14-par-8-inc-II</w:t>
      </w:r>
      <w:r>
        <w:rPr>
          <w:color w:val="003CA0"/>
          <w:sz w:val="12"/>
        </w:rPr>
        <w:t xml:space="preserve"> | AI 135.452</w:t>
      </w:r>
      <w:r>
        <w:rPr>
          <w:color w:val="003CA0"/>
          <w:sz w:val="12"/>
        </w:rPr>
        <w:t xml:space="preserve"> | rel. Carlos Velloso</w:t>
      </w:r>
    </w:p>
    <w:p>
      <w:pPr>
        <w:ind w:left="288"/>
      </w:pPr>
      <w:r>
        <w:rPr>
          <w:color w:val="1E1E1E"/>
          <w:sz w:val="18"/>
        </w:rPr>
        <w:t>Militar da ativa (sargento) com mais de dez anos de serviço. Elegibilidade. Filiação partidária. (...) Se o militar da ativa é alistável, é ele elegível (CF, art. 14, § 8º). Porque não pode ele filiar-se a partido político (...), a filiação partidária não lhe é exigível como condição de elegibilidade, certo que somente a partir do registro da candidatura é que será agregado (CF, art. 14, § 8º, II; Código Eleitoral, art. 5º, parágrafo único; Lei 6.880, de 1980, art. 82, XIV, § 4º).</w:t>
      </w:r>
    </w:p>
    <w:p>
      <w:pPr>
        <w:ind w:left="288"/>
      </w:pPr>
      <w:r>
        <w:rPr>
          <w:b/>
          <w:color w:val="003CA0"/>
          <w:sz w:val="16"/>
        </w:rPr>
        <w:t>[AI 135.452, rel. min. Carlos Velloso, j. 20-9-1990, P, DJ de 14-6-1991.]</w:t>
      </w:r>
    </w:p>
    <w:p>
      <w:pPr>
        <w:ind w:left="288"/>
      </w:pPr>
      <w:r>
        <w:rPr>
          <w:color w:val="8C8C8C"/>
          <w:sz w:val="12"/>
        </w:rPr>
        <w:t>cf-art-14-par-8-inc-II</w:t>
      </w:r>
    </w:p>
    <w:p>
      <w:pPr>
        <w:ind w:left="288"/>
      </w:pPr>
      <w:r>
        <w:rPr>
          <w:color w:val="1E1E1E"/>
          <w:sz w:val="18"/>
        </w:rPr>
        <w:t>§ 9º Lei complementar estabelecerá outros casos de inelegibilidade e os prazos de sua cessação, a fim de proteger a probidade administrativa, a moralidade para exercício de mandato considerada vida pregressa do candidato, e a normalidade e legitimidade das eleições contra a influência do poder econômico ou o abuso do exercício de função, cargo ou emprego na administração direta ou indireta. (Redação da ECR n. 4/1994)</w:t>
      </w:r>
    </w:p>
    <w:p>
      <w:pPr>
        <w:ind w:left="144"/>
      </w:pPr>
      <w:r>
        <w:rPr>
          <w:b/>
          <w:color w:val="B45A00"/>
          <w:sz w:val="16"/>
        </w:rPr>
        <w:t>CONTROLE CONCENTRADO</w:t>
      </w:r>
    </w:p>
    <w:p>
      <w:pPr>
        <w:ind w:left="288"/>
      </w:pPr>
      <w:r>
        <w:rPr>
          <w:color w:val="8C8C8C"/>
          <w:sz w:val="12"/>
        </w:rPr>
        <w:t>cf-art-14-par-8-inc-II</w:t>
      </w:r>
      <w:r>
        <w:rPr>
          <w:color w:val="003CA0"/>
          <w:sz w:val="12"/>
        </w:rPr>
        <w:t xml:space="preserve"> | ADI 4.532</w:t>
      </w:r>
      <w:r>
        <w:rPr>
          <w:color w:val="003CA0"/>
          <w:sz w:val="12"/>
        </w:rPr>
        <w:t xml:space="preserve"> | rel. Dias Toffoli</w:t>
      </w:r>
    </w:p>
    <w:p>
      <w:pPr>
        <w:ind w:left="288"/>
      </w:pPr>
      <w:r>
        <w:rPr>
          <w:color w:val="1E1E1E"/>
          <w:sz w:val="18"/>
        </w:rPr>
        <w:t>A consequência prevista no § 2º do art. 30-A da Lei nº 9.504/97 cinge-se à negativa do diploma ou à sua cassação, caso já expedido, o que não caracteriza sanção de natureza pessoal, porquanto o bem jurídico protegido pela norma abrange princípios da lisura do processo eleitoral e da isonomia entre os candidatos. 5. Diversa é a situação dos candidatos não eleitos, os quais são igualmente obrigados a prestar contas, sob pena de terem restringidos seus direitos políticos por meio da privação da certidão de quitação eleitoral (Lei nº 9.504-87, art. 11, § 7º) sofrendo, portanto, efeitos distintos d</w:t>
      </w:r>
    </w:p>
    <w:p>
      <w:pPr>
        <w:ind w:left="288"/>
      </w:pPr>
      <w:r>
        <w:rPr>
          <w:b/>
          <w:color w:val="003CA0"/>
          <w:sz w:val="16"/>
        </w:rPr>
        <w:t>[ADI 4.532, rel. min. Dias Toffoli, j. 26-11-2022, P, DJE de 10-1-2023.]</w:t>
      </w:r>
    </w:p>
    <w:p>
      <w:pPr>
        <w:ind w:left="288"/>
      </w:pPr>
      <w:r>
        <w:rPr>
          <w:color w:val="8C8C8C"/>
          <w:sz w:val="12"/>
        </w:rPr>
        <w:t>cf-art-14-par-8-inc-II</w:t>
      </w:r>
      <w:r>
        <w:rPr>
          <w:color w:val="003CA0"/>
          <w:sz w:val="12"/>
        </w:rPr>
        <w:t xml:space="preserve"> | ADI 6.359</w:t>
      </w:r>
      <w:r>
        <w:rPr>
          <w:color w:val="003CA0"/>
          <w:sz w:val="12"/>
        </w:rPr>
        <w:t xml:space="preserve"> | rel. Rosa Weber</w:t>
      </w:r>
    </w:p>
    <w:p>
      <w:pPr>
        <w:ind w:left="288"/>
      </w:pPr>
      <w:r>
        <w:rPr>
          <w:color w:val="1E1E1E"/>
          <w:sz w:val="18"/>
        </w:rPr>
        <w:t xml:space="preserve">Inadequação da espécie, sequer demonstrado de forma satisfatória que o parâmetro fático-social decorrente da implementação das medidas de enfrentamento à pandemia da COVID-19 ora traduza situação justificadora da suspensão de direito objetivo cuja validade não está em jogo sob outro prisma. Inocorrência de afronta ao princípio democrático e à soberania popular. A existência perene do regime democrático é assegurada pela reverência às regras conformadoras dos ritos e procedimentos que lhe são ínsitos e prazos como o de desincompatibilização não são meras formalidades, eis que visam a assegurar </w:t>
      </w:r>
    </w:p>
    <w:p>
      <w:pPr>
        <w:ind w:left="288"/>
      </w:pPr>
      <w:r>
        <w:rPr>
          <w:b/>
          <w:color w:val="003CA0"/>
          <w:sz w:val="16"/>
        </w:rPr>
        <w:t>[ADI 6.359 MC REF, rel. min. Rosa Weber, j. 14-5-2020, P, DJE de 10-11-2020.]</w:t>
      </w:r>
    </w:p>
    <w:p>
      <w:pPr>
        <w:ind w:left="288"/>
      </w:pPr>
      <w:r>
        <w:rPr>
          <w:color w:val="8C8C8C"/>
          <w:sz w:val="12"/>
        </w:rPr>
        <w:t>cf-art-14-par-8-inc-II</w:t>
      </w:r>
      <w:r>
        <w:rPr>
          <w:color w:val="003CA0"/>
          <w:sz w:val="12"/>
        </w:rPr>
        <w:t xml:space="preserve"> | ADC 29</w:t>
      </w:r>
      <w:r>
        <w:rPr>
          <w:color w:val="003CA0"/>
          <w:sz w:val="12"/>
        </w:rPr>
        <w:t xml:space="preserve"> | rel. Luiz Fux</w:t>
      </w:r>
    </w:p>
    <w:p>
      <w:pPr>
        <w:ind w:left="288"/>
      </w:pPr>
      <w:r>
        <w:rPr>
          <w:color w:val="1E1E1E"/>
          <w:sz w:val="18"/>
        </w:rPr>
        <w:t>A elegibilidade é a adequação do indivíduo ao regime jurídico – constitucional e legal complementar – do processo eleitoral, razão pela qual a aplicação da LC 135/2010 com a consideração de fatos anteriores não pode ser capitulada na retroatividade vedada pelo art. 5º, XXXV, da Constituição, mercê de incabível a invocação de direito adquirido ou de autoridade da coisa julgada (que opera sob o pálio da cláusula rebus sic stantibus) anteriormente ao pleito em oposição ao diploma legal retromencionado; subjaz a mera adequação ao sistema normativo pretérito (expectativa de direito). A razoabilidad</w:t>
      </w:r>
    </w:p>
    <w:p>
      <w:pPr>
        <w:ind w:left="288"/>
      </w:pPr>
      <w:r>
        <w:rPr>
          <w:b/>
          <w:color w:val="003CA0"/>
          <w:sz w:val="16"/>
        </w:rPr>
        <w:t>[ADC 29, ADC 30 e ADI 4.578, rel. min. Luiz Fux, j. 16-2-2012, P, DJE de 29-6-2012.]</w:t>
      </w:r>
    </w:p>
    <w:p>
      <w:pPr>
        <w:ind w:left="288"/>
      </w:pPr>
      <w:r>
        <w:rPr>
          <w:color w:val="8C8C8C"/>
          <w:sz w:val="12"/>
        </w:rPr>
        <w:t>cf-art-14-par-8-inc-II</w:t>
      </w:r>
      <w:r>
        <w:rPr>
          <w:color w:val="003CA0"/>
          <w:sz w:val="12"/>
        </w:rPr>
        <w:t xml:space="preserve"> | ADI 3.592</w:t>
      </w:r>
      <w:r>
        <w:rPr>
          <w:color w:val="003CA0"/>
          <w:sz w:val="12"/>
        </w:rPr>
        <w:t xml:space="preserve"> | rel. Gilmar Mendes</w:t>
      </w:r>
    </w:p>
    <w:p>
      <w:pPr>
        <w:ind w:left="288"/>
      </w:pPr>
      <w:r>
        <w:rPr>
          <w:color w:val="1E1E1E"/>
          <w:sz w:val="18"/>
        </w:rPr>
        <w:t>Art. 41-A da Lei 9.504/1997. Captação de sufrágio. As sanções de cassação do registro ou do diploma previstas pelo art. 41-A da Lei 9.504/1997 não constituem novas hipóteses de inelegibilidade.</w:t>
      </w:r>
    </w:p>
    <w:p>
      <w:pPr>
        <w:ind w:left="288"/>
      </w:pPr>
      <w:r>
        <w:rPr>
          <w:b/>
          <w:color w:val="003CA0"/>
          <w:sz w:val="16"/>
        </w:rPr>
        <w:t>[ADI 3.592, rel. min. Gilmar Mendes, j. 26-10-2006, P, DJ de 2-2-2007.]</w:t>
      </w:r>
    </w:p>
    <w:p>
      <w:pPr>
        <w:ind w:left="288"/>
      </w:pPr>
      <w:r>
        <w:rPr>
          <w:color w:val="8C8C8C"/>
          <w:sz w:val="12"/>
        </w:rPr>
        <w:t>cf-art-14-par-8-inc-II</w:t>
      </w:r>
      <w:r>
        <w:rPr>
          <w:color w:val="003CA0"/>
          <w:sz w:val="12"/>
        </w:rPr>
        <w:t xml:space="preserve"> | AI 660.024</w:t>
      </w:r>
      <w:r>
        <w:rPr>
          <w:color w:val="003CA0"/>
          <w:sz w:val="12"/>
        </w:rPr>
        <w:t xml:space="preserve"> | rel. Joaquim Barbosa</w:t>
      </w:r>
    </w:p>
    <w:p>
      <w:pPr>
        <w:ind w:left="288"/>
      </w:pPr>
      <w:r>
        <w:rPr>
          <w:color w:val="1E1E1E"/>
          <w:sz w:val="18"/>
        </w:rPr>
        <w:t>= AI 660.024 AgR, rel. min. Joaquim Barbosa, j. 25-9-2012, 2ª T, DJE de 7-12-2012 O domicílio eleitoral na circunscrição e a filiação partidária, constituindo condições de elegibilidade (CF, art. 14, § 3º), revelam-se passíveis de válida disciplinação mediante simples lei ordinária. Os requisitos de elegibilidade não se confundem, no plano jurídico-conceitual, com as hipóteses de inelegibilidade, cuja definição – além das situações já previstas diretamente pelo próprio texto constitucional (CF, art. 14, § 5º a § 8º) – só pode derivar de norma inscrita em lei complementar (CF, art. 14, § 9º).</w:t>
      </w:r>
    </w:p>
    <w:p>
      <w:pPr>
        <w:ind w:left="288"/>
      </w:pPr>
      <w:r>
        <w:rPr>
          <w:b/>
          <w:color w:val="003CA0"/>
          <w:sz w:val="16"/>
        </w:rPr>
        <w:t>[ADI 1.063 MC, rel. min. Celso de Mello, j. 18-5-1994, P, DJ de 27-4-2001.]</w:t>
      </w:r>
    </w:p>
    <w:p>
      <w:pPr>
        <w:ind w:left="288"/>
      </w:pPr>
      <w:r>
        <w:rPr>
          <w:color w:val="8C8C8C"/>
          <w:sz w:val="12"/>
        </w:rPr>
        <w:t>cf-art-14-par-8-inc-II</w:t>
      </w:r>
      <w:r>
        <w:rPr>
          <w:color w:val="003CA0"/>
          <w:sz w:val="12"/>
        </w:rPr>
        <w:t xml:space="preserve"> | ADI 1.057</w:t>
      </w:r>
      <w:r>
        <w:rPr>
          <w:color w:val="003CA0"/>
          <w:sz w:val="12"/>
        </w:rPr>
        <w:t xml:space="preserve"> | rel. Celso de Mello</w:t>
      </w:r>
    </w:p>
    <w:p>
      <w:pPr>
        <w:ind w:left="288"/>
      </w:pPr>
      <w:r>
        <w:rPr>
          <w:color w:val="1E1E1E"/>
          <w:sz w:val="18"/>
        </w:rPr>
        <w:t>As condições de elegibilidade (CF, art. 14, § 3º) e as hipóteses de inelegibilidade (CF, art. 14, § 4º a § 8º), inclusive aquelas decorrentes de legislação complementar (CF, art. 14, § 9º),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pPr>
        <w:ind w:left="288"/>
      </w:pPr>
      <w:r>
        <w:rPr>
          <w:b/>
          <w:color w:val="003CA0"/>
          <w:sz w:val="16"/>
        </w:rPr>
        <w:t>[ADI 1.057 MC, rel. min. Celso de Mello, j. 20-4-1994, P, DJ de 6-4-2001.]</w:t>
      </w:r>
    </w:p>
    <w:p>
      <w:pPr>
        <w:ind w:left="144"/>
      </w:pPr>
      <w:r>
        <w:rPr>
          <w:b/>
          <w:color w:val="B45A00"/>
          <w:sz w:val="16"/>
        </w:rPr>
        <w:t>REPERCUSSAO GERAL</w:t>
      </w:r>
    </w:p>
    <w:p>
      <w:pPr>
        <w:ind w:left="288"/>
      </w:pPr>
      <w:r>
        <w:rPr>
          <w:color w:val="8C8C8C"/>
          <w:sz w:val="12"/>
        </w:rPr>
        <w:t>cf-art-14-par-8-inc-II</w:t>
      </w:r>
      <w:r>
        <w:rPr>
          <w:color w:val="003CA0"/>
          <w:sz w:val="12"/>
        </w:rPr>
        <w:t xml:space="preserve"> | RE 929.670</w:t>
      </w:r>
    </w:p>
    <w:p>
      <w:pPr>
        <w:ind w:left="288"/>
      </w:pPr>
      <w:r>
        <w:rPr>
          <w:color w:val="1E1E1E"/>
          <w:sz w:val="18"/>
        </w:rPr>
        <w:t>A condenação por abuso do poder econômico ou político em ação de investigação judicial eleitoral transitada em julgado, ex vi do art. 22, XIV, da LC 64/90, em sua redação primitiva, é apta a atrair a incidência da inelegibilidade do art. 1º, inciso I, alínea d, na redação dada pela LC nº 135/2010, aplicando-se a todos os processos de registro de candidatura em trâmite”.</w:t>
      </w:r>
    </w:p>
    <w:p>
      <w:pPr>
        <w:ind w:left="288"/>
      </w:pPr>
      <w:r>
        <w:rPr>
          <w:b/>
          <w:color w:val="003CA0"/>
          <w:sz w:val="16"/>
        </w:rPr>
        <w:t>[RE 929.670, red. do ac. min. Luiz Fux, j. 1º-3-2018, P, DJE de 12-4-2019, Tema 860, com mérito julgado.]</w:t>
      </w:r>
    </w:p>
    <w:p>
      <w:pPr>
        <w:ind w:left="144"/>
      </w:pPr>
      <w:r>
        <w:rPr>
          <w:b/>
          <w:color w:val="B45A00"/>
          <w:sz w:val="16"/>
        </w:rPr>
        <w:t>JULGADOS CORRELATOS</w:t>
      </w:r>
    </w:p>
    <w:p>
      <w:pPr>
        <w:ind w:left="288"/>
      </w:pPr>
      <w:r>
        <w:rPr>
          <w:color w:val="8C8C8C"/>
          <w:sz w:val="12"/>
        </w:rPr>
        <w:t>cf-art-14-par-8-inc-II</w:t>
      </w:r>
      <w:r>
        <w:rPr>
          <w:color w:val="003CA0"/>
          <w:sz w:val="12"/>
        </w:rPr>
        <w:t xml:space="preserve"> | AC 2.763</w:t>
      </w:r>
      <w:r>
        <w:rPr>
          <w:color w:val="003CA0"/>
          <w:sz w:val="12"/>
        </w:rPr>
        <w:t xml:space="preserve"> | rel. Celso de Mello</w:t>
      </w:r>
    </w:p>
    <w:p>
      <w:pPr>
        <w:ind w:left="288"/>
      </w:pPr>
      <w:r>
        <w:rPr>
          <w:color w:val="1E1E1E"/>
          <w:sz w:val="18"/>
        </w:rPr>
        <w:t>A perda da elegibilidade constitui situação impregnada de caráter excepcional, pois inibe o exercício da cidadania passiva, comprometendo a prática da liberdade em sua dimensão política, eis que impede o cidadão de ter efetiva participação na regência e na condução do aparelho governamental.</w:t>
      </w:r>
    </w:p>
    <w:p>
      <w:pPr>
        <w:ind w:left="288"/>
      </w:pPr>
      <w:r>
        <w:rPr>
          <w:b/>
          <w:color w:val="003CA0"/>
          <w:sz w:val="16"/>
        </w:rPr>
        <w:t>[AC 2.763 MC, rel. min. Celso de Mello, j. 16-12-2010, dec. monocrática, DJE de 1º-2-2011.]</w:t>
      </w:r>
    </w:p>
    <w:p>
      <w:pPr>
        <w:ind w:left="288"/>
      </w:pPr>
      <w:r>
        <w:rPr>
          <w:color w:val="8C8C8C"/>
          <w:sz w:val="12"/>
        </w:rPr>
        <w:t>cf-art-14-par-8-inc-II</w:t>
      </w:r>
    </w:p>
    <w:p>
      <w:pPr>
        <w:ind w:left="288"/>
      </w:pPr>
      <w:r>
        <w:rPr>
          <w:color w:val="1E1E1E"/>
          <w:sz w:val="18"/>
        </w:rPr>
        <w:t>§ 10. O mandato eletivo poderá ser impugnado ante a Justiça Eleitoral no prazo de quinze dias contados da diplomação, instruída a ação com provas de abuso do poder econômico, corrupção ou fraude.</w:t>
      </w:r>
    </w:p>
    <w:p>
      <w:pPr>
        <w:ind w:left="144"/>
      </w:pPr>
      <w:r>
        <w:rPr>
          <w:b/>
          <w:color w:val="B45A00"/>
          <w:sz w:val="16"/>
        </w:rPr>
        <w:t>CONTROLE CONCENTRADO</w:t>
      </w:r>
    </w:p>
    <w:p>
      <w:pPr>
        <w:ind w:left="288"/>
      </w:pPr>
      <w:r>
        <w:rPr>
          <w:color w:val="8C8C8C"/>
          <w:sz w:val="12"/>
        </w:rPr>
        <w:t>cf-art-14-par-8-inc-II</w:t>
      </w:r>
      <w:r>
        <w:rPr>
          <w:color w:val="003CA0"/>
          <w:sz w:val="12"/>
        </w:rPr>
        <w:t xml:space="preserve"> | ADI 3.592</w:t>
      </w:r>
      <w:r>
        <w:rPr>
          <w:color w:val="003CA0"/>
          <w:sz w:val="12"/>
        </w:rPr>
        <w:t xml:space="preserve"> | rel. Gilmar Mendes</w:t>
      </w:r>
    </w:p>
    <w:p>
      <w:pPr>
        <w:ind w:left="288"/>
      </w:pPr>
      <w:r>
        <w:rPr>
          <w:color w:val="1E1E1E"/>
          <w:sz w:val="18"/>
        </w:rPr>
        <w:t>Ação direta de inconstitucionalidade. Art. 41-A da Lei 9.504/1997. Captação de sufrágio. As sanções de cassação do registro ou do diploma previstas pelo art. 41-A da Lei 9.504/1997 não constituem novas hipóteses de inelegibilidade. A captação ilícita de sufrágio é apurada por meio de representação processada de acordo com o art. 22,  I a XIII, da LC 64/1990, que não se confunde com a ação de investigação judicial eleitoral, nem com a ação de impugnação de mandato eletivo, pois não implica a declaração de inelegibilidade, mas apenas a cassação do registro ou do diploma. A representação para apu</w:t>
      </w:r>
    </w:p>
    <w:p>
      <w:pPr>
        <w:ind w:left="288"/>
      </w:pPr>
      <w:r>
        <w:rPr>
          <w:b/>
          <w:color w:val="003CA0"/>
          <w:sz w:val="16"/>
        </w:rPr>
        <w:t>[ADI 3.592, rel. min. Gilmar Mendes, j. 26-10-2006, P, DJ de 2-2-2007.]</w:t>
      </w:r>
    </w:p>
    <w:p>
      <w:pPr>
        <w:ind w:left="288"/>
      </w:pPr>
      <w:r>
        <w:rPr>
          <w:color w:val="8C8C8C"/>
          <w:sz w:val="12"/>
        </w:rPr>
        <w:t>cf-art-14-par-8-inc-II</w:t>
      </w:r>
      <w:r>
        <w:rPr>
          <w:color w:val="003CA0"/>
          <w:sz w:val="12"/>
        </w:rPr>
        <w:t xml:space="preserve"> | AI 660.024</w:t>
      </w:r>
      <w:r>
        <w:rPr>
          <w:color w:val="003CA0"/>
          <w:sz w:val="12"/>
        </w:rPr>
        <w:t xml:space="preserve"> | rel. Joaquim Barbosa</w:t>
      </w:r>
    </w:p>
    <w:p>
      <w:pPr>
        <w:ind w:left="288"/>
      </w:pPr>
      <w:r>
        <w:rPr>
          <w:color w:val="1E1E1E"/>
          <w:sz w:val="18"/>
        </w:rPr>
        <w:t>= AI 660.024 AgR, rel. min. Joaquim Barbosa, j. 25-9-2012, 2ª T, DJE de 7-12-2012 § 11.  A ação de impugnação de mandato tramitará em segredo de justiça, respondendo o autor, na forma da lei, se temerária ou de manifesta má-fé.</w:t>
      </w:r>
    </w:p>
    <w:p>
      <w:pPr>
        <w:ind w:left="432"/>
      </w:pPr>
      <w:r>
        <w:rPr>
          <w:color w:val="003366"/>
          <w:sz w:val="18"/>
        </w:rPr>
        <w:t>§ 1 A instalação dos Estados dar-se-á com a posse dos governadores eleitos em 19</w:t>
      </w:r>
    </w:p>
    <w:p>
      <w:pPr>
        <w:ind w:left="432"/>
      </w:pPr>
      <w:r>
        <w:rPr>
          <w:color w:val="003366"/>
          <w:sz w:val="18"/>
        </w:rPr>
        <w:t>§ 2 Aplicam-se à transformação e instalação dos Estados de Roraima e Amapá as no</w:t>
      </w:r>
    </w:p>
    <w:p>
      <w:pPr>
        <w:ind w:left="432"/>
      </w:pPr>
      <w:r>
        <w:rPr>
          <w:color w:val="003366"/>
          <w:sz w:val="18"/>
        </w:rPr>
        <w:t>§ 3 O Presidente da República, até quarenta e cinco dias após a promulgação da C</w:t>
      </w:r>
    </w:p>
    <w:p>
      <w:pPr>
        <w:ind w:left="432"/>
      </w:pPr>
      <w:r>
        <w:rPr>
          <w:color w:val="003366"/>
          <w:sz w:val="18"/>
        </w:rPr>
        <w:t>§ 4 Enquanto não concretizada a transformação em Estados, nos termos deste artig</w:t>
      </w:r>
    </w:p>
    <w:p>
      <w:r>
        <w:rPr>
          <w:b/>
          <w:color w:val="003366"/>
          <w:sz w:val="20"/>
        </w:rPr>
        <w:t>Art. 15 Fica extinto o Território Federal de Fernando de Noronha, sendo sua área</w:t>
      </w:r>
      <w:r>
        <w:rPr>
          <w:color w:val="8C8C8C"/>
          <w:sz w:val="14"/>
        </w:rPr>
        <w:t xml:space="preserve">  [6 decisoes]</w:t>
      </w:r>
    </w:p>
    <w:p>
      <w:pPr>
        <w:ind w:left="144"/>
      </w:pPr>
      <w:r>
        <w:rPr>
          <w:b/>
          <w:color w:val="B45A00"/>
          <w:sz w:val="16"/>
        </w:rPr>
        <w:t>CONTROLE CONCENTRADO</w:t>
      </w:r>
    </w:p>
    <w:p>
      <w:pPr>
        <w:ind w:left="288"/>
      </w:pPr>
      <w:r>
        <w:rPr>
          <w:color w:val="8C8C8C"/>
          <w:sz w:val="12"/>
        </w:rPr>
        <w:t>cf-art-15-inc-III</w:t>
      </w:r>
      <w:r>
        <w:rPr>
          <w:color w:val="003CA0"/>
          <w:sz w:val="12"/>
        </w:rPr>
        <w:t xml:space="preserve"> | ADC 29</w:t>
      </w:r>
      <w:r>
        <w:rPr>
          <w:color w:val="003CA0"/>
          <w:sz w:val="12"/>
        </w:rPr>
        <w:t xml:space="preserve"> | rel. Luiz Fux</w:t>
      </w:r>
    </w:p>
    <w:p>
      <w:pPr>
        <w:ind w:left="288"/>
      </w:pPr>
      <w:r>
        <w:rPr>
          <w:color w:val="1E1E1E"/>
          <w:sz w:val="18"/>
        </w:rPr>
        <w:t>A inelegibilidade tem as suas causas previstas nos §§ 4º a 9º do art. 14 da Carta Magna de 1988, que se traduzem em condições objetivas cuja verificação impede o indivíduo de concorrer a cargos eletivos ou, acaso eleito, de os exercer, e não se confunde com a suspensão ou perda dos direitos políticos, cujas hipóteses são previstas no art. 15 da Constituição da República, e que importa restrição não apenas ao direito de concorrer a cargos eletivos (ius honorum), mas também ao direito de voto (ius sufragii). Por essa razão, não há inconstitucionalidade na cumulação entre a inelegibilidade e a su</w:t>
      </w:r>
    </w:p>
    <w:p>
      <w:pPr>
        <w:ind w:left="288"/>
      </w:pPr>
      <w:r>
        <w:rPr>
          <w:b/>
          <w:color w:val="003CA0"/>
          <w:sz w:val="16"/>
        </w:rPr>
        <w:t>[ADC 29, ADC 30 e ADI 4.578, rel. min. Luiz Fux, j. 16-2-2012, P, DJE de 29-6-2012.]</w:t>
      </w:r>
    </w:p>
    <w:p>
      <w:pPr>
        <w:ind w:left="144"/>
      </w:pPr>
      <w:r>
        <w:rPr>
          <w:b/>
          <w:color w:val="B45A00"/>
          <w:sz w:val="16"/>
        </w:rPr>
        <w:t>REPERCUSSAO GERAL</w:t>
      </w:r>
    </w:p>
    <w:p>
      <w:pPr>
        <w:ind w:left="288"/>
      </w:pPr>
      <w:r>
        <w:rPr>
          <w:color w:val="8C8C8C"/>
          <w:sz w:val="12"/>
        </w:rPr>
        <w:t>cf-art-15-inc-III</w:t>
      </w:r>
      <w:r>
        <w:rPr>
          <w:color w:val="003CA0"/>
          <w:sz w:val="12"/>
        </w:rPr>
        <w:t xml:space="preserve"> | RE 1.282.553</w:t>
      </w:r>
      <w:r>
        <w:rPr>
          <w:color w:val="003CA0"/>
          <w:sz w:val="12"/>
        </w:rPr>
        <w:t xml:space="preserve"> | rel. Alexandre de Moraes</w:t>
      </w:r>
    </w:p>
    <w:p>
      <w:pPr>
        <w:ind w:left="288"/>
      </w:pPr>
      <w:r>
        <w:rPr>
          <w:color w:val="1E1E1E"/>
          <w:sz w:val="18"/>
        </w:rPr>
        <w:t>É inconstitucional, por violação aos princípios da dignidade da pessoa humana e do valor social do trabalho (CF, artigo 1º, III e IV), a vedação a que candidato aprovado em concurso público venha a tomar posse no cargo, por não preencher os requisitos de gozo dos direitos políticos e quitação eleitoral, em razão de condenação criminal transitada em julgado (CF, artigo 15, III), quando este for o único fundamento para sua eliminação no certame, uma vez que é obrigatoriedade do Estado e da sociedade fornecer meios para que o egresso se reintegre à sociedade. O início do efetivo exercício do carg</w:t>
      </w:r>
    </w:p>
    <w:p>
      <w:pPr>
        <w:ind w:left="144"/>
      </w:pPr>
      <w:r>
        <w:rPr>
          <w:b/>
          <w:color w:val="B45A00"/>
          <w:sz w:val="16"/>
        </w:rPr>
        <w:t>JULGADOS CORRELATOS</w:t>
      </w:r>
    </w:p>
    <w:p>
      <w:pPr>
        <w:ind w:left="288"/>
      </w:pPr>
      <w:r>
        <w:rPr>
          <w:color w:val="8C8C8C"/>
          <w:sz w:val="12"/>
        </w:rPr>
        <w:t>cf-art-15-inc-III</w:t>
      </w:r>
      <w:r>
        <w:rPr>
          <w:color w:val="003CA0"/>
          <w:sz w:val="12"/>
        </w:rPr>
        <w:t xml:space="preserve"> | AP 565</w:t>
      </w:r>
      <w:r>
        <w:rPr>
          <w:color w:val="003CA0"/>
          <w:sz w:val="12"/>
        </w:rPr>
        <w:t xml:space="preserve"> | rel. Cármen Lúcia</w:t>
      </w:r>
    </w:p>
    <w:p>
      <w:pPr>
        <w:ind w:left="288"/>
      </w:pPr>
      <w:r>
        <w:rPr>
          <w:color w:val="1E1E1E"/>
          <w:sz w:val="18"/>
        </w:rPr>
        <w:t>No caso específico dos parlamentares, essa relação natural entre suspensão dos direitos políticos e perda do cargo público (...) não se estabelece como consequência natural. E a Constituição, no art. 55, § 2º, diz claramente que, nesses casos, a perda do mandato será decidida pela Câmara dos Deputados ou pelo Senado Federal por (...) maioria absoluta, mediante provocação da respectiva Mesa ou de partido político representado no Congresso Nacional, assegurada ampla defesa.</w:t>
      </w:r>
    </w:p>
    <w:p>
      <w:pPr>
        <w:ind w:left="288"/>
      </w:pPr>
      <w:r>
        <w:rPr>
          <w:b/>
          <w:color w:val="003CA0"/>
          <w:sz w:val="16"/>
        </w:rPr>
        <w:t>[AP 565, rel. min. Cármen Lúcia, voto do min. Teori Zavascki, j. 8-8-2013, P, DJE de 23-5-2014.]</w:t>
      </w:r>
    </w:p>
    <w:p>
      <w:pPr>
        <w:ind w:left="288"/>
      </w:pPr>
      <w:r>
        <w:rPr>
          <w:color w:val="8C8C8C"/>
          <w:sz w:val="12"/>
        </w:rPr>
        <w:t>cf-art-15-inc-III</w:t>
      </w:r>
      <w:r>
        <w:rPr>
          <w:color w:val="003CA0"/>
          <w:sz w:val="12"/>
        </w:rPr>
        <w:t xml:space="preserve"> | AP 996</w:t>
      </w:r>
      <w:r>
        <w:rPr>
          <w:color w:val="003CA0"/>
          <w:sz w:val="12"/>
        </w:rPr>
        <w:t xml:space="preserve"> | rel. Edson Fachin</w:t>
      </w:r>
    </w:p>
    <w:p>
      <w:pPr>
        <w:ind w:left="288"/>
      </w:pPr>
      <w:r>
        <w:rPr>
          <w:color w:val="1E1E1E"/>
          <w:sz w:val="18"/>
        </w:rPr>
        <w:t>= AP 996, rel. Min. Edson Fachin, j. 29-5-2018, 2ª T, DJE de 8-2-2019</w:t>
        <w:br/>
        <w:t>≠ AP 694, rel. min. Rosa Weber, j. 2-5-2017, 1ª T, DJE de 31-8-2017 ≠ AP 396 QO, rel. min. Cármen Lúcia, j. 26-6-2013, P, DJE de 4-10-2013 ≠ AP 470, rel. min. Joaquim Barbosa, j. 17-12-2012, P, DJE de 22-4-2013 À incidência da regra do art. 15, III, da Constituição, sobre os condenados na sua vigência, não cabe opor a circunstância de ser o fato criminoso anterior à promulgação dela a fim de invocar a garantia da irretroatividade da lei penal mais severa: cuidando-se de norma originária da Constituição, obviamente não lhe sã</w:t>
      </w:r>
    </w:p>
    <w:p>
      <w:pPr>
        <w:ind w:left="288"/>
      </w:pPr>
      <w:r>
        <w:rPr>
          <w:b/>
          <w:color w:val="003CA0"/>
          <w:sz w:val="16"/>
        </w:rPr>
        <w:t>[RE 418.876, rel. min. Sepúlveda Pertence, j. 30-3-2004, 1ª T, DJ de 4-6-2004.]</w:t>
      </w:r>
    </w:p>
    <w:p>
      <w:pPr>
        <w:ind w:left="288"/>
      </w:pPr>
      <w:r>
        <w:rPr>
          <w:color w:val="8C8C8C"/>
          <w:sz w:val="12"/>
        </w:rPr>
        <w:t>cf-art-15-inc-III</w:t>
      </w:r>
      <w:r>
        <w:rPr>
          <w:color w:val="003CA0"/>
          <w:sz w:val="12"/>
        </w:rPr>
        <w:t xml:space="preserve"> | RMS 22.470</w:t>
      </w:r>
      <w:r>
        <w:rPr>
          <w:color w:val="003CA0"/>
          <w:sz w:val="12"/>
        </w:rPr>
        <w:t xml:space="preserve"> | rel. Celso de Mello</w:t>
      </w:r>
    </w:p>
    <w:p>
      <w:pPr>
        <w:ind w:left="288"/>
      </w:pPr>
      <w:r>
        <w:rPr>
          <w:color w:val="1E1E1E"/>
          <w:sz w:val="18"/>
        </w:rPr>
        <w:t>A norma inscrita no art. 15, III, da Constituição reveste-se de autoaplicabilidade, independendo, para efeito de sua imediata incidência, de qualquer ato de intermediação legislativa. Essa circunstância legitima as decisões da Justiça Eleitoral que declaram aplicável, nos casos de condenação penal irrecorrível, e enquanto durarem os seus efeitos, como ocorre na vigência do período de prova do sursis, a sanção constitucional concernente à privação de direitos políticos do sentenciado.</w:t>
      </w:r>
    </w:p>
    <w:p>
      <w:pPr>
        <w:ind w:left="288"/>
      </w:pPr>
      <w:r>
        <w:rPr>
          <w:b/>
          <w:color w:val="003CA0"/>
          <w:sz w:val="16"/>
        </w:rPr>
        <w:t>[RMS 22.470 AgR, rel. min. Celso de Mello, j. 11-6-1996, 1ª T, DJ de 27-9-1996.]</w:t>
      </w:r>
    </w:p>
    <w:p>
      <w:pPr>
        <w:ind w:left="288"/>
      </w:pPr>
      <w:r>
        <w:rPr>
          <w:color w:val="8C8C8C"/>
          <w:sz w:val="12"/>
        </w:rPr>
        <w:t>cf-art-15-inc-III</w:t>
      </w:r>
      <w:r>
        <w:rPr>
          <w:color w:val="003CA0"/>
          <w:sz w:val="12"/>
        </w:rPr>
        <w:t xml:space="preserve"> | RE 601.182</w:t>
      </w:r>
    </w:p>
    <w:p>
      <w:pPr>
        <w:ind w:left="288"/>
      </w:pPr>
      <w:r>
        <w:rPr>
          <w:color w:val="1E1E1E"/>
          <w:sz w:val="18"/>
        </w:rPr>
        <w:t>Vide RE 601.182, voto do red. do ac. min. Alexandre de Moraes, j. 8-5-2019, P, DJE de 2-10-2019, Tema 370</w:t>
      </w:r>
    </w:p>
    <w:p>
      <w:r>
        <w:rPr>
          <w:b/>
          <w:color w:val="003366"/>
          <w:sz w:val="20"/>
        </w:rPr>
        <w:t xml:space="preserve">Art. 16 Até que se efetive o disposto no art. 32, § 2º, da Constituição, caberá </w:t>
      </w:r>
      <w:r>
        <w:rPr>
          <w:color w:val="8C8C8C"/>
          <w:sz w:val="14"/>
        </w:rPr>
        <w:t xml:space="preserve">  [11 decisoes]</w:t>
      </w:r>
    </w:p>
    <w:p>
      <w:pPr>
        <w:ind w:left="288"/>
      </w:pPr>
      <w:r>
        <w:rPr>
          <w:color w:val="8C8C8C"/>
          <w:sz w:val="12"/>
        </w:rPr>
        <w:t>cf-art-16</w:t>
      </w:r>
      <w:r>
        <w:rPr>
          <w:color w:val="003CA0"/>
          <w:sz w:val="12"/>
        </w:rPr>
        <w:t xml:space="preserve"> | ADI 7.212</w:t>
      </w:r>
      <w:r>
        <w:rPr>
          <w:color w:val="003CA0"/>
          <w:sz w:val="12"/>
        </w:rPr>
        <w:t xml:space="preserve"> | rel. André Mendonça</w:t>
      </w:r>
    </w:p>
    <w:p>
      <w:pPr>
        <w:ind w:left="288"/>
      </w:pPr>
      <w:r>
        <w:rPr>
          <w:color w:val="1E1E1E"/>
          <w:sz w:val="18"/>
        </w:rPr>
        <w:t>Emenda Constitucional 123/2022. Reconhecimento de estado de emergência. Criação e ampliação de programas sociais em ano eleitoral. Violação ao núcleo essencial da anterioridade eleitoral, da paridade de armas e da liberdade de voto. (...) O princípio da anterioridade eleitoral (CF, art. 16) tem como escopo impedir a deformação eleitoral mediante alterações nele inseridas de forma casuística que interfiram na paridade de armas e na liberdade de voto, sendo oponível, inclusive, às emendas à Constituição, exatamente por ser qualificado como cláusula pétrea.</w:t>
      </w:r>
    </w:p>
    <w:p>
      <w:pPr>
        <w:ind w:left="288"/>
      </w:pPr>
      <w:r>
        <w:rPr>
          <w:b/>
          <w:color w:val="003CA0"/>
          <w:sz w:val="16"/>
        </w:rPr>
        <w:t>[ADI 7.212, rel. min. André Mendonça, red. do ac. min. Gilmar Mendes, j. 01.08.2024, P, DJE de 27.05.2025.]</w:t>
      </w:r>
    </w:p>
    <w:p>
      <w:pPr>
        <w:ind w:left="288"/>
      </w:pPr>
      <w:r>
        <w:rPr>
          <w:color w:val="8C8C8C"/>
          <w:sz w:val="12"/>
        </w:rPr>
        <w:t>cf-art-16</w:t>
      </w:r>
      <w:r>
        <w:rPr>
          <w:color w:val="003CA0"/>
          <w:sz w:val="12"/>
        </w:rPr>
        <w:t xml:space="preserve"> | ADI 7.178</w:t>
      </w:r>
      <w:r>
        <w:rPr>
          <w:color w:val="003CA0"/>
          <w:sz w:val="12"/>
        </w:rPr>
        <w:t xml:space="preserve"> | rel. Dias Toffoli</w:t>
      </w:r>
    </w:p>
    <w:p>
      <w:pPr>
        <w:ind w:left="288"/>
      </w:pPr>
      <w:r>
        <w:rPr>
          <w:color w:val="1E1E1E"/>
          <w:sz w:val="18"/>
        </w:rPr>
        <w:t>Lei nº 14.356, de 31 de maio de 2022. Alteração do art. 73, inciso VII, da Lei nº 9.504/97. Critérios. Média de gastos com publicidade institucional. Violação dos princípios da anualidade eleitoral e da segurança jurídica (art. 16 da CF).</w:t>
        <w:br/>
        <w:t>[ADI 7.178, rel. min. Dias Toffoli, j. 17-12-2022, P, DJE de 24-2-2023.] O art. 12, XXVII, da Lei 14.194/2021 não inaugura forma de financiamento das campanhas eleitorais nem altera o processo eleitoral, de modo que se mostra impropria a observância do princípio da anterioridade eleitoral previsto no art. 16 da Carta Maior.</w:t>
      </w:r>
    </w:p>
    <w:p>
      <w:pPr>
        <w:ind w:left="288"/>
      </w:pPr>
      <w:r>
        <w:rPr>
          <w:b/>
          <w:color w:val="003CA0"/>
          <w:sz w:val="16"/>
        </w:rPr>
        <w:t>[ADI 7.058 MC, red. do ac. min. Nunes Marques, rel. min. André Mendonça, j. 3-3-2022, P, DJE de 26-5-2022.]</w:t>
      </w:r>
    </w:p>
    <w:p>
      <w:pPr>
        <w:ind w:left="288"/>
      </w:pPr>
      <w:r>
        <w:rPr>
          <w:color w:val="8C8C8C"/>
          <w:sz w:val="12"/>
        </w:rPr>
        <w:t>cf-art-16</w:t>
      </w:r>
      <w:r>
        <w:rPr>
          <w:color w:val="003CA0"/>
          <w:sz w:val="12"/>
        </w:rPr>
        <w:t xml:space="preserve"> | ADI 5.577</w:t>
      </w:r>
      <w:r>
        <w:rPr>
          <w:color w:val="003CA0"/>
          <w:sz w:val="12"/>
        </w:rPr>
        <w:t xml:space="preserve"> | rel. Rosa Weber</w:t>
      </w:r>
    </w:p>
    <w:p>
      <w:pPr>
        <w:ind w:left="288"/>
      </w:pPr>
      <w:r>
        <w:rPr>
          <w:color w:val="1E1E1E"/>
          <w:sz w:val="18"/>
        </w:rPr>
        <w:t>Eleições. Debates eleitorais. (...) Alteração do art. 46, caput, da Lei 9.405/1997. (...) Ausência de óbice formal à aplicação do novo regime jurídico da Lei 9.504/1997, com as alterações introduzidas pela Lei 13.165/2015, nos termos do art. 16 da CF.</w:t>
      </w:r>
    </w:p>
    <w:p>
      <w:pPr>
        <w:ind w:left="288"/>
      </w:pPr>
      <w:r>
        <w:rPr>
          <w:b/>
          <w:color w:val="003CA0"/>
          <w:sz w:val="16"/>
        </w:rPr>
        <w:t>[ADI 5.577, rel. min. Rosa Weber, j. 25-8-2016, P, DJE de 19-12-2017.]</w:t>
      </w:r>
    </w:p>
    <w:p>
      <w:pPr>
        <w:ind w:left="288"/>
      </w:pPr>
      <w:r>
        <w:rPr>
          <w:color w:val="8C8C8C"/>
          <w:sz w:val="12"/>
        </w:rPr>
        <w:t>cf-art-16</w:t>
      </w:r>
      <w:r>
        <w:rPr>
          <w:color w:val="003CA0"/>
          <w:sz w:val="12"/>
        </w:rPr>
        <w:t xml:space="preserve"> | ADI 4.307</w:t>
      </w:r>
      <w:r>
        <w:rPr>
          <w:color w:val="003CA0"/>
          <w:sz w:val="12"/>
        </w:rPr>
        <w:t xml:space="preserve"> | rel. Cármen Lúcia</w:t>
      </w:r>
    </w:p>
    <w:p>
      <w:pPr>
        <w:ind w:left="288"/>
      </w:pPr>
      <w:r>
        <w:rPr>
          <w:color w:val="1E1E1E"/>
          <w:sz w:val="18"/>
        </w:rPr>
        <w:t>EC 58/2009. (...) Norma que determina a retroação dos efeitos de regras constitucionais de composição das câmaras municipais em pleito ocorrido e encerrado: afronta à garantia do exercício da cidadania popular (arts. 1º, parágrafo único, e 14 da Constituição) e a segurança jurídica. Os eleitos foram diplomados pela Justiça Eleitoral até 18-12-2009 e tomaram posse em 2009. Posse de suplentes para legislatura em curso, em relação a eleição finda e acabada, descumpre o princípio democrático da soberania popular. Impossibilidade de compatibilizar a posse do suplente: não eleito pelo sufrágio secre</w:t>
      </w:r>
    </w:p>
    <w:p>
      <w:pPr>
        <w:ind w:left="288"/>
      </w:pPr>
      <w:r>
        <w:rPr>
          <w:b/>
          <w:color w:val="003CA0"/>
          <w:sz w:val="16"/>
        </w:rPr>
        <w:t>[ADI 4.298 MC, voto do min. Cezar Peluso, j. 7-10-2009, P, DJE de 27-11-2009.]</w:t>
      </w:r>
    </w:p>
    <w:p>
      <w:pPr>
        <w:ind w:left="288"/>
      </w:pPr>
      <w:r>
        <w:rPr>
          <w:color w:val="8C8C8C"/>
          <w:sz w:val="12"/>
        </w:rPr>
        <w:t>cf-art-16</w:t>
      </w:r>
      <w:r>
        <w:rPr>
          <w:color w:val="003CA0"/>
          <w:sz w:val="12"/>
        </w:rPr>
        <w:t xml:space="preserve"> | ADI 3.741</w:t>
      </w:r>
      <w:r>
        <w:rPr>
          <w:color w:val="003CA0"/>
          <w:sz w:val="12"/>
        </w:rPr>
        <w:t xml:space="preserve"> | rel. Ricardo Lewandowski</w:t>
      </w:r>
    </w:p>
    <w:p>
      <w:pPr>
        <w:ind w:left="288"/>
      </w:pPr>
      <w:r>
        <w:rPr>
          <w:color w:val="1E1E1E"/>
          <w:sz w:val="18"/>
        </w:rPr>
        <w:t>Lei 11.300/2006 (minirreforma eleitoral). Alegada ofensa ao princípio da anterioridade da lei eleitoral (CF, art. 16). Inocorrência. Mero aperfeiçoamento dos procedimentos eleitorais. Inexistência de alteração do processo eleitoral. Proibição de divulgação de pesquisas eleitorais quinze dias antes do pleito. Inconstitucionalidade. Garantia da liberdade de expressão e do direito à informação livre e plural no Estado Democrático de Direito.</w:t>
      </w:r>
    </w:p>
    <w:p>
      <w:pPr>
        <w:ind w:left="288"/>
      </w:pPr>
      <w:r>
        <w:rPr>
          <w:b/>
          <w:color w:val="003CA0"/>
          <w:sz w:val="16"/>
        </w:rPr>
        <w:t>[ADI 3.741, rel. min. Ricardo Lewandowski, j. 6-8-2006, P, DJ de 23-2-2007.]</w:t>
      </w:r>
    </w:p>
    <w:p>
      <w:pPr>
        <w:ind w:left="288"/>
      </w:pPr>
      <w:r>
        <w:rPr>
          <w:color w:val="8C8C8C"/>
          <w:sz w:val="12"/>
        </w:rPr>
        <w:t>cf-art-16</w:t>
      </w:r>
      <w:r>
        <w:rPr>
          <w:color w:val="003CA0"/>
          <w:sz w:val="12"/>
        </w:rPr>
        <w:t xml:space="preserve"> | ADI 354</w:t>
      </w:r>
      <w:r>
        <w:rPr>
          <w:color w:val="003CA0"/>
          <w:sz w:val="12"/>
        </w:rPr>
        <w:t xml:space="preserve"> | rel. Octavio Gallotti). Enquanto o art. 150</w:t>
      </w:r>
    </w:p>
    <w:p>
      <w:pPr>
        <w:ind w:left="288"/>
      </w:pPr>
      <w:r>
        <w:rPr>
          <w:color w:val="1E1E1E"/>
          <w:sz w:val="18"/>
        </w:rPr>
        <w:t>A inovação trazida pela EC 52/2006 conferiu status constitucional à matéria até então integralmente regulamentada por legislação ordinária federal, provocando, assim, a perda da validade de qualquer restrição à plena autonomia das coligações partidárias no plano federal, estadual, distrital e municipal. Todavia, a utilização da nova regra às eleições gerais que se realizarão a menos de sete meses colide com o princípio da anterioridade eleitoral, disposto no art. 16 da CF, que busca evitar a utilização abusiva ou casuística do processo legislativo como instrumento de manipulação e de deformaçã</w:t>
      </w:r>
    </w:p>
    <w:p>
      <w:pPr>
        <w:ind w:left="288"/>
      </w:pPr>
      <w:r>
        <w:rPr>
          <w:b/>
          <w:color w:val="003CA0"/>
          <w:sz w:val="16"/>
        </w:rPr>
        <w:t>[ADI 3.685, rel. min. Ellen Gracie, j. 22-3-2006, P, DJ de 10-8-2006.]</w:t>
      </w:r>
    </w:p>
    <w:p>
      <w:pPr>
        <w:ind w:left="288"/>
      </w:pPr>
      <w:r>
        <w:rPr>
          <w:color w:val="8C8C8C"/>
          <w:sz w:val="12"/>
        </w:rPr>
        <w:t>cf-art-16</w:t>
      </w:r>
      <w:r>
        <w:rPr>
          <w:color w:val="003CA0"/>
          <w:sz w:val="12"/>
        </w:rPr>
        <w:t xml:space="preserve"> | ADI 3.345</w:t>
      </w:r>
      <w:r>
        <w:rPr>
          <w:color w:val="003CA0"/>
          <w:sz w:val="12"/>
        </w:rPr>
        <w:t xml:space="preserve"> | rel. Celso de Mello</w:t>
      </w:r>
    </w:p>
    <w:p>
      <w:pPr>
        <w:ind w:left="288"/>
      </w:pPr>
      <w:r>
        <w:rPr>
          <w:color w:val="1E1E1E"/>
          <w:sz w:val="18"/>
        </w:rPr>
        <w:t xml:space="preserve">A norma consubstanciada no art. 16 da Constituição da República, que consagra o postulado da anterioridade eleitoral (cujo precípuo destinatário é o Poder Legislativo), vincula-se, em seu sentido teleológico, à finalidade ético-jurídica de obstar a deformação do processo eleitoral mediante modificações que, casuisticamente introduzidas pelo Parlamento, culminem por romper a necessária igualdade de participação dos que nele atuam como protagonistas relevantes (partidos políticos e candidatos), vulnerando-lhes, com inovações abruptamente estabelecidas, a garantia básica de igual competitividade </w:t>
      </w:r>
    </w:p>
    <w:p>
      <w:pPr>
        <w:ind w:left="288"/>
      </w:pPr>
      <w:r>
        <w:rPr>
          <w:b/>
          <w:color w:val="003CA0"/>
          <w:sz w:val="16"/>
        </w:rPr>
        <w:t>[ADI 3.345, rel. min. Celso de Mello, j. 25-8-2005, P, DJE de 20-8-2010.]</w:t>
      </w:r>
    </w:p>
    <w:p>
      <w:pPr>
        <w:ind w:left="288"/>
      </w:pPr>
      <w:r>
        <w:rPr>
          <w:color w:val="8C8C8C"/>
          <w:sz w:val="12"/>
        </w:rPr>
        <w:t>cf-art-16</w:t>
      </w:r>
      <w:r>
        <w:rPr>
          <w:color w:val="003CA0"/>
          <w:sz w:val="12"/>
        </w:rPr>
        <w:t xml:space="preserve"> | ADI 718</w:t>
      </w:r>
      <w:r>
        <w:rPr>
          <w:color w:val="003CA0"/>
          <w:sz w:val="12"/>
        </w:rPr>
        <w:t xml:space="preserve"> | rel. Sepúlveda Pertence</w:t>
      </w:r>
    </w:p>
    <w:p>
      <w:pPr>
        <w:ind w:left="288"/>
      </w:pPr>
      <w:r>
        <w:rPr>
          <w:color w:val="1E1E1E"/>
          <w:sz w:val="18"/>
        </w:rPr>
        <w:t>Município: criação em ano de eleições municipais: não incidência do art. 16 da CF. No contexto normativo do art. 16, CF – que impõe a vacatio de um ano às leis que o alterem –, processo eleitoral é parte de um sistema de normas mais extenso, o direito eleitoral, matéria reservada privativamente à competência legislativa da União; logo, no sistema da Constituição de 1988, onde as normas gerais de alçada complementar, e a lei específica de criação de municípios foi confiada aos Estados, o exercício dessa competência estadual explícita manifestamente não altera o processo eleitoral, que é coisa d</w:t>
      </w:r>
    </w:p>
    <w:p>
      <w:pPr>
        <w:ind w:left="288"/>
      </w:pPr>
      <w:r>
        <w:rPr>
          <w:b/>
          <w:color w:val="003CA0"/>
          <w:sz w:val="16"/>
        </w:rPr>
        <w:t>[ADI 718, rel. min. Sepúlveda Pertence, j. 5-11-1998, P, DJ de 18-12-1998.]</w:t>
      </w:r>
    </w:p>
    <w:p>
      <w:pPr>
        <w:ind w:left="144"/>
      </w:pPr>
      <w:r>
        <w:rPr>
          <w:b/>
          <w:color w:val="B45A00"/>
          <w:sz w:val="16"/>
        </w:rPr>
        <w:t>REPERCUSSAO GERAL</w:t>
      </w:r>
    </w:p>
    <w:p>
      <w:pPr>
        <w:ind w:left="288"/>
      </w:pPr>
      <w:r>
        <w:rPr>
          <w:color w:val="8C8C8C"/>
          <w:sz w:val="12"/>
        </w:rPr>
        <w:t>cf-art-16</w:t>
      </w:r>
      <w:r>
        <w:rPr>
          <w:color w:val="003CA0"/>
          <w:sz w:val="12"/>
        </w:rPr>
        <w:t xml:space="preserve"> | RE 637.485</w:t>
      </w:r>
      <w:r>
        <w:rPr>
          <w:color w:val="003CA0"/>
          <w:sz w:val="12"/>
        </w:rPr>
        <w:t xml:space="preserve"> | rel. Gilmar Mendes</w:t>
      </w:r>
    </w:p>
    <w:p>
      <w:pPr>
        <w:ind w:left="288"/>
      </w:pPr>
      <w:r>
        <w:rPr>
          <w:color w:val="1E1E1E"/>
          <w:sz w:val="18"/>
        </w:rPr>
        <w:t>(...) as decisões do TSE que, no curso do pleito eleitoral (ou logo após o seu encerramento), impliquem mudança de jurisprudência (e dessa forma repercutam sobre a segurança jurídica), não têm aplicabilidade imediata ao caso concreto e somente terão eficácia sobre outros casos no pleito eleitoral posterior.</w:t>
        <w:br/>
        <w:t>[RE 637.485, rel. min. Gilmar Mendes, j. 1º-8-2012, P, DJE de 21-5-2013, Tema 564, com mérito julgado.] A matéria em discussão nestes autos, acerca da aplicação da chamada Lei da Ficha Limpa (Lei Complementar nº 135/2010) às eleições gerais de 2010, já teve sua repercussão geral reconhecida</w:t>
      </w:r>
    </w:p>
    <w:p>
      <w:pPr>
        <w:ind w:left="288"/>
      </w:pPr>
      <w:r>
        <w:rPr>
          <w:b/>
          <w:color w:val="003CA0"/>
          <w:sz w:val="16"/>
        </w:rPr>
        <w:t>[RE 631.102 ED, red. do ac. min. Dias Toffoli, rel. min. Joaquim Barbosa, j. 14-12-2011, P, DJE de 2-5-2012, Tema 367, com mérito julgado.]</w:t>
      </w:r>
    </w:p>
    <w:p>
      <w:pPr>
        <w:ind w:left="288"/>
      </w:pPr>
      <w:r>
        <w:rPr>
          <w:color w:val="8C8C8C"/>
          <w:sz w:val="12"/>
        </w:rPr>
        <w:t>cf-art-16</w:t>
      </w:r>
      <w:r>
        <w:rPr>
          <w:color w:val="003CA0"/>
          <w:sz w:val="12"/>
        </w:rPr>
        <w:t xml:space="preserve"> | RE 633.703</w:t>
      </w:r>
      <w:r>
        <w:rPr>
          <w:color w:val="003CA0"/>
          <w:sz w:val="12"/>
        </w:rPr>
        <w:t xml:space="preserve"> | rel. Gilmar Mendes</w:t>
      </w:r>
    </w:p>
    <w:p>
      <w:pPr>
        <w:ind w:left="288"/>
      </w:pPr>
      <w:r>
        <w:rPr>
          <w:color w:val="1E1E1E"/>
          <w:sz w:val="18"/>
        </w:rPr>
        <w:t>A competição eleitoral se inicia exatamente um ano antes da data das eleições e, nesse interregno, o art. 16 da Constituição exige que qualquer modificação nas regras do jogo não terá eficácia imediata para o pleito em curso. (...) Toda limitação legal ao direito de sufrágio passivo, isto é, qualquer restrição legal à elegibilidade do cidadão constitui uma limitação da igualdade de oportunidades na competição eleitoral. (...) A jurisdição constitucional cumpre a sua função quando aplica rigorosamente, sem subterfúgios calcados em considerações subjetivas de moralidade, o princípio da anteriori</w:t>
      </w:r>
    </w:p>
    <w:p>
      <w:pPr>
        <w:ind w:left="288"/>
      </w:pPr>
      <w:r>
        <w:rPr>
          <w:b/>
          <w:color w:val="003CA0"/>
          <w:sz w:val="16"/>
        </w:rPr>
        <w:t>[RE 633.703, rel. min. Gilmar Mendes, j. 23-3-2011, P, DJE de 18-11-2011, Tema 387, com mérito julgado.]</w:t>
        <w:br/>
        <w:t>Vide RE 631.102 ED, red. do ac. min. Dias Toffoli, j. 14-12-2011, P, DJE de 2-5-2012, Tema 367, com mérito julgado</w:t>
      </w:r>
    </w:p>
    <w:p>
      <w:pPr>
        <w:ind w:left="288"/>
      </w:pPr>
      <w:r>
        <w:rPr>
          <w:color w:val="8C8C8C"/>
          <w:sz w:val="12"/>
        </w:rPr>
        <w:t>cf-art-16</w:t>
      </w:r>
    </w:p>
    <w:p>
      <w:pPr>
        <w:ind w:left="288"/>
      </w:pPr>
      <w:r>
        <w:rPr>
          <w:color w:val="1E1E1E"/>
          <w:sz w:val="18"/>
        </w:rPr>
        <w:t>CAPÍTULO V Dos Partidos Políticos SUMÁRIO</w:t>
      </w:r>
    </w:p>
    <w:p>
      <w:pPr>
        <w:ind w:left="432"/>
      </w:pPr>
      <w:r>
        <w:rPr>
          <w:color w:val="003366"/>
          <w:sz w:val="18"/>
        </w:rPr>
        <w:t>§ 1 A competência da Câmara Legislativa do Distrito Federal, até que se instale,</w:t>
      </w:r>
    </w:p>
    <w:p>
      <w:pPr>
        <w:ind w:left="432"/>
      </w:pPr>
      <w:r>
        <w:rPr>
          <w:color w:val="003366"/>
          <w:sz w:val="18"/>
        </w:rPr>
        <w:t>§ 2 A fiscalização contábil, financeira, orçamentária, operacional e patrimonial</w:t>
      </w:r>
    </w:p>
    <w:p>
      <w:pPr>
        <w:ind w:left="432"/>
      </w:pPr>
      <w:r>
        <w:rPr>
          <w:color w:val="003366"/>
          <w:sz w:val="18"/>
        </w:rPr>
        <w:t>§ 3 Incluem-se entre os bens do Distrito Federal aqueles que lhe vierem a ser at</w:t>
      </w:r>
    </w:p>
    <w:p>
      <w:r>
        <w:rPr>
          <w:b/>
          <w:color w:val="003366"/>
          <w:sz w:val="20"/>
        </w:rPr>
        <w:t>Art. 17 Os vencimentos, a remuneração, as vantagens e os adicionais, bem como os</w:t>
      </w:r>
      <w:r>
        <w:rPr>
          <w:color w:val="8C8C8C"/>
          <w:sz w:val="14"/>
        </w:rPr>
        <w:t xml:space="preserve">  [39 decisoes]</w:t>
      </w:r>
    </w:p>
    <w:p>
      <w:pPr>
        <w:ind w:left="144"/>
      </w:pPr>
      <w:r>
        <w:rPr>
          <w:b/>
          <w:color w:val="B45A00"/>
          <w:sz w:val="16"/>
        </w:rPr>
        <w:t>CONTROLE CONCENTRADO</w:t>
      </w:r>
    </w:p>
    <w:p>
      <w:pPr>
        <w:ind w:left="288"/>
      </w:pPr>
      <w:r>
        <w:rPr>
          <w:color w:val="8C8C8C"/>
          <w:sz w:val="12"/>
        </w:rPr>
        <w:t>cf-art-17</w:t>
      </w:r>
      <w:r>
        <w:rPr>
          <w:color w:val="003CA0"/>
          <w:sz w:val="12"/>
        </w:rPr>
        <w:t xml:space="preserve"> | ADI 6.044</w:t>
      </w:r>
      <w:r>
        <w:rPr>
          <w:color w:val="003CA0"/>
          <w:sz w:val="12"/>
        </w:rPr>
        <w:t xml:space="preserve"> | rel. Cármen Lúcia</w:t>
      </w:r>
    </w:p>
    <w:p>
      <w:pPr>
        <w:ind w:left="288"/>
      </w:pPr>
      <w:r>
        <w:rPr>
          <w:color w:val="1E1E1E"/>
          <w:sz w:val="18"/>
        </w:rPr>
        <w:t>É constitucional a norma legal pela qual se impõe restrição temporal para a fusão ou incorporação de partidos políticos.</w:t>
      </w:r>
    </w:p>
    <w:p>
      <w:pPr>
        <w:ind w:left="288"/>
      </w:pPr>
      <w:r>
        <w:rPr>
          <w:b/>
          <w:color w:val="003CA0"/>
          <w:sz w:val="16"/>
        </w:rPr>
        <w:t>[ADI 6.044, rel. min. Cármen Lúcia, j. 8-3-2021, P, DJE de 17-3-2021.]</w:t>
      </w:r>
    </w:p>
    <w:p>
      <w:pPr>
        <w:ind w:left="288"/>
      </w:pPr>
      <w:r>
        <w:rPr>
          <w:color w:val="8C8C8C"/>
          <w:sz w:val="12"/>
        </w:rPr>
        <w:t>cf-art-17</w:t>
      </w:r>
      <w:r>
        <w:rPr>
          <w:color w:val="003CA0"/>
          <w:sz w:val="12"/>
        </w:rPr>
        <w:t xml:space="preserve"> | ADI 5.311</w:t>
      </w:r>
      <w:r>
        <w:rPr>
          <w:color w:val="003CA0"/>
          <w:sz w:val="12"/>
        </w:rPr>
        <w:t xml:space="preserve"> | rel. Cármen Lúcia</w:t>
      </w:r>
    </w:p>
    <w:p>
      <w:pPr>
        <w:ind w:left="288"/>
      </w:pPr>
      <w:r>
        <w:rPr>
          <w:color w:val="1E1E1E"/>
          <w:sz w:val="18"/>
        </w:rPr>
        <w:t>Pela Constituição da República se assegura a livre criação, fusão e incorporação de partidos políticos, condicionadas aos princípios do sistema democrático representativo e do pluripartidarismo. São constitucionais as normas pelas quais se fortaleça o controle quantitativo e qualitativo dos partidos, sem afronta ao princípio da igualdade ou ingerência no funcionamento interno.</w:t>
      </w:r>
    </w:p>
    <w:p>
      <w:pPr>
        <w:ind w:left="288"/>
      </w:pPr>
      <w:r>
        <w:rPr>
          <w:b/>
          <w:color w:val="003CA0"/>
          <w:sz w:val="16"/>
        </w:rPr>
        <w:t>[ADI 5.311, rel. min. Cármen Lúcia, j. 4-3-2020, P, DJE de 6-7-2020.]</w:t>
      </w:r>
    </w:p>
    <w:p>
      <w:pPr>
        <w:ind w:left="288"/>
      </w:pPr>
      <w:r>
        <w:rPr>
          <w:color w:val="8C8C8C"/>
          <w:sz w:val="12"/>
        </w:rPr>
        <w:t>cf-art-17</w:t>
      </w:r>
      <w:r>
        <w:rPr>
          <w:color w:val="003CA0"/>
          <w:sz w:val="12"/>
        </w:rPr>
        <w:t xml:space="preserve"> | ADI 4.647</w:t>
      </w:r>
      <w:r>
        <w:rPr>
          <w:color w:val="003CA0"/>
          <w:sz w:val="12"/>
        </w:rPr>
        <w:t xml:space="preserve"> | rel. Dias Toffoli</w:t>
      </w:r>
    </w:p>
    <w:p>
      <w:pPr>
        <w:ind w:left="288"/>
      </w:pPr>
      <w:r>
        <w:rPr>
          <w:color w:val="1E1E1E"/>
          <w:sz w:val="18"/>
        </w:rPr>
        <w:t>Resolução da Câmara dos Deputados. (...) Ato que disciplina a distribuição de servidores por gabinete de liderança a cada nova eleição com base na representatividade do partido. (...) Os critérios equitativos adotados na resolução decorrem do próprio regime democrático e da lógica da representatividade proporcional, sem descuidar da garantia do direito de existência das minorias.</w:t>
      </w:r>
    </w:p>
    <w:p>
      <w:pPr>
        <w:ind w:left="288"/>
      </w:pPr>
      <w:r>
        <w:rPr>
          <w:b/>
          <w:color w:val="003CA0"/>
          <w:sz w:val="16"/>
        </w:rPr>
        <w:t>[ADI 4.647, rel. min. Dias Toffoli, j. 6-6-2018, P, DJE de 21-6-2018.]</w:t>
      </w:r>
    </w:p>
    <w:p>
      <w:pPr>
        <w:ind w:left="288"/>
      </w:pPr>
      <w:r>
        <w:rPr>
          <w:color w:val="8C8C8C"/>
          <w:sz w:val="12"/>
        </w:rPr>
        <w:t>cf-art-17</w:t>
      </w:r>
      <w:r>
        <w:rPr>
          <w:color w:val="003CA0"/>
          <w:sz w:val="12"/>
        </w:rPr>
        <w:t xml:space="preserve"> | ADI 4.650</w:t>
      </w:r>
      <w:r>
        <w:rPr>
          <w:color w:val="003CA0"/>
          <w:sz w:val="12"/>
        </w:rPr>
        <w:t xml:space="preserve"> | rel. Luiz Fux</w:t>
      </w:r>
    </w:p>
    <w:p>
      <w:pPr>
        <w:ind w:left="288"/>
      </w:pPr>
      <w:r>
        <w:rPr>
          <w:color w:val="1E1E1E"/>
          <w:sz w:val="18"/>
        </w:rPr>
        <w:t>Ofensa aos princípios fundamentais democrático e da igualdade política. Premissas teóricas. Postura particularista e expansiva da Suprema Corte na salvaguarda dos pressupostos democráticos. Sensibilidade da matéria, afeta que é ao processo político-eleitoral. Autointeresse dos agentes políticos. Ausência de modelo constitucional cerrado de financiamento de campanhas. Constituição-moldura. Normas fundamentais limitadoras da discricionariedade legislativa. Pronunciamento do STF que não encerra o debate constitucional em sentido amplo. Diálogos institucionais. Última palavra provisória. Mérito. D</w:t>
      </w:r>
    </w:p>
    <w:p>
      <w:pPr>
        <w:ind w:left="288"/>
      </w:pPr>
      <w:r>
        <w:rPr>
          <w:b/>
          <w:color w:val="003CA0"/>
          <w:sz w:val="16"/>
        </w:rPr>
        <w:t>[ADI 4.650, rel. min. Luiz Fux, j. 17-9-2015, P, DJE de 24-2-2016.]</w:t>
      </w:r>
    </w:p>
    <w:p>
      <w:pPr>
        <w:ind w:left="288"/>
      </w:pPr>
      <w:r>
        <w:rPr>
          <w:color w:val="8C8C8C"/>
          <w:sz w:val="12"/>
        </w:rPr>
        <w:t>cf-art-17</w:t>
      </w:r>
      <w:r>
        <w:rPr>
          <w:color w:val="003CA0"/>
          <w:sz w:val="12"/>
        </w:rPr>
        <w:t xml:space="preserve"> | ADI 1.817</w:t>
      </w:r>
      <w:r>
        <w:rPr>
          <w:color w:val="003CA0"/>
          <w:sz w:val="12"/>
        </w:rPr>
        <w:t xml:space="preserve"> | rel. Dias Toffoli</w:t>
      </w:r>
    </w:p>
    <w:p>
      <w:pPr>
        <w:ind w:left="288"/>
      </w:pPr>
      <w:r>
        <w:rPr>
          <w:color w:val="1E1E1E"/>
          <w:sz w:val="18"/>
        </w:rPr>
        <w:t xml:space="preserve">A definição de limitações ao exercício das funções eleitorais pelos partidos políticos é decreto de ordem excepcional, ressalva feita àquelas condicionantes oriundas da CF, a exemplo do art. 17 do Texto Magno. No caso do art. 4º da Lei 9.504/1997, embora se estabeleça limitação consistente na exigência do prazo mínimo de um ano de existência para que partidos políticos possam concorrer em eleições, há excepcionalidade que justifica a limitação da ampla liberdade de atuação dos partidos políticos na seara eleitoral. A previsão atacada encontra ligação estreita com a exigência constitucional da </w:t>
      </w:r>
    </w:p>
    <w:p>
      <w:pPr>
        <w:ind w:left="288"/>
      </w:pPr>
      <w:r>
        <w:rPr>
          <w:b/>
          <w:color w:val="003CA0"/>
          <w:sz w:val="16"/>
        </w:rPr>
        <w:t>[ADI 1.817, rel. min. Dias Toffoli, j. 28-5-2014, P, DJE de 1º-8-2014.]</w:t>
      </w:r>
    </w:p>
    <w:p>
      <w:pPr>
        <w:ind w:left="288"/>
      </w:pPr>
      <w:r>
        <w:rPr>
          <w:color w:val="8C8C8C"/>
          <w:sz w:val="12"/>
        </w:rPr>
        <w:t>cf-art-17</w:t>
      </w:r>
      <w:r>
        <w:rPr>
          <w:color w:val="003CA0"/>
          <w:sz w:val="12"/>
        </w:rPr>
        <w:t xml:space="preserve"> | ADI 4.430</w:t>
      </w:r>
      <w:r>
        <w:rPr>
          <w:color w:val="003CA0"/>
          <w:sz w:val="12"/>
        </w:rPr>
        <w:t xml:space="preserve"> | rel. Dias Toffoli</w:t>
      </w:r>
    </w:p>
    <w:p>
      <w:pPr>
        <w:ind w:left="288"/>
      </w:pPr>
      <w:r>
        <w:rPr>
          <w:color w:val="1E1E1E"/>
          <w:sz w:val="18"/>
        </w:rPr>
        <w:t>Extrai-se do princípio da liberdade de criação e transformação de partidos políticos contido no caput do art. 17 da Constituição da República o fundamento constitucional para reputar como legítimo o entendimento de que, na hipótese de criação de um novo partido, a novel legenda, para fins de acesso proporcional ao rádio e à televisão, leva consigo a representatividade dos deputados federais que, quando de sua criação, para ela migrarem diretamente dos partidos pelos quais foram eleitos. Não há razão para se conferir às hipóteses de criação de nova legenda tratamento diverso daquele conferido a</w:t>
      </w:r>
    </w:p>
    <w:p>
      <w:pPr>
        <w:ind w:left="288"/>
      </w:pPr>
      <w:r>
        <w:rPr>
          <w:b/>
          <w:color w:val="003CA0"/>
          <w:sz w:val="16"/>
        </w:rPr>
        <w:t>[ADI 4.430, rel. min. Dias Toffoli, j. 29-6-2012, P, DJE de 19-9-2013.]</w:t>
      </w:r>
    </w:p>
    <w:p>
      <w:pPr>
        <w:ind w:left="288"/>
      </w:pPr>
      <w:r>
        <w:rPr>
          <w:color w:val="8C8C8C"/>
          <w:sz w:val="12"/>
        </w:rPr>
        <w:t>cf-art-17</w:t>
      </w:r>
      <w:r>
        <w:rPr>
          <w:color w:val="003CA0"/>
          <w:sz w:val="12"/>
        </w:rPr>
        <w:t xml:space="preserve"> | ADI 1.354</w:t>
      </w:r>
      <w:r>
        <w:rPr>
          <w:color w:val="003CA0"/>
          <w:sz w:val="12"/>
        </w:rPr>
        <w:t xml:space="preserve"> | rel. Marco Aurélio</w:t>
      </w:r>
    </w:p>
    <w:p>
      <w:pPr>
        <w:ind w:left="288"/>
      </w:pPr>
      <w:r>
        <w:rPr>
          <w:color w:val="1E1E1E"/>
          <w:sz w:val="18"/>
        </w:rPr>
        <w:t>Partido político. Funcionamento parlamentar. Propaganda partidária gratuita. Fundo partidário. Surge conflitante com a CF lei que, em face da gradação de votos obtidos por partido político, afasta o funcionamento parlamentar e reduz, substancialmente, o tempo de propaganda partidária gratuita e a participação no rateio do Fundo Partidário. Normatização. Inconstitucionalidade. Vácuo. Ante a declaração de inconstitucionalidade de leis, incumbe atentar para a inconveniência do vácuo normativo, projetando-se, no tempo, a vigência de preceito transitório, isso visando a aguardar nova atuação das Ca</w:t>
      </w:r>
    </w:p>
    <w:p>
      <w:pPr>
        <w:ind w:left="288"/>
      </w:pPr>
      <w:r>
        <w:rPr>
          <w:b/>
          <w:color w:val="003CA0"/>
          <w:sz w:val="16"/>
        </w:rPr>
        <w:t>[ADI 1.354 e ADI 1.351, rel. min. Marco Aurélio, j. 7-12-2006, P, DJ de 30-3-2007.]</w:t>
      </w:r>
    </w:p>
    <w:p>
      <w:pPr>
        <w:ind w:left="144"/>
      </w:pPr>
      <w:r>
        <w:rPr>
          <w:b/>
          <w:color w:val="B45A00"/>
          <w:sz w:val="16"/>
        </w:rPr>
        <w:t>JULGADOS CORRELATOS</w:t>
      </w:r>
    </w:p>
    <w:p>
      <w:pPr>
        <w:ind w:left="288"/>
      </w:pPr>
      <w:r>
        <w:rPr>
          <w:color w:val="8C8C8C"/>
          <w:sz w:val="12"/>
        </w:rPr>
        <w:t>cf-art-17</w:t>
      </w:r>
      <w:r>
        <w:rPr>
          <w:color w:val="003CA0"/>
          <w:sz w:val="12"/>
        </w:rPr>
        <w:t xml:space="preserve"> | MS 23.914</w:t>
      </w:r>
      <w:r>
        <w:rPr>
          <w:color w:val="003CA0"/>
          <w:sz w:val="12"/>
        </w:rPr>
        <w:t xml:space="preserve"> | rel. Maurício Corrêa</w:t>
      </w:r>
    </w:p>
    <w:p>
      <w:pPr>
        <w:ind w:left="288"/>
      </w:pPr>
      <w:r>
        <w:rPr>
          <w:color w:val="1E1E1E"/>
          <w:sz w:val="18"/>
        </w:rPr>
        <w:t>Não tem legitimidade ativa ad causam para impetrar mandado de segurança o parlamentar que pretende defender prerrogativa do Congresso Nacional, visto que "direito individual, para fins de mandado de segurança, é o que pertence a quem o invoca e não apenas à sua categoria, corporação ou associação de classe" (MEIRELLES, Hely Lopes. Mandado de segurança e ação popular. 18. ed. SP: Malheiros, 1997. p. 34). (...) O princípio do pluripartidarismo não confere legitimidade a parlamentares da oposição ao governo que componham a minoria, os quais, desde o registro de sua candidatura, já têm consciência</w:t>
      </w:r>
    </w:p>
    <w:p>
      <w:pPr>
        <w:ind w:left="288"/>
      </w:pPr>
      <w:r>
        <w:rPr>
          <w:b/>
          <w:color w:val="003CA0"/>
          <w:sz w:val="16"/>
        </w:rPr>
        <w:t>[MS 23.914 AgR, rel. min. Maurício Corrêa, j. 20-6-2001, P, DJ de 24-8-2001.]</w:t>
      </w:r>
    </w:p>
    <w:p>
      <w:pPr>
        <w:ind w:left="288"/>
      </w:pPr>
      <w:r>
        <w:rPr>
          <w:color w:val="8C8C8C"/>
          <w:sz w:val="12"/>
        </w:rPr>
        <w:t>cf-art-17-inc-I</w:t>
      </w:r>
      <w:r>
        <w:rPr>
          <w:color w:val="003CA0"/>
          <w:sz w:val="12"/>
        </w:rPr>
        <w:t xml:space="preserve"> | ADI 7.415</w:t>
      </w:r>
      <w:r>
        <w:rPr>
          <w:color w:val="003CA0"/>
          <w:sz w:val="12"/>
        </w:rPr>
        <w:t xml:space="preserve"> | rel. André Mendonça</w:t>
      </w:r>
    </w:p>
    <w:p>
      <w:pPr>
        <w:ind w:left="288"/>
      </w:pPr>
      <w:r>
        <w:rPr>
          <w:color w:val="1E1E1E"/>
          <w:sz w:val="18"/>
        </w:rPr>
        <w:t>O cerne da controvérsia envolve os temas da responsabilidade civil dos diretórios partidários e da eventual solidariedade passiva entre os órgãos partidários nacional, estadual e municipal. Ambas as questões foram definidas pelo Supremo Tribunal Federal na ADC nº 31/DF, quando se atestou a constitucionalidade do art. 15-A da Lei nº 9.096/1995, e se estabeleceu a tese de que não há solidariedade passiva entre os diretórios partidários nacional, estadual e municipal quanto a obrigações de natureza cível e trabalhista. O caráter nacional dos partidos políticos (art. 17, I, da CF) e o princípio da</w:t>
      </w:r>
    </w:p>
    <w:p>
      <w:pPr>
        <w:ind w:left="288"/>
      </w:pPr>
      <w:r>
        <w:rPr>
          <w:b/>
          <w:color w:val="003CA0"/>
          <w:sz w:val="16"/>
        </w:rPr>
        <w:t>[ADI 7.415, rel. min. André Mendonça, j. 01.09.2025, P, DJE de 11.09.2025.]</w:t>
      </w:r>
    </w:p>
    <w:p>
      <w:pPr>
        <w:ind w:left="288"/>
      </w:pPr>
      <w:r>
        <w:rPr>
          <w:color w:val="8C8C8C"/>
          <w:sz w:val="12"/>
        </w:rPr>
        <w:t>cf-art-17-inc-I</w:t>
      </w:r>
      <w:r>
        <w:rPr>
          <w:color w:val="003CA0"/>
          <w:sz w:val="12"/>
        </w:rPr>
        <w:t xml:space="preserve"> | ACO 31</w:t>
      </w:r>
      <w:r>
        <w:rPr>
          <w:color w:val="003CA0"/>
          <w:sz w:val="12"/>
        </w:rPr>
        <w:t xml:space="preserve"> | rel. Dias Toffoli</w:t>
      </w:r>
    </w:p>
    <w:p>
      <w:pPr>
        <w:ind w:left="288"/>
      </w:pPr>
      <w:r>
        <w:rPr>
          <w:color w:val="1E1E1E"/>
          <w:sz w:val="18"/>
        </w:rPr>
        <w:t>A regra de responsabilização exclusiva do diretório partidário que, direta e individualmente, contrair obrigação, violar direito, ou, por qualquer modo, causar dano a outrem não ofende o caráter nacional dos partidos políticos, decorrendo logicamente do princípio da autonomia político-partidária e do princípio federativo, com os quais aquela determinação convive harmoniosamente.</w:t>
      </w:r>
    </w:p>
    <w:p>
      <w:pPr>
        <w:ind w:left="288"/>
      </w:pPr>
      <w:r>
        <w:rPr>
          <w:b/>
          <w:color w:val="003CA0"/>
          <w:sz w:val="16"/>
        </w:rPr>
        <w:t>[ACO 31, rel. min. Dias Toffoli, j. 22-9-2021, P, DJE de 15-2-2022.]</w:t>
      </w:r>
    </w:p>
    <w:p>
      <w:pPr>
        <w:ind w:left="288"/>
      </w:pPr>
      <w:r>
        <w:rPr>
          <w:color w:val="8C8C8C"/>
          <w:sz w:val="12"/>
        </w:rPr>
        <w:t>cf-art-17-inc-I</w:t>
      </w:r>
      <w:r>
        <w:rPr>
          <w:color w:val="003CA0"/>
          <w:sz w:val="12"/>
        </w:rPr>
        <w:t xml:space="preserve"> | ADI 5.311</w:t>
      </w:r>
      <w:r>
        <w:rPr>
          <w:color w:val="003CA0"/>
          <w:sz w:val="12"/>
        </w:rPr>
        <w:t xml:space="preserve"> | rel. Cármen Lúcia</w:t>
      </w:r>
    </w:p>
    <w:p>
      <w:pPr>
        <w:ind w:left="288"/>
      </w:pPr>
      <w:r>
        <w:rPr>
          <w:color w:val="1E1E1E"/>
          <w:sz w:val="18"/>
        </w:rPr>
        <w:t>A determinação constitucional de caráter nacional dos partidos políticos objetiva impedir a proliferação de agremiações sem expressão política, que podem atuar como ‘legendas de aluguel’, fraudando a representação, base do regime democrático.</w:t>
      </w:r>
    </w:p>
    <w:p>
      <w:pPr>
        <w:ind w:left="288"/>
      </w:pPr>
      <w:r>
        <w:rPr>
          <w:b/>
          <w:color w:val="003CA0"/>
          <w:sz w:val="16"/>
        </w:rPr>
        <w:t>[ADI 5.311, rel. min. Cármen Lúcia, j. 4-3-2020, P, DJE de 6-7-2020.]</w:t>
      </w:r>
    </w:p>
    <w:p>
      <w:pPr>
        <w:ind w:left="288"/>
      </w:pPr>
      <w:r>
        <w:rPr>
          <w:color w:val="8C8C8C"/>
          <w:sz w:val="12"/>
        </w:rPr>
        <w:t>cf-art-17-inc-I</w:t>
      </w:r>
      <w:r>
        <w:rPr>
          <w:color w:val="003CA0"/>
          <w:sz w:val="12"/>
        </w:rPr>
        <w:t xml:space="preserve"> | ADI 4.430</w:t>
      </w:r>
      <w:r>
        <w:rPr>
          <w:color w:val="003CA0"/>
          <w:sz w:val="12"/>
        </w:rPr>
        <w:t xml:space="preserve"> | rel. Dias Toffoli</w:t>
      </w:r>
    </w:p>
    <w:p>
      <w:pPr>
        <w:ind w:left="288"/>
      </w:pPr>
      <w:r>
        <w:rPr>
          <w:color w:val="1E1E1E"/>
          <w:sz w:val="18"/>
        </w:rPr>
        <w:t>O conteúdo do art. 45, § 6º, da Lei 9.504/1997 não afronta a exigência de observância do caráter nacional pelos partidos políticos, reforçando, ao contrário, as diretrizes de tal exigência constitucional, ao possibilitar ao partido político que se utilize, na propaganda eleitoral em âmbito regional, da imagem e da voz de candidato ou militante de partido político que integre a sua coligação em âmbito nacional. Cabe à Justiça Eleitoral ponderar sobre eventuais abusos e excessos na participação de figuras nacionais nas propagandas locais. A história dos partidos políticos no Brasil e a adoção do</w:t>
      </w:r>
    </w:p>
    <w:p>
      <w:pPr>
        <w:ind w:left="288"/>
      </w:pPr>
      <w:r>
        <w:rPr>
          <w:b/>
          <w:color w:val="003CA0"/>
          <w:sz w:val="16"/>
        </w:rPr>
        <w:t>[ADI 4.430, rel. min. Dias Toffoli, j. 29-6-2012, P, DJE de 19-9-2013.]</w:t>
      </w:r>
    </w:p>
    <w:p>
      <w:pPr>
        <w:ind w:left="288"/>
      </w:pPr>
      <w:r>
        <w:rPr>
          <w:color w:val="8C8C8C"/>
          <w:sz w:val="12"/>
        </w:rPr>
        <w:t>cf-art-17-inc-III</w:t>
      </w:r>
      <w:r>
        <w:rPr>
          <w:color w:val="003CA0"/>
          <w:sz w:val="12"/>
        </w:rPr>
        <w:t xml:space="preserve"> | ADI 7.677</w:t>
      </w:r>
      <w:r>
        <w:rPr>
          <w:color w:val="003CA0"/>
          <w:sz w:val="12"/>
        </w:rPr>
        <w:t xml:space="preserve"> | rel. Alexandre de Moraes</w:t>
      </w:r>
    </w:p>
    <w:p>
      <w:pPr>
        <w:ind w:left="288"/>
      </w:pPr>
      <w:r>
        <w:rPr>
          <w:color w:val="1E1E1E"/>
          <w:sz w:val="18"/>
        </w:rPr>
        <w:t>É constitucional a norma do TSE que condiciona a obtenção da certidão de quitação eleitoral à apresentação tempestiva das contas de campanha. A apresentação extemporânea das contas não afasta os efeitos da decisão judicial que reconheceu a sua não prestação. O impedimento de obter a quitação eleitoral até o término da legislatura é medida legítima e proporcional ao descumprimento do dever de prestar contas.</w:t>
      </w:r>
    </w:p>
    <w:p>
      <w:pPr>
        <w:ind w:left="288"/>
      </w:pPr>
      <w:r>
        <w:rPr>
          <w:b/>
          <w:color w:val="003CA0"/>
          <w:sz w:val="16"/>
        </w:rPr>
        <w:t>[ADI 7.677, rel. min. Alexandre de Moraes, j. 21.05.2025, P, DJE de 22.08.2025.]</w:t>
      </w:r>
    </w:p>
    <w:p>
      <w:pPr>
        <w:ind w:left="144"/>
      </w:pPr>
      <w:r>
        <w:rPr>
          <w:b/>
          <w:color w:val="B45A00"/>
          <w:sz w:val="16"/>
        </w:rPr>
        <w:t>CONTROLE CONCENTRADO</w:t>
      </w:r>
    </w:p>
    <w:p>
      <w:pPr>
        <w:ind w:left="288"/>
      </w:pPr>
      <w:r>
        <w:rPr>
          <w:color w:val="8C8C8C"/>
          <w:sz w:val="12"/>
        </w:rPr>
        <w:t>cf-art-17-inc-III</w:t>
      </w:r>
      <w:r>
        <w:rPr>
          <w:color w:val="003CA0"/>
          <w:sz w:val="12"/>
        </w:rPr>
        <w:t xml:space="preserve"> | ADI 4.899</w:t>
      </w:r>
      <w:r>
        <w:rPr>
          <w:color w:val="003CA0"/>
          <w:sz w:val="12"/>
        </w:rPr>
        <w:t xml:space="preserve"> | rel. Dias Toffoli</w:t>
      </w:r>
    </w:p>
    <w:p>
      <w:pPr>
        <w:ind w:left="288"/>
      </w:pPr>
      <w:r>
        <w:rPr>
          <w:color w:val="1E1E1E"/>
          <w:sz w:val="18"/>
        </w:rPr>
        <w:t>O dever de prestar contas à Justiça Eleitoral imposto aos partidos políticos, previsto no art. 17, inciso III, da Constituição Federal, decorre da necessidade de se averiguarem a origem e a destinação dos recursos financeiros movimentados por candidatos e partidos políticos, entidades cujo financiamento provém preponderantemente do Fundo Partidário e, atualmente, do Fundo Especial de Financiamento de Campanha (instituído pela Lei nº 13.487, de 6/10/17). Após alguma oscilação jurisprudencial, o legislador ordinário veio a disciplinar o instituto por meio da Lei nº 12.034/09, e, ao incluir o § 7</w:t>
      </w:r>
    </w:p>
    <w:p>
      <w:pPr>
        <w:ind w:left="288"/>
      </w:pPr>
      <w:r>
        <w:rPr>
          <w:color w:val="8C8C8C"/>
          <w:sz w:val="12"/>
        </w:rPr>
        <w:t>cf-art-17-inc-IV</w:t>
      </w:r>
      <w:r>
        <w:rPr>
          <w:color w:val="003CA0"/>
          <w:sz w:val="12"/>
        </w:rPr>
        <w:t xml:space="preserve"> | ADI 7.649</w:t>
      </w:r>
      <w:r>
        <w:rPr>
          <w:color w:val="003CA0"/>
          <w:sz w:val="12"/>
        </w:rPr>
        <w:t xml:space="preserve"> | rel. Edson Fachin</w:t>
      </w:r>
    </w:p>
    <w:p>
      <w:pPr>
        <w:ind w:left="288"/>
      </w:pPr>
      <w:r>
        <w:rPr>
          <w:color w:val="1E1E1E"/>
          <w:sz w:val="18"/>
        </w:rPr>
        <w:t>O art. 17, IV, da Constituição Federal assegura o funcionamento parlamentar dos partidos políticos “de acordo com a lei”, atribuindo ao legislador federal a tarefa de regulamentar o tema, o que foi feito no art. 12 da Lei nº 9.096/1995, ao remeter a disciplina à combinação entre estatuto partidário, regimentos internos das Casas Legislativas e a própria lei. A definição de critérios de representatividade mínima para formação de blocos e lideranças constitui matéria interna corporis, cuja regulamentação é de competência das próprias Casas Legislativas, respeitado o ordenamento constitucional. A</w:t>
      </w:r>
    </w:p>
    <w:p>
      <w:pPr>
        <w:ind w:left="288"/>
      </w:pPr>
      <w:r>
        <w:rPr>
          <w:b/>
          <w:color w:val="003CA0"/>
          <w:sz w:val="16"/>
        </w:rPr>
        <w:t>[ADI 7.649, rel. min. Edson Fachin, j. 25.08.2025, P, DJE de 08.09.2025.]</w:t>
      </w:r>
    </w:p>
    <w:p>
      <w:pPr>
        <w:ind w:left="288"/>
      </w:pPr>
      <w:r>
        <w:rPr>
          <w:color w:val="8C8C8C"/>
          <w:sz w:val="12"/>
        </w:rPr>
        <w:t>cf-art-17-inc-IV</w:t>
      </w:r>
      <w:r>
        <w:rPr>
          <w:color w:val="003CA0"/>
          <w:sz w:val="12"/>
        </w:rPr>
        <w:t xml:space="preserve"> | ADI 7.415</w:t>
      </w:r>
      <w:r>
        <w:rPr>
          <w:color w:val="003CA0"/>
          <w:sz w:val="12"/>
        </w:rPr>
        <w:t xml:space="preserve"> | rel. André Mendonça</w:t>
      </w:r>
    </w:p>
    <w:p>
      <w:pPr>
        <w:ind w:left="288"/>
      </w:pPr>
      <w:r>
        <w:rPr>
          <w:color w:val="1E1E1E"/>
          <w:sz w:val="18"/>
        </w:rPr>
        <w:t>§ 1º É assegurada aos partidos políticos autonomia para definir sua estrutura interna e estabelecer regras sobre escolha, formação e duração de seus órgãos permanentes e provisórios e sobre sua organização e funcionamento e para adotar os critérios de escolha e o regime de suas coligações nas eleições majoritárias, vedada a sua celebração nas eleições proporcionais, sem obrigatoriedade de vinculação entre as candidaturas em âmbito nacional, estadual, distrital ou municipal, devendo seus estatutos estabelecer normas de disciplina e fidelidade partidária. (Redação da EC n. 97/2017) O cerne da co</w:t>
      </w:r>
    </w:p>
    <w:p>
      <w:pPr>
        <w:ind w:left="288"/>
      </w:pPr>
      <w:r>
        <w:rPr>
          <w:b/>
          <w:color w:val="003CA0"/>
          <w:sz w:val="16"/>
        </w:rPr>
        <w:t>[ADI 7.415, rel. min. André Mendonça, j. 01.09.2025, P, DJE de 11.09.2025.]</w:t>
      </w:r>
    </w:p>
    <w:p>
      <w:pPr>
        <w:ind w:left="288"/>
      </w:pPr>
      <w:r>
        <w:rPr>
          <w:color w:val="8C8C8C"/>
          <w:sz w:val="12"/>
        </w:rPr>
        <w:t>cf-art-17-inc-IV</w:t>
      </w:r>
      <w:r>
        <w:rPr>
          <w:color w:val="003CA0"/>
          <w:sz w:val="12"/>
        </w:rPr>
        <w:t xml:space="preserve"> | ADI 7.021</w:t>
      </w:r>
      <w:r>
        <w:rPr>
          <w:color w:val="003CA0"/>
          <w:sz w:val="12"/>
        </w:rPr>
        <w:t xml:space="preserve"> | rel. Luís Roberto Barroso</w:t>
      </w:r>
    </w:p>
    <w:p>
      <w:pPr>
        <w:ind w:left="288"/>
      </w:pPr>
      <w:r>
        <w:rPr>
          <w:color w:val="1E1E1E"/>
          <w:sz w:val="18"/>
        </w:rPr>
        <w:t>“1. É constitucional a Lei nº 14.208/2021, que institui as federações partidárias, salvo quanto ao prazo para seu registro, que deverá ser o mesmo aplicável aos partidos políticos. Excepcionalmente, nas eleições de 2022, o prazo para constituição de federações partidárias foi estendido até 31 de maio do mesmo ano. 2. No caso das federações constituídas em 2022, admite-se que, nas eleições de 2026, os partidos que as integraram possam alterar sua composição ou formar nova federação antes do decurso do prazo de quatro anos, sem a incidência das sanções previstas no art. 11-A, § 4º, da Lei nº 9.0</w:t>
      </w:r>
    </w:p>
    <w:p>
      <w:pPr>
        <w:ind w:left="288"/>
      </w:pPr>
      <w:r>
        <w:rPr>
          <w:b/>
          <w:color w:val="003CA0"/>
          <w:sz w:val="16"/>
        </w:rPr>
        <w:t>[ADI 7.021, rel. min. Luís Roberto Barroso, j. 06.08.2025, P, DJE de 11.11.2025.]</w:t>
      </w:r>
    </w:p>
    <w:p>
      <w:pPr>
        <w:ind w:left="288"/>
      </w:pPr>
      <w:r>
        <w:rPr>
          <w:color w:val="8C8C8C"/>
          <w:sz w:val="12"/>
        </w:rPr>
        <w:t>cf-art-17-inc-IV</w:t>
      </w:r>
      <w:r>
        <w:rPr>
          <w:color w:val="003CA0"/>
          <w:sz w:val="12"/>
        </w:rPr>
        <w:t xml:space="preserve"> | ADI 5.875</w:t>
      </w:r>
      <w:r>
        <w:rPr>
          <w:color w:val="003CA0"/>
          <w:sz w:val="12"/>
        </w:rPr>
        <w:t xml:space="preserve"> | rel. Luiz Fux</w:t>
      </w:r>
    </w:p>
    <w:p>
      <w:pPr>
        <w:ind w:left="288"/>
      </w:pPr>
      <w:r>
        <w:rPr>
          <w:color w:val="1E1E1E"/>
          <w:sz w:val="18"/>
        </w:rPr>
        <w:t xml:space="preserve">Impõe-se a exclusão do sistema de interpretação do §1º do art. 17 da CF (redação da EC nº 97/2017) que permita aos partidos políticos estabelecerem por tempo indeterminado e excessivo o prazo de duração de seus órgãos provisórios, sob pena de ofensa aos princípios democrático e republicano, que impõem a alternância de poder. (...) interpretação conforme à Constituição à expressão “duração de seus órgãos (...) provisórios”, constante do §1º do art. 17 da CF (com a redação dada pela EC nº 97/2017), para: (i) definir que os órgãos partidários provisórios possuem prazo máximo de vigência de até 4 </w:t>
      </w:r>
    </w:p>
    <w:p>
      <w:pPr>
        <w:ind w:left="288"/>
      </w:pPr>
      <w:r>
        <w:rPr>
          <w:b/>
          <w:color w:val="003CA0"/>
          <w:sz w:val="16"/>
        </w:rPr>
        <w:t>[ADI 5.875, rel. min. Luiz Fux, j. 28.05.2025, P, DJE de 28.08.2025.]</w:t>
      </w:r>
    </w:p>
    <w:p>
      <w:pPr>
        <w:ind w:left="288"/>
      </w:pPr>
      <w:r>
        <w:rPr>
          <w:color w:val="8C8C8C"/>
          <w:sz w:val="12"/>
        </w:rPr>
        <w:t>cf-art-17-inc-IV</w:t>
      </w:r>
      <w:r>
        <w:rPr>
          <w:color w:val="003CA0"/>
          <w:sz w:val="12"/>
        </w:rPr>
        <w:t xml:space="preserve"> | ADI 7.214</w:t>
      </w:r>
      <w:r>
        <w:rPr>
          <w:color w:val="003CA0"/>
          <w:sz w:val="12"/>
        </w:rPr>
        <w:t xml:space="preserve"> | rel. Ricardo Lewandowski</w:t>
      </w:r>
    </w:p>
    <w:p>
      <w:pPr>
        <w:ind w:left="288"/>
      </w:pPr>
      <w:r>
        <w:rPr>
          <w:color w:val="1E1E1E"/>
          <w:sz w:val="18"/>
        </w:rPr>
        <w:t>Os arts. 17, § 2°, I, II; e 19, § 7°, I, II, da Resolução TSE 23.607/2019 não vedaram o repasse de recursos do Fundo Especial de Financiamento de Campanha – FEFC e do Fundo Partidário aos partidos coligados, de modo a limitar a sua autonomia. O montante do FEFC e do Fundo Partidário a serem repartidos entre as agremiações políticas são definidos pelo critério de representatividade destas no Congresso Nacional, com base no § 3° do art. 17 da Constituição, não se afigurando razoável, por corolário lógico, permitir o repasse a candidatos de partidos distintos não pertencentes à mesma coligação. A</w:t>
      </w:r>
    </w:p>
    <w:p>
      <w:pPr>
        <w:ind w:left="288"/>
      </w:pPr>
      <w:r>
        <w:rPr>
          <w:b/>
          <w:color w:val="003CA0"/>
          <w:sz w:val="16"/>
        </w:rPr>
        <w:t>[ADI 7.214, rel. min. Ricardo Lewandowski, j. 3-10-2022, P, DJE de 5-10-2022.]</w:t>
      </w:r>
    </w:p>
    <w:p>
      <w:pPr>
        <w:ind w:left="288"/>
      </w:pPr>
      <w:r>
        <w:rPr>
          <w:color w:val="8C8C8C"/>
          <w:sz w:val="12"/>
        </w:rPr>
        <w:t>cf-art-17-inc-IV</w:t>
      </w:r>
      <w:r>
        <w:rPr>
          <w:color w:val="003CA0"/>
          <w:sz w:val="12"/>
        </w:rPr>
        <w:t xml:space="preserve"> | ADI 6.230</w:t>
      </w:r>
      <w:r>
        <w:rPr>
          <w:color w:val="003CA0"/>
          <w:sz w:val="12"/>
        </w:rPr>
        <w:t xml:space="preserve"> | rel. Ricardo Lewandowski</w:t>
      </w:r>
    </w:p>
    <w:p>
      <w:pPr>
        <w:ind w:left="288"/>
      </w:pPr>
      <w:r>
        <w:rPr>
          <w:color w:val="1E1E1E"/>
          <w:sz w:val="18"/>
        </w:rPr>
        <w:t>Concessão de interpretação conforme à Constituição ao § 2º do art. 3º da Lei 9.096/1995, na redação dada pela Lei 13.831/2019, para assentar que os partidos políticos podem, no exercício de sua autonomia constitucional, estabelecer a duração dos mandatos de seus dirigentes desde que compatível com o princípio republicano da alternância do poder concretizado por meio da realização de eleições periódicas em prazo razoável. Inconstitucionalidade do art. 3º, § 3º, da Lei 9.096/1995, na redação dada pela Lei 13.831/2019, ao fixar o prazo de duração de até 8 (oito) anos das comissões provisórias. Pe</w:t>
      </w:r>
    </w:p>
    <w:p>
      <w:pPr>
        <w:ind w:left="288"/>
      </w:pPr>
      <w:r>
        <w:rPr>
          <w:b/>
          <w:color w:val="003CA0"/>
          <w:sz w:val="16"/>
        </w:rPr>
        <w:t>[ADI 6.230, rel. min. Ricardo Lewandowski, j. 8-8-2022, P, DJE de 16-8-2022.]</w:t>
      </w:r>
    </w:p>
    <w:p>
      <w:pPr>
        <w:ind w:left="288"/>
      </w:pPr>
      <w:r>
        <w:rPr>
          <w:color w:val="8C8C8C"/>
          <w:sz w:val="12"/>
        </w:rPr>
        <w:t>cf-art-17-inc-IV</w:t>
      </w:r>
      <w:r>
        <w:rPr>
          <w:color w:val="003CA0"/>
          <w:sz w:val="12"/>
        </w:rPr>
        <w:t xml:space="preserve"> | ADI 7.021</w:t>
      </w:r>
      <w:r>
        <w:rPr>
          <w:color w:val="003CA0"/>
          <w:sz w:val="12"/>
        </w:rPr>
        <w:t xml:space="preserve"> | rel. Roberto Barroso</w:t>
      </w:r>
    </w:p>
    <w:p>
      <w:pPr>
        <w:ind w:left="288"/>
      </w:pPr>
      <w:r>
        <w:rPr>
          <w:color w:val="1E1E1E"/>
          <w:sz w:val="18"/>
        </w:rPr>
        <w:t>A lei questionada – Lei 14.208/2021 – alterou a redação da Lei 9.096/1995, criando o instituto da federação partidária. Essa nova figura permite a união entre partidos políticos, inclusive para concorrerem em eleições proporcionais (para deputado federal, estadual e vereador). (...) A federação partidária possui importantes pontos de distinção em relação às coligações, que em boa hora foram proibidas. As coligações consistiam na reunião puramente circunstancial de partidos, para fins eleitorais, sem qualquer compromisso de alinhamento programático. Tal fato permitia, por exemplo, que o voto do</w:t>
      </w:r>
    </w:p>
    <w:p>
      <w:pPr>
        <w:ind w:left="288"/>
      </w:pPr>
      <w:r>
        <w:rPr>
          <w:b/>
          <w:color w:val="003CA0"/>
          <w:sz w:val="16"/>
        </w:rPr>
        <w:t>[ADI 7.021 MC-Ref, rel. min. Roberto Barroso, j. 9-2-2022, P, DJE de 17-5-2022.]</w:t>
      </w:r>
    </w:p>
    <w:p>
      <w:pPr>
        <w:ind w:left="288"/>
      </w:pPr>
      <w:r>
        <w:rPr>
          <w:color w:val="8C8C8C"/>
          <w:sz w:val="12"/>
        </w:rPr>
        <w:t>cf-art-17-inc-IV</w:t>
      </w:r>
      <w:r>
        <w:rPr>
          <w:color w:val="003CA0"/>
          <w:sz w:val="12"/>
        </w:rPr>
        <w:t xml:space="preserve"> | ADI 2.530</w:t>
      </w:r>
      <w:r>
        <w:rPr>
          <w:color w:val="003CA0"/>
          <w:sz w:val="12"/>
        </w:rPr>
        <w:t xml:space="preserve"> | rel. Nunes Marques</w:t>
      </w:r>
    </w:p>
    <w:p>
      <w:pPr>
        <w:ind w:left="288"/>
      </w:pPr>
      <w:r>
        <w:rPr>
          <w:color w:val="1E1E1E"/>
          <w:sz w:val="18"/>
        </w:rPr>
        <w:t>Conquanto tenham sido feitas modificações no art. 17, § 1º, da Constituição Federal, por meio da Emenda Constitucional n. 97/2017, manteve-se a plena eficácia da essência do parâmetro constitucional invocado (autonomia partidária). A “candidatura nata”, prevista no art. 8º, § 1º, da Lei n. 9.504/1997, é incompatível com a Constituição Federal, tanto por violar a isonomia entre os postulantes a cargos eletivos quanto por atingir o âmago da autonomia partidária. A criação desse instituto ocorreu nos anos 1970 e teve o nítido propósito de proteger os titulares de mandatos parlamentares contra riv</w:t>
      </w:r>
    </w:p>
    <w:p>
      <w:pPr>
        <w:ind w:left="288"/>
      </w:pPr>
      <w:r>
        <w:rPr>
          <w:b/>
          <w:color w:val="003CA0"/>
          <w:sz w:val="16"/>
        </w:rPr>
        <w:t>[ADI 2.530, rel. min. Nunes Marques, j. 18-8-2021, P, DJE de 6-12-2021.]</w:t>
      </w:r>
    </w:p>
    <w:p>
      <w:pPr>
        <w:ind w:left="288"/>
      </w:pPr>
      <w:r>
        <w:rPr>
          <w:color w:val="8C8C8C"/>
          <w:sz w:val="12"/>
        </w:rPr>
        <w:t>cf-art-17-inc-IV</w:t>
      </w:r>
      <w:r>
        <w:rPr>
          <w:color w:val="003CA0"/>
          <w:sz w:val="12"/>
        </w:rPr>
        <w:t xml:space="preserve"> | ADI 5.617</w:t>
      </w:r>
      <w:r>
        <w:rPr>
          <w:color w:val="003CA0"/>
          <w:sz w:val="12"/>
        </w:rPr>
        <w:t xml:space="preserve"> | rel. Edson Fachin</w:t>
      </w:r>
    </w:p>
    <w:p>
      <w:pPr>
        <w:ind w:left="288"/>
      </w:pPr>
      <w:r>
        <w:rPr>
          <w:color w:val="1E1E1E"/>
          <w:sz w:val="18"/>
        </w:rPr>
        <w:t>Art. 9º da Lei 13.165/2015. Fixação de piso (5%) e de teto (15%) do montante do fundo partidário destinado ao financimento das campanhas eleitorais para a aplicação nas campanhas de candidatas. (...) A autonomia partidária não consagra regra que exima o partido do respeito incondicional aos direitos fundamentais, pois é precisamente na artificiosa segmentação entre o público e o privado que reside a principal forma de discriminação das mulheres. Ação direta julgada procedente para: (i) declarar a inconstitucionalidade da expressão ‘três’ contida no art. 9º da Lei 13.165/2015; (ii) dar interpre</w:t>
      </w:r>
    </w:p>
    <w:p>
      <w:pPr>
        <w:ind w:left="288"/>
      </w:pPr>
      <w:r>
        <w:rPr>
          <w:b/>
          <w:color w:val="003CA0"/>
          <w:sz w:val="16"/>
        </w:rPr>
        <w:t>[ADI 5.617, rel. min. Edson Fachin, j. 15-3-2018, P, DJE de 3-10-2018.]</w:t>
      </w:r>
    </w:p>
    <w:p>
      <w:pPr>
        <w:ind w:left="288"/>
      </w:pPr>
      <w:r>
        <w:rPr>
          <w:color w:val="8C8C8C"/>
          <w:sz w:val="12"/>
        </w:rPr>
        <w:t>cf-art-17-inc-IV</w:t>
      </w:r>
      <w:r>
        <w:rPr>
          <w:color w:val="003CA0"/>
          <w:sz w:val="12"/>
        </w:rPr>
        <w:t xml:space="preserve"> | MS 26.602</w:t>
      </w:r>
      <w:r>
        <w:rPr>
          <w:color w:val="003CA0"/>
          <w:sz w:val="12"/>
        </w:rPr>
        <w:t xml:space="preserve"> | rel. Roberto Barroso</w:t>
      </w:r>
    </w:p>
    <w:p>
      <w:pPr>
        <w:ind w:left="288"/>
      </w:pPr>
      <w:r>
        <w:rPr>
          <w:color w:val="1E1E1E"/>
          <w:sz w:val="18"/>
        </w:rPr>
        <w:t>Inaplicabilidade da regra de perda do mandato por infidelidade partidária ao sistema eleitoral majoritário. (...) As decisões no MS 26.602, no MS 26.603 e no MS 26.604 tiveram como pano de fundo o sistema proporcional, que é adotado para a eleição de deputados federais, estaduais e vereadores. As características do sistema proporcional, com sua ênfase nos votos obtidos pelos partidos, tornam a fidelidade partidária importante para garantir que as opções políticas feitas pelo eleitor no momento da eleição sejam minimamente preservadas. Daí a legitimidade de se decretar a perda do mandato do can</w:t>
      </w:r>
    </w:p>
    <w:p>
      <w:pPr>
        <w:ind w:left="288"/>
      </w:pPr>
      <w:r>
        <w:rPr>
          <w:b/>
          <w:color w:val="003CA0"/>
          <w:sz w:val="16"/>
        </w:rPr>
        <w:t>[ADI 5.081, rel. min. Roberto Barroso, j. 27-5-2015, P, DJE de 19-8-2015.]</w:t>
        <w:br/>
        <w:t>Vide MS 26.604, rel. min. Cármen Lúcia, j. 4-10-2007, P, DJE de 3-10-2008</w:t>
      </w:r>
    </w:p>
    <w:p>
      <w:pPr>
        <w:ind w:left="288"/>
      </w:pPr>
      <w:r>
        <w:rPr>
          <w:color w:val="8C8C8C"/>
          <w:sz w:val="12"/>
        </w:rPr>
        <w:t>cf-art-17-inc-IV</w:t>
      </w:r>
      <w:r>
        <w:rPr>
          <w:color w:val="003CA0"/>
          <w:sz w:val="12"/>
        </w:rPr>
        <w:t xml:space="preserve"> | MS 26.602</w:t>
      </w:r>
      <w:r>
        <w:rPr>
          <w:color w:val="003CA0"/>
          <w:sz w:val="12"/>
        </w:rPr>
        <w:t xml:space="preserve"> | rel. Joaquim Barbosa</w:t>
      </w:r>
    </w:p>
    <w:p>
      <w:pPr>
        <w:ind w:left="288"/>
      </w:pPr>
      <w:r>
        <w:rPr>
          <w:color w:val="1E1E1E"/>
          <w:sz w:val="18"/>
        </w:rPr>
        <w:t>Fidelidade partidária. Ação direta de inconstitucionalidade ajuizada contra as Resoluções 22.610/2007 e 22.733/2008, que disciplinam a perda do cargo eletivo e o processo de justificação da desfiliação partidária. (...) O STF, por ocasião do julgamento dos MS 26.602, MS 26.603 e MS 26.604, reconheceu a existência do dever constitucional de observância do princípio da fidelidade partidária. (...) Não faria sentido a Corte reconhecer a existência de um direito constitucional sem prever um instrumento para assegurá-lo. As resoluções impugnadas surgem em contexto excepcional e transitório, tão som</w:t>
      </w:r>
    </w:p>
    <w:p>
      <w:pPr>
        <w:ind w:left="144"/>
      </w:pPr>
      <w:r>
        <w:rPr>
          <w:b/>
          <w:color w:val="B45A00"/>
          <w:sz w:val="16"/>
        </w:rPr>
        <w:t>JULGADOS CORRELATOS</w:t>
      </w:r>
    </w:p>
    <w:p>
      <w:pPr>
        <w:ind w:left="288"/>
      </w:pPr>
      <w:r>
        <w:rPr>
          <w:color w:val="8C8C8C"/>
          <w:sz w:val="12"/>
        </w:rPr>
        <w:t>cf-art-17-inc-IV</w:t>
      </w:r>
      <w:r>
        <w:rPr>
          <w:color w:val="003CA0"/>
          <w:sz w:val="12"/>
        </w:rPr>
        <w:t xml:space="preserve"> | MS 27.938</w:t>
      </w:r>
      <w:r>
        <w:rPr>
          <w:color w:val="003CA0"/>
          <w:sz w:val="12"/>
        </w:rPr>
        <w:t xml:space="preserve"> | rel. Joaquim Barbosa</w:t>
      </w:r>
    </w:p>
    <w:p>
      <w:pPr>
        <w:ind w:left="288"/>
      </w:pPr>
      <w:r>
        <w:rPr>
          <w:color w:val="1E1E1E"/>
          <w:sz w:val="18"/>
        </w:rPr>
        <w:t>O reconhecimento da justa causa para transferência de partido político afasta a perda do mandato eletivo por infidelidade partidária. Contudo, ela não transfere ao novo partido o direito de sucessão à vaga.</w:t>
        <w:br/>
        <w:t>[MS 27.938, rel. min. Joaquim Barbosa, j. 11-3-2010, P, DJE de 30-4-2010.]</w:t>
        <w:br/>
        <w:t>Vide MS 26.604, rel. min. Cármen Lúcia, j. 4-10-2007, P, DJE de 3-10-2008 Mandado de segurança contra ato do presidente da Câmara dos Deputados. Vacância dos cargos de deputado federal dos litisconsortes passivos, deputados federais eleitos pelo partido impetrante e transferidos, por vontade própria, para outra agrem</w:t>
      </w:r>
    </w:p>
    <w:p>
      <w:pPr>
        <w:ind w:left="288"/>
      </w:pPr>
      <w:r>
        <w:rPr>
          <w:color w:val="8C8C8C"/>
          <w:sz w:val="12"/>
        </w:rPr>
        <w:t>cf-art-17-par-2</w:t>
      </w:r>
      <w:r>
        <w:rPr>
          <w:color w:val="003CA0"/>
          <w:sz w:val="12"/>
        </w:rPr>
        <w:t xml:space="preserve"> | RE 164.458</w:t>
      </w:r>
      <w:r>
        <w:rPr>
          <w:color w:val="003CA0"/>
          <w:sz w:val="12"/>
        </w:rPr>
        <w:t xml:space="preserve"> | rel. Celso de Mello</w:t>
      </w:r>
    </w:p>
    <w:p>
      <w:pPr>
        <w:ind w:left="288"/>
      </w:pPr>
      <w:r>
        <w:rPr>
          <w:color w:val="1E1E1E"/>
          <w:sz w:val="18"/>
        </w:rPr>
        <w:t>O procedimento de registro partidário, embora formalmente instaurado perante órgão do Poder Judiciário (TSE), reveste-se de natureza materialmente administrativa. Destina-se a permitir ao TSE a verificação dos requisitos constitucionais e legais que, atendidos pelo partido político, legitimarão a outorga de plena capacidade jurídico-eleitoral à agremiação partidária interessada. A natureza jurídico-administrativa do procedimento de registro partidário impede que este se qualifique como causa para efeito de impugnação, pela via recursal extraordinária, da decisão nele proferida.</w:t>
      </w:r>
    </w:p>
    <w:p>
      <w:pPr>
        <w:ind w:left="288"/>
      </w:pPr>
      <w:r>
        <w:rPr>
          <w:b/>
          <w:color w:val="003CA0"/>
          <w:sz w:val="16"/>
        </w:rPr>
        <w:t>[RE 164.458 AgR, rel. min. Celso de Mello, j. 27-4-1995, P, DJ de 2-6-1995.]</w:t>
      </w:r>
    </w:p>
    <w:p>
      <w:pPr>
        <w:ind w:left="288"/>
      </w:pPr>
      <w:r>
        <w:rPr>
          <w:color w:val="8C8C8C"/>
          <w:sz w:val="12"/>
        </w:rPr>
        <w:t>cf-art-17-par-3</w:t>
      </w:r>
      <w:r>
        <w:rPr>
          <w:color w:val="003CA0"/>
          <w:sz w:val="12"/>
        </w:rPr>
        <w:t xml:space="preserve"> | ADPF 1.017</w:t>
      </w:r>
      <w:r>
        <w:rPr>
          <w:color w:val="003CA0"/>
          <w:sz w:val="12"/>
        </w:rPr>
        <w:t xml:space="preserve"> | rel. Gilmar Mendes</w:t>
      </w:r>
    </w:p>
    <w:p>
      <w:pPr>
        <w:ind w:left="288"/>
      </w:pPr>
      <w:r>
        <w:rPr>
          <w:color w:val="1E1E1E"/>
          <w:sz w:val="18"/>
        </w:rPr>
        <w:t xml:space="preserve">O emprego de instrumento como a penhora pelo Estado-juiz, no curso das campanhas eleitorais, em face dos partidos políticos e das candidaturas, tem elevado potencial de transgredir o dever de neutralidade e, em consequência, violar a paridade de armas e a liberdade de voto. Consoante previsto no art. 833, XI, do Código de Processo Civil, como regra geral, os recursos provenientes do fundo partidário repassados aos partidos políticos são impenhoráveis. Essa hipótese de impenhorabilidade ganha ainda maior significado no curso de campanhas eleitorais em face da imprescindibilidade de verbas para </w:t>
      </w:r>
    </w:p>
    <w:p>
      <w:pPr>
        <w:ind w:left="288"/>
      </w:pPr>
      <w:r>
        <w:rPr>
          <w:b/>
          <w:color w:val="003CA0"/>
          <w:sz w:val="16"/>
        </w:rPr>
        <w:t>[ADPF 1.017 TPI-REF, rel. min. Gilmar Mendes, j. 01.09.2025, P, DJE de 08.09.2025.]</w:t>
      </w:r>
    </w:p>
    <w:p>
      <w:pPr>
        <w:ind w:left="144"/>
      </w:pPr>
      <w:r>
        <w:rPr>
          <w:b/>
          <w:color w:val="B45A00"/>
          <w:sz w:val="16"/>
        </w:rPr>
        <w:t>CONTROLE CONCENTRADO</w:t>
      </w:r>
    </w:p>
    <w:p>
      <w:pPr>
        <w:ind w:left="288"/>
      </w:pPr>
      <w:r>
        <w:rPr>
          <w:color w:val="8C8C8C"/>
          <w:sz w:val="12"/>
        </w:rPr>
        <w:t>cf-art-17-par-3</w:t>
      </w:r>
      <w:r>
        <w:rPr>
          <w:color w:val="003CA0"/>
          <w:sz w:val="12"/>
        </w:rPr>
        <w:t xml:space="preserve"> | ADI 7.214</w:t>
      </w:r>
      <w:r>
        <w:rPr>
          <w:color w:val="003CA0"/>
          <w:sz w:val="12"/>
        </w:rPr>
        <w:t xml:space="preserve"> | rel. Ricardo Lewandowski</w:t>
      </w:r>
    </w:p>
    <w:p>
      <w:pPr>
        <w:ind w:left="288"/>
      </w:pPr>
      <w:r>
        <w:rPr>
          <w:color w:val="1E1E1E"/>
          <w:sz w:val="18"/>
        </w:rPr>
        <w:t>Os arts. 17, § 2°, I, II; e 19, § 7°, I, II, da Resolução TSE 23.607/2019 não vedaram o repasse de recursos do Fundo Especial de Financiamento de Campanha – FEFC e do Fundo Partidário aos partidos coligados, de modo a limitar a sua autonomia. O montante do FEFC e do Fundo Partidário a serem repartidos entre as agremiações políticas são definidos pelo critério de representatividade destas no Congresso Nacional, com base no § 3° do art. 17 da Constituição, não se afigurando razoável, por corolário lógico, permitir o repasse a candidatos de partidos distintos não pertencentes à mesma coligação. A</w:t>
      </w:r>
    </w:p>
    <w:p>
      <w:pPr>
        <w:ind w:left="288"/>
      </w:pPr>
      <w:r>
        <w:rPr>
          <w:b/>
          <w:color w:val="003CA0"/>
          <w:sz w:val="16"/>
        </w:rPr>
        <w:t>[ADI 7.214, rel. min. Ricardo Lewandowski, j. 3-10-2022, P, DJE de 5-10-2022.]</w:t>
      </w:r>
    </w:p>
    <w:p>
      <w:pPr>
        <w:ind w:left="288"/>
      </w:pPr>
      <w:r>
        <w:rPr>
          <w:color w:val="8C8C8C"/>
          <w:sz w:val="12"/>
        </w:rPr>
        <w:t>cf-art-17-par-3</w:t>
      </w:r>
      <w:r>
        <w:rPr>
          <w:color w:val="003CA0"/>
          <w:sz w:val="12"/>
        </w:rPr>
        <w:t xml:space="preserve"> | ADI 5.795</w:t>
      </w:r>
      <w:r>
        <w:rPr>
          <w:color w:val="003CA0"/>
          <w:sz w:val="12"/>
        </w:rPr>
        <w:t xml:space="preserve"> | rel. Rosa Weber</w:t>
      </w:r>
    </w:p>
    <w:p>
      <w:pPr>
        <w:ind w:left="288"/>
      </w:pPr>
      <w:r>
        <w:rPr>
          <w:color w:val="1E1E1E"/>
          <w:sz w:val="18"/>
        </w:rPr>
        <w:t>O Fundo Eleitoral de Financiamento de Campanha (FEFC), a teor do art. 16-C, caput, da Lei 9.504/1997, incluído pela Lei 13.487/2017, consubstancia um fundo constituído apenas em anos eleitorais, para o qual é destinado parcela do orçamento da União Federal, com objetivo, exclusivo, de financiar, com recursos públicos, as campanhas eleitorais. Inexiste, na Constituição da República, qualquer norma que estabeleça a exclusividade do Fundo Partidário e impeça a criação de novos fundos destinados ao financiamento de partidos políticos e de campanhas eleitorais, tampouco há norma impondo que essa te</w:t>
      </w:r>
    </w:p>
    <w:p>
      <w:pPr>
        <w:ind w:left="288"/>
      </w:pPr>
      <w:r>
        <w:rPr>
          <w:b/>
          <w:color w:val="003CA0"/>
          <w:sz w:val="16"/>
        </w:rPr>
        <w:t>[ADI 5.795 MC, rel. min. Rosa Weber, j. 22-8-2022, P, DJE de 29-8-2022.]</w:t>
      </w:r>
    </w:p>
    <w:p>
      <w:pPr>
        <w:ind w:left="288"/>
      </w:pPr>
      <w:r>
        <w:rPr>
          <w:color w:val="8C8C8C"/>
          <w:sz w:val="12"/>
        </w:rPr>
        <w:t>cf-art-17-par-3</w:t>
      </w:r>
      <w:r>
        <w:rPr>
          <w:color w:val="003CA0"/>
          <w:sz w:val="12"/>
        </w:rPr>
        <w:t xml:space="preserve"> | ADI 5.487</w:t>
      </w:r>
    </w:p>
    <w:p>
      <w:pPr>
        <w:ind w:left="288"/>
      </w:pPr>
      <w:r>
        <w:rPr>
          <w:color w:val="1E1E1E"/>
          <w:sz w:val="18"/>
        </w:rPr>
        <w:t>As emissoras de tv e rádio têm a faculdade de realizar debates eleitorais. Optando, no entanto, por promovê-los, têm de obedecer a diretrizes mínimas fixadas em lei, com a finalidade de assegurar (i) o pluralismo político (democracia), (ii) a paridade de armas entre os candidatos na disputa eleitoral (isonomia), e (iii) o direito à informação dos eleitores (liberdade de expressão). (...) Em relação à definição dos participantes dos debates, é válida a fixação, por lei, de um critério objetivo que conceda a parcela dos candidatos (os "candidatos aptos") direito subjetivo à participação nos deba</w:t>
      </w:r>
    </w:p>
    <w:p>
      <w:pPr>
        <w:ind w:left="288"/>
      </w:pPr>
      <w:r>
        <w:rPr>
          <w:b/>
          <w:color w:val="003CA0"/>
          <w:sz w:val="16"/>
        </w:rPr>
        <w:t>[ADI 5.487, red. do ac. min. Roberto Barroso, j. 25-8-2016, P, DJE de 19-12-2017.]</w:t>
      </w:r>
    </w:p>
    <w:p>
      <w:pPr>
        <w:ind w:left="288"/>
      </w:pPr>
      <w:r>
        <w:rPr>
          <w:color w:val="8C8C8C"/>
          <w:sz w:val="12"/>
        </w:rPr>
        <w:t>cf-art-17-par-3</w:t>
      </w:r>
      <w:r>
        <w:rPr>
          <w:color w:val="003CA0"/>
          <w:sz w:val="12"/>
        </w:rPr>
        <w:t xml:space="preserve"> | ADI 5.488</w:t>
      </w:r>
      <w:r>
        <w:rPr>
          <w:color w:val="003CA0"/>
          <w:sz w:val="12"/>
        </w:rPr>
        <w:t xml:space="preserve"> | rel. Dias Toffoli</w:t>
      </w:r>
    </w:p>
    <w:p>
      <w:pPr>
        <w:ind w:left="288"/>
      </w:pPr>
      <w:r>
        <w:rPr>
          <w:color w:val="1E1E1E"/>
          <w:sz w:val="18"/>
        </w:rPr>
        <w:t>= ADI 5.488, rel. min. Dias Toffoli, j. 31-8-2016, P, DJE de 19-12-2017 O art. 46, caput, da Lei 9.504/1997 assegura a participação, nos debates eleitorais, dos candidatos dos partidos políticos com mais de nove representantes na Câmara dos Deputados. Critério razoável de aferição da representatividade do partido, pois não obsta a participação nos debates de legendas com menor representatividade, a qual ainda é facultada, a critério das emissoras de rádio e televisão. O direito de participação em debates eleitorais - diferentemente da propaganda eleitoral gratuita no rádio e na televisão - não</w:t>
      </w:r>
    </w:p>
    <w:p>
      <w:pPr>
        <w:ind w:left="288"/>
      </w:pPr>
      <w:r>
        <w:rPr>
          <w:b/>
          <w:color w:val="003CA0"/>
          <w:sz w:val="16"/>
        </w:rPr>
        <w:t>[ADI 5.423, rel. min. Dias Toffoli, j. 25-8-2016, P, DJE de 19-12-2017.</w:t>
      </w:r>
    </w:p>
    <w:p>
      <w:pPr>
        <w:ind w:left="288"/>
      </w:pPr>
      <w:r>
        <w:rPr>
          <w:color w:val="8C8C8C"/>
          <w:sz w:val="12"/>
        </w:rPr>
        <w:t>cf-art-17-par-3</w:t>
      </w:r>
      <w:r>
        <w:rPr>
          <w:color w:val="003CA0"/>
          <w:sz w:val="12"/>
        </w:rPr>
        <w:t xml:space="preserve"> | ADI 7.698</w:t>
      </w:r>
      <w:r>
        <w:rPr>
          <w:color w:val="003CA0"/>
          <w:sz w:val="12"/>
        </w:rPr>
        <w:t xml:space="preserve"> | rel. Gilmar Mendes</w:t>
      </w:r>
    </w:p>
    <w:p>
      <w:pPr>
        <w:ind w:left="288"/>
      </w:pPr>
      <w:r>
        <w:rPr>
          <w:color w:val="1E1E1E"/>
          <w:sz w:val="18"/>
        </w:rPr>
        <w:t>Vide ADI 7.698, rel. min. Gilmar Mendes, j. 24.02.2025, P, DJE de 06.03.2025 Art. 47, § 2º, da Lei 9.504/1997 (Lei das Eleições), com a redação da Lei 13.165/2015. (...) Os incisos I e II do § 2º do art. 47 da Lei 9.504/1997, em consonância com a cláusula democrática e com o sistema proporcional, estabelecem regra de equidade, resguardando o direito de acesso à propaganda eleitoral das minorias partidárias e pondo em situação de benefício não odioso aquelas agremiações mais lastreadas na legitimidade popular. O tempo outorgado proporcionalmente à representatividade, embora dividido de forma di</w:t>
      </w:r>
    </w:p>
    <w:p>
      <w:pPr>
        <w:ind w:left="288"/>
      </w:pPr>
      <w:r>
        <w:rPr>
          <w:b/>
          <w:color w:val="003CA0"/>
          <w:sz w:val="16"/>
        </w:rPr>
        <w:t>[ADI 2.677 MC, rel. min. Maurício Corrêa, j. 26-6-2002, P, DJ de 7-11-2003.]</w:t>
      </w:r>
    </w:p>
    <w:p>
      <w:pPr>
        <w:ind w:left="288"/>
      </w:pPr>
      <w:r>
        <w:rPr>
          <w:color w:val="8C8C8C"/>
          <w:sz w:val="12"/>
        </w:rPr>
        <w:t>cf-art-17-par-3</w:t>
      </w:r>
      <w:r>
        <w:rPr>
          <w:color w:val="003CA0"/>
          <w:sz w:val="12"/>
        </w:rPr>
        <w:t xml:space="preserve"> | ADI 2.306</w:t>
      </w:r>
      <w:r>
        <w:rPr>
          <w:color w:val="003CA0"/>
          <w:sz w:val="12"/>
        </w:rPr>
        <w:t xml:space="preserve"> | rel. Ellen Gracie</w:t>
      </w:r>
    </w:p>
    <w:p>
      <w:pPr>
        <w:ind w:left="288"/>
      </w:pPr>
      <w:r>
        <w:rPr>
          <w:color w:val="1E1E1E"/>
          <w:sz w:val="18"/>
        </w:rPr>
        <w:t>Inexistência de ofensa ao direito adquirido (CF, art. 5º, XXXVI) dos partidos políticos em relação aos valores correspondentes às multas objeto da anistia. Às agremiações partidárias corresponde mera expectativa de direito de receberem parcelas do Fundo Partidário.</w:t>
        <w:br/>
        <w:t>[ADI 2.306, rel. min. Ellen Gracie, j. 21-3-2002, P, DJ de 31-10-2002.] O horário eleitoral gratuito não tem sede constitucional. Ele é a cada ano eleitoral uma criação do legislador ordinário, que tem autoridade para estabelecer os critérios de utilização dessa gratuidade, cujo objetivo maior é igualizar, por métodos ponderados, as</w:t>
      </w:r>
    </w:p>
    <w:p>
      <w:pPr>
        <w:ind w:left="288"/>
      </w:pPr>
      <w:r>
        <w:rPr>
          <w:color w:val="8C8C8C"/>
          <w:sz w:val="12"/>
        </w:rPr>
        <w:t>cf-art-17-par-4</w:t>
      </w:r>
    </w:p>
    <w:p>
      <w:pPr>
        <w:ind w:left="288"/>
      </w:pPr>
      <w:r>
        <w:rPr>
          <w:color w:val="1E1E1E"/>
          <w:sz w:val="18"/>
        </w:rPr>
        <w:t>Parágrafo único. Todo brasileiro em situação de vulnerabilidade social terá direito a uma renda básica familiar, garantida pelo poder público em programa permanente de transferência de renda, cujas normas e requisitos de acesso serão determinados em lei, observada a legislação fiscal e orçamentária. (Incluído pela EC n. 114/2021)</w:t>
      </w:r>
    </w:p>
    <w:p>
      <w:pPr>
        <w:ind w:left="288"/>
      </w:pPr>
      <w:r>
        <w:rPr>
          <w:color w:val="8C8C8C"/>
          <w:sz w:val="12"/>
        </w:rPr>
        <w:t>cf-art-17-par-4</w:t>
      </w:r>
      <w:r>
        <w:rPr>
          <w:color w:val="003CA0"/>
          <w:sz w:val="12"/>
        </w:rPr>
        <w:t xml:space="preserve"> | ADI 7.223</w:t>
      </w:r>
      <w:r>
        <w:rPr>
          <w:color w:val="003CA0"/>
          <w:sz w:val="12"/>
        </w:rPr>
        <w:t xml:space="preserve"> | rel. Nunes Marques</w:t>
      </w:r>
    </w:p>
    <w:p>
      <w:pPr>
        <w:ind w:left="288"/>
      </w:pPr>
      <w:r>
        <w:rPr>
          <w:color w:val="1E1E1E"/>
          <w:sz w:val="18"/>
        </w:rPr>
        <w:t>Empréstimo consignado. Beneficiários de programas de transferência de renda. Autorização para contratação e ampliação da margem de crédito. (...) É compatível com a Constituição Federal, à luz dos arts. 1º, III; 3º, I; 6º, parágrafo único; e 203, política pública de acesso a crédito com taxas de juros menores direcionada às famílias brasileiras, presente o objetivo de conferir proteção social a quem dela necessitar para a garantia da subsistência.</w:t>
        <w:br/>
        <w:t>[ADI 7.223, rel. min. Nunes Marques, j. 12-9-2023, P, DJE de 9-10-2023.]</w:t>
      </w:r>
    </w:p>
    <w:p>
      <w:pPr>
        <w:ind w:left="288"/>
      </w:pPr>
      <w:r>
        <w:rPr>
          <w:color w:val="8C8C8C"/>
          <w:sz w:val="12"/>
        </w:rPr>
        <w:t>cf-art-17-par-5</w:t>
      </w:r>
    </w:p>
    <w:p>
      <w:pPr>
        <w:ind w:left="288"/>
      </w:pPr>
      <w:r>
        <w:rPr>
          <w:color w:val="1E1E1E"/>
          <w:sz w:val="18"/>
        </w:rPr>
        <w:t>§ 12. Serão realizadas concomitantemente às eleições municipais as consultas populares sobre questões locais aprovadas pelas Câmaras Municipais e encaminhadas à Justiça Eleitoral até 90 (noventa) dias antes da data das eleições, observados os limites operacionais relativos ao número de quesitos. (Incluído pela EC n. 111/2021) § 13. As manifestações favoráveis e contrárias às questões submetidas às consultas populares nos termos do § 12 ocorrerão durante as campanhas eleitorais, sem a utilização de propaganda gratuita no rádio e na televisão. (Incluído pela EC n. 111/2021) I - obtiverem, nas el</w:t>
      </w:r>
    </w:p>
    <w:p>
      <w:pPr>
        <w:ind w:left="288"/>
      </w:pPr>
      <w:r>
        <w:rPr>
          <w:color w:val="8C8C8C"/>
          <w:sz w:val="12"/>
        </w:rPr>
        <w:t>cf-art-17-par-5-inc-II</w:t>
      </w:r>
    </w:p>
    <w:p>
      <w:pPr>
        <w:ind w:left="288"/>
      </w:pPr>
      <w:r>
        <w:rPr>
          <w:color w:val="1E1E1E"/>
          <w:sz w:val="18"/>
        </w:rPr>
        <w:t>§ 5º Ao eleito por partido que não preencher os requisitos previstos no § 3º deste artigo é assegurado o mandato e facultada a filiação, sem perda do mandato, a outro partido que os tenha atingido, não sendo essa filiação considerada para fins de distribuição dos recursos do fundo partidário e de acesso gratuito ao tempo de rádio e de televisão. (Incluído pela EC n. 97/2017) § 6º Os Deputados Federais, os Deputados Estaduais, os Deputados Distritais e os Vereadores que se desligarem do partido pelo qual tenham sido eleitos perderão o mandato, salvo nos casos de anuência do partido ou de outras</w:t>
      </w:r>
    </w:p>
    <w:p>
      <w:pPr>
        <w:ind w:left="288"/>
      </w:pPr>
      <w:r>
        <w:rPr>
          <w:color w:val="8C8C8C"/>
          <w:sz w:val="12"/>
        </w:rPr>
        <w:t>cf-art-17-par-7</w:t>
      </w:r>
    </w:p>
    <w:p>
      <w:pPr>
        <w:ind w:left="288"/>
      </w:pPr>
      <w:r>
        <w:rPr>
          <w:color w:val="1E1E1E"/>
          <w:sz w:val="18"/>
        </w:rPr>
        <w:t xml:space="preserve">§ 8º O montante do Fundo Especial de Financiamento de Campanha e da parcela do fundo partidário destinada a campanhas eleitorais, bem como o tempo de propaganda gratuita no rádio e na televisão a ser distribuído pelos partidos às respectivas candidatas, deverão ser de no mínimo 30% (trinta por cento), proporcional ao número de candidatas, e a distribuição deverá ser realizada conforme critérios definidos pelos respectivos órgãos de direção e pelas normas estatutárias, considerados a autonomia e o interesse partidário. (Incluído pela EC n. 117/2022) § 9º Dos recursos oriundos do Fundo Especial </w:t>
      </w:r>
    </w:p>
    <w:p>
      <w:pPr>
        <w:ind w:left="432"/>
      </w:pPr>
      <w:r>
        <w:rPr>
          <w:color w:val="003366"/>
          <w:sz w:val="18"/>
        </w:rPr>
        <w:t>§ 1 É assegurado o exercício cumulativo de dois cargos ou empregos privativos de</w:t>
      </w:r>
    </w:p>
    <w:p>
      <w:pPr>
        <w:ind w:left="432"/>
      </w:pPr>
      <w:r>
        <w:rPr>
          <w:color w:val="003366"/>
          <w:sz w:val="18"/>
        </w:rPr>
        <w:t>§ 2 É assegurado o exercício cumulativo de dois cargos ou empregos privativos de</w:t>
      </w:r>
    </w:p>
    <w:p>
      <w:r>
        <w:rPr>
          <w:b/>
          <w:color w:val="003366"/>
          <w:sz w:val="20"/>
        </w:rPr>
        <w:t>Art. 18 Ficam extintos os efeitos jurídicos de qualquer ato legislativo ou admin</w:t>
      </w:r>
      <w:r>
        <w:rPr>
          <w:color w:val="8C8C8C"/>
          <w:sz w:val="14"/>
        </w:rPr>
        <w:t xml:space="preserve">  [35 decisoes]</w:t>
      </w:r>
    </w:p>
    <w:p>
      <w:pPr>
        <w:ind w:left="144"/>
      </w:pPr>
      <w:r>
        <w:rPr>
          <w:b/>
          <w:color w:val="B45A00"/>
          <w:sz w:val="16"/>
        </w:rPr>
        <w:t>CONTROLE CONCENTRADO</w:t>
      </w:r>
    </w:p>
    <w:p>
      <w:pPr>
        <w:ind w:left="288"/>
      </w:pPr>
      <w:r>
        <w:rPr>
          <w:color w:val="8C8C8C"/>
          <w:sz w:val="12"/>
        </w:rPr>
        <w:t>cf-art-18</w:t>
      </w:r>
      <w:r>
        <w:rPr>
          <w:color w:val="003CA0"/>
          <w:sz w:val="12"/>
        </w:rPr>
        <w:t xml:space="preserve"> | ADI 4.579</w:t>
      </w:r>
      <w:r>
        <w:rPr>
          <w:color w:val="003CA0"/>
          <w:sz w:val="12"/>
        </w:rPr>
        <w:t xml:space="preserve"> | rel. Luiz Fux</w:t>
      </w:r>
    </w:p>
    <w:p>
      <w:pPr>
        <w:ind w:left="288"/>
      </w:pPr>
      <w:r>
        <w:rPr>
          <w:color w:val="1E1E1E"/>
          <w:sz w:val="18"/>
        </w:rPr>
        <w:t>A lei estadual não pode impor o comparecimento de representante de uma entidade federal, no caso, a Ordem dos Advogados do Brasil, para integrar órgão da Administração Pública estadual, sob pena de ofensa à autonomia dos entes federativos (artigo 18 da Constituição Federal).</w:t>
      </w:r>
    </w:p>
    <w:p>
      <w:pPr>
        <w:ind w:left="288"/>
      </w:pPr>
      <w:r>
        <w:rPr>
          <w:b/>
          <w:color w:val="003CA0"/>
          <w:sz w:val="16"/>
        </w:rPr>
        <w:t>[ADI 4.579, rel. min. Luiz Fux, j. 13-2-2020, P, DJE de 28-4-2020.]</w:t>
      </w:r>
    </w:p>
    <w:p>
      <w:pPr>
        <w:ind w:left="288"/>
      </w:pPr>
      <w:r>
        <w:rPr>
          <w:color w:val="8C8C8C"/>
          <w:sz w:val="12"/>
        </w:rPr>
        <w:t>cf-art-18</w:t>
      </w:r>
      <w:r>
        <w:rPr>
          <w:color w:val="003CA0"/>
          <w:sz w:val="12"/>
        </w:rPr>
        <w:t xml:space="preserve"> | ADI 3.499</w:t>
      </w:r>
      <w:r>
        <w:rPr>
          <w:color w:val="003CA0"/>
          <w:sz w:val="12"/>
        </w:rPr>
        <w:t xml:space="preserve"> | rel. Luiz Fux</w:t>
      </w:r>
    </w:p>
    <w:p>
      <w:pPr>
        <w:ind w:left="288"/>
      </w:pPr>
      <w:r>
        <w:rPr>
          <w:color w:val="1E1E1E"/>
          <w:sz w:val="18"/>
        </w:rPr>
        <w:t>O artigo 23, parágrafo único, da Constituição Federal reservou à lei complementar a disciplina da cooperação interfederativa, mas não veda que União, Estados, Municípios e Distrito Federal recorram à utilização de instrumentos negociais para a salutar racionalização e coordenação das suas atividades, em conformidade com a perspectiva consensual e pragmática da Administração Pública contemporânea em sua vertente gerencial.</w:t>
      </w:r>
    </w:p>
    <w:p>
      <w:pPr>
        <w:ind w:left="288"/>
      </w:pPr>
      <w:r>
        <w:rPr>
          <w:b/>
          <w:color w:val="003CA0"/>
          <w:sz w:val="16"/>
        </w:rPr>
        <w:t>[ADI 3.499, rel. min. Luiz Fux, j. 30-8-2019, P, DJE de 5-12-2019.]</w:t>
      </w:r>
    </w:p>
    <w:p>
      <w:pPr>
        <w:ind w:left="288"/>
      </w:pPr>
      <w:r>
        <w:rPr>
          <w:color w:val="8C8C8C"/>
          <w:sz w:val="12"/>
        </w:rPr>
        <w:t>cf-art-18</w:t>
      </w:r>
      <w:r>
        <w:rPr>
          <w:color w:val="003CA0"/>
          <w:sz w:val="12"/>
        </w:rPr>
        <w:t xml:space="preserve"> | ADI 2.256</w:t>
      </w:r>
      <w:r>
        <w:rPr>
          <w:color w:val="003CA0"/>
          <w:sz w:val="12"/>
        </w:rPr>
        <w:t xml:space="preserve"> | rel. Alexandre de Moraes</w:t>
      </w:r>
    </w:p>
    <w:p>
      <w:pPr>
        <w:ind w:left="288"/>
      </w:pPr>
      <w:r>
        <w:rPr>
          <w:color w:val="1E1E1E"/>
          <w:sz w:val="18"/>
        </w:rPr>
        <w:t>Lei complementar 101/2000. Lei de responsabilidade fiscal (LRF). Artigo 20, II, “a”, “b”, “c” e “d”, §§ 1º, 4º e 5º. Princípios federativo e da separação dos poderes. Compatibilidade. Improcedência. A definição de um teto de gastos particularizado, segundo os respectivos poderes ou órgãos afetados (art. 20 da LRF), não representa intromissão na autonomia financeira dos Entes subnacionais. Reforça, antes, a autoridade jurídica da norma do art. 169 da CF, no propósito, federativamente legítimo, de afastar dinâmicas de relacionamento predatório entre os Entes componentes da Federação. Só a fixaçã</w:t>
      </w:r>
    </w:p>
    <w:p>
      <w:pPr>
        <w:ind w:left="288"/>
      </w:pPr>
      <w:r>
        <w:rPr>
          <w:b/>
          <w:color w:val="003CA0"/>
          <w:sz w:val="16"/>
        </w:rPr>
        <w:t>[ADI 2.256, rel. min. Alexandre de Moraes, j. 22-8-2019, P, DJE de 9-9-2020.]</w:t>
      </w:r>
    </w:p>
    <w:p>
      <w:pPr>
        <w:ind w:left="288"/>
      </w:pPr>
      <w:r>
        <w:rPr>
          <w:color w:val="8C8C8C"/>
          <w:sz w:val="12"/>
        </w:rPr>
        <w:t>cf-art-18</w:t>
      </w:r>
      <w:r>
        <w:rPr>
          <w:color w:val="003CA0"/>
          <w:sz w:val="12"/>
        </w:rPr>
        <w:t xml:space="preserve"> | ADI 1.842</w:t>
      </w:r>
      <w:r>
        <w:rPr>
          <w:color w:val="003CA0"/>
          <w:sz w:val="12"/>
        </w:rPr>
        <w:t xml:space="preserve"> | rel. Gilmar Mendes</w:t>
      </w:r>
    </w:p>
    <w:p>
      <w:pPr>
        <w:ind w:left="288"/>
      </w:pPr>
      <w:r>
        <w:rPr>
          <w:color w:val="1E1E1E"/>
          <w:sz w:val="18"/>
        </w:rPr>
        <w:t>A CF conferiu ênfase à autonomia municipal ao mencionar os Municípios como integrantes do sistema federativo (art. 1º da CF/1988) e ao fixá-la junto com os Estados e o Distrito Federal (art. 18 da CF/1988). A essência da autonomia municipal contém primordialmente (i) autoadministração, que implica capacidade decisória quanto aos interesses locais, sem delegação ou aprovação hierárquica; e (ii) autogoverno, que determina a eleição do chefe do Poder Executivo e dos representantes no Legislativo. O interesse comum e a compulsoriedade da integração metropolitana não são incompatíveis com a autonom</w:t>
      </w:r>
    </w:p>
    <w:p>
      <w:pPr>
        <w:ind w:left="288"/>
      </w:pPr>
      <w:r>
        <w:rPr>
          <w:b/>
          <w:color w:val="003CA0"/>
          <w:sz w:val="16"/>
        </w:rPr>
        <w:t>[ADI 1.842, rel. min. Gilmar Mendes, j. 6-3-2013, P, DJE de 16-9-2013.]</w:t>
      </w:r>
    </w:p>
    <w:p>
      <w:pPr>
        <w:ind w:left="288"/>
      </w:pPr>
      <w:r>
        <w:rPr>
          <w:color w:val="8C8C8C"/>
          <w:sz w:val="12"/>
        </w:rPr>
        <w:t>cf-art-18</w:t>
      </w:r>
      <w:r>
        <w:rPr>
          <w:color w:val="003CA0"/>
          <w:sz w:val="12"/>
        </w:rPr>
        <w:t xml:space="preserve"> | ADI 2.452</w:t>
      </w:r>
      <w:r>
        <w:rPr>
          <w:color w:val="003CA0"/>
          <w:sz w:val="12"/>
        </w:rPr>
        <w:t xml:space="preserve"> | rel. Eros Grau</w:t>
      </w:r>
    </w:p>
    <w:p>
      <w:pPr>
        <w:ind w:left="288"/>
      </w:pPr>
      <w:r>
        <w:rPr>
          <w:color w:val="1E1E1E"/>
          <w:sz w:val="18"/>
        </w:rPr>
        <w:t>Vedação à aquisição pelos demais Estados-membros de ações de propriedade do Estado de São Paulo no capital das concessionárias de eletricidade paulistas. Razões econômicas e políticas legitimam a restrição contida no preceito impugnado. A limitação mencionada afasta possível tensão nas relações entre as unidades federativas envolvidas.</w:t>
      </w:r>
    </w:p>
    <w:p>
      <w:pPr>
        <w:ind w:left="288"/>
      </w:pPr>
      <w:r>
        <w:rPr>
          <w:b/>
          <w:color w:val="003CA0"/>
          <w:sz w:val="16"/>
        </w:rPr>
        <w:t>[ADI 2.452, rel. min. Eros Grau, j. 17-6-2010, P, DJE de 17-9-2010.]</w:t>
      </w:r>
    </w:p>
    <w:p>
      <w:pPr>
        <w:ind w:left="288"/>
      </w:pPr>
      <w:r>
        <w:rPr>
          <w:color w:val="8C8C8C"/>
          <w:sz w:val="12"/>
        </w:rPr>
        <w:t>cf-art-18</w:t>
      </w:r>
      <w:r>
        <w:rPr>
          <w:color w:val="003CA0"/>
          <w:sz w:val="12"/>
        </w:rPr>
        <w:t xml:space="preserve"> | ADI 692</w:t>
      </w:r>
      <w:r>
        <w:rPr>
          <w:color w:val="003CA0"/>
          <w:sz w:val="12"/>
        </w:rPr>
        <w:t xml:space="preserve"> | rel. Joaquim Barbosa</w:t>
      </w:r>
    </w:p>
    <w:p>
      <w:pPr>
        <w:ind w:left="288"/>
      </w:pPr>
      <w:r>
        <w:rPr>
          <w:color w:val="1E1E1E"/>
          <w:sz w:val="18"/>
        </w:rPr>
        <w:t>Viola a autonomia dos Municípios (art. 29, IV, da CF/1988) lei estadual que fixa número de vereadores ou a forma como essa fixação deve ser feita.</w:t>
      </w:r>
    </w:p>
    <w:p>
      <w:pPr>
        <w:ind w:left="288"/>
      </w:pPr>
      <w:r>
        <w:rPr>
          <w:b/>
          <w:color w:val="003CA0"/>
          <w:sz w:val="16"/>
        </w:rPr>
        <w:t>[ADI 692, rel. min. Joaquim Barbosa, j. 2-8-2004, P, DJ de 1º-10-2004.]</w:t>
      </w:r>
    </w:p>
    <w:p>
      <w:pPr>
        <w:ind w:left="288"/>
      </w:pPr>
      <w:r>
        <w:rPr>
          <w:color w:val="8C8C8C"/>
          <w:sz w:val="12"/>
        </w:rPr>
        <w:t>cf-art-18</w:t>
      </w:r>
      <w:r>
        <w:rPr>
          <w:color w:val="003CA0"/>
          <w:sz w:val="12"/>
        </w:rPr>
        <w:t xml:space="preserve"> | ADI 1.689</w:t>
      </w:r>
      <w:r>
        <w:rPr>
          <w:color w:val="003CA0"/>
          <w:sz w:val="12"/>
        </w:rPr>
        <w:t xml:space="preserve"> | rel. Sydney Sanches</w:t>
      </w:r>
    </w:p>
    <w:p>
      <w:pPr>
        <w:ind w:left="288"/>
      </w:pPr>
      <w:r>
        <w:rPr>
          <w:color w:val="1E1E1E"/>
          <w:sz w:val="18"/>
        </w:rPr>
        <w:t>Sucede que (...) o parágrafo único do art. 227 da Constituição estadual estabelece (...) uma vinculação orçamentária, ao dizer: "para o atendimento e desenvolvimento dos programas e ações explicitados neste artigo, o Estado e os Municípios aplicarão, anualmente, no mínimo, o percentual de um por cento dos seus respectivos orçamentos gerais". (...) interferindo no orçamento dos Municípios, não deixa de lhes afetar a autonomia (art. 18 da CF), inclusive no que concerne à aplicação de suas rendas (art. 30, III), sendo certo, ademais, que o art. 25 da parte permanente e o art. 11 do ADCT exigem qu</w:t>
      </w:r>
    </w:p>
    <w:p>
      <w:pPr>
        <w:ind w:left="288"/>
      </w:pPr>
      <w:r>
        <w:rPr>
          <w:b/>
          <w:color w:val="003CA0"/>
          <w:sz w:val="16"/>
        </w:rPr>
        <w:t>[ADI 1.689, rel. min. Sydney Sanches, j. 12-3-2003, P, DJ de 2-5-2003.]</w:t>
      </w:r>
    </w:p>
    <w:p>
      <w:pPr>
        <w:ind w:left="288"/>
      </w:pPr>
      <w:r>
        <w:rPr>
          <w:color w:val="8C8C8C"/>
          <w:sz w:val="12"/>
        </w:rPr>
        <w:t>cf-art-18</w:t>
      </w:r>
      <w:r>
        <w:rPr>
          <w:color w:val="003CA0"/>
          <w:sz w:val="12"/>
        </w:rPr>
        <w:t xml:space="preserve"> | ADI 2.377</w:t>
      </w:r>
      <w:r>
        <w:rPr>
          <w:color w:val="003CA0"/>
          <w:sz w:val="12"/>
        </w:rPr>
        <w:t xml:space="preserve"> | rel. Sepúlveda Pertence</w:t>
      </w:r>
    </w:p>
    <w:p>
      <w:pPr>
        <w:ind w:left="288"/>
      </w:pPr>
      <w:r>
        <w:rPr>
          <w:color w:val="1E1E1E"/>
          <w:sz w:val="18"/>
        </w:rPr>
        <w:t>As normas constitucionais, que impõem disciplina nacional ao ICMS, são preceitos contra os quais não se pode opor a autonomia do Estado, na medida em que são explícitas limitações.</w:t>
      </w:r>
    </w:p>
    <w:p>
      <w:pPr>
        <w:ind w:left="288"/>
      </w:pPr>
      <w:r>
        <w:rPr>
          <w:b/>
          <w:color w:val="003CA0"/>
          <w:sz w:val="16"/>
        </w:rPr>
        <w:t>[ADI 2.377 MC, rel. min. Sepúlveda Pertence, j. 22-2-2001, P, DJ de 7-11-2003.]</w:t>
      </w:r>
    </w:p>
    <w:p>
      <w:pPr>
        <w:ind w:left="288"/>
      </w:pPr>
      <w:r>
        <w:rPr>
          <w:color w:val="8C8C8C"/>
          <w:sz w:val="12"/>
        </w:rPr>
        <w:t>cf-art-18</w:t>
      </w:r>
      <w:r>
        <w:rPr>
          <w:color w:val="003CA0"/>
          <w:sz w:val="12"/>
        </w:rPr>
        <w:t xml:space="preserve"> | ADI 1.546</w:t>
      </w:r>
      <w:r>
        <w:rPr>
          <w:color w:val="003CA0"/>
          <w:sz w:val="12"/>
        </w:rPr>
        <w:t xml:space="preserve"> | rel. Nelson Jobim</w:t>
      </w:r>
    </w:p>
    <w:p>
      <w:pPr>
        <w:ind w:left="288"/>
      </w:pPr>
      <w:r>
        <w:rPr>
          <w:color w:val="1E1E1E"/>
          <w:sz w:val="18"/>
        </w:rPr>
        <w:t>A observância das regras federais não fere autonomia estadual.</w:t>
      </w:r>
    </w:p>
    <w:p>
      <w:pPr>
        <w:ind w:left="288"/>
      </w:pPr>
      <w:r>
        <w:rPr>
          <w:b/>
          <w:color w:val="003CA0"/>
          <w:sz w:val="16"/>
        </w:rPr>
        <w:t>[ADI 1.546, rel. min. Nelson Jobim, j. 3-12-1998, P, DJ de 6-4-2001.]</w:t>
      </w:r>
    </w:p>
    <w:p>
      <w:pPr>
        <w:ind w:left="288"/>
      </w:pPr>
      <w:r>
        <w:rPr>
          <w:color w:val="8C8C8C"/>
          <w:sz w:val="12"/>
        </w:rPr>
        <w:t>cf-art-18</w:t>
      </w:r>
      <w:r>
        <w:rPr>
          <w:color w:val="003CA0"/>
          <w:sz w:val="12"/>
        </w:rPr>
        <w:t xml:space="preserve"> | ADI 287</w:t>
      </w:r>
      <w:r>
        <w:rPr>
          <w:color w:val="003CA0"/>
          <w:sz w:val="12"/>
        </w:rPr>
        <w:t xml:space="preserve"> | rel. Célio Borja</w:t>
      </w:r>
    </w:p>
    <w:p>
      <w:pPr>
        <w:ind w:left="288"/>
      </w:pPr>
      <w:r>
        <w:rPr>
          <w:color w:val="1E1E1E"/>
          <w:sz w:val="18"/>
        </w:rPr>
        <w:t>Reajustes automáticos. Despesa de pessoal vinculada a indexador decretado pelo governo da União. Ofensa à autonomia dos Estados-membros.</w:t>
      </w:r>
    </w:p>
    <w:p>
      <w:pPr>
        <w:ind w:left="288"/>
      </w:pPr>
      <w:r>
        <w:rPr>
          <w:b/>
          <w:color w:val="003CA0"/>
          <w:sz w:val="16"/>
        </w:rPr>
        <w:t>[ADI 287 MC, rel. min. Célio Borja, j. 21-6-1990, P, DJ de 7-5-1993.]</w:t>
      </w:r>
    </w:p>
    <w:p>
      <w:pPr>
        <w:ind w:left="288"/>
      </w:pPr>
      <w:r>
        <w:rPr>
          <w:color w:val="8C8C8C"/>
          <w:sz w:val="12"/>
        </w:rPr>
        <w:t>cf-art-18</w:t>
      </w:r>
      <w:r>
        <w:rPr>
          <w:color w:val="003CA0"/>
          <w:sz w:val="12"/>
        </w:rPr>
        <w:t xml:space="preserve"> | RE 160.920</w:t>
      </w:r>
      <w:r>
        <w:rPr>
          <w:color w:val="003CA0"/>
          <w:sz w:val="12"/>
        </w:rPr>
        <w:t xml:space="preserve"> | rel. Néri da Silveira</w:t>
      </w:r>
    </w:p>
    <w:p>
      <w:pPr>
        <w:ind w:left="288"/>
      </w:pPr>
      <w:r>
        <w:rPr>
          <w:color w:val="1E1E1E"/>
          <w:sz w:val="18"/>
        </w:rPr>
        <w:t>= RE 160.920 AgR, rel. min. Néri da Silveira, j. 9-4-2002, 2ª T, DJ de 17-5-2002</w:t>
      </w:r>
    </w:p>
    <w:p>
      <w:pPr>
        <w:ind w:left="144"/>
      </w:pPr>
      <w:r>
        <w:rPr>
          <w:b/>
          <w:color w:val="B45A00"/>
          <w:sz w:val="16"/>
        </w:rPr>
        <w:t>JULGADOS CORRELATOS</w:t>
      </w:r>
    </w:p>
    <w:p>
      <w:pPr>
        <w:ind w:left="288"/>
      </w:pPr>
      <w:r>
        <w:rPr>
          <w:color w:val="8C8C8C"/>
          <w:sz w:val="12"/>
        </w:rPr>
        <w:t>cf-art-18</w:t>
      </w:r>
      <w:r>
        <w:rPr>
          <w:color w:val="003CA0"/>
          <w:sz w:val="12"/>
        </w:rPr>
        <w:t xml:space="preserve"> | ACO 1.062</w:t>
      </w:r>
      <w:r>
        <w:rPr>
          <w:color w:val="003CA0"/>
          <w:sz w:val="12"/>
        </w:rPr>
        <w:t xml:space="preserve"> | rel. Ricardo Lewandowski</w:t>
      </w:r>
    </w:p>
    <w:p>
      <w:pPr>
        <w:ind w:left="288"/>
      </w:pPr>
      <w:r>
        <w:rPr>
          <w:color w:val="1E1E1E"/>
          <w:sz w:val="18"/>
        </w:rPr>
        <w:t>Conflito federativo. Negativa de expedição de certificado de regularidade previdenciária para Estado-membro. O exame da compatibilização das normas estaduais com a CF é matéria complexa. (...) Situação semelhante à inscrição do Estado em cadastros de inadimplência federais. Jurisprudência abundante da Suprema Corte concedendo-se as medidas de urgência requeridas para se preservar o funcionamento de serviços essenciais prestados à população dos Estados.</w:t>
      </w:r>
    </w:p>
    <w:p>
      <w:pPr>
        <w:ind w:left="288"/>
      </w:pPr>
      <w:r>
        <w:rPr>
          <w:b/>
          <w:color w:val="003CA0"/>
          <w:sz w:val="16"/>
        </w:rPr>
        <w:t>[ACO 1.062 AgR, rel. min. Ricardo Lewandowski, j. 13-8-2014, P, DJE de 25-8-2014.]</w:t>
      </w:r>
    </w:p>
    <w:p>
      <w:pPr>
        <w:ind w:left="288"/>
      </w:pPr>
      <w:r>
        <w:rPr>
          <w:color w:val="8C8C8C"/>
          <w:sz w:val="12"/>
        </w:rPr>
        <w:t>cf-art-18</w:t>
      </w:r>
      <w:r>
        <w:rPr>
          <w:color w:val="003CA0"/>
          <w:sz w:val="12"/>
        </w:rPr>
        <w:t xml:space="preserve"> | AC 2.200</w:t>
      </w:r>
      <w:r>
        <w:rPr>
          <w:color w:val="003CA0"/>
          <w:sz w:val="12"/>
        </w:rPr>
        <w:t xml:space="preserve"> | rel. Cármen Lúcia</w:t>
      </w:r>
    </w:p>
    <w:p>
      <w:pPr>
        <w:ind w:left="288"/>
      </w:pPr>
      <w:r>
        <w:rPr>
          <w:color w:val="1E1E1E"/>
          <w:sz w:val="18"/>
        </w:rPr>
        <w:t>Vide AC 2.200 MC-REF, rel. min. Cármen Lúcia, j. 2-2-2009, P, DJE de 27-2-2009 O STF, nos casos de inscrição de entidades estatais, de pessoas administrativas ou de empresas governamentais em cadastros de inadimplentes, organizados e mantidos pela União, tem ordenado a liberação e o repasse de verbas federais (ou, então, determinado o afastamento de restrições impostas à celebração de operações de crédito em geral ou à obtenção de garantias), sempre com o propósito de neutralizar a ocorrência de risco que possa comprometer, de modo grave e/ou irreversível, a continuidade da execução de polític</w:t>
      </w:r>
    </w:p>
    <w:p>
      <w:pPr>
        <w:ind w:left="288"/>
      </w:pPr>
      <w:r>
        <w:rPr>
          <w:b/>
          <w:color w:val="003CA0"/>
          <w:sz w:val="16"/>
        </w:rPr>
        <w:t>[ACO 1.534 TA-REF, rel. min. Celso de Mello, j. 17-3-2011, P, DJE de 11-4-2011.]</w:t>
      </w:r>
    </w:p>
    <w:p>
      <w:pPr>
        <w:ind w:left="288"/>
      </w:pPr>
      <w:r>
        <w:rPr>
          <w:color w:val="8C8C8C"/>
          <w:sz w:val="12"/>
        </w:rPr>
        <w:t>cf-art-18</w:t>
      </w:r>
      <w:r>
        <w:rPr>
          <w:color w:val="003CA0"/>
          <w:sz w:val="12"/>
        </w:rPr>
        <w:t xml:space="preserve"> | RE 459.128</w:t>
      </w:r>
      <w:r>
        <w:rPr>
          <w:color w:val="003CA0"/>
          <w:sz w:val="12"/>
        </w:rPr>
        <w:t xml:space="preserve"> | rel. Marco Aurélio</w:t>
      </w:r>
    </w:p>
    <w:p>
      <w:pPr>
        <w:ind w:left="288"/>
      </w:pPr>
      <w:r>
        <w:rPr>
          <w:color w:val="1E1E1E"/>
          <w:sz w:val="18"/>
        </w:rPr>
        <w:t>A regência dos vencimentos dos servidores estaduais decorre de normas do próprio Estado. Não cabe, sob o ângulo da isonomia, acionar legislação federal.</w:t>
      </w:r>
    </w:p>
    <w:p>
      <w:pPr>
        <w:ind w:left="288"/>
      </w:pPr>
      <w:r>
        <w:rPr>
          <w:b/>
          <w:color w:val="003CA0"/>
          <w:sz w:val="16"/>
        </w:rPr>
        <w:t>[RE 459.128, rel. min. Marco Aurélio, j. 7-4-2009, 1ª T, DJE de 21-8-2009.]</w:t>
      </w:r>
    </w:p>
    <w:p>
      <w:pPr>
        <w:ind w:left="288"/>
      </w:pPr>
      <w:r>
        <w:rPr>
          <w:color w:val="8C8C8C"/>
          <w:sz w:val="12"/>
        </w:rPr>
        <w:t>cf-art-18</w:t>
      </w:r>
      <w:r>
        <w:rPr>
          <w:color w:val="003CA0"/>
          <w:sz w:val="12"/>
        </w:rPr>
        <w:t xml:space="preserve"> | RE 177.599</w:t>
      </w:r>
      <w:r>
        <w:rPr>
          <w:color w:val="003CA0"/>
          <w:sz w:val="12"/>
        </w:rPr>
        <w:t xml:space="preserve"> | rel. Celso de Mello</w:t>
      </w:r>
    </w:p>
    <w:p>
      <w:pPr>
        <w:ind w:left="288"/>
      </w:pPr>
      <w:r>
        <w:rPr>
          <w:color w:val="1E1E1E"/>
          <w:sz w:val="18"/>
        </w:rPr>
        <w:t>Vide RE 177.599, rel. min. Celso de Mello, j. 30-8-1994, 1ª T, DJ de 20-4-1995 Todas as "terras indígenas" são um bem público federal (inciso XI do art. 20 da CF), o que não significa dizer que o ato em si da demarcação extinga ou amesquinhe qualquer unidade federada. Primeiro, porque as unidades federadas pós-Constituição de 1988 já nascem com seu território jungido ao regime constitucional de preexistência dos direitos originários dos índios sobre as terras por eles "tradicionalmente ocupadas". Segundo, porque a titularidade de bens não se confunde com o senhorio de um território político. N</w:t>
      </w:r>
    </w:p>
    <w:p>
      <w:pPr>
        <w:ind w:left="288"/>
      </w:pPr>
      <w:r>
        <w:rPr>
          <w:b/>
          <w:color w:val="003CA0"/>
          <w:sz w:val="16"/>
        </w:rPr>
        <w:t>[Pet 3.388, rel. min. Ayres Britto, j. 19-3-2009, P, DJE de 1º-7-2010.]</w:t>
      </w:r>
    </w:p>
    <w:p>
      <w:pPr>
        <w:ind w:left="288"/>
      </w:pPr>
      <w:r>
        <w:rPr>
          <w:color w:val="8C8C8C"/>
          <w:sz w:val="12"/>
        </w:rPr>
        <w:t>cf-art-18</w:t>
      </w:r>
      <w:r>
        <w:rPr>
          <w:color w:val="003CA0"/>
          <w:sz w:val="12"/>
        </w:rPr>
        <w:t xml:space="preserve"> | AC 2.200</w:t>
      </w:r>
      <w:r>
        <w:rPr>
          <w:color w:val="003CA0"/>
          <w:sz w:val="12"/>
        </w:rPr>
        <w:t xml:space="preserve"> | rel. Cármen Lúcia</w:t>
      </w:r>
    </w:p>
    <w:p>
      <w:pPr>
        <w:ind w:left="288"/>
      </w:pPr>
      <w:r>
        <w:rPr>
          <w:color w:val="1E1E1E"/>
          <w:sz w:val="18"/>
        </w:rPr>
        <w:t>O STF tem reconhecido a ocorrência de conflito federativo em situações nas quais a União, valendo-se de registros de supostas inadimplências dos Estados no Siafi e no Cadastro de Créditos não quitados do setor público federal (Cadin), impossibilita sejam firmados acordos de cooperação, convênios e operações de crédito entre Estados e entidades federais. O registro da entidade federada por suposta inadimplência nesses cadastros federais pode sujeitá-la a efeitos gravosos, com desdobramentos para a transferência de recursos.</w:t>
      </w:r>
    </w:p>
    <w:p>
      <w:pPr>
        <w:ind w:left="288"/>
      </w:pPr>
      <w:r>
        <w:rPr>
          <w:b/>
          <w:color w:val="003CA0"/>
          <w:sz w:val="16"/>
        </w:rPr>
        <w:t>[AC 2.200 MC-REF, rel. min. Cármen Lúcia, j. 2-2-2009, P, DJE de 27-2-2009.]</w:t>
      </w:r>
    </w:p>
    <w:p>
      <w:pPr>
        <w:ind w:left="288"/>
      </w:pPr>
      <w:r>
        <w:rPr>
          <w:color w:val="8C8C8C"/>
          <w:sz w:val="12"/>
        </w:rPr>
        <w:t>cf-art-18</w:t>
      </w:r>
      <w:r>
        <w:rPr>
          <w:color w:val="003CA0"/>
          <w:sz w:val="12"/>
        </w:rPr>
        <w:t xml:space="preserve"> | ACO 1.062</w:t>
      </w:r>
      <w:r>
        <w:rPr>
          <w:color w:val="003CA0"/>
          <w:sz w:val="12"/>
        </w:rPr>
        <w:t xml:space="preserve"> | rel. Ricardo Lewandowski</w:t>
      </w:r>
    </w:p>
    <w:p>
      <w:pPr>
        <w:ind w:left="288"/>
      </w:pPr>
      <w:r>
        <w:rPr>
          <w:color w:val="1E1E1E"/>
          <w:sz w:val="18"/>
        </w:rPr>
        <w:t>Vide ACO 1.062 AgR, rel. min. Ricardo Lewandowski, j. 13-8-2014, P, DJE de 25-8-2014 A aprovação de norma municipal que estabelece a composição da Câmara de Vereadores sem observância da relação cogente de proporção com a respectiva população configura excesso do poder de legislar, não encontrando eco no sistema constitucional vigente. Parâmetro aritmético que atende ao comando expresso na CF, sem que a proporcionalidade reclamada traduza qualquer afronta aos demais princípios constitucionais e nem resulte formas estranhas e distantes da realidade dos Municípios brasileiros. Atendimento aos po</w:t>
      </w:r>
    </w:p>
    <w:p>
      <w:pPr>
        <w:ind w:left="288"/>
      </w:pPr>
      <w:r>
        <w:rPr>
          <w:b/>
          <w:color w:val="003CA0"/>
          <w:sz w:val="16"/>
        </w:rPr>
        <w:t>[RE 197.917, rel. min. Maurício Corrêa, j. 6-6-2002, P, DJ de 7-5-2004.]</w:t>
      </w:r>
    </w:p>
    <w:p>
      <w:pPr>
        <w:ind w:left="288"/>
      </w:pPr>
      <w:r>
        <w:rPr>
          <w:color w:val="8C8C8C"/>
          <w:sz w:val="12"/>
        </w:rPr>
        <w:t>cf-art-18</w:t>
      </w:r>
      <w:r>
        <w:rPr>
          <w:color w:val="003CA0"/>
          <w:sz w:val="12"/>
        </w:rPr>
        <w:t xml:space="preserve"> | RE 177.599</w:t>
      </w:r>
      <w:r>
        <w:rPr>
          <w:color w:val="003CA0"/>
          <w:sz w:val="12"/>
        </w:rPr>
        <w:t xml:space="preserve"> | rel. Celso de Mello</w:t>
      </w:r>
    </w:p>
    <w:p>
      <w:pPr>
        <w:ind w:left="288"/>
      </w:pPr>
      <w:r>
        <w:rPr>
          <w:color w:val="1E1E1E"/>
          <w:sz w:val="18"/>
        </w:rPr>
        <w:t>A autonomia constitucional reconhecida ao Distrito Federal, que lhe confere a prerrogativa de dispor, em sede normativa própria, sobre o regime jurídico dos seus servidores civis, impede que se estendam, automaticamente, ao plano local os efeitos pertinentes a política de remuneração estabelecida pela União Federal em favor dos seus agentes públicos.</w:t>
      </w:r>
    </w:p>
    <w:p>
      <w:pPr>
        <w:ind w:left="288"/>
      </w:pPr>
      <w:r>
        <w:rPr>
          <w:b/>
          <w:color w:val="003CA0"/>
          <w:sz w:val="16"/>
        </w:rPr>
        <w:t>[RE 177.599, rel. min. Celso de Mello, j. 30-8-1994, 1ª T, DJ de 20-4-1995.]</w:t>
      </w:r>
    </w:p>
    <w:p>
      <w:pPr>
        <w:ind w:left="288"/>
      </w:pPr>
      <w:r>
        <w:rPr>
          <w:color w:val="8C8C8C"/>
          <w:sz w:val="12"/>
        </w:rPr>
        <w:t>cf-art-18</w:t>
      </w:r>
      <w:r>
        <w:rPr>
          <w:color w:val="003CA0"/>
          <w:sz w:val="12"/>
        </w:rPr>
        <w:t xml:space="preserve"> | AI 384.023</w:t>
      </w:r>
      <w:r>
        <w:rPr>
          <w:color w:val="003CA0"/>
          <w:sz w:val="12"/>
        </w:rPr>
        <w:t xml:space="preserve"> | rel. Nelson Jobim</w:t>
      </w:r>
    </w:p>
    <w:p>
      <w:pPr>
        <w:ind w:left="288"/>
      </w:pPr>
      <w:r>
        <w:rPr>
          <w:color w:val="1E1E1E"/>
          <w:sz w:val="18"/>
        </w:rPr>
        <w:t>= AI 384.023 AgR, rel. min. Nelson Jobim, j. 1º-10-2002, 2ª T, DJ de 31-10-2002 Lei municipal, que determina que o reajuste da remuneração dos servidores do Município fica vinculado automaticamente à variação do IPC, é inconstitucional, por atentar contra a autonomia do Município em matéria que diz respeito a seu peculiar interesse.</w:t>
      </w:r>
    </w:p>
    <w:p>
      <w:pPr>
        <w:ind w:left="288"/>
      </w:pPr>
      <w:r>
        <w:rPr>
          <w:b/>
          <w:color w:val="003CA0"/>
          <w:sz w:val="16"/>
        </w:rPr>
        <w:t>[RE 145.018, rel. min. Moreira Alves, j. 1º-4-1993, P, DJ de 10-9-1993.]</w:t>
      </w:r>
    </w:p>
    <w:p>
      <w:pPr>
        <w:ind w:left="288"/>
      </w:pPr>
      <w:r>
        <w:rPr>
          <w:color w:val="8C8C8C"/>
          <w:sz w:val="12"/>
        </w:rPr>
        <w:t>cf-art-18</w:t>
      </w:r>
      <w:r>
        <w:rPr>
          <w:color w:val="003CA0"/>
          <w:sz w:val="12"/>
        </w:rPr>
        <w:t xml:space="preserve"> | RE 199.553</w:t>
      </w:r>
      <w:r>
        <w:rPr>
          <w:color w:val="003CA0"/>
          <w:sz w:val="12"/>
        </w:rPr>
        <w:t xml:space="preserve"> | rel. Dias Toffoli</w:t>
      </w:r>
    </w:p>
    <w:p>
      <w:pPr>
        <w:ind w:left="288"/>
      </w:pPr>
      <w:r>
        <w:rPr>
          <w:color w:val="1E1E1E"/>
          <w:sz w:val="18"/>
        </w:rPr>
        <w:t>= RE 199.553 AgR, rel. min. Dias Toffoli, j. 22-5-2012, 1ª T, DJE de 13-6-2012</w:t>
      </w:r>
    </w:p>
    <w:p>
      <w:pPr>
        <w:ind w:left="288"/>
      </w:pPr>
      <w:r>
        <w:rPr>
          <w:color w:val="8C8C8C"/>
          <w:sz w:val="12"/>
        </w:rPr>
        <w:t>cf-art-18-par-2</w:t>
      </w:r>
      <w:r>
        <w:rPr>
          <w:color w:val="003CA0"/>
          <w:sz w:val="12"/>
        </w:rPr>
        <w:t xml:space="preserve"> | AO 97</w:t>
      </w:r>
      <w:r>
        <w:rPr>
          <w:color w:val="003CA0"/>
          <w:sz w:val="12"/>
        </w:rPr>
        <w:t xml:space="preserve"> | rel. Sepúlveda Pertence</w:t>
      </w:r>
    </w:p>
    <w:p>
      <w:pPr>
        <w:ind w:left="288"/>
      </w:pPr>
      <w:r>
        <w:rPr>
          <w:color w:val="1E1E1E"/>
          <w:sz w:val="18"/>
        </w:rPr>
        <w:t>O aperfeiçoamento da conversão de um Território Federal em Estado-membro, na plenitude do seu status constitucional, não é um fato instantâneo – unico actu perficiuntur: é o resultado de um processo mais ou menos complexo, que se inicia com o ato de criação, mas somente se exaure quando o novo Estado puder exercer por órgãos próprios a plenitude dos poderes que lhe confere a Constituição da República, no que se traduz a plena e efetiva assunção de sua autonomia.</w:t>
      </w:r>
    </w:p>
    <w:p>
      <w:pPr>
        <w:ind w:left="288"/>
      </w:pPr>
      <w:r>
        <w:rPr>
          <w:b/>
          <w:color w:val="003CA0"/>
          <w:sz w:val="16"/>
        </w:rPr>
        <w:t>[AO 97 MC, rel. min. Sepúlveda Pertence, j. 26-9-1991, P, DJ de 2-4-1993.]</w:t>
      </w:r>
    </w:p>
    <w:p>
      <w:pPr>
        <w:ind w:left="144"/>
      </w:pPr>
      <w:r>
        <w:rPr>
          <w:b/>
          <w:color w:val="B45A00"/>
          <w:sz w:val="16"/>
        </w:rPr>
        <w:t>CONTROLE CONCENTRADO</w:t>
      </w:r>
    </w:p>
    <w:p>
      <w:pPr>
        <w:ind w:left="288"/>
      </w:pPr>
      <w:r>
        <w:rPr>
          <w:color w:val="8C8C8C"/>
          <w:sz w:val="12"/>
        </w:rPr>
        <w:t>cf-art-18-par-3</w:t>
      </w:r>
      <w:r>
        <w:rPr>
          <w:color w:val="003CA0"/>
          <w:sz w:val="12"/>
        </w:rPr>
        <w:t xml:space="preserve"> | ADI 1.509</w:t>
      </w:r>
      <w:r>
        <w:rPr>
          <w:color w:val="003CA0"/>
          <w:sz w:val="12"/>
        </w:rPr>
        <w:t xml:space="preserve"> | rel. Gilmar Mendes</w:t>
      </w:r>
    </w:p>
    <w:p>
      <w:pPr>
        <w:ind w:left="288"/>
      </w:pPr>
      <w:r>
        <w:rPr>
          <w:color w:val="1E1E1E"/>
          <w:sz w:val="18"/>
        </w:rPr>
        <w:t>Lei do Distrito Federal 899/1995. (...) Previsão de alteração dos limites territoriais entre o Distrito Federal e o Estado de Goiás. Inconstitucionalidade material.</w:t>
      </w:r>
    </w:p>
    <w:p>
      <w:pPr>
        <w:ind w:left="288"/>
      </w:pPr>
      <w:r>
        <w:rPr>
          <w:b/>
          <w:color w:val="003CA0"/>
          <w:sz w:val="16"/>
        </w:rPr>
        <w:t>[ADI 1.509, rel. min. Gilmar Mendes, j. 11-9-2014, P, DJE de 18-11-2014.]</w:t>
      </w:r>
    </w:p>
    <w:p>
      <w:pPr>
        <w:ind w:left="288"/>
      </w:pPr>
      <w:r>
        <w:rPr>
          <w:color w:val="8C8C8C"/>
          <w:sz w:val="12"/>
        </w:rPr>
        <w:t>cf-art-18-par-3</w:t>
      </w:r>
      <w:r>
        <w:rPr>
          <w:color w:val="003CA0"/>
          <w:sz w:val="12"/>
        </w:rPr>
        <w:t xml:space="preserve"> | ADI 2.650</w:t>
      </w:r>
      <w:r>
        <w:rPr>
          <w:color w:val="003CA0"/>
          <w:sz w:val="12"/>
        </w:rPr>
        <w:t xml:space="preserve"> | rel. Dias Toffoli</w:t>
      </w:r>
    </w:p>
    <w:p>
      <w:pPr>
        <w:ind w:left="288"/>
      </w:pPr>
      <w:r>
        <w:rPr>
          <w:color w:val="1E1E1E"/>
          <w:sz w:val="18"/>
        </w:rPr>
        <w:t>Sendo o desmembramento uma divisão territorial, uma separação, com o desfalque de parte do território e de parte da sua população, não há como excluir da consulta plebiscitária os interesses da população da área remanescente, população essa que também será inevitavelmente afetada. O desmembramento dos entes federativos, além de reduzir seu espaço territorial e sua população, pode resultar, ainda, na cisão da unidade sociocultural, econômica e financeira do Estado, razão pela qual a vontade da população do território remanescente não deve ser desconsiderada, nem deve ser essa população rotulada</w:t>
      </w:r>
    </w:p>
    <w:p>
      <w:pPr>
        <w:ind w:left="288"/>
      </w:pPr>
      <w:r>
        <w:rPr>
          <w:b/>
          <w:color w:val="003CA0"/>
          <w:sz w:val="16"/>
        </w:rPr>
        <w:t>[ADI 2.650, rel. min. Dias Toffoli, j. 24-8-2011, P, DJE de 17-11-2011.]</w:t>
      </w:r>
    </w:p>
    <w:p>
      <w:pPr>
        <w:ind w:left="288"/>
      </w:pPr>
      <w:r>
        <w:rPr>
          <w:color w:val="8C8C8C"/>
          <w:sz w:val="12"/>
        </w:rPr>
        <w:t>cf-art-18-par-3</w:t>
      </w:r>
      <w:r>
        <w:rPr>
          <w:color w:val="003CA0"/>
          <w:sz w:val="12"/>
        </w:rPr>
        <w:t xml:space="preserve"> | ADO 70</w:t>
      </w:r>
      <w:r>
        <w:rPr>
          <w:color w:val="003CA0"/>
          <w:sz w:val="12"/>
        </w:rPr>
        <w:t xml:space="preserve"> | rel. Gilmar Mendes</w:t>
      </w:r>
    </w:p>
    <w:p>
      <w:pPr>
        <w:ind w:left="288"/>
      </w:pPr>
      <w:r>
        <w:rPr>
          <w:color w:val="1E1E1E"/>
          <w:sz w:val="18"/>
        </w:rPr>
        <w:t>§ 4º A criação, a incorporação, a fusão e o desmembramento de Municípios, far-se-ão por lei estadual, dentro do período determinado por Lei Complementar Federal, e dependerão de consulta prévia, mediante plebiscito, às populações dos Municípios envolvidos, após divulgação dos Estudos de Viabilidade Municipal, apresentados e publicados na forma da lei. (Redação da EC n. 15/1996) O Supremo Tribunal Federal, no âmbito da ADI nº 3.682/MT (Rel. Min. Gilmar Mendes, Tribunal Pleno, DJ de 6/9/07), declarou o estado de mora do Congresso Nacional quanto ao cumprimento do mandamento constitucional inscul</w:t>
      </w:r>
    </w:p>
    <w:p>
      <w:pPr>
        <w:ind w:left="288"/>
      </w:pPr>
      <w:r>
        <w:rPr>
          <w:b/>
          <w:color w:val="003CA0"/>
          <w:sz w:val="16"/>
        </w:rPr>
        <w:t>[ADO 70, rel. min. Dias Toffoli, j. 29.09.2025, P, DJE de 13.10.2025.]</w:t>
      </w:r>
    </w:p>
    <w:p>
      <w:pPr>
        <w:ind w:left="288"/>
      </w:pPr>
      <w:r>
        <w:rPr>
          <w:color w:val="8C8C8C"/>
          <w:sz w:val="12"/>
        </w:rPr>
        <w:t>cf-art-18-par-3</w:t>
      </w:r>
      <w:r>
        <w:rPr>
          <w:color w:val="003CA0"/>
          <w:sz w:val="12"/>
        </w:rPr>
        <w:t xml:space="preserve"> | ADPF 819</w:t>
      </w:r>
      <w:r>
        <w:rPr>
          <w:color w:val="003CA0"/>
          <w:sz w:val="12"/>
        </w:rPr>
        <w:t xml:space="preserve"> | rel. Roberto Barroso</w:t>
      </w:r>
    </w:p>
    <w:p>
      <w:pPr>
        <w:ind w:left="288"/>
      </w:pPr>
      <w:r>
        <w:rPr>
          <w:color w:val="1E1E1E"/>
          <w:sz w:val="18"/>
        </w:rPr>
        <w:t>Pendente a edição de legislação federal que assinale o prazo dentro do qual será permitida a criação e alteração de municípios, são inconstitucionais, por violação do § 4º do art. 18 da Constituição, na redação que lhe foi dada pela EC 15/1996, os regramentos estaduais que porventura disciplinem a matéria.</w:t>
        <w:br/>
        <w:t>[ADPF 819, rel. min. Roberto Barroso, red. do ac. min. Gilmar Mendes, j. 9-10-2023, P, DJE de 9-1-2024.] A redação original do art. 18, § 4º, da CF/1988 condicionava a criação de municípios à edição de lei estadual, obedecidos os requisitos previstos em Lei Complementar estadual, e a uma con</w:t>
      </w:r>
    </w:p>
    <w:p>
      <w:pPr>
        <w:ind w:left="288"/>
      </w:pPr>
      <w:r>
        <w:rPr>
          <w:b/>
          <w:color w:val="003CA0"/>
          <w:sz w:val="16"/>
        </w:rPr>
        <w:t>[ADI 1.825, rel. min. Luiz Fux, j. 15-4-2020, P, DJE de 20-5-2020.]</w:t>
      </w:r>
    </w:p>
    <w:p>
      <w:pPr>
        <w:ind w:left="288"/>
      </w:pPr>
      <w:r>
        <w:rPr>
          <w:color w:val="8C8C8C"/>
          <w:sz w:val="12"/>
        </w:rPr>
        <w:t>cf-art-18-par-3</w:t>
      </w:r>
      <w:r>
        <w:rPr>
          <w:color w:val="003CA0"/>
          <w:sz w:val="12"/>
        </w:rPr>
        <w:t xml:space="preserve"> | ADI 2.650</w:t>
      </w:r>
      <w:r>
        <w:rPr>
          <w:color w:val="003CA0"/>
          <w:sz w:val="12"/>
        </w:rPr>
        <w:t xml:space="preserve"> | rel. Dias Toffoli</w:t>
      </w:r>
    </w:p>
    <w:p>
      <w:pPr>
        <w:ind w:left="288"/>
      </w:pPr>
      <w:r>
        <w:rPr>
          <w:color w:val="1E1E1E"/>
          <w:sz w:val="18"/>
        </w:rPr>
        <w:t>Após a alteração promovida pela EC 15/1996, a Constituição explicitou o alcance do âmbito de consulta para o caso de reformulação territorial de Municípios e, portanto, o significado da expressão "populações diretamente interessadas", contida na redação originária do § 4º do art. 18 da Constituição, no sentido de ser necessária a consulta a toda a população afetada pela modificação territorial, o que, no caso de desmembramento, deve envolver tanto a população do território a ser desmembrado quanto a do território remanescente. Esse sempre foi o real sentido da exigência constitucional – a nova</w:t>
      </w:r>
    </w:p>
    <w:p>
      <w:pPr>
        <w:ind w:left="288"/>
      </w:pPr>
      <w:r>
        <w:rPr>
          <w:b/>
          <w:color w:val="003CA0"/>
          <w:sz w:val="16"/>
        </w:rPr>
        <w:t>[ADI 2.650, rel. min. Dias Toffoli, j. 24-8-2011, P, DJE de 17-11-2011.]</w:t>
      </w:r>
    </w:p>
    <w:p>
      <w:pPr>
        <w:ind w:left="288"/>
      </w:pPr>
      <w:r>
        <w:rPr>
          <w:color w:val="8C8C8C"/>
          <w:sz w:val="12"/>
        </w:rPr>
        <w:t>cf-art-18-par-3</w:t>
      </w:r>
      <w:r>
        <w:rPr>
          <w:color w:val="003CA0"/>
          <w:sz w:val="12"/>
        </w:rPr>
        <w:t xml:space="preserve"> | ADI 2.381</w:t>
      </w:r>
      <w:r>
        <w:rPr>
          <w:color w:val="003CA0"/>
          <w:sz w:val="12"/>
        </w:rPr>
        <w:t xml:space="preserve"> | rel. Cármen Lúcia</w:t>
      </w:r>
    </w:p>
    <w:p>
      <w:pPr>
        <w:ind w:left="288"/>
      </w:pPr>
      <w:r>
        <w:rPr>
          <w:color w:val="1E1E1E"/>
          <w:sz w:val="18"/>
        </w:rPr>
        <w:t>Com o advento da EC 57/2008, foram convalidados os atos de criação de Municípios cuja lei tenha sido publicada até 31-12-2006, atendidos os requisitos na legislação do respectivo Estado à época de sua criação.</w:t>
      </w:r>
    </w:p>
    <w:p>
      <w:pPr>
        <w:ind w:left="288"/>
      </w:pPr>
      <w:r>
        <w:rPr>
          <w:b/>
          <w:color w:val="003CA0"/>
          <w:sz w:val="16"/>
        </w:rPr>
        <w:t>[ADI 2.381 AgR, rel. min. Cármen Lúcia, j. 24-3-2011, P, DJE de 11-4-2011.]</w:t>
      </w:r>
    </w:p>
    <w:p>
      <w:pPr>
        <w:ind w:left="288"/>
      </w:pPr>
      <w:r>
        <w:rPr>
          <w:color w:val="8C8C8C"/>
          <w:sz w:val="12"/>
        </w:rPr>
        <w:t>cf-art-18-par-3</w:t>
      </w:r>
      <w:r>
        <w:rPr>
          <w:color w:val="003CA0"/>
          <w:sz w:val="12"/>
        </w:rPr>
        <w:t xml:space="preserve"> | ADI 1.881</w:t>
      </w:r>
      <w:r>
        <w:rPr>
          <w:color w:val="003CA0"/>
          <w:sz w:val="12"/>
        </w:rPr>
        <w:t xml:space="preserve"> | rel. Ricardo Lewandowski</w:t>
      </w:r>
    </w:p>
    <w:p>
      <w:pPr>
        <w:ind w:left="288"/>
      </w:pPr>
      <w:r>
        <w:rPr>
          <w:color w:val="1E1E1E"/>
          <w:sz w:val="18"/>
        </w:rPr>
        <w:t>Uma vez cumprido o processo de desmembramento de área de certo Município, criando-se nova unidade federativa, descabe, mediante lei estadual, mera revogação do ato normativo que o formalizou. A fusão há de observar novo processo e, portanto, prévia consulta plebiscitária às populações dos entes políticos diretamente envolvidos, por força do art. 18, § 4º, da CF.</w:t>
      </w:r>
    </w:p>
    <w:p>
      <w:pPr>
        <w:ind w:left="288"/>
      </w:pPr>
      <w:r>
        <w:rPr>
          <w:b/>
          <w:color w:val="003CA0"/>
          <w:sz w:val="16"/>
        </w:rPr>
        <w:t>[ADI 1.881, rel. min. Ricardo Lewandowski, j. 10-5-2007, P, DJ de 15-6-2007.]</w:t>
      </w:r>
    </w:p>
    <w:p>
      <w:pPr>
        <w:ind w:left="288"/>
      </w:pPr>
      <w:r>
        <w:rPr>
          <w:color w:val="8C8C8C"/>
          <w:sz w:val="12"/>
        </w:rPr>
        <w:t>cf-art-18-par-3</w:t>
      </w:r>
      <w:r>
        <w:rPr>
          <w:color w:val="003CA0"/>
          <w:sz w:val="12"/>
        </w:rPr>
        <w:t xml:space="preserve"> | ADI 1.262</w:t>
      </w:r>
      <w:r>
        <w:rPr>
          <w:color w:val="003CA0"/>
          <w:sz w:val="12"/>
        </w:rPr>
        <w:t xml:space="preserve"> | rel. Sydney Sanches</w:t>
      </w:r>
    </w:p>
    <w:p>
      <w:pPr>
        <w:ind w:left="288"/>
      </w:pPr>
      <w:r>
        <w:rPr>
          <w:color w:val="1E1E1E"/>
          <w:sz w:val="18"/>
        </w:rPr>
        <w:t>= ADI 1.262, rel. min. Sydney Sanches, j. 11-9-1997, P, DJ de 12-12-1997 EC 15/1996, que deu nova redação ao § 4º do art. 18 da CF. Modificação dos requisitos constitucionais para a criação, fusão, incorporação e desmembramento de Municípios. Controle da constitucionalidade da atuação do poder legislativo de reforma da Constituição de 1988. Inexistência de afronta à cláusula pétrea da forma federativa do Estado, decorrente da atribuição, à lei complementar federal, para fixação do período dentro do qual poderão ser efetivadas a criação, a incorporação, a fusão e o desmembramento de Municípios.</w:t>
      </w:r>
    </w:p>
    <w:p>
      <w:pPr>
        <w:ind w:left="288"/>
      </w:pPr>
      <w:r>
        <w:rPr>
          <w:b/>
          <w:color w:val="003CA0"/>
          <w:sz w:val="16"/>
        </w:rPr>
        <w:t>[ADI 2.395, rel. min. Gilmar Mendes, j. 9-5-2007, P, DJE de 23-5-2008.]</w:t>
      </w:r>
    </w:p>
    <w:p>
      <w:pPr>
        <w:ind w:left="288"/>
      </w:pPr>
      <w:r>
        <w:rPr>
          <w:color w:val="8C8C8C"/>
          <w:sz w:val="12"/>
        </w:rPr>
        <w:t>cf-art-18-par-3</w:t>
      </w:r>
      <w:r>
        <w:rPr>
          <w:color w:val="003CA0"/>
          <w:sz w:val="12"/>
        </w:rPr>
        <w:t xml:space="preserve"> | ADI 2.381</w:t>
      </w:r>
      <w:r>
        <w:rPr>
          <w:color w:val="003CA0"/>
          <w:sz w:val="12"/>
        </w:rPr>
        <w:t xml:space="preserve"> | rel. Sepúlveda Pertence</w:t>
      </w:r>
    </w:p>
    <w:p>
      <w:pPr>
        <w:ind w:left="288"/>
      </w:pPr>
      <w:r>
        <w:rPr>
          <w:color w:val="1E1E1E"/>
          <w:sz w:val="18"/>
        </w:rPr>
        <w:t>= ADI 2.381 MC, rel. min. Sepúlveda Pertence, j. 20-6-2001, P, DJ de 14-12-2001 Ação direta de inconstitucionalidade. Lei 7.619/2000, do Estado da Bahia, que criou o Município de Luís Eduardo Magalhães. Inconstitucionalidade de lei estadual posterior à EC 15/1996. Ausência de lei complementar federal prevista no texto constitucional. Afronta ao disposto no art. 18, § 4º, da Constituição do Brasil. Omissão do Poder Legislativo. Existência de fato. Situação consolidada. Princípio da segurança jurídica. Situação de exceção, estado de exceção. (...) A exceção resulta de omissão do Poder Legislativ</w:t>
      </w:r>
    </w:p>
    <w:p>
      <w:pPr>
        <w:ind w:left="288"/>
      </w:pPr>
      <w:r>
        <w:rPr>
          <w:b/>
          <w:color w:val="003CA0"/>
          <w:sz w:val="16"/>
        </w:rPr>
        <w:t>[ADI 2.240, rel. min. Eros Grau, j. 9-5-2007, P, DJ de 3-8-2007.]</w:t>
      </w:r>
    </w:p>
    <w:p>
      <w:pPr>
        <w:ind w:left="288"/>
      </w:pPr>
      <w:r>
        <w:rPr>
          <w:color w:val="8C8C8C"/>
          <w:sz w:val="12"/>
        </w:rPr>
        <w:t>cf-art-18-par-3</w:t>
      </w:r>
      <w:r>
        <w:rPr>
          <w:color w:val="003CA0"/>
          <w:sz w:val="12"/>
        </w:rPr>
        <w:t xml:space="preserve"> | ADI 458</w:t>
      </w:r>
      <w:r>
        <w:rPr>
          <w:color w:val="003CA0"/>
          <w:sz w:val="12"/>
        </w:rPr>
        <w:t xml:space="preserve"> | rel. Sydney Sanches</w:t>
      </w:r>
    </w:p>
    <w:p>
      <w:pPr>
        <w:ind w:left="288"/>
      </w:pPr>
      <w:r>
        <w:rPr>
          <w:color w:val="1E1E1E"/>
          <w:sz w:val="18"/>
        </w:rPr>
        <w:t xml:space="preserve">Ação direta de inconstitucionalidade. Art. 51 do ADCT do Estado da Paraíba. Redefinição dos limites territoriais do Município do Conde. Desmembramento de parte de Município e incorporação da área separada ao território da municipalidade limítrofe, tudo sem a prévia consulta, mediante plebiscito, das populações de ambas as localidades. Ofensa ao art. 18, § 4º, da CF. Para a averiguação da violação apontada pelo requerente, qual seja, o desrespeito, pelo legislador constituinte paraibano, das exigências de consulta prévia e de edição de lei estadual para o desmembramento de Município, não foi a </w:t>
      </w:r>
    </w:p>
    <w:p>
      <w:pPr>
        <w:ind w:left="288"/>
      </w:pPr>
      <w:r>
        <w:rPr>
          <w:b/>
          <w:color w:val="003CA0"/>
          <w:sz w:val="16"/>
        </w:rPr>
        <w:t>[ADI 3.615, rel. min. Ellen Gracie, j. 30-8-2006, P, DJ de 9-3-2007.]</w:t>
      </w:r>
    </w:p>
    <w:p>
      <w:pPr>
        <w:ind w:left="288"/>
      </w:pPr>
      <w:r>
        <w:rPr>
          <w:color w:val="8C8C8C"/>
          <w:sz w:val="12"/>
        </w:rPr>
        <w:t>cf-art-18-par-3</w:t>
      </w:r>
      <w:r>
        <w:rPr>
          <w:color w:val="003CA0"/>
          <w:sz w:val="12"/>
        </w:rPr>
        <w:t xml:space="preserve"> | RE 614.384</w:t>
      </w:r>
      <w:r>
        <w:rPr>
          <w:color w:val="003CA0"/>
          <w:sz w:val="12"/>
        </w:rPr>
        <w:t xml:space="preserve"> | rel. Dias Toffoli</w:t>
      </w:r>
    </w:p>
    <w:p>
      <w:pPr>
        <w:ind w:left="288"/>
      </w:pPr>
      <w:r>
        <w:rPr>
          <w:color w:val="1E1E1E"/>
          <w:sz w:val="18"/>
        </w:rPr>
        <w:t>Repercussão gereal A EC 57/08 não convalidou desmembramento municipal realizado sem consulta plebiscitária e, nesse contexto, não retirou o vício de ilegitimidade ativa existente nas execuções fiscais que haviam sido propostas por município ao qual fora acrescida, sem tal consulta, área de outro para a cobrança do IPTU quanto a imóveis nela localizados.</w:t>
      </w:r>
    </w:p>
    <w:p>
      <w:pPr>
        <w:ind w:left="288"/>
      </w:pPr>
      <w:r>
        <w:rPr>
          <w:b/>
          <w:color w:val="003CA0"/>
          <w:sz w:val="16"/>
        </w:rPr>
        <w:t>[RE 614.384, rel. min. Dias Toffoli, j. 2-5-2022, P, DJE de 12-5-2022, Tema 559, com mérito julgado.]</w:t>
      </w:r>
    </w:p>
    <w:p>
      <w:pPr>
        <w:ind w:left="288"/>
      </w:pPr>
      <w:r>
        <w:rPr>
          <w:color w:val="8C8C8C"/>
          <w:sz w:val="12"/>
        </w:rPr>
        <w:t>cf-art-18-par-3</w:t>
      </w:r>
      <w:r>
        <w:rPr>
          <w:color w:val="003CA0"/>
          <w:sz w:val="12"/>
        </w:rPr>
        <w:t xml:space="preserve"> | RE 1.171.699</w:t>
      </w:r>
      <w:r>
        <w:rPr>
          <w:color w:val="003CA0"/>
          <w:sz w:val="12"/>
        </w:rPr>
        <w:t xml:space="preserve"> | rel. Carmen Lúcia</w:t>
      </w:r>
    </w:p>
    <w:p>
      <w:pPr>
        <w:ind w:left="288"/>
      </w:pPr>
      <w:r>
        <w:rPr>
          <w:color w:val="1E1E1E"/>
          <w:sz w:val="18"/>
        </w:rPr>
        <w:t>Declaração de inconstitucionalidade da alteração dos limites intermunicipais por ausência de observância do § 4º do art. 18 da Constituição da República. A exigência da realização de plebiscito, como se determina no § 4º do art. 18 da Constituição da República, não foi afastada pelo art. 96 do ato das disposições constitucionais transitórias, introduzido pela emenda constitucional 57/2008, sendo ilegítimo o município ocupante para cobrar o imposto sobre a propriedade predial e territorial urbana – IPTU nos territórios indevidamente incorporados.</w:t>
      </w:r>
    </w:p>
    <w:p>
      <w:pPr>
        <w:ind w:left="288"/>
      </w:pPr>
      <w:r>
        <w:rPr>
          <w:b/>
          <w:color w:val="003CA0"/>
          <w:sz w:val="16"/>
        </w:rPr>
        <w:t>[RE 1.171.699, rel. min. Carmen Lúcia, j. 29-11-2019, P, DJE de 18-12-2019, Tema 400, com mérito julgado.]</w:t>
      </w:r>
    </w:p>
    <w:p>
      <w:pPr>
        <w:ind w:left="288"/>
      </w:pPr>
      <w:r>
        <w:rPr>
          <w:color w:val="8C8C8C"/>
          <w:sz w:val="12"/>
        </w:rPr>
        <w:t>cf-art-18-par-3</w:t>
      </w:r>
      <w:r>
        <w:rPr>
          <w:color w:val="003CA0"/>
          <w:sz w:val="12"/>
        </w:rPr>
        <w:t xml:space="preserve"> | ARE 1.529.917</w:t>
      </w:r>
      <w:r>
        <w:rPr>
          <w:color w:val="003CA0"/>
          <w:sz w:val="12"/>
        </w:rPr>
        <w:t xml:space="preserve"> | rel. Gilmar Mendes</w:t>
      </w:r>
    </w:p>
    <w:p>
      <w:pPr>
        <w:ind w:left="288"/>
      </w:pPr>
      <w:r>
        <w:rPr>
          <w:color w:val="1E1E1E"/>
          <w:sz w:val="18"/>
        </w:rPr>
        <w:t>A necessidade de prévia realização de plebiscito às comunidades envolvidas em desmembramento de municípios se estende para as hipóteses em que há apenas a consolidação das divisas mediante a alteração das fronteiras originais, qualquer que seja a extensão da modificação.</w:t>
      </w:r>
    </w:p>
    <w:p>
      <w:pPr>
        <w:ind w:left="288"/>
      </w:pPr>
      <w:r>
        <w:rPr>
          <w:b/>
          <w:color w:val="003CA0"/>
          <w:sz w:val="16"/>
        </w:rPr>
        <w:t>[ARE 1.529.917, rel. min. Gilmar Mendes, j. 24.03.2025, P, DJE de 07.04.2025.]</w:t>
      </w:r>
    </w:p>
    <w:p>
      <w:pPr>
        <w:ind w:left="144"/>
      </w:pPr>
      <w:r>
        <w:rPr>
          <w:b/>
          <w:color w:val="B45A00"/>
          <w:sz w:val="16"/>
        </w:rPr>
        <w:t>JULGADOS CORRELATOS</w:t>
      </w:r>
    </w:p>
    <w:p>
      <w:pPr>
        <w:ind w:left="288"/>
      </w:pPr>
      <w:r>
        <w:rPr>
          <w:color w:val="8C8C8C"/>
          <w:sz w:val="12"/>
        </w:rPr>
        <w:t>cf-art-18-par-3</w:t>
      </w:r>
      <w:r>
        <w:rPr>
          <w:color w:val="003CA0"/>
          <w:sz w:val="12"/>
        </w:rPr>
        <w:t xml:space="preserve"> | MI 725</w:t>
      </w:r>
      <w:r>
        <w:rPr>
          <w:color w:val="003CA0"/>
          <w:sz w:val="12"/>
        </w:rPr>
        <w:t xml:space="preserve"> | rel. Gilmar Mendes</w:t>
      </w:r>
    </w:p>
    <w:p>
      <w:pPr>
        <w:ind w:left="288"/>
      </w:pPr>
      <w:r>
        <w:rPr>
          <w:color w:val="1E1E1E"/>
          <w:sz w:val="18"/>
        </w:rPr>
        <w:t>Mandado de injunção. Alegada omissão legislativa quanto à elaboração da lei complementar a que se refere o § 4º do art. 18 da CF, na redação dada pela EC 15/1996. Ilegitimidade ativa do Município impetrante. Inexistência de direito ou prerrogativa constitucional do Município cujo exercício esteja sendo obstaculizado pela ausência da lei complementar federal exigida pelo art. 18, § 4º, da Constituição.</w:t>
      </w:r>
    </w:p>
    <w:p>
      <w:pPr>
        <w:ind w:left="288"/>
      </w:pPr>
      <w:r>
        <w:rPr>
          <w:b/>
          <w:color w:val="003CA0"/>
          <w:sz w:val="16"/>
        </w:rPr>
        <w:t>[MI 725, rel. min. Gilmar Mendes, j. 10-5-2007, P, DJ de 21-9-2007.]</w:t>
      </w:r>
    </w:p>
    <w:p>
      <w:r>
        <w:rPr>
          <w:b/>
          <w:color w:val="003366"/>
          <w:sz w:val="20"/>
        </w:rPr>
        <w:t>Art. 18 A. Os atos administrativos praticados no Estado do Tocantins, decorrente</w:t>
      </w:r>
      <w:r>
        <w:rPr>
          <w:color w:val="8C8C8C"/>
          <w:sz w:val="14"/>
        </w:rPr>
        <w:t xml:space="preserve">  [35 decisoes]</w:t>
      </w:r>
    </w:p>
    <w:p>
      <w:pPr>
        <w:ind w:left="144"/>
      </w:pPr>
      <w:r>
        <w:rPr>
          <w:b/>
          <w:color w:val="B45A00"/>
          <w:sz w:val="16"/>
        </w:rPr>
        <w:t>CONTROLE CONCENTRADO</w:t>
      </w:r>
    </w:p>
    <w:p>
      <w:pPr>
        <w:ind w:left="288"/>
      </w:pPr>
      <w:r>
        <w:rPr>
          <w:color w:val="8C8C8C"/>
          <w:sz w:val="12"/>
        </w:rPr>
        <w:t>cf-art-18</w:t>
      </w:r>
      <w:r>
        <w:rPr>
          <w:color w:val="003CA0"/>
          <w:sz w:val="12"/>
        </w:rPr>
        <w:t xml:space="preserve"> | ADI 4.579</w:t>
      </w:r>
      <w:r>
        <w:rPr>
          <w:color w:val="003CA0"/>
          <w:sz w:val="12"/>
        </w:rPr>
        <w:t xml:space="preserve"> | rel. Luiz Fux</w:t>
      </w:r>
    </w:p>
    <w:p>
      <w:pPr>
        <w:ind w:left="288"/>
      </w:pPr>
      <w:r>
        <w:rPr>
          <w:color w:val="1E1E1E"/>
          <w:sz w:val="18"/>
        </w:rPr>
        <w:t>A lei estadual não pode impor o comparecimento de representante de uma entidade federal, no caso, a Ordem dos Advogados do Brasil, para integrar órgão da Administração Pública estadual, sob pena de ofensa à autonomia dos entes federativos (artigo 18 da Constituição Federal).</w:t>
      </w:r>
    </w:p>
    <w:p>
      <w:pPr>
        <w:ind w:left="288"/>
      </w:pPr>
      <w:r>
        <w:rPr>
          <w:b/>
          <w:color w:val="003CA0"/>
          <w:sz w:val="16"/>
        </w:rPr>
        <w:t>[ADI 4.579, rel. min. Luiz Fux, j. 13-2-2020, P, DJE de 28-4-2020.]</w:t>
      </w:r>
    </w:p>
    <w:p>
      <w:pPr>
        <w:ind w:left="288"/>
      </w:pPr>
      <w:r>
        <w:rPr>
          <w:color w:val="8C8C8C"/>
          <w:sz w:val="12"/>
        </w:rPr>
        <w:t>cf-art-18</w:t>
      </w:r>
      <w:r>
        <w:rPr>
          <w:color w:val="003CA0"/>
          <w:sz w:val="12"/>
        </w:rPr>
        <w:t xml:space="preserve"> | ADI 3.499</w:t>
      </w:r>
      <w:r>
        <w:rPr>
          <w:color w:val="003CA0"/>
          <w:sz w:val="12"/>
        </w:rPr>
        <w:t xml:space="preserve"> | rel. Luiz Fux</w:t>
      </w:r>
    </w:p>
    <w:p>
      <w:pPr>
        <w:ind w:left="288"/>
      </w:pPr>
      <w:r>
        <w:rPr>
          <w:color w:val="1E1E1E"/>
          <w:sz w:val="18"/>
        </w:rPr>
        <w:t>O artigo 23, parágrafo único, da Constituição Federal reservou à lei complementar a disciplina da cooperação interfederativa, mas não veda que União, Estados, Municípios e Distrito Federal recorram à utilização de instrumentos negociais para a salutar racionalização e coordenação das suas atividades, em conformidade com a perspectiva consensual e pragmática da Administração Pública contemporânea em sua vertente gerencial.</w:t>
      </w:r>
    </w:p>
    <w:p>
      <w:pPr>
        <w:ind w:left="288"/>
      </w:pPr>
      <w:r>
        <w:rPr>
          <w:b/>
          <w:color w:val="003CA0"/>
          <w:sz w:val="16"/>
        </w:rPr>
        <w:t>[ADI 3.499, rel. min. Luiz Fux, j. 30-8-2019, P, DJE de 5-12-2019.]</w:t>
      </w:r>
    </w:p>
    <w:p>
      <w:pPr>
        <w:ind w:left="288"/>
      </w:pPr>
      <w:r>
        <w:rPr>
          <w:color w:val="8C8C8C"/>
          <w:sz w:val="12"/>
        </w:rPr>
        <w:t>cf-art-18</w:t>
      </w:r>
      <w:r>
        <w:rPr>
          <w:color w:val="003CA0"/>
          <w:sz w:val="12"/>
        </w:rPr>
        <w:t xml:space="preserve"> | ADI 2.256</w:t>
      </w:r>
      <w:r>
        <w:rPr>
          <w:color w:val="003CA0"/>
          <w:sz w:val="12"/>
        </w:rPr>
        <w:t xml:space="preserve"> | rel. Alexandre de Moraes</w:t>
      </w:r>
    </w:p>
    <w:p>
      <w:pPr>
        <w:ind w:left="288"/>
      </w:pPr>
      <w:r>
        <w:rPr>
          <w:color w:val="1E1E1E"/>
          <w:sz w:val="18"/>
        </w:rPr>
        <w:t>Lei complementar 101/2000. Lei de responsabilidade fiscal (LRF). Artigo 20, II, “a”, “b”, “c” e “d”, §§ 1º, 4º e 5º. Princípios federativo e da separação dos poderes. Compatibilidade. Improcedência. A definição de um teto de gastos particularizado, segundo os respectivos poderes ou órgãos afetados (art. 20 da LRF), não representa intromissão na autonomia financeira dos Entes subnacionais. Reforça, antes, a autoridade jurídica da norma do art. 169 da CF, no propósito, federativamente legítimo, de afastar dinâmicas de relacionamento predatório entre os Entes componentes da Federação. Só a fixaçã</w:t>
      </w:r>
    </w:p>
    <w:p>
      <w:pPr>
        <w:ind w:left="288"/>
      </w:pPr>
      <w:r>
        <w:rPr>
          <w:b/>
          <w:color w:val="003CA0"/>
          <w:sz w:val="16"/>
        </w:rPr>
        <w:t>[ADI 2.256, rel. min. Alexandre de Moraes, j. 22-8-2019, P, DJE de 9-9-2020.]</w:t>
      </w:r>
    </w:p>
    <w:p>
      <w:pPr>
        <w:ind w:left="288"/>
      </w:pPr>
      <w:r>
        <w:rPr>
          <w:color w:val="8C8C8C"/>
          <w:sz w:val="12"/>
        </w:rPr>
        <w:t>cf-art-18</w:t>
      </w:r>
      <w:r>
        <w:rPr>
          <w:color w:val="003CA0"/>
          <w:sz w:val="12"/>
        </w:rPr>
        <w:t xml:space="preserve"> | ADI 1.842</w:t>
      </w:r>
      <w:r>
        <w:rPr>
          <w:color w:val="003CA0"/>
          <w:sz w:val="12"/>
        </w:rPr>
        <w:t xml:space="preserve"> | rel. Gilmar Mendes</w:t>
      </w:r>
    </w:p>
    <w:p>
      <w:pPr>
        <w:ind w:left="288"/>
      </w:pPr>
      <w:r>
        <w:rPr>
          <w:color w:val="1E1E1E"/>
          <w:sz w:val="18"/>
        </w:rPr>
        <w:t>A CF conferiu ênfase à autonomia municipal ao mencionar os Municípios como integrantes do sistema federativo (art. 1º da CF/1988) e ao fixá-la junto com os Estados e o Distrito Federal (art. 18 da CF/1988). A essência da autonomia municipal contém primordialmente (i) autoadministração, que implica capacidade decisória quanto aos interesses locais, sem delegação ou aprovação hierárquica; e (ii) autogoverno, que determina a eleição do chefe do Poder Executivo e dos representantes no Legislativo. O interesse comum e a compulsoriedade da integração metropolitana não são incompatíveis com a autonom</w:t>
      </w:r>
    </w:p>
    <w:p>
      <w:pPr>
        <w:ind w:left="288"/>
      </w:pPr>
      <w:r>
        <w:rPr>
          <w:b/>
          <w:color w:val="003CA0"/>
          <w:sz w:val="16"/>
        </w:rPr>
        <w:t>[ADI 1.842, rel. min. Gilmar Mendes, j. 6-3-2013, P, DJE de 16-9-2013.]</w:t>
      </w:r>
    </w:p>
    <w:p>
      <w:pPr>
        <w:ind w:left="288"/>
      </w:pPr>
      <w:r>
        <w:rPr>
          <w:color w:val="8C8C8C"/>
          <w:sz w:val="12"/>
        </w:rPr>
        <w:t>cf-art-18</w:t>
      </w:r>
      <w:r>
        <w:rPr>
          <w:color w:val="003CA0"/>
          <w:sz w:val="12"/>
        </w:rPr>
        <w:t xml:space="preserve"> | ADI 2.452</w:t>
      </w:r>
      <w:r>
        <w:rPr>
          <w:color w:val="003CA0"/>
          <w:sz w:val="12"/>
        </w:rPr>
        <w:t xml:space="preserve"> | rel. Eros Grau</w:t>
      </w:r>
    </w:p>
    <w:p>
      <w:pPr>
        <w:ind w:left="288"/>
      </w:pPr>
      <w:r>
        <w:rPr>
          <w:color w:val="1E1E1E"/>
          <w:sz w:val="18"/>
        </w:rPr>
        <w:t>Vedação à aquisição pelos demais Estados-membros de ações de propriedade do Estado de São Paulo no capital das concessionárias de eletricidade paulistas. Razões econômicas e políticas legitimam a restrição contida no preceito impugnado. A limitação mencionada afasta possível tensão nas relações entre as unidades federativas envolvidas.</w:t>
      </w:r>
    </w:p>
    <w:p>
      <w:pPr>
        <w:ind w:left="288"/>
      </w:pPr>
      <w:r>
        <w:rPr>
          <w:b/>
          <w:color w:val="003CA0"/>
          <w:sz w:val="16"/>
        </w:rPr>
        <w:t>[ADI 2.452, rel. min. Eros Grau, j. 17-6-2010, P, DJE de 17-9-2010.]</w:t>
      </w:r>
    </w:p>
    <w:p>
      <w:pPr>
        <w:ind w:left="288"/>
      </w:pPr>
      <w:r>
        <w:rPr>
          <w:color w:val="8C8C8C"/>
          <w:sz w:val="12"/>
        </w:rPr>
        <w:t>cf-art-18</w:t>
      </w:r>
      <w:r>
        <w:rPr>
          <w:color w:val="003CA0"/>
          <w:sz w:val="12"/>
        </w:rPr>
        <w:t xml:space="preserve"> | ADI 692</w:t>
      </w:r>
      <w:r>
        <w:rPr>
          <w:color w:val="003CA0"/>
          <w:sz w:val="12"/>
        </w:rPr>
        <w:t xml:space="preserve"> | rel. Joaquim Barbosa</w:t>
      </w:r>
    </w:p>
    <w:p>
      <w:pPr>
        <w:ind w:left="288"/>
      </w:pPr>
      <w:r>
        <w:rPr>
          <w:color w:val="1E1E1E"/>
          <w:sz w:val="18"/>
        </w:rPr>
        <w:t>Viola a autonomia dos Municípios (art. 29, IV, da CF/1988) lei estadual que fixa número de vereadores ou a forma como essa fixação deve ser feita.</w:t>
      </w:r>
    </w:p>
    <w:p>
      <w:pPr>
        <w:ind w:left="288"/>
      </w:pPr>
      <w:r>
        <w:rPr>
          <w:b/>
          <w:color w:val="003CA0"/>
          <w:sz w:val="16"/>
        </w:rPr>
        <w:t>[ADI 692, rel. min. Joaquim Barbosa, j. 2-8-2004, P, DJ de 1º-10-2004.]</w:t>
      </w:r>
    </w:p>
    <w:p>
      <w:pPr>
        <w:ind w:left="288"/>
      </w:pPr>
      <w:r>
        <w:rPr>
          <w:color w:val="8C8C8C"/>
          <w:sz w:val="12"/>
        </w:rPr>
        <w:t>cf-art-18</w:t>
      </w:r>
      <w:r>
        <w:rPr>
          <w:color w:val="003CA0"/>
          <w:sz w:val="12"/>
        </w:rPr>
        <w:t xml:space="preserve"> | ADI 1.689</w:t>
      </w:r>
      <w:r>
        <w:rPr>
          <w:color w:val="003CA0"/>
          <w:sz w:val="12"/>
        </w:rPr>
        <w:t xml:space="preserve"> | rel. Sydney Sanches</w:t>
      </w:r>
    </w:p>
    <w:p>
      <w:pPr>
        <w:ind w:left="288"/>
      </w:pPr>
      <w:r>
        <w:rPr>
          <w:color w:val="1E1E1E"/>
          <w:sz w:val="18"/>
        </w:rPr>
        <w:t>Sucede que (...) o parágrafo único do art. 227 da Constituição estadual estabelece (...) uma vinculação orçamentária, ao dizer: "para o atendimento e desenvolvimento dos programas e ações explicitados neste artigo, o Estado e os Municípios aplicarão, anualmente, no mínimo, o percentual de um por cento dos seus respectivos orçamentos gerais". (...) interferindo no orçamento dos Municípios, não deixa de lhes afetar a autonomia (art. 18 da CF), inclusive no que concerne à aplicação de suas rendas (art. 30, III), sendo certo, ademais, que o art. 25 da parte permanente e o art. 11 do ADCT exigem qu</w:t>
      </w:r>
    </w:p>
    <w:p>
      <w:pPr>
        <w:ind w:left="288"/>
      </w:pPr>
      <w:r>
        <w:rPr>
          <w:b/>
          <w:color w:val="003CA0"/>
          <w:sz w:val="16"/>
        </w:rPr>
        <w:t>[ADI 1.689, rel. min. Sydney Sanches, j. 12-3-2003, P, DJ de 2-5-2003.]</w:t>
      </w:r>
    </w:p>
    <w:p>
      <w:pPr>
        <w:ind w:left="288"/>
      </w:pPr>
      <w:r>
        <w:rPr>
          <w:color w:val="8C8C8C"/>
          <w:sz w:val="12"/>
        </w:rPr>
        <w:t>cf-art-18</w:t>
      </w:r>
      <w:r>
        <w:rPr>
          <w:color w:val="003CA0"/>
          <w:sz w:val="12"/>
        </w:rPr>
        <w:t xml:space="preserve"> | ADI 2.377</w:t>
      </w:r>
      <w:r>
        <w:rPr>
          <w:color w:val="003CA0"/>
          <w:sz w:val="12"/>
        </w:rPr>
        <w:t xml:space="preserve"> | rel. Sepúlveda Pertence</w:t>
      </w:r>
    </w:p>
    <w:p>
      <w:pPr>
        <w:ind w:left="288"/>
      </w:pPr>
      <w:r>
        <w:rPr>
          <w:color w:val="1E1E1E"/>
          <w:sz w:val="18"/>
        </w:rPr>
        <w:t>As normas constitucionais, que impõem disciplina nacional ao ICMS, são preceitos contra os quais não se pode opor a autonomia do Estado, na medida em que são explícitas limitações.</w:t>
      </w:r>
    </w:p>
    <w:p>
      <w:pPr>
        <w:ind w:left="288"/>
      </w:pPr>
      <w:r>
        <w:rPr>
          <w:b/>
          <w:color w:val="003CA0"/>
          <w:sz w:val="16"/>
        </w:rPr>
        <w:t>[ADI 2.377 MC, rel. min. Sepúlveda Pertence, j. 22-2-2001, P, DJ de 7-11-2003.]</w:t>
      </w:r>
    </w:p>
    <w:p>
      <w:pPr>
        <w:ind w:left="288"/>
      </w:pPr>
      <w:r>
        <w:rPr>
          <w:color w:val="8C8C8C"/>
          <w:sz w:val="12"/>
        </w:rPr>
        <w:t>cf-art-18</w:t>
      </w:r>
      <w:r>
        <w:rPr>
          <w:color w:val="003CA0"/>
          <w:sz w:val="12"/>
        </w:rPr>
        <w:t xml:space="preserve"> | ADI 1.546</w:t>
      </w:r>
      <w:r>
        <w:rPr>
          <w:color w:val="003CA0"/>
          <w:sz w:val="12"/>
        </w:rPr>
        <w:t xml:space="preserve"> | rel. Nelson Jobim</w:t>
      </w:r>
    </w:p>
    <w:p>
      <w:pPr>
        <w:ind w:left="288"/>
      </w:pPr>
      <w:r>
        <w:rPr>
          <w:color w:val="1E1E1E"/>
          <w:sz w:val="18"/>
        </w:rPr>
        <w:t>A observância das regras federais não fere autonomia estadual.</w:t>
      </w:r>
    </w:p>
    <w:p>
      <w:pPr>
        <w:ind w:left="288"/>
      </w:pPr>
      <w:r>
        <w:rPr>
          <w:b/>
          <w:color w:val="003CA0"/>
          <w:sz w:val="16"/>
        </w:rPr>
        <w:t>[ADI 1.546, rel. min. Nelson Jobim, j. 3-12-1998, P, DJ de 6-4-2001.]</w:t>
      </w:r>
    </w:p>
    <w:p>
      <w:pPr>
        <w:ind w:left="288"/>
      </w:pPr>
      <w:r>
        <w:rPr>
          <w:color w:val="8C8C8C"/>
          <w:sz w:val="12"/>
        </w:rPr>
        <w:t>cf-art-18</w:t>
      </w:r>
      <w:r>
        <w:rPr>
          <w:color w:val="003CA0"/>
          <w:sz w:val="12"/>
        </w:rPr>
        <w:t xml:space="preserve"> | ADI 287</w:t>
      </w:r>
      <w:r>
        <w:rPr>
          <w:color w:val="003CA0"/>
          <w:sz w:val="12"/>
        </w:rPr>
        <w:t xml:space="preserve"> | rel. Célio Borja</w:t>
      </w:r>
    </w:p>
    <w:p>
      <w:pPr>
        <w:ind w:left="288"/>
      </w:pPr>
      <w:r>
        <w:rPr>
          <w:color w:val="1E1E1E"/>
          <w:sz w:val="18"/>
        </w:rPr>
        <w:t>Reajustes automáticos. Despesa de pessoal vinculada a indexador decretado pelo governo da União. Ofensa à autonomia dos Estados-membros.</w:t>
      </w:r>
    </w:p>
    <w:p>
      <w:pPr>
        <w:ind w:left="288"/>
      </w:pPr>
      <w:r>
        <w:rPr>
          <w:b/>
          <w:color w:val="003CA0"/>
          <w:sz w:val="16"/>
        </w:rPr>
        <w:t>[ADI 287 MC, rel. min. Célio Borja, j. 21-6-1990, P, DJ de 7-5-1993.]</w:t>
      </w:r>
    </w:p>
    <w:p>
      <w:pPr>
        <w:ind w:left="288"/>
      </w:pPr>
      <w:r>
        <w:rPr>
          <w:color w:val="8C8C8C"/>
          <w:sz w:val="12"/>
        </w:rPr>
        <w:t>cf-art-18</w:t>
      </w:r>
      <w:r>
        <w:rPr>
          <w:color w:val="003CA0"/>
          <w:sz w:val="12"/>
        </w:rPr>
        <w:t xml:space="preserve"> | RE 160.920</w:t>
      </w:r>
      <w:r>
        <w:rPr>
          <w:color w:val="003CA0"/>
          <w:sz w:val="12"/>
        </w:rPr>
        <w:t xml:space="preserve"> | rel. Néri da Silveira</w:t>
      </w:r>
    </w:p>
    <w:p>
      <w:pPr>
        <w:ind w:left="288"/>
      </w:pPr>
      <w:r>
        <w:rPr>
          <w:color w:val="1E1E1E"/>
          <w:sz w:val="18"/>
        </w:rPr>
        <w:t>= RE 160.920 AgR, rel. min. Néri da Silveira, j. 9-4-2002, 2ª T, DJ de 17-5-2002</w:t>
      </w:r>
    </w:p>
    <w:p>
      <w:pPr>
        <w:ind w:left="144"/>
      </w:pPr>
      <w:r>
        <w:rPr>
          <w:b/>
          <w:color w:val="B45A00"/>
          <w:sz w:val="16"/>
        </w:rPr>
        <w:t>JULGADOS CORRELATOS</w:t>
      </w:r>
    </w:p>
    <w:p>
      <w:pPr>
        <w:ind w:left="288"/>
      </w:pPr>
      <w:r>
        <w:rPr>
          <w:color w:val="8C8C8C"/>
          <w:sz w:val="12"/>
        </w:rPr>
        <w:t>cf-art-18</w:t>
      </w:r>
      <w:r>
        <w:rPr>
          <w:color w:val="003CA0"/>
          <w:sz w:val="12"/>
        </w:rPr>
        <w:t xml:space="preserve"> | ACO 1.062</w:t>
      </w:r>
      <w:r>
        <w:rPr>
          <w:color w:val="003CA0"/>
          <w:sz w:val="12"/>
        </w:rPr>
        <w:t xml:space="preserve"> | rel. Ricardo Lewandowski</w:t>
      </w:r>
    </w:p>
    <w:p>
      <w:pPr>
        <w:ind w:left="288"/>
      </w:pPr>
      <w:r>
        <w:rPr>
          <w:color w:val="1E1E1E"/>
          <w:sz w:val="18"/>
        </w:rPr>
        <w:t>Conflito federativo. Negativa de expedição de certificado de regularidade previdenciária para Estado-membro. O exame da compatibilização das normas estaduais com a CF é matéria complexa. (...) Situação semelhante à inscrição do Estado em cadastros de inadimplência federais. Jurisprudência abundante da Suprema Corte concedendo-se as medidas de urgência requeridas para se preservar o funcionamento de serviços essenciais prestados à população dos Estados.</w:t>
      </w:r>
    </w:p>
    <w:p>
      <w:pPr>
        <w:ind w:left="288"/>
      </w:pPr>
      <w:r>
        <w:rPr>
          <w:b/>
          <w:color w:val="003CA0"/>
          <w:sz w:val="16"/>
        </w:rPr>
        <w:t>[ACO 1.062 AgR, rel. min. Ricardo Lewandowski, j. 13-8-2014, P, DJE de 25-8-2014.]</w:t>
      </w:r>
    </w:p>
    <w:p>
      <w:pPr>
        <w:ind w:left="288"/>
      </w:pPr>
      <w:r>
        <w:rPr>
          <w:color w:val="8C8C8C"/>
          <w:sz w:val="12"/>
        </w:rPr>
        <w:t>cf-art-18</w:t>
      </w:r>
      <w:r>
        <w:rPr>
          <w:color w:val="003CA0"/>
          <w:sz w:val="12"/>
        </w:rPr>
        <w:t xml:space="preserve"> | AC 2.200</w:t>
      </w:r>
      <w:r>
        <w:rPr>
          <w:color w:val="003CA0"/>
          <w:sz w:val="12"/>
        </w:rPr>
        <w:t xml:space="preserve"> | rel. Cármen Lúcia</w:t>
      </w:r>
    </w:p>
    <w:p>
      <w:pPr>
        <w:ind w:left="288"/>
      </w:pPr>
      <w:r>
        <w:rPr>
          <w:color w:val="1E1E1E"/>
          <w:sz w:val="18"/>
        </w:rPr>
        <w:t>Vide AC 2.200 MC-REF, rel. min. Cármen Lúcia, j. 2-2-2009, P, DJE de 27-2-2009 O STF, nos casos de inscrição de entidades estatais, de pessoas administrativas ou de empresas governamentais em cadastros de inadimplentes, organizados e mantidos pela União, tem ordenado a liberação e o repasse de verbas federais (ou, então, determinado o afastamento de restrições impostas à celebração de operações de crédito em geral ou à obtenção de garantias), sempre com o propósito de neutralizar a ocorrência de risco que possa comprometer, de modo grave e/ou irreversível, a continuidade da execução de polític</w:t>
      </w:r>
    </w:p>
    <w:p>
      <w:pPr>
        <w:ind w:left="288"/>
      </w:pPr>
      <w:r>
        <w:rPr>
          <w:b/>
          <w:color w:val="003CA0"/>
          <w:sz w:val="16"/>
        </w:rPr>
        <w:t>[ACO 1.534 TA-REF, rel. min. Celso de Mello, j. 17-3-2011, P, DJE de 11-4-2011.]</w:t>
      </w:r>
    </w:p>
    <w:p>
      <w:pPr>
        <w:ind w:left="288"/>
      </w:pPr>
      <w:r>
        <w:rPr>
          <w:color w:val="8C8C8C"/>
          <w:sz w:val="12"/>
        </w:rPr>
        <w:t>cf-art-18</w:t>
      </w:r>
      <w:r>
        <w:rPr>
          <w:color w:val="003CA0"/>
          <w:sz w:val="12"/>
        </w:rPr>
        <w:t xml:space="preserve"> | RE 459.128</w:t>
      </w:r>
      <w:r>
        <w:rPr>
          <w:color w:val="003CA0"/>
          <w:sz w:val="12"/>
        </w:rPr>
        <w:t xml:space="preserve"> | rel. Marco Aurélio</w:t>
      </w:r>
    </w:p>
    <w:p>
      <w:pPr>
        <w:ind w:left="288"/>
      </w:pPr>
      <w:r>
        <w:rPr>
          <w:color w:val="1E1E1E"/>
          <w:sz w:val="18"/>
        </w:rPr>
        <w:t>A regência dos vencimentos dos servidores estaduais decorre de normas do próprio Estado. Não cabe, sob o ângulo da isonomia, acionar legislação federal.</w:t>
      </w:r>
    </w:p>
    <w:p>
      <w:pPr>
        <w:ind w:left="288"/>
      </w:pPr>
      <w:r>
        <w:rPr>
          <w:b/>
          <w:color w:val="003CA0"/>
          <w:sz w:val="16"/>
        </w:rPr>
        <w:t>[RE 459.128, rel. min. Marco Aurélio, j. 7-4-2009, 1ª T, DJE de 21-8-2009.]</w:t>
      </w:r>
    </w:p>
    <w:p>
      <w:pPr>
        <w:ind w:left="288"/>
      </w:pPr>
      <w:r>
        <w:rPr>
          <w:color w:val="8C8C8C"/>
          <w:sz w:val="12"/>
        </w:rPr>
        <w:t>cf-art-18</w:t>
      </w:r>
      <w:r>
        <w:rPr>
          <w:color w:val="003CA0"/>
          <w:sz w:val="12"/>
        </w:rPr>
        <w:t xml:space="preserve"> | RE 177.599</w:t>
      </w:r>
      <w:r>
        <w:rPr>
          <w:color w:val="003CA0"/>
          <w:sz w:val="12"/>
        </w:rPr>
        <w:t xml:space="preserve"> | rel. Celso de Mello</w:t>
      </w:r>
    </w:p>
    <w:p>
      <w:pPr>
        <w:ind w:left="288"/>
      </w:pPr>
      <w:r>
        <w:rPr>
          <w:color w:val="1E1E1E"/>
          <w:sz w:val="18"/>
        </w:rPr>
        <w:t>Vide RE 177.599, rel. min. Celso de Mello, j. 30-8-1994, 1ª T, DJ de 20-4-1995 Todas as "terras indígenas" são um bem público federal (inciso XI do art. 20 da CF), o que não significa dizer que o ato em si da demarcação extinga ou amesquinhe qualquer unidade federada. Primeiro, porque as unidades federadas pós-Constituição de 1988 já nascem com seu território jungido ao regime constitucional de preexistência dos direitos originários dos índios sobre as terras por eles "tradicionalmente ocupadas". Segundo, porque a titularidade de bens não se confunde com o senhorio de um território político. N</w:t>
      </w:r>
    </w:p>
    <w:p>
      <w:pPr>
        <w:ind w:left="288"/>
      </w:pPr>
      <w:r>
        <w:rPr>
          <w:b/>
          <w:color w:val="003CA0"/>
          <w:sz w:val="16"/>
        </w:rPr>
        <w:t>[Pet 3.388, rel. min. Ayres Britto, j. 19-3-2009, P, DJE de 1º-7-2010.]</w:t>
      </w:r>
    </w:p>
    <w:p>
      <w:pPr>
        <w:ind w:left="288"/>
      </w:pPr>
      <w:r>
        <w:rPr>
          <w:color w:val="8C8C8C"/>
          <w:sz w:val="12"/>
        </w:rPr>
        <w:t>cf-art-18</w:t>
      </w:r>
      <w:r>
        <w:rPr>
          <w:color w:val="003CA0"/>
          <w:sz w:val="12"/>
        </w:rPr>
        <w:t xml:space="preserve"> | AC 2.200</w:t>
      </w:r>
      <w:r>
        <w:rPr>
          <w:color w:val="003CA0"/>
          <w:sz w:val="12"/>
        </w:rPr>
        <w:t xml:space="preserve"> | rel. Cármen Lúcia</w:t>
      </w:r>
    </w:p>
    <w:p>
      <w:pPr>
        <w:ind w:left="288"/>
      </w:pPr>
      <w:r>
        <w:rPr>
          <w:color w:val="1E1E1E"/>
          <w:sz w:val="18"/>
        </w:rPr>
        <w:t>O STF tem reconhecido a ocorrência de conflito federativo em situações nas quais a União, valendo-se de registros de supostas inadimplências dos Estados no Siafi e no Cadastro de Créditos não quitados do setor público federal (Cadin), impossibilita sejam firmados acordos de cooperação, convênios e operações de crédito entre Estados e entidades federais. O registro da entidade federada por suposta inadimplência nesses cadastros federais pode sujeitá-la a efeitos gravosos, com desdobramentos para a transferência de recursos.</w:t>
      </w:r>
    </w:p>
    <w:p>
      <w:pPr>
        <w:ind w:left="288"/>
      </w:pPr>
      <w:r>
        <w:rPr>
          <w:b/>
          <w:color w:val="003CA0"/>
          <w:sz w:val="16"/>
        </w:rPr>
        <w:t>[AC 2.200 MC-REF, rel. min. Cármen Lúcia, j. 2-2-2009, P, DJE de 27-2-2009.]</w:t>
      </w:r>
    </w:p>
    <w:p>
      <w:pPr>
        <w:ind w:left="288"/>
      </w:pPr>
      <w:r>
        <w:rPr>
          <w:color w:val="8C8C8C"/>
          <w:sz w:val="12"/>
        </w:rPr>
        <w:t>cf-art-18</w:t>
      </w:r>
      <w:r>
        <w:rPr>
          <w:color w:val="003CA0"/>
          <w:sz w:val="12"/>
        </w:rPr>
        <w:t xml:space="preserve"> | ACO 1.062</w:t>
      </w:r>
      <w:r>
        <w:rPr>
          <w:color w:val="003CA0"/>
          <w:sz w:val="12"/>
        </w:rPr>
        <w:t xml:space="preserve"> | rel. Ricardo Lewandowski</w:t>
      </w:r>
    </w:p>
    <w:p>
      <w:pPr>
        <w:ind w:left="288"/>
      </w:pPr>
      <w:r>
        <w:rPr>
          <w:color w:val="1E1E1E"/>
          <w:sz w:val="18"/>
        </w:rPr>
        <w:t>Vide ACO 1.062 AgR, rel. min. Ricardo Lewandowski, j. 13-8-2014, P, DJE de 25-8-2014 A aprovação de norma municipal que estabelece a composição da Câmara de Vereadores sem observância da relação cogente de proporção com a respectiva população configura excesso do poder de legislar, não encontrando eco no sistema constitucional vigente. Parâmetro aritmético que atende ao comando expresso na CF, sem que a proporcionalidade reclamada traduza qualquer afronta aos demais princípios constitucionais e nem resulte formas estranhas e distantes da realidade dos Municípios brasileiros. Atendimento aos po</w:t>
      </w:r>
    </w:p>
    <w:p>
      <w:pPr>
        <w:ind w:left="288"/>
      </w:pPr>
      <w:r>
        <w:rPr>
          <w:b/>
          <w:color w:val="003CA0"/>
          <w:sz w:val="16"/>
        </w:rPr>
        <w:t>[RE 197.917, rel. min. Maurício Corrêa, j. 6-6-2002, P, DJ de 7-5-2004.]</w:t>
      </w:r>
    </w:p>
    <w:p>
      <w:pPr>
        <w:ind w:left="288"/>
      </w:pPr>
      <w:r>
        <w:rPr>
          <w:color w:val="8C8C8C"/>
          <w:sz w:val="12"/>
        </w:rPr>
        <w:t>cf-art-18</w:t>
      </w:r>
      <w:r>
        <w:rPr>
          <w:color w:val="003CA0"/>
          <w:sz w:val="12"/>
        </w:rPr>
        <w:t xml:space="preserve"> | RE 177.599</w:t>
      </w:r>
      <w:r>
        <w:rPr>
          <w:color w:val="003CA0"/>
          <w:sz w:val="12"/>
        </w:rPr>
        <w:t xml:space="preserve"> | rel. Celso de Mello</w:t>
      </w:r>
    </w:p>
    <w:p>
      <w:pPr>
        <w:ind w:left="288"/>
      </w:pPr>
      <w:r>
        <w:rPr>
          <w:color w:val="1E1E1E"/>
          <w:sz w:val="18"/>
        </w:rPr>
        <w:t>A autonomia constitucional reconhecida ao Distrito Federal, que lhe confere a prerrogativa de dispor, em sede normativa própria, sobre o regime jurídico dos seus servidores civis, impede que se estendam, automaticamente, ao plano local os efeitos pertinentes a política de remuneração estabelecida pela União Federal em favor dos seus agentes públicos.</w:t>
      </w:r>
    </w:p>
    <w:p>
      <w:pPr>
        <w:ind w:left="288"/>
      </w:pPr>
      <w:r>
        <w:rPr>
          <w:b/>
          <w:color w:val="003CA0"/>
          <w:sz w:val="16"/>
        </w:rPr>
        <w:t>[RE 177.599, rel. min. Celso de Mello, j. 30-8-1994, 1ª T, DJ de 20-4-1995.]</w:t>
      </w:r>
    </w:p>
    <w:p>
      <w:pPr>
        <w:ind w:left="288"/>
      </w:pPr>
      <w:r>
        <w:rPr>
          <w:color w:val="8C8C8C"/>
          <w:sz w:val="12"/>
        </w:rPr>
        <w:t>cf-art-18</w:t>
      </w:r>
      <w:r>
        <w:rPr>
          <w:color w:val="003CA0"/>
          <w:sz w:val="12"/>
        </w:rPr>
        <w:t xml:space="preserve"> | AI 384.023</w:t>
      </w:r>
      <w:r>
        <w:rPr>
          <w:color w:val="003CA0"/>
          <w:sz w:val="12"/>
        </w:rPr>
        <w:t xml:space="preserve"> | rel. Nelson Jobim</w:t>
      </w:r>
    </w:p>
    <w:p>
      <w:pPr>
        <w:ind w:left="288"/>
      </w:pPr>
      <w:r>
        <w:rPr>
          <w:color w:val="1E1E1E"/>
          <w:sz w:val="18"/>
        </w:rPr>
        <w:t>= AI 384.023 AgR, rel. min. Nelson Jobim, j. 1º-10-2002, 2ª T, DJ de 31-10-2002 Lei municipal, que determina que o reajuste da remuneração dos servidores do Município fica vinculado automaticamente à variação do IPC, é inconstitucional, por atentar contra a autonomia do Município em matéria que diz respeito a seu peculiar interesse.</w:t>
      </w:r>
    </w:p>
    <w:p>
      <w:pPr>
        <w:ind w:left="288"/>
      </w:pPr>
      <w:r>
        <w:rPr>
          <w:b/>
          <w:color w:val="003CA0"/>
          <w:sz w:val="16"/>
        </w:rPr>
        <w:t>[RE 145.018, rel. min. Moreira Alves, j. 1º-4-1993, P, DJ de 10-9-1993.]</w:t>
      </w:r>
    </w:p>
    <w:p>
      <w:pPr>
        <w:ind w:left="288"/>
      </w:pPr>
      <w:r>
        <w:rPr>
          <w:color w:val="8C8C8C"/>
          <w:sz w:val="12"/>
        </w:rPr>
        <w:t>cf-art-18</w:t>
      </w:r>
      <w:r>
        <w:rPr>
          <w:color w:val="003CA0"/>
          <w:sz w:val="12"/>
        </w:rPr>
        <w:t xml:space="preserve"> | RE 199.553</w:t>
      </w:r>
      <w:r>
        <w:rPr>
          <w:color w:val="003CA0"/>
          <w:sz w:val="12"/>
        </w:rPr>
        <w:t xml:space="preserve"> | rel. Dias Toffoli</w:t>
      </w:r>
    </w:p>
    <w:p>
      <w:pPr>
        <w:ind w:left="288"/>
      </w:pPr>
      <w:r>
        <w:rPr>
          <w:color w:val="1E1E1E"/>
          <w:sz w:val="18"/>
        </w:rPr>
        <w:t>= RE 199.553 AgR, rel. min. Dias Toffoli, j. 22-5-2012, 1ª T, DJE de 13-6-2012</w:t>
      </w:r>
    </w:p>
    <w:p>
      <w:pPr>
        <w:ind w:left="288"/>
      </w:pPr>
      <w:r>
        <w:rPr>
          <w:color w:val="8C8C8C"/>
          <w:sz w:val="12"/>
        </w:rPr>
        <w:t>cf-art-18-par-2</w:t>
      </w:r>
      <w:r>
        <w:rPr>
          <w:color w:val="003CA0"/>
          <w:sz w:val="12"/>
        </w:rPr>
        <w:t xml:space="preserve"> | AO 97</w:t>
      </w:r>
      <w:r>
        <w:rPr>
          <w:color w:val="003CA0"/>
          <w:sz w:val="12"/>
        </w:rPr>
        <w:t xml:space="preserve"> | rel. Sepúlveda Pertence</w:t>
      </w:r>
    </w:p>
    <w:p>
      <w:pPr>
        <w:ind w:left="288"/>
      </w:pPr>
      <w:r>
        <w:rPr>
          <w:color w:val="1E1E1E"/>
          <w:sz w:val="18"/>
        </w:rPr>
        <w:t>O aperfeiçoamento da conversão de um Território Federal em Estado-membro, na plenitude do seu status constitucional, não é um fato instantâneo – unico actu perficiuntur: é o resultado de um processo mais ou menos complexo, que se inicia com o ato de criação, mas somente se exaure quando o novo Estado puder exercer por órgãos próprios a plenitude dos poderes que lhe confere a Constituição da República, no que se traduz a plena e efetiva assunção de sua autonomia.</w:t>
      </w:r>
    </w:p>
    <w:p>
      <w:pPr>
        <w:ind w:left="288"/>
      </w:pPr>
      <w:r>
        <w:rPr>
          <w:b/>
          <w:color w:val="003CA0"/>
          <w:sz w:val="16"/>
        </w:rPr>
        <w:t>[AO 97 MC, rel. min. Sepúlveda Pertence, j. 26-9-1991, P, DJ de 2-4-1993.]</w:t>
      </w:r>
    </w:p>
    <w:p>
      <w:pPr>
        <w:ind w:left="144"/>
      </w:pPr>
      <w:r>
        <w:rPr>
          <w:b/>
          <w:color w:val="B45A00"/>
          <w:sz w:val="16"/>
        </w:rPr>
        <w:t>CONTROLE CONCENTRADO</w:t>
      </w:r>
    </w:p>
    <w:p>
      <w:pPr>
        <w:ind w:left="288"/>
      </w:pPr>
      <w:r>
        <w:rPr>
          <w:color w:val="8C8C8C"/>
          <w:sz w:val="12"/>
        </w:rPr>
        <w:t>cf-art-18-par-3</w:t>
      </w:r>
      <w:r>
        <w:rPr>
          <w:color w:val="003CA0"/>
          <w:sz w:val="12"/>
        </w:rPr>
        <w:t xml:space="preserve"> | ADI 1.509</w:t>
      </w:r>
      <w:r>
        <w:rPr>
          <w:color w:val="003CA0"/>
          <w:sz w:val="12"/>
        </w:rPr>
        <w:t xml:space="preserve"> | rel. Gilmar Mendes</w:t>
      </w:r>
    </w:p>
    <w:p>
      <w:pPr>
        <w:ind w:left="288"/>
      </w:pPr>
      <w:r>
        <w:rPr>
          <w:color w:val="1E1E1E"/>
          <w:sz w:val="18"/>
        </w:rPr>
        <w:t>Lei do Distrito Federal 899/1995. (...) Previsão de alteração dos limites territoriais entre o Distrito Federal e o Estado de Goiás. Inconstitucionalidade material.</w:t>
      </w:r>
    </w:p>
    <w:p>
      <w:pPr>
        <w:ind w:left="288"/>
      </w:pPr>
      <w:r>
        <w:rPr>
          <w:b/>
          <w:color w:val="003CA0"/>
          <w:sz w:val="16"/>
        </w:rPr>
        <w:t>[ADI 1.509, rel. min. Gilmar Mendes, j. 11-9-2014, P, DJE de 18-11-2014.]</w:t>
      </w:r>
    </w:p>
    <w:p>
      <w:pPr>
        <w:ind w:left="288"/>
      </w:pPr>
      <w:r>
        <w:rPr>
          <w:color w:val="8C8C8C"/>
          <w:sz w:val="12"/>
        </w:rPr>
        <w:t>cf-art-18-par-3</w:t>
      </w:r>
      <w:r>
        <w:rPr>
          <w:color w:val="003CA0"/>
          <w:sz w:val="12"/>
        </w:rPr>
        <w:t xml:space="preserve"> | ADI 2.650</w:t>
      </w:r>
      <w:r>
        <w:rPr>
          <w:color w:val="003CA0"/>
          <w:sz w:val="12"/>
        </w:rPr>
        <w:t xml:space="preserve"> | rel. Dias Toffoli</w:t>
      </w:r>
    </w:p>
    <w:p>
      <w:pPr>
        <w:ind w:left="288"/>
      </w:pPr>
      <w:r>
        <w:rPr>
          <w:color w:val="1E1E1E"/>
          <w:sz w:val="18"/>
        </w:rPr>
        <w:t>Sendo o desmembramento uma divisão territorial, uma separação, com o desfalque de parte do território e de parte da sua população, não há como excluir da consulta plebiscitária os interesses da população da área remanescente, população essa que também será inevitavelmente afetada. O desmembramento dos entes federativos, além de reduzir seu espaço territorial e sua população, pode resultar, ainda, na cisão da unidade sociocultural, econômica e financeira do Estado, razão pela qual a vontade da população do território remanescente não deve ser desconsiderada, nem deve ser essa população rotulada</w:t>
      </w:r>
    </w:p>
    <w:p>
      <w:pPr>
        <w:ind w:left="288"/>
      </w:pPr>
      <w:r>
        <w:rPr>
          <w:b/>
          <w:color w:val="003CA0"/>
          <w:sz w:val="16"/>
        </w:rPr>
        <w:t>[ADI 2.650, rel. min. Dias Toffoli, j. 24-8-2011, P, DJE de 17-11-2011.]</w:t>
      </w:r>
    </w:p>
    <w:p>
      <w:pPr>
        <w:ind w:left="288"/>
      </w:pPr>
      <w:r>
        <w:rPr>
          <w:color w:val="8C8C8C"/>
          <w:sz w:val="12"/>
        </w:rPr>
        <w:t>cf-art-18-par-3</w:t>
      </w:r>
      <w:r>
        <w:rPr>
          <w:color w:val="003CA0"/>
          <w:sz w:val="12"/>
        </w:rPr>
        <w:t xml:space="preserve"> | ADO 70</w:t>
      </w:r>
      <w:r>
        <w:rPr>
          <w:color w:val="003CA0"/>
          <w:sz w:val="12"/>
        </w:rPr>
        <w:t xml:space="preserve"> | rel. Gilmar Mendes</w:t>
      </w:r>
    </w:p>
    <w:p>
      <w:pPr>
        <w:ind w:left="288"/>
      </w:pPr>
      <w:r>
        <w:rPr>
          <w:color w:val="1E1E1E"/>
          <w:sz w:val="18"/>
        </w:rPr>
        <w:t>§ 4º A criação, a incorporação, a fusão e o desmembramento de Municípios, far-se-ão por lei estadual, dentro do período determinado por Lei Complementar Federal, e dependerão de consulta prévia, mediante plebiscito, às populações dos Municípios envolvidos, após divulgação dos Estudos de Viabilidade Municipal, apresentados e publicados na forma da lei. (Redação da EC n. 15/1996) O Supremo Tribunal Federal, no âmbito da ADI nº 3.682/MT (Rel. Min. Gilmar Mendes, Tribunal Pleno, DJ de 6/9/07), declarou o estado de mora do Congresso Nacional quanto ao cumprimento do mandamento constitucional inscul</w:t>
      </w:r>
    </w:p>
    <w:p>
      <w:pPr>
        <w:ind w:left="288"/>
      </w:pPr>
      <w:r>
        <w:rPr>
          <w:b/>
          <w:color w:val="003CA0"/>
          <w:sz w:val="16"/>
        </w:rPr>
        <w:t>[ADO 70, rel. min. Dias Toffoli, j. 29.09.2025, P, DJE de 13.10.2025.]</w:t>
      </w:r>
    </w:p>
    <w:p>
      <w:pPr>
        <w:ind w:left="288"/>
      </w:pPr>
      <w:r>
        <w:rPr>
          <w:color w:val="8C8C8C"/>
          <w:sz w:val="12"/>
        </w:rPr>
        <w:t>cf-art-18-par-3</w:t>
      </w:r>
      <w:r>
        <w:rPr>
          <w:color w:val="003CA0"/>
          <w:sz w:val="12"/>
        </w:rPr>
        <w:t xml:space="preserve"> | ADPF 819</w:t>
      </w:r>
      <w:r>
        <w:rPr>
          <w:color w:val="003CA0"/>
          <w:sz w:val="12"/>
        </w:rPr>
        <w:t xml:space="preserve"> | rel. Roberto Barroso</w:t>
      </w:r>
    </w:p>
    <w:p>
      <w:pPr>
        <w:ind w:left="288"/>
      </w:pPr>
      <w:r>
        <w:rPr>
          <w:color w:val="1E1E1E"/>
          <w:sz w:val="18"/>
        </w:rPr>
        <w:t>Pendente a edição de legislação federal que assinale o prazo dentro do qual será permitida a criação e alteração de municípios, são inconstitucionais, por violação do § 4º do art. 18 da Constituição, na redação que lhe foi dada pela EC 15/1996, os regramentos estaduais que porventura disciplinem a matéria.</w:t>
        <w:br/>
        <w:t>[ADPF 819, rel. min. Roberto Barroso, red. do ac. min. Gilmar Mendes, j. 9-10-2023, P, DJE de 9-1-2024.] A redação original do art. 18, § 4º, da CF/1988 condicionava a criação de municípios à edição de lei estadual, obedecidos os requisitos previstos em Lei Complementar estadual, e a uma con</w:t>
      </w:r>
    </w:p>
    <w:p>
      <w:pPr>
        <w:ind w:left="288"/>
      </w:pPr>
      <w:r>
        <w:rPr>
          <w:b/>
          <w:color w:val="003CA0"/>
          <w:sz w:val="16"/>
        </w:rPr>
        <w:t>[ADI 1.825, rel. min. Luiz Fux, j. 15-4-2020, P, DJE de 20-5-2020.]</w:t>
      </w:r>
    </w:p>
    <w:p>
      <w:pPr>
        <w:ind w:left="288"/>
      </w:pPr>
      <w:r>
        <w:rPr>
          <w:color w:val="8C8C8C"/>
          <w:sz w:val="12"/>
        </w:rPr>
        <w:t>cf-art-18-par-3</w:t>
      </w:r>
      <w:r>
        <w:rPr>
          <w:color w:val="003CA0"/>
          <w:sz w:val="12"/>
        </w:rPr>
        <w:t xml:space="preserve"> | ADI 2.650</w:t>
      </w:r>
      <w:r>
        <w:rPr>
          <w:color w:val="003CA0"/>
          <w:sz w:val="12"/>
        </w:rPr>
        <w:t xml:space="preserve"> | rel. Dias Toffoli</w:t>
      </w:r>
    </w:p>
    <w:p>
      <w:pPr>
        <w:ind w:left="288"/>
      </w:pPr>
      <w:r>
        <w:rPr>
          <w:color w:val="1E1E1E"/>
          <w:sz w:val="18"/>
        </w:rPr>
        <w:t>Após a alteração promovida pela EC 15/1996, a Constituição explicitou o alcance do âmbito de consulta para o caso de reformulação territorial de Municípios e, portanto, o significado da expressão "populações diretamente interessadas", contida na redação originária do § 4º do art. 18 da Constituição, no sentido de ser necessária a consulta a toda a população afetada pela modificação territorial, o que, no caso de desmembramento, deve envolver tanto a população do território a ser desmembrado quanto a do território remanescente. Esse sempre foi o real sentido da exigência constitucional – a nova</w:t>
      </w:r>
    </w:p>
    <w:p>
      <w:pPr>
        <w:ind w:left="288"/>
      </w:pPr>
      <w:r>
        <w:rPr>
          <w:b/>
          <w:color w:val="003CA0"/>
          <w:sz w:val="16"/>
        </w:rPr>
        <w:t>[ADI 2.650, rel. min. Dias Toffoli, j. 24-8-2011, P, DJE de 17-11-2011.]</w:t>
      </w:r>
    </w:p>
    <w:p>
      <w:pPr>
        <w:ind w:left="288"/>
      </w:pPr>
      <w:r>
        <w:rPr>
          <w:color w:val="8C8C8C"/>
          <w:sz w:val="12"/>
        </w:rPr>
        <w:t>cf-art-18-par-3</w:t>
      </w:r>
      <w:r>
        <w:rPr>
          <w:color w:val="003CA0"/>
          <w:sz w:val="12"/>
        </w:rPr>
        <w:t xml:space="preserve"> | ADI 2.381</w:t>
      </w:r>
      <w:r>
        <w:rPr>
          <w:color w:val="003CA0"/>
          <w:sz w:val="12"/>
        </w:rPr>
        <w:t xml:space="preserve"> | rel. Cármen Lúcia</w:t>
      </w:r>
    </w:p>
    <w:p>
      <w:pPr>
        <w:ind w:left="288"/>
      </w:pPr>
      <w:r>
        <w:rPr>
          <w:color w:val="1E1E1E"/>
          <w:sz w:val="18"/>
        </w:rPr>
        <w:t>Com o advento da EC 57/2008, foram convalidados os atos de criação de Municípios cuja lei tenha sido publicada até 31-12-2006, atendidos os requisitos na legislação do respectivo Estado à época de sua criação.</w:t>
      </w:r>
    </w:p>
    <w:p>
      <w:pPr>
        <w:ind w:left="288"/>
      </w:pPr>
      <w:r>
        <w:rPr>
          <w:b/>
          <w:color w:val="003CA0"/>
          <w:sz w:val="16"/>
        </w:rPr>
        <w:t>[ADI 2.381 AgR, rel. min. Cármen Lúcia, j. 24-3-2011, P, DJE de 11-4-2011.]</w:t>
      </w:r>
    </w:p>
    <w:p>
      <w:pPr>
        <w:ind w:left="288"/>
      </w:pPr>
      <w:r>
        <w:rPr>
          <w:color w:val="8C8C8C"/>
          <w:sz w:val="12"/>
        </w:rPr>
        <w:t>cf-art-18-par-3</w:t>
      </w:r>
      <w:r>
        <w:rPr>
          <w:color w:val="003CA0"/>
          <w:sz w:val="12"/>
        </w:rPr>
        <w:t xml:space="preserve"> | ADI 1.881</w:t>
      </w:r>
      <w:r>
        <w:rPr>
          <w:color w:val="003CA0"/>
          <w:sz w:val="12"/>
        </w:rPr>
        <w:t xml:space="preserve"> | rel. Ricardo Lewandowski</w:t>
      </w:r>
    </w:p>
    <w:p>
      <w:pPr>
        <w:ind w:left="288"/>
      </w:pPr>
      <w:r>
        <w:rPr>
          <w:color w:val="1E1E1E"/>
          <w:sz w:val="18"/>
        </w:rPr>
        <w:t>Uma vez cumprido o processo de desmembramento de área de certo Município, criando-se nova unidade federativa, descabe, mediante lei estadual, mera revogação do ato normativo que o formalizou. A fusão há de observar novo processo e, portanto, prévia consulta plebiscitária às populações dos entes políticos diretamente envolvidos, por força do art. 18, § 4º, da CF.</w:t>
      </w:r>
    </w:p>
    <w:p>
      <w:pPr>
        <w:ind w:left="288"/>
      </w:pPr>
      <w:r>
        <w:rPr>
          <w:b/>
          <w:color w:val="003CA0"/>
          <w:sz w:val="16"/>
        </w:rPr>
        <w:t>[ADI 1.881, rel. min. Ricardo Lewandowski, j. 10-5-2007, P, DJ de 15-6-2007.]</w:t>
      </w:r>
    </w:p>
    <w:p>
      <w:pPr>
        <w:ind w:left="288"/>
      </w:pPr>
      <w:r>
        <w:rPr>
          <w:color w:val="8C8C8C"/>
          <w:sz w:val="12"/>
        </w:rPr>
        <w:t>cf-art-18-par-3</w:t>
      </w:r>
      <w:r>
        <w:rPr>
          <w:color w:val="003CA0"/>
          <w:sz w:val="12"/>
        </w:rPr>
        <w:t xml:space="preserve"> | ADI 1.262</w:t>
      </w:r>
      <w:r>
        <w:rPr>
          <w:color w:val="003CA0"/>
          <w:sz w:val="12"/>
        </w:rPr>
        <w:t xml:space="preserve"> | rel. Sydney Sanches</w:t>
      </w:r>
    </w:p>
    <w:p>
      <w:pPr>
        <w:ind w:left="288"/>
      </w:pPr>
      <w:r>
        <w:rPr>
          <w:color w:val="1E1E1E"/>
          <w:sz w:val="18"/>
        </w:rPr>
        <w:t>= ADI 1.262, rel. min. Sydney Sanches, j. 11-9-1997, P, DJ de 12-12-1997 EC 15/1996, que deu nova redação ao § 4º do art. 18 da CF. Modificação dos requisitos constitucionais para a criação, fusão, incorporação e desmembramento de Municípios. Controle da constitucionalidade da atuação do poder legislativo de reforma da Constituição de 1988. Inexistência de afronta à cláusula pétrea da forma federativa do Estado, decorrente da atribuição, à lei complementar federal, para fixação do período dentro do qual poderão ser efetivadas a criação, a incorporação, a fusão e o desmembramento de Municípios.</w:t>
      </w:r>
    </w:p>
    <w:p>
      <w:pPr>
        <w:ind w:left="288"/>
      </w:pPr>
      <w:r>
        <w:rPr>
          <w:b/>
          <w:color w:val="003CA0"/>
          <w:sz w:val="16"/>
        </w:rPr>
        <w:t>[ADI 2.395, rel. min. Gilmar Mendes, j. 9-5-2007, P, DJE de 23-5-2008.]</w:t>
      </w:r>
    </w:p>
    <w:p>
      <w:pPr>
        <w:ind w:left="288"/>
      </w:pPr>
      <w:r>
        <w:rPr>
          <w:color w:val="8C8C8C"/>
          <w:sz w:val="12"/>
        </w:rPr>
        <w:t>cf-art-18-par-3</w:t>
      </w:r>
      <w:r>
        <w:rPr>
          <w:color w:val="003CA0"/>
          <w:sz w:val="12"/>
        </w:rPr>
        <w:t xml:space="preserve"> | ADI 2.381</w:t>
      </w:r>
      <w:r>
        <w:rPr>
          <w:color w:val="003CA0"/>
          <w:sz w:val="12"/>
        </w:rPr>
        <w:t xml:space="preserve"> | rel. Sepúlveda Pertence</w:t>
      </w:r>
    </w:p>
    <w:p>
      <w:pPr>
        <w:ind w:left="288"/>
      </w:pPr>
      <w:r>
        <w:rPr>
          <w:color w:val="1E1E1E"/>
          <w:sz w:val="18"/>
        </w:rPr>
        <w:t>= ADI 2.381 MC, rel. min. Sepúlveda Pertence, j. 20-6-2001, P, DJ de 14-12-2001 Ação direta de inconstitucionalidade. Lei 7.619/2000, do Estado da Bahia, que criou o Município de Luís Eduardo Magalhães. Inconstitucionalidade de lei estadual posterior à EC 15/1996. Ausência de lei complementar federal prevista no texto constitucional. Afronta ao disposto no art. 18, § 4º, da Constituição do Brasil. Omissão do Poder Legislativo. Existência de fato. Situação consolidada. Princípio da segurança jurídica. Situação de exceção, estado de exceção. (...) A exceção resulta de omissão do Poder Legislativ</w:t>
      </w:r>
    </w:p>
    <w:p>
      <w:pPr>
        <w:ind w:left="288"/>
      </w:pPr>
      <w:r>
        <w:rPr>
          <w:b/>
          <w:color w:val="003CA0"/>
          <w:sz w:val="16"/>
        </w:rPr>
        <w:t>[ADI 2.240, rel. min. Eros Grau, j. 9-5-2007, P, DJ de 3-8-2007.]</w:t>
      </w:r>
    </w:p>
    <w:p>
      <w:pPr>
        <w:ind w:left="288"/>
      </w:pPr>
      <w:r>
        <w:rPr>
          <w:color w:val="8C8C8C"/>
          <w:sz w:val="12"/>
        </w:rPr>
        <w:t>cf-art-18-par-3</w:t>
      </w:r>
      <w:r>
        <w:rPr>
          <w:color w:val="003CA0"/>
          <w:sz w:val="12"/>
        </w:rPr>
        <w:t xml:space="preserve"> | ADI 458</w:t>
      </w:r>
      <w:r>
        <w:rPr>
          <w:color w:val="003CA0"/>
          <w:sz w:val="12"/>
        </w:rPr>
        <w:t xml:space="preserve"> | rel. Sydney Sanches</w:t>
      </w:r>
    </w:p>
    <w:p>
      <w:pPr>
        <w:ind w:left="288"/>
      </w:pPr>
      <w:r>
        <w:rPr>
          <w:color w:val="1E1E1E"/>
          <w:sz w:val="18"/>
        </w:rPr>
        <w:t xml:space="preserve">Ação direta de inconstitucionalidade. Art. 51 do ADCT do Estado da Paraíba. Redefinição dos limites territoriais do Município do Conde. Desmembramento de parte de Município e incorporação da área separada ao território da municipalidade limítrofe, tudo sem a prévia consulta, mediante plebiscito, das populações de ambas as localidades. Ofensa ao art. 18, § 4º, da CF. Para a averiguação da violação apontada pelo requerente, qual seja, o desrespeito, pelo legislador constituinte paraibano, das exigências de consulta prévia e de edição de lei estadual para o desmembramento de Município, não foi a </w:t>
      </w:r>
    </w:p>
    <w:p>
      <w:pPr>
        <w:ind w:left="288"/>
      </w:pPr>
      <w:r>
        <w:rPr>
          <w:b/>
          <w:color w:val="003CA0"/>
          <w:sz w:val="16"/>
        </w:rPr>
        <w:t>[ADI 3.615, rel. min. Ellen Gracie, j. 30-8-2006, P, DJ de 9-3-2007.]</w:t>
      </w:r>
    </w:p>
    <w:p>
      <w:pPr>
        <w:ind w:left="288"/>
      </w:pPr>
      <w:r>
        <w:rPr>
          <w:color w:val="8C8C8C"/>
          <w:sz w:val="12"/>
        </w:rPr>
        <w:t>cf-art-18-par-3</w:t>
      </w:r>
      <w:r>
        <w:rPr>
          <w:color w:val="003CA0"/>
          <w:sz w:val="12"/>
        </w:rPr>
        <w:t xml:space="preserve"> | RE 614.384</w:t>
      </w:r>
      <w:r>
        <w:rPr>
          <w:color w:val="003CA0"/>
          <w:sz w:val="12"/>
        </w:rPr>
        <w:t xml:space="preserve"> | rel. Dias Toffoli</w:t>
      </w:r>
    </w:p>
    <w:p>
      <w:pPr>
        <w:ind w:left="288"/>
      </w:pPr>
      <w:r>
        <w:rPr>
          <w:color w:val="1E1E1E"/>
          <w:sz w:val="18"/>
        </w:rPr>
        <w:t>Repercussão gereal A EC 57/08 não convalidou desmembramento municipal realizado sem consulta plebiscitária e, nesse contexto, não retirou o vício de ilegitimidade ativa existente nas execuções fiscais que haviam sido propostas por município ao qual fora acrescida, sem tal consulta, área de outro para a cobrança do IPTU quanto a imóveis nela localizados.</w:t>
      </w:r>
    </w:p>
    <w:p>
      <w:pPr>
        <w:ind w:left="288"/>
      </w:pPr>
      <w:r>
        <w:rPr>
          <w:b/>
          <w:color w:val="003CA0"/>
          <w:sz w:val="16"/>
        </w:rPr>
        <w:t>[RE 614.384, rel. min. Dias Toffoli, j. 2-5-2022, P, DJE de 12-5-2022, Tema 559, com mérito julgado.]</w:t>
      </w:r>
    </w:p>
    <w:p>
      <w:pPr>
        <w:ind w:left="288"/>
      </w:pPr>
      <w:r>
        <w:rPr>
          <w:color w:val="8C8C8C"/>
          <w:sz w:val="12"/>
        </w:rPr>
        <w:t>cf-art-18-par-3</w:t>
      </w:r>
      <w:r>
        <w:rPr>
          <w:color w:val="003CA0"/>
          <w:sz w:val="12"/>
        </w:rPr>
        <w:t xml:space="preserve"> | RE 1.171.699</w:t>
      </w:r>
      <w:r>
        <w:rPr>
          <w:color w:val="003CA0"/>
          <w:sz w:val="12"/>
        </w:rPr>
        <w:t xml:space="preserve"> | rel. Carmen Lúcia</w:t>
      </w:r>
    </w:p>
    <w:p>
      <w:pPr>
        <w:ind w:left="288"/>
      </w:pPr>
      <w:r>
        <w:rPr>
          <w:color w:val="1E1E1E"/>
          <w:sz w:val="18"/>
        </w:rPr>
        <w:t>Declaração de inconstitucionalidade da alteração dos limites intermunicipais por ausência de observância do § 4º do art. 18 da Constituição da República. A exigência da realização de plebiscito, como se determina no § 4º do art. 18 da Constituição da República, não foi afastada pelo art. 96 do ato das disposições constitucionais transitórias, introduzido pela emenda constitucional 57/2008, sendo ilegítimo o município ocupante para cobrar o imposto sobre a propriedade predial e territorial urbana – IPTU nos territórios indevidamente incorporados.</w:t>
      </w:r>
    </w:p>
    <w:p>
      <w:pPr>
        <w:ind w:left="288"/>
      </w:pPr>
      <w:r>
        <w:rPr>
          <w:b/>
          <w:color w:val="003CA0"/>
          <w:sz w:val="16"/>
        </w:rPr>
        <w:t>[RE 1.171.699, rel. min. Carmen Lúcia, j. 29-11-2019, P, DJE de 18-12-2019, Tema 400, com mérito julgado.]</w:t>
      </w:r>
    </w:p>
    <w:p>
      <w:pPr>
        <w:ind w:left="288"/>
      </w:pPr>
      <w:r>
        <w:rPr>
          <w:color w:val="8C8C8C"/>
          <w:sz w:val="12"/>
        </w:rPr>
        <w:t>cf-art-18-par-3</w:t>
      </w:r>
      <w:r>
        <w:rPr>
          <w:color w:val="003CA0"/>
          <w:sz w:val="12"/>
        </w:rPr>
        <w:t xml:space="preserve"> | ARE 1.529.917</w:t>
      </w:r>
      <w:r>
        <w:rPr>
          <w:color w:val="003CA0"/>
          <w:sz w:val="12"/>
        </w:rPr>
        <w:t xml:space="preserve"> | rel. Gilmar Mendes</w:t>
      </w:r>
    </w:p>
    <w:p>
      <w:pPr>
        <w:ind w:left="288"/>
      </w:pPr>
      <w:r>
        <w:rPr>
          <w:color w:val="1E1E1E"/>
          <w:sz w:val="18"/>
        </w:rPr>
        <w:t>A necessidade de prévia realização de plebiscito às comunidades envolvidas em desmembramento de municípios se estende para as hipóteses em que há apenas a consolidação das divisas mediante a alteração das fronteiras originais, qualquer que seja a extensão da modificação.</w:t>
      </w:r>
    </w:p>
    <w:p>
      <w:pPr>
        <w:ind w:left="288"/>
      </w:pPr>
      <w:r>
        <w:rPr>
          <w:b/>
          <w:color w:val="003CA0"/>
          <w:sz w:val="16"/>
        </w:rPr>
        <w:t>[ARE 1.529.917, rel. min. Gilmar Mendes, j. 24.03.2025, P, DJE de 07.04.2025.]</w:t>
      </w:r>
    </w:p>
    <w:p>
      <w:pPr>
        <w:ind w:left="144"/>
      </w:pPr>
      <w:r>
        <w:rPr>
          <w:b/>
          <w:color w:val="B45A00"/>
          <w:sz w:val="16"/>
        </w:rPr>
        <w:t>JULGADOS CORRELATOS</w:t>
      </w:r>
    </w:p>
    <w:p>
      <w:pPr>
        <w:ind w:left="288"/>
      </w:pPr>
      <w:r>
        <w:rPr>
          <w:color w:val="8C8C8C"/>
          <w:sz w:val="12"/>
        </w:rPr>
        <w:t>cf-art-18-par-3</w:t>
      </w:r>
      <w:r>
        <w:rPr>
          <w:color w:val="003CA0"/>
          <w:sz w:val="12"/>
        </w:rPr>
        <w:t xml:space="preserve"> | MI 725</w:t>
      </w:r>
      <w:r>
        <w:rPr>
          <w:color w:val="003CA0"/>
          <w:sz w:val="12"/>
        </w:rPr>
        <w:t xml:space="preserve"> | rel. Gilmar Mendes</w:t>
      </w:r>
    </w:p>
    <w:p>
      <w:pPr>
        <w:ind w:left="288"/>
      </w:pPr>
      <w:r>
        <w:rPr>
          <w:color w:val="1E1E1E"/>
          <w:sz w:val="18"/>
        </w:rPr>
        <w:t>Mandado de injunção. Alegada omissão legislativa quanto à elaboração da lei complementar a que se refere o § 4º do art. 18 da CF, na redação dada pela EC 15/1996. Ilegitimidade ativa do Município impetrante. Inexistência de direito ou prerrogativa constitucional do Município cujo exercício esteja sendo obstaculizado pela ausência da lei complementar federal exigida pelo art. 18, § 4º, da Constituição.</w:t>
      </w:r>
    </w:p>
    <w:p>
      <w:pPr>
        <w:ind w:left="288"/>
      </w:pPr>
      <w:r>
        <w:rPr>
          <w:b/>
          <w:color w:val="003CA0"/>
          <w:sz w:val="16"/>
        </w:rPr>
        <w:t>[MI 725, rel. min. Gilmar Mendes, j. 10-5-2007, P, DJ de 21-9-2007.]</w:t>
      </w:r>
    </w:p>
    <w:p>
      <w:r>
        <w:rPr>
          <w:b/>
          <w:color w:val="003366"/>
          <w:sz w:val="20"/>
        </w:rPr>
        <w:t xml:space="preserve">Art. 19 Os servidores públicos civis da União, dos Estados, do Distrito Federal </w:t>
      </w:r>
      <w:r>
        <w:rPr>
          <w:color w:val="8C8C8C"/>
          <w:sz w:val="14"/>
        </w:rPr>
        <w:t xml:space="preserve">  [13 decisoes]</w:t>
      </w:r>
    </w:p>
    <w:p>
      <w:pPr>
        <w:ind w:left="288"/>
      </w:pPr>
      <w:r>
        <w:rPr>
          <w:color w:val="8C8C8C"/>
          <w:sz w:val="12"/>
        </w:rPr>
        <w:t>cf-art-19</w:t>
      </w:r>
      <w:r>
        <w:rPr>
          <w:color w:val="003CA0"/>
          <w:sz w:val="12"/>
        </w:rPr>
        <w:t xml:space="preserve"> | ADI 5.255</w:t>
      </w:r>
      <w:r>
        <w:rPr>
          <w:color w:val="003CA0"/>
          <w:sz w:val="12"/>
        </w:rPr>
        <w:t xml:space="preserve"> | rel. Nunes Marques</w:t>
      </w:r>
    </w:p>
    <w:p>
      <w:pPr>
        <w:ind w:left="288"/>
      </w:pPr>
      <w:r>
        <w:rPr>
          <w:color w:val="1E1E1E"/>
          <w:sz w:val="18"/>
        </w:rPr>
        <w:t>É constitucional — e não ofende os princípios da isonomia (CF/1988, art. 5º, caput), da liberdade religiosa (CF/1988, art. 5º, VI a VIII) e da laicidade estatal (CF/1988, art. 19, I) — norma estadual que permite a aquisição e a manutenção de exemplares da Bíblia Sagrada no acervo das bibliotecas públicas. O que é vedado ao legislador é obrigar (determinar) que se adquiram e/ou se mantenham livros religiosos em espaços públicos.</w:t>
      </w:r>
    </w:p>
    <w:p>
      <w:pPr>
        <w:ind w:left="288"/>
      </w:pPr>
      <w:r>
        <w:rPr>
          <w:b/>
          <w:color w:val="003CA0"/>
          <w:sz w:val="16"/>
        </w:rPr>
        <w:t>[ADI 5.255, rel. min. Nunes Marques, red. do ac. min. Cristiano Zanin, j. 26.09.2025, P, Informativo STF 1.192.]</w:t>
      </w:r>
    </w:p>
    <w:p>
      <w:pPr>
        <w:ind w:left="288"/>
      </w:pPr>
      <w:r>
        <w:rPr>
          <w:color w:val="8C8C8C"/>
          <w:sz w:val="12"/>
        </w:rPr>
        <w:t>cf-art-19</w:t>
      </w:r>
    </w:p>
    <w:p>
      <w:pPr>
        <w:ind w:left="288"/>
      </w:pPr>
      <w:r>
        <w:rPr>
          <w:color w:val="1E1E1E"/>
          <w:sz w:val="18"/>
        </w:rPr>
        <w:t>I - estabelecer cultos religiosos ou igrejas, subvencioná-los, embaraçar-lhes o funcionamento ou manter com eles ou seus representantes relações de dependência ou aliança, ressalvada, na forma da lei, a colaboração de interesse público;</w:t>
      </w:r>
    </w:p>
    <w:p>
      <w:pPr>
        <w:ind w:left="144"/>
      </w:pPr>
      <w:r>
        <w:rPr>
          <w:b/>
          <w:color w:val="B45A00"/>
          <w:sz w:val="16"/>
        </w:rPr>
        <w:t>CONTROLE CONCENTRADO</w:t>
      </w:r>
    </w:p>
    <w:p>
      <w:pPr>
        <w:ind w:left="288"/>
      </w:pPr>
      <w:r>
        <w:rPr>
          <w:color w:val="8C8C8C"/>
          <w:sz w:val="12"/>
        </w:rPr>
        <w:t>cf-art-19</w:t>
      </w:r>
      <w:r>
        <w:rPr>
          <w:color w:val="003CA0"/>
          <w:sz w:val="12"/>
        </w:rPr>
        <w:t xml:space="preserve"> | ADI 5.258</w:t>
      </w:r>
      <w:r>
        <w:rPr>
          <w:color w:val="003CA0"/>
          <w:sz w:val="12"/>
        </w:rPr>
        <w:t xml:space="preserve"> | rel. Cármen Lúcia</w:t>
      </w:r>
    </w:p>
    <w:p>
      <w:pPr>
        <w:ind w:left="288"/>
      </w:pPr>
      <w:r>
        <w:rPr>
          <w:color w:val="1E1E1E"/>
          <w:sz w:val="18"/>
        </w:rPr>
        <w:t>É inconstitucional, por ofensa aos princípios da isonomia, da liberdade religiosa e da laicidade do Estado, norma que obrigue a manutenção de exemplar de determinado livro de cunho religioso em unidades escolares e bibliotecas públicas estaduais.</w:t>
      </w:r>
    </w:p>
    <w:p>
      <w:pPr>
        <w:ind w:left="288"/>
      </w:pPr>
      <w:r>
        <w:rPr>
          <w:b/>
          <w:color w:val="003CA0"/>
          <w:sz w:val="16"/>
        </w:rPr>
        <w:t>[ADI 5.258, rel. min. Cármen Lúcia, j. 13-4-2021, P, DJE de 27-4-2021.]</w:t>
      </w:r>
    </w:p>
    <w:p>
      <w:pPr>
        <w:ind w:left="288"/>
      </w:pPr>
      <w:r>
        <w:rPr>
          <w:color w:val="8C8C8C"/>
          <w:sz w:val="12"/>
        </w:rPr>
        <w:t>cf-art-19</w:t>
      </w:r>
      <w:r>
        <w:rPr>
          <w:color w:val="003CA0"/>
          <w:sz w:val="12"/>
        </w:rPr>
        <w:t xml:space="preserve"> | ADPF 811</w:t>
      </w:r>
      <w:r>
        <w:rPr>
          <w:color w:val="003CA0"/>
          <w:sz w:val="12"/>
        </w:rPr>
        <w:t xml:space="preserve"> | rel. Gilmar Mendes</w:t>
      </w:r>
    </w:p>
    <w:p>
      <w:pPr>
        <w:ind w:left="288"/>
      </w:pPr>
      <w:r>
        <w:rPr>
          <w:color w:val="1E1E1E"/>
          <w:sz w:val="18"/>
        </w:rPr>
        <w:t>A dimensão do direito à liberdade religiosa (art. 5º, VI, da CF/1988) que reclama proteção jurídica na ADPF afasta-se do núcleo de liberdade de consciência (forum internum) e aproxima-se da proteção constitucionalmente conferida à liberdade do exercício de cultos em coletividade (forum externum). Sob a dimensão interna, a liberdade de consciência não se esgota no aspecto religioso, mas nele encontra expressão concreta de marcado relevo. Por outro lado, na dimensão externa, o texto constitucional brasileiro alberga a liberdade de crença, de aderir a alguma religião e a liberdade do exercício do</w:t>
      </w:r>
    </w:p>
    <w:p>
      <w:pPr>
        <w:ind w:left="288"/>
      </w:pPr>
      <w:r>
        <w:rPr>
          <w:b/>
          <w:color w:val="003CA0"/>
          <w:sz w:val="16"/>
        </w:rPr>
        <w:t>[ADI 3.478, rel. min. Edson Fachin, j. 20-12-2019, P, DJE de 19-2-2020.]</w:t>
      </w:r>
    </w:p>
    <w:p>
      <w:pPr>
        <w:ind w:left="288"/>
      </w:pPr>
      <w:r>
        <w:rPr>
          <w:color w:val="8C8C8C"/>
          <w:sz w:val="12"/>
        </w:rPr>
        <w:t>cf-art-19</w:t>
      </w:r>
      <w:r>
        <w:rPr>
          <w:color w:val="003CA0"/>
          <w:sz w:val="12"/>
        </w:rPr>
        <w:t xml:space="preserve"> | ADI 5.257</w:t>
      </w:r>
      <w:r>
        <w:rPr>
          <w:color w:val="003CA0"/>
          <w:sz w:val="12"/>
        </w:rPr>
        <w:t xml:space="preserve"> | rel. Dias Toffoli</w:t>
      </w:r>
    </w:p>
    <w:p>
      <w:pPr>
        <w:ind w:left="288"/>
      </w:pPr>
      <w:r>
        <w:rPr>
          <w:color w:val="1E1E1E"/>
          <w:sz w:val="18"/>
        </w:rPr>
        <w:t>A oficialização da Bíblia como livro-base de fonte doutrinária para fundamentar princípios, usos e costumes de comunidades, igrejas e grupos no Estado de Rondônia implica inconstitucional discrímen entre crenças, além de caracterizar violação da neutralidade exigida do Estado pela Constituição Federal.</w:t>
      </w:r>
    </w:p>
    <w:p>
      <w:pPr>
        <w:ind w:left="288"/>
      </w:pPr>
      <w:r>
        <w:rPr>
          <w:b/>
          <w:color w:val="003CA0"/>
          <w:sz w:val="16"/>
        </w:rPr>
        <w:t>[ADI 5.257, rel. min. Dias Toffoli, j. 20-9-2018, P, DJE de 3-12-2018.]</w:t>
      </w:r>
    </w:p>
    <w:p>
      <w:pPr>
        <w:ind w:left="288"/>
      </w:pPr>
      <w:r>
        <w:rPr>
          <w:color w:val="8C8C8C"/>
          <w:sz w:val="12"/>
        </w:rPr>
        <w:t>cf-art-19</w:t>
      </w:r>
      <w:r>
        <w:rPr>
          <w:color w:val="003CA0"/>
          <w:sz w:val="12"/>
        </w:rPr>
        <w:t xml:space="preserve"> | ADPF 54</w:t>
      </w:r>
      <w:r>
        <w:rPr>
          <w:color w:val="003CA0"/>
          <w:sz w:val="12"/>
        </w:rPr>
        <w:t xml:space="preserve"> | rel. Marco Aurélio</w:t>
      </w:r>
    </w:p>
    <w:p>
      <w:pPr>
        <w:ind w:left="288"/>
      </w:pPr>
      <w:r>
        <w:rPr>
          <w:color w:val="1E1E1E"/>
          <w:sz w:val="18"/>
        </w:rPr>
        <w:t>O Brasil é uma república laica, surgindo absolutamente neutro quanto às religiões.</w:t>
      </w:r>
    </w:p>
    <w:p>
      <w:pPr>
        <w:ind w:left="288"/>
      </w:pPr>
      <w:r>
        <w:rPr>
          <w:b/>
          <w:color w:val="003CA0"/>
          <w:sz w:val="16"/>
        </w:rPr>
        <w:t>[ADPF 54, rel. min. Marco Aurélio, j. 12-4-2012, P, DJE de 30-4-2013.]</w:t>
      </w:r>
    </w:p>
    <w:p>
      <w:pPr>
        <w:ind w:left="288"/>
      </w:pPr>
      <w:r>
        <w:rPr>
          <w:color w:val="8C8C8C"/>
          <w:sz w:val="12"/>
        </w:rPr>
        <w:t>cf-art-19</w:t>
      </w:r>
      <w:r>
        <w:rPr>
          <w:color w:val="003CA0"/>
          <w:sz w:val="12"/>
        </w:rPr>
        <w:t xml:space="preserve"> | ADI 4.439</w:t>
      </w:r>
      <w:r>
        <w:rPr>
          <w:color w:val="003CA0"/>
          <w:sz w:val="12"/>
        </w:rPr>
        <w:t xml:space="preserve"> | rel. Cristiano Zanin</w:t>
      </w:r>
    </w:p>
    <w:p>
      <w:pPr>
        <w:ind w:left="288"/>
      </w:pPr>
      <w:r>
        <w:rPr>
          <w:color w:val="1E1E1E"/>
          <w:sz w:val="18"/>
        </w:rPr>
        <w:t>Vide ADI 4.439, red.do ac. min. Alexandre de Moraes, j. 27-9-2017, P, DJE de 21-6-2018 “A presença de símbolos religiosos em prédios públicos, pertencentes a qualquer dos Poderes da União, dos Estados, do Distrito Federal e dos Municípios, desde que tenha o objetivo de manifestar a tradição cultural da sociedade brasileira, não viola os princípios da não discriminação, da laicidade estatal e da impessoalidade”.</w:t>
      </w:r>
    </w:p>
    <w:p>
      <w:pPr>
        <w:ind w:left="288"/>
      </w:pPr>
      <w:r>
        <w:rPr>
          <w:b/>
          <w:color w:val="003CA0"/>
          <w:sz w:val="16"/>
        </w:rPr>
        <w:t>[RE 1.249.095, rel. min. Cristiano Zanin, j. 27.11.2024, P, DJE de 27.02.2025, Tema 1.086, com mérito julgado.]</w:t>
      </w:r>
    </w:p>
    <w:p>
      <w:pPr>
        <w:ind w:left="288"/>
      </w:pPr>
      <w:r>
        <w:rPr>
          <w:color w:val="8C8C8C"/>
          <w:sz w:val="12"/>
        </w:rPr>
        <w:t>cf-art-19-inc-II</w:t>
      </w:r>
      <w:r>
        <w:rPr>
          <w:color w:val="003CA0"/>
          <w:sz w:val="12"/>
        </w:rPr>
        <w:t xml:space="preserve"> | ADI 5.511</w:t>
      </w:r>
      <w:r>
        <w:rPr>
          <w:color w:val="003CA0"/>
          <w:sz w:val="12"/>
        </w:rPr>
        <w:t xml:space="preserve"> | rel. Nunes Marques</w:t>
      </w:r>
    </w:p>
    <w:p>
      <w:pPr>
        <w:ind w:left="288"/>
      </w:pPr>
      <w:r>
        <w:rPr>
          <w:color w:val="1E1E1E"/>
          <w:sz w:val="18"/>
        </w:rPr>
        <w:t>Provimento-Geral da Corregedoria de Justiça do Distrito Federal e dos Territórios aplicado aos Serviços Notariais e de Registro. Portaria n . 206/GC, de 9 de dezembro de 2013. Exigência de reconhecimento de firma por Promotor de Justiça para averbação de termo de reconhecimento de paternidade firmado perante o Ministério Público. (...) A exigência normativa equipara os atos praticados por membros do Ministério Público aos de particulares e, assim, recusa-lhes fé pública, em desrespeito ao art. 19, II, da Constituição Federal. O sistema registral já prevê mecanismos adequados para a verificação</w:t>
      </w:r>
    </w:p>
    <w:p>
      <w:pPr>
        <w:ind w:left="288"/>
      </w:pPr>
      <w:r>
        <w:rPr>
          <w:b/>
          <w:color w:val="003CA0"/>
          <w:sz w:val="16"/>
        </w:rPr>
        <w:t>[ADI 5.511, rel. min. Nunes Marques, j. 17.03.2025, P, DJE de 26.03.2025.]</w:t>
      </w:r>
    </w:p>
    <w:p>
      <w:pPr>
        <w:ind w:left="144"/>
      </w:pPr>
      <w:r>
        <w:rPr>
          <w:b/>
          <w:color w:val="B45A00"/>
          <w:sz w:val="16"/>
        </w:rPr>
        <w:t>JULGADOS CORRELATOS</w:t>
      </w:r>
    </w:p>
    <w:p>
      <w:pPr>
        <w:ind w:left="288"/>
      </w:pPr>
      <w:r>
        <w:rPr>
          <w:color w:val="8C8C8C"/>
          <w:sz w:val="12"/>
        </w:rPr>
        <w:t>cf-art-19-inc-II</w:t>
      </w:r>
      <w:r>
        <w:rPr>
          <w:color w:val="003CA0"/>
          <w:sz w:val="12"/>
        </w:rPr>
        <w:t xml:space="preserve"> | RE 964.139</w:t>
      </w:r>
    </w:p>
    <w:p>
      <w:pPr>
        <w:ind w:left="288"/>
      </w:pPr>
      <w:r>
        <w:rPr>
          <w:color w:val="1E1E1E"/>
          <w:sz w:val="18"/>
        </w:rPr>
        <w:t xml:space="preserve">Certidão emitida por meio do sítio eletrônico do STJ contendo equívoco quanto à data do trânsito em julgado de acórdão. Discussão acerca do efeito jurídico a ser conferido a certidão reveladora de falsos dados quando a parte beneficiária das informações inverídicas não tenha contribuído para o erro. O art. 19, II, da Carta da República determina que se resguarde a boa-fé das informações constantes de documentos oficiais e daqueles que as recebem e delas se utilizam nas relações jurídicas. Havendo quebra do binômio lealdade/confiança na prestação do serviço estatal, o princípio da boa-fé há de </w:t>
      </w:r>
    </w:p>
    <w:p>
      <w:pPr>
        <w:ind w:left="288"/>
      </w:pPr>
      <w:r>
        <w:rPr>
          <w:b/>
          <w:color w:val="003CA0"/>
          <w:sz w:val="16"/>
        </w:rPr>
        <w:t>[RE 964.139 ED-AgR, red. do ac. min. Dias Toffoli, j. 7-11-2017, 2ª T, DJE de 23-3-2018.]</w:t>
      </w:r>
    </w:p>
    <w:p>
      <w:pPr>
        <w:ind w:left="144"/>
      </w:pPr>
      <w:r>
        <w:rPr>
          <w:b/>
          <w:color w:val="B45A00"/>
          <w:sz w:val="16"/>
        </w:rPr>
        <w:t>CONTROLE CONCENTRADO</w:t>
      </w:r>
    </w:p>
    <w:p>
      <w:pPr>
        <w:ind w:left="288"/>
      </w:pPr>
      <w:r>
        <w:rPr>
          <w:color w:val="8C8C8C"/>
          <w:sz w:val="12"/>
        </w:rPr>
        <w:t>cf-art-19-inc-III</w:t>
      </w:r>
      <w:r>
        <w:rPr>
          <w:color w:val="003CA0"/>
          <w:sz w:val="12"/>
        </w:rPr>
        <w:t xml:space="preserve"> | ADPF 357</w:t>
      </w:r>
      <w:r>
        <w:rPr>
          <w:color w:val="003CA0"/>
          <w:sz w:val="12"/>
        </w:rPr>
        <w:t xml:space="preserve"> | rel. Cármen Lúcia</w:t>
      </w:r>
    </w:p>
    <w:p>
      <w:pPr>
        <w:ind w:left="288"/>
      </w:pPr>
      <w:r>
        <w:rPr>
          <w:color w:val="1E1E1E"/>
          <w:sz w:val="18"/>
        </w:rPr>
        <w:t>A definição de hierarquia na cobrança judicial dos créditos da dívida pública da União aos Estados e Distrito Federal e esses aos Municípios descumpre o princípio federativo e contraria o inc. III do art. 19 da Constituição da República de 1988. (...) Arguição de descumprimento de preceito fundamental julgada procedente para declarar não recepcionadas pela Constituição da República de 1988 as normas previstas no parágrafo único do art. 187 da Lei n. 5.172/1966 (Código Tributário Nacional) e no parágrafo único do art. 29 da Lei n. 6.830/1980 (Lei de Execuções Fiscais).</w:t>
        <w:br/>
        <w:t>[ADPF 357, rel. min. Cárm</w:t>
      </w:r>
    </w:p>
    <w:p>
      <w:pPr>
        <w:ind w:left="288"/>
      </w:pPr>
      <w:r>
        <w:rPr>
          <w:b/>
          <w:color w:val="003CA0"/>
          <w:sz w:val="16"/>
        </w:rPr>
        <w:t>[ADI 5.776, rel. min. Alexandre de Moraes, j. 19-12-2018, P, DJE de 3-4-2019.]</w:t>
      </w:r>
    </w:p>
    <w:p>
      <w:pPr>
        <w:ind w:left="288"/>
      </w:pPr>
      <w:r>
        <w:rPr>
          <w:color w:val="8C8C8C"/>
          <w:sz w:val="12"/>
        </w:rPr>
        <w:t>cf-art-19-inc-III</w:t>
      </w:r>
      <w:r>
        <w:rPr>
          <w:color w:val="003CA0"/>
          <w:sz w:val="12"/>
        </w:rPr>
        <w:t xml:space="preserve"> | ADI 3.583</w:t>
      </w:r>
      <w:r>
        <w:rPr>
          <w:color w:val="003CA0"/>
          <w:sz w:val="12"/>
        </w:rPr>
        <w:t xml:space="preserve"> | rel. Cezar Peluso</w:t>
      </w:r>
    </w:p>
    <w:p>
      <w:pPr>
        <w:ind w:left="288"/>
      </w:pPr>
      <w:r>
        <w:rPr>
          <w:color w:val="1E1E1E"/>
          <w:sz w:val="18"/>
        </w:rPr>
        <w:t>É inconstitucional a lei estadual que estabeleça como condição de acesso a licitação pública, para aquisição de bens ou serviços, que a empresa licitante tenha a fábrica ou sede no Estado-membro.</w:t>
      </w:r>
    </w:p>
    <w:p>
      <w:pPr>
        <w:ind w:left="288"/>
      </w:pPr>
      <w:r>
        <w:rPr>
          <w:b/>
          <w:color w:val="003CA0"/>
          <w:sz w:val="16"/>
        </w:rPr>
        <w:t>[ADI 3.583, rel. min. Cezar Peluso, j. 21-2-2008, P, DJE de 14-3-2008.]</w:t>
      </w:r>
    </w:p>
    <w:p>
      <w:pPr>
        <w:ind w:left="288"/>
      </w:pPr>
      <w:r>
        <w:rPr>
          <w:color w:val="8C8C8C"/>
          <w:sz w:val="12"/>
        </w:rPr>
        <w:t>cf-art-19-inc-III</w:t>
      </w:r>
      <w:r>
        <w:rPr>
          <w:color w:val="003CA0"/>
          <w:sz w:val="12"/>
        </w:rPr>
        <w:t xml:space="preserve"> | ADI 3.070</w:t>
      </w:r>
      <w:r>
        <w:rPr>
          <w:color w:val="003CA0"/>
          <w:sz w:val="12"/>
        </w:rPr>
        <w:t xml:space="preserve"> | rel. Eros Grau</w:t>
      </w:r>
    </w:p>
    <w:p>
      <w:pPr>
        <w:ind w:left="288"/>
      </w:pPr>
      <w:r>
        <w:rPr>
          <w:color w:val="1E1E1E"/>
          <w:sz w:val="18"/>
        </w:rPr>
        <w:t>É inconstitucional o preceito segundo o qual, na análise de licitações, serão considerados, para averiguação da proposta mais vantajosa, entre outros itens, os valores relativos aos impostos pagos à Fazenda Pública daquele Estado-membro.</w:t>
      </w:r>
    </w:p>
    <w:p>
      <w:pPr>
        <w:ind w:left="288"/>
      </w:pPr>
      <w:r>
        <w:rPr>
          <w:b/>
          <w:color w:val="003CA0"/>
          <w:sz w:val="16"/>
        </w:rPr>
        <w:t>[ADI 3.070, rel. min. Eros Grau, j. 29-11-2007, P, DJ de 19-12-2007.]</w:t>
      </w:r>
    </w:p>
    <w:p>
      <w:pPr>
        <w:ind w:left="144"/>
      </w:pPr>
      <w:r>
        <w:rPr>
          <w:b/>
          <w:color w:val="B45A00"/>
          <w:sz w:val="16"/>
        </w:rPr>
        <w:t>JULGADOS CORRELATOS</w:t>
      </w:r>
    </w:p>
    <w:p>
      <w:pPr>
        <w:ind w:left="288"/>
      </w:pPr>
      <w:r>
        <w:rPr>
          <w:color w:val="8C8C8C"/>
          <w:sz w:val="12"/>
        </w:rPr>
        <w:t>cf-art-19-inc-III</w:t>
      </w:r>
      <w:r>
        <w:rPr>
          <w:color w:val="003CA0"/>
          <w:sz w:val="12"/>
        </w:rPr>
        <w:t xml:space="preserve"> | RE 614.873</w:t>
      </w:r>
      <w:r>
        <w:rPr>
          <w:color w:val="003CA0"/>
          <w:sz w:val="12"/>
        </w:rPr>
        <w:t xml:space="preserve"> | rel. Marco Aurélio</w:t>
      </w:r>
    </w:p>
    <w:p>
      <w:pPr>
        <w:ind w:left="288"/>
      </w:pPr>
      <w:r>
        <w:rPr>
          <w:color w:val="1E1E1E"/>
          <w:sz w:val="18"/>
        </w:rPr>
        <w:t>Lei do Estado do Amazonas 2.894/2004, que cria sistema de cotas para preenchimento de vagas em universidade estadual para candidatos egressos de escolas localizadas no respectivo ente federativo. (...) a despeito da nobre hipótese de se corrigirem distorções socioeconômicas, como se pode observar, por exemplo, da reserva de vagas para alunos egressos de escolas públicas, não pode o ente federativo criar discriminações regionais infundadas, de forma a favorecer apenas os residentes em determinada região, sob pena de violação aos artigos 3º, IV; 5º, caput; e 19, III, todos da Constituição Federa</w:t>
      </w:r>
    </w:p>
    <w:p>
      <w:pPr>
        <w:ind w:left="432"/>
      </w:pPr>
      <w:r>
        <w:rPr>
          <w:color w:val="003366"/>
          <w:sz w:val="18"/>
        </w:rPr>
        <w:t>§ 1 O tempo de serviço dos servidores referidos neste artigo será contado como t</w:t>
      </w:r>
    </w:p>
    <w:p>
      <w:pPr>
        <w:ind w:left="432"/>
      </w:pPr>
      <w:r>
        <w:rPr>
          <w:color w:val="003366"/>
          <w:sz w:val="18"/>
        </w:rPr>
        <w:t>§ 2 O disposto neste artigo não se aplica aos ocupantes de cargos, funções e emp</w:t>
      </w:r>
    </w:p>
    <w:p>
      <w:pPr>
        <w:ind w:left="432"/>
      </w:pPr>
      <w:r>
        <w:rPr>
          <w:color w:val="003366"/>
          <w:sz w:val="18"/>
        </w:rPr>
        <w:t>§ 3 O disposto neste artigo não se aplica aos professores de nível superior, nos</w:t>
      </w:r>
    </w:p>
    <w:p>
      <w:r>
        <w:rPr>
          <w:b/>
          <w:color w:val="003366"/>
          <w:sz w:val="20"/>
        </w:rPr>
        <w:t>Art. 20 Dentro de cento e oitenta dias, proceder-se-á à revisão dos direitos dos</w:t>
      </w:r>
      <w:r>
        <w:rPr>
          <w:color w:val="8C8C8C"/>
          <w:sz w:val="14"/>
        </w:rPr>
        <w:t xml:space="preserve">  [29 decisoes]</w:t>
      </w:r>
    </w:p>
    <w:p>
      <w:pPr>
        <w:ind w:left="144"/>
      </w:pPr>
      <w:r>
        <w:rPr>
          <w:b/>
          <w:color w:val="B45A00"/>
          <w:sz w:val="16"/>
        </w:rPr>
        <w:t>CONTROLE CONCENTRADO</w:t>
      </w:r>
    </w:p>
    <w:p>
      <w:pPr>
        <w:ind w:left="288"/>
      </w:pPr>
      <w:r>
        <w:rPr>
          <w:color w:val="8C8C8C"/>
          <w:sz w:val="12"/>
        </w:rPr>
        <w:t>cf-art-20</w:t>
      </w:r>
      <w:r>
        <w:rPr>
          <w:color w:val="003CA0"/>
          <w:sz w:val="12"/>
        </w:rPr>
        <w:t xml:space="preserve"> | ADI 4.970</w:t>
      </w:r>
      <w:r>
        <w:rPr>
          <w:color w:val="003CA0"/>
          <w:sz w:val="12"/>
        </w:rPr>
        <w:t xml:space="preserve"> | rel. Cármen Lúcia</w:t>
      </w:r>
    </w:p>
    <w:p>
      <w:pPr>
        <w:ind w:left="288"/>
      </w:pPr>
      <w:r>
        <w:rPr>
          <w:color w:val="1E1E1E"/>
          <w:sz w:val="18"/>
        </w:rPr>
        <w:t xml:space="preserve">Interpretação conforme à Constituição da República do § 7º do art. 18 da Lei 9.636/1998, acrescentado pela Lei 12.058/2009, para admitir a cessão do espaço aéreo sobre bens públicos, do espaço físico em águas públicas, das áreas de álveo de lagos, dos rios e quaisquer correntes d’água, das vazantes e de outros bens do domínio da União, contíguos a imóveis da União afetados ao regime de aforamento ou ocupação, desde que realizada a Estados, ao Distrito Federal, aos Municípios ou a entidades sem fins lucrativos nas áreas de educação, cultura, assistência social ou saúde, ou a pessoas físicas ou </w:t>
      </w:r>
    </w:p>
    <w:p>
      <w:pPr>
        <w:ind w:left="288"/>
      </w:pPr>
      <w:r>
        <w:rPr>
          <w:b/>
          <w:color w:val="003CA0"/>
          <w:sz w:val="16"/>
        </w:rPr>
        <w:t>[ADI 4.970, rel. min. Cármen Lúcia, j. 15-9-2021, Plenário, DJE de 22-9-2021.]</w:t>
      </w:r>
    </w:p>
    <w:p>
      <w:pPr>
        <w:ind w:left="144"/>
      </w:pPr>
      <w:r>
        <w:rPr>
          <w:b/>
          <w:color w:val="B45A00"/>
          <w:sz w:val="16"/>
        </w:rPr>
        <w:t>SUMULA</w:t>
      </w:r>
    </w:p>
    <w:p>
      <w:pPr>
        <w:ind w:left="288"/>
      </w:pPr>
      <w:r>
        <w:rPr>
          <w:color w:val="8C8C8C"/>
          <w:sz w:val="12"/>
        </w:rPr>
        <w:t>cf-art-20-inc-I</w:t>
      </w:r>
    </w:p>
    <w:p>
      <w:pPr>
        <w:ind w:left="288"/>
      </w:pPr>
      <w:r>
        <w:rPr>
          <w:color w:val="1E1E1E"/>
          <w:sz w:val="18"/>
        </w:rPr>
        <w:t>Os incisos I e XI do art. 20 da CF não alcançam terras de aldeamentos extintos, ainda que ocupadas por indígenas em passado remoto.</w:t>
      </w:r>
    </w:p>
    <w:p>
      <w:pPr>
        <w:ind w:left="288"/>
      </w:pPr>
      <w:r>
        <w:rPr>
          <w:b/>
          <w:color w:val="003CA0"/>
          <w:sz w:val="16"/>
        </w:rPr>
        <w:t>[Súmula 650.]</w:t>
      </w:r>
    </w:p>
    <w:p>
      <w:pPr>
        <w:ind w:left="288"/>
      </w:pPr>
      <w:r>
        <w:rPr>
          <w:color w:val="8C8C8C"/>
          <w:sz w:val="12"/>
        </w:rPr>
        <w:t>cf-art-20-inc-II</w:t>
      </w:r>
    </w:p>
    <w:p>
      <w:pPr>
        <w:ind w:left="288"/>
      </w:pPr>
      <w:r>
        <w:rPr>
          <w:color w:val="1E1E1E"/>
          <w:sz w:val="18"/>
        </w:rPr>
        <w:t>III - os lagos, rios e quaisquer correntes de água em terrenos de seu domínio, ou que banhem mais de um Estado, sirvam de limites com outros países, ou se estendam a território estrangeiro ou dele provenham, bem como os terrenos marginais e as praias fluviais;</w:t>
      </w:r>
    </w:p>
    <w:p>
      <w:pPr>
        <w:ind w:left="288"/>
      </w:pPr>
      <w:r>
        <w:rPr>
          <w:color w:val="8C8C8C"/>
          <w:sz w:val="12"/>
        </w:rPr>
        <w:t>cf-art-20-inc-II</w:t>
      </w:r>
    </w:p>
    <w:p>
      <w:pPr>
        <w:ind w:left="288"/>
      </w:pPr>
      <w:r>
        <w:rPr>
          <w:color w:val="1E1E1E"/>
          <w:sz w:val="18"/>
        </w:rPr>
        <w:t>As margens dos rios navegáveis são de domínio público, insuscetíveis de expropriação e, por isso mesmo, excluídas de indenização.</w:t>
      </w:r>
    </w:p>
    <w:p>
      <w:pPr>
        <w:ind w:left="288"/>
      </w:pPr>
      <w:r>
        <w:rPr>
          <w:b/>
          <w:color w:val="003CA0"/>
          <w:sz w:val="16"/>
        </w:rPr>
        <w:t>[Súmula 479.]</w:t>
      </w:r>
    </w:p>
    <w:p>
      <w:pPr>
        <w:ind w:left="144"/>
      </w:pPr>
      <w:r>
        <w:rPr>
          <w:b/>
          <w:color w:val="B45A00"/>
          <w:sz w:val="16"/>
        </w:rPr>
        <w:t>JULGADOS CORRELATOS</w:t>
      </w:r>
    </w:p>
    <w:p>
      <w:pPr>
        <w:ind w:left="288"/>
      </w:pPr>
      <w:r>
        <w:rPr>
          <w:color w:val="8C8C8C"/>
          <w:sz w:val="12"/>
        </w:rPr>
        <w:t>cf-art-20-inc-II</w:t>
      </w:r>
      <w:r>
        <w:rPr>
          <w:color w:val="003CA0"/>
          <w:sz w:val="12"/>
        </w:rPr>
        <w:t xml:space="preserve"> | RE 454.740</w:t>
      </w:r>
      <w:r>
        <w:rPr>
          <w:color w:val="003CA0"/>
          <w:sz w:val="12"/>
        </w:rPr>
        <w:t xml:space="preserve"> | rel. Marco Aurélio</w:t>
      </w:r>
    </w:p>
    <w:p>
      <w:pPr>
        <w:ind w:left="288"/>
      </w:pPr>
      <w:r>
        <w:rPr>
          <w:color w:val="1E1E1E"/>
          <w:sz w:val="18"/>
        </w:rPr>
        <w:t>Vê-se que veio a ser potencializado o interesse da população local em detrimento do fato de a poluição alcançar bem público federal. Pouco importa que se tenha chegado também ao comprometimento de açude, córregos e riacho. Prevalece a circunstância de o dano apontado haver ocorrido em rio que, pelo teor do inciso III do art. 20 da CF, consubstancia bem da União (...). Esse preceito e a premissa fática constante do acórdão impugnado mediante o extraordinário atraem a incidência do inciso IV do art. 109 da Carta da República (...).</w:t>
      </w:r>
    </w:p>
    <w:p>
      <w:pPr>
        <w:ind w:left="288"/>
      </w:pPr>
      <w:r>
        <w:rPr>
          <w:b/>
          <w:color w:val="003CA0"/>
          <w:sz w:val="16"/>
        </w:rPr>
        <w:t>[RE 454.740, voto do rel. min. Marco Aurélio, j. 28-4-2009, 1ª T, DJE de 7-8-2009.]</w:t>
      </w:r>
    </w:p>
    <w:p>
      <w:pPr>
        <w:ind w:left="288"/>
      </w:pPr>
      <w:r>
        <w:rPr>
          <w:color w:val="8C8C8C"/>
          <w:sz w:val="12"/>
        </w:rPr>
        <w:t>cf-art-20-inc-II</w:t>
      </w:r>
    </w:p>
    <w:p>
      <w:pPr>
        <w:ind w:left="288"/>
      </w:pPr>
      <w:r>
        <w:rPr>
          <w:color w:val="1E1E1E"/>
          <w:sz w:val="18"/>
        </w:rPr>
        <w:t>IV - as ilhas fluviais e lacustres nas zonas limítrofes com outros países; as praias marítimas; as ilhas oceânicas e as costeiras, excluídas, destas, as que contenham a sede de Municípios, exceto aquelas áreas afetadas ao serviço público e a unidade ambiental federal, e as referidas no art. 26, II; (Redação da EC n. 46/2005)</w:t>
      </w:r>
    </w:p>
    <w:p>
      <w:pPr>
        <w:ind w:left="144"/>
      </w:pPr>
      <w:r>
        <w:rPr>
          <w:b/>
          <w:color w:val="B45A00"/>
          <w:sz w:val="16"/>
        </w:rPr>
        <w:t>REPERCUSSAO GERAL</w:t>
      </w:r>
    </w:p>
    <w:p>
      <w:pPr>
        <w:ind w:left="288"/>
      </w:pPr>
      <w:r>
        <w:rPr>
          <w:color w:val="8C8C8C"/>
          <w:sz w:val="12"/>
        </w:rPr>
        <w:t>cf-art-20-inc-II</w:t>
      </w:r>
      <w:r>
        <w:rPr>
          <w:color w:val="003CA0"/>
          <w:sz w:val="12"/>
        </w:rPr>
        <w:t xml:space="preserve"> | RE 636.199</w:t>
      </w:r>
      <w:r>
        <w:rPr>
          <w:color w:val="003CA0"/>
          <w:sz w:val="12"/>
        </w:rPr>
        <w:t xml:space="preserve"> | rel. Rosa Werber</w:t>
      </w:r>
    </w:p>
    <w:p>
      <w:pPr>
        <w:ind w:left="288"/>
      </w:pPr>
      <w:r>
        <w:rPr>
          <w:color w:val="1E1E1E"/>
          <w:sz w:val="18"/>
        </w:rPr>
        <w:t>Ao equiparar o regime jurídico-patrimonial das ilhas costeiras em que sediados Municípios àquele incidente sobre a porção continental do território brasileiro, a EC 46/2005 não interferiu na propriedade da União, nos moldes do art. 20, VII, da Constituição da República, sobre os terrenos de marinha e seus acrescidos situados em ilhas costeiras sede de Municípios, incólumes as relações jurídicas daí decorrentes.</w:t>
        <w:br/>
        <w:t>[RE 636.199, rel. min. Rosa Werber, j. 27-4-2017, P, DJE de 3-8-2017, Tema 676, com mérito julgado.]</w:t>
      </w:r>
    </w:p>
    <w:p>
      <w:pPr>
        <w:ind w:left="144"/>
      </w:pPr>
      <w:r>
        <w:rPr>
          <w:b/>
          <w:color w:val="B45A00"/>
          <w:sz w:val="16"/>
        </w:rPr>
        <w:t>JULGADOS CORRELATOS</w:t>
      </w:r>
    </w:p>
    <w:p>
      <w:pPr>
        <w:ind w:left="288"/>
      </w:pPr>
      <w:r>
        <w:rPr>
          <w:color w:val="8C8C8C"/>
          <w:sz w:val="12"/>
        </w:rPr>
        <w:t>cf-art-20-inc-II</w:t>
      </w:r>
      <w:r>
        <w:rPr>
          <w:color w:val="003CA0"/>
          <w:sz w:val="12"/>
        </w:rPr>
        <w:t xml:space="preserve"> | ACO 317</w:t>
      </w:r>
      <w:r>
        <w:rPr>
          <w:color w:val="003CA0"/>
          <w:sz w:val="12"/>
        </w:rPr>
        <w:t xml:space="preserve"> | rel. Ilmar Galvão</w:t>
      </w:r>
    </w:p>
    <w:p>
      <w:pPr>
        <w:ind w:left="288"/>
      </w:pPr>
      <w:r>
        <w:rPr>
          <w:color w:val="1E1E1E"/>
          <w:sz w:val="18"/>
        </w:rPr>
        <w:t>(...) ação discriminatória das terras públicas situadas na ilha do Cardoso, no litoral paulista, proposta pelo Estado de São Paulo. Oposição manifestada pela União, ao fundamento de que se trata de terras de domínio da União. Remédio judicial destinado ao deslinde do que resta de terra devoluta em área previamente delimitada, a fim de extremá-la das terras objeto de dominialidade alheia. Legitimado para exercitá-lo, todavia, é o ente federado com domínio sobre a área descriminada. Incertezas acerca da dominialidade das terras devolutas, nas ilhas costeiras, até o advento da CF de 1988, que, no</w:t>
      </w:r>
    </w:p>
    <w:p>
      <w:pPr>
        <w:ind w:left="288"/>
      </w:pPr>
      <w:r>
        <w:rPr>
          <w:b/>
          <w:color w:val="003CA0"/>
          <w:sz w:val="16"/>
        </w:rPr>
        <w:t>[ACO 317, rel. min. Ilmar Galvão, j. 17-9-1992, P, DJ de 20-11-1992.]</w:t>
      </w:r>
    </w:p>
    <w:p>
      <w:pPr>
        <w:ind w:left="144"/>
      </w:pPr>
      <w:r>
        <w:rPr>
          <w:b/>
          <w:color w:val="B45A00"/>
          <w:sz w:val="16"/>
        </w:rPr>
        <w:t>CONTROLE CONCENTRADO</w:t>
      </w:r>
    </w:p>
    <w:p>
      <w:pPr>
        <w:ind w:left="288"/>
      </w:pPr>
      <w:r>
        <w:rPr>
          <w:color w:val="8C8C8C"/>
          <w:sz w:val="12"/>
        </w:rPr>
        <w:t>cf-art-20-inc-V</w:t>
      </w:r>
      <w:r>
        <w:rPr>
          <w:color w:val="003CA0"/>
          <w:sz w:val="12"/>
        </w:rPr>
        <w:t xml:space="preserve"> | ADI 2.080</w:t>
      </w:r>
      <w:r>
        <w:rPr>
          <w:color w:val="003CA0"/>
          <w:sz w:val="12"/>
        </w:rPr>
        <w:t xml:space="preserve"> | rel. Gilmar Mendes</w:t>
      </w:r>
    </w:p>
    <w:p>
      <w:pPr>
        <w:ind w:left="288"/>
      </w:pPr>
      <w:r>
        <w:rPr>
          <w:color w:val="1E1E1E"/>
          <w:sz w:val="18"/>
        </w:rPr>
        <w:t>(...) conforme já decidido pelo Plenário desta Suprema Corte quando do indeferimento da medida cautelar (...), entendo não violar a Constituição Federal a previsão, em Constituição e Legislação Estaduais, para fins tributários, de que as porções do mar territorial, da plataforma continental e da zona econômica exclusiva integram o território do Estado do Rio de Janeiro e Municípios do litoral.</w:t>
      </w:r>
    </w:p>
    <w:p>
      <w:pPr>
        <w:ind w:left="288"/>
      </w:pPr>
      <w:r>
        <w:rPr>
          <w:b/>
          <w:color w:val="003CA0"/>
          <w:sz w:val="16"/>
        </w:rPr>
        <w:t>[ADI 2.080, voto do rel. min. Gilmar Mendes, j. 18-10-2019, P, DJE de 6-11-2019.]</w:t>
      </w:r>
    </w:p>
    <w:p>
      <w:pPr>
        <w:ind w:left="144"/>
      </w:pPr>
      <w:r>
        <w:rPr>
          <w:b/>
          <w:color w:val="B45A00"/>
          <w:sz w:val="16"/>
        </w:rPr>
        <w:t>JULGADOS CORRELATOS</w:t>
      </w:r>
    </w:p>
    <w:p>
      <w:pPr>
        <w:ind w:left="288"/>
      </w:pPr>
      <w:r>
        <w:rPr>
          <w:color w:val="8C8C8C"/>
          <w:sz w:val="12"/>
        </w:rPr>
        <w:t>cf-art-20-inc-V</w:t>
      </w:r>
      <w:r>
        <w:rPr>
          <w:color w:val="003CA0"/>
          <w:sz w:val="12"/>
        </w:rPr>
        <w:t xml:space="preserve"> | MS 24.312</w:t>
      </w:r>
      <w:r>
        <w:rPr>
          <w:color w:val="003CA0"/>
          <w:sz w:val="12"/>
        </w:rPr>
        <w:t xml:space="preserve"> | rel. Ellen Gracie</w:t>
      </w:r>
    </w:p>
    <w:p>
      <w:pPr>
        <w:ind w:left="288"/>
      </w:pPr>
      <w:r>
        <w:rPr>
          <w:color w:val="1E1E1E"/>
          <w:sz w:val="18"/>
        </w:rPr>
        <w:t>Embora os recursos naturais da plataforma continental e os recursos minerais sejam bens da União (CF, art. 20, V e IX), a participação ou compensação aos Estados, Distrito Federal e Municípios no resultado da exploração de petróleo, xisto betuminoso e gás natural são receitas originárias destes últimos entes federativos (CF, art. 20, § 1º). É inaplicável, ao caso, o disposto no art. 71, VI, da Carta Magna, que se refere, especificamente, ao repasse efetuado pela União – mediante convênio, acordo ou ajuste – de recursos originariamente federais.</w:t>
      </w:r>
    </w:p>
    <w:p>
      <w:pPr>
        <w:ind w:left="288"/>
      </w:pPr>
      <w:r>
        <w:rPr>
          <w:b/>
          <w:color w:val="003CA0"/>
          <w:sz w:val="16"/>
        </w:rPr>
        <w:t>[MS 24.312, rel. min. Ellen Gracie, j. 19-2-2003, P, DJ de 19-12-2003.]</w:t>
      </w:r>
    </w:p>
    <w:p>
      <w:pPr>
        <w:ind w:left="144"/>
      </w:pPr>
      <w:r>
        <w:rPr>
          <w:b/>
          <w:color w:val="B45A00"/>
          <w:sz w:val="16"/>
        </w:rPr>
        <w:t>CONTROLE CONCENTRADO</w:t>
      </w:r>
    </w:p>
    <w:p>
      <w:pPr>
        <w:ind w:left="288"/>
      </w:pPr>
      <w:r>
        <w:rPr>
          <w:color w:val="8C8C8C"/>
          <w:sz w:val="12"/>
        </w:rPr>
        <w:t>cf-art-20-inc-VI</w:t>
      </w:r>
      <w:r>
        <w:rPr>
          <w:color w:val="003CA0"/>
          <w:sz w:val="12"/>
        </w:rPr>
        <w:t xml:space="preserve"> | ADI 6.218</w:t>
      </w:r>
      <w:r>
        <w:rPr>
          <w:color w:val="003CA0"/>
          <w:sz w:val="12"/>
        </w:rPr>
        <w:t xml:space="preserve"> | rel. Nunes Marques</w:t>
      </w:r>
    </w:p>
    <w:p>
      <w:pPr>
        <w:ind w:left="288"/>
      </w:pPr>
      <w:r>
        <w:rPr>
          <w:color w:val="1E1E1E"/>
          <w:sz w:val="18"/>
        </w:rPr>
        <w:t>Ao atribuir o domínio do mar territorial brasileiro à União (CF, art. 20, VI) a Constituição outorgou-lhe a titularidade sobre esse bem público essencial e, ao mesmo tempo, submeteu o território marítimo ao regime de direito público exorbitante do direito comum, de modo a atender, com adequação e eficiência, às finalidades públicas a que está destinado. A relação de dominialidade sobre os bens públicos não se confunde com o poder de dispor sobre o regime jurídico de tais bens. As competências legislativas não decorrem, por implícita derivação, da titularidade sobre determinado bem público, mas</w:t>
      </w:r>
    </w:p>
    <w:p>
      <w:pPr>
        <w:ind w:left="288"/>
      </w:pPr>
      <w:r>
        <w:rPr>
          <w:color w:val="8C8C8C"/>
          <w:sz w:val="12"/>
        </w:rPr>
        <w:t>cf-art-20-inc-VII</w:t>
      </w:r>
      <w:r>
        <w:rPr>
          <w:color w:val="003CA0"/>
          <w:sz w:val="12"/>
        </w:rPr>
        <w:t xml:space="preserve"> | ADPF 1.008</w:t>
      </w:r>
      <w:r>
        <w:rPr>
          <w:color w:val="003CA0"/>
          <w:sz w:val="12"/>
        </w:rPr>
        <w:t xml:space="preserve"> | rel. Cármen Lúcia</w:t>
      </w:r>
    </w:p>
    <w:p>
      <w:pPr>
        <w:ind w:left="288"/>
      </w:pPr>
      <w:r>
        <w:rPr>
          <w:color w:val="1E1E1E"/>
          <w:sz w:val="18"/>
        </w:rPr>
        <w:t>A al. c do art. 1º do Decreto-Lei n. 9.760/1946 foi recepcionada pela Constituição de 1988 em razão de serem as zonas de influência das marés terrenos de marinha e integrarem o patrimônio da União, nos termos do inc. VII do art. 20 da Constituição da República.</w:t>
        <w:br/>
        <w:t>[ADPF 1.008, rel. min. Cármen Lúcia, j. 22-5-2023, P, DJE de 16-6-2023.]</w:t>
      </w:r>
    </w:p>
    <w:p>
      <w:pPr>
        <w:ind w:left="144"/>
      </w:pPr>
      <w:r>
        <w:rPr>
          <w:b/>
          <w:color w:val="B45A00"/>
          <w:sz w:val="16"/>
        </w:rPr>
        <w:t>REPERCUSSAO GERAL</w:t>
      </w:r>
    </w:p>
    <w:p>
      <w:pPr>
        <w:ind w:left="288"/>
      </w:pPr>
      <w:r>
        <w:rPr>
          <w:color w:val="8C8C8C"/>
          <w:sz w:val="12"/>
        </w:rPr>
        <w:t>cf-art-20-inc-VII</w:t>
      </w:r>
      <w:r>
        <w:rPr>
          <w:color w:val="003CA0"/>
          <w:sz w:val="12"/>
        </w:rPr>
        <w:t xml:space="preserve"> | RE 1.334.628</w:t>
      </w:r>
      <w:r>
        <w:rPr>
          <w:color w:val="003CA0"/>
          <w:sz w:val="12"/>
        </w:rPr>
        <w:t xml:space="preserve"> | rel. Luiz Fux</w:t>
      </w:r>
    </w:p>
    <w:p>
      <w:pPr>
        <w:ind w:left="288"/>
      </w:pPr>
      <w:r>
        <w:rPr>
          <w:color w:val="1E1E1E"/>
          <w:sz w:val="18"/>
        </w:rPr>
        <w:t>É infraconstitucional, a ela se aplicando os efeitos da ausência de repercussão geral, a controvérsia relativa ao juízo de validade dos atos de demarcação de terrenos de marinha ante a ausência de intimação pessoal dos interessados.</w:t>
      </w:r>
    </w:p>
    <w:p>
      <w:pPr>
        <w:ind w:left="288"/>
      </w:pPr>
      <w:r>
        <w:rPr>
          <w:b/>
          <w:color w:val="003CA0"/>
          <w:sz w:val="16"/>
        </w:rPr>
        <w:t>[RE 1.334.628 RG, rel. min. Luiz Fux, j. 3-3-2022, P, DJE de 23-3-2022, Tema 1.201, com repercussão geral negada.]</w:t>
      </w:r>
    </w:p>
    <w:p>
      <w:pPr>
        <w:ind w:left="288"/>
      </w:pPr>
      <w:r>
        <w:rPr>
          <w:color w:val="8C8C8C"/>
          <w:sz w:val="12"/>
        </w:rPr>
        <w:t>cf-art-20-inc-VII</w:t>
      </w:r>
      <w:r>
        <w:rPr>
          <w:color w:val="003CA0"/>
          <w:sz w:val="12"/>
        </w:rPr>
        <w:t xml:space="preserve"> | RE 636.199</w:t>
      </w:r>
      <w:r>
        <w:rPr>
          <w:color w:val="003CA0"/>
          <w:sz w:val="12"/>
        </w:rPr>
        <w:t xml:space="preserve"> | rel. Rosa Werber</w:t>
      </w:r>
    </w:p>
    <w:p>
      <w:pPr>
        <w:ind w:left="288"/>
      </w:pPr>
      <w:r>
        <w:rPr>
          <w:color w:val="1E1E1E"/>
          <w:sz w:val="18"/>
        </w:rPr>
        <w:t>Ao equiparar o regime jurídico-patrimonial das ilhas costeiras em que sediados Municípios àquele incidente sobre a porção continental do território brasileiro, a EC 46/2005 não interferiu na propriedade da União, nos moldes do art. 20, VII, da Constituição da República, sobre os terrenos de marinha e seus acrescidos situados em ilhas costeiras sedes de Municípios, incólumes as relações jurídicas daí decorrentes.</w:t>
      </w:r>
    </w:p>
    <w:p>
      <w:pPr>
        <w:ind w:left="288"/>
      </w:pPr>
      <w:r>
        <w:rPr>
          <w:b/>
          <w:color w:val="003CA0"/>
          <w:sz w:val="16"/>
        </w:rPr>
        <w:t>[RE 636.199, rel. min. Rosa Werber, j. 27-4-2017, P, DJE de 3-8-2017, Tema 676, com mérito julgado.]</w:t>
      </w:r>
    </w:p>
    <w:p>
      <w:pPr>
        <w:ind w:left="288"/>
      </w:pPr>
      <w:r>
        <w:rPr>
          <w:color w:val="8C8C8C"/>
          <w:sz w:val="12"/>
        </w:rPr>
        <w:t>cf-art-20-inc-IX</w:t>
      </w:r>
      <w:r>
        <w:rPr>
          <w:color w:val="003CA0"/>
          <w:sz w:val="12"/>
        </w:rPr>
        <w:t xml:space="preserve"> | ARE 1.561.356</w:t>
      </w:r>
      <w:r>
        <w:rPr>
          <w:color w:val="003CA0"/>
          <w:sz w:val="12"/>
        </w:rPr>
        <w:t xml:space="preserve"> | rel. Gilmar Mendes</w:t>
      </w:r>
    </w:p>
    <w:p>
      <w:pPr>
        <w:ind w:left="288"/>
      </w:pPr>
      <w:r>
        <w:rPr>
          <w:color w:val="1E1E1E"/>
          <w:sz w:val="18"/>
        </w:rPr>
        <w:t>Comercialização de ouro oriundo de lavra garimpeira. Alegação de inconstitucionalidade formal e material dos arts. 37 a 42 da lei 12.844/2013. (...) Não há inconstitucionalidade nos dispositivos impugnados, pois a União, na condição de titular dos recursos minerais (art. 20, IX, da CF), possui competência para disciplinar a exploração e a comercialização do ouro, cabendo-lhe estabelecer regras que assegurem a proteção do meio ambiente, a preservação das jazidas e o controle da legalidade da produção mineral. A restrição imposta pela Lei 12.844/2013 não configura monopólio artificial, mas instr</w:t>
      </w:r>
    </w:p>
    <w:p>
      <w:pPr>
        <w:ind w:left="288"/>
      </w:pPr>
      <w:r>
        <w:rPr>
          <w:b/>
          <w:color w:val="003CA0"/>
          <w:sz w:val="16"/>
        </w:rPr>
        <w:t>[ARE 1.561.356 AgR, rel. min. Gilmar Mendes, j. 05.11.2025, 2ª T, DJE de 11.11.2025.]</w:t>
      </w:r>
    </w:p>
    <w:p>
      <w:pPr>
        <w:ind w:left="144"/>
      </w:pPr>
      <w:r>
        <w:rPr>
          <w:b/>
          <w:color w:val="B45A00"/>
          <w:sz w:val="16"/>
        </w:rPr>
        <w:t>SUMULA</w:t>
      </w:r>
    </w:p>
    <w:p>
      <w:pPr>
        <w:ind w:left="288"/>
      </w:pPr>
      <w:r>
        <w:rPr>
          <w:color w:val="8C8C8C"/>
          <w:sz w:val="12"/>
        </w:rPr>
        <w:t>cf-art-20-inc-XI</w:t>
      </w:r>
    </w:p>
    <w:p>
      <w:pPr>
        <w:ind w:left="288"/>
      </w:pPr>
      <w:r>
        <w:rPr>
          <w:color w:val="1E1E1E"/>
          <w:sz w:val="18"/>
        </w:rPr>
        <w:t>Os incisos I e XI do art. 20 da CF não alcançam terras de aldeamentos extintos, ainda que ocupadas por indígenas em passado remoto.</w:t>
      </w:r>
    </w:p>
    <w:p>
      <w:pPr>
        <w:ind w:left="288"/>
      </w:pPr>
      <w:r>
        <w:rPr>
          <w:b/>
          <w:color w:val="003CA0"/>
          <w:sz w:val="16"/>
        </w:rPr>
        <w:t>[Súmula 650.]</w:t>
      </w:r>
    </w:p>
    <w:p>
      <w:pPr>
        <w:ind w:left="144"/>
      </w:pPr>
      <w:r>
        <w:rPr>
          <w:b/>
          <w:color w:val="B45A00"/>
          <w:sz w:val="16"/>
        </w:rPr>
        <w:t>JULGADOS CORRELATOS</w:t>
      </w:r>
    </w:p>
    <w:p>
      <w:pPr>
        <w:ind w:left="288"/>
      </w:pPr>
      <w:r>
        <w:rPr>
          <w:color w:val="8C8C8C"/>
          <w:sz w:val="12"/>
        </w:rPr>
        <w:t>cf-art-20-inc-XI</w:t>
      </w:r>
      <w:r>
        <w:rPr>
          <w:color w:val="003CA0"/>
          <w:sz w:val="12"/>
        </w:rPr>
        <w:t xml:space="preserve"> | PET 3.388</w:t>
      </w:r>
      <w:r>
        <w:rPr>
          <w:color w:val="003CA0"/>
          <w:sz w:val="12"/>
        </w:rPr>
        <w:t xml:space="preserve"> | rel. Roberto Barroso</w:t>
      </w:r>
    </w:p>
    <w:p>
      <w:pPr>
        <w:ind w:left="288"/>
      </w:pPr>
      <w:r>
        <w:rPr>
          <w:color w:val="1E1E1E"/>
          <w:sz w:val="18"/>
        </w:rPr>
        <w:t>Com o trânsito em julgado do acórdão embargado, todos os processos relacionados à terra indígena Raposa Serra do Sol deverão adotar as seguintes premissas como necessárias: (i) são válidos a Portaria/MJ 534/2005 e o decreto presidencial de 15-4-2005, observadas as condições previstas no acórdão; e (ii) a caracterização da área como terra indígena, para os fins dos arts. 20, XI, e 231 da Constituição torna insubsistentes eventuais pretensões possessórias ou dominiais de particulares, salvo no tocante à indenização por benfeitorias derivadas da ocupação de boa-fé (CF/1988, art. 231, § 6º).</w:t>
      </w:r>
    </w:p>
    <w:p>
      <w:pPr>
        <w:ind w:left="288"/>
      </w:pPr>
      <w:r>
        <w:rPr>
          <w:b/>
          <w:color w:val="003CA0"/>
          <w:sz w:val="16"/>
        </w:rPr>
        <w:t>[Pet 3.388 ED, rel. min. Roberto Barroso, j. 23-10-2013, P, DJE de 4-2-2014.]</w:t>
      </w:r>
    </w:p>
    <w:p>
      <w:pPr>
        <w:ind w:left="288"/>
      </w:pPr>
      <w:r>
        <w:rPr>
          <w:color w:val="8C8C8C"/>
          <w:sz w:val="12"/>
        </w:rPr>
        <w:t>cf-art-20-inc-XI</w:t>
      </w:r>
      <w:r>
        <w:rPr>
          <w:color w:val="003CA0"/>
          <w:sz w:val="12"/>
        </w:rPr>
        <w:t xml:space="preserve"> | PET 3.388</w:t>
      </w:r>
      <w:r>
        <w:rPr>
          <w:color w:val="003CA0"/>
          <w:sz w:val="12"/>
        </w:rPr>
        <w:t xml:space="preserve"> | rel. Ayres Britto</w:t>
      </w:r>
    </w:p>
    <w:p>
      <w:pPr>
        <w:ind w:left="288"/>
      </w:pPr>
      <w:r>
        <w:rPr>
          <w:color w:val="1E1E1E"/>
          <w:sz w:val="18"/>
        </w:rPr>
        <w:t>Todas as "terras indígenas" são um bem público federal (inciso XI do art. 20 da CF), o que não significa dizer que o ato em si da demarcação extinga ou amesquinhe qualquer unidade federada. Primeiro, porque as unidades federadas pós-Constituição de 1988 já nascem com seu território jungido ao regime constitucional de preexistência dos direitos originários dos índios sobre as terras por eles "tradicionalmente ocupadas". Segundo, porque a titularidade de bens não se confunde com o senhorio de um território político. Nenhuma terra indígena se eleva ao patamar de território político, assim como ne</w:t>
      </w:r>
    </w:p>
    <w:p>
      <w:pPr>
        <w:ind w:left="288"/>
      </w:pPr>
      <w:r>
        <w:rPr>
          <w:b/>
          <w:color w:val="003CA0"/>
          <w:sz w:val="16"/>
        </w:rPr>
        <w:t>[Pet 3.388, rel. min. Ayres Britto, j. 19-3-2009, P, DJE de 1º-7-2010.]</w:t>
      </w:r>
    </w:p>
    <w:p>
      <w:pPr>
        <w:ind w:left="288"/>
      </w:pPr>
      <w:r>
        <w:rPr>
          <w:color w:val="8C8C8C"/>
          <w:sz w:val="12"/>
        </w:rPr>
        <w:t>cf-art-20-inc-XI</w:t>
      </w:r>
      <w:r>
        <w:rPr>
          <w:color w:val="003CA0"/>
          <w:sz w:val="12"/>
        </w:rPr>
        <w:t xml:space="preserve"> | RE 183.188</w:t>
      </w:r>
      <w:r>
        <w:rPr>
          <w:color w:val="003CA0"/>
          <w:sz w:val="12"/>
        </w:rPr>
        <w:t xml:space="preserve"> | rel. Celso de Mello</w:t>
      </w:r>
    </w:p>
    <w:p>
      <w:pPr>
        <w:ind w:left="288"/>
      </w:pPr>
      <w:r>
        <w:rPr>
          <w:color w:val="1E1E1E"/>
          <w:sz w:val="18"/>
        </w:rPr>
        <w:t>A importância jurídica da demarcação administrativa homologada pelo presidente da República – ato estatal que se reveste de presunção juris tantum de legitimidade e de veracidade – reside na circunstância de que as terras tradicionalmente ocupadas pelos índios, embora pertencentes ao patrimônio da União (CF, art. 20, XI), acham-se afetadas, por efeito de destinação constitucional, a fins específicos voltados, unicamente, à proteção jurídica, social, antropológica, econômica e cultural dos índios, dos grupos indígenas e das comunidades tribais.</w:t>
      </w:r>
    </w:p>
    <w:p>
      <w:pPr>
        <w:ind w:left="288"/>
      </w:pPr>
      <w:r>
        <w:rPr>
          <w:b/>
          <w:color w:val="003CA0"/>
          <w:sz w:val="16"/>
        </w:rPr>
        <w:t>[RE 183.188, rel. min. Celso de Mello, j. 10-12-1996, 1ª T, DJ de 14-2-1997.]</w:t>
      </w:r>
    </w:p>
    <w:p>
      <w:pPr>
        <w:ind w:left="288"/>
      </w:pPr>
      <w:r>
        <w:rPr>
          <w:color w:val="8C8C8C"/>
          <w:sz w:val="12"/>
        </w:rPr>
        <w:t>cf-art-20-inc-XI</w:t>
      </w:r>
      <w:r>
        <w:rPr>
          <w:color w:val="003CA0"/>
          <w:sz w:val="12"/>
        </w:rPr>
        <w:t xml:space="preserve"> | PET 3.388</w:t>
      </w:r>
      <w:r>
        <w:rPr>
          <w:color w:val="003CA0"/>
          <w:sz w:val="12"/>
        </w:rPr>
        <w:t xml:space="preserve"> | rel. Ayres Britto</w:t>
      </w:r>
    </w:p>
    <w:p>
      <w:pPr>
        <w:ind w:left="288"/>
      </w:pPr>
      <w:r>
        <w:rPr>
          <w:color w:val="1E1E1E"/>
          <w:sz w:val="18"/>
        </w:rPr>
        <w:t>= Pet 3.388, rel. min. Ayres Britto, j. 19-3-2009, P, DJE de 1º-7-2010 § 1º É assegurada, nos termos da lei, à União, aos Estados, ao Distrito Federal e aos Municípios a participação no resultado da exploração de petróleo ou gás natural, de recursos hídricos para fins de geração de energia elétrica e de outros recursos minerais no respectivo território, plataforma continental, mar territorial ou zona econômica exclusiva, ou compensação financeira por essa exploração. (Redação da EC n. 102/2019)</w:t>
      </w:r>
    </w:p>
    <w:p>
      <w:pPr>
        <w:ind w:left="144"/>
      </w:pPr>
      <w:r>
        <w:rPr>
          <w:b/>
          <w:color w:val="B45A00"/>
          <w:sz w:val="16"/>
        </w:rPr>
        <w:t>CONTROLE CONCENTRADO</w:t>
      </w:r>
    </w:p>
    <w:p>
      <w:pPr>
        <w:ind w:left="288"/>
      </w:pPr>
      <w:r>
        <w:rPr>
          <w:color w:val="8C8C8C"/>
          <w:sz w:val="12"/>
        </w:rPr>
        <w:t>cf-art-20-inc-XI</w:t>
      </w:r>
      <w:r>
        <w:rPr>
          <w:color w:val="003CA0"/>
          <w:sz w:val="12"/>
        </w:rPr>
        <w:t xml:space="preserve"> | ADI 4.846</w:t>
      </w:r>
      <w:r>
        <w:rPr>
          <w:color w:val="003CA0"/>
          <w:sz w:val="12"/>
        </w:rPr>
        <w:t xml:space="preserve"> | rel. Edson Fachin</w:t>
      </w:r>
    </w:p>
    <w:p>
      <w:pPr>
        <w:ind w:left="288"/>
      </w:pPr>
      <w:r>
        <w:rPr>
          <w:color w:val="1E1E1E"/>
          <w:sz w:val="18"/>
        </w:rPr>
        <w:t>Os royalties são receitas originárias da União, tendo em vista a propriedade federal dos recursos minerais, e obrigatoriamente transferidas aos Estados e Municípios. (...) É constitucional a imposição legal de repasse de parcela das receitas transferidas aos Estados para os municípios integrantes da territorialidade do ente maior.</w:t>
      </w:r>
    </w:p>
    <w:p>
      <w:pPr>
        <w:ind w:left="288"/>
      </w:pPr>
      <w:r>
        <w:rPr>
          <w:b/>
          <w:color w:val="003CA0"/>
          <w:sz w:val="16"/>
        </w:rPr>
        <w:t>[ADI 4.846, rel. min. Edson Fachin, j. 9-10-2019, P, DJE de 18-2-2020.]</w:t>
      </w:r>
    </w:p>
    <w:p>
      <w:pPr>
        <w:ind w:left="288"/>
      </w:pPr>
      <w:r>
        <w:rPr>
          <w:color w:val="8C8C8C"/>
          <w:sz w:val="12"/>
        </w:rPr>
        <w:t>cf-art-20-inc-XI</w:t>
      </w:r>
      <w:r>
        <w:rPr>
          <w:color w:val="003CA0"/>
          <w:sz w:val="12"/>
        </w:rPr>
        <w:t xml:space="preserve"> | ADI 4.606</w:t>
      </w:r>
      <w:r>
        <w:rPr>
          <w:color w:val="003CA0"/>
          <w:sz w:val="12"/>
        </w:rPr>
        <w:t xml:space="preserve"> | rel. Alexandre de Moraes</w:t>
      </w:r>
    </w:p>
    <w:p>
      <w:pPr>
        <w:ind w:left="288"/>
      </w:pPr>
      <w:r>
        <w:rPr>
          <w:color w:val="1E1E1E"/>
          <w:sz w:val="18"/>
        </w:rPr>
        <w:t>Segundo jurisprudência assentada nesta CORTE, as rendas obtidas nos termos do art. 20, § 1º, da CF constituem receita patrimonial originária, cuja titularidade – que não se confunde com a dos recursos naturais objetos de exploração – pertence a cada um dos entes federados afetados pela atividade econômica. Embora sejam receitas originárias de Estados e Municípios, as suas condições de recolhimento e repartição são definidas por regramento da União, que tem dupla autoridade normativa na matéria, já que cabe a ela definir as condições (legislativas) gerais de exploração de potenciais de recursos</w:t>
      </w:r>
    </w:p>
    <w:p>
      <w:pPr>
        <w:ind w:left="288"/>
      </w:pPr>
      <w:r>
        <w:rPr>
          <w:b/>
          <w:color w:val="003CA0"/>
          <w:sz w:val="16"/>
        </w:rPr>
        <w:t>[ADI 4.606, rel. min. Alexandre de Moraes, j. 28-2-2019, P, DJE de 6-5-2019.]</w:t>
      </w:r>
    </w:p>
    <w:p>
      <w:pPr>
        <w:ind w:left="288"/>
      </w:pPr>
      <w:r>
        <w:rPr>
          <w:color w:val="8C8C8C"/>
          <w:sz w:val="12"/>
        </w:rPr>
        <w:t>cf-art-20-inc-XI</w:t>
      </w:r>
      <w:r>
        <w:rPr>
          <w:color w:val="003CA0"/>
          <w:sz w:val="12"/>
        </w:rPr>
        <w:t xml:space="preserve"> | RE 1.493.456</w:t>
      </w:r>
      <w:r>
        <w:rPr>
          <w:color w:val="003CA0"/>
          <w:sz w:val="12"/>
        </w:rPr>
        <w:t xml:space="preserve"> | rel. Flávio Dino</w:t>
      </w:r>
    </w:p>
    <w:p>
      <w:pPr>
        <w:ind w:left="288"/>
      </w:pPr>
      <w:r>
        <w:rPr>
          <w:color w:val="1E1E1E"/>
          <w:sz w:val="18"/>
        </w:rPr>
        <w:t>(...) a medida cautelar deferida na ADI nº 4.917/DF nada dispôs sobre os dispositivos que incluíram os pontos de entrega (city gates) e as Unidades de Processamento de Gás Natural (UPGN) como fatos geradores de royalties, por equipará-los a instalações de embarque e desembarque. Portanto, a suspensão de eficácia dos dispositivos da Lei nº 9.478/1997, com as alterações promovidas pela Lei nº 12.734/2012, não abrangeu aqueles que não foram impugnados e que tratam da inclusão de pontos de entrega e UPGNs como bases para o pagamento de royalties. A leitura do art. 20, § 1º, da Constituição Federal</w:t>
      </w:r>
    </w:p>
    <w:p>
      <w:pPr>
        <w:ind w:left="288"/>
      </w:pPr>
      <w:r>
        <w:rPr>
          <w:b/>
          <w:color w:val="003CA0"/>
          <w:sz w:val="16"/>
        </w:rPr>
        <w:t>[RE 1.493.456 AgR, rel. min. Flávio Dino, j. 13.10.2025, 1ª T, DJE de 21.10.2025.]</w:t>
      </w:r>
    </w:p>
    <w:p>
      <w:pPr>
        <w:ind w:left="288"/>
      </w:pPr>
      <w:r>
        <w:rPr>
          <w:color w:val="8C8C8C"/>
          <w:sz w:val="12"/>
        </w:rPr>
        <w:t>cf-art-20-inc-XI</w:t>
      </w:r>
      <w:r>
        <w:rPr>
          <w:color w:val="003CA0"/>
          <w:sz w:val="12"/>
        </w:rPr>
        <w:t xml:space="preserve"> | RE 1.277.129</w:t>
      </w:r>
      <w:r>
        <w:rPr>
          <w:color w:val="003CA0"/>
          <w:sz w:val="12"/>
        </w:rPr>
        <w:t xml:space="preserve"> | rel. Luiz Fux</w:t>
      </w:r>
    </w:p>
    <w:p>
      <w:pPr>
        <w:ind w:left="288"/>
      </w:pPr>
      <w:r>
        <w:rPr>
          <w:color w:val="1E1E1E"/>
          <w:sz w:val="18"/>
        </w:rPr>
        <w:t xml:space="preserve">A leitura do art. 20, § 1º, da Constituição Federal deve ser teleológica e sistemática, não se limitando apenas aos entes federativos onde há lavra ou impacto direto e visível. A Constituição assegura a participação nos resultados da exploração ou “compensação financeira por essa exploração”. A exploração de petróleo e gás natural é uma atividade complexa, com múltiplas etapas e impactos que se estendem para além dos locais de extração e das instalações imediatamente adjacentes. A distribuição dessas receitas se submete a um regime constitucional especial, em que a União, por ter um interesse </w:t>
      </w:r>
    </w:p>
    <w:p>
      <w:pPr>
        <w:ind w:left="288"/>
      </w:pPr>
      <w:r>
        <w:rPr>
          <w:b/>
          <w:color w:val="003CA0"/>
          <w:sz w:val="16"/>
        </w:rPr>
        <w:t>[RE 1.277.129 AgR, rel. min. Luiz Fux, red. do ac. min. Flávio Dino, j. 12.08.2025, 1ª T, DJE de 26.08.2025.]</w:t>
      </w:r>
    </w:p>
    <w:p>
      <w:pPr>
        <w:ind w:left="144"/>
      </w:pPr>
      <w:r>
        <w:rPr>
          <w:b/>
          <w:color w:val="B45A00"/>
          <w:sz w:val="16"/>
        </w:rPr>
        <w:t>JULGADOS CORRELATOS</w:t>
      </w:r>
    </w:p>
    <w:p>
      <w:pPr>
        <w:ind w:left="288"/>
      </w:pPr>
      <w:r>
        <w:rPr>
          <w:color w:val="8C8C8C"/>
          <w:sz w:val="12"/>
        </w:rPr>
        <w:t>cf-art-20-inc-XI</w:t>
      </w:r>
      <w:r>
        <w:rPr>
          <w:color w:val="003CA0"/>
          <w:sz w:val="12"/>
        </w:rPr>
        <w:t xml:space="preserve"> | ACO 2.178</w:t>
      </w:r>
      <w:r>
        <w:rPr>
          <w:color w:val="003CA0"/>
          <w:sz w:val="12"/>
        </w:rPr>
        <w:t xml:space="preserve"> | rel. Roberto Barroso</w:t>
      </w:r>
    </w:p>
    <w:p>
      <w:pPr>
        <w:ind w:left="288"/>
      </w:pPr>
      <w:r>
        <w:rPr>
          <w:color w:val="1E1E1E"/>
          <w:sz w:val="18"/>
        </w:rPr>
        <w:t>Ação cível originária proposta pelo Estado do Espírito Santo contra a União, alegando desequilíbrio econômico-financeiro em contrato de cessão de royalties de petróleo e gás natural, em razão de erro na fórmula de cálculo estabelecida em aditivo contratual e aumento exponencial do preço do óleo. É incontroverso que o preço do petróleo disparou, gerando ganho extraordinário para a União, que recebeu valor expressivamente superior ao que entregou ao Espírito Santo. Em fase de conciliação, recusou-se a União a compartilhar com o Estado a vantagem desproporcional obtida. As relações entre entes da</w:t>
      </w:r>
    </w:p>
    <w:p>
      <w:pPr>
        <w:ind w:left="288"/>
      </w:pPr>
      <w:r>
        <w:rPr>
          <w:b/>
          <w:color w:val="003CA0"/>
          <w:sz w:val="16"/>
        </w:rPr>
        <w:t>[RE 253.906, rel. min. Ellen Gracie, j. 23-9-2004, P, DJ de 18-2-2005.]</w:t>
      </w:r>
    </w:p>
    <w:p>
      <w:pPr>
        <w:ind w:left="288"/>
      </w:pPr>
      <w:r>
        <w:rPr>
          <w:color w:val="8C8C8C"/>
          <w:sz w:val="12"/>
        </w:rPr>
        <w:t>cf-art-20-inc-XI</w:t>
      </w:r>
      <w:r>
        <w:rPr>
          <w:color w:val="003CA0"/>
          <w:sz w:val="12"/>
        </w:rPr>
        <w:t xml:space="preserve"> | MS 24.312</w:t>
      </w:r>
      <w:r>
        <w:rPr>
          <w:color w:val="003CA0"/>
          <w:sz w:val="12"/>
        </w:rPr>
        <w:t xml:space="preserve"> | rel. Ellen Gracie</w:t>
      </w:r>
    </w:p>
    <w:p>
      <w:pPr>
        <w:ind w:left="288"/>
      </w:pPr>
      <w:r>
        <w:rPr>
          <w:color w:val="1E1E1E"/>
          <w:sz w:val="18"/>
        </w:rPr>
        <w:t>Embora os recursos naturais da plataforma continental e os recursos minerais sejam bens da União (CF, art. 20, V e IX), a participação ou compensação aos Estados, Distrito Federal e Municípios no resultado da exploração de petróleo, xisto betuminoso e gás natural são receitas originárias desses últimos entes federativos (CF, art. 20, § 1º). É inaplicável, ao caso, o disposto no art. 71, VI, da Carta Magna, que se refere, especificamente, ao repasse efetuado pela União – mediante convênio, acordo ou ajuste – de recursos originariamente federais.</w:t>
      </w:r>
    </w:p>
    <w:p>
      <w:pPr>
        <w:ind w:left="288"/>
      </w:pPr>
      <w:r>
        <w:rPr>
          <w:b/>
          <w:color w:val="003CA0"/>
          <w:sz w:val="16"/>
        </w:rPr>
        <w:t>[MS 24.312, rel. min. Ellen Gracie, j. 19-2-2003, P, DJ de 19-12-2003.]</w:t>
      </w:r>
    </w:p>
    <w:p>
      <w:pPr>
        <w:ind w:left="288"/>
      </w:pPr>
      <w:r>
        <w:rPr>
          <w:color w:val="8C8C8C"/>
          <w:sz w:val="12"/>
        </w:rPr>
        <w:t>cf-art-20-inc-XI</w:t>
      </w:r>
      <w:r>
        <w:rPr>
          <w:color w:val="003CA0"/>
          <w:sz w:val="12"/>
        </w:rPr>
        <w:t xml:space="preserve"> | RE 228.800</w:t>
      </w:r>
      <w:r>
        <w:rPr>
          <w:color w:val="003CA0"/>
          <w:sz w:val="12"/>
        </w:rPr>
        <w:t xml:space="preserve"> | rel. Sepúlveda Pertence</w:t>
      </w:r>
    </w:p>
    <w:p>
      <w:pPr>
        <w:ind w:left="288"/>
      </w:pPr>
      <w:r>
        <w:rPr>
          <w:color w:val="1E1E1E"/>
          <w:sz w:val="18"/>
        </w:rPr>
        <w:t>Bem da União: (recursos minerais e potenciais hídricos de energia elétrica): participação dos entes federados no produto ou compensação financeira por sua exploração (CF, art. 20, e § 1º): natureza jurídica: constitucionalidade da legislação de regência (Lei 7.990/1989, arts. 1º e 6º, e Lei 8.001/1990). O tratar-se de prestação pecuniária compulsória instituída por lei não faz necessariamente um tributo da participação nos resultados ou da compensação financeira previstas no art. 20, § 1º, CF, que configuram receita patrimonial. A obrigação instituída na Lei 7.990/1989, sob o título de "Compen</w:t>
      </w:r>
    </w:p>
    <w:p>
      <w:pPr>
        <w:ind w:left="288"/>
      </w:pPr>
      <w:r>
        <w:rPr>
          <w:b/>
          <w:color w:val="003CA0"/>
          <w:sz w:val="16"/>
        </w:rPr>
        <w:t>[RE 228.800, rel. min. Sepúlveda Pertence, j. 25-9-2001, 1ª T, DJ de 16-11-2001.]</w:t>
      </w:r>
    </w:p>
    <w:p>
      <w:pPr>
        <w:ind w:left="288"/>
      </w:pPr>
      <w:r>
        <w:rPr>
          <w:color w:val="8C8C8C"/>
          <w:sz w:val="12"/>
        </w:rPr>
        <w:t>cf-art-20-inc-XI</w:t>
      </w:r>
      <w:r>
        <w:rPr>
          <w:color w:val="003CA0"/>
          <w:sz w:val="12"/>
        </w:rPr>
        <w:t xml:space="preserve"> | AI 708.398</w:t>
      </w:r>
      <w:r>
        <w:rPr>
          <w:color w:val="003CA0"/>
          <w:sz w:val="12"/>
        </w:rPr>
        <w:t xml:space="preserve"> | rel. Cármen Lúcia</w:t>
      </w:r>
    </w:p>
    <w:p>
      <w:pPr>
        <w:ind w:left="288"/>
      </w:pPr>
      <w:r>
        <w:rPr>
          <w:color w:val="1E1E1E"/>
          <w:sz w:val="18"/>
        </w:rPr>
        <w:t>= AI 708.398 AgR, rel. min. Cármen Lúcia, j. 8-2-2011, 1ª T, DJE de 1º-3-2011</w:t>
      </w:r>
    </w:p>
    <w:p>
      <w:pPr>
        <w:ind w:left="288"/>
      </w:pPr>
      <w:r>
        <w:rPr>
          <w:color w:val="8C8C8C"/>
          <w:sz w:val="12"/>
        </w:rPr>
        <w:t>cf-art-20-par-2</w:t>
      </w:r>
      <w:r>
        <w:rPr>
          <w:color w:val="003CA0"/>
          <w:sz w:val="12"/>
        </w:rPr>
        <w:t xml:space="preserve"> | AI 400.975</w:t>
      </w:r>
      <w:r>
        <w:rPr>
          <w:color w:val="003CA0"/>
          <w:sz w:val="12"/>
        </w:rPr>
        <w:t xml:space="preserve"> | rel. Moreira Alves</w:t>
      </w:r>
    </w:p>
    <w:p>
      <w:pPr>
        <w:ind w:left="288"/>
      </w:pPr>
      <w:r>
        <w:rPr>
          <w:color w:val="1E1E1E"/>
          <w:sz w:val="18"/>
        </w:rPr>
        <w:t>(...) ainda quando se pretendesse que "zona de fronteira" tem que ter necessariamente o mesmo sentido de "faixa de fronteira" que o art. 20, § 2º, da Constituição considera fundamental para a defesa do território nacional, devendo sua ocupação e utilização ser reguladas em lei, é evidente que a lei poderá dar tratamento diferenciado a áreas situadas nesta "faixa de fronteira" em razão até da avaliação da necessidade de povoamento, para fins de defesa nacional, em umas e não em outras a justificar, ou não, a concessão de benefícios para a sua ocupação e utilização, ocupação e utilização essas q</w:t>
      </w:r>
    </w:p>
    <w:p>
      <w:pPr>
        <w:ind w:left="288"/>
      </w:pPr>
      <w:r>
        <w:rPr>
          <w:b/>
          <w:color w:val="003CA0"/>
          <w:sz w:val="16"/>
        </w:rPr>
        <w:t>[AI 400.975 AgR, rel. min. Moreira Alves, j. 25-3-2003, 1ª T, DJ de 25-4-2003.]</w:t>
      </w:r>
    </w:p>
    <w:p>
      <w:r>
        <w:rPr>
          <w:b/>
          <w:color w:val="003366"/>
          <w:sz w:val="20"/>
        </w:rPr>
        <w:t>Art. 21 Os juízes togados de investidura limitada no tempo, admitidos mediante c</w:t>
      </w:r>
      <w:r>
        <w:rPr>
          <w:color w:val="8C8C8C"/>
          <w:sz w:val="14"/>
        </w:rPr>
        <w:t xml:space="preserve">  [67 decisoes]</w:t>
      </w:r>
    </w:p>
    <w:p>
      <w:pPr>
        <w:ind w:left="144"/>
      </w:pPr>
      <w:r>
        <w:rPr>
          <w:b/>
          <w:color w:val="B45A00"/>
          <w:sz w:val="16"/>
        </w:rPr>
        <w:t>CONTROLE CONCENTRADO</w:t>
      </w:r>
    </w:p>
    <w:p>
      <w:pPr>
        <w:ind w:left="288"/>
      </w:pPr>
      <w:r>
        <w:rPr>
          <w:color w:val="8C8C8C"/>
          <w:sz w:val="12"/>
        </w:rPr>
        <w:t>cf-art-21-inc-VI</w:t>
      </w:r>
      <w:r>
        <w:rPr>
          <w:color w:val="003CA0"/>
          <w:sz w:val="12"/>
        </w:rPr>
        <w:t xml:space="preserve"> | ADPF 1.136</w:t>
      </w:r>
      <w:r>
        <w:rPr>
          <w:color w:val="003CA0"/>
          <w:sz w:val="12"/>
        </w:rPr>
        <w:t xml:space="preserve"> | rel. Alexandre de Moraes</w:t>
      </w:r>
    </w:p>
    <w:p>
      <w:pPr>
        <w:ind w:left="288"/>
      </w:pPr>
      <w:r>
        <w:rPr>
          <w:color w:val="1E1E1E"/>
          <w:sz w:val="18"/>
        </w:rPr>
        <w:t>Legislação local que estabelece horário de funcionamento e instalação de clube de tiro extrapola a competência da União para disciplinar sobre autorização e fiscalização de produção e comércio de material bélico (art. 21, VI).</w:t>
        <w:br/>
        <w:t>[ADPF 1.136, rel. min. Alexandre de Moraes, j. 19.08.2024, P, DJE de 27.08.2024.] Lei estadual que conceda o porte de arma de fogo institucional a que tem direito o servidor agente penitenciário estadual a outras categorias da estrutura organizacional da Polícia Penal é formalmente inconstitucional, violando a competência atribuída à União.</w:t>
        <w:br/>
        <w:t>[ADI 7.450, rel. min. Cristian</w:t>
      </w:r>
    </w:p>
    <w:p>
      <w:pPr>
        <w:ind w:left="288"/>
      </w:pPr>
      <w:r>
        <w:rPr>
          <w:b/>
          <w:color w:val="003CA0"/>
          <w:sz w:val="16"/>
        </w:rPr>
        <w:t>[ADI 3.258, rel. min. Joaquim Barbosa, j. 6-4-2005, P, DJ de 9-9-2005.]</w:t>
      </w:r>
    </w:p>
    <w:p>
      <w:pPr>
        <w:ind w:left="288"/>
      </w:pPr>
      <w:r>
        <w:rPr>
          <w:color w:val="8C8C8C"/>
          <w:sz w:val="12"/>
        </w:rPr>
        <w:t>cf-art-21-inc-VI</w:t>
      </w:r>
      <w:r>
        <w:rPr>
          <w:color w:val="003CA0"/>
          <w:sz w:val="12"/>
        </w:rPr>
        <w:t xml:space="preserve"> | ADI 3.193</w:t>
      </w:r>
      <w:r>
        <w:rPr>
          <w:color w:val="003CA0"/>
          <w:sz w:val="12"/>
        </w:rPr>
        <w:t xml:space="preserve"> | rel. Marco Aurélio</w:t>
      </w:r>
    </w:p>
    <w:p>
      <w:pPr>
        <w:ind w:left="288"/>
      </w:pPr>
      <w:r>
        <w:rPr>
          <w:color w:val="1E1E1E"/>
          <w:sz w:val="18"/>
        </w:rPr>
        <w:t>= ADI 3.193, rel. min. Marco Aurélio, j. 9-5-2013, P, DJE de 6-8-2013</w:t>
      </w:r>
    </w:p>
    <w:p>
      <w:pPr>
        <w:ind w:left="288"/>
      </w:pPr>
      <w:r>
        <w:rPr>
          <w:color w:val="8C8C8C"/>
          <w:sz w:val="12"/>
        </w:rPr>
        <w:t>cf-art-21-inc-VII</w:t>
      </w:r>
      <w:r>
        <w:rPr>
          <w:color w:val="003CA0"/>
          <w:sz w:val="12"/>
        </w:rPr>
        <w:t xml:space="preserve"> | ADI 6.936</w:t>
      </w:r>
      <w:r>
        <w:rPr>
          <w:color w:val="003CA0"/>
          <w:sz w:val="12"/>
        </w:rPr>
        <w:t xml:space="preserve"> | rel. Dias Toffoli</w:t>
      </w:r>
    </w:p>
    <w:p>
      <w:pPr>
        <w:ind w:left="288"/>
      </w:pPr>
      <w:r>
        <w:rPr>
          <w:color w:val="1E1E1E"/>
          <w:sz w:val="18"/>
        </w:rPr>
        <w:t>A Constituição Federal atribuiu à União a competência material para emissão de moedas, ficando a cargo do Banco Central do Brasil a competência exclusiva para essa atividade, na forma dos arts. 21, VII e 164 do Texto Constitucional. A competência constitucional para emissão de moeda, todavia, não se confunde com a atividade material de confecção ou fabricação de papel-moeda e moeda metálica. A Constituição não atribuiu à Casa da Moeda do Brasil a exclusividade dessa última função, que decorre, na verdade, de dispositivo contido na Lei Federal n. 5.895/1973. Tratando-se de exclusividade que der</w:t>
      </w:r>
    </w:p>
    <w:p>
      <w:pPr>
        <w:ind w:left="144"/>
      </w:pPr>
      <w:r>
        <w:rPr>
          <w:b/>
          <w:color w:val="B45A00"/>
          <w:sz w:val="16"/>
        </w:rPr>
        <w:t>JULGADOS CORRELATOS</w:t>
      </w:r>
    </w:p>
    <w:p>
      <w:pPr>
        <w:ind w:left="288"/>
      </w:pPr>
      <w:r>
        <w:rPr>
          <w:color w:val="8C8C8C"/>
          <w:sz w:val="12"/>
        </w:rPr>
        <w:t>cf-art-21-inc-VII</w:t>
      </w:r>
      <w:r>
        <w:rPr>
          <w:color w:val="003CA0"/>
          <w:sz w:val="12"/>
        </w:rPr>
        <w:t xml:space="preserve"> | RE 610.517</w:t>
      </w:r>
      <w:r>
        <w:rPr>
          <w:color w:val="003CA0"/>
          <w:sz w:val="12"/>
        </w:rPr>
        <w:t xml:space="preserve"> | rel. Celso de Mello</w:t>
      </w:r>
    </w:p>
    <w:p>
      <w:pPr>
        <w:ind w:left="288"/>
      </w:pPr>
      <w:r>
        <w:rPr>
          <w:color w:val="1E1E1E"/>
          <w:sz w:val="18"/>
        </w:rPr>
        <w:t>Casa da Moeda do Brasil (CMB). Empresa governamental delegatária de serviços públicos. Emissão de papel moeda, cunhagem de moeda metálica, fabricação de fichas telefônicas e impressão de selos postais. Regime constitucional de monopólio (CF, art. 21, VII). Outorga de delegação à CMB, mediante lei, que não descaracteriza a estatalidade do serviço público, notadamente quando constitucionalmente monopolizado pela pessoa política (a União Federal, no caso) que é dele titular. A delegação da execução de serviço público, mediante outorga legal, não implica alteração do regime jurídico de direito púb</w:t>
      </w:r>
    </w:p>
    <w:p>
      <w:pPr>
        <w:ind w:left="288"/>
      </w:pPr>
      <w:r>
        <w:rPr>
          <w:b/>
          <w:color w:val="003CA0"/>
          <w:sz w:val="16"/>
        </w:rPr>
        <w:t>[RE 610.517 AgR, rel. min. Celso de Mello, j. 3-6-2014, 2ª T, DJE de 23-6-2014.]</w:t>
      </w:r>
    </w:p>
    <w:p>
      <w:pPr>
        <w:ind w:left="144"/>
      </w:pPr>
      <w:r>
        <w:rPr>
          <w:b/>
          <w:color w:val="B45A00"/>
          <w:sz w:val="16"/>
        </w:rPr>
        <w:t>CONTROLE CONCENTRADO</w:t>
      </w:r>
    </w:p>
    <w:p>
      <w:pPr>
        <w:ind w:left="288"/>
      </w:pPr>
      <w:r>
        <w:rPr>
          <w:color w:val="8C8C8C"/>
          <w:sz w:val="12"/>
        </w:rPr>
        <w:t>cf-art-21-inc-VIII</w:t>
      </w:r>
      <w:r>
        <w:rPr>
          <w:color w:val="003CA0"/>
          <w:sz w:val="12"/>
        </w:rPr>
        <w:t xml:space="preserve"> | ADI 5.392</w:t>
      </w:r>
      <w:r>
        <w:rPr>
          <w:color w:val="003CA0"/>
          <w:sz w:val="12"/>
        </w:rPr>
        <w:t xml:space="preserve"> | rel. Rosa Weber</w:t>
      </w:r>
    </w:p>
    <w:p>
      <w:pPr>
        <w:ind w:left="288"/>
      </w:pPr>
      <w:r>
        <w:rPr>
          <w:color w:val="1E1E1E"/>
          <w:sz w:val="18"/>
        </w:rPr>
        <w:t xml:space="preserve">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Veiculação de normas que caracterizam a usurpação da competência da União para legislar sobre: (i) o Sistema </w:t>
      </w:r>
    </w:p>
    <w:p>
      <w:pPr>
        <w:ind w:left="288"/>
      </w:pPr>
      <w:r>
        <w:rPr>
          <w:b/>
          <w:color w:val="003CA0"/>
          <w:sz w:val="16"/>
        </w:rPr>
        <w:t>[ADI 5.392, rel. min. Rosa Weber, j. 16-9-2020, P, DJE de 5-10-2020.]</w:t>
      </w:r>
    </w:p>
    <w:p>
      <w:pPr>
        <w:ind w:left="288"/>
      </w:pPr>
      <w:r>
        <w:rPr>
          <w:color w:val="8C8C8C"/>
          <w:sz w:val="12"/>
        </w:rPr>
        <w:t>cf-art-21-inc-VIII</w:t>
      </w:r>
      <w:r>
        <w:rPr>
          <w:color w:val="003CA0"/>
          <w:sz w:val="12"/>
        </w:rPr>
        <w:t xml:space="preserve"> | ADI 1.357</w:t>
      </w:r>
      <w:r>
        <w:rPr>
          <w:color w:val="003CA0"/>
          <w:sz w:val="12"/>
        </w:rPr>
        <w:t xml:space="preserve"> | rel. Roberto Barroso</w:t>
      </w:r>
    </w:p>
    <w:p>
      <w:pPr>
        <w:ind w:left="288"/>
      </w:pPr>
      <w:r>
        <w:rPr>
          <w:color w:val="1E1E1E"/>
          <w:sz w:val="18"/>
        </w:rPr>
        <w:t>A Lei distrital 919/1995 tratou de operação de crédito de instituição financeira pública, matéria de competência privativa da União, nos termos dos arts. 21, VIII, e 22, VII, da Constituição. A relevância das atividades desempenhadas pelas instituições financeiras, sejam públicas ou privadas, demanda a existência de uma coordenação centralizada das políticas de crédito e de regulação das operações de financiamento, impedindo os Estados de legislarem livremente acerca das modalidades de crédito praticadas pelos seus bancos públicos.</w:t>
      </w:r>
    </w:p>
    <w:p>
      <w:pPr>
        <w:ind w:left="288"/>
      </w:pPr>
      <w:r>
        <w:rPr>
          <w:b/>
          <w:color w:val="003CA0"/>
          <w:sz w:val="16"/>
        </w:rPr>
        <w:t>[ADI 1.357, rel. min. Roberto Barroso, j. 25-11-2015, P, DJE de 1º-2-2016.]</w:t>
      </w:r>
    </w:p>
    <w:p>
      <w:pPr>
        <w:ind w:left="288"/>
      </w:pPr>
      <w:r>
        <w:rPr>
          <w:color w:val="8C8C8C"/>
          <w:sz w:val="12"/>
        </w:rPr>
        <w:t>cf-art-21-inc-VIII</w:t>
      </w:r>
      <w:r>
        <w:rPr>
          <w:color w:val="003CA0"/>
          <w:sz w:val="12"/>
        </w:rPr>
        <w:t xml:space="preserve"> | ADI 4.701</w:t>
      </w:r>
      <w:r>
        <w:rPr>
          <w:color w:val="003CA0"/>
          <w:sz w:val="12"/>
        </w:rPr>
        <w:t xml:space="preserve"> | rel. Roberto Barroso</w:t>
      </w:r>
    </w:p>
    <w:p>
      <w:pPr>
        <w:ind w:left="288"/>
      </w:pPr>
      <w:r>
        <w:rPr>
          <w:color w:val="1E1E1E"/>
          <w:sz w:val="18"/>
        </w:rPr>
        <w:t>Ação direta de inconstitucionalidade. Lei estadual que fixa prazos máximos, segundo a faixa etária dos usuários, para a autorização de exames pelas operadoras de plano de saúde. (...) Os arts. 22, VII; e 21, VIII, da CF atribuem à União competência para legislar sobre seguros e fiscalizar as operações relacionadas a essa matéria. Tais previsões alcançam os planos de saúde, tendo em vista a sua íntima afinidade com a lógica dos contratos de seguro, notadamente por conta do componente atuarial.</w:t>
      </w:r>
    </w:p>
    <w:p>
      <w:pPr>
        <w:ind w:left="288"/>
      </w:pPr>
      <w:r>
        <w:rPr>
          <w:b/>
          <w:color w:val="003CA0"/>
          <w:sz w:val="16"/>
        </w:rPr>
        <w:t>[ADI 4.701, rel. min. Roberto Barroso, j. 13-8-2014, P, DJE de 25-8-2014.]</w:t>
      </w:r>
    </w:p>
    <w:p>
      <w:pPr>
        <w:ind w:left="288"/>
      </w:pPr>
      <w:r>
        <w:rPr>
          <w:color w:val="8C8C8C"/>
          <w:sz w:val="12"/>
        </w:rPr>
        <w:t>cf-art-21-inc-VIII</w:t>
      </w:r>
      <w:r>
        <w:rPr>
          <w:color w:val="003CA0"/>
          <w:sz w:val="12"/>
        </w:rPr>
        <w:t xml:space="preserve"> | ADI 3.515</w:t>
      </w:r>
      <w:r>
        <w:rPr>
          <w:color w:val="003CA0"/>
          <w:sz w:val="12"/>
        </w:rPr>
        <w:t xml:space="preserve"> | rel. Cezar Peluso</w:t>
      </w:r>
    </w:p>
    <w:p>
      <w:pPr>
        <w:ind w:left="288"/>
      </w:pPr>
      <w:r>
        <w:rPr>
          <w:color w:val="1E1E1E"/>
          <w:sz w:val="18"/>
        </w:rPr>
        <w:t>Lei 12.775/2003 do Estado de Santa Catarina. Competência legislativa. Sistema financeiro nacional. Banco. Agência bancária. Adoção de equipamento que, embora indicado pelo Banco Central, ateste autenticidade das cédulas de dinheiro nas transações bancárias. Previsão de obrigatoriedade. Inadmissibilidade. Regras de fiscalização de operações financeiras e de autenticidade do ativo circulante. Competências exclusivas da União. Ofensa aos arts. 21, VIII, e 192 da CF.</w:t>
      </w:r>
    </w:p>
    <w:p>
      <w:pPr>
        <w:ind w:left="288"/>
      </w:pPr>
      <w:r>
        <w:rPr>
          <w:b/>
          <w:color w:val="003CA0"/>
          <w:sz w:val="16"/>
        </w:rPr>
        <w:t>[ADI 3.515, rel. min. Cezar Peluso, j. 1º-8-2011, P, DJE de 29-9-2011.]</w:t>
      </w:r>
    </w:p>
    <w:p>
      <w:pPr>
        <w:ind w:left="144"/>
      </w:pPr>
      <w:r>
        <w:rPr>
          <w:b/>
          <w:color w:val="B45A00"/>
          <w:sz w:val="16"/>
        </w:rPr>
        <w:t>JULGADOS CORRELATOS</w:t>
      </w:r>
    </w:p>
    <w:p>
      <w:pPr>
        <w:ind w:left="288"/>
      </w:pPr>
      <w:r>
        <w:rPr>
          <w:color w:val="8C8C8C"/>
          <w:sz w:val="12"/>
        </w:rPr>
        <w:t>cf-art-21-inc-IX</w:t>
      </w:r>
      <w:r>
        <w:rPr>
          <w:color w:val="003CA0"/>
          <w:sz w:val="12"/>
        </w:rPr>
        <w:t xml:space="preserve"> | ACO 787</w:t>
      </w:r>
      <w:r>
        <w:rPr>
          <w:color w:val="003CA0"/>
          <w:sz w:val="12"/>
        </w:rPr>
        <w:t xml:space="preserve"> | rel. Edson Fachin</w:t>
      </w:r>
    </w:p>
    <w:p>
      <w:pPr>
        <w:ind w:left="288"/>
      </w:pPr>
      <w:r>
        <w:rPr>
          <w:color w:val="1E1E1E"/>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w:t>
      </w:r>
    </w:p>
    <w:p>
      <w:pPr>
        <w:ind w:left="288"/>
      </w:pPr>
      <w:r>
        <w:rPr>
          <w:b/>
          <w:color w:val="003CA0"/>
          <w:sz w:val="16"/>
        </w:rPr>
        <w:t>[ACO 787-AgR, rel. min. Edson Fachin, j. 17-12-2022, P, DJE de 31-1-2023.]</w:t>
      </w:r>
    </w:p>
    <w:p>
      <w:pPr>
        <w:ind w:left="144"/>
      </w:pPr>
      <w:r>
        <w:rPr>
          <w:b/>
          <w:color w:val="B45A00"/>
          <w:sz w:val="16"/>
        </w:rPr>
        <w:t>CONTROLE CONCENTRADO</w:t>
      </w:r>
    </w:p>
    <w:p>
      <w:pPr>
        <w:ind w:left="288"/>
      </w:pPr>
      <w:r>
        <w:rPr>
          <w:color w:val="8C8C8C"/>
          <w:sz w:val="12"/>
        </w:rPr>
        <w:t>cf-art-21-inc-X</w:t>
      </w:r>
      <w:r>
        <w:rPr>
          <w:color w:val="003CA0"/>
          <w:sz w:val="12"/>
        </w:rPr>
        <w:t xml:space="preserve"> | ADI 3.081</w:t>
      </w:r>
      <w:r>
        <w:rPr>
          <w:color w:val="003CA0"/>
          <w:sz w:val="12"/>
        </w:rPr>
        <w:t xml:space="preserve"> | rel. Nunes Marques</w:t>
      </w:r>
    </w:p>
    <w:p>
      <w:pPr>
        <w:ind w:left="288"/>
      </w:pPr>
      <w:r>
        <w:rPr>
          <w:color w:val="1E1E1E"/>
          <w:sz w:val="18"/>
        </w:rPr>
        <w:t>Lei Estadual. Entrega de correspondência em caixas postais comunitárias. Proibição. Competência exclusiva da União para manter o serviço postal e legislar sobre a matéria. Restrição à entrega de correspondências classificadas como carta, cartão-postal e correspondência agrupada.</w:t>
        <w:br/>
        <w:t>[ADI 3.081, rel. min. Nunes Marques, j. 28-8-2023, P, DJE de 20-9-2023.] Lei 5.309/2010, do município de Cuiabá/MT. Entrega e distribuição de correspondências. Proibição de entrega em determinado horário, sob pena de multa e cancelamento do alvará de funcionamento. Competência privativa da união para legislar e adminis</w:t>
      </w:r>
    </w:p>
    <w:p>
      <w:pPr>
        <w:ind w:left="288"/>
      </w:pPr>
      <w:r>
        <w:rPr>
          <w:b/>
          <w:color w:val="003CA0"/>
          <w:sz w:val="16"/>
        </w:rPr>
        <w:t>[ADPF 46, rel. min. Marco Aurélio, red. do ac. min. Eros Grau, j. 5-8-2009, P, DJE de 26-2-2010.]</w:t>
      </w:r>
    </w:p>
    <w:p>
      <w:pPr>
        <w:ind w:left="288"/>
      </w:pPr>
      <w:r>
        <w:rPr>
          <w:color w:val="8C8C8C"/>
          <w:sz w:val="12"/>
        </w:rPr>
        <w:t>cf-art-21-inc-X</w:t>
      </w:r>
    </w:p>
    <w:p>
      <w:pPr>
        <w:ind w:left="288"/>
      </w:pPr>
      <w:r>
        <w:rPr>
          <w:color w:val="1E1E1E"/>
          <w:sz w:val="18"/>
        </w:rPr>
        <w:t>XI - explorar, diretamente ou mediante autorização, concessão ou permissão, os serviços de telecomunicações, nos termos da lei, que disporá sobre a organização dos serviços, a criação de um órgão regulador e outros aspectos institucionais; (Redação da EC n. 8/1995) (Vide EC n. 8/1995)</w:t>
      </w:r>
    </w:p>
    <w:p>
      <w:pPr>
        <w:ind w:left="288"/>
      </w:pPr>
      <w:r>
        <w:rPr>
          <w:color w:val="8C8C8C"/>
          <w:sz w:val="12"/>
        </w:rPr>
        <w:t>cf-art-21-inc-X</w:t>
      </w:r>
      <w:r>
        <w:rPr>
          <w:color w:val="003CA0"/>
          <w:sz w:val="12"/>
        </w:rPr>
        <w:t xml:space="preserve"> | ADI 3.877</w:t>
      </w:r>
      <w:r>
        <w:rPr>
          <w:color w:val="003CA0"/>
          <w:sz w:val="12"/>
        </w:rPr>
        <w:t xml:space="preserve"> | rel. Nunes Marques</w:t>
      </w:r>
    </w:p>
    <w:p>
      <w:pPr>
        <w:ind w:left="288"/>
      </w:pPr>
      <w:r>
        <w:rPr>
          <w:color w:val="1E1E1E"/>
          <w:sz w:val="18"/>
        </w:rPr>
        <w:t>A Lei n. 3.963/2007 do Distrito Federal, ao proibir a cobrança pela instalação e utilização de pontos adicionais de televisão por assinatura em residências e fixar multa em virtude do descumprimento, interfere no núcleo regulatório das telecomunicações, o que revela usurpação da competência normativa privativa da União sobre a matéria.</w:t>
        <w:br/>
        <w:t>[ADI 3.877, rel. min. Nunes Marques, j. 09.09.2024, P, DJE de 13.11.2024.] São inconstitucionais, por ofensa às competências material e legislativa privativas da União (CF, arts. 21, XI, e 22, IV), normas municipais que, a pretexto de proteger o meio ambiente, d</w:t>
      </w:r>
    </w:p>
    <w:p>
      <w:pPr>
        <w:ind w:left="288"/>
      </w:pPr>
      <w:r>
        <w:rPr>
          <w:b/>
          <w:color w:val="003CA0"/>
          <w:sz w:val="16"/>
        </w:rPr>
        <w:t>[ADI 1.668, rel. min. Edson Fachin, j. 1-3-2021, P, DJE de 23-3-2021.]</w:t>
      </w:r>
    </w:p>
    <w:p>
      <w:pPr>
        <w:ind w:left="288"/>
      </w:pPr>
      <w:r>
        <w:rPr>
          <w:color w:val="8C8C8C"/>
          <w:sz w:val="12"/>
        </w:rPr>
        <w:t>cf-art-21-inc-X</w:t>
      </w:r>
      <w:r>
        <w:rPr>
          <w:color w:val="003CA0"/>
          <w:sz w:val="12"/>
        </w:rPr>
        <w:t xml:space="preserve"> | ADI 6.482</w:t>
      </w:r>
      <w:r>
        <w:rPr>
          <w:color w:val="003CA0"/>
          <w:sz w:val="12"/>
        </w:rPr>
        <w:t xml:space="preserve"> | rel. Gilmar Mendes</w:t>
      </w:r>
    </w:p>
    <w:p>
      <w:pPr>
        <w:ind w:left="288"/>
      </w:pPr>
      <w:r>
        <w:rPr>
          <w:color w:val="1E1E1E"/>
          <w:sz w:val="18"/>
        </w:rPr>
        <w:t xml:space="preserve">No caso do setor de telecomunicações, a atribuição da titularidade pela prestação dos serviços públicos à União (art. 21, inciso XI, da CF) tem como contrapartida o reconhecimento de uma federalização ampla das relações jurídicas que permeiam a prestação desses serviços. (...) A disciplina jurídica de toda e qualquer forma de transmissão de sinais voltada à prestação de um serviço de telecomunicações revolve matéria afeta à competência legislativa da União, tal qual o direito de passagem e uso para a instalação de infraestrutura de rede. (...) A disciplina da gratuidade do direito de passagem </w:t>
      </w:r>
    </w:p>
    <w:p>
      <w:pPr>
        <w:ind w:left="288"/>
      </w:pPr>
      <w:r>
        <w:rPr>
          <w:b/>
          <w:color w:val="003CA0"/>
          <w:sz w:val="16"/>
        </w:rPr>
        <w:t>[ADI 6.482, rel. min. Gilmar Mendes, j. 18-2-2021, P, DJE de 21-5-2021.]</w:t>
      </w:r>
    </w:p>
    <w:p>
      <w:pPr>
        <w:ind w:left="288"/>
      </w:pPr>
      <w:r>
        <w:rPr>
          <w:color w:val="8C8C8C"/>
          <w:sz w:val="12"/>
        </w:rPr>
        <w:t>cf-art-21-inc-X</w:t>
      </w:r>
      <w:r>
        <w:rPr>
          <w:color w:val="003CA0"/>
          <w:sz w:val="12"/>
        </w:rPr>
        <w:t xml:space="preserve"> | ADI 6.326</w:t>
      </w:r>
      <w:r>
        <w:rPr>
          <w:color w:val="003CA0"/>
          <w:sz w:val="12"/>
        </w:rPr>
        <w:t xml:space="preserve"> | rel. Cármen Lúcia</w:t>
      </w:r>
    </w:p>
    <w:p>
      <w:pPr>
        <w:ind w:left="288"/>
      </w:pPr>
      <w:r>
        <w:rPr>
          <w:color w:val="1E1E1E"/>
          <w:sz w:val="18"/>
        </w:rPr>
        <w:t>Medida cautelar em ação direta de inconstitucionalidade. Conversão em julgamento definitivo. Lei n. 14.228/2020 da Bahia. Proibição a concessionárias de telecomunicações de limitação de tempo para utilização de créditos de telefones celulares pré-pagos. Usurpação Da Competência Da União. Inc. XI do art. 21 e inc. IV do art. 22 da constituição da república. Precedentes do supremo tribunal federal. Ação Direta de Inconstitucionalidade julgada procedente.</w:t>
      </w:r>
    </w:p>
    <w:p>
      <w:pPr>
        <w:ind w:left="288"/>
      </w:pPr>
      <w:r>
        <w:rPr>
          <w:b/>
          <w:color w:val="003CA0"/>
          <w:sz w:val="16"/>
        </w:rPr>
        <w:t>[ADI 6.326, rel. min. Cármen Lúcia, j. 23-11-2020, P, DJE de 3-12-2020.]</w:t>
      </w:r>
    </w:p>
    <w:p>
      <w:pPr>
        <w:ind w:left="288"/>
      </w:pPr>
      <w:r>
        <w:rPr>
          <w:color w:val="8C8C8C"/>
          <w:sz w:val="12"/>
        </w:rPr>
        <w:t>cf-art-21-inc-X</w:t>
      </w:r>
      <w:r>
        <w:rPr>
          <w:color w:val="003CA0"/>
          <w:sz w:val="12"/>
        </w:rPr>
        <w:t xml:space="preserve"> | ADI 5.574</w:t>
      </w:r>
      <w:r>
        <w:rPr>
          <w:color w:val="003CA0"/>
          <w:sz w:val="12"/>
        </w:rPr>
        <w:t xml:space="preserve"> | rel. Edson Fachin</w:t>
      </w:r>
    </w:p>
    <w:p>
      <w:pPr>
        <w:ind w:left="288"/>
      </w:pPr>
      <w:r>
        <w:rPr>
          <w:color w:val="1E1E1E"/>
          <w:sz w:val="18"/>
        </w:rPr>
        <w:t>Lei Estadual 10.519/2015 do Estado da Paraíba. Bloqueio de aparelhos celulares pelas operadoras nas hipóteses de furto e roubo. Competência privativa da União para legislar sobre telecomunicações. (...) No caso dos autos, apesar de estar se discutindo a constitucionalidade do bloqueio de aparelhos celulares nas hipóteses de furto e roubo, resta claro que a finalidade da norma é justamente possibilitar o bloqueio de sinal de telecomunicações e/ou radiocomunicações (...).</w:t>
      </w:r>
    </w:p>
    <w:p>
      <w:pPr>
        <w:ind w:left="288"/>
      </w:pPr>
      <w:r>
        <w:rPr>
          <w:b/>
          <w:color w:val="003CA0"/>
          <w:sz w:val="16"/>
        </w:rPr>
        <w:t>[ADI 5.574, rel. min. Edson Fachin, j. 27-9-2019, P, DJE de 15-10-2019.]</w:t>
      </w:r>
    </w:p>
    <w:p>
      <w:pPr>
        <w:ind w:left="288"/>
      </w:pPr>
      <w:r>
        <w:rPr>
          <w:color w:val="8C8C8C"/>
          <w:sz w:val="12"/>
        </w:rPr>
        <w:t>cf-art-21-inc-X</w:t>
      </w:r>
      <w:r>
        <w:rPr>
          <w:color w:val="003CA0"/>
          <w:sz w:val="12"/>
        </w:rPr>
        <w:t xml:space="preserve"> | ADI 5.830</w:t>
      </w:r>
      <w:r>
        <w:rPr>
          <w:color w:val="003CA0"/>
          <w:sz w:val="12"/>
        </w:rPr>
        <w:t xml:space="preserve"> | rel. Luiz Fux</w:t>
      </w:r>
    </w:p>
    <w:p>
      <w:pPr>
        <w:ind w:left="288"/>
      </w:pPr>
      <w:r>
        <w:rPr>
          <w:color w:val="1E1E1E"/>
          <w:sz w:val="18"/>
        </w:rPr>
        <w:t>A Lei 16.291/2017 do Estado do Ceará, ao instituir a obrigação de as operadoras de telefonia fixa e móvel disponibilizarem, em seus sítios eletrônicos, extrato detalhado de conta das chamadas telefônicas e serviços utilizados na modalidade de recarga de créditos por pagamento antecipado (plano pré-pago), tal qual é feito nos planos pós-pagos, sob pena de multa, invadiu a competência legislativa e administrativa da União para a disciplina e a prestação dos serviços públicos de telecomunicações (artigos 21, XI, e 22, IV, da Constituição Federal).</w:t>
      </w:r>
    </w:p>
    <w:p>
      <w:pPr>
        <w:ind w:left="288"/>
      </w:pPr>
      <w:r>
        <w:rPr>
          <w:b/>
          <w:color w:val="003CA0"/>
          <w:sz w:val="16"/>
        </w:rPr>
        <w:t>[ADI 5.830, rel. min. Luiz Fux, j. 30-8-2019, P, DJE de 28-11-2019.]</w:t>
      </w:r>
    </w:p>
    <w:p>
      <w:pPr>
        <w:ind w:left="288"/>
      </w:pPr>
      <w:r>
        <w:rPr>
          <w:color w:val="8C8C8C"/>
          <w:sz w:val="12"/>
        </w:rPr>
        <w:t>cf-art-21-inc-X</w:t>
      </w:r>
      <w:r>
        <w:rPr>
          <w:color w:val="003CA0"/>
          <w:sz w:val="12"/>
        </w:rPr>
        <w:t xml:space="preserve"> | ADI 4.908</w:t>
      </w:r>
      <w:r>
        <w:rPr>
          <w:color w:val="003CA0"/>
          <w:sz w:val="12"/>
        </w:rPr>
        <w:t xml:space="preserve"> | rel. Rosa Weber</w:t>
      </w:r>
    </w:p>
    <w:p>
      <w:pPr>
        <w:ind w:left="288"/>
      </w:pPr>
      <w:r>
        <w:rPr>
          <w:color w:val="1E1E1E"/>
          <w:sz w:val="18"/>
        </w:rPr>
        <w:t>O instrumento pelo qual a prestadora de serviços de telefonia oferece benefícios a seus usuários, exigindo, em contrapartida, que permaneçam a ela vinculados por um prazo mínimo, não se confunde com o termo de adesão do usuário a plano de serviço de telecomunicações, tampouco o integra, consubstanciando típica relação de consumo. Ao impor o cancelamento da multa contratual de fidelidade quando o usuário de serviços de telefonia celular ou fixa comprovar que perdeu o vínculo empregatício após a adesão ao contrato, a Lei 6.295/2012 do Estado do Rio de Janeiro disciplina relação jurídica tipicame</w:t>
      </w:r>
    </w:p>
    <w:p>
      <w:pPr>
        <w:ind w:left="288"/>
      </w:pPr>
      <w:r>
        <w:rPr>
          <w:b/>
          <w:color w:val="003CA0"/>
          <w:sz w:val="16"/>
        </w:rPr>
        <w:t>[ADI 4.908, rel. min. Rosa Weber, j. 11-4-2019, P, DJE de 6-5-2019.]</w:t>
      </w:r>
    </w:p>
    <w:p>
      <w:pPr>
        <w:ind w:left="288"/>
      </w:pPr>
      <w:r>
        <w:rPr>
          <w:color w:val="8C8C8C"/>
          <w:sz w:val="12"/>
        </w:rPr>
        <w:t>cf-art-21-inc-X</w:t>
      </w:r>
      <w:r>
        <w:rPr>
          <w:color w:val="003CA0"/>
          <w:sz w:val="12"/>
        </w:rPr>
        <w:t xml:space="preserve"> | ADI 5.253</w:t>
      </w:r>
      <w:r>
        <w:rPr>
          <w:color w:val="003CA0"/>
          <w:sz w:val="12"/>
        </w:rPr>
        <w:t xml:space="preserve"> | rel. Dias Toffoli</w:t>
      </w:r>
    </w:p>
    <w:p>
      <w:pPr>
        <w:ind w:left="288"/>
      </w:pPr>
      <w:r>
        <w:rPr>
          <w:color w:val="1E1E1E"/>
          <w:sz w:val="18"/>
        </w:rPr>
        <w:t>A Lei 13.189, de 4 de julho de 2014, do Estado da Bahia, ao criar obrigação para as operadoras do serviço móvel pessoal, consistente na instalação e na manutenção de bloqueadores de sinais de radiocomunicações (BSR) nos estabelecimentos penais de todo o Estado, com o objetivo de impedir a comunicação por telefones móveis no interior dos referidos estabelecimentos, dispôs a respeito de serviços de telecomunicações, matéria da competência legislativa privativa da União, na forma do art. 22, IV, da CF.</w:t>
      </w:r>
    </w:p>
    <w:p>
      <w:pPr>
        <w:ind w:left="288"/>
      </w:pPr>
      <w:r>
        <w:rPr>
          <w:b/>
          <w:color w:val="003CA0"/>
          <w:sz w:val="16"/>
        </w:rPr>
        <w:t>[ADI 5.253, rel. min. Dias Toffoli, j. 3-8-2016, P, DJE de 1º-8-2017.]</w:t>
      </w:r>
    </w:p>
    <w:p>
      <w:pPr>
        <w:ind w:left="288"/>
      </w:pPr>
      <w:r>
        <w:rPr>
          <w:color w:val="8C8C8C"/>
          <w:sz w:val="12"/>
        </w:rPr>
        <w:t>cf-art-21-inc-X</w:t>
      </w:r>
      <w:r>
        <w:rPr>
          <w:color w:val="003CA0"/>
          <w:sz w:val="12"/>
        </w:rPr>
        <w:t xml:space="preserve"> | ADI 4.715</w:t>
      </w:r>
      <w:r>
        <w:rPr>
          <w:color w:val="003CA0"/>
          <w:sz w:val="12"/>
        </w:rPr>
        <w:t xml:space="preserve"> | rel. Marco Aurélio</w:t>
      </w:r>
    </w:p>
    <w:p>
      <w:pPr>
        <w:ind w:left="288"/>
      </w:pPr>
      <w:r>
        <w:rPr>
          <w:color w:val="1E1E1E"/>
          <w:sz w:val="18"/>
        </w:rPr>
        <w:t>Ante lei estadual que veio a dispor sobre validade de crédito de celular pré-pago, projetando-o no tempo, surge relevante argumentação no sentido de competir à União legislar sobre telecomunicação.</w:t>
      </w:r>
    </w:p>
    <w:p>
      <w:pPr>
        <w:ind w:left="288"/>
      </w:pPr>
      <w:r>
        <w:rPr>
          <w:b/>
          <w:color w:val="003CA0"/>
          <w:sz w:val="16"/>
        </w:rPr>
        <w:t>[ADI 4.715 MC, rel. min. Marco Aurélio, j. 7-2-2013, P, DJE de 19-8-2013.]</w:t>
        <w:br/>
        <w:t>= ADI 4.649, rel. min. Dias Toffoli, j. 1º-7-2016, P, DJE de 12-8-2016</w:t>
      </w:r>
    </w:p>
    <w:p>
      <w:pPr>
        <w:ind w:left="288"/>
      </w:pPr>
      <w:r>
        <w:rPr>
          <w:color w:val="8C8C8C"/>
          <w:sz w:val="12"/>
        </w:rPr>
        <w:t>cf-art-21-inc-X</w:t>
      </w:r>
      <w:r>
        <w:rPr>
          <w:color w:val="003CA0"/>
          <w:sz w:val="12"/>
        </w:rPr>
        <w:t xml:space="preserve"> | ADI 3.343</w:t>
      </w:r>
    </w:p>
    <w:p>
      <w:pPr>
        <w:ind w:left="288"/>
      </w:pPr>
      <w:r>
        <w:rPr>
          <w:color w:val="1E1E1E"/>
          <w:sz w:val="18"/>
        </w:rPr>
        <w:t>A Lei 3.449/2004 do Distrito Federal, ao proibir a cobrança da tarifa de assinatura básica "pelas concessionárias prestadoras de serviços de água, luz, gás, TV a cabo e telefonia no Distrito Federal" (art. 1º, caput), incorreu em inconstitucionalidade formal, porquanto necessariamente inserida a fixação da "política tarifária" no âmbito de poderes inerentes à titularidade de determinado serviço público, como prevê o art. 175, parágrafo único, III, da Constituição, elemento indispensável para a preservação do equilíbrio econômico-financeiro do contrato de concessão e, por consequência, da manut</w:t>
      </w:r>
    </w:p>
    <w:p>
      <w:pPr>
        <w:ind w:left="288"/>
      </w:pPr>
      <w:r>
        <w:rPr>
          <w:b/>
          <w:color w:val="003CA0"/>
          <w:sz w:val="16"/>
        </w:rPr>
        <w:t>[ADI 3.343, red. do ac. min. Luiz Fux, j. 1º-9-2011, P, DJE de 22-11-2011.]</w:t>
      </w:r>
    </w:p>
    <w:p>
      <w:pPr>
        <w:ind w:left="288"/>
      </w:pPr>
      <w:r>
        <w:rPr>
          <w:color w:val="8C8C8C"/>
          <w:sz w:val="12"/>
        </w:rPr>
        <w:t>cf-art-21-inc-X</w:t>
      </w:r>
      <w:r>
        <w:rPr>
          <w:color w:val="003CA0"/>
          <w:sz w:val="12"/>
        </w:rPr>
        <w:t xml:space="preserve"> | ADI 3.558</w:t>
      </w:r>
      <w:r>
        <w:rPr>
          <w:color w:val="003CA0"/>
          <w:sz w:val="12"/>
        </w:rPr>
        <w:t xml:space="preserve"> | rel. Cármen Lúcia</w:t>
      </w:r>
    </w:p>
    <w:p>
      <w:pPr>
        <w:ind w:left="288"/>
      </w:pPr>
      <w:r>
        <w:rPr>
          <w:color w:val="1E1E1E"/>
          <w:sz w:val="18"/>
        </w:rPr>
        <w:t>(...) as Leis fluminenses 3.915/2002 e 4.561/2005, ao obrigarem as concessionárias dos serviços de telefonia fixa, energia elétrica, água e gás a instalar medidores de consumo, intervêm na relação firmada entre a União e suas concessionárias, pelo que contrariam os arts. 21, XI e XII, b; e 22, IV, da Constituição da República.</w:t>
      </w:r>
    </w:p>
    <w:p>
      <w:pPr>
        <w:ind w:left="288"/>
      </w:pPr>
      <w:r>
        <w:rPr>
          <w:b/>
          <w:color w:val="003CA0"/>
          <w:sz w:val="16"/>
        </w:rPr>
        <w:t>[ADI 3.558, voto da rel. min. Cármen Lúcia, j. 17-3-2011, P, DJE de 6-5-2011.]</w:t>
      </w:r>
    </w:p>
    <w:p>
      <w:pPr>
        <w:ind w:left="288"/>
      </w:pPr>
      <w:r>
        <w:rPr>
          <w:color w:val="8C8C8C"/>
          <w:sz w:val="12"/>
        </w:rPr>
        <w:t>cf-art-21-inc-X</w:t>
      </w:r>
      <w:r>
        <w:rPr>
          <w:color w:val="003CA0"/>
          <w:sz w:val="12"/>
        </w:rPr>
        <w:t xml:space="preserve"> | ADI 3.846</w:t>
      </w:r>
      <w:r>
        <w:rPr>
          <w:color w:val="003CA0"/>
          <w:sz w:val="12"/>
        </w:rPr>
        <w:t xml:space="preserve"> | rel. Gilmar Mendes</w:t>
      </w:r>
    </w:p>
    <w:p>
      <w:pPr>
        <w:ind w:left="288"/>
      </w:pPr>
      <w:r>
        <w:rPr>
          <w:color w:val="1E1E1E"/>
          <w:sz w:val="18"/>
        </w:rPr>
        <w:t>Lei estadual 12.983/2005 de Pernambuco versus CF, [arts.] 5º, X; 21, XI; e, 22, I e IV. Afronta por instituir controle de comercialização e de habilitação de aparelhos usados de telefonia móvel.</w:t>
      </w:r>
    </w:p>
    <w:p>
      <w:pPr>
        <w:ind w:left="288"/>
      </w:pPr>
      <w:r>
        <w:rPr>
          <w:b/>
          <w:color w:val="003CA0"/>
          <w:sz w:val="16"/>
        </w:rPr>
        <w:t>[ADI 3.846, rel. min. Gilmar Mendes, j. 25-11-2010, P, DJE de 15-3-2011.]</w:t>
      </w:r>
    </w:p>
    <w:p>
      <w:pPr>
        <w:ind w:left="288"/>
      </w:pPr>
      <w:r>
        <w:rPr>
          <w:color w:val="8C8C8C"/>
          <w:sz w:val="12"/>
        </w:rPr>
        <w:t>cf-art-21-inc-X</w:t>
      </w:r>
      <w:r>
        <w:rPr>
          <w:color w:val="003CA0"/>
          <w:sz w:val="12"/>
        </w:rPr>
        <w:t xml:space="preserve"> | ADI 4.083</w:t>
      </w:r>
      <w:r>
        <w:rPr>
          <w:color w:val="003CA0"/>
          <w:sz w:val="12"/>
        </w:rPr>
        <w:t xml:space="preserve"> | rel. Cármen Lúcia</w:t>
      </w:r>
    </w:p>
    <w:p>
      <w:pPr>
        <w:ind w:left="288"/>
      </w:pPr>
      <w:r>
        <w:rPr>
          <w:color w:val="1E1E1E"/>
          <w:sz w:val="18"/>
        </w:rPr>
        <w:t>A Lei distrital 4.116/2008 proíbe as empresas de telecomunicações de cobrarem taxas para a instalação do segundo ponto de acesso à internet. (...) Ainda que ao argumento de defesa do consumidor, não pode lei distrital impor a uma concessionária federal novas obrigações não antes previstas no contrato por ela firmado com a União.</w:t>
      </w:r>
    </w:p>
    <w:p>
      <w:pPr>
        <w:ind w:left="288"/>
      </w:pPr>
      <w:r>
        <w:rPr>
          <w:b/>
          <w:color w:val="003CA0"/>
          <w:sz w:val="16"/>
        </w:rPr>
        <w:t>[ADI 4.083, rel. min. Cármen Lúcia, j. 25-11-2010, P, DJE de 14-12-2010.]</w:t>
      </w:r>
    </w:p>
    <w:p>
      <w:pPr>
        <w:ind w:left="288"/>
      </w:pPr>
      <w:r>
        <w:rPr>
          <w:color w:val="8C8C8C"/>
          <w:sz w:val="12"/>
        </w:rPr>
        <w:t>cf-art-21-inc-X</w:t>
      </w:r>
      <w:r>
        <w:rPr>
          <w:color w:val="003CA0"/>
          <w:sz w:val="12"/>
        </w:rPr>
        <w:t xml:space="preserve"> | ADI 3.533</w:t>
      </w:r>
      <w:r>
        <w:rPr>
          <w:color w:val="003CA0"/>
          <w:sz w:val="12"/>
        </w:rPr>
        <w:t xml:space="preserve"> | rel. Eros Grau</w:t>
      </w:r>
    </w:p>
    <w:p>
      <w:pPr>
        <w:ind w:left="288"/>
      </w:pPr>
      <w:r>
        <w:rPr>
          <w:color w:val="1E1E1E"/>
          <w:sz w:val="18"/>
        </w:rPr>
        <w:t>Imposição às empresas de telefonia fixa que operam no Distrito Federal de instalação de contadores de pulso em cada ponto de consumo. (...) A Lei distrital 3.596 é inconstitucional, visto que dispõe sobre matéria de competência da União, criando obrigação não prevista nos respectivos contratos de concessão do serviço público, a serem cumpridas pelas concessionárias de telefonia fixa – art. 22, IV, da Constituição do Brasil.</w:t>
      </w:r>
    </w:p>
    <w:p>
      <w:pPr>
        <w:ind w:left="288"/>
      </w:pPr>
      <w:r>
        <w:rPr>
          <w:b/>
          <w:color w:val="003CA0"/>
          <w:sz w:val="16"/>
        </w:rPr>
        <w:t>[ADI 3.533, rel. min. Eros Grau, j. 2-8-2006, P, DJ de 6-10-2006.]</w:t>
      </w:r>
    </w:p>
    <w:p>
      <w:pPr>
        <w:ind w:left="288"/>
      </w:pPr>
      <w:r>
        <w:rPr>
          <w:color w:val="8C8C8C"/>
          <w:sz w:val="12"/>
        </w:rPr>
        <w:t>cf-art-21-inc-X</w:t>
      </w:r>
      <w:r>
        <w:rPr>
          <w:color w:val="003CA0"/>
          <w:sz w:val="12"/>
        </w:rPr>
        <w:t xml:space="preserve"> | ADI 4.533</w:t>
      </w:r>
      <w:r>
        <w:rPr>
          <w:color w:val="003CA0"/>
          <w:sz w:val="12"/>
        </w:rPr>
        <w:t xml:space="preserve"> | rel. Ricardo Lewandowski</w:t>
      </w:r>
    </w:p>
    <w:p>
      <w:pPr>
        <w:ind w:left="288"/>
      </w:pPr>
      <w:r>
        <w:rPr>
          <w:color w:val="1E1E1E"/>
          <w:sz w:val="18"/>
        </w:rPr>
        <w:t>= ADI 4.533 MC, rel. min. Ricardo Lewandowski, j. 10-11-2011, P, DJE de 1º-2-2012 Art. 132, I, b, da Lei Orgânica do Distrito Federal. (...) O art. 132, I, b, da Lei Orgânica do Distrito Federal, ao admitir a incidência do ICMS apenas sobre os serviços de comunicação, referidos no inciso XI do art. 21 da CF, vedou sua incidência sobre os mencionados no inciso XII, a, do mesmo artigo, ou seja, sobre os serviços de radiodifusão sonora e de sons e imagens (art. 21, XII, a, da CF, com a redação dada pela EC 8, de 15-8-1995). Com isso, estabeleceu, no Distrito Federal, tratamento diferenciado dessa</w:t>
      </w:r>
    </w:p>
    <w:p>
      <w:pPr>
        <w:ind w:left="288"/>
      </w:pPr>
      <w:r>
        <w:rPr>
          <w:b/>
          <w:color w:val="003CA0"/>
          <w:sz w:val="16"/>
        </w:rPr>
        <w:t>[ADI 1.467, rel. min. Sydney Sanches, j. 12-2-2003, P, DJ de 11-4-2003.]</w:t>
      </w:r>
    </w:p>
    <w:p>
      <w:pPr>
        <w:ind w:left="288"/>
      </w:pPr>
      <w:r>
        <w:rPr>
          <w:color w:val="8C8C8C"/>
          <w:sz w:val="12"/>
        </w:rPr>
        <w:t>cf-art-21-inc-XII</w:t>
      </w:r>
      <w:r>
        <w:rPr>
          <w:color w:val="003CA0"/>
          <w:sz w:val="12"/>
        </w:rPr>
        <w:t xml:space="preserve"> | ADI 7.332</w:t>
      </w:r>
      <w:r>
        <w:rPr>
          <w:color w:val="003CA0"/>
          <w:sz w:val="12"/>
        </w:rPr>
        <w:t xml:space="preserve"> | rel. Dias Toffoli</w:t>
      </w:r>
    </w:p>
    <w:p>
      <w:pPr>
        <w:ind w:left="288"/>
      </w:pPr>
      <w:r>
        <w:rPr>
          <w:color w:val="1E1E1E"/>
          <w:sz w:val="18"/>
        </w:rPr>
        <w:t>É inconstitucional — por violar as competências administrativa e legislativa da União para dispor sobre energia elétrica, bem como por interferir nas relações contratuais entre as concessionárias e o poder concedente federal (CF/1988, art. 21, XII, b; 22, IV; e 175) — norma estadual que obriga as empresas geradoras, transmissoras e distribuidoras de energia a destinarem percentual mínimo de seus recursos a projetos específicos.</w:t>
      </w:r>
    </w:p>
    <w:p>
      <w:pPr>
        <w:ind w:left="288"/>
      </w:pPr>
      <w:r>
        <w:rPr>
          <w:b/>
          <w:color w:val="003CA0"/>
          <w:sz w:val="16"/>
        </w:rPr>
        <w:t>[ADI 7.332, rel. min. Dias Toffoli, j. 04.11.2025, P, Informativo STF 1.197.]</w:t>
      </w:r>
    </w:p>
    <w:p>
      <w:pPr>
        <w:ind w:left="288"/>
      </w:pPr>
      <w:r>
        <w:rPr>
          <w:color w:val="8C8C8C"/>
          <w:sz w:val="12"/>
        </w:rPr>
        <w:t>cf-art-21-inc-XII</w:t>
      </w:r>
      <w:r>
        <w:rPr>
          <w:color w:val="003CA0"/>
          <w:sz w:val="12"/>
        </w:rPr>
        <w:t xml:space="preserve"> | ARE 1.524.862</w:t>
      </w:r>
      <w:r>
        <w:rPr>
          <w:color w:val="003CA0"/>
          <w:sz w:val="12"/>
        </w:rPr>
        <w:t xml:space="preserve"> | rel. Edson Fachin</w:t>
      </w:r>
    </w:p>
    <w:p>
      <w:pPr>
        <w:ind w:left="288"/>
      </w:pPr>
      <w:r>
        <w:rPr>
          <w:color w:val="1E1E1E"/>
          <w:sz w:val="18"/>
        </w:rPr>
        <w:t>A incidência do ISS sobre serviços acessórios ao setor elétrico não configura invasão da competência tributária federal, pois tais serviços não caracterizam exploração direta de energia elétrica nem legislação sobre o setor, inexistindo ofensa aos arts. 21, XII, b, e 22, IV, da Constituição Federal.</w:t>
      </w:r>
    </w:p>
    <w:p>
      <w:pPr>
        <w:ind w:left="288"/>
      </w:pPr>
      <w:r>
        <w:rPr>
          <w:b/>
          <w:color w:val="003CA0"/>
          <w:sz w:val="16"/>
        </w:rPr>
        <w:t>[ARE 1.524.862 AgR, rel. min. Edson Fachin, j. 12.03.2025, 2ª T, DJE de 21.03.2025.]</w:t>
      </w:r>
    </w:p>
    <w:p>
      <w:pPr>
        <w:ind w:left="288"/>
      </w:pPr>
      <w:r>
        <w:rPr>
          <w:color w:val="8C8C8C"/>
          <w:sz w:val="12"/>
        </w:rPr>
        <w:t>cf-art-21-inc-XII-ali-a</w:t>
      </w:r>
      <w:r>
        <w:rPr>
          <w:color w:val="003CA0"/>
          <w:sz w:val="12"/>
        </w:rPr>
        <w:t xml:space="preserve"> | ADPF 235</w:t>
      </w:r>
      <w:r>
        <w:rPr>
          <w:color w:val="003CA0"/>
          <w:sz w:val="12"/>
        </w:rPr>
        <w:t xml:space="preserve"> | rel. Luiz Fux</w:t>
      </w:r>
    </w:p>
    <w:p>
      <w:pPr>
        <w:ind w:left="288"/>
      </w:pPr>
      <w:r>
        <w:rPr>
          <w:color w:val="1E1E1E"/>
          <w:sz w:val="18"/>
        </w:rPr>
        <w:t>(...) é formalmente inconstitucional a Lei 416/08, do Município de Augustinópolis/TO, que autoriza o Poder Executivo Municipal a conceder a exploração do Serviço de Radiodifusão Comunitária no âmbito do território do Município, mercê da inexistência, na sistemática jurídico-constitucional atual, de espaço para que o legislador local busque tratar geral e abstratamente sobre o tema da exploração do Serviço de Radiodifusão Comunitária.</w:t>
      </w:r>
    </w:p>
    <w:p>
      <w:pPr>
        <w:ind w:left="288"/>
      </w:pPr>
      <w:r>
        <w:rPr>
          <w:b/>
          <w:color w:val="003CA0"/>
          <w:sz w:val="16"/>
        </w:rPr>
        <w:t>[ADPF 235, rel. min. Luiz Fux, j. 14-8-2019, P, DJE de 30-8-2019.]</w:t>
      </w:r>
    </w:p>
    <w:p>
      <w:pPr>
        <w:ind w:left="288"/>
      </w:pPr>
      <w:r>
        <w:rPr>
          <w:color w:val="8C8C8C"/>
          <w:sz w:val="12"/>
        </w:rPr>
        <w:t>cf-art-21-inc-XII-ali-a</w:t>
      </w:r>
      <w:r>
        <w:rPr>
          <w:color w:val="003CA0"/>
          <w:sz w:val="12"/>
        </w:rPr>
        <w:t xml:space="preserve"> | ADI 1.467</w:t>
      </w:r>
      <w:r>
        <w:rPr>
          <w:color w:val="003CA0"/>
          <w:sz w:val="12"/>
        </w:rPr>
        <w:t xml:space="preserve"> | rel. Sydney Sanches</w:t>
      </w:r>
    </w:p>
    <w:p>
      <w:pPr>
        <w:ind w:left="288"/>
      </w:pPr>
      <w:r>
        <w:rPr>
          <w:color w:val="1E1E1E"/>
          <w:sz w:val="18"/>
        </w:rPr>
        <w:t xml:space="preserve">Art. 132, I, b, da Lei Orgânica do Distrito Federal. (...) O art. 132, I, b, da Lei Orgânica do Distrito Federal, ao admitir a incidência do ICMS apenas sobre os serviços de comunicação, referidos no inciso XI do art. 21 da CF, vedou sua incidência sobre os mencionados no inciso XII, a, do mesmo artigo, ou seja, sobre os serviços de radiodifusão sonora e de sons e imagens (art. 21, XII, a, da CF, com a redação dada pela EC 8, de 15-8-1995). Com isso, estabeleceu, no Distrito Federal, tratamento diferenciado dessa questão, em face do que ocorre nas demais unidades da Federação e do disposto no </w:t>
      </w:r>
    </w:p>
    <w:p>
      <w:pPr>
        <w:ind w:left="288"/>
      </w:pPr>
      <w:r>
        <w:rPr>
          <w:b/>
          <w:color w:val="003CA0"/>
          <w:sz w:val="16"/>
        </w:rPr>
        <w:t>[ADI 1.467, rel. min. Sydney Sanches, j. 12-2-2003, P, DJ de 11-4-2003.]</w:t>
      </w:r>
    </w:p>
    <w:p>
      <w:pPr>
        <w:ind w:left="288"/>
      </w:pPr>
      <w:r>
        <w:rPr>
          <w:color w:val="8C8C8C"/>
          <w:sz w:val="12"/>
        </w:rPr>
        <w:t>cf-art-21-inc-XII-ali-b</w:t>
      </w:r>
      <w:r>
        <w:rPr>
          <w:color w:val="003CA0"/>
          <w:sz w:val="12"/>
        </w:rPr>
        <w:t xml:space="preserve"> | ADPF 218</w:t>
      </w:r>
      <w:r>
        <w:rPr>
          <w:color w:val="003CA0"/>
          <w:sz w:val="12"/>
        </w:rPr>
        <w:t xml:space="preserve"> | rel. Gilmar Mendes</w:t>
      </w:r>
    </w:p>
    <w:p>
      <w:pPr>
        <w:ind w:left="288"/>
      </w:pPr>
      <w:r>
        <w:rPr>
          <w:color w:val="1E1E1E"/>
          <w:sz w:val="18"/>
        </w:rPr>
        <w:t>Competência privativa da União para legislar sobre água e energia. A situação normatizada na espécie guarda nexo muito mais estreito com a regulação do aproveitamento energético dos cursos de água que eventual competência comum do Município de Ponte Nova/MG para tratar sobre assunto de interesse local ou suplementação a normas federais ou estaduais. Ao proibir a construção de UHEs e PCHs e estipular a necessidade de emprego do método menos impactante a ser utilizado para geração de energia, o legislador municipal dispôs sobre matéria de competência privativa da União e avocou indevidamente a c</w:t>
      </w:r>
    </w:p>
    <w:p>
      <w:pPr>
        <w:ind w:left="288"/>
      </w:pPr>
      <w:r>
        <w:rPr>
          <w:b/>
          <w:color w:val="003CA0"/>
          <w:sz w:val="16"/>
        </w:rPr>
        <w:t>[ADPF 218, rel. min. Gilmar Mendes, j. 07.05.2025, P, DJE de 12.05.2025.]</w:t>
      </w:r>
    </w:p>
    <w:p>
      <w:pPr>
        <w:ind w:left="288"/>
      </w:pPr>
      <w:r>
        <w:rPr>
          <w:color w:val="8C8C8C"/>
          <w:sz w:val="12"/>
        </w:rPr>
        <w:t>cf-art-21-inc-XII-ali-b</w:t>
      </w:r>
      <w:r>
        <w:rPr>
          <w:color w:val="003CA0"/>
          <w:sz w:val="12"/>
        </w:rPr>
        <w:t xml:space="preserve"> | ADPF 979</w:t>
      </w:r>
      <w:r>
        <w:rPr>
          <w:color w:val="003CA0"/>
          <w:sz w:val="12"/>
        </w:rPr>
        <w:t xml:space="preserve"> | rel. Edson Fachin</w:t>
      </w:r>
    </w:p>
    <w:p>
      <w:pPr>
        <w:ind w:left="288"/>
      </w:pPr>
      <w:r>
        <w:rPr>
          <w:color w:val="1E1E1E"/>
          <w:sz w:val="18"/>
        </w:rPr>
        <w:t xml:space="preserve">Lei n. 6.766/2022, do município de Cuiabá. Proibição de construção de usinas hidrelétricas – UHE e pequenas centrais hidrelétricas – PCH em toda a extensão do Rio Cuiabá. (...) A situação normatizada na espécie guarda nexo muito mais estreito com a regulação do aproveitamento energético dos cursos de água e à formulação de normas gerais de proteção do meio ambiente que eventual competência comum do Município de Cuiabá para tratar sobre assunto de interesse local ou suplementação a normas federais ou estaduais. Ao proibir a construção de UHEs e PCHs, o legislador municipal dispôs sobre matéria </w:t>
      </w:r>
    </w:p>
    <w:p>
      <w:pPr>
        <w:ind w:left="288"/>
      </w:pPr>
      <w:r>
        <w:rPr>
          <w:b/>
          <w:color w:val="003CA0"/>
          <w:sz w:val="16"/>
        </w:rPr>
        <w:t>[ADI 2.299, rel. min. Roberto Barroso, j. 23-8-2019, P, DJE de 13-12-2019.]</w:t>
      </w:r>
    </w:p>
    <w:p>
      <w:pPr>
        <w:ind w:left="288"/>
      </w:pPr>
      <w:r>
        <w:rPr>
          <w:color w:val="8C8C8C"/>
          <w:sz w:val="12"/>
        </w:rPr>
        <w:t>cf-art-21-inc-XII-ali-b</w:t>
      </w:r>
      <w:r>
        <w:rPr>
          <w:color w:val="003CA0"/>
          <w:sz w:val="12"/>
        </w:rPr>
        <w:t xml:space="preserve"> | ADI 5.610</w:t>
      </w:r>
      <w:r>
        <w:rPr>
          <w:color w:val="003CA0"/>
          <w:sz w:val="12"/>
        </w:rPr>
        <w:t xml:space="preserve"> | rel. Luiz Fux</w:t>
      </w:r>
    </w:p>
    <w:p>
      <w:pPr>
        <w:ind w:left="288"/>
      </w:pPr>
      <w:r>
        <w:rPr>
          <w:color w:val="1E1E1E"/>
          <w:sz w:val="18"/>
        </w:rPr>
        <w:t>Os prazos e valores referentes à religação do fornecimento de energia elétrica não apenas já estão normatizados na legislação setorial pertinente, como o quantum pelo serviços cobráveis e visitas técnicas submetem-se à homologação da ANEEL, razão pela qual não remanesce, sob esse prisma, qualquer espaço para a atuação legislativa estadual, mercê de, a pretexto de ofertar maior proteção ao consumidor, o ente federativo tornar sem efeito norma técnica exarada pela agência reguladora competente.</w:t>
      </w:r>
    </w:p>
    <w:p>
      <w:pPr>
        <w:ind w:left="288"/>
      </w:pPr>
      <w:r>
        <w:rPr>
          <w:b/>
          <w:color w:val="003CA0"/>
          <w:sz w:val="16"/>
        </w:rPr>
        <w:t>[ADI 5.610, rel. min. Luiz Fux, j. 8-8-2019, P, DJE de 20-11-2019.]</w:t>
      </w:r>
    </w:p>
    <w:p>
      <w:pPr>
        <w:ind w:left="288"/>
      </w:pPr>
      <w:r>
        <w:rPr>
          <w:color w:val="8C8C8C"/>
          <w:sz w:val="12"/>
        </w:rPr>
        <w:t>cf-art-21-inc-XII-ali-b</w:t>
      </w:r>
      <w:r>
        <w:rPr>
          <w:color w:val="003CA0"/>
          <w:sz w:val="12"/>
        </w:rPr>
        <w:t xml:space="preserve"> | ADI 3.343</w:t>
      </w:r>
    </w:p>
    <w:p>
      <w:pPr>
        <w:ind w:left="288"/>
      </w:pPr>
      <w:r>
        <w:rPr>
          <w:color w:val="1E1E1E"/>
          <w:sz w:val="18"/>
        </w:rPr>
        <w:t>A Lei 3.449/2004 do Distrito Federal, ao proibir a cobrança da tarifa de assinatura básica "pelas concessionárias prestadoras de serviços de água, luz, gás, TV a cabo e telefonia no Distrito Federal" (art. 1º, caput), incorreu em inconstitucionalidade formal, porquanto necessariamente inserida a fixação da "política tarifária" no âmbito de poderes inerentes à titularidade de determinado serviço público, como prevê o art. 175, parágrafo único, III, da Constituição, elemento indispensável para a preservação do equilíbrio econômico-financeiro do contrato de concessão e, por consequência, da manut</w:t>
      </w:r>
    </w:p>
    <w:p>
      <w:pPr>
        <w:ind w:left="288"/>
      </w:pPr>
      <w:r>
        <w:rPr>
          <w:b/>
          <w:color w:val="003CA0"/>
          <w:sz w:val="16"/>
        </w:rPr>
        <w:t>[ADI 3.343, red. do ac. min. Luiz Fux, j. 1º-9-2011, P, DJE de 22-11-2011.]</w:t>
      </w:r>
    </w:p>
    <w:p>
      <w:pPr>
        <w:ind w:left="288"/>
      </w:pPr>
      <w:r>
        <w:rPr>
          <w:color w:val="8C8C8C"/>
          <w:sz w:val="12"/>
        </w:rPr>
        <w:t>cf-art-21-inc-XII-ali-b</w:t>
      </w:r>
      <w:r>
        <w:rPr>
          <w:color w:val="003CA0"/>
          <w:sz w:val="12"/>
        </w:rPr>
        <w:t xml:space="preserve"> | ADI 3.558</w:t>
      </w:r>
      <w:r>
        <w:rPr>
          <w:color w:val="003CA0"/>
          <w:sz w:val="12"/>
        </w:rPr>
        <w:t xml:space="preserve"> | rel. Cármen Lúcia</w:t>
      </w:r>
    </w:p>
    <w:p>
      <w:pPr>
        <w:ind w:left="288"/>
      </w:pPr>
      <w:r>
        <w:rPr>
          <w:color w:val="1E1E1E"/>
          <w:sz w:val="18"/>
        </w:rPr>
        <w:t>(...) as Leis fluminenses 3.915/2002 e 4.561/2005, ao obrigarem as concessionárias dos serviços de telefonia fixa, energia elétrica, água e gás a instalar medidores de consumo, intervêm na relação firmada entre a União e suas concessionárias, pelo que contrariam os arts. 21, XI e XII, b; e 22, IV, da Constituição da República.</w:t>
      </w:r>
    </w:p>
    <w:p>
      <w:pPr>
        <w:ind w:left="288"/>
      </w:pPr>
      <w:r>
        <w:rPr>
          <w:b/>
          <w:color w:val="003CA0"/>
          <w:sz w:val="16"/>
        </w:rPr>
        <w:t>[ADI 3.558, voto da rel. min. Cármen Lúcia, j. 17-3-2011, P, DJE de 6-5-2011.]</w:t>
      </w:r>
    </w:p>
    <w:p>
      <w:pPr>
        <w:ind w:left="288"/>
      </w:pPr>
      <w:r>
        <w:rPr>
          <w:color w:val="8C8C8C"/>
          <w:sz w:val="12"/>
        </w:rPr>
        <w:t>cf-art-21-inc-XII-ali-b</w:t>
      </w:r>
      <w:r>
        <w:rPr>
          <w:color w:val="003CA0"/>
          <w:sz w:val="12"/>
        </w:rPr>
        <w:t xml:space="preserve"> | ADI 3.729</w:t>
      </w:r>
      <w:r>
        <w:rPr>
          <w:color w:val="003CA0"/>
          <w:sz w:val="12"/>
        </w:rPr>
        <w:t xml:space="preserve"> | rel. Gilmar Mendes</w:t>
      </w:r>
    </w:p>
    <w:p>
      <w:pPr>
        <w:ind w:left="288"/>
      </w:pPr>
      <w:r>
        <w:rPr>
          <w:color w:val="1E1E1E"/>
          <w:sz w:val="18"/>
        </w:rPr>
        <w:t>Ação direta de inconstitucionalidade contra a expressão "energia elétrica", contida no caput do art. 1º da Lei 11.260/2002 do Estado de São Paulo, que proíbe o corte de energia elétrica, água e gás canalizado por falta de pagamento, sem prévia comunicação ao usuário. (...) Violação aos arts. 21, XII, b; 22, IV; e 175, caput e parágrafo único, I, II e III; da CF.</w:t>
      </w:r>
    </w:p>
    <w:p>
      <w:pPr>
        <w:ind w:left="288"/>
      </w:pPr>
      <w:r>
        <w:rPr>
          <w:b/>
          <w:color w:val="003CA0"/>
          <w:sz w:val="16"/>
        </w:rPr>
        <w:t>[ADI 3.729, rel. min. Gilmar Mendes, j. 17-9-2007, P, DJ de 9-11-2007.]</w:t>
      </w:r>
    </w:p>
    <w:p>
      <w:pPr>
        <w:ind w:left="288"/>
      </w:pPr>
      <w:r>
        <w:rPr>
          <w:color w:val="8C8C8C"/>
          <w:sz w:val="12"/>
        </w:rPr>
        <w:t>cf-art-21-inc-XII-ali-b</w:t>
      </w:r>
      <w:r>
        <w:rPr>
          <w:color w:val="003CA0"/>
          <w:sz w:val="12"/>
        </w:rPr>
        <w:t xml:space="preserve"> | ADI 2.337</w:t>
      </w:r>
      <w:r>
        <w:rPr>
          <w:color w:val="003CA0"/>
          <w:sz w:val="12"/>
        </w:rPr>
        <w:t xml:space="preserve"> | rel. Celso de Mello</w:t>
      </w:r>
    </w:p>
    <w:p>
      <w:pPr>
        <w:ind w:left="288"/>
      </w:pPr>
      <w:r>
        <w:rPr>
          <w:color w:val="1E1E1E"/>
          <w:sz w:val="18"/>
        </w:rPr>
        <w:t>Os Estados-membros – que não podem interferir na esfera das relações jurídico-contratuais estabelecidas entre o poder concedente (quando este for a União Federal ou o Município) e as empresas concessionárias – também não dispõem de competência para modificar ou alterar as condições, que, previstas na licitação, acham-se formalmente estipuladas no contrato de concessão celebrado pela União (energia elétrica – CF, art. 21, XII, b) e pelo Município (fornecimento de água – CF, art. 30, I e V), de um lado, com as concessionárias, de outro, notadamente se essa ingerência normativa, ao determinar a s</w:t>
      </w:r>
    </w:p>
    <w:p>
      <w:pPr>
        <w:ind w:left="288"/>
      </w:pPr>
      <w:r>
        <w:rPr>
          <w:b/>
          <w:color w:val="003CA0"/>
          <w:sz w:val="16"/>
        </w:rPr>
        <w:t>[ADI 2.337 MC, rel. min. Celso de Mello, j. 20-2-2002, P, DJ de 21-6-2002.]</w:t>
      </w:r>
    </w:p>
    <w:p>
      <w:pPr>
        <w:ind w:left="144"/>
      </w:pPr>
      <w:r>
        <w:rPr>
          <w:b/>
          <w:color w:val="B45A00"/>
          <w:sz w:val="16"/>
        </w:rPr>
        <w:t>REPERCUSSAO GERAL</w:t>
      </w:r>
    </w:p>
    <w:p>
      <w:pPr>
        <w:ind w:left="288"/>
      </w:pPr>
      <w:r>
        <w:rPr>
          <w:color w:val="8C8C8C"/>
          <w:sz w:val="12"/>
        </w:rPr>
        <w:t>cf-art-21-inc-XII-ali-b</w:t>
      </w:r>
      <w:r>
        <w:rPr>
          <w:color w:val="003CA0"/>
          <w:sz w:val="12"/>
        </w:rPr>
        <w:t xml:space="preserve"> | RE 1.350.965</w:t>
      </w:r>
      <w:r>
        <w:rPr>
          <w:color w:val="003CA0"/>
          <w:sz w:val="12"/>
        </w:rPr>
        <w:t xml:space="preserve"> | rel. Luiz Fux</w:t>
      </w:r>
    </w:p>
    <w:p>
      <w:pPr>
        <w:ind w:left="288"/>
      </w:pPr>
      <w:r>
        <w:rPr>
          <w:color w:val="1E1E1E"/>
          <w:sz w:val="18"/>
        </w:rPr>
        <w:t>É infraconstitucional, a ela se aplicando os efeitos da ausência de repercussão geral, a controvérsia relativa à extrapolação dos limites do poder regulamentar pela Agência Nacional de Energia Elétrica (ANEEL), na edição das Resoluções 414/2010, 479/2012 e 587/2013, as quais determinam a transferência aos municípios do sistema de iluminação pública registrado como Ativo Imobilizado em Serviço AIS da distribuidora de energia elétrica.</w:t>
        <w:br/>
        <w:t>[RE 1.350.965 RG, rel. min. Luiz Fux, j. 11-11-2021, P, DJE de 6-12-2021, Tema 1.181, com repercussão geral negada.] Taxa de uso e ocupação de solo e espaço aéreo</w:t>
      </w:r>
    </w:p>
    <w:p>
      <w:pPr>
        <w:ind w:left="144"/>
      </w:pPr>
      <w:r>
        <w:rPr>
          <w:b/>
          <w:color w:val="B45A00"/>
          <w:sz w:val="16"/>
        </w:rPr>
        <w:t>JULGADOS CORRELATOS</w:t>
      </w:r>
    </w:p>
    <w:p>
      <w:pPr>
        <w:ind w:left="288"/>
      </w:pPr>
      <w:r>
        <w:rPr>
          <w:color w:val="8C8C8C"/>
          <w:sz w:val="12"/>
        </w:rPr>
        <w:t>cf-art-21-inc-XII-ali-c</w:t>
      </w:r>
      <w:r>
        <w:rPr>
          <w:color w:val="003CA0"/>
          <w:sz w:val="12"/>
        </w:rPr>
        <w:t xml:space="preserve"> | RE 363.412</w:t>
      </w:r>
      <w:r>
        <w:rPr>
          <w:color w:val="003CA0"/>
          <w:sz w:val="12"/>
        </w:rPr>
        <w:t xml:space="preserve"> | rel. Celso de Mello</w:t>
      </w:r>
    </w:p>
    <w:p>
      <w:pPr>
        <w:ind w:left="288"/>
      </w:pPr>
      <w:r>
        <w:rPr>
          <w:color w:val="1E1E1E"/>
          <w:sz w:val="18"/>
        </w:rPr>
        <w:t>A Infraero, que é empresa pública, executa como atividade-fim, em regime de monopólio, serviços de infraestrutura aeroportuária constitucionalmente outorgados à União Federal, qualificando-se, em razão de sua específica destinação institucional, como entidade delegatária dos serviços públicos a que se refere o art. 21, XII, c, da Lei Fundamental, o que exclui essa empresa governamental, em matéria de impostos, por efeito da imunidade tributária recíproca (CF, art. 150, VI, a), do poder de tributar dos entes políticos em geral.</w:t>
      </w:r>
    </w:p>
    <w:p>
      <w:pPr>
        <w:ind w:left="288"/>
      </w:pPr>
      <w:r>
        <w:rPr>
          <w:b/>
          <w:color w:val="003CA0"/>
          <w:sz w:val="16"/>
        </w:rPr>
        <w:t>[RE 363.412 AgR, rel. min. Celso de Mello, j. 7-8-2007, 2ª T, DJE de 19-9-2008.]</w:t>
      </w:r>
    </w:p>
    <w:p>
      <w:pPr>
        <w:ind w:left="144"/>
      </w:pPr>
      <w:r>
        <w:rPr>
          <w:b/>
          <w:color w:val="B45A00"/>
          <w:sz w:val="16"/>
        </w:rPr>
        <w:t>CONTROLE CONCENTRADO</w:t>
      </w:r>
    </w:p>
    <w:p>
      <w:pPr>
        <w:ind w:left="288"/>
      </w:pPr>
      <w:r>
        <w:rPr>
          <w:color w:val="8C8C8C"/>
          <w:sz w:val="12"/>
        </w:rPr>
        <w:t>cf-art-21-inc-XII-ali-e</w:t>
      </w:r>
      <w:r>
        <w:rPr>
          <w:color w:val="003CA0"/>
          <w:sz w:val="12"/>
        </w:rPr>
        <w:t xml:space="preserve"> | ADI 5.549</w:t>
      </w:r>
      <w:r>
        <w:rPr>
          <w:color w:val="003CA0"/>
          <w:sz w:val="12"/>
        </w:rPr>
        <w:t xml:space="preserve"> | rel. Luiz Fux</w:t>
      </w:r>
    </w:p>
    <w:p>
      <w:pPr>
        <w:ind w:left="288"/>
      </w:pPr>
      <w:r>
        <w:rPr>
          <w:color w:val="1E1E1E"/>
          <w:sz w:val="18"/>
        </w:rPr>
        <w:t>A assimetria regulatória estabelecida no artigo 21, XII, e, da Constituição Federal assegurou a possibilidade de se outorgar a prestação de transporte rodoviário interestadual e internacional de passageiros (TRIIP) por autorização de serviço público, máxime em razão da inexistência de restrições à oferta que justifiquem a oposição de barreiras à entrada de concorrentes no setor; da descentralização à agência reguladora de poderes para assegurar a observância de aspectos qualitativos inerentes à adequada prestação do serviço; e de a abertura do mercado para novos entrantes contribuir para a uni</w:t>
      </w:r>
    </w:p>
    <w:p>
      <w:pPr>
        <w:ind w:left="144"/>
      </w:pPr>
      <w:r>
        <w:rPr>
          <w:b/>
          <w:color w:val="B45A00"/>
          <w:sz w:val="16"/>
        </w:rPr>
        <w:t>JULGADOS CORRELATOS</w:t>
      </w:r>
    </w:p>
    <w:p>
      <w:pPr>
        <w:ind w:left="288"/>
      </w:pPr>
      <w:r>
        <w:rPr>
          <w:color w:val="8C8C8C"/>
          <w:sz w:val="12"/>
        </w:rPr>
        <w:t>cf-art-21-inc-XII-ali-e</w:t>
      </w:r>
      <w:r>
        <w:rPr>
          <w:color w:val="003CA0"/>
          <w:sz w:val="12"/>
        </w:rPr>
        <w:t xml:space="preserve"> | MS 27.516</w:t>
      </w:r>
      <w:r>
        <w:rPr>
          <w:color w:val="003CA0"/>
          <w:sz w:val="12"/>
        </w:rPr>
        <w:t xml:space="preserve"> | rel. Ellen Gracie</w:t>
      </w:r>
    </w:p>
    <w:p>
      <w:pPr>
        <w:ind w:left="288"/>
      </w:pPr>
      <w:r>
        <w:rPr>
          <w:color w:val="1E1E1E"/>
          <w:sz w:val="18"/>
        </w:rPr>
        <w:t>A titularidade dos serviços de transporte rodoviário interestadual e internacional de passageiros, nos termos do art. 21, XII, e, da CF, é da União. É possível a desestatização de serviços públicos já explorados por particulares, de responsabilidade da União, conforme disposto no art. 2º, § 1º, b, parte final, da Lei 9.491/1997.</w:t>
      </w:r>
    </w:p>
    <w:p>
      <w:pPr>
        <w:ind w:left="288"/>
      </w:pPr>
      <w:r>
        <w:rPr>
          <w:b/>
          <w:color w:val="003CA0"/>
          <w:sz w:val="16"/>
        </w:rPr>
        <w:t>[MS 27.516, rel. min. Ellen Gracie, j. 22-10-2008, P, DJE de 5-12-2008.]</w:t>
      </w:r>
    </w:p>
    <w:p>
      <w:pPr>
        <w:ind w:left="288"/>
      </w:pPr>
      <w:r>
        <w:rPr>
          <w:color w:val="8C8C8C"/>
          <w:sz w:val="12"/>
        </w:rPr>
        <w:t>cf-art-21-inc-XII-ali-e</w:t>
      </w:r>
      <w:r>
        <w:rPr>
          <w:color w:val="003CA0"/>
          <w:sz w:val="12"/>
        </w:rPr>
        <w:t xml:space="preserve"> | RE 214.382</w:t>
      </w:r>
      <w:r>
        <w:rPr>
          <w:color w:val="003CA0"/>
          <w:sz w:val="12"/>
        </w:rPr>
        <w:t xml:space="preserve"> | rel. Octavio Gallotti</w:t>
      </w:r>
    </w:p>
    <w:p>
      <w:pPr>
        <w:ind w:left="288"/>
      </w:pPr>
      <w:r>
        <w:rPr>
          <w:color w:val="1E1E1E"/>
          <w:sz w:val="18"/>
        </w:rPr>
        <w:t>Transporte rodoviário interestadual de passageiros. Não pode ser dispensada, a título de proteção da livre iniciativa, a regular autorização, concessão ou permissão da União, para a sua exploração por empresa particular. Recurso extraordinário provido por contrariedade ao disposto no art. 21, XII, e, da CF.</w:t>
      </w:r>
    </w:p>
    <w:p>
      <w:pPr>
        <w:ind w:left="288"/>
      </w:pPr>
      <w:r>
        <w:rPr>
          <w:b/>
          <w:color w:val="003CA0"/>
          <w:sz w:val="16"/>
        </w:rPr>
        <w:t>[RE 214.382, rel. min. Octavio Gallotti, j. 21-9-1999, 1ª T, DJ de 19-11-1999.]</w:t>
      </w:r>
    </w:p>
    <w:p>
      <w:pPr>
        <w:ind w:left="288"/>
      </w:pPr>
      <w:r>
        <w:rPr>
          <w:color w:val="8C8C8C"/>
          <w:sz w:val="12"/>
        </w:rPr>
        <w:t>cf-art-21-inc-XII-ali-f</w:t>
      </w:r>
      <w:r>
        <w:rPr>
          <w:color w:val="003CA0"/>
          <w:sz w:val="12"/>
        </w:rPr>
        <w:t xml:space="preserve"> | RE 253.472</w:t>
      </w:r>
    </w:p>
    <w:p>
      <w:pPr>
        <w:ind w:left="288"/>
      </w:pPr>
      <w:r>
        <w:rPr>
          <w:color w:val="1E1E1E"/>
          <w:sz w:val="18"/>
        </w:rPr>
        <w:t>(...) a exploração dos portos marítimos, fluviais e lacustres caracteriza-se como serviço público. O controle acionário da Codesp pertence em sua quase totalidade à União (99,97%). Falta da indicação de que a atividade da pessoa jurídica satisfaça primordialmente interesse de acúmulo patrimonial público ou privado. Não há indicação de risco de quebra do equilíbrio concorrencial ou de livre iniciativa, eis que ausente comprovação de que a Codesp concorra com outras entidades no campo de sua atuação.</w:t>
      </w:r>
    </w:p>
    <w:p>
      <w:pPr>
        <w:ind w:left="288"/>
      </w:pPr>
      <w:r>
        <w:rPr>
          <w:b/>
          <w:color w:val="003CA0"/>
          <w:sz w:val="16"/>
        </w:rPr>
        <w:t>[RE 253.472, red. do ac. min. Joaquim Barbosa, j. 25-8-2010, P, DJE de 1º-2-2011.]</w:t>
      </w:r>
    </w:p>
    <w:p>
      <w:pPr>
        <w:ind w:left="288"/>
      </w:pPr>
      <w:r>
        <w:rPr>
          <w:color w:val="8C8C8C"/>
          <w:sz w:val="12"/>
        </w:rPr>
        <w:t>cf-art-21-inc-XII-ali-f</w:t>
      </w:r>
      <w:r>
        <w:rPr>
          <w:color w:val="003CA0"/>
          <w:sz w:val="12"/>
        </w:rPr>
        <w:t xml:space="preserve"> | RE 458.164</w:t>
      </w:r>
      <w:r>
        <w:rPr>
          <w:color w:val="003CA0"/>
          <w:sz w:val="12"/>
        </w:rPr>
        <w:t xml:space="preserve"> | rel. Celso de Mello</w:t>
      </w:r>
    </w:p>
    <w:p>
      <w:pPr>
        <w:ind w:left="288"/>
      </w:pPr>
      <w:r>
        <w:rPr>
          <w:color w:val="1E1E1E"/>
          <w:sz w:val="18"/>
        </w:rPr>
        <w:t>= RE 458.164 AgR, rel. min. Celso de Mello, j. 21-6-2011, 2ª T, DJE de 23-8-2011 Imóveis situados no porto, área de domínio público da União, e que se encontram sob custódia da companhia, em razão de delegação prevista na Lei de Concessões Portuárias. Não incidência do IPTU, por tratar-se de bem e serviço de competência atribuída ao poder público (arts. 21, XII, f, e 150, VI, da CF).</w:t>
      </w:r>
    </w:p>
    <w:p>
      <w:pPr>
        <w:ind w:left="288"/>
      </w:pPr>
      <w:r>
        <w:rPr>
          <w:b/>
          <w:color w:val="003CA0"/>
          <w:sz w:val="16"/>
        </w:rPr>
        <w:t>[AI 458.856 AgR, rel. min. Eros Grau, j. 5-10-2004, 1ª T, DJ de 20-4-2007.]</w:t>
      </w:r>
    </w:p>
    <w:p>
      <w:pPr>
        <w:ind w:left="288"/>
      </w:pPr>
      <w:r>
        <w:rPr>
          <w:color w:val="8C8C8C"/>
          <w:sz w:val="12"/>
        </w:rPr>
        <w:t>cf-art-21-inc-XII-ali-f</w:t>
      </w:r>
      <w:r>
        <w:rPr>
          <w:color w:val="003CA0"/>
          <w:sz w:val="12"/>
        </w:rPr>
        <w:t xml:space="preserve"> | RE 172.816</w:t>
      </w:r>
      <w:r>
        <w:rPr>
          <w:color w:val="003CA0"/>
          <w:sz w:val="12"/>
        </w:rPr>
        <w:t xml:space="preserve"> | rel. Paulo Brossard</w:t>
      </w:r>
    </w:p>
    <w:p>
      <w:pPr>
        <w:ind w:left="288"/>
      </w:pPr>
      <w:r>
        <w:rPr>
          <w:color w:val="1E1E1E"/>
          <w:sz w:val="18"/>
        </w:rPr>
        <w:t>Competindo à União, e só a ela, explorar diretamente ou mediante autorização, concessão ou permissão, os portos marítimos, fluviais e lacustres, art. 21, XII, f, da CF, está caracterizada a natureza pública do serviço de docas. A Companhia Docas do Rio de Janeiro, sociedade de economia mista federal, incumbida de explorar o serviço portuário em regime de exclusividade, não pode ter bem desapropriado pelo Estado. Inexistência, no caso, de autorização legislativa.</w:t>
      </w:r>
    </w:p>
    <w:p>
      <w:pPr>
        <w:ind w:left="288"/>
      </w:pPr>
      <w:r>
        <w:rPr>
          <w:b/>
          <w:color w:val="003CA0"/>
          <w:sz w:val="16"/>
        </w:rPr>
        <w:t>[RE 172.816, rel. min. Paulo Brossard, j. 9-2-1994, DJ de 13-5-1994.]</w:t>
      </w:r>
    </w:p>
    <w:p>
      <w:pPr>
        <w:ind w:left="288"/>
      </w:pPr>
      <w:r>
        <w:rPr>
          <w:color w:val="8C8C8C"/>
          <w:sz w:val="12"/>
        </w:rPr>
        <w:t>cf-art-21-inc-XII-ali-f</w:t>
      </w:r>
      <w:r>
        <w:rPr>
          <w:color w:val="003CA0"/>
          <w:sz w:val="12"/>
        </w:rPr>
        <w:t xml:space="preserve"> | RE 253.472</w:t>
      </w:r>
      <w:r>
        <w:rPr>
          <w:color w:val="003CA0"/>
          <w:sz w:val="12"/>
        </w:rPr>
        <w:t xml:space="preserve"> | rel. Marco Aurélio</w:t>
      </w:r>
    </w:p>
    <w:p>
      <w:pPr>
        <w:ind w:left="288"/>
      </w:pPr>
      <w:r>
        <w:rPr>
          <w:color w:val="1E1E1E"/>
          <w:sz w:val="18"/>
        </w:rPr>
        <w:t>Vide RE 253.472, red. do ac. min. Joaquim Barbosa, rel. min. Marco Aurélio, j. 25-8-2010, P, DJE de 1º-2-2011</w:t>
      </w:r>
    </w:p>
    <w:p>
      <w:pPr>
        <w:ind w:left="144"/>
      </w:pPr>
      <w:r>
        <w:rPr>
          <w:b/>
          <w:color w:val="B45A00"/>
          <w:sz w:val="16"/>
        </w:rPr>
        <w:t>CONTROLE CONCENTRADO</w:t>
      </w:r>
    </w:p>
    <w:p>
      <w:pPr>
        <w:ind w:left="288"/>
      </w:pPr>
      <w:r>
        <w:rPr>
          <w:color w:val="8C8C8C"/>
          <w:sz w:val="12"/>
        </w:rPr>
        <w:t>cf-art-21-inc-XIII</w:t>
      </w:r>
      <w:r>
        <w:rPr>
          <w:color w:val="003CA0"/>
          <w:sz w:val="12"/>
        </w:rPr>
        <w:t xml:space="preserve"> | ADI 7.171</w:t>
      </w:r>
      <w:r>
        <w:rPr>
          <w:color w:val="003CA0"/>
          <w:sz w:val="12"/>
        </w:rPr>
        <w:t xml:space="preserve"> | rel. Alexandre de Moraes</w:t>
      </w:r>
    </w:p>
    <w:p>
      <w:pPr>
        <w:ind w:left="288"/>
      </w:pPr>
      <w:r>
        <w:rPr>
          <w:color w:val="1E1E1E"/>
          <w:sz w:val="18"/>
        </w:rPr>
        <w:t>A Lei 9.613/1998, ao tratar de bens, direitos ou valores objeto de constrição judicial, em virtude de decretação de medida assecuratória ou pela perda em razão de condenação criminal, previu a sua destinação à União ou aos Estados, a depender da respectiva competência do órgão julgador, sem a previsão do Distrito Federal no rol de destinatários, mesmo nas hipóteses de competência da Justiça do Distrito Federal. Compete à União, nos termos do art. 21, incisos XIII e XIV da Constituição Federal, organizar e manter o Poder Judiciário, o Ministério Público e os órgãos de segurança pública do Distr</w:t>
      </w:r>
    </w:p>
    <w:p>
      <w:pPr>
        <w:ind w:left="288"/>
      </w:pPr>
      <w:r>
        <w:rPr>
          <w:b/>
          <w:color w:val="003CA0"/>
          <w:sz w:val="16"/>
        </w:rPr>
        <w:t>[ADI 7.171, rel. min. Alexandre de Moraes, j. 24-10-2022, P, DJE de 7-11-2022.]</w:t>
      </w:r>
    </w:p>
    <w:p>
      <w:pPr>
        <w:ind w:left="144"/>
      </w:pPr>
      <w:r>
        <w:rPr>
          <w:b/>
          <w:color w:val="B45A00"/>
          <w:sz w:val="16"/>
        </w:rPr>
        <w:t>JULGADOS CORRELATOS</w:t>
      </w:r>
    </w:p>
    <w:p>
      <w:pPr>
        <w:ind w:left="288"/>
      </w:pPr>
      <w:r>
        <w:rPr>
          <w:color w:val="8C8C8C"/>
          <w:sz w:val="12"/>
        </w:rPr>
        <w:t>cf-art-21-inc-XIII</w:t>
      </w:r>
      <w:r>
        <w:rPr>
          <w:color w:val="003CA0"/>
          <w:sz w:val="12"/>
        </w:rPr>
        <w:t xml:space="preserve"> | MS 25.997</w:t>
      </w:r>
      <w:r>
        <w:rPr>
          <w:color w:val="003CA0"/>
          <w:sz w:val="12"/>
        </w:rPr>
        <w:t xml:space="preserve"> | rel. Marco Aurélio</w:t>
      </w:r>
    </w:p>
    <w:p>
      <w:pPr>
        <w:ind w:left="288"/>
      </w:pPr>
      <w:r>
        <w:rPr>
          <w:color w:val="1E1E1E"/>
          <w:sz w:val="18"/>
        </w:rPr>
        <w:t>O fato de incumbir à União organizar e manter o MPDFT sinaliza a inadequação de considerar-se percentual do que previsto, para gasto pessoal, pelo MPF – inteligência dos arts. 21, XIII, e 169 da CF e 20, I, c e d, da LC 101/2000.</w:t>
      </w:r>
    </w:p>
    <w:p>
      <w:pPr>
        <w:ind w:left="288"/>
      </w:pPr>
      <w:r>
        <w:rPr>
          <w:b/>
          <w:color w:val="003CA0"/>
          <w:sz w:val="16"/>
        </w:rPr>
        <w:t>[MS 25.997, rel. min. Marco Aurélio, j. 5-4-2016, 1ª T, DJE de 30-5-2016.]</w:t>
      </w:r>
    </w:p>
    <w:p>
      <w:pPr>
        <w:ind w:left="288"/>
      </w:pPr>
      <w:r>
        <w:rPr>
          <w:color w:val="8C8C8C"/>
          <w:sz w:val="12"/>
        </w:rPr>
        <w:t>cf-art-21-inc-XIII</w:t>
      </w:r>
    </w:p>
    <w:p>
      <w:pPr>
        <w:ind w:left="288"/>
      </w:pPr>
      <w:r>
        <w:rPr>
          <w:color w:val="1E1E1E"/>
          <w:sz w:val="18"/>
        </w:rPr>
        <w:t>XIV - organizar e manter a polícia civil, a polícia penal, a polícia militar e o corpo de bombeiros militar do Distrito Federal, bem como prestar assistência financeira ao Distrito Federal para a execução de serviços públicos, por meio de fundo próprio; (Redação da EC n. 104/2019)</w:t>
      </w:r>
    </w:p>
    <w:p>
      <w:pPr>
        <w:ind w:left="144"/>
      </w:pPr>
      <w:r>
        <w:rPr>
          <w:b/>
          <w:color w:val="B45A00"/>
          <w:sz w:val="16"/>
        </w:rPr>
        <w:t>SUMULA VINCULANTE</w:t>
      </w:r>
    </w:p>
    <w:p>
      <w:pPr>
        <w:ind w:left="288"/>
      </w:pPr>
      <w:r>
        <w:rPr>
          <w:color w:val="8C8C8C"/>
          <w:sz w:val="12"/>
        </w:rPr>
        <w:t>cf-art-21-inc-XIII</w:t>
      </w:r>
    </w:p>
    <w:p>
      <w:pPr>
        <w:ind w:left="288"/>
      </w:pPr>
      <w:r>
        <w:rPr>
          <w:color w:val="1E1E1E"/>
          <w:sz w:val="18"/>
        </w:rPr>
        <w:t>Compete privativamente à União legislar sobre vencimentos dos membros das Polícias Civil e Militar e do Corpo de Bombeiros Militar do Distrito Federal.</w:t>
      </w:r>
    </w:p>
    <w:p>
      <w:pPr>
        <w:ind w:left="288"/>
      </w:pPr>
      <w:r>
        <w:rPr>
          <w:b/>
          <w:color w:val="003CA0"/>
          <w:sz w:val="16"/>
        </w:rPr>
        <w:t>[Súmula Vinculante 39.]</w:t>
      </w:r>
    </w:p>
    <w:p>
      <w:pPr>
        <w:ind w:left="144"/>
      </w:pPr>
      <w:r>
        <w:rPr>
          <w:b/>
          <w:color w:val="B45A00"/>
          <w:sz w:val="16"/>
        </w:rPr>
        <w:t>CONTROLE CONCENTRADO</w:t>
      </w:r>
    </w:p>
    <w:p>
      <w:pPr>
        <w:ind w:left="288"/>
      </w:pPr>
      <w:r>
        <w:rPr>
          <w:color w:val="8C8C8C"/>
          <w:sz w:val="12"/>
        </w:rPr>
        <w:t>cf-art-21-inc-XIII</w:t>
      </w:r>
      <w:r>
        <w:rPr>
          <w:color w:val="003CA0"/>
          <w:sz w:val="12"/>
        </w:rPr>
        <w:t xml:space="preserve"> | ADI 5.801</w:t>
      </w:r>
      <w:r>
        <w:rPr>
          <w:color w:val="003CA0"/>
          <w:sz w:val="12"/>
        </w:rPr>
        <w:t xml:space="preserve"> | rel. Luiz Fux</w:t>
      </w:r>
    </w:p>
    <w:p>
      <w:pPr>
        <w:ind w:left="288"/>
      </w:pPr>
      <w:r>
        <w:rPr>
          <w:color w:val="1E1E1E"/>
          <w:sz w:val="18"/>
        </w:rPr>
        <w:t>A competência legislativa da União para dispor sobre regime jurídico, vencimentos e carreira das polícias civil e militar e do corpo de bombeiros militar do Distrito Federal (art. 21, XIV, da CRFB/88) é diversa da competência legislativa relativa à regime de previdência social dessas instituições.</w:t>
        <w:br/>
        <w:t>[ADI 5.801, rel. min. Luiz Fux, j. 02.09.2024, P, DJE de 20.09.2024.] Ao instituir a chamada "gratificação por risco de vida"  dos policiais e bombeiros militares do Distrito Federal, o Poder Legislativo distrital usurpou a competência material da União para "organizar e manter a polícia civil, a pol</w:t>
      </w:r>
    </w:p>
    <w:p>
      <w:pPr>
        <w:ind w:left="288"/>
      </w:pPr>
      <w:r>
        <w:rPr>
          <w:b/>
          <w:color w:val="003CA0"/>
          <w:sz w:val="16"/>
        </w:rPr>
        <w:t>[ADI 1.045, rel. min. Marco Aurélio, j. 15-4-2009, P, DJE de 12-6-2009.]</w:t>
      </w:r>
    </w:p>
    <w:p>
      <w:pPr>
        <w:ind w:left="288"/>
      </w:pPr>
      <w:r>
        <w:rPr>
          <w:color w:val="8C8C8C"/>
          <w:sz w:val="12"/>
        </w:rPr>
        <w:t>cf-art-21-inc-XIII</w:t>
      </w:r>
      <w:r>
        <w:rPr>
          <w:color w:val="003CA0"/>
          <w:sz w:val="12"/>
        </w:rPr>
        <w:t xml:space="preserve"> | RE 648.946</w:t>
      </w:r>
      <w:r>
        <w:rPr>
          <w:color w:val="003CA0"/>
          <w:sz w:val="12"/>
        </w:rPr>
        <w:t xml:space="preserve"> | rel. Cármen Lúcia</w:t>
      </w:r>
    </w:p>
    <w:p>
      <w:pPr>
        <w:ind w:left="288"/>
      </w:pPr>
      <w:r>
        <w:rPr>
          <w:color w:val="1E1E1E"/>
          <w:sz w:val="18"/>
        </w:rPr>
        <w:t>= RE 648.946 AgR, rel. min. Cármen Lúcia, j. 25-9-2012, 2ª T, DJE de 19-10-2012 Art. 3º da Lei distrital 3.556/2005. Servidores das carreiras policiais civis cedidos à administração pública direta e indireta da União e do Distrito Federal: tempo de serviço considerado pela norma questionada como de efetivo exercício de atividade policial. Ampliação do benefício de aposentadoria especial dos policiais civis estabelecidos no art. 1º da LC federal 51, de 20-12-1985. (...) Inconstitucionalidade formal por desobediência ao art. 21, XIV, da Constituição da República, que outorga competência privativ</w:t>
      </w:r>
    </w:p>
    <w:p>
      <w:pPr>
        <w:ind w:left="288"/>
      </w:pPr>
      <w:r>
        <w:rPr>
          <w:b/>
          <w:color w:val="003CA0"/>
          <w:sz w:val="16"/>
        </w:rPr>
        <w:t>[ADI 2.705, rel. min. Ellen Gracie, j. 9-10-2003, P, DJ de 31-10-2003.]</w:t>
      </w:r>
    </w:p>
    <w:p>
      <w:pPr>
        <w:ind w:left="288"/>
      </w:pPr>
      <w:r>
        <w:rPr>
          <w:color w:val="8C8C8C"/>
          <w:sz w:val="12"/>
        </w:rPr>
        <w:t>cf-art-21-inc-XIII</w:t>
      </w:r>
    </w:p>
    <w:p>
      <w:pPr>
        <w:ind w:left="288"/>
      </w:pPr>
      <w:r>
        <w:rPr>
          <w:color w:val="1E1E1E"/>
          <w:sz w:val="18"/>
        </w:rPr>
        <w:t>XV - organizar e manter os serviços oficiais de estatística, geografia, geologia e cartografia de âmbito nacional;</w:t>
      </w:r>
    </w:p>
    <w:p>
      <w:pPr>
        <w:ind w:left="288"/>
      </w:pPr>
      <w:r>
        <w:rPr>
          <w:color w:val="8C8C8C"/>
          <w:sz w:val="12"/>
        </w:rPr>
        <w:t>cf-art-21-inc-XIII</w:t>
      </w:r>
      <w:r>
        <w:rPr>
          <w:color w:val="003CA0"/>
          <w:sz w:val="12"/>
        </w:rPr>
        <w:t xml:space="preserve"> | ADI 158</w:t>
      </w:r>
      <w:r>
        <w:rPr>
          <w:color w:val="003CA0"/>
          <w:sz w:val="12"/>
        </w:rPr>
        <w:t xml:space="preserve"> | rel. Celso de Mello</w:t>
      </w:r>
    </w:p>
    <w:p>
      <w:pPr>
        <w:ind w:left="288"/>
      </w:pPr>
      <w:r>
        <w:rPr>
          <w:color w:val="1E1E1E"/>
          <w:sz w:val="18"/>
        </w:rPr>
        <w:t>Os Estados-membros e o Distrito Federal não dispõem de competência para legislar sobre horário de verão, eis que falece a qualquer ente federado competência legislativa para dispor sobre o seu próprio horário, considerada a dimensão nacional que qualifica essa particular atribuição que a Constituição da República outorgou, em regime de exclusividade, à União Federal, sob pena de entendimento em sentido contrário gerar a possibilidade anárquica de o Brasil vir a submeter-se a tantas horas oficiais quantas forem as unidades da Federação.</w:t>
      </w:r>
    </w:p>
    <w:p>
      <w:pPr>
        <w:ind w:left="288"/>
      </w:pPr>
      <w:r>
        <w:rPr>
          <w:b/>
          <w:color w:val="003CA0"/>
          <w:sz w:val="16"/>
        </w:rPr>
        <w:t>[ADI 158, rel. min. Celso de Mello, j. 1º-8-2018, P, DJE de 28-8-2018.]</w:t>
      </w:r>
    </w:p>
    <w:p>
      <w:pPr>
        <w:ind w:left="288"/>
      </w:pPr>
      <w:r>
        <w:rPr>
          <w:color w:val="8C8C8C"/>
          <w:sz w:val="12"/>
        </w:rPr>
        <w:t>cf-art-21-inc-XIII</w:t>
      </w:r>
    </w:p>
    <w:p>
      <w:pPr>
        <w:ind w:left="288"/>
      </w:pPr>
      <w:r>
        <w:rPr>
          <w:color w:val="1E1E1E"/>
          <w:sz w:val="18"/>
        </w:rPr>
        <w:t>XVI - exercer a classificação, para efeito indicativo, de diversões públicas e de programas de rádio e televisão;</w:t>
      </w:r>
    </w:p>
    <w:p>
      <w:pPr>
        <w:ind w:left="288"/>
      </w:pPr>
      <w:r>
        <w:rPr>
          <w:color w:val="8C8C8C"/>
          <w:sz w:val="12"/>
        </w:rPr>
        <w:t>cf-art-21-inc-XIII</w:t>
      </w:r>
      <w:r>
        <w:rPr>
          <w:color w:val="003CA0"/>
          <w:sz w:val="12"/>
        </w:rPr>
        <w:t xml:space="preserve"> | ADI 2.404</w:t>
      </w:r>
      <w:r>
        <w:rPr>
          <w:color w:val="003CA0"/>
          <w:sz w:val="12"/>
        </w:rPr>
        <w:t xml:space="preserve"> | rel. Dias Toffoli</w:t>
      </w:r>
    </w:p>
    <w:p>
      <w:pPr>
        <w:ind w:left="288"/>
      </w:pPr>
      <w:r>
        <w:rPr>
          <w:color w:val="1E1E1E"/>
          <w:sz w:val="18"/>
        </w:rPr>
        <w:t>A própria Constituição da República delineou as regras de sopesamento entre os valores da liberdade de expressão dos meios de comunicação e da proteção da criança e do adolescente. Apesar da garantia constitucional da liberdade de expressão, livre de censura ou licença, a própria Carta de 1988 conferiu à União, com exclusividade, no art. 21,  XVI, o desempenho da atividade material de "exercer a classificação, para efeito indicativo, de diversões públicas e de programas de rádio e televisão". A CF estabeleceu mecanismo apto a oferecer aos telespectadores das diversões públicas e de programas d</w:t>
      </w:r>
    </w:p>
    <w:p>
      <w:pPr>
        <w:ind w:left="288"/>
      </w:pPr>
      <w:r>
        <w:rPr>
          <w:color w:val="8C8C8C"/>
          <w:sz w:val="12"/>
        </w:rPr>
        <w:t>cf-art-21-inc-XIII</w:t>
      </w:r>
      <w:r>
        <w:rPr>
          <w:color w:val="003CA0"/>
          <w:sz w:val="12"/>
        </w:rPr>
        <w:t xml:space="preserve"> | ADPF 153</w:t>
      </w:r>
      <w:r>
        <w:rPr>
          <w:color w:val="003CA0"/>
          <w:sz w:val="12"/>
        </w:rPr>
        <w:t xml:space="preserve"> | rel. Eros Grau</w:t>
      </w:r>
    </w:p>
    <w:p>
      <w:pPr>
        <w:ind w:left="288"/>
      </w:pPr>
      <w:r>
        <w:rPr>
          <w:color w:val="1E1E1E"/>
          <w:sz w:val="18"/>
        </w:rPr>
        <w:t>Lei 6.683/1979, a chamada "Lei de Anistia". (...) A lei estendeu a conexão aos crimes praticados pelos agentes do Estado contra os que lutavam contra o Estado de exceção; daí o caráter bilateral da anistia, ampla e geral, que somente não foi irrestrita porque não abrangia os já condenados – e com sentença transitada em julgado, qual o Supremo assentou – pela prática de crimes de terrorismo, assalto, sequestro e atentado pessoal. (...) É a realidade histórico-social da migração da ditadura para a democracia política, da transição conciliada de 1979, que há de ser ponderada para que possamos dis</w:t>
      </w:r>
    </w:p>
    <w:p>
      <w:pPr>
        <w:ind w:left="288"/>
      </w:pPr>
      <w:r>
        <w:rPr>
          <w:b/>
          <w:color w:val="003CA0"/>
          <w:sz w:val="16"/>
        </w:rPr>
        <w:t>[ADPF 153, rel. min. Eros Grau, j. 29-4-2010, P, DJE de 6-8-2010.]</w:t>
      </w:r>
    </w:p>
    <w:p>
      <w:pPr>
        <w:ind w:left="288"/>
      </w:pPr>
      <w:r>
        <w:rPr>
          <w:color w:val="8C8C8C"/>
          <w:sz w:val="12"/>
        </w:rPr>
        <w:t>cf-art-21-inc-XIII</w:t>
      </w:r>
      <w:r>
        <w:rPr>
          <w:color w:val="003CA0"/>
          <w:sz w:val="12"/>
        </w:rPr>
        <w:t xml:space="preserve"> | RP 696</w:t>
      </w:r>
      <w:r>
        <w:rPr>
          <w:color w:val="003CA0"/>
          <w:sz w:val="12"/>
        </w:rPr>
        <w:t xml:space="preserve"> | rel. Sepúlveda Pertence</w:t>
      </w:r>
    </w:p>
    <w:p>
      <w:pPr>
        <w:ind w:left="288"/>
      </w:pPr>
      <w:r>
        <w:rPr>
          <w:color w:val="1E1E1E"/>
          <w:sz w:val="18"/>
        </w:rPr>
        <w:t xml:space="preserve">Anistia de infrações disciplinares de servidores estaduais: competência do Estado-membro respectivo. Só quando se cuidar de anistia de crimes – que se caracteriza como abolitio criminis de efeito temporário e só retroativo – a competência exclusiva da União se harmoniza com a competência federal privativa para legislar sobre direito penal; ao contrário, conferir à União – e somente a ela – o poder de anistiar infrações administrativas de servidores locais constituiria exceção radical e inexplicável ao dogma fundamental do princípio federativo – qual seja, a autonomia administrativa de Estados </w:t>
      </w:r>
    </w:p>
    <w:p>
      <w:pPr>
        <w:ind w:left="288"/>
      </w:pPr>
      <w:r>
        <w:rPr>
          <w:b/>
          <w:color w:val="003CA0"/>
          <w:sz w:val="16"/>
        </w:rPr>
        <w:t>[ADI 104, rel. min. Sepúlveda Pertence, j. 4-6-2007, P, DJ de 24-8-2007.]</w:t>
      </w:r>
    </w:p>
    <w:p>
      <w:pPr>
        <w:ind w:left="288"/>
      </w:pPr>
      <w:r>
        <w:rPr>
          <w:color w:val="8C8C8C"/>
          <w:sz w:val="12"/>
        </w:rPr>
        <w:t>cf-art-21-inc-XIII</w:t>
      </w:r>
    </w:p>
    <w:p>
      <w:pPr>
        <w:ind w:left="288"/>
      </w:pPr>
      <w:r>
        <w:rPr>
          <w:color w:val="1E1E1E"/>
          <w:sz w:val="18"/>
        </w:rPr>
        <w:t>XVIII - planejar e promover a defesa permanente contra as calamidades públicas, especialmente as secas e as inundações; XIX - instituir sistema nacional de gerenciamento de recursos hídricos e definir critérios de outorga de direitos de seu uso;</w:t>
      </w:r>
    </w:p>
    <w:p>
      <w:pPr>
        <w:ind w:left="144"/>
      </w:pPr>
      <w:r>
        <w:rPr>
          <w:b/>
          <w:color w:val="B45A00"/>
          <w:sz w:val="16"/>
        </w:rPr>
        <w:t>JULGADOS CORRELATOS</w:t>
      </w:r>
    </w:p>
    <w:p>
      <w:pPr>
        <w:ind w:left="288"/>
      </w:pPr>
      <w:r>
        <w:rPr>
          <w:color w:val="8C8C8C"/>
          <w:sz w:val="12"/>
        </w:rPr>
        <w:t>cf-art-21-inc-XIII</w:t>
      </w:r>
      <w:r>
        <w:rPr>
          <w:color w:val="003CA0"/>
          <w:sz w:val="12"/>
        </w:rPr>
        <w:t xml:space="preserve"> | ACO 787</w:t>
      </w:r>
      <w:r>
        <w:rPr>
          <w:color w:val="003CA0"/>
          <w:sz w:val="12"/>
        </w:rPr>
        <w:t xml:space="preserve"> | rel. Edson Fachin</w:t>
      </w:r>
    </w:p>
    <w:p>
      <w:pPr>
        <w:ind w:left="288"/>
      </w:pPr>
      <w:r>
        <w:rPr>
          <w:color w:val="1E1E1E"/>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w:t>
      </w:r>
    </w:p>
    <w:p>
      <w:pPr>
        <w:ind w:left="288"/>
      </w:pPr>
      <w:r>
        <w:rPr>
          <w:b/>
          <w:color w:val="003CA0"/>
          <w:sz w:val="16"/>
        </w:rPr>
        <w:t>[ACO 787-AgR, rel. min. Edson Fachin, j. 17-12-2022, P, DJE de 31-1-2023.]</w:t>
      </w:r>
    </w:p>
    <w:p>
      <w:pPr>
        <w:ind w:left="288"/>
      </w:pPr>
      <w:r>
        <w:rPr>
          <w:color w:val="8C8C8C"/>
          <w:sz w:val="12"/>
        </w:rPr>
        <w:t>cf-art-21-inc-XX</w:t>
      </w:r>
      <w:r>
        <w:rPr>
          <w:color w:val="003CA0"/>
          <w:sz w:val="12"/>
        </w:rPr>
        <w:t xml:space="preserve"> | ADI 7.546</w:t>
      </w:r>
      <w:r>
        <w:rPr>
          <w:color w:val="003CA0"/>
          <w:sz w:val="12"/>
        </w:rPr>
        <w:t xml:space="preserve"> | rel. Nunes Marques</w:t>
      </w:r>
    </w:p>
    <w:p>
      <w:pPr>
        <w:ind w:left="288"/>
      </w:pPr>
      <w:r>
        <w:rPr>
          <w:color w:val="1E1E1E"/>
          <w:sz w:val="18"/>
        </w:rPr>
        <w:t xml:space="preserve">Compete privativamente à União legislar sobre defesa civil e editar normas gerais sobre a organização dos corpos de bombeiros militares (CF/1988, art. 22, XXI e XXVIII), bem como estabelecer diretrizes para o desenvolvimento urbano e normas gerais de direito urbanístico (CF/1988, arts. 21, XX, e 24, I e § 1º). A Lei n. 13.425/2017, editada pela União, estabelece diretrizes gerais sobre medidas de prevenção e combate a incêndios e a desastres em estabelecimentos, edificações e áreas de reunião de público, prevendo, no art. 3º, § 1º, as sanções administrativas de advertência, multa, interdição, </w:t>
      </w:r>
    </w:p>
    <w:p>
      <w:pPr>
        <w:ind w:left="288"/>
      </w:pPr>
      <w:r>
        <w:rPr>
          <w:b/>
          <w:color w:val="003CA0"/>
          <w:sz w:val="16"/>
        </w:rPr>
        <w:t>[ADI 7.546, rel. min. Nunes Marques, j.18-2-2026, P, DJE de 2-3-2026.]</w:t>
      </w:r>
    </w:p>
    <w:p>
      <w:pPr>
        <w:ind w:left="288"/>
      </w:pPr>
      <w:r>
        <w:rPr>
          <w:color w:val="8C8C8C"/>
          <w:sz w:val="12"/>
        </w:rPr>
        <w:t>cf-art-21-inc-XXII</w:t>
      </w:r>
    </w:p>
    <w:p>
      <w:pPr>
        <w:ind w:left="288"/>
      </w:pPr>
      <w:r>
        <w:rPr>
          <w:color w:val="1E1E1E"/>
          <w:sz w:val="18"/>
        </w:rPr>
        <w:t>XXIII - explorar os serviços e instalações nucleares de qualquer natureza e exercer monopólio estatal sobre a pesquisa, a lavra, o enriquecimento e reprocessamento, a industrialização e o comércio de minérios nucleares e seus derivados, atendidos os seguintes princípios e condições:</w:t>
      </w:r>
    </w:p>
    <w:p>
      <w:pPr>
        <w:ind w:left="288"/>
      </w:pPr>
      <w:r>
        <w:rPr>
          <w:color w:val="8C8C8C"/>
          <w:sz w:val="12"/>
        </w:rPr>
        <w:t>cf-art-21-inc-XXII-ali-c</w:t>
      </w:r>
    </w:p>
    <w:p>
      <w:pPr>
        <w:ind w:left="288"/>
      </w:pPr>
      <w:r>
        <w:rPr>
          <w:color w:val="1E1E1E"/>
          <w:sz w:val="18"/>
        </w:rPr>
        <w:t>XXIV - organizar, manter e executar a inspeção do trabalho;</w:t>
      </w:r>
    </w:p>
    <w:p>
      <w:pPr>
        <w:ind w:left="144"/>
      </w:pPr>
      <w:r>
        <w:rPr>
          <w:b/>
          <w:color w:val="B45A00"/>
          <w:sz w:val="16"/>
        </w:rPr>
        <w:t>CONTROLE CONCENTRADO</w:t>
      </w:r>
    </w:p>
    <w:p>
      <w:pPr>
        <w:ind w:left="288"/>
      </w:pPr>
      <w:r>
        <w:rPr>
          <w:color w:val="8C8C8C"/>
          <w:sz w:val="12"/>
        </w:rPr>
        <w:t>cf-art-21-inc-XXII-ali-c</w:t>
      </w:r>
      <w:r>
        <w:rPr>
          <w:color w:val="003CA0"/>
          <w:sz w:val="12"/>
        </w:rPr>
        <w:t xml:space="preserve"> | ADI 6.149</w:t>
      </w:r>
      <w:r>
        <w:rPr>
          <w:color w:val="003CA0"/>
          <w:sz w:val="12"/>
        </w:rPr>
        <w:t xml:space="preserve"> | rel. Alexandre de Moraes</w:t>
      </w:r>
    </w:p>
    <w:p>
      <w:pPr>
        <w:ind w:left="288"/>
      </w:pPr>
      <w:r>
        <w:rPr>
          <w:color w:val="1E1E1E"/>
          <w:sz w:val="18"/>
        </w:rPr>
        <w:t xml:space="preserve">Cumpre à União legislar sobre a jornada de trabalho, sendo incompatível com a Constituição a legislação estadual que, extrapolando o conteúdo da delegação legislativa estabelecida em Lei Complementar Federal (no caso, a Lei Complementar Federal 103/2000), estipule, para determinadas categorias profissionais, jornada de trabalho diferente daquela disposta na legislação federal. A atribuição de poder fiscalizatório e sancionatório pelo Poder Público Estadual em matéria de Direito do Trabalho contraria a competência exclusiva da União para organizar, manter e executar a inspeção do trabalho (CF, </w:t>
      </w:r>
    </w:p>
    <w:p>
      <w:pPr>
        <w:ind w:left="288"/>
      </w:pPr>
      <w:r>
        <w:rPr>
          <w:b/>
          <w:color w:val="003CA0"/>
          <w:sz w:val="16"/>
        </w:rPr>
        <w:t>[ADI 6.149, rel. min. Alexandre de Moraes, j. 29-11-2019, P, DJE de 18-12-2019.]</w:t>
      </w:r>
    </w:p>
    <w:p>
      <w:pPr>
        <w:ind w:left="288"/>
      </w:pPr>
      <w:r>
        <w:rPr>
          <w:color w:val="8C8C8C"/>
          <w:sz w:val="12"/>
        </w:rPr>
        <w:t>cf-art-21-inc-XXII-ali-c</w:t>
      </w:r>
      <w:r>
        <w:rPr>
          <w:color w:val="003CA0"/>
          <w:sz w:val="12"/>
        </w:rPr>
        <w:t xml:space="preserve"> | ADI 5.739</w:t>
      </w:r>
      <w:r>
        <w:rPr>
          <w:color w:val="003CA0"/>
          <w:sz w:val="12"/>
        </w:rPr>
        <w:t xml:space="preserve"> | rel. Edson Fachin</w:t>
      </w:r>
    </w:p>
    <w:p>
      <w:pPr>
        <w:ind w:left="288"/>
      </w:pPr>
      <w:r>
        <w:rPr>
          <w:color w:val="1E1E1E"/>
          <w:sz w:val="18"/>
        </w:rPr>
        <w:t>Lei 7.524, de 14 de fevereiro de 2017, do Estado do Rio de Janeiro. Registro obrigatório de acidentes de trabalho com lesão, ferimento ou morte. CNI – Confederação Nacional da Indústria. (...) A norma estadual, ao criar uma obrigação ao empregador para além daquela do art. 21 da Lei 8.213/91 e da faculdade constante no art. 5º, § 3º, do CPP, ofende a regra de competência privativa da União para legislar sobre ‘direito processual’ e ‘direito do trabalho’ (CR, art. 22), assim como a competência material da União para “organizar, manter e executar a inspeção do trabalho” (CR, art. 21, XXIV).</w:t>
      </w:r>
    </w:p>
    <w:p>
      <w:pPr>
        <w:ind w:left="288"/>
      </w:pPr>
      <w:r>
        <w:rPr>
          <w:b/>
          <w:color w:val="003CA0"/>
          <w:sz w:val="16"/>
        </w:rPr>
        <w:t>[ADI 5.739, rel. min. Edson Fachin, j. 23-8-2019, P, DJE de 9-9-2019.]</w:t>
      </w:r>
    </w:p>
    <w:p>
      <w:pPr>
        <w:ind w:left="288"/>
      </w:pPr>
      <w:r>
        <w:rPr>
          <w:color w:val="8C8C8C"/>
          <w:sz w:val="12"/>
        </w:rPr>
        <w:t>cf-art-21-inc-XXII-ali-c</w:t>
      </w:r>
      <w:r>
        <w:rPr>
          <w:color w:val="003CA0"/>
          <w:sz w:val="12"/>
        </w:rPr>
        <w:t xml:space="preserve"> | ADI 2.947</w:t>
      </w:r>
      <w:r>
        <w:rPr>
          <w:color w:val="003CA0"/>
          <w:sz w:val="12"/>
        </w:rPr>
        <w:t xml:space="preserve"> | rel. Cezar Peluso</w:t>
      </w:r>
    </w:p>
    <w:p>
      <w:pPr>
        <w:ind w:left="288"/>
      </w:pPr>
      <w:r>
        <w:rPr>
          <w:color w:val="1E1E1E"/>
          <w:sz w:val="18"/>
        </w:rPr>
        <w:t>Matéria concernente a relações de trabalho. (...) É inconstitucional norma do Estado ou do Distrito Federal que disponha sobre proibição de revista íntima em empregados de estabelecimentos situados no respectivo território.</w:t>
        <w:br/>
        <w:t>[ADI 2.947, rel. min. Cezar Peluso, j. 5-5-2010, P, DJE de 10-9-2010.] Ação direta de inconstitucionalidade: Lei distrital 3.705, de 21-11-2005, que cria restrições a empresas que discriminarem na contratação de mão de obra: inconstitucionalidade declarada. Ofensa à competência privativa da União para legislar sobre normas gerais de licitação e contratação administrativa, e</w:t>
      </w:r>
    </w:p>
    <w:p>
      <w:pPr>
        <w:ind w:left="288"/>
      </w:pPr>
      <w:r>
        <w:rPr>
          <w:b/>
          <w:color w:val="003CA0"/>
          <w:sz w:val="16"/>
        </w:rPr>
        <w:t>[ADI 3.670, rel. min. Sepúlveda Pertence, j. 2-4-2007, P, DJ de 18-5-2007.]</w:t>
      </w:r>
    </w:p>
    <w:p>
      <w:pPr>
        <w:ind w:left="144"/>
      </w:pPr>
      <w:r>
        <w:rPr>
          <w:b/>
          <w:color w:val="B45A00"/>
          <w:sz w:val="16"/>
        </w:rPr>
        <w:t>REPERCUSSAO GERAL</w:t>
      </w:r>
    </w:p>
    <w:p>
      <w:pPr>
        <w:ind w:left="288"/>
      </w:pPr>
      <w:r>
        <w:rPr>
          <w:color w:val="8C8C8C"/>
          <w:sz w:val="12"/>
        </w:rPr>
        <w:t>cf-art-21-inc-XXII-ali-c</w:t>
      </w:r>
      <w:r>
        <w:rPr>
          <w:color w:val="003CA0"/>
          <w:sz w:val="12"/>
        </w:rPr>
        <w:t xml:space="preserve"> | ARE 1.348.549</w:t>
      </w:r>
      <w:r>
        <w:rPr>
          <w:color w:val="003CA0"/>
          <w:sz w:val="12"/>
        </w:rPr>
        <w:t xml:space="preserve"> | rel. Luiz Fux</w:t>
      </w:r>
    </w:p>
    <w:p>
      <w:pPr>
        <w:ind w:left="288"/>
      </w:pPr>
      <w:r>
        <w:rPr>
          <w:color w:val="1E1E1E"/>
          <w:sz w:val="18"/>
        </w:rPr>
        <w:t>É infraconstitucional, a ela se aplicando os efeitos da ausência de repercussão geral, a controvérsia relativa à exigibilidade da inscrição de técnicos, instrutores ou treinadores de esporte e desporto profissionais ou recreativos nos Conselhos de Educação Física, para o regular exercício da atividade.</w:t>
      </w:r>
    </w:p>
    <w:p>
      <w:pPr>
        <w:ind w:left="288"/>
      </w:pPr>
      <w:r>
        <w:rPr>
          <w:b/>
          <w:color w:val="003CA0"/>
          <w:sz w:val="16"/>
        </w:rPr>
        <w:t>[ARE 1.348.549 RG, rel. min. Luiz Fux, j. 10-3-2022, P, DJE de 24-3-2022, Tema 1.203, com repercussão geral negada.]</w:t>
      </w:r>
    </w:p>
    <w:p>
      <w:pPr>
        <w:ind w:left="288"/>
      </w:pPr>
      <w:r>
        <w:rPr>
          <w:color w:val="8C8C8C"/>
          <w:sz w:val="12"/>
        </w:rPr>
        <w:t>cf-art-21-inc-XXII-ali-c</w:t>
      </w:r>
    </w:p>
    <w:p>
      <w:pPr>
        <w:ind w:left="288"/>
      </w:pPr>
      <w:r>
        <w:rPr>
          <w:color w:val="1E1E1E"/>
          <w:sz w:val="18"/>
        </w:rPr>
        <w:t>XXV - estabelecer as áreas e as condições para o exercício da atividade de garimpagem, em forma associativa.</w:t>
      </w:r>
    </w:p>
    <w:p>
      <w:r>
        <w:rPr>
          <w:b/>
          <w:color w:val="003366"/>
          <w:sz w:val="20"/>
        </w:rPr>
        <w:t xml:space="preserve">Art. 22 É assegurado aos defensores públicos investidos na função até a data de </w:t>
      </w:r>
      <w:r>
        <w:rPr>
          <w:color w:val="8C8C8C"/>
          <w:sz w:val="14"/>
        </w:rPr>
        <w:t xml:space="preserve">  [228 decisoes]</w:t>
      </w:r>
    </w:p>
    <w:p>
      <w:pPr>
        <w:ind w:left="288"/>
      </w:pPr>
      <w:r>
        <w:rPr>
          <w:color w:val="8C8C8C"/>
          <w:sz w:val="12"/>
        </w:rPr>
        <w:t>cf-art-22</w:t>
      </w:r>
      <w:r>
        <w:rPr>
          <w:color w:val="003CA0"/>
          <w:sz w:val="12"/>
        </w:rPr>
        <w:t xml:space="preserve"> | ADI 3.112</w:t>
      </w:r>
      <w:r>
        <w:rPr>
          <w:color w:val="003CA0"/>
          <w:sz w:val="12"/>
        </w:rPr>
        <w:t xml:space="preserve"> | rel. Ricardo Lewandowski</w:t>
      </w:r>
    </w:p>
    <w:p>
      <w:pPr>
        <w:ind w:left="288"/>
      </w:pPr>
      <w:r>
        <w:rPr>
          <w:color w:val="1E1E1E"/>
          <w:sz w:val="18"/>
        </w:rPr>
        <w:t>Ação direta de inconstitucionalidade. Lei 10.826/2003. Estatuto do Desarmamento. (...) Invasão de competência residual dos Estados para legislar sobre segurança pública inocorrente, pois cabe à União legislar sobre matérias de predominante interesse geral.</w:t>
      </w:r>
    </w:p>
    <w:p>
      <w:pPr>
        <w:ind w:left="288"/>
      </w:pPr>
      <w:r>
        <w:rPr>
          <w:b/>
          <w:color w:val="003CA0"/>
          <w:sz w:val="16"/>
        </w:rPr>
        <w:t>[ADI 3.112, rel. min. Ricardo Lewandowski, j. 2-5-2007, P, DJ de 26-10-2007.]</w:t>
      </w:r>
    </w:p>
    <w:p>
      <w:pPr>
        <w:ind w:left="144"/>
      </w:pPr>
      <w:r>
        <w:rPr>
          <w:b/>
          <w:color w:val="B45A00"/>
          <w:sz w:val="16"/>
        </w:rPr>
        <w:t>SUMULA VINCULANTE</w:t>
      </w:r>
    </w:p>
    <w:p>
      <w:pPr>
        <w:ind w:left="288"/>
      </w:pPr>
      <w:r>
        <w:rPr>
          <w:color w:val="8C8C8C"/>
          <w:sz w:val="12"/>
        </w:rPr>
        <w:t>cf-art-22-inc-I</w:t>
      </w:r>
    </w:p>
    <w:p>
      <w:pPr>
        <w:ind w:left="288"/>
      </w:pPr>
      <w:r>
        <w:rPr>
          <w:color w:val="1E1E1E"/>
          <w:sz w:val="18"/>
        </w:rPr>
        <w:t>A definição dos crimes de responsabilidade e o estabelecimento das respectivas normas de processo e julgamento são da competência legislativa privativa da União.</w:t>
      </w:r>
    </w:p>
    <w:p>
      <w:pPr>
        <w:ind w:left="288"/>
      </w:pPr>
      <w:r>
        <w:rPr>
          <w:b/>
          <w:color w:val="003CA0"/>
          <w:sz w:val="16"/>
        </w:rPr>
        <w:t>[Súmula Vinculante 46.]</w:t>
      </w:r>
    </w:p>
    <w:p>
      <w:pPr>
        <w:ind w:left="288"/>
      </w:pPr>
      <w:r>
        <w:rPr>
          <w:color w:val="8C8C8C"/>
          <w:sz w:val="12"/>
        </w:rPr>
        <w:t>cf-art-22-inc-I</w:t>
      </w:r>
      <w:r>
        <w:rPr>
          <w:color w:val="003CA0"/>
          <w:sz w:val="12"/>
        </w:rPr>
        <w:t xml:space="preserve"> | ADI 5.022</w:t>
      </w:r>
      <w:r>
        <w:rPr>
          <w:color w:val="003CA0"/>
          <w:sz w:val="12"/>
        </w:rPr>
        <w:t xml:space="preserve"> | rel. Nunes Marques</w:t>
      </w:r>
    </w:p>
    <w:p>
      <w:pPr>
        <w:ind w:left="288"/>
      </w:pPr>
      <w:r>
        <w:rPr>
          <w:color w:val="1E1E1E"/>
          <w:sz w:val="18"/>
        </w:rPr>
        <w:t>A norma estadual impugnada, ao autorizar a liberação unilateral do tomador do empréstimo consignado no caso de a entidade credora estar em liquidação extrajudicial, interfere diretamente na relação contratual entre servidor público e instituição financeira – tema típico do direito civil – bem como no tratamento nacional uniforme alusivo às modalidades de operações creditícias e à recuperação de créditos – matéria inserida na política de crédito. (...) O STF sedimentou compreensão segundo a qual a relevância das atividades desempenhadas pelas instituições financeiras públicas e privadas demanda</w:t>
      </w:r>
    </w:p>
    <w:p>
      <w:pPr>
        <w:ind w:left="288"/>
      </w:pPr>
      <w:r>
        <w:rPr>
          <w:b/>
          <w:color w:val="003CA0"/>
          <w:sz w:val="16"/>
        </w:rPr>
        <w:t>[ADI 5.022, rel. min. Nunes Marques, j. 05.11.2025, P, DJE de 11.11.2025.]</w:t>
      </w:r>
    </w:p>
    <w:p>
      <w:pPr>
        <w:ind w:left="288"/>
      </w:pPr>
      <w:r>
        <w:rPr>
          <w:color w:val="8C8C8C"/>
          <w:sz w:val="12"/>
        </w:rPr>
        <w:t>cf-art-22-inc-I</w:t>
      </w:r>
      <w:r>
        <w:rPr>
          <w:color w:val="003CA0"/>
          <w:sz w:val="12"/>
        </w:rPr>
        <w:t xml:space="preserve"> | ADI 2.957</w:t>
      </w:r>
      <w:r>
        <w:rPr>
          <w:color w:val="003CA0"/>
          <w:sz w:val="12"/>
        </w:rPr>
        <w:t xml:space="preserve"> | rel. Nunes Marques</w:t>
      </w:r>
    </w:p>
    <w:p>
      <w:pPr>
        <w:ind w:left="288"/>
      </w:pPr>
      <w:r>
        <w:rPr>
          <w:color w:val="1E1E1E"/>
          <w:sz w:val="18"/>
        </w:rPr>
        <w:t>Os dispositivos impugnados versam medidas tipicamente despenalizadoras atinentes aos delitos previstos nos arts. 1º e 2º da Lei n. 8.137/1990 e no art. 95 da Lei n. 8.212/1991 – revogado pela Lei n. 9.983/2000, que introduziu, entre outros, os arts. 168-A e 337-A no Código Penal –, consistentes na suspensão da pretensão punitiva estatal em consequência do parcelamento de débitos tributários, bem assim na extinção da punibilidade do agente caso realizado o pagamento integral de tais débitos, inclusive após o recebimento da denúncia. A despeito da competência do Estado de Santa Catarina para leg</w:t>
      </w:r>
    </w:p>
    <w:p>
      <w:pPr>
        <w:ind w:left="288"/>
      </w:pPr>
      <w:r>
        <w:rPr>
          <w:b/>
          <w:color w:val="003CA0"/>
          <w:sz w:val="16"/>
        </w:rPr>
        <w:t>[ADI 2.957, rel. min. Nunes Marques, j. 29.09.2025, P, DJE de 03.10.2025.</w:t>
      </w:r>
    </w:p>
    <w:p>
      <w:pPr>
        <w:ind w:left="288"/>
      </w:pPr>
      <w:r>
        <w:rPr>
          <w:color w:val="8C8C8C"/>
          <w:sz w:val="12"/>
        </w:rPr>
        <w:t>cf-art-22-inc-I</w:t>
      </w:r>
      <w:r>
        <w:rPr>
          <w:color w:val="003CA0"/>
          <w:sz w:val="12"/>
        </w:rPr>
        <w:t xml:space="preserve"> | ADI 7.428</w:t>
      </w:r>
      <w:r>
        <w:rPr>
          <w:color w:val="003CA0"/>
          <w:sz w:val="12"/>
        </w:rPr>
        <w:t xml:space="preserve"> | rel. André Mendonça</w:t>
      </w:r>
    </w:p>
    <w:p>
      <w:pPr>
        <w:ind w:left="288"/>
      </w:pPr>
      <w:r>
        <w:rPr>
          <w:color w:val="1E1E1E"/>
          <w:sz w:val="18"/>
        </w:rPr>
        <w:t>A Lei estadual nº 5.980, de 2022, do Estado de Mato Grosso do Sul criou duas obrigações a serem observadas pelas operadoras de planos de saúde, que possuem naturezas jurídicas distintas. A primeira obrigação - que consta do art. 1º da lei sul-mato-grossense - amplia automaticamente a cobertura de todos os planos de saúde contratados e operados dentro do Estado de Mato Grosso do Sul, exigindo das operadoras a inclusão do neonato submetido a tratamento terapêutico, após trinta dias, como dependente do titular do plano de seguro saúde.  Exigências legais como essa têm o condão de interferir diret</w:t>
      </w:r>
    </w:p>
    <w:p>
      <w:pPr>
        <w:ind w:left="288"/>
      </w:pPr>
      <w:r>
        <w:rPr>
          <w:b/>
          <w:color w:val="003CA0"/>
          <w:sz w:val="16"/>
        </w:rPr>
        <w:t>[ADI 7.428, rel. min. André Mendonça, j. 01.09.2025, P, DJE de 11.09.2025.]</w:t>
      </w:r>
    </w:p>
    <w:p>
      <w:pPr>
        <w:ind w:left="288"/>
      </w:pPr>
      <w:r>
        <w:rPr>
          <w:color w:val="8C8C8C"/>
          <w:sz w:val="12"/>
        </w:rPr>
        <w:t>cf-art-22-inc-I</w:t>
      </w:r>
      <w:r>
        <w:rPr>
          <w:color w:val="003CA0"/>
          <w:sz w:val="12"/>
        </w:rPr>
        <w:t xml:space="preserve"> | ADPF 1.066</w:t>
      </w:r>
      <w:r>
        <w:rPr>
          <w:color w:val="003CA0"/>
          <w:sz w:val="12"/>
        </w:rPr>
        <w:t xml:space="preserve"> | rel. Nunes Marques</w:t>
      </w:r>
    </w:p>
    <w:p>
      <w:pPr>
        <w:ind w:left="288"/>
      </w:pPr>
      <w:r>
        <w:rPr>
          <w:color w:val="1E1E1E"/>
          <w:sz w:val="18"/>
        </w:rPr>
        <w:t>(...) § 2º do art. 6º da Lei n. 4.542/2023 do Município de Ipatinga/MG, que isenta contribuintes do pagamento de honorários advocatícios de sucumbência aos procuradores municipais em caso de adesão ao Programa Especial de Regularização Tributária (PERT). (...) A norma impugnada, ao isentar o pagamento de honorários advocatícios de sucumbência devidos aos procuradores municipais, termina por imiscuir-se na seara do direito processual, invadindo esfera de competência legislativa reservada privativamente à União (CF/1988, art. 22, I).</w:t>
      </w:r>
    </w:p>
    <w:p>
      <w:pPr>
        <w:ind w:left="288"/>
      </w:pPr>
      <w:r>
        <w:rPr>
          <w:b/>
          <w:color w:val="003CA0"/>
          <w:sz w:val="16"/>
        </w:rPr>
        <w:t>[ADPF 1.066, rel. min. Nunes Marques, j. 30.04.2025, P, DJE de 16.05.2025.]</w:t>
      </w:r>
    </w:p>
    <w:p>
      <w:pPr>
        <w:ind w:left="288"/>
      </w:pPr>
      <w:r>
        <w:rPr>
          <w:color w:val="8C8C8C"/>
          <w:sz w:val="12"/>
        </w:rPr>
        <w:t>cf-art-22-inc-I</w:t>
      </w:r>
      <w:r>
        <w:rPr>
          <w:color w:val="003CA0"/>
          <w:sz w:val="12"/>
        </w:rPr>
        <w:t xml:space="preserve"> | ADI 6.150</w:t>
      </w:r>
      <w:r>
        <w:rPr>
          <w:color w:val="003CA0"/>
          <w:sz w:val="12"/>
        </w:rPr>
        <w:t xml:space="preserve"> | rel. André Mendonça</w:t>
      </w:r>
    </w:p>
    <w:p>
      <w:pPr>
        <w:ind w:left="288"/>
      </w:pPr>
      <w:r>
        <w:rPr>
          <w:color w:val="1E1E1E"/>
          <w:sz w:val="18"/>
        </w:rPr>
        <w:t>É inconstitucional norma instituidora de programa de renegociação, regularização fiscal ou de parcelamento de débitos referentes ao ICMS que limite a fixação de honorários sucumbenciais a percentual estabelecido em lei estadual e abaixo dos parâmetros enunciados no art. 85, § 3º, do Código de Processo Civil, por invadir a competência legislativa privativa da União para dispor sobre direito processual, prevista no art. 22, inc. I, da Constituição da República.</w:t>
      </w:r>
    </w:p>
    <w:p>
      <w:pPr>
        <w:ind w:left="288"/>
      </w:pPr>
      <w:r>
        <w:rPr>
          <w:b/>
          <w:color w:val="003CA0"/>
          <w:sz w:val="16"/>
        </w:rPr>
        <w:t>[ADI 6.150, rel. min. André Mendonça, j. 25.04.2025, P, DJE de 23.06.2025.]</w:t>
      </w:r>
    </w:p>
    <w:p>
      <w:pPr>
        <w:ind w:left="288"/>
      </w:pPr>
      <w:r>
        <w:rPr>
          <w:color w:val="8C8C8C"/>
          <w:sz w:val="12"/>
        </w:rPr>
        <w:t>cf-art-22-inc-I</w:t>
      </w:r>
      <w:r>
        <w:rPr>
          <w:color w:val="003CA0"/>
          <w:sz w:val="12"/>
        </w:rPr>
        <w:t xml:space="preserve"> | ADI 4.293</w:t>
      </w:r>
      <w:r>
        <w:rPr>
          <w:color w:val="003CA0"/>
          <w:sz w:val="12"/>
        </w:rPr>
        <w:t xml:space="preserve"> | rel. Nunes Marques</w:t>
      </w:r>
    </w:p>
    <w:p>
      <w:pPr>
        <w:ind w:left="288"/>
      </w:pPr>
      <w:r>
        <w:rPr>
          <w:color w:val="1E1E1E"/>
          <w:sz w:val="18"/>
        </w:rPr>
        <w:t>Atos normativos estaduais que disciplinem relações contratuais securitárias, ainda que em sede de produção e consumo, bem como preconizem obrigações contratuais relativas a seguros de veículos, inclusive no tocante a regras sobre registro, desmonte e comercialização de veículos sinistrados, invadem a competência da União para legislar sobre direito civil e seguros (CF, art. 22, I e VII).</w:t>
      </w:r>
    </w:p>
    <w:p>
      <w:pPr>
        <w:ind w:left="288"/>
      </w:pPr>
      <w:r>
        <w:rPr>
          <w:b/>
          <w:color w:val="003CA0"/>
          <w:sz w:val="16"/>
        </w:rPr>
        <w:t>[ADI 4.293, rel. min. Nunes Marques, j. 05.03.2025, P, DJE de 14.03.2025.]</w:t>
      </w:r>
    </w:p>
    <w:p>
      <w:pPr>
        <w:ind w:left="288"/>
      </w:pPr>
      <w:r>
        <w:rPr>
          <w:color w:val="8C8C8C"/>
          <w:sz w:val="12"/>
        </w:rPr>
        <w:t>cf-art-22-inc-I</w:t>
      </w:r>
      <w:r>
        <w:rPr>
          <w:color w:val="003CA0"/>
          <w:sz w:val="12"/>
        </w:rPr>
        <w:t xml:space="preserve"> | ADI 5.451</w:t>
      </w:r>
      <w:r>
        <w:rPr>
          <w:color w:val="003CA0"/>
          <w:sz w:val="12"/>
        </w:rPr>
        <w:t xml:space="preserve"> | rel. Nunes Marques</w:t>
      </w:r>
    </w:p>
    <w:p>
      <w:pPr>
        <w:ind w:left="288"/>
      </w:pPr>
      <w:r>
        <w:rPr>
          <w:color w:val="1E1E1E"/>
          <w:sz w:val="18"/>
        </w:rPr>
        <w:t>A Lei n. 15.911/2015 do Estado do Ceará, ao regulamentar a prestação de serviço voluntário no Ministério Público, não usurpa a competência privativa da União para legislar sobre direito do trabalho (CF, art. 22, I). A Lei federal n. 9.608/1999 constitui norma geral a ser conformada pelos entes políticos em função das particularidades locais. O diploma afasta a caracterização de vínculo empregatício e obrigação trabalhista, previdenciária ou afim do serviço voluntário prestado a entidade pública ou privada sem fins lucrativos.</w:t>
      </w:r>
    </w:p>
    <w:p>
      <w:pPr>
        <w:ind w:left="288"/>
      </w:pPr>
      <w:r>
        <w:rPr>
          <w:b/>
          <w:color w:val="003CA0"/>
          <w:sz w:val="16"/>
        </w:rPr>
        <w:t>[ADI 5.451, rel. min. Nunes Marques, j. 17.02.2025, P, DJE de 11.03.2025.]</w:t>
      </w:r>
    </w:p>
    <w:p>
      <w:pPr>
        <w:ind w:left="288"/>
      </w:pPr>
      <w:r>
        <w:rPr>
          <w:color w:val="8C8C8C"/>
          <w:sz w:val="12"/>
        </w:rPr>
        <w:t>cf-art-22-inc-I</w:t>
      </w:r>
      <w:r>
        <w:rPr>
          <w:color w:val="003CA0"/>
          <w:sz w:val="12"/>
        </w:rPr>
        <w:t xml:space="preserve"> | ADI 7.341</w:t>
      </w:r>
      <w:r>
        <w:rPr>
          <w:color w:val="003CA0"/>
          <w:sz w:val="12"/>
        </w:rPr>
        <w:t xml:space="preserve"> | rel. Nunes Marques</w:t>
      </w:r>
    </w:p>
    <w:p>
      <w:pPr>
        <w:ind w:left="288"/>
      </w:pPr>
      <w:r>
        <w:rPr>
          <w:color w:val="1E1E1E"/>
          <w:sz w:val="18"/>
        </w:rPr>
        <w:t>É inconstitucional — por violar a competência privativa da União para legislar sobre direito processual (CF/1988, art. 22, I) — norma estadual que fixa o percentual dos honorários de sucumbência devidos aos procuradores estaduais em razão do parcelamento realizado pelos contribuintes nas ações tributárias e execuções fiscais ajuizadas.</w:t>
      </w:r>
    </w:p>
    <w:p>
      <w:pPr>
        <w:ind w:left="288"/>
      </w:pPr>
      <w:r>
        <w:rPr>
          <w:b/>
          <w:color w:val="003CA0"/>
          <w:sz w:val="16"/>
        </w:rPr>
        <w:t>[ADI 7.341, rel. min. Nunes Marques, j. 19.11.2024, P, Dje de 8-1-2025.]</w:t>
      </w:r>
    </w:p>
    <w:p>
      <w:pPr>
        <w:ind w:left="288"/>
      </w:pPr>
      <w:r>
        <w:rPr>
          <w:color w:val="8C8C8C"/>
          <w:sz w:val="12"/>
        </w:rPr>
        <w:t>cf-art-22-inc-I</w:t>
      </w:r>
      <w:r>
        <w:rPr>
          <w:color w:val="003CA0"/>
          <w:sz w:val="12"/>
        </w:rPr>
        <w:t xml:space="preserve"> | ADI 7.712</w:t>
      </w:r>
      <w:r>
        <w:rPr>
          <w:color w:val="003CA0"/>
          <w:sz w:val="12"/>
        </w:rPr>
        <w:t xml:space="preserve"> | rel. Gilmar Mendes</w:t>
      </w:r>
    </w:p>
    <w:p>
      <w:pPr>
        <w:ind w:left="288"/>
      </w:pPr>
      <w:r>
        <w:rPr>
          <w:color w:val="1E1E1E"/>
          <w:sz w:val="18"/>
        </w:rPr>
        <w:t>Compete privativamente à União legislar sobre direito penal e direito processual penal, nos termos do art. 22, I, da Constituição Federal, inexistindo espaço de atuação dos entes subnacionais nesses campos específicos. A criação de um tipo penal e o estabelecimento de hipótese de inafiançabilidade por meio de lei estadual consubstancia inconstitucionalidade formal manifesta e incontornável.</w:t>
      </w:r>
    </w:p>
    <w:p>
      <w:pPr>
        <w:ind w:left="288"/>
      </w:pPr>
      <w:r>
        <w:rPr>
          <w:b/>
          <w:color w:val="003CA0"/>
          <w:sz w:val="16"/>
        </w:rPr>
        <w:t>[ADI 7.712 MC-REF, rel. min. Gilmar Mendes, j. 14-10-2024, P, DJE de 29-10-2024.]</w:t>
      </w:r>
    </w:p>
    <w:p>
      <w:pPr>
        <w:ind w:left="288"/>
      </w:pPr>
      <w:r>
        <w:rPr>
          <w:color w:val="8C8C8C"/>
          <w:sz w:val="12"/>
        </w:rPr>
        <w:t>cf-art-22-inc-I</w:t>
      </w:r>
      <w:r>
        <w:rPr>
          <w:color w:val="003CA0"/>
          <w:sz w:val="12"/>
        </w:rPr>
        <w:t xml:space="preserve"> | ADI 4.157</w:t>
      </w:r>
      <w:r>
        <w:rPr>
          <w:color w:val="003CA0"/>
          <w:sz w:val="12"/>
        </w:rPr>
        <w:t xml:space="preserve"> | rel. Nunes Marques</w:t>
      </w:r>
    </w:p>
    <w:p>
      <w:pPr>
        <w:ind w:left="288"/>
      </w:pPr>
      <w:r>
        <w:rPr>
          <w:color w:val="1E1E1E"/>
          <w:sz w:val="18"/>
        </w:rPr>
        <w:t>O Plenário já consignou a inconstitucionalidade de norma instituidora de benefício de descanso remunerado para os empregados da iniciativa privada, por ofensa à competência privativa da União para legislar sobre direito do trabalho (CF, art. 22, I). Especificamente quanto à saúde dos trabalhadores, o Supremo reconheceu a inconstitucionalidade de diplomas normativos semelhantes, como o que previa normas de prevenção de doenças e critérios de defesa da saúde dos trabalhadores.</w:t>
        <w:br/>
        <w:t xml:space="preserve">[ADI 4.157, rel. min. Nunes Marques, j. 30-9-2024, P, DJE de 13-11-2024.] Compete privativamente à União legislar sobre </w:t>
      </w:r>
    </w:p>
    <w:p>
      <w:pPr>
        <w:ind w:left="288"/>
      </w:pPr>
      <w:r>
        <w:rPr>
          <w:b/>
          <w:color w:val="003CA0"/>
          <w:sz w:val="16"/>
        </w:rPr>
        <w:t>[ADI 5.361 e ADI 5.463, rel. min. Nunes Marques, j. 21.11.2023, P, DJE de 24.01.2024.]</w:t>
      </w:r>
    </w:p>
    <w:p>
      <w:pPr>
        <w:ind w:left="288"/>
      </w:pPr>
      <w:r>
        <w:rPr>
          <w:color w:val="8C8C8C"/>
          <w:sz w:val="12"/>
        </w:rPr>
        <w:t>cf-art-22-inc-I</w:t>
      </w:r>
      <w:r>
        <w:rPr>
          <w:color w:val="003CA0"/>
          <w:sz w:val="12"/>
        </w:rPr>
        <w:t xml:space="preserve"> | ADI 2.935</w:t>
      </w:r>
      <w:r>
        <w:rPr>
          <w:color w:val="003CA0"/>
          <w:sz w:val="12"/>
        </w:rPr>
        <w:t xml:space="preserve"> | rel. Nunes Marques</w:t>
      </w:r>
    </w:p>
    <w:p>
      <w:pPr>
        <w:ind w:left="288"/>
      </w:pPr>
      <w:r>
        <w:rPr>
          <w:color w:val="1E1E1E"/>
          <w:sz w:val="18"/>
        </w:rPr>
        <w:t>O Estado do Espírito Santo, no art. 2º, I, da Lei Complementar n. 68/1995, ao dispor sobre os recursos oriundos das penas de multa, endereçando-os ao fundo penitenciário estadual, invadiu a competência privativa da União, a configurar vício de inconstitucionalidade formal.</w:t>
      </w:r>
    </w:p>
    <w:p>
      <w:pPr>
        <w:ind w:left="288"/>
      </w:pPr>
      <w:r>
        <w:rPr>
          <w:b/>
          <w:color w:val="003CA0"/>
          <w:sz w:val="16"/>
        </w:rPr>
        <w:t>[ADI 2.935, rel. min. Nunes Marques, j. 21-11-2023, P, DJE de 18-12-2023.]</w:t>
      </w:r>
    </w:p>
    <w:p>
      <w:pPr>
        <w:ind w:left="288"/>
      </w:pPr>
      <w:r>
        <w:rPr>
          <w:color w:val="8C8C8C"/>
          <w:sz w:val="12"/>
        </w:rPr>
        <w:t>cf-art-22-inc-I</w:t>
      </w:r>
      <w:r>
        <w:rPr>
          <w:color w:val="003CA0"/>
          <w:sz w:val="12"/>
        </w:rPr>
        <w:t xml:space="preserve"> | ADI 3.899</w:t>
      </w:r>
      <w:r>
        <w:rPr>
          <w:color w:val="003CA0"/>
          <w:sz w:val="12"/>
        </w:rPr>
        <w:t xml:space="preserve"> | rel. Nunes Marques</w:t>
      </w:r>
    </w:p>
    <w:p>
      <w:pPr>
        <w:ind w:left="288"/>
      </w:pPr>
      <w:r>
        <w:rPr>
          <w:color w:val="1E1E1E"/>
          <w:sz w:val="18"/>
        </w:rPr>
        <w:t>A Lei distrital n. 3.923/2006 conferiu a fruição de um direito subjetivo – estabilidade parcial no emprego – a cobradores de ônibus que mantinham vínculo trabalhista com as concessionárias do serviço de transporte de passageiros do Distrito Federal na época em que implantada a bilhetagem eletrônica. A garantia de permanência no emprego traduz-se em estabilidade no emprego, matéria típica de direito do trabalho, de competência da União (CF, art. 22, I). A admitir-se que leis locais tratem desse tema, serão múltiplos os regimes trabalhistas no país, o que vai de encontro ao modelo federativo imp</w:t>
      </w:r>
    </w:p>
    <w:p>
      <w:pPr>
        <w:ind w:left="288"/>
      </w:pPr>
      <w:r>
        <w:rPr>
          <w:b/>
          <w:color w:val="003CA0"/>
          <w:sz w:val="16"/>
        </w:rPr>
        <w:t>[ADI 6.298, ADI 6.299, ADI 6.300 e ADI 6.305, rel. min. Luiz Fux, j. 24-8-2023, P, DJE de 19-12-2023.]</w:t>
      </w:r>
    </w:p>
    <w:p>
      <w:pPr>
        <w:ind w:left="288"/>
      </w:pPr>
      <w:r>
        <w:rPr>
          <w:color w:val="8C8C8C"/>
          <w:sz w:val="12"/>
        </w:rPr>
        <w:t>cf-art-22-inc-I</w:t>
      </w:r>
      <w:r>
        <w:rPr>
          <w:color w:val="003CA0"/>
          <w:sz w:val="12"/>
        </w:rPr>
        <w:t xml:space="preserve"> | ADI 2.915</w:t>
      </w:r>
      <w:r>
        <w:rPr>
          <w:color w:val="003CA0"/>
          <w:sz w:val="12"/>
        </w:rPr>
        <w:t xml:space="preserve"> | rel. Nunes Marques</w:t>
      </w:r>
    </w:p>
    <w:p>
      <w:pPr>
        <w:ind w:left="288"/>
      </w:pPr>
      <w:r>
        <w:rPr>
          <w:color w:val="1E1E1E"/>
          <w:sz w:val="18"/>
        </w:rPr>
        <w:t>A criação de piso salarial para certa categoria de empregados públicos é matéria que se insere na competência privativa da União para legislar sobre direito do trabalho, por ser medida de âmbito coletivo a abarcar indistintamente determinada classe de trabalhadores, não se confundindo com a entabulação da remuneração entre as próprias partes.</w:t>
        <w:br/>
        <w:t>[ADI 2.915, rel. min. Nunes Marques, j. 22-8-2023, P, DJE de 13-9-2023.] “É inconstitucional lei estadual que regulamenta o programa jovem aprendiz, por invasão da competência privativa da União para legislar sobre direito do trabalho”.</w:t>
        <w:br/>
        <w:t>[ADI 7.148, rel. m</w:t>
      </w:r>
    </w:p>
    <w:p>
      <w:pPr>
        <w:ind w:left="288"/>
      </w:pPr>
      <w:r>
        <w:rPr>
          <w:b/>
          <w:color w:val="003CA0"/>
          <w:sz w:val="16"/>
        </w:rPr>
        <w:t>[ADI 7.014, rel. min. Edson Fachin, j. 28-11-2022, P, DJE de 19-12-2022.]</w:t>
      </w:r>
    </w:p>
    <w:p>
      <w:pPr>
        <w:ind w:left="288"/>
      </w:pPr>
      <w:r>
        <w:rPr>
          <w:color w:val="8C8C8C"/>
          <w:sz w:val="12"/>
        </w:rPr>
        <w:t>cf-art-22-inc-I</w:t>
      </w:r>
      <w:r>
        <w:rPr>
          <w:color w:val="003CA0"/>
          <w:sz w:val="12"/>
        </w:rPr>
        <w:t xml:space="preserve"> | ADI 1.846</w:t>
      </w:r>
      <w:r>
        <w:rPr>
          <w:color w:val="003CA0"/>
          <w:sz w:val="12"/>
        </w:rPr>
        <w:t xml:space="preserve"> | rel. Nunes Marques</w:t>
      </w:r>
    </w:p>
    <w:p>
      <w:pPr>
        <w:ind w:left="288"/>
      </w:pPr>
      <w:r>
        <w:rPr>
          <w:color w:val="1E1E1E"/>
          <w:sz w:val="18"/>
        </w:rPr>
        <w:t>A atuação de sociedades anônimas deve ser regida por lei federal, haja vista tratar-se de tema de direito comercial (CF, art. 22, I).</w:t>
      </w:r>
    </w:p>
    <w:p>
      <w:pPr>
        <w:ind w:left="288"/>
      </w:pPr>
      <w:r>
        <w:rPr>
          <w:b/>
          <w:color w:val="003CA0"/>
          <w:sz w:val="16"/>
        </w:rPr>
        <w:t>[ADI 1.846, rel. min. Nunes Marques, j. 24-10-2022, P, DJE de 11-11-2022.]</w:t>
      </w:r>
    </w:p>
    <w:p>
      <w:pPr>
        <w:ind w:left="288"/>
      </w:pPr>
      <w:r>
        <w:rPr>
          <w:color w:val="8C8C8C"/>
          <w:sz w:val="12"/>
        </w:rPr>
        <w:t>cf-art-22-inc-I</w:t>
      </w:r>
      <w:r>
        <w:rPr>
          <w:color w:val="003CA0"/>
          <w:sz w:val="12"/>
        </w:rPr>
        <w:t xml:space="preserve"> | ADI 5.969</w:t>
      </w:r>
      <w:r>
        <w:rPr>
          <w:color w:val="003CA0"/>
          <w:sz w:val="12"/>
        </w:rPr>
        <w:t xml:space="preserve"> | rel. Dias Toffoli</w:t>
      </w:r>
    </w:p>
    <w:p>
      <w:pPr>
        <w:ind w:left="288"/>
      </w:pPr>
      <w:r>
        <w:rPr>
          <w:color w:val="1E1E1E"/>
          <w:sz w:val="18"/>
        </w:rPr>
        <w:t>Incidiu em inconstitucionalidade formal, por violação do art. 22, inciso I, da Constituição Federal, o § 2º do art. 12 da Lei nº 8.328/15 do Estado do Pará, que dispôs dever a Fazenda Pública, nas execuções fiscais, antecipar o pagamento das despesas com a diligência dos oficiais de justiça.</w:t>
      </w:r>
    </w:p>
    <w:p>
      <w:pPr>
        <w:ind w:left="288"/>
      </w:pPr>
      <w:r>
        <w:rPr>
          <w:b/>
          <w:color w:val="003CA0"/>
          <w:sz w:val="16"/>
        </w:rPr>
        <w:t>[ADI 5.969, rel. min. Dias Toffoli, j. 3-10-2022, P, DJE de 16-11-2022.]</w:t>
      </w:r>
    </w:p>
    <w:p>
      <w:pPr>
        <w:ind w:left="288"/>
      </w:pPr>
      <w:r>
        <w:rPr>
          <w:color w:val="8C8C8C"/>
          <w:sz w:val="12"/>
        </w:rPr>
        <w:t>cf-art-22-inc-I</w:t>
      </w:r>
      <w:r>
        <w:rPr>
          <w:color w:val="003CA0"/>
          <w:sz w:val="12"/>
        </w:rPr>
        <w:t xml:space="preserve"> | ADI 5.349</w:t>
      </w:r>
      <w:r>
        <w:rPr>
          <w:color w:val="003CA0"/>
          <w:sz w:val="12"/>
        </w:rPr>
        <w:t xml:space="preserve"> | rel. Rosa Weber</w:t>
      </w:r>
    </w:p>
    <w:p>
      <w:pPr>
        <w:ind w:left="288"/>
      </w:pPr>
      <w:r>
        <w:rPr>
          <w:color w:val="1E1E1E"/>
          <w:sz w:val="18"/>
        </w:rPr>
        <w:t>Lei nº 5.470/2015 do Distrito Federal. Publicação de prestação de contas na internet imposta a sindicatos. (...) A lei distrital impugnada ao impor, de maneira ampla, obrigação aos sindicatos, invade a competência legislativa privativa da União prevista no art. 22, I, CF, considerado tanto o Direito Coletivo do Trabalho quanto, sob o prisma mais amplo de entidade associativa, o Direito Civil.</w:t>
      </w:r>
    </w:p>
    <w:p>
      <w:pPr>
        <w:ind w:left="288"/>
      </w:pPr>
      <w:r>
        <w:rPr>
          <w:b/>
          <w:color w:val="003CA0"/>
          <w:sz w:val="16"/>
        </w:rPr>
        <w:t>[ADI 5.349, rel. min. Rosa Weber, j. 22-8-2022, P, DJE de 29-8-2022.]</w:t>
      </w:r>
    </w:p>
    <w:p>
      <w:pPr>
        <w:ind w:left="288"/>
      </w:pPr>
      <w:r>
        <w:rPr>
          <w:color w:val="8C8C8C"/>
          <w:sz w:val="12"/>
        </w:rPr>
        <w:t>cf-art-22-inc-I</w:t>
      </w:r>
      <w:r>
        <w:rPr>
          <w:color w:val="003CA0"/>
          <w:sz w:val="12"/>
        </w:rPr>
        <w:t xml:space="preserve"> | ADI 6.640</w:t>
      </w:r>
      <w:r>
        <w:rPr>
          <w:color w:val="003CA0"/>
          <w:sz w:val="12"/>
        </w:rPr>
        <w:t xml:space="preserve"> | rel. Edson Fachin</w:t>
      </w:r>
    </w:p>
    <w:p>
      <w:pPr>
        <w:ind w:left="288"/>
      </w:pPr>
      <w:r>
        <w:rPr>
          <w:color w:val="1E1E1E"/>
          <w:sz w:val="18"/>
        </w:rPr>
        <w:t>Por força do art. 22, I da CRFB/88, a jurisprudência deste Supremo Tribunal Federal se consolidou no sentido de que o Estado-membro não está autorizado a ampliar o rol de autoridades sujeitas à fiscalização direta pelo Poder Legislativo e à sanção por crime de responsabilidade.</w:t>
      </w:r>
    </w:p>
    <w:p>
      <w:pPr>
        <w:ind w:left="288"/>
      </w:pPr>
      <w:r>
        <w:rPr>
          <w:b/>
          <w:color w:val="003CA0"/>
          <w:sz w:val="16"/>
        </w:rPr>
        <w:t>[ADI 6.640, rel. min. Edson Fachin, j. 22-8-2022, P, DJE de 2-9-2022.]</w:t>
      </w:r>
    </w:p>
    <w:p>
      <w:pPr>
        <w:ind w:left="288"/>
      </w:pPr>
      <w:r>
        <w:rPr>
          <w:color w:val="8C8C8C"/>
          <w:sz w:val="12"/>
        </w:rPr>
        <w:t>cf-art-22-inc-I</w:t>
      </w:r>
      <w:r>
        <w:rPr>
          <w:color w:val="003CA0"/>
          <w:sz w:val="12"/>
        </w:rPr>
        <w:t xml:space="preserve"> | ADI 4.662</w:t>
      </w:r>
      <w:r>
        <w:rPr>
          <w:color w:val="003CA0"/>
          <w:sz w:val="12"/>
        </w:rPr>
        <w:t xml:space="preserve"> | rel. Dias Toffoli</w:t>
      </w:r>
    </w:p>
    <w:p>
      <w:pPr>
        <w:ind w:left="288"/>
      </w:pPr>
      <w:r>
        <w:rPr>
          <w:color w:val="1E1E1E"/>
          <w:sz w:val="18"/>
        </w:rPr>
        <w:t xml:space="preserve">Artigo 2º do Provimento nº 1.898/11 do Conselho Superior da Magistratura do Tribunal de Justiça de São Paulo, o qual veda ao juiz plantonista converter o auto de prisão em flagrante em diligência. (...) A norma em questão padece de flagrante inconstitucionalidade formal, por desbordar dos limites do poder regulamentar e afrontar competência privativa da União para legislar sobre direito processual penal, nos termos do art. 22, inciso I, da Constituição Federal. Isso porque não há que se falar em possível delegação por parte da União ao Conselho Superior de Magistratura do TJSP a autorizá-lo a </w:t>
      </w:r>
    </w:p>
    <w:p>
      <w:pPr>
        <w:ind w:left="288"/>
      </w:pPr>
      <w:r>
        <w:rPr>
          <w:b/>
          <w:color w:val="003CA0"/>
          <w:sz w:val="16"/>
        </w:rPr>
        <w:t>[ADI 4.662, rel. min. Dias Toffoli, j. 16-8-2022, P, DJE de 13-9-2022.]</w:t>
      </w:r>
    </w:p>
    <w:p>
      <w:pPr>
        <w:ind w:left="288"/>
      </w:pPr>
      <w:r>
        <w:rPr>
          <w:color w:val="8C8C8C"/>
          <w:sz w:val="12"/>
        </w:rPr>
        <w:t>cf-art-22-inc-I</w:t>
      </w:r>
      <w:r>
        <w:rPr>
          <w:color w:val="003CA0"/>
          <w:sz w:val="12"/>
        </w:rPr>
        <w:t xml:space="preserve"> | ADI 7.104</w:t>
      </w:r>
      <w:r>
        <w:rPr>
          <w:color w:val="003CA0"/>
          <w:sz w:val="12"/>
        </w:rPr>
        <w:t xml:space="preserve"> | rel. Edson Fachin</w:t>
      </w:r>
    </w:p>
    <w:p>
      <w:pPr>
        <w:ind w:left="288"/>
      </w:pPr>
      <w:r>
        <w:rPr>
          <w:color w:val="1E1E1E"/>
          <w:sz w:val="18"/>
        </w:rPr>
        <w:t>Normas estaduais que impeçam as instituições de ensino de recusarem a matrícula de estudantes inadimplentes, e também de cobrar juros, multas, correção monetária ou quaisquer outros encargos, violam a competência privativa da União para legislar sobre direito civil (Art. 22, I, da CRFB) (...).</w:t>
      </w:r>
    </w:p>
    <w:p>
      <w:pPr>
        <w:ind w:left="288"/>
      </w:pPr>
      <w:r>
        <w:rPr>
          <w:b/>
          <w:color w:val="003CA0"/>
          <w:sz w:val="16"/>
        </w:rPr>
        <w:t>[ADI 7.104 e ADI 7.179, rel. min. Edson Fachin, j. 8-8-2022, P, DJE de 18-8-2022.]</w:t>
      </w:r>
    </w:p>
    <w:p>
      <w:pPr>
        <w:ind w:left="288"/>
      </w:pPr>
      <w:r>
        <w:rPr>
          <w:color w:val="8C8C8C"/>
          <w:sz w:val="12"/>
        </w:rPr>
        <w:t>cf-art-22-inc-I</w:t>
      </w:r>
      <w:r>
        <w:rPr>
          <w:color w:val="003CA0"/>
          <w:sz w:val="12"/>
        </w:rPr>
        <w:t xml:space="preserve"> | ADI 7.063</w:t>
      </w:r>
      <w:r>
        <w:rPr>
          <w:color w:val="003CA0"/>
          <w:sz w:val="12"/>
        </w:rPr>
        <w:t xml:space="preserve"> | rel. Edson Fachin</w:t>
      </w:r>
    </w:p>
    <w:p>
      <w:pPr>
        <w:ind w:left="288"/>
      </w:pPr>
      <w:r>
        <w:rPr>
          <w:color w:val="1E1E1E"/>
          <w:sz w:val="18"/>
        </w:rPr>
        <w:t>Lei 9.507/2021 do Estado do Rio de Janeiro. Lei Estadual 3.350/1999 e Decreto Lei 05/1975. (...) Os arts. 15-A e 15-B, caput, constituem invasão da competência privativa da União para legislar sobre direito processual (Art. 22, I, CF), pois instituíram sanções processuais diversas da legislação federal para litigantes que abusem do seu direito à prestação jurisdicional e um procedimento novo para requisição do benefício de gratuidade de justiça.</w:t>
      </w:r>
    </w:p>
    <w:p>
      <w:pPr>
        <w:ind w:left="288"/>
      </w:pPr>
      <w:r>
        <w:rPr>
          <w:b/>
          <w:color w:val="003CA0"/>
          <w:sz w:val="16"/>
        </w:rPr>
        <w:t>[ADI 7.063, rel. min. Edson Fachin, j. 6-6-2022, P, DJE de 22-6-2022.]</w:t>
      </w:r>
    </w:p>
    <w:p>
      <w:pPr>
        <w:ind w:left="288"/>
      </w:pPr>
      <w:r>
        <w:rPr>
          <w:color w:val="8C8C8C"/>
          <w:sz w:val="12"/>
        </w:rPr>
        <w:t>cf-art-22-inc-I</w:t>
      </w:r>
      <w:r>
        <w:rPr>
          <w:color w:val="003CA0"/>
          <w:sz w:val="12"/>
        </w:rPr>
        <w:t xml:space="preserve"> | ADI 5.882</w:t>
      </w:r>
      <w:r>
        <w:rPr>
          <w:color w:val="003CA0"/>
          <w:sz w:val="12"/>
        </w:rPr>
        <w:t xml:space="preserve"> | rel. Gilmar Mendes</w:t>
      </w:r>
    </w:p>
    <w:p>
      <w:pPr>
        <w:ind w:left="288"/>
      </w:pPr>
      <w:r>
        <w:rPr>
          <w:color w:val="1E1E1E"/>
          <w:sz w:val="18"/>
        </w:rPr>
        <w:t>A circularidade e a transferibilidade de valores mobiliários são características dos valores mobiliários, encontrando na União a sua competência legislativa (Art. 22, I da CF/88).</w:t>
      </w:r>
    </w:p>
    <w:p>
      <w:pPr>
        <w:ind w:left="288"/>
      </w:pPr>
      <w:r>
        <w:rPr>
          <w:b/>
          <w:color w:val="003CA0"/>
          <w:sz w:val="16"/>
        </w:rPr>
        <w:t>[ADI 5.882, rel. min. Gilmar Mendes, j. 16-5-2022, P, DJE de 2-6-2022.]</w:t>
      </w:r>
    </w:p>
    <w:p>
      <w:pPr>
        <w:ind w:left="288"/>
      </w:pPr>
      <w:r>
        <w:rPr>
          <w:color w:val="8C8C8C"/>
          <w:sz w:val="12"/>
        </w:rPr>
        <w:t>cf-art-22-inc-I</w:t>
      </w:r>
      <w:r>
        <w:rPr>
          <w:color w:val="003CA0"/>
          <w:sz w:val="12"/>
        </w:rPr>
        <w:t xml:space="preserve"> | ADI 5.224</w:t>
      </w:r>
      <w:r>
        <w:rPr>
          <w:color w:val="003CA0"/>
          <w:sz w:val="12"/>
        </w:rPr>
        <w:t xml:space="preserve"> | rel. Rosa Weber</w:t>
      </w:r>
    </w:p>
    <w:p>
      <w:pPr>
        <w:ind w:left="288"/>
      </w:pPr>
      <w:r>
        <w:rPr>
          <w:color w:val="1E1E1E"/>
          <w:sz w:val="18"/>
        </w:rPr>
        <w:t>Leis Estaduais 15.659/2015 e 16.624/2017, do Estado de São Paulo. Sistema de inclusão e exclusão dos nomes dos consumidores nos cadastros de proteção ao crédito. (...) A concessão legislativa de prazo mínimo de 20 (vinte) dias, após a comunicação escrita, para o devedor pagar a dívida, caracteriza norma de direito civil e comercial, sujeita à competência legislativa privativa da União (...). Além disso, a medida reduz a eficiência dos sistemas de proteção ao crédito, prejudicando a atualidade, a correção e a confiabilidade do banco de informações.</w:t>
      </w:r>
    </w:p>
    <w:p>
      <w:pPr>
        <w:ind w:left="288"/>
      </w:pPr>
      <w:r>
        <w:rPr>
          <w:b/>
          <w:color w:val="003CA0"/>
          <w:sz w:val="16"/>
        </w:rPr>
        <w:t>[ADI 5.224, ADI 5.252, ADI 5.273 e ADI 5.978, rel. min. Rosa Weber, j. 9-3-2022, P, DJE de 17-3-2022.]</w:t>
      </w:r>
    </w:p>
    <w:p>
      <w:pPr>
        <w:ind w:left="288"/>
      </w:pPr>
      <w:r>
        <w:rPr>
          <w:color w:val="8C8C8C"/>
          <w:sz w:val="12"/>
        </w:rPr>
        <w:t>cf-art-22-inc-I</w:t>
      </w:r>
      <w:r>
        <w:rPr>
          <w:color w:val="003CA0"/>
          <w:sz w:val="12"/>
        </w:rPr>
        <w:t xml:space="preserve"> | ADI 6.614</w:t>
      </w:r>
      <w:r>
        <w:rPr>
          <w:color w:val="003CA0"/>
          <w:sz w:val="12"/>
        </w:rPr>
        <w:t xml:space="preserve"> | rel. Rosa Weber</w:t>
      </w:r>
    </w:p>
    <w:p>
      <w:pPr>
        <w:ind w:left="288"/>
      </w:pPr>
      <w:r>
        <w:rPr>
          <w:color w:val="1E1E1E"/>
          <w:sz w:val="18"/>
        </w:rPr>
        <w:t>A norma estadual, ao impor aos prestadores de serviços de ensino a obrigação de estender o benefício de novas promoções aos clientes preexistentes, promove ingerência indevida em relações contratuais estabelecidas, sem que exista conduta abusiva por parte do prestador. Afronta ao art. 22, I, da CF/1988.</w:t>
      </w:r>
    </w:p>
    <w:p>
      <w:pPr>
        <w:ind w:left="288"/>
      </w:pPr>
      <w:r>
        <w:rPr>
          <w:b/>
          <w:color w:val="003CA0"/>
          <w:sz w:val="16"/>
        </w:rPr>
        <w:t>[ADI 6.614, red. do ac. min. Roberto Barroso, rel. min. Rosa Weber, j. 16-11-2021, P, DJE de 7-2-2022.]</w:t>
      </w:r>
    </w:p>
    <w:p>
      <w:pPr>
        <w:ind w:left="288"/>
      </w:pPr>
      <w:r>
        <w:rPr>
          <w:color w:val="8C8C8C"/>
          <w:sz w:val="12"/>
        </w:rPr>
        <w:t>cf-art-22-inc-I</w:t>
      </w:r>
      <w:r>
        <w:rPr>
          <w:color w:val="003CA0"/>
          <w:sz w:val="12"/>
        </w:rPr>
        <w:t xml:space="preserve"> | ADI 5.351</w:t>
      </w:r>
      <w:r>
        <w:rPr>
          <w:color w:val="003CA0"/>
          <w:sz w:val="12"/>
        </w:rPr>
        <w:t xml:space="preserve"> | rel. Cármen Lúcia</w:t>
      </w:r>
    </w:p>
    <w:p>
      <w:pPr>
        <w:ind w:left="288"/>
      </w:pPr>
      <w:r>
        <w:rPr>
          <w:color w:val="1E1E1E"/>
          <w:sz w:val="18"/>
        </w:rPr>
        <w:t>“O estabelecimento de hipóteses de prioridade de tramitação processual insere-se entre as atribuições legislativas da União (inc. I do art. 22 da Constituição da República). Não viola a proporcionalidade ou razoabilidade a opção do legislador de priorizar a tramitação de procedimentos administrativos ou judiciais que derivem de apurações das Comissões Parlamentares de Inquérito, considerando o interesse público atingido e a deferência constitucional ao poder fiscalizatório do Congresso Nacional (inc. X do art. 49 da Constituição da República).”</w:t>
      </w:r>
    </w:p>
    <w:p>
      <w:pPr>
        <w:ind w:left="288"/>
      </w:pPr>
      <w:r>
        <w:rPr>
          <w:b/>
          <w:color w:val="003CA0"/>
          <w:sz w:val="16"/>
        </w:rPr>
        <w:t>[ADI 5.351, rel. min. Cármen Lúcia, j. 21-6-2021, P, DJE de 20-8-2021.]</w:t>
      </w:r>
    </w:p>
    <w:p>
      <w:pPr>
        <w:ind w:left="288"/>
      </w:pPr>
      <w:r>
        <w:rPr>
          <w:color w:val="8C8C8C"/>
          <w:sz w:val="12"/>
        </w:rPr>
        <w:t>cf-art-22-inc-I</w:t>
      </w:r>
      <w:r>
        <w:rPr>
          <w:color w:val="003CA0"/>
          <w:sz w:val="12"/>
        </w:rPr>
        <w:t xml:space="preserve"> | ADI 6.423</w:t>
      </w:r>
    </w:p>
    <w:p>
      <w:pPr>
        <w:ind w:left="288"/>
      </w:pPr>
      <w:r>
        <w:rPr>
          <w:color w:val="1E1E1E"/>
          <w:sz w:val="18"/>
        </w:rPr>
        <w:t>A Lei 17.208/2020 do Estado do Ceará, ao determinar a redução obrigatória e proporcional das mensalidades na rede privada de ensino durante o Plano de Contingência da COVID-19, viola a competência da União para legislar sobre Direito Civil (art. 22, I, CF), por se tratar de norma abstrata sobre direito civil, afastando-se da competência concorrente dos estados para editar normas sobre responsabilidade por danos aos consumidores (art. 24, V, CF). Efeitos jurídicos da Pandemia COVID-19 sobre os negócios jurídicos privados, inclusive decorrentes de relações de consumo, foram tratados pela Lei 14.</w:t>
      </w:r>
    </w:p>
    <w:p>
      <w:pPr>
        <w:ind w:left="288"/>
      </w:pPr>
      <w:r>
        <w:rPr>
          <w:b/>
          <w:color w:val="003CA0"/>
          <w:sz w:val="16"/>
        </w:rPr>
        <w:t>[ADI 6.423, red. do ac. min. Alexandre de Moraes, j. 21-12-2020, P, DJE de 12-2-2021.]</w:t>
      </w:r>
    </w:p>
    <w:p>
      <w:pPr>
        <w:ind w:left="288"/>
      </w:pPr>
      <w:r>
        <w:rPr>
          <w:color w:val="8C8C8C"/>
          <w:sz w:val="12"/>
        </w:rPr>
        <w:t>cf-art-22-inc-I</w:t>
      </w:r>
      <w:r>
        <w:rPr>
          <w:color w:val="003CA0"/>
          <w:sz w:val="12"/>
        </w:rPr>
        <w:t xml:space="preserve"> | ADI 6.435</w:t>
      </w:r>
      <w:r>
        <w:rPr>
          <w:color w:val="003CA0"/>
          <w:sz w:val="12"/>
        </w:rPr>
        <w:t xml:space="preserve"> | rel. Alexandre de Moares</w:t>
      </w:r>
    </w:p>
    <w:p>
      <w:pPr>
        <w:ind w:left="288"/>
      </w:pPr>
      <w:r>
        <w:rPr>
          <w:color w:val="1E1E1E"/>
          <w:sz w:val="18"/>
        </w:rPr>
        <w:t>A Lei 11.259/2020, na redação dada pela Lei 11.299/2020 do Estado do Maranhão, ao determinar a redução obrigatória e proporcional das mensalidades na rede privada de ensino durante o Plano de Contingência da COVID-19, viola a competência da União para legislar sobre Direito Civil (art. 22, I, CF), por se tratar de norma abstrata sobre direito civil, afastando-se da competência concorrente dos Estados para editar normas sobre responsabilidade por danos aos consumidores (art. 24, V, CF). Efeitos jurídicos da Pandemia da COVID-19 sobre os negócios jurídicos privados, inclusive decorrentes de rela</w:t>
      </w:r>
    </w:p>
    <w:p>
      <w:pPr>
        <w:ind w:left="288"/>
      </w:pPr>
      <w:r>
        <w:rPr>
          <w:b/>
          <w:color w:val="003CA0"/>
          <w:sz w:val="16"/>
        </w:rPr>
        <w:t>[ADI 6.435, rel. min. Alexandre de Moares, j. 21-12-2020, P, DJE de 30-3-2021.]</w:t>
      </w:r>
    </w:p>
    <w:p>
      <w:pPr>
        <w:ind w:left="288"/>
      </w:pPr>
      <w:r>
        <w:rPr>
          <w:color w:val="8C8C8C"/>
          <w:sz w:val="12"/>
        </w:rPr>
        <w:t>cf-art-22-inc-I</w:t>
      </w:r>
      <w:r>
        <w:rPr>
          <w:color w:val="003CA0"/>
          <w:sz w:val="12"/>
        </w:rPr>
        <w:t xml:space="preserve"> | ADI 6.495</w:t>
      </w:r>
      <w:r>
        <w:rPr>
          <w:color w:val="003CA0"/>
          <w:sz w:val="12"/>
        </w:rPr>
        <w:t xml:space="preserve"> | rel. Ricardo Lewandowski</w:t>
      </w:r>
    </w:p>
    <w:p>
      <w:pPr>
        <w:ind w:left="288"/>
      </w:pPr>
      <w:r>
        <w:rPr>
          <w:color w:val="1E1E1E"/>
          <w:sz w:val="18"/>
        </w:rPr>
        <w:t>Lei 8.842/2020 e Decreto 47.173/2020, do Estado do Rio de Janeiro. (...) Os atos normativos questionados, ao interferirem na relação obrigacional estabelecida entre as instituições de crédito e os tomadores de empréstimos, adentraram na competência privativa da União, prevista no art. 22, I e VII, da Constituição Federal, para legislar sobre direito civil e política de crédito. Precedentes. Ação direta de inconstitucionalidade julgada procedente para declarar a inconstitucionalidade da Lei 8.842/2020 e, por arrastamento, do Decreto 47.173/2020, ambos do Estado do Rio de Janeiro.</w:t>
      </w:r>
    </w:p>
    <w:p>
      <w:pPr>
        <w:ind w:left="288"/>
      </w:pPr>
      <w:r>
        <w:rPr>
          <w:b/>
          <w:color w:val="003CA0"/>
          <w:sz w:val="16"/>
        </w:rPr>
        <w:t>[ADI 6.495, rel. min. Ricardo Lewandowski, j. 23-11-2020, P, DJE de 3-12-2020.]</w:t>
      </w:r>
    </w:p>
    <w:p>
      <w:pPr>
        <w:ind w:left="288"/>
      </w:pPr>
      <w:r>
        <w:rPr>
          <w:color w:val="8C8C8C"/>
          <w:sz w:val="12"/>
        </w:rPr>
        <w:t>cf-art-22-inc-I</w:t>
      </w:r>
      <w:r>
        <w:rPr>
          <w:color w:val="003CA0"/>
          <w:sz w:val="12"/>
        </w:rPr>
        <w:t xml:space="preserve"> | ADI 6.475</w:t>
      </w:r>
      <w:r>
        <w:rPr>
          <w:color w:val="003CA0"/>
          <w:sz w:val="12"/>
        </w:rPr>
        <w:t xml:space="preserve"> | rel. Ricardo Lewandowski</w:t>
      </w:r>
    </w:p>
    <w:p>
      <w:pPr>
        <w:ind w:left="288"/>
      </w:pPr>
      <w:r>
        <w:rPr>
          <w:color w:val="1E1E1E"/>
          <w:sz w:val="18"/>
        </w:rPr>
        <w:t>= ADI 6.475, rel. min. Ricardo Lewandowski, j. 17-5-2021, P, DJE de 27-5-2021. 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Veiculação de normas que carac</w:t>
      </w:r>
    </w:p>
    <w:p>
      <w:pPr>
        <w:ind w:left="288"/>
      </w:pPr>
      <w:r>
        <w:rPr>
          <w:b/>
          <w:color w:val="003CA0"/>
          <w:sz w:val="16"/>
        </w:rPr>
        <w:t>[ADI 5.392, rel. min. Rosa Weber, j. 16-9-2020, P, DJE de 5-10-2020.]</w:t>
      </w:r>
    </w:p>
    <w:p>
      <w:pPr>
        <w:ind w:left="288"/>
      </w:pPr>
      <w:r>
        <w:rPr>
          <w:color w:val="8C8C8C"/>
          <w:sz w:val="12"/>
        </w:rPr>
        <w:t>cf-art-22-inc-I</w:t>
      </w:r>
      <w:r>
        <w:rPr>
          <w:color w:val="003CA0"/>
          <w:sz w:val="12"/>
        </w:rPr>
        <w:t xml:space="preserve"> | ADI 3.671</w:t>
      </w:r>
      <w:r>
        <w:rPr>
          <w:color w:val="003CA0"/>
          <w:sz w:val="12"/>
        </w:rPr>
        <w:t xml:space="preserve"> | rel. Gilmar Mendes</w:t>
      </w:r>
    </w:p>
    <w:p>
      <w:pPr>
        <w:ind w:left="288"/>
      </w:pPr>
      <w:r>
        <w:rPr>
          <w:color w:val="1E1E1E"/>
          <w:sz w:val="18"/>
        </w:rPr>
        <w:t>Obrigatoriedade de equipar os ônibus utilizados no serviço público de transporte coletivo com dispositivos redutores de estresse para motoristas e cobradores. Inconstitucionalidade. Competência privativa da União para legislar sobre trânsito e transporte bem como sobre direito do trabalho.</w:t>
      </w:r>
    </w:p>
    <w:p>
      <w:pPr>
        <w:ind w:left="288"/>
      </w:pPr>
      <w:r>
        <w:rPr>
          <w:b/>
          <w:color w:val="003CA0"/>
          <w:sz w:val="16"/>
        </w:rPr>
        <w:t>[ADI 3.671, rel. min. Gilmar Mendes, j. 21-2-2020, P, DJE de 20-3-2020.]</w:t>
      </w:r>
    </w:p>
    <w:p>
      <w:pPr>
        <w:ind w:left="288"/>
      </w:pPr>
      <w:r>
        <w:rPr>
          <w:color w:val="8C8C8C"/>
          <w:sz w:val="12"/>
        </w:rPr>
        <w:t>cf-art-22-inc-I</w:t>
      </w:r>
      <w:r>
        <w:rPr>
          <w:color w:val="003CA0"/>
          <w:sz w:val="12"/>
        </w:rPr>
        <w:t xml:space="preserve"> | ADI 5.838</w:t>
      </w:r>
      <w:r>
        <w:rPr>
          <w:color w:val="003CA0"/>
          <w:sz w:val="12"/>
        </w:rPr>
        <w:t xml:space="preserve"> | rel. Gilmar Mendes</w:t>
      </w:r>
    </w:p>
    <w:p>
      <w:pPr>
        <w:ind w:left="288"/>
      </w:pPr>
      <w:r>
        <w:rPr>
          <w:color w:val="1E1E1E"/>
          <w:sz w:val="18"/>
        </w:rPr>
        <w:t>Lei 5.694/2016 do Distrito Federal. Obrigatoriedade de doação de alimentos com prazo de validade próximo ao fim. (...) Norma que determina a destinação de bens particulares dispõe sobre direito de propriedade e tem natureza de direito civil, não podendo ser validamente emitida por ente federado.</w:t>
      </w:r>
    </w:p>
    <w:p>
      <w:pPr>
        <w:ind w:left="288"/>
      </w:pPr>
      <w:r>
        <w:rPr>
          <w:b/>
          <w:color w:val="003CA0"/>
          <w:sz w:val="16"/>
        </w:rPr>
        <w:t>[ADI 5.838, rel. min. Gilmar Mendes, j. 20-11-2019, P, DJE de 9-12-2019.]</w:t>
      </w:r>
    </w:p>
    <w:p>
      <w:pPr>
        <w:ind w:left="288"/>
      </w:pPr>
      <w:r>
        <w:rPr>
          <w:color w:val="8C8C8C"/>
          <w:sz w:val="12"/>
        </w:rPr>
        <w:t>cf-art-22-inc-I</w:t>
      </w:r>
      <w:r>
        <w:rPr>
          <w:color w:val="003CA0"/>
          <w:sz w:val="12"/>
        </w:rPr>
        <w:t xml:space="preserve"> | ADI 5.799</w:t>
      </w:r>
      <w:r>
        <w:rPr>
          <w:color w:val="003CA0"/>
          <w:sz w:val="12"/>
        </w:rPr>
        <w:t xml:space="preserve"> | rel. Alexandre de Moraes</w:t>
      </w:r>
    </w:p>
    <w:p>
      <w:pPr>
        <w:ind w:left="288"/>
      </w:pPr>
      <w:r>
        <w:rPr>
          <w:color w:val="1E1E1E"/>
          <w:sz w:val="18"/>
        </w:rPr>
        <w:t>A Lei 10.335/2016 do Estado do Mato Grosso, ao estabelecer isenção ampla para determinados usuários da produção intelectual, permitindo a utilização gratuita de obras alheias (privadas) por parte das instituições filantrópicas, as associações, as fundações e entidades oficialmente declaradas de utilidade pública, sem fins lucrativo, invadiu, indevidamente, a competência legislativa privativa da União (CF, art. 22, I). O benefício produz reflexos (restritivos) no domínio da produção intelectual, pertencente ao criador de obra, traduzindo, assim, indisfarçada limitação ao direito de propriedade,</w:t>
      </w:r>
    </w:p>
    <w:p>
      <w:pPr>
        <w:ind w:left="288"/>
      </w:pPr>
      <w:r>
        <w:rPr>
          <w:b/>
          <w:color w:val="003CA0"/>
          <w:sz w:val="16"/>
        </w:rPr>
        <w:t>[ADI 5.799, rel. min. Alexandre de Moraes, j. 27-9-2019, P, DJE de 15-10-2019.]</w:t>
      </w:r>
    </w:p>
    <w:p>
      <w:pPr>
        <w:ind w:left="288"/>
      </w:pPr>
      <w:r>
        <w:rPr>
          <w:color w:val="8C8C8C"/>
          <w:sz w:val="12"/>
        </w:rPr>
        <w:t>cf-art-22-inc-I</w:t>
      </w:r>
      <w:r>
        <w:rPr>
          <w:color w:val="003CA0"/>
          <w:sz w:val="12"/>
        </w:rPr>
        <w:t xml:space="preserve"> | ADI 5.739</w:t>
      </w:r>
      <w:r>
        <w:rPr>
          <w:color w:val="003CA0"/>
          <w:sz w:val="12"/>
        </w:rPr>
        <w:t xml:space="preserve"> | rel. Edson Fachin</w:t>
      </w:r>
    </w:p>
    <w:p>
      <w:pPr>
        <w:ind w:left="288"/>
      </w:pPr>
      <w:r>
        <w:rPr>
          <w:color w:val="1E1E1E"/>
          <w:sz w:val="18"/>
        </w:rPr>
        <w:t>Lei 7.524, de 14 de fevereiro de 2017, do Estado do Rio de Janeiro. Registro obrigatório de acidentes de trabalho com lesão, ferimento ou morte. CNI – Confederação Nacional da Indústria. (...) A norma estadual, ao criar uma obrigação ao empregador para além daquela do art. 21 da Lei 8.213/91 e da faculdade constante no art. 5º, § 3º, do CPP, ofende a regra de competência privativa da União para legislar sobre ‘direito processual’ e ‘direito do trabalho’ (CR, art. 22), assim como a competência material da União para “organizar, manter e executar a inspeção do trabalho” (CR, art. 21, XXIV).</w:t>
      </w:r>
    </w:p>
    <w:p>
      <w:pPr>
        <w:ind w:left="288"/>
      </w:pPr>
      <w:r>
        <w:rPr>
          <w:b/>
          <w:color w:val="003CA0"/>
          <w:sz w:val="16"/>
        </w:rPr>
        <w:t>[ADI 5.739, rel. min. Edson Fachin, j. 23-8-2019, P, DJE de 9-9-2019.]</w:t>
      </w:r>
    </w:p>
    <w:p>
      <w:pPr>
        <w:ind w:left="288"/>
      </w:pPr>
      <w:r>
        <w:rPr>
          <w:color w:val="8C8C8C"/>
          <w:sz w:val="12"/>
        </w:rPr>
        <w:t>cf-art-22-inc-I</w:t>
      </w:r>
      <w:r>
        <w:rPr>
          <w:color w:val="003CA0"/>
          <w:sz w:val="12"/>
        </w:rPr>
        <w:t xml:space="preserve"> | ADI 5.876</w:t>
      </w:r>
      <w:r>
        <w:rPr>
          <w:color w:val="003CA0"/>
          <w:sz w:val="12"/>
        </w:rPr>
        <w:t xml:space="preserve"> | rel. Alexandre de Moraes</w:t>
      </w:r>
    </w:p>
    <w:p>
      <w:pPr>
        <w:ind w:left="288"/>
      </w:pPr>
      <w:r>
        <w:rPr>
          <w:color w:val="1E1E1E"/>
          <w:sz w:val="18"/>
        </w:rPr>
        <w:t>A Lei 17.115/2017 do Estado de Santa Catarina, ao reconhecer a profissão de condutor de ambulância, bem como estabelecer condicionantes ao exercício da atividade de remoção de acidentados e/ou deslocamento de pacientes em ambulâncias, disciplina matéria de competência legislativa privativa da União (CF, art. 22, I e XVI).</w:t>
      </w:r>
    </w:p>
    <w:p>
      <w:pPr>
        <w:ind w:left="288"/>
      </w:pPr>
      <w:r>
        <w:rPr>
          <w:b/>
          <w:color w:val="003CA0"/>
          <w:sz w:val="16"/>
        </w:rPr>
        <w:t>[ADI 5.876, rel. min. Alexandre de Moraes, j. 23-8-2019, P, DJE de 9-9-2019.]</w:t>
      </w:r>
    </w:p>
    <w:p>
      <w:pPr>
        <w:ind w:left="288"/>
      </w:pPr>
      <w:r>
        <w:rPr>
          <w:color w:val="8C8C8C"/>
          <w:sz w:val="12"/>
        </w:rPr>
        <w:t>cf-art-22-inc-I</w:t>
      </w:r>
      <w:r>
        <w:rPr>
          <w:color w:val="003CA0"/>
          <w:sz w:val="12"/>
        </w:rPr>
        <w:t xml:space="preserve"> | ADI 5.800</w:t>
      </w:r>
      <w:r>
        <w:rPr>
          <w:color w:val="003CA0"/>
          <w:sz w:val="12"/>
        </w:rPr>
        <w:t xml:space="preserve"> | rel. Luiz Fux</w:t>
      </w:r>
    </w:p>
    <w:p>
      <w:pPr>
        <w:ind w:left="288"/>
      </w:pPr>
      <w:r>
        <w:rPr>
          <w:color w:val="1E1E1E"/>
          <w:sz w:val="18"/>
        </w:rPr>
        <w:t>(...) a Lei 92/2010 do Estado do Amazonas estabeleceu a gratuidade para a execução pública de obras musicais e literomusicais e de fonogramas por associações, fundações ou instituições filantrópicas e aquelas oficialmente declaradas de utilidade pública estadual, sem fins lucrativos. Ao estipular hipóteses em que não se aplica o recolhimento dos valores pertinentes aos direitos autorais, fora do rol da Lei federal 9.610/1998, a lei estadual usurpou competência privativa da União e alijou os autores das obras musicais de seu direito exclusivo de utilização, publicação ou reprodução das obras ou</w:t>
      </w:r>
    </w:p>
    <w:p>
      <w:pPr>
        <w:ind w:left="288"/>
      </w:pPr>
      <w:r>
        <w:rPr>
          <w:b/>
          <w:color w:val="003CA0"/>
          <w:sz w:val="16"/>
        </w:rPr>
        <w:t>[ADI 4.820, rel. min. Dias Toffoli, j. 20-9-2018, P, DJE de 3-12-2018.]</w:t>
      </w:r>
    </w:p>
    <w:p>
      <w:pPr>
        <w:ind w:left="288"/>
      </w:pPr>
      <w:r>
        <w:rPr>
          <w:color w:val="8C8C8C"/>
          <w:sz w:val="12"/>
        </w:rPr>
        <w:t>cf-art-22-inc-I</w:t>
      </w:r>
      <w:r>
        <w:rPr>
          <w:color w:val="003CA0"/>
          <w:sz w:val="12"/>
        </w:rPr>
        <w:t xml:space="preserve"> | ADI 3.207</w:t>
      </w:r>
      <w:r>
        <w:rPr>
          <w:color w:val="003CA0"/>
          <w:sz w:val="12"/>
        </w:rPr>
        <w:t xml:space="preserve"> | rel. Alexandre de Moraes</w:t>
      </w:r>
    </w:p>
    <w:p>
      <w:pPr>
        <w:ind w:left="288"/>
      </w:pPr>
      <w:r>
        <w:rPr>
          <w:color w:val="1E1E1E"/>
          <w:sz w:val="18"/>
        </w:rPr>
        <w:t>A Lei 12.562/2004 do Estado de Pernambuco trata da operacionalização dos contratos de seguros atinentes à área da saúde, interferindo nas relações contratuais estabelecidas entre médicos e empresas. Consequentemente, tem por objeto normas de direito civil e de seguros, temas inseridos no rol de competências legislativas privativas da União (art. 22, I e VII, da CF). Os planos de saúde são equiparados à lógica dos contratos de seguro.</w:t>
      </w:r>
    </w:p>
    <w:p>
      <w:pPr>
        <w:ind w:left="288"/>
      </w:pPr>
      <w:r>
        <w:rPr>
          <w:b/>
          <w:color w:val="003CA0"/>
          <w:sz w:val="16"/>
        </w:rPr>
        <w:t>[ADI 3.207, rel. min. Alexandre de Moraes, j. 12-4-2018, P, DJE de 25-4-2018.]</w:t>
      </w:r>
    </w:p>
    <w:p>
      <w:pPr>
        <w:ind w:left="288"/>
      </w:pPr>
      <w:r>
        <w:rPr>
          <w:color w:val="8C8C8C"/>
          <w:sz w:val="12"/>
        </w:rPr>
        <w:t>cf-art-22-inc-I</w:t>
      </w:r>
      <w:r>
        <w:rPr>
          <w:color w:val="003CA0"/>
          <w:sz w:val="12"/>
        </w:rPr>
        <w:t xml:space="preserve"> | ADI 451</w:t>
      </w:r>
      <w:r>
        <w:rPr>
          <w:color w:val="003CA0"/>
          <w:sz w:val="12"/>
        </w:rPr>
        <w:t xml:space="preserve"> | rel. Roberto Barroso</w:t>
      </w:r>
    </w:p>
    <w:p>
      <w:pPr>
        <w:ind w:left="288"/>
      </w:pPr>
      <w:r>
        <w:rPr>
          <w:color w:val="1E1E1E"/>
          <w:sz w:val="18"/>
        </w:rPr>
        <w:t>Lei estadual que impõe a prestação de serviço segurança em estacionamento a toda pessoa física ou jurídica que disponibilize local para estacionamento é inconstitucional, quer por violação à competência privativa da União para legislar sobre direito civil, quer por violar a livre iniciativa.</w:t>
        <w:br/>
        <w:t>[ADI 451, rel. min. Roberto Barroso, j. 1º-8-2017, P, DJE de 9-3-2018.] A providência imposta pela lei estadual é inadequada porque a simples presença de um empacotador em supermercados não é uma medida que aumente a proteção dos direitos do consumidor, mas sim uma mera conveniência em benefício dos eventu</w:t>
      </w:r>
    </w:p>
    <w:p>
      <w:pPr>
        <w:ind w:left="288"/>
      </w:pPr>
      <w:r>
        <w:rPr>
          <w:b/>
          <w:color w:val="003CA0"/>
          <w:sz w:val="16"/>
        </w:rPr>
        <w:t>[ADI 907, rel. min. Alexandre de Moraes, j. 1º-8-2017, P, DJE de 24-11-2017.]</w:t>
      </w:r>
    </w:p>
    <w:p>
      <w:pPr>
        <w:ind w:left="288"/>
      </w:pPr>
      <w:r>
        <w:rPr>
          <w:color w:val="8C8C8C"/>
          <w:sz w:val="12"/>
        </w:rPr>
        <w:t>cf-art-22-inc-I</w:t>
      </w:r>
      <w:r>
        <w:rPr>
          <w:color w:val="003CA0"/>
          <w:sz w:val="12"/>
        </w:rPr>
        <w:t xml:space="preserve"> | ADI 3.605</w:t>
      </w:r>
      <w:r>
        <w:rPr>
          <w:color w:val="003CA0"/>
          <w:sz w:val="12"/>
        </w:rPr>
        <w:t xml:space="preserve"> | rel. Alexandre de Moraes</w:t>
      </w:r>
    </w:p>
    <w:p>
      <w:pPr>
        <w:ind w:left="288"/>
      </w:pPr>
      <w:r>
        <w:rPr>
          <w:color w:val="1E1E1E"/>
          <w:sz w:val="18"/>
        </w:rPr>
        <w:t>Lei estadual 3.594/2005, do Distrito Federal. Dispensa do pagamento de juros e multas de tributos e títulos obrigacionais vencidos no período de paralisação por greve. Inconstitucionalidade formal, por usurpação da competência da união em matéria de direito civil. (...) A lei distrital sob análise atinge todos os devedores e tem por objeto obrigações originadas por meio dos títulos que especifica; sendo, consequentemente, norma de direito civil, previsto como de competência privativa da União, nos termos do art. 22, I, da CF.</w:t>
        <w:br/>
        <w:t>[ADI 3.605, rel. min. Alexandre de Moraes, j. 30-6-2017, P, DJE 13-9</w:t>
      </w:r>
    </w:p>
    <w:p>
      <w:pPr>
        <w:ind w:left="288"/>
      </w:pPr>
      <w:r>
        <w:rPr>
          <w:b/>
          <w:color w:val="003CA0"/>
          <w:sz w:val="16"/>
        </w:rPr>
        <w:t>[ADI 1.807, rel. min. Dias Toffoli, j. 30-10-2014, P, DJE de 9-2-2015.]</w:t>
      </w:r>
    </w:p>
    <w:p>
      <w:pPr>
        <w:ind w:left="288"/>
      </w:pPr>
      <w:r>
        <w:rPr>
          <w:color w:val="8C8C8C"/>
          <w:sz w:val="12"/>
        </w:rPr>
        <w:t>cf-art-22-inc-I</w:t>
      </w:r>
      <w:r>
        <w:rPr>
          <w:color w:val="003CA0"/>
          <w:sz w:val="12"/>
        </w:rPr>
        <w:t xml:space="preserve"> | ADI 1.381</w:t>
      </w:r>
      <w:r>
        <w:rPr>
          <w:color w:val="003CA0"/>
          <w:sz w:val="12"/>
        </w:rPr>
        <w:t xml:space="preserve"> | rel. Dias Toffoli</w:t>
      </w:r>
    </w:p>
    <w:p>
      <w:pPr>
        <w:ind w:left="288"/>
      </w:pPr>
      <w:r>
        <w:rPr>
          <w:color w:val="1E1E1E"/>
          <w:sz w:val="18"/>
        </w:rPr>
        <w:t>Lei estadual 5.729/1995. (...) Elegibilidade do policial militar. Matéria de direito eleitoral. Competência legislativa da União (CF, art. 22, I, e art. 14, § 8º). (...) Ao dispor sobre o regime jurídico a que o policial militar estaria sujeito em caso de eleição para cargo público, a Lei estadual 5.729/1995 invadiu competência legislativa da União, prevista no art. 22, I, da Constituição.</w:t>
      </w:r>
    </w:p>
    <w:p>
      <w:pPr>
        <w:ind w:left="288"/>
      </w:pPr>
      <w:r>
        <w:rPr>
          <w:b/>
          <w:color w:val="003CA0"/>
          <w:sz w:val="16"/>
        </w:rPr>
        <w:t>[ADI 1.381, rel. min. Dias Toffoli, j. 21-8-2014, P, DJE de 9-10-2014.]</w:t>
      </w:r>
    </w:p>
    <w:p>
      <w:pPr>
        <w:ind w:left="288"/>
      </w:pPr>
      <w:r>
        <w:rPr>
          <w:color w:val="8C8C8C"/>
          <w:sz w:val="12"/>
        </w:rPr>
        <w:t>cf-art-22-inc-I</w:t>
      </w:r>
      <w:r>
        <w:rPr>
          <w:color w:val="003CA0"/>
          <w:sz w:val="12"/>
        </w:rPr>
        <w:t xml:space="preserve"> | ADI 4.701</w:t>
      </w:r>
      <w:r>
        <w:rPr>
          <w:color w:val="003CA0"/>
          <w:sz w:val="12"/>
        </w:rPr>
        <w:t xml:space="preserve"> | rel. Roberto Barroso</w:t>
      </w:r>
    </w:p>
    <w:p>
      <w:pPr>
        <w:ind w:left="288"/>
      </w:pPr>
      <w:r>
        <w:rPr>
          <w:color w:val="1E1E1E"/>
          <w:sz w:val="18"/>
        </w:rPr>
        <w:t>Lei estadual que fixa prazos máximos, segundo a faixa etária dos usuários, para a autorização de exames pelas operadoras de plano de saúde. (...) Por mais ampla que seja, a competência legislativa concorrente em matéria de defesa do consumidor (CF/1988, art. 24, V e VIII) não autoriza os Estados-membros a editarem normas acerca de relações contratuais, uma vez que essa atribuição está inserida na competência da União Federal para legislar sobre direito civil (CF/1988, art. 22, I).</w:t>
      </w:r>
    </w:p>
    <w:p>
      <w:pPr>
        <w:ind w:left="288"/>
      </w:pPr>
      <w:r>
        <w:rPr>
          <w:b/>
          <w:color w:val="003CA0"/>
          <w:sz w:val="16"/>
        </w:rPr>
        <w:t>[ADI 4.701, rel. min. Roberto Barroso, j. 13-8-2014, P, DJE de 25-8-2014.]</w:t>
      </w:r>
    </w:p>
    <w:p>
      <w:pPr>
        <w:ind w:left="288"/>
      </w:pPr>
      <w:r>
        <w:rPr>
          <w:color w:val="8C8C8C"/>
          <w:sz w:val="12"/>
        </w:rPr>
        <w:t>cf-art-22-inc-I</w:t>
      </w:r>
      <w:r>
        <w:rPr>
          <w:color w:val="003CA0"/>
          <w:sz w:val="12"/>
        </w:rPr>
        <w:t xml:space="preserve"> | ADI 5.104</w:t>
      </w:r>
      <w:r>
        <w:rPr>
          <w:color w:val="003CA0"/>
          <w:sz w:val="12"/>
        </w:rPr>
        <w:t xml:space="preserve"> | rel. Roberto Barroso</w:t>
      </w:r>
    </w:p>
    <w:p>
      <w:pPr>
        <w:ind w:left="288"/>
      </w:pPr>
      <w:r>
        <w:rPr>
          <w:color w:val="1E1E1E"/>
          <w:sz w:val="18"/>
        </w:rPr>
        <w:t>Resolução 23.396/2013 do TSE. Instituição de controle jurisdicional genérico e prévio à instauração de inquéritos policiais. (...) Inexistência de inconstitucionalidade formal em resolução do TSE que sistematiza as normas aplicáveis ao processo eleitoral. Competência normativa fundada no art. 23, IX, do Código Eleitoral e no art. 105 da Lei 9.504/1997.</w:t>
      </w:r>
    </w:p>
    <w:p>
      <w:pPr>
        <w:ind w:left="288"/>
      </w:pPr>
      <w:r>
        <w:rPr>
          <w:b/>
          <w:color w:val="003CA0"/>
          <w:sz w:val="16"/>
        </w:rPr>
        <w:t>[ADI 5.104 MC, rel. min. Roberto Barroso, j. 21-5-2014, P, DJE de 30-10-2014.]</w:t>
      </w:r>
    </w:p>
    <w:p>
      <w:pPr>
        <w:ind w:left="288"/>
      </w:pPr>
      <w:r>
        <w:rPr>
          <w:color w:val="8C8C8C"/>
          <w:sz w:val="12"/>
        </w:rPr>
        <w:t>cf-art-22-inc-I</w:t>
      </w:r>
      <w:r>
        <w:rPr>
          <w:color w:val="003CA0"/>
          <w:sz w:val="12"/>
        </w:rPr>
        <w:t xml:space="preserve"> | ADI 3.483</w:t>
      </w:r>
      <w:r>
        <w:rPr>
          <w:color w:val="003CA0"/>
          <w:sz w:val="12"/>
        </w:rPr>
        <w:t xml:space="preserve"> | rel. Dias Toffoli</w:t>
      </w:r>
    </w:p>
    <w:p>
      <w:pPr>
        <w:ind w:left="288"/>
      </w:pPr>
      <w:r>
        <w:rPr>
          <w:color w:val="1E1E1E"/>
          <w:sz w:val="18"/>
        </w:rPr>
        <w:t>Lei 7.716/2001 do Estado do Maranhão. Fixação de nova hipótese de prioridade, em qualquer instância, de tramitação processual para as causas em que for parte mulher vítima de violência doméstica. Vício formal. (...) A definição de regras sobre a tramitação das demandas judiciais e sua priorização, na medida em que reflete parte importante da prestação da atividade jurisdicional pelo Estado, é aspecto abrangido pelo ramo processual do direito, cuja positivação foi atribuída pela CF privativamente à União (art. 22, I, da CF/1988). A lei em comento, conquanto tenha alta carga de relevância social</w:t>
      </w:r>
    </w:p>
    <w:p>
      <w:pPr>
        <w:ind w:left="288"/>
      </w:pPr>
      <w:r>
        <w:rPr>
          <w:b/>
          <w:color w:val="003CA0"/>
          <w:sz w:val="16"/>
        </w:rPr>
        <w:t>[ADI 3.483, rel. min. Dias Toffoli, j. 3-4-2014, P, DJE de 14-5-2014.]</w:t>
      </w:r>
    </w:p>
    <w:p>
      <w:pPr>
        <w:ind w:left="288"/>
      </w:pPr>
      <w:r>
        <w:rPr>
          <w:color w:val="8C8C8C"/>
          <w:sz w:val="12"/>
        </w:rPr>
        <w:t>cf-art-22-inc-I</w:t>
      </w:r>
      <w:r>
        <w:rPr>
          <w:color w:val="003CA0"/>
          <w:sz w:val="12"/>
        </w:rPr>
        <w:t xml:space="preserve"> | ADI 144</w:t>
      </w:r>
      <w:r>
        <w:rPr>
          <w:color w:val="003CA0"/>
          <w:sz w:val="12"/>
        </w:rPr>
        <w:t xml:space="preserve"> | rel. Gilmar Mendes</w:t>
      </w:r>
    </w:p>
    <w:p>
      <w:pPr>
        <w:ind w:left="288"/>
      </w:pPr>
      <w:r>
        <w:rPr>
          <w:color w:val="1E1E1E"/>
          <w:sz w:val="18"/>
        </w:rPr>
        <w:t>(...) a fixação, pelas Constituições dos Estados, de data para o pagamento dos vencimentos dos servidores estaduais e a previsão de correção monetária em caso de atraso não afrontam a CF. (...) No entanto, como bem apontado no acórdão que julgou a medida liminar, a Constituição do Rio Grande do Norte estende a obrigação aos servidores municipais e aos empregados celetistas de empresas públicas e sociedades de economia mista. Nesse ponto, a discussão transfere-se para a preservação de dois importantes valores constitucionais: a autonomia municipal e a competência da União para legislar em matér</w:t>
      </w:r>
    </w:p>
    <w:p>
      <w:pPr>
        <w:ind w:left="288"/>
      </w:pPr>
      <w:r>
        <w:rPr>
          <w:b/>
          <w:color w:val="003CA0"/>
          <w:sz w:val="16"/>
        </w:rPr>
        <w:t>[ADI 144, voto do rel. min. Gilmar Mendes, j. 19-2-2014, P, DJE de 3-4-2014.]</w:t>
      </w:r>
    </w:p>
    <w:p>
      <w:pPr>
        <w:ind w:left="288"/>
      </w:pPr>
      <w:r>
        <w:rPr>
          <w:color w:val="8C8C8C"/>
          <w:sz w:val="12"/>
        </w:rPr>
        <w:t>cf-art-22-inc-I</w:t>
      </w:r>
      <w:r>
        <w:rPr>
          <w:color w:val="003CA0"/>
          <w:sz w:val="12"/>
        </w:rPr>
        <w:t xml:space="preserve"> | ADI 2.729</w:t>
      </w:r>
    </w:p>
    <w:p>
      <w:pPr>
        <w:ind w:left="288"/>
      </w:pPr>
      <w:r>
        <w:rPr>
          <w:color w:val="1E1E1E"/>
          <w:sz w:val="18"/>
        </w:rPr>
        <w:t>(...) a competência privativa da União para "autorizar e fiscalizar a produção e o comércio de material bélico" também engloba outros aspectos inerentes ao material bélico, como sua circulação em território nacional. (...) regulamentações atinentes ao registro e ao porte de arma também são de competência privativa da União, por ter direta relação com a competência de "autorizar e fiscalizar a produção e o comércio de material bélico" – e não apenas por tratar de matéria penal, cuja competência também é privativa da União (art. 22, I, da CF). Nesse sentido, compete privativamente à União, e não</w:t>
      </w:r>
    </w:p>
    <w:p>
      <w:pPr>
        <w:ind w:left="288"/>
      </w:pPr>
      <w:r>
        <w:rPr>
          <w:b/>
          <w:color w:val="003CA0"/>
          <w:sz w:val="16"/>
        </w:rPr>
        <w:t>[ADI 2.729, voto do red. do ac. min. Gilmar Mendes, j. 19-6-2013, P, DJE de 12-2-2014.]</w:t>
      </w:r>
    </w:p>
    <w:p>
      <w:pPr>
        <w:ind w:left="288"/>
      </w:pPr>
      <w:r>
        <w:rPr>
          <w:color w:val="8C8C8C"/>
          <w:sz w:val="12"/>
        </w:rPr>
        <w:t>cf-art-22-inc-I</w:t>
      </w:r>
      <w:r>
        <w:rPr>
          <w:color w:val="003CA0"/>
          <w:sz w:val="12"/>
        </w:rPr>
        <w:t xml:space="preserve"> | ADI 3.639</w:t>
      </w:r>
      <w:r>
        <w:rPr>
          <w:color w:val="003CA0"/>
          <w:sz w:val="12"/>
        </w:rPr>
        <w:t xml:space="preserve"> | rel. Joaquim Barbosa</w:t>
      </w:r>
    </w:p>
    <w:p>
      <w:pPr>
        <w:ind w:left="288"/>
      </w:pPr>
      <w:r>
        <w:rPr>
          <w:color w:val="1E1E1E"/>
          <w:sz w:val="18"/>
        </w:rPr>
        <w:t>O texto impugnado permite à administração utilizar em serviços de inteligência veículos particulares apreendidos. Como a regra não especifica os motivos pelos quais os veículos passíveis de utilização foram retirados da esfera de uso e gozo de seus proprietários, a permissão se estende aos veículos apreendidos não apenas em razão de infração de trânsito, mas de outras violações, como a da ordem tributária. Ao assim prescrever, a Lei 8.493/2004 viola o direito constitucional ao devido processo legal que leva à perda compulsória da propriedade ou do direito de uso e gozo (posse), cuja positivaçã</w:t>
      </w:r>
    </w:p>
    <w:p>
      <w:pPr>
        <w:ind w:left="288"/>
      </w:pPr>
      <w:r>
        <w:rPr>
          <w:b/>
          <w:color w:val="003CA0"/>
          <w:sz w:val="16"/>
        </w:rPr>
        <w:t>[ADI 3.639, voto do rel. min. Joaquim Barbosa, j. 23-5-2013, P, DJE de 7-10-2013.]</w:t>
      </w:r>
    </w:p>
    <w:p>
      <w:pPr>
        <w:ind w:left="288"/>
      </w:pPr>
      <w:r>
        <w:rPr>
          <w:color w:val="8C8C8C"/>
          <w:sz w:val="12"/>
        </w:rPr>
        <w:t>cf-art-22-inc-I</w:t>
      </w:r>
      <w:r>
        <w:rPr>
          <w:color w:val="003CA0"/>
          <w:sz w:val="12"/>
        </w:rPr>
        <w:t xml:space="preserve"> | ADI 4.414</w:t>
      </w:r>
      <w:r>
        <w:rPr>
          <w:color w:val="003CA0"/>
          <w:sz w:val="12"/>
        </w:rPr>
        <w:t xml:space="preserve"> | rel. Luiz Fux</w:t>
      </w:r>
    </w:p>
    <w:p>
      <w:pPr>
        <w:ind w:left="288"/>
      </w:pPr>
      <w:r>
        <w:rPr>
          <w:color w:val="1E1E1E"/>
          <w:sz w:val="18"/>
        </w:rPr>
        <w:t>Criação, por lei estadual, de varas especializadas em delitos praticados por organizações criminosas. (...) O conceito de "crime organizado" é matéria reservada à competência legislativa da União, tema interditado à lei estadual, à luz da repartição constitucional (art. 22, I, da CRFB). À lei estadual não é lícito, a pretexto de definir a competência da vara especializada, imiscuir-se na esfera privativa da União para legislar sobre regras de prevalência entre juízos (arts. 78 e 79 do CPP), matéria de caráter processual (art. 22, I, da CRFB).</w:t>
      </w:r>
    </w:p>
    <w:p>
      <w:pPr>
        <w:ind w:left="288"/>
      </w:pPr>
      <w:r>
        <w:rPr>
          <w:b/>
          <w:color w:val="003CA0"/>
          <w:sz w:val="16"/>
        </w:rPr>
        <w:t>[ADI 4.414, rel. min. Luiz Fux, j. 31-5-2012, P, DJE de 17-6-2013.]</w:t>
      </w:r>
    </w:p>
    <w:p>
      <w:pPr>
        <w:ind w:left="288"/>
      </w:pPr>
      <w:r>
        <w:rPr>
          <w:color w:val="8C8C8C"/>
          <w:sz w:val="12"/>
        </w:rPr>
        <w:t>cf-art-22-inc-I</w:t>
      </w:r>
      <w:r>
        <w:rPr>
          <w:color w:val="003CA0"/>
          <w:sz w:val="12"/>
        </w:rPr>
        <w:t xml:space="preserve"> | ADI 2.220</w:t>
      </w:r>
      <w:r>
        <w:rPr>
          <w:color w:val="003CA0"/>
          <w:sz w:val="12"/>
        </w:rPr>
        <w:t xml:space="preserve"> | rel. Cármen Lúcia</w:t>
      </w:r>
    </w:p>
    <w:p>
      <w:pPr>
        <w:ind w:left="288"/>
      </w:pPr>
      <w:r>
        <w:rPr>
          <w:color w:val="1E1E1E"/>
          <w:sz w:val="18"/>
        </w:rPr>
        <w:t>A definição das condutas típicas configuradoras do crime de responsabilidade e o estabelecimento de regras que disciplinem o processo e julgamento dos agentes políticos federais, estaduais ou municipais envolvidos são da competência legislativa privativa da União e devem ser tratados em lei nacional especial (art. 85 da Constituição da República).</w:t>
      </w:r>
    </w:p>
    <w:p>
      <w:pPr>
        <w:ind w:left="288"/>
      </w:pPr>
      <w:r>
        <w:rPr>
          <w:b/>
          <w:color w:val="003CA0"/>
          <w:sz w:val="16"/>
        </w:rPr>
        <w:t>[ADI 2.220, rel. min. Cármen Lúcia, j. 16-11-2011, P, DJE de 7-12-2011.]</w:t>
      </w:r>
    </w:p>
    <w:p>
      <w:pPr>
        <w:ind w:left="288"/>
      </w:pPr>
      <w:r>
        <w:rPr>
          <w:color w:val="8C8C8C"/>
          <w:sz w:val="12"/>
        </w:rPr>
        <w:t>cf-art-22-inc-I</w:t>
      </w:r>
      <w:r>
        <w:rPr>
          <w:color w:val="003CA0"/>
          <w:sz w:val="12"/>
        </w:rPr>
        <w:t xml:space="preserve"> | ADI 3.041</w:t>
      </w:r>
      <w:r>
        <w:rPr>
          <w:color w:val="003CA0"/>
          <w:sz w:val="12"/>
        </w:rPr>
        <w:t xml:space="preserve"> | rel. Ricardo Lewandowski</w:t>
      </w:r>
    </w:p>
    <w:p>
      <w:pPr>
        <w:ind w:left="288"/>
      </w:pPr>
      <w:r>
        <w:rPr>
          <w:color w:val="1E1E1E"/>
          <w:sz w:val="18"/>
        </w:rPr>
        <w:t>Ação direta de inconstitucionalidade. Arts. 2º, 3º e 4º da Lei 11.727/2002 do Estado do Rio Grande do Sul, que dispõe sobre "a prioridade, nos procedimentos a serem adotados pelo Ministério Público, Tribunal de Contas e por outros órgãos a respeito das conclusões das comissões parlamentares de inquérito". Existência de inconstitucionalidade formal porque, da análise dos artigos impugnados, verifica-se que estes atribuem deveres ao Ministério Público, especialmente os de informação e prioridade na tramitação processual, além de preverem sanções no caso de seu descumprimento, matérias que possue</w:t>
      </w:r>
    </w:p>
    <w:p>
      <w:pPr>
        <w:ind w:left="288"/>
      </w:pPr>
      <w:r>
        <w:rPr>
          <w:b/>
          <w:color w:val="003CA0"/>
          <w:sz w:val="16"/>
        </w:rPr>
        <w:t>[ADI 3.041, rel. min. Ricardo Lewandowski, j. 10-11-2011, P, DJE de 1º-2-2012.]</w:t>
      </w:r>
    </w:p>
    <w:p>
      <w:pPr>
        <w:ind w:left="288"/>
      </w:pPr>
      <w:r>
        <w:rPr>
          <w:color w:val="8C8C8C"/>
          <w:sz w:val="12"/>
        </w:rPr>
        <w:t>cf-art-22-inc-I</w:t>
      </w:r>
      <w:r>
        <w:rPr>
          <w:color w:val="003CA0"/>
          <w:sz w:val="12"/>
        </w:rPr>
        <w:t xml:space="preserve"> | ADI 4.391</w:t>
      </w:r>
      <w:r>
        <w:rPr>
          <w:color w:val="003CA0"/>
          <w:sz w:val="12"/>
        </w:rPr>
        <w:t xml:space="preserve"> | rel. Dias Toffoli</w:t>
      </w:r>
    </w:p>
    <w:p>
      <w:pPr>
        <w:ind w:left="288"/>
      </w:pPr>
      <w:r>
        <w:rPr>
          <w:color w:val="1E1E1E"/>
          <w:sz w:val="18"/>
        </w:rPr>
        <w:t>A competência legislativa do Estado do Rio de Janeiro para fixar piso salarial decorre da LC federal 103, de 2000, mediante a qual a União, valendo-se do disposto no art. 22, I e parágrafo único, da Carta Maior, delegou aos Estados e ao Distrito Federal a competência para instituir piso salarial para os empregados que não tenham esse mínimo definido em lei federal, convenção ou acordo coletivo de trabalho. Trata-se de lei estadual que consubstancia um exemplo típico de exercício, pelo legislador federado, da figura da competência privativa delegada. A expressão "que o fixe a maior", contida no</w:t>
      </w:r>
    </w:p>
    <w:p>
      <w:pPr>
        <w:ind w:left="288"/>
      </w:pPr>
      <w:r>
        <w:rPr>
          <w:b/>
          <w:color w:val="003CA0"/>
          <w:sz w:val="16"/>
        </w:rPr>
        <w:t>[ADI 4.391, rel. min. Dias Toffoli, j. 2-3-2011, P, DJE de 20-6-2011.]</w:t>
      </w:r>
    </w:p>
    <w:p>
      <w:pPr>
        <w:ind w:left="288"/>
      </w:pPr>
      <w:r>
        <w:rPr>
          <w:color w:val="8C8C8C"/>
          <w:sz w:val="12"/>
        </w:rPr>
        <w:t>cf-art-22-inc-I</w:t>
      </w:r>
      <w:r>
        <w:rPr>
          <w:color w:val="003CA0"/>
          <w:sz w:val="12"/>
        </w:rPr>
        <w:t xml:space="preserve"> | ADI 932</w:t>
      </w:r>
      <w:r>
        <w:rPr>
          <w:color w:val="003CA0"/>
          <w:sz w:val="12"/>
        </w:rPr>
        <w:t xml:space="preserve"> | rel. Ricardo Lewandowski</w:t>
      </w:r>
    </w:p>
    <w:p>
      <w:pPr>
        <w:ind w:left="288"/>
      </w:pPr>
      <w:r>
        <w:rPr>
          <w:color w:val="1E1E1E"/>
          <w:sz w:val="18"/>
        </w:rPr>
        <w:t>Dispositivo de lei estadual que apenas altera denominação de cargo ou estabelece prazo para reorganização interna da carreira do Ministério Público não afronta o art. 22 da CF. Não há qualquer inconstitucionalidade em dispositivo que revoga uma atribuição inconstitucional conferida ao Parquet, como a curadoria no processo civil de réu revel ou preso. Embora o art. 18 da LC 667/1991 tenha sido derrogado pelo art. 114 da LC 734/1993, o Tribunal recebeu a manifestação do Conselho Federal da OAB como aditamento à inicial, superando a preliminar de prejudicialidade, para conhecer da ação direta qua</w:t>
      </w:r>
    </w:p>
    <w:p>
      <w:pPr>
        <w:ind w:left="288"/>
      </w:pPr>
      <w:r>
        <w:rPr>
          <w:b/>
          <w:color w:val="003CA0"/>
          <w:sz w:val="16"/>
        </w:rPr>
        <w:t>[ADI 932, rel. min. Ricardo Lewandowski, j. 17-12-2010, P, DJE de 9-5-2011.]</w:t>
      </w:r>
    </w:p>
    <w:p>
      <w:pPr>
        <w:ind w:left="288"/>
      </w:pPr>
      <w:r>
        <w:rPr>
          <w:color w:val="8C8C8C"/>
          <w:sz w:val="12"/>
        </w:rPr>
        <w:t>cf-art-22-inc-I</w:t>
      </w:r>
      <w:r>
        <w:rPr>
          <w:color w:val="003CA0"/>
          <w:sz w:val="12"/>
        </w:rPr>
        <w:t xml:space="preserve"> | ADI 2.736</w:t>
      </w:r>
      <w:r>
        <w:rPr>
          <w:color w:val="003CA0"/>
          <w:sz w:val="12"/>
        </w:rPr>
        <w:t xml:space="preserve"> | rel. Cezar Peluso</w:t>
      </w:r>
    </w:p>
    <w:p>
      <w:pPr>
        <w:ind w:left="288"/>
      </w:pPr>
      <w:r>
        <w:rPr>
          <w:color w:val="1E1E1E"/>
          <w:sz w:val="18"/>
        </w:rPr>
        <w:t>É inconstitucional a medida provisória que, alterando lei, suprime condenação em honorários advocatícios, por sucumbência, nas ações entre o FGTS e titulares de contas vinculadas, bem como naquelas em que figurem os respectivos representantes ou substitutos processuais.</w:t>
        <w:br/>
        <w:t>[ADI 2.736, rel. min. Cezar Peluso, j. 8-9-2010, P, DJE de 29-3-2011.]</w:t>
        <w:br/>
        <w:t>= RE 581.160, rel. min. Ricardo Lewandowski, j. 20-6-2012, P, DJE de 23-8-2012, Tema 116 Instituição de Sistema de Gerenciamento dos Depósitos Judiciais. (...) Matéria que não se encontra entre aquelas reservadas à iniciativa legislativa do Poder Judiciário.</w:t>
      </w:r>
    </w:p>
    <w:p>
      <w:pPr>
        <w:ind w:left="288"/>
      </w:pPr>
      <w:r>
        <w:rPr>
          <w:b/>
          <w:color w:val="003CA0"/>
          <w:sz w:val="16"/>
        </w:rPr>
        <w:t>[ADI 2.909, rel. min. Ayres Britto, j. 12-5-2010, P, DJE de 11-6-2010.]</w:t>
      </w:r>
    </w:p>
    <w:p>
      <w:pPr>
        <w:ind w:left="288"/>
      </w:pPr>
      <w:r>
        <w:rPr>
          <w:color w:val="8C8C8C"/>
          <w:sz w:val="12"/>
        </w:rPr>
        <w:t>cf-art-22-inc-I</w:t>
      </w:r>
      <w:r>
        <w:rPr>
          <w:color w:val="003CA0"/>
          <w:sz w:val="12"/>
        </w:rPr>
        <w:t xml:space="preserve"> | ADI 2.855</w:t>
      </w:r>
      <w:r>
        <w:rPr>
          <w:color w:val="003CA0"/>
          <w:sz w:val="12"/>
        </w:rPr>
        <w:t xml:space="preserve"> | rel. Marco Aurélio</w:t>
      </w:r>
    </w:p>
    <w:p>
      <w:pPr>
        <w:ind w:left="288"/>
      </w:pPr>
      <w:r>
        <w:rPr>
          <w:color w:val="1E1E1E"/>
          <w:sz w:val="18"/>
        </w:rPr>
        <w:t>Vide ADI 2.855, rel. min. Marco Aurélio, j. 12-5-2010, P, DJE de 17-9-2010 Matéria concernente a relações de trabalho. Usurpação de competência privativa da União. Ofensa aos arts. 21, XXIV, e 22, I, da CF. Vício formal caracterizado. (...) É inconstitucional norma do Estado ou do Distrito Federal que disponha sobre proibição de revista íntima em empregados de estabelecimentos situados no respectivo território.</w:t>
      </w:r>
    </w:p>
    <w:p>
      <w:pPr>
        <w:ind w:left="288"/>
      </w:pPr>
      <w:r>
        <w:rPr>
          <w:b/>
          <w:color w:val="003CA0"/>
          <w:sz w:val="16"/>
        </w:rPr>
        <w:t>[ADI 2.947, rel. min. Cezar Peluso, j. 5-5-2010, P, DJE de 10-9-2010.]</w:t>
      </w:r>
    </w:p>
    <w:p>
      <w:pPr>
        <w:ind w:left="288"/>
      </w:pPr>
      <w:r>
        <w:rPr>
          <w:color w:val="8C8C8C"/>
          <w:sz w:val="12"/>
        </w:rPr>
        <w:t>cf-art-22-inc-I</w:t>
      </w:r>
      <w:r>
        <w:rPr>
          <w:color w:val="003CA0"/>
          <w:sz w:val="12"/>
        </w:rPr>
        <w:t xml:space="preserve"> | ADI 238</w:t>
      </w:r>
      <w:r>
        <w:rPr>
          <w:color w:val="003CA0"/>
          <w:sz w:val="12"/>
        </w:rPr>
        <w:t xml:space="preserve"> | rel. Joaquim Barbosa</w:t>
      </w:r>
    </w:p>
    <w:p>
      <w:pPr>
        <w:ind w:left="288"/>
      </w:pPr>
      <w:r>
        <w:rPr>
          <w:color w:val="1E1E1E"/>
          <w:sz w:val="18"/>
        </w:rPr>
        <w:t>Viola a reserva de lei para dispor sobre norma de direito comercial voltada à organização e estruturação das empresas públicas e das sociedades de economia mista norma constitucional estadual que estabelece número de vagas, nos órgãos de administração das pessoas jurídicas, para ser preenchidas por representantes dos empregados.</w:t>
      </w:r>
    </w:p>
    <w:p>
      <w:pPr>
        <w:ind w:left="288"/>
      </w:pPr>
      <w:r>
        <w:rPr>
          <w:b/>
          <w:color w:val="003CA0"/>
          <w:sz w:val="16"/>
        </w:rPr>
        <w:t>[ADI 238, rel. min. Joaquim Barbosa, j. 24-2-2010, P, DJE de 9-4-2010.]</w:t>
      </w:r>
    </w:p>
    <w:p>
      <w:pPr>
        <w:ind w:left="288"/>
      </w:pPr>
      <w:r>
        <w:rPr>
          <w:color w:val="8C8C8C"/>
          <w:sz w:val="12"/>
        </w:rPr>
        <w:t>cf-art-22-inc-I</w:t>
      </w:r>
      <w:r>
        <w:rPr>
          <w:color w:val="003CA0"/>
          <w:sz w:val="12"/>
        </w:rPr>
        <w:t xml:space="preserve"> | ADI 3.934</w:t>
      </w:r>
      <w:r>
        <w:rPr>
          <w:color w:val="003CA0"/>
          <w:sz w:val="12"/>
        </w:rPr>
        <w:t xml:space="preserve"> | rel. Ricardo Lewandowski</w:t>
      </w:r>
    </w:p>
    <w:p>
      <w:pPr>
        <w:ind w:left="288"/>
      </w:pPr>
      <w:r>
        <w:rPr>
          <w:color w:val="1E1E1E"/>
          <w:sz w:val="18"/>
        </w:rPr>
        <w:t>Com efeito, nos termos do art. 22, I, da CF, compete privativamente à União legislar sobre direito do trabalho, não estando ela obrigada a utilizar-se de lei complementar para disciplinar a matéria, que somente é exigida, nos termos do art. 7º, I, da mesma Carta, para regrar a dispensa imotivada.</w:t>
      </w:r>
    </w:p>
    <w:p>
      <w:pPr>
        <w:ind w:left="288"/>
      </w:pPr>
      <w:r>
        <w:rPr>
          <w:b/>
          <w:color w:val="003CA0"/>
          <w:sz w:val="16"/>
        </w:rPr>
        <w:t>[ADI 3.934, voto do rel. min. Ricardo Lewandowski, j. 27-5-2009, P, DJE de 6-11-2009.]</w:t>
      </w:r>
    </w:p>
    <w:p>
      <w:pPr>
        <w:ind w:left="288"/>
      </w:pPr>
      <w:r>
        <w:rPr>
          <w:color w:val="8C8C8C"/>
          <w:sz w:val="12"/>
        </w:rPr>
        <w:t>cf-art-22-inc-I</w:t>
      </w:r>
      <w:r>
        <w:rPr>
          <w:color w:val="003CA0"/>
          <w:sz w:val="12"/>
        </w:rPr>
        <w:t xml:space="preserve"> | ADI 3.999</w:t>
      </w:r>
      <w:r>
        <w:rPr>
          <w:color w:val="003CA0"/>
          <w:sz w:val="12"/>
        </w:rPr>
        <w:t xml:space="preserve"> | rel. Joaquim Barbosa</w:t>
      </w:r>
    </w:p>
    <w:p>
      <w:pPr>
        <w:ind w:left="288"/>
      </w:pPr>
      <w:r>
        <w:rPr>
          <w:color w:val="1E1E1E"/>
          <w:sz w:val="18"/>
        </w:rPr>
        <w:t>Fidelidade partidária. Ação direta de inconstitucionalidade ajuizada contra as Resoluções 22.610/2007 e 22.733/2008, que disciplinam a perda do cargo eletivo e o processo de justificação da desfiliação partidária. (...) Suposta usurpação de competência do Legislativo e do Executivo para dispor sobre matéria eleitoral (art. 22, I; arts. 48 e 84, IV, da Constituição), em virtude de o art. 1º da Resolução disciplinar de maneira inovadora a perda do cargo eletivo. Por estabelecer normas de caráter processual, como a forma da petição inicial e das provas (art. 3º), o prazo para a resposta e as cons</w:t>
      </w:r>
    </w:p>
    <w:p>
      <w:pPr>
        <w:ind w:left="288"/>
      </w:pPr>
      <w:r>
        <w:rPr>
          <w:b/>
          <w:color w:val="003CA0"/>
          <w:sz w:val="16"/>
        </w:rPr>
        <w:t>[ADI 3.999 e ADI 4.086, rel. min. Joaquim Barbosa, j. 12-11-2008, P, DJE de 17-4-2009.]</w:t>
      </w:r>
    </w:p>
    <w:p>
      <w:pPr>
        <w:ind w:left="288"/>
      </w:pPr>
      <w:r>
        <w:rPr>
          <w:color w:val="8C8C8C"/>
          <w:sz w:val="12"/>
        </w:rPr>
        <w:t>cf-art-22-inc-I</w:t>
      </w:r>
      <w:r>
        <w:rPr>
          <w:color w:val="003CA0"/>
          <w:sz w:val="12"/>
        </w:rPr>
        <w:t xml:space="preserve"> | ADI 3.896</w:t>
      </w:r>
      <w:r>
        <w:rPr>
          <w:color w:val="003CA0"/>
          <w:sz w:val="12"/>
        </w:rPr>
        <w:t xml:space="preserve"> | rel. Cármen Lúcia</w:t>
      </w:r>
    </w:p>
    <w:p>
      <w:pPr>
        <w:ind w:left="288"/>
      </w:pPr>
      <w:r>
        <w:rPr>
          <w:color w:val="1E1E1E"/>
          <w:sz w:val="18"/>
        </w:rPr>
        <w:t xml:space="preserve">Art. 32, IV, da Lei sergipana 4.122/1999, que confere a delegado de polícia a prerrogativa de ajustar com o juiz ou a autoridade competente a data, a hora e o local em que será ouvido como testemunha ou ofendido em processos e inquéritos. (...) É competência privativa da União legislar sobre direito processual (...). A persecução criminal, da qual fazem parte o inquérito policial e a ação penal, rege-se pelo direito processual penal. Apesar de caracterizar o inquérito policial uma fase preparatória e até dispensável da ação penal, por estar diretamente ligado à instrução processual que haverá </w:t>
      </w:r>
    </w:p>
    <w:p>
      <w:pPr>
        <w:ind w:left="288"/>
      </w:pPr>
      <w:r>
        <w:rPr>
          <w:b/>
          <w:color w:val="003CA0"/>
          <w:sz w:val="16"/>
        </w:rPr>
        <w:t>[ADI 3.896, rel. min. Cármen Lúcia, j. 4-6-2008, P, DJE de 8-8-2008.]</w:t>
      </w:r>
    </w:p>
    <w:p>
      <w:pPr>
        <w:ind w:left="288"/>
      </w:pPr>
      <w:r>
        <w:rPr>
          <w:color w:val="8C8C8C"/>
          <w:sz w:val="12"/>
        </w:rPr>
        <w:t>cf-art-22-inc-I</w:t>
      </w:r>
      <w:r>
        <w:rPr>
          <w:color w:val="003CA0"/>
          <w:sz w:val="12"/>
        </w:rPr>
        <w:t xml:space="preserve"> | ADI 2.875</w:t>
      </w:r>
      <w:r>
        <w:rPr>
          <w:color w:val="003CA0"/>
          <w:sz w:val="12"/>
        </w:rPr>
        <w:t xml:space="preserve"> | rel. Ricardo Lewandowski</w:t>
      </w:r>
    </w:p>
    <w:p>
      <w:pPr>
        <w:ind w:left="288"/>
      </w:pPr>
      <w:r>
        <w:rPr>
          <w:color w:val="1E1E1E"/>
          <w:sz w:val="18"/>
        </w:rPr>
        <w:t>Lei distrital. Notificação mensal à Secretaria de Saúde. Casos de câncer de pele. Obrigação imposta a médicos públicos e particulares. (...) Dispositivo da lei distrital que imputa responsabilidade civil ao médico por falta de notificação caracteriza ofensa ao art. 22, I, da CF, que consigna ser competência exclusiva da União legislar acerca dessa matéria.</w:t>
      </w:r>
    </w:p>
    <w:p>
      <w:pPr>
        <w:ind w:left="288"/>
      </w:pPr>
      <w:r>
        <w:rPr>
          <w:b/>
          <w:color w:val="003CA0"/>
          <w:sz w:val="16"/>
        </w:rPr>
        <w:t>[ADI 2.875, rel. min. Ricardo Lewandowski, j. 4-6-2008, P, DJE de 20-6-2008.]</w:t>
      </w:r>
    </w:p>
    <w:p>
      <w:pPr>
        <w:ind w:left="288"/>
      </w:pPr>
      <w:r>
        <w:rPr>
          <w:color w:val="8C8C8C"/>
          <w:sz w:val="12"/>
        </w:rPr>
        <w:t>cf-art-22-inc-I</w:t>
      </w:r>
      <w:r>
        <w:rPr>
          <w:color w:val="003CA0"/>
          <w:sz w:val="12"/>
        </w:rPr>
        <w:t xml:space="preserve"> | ADI 1.980</w:t>
      </w:r>
      <w:r>
        <w:rPr>
          <w:color w:val="003CA0"/>
          <w:sz w:val="12"/>
        </w:rPr>
        <w:t xml:space="preserve"> | rel. Sydney Sanches) no sentido de que não invade esfera de competência da União</w:t>
      </w:r>
    </w:p>
    <w:p>
      <w:pPr>
        <w:ind w:left="288"/>
      </w:pPr>
      <w:r>
        <w:rPr>
          <w:color w:val="1E1E1E"/>
          <w:sz w:val="18"/>
        </w:rPr>
        <w:t xml:space="preserve">Ação direta de inconstitucionalidade contra a Lei paranaense 13.519, de 8-4-2002, que estabelece obrigatoriedade de informação, conforme especifica, nos rótulos de embalagens de café comercializado no Paraná. (...) Não há usurpação de competência da União para legislar sobre direito comercial e comércio interestadual porque o ato normativo impugnado buscou, tão somente, assegurar a proteção ao consumidor. Precedente deste Tribunal (ADI 1.980 MC, rel. min. Sydney Sanches) no sentido de que não invade esfera de competência da União, para legislar sobre normas gerais, lei paranaense que assegura </w:t>
      </w:r>
    </w:p>
    <w:p>
      <w:pPr>
        <w:ind w:left="288"/>
      </w:pPr>
      <w:r>
        <w:rPr>
          <w:b/>
          <w:color w:val="003CA0"/>
          <w:sz w:val="16"/>
        </w:rPr>
        <w:t>[ADI 2.832, rel. min. Ricardo Lewandowski, j. 7-5-2008, P, DJE de 20-6-2008.]</w:t>
      </w:r>
    </w:p>
    <w:p>
      <w:pPr>
        <w:ind w:left="288"/>
      </w:pPr>
      <w:r>
        <w:rPr>
          <w:color w:val="8C8C8C"/>
          <w:sz w:val="12"/>
        </w:rPr>
        <w:t>cf-art-22-inc-I</w:t>
      </w:r>
      <w:r>
        <w:rPr>
          <w:color w:val="003CA0"/>
          <w:sz w:val="12"/>
        </w:rPr>
        <w:t xml:space="preserve"> | ADI 1.980</w:t>
      </w:r>
      <w:r>
        <w:rPr>
          <w:color w:val="003CA0"/>
          <w:sz w:val="12"/>
        </w:rPr>
        <w:t xml:space="preserve"> | rel. Cezar Peluso</w:t>
      </w:r>
    </w:p>
    <w:p>
      <w:pPr>
        <w:ind w:left="288"/>
      </w:pPr>
      <w:r>
        <w:rPr>
          <w:color w:val="1E1E1E"/>
          <w:sz w:val="18"/>
        </w:rPr>
        <w:t>= ADI 1.980, rel. min. Cezar Peluso, j. 16-4-2009, P, DJE de 7-8-2009 Lei distrital 3.136/2003, que "disciplina a atividade de transporte de bagagens nos terminais rodoviários do Distrito Federal". (...) Com relação à alegação de violação ao art. 22, I, da CF, na linha da jurisprudência do STF, é o caso de declarar a inconstitucionalidade formal da Lei distrital 3.136/2003, em razão da incompetência legislativa das unidades da Federação para legislar sobre direito do trabalho.</w:t>
      </w:r>
    </w:p>
    <w:p>
      <w:pPr>
        <w:ind w:left="288"/>
      </w:pPr>
      <w:r>
        <w:rPr>
          <w:b/>
          <w:color w:val="003CA0"/>
          <w:sz w:val="16"/>
        </w:rPr>
        <w:t>[ADI 3.587, rel. min. Gilmar Mendes, j. 12-12-2007, P, DJE de 22-2-2008.]</w:t>
      </w:r>
    </w:p>
    <w:p>
      <w:pPr>
        <w:ind w:left="288"/>
      </w:pPr>
      <w:r>
        <w:rPr>
          <w:color w:val="8C8C8C"/>
          <w:sz w:val="12"/>
        </w:rPr>
        <w:t>cf-art-22-inc-I</w:t>
      </w:r>
      <w:r>
        <w:rPr>
          <w:color w:val="003CA0"/>
          <w:sz w:val="12"/>
        </w:rPr>
        <w:t xml:space="preserve"> | ADI 2.487</w:t>
      </w:r>
      <w:r>
        <w:rPr>
          <w:color w:val="003CA0"/>
          <w:sz w:val="12"/>
        </w:rPr>
        <w:t xml:space="preserve"> | rel. Joaquim Barbosa</w:t>
      </w:r>
    </w:p>
    <w:p>
      <w:pPr>
        <w:ind w:left="288"/>
      </w:pPr>
      <w:r>
        <w:rPr>
          <w:color w:val="1E1E1E"/>
          <w:sz w:val="18"/>
        </w:rPr>
        <w:t>A Lei  11.562/2000, não obstante o louvável conteúdo material de combate à discriminação contra a mulher no mercado de trabalho, incide em inconstitucionalidade formal, por invadir a competência da União para legislar sobre direito do trabalho.</w:t>
      </w:r>
    </w:p>
    <w:p>
      <w:pPr>
        <w:ind w:left="288"/>
      </w:pPr>
      <w:r>
        <w:rPr>
          <w:b/>
          <w:color w:val="003CA0"/>
          <w:sz w:val="16"/>
        </w:rPr>
        <w:t>[ADI 2.487, rel. min. Joaquim Barbosa, j. 30-8-2007, P, DJE de 28-3-2008.]</w:t>
      </w:r>
    </w:p>
    <w:p>
      <w:pPr>
        <w:ind w:left="288"/>
      </w:pPr>
      <w:r>
        <w:rPr>
          <w:color w:val="8C8C8C"/>
          <w:sz w:val="12"/>
        </w:rPr>
        <w:t>cf-art-22-inc-I</w:t>
      </w:r>
      <w:r>
        <w:rPr>
          <w:color w:val="003CA0"/>
          <w:sz w:val="12"/>
        </w:rPr>
        <w:t xml:space="preserve"> | ADI 3.165</w:t>
      </w:r>
      <w:r>
        <w:rPr>
          <w:color w:val="003CA0"/>
          <w:sz w:val="12"/>
        </w:rPr>
        <w:t xml:space="preserve"> | rel. Dias Toffoli</w:t>
      </w:r>
    </w:p>
    <w:p>
      <w:pPr>
        <w:ind w:left="288"/>
      </w:pPr>
      <w:r>
        <w:rPr>
          <w:color w:val="1E1E1E"/>
          <w:sz w:val="18"/>
        </w:rPr>
        <w:t>= ADI 3.165, rel. min. Dias Toffoli, j. 11-11-2015, P, DJE de 10-5-2016 Lei 1.314, de 1º-4-2004, do Estado de Rondônia, que impõe às empresas de construção civil, com obras no Estado, a obrigação de fornecer leite, café e pão com manteiga aos trabalhadores que comparecerem com antecedência mínima de quinze minutos ao seu primeiro turno de labor. Usurpação da competência da União para legislar sobre direito do trabalho (inciso I do art. 22).</w:t>
      </w:r>
    </w:p>
    <w:p>
      <w:pPr>
        <w:ind w:left="288"/>
      </w:pPr>
      <w:r>
        <w:rPr>
          <w:b/>
          <w:color w:val="003CA0"/>
          <w:sz w:val="16"/>
        </w:rPr>
        <w:t>[ADI 3.251, rel. min. Ayres Britto, j. 18-6-2007, P, DJ de 19-10-2007.]</w:t>
      </w:r>
    </w:p>
    <w:p>
      <w:pPr>
        <w:ind w:left="288"/>
      </w:pPr>
      <w:r>
        <w:rPr>
          <w:color w:val="8C8C8C"/>
          <w:sz w:val="12"/>
        </w:rPr>
        <w:t>cf-art-22-inc-I</w:t>
      </w:r>
      <w:r>
        <w:rPr>
          <w:color w:val="003CA0"/>
          <w:sz w:val="12"/>
        </w:rPr>
        <w:t xml:space="preserve"> | ADI 104</w:t>
      </w:r>
      <w:r>
        <w:rPr>
          <w:color w:val="003CA0"/>
          <w:sz w:val="12"/>
        </w:rPr>
        <w:t xml:space="preserve"> | rel. Sepúlveda Pertence</w:t>
      </w:r>
    </w:p>
    <w:p>
      <w:pPr>
        <w:ind w:left="288"/>
      </w:pPr>
      <w:r>
        <w:rPr>
          <w:color w:val="1E1E1E"/>
          <w:sz w:val="18"/>
        </w:rPr>
        <w:t>Anistia de infrações disciplinares de servidores estaduais: competência do Estado-membro respectivo. Só quando se cuidar de anistia de crimes – que se caracteriza como abolitio criminis de efeito temporário e só retroativo – a competência exclusiva da União se harmoniza com a competência federal privativa para legislar sobre direito penal (...).</w:t>
      </w:r>
    </w:p>
    <w:p>
      <w:pPr>
        <w:ind w:left="288"/>
      </w:pPr>
      <w:r>
        <w:rPr>
          <w:b/>
          <w:color w:val="003CA0"/>
          <w:sz w:val="16"/>
        </w:rPr>
        <w:t>[ADI 104, rel. min. Sepúlveda Pertence, j. 4-6-2007, P, DJ de 24-8-2007.]</w:t>
      </w:r>
    </w:p>
    <w:p>
      <w:pPr>
        <w:ind w:left="288"/>
      </w:pPr>
      <w:r>
        <w:rPr>
          <w:color w:val="8C8C8C"/>
          <w:sz w:val="12"/>
        </w:rPr>
        <w:t>cf-art-22-inc-I</w:t>
      </w:r>
      <w:r>
        <w:rPr>
          <w:color w:val="003CA0"/>
          <w:sz w:val="12"/>
        </w:rPr>
        <w:t xml:space="preserve"> | ADI 3.394</w:t>
      </w:r>
      <w:r>
        <w:rPr>
          <w:color w:val="003CA0"/>
          <w:sz w:val="12"/>
        </w:rPr>
        <w:t xml:space="preserve"> | rel. Eros Grau</w:t>
      </w:r>
    </w:p>
    <w:p>
      <w:pPr>
        <w:ind w:left="288"/>
      </w:pPr>
      <w:r>
        <w:rPr>
          <w:color w:val="1E1E1E"/>
          <w:sz w:val="18"/>
        </w:rPr>
        <w:t>Teste de maternidade e paternidade. Realização gratuita. (...) O disposto no inciso I consubstancia matéria de índole processual – concessão definitiva do benefício à assistência judiciária gratuita – tema a ser disciplinado pela União.</w:t>
      </w:r>
    </w:p>
    <w:p>
      <w:pPr>
        <w:ind w:left="288"/>
      </w:pPr>
      <w:r>
        <w:rPr>
          <w:b/>
          <w:color w:val="003CA0"/>
          <w:sz w:val="16"/>
        </w:rPr>
        <w:t>[ADI 3.394, rel. min. Eros Grau, j. 2-4-2007, P, DJE de 15-8-2008.]</w:t>
      </w:r>
    </w:p>
    <w:p>
      <w:pPr>
        <w:ind w:left="288"/>
      </w:pPr>
      <w:r>
        <w:rPr>
          <w:color w:val="8C8C8C"/>
          <w:sz w:val="12"/>
        </w:rPr>
        <w:t>cf-art-22-inc-I</w:t>
      </w:r>
      <w:r>
        <w:rPr>
          <w:color w:val="003CA0"/>
          <w:sz w:val="12"/>
        </w:rPr>
        <w:t xml:space="preserve"> | ADI 3.710</w:t>
      </w:r>
      <w:r>
        <w:rPr>
          <w:color w:val="003CA0"/>
          <w:sz w:val="12"/>
        </w:rPr>
        <w:t xml:space="preserve"> | rel. Joaquim Barbosa</w:t>
      </w:r>
    </w:p>
    <w:p>
      <w:pPr>
        <w:ind w:left="288"/>
      </w:pPr>
      <w:r>
        <w:rPr>
          <w:color w:val="1E1E1E"/>
          <w:sz w:val="18"/>
        </w:rPr>
        <w:t>O ato normativo atacado prevê a isenção de pagamento por serviço de estacionamento não apenas em estabelecimentos de ensino, mas também em outros estabelecimentos não representados pela entidade autora. Tratando-se de alegação de inconstitucionalidade formal da norma atacada, torna-se inviável a cisão da ação para dela conhecer apenas em relação aos dispositivos que guardem pertinência temática com os estabelecimentos de ensino. Inconstitucionalidade formal. Competência privativa da União.</w:t>
      </w:r>
    </w:p>
    <w:p>
      <w:pPr>
        <w:ind w:left="288"/>
      </w:pPr>
      <w:r>
        <w:rPr>
          <w:b/>
          <w:color w:val="003CA0"/>
          <w:sz w:val="16"/>
        </w:rPr>
        <w:t>[ADI 3.710, rel. min. Joaquim Barbosa, j. 9-2-2007, P, DJ de 27-4-2007.]</w:t>
      </w:r>
    </w:p>
    <w:p>
      <w:pPr>
        <w:ind w:left="288"/>
      </w:pPr>
      <w:r>
        <w:rPr>
          <w:color w:val="8C8C8C"/>
          <w:sz w:val="12"/>
        </w:rPr>
        <w:t>cf-art-22-inc-I</w:t>
      </w:r>
      <w:r>
        <w:rPr>
          <w:color w:val="003CA0"/>
          <w:sz w:val="12"/>
        </w:rPr>
        <w:t xml:space="preserve"> | AI 742.679</w:t>
      </w:r>
      <w:r>
        <w:rPr>
          <w:color w:val="003CA0"/>
          <w:sz w:val="12"/>
        </w:rPr>
        <w:t xml:space="preserve"> | rel. Ricardo Lewandowski</w:t>
      </w:r>
    </w:p>
    <w:p>
      <w:pPr>
        <w:ind w:left="288"/>
      </w:pPr>
      <w:r>
        <w:rPr>
          <w:color w:val="1E1E1E"/>
          <w:sz w:val="18"/>
        </w:rPr>
        <w:t>= AI 742.679 AgR, rel. min. Ricardo Lewandowski, j. 27-9-2011, 2ª T, DJE de 11-10-2011 Lei estadual que regula obrigações relativas a serviços de assistência médico-hospitalar regidos por contratos de natureza privada, universalizando a cobertura de doenças (Lei 11.446/1997 do Estado de Pernambuco). Vício formal. Competência privativa da União para legislar sobre direito civil, comercial e sobre política de seguros (CF, art. 22, I e VII).</w:t>
      </w:r>
    </w:p>
    <w:p>
      <w:pPr>
        <w:ind w:left="288"/>
      </w:pPr>
      <w:r>
        <w:rPr>
          <w:b/>
          <w:color w:val="003CA0"/>
          <w:sz w:val="16"/>
        </w:rPr>
        <w:t>[ADI 1.646, rel. min. Gilmar Mendes, j. 2-8-2006, P, DJ de 7-12-2006.]</w:t>
      </w:r>
    </w:p>
    <w:p>
      <w:pPr>
        <w:ind w:left="288"/>
      </w:pPr>
      <w:r>
        <w:rPr>
          <w:color w:val="8C8C8C"/>
          <w:sz w:val="12"/>
        </w:rPr>
        <w:t>cf-art-22-inc-I</w:t>
      </w:r>
      <w:r>
        <w:rPr>
          <w:color w:val="003CA0"/>
          <w:sz w:val="12"/>
        </w:rPr>
        <w:t xml:space="preserve"> | ADI 1.595</w:t>
      </w:r>
      <w:r>
        <w:rPr>
          <w:color w:val="003CA0"/>
          <w:sz w:val="12"/>
        </w:rPr>
        <w:t xml:space="preserve"> | rel. Eros Grau</w:t>
      </w:r>
    </w:p>
    <w:p>
      <w:pPr>
        <w:ind w:left="288"/>
      </w:pPr>
      <w:r>
        <w:rPr>
          <w:color w:val="1E1E1E"/>
          <w:sz w:val="18"/>
        </w:rPr>
        <w:t>= ADI 1.595, rel. min. Eros Grau, j. 3-3-2005, P, DJ de 7-12-2006 Com o advento da CF de 1988, delimitou-se, de forma mais criteriosa, o campo de regulamentação das leis e o dos regimentos internos dos tribunais, cabendo a estes últimos o respeito à reserva de lei federal para a edição de regras de natureza processual (CF, art. 22, I), bem como às garantias processuais das partes, "dispondo sobre a competência e o funcionamento dos respectivos órgãos jurisdicionais e administrativos" (CF, art. 96, I, a). São normas de direito processual as relativas às garantias do contraditório, do devido pro</w:t>
      </w:r>
    </w:p>
    <w:p>
      <w:pPr>
        <w:ind w:left="288"/>
      </w:pPr>
      <w:r>
        <w:rPr>
          <w:b/>
          <w:color w:val="003CA0"/>
          <w:sz w:val="16"/>
        </w:rPr>
        <w:t>[ADI 2.970, rel. min. Ellen Gracie, j. 20-4-2006, P, DJ de 12-5-2006.]</w:t>
      </w:r>
    </w:p>
    <w:p>
      <w:pPr>
        <w:ind w:left="288"/>
      </w:pPr>
      <w:r>
        <w:rPr>
          <w:color w:val="8C8C8C"/>
          <w:sz w:val="12"/>
        </w:rPr>
        <w:t>cf-art-22-inc-I</w:t>
      </w:r>
      <w:r>
        <w:rPr>
          <w:color w:val="003CA0"/>
          <w:sz w:val="12"/>
        </w:rPr>
        <w:t xml:space="preserve"> | ADI 2.278</w:t>
      </w:r>
      <w:r>
        <w:rPr>
          <w:color w:val="003CA0"/>
          <w:sz w:val="12"/>
        </w:rPr>
        <w:t xml:space="preserve"> | rel. Eros Grau</w:t>
      </w:r>
    </w:p>
    <w:p>
      <w:pPr>
        <w:ind w:left="288"/>
      </w:pPr>
      <w:r>
        <w:rPr>
          <w:color w:val="1E1E1E"/>
          <w:sz w:val="18"/>
        </w:rPr>
        <w:t>Não ofende à CF ato normativo do TRE que veda a utilização de simuladores de urna eletrônica como veículo de propaganda eleitoral. Contudo, a determinação para a aplicação da penalidade estabelecida no art. 347 do Código Eleitoral aos infratores do comando normativo em análise ofende a competência da União para legislar sobre direito penal (art. 22, I, da CF/1988).</w:t>
      </w:r>
    </w:p>
    <w:p>
      <w:pPr>
        <w:ind w:left="288"/>
      </w:pPr>
      <w:r>
        <w:rPr>
          <w:b/>
          <w:color w:val="003CA0"/>
          <w:sz w:val="16"/>
        </w:rPr>
        <w:t>[ADI 2.278, red. do ac. min. Joaquim Barbosa, rel. min. Eros Grau, j. 15-2-2006, P, DJ de 10-11-2006.]</w:t>
      </w:r>
    </w:p>
    <w:p>
      <w:pPr>
        <w:ind w:left="288"/>
      </w:pPr>
      <w:r>
        <w:rPr>
          <w:color w:val="8C8C8C"/>
          <w:sz w:val="12"/>
        </w:rPr>
        <w:t>cf-art-22-inc-I</w:t>
      </w:r>
      <w:r>
        <w:rPr>
          <w:color w:val="003CA0"/>
          <w:sz w:val="12"/>
        </w:rPr>
        <w:t xml:space="preserve"> | ADI 3.438</w:t>
      </w:r>
      <w:r>
        <w:rPr>
          <w:color w:val="003CA0"/>
          <w:sz w:val="12"/>
        </w:rPr>
        <w:t xml:space="preserve"> | rel. Carlos Velloso</w:t>
      </w:r>
    </w:p>
    <w:p>
      <w:pPr>
        <w:ind w:left="288"/>
      </w:pPr>
      <w:r>
        <w:rPr>
          <w:color w:val="1E1E1E"/>
          <w:sz w:val="18"/>
        </w:rPr>
        <w:t>Normas que cuidam dos institutos da posse, da aquisição de propriedade por decurso do tempo (prescrição aquisitiva) e de títulos legitimadores de propriedade são de direito civil, da competência legislativa da União. CF, art. 22, I.</w:t>
      </w:r>
    </w:p>
    <w:p>
      <w:pPr>
        <w:ind w:left="288"/>
      </w:pPr>
      <w:r>
        <w:rPr>
          <w:b/>
          <w:color w:val="003CA0"/>
          <w:sz w:val="16"/>
        </w:rPr>
        <w:t>[ADI 3.438, rel. min. Carlos Velloso, j. 19-12-2005, P, DJ de 17-2-2006.]</w:t>
      </w:r>
    </w:p>
    <w:p>
      <w:pPr>
        <w:ind w:left="288"/>
      </w:pPr>
      <w:r>
        <w:rPr>
          <w:color w:val="8C8C8C"/>
          <w:sz w:val="12"/>
        </w:rPr>
        <w:t>cf-art-22-inc-I</w:t>
      </w:r>
      <w:r>
        <w:rPr>
          <w:color w:val="003CA0"/>
          <w:sz w:val="12"/>
        </w:rPr>
        <w:t xml:space="preserve"> | ADI 1.007</w:t>
      </w:r>
      <w:r>
        <w:rPr>
          <w:color w:val="003CA0"/>
          <w:sz w:val="12"/>
        </w:rPr>
        <w:t xml:space="preserve"> | rel. Eros Grau</w:t>
      </w:r>
    </w:p>
    <w:p>
      <w:pPr>
        <w:ind w:left="288"/>
      </w:pPr>
      <w:r>
        <w:rPr>
          <w:color w:val="1E1E1E"/>
          <w:sz w:val="18"/>
        </w:rPr>
        <w:t>Mensalidades escolares. Fixação da data de vencimento. Matéria de direito contratual. (...) Nos termos do art. 22, I, da Constituição do Brasil, compete à União legislar sobre direito civil.</w:t>
      </w:r>
    </w:p>
    <w:p>
      <w:pPr>
        <w:ind w:left="288"/>
      </w:pPr>
      <w:r>
        <w:rPr>
          <w:b/>
          <w:color w:val="003CA0"/>
          <w:sz w:val="16"/>
        </w:rPr>
        <w:t>[ADI 1.007, rel. min. Eros Grau, j. 31-8-2005, P, DJ de 24-2-2006.]</w:t>
      </w:r>
    </w:p>
    <w:p>
      <w:pPr>
        <w:ind w:left="288"/>
      </w:pPr>
      <w:r>
        <w:rPr>
          <w:color w:val="8C8C8C"/>
          <w:sz w:val="12"/>
        </w:rPr>
        <w:t>cf-art-22-inc-I</w:t>
      </w:r>
      <w:r>
        <w:rPr>
          <w:color w:val="003CA0"/>
          <w:sz w:val="12"/>
        </w:rPr>
        <w:t xml:space="preserve"> | ADI 1.042</w:t>
      </w:r>
      <w:r>
        <w:rPr>
          <w:color w:val="003CA0"/>
          <w:sz w:val="12"/>
        </w:rPr>
        <w:t xml:space="preserve"> | rel. Cezar Peluso</w:t>
      </w:r>
    </w:p>
    <w:p>
      <w:pPr>
        <w:ind w:left="288"/>
      </w:pPr>
      <w:r>
        <w:rPr>
          <w:color w:val="1E1E1E"/>
          <w:sz w:val="18"/>
        </w:rPr>
        <w:t>= ADI 1.042, rel. min. Cezar Peluso, j. 12-8-2009, P, DJE de 6-11-2009 À União, nos termos do disposto no art. 22, I, da Constituição do Brasil, compete privativamente legislar sobre direito processual. Lei estadual que dispõe sobre atos de juiz, direcionando sua atuação em face de situações específicas, tem natureza processual e não meramente procedimental.</w:t>
      </w:r>
    </w:p>
    <w:p>
      <w:pPr>
        <w:ind w:left="288"/>
      </w:pPr>
      <w:r>
        <w:rPr>
          <w:b/>
          <w:color w:val="003CA0"/>
          <w:sz w:val="16"/>
        </w:rPr>
        <w:t>[ADI 2.257, rel. min. Eros Grau, j. 6-4-2005, P, DJ de 26-8-2005.]</w:t>
      </w:r>
    </w:p>
    <w:p>
      <w:pPr>
        <w:ind w:left="288"/>
      </w:pPr>
      <w:r>
        <w:rPr>
          <w:color w:val="8C8C8C"/>
          <w:sz w:val="12"/>
        </w:rPr>
        <w:t>cf-art-22-inc-I</w:t>
      </w:r>
      <w:r>
        <w:rPr>
          <w:color w:val="003CA0"/>
          <w:sz w:val="12"/>
        </w:rPr>
        <w:t xml:space="preserve"> | ADI 2.655</w:t>
      </w:r>
      <w:r>
        <w:rPr>
          <w:color w:val="003CA0"/>
          <w:sz w:val="12"/>
        </w:rPr>
        <w:t xml:space="preserve"> | rel. Ellen Gracie</w:t>
      </w:r>
    </w:p>
    <w:p>
      <w:pPr>
        <w:ind w:left="288"/>
      </w:pPr>
      <w:r>
        <w:rPr>
          <w:color w:val="1E1E1E"/>
          <w:sz w:val="18"/>
        </w:rPr>
        <w:t>Invade a competência da União norma estadual que disciplina matéria referente ao valor que deva ser dado a uma causa, tema especificamente inserido no campo do direito processual.</w:t>
      </w:r>
    </w:p>
    <w:p>
      <w:pPr>
        <w:ind w:left="288"/>
      </w:pPr>
      <w:r>
        <w:rPr>
          <w:b/>
          <w:color w:val="003CA0"/>
          <w:sz w:val="16"/>
        </w:rPr>
        <w:t>[ADI 2.655, rel. min. Ellen Gracie, j. 9-3-2004, P, DJ de 26-3-2004.]</w:t>
      </w:r>
    </w:p>
    <w:p>
      <w:pPr>
        <w:ind w:left="288"/>
      </w:pPr>
      <w:r>
        <w:rPr>
          <w:color w:val="8C8C8C"/>
          <w:sz w:val="12"/>
        </w:rPr>
        <w:t>cf-art-22-inc-I</w:t>
      </w:r>
      <w:r>
        <w:rPr>
          <w:color w:val="003CA0"/>
          <w:sz w:val="12"/>
        </w:rPr>
        <w:t xml:space="preserve"> | ADI 2.212</w:t>
      </w:r>
      <w:r>
        <w:rPr>
          <w:color w:val="003CA0"/>
          <w:sz w:val="12"/>
        </w:rPr>
        <w:t xml:space="preserve"> | rel. Ellen Gracie</w:t>
      </w:r>
    </w:p>
    <w:p>
      <w:pPr>
        <w:ind w:left="288"/>
      </w:pPr>
      <w:r>
        <w:rPr>
          <w:color w:val="1E1E1E"/>
          <w:sz w:val="18"/>
        </w:rPr>
        <w:t>Natureza jurídica da reclamação não é a de um recurso, de uma ação e nem de um incidente processual. Situa-se ela no âmbito do direito constitucional de petição previsto no art. 5º, XXXIV, da CF. Em consequência, a sua adoção pelo Estado-membro, pela via legislativa local, não implica em invasão da competência privativa da União para legislar sobre direito processual (art. 22, I, da CF).</w:t>
      </w:r>
    </w:p>
    <w:p>
      <w:pPr>
        <w:ind w:left="288"/>
      </w:pPr>
      <w:r>
        <w:rPr>
          <w:b/>
          <w:color w:val="003CA0"/>
          <w:sz w:val="16"/>
        </w:rPr>
        <w:t>[ADI 2.212, rel. min. Ellen Gracie, j. 2-10-2003, P, DJ de 14-11-2003.]</w:t>
      </w:r>
    </w:p>
    <w:p>
      <w:pPr>
        <w:ind w:left="288"/>
      </w:pPr>
      <w:r>
        <w:rPr>
          <w:color w:val="8C8C8C"/>
          <w:sz w:val="12"/>
        </w:rPr>
        <w:t>cf-art-22-inc-I</w:t>
      </w:r>
      <w:r>
        <w:rPr>
          <w:color w:val="003CA0"/>
          <w:sz w:val="12"/>
        </w:rPr>
        <w:t xml:space="preserve"> | ADI 601</w:t>
      </w:r>
      <w:r>
        <w:rPr>
          <w:color w:val="003CA0"/>
          <w:sz w:val="12"/>
        </w:rPr>
        <w:t xml:space="preserve"> | rel. Ilmar Galvão</w:t>
      </w:r>
    </w:p>
    <w:p>
      <w:pPr>
        <w:ind w:left="288"/>
      </w:pPr>
      <w:r>
        <w:rPr>
          <w:color w:val="1E1E1E"/>
          <w:sz w:val="18"/>
        </w:rPr>
        <w:t>Edição, comercialização e distribuição do vale-transporte. Contrariedade ao art. 22, I, da Carta da República. A norma fluminense sob enfoque, ao dispor sobre direito de índole trabalhista, regulado por legislação federal própria (Lei 7.418/1985), invadiu competência legislativa da União, expressa no mencionado dispositivo da Carta da República.</w:t>
      </w:r>
    </w:p>
    <w:p>
      <w:pPr>
        <w:ind w:left="288"/>
      </w:pPr>
      <w:r>
        <w:rPr>
          <w:b/>
          <w:color w:val="003CA0"/>
          <w:sz w:val="16"/>
        </w:rPr>
        <w:t>[ADI 601, rel. min. Ilmar Galvão, j. 1º-8-2002, P, DJ de 20-9-2002.]</w:t>
      </w:r>
    </w:p>
    <w:p>
      <w:pPr>
        <w:ind w:left="288"/>
      </w:pPr>
      <w:r>
        <w:rPr>
          <w:color w:val="8C8C8C"/>
          <w:sz w:val="12"/>
        </w:rPr>
        <w:t>cf-art-22-inc-I</w:t>
      </w:r>
      <w:r>
        <w:rPr>
          <w:color w:val="003CA0"/>
          <w:sz w:val="12"/>
        </w:rPr>
        <w:t xml:space="preserve"> | ADI 1.918</w:t>
      </w:r>
      <w:r>
        <w:rPr>
          <w:color w:val="003CA0"/>
          <w:sz w:val="12"/>
        </w:rPr>
        <w:t xml:space="preserve"> | rel. Maurício Corrêa</w:t>
      </w:r>
    </w:p>
    <w:p>
      <w:pPr>
        <w:ind w:left="288"/>
      </w:pPr>
      <w:r>
        <w:rPr>
          <w:color w:val="1E1E1E"/>
          <w:sz w:val="18"/>
        </w:rPr>
        <w:t>Estacionamento de veículos em áreas particulares. Lei estadual que limita o valor das quantias cobradas pelo seu uso. Direito civil. Invasão de competência privativa da União. Hipótese de inconstitucionalidade formal por invasão de competência privativa da União para legislar sobre direito civil (CF, art. 22, I). Enquanto a União regula o direito de propriedade e estabelece as regras substantivas de intervenção no domínio econômico, os outros níveis de governo apenas exercem o policiamento administrativo do uso da propriedade e da atividade econômica dos particulares, tendo em vista, sempre, a</w:t>
      </w:r>
    </w:p>
    <w:p>
      <w:pPr>
        <w:ind w:left="288"/>
      </w:pPr>
      <w:r>
        <w:rPr>
          <w:b/>
          <w:color w:val="003CA0"/>
          <w:sz w:val="16"/>
        </w:rPr>
        <w:t>[ADI 1.918, rel. min. Maurício Corrêa, j. 23-8-2001, P, DJ de 1º-8-2003.]</w:t>
      </w:r>
    </w:p>
    <w:p>
      <w:pPr>
        <w:ind w:left="288"/>
      </w:pPr>
      <w:r>
        <w:rPr>
          <w:color w:val="8C8C8C"/>
          <w:sz w:val="12"/>
        </w:rPr>
        <w:t>cf-art-22-inc-I</w:t>
      </w:r>
      <w:r>
        <w:rPr>
          <w:color w:val="003CA0"/>
          <w:sz w:val="12"/>
        </w:rPr>
        <w:t xml:space="preserve"> | ADI 4.862</w:t>
      </w:r>
      <w:r>
        <w:rPr>
          <w:color w:val="003CA0"/>
          <w:sz w:val="12"/>
        </w:rPr>
        <w:t xml:space="preserve"> | rel. Gilmar Mendes</w:t>
      </w:r>
    </w:p>
    <w:p>
      <w:pPr>
        <w:ind w:left="288"/>
      </w:pPr>
      <w:r>
        <w:rPr>
          <w:color w:val="1E1E1E"/>
          <w:sz w:val="18"/>
        </w:rPr>
        <w:t>= ADI 4.862, rel. min. Gilmar Mendes, j. 18-8-2016, P, DJE de 7-2-2017 É irrecusável, de um lado, que a disciplina normativa pertinente a questões de direito eleitoral insere-se na competência legislativa da União Federal. Essa competência normativa, definida ratione materiae, decorre da regra inscrita no art. 22, I, da Constituição da República, que atribui ao poder central competência para legislar privativamente sobre direito eleitoral. Ocorre que, salvo melhor juízo, a escolha do governador e do vice-governador de Estado, para efeito de exercício residual do mandato político, na hipótese d</w:t>
      </w:r>
    </w:p>
    <w:p>
      <w:pPr>
        <w:ind w:left="288"/>
      </w:pPr>
      <w:r>
        <w:rPr>
          <w:b/>
          <w:color w:val="003CA0"/>
          <w:sz w:val="16"/>
        </w:rPr>
        <w:t>[ADI 1.057 MC, voto do rel. min. Celso de Mello, j. 20-4-1994, P, DJ de 6-4-2001.]</w:t>
      </w:r>
    </w:p>
    <w:p>
      <w:pPr>
        <w:ind w:left="288"/>
      </w:pPr>
      <w:r>
        <w:rPr>
          <w:color w:val="8C8C8C"/>
          <w:sz w:val="12"/>
        </w:rPr>
        <w:t>cf-art-22-inc-I</w:t>
      </w:r>
      <w:r>
        <w:rPr>
          <w:color w:val="003CA0"/>
          <w:sz w:val="12"/>
        </w:rPr>
        <w:t xml:space="preserve"> | ADI 4.298</w:t>
      </w:r>
      <w:r>
        <w:rPr>
          <w:color w:val="003CA0"/>
          <w:sz w:val="12"/>
        </w:rPr>
        <w:t xml:space="preserve"> | rel. Cezar Peluso</w:t>
      </w:r>
    </w:p>
    <w:p>
      <w:pPr>
        <w:ind w:left="288"/>
      </w:pPr>
      <w:r>
        <w:rPr>
          <w:color w:val="1E1E1E"/>
          <w:sz w:val="18"/>
        </w:rPr>
        <w:t>= ADI 4.298 MC, rel. min. Cezar Peluso, j. 7-10-2009, P, DJE de 27-11-2009</w:t>
      </w:r>
    </w:p>
    <w:p>
      <w:pPr>
        <w:ind w:left="144"/>
      </w:pPr>
      <w:r>
        <w:rPr>
          <w:b/>
          <w:color w:val="B45A00"/>
          <w:sz w:val="16"/>
        </w:rPr>
        <w:t>REPERCUSSAO GERAL</w:t>
      </w:r>
    </w:p>
    <w:p>
      <w:pPr>
        <w:ind w:left="288"/>
      </w:pPr>
      <w:r>
        <w:rPr>
          <w:color w:val="8C8C8C"/>
          <w:sz w:val="12"/>
        </w:rPr>
        <w:t>cf-art-22-inc-I</w:t>
      </w:r>
      <w:r>
        <w:rPr>
          <w:color w:val="003CA0"/>
          <w:sz w:val="12"/>
        </w:rPr>
        <w:t xml:space="preserve"> | RE 581.160</w:t>
      </w:r>
      <w:r>
        <w:rPr>
          <w:color w:val="003CA0"/>
          <w:sz w:val="12"/>
        </w:rPr>
        <w:t xml:space="preserve"> | rel. Ricardo Lewandowski</w:t>
      </w:r>
    </w:p>
    <w:p>
      <w:pPr>
        <w:ind w:left="288"/>
      </w:pPr>
      <w:r>
        <w:rPr>
          <w:color w:val="1E1E1E"/>
          <w:sz w:val="18"/>
        </w:rPr>
        <w:t xml:space="preserve">(...) a matéria relativa à condenação em honorários advocatícios possui natureza processual civil, e a jurisprudência desta Corte, antes mesmo da vedação imposta pela EC 32/2001, não admitia a utilização de medida provisória para disciplinar questões processuais; d) a competência para legislar sobre matéria de índole processual civil é privativa da União Federal, no âmbito do Poder Legislativo (art. 22, I, da CF). </w:t>
        <w:br/>
        <w:t>[RE 581.160, voto do rel. min. Ricardo Lewandowski, j. 20-6-2012, P, DJE de 23-8-2012, Tema 116.]</w:t>
        <w:br/>
        <w:t>= ADI 2.736, rel. min. Cezar Peluso, j. 8-9-2010, P, DJE de 29-3-2011</w:t>
      </w:r>
    </w:p>
    <w:p>
      <w:pPr>
        <w:ind w:left="144"/>
      </w:pPr>
      <w:r>
        <w:rPr>
          <w:b/>
          <w:color w:val="B45A00"/>
          <w:sz w:val="16"/>
        </w:rPr>
        <w:t>JULGADOS CORRELATOS</w:t>
      </w:r>
    </w:p>
    <w:p>
      <w:pPr>
        <w:ind w:left="288"/>
      </w:pPr>
      <w:r>
        <w:rPr>
          <w:color w:val="8C8C8C"/>
          <w:sz w:val="12"/>
        </w:rPr>
        <w:t>cf-art-22-inc-I</w:t>
      </w:r>
      <w:r>
        <w:rPr>
          <w:color w:val="003CA0"/>
          <w:sz w:val="12"/>
        </w:rPr>
        <w:t xml:space="preserve"> | ARE 1.472.813</w:t>
      </w:r>
      <w:r>
        <w:rPr>
          <w:color w:val="003CA0"/>
          <w:sz w:val="12"/>
        </w:rPr>
        <w:t xml:space="preserve"> | rel. Alexandre de Moraes</w:t>
      </w:r>
    </w:p>
    <w:p>
      <w:pPr>
        <w:ind w:left="288"/>
      </w:pPr>
      <w:r>
        <w:rPr>
          <w:color w:val="1E1E1E"/>
          <w:sz w:val="18"/>
        </w:rPr>
        <w:t>Ao estabelecer que os matadouros e matadouros-frigoríficos em atividade no Estado de Rondônia instalem balanças eletrônicas pelos frigoríficos, a fim de promover a transparência dos resultados das pesagens de carcaças de animais abatidos, o conteúdo versado na norma questionada não interfere no núcleo essencial do Direito Civil, de modo que não usurpa a competência privativa da União estabelecida no art. 22, I, da Constituição Federal de 1988.</w:t>
        <w:br/>
        <w:t>[ARE 1.472.813 AgR, rel. min. Alexandre de Moraes, j. 05.06.2024, 1ª T, DJE de 11.06.2024.] Na espécie, o Tribunal de origem reconheceu a inconstitucion</w:t>
      </w:r>
    </w:p>
    <w:p>
      <w:pPr>
        <w:ind w:left="288"/>
      </w:pPr>
      <w:r>
        <w:rPr>
          <w:b/>
          <w:color w:val="003CA0"/>
          <w:sz w:val="16"/>
        </w:rPr>
        <w:t>[ARE 1.481.151, rel. min. Gilmar Mendes, j. 24.02.2024, P, DJE de 25.03.2025.]</w:t>
      </w:r>
    </w:p>
    <w:p>
      <w:pPr>
        <w:ind w:left="288"/>
      </w:pPr>
      <w:r>
        <w:rPr>
          <w:color w:val="8C8C8C"/>
          <w:sz w:val="12"/>
        </w:rPr>
        <w:t>cf-art-22-inc-I</w:t>
      </w:r>
      <w:r>
        <w:rPr>
          <w:color w:val="003CA0"/>
          <w:sz w:val="12"/>
        </w:rPr>
        <w:t xml:space="preserve"> | RE 1.453.495</w:t>
      </w:r>
      <w:r>
        <w:rPr>
          <w:color w:val="003CA0"/>
          <w:sz w:val="12"/>
        </w:rPr>
        <w:t xml:space="preserve"> | rel. Cristiano Zanin</w:t>
      </w:r>
    </w:p>
    <w:p>
      <w:pPr>
        <w:ind w:left="288"/>
      </w:pPr>
      <w:r>
        <w:rPr>
          <w:color w:val="1E1E1E"/>
          <w:sz w:val="18"/>
        </w:rPr>
        <w:t>A Lei Municipal 17.830/2022, ao prever a cobrança de multa ou aplicação de qualquer penalidade pela perda ou extravio do comprovante fornecido pelos estacionamentos de veículos de propriedade privada, violou o art. 22, I, da Constituição Federal. Verifica-se, no caso, a inconstitucionalidade formal da mencionada lei, pois a competência para legislar sobre direito civil é privativa da União.</w:t>
        <w:br/>
        <w:t>[RE 1.453.495 ED-AgR, rel. min. Cristiano Zanin, j. 27-11-2023, 1ª T, DJE de 1º-12-2023.] A competência legislativa atribuída aos Municípios se restringe a seus servidores estatutários. Não abrange ela os e</w:t>
      </w:r>
    </w:p>
    <w:p>
      <w:pPr>
        <w:ind w:left="288"/>
      </w:pPr>
      <w:r>
        <w:rPr>
          <w:b/>
          <w:color w:val="003CA0"/>
          <w:sz w:val="16"/>
        </w:rPr>
        <w:t>[HC 90.900, red. do ac. min. Menezes Direito, rel. min. Ellen Gracie, j. 30-10-2008, P, DJE de 23-10-2009.]</w:t>
      </w:r>
    </w:p>
    <w:p>
      <w:pPr>
        <w:ind w:left="288"/>
      </w:pPr>
      <w:r>
        <w:rPr>
          <w:color w:val="8C8C8C"/>
          <w:sz w:val="12"/>
        </w:rPr>
        <w:t>cf-art-22-inc-I</w:t>
      </w:r>
      <w:r>
        <w:rPr>
          <w:color w:val="003CA0"/>
          <w:sz w:val="12"/>
        </w:rPr>
        <w:t xml:space="preserve"> | RE 405.031</w:t>
      </w:r>
      <w:r>
        <w:rPr>
          <w:color w:val="003CA0"/>
          <w:sz w:val="12"/>
        </w:rPr>
        <w:t xml:space="preserve"> | rel. Marco Aurélio</w:t>
      </w:r>
    </w:p>
    <w:p>
      <w:pPr>
        <w:ind w:left="288"/>
      </w:pPr>
      <w:r>
        <w:rPr>
          <w:color w:val="1E1E1E"/>
          <w:sz w:val="18"/>
        </w:rPr>
        <w:t>No tocante ao cabimento da reclamação no processo trabalhista, observem que, de há muito, o Supremo assentou a necessidade de esse instrumento estar previsto em lei no sentido formal e material, não cabendo criá-lo por meio de regimento interno. (...) Cumpre, no âmbito federal, ao Congresso Nacional dispor a respeito, ainda que o faça, ante a origem da regência do processo do trabalho, mediante lei ordinária. Relativamente ao Supremo e ao STJ, porque o campo de atuação dessas Cortes está delimitado na própria Carta Federal, a reclamação foi prevista, respectivamente, no art. 102, I,  l, e no a</w:t>
      </w:r>
    </w:p>
    <w:p>
      <w:pPr>
        <w:ind w:left="288"/>
      </w:pPr>
      <w:r>
        <w:rPr>
          <w:b/>
          <w:color w:val="003CA0"/>
          <w:sz w:val="16"/>
        </w:rPr>
        <w:t>[RE 405.031, voto do rel. min. Marco Aurélio, j. 15-10-2008, P, DJE de 17-4-2009.]</w:t>
      </w:r>
    </w:p>
    <w:p>
      <w:pPr>
        <w:ind w:left="288"/>
      </w:pPr>
      <w:r>
        <w:rPr>
          <w:color w:val="8C8C8C"/>
          <w:sz w:val="12"/>
        </w:rPr>
        <w:t>cf-art-22-inc-I</w:t>
      </w:r>
      <w:r>
        <w:rPr>
          <w:color w:val="003CA0"/>
          <w:sz w:val="12"/>
        </w:rPr>
        <w:t xml:space="preserve"> | RE 464.935</w:t>
      </w:r>
      <w:r>
        <w:rPr>
          <w:color w:val="003CA0"/>
          <w:sz w:val="12"/>
        </w:rPr>
        <w:t xml:space="preserve"> | rel. Cezar Peluso</w:t>
      </w:r>
    </w:p>
    <w:p>
      <w:pPr>
        <w:ind w:left="288"/>
      </w:pPr>
      <w:r>
        <w:rPr>
          <w:color w:val="1E1E1E"/>
          <w:sz w:val="18"/>
        </w:rPr>
        <w:t>Inteligência dos arts. 22, I, e 125, § 1º, da CF. Não afronta a Constituição da República a norma de Constituição estadual que, disciplinando competência originária do Tribunal de Justiça, lha atribui para processar e julgar vereador.</w:t>
      </w:r>
    </w:p>
    <w:p>
      <w:pPr>
        <w:ind w:left="288"/>
      </w:pPr>
      <w:r>
        <w:rPr>
          <w:b/>
          <w:color w:val="003CA0"/>
          <w:sz w:val="16"/>
        </w:rPr>
        <w:t>[RE 464.935, rel. min. Cezar Peluso, j. 3-6-2008, 2ª T, DJE de 27-6-2008.]</w:t>
      </w:r>
    </w:p>
    <w:p>
      <w:pPr>
        <w:ind w:left="288"/>
      </w:pPr>
      <w:r>
        <w:rPr>
          <w:color w:val="8C8C8C"/>
          <w:sz w:val="12"/>
        </w:rPr>
        <w:t>cf-art-22-inc-I</w:t>
      </w:r>
      <w:r>
        <w:rPr>
          <w:color w:val="003CA0"/>
          <w:sz w:val="12"/>
        </w:rPr>
        <w:t xml:space="preserve"> | RE 164.715</w:t>
      </w:r>
      <w:r>
        <w:rPr>
          <w:color w:val="003CA0"/>
          <w:sz w:val="12"/>
        </w:rPr>
        <w:t xml:space="preserve"> | rel. Sepúlveda Pertence</w:t>
      </w:r>
    </w:p>
    <w:p>
      <w:pPr>
        <w:ind w:left="288"/>
      </w:pPr>
      <w:r>
        <w:rPr>
          <w:color w:val="1E1E1E"/>
          <w:sz w:val="18"/>
        </w:rPr>
        <w:t>Direito do trabalho: Legislação federal sobre reajuste de salário ("gatilho salarial"): incidência direta sobre as relações contratuais trabalhistas do Estado-membro e suas autarquias. No âmbito da competência privativa da União para legislar sobre direito do trabalho – que abrange as normas de reajuste salarial compulsório –, a lei federal incide diretamente sobre as relações contratuais dos servidores dos Estados, dos Municípios e das respectivas autarquias: uma coisa é repelir – por força da autonomia do Estado ou da vedação de vinculações remuneratórias – que a legislação local possa atrel</w:t>
      </w:r>
    </w:p>
    <w:p>
      <w:pPr>
        <w:ind w:left="288"/>
      </w:pPr>
      <w:r>
        <w:rPr>
          <w:b/>
          <w:color w:val="003CA0"/>
          <w:sz w:val="16"/>
        </w:rPr>
        <w:t>[RE 164.715, rel. min. Sepúlveda Pertence, j. 13-6-1996, P, DJ de 21-2-1997.]</w:t>
      </w:r>
    </w:p>
    <w:p>
      <w:pPr>
        <w:ind w:left="288"/>
      </w:pPr>
      <w:r>
        <w:rPr>
          <w:color w:val="8C8C8C"/>
          <w:sz w:val="12"/>
        </w:rPr>
        <w:t>cf-art-22-inc-I</w:t>
      </w:r>
      <w:r>
        <w:rPr>
          <w:color w:val="003CA0"/>
          <w:sz w:val="12"/>
        </w:rPr>
        <w:t xml:space="preserve"> | RE 632.713</w:t>
      </w:r>
      <w:r>
        <w:rPr>
          <w:color w:val="003CA0"/>
          <w:sz w:val="12"/>
        </w:rPr>
        <w:t xml:space="preserve"> | rel. Ayres Britto</w:t>
      </w:r>
    </w:p>
    <w:p>
      <w:pPr>
        <w:ind w:left="288"/>
      </w:pPr>
      <w:r>
        <w:rPr>
          <w:color w:val="1E1E1E"/>
          <w:sz w:val="18"/>
        </w:rPr>
        <w:t>Vide RE 632.713 AgR, rel. min. Ayres Britto, j. 17-5-2011, 2ª T, DJE de 26-8-2011 Da Constituição do Estado de São Paulo (art. 74, IV), em combinação com o art. 96, III, da CF, resulta a competência originária do tribunal de justiça para julgar habeas corpus quando a coação ou ameaça seja atribuída a membro do Ministério Público local; nesse ponto, o preceito da Constituição estadual não ofende a competência privativa da União para legislar sobre direito processual.</w:t>
      </w:r>
    </w:p>
    <w:p>
      <w:pPr>
        <w:ind w:left="288"/>
      </w:pPr>
      <w:r>
        <w:rPr>
          <w:b/>
          <w:color w:val="003CA0"/>
          <w:sz w:val="16"/>
        </w:rPr>
        <w:t>[RE 141.209, rel. min. Sepúlveda Pertence, j. 4-2-1992, 1ª T, DJ de 20-3-1992.]</w:t>
      </w:r>
    </w:p>
    <w:p>
      <w:pPr>
        <w:ind w:left="144"/>
      </w:pPr>
      <w:r>
        <w:rPr>
          <w:b/>
          <w:color w:val="B45A00"/>
          <w:sz w:val="16"/>
        </w:rPr>
        <w:t>CONTROLE CONCENTRADO</w:t>
      </w:r>
    </w:p>
    <w:p>
      <w:pPr>
        <w:ind w:left="288"/>
      </w:pPr>
      <w:r>
        <w:rPr>
          <w:color w:val="8C8C8C"/>
          <w:sz w:val="12"/>
        </w:rPr>
        <w:t>cf-art-22-inc-II</w:t>
      </w:r>
      <w:r>
        <w:rPr>
          <w:color w:val="003CA0"/>
          <w:sz w:val="12"/>
        </w:rPr>
        <w:t xml:space="preserve"> | ADI 969</w:t>
      </w:r>
      <w:r>
        <w:rPr>
          <w:color w:val="003CA0"/>
          <w:sz w:val="12"/>
        </w:rPr>
        <w:t xml:space="preserve"> | rel. Joaquim Barbosa</w:t>
      </w:r>
    </w:p>
    <w:p>
      <w:pPr>
        <w:ind w:left="288"/>
      </w:pPr>
      <w:r>
        <w:rPr>
          <w:color w:val="1E1E1E"/>
          <w:sz w:val="18"/>
        </w:rPr>
        <w:t>É inconstitucional, por invadir a competência legislativa da União e violar o princípio da separação dos poderes, norma distrital que submeta as desapropriações, no âmbito do Distrito Federal, à aprovação prévia da Câmara Legislativa do Distrito Federal.</w:t>
      </w:r>
    </w:p>
    <w:p>
      <w:pPr>
        <w:ind w:left="288"/>
      </w:pPr>
      <w:r>
        <w:rPr>
          <w:b/>
          <w:color w:val="003CA0"/>
          <w:sz w:val="16"/>
        </w:rPr>
        <w:t>[ADI 969, rel. min. Joaquim Barbosa, j. 27-9-2006, P, DJ de 20-10-2006.]</w:t>
      </w:r>
    </w:p>
    <w:p>
      <w:pPr>
        <w:ind w:left="288"/>
      </w:pPr>
      <w:r>
        <w:rPr>
          <w:color w:val="8C8C8C"/>
          <w:sz w:val="12"/>
        </w:rPr>
        <w:t>cf-art-22-inc-III</w:t>
      </w:r>
      <w:r>
        <w:rPr>
          <w:color w:val="003CA0"/>
          <w:sz w:val="12"/>
        </w:rPr>
        <w:t xml:space="preserve"> | ADI 3.639</w:t>
      </w:r>
      <w:r>
        <w:rPr>
          <w:color w:val="003CA0"/>
          <w:sz w:val="12"/>
        </w:rPr>
        <w:t xml:space="preserve"> | rel. Joaquim Barbosa</w:t>
      </w:r>
    </w:p>
    <w:p>
      <w:pPr>
        <w:ind w:left="288"/>
      </w:pPr>
      <w:r>
        <w:rPr>
          <w:color w:val="1E1E1E"/>
          <w:sz w:val="18"/>
        </w:rPr>
        <w:t>O texto impugnado permite à administração utilizar em serviços de inteligência veículos particulares apreendidos. Como a regra não especifica os motivos pelos quais os veículos passíveis de utilização foram retirados da esfera de uso e gozo de seus proprietários, a permissão se estende aos veículos apreendidos não apenas em razão de infração de trânsito, mas de outras violações, como a da ordem tributária. Ao assim prescrever, a Lei 8.493/2004 viola o direito constitucional ao devido processo legal que leva à perda compulsória da propriedade ou do direito de uso e gozo (posse), cuja positivaçã</w:t>
      </w:r>
    </w:p>
    <w:p>
      <w:pPr>
        <w:ind w:left="288"/>
      </w:pPr>
      <w:r>
        <w:rPr>
          <w:b/>
          <w:color w:val="003CA0"/>
          <w:sz w:val="16"/>
        </w:rPr>
        <w:t>[ADI 3.639, voto do rel. min. Joaquim Barbosa, j. 23-5-2013, P, DJE de 7-10-2013.]</w:t>
      </w:r>
    </w:p>
    <w:p>
      <w:pPr>
        <w:ind w:left="288"/>
      </w:pPr>
      <w:r>
        <w:rPr>
          <w:color w:val="8C8C8C"/>
          <w:sz w:val="12"/>
        </w:rPr>
        <w:t>cf-art-22-inc-IV</w:t>
      </w:r>
      <w:r>
        <w:rPr>
          <w:color w:val="003CA0"/>
          <w:sz w:val="12"/>
        </w:rPr>
        <w:t xml:space="preserve"> | ADI 7.332</w:t>
      </w:r>
      <w:r>
        <w:rPr>
          <w:color w:val="003CA0"/>
          <w:sz w:val="12"/>
        </w:rPr>
        <w:t xml:space="preserve"> | rel. Dias Toffoli</w:t>
      </w:r>
    </w:p>
    <w:p>
      <w:pPr>
        <w:ind w:left="288"/>
      </w:pPr>
      <w:r>
        <w:rPr>
          <w:color w:val="1E1E1E"/>
          <w:sz w:val="18"/>
        </w:rPr>
        <w:t>É inconstitucional — por violar as competências administrativa e legislativa da União para dispor sobre energia elétrica, bem como por interferir nas relações contratuais entre as concessionárias e o poder concedente federal (CF/1988, art. 21, XII, b; 22, IV; e 175) — norma estadual que obriga as empresas geradoras, transmissoras e distribuidoras de energia a destinarem percentual mínimo de seus recursos a projetos específicos.</w:t>
      </w:r>
    </w:p>
    <w:p>
      <w:pPr>
        <w:ind w:left="288"/>
      </w:pPr>
      <w:r>
        <w:rPr>
          <w:b/>
          <w:color w:val="003CA0"/>
          <w:sz w:val="16"/>
        </w:rPr>
        <w:t>[ADI 7.332, rel. min. Dias Toffoli, j. 04.11.2025, P, Informativo STF 1.197.]</w:t>
      </w:r>
    </w:p>
    <w:p>
      <w:pPr>
        <w:ind w:left="288"/>
      </w:pPr>
      <w:r>
        <w:rPr>
          <w:color w:val="8C8C8C"/>
          <w:sz w:val="12"/>
        </w:rPr>
        <w:t>cf-art-22-inc-IV</w:t>
      </w:r>
      <w:r>
        <w:rPr>
          <w:color w:val="003CA0"/>
          <w:sz w:val="12"/>
        </w:rPr>
        <w:t xml:space="preserve"> | ADI 7.725</w:t>
      </w:r>
      <w:r>
        <w:rPr>
          <w:color w:val="003CA0"/>
          <w:sz w:val="12"/>
        </w:rPr>
        <w:t xml:space="preserve"> | rel. André Mendonça</w:t>
      </w:r>
    </w:p>
    <w:p>
      <w:pPr>
        <w:ind w:left="288"/>
      </w:pPr>
      <w:r>
        <w:rPr>
          <w:color w:val="1E1E1E"/>
          <w:sz w:val="18"/>
        </w:rPr>
        <w:t>Lei Estadual nº 3.533/2019, do Estado do Tocantins. Suspensão dos serviços públicos de energia elétrica e água por inadimplemento dos usuários. (...) Considerando que a energia elétrica é matéria de competência administrativa e legislativa da União, é inconstitucional a lei estadual que estabeleça regras sobre a suspensão do fornecimento dos serviços por inadimplemento do usuário, por violação aos artigos 21, inciso XII, alínea “b”, e 22, inciso IV, da Constituição. (...) Quanto aos serviços públicos de fornecimento de água, o Supremo Tribunal Federal entende que o interesse predominante, ness</w:t>
      </w:r>
    </w:p>
    <w:p>
      <w:pPr>
        <w:ind w:left="288"/>
      </w:pPr>
      <w:r>
        <w:rPr>
          <w:b/>
          <w:color w:val="003CA0"/>
          <w:sz w:val="16"/>
        </w:rPr>
        <w:t>[ADI 7.725, rel. min. André Mendonça, j. 26.05.2025, P, DJE de 02.07.2025.]</w:t>
      </w:r>
    </w:p>
    <w:p>
      <w:pPr>
        <w:ind w:left="288"/>
      </w:pPr>
      <w:r>
        <w:rPr>
          <w:color w:val="8C8C8C"/>
          <w:sz w:val="12"/>
        </w:rPr>
        <w:t>cf-art-22-inc-IV</w:t>
      </w:r>
      <w:r>
        <w:rPr>
          <w:color w:val="003CA0"/>
          <w:sz w:val="12"/>
        </w:rPr>
        <w:t xml:space="preserve"> | ADPF 218</w:t>
      </w:r>
      <w:r>
        <w:rPr>
          <w:color w:val="003CA0"/>
          <w:sz w:val="12"/>
        </w:rPr>
        <w:t xml:space="preserve"> | rel. Gilmar Mendes</w:t>
      </w:r>
    </w:p>
    <w:p>
      <w:pPr>
        <w:ind w:left="288"/>
      </w:pPr>
      <w:r>
        <w:rPr>
          <w:color w:val="1E1E1E"/>
          <w:sz w:val="18"/>
        </w:rPr>
        <w:t>Competência privativa da União para legislar sobre água e energia. A situação normatizada na espécie guarda nexo muito mais estreito com a regulação do aproveitamento energético dos cursos de água que eventual competência comum do Município de Ponte Nova/MG para tratar sobre assunto de interesse local ou suplementação a normas federais ou estaduais. Ao proibir a construção de UHEs e PCHs e estipular a necessidade de emprego do método menos impactante a ser utilizado para geração de energia, o legislador municipal dispôs sobre matéria de competência privativa da União e avocou indevidamente a c</w:t>
      </w:r>
    </w:p>
    <w:p>
      <w:pPr>
        <w:ind w:left="288"/>
      </w:pPr>
      <w:r>
        <w:rPr>
          <w:b/>
          <w:color w:val="003CA0"/>
          <w:sz w:val="16"/>
        </w:rPr>
        <w:t>[ADPF 218, rel. min. Gilmar Mendes, j. 07.05.2025, P, DJE de 12.05.2025.]</w:t>
      </w:r>
    </w:p>
    <w:p>
      <w:pPr>
        <w:ind w:left="288"/>
      </w:pPr>
      <w:r>
        <w:rPr>
          <w:color w:val="8C8C8C"/>
          <w:sz w:val="12"/>
        </w:rPr>
        <w:t>cf-art-22-inc-IV</w:t>
      </w:r>
      <w:r>
        <w:rPr>
          <w:color w:val="003CA0"/>
          <w:sz w:val="12"/>
        </w:rPr>
        <w:t xml:space="preserve"> | ADI 3.877</w:t>
      </w:r>
      <w:r>
        <w:rPr>
          <w:color w:val="003CA0"/>
          <w:sz w:val="12"/>
        </w:rPr>
        <w:t xml:space="preserve"> | rel. Nunes Marques</w:t>
      </w:r>
    </w:p>
    <w:p>
      <w:pPr>
        <w:ind w:left="288"/>
      </w:pPr>
      <w:r>
        <w:rPr>
          <w:color w:val="1E1E1E"/>
          <w:sz w:val="18"/>
        </w:rPr>
        <w:t>• A Lei n. 3.963/2007 do Distrito Federal, ao proibir a cobrança pela instalação e utilização de pontos adicionais de televisão por assinatura em residências e fixar multa em virtude do descumprimento, interfere no núcleo regulatório das telecomunicações, o que revela usurpação da competência normativa privativa da União sobre a matéria.</w:t>
        <w:br/>
        <w:t>[ADI 3.877, rel. min. Nunes Marques, j. 09.09.2024, P, DJE de 13.11.2024.] São inconstitucionais, por ofensa às competências material e legislativa privativas da União (CF, arts. 21, XI, e 22, IV), normas municipais que, a pretexto de proteger o meio ambiente,</w:t>
      </w:r>
    </w:p>
    <w:p>
      <w:pPr>
        <w:ind w:left="288"/>
      </w:pPr>
      <w:r>
        <w:rPr>
          <w:b/>
          <w:color w:val="003CA0"/>
          <w:sz w:val="16"/>
        </w:rPr>
        <w:t>[ADI 7.211, rel. min. Alexandre de Moraes, j. 3-10-2022, P, DJE de 10-10-2022.]</w:t>
      </w:r>
    </w:p>
    <w:p>
      <w:pPr>
        <w:ind w:left="288"/>
      </w:pPr>
      <w:r>
        <w:rPr>
          <w:color w:val="8C8C8C"/>
          <w:sz w:val="12"/>
        </w:rPr>
        <w:t>cf-art-22-inc-IV</w:t>
      </w:r>
      <w:r>
        <w:rPr>
          <w:color w:val="003CA0"/>
          <w:sz w:val="12"/>
        </w:rPr>
        <w:t xml:space="preserve"> | ADI 6.199</w:t>
      </w:r>
      <w:r>
        <w:rPr>
          <w:color w:val="003CA0"/>
          <w:sz w:val="12"/>
        </w:rPr>
        <w:t xml:space="preserve"> | rel. Nunes Marques</w:t>
      </w:r>
    </w:p>
    <w:p>
      <w:pPr>
        <w:ind w:left="288"/>
      </w:pPr>
      <w:r>
        <w:rPr>
          <w:color w:val="1E1E1E"/>
          <w:sz w:val="18"/>
        </w:rPr>
        <w:t>Em que pese o Serviço de Valor Adicionado (SVA) não estar entre os serviços de telecomunicações, quando comercializado por operadora do setor passa a ser fonte de receita alternativa ou acessória da concessionária, integrando-se, portanto, à estrutura econômico-financeira do contrato de concessão do serviço público. Lei estadual não pode, sob pena de ingerência reflexa no contrato de concessão celebrado entre a União e a concessionária, proibir ou limitar as receitas alternativas complementares ou acessórias da empresa. Eventual proibição dessa natureza pode potencializar o surgimento de difer</w:t>
      </w:r>
    </w:p>
    <w:p>
      <w:pPr>
        <w:ind w:left="288"/>
      </w:pPr>
      <w:r>
        <w:rPr>
          <w:b/>
          <w:color w:val="003CA0"/>
          <w:sz w:val="16"/>
        </w:rPr>
        <w:t>[ADI 6.199, rel. min. Nunes Marques, j. 16-8-2022, P, DJE de 26-8-2022.]</w:t>
      </w:r>
    </w:p>
    <w:p>
      <w:pPr>
        <w:ind w:left="288"/>
      </w:pPr>
      <w:r>
        <w:rPr>
          <w:color w:val="8C8C8C"/>
          <w:sz w:val="12"/>
        </w:rPr>
        <w:t>cf-art-22-inc-IV</w:t>
      </w:r>
      <w:r>
        <w:rPr>
          <w:color w:val="003CA0"/>
          <w:sz w:val="12"/>
        </w:rPr>
        <w:t xml:space="preserve"> | ADI 5.399</w:t>
      </w:r>
      <w:r>
        <w:rPr>
          <w:color w:val="003CA0"/>
          <w:sz w:val="12"/>
        </w:rPr>
        <w:t xml:space="preserve"> | rel. Roberto Barroso</w:t>
      </w:r>
    </w:p>
    <w:p>
      <w:pPr>
        <w:ind w:left="288"/>
      </w:pPr>
      <w:r>
        <w:rPr>
          <w:color w:val="1E1E1E"/>
          <w:sz w:val="18"/>
        </w:rPr>
        <w:t>(...) Lei Estadual nº 15.854/2015, que cria a obrigação das concessionárias de serviços telefônicos móveis de estender benefícios aos clientes antigos, das promoções oferecidas a novos clientes. Lei que cria obrigações e sanções para empresas de telefonia. Violação da competência privativa da União para legislar sobre serviços de telecomunicações.</w:t>
      </w:r>
    </w:p>
    <w:p>
      <w:pPr>
        <w:ind w:left="288"/>
      </w:pPr>
      <w:r>
        <w:rPr>
          <w:b/>
          <w:color w:val="003CA0"/>
          <w:sz w:val="16"/>
        </w:rPr>
        <w:t>[ADI 5.399, rel. min. Roberto Barroso, j. 9-6-2022, P, DJE de 7-12-2022.]</w:t>
      </w:r>
    </w:p>
    <w:p>
      <w:pPr>
        <w:ind w:left="288"/>
      </w:pPr>
      <w:r>
        <w:rPr>
          <w:color w:val="8C8C8C"/>
          <w:sz w:val="12"/>
        </w:rPr>
        <w:t>cf-art-22-inc-IV</w:t>
      </w:r>
      <w:r>
        <w:rPr>
          <w:color w:val="003CA0"/>
          <w:sz w:val="12"/>
        </w:rPr>
        <w:t xml:space="preserve"> | ADI 5.292</w:t>
      </w:r>
      <w:r>
        <w:rPr>
          <w:color w:val="003CA0"/>
          <w:sz w:val="12"/>
        </w:rPr>
        <w:t xml:space="preserve"> | rel. Cármen Lúcia</w:t>
      </w:r>
    </w:p>
    <w:p>
      <w:pPr>
        <w:ind w:left="288"/>
      </w:pPr>
      <w:r>
        <w:rPr>
          <w:color w:val="1E1E1E"/>
          <w:sz w:val="18"/>
        </w:rPr>
        <w:t>(...) ao definir unilateralmente e tornar obrigatória a divulgação diária de fotos de crianças desaparecidas em noticiários de TV, a lei catarinense impugnada invadiu a competência legislativa da União para dispor privativamente sobre radiodifusão de sons e imagens, afrontado o previsto no inc. IV do art. 22 da Constituição brasileira e cuidou de tema entregue, constitucionalmente, ao legislador nacional, à Administração Pública federal e aos cuidados e com os instrumentos de convênio fixados em normas nacionais.</w:t>
      </w:r>
    </w:p>
    <w:p>
      <w:pPr>
        <w:ind w:left="288"/>
      </w:pPr>
      <w:r>
        <w:rPr>
          <w:b/>
          <w:color w:val="003CA0"/>
          <w:sz w:val="16"/>
        </w:rPr>
        <w:t>[ADI 5.292, voto da rel. min. Cármen Lúcia, j. 28-3-2022, P, DJE de 19-5-2022.]</w:t>
      </w:r>
    </w:p>
    <w:p>
      <w:pPr>
        <w:ind w:left="288"/>
      </w:pPr>
      <w:r>
        <w:rPr>
          <w:color w:val="8C8C8C"/>
          <w:sz w:val="12"/>
        </w:rPr>
        <w:t>cf-art-22-inc-IV</w:t>
      </w:r>
      <w:r>
        <w:rPr>
          <w:color w:val="003CA0"/>
          <w:sz w:val="12"/>
        </w:rPr>
        <w:t xml:space="preserve"> | ADI 4.924</w:t>
      </w:r>
      <w:r>
        <w:rPr>
          <w:color w:val="003CA0"/>
          <w:sz w:val="12"/>
        </w:rPr>
        <w:t xml:space="preserve"> | rel. Gilmar Mendes</w:t>
      </w:r>
    </w:p>
    <w:p>
      <w:pPr>
        <w:ind w:left="288"/>
      </w:pPr>
      <w:r>
        <w:rPr>
          <w:color w:val="1E1E1E"/>
          <w:sz w:val="18"/>
        </w:rPr>
        <w:t xml:space="preserve">Dispositivos que determinam que as prestadoras de serviço telefônico são obrigadas a fornecer, sob pena de multa, os dados pessoais dos usuários de terminais utilizados para passar trotes aos serviços de emergência. Alegação de inconstitucionalidade formal, por invasão da competência da União para legislar sobre serviços de telecomunicações – art. 22, IV, da CF. A norma trata do relacionamento entre as prestadoras e a administração pública, em uma relação diversa daquela decorrente da outorga da prestação do serviço – prestação de informações para processo administrativo. Norma compatível com </w:t>
      </w:r>
    </w:p>
    <w:p>
      <w:pPr>
        <w:ind w:left="288"/>
      </w:pPr>
      <w:r>
        <w:rPr>
          <w:b/>
          <w:color w:val="003CA0"/>
          <w:sz w:val="16"/>
        </w:rPr>
        <w:t>[ADI 4.924, rel. min. Gilmar Mendes, j. 4-11-2021, P, DJE de 29-3-2022.]</w:t>
      </w:r>
    </w:p>
    <w:p>
      <w:pPr>
        <w:ind w:left="288"/>
      </w:pPr>
      <w:r>
        <w:rPr>
          <w:color w:val="8C8C8C"/>
          <w:sz w:val="12"/>
        </w:rPr>
        <w:t>cf-art-22-inc-IV</w:t>
      </w:r>
      <w:r>
        <w:rPr>
          <w:color w:val="003CA0"/>
          <w:sz w:val="12"/>
        </w:rPr>
        <w:t xml:space="preserve"> | ADI 6.580</w:t>
      </w:r>
      <w:r>
        <w:rPr>
          <w:color w:val="003CA0"/>
          <w:sz w:val="12"/>
        </w:rPr>
        <w:t xml:space="preserve"> | rel. Cármen Lúcia</w:t>
      </w:r>
    </w:p>
    <w:p>
      <w:pPr>
        <w:ind w:left="288"/>
      </w:pPr>
      <w:r>
        <w:rPr>
          <w:color w:val="1E1E1E"/>
          <w:sz w:val="18"/>
        </w:rPr>
        <w:t>A legislação estadual impugnada com o escopo de coibir a atividade de ‘delivery de gasolina e etanol’ exorbitou sua competência e usurpou competência privativa da União para legislar sobre energia.</w:t>
      </w:r>
    </w:p>
    <w:p>
      <w:pPr>
        <w:ind w:left="288"/>
      </w:pPr>
      <w:r>
        <w:rPr>
          <w:b/>
          <w:color w:val="003CA0"/>
          <w:sz w:val="16"/>
        </w:rPr>
        <w:t>[ADI 6.580, rel. min. Cármen Lúcia, j. 12-5-2021, P, DJE de 24-5-2021.]</w:t>
      </w:r>
    </w:p>
    <w:p>
      <w:pPr>
        <w:ind w:left="288"/>
      </w:pPr>
      <w:r>
        <w:rPr>
          <w:color w:val="8C8C8C"/>
          <w:sz w:val="12"/>
        </w:rPr>
        <w:t>cf-art-22-inc-IV</w:t>
      </w:r>
      <w:r>
        <w:rPr>
          <w:color w:val="003CA0"/>
          <w:sz w:val="12"/>
        </w:rPr>
        <w:t xml:space="preserve"> | ADI 6.089</w:t>
      </w:r>
      <w:r>
        <w:rPr>
          <w:color w:val="003CA0"/>
          <w:sz w:val="12"/>
        </w:rPr>
        <w:t xml:space="preserve"> | rel. Marco Aurélio</w:t>
      </w:r>
    </w:p>
    <w:p>
      <w:pPr>
        <w:ind w:left="288"/>
      </w:pPr>
      <w:r>
        <w:rPr>
          <w:color w:val="1E1E1E"/>
          <w:sz w:val="18"/>
        </w:rPr>
        <w:t>A Lei 16.734/2018 do Estado do Ceará, ao vedar às operadoras de telefonia móvel que procedam, entre outras providências, ao bloqueio de acesso à internet quando esgotada a franquia de dados contratada, violou o art. 22, inciso IV, da Lei Maior, que confere à União a competência privativa para dispor sobre telecomunicações.</w:t>
        <w:br/>
        <w:t>[ADI 6.089, red. do ac. min. Dias Toffoli, j. 8-2-2021, P, DJE de 4-3-2021.] O art. 22, inciso IV, da Constituição de 1988, que fixa a competência privativa da União para dispor sobre águas, deve ser interpretado à luz do art. 21, inciso XIX, que reserva ao campo de atribuiç</w:t>
      </w:r>
    </w:p>
    <w:p>
      <w:pPr>
        <w:ind w:left="288"/>
      </w:pPr>
      <w:r>
        <w:rPr>
          <w:b/>
          <w:color w:val="003CA0"/>
          <w:sz w:val="16"/>
        </w:rPr>
        <w:t>[ADI 5.025, rel. min. Marco Aurélio, j. 8-2-2021, P, DJE de 30-3-2021.]</w:t>
      </w:r>
    </w:p>
    <w:p>
      <w:pPr>
        <w:ind w:left="288"/>
      </w:pPr>
      <w:r>
        <w:rPr>
          <w:color w:val="8C8C8C"/>
          <w:sz w:val="12"/>
        </w:rPr>
        <w:t>cf-art-22-inc-IV</w:t>
      </w:r>
      <w:r>
        <w:rPr>
          <w:color w:val="003CA0"/>
          <w:sz w:val="12"/>
        </w:rPr>
        <w:t xml:space="preserve"> | ADI 6.326</w:t>
      </w:r>
      <w:r>
        <w:rPr>
          <w:color w:val="003CA0"/>
          <w:sz w:val="12"/>
        </w:rPr>
        <w:t xml:space="preserve"> | rel. Cármen Lúcia</w:t>
      </w:r>
    </w:p>
    <w:p>
      <w:pPr>
        <w:ind w:left="288"/>
      </w:pPr>
      <w:r>
        <w:rPr>
          <w:color w:val="1E1E1E"/>
          <w:sz w:val="18"/>
        </w:rPr>
        <w:t>Medida cautelar em ação direta de inconstitucionalidade. Conversão em julgamento definitivo. Lei n. 14.228/2020 da Bahia. Proibição a concessionárias de telecomunicações de limitação de tempo para utilização de créditos de telefones celulares pré-pagos. Usurpação Da Competência Da União. Inc. XI do art. 21 e inc. IV do art. 22 da constituição da república. Precedentes do supremo tribunal federal. Ação Direta de Inconstitucionalidade julgada procedente.</w:t>
      </w:r>
    </w:p>
    <w:p>
      <w:pPr>
        <w:ind w:left="288"/>
      </w:pPr>
      <w:r>
        <w:rPr>
          <w:b/>
          <w:color w:val="003CA0"/>
          <w:sz w:val="16"/>
        </w:rPr>
        <w:t>[ADI 6.326, rel. min. Cármen Lúcia, j. 23-11-2020, P, DJE de 3-12-2020.]</w:t>
      </w:r>
    </w:p>
    <w:p>
      <w:pPr>
        <w:ind w:left="288"/>
      </w:pPr>
      <w:r>
        <w:rPr>
          <w:color w:val="8C8C8C"/>
          <w:sz w:val="12"/>
        </w:rPr>
        <w:t>cf-art-22-inc-IV</w:t>
      </w:r>
      <w:r>
        <w:rPr>
          <w:color w:val="003CA0"/>
          <w:sz w:val="12"/>
        </w:rPr>
        <w:t xml:space="preserve"> | ADI 5.574</w:t>
      </w:r>
      <w:r>
        <w:rPr>
          <w:color w:val="003CA0"/>
          <w:sz w:val="12"/>
        </w:rPr>
        <w:t xml:space="preserve"> | rel. Edson Fachin</w:t>
      </w:r>
    </w:p>
    <w:p>
      <w:pPr>
        <w:ind w:left="288"/>
      </w:pPr>
      <w:r>
        <w:rPr>
          <w:color w:val="1E1E1E"/>
          <w:sz w:val="18"/>
        </w:rPr>
        <w:t>Lei Estadual 10.519/2015 do Estado da Paraíba. Bloqueio de aparelhos celulares pelas operadoras nas hipóteses de furto e roubo. Competência privativa da União para legislar sobre telecomunicações. (...) No caso dos autos, apesar de estar se discutindo a constitucionalidade do bloqueio de aparelhos celulares nas hipóteses de furto e roubo, resta claro que a finalidade da norma é justamente possibilitar o bloqueio de sinal de telecomunicações e/ou radiocomunicações (...).</w:t>
      </w:r>
    </w:p>
    <w:p>
      <w:pPr>
        <w:ind w:left="288"/>
      </w:pPr>
      <w:r>
        <w:rPr>
          <w:b/>
          <w:color w:val="003CA0"/>
          <w:sz w:val="16"/>
        </w:rPr>
        <w:t>[ADI 5.574, rel. min. Edson Fachin, j. 27-9-2019, P, DJE de 15-10-2019.]</w:t>
      </w:r>
    </w:p>
    <w:p>
      <w:pPr>
        <w:ind w:left="288"/>
      </w:pPr>
      <w:r>
        <w:rPr>
          <w:color w:val="8C8C8C"/>
          <w:sz w:val="12"/>
        </w:rPr>
        <w:t>cf-art-22-inc-IV</w:t>
      </w:r>
      <w:r>
        <w:rPr>
          <w:color w:val="003CA0"/>
          <w:sz w:val="12"/>
        </w:rPr>
        <w:t xml:space="preserve"> | ADI 4.401</w:t>
      </w:r>
      <w:r>
        <w:rPr>
          <w:color w:val="003CA0"/>
          <w:sz w:val="12"/>
        </w:rPr>
        <w:t xml:space="preserve"> | rel. Gilmar Mendes</w:t>
      </w:r>
    </w:p>
    <w:p>
      <w:pPr>
        <w:ind w:left="288"/>
      </w:pPr>
      <w:r>
        <w:rPr>
          <w:color w:val="1E1E1E"/>
          <w:sz w:val="18"/>
        </w:rPr>
        <w:t xml:space="preserve">Lei 18.721/2010 do Estado de Minas Gerais, que dispõe sobre o fornecimento de informações por concessionária de telefonia fixa e móvel para fins de segurança pública. Competência privativa da União para legislar sobre telecomunicações. </w:t>
        <w:br/>
        <w:t>[ADI 4.401, rel. min. Gilmar Mendes, j. 30-8-2019, P, DJE de 28-11-2019.] A Lei 16.291/2017 do Estado do Ceará, ao instituir a obrigação de as operadoras de telefonia fixa e móvel disponibilizarem, em seus sítios eletrônicos, extrato detalhado de conta das chamadas telefônicas e serviços utilizados na modalidade de recarga de créditos por pagamento antecipado (</w:t>
      </w:r>
    </w:p>
    <w:p>
      <w:pPr>
        <w:ind w:left="288"/>
      </w:pPr>
      <w:r>
        <w:rPr>
          <w:b/>
          <w:color w:val="003CA0"/>
          <w:sz w:val="16"/>
        </w:rPr>
        <w:t>[ADI 2.299, rel. min. Roberto Barroso, j. 23-8-2019, P, DJE de 13-12-2019.]</w:t>
      </w:r>
    </w:p>
    <w:p>
      <w:pPr>
        <w:ind w:left="288"/>
      </w:pPr>
      <w:r>
        <w:rPr>
          <w:color w:val="8C8C8C"/>
          <w:sz w:val="12"/>
        </w:rPr>
        <w:t>cf-art-22-inc-IV</w:t>
      </w:r>
      <w:r>
        <w:rPr>
          <w:color w:val="003CA0"/>
          <w:sz w:val="12"/>
        </w:rPr>
        <w:t xml:space="preserve"> | ADPF 235</w:t>
      </w:r>
      <w:r>
        <w:rPr>
          <w:color w:val="003CA0"/>
          <w:sz w:val="12"/>
        </w:rPr>
        <w:t xml:space="preserve"> | rel. Luiz Fux</w:t>
      </w:r>
    </w:p>
    <w:p>
      <w:pPr>
        <w:ind w:left="288"/>
      </w:pPr>
      <w:r>
        <w:rPr>
          <w:color w:val="1E1E1E"/>
          <w:sz w:val="18"/>
        </w:rPr>
        <w:t>(...) é formalmente inconstitucional a Lei 416/08, do Município de Augustinópolis/TO, que autoriza o Poder Executivo Municipal a conceder a exploração do Serviço de Radiodifusão Comunitária no âmbito do território do Município, mercê da inexistência, na sistemática jurídico-constitucional atual, de espaço para que o legislador local busque tratar geral e abstratamente sobre o tema da exploração do Serviço de Radiodifusão Comunitária.</w:t>
        <w:br/>
        <w:t>[ADPF 235, rel. min. Luiz Fux, j. 14-8-2019, P, DJE de 30-8-2019.] Os prazos e valores referentes à religação do fornecimento de energia elétrica não apenas já es</w:t>
      </w:r>
    </w:p>
    <w:p>
      <w:pPr>
        <w:ind w:left="288"/>
      </w:pPr>
      <w:r>
        <w:rPr>
          <w:b/>
          <w:color w:val="003CA0"/>
          <w:sz w:val="16"/>
        </w:rPr>
        <w:t>[ADI 5.575, rel. min. Luiz Fux, j. 25-10-2018, P, DJE de 7-11-2018.]</w:t>
      </w:r>
    </w:p>
    <w:p>
      <w:pPr>
        <w:ind w:left="288"/>
      </w:pPr>
      <w:r>
        <w:rPr>
          <w:color w:val="8C8C8C"/>
          <w:sz w:val="12"/>
        </w:rPr>
        <w:t>cf-art-22-inc-IV</w:t>
      </w:r>
      <w:r>
        <w:rPr>
          <w:color w:val="003CA0"/>
          <w:sz w:val="12"/>
        </w:rPr>
        <w:t xml:space="preserve"> | ADI 5.253</w:t>
      </w:r>
      <w:r>
        <w:rPr>
          <w:color w:val="003CA0"/>
          <w:sz w:val="12"/>
        </w:rPr>
        <w:t xml:space="preserve"> | rel. Dias Toffoli</w:t>
      </w:r>
    </w:p>
    <w:p>
      <w:pPr>
        <w:ind w:left="288"/>
      </w:pPr>
      <w:r>
        <w:rPr>
          <w:color w:val="1E1E1E"/>
          <w:sz w:val="18"/>
        </w:rPr>
        <w:t>A Lei 13.189, de 4 de julho de 2014, do Estado da Bahia, ao criar obrigação para as operadoras do serviço móvel pessoal, consistente na instalação e na manutenção de bloqueadores de sinais de radiocomunicações (BSR) nos estabelecimentos penais de todo o Estado, com o objetivo de impedir a comunicação por telefones móveis no interior dos referidos estabelecimentos, dispôs a respeito de serviços de telecomunicações, matéria da competência legislativa privativa da União, na forma do art. 22, IV, da CF.</w:t>
        <w:br/>
        <w:t>[ADI 5.253, rel. min. Dias Toffoli, j. 3-8-2016, P, DJE de 1º-8-2017.] A Lei 5.934/2011 do Esta</w:t>
      </w:r>
    </w:p>
    <w:p>
      <w:pPr>
        <w:ind w:left="288"/>
      </w:pPr>
      <w:r>
        <w:rPr>
          <w:b/>
          <w:color w:val="003CA0"/>
          <w:sz w:val="16"/>
        </w:rPr>
        <w:t>[ADI 4.649, rel. min. Dias Toffoli, j. 1º-7-2016, P, DJE de 12-8-2016.]</w:t>
      </w:r>
    </w:p>
    <w:p>
      <w:pPr>
        <w:ind w:left="288"/>
      </w:pPr>
      <w:r>
        <w:rPr>
          <w:color w:val="8C8C8C"/>
          <w:sz w:val="12"/>
        </w:rPr>
        <w:t>cf-art-22-inc-IV</w:t>
      </w:r>
      <w:r>
        <w:rPr>
          <w:color w:val="003CA0"/>
          <w:sz w:val="12"/>
        </w:rPr>
        <w:t xml:space="preserve"> | ADI 4.369</w:t>
      </w:r>
      <w:r>
        <w:rPr>
          <w:color w:val="003CA0"/>
          <w:sz w:val="12"/>
        </w:rPr>
        <w:t xml:space="preserve"> | rel. Marco Aurélio</w:t>
      </w:r>
    </w:p>
    <w:p>
      <w:pPr>
        <w:ind w:left="288"/>
      </w:pPr>
      <w:r>
        <w:rPr>
          <w:color w:val="1E1E1E"/>
          <w:sz w:val="18"/>
        </w:rPr>
        <w:t>Competência normativa. Telefonia. Assinatura básica mensal. Surge conflitante com a Carta da República lei local a dispor sobre a impossibilidade de cobrança de assinatura básica mensal pelas concessionárias de serviços de telecomunicações.</w:t>
      </w:r>
    </w:p>
    <w:p>
      <w:pPr>
        <w:ind w:left="288"/>
      </w:pPr>
      <w:r>
        <w:rPr>
          <w:b/>
          <w:color w:val="003CA0"/>
          <w:sz w:val="16"/>
        </w:rPr>
        <w:t>[ADI 4.369, rel. min. Marco Aurélio, j. 15-10-2014, P, DJE de 3-11-2014.]</w:t>
      </w:r>
    </w:p>
    <w:p>
      <w:pPr>
        <w:ind w:left="288"/>
      </w:pPr>
      <w:r>
        <w:rPr>
          <w:color w:val="8C8C8C"/>
          <w:sz w:val="12"/>
        </w:rPr>
        <w:t>cf-art-22-inc-IV</w:t>
      </w:r>
      <w:r>
        <w:rPr>
          <w:color w:val="003CA0"/>
          <w:sz w:val="12"/>
        </w:rPr>
        <w:t xml:space="preserve"> | ADI 4.603</w:t>
      </w:r>
      <w:r>
        <w:rPr>
          <w:color w:val="003CA0"/>
          <w:sz w:val="12"/>
        </w:rPr>
        <w:t xml:space="preserve"> | rel. Dias Toffoli</w:t>
      </w:r>
    </w:p>
    <w:p>
      <w:pPr>
        <w:ind w:left="288"/>
      </w:pPr>
      <w:r>
        <w:rPr>
          <w:color w:val="1E1E1E"/>
          <w:sz w:val="18"/>
        </w:rPr>
        <w:t>= ADI 4.603, rel. min. Dias Toffoli, j. 1º-7-2016, P, DJE de 12-8-2016 O sistema federativo instituído pela CF de 1988 torna inequívoco que cabe à União a competência legislativa e administrativa para a disciplina e a prestação dos serviços públicos de telecomunicações e energia elétrica (CF, arts. 21, XI e XII, b, e 22, IV). A Lei 3.449/2004 do Distrito Federal, ao proibir a cobrança da tarifa de assinatura básica "pelas concessionárias prestadoras de serviços de água, luz, gás, TV a cabo e telefonia no Distrito Federal" (art. 1º, caput), incorreu em inconstitucionalidade formal (...).</w:t>
      </w:r>
    </w:p>
    <w:p>
      <w:pPr>
        <w:ind w:left="288"/>
      </w:pPr>
      <w:r>
        <w:rPr>
          <w:b/>
          <w:color w:val="003CA0"/>
          <w:sz w:val="16"/>
        </w:rPr>
        <w:t>[ADI 3.343, red. do ac. min. Luiz Fux, j. 1º-9-2011, P, DJE de 22-11-2011.]</w:t>
      </w:r>
    </w:p>
    <w:p>
      <w:pPr>
        <w:ind w:left="288"/>
      </w:pPr>
      <w:r>
        <w:rPr>
          <w:color w:val="8C8C8C"/>
          <w:sz w:val="12"/>
        </w:rPr>
        <w:t>cf-art-22-inc-IV</w:t>
      </w:r>
      <w:r>
        <w:rPr>
          <w:color w:val="003CA0"/>
          <w:sz w:val="12"/>
        </w:rPr>
        <w:t xml:space="preserve"> | ADI 3.558</w:t>
      </w:r>
      <w:r>
        <w:rPr>
          <w:color w:val="003CA0"/>
          <w:sz w:val="12"/>
        </w:rPr>
        <w:t xml:space="preserve"> | rel. Cármen Lúcia</w:t>
      </w:r>
    </w:p>
    <w:p>
      <w:pPr>
        <w:ind w:left="288"/>
      </w:pPr>
      <w:r>
        <w:rPr>
          <w:color w:val="1E1E1E"/>
          <w:sz w:val="18"/>
        </w:rPr>
        <w:t>(...) as Leis fluminenses 3.915/2002 e 4.561/2005, ao obrigarem as concessionárias dos serviços de telefonia fixa, energia elétrica, água e gás a instalar medidores de consumo, intervêm na relação firmada entre a União e suas concessionárias, pelo que contrariam os arts. 21, XI e XII, b; e 22, IV, da Constituição da República.</w:t>
      </w:r>
    </w:p>
    <w:p>
      <w:pPr>
        <w:ind w:left="288"/>
      </w:pPr>
      <w:r>
        <w:rPr>
          <w:b/>
          <w:color w:val="003CA0"/>
          <w:sz w:val="16"/>
        </w:rPr>
        <w:t>[ADI 3.558, voto da rel. min. Cármen Lúcia, j. 17-3-2011, P, DJE de 6-5-2011.]</w:t>
      </w:r>
    </w:p>
    <w:p>
      <w:pPr>
        <w:ind w:left="288"/>
      </w:pPr>
      <w:r>
        <w:rPr>
          <w:color w:val="8C8C8C"/>
          <w:sz w:val="12"/>
        </w:rPr>
        <w:t>cf-art-22-inc-IV</w:t>
      </w:r>
      <w:r>
        <w:rPr>
          <w:color w:val="003CA0"/>
          <w:sz w:val="12"/>
        </w:rPr>
        <w:t xml:space="preserve"> | ADI 3.846</w:t>
      </w:r>
      <w:r>
        <w:rPr>
          <w:color w:val="003CA0"/>
          <w:sz w:val="12"/>
        </w:rPr>
        <w:t xml:space="preserve"> | rel. Gilmar Mendes</w:t>
      </w:r>
    </w:p>
    <w:p>
      <w:pPr>
        <w:ind w:left="288"/>
      </w:pPr>
      <w:r>
        <w:rPr>
          <w:color w:val="1E1E1E"/>
          <w:sz w:val="18"/>
        </w:rPr>
        <w:t>Lei estadual 12.983/2005 de Pernambuco versus CF, [arts.] 5º, X; 21, XI; e, 22, I e IV. Afronta por instituir controle de comercialização e de habilitação de aparelhos usados de telefonia móvel.</w:t>
      </w:r>
    </w:p>
    <w:p>
      <w:pPr>
        <w:ind w:left="288"/>
      </w:pPr>
      <w:r>
        <w:rPr>
          <w:b/>
          <w:color w:val="003CA0"/>
          <w:sz w:val="16"/>
        </w:rPr>
        <w:t>[ADI 3.846, rel. min. Gilmar Mendes, j. 25-11-2010, P, DJE de 15-3-2011.]</w:t>
      </w:r>
    </w:p>
    <w:p>
      <w:pPr>
        <w:ind w:left="288"/>
      </w:pPr>
      <w:r>
        <w:rPr>
          <w:color w:val="8C8C8C"/>
          <w:sz w:val="12"/>
        </w:rPr>
        <w:t>cf-art-22-inc-IV</w:t>
      </w:r>
      <w:r>
        <w:rPr>
          <w:color w:val="003CA0"/>
          <w:sz w:val="12"/>
        </w:rPr>
        <w:t xml:space="preserve"> | ADI 4.083</w:t>
      </w:r>
      <w:r>
        <w:rPr>
          <w:color w:val="003CA0"/>
          <w:sz w:val="12"/>
        </w:rPr>
        <w:t xml:space="preserve"> | rel. Cármen Lúcia</w:t>
      </w:r>
    </w:p>
    <w:p>
      <w:pPr>
        <w:ind w:left="288"/>
      </w:pPr>
      <w:r>
        <w:rPr>
          <w:color w:val="1E1E1E"/>
          <w:sz w:val="18"/>
        </w:rPr>
        <w:t>A Lei distrital 4.116/2008 proíbe as empresas de telecomunicações de cobrarem taxas para a instalação do segundo ponto de acesso à internet. (...) Ainda que ao argumento de defesa do consumidor, não pode lei distrital impor a uma concessionária federal novas obrigações não antes previstas no contrato por ela firmado com a União.</w:t>
      </w:r>
    </w:p>
    <w:p>
      <w:pPr>
        <w:ind w:left="288"/>
      </w:pPr>
      <w:r>
        <w:rPr>
          <w:b/>
          <w:color w:val="003CA0"/>
          <w:sz w:val="16"/>
        </w:rPr>
        <w:t>[ADI 4.083, rel. min. Cármen Lúcia, j. 25-11-2010, P, DJE de 14-12-2010.]</w:t>
      </w:r>
    </w:p>
    <w:p>
      <w:pPr>
        <w:ind w:left="288"/>
      </w:pPr>
      <w:r>
        <w:rPr>
          <w:color w:val="8C8C8C"/>
          <w:sz w:val="12"/>
        </w:rPr>
        <w:t>cf-art-22-inc-IV</w:t>
      </w:r>
      <w:r>
        <w:rPr>
          <w:color w:val="003CA0"/>
          <w:sz w:val="12"/>
        </w:rPr>
        <w:t xml:space="preserve"> | ADI 855</w:t>
      </w:r>
      <w:r>
        <w:rPr>
          <w:color w:val="003CA0"/>
          <w:sz w:val="12"/>
        </w:rPr>
        <w:t xml:space="preserve"> | rel. Octavio Gallotti</w:t>
      </w:r>
    </w:p>
    <w:p>
      <w:pPr>
        <w:ind w:left="288"/>
      </w:pPr>
      <w:r>
        <w:rPr>
          <w:color w:val="1E1E1E"/>
          <w:sz w:val="18"/>
        </w:rPr>
        <w:t>Lei 10.248/1993 do Estado do Paraná, que obriga os estabelecimentos que comercializem Gás Liquefeito de Petróleo (GLP) a pesarem, à vista do consumidor, os botijões ou cilindros entregues ou recebidos para substituição, com abatimento proporcional do preço do produto ante a eventual verificação de diferença a menor entre o conteúdo e a quantidade líquida especificada no recipiente. Inconstitucionalidade formal, por ofensa à competência privativa da União para legislar sobre o tema (CF/1988, art. 22, IV, e art. 238). Violação ao princípio da proporcionalidade e razoabilidade das leis restritiva</w:t>
      </w:r>
    </w:p>
    <w:p>
      <w:pPr>
        <w:ind w:left="288"/>
      </w:pPr>
      <w:r>
        <w:rPr>
          <w:b/>
          <w:color w:val="003CA0"/>
          <w:sz w:val="16"/>
        </w:rPr>
        <w:t>[ADI 855, red. do ac. min. Gilmar Mendes, rel. min. Octavio Gallotti, j. 6-3-2008, P, DJE de 27-3-2009.]</w:t>
      </w:r>
    </w:p>
    <w:p>
      <w:pPr>
        <w:ind w:left="288"/>
      </w:pPr>
      <w:r>
        <w:rPr>
          <w:color w:val="8C8C8C"/>
          <w:sz w:val="12"/>
        </w:rPr>
        <w:t>cf-art-22-inc-IV</w:t>
      </w:r>
      <w:r>
        <w:rPr>
          <w:color w:val="003CA0"/>
          <w:sz w:val="12"/>
        </w:rPr>
        <w:t xml:space="preserve"> | ADI 3.533</w:t>
      </w:r>
      <w:r>
        <w:rPr>
          <w:color w:val="003CA0"/>
          <w:sz w:val="12"/>
        </w:rPr>
        <w:t xml:space="preserve"> | rel. Eros Grau</w:t>
      </w:r>
    </w:p>
    <w:p>
      <w:pPr>
        <w:ind w:left="288"/>
      </w:pPr>
      <w:r>
        <w:rPr>
          <w:color w:val="1E1E1E"/>
          <w:sz w:val="18"/>
        </w:rPr>
        <w:t>Imposição às empresas de telefonia fixa que operam no Distrito Federal de instalação de contadores de pulso em cada ponto de consumo. (...) A Lei distrital 3.596 é inconstitucional, visto que dispõe sobre matéria de competência da União, criando obrigação não prevista nos respectivos contratos de concessão do serviço público, a serem cumpridas pelas concessionárias de telefonia fixa – art. 22, IV, da Constituição do Brasil.</w:t>
      </w:r>
    </w:p>
    <w:p>
      <w:pPr>
        <w:ind w:left="288"/>
      </w:pPr>
      <w:r>
        <w:rPr>
          <w:b/>
          <w:color w:val="003CA0"/>
          <w:sz w:val="16"/>
        </w:rPr>
        <w:t>[ADI 3.533, rel. min. Eros Grau, j. 2-8-2006, P, DJ de 6-10-2006.]</w:t>
      </w:r>
    </w:p>
    <w:p>
      <w:pPr>
        <w:ind w:left="288"/>
      </w:pPr>
      <w:r>
        <w:rPr>
          <w:color w:val="8C8C8C"/>
          <w:sz w:val="12"/>
        </w:rPr>
        <w:t>cf-art-22-inc-IV</w:t>
      </w:r>
      <w:r>
        <w:rPr>
          <w:color w:val="003CA0"/>
          <w:sz w:val="12"/>
        </w:rPr>
        <w:t xml:space="preserve"> | ADI 4.533</w:t>
      </w:r>
      <w:r>
        <w:rPr>
          <w:color w:val="003CA0"/>
          <w:sz w:val="12"/>
        </w:rPr>
        <w:t xml:space="preserve"> | rel. Ricardo Lewandowski</w:t>
      </w:r>
    </w:p>
    <w:p>
      <w:pPr>
        <w:ind w:left="288"/>
      </w:pPr>
      <w:r>
        <w:rPr>
          <w:color w:val="1E1E1E"/>
          <w:sz w:val="18"/>
        </w:rPr>
        <w:t>= ADI 4.533 MC, rel. min. Ricardo Lewandowski, j. 10-11-2011, P, DJE de 1º-2-2012</w:t>
      </w:r>
    </w:p>
    <w:p>
      <w:pPr>
        <w:ind w:left="144"/>
      </w:pPr>
      <w:r>
        <w:rPr>
          <w:b/>
          <w:color w:val="B45A00"/>
          <w:sz w:val="16"/>
        </w:rPr>
        <w:t>REPERCUSSAO GERAL</w:t>
      </w:r>
    </w:p>
    <w:p>
      <w:pPr>
        <w:ind w:left="288"/>
      </w:pPr>
      <w:r>
        <w:rPr>
          <w:color w:val="8C8C8C"/>
          <w:sz w:val="12"/>
        </w:rPr>
        <w:t>cf-art-22-inc-IV</w:t>
      </w:r>
      <w:r>
        <w:rPr>
          <w:color w:val="003CA0"/>
          <w:sz w:val="12"/>
        </w:rPr>
        <w:t xml:space="preserve"> | RE 776.594</w:t>
      </w:r>
      <w:r>
        <w:rPr>
          <w:color w:val="003CA0"/>
          <w:sz w:val="12"/>
        </w:rPr>
        <w:t xml:space="preserve"> | rel. Dias Toffoli</w:t>
      </w:r>
    </w:p>
    <w:p>
      <w:pPr>
        <w:ind w:left="288"/>
      </w:pPr>
      <w:r>
        <w:rPr>
          <w:color w:val="1E1E1E"/>
          <w:sz w:val="18"/>
        </w:rPr>
        <w:t>A instituição de taxa de fiscalização do funcionamento de torres e antenas de transmissão e recepção de dados e voz é de competência privativa da União, nos termos do art. 22, IV, da Constituição Federal, não competindo aos municípios instituir referida taxa.</w:t>
      </w:r>
    </w:p>
    <w:p>
      <w:pPr>
        <w:ind w:left="288"/>
      </w:pPr>
      <w:r>
        <w:rPr>
          <w:b/>
          <w:color w:val="003CA0"/>
          <w:sz w:val="16"/>
        </w:rPr>
        <w:t>[RE 776.594, rel. min. Dias Toffoli, j. 5-12-2022, P, DJE de 9-2-2023, Tema 919, com mérito julgado.]</w:t>
      </w:r>
    </w:p>
    <w:p>
      <w:pPr>
        <w:ind w:left="288"/>
      </w:pPr>
      <w:r>
        <w:rPr>
          <w:color w:val="8C8C8C"/>
          <w:sz w:val="12"/>
        </w:rPr>
        <w:t>cf-art-22-inc-IV</w:t>
      </w:r>
      <w:r>
        <w:rPr>
          <w:color w:val="003CA0"/>
          <w:sz w:val="12"/>
        </w:rPr>
        <w:t xml:space="preserve"> | ARE 1.370.232</w:t>
      </w:r>
      <w:r>
        <w:rPr>
          <w:color w:val="003CA0"/>
          <w:sz w:val="12"/>
        </w:rPr>
        <w:t xml:space="preserve"> | rel. Luiz Fux</w:t>
      </w:r>
    </w:p>
    <w:p>
      <w:pPr>
        <w:ind w:left="288"/>
      </w:pPr>
      <w:r>
        <w:rPr>
          <w:color w:val="1E1E1E"/>
          <w:sz w:val="18"/>
        </w:rPr>
        <w:t>É inconstitucional a Lei 13.756/2004 do Município de São Paulo, por configurar invasão à competência privativa da União para legislar sobre telecomunicações e radiodifusão (artigo 22, IV, da Constituição Federal).</w:t>
      </w:r>
    </w:p>
    <w:p>
      <w:pPr>
        <w:ind w:left="288"/>
      </w:pPr>
      <w:r>
        <w:rPr>
          <w:b/>
          <w:color w:val="003CA0"/>
          <w:sz w:val="16"/>
        </w:rPr>
        <w:t>[ARE 1.370.232, rel. min. Luiz Fux, j. 9-9-2022, P, DJE de 13-9-2022, Tema 1.235, com mérito julgado e reafirmação de jurisprudência.]</w:t>
      </w:r>
    </w:p>
    <w:p>
      <w:pPr>
        <w:ind w:left="288"/>
      </w:pPr>
      <w:r>
        <w:rPr>
          <w:color w:val="8C8C8C"/>
          <w:sz w:val="12"/>
        </w:rPr>
        <w:t>cf-art-22-inc-IV</w:t>
      </w:r>
      <w:r>
        <w:rPr>
          <w:color w:val="003CA0"/>
          <w:sz w:val="12"/>
        </w:rPr>
        <w:t xml:space="preserve"> | ARE 1.524.862</w:t>
      </w:r>
      <w:r>
        <w:rPr>
          <w:color w:val="003CA0"/>
          <w:sz w:val="12"/>
        </w:rPr>
        <w:t xml:space="preserve"> | rel. Edson Fachin</w:t>
      </w:r>
    </w:p>
    <w:p>
      <w:pPr>
        <w:ind w:left="288"/>
      </w:pPr>
      <w:r>
        <w:rPr>
          <w:color w:val="1E1E1E"/>
          <w:sz w:val="18"/>
        </w:rPr>
        <w:t>A incidência do ISS sobre serviços acessórios ao setor elétrico não configura invasão da competência tributária federal, pois tais serviços não caracterizam exploração direta de energia elétrica nem legislação sobre o setor, inexistindo ofensa aos arts. 21, XII, b, e 22, IV, da Constituição Federal.</w:t>
      </w:r>
    </w:p>
    <w:p>
      <w:pPr>
        <w:ind w:left="288"/>
      </w:pPr>
      <w:r>
        <w:rPr>
          <w:b/>
          <w:color w:val="003CA0"/>
          <w:sz w:val="16"/>
        </w:rPr>
        <w:t>[ARE 1.524.862 AgR, rel. min. Edson Fachin, j. 12.03.2025, 2ª T, DJE de 21.03.2025.]</w:t>
      </w:r>
    </w:p>
    <w:p>
      <w:pPr>
        <w:ind w:left="144"/>
      </w:pPr>
      <w:r>
        <w:rPr>
          <w:b/>
          <w:color w:val="B45A00"/>
          <w:sz w:val="16"/>
        </w:rPr>
        <w:t>JULGADOS CORRELATOS</w:t>
      </w:r>
    </w:p>
    <w:p>
      <w:pPr>
        <w:ind w:left="288"/>
      </w:pPr>
      <w:r>
        <w:rPr>
          <w:color w:val="8C8C8C"/>
          <w:sz w:val="12"/>
        </w:rPr>
        <w:t>cf-art-22-inc-IV</w:t>
      </w:r>
      <w:r>
        <w:rPr>
          <w:color w:val="003CA0"/>
          <w:sz w:val="12"/>
        </w:rPr>
        <w:t xml:space="preserve"> | ACO 787</w:t>
      </w:r>
      <w:r>
        <w:rPr>
          <w:color w:val="003CA0"/>
          <w:sz w:val="12"/>
        </w:rPr>
        <w:t xml:space="preserve"> | rel. Edson Fachin</w:t>
      </w:r>
    </w:p>
    <w:p>
      <w:pPr>
        <w:ind w:left="288"/>
      </w:pPr>
      <w:r>
        <w:rPr>
          <w:color w:val="1E1E1E"/>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w:t>
      </w:r>
    </w:p>
    <w:p>
      <w:pPr>
        <w:ind w:left="288"/>
      </w:pPr>
      <w:r>
        <w:rPr>
          <w:b/>
          <w:color w:val="003CA0"/>
          <w:sz w:val="16"/>
        </w:rPr>
        <w:t>[ACO 787-AgR, rel. min. Edson Fachin, j. 17-12-2022, P, DJE de 31-1-2023.]</w:t>
      </w:r>
    </w:p>
    <w:p>
      <w:pPr>
        <w:ind w:left="144"/>
      </w:pPr>
      <w:r>
        <w:rPr>
          <w:b/>
          <w:color w:val="B45A00"/>
          <w:sz w:val="16"/>
        </w:rPr>
        <w:t>CONTROLE CONCENTRADO</w:t>
      </w:r>
    </w:p>
    <w:p>
      <w:pPr>
        <w:ind w:left="288"/>
      </w:pPr>
      <w:r>
        <w:rPr>
          <w:color w:val="8C8C8C"/>
          <w:sz w:val="12"/>
        </w:rPr>
        <w:t>cf-art-22-inc-V</w:t>
      </w:r>
      <w:r>
        <w:rPr>
          <w:color w:val="003CA0"/>
          <w:sz w:val="12"/>
        </w:rPr>
        <w:t xml:space="preserve"> | ADI 3.081</w:t>
      </w:r>
      <w:r>
        <w:rPr>
          <w:color w:val="003CA0"/>
          <w:sz w:val="12"/>
        </w:rPr>
        <w:t xml:space="preserve"> | rel. Nunes Marques</w:t>
      </w:r>
    </w:p>
    <w:p>
      <w:pPr>
        <w:ind w:left="288"/>
      </w:pPr>
      <w:r>
        <w:rPr>
          <w:color w:val="1E1E1E"/>
          <w:sz w:val="18"/>
        </w:rPr>
        <w:t>Lei Estadual. Entrega de correspondência em caixas postais comunitárias. Proibição. Competência exclusiva da União para manter o serviço postal e legislar sobre a matéria. Restrição à entrega de correspondências classificadas como carta, cartão-postal e correspondência agrupada.</w:t>
        <w:br/>
        <w:t>[ADI 3.081, rel. min. Nunes Marques, j. 28-8-2023, P, DJE de 20-9-2023.] A Lei 6.886/2016 do Estado do Piauí, ao obrigar que as operadoras de telefonia móvel e fixa disponibilizem, na internet, o extrato detalhado de conta das chamadas telefônicas e serviços utilizados pelos usuários de planos pré-pagos, não tratou dir</w:t>
      </w:r>
    </w:p>
    <w:p>
      <w:pPr>
        <w:ind w:left="288"/>
      </w:pPr>
      <w:r>
        <w:rPr>
          <w:b/>
          <w:color w:val="003CA0"/>
          <w:sz w:val="16"/>
        </w:rPr>
        <w:t>[ADPF 222, rel. min. Cármen Lúcia, j. 13-9-2019, P, DJE de 2-10-2019.]</w:t>
      </w:r>
    </w:p>
    <w:p>
      <w:pPr>
        <w:ind w:left="288"/>
      </w:pPr>
      <w:r>
        <w:rPr>
          <w:color w:val="8C8C8C"/>
          <w:sz w:val="12"/>
        </w:rPr>
        <w:t>cf-art-22-inc-V</w:t>
      </w:r>
      <w:r>
        <w:rPr>
          <w:color w:val="003CA0"/>
          <w:sz w:val="12"/>
        </w:rPr>
        <w:t xml:space="preserve"> | ADI 3.080</w:t>
      </w:r>
      <w:r>
        <w:rPr>
          <w:color w:val="003CA0"/>
          <w:sz w:val="12"/>
        </w:rPr>
        <w:t xml:space="preserve"> | rel. Ellen Gracie</w:t>
      </w:r>
    </w:p>
    <w:p>
      <w:pPr>
        <w:ind w:left="288"/>
      </w:pPr>
      <w:r>
        <w:rPr>
          <w:color w:val="1E1E1E"/>
          <w:sz w:val="18"/>
        </w:rPr>
        <w:t>O serviço postal está no rol das matérias cuja normatização é de competência privativa da União (CF, art. 22, V). É a União, ainda, por força do art. 21, X, da Constituição, o ente da Federação responsável pela manutenção desta modalidade de serviço público.</w:t>
      </w:r>
    </w:p>
    <w:p>
      <w:pPr>
        <w:ind w:left="288"/>
      </w:pPr>
      <w:r>
        <w:rPr>
          <w:b/>
          <w:color w:val="003CA0"/>
          <w:sz w:val="16"/>
        </w:rPr>
        <w:t>[ADI 3.080, rel. min. Ellen Gracie, j. 2-8-2004, P, DJ de 27-8-2004.]</w:t>
      </w:r>
    </w:p>
    <w:p>
      <w:pPr>
        <w:ind w:left="144"/>
      </w:pPr>
      <w:r>
        <w:rPr>
          <w:b/>
          <w:color w:val="B45A00"/>
          <w:sz w:val="16"/>
        </w:rPr>
        <w:t>REPERCUSSAO GERAL</w:t>
      </w:r>
    </w:p>
    <w:p>
      <w:pPr>
        <w:ind w:left="288"/>
      </w:pPr>
      <w:r>
        <w:rPr>
          <w:color w:val="8C8C8C"/>
          <w:sz w:val="12"/>
        </w:rPr>
        <w:t>cf-art-22-inc-VI</w:t>
      </w:r>
      <w:r>
        <w:rPr>
          <w:color w:val="003CA0"/>
          <w:sz w:val="12"/>
        </w:rPr>
        <w:t xml:space="preserve"> | RE 561.836</w:t>
      </w:r>
      <w:r>
        <w:rPr>
          <w:color w:val="003CA0"/>
          <w:sz w:val="12"/>
        </w:rPr>
        <w:t xml:space="preserve"> | rel. Luiz Fux</w:t>
      </w:r>
    </w:p>
    <w:p>
      <w:pPr>
        <w:ind w:left="288"/>
      </w:pPr>
      <w:r>
        <w:rPr>
          <w:color w:val="1E1E1E"/>
          <w:sz w:val="18"/>
        </w:rPr>
        <w:t>Direito monetário. Conversão do padrão monetário: Cruzeiro Real em URV. Direito aos 11,98%, ou do índice decorrente do processo de liquidação, e a sua incorporação. Competência privativa da União para legislar sobre a matéria. Art. 22,  VI, da Constituição da República. Inconstitucionalidade formal da Lei estadual 6.612/1994, que regula o tema da conversão do Cruzeiro Real em URV.</w:t>
        <w:br/>
        <w:t>[RE 561.836, rel. min. Luiz Fux, j. 26-9-2013, P, DJE de 10-2-2014, Tema 5, com mérito julgado.]</w:t>
      </w:r>
    </w:p>
    <w:p>
      <w:pPr>
        <w:ind w:left="144"/>
      </w:pPr>
      <w:r>
        <w:rPr>
          <w:b/>
          <w:color w:val="B45A00"/>
          <w:sz w:val="16"/>
        </w:rPr>
        <w:t>JULGADOS CORRELATOS</w:t>
      </w:r>
    </w:p>
    <w:p>
      <w:pPr>
        <w:ind w:left="288"/>
      </w:pPr>
      <w:r>
        <w:rPr>
          <w:color w:val="8C8C8C"/>
          <w:sz w:val="12"/>
        </w:rPr>
        <w:t>cf-art-22-inc-VI</w:t>
      </w:r>
      <w:r>
        <w:rPr>
          <w:color w:val="003CA0"/>
          <w:sz w:val="12"/>
        </w:rPr>
        <w:t xml:space="preserve"> | RE 183.907</w:t>
      </w:r>
      <w:r>
        <w:rPr>
          <w:color w:val="003CA0"/>
          <w:sz w:val="12"/>
        </w:rPr>
        <w:t xml:space="preserve"> | rel. Ilmar Galvão</w:t>
      </w:r>
    </w:p>
    <w:p>
      <w:pPr>
        <w:ind w:left="288"/>
      </w:pPr>
      <w:r>
        <w:rPr>
          <w:color w:val="1E1E1E"/>
          <w:sz w:val="18"/>
        </w:rPr>
        <w:t>Entendimento assentado pelo STF no sentido da incompetência das unidades federadas para a fixação de índices de correção monetária de créditos fiscais em percentuais superiores aos fixados pela União para o mesmo fim.</w:t>
      </w:r>
    </w:p>
    <w:p>
      <w:pPr>
        <w:ind w:left="288"/>
      </w:pPr>
      <w:r>
        <w:rPr>
          <w:b/>
          <w:color w:val="003CA0"/>
          <w:sz w:val="16"/>
        </w:rPr>
        <w:t>[RE 183.907, rel. min. Ilmar Galvão, j. 29-3-2000, P, DJ de 16-4-2004.]</w:t>
      </w:r>
    </w:p>
    <w:p>
      <w:pPr>
        <w:ind w:left="288"/>
      </w:pPr>
      <w:r>
        <w:rPr>
          <w:color w:val="8C8C8C"/>
          <w:sz w:val="12"/>
        </w:rPr>
        <w:t>cf-art-22-inc-VI</w:t>
      </w:r>
      <w:r>
        <w:rPr>
          <w:color w:val="003CA0"/>
          <w:sz w:val="12"/>
        </w:rPr>
        <w:t xml:space="preserve"> | RE 402.503</w:t>
      </w:r>
      <w:r>
        <w:rPr>
          <w:color w:val="003CA0"/>
          <w:sz w:val="12"/>
        </w:rPr>
        <w:t xml:space="preserve"> | rel. Joaquim Barbosa</w:t>
      </w:r>
    </w:p>
    <w:p>
      <w:pPr>
        <w:ind w:left="288"/>
      </w:pPr>
      <w:r>
        <w:rPr>
          <w:color w:val="1E1E1E"/>
          <w:sz w:val="18"/>
        </w:rPr>
        <w:t>= RE 402.503 AgR, rel. min. Joaquim Barbosa, j. 6-4-2010, 2ª T, DJE de 30-4-2010 Vide ADI 442, rel. min. Eros Grau, j. 14-4-2010, P, DJE de 28-5-2010</w:t>
      </w:r>
    </w:p>
    <w:p>
      <w:pPr>
        <w:ind w:left="288"/>
      </w:pPr>
      <w:r>
        <w:rPr>
          <w:color w:val="8C8C8C"/>
          <w:sz w:val="12"/>
        </w:rPr>
        <w:t>cf-art-22-inc-VII</w:t>
      </w:r>
      <w:r>
        <w:rPr>
          <w:color w:val="003CA0"/>
          <w:sz w:val="12"/>
        </w:rPr>
        <w:t xml:space="preserve"> | ADI 5.022</w:t>
      </w:r>
      <w:r>
        <w:rPr>
          <w:color w:val="003CA0"/>
          <w:sz w:val="12"/>
        </w:rPr>
        <w:t xml:space="preserve"> | rel. Nunes Marques</w:t>
      </w:r>
    </w:p>
    <w:p>
      <w:pPr>
        <w:ind w:left="288"/>
      </w:pPr>
      <w:r>
        <w:rPr>
          <w:color w:val="1E1E1E"/>
          <w:sz w:val="18"/>
        </w:rPr>
        <w:t>A norma estadual impugnada, ao autorizar a liberação unilateral do tomador do empréstimo consignado no caso de a entidade credora estar em liquidação extrajudicial, interfere diretamente na relação contratual entre servidor público e instituição financeira – tema típico do direito civil – bem como no tratamento nacional uniforme alusivo às modalidades de operações creditícias e à recuperação de créditos – matéria inserida na política de crédito. (...) O STF sedimentou compreensão segundo a qual a relevância das atividades desempenhadas pelas instituições financeiras públicas e privadas demanda</w:t>
      </w:r>
    </w:p>
    <w:p>
      <w:pPr>
        <w:ind w:left="288"/>
      </w:pPr>
      <w:r>
        <w:rPr>
          <w:b/>
          <w:color w:val="003CA0"/>
          <w:sz w:val="16"/>
        </w:rPr>
        <w:t>[ADI 5.022, rel. min. Nunes Marques, j. 05.11.2025, P, DJE de 11.11.2025.]</w:t>
      </w:r>
    </w:p>
    <w:p>
      <w:pPr>
        <w:ind w:left="288"/>
      </w:pPr>
      <w:r>
        <w:rPr>
          <w:color w:val="8C8C8C"/>
          <w:sz w:val="12"/>
        </w:rPr>
        <w:t>cf-art-22-inc-VII</w:t>
      </w:r>
      <w:r>
        <w:rPr>
          <w:color w:val="003CA0"/>
          <w:sz w:val="12"/>
        </w:rPr>
        <w:t xml:space="preserve"> | ADI 7.428</w:t>
      </w:r>
      <w:r>
        <w:rPr>
          <w:color w:val="003CA0"/>
          <w:sz w:val="12"/>
        </w:rPr>
        <w:t xml:space="preserve"> | rel. André Mendonça</w:t>
      </w:r>
    </w:p>
    <w:p>
      <w:pPr>
        <w:ind w:left="288"/>
      </w:pPr>
      <w:r>
        <w:rPr>
          <w:color w:val="1E1E1E"/>
          <w:sz w:val="18"/>
        </w:rPr>
        <w:t>A Lei estadual nº 5.980, de 2022, do Estado de Mato Grosso do Sul criou duas obrigações a serem observadas pelas operadoras de planos de saúde, que possuem naturezas jurídicas distintas. A primeira obrigação - que consta do art. 1º da lei sul-mato-grossense - amplia automaticamente a cobertura de todos os planos de saúde contratados e operados dentro do Estado de Mato Grosso do Sul, exigindo das operadoras a inclusão do neonato submetido a tratamento terapêutico, após trinta dias, como dependente do titular do plano de seguro saúde.  Exigências legais como essa têm o condão de interferir diret</w:t>
      </w:r>
    </w:p>
    <w:p>
      <w:pPr>
        <w:ind w:left="288"/>
      </w:pPr>
      <w:r>
        <w:rPr>
          <w:b/>
          <w:color w:val="003CA0"/>
          <w:sz w:val="16"/>
        </w:rPr>
        <w:t>[ADI 7.428, rel. min. André Mendonça, j. 01.09.2025, P, DJE de 11.09.2025.]</w:t>
      </w:r>
    </w:p>
    <w:p>
      <w:pPr>
        <w:ind w:left="288"/>
      </w:pPr>
      <w:r>
        <w:rPr>
          <w:color w:val="8C8C8C"/>
          <w:sz w:val="12"/>
        </w:rPr>
        <w:t>cf-art-22-inc-VII</w:t>
      </w:r>
      <w:r>
        <w:rPr>
          <w:color w:val="003CA0"/>
          <w:sz w:val="12"/>
        </w:rPr>
        <w:t xml:space="preserve"> | ADI 4.293</w:t>
      </w:r>
      <w:r>
        <w:rPr>
          <w:color w:val="003CA0"/>
          <w:sz w:val="12"/>
        </w:rPr>
        <w:t xml:space="preserve"> | rel. Nunes Marques</w:t>
      </w:r>
    </w:p>
    <w:p>
      <w:pPr>
        <w:ind w:left="288"/>
      </w:pPr>
      <w:r>
        <w:rPr>
          <w:color w:val="1E1E1E"/>
          <w:sz w:val="18"/>
        </w:rPr>
        <w:t>Atos normativos estaduais que disciplinem relações contratuais securitárias, ainda que em sede de produção e consumo, bem como preconizem obrigações contratuais relativas a seguros de veículos, inclusive no tocante a regras sobre registro, desmonte e comercialização de veículos sinistrados, invadem a competência da União para legislar sobre direito civil e seguros (CF, art. 22, I e VII).</w:t>
      </w:r>
    </w:p>
    <w:p>
      <w:pPr>
        <w:ind w:left="288"/>
      </w:pPr>
      <w:r>
        <w:rPr>
          <w:b/>
          <w:color w:val="003CA0"/>
          <w:sz w:val="16"/>
        </w:rPr>
        <w:t>[ADI 4.293, rel. min. Nunes Marques, j. 05.03.2025, P, DJE de 14.03.2025.]</w:t>
      </w:r>
    </w:p>
    <w:p>
      <w:pPr>
        <w:ind w:left="144"/>
      </w:pPr>
      <w:r>
        <w:rPr>
          <w:b/>
          <w:color w:val="B45A00"/>
          <w:sz w:val="16"/>
        </w:rPr>
        <w:t>CONTROLE CONCENTRADO</w:t>
      </w:r>
    </w:p>
    <w:p>
      <w:pPr>
        <w:ind w:left="288"/>
      </w:pPr>
      <w:r>
        <w:rPr>
          <w:color w:val="8C8C8C"/>
          <w:sz w:val="12"/>
        </w:rPr>
        <w:t>cf-art-22-inc-VII</w:t>
      </w:r>
      <w:r>
        <w:rPr>
          <w:color w:val="003CA0"/>
          <w:sz w:val="12"/>
        </w:rPr>
        <w:t xml:space="preserve"> | ADI 7.376</w:t>
      </w:r>
      <w:r>
        <w:rPr>
          <w:color w:val="003CA0"/>
          <w:sz w:val="12"/>
        </w:rPr>
        <w:t xml:space="preserve"> | rel. Gilmar Mendes</w:t>
      </w:r>
    </w:p>
    <w:p>
      <w:pPr>
        <w:ind w:left="288"/>
      </w:pPr>
      <w:r>
        <w:rPr>
          <w:color w:val="1E1E1E"/>
          <w:sz w:val="18"/>
        </w:rPr>
        <w:t>É formalmente inconstitucional a Lei 11.081, de 12.4.2022, do Estado do Rio Grande do Norte, pela qual se estabelecem obrigações referentes a cobertura de exames laboratoriais prescritos por nutricionistas: matéria de direito civil e concernente à política de seguros, de competência legislativa privativa da União (incisos I e VII do art. 22 da Constituição da República).</w:t>
        <w:br/>
        <w:t>[ADI 7.376, rel. min. Gilmar Mendes, j. 28-8-2023, P, DJE de 2-10-2023.] É inconstitucional lei estadual que amplia as formas de pagamento dos planos privados de assistência à saúde, individuais ou coletivos, por violação à co</w:t>
      </w:r>
    </w:p>
    <w:p>
      <w:pPr>
        <w:ind w:left="288"/>
      </w:pPr>
      <w:r>
        <w:rPr>
          <w:b/>
          <w:color w:val="003CA0"/>
          <w:sz w:val="16"/>
        </w:rPr>
        <w:t>[ADI 6.495, rel. min. Ricardo Lewandowski, j. 23-11-2020, P, DJE de 3-12-2020.]</w:t>
      </w:r>
    </w:p>
    <w:p>
      <w:pPr>
        <w:ind w:left="288"/>
      </w:pPr>
      <w:r>
        <w:rPr>
          <w:color w:val="8C8C8C"/>
          <w:sz w:val="12"/>
        </w:rPr>
        <w:t>cf-art-22-inc-VII</w:t>
      </w:r>
      <w:r>
        <w:rPr>
          <w:color w:val="003CA0"/>
          <w:sz w:val="12"/>
        </w:rPr>
        <w:t xml:space="preserve"> | ADI 6.475</w:t>
      </w:r>
      <w:r>
        <w:rPr>
          <w:color w:val="003CA0"/>
          <w:sz w:val="12"/>
        </w:rPr>
        <w:t xml:space="preserve"> | rel. Ricardo Lewandowski</w:t>
      </w:r>
    </w:p>
    <w:p>
      <w:pPr>
        <w:ind w:left="288"/>
      </w:pPr>
      <w:r>
        <w:rPr>
          <w:color w:val="1E1E1E"/>
          <w:sz w:val="18"/>
        </w:rPr>
        <w:t>= ADI 6.475, rel. min. Ricardo Lewandowski, j. 17-5-2021, P, DJE de 27-5-2021. 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Veiculação de normas que carac</w:t>
      </w:r>
    </w:p>
    <w:p>
      <w:pPr>
        <w:ind w:left="288"/>
      </w:pPr>
      <w:r>
        <w:rPr>
          <w:b/>
          <w:color w:val="003CA0"/>
          <w:sz w:val="16"/>
        </w:rPr>
        <w:t>[ADI 5.392, rel. min. Rosa Weber, j. 16-9-2020, P, DJE de 5-10-2020.]</w:t>
      </w:r>
    </w:p>
    <w:p>
      <w:pPr>
        <w:ind w:left="288"/>
      </w:pPr>
      <w:r>
        <w:rPr>
          <w:color w:val="8C8C8C"/>
          <w:sz w:val="12"/>
        </w:rPr>
        <w:t>cf-art-22-inc-VII</w:t>
      </w:r>
      <w:r>
        <w:rPr>
          <w:color w:val="003CA0"/>
          <w:sz w:val="12"/>
        </w:rPr>
        <w:t xml:space="preserve"> | ADI 5.173</w:t>
      </w:r>
      <w:r>
        <w:rPr>
          <w:color w:val="003CA0"/>
          <w:sz w:val="12"/>
        </w:rPr>
        <w:t xml:space="preserve"> | rel. Gilmar Mendes</w:t>
      </w:r>
    </w:p>
    <w:p>
      <w:pPr>
        <w:ind w:left="288"/>
      </w:pPr>
      <w:r>
        <w:rPr>
          <w:color w:val="1E1E1E"/>
          <w:sz w:val="18"/>
        </w:rPr>
        <w:t>A competência para legislar sobre planos de saúde é privativa da União. Ainda que a Lei federal 9.656/1998 preceitue a prévia comunicação aos usuários sobre alteração da rede credenciada, não pode Lei estadual impor meio e forma para o cumprimento de tal dever, por não dispor de competência concorrente quanto à matéria.</w:t>
      </w:r>
    </w:p>
    <w:p>
      <w:pPr>
        <w:ind w:left="288"/>
      </w:pPr>
      <w:r>
        <w:rPr>
          <w:b/>
          <w:color w:val="003CA0"/>
          <w:sz w:val="16"/>
        </w:rPr>
        <w:t>[ADI 5.173, rel. min. Gilmar Mendes, j. 6-12-2019, P, DJE de 17-12-2019.]</w:t>
      </w:r>
    </w:p>
    <w:p>
      <w:pPr>
        <w:ind w:left="288"/>
      </w:pPr>
      <w:r>
        <w:rPr>
          <w:color w:val="8C8C8C"/>
          <w:sz w:val="12"/>
        </w:rPr>
        <w:t>cf-art-22-inc-VII</w:t>
      </w:r>
      <w:r>
        <w:rPr>
          <w:color w:val="003CA0"/>
          <w:sz w:val="12"/>
        </w:rPr>
        <w:t xml:space="preserve"> | ADI 3.532</w:t>
      </w:r>
      <w:r>
        <w:rPr>
          <w:color w:val="003CA0"/>
          <w:sz w:val="12"/>
        </w:rPr>
        <w:t xml:space="preserve"> | rel. Edson Fachin</w:t>
      </w:r>
    </w:p>
    <w:p>
      <w:pPr>
        <w:ind w:left="288"/>
      </w:pPr>
      <w:r>
        <w:rPr>
          <w:color w:val="1E1E1E"/>
          <w:sz w:val="18"/>
        </w:rPr>
        <w:t>A política creditícia no âmbito do Sistema Financeiro de Habitação é regulada por legislação federal, destacando-se, sobre o tema disciplinado na norma impugnada, as leis 8.100, de 5 de dezembro de 1990, que dispõe sobre o reajuste das prestações pactuadas nos contratos de financiamento firmados no âmbito do SFH vinculados ao Plano de Equivalência Salarial, e 8.692, de 28 de julho de 1993, a qual define planos de reajustamento dos encargos mensais e dos saldos devedores nos contratos de financiamentos habitacionais no âmbito do SFH. É competência privativa da União legislar sobre política de c</w:t>
      </w:r>
    </w:p>
    <w:p>
      <w:pPr>
        <w:ind w:left="288"/>
      </w:pPr>
      <w:r>
        <w:rPr>
          <w:b/>
          <w:color w:val="003CA0"/>
          <w:sz w:val="16"/>
        </w:rPr>
        <w:t>[ADI 3.532, rel. min. Edson Fachin, j. 29-11-2019, P, DJE de 18-12-2019.]</w:t>
      </w:r>
    </w:p>
    <w:p>
      <w:pPr>
        <w:ind w:left="288"/>
      </w:pPr>
      <w:r>
        <w:rPr>
          <w:color w:val="8C8C8C"/>
          <w:sz w:val="12"/>
        </w:rPr>
        <w:t>cf-art-22-inc-VII</w:t>
      </w:r>
      <w:r>
        <w:rPr>
          <w:color w:val="003CA0"/>
          <w:sz w:val="12"/>
        </w:rPr>
        <w:t xml:space="preserve"> | ADI 4.704</w:t>
      </w:r>
      <w:r>
        <w:rPr>
          <w:color w:val="003CA0"/>
          <w:sz w:val="12"/>
        </w:rPr>
        <w:t xml:space="preserve"> | rel. Luiz Fux</w:t>
      </w:r>
    </w:p>
    <w:p>
      <w:pPr>
        <w:ind w:left="288"/>
      </w:pPr>
      <w:r>
        <w:rPr>
          <w:color w:val="1E1E1E"/>
          <w:sz w:val="18"/>
        </w:rPr>
        <w:t>O artigo 22, VII, da Constituição Federal dispõe que compete privativamente à União legislar sobre seguros, a fim de garantir uma coordenação centralizada das políticas de seguros privados e de regulação das operações, que assegurem a estabilidade do mercado, impedindo os Estados de legislarem livremente acerca das condições e coberturas praticadas pelas seguradoras.</w:t>
      </w:r>
    </w:p>
    <w:p>
      <w:pPr>
        <w:ind w:left="288"/>
      </w:pPr>
      <w:r>
        <w:rPr>
          <w:b/>
          <w:color w:val="003CA0"/>
          <w:sz w:val="16"/>
        </w:rPr>
        <w:t>[ADI 4.704, rel. min. Luiz Fux, j. 21-3-2019, P, DJE de 4-4-2019.]</w:t>
      </w:r>
    </w:p>
    <w:p>
      <w:pPr>
        <w:ind w:left="288"/>
      </w:pPr>
      <w:r>
        <w:rPr>
          <w:color w:val="8C8C8C"/>
          <w:sz w:val="12"/>
        </w:rPr>
        <w:t>cf-art-22-inc-VII</w:t>
      </w:r>
      <w:r>
        <w:rPr>
          <w:color w:val="003CA0"/>
          <w:sz w:val="12"/>
        </w:rPr>
        <w:t xml:space="preserve"> | ADI 3.207</w:t>
      </w:r>
      <w:r>
        <w:rPr>
          <w:color w:val="003CA0"/>
          <w:sz w:val="12"/>
        </w:rPr>
        <w:t xml:space="preserve"> | rel. Alexandre de Moraes</w:t>
      </w:r>
    </w:p>
    <w:p>
      <w:pPr>
        <w:ind w:left="288"/>
      </w:pPr>
      <w:r>
        <w:rPr>
          <w:color w:val="1E1E1E"/>
          <w:sz w:val="18"/>
        </w:rPr>
        <w:t>A Lei 12.562/2004 do Estado de Pernambuco trata da operacionalização dos contratos de seguros atinentes à área da saúde, interferindo nas relações contratuais estabelecidas entre médicos e empresas. Consequentemente, tem por objeto normas de direito civil e de seguros, temas inseridos no rol de competências legislativas privativas da União (art. 22, I e VII, da CF). Os planos de saúde são equiparados à lógica dos contratos de seguro.</w:t>
      </w:r>
    </w:p>
    <w:p>
      <w:pPr>
        <w:ind w:left="288"/>
      </w:pPr>
      <w:r>
        <w:rPr>
          <w:b/>
          <w:color w:val="003CA0"/>
          <w:sz w:val="16"/>
        </w:rPr>
        <w:t>[ADI 3.207, rel. min. Alexandre de Moraes, j. 12-4-2018, P, DJE de 25-4-2018.]</w:t>
      </w:r>
    </w:p>
    <w:p>
      <w:pPr>
        <w:ind w:left="288"/>
      </w:pPr>
      <w:r>
        <w:rPr>
          <w:color w:val="8C8C8C"/>
          <w:sz w:val="12"/>
        </w:rPr>
        <w:t>cf-art-22-inc-VII</w:t>
      </w:r>
      <w:r>
        <w:rPr>
          <w:color w:val="003CA0"/>
          <w:sz w:val="12"/>
        </w:rPr>
        <w:t xml:space="preserve"> | ADI 1.357</w:t>
      </w:r>
      <w:r>
        <w:rPr>
          <w:color w:val="003CA0"/>
          <w:sz w:val="12"/>
        </w:rPr>
        <w:t xml:space="preserve"> | rel. Roberto Barroso</w:t>
      </w:r>
    </w:p>
    <w:p>
      <w:pPr>
        <w:ind w:left="288"/>
      </w:pPr>
      <w:r>
        <w:rPr>
          <w:color w:val="1E1E1E"/>
          <w:sz w:val="18"/>
        </w:rPr>
        <w:t>A Lei distrital 919/1995 tratou de operação de crédito de instituição financeira pública, matéria de competência privativa da União, nos termos dos arts. 21, VIII, e 22, VII, da Constituição. A relevância das atividades desempenhadas pelas instituições financeiras, sejam públicas ou privadas, demanda a existência de uma coordenação centralizada das políticas de crédito e de regulação das operações de financiamento, impedindo os Estados de legislarem livremente acerca das modalidades de crédito praticadas pelos seus bancos públicos.</w:t>
      </w:r>
    </w:p>
    <w:p>
      <w:pPr>
        <w:ind w:left="288"/>
      </w:pPr>
      <w:r>
        <w:rPr>
          <w:b/>
          <w:color w:val="003CA0"/>
          <w:sz w:val="16"/>
        </w:rPr>
        <w:t>[ADI 1.357, rel. min. Roberto Barroso, j. 25-11-2015, P, DJE de 1º-2-2016.]</w:t>
      </w:r>
    </w:p>
    <w:p>
      <w:pPr>
        <w:ind w:left="288"/>
      </w:pPr>
      <w:r>
        <w:rPr>
          <w:color w:val="8C8C8C"/>
          <w:sz w:val="12"/>
        </w:rPr>
        <w:t>cf-art-22-inc-VII</w:t>
      </w:r>
      <w:r>
        <w:rPr>
          <w:color w:val="003CA0"/>
          <w:sz w:val="12"/>
        </w:rPr>
        <w:t xml:space="preserve"> | ADI 4.701</w:t>
      </w:r>
      <w:r>
        <w:rPr>
          <w:color w:val="003CA0"/>
          <w:sz w:val="12"/>
        </w:rPr>
        <w:t xml:space="preserve"> | rel. Roberto Barroso</w:t>
      </w:r>
    </w:p>
    <w:p>
      <w:pPr>
        <w:ind w:left="288"/>
      </w:pPr>
      <w:r>
        <w:rPr>
          <w:color w:val="1E1E1E"/>
          <w:sz w:val="18"/>
        </w:rPr>
        <w:t>Ação direta de inconstitucionalidade. Lei estadual que fixa prazos máximos, segundo a faixa etária dos usuários, para a autorização de exames pelas operadoras de plano de saúde. (...) Os arts. 22, VII; e 21, VIII, da CF atribuem à União competência para legislar sobre seguros e fiscalizar as operações relacionadas a essa matéria. Tais previsões alcançam os planos de saúde, tendo em vista a sua íntima afinidade com a lógica dos contratos de seguro, notadamente por conta do componente atuarial.</w:t>
      </w:r>
    </w:p>
    <w:p>
      <w:pPr>
        <w:ind w:left="288"/>
      </w:pPr>
      <w:r>
        <w:rPr>
          <w:b/>
          <w:color w:val="003CA0"/>
          <w:sz w:val="16"/>
        </w:rPr>
        <w:t>[ADI 4.701, rel. min. Roberto Barroso, j. 13-8-2014, P, DJE de 25-8-2014.]</w:t>
      </w:r>
    </w:p>
    <w:p>
      <w:pPr>
        <w:ind w:left="288"/>
      </w:pPr>
      <w:r>
        <w:rPr>
          <w:color w:val="8C8C8C"/>
          <w:sz w:val="12"/>
        </w:rPr>
        <w:t>cf-art-22-inc-VII</w:t>
      </w:r>
      <w:r>
        <w:rPr>
          <w:color w:val="003CA0"/>
          <w:sz w:val="12"/>
        </w:rPr>
        <w:t xml:space="preserve"> | ADI 1.646</w:t>
      </w:r>
      <w:r>
        <w:rPr>
          <w:color w:val="003CA0"/>
          <w:sz w:val="12"/>
        </w:rPr>
        <w:t xml:space="preserve"> | rel. Gilmar Mendes</w:t>
      </w:r>
    </w:p>
    <w:p>
      <w:pPr>
        <w:ind w:left="288"/>
      </w:pPr>
      <w:r>
        <w:rPr>
          <w:color w:val="1E1E1E"/>
          <w:sz w:val="18"/>
        </w:rPr>
        <w:t>Lei estadual que regula obrigações relativas a serviços de assistência médico-hospitalar regidos por contratos de natureza privada, universalizando a cobertura de doenças (Lei 11.446/1997 do Estado de Pernambuco). Vício formal. Competência privativa da União para legislar sobre direito civil, comercial e sobre política de seguros (CF, art. 22, I e VII).</w:t>
      </w:r>
    </w:p>
    <w:p>
      <w:pPr>
        <w:ind w:left="288"/>
      </w:pPr>
      <w:r>
        <w:rPr>
          <w:b/>
          <w:color w:val="003CA0"/>
          <w:sz w:val="16"/>
        </w:rPr>
        <w:t>[ADI 1.646, rel. min. Gilmar Mendes, j. 2-8-2006, P, DJ de 7-12-2006.]</w:t>
      </w:r>
    </w:p>
    <w:p>
      <w:pPr>
        <w:ind w:left="144"/>
      </w:pPr>
      <w:r>
        <w:rPr>
          <w:b/>
          <w:color w:val="B45A00"/>
          <w:sz w:val="16"/>
        </w:rPr>
        <w:t>REPERCUSSAO GERAL</w:t>
      </w:r>
    </w:p>
    <w:p>
      <w:pPr>
        <w:ind w:left="288"/>
      </w:pPr>
      <w:r>
        <w:rPr>
          <w:color w:val="8C8C8C"/>
          <w:sz w:val="12"/>
        </w:rPr>
        <w:t>cf-art-22-inc-VII</w:t>
      </w:r>
      <w:r>
        <w:rPr>
          <w:color w:val="003CA0"/>
          <w:sz w:val="12"/>
        </w:rPr>
        <w:t xml:space="preserve"> | RE 588.149</w:t>
      </w:r>
      <w:r>
        <w:rPr>
          <w:color w:val="003CA0"/>
          <w:sz w:val="12"/>
        </w:rPr>
        <w:t xml:space="preserve"> | rel. Gilmar Mendes</w:t>
      </w:r>
    </w:p>
    <w:p>
      <w:pPr>
        <w:ind w:left="288"/>
      </w:pPr>
      <w:r>
        <w:rPr>
          <w:color w:val="1E1E1E"/>
          <w:sz w:val="18"/>
        </w:rPr>
        <w:t>ICMS. Incidência. Seguradoras. Venda de veículos salvados. Inconstitucionalidade. Ofensa aos arts. 22, VII, e 153, V, da CF. (...) O art. 7º, § 1º, item 4, da Lei paulista 6.374, de 1º-3-1989, previu a incidência de ICMS sobre as operações de vendas, por seguradoras, de veículos envolvidos em sinistros. Vendas que se integram à própria operação de seguro, constituindo recuperação de receitas e não atividade mercantil.</w:t>
      </w:r>
    </w:p>
    <w:p>
      <w:pPr>
        <w:ind w:left="288"/>
      </w:pPr>
      <w:r>
        <w:rPr>
          <w:b/>
          <w:color w:val="003CA0"/>
          <w:sz w:val="16"/>
        </w:rPr>
        <w:t>[RE 588.149, rel. min. Gilmar Mendes, j. 16-2-2011, P, DJE de 6-6-2011, Tema 216, com mérito julgado.]</w:t>
      </w:r>
    </w:p>
    <w:p>
      <w:pPr>
        <w:ind w:left="144"/>
      </w:pPr>
      <w:r>
        <w:rPr>
          <w:b/>
          <w:color w:val="B45A00"/>
          <w:sz w:val="16"/>
        </w:rPr>
        <w:t>CONTROLE CONCENTRADO</w:t>
      </w:r>
    </w:p>
    <w:p>
      <w:pPr>
        <w:ind w:left="288"/>
      </w:pPr>
      <w:r>
        <w:rPr>
          <w:color w:val="8C8C8C"/>
          <w:sz w:val="12"/>
        </w:rPr>
        <w:t>cf-art-22-inc-VIII</w:t>
      </w:r>
      <w:r>
        <w:rPr>
          <w:color w:val="003CA0"/>
          <w:sz w:val="12"/>
        </w:rPr>
        <w:t xml:space="preserve"> | ADI 5.995</w:t>
      </w:r>
      <w:r>
        <w:rPr>
          <w:color w:val="003CA0"/>
          <w:sz w:val="12"/>
        </w:rPr>
        <w:t xml:space="preserve"> | rel. Gilmar Mendes</w:t>
      </w:r>
    </w:p>
    <w:p>
      <w:pPr>
        <w:ind w:left="288"/>
      </w:pPr>
      <w:r>
        <w:rPr>
          <w:color w:val="1E1E1E"/>
          <w:sz w:val="18"/>
        </w:rPr>
        <w:t>Lei nº 7.814, de 15 de dezembro de 2017, do Estado do Rio de Janeiro, que dispõe sobre a proibição, no Estado, da utilização de animais para desenvolvimento, experimento e teste de produtos cosméticos, higiene pessoal, perfumes, limpeza e seus componentes. (...) Usurpação de competência da União. Limitações a comercialização dos produtos derivados dessas atividades no Estado do Rio de Janeiro. Restrição ao mercado interestadual. Alegação de ofensa aos artigo 22, VIII e 24, VI da Constituição Federal. Ocorrência.</w:t>
        <w:br/>
        <w:t>[ADI 5.995, rel. min. Gilmar Mendes, j. 27-5-2021, P, DJE de 20-10-2021.] Lei 1.93</w:t>
      </w:r>
    </w:p>
    <w:p>
      <w:pPr>
        <w:ind w:left="288"/>
      </w:pPr>
      <w:r>
        <w:rPr>
          <w:b/>
          <w:color w:val="003CA0"/>
          <w:sz w:val="16"/>
        </w:rPr>
        <w:t>[ADI 750, rel. min. Gilmar Mendes, j. 3-8-2017, P, DJE de 9-3-2018.]</w:t>
      </w:r>
    </w:p>
    <w:p>
      <w:pPr>
        <w:ind w:left="288"/>
      </w:pPr>
      <w:r>
        <w:rPr>
          <w:color w:val="8C8C8C"/>
          <w:sz w:val="12"/>
        </w:rPr>
        <w:t>cf-art-22-inc-VIII</w:t>
      </w:r>
      <w:r>
        <w:rPr>
          <w:color w:val="003CA0"/>
          <w:sz w:val="12"/>
        </w:rPr>
        <w:t xml:space="preserve"> | ADI 3.813</w:t>
      </w:r>
      <w:r>
        <w:rPr>
          <w:color w:val="003CA0"/>
          <w:sz w:val="12"/>
        </w:rPr>
        <w:t xml:space="preserve"> | rel. Dias Toffoli</w:t>
      </w:r>
    </w:p>
    <w:p>
      <w:pPr>
        <w:ind w:left="288"/>
      </w:pPr>
      <w:r>
        <w:rPr>
          <w:color w:val="1E1E1E"/>
          <w:sz w:val="18"/>
        </w:rPr>
        <w:t>É formalmente inconstitucional a lei estadual que cria restrições à comercialização, à estocagem e ao trânsito de produtos agrícolas importados no Estado, ainda que tenha por objetivo a proteção da saúde dos consumidores diante do possível uso indevido de agrotóxicos por outros países. A matéria é predominantemente de comércio exterior e interestadual, sendo, portanto, de competência privativa da União (CF, art. 22, VIII).</w:t>
        <w:br/>
        <w:t xml:space="preserve">[ADI 3.813, rel. min. Dias Toffoli, j. 12-2-2015, P, DJE de 20-4-2015.] Ação direta de inconstitucionalidade contra a integralidade da Lei estadual 8.299, de 29-1-2003, que </w:t>
      </w:r>
    </w:p>
    <w:p>
      <w:pPr>
        <w:ind w:left="288"/>
      </w:pPr>
      <w:r>
        <w:rPr>
          <w:b/>
          <w:color w:val="003CA0"/>
          <w:sz w:val="16"/>
        </w:rPr>
        <w:t>[ADI 2.866 e ADI 3.001, rel. min. Gilmar Mendes, j. 12-5-2010, P, DJE de 6-8-2010.]</w:t>
      </w:r>
    </w:p>
    <w:p>
      <w:pPr>
        <w:ind w:left="288"/>
      </w:pPr>
      <w:r>
        <w:rPr>
          <w:color w:val="8C8C8C"/>
          <w:sz w:val="12"/>
        </w:rPr>
        <w:t>cf-art-22-inc-VIII</w:t>
      </w:r>
      <w:r>
        <w:rPr>
          <w:color w:val="003CA0"/>
          <w:sz w:val="12"/>
        </w:rPr>
        <w:t xml:space="preserve"> | ADI 1.980</w:t>
      </w:r>
      <w:r>
        <w:rPr>
          <w:color w:val="003CA0"/>
          <w:sz w:val="12"/>
        </w:rPr>
        <w:t xml:space="preserve"> | rel. Sydney Sanches) no sentido de que não invade esfera de competência da União</w:t>
      </w:r>
    </w:p>
    <w:p>
      <w:pPr>
        <w:ind w:left="288"/>
      </w:pPr>
      <w:r>
        <w:rPr>
          <w:color w:val="1E1E1E"/>
          <w:sz w:val="18"/>
        </w:rPr>
        <w:t>Ação direta de inconstitucionalidade contra Lei paranaense 13.519, de 8-4-2002, que estabelece obrigatoriedade de informação, conforme especifica, nos rótulos de embalagens de café comercializado no Paraná. (...) Não há usurpação de competência da União para legislar sobre direito comercial e comércio interestadual porque o ato normativo impugnado buscou, tão somente, assegurar a proteção ao consumidor. Precedente deste Tribunal (ADI 1.980 MC, rel. min. Sydney Sanches) no sentido de que não invade esfera de competência da União, para legislar sobre normas gerais, lei paranaense que assegura ao</w:t>
      </w:r>
    </w:p>
    <w:p>
      <w:pPr>
        <w:ind w:left="288"/>
      </w:pPr>
      <w:r>
        <w:rPr>
          <w:b/>
          <w:color w:val="003CA0"/>
          <w:sz w:val="16"/>
        </w:rPr>
        <w:t>[ADI 2.832, rel. min. Ricardo Lewandowski, j. 7-5-2008, P, DJE de 20-6-2008.]</w:t>
      </w:r>
    </w:p>
    <w:p>
      <w:pPr>
        <w:ind w:left="288"/>
      </w:pPr>
      <w:r>
        <w:rPr>
          <w:color w:val="8C8C8C"/>
          <w:sz w:val="12"/>
        </w:rPr>
        <w:t>cf-art-22-inc-IX</w:t>
      </w:r>
      <w:r>
        <w:rPr>
          <w:color w:val="003CA0"/>
          <w:sz w:val="12"/>
        </w:rPr>
        <w:t xml:space="preserve"> | ADI 7.852</w:t>
      </w:r>
      <w:r>
        <w:rPr>
          <w:color w:val="003CA0"/>
          <w:sz w:val="12"/>
        </w:rPr>
        <w:t xml:space="preserve"> | rel. Alexandre de Moraes</w:t>
      </w:r>
    </w:p>
    <w:p>
      <w:pPr>
        <w:ind w:left="288"/>
      </w:pPr>
      <w:r>
        <w:rPr>
          <w:color w:val="1E1E1E"/>
          <w:sz w:val="18"/>
        </w:rPr>
        <w:t>A Lei 12.587/2012 (Política Nacional de Mobilidade Urbana), com a redação dada pela Lei 13.640/2018, atribui exclusivamente aos Municípios e ao Distrito Federal a regulamentação e fiscalização do transporte remunerado privado individual de passageiros. A jurisprudência da CORTE reconhece a inconstitucionalidade de leis estaduais que disciplinam transporte individual de passageiros, por invadirem competência privativa da União (...).</w:t>
      </w:r>
    </w:p>
    <w:p>
      <w:pPr>
        <w:ind w:left="288"/>
      </w:pPr>
      <w:r>
        <w:rPr>
          <w:b/>
          <w:color w:val="003CA0"/>
          <w:sz w:val="16"/>
        </w:rPr>
        <w:t>[ADI 7.852 MC-REF, rel. min. Alexandre de Moraes, j. 11.11.2025, P, DJE de 07.01.2026.]</w:t>
      </w:r>
    </w:p>
    <w:p>
      <w:pPr>
        <w:ind w:left="288"/>
      </w:pPr>
      <w:r>
        <w:rPr>
          <w:color w:val="8C8C8C"/>
          <w:sz w:val="12"/>
        </w:rPr>
        <w:t>cf-art-22-inc-IX</w:t>
      </w:r>
      <w:r>
        <w:rPr>
          <w:color w:val="003CA0"/>
          <w:sz w:val="12"/>
        </w:rPr>
        <w:t xml:space="preserve"> | ADI 3.625</w:t>
      </w:r>
      <w:r>
        <w:rPr>
          <w:color w:val="003CA0"/>
          <w:sz w:val="12"/>
        </w:rPr>
        <w:t xml:space="preserve"> | rel. Cezar Peluso</w:t>
      </w:r>
    </w:p>
    <w:p>
      <w:pPr>
        <w:ind w:left="288"/>
      </w:pPr>
      <w:r>
        <w:rPr>
          <w:color w:val="1E1E1E"/>
          <w:sz w:val="18"/>
        </w:rPr>
        <w:t>É inconstitucional a lei distrital que torna obrigatória, sob pena pecuniária a ser definida pelo Poder Executivo, a iluminação interna dos veículos fechados, no período das dezoito às seis horas, quando se aproximem de blitz ou barreira policial.</w:t>
      </w:r>
    </w:p>
    <w:p>
      <w:pPr>
        <w:ind w:left="288"/>
      </w:pPr>
      <w:r>
        <w:rPr>
          <w:b/>
          <w:color w:val="003CA0"/>
          <w:sz w:val="16"/>
        </w:rPr>
        <w:t>[ADI 3.625, rel. min. Cezar Peluso, j. 4-3-2009, P, DJE de 15-5-2009.]</w:t>
      </w:r>
    </w:p>
    <w:p>
      <w:pPr>
        <w:ind w:left="288"/>
      </w:pPr>
      <w:r>
        <w:rPr>
          <w:color w:val="8C8C8C"/>
          <w:sz w:val="12"/>
        </w:rPr>
        <w:t>cf-art-22-inc-IX</w:t>
      </w:r>
      <w:r>
        <w:rPr>
          <w:color w:val="003CA0"/>
          <w:sz w:val="12"/>
        </w:rPr>
        <w:t xml:space="preserve"> | ARE 1.481.151</w:t>
      </w:r>
      <w:r>
        <w:rPr>
          <w:color w:val="003CA0"/>
          <w:sz w:val="12"/>
        </w:rPr>
        <w:t xml:space="preserve"> | rel. Gilmar Mendes</w:t>
      </w:r>
    </w:p>
    <w:p>
      <w:pPr>
        <w:ind w:left="288"/>
      </w:pPr>
      <w:r>
        <w:rPr>
          <w:color w:val="1E1E1E"/>
          <w:sz w:val="18"/>
        </w:rPr>
        <w:t>Na espécie, o Tribunal de origem reconheceu a inconstitucionalidade da Lei 8.014, de 27 de maio de 2022, do Município de Guarulhos, a qual institui Taxa de Proteção Ambiental incidente sobre o trânsito de aeronaves no aeroporto localizado na referida municipalidade. Verifica-se que a pretexto de subsidiar o poder de polícia municipal em defesa do meio ambiente, a norma impugnada criou, de fato, uma taxa sobre a atividade aeroportuária realizada naquela municipalidade, violando, dessa forma o disposto no artigo 22, incisos I, IX e X, do texto constitucional.</w:t>
      </w:r>
    </w:p>
    <w:p>
      <w:pPr>
        <w:ind w:left="288"/>
      </w:pPr>
      <w:r>
        <w:rPr>
          <w:b/>
          <w:color w:val="003CA0"/>
          <w:sz w:val="16"/>
        </w:rPr>
        <w:t>[ARE 1.481.151, rel. min. Gilmar Mendes, j. 24.02.2024, P, DJE de 25.03.2025.]</w:t>
      </w:r>
    </w:p>
    <w:p>
      <w:pPr>
        <w:ind w:left="288"/>
      </w:pPr>
      <w:r>
        <w:rPr>
          <w:color w:val="8C8C8C"/>
          <w:sz w:val="12"/>
        </w:rPr>
        <w:t>cf-art-22-inc-X</w:t>
      </w:r>
      <w:r>
        <w:rPr>
          <w:color w:val="003CA0"/>
          <w:sz w:val="12"/>
        </w:rPr>
        <w:t xml:space="preserve"> | ARE 1.481.151</w:t>
      </w:r>
      <w:r>
        <w:rPr>
          <w:color w:val="003CA0"/>
          <w:sz w:val="12"/>
        </w:rPr>
        <w:t xml:space="preserve"> | rel. Gilmar Mendes</w:t>
      </w:r>
    </w:p>
    <w:p>
      <w:pPr>
        <w:ind w:left="288"/>
      </w:pPr>
      <w:r>
        <w:rPr>
          <w:color w:val="1E1E1E"/>
          <w:sz w:val="18"/>
        </w:rPr>
        <w:t>Na espécie, o Tribunal de origem reconheceu a inconstitucionalidade da Lei 8.014, de 27 de maio de 2022, do Município de Guarulhos, a qual institui Taxa de Proteção Ambiental incidente sobre o trânsito de aeronaves no aeroporto localizado na referida municipalidade. Verifica-se que a pretexto de subsidiar o poder de polícia municipal em defesa do meio ambiente, a norma impugnada criou, de fato, uma taxa sobre a atividade aeroportuária realizada naquela municipalidade, violando, dessa forma o disposto no artigo 22, incisos I, IX e X, do texto constitucional.</w:t>
      </w:r>
    </w:p>
    <w:p>
      <w:pPr>
        <w:ind w:left="288"/>
      </w:pPr>
      <w:r>
        <w:rPr>
          <w:b/>
          <w:color w:val="003CA0"/>
          <w:sz w:val="16"/>
        </w:rPr>
        <w:t>[ARE 1.481.151, rel. min. Gilmar Mendes, j. 24.02.2024, P, DJE de 25.03.2025.]</w:t>
      </w:r>
    </w:p>
    <w:p>
      <w:pPr>
        <w:ind w:left="288"/>
      </w:pPr>
      <w:r>
        <w:rPr>
          <w:color w:val="8C8C8C"/>
          <w:sz w:val="12"/>
        </w:rPr>
        <w:t>cf-art-22-inc-XI</w:t>
      </w:r>
      <w:r>
        <w:rPr>
          <w:color w:val="003CA0"/>
          <w:sz w:val="12"/>
        </w:rPr>
        <w:t xml:space="preserve"> | ADI 7.852</w:t>
      </w:r>
      <w:r>
        <w:rPr>
          <w:color w:val="003CA0"/>
          <w:sz w:val="12"/>
        </w:rPr>
        <w:t xml:space="preserve"> | rel. Alexandre de Moraes</w:t>
      </w:r>
    </w:p>
    <w:p>
      <w:pPr>
        <w:ind w:left="288"/>
      </w:pPr>
      <w:r>
        <w:rPr>
          <w:color w:val="1E1E1E"/>
          <w:sz w:val="18"/>
        </w:rPr>
        <w:t>A Lei 12.587/2012 (Política Nacional de Mobilidade Urbana), com a redação dada pela Lei 13.640/2018, atribui exclusivamente aos Municípios e ao Distrito Federal a regulamentação e fiscalização do transporte remunerado privado individual de passageiros. A jurisprudência da CORTE reconhece a inconstitucionalidade de leis estaduais que disciplinam transporte individual de passageiros, por invadirem competência privativa da União (...).</w:t>
      </w:r>
    </w:p>
    <w:p>
      <w:pPr>
        <w:ind w:left="288"/>
      </w:pPr>
      <w:r>
        <w:rPr>
          <w:b/>
          <w:color w:val="003CA0"/>
          <w:sz w:val="16"/>
        </w:rPr>
        <w:t>[ADI 7.852 MC-REF, rel. min. Alexandre de Moraes, j. 11.11.2025, P, DJE de 07.01.2026.]</w:t>
      </w:r>
    </w:p>
    <w:p>
      <w:pPr>
        <w:ind w:left="288"/>
      </w:pPr>
      <w:r>
        <w:rPr>
          <w:color w:val="8C8C8C"/>
          <w:sz w:val="12"/>
        </w:rPr>
        <w:t>cf-art-22-inc-XI</w:t>
      </w:r>
      <w:r>
        <w:rPr>
          <w:color w:val="003CA0"/>
          <w:sz w:val="12"/>
        </w:rPr>
        <w:t xml:space="preserve"> | ADPF 1.028</w:t>
      </w:r>
      <w:r>
        <w:rPr>
          <w:color w:val="003CA0"/>
          <w:sz w:val="12"/>
        </w:rPr>
        <w:t xml:space="preserve"> | rel. Edson Fachin</w:t>
      </w:r>
    </w:p>
    <w:p>
      <w:pPr>
        <w:ind w:left="288"/>
      </w:pPr>
      <w:r>
        <w:rPr>
          <w:color w:val="1E1E1E"/>
          <w:sz w:val="18"/>
        </w:rPr>
        <w:t>Taxa de Vistorias de Segurança em Meios de Transporte Relativamente a Equipamentos de Proteção Contra Incêndio, Atendimento Pré Hospitalar em Acidentes de Trânsito e Combate a Incêndios (TVPHCI). (...) A TVPHCI, por envolver vistoria veicular para verificação de equipamentos de proteção contra incêndio, invade a competência privativa da União em matéria de trânsito e transporte (art. 22, XI, CF), conforme jurisprudência do STF.</w:t>
      </w:r>
    </w:p>
    <w:p>
      <w:pPr>
        <w:ind w:left="288"/>
      </w:pPr>
      <w:r>
        <w:rPr>
          <w:b/>
          <w:color w:val="003CA0"/>
          <w:sz w:val="16"/>
        </w:rPr>
        <w:t>[ADPF 1.028 e ADPF 1.029, rel. min. Edson Fachin, j. 26.03.2025, P, DJE de 30.05.2025.]</w:t>
      </w:r>
    </w:p>
    <w:p>
      <w:pPr>
        <w:ind w:left="288"/>
      </w:pPr>
      <w:r>
        <w:rPr>
          <w:color w:val="8C8C8C"/>
          <w:sz w:val="12"/>
        </w:rPr>
        <w:t>cf-art-22-inc-XI</w:t>
      </w:r>
      <w:r>
        <w:rPr>
          <w:color w:val="003CA0"/>
          <w:sz w:val="12"/>
        </w:rPr>
        <w:t xml:space="preserve"> | ADI 5.796</w:t>
      </w:r>
      <w:r>
        <w:rPr>
          <w:color w:val="003CA0"/>
          <w:sz w:val="12"/>
        </w:rPr>
        <w:t xml:space="preserve"> | rel. Ricardo Lewandowski</w:t>
      </w:r>
    </w:p>
    <w:p>
      <w:pPr>
        <w:ind w:left="288"/>
      </w:pPr>
      <w:r>
        <w:rPr>
          <w:color w:val="1E1E1E"/>
          <w:sz w:val="18"/>
        </w:rPr>
        <w:t>Os atos normativos questionados, ao autorizarem a circulação dos veículos automotores nas vias públicas sem que tenha sido providenciado o regular pagamento do IPVA, disciplinando, diferentemente do Código de Trânsito Brasileiro, sobre os requisitos de licenciamento, vistoria anual e emissão do certificado de registro de veículo automotor, antes de tratarem de matéria tributária, disciplinam típica matéria de trânsito e transporte, cuja competência é privativa da União Federal, conforme estabelecido no art. 22, XI, da Constituição da República.</w:t>
      </w:r>
    </w:p>
    <w:p>
      <w:pPr>
        <w:ind w:left="288"/>
      </w:pPr>
      <w:r>
        <w:rPr>
          <w:b/>
          <w:color w:val="003CA0"/>
          <w:sz w:val="16"/>
        </w:rPr>
        <w:t>[ADI 5.796, rel. min. Ricardo Lewandowski, j. 8-4-2021, P, DJE de 16-4-2021.]</w:t>
      </w:r>
    </w:p>
    <w:p>
      <w:pPr>
        <w:ind w:left="288"/>
      </w:pPr>
      <w:r>
        <w:rPr>
          <w:color w:val="8C8C8C"/>
          <w:sz w:val="12"/>
        </w:rPr>
        <w:t>cf-art-22-inc-XI</w:t>
      </w:r>
      <w:r>
        <w:rPr>
          <w:color w:val="003CA0"/>
          <w:sz w:val="12"/>
        </w:rPr>
        <w:t xml:space="preserve"> | ADI 4.551</w:t>
      </w:r>
      <w:r>
        <w:rPr>
          <w:color w:val="003CA0"/>
          <w:sz w:val="12"/>
        </w:rPr>
        <w:t xml:space="preserve"> | rel. Cármen Lúcia</w:t>
      </w:r>
    </w:p>
    <w:p>
      <w:pPr>
        <w:ind w:left="288"/>
      </w:pPr>
      <w:r>
        <w:rPr>
          <w:color w:val="1E1E1E"/>
          <w:sz w:val="18"/>
        </w:rPr>
        <w:t>Lei 9.270/2009, do Rio Grande do Norte: programa de inspeção e manutenção veicular da frota do estado quanto à emissão de poluentes e ruídos. Alegada inconstitucionalidade dos dispositivos da lei potiguar determinante de pagamento de tarifa sobre inspeção veicular. (...) Concessão de serviço público: norma indissociável da previsão legal de cobrança de tarifa. Inconstitucionalidade formal por usurpação da competência privativa da união para legislar sobre trânsito e transporte. inc. II do art. 22 da Constituição da República.</w:t>
      </w:r>
    </w:p>
    <w:p>
      <w:pPr>
        <w:ind w:left="288"/>
      </w:pPr>
      <w:r>
        <w:rPr>
          <w:b/>
          <w:color w:val="003CA0"/>
          <w:sz w:val="16"/>
        </w:rPr>
        <w:t>[ADI 4.551, rel. min. Cármen Lúcia, j. 5-8-2020, P, DJE de 25-8-2020.]</w:t>
      </w:r>
    </w:p>
    <w:p>
      <w:pPr>
        <w:ind w:left="288"/>
      </w:pPr>
      <w:r>
        <w:rPr>
          <w:color w:val="8C8C8C"/>
          <w:sz w:val="12"/>
        </w:rPr>
        <w:t>cf-art-22-inc-XI</w:t>
      </w:r>
      <w:r>
        <w:rPr>
          <w:color w:val="003CA0"/>
          <w:sz w:val="12"/>
        </w:rPr>
        <w:t xml:space="preserve"> | ADI 3.671</w:t>
      </w:r>
      <w:r>
        <w:rPr>
          <w:color w:val="003CA0"/>
          <w:sz w:val="12"/>
        </w:rPr>
        <w:t xml:space="preserve"> | rel. Gilmar Mendes</w:t>
      </w:r>
    </w:p>
    <w:p>
      <w:pPr>
        <w:ind w:left="288"/>
      </w:pPr>
      <w:r>
        <w:rPr>
          <w:color w:val="1E1E1E"/>
          <w:sz w:val="18"/>
        </w:rPr>
        <w:t>Obrigatoriedade de equipar os ônibus utilizados no serviço público de transporte coletivo com dispositivos redutores de estresse para motoristas e cobradores. Inconstitucionalidade. Competência privativa da União para legislar sobre trânsito e transporte bem como sobre direito do trabalho.</w:t>
      </w:r>
    </w:p>
    <w:p>
      <w:pPr>
        <w:ind w:left="288"/>
      </w:pPr>
      <w:r>
        <w:rPr>
          <w:b/>
          <w:color w:val="003CA0"/>
          <w:sz w:val="16"/>
        </w:rPr>
        <w:t>[ADI 3.671, rel. min. Gilmar Mendes, j. 21-2-2020, P, DJE de 20-3-2020.]</w:t>
      </w:r>
    </w:p>
    <w:p>
      <w:pPr>
        <w:ind w:left="288"/>
      </w:pPr>
      <w:r>
        <w:rPr>
          <w:color w:val="8C8C8C"/>
          <w:sz w:val="12"/>
        </w:rPr>
        <w:t>cf-art-22-inc-XI</w:t>
      </w:r>
      <w:r>
        <w:rPr>
          <w:color w:val="003CA0"/>
          <w:sz w:val="12"/>
        </w:rPr>
        <w:t xml:space="preserve"> | ADI 5.774</w:t>
      </w:r>
      <w:r>
        <w:rPr>
          <w:color w:val="003CA0"/>
          <w:sz w:val="12"/>
        </w:rPr>
        <w:t xml:space="preserve"> | rel. Alexandre de Moraes</w:t>
      </w:r>
    </w:p>
    <w:p>
      <w:pPr>
        <w:ind w:left="288"/>
      </w:pPr>
      <w:r>
        <w:rPr>
          <w:color w:val="1E1E1E"/>
          <w:sz w:val="18"/>
        </w:rPr>
        <w:t>Lei 20.805/2013 do Estado de Minas Gerais. Limitação do credenciamento de clínicas para realização de exames de aptidão física, mental e de avaliação psicológica. (...) A norma impugnada, ao limitar o credenciamento de clínicas médicas e psicológicas (...) a um critério demográfico (proporção de um estabelecimento para cada quarenta mil eleitores), invadiu a competência da União para legislar sobre trânsito e transporte (art. 22, XI, da CF).</w:t>
      </w:r>
    </w:p>
    <w:p>
      <w:pPr>
        <w:ind w:left="288"/>
      </w:pPr>
      <w:r>
        <w:rPr>
          <w:b/>
          <w:color w:val="003CA0"/>
          <w:sz w:val="16"/>
        </w:rPr>
        <w:t>[ADI 5.774, rel. min. Alexandre de Moraes, j. 20-9-2019, P, DJE de 3-10-2019.]</w:t>
      </w:r>
    </w:p>
    <w:p>
      <w:pPr>
        <w:ind w:left="288"/>
      </w:pPr>
      <w:r>
        <w:rPr>
          <w:color w:val="8C8C8C"/>
          <w:sz w:val="12"/>
        </w:rPr>
        <w:t>cf-art-22-inc-XI</w:t>
      </w:r>
      <w:r>
        <w:rPr>
          <w:color w:val="003CA0"/>
          <w:sz w:val="12"/>
        </w:rPr>
        <w:t xml:space="preserve"> | ADI 4.338</w:t>
      </w:r>
      <w:r>
        <w:rPr>
          <w:color w:val="003CA0"/>
          <w:sz w:val="12"/>
        </w:rPr>
        <w:t xml:space="preserve"> | rel. Rosa Weber</w:t>
      </w:r>
    </w:p>
    <w:p>
      <w:pPr>
        <w:ind w:left="288"/>
      </w:pPr>
      <w:r>
        <w:rPr>
          <w:color w:val="1E1E1E"/>
          <w:sz w:val="18"/>
        </w:rPr>
        <w:t>Ao estender a aplicação do direito distrital ao transporte de passageiros realizado entre o Distrito Federal e a região do Entorno, transcendendo os limites territoriais do ente federado, o art. 2º da Lei 4.112/2008 do Distrito Federal invade a competência da União para explorar e regular o transporte interestadual de passageiros, ainda que de feição urbana.</w:t>
        <w:br/>
        <w:t>[ADI 4.338, rel. min. Rosa Weber, j. 23-8-2019, P, DJE de 9-9-2019.] Na forma da jurisprudência do Supremo, compete à União legislar sobre ‘trânsito e transporte’ – artigo 22, inciso XI, da Constituição Federal –, incluída matéria relativa</w:t>
      </w:r>
    </w:p>
    <w:p>
      <w:pPr>
        <w:ind w:left="288"/>
      </w:pPr>
      <w:r>
        <w:rPr>
          <w:b/>
          <w:color w:val="003CA0"/>
          <w:sz w:val="16"/>
        </w:rPr>
        <w:t>[ADI 5.332, rel. min. Cármen Lúcia, j. 30-6-2017, P, DJE de 24-8-2017.]</w:t>
      </w:r>
    </w:p>
    <w:p>
      <w:pPr>
        <w:ind w:left="288"/>
      </w:pPr>
      <w:r>
        <w:rPr>
          <w:color w:val="8C8C8C"/>
          <w:sz w:val="12"/>
        </w:rPr>
        <w:t>cf-art-22-inc-XI</w:t>
      </w:r>
      <w:r>
        <w:rPr>
          <w:color w:val="003CA0"/>
          <w:sz w:val="12"/>
        </w:rPr>
        <w:t xml:space="preserve"> | ADI 3.327</w:t>
      </w:r>
      <w:r>
        <w:rPr>
          <w:color w:val="003CA0"/>
          <w:sz w:val="12"/>
        </w:rPr>
        <w:t xml:space="preserve"> | rel. Joaquim Barbosa</w:t>
      </w:r>
    </w:p>
    <w:p>
      <w:pPr>
        <w:ind w:left="288"/>
      </w:pPr>
      <w:r>
        <w:rPr>
          <w:color w:val="1E1E1E"/>
          <w:sz w:val="18"/>
        </w:rPr>
        <w:t>Leis capixabas 5.717/1998 e 6.931/2001. Autorização de utilização, pela polícia militar ou pela polícia civil do estado, de veículos apreendidos e não identificados quanto à procedência e à propriedade, exclusivamente no trabalho de repressão penal. Questão afeta à administração pública estadual: competência não atribuída privativamente à União.</w:t>
        <w:br/>
        <w:t xml:space="preserve">[ADI 3.327, red. do ac. min. Cármen Lúcia, j. 8-8-2013, P, DJE de 30-10-2014.] </w:t>
        <w:br/>
        <w:t>Vide ADI 3.639, rel. min. Joaquim Barbosa, j. 23-5-2013, P, DJE de 7-10-2013 Violação da competência privativa da União para legislar sobre trânsito e transporte. (...) Inc</w:t>
      </w:r>
    </w:p>
    <w:p>
      <w:pPr>
        <w:ind w:left="288"/>
      </w:pPr>
      <w:r>
        <w:rPr>
          <w:b/>
          <w:color w:val="003CA0"/>
          <w:sz w:val="16"/>
        </w:rPr>
        <w:t>[ADI 2.960, rel. min. Dias Toffoli, j. 11-4-2013, P, DJE de 9-5-2013.]</w:t>
      </w:r>
    </w:p>
    <w:p>
      <w:pPr>
        <w:ind w:left="288"/>
      </w:pPr>
      <w:r>
        <w:rPr>
          <w:color w:val="8C8C8C"/>
          <w:sz w:val="12"/>
        </w:rPr>
        <w:t>cf-art-22-inc-XI</w:t>
      </w:r>
      <w:r>
        <w:rPr>
          <w:color w:val="003CA0"/>
          <w:sz w:val="12"/>
        </w:rPr>
        <w:t xml:space="preserve"> | ADI 2.137</w:t>
      </w:r>
      <w:r>
        <w:rPr>
          <w:color w:val="003CA0"/>
          <w:sz w:val="12"/>
        </w:rPr>
        <w:t xml:space="preserve"> | rel. Dias Toffoli</w:t>
      </w:r>
    </w:p>
    <w:p>
      <w:pPr>
        <w:ind w:left="288"/>
      </w:pPr>
      <w:r>
        <w:rPr>
          <w:color w:val="1E1E1E"/>
          <w:sz w:val="18"/>
        </w:rPr>
        <w:t>Lei 3.279/1999 do Estado do Rio de Janeiro, que dispõe sobre o cancelamento de multas de trânsito anotadas em rodovias estaduais em certo período relativas a determinada espécie de veículo. Inconstitucionalidade formal. (...) Somente a própria União pode anistiar ou perdoar as multas aplicadas pelos órgãos responsáveis, restando patente a invasão da competência privativa da União no caso em questão.</w:t>
      </w:r>
    </w:p>
    <w:p>
      <w:pPr>
        <w:ind w:left="288"/>
      </w:pPr>
      <w:r>
        <w:rPr>
          <w:b/>
          <w:color w:val="003CA0"/>
          <w:sz w:val="16"/>
        </w:rPr>
        <w:t>[ADI 2.137, rel. min. Dias Toffoli, j. 11-4-2013, P, DJE de 9-5-2013.]</w:t>
      </w:r>
    </w:p>
    <w:p>
      <w:pPr>
        <w:ind w:left="288"/>
      </w:pPr>
      <w:r>
        <w:rPr>
          <w:color w:val="8C8C8C"/>
          <w:sz w:val="12"/>
        </w:rPr>
        <w:t>cf-art-22-inc-XI</w:t>
      </w:r>
      <w:r>
        <w:rPr>
          <w:color w:val="003CA0"/>
          <w:sz w:val="12"/>
        </w:rPr>
        <w:t xml:space="preserve"> | ADPF 234</w:t>
      </w:r>
      <w:r>
        <w:rPr>
          <w:color w:val="003CA0"/>
          <w:sz w:val="12"/>
        </w:rPr>
        <w:t xml:space="preserve"> | rel. Marco Aurélio</w:t>
      </w:r>
    </w:p>
    <w:p>
      <w:pPr>
        <w:ind w:left="288"/>
      </w:pPr>
      <w:r>
        <w:rPr>
          <w:color w:val="1E1E1E"/>
          <w:sz w:val="18"/>
        </w:rPr>
        <w:t>Causa perplexidade a convivência, no ordenamento jurídico, da proibição local para a comercialização de amianto da variedade crisotila – art. 1º da Lei estadual 12.684/2007 – com a permissão, abrangente, para o exercício de tal atividade – art. 2º da Lei 9.055, de 1º-1-1995, regulamentada pelo Decreto 2.350, de 15-10-1997. Em outras palavras, em âmbito nacional, a comercialização daquele tipo de amianto é admitida, mas proibida no Estado de São Paulo. O problema relatado pela arguente é que parte da produção do amianto tem de trafegar pelo Estado de São Paulo para chegar ao destino, ato que ve</w:t>
      </w:r>
    </w:p>
    <w:p>
      <w:pPr>
        <w:ind w:left="288"/>
      </w:pPr>
      <w:r>
        <w:rPr>
          <w:b/>
          <w:color w:val="003CA0"/>
          <w:sz w:val="16"/>
        </w:rPr>
        <w:t>[ADPF 234 MC, voto do rel. min. Marco Aurélio, j. 28-9-2011, P, DJE de 6-2-2012.]</w:t>
      </w:r>
    </w:p>
    <w:p>
      <w:pPr>
        <w:ind w:left="288"/>
      </w:pPr>
      <w:r>
        <w:rPr>
          <w:color w:val="8C8C8C"/>
          <w:sz w:val="12"/>
        </w:rPr>
        <w:t>cf-art-22-inc-XI</w:t>
      </w:r>
      <w:r>
        <w:rPr>
          <w:color w:val="003CA0"/>
          <w:sz w:val="12"/>
        </w:rPr>
        <w:t xml:space="preserve"> | ADI 280</w:t>
      </w:r>
      <w:r>
        <w:rPr>
          <w:color w:val="003CA0"/>
          <w:sz w:val="12"/>
        </w:rPr>
        <w:t xml:space="preserve"> | rel. Francisco Rezek</w:t>
      </w:r>
    </w:p>
    <w:p>
      <w:pPr>
        <w:ind w:left="288"/>
      </w:pPr>
      <w:r>
        <w:rPr>
          <w:color w:val="1E1E1E"/>
          <w:sz w:val="18"/>
        </w:rPr>
        <w:t>Vide ADI 280, rel. min. Francisco Rezek, j. 13-4-1994, P, DJ de 17-6-1994 É inconstitucional a lei distrital ou estadual que comine penalidades a quem seja flagrado em estado de embriaguez na condução de veículo automotor.</w:t>
      </w:r>
    </w:p>
    <w:p>
      <w:pPr>
        <w:ind w:left="288"/>
      </w:pPr>
      <w:r>
        <w:rPr>
          <w:b/>
          <w:color w:val="003CA0"/>
          <w:sz w:val="16"/>
        </w:rPr>
        <w:t>[ADI 3.269, rel. min. Cezar Peluso, j. 1º-8-2011, P, DJE de 22-9-2011.]</w:t>
      </w:r>
    </w:p>
    <w:p>
      <w:pPr>
        <w:ind w:left="288"/>
      </w:pPr>
      <w:r>
        <w:rPr>
          <w:color w:val="8C8C8C"/>
          <w:sz w:val="12"/>
        </w:rPr>
        <w:t>cf-art-22-inc-XI</w:t>
      </w:r>
      <w:r>
        <w:rPr>
          <w:color w:val="003CA0"/>
          <w:sz w:val="12"/>
        </w:rPr>
        <w:t xml:space="preserve"> | ADI 3.679</w:t>
      </w:r>
      <w:r>
        <w:rPr>
          <w:color w:val="003CA0"/>
          <w:sz w:val="12"/>
        </w:rPr>
        <w:t xml:space="preserve"> | rel. Sepúlveda Pertence</w:t>
      </w:r>
    </w:p>
    <w:p>
      <w:pPr>
        <w:ind w:left="288"/>
      </w:pPr>
      <w:r>
        <w:rPr>
          <w:color w:val="1E1E1E"/>
          <w:sz w:val="18"/>
        </w:rPr>
        <w:t>Lei distrital 3.787, de 2-2-2006, que cria, no âmbito do Distrito Federal, o sistema de moto-service – transporte remunerado de passageiros com uso de motocicletas: inconstitucionalidade declarada por usurpação da competência privativa da União para legislar sobre trânsito e transporte (CF, art. 22, XI).</w:t>
      </w:r>
    </w:p>
    <w:p>
      <w:pPr>
        <w:ind w:left="288"/>
      </w:pPr>
      <w:r>
        <w:rPr>
          <w:b/>
          <w:color w:val="003CA0"/>
          <w:sz w:val="16"/>
        </w:rPr>
        <w:t>[ADI 3.679, rel. min. Sepúlveda Pertence, j. 18-6-2007, P, DJ de 3-8-2007.]</w:t>
      </w:r>
    </w:p>
    <w:p>
      <w:pPr>
        <w:ind w:left="288"/>
      </w:pPr>
      <w:r>
        <w:rPr>
          <w:color w:val="8C8C8C"/>
          <w:sz w:val="12"/>
        </w:rPr>
        <w:t>cf-art-22-inc-XI</w:t>
      </w:r>
      <w:r>
        <w:rPr>
          <w:color w:val="003CA0"/>
          <w:sz w:val="12"/>
        </w:rPr>
        <w:t xml:space="preserve"> | ADI 3.610</w:t>
      </w:r>
      <w:r>
        <w:rPr>
          <w:color w:val="003CA0"/>
          <w:sz w:val="12"/>
        </w:rPr>
        <w:t xml:space="preserve"> | rel. Cezar Peluso</w:t>
      </w:r>
    </w:p>
    <w:p>
      <w:pPr>
        <w:ind w:left="288"/>
      </w:pPr>
      <w:r>
        <w:rPr>
          <w:color w:val="1E1E1E"/>
          <w:sz w:val="18"/>
        </w:rPr>
        <w:t>Vide ADI 3.610, rel. min. Cezar Peluso, j. 1º-8-2011, P, DJE de 22-9-2011 É inconstitucional a lei estadual que, sob pretexto de autorizar concessão de serviços, dispõe sobre inspeção técnica de veículos para avaliação de condições de segurança e controle de emissões de poluentes e ruídos.</w:t>
      </w:r>
    </w:p>
    <w:p>
      <w:pPr>
        <w:ind w:left="288"/>
      </w:pPr>
      <w:r>
        <w:rPr>
          <w:b/>
          <w:color w:val="003CA0"/>
          <w:sz w:val="16"/>
        </w:rPr>
        <w:t>[ADI 3.049, rel. min. Cezar Peluso, j. 4-6-2007, P, DJ de 24-8-2007.]</w:t>
      </w:r>
    </w:p>
    <w:p>
      <w:pPr>
        <w:ind w:left="288"/>
      </w:pPr>
      <w:r>
        <w:rPr>
          <w:color w:val="8C8C8C"/>
          <w:sz w:val="12"/>
        </w:rPr>
        <w:t>cf-art-22-inc-XI</w:t>
      </w:r>
      <w:r>
        <w:rPr>
          <w:color w:val="003CA0"/>
          <w:sz w:val="12"/>
        </w:rPr>
        <w:t xml:space="preserve"> | ADI 3.055</w:t>
      </w:r>
      <w:r>
        <w:rPr>
          <w:color w:val="003CA0"/>
          <w:sz w:val="12"/>
        </w:rPr>
        <w:t xml:space="preserve"> | rel. Carlos Velloso</w:t>
      </w:r>
    </w:p>
    <w:p>
      <w:pPr>
        <w:ind w:left="288"/>
      </w:pPr>
      <w:r>
        <w:rPr>
          <w:color w:val="1E1E1E"/>
          <w:sz w:val="18"/>
        </w:rPr>
        <w:t>Lei 11.766, de 1997, do Estado do Paraná, que torna obrigatório a qualquer veículo automotor transitar permanentemente com os faróis acesos nas rodovias do Estado do Paraná, impondo a pena de multa aos que descumprirem o preceito legal: inconstitucionalidade, porque a questão diz respeito ao trânsito.</w:t>
      </w:r>
    </w:p>
    <w:p>
      <w:pPr>
        <w:ind w:left="288"/>
      </w:pPr>
      <w:r>
        <w:rPr>
          <w:b/>
          <w:color w:val="003CA0"/>
          <w:sz w:val="16"/>
        </w:rPr>
        <w:t>[ADI 3.055, rel. min. Carlos Velloso, j. 24-11-2005, P, DJ de 3-2-2006.]</w:t>
      </w:r>
    </w:p>
    <w:p>
      <w:pPr>
        <w:ind w:left="288"/>
      </w:pPr>
      <w:r>
        <w:rPr>
          <w:color w:val="8C8C8C"/>
          <w:sz w:val="12"/>
        </w:rPr>
        <w:t>cf-art-22-inc-XI</w:t>
      </w:r>
      <w:r>
        <w:rPr>
          <w:color w:val="003CA0"/>
          <w:sz w:val="12"/>
        </w:rPr>
        <w:t xml:space="preserve"> | ADI 3.186</w:t>
      </w:r>
      <w:r>
        <w:rPr>
          <w:color w:val="003CA0"/>
          <w:sz w:val="12"/>
        </w:rPr>
        <w:t xml:space="preserve"> | rel. Gilmar Mendes</w:t>
      </w:r>
    </w:p>
    <w:p>
      <w:pPr>
        <w:ind w:left="288"/>
      </w:pPr>
      <w:r>
        <w:rPr>
          <w:color w:val="1E1E1E"/>
          <w:sz w:val="18"/>
        </w:rPr>
        <w:t>Lei distrital 2.929/2002, que dispõe sobre o prazo para vigência da aplicação de multas a veículos no Distrito Federal em virtude da reclassificação de vias. Usurpação de competência legislativa privativa da União.</w:t>
      </w:r>
    </w:p>
    <w:p>
      <w:pPr>
        <w:ind w:left="288"/>
      </w:pPr>
      <w:r>
        <w:rPr>
          <w:b/>
          <w:color w:val="003CA0"/>
          <w:sz w:val="16"/>
        </w:rPr>
        <w:t>[ADI 3.186, rel. min. Gilmar Mendes, j. 16-11-2005, P, DJ de 12-5-2006.]</w:t>
      </w:r>
    </w:p>
    <w:p>
      <w:pPr>
        <w:ind w:left="288"/>
      </w:pPr>
      <w:r>
        <w:rPr>
          <w:color w:val="8C8C8C"/>
          <w:sz w:val="12"/>
        </w:rPr>
        <w:t>cf-art-22-inc-XI</w:t>
      </w:r>
      <w:r>
        <w:rPr>
          <w:color w:val="003CA0"/>
          <w:sz w:val="12"/>
        </w:rPr>
        <w:t xml:space="preserve"> | ADI 3.444</w:t>
      </w:r>
      <w:r>
        <w:rPr>
          <w:color w:val="003CA0"/>
          <w:sz w:val="12"/>
        </w:rPr>
        <w:t xml:space="preserve"> | rel. Ellen Gracie</w:t>
      </w:r>
    </w:p>
    <w:p>
      <w:pPr>
        <w:ind w:left="288"/>
      </w:pPr>
      <w:r>
        <w:rPr>
          <w:color w:val="1E1E1E"/>
          <w:sz w:val="18"/>
        </w:rPr>
        <w:t>A instituição da forma parcelada de pagamento da multa aplicada pela prática de infração de trânsito integra o conjunto de temas enfeixados pelo art. 22, XI, da CF.</w:t>
      </w:r>
    </w:p>
    <w:p>
      <w:pPr>
        <w:ind w:left="288"/>
      </w:pPr>
      <w:r>
        <w:rPr>
          <w:b/>
          <w:color w:val="003CA0"/>
          <w:sz w:val="16"/>
        </w:rPr>
        <w:t>[ADI 3.444, rel. min. Ellen Gracie, j. 16-11-2005, P, DJ de 3-2-2006.]</w:t>
      </w:r>
    </w:p>
    <w:p>
      <w:pPr>
        <w:ind w:left="288"/>
      </w:pPr>
      <w:r>
        <w:rPr>
          <w:color w:val="8C8C8C"/>
          <w:sz w:val="12"/>
        </w:rPr>
        <w:t>cf-art-22-inc-XI</w:t>
      </w:r>
      <w:r>
        <w:rPr>
          <w:color w:val="003CA0"/>
          <w:sz w:val="12"/>
        </w:rPr>
        <w:t xml:space="preserve"> | ADI 2.137</w:t>
      </w:r>
      <w:r>
        <w:rPr>
          <w:color w:val="003CA0"/>
          <w:sz w:val="12"/>
        </w:rPr>
        <w:t xml:space="preserve"> | rel. Dias Toffoli</w:t>
      </w:r>
    </w:p>
    <w:p>
      <w:pPr>
        <w:ind w:left="288"/>
      </w:pPr>
      <w:r>
        <w:rPr>
          <w:color w:val="1E1E1E"/>
          <w:sz w:val="18"/>
        </w:rPr>
        <w:t>= ADI 2.137, rel. min. Dias Toffoli, j. 11-4-2013, P, DJE de 9-5-2013 O controle da baixa de registro e do desmonte e comercialização de veículos irrecuperáveis é tema indissociavelmente ligado ao trânsito e a sua segurança, pois tem por finalidade evitar que unidades automotivas vendidas como sucata – como as sinistradas com laudo de perda total – sejam reformadas e temerariamente reintroduzidas no mercado de veículos em circulação.</w:t>
      </w:r>
    </w:p>
    <w:p>
      <w:pPr>
        <w:ind w:left="288"/>
      </w:pPr>
      <w:r>
        <w:rPr>
          <w:b/>
          <w:color w:val="003CA0"/>
          <w:sz w:val="16"/>
        </w:rPr>
        <w:t>[ADI 3.254, rel. min. Ellen Gracie, j. 16-11-2005, P, DJ de 2-12-2005.]</w:t>
      </w:r>
    </w:p>
    <w:p>
      <w:pPr>
        <w:ind w:left="288"/>
      </w:pPr>
      <w:r>
        <w:rPr>
          <w:color w:val="8C8C8C"/>
          <w:sz w:val="12"/>
        </w:rPr>
        <w:t>cf-art-22-inc-XI</w:t>
      </w:r>
      <w:r>
        <w:rPr>
          <w:color w:val="003CA0"/>
          <w:sz w:val="12"/>
        </w:rPr>
        <w:t xml:space="preserve"> | ADI 2.751</w:t>
      </w:r>
      <w:r>
        <w:rPr>
          <w:color w:val="003CA0"/>
          <w:sz w:val="12"/>
        </w:rPr>
        <w:t xml:space="preserve"> | rel. Carlos Velloso</w:t>
      </w:r>
    </w:p>
    <w:p>
      <w:pPr>
        <w:ind w:left="288"/>
      </w:pPr>
      <w:r>
        <w:rPr>
          <w:color w:val="1E1E1E"/>
          <w:sz w:val="18"/>
        </w:rPr>
        <w:t>Lei 3.756/2002 do Estado do Rio de Janeiro, que autoriza o Poder Executivo a apreender e desemplacar veículos de transporte coletivo de passageiros encontrados em situação irregular: constitucionalidade, porque a norma legal insere-se no poder de polícia do Estado.</w:t>
      </w:r>
    </w:p>
    <w:p>
      <w:pPr>
        <w:ind w:left="288"/>
      </w:pPr>
      <w:r>
        <w:rPr>
          <w:b/>
          <w:color w:val="003CA0"/>
          <w:sz w:val="16"/>
        </w:rPr>
        <w:t>[ADI 2.751, rel. min. Carlos Velloso, j. 31-8-2005, P, DJ de 24-2-2006.]</w:t>
      </w:r>
    </w:p>
    <w:p>
      <w:pPr>
        <w:ind w:left="288"/>
      </w:pPr>
      <w:r>
        <w:rPr>
          <w:color w:val="8C8C8C"/>
          <w:sz w:val="12"/>
        </w:rPr>
        <w:t>cf-art-22-inc-XI</w:t>
      </w:r>
      <w:r>
        <w:rPr>
          <w:color w:val="003CA0"/>
          <w:sz w:val="12"/>
        </w:rPr>
        <w:t xml:space="preserve"> | ADI 2.718</w:t>
      </w:r>
      <w:r>
        <w:rPr>
          <w:color w:val="003CA0"/>
          <w:sz w:val="12"/>
        </w:rPr>
        <w:t xml:space="preserve"> | rel. Joaquim Barbosa</w:t>
      </w:r>
    </w:p>
    <w:p>
      <w:pPr>
        <w:ind w:left="288"/>
      </w:pPr>
      <w:r>
        <w:rPr>
          <w:color w:val="1E1E1E"/>
          <w:sz w:val="18"/>
        </w:rPr>
        <w:t>O disciplinamento da colocação de barreiras eletrônicas para aferir a velocidade de veículos, por inserir-se na matéria trânsito, é de competência exclusiva da União (art. 22, XI, da CF/1988).</w:t>
      </w:r>
    </w:p>
    <w:p>
      <w:pPr>
        <w:ind w:left="288"/>
      </w:pPr>
      <w:r>
        <w:rPr>
          <w:b/>
          <w:color w:val="003CA0"/>
          <w:sz w:val="16"/>
        </w:rPr>
        <w:t>[ADI 2.718, rel. min. Joaquim Barbosa, j. 6-4-2005, P, DJ de 24-6-2005.]</w:t>
      </w:r>
    </w:p>
    <w:p>
      <w:pPr>
        <w:ind w:left="288"/>
      </w:pPr>
      <w:r>
        <w:rPr>
          <w:color w:val="8C8C8C"/>
          <w:sz w:val="12"/>
        </w:rPr>
        <w:t>cf-art-22-inc-XI</w:t>
      </w:r>
      <w:r>
        <w:rPr>
          <w:color w:val="003CA0"/>
          <w:sz w:val="12"/>
        </w:rPr>
        <w:t xml:space="preserve"> | ADI 3.897</w:t>
      </w:r>
      <w:r>
        <w:rPr>
          <w:color w:val="003CA0"/>
          <w:sz w:val="12"/>
        </w:rPr>
        <w:t xml:space="preserve"> | rel. Gilmar Mendes</w:t>
      </w:r>
    </w:p>
    <w:p>
      <w:pPr>
        <w:ind w:left="288"/>
      </w:pPr>
      <w:r>
        <w:rPr>
          <w:color w:val="1E1E1E"/>
          <w:sz w:val="18"/>
        </w:rPr>
        <w:t>= ADI 3.897, rel. min. Gilmar Mendes, j. 4-3-2009, P, DJE de 24-4-2009 Apenas a União tem competência para estabelecer multas de trânsito. A fixação de um teto para o respectivo valor não está previsto no Código de Trânsito Brasileiro, sendo descabido que os Estados venham a estabelecê-lo. Ausência de lei complementar federal que autorize os Estados a legislar, em pontos específicos, sobre trânsito e transporte, conforme prevê o art. 22, parágrafo único, da CF.</w:t>
      </w:r>
    </w:p>
    <w:p>
      <w:pPr>
        <w:ind w:left="288"/>
      </w:pPr>
      <w:r>
        <w:rPr>
          <w:b/>
          <w:color w:val="003CA0"/>
          <w:sz w:val="16"/>
        </w:rPr>
        <w:t>[ADI 2.644, rel. min. Ellen Gracie, j. 7-8-2003, P, DJ de 29-8-2003.]</w:t>
      </w:r>
    </w:p>
    <w:p>
      <w:pPr>
        <w:ind w:left="288"/>
      </w:pPr>
      <w:r>
        <w:rPr>
          <w:color w:val="8C8C8C"/>
          <w:sz w:val="12"/>
        </w:rPr>
        <w:t>cf-art-22-inc-XI</w:t>
      </w:r>
      <w:r>
        <w:rPr>
          <w:color w:val="003CA0"/>
          <w:sz w:val="12"/>
        </w:rPr>
        <w:t xml:space="preserve"> | ADI 2.582</w:t>
      </w:r>
      <w:r>
        <w:rPr>
          <w:color w:val="003CA0"/>
          <w:sz w:val="12"/>
        </w:rPr>
        <w:t xml:space="preserve"> | rel. Sepúlveda Pertence</w:t>
      </w:r>
    </w:p>
    <w:p>
      <w:pPr>
        <w:ind w:left="288"/>
      </w:pPr>
      <w:r>
        <w:rPr>
          <w:color w:val="1E1E1E"/>
          <w:sz w:val="18"/>
        </w:rPr>
        <w:t>Trânsito: competência legislativa privativa da União: inconstitucionalidade da lei estadual que fixa limites de velocidade nas rodovias do Estado-membro ou sob sua administração.</w:t>
      </w:r>
    </w:p>
    <w:p>
      <w:pPr>
        <w:ind w:left="288"/>
      </w:pPr>
      <w:r>
        <w:rPr>
          <w:b/>
          <w:color w:val="003CA0"/>
          <w:sz w:val="16"/>
        </w:rPr>
        <w:t>[ADI 2.582, rel. min. Sepúlveda Pertence, j. 19-3-2003, P, DJ de 6-6-2003.]</w:t>
      </w:r>
    </w:p>
    <w:p>
      <w:pPr>
        <w:ind w:left="288"/>
      </w:pPr>
      <w:r>
        <w:rPr>
          <w:color w:val="8C8C8C"/>
          <w:sz w:val="12"/>
        </w:rPr>
        <w:t>cf-art-22-inc-XI</w:t>
      </w:r>
      <w:r>
        <w:rPr>
          <w:color w:val="003CA0"/>
          <w:sz w:val="12"/>
        </w:rPr>
        <w:t xml:space="preserve"> | ADI 1.704</w:t>
      </w:r>
      <w:r>
        <w:rPr>
          <w:color w:val="003CA0"/>
          <w:sz w:val="12"/>
        </w:rPr>
        <w:t xml:space="preserve"> | rel. Carlos Velloso</w:t>
      </w:r>
    </w:p>
    <w:p>
      <w:pPr>
        <w:ind w:left="288"/>
      </w:pPr>
      <w:r>
        <w:rPr>
          <w:color w:val="1E1E1E"/>
          <w:sz w:val="18"/>
        </w:rPr>
        <w:t>Lei 6.908, de 1997, do Estado de Mato Grosso, que autoriza o uso de película de filme solar nos vidros dos veículos: sua inconstitucionalidade, porque a questão diz respeito ao trânsito.</w:t>
      </w:r>
    </w:p>
    <w:p>
      <w:pPr>
        <w:ind w:left="288"/>
      </w:pPr>
      <w:r>
        <w:rPr>
          <w:b/>
          <w:color w:val="003CA0"/>
          <w:sz w:val="16"/>
        </w:rPr>
        <w:t>[ADI 1.704, rel. min. Carlos Velloso, j. 1º-8-2002, P, DJ de 20-9-2002.]</w:t>
      </w:r>
    </w:p>
    <w:p>
      <w:pPr>
        <w:ind w:left="288"/>
      </w:pPr>
      <w:r>
        <w:rPr>
          <w:color w:val="8C8C8C"/>
          <w:sz w:val="12"/>
        </w:rPr>
        <w:t>cf-art-22-inc-XI</w:t>
      </w:r>
      <w:r>
        <w:rPr>
          <w:color w:val="003CA0"/>
          <w:sz w:val="12"/>
        </w:rPr>
        <w:t xml:space="preserve"> | ADI 476</w:t>
      </w:r>
      <w:r>
        <w:rPr>
          <w:color w:val="003CA0"/>
          <w:sz w:val="12"/>
        </w:rPr>
        <w:t xml:space="preserve"> | rel. Sepúlveda Pertence</w:t>
      </w:r>
    </w:p>
    <w:p>
      <w:pPr>
        <w:ind w:left="288"/>
      </w:pPr>
      <w:r>
        <w:rPr>
          <w:color w:val="1E1E1E"/>
          <w:sz w:val="18"/>
        </w:rPr>
        <w:t>Trânsito: idade mínima para habilitação a conduzir veículo automotor: matéria de competência privativa da União (...): inconstitucionalidade de legislação estadual a respeito.</w:t>
      </w:r>
    </w:p>
    <w:p>
      <w:pPr>
        <w:ind w:left="288"/>
      </w:pPr>
      <w:r>
        <w:rPr>
          <w:b/>
          <w:color w:val="003CA0"/>
          <w:sz w:val="16"/>
        </w:rPr>
        <w:t>[ADI 476, rel. min. Sepúlveda Pertence, j. 18-2-1999, P, DJ de 9-4-1999.]</w:t>
      </w:r>
    </w:p>
    <w:p>
      <w:pPr>
        <w:ind w:left="288"/>
      </w:pPr>
      <w:r>
        <w:rPr>
          <w:color w:val="8C8C8C"/>
          <w:sz w:val="12"/>
        </w:rPr>
        <w:t>cf-art-22-inc-XI</w:t>
      </w:r>
      <w:r>
        <w:rPr>
          <w:color w:val="003CA0"/>
          <w:sz w:val="12"/>
        </w:rPr>
        <w:t xml:space="preserve"> | ADI 280</w:t>
      </w:r>
      <w:r>
        <w:rPr>
          <w:color w:val="003CA0"/>
          <w:sz w:val="12"/>
        </w:rPr>
        <w:t xml:space="preserve"> | rel. Francisco Rezek</w:t>
      </w:r>
    </w:p>
    <w:p>
      <w:pPr>
        <w:ind w:left="288"/>
      </w:pPr>
      <w:r>
        <w:rPr>
          <w:color w:val="1E1E1E"/>
          <w:sz w:val="18"/>
        </w:rPr>
        <w:t>Inconstitucionalidade da frase sendo "vedada a saída do Estado de madeiras em toras". Competência da União para legislar sobre comércio interestadual e transporte (art. 22, VIII e XI, da CF).</w:t>
      </w:r>
    </w:p>
    <w:p>
      <w:pPr>
        <w:ind w:left="288"/>
      </w:pPr>
      <w:r>
        <w:rPr>
          <w:b/>
          <w:color w:val="003CA0"/>
          <w:sz w:val="16"/>
        </w:rPr>
        <w:t>[ADI 280, rel. min. Francisco Rezek, j. 13-4-1994, P, DJ de 17-6-1994.]</w:t>
      </w:r>
    </w:p>
    <w:p>
      <w:pPr>
        <w:ind w:left="288"/>
      </w:pPr>
      <w:r>
        <w:rPr>
          <w:color w:val="8C8C8C"/>
          <w:sz w:val="12"/>
        </w:rPr>
        <w:t>cf-art-22-inc-XI</w:t>
      </w:r>
      <w:r>
        <w:rPr>
          <w:color w:val="003CA0"/>
          <w:sz w:val="12"/>
        </w:rPr>
        <w:t xml:space="preserve"> | ADPF 234</w:t>
      </w:r>
      <w:r>
        <w:rPr>
          <w:color w:val="003CA0"/>
          <w:sz w:val="12"/>
        </w:rPr>
        <w:t xml:space="preserve"> | rel. Marco Aurélio</w:t>
      </w:r>
    </w:p>
    <w:p>
      <w:pPr>
        <w:ind w:left="288"/>
      </w:pPr>
      <w:r>
        <w:rPr>
          <w:color w:val="1E1E1E"/>
          <w:sz w:val="18"/>
        </w:rPr>
        <w:t>Vide ADPF 234 MC, rel. min. Marco Aurélio, j. 28-9-2011, P, DJE de 6-2-2012</w:t>
      </w:r>
    </w:p>
    <w:p>
      <w:pPr>
        <w:ind w:left="144"/>
      </w:pPr>
      <w:r>
        <w:rPr>
          <w:b/>
          <w:color w:val="B45A00"/>
          <w:sz w:val="16"/>
        </w:rPr>
        <w:t>REPERCUSSAO GERAL</w:t>
      </w:r>
    </w:p>
    <w:p>
      <w:pPr>
        <w:ind w:left="288"/>
      </w:pPr>
      <w:r>
        <w:rPr>
          <w:color w:val="8C8C8C"/>
          <w:sz w:val="12"/>
        </w:rPr>
        <w:t>cf-art-22-inc-XI</w:t>
      </w:r>
      <w:r>
        <w:rPr>
          <w:color w:val="003CA0"/>
          <w:sz w:val="12"/>
        </w:rPr>
        <w:t xml:space="preserve"> | RE 661.702</w:t>
      </w:r>
      <w:r>
        <w:rPr>
          <w:color w:val="003CA0"/>
          <w:sz w:val="12"/>
        </w:rPr>
        <w:t xml:space="preserve"> | rel. Marco Aurélio</w:t>
      </w:r>
    </w:p>
    <w:p>
      <w:pPr>
        <w:ind w:left="288"/>
      </w:pPr>
      <w:r>
        <w:rPr>
          <w:color w:val="1E1E1E"/>
          <w:sz w:val="18"/>
        </w:rPr>
        <w:t>Surge constitucional previsão normativa local voltada a coibir fraude considerado o serviço público de transporte coletivo, e inconstitucional o condicionamento de liberação de veículo aprendido ao pagamento de multas, preços públicos e demais encargos decorrentes de infração.</w:t>
      </w:r>
    </w:p>
    <w:p>
      <w:pPr>
        <w:ind w:left="288"/>
      </w:pPr>
      <w:r>
        <w:rPr>
          <w:b/>
          <w:color w:val="003CA0"/>
          <w:sz w:val="16"/>
        </w:rPr>
        <w:t>[RE 661.702, rel. min. Marco Aurélio, j. 4-5-2020, P, DJE de 19-5-2020, Tema 546, com mérito julgado.]</w:t>
      </w:r>
    </w:p>
    <w:p>
      <w:pPr>
        <w:ind w:left="288"/>
      </w:pPr>
      <w:r>
        <w:rPr>
          <w:color w:val="8C8C8C"/>
          <w:sz w:val="12"/>
        </w:rPr>
        <w:t>cf-art-22-inc-XI</w:t>
      </w:r>
      <w:r>
        <w:rPr>
          <w:color w:val="003CA0"/>
          <w:sz w:val="12"/>
        </w:rPr>
        <w:t xml:space="preserve"> | RE 1.054.110</w:t>
      </w:r>
      <w:r>
        <w:rPr>
          <w:color w:val="003CA0"/>
          <w:sz w:val="12"/>
        </w:rPr>
        <w:t xml:space="preserve"> | rel. Roberto Barroso</w:t>
      </w:r>
    </w:p>
    <w:p>
      <w:pPr>
        <w:ind w:left="288"/>
      </w:pPr>
      <w:r>
        <w:rPr>
          <w:color w:val="1E1E1E"/>
          <w:sz w:val="18"/>
        </w:rPr>
        <w:t>A proibição ou restrição da atividade de transporte privado individual por motorista cadastrado em aplicativo é inconstitucional, por violação aos princípios da livre iniciativa e da livre concorrência; e no exercício de sua competência para regulamentação e fiscalização do transporte privado individual de passageiros, os Municípios e o Distrito Federal não podem contrariar os parâmetros fixados pelo legislador federal (CF/1988, art. 22, XI).</w:t>
      </w:r>
    </w:p>
    <w:p>
      <w:pPr>
        <w:ind w:left="288"/>
      </w:pPr>
      <w:r>
        <w:rPr>
          <w:b/>
          <w:color w:val="003CA0"/>
          <w:sz w:val="16"/>
        </w:rPr>
        <w:t>[RE 1.054.110, rel. min. Roberto Barroso, j. 9-5-2019, P, DJE de 6-9-2019, Tema 967, com mérito julgado.]</w:t>
      </w:r>
    </w:p>
    <w:p>
      <w:pPr>
        <w:ind w:left="144"/>
      </w:pPr>
      <w:r>
        <w:rPr>
          <w:b/>
          <w:color w:val="B45A00"/>
          <w:sz w:val="16"/>
        </w:rPr>
        <w:t>JULGADOS CORRELATOS</w:t>
      </w:r>
    </w:p>
    <w:p>
      <w:pPr>
        <w:ind w:left="288"/>
      </w:pPr>
      <w:r>
        <w:rPr>
          <w:color w:val="8C8C8C"/>
          <w:sz w:val="12"/>
        </w:rPr>
        <w:t>cf-art-22-inc-XI</w:t>
      </w:r>
      <w:r>
        <w:rPr>
          <w:color w:val="003CA0"/>
          <w:sz w:val="12"/>
        </w:rPr>
        <w:t xml:space="preserve"> | RE 201.865</w:t>
      </w:r>
      <w:r>
        <w:rPr>
          <w:color w:val="003CA0"/>
          <w:sz w:val="12"/>
        </w:rPr>
        <w:t xml:space="preserve"> | rel. Carlos Velloso</w:t>
      </w:r>
    </w:p>
    <w:p>
      <w:pPr>
        <w:ind w:left="288"/>
      </w:pPr>
      <w:r>
        <w:rPr>
          <w:color w:val="1E1E1E"/>
          <w:sz w:val="18"/>
        </w:rPr>
        <w:t>Fretamento de ônibus para o transporte com finalidade turística, ou para o atendimento do turismo no Estado. Transporte ocasional de turistas, que reclamam regramento por parte do Estado-membro, com base no seu poder de polícia administrativa, com vistas à proteção dos turistas e do próprio turismo. CF, art. 25, § 1º. Inocorrência de ofensa à competência privativa da União para legislar sobre trânsito e transporte (CF, art. 22, XI).</w:t>
      </w:r>
    </w:p>
    <w:p>
      <w:pPr>
        <w:ind w:left="288"/>
      </w:pPr>
      <w:r>
        <w:rPr>
          <w:b/>
          <w:color w:val="003CA0"/>
          <w:sz w:val="16"/>
        </w:rPr>
        <w:t>[RE 201.865, rel. min. Carlos Velloso, j. 28-10-2004, P, DJ de 4-2-2005.]</w:t>
      </w:r>
    </w:p>
    <w:p>
      <w:pPr>
        <w:ind w:left="288"/>
      </w:pPr>
      <w:r>
        <w:rPr>
          <w:color w:val="8C8C8C"/>
          <w:sz w:val="12"/>
        </w:rPr>
        <w:t>cf-art-22-inc-XI</w:t>
      </w:r>
      <w:r>
        <w:rPr>
          <w:color w:val="003CA0"/>
          <w:sz w:val="12"/>
        </w:rPr>
        <w:t xml:space="preserve"> | ARE 709.639</w:t>
      </w:r>
      <w:r>
        <w:rPr>
          <w:color w:val="003CA0"/>
          <w:sz w:val="12"/>
        </w:rPr>
        <w:t xml:space="preserve"> | rel. Ricardo Lewandowski</w:t>
      </w:r>
    </w:p>
    <w:p>
      <w:pPr>
        <w:ind w:left="288"/>
      </w:pPr>
      <w:r>
        <w:rPr>
          <w:color w:val="1E1E1E"/>
          <w:sz w:val="18"/>
        </w:rPr>
        <w:t>Vide ARE 709.639 AgR, rel. min. Ricardo Lewandowski, j. 20-5-2014, 2ª T, DJE de 5-6-2014</w:t>
      </w:r>
    </w:p>
    <w:p>
      <w:pPr>
        <w:ind w:left="144"/>
      </w:pPr>
      <w:r>
        <w:rPr>
          <w:b/>
          <w:color w:val="B45A00"/>
          <w:sz w:val="16"/>
        </w:rPr>
        <w:t>CONTROLE CONCENTRADO</w:t>
      </w:r>
    </w:p>
    <w:p>
      <w:pPr>
        <w:ind w:left="288"/>
      </w:pPr>
      <w:r>
        <w:rPr>
          <w:color w:val="8C8C8C"/>
          <w:sz w:val="12"/>
        </w:rPr>
        <w:t>cf-art-22-inc-XII</w:t>
      </w:r>
      <w:r>
        <w:rPr>
          <w:color w:val="003CA0"/>
          <w:sz w:val="12"/>
        </w:rPr>
        <w:t xml:space="preserve"> | ADI 6.672</w:t>
      </w:r>
      <w:r>
        <w:rPr>
          <w:color w:val="003CA0"/>
          <w:sz w:val="12"/>
        </w:rPr>
        <w:t xml:space="preserve"> | rel. Alexandre de Moraes</w:t>
      </w:r>
    </w:p>
    <w:p>
      <w:pPr>
        <w:ind w:left="288"/>
      </w:pPr>
      <w:r>
        <w:rPr>
          <w:color w:val="1E1E1E"/>
          <w:sz w:val="18"/>
        </w:rPr>
        <w:t>Compete privativamente à União legislar sobre jazidas, minas, outros recursos minerais e metalurgia (art. 22, XII, da CF), em razão do que incorre em inconstitucionalidade norma estadual que, a pretexto de regulamentar licenciamento ambiental, regulamenta aspectos da própria atividade de lavra garimpeira.</w:t>
      </w:r>
    </w:p>
    <w:p>
      <w:pPr>
        <w:ind w:left="288"/>
      </w:pPr>
      <w:r>
        <w:rPr>
          <w:b/>
          <w:color w:val="003CA0"/>
          <w:sz w:val="16"/>
        </w:rPr>
        <w:t>[ADI 6.672, rel. min. Alexandre de Moraes, j. 15-9-2021, Plenário, DJE de 22-9-2021.]</w:t>
      </w:r>
    </w:p>
    <w:p>
      <w:pPr>
        <w:ind w:left="288"/>
      </w:pPr>
      <w:r>
        <w:rPr>
          <w:color w:val="8C8C8C"/>
          <w:sz w:val="12"/>
        </w:rPr>
        <w:t>cf-art-22-inc-XIII</w:t>
      </w:r>
      <w:r>
        <w:rPr>
          <w:color w:val="003CA0"/>
          <w:sz w:val="12"/>
        </w:rPr>
        <w:t xml:space="preserve"> | ADI 4.268</w:t>
      </w:r>
      <w:r>
        <w:rPr>
          <w:color w:val="003CA0"/>
          <w:sz w:val="12"/>
        </w:rPr>
        <w:t xml:space="preserve"> | rel. Nunes Marques</w:t>
      </w:r>
    </w:p>
    <w:p>
      <w:pPr>
        <w:ind w:left="288"/>
      </w:pPr>
      <w:r>
        <w:rPr>
          <w:color w:val="1E1E1E"/>
          <w:sz w:val="18"/>
        </w:rPr>
        <w:t>XIV - populações indígenas; XV - emigração e imigração, entrada, extradição e expulsão de estrangeiros; XVI - organização do sistema nacional de emprego e condições para o exercício de profissões; Compete privativamente à União legislar sobre condições para o exercício das profissões (CF/1988, art. 22, XVI), a impor regulamentação uniforme no território nacional. Uma vez reproduzidas, na norma estadual, disposições constantes dos Decretos federais n. 20.931/1932 e 24.492/1934, consideradas proibições aos optometristas e aos estabelecimentos que comercializam óculos de grau e lentes de contato,</w:t>
      </w:r>
    </w:p>
    <w:p>
      <w:pPr>
        <w:ind w:left="288"/>
      </w:pPr>
      <w:r>
        <w:rPr>
          <w:b/>
          <w:color w:val="003CA0"/>
          <w:sz w:val="16"/>
        </w:rPr>
        <w:t>[ADI 4.268, rel. min. Nunes Marques, j. 25.06.2025, P, DJE de 14.07.2025.]</w:t>
      </w:r>
    </w:p>
    <w:p>
      <w:pPr>
        <w:ind w:left="288"/>
      </w:pPr>
      <w:r>
        <w:rPr>
          <w:color w:val="8C8C8C"/>
          <w:sz w:val="12"/>
        </w:rPr>
        <w:t>cf-art-22-inc-XIII</w:t>
      </w:r>
      <w:r>
        <w:rPr>
          <w:color w:val="003CA0"/>
          <w:sz w:val="12"/>
        </w:rPr>
        <w:t xml:space="preserve"> | ADI 4.399</w:t>
      </w:r>
      <w:r>
        <w:rPr>
          <w:color w:val="003CA0"/>
          <w:sz w:val="12"/>
        </w:rPr>
        <w:t xml:space="preserve"> | rel. Nunes Marques</w:t>
      </w:r>
    </w:p>
    <w:p>
      <w:pPr>
        <w:ind w:left="288"/>
      </w:pPr>
      <w:r>
        <w:rPr>
          <w:color w:val="1E1E1E"/>
          <w:sz w:val="18"/>
        </w:rPr>
        <w:t>As exigências específicas quanto ao registro dos estabelecimentos destinados à prática da educação física perante o respectivo órgão de fiscalização profissional (o CREF, no caso) e à manutenção de responsável técnico (Profissional da Educação Física) em tempo integral não inovam na ordem positiva, mas apenas conferem efetividade à legislação federal sobre o tema (Lei nº 6.839/1980 e 9.696/1998). A supervisão profissional imposta pela legislação federal, contudo, destina-se apenas às academias, clubes desportivos e estabelecimentos congêneres, cujas atividades envolvam, por sua própria naturez</w:t>
      </w:r>
    </w:p>
    <w:p>
      <w:pPr>
        <w:ind w:left="288"/>
      </w:pPr>
      <w:r>
        <w:rPr>
          <w:b/>
          <w:color w:val="003CA0"/>
          <w:sz w:val="16"/>
        </w:rPr>
        <w:t>[ADI 4.399, rel. min. Nunes Marques, red. do ac. min. Flávio Dino, j. 07.04.2025, P, DJE de 13.05.2025.]</w:t>
      </w:r>
    </w:p>
    <w:p>
      <w:pPr>
        <w:ind w:left="288"/>
      </w:pPr>
      <w:r>
        <w:rPr>
          <w:color w:val="8C8C8C"/>
          <w:sz w:val="12"/>
        </w:rPr>
        <w:t>cf-art-22-inc-XIII</w:t>
      </w:r>
      <w:r>
        <w:rPr>
          <w:color w:val="003CA0"/>
          <w:sz w:val="12"/>
        </w:rPr>
        <w:t xml:space="preserve"> | ADI 3.870</w:t>
      </w:r>
      <w:r>
        <w:rPr>
          <w:color w:val="003CA0"/>
          <w:sz w:val="12"/>
        </w:rPr>
        <w:t xml:space="preserve"> | rel. Roberto Barroso</w:t>
      </w:r>
    </w:p>
    <w:p>
      <w:pPr>
        <w:ind w:left="288"/>
      </w:pPr>
      <w:r>
        <w:rPr>
          <w:color w:val="1E1E1E"/>
          <w:sz w:val="18"/>
        </w:rPr>
        <w:t>A Lei Estadual 12.547, de 31 de janeiro de 2007, do Estado de São Paulo, dispensa músicos que participem de shows e espetáculos que se realizem naquele estado da apresentação da Carteira da Ordem dos Músicos do Brasil, além de prever punições para quem exigir o documento. (...) A competência para legislar sobre condições para o exercício de profissões é privativa da União. (...) Não cabe à lei estadual regular as condições para o exercício da profissão de músico, mesmo que a pretexto de garantir a livre atuação dos artistas.</w:t>
      </w:r>
    </w:p>
    <w:p>
      <w:pPr>
        <w:ind w:left="288"/>
      </w:pPr>
      <w:r>
        <w:rPr>
          <w:b/>
          <w:color w:val="003CA0"/>
          <w:sz w:val="16"/>
        </w:rPr>
        <w:t>[ADI 3.870, rel. min. Roberto Barroso, j. 27-9-2019, P, DJE de 24-10-2019.]</w:t>
      </w:r>
    </w:p>
    <w:p>
      <w:pPr>
        <w:ind w:left="288"/>
      </w:pPr>
      <w:r>
        <w:rPr>
          <w:color w:val="8C8C8C"/>
          <w:sz w:val="12"/>
        </w:rPr>
        <w:t>cf-art-22-inc-XIII</w:t>
      </w:r>
      <w:r>
        <w:rPr>
          <w:color w:val="003CA0"/>
          <w:sz w:val="12"/>
        </w:rPr>
        <w:t xml:space="preserve"> | ADI 5.876</w:t>
      </w:r>
      <w:r>
        <w:rPr>
          <w:color w:val="003CA0"/>
          <w:sz w:val="12"/>
        </w:rPr>
        <w:t xml:space="preserve"> | rel. Alexandre de Moraes</w:t>
      </w:r>
    </w:p>
    <w:p>
      <w:pPr>
        <w:ind w:left="288"/>
      </w:pPr>
      <w:r>
        <w:rPr>
          <w:color w:val="1E1E1E"/>
          <w:sz w:val="18"/>
        </w:rPr>
        <w:t>A Lei 17.115/2017 do Estado de Santa Catarina, ao reconhecer a profissão de condutor de ambulância, bem como estabelecer condicionantes ao exercício da atividade de remoção de acidentados e/ou deslocamento de pacientes em ambulâncias, disciplina matéria de competência legislativa privativa da União (CF, art. 22, I e XVI).</w:t>
      </w:r>
    </w:p>
    <w:p>
      <w:pPr>
        <w:ind w:left="288"/>
      </w:pPr>
      <w:r>
        <w:rPr>
          <w:b/>
          <w:color w:val="003CA0"/>
          <w:sz w:val="16"/>
        </w:rPr>
        <w:t>[ADI 5.876, rel. min. Alexandre de Moraes, j. 23-8-2019, P, DJE de 9-9-2019.]</w:t>
      </w:r>
    </w:p>
    <w:p>
      <w:pPr>
        <w:ind w:left="288"/>
      </w:pPr>
      <w:r>
        <w:rPr>
          <w:color w:val="8C8C8C"/>
          <w:sz w:val="12"/>
        </w:rPr>
        <w:t>cf-art-22-inc-XIII</w:t>
      </w:r>
      <w:r>
        <w:rPr>
          <w:color w:val="003CA0"/>
          <w:sz w:val="12"/>
        </w:rPr>
        <w:t xml:space="preserve"> | ADI 4.387</w:t>
      </w:r>
      <w:r>
        <w:rPr>
          <w:color w:val="003CA0"/>
          <w:sz w:val="12"/>
        </w:rPr>
        <w:t xml:space="preserve"> | rel. Dias Toffoli</w:t>
      </w:r>
    </w:p>
    <w:p>
      <w:pPr>
        <w:ind w:left="288"/>
      </w:pPr>
      <w:r>
        <w:rPr>
          <w:color w:val="1E1E1E"/>
          <w:sz w:val="18"/>
        </w:rPr>
        <w:t xml:space="preserve">Lei 8.107, de 27-10-1992, e Decretos 37.420 e 37.421, todos do Estado de São Paulo. Regulamentação da atividade de despachante perante os órgãos da administração pública estadual. (...) A norma de que trata o art. 5º, XIII, da Carta Magna, que assegura ser "livre o exercício de qualquer trabalho, ofício ou profissão, atendidas as qualificações profissionais que a lei estabelecer", deve ter caráter nacional, não se admitindo que haja diferenças entre os entes federados quanto aos requisitos ou condições para o exercício de atividade profissional. O Estado de São Paulo, conforme se verifica nos </w:t>
      </w:r>
    </w:p>
    <w:p>
      <w:pPr>
        <w:ind w:left="288"/>
      </w:pPr>
      <w:r>
        <w:rPr>
          <w:b/>
          <w:color w:val="003CA0"/>
          <w:sz w:val="16"/>
        </w:rPr>
        <w:t>[ADI 4.387, rel. min. Dias Toffoli, j. 4-9-2014, P, DJE de 10-10-2014.]</w:t>
      </w:r>
    </w:p>
    <w:p>
      <w:pPr>
        <w:ind w:left="288"/>
      </w:pPr>
      <w:r>
        <w:rPr>
          <w:color w:val="8C8C8C"/>
          <w:sz w:val="12"/>
        </w:rPr>
        <w:t>cf-art-22-inc-XIII</w:t>
      </w:r>
      <w:r>
        <w:rPr>
          <w:color w:val="003CA0"/>
          <w:sz w:val="12"/>
        </w:rPr>
        <w:t xml:space="preserve"> | ADI 3.610</w:t>
      </w:r>
      <w:r>
        <w:rPr>
          <w:color w:val="003CA0"/>
          <w:sz w:val="12"/>
        </w:rPr>
        <w:t xml:space="preserve"> | rel. Cezar Peluso</w:t>
      </w:r>
    </w:p>
    <w:p>
      <w:pPr>
        <w:ind w:left="288"/>
      </w:pPr>
      <w:r>
        <w:rPr>
          <w:color w:val="1E1E1E"/>
          <w:sz w:val="18"/>
        </w:rPr>
        <w:t>Profissão de motoboy. Regulamentação. Inadmissibilidade. (...) Competências exclusivas da União. (...) É inconstitucional a lei distrital ou estadual que disponha sobre condições do exercício ou criação de profissão, sobretudo quando essa diga à segurança de trânsito.</w:t>
      </w:r>
    </w:p>
    <w:p>
      <w:pPr>
        <w:ind w:left="288"/>
      </w:pPr>
      <w:r>
        <w:rPr>
          <w:b/>
          <w:color w:val="003CA0"/>
          <w:sz w:val="16"/>
        </w:rPr>
        <w:t>[ADI 3.610, rel. min. Cezar Peluso, j. 1º-8-2011, P, DJE de 22-9-2011.]</w:t>
      </w:r>
    </w:p>
    <w:p>
      <w:pPr>
        <w:ind w:left="288"/>
      </w:pPr>
      <w:r>
        <w:rPr>
          <w:color w:val="8C8C8C"/>
          <w:sz w:val="12"/>
        </w:rPr>
        <w:t>cf-art-22-inc-XIII</w:t>
      </w:r>
      <w:r>
        <w:rPr>
          <w:color w:val="003CA0"/>
          <w:sz w:val="12"/>
        </w:rPr>
        <w:t xml:space="preserve"> | ADI 3.679</w:t>
      </w:r>
      <w:r>
        <w:rPr>
          <w:color w:val="003CA0"/>
          <w:sz w:val="12"/>
        </w:rPr>
        <w:t xml:space="preserve"> | rel. Sepúlveda Pertence</w:t>
      </w:r>
    </w:p>
    <w:p>
      <w:pPr>
        <w:ind w:left="288"/>
      </w:pPr>
      <w:r>
        <w:rPr>
          <w:color w:val="1E1E1E"/>
          <w:sz w:val="18"/>
        </w:rPr>
        <w:t>Vide ADI 3.679, rel. min. Sepúlveda Pertence, j. 18-6-2007, P, DJ de 3-8-2007 Lei distrital 3.136/2003, que "disciplina a atividade de transporte de bagagens nos terminais rodoviários do Distrito Federal". (...) Quanto à violação ao art. 22, XVI, da CF, na linha dos precedentes do STF, verifica-se a inconstitucionalidade formal dos arts. 2º e 8º do diploma impugnado por versarem sobre condições para o exercício da profissão.</w:t>
      </w:r>
    </w:p>
    <w:p>
      <w:pPr>
        <w:ind w:left="288"/>
      </w:pPr>
      <w:r>
        <w:rPr>
          <w:b/>
          <w:color w:val="003CA0"/>
          <w:sz w:val="16"/>
        </w:rPr>
        <w:t>[ADI 3.587, rel. min. Gilmar Mendes, j. 12-12-2007, P, DJE de 22-2-2008.]</w:t>
      </w:r>
    </w:p>
    <w:p>
      <w:pPr>
        <w:ind w:left="288"/>
      </w:pPr>
      <w:r>
        <w:rPr>
          <w:color w:val="8C8C8C"/>
          <w:sz w:val="12"/>
        </w:rPr>
        <w:t>cf-art-22-inc-XIII</w:t>
      </w:r>
      <w:r>
        <w:rPr>
          <w:color w:val="003CA0"/>
          <w:sz w:val="12"/>
        </w:rPr>
        <w:t xml:space="preserve"> | ARE 1.482.123</w:t>
      </w:r>
      <w:r>
        <w:rPr>
          <w:color w:val="003CA0"/>
          <w:sz w:val="12"/>
        </w:rPr>
        <w:t xml:space="preserve"> | rel. Luiz Fux</w:t>
      </w:r>
    </w:p>
    <w:p>
      <w:pPr>
        <w:ind w:left="288"/>
      </w:pPr>
      <w:r>
        <w:rPr>
          <w:color w:val="1E1E1E"/>
          <w:sz w:val="18"/>
        </w:rPr>
        <w:t>Usurpação da competência privativa da União, prevista no artigo 22, inciso XVI, da Constituição da República, por norma local (estadual, distrital ou municipal) que impõe condições ou restringe o exercício de determinada profissão.</w:t>
      </w:r>
    </w:p>
    <w:p>
      <w:pPr>
        <w:ind w:left="288"/>
      </w:pPr>
      <w:r>
        <w:rPr>
          <w:b/>
          <w:color w:val="003CA0"/>
          <w:sz w:val="16"/>
        </w:rPr>
        <w:t>[ARE 1.482.123 RG, rel. min. Luiz Fux, j. 13.06.2025, P, DJE de 23.06.2025, Tema 1.406, com mérito pendente.]</w:t>
      </w:r>
    </w:p>
    <w:p>
      <w:pPr>
        <w:ind w:left="144"/>
      </w:pPr>
      <w:r>
        <w:rPr>
          <w:b/>
          <w:color w:val="B45A00"/>
          <w:sz w:val="16"/>
        </w:rPr>
        <w:t>JULGADOS CORRELATOS</w:t>
      </w:r>
    </w:p>
    <w:p>
      <w:pPr>
        <w:ind w:left="288"/>
      </w:pPr>
      <w:r>
        <w:rPr>
          <w:color w:val="8C8C8C"/>
          <w:sz w:val="12"/>
        </w:rPr>
        <w:t>cf-art-22-inc-XIII</w:t>
      </w:r>
      <w:r>
        <w:rPr>
          <w:color w:val="003CA0"/>
          <w:sz w:val="12"/>
        </w:rPr>
        <w:t xml:space="preserve"> | ARE 758.227</w:t>
      </w:r>
      <w:r>
        <w:rPr>
          <w:color w:val="003CA0"/>
          <w:sz w:val="12"/>
        </w:rPr>
        <w:t xml:space="preserve"> | rel. Cármen Lúcia</w:t>
      </w:r>
    </w:p>
    <w:p>
      <w:pPr>
        <w:ind w:left="288"/>
      </w:pPr>
      <w:r>
        <w:rPr>
          <w:color w:val="1E1E1E"/>
          <w:sz w:val="18"/>
        </w:rPr>
        <w:t>Profissionais fisioterapeutas e terapeutas ocupacionais. Carga horária. Lei 8.856/1994. Competência privativa da União para legislar sobre condições de trabalho.</w:t>
      </w:r>
    </w:p>
    <w:p>
      <w:pPr>
        <w:ind w:left="288"/>
      </w:pPr>
      <w:r>
        <w:rPr>
          <w:b/>
          <w:color w:val="003CA0"/>
          <w:sz w:val="16"/>
        </w:rPr>
        <w:t>[ARE 758.227 AgR, rel. min. Cármen Lúcia, j. 29-10-2013, 2ª T, DJE de 4-11-2013.]</w:t>
      </w:r>
    </w:p>
    <w:p>
      <w:pPr>
        <w:ind w:left="288"/>
      </w:pPr>
      <w:r>
        <w:rPr>
          <w:color w:val="8C8C8C"/>
          <w:sz w:val="12"/>
        </w:rPr>
        <w:t>cf-art-22-inc-XIII</w:t>
      </w:r>
      <w:r>
        <w:rPr>
          <w:color w:val="003CA0"/>
          <w:sz w:val="12"/>
        </w:rPr>
        <w:t xml:space="preserve"> | RCL 5.096</w:t>
      </w:r>
      <w:r>
        <w:rPr>
          <w:color w:val="003CA0"/>
          <w:sz w:val="12"/>
        </w:rPr>
        <w:t xml:space="preserve"> | rel. Marco Aurélio</w:t>
      </w:r>
    </w:p>
    <w:p>
      <w:pPr>
        <w:ind w:left="288"/>
      </w:pPr>
      <w:r>
        <w:rPr>
          <w:color w:val="1E1E1E"/>
          <w:sz w:val="18"/>
        </w:rPr>
        <w:t>O conflito de lei estadual disciplinadora da atribuição normativa para legislar sobre exercício profissional resolve-se considerada a CF, pouco importando articulação, na inicial, de ofensa à Carta do Estado no que revela princípios gerais – de competir à unidade da Federação normatizar o que não lhe seja vedado e respeitar a atuação municipal.</w:t>
      </w:r>
    </w:p>
    <w:p>
      <w:pPr>
        <w:ind w:left="288"/>
      </w:pPr>
      <w:r>
        <w:rPr>
          <w:b/>
          <w:color w:val="003CA0"/>
          <w:sz w:val="16"/>
        </w:rPr>
        <w:t>[Rcl 5.096, rel. min. Marco Aurélio, j. 20-5-2009, P, DJE de 19-6-2009.]</w:t>
      </w:r>
    </w:p>
    <w:p>
      <w:pPr>
        <w:ind w:left="288"/>
      </w:pPr>
      <w:r>
        <w:rPr>
          <w:color w:val="8C8C8C"/>
          <w:sz w:val="12"/>
        </w:rPr>
        <w:t>cf-art-22-inc-XIII</w:t>
      </w:r>
    </w:p>
    <w:p>
      <w:pPr>
        <w:ind w:left="288"/>
      </w:pPr>
      <w:r>
        <w:rPr>
          <w:color w:val="1E1E1E"/>
          <w:sz w:val="18"/>
        </w:rPr>
        <w:t>XVII - organização judiciária, do Ministério Público do Distrito Federal e dos Territórios e da Defensoria Pública dos Territórios, bem como organização administrativa destes; (Redação da EC 69/2012) (Vide EC 69/2012) XVIII - sistema estatístico, sistema cartográfico e de geologia nacionais;</w:t>
      </w:r>
    </w:p>
    <w:p>
      <w:pPr>
        <w:ind w:left="144"/>
      </w:pPr>
      <w:r>
        <w:rPr>
          <w:b/>
          <w:color w:val="B45A00"/>
          <w:sz w:val="16"/>
        </w:rPr>
        <w:t>CONTROLE CONCENTRADO</w:t>
      </w:r>
    </w:p>
    <w:p>
      <w:pPr>
        <w:ind w:left="288"/>
      </w:pPr>
      <w:r>
        <w:rPr>
          <w:color w:val="8C8C8C"/>
          <w:sz w:val="12"/>
        </w:rPr>
        <w:t>cf-art-22-inc-XIII</w:t>
      </w:r>
      <w:r>
        <w:rPr>
          <w:color w:val="003CA0"/>
          <w:sz w:val="12"/>
        </w:rPr>
        <w:t xml:space="preserve"> | ADI 158</w:t>
      </w:r>
      <w:r>
        <w:rPr>
          <w:color w:val="003CA0"/>
          <w:sz w:val="12"/>
        </w:rPr>
        <w:t xml:space="preserve"> | rel. Celso de Mello</w:t>
      </w:r>
    </w:p>
    <w:p>
      <w:pPr>
        <w:ind w:left="288"/>
      </w:pPr>
      <w:r>
        <w:rPr>
          <w:color w:val="1E1E1E"/>
          <w:sz w:val="18"/>
        </w:rPr>
        <w:t>Os Estados-membros e o Distrito Federal não dispõem de competência para legislar sobre horário de verão, eis que falece a qualquer ente federado competência legislativa para dispor sobre o seu próprio horário, considerada a dimensão nacional que qualifica essa particular atribuição que a Constituição da República outorgou, em regime de exclusividade, à União Federal, sob pena de entendimento em sentido contrário gerar a possibilidade anárquica de o Brasil vir a submeter-se a tantas horas oficiais quantas forem as unidades da Federação.</w:t>
        <w:br/>
        <w:t>[ADI 158, rel. min. Celso de Mello, j. 1º-8-2018, P, DJE d</w:t>
      </w:r>
    </w:p>
    <w:p>
      <w:pPr>
        <w:ind w:left="144"/>
      </w:pPr>
      <w:r>
        <w:rPr>
          <w:b/>
          <w:color w:val="B45A00"/>
          <w:sz w:val="16"/>
        </w:rPr>
        <w:t>SUMULA VINCULANTE</w:t>
      </w:r>
    </w:p>
    <w:p>
      <w:pPr>
        <w:ind w:left="288"/>
      </w:pPr>
      <w:r>
        <w:rPr>
          <w:color w:val="8C8C8C"/>
          <w:sz w:val="12"/>
        </w:rPr>
        <w:t>cf-art-22-inc-XX</w:t>
      </w:r>
    </w:p>
    <w:p>
      <w:pPr>
        <w:ind w:left="288"/>
      </w:pPr>
      <w:r>
        <w:rPr>
          <w:color w:val="1E1E1E"/>
          <w:sz w:val="18"/>
        </w:rPr>
        <w:t>É inconstitucional a lei ou ato normativo estadual ou distrital que disponha sobre sistemas de consórcios e sorteios, inclusive bingos e loterias.</w:t>
      </w:r>
    </w:p>
    <w:p>
      <w:pPr>
        <w:ind w:left="288"/>
      </w:pPr>
      <w:r>
        <w:rPr>
          <w:b/>
          <w:color w:val="003CA0"/>
          <w:sz w:val="16"/>
        </w:rPr>
        <w:t>[Súmula Vinculante 2.]</w:t>
      </w:r>
    </w:p>
    <w:p>
      <w:pPr>
        <w:ind w:left="288"/>
      </w:pPr>
      <w:r>
        <w:rPr>
          <w:color w:val="8C8C8C"/>
          <w:sz w:val="12"/>
        </w:rPr>
        <w:t>cf-art-22-inc-XX</w:t>
      </w:r>
      <w:r>
        <w:rPr>
          <w:color w:val="003CA0"/>
          <w:sz w:val="12"/>
        </w:rPr>
        <w:t xml:space="preserve"> | ADI 7.640</w:t>
      </w:r>
      <w:r>
        <w:rPr>
          <w:color w:val="003CA0"/>
          <w:sz w:val="12"/>
        </w:rPr>
        <w:t xml:space="preserve"> | rel. Luiz Fux</w:t>
      </w:r>
    </w:p>
    <w:p>
      <w:pPr>
        <w:ind w:left="288"/>
      </w:pPr>
      <w:r>
        <w:rPr>
          <w:color w:val="1E1E1E"/>
          <w:sz w:val="18"/>
        </w:rPr>
        <w:t>A União, no exercício de sua competência legislativa privativa sobre o serviço de loterias, não pode instituir tratamento diferenciado entre os entes federativos, privilegiando determinados Estados em detrimento de outros ou privilegiando a si própria em detrimento dos Estados-membros, mediante a obstaculização do exercício de competências materiais franqueadas aos Estados pela Constituição. (...) À luz dos princípios da livre iniciativa e da livre concorrência, fundamentos da ordem econômica constitucional, o exercício de atividades econômicas por particulares deve ser protegido da coerção ar</w:t>
      </w:r>
    </w:p>
    <w:p>
      <w:pPr>
        <w:ind w:left="288"/>
      </w:pPr>
      <w:r>
        <w:rPr>
          <w:b/>
          <w:color w:val="003CA0"/>
          <w:sz w:val="16"/>
        </w:rPr>
        <w:t>[ADI 7.640, rel. min. Luiz Fux, j. 15.09.2025, P, DJE de 12.11.2025.]</w:t>
      </w:r>
    </w:p>
    <w:p>
      <w:pPr>
        <w:ind w:left="144"/>
      </w:pPr>
      <w:r>
        <w:rPr>
          <w:b/>
          <w:color w:val="B45A00"/>
          <w:sz w:val="16"/>
        </w:rPr>
        <w:t>CONTROLE CONCENTRADO</w:t>
      </w:r>
    </w:p>
    <w:p>
      <w:pPr>
        <w:ind w:left="288"/>
      </w:pPr>
      <w:r>
        <w:rPr>
          <w:color w:val="8C8C8C"/>
          <w:sz w:val="12"/>
        </w:rPr>
        <w:t>cf-art-22-inc-XX</w:t>
      </w:r>
      <w:r>
        <w:rPr>
          <w:color w:val="003CA0"/>
          <w:sz w:val="12"/>
        </w:rPr>
        <w:t xml:space="preserve"> | ADPF 492</w:t>
      </w:r>
    </w:p>
    <w:p>
      <w:pPr>
        <w:ind w:left="288"/>
      </w:pPr>
      <w:r>
        <w:rPr>
          <w:color w:val="1E1E1E"/>
          <w:sz w:val="18"/>
        </w:rPr>
        <w:t>Arguições de Descumprimento de Preceito Fundamental. Ação Direta de Inconstitucionalidade. Artigos 1º, caput, e 32, caput, e § 1º do Decreto-Lei 204/1967. Exploração de loterias por Estados-membros. Legislação estadual. Competência legislativa da União e competência material dos Estados. Distinção. Exploração por outros entes federados. Possibilidade. Arguições de Descumprimento de Preceito Fundamental conhecidas e julgadas procedentes. Ação Direta de Inconstitucionalidade conhecida e julgada improcedente.</w:t>
      </w:r>
    </w:p>
    <w:p>
      <w:pPr>
        <w:ind w:left="288"/>
      </w:pPr>
      <w:r>
        <w:rPr>
          <w:b/>
          <w:color w:val="003CA0"/>
          <w:sz w:val="16"/>
        </w:rPr>
        <w:t>[ADPF 492, ADPF 493 e ADI 4.986, rel. Gilmar Mendes, j. 30-9-2020, P, DJE de 15-12-2020]</w:t>
      </w:r>
    </w:p>
    <w:p>
      <w:pPr>
        <w:ind w:left="288"/>
      </w:pPr>
      <w:r>
        <w:rPr>
          <w:color w:val="8C8C8C"/>
          <w:sz w:val="12"/>
        </w:rPr>
        <w:t>cf-art-22-inc-XX</w:t>
      </w:r>
      <w:r>
        <w:rPr>
          <w:color w:val="003CA0"/>
          <w:sz w:val="12"/>
        </w:rPr>
        <w:t xml:space="preserve"> | ADI 2.995</w:t>
      </w:r>
      <w:r>
        <w:rPr>
          <w:color w:val="003CA0"/>
          <w:sz w:val="12"/>
        </w:rPr>
        <w:t xml:space="preserve"> | rel. Celso de Mello</w:t>
      </w:r>
    </w:p>
    <w:p>
      <w:pPr>
        <w:ind w:left="288"/>
      </w:pPr>
      <w:r>
        <w:rPr>
          <w:color w:val="1E1E1E"/>
          <w:sz w:val="18"/>
        </w:rPr>
        <w:t>A usurpação, pelo Estado-membro, da competência para legislar sobre sistemas de sorteios – que representa matéria constitucionalmente reservada, em caráter de absoluta privatividade, à União Federal – traduz vício jurídico que faz instaurar situação de inconstitucionalidade formal, apta a infirmar, de modo radical, a própria integridade do ato legislativo daí resultante.</w:t>
      </w:r>
    </w:p>
    <w:p>
      <w:pPr>
        <w:ind w:left="288"/>
      </w:pPr>
      <w:r>
        <w:rPr>
          <w:b/>
          <w:color w:val="003CA0"/>
          <w:sz w:val="16"/>
        </w:rPr>
        <w:t>[ADI 2.995, rel. min. Celso de Mello, j. 13-12-2006, P, DJ de 28-9-2007.]</w:t>
      </w:r>
    </w:p>
    <w:p>
      <w:pPr>
        <w:ind w:left="288"/>
      </w:pPr>
      <w:r>
        <w:rPr>
          <w:color w:val="8C8C8C"/>
          <w:sz w:val="12"/>
        </w:rPr>
        <w:t>cf-art-22-inc-XX</w:t>
      </w:r>
      <w:r>
        <w:rPr>
          <w:color w:val="003CA0"/>
          <w:sz w:val="12"/>
        </w:rPr>
        <w:t xml:space="preserve"> | ADI 179</w:t>
      </w:r>
      <w:r>
        <w:rPr>
          <w:color w:val="003CA0"/>
          <w:sz w:val="12"/>
        </w:rPr>
        <w:t xml:space="preserve"> | rel. Dias Toffoli</w:t>
      </w:r>
    </w:p>
    <w:p>
      <w:pPr>
        <w:ind w:left="288"/>
      </w:pPr>
      <w:r>
        <w:rPr>
          <w:color w:val="1E1E1E"/>
          <w:sz w:val="18"/>
        </w:rPr>
        <w:t>= ADI 179, rel. min. Dias Toffoli, j. 19-2-2014, P, DJE de 28-3-2014 Exploração de serviços lotéricos pelos estados. Flexibilização de limites territoriais em edital. Impossibilidade. (...) A flexibilização dos critérios de territorialidade fragiliza a fiscalização e o controle da atividade lotérica, com potenciais prejuízos, entre outros, ao pacto federativo.</w:t>
      </w:r>
    </w:p>
    <w:p>
      <w:pPr>
        <w:ind w:left="288"/>
      </w:pPr>
      <w:r>
        <w:rPr>
          <w:b/>
          <w:color w:val="003CA0"/>
          <w:sz w:val="16"/>
        </w:rPr>
        <w:t>[ACO 3.696 MC-REF, rel. min. André Mendonça, j. 24.02.2025, P, DJE de 13.03.2025.]</w:t>
      </w:r>
    </w:p>
    <w:p>
      <w:pPr>
        <w:ind w:left="288"/>
      </w:pPr>
      <w:r>
        <w:rPr>
          <w:color w:val="8C8C8C"/>
          <w:sz w:val="12"/>
        </w:rPr>
        <w:t>cf-art-22-inc-XX</w:t>
      </w:r>
      <w:r>
        <w:rPr>
          <w:color w:val="003CA0"/>
          <w:sz w:val="12"/>
        </w:rPr>
        <w:t xml:space="preserve"> | ADI 7.546</w:t>
      </w:r>
      <w:r>
        <w:rPr>
          <w:color w:val="003CA0"/>
          <w:sz w:val="12"/>
        </w:rPr>
        <w:t xml:space="preserve"> | rel. Nunes Marques</w:t>
      </w:r>
    </w:p>
    <w:p>
      <w:pPr>
        <w:ind w:left="288"/>
      </w:pPr>
      <w:r>
        <w:rPr>
          <w:color w:val="1E1E1E"/>
          <w:sz w:val="18"/>
        </w:rPr>
        <w:t>XXI - normas gerais de organização, efetivos, material bélico, garantias, convocação, mobilização, inatividades e pensões das polícias militares e dos corpos de bombeiros militares; (Redação da EC 103/2019) Compete privativamente à União legislar sobre defesa civil e editar normas gerais sobre a organização dos corpos de bombeiros militares (CF/1988, art. 22, XXI e XXVIII), bem como estabelecer diretrizes para o desenvolvimento urbano e normas gerais de direito urbanístico (CF/1988, arts. 21, XX, e 24, I e § 1º). A Lei n. 13.425/2017, editada pela União, estabelece diretrizes gerais sobre medi</w:t>
      </w:r>
    </w:p>
    <w:p>
      <w:pPr>
        <w:ind w:left="288"/>
      </w:pPr>
      <w:r>
        <w:rPr>
          <w:b/>
          <w:color w:val="003CA0"/>
          <w:sz w:val="16"/>
        </w:rPr>
        <w:t>[ADI 7.546, rel. min. Nunes Marques, j.18-2-2026, P, DJE de 2-3-2026.]</w:t>
      </w:r>
    </w:p>
    <w:p>
      <w:pPr>
        <w:ind w:left="288"/>
      </w:pPr>
      <w:r>
        <w:rPr>
          <w:color w:val="8C8C8C"/>
          <w:sz w:val="12"/>
        </w:rPr>
        <w:t>cf-art-22-inc-XX</w:t>
      </w:r>
      <w:r>
        <w:rPr>
          <w:color w:val="003CA0"/>
          <w:sz w:val="12"/>
        </w:rPr>
        <w:t xml:space="preserve"> | RE 1.338.750</w:t>
      </w:r>
      <w:r>
        <w:rPr>
          <w:color w:val="003CA0"/>
          <w:sz w:val="12"/>
        </w:rPr>
        <w:t xml:space="preserve"> | rel. Alexandre de Moraes</w:t>
      </w:r>
    </w:p>
    <w:p>
      <w:pPr>
        <w:ind w:left="288"/>
      </w:pPr>
      <w:r>
        <w:rPr>
          <w:color w:val="1E1E1E"/>
          <w:sz w:val="18"/>
        </w:rPr>
        <w:t>A repristinação de alíquotas previstas em legislação subnacional atinente ao regime previdenciário de militares estaduais, por força do julgamento do RE 1.338.750-RG, não viola a Constituição.</w:t>
      </w:r>
    </w:p>
    <w:p>
      <w:pPr>
        <w:ind w:left="288"/>
      </w:pPr>
      <w:r>
        <w:rPr>
          <w:b/>
          <w:color w:val="003CA0"/>
          <w:sz w:val="16"/>
        </w:rPr>
        <w:t>[ADPF 1.184, rel. min. Alexandre de Moraes, j. 17.03.2025, P, DJE de 21.03.2025.]</w:t>
      </w:r>
    </w:p>
    <w:p>
      <w:pPr>
        <w:ind w:left="288"/>
      </w:pPr>
      <w:r>
        <w:rPr>
          <w:color w:val="8C8C8C"/>
          <w:sz w:val="12"/>
        </w:rPr>
        <w:t>cf-art-22-inc-XX</w:t>
      </w:r>
      <w:r>
        <w:rPr>
          <w:color w:val="003CA0"/>
          <w:sz w:val="12"/>
        </w:rPr>
        <w:t xml:space="preserve"> | ADI 4.059</w:t>
      </w:r>
      <w:r>
        <w:rPr>
          <w:color w:val="003CA0"/>
          <w:sz w:val="12"/>
        </w:rPr>
        <w:t xml:space="preserve"> | rel. Nunes Marques</w:t>
      </w:r>
    </w:p>
    <w:p>
      <w:pPr>
        <w:ind w:left="288"/>
      </w:pPr>
      <w:r>
        <w:rPr>
          <w:color w:val="1E1E1E"/>
          <w:sz w:val="18"/>
        </w:rPr>
        <w:t>Há compatibilidade entre as disposições da norma estadual impugnada e da Lei Federal nº 10.029/2000, revelando a ausência de violação às competências constitucionais atribuídas à União pelo art. 22, XXI, da Constituição Federal e concretizando a regulamentação de um serviço auxiliar de guarda de imóveis estaduais e de quartéis da corporação, conforme autorizado pela legislação federal, restando, contudo, vedada a atribuição de competências típicas das polícias militares ou das polícias penais.</w:t>
      </w:r>
    </w:p>
    <w:p>
      <w:pPr>
        <w:ind w:left="288"/>
      </w:pPr>
      <w:r>
        <w:rPr>
          <w:b/>
          <w:color w:val="003CA0"/>
          <w:sz w:val="16"/>
        </w:rPr>
        <w:t>[ADI 4.059, rel. min. Nunes Marques, red. do ac. Flávio Dino, j. 04.02.2025, P, DJE de 28.03.2025.]</w:t>
      </w:r>
    </w:p>
    <w:p>
      <w:pPr>
        <w:ind w:left="288"/>
      </w:pPr>
      <w:r>
        <w:rPr>
          <w:color w:val="8C8C8C"/>
          <w:sz w:val="12"/>
        </w:rPr>
        <w:t>cf-art-22-inc-XX</w:t>
      </w:r>
      <w:r>
        <w:rPr>
          <w:color w:val="003CA0"/>
          <w:sz w:val="12"/>
        </w:rPr>
        <w:t xml:space="preserve"> | ADI 3.608</w:t>
      </w:r>
      <w:r>
        <w:rPr>
          <w:color w:val="003CA0"/>
          <w:sz w:val="12"/>
        </w:rPr>
        <w:t xml:space="preserve"> | rel. Nunes Marques</w:t>
      </w:r>
    </w:p>
    <w:p>
      <w:pPr>
        <w:ind w:left="288"/>
      </w:pPr>
      <w:r>
        <w:rPr>
          <w:color w:val="1E1E1E"/>
          <w:sz w:val="18"/>
        </w:rPr>
        <w:t>Compete privativamente à União legislar sobre normas gerais de organização, efetivos e convocação das polícias militares e dos corpos de bombeiros militares (CF, art. 22, XXI). Essa previsão não exclui aquela do art. 144, § 6º, segundo a qual as polícias militares e os corpos de bombeiros militares são forças auxiliares e reserva do Exército, subordinando-se aos Governadores dos Estados, do Distrito Federal e dos Territórios. (...) O prazo de duração consiste em elemento essencial do serviço voluntário, a ser disciplinado pelos Estados-membros nos termos estabelecidos pela norma geral da União</w:t>
      </w:r>
    </w:p>
    <w:p>
      <w:pPr>
        <w:ind w:left="288"/>
      </w:pPr>
      <w:r>
        <w:rPr>
          <w:b/>
          <w:color w:val="003CA0"/>
          <w:sz w:val="16"/>
        </w:rPr>
        <w:t>[ADI 6.917, rel. min. Alexandre de Moraes, j. 21-3-2022, P, DJE de 29-3-2022.]</w:t>
      </w:r>
    </w:p>
    <w:p>
      <w:pPr>
        <w:ind w:left="288"/>
      </w:pPr>
      <w:r>
        <w:rPr>
          <w:color w:val="8C8C8C"/>
          <w:sz w:val="12"/>
        </w:rPr>
        <w:t>cf-art-22-inc-XX</w:t>
      </w:r>
      <w:r>
        <w:rPr>
          <w:color w:val="003CA0"/>
          <w:sz w:val="12"/>
        </w:rPr>
        <w:t xml:space="preserve"> | ADI 5.359</w:t>
      </w:r>
      <w:r>
        <w:rPr>
          <w:color w:val="003CA0"/>
          <w:sz w:val="12"/>
        </w:rPr>
        <w:t xml:space="preserve"> | rel. Edson Fachin</w:t>
      </w:r>
    </w:p>
    <w:p>
      <w:pPr>
        <w:ind w:left="288"/>
      </w:pPr>
      <w:r>
        <w:rPr>
          <w:color w:val="1E1E1E"/>
          <w:sz w:val="18"/>
        </w:rPr>
        <w:t>O Estatuto do Desarmamento é norma federal e, de forma nítida, afastou a possibilidade do exercício das competências complementares e suplementares dos Estados e Municípios para autorizar porte de arma de fogo, ainda que a pretexto de regular carreiras ou de dispor sobre segurança pública, seja para garanti-lo aos inativos da carreira dos agentes penitenciários, seja para estendê-lo à dos agentes do sistema socioeducativo.</w:t>
      </w:r>
    </w:p>
    <w:p>
      <w:pPr>
        <w:ind w:left="288"/>
      </w:pPr>
      <w:r>
        <w:rPr>
          <w:b/>
          <w:color w:val="003CA0"/>
          <w:sz w:val="16"/>
        </w:rPr>
        <w:t>[ADI 5.359, rel. min. Edson Fachin, j. 1º-3-2021, P, DJE de 6-5-2021.]</w:t>
      </w:r>
    </w:p>
    <w:p>
      <w:pPr>
        <w:ind w:left="288"/>
      </w:pPr>
      <w:r>
        <w:rPr>
          <w:color w:val="8C8C8C"/>
          <w:sz w:val="12"/>
        </w:rPr>
        <w:t>cf-art-22-inc-XX</w:t>
      </w:r>
      <w:r>
        <w:rPr>
          <w:color w:val="003CA0"/>
          <w:sz w:val="12"/>
        </w:rPr>
        <w:t xml:space="preserve"> | ADI 4.173</w:t>
      </w:r>
      <w:r>
        <w:rPr>
          <w:color w:val="003CA0"/>
          <w:sz w:val="12"/>
        </w:rPr>
        <w:t xml:space="preserve"> | rel. Alexandre de Moraes</w:t>
      </w:r>
    </w:p>
    <w:p>
      <w:pPr>
        <w:ind w:left="288"/>
      </w:pPr>
      <w:r>
        <w:rPr>
          <w:color w:val="1E1E1E"/>
          <w:sz w:val="18"/>
        </w:rPr>
        <w:t>A Lei Federal 10.029/2000, que estabeleceu os parâmetros de organização de serviços voluntários nas Polícias Militares e nos Corpos de Bombeiros Militares, possui caráter nacional e foi editada dentro dos limites da competência da União (arts. 22, XXI, e 144, § 7º, da CF).</w:t>
      </w:r>
    </w:p>
    <w:p>
      <w:pPr>
        <w:ind w:left="288"/>
      </w:pPr>
      <w:r>
        <w:rPr>
          <w:b/>
          <w:color w:val="003CA0"/>
          <w:sz w:val="16"/>
        </w:rPr>
        <w:t>[ADI 4.173, rel. min. Alexandre de Moraes, j. 19-12-2018, P, DJE de 25-2-2019.]</w:t>
      </w:r>
    </w:p>
    <w:p>
      <w:pPr>
        <w:ind w:left="288"/>
      </w:pPr>
      <w:r>
        <w:rPr>
          <w:color w:val="8C8C8C"/>
          <w:sz w:val="12"/>
        </w:rPr>
        <w:t>cf-art-22-inc-XX</w:t>
      </w:r>
      <w:r>
        <w:rPr>
          <w:color w:val="003CA0"/>
          <w:sz w:val="12"/>
        </w:rPr>
        <w:t xml:space="preserve"> | ADI 1.045</w:t>
      </w:r>
      <w:r>
        <w:rPr>
          <w:color w:val="003CA0"/>
          <w:sz w:val="12"/>
        </w:rPr>
        <w:t xml:space="preserve"> | rel. Marco Aurélio</w:t>
      </w:r>
    </w:p>
    <w:p>
      <w:pPr>
        <w:ind w:left="288"/>
      </w:pPr>
      <w:r>
        <w:rPr>
          <w:color w:val="1E1E1E"/>
          <w:sz w:val="18"/>
        </w:rPr>
        <w:t>Cumpre à União organizar e manter a Polícia Militar e o Corpo de Bombeiros Militar do Distrito Federal, surgindo a inconstitucionalidade de diploma local versando a matéria.</w:t>
      </w:r>
    </w:p>
    <w:p>
      <w:pPr>
        <w:ind w:left="288"/>
      </w:pPr>
      <w:r>
        <w:rPr>
          <w:b/>
          <w:color w:val="003CA0"/>
          <w:sz w:val="16"/>
        </w:rPr>
        <w:t>[ADI 1.045, rel. min. Marco Aurélio, j. 15-4-2009, P, DJE de 12-6-2009.]</w:t>
      </w:r>
    </w:p>
    <w:p>
      <w:pPr>
        <w:ind w:left="288"/>
      </w:pPr>
      <w:r>
        <w:rPr>
          <w:color w:val="8C8C8C"/>
          <w:sz w:val="12"/>
        </w:rPr>
        <w:t>cf-art-22-inc-XX</w:t>
      </w:r>
      <w:r>
        <w:rPr>
          <w:color w:val="003CA0"/>
          <w:sz w:val="12"/>
        </w:rPr>
        <w:t xml:space="preserve"> | RE 648.946</w:t>
      </w:r>
      <w:r>
        <w:rPr>
          <w:color w:val="003CA0"/>
          <w:sz w:val="12"/>
        </w:rPr>
        <w:t xml:space="preserve"> | rel. Cármen Lúcia</w:t>
      </w:r>
    </w:p>
    <w:p>
      <w:pPr>
        <w:ind w:left="288"/>
      </w:pPr>
      <w:r>
        <w:rPr>
          <w:color w:val="1E1E1E"/>
          <w:sz w:val="18"/>
        </w:rPr>
        <w:t>= RE 648.946 AgR, rel. min. Cármen Lúcia, j. 25-9-2012, 2ª T, DJE de 19-10-2012 A regulamentação das promoções dos policiais militares é tratada em leis que dispõem sobre normas gerais de organização das polícias militares, as quais, por sua vez, estão sob reserva de lei federal (CF, art. 22, XXI).</w:t>
      </w:r>
    </w:p>
    <w:p>
      <w:pPr>
        <w:ind w:left="288"/>
      </w:pPr>
      <w:r>
        <w:rPr>
          <w:b/>
          <w:color w:val="003CA0"/>
          <w:sz w:val="16"/>
        </w:rPr>
        <w:t>[ADI 1.540, rel. min. Maurício Corrêa, j. 25-6-1997, P, DJ de 16-11-2001.]</w:t>
      </w:r>
    </w:p>
    <w:p>
      <w:pPr>
        <w:ind w:left="288"/>
      </w:pPr>
      <w:r>
        <w:rPr>
          <w:color w:val="8C8C8C"/>
          <w:sz w:val="12"/>
        </w:rPr>
        <w:t>cf-art-22-inc-XX</w:t>
      </w:r>
      <w:r>
        <w:rPr>
          <w:color w:val="003CA0"/>
          <w:sz w:val="12"/>
        </w:rPr>
        <w:t xml:space="preserve"> | AI 803.434</w:t>
      </w:r>
      <w:r>
        <w:rPr>
          <w:color w:val="003CA0"/>
          <w:sz w:val="12"/>
        </w:rPr>
        <w:t xml:space="preserve"> | rel. Gilmar Mendes</w:t>
      </w:r>
    </w:p>
    <w:p>
      <w:pPr>
        <w:ind w:left="288"/>
      </w:pPr>
      <w:r>
        <w:rPr>
          <w:color w:val="1E1E1E"/>
          <w:sz w:val="18"/>
        </w:rPr>
        <w:t>= AI 803.434 AgR, rel. min. Gilmar Mendes, j. 1º-3-2011, 2ª T, DJE de 23-3-2011 “A competência privativa da União para a edição de normas gerais sobre inatividades e pensões das polícias militares e dos corpos de bombeiros militares (artigo 22, XXI, da Constituição, na redação da Emenda Constitucional 103/2019) não exclui a competência legislativa dos Estados para a fixação das alíquotas da contribuição previdenciária incidente sobre os proventos de seus próprios militares inativos e pensionistas, tendo a Lei Federal 13.954/2019, no ponto, incorrido em inconstitucionalidade. ”</w:t>
      </w:r>
    </w:p>
    <w:p>
      <w:pPr>
        <w:ind w:left="288"/>
      </w:pPr>
      <w:r>
        <w:rPr>
          <w:b/>
          <w:color w:val="003CA0"/>
          <w:sz w:val="16"/>
        </w:rPr>
        <w:t>[RE 1.338.750 RG, rel. min. Luiz Fux, j. 21.10.2021, P, DJE de 27.10.2021, Tema 1.177, com mérito julgado.]</w:t>
      </w:r>
    </w:p>
    <w:p>
      <w:pPr>
        <w:ind w:left="288"/>
      </w:pPr>
      <w:r>
        <w:rPr>
          <w:color w:val="8C8C8C"/>
          <w:sz w:val="12"/>
        </w:rPr>
        <w:t>cf-art-22-inc-XX</w:t>
      </w:r>
      <w:r>
        <w:rPr>
          <w:color w:val="003CA0"/>
          <w:sz w:val="12"/>
        </w:rPr>
        <w:t xml:space="preserve"> | RE 1.554.820</w:t>
      </w:r>
      <w:r>
        <w:rPr>
          <w:color w:val="003CA0"/>
          <w:sz w:val="12"/>
        </w:rPr>
        <w:t xml:space="preserve"> | rel. Dias Toffoli</w:t>
      </w:r>
    </w:p>
    <w:p>
      <w:pPr>
        <w:ind w:left="288"/>
      </w:pPr>
      <w:r>
        <w:rPr>
          <w:b/>
          <w:color w:val="003CA0"/>
          <w:sz w:val="16"/>
        </w:rPr>
        <w:t>[RE 1.554.820 AgR-segundo, rel. min. Dias Toffoli, j. 26.11.2025, 2ª T, DJE de 28.11.2025.]</w:t>
      </w:r>
    </w:p>
    <w:p>
      <w:pPr>
        <w:ind w:left="288"/>
      </w:pPr>
      <w:r>
        <w:rPr>
          <w:color w:val="8C8C8C"/>
          <w:sz w:val="12"/>
        </w:rPr>
        <w:t>cf-art-22-inc-XX</w:t>
      </w:r>
      <w:r>
        <w:rPr>
          <w:color w:val="003CA0"/>
          <w:sz w:val="12"/>
        </w:rPr>
        <w:t xml:space="preserve"> | RE 1.554.820</w:t>
      </w:r>
      <w:r>
        <w:rPr>
          <w:color w:val="003CA0"/>
          <w:sz w:val="12"/>
        </w:rPr>
        <w:t xml:space="preserve"> | rel. Dias Toffoli</w:t>
      </w:r>
    </w:p>
    <w:p>
      <w:pPr>
        <w:ind w:left="288"/>
      </w:pPr>
      <w:r>
        <w:rPr>
          <w:color w:val="1E1E1E"/>
          <w:sz w:val="18"/>
        </w:rPr>
        <w:t>Lei Federal nº 13.954/19. Competência privativa da União para editar normas gerais de inatividade e pensões das polícias militares e dos corpos de bombeiros militares. Contribuição previdenciária incidente sobre proventos de inatividade e pensões de militar estadual. Alíquota e base de cálculo. Competência legislativa dos estados. Tema nº 1.177. Ratificação da jurisprudência. (...) Conquanto a tese fixada no referido paradigma tenha feito referência tão somente à alíquota da contribuição previdenciária, evidencia-se que a orientação nele firmada se aplica também à base de cálculo, haja vista q</w:t>
      </w:r>
    </w:p>
    <w:p>
      <w:pPr>
        <w:ind w:left="288"/>
      </w:pPr>
      <w:r>
        <w:rPr>
          <w:b/>
          <w:color w:val="003CA0"/>
          <w:sz w:val="16"/>
        </w:rPr>
        <w:t>[RE 1.554.820 AgR-segundo, rel. min. Dias Toffoli, j. 26.11.2025, 2ª T, DJE de 28.11.2025.]</w:t>
      </w:r>
    </w:p>
    <w:p>
      <w:pPr>
        <w:ind w:left="288"/>
      </w:pPr>
      <w:r>
        <w:rPr>
          <w:color w:val="8C8C8C"/>
          <w:sz w:val="12"/>
        </w:rPr>
        <w:t>cf-art-22-inc-XX</w:t>
      </w:r>
      <w:r>
        <w:rPr>
          <w:color w:val="003CA0"/>
          <w:sz w:val="12"/>
        </w:rPr>
        <w:t xml:space="preserve"> | RE 1.338.750</w:t>
      </w:r>
      <w:r>
        <w:rPr>
          <w:color w:val="003CA0"/>
          <w:sz w:val="12"/>
        </w:rPr>
        <w:t xml:space="preserve"> | rel. Luiz Fux</w:t>
      </w:r>
    </w:p>
    <w:p>
      <w:pPr>
        <w:ind w:left="288"/>
      </w:pPr>
      <w:r>
        <w:rPr>
          <w:color w:val="1E1E1E"/>
          <w:sz w:val="18"/>
        </w:rPr>
        <w:t>Vide RE 1.338.750 RG, rel. min. Luiz Fux, j. 21.10.2021, P, DJE de 27.10.2021, Tema 1.177, com mérito julgado</w:t>
      </w:r>
    </w:p>
    <w:p>
      <w:pPr>
        <w:ind w:left="144"/>
      </w:pPr>
      <w:r>
        <w:rPr>
          <w:b/>
          <w:color w:val="B45A00"/>
          <w:sz w:val="16"/>
        </w:rPr>
        <w:t>JULGADOS CORRELATOS</w:t>
      </w:r>
    </w:p>
    <w:p>
      <w:pPr>
        <w:ind w:left="288"/>
      </w:pPr>
      <w:r>
        <w:rPr>
          <w:color w:val="8C8C8C"/>
          <w:sz w:val="12"/>
        </w:rPr>
        <w:t>cf-art-22-inc-XX</w:t>
      </w:r>
      <w:r>
        <w:rPr>
          <w:color w:val="003CA0"/>
          <w:sz w:val="12"/>
        </w:rPr>
        <w:t xml:space="preserve"> | RE 668.565</w:t>
      </w:r>
      <w:r>
        <w:rPr>
          <w:color w:val="003CA0"/>
          <w:sz w:val="12"/>
        </w:rPr>
        <w:t xml:space="preserve"> | rel. Luiz Fux</w:t>
      </w:r>
    </w:p>
    <w:p>
      <w:pPr>
        <w:ind w:left="288"/>
      </w:pPr>
      <w:r>
        <w:rPr>
          <w:color w:val="1E1E1E"/>
          <w:sz w:val="18"/>
        </w:rPr>
        <w:t>Empresas prestadoras de serviços de segurança privada. Autorização de funcionamento. Controle e fiscalização de armamentos, munições e demais atividades. Lei 2.662/1996 e decreto 23.394/1997 do Estado do Rio de Janeiro. Competência legislativa da União. Art. 22, XXI, da Constituição da República.</w:t>
      </w:r>
    </w:p>
    <w:p>
      <w:pPr>
        <w:ind w:left="288"/>
      </w:pPr>
      <w:r>
        <w:rPr>
          <w:b/>
          <w:color w:val="003CA0"/>
          <w:sz w:val="16"/>
        </w:rPr>
        <w:t>[RE 668.565 AgR, rel. min. Luiz Fux, j. 16-3-2018, 1ª T, DJE de 3-4-2018.]</w:t>
      </w:r>
    </w:p>
    <w:p>
      <w:pPr>
        <w:ind w:left="144"/>
      </w:pPr>
      <w:r>
        <w:rPr>
          <w:b/>
          <w:color w:val="B45A00"/>
          <w:sz w:val="16"/>
        </w:rPr>
        <w:t>CONTROLE CONCENTRADO</w:t>
      </w:r>
    </w:p>
    <w:p>
      <w:pPr>
        <w:ind w:left="288"/>
      </w:pPr>
      <w:r>
        <w:rPr>
          <w:color w:val="8C8C8C"/>
          <w:sz w:val="12"/>
        </w:rPr>
        <w:t>cf-art-22-inc-XXIII</w:t>
      </w:r>
      <w:r>
        <w:rPr>
          <w:color w:val="003CA0"/>
          <w:sz w:val="12"/>
        </w:rPr>
        <w:t xml:space="preserve"> | ADI 856</w:t>
      </w:r>
      <w:r>
        <w:rPr>
          <w:color w:val="003CA0"/>
          <w:sz w:val="12"/>
        </w:rPr>
        <w:t xml:space="preserve"> | rel. Luiz Fux</w:t>
      </w:r>
    </w:p>
    <w:p>
      <w:pPr>
        <w:ind w:left="288"/>
      </w:pPr>
      <w:r>
        <w:rPr>
          <w:color w:val="1E1E1E"/>
          <w:sz w:val="18"/>
        </w:rPr>
        <w:t>O art. 40, III, b, da Constituição, na sua redação original, da mesma forma que o texto atual do parágrafo quinto do mesmo artigo, consagra redução no tempo de serviço necessário à aposentadoria do professor que comprove exclusivamente tempo de efetivo exercício das funções de magistério, sendo certo que a fixação de requisitos para a concessão de aposentadoria especial é matéria de competência legislativa da União, consoante os artigos 22, XXIII e XXIV, e 24, XII e § 1º, da Constituição.</w:t>
        <w:br/>
        <w:t>[ADI 856, rel. min. Luiz Fux, j. 4-9-2023, P, DJE de 2-10-2023.] XXIV - diretrizes e bases da educação nac</w:t>
      </w:r>
    </w:p>
    <w:p>
      <w:pPr>
        <w:ind w:left="288"/>
      </w:pPr>
      <w:r>
        <w:rPr>
          <w:b/>
          <w:color w:val="003CA0"/>
          <w:sz w:val="16"/>
        </w:rPr>
        <w:t>[ADPF 522, rel. min. Marco Aurélio, red. do ac. min. Cristiano Zanin, j. 15-10-2025, P, DJE de 23-2-2026.]</w:t>
      </w:r>
    </w:p>
    <w:p>
      <w:pPr>
        <w:ind w:left="288"/>
      </w:pPr>
      <w:r>
        <w:rPr>
          <w:color w:val="8C8C8C"/>
          <w:sz w:val="12"/>
        </w:rPr>
        <w:t>cf-art-22-inc-XXIII</w:t>
      </w:r>
      <w:r>
        <w:rPr>
          <w:color w:val="003CA0"/>
          <w:sz w:val="12"/>
        </w:rPr>
        <w:t xml:space="preserve"> | ADI 7.864</w:t>
      </w:r>
      <w:r>
        <w:rPr>
          <w:color w:val="003CA0"/>
          <w:sz w:val="12"/>
        </w:rPr>
        <w:t xml:space="preserve"> | rel. Flávio Dino</w:t>
      </w:r>
    </w:p>
    <w:p>
      <w:pPr>
        <w:ind w:left="288"/>
      </w:pPr>
      <w:r>
        <w:rPr>
          <w:color w:val="1E1E1E"/>
          <w:sz w:val="18"/>
        </w:rPr>
        <w:t>Resolução n º 2.434/2025, do Conselho Federal de Medicina. Responsabilidades e prerrogativas de autoridades educacionais. Coordenadores de cursos de graduação em medicina. (...) As normas impugnadas pretendem vincular diretamente as instituições de ensino superior, impondo-lhes a observância de condições de infraestrutura, recursos materiais, humanos e financeiros; a obrigatoriedade de consulta prévia e anuência em matéria de convênios; e, inclusive, o poder de interdição das atividades de ensino na área da saúde, entre outras disposições. Embora visando à regulamentação da responsabilidade té</w:t>
      </w:r>
    </w:p>
    <w:p>
      <w:pPr>
        <w:ind w:left="288"/>
      </w:pPr>
      <w:r>
        <w:rPr>
          <w:b/>
          <w:color w:val="003CA0"/>
          <w:sz w:val="16"/>
        </w:rPr>
        <w:t>[ADI 7.864 MC-REF, rel. min. Flávio Dino, j. 13.10.2025, P, DJE de 22.10.2025.]</w:t>
      </w:r>
    </w:p>
    <w:p>
      <w:pPr>
        <w:ind w:left="288"/>
      </w:pPr>
      <w:r>
        <w:rPr>
          <w:color w:val="8C8C8C"/>
          <w:sz w:val="12"/>
        </w:rPr>
        <w:t>cf-art-22-inc-XXIII</w:t>
      </w:r>
      <w:r>
        <w:rPr>
          <w:color w:val="003CA0"/>
          <w:sz w:val="12"/>
        </w:rPr>
        <w:t xml:space="preserve"> | ADPF 1.036</w:t>
      </w:r>
      <w:r>
        <w:rPr>
          <w:color w:val="003CA0"/>
          <w:sz w:val="12"/>
        </w:rPr>
        <w:t xml:space="preserve"> | rel. Nunes Marques</w:t>
      </w:r>
    </w:p>
    <w:p>
      <w:pPr>
        <w:ind w:left="288"/>
      </w:pPr>
      <w:r>
        <w:rPr>
          <w:color w:val="1E1E1E"/>
          <w:sz w:val="18"/>
        </w:rPr>
        <w:t>A Lei de Diretrizes e Bases da Educação Nacional (LDB) incentiva o desenvolvimento de programas de ensino à distância em todos os níveis e modalidades, de modo que compete à União regulamentar a oferta desses cursos, inclusive no âmbito da saúde. O ensino superior, inclusive na modalidade à distância, por envolver questões de interesse nacional, como qualidade educacional e acesso à tecnologia, exige tratamento uniforme em todo o território nacional.</w:t>
      </w:r>
    </w:p>
    <w:p>
      <w:pPr>
        <w:ind w:left="288"/>
      </w:pPr>
      <w:r>
        <w:rPr>
          <w:b/>
          <w:color w:val="003CA0"/>
          <w:sz w:val="16"/>
        </w:rPr>
        <w:t>[ADPF 1.036, rel. min. Nunes Marques, j. 17.02.2025, P, DJE de 11.03.2025.]</w:t>
      </w:r>
    </w:p>
    <w:p>
      <w:pPr>
        <w:ind w:left="288"/>
      </w:pPr>
      <w:r>
        <w:rPr>
          <w:color w:val="8C8C8C"/>
          <w:sz w:val="12"/>
        </w:rPr>
        <w:t>cf-art-22-inc-XXIII</w:t>
      </w:r>
      <w:r>
        <w:rPr>
          <w:color w:val="003CA0"/>
          <w:sz w:val="12"/>
        </w:rPr>
        <w:t xml:space="preserve"> | ADI 7.644</w:t>
      </w:r>
      <w:r>
        <w:rPr>
          <w:color w:val="003CA0"/>
          <w:sz w:val="12"/>
        </w:rPr>
        <w:t xml:space="preserve"> | rel. Flávio Dino</w:t>
      </w:r>
    </w:p>
    <w:p>
      <w:pPr>
        <w:ind w:left="288"/>
      </w:pPr>
      <w:r>
        <w:rPr>
          <w:color w:val="1E1E1E"/>
          <w:sz w:val="18"/>
        </w:rPr>
        <w:t>Qualquer mudança jurídica no ensino do idioma oficial brasileiro, tal como atualmente disciplinado pela União, depende do exercício de sua competência privativa para legislar sobre diretrizes e bases da educação, bem como sobre normas de uso da língua portuguesa editadas em consonância com o art. 13 da Constituição Federal. Esta matéria somente pode ser regulada pelo Congresso Nacional, sendo vedada a edição de leis estaduais ou municipais, contra ou a favor da linguagem neutra em sistemas de ensino.</w:t>
        <w:br/>
        <w:t>[ADI 7.644 MC-REF, rel. min. Flávio Dino, j. 24.06.2024, P, DJE de 29.07.2024.] A jurisprudênc</w:t>
      </w:r>
    </w:p>
    <w:p>
      <w:pPr>
        <w:ind w:left="288"/>
      </w:pPr>
      <w:r>
        <w:rPr>
          <w:b/>
          <w:color w:val="003CA0"/>
          <w:sz w:val="16"/>
        </w:rPr>
        <w:t>[ADI 7.019, rel. min. Edson Fachin, j. 10-2-2023, P, DJE de 10-4-2023.]</w:t>
      </w:r>
    </w:p>
    <w:p>
      <w:pPr>
        <w:ind w:left="288"/>
      </w:pPr>
      <w:r>
        <w:rPr>
          <w:color w:val="8C8C8C"/>
          <w:sz w:val="12"/>
        </w:rPr>
        <w:t>cf-art-22-inc-XXIII</w:t>
      </w:r>
      <w:r>
        <w:rPr>
          <w:color w:val="003CA0"/>
          <w:sz w:val="12"/>
        </w:rPr>
        <w:t xml:space="preserve"> | ADI 5.341</w:t>
      </w:r>
      <w:r>
        <w:rPr>
          <w:color w:val="003CA0"/>
          <w:sz w:val="12"/>
        </w:rPr>
        <w:t xml:space="preserve"> | rel. Edson Fachin</w:t>
      </w:r>
    </w:p>
    <w:p>
      <w:pPr>
        <w:ind w:left="288"/>
      </w:pPr>
      <w:r>
        <w:rPr>
          <w:color w:val="1E1E1E"/>
          <w:sz w:val="18"/>
        </w:rPr>
        <w:t>O afastamento, por lei estadual, das exigências de revalidação de diploma obtido em instituições de ensino superior dos países membros do Mercosul para a concessão de benefícios e progressões a servidores públicos invade a competência privativa da União para legislar sobre diretrizes e bases da educação nacional (art. 22, XXIV, CRFB). Do mesmo modo, a extensão da possibilidade de utilização de títulos oriundos de instituições de ensino de países pertencentes ao Mercosul não validados no Brasil para além das atividades de docência e pesquisa vai de encontro ao estabelecido no Decreto 5.518/2005</w:t>
      </w:r>
    </w:p>
    <w:p>
      <w:pPr>
        <w:ind w:left="288"/>
      </w:pPr>
      <w:r>
        <w:rPr>
          <w:b/>
          <w:color w:val="003CA0"/>
          <w:sz w:val="16"/>
        </w:rPr>
        <w:t>[ADI 3.713, rel. min. Marco Aurélio, j. 15-5-2019, P, DJE de 7-6-2019.]</w:t>
      </w:r>
    </w:p>
    <w:p>
      <w:pPr>
        <w:ind w:left="288"/>
      </w:pPr>
      <w:r>
        <w:rPr>
          <w:color w:val="8C8C8C"/>
          <w:sz w:val="12"/>
        </w:rPr>
        <w:t>cf-art-22-inc-XXIII</w:t>
      </w:r>
      <w:r>
        <w:rPr>
          <w:color w:val="003CA0"/>
          <w:sz w:val="12"/>
        </w:rPr>
        <w:t xml:space="preserve"> | ADI 4.720</w:t>
      </w:r>
      <w:r>
        <w:rPr>
          <w:color w:val="003CA0"/>
          <w:sz w:val="12"/>
        </w:rPr>
        <w:t xml:space="preserve"> | rel. Cármen Lúcia</w:t>
      </w:r>
    </w:p>
    <w:p>
      <w:pPr>
        <w:ind w:left="288"/>
      </w:pPr>
      <w:r>
        <w:rPr>
          <w:color w:val="1E1E1E"/>
          <w:sz w:val="18"/>
        </w:rPr>
        <w:t>A internalização de títulos acadêmicos de mestrado e doutorado expedidos por instituições de ensino superior estrangeiras há de ter tratamento uniforme em todo o Estado brasileiro, devendo ser regulamentada por normas de caráter nacional. A Lei roraimense 748/2009 macula-se por inconstitucionalidade formal, pela usurpação de competência privativa da União para legislar sobre diretrizes e bases da educação nacional (art. 22, XXIV, da Constituição da República).</w:t>
        <w:br/>
        <w:t>[ADI 4.720, rel. min. Cármen Lúcia, j. 30-6-2017, P, DJE de 23-8-2017.] Lei 2.873/2014 do Estado do Acre, que veda ao poder público est</w:t>
      </w:r>
    </w:p>
    <w:p>
      <w:pPr>
        <w:ind w:left="288"/>
      </w:pPr>
      <w:r>
        <w:rPr>
          <w:b/>
          <w:color w:val="003CA0"/>
          <w:sz w:val="16"/>
        </w:rPr>
        <w:t>[ADI 2.501, rel. min. Joaquim Barbosa, j. 4-9-2008, P, DJE de 19-12-2008.]</w:t>
      </w:r>
    </w:p>
    <w:p>
      <w:pPr>
        <w:ind w:left="288"/>
      </w:pPr>
      <w:r>
        <w:rPr>
          <w:color w:val="8C8C8C"/>
          <w:sz w:val="12"/>
        </w:rPr>
        <w:t>cf-art-22-inc-XXIII</w:t>
      </w:r>
      <w:r>
        <w:rPr>
          <w:color w:val="003CA0"/>
          <w:sz w:val="12"/>
        </w:rPr>
        <w:t xml:space="preserve"> | ADI 3.669</w:t>
      </w:r>
      <w:r>
        <w:rPr>
          <w:color w:val="003CA0"/>
          <w:sz w:val="12"/>
        </w:rPr>
        <w:t xml:space="preserve"> | rel. Cármen Lúcia</w:t>
      </w:r>
    </w:p>
    <w:p>
      <w:pPr>
        <w:ind w:left="288"/>
      </w:pPr>
      <w:r>
        <w:rPr>
          <w:color w:val="1E1E1E"/>
          <w:sz w:val="18"/>
        </w:rPr>
        <w:t>Competência concorrente entre a União, que define as normas gerais e os entes estaduais e Distrito Federal, que fixam as especificidades, os modos e meios de cumprir o quanto estabelecido no art. 24, IX, da Constituição da República, ou seja, para legislar sobre educação. O art. 22, XXIV, da Constituição da República enfatiza a competência privativa do legislador nacional para definir as diretrizes e bases da educação nacional, deixando as singularidades no âmbito de competência dos Estados e do Distrito Federal.</w:t>
      </w:r>
    </w:p>
    <w:p>
      <w:pPr>
        <w:ind w:left="288"/>
      </w:pPr>
      <w:r>
        <w:rPr>
          <w:b/>
          <w:color w:val="003CA0"/>
          <w:sz w:val="16"/>
        </w:rPr>
        <w:t>[ADI 3.669, rel. min. Cármen Lúcia, j. 18-6-2007, P, DJ de 29-6-2007.]</w:t>
      </w:r>
    </w:p>
    <w:p>
      <w:pPr>
        <w:ind w:left="288"/>
      </w:pPr>
      <w:r>
        <w:rPr>
          <w:color w:val="8C8C8C"/>
          <w:sz w:val="12"/>
        </w:rPr>
        <w:t>cf-art-22-inc-XXIII</w:t>
      </w:r>
      <w:r>
        <w:rPr>
          <w:color w:val="003CA0"/>
          <w:sz w:val="12"/>
        </w:rPr>
        <w:t xml:space="preserve"> | ADI 1.399</w:t>
      </w:r>
      <w:r>
        <w:rPr>
          <w:color w:val="003CA0"/>
          <w:sz w:val="12"/>
        </w:rPr>
        <w:t xml:space="preserve"> | rel. Maurício Corrêa</w:t>
      </w:r>
    </w:p>
    <w:p>
      <w:pPr>
        <w:ind w:left="288"/>
      </w:pPr>
      <w:r>
        <w:rPr>
          <w:color w:val="1E1E1E"/>
          <w:sz w:val="18"/>
        </w:rPr>
        <w:t>Lei de Diretrizes e Bases da Educação Nacional. Iniciativa. (...) Competência privativa da União para legislar sobre diretrizes e bases da educação nacional.</w:t>
      </w:r>
    </w:p>
    <w:p>
      <w:pPr>
        <w:ind w:left="288"/>
      </w:pPr>
      <w:r>
        <w:rPr>
          <w:b/>
          <w:color w:val="003CA0"/>
          <w:sz w:val="16"/>
        </w:rPr>
        <w:t>[ADI 1.399, rel. min. Maurício Corrêa, j. 3-3-2004, P, DJ de 11-6-2004.]</w:t>
      </w:r>
    </w:p>
    <w:p>
      <w:pPr>
        <w:ind w:left="288"/>
      </w:pPr>
      <w:r>
        <w:rPr>
          <w:color w:val="8C8C8C"/>
          <w:sz w:val="12"/>
        </w:rPr>
        <w:t>cf-art-22-inc-XXIII</w:t>
      </w:r>
      <w:r>
        <w:rPr>
          <w:color w:val="003CA0"/>
          <w:sz w:val="12"/>
        </w:rPr>
        <w:t xml:space="preserve"> | ADI 2.667</w:t>
      </w:r>
      <w:r>
        <w:rPr>
          <w:color w:val="003CA0"/>
          <w:sz w:val="12"/>
        </w:rPr>
        <w:t xml:space="preserve"> | rel. Celso de Mello</w:t>
      </w:r>
    </w:p>
    <w:p>
      <w:pPr>
        <w:ind w:left="288"/>
      </w:pPr>
      <w:r>
        <w:rPr>
          <w:color w:val="1E1E1E"/>
          <w:sz w:val="18"/>
        </w:rPr>
        <w:t>Lei distrital que dispõe sobre a emissão de certificado de conclusão do curso e que autoriza o fornecimento de histórico escolar para alunos da terceira série do ensino médio que comprovarem aprovação em vestibular para ingresso em curso de nível superior. Lei distrital que usurpa competência legislativa outorgada à União Federal pela Constituição da República.</w:t>
      </w:r>
    </w:p>
    <w:p>
      <w:pPr>
        <w:ind w:left="288"/>
      </w:pPr>
      <w:r>
        <w:rPr>
          <w:b/>
          <w:color w:val="003CA0"/>
          <w:sz w:val="16"/>
        </w:rPr>
        <w:t>[ADI 2.667 MC, rel. min. Celso de Mello, j. 19-6-2002, P, DJ de 12-3-2004.]</w:t>
      </w:r>
    </w:p>
    <w:p>
      <w:pPr>
        <w:ind w:left="288"/>
      </w:pPr>
      <w:r>
        <w:rPr>
          <w:color w:val="8C8C8C"/>
          <w:sz w:val="12"/>
        </w:rPr>
        <w:t>cf-art-22-inc-XXIII</w:t>
      </w:r>
    </w:p>
    <w:p>
      <w:pPr>
        <w:ind w:left="288"/>
      </w:pPr>
      <w:r>
        <w:rPr>
          <w:color w:val="1E1E1E"/>
          <w:sz w:val="18"/>
        </w:rPr>
        <w:t>XXV - registros públicos;</w:t>
      </w:r>
    </w:p>
    <w:p>
      <w:pPr>
        <w:ind w:left="288"/>
      </w:pPr>
      <w:r>
        <w:rPr>
          <w:color w:val="8C8C8C"/>
          <w:sz w:val="12"/>
        </w:rPr>
        <w:t>cf-art-22-inc-XXIII</w:t>
      </w:r>
      <w:r>
        <w:rPr>
          <w:color w:val="003CA0"/>
          <w:sz w:val="12"/>
        </w:rPr>
        <w:t xml:space="preserve"> | ADI 1.450</w:t>
      </w:r>
      <w:r>
        <w:rPr>
          <w:color w:val="003CA0"/>
          <w:sz w:val="12"/>
        </w:rPr>
        <w:t xml:space="preserve"> | rel. Roberto Barroso</w:t>
      </w:r>
    </w:p>
    <w:p>
      <w:pPr>
        <w:ind w:left="288"/>
      </w:pPr>
      <w:r>
        <w:rPr>
          <w:color w:val="1E1E1E"/>
          <w:sz w:val="18"/>
        </w:rPr>
        <w:t>Possibilidade de celebração de convênio entre o Tribunal de Justiça do Estado de São Paulo e as Prefeituras para assegurar a manutenção dos serviços de Cartórios de Registro Civil das Pessoas Naturais. Manutenção de serviço de interesse público inviabilizada por insuficiência de renda própria e por não preenchimento da delegação. Não violação do artigo 22, XXV, e 236 da Constituição Federal.</w:t>
      </w:r>
    </w:p>
    <w:p>
      <w:pPr>
        <w:ind w:left="288"/>
      </w:pPr>
      <w:r>
        <w:rPr>
          <w:b/>
          <w:color w:val="003CA0"/>
          <w:sz w:val="16"/>
        </w:rPr>
        <w:t>[ADI 1.450, rel. min. Roberto Barroso, j. 19-12-2018, P, DJE de 25-2-2019.]</w:t>
      </w:r>
    </w:p>
    <w:p>
      <w:pPr>
        <w:ind w:left="288"/>
      </w:pPr>
      <w:r>
        <w:rPr>
          <w:color w:val="8C8C8C"/>
          <w:sz w:val="12"/>
        </w:rPr>
        <w:t>cf-art-22-inc-XXIII</w:t>
      </w:r>
      <w:r>
        <w:rPr>
          <w:color w:val="003CA0"/>
          <w:sz w:val="12"/>
        </w:rPr>
        <w:t xml:space="preserve"> | ADI 2.254</w:t>
      </w:r>
      <w:r>
        <w:rPr>
          <w:color w:val="003CA0"/>
          <w:sz w:val="12"/>
        </w:rPr>
        <w:t xml:space="preserve"> | rel. Dias Toffoli</w:t>
      </w:r>
    </w:p>
    <w:p>
      <w:pPr>
        <w:ind w:left="288"/>
      </w:pPr>
      <w:r>
        <w:rPr>
          <w:color w:val="1E1E1E"/>
          <w:sz w:val="18"/>
        </w:rPr>
        <w:t>Lei estadual que impõe aos cartórios de registro civil a obrigação de encaminhar ao TRE e ao órgão responsável pelo cadastro civil do Estado os dados de falecimento colhidos quando do registro do óbito das pessoas naturais. Não há quebra ou ingerência em esfera de competência legiferante da União para legislar sobre registros públicos (art. 22, XXV, CF/1988). A norma não alberga disciplina enquadrável no conceito de registros públicos, ou seja, não pretende criar ou alterar atos registrais. A criação da obrigação de repasse das informações se estabelece para órgãos que atuam no âmbito do própr</w:t>
      </w:r>
    </w:p>
    <w:p>
      <w:pPr>
        <w:ind w:left="288"/>
      </w:pPr>
      <w:r>
        <w:rPr>
          <w:b/>
          <w:color w:val="003CA0"/>
          <w:sz w:val="16"/>
        </w:rPr>
        <w:t>[ADI 4.007, voto da rel. min. Rosa Weber, j. 13-8-2014, P, DJE de 30-10-2014.]</w:t>
      </w:r>
    </w:p>
    <w:p>
      <w:pPr>
        <w:ind w:left="288"/>
      </w:pPr>
      <w:r>
        <w:rPr>
          <w:color w:val="8C8C8C"/>
          <w:sz w:val="12"/>
        </w:rPr>
        <w:t>cf-art-22-inc-XXIII</w:t>
      </w:r>
      <w:r>
        <w:rPr>
          <w:color w:val="003CA0"/>
          <w:sz w:val="12"/>
        </w:rPr>
        <w:t xml:space="preserve"> | ADI 3.151</w:t>
      </w:r>
      <w:r>
        <w:rPr>
          <w:color w:val="003CA0"/>
          <w:sz w:val="12"/>
        </w:rPr>
        <w:t xml:space="preserve"> | rel. Ayres Britto</w:t>
      </w:r>
    </w:p>
    <w:p>
      <w:pPr>
        <w:ind w:left="288"/>
      </w:pPr>
      <w:r>
        <w:rPr>
          <w:color w:val="1E1E1E"/>
          <w:sz w:val="18"/>
        </w:rPr>
        <w:t>Competência legislativa e registros públicos: o § 1º do art. 2º do diploma legislativo em estudo cria um requisito de validade dos atos de criação, preservação, modificação e extinção de direito e obrigações. Imiscuindo-se, ipso facto, na competência legislativa que a Carta Federal outorgou à União.</w:t>
      </w:r>
    </w:p>
    <w:p>
      <w:pPr>
        <w:ind w:left="288"/>
      </w:pPr>
      <w:r>
        <w:rPr>
          <w:b/>
          <w:color w:val="003CA0"/>
          <w:sz w:val="16"/>
        </w:rPr>
        <w:t>[ADI 3.151, rel. min. Ayres Britto, j. 8-6-2005, P, DJ de 28-4-2006.]</w:t>
      </w:r>
    </w:p>
    <w:p>
      <w:pPr>
        <w:ind w:left="288"/>
      </w:pPr>
      <w:r>
        <w:rPr>
          <w:color w:val="8C8C8C"/>
          <w:sz w:val="12"/>
        </w:rPr>
        <w:t>cf-art-22-inc-XXIII</w:t>
      </w:r>
      <w:r>
        <w:rPr>
          <w:color w:val="003CA0"/>
          <w:sz w:val="12"/>
        </w:rPr>
        <w:t xml:space="preserve"> | ADI 1.709</w:t>
      </w:r>
      <w:r>
        <w:rPr>
          <w:color w:val="003CA0"/>
          <w:sz w:val="12"/>
        </w:rPr>
        <w:t xml:space="preserve"> | rel. Maurício Corrêa</w:t>
      </w:r>
    </w:p>
    <w:p>
      <w:pPr>
        <w:ind w:left="288"/>
      </w:pPr>
      <w:r>
        <w:rPr>
          <w:color w:val="1E1E1E"/>
          <w:sz w:val="18"/>
        </w:rPr>
        <w:t>A instituição dos emolumentos cartorários pelo tribunal de justiça afronta o princípio da reserva legal. Somente a lei pode criar, majorar ou reduzir os valores das taxas judiciárias.</w:t>
        <w:br/>
        <w:t>[ADI 1.709, rel. min. Maurício Corrêa, j. 10-2-2000, P, DJ de 31-3-2000.] XXVI - atividades nucleares de qualquer natureza;</w:t>
      </w:r>
    </w:p>
    <w:p>
      <w:pPr>
        <w:ind w:left="288"/>
      </w:pPr>
      <w:r>
        <w:rPr>
          <w:color w:val="8C8C8C"/>
          <w:sz w:val="12"/>
        </w:rPr>
        <w:t>cf-art-22-inc-XXIII</w:t>
      </w:r>
      <w:r>
        <w:rPr>
          <w:color w:val="003CA0"/>
          <w:sz w:val="12"/>
        </w:rPr>
        <w:t xml:space="preserve"> | ADI 329</w:t>
      </w:r>
      <w:r>
        <w:rPr>
          <w:color w:val="003CA0"/>
          <w:sz w:val="12"/>
        </w:rPr>
        <w:t xml:space="preserve"> | rel. Ellen Gracie</w:t>
      </w:r>
    </w:p>
    <w:p>
      <w:pPr>
        <w:ind w:left="288"/>
      </w:pPr>
      <w:r>
        <w:rPr>
          <w:color w:val="1E1E1E"/>
          <w:sz w:val="18"/>
        </w:rPr>
        <w:t>Alegação de ofensa à competência privativa da União (CF, art. 21, XXIII). Mantida a competência exclusiva da União para legislar sobre atividades nucleares de qualquer natureza (CF, art. 22, XXVI), aplicáveis ao caso os precedentes da Corte produzidos sob a égide da CF de 1967. Ao estabelecer a prévia aprovação da Assembleia Legislativa estadual, ratificada por plebiscito, como requisito para a implantação de instalações industriais para produção de energia nuclear no Estado, invade a Constituição catarinense a competência legislativa privativa da União.</w:t>
      </w:r>
    </w:p>
    <w:p>
      <w:pPr>
        <w:ind w:left="288"/>
      </w:pPr>
      <w:r>
        <w:rPr>
          <w:b/>
          <w:color w:val="003CA0"/>
          <w:sz w:val="16"/>
        </w:rPr>
        <w:t>[ADI 329, rel. min. Ellen Gracie, j. 1º-4-2004, P, DJ de 28-5-2004.]</w:t>
      </w:r>
    </w:p>
    <w:p>
      <w:pPr>
        <w:ind w:left="288"/>
      </w:pPr>
      <w:r>
        <w:rPr>
          <w:color w:val="8C8C8C"/>
          <w:sz w:val="12"/>
        </w:rPr>
        <w:t>cf-art-22-inc-XXIII</w:t>
      </w:r>
      <w:r>
        <w:rPr>
          <w:color w:val="003CA0"/>
          <w:sz w:val="12"/>
        </w:rPr>
        <w:t xml:space="preserve"> | ADI 1.575</w:t>
      </w:r>
      <w:r>
        <w:rPr>
          <w:color w:val="003CA0"/>
          <w:sz w:val="12"/>
        </w:rPr>
        <w:t xml:space="preserve"> | rel. Joaquim Barbosa</w:t>
      </w:r>
    </w:p>
    <w:p>
      <w:pPr>
        <w:ind w:left="288"/>
      </w:pPr>
      <w:r>
        <w:rPr>
          <w:color w:val="1E1E1E"/>
          <w:sz w:val="18"/>
        </w:rPr>
        <w:t>= ADI 1.575, rel. min. Joaquim Barbosa, j. 7-4-2010, P, DJE de 11-6-2010 XXVII - normas gerais de licitação e contratação, em todas as modalidades, para as administrações públicas diretas, autárquicas e fundacionais da União, Estados, Distrito Federal e Municípios, obedecido o disposto no art. 37, XXI, e para as empresas públicas e sociedades de economia mista, nos termos do art. 173, § 1°, III; (Redação da EC 19/1998)</w:t>
      </w:r>
    </w:p>
    <w:p>
      <w:pPr>
        <w:ind w:left="288"/>
      </w:pPr>
      <w:r>
        <w:rPr>
          <w:color w:val="8C8C8C"/>
          <w:sz w:val="12"/>
        </w:rPr>
        <w:t>cf-art-22-inc-XXIII</w:t>
      </w:r>
      <w:r>
        <w:rPr>
          <w:color w:val="003CA0"/>
          <w:sz w:val="12"/>
        </w:rPr>
        <w:t xml:space="preserve"> | ADI 4.082</w:t>
      </w:r>
      <w:r>
        <w:rPr>
          <w:color w:val="003CA0"/>
          <w:sz w:val="12"/>
        </w:rPr>
        <w:t xml:space="preserve"> | rel. Edson Fachin</w:t>
      </w:r>
    </w:p>
    <w:p>
      <w:pPr>
        <w:ind w:left="288"/>
      </w:pPr>
      <w:r>
        <w:rPr>
          <w:color w:val="1E1E1E"/>
          <w:sz w:val="18"/>
        </w:rPr>
        <w:t>A Lei Distrital nº 4.118, de 07.04.2008 trata da obrigatoriedade da contratação de no mínimo 5% de empregados com mais quarenta anos de idade na administração direta e indireta do Distrito Federal, bem como, do estabelecimento de cláusula que assegure o mínimo de 10% das vagas a pessoas com mais de quarenta anos nas licitações para contratação de serviços que incluam o fornecimento de mão- de- obra. A norma ora questionada não invade a seara do regramento geral sobre licitações e contratos estabelecido pela União, mas trata precipuamente de política pública de pleno emprego, através da reserva</w:t>
      </w:r>
    </w:p>
    <w:p>
      <w:pPr>
        <w:ind w:left="288"/>
      </w:pPr>
      <w:r>
        <w:rPr>
          <w:b/>
          <w:color w:val="003CA0"/>
          <w:sz w:val="16"/>
        </w:rPr>
        <w:t>[ADI 5.333, rel. min. Cármen Lúcia, j. 14-2-2020, P, DJE de 6-3-2020.]</w:t>
      </w:r>
    </w:p>
    <w:p>
      <w:pPr>
        <w:ind w:left="288"/>
      </w:pPr>
      <w:r>
        <w:rPr>
          <w:color w:val="8C8C8C"/>
          <w:sz w:val="12"/>
        </w:rPr>
        <w:t>cf-art-22-inc-XXIII</w:t>
      </w:r>
      <w:r>
        <w:rPr>
          <w:color w:val="003CA0"/>
          <w:sz w:val="12"/>
        </w:rPr>
        <w:t xml:space="preserve"> | ADI 4.658</w:t>
      </w:r>
      <w:r>
        <w:rPr>
          <w:color w:val="003CA0"/>
          <w:sz w:val="12"/>
        </w:rPr>
        <w:t xml:space="preserve"> | rel. Edson Fachin</w:t>
      </w:r>
    </w:p>
    <w:p>
      <w:pPr>
        <w:ind w:left="288"/>
      </w:pPr>
      <w:r>
        <w:rPr>
          <w:color w:val="1E1E1E"/>
          <w:sz w:val="18"/>
        </w:rPr>
        <w:t>Usurpa a competência da União para legislar sobre normais gerais de licitação norma estadual que prevê ser dispensável o procedimento licitatório para aquisição por pessoa jurídica de direito interno, de bens produzidos ou serviços prestados por órgão ou entidade que integre a Administração Pública, e que tenha sido criado especificamente para este fim específico, sem a limitação temporal estabelecida pela Lei 8.666/1993 para essa hipótese de dispensa de licitação.</w:t>
      </w:r>
    </w:p>
    <w:p>
      <w:pPr>
        <w:ind w:left="288"/>
      </w:pPr>
      <w:r>
        <w:rPr>
          <w:b/>
          <w:color w:val="003CA0"/>
          <w:sz w:val="16"/>
        </w:rPr>
        <w:t>[ADI 4.658, rel. min. Edson Fachin, j. 25-10-2019, P, DJE de 11-11-2019.]</w:t>
      </w:r>
    </w:p>
    <w:p>
      <w:pPr>
        <w:ind w:left="288"/>
      </w:pPr>
      <w:r>
        <w:rPr>
          <w:color w:val="8C8C8C"/>
          <w:sz w:val="12"/>
        </w:rPr>
        <w:t>cf-art-22-inc-XXIII</w:t>
      </w:r>
      <w:r>
        <w:rPr>
          <w:color w:val="003CA0"/>
          <w:sz w:val="12"/>
        </w:rPr>
        <w:t xml:space="preserve"> | ADI 4.748</w:t>
      </w:r>
      <w:r>
        <w:rPr>
          <w:color w:val="003CA0"/>
          <w:sz w:val="12"/>
        </w:rPr>
        <w:t xml:space="preserve"> | rel. Cármen Lúcia</w:t>
      </w:r>
    </w:p>
    <w:p>
      <w:pPr>
        <w:ind w:left="288"/>
      </w:pPr>
      <w:r>
        <w:rPr>
          <w:color w:val="1E1E1E"/>
          <w:sz w:val="18"/>
        </w:rPr>
        <w:t>Ao se determinar que o poder público adquira o mínimo de 65% (sessenta e cinco por cento) dos bens e serviços definidos em sistema de registro de preços, na Lei estadual se invadiu a competência privativa da União para estabelecer normas gerais sobre licitação e contratação, em todas as modalidades, para as administrações públicas diretas, autárquicas e fundacionais da União, dos Estados, do Distrito Federal e dos Municípios, prevista no inc. XXVII do art. 22 da Constituição da República. No § 4º do art. 15 da Lei 8.666/1993 se dispõe que ‘a existência de preços registrados não obriga a Admini</w:t>
      </w:r>
    </w:p>
    <w:p>
      <w:pPr>
        <w:ind w:left="288"/>
      </w:pPr>
      <w:r>
        <w:rPr>
          <w:b/>
          <w:color w:val="003CA0"/>
          <w:sz w:val="16"/>
        </w:rPr>
        <w:t>[ADI 4.748, rel. min. Cármen Lúcia, j. 11-9-2019, P, DJE de 27-9-2019.]</w:t>
      </w:r>
    </w:p>
    <w:p>
      <w:pPr>
        <w:ind w:left="288"/>
      </w:pPr>
      <w:r>
        <w:rPr>
          <w:color w:val="8C8C8C"/>
          <w:sz w:val="12"/>
        </w:rPr>
        <w:t>cf-art-22-inc-XXIII</w:t>
      </w:r>
      <w:r>
        <w:rPr>
          <w:color w:val="003CA0"/>
          <w:sz w:val="12"/>
        </w:rPr>
        <w:t xml:space="preserve"> | ADI 3.735</w:t>
      </w:r>
      <w:r>
        <w:rPr>
          <w:color w:val="003CA0"/>
          <w:sz w:val="12"/>
        </w:rPr>
        <w:t xml:space="preserve"> | rel. Cármen Lúcia</w:t>
      </w:r>
    </w:p>
    <w:p>
      <w:pPr>
        <w:ind w:left="288"/>
      </w:pPr>
      <w:r>
        <w:rPr>
          <w:color w:val="1E1E1E"/>
          <w:sz w:val="18"/>
        </w:rPr>
        <w:t>A igualdade de condições dos concorrentes em licitações, embora seja enaltecida pela Constituição (art. 37, XXI), pode ser relativizada por duas vias: (a) pela lei, mediante o estabelecimento de condições de diferenciação exigíveis em abstrato; e (b) pela autoridade responsável pela condução do processo licitatório, que poderá estabelecer elementos de distinção circunstanciais, de qualificação técnica e econômica, sempre vinculados à garantia de cumprimento de obrigações específicas. Somente a lei federal poderá, em âmbito geral, estabelecer desequiparações entre os concorrentes e assim restri</w:t>
      </w:r>
    </w:p>
    <w:p>
      <w:pPr>
        <w:ind w:left="288"/>
      </w:pPr>
      <w:r>
        <w:rPr>
          <w:b/>
          <w:color w:val="003CA0"/>
          <w:sz w:val="16"/>
        </w:rPr>
        <w:t>[ADI 3.735, rel. min. Cármen Lúcia, j. 8-9-2016, P, DJE de 1º-8-2017.]</w:t>
      </w:r>
    </w:p>
    <w:p>
      <w:pPr>
        <w:ind w:left="288"/>
      </w:pPr>
      <w:r>
        <w:rPr>
          <w:color w:val="8C8C8C"/>
          <w:sz w:val="12"/>
        </w:rPr>
        <w:t>cf-art-22-inc-XXIII</w:t>
      </w:r>
      <w:r>
        <w:rPr>
          <w:color w:val="003CA0"/>
          <w:sz w:val="12"/>
        </w:rPr>
        <w:t xml:space="preserve"> | ADI 1.746</w:t>
      </w:r>
      <w:r>
        <w:rPr>
          <w:color w:val="003CA0"/>
          <w:sz w:val="12"/>
        </w:rPr>
        <w:t xml:space="preserve"> | rel. Marco Aurélio</w:t>
      </w:r>
    </w:p>
    <w:p>
      <w:pPr>
        <w:ind w:left="288"/>
      </w:pPr>
      <w:r>
        <w:rPr>
          <w:color w:val="1E1E1E"/>
          <w:sz w:val="18"/>
        </w:rPr>
        <w:t>A teor do disposto no art. 22, XXVII, da CF, compete à União a regulação de normas gerais sobre licitação e contratação públicas, abrangidas a rescisão de contrato administrativo e a indenização cabível.</w:t>
      </w:r>
    </w:p>
    <w:p>
      <w:pPr>
        <w:ind w:left="288"/>
      </w:pPr>
      <w:r>
        <w:rPr>
          <w:b/>
          <w:color w:val="003CA0"/>
          <w:sz w:val="16"/>
        </w:rPr>
        <w:t>[ADI 1.746, rel. min. Marco Aurélio, j. 18-9-2014, P, DJE de 13-11-2014.]</w:t>
      </w:r>
    </w:p>
    <w:p>
      <w:pPr>
        <w:ind w:left="288"/>
      </w:pPr>
      <w:r>
        <w:rPr>
          <w:color w:val="8C8C8C"/>
          <w:sz w:val="12"/>
        </w:rPr>
        <w:t>cf-art-22-inc-XXIII</w:t>
      </w:r>
      <w:r>
        <w:rPr>
          <w:color w:val="003CA0"/>
          <w:sz w:val="12"/>
        </w:rPr>
        <w:t xml:space="preserve"> | ADI 3.670</w:t>
      </w:r>
      <w:r>
        <w:rPr>
          <w:color w:val="003CA0"/>
          <w:sz w:val="12"/>
        </w:rPr>
        <w:t xml:space="preserve"> | rel. Sepúlveda Pertence</w:t>
      </w:r>
    </w:p>
    <w:p>
      <w:pPr>
        <w:ind w:left="288"/>
      </w:pPr>
      <w:r>
        <w:rPr>
          <w:color w:val="1E1E1E"/>
          <w:sz w:val="18"/>
        </w:rPr>
        <w:t>Ação direta de inconstitucionalidade: Lei distrital 3.705, de 21-11-2005, que cria restrições a empresas que discriminarem na contratação de mão de obra: inconstitucionalidade declarada. Ofensa à competência privativa da União para legislar sobre normas gerais de licitação e contratação administrativa, em todas as modalidades, para as administrações públicas diretas, autárquicas e fundacionais de todos os entes da Federação (CF, art. 22, XXVII) e para dispor sobre direito do trabalho e inspeção do trabalho (CF, art. 21, XXIV, e art. 22, I).</w:t>
      </w:r>
    </w:p>
    <w:p>
      <w:pPr>
        <w:ind w:left="288"/>
      </w:pPr>
      <w:r>
        <w:rPr>
          <w:b/>
          <w:color w:val="003CA0"/>
          <w:sz w:val="16"/>
        </w:rPr>
        <w:t>[ADI 3.670, rel. min. Sepúlveda Pertence, j. 2-4-2007, P, DJ de 18-5-2007.]</w:t>
      </w:r>
    </w:p>
    <w:p>
      <w:pPr>
        <w:ind w:left="288"/>
      </w:pPr>
      <w:r>
        <w:rPr>
          <w:color w:val="8C8C8C"/>
          <w:sz w:val="12"/>
        </w:rPr>
        <w:t>cf-art-22-inc-XXIII</w:t>
      </w:r>
      <w:r>
        <w:rPr>
          <w:color w:val="003CA0"/>
          <w:sz w:val="12"/>
        </w:rPr>
        <w:t xml:space="preserve"> | RE 1.188.352</w:t>
      </w:r>
      <w:r>
        <w:rPr>
          <w:color w:val="003CA0"/>
          <w:sz w:val="12"/>
        </w:rPr>
        <w:t xml:space="preserve"> | rel. Luiz Fux</w:t>
      </w:r>
    </w:p>
    <w:p>
      <w:pPr>
        <w:ind w:left="288"/>
      </w:pPr>
      <w:r>
        <w:rPr>
          <w:color w:val="1E1E1E"/>
          <w:sz w:val="18"/>
        </w:rPr>
        <w:t>(...) “São constitucionais as leis dos Estados, Distrito Federal e Municípios que, no procedimento licitatório, antecipam a fase da apresentação das propostas à da habilitação dos licitantes, desde que devidamente motivado o ato administrativo, em virtude da competência dos demais entes federativos de legislar sobre procedimento administrativo”.</w:t>
      </w:r>
    </w:p>
    <w:p>
      <w:pPr>
        <w:ind w:left="288"/>
      </w:pPr>
      <w:r>
        <w:rPr>
          <w:b/>
          <w:color w:val="003CA0"/>
          <w:sz w:val="16"/>
        </w:rPr>
        <w:t>[RE 1.188.352, rel. min. Luiz Fux, j. 27.05.2024, P, DJE de 21.06.2024. Tema 1.036, com mérito julgado.]</w:t>
      </w:r>
    </w:p>
    <w:p>
      <w:pPr>
        <w:ind w:left="288"/>
      </w:pPr>
      <w:r>
        <w:rPr>
          <w:color w:val="8C8C8C"/>
          <w:sz w:val="12"/>
        </w:rPr>
        <w:t>cf-art-22-inc-XXIII</w:t>
      </w:r>
      <w:r>
        <w:rPr>
          <w:color w:val="003CA0"/>
          <w:sz w:val="12"/>
        </w:rPr>
        <w:t xml:space="preserve"> | RE 1.536.640</w:t>
      </w:r>
      <w:r>
        <w:rPr>
          <w:color w:val="003CA0"/>
          <w:sz w:val="12"/>
        </w:rPr>
        <w:t xml:space="preserve"> | rel. André Mendonça</w:t>
      </w:r>
    </w:p>
    <w:p>
      <w:pPr>
        <w:ind w:left="288"/>
      </w:pPr>
      <w:r>
        <w:rPr>
          <w:color w:val="1E1E1E"/>
          <w:sz w:val="18"/>
        </w:rPr>
        <w:t>É formalmente constitucional — na medida em que não configura matéria sujeita à reserva de iniciativa do chefe do Poder Executivo — a Lei Distrital nº 7.465/2024, que instituiu o Programa de Financiamento da Infraestrutura Pública do Distrito Federal, destinado a viabilizar a captação de recursos privados para realização de obras e manutenção de equipamentos públicos mediante parcerias entre o poder público e a iniciativa privada. Sob o aspecto material, aos dispositivos da lei distrital impugnada referentes à concessão de uso de bem público, é possível conferir interpretação conforme à Consti</w:t>
      </w:r>
    </w:p>
    <w:p>
      <w:pPr>
        <w:ind w:left="288"/>
      </w:pPr>
      <w:r>
        <w:rPr>
          <w:b/>
          <w:color w:val="003CA0"/>
          <w:sz w:val="16"/>
        </w:rPr>
        <w:t>[RE 1.536.640, rel. min. André Mendonça, j. 13.11.2025, P, Informativo STF 1.199.]</w:t>
      </w:r>
    </w:p>
    <w:p>
      <w:pPr>
        <w:ind w:left="144"/>
      </w:pPr>
      <w:r>
        <w:rPr>
          <w:b/>
          <w:color w:val="B45A00"/>
          <w:sz w:val="16"/>
        </w:rPr>
        <w:t>JULGADOS CORRELATOS</w:t>
      </w:r>
    </w:p>
    <w:p>
      <w:pPr>
        <w:ind w:left="288"/>
      </w:pPr>
      <w:r>
        <w:rPr>
          <w:color w:val="8C8C8C"/>
          <w:sz w:val="12"/>
        </w:rPr>
        <w:t>cf-art-22-inc-XXIII</w:t>
      </w:r>
      <w:r>
        <w:rPr>
          <w:color w:val="003CA0"/>
          <w:sz w:val="12"/>
        </w:rPr>
        <w:t xml:space="preserve"> | RE 1.327.523</w:t>
      </w:r>
      <w:r>
        <w:rPr>
          <w:color w:val="003CA0"/>
          <w:sz w:val="12"/>
        </w:rPr>
        <w:t xml:space="preserve"> | rel. Dias Toffoli</w:t>
      </w:r>
    </w:p>
    <w:p>
      <w:pPr>
        <w:ind w:left="288"/>
      </w:pPr>
      <w:r>
        <w:rPr>
          <w:color w:val="1E1E1E"/>
          <w:sz w:val="18"/>
        </w:rPr>
        <w:t>A Corte já reconheceu a natureza de normas gerais sobre licitação e contratação às leis federais que exigem autorização legislativa prévia para alienação de bens públicos imóveis, não podendo os estados e municípios, em atenção à distribuição constitucional de competências, desbordar desse parâmetro ao conformar a matéria a seu âmbito de atuação.</w:t>
        <w:br/>
        <w:t>[RE 1.327.523 AgR, rel. min. Dias Toffoli, j. 29-5-2023, P, DJE de 4-7-2023.] O art. 22, XXVII, da CF dispõe ser da União, privativamente, a legislação sobre normas gerais de licitação e contratação. A Lei federal 8.666/1993 autoriza o controle prévio</w:t>
      </w:r>
    </w:p>
    <w:p>
      <w:pPr>
        <w:ind w:left="288"/>
      </w:pPr>
      <w:r>
        <w:rPr>
          <w:b/>
          <w:color w:val="003CA0"/>
          <w:sz w:val="16"/>
        </w:rPr>
        <w:t>[ADI 7.546, rel. min. Nunes Marques, j.18-2-2026, P, DJE de 2-3-2026.]</w:t>
      </w:r>
    </w:p>
    <w:p>
      <w:pPr>
        <w:ind w:left="144"/>
      </w:pPr>
      <w:r>
        <w:rPr>
          <w:b/>
          <w:color w:val="B45A00"/>
          <w:sz w:val="16"/>
        </w:rPr>
        <w:t>CONTROLE CONCENTRADO</w:t>
      </w:r>
    </w:p>
    <w:p>
      <w:pPr>
        <w:ind w:left="288"/>
      </w:pPr>
      <w:r>
        <w:rPr>
          <w:color w:val="8C8C8C"/>
          <w:sz w:val="12"/>
        </w:rPr>
        <w:t>cf-art-22-inc-XXIII</w:t>
      </w:r>
      <w:r>
        <w:rPr>
          <w:color w:val="003CA0"/>
          <w:sz w:val="12"/>
        </w:rPr>
        <w:t xml:space="preserve"> | ADI 5.354</w:t>
      </w:r>
      <w:r>
        <w:rPr>
          <w:color w:val="003CA0"/>
          <w:sz w:val="12"/>
        </w:rPr>
        <w:t xml:space="preserve"> | rel. Dias Toffoli</w:t>
      </w:r>
    </w:p>
    <w:p>
      <w:pPr>
        <w:ind w:left="288"/>
      </w:pPr>
      <w:r>
        <w:rPr>
          <w:color w:val="1E1E1E"/>
          <w:sz w:val="18"/>
        </w:rPr>
        <w:t>Competência legislativa privativa da União para legislar sobre normas gerais de organização, efetivos, material bélico, garantias, convocação e mobilização das polícias militares e corpos de bombeiros militares. Normas estaduais suplementares à lei federal sobre normas gerais para a prestação voluntária de serviços administrativos e de serviços auxiliares de saúde e de defesa civil nas polícias militares e nos corpos de bombeiros militares (Lei nº 10.029/00). Inovação e divergência com relação às disposições constantes da legislação federal. Contrariedade à lei federal sobre normas gerais sobr</w:t>
      </w:r>
    </w:p>
    <w:p>
      <w:pPr>
        <w:ind w:left="288"/>
      </w:pPr>
      <w:r>
        <w:rPr>
          <w:color w:val="8C8C8C"/>
          <w:sz w:val="12"/>
        </w:rPr>
        <w:t>cf-art-22-inc-XXIII</w:t>
      </w:r>
      <w:r>
        <w:rPr>
          <w:color w:val="003CA0"/>
          <w:sz w:val="12"/>
        </w:rPr>
        <w:t xml:space="preserve"> | ADI 5.424</w:t>
      </w:r>
      <w:r>
        <w:rPr>
          <w:color w:val="003CA0"/>
          <w:sz w:val="12"/>
        </w:rPr>
        <w:t xml:space="preserve"> | rel. Dias Toffoli</w:t>
      </w:r>
    </w:p>
    <w:p>
      <w:pPr>
        <w:ind w:left="288"/>
      </w:pPr>
      <w:r>
        <w:rPr>
          <w:color w:val="1E1E1E"/>
          <w:sz w:val="18"/>
        </w:rPr>
        <w:t xml:space="preserve">A Lei 16.751/2015 do Estado de Santa Catarina, ao vedar a propaganda de medicamentos e similares nos meios de comunicação sonoros, audiovisuais e escritos daquele Estado, usurpou a competência privativa da União para legislar sobre propaganda comercial (art. 22, inciso XXIX, da Constituição), especificamente em tema de medicamentos (art. 220, § 4º, da CF/88), além de ter contrariado o regramento federal sobre a matéria, que permite que medicamentos anódinos e de venda livre sejam anunciados nos órgãos de comunicação social, com a condição de conterem advertências quanto ao seu abuso, conforme </w:t>
      </w:r>
    </w:p>
    <w:p>
      <w:pPr>
        <w:ind w:left="288"/>
      </w:pPr>
      <w:r>
        <w:rPr>
          <w:color w:val="8C8C8C"/>
          <w:sz w:val="12"/>
        </w:rPr>
        <w:t>cf-art-22-par-unico</w:t>
      </w:r>
      <w:r>
        <w:rPr>
          <w:color w:val="003CA0"/>
          <w:sz w:val="12"/>
        </w:rPr>
        <w:t xml:space="preserve"> | ADI 4.212</w:t>
      </w:r>
      <w:r>
        <w:rPr>
          <w:color w:val="003CA0"/>
          <w:sz w:val="12"/>
        </w:rPr>
        <w:t xml:space="preserve"> | rel. Rosa Weber</w:t>
      </w:r>
    </w:p>
    <w:p>
      <w:pPr>
        <w:ind w:left="288"/>
      </w:pPr>
      <w:r>
        <w:rPr>
          <w:color w:val="1E1E1E"/>
          <w:sz w:val="18"/>
        </w:rPr>
        <w:t>O art. 107 da Lei Federal 9.503/1997 – Código de Trânsito Brasileiro – confere a possibilidade de o poder competente regular as condições técnicas e de segurança de acordo com as peculiaridades relativas a cada ente. Não se trata de autorização para legislar, nos termos do art. 22, parágrafo único, da Constituição Federal, que permanece incólume, mas de possibilidade de regulamentação por meio do estabelecimento de normas técnicas, de higiene, de conforto e de segurança a serem atendidas para a exploração da atividade de transporte individual ou coletivo de passageiros por veículos de aluguel.</w:t>
      </w:r>
    </w:p>
    <w:p>
      <w:pPr>
        <w:ind w:left="288"/>
      </w:pPr>
      <w:r>
        <w:rPr>
          <w:b/>
          <w:color w:val="003CA0"/>
          <w:sz w:val="16"/>
        </w:rPr>
        <w:t>[ADI 4.212, rel. min. Rosa Weber, j. 29-6-2020, P, DJE de 13-8-2020.]</w:t>
      </w:r>
    </w:p>
    <w:p>
      <w:pPr>
        <w:ind w:left="288"/>
      </w:pPr>
      <w:r>
        <w:rPr>
          <w:color w:val="8C8C8C"/>
          <w:sz w:val="12"/>
        </w:rPr>
        <w:t>cf-art-22-par-unico</w:t>
      </w:r>
      <w:r>
        <w:rPr>
          <w:color w:val="003CA0"/>
          <w:sz w:val="12"/>
        </w:rPr>
        <w:t xml:space="preserve"> | ADI 4.391</w:t>
      </w:r>
      <w:r>
        <w:rPr>
          <w:color w:val="003CA0"/>
          <w:sz w:val="12"/>
        </w:rPr>
        <w:t xml:space="preserve"> | rel. Dias Toffoli</w:t>
      </w:r>
    </w:p>
    <w:p>
      <w:pPr>
        <w:ind w:left="288"/>
      </w:pPr>
      <w:r>
        <w:rPr>
          <w:color w:val="1E1E1E"/>
          <w:sz w:val="18"/>
        </w:rPr>
        <w:t>A competência legislativa do Estado do Rio de Janeiro para fixar piso salarial decorre da LC federal 103, de 2000, mediante a qual a União, valendo-se do disposto no art. 22, I e parágrafo único, da Carta Maior, delegou aos Estados e ao Distrito Federal a competência para instituir piso salarial para os empregados que não tenham esse mínimo definido em lei federal, convenção ou acordo coletivo de trabalho. Trata-se de lei estadual que consubstancia um exemplo típico de exercício, pelo legislador federado, da figura da competência privativa delegada. A expressão "que o fixe a maior", contida no</w:t>
      </w:r>
    </w:p>
    <w:p>
      <w:pPr>
        <w:ind w:left="288"/>
      </w:pPr>
      <w:r>
        <w:rPr>
          <w:b/>
          <w:color w:val="003CA0"/>
          <w:sz w:val="16"/>
        </w:rPr>
        <w:t>[ADI 4.391, rel. min. Dias Toffoli, j. 2-3-2011, P, DJE de 20-6-2011.]</w:t>
      </w:r>
    </w:p>
    <w:p>
      <w:pPr>
        <w:ind w:left="288"/>
      </w:pPr>
      <w:r>
        <w:rPr>
          <w:color w:val="8C8C8C"/>
          <w:sz w:val="12"/>
        </w:rPr>
        <w:t>cf-art-22-par-unico</w:t>
      </w:r>
      <w:r>
        <w:rPr>
          <w:color w:val="003CA0"/>
          <w:sz w:val="12"/>
        </w:rPr>
        <w:t xml:space="preserve"> | ADI 4.364</w:t>
      </w:r>
      <w:r>
        <w:rPr>
          <w:color w:val="003CA0"/>
          <w:sz w:val="12"/>
        </w:rPr>
        <w:t xml:space="preserve"> | rel. Dias Toffoli</w:t>
      </w:r>
    </w:p>
    <w:p>
      <w:pPr>
        <w:ind w:left="288"/>
      </w:pPr>
      <w:r>
        <w:rPr>
          <w:color w:val="1E1E1E"/>
          <w:sz w:val="18"/>
        </w:rPr>
        <w:t>A competência legislativa do Estado de Santa Catarina para fixar piso salarial decorre da LC federal 103, de 2000, mediante a qual a União, valendo-se do disposto no art. 22, I e parágrafo único, da Carta Maior, delegou aos Estados e ao Distrito Federal a competência para instituir piso salarial para os empregados que não tenham esse mínimo definido em lei federal, convenção ou acordo coletivo de trabalho. Trata-se de lei estadual que consubstancia um exemplo típico de exercício, pelo legislador federado, da figura da competência privativa delegada.</w:t>
      </w:r>
    </w:p>
    <w:p>
      <w:pPr>
        <w:ind w:left="288"/>
      </w:pPr>
      <w:r>
        <w:rPr>
          <w:b/>
          <w:color w:val="003CA0"/>
          <w:sz w:val="16"/>
        </w:rPr>
        <w:t>[ADI 4.364, rel. min. Dias Toffoli, j. 2-3-2011, P, DJE de 16-5-2011.]</w:t>
      </w:r>
    </w:p>
    <w:p>
      <w:r>
        <w:rPr>
          <w:b/>
          <w:color w:val="003366"/>
          <w:sz w:val="20"/>
        </w:rPr>
        <w:t>Art. 23 Até que se edite a regulamentação do art. 21, XVI, da Constituição, os a</w:t>
      </w:r>
      <w:r>
        <w:rPr>
          <w:color w:val="8C8C8C"/>
          <w:sz w:val="14"/>
        </w:rPr>
        <w:t xml:space="preserve">  [24 decisoes]</w:t>
      </w:r>
    </w:p>
    <w:p>
      <w:pPr>
        <w:ind w:left="144"/>
      </w:pPr>
      <w:r>
        <w:rPr>
          <w:b/>
          <w:color w:val="B45A00"/>
          <w:sz w:val="16"/>
        </w:rPr>
        <w:t>CONTROLE CONCENTRADO</w:t>
      </w:r>
    </w:p>
    <w:p>
      <w:pPr>
        <w:ind w:left="288"/>
      </w:pPr>
      <w:r>
        <w:rPr>
          <w:color w:val="8C8C8C"/>
          <w:sz w:val="12"/>
        </w:rPr>
        <w:t>cf-art-23</w:t>
      </w:r>
      <w:r>
        <w:rPr>
          <w:color w:val="003CA0"/>
          <w:sz w:val="12"/>
        </w:rPr>
        <w:t xml:space="preserve"> | ADI 3.193</w:t>
      </w:r>
      <w:r>
        <w:rPr>
          <w:color w:val="003CA0"/>
          <w:sz w:val="12"/>
        </w:rPr>
        <w:t xml:space="preserve"> | rel. Marco Aurélio</w:t>
      </w:r>
    </w:p>
    <w:p>
      <w:pPr>
        <w:ind w:left="288"/>
      </w:pPr>
      <w:r>
        <w:rPr>
          <w:color w:val="1E1E1E"/>
          <w:sz w:val="18"/>
        </w:rPr>
        <w:t>A técnica da remissão a lei federal, tomando-se de empréstimo preceitos nela contidos, pressupõe a possibilidade de o Estado legislar, de modo originário, sobre a matéria.</w:t>
      </w:r>
    </w:p>
    <w:p>
      <w:pPr>
        <w:ind w:left="288"/>
      </w:pPr>
      <w:r>
        <w:rPr>
          <w:b/>
          <w:color w:val="003CA0"/>
          <w:sz w:val="16"/>
        </w:rPr>
        <w:t>[ADI 3.193, rel. min. Marco Aurélio, j. 9-5-2013, P, DJE de 6-8-2013.]</w:t>
      </w:r>
    </w:p>
    <w:p>
      <w:pPr>
        <w:ind w:left="288"/>
      </w:pPr>
      <w:r>
        <w:rPr>
          <w:color w:val="8C8C8C"/>
          <w:sz w:val="12"/>
        </w:rPr>
        <w:t>cf-art-23</w:t>
      </w:r>
      <w:r>
        <w:rPr>
          <w:color w:val="003CA0"/>
          <w:sz w:val="12"/>
        </w:rPr>
        <w:t xml:space="preserve"> | ACO 3.121</w:t>
      </w:r>
      <w:r>
        <w:rPr>
          <w:color w:val="003CA0"/>
          <w:sz w:val="12"/>
        </w:rPr>
        <w:t xml:space="preserve"> | rel. Rosa Weber</w:t>
      </w:r>
    </w:p>
    <w:p>
      <w:pPr>
        <w:ind w:left="288"/>
      </w:pPr>
      <w:r>
        <w:rPr>
          <w:color w:val="1E1E1E"/>
          <w:sz w:val="18"/>
        </w:rPr>
        <w:t xml:space="preserve">O fluxo da imigração massiva é evento extraordinário, imprevisível, excepcional, e seu impacto no Estado-autor decorre do fato da posição geográfica de Roraima se mostrar atraente a facilitar a entrada dos imigrantes ao Brasil. O gasto extraordinário não resultou de qualquer fato imputável ao Estado de Roraima, mas sim da necessária – decorrência do cumprimento de tratados internacionais – abertura da fronteira, pelo Estado brasileiro, para recepcionar refugiados venezuelanos. O federalismo brasileiro é de base cooperativa, o que encontra fundamento constitucional. Nas matérias de que trata o </w:t>
      </w:r>
    </w:p>
    <w:p>
      <w:pPr>
        <w:ind w:left="288"/>
      </w:pPr>
      <w:r>
        <w:rPr>
          <w:b/>
          <w:color w:val="003CA0"/>
          <w:sz w:val="16"/>
        </w:rPr>
        <w:t>[ACO 3.121, rel. min. Rosa Weber, j. 13-10-2020, P, DJE de 27-10-2020.]</w:t>
      </w:r>
    </w:p>
    <w:p>
      <w:pPr>
        <w:ind w:left="144"/>
      </w:pPr>
      <w:r>
        <w:rPr>
          <w:b/>
          <w:color w:val="B45A00"/>
          <w:sz w:val="16"/>
        </w:rPr>
        <w:t>JULGADOS CORRELATOS</w:t>
      </w:r>
    </w:p>
    <w:p>
      <w:pPr>
        <w:ind w:left="288"/>
      </w:pPr>
      <w:r>
        <w:rPr>
          <w:color w:val="8C8C8C"/>
          <w:sz w:val="12"/>
        </w:rPr>
        <w:t>cf-art-23</w:t>
      </w:r>
      <w:r>
        <w:rPr>
          <w:color w:val="003CA0"/>
          <w:sz w:val="12"/>
        </w:rPr>
        <w:t xml:space="preserve"> | ACO 3.113</w:t>
      </w:r>
    </w:p>
    <w:p>
      <w:pPr>
        <w:ind w:left="288"/>
      </w:pPr>
      <w:r>
        <w:rPr>
          <w:color w:val="1E1E1E"/>
          <w:sz w:val="18"/>
        </w:rPr>
        <w:t>No exercício de sua competência privativa, a União editou a Lei 13.45/2017 – Lei de Migração – a qual afirma entre os princípios e diretrizes da política migratória brasileira, a universalidade, indivisibilidade e interdependência dos direitos humanos, a acolhida humanitária, o fortalecimento da integração econômica, política, social e cultural dos povos da América Latina, mediante constituição de espaços de cidadania e de livre circulação de pessoas e a cooperação internacional com Estados de origem, de trânsito e de destino de movimentos migratórios, a fim de garantir efetiva proteção aos di</w:t>
      </w:r>
    </w:p>
    <w:p>
      <w:pPr>
        <w:ind w:left="288"/>
      </w:pPr>
      <w:r>
        <w:rPr>
          <w:b/>
          <w:color w:val="003CA0"/>
          <w:sz w:val="16"/>
        </w:rPr>
        <w:t>[ACO 3.113, red. do ac. min. Alexandre de Moraes, j. 13-10-2020, P, DJE de 16-12-2020]</w:t>
      </w:r>
    </w:p>
    <w:p>
      <w:pPr>
        <w:ind w:left="288"/>
      </w:pPr>
      <w:r>
        <w:rPr>
          <w:color w:val="8C8C8C"/>
          <w:sz w:val="12"/>
        </w:rPr>
        <w:t>cf-art-23</w:t>
      </w:r>
      <w:r>
        <w:rPr>
          <w:color w:val="003CA0"/>
          <w:sz w:val="12"/>
        </w:rPr>
        <w:t xml:space="preserve"> | RE 194.704</w:t>
      </w:r>
      <w:r>
        <w:rPr>
          <w:color w:val="003CA0"/>
          <w:sz w:val="12"/>
        </w:rPr>
        <w:t xml:space="preserve"> | rel. Edson Fachin</w:t>
      </w:r>
    </w:p>
    <w:p>
      <w:pPr>
        <w:ind w:left="288"/>
      </w:pPr>
      <w:r>
        <w:rPr>
          <w:color w:val="1E1E1E"/>
          <w:sz w:val="18"/>
        </w:rPr>
        <w:t>Nos casos em que a dúvida sobre a competência legislativa recai sobre norma que abrange mais de um tema, deve o intérprete acolher interpretação que não tolha a competência que detêm os entes menores para dispor sobre determinada matéria (presumption against preemption). Porque o federalismo é um instrumento de descentralização política que visa realizar direitos fundamentais, se a lei federal ou estadual claramente indicar, de forma adequada, necessária e razoável, que os efeitos de sua aplicação excluem o poder de complementação que detêm os entes menores (clear statement rule), é possível a</w:t>
      </w:r>
    </w:p>
    <w:p>
      <w:pPr>
        <w:ind w:left="288"/>
      </w:pPr>
      <w:r>
        <w:rPr>
          <w:b/>
          <w:color w:val="003CA0"/>
          <w:sz w:val="16"/>
        </w:rPr>
        <w:t>[RE 194.704, rel. p/ o ac. min. Edson Fachin, j. 29-6-2017, P, DJE de 17-11-2017.]</w:t>
      </w:r>
    </w:p>
    <w:p>
      <w:pPr>
        <w:ind w:left="288"/>
      </w:pPr>
      <w:r>
        <w:rPr>
          <w:color w:val="8C8C8C"/>
          <w:sz w:val="12"/>
        </w:rPr>
        <w:t>cf-art-23</w:t>
      </w:r>
      <w:r>
        <w:rPr>
          <w:color w:val="003CA0"/>
          <w:sz w:val="12"/>
        </w:rPr>
        <w:t xml:space="preserve"> | RE 169.247</w:t>
      </w:r>
      <w:r>
        <w:rPr>
          <w:color w:val="003CA0"/>
          <w:sz w:val="12"/>
        </w:rPr>
        <w:t xml:space="preserve"> | rel. Néri da Silveira</w:t>
      </w:r>
    </w:p>
    <w:p>
      <w:pPr>
        <w:ind w:left="288"/>
      </w:pPr>
      <w:r>
        <w:rPr>
          <w:color w:val="1E1E1E"/>
          <w:sz w:val="18"/>
        </w:rPr>
        <w:t>Não se compreende, no rol de competências comuns da União, dos Estados, do Distrito Federal e dos Municípios, ut art. 23 da CF, a matéria concernente à disciplina de "diversões e espetáculos públicos", que, a teor do art. 220, § 3º, I, do Diploma Maior, compete à lei federal regular, estipulando-se, na mesma norma, que "caberá ao Poder Público informar sobre a natureza deles, as faixas etárias a que não se recomendem, locais e horários em que sua apresentação se mostre inadequada".</w:t>
        <w:br/>
        <w:t>[RE 169.247, rel. min. Néri da Silveira, j. 8-4-2002, 2ª T, DJ de 1º-8-2003.]</w:t>
      </w:r>
    </w:p>
    <w:p>
      <w:pPr>
        <w:ind w:left="144"/>
      </w:pPr>
      <w:r>
        <w:rPr>
          <w:b/>
          <w:color w:val="B45A00"/>
          <w:sz w:val="16"/>
        </w:rPr>
        <w:t>CONTROLE CONCENTRADO</w:t>
      </w:r>
    </w:p>
    <w:p>
      <w:pPr>
        <w:ind w:left="288"/>
      </w:pPr>
      <w:r>
        <w:rPr>
          <w:color w:val="8C8C8C"/>
          <w:sz w:val="12"/>
        </w:rPr>
        <w:t>cf-art-23-inc-II</w:t>
      </w:r>
      <w:r>
        <w:rPr>
          <w:color w:val="003CA0"/>
          <w:sz w:val="12"/>
        </w:rPr>
        <w:t xml:space="preserve"> | ADI 6.137</w:t>
      </w:r>
      <w:r>
        <w:rPr>
          <w:color w:val="003CA0"/>
          <w:sz w:val="12"/>
        </w:rPr>
        <w:t xml:space="preserve"> | rel. Cármen Lúcia</w:t>
      </w:r>
    </w:p>
    <w:p>
      <w:pPr>
        <w:ind w:left="288"/>
      </w:pPr>
      <w:r>
        <w:rPr>
          <w:color w:val="1E1E1E"/>
          <w:sz w:val="18"/>
        </w:rPr>
        <w:t>A vedação à pulverização aérea de agrotóxicos é matéria afeta à saúde e ao meio ambiente, listada entre as competências administrativas comuns e entre as competências legislativas concorrentes da União, dos Estados e dos Municípios (incs. II e VI do art. 23; incs. VI e XII do art. 24, todos da Constituição da República).</w:t>
        <w:br/>
        <w:t>[ADI 6.137, rel. min. Cármen Lúcia, j. 29-5-2023, P, DJE de 14-6-2023.] (...) (A) a vacinação compulsória não significa vacinação forçada, por exigir sempre o consentimento do usuário, podendo, contudo, ser implementada por meio de medidas indiretas, as quais compreendem, dent</w:t>
      </w:r>
    </w:p>
    <w:p>
      <w:pPr>
        <w:ind w:left="288"/>
      </w:pPr>
      <w:r>
        <w:rPr>
          <w:b/>
          <w:color w:val="003CA0"/>
          <w:sz w:val="16"/>
        </w:rPr>
        <w:t>[ADI 6.343 MC-REF, red. do ac. min. Alexandre de Moraes, j. 6-5-2020, P, DJE de 17-11-2020.]</w:t>
      </w:r>
    </w:p>
    <w:p>
      <w:pPr>
        <w:ind w:left="288"/>
      </w:pPr>
      <w:r>
        <w:rPr>
          <w:color w:val="8C8C8C"/>
          <w:sz w:val="12"/>
        </w:rPr>
        <w:t>cf-art-23-inc-II</w:t>
      </w:r>
      <w:r>
        <w:rPr>
          <w:color w:val="003CA0"/>
          <w:sz w:val="12"/>
        </w:rPr>
        <w:t xml:space="preserve"> | ADI 6.341</w:t>
      </w:r>
    </w:p>
    <w:p>
      <w:pPr>
        <w:ind w:left="288"/>
      </w:pPr>
      <w:r>
        <w:rPr>
          <w:color w:val="1E1E1E"/>
          <w:sz w:val="18"/>
        </w:rPr>
        <w:t xml:space="preserve">A emergência internacional, reconhecida pela Organização Mundial da Saúde, não implica nem muito menos autoriza a outorga de discricionariedade sem controle ou sem contrapesos típicos do Estado Democrático de Direito. As regras constitucionais não servem apenas para proteger a liberdade individual, mas também o exercício da racionalidade coletiva, isto é, da capacidade de coordenar as ações de forma eficiente. O Estado Democrático de Direito implica o direito de examinar as razões governamentais e o direito de criticá-las. Os agentes públicos agem melhor, mesmo durante emergências, quando são </w:t>
      </w:r>
    </w:p>
    <w:p>
      <w:pPr>
        <w:ind w:left="288"/>
      </w:pPr>
      <w:r>
        <w:rPr>
          <w:b/>
          <w:color w:val="003CA0"/>
          <w:sz w:val="16"/>
        </w:rPr>
        <w:t>[ADI 6.341 MC-REF, red. do ac. min. Edson Fachin, j. 15-4-2020, P, DJE de 13-11-2020.]</w:t>
      </w:r>
    </w:p>
    <w:p>
      <w:pPr>
        <w:ind w:left="288"/>
      </w:pPr>
      <w:r>
        <w:rPr>
          <w:color w:val="8C8C8C"/>
          <w:sz w:val="12"/>
        </w:rPr>
        <w:t>cf-art-23-inc-II</w:t>
      </w:r>
      <w:r>
        <w:rPr>
          <w:color w:val="003CA0"/>
          <w:sz w:val="12"/>
        </w:rPr>
        <w:t xml:space="preserve"> | ADI 2.875</w:t>
      </w:r>
      <w:r>
        <w:rPr>
          <w:color w:val="003CA0"/>
          <w:sz w:val="12"/>
        </w:rPr>
        <w:t xml:space="preserve"> | rel. Ricardo Lewandowski</w:t>
      </w:r>
    </w:p>
    <w:p>
      <w:pPr>
        <w:ind w:left="288"/>
      </w:pPr>
      <w:r>
        <w:rPr>
          <w:color w:val="1E1E1E"/>
          <w:sz w:val="18"/>
        </w:rPr>
        <w:t>Dispositivo de lei distrital que obriga os médicos públicos e particulares do Distrito Federal a notificarem a Secretaria de Saúde sobre os casos de câncer de pele não é inconstitucional. Matéria inserida no âmbito da competência da União, Estados e Distrito Federal, nos termos do art. 23, II, da CF.</w:t>
      </w:r>
    </w:p>
    <w:p>
      <w:pPr>
        <w:ind w:left="288"/>
      </w:pPr>
      <w:r>
        <w:rPr>
          <w:b/>
          <w:color w:val="003CA0"/>
          <w:sz w:val="16"/>
        </w:rPr>
        <w:t>[ADI 2.875, rel. min. Ricardo Lewandowski, j. 4-6-2008, P, DJE de 20-6-2008.]</w:t>
      </w:r>
    </w:p>
    <w:p>
      <w:pPr>
        <w:ind w:left="288"/>
      </w:pPr>
      <w:r>
        <w:rPr>
          <w:color w:val="8C8C8C"/>
          <w:sz w:val="12"/>
        </w:rPr>
        <w:t>cf-art-23-inc-II</w:t>
      </w:r>
      <w:r>
        <w:rPr>
          <w:color w:val="003CA0"/>
          <w:sz w:val="12"/>
        </w:rPr>
        <w:t xml:space="preserve"> | RE 1.198.269</w:t>
      </w:r>
      <w:r>
        <w:rPr>
          <w:color w:val="003CA0"/>
          <w:sz w:val="12"/>
        </w:rPr>
        <w:t xml:space="preserve"> | rel. Gilmar Mendes</w:t>
      </w:r>
    </w:p>
    <w:p>
      <w:pPr>
        <w:ind w:left="288"/>
      </w:pPr>
      <w:r>
        <w:rPr>
          <w:color w:val="1E1E1E"/>
          <w:sz w:val="18"/>
        </w:rPr>
        <w:t>É constitucional lei estadual que impõe a obrigatoriedade de adaptação de percentual de carrinhos de compras para transporte de crianças com deficiência ou mobilidade reduzida.</w:t>
      </w:r>
    </w:p>
    <w:p>
      <w:pPr>
        <w:ind w:left="288"/>
      </w:pPr>
      <w:r>
        <w:rPr>
          <w:b/>
          <w:color w:val="003CA0"/>
          <w:sz w:val="16"/>
        </w:rPr>
        <w:t>[RE 1.198.269, rel. min. Gilmar Mendes, j. 10.06.2025, P, DJE de 23.06.2025, Tema 1.286, com mérito julgado.]</w:t>
      </w:r>
    </w:p>
    <w:p>
      <w:pPr>
        <w:ind w:left="144"/>
      </w:pPr>
      <w:r>
        <w:rPr>
          <w:b/>
          <w:color w:val="B45A00"/>
          <w:sz w:val="16"/>
        </w:rPr>
        <w:t>REPERCUSSAO GERAL</w:t>
      </w:r>
    </w:p>
    <w:p>
      <w:pPr>
        <w:ind w:left="288"/>
      </w:pPr>
      <w:r>
        <w:rPr>
          <w:color w:val="8C8C8C"/>
          <w:sz w:val="12"/>
        </w:rPr>
        <w:t>cf-art-23-inc-II</w:t>
      </w:r>
      <w:r>
        <w:rPr>
          <w:color w:val="003CA0"/>
          <w:sz w:val="12"/>
        </w:rPr>
        <w:t xml:space="preserve"> | RE 855.178</w:t>
      </w:r>
      <w:r>
        <w:rPr>
          <w:color w:val="003CA0"/>
          <w:sz w:val="12"/>
        </w:rPr>
        <w:t xml:space="preserve"> | rel. Luiz Fux</w:t>
      </w:r>
    </w:p>
    <w:p>
      <w:pPr>
        <w:ind w:left="288"/>
      </w:pPr>
      <w:r>
        <w:rPr>
          <w:color w:val="1E1E1E"/>
          <w:sz w:val="18"/>
        </w:rPr>
        <w:t>O tratamento médico adequado aos necessitados se insere no rol dos deveres do Estado, porquanto responsabilidade solidária dos entes federados. O polo passivo pode ser composto por qualquer um deles, isoladamente, ou conjuntamente.</w:t>
        <w:br/>
        <w:t>[RE 855.178 RG, rel. min. Luiz Fux, j. 5-3-2015, P, DJE de 16-3-2015, Tema 793, com mérito julgado.] Esta Suprema Corte, no julgamento do RE-RG 855.178, Rel. Min. Luiz Fux, DJe 16.3.2015 (tema 793), firmou entendimento segundo o qual constitui obrigação solidária entre os entes da federação prover o fornecimento de meios adequados à garantia do direito à saúde. A so</w:t>
      </w:r>
    </w:p>
    <w:p>
      <w:pPr>
        <w:ind w:left="288"/>
      </w:pPr>
      <w:r>
        <w:rPr>
          <w:b/>
          <w:color w:val="003CA0"/>
          <w:sz w:val="16"/>
        </w:rPr>
        <w:t>[Rcl 85.855 AgR, rel. min. Gilmar Mendes, j. 25-2-2026, 2ª T, DJE de 5-3-2026.]</w:t>
      </w:r>
    </w:p>
    <w:p>
      <w:pPr>
        <w:ind w:left="144"/>
      </w:pPr>
      <w:r>
        <w:rPr>
          <w:b/>
          <w:color w:val="B45A00"/>
          <w:sz w:val="16"/>
        </w:rPr>
        <w:t>JULGADOS CORRELATOS</w:t>
      </w:r>
    </w:p>
    <w:p>
      <w:pPr>
        <w:ind w:left="288"/>
      </w:pPr>
      <w:r>
        <w:rPr>
          <w:color w:val="8C8C8C"/>
          <w:sz w:val="12"/>
        </w:rPr>
        <w:t>cf-art-23-inc-II</w:t>
      </w:r>
      <w:r>
        <w:rPr>
          <w:color w:val="003CA0"/>
          <w:sz w:val="12"/>
        </w:rPr>
        <w:t xml:space="preserve"> | ADPF 770</w:t>
      </w:r>
      <w:r>
        <w:rPr>
          <w:color w:val="003CA0"/>
          <w:sz w:val="12"/>
        </w:rPr>
        <w:t xml:space="preserve"> | rel. Ricardo Lewandowski</w:t>
      </w:r>
    </w:p>
    <w:p>
      <w:pPr>
        <w:ind w:left="288"/>
      </w:pPr>
      <w:r>
        <w:rPr>
          <w:color w:val="1E1E1E"/>
          <w:sz w:val="18"/>
        </w:rPr>
        <w:t>Nos termos da histórica jurisprudência desta Suprema Corte, a requisição administrativa não pode se voltar contra bem ou serviço de outro ente federativo, de maneira a que haja indevida interferência na autonomia de um sobre outro. (...) Na espécie, os produtos requisitados já foram objeto de contratação e empenho pelo Estado de São Paulo, visando, justamente, o uso nas ações de imunização contra a COVID-19 a serem empreendidas por aquele ente federativo, haja vista que a competência da União, por meio do Ministério da Saúde, de ‘coordenar o PNI e definir as vacinas integrantes do calendário n</w:t>
      </w:r>
    </w:p>
    <w:p>
      <w:pPr>
        <w:ind w:left="288"/>
      </w:pPr>
      <w:r>
        <w:rPr>
          <w:b/>
          <w:color w:val="003CA0"/>
          <w:sz w:val="16"/>
        </w:rPr>
        <w:t>[ACO 3.463 MC REF, rel. min. Ricardo Lewandowski, j. 8-3-2021, P, DJE de 17-3-2021.]</w:t>
      </w:r>
    </w:p>
    <w:p>
      <w:pPr>
        <w:ind w:left="288"/>
      </w:pPr>
      <w:r>
        <w:rPr>
          <w:color w:val="8C8C8C"/>
          <w:sz w:val="12"/>
        </w:rPr>
        <w:t>cf-art-23-inc-II</w:t>
      </w:r>
      <w:r>
        <w:rPr>
          <w:color w:val="003CA0"/>
          <w:sz w:val="12"/>
        </w:rPr>
        <w:t xml:space="preserve"> | ACO 3.451</w:t>
      </w:r>
      <w:r>
        <w:rPr>
          <w:color w:val="003CA0"/>
          <w:sz w:val="12"/>
        </w:rPr>
        <w:t xml:space="preserve"> | rel. Ricardo Lewandowski</w:t>
      </w:r>
    </w:p>
    <w:p>
      <w:pPr>
        <w:ind w:left="288"/>
      </w:pPr>
      <w:r>
        <w:rPr>
          <w:color w:val="1E1E1E"/>
          <w:sz w:val="18"/>
        </w:rPr>
        <w:t>A Constituição Federal prevê, ao lado do direito subjetivo público à saúde, a obrigação de o Estado dar-lhe efetiva concreção, por meio de ‘políticas sociais e econômicas que visem à redução do risco de doença e de outros agravos e ao acesso universal e igualitário às ações e serviços para a sua promoção, proteção e recuperação’ (art. 196). Esse dever abrange todos os entes federados, inclusive as comunas, os quais, na seara da saúde, exercem uma competência administrativa comum, nos termos do art. 23, II, do Texto Constitucional. O federalismo cooperativo, adotado entre nós, exige que a União</w:t>
      </w:r>
    </w:p>
    <w:p>
      <w:pPr>
        <w:ind w:left="288"/>
      </w:pPr>
      <w:r>
        <w:rPr>
          <w:b/>
          <w:color w:val="003CA0"/>
          <w:sz w:val="16"/>
        </w:rPr>
        <w:t>[ACO 3.451 MC REF, rel. min. Ricardo Lewandowski, j. 24-2-2021, P, DJE de 10-3-2021.]</w:t>
      </w:r>
    </w:p>
    <w:p>
      <w:pPr>
        <w:ind w:left="144"/>
      </w:pPr>
      <w:r>
        <w:rPr>
          <w:b/>
          <w:color w:val="B45A00"/>
          <w:sz w:val="16"/>
        </w:rPr>
        <w:t>CONTROLE CONCENTRADO</w:t>
      </w:r>
    </w:p>
    <w:p>
      <w:pPr>
        <w:ind w:left="288"/>
      </w:pPr>
      <w:r>
        <w:rPr>
          <w:color w:val="8C8C8C"/>
          <w:sz w:val="12"/>
        </w:rPr>
        <w:t>cf-art-23-inc-III</w:t>
      </w:r>
      <w:r>
        <w:rPr>
          <w:color w:val="003CA0"/>
          <w:sz w:val="12"/>
        </w:rPr>
        <w:t xml:space="preserve"> | ADI 4.092</w:t>
      </w:r>
      <w:r>
        <w:rPr>
          <w:color w:val="003CA0"/>
          <w:sz w:val="12"/>
        </w:rPr>
        <w:t xml:space="preserve"> | rel. Nunes Marques</w:t>
      </w:r>
    </w:p>
    <w:p>
      <w:pPr>
        <w:ind w:left="288"/>
      </w:pPr>
      <w:r>
        <w:rPr>
          <w:color w:val="1E1E1E"/>
          <w:sz w:val="18"/>
        </w:rPr>
        <w:t>É possível que Estados e Municípios, com o objetivo de preservar a memória de bens imateriais, instituam feriados de alta significação étnica.</w:t>
        <w:br/>
        <w:t xml:space="preserve">[ADI 4.092, rel. min. Nunes Marques, red. do ac. min. Edson Fachin, j. 28-8-2023, P, DJE de 20-10-2023.] Ação direta de inconstitucionalidade. Art. 251 da Constituição do Estado de Mato Grosso e Lei estadual 7.782/2002, "que declara integrantes do patrimônio científico-cultural do Estado os sítios paleontológicos e arqueológicos localizados em Municípios do Estado de Mato Grosso". Violação aos arts. 23, III, e 216, V, da Constituição. </w:t>
        <w:br/>
        <w:t xml:space="preserve">[ADI 3.525, rel. </w:t>
      </w:r>
    </w:p>
    <w:p>
      <w:pPr>
        <w:ind w:left="288"/>
      </w:pPr>
      <w:r>
        <w:rPr>
          <w:b/>
          <w:color w:val="003CA0"/>
          <w:sz w:val="16"/>
        </w:rPr>
        <w:t>[ADI 2.544, rel. min. Sepúlveda Pertence, j. 28-6-2006, P, DJ de 17-11-2006.]</w:t>
      </w:r>
    </w:p>
    <w:p>
      <w:pPr>
        <w:ind w:left="288"/>
      </w:pPr>
      <w:r>
        <w:rPr>
          <w:color w:val="8C8C8C"/>
          <w:sz w:val="12"/>
        </w:rPr>
        <w:t>cf-art-23-inc-III</w:t>
      </w:r>
      <w:r>
        <w:rPr>
          <w:color w:val="003CA0"/>
          <w:sz w:val="12"/>
        </w:rPr>
        <w:t xml:space="preserve"> | ARE 1.416.029</w:t>
      </w:r>
      <w:r>
        <w:rPr>
          <w:color w:val="003CA0"/>
          <w:sz w:val="12"/>
        </w:rPr>
        <w:t xml:space="preserve"> | rel. Luiz Fux</w:t>
      </w:r>
    </w:p>
    <w:p>
      <w:pPr>
        <w:ind w:left="288"/>
      </w:pPr>
      <w:r>
        <w:rPr>
          <w:color w:val="1E1E1E"/>
          <w:sz w:val="18"/>
        </w:rPr>
        <w:t>O art. 216, §1º, da Constituição Federal, impõe ao Poder Público, com a colaboração da comunidade, a responsabilidade pela promoção e proteção do patrimônio cultural brasileiro por meio do tombamento. A competência para o tombamento é comum entre todos os entes federativos, nos termos dos arts. 23, III, 30, IX e 216, §1º, da Constituição Federal. O tombamento atribui ao bem um regime jurídico especial de proteção, criando obrigações para o proprietário, para todos os entes públicos envolvidos e para a sociedade, operando efeitos erga omnes, no sentido de impedir a prática de atos que acarretem</w:t>
      </w:r>
    </w:p>
    <w:p>
      <w:pPr>
        <w:ind w:left="288"/>
      </w:pPr>
      <w:r>
        <w:rPr>
          <w:b/>
          <w:color w:val="003CA0"/>
          <w:sz w:val="16"/>
        </w:rPr>
        <w:t>[ARE 1.416.029 AgR, rel. min. Luiz Fux, j. 25.06.2025, 1ª T, DJE de 18.07.2025.]</w:t>
      </w:r>
    </w:p>
    <w:p>
      <w:pPr>
        <w:ind w:left="288"/>
      </w:pPr>
      <w:r>
        <w:rPr>
          <w:color w:val="8C8C8C"/>
          <w:sz w:val="12"/>
        </w:rPr>
        <w:t>cf-art-23-inc-V</w:t>
      </w:r>
      <w:r>
        <w:rPr>
          <w:color w:val="003CA0"/>
          <w:sz w:val="12"/>
        </w:rPr>
        <w:t xml:space="preserve"> | ADI 2.572</w:t>
      </w:r>
      <w:r>
        <w:rPr>
          <w:color w:val="003CA0"/>
          <w:sz w:val="12"/>
        </w:rPr>
        <w:t xml:space="preserve"> | rel. Roberto Barroso</w:t>
      </w:r>
    </w:p>
    <w:p>
      <w:pPr>
        <w:ind w:left="288"/>
      </w:pPr>
      <w:r>
        <w:rPr>
          <w:color w:val="1E1E1E"/>
          <w:sz w:val="18"/>
        </w:rPr>
        <w:t>Ação direta de inconstitucionalidade que impugna lei que estabeleceu a reserva de 3% dos lugares disponíveis em salas de projeções, teatros, espaços culturais e nos veículos de transporte público municipal e intermunicipal do Estado do Paraná. Não há inconstitucionalidade formal, tendo em vista que a política de inclusão adotada se enquadra na competência concorrente dos Estados, da União e dos Municípios para promover acesso a cultura, esporte e lazer (arts. 6º; 23, V; 24, IX; 215 e 217, § 3º, CF).</w:t>
      </w:r>
    </w:p>
    <w:p>
      <w:pPr>
        <w:ind w:left="288"/>
      </w:pPr>
      <w:r>
        <w:rPr>
          <w:b/>
          <w:color w:val="003CA0"/>
          <w:sz w:val="16"/>
        </w:rPr>
        <w:t>[ADI 2.572, rel. min. Roberto Barroso, j. 24-10-2022, P, DJE de 10-11-2022.]</w:t>
      </w:r>
    </w:p>
    <w:p>
      <w:pPr>
        <w:ind w:left="288"/>
      </w:pPr>
      <w:r>
        <w:rPr>
          <w:color w:val="8C8C8C"/>
          <w:sz w:val="12"/>
        </w:rPr>
        <w:t>cf-art-23-inc-V</w:t>
      </w:r>
      <w:r>
        <w:rPr>
          <w:color w:val="003CA0"/>
          <w:sz w:val="12"/>
        </w:rPr>
        <w:t xml:space="preserve"> | ADI 1.950</w:t>
      </w:r>
      <w:r>
        <w:rPr>
          <w:color w:val="003CA0"/>
          <w:sz w:val="12"/>
        </w:rPr>
        <w:t xml:space="preserve"> | rel. Eros Grau</w:t>
      </w:r>
    </w:p>
    <w:p>
      <w:pPr>
        <w:ind w:left="288"/>
      </w:pPr>
      <w:r>
        <w:rPr>
          <w:color w:val="1E1E1E"/>
          <w:sz w:val="18"/>
        </w:rPr>
        <w:t>Lei 7.844/1992 do Estado de São Paulo. Meia entrada assegurada aos estudantes regularmente matriculados em estabelecimentos de ensino. Ingresso em casas de diversão, esporte, cultura e lazer. (...) Se de um lado a Constituição assegura a livre iniciativa, de outro determina ao Estado a adoção de todas as providências tendentes a garantir o efetivo exercício do direito à educação, à cultura e ao desporto (arts. 23, V; 205; 208; 215; e 217, § 3º, da Constituição). Na composição entre esses princípios e regras, há de ser preservado o interesse da coletividade, interesse público primário. O direit</w:t>
      </w:r>
    </w:p>
    <w:p>
      <w:pPr>
        <w:ind w:left="288"/>
      </w:pPr>
      <w:r>
        <w:rPr>
          <w:b/>
          <w:color w:val="003CA0"/>
          <w:sz w:val="16"/>
        </w:rPr>
        <w:t>[ADI 1.950, rel. min. Eros Grau, j. 3-11-2005, P, DJ de 2-6-2006.]</w:t>
      </w:r>
    </w:p>
    <w:p>
      <w:pPr>
        <w:ind w:left="288"/>
      </w:pPr>
      <w:r>
        <w:rPr>
          <w:color w:val="8C8C8C"/>
          <w:sz w:val="12"/>
        </w:rPr>
        <w:t>cf-art-23-inc-VI</w:t>
      </w:r>
      <w:r>
        <w:rPr>
          <w:color w:val="003CA0"/>
          <w:sz w:val="12"/>
        </w:rPr>
        <w:t xml:space="preserve"> | ADI 6.137</w:t>
      </w:r>
      <w:r>
        <w:rPr>
          <w:color w:val="003CA0"/>
          <w:sz w:val="12"/>
        </w:rPr>
        <w:t xml:space="preserve"> | rel. Cármen Lúcia</w:t>
      </w:r>
    </w:p>
    <w:p>
      <w:pPr>
        <w:ind w:left="288"/>
      </w:pPr>
      <w:r>
        <w:rPr>
          <w:color w:val="1E1E1E"/>
          <w:sz w:val="18"/>
        </w:rPr>
        <w:t>A vedação à pulverização aérea de agrotóxicos é matéria afeta à saúde e ao meio ambiente, listada entre as competências administrativas comuns e entre as competências legislativas concorrentes da União, dos Estados e dos Municípios (incs. II e VI do art. 23; incs. VI e XII do art. 24, todos da Constituição da República).</w:t>
        <w:br/>
        <w:t>[ADI 6.137, rel. min. Cármen Lúcia, j. 29-5-2023, P, DJE de 14-6-2023.] A competência político-administrativa comum para a proteção do meio ambiente legitima a criação de tributo na modalidade taxa para remunerar a atividade de fiscalização dos Estados.</w:t>
        <w:br/>
        <w:t>[ADI 5.374, rel. min. R</w:t>
      </w:r>
    </w:p>
    <w:p>
      <w:pPr>
        <w:ind w:left="288"/>
      </w:pPr>
      <w:r>
        <w:rPr>
          <w:b/>
          <w:color w:val="003CA0"/>
          <w:sz w:val="16"/>
        </w:rPr>
        <w:t>[ADI 4.615, rel. min. Roberto Barroso, j. 20-9-2019, P, DJE de 28-10-2019.]</w:t>
      </w:r>
    </w:p>
    <w:p>
      <w:pPr>
        <w:ind w:left="288"/>
      </w:pPr>
      <w:r>
        <w:rPr>
          <w:color w:val="8C8C8C"/>
          <w:sz w:val="12"/>
        </w:rPr>
        <w:t>cf-art-23-inc-VI</w:t>
      </w:r>
      <w:r>
        <w:rPr>
          <w:color w:val="003CA0"/>
          <w:sz w:val="12"/>
        </w:rPr>
        <w:t xml:space="preserve"> | ADI 3.338</w:t>
      </w:r>
      <w:r>
        <w:rPr>
          <w:color w:val="003CA0"/>
          <w:sz w:val="12"/>
        </w:rPr>
        <w:t xml:space="preserve"> | rel. Joaquim Barbosa</w:t>
      </w:r>
    </w:p>
    <w:p>
      <w:pPr>
        <w:ind w:left="288"/>
      </w:pPr>
      <w:r>
        <w:rPr>
          <w:color w:val="1E1E1E"/>
          <w:sz w:val="18"/>
        </w:rPr>
        <w:t>Instituição do Programa de Inspeção e Manutenção de Veículos em uso no âmbito do Distrito Federal. (...) O ato normativo impugnado não dispõe sobre trânsito ao criar serviços públicos necessários à proteção do meio ambiente por meio do controle de gases poluentes emitidos pela frota de veículos do Distrito Federal. A alegação do requerente de afronta ao disposto no art. 22, XI, da Constituição do Brasil não procede. A lei distrital apenas regula como o Distrito Federal cumprirá o dever-poder que lhe incumbe – proteção ao meio ambiente. O Distrito Federal possui competência para implementar med</w:t>
      </w:r>
    </w:p>
    <w:p>
      <w:pPr>
        <w:ind w:left="288"/>
      </w:pPr>
      <w:r>
        <w:rPr>
          <w:b/>
          <w:color w:val="003CA0"/>
          <w:sz w:val="16"/>
        </w:rPr>
        <w:t>[ADI 3.338, red. do ac. min. Eros Grau, rel. min. Joaquim Barbosa, j. 31-8-2005, P, DJ de 6-9-2007.]</w:t>
      </w:r>
    </w:p>
    <w:p>
      <w:pPr>
        <w:ind w:left="288"/>
      </w:pPr>
      <w:r>
        <w:rPr>
          <w:color w:val="8C8C8C"/>
          <w:sz w:val="12"/>
        </w:rPr>
        <w:t>cf-art-23-inc-IX</w:t>
      </w:r>
      <w:r>
        <w:rPr>
          <w:color w:val="003CA0"/>
          <w:sz w:val="12"/>
        </w:rPr>
        <w:t xml:space="preserve"> | ADI 1.842</w:t>
      </w:r>
    </w:p>
    <w:p>
      <w:pPr>
        <w:ind w:left="288"/>
      </w:pPr>
      <w:r>
        <w:rPr>
          <w:color w:val="1E1E1E"/>
          <w:sz w:val="18"/>
        </w:rPr>
        <w:t>O interesse comum inclui funções públicas e serviços que atendam a mais de um Município, assim como os que, restritos ao território de um deles, sejam de algum modo dependentes, concorrentes, confluentes ou integrados de funções públicas, bem como serviços supramunicipais. (...) O art. 23, IX, da CF conferiu competência comum à União, aos Estados e aos Municípios para promover a melhoria das condições de saneamento básico. Nada obstante a competência municipal do poder concedente do serviço público de saneamento básico, o alto custo e o monopólio natural do serviço, além da existência de vária</w:t>
      </w:r>
    </w:p>
    <w:p>
      <w:pPr>
        <w:ind w:left="288"/>
      </w:pPr>
      <w:r>
        <w:rPr>
          <w:b/>
          <w:color w:val="003CA0"/>
          <w:sz w:val="16"/>
        </w:rPr>
        <w:t>[ADI 1.842, red. do ac. min. Gilmar Mendes, j. 6-3-2013, P, DJE de 16-9-2013.]</w:t>
      </w:r>
    </w:p>
    <w:p>
      <w:pPr>
        <w:ind w:left="288"/>
      </w:pPr>
      <w:r>
        <w:rPr>
          <w:color w:val="8C8C8C"/>
          <w:sz w:val="12"/>
        </w:rPr>
        <w:t>cf-art-23-inc-X</w:t>
      </w:r>
      <w:r>
        <w:rPr>
          <w:color w:val="003CA0"/>
          <w:sz w:val="12"/>
        </w:rPr>
        <w:t xml:space="preserve"> | ADPF 279</w:t>
      </w:r>
      <w:r>
        <w:rPr>
          <w:color w:val="003CA0"/>
          <w:sz w:val="12"/>
        </w:rPr>
        <w:t xml:space="preserve"> | rel. Cármen Lúcia</w:t>
      </w:r>
    </w:p>
    <w:p>
      <w:pPr>
        <w:ind w:left="288"/>
      </w:pPr>
      <w:r>
        <w:rPr>
          <w:color w:val="1E1E1E"/>
          <w:sz w:val="18"/>
        </w:rPr>
        <w:t>Lei 735/1983 e Lei Complementar 106/1999 do município de Diadema/SP. Assistência judiciária gratuita à população carente. Competência comum dos entes federados para combater as causas da pobreza e os fatores de marginalização e para promover a integração social dos setores desfavorecidos. Inc. X do art. 23 da Constituição da República. Competência do município para serviços públicos de interesse local.</w:t>
      </w:r>
    </w:p>
    <w:p>
      <w:pPr>
        <w:ind w:left="288"/>
      </w:pPr>
      <w:r>
        <w:rPr>
          <w:b/>
          <w:color w:val="003CA0"/>
          <w:sz w:val="16"/>
        </w:rPr>
        <w:t>[ADPF 279, rel. min. Cármen Lúcia, j. 3-11-2021, P, DJE de 14-2-2022.]</w:t>
      </w:r>
    </w:p>
    <w:p>
      <w:pPr>
        <w:ind w:left="288"/>
      </w:pPr>
      <w:r>
        <w:rPr>
          <w:color w:val="8C8C8C"/>
          <w:sz w:val="12"/>
        </w:rPr>
        <w:t>cf-art-23-inc-XI</w:t>
      </w:r>
      <w:r>
        <w:rPr>
          <w:color w:val="003CA0"/>
          <w:sz w:val="12"/>
        </w:rPr>
        <w:t xml:space="preserve"> | ADI 4.606</w:t>
      </w:r>
      <w:r>
        <w:rPr>
          <w:color w:val="003CA0"/>
          <w:sz w:val="12"/>
        </w:rPr>
        <w:t xml:space="preserve"> | rel. Alexandre de Moraes</w:t>
      </w:r>
    </w:p>
    <w:p>
      <w:pPr>
        <w:ind w:left="288"/>
      </w:pPr>
      <w:r>
        <w:rPr>
          <w:color w:val="1E1E1E"/>
          <w:sz w:val="18"/>
        </w:rPr>
        <w:t>As providências enumeradas no art. 23, XI, da CF – registro, fiscalização e acompanhamento – possibilitam o controle pelos demais entes federativos das quotas-partes repassadas a título de compensação financeira pelos órgãos federais, com a possibilidade de criação de obrigações administrativas instrumentais, a serem observadas pelas concessionárias instaladas nos respectivos territórios. Os Estados, Distrito Federal e Municípios não possuem competência para definir as condições de recolhimento das compensações financeiras de sua titularidade, ou mesmo para arrecadá-las diretamente, por interm</w:t>
      </w:r>
    </w:p>
    <w:p>
      <w:pPr>
        <w:ind w:left="288"/>
      </w:pPr>
      <w:r>
        <w:rPr>
          <w:b/>
          <w:color w:val="003CA0"/>
          <w:sz w:val="16"/>
        </w:rPr>
        <w:t>[ADI 4.606, rel. min. Alexandre de Moraes, j. 28-2-2019, P, DJE de 6-5-2019.]</w:t>
      </w:r>
    </w:p>
    <w:p>
      <w:pPr>
        <w:ind w:left="288"/>
      </w:pPr>
      <w:r>
        <w:rPr>
          <w:color w:val="8C8C8C"/>
          <w:sz w:val="12"/>
        </w:rPr>
        <w:t>cf-art-23-inc-XII</w:t>
      </w:r>
      <w:r>
        <w:rPr>
          <w:color w:val="003CA0"/>
          <w:sz w:val="12"/>
        </w:rPr>
        <w:t xml:space="preserve"> | ADI 3.610</w:t>
      </w:r>
      <w:r>
        <w:rPr>
          <w:color w:val="003CA0"/>
          <w:sz w:val="12"/>
        </w:rPr>
        <w:t xml:space="preserve"> | rel. Cezar Peluso</w:t>
      </w:r>
    </w:p>
    <w:p>
      <w:pPr>
        <w:ind w:left="288"/>
      </w:pPr>
      <w:r>
        <w:rPr>
          <w:color w:val="1E1E1E"/>
          <w:sz w:val="18"/>
        </w:rPr>
        <w:t>Profissão de motoboy. Regulamentação. Inadmissibilidade. (...) Competências exclusivas da União. (...) É inconstitucional a lei distrital ou estadual que disponha sobre condições do exercício ou criação de profissão, sobretudo quando esta diga à segurança de trânsito.</w:t>
      </w:r>
    </w:p>
    <w:p>
      <w:pPr>
        <w:ind w:left="288"/>
      </w:pPr>
      <w:r>
        <w:rPr>
          <w:b/>
          <w:color w:val="003CA0"/>
          <w:sz w:val="16"/>
        </w:rPr>
        <w:t>[ADI 3.610, rel. min. Cezar Peluso, j. 1º-8-2011, P, DJE de 22-9-2011.]</w:t>
      </w:r>
    </w:p>
    <w:p>
      <w:pPr>
        <w:ind w:left="288"/>
      </w:pPr>
      <w:r>
        <w:rPr>
          <w:color w:val="8C8C8C"/>
          <w:sz w:val="12"/>
        </w:rPr>
        <w:t>cf-art-23-inc-XII</w:t>
      </w:r>
      <w:r>
        <w:rPr>
          <w:color w:val="003CA0"/>
          <w:sz w:val="12"/>
        </w:rPr>
        <w:t xml:space="preserve"> | ADI 3.679</w:t>
      </w:r>
      <w:r>
        <w:rPr>
          <w:color w:val="003CA0"/>
          <w:sz w:val="12"/>
        </w:rPr>
        <w:t xml:space="preserve"> | rel. Sepúlveda Pertence</w:t>
      </w:r>
    </w:p>
    <w:p>
      <w:pPr>
        <w:ind w:left="288"/>
      </w:pPr>
      <w:r>
        <w:rPr>
          <w:color w:val="1E1E1E"/>
          <w:sz w:val="18"/>
        </w:rPr>
        <w:t>Vide ADI 3.679, rel. min. Sepúlveda Pertence, j. 18-6-2007, P, DJ de 3-8-2007 Os arts. 1º e 2º da Lei catarinense 11.223, de 17-11-1998, que cuidam da obrigatoriedade de identificação telefônica da sede da empresa ou do proprietário nos veículos licenciados no Estado de Santa Catarina e destinados ao transporte de carga e de passageiros, a ser disponibilizada na parte traseira do veículo, por meio de adesivo ou pintura, em lugar visível, constando o código de discagem direta a distância, seguido do número do telefone, não contrariam o inciso XII do art. 5º da Constituição da República. (...) O</w:t>
      </w:r>
    </w:p>
    <w:p>
      <w:pPr>
        <w:ind w:left="288"/>
      </w:pPr>
      <w:r>
        <w:rPr>
          <w:b/>
          <w:color w:val="003CA0"/>
          <w:sz w:val="16"/>
        </w:rPr>
        <w:t>[ADI 2.407, rel. min. Cármen Lúcia, j. 31-5-2007, P, DJ de 29-6-2007.]</w:t>
      </w:r>
    </w:p>
    <w:p>
      <w:pPr>
        <w:ind w:left="288"/>
      </w:pPr>
      <w:r>
        <w:rPr>
          <w:color w:val="8C8C8C"/>
          <w:sz w:val="12"/>
        </w:rPr>
        <w:t>cf-art-23-par-unico</w:t>
      </w:r>
      <w:r>
        <w:rPr>
          <w:color w:val="003CA0"/>
          <w:sz w:val="12"/>
        </w:rPr>
        <w:t xml:space="preserve"> | ADI 4.757</w:t>
      </w:r>
      <w:r>
        <w:rPr>
          <w:color w:val="003CA0"/>
          <w:sz w:val="12"/>
        </w:rPr>
        <w:t xml:space="preserve"> | rel. Rosa Weber</w:t>
      </w:r>
    </w:p>
    <w:p>
      <w:pPr>
        <w:ind w:left="288"/>
      </w:pPr>
      <w:r>
        <w:rPr>
          <w:color w:val="1E1E1E"/>
          <w:sz w:val="18"/>
        </w:rPr>
        <w:t>A Lei Complementar nº 140/2011, em face da intricada teia normativa ambiental, aí incluídos os correlatos deveres fundamentais de tutela, logrou equacionar o sistema descentralizado de competências administrativas em matéria ambiental com os vetores da uniformidade decisória e da racionalidade, valendo-se para tanto da cooperação como superestrutura do diálogo interfederativo. Cumpre assinalar que referida legislação não trata sobre os deveres de tutela ambiental de forma genérica e ampla, como disciplina o art. 225, §1º, IV, tampouco regulamenta o agir legislativo, marcado pela repartição con</w:t>
      </w:r>
    </w:p>
    <w:p>
      <w:pPr>
        <w:ind w:left="288"/>
      </w:pPr>
      <w:r>
        <w:rPr>
          <w:b/>
          <w:color w:val="003CA0"/>
          <w:sz w:val="16"/>
        </w:rPr>
        <w:t>[ADI 2.544, rel. min. Sepúlveda Pertence, j. 28-6-2006, P, DJ de 17-11-2006.]</w:t>
      </w:r>
    </w:p>
    <w:p>
      <w:r>
        <w:rPr>
          <w:b/>
          <w:color w:val="003366"/>
          <w:sz w:val="20"/>
        </w:rPr>
        <w:t>Art. 24 A União, os Estados, o Distrito Federal e os Municípios editarão leis qu</w:t>
      </w:r>
      <w:r>
        <w:rPr>
          <w:color w:val="8C8C8C"/>
          <w:sz w:val="14"/>
        </w:rPr>
        <w:t xml:space="preserve">  [128 decisoes]</w:t>
      </w:r>
    </w:p>
    <w:p>
      <w:pPr>
        <w:ind w:left="144"/>
      </w:pPr>
      <w:r>
        <w:rPr>
          <w:b/>
          <w:color w:val="B45A00"/>
          <w:sz w:val="16"/>
        </w:rPr>
        <w:t>CONTROLE CONCENTRADO</w:t>
      </w:r>
    </w:p>
    <w:p>
      <w:pPr>
        <w:ind w:left="288"/>
      </w:pPr>
      <w:r>
        <w:rPr>
          <w:color w:val="8C8C8C"/>
          <w:sz w:val="12"/>
        </w:rPr>
        <w:t>cf-art-24</w:t>
      </w:r>
      <w:r>
        <w:rPr>
          <w:color w:val="003CA0"/>
          <w:sz w:val="12"/>
        </w:rPr>
        <w:t xml:space="preserve"> | ADI 2.435</w:t>
      </w:r>
      <w:r>
        <w:rPr>
          <w:color w:val="003CA0"/>
          <w:sz w:val="12"/>
        </w:rPr>
        <w:t xml:space="preserve"> | rel. Cármen Lúcia</w:t>
      </w:r>
    </w:p>
    <w:p>
      <w:pPr>
        <w:ind w:left="288"/>
      </w:pPr>
      <w:r>
        <w:rPr>
          <w:color w:val="1E1E1E"/>
          <w:sz w:val="18"/>
        </w:rPr>
        <w:t>A delimitação do campo de atuação legislativa dos entes federativos, em matéria de competência concorrente (art. 24, CF), requer postura interpretativa que considere: (i) a intensidade da situação fática normatizada com a estrutura básica descrita no tipo da regra de competência; (ii) valorização do fim primário a que se destina a norma, relacionado, no federalismo cooperativo, com o princípio da predominância de interesses. Na seara da competência legislativa concorrente, a norma geral assenta-se no pressuposto que a colaboração federativa depende de uma uniformização do ambiente normativo.</w:t>
      </w:r>
    </w:p>
    <w:p>
      <w:pPr>
        <w:ind w:left="288"/>
      </w:pPr>
      <w:r>
        <w:rPr>
          <w:b/>
          <w:color w:val="003CA0"/>
          <w:sz w:val="16"/>
        </w:rPr>
        <w:t>[ADI 2.435, rel. min. Cármen Lúcia, j. 21-12-2020, P, DJE de 26-3-2021.]</w:t>
      </w:r>
    </w:p>
    <w:p>
      <w:pPr>
        <w:ind w:left="144"/>
      </w:pPr>
      <w:r>
        <w:rPr>
          <w:b/>
          <w:color w:val="B45A00"/>
          <w:sz w:val="16"/>
        </w:rPr>
        <w:t>JULGADOS CORRELATOS</w:t>
      </w:r>
    </w:p>
    <w:p>
      <w:pPr>
        <w:ind w:left="288"/>
      </w:pPr>
      <w:r>
        <w:rPr>
          <w:color w:val="8C8C8C"/>
          <w:sz w:val="12"/>
        </w:rPr>
        <w:t>cf-art-24</w:t>
      </w:r>
      <w:r>
        <w:rPr>
          <w:color w:val="003CA0"/>
          <w:sz w:val="12"/>
        </w:rPr>
        <w:t xml:space="preserve"> | RE 194.704</w:t>
      </w:r>
    </w:p>
    <w:p>
      <w:pPr>
        <w:ind w:left="288"/>
      </w:pPr>
      <w:r>
        <w:rPr>
          <w:color w:val="1E1E1E"/>
          <w:sz w:val="18"/>
        </w:rPr>
        <w:t>Nos casos em que a dúvida sobre a competência legislativa recai sobre norma que abrange mais de um tema, deve o intérprete acolher interpretação que não tolha a competência que detêm os entes menores para dispor sobre determinada matéria (presumption against preemption). Porque o federalismo é um instrumento de descentralização política que visa realizar direitos fundamentais, se a lei federal ou estadual claramente indicar, de forma adequada, necessária e razoável, que os efeitos de sua aplicação excluem o poder de complementação que detêm os entes menores (clear statement rule), é possível a</w:t>
      </w:r>
    </w:p>
    <w:p>
      <w:pPr>
        <w:ind w:left="288"/>
      </w:pPr>
      <w:r>
        <w:rPr>
          <w:color w:val="8C8C8C"/>
          <w:sz w:val="12"/>
        </w:rPr>
        <w:t>cf-art-24-inc-I</w:t>
      </w:r>
      <w:r>
        <w:rPr>
          <w:color w:val="003CA0"/>
          <w:sz w:val="12"/>
        </w:rPr>
        <w:t xml:space="preserve"> | ADI 7.379</w:t>
      </w:r>
      <w:r>
        <w:rPr>
          <w:color w:val="003CA0"/>
          <w:sz w:val="12"/>
        </w:rPr>
        <w:t xml:space="preserve"> | rel. Gilmar Mendes</w:t>
      </w:r>
    </w:p>
    <w:p>
      <w:pPr>
        <w:ind w:left="288"/>
      </w:pPr>
      <w:r>
        <w:rPr>
          <w:color w:val="1E1E1E"/>
          <w:sz w:val="18"/>
        </w:rPr>
        <w:t>Trata-se de ação direta de inconstitucionalidade ajuizada pela Associação Brasileira de Provedores de Internet e Telecomunicações – ABRINT contra o artigo 1º, § 7º, da Lei Estadual nº 17.649/2018, de Santa Catarina, que condiciona a fruição de regime especial de ICMS à equivalência de preços entre serviços de comunicação multimídia (SCM) ofertados isoladamente e em conjunto com serviços de valor adicionado (SVAs). (...) A disciplina imposta pelo dispositivo impugnado insere-se na competência concorrente dos Estados para legislar sobre direito tributário (CF, art. 24, I), em consonância com o C</w:t>
      </w:r>
    </w:p>
    <w:p>
      <w:pPr>
        <w:ind w:left="288"/>
      </w:pPr>
      <w:r>
        <w:rPr>
          <w:b/>
          <w:color w:val="003CA0"/>
          <w:sz w:val="16"/>
        </w:rPr>
        <w:t>[ADI 7.379, rel. min. Gilmar Mendes, j. 22.09.2025, P, DJE de 01.10.2025.]</w:t>
      </w:r>
    </w:p>
    <w:p>
      <w:pPr>
        <w:ind w:left="288"/>
      </w:pPr>
      <w:r>
        <w:rPr>
          <w:color w:val="8C8C8C"/>
          <w:sz w:val="12"/>
        </w:rPr>
        <w:t>cf-art-24-inc-I</w:t>
      </w:r>
      <w:r>
        <w:rPr>
          <w:color w:val="003CA0"/>
          <w:sz w:val="12"/>
        </w:rPr>
        <w:t xml:space="preserve"> | ADI 4.065</w:t>
      </w:r>
      <w:r>
        <w:rPr>
          <w:color w:val="003CA0"/>
          <w:sz w:val="12"/>
        </w:rPr>
        <w:t xml:space="preserve"> | rel. Nunes Marques</w:t>
      </w:r>
    </w:p>
    <w:p>
      <w:pPr>
        <w:ind w:left="288"/>
      </w:pPr>
      <w:r>
        <w:rPr>
          <w:color w:val="1E1E1E"/>
          <w:sz w:val="18"/>
        </w:rPr>
        <w:t>O art. 131, II, da LODF limita, de forma absoluta, a concessão de incentivos fiscais nos últimos anos das legislaturas, o que implica restrição indevida à autonomia legislativa e à competência tributária do Distrito Federal. As normas de responsabilidade fiscal, inclusive as relativas à renúncia de receitas, estão previstas em legislação complementar nacional (LC n. 101/2000, LC n. 24/1975), de observância obrigatória por todos os entes federativos. A imposição de restrições para além das previstas na legislação nacional, sem fundamento em peculiaridades locais, afronta o pacto federativo e in</w:t>
      </w:r>
    </w:p>
    <w:p>
      <w:pPr>
        <w:ind w:left="288"/>
      </w:pPr>
      <w:r>
        <w:rPr>
          <w:b/>
          <w:color w:val="003CA0"/>
          <w:sz w:val="16"/>
        </w:rPr>
        <w:t>[ADI 4.065, rel. min. Nunes Marques, j. 03.06.2025, P, DJE de 10.06.2025.]</w:t>
      </w:r>
    </w:p>
    <w:p>
      <w:pPr>
        <w:ind w:left="288"/>
      </w:pPr>
      <w:r>
        <w:rPr>
          <w:color w:val="8C8C8C"/>
          <w:sz w:val="12"/>
        </w:rPr>
        <w:t>cf-art-24-inc-I</w:t>
      </w:r>
      <w:r>
        <w:rPr>
          <w:color w:val="003CA0"/>
          <w:sz w:val="12"/>
        </w:rPr>
        <w:t xml:space="preserve"> | ADI 5.361</w:t>
      </w:r>
      <w:r>
        <w:rPr>
          <w:color w:val="003CA0"/>
          <w:sz w:val="12"/>
        </w:rPr>
        <w:t xml:space="preserve"> | rel. Nunes Marques</w:t>
      </w:r>
    </w:p>
    <w:p>
      <w:pPr>
        <w:ind w:left="288"/>
      </w:pPr>
      <w:r>
        <w:rPr>
          <w:color w:val="1E1E1E"/>
          <w:sz w:val="18"/>
        </w:rPr>
        <w:t>Não há, na Lei Complementar federal n. 151/2015, a inconstitucionalidade formal atribuída aos diplomas estaduais a ela anteriores ou posteriores, por tratar-se de diploma editado pela União, que tem competência para legislar sobre direito civil e direito processual (CF, art. 22, I), bem assim para versar normas gerais em matéria de direito financeiro e de orçamento (CF, art. 24, I e II, §§ 1º a 4º). A indisponibilidade temporária do valor depositado durante a tramitação de processos, judiciais ou administrativos, decorre da natureza de depósito e não revela ofensa ao devido processo legal (CF,</w:t>
      </w:r>
    </w:p>
    <w:p>
      <w:pPr>
        <w:ind w:left="288"/>
      </w:pPr>
      <w:r>
        <w:rPr>
          <w:b/>
          <w:color w:val="003CA0"/>
          <w:sz w:val="16"/>
        </w:rPr>
        <w:t>[ADI 5.361 e ADI 5.463, rel. min. Nunes Marques, j. 21.11.2023, P, DJE de 24.01.2024.]</w:t>
      </w:r>
    </w:p>
    <w:p>
      <w:pPr>
        <w:ind w:left="288"/>
      </w:pPr>
      <w:r>
        <w:rPr>
          <w:color w:val="8C8C8C"/>
          <w:sz w:val="12"/>
        </w:rPr>
        <w:t>cf-art-24-inc-I</w:t>
      </w:r>
      <w:r>
        <w:rPr>
          <w:color w:val="003CA0"/>
          <w:sz w:val="12"/>
        </w:rPr>
        <w:t xml:space="preserve"> | ADI 7.060</w:t>
      </w:r>
      <w:r>
        <w:rPr>
          <w:color w:val="003CA0"/>
          <w:sz w:val="12"/>
        </w:rPr>
        <w:t xml:space="preserve"> | rel. Dias Toffoli</w:t>
      </w:r>
    </w:p>
    <w:p>
      <w:pPr>
        <w:ind w:left="288"/>
      </w:pPr>
      <w:r>
        <w:rPr>
          <w:color w:val="1E1E1E"/>
          <w:sz w:val="18"/>
        </w:rPr>
        <w:t>A Constituição Federal determina que é da União a competência para a edição de normas gerais de direito financeiro e orçamento (art. 24, incisos I e II), reservando aos estados e ao Distrito Federal o exercício de competência legislativa suplementar, de forma a adicionar situações específicas que somente podem ser observadas no âmbito local. Ademais, as normas gerais sobre elaboração da lei orçamentária anual, sobre gestão financeira e sobre critérios para a execução de programações de caráter obrigatório (como as emendas parlamentares impositivas) estão reservadas a lei complementar federal (</w:t>
      </w:r>
    </w:p>
    <w:p>
      <w:pPr>
        <w:ind w:left="288"/>
      </w:pPr>
      <w:r>
        <w:rPr>
          <w:b/>
          <w:color w:val="003CA0"/>
          <w:sz w:val="16"/>
        </w:rPr>
        <w:t>[ADI 5.392, rel. min. Rosa Weber, j. 16-9-2020, P, DJE de 5-10-2020.]</w:t>
      </w:r>
    </w:p>
    <w:p>
      <w:pPr>
        <w:ind w:left="288"/>
      </w:pPr>
      <w:r>
        <w:rPr>
          <w:color w:val="8C8C8C"/>
          <w:sz w:val="12"/>
        </w:rPr>
        <w:t>cf-art-24-inc-I</w:t>
      </w:r>
      <w:r>
        <w:rPr>
          <w:color w:val="003CA0"/>
          <w:sz w:val="12"/>
        </w:rPr>
        <w:t xml:space="preserve"> | ADI 2.198</w:t>
      </w:r>
      <w:r>
        <w:rPr>
          <w:color w:val="003CA0"/>
          <w:sz w:val="12"/>
        </w:rPr>
        <w:t xml:space="preserve"> | rel. Dias Toffoli</w:t>
      </w:r>
    </w:p>
    <w:p>
      <w:pPr>
        <w:ind w:left="288"/>
      </w:pPr>
      <w:r>
        <w:rPr>
          <w:color w:val="1E1E1E"/>
          <w:sz w:val="18"/>
        </w:rPr>
        <w:t>Lei federal 9.755/1998. Autorização para que o TCU crie sítio eletrônico denominado Contas Públicas para a divulgação de dados tributários e financeiros dos entes federados. (...) O sítio eletrônico gerenciado pelo TCU tem o escopo de reunir as informações tributárias e financeiras dos diversos entes da Federação em um único portal, a fim de facilitar o acesso dessas informações pelo público. Os documentos elencados no art. 1º da legislação já são de publicação obrigatória nos veículos oficiais de imprensa dos diversos entes federados. A norma não cria nenhum ônus novo aos entes federativos na</w:t>
      </w:r>
    </w:p>
    <w:p>
      <w:pPr>
        <w:ind w:left="288"/>
      </w:pPr>
      <w:r>
        <w:rPr>
          <w:b/>
          <w:color w:val="003CA0"/>
          <w:sz w:val="16"/>
        </w:rPr>
        <w:t>[ADI 2.198, rel. min. Dias Toffoli, j. 11-4-2013, P, DJE de 19-8-2013.]</w:t>
      </w:r>
    </w:p>
    <w:p>
      <w:pPr>
        <w:ind w:left="288"/>
      </w:pPr>
      <w:r>
        <w:rPr>
          <w:color w:val="8C8C8C"/>
          <w:sz w:val="12"/>
        </w:rPr>
        <w:t>cf-art-24-inc-I</w:t>
      </w:r>
      <w:r>
        <w:rPr>
          <w:color w:val="003CA0"/>
          <w:sz w:val="12"/>
        </w:rPr>
        <w:t xml:space="preserve"> | ADI 442</w:t>
      </w:r>
      <w:r>
        <w:rPr>
          <w:color w:val="003CA0"/>
          <w:sz w:val="12"/>
        </w:rPr>
        <w:t xml:space="preserve"> | rel. Eros Grau</w:t>
      </w:r>
    </w:p>
    <w:p>
      <w:pPr>
        <w:ind w:left="288"/>
      </w:pPr>
      <w:r>
        <w:rPr>
          <w:color w:val="1E1E1E"/>
          <w:sz w:val="18"/>
        </w:rPr>
        <w:t>Esta Corte, em oportunidades anteriores, firmou o entendimento de que, embora os Estados-membros sejam incompetentes para fixar índices de correção monetária superiores aos fixados pela União para o mesmo fim, podem defini-los em patamares inferiores – incentivo fiscal.</w:t>
      </w:r>
    </w:p>
    <w:p>
      <w:pPr>
        <w:ind w:left="288"/>
      </w:pPr>
      <w:r>
        <w:rPr>
          <w:b/>
          <w:color w:val="003CA0"/>
          <w:sz w:val="16"/>
        </w:rPr>
        <w:t>[ADI 442, rel. min. Eros Grau, j. 14-4-2010, P, DJE de 28-5-2010.]</w:t>
      </w:r>
    </w:p>
    <w:p>
      <w:pPr>
        <w:ind w:left="288"/>
      </w:pPr>
      <w:r>
        <w:rPr>
          <w:color w:val="8C8C8C"/>
          <w:sz w:val="12"/>
        </w:rPr>
        <w:t>cf-art-24-inc-I</w:t>
      </w:r>
      <w:r>
        <w:rPr>
          <w:color w:val="003CA0"/>
          <w:sz w:val="12"/>
        </w:rPr>
        <w:t xml:space="preserve"> | ADI 3.916</w:t>
      </w:r>
      <w:r>
        <w:rPr>
          <w:color w:val="003CA0"/>
          <w:sz w:val="12"/>
        </w:rPr>
        <w:t xml:space="preserve"> | rel. Eros Grau</w:t>
      </w:r>
    </w:p>
    <w:p>
      <w:pPr>
        <w:ind w:left="288"/>
      </w:pPr>
      <w:r>
        <w:rPr>
          <w:color w:val="1E1E1E"/>
          <w:sz w:val="18"/>
        </w:rPr>
        <w:t>A Lei distrital 3.669 cria a Carreira de Atividades Penitenciárias, nos Quadros da Administração do Distrito Federal, no âmbito da Secretaria de Justiça, Direitos Humanos e Cidadania do Distrito Federal. Não há inconstitucionalidade na criação, por lei distrital, de carreira vinculada ao Governo do Distrito Federal. O Poder Legislativo distrital foi exercido no âmbito da parcela da competência concorrente para dispor sobre direito penitenciário.</w:t>
      </w:r>
    </w:p>
    <w:p>
      <w:pPr>
        <w:ind w:left="288"/>
      </w:pPr>
      <w:r>
        <w:rPr>
          <w:b/>
          <w:color w:val="003CA0"/>
          <w:sz w:val="16"/>
        </w:rPr>
        <w:t>[ADI 3.916, rel. min. Eros Grau, j. 3-2-2010, P, DJE de 14-5-2010.]</w:t>
      </w:r>
    </w:p>
    <w:p>
      <w:pPr>
        <w:ind w:left="288"/>
      </w:pPr>
      <w:r>
        <w:rPr>
          <w:color w:val="8C8C8C"/>
          <w:sz w:val="12"/>
        </w:rPr>
        <w:t>cf-art-24-inc-I</w:t>
      </w:r>
      <w:r>
        <w:rPr>
          <w:color w:val="003CA0"/>
          <w:sz w:val="12"/>
        </w:rPr>
        <w:t xml:space="preserve"> | ADI 3.809</w:t>
      </w:r>
      <w:r>
        <w:rPr>
          <w:color w:val="003CA0"/>
          <w:sz w:val="12"/>
        </w:rPr>
        <w:t xml:space="preserve"> | rel. Eros Grau</w:t>
      </w:r>
    </w:p>
    <w:p>
      <w:pPr>
        <w:ind w:left="288"/>
      </w:pPr>
      <w:r>
        <w:rPr>
          <w:color w:val="1E1E1E"/>
          <w:sz w:val="18"/>
        </w:rPr>
        <w:t>Lei que institui incentivo fiscal para as empresas que contratarem apenados e egressos. Matéria de índole tributária e não orçamentária.</w:t>
      </w:r>
    </w:p>
    <w:p>
      <w:pPr>
        <w:ind w:left="288"/>
      </w:pPr>
      <w:r>
        <w:rPr>
          <w:b/>
          <w:color w:val="003CA0"/>
          <w:sz w:val="16"/>
        </w:rPr>
        <w:t>[ADI 3.809, rel. min. Eros Grau, j. 14-6-2007, P, DJ de 14-9-2007.]</w:t>
      </w:r>
    </w:p>
    <w:p>
      <w:pPr>
        <w:ind w:left="288"/>
      </w:pPr>
      <w:r>
        <w:rPr>
          <w:color w:val="8C8C8C"/>
          <w:sz w:val="12"/>
        </w:rPr>
        <w:t>cf-art-24-inc-I</w:t>
      </w:r>
      <w:r>
        <w:rPr>
          <w:color w:val="003CA0"/>
          <w:sz w:val="12"/>
        </w:rPr>
        <w:t xml:space="preserve"> | ADI 3.512</w:t>
      </w:r>
      <w:r>
        <w:rPr>
          <w:color w:val="003CA0"/>
          <w:sz w:val="12"/>
        </w:rPr>
        <w:t xml:space="preserve"> | rel. Eros Grau</w:t>
      </w:r>
    </w:p>
    <w:p>
      <w:pPr>
        <w:ind w:left="288"/>
      </w:pPr>
      <w:r>
        <w:rPr>
          <w:color w:val="1E1E1E"/>
          <w:sz w:val="18"/>
        </w:rPr>
        <w:t>Lei 7.737/2004 do Estado do Espírito Santo. Garantia de meia entrada aos doadores regulares de sangue. Acesso a locais públicos de cultura, esporte e lazer. Competência concorrente entre a União, Estados-membros e o Distrito Federal para legislar sobre direito econômico.</w:t>
      </w:r>
    </w:p>
    <w:p>
      <w:pPr>
        <w:ind w:left="288"/>
      </w:pPr>
      <w:r>
        <w:rPr>
          <w:b/>
          <w:color w:val="003CA0"/>
          <w:sz w:val="16"/>
        </w:rPr>
        <w:t>[ADI 3.512, rel. min. Eros Grau, j. 15-2-2006, P, DJ de 23-6-2006.]</w:t>
      </w:r>
    </w:p>
    <w:p>
      <w:pPr>
        <w:ind w:left="288"/>
      </w:pPr>
      <w:r>
        <w:rPr>
          <w:color w:val="8C8C8C"/>
          <w:sz w:val="12"/>
        </w:rPr>
        <w:t>cf-art-24-inc-I</w:t>
      </w:r>
      <w:r>
        <w:rPr>
          <w:color w:val="003CA0"/>
          <w:sz w:val="12"/>
        </w:rPr>
        <w:t xml:space="preserve"> | RE 1.346.152</w:t>
      </w:r>
      <w:r>
        <w:rPr>
          <w:color w:val="003CA0"/>
          <w:sz w:val="12"/>
        </w:rPr>
        <w:t xml:space="preserve"> | rel. Cármen Lúcia</w:t>
      </w:r>
    </w:p>
    <w:p>
      <w:pPr>
        <w:ind w:left="288"/>
      </w:pPr>
      <w:r>
        <w:rPr>
          <w:color w:val="1E1E1E"/>
          <w:sz w:val="18"/>
        </w:rPr>
        <w:t>“O Município não pode adotar índices de correção monetária e taxas de juros de mora incidentes sobre seus créditos fiscais em percentuais que superem a taxa Selic, praticada pela União para os mesmos fins”.</w:t>
      </w:r>
    </w:p>
    <w:p>
      <w:pPr>
        <w:ind w:left="288"/>
      </w:pPr>
      <w:r>
        <w:rPr>
          <w:b/>
          <w:color w:val="003CA0"/>
          <w:sz w:val="16"/>
        </w:rPr>
        <w:t>[RE 1.346.152, rel. min. Cármen Lúcia, j. 25-2-2026, P, DJE de 5-3-2026, Tema 1.217, com mérito julgado.]</w:t>
      </w:r>
    </w:p>
    <w:p>
      <w:pPr>
        <w:ind w:left="288"/>
      </w:pPr>
      <w:r>
        <w:rPr>
          <w:color w:val="8C8C8C"/>
          <w:sz w:val="12"/>
        </w:rPr>
        <w:t>cf-art-24-inc-I</w:t>
      </w:r>
      <w:r>
        <w:rPr>
          <w:color w:val="003CA0"/>
          <w:sz w:val="12"/>
        </w:rPr>
        <w:t xml:space="preserve"> | RE 590.697</w:t>
      </w:r>
      <w:r>
        <w:rPr>
          <w:color w:val="003CA0"/>
          <w:sz w:val="12"/>
        </w:rPr>
        <w:t xml:space="preserve"> | rel. Ricardo Lewandowski</w:t>
      </w:r>
    </w:p>
    <w:p>
      <w:pPr>
        <w:ind w:left="288"/>
      </w:pPr>
      <w:r>
        <w:rPr>
          <w:color w:val="1E1E1E"/>
          <w:sz w:val="18"/>
        </w:rPr>
        <w:t>A iniciativa de leis que versem sobre matéria tributária é concorrente entre o chefe do Poder Executivo e os membros do Legislativo. A circunstância de as leis que versem sobre matéria tributária poderem repercutir no orçamento do ente federado não conduz à conclusão de que sua iniciativa é privativa do chefe do Executivo.</w:t>
      </w:r>
    </w:p>
    <w:p>
      <w:pPr>
        <w:ind w:left="288"/>
      </w:pPr>
      <w:r>
        <w:rPr>
          <w:b/>
          <w:color w:val="003CA0"/>
          <w:sz w:val="16"/>
        </w:rPr>
        <w:t>[RE 590.697 ED, rel. min. Ricardo Lewandowski, j. 23-8-2011, 2ª T, DJE de 6-9-2011.]</w:t>
      </w:r>
    </w:p>
    <w:p>
      <w:pPr>
        <w:ind w:left="288"/>
      </w:pPr>
      <w:r>
        <w:rPr>
          <w:color w:val="8C8C8C"/>
          <w:sz w:val="12"/>
        </w:rPr>
        <w:t>cf-art-24-inc-I</w:t>
      </w:r>
      <w:r>
        <w:rPr>
          <w:color w:val="003CA0"/>
          <w:sz w:val="12"/>
        </w:rPr>
        <w:t xml:space="preserve"> | RE 291.188</w:t>
      </w:r>
      <w:r>
        <w:rPr>
          <w:color w:val="003CA0"/>
          <w:sz w:val="12"/>
        </w:rPr>
        <w:t xml:space="preserve"> | rel. Sepúlveda Pertence</w:t>
      </w:r>
    </w:p>
    <w:p>
      <w:pPr>
        <w:ind w:left="288"/>
      </w:pPr>
      <w:r>
        <w:rPr>
          <w:color w:val="1E1E1E"/>
          <w:sz w:val="18"/>
        </w:rPr>
        <w:t>A regra que confia privativamente à União legislar sobre "sistema monetário" (art. 22, VI) é norma especial e subtrai, portanto, o direito monetário, para esse efeito, da esfera material do direito econômico, que o art. 24, I, da Constituição da República inclui no campo da competência legislativa concorrente da União, dos Estados e do Distrito Federal.</w:t>
      </w:r>
    </w:p>
    <w:p>
      <w:pPr>
        <w:ind w:left="288"/>
      </w:pPr>
      <w:r>
        <w:rPr>
          <w:b/>
          <w:color w:val="003CA0"/>
          <w:sz w:val="16"/>
        </w:rPr>
        <w:t>[RE 291.188, rel. min. Sepúlveda Pertence, j. 8-10-2002, 1ª T, DJ de 14-11-2002.]</w:t>
      </w:r>
    </w:p>
    <w:p>
      <w:pPr>
        <w:ind w:left="288"/>
      </w:pPr>
      <w:r>
        <w:rPr>
          <w:color w:val="8C8C8C"/>
          <w:sz w:val="12"/>
        </w:rPr>
        <w:t>cf-art-24-inc-II</w:t>
      </w:r>
      <w:r>
        <w:rPr>
          <w:color w:val="003CA0"/>
          <w:sz w:val="12"/>
        </w:rPr>
        <w:t xml:space="preserve"> | ADI 5.361</w:t>
      </w:r>
      <w:r>
        <w:rPr>
          <w:color w:val="003CA0"/>
          <w:sz w:val="12"/>
        </w:rPr>
        <w:t xml:space="preserve"> | rel. Nunes Marques</w:t>
      </w:r>
    </w:p>
    <w:p>
      <w:pPr>
        <w:ind w:left="288"/>
      </w:pPr>
      <w:r>
        <w:rPr>
          <w:color w:val="1E1E1E"/>
          <w:sz w:val="18"/>
        </w:rPr>
        <w:t>Não há, na Lei Complementar federal n. 151/2015, a inconstitucionalidade formal atribuída aos diplomas estaduais a ela anteriores ou posteriores, por tratar-se de diploma editado pela União, que tem competência para legislar sobre direito civil e direito processual (CF, art. 22, I), bem assim para versar normas gerais em matéria de direito financeiro e de orçamento (CF, art. 24, I e II, §§ 1º a 4º). A indisponibilidade temporária do valor depositado durante a tramitação de processos, judiciais ou administrativos, decorre da natureza de depósito e não revela ofensa ao devido processo legal (CF,</w:t>
      </w:r>
    </w:p>
    <w:p>
      <w:pPr>
        <w:ind w:left="288"/>
      </w:pPr>
      <w:r>
        <w:rPr>
          <w:b/>
          <w:color w:val="003CA0"/>
          <w:sz w:val="16"/>
        </w:rPr>
        <w:t>[ADI 5.361 e ADI 5.463, rel. min. Nunes Marques, j. 21.11.2023, P, DJE de 24.01.2024.]</w:t>
      </w:r>
    </w:p>
    <w:p>
      <w:pPr>
        <w:ind w:left="288"/>
      </w:pPr>
      <w:r>
        <w:rPr>
          <w:color w:val="8C8C8C"/>
          <w:sz w:val="12"/>
        </w:rPr>
        <w:t>cf-art-24-inc-II</w:t>
      </w:r>
      <w:r>
        <w:rPr>
          <w:color w:val="003CA0"/>
          <w:sz w:val="12"/>
        </w:rPr>
        <w:t xml:space="preserve"> | ADI 7.060</w:t>
      </w:r>
      <w:r>
        <w:rPr>
          <w:color w:val="003CA0"/>
          <w:sz w:val="12"/>
        </w:rPr>
        <w:t xml:space="preserve"> | rel. Dias Toffoli</w:t>
      </w:r>
    </w:p>
    <w:p>
      <w:pPr>
        <w:ind w:left="288"/>
      </w:pPr>
      <w:r>
        <w:rPr>
          <w:color w:val="1E1E1E"/>
          <w:sz w:val="18"/>
        </w:rPr>
        <w:t>A Constituição Federal determina que é da União a competência para a edição de normas gerais de direito financeiro e orçamento (art. 24, incisos I e II), reservando aos estados e ao Distrito Federal o exercício de competência legislativa suplementar, de forma a adicionar situações específicas que somente podem ser observadas no âmbito local. Ademais, as normas gerais sobre elaboração da lei orçamentária anual, sobre gestão financeira e sobre critérios para a execução de programações de caráter obrigatório (como as emendas parlamentares impositivas) estão reservadas a lei complementar federal (</w:t>
      </w:r>
    </w:p>
    <w:p>
      <w:pPr>
        <w:ind w:left="288"/>
      </w:pPr>
      <w:r>
        <w:rPr>
          <w:color w:val="8C8C8C"/>
          <w:sz w:val="12"/>
        </w:rPr>
        <w:t>cf-art-24-inc-II</w:t>
      </w:r>
      <w:r>
        <w:rPr>
          <w:color w:val="003CA0"/>
          <w:sz w:val="12"/>
        </w:rPr>
        <w:t xml:space="preserve"> | RE 883.514</w:t>
      </w:r>
      <w:r>
        <w:rPr>
          <w:color w:val="003CA0"/>
          <w:sz w:val="12"/>
        </w:rPr>
        <w:t xml:space="preserve"> | rel. Roberto Barroso</w:t>
      </w:r>
    </w:p>
    <w:p>
      <w:pPr>
        <w:ind w:left="288"/>
      </w:pPr>
      <w:r>
        <w:rPr>
          <w:color w:val="1E1E1E"/>
          <w:sz w:val="18"/>
        </w:rPr>
        <w:t>A LC distrital 872/2013 é norma genérica que dispõe sobre a instituição e funcionamento de fundos no Distrito Federal e, ao estabelecer um direcionamento diverso ao saldo positivo de fundo apurado em balanço, não previsto na Lei 4.320/1964, usurpa a competência legislativa da União para tratar sobre a matéria (art. 24, II e § 1º, da Constituição).</w:t>
        <w:br/>
        <w:t>[RE 883.514 AgR, rel. min. Roberto Barroso, j. 27-10-2017, 1ª T, DJE de 14-11-2017.]</w:t>
      </w:r>
    </w:p>
    <w:p>
      <w:pPr>
        <w:ind w:left="144"/>
      </w:pPr>
      <w:r>
        <w:rPr>
          <w:b/>
          <w:color w:val="B45A00"/>
          <w:sz w:val="16"/>
        </w:rPr>
        <w:t>CONTROLE CONCENTRADO</w:t>
      </w:r>
    </w:p>
    <w:p>
      <w:pPr>
        <w:ind w:left="288"/>
      </w:pPr>
      <w:r>
        <w:rPr>
          <w:color w:val="8C8C8C"/>
          <w:sz w:val="12"/>
        </w:rPr>
        <w:t>cf-art-24-inc-III</w:t>
      </w:r>
      <w:r>
        <w:rPr>
          <w:color w:val="003CA0"/>
          <w:sz w:val="12"/>
        </w:rPr>
        <w:t xml:space="preserve"> | ADI 804</w:t>
      </w:r>
      <w:r>
        <w:rPr>
          <w:color w:val="003CA0"/>
          <w:sz w:val="12"/>
        </w:rPr>
        <w:t xml:space="preserve"> | rel. Sepúlveda Pertence</w:t>
      </w:r>
    </w:p>
    <w:p>
      <w:pPr>
        <w:ind w:left="288"/>
      </w:pPr>
      <w:r>
        <w:rPr>
          <w:color w:val="1E1E1E"/>
          <w:sz w:val="18"/>
        </w:rPr>
        <w:t>Juntas comerciais: natureza própria ou delegada da competência dos Estados e do Distrito Federal para criar, organizar e manter juntas comerciais: jurisprudência anterior e inovação da CF/1988 na disciplina da competência concorrente. Distrito Federal: competência constitucional: alteração.</w:t>
      </w:r>
    </w:p>
    <w:p>
      <w:pPr>
        <w:ind w:left="288"/>
      </w:pPr>
      <w:r>
        <w:rPr>
          <w:b/>
          <w:color w:val="003CA0"/>
          <w:sz w:val="16"/>
        </w:rPr>
        <w:t>[ADI 804 MC, rel. min. Sepúlveda Pertence, j. 27-11-1992, P, DJ de 5-2-1993.]</w:t>
      </w:r>
    </w:p>
    <w:p>
      <w:pPr>
        <w:ind w:left="288"/>
      </w:pPr>
      <w:r>
        <w:rPr>
          <w:color w:val="8C8C8C"/>
          <w:sz w:val="12"/>
        </w:rPr>
        <w:t>cf-art-24-inc-IV</w:t>
      </w:r>
      <w:r>
        <w:rPr>
          <w:color w:val="003CA0"/>
          <w:sz w:val="12"/>
        </w:rPr>
        <w:t xml:space="preserve"> | ADI 1.624</w:t>
      </w:r>
      <w:r>
        <w:rPr>
          <w:color w:val="003CA0"/>
          <w:sz w:val="12"/>
        </w:rPr>
        <w:t xml:space="preserve"> | rel. Carlos Velloso</w:t>
      </w:r>
    </w:p>
    <w:p>
      <w:pPr>
        <w:ind w:left="288"/>
      </w:pPr>
      <w:r>
        <w:rPr>
          <w:color w:val="1E1E1E"/>
          <w:sz w:val="18"/>
        </w:rPr>
        <w:t>Custas e emolumentos são espécies tributárias, classificando-se como taxas. (...) À União, ao Estado-membro e ao Distrito Federal é conferida competência para legislar concorrentemente sobre custas dos serviços forenses, restringindo-se a competência da União, no âmbito dessa legislação concorrente, ao estabelecimento de normas gerais, certo que, inexistindo tais normas gerais, os Estados exercerão a competência legislativa plena, para atender a suas peculiaridades (CF, art. 24, IV, §§ 1º e 3º).</w:t>
      </w:r>
    </w:p>
    <w:p>
      <w:pPr>
        <w:ind w:left="288"/>
      </w:pPr>
      <w:r>
        <w:rPr>
          <w:b/>
          <w:color w:val="003CA0"/>
          <w:sz w:val="16"/>
        </w:rPr>
        <w:t>[ADI 1.624, rel. min. Carlos Velloso, j. 8-5-2003, P, DJ de 13-6-2003.]</w:t>
      </w:r>
    </w:p>
    <w:p>
      <w:pPr>
        <w:ind w:left="288"/>
      </w:pPr>
      <w:r>
        <w:rPr>
          <w:color w:val="8C8C8C"/>
          <w:sz w:val="12"/>
        </w:rPr>
        <w:t>cf-art-24-inc-IV</w:t>
      </w:r>
      <w:r>
        <w:rPr>
          <w:color w:val="003CA0"/>
          <w:sz w:val="12"/>
        </w:rPr>
        <w:t xml:space="preserve"> | ADI 3.260</w:t>
      </w:r>
      <w:r>
        <w:rPr>
          <w:color w:val="003CA0"/>
          <w:sz w:val="12"/>
        </w:rPr>
        <w:t xml:space="preserve"> | rel. Eros Grau</w:t>
      </w:r>
    </w:p>
    <w:p>
      <w:pPr>
        <w:ind w:left="288"/>
      </w:pPr>
      <w:r>
        <w:rPr>
          <w:color w:val="1E1E1E"/>
          <w:sz w:val="18"/>
        </w:rPr>
        <w:t>= ADI 3.260, rel. min. Eros Grau, j. 29-3-2007, P, DJ de 29-6-2007</w:t>
      </w:r>
    </w:p>
    <w:p>
      <w:pPr>
        <w:ind w:left="144"/>
      </w:pPr>
      <w:r>
        <w:rPr>
          <w:b/>
          <w:color w:val="B45A00"/>
          <w:sz w:val="16"/>
        </w:rPr>
        <w:t>REPERCUSSAO GERAL</w:t>
      </w:r>
    </w:p>
    <w:p>
      <w:pPr>
        <w:ind w:left="288"/>
      </w:pPr>
      <w:r>
        <w:rPr>
          <w:color w:val="8C8C8C"/>
          <w:sz w:val="12"/>
        </w:rPr>
        <w:t>cf-art-24-inc-V</w:t>
      </w:r>
      <w:r>
        <w:rPr>
          <w:color w:val="003CA0"/>
          <w:sz w:val="12"/>
        </w:rPr>
        <w:t xml:space="preserve"> | RE 833.291</w:t>
      </w:r>
      <w:r>
        <w:rPr>
          <w:color w:val="003CA0"/>
          <w:sz w:val="12"/>
        </w:rPr>
        <w:t xml:space="preserve"> | rel. Dias Toffoli</w:t>
      </w:r>
    </w:p>
    <w:p>
      <w:pPr>
        <w:ind w:left="288"/>
      </w:pPr>
      <w:r>
        <w:rPr>
          <w:color w:val="1E1E1E"/>
          <w:sz w:val="18"/>
        </w:rPr>
        <w:t>É inconstitucional lei municipal que estabeleça a obrigação da implantação, nos shopping centers, de ambulatório médico ou serviço de pronto-socorro equipado para o atendimento de emergência.</w:t>
        <w:br/>
        <w:t>[RE 833.291, rel. min. Dias Toffoli, j. 4-12-2023, P, DJE de 8-1-2024, Tema 1.051, com mérito julgado.] A Lei federal 8.987/1995, ao estabelecer normas gerais sobre o regime de concessão e permissão da prestação de serviços públicos previsto no art. 175 da Constituição Federal, dispondo em seu art. 16 acerca da possibilidade de outorga de concessão ou permissão no caso de inviabilidade técnica ou econômic</w:t>
      </w:r>
    </w:p>
    <w:p>
      <w:pPr>
        <w:ind w:left="288"/>
      </w:pPr>
      <w:r>
        <w:rPr>
          <w:b/>
          <w:color w:val="003CA0"/>
          <w:sz w:val="16"/>
        </w:rPr>
        <w:t>[ADI 4.763, rel. min. Edson Fachin, j. 06.10.2025, P, DJE de 24.11.2025.]</w:t>
      </w:r>
    </w:p>
    <w:p>
      <w:pPr>
        <w:ind w:left="288"/>
      </w:pPr>
      <w:r>
        <w:rPr>
          <w:color w:val="8C8C8C"/>
          <w:sz w:val="12"/>
        </w:rPr>
        <w:t>cf-art-24-inc-V</w:t>
      </w:r>
      <w:r>
        <w:rPr>
          <w:color w:val="003CA0"/>
          <w:sz w:val="12"/>
        </w:rPr>
        <w:t xml:space="preserve"> | ADI 7.428</w:t>
      </w:r>
      <w:r>
        <w:rPr>
          <w:color w:val="003CA0"/>
          <w:sz w:val="12"/>
        </w:rPr>
        <w:t xml:space="preserve"> | rel. André Mendonça</w:t>
      </w:r>
    </w:p>
    <w:p>
      <w:pPr>
        <w:ind w:left="288"/>
      </w:pPr>
      <w:r>
        <w:rPr>
          <w:color w:val="1E1E1E"/>
          <w:sz w:val="18"/>
        </w:rPr>
        <w:t>A Lei estadual nº 5.980, de 2022, do Estado de Mato Grosso do Sul criou duas obrigações a serem observadas pelas operadoras de planos de saúde, que possuem naturezas jurídicas distintas. (...) A segunda obrigação elencada no ato normativo impugnado - que consta do art. 2º da lei sul-mato-grossense - impõe às operadoras um dever de informação aos seus consumidores, para o gozo de determinado direito. No caso, exige-se que a operadora de plano de saúde comunique por escrito o titular do plano de saúde a necessidade de observância do prazo contido no art. 12, inciso III, alínea "b", da Lei nº 9.6</w:t>
      </w:r>
    </w:p>
    <w:p>
      <w:pPr>
        <w:ind w:left="288"/>
      </w:pPr>
      <w:r>
        <w:rPr>
          <w:b/>
          <w:color w:val="003CA0"/>
          <w:sz w:val="16"/>
        </w:rPr>
        <w:t>[ADI 7.428, rel. min. André Mendonça, j. 01.09.2025, P, DJE de 11.09.2025.]</w:t>
      </w:r>
    </w:p>
    <w:p>
      <w:pPr>
        <w:ind w:left="144"/>
      </w:pPr>
      <w:r>
        <w:rPr>
          <w:b/>
          <w:color w:val="B45A00"/>
          <w:sz w:val="16"/>
        </w:rPr>
        <w:t>CONTROLE CONCENTRADO</w:t>
      </w:r>
    </w:p>
    <w:p>
      <w:pPr>
        <w:ind w:left="288"/>
      </w:pPr>
      <w:r>
        <w:rPr>
          <w:color w:val="8C8C8C"/>
          <w:sz w:val="12"/>
        </w:rPr>
        <w:t>cf-art-24-inc-V</w:t>
      </w:r>
      <w:r>
        <w:rPr>
          <w:color w:val="003CA0"/>
          <w:sz w:val="12"/>
        </w:rPr>
        <w:t xml:space="preserve"> | ADI 3.526</w:t>
      </w:r>
      <w:r>
        <w:rPr>
          <w:color w:val="003CA0"/>
          <w:sz w:val="12"/>
        </w:rPr>
        <w:t xml:space="preserve"> | rel. Nunes Marques</w:t>
      </w:r>
    </w:p>
    <w:p>
      <w:pPr>
        <w:ind w:left="288"/>
      </w:pPr>
      <w:r>
        <w:rPr>
          <w:color w:val="1E1E1E"/>
          <w:sz w:val="18"/>
        </w:rPr>
        <w:t xml:space="preserve">(...) a questão que se coloca, na perspectiva formal, consiste em definir se a lei impugnada, ao centralizar em órgão federal – Comissão Técnica Nacional de Biossegurança – a fiscalização e normatização do desenvolvimento e uso de organismos geneticamente modificados, contrariou o esquema constitucional de competências legislativas concorrentes (art. 24 da Constituição Federal). As normas de segurança e mecanismos de fiscalização de atividades relativas a organismos geneticamente modificados impõem tratamento linear no território nacional. Ou seja, há inequívoca preponderância do interesse da </w:t>
      </w:r>
    </w:p>
    <w:p>
      <w:pPr>
        <w:ind w:left="288"/>
      </w:pPr>
      <w:r>
        <w:rPr>
          <w:b/>
          <w:color w:val="003CA0"/>
          <w:sz w:val="16"/>
        </w:rPr>
        <w:t>[ADI 5.112, rel. min. Edson Fachin, j. 17-8-2021, P, DJE de 10-9-2021.]</w:t>
      </w:r>
    </w:p>
    <w:p>
      <w:pPr>
        <w:ind w:left="288"/>
      </w:pPr>
      <w:r>
        <w:rPr>
          <w:color w:val="8C8C8C"/>
          <w:sz w:val="12"/>
        </w:rPr>
        <w:t>cf-art-24-inc-V</w:t>
      </w:r>
      <w:r>
        <w:rPr>
          <w:color w:val="003CA0"/>
          <w:sz w:val="12"/>
        </w:rPr>
        <w:t xml:space="preserve"> | ADI 6.727</w:t>
      </w:r>
      <w:r>
        <w:rPr>
          <w:color w:val="003CA0"/>
          <w:sz w:val="12"/>
        </w:rPr>
        <w:t xml:space="preserve"> | rel. Cármen Lúcia</w:t>
      </w:r>
    </w:p>
    <w:p>
      <w:pPr>
        <w:ind w:left="288"/>
      </w:pPr>
      <w:r>
        <w:rPr>
          <w:color w:val="1E1E1E"/>
          <w:sz w:val="18"/>
        </w:rPr>
        <w:t>Proibição da Lei paranaense 20.276/2020 a instituições financeiras, correspondentes bancários e sociedades de arrendamento mercantil realizarem telemarketing, oferta comercial, proposta, publicidade ou qualquer tipo de atividade tendente a convencer aposentados e pensionistas a celebrarem contratos de empréstimos resulta do legítimo exercício da competência concorrente do ente federado em matéria de defesa do consumidor, suplementando-se os princípios e as normas do Código de Defesa do Consumidor e reforçando-se a proteção de grupo em situação de especial vulnerabilidade econômica e social.</w:t>
      </w:r>
    </w:p>
    <w:p>
      <w:pPr>
        <w:ind w:left="288"/>
      </w:pPr>
      <w:r>
        <w:rPr>
          <w:b/>
          <w:color w:val="003CA0"/>
          <w:sz w:val="16"/>
        </w:rPr>
        <w:t>[ADI 6.727, rel. min. Cármen Lúcia, j. 12-5-2021, P, DJE de 20-5-2021.]</w:t>
      </w:r>
    </w:p>
    <w:p>
      <w:pPr>
        <w:ind w:left="288"/>
      </w:pPr>
      <w:r>
        <w:rPr>
          <w:color w:val="8C8C8C"/>
          <w:sz w:val="12"/>
        </w:rPr>
        <w:t>cf-art-24-inc-V</w:t>
      </w:r>
      <w:r>
        <w:rPr>
          <w:color w:val="003CA0"/>
          <w:sz w:val="12"/>
        </w:rPr>
        <w:t xml:space="preserve"> | ADI 6.432</w:t>
      </w:r>
      <w:r>
        <w:rPr>
          <w:color w:val="003CA0"/>
          <w:sz w:val="12"/>
        </w:rPr>
        <w:t xml:space="preserve"> | rel. Cármen Lúcia</w:t>
      </w:r>
    </w:p>
    <w:p>
      <w:pPr>
        <w:ind w:left="288"/>
      </w:pPr>
      <w:r>
        <w:rPr>
          <w:color w:val="1E1E1E"/>
          <w:sz w:val="18"/>
        </w:rPr>
        <w:t>São constitucionais as normas estaduais que veiculam proibição de suspensão do fornecimento do serviço de energia elétrica, o modo de cobrança e pagamentos dos débitos e exigibilidade de multa e juros moratórios, limitadas ao tempo da vigência do plano de contingência, em decorrência da pandemia de Covid-19, por versarem, essencialmente, sobre defesa e proteção dos direitos do consumidor e da saúde pública. (...) É concorrente a competência da União, dos Estados e do Distrito Federal para legislar sobre consumo e proteção à saúde pública, nos termos dos incs. V e XII do art. 24 da Constituição</w:t>
      </w:r>
    </w:p>
    <w:p>
      <w:pPr>
        <w:ind w:left="288"/>
      </w:pPr>
      <w:r>
        <w:rPr>
          <w:b/>
          <w:color w:val="003CA0"/>
          <w:sz w:val="16"/>
        </w:rPr>
        <w:t>[ADI 6.432, rel. min. Cármen Lúcia, j. 8-4-2021, P, DJE de 14-5-2021.]</w:t>
      </w:r>
    </w:p>
    <w:p>
      <w:pPr>
        <w:ind w:left="288"/>
      </w:pPr>
      <w:r>
        <w:rPr>
          <w:color w:val="8C8C8C"/>
          <w:sz w:val="12"/>
        </w:rPr>
        <w:t>cf-art-24-inc-V</w:t>
      </w:r>
      <w:r>
        <w:rPr>
          <w:color w:val="003CA0"/>
          <w:sz w:val="12"/>
        </w:rPr>
        <w:t xml:space="preserve"> | ADI 5.724</w:t>
      </w:r>
      <w:r>
        <w:rPr>
          <w:color w:val="003CA0"/>
          <w:sz w:val="12"/>
        </w:rPr>
        <w:t xml:space="preserve"> | rel. Luís Roberto Barroso</w:t>
      </w:r>
    </w:p>
    <w:p>
      <w:pPr>
        <w:ind w:left="288"/>
      </w:pPr>
      <w:r>
        <w:rPr>
          <w:color w:val="1E1E1E"/>
          <w:sz w:val="18"/>
        </w:rPr>
        <w:t xml:space="preserve">A Lei 6.886/2016 do Estado do Piauí, ao obrigar que as operadoras de telefonia móvel e fixa disponibilizem, na internet, o extrato detalhado de conta das chamadas telefônicas e serviços utilizados pelos usuários de planos pré-pagos, não tratou diretamente de legislar sobre telecomunicações, mas sim de direito do consumidor. Isso porque o fato de disponibilizar o extrato da conta de plano pré-pago detalhado na internet não diz respeito à matéria específica de contrato de telecomunicação, tendo em vista que tal serviço não se enquadra em nenhuma atividade de telecomunicações definida pelas Leis </w:t>
      </w:r>
    </w:p>
    <w:p>
      <w:pPr>
        <w:ind w:left="288"/>
      </w:pPr>
      <w:r>
        <w:rPr>
          <w:b/>
          <w:color w:val="003CA0"/>
          <w:sz w:val="16"/>
        </w:rPr>
        <w:t>[ADI 5.724 , rel. min. Luís Roberto Barroso, red. do ac. min. Alexandre de Moraes, j. 27-11-2020, P, DJE de 29-3-2021.]</w:t>
      </w:r>
    </w:p>
    <w:p>
      <w:pPr>
        <w:ind w:left="288"/>
      </w:pPr>
      <w:r>
        <w:rPr>
          <w:color w:val="8C8C8C"/>
          <w:sz w:val="12"/>
        </w:rPr>
        <w:t>cf-art-24-inc-V</w:t>
      </w:r>
      <w:r>
        <w:rPr>
          <w:color w:val="003CA0"/>
          <w:sz w:val="12"/>
        </w:rPr>
        <w:t xml:space="preserve"> | ADI 3.155</w:t>
      </w:r>
      <w:r>
        <w:rPr>
          <w:color w:val="003CA0"/>
          <w:sz w:val="12"/>
        </w:rPr>
        <w:t xml:space="preserve"> | rel. Marco Aurélio</w:t>
      </w:r>
    </w:p>
    <w:p>
      <w:pPr>
        <w:ind w:left="288"/>
      </w:pPr>
      <w:r>
        <w:rPr>
          <w:color w:val="1E1E1E"/>
          <w:sz w:val="18"/>
        </w:rPr>
        <w:t>Consumidor. Proteção (...). Ausente intervenção direta no núcleo de atuação das instituições voltadas ao exercício de atividades de natureza mercantil ou financeira, surge constitucional norma estadual a impor, em caráter obrigatório, a instalação de itens de segurança em caixas eletrônicos, reduzindo riscos à integridade dos usuários dos serviços bancários (...).</w:t>
      </w:r>
    </w:p>
    <w:p>
      <w:pPr>
        <w:ind w:left="288"/>
      </w:pPr>
      <w:r>
        <w:rPr>
          <w:b/>
          <w:color w:val="003CA0"/>
          <w:sz w:val="16"/>
        </w:rPr>
        <w:t>[ADI 3.155, rel. min. Marco Aurélio, j. 16-9-2020, P, DJE de 5-10-2020.]</w:t>
      </w:r>
    </w:p>
    <w:p>
      <w:pPr>
        <w:ind w:left="288"/>
      </w:pPr>
      <w:r>
        <w:rPr>
          <w:color w:val="8C8C8C"/>
          <w:sz w:val="12"/>
        </w:rPr>
        <w:t>cf-art-24-inc-V</w:t>
      </w:r>
      <w:r>
        <w:rPr>
          <w:color w:val="003CA0"/>
          <w:sz w:val="12"/>
        </w:rPr>
        <w:t xml:space="preserve"> | ADI 6.193</w:t>
      </w:r>
      <w:r>
        <w:rPr>
          <w:color w:val="003CA0"/>
          <w:sz w:val="12"/>
        </w:rPr>
        <w:t xml:space="preserve"> | rel. Alexandre de Moraes</w:t>
      </w:r>
    </w:p>
    <w:p>
      <w:pPr>
        <w:ind w:left="288"/>
      </w:pPr>
      <w:r>
        <w:rPr>
          <w:color w:val="1E1E1E"/>
          <w:sz w:val="18"/>
        </w:rPr>
        <w:t>Competência concorrente para a matéria (CF, art. 24). O inciso II do art. 13-A da Lei Federal 10.671/2003 estabelece condições gerais de acesso e permanência do torcedor em recintos esportivos, entre as quais a de não portar bebidas proibidas ou suscetíveis de gerar ou possibilitar a prática de atos de violência, não particularizando, entretanto, quais seriam essas bebidas. Inexistência de vedação geral e absoluta. Possibilidade de o legislador estadual, no exercício de sua competência concorrente complementar, e observadas as especificidades locais, regulamentar a matéria. Respeito à razoabil</w:t>
      </w:r>
    </w:p>
    <w:p>
      <w:pPr>
        <w:ind w:left="288"/>
      </w:pPr>
      <w:r>
        <w:rPr>
          <w:b/>
          <w:color w:val="003CA0"/>
          <w:sz w:val="16"/>
        </w:rPr>
        <w:t>[ADI 6.193, rel. min. Alexandre de Moraes, j. 6-3-2020, P, DJE de 2-4-2020.]</w:t>
      </w:r>
    </w:p>
    <w:p>
      <w:pPr>
        <w:ind w:left="288"/>
      </w:pPr>
      <w:r>
        <w:rPr>
          <w:color w:val="8C8C8C"/>
          <w:sz w:val="12"/>
        </w:rPr>
        <w:t>cf-art-24-inc-V</w:t>
      </w:r>
      <w:r>
        <w:rPr>
          <w:color w:val="003CA0"/>
          <w:sz w:val="12"/>
        </w:rPr>
        <w:t xml:space="preserve"> | ADI 5.568</w:t>
      </w:r>
      <w:r>
        <w:rPr>
          <w:color w:val="003CA0"/>
          <w:sz w:val="12"/>
        </w:rPr>
        <w:t xml:space="preserve"> | rel. Roberto Barroso</w:t>
      </w:r>
    </w:p>
    <w:p>
      <w:pPr>
        <w:ind w:left="288"/>
      </w:pPr>
      <w:r>
        <w:rPr>
          <w:color w:val="1E1E1E"/>
          <w:sz w:val="18"/>
        </w:rPr>
        <w:t>Tratando-se de norma de natureza de direito do consumidor do serviço de telecomunicações e havendo conflito entre a disciplina federal e a estadual, deve aquela prevalecer. A norma federal, nestes casos, serve à homogeneidade regulatória, afastando a competência dos Estados. A ANATEL, entidade reguladora do setor, no exercício de sua competência normativa prevista nos arts. 19 e 22 da Lei 9.472/97, editou a Resolução 632/2014, que trata do Regulamento Geral de Direitos do Consumidor de Serviços de Telecomunicações. Segundo o art. 51 do RDC, o fornecimento do contrato pode ser por meio eletrôni</w:t>
      </w:r>
    </w:p>
    <w:p>
      <w:pPr>
        <w:ind w:left="288"/>
      </w:pPr>
      <w:r>
        <w:rPr>
          <w:b/>
          <w:color w:val="003CA0"/>
          <w:sz w:val="16"/>
        </w:rPr>
        <w:t>[ADI 3.874, rel. min. Roberto Barroso, j. 23-8-2019, P, DJE de 9-9-2019.]</w:t>
      </w:r>
    </w:p>
    <w:p>
      <w:pPr>
        <w:ind w:left="288"/>
      </w:pPr>
      <w:r>
        <w:rPr>
          <w:color w:val="8C8C8C"/>
          <w:sz w:val="12"/>
        </w:rPr>
        <w:t>cf-art-24-inc-V</w:t>
      </w:r>
      <w:r>
        <w:rPr>
          <w:color w:val="003CA0"/>
          <w:sz w:val="12"/>
        </w:rPr>
        <w:t xml:space="preserve"> | ADI 5.572</w:t>
      </w:r>
      <w:r>
        <w:rPr>
          <w:color w:val="003CA0"/>
          <w:sz w:val="12"/>
        </w:rPr>
        <w:t xml:space="preserve"> | rel. Alexandre de Moraes</w:t>
      </w:r>
    </w:p>
    <w:p>
      <w:pPr>
        <w:ind w:left="288"/>
      </w:pPr>
      <w:r>
        <w:rPr>
          <w:color w:val="1E1E1E"/>
          <w:sz w:val="18"/>
        </w:rPr>
        <w:t>Lei Estadual 18.752/2016 do Estado do Paraná. (...) ao obrigar que fornecedores de serviço de internet demonstrem para os consumidores a verdadeira correspondência entre os serviços contratados e os efetivamente prestados, não tratou diretamente de legislar sobre telecomunicações, mas sim de direito do consumidor. Isso porque o fato de trazer a representação da velocidade de internet, por meio de gráficos, não diz respeito à matéria específica de contratos de telecomunicações, tendo em vista que tal serviço não se enquadra em nenhuma atividade de telecomunicações definida pelas Leis 4.117/1962</w:t>
      </w:r>
    </w:p>
    <w:p>
      <w:pPr>
        <w:ind w:left="288"/>
      </w:pPr>
      <w:r>
        <w:rPr>
          <w:b/>
          <w:color w:val="003CA0"/>
          <w:sz w:val="16"/>
        </w:rPr>
        <w:t>[ADI 5.833, rel. min. Alexandre de Moraes, j. 23-8-2019, P, DJE de 9-9-2019.]</w:t>
      </w:r>
    </w:p>
    <w:p>
      <w:pPr>
        <w:ind w:left="288"/>
      </w:pPr>
      <w:r>
        <w:rPr>
          <w:color w:val="8C8C8C"/>
          <w:sz w:val="12"/>
        </w:rPr>
        <w:t>cf-art-24-inc-V</w:t>
      </w:r>
      <w:r>
        <w:rPr>
          <w:color w:val="003CA0"/>
          <w:sz w:val="12"/>
        </w:rPr>
        <w:t xml:space="preserve"> | ADI 4.908</w:t>
      </w:r>
      <w:r>
        <w:rPr>
          <w:color w:val="003CA0"/>
          <w:sz w:val="12"/>
        </w:rPr>
        <w:t xml:space="preserve"> | rel. Rosa Weber</w:t>
      </w:r>
    </w:p>
    <w:p>
      <w:pPr>
        <w:ind w:left="288"/>
      </w:pPr>
      <w:r>
        <w:rPr>
          <w:color w:val="1E1E1E"/>
          <w:sz w:val="18"/>
        </w:rPr>
        <w:t>O instrumento pelo qual a prestadora de serviços de telefonia oferece benefícios a seus usuários, exigindo, em contrapartida, que permaneçam a ela vinculados por um prazo mínimo, não se confunde com o termo de adesão do usuário a plano de serviço de telecomunicações, tampouco o integra, consubstanciando típica relação de consumo. Ao impor o cancelamento da multa contratual de fidelidade quando o usuário de serviços de telefonia celular ou fixa comprovar que perdeu o vínculo empregatício após a adesão ao contrato, a Lei 6.295/2012 do Estado do Rio de Janeiro disciplina relação jurídica tipicame</w:t>
      </w:r>
    </w:p>
    <w:p>
      <w:pPr>
        <w:ind w:left="288"/>
      </w:pPr>
      <w:r>
        <w:rPr>
          <w:b/>
          <w:color w:val="003CA0"/>
          <w:sz w:val="16"/>
        </w:rPr>
        <w:t>[ADI 4.908, rel. min. Rosa Weber, j. 11-4-2019, P, DJE de 6-5-2019.]</w:t>
      </w:r>
    </w:p>
    <w:p>
      <w:pPr>
        <w:ind w:left="288"/>
      </w:pPr>
      <w:r>
        <w:rPr>
          <w:color w:val="8C8C8C"/>
          <w:sz w:val="12"/>
        </w:rPr>
        <w:t>cf-art-24-inc-V</w:t>
      </w:r>
      <w:r>
        <w:rPr>
          <w:color w:val="003CA0"/>
          <w:sz w:val="12"/>
        </w:rPr>
        <w:t xml:space="preserve"> | ADI 5.745</w:t>
      </w:r>
    </w:p>
    <w:p>
      <w:pPr>
        <w:ind w:left="288"/>
      </w:pPr>
      <w:r>
        <w:rPr>
          <w:color w:val="1E1E1E"/>
          <w:sz w:val="18"/>
        </w:rPr>
        <w:t>Legislação que impõe obrigação de informar o consumidor acerca da identidade de funcionários que prestarão serviços de telecomunicações e internet, em sua residência ou sede, constitui norma reguladora de obrigações e responsabilidades referentes a relação de consumo, inserindo-se na competência concorrente do artigo 24, V e VIII, da Constituição da República.</w:t>
        <w:br/>
        <w:t>[ADI 5.745, red. do ac. min. Edson Fachin, j. 7-2-2019, P, DJE de 19-2-2019.] Atendidos os parâmetros alusivos à razoabilidade, surge constitucional norma estadual a versar proibição de as empresas concessionárias de serviços públicos su</w:t>
      </w:r>
    </w:p>
    <w:p>
      <w:pPr>
        <w:ind w:left="288"/>
      </w:pPr>
      <w:r>
        <w:rPr>
          <w:b/>
          <w:color w:val="003CA0"/>
          <w:sz w:val="16"/>
        </w:rPr>
        <w:t>[ADI 5.961, red. do ac. min. Marco Aurélio, j. 19-12-2018, P, DJE de 26-6-2019.]</w:t>
      </w:r>
    </w:p>
    <w:p>
      <w:pPr>
        <w:ind w:left="288"/>
      </w:pPr>
      <w:r>
        <w:rPr>
          <w:color w:val="8C8C8C"/>
          <w:sz w:val="12"/>
        </w:rPr>
        <w:t>cf-art-24-inc-V</w:t>
      </w:r>
      <w:r>
        <w:rPr>
          <w:color w:val="003CA0"/>
          <w:sz w:val="12"/>
        </w:rPr>
        <w:t xml:space="preserve"> | ADI 5.158</w:t>
      </w:r>
      <w:r>
        <w:rPr>
          <w:color w:val="003CA0"/>
          <w:sz w:val="12"/>
        </w:rPr>
        <w:t xml:space="preserve"> | rel. Roberto Barroso</w:t>
      </w:r>
    </w:p>
    <w:p>
      <w:pPr>
        <w:ind w:left="288"/>
      </w:pPr>
      <w:r>
        <w:rPr>
          <w:color w:val="1E1E1E"/>
          <w:sz w:val="18"/>
        </w:rPr>
        <w:t>É inconstitucional, por extrapolação de competência concorrente para legislar sobre matérias de consumo, lei estadual que impõe às montadoras, concessionárias e importadoras de veículos a obrigação de fornecer veículo reserva a clientes cujo automóvel fique inabilitado por mais de 15 dias por falta de peças originais ou por impossibilidade de realização do serviço, durante o período de garantia contratual. Da interpretação sistemática dos arts. 1º, IV, 5º, 24, V e VIII, 170, IV e 174, todos da Constituição Federal, extraem-se balizas impostas ao legislador estadual, quando da elaboração de nor</w:t>
      </w:r>
    </w:p>
    <w:p>
      <w:pPr>
        <w:ind w:left="288"/>
      </w:pPr>
      <w:r>
        <w:rPr>
          <w:b/>
          <w:color w:val="003CA0"/>
          <w:sz w:val="16"/>
        </w:rPr>
        <w:t>[ADI 5.158, rel. min. Roberto Barroso, j. 6-12-2018, P, DJE de 20-2-2019.]</w:t>
      </w:r>
    </w:p>
    <w:p>
      <w:pPr>
        <w:ind w:left="288"/>
      </w:pPr>
      <w:r>
        <w:rPr>
          <w:color w:val="8C8C8C"/>
          <w:sz w:val="12"/>
        </w:rPr>
        <w:t>cf-art-24-inc-V</w:t>
      </w:r>
      <w:r>
        <w:rPr>
          <w:color w:val="003CA0"/>
          <w:sz w:val="12"/>
        </w:rPr>
        <w:t xml:space="preserve"> | ADI 4.633</w:t>
      </w:r>
      <w:r>
        <w:rPr>
          <w:color w:val="003CA0"/>
          <w:sz w:val="12"/>
        </w:rPr>
        <w:t xml:space="preserve"> | rel. Luiz Fux</w:t>
      </w:r>
    </w:p>
    <w:p>
      <w:pPr>
        <w:ind w:left="288"/>
      </w:pPr>
      <w:r>
        <w:rPr>
          <w:color w:val="1E1E1E"/>
          <w:sz w:val="18"/>
        </w:rPr>
        <w:t>A obrigação para as agências e os postos de serviços bancários de instalar divisórias individuais entre os caixas e o espaço reservado para clientes que aguardam atendimento é norma suplementar de proteção aos consumidores dos serviços bancários no Estado de São Paulo, que se encontra em harmonia com as normas gerais previstas na Lei federal 7.102/1983, que dispõe sobre segurança para estabelecimentos financeiros, e no Código de Defesa do Consumidor (Lei federal 8.078/1990). A Lei 14.364/2011 do Estado de São Paulo instituiu obrigação para as agências e os postos de serviços bancários de insta</w:t>
      </w:r>
    </w:p>
    <w:p>
      <w:pPr>
        <w:ind w:left="288"/>
      </w:pPr>
      <w:r>
        <w:rPr>
          <w:b/>
          <w:color w:val="003CA0"/>
          <w:sz w:val="16"/>
        </w:rPr>
        <w:t>[ADI 4.633, rel. min. Luiz Fux, j. 6-12-2018, P, DJE de 8-4-2019.]</w:t>
      </w:r>
    </w:p>
    <w:p>
      <w:pPr>
        <w:ind w:left="288"/>
      </w:pPr>
      <w:r>
        <w:rPr>
          <w:color w:val="8C8C8C"/>
          <w:sz w:val="12"/>
        </w:rPr>
        <w:t>cf-art-24-inc-V</w:t>
      </w:r>
      <w:r>
        <w:rPr>
          <w:color w:val="003CA0"/>
          <w:sz w:val="12"/>
        </w:rPr>
        <w:t xml:space="preserve"> | ADI 5.575</w:t>
      </w:r>
      <w:r>
        <w:rPr>
          <w:color w:val="003CA0"/>
          <w:sz w:val="12"/>
        </w:rPr>
        <w:t xml:space="preserve"> | rel. Luiz Fux</w:t>
      </w:r>
    </w:p>
    <w:p>
      <w:pPr>
        <w:ind w:left="288"/>
      </w:pPr>
      <w:r>
        <w:rPr>
          <w:color w:val="1E1E1E"/>
          <w:sz w:val="18"/>
        </w:rPr>
        <w:t>(...) os estados-membros não têm competência para legislar sobre normas aplicáveis aos prestadores de serviços de telecomunicações, ainda que a pretexto de proteger o consumidor ou a saúde dos usuários. Tal atribuição é privativa da União. Entender de modo contrário, em interpretação alargada da competência concorrente dos Estados-membros para a edição de normas específicas em matéria de consumidor (artigo 24, V e VIII, da Constituição Federal), acabaria por abrir margem à União para se desincumbir de sua competência constitucional expressa, frustrando a teleologia dos artigos 21, XI, e 22, IV</w:t>
      </w:r>
    </w:p>
    <w:p>
      <w:pPr>
        <w:ind w:left="288"/>
      </w:pPr>
      <w:r>
        <w:rPr>
          <w:b/>
          <w:color w:val="003CA0"/>
          <w:sz w:val="16"/>
        </w:rPr>
        <w:t>[ADI 1.980, voto do rel. min. Cezar Peluso, j. 16-4-2009, P, DJE de 7-8-2009.]</w:t>
      </w:r>
    </w:p>
    <w:p>
      <w:pPr>
        <w:ind w:left="288"/>
      </w:pPr>
      <w:r>
        <w:rPr>
          <w:color w:val="8C8C8C"/>
          <w:sz w:val="12"/>
        </w:rPr>
        <w:t>cf-art-24-inc-V</w:t>
      </w:r>
      <w:r>
        <w:rPr>
          <w:color w:val="003CA0"/>
          <w:sz w:val="12"/>
        </w:rPr>
        <w:t xml:space="preserve"> | ADI 2.832</w:t>
      </w:r>
      <w:r>
        <w:rPr>
          <w:color w:val="003CA0"/>
          <w:sz w:val="12"/>
        </w:rPr>
        <w:t xml:space="preserve"> | rel. Ricardo Lewandowski</w:t>
      </w:r>
    </w:p>
    <w:p>
      <w:pPr>
        <w:ind w:left="288"/>
      </w:pPr>
      <w:r>
        <w:rPr>
          <w:color w:val="1E1E1E"/>
          <w:sz w:val="18"/>
        </w:rPr>
        <w:t>= ADI 2.832, rel. min. Ricardo Lewandowski, j. 7-5-2008, P, DJE de 20-6-2008 Lei 3.706/2006 do Distrito Federal, que dispõe sobre "a afixação de tabela relativa a taxas de juros e de rendimentos de aplicações financeiras pelas instituições bancárias e de crédito". Usurpação da competência privativa da União para fixar normas gerais relativas às relações de consumo (CF, art. 24, V, § 1º).</w:t>
      </w:r>
    </w:p>
    <w:p>
      <w:pPr>
        <w:ind w:left="288"/>
      </w:pPr>
      <w:r>
        <w:rPr>
          <w:b/>
          <w:color w:val="003CA0"/>
          <w:sz w:val="16"/>
        </w:rPr>
        <w:t>[ADI 3.668, rel. min. Gilmar Mendes, j. 17-9-2007, P, DJ de 19-12-2007.]</w:t>
      </w:r>
    </w:p>
    <w:p>
      <w:pPr>
        <w:ind w:left="288"/>
      </w:pPr>
      <w:r>
        <w:rPr>
          <w:color w:val="8C8C8C"/>
          <w:sz w:val="12"/>
        </w:rPr>
        <w:t>cf-art-24-inc-V</w:t>
      </w:r>
      <w:r>
        <w:rPr>
          <w:color w:val="003CA0"/>
          <w:sz w:val="12"/>
        </w:rPr>
        <w:t xml:space="preserve"> | ADI 2.359</w:t>
      </w:r>
      <w:r>
        <w:rPr>
          <w:color w:val="003CA0"/>
          <w:sz w:val="12"/>
        </w:rPr>
        <w:t xml:space="preserve"> | rel. Eros Grau</w:t>
      </w:r>
    </w:p>
    <w:p>
      <w:pPr>
        <w:ind w:left="288"/>
      </w:pPr>
      <w:r>
        <w:rPr>
          <w:color w:val="1E1E1E"/>
          <w:sz w:val="18"/>
        </w:rPr>
        <w:t>Comercialização de produtos por meio de vasilhames, recipientes ou embalagens reutilizáveis. Gás liquefeito de petróleo engarrafado (GLP). Diretrizes relativas à requalificação dos botijões. (...) O texto normativo questionado contém diretrizes relativamente ao consumo de produtos acondicionados em recipientes reutilizáveis – matéria em relação à qual o Estado-membro detém competência legislativa (art. 24, V, da Constituição do Brasil). (...) A lei hostilizada limita-se a promover a defesa do consumidor, dando concreção ao disposto no art. 170, V, da Constituição do Brasil. O texto normativo e</w:t>
      </w:r>
    </w:p>
    <w:p>
      <w:pPr>
        <w:ind w:left="288"/>
      </w:pPr>
      <w:r>
        <w:rPr>
          <w:b/>
          <w:color w:val="003CA0"/>
          <w:sz w:val="16"/>
        </w:rPr>
        <w:t>[ADI 2.359, rel. min. Eros Grau, j. 27-9-2006, P, DJ de 7-12-2006.]</w:t>
      </w:r>
    </w:p>
    <w:p>
      <w:pPr>
        <w:ind w:left="288"/>
      </w:pPr>
      <w:r>
        <w:rPr>
          <w:color w:val="8C8C8C"/>
          <w:sz w:val="12"/>
        </w:rPr>
        <w:t>cf-art-24-inc-V</w:t>
      </w:r>
      <w:r>
        <w:rPr>
          <w:color w:val="003CA0"/>
          <w:sz w:val="12"/>
        </w:rPr>
        <w:t xml:space="preserve"> | ADI 2.818</w:t>
      </w:r>
      <w:r>
        <w:rPr>
          <w:color w:val="003CA0"/>
          <w:sz w:val="12"/>
        </w:rPr>
        <w:t xml:space="preserve"> | rel. Dias Toffoli</w:t>
      </w:r>
    </w:p>
    <w:p>
      <w:pPr>
        <w:ind w:left="288"/>
      </w:pPr>
      <w:r>
        <w:rPr>
          <w:color w:val="1E1E1E"/>
          <w:sz w:val="18"/>
        </w:rPr>
        <w:t>= ADI 2.818, rel. min. Dias Toffoli, j. 9-5-2013, P, DJE de 1º-8-2013 Lei 14.861/2005 do Estado do Paraná. Informação quanto à presença de organismos geneticamente modificados em alimentos e ingredientes alimentares destinados ao consumo humano e animal. Lei federal 11.105/2005 e Decretos 4.680/2003 e 5.591/2005. Competência legislativa concorrente para dispor sobre produção, consumo e proteção e defesa da saúde. Art. 24, V e XII, da CF. (...) Ocorrência de substituição – e não suplementação – das regras que cuidam das exigências, procedimentos e penalidades relativos à rotulagem informativa d</w:t>
      </w:r>
    </w:p>
    <w:p>
      <w:pPr>
        <w:ind w:left="288"/>
      </w:pPr>
      <w:r>
        <w:rPr>
          <w:b/>
          <w:color w:val="003CA0"/>
          <w:sz w:val="16"/>
        </w:rPr>
        <w:t>[ARE 1.550.916 AgR, rel. min. Flávio Dino, j. 12.08.2025, P, DJE de 21.08.2025.]</w:t>
      </w:r>
    </w:p>
    <w:p>
      <w:pPr>
        <w:ind w:left="144"/>
      </w:pPr>
      <w:r>
        <w:rPr>
          <w:b/>
          <w:color w:val="B45A00"/>
          <w:sz w:val="16"/>
        </w:rPr>
        <w:t>JULGADOS CORRELATOS</w:t>
      </w:r>
    </w:p>
    <w:p>
      <w:pPr>
        <w:ind w:left="288"/>
      </w:pPr>
      <w:r>
        <w:rPr>
          <w:color w:val="8C8C8C"/>
          <w:sz w:val="12"/>
        </w:rPr>
        <w:t>cf-art-24-inc-V</w:t>
      </w:r>
      <w:r>
        <w:rPr>
          <w:color w:val="003CA0"/>
          <w:sz w:val="12"/>
        </w:rPr>
        <w:t xml:space="preserve"> | ARE 1.472.813</w:t>
      </w:r>
      <w:r>
        <w:rPr>
          <w:color w:val="003CA0"/>
          <w:sz w:val="12"/>
        </w:rPr>
        <w:t xml:space="preserve"> | rel. Alexandre de Moraes</w:t>
      </w:r>
    </w:p>
    <w:p>
      <w:pPr>
        <w:ind w:left="288"/>
      </w:pPr>
      <w:r>
        <w:rPr>
          <w:color w:val="1E1E1E"/>
          <w:sz w:val="18"/>
        </w:rPr>
        <w:t>A Lei do Estado de Rondônia 4.318/2018, ao exigir a instalação e o funcionamento de balanças eletrônicas pelos matadouros e matadouros-frigoríficos em atividade naquele ente federativo, bem como o repasse das informações em tempo real para um computador da entidade representativa dos pecuaristas e do órgão de controle e fiscalização, propicia o aperfeiçoamento das atividades fiscalizatórias e o controle sanitário, de forma a conferir mais segurança aos consumidores locais. Assim, insere-se na previsão do art. 24, V, da Constituição.</w:t>
        <w:br/>
        <w:t>[ARE 1.472.813 AgR, rel. min. Alexandre de Moraes, j. 05.06.2</w:t>
      </w:r>
    </w:p>
    <w:p>
      <w:pPr>
        <w:ind w:left="288"/>
      </w:pPr>
      <w:r>
        <w:rPr>
          <w:color w:val="8C8C8C"/>
          <w:sz w:val="12"/>
        </w:rPr>
        <w:t>cf-art-24-inc-VI</w:t>
      </w:r>
      <w:r>
        <w:rPr>
          <w:color w:val="003CA0"/>
          <w:sz w:val="12"/>
        </w:rPr>
        <w:t xml:space="preserve"> | ADI 7.184</w:t>
      </w:r>
      <w:r>
        <w:rPr>
          <w:color w:val="003CA0"/>
          <w:sz w:val="12"/>
        </w:rPr>
        <w:t xml:space="preserve"> | rel. Dias Toffoli</w:t>
      </w:r>
    </w:p>
    <w:p>
      <w:pPr>
        <w:ind w:left="288"/>
      </w:pPr>
      <w:r>
        <w:rPr>
          <w:color w:val="1E1E1E"/>
          <w:sz w:val="18"/>
        </w:rPr>
        <w:t>Artigo 5º, inciso XII, e art. 14, caput, incisos I, II e § 3º, da Lei nº 11.269/20 do Estado do Maranhão. Zoneamento Ecológico-Econômico do Bioma Amazônico no Estado do Maranhão. Significativa distinção entre “área com floresta” e “área de floresta” para fins de delimitação das áreas de reserva legal. (...) No caso em apreço, o Procurador-Geral da República logrou demonstrar, inclusive mediante laudo técnico anexado aos autos, que a sistemática legal adotada pelo Estado do Maranhão leva à redução do padrão de proteção ambiental estabelecido pela norma geral da União para as áreas de floresta n</w:t>
      </w:r>
    </w:p>
    <w:p>
      <w:pPr>
        <w:ind w:left="288"/>
      </w:pPr>
      <w:r>
        <w:rPr>
          <w:b/>
          <w:color w:val="003CA0"/>
          <w:sz w:val="16"/>
        </w:rPr>
        <w:t>[ADI 7.184, rel. min. Dias Toffoli, j. 02.12.2025, P, DJE de 10.12.2025.]</w:t>
      </w:r>
    </w:p>
    <w:p>
      <w:pPr>
        <w:ind w:left="144"/>
      </w:pPr>
      <w:r>
        <w:rPr>
          <w:b/>
          <w:color w:val="B45A00"/>
          <w:sz w:val="16"/>
        </w:rPr>
        <w:t>CONTROLE CONCENTRADO</w:t>
      </w:r>
    </w:p>
    <w:p>
      <w:pPr>
        <w:ind w:left="288"/>
      </w:pPr>
      <w:r>
        <w:rPr>
          <w:color w:val="8C8C8C"/>
          <w:sz w:val="12"/>
        </w:rPr>
        <w:t>cf-art-24-inc-VI</w:t>
      </w:r>
      <w:r>
        <w:rPr>
          <w:color w:val="003CA0"/>
          <w:sz w:val="12"/>
        </w:rPr>
        <w:t xml:space="preserve"> | ADI 5.014</w:t>
      </w:r>
      <w:r>
        <w:rPr>
          <w:color w:val="003CA0"/>
          <w:sz w:val="12"/>
        </w:rPr>
        <w:t xml:space="preserve"> | rel. Dias Toffoli</w:t>
      </w:r>
    </w:p>
    <w:p>
      <w:pPr>
        <w:ind w:left="288"/>
      </w:pPr>
      <w:r>
        <w:rPr>
          <w:color w:val="1E1E1E"/>
          <w:sz w:val="18"/>
        </w:rPr>
        <w:t>Em matéria de licenciamento ambiental, os estados ostentam competência suplementar, a fim de atender às peculiaridades locais, visando, igualmente, ao preenchimento de lacunas normativas que atendam às características e às necessidades regionais.</w:t>
      </w:r>
    </w:p>
    <w:p>
      <w:pPr>
        <w:ind w:left="288"/>
      </w:pPr>
      <w:r>
        <w:rPr>
          <w:b/>
          <w:color w:val="003CA0"/>
          <w:sz w:val="16"/>
        </w:rPr>
        <w:t>[ADI 5.014, rel. min. Dias Toffoli, j. 13.11.2023, P, DJE de 20.02.2024.]</w:t>
      </w:r>
    </w:p>
    <w:p>
      <w:pPr>
        <w:ind w:left="288"/>
      </w:pPr>
      <w:r>
        <w:rPr>
          <w:color w:val="8C8C8C"/>
          <w:sz w:val="12"/>
        </w:rPr>
        <w:t>cf-art-24-inc-VI</w:t>
      </w:r>
      <w:r>
        <w:rPr>
          <w:color w:val="003CA0"/>
          <w:sz w:val="12"/>
        </w:rPr>
        <w:t xml:space="preserve"> | ADI 3.526</w:t>
      </w:r>
      <w:r>
        <w:rPr>
          <w:color w:val="003CA0"/>
          <w:sz w:val="12"/>
        </w:rPr>
        <w:t xml:space="preserve"> | rel. Nunes Marques</w:t>
      </w:r>
    </w:p>
    <w:p>
      <w:pPr>
        <w:ind w:left="288"/>
      </w:pPr>
      <w:r>
        <w:rPr>
          <w:color w:val="1E1E1E"/>
          <w:sz w:val="18"/>
        </w:rPr>
        <w:t xml:space="preserve">(...) a questão que se coloca, na perspectiva formal, consiste em definir se a lei impugnada, ao centralizar em órgão federal – Comissão Técnica Nacional de Biossegurança – a fiscalização e normatização do desenvolvimento e uso de organismos geneticamente modificados, contrariou o esquema constitucional de competências legislativas concorrentes (art. 24 da Constituição Federal). As normas de segurança e mecanismos de fiscalização de atividades relativas a organismos geneticamente modificados impõem tratamento linear no território nacional. Ou seja, há inequívoca preponderância do interesse da </w:t>
      </w:r>
    </w:p>
    <w:p>
      <w:pPr>
        <w:ind w:left="288"/>
      </w:pPr>
      <w:r>
        <w:rPr>
          <w:b/>
          <w:color w:val="003CA0"/>
          <w:sz w:val="16"/>
        </w:rPr>
        <w:t>[ADI 4.069, rel. min. Edson Fachin, j. 8-9-2020, P, DJE de 24-9-2020.]</w:t>
      </w:r>
    </w:p>
    <w:p>
      <w:pPr>
        <w:ind w:left="288"/>
      </w:pPr>
      <w:r>
        <w:rPr>
          <w:color w:val="8C8C8C"/>
          <w:sz w:val="12"/>
        </w:rPr>
        <w:t>cf-art-24-inc-VI</w:t>
      </w:r>
      <w:r>
        <w:rPr>
          <w:color w:val="003CA0"/>
          <w:sz w:val="12"/>
        </w:rPr>
        <w:t xml:space="preserve"> | ADI 5.996</w:t>
      </w:r>
      <w:r>
        <w:rPr>
          <w:color w:val="003CA0"/>
          <w:sz w:val="12"/>
        </w:rPr>
        <w:t xml:space="preserve"> | rel. Alexandre de Moraes</w:t>
      </w:r>
    </w:p>
    <w:p>
      <w:pPr>
        <w:ind w:left="288"/>
      </w:pPr>
      <w:r>
        <w:rPr>
          <w:color w:val="1E1E1E"/>
          <w:sz w:val="18"/>
        </w:rPr>
        <w:t>A Lei 289/2015 do Estado do Amazonas, ao proibir a utilização de animais para desenvolvimento, experimentos e testes de produtos cosméticos, de higiene pessoal, perfumes e seus componentes, não invade a competência da União para legislar sobre normas gerais em relação à proteção da fauna. Competência legislativa concorrente dos Estados (art. 24, VI, da CF). A sobreposição de opções políticas por graus variáveis de proteção ambiental constitui circunstância própria do estabelecimento de competência concorrente sobre a matéria. Em linha de princípio, admite-se que os Estados editem normas mais p</w:t>
      </w:r>
    </w:p>
    <w:p>
      <w:pPr>
        <w:ind w:left="288"/>
      </w:pPr>
      <w:r>
        <w:rPr>
          <w:b/>
          <w:color w:val="003CA0"/>
          <w:sz w:val="16"/>
        </w:rPr>
        <w:t>[ADI 5.996, rel. min. Alexandre de Moraes, j. 15-4-2020, P, DJE de 30-4-2020.]</w:t>
      </w:r>
    </w:p>
    <w:p>
      <w:pPr>
        <w:ind w:left="288"/>
      </w:pPr>
      <w:r>
        <w:rPr>
          <w:color w:val="8C8C8C"/>
          <w:sz w:val="12"/>
        </w:rPr>
        <w:t>cf-art-24-inc-VI</w:t>
      </w:r>
      <w:r>
        <w:rPr>
          <w:color w:val="003CA0"/>
          <w:sz w:val="12"/>
        </w:rPr>
        <w:t xml:space="preserve"> | ADI 861</w:t>
      </w:r>
      <w:r>
        <w:rPr>
          <w:color w:val="003CA0"/>
          <w:sz w:val="12"/>
        </w:rPr>
        <w:t xml:space="preserve"> | rel. Rosa Weber</w:t>
      </w:r>
    </w:p>
    <w:p>
      <w:pPr>
        <w:ind w:left="288"/>
      </w:pPr>
      <w:r>
        <w:rPr>
          <w:color w:val="1E1E1E"/>
          <w:sz w:val="18"/>
        </w:rPr>
        <w:t>Ao orientarem o controle do esforço de pesca em consideração ao poder de pesca, o desempenho das embarcações e o volume da fauna acompanhante desperdiçada, estipularem limites de aproveitamento da fauna acompanhante à pesca industrial de arrasto de camarões e veicularem normas destinadas à mitigação do impacto ambiental da atividade, os arts. 1º, § 2º, e 2º, §§ 1º e 2º, da Lei 64/1993 mantêm-se dentro dos limites da competência legislativa concorrente do Estado (art. 24, VI, da CF), além de consonantes com o postulado da proporcionalidade e os imperativos de preservação e defesa do meio ambien</w:t>
      </w:r>
    </w:p>
    <w:p>
      <w:pPr>
        <w:ind w:left="288"/>
      </w:pPr>
      <w:r>
        <w:rPr>
          <w:b/>
          <w:color w:val="003CA0"/>
          <w:sz w:val="16"/>
        </w:rPr>
        <w:t>[ADI 861, rel. min. Rosa Weber, j. 6-3-2020, P, DJE de 5-6-2020.]</w:t>
      </w:r>
    </w:p>
    <w:p>
      <w:pPr>
        <w:ind w:left="288"/>
      </w:pPr>
      <w:r>
        <w:rPr>
          <w:color w:val="8C8C8C"/>
          <w:sz w:val="12"/>
        </w:rPr>
        <w:t>cf-art-24-inc-VI</w:t>
      </w:r>
      <w:r>
        <w:rPr>
          <w:color w:val="003CA0"/>
          <w:sz w:val="12"/>
        </w:rPr>
        <w:t xml:space="preserve"> | ADI 3.336</w:t>
      </w:r>
      <w:r>
        <w:rPr>
          <w:color w:val="003CA0"/>
          <w:sz w:val="12"/>
        </w:rPr>
        <w:t xml:space="preserve"> | rel. Dias Toffoli</w:t>
      </w:r>
    </w:p>
    <w:p>
      <w:pPr>
        <w:ind w:left="288"/>
      </w:pPr>
      <w:r>
        <w:rPr>
          <w:color w:val="1E1E1E"/>
          <w:sz w:val="18"/>
        </w:rPr>
        <w:t>Embora a União detenha a competência exclusiva para ‘instituir sistema nacional de gerenciamento de recursos hídricos e definir critérios de outorga de direitos de seu uso’ (art. 21, XIX, da CF/88), além de competência privativa para legislar sobre águas (art. 22, IV, da CF/88), não se há de olvidar que aos estados-membros compete, de forma concorrente, legislar sobre proteção ao meio ambiente (art. 24, VI e VIII, CF), o que inclui, evidentemente, a proteção dos recursos hídricos. Esse entendimento mostra-se consentâneo, inclusive, com a previsão constitucional que defere aos estados-membros o</w:t>
      </w:r>
    </w:p>
    <w:p>
      <w:pPr>
        <w:ind w:left="288"/>
      </w:pPr>
      <w:r>
        <w:rPr>
          <w:b/>
          <w:color w:val="003CA0"/>
          <w:sz w:val="16"/>
        </w:rPr>
        <w:t>[ADI 3.336, rel. min. Dias Toffoli, j. 14-2-2020, P, DJE de 6-3-2020.]</w:t>
      </w:r>
    </w:p>
    <w:p>
      <w:pPr>
        <w:ind w:left="288"/>
      </w:pPr>
      <w:r>
        <w:rPr>
          <w:color w:val="8C8C8C"/>
          <w:sz w:val="12"/>
        </w:rPr>
        <w:t>cf-art-24-inc-VI</w:t>
      </w:r>
      <w:r>
        <w:rPr>
          <w:color w:val="003CA0"/>
          <w:sz w:val="12"/>
        </w:rPr>
        <w:t xml:space="preserve"> | ADI 4.615</w:t>
      </w:r>
      <w:r>
        <w:rPr>
          <w:color w:val="003CA0"/>
          <w:sz w:val="12"/>
        </w:rPr>
        <w:t xml:space="preserve"> | rel. Roberto Barroso</w:t>
      </w:r>
    </w:p>
    <w:p>
      <w:pPr>
        <w:ind w:left="288"/>
      </w:pPr>
      <w:r>
        <w:rPr>
          <w:color w:val="1E1E1E"/>
          <w:sz w:val="18"/>
        </w:rPr>
        <w:t>A Lei 6.938/1981, de âmbito nacional, ao instituir a Política Nacional do Meio Ambiente, elegeu o Conselho Nacional do Meio Ambiente – CONAMA como o órgão competente para estabelecer normas e critérios para o licenciamento de atividades efetiva ou potencialmente poluidoras a ser concedido pelos Estados e supervisionado pelo IBAMA. O CONAMA, diante de seu poder regulamentar, editou a Resolução 237/1997, que, em seu art. 12, § 1º, fixou que poderão ser estabelecidos procedimentos simplificados para as atividades e empreendimentos de pequeno potencial de impacto ambiental, que deverão ser aprovad</w:t>
      </w:r>
    </w:p>
    <w:p>
      <w:pPr>
        <w:ind w:left="288"/>
      </w:pPr>
      <w:r>
        <w:rPr>
          <w:b/>
          <w:color w:val="003CA0"/>
          <w:sz w:val="16"/>
        </w:rPr>
        <w:t>[ADI 4.615, rel. min. Roberto Barroso, j. 20-9-2019, P, DJE de 28-10-2019.]</w:t>
      </w:r>
    </w:p>
    <w:p>
      <w:pPr>
        <w:ind w:left="288"/>
      </w:pPr>
      <w:r>
        <w:rPr>
          <w:color w:val="8C8C8C"/>
          <w:sz w:val="12"/>
        </w:rPr>
        <w:t>cf-art-24-inc-VI</w:t>
      </w:r>
      <w:r>
        <w:rPr>
          <w:color w:val="003CA0"/>
          <w:sz w:val="12"/>
        </w:rPr>
        <w:t xml:space="preserve"> | ADI 5.312</w:t>
      </w:r>
      <w:r>
        <w:rPr>
          <w:color w:val="003CA0"/>
          <w:sz w:val="12"/>
        </w:rPr>
        <w:t xml:space="preserve"> | rel. Alexandre de Moraes</w:t>
      </w:r>
    </w:p>
    <w:p>
      <w:pPr>
        <w:ind w:left="288"/>
      </w:pPr>
      <w:r>
        <w:rPr>
          <w:color w:val="1E1E1E"/>
          <w:sz w:val="18"/>
        </w:rPr>
        <w:t>A possibilidade de complementação da legislação federal para o atendimento de interesse regional (art. 24, § 2º, da CF) não permite que Estado-Membro dispense a exigência de licenciamento para atividades potencialmente poluidoras, como pretendido pelo art. 10 da Lei 2.713/2013 do Estado do Tocantins. O desenvolvimento de atividades agrossilvipastoris pode acarretar uma relevante intervenção sobre o meio ambiente, pelo que não se justifica a flexibilização dos instrumentos de proteção ambiental, sem que haja um controle e fiscalização prévios da atividade.</w:t>
      </w:r>
    </w:p>
    <w:p>
      <w:pPr>
        <w:ind w:left="288"/>
      </w:pPr>
      <w:r>
        <w:rPr>
          <w:b/>
          <w:color w:val="003CA0"/>
          <w:sz w:val="16"/>
        </w:rPr>
        <w:t>[ADI 5.312, rel. min. Alexandre de Moraes, j. 25-10-2018, P, DJE de 11-2-2019.]</w:t>
      </w:r>
    </w:p>
    <w:p>
      <w:pPr>
        <w:ind w:left="288"/>
      </w:pPr>
      <w:r>
        <w:rPr>
          <w:color w:val="8C8C8C"/>
          <w:sz w:val="12"/>
        </w:rPr>
        <w:t>cf-art-24-inc-VI</w:t>
      </w:r>
      <w:r>
        <w:rPr>
          <w:color w:val="003CA0"/>
          <w:sz w:val="12"/>
        </w:rPr>
        <w:t xml:space="preserve"> | ADI 1.086</w:t>
      </w:r>
      <w:r>
        <w:rPr>
          <w:color w:val="003CA0"/>
          <w:sz w:val="12"/>
        </w:rPr>
        <w:t xml:space="preserve"> | rel. Ilmar Galvão</w:t>
      </w:r>
    </w:p>
    <w:p>
      <w:pPr>
        <w:ind w:left="288"/>
      </w:pPr>
      <w:r>
        <w:rPr>
          <w:color w:val="1E1E1E"/>
          <w:sz w:val="18"/>
        </w:rPr>
        <w:t>(...) ao excepcionar a exigência de prévio estudo de impacto ambiental nos casos de áreas florestadas ou objeto de reflorestamento, o § 3º do art. 182 da Constituição catarinense viola o previsto na CF, que determina a realização de tal estudo para a instalação de qualquer atividade potencialmente causadora de degradação ao meio ambiente. Por outro lado, é certo que, pela lógica sistemática da distribuição de competência legislativa, apenas a lei federal seria apta a excluir hipóteses à incidência do aludido preceito geral, já que se trata de matéria nitidamente inserida no campo de abrangênci</w:t>
      </w:r>
    </w:p>
    <w:p>
      <w:pPr>
        <w:ind w:left="144"/>
      </w:pPr>
      <w:r>
        <w:rPr>
          <w:b/>
          <w:color w:val="B45A00"/>
          <w:sz w:val="16"/>
        </w:rPr>
        <w:t>REPERCUSSAO GERAL</w:t>
      </w:r>
    </w:p>
    <w:p>
      <w:pPr>
        <w:ind w:left="288"/>
      </w:pPr>
      <w:r>
        <w:rPr>
          <w:color w:val="8C8C8C"/>
          <w:sz w:val="12"/>
        </w:rPr>
        <w:t>cf-art-24-inc-VI</w:t>
      </w:r>
      <w:r>
        <w:rPr>
          <w:color w:val="003CA0"/>
          <w:sz w:val="12"/>
        </w:rPr>
        <w:t xml:space="preserve"> | RE 1.210.727</w:t>
      </w:r>
      <w:r>
        <w:rPr>
          <w:color w:val="003CA0"/>
          <w:sz w:val="12"/>
        </w:rPr>
        <w:t xml:space="preserve"> | rel. Luiz Fux</w:t>
      </w:r>
    </w:p>
    <w:p>
      <w:pPr>
        <w:ind w:left="288"/>
      </w:pPr>
      <w:r>
        <w:rPr>
          <w:color w:val="1E1E1E"/>
          <w:sz w:val="18"/>
        </w:rPr>
        <w:t>É constitucional formal e materialmente lei municipal que proíbe a soltura de fogos de artifício e artefatos pirotécnicos produtores de estampidos.</w:t>
        <w:br/>
        <w:t>[RE 1.210.727, rel. min. Luiz Fux, j. 9-5-2023, P, DJE de 17-5-2023, Tema 1.056, com mérito julgado.] O Município é competente para legislar concorrentemente sobre meio ambiente, no limite de seu interesse local e desde que tal regramento seja e harmônico com a disciplina estabelecida pelos demais entes federados. (...) “É constitucional – formal e materialmente – lei municipal que obriga à substituição de sacos e sacolas plásticos por sacos e saco</w:t>
      </w:r>
    </w:p>
    <w:p>
      <w:pPr>
        <w:ind w:left="144"/>
      </w:pPr>
      <w:r>
        <w:rPr>
          <w:b/>
          <w:color w:val="B45A00"/>
          <w:sz w:val="16"/>
        </w:rPr>
        <w:t>CONTROLE CONCENTRADO</w:t>
      </w:r>
    </w:p>
    <w:p>
      <w:pPr>
        <w:ind w:left="288"/>
      </w:pPr>
      <w:r>
        <w:rPr>
          <w:color w:val="8C8C8C"/>
          <w:sz w:val="12"/>
        </w:rPr>
        <w:t>cf-art-24-inc-VII</w:t>
      </w:r>
      <w:r>
        <w:rPr>
          <w:color w:val="003CA0"/>
          <w:sz w:val="12"/>
        </w:rPr>
        <w:t xml:space="preserve"> | ADI 4.092</w:t>
      </w:r>
      <w:r>
        <w:rPr>
          <w:color w:val="003CA0"/>
          <w:sz w:val="12"/>
        </w:rPr>
        <w:t xml:space="preserve"> | rel. Nunes Marques</w:t>
      </w:r>
    </w:p>
    <w:p>
      <w:pPr>
        <w:ind w:left="288"/>
      </w:pPr>
      <w:r>
        <w:rPr>
          <w:color w:val="1E1E1E"/>
          <w:sz w:val="18"/>
        </w:rPr>
        <w:t>É possível que Estados e Municípios, com o objetivo de preservar a memória de bens imateriais, instituam feriados de alta significação étnica.</w:t>
        <w:br/>
        <w:t>[ADI 4.092, rel. min. Nunes Marques, red. do ac. min. Edson Fachin, j. 28-8-2023, P, DJE de 20-10-2023.] Embora a União detenha a competência exclusiva para ‘instituir sistema nacional de gerenciamento de recursos hídricos e definir critérios de outorga de direitos de seu uso’ (art. 21, XIX, da CF/88), além de competência privativa para legislar sobre águas (art. 22, IV, da CF/88), não se há de olvidar que aos estados-membros compete, de forma concorren</w:t>
      </w:r>
    </w:p>
    <w:p>
      <w:pPr>
        <w:ind w:left="288"/>
      </w:pPr>
      <w:r>
        <w:rPr>
          <w:color w:val="8C8C8C"/>
          <w:sz w:val="12"/>
        </w:rPr>
        <w:t>cf-art-24-inc-VIII</w:t>
      </w:r>
      <w:r>
        <w:rPr>
          <w:color w:val="003CA0"/>
          <w:sz w:val="12"/>
        </w:rPr>
        <w:t xml:space="preserve"> | ADI 3.155</w:t>
      </w:r>
      <w:r>
        <w:rPr>
          <w:color w:val="003CA0"/>
          <w:sz w:val="12"/>
        </w:rPr>
        <w:t xml:space="preserve"> | rel. Marco Aurélio</w:t>
      </w:r>
    </w:p>
    <w:p>
      <w:pPr>
        <w:ind w:left="288"/>
      </w:pPr>
      <w:r>
        <w:rPr>
          <w:color w:val="1E1E1E"/>
          <w:sz w:val="18"/>
        </w:rPr>
        <w:t>Consumidor. Proteção (...). Ausente intervenção direta no núcleo de atuação das instituições voltadas ao exercício de atividades de natureza mercantil ou financeira, surge constitucional norma estadual a impor, em caráter obrigatório, a instalação de itens de segurança em caixas eletrônicos, reduzindo riscos à integridade dos usuários dos serviços bancários (...).</w:t>
        <w:br/>
        <w:t>[ADI 3.155, rel. min. Marco Aurélio, j. 16-9-2020, P, DJE de 5-10-2020.] É inconstitucional lei estadual, distrital ou municipal, que verse sobre normas gerais de defesa do consumidor, por ofender o art. 24, VIII e § 1°, do texto con</w:t>
      </w:r>
    </w:p>
    <w:p>
      <w:pPr>
        <w:ind w:left="288"/>
      </w:pPr>
      <w:r>
        <w:rPr>
          <w:b/>
          <w:color w:val="003CA0"/>
          <w:sz w:val="16"/>
        </w:rPr>
        <w:t>[ADI 3.623, rel. min. Ricardo Lewandowski, j. 11-10-2019, P, DJE de 4-11-2019.]</w:t>
      </w:r>
    </w:p>
    <w:p>
      <w:pPr>
        <w:ind w:left="288"/>
      </w:pPr>
      <w:r>
        <w:rPr>
          <w:color w:val="8C8C8C"/>
          <w:sz w:val="12"/>
        </w:rPr>
        <w:t>cf-art-24-inc-VIII</w:t>
      </w:r>
      <w:r>
        <w:rPr>
          <w:color w:val="003CA0"/>
          <w:sz w:val="12"/>
        </w:rPr>
        <w:t xml:space="preserve"> | ADI 4.633</w:t>
      </w:r>
      <w:r>
        <w:rPr>
          <w:color w:val="003CA0"/>
          <w:sz w:val="12"/>
        </w:rPr>
        <w:t xml:space="preserve"> | rel. Luiz Fux</w:t>
      </w:r>
    </w:p>
    <w:p>
      <w:pPr>
        <w:ind w:left="288"/>
      </w:pPr>
      <w:r>
        <w:rPr>
          <w:color w:val="1E1E1E"/>
          <w:sz w:val="18"/>
        </w:rPr>
        <w:t>A obrigação para as agências e os postos de serviços bancários de instalar divisórias individuais entre os caixas e o espaço reservado para clientes que aguardam atendimento é norma suplementar de proteção aos consumidores dos serviços bancários no Estado de São Paulo, que se encontra em harmonia com as normas gerais previstas na Lei federal 7.102/1983, que dispõe sobre segurança para estabelecimentos financeiros, e no Código de Defesa do Consumidor (Lei federal 8.078/1990). A Lei 14.364/2011 do Estado de São Paulo instituiu obrigação para as agências e os postos de serviços bancários de insta</w:t>
      </w:r>
    </w:p>
    <w:p>
      <w:pPr>
        <w:ind w:left="288"/>
      </w:pPr>
      <w:r>
        <w:rPr>
          <w:b/>
          <w:color w:val="003CA0"/>
          <w:sz w:val="16"/>
        </w:rPr>
        <w:t>[ADI 4.633, rel. min. Luiz Fux, j. 6-12-2018, P, DJE de 8-4-2019.]</w:t>
      </w:r>
    </w:p>
    <w:p>
      <w:pPr>
        <w:ind w:left="288"/>
      </w:pPr>
      <w:r>
        <w:rPr>
          <w:color w:val="8C8C8C"/>
          <w:sz w:val="12"/>
        </w:rPr>
        <w:t>cf-art-24-inc-VIII</w:t>
      </w:r>
      <w:r>
        <w:rPr>
          <w:color w:val="003CA0"/>
          <w:sz w:val="12"/>
        </w:rPr>
        <w:t xml:space="preserve"> | ADI 2.303</w:t>
      </w:r>
      <w:r>
        <w:rPr>
          <w:color w:val="003CA0"/>
          <w:sz w:val="12"/>
        </w:rPr>
        <w:t xml:space="preserve"> | rel. Marco Aurélio</w:t>
      </w:r>
    </w:p>
    <w:p>
      <w:pPr>
        <w:ind w:left="288"/>
      </w:pPr>
      <w:r>
        <w:rPr>
          <w:color w:val="1E1E1E"/>
          <w:sz w:val="18"/>
        </w:rPr>
        <w:t>(...) se a Assembleia Constituinte estabeleceu haver interesse dos Estados no tocante à saúde, produção e consumo, proteção e responsabilidade por danos ao meio ambiente – artigo 24, incisos VI, VIII e XII, da Carta Federal –, descabe ao ente federado recusar-se ao implemento das providências pertinentes pelos meios próprios.</w:t>
        <w:br/>
        <w:t>[ADI 2.303, rel. min. Marco Aurélio, j. 5-9-2018, P, DJE de 11-11-2020.] Lei Estadual 11.078/1999, de Santa Catarina, que estabelece normas sobre controle de resíduos de embarcações, oleodutos e instalações costeiras. Alegação de ofensa ao art. 22, I, da CF. Não ocorrênci</w:t>
      </w:r>
    </w:p>
    <w:p>
      <w:pPr>
        <w:ind w:left="288"/>
      </w:pPr>
      <w:r>
        <w:rPr>
          <w:b/>
          <w:color w:val="003CA0"/>
          <w:sz w:val="16"/>
        </w:rPr>
        <w:t>[ADI 2.030, rel. min. Gilmar Mendes, j. 9-8-2017, P, DJE de 17-10-2018.]</w:t>
      </w:r>
    </w:p>
    <w:p>
      <w:pPr>
        <w:ind w:left="288"/>
      </w:pPr>
      <w:r>
        <w:rPr>
          <w:color w:val="8C8C8C"/>
          <w:sz w:val="12"/>
        </w:rPr>
        <w:t>cf-art-24-inc-VIII</w:t>
      </w:r>
      <w:r>
        <w:rPr>
          <w:color w:val="003CA0"/>
          <w:sz w:val="12"/>
        </w:rPr>
        <w:t xml:space="preserve"> | ADI 1.980</w:t>
      </w:r>
      <w:r>
        <w:rPr>
          <w:color w:val="003CA0"/>
          <w:sz w:val="12"/>
        </w:rPr>
        <w:t xml:space="preserve"> | rel. Cezar Peluso</w:t>
      </w:r>
    </w:p>
    <w:p>
      <w:pPr>
        <w:ind w:left="288"/>
      </w:pPr>
      <w:r>
        <w:rPr>
          <w:color w:val="1E1E1E"/>
          <w:sz w:val="18"/>
        </w:rPr>
        <w:t>A competência do Estado para instituir regras de efetiva proteção aos consumidores nasce-lhe do art. 24, V e VIII, c/c o § 2º (...). Cumpre ao Estado legislar concorrentemente, de forma específica, adaptando as normas gerais de "produção e consumo" e de "responsabilidade por dano ao (...) consumidor" expedidas pela União às peculiaridades e circunstâncias locais. E foi o que fez a legislação impugnada, pretendendo dar concreção e efetividade aos ditames da legislação federal correlativa, em tema de comercialização de combustíveis.</w:t>
        <w:br/>
        <w:t>[ADI 1.980, voto do rel. min. Cezar Peluso, j. 16-4-2009, P, DJ</w:t>
      </w:r>
    </w:p>
    <w:p>
      <w:pPr>
        <w:ind w:left="144"/>
      </w:pPr>
      <w:r>
        <w:rPr>
          <w:b/>
          <w:color w:val="B45A00"/>
          <w:sz w:val="16"/>
        </w:rPr>
        <w:t>JULGADOS CORRELATOS</w:t>
      </w:r>
    </w:p>
    <w:p>
      <w:pPr>
        <w:ind w:left="288"/>
      </w:pPr>
      <w:r>
        <w:rPr>
          <w:color w:val="8C8C8C"/>
          <w:sz w:val="12"/>
        </w:rPr>
        <w:t>cf-art-24-inc-VIII</w:t>
      </w:r>
      <w:r>
        <w:rPr>
          <w:color w:val="003CA0"/>
          <w:sz w:val="12"/>
        </w:rPr>
        <w:t xml:space="preserve"> | ARE 1.013.975</w:t>
      </w:r>
      <w:r>
        <w:rPr>
          <w:color w:val="003CA0"/>
          <w:sz w:val="12"/>
        </w:rPr>
        <w:t xml:space="preserve"> | rel. Rosa Weber</w:t>
      </w:r>
    </w:p>
    <w:p>
      <w:pPr>
        <w:ind w:left="288"/>
      </w:pPr>
      <w:r>
        <w:rPr>
          <w:color w:val="1E1E1E"/>
          <w:sz w:val="18"/>
        </w:rPr>
        <w:t>(...) é constitucional a lei estadual que prevê a instalação de dispositivos de segurança nas agências bancárias, considerada a competência concorrente entre União e Estados federados para legislar em matéria de segurança nas relações de consumo (art. 24, V e VIII e § 2º, da Carta Magna).</w:t>
        <w:br/>
        <w:t>[ARE 1.013.975 AgR-segundo, rel. min. Rosa Weber, j. 17-10-2017, 1ª T, DJE de 22-11-2017.]</w:t>
      </w:r>
    </w:p>
    <w:p>
      <w:pPr>
        <w:ind w:left="288"/>
      </w:pPr>
      <w:r>
        <w:rPr>
          <w:color w:val="8C8C8C"/>
          <w:sz w:val="12"/>
        </w:rPr>
        <w:t>cf-art-24-inc-IX</w:t>
      </w:r>
      <w:r>
        <w:rPr>
          <w:color w:val="003CA0"/>
          <w:sz w:val="12"/>
        </w:rPr>
        <w:t xml:space="preserve"> | ADI 2.965</w:t>
      </w:r>
      <w:r>
        <w:rPr>
          <w:color w:val="003CA0"/>
          <w:sz w:val="12"/>
        </w:rPr>
        <w:t xml:space="preserve"> | rel. Luiz Fux</w:t>
      </w:r>
    </w:p>
    <w:p>
      <w:pPr>
        <w:ind w:left="288"/>
      </w:pPr>
      <w:r>
        <w:rPr>
          <w:color w:val="1E1E1E"/>
          <w:sz w:val="18"/>
        </w:rPr>
        <w:t>A competência legislativa suplementar dos Estados-membros em matéria de educação e ensino está adstrita à edição de normas específicas, de forma a atender às peculiaridades de cada ente da federação, não servindo de pretexto à elaboração de normas gerais sobre educação ou à disciplina de matérias de competência legislativa privativa da União.</w:t>
      </w:r>
    </w:p>
    <w:p>
      <w:pPr>
        <w:ind w:left="288"/>
      </w:pPr>
      <w:r>
        <w:rPr>
          <w:b/>
          <w:color w:val="003CA0"/>
          <w:sz w:val="16"/>
        </w:rPr>
        <w:t>[ADI 2.965, rel. min. Luiz Fux, j. 02.04.2025, P, DJE de 23.10.2025.]</w:t>
      </w:r>
    </w:p>
    <w:p>
      <w:pPr>
        <w:ind w:left="144"/>
      </w:pPr>
      <w:r>
        <w:rPr>
          <w:b/>
          <w:color w:val="B45A00"/>
          <w:sz w:val="16"/>
        </w:rPr>
        <w:t>CONTROLE CONCENTRADO</w:t>
      </w:r>
    </w:p>
    <w:p>
      <w:pPr>
        <w:ind w:left="288"/>
      </w:pPr>
      <w:r>
        <w:rPr>
          <w:color w:val="8C8C8C"/>
          <w:sz w:val="12"/>
        </w:rPr>
        <w:t>cf-art-24-inc-IX</w:t>
      </w:r>
      <w:r>
        <w:rPr>
          <w:color w:val="003CA0"/>
          <w:sz w:val="12"/>
        </w:rPr>
        <w:t xml:space="preserve"> | ADI 6.412</w:t>
      </w:r>
      <w:r>
        <w:rPr>
          <w:color w:val="003CA0"/>
          <w:sz w:val="12"/>
        </w:rPr>
        <w:t xml:space="preserve"> | rel. Luís Roberto Barroso</w:t>
      </w:r>
    </w:p>
    <w:p>
      <w:pPr>
        <w:ind w:left="288"/>
      </w:pPr>
      <w:r>
        <w:rPr>
          <w:color w:val="1E1E1E"/>
          <w:sz w:val="18"/>
        </w:rPr>
        <w:t>A jurisprudência pacífica do Supremo Tribunal Federal reconhece que a definição do que sejam despesas com manutenção e desenvolvimento do ensino constitui matéria de diretrizes e bases da educação nacional (art. 22, XXIV, CF/1988), ou mesmo de normas gerais sobre educação (art. 24, IX e § 1º, CF/1988), de competência privativa da União. (...) É inconstitucional lei estadual que autoriza o cômputo de gastos previdenciários como despesas com manutenção e desenvolvimento do ensino.</w:t>
        <w:br/>
        <w:t xml:space="preserve">[ADI 6.412, rel. min. Luís Roberto Barroso, j. 4-9-2023, P, DJE de 25-9-2023.] Ação direta de inconstitucionalidade </w:t>
      </w:r>
    </w:p>
    <w:p>
      <w:pPr>
        <w:ind w:left="288"/>
      </w:pPr>
      <w:r>
        <w:rPr>
          <w:b/>
          <w:color w:val="003CA0"/>
          <w:sz w:val="16"/>
        </w:rPr>
        <w:t>[ADI 5.112, rel. min. Edson Fachin, j. 17-8-2021, P, DJE de 10-9-2021.]</w:t>
      </w:r>
    </w:p>
    <w:p>
      <w:pPr>
        <w:ind w:left="288"/>
      </w:pPr>
      <w:r>
        <w:rPr>
          <w:color w:val="8C8C8C"/>
          <w:sz w:val="12"/>
        </w:rPr>
        <w:t>cf-art-24-inc-IX</w:t>
      </w:r>
      <w:r>
        <w:rPr>
          <w:color w:val="003CA0"/>
          <w:sz w:val="12"/>
        </w:rPr>
        <w:t xml:space="preserve"> | ADI 5.752</w:t>
      </w:r>
      <w:r>
        <w:rPr>
          <w:color w:val="003CA0"/>
          <w:sz w:val="12"/>
        </w:rPr>
        <w:t xml:space="preserve"> | rel. Luiz Fux</w:t>
      </w:r>
    </w:p>
    <w:p>
      <w:pPr>
        <w:ind w:left="288"/>
      </w:pPr>
      <w:r>
        <w:rPr>
          <w:color w:val="1E1E1E"/>
          <w:sz w:val="18"/>
        </w:rPr>
        <w:t>A Lei federal 11.788/2008 determina que o estágio não cria vínculo empregatício de qualquer natureza, observados os seguintes requisitos: (i) matrícula e frequência regular do educando em curso de educação superior, de educação profissional, de ensino médio, da educação especial e nos anos finais do ensino fundamental, na modalidade profissional da educação de jovens e adultos e atestados pela instituição de ensino; (ii) celebração de termo de compromisso entre o educando, a parte concedente do estágio e a instituição de ensino; e (iii) compatibilidade entre as atividades desenvolvidas no está</w:t>
      </w:r>
    </w:p>
    <w:p>
      <w:pPr>
        <w:ind w:left="288"/>
      </w:pPr>
      <w:r>
        <w:rPr>
          <w:b/>
          <w:color w:val="003CA0"/>
          <w:sz w:val="16"/>
        </w:rPr>
        <w:t>[ADI 5.752, rel. min. Luiz Fux, j. 18-10-2019, P, DJE de 4-11-2019.]</w:t>
      </w:r>
    </w:p>
    <w:p>
      <w:pPr>
        <w:ind w:left="288"/>
      </w:pPr>
      <w:r>
        <w:rPr>
          <w:color w:val="8C8C8C"/>
          <w:sz w:val="12"/>
        </w:rPr>
        <w:t>cf-art-24-inc-IX</w:t>
      </w:r>
      <w:r>
        <w:rPr>
          <w:color w:val="003CA0"/>
          <w:sz w:val="12"/>
        </w:rPr>
        <w:t xml:space="preserve"> | ADI 3.874</w:t>
      </w:r>
      <w:r>
        <w:rPr>
          <w:color w:val="003CA0"/>
          <w:sz w:val="12"/>
        </w:rPr>
        <w:t xml:space="preserve"> | rel. Roberto Barroso</w:t>
      </w:r>
    </w:p>
    <w:p>
      <w:pPr>
        <w:ind w:left="288"/>
      </w:pPr>
      <w:r>
        <w:rPr>
          <w:color w:val="1E1E1E"/>
          <w:sz w:val="18"/>
        </w:rPr>
        <w:t>Lei fluminense que proíbe a cobrança pelos estabelecimentos de ensino sediados no Estado do Rio de Janeiro, por provas de segunda-chamada, provas finais ou equivalentes, não podendo os estudantes ser impedidos de fazer provas, testes, exames ou outras formas de avaliação, por falta de pagamento prévio. Ao estabelecer regras protetivas dos estudantes mais amplas do que as federais, quanto à cobrança por provas de segunda chamada ou finais, o Estado do Rio de Janeiro atuou dentro da área de sua competência concorrente para legislar sobre direito do consumidor e educação (art. 24, inciso V e IX).</w:t>
      </w:r>
    </w:p>
    <w:p>
      <w:pPr>
        <w:ind w:left="288"/>
      </w:pPr>
      <w:r>
        <w:rPr>
          <w:b/>
          <w:color w:val="003CA0"/>
          <w:sz w:val="16"/>
        </w:rPr>
        <w:t>[ADI 3.874, rel. min. Roberto Barroso, j. 23-8-2019, P, DJE de 9-9-2019.]</w:t>
      </w:r>
    </w:p>
    <w:p>
      <w:pPr>
        <w:ind w:left="288"/>
      </w:pPr>
      <w:r>
        <w:rPr>
          <w:color w:val="8C8C8C"/>
          <w:sz w:val="12"/>
        </w:rPr>
        <w:t>cf-art-24-inc-IX</w:t>
      </w:r>
      <w:r>
        <w:rPr>
          <w:color w:val="003CA0"/>
          <w:sz w:val="12"/>
        </w:rPr>
        <w:t xml:space="preserve"> | ADI 3.477</w:t>
      </w:r>
    </w:p>
    <w:p>
      <w:pPr>
        <w:ind w:left="288"/>
      </w:pPr>
      <w:r>
        <w:rPr>
          <w:color w:val="1E1E1E"/>
          <w:sz w:val="18"/>
        </w:rPr>
        <w:t>Lei 8.633/2005 do Estado do Rio Grande do Norte. Contribuição social incidente sobre proventos de aposentadoria e pensões. Dispensa na reforma da Carta estadual para instituição da exação em tela, a qual pode perfeitamente ser criada pela lei estadual. A CRFB/1988, em seu art. 40, com redação conferida pela EC 41/2003, estabelece regra geral a ser observada pelos Estados, Municípios e Distrito Federal. Parágrafo 1º do art. 149 da CRFB/1988. Imposição aos Estados de obrigatoriedade de instituição da contribuição social para custeio do regime previdenciário de seus servidores. Parágrafo único do</w:t>
      </w:r>
    </w:p>
    <w:p>
      <w:pPr>
        <w:ind w:left="288"/>
      </w:pPr>
      <w:r>
        <w:rPr>
          <w:b/>
          <w:color w:val="003CA0"/>
          <w:sz w:val="16"/>
        </w:rPr>
        <w:t>[ADI 3.477, red. do ac. min. Luiz Fux, j. 4-3-2015, P, DJE de 4-5-2015.]</w:t>
      </w:r>
    </w:p>
    <w:p>
      <w:pPr>
        <w:ind w:left="288"/>
      </w:pPr>
      <w:r>
        <w:rPr>
          <w:color w:val="8C8C8C"/>
          <w:sz w:val="12"/>
        </w:rPr>
        <w:t>cf-art-24-inc-IX</w:t>
      </w:r>
      <w:r>
        <w:rPr>
          <w:color w:val="003CA0"/>
          <w:sz w:val="12"/>
        </w:rPr>
        <w:t xml:space="preserve"> | ADI 4.060</w:t>
      </w:r>
      <w:r>
        <w:rPr>
          <w:color w:val="003CA0"/>
          <w:sz w:val="12"/>
        </w:rPr>
        <w:t xml:space="preserve"> | rel. Luiz Fux</w:t>
      </w:r>
    </w:p>
    <w:p>
      <w:pPr>
        <w:ind w:left="288"/>
      </w:pPr>
      <w:r>
        <w:rPr>
          <w:color w:val="1E1E1E"/>
          <w:sz w:val="18"/>
        </w:rPr>
        <w:t>A competência legislativa do Estado-membro para dispor sobre educação e ensino (CRFB, art. 24, IX) autoriza a fixação, por lei local, do número máximo de alunos em sala de aula, no afã de viabilizar o adequado aproveitamento dos estudantes. O limite máximo de alunos em sala de aula não ostenta natureza de norma geral, uma vez que dependente das circunstâncias peculiares a cada ente da federação, tais como o número de escolas colocadas à disposição da comunidade, a oferta de vagas para o ensino, o quantitativo de crianças em idade escolar para o nível fundamental e médio, o número de professore</w:t>
      </w:r>
    </w:p>
    <w:p>
      <w:pPr>
        <w:ind w:left="288"/>
      </w:pPr>
      <w:r>
        <w:rPr>
          <w:b/>
          <w:color w:val="003CA0"/>
          <w:sz w:val="16"/>
        </w:rPr>
        <w:t>[ADI 4.060, rel. min. Luiz Fux, j. 25-2-2015, P, DJE de 4-5-2015.]</w:t>
      </w:r>
    </w:p>
    <w:p>
      <w:pPr>
        <w:ind w:left="288"/>
      </w:pPr>
      <w:r>
        <w:rPr>
          <w:color w:val="8C8C8C"/>
          <w:sz w:val="12"/>
        </w:rPr>
        <w:t>cf-art-24-inc-IX</w:t>
      </w:r>
      <w:r>
        <w:rPr>
          <w:color w:val="003CA0"/>
          <w:sz w:val="12"/>
        </w:rPr>
        <w:t xml:space="preserve"> | ADI 3.098</w:t>
      </w:r>
      <w:r>
        <w:rPr>
          <w:color w:val="003CA0"/>
          <w:sz w:val="12"/>
        </w:rPr>
        <w:t xml:space="preserve"> | rel. Cezar Peluso</w:t>
      </w:r>
    </w:p>
    <w:p>
      <w:pPr>
        <w:ind w:left="288"/>
      </w:pPr>
      <w:r>
        <w:rPr>
          <w:color w:val="1E1E1E"/>
          <w:sz w:val="18"/>
        </w:rPr>
        <w:t xml:space="preserve">Ação direta proposta contra a validez constitucional do Estatuto do Torcedor (...). O diploma questionado não deixa de ser um conjunto ordenado de normas de caráter geral. (...) A lei não cuida de particularidades nem de minudências que pudessem estar reservadas à dita "competência estadual concorrente não cumulativa ou suplementar" (ADI 3.098) do art. 24, § 2º, da Constituição da República. (...) o Estatuto do Torcedor guarda, em certas passagens, índole metanormativa, porque, visando à proteção do espectador, dita regras sobre a produção de outras regras (os regulamentos). E daí vem a óbvia </w:t>
      </w:r>
    </w:p>
    <w:p>
      <w:pPr>
        <w:ind w:left="288"/>
      </w:pPr>
      <w:r>
        <w:rPr>
          <w:b/>
          <w:color w:val="003CA0"/>
          <w:sz w:val="16"/>
        </w:rPr>
        <w:t>[ADI 2.937, voto do rel. min. Cezar Peluso, j. 23-2-2012, P, DJE de 29-5-2012.]</w:t>
      </w:r>
    </w:p>
    <w:p>
      <w:pPr>
        <w:ind w:left="288"/>
      </w:pPr>
      <w:r>
        <w:rPr>
          <w:color w:val="8C8C8C"/>
          <w:sz w:val="12"/>
        </w:rPr>
        <w:t>cf-art-24-inc-IX</w:t>
      </w:r>
      <w:r>
        <w:rPr>
          <w:color w:val="003CA0"/>
          <w:sz w:val="12"/>
        </w:rPr>
        <w:t xml:space="preserve"> | ADI 4.167</w:t>
      </w:r>
      <w:r>
        <w:rPr>
          <w:color w:val="003CA0"/>
          <w:sz w:val="12"/>
        </w:rPr>
        <w:t xml:space="preserve"> | rel. Joaquim Barbosa</w:t>
      </w:r>
    </w:p>
    <w:p>
      <w:pPr>
        <w:ind w:left="288"/>
      </w:pPr>
      <w:r>
        <w:rPr>
          <w:color w:val="1E1E1E"/>
          <w:sz w:val="18"/>
        </w:rPr>
        <w:t>É constitucional a norma geral federal que fixou o piso salarial dos professores do ensino médio com base no vencimento, e não na remuneração global. Competência da União para dispor sobre normas gerais relativas ao piso de vencimento dos professores da educação básica, de modo a utilizá-lo como mecanismo de fomento ao sistema educacional e de valorização profissional, e não apenas como instrumento de proteção mínima ao trabalhador. É constitucional a norma geral federal que reserva o percentual mínimo de 1/3 da carga horária dos docentes da educação básica para dedicação às atividades extracl</w:t>
      </w:r>
    </w:p>
    <w:p>
      <w:pPr>
        <w:ind w:left="288"/>
      </w:pPr>
      <w:r>
        <w:rPr>
          <w:b/>
          <w:color w:val="003CA0"/>
          <w:sz w:val="16"/>
        </w:rPr>
        <w:t>[ADI 4.167, rel. min. Joaquim Barbosa, j. 27-4-2011, P, DJE de 24-8-2011.]</w:t>
      </w:r>
    </w:p>
    <w:p>
      <w:pPr>
        <w:ind w:left="288"/>
      </w:pPr>
      <w:r>
        <w:rPr>
          <w:color w:val="8C8C8C"/>
          <w:sz w:val="12"/>
        </w:rPr>
        <w:t>cf-art-24-inc-IX</w:t>
      </w:r>
      <w:r>
        <w:rPr>
          <w:color w:val="003CA0"/>
          <w:sz w:val="12"/>
        </w:rPr>
        <w:t xml:space="preserve"> | ADI 4.167</w:t>
      </w:r>
      <w:r>
        <w:rPr>
          <w:color w:val="003CA0"/>
          <w:sz w:val="12"/>
        </w:rPr>
        <w:t xml:space="preserve"> | rel. Joaquim Barbosa</w:t>
      </w:r>
    </w:p>
    <w:p>
      <w:pPr>
        <w:ind w:left="288"/>
      </w:pPr>
      <w:r>
        <w:rPr>
          <w:color w:val="1E1E1E"/>
          <w:sz w:val="18"/>
        </w:rPr>
        <w:t>Vide ADI 4.167 ED-AgR, rel. min. Joaquim Barbosa, j. 27-2-2013, P, DJE de 9-10-2013 Competência concorrente entre a União, que define as normas gerais, e os entes estaduais e Distrito Federal, que fixam as especificidades, os modos e meios de cumprir o quanto estabelecido no art. 24, IX, da Constituição da República, ou seja, para legislar sobre educação. O art. 22, XXIV, da Constituição da República enfatiza a competência privativa do legislador nacional para definir as diretrizes e bases da educação nacional, deixando as singularidades no âmbito de competência dos Estados e do Distrito Feder</w:t>
      </w:r>
    </w:p>
    <w:p>
      <w:pPr>
        <w:ind w:left="288"/>
      </w:pPr>
      <w:r>
        <w:rPr>
          <w:b/>
          <w:color w:val="003CA0"/>
          <w:sz w:val="16"/>
        </w:rPr>
        <w:t>[ADI 3.669, rel. min. Cármen Lúcia, j. 18-6-2007, P, DJ de 29-6-2007.]</w:t>
      </w:r>
    </w:p>
    <w:p>
      <w:pPr>
        <w:ind w:left="288"/>
      </w:pPr>
      <w:r>
        <w:rPr>
          <w:color w:val="8C8C8C"/>
          <w:sz w:val="12"/>
        </w:rPr>
        <w:t>cf-art-24-inc-IX</w:t>
      </w:r>
      <w:r>
        <w:rPr>
          <w:color w:val="003CA0"/>
          <w:sz w:val="12"/>
        </w:rPr>
        <w:t xml:space="preserve"> | ADI 1.266</w:t>
      </w:r>
      <w:r>
        <w:rPr>
          <w:color w:val="003CA0"/>
          <w:sz w:val="12"/>
        </w:rPr>
        <w:t xml:space="preserve"> | rel. Eros Grau</w:t>
      </w:r>
    </w:p>
    <w:p>
      <w:pPr>
        <w:ind w:left="288"/>
      </w:pPr>
      <w:r>
        <w:rPr>
          <w:color w:val="1E1E1E"/>
          <w:sz w:val="18"/>
        </w:rPr>
        <w:t>Os serviços de educação, seja os prestados pelo Estado, seja os prestados por particulares, configuram serviço público não privativo, podendo ser prestados pelo setor privado independentemente de concessão, permissão ou autorização. Tratando-se de serviço público, incumbe às entidades educacionais particulares, na sua prestação, rigorosamente acatar as normas gerais de educação nacional e as dispostas pelo Estado-membro, no exercício de competência legislativa suplementar (§ 2º do art. 24 da Constituição do Brasil).</w:t>
      </w:r>
    </w:p>
    <w:p>
      <w:pPr>
        <w:ind w:left="288"/>
      </w:pPr>
      <w:r>
        <w:rPr>
          <w:b/>
          <w:color w:val="003CA0"/>
          <w:sz w:val="16"/>
        </w:rPr>
        <w:t>[ADI 1.266, rel. min. Eros Grau, j. 6-4-2005, P, DJ de 23-9-2005.]</w:t>
      </w:r>
    </w:p>
    <w:p>
      <w:pPr>
        <w:ind w:left="288"/>
      </w:pPr>
      <w:r>
        <w:rPr>
          <w:color w:val="8C8C8C"/>
          <w:sz w:val="12"/>
        </w:rPr>
        <w:t>cf-art-24-inc-XI</w:t>
      </w:r>
      <w:r>
        <w:rPr>
          <w:color w:val="003CA0"/>
          <w:sz w:val="12"/>
        </w:rPr>
        <w:t xml:space="preserve"> | ADI 2.776</w:t>
      </w:r>
      <w:r>
        <w:rPr>
          <w:color w:val="003CA0"/>
          <w:sz w:val="12"/>
        </w:rPr>
        <w:t xml:space="preserve"> | rel. Nunes Marques</w:t>
      </w:r>
    </w:p>
    <w:p>
      <w:pPr>
        <w:ind w:left="288"/>
      </w:pPr>
      <w:r>
        <w:rPr>
          <w:color w:val="1E1E1E"/>
          <w:sz w:val="18"/>
        </w:rPr>
        <w:t>A norma estadual que atribui a coordenação e execução de perícia no âmbito de investigação criminal foi editada no exercício não da competência de legislar sobre direito processual, mas de dispor sobre procedimentos em matéria processual, inserida entre as competências normativas concorrentes da União, dos Estados e do Distrito Federal nos termos do inciso XI do art. 24 da Constituição de 1988. A investigação criminal não é atribuição exclusiva dos órgãos de polícia judiciária, assim como a perícia em local de incêndio ou explosão não configura mera apuração de infração penal. (...) É inconsti</w:t>
      </w:r>
    </w:p>
    <w:p>
      <w:pPr>
        <w:ind w:left="288"/>
      </w:pPr>
      <w:r>
        <w:rPr>
          <w:b/>
          <w:color w:val="003CA0"/>
          <w:sz w:val="16"/>
        </w:rPr>
        <w:t>[ADI 2.922, rel. min. Gilmar Mendes, j. 3-4-2014, P, DJE de 30-10-2014.]</w:t>
      </w:r>
    </w:p>
    <w:p>
      <w:pPr>
        <w:ind w:left="288"/>
      </w:pPr>
      <w:r>
        <w:rPr>
          <w:color w:val="8C8C8C"/>
          <w:sz w:val="12"/>
        </w:rPr>
        <w:t>cf-art-24-inc-XI</w:t>
      </w:r>
      <w:r>
        <w:rPr>
          <w:color w:val="003CA0"/>
          <w:sz w:val="12"/>
        </w:rPr>
        <w:t xml:space="preserve"> | ADI 2.886</w:t>
      </w:r>
    </w:p>
    <w:p>
      <w:pPr>
        <w:ind w:left="288"/>
      </w:pPr>
      <w:r>
        <w:rPr>
          <w:color w:val="1E1E1E"/>
          <w:sz w:val="18"/>
        </w:rPr>
        <w:t>A legislação que disciplina o inquérito policial não se inclui no âmbito estrito do processo penal, cuja competência é privativa da União (art. 22, I, CF), pois o inquérito é procedimento subsumido nos limites da competência legislativa concorrente, a teor do art. 24, XI, da CF de 1988, tal como já decidido reiteradamente pelo STF. O procedimento do inquérito policial, conforme previsto pelo CPP, torna desnecessária a intermediação judicial quando ausente a necessidade de adoção de medidas constritivas de direitos dos investigados, razão por que projetos de reforma do CPP propõem a remessa dir</w:t>
      </w:r>
    </w:p>
    <w:p>
      <w:pPr>
        <w:ind w:left="288"/>
      </w:pPr>
      <w:r>
        <w:rPr>
          <w:b/>
          <w:color w:val="003CA0"/>
          <w:sz w:val="16"/>
        </w:rPr>
        <w:t>[ADI 2.886, red. do ac. min. Joaquim Barbosa, j. 3-4-2014, P, DJE de 5-8-2014.]</w:t>
      </w:r>
    </w:p>
    <w:p>
      <w:pPr>
        <w:ind w:left="288"/>
      </w:pPr>
      <w:r>
        <w:rPr>
          <w:color w:val="8C8C8C"/>
          <w:sz w:val="12"/>
        </w:rPr>
        <w:t>cf-art-24-inc-XI</w:t>
      </w:r>
      <w:r>
        <w:rPr>
          <w:color w:val="003CA0"/>
          <w:sz w:val="12"/>
        </w:rPr>
        <w:t xml:space="preserve"> | ADI 4.414</w:t>
      </w:r>
      <w:r>
        <w:rPr>
          <w:color w:val="003CA0"/>
          <w:sz w:val="12"/>
        </w:rPr>
        <w:t xml:space="preserve"> | rel. Luiz Fux</w:t>
      </w:r>
    </w:p>
    <w:p>
      <w:pPr>
        <w:ind w:left="288"/>
      </w:pPr>
      <w:r>
        <w:rPr>
          <w:color w:val="1E1E1E"/>
          <w:sz w:val="18"/>
        </w:rPr>
        <w:t>Criação, por lei estadual, de varas especializadas em delitos praticados por organizações criminosas. (...) A composição do órgão jurisdicional se insere na competência legislativa concorrente para versar sobre procedimentos em matéria processual, mercê da caracterização do procedimento como a exteriorização da relação jurídica em desenvolvimento, a englobar o modo de produção dos atos decisórios do Estado-juiz, se com a chancela de um ou de vários magistrados. (...) Os Estados-membros podem dispor, mediante lei, sobre protocolo e distribuição de processos, no âmbito de sua competência para ed</w:t>
      </w:r>
    </w:p>
    <w:p>
      <w:pPr>
        <w:ind w:left="288"/>
      </w:pPr>
      <w:r>
        <w:rPr>
          <w:b/>
          <w:color w:val="003CA0"/>
          <w:sz w:val="16"/>
        </w:rPr>
        <w:t>[ADI 4.414, rel. min. Luiz Fux, j. 31-5-2012, P, DJE de 17-6-2013.]</w:t>
      </w:r>
    </w:p>
    <w:p>
      <w:pPr>
        <w:ind w:left="144"/>
      </w:pPr>
      <w:r>
        <w:rPr>
          <w:b/>
          <w:color w:val="B45A00"/>
          <w:sz w:val="16"/>
        </w:rPr>
        <w:t>JULGADOS CORRELATOS</w:t>
      </w:r>
    </w:p>
    <w:p>
      <w:pPr>
        <w:ind w:left="288"/>
      </w:pPr>
      <w:r>
        <w:rPr>
          <w:color w:val="8C8C8C"/>
          <w:sz w:val="12"/>
        </w:rPr>
        <w:t>cf-art-24-inc-XI</w:t>
      </w:r>
      <w:r>
        <w:rPr>
          <w:color w:val="003CA0"/>
          <w:sz w:val="12"/>
        </w:rPr>
        <w:t xml:space="preserve"> | AI 253.518</w:t>
      </w:r>
      <w:r>
        <w:rPr>
          <w:color w:val="003CA0"/>
          <w:sz w:val="12"/>
        </w:rPr>
        <w:t xml:space="preserve"> | rel. Marco Aurélio</w:t>
      </w:r>
    </w:p>
    <w:p>
      <w:pPr>
        <w:ind w:left="288"/>
      </w:pPr>
      <w:r>
        <w:rPr>
          <w:color w:val="1E1E1E"/>
          <w:sz w:val="18"/>
        </w:rPr>
        <w:t>Descabe confundir a competência concorrente da União, Estados e Distrito Federal para legislar sobre procedimentos em matéria processual; art. 24, XI, com a privativa para legislar sobre direito processual, prevista no art. 22, I, ambos da CF. Os Estados não têm competência para a criação de recurso, como é o de embargos de divergência contra decisão de turma recursal.</w:t>
      </w:r>
    </w:p>
    <w:p>
      <w:pPr>
        <w:ind w:left="288"/>
      </w:pPr>
      <w:r>
        <w:rPr>
          <w:b/>
          <w:color w:val="003CA0"/>
          <w:sz w:val="16"/>
        </w:rPr>
        <w:t>[AI 253.518 AgR, rel. min. Marco Aurélio, j. 9-5-2000, 2ª T, DJ de 18-8-2000.]</w:t>
      </w:r>
    </w:p>
    <w:p>
      <w:pPr>
        <w:ind w:left="288"/>
      </w:pPr>
      <w:r>
        <w:rPr>
          <w:color w:val="8C8C8C"/>
          <w:sz w:val="12"/>
        </w:rPr>
        <w:t>cf-art-24-inc-XII</w:t>
      </w:r>
      <w:r>
        <w:rPr>
          <w:color w:val="003CA0"/>
          <w:sz w:val="12"/>
        </w:rPr>
        <w:t xml:space="preserve"> | ADI 7.683</w:t>
      </w:r>
      <w:r>
        <w:rPr>
          <w:color w:val="003CA0"/>
          <w:sz w:val="12"/>
        </w:rPr>
        <w:t xml:space="preserve"> | rel. Cristiano Zanin</w:t>
      </w:r>
    </w:p>
    <w:p>
      <w:pPr>
        <w:ind w:left="288"/>
      </w:pPr>
      <w:r>
        <w:rPr>
          <w:color w:val="1E1E1E"/>
          <w:sz w:val="18"/>
        </w:rPr>
        <w:t>A jurisprudência do Supremo Tribunal Federal é consolidada no sentido de que a competência legislativa suplementar dos estados em relação ao respectivo regime próprio deve mantê-lo restrito aos servidores titulares de cargo efetivo, não havendo permissão constitucional para ampliar o rol previsto no art. 40 da Constituição Federal.</w:t>
      </w:r>
    </w:p>
    <w:p>
      <w:pPr>
        <w:ind w:left="288"/>
      </w:pPr>
      <w:r>
        <w:rPr>
          <w:b/>
          <w:color w:val="003CA0"/>
          <w:sz w:val="16"/>
        </w:rPr>
        <w:t>[ADI 7.683, rel. min. Cristiano Zanin, j. 22-12-2025, P, DJE de 30-1-2026.]</w:t>
      </w:r>
    </w:p>
    <w:p>
      <w:pPr>
        <w:ind w:left="288"/>
      </w:pPr>
      <w:r>
        <w:rPr>
          <w:color w:val="8C8C8C"/>
          <w:sz w:val="12"/>
        </w:rPr>
        <w:t>cf-art-24-inc-XII</w:t>
      </w:r>
      <w:r>
        <w:rPr>
          <w:color w:val="003CA0"/>
          <w:sz w:val="12"/>
        </w:rPr>
        <w:t xml:space="preserve"> | ADI 5.758</w:t>
      </w:r>
      <w:r>
        <w:rPr>
          <w:color w:val="003CA0"/>
          <w:sz w:val="12"/>
        </w:rPr>
        <w:t xml:space="preserve"> | rel. Nunes Marques</w:t>
      </w:r>
    </w:p>
    <w:p>
      <w:pPr>
        <w:ind w:left="288"/>
      </w:pPr>
      <w:r>
        <w:rPr>
          <w:color w:val="1E1E1E"/>
          <w:sz w:val="18"/>
        </w:rPr>
        <w:t xml:space="preserve">A Lei n. 17.110/2017 do Estado de Santa Catarina, ao dispor sobre o fornecimento de tratamento alternativo para os portadores de diabetes em uso de insulina, veicula normas sobre proteção e defesa da saúde, nos termos de sua competência legislativa concorrente quanto ao assunto (CF/1988, art. 24, XII). Tendo em vista a inexistência de controvérsia sobre registro dos análogos de insulina na Agência Nacional de Vigilância Sanitária (Anvisa), bem assim a incorporação, ao SUS, de insulina análoga para o tratamento de diabetes e a ampliação do uso dos citados medicamentos como opção terapêutica, a </w:t>
      </w:r>
    </w:p>
    <w:p>
      <w:pPr>
        <w:ind w:left="288"/>
      </w:pPr>
      <w:r>
        <w:rPr>
          <w:b/>
          <w:color w:val="003CA0"/>
          <w:sz w:val="16"/>
        </w:rPr>
        <w:t>[ADI 5.758, rel. min. Nunes Marques, j. 14.04.2025, P, DJE de 08.05.2025.]</w:t>
      </w:r>
    </w:p>
    <w:p>
      <w:pPr>
        <w:ind w:left="288"/>
      </w:pPr>
      <w:r>
        <w:rPr>
          <w:color w:val="8C8C8C"/>
          <w:sz w:val="12"/>
        </w:rPr>
        <w:t>cf-art-24-inc-XII</w:t>
      </w:r>
      <w:r>
        <w:rPr>
          <w:color w:val="003CA0"/>
          <w:sz w:val="12"/>
        </w:rPr>
        <w:t xml:space="preserve"> | ADI 6.849</w:t>
      </w:r>
      <w:r>
        <w:rPr>
          <w:color w:val="003CA0"/>
          <w:sz w:val="12"/>
        </w:rPr>
        <w:t xml:space="preserve"> | rel. Dias Toffoli</w:t>
      </w:r>
    </w:p>
    <w:p>
      <w:pPr>
        <w:ind w:left="288"/>
      </w:pPr>
      <w:r>
        <w:rPr>
          <w:color w:val="1E1E1E"/>
          <w:sz w:val="18"/>
        </w:rPr>
        <w:t>É constitucional lei estadual que fixe o mês subsequente ao da publicação do ato concessivo de aposentadoria como o termo inicial para o pagamento do respectivo benefício do regime próprio de previdência.</w:t>
      </w:r>
    </w:p>
    <w:p>
      <w:pPr>
        <w:ind w:left="288"/>
      </w:pPr>
      <w:r>
        <w:rPr>
          <w:b/>
          <w:color w:val="003CA0"/>
          <w:sz w:val="16"/>
        </w:rPr>
        <w:t>[ADI 6.849, rel. min. Dias Toffoli, j. 19.11.2024, P, DJE de 02.12.2024.]</w:t>
      </w:r>
    </w:p>
    <w:p>
      <w:pPr>
        <w:ind w:left="288"/>
      </w:pPr>
      <w:r>
        <w:rPr>
          <w:color w:val="8C8C8C"/>
          <w:sz w:val="12"/>
        </w:rPr>
        <w:t>cf-art-24-inc-XII</w:t>
      </w:r>
      <w:r>
        <w:rPr>
          <w:color w:val="003CA0"/>
          <w:sz w:val="12"/>
        </w:rPr>
        <w:t xml:space="preserve"> | ADI 856</w:t>
      </w:r>
      <w:r>
        <w:rPr>
          <w:color w:val="003CA0"/>
          <w:sz w:val="12"/>
        </w:rPr>
        <w:t xml:space="preserve"> | rel. Luiz Fux</w:t>
      </w:r>
    </w:p>
    <w:p>
      <w:pPr>
        <w:ind w:left="288"/>
      </w:pPr>
      <w:r>
        <w:rPr>
          <w:color w:val="1E1E1E"/>
          <w:sz w:val="18"/>
        </w:rPr>
        <w:t>O art. 40, III, b, da Constituição, na sua redação original, da mesma forma que o texto atual do parágrafo quinto do mesmo artigo, consagra redução no tempo de serviço necessário à aposentadoria do professor que comprove exclusivamente tempo de efetivo exercício das funções de magistério, sendo certo que a fixação de requisitos para a concessão de aposentadoria especial é matéria de competência legislativa da União, consoante os artigos 22, XXIII e XXIV, e 24, XII e § 1º, da Constituição.</w:t>
        <w:br/>
        <w:t>[ADI 856, rel. min. Luiz Fux, j. 4-9-2023, P, DJE de 2-10-2023.] (...) a questão que se coloca, na perspec</w:t>
      </w:r>
    </w:p>
    <w:p>
      <w:pPr>
        <w:ind w:left="288"/>
      </w:pPr>
      <w:r>
        <w:rPr>
          <w:b/>
          <w:color w:val="003CA0"/>
          <w:sz w:val="16"/>
        </w:rPr>
        <w:t>[ADI 6.432, rel. min. Cármen Lúcia, j. 8-4-2021, P, DJE de 14-5-2021.]</w:t>
      </w:r>
    </w:p>
    <w:p>
      <w:pPr>
        <w:ind w:left="288"/>
      </w:pPr>
      <w:r>
        <w:rPr>
          <w:color w:val="8C8C8C"/>
          <w:sz w:val="12"/>
        </w:rPr>
        <w:t>cf-art-24-inc-XII</w:t>
      </w:r>
      <w:r>
        <w:rPr>
          <w:color w:val="003CA0"/>
          <w:sz w:val="12"/>
        </w:rPr>
        <w:t xml:space="preserve"> | ADI 2.435</w:t>
      </w:r>
      <w:r>
        <w:rPr>
          <w:color w:val="003CA0"/>
          <w:sz w:val="12"/>
        </w:rPr>
        <w:t xml:space="preserve"> | rel. Cármen Lúcia</w:t>
      </w:r>
    </w:p>
    <w:p>
      <w:pPr>
        <w:ind w:left="288"/>
      </w:pPr>
      <w:r>
        <w:rPr>
          <w:color w:val="1E1E1E"/>
          <w:sz w:val="18"/>
        </w:rPr>
        <w:t>Extrapola a competência estadual para legislar sobre direito do consumidor – e invade o âmbito de competência da União para legislar sobre normas gerais de proteção e defesa da saúde, direito econômico e proteção do consumidor – a lei estadual que, estabelecendo política pública voltada a saúde, conflita com plexo normativo federal que regula a definição do preço de medicamentos em todo o território nacional e o equilíbrio econômico-financeiro no mercado farmacêutico.</w:t>
      </w:r>
    </w:p>
    <w:p>
      <w:pPr>
        <w:ind w:left="288"/>
      </w:pPr>
      <w:r>
        <w:rPr>
          <w:b/>
          <w:color w:val="003CA0"/>
          <w:sz w:val="16"/>
        </w:rPr>
        <w:t>[ADI 2.435, rel. min. Cármen Lúcia, j. 21-12-2020, P, DJE de 26-3-2021.]</w:t>
      </w:r>
    </w:p>
    <w:p>
      <w:pPr>
        <w:ind w:left="288"/>
      </w:pPr>
      <w:r>
        <w:rPr>
          <w:color w:val="8C8C8C"/>
          <w:sz w:val="12"/>
        </w:rPr>
        <w:t>cf-art-24-inc-XII</w:t>
      </w:r>
      <w:r>
        <w:rPr>
          <w:color w:val="003CA0"/>
          <w:sz w:val="12"/>
        </w:rPr>
        <w:t xml:space="preserve"> | ADI 6.113</w:t>
      </w:r>
      <w:r>
        <w:rPr>
          <w:color w:val="003CA0"/>
          <w:sz w:val="12"/>
        </w:rPr>
        <w:t xml:space="preserve"> | rel. Cármen Lúcia</w:t>
      </w:r>
    </w:p>
    <w:p>
      <w:pPr>
        <w:ind w:left="288"/>
      </w:pPr>
      <w:r>
        <w:rPr>
          <w:color w:val="1E1E1E"/>
          <w:sz w:val="18"/>
        </w:rPr>
        <w:t>Invade a competência legislativa da União dispositivo de lei distrital pelo qual se dispensa prescrição médica para aplicação de vacinas em hipótese não prevista nas normas gerais de caráter nacional que tratam sobre o assunto.</w:t>
      </w:r>
    </w:p>
    <w:p>
      <w:pPr>
        <w:ind w:left="288"/>
      </w:pPr>
      <w:r>
        <w:rPr>
          <w:b/>
          <w:color w:val="003CA0"/>
          <w:sz w:val="16"/>
        </w:rPr>
        <w:t>[ADI 6.113, rel. min. Cármen Lúcia, j. 22-6-2020, P, DJE de 18-9-2020.]</w:t>
      </w:r>
    </w:p>
    <w:p>
      <w:pPr>
        <w:ind w:left="288"/>
      </w:pPr>
      <w:r>
        <w:rPr>
          <w:color w:val="8C8C8C"/>
          <w:sz w:val="12"/>
        </w:rPr>
        <w:t>cf-art-24-inc-XII</w:t>
      </w:r>
      <w:r>
        <w:rPr>
          <w:color w:val="003CA0"/>
          <w:sz w:val="12"/>
        </w:rPr>
        <w:t xml:space="preserve"> | ADI 6.343</w:t>
      </w:r>
    </w:p>
    <w:p>
      <w:pPr>
        <w:ind w:left="288"/>
      </w:pPr>
      <w:r>
        <w:rPr>
          <w:color w:val="1E1E1E"/>
          <w:sz w:val="18"/>
        </w:rPr>
        <w:t>A União tem papel central, primordial e imprescindível de coordenação em uma pandemia internacional nos moldes que a própria Constituição estabeleceu no SUS. Em relação à saúde e assistência pública, a Constituição Federal consagra a existência de competência administrativa comum entre União, Estados, Distrito Federal e Municípios (art. 23, II e IX, da CF), bem como prevê competência concorrente entre União e Estados/Distrito Federal para legislar sobre proteção e defesa da saúde (art. 24, XII, da CF); permitindo aos Municípios suplementar a legislação federal e a estadual no que couber, desde</w:t>
      </w:r>
    </w:p>
    <w:p>
      <w:pPr>
        <w:ind w:left="288"/>
      </w:pPr>
      <w:r>
        <w:rPr>
          <w:b/>
          <w:color w:val="003CA0"/>
          <w:sz w:val="16"/>
        </w:rPr>
        <w:t>[ADI 6.343 MC-REF, red. do ac. min. Alexandre de Moraes, j. 6-5-2020, P, DJE de 17-11-2020.]</w:t>
      </w:r>
    </w:p>
    <w:p>
      <w:pPr>
        <w:ind w:left="288"/>
      </w:pPr>
      <w:r>
        <w:rPr>
          <w:color w:val="8C8C8C"/>
          <w:sz w:val="12"/>
        </w:rPr>
        <w:t>cf-art-24-inc-XII</w:t>
      </w:r>
      <w:r>
        <w:rPr>
          <w:color w:val="003CA0"/>
          <w:sz w:val="12"/>
        </w:rPr>
        <w:t xml:space="preserve"> | ADI 4.306</w:t>
      </w:r>
      <w:r>
        <w:rPr>
          <w:color w:val="003CA0"/>
          <w:sz w:val="12"/>
        </w:rPr>
        <w:t xml:space="preserve"> | rel. Edson Fachin</w:t>
      </w:r>
    </w:p>
    <w:p>
      <w:pPr>
        <w:ind w:left="288"/>
      </w:pPr>
      <w:r>
        <w:rPr>
          <w:color w:val="1E1E1E"/>
          <w:sz w:val="18"/>
        </w:rPr>
        <w:t xml:space="preserve">Nos casos em que a dúvida sobre a competência legislativa recai sobre norma que abrange mais de um tema, deve o intérprete acolher interpretação que não tolha a competência que detêm os entes menores para dispor sobre determinada matéria. (...) A Lei fluminense 5.517, de 2019, ao vedar o consumo de cigarros, cigarrilhas, charutos, cachimbos ou de qualquer outro produto fumígeno, derivado ou não do tabaco, não extrapolou o âmbito de atuação legislativa, usurpando a competência da União para legislar sobre normas gerais, nem exacerbou a competência concorrente para legislar sobre saúde pública, </w:t>
      </w:r>
    </w:p>
    <w:p>
      <w:pPr>
        <w:ind w:left="288"/>
      </w:pPr>
      <w:r>
        <w:rPr>
          <w:b/>
          <w:color w:val="003CA0"/>
          <w:sz w:val="16"/>
        </w:rPr>
        <w:t>[ADI 4.306, rel. min. Edson Fachin, j. 20-12-2019, P, DJE de 19-2-2020.]</w:t>
      </w:r>
    </w:p>
    <w:p>
      <w:pPr>
        <w:ind w:left="288"/>
      </w:pPr>
      <w:r>
        <w:rPr>
          <w:color w:val="8C8C8C"/>
          <w:sz w:val="12"/>
        </w:rPr>
        <w:t>cf-art-24-inc-XII</w:t>
      </w:r>
      <w:r>
        <w:rPr>
          <w:color w:val="003CA0"/>
          <w:sz w:val="12"/>
        </w:rPr>
        <w:t xml:space="preserve"> | ADI 2.303</w:t>
      </w:r>
      <w:r>
        <w:rPr>
          <w:color w:val="003CA0"/>
          <w:sz w:val="12"/>
        </w:rPr>
        <w:t xml:space="preserve"> | rel. Marco Aurélio</w:t>
      </w:r>
    </w:p>
    <w:p>
      <w:pPr>
        <w:ind w:left="288"/>
      </w:pPr>
      <w:r>
        <w:rPr>
          <w:color w:val="1E1E1E"/>
          <w:sz w:val="18"/>
        </w:rPr>
        <w:t>(...) se a Assembleia Constituinte estabeleceu haver interesse dos Estados no tocante à saúde, produção e consumo, proteção e responsabilidade por danos ao meio ambiente – artigo 24, incisos VI, VIII e XII, da Carta Federal –, descabe ao ente federado recusar-se ao implemento das providências pertinentes pelos meios próprios.</w:t>
      </w:r>
    </w:p>
    <w:p>
      <w:pPr>
        <w:ind w:left="288"/>
      </w:pPr>
      <w:r>
        <w:rPr>
          <w:b/>
          <w:color w:val="003CA0"/>
          <w:sz w:val="16"/>
        </w:rPr>
        <w:t>[ADI 2.303, rel. min. Marco Aurélio, j. 5-9-2018, P, DJE de 11-11-2020.]</w:t>
      </w:r>
    </w:p>
    <w:p>
      <w:pPr>
        <w:ind w:left="288"/>
      </w:pPr>
      <w:r>
        <w:rPr>
          <w:color w:val="8C8C8C"/>
          <w:sz w:val="12"/>
        </w:rPr>
        <w:t>cf-art-24-inc-XII</w:t>
      </w:r>
      <w:r>
        <w:rPr>
          <w:color w:val="003CA0"/>
          <w:sz w:val="12"/>
        </w:rPr>
        <w:t xml:space="preserve"> | ADI 3.937</w:t>
      </w:r>
    </w:p>
    <w:p>
      <w:pPr>
        <w:ind w:left="288"/>
      </w:pPr>
      <w:r>
        <w:rPr>
          <w:color w:val="1E1E1E"/>
          <w:sz w:val="18"/>
        </w:rPr>
        <w:t>Ação direta de inconstitucionalidade. Lei 12.684/2007 do Estado de São Paulo. Proibição do uso de produtos, materiais ou artefatos que contenham quaisquer tipos de amianto ou asbesto. Produção e consumo, proteção do meio ambiente e proteção e defesa da saúde. Competência legislativa concorrente. Impossibilidade de a legislação estadual disciplinar matéria de forma contrária à lei geral federal. Lei federal nº 9.055/1995. Autorização de extração, industrialização, utilização e comercialização do amianto da variedade crisotila. Processo de inconstitucionalização. Alteração nas relações fáticas s</w:t>
      </w:r>
    </w:p>
    <w:p>
      <w:pPr>
        <w:ind w:left="288"/>
      </w:pPr>
      <w:r>
        <w:rPr>
          <w:b/>
          <w:color w:val="003CA0"/>
          <w:sz w:val="16"/>
        </w:rPr>
        <w:t>[ADI 3.937, red. do ac. min. Dias Toffoli, j. 24-8-2017, P, DJE de 1º-2-2019.]</w:t>
      </w:r>
    </w:p>
    <w:p>
      <w:pPr>
        <w:ind w:left="288"/>
      </w:pPr>
      <w:r>
        <w:rPr>
          <w:color w:val="8C8C8C"/>
          <w:sz w:val="12"/>
        </w:rPr>
        <w:t>cf-art-24-inc-XII</w:t>
      </w:r>
      <w:r>
        <w:rPr>
          <w:color w:val="003CA0"/>
          <w:sz w:val="12"/>
        </w:rPr>
        <w:t xml:space="preserve"> | ADI 4.696</w:t>
      </w:r>
      <w:r>
        <w:rPr>
          <w:color w:val="003CA0"/>
          <w:sz w:val="12"/>
        </w:rPr>
        <w:t xml:space="preserve"> | rel. Edson Fachin</w:t>
      </w:r>
    </w:p>
    <w:p>
      <w:pPr>
        <w:ind w:left="288"/>
      </w:pPr>
      <w:r>
        <w:rPr>
          <w:color w:val="1E1E1E"/>
          <w:sz w:val="18"/>
        </w:rPr>
        <w:t>Art. 57, § 1º, II, da Constituição do Estado do Piauí, na redação dada pela EC 32, de 27-10-2011. (...) A modificação da idade para o implemento da aposentadoria compulsória, efetuada pela EC 88/2015, não tem o condão de operar a convalidação superveniente da norma impugnada, persistindo sua inconstitucionalidade. As regras da CF que dispõem sobre aposentadoria dos servidores titulares de cargos efetivos da União, dos Estados, do Distrito Federal e dos Municípios são normas gerais de reprodução obrigatória pelas Constituições dos Estados-membros. A norma impugnada invadiu campo reservado à Uni</w:t>
      </w:r>
    </w:p>
    <w:p>
      <w:pPr>
        <w:ind w:left="288"/>
      </w:pPr>
      <w:r>
        <w:rPr>
          <w:b/>
          <w:color w:val="003CA0"/>
          <w:sz w:val="16"/>
        </w:rPr>
        <w:t>[ADI 4.696, rel. min. Edson Fachin, j. 30-6-2017, P, DJE de 14-9-2017.]</w:t>
      </w:r>
    </w:p>
    <w:p>
      <w:pPr>
        <w:ind w:left="288"/>
      </w:pPr>
      <w:r>
        <w:rPr>
          <w:color w:val="8C8C8C"/>
          <w:sz w:val="12"/>
        </w:rPr>
        <w:t>cf-art-24-inc-XII</w:t>
      </w:r>
      <w:r>
        <w:rPr>
          <w:color w:val="003CA0"/>
          <w:sz w:val="12"/>
        </w:rPr>
        <w:t xml:space="preserve"> | ADI 4.949</w:t>
      </w:r>
      <w:r>
        <w:rPr>
          <w:color w:val="003CA0"/>
          <w:sz w:val="12"/>
        </w:rPr>
        <w:t xml:space="preserve"> | rel. Ricardo Lewandowski</w:t>
      </w:r>
    </w:p>
    <w:p>
      <w:pPr>
        <w:ind w:left="288"/>
      </w:pPr>
      <w:r>
        <w:rPr>
          <w:color w:val="1E1E1E"/>
          <w:sz w:val="18"/>
        </w:rPr>
        <w:t>O Plenário, ao apreciar legislação acriana em tudo semelhante ao diploma objeto desta ação direta, assentou à unanimidade que a disciplina nela disposta – autorização para a comercialização de determinados produtos lícitos de consumo comum e rotineiro em farmácias e drogarias – não guarda relação com a temática da proteção e defesa da saúde (art. 24, XII, da CF), visto que somente aborda, supletivamente, o comércio local. A Lei federal 5.991/1973 não veda expressamente a comercialização de artigos de conveniência em drogarias e farmácias, e a exclusividade, por ela fixada, para a venda de medi</w:t>
      </w:r>
    </w:p>
    <w:p>
      <w:pPr>
        <w:ind w:left="288"/>
      </w:pPr>
      <w:r>
        <w:rPr>
          <w:b/>
          <w:color w:val="003CA0"/>
          <w:sz w:val="16"/>
        </w:rPr>
        <w:t>[ADI 4.582, rel. min. André Mendonça, j. 3-11-2022, P, DJE de 22-11-2022.]</w:t>
      </w:r>
    </w:p>
    <w:p>
      <w:pPr>
        <w:ind w:left="288"/>
      </w:pPr>
      <w:r>
        <w:rPr>
          <w:color w:val="8C8C8C"/>
          <w:sz w:val="12"/>
        </w:rPr>
        <w:t>cf-art-24-inc-XII</w:t>
      </w:r>
      <w:r>
        <w:rPr>
          <w:color w:val="003CA0"/>
          <w:sz w:val="12"/>
        </w:rPr>
        <w:t xml:space="preserve"> | ADI 2.730</w:t>
      </w:r>
      <w:r>
        <w:rPr>
          <w:color w:val="003CA0"/>
          <w:sz w:val="12"/>
        </w:rPr>
        <w:t xml:space="preserve"> | rel. Cármen Lúcia</w:t>
      </w:r>
    </w:p>
    <w:p>
      <w:pPr>
        <w:ind w:left="288"/>
      </w:pPr>
      <w:r>
        <w:rPr>
          <w:color w:val="1E1E1E"/>
          <w:sz w:val="18"/>
        </w:rPr>
        <w:t>Lei 12.385/2002 do Estado de Santa Catarina, que cria o programa de assistência às pessoas portadoras da doença celíaca e altera as atribuições de secretarias estaduais. (...) A natureza das disposições concernentes a incentivos fiscais e determinação para que os supermercados e hipermercados concentrem em um mesmo local ou gôndola todos os produtos alimentícios elaborados sem a utilização de glúten não interferem na função administrativa do Poder Executivo local. A forma de apresentação dos produtos elaborados sem a utilização de glúten está relacionada com a competência concorrente do Estado</w:t>
      </w:r>
    </w:p>
    <w:p>
      <w:pPr>
        <w:ind w:left="288"/>
      </w:pPr>
      <w:r>
        <w:rPr>
          <w:b/>
          <w:color w:val="003CA0"/>
          <w:sz w:val="16"/>
        </w:rPr>
        <w:t>[ADI 2.730, rel. min. Cármen Lúcia, j. 5-5-2010, P, DJE de 28-5-2010.]</w:t>
      </w:r>
    </w:p>
    <w:p>
      <w:pPr>
        <w:ind w:left="288"/>
      </w:pPr>
      <w:r>
        <w:rPr>
          <w:color w:val="8C8C8C"/>
          <w:sz w:val="12"/>
        </w:rPr>
        <w:t>cf-art-24-inc-XII</w:t>
      </w:r>
      <w:r>
        <w:rPr>
          <w:color w:val="003CA0"/>
          <w:sz w:val="12"/>
        </w:rPr>
        <w:t xml:space="preserve"> | ADI 2.875</w:t>
      </w:r>
      <w:r>
        <w:rPr>
          <w:color w:val="003CA0"/>
          <w:sz w:val="12"/>
        </w:rPr>
        <w:t xml:space="preserve"> | rel. Ricardo Lewandowski</w:t>
      </w:r>
    </w:p>
    <w:p>
      <w:pPr>
        <w:ind w:left="288"/>
      </w:pPr>
      <w:r>
        <w:rPr>
          <w:color w:val="1E1E1E"/>
          <w:sz w:val="18"/>
        </w:rPr>
        <w:t>Dispositivo de lei distrital que obriga os médicos públicos e particulares do Distrito Federal a notificarem a Secretaria de Saúde sobre os casos de câncer de pele não é inconstitucional. Matéria inserida no âmbito da competência da União, Estados e Distrito Federal, nos termos do art. 23, II, da CF. Exigência que encontra abrigo também no art. 24, XII, da Carta Magna, que atribui competência concorrente aos referidos entes federativos para legislar sobre a defesa da saúde.</w:t>
      </w:r>
    </w:p>
    <w:p>
      <w:pPr>
        <w:ind w:left="288"/>
      </w:pPr>
      <w:r>
        <w:rPr>
          <w:b/>
          <w:color w:val="003CA0"/>
          <w:sz w:val="16"/>
        </w:rPr>
        <w:t>[ADI 2.875, rel. min. Ricardo Lewandowski, j. 4-6-2008, P, DJE de 20-6-2008.]</w:t>
      </w:r>
    </w:p>
    <w:p>
      <w:pPr>
        <w:ind w:left="288"/>
      </w:pPr>
      <w:r>
        <w:rPr>
          <w:color w:val="8C8C8C"/>
          <w:sz w:val="12"/>
        </w:rPr>
        <w:t>cf-art-24-inc-XII</w:t>
      </w:r>
      <w:r>
        <w:rPr>
          <w:color w:val="003CA0"/>
          <w:sz w:val="12"/>
        </w:rPr>
        <w:t xml:space="preserve"> | ADI 1.278</w:t>
      </w:r>
      <w:r>
        <w:rPr>
          <w:color w:val="003CA0"/>
          <w:sz w:val="12"/>
        </w:rPr>
        <w:t xml:space="preserve"> | rel. Ricardo Lewandowski</w:t>
      </w:r>
    </w:p>
    <w:p>
      <w:pPr>
        <w:ind w:left="288"/>
      </w:pPr>
      <w:r>
        <w:rPr>
          <w:color w:val="1E1E1E"/>
          <w:sz w:val="18"/>
        </w:rPr>
        <w:t>Não usurpa competência da União lei estadual que dispõe sobre o beneficiamento de leite de cabra em condições artesanais.</w:t>
      </w:r>
    </w:p>
    <w:p>
      <w:pPr>
        <w:ind w:left="288"/>
      </w:pPr>
      <w:r>
        <w:rPr>
          <w:b/>
          <w:color w:val="003CA0"/>
          <w:sz w:val="16"/>
        </w:rPr>
        <w:t>[ADI 1.278, rel. min. Ricardo Lewandowski, j. 16-5-2007, P, DJ de 1º-6-2007.]</w:t>
      </w:r>
    </w:p>
    <w:p>
      <w:pPr>
        <w:ind w:left="288"/>
      </w:pPr>
      <w:r>
        <w:rPr>
          <w:color w:val="8C8C8C"/>
          <w:sz w:val="12"/>
        </w:rPr>
        <w:t>cf-art-24-inc-XII</w:t>
      </w:r>
      <w:r>
        <w:rPr>
          <w:color w:val="003CA0"/>
          <w:sz w:val="12"/>
        </w:rPr>
        <w:t xml:space="preserve"> | ADI 2.024</w:t>
      </w:r>
      <w:r>
        <w:rPr>
          <w:color w:val="003CA0"/>
          <w:sz w:val="12"/>
        </w:rPr>
        <w:t xml:space="preserve"> | rel. Sepúlveda Pertence</w:t>
      </w:r>
    </w:p>
    <w:p>
      <w:pPr>
        <w:ind w:left="288"/>
      </w:pPr>
      <w:r>
        <w:rPr>
          <w:color w:val="1E1E1E"/>
          <w:sz w:val="18"/>
        </w:rPr>
        <w:t>A matéria da disposição discutida é previdenciária e, por sua natureza, comporta norma geral de âmbito nacional de validade, que à União se facultava editar, sem prejuízo da legislação estadual suplementar ou plena, na falta de lei federal (CF/1988, arts. 24, XII, e 40, § 2º): se já o podia ter feito a lei federal, com base nos preceitos recordados do texto constitucional originário, obviamente não afeta ou, menos ainda, tende a abolir a autonomia dos Estados-membros que assim agora tenha prescrito diretamente a norma constitucional sobrevinda.</w:t>
      </w:r>
    </w:p>
    <w:p>
      <w:pPr>
        <w:ind w:left="288"/>
      </w:pPr>
      <w:r>
        <w:rPr>
          <w:b/>
          <w:color w:val="003CA0"/>
          <w:sz w:val="16"/>
        </w:rPr>
        <w:t>[ADI 2.024, rel. min. Sepúlveda Pertence, j. 3-5-2007, P, DJ de 22-6-2007.]</w:t>
      </w:r>
    </w:p>
    <w:p>
      <w:pPr>
        <w:ind w:left="288"/>
      </w:pPr>
      <w:r>
        <w:rPr>
          <w:color w:val="8C8C8C"/>
          <w:sz w:val="12"/>
        </w:rPr>
        <w:t>cf-art-24-inc-XII</w:t>
      </w:r>
      <w:r>
        <w:rPr>
          <w:color w:val="003CA0"/>
          <w:sz w:val="12"/>
        </w:rPr>
        <w:t xml:space="preserve"> | RE 356.328</w:t>
      </w:r>
      <w:r>
        <w:rPr>
          <w:color w:val="003CA0"/>
          <w:sz w:val="12"/>
        </w:rPr>
        <w:t xml:space="preserve"> | rel. Cármen Lúcia</w:t>
      </w:r>
    </w:p>
    <w:p>
      <w:pPr>
        <w:ind w:left="288"/>
      </w:pPr>
      <w:r>
        <w:rPr>
          <w:color w:val="1E1E1E"/>
          <w:sz w:val="18"/>
        </w:rPr>
        <w:t>= RE 356.328 AgR, rel. min. Cármen Lúcia, j. 1º-2-2011, 1ª T, DJE de 25-2-2011 Lei 14.861/2005 do Estado do Paraná. Informação quanto à presença de organismos geneticamente modificados em alimentos e ingredientes alimentares destinados ao consumo humano e animal. Lei federal 11.105/2005 e Decretos 4.680/2003 e 5.591/2005. Competência legislativa concorrente para dispor sobre produção, consumo e proteção e defesa da saúde. Art. 24, V e XII, da CF. (...) Ocorrência de substituição – e não suplementação – das regras que cuidam das exigências, procedimentos e penalidades relativos à rotulagem info</w:t>
      </w:r>
    </w:p>
    <w:p>
      <w:pPr>
        <w:ind w:left="288"/>
      </w:pPr>
      <w:r>
        <w:rPr>
          <w:b/>
          <w:color w:val="003CA0"/>
          <w:sz w:val="16"/>
        </w:rPr>
        <w:t>[ADI 3.645, rel. min. Ellen Gracie, j. 31-5-2006, P, DJ de 1º-9-2006.]</w:t>
        <w:br/>
        <w:t>Vide ADPF 109, rel. min. Edson Fachin, j. 30-11-2017, P, DJE de 1º-2-2019</w:t>
        <w:br/>
        <w:t xml:space="preserve">Vide ADI 3.356 e ADI 3.357, red. do ac. min. Dias Toffoli, rel. min. Eros Grau, j. 30-11-2017, P, DJE de </w:t>
      </w:r>
    </w:p>
    <w:p>
      <w:pPr>
        <w:ind w:left="288"/>
      </w:pPr>
      <w:r>
        <w:rPr>
          <w:color w:val="8C8C8C"/>
          <w:sz w:val="12"/>
        </w:rPr>
        <w:t>cf-art-24-inc-XII</w:t>
      </w:r>
      <w:r>
        <w:rPr>
          <w:color w:val="003CA0"/>
          <w:sz w:val="12"/>
        </w:rPr>
        <w:t xml:space="preserve"> | RE 1.007.271</w:t>
      </w:r>
      <w:r>
        <w:rPr>
          <w:color w:val="003CA0"/>
          <w:sz w:val="12"/>
        </w:rPr>
        <w:t xml:space="preserve"> | rel. Edson Fachin</w:t>
      </w:r>
    </w:p>
    <w:p>
      <w:pPr>
        <w:ind w:left="288"/>
      </w:pPr>
      <w:r>
        <w:rPr>
          <w:color w:val="1E1E1E"/>
          <w:sz w:val="18"/>
        </w:rPr>
        <w:t>É constitucional a previsão, em lei federal, de medidas sancionatórias ao ente federativo que descumprir os critérios e exigências aplicáveis aos regimes próprios de previdência social. Admite-se o controle judicial das exigências feitas pela União no exercício da fiscalização desses regimes. Nesse caso, o ente fiscalizado deverá demonstrar, de forma técnica: (i) a inexistência do déficit atuarial apontado; ou, (ii) caso reconheça o desequilíbrio, a impertinência das medidas impostas pela União e a existência de plano alternativo capaz de assegurar, de maneira equivalente, a sustentabilidade d</w:t>
      </w:r>
    </w:p>
    <w:p>
      <w:pPr>
        <w:ind w:left="288"/>
      </w:pPr>
      <w:r>
        <w:rPr>
          <w:b/>
          <w:color w:val="003CA0"/>
          <w:sz w:val="16"/>
        </w:rPr>
        <w:t>[RE 1.007.271, rel. min. Edson Fachin, red. do ac. min. Flávio Dino, j. 13.12.2024, P, DJE de 13.02.2025, Tema 968, com mérito julgado.]</w:t>
      </w:r>
    </w:p>
    <w:p>
      <w:pPr>
        <w:ind w:left="144"/>
      </w:pPr>
      <w:r>
        <w:rPr>
          <w:b/>
          <w:color w:val="B45A00"/>
          <w:sz w:val="16"/>
        </w:rPr>
        <w:t>REPERCUSSAO GERAL</w:t>
      </w:r>
    </w:p>
    <w:p>
      <w:pPr>
        <w:ind w:left="288"/>
      </w:pPr>
      <w:r>
        <w:rPr>
          <w:color w:val="8C8C8C"/>
          <w:sz w:val="12"/>
        </w:rPr>
        <w:t>cf-art-24-inc-XII</w:t>
      </w:r>
      <w:r>
        <w:rPr>
          <w:color w:val="003CA0"/>
          <w:sz w:val="12"/>
        </w:rPr>
        <w:t xml:space="preserve"> | RE 1.210.727</w:t>
      </w:r>
      <w:r>
        <w:rPr>
          <w:color w:val="003CA0"/>
          <w:sz w:val="12"/>
        </w:rPr>
        <w:t xml:space="preserve"> | rel. Luiz Fux</w:t>
      </w:r>
    </w:p>
    <w:p>
      <w:pPr>
        <w:ind w:left="288"/>
      </w:pPr>
      <w:r>
        <w:rPr>
          <w:color w:val="1E1E1E"/>
          <w:sz w:val="18"/>
        </w:rPr>
        <w:t>É constitucional formal e materialmente lei municipal que proíbe a soltura de fogos de artifício e artefatos pirotécnicos produtores de estampidos.</w:t>
        <w:br/>
        <w:t xml:space="preserve">[RE 1.210.727, rel. min. Luiz Fux, j. 9-5-2023, P, DJE de 17-5-2023, Tema 1.056, com mérito julgado.] A União possui competência legislativa concorrente para estabelecer normas gerais sobre previdência social, nos termos do art. 24, XII, da Constituição Federal, o que abrange a disciplina sobre equilíbrio financeiro e atuarial dos regimes próprios de previdência social (RPPS). Os arts. 7º e 9º da Lei nº 9.717/1998 constituem normas gerais válidas, </w:t>
      </w:r>
    </w:p>
    <w:p>
      <w:pPr>
        <w:ind w:left="288"/>
      </w:pPr>
      <w:r>
        <w:rPr>
          <w:b/>
          <w:color w:val="003CA0"/>
          <w:sz w:val="16"/>
        </w:rPr>
        <w:t>[ACO 2.884, rel. min. Edson Fachin, red. do ac. min, Flávio Dino, j. 16.12.2024, P, DJE de 13.02.2025.]</w:t>
      </w:r>
    </w:p>
    <w:p>
      <w:pPr>
        <w:ind w:left="144"/>
      </w:pPr>
      <w:r>
        <w:rPr>
          <w:b/>
          <w:color w:val="B45A00"/>
          <w:sz w:val="16"/>
        </w:rPr>
        <w:t>JULGADOS CORRELATOS</w:t>
      </w:r>
    </w:p>
    <w:p>
      <w:pPr>
        <w:ind w:left="288"/>
      </w:pPr>
      <w:r>
        <w:rPr>
          <w:color w:val="8C8C8C"/>
          <w:sz w:val="12"/>
        </w:rPr>
        <w:t>cf-art-24-inc-XII</w:t>
      </w:r>
      <w:r>
        <w:rPr>
          <w:color w:val="003CA0"/>
          <w:sz w:val="12"/>
        </w:rPr>
        <w:t xml:space="preserve"> | ARE 1.331.661</w:t>
      </w:r>
      <w:r>
        <w:rPr>
          <w:color w:val="003CA0"/>
          <w:sz w:val="12"/>
        </w:rPr>
        <w:t xml:space="preserve"> | rel. Nunes Marques</w:t>
      </w:r>
    </w:p>
    <w:p>
      <w:pPr>
        <w:ind w:left="288"/>
      </w:pPr>
      <w:r>
        <w:rPr>
          <w:color w:val="1E1E1E"/>
          <w:sz w:val="18"/>
        </w:rPr>
        <w:t>(...) a Lei n. 1.283/1950 e o Decreto n. 9.013/2017, por meio dos quais a matéria foi disciplinada no âmbito federal, preveem que a fiscalização de estabelecimentos de produtos de origem animal somente poderá ser realizada por agente estatal ocupante de cargo efetivo com formação em medicina veterinária. Assim, o Estado do Espírito Santo, ao elaborar lei local a prever que a inspeção permanente seja realizada exclusivamente pela iniciativa privada, acabou por extrapolar a competência suplementar de que trata o art. 24, XII, da Constituição Federal, em flagrante inobservância das normas gerais.</w:t>
      </w:r>
    </w:p>
    <w:p>
      <w:pPr>
        <w:ind w:left="288"/>
      </w:pPr>
      <w:r>
        <w:rPr>
          <w:b/>
          <w:color w:val="003CA0"/>
          <w:sz w:val="16"/>
        </w:rPr>
        <w:t>[ARE 1.331.661 AgR, rel. min. Nunes Marques, j. 29-8-2022, 2ª T, DJE de 13-9-2022.]</w:t>
      </w:r>
    </w:p>
    <w:p>
      <w:pPr>
        <w:ind w:left="288"/>
      </w:pPr>
      <w:r>
        <w:rPr>
          <w:color w:val="8C8C8C"/>
          <w:sz w:val="12"/>
        </w:rPr>
        <w:t>cf-art-24-inc-XII</w:t>
      </w:r>
      <w:r>
        <w:rPr>
          <w:color w:val="003CA0"/>
          <w:sz w:val="12"/>
        </w:rPr>
        <w:t xml:space="preserve"> | RE 815.499</w:t>
      </w:r>
      <w:r>
        <w:rPr>
          <w:color w:val="003CA0"/>
          <w:sz w:val="12"/>
        </w:rPr>
        <w:t xml:space="preserve"> | rel. Ricardo Lewandowski</w:t>
      </w:r>
    </w:p>
    <w:p>
      <w:pPr>
        <w:ind w:left="288"/>
      </w:pPr>
      <w:r>
        <w:rPr>
          <w:color w:val="1E1E1E"/>
          <w:sz w:val="18"/>
        </w:rPr>
        <w:t>Esta Corte já fixou entendimento no sentido de que a União, ao editar a Lei 9.717/1998, extrapolou os limites de sua competência para estabelecer normas gerais sobre matéria previdenciária, ao atribuir ao Ministério da Previdência e Assistência Social atividades administrativas em órgãos da previdência social dos Estados, do Distrito Federal e dos Municípios e estabelecer sanções para a hipótese de descumprimento das normas constantes dessa lei.</w:t>
      </w:r>
    </w:p>
    <w:p>
      <w:pPr>
        <w:ind w:left="288"/>
      </w:pPr>
      <w:r>
        <w:rPr>
          <w:b/>
          <w:color w:val="003CA0"/>
          <w:sz w:val="16"/>
        </w:rPr>
        <w:t>[RE 815.499 AgR, rel. min. Ricardo Lewandowski, j. 9-9-2014, 2ª T, DJE de 18-9-2014.]</w:t>
      </w:r>
    </w:p>
    <w:p>
      <w:pPr>
        <w:ind w:left="288"/>
      </w:pPr>
      <w:r>
        <w:rPr>
          <w:color w:val="8C8C8C"/>
          <w:sz w:val="12"/>
        </w:rPr>
        <w:t>cf-art-24-inc-XII</w:t>
      </w:r>
      <w:r>
        <w:rPr>
          <w:color w:val="003CA0"/>
          <w:sz w:val="12"/>
        </w:rPr>
        <w:t xml:space="preserve"> | ACO 3.134</w:t>
      </w:r>
      <w:r>
        <w:rPr>
          <w:color w:val="003CA0"/>
          <w:sz w:val="12"/>
        </w:rPr>
        <w:t xml:space="preserve"> | rel. Cármen Lúcia</w:t>
      </w:r>
    </w:p>
    <w:p>
      <w:pPr>
        <w:ind w:left="288"/>
      </w:pPr>
      <w:r>
        <w:rPr>
          <w:color w:val="1E1E1E"/>
          <w:sz w:val="18"/>
        </w:rPr>
        <w:t>= ACO 3.134-TP-AgR-segundo, red. do ac. min. Marco Aurélio, j. 18-12-2018, 1ª T, DJE de 16-8-2019. Aposentadoria especial de servidor público distrital. Art. 40, § 4º, III, da Constituição da República. (...) A competência concorrente para legislar sobre previdência social não afasta a necessidade de tratamento uniforme das exceções às regras de aposentadoria dos servidores públicos. Necessidade de atuação normativa da União para a edição de norma regulamentadora de caráter nacional.</w:t>
      </w:r>
    </w:p>
    <w:p>
      <w:pPr>
        <w:ind w:left="288"/>
      </w:pPr>
      <w:r>
        <w:rPr>
          <w:b/>
          <w:color w:val="003CA0"/>
          <w:sz w:val="16"/>
        </w:rPr>
        <w:t>[MI 1.832 AgR, rel. min. Cármen Lúcia, j. 24-3-2011, P, DJE de 18-5-2011.]</w:t>
      </w:r>
    </w:p>
    <w:p>
      <w:pPr>
        <w:ind w:left="288"/>
      </w:pPr>
      <w:r>
        <w:rPr>
          <w:color w:val="8C8C8C"/>
          <w:sz w:val="12"/>
        </w:rPr>
        <w:t>cf-art-24-inc-XII</w:t>
      </w:r>
      <w:r>
        <w:rPr>
          <w:color w:val="003CA0"/>
          <w:sz w:val="12"/>
        </w:rPr>
        <w:t xml:space="preserve"> | MI 1.898</w:t>
      </w:r>
      <w:r>
        <w:rPr>
          <w:color w:val="003CA0"/>
          <w:sz w:val="12"/>
        </w:rPr>
        <w:t xml:space="preserve"> | rel. Eros Grau</w:t>
      </w:r>
    </w:p>
    <w:p>
      <w:pPr>
        <w:ind w:left="288"/>
      </w:pPr>
      <w:r>
        <w:rPr>
          <w:color w:val="1E1E1E"/>
          <w:sz w:val="18"/>
        </w:rPr>
        <w:t>= MI 1.898 AgR, min. Joaquim Barbosa, j. 16-5-2012, P, DJE de 1º-6-2012 A Lei municipal 8.640/2000, ao proibir a circulação de água mineral com teor de flúor acima de 0,9 mg/l, pretendeu disciplinar sobre a proteção e defesa da saúde pública, competência legislativa concorrente, nos termos do disposto no art. 24, XII, da Constituição do Brasil. É inconstitucional lei municipal que, na competência legislativa concorrente, utilize-se do argumento do interesse local para restringir ou ampliar as determinações contidas em texto normativo de âmbito nacional.</w:t>
      </w:r>
    </w:p>
    <w:p>
      <w:pPr>
        <w:ind w:left="288"/>
      </w:pPr>
      <w:r>
        <w:rPr>
          <w:b/>
          <w:color w:val="003CA0"/>
          <w:sz w:val="16"/>
        </w:rPr>
        <w:t>[RE 596.489 AgR, rel. min. Eros Grau, j. 27-10-2009, 2ª T, DJE de 20-11-2009.]</w:t>
      </w:r>
    </w:p>
    <w:p>
      <w:pPr>
        <w:ind w:left="144"/>
      </w:pPr>
      <w:r>
        <w:rPr>
          <w:b/>
          <w:color w:val="B45A00"/>
          <w:sz w:val="16"/>
        </w:rPr>
        <w:t>CONTROLE CONCENTRADO</w:t>
      </w:r>
    </w:p>
    <w:p>
      <w:pPr>
        <w:ind w:left="288"/>
      </w:pPr>
      <w:r>
        <w:rPr>
          <w:color w:val="8C8C8C"/>
          <w:sz w:val="12"/>
        </w:rPr>
        <w:t>cf-art-24-inc-XIII</w:t>
      </w:r>
      <w:r>
        <w:rPr>
          <w:color w:val="003CA0"/>
          <w:sz w:val="12"/>
        </w:rPr>
        <w:t xml:space="preserve"> | ADI 2.903</w:t>
      </w:r>
      <w:r>
        <w:rPr>
          <w:color w:val="003CA0"/>
          <w:sz w:val="12"/>
        </w:rPr>
        <w:t xml:space="preserve"> | rel. Celso de Mello</w:t>
      </w:r>
    </w:p>
    <w:p>
      <w:pPr>
        <w:ind w:left="288"/>
      </w:pPr>
      <w:r>
        <w:rPr>
          <w:color w:val="1E1E1E"/>
          <w:sz w:val="18"/>
        </w:rPr>
        <w:t>Organização da Defensoria Pública nos Estados-membros. Estabelecimento, pela União Federal, mediante lei complementar nacional, de requisitos mínimos para investidura nos cargos de defensor público-geral, de seu substituto e do corregedor-geral da Defensoria Pública dos Estados-membros. Normas gerais, que, editadas pela União Federal, no exercício de competência concorrente, não podem ser desrespeitadas pelo Estado-membro.</w:t>
      </w:r>
    </w:p>
    <w:p>
      <w:pPr>
        <w:ind w:left="288"/>
      </w:pPr>
      <w:r>
        <w:rPr>
          <w:b/>
          <w:color w:val="003CA0"/>
          <w:sz w:val="16"/>
        </w:rPr>
        <w:t>[ADI 2.903, rel. min. Celso de Mello, j. 1º-12-2005, P, DJE de 19-9-2008.]</w:t>
      </w:r>
    </w:p>
    <w:p>
      <w:pPr>
        <w:ind w:left="288"/>
      </w:pPr>
      <w:r>
        <w:rPr>
          <w:color w:val="8C8C8C"/>
          <w:sz w:val="12"/>
        </w:rPr>
        <w:t>cf-art-24-inc-XIII</w:t>
      </w:r>
      <w:r>
        <w:rPr>
          <w:color w:val="003CA0"/>
          <w:sz w:val="12"/>
        </w:rPr>
        <w:t xml:space="preserve"> | RE 775.353</w:t>
      </w:r>
      <w:r>
        <w:rPr>
          <w:color w:val="003CA0"/>
          <w:sz w:val="12"/>
        </w:rPr>
        <w:t xml:space="preserve"> | rel. Cármen Lúcia</w:t>
      </w:r>
    </w:p>
    <w:p>
      <w:pPr>
        <w:ind w:left="288"/>
      </w:pPr>
      <w:r>
        <w:rPr>
          <w:color w:val="1E1E1E"/>
          <w:sz w:val="18"/>
        </w:rPr>
        <w:t>= RE 775.353 AgR, rel. min. Cármen Lúcia, j. 4-2-2014, 2ª T, DJE de 14-2-2014 XIV - proteção e integração social das pessoas portadoras de deficiência; É inconstitucional — por ofender o princípio da vedação ao retrocesso — lei estadual que dispõe sobre o transporte de animais de assistência emocional e de serviço nas cabines das aeronaves em voos operados em seu âmbito, restringindo direitos assegurados, em normas gerais, a pessoas com deficiência.</w:t>
      </w:r>
    </w:p>
    <w:p>
      <w:pPr>
        <w:ind w:left="288"/>
      </w:pPr>
      <w:r>
        <w:rPr>
          <w:b/>
          <w:color w:val="003CA0"/>
          <w:sz w:val="16"/>
        </w:rPr>
        <w:t>[ADI 7.754 MC-Ref, rel. min. André Mendonça, j. 19-11-2025, P, Informativo STF 1.200.]</w:t>
      </w:r>
    </w:p>
    <w:p>
      <w:pPr>
        <w:ind w:left="288"/>
      </w:pPr>
      <w:r>
        <w:rPr>
          <w:color w:val="8C8C8C"/>
          <w:sz w:val="12"/>
        </w:rPr>
        <w:t>cf-art-24-inc-XIII</w:t>
      </w:r>
      <w:r>
        <w:rPr>
          <w:color w:val="003CA0"/>
          <w:sz w:val="12"/>
        </w:rPr>
        <w:t xml:space="preserve"> | ADI 7.555</w:t>
      </w:r>
      <w:r>
        <w:rPr>
          <w:color w:val="003CA0"/>
          <w:sz w:val="12"/>
        </w:rPr>
        <w:t xml:space="preserve"> | rel. Cármen Lúcia</w:t>
      </w:r>
    </w:p>
    <w:p>
      <w:pPr>
        <w:ind w:left="288"/>
      </w:pPr>
      <w:r>
        <w:rPr>
          <w:color w:val="1E1E1E"/>
          <w:sz w:val="18"/>
        </w:rPr>
        <w:t xml:space="preserve">É materialmente inconstitucional o § 3º do art. 232 do Código Penal Militar, pela ausência de previsão legal de qualificadoras para os casos em que o crime de estupro de vulnerável resultar em lesão corporal grave, gravíssima ou morte, acarretando apenamento mais brando que o previsto na legislação comum. Vedação ao princípio da proteção deficiente. É de se reconhecer a não recepção dos incs. I a III do art. 236 do Código Penal Militar, por manterem em vigência presunção relativa de violência para casos de estupro praticado por militar contra menores de catorze anos e pessoas com deficiência. </w:t>
      </w:r>
    </w:p>
    <w:p>
      <w:pPr>
        <w:ind w:left="288"/>
      </w:pPr>
      <w:r>
        <w:rPr>
          <w:b/>
          <w:color w:val="003CA0"/>
          <w:sz w:val="16"/>
        </w:rPr>
        <w:t>[ADI 7.555, rel. min. Cármen Lúcia, j. 15.09.2025, P, DJE de 12.11.2025.]</w:t>
      </w:r>
    </w:p>
    <w:p>
      <w:pPr>
        <w:ind w:left="288"/>
      </w:pPr>
      <w:r>
        <w:rPr>
          <w:color w:val="8C8C8C"/>
          <w:sz w:val="12"/>
        </w:rPr>
        <w:t>cf-art-24-inc-XIII</w:t>
      </w:r>
      <w:r>
        <w:rPr>
          <w:color w:val="003CA0"/>
          <w:sz w:val="12"/>
        </w:rPr>
        <w:t xml:space="preserve"> | ADI 7.028</w:t>
      </w:r>
      <w:r>
        <w:rPr>
          <w:color w:val="003CA0"/>
          <w:sz w:val="12"/>
        </w:rPr>
        <w:t xml:space="preserve"> | rel. Roberto Barroso</w:t>
      </w:r>
    </w:p>
    <w:p>
      <w:pPr>
        <w:ind w:left="288"/>
      </w:pPr>
      <w:r>
        <w:rPr>
          <w:color w:val="1E1E1E"/>
          <w:sz w:val="18"/>
        </w:rPr>
        <w:t>“É inconstitucional lei estadual que (a) reduza o conceito de pessoas com deficiência previsto na Constituição, na Convenção Internacional sobre os Direitos das Pessoas com Deficiência, de estatura constitucional, e na lei federal de normas gerais; (b) desconsidere, para a aferição da deficiência, a avaliação biopsicossocial por equipe multiprofissional e interdisciplinar prevista pela lei federal; ou (c) exclua o dever de adaptação de unidade escolar para o ensino inclusivo”.</w:t>
        <w:br/>
        <w:t>[ADI 7.028, rel. min. Roberto Barroso, j. 19-6-2023, P, DJE de 23-6-2023.] A Lei 7.465/2021 do Estado do Piauí, ao dis</w:t>
      </w:r>
    </w:p>
    <w:p>
      <w:pPr>
        <w:ind w:left="288"/>
      </w:pPr>
      <w:r>
        <w:rPr>
          <w:b/>
          <w:color w:val="003CA0"/>
          <w:sz w:val="16"/>
        </w:rPr>
        <w:t>[ADI 5.293, rel. min. Alexandre de Moraes, j. 8-11-2017, P, DJE de 21-11-2017.]</w:t>
      </w:r>
    </w:p>
    <w:p>
      <w:pPr>
        <w:ind w:left="288"/>
      </w:pPr>
      <w:r>
        <w:rPr>
          <w:color w:val="8C8C8C"/>
          <w:sz w:val="12"/>
        </w:rPr>
        <w:t>cf-art-24-inc-XIII</w:t>
      </w:r>
      <w:r>
        <w:rPr>
          <w:color w:val="003CA0"/>
          <w:sz w:val="12"/>
        </w:rPr>
        <w:t xml:space="preserve"> | ADI 903</w:t>
      </w:r>
      <w:r>
        <w:rPr>
          <w:color w:val="003CA0"/>
          <w:sz w:val="12"/>
        </w:rPr>
        <w:t xml:space="preserve"> | rel. Dias Toffoli</w:t>
      </w:r>
    </w:p>
    <w:p>
      <w:pPr>
        <w:ind w:left="288"/>
      </w:pPr>
      <w:r>
        <w:rPr>
          <w:color w:val="1E1E1E"/>
          <w:sz w:val="18"/>
        </w:rPr>
        <w:t>Lei 10.820/1992 do Estado de Minas Gerais, que dispõe sobre adaptação dos veículos de transporte coletivo com a finalidade de assegurar seu acesso por pessoas com deficiência ou dificuldade de locomoção. (...)  Muito embora a jurisprudência da Corte seja rígida em afirmar a amplitude do conceito de trânsito e transporte para fazer valer a competência privativa da União (art. 22, XI, CF), prevalece, no caso, a densidade do direito à acessibilidade física das pessoas com deficiência (art. 24, XIV, CF), em atendimento, inclusive, à determinação prevista nos arts. 227, § 2º, e 244 da Lei Fundament</w:t>
      </w:r>
    </w:p>
    <w:p>
      <w:pPr>
        <w:ind w:left="288"/>
      </w:pPr>
      <w:r>
        <w:rPr>
          <w:b/>
          <w:color w:val="003CA0"/>
          <w:sz w:val="16"/>
        </w:rPr>
        <w:t>[RE 1.198.269, rel. min. Gilmar Mendes, j. 10.06.2025, P, DJE de 23.06.2025, Tema 1.286, com mérito julgado.]</w:t>
      </w:r>
    </w:p>
    <w:p>
      <w:pPr>
        <w:ind w:left="288"/>
      </w:pPr>
      <w:r>
        <w:rPr>
          <w:color w:val="8C8C8C"/>
          <w:sz w:val="12"/>
        </w:rPr>
        <w:t>cf-art-24-inc-XIII</w:t>
      </w:r>
    </w:p>
    <w:p>
      <w:pPr>
        <w:ind w:left="288"/>
      </w:pPr>
      <w:r>
        <w:rPr>
          <w:color w:val="1E1E1E"/>
          <w:sz w:val="18"/>
        </w:rPr>
        <w:t>XV - proteção à infância e à juventude;</w:t>
      </w:r>
    </w:p>
    <w:p>
      <w:pPr>
        <w:ind w:left="288"/>
      </w:pPr>
      <w:r>
        <w:rPr>
          <w:color w:val="8C8C8C"/>
          <w:sz w:val="12"/>
        </w:rPr>
        <w:t>cf-art-24-inc-XIII</w:t>
      </w:r>
      <w:r>
        <w:rPr>
          <w:color w:val="003CA0"/>
          <w:sz w:val="12"/>
        </w:rPr>
        <w:t xml:space="preserve"> | ADI 6.039</w:t>
      </w:r>
      <w:r>
        <w:rPr>
          <w:color w:val="003CA0"/>
          <w:sz w:val="12"/>
        </w:rPr>
        <w:t xml:space="preserve"> | rel. Edson Fachin</w:t>
      </w:r>
    </w:p>
    <w:p>
      <w:pPr>
        <w:ind w:left="288"/>
      </w:pPr>
      <w:r>
        <w:rPr>
          <w:color w:val="1E1E1E"/>
          <w:sz w:val="18"/>
        </w:rPr>
        <w:t>A Lei Estadual 8.008/2018 do Rio de Janeiro, que impõe a obrigatoriedade de que as crianças e adolescentes do sexo feminino vítimas de estupro sejam examinadas por perito legista mulher, não padece do vício de inconstitucionalidade formal, porque a regra concerne à competência concorrente prevista no art. 24, inciso XV, da CFRB, ‘proteção à infância e à juventude’.</w:t>
        <w:br/>
        <w:t>[ADI 6.039-MC, rel. min. Edson Fachin, j. 13-3-2019, P, DJE de 1º-8-2019.]</w:t>
      </w:r>
    </w:p>
    <w:p>
      <w:pPr>
        <w:ind w:left="144"/>
      </w:pPr>
      <w:r>
        <w:rPr>
          <w:b/>
          <w:color w:val="B45A00"/>
          <w:sz w:val="16"/>
        </w:rPr>
        <w:t>JULGADOS CORRELATOS</w:t>
      </w:r>
    </w:p>
    <w:p>
      <w:pPr>
        <w:ind w:left="288"/>
      </w:pPr>
      <w:r>
        <w:rPr>
          <w:color w:val="8C8C8C"/>
          <w:sz w:val="12"/>
        </w:rPr>
        <w:t>cf-art-24-inc-XIII</w:t>
      </w:r>
      <w:r>
        <w:rPr>
          <w:color w:val="003CA0"/>
          <w:sz w:val="12"/>
        </w:rPr>
        <w:t xml:space="preserve"> | ARE 1.496.053</w:t>
      </w:r>
      <w:r>
        <w:rPr>
          <w:color w:val="003CA0"/>
          <w:sz w:val="12"/>
        </w:rPr>
        <w:t xml:space="preserve"> | rel. André Mendonça</w:t>
      </w:r>
    </w:p>
    <w:p>
      <w:pPr>
        <w:ind w:left="288"/>
      </w:pPr>
      <w:r>
        <w:rPr>
          <w:color w:val="1E1E1E"/>
          <w:sz w:val="18"/>
        </w:rPr>
        <w:t>Artigo 3º da Lei nº 2.038, de 2017, do município de Peçanha/MG. Definição de atuação do conselho tutelar na época do carnaval. Competência suplementar do município. (...) Os municípios têm autonomia para dispor, mediante lei, sobre proteção à infância e à juventude em âmbito local, desde que não afrontem legislação federal ou estadual.</w:t>
        <w:br/>
        <w:t>[ARE 1.496.053, rel. min. André Mendonça, j. 07.08.2024, P, DJE de 04.09.2024.] XVI - organização, garantias, direitos e deveres das polícias civis.</w:t>
      </w:r>
    </w:p>
    <w:p>
      <w:pPr>
        <w:ind w:left="144"/>
      </w:pPr>
      <w:r>
        <w:rPr>
          <w:b/>
          <w:color w:val="B45A00"/>
          <w:sz w:val="16"/>
        </w:rPr>
        <w:t>CONTROLE CONCENTRADO</w:t>
      </w:r>
    </w:p>
    <w:p>
      <w:pPr>
        <w:ind w:left="288"/>
      </w:pPr>
      <w:r>
        <w:rPr>
          <w:color w:val="8C8C8C"/>
          <w:sz w:val="12"/>
        </w:rPr>
        <w:t>cf-art-24-inc-XIII</w:t>
      </w:r>
      <w:r>
        <w:rPr>
          <w:color w:val="003CA0"/>
          <w:sz w:val="12"/>
        </w:rPr>
        <w:t xml:space="preserve"> | ADI 6.847</w:t>
      </w:r>
      <w:r>
        <w:rPr>
          <w:color w:val="003CA0"/>
          <w:sz w:val="12"/>
        </w:rPr>
        <w:t xml:space="preserve"> | rel. Edson Fachin</w:t>
      </w:r>
    </w:p>
    <w:p>
      <w:pPr>
        <w:ind w:left="288"/>
      </w:pPr>
      <w:r>
        <w:rPr>
          <w:color w:val="1E1E1E"/>
          <w:sz w:val="18"/>
        </w:rPr>
        <w:t>A criação da função gratificada de Gestor de Delegacias Interativas de Polícia do Interior no Estado do Amazonas decorreu do exercício legítimo da competência concorrentes dos Estados- membros de legislar sobre organização das polícias civis, nos termos do art. 24, XVI e § 1º, da CF. As atribuições a serem desempenhadas pelo Gestor de Delegacias Interativas de Polícia do Interior são de competência constitucional do cargo de Delegado de Polícia, caracterizando desvio de função. Inconstitucionalidade material por violação aos arts. 24, § 1º c/c 144, § 4º, da CF.</w:t>
        <w:br/>
        <w:t>[ADI 6.847, rel. min. Edson Fach</w:t>
      </w:r>
    </w:p>
    <w:p>
      <w:pPr>
        <w:ind w:left="288"/>
      </w:pPr>
      <w:r>
        <w:rPr>
          <w:b/>
          <w:color w:val="003CA0"/>
          <w:sz w:val="16"/>
        </w:rPr>
        <w:t>[ADI 3.062, rel. min. Gilmar Mendes, j. 9-9-2010, P, DJE de 12-4-2011.]</w:t>
      </w:r>
    </w:p>
    <w:p>
      <w:pPr>
        <w:ind w:left="288"/>
      </w:pPr>
      <w:r>
        <w:rPr>
          <w:color w:val="8C8C8C"/>
          <w:sz w:val="12"/>
        </w:rPr>
        <w:t>cf-art-24-par-1</w:t>
      </w:r>
      <w:r>
        <w:rPr>
          <w:color w:val="003CA0"/>
          <w:sz w:val="12"/>
        </w:rPr>
        <w:t xml:space="preserve"> | ADI 6.412</w:t>
      </w:r>
      <w:r>
        <w:rPr>
          <w:color w:val="003CA0"/>
          <w:sz w:val="12"/>
        </w:rPr>
        <w:t xml:space="preserve"> | rel. Luís Roberto Barroso</w:t>
      </w:r>
    </w:p>
    <w:p>
      <w:pPr>
        <w:ind w:left="288"/>
      </w:pPr>
      <w:r>
        <w:rPr>
          <w:color w:val="1E1E1E"/>
          <w:sz w:val="18"/>
        </w:rPr>
        <w:t>A jurisprudência pacífica do Supremo Tribunal Federal reconhece que a definição do que sejam despesas com manutenção e desenvolvimento do ensino constitui matéria de diretrizes e bases da educação nacional (art. 22, XXIV, CF/1988), ou mesmo de normas gerais sobre educação (art. 24, IX e § 1º, CF/1988), de competência privativa da União. (...) É inconstitucional lei estadual que autoriza o cômputo de gastos previdenciários como despesas com manutenção e desenvolvimento do ensino.</w:t>
        <w:br/>
        <w:t xml:space="preserve">[ADI 6.412, rel. min. Luís Roberto Barroso, j. 4-9-2023, P, DJE de 25-9-2023.] Observando os procedimentos impostos </w:t>
      </w:r>
    </w:p>
    <w:p>
      <w:pPr>
        <w:ind w:left="288"/>
      </w:pPr>
      <w:r>
        <w:rPr>
          <w:b/>
          <w:color w:val="003CA0"/>
          <w:sz w:val="16"/>
        </w:rPr>
        <w:t>[ADI 3.623, rel. min. Ricardo Lewandowski, j. 11-10-2019, P, DJE de 4-11-2019.]</w:t>
      </w:r>
    </w:p>
    <w:p>
      <w:pPr>
        <w:ind w:left="288"/>
      </w:pPr>
      <w:r>
        <w:rPr>
          <w:color w:val="8C8C8C"/>
          <w:sz w:val="12"/>
        </w:rPr>
        <w:t>cf-art-24-par-1</w:t>
      </w:r>
      <w:r>
        <w:rPr>
          <w:color w:val="003CA0"/>
          <w:sz w:val="12"/>
        </w:rPr>
        <w:t xml:space="preserve"> | ADI 2.886</w:t>
      </w:r>
    </w:p>
    <w:p>
      <w:pPr>
        <w:ind w:left="288"/>
      </w:pPr>
      <w:r>
        <w:rPr>
          <w:color w:val="1E1E1E"/>
          <w:sz w:val="18"/>
        </w:rPr>
        <w:t>A legislação que disciplina o inquérito policial não se inclui no âmbito estrito do processo penal, cuja competência é privativa da União (art. 22, I, CF), pois o inquérito é procedimento subsumido nos limites da competência legislativa concorrente, a teor do art. 24, XI, da CF de 1988, tal como já decidido reiteradamente pelo STF. O procedimento do inquérito policial, conforme previsto pelo CPP, torna desnecessária a intermediação judicial quando ausente a necessidade de adoção de medidas constritivas de direitos dos investigados, razão por que projetos de reforma do CPP propõem a remessa dir</w:t>
      </w:r>
    </w:p>
    <w:p>
      <w:pPr>
        <w:ind w:left="288"/>
      </w:pPr>
      <w:r>
        <w:rPr>
          <w:b/>
          <w:color w:val="003CA0"/>
          <w:sz w:val="16"/>
        </w:rPr>
        <w:t>[ADI 2.886, red. do ac. min. Joaquim Barbosa, j. 3-4-2014, P, DJE de 5-8-2014.]</w:t>
      </w:r>
    </w:p>
    <w:p>
      <w:pPr>
        <w:ind w:left="288"/>
      </w:pPr>
      <w:r>
        <w:rPr>
          <w:color w:val="8C8C8C"/>
          <w:sz w:val="12"/>
        </w:rPr>
        <w:t>cf-art-24-par-1</w:t>
      </w:r>
      <w:r>
        <w:rPr>
          <w:color w:val="003CA0"/>
          <w:sz w:val="12"/>
        </w:rPr>
        <w:t xml:space="preserve"> | ADI 3.668</w:t>
      </w:r>
      <w:r>
        <w:rPr>
          <w:color w:val="003CA0"/>
          <w:sz w:val="12"/>
        </w:rPr>
        <w:t xml:space="preserve"> | rel. Gilmar Mendes</w:t>
      </w:r>
    </w:p>
    <w:p>
      <w:pPr>
        <w:ind w:left="288"/>
      </w:pPr>
      <w:r>
        <w:rPr>
          <w:color w:val="1E1E1E"/>
          <w:sz w:val="18"/>
        </w:rPr>
        <w:t>Lei 3.706/2006, do Distrito Federal, que dispõe sobre "a afixação de tabela relativa a taxas de juros e de rendimentos de aplicações financeiras pelas instituições bancárias e de crédito". Usurpação da competência privativa da União para fixar normas gerais relativas às relações de consumo (CF, art. 24, V, § 1º).</w:t>
      </w:r>
    </w:p>
    <w:p>
      <w:pPr>
        <w:ind w:left="288"/>
      </w:pPr>
      <w:r>
        <w:rPr>
          <w:b/>
          <w:color w:val="003CA0"/>
          <w:sz w:val="16"/>
        </w:rPr>
        <w:t>[ADI 3.668, rel. min. Gilmar Mendes, j. 17-9-2007, P, DJ de 19-12-2007.]</w:t>
      </w:r>
    </w:p>
    <w:p>
      <w:pPr>
        <w:ind w:left="288"/>
      </w:pPr>
      <w:r>
        <w:rPr>
          <w:color w:val="8C8C8C"/>
          <w:sz w:val="12"/>
        </w:rPr>
        <w:t>cf-art-24-par-1</w:t>
      </w:r>
      <w:r>
        <w:rPr>
          <w:color w:val="003CA0"/>
          <w:sz w:val="12"/>
        </w:rPr>
        <w:t xml:space="preserve"> | ADI 2.903</w:t>
      </w:r>
      <w:r>
        <w:rPr>
          <w:color w:val="003CA0"/>
          <w:sz w:val="12"/>
        </w:rPr>
        <w:t xml:space="preserve"> | rel. Celso de Mello</w:t>
      </w:r>
    </w:p>
    <w:p>
      <w:pPr>
        <w:ind w:left="288"/>
      </w:pPr>
      <w:r>
        <w:rPr>
          <w:color w:val="1E1E1E"/>
          <w:sz w:val="18"/>
        </w:rPr>
        <w:t>Se é certo, de um lado, que, nas hipóteses referidas no art. 24 da Constituição, a União Federal não dispõe de poderes ilimitados que lhe permitam transpor o âmbito das normas gerais, para, assim, invadir, de modo inconstitucional, a esfera de competência normativa dos Estados-membros, não é menos exato, de outro, que o Estado-membro, em existindo normas gerais veiculadas em leis nacionais (como a Lei Orgânica Nacional da Defensoria Pública, consubstanciada na LC 80/1994), não pode ultrapassar os limites da competência meramente suplementar, pois, se tal ocorrer, o diploma legislativo estadual</w:t>
      </w:r>
    </w:p>
    <w:p>
      <w:pPr>
        <w:ind w:left="288"/>
      </w:pPr>
      <w:r>
        <w:rPr>
          <w:b/>
          <w:color w:val="003CA0"/>
          <w:sz w:val="16"/>
        </w:rPr>
        <w:t>[ADI 2.903, rel. min. Celso de Mello, j. 1º-12-2005, P, DJE de 19-9-2008.]</w:t>
      </w:r>
    </w:p>
    <w:p>
      <w:pPr>
        <w:ind w:left="288"/>
      </w:pPr>
      <w:r>
        <w:rPr>
          <w:color w:val="8C8C8C"/>
          <w:sz w:val="12"/>
        </w:rPr>
        <w:t>cf-art-24-par-1</w:t>
      </w:r>
      <w:r>
        <w:rPr>
          <w:color w:val="003CA0"/>
          <w:sz w:val="12"/>
        </w:rPr>
        <w:t xml:space="preserve"> | ADI 2.344</w:t>
      </w:r>
      <w:r>
        <w:rPr>
          <w:color w:val="003CA0"/>
          <w:sz w:val="12"/>
        </w:rPr>
        <w:t xml:space="preserve"> | rel. Celso de Mello</w:t>
      </w:r>
    </w:p>
    <w:p>
      <w:pPr>
        <w:ind w:left="288"/>
      </w:pPr>
      <w:r>
        <w:rPr>
          <w:color w:val="1E1E1E"/>
          <w:sz w:val="18"/>
        </w:rPr>
        <w:t>Nas hipóteses de competência concorrente (CF, art. 24), nas quais se estabelece verdadeira situação de condomínio legislativo entre a União Federal e os Estados-membros (HORTA, Raul Machado. Estudos de direito constitucional. Del Rey, 1995. p. 366, item 2), daí resultando clara repartição vertical de competências normativas, a jurisprudência do STF firmou-se no sentido de entender incabível a ação direta de inconstitucionalidade, se, para o específico efeito de examinar-se a ocorrência, ou não, de invasão de competência da União Federal, por parte de qualquer Estado-membro, tornar-se necessári</w:t>
      </w:r>
    </w:p>
    <w:p>
      <w:pPr>
        <w:ind w:left="288"/>
      </w:pPr>
      <w:r>
        <w:rPr>
          <w:b/>
          <w:color w:val="003CA0"/>
          <w:sz w:val="16"/>
        </w:rPr>
        <w:t>[ADI 2.344 QO, rel. min. Celso de Mello, j. 23-11-2000, P, DJ de 2-8-2002.]</w:t>
      </w:r>
    </w:p>
    <w:p>
      <w:pPr>
        <w:ind w:left="288"/>
      </w:pPr>
      <w:r>
        <w:rPr>
          <w:color w:val="8C8C8C"/>
          <w:sz w:val="12"/>
        </w:rPr>
        <w:t>cf-art-24-par-1</w:t>
      </w:r>
      <w:r>
        <w:rPr>
          <w:color w:val="003CA0"/>
          <w:sz w:val="12"/>
        </w:rPr>
        <w:t xml:space="preserve"> | ADI 2.876</w:t>
      </w:r>
      <w:r>
        <w:rPr>
          <w:color w:val="003CA0"/>
          <w:sz w:val="12"/>
        </w:rPr>
        <w:t xml:space="preserve"> | rel. Cármen Lúcia</w:t>
      </w:r>
    </w:p>
    <w:p>
      <w:pPr>
        <w:ind w:left="288"/>
      </w:pPr>
      <w:r>
        <w:rPr>
          <w:color w:val="1E1E1E"/>
          <w:sz w:val="18"/>
        </w:rPr>
        <w:t>= ADI 2.876, rel. min. Cármen Lúcia, j. 21-10-2009, P, DJE de 20-11-2009 A União possui competência legislativa concorrente para estabelecer normas gerais sobre previdência social, nos termos do art. 24, XII, da Constituição Federal, o que abrange a disciplina sobre equilíbrio financeiro e atuarial dos regimes próprios de previdência social (RPPS). Os arts. 7º e 9º da Lei nº 9.717/1998 constituem normas gerais válidas, pois impõem exigências indistintas a todos os entes federados, visando à uniformização dos regimes de previdência social e à responsabilidade fiscal e se compatibilizam com o pr</w:t>
      </w:r>
    </w:p>
    <w:p>
      <w:pPr>
        <w:ind w:left="288"/>
      </w:pPr>
      <w:r>
        <w:rPr>
          <w:b/>
          <w:color w:val="003CA0"/>
          <w:sz w:val="16"/>
        </w:rPr>
        <w:t>[ACO 2.884, rel. min. Edson Fachin, red. do ac. min, Flávio Dino, j. 16.12.2024, P, DJE de 13.02.2025.]</w:t>
      </w:r>
    </w:p>
    <w:p>
      <w:pPr>
        <w:ind w:left="144"/>
      </w:pPr>
      <w:r>
        <w:rPr>
          <w:b/>
          <w:color w:val="B45A00"/>
          <w:sz w:val="16"/>
        </w:rPr>
        <w:t>JULGADOS CORRELATOS</w:t>
      </w:r>
    </w:p>
    <w:p>
      <w:pPr>
        <w:ind w:left="288"/>
      </w:pPr>
      <w:r>
        <w:rPr>
          <w:color w:val="8C8C8C"/>
          <w:sz w:val="12"/>
        </w:rPr>
        <w:t>cf-art-24-par-1</w:t>
      </w:r>
      <w:r>
        <w:rPr>
          <w:color w:val="003CA0"/>
          <w:sz w:val="12"/>
        </w:rPr>
        <w:t xml:space="preserve"> | RE 883.514</w:t>
      </w:r>
      <w:r>
        <w:rPr>
          <w:color w:val="003CA0"/>
          <w:sz w:val="12"/>
        </w:rPr>
        <w:t xml:space="preserve"> | rel. Roberto Barroso</w:t>
      </w:r>
    </w:p>
    <w:p>
      <w:pPr>
        <w:ind w:left="288"/>
      </w:pPr>
      <w:r>
        <w:rPr>
          <w:color w:val="1E1E1E"/>
          <w:sz w:val="18"/>
        </w:rPr>
        <w:t>A LC distrital 872/2013 é norma genérica que dispõe sobre a instituição e o funcionamento de fundos no Distrito Federal e, ao estabelecer um direcionamento diverso ao saldo positivo de fundo apurado em balanço, não previsto na Lei 4.320/1964, usurpa a competência legislativa da União para tratar sobre a matéria (art. 24, II e § 1º, da Constituição).</w:t>
      </w:r>
    </w:p>
    <w:p>
      <w:pPr>
        <w:ind w:left="288"/>
      </w:pPr>
      <w:r>
        <w:rPr>
          <w:b/>
          <w:color w:val="003CA0"/>
          <w:sz w:val="16"/>
        </w:rPr>
        <w:t>[RE 883.514 AgR, rel. min. Roberto Barroso, j. 27-10-2017, 1ª T, DJE de 14-11-2017.]</w:t>
      </w:r>
    </w:p>
    <w:p>
      <w:pPr>
        <w:ind w:left="288"/>
      </w:pPr>
      <w:r>
        <w:rPr>
          <w:color w:val="8C8C8C"/>
          <w:sz w:val="12"/>
        </w:rPr>
        <w:t>cf-art-24-par-1</w:t>
      </w:r>
      <w:r>
        <w:rPr>
          <w:color w:val="003CA0"/>
          <w:sz w:val="12"/>
        </w:rPr>
        <w:t xml:space="preserve"> | RE 815.499</w:t>
      </w:r>
      <w:r>
        <w:rPr>
          <w:color w:val="003CA0"/>
          <w:sz w:val="12"/>
        </w:rPr>
        <w:t xml:space="preserve"> | rel. Ricardo Lewandowski</w:t>
      </w:r>
    </w:p>
    <w:p>
      <w:pPr>
        <w:ind w:left="288"/>
      </w:pPr>
      <w:r>
        <w:rPr>
          <w:color w:val="1E1E1E"/>
          <w:sz w:val="18"/>
        </w:rPr>
        <w:t>Esta Corte já fixou entendimento no sentido de que a União, ao editar a Lei 9.717/1998, extrapolou os limites de sua competência para estabelecer normas gerais sobre matéria previdenciária, ao atribuir ao Ministério da Previdência e Assistência Social atividades administrativas em órgãos da previdência social dos Estados, do Distrito Federal e dos Municípios e estabelecer sanções para a hipótese de descumprimento das normas constantes dessa lei.</w:t>
        <w:br/>
        <w:t>[RE 815.499 AgR, rel. min. Ricardo Lewandowski, j. 9-9-2014, 2ª T, DJE de 18-9-2014.]</w:t>
        <w:br/>
        <w:t>= ACO 3.134-TP-AgR-segundo, red. do ac. min. Marco Aurélio, j. 1</w:t>
      </w:r>
    </w:p>
    <w:p>
      <w:pPr>
        <w:ind w:left="288"/>
      </w:pPr>
      <w:r>
        <w:rPr>
          <w:color w:val="8C8C8C"/>
          <w:sz w:val="12"/>
        </w:rPr>
        <w:t>cf-art-24-par-2</w:t>
      </w:r>
      <w:r>
        <w:rPr>
          <w:color w:val="003CA0"/>
          <w:sz w:val="12"/>
        </w:rPr>
        <w:t xml:space="preserve"> | ADI 7.683</w:t>
      </w:r>
      <w:r>
        <w:rPr>
          <w:color w:val="003CA0"/>
          <w:sz w:val="12"/>
        </w:rPr>
        <w:t xml:space="preserve"> | rel. Cristiano Zanin</w:t>
      </w:r>
    </w:p>
    <w:p>
      <w:pPr>
        <w:ind w:left="288"/>
      </w:pPr>
      <w:r>
        <w:rPr>
          <w:color w:val="1E1E1E"/>
          <w:sz w:val="18"/>
        </w:rPr>
        <w:t>A jurisprudência do Supremo Tribunal Federal é consolidada no sentido de que a competência legislativa suplementar dos estados em relação ao respectivo regime próprio deve mantê-lo restrito aos servidores titulares de cargo efetivo, não havendo permissão constitucional para ampliar o rol previsto no art. 40 da Constituição Federal.</w:t>
      </w:r>
    </w:p>
    <w:p>
      <w:pPr>
        <w:ind w:left="288"/>
      </w:pPr>
      <w:r>
        <w:rPr>
          <w:b/>
          <w:color w:val="003CA0"/>
          <w:sz w:val="16"/>
        </w:rPr>
        <w:t>[ADI 7.683, rel. min. Cristiano Zanin, j. 22-12-2025, P, DJE de 30-1-2026.]</w:t>
      </w:r>
    </w:p>
    <w:p>
      <w:pPr>
        <w:ind w:left="288"/>
      </w:pPr>
      <w:r>
        <w:rPr>
          <w:color w:val="8C8C8C"/>
          <w:sz w:val="12"/>
        </w:rPr>
        <w:t>cf-art-24-par-2</w:t>
      </w:r>
      <w:r>
        <w:rPr>
          <w:color w:val="003CA0"/>
          <w:sz w:val="12"/>
        </w:rPr>
        <w:t xml:space="preserve"> | ADI 7.184</w:t>
      </w:r>
      <w:r>
        <w:rPr>
          <w:color w:val="003CA0"/>
          <w:sz w:val="12"/>
        </w:rPr>
        <w:t xml:space="preserve"> | rel. Dias Toffoli</w:t>
      </w:r>
    </w:p>
    <w:p>
      <w:pPr>
        <w:ind w:left="288"/>
      </w:pPr>
      <w:r>
        <w:rPr>
          <w:color w:val="1E1E1E"/>
          <w:sz w:val="18"/>
        </w:rPr>
        <w:t>Artigo 5º, inciso XII, e art. 14, caput, incisos I, II e § 3º, da Lei nº 11.269/20 do Estado do Maranhão. Zoneamento Ecológico-Econômico do Bioma Amazônico no Estado do Maranhão. Significativa distinção entre “área com floresta” e “área de floresta” para fins de delimitação das áreas de reserva legal. (...) No caso em apreço, o Procurador-Geral da República logrou demonstrar, inclusive mediante laudo técnico anexado aos autos, que a sistemática legal adotada pelo Estado do Maranhão leva à redução do padrão de proteção ambiental estabelecido pela norma geral da União para as áreas de floresta n</w:t>
      </w:r>
    </w:p>
    <w:p>
      <w:pPr>
        <w:ind w:left="288"/>
      </w:pPr>
      <w:r>
        <w:rPr>
          <w:b/>
          <w:color w:val="003CA0"/>
          <w:sz w:val="16"/>
        </w:rPr>
        <w:t>[ADI 7.184, rel. min. Dias Toffoli, j. 02.12.2025, P, DJE de 10.12.2025.]</w:t>
      </w:r>
    </w:p>
    <w:p>
      <w:pPr>
        <w:ind w:left="288"/>
      </w:pPr>
      <w:r>
        <w:rPr>
          <w:color w:val="8C8C8C"/>
          <w:sz w:val="12"/>
        </w:rPr>
        <w:t>cf-art-24-par-2</w:t>
      </w:r>
      <w:r>
        <w:rPr>
          <w:color w:val="003CA0"/>
          <w:sz w:val="12"/>
        </w:rPr>
        <w:t xml:space="preserve"> | ADI 2.965</w:t>
      </w:r>
      <w:r>
        <w:rPr>
          <w:color w:val="003CA0"/>
          <w:sz w:val="12"/>
        </w:rPr>
        <w:t xml:space="preserve"> | rel. Luiz Fux</w:t>
      </w:r>
    </w:p>
    <w:p>
      <w:pPr>
        <w:ind w:left="288"/>
      </w:pPr>
      <w:r>
        <w:rPr>
          <w:color w:val="1E1E1E"/>
          <w:sz w:val="18"/>
        </w:rPr>
        <w:t>A competência legislativa suplementar dos Estados-membros em matéria de educação e ensino está adstrita à edição de normas específicas, de forma a atender às peculiaridades de cada ente da federação, não servindo de pretexto à elaboração de normas gerais sobre educação ou à disciplina de matérias de competência legislativa privativa da União.</w:t>
      </w:r>
    </w:p>
    <w:p>
      <w:pPr>
        <w:ind w:left="288"/>
      </w:pPr>
      <w:r>
        <w:rPr>
          <w:b/>
          <w:color w:val="003CA0"/>
          <w:sz w:val="16"/>
        </w:rPr>
        <w:t>[ADI 2.965, rel. min. Luiz Fux, j. 02.04.2025, P, DJE de 23.10.2025.]</w:t>
      </w:r>
    </w:p>
    <w:p>
      <w:pPr>
        <w:ind w:left="144"/>
      </w:pPr>
      <w:r>
        <w:rPr>
          <w:b/>
          <w:color w:val="B45A00"/>
          <w:sz w:val="16"/>
        </w:rPr>
        <w:t>CONTROLE CONCENTRADO</w:t>
      </w:r>
    </w:p>
    <w:p>
      <w:pPr>
        <w:ind w:left="288"/>
      </w:pPr>
      <w:r>
        <w:rPr>
          <w:color w:val="8C8C8C"/>
          <w:sz w:val="12"/>
        </w:rPr>
        <w:t>cf-art-24-par-2</w:t>
      </w:r>
      <w:r>
        <w:rPr>
          <w:color w:val="003CA0"/>
          <w:sz w:val="12"/>
        </w:rPr>
        <w:t xml:space="preserve"> | ADI 5.457</w:t>
      </w:r>
      <w:r>
        <w:rPr>
          <w:color w:val="003CA0"/>
          <w:sz w:val="12"/>
        </w:rPr>
        <w:t xml:space="preserve"> | rel. Nunes Marques</w:t>
      </w:r>
    </w:p>
    <w:p>
      <w:pPr>
        <w:ind w:left="288"/>
      </w:pPr>
      <w:r>
        <w:rPr>
          <w:color w:val="1E1E1E"/>
          <w:sz w:val="18"/>
        </w:rPr>
        <w:t>Lei n. 4.218, de 8 de outubro de 2015, do Estado do Amazonas. Transferência de valores existentes em depósito judicial ou administrativo, até o limite de 70%, para a conta única do Estado. Fundo de reserva, destinado a garantir a devolução dos depósitos, com saldo mínimo correspondente a 30% do montante do qual feitas as transferências para a conta única. (...) A legislação impugnada viola o art. 24, §§ 2º e 3º, da Constituição Federal, desbordando das normas gerais editadas pela União, pois incluiu no raio de alcance também os processos protagonizados por outras pessoas jurídicas, inclusive d</w:t>
      </w:r>
    </w:p>
    <w:p>
      <w:pPr>
        <w:ind w:left="288"/>
      </w:pPr>
      <w:r>
        <w:rPr>
          <w:b/>
          <w:color w:val="003CA0"/>
          <w:sz w:val="16"/>
        </w:rPr>
        <w:t>[ADI 7.024, rel. min. Roberto Barroso, j. 17-12-2022, P, DJE de 9-2-2023.]</w:t>
      </w:r>
    </w:p>
    <w:p>
      <w:pPr>
        <w:ind w:left="288"/>
      </w:pPr>
      <w:r>
        <w:rPr>
          <w:color w:val="8C8C8C"/>
          <w:sz w:val="12"/>
        </w:rPr>
        <w:t>cf-art-24-par-2</w:t>
      </w:r>
      <w:r>
        <w:rPr>
          <w:color w:val="003CA0"/>
          <w:sz w:val="12"/>
        </w:rPr>
        <w:t xml:space="preserve"> | ADI 5.224</w:t>
      </w:r>
      <w:r>
        <w:rPr>
          <w:color w:val="003CA0"/>
          <w:sz w:val="12"/>
        </w:rPr>
        <w:t xml:space="preserve"> | rel. Rosa Weber</w:t>
      </w:r>
    </w:p>
    <w:p>
      <w:pPr>
        <w:ind w:left="288"/>
      </w:pPr>
      <w:r>
        <w:rPr>
          <w:color w:val="1E1E1E"/>
          <w:sz w:val="18"/>
        </w:rPr>
        <w:t>No modelo federativo brasileiro, estabelecida pela União a arquitetura normativa do sistema de proteção do crédito, aos Estados compete, além da supressão de eventuais lacunas, a previsão de normas destinadas a complementar a norma geral e a atender suas peculiaridades locais, respeitados os critérios (i) da preponderância do interesse local, (ii) do exaurimento dos efeitos dentro dos respectivos limites territoriais – até mesmo para se prevenir conflitos entre legislações estaduais potencialmente díspares – e (iii) da vedação da proteção insuficiente.</w:t>
      </w:r>
    </w:p>
    <w:p>
      <w:pPr>
        <w:ind w:left="288"/>
      </w:pPr>
      <w:r>
        <w:rPr>
          <w:b/>
          <w:color w:val="003CA0"/>
          <w:sz w:val="16"/>
        </w:rPr>
        <w:t>[ADI 5.224, ADI 5.252, ADI 5.273 e ADI 5.978, rel. min. Rosa Weber, j. 9-3-2022, P, DJE de 17-3-2022.]</w:t>
      </w:r>
    </w:p>
    <w:p>
      <w:pPr>
        <w:ind w:left="288"/>
      </w:pPr>
      <w:r>
        <w:rPr>
          <w:color w:val="8C8C8C"/>
          <w:sz w:val="12"/>
        </w:rPr>
        <w:t>cf-art-24-par-2</w:t>
      </w:r>
      <w:r>
        <w:rPr>
          <w:color w:val="003CA0"/>
          <w:sz w:val="12"/>
        </w:rPr>
        <w:t xml:space="preserve"> | ADI 6.672</w:t>
      </w:r>
      <w:r>
        <w:rPr>
          <w:color w:val="003CA0"/>
          <w:sz w:val="12"/>
        </w:rPr>
        <w:t xml:space="preserve"> | rel. Alexandre de Moraes</w:t>
      </w:r>
    </w:p>
    <w:p>
      <w:pPr>
        <w:ind w:left="288"/>
      </w:pPr>
      <w:r>
        <w:rPr>
          <w:color w:val="1E1E1E"/>
          <w:sz w:val="18"/>
        </w:rPr>
        <w:t>A possibilidade de complementação da legislação federal para o atendimento de interesse regional (art. 24, § 2º, da CF) não permite que Estado-Membro simplifique o licenciamento ambiental para atividades de lavra garimpeira, esvaziando o procedimento previsto em legislação nacional.</w:t>
      </w:r>
    </w:p>
    <w:p>
      <w:pPr>
        <w:ind w:left="288"/>
      </w:pPr>
      <w:r>
        <w:rPr>
          <w:b/>
          <w:color w:val="003CA0"/>
          <w:sz w:val="16"/>
        </w:rPr>
        <w:t>[ADI 6.672, rel. min. Alexandre de Moraes, j. 15-9-2021, Plenário, DJE de 22-9-2021.]</w:t>
      </w:r>
    </w:p>
    <w:p>
      <w:pPr>
        <w:ind w:left="288"/>
      </w:pPr>
      <w:r>
        <w:rPr>
          <w:color w:val="8C8C8C"/>
          <w:sz w:val="12"/>
        </w:rPr>
        <w:t>cf-art-24-par-2</w:t>
      </w:r>
      <w:r>
        <w:rPr>
          <w:color w:val="003CA0"/>
          <w:sz w:val="12"/>
        </w:rPr>
        <w:t xml:space="preserve"> | ADI 2.030</w:t>
      </w:r>
      <w:r>
        <w:rPr>
          <w:color w:val="003CA0"/>
          <w:sz w:val="12"/>
        </w:rPr>
        <w:t xml:space="preserve"> | rel. Gilmar Mendes</w:t>
      </w:r>
    </w:p>
    <w:p>
      <w:pPr>
        <w:ind w:left="288"/>
      </w:pPr>
      <w:r>
        <w:rPr>
          <w:color w:val="1E1E1E"/>
          <w:sz w:val="18"/>
        </w:rPr>
        <w:t xml:space="preserve">Repartição de competências. Lei Estadual 11.078/1999, de Santa Catarina, que estabelece normas sobre controle de resíduos de embarcações, oleodutos e instalações costeiras. Alegação de ofensa aos artigos 22, I, da Constituição Federal. Não ocorrência. Legislação estadual que trata de direito ambiental marítimo, e não de direito marítimo ambiental. Competência legislativa concorrente para legislar sobre proteção do meio ambiente e controle da poluição (art. 22, I, CF), e sobre responsabilidade por dano ao meio ambiente (art. 24, VIII, CF). Superveniência de lei geral sobre o tema. Suspensão da </w:t>
      </w:r>
    </w:p>
    <w:p>
      <w:pPr>
        <w:ind w:left="288"/>
      </w:pPr>
      <w:r>
        <w:rPr>
          <w:b/>
          <w:color w:val="003CA0"/>
          <w:sz w:val="16"/>
        </w:rPr>
        <w:t>[ADI 2.030, rel. min. Gilmar Mendes, j. 9-8-2017, P, DJE de 17-10-2018.]</w:t>
      </w:r>
    </w:p>
    <w:p>
      <w:pPr>
        <w:ind w:left="288"/>
      </w:pPr>
      <w:r>
        <w:rPr>
          <w:color w:val="8C8C8C"/>
          <w:sz w:val="12"/>
        </w:rPr>
        <w:t>cf-art-24-par-2</w:t>
      </w:r>
      <w:r>
        <w:rPr>
          <w:color w:val="003CA0"/>
          <w:sz w:val="12"/>
        </w:rPr>
        <w:t xml:space="preserve"> | ADI 2.903</w:t>
      </w:r>
      <w:r>
        <w:rPr>
          <w:color w:val="003CA0"/>
          <w:sz w:val="12"/>
        </w:rPr>
        <w:t xml:space="preserve"> | rel. Celso de Mello</w:t>
      </w:r>
    </w:p>
    <w:p>
      <w:pPr>
        <w:ind w:left="288"/>
      </w:pPr>
      <w:r>
        <w:rPr>
          <w:color w:val="1E1E1E"/>
          <w:sz w:val="18"/>
        </w:rPr>
        <w:t>Se é certo, de um lado, que, nas hipóteses referidas no art. 24 da Constituição, a União Federal não dispõe de poderes ilimitados que lhe permitam transpor o âmbito das normas gerais, para, assim, invadir, de modo inconstitucional, a esfera de competência normativa dos Estados-membros, não é menos exato, de outro, que o Estado-membro, em existindo normas gerais veiculadas em leis nacionais (como a Lei Orgânica Nacional da Defensoria Pública, consubstanciada na LC 80/1994), não pode ultrapassar os limites da competência meramente suplementar, pois, se tal ocorrer, o diploma legislativo estadual</w:t>
      </w:r>
    </w:p>
    <w:p>
      <w:pPr>
        <w:ind w:left="288"/>
      </w:pPr>
      <w:r>
        <w:rPr>
          <w:b/>
          <w:color w:val="003CA0"/>
          <w:sz w:val="16"/>
        </w:rPr>
        <w:t>[ADI 3.098, rel. min. Carlos Velloso, j. 24-11-2005, P, DJ de 10-3-2006.]</w:t>
      </w:r>
    </w:p>
    <w:p>
      <w:pPr>
        <w:ind w:left="288"/>
      </w:pPr>
      <w:r>
        <w:rPr>
          <w:color w:val="8C8C8C"/>
          <w:sz w:val="12"/>
        </w:rPr>
        <w:t>cf-art-24-par-2</w:t>
      </w:r>
      <w:r>
        <w:rPr>
          <w:color w:val="003CA0"/>
          <w:sz w:val="12"/>
        </w:rPr>
        <w:t xml:space="preserve"> | ADI 2.818</w:t>
      </w:r>
      <w:r>
        <w:rPr>
          <w:color w:val="003CA0"/>
          <w:sz w:val="12"/>
        </w:rPr>
        <w:t xml:space="preserve"> | rel. Dias Toffoli</w:t>
      </w:r>
    </w:p>
    <w:p>
      <w:pPr>
        <w:ind w:left="288"/>
      </w:pPr>
      <w:r>
        <w:rPr>
          <w:color w:val="1E1E1E"/>
          <w:sz w:val="18"/>
        </w:rPr>
        <w:t>= ADI 2.818, rel. min. Dias Toffoli, j. 9-5-2013, P, DJE de 1º-8-2013 A Constituição do Brasil contemplou a técnica da competência legislativa concorrente entre a União, os Estados-membros e o Distrito Federal, cabendo à União estabelecer normas gerais e aos Estados-membros especificá-las. É inconstitucional lei estadual que amplia definição estabelecida por texto federal, em matéria de competência concorrente.</w:t>
      </w:r>
    </w:p>
    <w:p>
      <w:pPr>
        <w:ind w:left="288"/>
      </w:pPr>
      <w:r>
        <w:rPr>
          <w:b/>
          <w:color w:val="003CA0"/>
          <w:sz w:val="16"/>
        </w:rPr>
        <w:t>[ADI 1.245, rel. min. Eros Grau, j. 6-4-2005, P, DJ de 26-8-2005.]</w:t>
      </w:r>
    </w:p>
    <w:p>
      <w:pPr>
        <w:ind w:left="288"/>
      </w:pPr>
      <w:r>
        <w:rPr>
          <w:color w:val="8C8C8C"/>
          <w:sz w:val="12"/>
        </w:rPr>
        <w:t>cf-art-24-par-2</w:t>
      </w:r>
      <w:r>
        <w:rPr>
          <w:color w:val="003CA0"/>
          <w:sz w:val="12"/>
        </w:rPr>
        <w:t xml:space="preserve"> | ADI 2.344</w:t>
      </w:r>
      <w:r>
        <w:rPr>
          <w:color w:val="003CA0"/>
          <w:sz w:val="12"/>
        </w:rPr>
        <w:t xml:space="preserve"> | rel. Celso de Mello</w:t>
      </w:r>
    </w:p>
    <w:p>
      <w:pPr>
        <w:ind w:left="288"/>
      </w:pPr>
      <w:r>
        <w:rPr>
          <w:color w:val="1E1E1E"/>
          <w:sz w:val="18"/>
        </w:rPr>
        <w:t>Nas hipóteses de competência concorrente (CF, art. 24), nas quais se estabelece verdadeira situação de condomínio legislativo entre a União Federal e os Estados-membros (HORTA, Raul Machado. Estudos de direito constitucional. Del Rey, 1995. p. 366, item 2), daí resultando clara repartição vertical de competências normativas, a jurisprudência do STF firmou-se no sentido de entender incabível a ação direta de inconstitucionalidade, se, para o específico efeito de examinar-se a ocorrência, ou não, de invasão de competência da União Federal, por parte de qualquer Estado-membro, tornar-se necessári</w:t>
      </w:r>
    </w:p>
    <w:p>
      <w:pPr>
        <w:ind w:left="288"/>
      </w:pPr>
      <w:r>
        <w:rPr>
          <w:b/>
          <w:color w:val="003CA0"/>
          <w:sz w:val="16"/>
        </w:rPr>
        <w:t>[ADI 2.344 QO, rel. min. Celso de Mello, j. 23-11-2000, P, DJ de 2-8-2002.]</w:t>
      </w:r>
    </w:p>
    <w:p>
      <w:pPr>
        <w:ind w:left="288"/>
      </w:pPr>
      <w:r>
        <w:rPr>
          <w:color w:val="8C8C8C"/>
          <w:sz w:val="12"/>
        </w:rPr>
        <w:t>cf-art-24-par-2</w:t>
      </w:r>
      <w:r>
        <w:rPr>
          <w:color w:val="003CA0"/>
          <w:sz w:val="12"/>
        </w:rPr>
        <w:t xml:space="preserve"> | ADI 2.876</w:t>
      </w:r>
      <w:r>
        <w:rPr>
          <w:color w:val="003CA0"/>
          <w:sz w:val="12"/>
        </w:rPr>
        <w:t xml:space="preserve"> | rel. Cármen Lúcia</w:t>
      </w:r>
    </w:p>
    <w:p>
      <w:pPr>
        <w:ind w:left="288"/>
      </w:pPr>
      <w:r>
        <w:rPr>
          <w:color w:val="1E1E1E"/>
          <w:sz w:val="18"/>
        </w:rPr>
        <w:t>= ADI 2.876, rel. min. Cármen Lúcia, j. 21-10-2009, P, DJE de 20-11-2009</w:t>
      </w:r>
    </w:p>
    <w:p>
      <w:pPr>
        <w:ind w:left="144"/>
      </w:pPr>
      <w:r>
        <w:rPr>
          <w:b/>
          <w:color w:val="B45A00"/>
          <w:sz w:val="16"/>
        </w:rPr>
        <w:t>REPERCUSSAO GERAL</w:t>
      </w:r>
    </w:p>
    <w:p>
      <w:pPr>
        <w:ind w:left="288"/>
      </w:pPr>
      <w:r>
        <w:rPr>
          <w:color w:val="8C8C8C"/>
          <w:sz w:val="12"/>
        </w:rPr>
        <w:t>cf-art-24-par-2</w:t>
      </w:r>
      <w:r>
        <w:rPr>
          <w:color w:val="003CA0"/>
          <w:sz w:val="12"/>
        </w:rPr>
        <w:t xml:space="preserve"> | ARE 649.379</w:t>
      </w:r>
    </w:p>
    <w:p>
      <w:pPr>
        <w:ind w:left="288"/>
      </w:pPr>
      <w:r>
        <w:rPr>
          <w:color w:val="1E1E1E"/>
          <w:sz w:val="18"/>
        </w:rPr>
        <w:t>Os Estados-Membros e o Distrito Federal têm competência legislativa para estabelecer regras de postagem de boletos referentes a pagamento de serviços prestados por empresas públicas e privadas.</w:t>
      </w:r>
    </w:p>
    <w:p>
      <w:pPr>
        <w:ind w:left="288"/>
      </w:pPr>
      <w:r>
        <w:rPr>
          <w:b/>
          <w:color w:val="003CA0"/>
          <w:sz w:val="16"/>
        </w:rPr>
        <w:t>[ARE 649.379, red. do ac. min. Alexandre de Moraes, j. 16-11-2020, P, DJE de 18-1-2021, Tema 491, com mérito julgado.]</w:t>
      </w:r>
    </w:p>
    <w:p>
      <w:pPr>
        <w:ind w:left="144"/>
      </w:pPr>
      <w:r>
        <w:rPr>
          <w:b/>
          <w:color w:val="B45A00"/>
          <w:sz w:val="16"/>
        </w:rPr>
        <w:t>CONTROLE CONCENTRADO</w:t>
      </w:r>
    </w:p>
    <w:p>
      <w:pPr>
        <w:ind w:left="288"/>
      </w:pPr>
      <w:r>
        <w:rPr>
          <w:color w:val="8C8C8C"/>
          <w:sz w:val="12"/>
        </w:rPr>
        <w:t>cf-art-24-par-3</w:t>
      </w:r>
      <w:r>
        <w:rPr>
          <w:color w:val="003CA0"/>
          <w:sz w:val="12"/>
        </w:rPr>
        <w:t xml:space="preserve"> | ADI 5.995</w:t>
      </w:r>
      <w:r>
        <w:rPr>
          <w:color w:val="003CA0"/>
          <w:sz w:val="12"/>
        </w:rPr>
        <w:t xml:space="preserve"> | rel. Gilmar Mendes</w:t>
      </w:r>
    </w:p>
    <w:p>
      <w:pPr>
        <w:ind w:left="288"/>
      </w:pPr>
      <w:r>
        <w:rPr>
          <w:color w:val="1E1E1E"/>
          <w:sz w:val="18"/>
        </w:rPr>
        <w:t>Lei nº 7.814, de 15 de dezembro de 2017, do Estado do Rio de Janeiro, que dispõe sobre a proibição, no Estado, da utilização de animais para desenvolvimento, experimento e teste de produtos cosméticos, higiene pessoal, perfumes, limpeza e seus componentes. Competência da União para legislar sobre normais gerais. Alegação de ofensa ao art. 24, VI, CF. Inocorrência.</w:t>
        <w:br/>
        <w:t>[ADI 5.995, rel. min. Gilmar Mendes, j. 27-5-2021, P, DJE de 20-10-2021.] O consenso dos órgãos oficiais de saúde geral e de saúde do trabalhador em torno da natureza altamente cancerígena do amianto crisotila, a existência de materi</w:t>
      </w:r>
    </w:p>
    <w:p>
      <w:pPr>
        <w:ind w:left="288"/>
      </w:pPr>
      <w:r>
        <w:rPr>
          <w:b/>
          <w:color w:val="003CA0"/>
          <w:sz w:val="16"/>
        </w:rPr>
        <w:t>[ADI 3.937, red. do ac. min. Dias Toffoli, j. 24-8-2017, P, DJE de 1º-2-2019.]</w:t>
        <w:br/>
        <w:t>= ADI 3.406 e ADI 3.470, rel. min. Rosa Weber, j. 29-11-2017, P, DJE de 1º-2-2019</w:t>
      </w:r>
    </w:p>
    <w:p>
      <w:pPr>
        <w:ind w:left="288"/>
      </w:pPr>
      <w:r>
        <w:rPr>
          <w:color w:val="8C8C8C"/>
          <w:sz w:val="12"/>
        </w:rPr>
        <w:t>cf-art-24-par-3</w:t>
      </w:r>
      <w:r>
        <w:rPr>
          <w:color w:val="003CA0"/>
          <w:sz w:val="12"/>
        </w:rPr>
        <w:t xml:space="preserve"> | ADI 3.098</w:t>
      </w:r>
      <w:r>
        <w:rPr>
          <w:color w:val="003CA0"/>
          <w:sz w:val="12"/>
        </w:rPr>
        <w:t xml:space="preserve"> | rel. Carlos Velloso</w:t>
      </w:r>
    </w:p>
    <w:p>
      <w:pPr>
        <w:ind w:left="288"/>
      </w:pPr>
      <w:r>
        <w:rPr>
          <w:color w:val="1E1E1E"/>
          <w:sz w:val="18"/>
        </w:rPr>
        <w:t xml:space="preserve">O art. 24 da CF compreende competência estadual concorrente não cumulativa ou suplementar (art. 24, § 2º) e competência estadual concorrente cumulativa (art. 24, § 3º). Na primeira hipótese, existente a lei federal de normas gerais (art. 24, § 1º), poderão os Estados e o Distrito Federal, no uso da competência suplementar, preencher os vazios da lei federal de normas gerais, a fim de afeiçoá-la às peculiaridades locais (art. 24, § 2º); na segunda hipótese, poderão os Estados e o Distrito Fededal, inexistente a lei federal de normas gerais, exercer a competência legislativa plena "para atender </w:t>
      </w:r>
    </w:p>
    <w:p>
      <w:pPr>
        <w:ind w:left="288"/>
      </w:pPr>
      <w:r>
        <w:rPr>
          <w:b/>
          <w:color w:val="003CA0"/>
          <w:sz w:val="16"/>
        </w:rPr>
        <w:t>[RE 592.152 RG, rel. min. Cristiano Zanin, j. 10.06.2024, P, DJE de 03.07.2024, Tema 1.305, com mérito julgado.]</w:t>
      </w:r>
    </w:p>
    <w:p>
      <w:pPr>
        <w:ind w:left="144"/>
      </w:pPr>
      <w:r>
        <w:rPr>
          <w:b/>
          <w:color w:val="B45A00"/>
          <w:sz w:val="16"/>
        </w:rPr>
        <w:t>JULGADOS CORRELATOS</w:t>
      </w:r>
    </w:p>
    <w:p>
      <w:pPr>
        <w:ind w:left="288"/>
      </w:pPr>
      <w:r>
        <w:rPr>
          <w:color w:val="8C8C8C"/>
          <w:sz w:val="12"/>
        </w:rPr>
        <w:t>cf-art-24-par-3</w:t>
      </w:r>
      <w:r>
        <w:rPr>
          <w:color w:val="003CA0"/>
          <w:sz w:val="12"/>
        </w:rPr>
        <w:t xml:space="preserve"> | RE 917.950</w:t>
      </w:r>
      <w:r>
        <w:rPr>
          <w:color w:val="003CA0"/>
          <w:sz w:val="12"/>
        </w:rPr>
        <w:t xml:space="preserve"> | rel. Gilmar Mendes</w:t>
      </w:r>
    </w:p>
    <w:p>
      <w:pPr>
        <w:ind w:left="288"/>
      </w:pPr>
      <w:r>
        <w:rPr>
          <w:color w:val="1E1E1E"/>
          <w:sz w:val="18"/>
        </w:rPr>
        <w:t>Após a EC 33/2002, houve alteração da competência tributária relativa ao ICMS, a fim de ampliar o sujeito passivo tributário do ICMS-Importação. A ausência de lei complementar federal não enseja a inconstitucionalidade de lei estadual editada por ente federativo após a EC 33/2002. Inibe apenas seus efeitos. Ineficácia da legislação estadual até 17.12.2002 (data da vigência da Lei Complementar 114/2002).</w:t>
        <w:br/>
        <w:t xml:space="preserve">[RE 917.950 AgR, red. do ac. min. Gilmar Mendes, j. 5-12-2017, 2ª T, DJE de 11-6-2018.] Enquanto não editada a lei a que se refere o § 21 do art. 40 da CF/1988, vigem os diplomas estaduais que </w:t>
      </w:r>
    </w:p>
    <w:p>
      <w:pPr>
        <w:ind w:left="288"/>
      </w:pPr>
      <w:r>
        <w:rPr>
          <w:b/>
          <w:color w:val="003CA0"/>
          <w:sz w:val="16"/>
        </w:rPr>
        <w:t>[RE 414.259 AgR, rel. min. Eros Grau, j. 24-6-2008, 2ª T, DJE de 15-8-2008.]</w:t>
      </w:r>
    </w:p>
    <w:p>
      <w:pPr>
        <w:ind w:left="288"/>
      </w:pPr>
      <w:r>
        <w:rPr>
          <w:color w:val="8C8C8C"/>
          <w:sz w:val="12"/>
        </w:rPr>
        <w:t>cf-art-24-par-3</w:t>
      </w:r>
      <w:r>
        <w:rPr>
          <w:color w:val="003CA0"/>
          <w:sz w:val="12"/>
        </w:rPr>
        <w:t xml:space="preserve"> | RE 601.247</w:t>
      </w:r>
      <w:r>
        <w:rPr>
          <w:color w:val="003CA0"/>
          <w:sz w:val="12"/>
        </w:rPr>
        <w:t xml:space="preserve"> | rel. Ricardo Lewandowski</w:t>
      </w:r>
    </w:p>
    <w:p>
      <w:pPr>
        <w:ind w:left="288"/>
      </w:pPr>
      <w:r>
        <w:rPr>
          <w:color w:val="1E1E1E"/>
          <w:sz w:val="18"/>
        </w:rPr>
        <w:t>= RE 601.247 AgR, rel. min. Ricardo Lewandowski, j. 29-5-2012, 2ª T, DJE de 13-6-2012 Deixando a União de editar normas gerais, exerce a unidade da Federação a competência legislativa plena – § 3º do art. 24 do corpo permanente da Carta de 1988 –, sendo que, com a entrada em vigor do sistema tributário nacional, abriu-se à União, aos Estados, ao Distrito Federal e aos Municípios a via da edição de leis necessárias à respectiva aplicação – § 3º do art. 34 do ADCT da Carta de 1988.</w:t>
      </w:r>
    </w:p>
    <w:p>
      <w:pPr>
        <w:ind w:left="288"/>
      </w:pPr>
      <w:r>
        <w:rPr>
          <w:b/>
          <w:color w:val="003CA0"/>
          <w:sz w:val="16"/>
        </w:rPr>
        <w:t>[AI 167.777 AgR, rel. min. Marco Aurélio, j. 4-3-1997, 2ª T, DJ de 9-5-1997.]</w:t>
      </w:r>
    </w:p>
    <w:p>
      <w:pPr>
        <w:ind w:left="288"/>
      </w:pPr>
      <w:r>
        <w:rPr>
          <w:color w:val="8C8C8C"/>
          <w:sz w:val="12"/>
        </w:rPr>
        <w:t>cf-art-24-par-3</w:t>
      </w:r>
      <w:r>
        <w:rPr>
          <w:color w:val="003CA0"/>
          <w:sz w:val="12"/>
        </w:rPr>
        <w:t xml:space="preserve"> | RE 601.247</w:t>
      </w:r>
      <w:r>
        <w:rPr>
          <w:color w:val="003CA0"/>
          <w:sz w:val="12"/>
        </w:rPr>
        <w:t xml:space="preserve"> | rel. Ricardo Lewandowski</w:t>
      </w:r>
    </w:p>
    <w:p>
      <w:pPr>
        <w:ind w:left="288"/>
      </w:pPr>
      <w:r>
        <w:rPr>
          <w:color w:val="1E1E1E"/>
          <w:sz w:val="18"/>
        </w:rPr>
        <w:t xml:space="preserve">= RE 601.247 AgR, rel. min. Ricardo Lewandowski, j. 29-5-2012, 2ª T, DJE de 13-6-2012 Os Estados-membros não podem instituir, mediante ato legislativo próprio, o tributo a que se refere o art. 155, II, da Constituição (Adicional ao Imposto de Renda) enquanto não for editada, pela União Federal, a lei complementar nacional prevista no art. 146 da Lei Fundamental da República. A existência desse vacum legis não confere aos Estados-membros a possibilidade de exercerem, com base nas regras inscritas no art. 24, § 3º, da Constituição e no art. 34, § 3º, do ADCT/1988, competência legislativa plena, </w:t>
      </w:r>
    </w:p>
    <w:p>
      <w:pPr>
        <w:ind w:left="288"/>
      </w:pPr>
      <w:r>
        <w:rPr>
          <w:b/>
          <w:color w:val="003CA0"/>
          <w:sz w:val="16"/>
        </w:rPr>
        <w:t>[RE 149.955, rel. min. Celso de Mello, j. 19-8-1993, P, DJ de 3-9-1993.]</w:t>
      </w:r>
    </w:p>
    <w:p>
      <w:pPr>
        <w:ind w:left="144"/>
      </w:pPr>
      <w:r>
        <w:rPr>
          <w:b/>
          <w:color w:val="B45A00"/>
          <w:sz w:val="16"/>
        </w:rPr>
        <w:t>CONTROLE CONCENTRADO</w:t>
      </w:r>
    </w:p>
    <w:p>
      <w:pPr>
        <w:ind w:left="288"/>
      </w:pPr>
      <w:r>
        <w:rPr>
          <w:color w:val="8C8C8C"/>
          <w:sz w:val="12"/>
        </w:rPr>
        <w:t>cf-art-24-par-4</w:t>
      </w:r>
      <w:r>
        <w:rPr>
          <w:color w:val="003CA0"/>
          <w:sz w:val="12"/>
        </w:rPr>
        <w:t xml:space="preserve"> | ADI 5.568</w:t>
      </w:r>
    </w:p>
    <w:p>
      <w:pPr>
        <w:ind w:left="288"/>
      </w:pPr>
      <w:r>
        <w:rPr>
          <w:color w:val="1E1E1E"/>
          <w:sz w:val="18"/>
        </w:rPr>
        <w:t>Tratando-se de norma de natureza de direito do consumidor do serviço de telecomunicações e havendo conflito entre a disciplina federal e a estadual, deve aquela prevalecer. A norma federal, nestes casos, serve à homogeneidade regulatória, afastando a competência dos Estados. A ANATEL, entidade reguladora do setor, no exercício de sua competência normativa prevista nos arts. 19 e 22 da Lei 9.472/97, editou a Resolução 632/2014, que trata do Regulamento Geral de Direitos do Consumidor de Serviços de Telecomunicações. Segundo o art. 51 do RDC, o fornecimento do contrato pode ser por meio eletrôni</w:t>
      </w:r>
    </w:p>
    <w:p>
      <w:pPr>
        <w:ind w:left="288"/>
      </w:pPr>
      <w:r>
        <w:rPr>
          <w:b/>
          <w:color w:val="003CA0"/>
          <w:sz w:val="16"/>
        </w:rPr>
        <w:t>[ADI 5.568, red. do ac. min. Edson Fachin, j. 27-9-2019, P, DJE de 15-10-2019.]</w:t>
      </w:r>
    </w:p>
    <w:p>
      <w:pPr>
        <w:ind w:left="288"/>
      </w:pPr>
      <w:r>
        <w:rPr>
          <w:color w:val="8C8C8C"/>
          <w:sz w:val="12"/>
        </w:rPr>
        <w:t>cf-art-24-par-4</w:t>
      </w:r>
      <w:r>
        <w:rPr>
          <w:color w:val="003CA0"/>
          <w:sz w:val="12"/>
        </w:rPr>
        <w:t xml:space="preserve"> | ADI 903</w:t>
      </w:r>
      <w:r>
        <w:rPr>
          <w:color w:val="003CA0"/>
          <w:sz w:val="12"/>
        </w:rPr>
        <w:t xml:space="preserve"> | rel. Dias Toffoli</w:t>
      </w:r>
    </w:p>
    <w:p>
      <w:pPr>
        <w:ind w:left="288"/>
      </w:pPr>
      <w:r>
        <w:rPr>
          <w:color w:val="1E1E1E"/>
          <w:sz w:val="18"/>
        </w:rPr>
        <w:t>Lei 10.820/1992 do Estado de Minas Gerais, que dispõe sobre adaptação dos veículos de transporte coletivo com a finalidade de assegurar seu acesso por pessoas com deficiência ou dificuldade de locomoção. (...) Como, à época da edição da legislação ora questionada, não havia lei geral nacional sobre o tema, a teor do § 3º do art. 24 da CF, era deferido aos Estados-membros o exercício da competência legislativa plena, podendo suprir o espaço normativo com suas legislações locais. A preocupação manifesta no julgamento cautelar sobre a ausência de legislação federal protetiva hoje se encontra supe</w:t>
      </w:r>
    </w:p>
    <w:p>
      <w:r>
        <w:rPr>
          <w:b/>
          <w:color w:val="003366"/>
          <w:sz w:val="20"/>
        </w:rPr>
        <w:t>Art. 25 Ficam revogados, a partir de cento e oitenta dias da promulgação da Cons</w:t>
      </w:r>
      <w:r>
        <w:rPr>
          <w:color w:val="8C8C8C"/>
          <w:sz w:val="14"/>
        </w:rPr>
        <w:t xml:space="preserve">  [26 decisoes]</w:t>
      </w:r>
    </w:p>
    <w:p>
      <w:pPr>
        <w:ind w:left="288"/>
      </w:pPr>
      <w:r>
        <w:rPr>
          <w:color w:val="8C8C8C"/>
          <w:sz w:val="12"/>
        </w:rPr>
        <w:t>cf-art-25</w:t>
      </w:r>
      <w:r>
        <w:rPr>
          <w:color w:val="003CA0"/>
          <w:sz w:val="12"/>
        </w:rPr>
        <w:t xml:space="preserve"> | ADI 7.436</w:t>
      </w:r>
      <w:r>
        <w:rPr>
          <w:color w:val="003CA0"/>
          <w:sz w:val="12"/>
        </w:rPr>
        <w:t xml:space="preserve"> | rel. André Mendonça</w:t>
      </w:r>
    </w:p>
    <w:p>
      <w:pPr>
        <w:ind w:left="288"/>
      </w:pPr>
      <w:r>
        <w:rPr>
          <w:color w:val="1E1E1E"/>
          <w:sz w:val="18"/>
        </w:rPr>
        <w:t>A exigência de lei complementar para matérias que a Constituição Federal reserva à lei ordinária viola o princípio da simetria, ao impor obstáculos procedimentais não previstos pelo constituinte federal, limitando indevidamente o arranjo democrático-representativo.</w:t>
      </w:r>
    </w:p>
    <w:p>
      <w:pPr>
        <w:ind w:left="288"/>
      </w:pPr>
      <w:r>
        <w:rPr>
          <w:b/>
          <w:color w:val="003CA0"/>
          <w:sz w:val="16"/>
        </w:rPr>
        <w:t>[ADI 7.436, rel. min. André Mendonça, j. 07.04.2025, P, DJE de 17.12.2025.]</w:t>
      </w:r>
    </w:p>
    <w:p>
      <w:pPr>
        <w:ind w:left="144"/>
      </w:pPr>
      <w:r>
        <w:rPr>
          <w:b/>
          <w:color w:val="B45A00"/>
          <w:sz w:val="16"/>
        </w:rPr>
        <w:t>CONTROLE CONCENTRADO</w:t>
      </w:r>
    </w:p>
    <w:p>
      <w:pPr>
        <w:ind w:left="288"/>
      </w:pPr>
      <w:r>
        <w:rPr>
          <w:color w:val="8C8C8C"/>
          <w:sz w:val="12"/>
        </w:rPr>
        <w:t>cf-art-25</w:t>
      </w:r>
      <w:r>
        <w:rPr>
          <w:color w:val="003CA0"/>
          <w:sz w:val="12"/>
        </w:rPr>
        <w:t xml:space="preserve"> | ADI 6.780</w:t>
      </w:r>
      <w:r>
        <w:rPr>
          <w:color w:val="003CA0"/>
          <w:sz w:val="12"/>
        </w:rPr>
        <w:t xml:space="preserve"> | rel. Nunes Marques</w:t>
      </w:r>
    </w:p>
    <w:p>
      <w:pPr>
        <w:ind w:left="288"/>
      </w:pPr>
      <w:r>
        <w:rPr>
          <w:color w:val="1E1E1E"/>
          <w:sz w:val="18"/>
        </w:rPr>
        <w:t>Lei complementar estadual. Permuta nacional entre membros dos Ministérios Públicos Estaduais e do Distrito Federal e Territórios. Federalismo. Autonomia dos estados-membros. Inexistência de carreira única. (...) O caráter nacional do Ministério Público, considerado o regramento de observância obrigatória por todos os seus órgãos – Ministérios Públicos da União, dos Estados e do Distrito Federal – e respectivos membros, não se confunde com a existência de um único Ministério Público dos Estados, pois isso configuraria violação da forma federativa adotada pelo constituinte originário e da autono</w:t>
      </w:r>
    </w:p>
    <w:p>
      <w:pPr>
        <w:ind w:left="288"/>
      </w:pPr>
      <w:r>
        <w:rPr>
          <w:b/>
          <w:color w:val="003CA0"/>
          <w:sz w:val="16"/>
        </w:rPr>
        <w:t>[ADI 5.520, rel. min. Alexandre de Moraes, j. 6-9-2019, P, DJE de 20-9-2019.]</w:t>
      </w:r>
    </w:p>
    <w:p>
      <w:pPr>
        <w:ind w:left="288"/>
      </w:pPr>
      <w:r>
        <w:rPr>
          <w:color w:val="8C8C8C"/>
          <w:sz w:val="12"/>
        </w:rPr>
        <w:t>cf-art-25</w:t>
      </w:r>
      <w:r>
        <w:rPr>
          <w:color w:val="003CA0"/>
          <w:sz w:val="12"/>
        </w:rPr>
        <w:t xml:space="preserve"> | ADI 4.298</w:t>
      </w:r>
      <w:r>
        <w:rPr>
          <w:color w:val="003CA0"/>
          <w:sz w:val="12"/>
        </w:rPr>
        <w:t xml:space="preserve"> | rel. Cezar Peluso</w:t>
      </w:r>
    </w:p>
    <w:p>
      <w:pPr>
        <w:ind w:left="288"/>
      </w:pPr>
      <w:r>
        <w:rPr>
          <w:color w:val="1E1E1E"/>
          <w:sz w:val="18"/>
        </w:rPr>
        <w:t xml:space="preserve">No desate de causas afins, recorre a Corte, com frequência, ao chamado princípio ou regra da simetria, que é construção pretoriana tendente a garantir, quanto aos aspectos reputados substanciais, homogeneidade na disciplina normativa da separação, independência e harmonia dos poderes, nos três planos federativos. Seu fundamento mais direto está no art. 25 da CF e no art. 11 de seu ADCT, que determinam aos Estados-membros a observância dos princípios da Constituição da República. Se a garantia de simetria no traçado normativo das linhas essenciais dos entes da Federação, mediante revelação dos </w:t>
      </w:r>
    </w:p>
    <w:p>
      <w:pPr>
        <w:ind w:left="288"/>
      </w:pPr>
      <w:r>
        <w:rPr>
          <w:b/>
          <w:color w:val="003CA0"/>
          <w:sz w:val="16"/>
        </w:rPr>
        <w:t>[ADI 4.298 MC, voto do rel. min. Cezar Peluso, j. 7-10-2009, P, DJE de 27-11-2009.]</w:t>
      </w:r>
    </w:p>
    <w:p>
      <w:pPr>
        <w:ind w:left="288"/>
      </w:pPr>
      <w:r>
        <w:rPr>
          <w:color w:val="8C8C8C"/>
          <w:sz w:val="12"/>
        </w:rPr>
        <w:t>cf-art-25</w:t>
      </w:r>
      <w:r>
        <w:rPr>
          <w:color w:val="003CA0"/>
          <w:sz w:val="12"/>
        </w:rPr>
        <w:t xml:space="preserve"> | ADI 1.521</w:t>
      </w:r>
      <w:r>
        <w:rPr>
          <w:color w:val="003CA0"/>
          <w:sz w:val="12"/>
        </w:rPr>
        <w:t xml:space="preserve"> | rel. Ricardo Lewandowski</w:t>
      </w:r>
    </w:p>
    <w:p>
      <w:pPr>
        <w:ind w:left="288"/>
      </w:pPr>
      <w:r>
        <w:rPr>
          <w:color w:val="1E1E1E"/>
          <w:sz w:val="18"/>
        </w:rPr>
        <w:t>= ADI 1.521, rel. min. Ricardo Lewandowski, j. 19-6-2013, P, DJE de 13-8-2013</w:t>
        <w:br/>
        <w:t>= ADI 6.337, rel. min. Rosa Weber, j. 24-8-2020, P, DJE de 22-10-2020 A Constituição do Brasil, ao conferir aos Estados-membros a capacidade de auto-organização e de autogoverno – art. 25, caput –, impõe a obrigatória observância de vários princípios, entre os quais o pertinente ao processo legislativo. O legislador estadual não pode usurpar a iniciativa legislativa do chefe do Executivo, dispondo sobre as matérias reservadas a essa iniciativa privativa.</w:t>
      </w:r>
    </w:p>
    <w:p>
      <w:pPr>
        <w:ind w:left="288"/>
      </w:pPr>
      <w:r>
        <w:rPr>
          <w:b/>
          <w:color w:val="003CA0"/>
          <w:sz w:val="16"/>
        </w:rPr>
        <w:t>[ADI 1.594, rel. min. Eros Grau, j. 4-6-2008, P, DJE de 22-8-2008.]</w:t>
      </w:r>
    </w:p>
    <w:p>
      <w:pPr>
        <w:ind w:left="288"/>
      </w:pPr>
      <w:r>
        <w:rPr>
          <w:color w:val="8C8C8C"/>
          <w:sz w:val="12"/>
        </w:rPr>
        <w:t>cf-art-25</w:t>
      </w:r>
      <w:r>
        <w:rPr>
          <w:color w:val="003CA0"/>
          <w:sz w:val="12"/>
        </w:rPr>
        <w:t xml:space="preserve"> | ADI 291</w:t>
      </w:r>
      <w:r>
        <w:rPr>
          <w:color w:val="003CA0"/>
          <w:sz w:val="12"/>
        </w:rPr>
        <w:t xml:space="preserve"> | rel. Joaquim Barbosa</w:t>
      </w:r>
    </w:p>
    <w:p>
      <w:pPr>
        <w:ind w:left="288"/>
      </w:pPr>
      <w:r>
        <w:rPr>
          <w:color w:val="1E1E1E"/>
          <w:sz w:val="18"/>
        </w:rPr>
        <w:t xml:space="preserve">= ADI 291, rel. min. Joaquim Barbosa, j. 7-4-2010, P, DJE de 10-9-2010 É improcedente a ação. Em primeiro lugar, não encontro ofensa ao princípio federativo, a qual, no entender da autora, estaria na feição assimétrica que a norma estadual impugnada deu a um dos aspectos do correspondente processo legislativo em relação ao modelo federal. Ora, a exigência constante do art. 112, § 2º, da Constituição fluminense consagra mera restrição material à atividade do legislador estadual, que com ela se vê impedido de conceder gratuidade sem proceder à necessária indicação da fonte de custeio. É assente </w:t>
      </w:r>
    </w:p>
    <w:p>
      <w:pPr>
        <w:ind w:left="288"/>
      </w:pPr>
      <w:r>
        <w:rPr>
          <w:b/>
          <w:color w:val="003CA0"/>
          <w:sz w:val="16"/>
        </w:rPr>
        <w:t>[ADI 3.225, voto do rel. min. Cezar Peluso, j. 17-9-2007, P, DJ de 26-10-2007.]</w:t>
      </w:r>
    </w:p>
    <w:p>
      <w:pPr>
        <w:ind w:left="288"/>
      </w:pPr>
      <w:r>
        <w:rPr>
          <w:color w:val="8C8C8C"/>
          <w:sz w:val="12"/>
        </w:rPr>
        <w:t>cf-art-25</w:t>
      </w:r>
      <w:r>
        <w:rPr>
          <w:color w:val="003CA0"/>
          <w:sz w:val="12"/>
        </w:rPr>
        <w:t xml:space="preserve"> | ADI 1.448</w:t>
      </w:r>
      <w:r>
        <w:rPr>
          <w:color w:val="003CA0"/>
          <w:sz w:val="12"/>
        </w:rPr>
        <w:t xml:space="preserve"> | rel. Maurício Corrêa</w:t>
      </w:r>
    </w:p>
    <w:p>
      <w:pPr>
        <w:ind w:left="288"/>
      </w:pPr>
      <w:r>
        <w:rPr>
          <w:color w:val="1E1E1E"/>
          <w:sz w:val="18"/>
        </w:rPr>
        <w:t>Disposição constitucional estadual que impõe o pagamento de 13º salário aos servidores estaduais em data e forma definidas. Abuso do poder constituinte estadual, por interferência indevida na programação financeira e na execução de despesa pública, a cargo do Poder Executivo, nos termos da CF.</w:t>
      </w:r>
    </w:p>
    <w:p>
      <w:pPr>
        <w:ind w:left="288"/>
      </w:pPr>
      <w:r>
        <w:rPr>
          <w:b/>
          <w:color w:val="003CA0"/>
          <w:sz w:val="16"/>
        </w:rPr>
        <w:t>[ADI 1.448, red. do ac. min. Joaquim Barbosa, rel. min. Maurício Corrêa, j. 16-8-2007, P, DJ de 11-10-2007.]</w:t>
      </w:r>
    </w:p>
    <w:p>
      <w:pPr>
        <w:ind w:left="288"/>
      </w:pPr>
      <w:r>
        <w:rPr>
          <w:color w:val="8C8C8C"/>
          <w:sz w:val="12"/>
        </w:rPr>
        <w:t>cf-art-25</w:t>
      </w:r>
      <w:r>
        <w:rPr>
          <w:color w:val="003CA0"/>
          <w:sz w:val="12"/>
        </w:rPr>
        <w:t xml:space="preserve"> | ADI 2.076</w:t>
      </w:r>
      <w:r>
        <w:rPr>
          <w:color w:val="003CA0"/>
          <w:sz w:val="12"/>
        </w:rPr>
        <w:t xml:space="preserve"> | rel. Carlos Velloso</w:t>
      </w:r>
    </w:p>
    <w:p>
      <w:pPr>
        <w:ind w:left="288"/>
      </w:pPr>
      <w:r>
        <w:rPr>
          <w:color w:val="1E1E1E"/>
          <w:sz w:val="18"/>
        </w:rPr>
        <w:t xml:space="preserve">O preâmbulo (...) não se situa no âmbito do Direito, mas no domínio da política, refletindo posição ideológica do constituinte. É claro que uma Constituição que consagra princípios democráticos, liberais, não poderia conter preâmbulo que proclamasse princípios diversos. Não contém o preâmbulo, portanto, relevância jurídica. O preâmbulo não constitui norma central da Constituição, de reprodução obrigatória na Constituição do Estado-membro. O que acontece é que o preâmbulo contém, de regra, proclamação ou exortação no sentido dos princípios inscritos na Carta: princípio do Estado Democrático de </w:t>
      </w:r>
    </w:p>
    <w:p>
      <w:pPr>
        <w:ind w:left="288"/>
      </w:pPr>
      <w:r>
        <w:rPr>
          <w:b/>
          <w:color w:val="003CA0"/>
          <w:sz w:val="16"/>
        </w:rPr>
        <w:t>[ADI 2.076, voto do rel. min. Carlos Velloso, j. 15-8-2002, P, DJ de 8-8-2003.]</w:t>
      </w:r>
    </w:p>
    <w:p>
      <w:pPr>
        <w:ind w:left="288"/>
      </w:pPr>
      <w:r>
        <w:rPr>
          <w:color w:val="8C8C8C"/>
          <w:sz w:val="12"/>
        </w:rPr>
        <w:t>cf-art-25</w:t>
      </w:r>
      <w:r>
        <w:rPr>
          <w:color w:val="003CA0"/>
          <w:sz w:val="12"/>
        </w:rPr>
        <w:t xml:space="preserve"> | ADI 486</w:t>
      </w:r>
      <w:r>
        <w:rPr>
          <w:color w:val="003CA0"/>
          <w:sz w:val="12"/>
        </w:rPr>
        <w:t xml:space="preserve"> | rel. Celso de Mello</w:t>
      </w:r>
    </w:p>
    <w:p>
      <w:pPr>
        <w:ind w:left="288"/>
      </w:pPr>
      <w:r>
        <w:rPr>
          <w:color w:val="1E1E1E"/>
          <w:sz w:val="18"/>
        </w:rPr>
        <w:t>Processo de reforma da Constituição estadual. Necessária observância dos requisitos estabelecidos na CF (art. 60, §§ 1º a 5º). Impossibilidade constitucional de o Estado-membro, em divergência com o modelo inscrito na Lei Fundamental da República, condicionar a reforma da Constituição estadual à aprovação da respectiva proposta por 4/5 da totalidade dos membros integrantes da assembleia legislativa. Exigência que virtualmente esteriliza o exercício da função reformadora pelo Poder Legislativo local. A questão da autonomia dos Estados-membros (CF, art. 25). Subordinação jurídica do poder consti</w:t>
      </w:r>
    </w:p>
    <w:p>
      <w:pPr>
        <w:ind w:left="288"/>
      </w:pPr>
      <w:r>
        <w:rPr>
          <w:b/>
          <w:color w:val="003CA0"/>
          <w:sz w:val="16"/>
        </w:rPr>
        <w:t>[ADI 486, rel. min. Celso de Mello, j. 3-4-1997, P, DJ de 10-11-2006.]</w:t>
      </w:r>
    </w:p>
    <w:p>
      <w:pPr>
        <w:ind w:left="288"/>
      </w:pPr>
      <w:r>
        <w:rPr>
          <w:color w:val="8C8C8C"/>
          <w:sz w:val="12"/>
        </w:rPr>
        <w:t>cf-art-25</w:t>
      </w:r>
      <w:r>
        <w:rPr>
          <w:color w:val="003CA0"/>
          <w:sz w:val="12"/>
        </w:rPr>
        <w:t xml:space="preserve"> | ADI 507</w:t>
      </w:r>
      <w:r>
        <w:rPr>
          <w:color w:val="003CA0"/>
          <w:sz w:val="12"/>
        </w:rPr>
        <w:t xml:space="preserve"> | rel. Celso de Mello</w:t>
      </w:r>
    </w:p>
    <w:p>
      <w:pPr>
        <w:ind w:left="288"/>
      </w:pPr>
      <w:r>
        <w:rPr>
          <w:color w:val="1E1E1E"/>
          <w:sz w:val="18"/>
        </w:rPr>
        <w:t>O poder constituinte outorgado aos Estados-membros sofre as limitações jurídicas impostas pela Constituição da República. Os Estados-membros organizam-se e regem-se pelas Constituições e leis que adotarem (CF, art. 25), submetendo-se, no entanto, quanto ao exercício dessa prerrogativa institucional (essencialmente limitada em sua extensão), aos condicionamentos normativos impostos pela CF, pois é nessa que reside o núcleo de emanação (e de restrição) que informa e dá substância ao poder constituinte decorrente que a Lei Fundamental da República confere a essas unidades regionais da Federação.</w:t>
      </w:r>
    </w:p>
    <w:p>
      <w:pPr>
        <w:ind w:left="288"/>
      </w:pPr>
      <w:r>
        <w:rPr>
          <w:b/>
          <w:color w:val="003CA0"/>
          <w:sz w:val="16"/>
        </w:rPr>
        <w:t>[ADI 507, rel. min. Celso de Mello, j. 14-2-1996, P, DJ de 8-8-2003.]</w:t>
      </w:r>
    </w:p>
    <w:p>
      <w:pPr>
        <w:ind w:left="288"/>
      </w:pPr>
      <w:r>
        <w:rPr>
          <w:color w:val="8C8C8C"/>
          <w:sz w:val="12"/>
        </w:rPr>
        <w:t>cf-art-25</w:t>
      </w:r>
      <w:r>
        <w:rPr>
          <w:color w:val="003CA0"/>
          <w:sz w:val="12"/>
        </w:rPr>
        <w:t xml:space="preserve"> | ADI 2.113</w:t>
      </w:r>
      <w:r>
        <w:rPr>
          <w:color w:val="003CA0"/>
          <w:sz w:val="12"/>
        </w:rPr>
        <w:t xml:space="preserve"> | rel. Cármen Lúcia</w:t>
      </w:r>
    </w:p>
    <w:p>
      <w:pPr>
        <w:ind w:left="288"/>
      </w:pPr>
      <w:r>
        <w:rPr>
          <w:color w:val="1E1E1E"/>
          <w:sz w:val="18"/>
        </w:rPr>
        <w:t>= ADI 2.113, rel. min. Cármen Lúcia, j. 4-3-2009, P, DJE de 21-8-2009 A Constituição estadual não pode impor, ao prefeito municipal, o dever de comparecimento perante a câmara de vereadores, pois semelhante prescrição normativa, além de provocar estado de submissão institucional do chefe do Executivo ao Poder Legislativo municipal (sem qualquer correspondência com o modelo positivado na Constituição da República), transgredindo, desse modo, o postulado da separação de poderes, também ofende a autonomia municipal, que se qualifica como pedra angular da organização político-jurídica da Federação</w:t>
      </w:r>
    </w:p>
    <w:p>
      <w:pPr>
        <w:ind w:left="288"/>
      </w:pPr>
      <w:r>
        <w:rPr>
          <w:b/>
          <w:color w:val="003CA0"/>
          <w:sz w:val="16"/>
        </w:rPr>
        <w:t>[ADI 687, rel. min. Celso de Mello, j. 2-2-1995, P, DJ de 10-2-2006.]</w:t>
      </w:r>
    </w:p>
    <w:p>
      <w:pPr>
        <w:ind w:left="144"/>
      </w:pPr>
      <w:r>
        <w:rPr>
          <w:b/>
          <w:color w:val="B45A00"/>
          <w:sz w:val="16"/>
        </w:rPr>
        <w:t>JULGADOS CORRELATOS</w:t>
      </w:r>
    </w:p>
    <w:p>
      <w:pPr>
        <w:ind w:left="288"/>
      </w:pPr>
      <w:r>
        <w:rPr>
          <w:color w:val="8C8C8C"/>
          <w:sz w:val="12"/>
        </w:rPr>
        <w:t>cf-art-25</w:t>
      </w:r>
      <w:r>
        <w:rPr>
          <w:color w:val="003CA0"/>
          <w:sz w:val="12"/>
        </w:rPr>
        <w:t xml:space="preserve"> | AO 366</w:t>
      </w:r>
      <w:r>
        <w:rPr>
          <w:color w:val="003CA0"/>
          <w:sz w:val="12"/>
        </w:rPr>
        <w:t xml:space="preserve"> | rel. Celso de Mello</w:t>
      </w:r>
    </w:p>
    <w:p>
      <w:pPr>
        <w:ind w:left="288"/>
      </w:pPr>
      <w:r>
        <w:rPr>
          <w:color w:val="1E1E1E"/>
          <w:sz w:val="18"/>
        </w:rPr>
        <w:t>Revela-se inconstitucional, porque ofensivo aos postulados da Federação e da separação de poderes, o diploma legislativo estadual, que, ao estabelecer vinculação subordinante do Estado-membro, para efeito de reajuste da remuneração do seu funcionalismo, torna impositiva, no plano local, a aplicação automática de índices de atualização monetária editados, mediante regras de caráter heterônomo, pela União Federal.</w:t>
      </w:r>
    </w:p>
    <w:p>
      <w:pPr>
        <w:ind w:left="288"/>
      </w:pPr>
      <w:r>
        <w:rPr>
          <w:b/>
          <w:color w:val="003CA0"/>
          <w:sz w:val="16"/>
        </w:rPr>
        <w:t>[AO 366, rel. min. Celso de Mello, j. 22-4-1997, 1ª T, DJ de 8-9-2006.]</w:t>
      </w:r>
    </w:p>
    <w:p>
      <w:pPr>
        <w:ind w:left="288"/>
      </w:pPr>
      <w:r>
        <w:rPr>
          <w:color w:val="8C8C8C"/>
          <w:sz w:val="12"/>
        </w:rPr>
        <w:t>cf-art-25</w:t>
      </w:r>
      <w:r>
        <w:rPr>
          <w:color w:val="003CA0"/>
          <w:sz w:val="12"/>
        </w:rPr>
        <w:t xml:space="preserve"> | ADI 668</w:t>
      </w:r>
      <w:r>
        <w:rPr>
          <w:color w:val="003CA0"/>
          <w:sz w:val="12"/>
        </w:rPr>
        <w:t xml:space="preserve"> | rel. Dias Toffoli</w:t>
      </w:r>
    </w:p>
    <w:p>
      <w:pPr>
        <w:ind w:left="288"/>
      </w:pPr>
      <w:r>
        <w:rPr>
          <w:color w:val="1E1E1E"/>
          <w:sz w:val="18"/>
        </w:rPr>
        <w:t>= ADI 668, rel. min. Dias Toffoli, j. 19-2-2014, P, DJE de 28-3-2014</w:t>
      </w:r>
    </w:p>
    <w:p>
      <w:pPr>
        <w:ind w:left="288"/>
      </w:pPr>
      <w:r>
        <w:rPr>
          <w:color w:val="8C8C8C"/>
          <w:sz w:val="12"/>
        </w:rPr>
        <w:t>cf-art-25-par-1</w:t>
      </w:r>
      <w:r>
        <w:rPr>
          <w:color w:val="003CA0"/>
          <w:sz w:val="12"/>
        </w:rPr>
        <w:t xml:space="preserve"> | ADI 7.640</w:t>
      </w:r>
      <w:r>
        <w:rPr>
          <w:color w:val="003CA0"/>
          <w:sz w:val="12"/>
        </w:rPr>
        <w:t xml:space="preserve"> | rel. Luiz Fux</w:t>
      </w:r>
    </w:p>
    <w:p>
      <w:pPr>
        <w:ind w:left="288"/>
      </w:pPr>
      <w:r>
        <w:rPr>
          <w:color w:val="1E1E1E"/>
          <w:sz w:val="18"/>
        </w:rPr>
        <w:t>A União, no exercício de sua competência legislativa privativa sobre o serviço de loterias, não pode instituir tratamento diferenciado entre os entes federativos, privilegiando determinados Estados em detrimento de outros ou privilegiando a si própria em detrimento dos Estados-membros, mediante a obstaculização do exercício de competências materiais franqueadas aos Estados pela Constituição. (...) À luz dos princípios da livre iniciativa e da livre concorrência, fundamentos da ordem econômica constitucional, o exercício de atividades econômicas por particulares deve ser protegido da coerção ar</w:t>
      </w:r>
    </w:p>
    <w:p>
      <w:pPr>
        <w:ind w:left="288"/>
      </w:pPr>
      <w:r>
        <w:rPr>
          <w:b/>
          <w:color w:val="003CA0"/>
          <w:sz w:val="16"/>
        </w:rPr>
        <w:t>[ADI 7.640, rel. min. Luiz Fux, j. 15.09.2025, P, DJE de 12.11.2025.]</w:t>
      </w:r>
    </w:p>
    <w:p>
      <w:pPr>
        <w:ind w:left="144"/>
      </w:pPr>
      <w:r>
        <w:rPr>
          <w:b/>
          <w:color w:val="B45A00"/>
          <w:sz w:val="16"/>
        </w:rPr>
        <w:t>CONTROLE CONCENTRADO</w:t>
      </w:r>
    </w:p>
    <w:p>
      <w:pPr>
        <w:ind w:left="288"/>
      </w:pPr>
      <w:r>
        <w:rPr>
          <w:color w:val="8C8C8C"/>
          <w:sz w:val="12"/>
        </w:rPr>
        <w:t>cf-art-25-par-1</w:t>
      </w:r>
      <w:r>
        <w:rPr>
          <w:color w:val="003CA0"/>
          <w:sz w:val="12"/>
        </w:rPr>
        <w:t xml:space="preserve"> | ADPF 492</w:t>
      </w:r>
      <w:r>
        <w:rPr>
          <w:color w:val="003CA0"/>
          <w:sz w:val="12"/>
        </w:rPr>
        <w:t xml:space="preserve"> | rel. Gilmar Mendes</w:t>
      </w:r>
    </w:p>
    <w:p>
      <w:pPr>
        <w:ind w:left="288"/>
      </w:pPr>
      <w:r>
        <w:rPr>
          <w:color w:val="1E1E1E"/>
          <w:sz w:val="18"/>
        </w:rPr>
        <w:t>Arguições de Descumprimento de Preceito Fundamental. Ação Direta de Inconstitucionalidade. Artigos 1º, caput, e 32, caput, e § 1º do Decreto-Lei 204/1967. Exploração de loterias por Estados-membros. Legislação estadual. Competência legislativa da União e competência material dos Estados. Distinção. Exploração por outros entes federados. Possibilidade. Arguições de Descumprimento de Preceito Fundamental conhecidas e julgadas procedentes. Ação Direta de Inconstitucionalidade conhecida e julgada improcedente.</w:t>
      </w:r>
    </w:p>
    <w:p>
      <w:pPr>
        <w:ind w:left="288"/>
      </w:pPr>
      <w:r>
        <w:rPr>
          <w:b/>
          <w:color w:val="003CA0"/>
          <w:sz w:val="16"/>
        </w:rPr>
        <w:t>[ADPF 492, ADPF 493 e ADI 4.986, rel. min. Gilmar Mendes, j. 30-9-2020, P, DJE  de 15-12-2020.]</w:t>
      </w:r>
    </w:p>
    <w:p>
      <w:pPr>
        <w:ind w:left="288"/>
      </w:pPr>
      <w:r>
        <w:rPr>
          <w:color w:val="8C8C8C"/>
          <w:sz w:val="12"/>
        </w:rPr>
        <w:t>cf-art-25-par-1</w:t>
      </w:r>
      <w:r>
        <w:rPr>
          <w:color w:val="003CA0"/>
          <w:sz w:val="12"/>
        </w:rPr>
        <w:t xml:space="preserve"> | ADI 2.349</w:t>
      </w:r>
      <w:r>
        <w:rPr>
          <w:color w:val="003CA0"/>
          <w:sz w:val="12"/>
        </w:rPr>
        <w:t xml:space="preserve"> | rel. Eros Grau</w:t>
      </w:r>
    </w:p>
    <w:p>
      <w:pPr>
        <w:ind w:left="288"/>
      </w:pPr>
      <w:r>
        <w:rPr>
          <w:color w:val="1E1E1E"/>
          <w:sz w:val="18"/>
        </w:rPr>
        <w:t>Os Estados-membros são competentes para explorar e regulamentar a prestação de serviços de transporte intermunicipal. (...) A prestação de transporte urbano, consubstanciando serviço público de interesse local, é matéria albergada pela competência legislativa dos Municípios, não cabendo aos Estados-membros dispor a seu respeito.</w:t>
      </w:r>
    </w:p>
    <w:p>
      <w:pPr>
        <w:ind w:left="288"/>
      </w:pPr>
      <w:r>
        <w:rPr>
          <w:b/>
          <w:color w:val="003CA0"/>
          <w:sz w:val="16"/>
        </w:rPr>
        <w:t>[ADI 2.349, rel. min. Eros Grau, j. 31-8-2005, P, DJ de 14-10-2005.]</w:t>
      </w:r>
    </w:p>
    <w:p>
      <w:pPr>
        <w:ind w:left="288"/>
      </w:pPr>
      <w:r>
        <w:rPr>
          <w:color w:val="8C8C8C"/>
          <w:sz w:val="12"/>
        </w:rPr>
        <w:t>cf-art-25-par-1</w:t>
      </w:r>
      <w:r>
        <w:rPr>
          <w:color w:val="003CA0"/>
          <w:sz w:val="12"/>
        </w:rPr>
        <w:t xml:space="preserve"> | RE 549.549</w:t>
      </w:r>
      <w:r>
        <w:rPr>
          <w:color w:val="003CA0"/>
          <w:sz w:val="12"/>
        </w:rPr>
        <w:t xml:space="preserve"> | rel. Ellen Gracie</w:t>
      </w:r>
    </w:p>
    <w:p>
      <w:pPr>
        <w:ind w:left="288"/>
      </w:pPr>
      <w:r>
        <w:rPr>
          <w:color w:val="1E1E1E"/>
          <w:sz w:val="18"/>
        </w:rPr>
        <w:t>= RE 549.549 AgR, rel. min. Ellen Gracie, j. 25-11-2008, 2ª T, DJE de 19-12-2008 A competência concorrente dos Estados em matéria previdenciária não autoriza se desatendam os fundamentos básicos do sistema previdenciário, de origem constitucional.</w:t>
      </w:r>
    </w:p>
    <w:p>
      <w:pPr>
        <w:ind w:left="288"/>
      </w:pPr>
      <w:r>
        <w:rPr>
          <w:b/>
          <w:color w:val="003CA0"/>
          <w:sz w:val="16"/>
        </w:rPr>
        <w:t>[ADI 2.311 MC, rel. min. Néri da Silveira, j. 7-3-2002, P, DJ de 7-6-2002.]</w:t>
      </w:r>
    </w:p>
    <w:p>
      <w:pPr>
        <w:ind w:left="288"/>
      </w:pPr>
      <w:r>
        <w:rPr>
          <w:color w:val="8C8C8C"/>
          <w:sz w:val="12"/>
        </w:rPr>
        <w:t>cf-art-25-par-1</w:t>
      </w:r>
      <w:r>
        <w:rPr>
          <w:color w:val="003CA0"/>
          <w:sz w:val="12"/>
        </w:rPr>
        <w:t xml:space="preserve"> | ADI 2.069</w:t>
      </w:r>
      <w:r>
        <w:rPr>
          <w:color w:val="003CA0"/>
          <w:sz w:val="12"/>
        </w:rPr>
        <w:t xml:space="preserve"> | rel. Néri da Silveira</w:t>
      </w:r>
    </w:p>
    <w:p>
      <w:pPr>
        <w:ind w:left="288"/>
      </w:pPr>
      <w:r>
        <w:rPr>
          <w:color w:val="1E1E1E"/>
          <w:sz w:val="18"/>
        </w:rPr>
        <w:t>Não está, na Constituição, que aos Estados se reserva, em lei, regular a matéria do ingresso e da remoção; antes decorre do art. 236 e parágrafos da Lei Magna que a lei federal, para todo o País, definirá os princípios básicos a serem seguidos na execução dos serviços notariais e de registro.</w:t>
      </w:r>
    </w:p>
    <w:p>
      <w:pPr>
        <w:ind w:left="288"/>
      </w:pPr>
      <w:r>
        <w:rPr>
          <w:b/>
          <w:color w:val="003CA0"/>
          <w:sz w:val="16"/>
        </w:rPr>
        <w:t>[ADI 2.069 MC, rel. min. Néri da Silveira, j. 2-2-2000, P, DJ de 9-5-2003.]</w:t>
      </w:r>
    </w:p>
    <w:p>
      <w:pPr>
        <w:ind w:left="288"/>
      </w:pPr>
      <w:r>
        <w:rPr>
          <w:color w:val="8C8C8C"/>
          <w:sz w:val="12"/>
        </w:rPr>
        <w:t>cf-art-25-par-1</w:t>
      </w:r>
      <w:r>
        <w:rPr>
          <w:color w:val="003CA0"/>
          <w:sz w:val="12"/>
        </w:rPr>
        <w:t xml:space="preserve"> | ADI 1.279</w:t>
      </w:r>
      <w:r>
        <w:rPr>
          <w:color w:val="003CA0"/>
          <w:sz w:val="12"/>
        </w:rPr>
        <w:t xml:space="preserve"> | rel. Maurício Corrêa</w:t>
      </w:r>
    </w:p>
    <w:p>
      <w:pPr>
        <w:ind w:left="288"/>
      </w:pPr>
      <w:r>
        <w:rPr>
          <w:color w:val="1E1E1E"/>
          <w:sz w:val="18"/>
        </w:rPr>
        <w:t>Descaracteriza-se hipótese de quebra da independência entre os Poderes (art. 2º c/c art. 25, § 1º, da CF), lei de iniciativa de ex-governador disciplinadora de formas remuneratórias de servidores públicos inseridas, ex radice, no elenco das competências do chefe do Executivo estadual, com base no modelo federal.</w:t>
      </w:r>
    </w:p>
    <w:p>
      <w:pPr>
        <w:ind w:left="288"/>
      </w:pPr>
      <w:r>
        <w:rPr>
          <w:b/>
          <w:color w:val="003CA0"/>
          <w:sz w:val="16"/>
        </w:rPr>
        <w:t>[ADI 1.279 MC, rel. min. Maurício Corrêa, j. 27-9-1995, P, DJ de 15-12-1995.]</w:t>
      </w:r>
    </w:p>
    <w:p>
      <w:pPr>
        <w:ind w:left="144"/>
      </w:pPr>
      <w:r>
        <w:rPr>
          <w:b/>
          <w:color w:val="B45A00"/>
          <w:sz w:val="16"/>
        </w:rPr>
        <w:t>JULGADOS CORRELATOS</w:t>
      </w:r>
    </w:p>
    <w:p>
      <w:pPr>
        <w:ind w:left="288"/>
      </w:pPr>
      <w:r>
        <w:rPr>
          <w:color w:val="8C8C8C"/>
          <w:sz w:val="12"/>
        </w:rPr>
        <w:t>cf-art-25-par-1</w:t>
      </w:r>
      <w:r>
        <w:rPr>
          <w:color w:val="003CA0"/>
          <w:sz w:val="12"/>
        </w:rPr>
        <w:t xml:space="preserve"> | RE 201.865</w:t>
      </w:r>
      <w:r>
        <w:rPr>
          <w:color w:val="003CA0"/>
          <w:sz w:val="12"/>
        </w:rPr>
        <w:t xml:space="preserve"> | rel. Carlos Velloso</w:t>
      </w:r>
    </w:p>
    <w:p>
      <w:pPr>
        <w:ind w:left="288"/>
      </w:pPr>
      <w:r>
        <w:rPr>
          <w:color w:val="1E1E1E"/>
          <w:sz w:val="18"/>
        </w:rPr>
        <w:t>Fretamento de ônibus para o transporte com finalidade turística, ou para o atendimento do turismo no Estado. Transporte ocasional de turistas, que reclamam regramento por parte do Estado-membro, com base no seu poder de polícia administrativa, com vistas à proteção dos turistas e do próprio turismo. CF, art. 25, § 1º. Inocorrência de ofensa à competência privativa da União para legislar sobre trânsito e transporte (CF, art. 22, XI).</w:t>
      </w:r>
    </w:p>
    <w:p>
      <w:pPr>
        <w:ind w:left="288"/>
      </w:pPr>
      <w:r>
        <w:rPr>
          <w:b/>
          <w:color w:val="003CA0"/>
          <w:sz w:val="16"/>
        </w:rPr>
        <w:t>[RE 201.865, rel. min. Carlos Velloso, j. 31-8-2005, P, DJ de 4-2-2005.]</w:t>
      </w:r>
    </w:p>
    <w:p>
      <w:pPr>
        <w:ind w:left="288"/>
      </w:pPr>
      <w:r>
        <w:rPr>
          <w:color w:val="8C8C8C"/>
          <w:sz w:val="12"/>
        </w:rPr>
        <w:t>cf-art-25-par-1</w:t>
      </w:r>
      <w:r>
        <w:rPr>
          <w:color w:val="003CA0"/>
          <w:sz w:val="12"/>
        </w:rPr>
        <w:t xml:space="preserve"> | ARE 709.639</w:t>
      </w:r>
      <w:r>
        <w:rPr>
          <w:color w:val="003CA0"/>
          <w:sz w:val="12"/>
        </w:rPr>
        <w:t xml:space="preserve"> | rel. Ricardo Lewandowski</w:t>
      </w:r>
    </w:p>
    <w:p>
      <w:pPr>
        <w:ind w:left="288"/>
      </w:pPr>
      <w:r>
        <w:rPr>
          <w:color w:val="1E1E1E"/>
          <w:sz w:val="18"/>
        </w:rPr>
        <w:t>Vide ARE 709.639 AgR, rel. min. Ricardo Lewandowski, j. 20-5-2014, 2ª T, DJE de 5-6-2014</w:t>
      </w:r>
    </w:p>
    <w:p>
      <w:pPr>
        <w:ind w:left="144"/>
      </w:pPr>
      <w:r>
        <w:rPr>
          <w:b/>
          <w:color w:val="B45A00"/>
          <w:sz w:val="16"/>
        </w:rPr>
        <w:t>CONTROLE CONCENTRADO</w:t>
      </w:r>
    </w:p>
    <w:p>
      <w:pPr>
        <w:ind w:left="288"/>
      </w:pPr>
      <w:r>
        <w:rPr>
          <w:color w:val="8C8C8C"/>
          <w:sz w:val="12"/>
        </w:rPr>
        <w:t>cf-art-25-par-2</w:t>
      </w:r>
      <w:r>
        <w:rPr>
          <w:color w:val="003CA0"/>
          <w:sz w:val="12"/>
        </w:rPr>
        <w:t xml:space="preserve"> | ADI 425</w:t>
      </w:r>
      <w:r>
        <w:rPr>
          <w:color w:val="003CA0"/>
          <w:sz w:val="12"/>
        </w:rPr>
        <w:t xml:space="preserve"> | rel. Maurício Corrêa</w:t>
      </w:r>
    </w:p>
    <w:p>
      <w:pPr>
        <w:ind w:left="288"/>
      </w:pPr>
      <w:r>
        <w:rPr>
          <w:color w:val="1E1E1E"/>
          <w:sz w:val="18"/>
        </w:rPr>
        <w:t>No julgamento da ADI 425, rel. min. Maurício Corrêa, DJ de 19-12-2003, o Plenário desta Corte já havia reconhecido, por ampla maioria, a constitucionalidade da instituição de medida provisória estadual, desde que, primeiro, esse instrumento esteja expressamente previsto na Constituição do Estado e, segundo, sejam observados os princípios e as limitações impostas pelo modelo adotado pela CF, tendo em vista a necessidade da observância simétrica do processo legislativo federal. Outros precedentes: ADI 691, rel. min. Sepúlveda Pertence, DJ de 19-6-1992, e ADI 812 MC, rel. min. Moreira Alves, DJ d</w:t>
      </w:r>
    </w:p>
    <w:p>
      <w:pPr>
        <w:ind w:left="288"/>
      </w:pPr>
      <w:r>
        <w:rPr>
          <w:b/>
          <w:color w:val="003CA0"/>
          <w:sz w:val="16"/>
        </w:rPr>
        <w:t>[ADI 2.391, rel. min. Ellen Gracie, j. 16-8-2006, P, DJ de 16-3-2007.]</w:t>
      </w:r>
    </w:p>
    <w:p>
      <w:pPr>
        <w:ind w:left="288"/>
      </w:pPr>
      <w:r>
        <w:rPr>
          <w:color w:val="8C8C8C"/>
          <w:sz w:val="12"/>
        </w:rPr>
        <w:t>cf-art-25-par-2</w:t>
      </w:r>
      <w:r>
        <w:rPr>
          <w:color w:val="003CA0"/>
          <w:sz w:val="12"/>
        </w:rPr>
        <w:t xml:space="preserve"> | ADI 425</w:t>
      </w:r>
      <w:r>
        <w:rPr>
          <w:color w:val="003CA0"/>
          <w:sz w:val="12"/>
        </w:rPr>
        <w:t xml:space="preserve"> | rel. Maurício Corrêa</w:t>
      </w:r>
    </w:p>
    <w:p>
      <w:pPr>
        <w:ind w:left="288"/>
      </w:pPr>
      <w:r>
        <w:rPr>
          <w:color w:val="1E1E1E"/>
          <w:sz w:val="18"/>
        </w:rPr>
        <w:t>= ADI 425, rel. min. Maurício Corrêa, j. 4-9-2002, P, DJ de 19-12-2003</w:t>
      </w:r>
    </w:p>
    <w:p>
      <w:pPr>
        <w:ind w:left="288"/>
      </w:pPr>
      <w:r>
        <w:rPr>
          <w:color w:val="8C8C8C"/>
          <w:sz w:val="12"/>
        </w:rPr>
        <w:t>cf-art-25-par-3</w:t>
      </w:r>
      <w:r>
        <w:rPr>
          <w:color w:val="003CA0"/>
          <w:sz w:val="12"/>
        </w:rPr>
        <w:t xml:space="preserve"> | ADI 1.842</w:t>
      </w:r>
      <w:r>
        <w:rPr>
          <w:color w:val="003CA0"/>
          <w:sz w:val="12"/>
        </w:rPr>
        <w:t xml:space="preserve"> | rel. Edson Fachin</w:t>
      </w:r>
    </w:p>
    <w:p>
      <w:pPr>
        <w:ind w:left="288"/>
      </w:pPr>
      <w:r>
        <w:rPr>
          <w:color w:val="1E1E1E"/>
          <w:sz w:val="18"/>
        </w:rPr>
        <w:t>No julgamento da ADI 1.842, a Corte se posicionou sobre a titularidade do interesse público metropolitano, afastando as posições extremadas que alocavam esta titularidade quer seja no Município, quer seja no conjunto de Municípios, quer seja no Estado-federado. Prevaleceu a tese da competência e da titularidade conjuntas, a qual implica que deva existir, no seio da região metropolitana, estrutura colegiada assecuratória da participação dos Municípios. Ainda que o Supremo Tribunal Federal não tenha definido, de maneira positiva, o desenho institucional a ser adotado pelas regiões metropolitanas</w:t>
      </w:r>
    </w:p>
    <w:p>
      <w:pPr>
        <w:ind w:left="288"/>
      </w:pPr>
      <w:r>
        <w:rPr>
          <w:b/>
          <w:color w:val="003CA0"/>
          <w:sz w:val="16"/>
        </w:rPr>
        <w:t>[ADPF 863, rel. min. Edson Fachin, j. 16-5-2022, P, DJE de 24-6-2022.]</w:t>
      </w:r>
    </w:p>
    <w:p>
      <w:pPr>
        <w:ind w:left="288"/>
      </w:pPr>
      <w:r>
        <w:rPr>
          <w:color w:val="8C8C8C"/>
          <w:sz w:val="12"/>
        </w:rPr>
        <w:t>cf-art-25-par-3</w:t>
      </w:r>
      <w:r>
        <w:rPr>
          <w:color w:val="003CA0"/>
          <w:sz w:val="12"/>
        </w:rPr>
        <w:t xml:space="preserve"> | ADI 1.842</w:t>
      </w:r>
    </w:p>
    <w:p>
      <w:pPr>
        <w:ind w:left="288"/>
      </w:pPr>
      <w:r>
        <w:rPr>
          <w:color w:val="1E1E1E"/>
          <w:sz w:val="18"/>
        </w:rPr>
        <w:t>O interesse comum inclui funções públicas e serviços que atendam a mais de um Município, assim como os que, restritos ao território de um deles, sejam de algum modo dependentes, concorrentes, confluentes ou integrados de funções públicas, bem como serviços supramunicipais. (...) A função pública do saneamento básico frequentemente extrapola o interesse local e passa a ter natureza de interesse comum no caso de instituição de regiões metropolitanas, aglomerações urbanas e microrregiões, nos termos do art. 25, § 3º, da CF. Para o adequado atendimento do interesse comum, a integração municipal do</w:t>
      </w:r>
    </w:p>
    <w:p>
      <w:pPr>
        <w:ind w:left="288"/>
      </w:pPr>
      <w:r>
        <w:rPr>
          <w:b/>
          <w:color w:val="003CA0"/>
          <w:sz w:val="16"/>
        </w:rPr>
        <w:t>[ADI 1.842, red. do ac. min. Gilmar Mendes, j. 6-3-2013, P, DJE de 16-9-2013.]</w:t>
      </w:r>
    </w:p>
    <w:p>
      <w:pPr>
        <w:ind w:left="288"/>
      </w:pPr>
      <w:r>
        <w:rPr>
          <w:color w:val="8C8C8C"/>
          <w:sz w:val="12"/>
        </w:rPr>
        <w:t>cf-art-25-par-3</w:t>
      </w:r>
      <w:r>
        <w:rPr>
          <w:color w:val="003CA0"/>
          <w:sz w:val="12"/>
        </w:rPr>
        <w:t xml:space="preserve"> | ADI 1.841</w:t>
      </w:r>
      <w:r>
        <w:rPr>
          <w:color w:val="003CA0"/>
          <w:sz w:val="12"/>
        </w:rPr>
        <w:t xml:space="preserve"> | rel. Carlos Velloso</w:t>
      </w:r>
    </w:p>
    <w:p>
      <w:pPr>
        <w:ind w:left="288"/>
      </w:pPr>
      <w:r>
        <w:rPr>
          <w:color w:val="1E1E1E"/>
          <w:sz w:val="18"/>
        </w:rPr>
        <w:t>A instituição de regiões metropolitanas, aglomerações urbanas e microrregiões, constituídas por agrupamentos de Municípios limítrofes, depende, apenas, de lei complementar estadual.</w:t>
      </w:r>
    </w:p>
    <w:p>
      <w:pPr>
        <w:ind w:left="288"/>
      </w:pPr>
      <w:r>
        <w:rPr>
          <w:b/>
          <w:color w:val="003CA0"/>
          <w:sz w:val="16"/>
        </w:rPr>
        <w:t>[ADI 1.841, rel. min. Carlos Velloso, j. 1º-8-2002, P, DJ de 20-9-2002.]</w:t>
      </w:r>
    </w:p>
    <w:p>
      <w:pPr>
        <w:ind w:left="288"/>
      </w:pPr>
      <w:r>
        <w:rPr>
          <w:color w:val="8C8C8C"/>
          <w:sz w:val="12"/>
        </w:rPr>
        <w:t>cf-art-25-par-3</w:t>
      </w:r>
      <w:r>
        <w:rPr>
          <w:color w:val="003CA0"/>
          <w:sz w:val="12"/>
        </w:rPr>
        <w:t xml:space="preserve"> | ADI 1.842</w:t>
      </w:r>
      <w:r>
        <w:rPr>
          <w:color w:val="003CA0"/>
          <w:sz w:val="12"/>
        </w:rPr>
        <w:t xml:space="preserve"> | rel. Luiz Fux</w:t>
      </w:r>
    </w:p>
    <w:p>
      <w:pPr>
        <w:ind w:left="288"/>
      </w:pPr>
      <w:r>
        <w:rPr>
          <w:color w:val="1E1E1E"/>
          <w:sz w:val="18"/>
        </w:rPr>
        <w:t>= ADI 1.842, red. do ac. min. Gilmar Mendes, rel. min. Luiz Fux, j. 6-3-2013, P, DJE de 16-9-2013</w:t>
      </w:r>
    </w:p>
    <w:p>
      <w:pPr>
        <w:ind w:left="720"/>
      </w:pPr>
      <w:r>
        <w:rPr>
          <w:color w:val="003366"/>
          <w:sz w:val="18"/>
        </w:rPr>
        <w:t>I – ação normativa;</w:t>
      </w:r>
    </w:p>
    <w:p>
      <w:pPr>
        <w:ind w:left="720"/>
      </w:pPr>
      <w:r>
        <w:rPr>
          <w:color w:val="003366"/>
          <w:sz w:val="18"/>
        </w:rPr>
        <w:t>II – alocação ou transferência de recursos de qualquer espécie.</w:t>
      </w:r>
    </w:p>
    <w:p>
      <w:pPr>
        <w:ind w:left="432"/>
      </w:pPr>
      <w:r>
        <w:rPr>
          <w:color w:val="003366"/>
          <w:sz w:val="18"/>
        </w:rPr>
        <w:t>§ 1 Os decretos-lei em tramitação no Congresso Nacional e por este não apreciado</w:t>
      </w:r>
    </w:p>
    <w:p>
      <w:pPr>
        <w:ind w:left="720"/>
      </w:pPr>
      <w:r>
        <w:rPr>
          <w:color w:val="003366"/>
          <w:sz w:val="18"/>
        </w:rPr>
        <w:t>I – se editados até 2 de setembro de 1988, serão apreciados pelo Congresso Nacio</w:t>
      </w:r>
    </w:p>
    <w:p>
      <w:pPr>
        <w:ind w:left="720"/>
      </w:pPr>
      <w:r>
        <w:rPr>
          <w:color w:val="003366"/>
          <w:sz w:val="18"/>
        </w:rPr>
        <w:t>II – decorrido o prazo definido no inciso anterior, e não havendo apreciação, os</w:t>
      </w:r>
    </w:p>
    <w:p>
      <w:pPr>
        <w:ind w:left="720"/>
      </w:pPr>
      <w:r>
        <w:rPr>
          <w:color w:val="003366"/>
          <w:sz w:val="18"/>
        </w:rPr>
        <w:t>III – nas hipóteses definidas nos incisos I e II, terão plena validade os atos p</w:t>
      </w:r>
    </w:p>
    <w:p>
      <w:pPr>
        <w:ind w:left="432"/>
      </w:pPr>
      <w:r>
        <w:rPr>
          <w:color w:val="003366"/>
          <w:sz w:val="18"/>
        </w:rPr>
        <w:t>§ 2 Os decretos-lei editados entre 3 de setembro de 1988 e a promulgação da Cons</w:t>
      </w:r>
    </w:p>
    <w:p>
      <w:r>
        <w:rPr>
          <w:b/>
          <w:color w:val="003366"/>
          <w:sz w:val="20"/>
        </w:rPr>
        <w:t xml:space="preserve">Art. 26 No prazo de um ano a contar da promulgação da Constituição, o Congresso </w:t>
      </w:r>
      <w:r>
        <w:rPr>
          <w:color w:val="8C8C8C"/>
          <w:sz w:val="14"/>
        </w:rPr>
        <w:t xml:space="preserve">  [2 decisoes]</w:t>
      </w:r>
    </w:p>
    <w:p>
      <w:pPr>
        <w:ind w:left="144"/>
      </w:pPr>
      <w:r>
        <w:rPr>
          <w:b/>
          <w:color w:val="B45A00"/>
          <w:sz w:val="16"/>
        </w:rPr>
        <w:t>CONTROLE CONCENTRADO</w:t>
      </w:r>
    </w:p>
    <w:p>
      <w:pPr>
        <w:ind w:left="288"/>
      </w:pPr>
      <w:r>
        <w:rPr>
          <w:color w:val="8C8C8C"/>
          <w:sz w:val="12"/>
        </w:rPr>
        <w:t>cf-art-26-inc-IV</w:t>
      </w:r>
      <w:r>
        <w:rPr>
          <w:color w:val="003CA0"/>
          <w:sz w:val="12"/>
        </w:rPr>
        <w:t xml:space="preserve"> | ADI 255</w:t>
      </w:r>
    </w:p>
    <w:p>
      <w:pPr>
        <w:ind w:left="288"/>
      </w:pPr>
      <w:r>
        <w:rPr>
          <w:color w:val="1E1E1E"/>
          <w:sz w:val="18"/>
        </w:rPr>
        <w:t>A jurisprudência do STF, por diversas vezes, reconheceu que as terras dos aldeamentos indígenas que se extinguiram antes da Constituição de 1891, por haverem perdido o caráter de bens destinados a uso especial, passaram à categoria de terras devolutas. Uma vez reconhecidos como terras devolutas, por força do art. 64 da Constituição de 1891, os aldeamentos extintos transferiram-se ao domínio dos Estados. Ação direta de inconstitucionalidade julgada procedente em parte, para conferir interpretação conforme à Constituição ao dispositivo impugnado, a fim de que a sua aplicação fique adstrita aos a</w:t>
      </w:r>
    </w:p>
    <w:p>
      <w:pPr>
        <w:ind w:left="288"/>
      </w:pPr>
      <w:r>
        <w:rPr>
          <w:b/>
          <w:color w:val="003CA0"/>
          <w:sz w:val="16"/>
        </w:rPr>
        <w:t>[ADI 255, red. do ac. min. Ricardo Lewandowski, j. 16-3-2011, P, DJE de 24-5-2011.]</w:t>
      </w:r>
    </w:p>
    <w:p>
      <w:pPr>
        <w:ind w:left="288"/>
      </w:pPr>
      <w:r>
        <w:rPr>
          <w:color w:val="8C8C8C"/>
          <w:sz w:val="12"/>
        </w:rPr>
        <w:t>cf-art-26-inc-IV</w:t>
      </w:r>
      <w:r>
        <w:rPr>
          <w:color w:val="003CA0"/>
          <w:sz w:val="12"/>
        </w:rPr>
        <w:t xml:space="preserve"> | RE 212.251</w:t>
      </w:r>
      <w:r>
        <w:rPr>
          <w:color w:val="003CA0"/>
          <w:sz w:val="12"/>
        </w:rPr>
        <w:t xml:space="preserve"> | rel. Ilmar Galvão</w:t>
      </w:r>
    </w:p>
    <w:p>
      <w:pPr>
        <w:ind w:left="288"/>
      </w:pPr>
      <w:r>
        <w:rPr>
          <w:color w:val="1E1E1E"/>
          <w:sz w:val="18"/>
        </w:rPr>
        <w:t>= RE 212.251, rel. min. Ilmar Galvão, j. 23-6-1998, 1ª T, DJ de 16-10-1998</w:t>
      </w:r>
    </w:p>
    <w:p>
      <w:pPr>
        <w:ind w:left="432"/>
      </w:pPr>
      <w:r>
        <w:rPr>
          <w:color w:val="003366"/>
          <w:sz w:val="18"/>
        </w:rPr>
        <w:t>§ 1 A Comissão terá a força legal de Comissão parlamentar de inquérito para os f</w:t>
      </w:r>
    </w:p>
    <w:p>
      <w:pPr>
        <w:ind w:left="432"/>
      </w:pPr>
      <w:r>
        <w:rPr>
          <w:color w:val="003366"/>
          <w:sz w:val="18"/>
        </w:rPr>
        <w:t>§ 2 Apurada irregularidade, o Congresso Nacional proporá ao Poder Executivo a de</w:t>
      </w:r>
    </w:p>
    <w:p>
      <w:r>
        <w:rPr>
          <w:b/>
          <w:color w:val="003366"/>
          <w:sz w:val="20"/>
        </w:rPr>
        <w:t>Art. 27 O Superior Tribunal de Justiça será instalado sob a Presidência do Supre</w:t>
      </w:r>
      <w:r>
        <w:rPr>
          <w:color w:val="8C8C8C"/>
          <w:sz w:val="14"/>
        </w:rPr>
        <w:t xml:space="preserve">  [11 decisoes]</w:t>
      </w:r>
    </w:p>
    <w:p>
      <w:pPr>
        <w:ind w:left="144"/>
      </w:pPr>
      <w:r>
        <w:rPr>
          <w:b/>
          <w:color w:val="B45A00"/>
          <w:sz w:val="16"/>
        </w:rPr>
        <w:t>CONTROLE CONCENTRADO</w:t>
      </w:r>
    </w:p>
    <w:p>
      <w:pPr>
        <w:ind w:left="288"/>
      </w:pPr>
      <w:r>
        <w:rPr>
          <w:color w:val="8C8C8C"/>
          <w:sz w:val="12"/>
        </w:rPr>
        <w:t>cf-art-27-par-1</w:t>
      </w:r>
      <w:r>
        <w:rPr>
          <w:color w:val="003CA0"/>
          <w:sz w:val="12"/>
        </w:rPr>
        <w:t xml:space="preserve"> | ADI 7.254</w:t>
      </w:r>
      <w:r>
        <w:rPr>
          <w:color w:val="003CA0"/>
          <w:sz w:val="12"/>
        </w:rPr>
        <w:t xml:space="preserve"> | rel. Flávio Dino</w:t>
      </w:r>
    </w:p>
    <w:p>
      <w:pPr>
        <w:ind w:left="288"/>
      </w:pPr>
      <w:r>
        <w:rPr>
          <w:color w:val="1E1E1E"/>
          <w:sz w:val="18"/>
        </w:rPr>
        <w:t>Ação direta ajuizada contra norma da Constituição estadual de Pernambuco que autoriza o afastamento parlamentar motivado por razões de interesse particular sem restringir o limite de tempo da licença, tornando possível, nessa hipótese, a convocação do suplente para o exercício do mandato eletivo. Chama-se de Estatuto dos Congressistas o conjunto de normas constitucionais – aplicáveis, por extensão, aos Deputados estaduais (CF, art. 27, § 1º) – destinadas à garantia da liberdade dos Deputados Federais e Senadores da República e da independência do Poder Legislativo da União. (...) As disposiçõe</w:t>
      </w:r>
    </w:p>
    <w:p>
      <w:pPr>
        <w:ind w:left="288"/>
      </w:pPr>
      <w:r>
        <w:rPr>
          <w:b/>
          <w:color w:val="003CA0"/>
          <w:sz w:val="16"/>
        </w:rPr>
        <w:t>[ADI 7.253, rel. min. Cármen Lúcia, j. 22-5-2023, P, DJE de 6-6-2023.]</w:t>
      </w:r>
    </w:p>
    <w:p>
      <w:pPr>
        <w:ind w:left="288"/>
      </w:pPr>
      <w:r>
        <w:rPr>
          <w:color w:val="8C8C8C"/>
          <w:sz w:val="12"/>
        </w:rPr>
        <w:t>cf-art-27-par-1</w:t>
      </w:r>
      <w:r>
        <w:rPr>
          <w:color w:val="003CA0"/>
          <w:sz w:val="12"/>
        </w:rPr>
        <w:t xml:space="preserve"> | ADI 5.824</w:t>
      </w:r>
      <w:r>
        <w:rPr>
          <w:color w:val="003CA0"/>
          <w:sz w:val="12"/>
        </w:rPr>
        <w:t xml:space="preserve"> | rel. Edson Fachin</w:t>
      </w:r>
    </w:p>
    <w:p>
      <w:pPr>
        <w:ind w:left="288"/>
      </w:pPr>
      <w:r>
        <w:rPr>
          <w:color w:val="1E1E1E"/>
          <w:sz w:val="18"/>
        </w:rPr>
        <w:t>Segundo a posição majoritária do Tribunal, o legislador constituinte originário estendeu expressamente aos deputados estaduais, no § 1º do art. 27, as imunidades dos membros do Congresso Nacional. É constitucional norma elaborada pelo constituinte derivado que mantenha a estrita disciplina das regras de repetição obrigatória referentes às imunidades parlamentares.</w:t>
        <w:br/>
        <w:t>[ADI 5.824, rel. min. Edson Fachin, j. 17-12-2022, P, DJE de 22-3-2023.] A teor do disposto no artigo 27 da Constituição Federal, os deputados estaduais estão protegidos pelas regras de inviolabilidade previstas em relação aos parlam</w:t>
      </w:r>
    </w:p>
    <w:p>
      <w:pPr>
        <w:ind w:left="288"/>
      </w:pPr>
      <w:r>
        <w:rPr>
          <w:b/>
          <w:color w:val="003CA0"/>
          <w:sz w:val="16"/>
        </w:rPr>
        <w:t>[ADI 5.007, rel. min. Cármen Lúcia, j. 11-4-2019, P, DJE de 26-6-2019.]</w:t>
      </w:r>
    </w:p>
    <w:p>
      <w:pPr>
        <w:ind w:left="288"/>
      </w:pPr>
      <w:r>
        <w:rPr>
          <w:color w:val="8C8C8C"/>
          <w:sz w:val="12"/>
        </w:rPr>
        <w:t>cf-art-27-par-1</w:t>
      </w:r>
      <w:r>
        <w:rPr>
          <w:color w:val="003CA0"/>
          <w:sz w:val="12"/>
        </w:rPr>
        <w:t xml:space="preserve"> | ADI 3.200</w:t>
      </w:r>
      <w:r>
        <w:rPr>
          <w:color w:val="003CA0"/>
          <w:sz w:val="12"/>
        </w:rPr>
        <w:t xml:space="preserve"> | rel. Marco Aurélio</w:t>
      </w:r>
    </w:p>
    <w:p>
      <w:pPr>
        <w:ind w:left="288"/>
      </w:pPr>
      <w:r>
        <w:rPr>
          <w:color w:val="1E1E1E"/>
          <w:sz w:val="18"/>
        </w:rPr>
        <w:t>Contraria a CF jungir a atuação da Assembleia Legislativa, quanto à perda de mandato de deputado estadual, no caso de condenação criminal, aos crimes apenados com reclusão e atentatórios ao decoro parlamentar. (...) Conflita com o disposto no art. 27, § 1º, do Diploma Maior norma local, ainda que de envergadura maior – contida na Carta estadual –, que implique limitação à perda do mandato a certas situações criminais.</w:t>
      </w:r>
    </w:p>
    <w:p>
      <w:pPr>
        <w:ind w:left="288"/>
      </w:pPr>
      <w:r>
        <w:rPr>
          <w:b/>
          <w:color w:val="003CA0"/>
          <w:sz w:val="16"/>
        </w:rPr>
        <w:t>[ADI 3.200, rel. min. Marco Aurélio, j. 22-5-2014, P, DJE de 21-10-2014.]</w:t>
      </w:r>
    </w:p>
    <w:p>
      <w:pPr>
        <w:ind w:left="288"/>
      </w:pPr>
      <w:r>
        <w:rPr>
          <w:color w:val="8C8C8C"/>
          <w:sz w:val="12"/>
        </w:rPr>
        <w:t>cf-art-27-par-1</w:t>
      </w:r>
      <w:r>
        <w:rPr>
          <w:color w:val="003CA0"/>
          <w:sz w:val="12"/>
        </w:rPr>
        <w:t xml:space="preserve"> | ADI 3.825</w:t>
      </w:r>
      <w:r>
        <w:rPr>
          <w:color w:val="003CA0"/>
          <w:sz w:val="12"/>
        </w:rPr>
        <w:t xml:space="preserve"> | rel. Cármen Lúcia</w:t>
      </w:r>
    </w:p>
    <w:p>
      <w:pPr>
        <w:ind w:left="288"/>
      </w:pPr>
      <w:r>
        <w:rPr>
          <w:color w:val="1E1E1E"/>
          <w:sz w:val="18"/>
        </w:rPr>
        <w:t>O § 1º do art. 27 da Constituição do Brasil define em quatro anos o mandato dos deputados estaduais. A norma que, alterando a regra da Constituição estadual de Roraima (Emenda 16, de 19-10-2005), permite a extensão do mandato pela alteração da data de posse dos eleitos em 2006, colide, frontalmente, com aquela regra. A autonomia estadual tem os seus limites definidos pela Constituição da República.</w:t>
      </w:r>
    </w:p>
    <w:p>
      <w:pPr>
        <w:ind w:left="288"/>
      </w:pPr>
      <w:r>
        <w:rPr>
          <w:b/>
          <w:color w:val="003CA0"/>
          <w:sz w:val="16"/>
        </w:rPr>
        <w:t>[ADI 3.825, rel. min. Cármen Lúcia, j. 8-10-2008, P, DJE de 28-11-2008.]</w:t>
      </w:r>
    </w:p>
    <w:p>
      <w:pPr>
        <w:ind w:left="144"/>
      </w:pPr>
      <w:r>
        <w:rPr>
          <w:b/>
          <w:color w:val="B45A00"/>
          <w:sz w:val="16"/>
        </w:rPr>
        <w:t>JULGADOS CORRELATOS</w:t>
      </w:r>
    </w:p>
    <w:p>
      <w:pPr>
        <w:ind w:left="288"/>
      </w:pPr>
      <w:r>
        <w:rPr>
          <w:color w:val="8C8C8C"/>
          <w:sz w:val="12"/>
        </w:rPr>
        <w:t>cf-art-27-par-1</w:t>
      </w:r>
      <w:r>
        <w:rPr>
          <w:color w:val="003CA0"/>
          <w:sz w:val="12"/>
        </w:rPr>
        <w:t xml:space="preserve"> | HC 115.397</w:t>
      </w:r>
      <w:r>
        <w:rPr>
          <w:color w:val="003CA0"/>
          <w:sz w:val="12"/>
        </w:rPr>
        <w:t xml:space="preserve"> | rel. Marco Aurélio</w:t>
      </w:r>
    </w:p>
    <w:p>
      <w:pPr>
        <w:ind w:left="288"/>
      </w:pPr>
      <w:r>
        <w:rPr>
          <w:color w:val="1E1E1E"/>
          <w:sz w:val="18"/>
        </w:rPr>
        <w:t>(...) o mandato parlamentar não implica, por si só, imunidade. Há de apreciar-se o nexo entre as ideias expressadas e as atribuições próprias à representação do povo brasileiro. O paciente encontrava-se ocupando o cargo de presidente da Assembleia Legislativa do Espírito Santo e foi revelado na denúncia como principal responsável, no Legislativo estadual, pela condução do processo de privatização do Banco do Estado do Espírito Santo (BANESTES). Nas dependências da Casa, concedeu entrevista coletiva à imprensa, momento em que teria emitido informações falsas e incompletas, as quais alegadamente</w:t>
      </w:r>
    </w:p>
    <w:p>
      <w:pPr>
        <w:ind w:left="288"/>
      </w:pPr>
      <w:r>
        <w:rPr>
          <w:b/>
          <w:color w:val="003CA0"/>
          <w:sz w:val="16"/>
        </w:rPr>
        <w:t>[Inq 3.357, rel. min. Celso de Mello, j. 25-3-2014, dec. monocrática, DJE de 22-4-2014.]</w:t>
      </w:r>
    </w:p>
    <w:p>
      <w:pPr>
        <w:ind w:left="288"/>
      </w:pPr>
      <w:r>
        <w:rPr>
          <w:color w:val="8C8C8C"/>
          <w:sz w:val="12"/>
        </w:rPr>
        <w:t>cf-art-27-par-1</w:t>
      </w:r>
      <w:r>
        <w:rPr>
          <w:color w:val="003CA0"/>
          <w:sz w:val="12"/>
        </w:rPr>
        <w:t xml:space="preserve"> | HC 89.417</w:t>
      </w:r>
      <w:r>
        <w:rPr>
          <w:color w:val="003CA0"/>
          <w:sz w:val="12"/>
        </w:rPr>
        <w:t xml:space="preserve"> | rel. Cármen Lúcia</w:t>
      </w:r>
    </w:p>
    <w:p>
      <w:pPr>
        <w:ind w:left="288"/>
      </w:pPr>
      <w:r>
        <w:rPr>
          <w:color w:val="1E1E1E"/>
          <w:sz w:val="18"/>
        </w:rPr>
        <w:t>A norma constitucional que cuida da imunidade parlamentar e da proibição de prisão do membro de órgão legislativo não pode ser tomada em sua literalidade, menos ainda como regra isolada do sistema constitucional. Os princípios determinam a interpretação e aplicação corretas da norma, sempre se considerando os fins a que ela se destina. A Assembleia Legislativa do Estado de Rondônia, composta de 24 deputados, dos quais 23 estão indiciados em diversos inquéritos, afirma situação excepcional e, por isso, não se há de aplicar a regra constitucional do art. 53, § 2º, da Constituição da República, d</w:t>
      </w:r>
    </w:p>
    <w:p>
      <w:pPr>
        <w:ind w:left="288"/>
      </w:pPr>
      <w:r>
        <w:rPr>
          <w:b/>
          <w:color w:val="003CA0"/>
          <w:sz w:val="16"/>
        </w:rPr>
        <w:t>[HC 89.417, rel. min. Cármen Lúcia, j. 22-8-2006, 1ª T, DJ de 15-12-2006.]</w:t>
      </w:r>
    </w:p>
    <w:p>
      <w:pPr>
        <w:ind w:left="288"/>
      </w:pPr>
      <w:r>
        <w:rPr>
          <w:color w:val="8C8C8C"/>
          <w:sz w:val="12"/>
        </w:rPr>
        <w:t>cf-art-27-par-1</w:t>
      </w:r>
      <w:r>
        <w:rPr>
          <w:color w:val="003CA0"/>
          <w:sz w:val="12"/>
        </w:rPr>
        <w:t xml:space="preserve"> | RE 456.679</w:t>
      </w:r>
      <w:r>
        <w:rPr>
          <w:color w:val="003CA0"/>
          <w:sz w:val="12"/>
        </w:rPr>
        <w:t xml:space="preserve"> | rel. Sepúlveda Pertence</w:t>
      </w:r>
    </w:p>
    <w:p>
      <w:pPr>
        <w:ind w:left="288"/>
      </w:pPr>
      <w:r>
        <w:rPr>
          <w:color w:val="1E1E1E"/>
          <w:sz w:val="18"/>
        </w:rPr>
        <w:t>Com o advento da Constituição de 1988 (art. 27, § 1º), que tornou aplicáveis, sem restrições, aos membros das assembleias legislativas dos Estados e do Distrito Federal, as normas sobre imunidades parlamentares dos integrantes do Congresso Nacional, ficou superada a tese da Súmula 3/STF ("A imunidade concedida a deputados estaduais é restrita à Justiça do Estado"), que tem por suporte necessário que o reconhecimento aos deputados estaduais das imunidades dos congressistas não derivava necessariamente da CF, mas decorreria de decisão autônoma do constituinte local.</w:t>
      </w:r>
    </w:p>
    <w:p>
      <w:pPr>
        <w:ind w:left="288"/>
      </w:pPr>
      <w:r>
        <w:rPr>
          <w:b/>
          <w:color w:val="003CA0"/>
          <w:sz w:val="16"/>
        </w:rPr>
        <w:t>[RE 456.679, rel. min. Sepúlveda Pertence, j. 15-12-2005, P, DJ de 7-4-2006.]</w:t>
      </w:r>
    </w:p>
    <w:p>
      <w:pPr>
        <w:ind w:left="288"/>
      </w:pPr>
      <w:r>
        <w:rPr>
          <w:color w:val="8C8C8C"/>
          <w:sz w:val="12"/>
        </w:rPr>
        <w:t>cf-art-27-par-1</w:t>
      </w:r>
    </w:p>
    <w:p>
      <w:pPr>
        <w:ind w:left="288"/>
      </w:pPr>
      <w:r>
        <w:rPr>
          <w:color w:val="1E1E1E"/>
          <w:sz w:val="18"/>
        </w:rPr>
        <w:t>§ 2º O subsídio dos Deputados Estaduais será fixado por lei de iniciativa da Assembleia Legislativa, na razão de, no máximo, setenta e cinco por cento daquele estabelecido, em espécie, para os Deputados Federais, observado o que dispõem os arts. 39, § 4º; 57, § 7º; 150, II; 153, III; e 153, § 2º, I. (Redação da EC 19/1998)</w:t>
      </w:r>
    </w:p>
    <w:p>
      <w:pPr>
        <w:ind w:left="144"/>
      </w:pPr>
      <w:r>
        <w:rPr>
          <w:b/>
          <w:color w:val="B45A00"/>
          <w:sz w:val="16"/>
        </w:rPr>
        <w:t>CONTROLE CONCENTRADO</w:t>
      </w:r>
    </w:p>
    <w:p>
      <w:pPr>
        <w:ind w:left="288"/>
      </w:pPr>
      <w:r>
        <w:rPr>
          <w:color w:val="8C8C8C"/>
          <w:sz w:val="12"/>
        </w:rPr>
        <w:t>cf-art-27-par-1</w:t>
      </w:r>
      <w:r>
        <w:rPr>
          <w:color w:val="003CA0"/>
          <w:sz w:val="12"/>
        </w:rPr>
        <w:t xml:space="preserve"> | ADI 4.509</w:t>
      </w:r>
      <w:r>
        <w:rPr>
          <w:color w:val="003CA0"/>
          <w:sz w:val="12"/>
        </w:rPr>
        <w:t xml:space="preserve"> | rel. Cármen Lúcia</w:t>
      </w:r>
    </w:p>
    <w:p>
      <w:pPr>
        <w:ind w:left="288"/>
      </w:pPr>
      <w:r>
        <w:rPr>
          <w:color w:val="1E1E1E"/>
          <w:sz w:val="18"/>
        </w:rPr>
        <w:t xml:space="preserve">remissão expressa do art. 27, § 2º, da Constituição da República ao seu art. 57, § 7º, estende aos deputados estaduais a proibição de percepção de qualquer parcela indenizatória a título de convocação extraordinária. </w:t>
        <w:br/>
        <w:t xml:space="preserve">[ADI 4.509, rel. min. Cármen Lúcia, j. 18-8-2016, P, DJE de 27-9-2016.] Norma estadual que estabelece ao subsídio mensal pago a deputados estaduais valor correspondente a 75% do subsídio mensal de deputados federais, de modo que qualquer aumento no valor dos subsídios destes resulte, automaticamente, aumento daqueles. Impossibilidade. Violação ao princípio da autonomia dos entes </w:t>
      </w:r>
    </w:p>
    <w:p>
      <w:pPr>
        <w:ind w:left="288"/>
      </w:pPr>
      <w:r>
        <w:rPr>
          <w:b/>
          <w:color w:val="003CA0"/>
          <w:sz w:val="16"/>
        </w:rPr>
        <w:t>[ADI 3.461, rel. min. Gilmar Mendes, j. 22-5-2014, P, DJE de 25-8-2014.]</w:t>
      </w:r>
    </w:p>
    <w:p>
      <w:pPr>
        <w:ind w:left="288"/>
      </w:pPr>
      <w:r>
        <w:rPr>
          <w:color w:val="8C8C8C"/>
          <w:sz w:val="12"/>
        </w:rPr>
        <w:t>cf-art-27-par-1</w:t>
      </w:r>
      <w:r>
        <w:rPr>
          <w:color w:val="003CA0"/>
          <w:sz w:val="12"/>
        </w:rPr>
        <w:t xml:space="preserve"> | ADI 2.075</w:t>
      </w:r>
      <w:r>
        <w:rPr>
          <w:color w:val="003CA0"/>
          <w:sz w:val="12"/>
        </w:rPr>
        <w:t xml:space="preserve"> | rel. Celso de Mello</w:t>
      </w:r>
    </w:p>
    <w:p>
      <w:pPr>
        <w:ind w:left="288"/>
      </w:pPr>
      <w:r>
        <w:rPr>
          <w:color w:val="1E1E1E"/>
          <w:sz w:val="18"/>
        </w:rPr>
        <w:t>A questão do subteto no âmbito do Poder Executivo dos Estados-membros e dos Municípios – hipótese em que se revela constitucionalmente possível a fixação desse limite em valor inferior ao previsto no art. 37, XI, da Constituição – ressalva quanto às hipóteses em que a própria Constituição estipula tetos específicos (CF, arts. 27, § 2º, e 93, V).</w:t>
      </w:r>
    </w:p>
    <w:p>
      <w:pPr>
        <w:ind w:left="288"/>
      </w:pPr>
      <w:r>
        <w:rPr>
          <w:b/>
          <w:color w:val="003CA0"/>
          <w:sz w:val="16"/>
        </w:rPr>
        <w:t>[ADI 2.075 MC, rel. min. Celso de Mello, j. 7-6-2001, P, DJ de 27-6-2003.]</w:t>
      </w:r>
    </w:p>
    <w:p>
      <w:pPr>
        <w:ind w:left="288"/>
      </w:pPr>
      <w:r>
        <w:rPr>
          <w:color w:val="8C8C8C"/>
          <w:sz w:val="12"/>
        </w:rPr>
        <w:t>cf-art-27-par-3</w:t>
      </w:r>
      <w:r>
        <w:rPr>
          <w:color w:val="003CA0"/>
          <w:sz w:val="12"/>
        </w:rPr>
        <w:t xml:space="preserve"> | ADI 7.756</w:t>
      </w:r>
      <w:r>
        <w:rPr>
          <w:color w:val="003CA0"/>
          <w:sz w:val="12"/>
        </w:rPr>
        <w:t xml:space="preserve"> | rel. Cármen Lúcia</w:t>
      </w:r>
    </w:p>
    <w:p>
      <w:pPr>
        <w:ind w:left="288"/>
      </w:pPr>
      <w:r>
        <w:rPr>
          <w:color w:val="1E1E1E"/>
          <w:sz w:val="18"/>
        </w:rPr>
        <w:t>Não há exigência constitucional a impor às Assembleias a observância e reprodução automática do Regimento Interno da Câmara dos Deputados. Cuida-se de matéria de ordem interna, sobre a qual a Assembleia Legislativa detém autonomia para dispor, desde que observados os limites constitucionais.</w:t>
      </w:r>
    </w:p>
    <w:p>
      <w:pPr>
        <w:ind w:left="288"/>
      </w:pPr>
      <w:r>
        <w:rPr>
          <w:b/>
          <w:color w:val="003CA0"/>
          <w:sz w:val="16"/>
        </w:rPr>
        <w:t>[ADI 7.756, voto da rel. min. Cármen Lúcia, j. 26-11-2025, P, DJE de 12-2-2026.]</w:t>
      </w:r>
    </w:p>
    <w:p>
      <w:pPr>
        <w:ind w:left="432"/>
      </w:pPr>
      <w:r>
        <w:rPr>
          <w:color w:val="003366"/>
          <w:sz w:val="18"/>
        </w:rPr>
        <w:t>§ 1 Até que se instale o Superior Tribunal de Justiça, o Supremo Tribunal Federa</w:t>
      </w:r>
    </w:p>
    <w:p>
      <w:pPr>
        <w:ind w:left="432"/>
      </w:pPr>
      <w:r>
        <w:rPr>
          <w:color w:val="003366"/>
          <w:sz w:val="18"/>
        </w:rPr>
        <w:t>§ 2 A composição inicial do Superior Tribunal de Justiça far-se-á:</w:t>
      </w:r>
    </w:p>
    <w:p>
      <w:pPr>
        <w:ind w:left="720"/>
      </w:pPr>
      <w:r>
        <w:rPr>
          <w:color w:val="003366"/>
          <w:sz w:val="18"/>
        </w:rPr>
        <w:t>I – pelo aproveitamento dos Ministros do Tribunal Federal de Recursos;</w:t>
      </w:r>
    </w:p>
    <w:p>
      <w:pPr>
        <w:ind w:left="720"/>
      </w:pPr>
      <w:r>
        <w:rPr>
          <w:color w:val="003366"/>
          <w:sz w:val="18"/>
        </w:rPr>
        <w:t>II – pela nomeação dos Ministros que sejam necessários para completar o número e</w:t>
      </w:r>
    </w:p>
    <w:p>
      <w:pPr>
        <w:ind w:left="432"/>
      </w:pPr>
      <w:r>
        <w:rPr>
          <w:color w:val="003366"/>
          <w:sz w:val="18"/>
        </w:rPr>
        <w:t>§ 3 Para os efeitos do disposto na Constituição, os atuais Ministros do Tribunal</w:t>
      </w:r>
    </w:p>
    <w:p>
      <w:pPr>
        <w:ind w:left="432"/>
      </w:pPr>
      <w:r>
        <w:rPr>
          <w:color w:val="003366"/>
          <w:sz w:val="18"/>
        </w:rPr>
        <w:t>§ 4 Instalado o Tribunal, os Ministros aposentados do Tribunal Federal de Recurs</w:t>
      </w:r>
    </w:p>
    <w:p>
      <w:pPr>
        <w:ind w:left="432"/>
      </w:pPr>
      <w:r>
        <w:rPr>
          <w:color w:val="003366"/>
          <w:sz w:val="18"/>
        </w:rPr>
        <w:t>§ 5 Os Ministros a que se refere o § 2º, II, serão indicados em lista tríplice p</w:t>
      </w:r>
    </w:p>
    <w:p>
      <w:pPr>
        <w:ind w:left="432"/>
      </w:pPr>
      <w:r>
        <w:rPr>
          <w:color w:val="003366"/>
          <w:sz w:val="18"/>
        </w:rPr>
        <w:t>§ 6 Ficam criados cinco Tribunais Regionais Federais, a serem instalados no praz</w:t>
      </w:r>
    </w:p>
    <w:p>
      <w:pPr>
        <w:ind w:left="432"/>
      </w:pPr>
      <w:r>
        <w:rPr>
          <w:color w:val="003366"/>
          <w:sz w:val="18"/>
        </w:rPr>
        <w:t>§ 7 Até que se instalem os Tribunais Regionais Federais, o Tribunal Federal de R</w:t>
      </w:r>
    </w:p>
    <w:p>
      <w:pPr>
        <w:ind w:left="432"/>
      </w:pPr>
      <w:r>
        <w:rPr>
          <w:color w:val="003366"/>
          <w:sz w:val="18"/>
        </w:rPr>
        <w:t xml:space="preserve">§ 8 É vedado, a partir da promulgação da Constituição, o provimento de vagas de </w:t>
      </w:r>
    </w:p>
    <w:p>
      <w:pPr>
        <w:ind w:left="432"/>
      </w:pPr>
      <w:r>
        <w:rPr>
          <w:color w:val="003366"/>
          <w:sz w:val="18"/>
        </w:rPr>
        <w:t>§ 9 Quando não houver juiz federal que conte o tempo mínimo previsto no art. 107</w:t>
      </w:r>
    </w:p>
    <w:p>
      <w:pPr>
        <w:ind w:left="432"/>
      </w:pPr>
      <w:r>
        <w:rPr>
          <w:color w:val="003366"/>
          <w:sz w:val="18"/>
        </w:rPr>
        <w:t>§ 10 Compete à Justiça Federal julgar as ações nela propostas até a data da prom</w:t>
      </w:r>
    </w:p>
    <w:p>
      <w:pPr>
        <w:ind w:left="432"/>
      </w:pPr>
      <w:r>
        <w:rPr>
          <w:color w:val="003366"/>
          <w:sz w:val="18"/>
        </w:rPr>
        <w:t>§ 11 São criados, ainda, os seguintes Tribunais Regionais Federais: o da 6ª Regi</w:t>
      </w:r>
    </w:p>
    <w:p>
      <w:r>
        <w:rPr>
          <w:b/>
          <w:color w:val="003366"/>
          <w:sz w:val="20"/>
        </w:rPr>
        <w:t>Art. 28 Os juízes federais de que trata o art. 123, § 2º, da Constituição de 196</w:t>
      </w:r>
      <w:r>
        <w:rPr>
          <w:color w:val="8C8C8C"/>
          <w:sz w:val="14"/>
        </w:rPr>
        <w:t xml:space="preserve">  [5 decisoes]</w:t>
      </w:r>
    </w:p>
    <w:p>
      <w:pPr>
        <w:ind w:left="144"/>
      </w:pPr>
      <w:r>
        <w:rPr>
          <w:b/>
          <w:color w:val="B45A00"/>
          <w:sz w:val="16"/>
        </w:rPr>
        <w:t>CONTROLE CONCENTRADO</w:t>
      </w:r>
    </w:p>
    <w:p>
      <w:pPr>
        <w:ind w:left="288"/>
      </w:pPr>
      <w:r>
        <w:rPr>
          <w:color w:val="8C8C8C"/>
          <w:sz w:val="12"/>
        </w:rPr>
        <w:t>cf-art-28</w:t>
      </w:r>
      <w:r>
        <w:rPr>
          <w:color w:val="003CA0"/>
          <w:sz w:val="12"/>
        </w:rPr>
        <w:t xml:space="preserve"> | ADI 999</w:t>
      </w:r>
      <w:r>
        <w:rPr>
          <w:color w:val="003CA0"/>
          <w:sz w:val="12"/>
        </w:rPr>
        <w:t xml:space="preserve"> | rel. Dias Toffoli</w:t>
      </w:r>
    </w:p>
    <w:p>
      <w:pPr>
        <w:ind w:left="288"/>
      </w:pPr>
      <w:r>
        <w:rPr>
          <w:color w:val="1E1E1E"/>
          <w:sz w:val="18"/>
        </w:rPr>
        <w:t>Eleição avulsa para o cargo de vice-governador em caso de vacância. Inconstitucionalidade. (...) Elege-se a chapa da qual fazem parte candidatos para o cargo de governador e vice-governador, sendo a eleição do substituto decorrência dos votos recebidos pelo titular. A previsão de eleição isolada de um ou de outro, em caso de vacância, subverte o modelo constitucional que posicionou a investidura no cargo de vice-presidente ou de vice-governador como consequência da eleição do chefe do poder executivo, na qualidade de seu substituto, sucessor e auxiliar</w:t>
        <w:br/>
        <w:t>[ADI 999, rel. min. Dias Toffoli, j. 26-6</w:t>
      </w:r>
    </w:p>
    <w:p>
      <w:pPr>
        <w:ind w:left="288"/>
      </w:pPr>
      <w:r>
        <w:rPr>
          <w:color w:val="8C8C8C"/>
          <w:sz w:val="12"/>
        </w:rPr>
        <w:t>cf-art-28-par-1</w:t>
      </w:r>
      <w:r>
        <w:rPr>
          <w:color w:val="003CA0"/>
          <w:sz w:val="12"/>
        </w:rPr>
        <w:t xml:space="preserve"> | ADI 336</w:t>
      </w:r>
      <w:r>
        <w:rPr>
          <w:color w:val="003CA0"/>
          <w:sz w:val="12"/>
        </w:rPr>
        <w:t xml:space="preserve"> | rel. Eros Grau</w:t>
      </w:r>
    </w:p>
    <w:p>
      <w:pPr>
        <w:ind w:left="288"/>
      </w:pPr>
      <w:r>
        <w:rPr>
          <w:color w:val="1E1E1E"/>
          <w:sz w:val="18"/>
        </w:rPr>
        <w:t>O inciso XIV do art. 29 da Constituição do Brasil/1988 estabelece que as prescrições do art. 28 relativas à perda do mandato de governador aplicam-se ao prefeito, qualificando-se, assim, como preceito de reprodução obrigatória por parte dos Estados-membros e Municípios. Não é permitido a esses entes da federação modificar ou ampliar esses critérios. Se a Constituição do Brasil não sanciona com a perda do cargo o governador ou o prefeito que assuma cargo público em virtude de concurso realizado após sua eleição, não podem fazê-los as Constituições estaduais.</w:t>
      </w:r>
    </w:p>
    <w:p>
      <w:pPr>
        <w:ind w:left="288"/>
      </w:pPr>
      <w:r>
        <w:rPr>
          <w:b/>
          <w:color w:val="003CA0"/>
          <w:sz w:val="16"/>
        </w:rPr>
        <w:t>[ADI 336, voto do rel. min. Eros Grau, j. 10-2-2010, P, DJE de 17-9-2010.]</w:t>
      </w:r>
    </w:p>
    <w:p>
      <w:pPr>
        <w:ind w:left="288"/>
      </w:pPr>
      <w:r>
        <w:rPr>
          <w:color w:val="8C8C8C"/>
          <w:sz w:val="12"/>
        </w:rPr>
        <w:t>cf-art-28-par-2</w:t>
      </w:r>
      <w:r>
        <w:rPr>
          <w:color w:val="003CA0"/>
          <w:sz w:val="12"/>
        </w:rPr>
        <w:t xml:space="preserve"> | ADPF 127</w:t>
      </w:r>
      <w:r>
        <w:rPr>
          <w:color w:val="003CA0"/>
          <w:sz w:val="12"/>
        </w:rPr>
        <w:t xml:space="preserve"> | rel. Dias Toffoli</w:t>
      </w:r>
    </w:p>
    <w:p>
      <w:pPr>
        <w:ind w:left="288"/>
      </w:pPr>
      <w:r>
        <w:rPr>
          <w:color w:val="1E1E1E"/>
          <w:sz w:val="18"/>
        </w:rPr>
        <w:t xml:space="preserve">A remuneração dos servidores públicos em geral e, do mesmo modo hoje, os subsídios dos procuradores-gerais de justiça e do estado (art. 135 e art. 128, § 5º, inciso I, c, da CF/88) devem ser fixados por intermédio de lei específica, na forma do art. 37, inciso X, da Constituição Federal, na redação dada pela Emenda Constitucional 19/98. A partir da referida emenda, nos termos do art. 28, § 2º, da Constituição, a fixação da política remuneratória dos agentes políticos do Poder Executivo estadual passou a depender de lei de iniciativa da Assembleia Legislativa, permitindo a realização de sanção </w:t>
      </w:r>
    </w:p>
    <w:p>
      <w:pPr>
        <w:ind w:left="288"/>
      </w:pPr>
      <w:r>
        <w:rPr>
          <w:b/>
          <w:color w:val="003CA0"/>
          <w:sz w:val="16"/>
        </w:rPr>
        <w:t>[ADPF 127, rel. min. Dias Toffoli, j. 29-11-2021, P, DJE de 15-2-2022.]</w:t>
      </w:r>
    </w:p>
    <w:p>
      <w:pPr>
        <w:ind w:left="288"/>
      </w:pPr>
      <w:r>
        <w:rPr>
          <w:color w:val="8C8C8C"/>
          <w:sz w:val="12"/>
        </w:rPr>
        <w:t>cf-art-28-par-2</w:t>
      </w:r>
      <w:r>
        <w:rPr>
          <w:color w:val="003CA0"/>
          <w:sz w:val="12"/>
        </w:rPr>
        <w:t xml:space="preserve"> | ADI 2.585</w:t>
      </w:r>
      <w:r>
        <w:rPr>
          <w:color w:val="003CA0"/>
          <w:sz w:val="12"/>
        </w:rPr>
        <w:t xml:space="preserve"> | rel. Ellen Gracie</w:t>
      </w:r>
    </w:p>
    <w:p>
      <w:pPr>
        <w:ind w:left="288"/>
      </w:pPr>
      <w:r>
        <w:rPr>
          <w:color w:val="1E1E1E"/>
          <w:sz w:val="18"/>
        </w:rPr>
        <w:t>Fixação de subsídios do governador, do vice-governador, dos secretários de Estado e do procurador-geral do Estado. Procede a alegação de inconstitucionalidade formal por afronta ao disposto no § 2º do art. 28 da CF, acrescentado pela EC 19/1998, uma vez que este dispositivo exige lei em sentido formal para tal fixação. A determinação de lei implica, nos termos do figurino estabelecido nos arts. 61 a 69 da CF, a participação do Poder Executivo no processo legislativo, por meio das figuras da sanção e do veto (art. 66 e parágrafos).</w:t>
      </w:r>
    </w:p>
    <w:p>
      <w:pPr>
        <w:ind w:left="288"/>
      </w:pPr>
      <w:r>
        <w:rPr>
          <w:b/>
          <w:color w:val="003CA0"/>
          <w:sz w:val="16"/>
        </w:rPr>
        <w:t>[ADI 2.585, rel. min. Ellen Gracie, j. 24-4-2003, P, DJ de 6-6-2003.]</w:t>
      </w:r>
    </w:p>
    <w:p>
      <w:pPr>
        <w:ind w:left="288"/>
      </w:pPr>
      <w:r>
        <w:rPr>
          <w:color w:val="8C8C8C"/>
          <w:sz w:val="12"/>
        </w:rPr>
        <w:t>cf-art-28-par-2</w:t>
      </w:r>
    </w:p>
    <w:p>
      <w:pPr>
        <w:ind w:left="288"/>
      </w:pPr>
      <w:r>
        <w:rPr>
          <w:color w:val="1E1E1E"/>
          <w:sz w:val="18"/>
        </w:rPr>
        <w:t>CAPÍTULO IV Dos Municípios SUMÁRIO</w:t>
      </w:r>
    </w:p>
    <w:p>
      <w:r>
        <w:rPr>
          <w:b/>
          <w:color w:val="003366"/>
          <w:sz w:val="20"/>
        </w:rPr>
        <w:t>Art. 29 Enquanto não aprovadas as leis complementares relativas ao Ministério Pú</w:t>
      </w:r>
      <w:r>
        <w:rPr>
          <w:color w:val="8C8C8C"/>
          <w:sz w:val="14"/>
        </w:rPr>
        <w:t xml:space="preserve">  [36 decisoes]</w:t>
      </w:r>
    </w:p>
    <w:p>
      <w:pPr>
        <w:ind w:left="144"/>
      </w:pPr>
      <w:r>
        <w:rPr>
          <w:b/>
          <w:color w:val="B45A00"/>
          <w:sz w:val="16"/>
        </w:rPr>
        <w:t>CONTROLE CONCENTRADO</w:t>
      </w:r>
    </w:p>
    <w:p>
      <w:pPr>
        <w:ind w:left="288"/>
      </w:pPr>
      <w:r>
        <w:rPr>
          <w:color w:val="8C8C8C"/>
          <w:sz w:val="12"/>
        </w:rPr>
        <w:t>cf-art-29</w:t>
      </w:r>
      <w:r>
        <w:rPr>
          <w:color w:val="003CA0"/>
          <w:sz w:val="12"/>
        </w:rPr>
        <w:t xml:space="preserve"> | ADI 3.549</w:t>
      </w:r>
      <w:r>
        <w:rPr>
          <w:color w:val="003CA0"/>
          <w:sz w:val="12"/>
        </w:rPr>
        <w:t xml:space="preserve"> | rel. Cármen Lúcia</w:t>
      </w:r>
    </w:p>
    <w:p>
      <w:pPr>
        <w:ind w:left="288"/>
      </w:pPr>
      <w:r>
        <w:rPr>
          <w:color w:val="1E1E1E"/>
          <w:sz w:val="18"/>
        </w:rPr>
        <w:t>Dupla vacância dos cargos de prefeito e vice-prefeito. Competência legislativa municipal. Domínio normativo da lei orgânica. (...) A vocação sucessória dos cargos de prefeito e vice-prefeito põe-se no âmbito da autonomia política local, em caso de dupla vacância. Ao disciplinar matéria, cuja competência é exclusiva dos Municípios, o art. 75, § 2º, da Constituição de Goiás fere a autonomia desses entes, mitigando-lhes a capacidade de auto-organização e de autogoverno e limitando a sua autonomia política assegurada pela Constituição brasileira.</w:t>
      </w:r>
    </w:p>
    <w:p>
      <w:pPr>
        <w:ind w:left="288"/>
      </w:pPr>
      <w:r>
        <w:rPr>
          <w:b/>
          <w:color w:val="003CA0"/>
          <w:sz w:val="16"/>
        </w:rPr>
        <w:t>[ADI 3.549, rel. min. Cármen Lúcia, j. 17-9-2007, P, DJ de 31-10-2007.]</w:t>
      </w:r>
    </w:p>
    <w:p>
      <w:pPr>
        <w:ind w:left="288"/>
      </w:pPr>
      <w:r>
        <w:rPr>
          <w:color w:val="8C8C8C"/>
          <w:sz w:val="12"/>
        </w:rPr>
        <w:t>cf-art-29</w:t>
      </w:r>
      <w:r>
        <w:rPr>
          <w:color w:val="003CA0"/>
          <w:sz w:val="12"/>
        </w:rPr>
        <w:t xml:space="preserve"> | ADI 2.112</w:t>
      </w:r>
      <w:r>
        <w:rPr>
          <w:color w:val="003CA0"/>
          <w:sz w:val="12"/>
        </w:rPr>
        <w:t xml:space="preserve"> | rel. Sepúlveda Pertence</w:t>
      </w:r>
    </w:p>
    <w:p>
      <w:pPr>
        <w:ind w:left="288"/>
      </w:pPr>
      <w:r>
        <w:rPr>
          <w:color w:val="1E1E1E"/>
          <w:sz w:val="18"/>
        </w:rPr>
        <w:t>Dar alcance irrestrito à alusão, no art. 29, caput, CF, à observância devida pelas leis orgânicas municipais aos princípios estabelecidos na Constituição do Estado, traduz condenável misoneísmo constitucional, que faz abstração de dois dados novos e incontornáveis do trato do Município da Lei Fundamental de 1988: explicitar o seu caráter de "entidade infraestatal rígida" e, em consequência, outorgar-lhe o poder de auto-organização, substantivado, no art. 29, pelo de votar a própria lei orgânica. É mais que bastante ao juízo liminar sobre o pedido cautelar a aparente evidência de que em tudo qu</w:t>
      </w:r>
    </w:p>
    <w:p>
      <w:pPr>
        <w:ind w:left="288"/>
      </w:pPr>
      <w:r>
        <w:rPr>
          <w:b/>
          <w:color w:val="003CA0"/>
          <w:sz w:val="16"/>
        </w:rPr>
        <w:t>[ADI 2.112 MC, rel. min. Sepúlveda Pertence, j. 11-5-2000, P, DJ de 18-5-2001.]</w:t>
      </w:r>
    </w:p>
    <w:p>
      <w:pPr>
        <w:ind w:left="288"/>
      </w:pPr>
      <w:r>
        <w:rPr>
          <w:color w:val="8C8C8C"/>
          <w:sz w:val="12"/>
        </w:rPr>
        <w:t>cf-art-29-inc-I</w:t>
      </w:r>
    </w:p>
    <w:p>
      <w:pPr>
        <w:ind w:left="288"/>
      </w:pPr>
      <w:r>
        <w:rPr>
          <w:color w:val="1E1E1E"/>
          <w:sz w:val="18"/>
        </w:rPr>
        <w:t>II - eleição do Prefeito e do Vice-Prefeito realizada no primeiro domingo de outubro do ano anterior ao término do mandato dos que devam suceder, aplicadas as regras do art. 77, no caso de Municípios com mais de duzentos mil eleitores; (Redação da EC 16/1997)</w:t>
      </w:r>
    </w:p>
    <w:p>
      <w:pPr>
        <w:ind w:left="288"/>
      </w:pPr>
      <w:r>
        <w:rPr>
          <w:color w:val="8C8C8C"/>
          <w:sz w:val="12"/>
        </w:rPr>
        <w:t>cf-art-29-inc-I</w:t>
      </w:r>
      <w:r>
        <w:rPr>
          <w:color w:val="003CA0"/>
          <w:sz w:val="12"/>
        </w:rPr>
        <w:t xml:space="preserve"> | ADI 5.619</w:t>
      </w:r>
      <w:r>
        <w:rPr>
          <w:color w:val="003CA0"/>
          <w:sz w:val="12"/>
        </w:rPr>
        <w:t xml:space="preserve"> | rel. Roberto Barroso</w:t>
      </w:r>
    </w:p>
    <w:p>
      <w:pPr>
        <w:ind w:left="288"/>
      </w:pPr>
      <w:r>
        <w:rPr>
          <w:color w:val="1E1E1E"/>
          <w:sz w:val="18"/>
        </w:rPr>
        <w:t>É constitucional legislação federal que estabeleça novas eleições para os cargos majoritários simples – isto é, Prefeitos de Municípios com menos de duzentos mil eleitores e Senadores da República – em casos de vacância por causas eleitorais.</w:t>
        <w:br/>
        <w:t>[ADI 5.619, rel. min. Roberto Barroso, j. 8-3-2018, P, DJE de 7-8-2018.]</w:t>
      </w:r>
    </w:p>
    <w:p>
      <w:pPr>
        <w:ind w:left="288"/>
      </w:pPr>
      <w:r>
        <w:rPr>
          <w:color w:val="8C8C8C"/>
          <w:sz w:val="12"/>
        </w:rPr>
        <w:t>cf-art-29-inc-IV</w:t>
      </w:r>
      <w:r>
        <w:rPr>
          <w:color w:val="003CA0"/>
          <w:sz w:val="12"/>
        </w:rPr>
        <w:t xml:space="preserve"> | ADI 3.042</w:t>
      </w:r>
      <w:r>
        <w:rPr>
          <w:color w:val="003CA0"/>
          <w:sz w:val="12"/>
        </w:rPr>
        <w:t xml:space="preserve"> | rel. Gilmar Mendes</w:t>
      </w:r>
    </w:p>
    <w:p>
      <w:pPr>
        <w:ind w:left="288"/>
      </w:pPr>
      <w:r>
        <w:rPr>
          <w:color w:val="1E1E1E"/>
          <w:sz w:val="18"/>
        </w:rPr>
        <w:t>Fixação, pela Constituição estadual, do número máximo de vereadores proporcionalmente à população dos Municípios do Estado do Paraná. Previsão de limite diverso do determinado na Constituição Federal. Violação ao art. 29, IV, da Constituição Federal.</w:t>
      </w:r>
    </w:p>
    <w:p>
      <w:pPr>
        <w:ind w:left="288"/>
      </w:pPr>
      <w:r>
        <w:rPr>
          <w:b/>
          <w:color w:val="003CA0"/>
          <w:sz w:val="16"/>
        </w:rPr>
        <w:t>[ADI 3.042, rel. min. Gilmar Mendes, j. 16-9-2020, P, DJE de 5-10-2020.]</w:t>
      </w:r>
    </w:p>
    <w:p>
      <w:pPr>
        <w:ind w:left="288"/>
      </w:pPr>
      <w:r>
        <w:rPr>
          <w:color w:val="8C8C8C"/>
          <w:sz w:val="12"/>
        </w:rPr>
        <w:t>cf-art-29-inc-IV</w:t>
      </w:r>
      <w:r>
        <w:rPr>
          <w:color w:val="003CA0"/>
          <w:sz w:val="12"/>
        </w:rPr>
        <w:t xml:space="preserve"> | ADI 4.307</w:t>
      </w:r>
      <w:r>
        <w:rPr>
          <w:color w:val="003CA0"/>
          <w:sz w:val="12"/>
        </w:rPr>
        <w:t xml:space="preserve"> | rel. Cármen Lúcia</w:t>
      </w:r>
    </w:p>
    <w:p>
      <w:pPr>
        <w:ind w:left="288"/>
      </w:pPr>
      <w:r>
        <w:rPr>
          <w:color w:val="1E1E1E"/>
          <w:sz w:val="18"/>
        </w:rPr>
        <w:t>EC 58/2009. (...) Norma que determina a retroação dos efeitos de regras constitucionais de composição das câmaras municipais em pleito ocorrido e encerrado: afronta à garantia do exercício da cidadania popular (arts. 1º, parágrafo único, e 14 da Constituição) e a segurança jurídica. Os eleitos foram diplomados pela Justiça Eleitoral até 18-12-2009 e tomaram posse em 2009. Posse de suplentes para legislatura em curso, em relação a eleição finda e acabada, descumpre o princípio democrático da soberania popular. Impossibilidade de compatibilizar a posse do suplente: não eleito pelo sufrágio secre</w:t>
      </w:r>
    </w:p>
    <w:p>
      <w:pPr>
        <w:ind w:left="288"/>
      </w:pPr>
      <w:r>
        <w:rPr>
          <w:b/>
          <w:color w:val="003CA0"/>
          <w:sz w:val="16"/>
        </w:rPr>
        <w:t>[ADI 4.307, rel. min. Cármen Lúcia, j. 11-4-2013, P, DJE de 1º-10-2013.]</w:t>
      </w:r>
    </w:p>
    <w:p>
      <w:pPr>
        <w:ind w:left="144"/>
      </w:pPr>
      <w:r>
        <w:rPr>
          <w:b/>
          <w:color w:val="B45A00"/>
          <w:sz w:val="16"/>
        </w:rPr>
        <w:t>JULGADOS CORRELATOS</w:t>
      </w:r>
    </w:p>
    <w:p>
      <w:pPr>
        <w:ind w:left="288"/>
      </w:pPr>
      <w:r>
        <w:rPr>
          <w:color w:val="8C8C8C"/>
          <w:sz w:val="12"/>
        </w:rPr>
        <w:t>cf-art-29-inc-IV</w:t>
      </w:r>
      <w:r>
        <w:rPr>
          <w:color w:val="003CA0"/>
          <w:sz w:val="12"/>
        </w:rPr>
        <w:t xml:space="preserve"> | RE 881.422</w:t>
      </w:r>
      <w:r>
        <w:rPr>
          <w:color w:val="003CA0"/>
          <w:sz w:val="12"/>
        </w:rPr>
        <w:t xml:space="preserve"> | rel. Dias Toffoli</w:t>
      </w:r>
    </w:p>
    <w:p>
      <w:pPr>
        <w:ind w:left="288"/>
      </w:pPr>
      <w:r>
        <w:rPr>
          <w:color w:val="1E1E1E"/>
          <w:sz w:val="18"/>
        </w:rPr>
        <w:t>O art. 29, IV, da CF de 1988, em sua redação original, estabelecia três faixas populacionais para nortear as quantidades máximas e mínimas de vereadores em cada Município, devendo esse, atendendo ao princípio da proporcionalidade, estabelecer o quantitativo suficiente ao atendimento das demandas locais. A amplitude elastecida do espaço de decisão legislativa quanto ao número de vereadores permitiu distorções no sistema, levando o Congresso Nacional a editar a EC 58, de 23 de setembro de 2009, que conferiu nova redação para o art. 29, IV, da CF/1988, ampliando de 3 para 25 as faixas populaciona</w:t>
      </w:r>
    </w:p>
    <w:p>
      <w:pPr>
        <w:ind w:left="288"/>
      </w:pPr>
      <w:r>
        <w:rPr>
          <w:color w:val="8C8C8C"/>
          <w:sz w:val="12"/>
        </w:rPr>
        <w:t>cf-art-29-inc-IV-ali-a</w:t>
      </w:r>
      <w:r>
        <w:rPr>
          <w:color w:val="003CA0"/>
          <w:sz w:val="12"/>
        </w:rPr>
        <w:t xml:space="preserve"> | RE 197.917</w:t>
      </w:r>
      <w:r>
        <w:rPr>
          <w:color w:val="003CA0"/>
          <w:sz w:val="12"/>
        </w:rPr>
        <w:t xml:space="preserve"> | rel. Gilmar Mendes</w:t>
      </w:r>
    </w:p>
    <w:p>
      <w:pPr>
        <w:ind w:left="288"/>
      </w:pPr>
      <w:r>
        <w:rPr>
          <w:color w:val="1E1E1E"/>
          <w:sz w:val="18"/>
        </w:rPr>
        <w:t>Ação cautelar inominada. Efeito suspensivo a recurso extraordinário. Decisão monocrática concessiva. Referendum do Plenário. Número de vereadores. Art. 29, IV, da CF. Precedente: RE 197.917/SP, Maurício Corrêa, sessão plenária de 24-3-2004.</w:t>
      </w:r>
    </w:p>
    <w:p>
      <w:pPr>
        <w:ind w:left="288"/>
      </w:pPr>
      <w:r>
        <w:rPr>
          <w:b/>
          <w:color w:val="003CA0"/>
          <w:sz w:val="16"/>
        </w:rPr>
        <w:t>[AC 189 MC-QO, rel. min. Gilmar Mendes, j. 9-6-2004, DJ de 27-8-2004.]</w:t>
      </w:r>
    </w:p>
    <w:p>
      <w:pPr>
        <w:ind w:left="288"/>
      </w:pPr>
      <w:r>
        <w:rPr>
          <w:color w:val="8C8C8C"/>
          <w:sz w:val="12"/>
        </w:rPr>
        <w:t>cf-art-29-inc-IV-ali-c</w:t>
      </w:r>
      <w:r>
        <w:rPr>
          <w:color w:val="003CA0"/>
          <w:sz w:val="12"/>
        </w:rPr>
        <w:t xml:space="preserve"> | ARE 1.462.344</w:t>
      </w:r>
      <w:r>
        <w:rPr>
          <w:color w:val="003CA0"/>
          <w:sz w:val="12"/>
        </w:rPr>
        <w:t xml:space="preserve"> | rel. Gilmar Mendes</w:t>
      </w:r>
    </w:p>
    <w:p>
      <w:pPr>
        <w:ind w:left="288"/>
      </w:pPr>
      <w:r>
        <w:rPr>
          <w:color w:val="1E1E1E"/>
          <w:sz w:val="18"/>
        </w:rPr>
        <w:t>V - subsídios do Prefeito, do Vice-Prefeito e dos Secretários Municipais fixados por lei de iniciativa da Câmara Municipal, observado o que dispõem os arts. 37, XI, 39, § 4º, 150, II, 153, III, e 153, § 2º, I; (Redação da EC 19/1998) O acórdão recorrido está em consonância com a jurisprudência do Supremo Tribunal Federal, que exige a fixação dos subsídios de agentes políticos municipais antes da eleição da legislatura subsequente, em respeito ao princípio da anterioridade e da moralidade administrativa. Nos termos do art. 29, V, e da jurisprudência desta Corte, o subsídio de Prefeitos, Vice-Pr</w:t>
      </w:r>
    </w:p>
    <w:p>
      <w:pPr>
        <w:ind w:left="288"/>
      </w:pPr>
      <w:r>
        <w:rPr>
          <w:b/>
          <w:color w:val="003CA0"/>
          <w:sz w:val="16"/>
        </w:rPr>
        <w:t>[ARE 1.462.344, rel. min. Gilmar Mendes, j. 27.10.2025, P, DJE de 03.11.2025.]</w:t>
      </w:r>
    </w:p>
    <w:p>
      <w:pPr>
        <w:ind w:left="288"/>
      </w:pPr>
      <w:r>
        <w:rPr>
          <w:color w:val="8C8C8C"/>
          <w:sz w:val="12"/>
        </w:rPr>
        <w:t>cf-art-29-inc-IV-ali-c</w:t>
      </w:r>
      <w:r>
        <w:rPr>
          <w:color w:val="003CA0"/>
          <w:sz w:val="12"/>
        </w:rPr>
        <w:t xml:space="preserve"> | RE 434.278</w:t>
      </w:r>
      <w:r>
        <w:rPr>
          <w:color w:val="003CA0"/>
          <w:sz w:val="12"/>
        </w:rPr>
        <w:t xml:space="preserve"> | rel. Marco Aurélio</w:t>
      </w:r>
    </w:p>
    <w:p>
      <w:pPr>
        <w:ind w:left="288"/>
      </w:pPr>
      <w:r>
        <w:rPr>
          <w:color w:val="1E1E1E"/>
          <w:sz w:val="18"/>
        </w:rPr>
        <w:t>Os subsídios do prefeito e do vice-prefeito devem ser fixados, de forma clara e invariável, mediante lei de iniciativa da câmara municipal. Não cabe a tomada de empréstimo do que percebido, em termos de remuneração – gênero –, por integrante da assembleia legislativa. Inteligência do disposto no art. 29, V, da CF.</w:t>
      </w:r>
    </w:p>
    <w:p>
      <w:pPr>
        <w:ind w:left="288"/>
      </w:pPr>
      <w:r>
        <w:rPr>
          <w:b/>
          <w:color w:val="003CA0"/>
          <w:sz w:val="16"/>
        </w:rPr>
        <w:t>[RE 434.278, rel. min. Marco Aurélio, j. 12-6-2012, 1ª T, DJE de 28-6-2012.]</w:t>
      </w:r>
    </w:p>
    <w:p>
      <w:pPr>
        <w:ind w:left="288"/>
      </w:pPr>
      <w:r>
        <w:rPr>
          <w:color w:val="8C8C8C"/>
          <w:sz w:val="12"/>
        </w:rPr>
        <w:t>cf-art-29-inc-IV-ali-c</w:t>
      </w:r>
      <w:r>
        <w:rPr>
          <w:color w:val="003CA0"/>
          <w:sz w:val="12"/>
        </w:rPr>
        <w:t xml:space="preserve"> | RE 204.889</w:t>
      </w:r>
      <w:r>
        <w:rPr>
          <w:color w:val="003CA0"/>
          <w:sz w:val="12"/>
        </w:rPr>
        <w:t xml:space="preserve"> | rel. Menezes Direito</w:t>
      </w:r>
    </w:p>
    <w:p>
      <w:pPr>
        <w:ind w:left="288"/>
      </w:pPr>
      <w:r>
        <w:rPr>
          <w:color w:val="1E1E1E"/>
          <w:sz w:val="18"/>
        </w:rPr>
        <w:t>Já assentou a Suprema Corte que a norma do art. 29, V, da CF é autoaplicável. O subsídio do prefeito é fixado pela Câmara Municipal até o final da legislatura para vigorar na subsequente.</w:t>
      </w:r>
    </w:p>
    <w:p>
      <w:pPr>
        <w:ind w:left="288"/>
      </w:pPr>
      <w:r>
        <w:rPr>
          <w:b/>
          <w:color w:val="003CA0"/>
          <w:sz w:val="16"/>
        </w:rPr>
        <w:t>[RE 204.889, rel. min. Menezes Direito, j. 26-2-2008, 1ª T, DJE de 16-5-2008.]</w:t>
      </w:r>
    </w:p>
    <w:p>
      <w:pPr>
        <w:ind w:left="288"/>
      </w:pPr>
      <w:r>
        <w:rPr>
          <w:color w:val="8C8C8C"/>
          <w:sz w:val="12"/>
        </w:rPr>
        <w:t>cf-art-29-inc-IV-ali-c</w:t>
      </w:r>
      <w:r>
        <w:rPr>
          <w:color w:val="003CA0"/>
          <w:sz w:val="12"/>
        </w:rPr>
        <w:t xml:space="preserve"> | AI 843.758</w:t>
      </w:r>
      <w:r>
        <w:rPr>
          <w:color w:val="003CA0"/>
          <w:sz w:val="12"/>
        </w:rPr>
        <w:t xml:space="preserve"> | rel. Gilmar Mendes</w:t>
      </w:r>
    </w:p>
    <w:p>
      <w:pPr>
        <w:ind w:left="288"/>
      </w:pPr>
      <w:r>
        <w:rPr>
          <w:color w:val="1E1E1E"/>
          <w:sz w:val="18"/>
        </w:rPr>
        <w:t>= AI 843.758 AgR, rel. min. Gilmar Mendes, j. 28-2-2012, 2ª T, DJE de 13-3-2012 Não pode o vice-prefeito acumular a remuneração decorrente de emprego em empresa pública estadual com a representação estabelecida para o exercício do mandato eletivo (CF, art. 29, V). (...) O que a Constituição excepcionou, no art. 38, III, no âmbito municipal, foi apenas a situação do vereador, ao possibilitar-lhe, se servidor público, no exercício do mandato, perceber as vantagens de seu cargo, emprego ou função, sem prejuízo da remuneração do cargo eletivo, quando houver compatibilidade de horários; se não se c</w:t>
      </w:r>
    </w:p>
    <w:p>
      <w:pPr>
        <w:ind w:left="288"/>
      </w:pPr>
      <w:r>
        <w:rPr>
          <w:b/>
          <w:color w:val="003CA0"/>
          <w:sz w:val="16"/>
        </w:rPr>
        <w:t>[RE 140.269, rel. min. Néri da Silveira, j. 1º-10-1996, 2ª T, DJ de 9-5-1997.]</w:t>
      </w:r>
    </w:p>
    <w:p>
      <w:pPr>
        <w:ind w:left="288"/>
      </w:pPr>
      <w:r>
        <w:rPr>
          <w:color w:val="8C8C8C"/>
          <w:sz w:val="12"/>
        </w:rPr>
        <w:t>cf-art-29-inc-IV-ali-c</w:t>
      </w:r>
      <w:r>
        <w:rPr>
          <w:color w:val="003CA0"/>
          <w:sz w:val="12"/>
        </w:rPr>
        <w:t xml:space="preserve"> | ARE 659.543</w:t>
      </w:r>
      <w:r>
        <w:rPr>
          <w:color w:val="003CA0"/>
          <w:sz w:val="12"/>
        </w:rPr>
        <w:t xml:space="preserve"> | rel. Cármen Lúcia</w:t>
      </w:r>
    </w:p>
    <w:p>
      <w:pPr>
        <w:ind w:left="288"/>
      </w:pPr>
      <w:r>
        <w:rPr>
          <w:color w:val="1E1E1E"/>
          <w:sz w:val="18"/>
        </w:rPr>
        <w:t>= ARE 659.543 AgR, rel. min. Cármen Lúcia, j. 30-10-2012, 2ª T, DJE de 20-11-2012 VI - o subsídio dos Vereadores será fixado pelas respectivas Câmaras Municipais em cada legislatura para a subsequente, observado o que dispõe esta Constituição, observados os critérios estabelecidos na respectiva Lei Orgânica e os seguintes limites máximos: (Redação da EC 25/2000)</w:t>
      </w:r>
    </w:p>
    <w:p>
      <w:pPr>
        <w:ind w:left="288"/>
      </w:pPr>
      <w:r>
        <w:rPr>
          <w:color w:val="8C8C8C"/>
          <w:sz w:val="12"/>
        </w:rPr>
        <w:t>cf-art-29-inc-IV-ali-c</w:t>
      </w:r>
      <w:r>
        <w:rPr>
          <w:color w:val="003CA0"/>
          <w:sz w:val="12"/>
        </w:rPr>
        <w:t xml:space="preserve"> | RE 494.253</w:t>
      </w:r>
      <w:r>
        <w:rPr>
          <w:color w:val="003CA0"/>
          <w:sz w:val="12"/>
        </w:rPr>
        <w:t xml:space="preserve"> | rel. Ellen Gracie</w:t>
      </w:r>
    </w:p>
    <w:p>
      <w:pPr>
        <w:ind w:left="288"/>
      </w:pPr>
      <w:r>
        <w:rPr>
          <w:color w:val="1E1E1E"/>
          <w:sz w:val="18"/>
        </w:rPr>
        <w:t>A fixação dos subsídios de vereadores é de competência exclusiva da Câmara Municipal, a qual deve respeitar as prescrições estabelecidas na Lei Orgânica Municipal, na Constituição do respectivo Estado, bem como na CF.</w:t>
      </w:r>
    </w:p>
    <w:p>
      <w:pPr>
        <w:ind w:left="288"/>
      </w:pPr>
      <w:r>
        <w:rPr>
          <w:b/>
          <w:color w:val="003CA0"/>
          <w:sz w:val="16"/>
        </w:rPr>
        <w:t>[RE 494.253 AgR, rel. min. Ellen Gracie, j. 22-2-2011, 2ª T, DJE de 15-3-2011.]</w:t>
      </w:r>
    </w:p>
    <w:p>
      <w:pPr>
        <w:ind w:left="144"/>
      </w:pPr>
      <w:r>
        <w:rPr>
          <w:b/>
          <w:color w:val="B45A00"/>
          <w:sz w:val="16"/>
        </w:rPr>
        <w:t>CONTROLE CONCENTRADO</w:t>
      </w:r>
    </w:p>
    <w:p>
      <w:pPr>
        <w:ind w:left="288"/>
      </w:pPr>
      <w:r>
        <w:rPr>
          <w:color w:val="8C8C8C"/>
          <w:sz w:val="12"/>
        </w:rPr>
        <w:t>cf-art-29-inc-VIII</w:t>
      </w:r>
      <w:r>
        <w:rPr>
          <w:color w:val="003CA0"/>
          <w:sz w:val="12"/>
        </w:rPr>
        <w:t xml:space="preserve"> | ADI 558</w:t>
      </w:r>
      <w:r>
        <w:rPr>
          <w:color w:val="003CA0"/>
          <w:sz w:val="12"/>
        </w:rPr>
        <w:t xml:space="preserve"> | rel. Cármen Lúcia</w:t>
      </w:r>
    </w:p>
    <w:p>
      <w:pPr>
        <w:ind w:left="288"/>
      </w:pPr>
      <w:r>
        <w:rPr>
          <w:color w:val="1E1E1E"/>
          <w:sz w:val="18"/>
        </w:rPr>
        <w:t>Os entes federados não dispõem de competência para ampliar as imunidades constitucionalmente previstas aos vereadores no inc. VIII do art. 29 da Constituição da República. É inconstitucional norma da Constituição do Rio de Janeiro que concede imunidades formais a autoridades municipais.</w:t>
      </w:r>
    </w:p>
    <w:p>
      <w:pPr>
        <w:ind w:left="288"/>
      </w:pPr>
      <w:r>
        <w:rPr>
          <w:b/>
          <w:color w:val="003CA0"/>
          <w:sz w:val="16"/>
        </w:rPr>
        <w:t>[ADI 558, rel. min. Cármen Lúcia, j. 19-4-2021, Plenário, DJE de 22-9-2021.]</w:t>
      </w:r>
    </w:p>
    <w:p>
      <w:pPr>
        <w:ind w:left="144"/>
      </w:pPr>
      <w:r>
        <w:rPr>
          <w:b/>
          <w:color w:val="B45A00"/>
          <w:sz w:val="16"/>
        </w:rPr>
        <w:t>REPERCUSSAO GERAL</w:t>
      </w:r>
    </w:p>
    <w:p>
      <w:pPr>
        <w:ind w:left="288"/>
      </w:pPr>
      <w:r>
        <w:rPr>
          <w:color w:val="8C8C8C"/>
          <w:sz w:val="12"/>
        </w:rPr>
        <w:t>cf-art-29-inc-VIII</w:t>
      </w:r>
      <w:r>
        <w:rPr>
          <w:color w:val="003CA0"/>
          <w:sz w:val="12"/>
        </w:rPr>
        <w:t xml:space="preserve"> | RE 600.063</w:t>
      </w:r>
    </w:p>
    <w:p>
      <w:pPr>
        <w:ind w:left="288"/>
      </w:pPr>
      <w:r>
        <w:rPr>
          <w:color w:val="1E1E1E"/>
          <w:sz w:val="18"/>
        </w:rPr>
        <w:t>(...) nos limites da circunscrição do Município e havendo pertinência com o exercício do mandato, os vereadores são imunes judicialmente por suas palavras, opiniões e votos.</w:t>
      </w:r>
    </w:p>
    <w:p>
      <w:pPr>
        <w:ind w:left="288"/>
      </w:pPr>
      <w:r>
        <w:rPr>
          <w:b/>
          <w:color w:val="003CA0"/>
          <w:sz w:val="16"/>
        </w:rPr>
        <w:t>[RE 600.063, red. do ac. min. Roberto Barroso, j. 25-2-2015, P, DJE de 15-5-2015, Tema 469, com mérito julgado.]</w:t>
      </w:r>
    </w:p>
    <w:p>
      <w:pPr>
        <w:ind w:left="144"/>
      </w:pPr>
      <w:r>
        <w:rPr>
          <w:b/>
          <w:color w:val="B45A00"/>
          <w:sz w:val="16"/>
        </w:rPr>
        <w:t>JULGADOS CORRELATOS</w:t>
      </w:r>
    </w:p>
    <w:p>
      <w:pPr>
        <w:ind w:left="288"/>
      </w:pPr>
      <w:r>
        <w:rPr>
          <w:color w:val="8C8C8C"/>
          <w:sz w:val="12"/>
        </w:rPr>
        <w:t>cf-art-29-inc-VIII</w:t>
      </w:r>
      <w:r>
        <w:rPr>
          <w:color w:val="003CA0"/>
          <w:sz w:val="12"/>
        </w:rPr>
        <w:t xml:space="preserve"> | ARE 1.421.633</w:t>
      </w:r>
      <w:r>
        <w:rPr>
          <w:color w:val="003CA0"/>
          <w:sz w:val="12"/>
        </w:rPr>
        <w:t xml:space="preserve"> | rel. Edson Fachin</w:t>
      </w:r>
    </w:p>
    <w:p>
      <w:pPr>
        <w:ind w:left="288"/>
      </w:pPr>
      <w:r>
        <w:rPr>
          <w:color w:val="1E1E1E"/>
          <w:sz w:val="18"/>
        </w:rPr>
        <w:t>Vereador. Imunidade parlamentar. Palavras proferidas na internet. (...) Nos dias atuais, caracterizados por avanços tecnológicos em que a internet se tornou um dos principais meios de comunicação entre os mandatários e o eleitor, não é mais possível restringir o exercício parlamentar do mandato aos estritos limites do recinto da Câmara Municipal.</w:t>
        <w:br/>
        <w:t>[ARE 1.421.633 AgR, rel. min. Edson Fachin, j. 3-5-2023, 1ª T, DJE de 9-5-2023.] Pensão especial a viúva de prefeito. Lei municipal de efeitos concretos. Validade. (...) Imunidade material de vereadores (CF, art. 29, VIII). Extensão quanto à responsab</w:t>
      </w:r>
    </w:p>
    <w:p>
      <w:pPr>
        <w:ind w:left="288"/>
      </w:pPr>
      <w:r>
        <w:rPr>
          <w:b/>
          <w:color w:val="003CA0"/>
          <w:sz w:val="16"/>
        </w:rPr>
        <w:t>[AI 631.276, rel. min. Celso de Mello, j. 1º-2-2011, dec. monocrática, DJE de 15-2-2011.]</w:t>
      </w:r>
    </w:p>
    <w:p>
      <w:pPr>
        <w:ind w:left="288"/>
      </w:pPr>
      <w:r>
        <w:rPr>
          <w:color w:val="8C8C8C"/>
          <w:sz w:val="12"/>
        </w:rPr>
        <w:t>cf-art-29-inc-VIII</w:t>
      </w:r>
      <w:r>
        <w:rPr>
          <w:color w:val="003CA0"/>
          <w:sz w:val="12"/>
        </w:rPr>
        <w:t xml:space="preserve"> | INQ 3.215</w:t>
      </w:r>
      <w:r>
        <w:rPr>
          <w:color w:val="003CA0"/>
          <w:sz w:val="12"/>
        </w:rPr>
        <w:t xml:space="preserve"> | rel. Dias Toffoli</w:t>
      </w:r>
    </w:p>
    <w:p>
      <w:pPr>
        <w:ind w:left="288"/>
      </w:pPr>
      <w:r>
        <w:rPr>
          <w:color w:val="1E1E1E"/>
          <w:sz w:val="18"/>
        </w:rPr>
        <w:t>= Inq 3.215, rel. min. Dias Toffoli, j. 4-4-2013, P, DJE de 25-9-2013 Condição de vereador que não garante ao paciente tratamento diferenciado relativamente aos demais corréus. Os edis, ao contrário do que ocorre com os membros do Congresso Nacional e os deputados estaduais, não gozam da denominada incoercibilidade pessoal relativa (freedom from arrest), ainda que algumas Constituições estaduais lhes assegurem prerrogativa de foro.</w:t>
      </w:r>
    </w:p>
    <w:p>
      <w:pPr>
        <w:ind w:left="288"/>
      </w:pPr>
      <w:r>
        <w:rPr>
          <w:b/>
          <w:color w:val="003CA0"/>
          <w:sz w:val="16"/>
        </w:rPr>
        <w:t>[HC 94.059, rel. min. Ricardo Lewandowski, j. 6-5-2008, 1ª T, DJE de 13-6-2008.]</w:t>
      </w:r>
    </w:p>
    <w:p>
      <w:pPr>
        <w:ind w:left="288"/>
      </w:pPr>
      <w:r>
        <w:rPr>
          <w:color w:val="8C8C8C"/>
          <w:sz w:val="12"/>
        </w:rPr>
        <w:t>cf-art-29-inc-VIII</w:t>
      </w:r>
      <w:r>
        <w:rPr>
          <w:color w:val="003CA0"/>
          <w:sz w:val="12"/>
        </w:rPr>
        <w:t xml:space="preserve"> | HC 81.730</w:t>
      </w:r>
      <w:r>
        <w:rPr>
          <w:color w:val="003CA0"/>
          <w:sz w:val="12"/>
        </w:rPr>
        <w:t xml:space="preserve"> | rel. Nelson Jobim</w:t>
      </w:r>
    </w:p>
    <w:p>
      <w:pPr>
        <w:ind w:left="288"/>
      </w:pPr>
      <w:r>
        <w:rPr>
          <w:color w:val="1E1E1E"/>
          <w:sz w:val="18"/>
        </w:rPr>
        <w:t>O texto da atual Constituição, relativamente aos vereadores, refere à inviolabilidade no exercício do mandato e na circunscrição do Município. Há necessidade, portanto, de se verificar a existência do nexo entre o mandato e as manifestações que ele faça na câmara municipal, ou fora dela, observados os limites do Município. No caso, esses requisitos foram atendidos. As manifestações do paciente visavam proteger o mandato parlamentar e a sua própria honra. Utilizou-se, para tanto, de instrumentos condizentes com o tipo de acusação e denunciação que lhe foram feitas pelo delegado de Polícia. Fico</w:t>
      </w:r>
    </w:p>
    <w:p>
      <w:pPr>
        <w:ind w:left="288"/>
      </w:pPr>
      <w:r>
        <w:rPr>
          <w:b/>
          <w:color w:val="003CA0"/>
          <w:sz w:val="16"/>
        </w:rPr>
        <w:t>[HC 81.730, rel. min. Nelson Jobim, j. 18-6-2002, 2ª T, DJ de 1º-8-2003.]</w:t>
      </w:r>
    </w:p>
    <w:p>
      <w:pPr>
        <w:ind w:left="288"/>
      </w:pPr>
      <w:r>
        <w:rPr>
          <w:color w:val="8C8C8C"/>
          <w:sz w:val="12"/>
        </w:rPr>
        <w:t>cf-art-29-inc-VIII</w:t>
      </w:r>
    </w:p>
    <w:p>
      <w:pPr>
        <w:ind w:left="288"/>
      </w:pPr>
      <w:r>
        <w:rPr>
          <w:color w:val="1E1E1E"/>
          <w:sz w:val="18"/>
        </w:rPr>
        <w:t>IX - proibições e incompatibilidades, no exercício da vereança, similares, no que couber, ao disposto nesta Constituição para os membros do Congresso Nacional e na Constituição do respectivo Estado para os membros da Assembleia Legislativa; (Renumerado do inciso VII, pela EC 1/1992)</w:t>
      </w:r>
    </w:p>
    <w:p>
      <w:pPr>
        <w:ind w:left="144"/>
      </w:pPr>
      <w:r>
        <w:rPr>
          <w:b/>
          <w:color w:val="B45A00"/>
          <w:sz w:val="16"/>
        </w:rPr>
        <w:t>CONTROLE CONCENTRADO</w:t>
      </w:r>
    </w:p>
    <w:p>
      <w:pPr>
        <w:ind w:left="288"/>
      </w:pPr>
      <w:r>
        <w:rPr>
          <w:color w:val="8C8C8C"/>
          <w:sz w:val="12"/>
        </w:rPr>
        <w:t>cf-art-29-inc-VIII</w:t>
      </w:r>
      <w:r>
        <w:rPr>
          <w:color w:val="003CA0"/>
          <w:sz w:val="12"/>
        </w:rPr>
        <w:t xml:space="preserve"> | ADI 1.531</w:t>
      </w:r>
      <w:r>
        <w:rPr>
          <w:color w:val="003CA0"/>
          <w:sz w:val="12"/>
        </w:rPr>
        <w:t xml:space="preserve"> | rel. Gilmar Mendes</w:t>
      </w:r>
    </w:p>
    <w:p>
      <w:pPr>
        <w:ind w:left="288"/>
      </w:pPr>
      <w:r>
        <w:rPr>
          <w:color w:val="1E1E1E"/>
          <w:sz w:val="18"/>
        </w:rPr>
        <w:t>Afastamento das atividades notariais e de registro em virtude de diplomação em mandato eletivo. Pretensão de que seja conferida interpretação conforme à Constituição ao dispositivo para que se admita o exercício do mandato de vereador municipal. Impossibilidade. (...) Previsão, por meio de lei federal, da incompatibilidade do exercício simultâneo da atividade estatal de notários e registradores, exercida por meio de delegação, com a atividade legiferante. Possibilidade.</w:t>
      </w:r>
    </w:p>
    <w:p>
      <w:pPr>
        <w:ind w:left="288"/>
      </w:pPr>
      <w:r>
        <w:rPr>
          <w:b/>
          <w:color w:val="003CA0"/>
          <w:sz w:val="16"/>
        </w:rPr>
        <w:t>[ADI 1.531, rel. min. Gilmar Mendes, j. 3-10-2019, P, DJE de 20-3-2020.]</w:t>
      </w:r>
    </w:p>
    <w:p>
      <w:pPr>
        <w:ind w:left="144"/>
      </w:pPr>
      <w:r>
        <w:rPr>
          <w:b/>
          <w:color w:val="B45A00"/>
          <w:sz w:val="16"/>
        </w:rPr>
        <w:t>JULGADOS CORRELATOS</w:t>
      </w:r>
    </w:p>
    <w:p>
      <w:pPr>
        <w:ind w:left="288"/>
      </w:pPr>
      <w:r>
        <w:rPr>
          <w:color w:val="8C8C8C"/>
          <w:sz w:val="12"/>
        </w:rPr>
        <w:t>cf-art-29-inc-VIII</w:t>
      </w:r>
      <w:r>
        <w:rPr>
          <w:color w:val="003CA0"/>
          <w:sz w:val="12"/>
        </w:rPr>
        <w:t xml:space="preserve"> | RE 497.554</w:t>
      </w:r>
      <w:r>
        <w:rPr>
          <w:color w:val="003CA0"/>
          <w:sz w:val="12"/>
        </w:rPr>
        <w:t xml:space="preserve"> | rel. Ricardo Lewandowski</w:t>
      </w:r>
    </w:p>
    <w:p>
      <w:pPr>
        <w:ind w:left="288"/>
      </w:pPr>
      <w:r>
        <w:rPr>
          <w:color w:val="1E1E1E"/>
          <w:sz w:val="18"/>
        </w:rPr>
        <w:t>Em virtude do disposto no art. 29, IX, da Constituição, a lei orgânica municipal deve guardar, no que couber, correspondência com o modelo federal acerca das proibições e incompatibilidades dos vereadores. Impossibilidade de acumulação dos cargos e da remuneração de vereador e de secretário municipal. Interpretação sistemática dos arts. 36, 54 e 56 da CF.</w:t>
      </w:r>
    </w:p>
    <w:p>
      <w:pPr>
        <w:ind w:left="288"/>
      </w:pPr>
      <w:r>
        <w:rPr>
          <w:b/>
          <w:color w:val="003CA0"/>
          <w:sz w:val="16"/>
        </w:rPr>
        <w:t>[RE 497.554, rel. min. Ricardo Lewandowski, j. 27-4-2010, 1ª T, DJE de 14-5-2010.]</w:t>
      </w:r>
    </w:p>
    <w:p>
      <w:pPr>
        <w:ind w:left="144"/>
      </w:pPr>
      <w:r>
        <w:rPr>
          <w:b/>
          <w:color w:val="B45A00"/>
          <w:sz w:val="16"/>
        </w:rPr>
        <w:t>SUMULA</w:t>
      </w:r>
    </w:p>
    <w:p>
      <w:pPr>
        <w:ind w:left="288"/>
      </w:pPr>
      <w:r>
        <w:rPr>
          <w:color w:val="8C8C8C"/>
          <w:sz w:val="12"/>
        </w:rPr>
        <w:t>cf-art-29-inc-X</w:t>
      </w:r>
    </w:p>
    <w:p>
      <w:pPr>
        <w:ind w:left="288"/>
      </w:pPr>
      <w:r>
        <w:rPr>
          <w:color w:val="1E1E1E"/>
          <w:sz w:val="18"/>
        </w:rPr>
        <w:t>A extinção do mandato do prefeito não impede a instauração de processo pela prática dos crimes previstos no art. 1º do DL 201/1967.</w:t>
      </w:r>
    </w:p>
    <w:p>
      <w:pPr>
        <w:ind w:left="288"/>
      </w:pPr>
      <w:r>
        <w:rPr>
          <w:b/>
          <w:color w:val="003CA0"/>
          <w:sz w:val="16"/>
        </w:rPr>
        <w:t>[Súmula 703.]</w:t>
      </w:r>
    </w:p>
    <w:p>
      <w:pPr>
        <w:ind w:left="288"/>
      </w:pPr>
      <w:r>
        <w:rPr>
          <w:color w:val="8C8C8C"/>
          <w:sz w:val="12"/>
        </w:rPr>
        <w:t>cf-art-29-inc-X</w:t>
      </w:r>
    </w:p>
    <w:p>
      <w:pPr>
        <w:ind w:left="288"/>
      </w:pPr>
      <w:r>
        <w:rPr>
          <w:color w:val="1E1E1E"/>
          <w:sz w:val="18"/>
        </w:rPr>
        <w:t>A competência do tribunal de justiça para julgar prefeitos restringe-se aos crimes de competência da Justiça comum estadual; nos demais casos, a competência originária caberá ao respectivo tribunal de segundo grau.</w:t>
      </w:r>
    </w:p>
    <w:p>
      <w:pPr>
        <w:ind w:left="288"/>
      </w:pPr>
      <w:r>
        <w:rPr>
          <w:b/>
          <w:color w:val="003CA0"/>
          <w:sz w:val="16"/>
        </w:rPr>
        <w:t>[Súmula 702.]</w:t>
      </w:r>
    </w:p>
    <w:p>
      <w:pPr>
        <w:ind w:left="144"/>
      </w:pPr>
      <w:r>
        <w:rPr>
          <w:b/>
          <w:color w:val="B45A00"/>
          <w:sz w:val="16"/>
        </w:rPr>
        <w:t>CONTROLE CONCENTRADO</w:t>
      </w:r>
    </w:p>
    <w:p>
      <w:pPr>
        <w:ind w:left="288"/>
      </w:pPr>
      <w:r>
        <w:rPr>
          <w:color w:val="8C8C8C"/>
          <w:sz w:val="12"/>
        </w:rPr>
        <w:t>cf-art-29-inc-X</w:t>
      </w:r>
      <w:r>
        <w:rPr>
          <w:color w:val="003CA0"/>
          <w:sz w:val="12"/>
        </w:rPr>
        <w:t xml:space="preserve"> | ADI 3.915</w:t>
      </w:r>
      <w:r>
        <w:rPr>
          <w:color w:val="003CA0"/>
          <w:sz w:val="12"/>
        </w:rPr>
        <w:t xml:space="preserve"> | rel. Alexandre de Moraes</w:t>
      </w:r>
    </w:p>
    <w:p>
      <w:pPr>
        <w:ind w:left="288"/>
      </w:pPr>
      <w:r>
        <w:rPr>
          <w:color w:val="1E1E1E"/>
          <w:sz w:val="18"/>
        </w:rPr>
        <w:t>Uma vez atribuída aos tribunais de justiça a competência para o julgamento dos prefeitos pela prática de crimes comuns, aí incluídos os crimes de responsabilidade impróprios (art. 1º do DL 201/1967), incumbe a essas Cortes definir, em seus respectivos regimentos, o órgão interno responsável pela instrução e julgamento dessas ações.</w:t>
      </w:r>
    </w:p>
    <w:p>
      <w:pPr>
        <w:ind w:left="288"/>
      </w:pPr>
      <w:r>
        <w:rPr>
          <w:b/>
          <w:color w:val="003CA0"/>
          <w:sz w:val="16"/>
        </w:rPr>
        <w:t>[ADI 3.915, rel. min. Alexandre de Moraes, j. 20-6-2018, P, DJE de 28-6-2018.]</w:t>
      </w:r>
    </w:p>
    <w:p>
      <w:pPr>
        <w:ind w:left="288"/>
      </w:pPr>
      <w:r>
        <w:rPr>
          <w:color w:val="8C8C8C"/>
          <w:sz w:val="12"/>
        </w:rPr>
        <w:t>cf-art-29-inc-X</w:t>
      </w:r>
      <w:r>
        <w:rPr>
          <w:color w:val="003CA0"/>
          <w:sz w:val="12"/>
        </w:rPr>
        <w:t xml:space="preserve"> | ADI 2.797</w:t>
      </w:r>
      <w:r>
        <w:rPr>
          <w:color w:val="003CA0"/>
          <w:sz w:val="12"/>
        </w:rPr>
        <w:t xml:space="preserve"> | rel. Sepúlveda Pertence</w:t>
      </w:r>
    </w:p>
    <w:p>
      <w:pPr>
        <w:ind w:left="288"/>
      </w:pPr>
      <w:r>
        <w:rPr>
          <w:color w:val="1E1E1E"/>
          <w:sz w:val="18"/>
        </w:rPr>
        <w:t>Foro especial por prerrogativa de função: extensão, no tempo, ao momento posterior à cessação da investidura na função dele determinante. Súmula 394/STF (cancelamento pelo STF). (...) Quanto aos tribunais locais, a CF – salvo as hipóteses dos seus arts. 29, X, e 96, III – reservou explicitamente às Constituições dos Estados-membros a definição da competência dos seus tribunais, o que afasta a possibilidade de ser ela alterada por lei federal ordinária.</w:t>
      </w:r>
    </w:p>
    <w:p>
      <w:pPr>
        <w:ind w:left="288"/>
      </w:pPr>
      <w:r>
        <w:rPr>
          <w:b/>
          <w:color w:val="003CA0"/>
          <w:sz w:val="16"/>
        </w:rPr>
        <w:t>[ADI 2.797 e ADI 2.860, rel. min. Sepúlveda Pertence, j. 15-9-2005, P, DJ de 19-12-2006.]</w:t>
      </w:r>
    </w:p>
    <w:p>
      <w:pPr>
        <w:ind w:left="288"/>
      </w:pPr>
      <w:r>
        <w:rPr>
          <w:color w:val="8C8C8C"/>
          <w:sz w:val="12"/>
        </w:rPr>
        <w:t>cf-art-29-inc-X</w:t>
      </w:r>
      <w:r>
        <w:rPr>
          <w:color w:val="003CA0"/>
          <w:sz w:val="12"/>
        </w:rPr>
        <w:t xml:space="preserve"> | ADI 687</w:t>
      </w:r>
      <w:r>
        <w:rPr>
          <w:color w:val="003CA0"/>
          <w:sz w:val="12"/>
        </w:rPr>
        <w:t xml:space="preserve"> | rel. Celso de Mello</w:t>
      </w:r>
    </w:p>
    <w:p>
      <w:pPr>
        <w:ind w:left="288"/>
      </w:pPr>
      <w:r>
        <w:rPr>
          <w:color w:val="1E1E1E"/>
          <w:sz w:val="18"/>
        </w:rPr>
        <w:t xml:space="preserve">Compete, exclusivamente, à câmara de vereadores, processar e julgar o prefeito municipal nas infrações político-administrativas, assim definidas em legislação emanada da União Federal, podendo impor, ao chefe do Executivo local, observada a garantia constitucional do due process of law, a sanção de cassação de seu mandato eletivo. (...) O tribunal de justiça do Estado, ressalvadas as hipóteses que se incluem na esfera de atribuições jurisdicionais da Justiça Federal comum, da Justiça Militar da União e da Justiça Eleitoral, dispõe de competência originária para processar e julgar os prefeitos </w:t>
      </w:r>
    </w:p>
    <w:p>
      <w:pPr>
        <w:ind w:left="288"/>
      </w:pPr>
      <w:r>
        <w:rPr>
          <w:b/>
          <w:color w:val="003CA0"/>
          <w:sz w:val="16"/>
        </w:rPr>
        <w:t>[ADI 687, rel. min. Celso de Mello, j. 2-2-1995, P, DJ de 10-2-2006.]</w:t>
      </w:r>
    </w:p>
    <w:p>
      <w:pPr>
        <w:ind w:left="144"/>
      </w:pPr>
      <w:r>
        <w:rPr>
          <w:b/>
          <w:color w:val="B45A00"/>
          <w:sz w:val="16"/>
        </w:rPr>
        <w:t>JULGADOS CORRELATOS</w:t>
      </w:r>
    </w:p>
    <w:p>
      <w:pPr>
        <w:ind w:left="288"/>
      </w:pPr>
      <w:r>
        <w:rPr>
          <w:color w:val="8C8C8C"/>
          <w:sz w:val="12"/>
        </w:rPr>
        <w:t>cf-art-29-inc-X</w:t>
      </w:r>
      <w:r>
        <w:rPr>
          <w:color w:val="003CA0"/>
          <w:sz w:val="12"/>
        </w:rPr>
        <w:t xml:space="preserve"> | RCL 3.021</w:t>
      </w:r>
      <w:r>
        <w:rPr>
          <w:color w:val="003CA0"/>
          <w:sz w:val="12"/>
        </w:rPr>
        <w:t xml:space="preserve"> | rel. Cezar Peluso</w:t>
      </w:r>
    </w:p>
    <w:p>
      <w:pPr>
        <w:ind w:left="288"/>
      </w:pPr>
      <w:r>
        <w:rPr>
          <w:color w:val="1E1E1E"/>
          <w:sz w:val="18"/>
        </w:rPr>
        <w:t>A cessação do mandato eletivo, no curso do processo de ação de improbidade administrativa, implica perda automática da chamada prerrogativa de foro e deslocamento da causa ao juízo de primeiro grau, ainda que o fato que deu causa à demanda haja ocorrido durante o exercício da função pública.</w:t>
      </w:r>
    </w:p>
    <w:p>
      <w:pPr>
        <w:ind w:left="288"/>
      </w:pPr>
      <w:r>
        <w:rPr>
          <w:b/>
          <w:color w:val="003CA0"/>
          <w:sz w:val="16"/>
        </w:rPr>
        <w:t>[Rcl 3.021 AgR, rel. min. Cezar Peluso, j. 3-12-2008, P, DJE de 6-2-2009.]</w:t>
      </w:r>
    </w:p>
    <w:p>
      <w:pPr>
        <w:ind w:left="288"/>
      </w:pPr>
      <w:r>
        <w:rPr>
          <w:color w:val="8C8C8C"/>
          <w:sz w:val="12"/>
        </w:rPr>
        <w:t>cf-art-29-inc-X</w:t>
      </w:r>
      <w:r>
        <w:rPr>
          <w:color w:val="003CA0"/>
          <w:sz w:val="12"/>
        </w:rPr>
        <w:t xml:space="preserve"> | HC 88.536</w:t>
      </w:r>
      <w:r>
        <w:rPr>
          <w:color w:val="003CA0"/>
          <w:sz w:val="12"/>
        </w:rPr>
        <w:t xml:space="preserve"> | rel. Marco Aurélio</w:t>
      </w:r>
    </w:p>
    <w:p>
      <w:pPr>
        <w:ind w:left="288"/>
      </w:pPr>
      <w:r>
        <w:rPr>
          <w:color w:val="1E1E1E"/>
          <w:sz w:val="18"/>
        </w:rPr>
        <w:t>Competência. Ação penal. Ex-prefeito. Prerrogativa de foro. A prerrogativa de foro, prevista em norma a encerrar direito estrito, visa a beneficiar não a pessoa, mas o cargo ocupado. Cessado o exercício, tem-se o envolvimento, no caso, de cidadão que se submete às normas gerais.</w:t>
      </w:r>
    </w:p>
    <w:p>
      <w:pPr>
        <w:ind w:left="288"/>
      </w:pPr>
      <w:r>
        <w:rPr>
          <w:b/>
          <w:color w:val="003CA0"/>
          <w:sz w:val="16"/>
        </w:rPr>
        <w:t>[HC 88.536, rel. min. Marco Aurélio, j. 25-9-2007, 1ª T, DJE de 15-2-2008.]</w:t>
      </w:r>
    </w:p>
    <w:p>
      <w:pPr>
        <w:ind w:left="288"/>
      </w:pPr>
      <w:r>
        <w:rPr>
          <w:color w:val="8C8C8C"/>
          <w:sz w:val="12"/>
        </w:rPr>
        <w:t>cf-art-29-inc-X</w:t>
      </w:r>
      <w:r>
        <w:rPr>
          <w:color w:val="003CA0"/>
          <w:sz w:val="12"/>
        </w:rPr>
        <w:t xml:space="preserve"> | RHC 80.919</w:t>
      </w:r>
      <w:r>
        <w:rPr>
          <w:color w:val="003CA0"/>
          <w:sz w:val="12"/>
        </w:rPr>
        <w:t xml:space="preserve"> | rel. Nelson Jobim</w:t>
      </w:r>
    </w:p>
    <w:p>
      <w:pPr>
        <w:ind w:left="288"/>
      </w:pPr>
      <w:r>
        <w:rPr>
          <w:color w:val="1E1E1E"/>
          <w:sz w:val="18"/>
        </w:rPr>
        <w:t>No ordenamento jurídico brasileiro não existe a garantia do duplo grau de jurisdição. A Constituição concede aos prefeitos foro especial por prerrogativa de função. Determina que sejam julgados originariamente pelo tribunal de justiça.</w:t>
      </w:r>
    </w:p>
    <w:p>
      <w:pPr>
        <w:ind w:left="288"/>
      </w:pPr>
      <w:r>
        <w:rPr>
          <w:b/>
          <w:color w:val="003CA0"/>
          <w:sz w:val="16"/>
        </w:rPr>
        <w:t>[RHC 80.919, rel. min. Nelson Jobim, j. 12-6-2001, 2ª T, DJ de 14-9-2001.]</w:t>
      </w:r>
    </w:p>
    <w:p>
      <w:pPr>
        <w:ind w:left="288"/>
      </w:pPr>
      <w:r>
        <w:rPr>
          <w:color w:val="8C8C8C"/>
          <w:sz w:val="12"/>
        </w:rPr>
        <w:t>cf-art-29-inc-X</w:t>
      </w:r>
      <w:r>
        <w:rPr>
          <w:color w:val="003CA0"/>
          <w:sz w:val="12"/>
        </w:rPr>
        <w:t xml:space="preserve"> | HC 73.232</w:t>
      </w:r>
      <w:r>
        <w:rPr>
          <w:color w:val="003CA0"/>
          <w:sz w:val="12"/>
        </w:rPr>
        <w:t xml:space="preserve"> | rel. Maurício Corrêa</w:t>
      </w:r>
    </w:p>
    <w:p>
      <w:pPr>
        <w:ind w:left="288"/>
      </w:pPr>
      <w:r>
        <w:rPr>
          <w:color w:val="1E1E1E"/>
          <w:sz w:val="18"/>
        </w:rPr>
        <w:t>Cabe, exclusivamente, ao regimento interno do tribunal de justiça atribuir competência ao pleno, ou ao órgão especial, ou a órgão fracionário, para processar e julgar prefeitos municipais (CF, art. 29, X, e art. 96, I, a).</w:t>
      </w:r>
    </w:p>
    <w:p>
      <w:pPr>
        <w:ind w:left="288"/>
      </w:pPr>
      <w:r>
        <w:rPr>
          <w:b/>
          <w:color w:val="003CA0"/>
          <w:sz w:val="16"/>
        </w:rPr>
        <w:t>[HC 73.232, rel. min. Maurício Corrêa, j. 12-3-1996, 2ª T, DJ de 3-5-1996.]</w:t>
      </w:r>
    </w:p>
    <w:p>
      <w:pPr>
        <w:ind w:left="288"/>
      </w:pPr>
      <w:r>
        <w:rPr>
          <w:color w:val="8C8C8C"/>
          <w:sz w:val="12"/>
        </w:rPr>
        <w:t>cf-art-29-inc-X</w:t>
      </w:r>
      <w:r>
        <w:rPr>
          <w:color w:val="003CA0"/>
          <w:sz w:val="12"/>
        </w:rPr>
        <w:t xml:space="preserve"> | HC 71.429</w:t>
      </w:r>
      <w:r>
        <w:rPr>
          <w:color w:val="003CA0"/>
          <w:sz w:val="12"/>
        </w:rPr>
        <w:t xml:space="preserve"> | rel. Celso de Mello; HC 72.476/SP</w:t>
      </w:r>
    </w:p>
    <w:p>
      <w:pPr>
        <w:ind w:left="288"/>
      </w:pPr>
      <w:r>
        <w:rPr>
          <w:color w:val="1E1E1E"/>
          <w:sz w:val="18"/>
        </w:rPr>
        <w:t>A norma de competência inscrita no art. 29, X, da Carta Política (com a renumeração dada pela EC 1/1992) tem aplicabilidade imediata, alcançando, desde logo, todos os processos penais condenatórios que, instaurados perante magistrados estaduais de primeira instância contra prefeitos ou ex-prefeitos municipais, achavam-se em curso no momento da vigência da nova Constituição, justificando-se, em consequência, o deslocamento dessas causas penais para o tribunal de justiça do Estado-membro. (...) Não são inconstitucionais as normas de organização judiciária vigentes no Estado de São Paulo, notadam</w:t>
      </w:r>
    </w:p>
    <w:p>
      <w:pPr>
        <w:ind w:left="288"/>
      </w:pPr>
      <w:r>
        <w:rPr>
          <w:b/>
          <w:color w:val="003CA0"/>
          <w:sz w:val="16"/>
        </w:rPr>
        <w:t>[HC 72.465, rel. min. Celso de Mello, j. 5-9-1995, 1ª T, DJ de 24-11-1995.]</w:t>
      </w:r>
    </w:p>
    <w:p>
      <w:pPr>
        <w:ind w:left="288"/>
      </w:pPr>
      <w:r>
        <w:rPr>
          <w:color w:val="8C8C8C"/>
          <w:sz w:val="12"/>
        </w:rPr>
        <w:t>cf-art-29-inc-XII</w:t>
      </w:r>
    </w:p>
    <w:p>
      <w:pPr>
        <w:ind w:left="288"/>
      </w:pPr>
      <w:r>
        <w:rPr>
          <w:color w:val="1E1E1E"/>
          <w:sz w:val="18"/>
        </w:rPr>
        <w:t>XIII - iniciativa popular de projetos de lei de interesse específico do Município, da cidade ou de bairros, através de manifestação de, pelo menos, cinco por cento do eleitorado; (Renumerado do inciso XI, pela EC 1/1992) XIV - perda do mandato do Prefeito, nos termos do art. 28, parágrafo único. (Renumerado do inciso XII, pela EC 1/1992)</w:t>
      </w:r>
    </w:p>
    <w:p>
      <w:pPr>
        <w:ind w:left="144"/>
      </w:pPr>
      <w:r>
        <w:rPr>
          <w:b/>
          <w:color w:val="B45A00"/>
          <w:sz w:val="16"/>
        </w:rPr>
        <w:t>CONTROLE CONCENTRADO</w:t>
      </w:r>
    </w:p>
    <w:p>
      <w:pPr>
        <w:ind w:left="288"/>
      </w:pPr>
      <w:r>
        <w:rPr>
          <w:color w:val="8C8C8C"/>
          <w:sz w:val="12"/>
        </w:rPr>
        <w:t>cf-art-29-inc-XII</w:t>
      </w:r>
      <w:r>
        <w:rPr>
          <w:color w:val="003CA0"/>
          <w:sz w:val="12"/>
        </w:rPr>
        <w:t xml:space="preserve"> | ADI 336</w:t>
      </w:r>
      <w:r>
        <w:rPr>
          <w:color w:val="003CA0"/>
          <w:sz w:val="12"/>
        </w:rPr>
        <w:t xml:space="preserve"> | rel. Eros Grau</w:t>
      </w:r>
    </w:p>
    <w:p>
      <w:pPr>
        <w:ind w:left="288"/>
      </w:pPr>
      <w:r>
        <w:rPr>
          <w:color w:val="1E1E1E"/>
          <w:sz w:val="18"/>
        </w:rPr>
        <w:t>O inciso XIV do art. 29 da Constituição do Brasil/1988 estabelece que as prescrições do art. 28 relativas à perda do mandato de governador aplicam-se ao prefeito, qualificando-se, assim, como preceito de reprodução obrigatória por parte dos Estados-membros e Municípios. Não é permitido a esses entes da Federação modificar ou ampliar esses critérios. Se a Constituição do Brasil não sanciona com a perda do cargo de governador ou o prefeito que assuma cargo público em virtude de concurso realizado após sua eleição, não podem fazê-los as Constituições estaduais.</w:t>
      </w:r>
    </w:p>
    <w:p>
      <w:pPr>
        <w:ind w:left="288"/>
      </w:pPr>
      <w:r>
        <w:rPr>
          <w:b/>
          <w:color w:val="003CA0"/>
          <w:sz w:val="16"/>
        </w:rPr>
        <w:t>[ADI 336, voto do rel. min. Eros Grau, j. 10-2-2010, P, DJE de 17-9-2010.]</w:t>
      </w:r>
    </w:p>
    <w:p>
      <w:pPr>
        <w:ind w:left="288"/>
      </w:pPr>
      <w:r>
        <w:rPr>
          <w:color w:val="8C8C8C"/>
          <w:sz w:val="12"/>
        </w:rPr>
        <w:t>cf-art-29-inc-XII</w:t>
      </w:r>
    </w:p>
    <w:p>
      <w:pPr>
        <w:ind w:left="288"/>
      </w:pPr>
      <w:r>
        <w:rPr>
          <w:color w:val="1E1E1E"/>
          <w:sz w:val="18"/>
        </w:rPr>
        <w:t>Art. 29-A. O total da despesa do Poder Legislativo Municipal, incluídos os subsídios dos Vereadores e os demais gastos com pessoal inativo e pensionistas, não poderá ultrapassar os seguintes percentuais, relativos ao somatório da receita tributária e das transferências previstas no § 5º do art. 153 e nos arts. 158 e 159 desta Constituição, efetivamente realizado no exercício anterior. (Redaçaõ dada pela EC n. 109/2021)</w:t>
      </w:r>
    </w:p>
    <w:p>
      <w:pPr>
        <w:ind w:left="144"/>
      </w:pPr>
      <w:r>
        <w:rPr>
          <w:b/>
          <w:color w:val="B45A00"/>
          <w:sz w:val="16"/>
        </w:rPr>
        <w:t>JULGADOS CORRELATOS</w:t>
      </w:r>
    </w:p>
    <w:p>
      <w:pPr>
        <w:ind w:left="288"/>
      </w:pPr>
      <w:r>
        <w:rPr>
          <w:color w:val="8C8C8C"/>
          <w:sz w:val="12"/>
        </w:rPr>
        <w:t>cf-art-29-par-2</w:t>
      </w:r>
      <w:r>
        <w:rPr>
          <w:color w:val="003CA0"/>
          <w:sz w:val="12"/>
        </w:rPr>
        <w:t xml:space="preserve"> | INQ 3.155</w:t>
      </w:r>
      <w:r>
        <w:rPr>
          <w:color w:val="003CA0"/>
          <w:sz w:val="12"/>
        </w:rPr>
        <w:t xml:space="preserve"> | rel. Cármen Lúcia</w:t>
      </w:r>
    </w:p>
    <w:p>
      <w:pPr>
        <w:ind w:left="288"/>
      </w:pPr>
      <w:r>
        <w:rPr>
          <w:color w:val="1E1E1E"/>
          <w:sz w:val="18"/>
        </w:rPr>
        <w:t>O art. 1º, XIV, segunda parte, do DL 201/1967 aperfeiçoa-se apenas quando a conduta assumir a forma dolosa, traduzida na vontade de não cumprir a ordem judicial e, embora não existam referências quanto ao elemento subjetivo explícito, é imprescindível que se identifique no comportamento omissivo o propósito de desobedecer e de frustrar a administração da Justiça. Tratando-se de crime cujo sujeito ativo é o prefeito, indispensável sua inequívoca ciência da determinação judicial, pois a mera comunicação da ordem a terceiros não é suficiente para atender às exigências legais. Não pode ser validad</w:t>
      </w:r>
    </w:p>
    <w:p>
      <w:pPr>
        <w:ind w:left="288"/>
      </w:pPr>
      <w:r>
        <w:rPr>
          <w:b/>
          <w:color w:val="003CA0"/>
          <w:sz w:val="16"/>
        </w:rPr>
        <w:t>[Inq 3.155, rel. min. Cármen Lúcia, j. 22-9-2011, P, DJE de 11-10-2011.]</w:t>
      </w:r>
    </w:p>
    <w:p>
      <w:pPr>
        <w:ind w:left="432"/>
      </w:pPr>
      <w:r>
        <w:rPr>
          <w:color w:val="003366"/>
          <w:sz w:val="18"/>
        </w:rPr>
        <w:t>§ 1 O Presidente da República, no prazo de cento e vinte dias, encaminhará ao Co</w:t>
      </w:r>
    </w:p>
    <w:p>
      <w:pPr>
        <w:ind w:left="432"/>
      </w:pPr>
      <w:r>
        <w:rPr>
          <w:color w:val="003366"/>
          <w:sz w:val="18"/>
        </w:rPr>
        <w:t>§ 2 Aos atuais Procuradores da República, nos termos da lei complementar, será f</w:t>
      </w:r>
    </w:p>
    <w:p>
      <w:pPr>
        <w:ind w:left="432"/>
      </w:pPr>
      <w:r>
        <w:rPr>
          <w:color w:val="003366"/>
          <w:sz w:val="18"/>
        </w:rPr>
        <w:t>§ 3 Poderá optar pelo regime anterior, no que respeita às garantias e vantagens,</w:t>
      </w:r>
    </w:p>
    <w:p>
      <w:pPr>
        <w:ind w:left="432"/>
      </w:pPr>
      <w:r>
        <w:rPr>
          <w:color w:val="003366"/>
          <w:sz w:val="18"/>
        </w:rPr>
        <w:t>§ 4 Os atuais integrantes do quadro suplementar dos Ministérios Públicos do Trab</w:t>
      </w:r>
    </w:p>
    <w:p>
      <w:pPr>
        <w:ind w:left="432"/>
      </w:pPr>
      <w:r>
        <w:rPr>
          <w:color w:val="003366"/>
          <w:sz w:val="18"/>
        </w:rPr>
        <w:t>§ 5 Cabe à atual Procuradoria-Geral da Fazenda Nacional, diretamente ou por dele</w:t>
      </w:r>
    </w:p>
    <w:p>
      <w:r>
        <w:rPr>
          <w:b/>
          <w:color w:val="003366"/>
          <w:sz w:val="20"/>
        </w:rPr>
        <w:t xml:space="preserve">Art. 30 A legislação que criar a justiça de paz manterá os atuais juízes de paz </w:t>
      </w:r>
      <w:r>
        <w:rPr>
          <w:color w:val="8C8C8C"/>
          <w:sz w:val="14"/>
        </w:rPr>
        <w:t xml:space="preserve">  [46 decisoes]</w:t>
      </w:r>
    </w:p>
    <w:p>
      <w:pPr>
        <w:ind w:left="144"/>
      </w:pPr>
      <w:r>
        <w:rPr>
          <w:b/>
          <w:color w:val="B45A00"/>
          <w:sz w:val="16"/>
        </w:rPr>
        <w:t>SUMULA VINCULANTE</w:t>
      </w:r>
    </w:p>
    <w:p>
      <w:pPr>
        <w:ind w:left="288"/>
      </w:pPr>
      <w:r>
        <w:rPr>
          <w:color w:val="8C8C8C"/>
          <w:sz w:val="12"/>
        </w:rPr>
        <w:t>cf-art-30-inc-I</w:t>
      </w:r>
    </w:p>
    <w:p>
      <w:pPr>
        <w:ind w:left="288"/>
      </w:pPr>
      <w:r>
        <w:rPr>
          <w:color w:val="1E1E1E"/>
          <w:sz w:val="18"/>
        </w:rPr>
        <w:t>É competente o Município para fixar o horário de funcionamento de estabelecimento comercial.</w:t>
      </w:r>
    </w:p>
    <w:p>
      <w:pPr>
        <w:ind w:left="288"/>
      </w:pPr>
      <w:r>
        <w:rPr>
          <w:b/>
          <w:color w:val="003CA0"/>
          <w:sz w:val="16"/>
        </w:rPr>
        <w:t>[Súmula Vinculante 38.]</w:t>
      </w:r>
    </w:p>
    <w:p>
      <w:pPr>
        <w:ind w:left="288"/>
      </w:pPr>
      <w:r>
        <w:rPr>
          <w:color w:val="8C8C8C"/>
          <w:sz w:val="12"/>
        </w:rPr>
        <w:t>cf-art-30-inc-I</w:t>
      </w:r>
      <w:r>
        <w:rPr>
          <w:color w:val="003CA0"/>
          <w:sz w:val="12"/>
        </w:rPr>
        <w:t xml:space="preserve"> | RE 1.576.466</w:t>
      </w:r>
      <w:r>
        <w:rPr>
          <w:color w:val="003CA0"/>
          <w:sz w:val="12"/>
        </w:rPr>
        <w:t xml:space="preserve"> | rel. Flávio Dino</w:t>
      </w:r>
    </w:p>
    <w:p>
      <w:pPr>
        <w:ind w:left="288"/>
      </w:pPr>
      <w:r>
        <w:rPr>
          <w:color w:val="1E1E1E"/>
          <w:sz w:val="18"/>
        </w:rPr>
        <w:t>Competência legislativa municipal. Exigência municipal de instalação de detectores de monóxido de carbono em imóveis residenciais. (...) A inexistência de norma geral federal aplicável afasta qualquer incompatibilidade entre a legislação municipal e o ordenamento federal, inserindo-se a Lei nº 6.002/2024 no âmbito da competência legislativa suplementar do Município para editar normas protetivas à saúde e à segurança habitacional. A alegação de vício de competência não prospera, pois não há contrariedade a normas gerais federais nem usurpação de competência privativa da União. Inexistindo parâm</w:t>
      </w:r>
    </w:p>
    <w:p>
      <w:pPr>
        <w:ind w:left="288"/>
      </w:pPr>
      <w:r>
        <w:rPr>
          <w:b/>
          <w:color w:val="003CA0"/>
          <w:sz w:val="16"/>
        </w:rPr>
        <w:t>[RE 1.576.466 AgR, rel. min. Flávio Dino, j. 9-2-2026, P, DJE de 23-2-2026.]</w:t>
      </w:r>
    </w:p>
    <w:p>
      <w:pPr>
        <w:ind w:left="144"/>
      </w:pPr>
      <w:r>
        <w:rPr>
          <w:b/>
          <w:color w:val="B45A00"/>
          <w:sz w:val="16"/>
        </w:rPr>
        <w:t>CONTROLE CONCENTRADO</w:t>
      </w:r>
    </w:p>
    <w:p>
      <w:pPr>
        <w:ind w:left="288"/>
      </w:pPr>
      <w:r>
        <w:rPr>
          <w:color w:val="8C8C8C"/>
          <w:sz w:val="12"/>
        </w:rPr>
        <w:t>cf-art-30-inc-I</w:t>
      </w:r>
      <w:r>
        <w:rPr>
          <w:color w:val="003CA0"/>
          <w:sz w:val="12"/>
        </w:rPr>
        <w:t xml:space="preserve"> | ADPF 971</w:t>
      </w:r>
      <w:r>
        <w:rPr>
          <w:color w:val="003CA0"/>
          <w:sz w:val="12"/>
        </w:rPr>
        <w:t xml:space="preserve"> | rel. Gilmar Mendes</w:t>
      </w:r>
    </w:p>
    <w:p>
      <w:pPr>
        <w:ind w:left="288"/>
      </w:pPr>
      <w:r>
        <w:rPr>
          <w:color w:val="1E1E1E"/>
          <w:sz w:val="18"/>
        </w:rPr>
        <w:t>Diretrizes gerais para a prorrogação e relicitação dos contratos de parceria entre o Município e iniciativa privada. Discricionariedade da Administração Municipal. Possibilidade.</w:t>
        <w:br/>
        <w:t>[ADPF 971, rel. min. Gilmar Mendes, j. 29-5-2023, P, DJE de 2-8-2023.] Instituição do feriado municipal comemorativo do Dia da Consciência Negra. Competência municipal para instituição de feriado de alta significação étnica. Interesse local.</w:t>
        <w:br/>
        <w:t>[ADPF 634, rel. min. Cármen Lúcia, j. 30-11-2022, P, DJE de 13-4-2023.] Cabe aos municípios promover o licenciamento ambiental das atividades ou empreendimentos possam causar impa</w:t>
      </w:r>
    </w:p>
    <w:p>
      <w:pPr>
        <w:ind w:left="288"/>
      </w:pPr>
      <w:r>
        <w:rPr>
          <w:b/>
          <w:color w:val="003CA0"/>
          <w:sz w:val="16"/>
        </w:rPr>
        <w:t>[ADI 2.142, rel. min. Roberto Barroso, j. 27-6-2022, P, DJE de 4-7-2022.]</w:t>
      </w:r>
    </w:p>
    <w:p>
      <w:pPr>
        <w:ind w:left="288"/>
      </w:pPr>
      <w:r>
        <w:rPr>
          <w:color w:val="8C8C8C"/>
          <w:sz w:val="12"/>
        </w:rPr>
        <w:t>cf-art-30-inc-I</w:t>
      </w:r>
      <w:r>
        <w:rPr>
          <w:color w:val="003CA0"/>
          <w:sz w:val="12"/>
        </w:rPr>
        <w:t xml:space="preserve"> | ADI 144</w:t>
      </w:r>
      <w:r>
        <w:rPr>
          <w:color w:val="003CA0"/>
          <w:sz w:val="12"/>
        </w:rPr>
        <w:t xml:space="preserve"> | rel. Gilmar Mendes</w:t>
      </w:r>
    </w:p>
    <w:p>
      <w:pPr>
        <w:ind w:left="288"/>
      </w:pPr>
      <w:r>
        <w:rPr>
          <w:color w:val="1E1E1E"/>
          <w:sz w:val="18"/>
        </w:rPr>
        <w:t>(...)  a jurisprudência desta Corte firmou entendimento no sentido de que a fixação, pelas Constituições dos Estados, de data para o pagamento dos vencimentos dos servidores estaduais e a previsão de correção monetária em caso de atraso não afrontam a CF. (...) No entanto, como bem apontado no acórdão que julgou a medida liminar, a Constituição do Rio Grande do Norte estende a obrigação aos servidores municipais e aos empregados celetistas de empresas públicas e sociedades de economia mista. Nesse ponto, a discussão transfere-se para a preservação de dois importantes valores constitucionais: a</w:t>
      </w:r>
    </w:p>
    <w:p>
      <w:pPr>
        <w:ind w:left="288"/>
      </w:pPr>
      <w:r>
        <w:rPr>
          <w:b/>
          <w:color w:val="003CA0"/>
          <w:sz w:val="16"/>
        </w:rPr>
        <w:t>[ADI 144, voto do rel. min. Gilmar Mendes, j. 19-2-2014, P, DJE de 3-4-2014.]</w:t>
      </w:r>
    </w:p>
    <w:p>
      <w:pPr>
        <w:ind w:left="288"/>
      </w:pPr>
      <w:r>
        <w:rPr>
          <w:color w:val="8C8C8C"/>
          <w:sz w:val="12"/>
        </w:rPr>
        <w:t>cf-art-30-inc-I</w:t>
      </w:r>
      <w:r>
        <w:rPr>
          <w:color w:val="003CA0"/>
          <w:sz w:val="12"/>
        </w:rPr>
        <w:t xml:space="preserve"> | ADI 2.077</w:t>
      </w:r>
    </w:p>
    <w:p>
      <w:pPr>
        <w:ind w:left="288"/>
      </w:pPr>
      <w:r>
        <w:rPr>
          <w:color w:val="1E1E1E"/>
          <w:sz w:val="18"/>
        </w:rPr>
        <w:t>É bastante plausível a alegada violação da regra constitucional que assegura autonomia aos Municípios para dispor sobre assuntos de interesse local, causada por limitação territorial constante em dispositivo de constituição estadual.</w:t>
      </w:r>
    </w:p>
    <w:p>
      <w:pPr>
        <w:ind w:left="288"/>
      </w:pPr>
      <w:r>
        <w:rPr>
          <w:b/>
          <w:color w:val="003CA0"/>
          <w:sz w:val="16"/>
        </w:rPr>
        <w:t>[ADI 2.077 MC, red. do ac. min. Joaquim Barbosa, j. 6-3-2013, P, DJE de 9-10-2014.]</w:t>
      </w:r>
    </w:p>
    <w:p>
      <w:pPr>
        <w:ind w:left="288"/>
      </w:pPr>
      <w:r>
        <w:rPr>
          <w:color w:val="8C8C8C"/>
          <w:sz w:val="12"/>
        </w:rPr>
        <w:t>cf-art-30-inc-I</w:t>
      </w:r>
      <w:r>
        <w:rPr>
          <w:color w:val="003CA0"/>
          <w:sz w:val="12"/>
        </w:rPr>
        <w:t xml:space="preserve"> | ADI 3.549</w:t>
      </w:r>
      <w:r>
        <w:rPr>
          <w:color w:val="003CA0"/>
          <w:sz w:val="12"/>
        </w:rPr>
        <w:t xml:space="preserve"> | rel. Cármen Lúcia</w:t>
      </w:r>
    </w:p>
    <w:p>
      <w:pPr>
        <w:ind w:left="288"/>
      </w:pPr>
      <w:r>
        <w:rPr>
          <w:color w:val="1E1E1E"/>
          <w:sz w:val="18"/>
        </w:rPr>
        <w:t>A vocação sucessória dos cargos de prefeito e vice-prefeito põe-se no âmbito da autonomia política local, em caso de dupla vacância. Ao disciplinar matéria, cuja competência é exclusiva dos Municípios, o art. 75, § 2º, da Constituição de Goiás fere a autonomia desses entes, mitigando-lhes a capacidade de auto-organização e de autogoverno e limitando a sua autonomia política assegurada pela Constituição brasileira.</w:t>
      </w:r>
    </w:p>
    <w:p>
      <w:pPr>
        <w:ind w:left="288"/>
      </w:pPr>
      <w:r>
        <w:rPr>
          <w:b/>
          <w:color w:val="003CA0"/>
          <w:sz w:val="16"/>
        </w:rPr>
        <w:t>[ADI 3.549, rel. min. Cármen Lúcia, j. 17-9-2007, P, DJ de 31-10-2007.]</w:t>
      </w:r>
    </w:p>
    <w:p>
      <w:pPr>
        <w:ind w:left="288"/>
      </w:pPr>
      <w:r>
        <w:rPr>
          <w:color w:val="8C8C8C"/>
          <w:sz w:val="12"/>
        </w:rPr>
        <w:t>cf-art-30-inc-I</w:t>
      </w:r>
      <w:r>
        <w:rPr>
          <w:color w:val="003CA0"/>
          <w:sz w:val="12"/>
        </w:rPr>
        <w:t xml:space="preserve"> | ADI 3.731</w:t>
      </w:r>
      <w:r>
        <w:rPr>
          <w:color w:val="003CA0"/>
          <w:sz w:val="12"/>
        </w:rPr>
        <w:t xml:space="preserve"> | rel. Cezar Peluso</w:t>
      </w:r>
    </w:p>
    <w:p>
      <w:pPr>
        <w:ind w:left="288"/>
      </w:pPr>
      <w:r>
        <w:rPr>
          <w:color w:val="1E1E1E"/>
          <w:sz w:val="18"/>
        </w:rPr>
        <w:t>Aparenta inconstitucionalidade a resolução de autoridade estadual que, sob pretexto do exercício do poder de polícia, discipline horário de funcionamento de estabelecimentos comerciais, matéria de consumo e assuntos análogos.</w:t>
      </w:r>
    </w:p>
    <w:p>
      <w:pPr>
        <w:ind w:left="288"/>
      </w:pPr>
      <w:r>
        <w:rPr>
          <w:b/>
          <w:color w:val="003CA0"/>
          <w:sz w:val="16"/>
        </w:rPr>
        <w:t>[ADI 3.731 MC, rel. min. Cezar Peluso, j. 29-8-2007, P, DJ de 11-10-2007.]</w:t>
      </w:r>
    </w:p>
    <w:p>
      <w:pPr>
        <w:ind w:left="288"/>
      </w:pPr>
      <w:r>
        <w:rPr>
          <w:color w:val="8C8C8C"/>
          <w:sz w:val="12"/>
        </w:rPr>
        <w:t>cf-art-30-inc-I</w:t>
      </w:r>
      <w:r>
        <w:rPr>
          <w:color w:val="003CA0"/>
          <w:sz w:val="12"/>
        </w:rPr>
        <w:t xml:space="preserve"> | ADI 3.691</w:t>
      </w:r>
      <w:r>
        <w:rPr>
          <w:color w:val="003CA0"/>
          <w:sz w:val="12"/>
        </w:rPr>
        <w:t xml:space="preserve"> | rel. Gilmar Mendes</w:t>
      </w:r>
    </w:p>
    <w:p>
      <w:pPr>
        <w:ind w:left="288"/>
      </w:pPr>
      <w:r>
        <w:rPr>
          <w:color w:val="1E1E1E"/>
          <w:sz w:val="18"/>
        </w:rPr>
        <w:t>= ADI 3.691, rel. min. Gilmar Mendes, j. 29-8-2007, P, DJE de 9-5-2008 (In)constitucionalidade de marco regulatório municipal dos serviços cemiteriais, funerários e de cremação, à luz das normas constitucionais da ordem econômica.</w:t>
      </w:r>
    </w:p>
    <w:p>
      <w:pPr>
        <w:ind w:left="288"/>
      </w:pPr>
      <w:r>
        <w:rPr>
          <w:b/>
          <w:color w:val="003CA0"/>
          <w:sz w:val="16"/>
        </w:rPr>
        <w:t>[RE 1.343.346 RG, rel. min. Luiz Fux, j. 11.10.2024, P, DJE de 16.10.2024, Tema 1.332, com mérito pendente.]</w:t>
      </w:r>
    </w:p>
    <w:p>
      <w:pPr>
        <w:ind w:left="144"/>
      </w:pPr>
      <w:r>
        <w:rPr>
          <w:b/>
          <w:color w:val="B45A00"/>
          <w:sz w:val="16"/>
        </w:rPr>
        <w:t>REPERCUSSAO GERAL</w:t>
      </w:r>
    </w:p>
    <w:p>
      <w:pPr>
        <w:ind w:left="288"/>
      </w:pPr>
      <w:r>
        <w:rPr>
          <w:color w:val="8C8C8C"/>
          <w:sz w:val="12"/>
        </w:rPr>
        <w:t>cf-art-30-inc-I</w:t>
      </w:r>
      <w:r>
        <w:rPr>
          <w:color w:val="003CA0"/>
          <w:sz w:val="12"/>
        </w:rPr>
        <w:t xml:space="preserve"> | RE 738.481</w:t>
      </w:r>
      <w:r>
        <w:rPr>
          <w:color w:val="003CA0"/>
          <w:sz w:val="12"/>
        </w:rPr>
        <w:t xml:space="preserve"> | rel. Edson Fachin</w:t>
      </w:r>
    </w:p>
    <w:p>
      <w:pPr>
        <w:ind w:left="288"/>
      </w:pPr>
      <w:r>
        <w:rPr>
          <w:color w:val="1E1E1E"/>
          <w:sz w:val="18"/>
        </w:rPr>
        <w:t>“Compete aos municípios legislar sobre a obrigatoriedade de instalação de hidrômetros individuais nos edifícios e condomínios, em razão do preponderante interesse local envolvido.”</w:t>
      </w:r>
    </w:p>
    <w:p>
      <w:pPr>
        <w:ind w:left="288"/>
      </w:pPr>
      <w:r>
        <w:rPr>
          <w:b/>
          <w:color w:val="003CA0"/>
          <w:sz w:val="16"/>
        </w:rPr>
        <w:t>[RE 738.481, rel. min. Edson Fachin, j. 17-8-2021, P, DJE de 25-8-2021, Tema 849, com mérito julgado.]</w:t>
      </w:r>
    </w:p>
    <w:p>
      <w:pPr>
        <w:ind w:left="288"/>
      </w:pPr>
      <w:r>
        <w:rPr>
          <w:color w:val="8C8C8C"/>
          <w:sz w:val="12"/>
        </w:rPr>
        <w:t>cf-art-30-inc-I</w:t>
      </w:r>
      <w:r>
        <w:rPr>
          <w:color w:val="003CA0"/>
          <w:sz w:val="12"/>
        </w:rPr>
        <w:t xml:space="preserve"> | RE 1.151.237</w:t>
      </w:r>
      <w:r>
        <w:rPr>
          <w:color w:val="003CA0"/>
          <w:sz w:val="12"/>
        </w:rPr>
        <w:t xml:space="preserve"> | rel. Alexandre de Moraes</w:t>
      </w:r>
    </w:p>
    <w:p>
      <w:pPr>
        <w:ind w:left="288"/>
      </w:pPr>
      <w:r>
        <w:rPr>
          <w:color w:val="1E1E1E"/>
          <w:sz w:val="18"/>
        </w:rPr>
        <w:t>(...) a existência de uma coabitação normativa entre os Poderes Executivo (decreto) e o Legislativo (lei formal), para o exercício da competência destinada a ‘denominação de próprios, vias e logradouros públicos e suas alterações’, cada qual no âmbito de suas atribuições.</w:t>
      </w:r>
    </w:p>
    <w:p>
      <w:pPr>
        <w:ind w:left="288"/>
      </w:pPr>
      <w:r>
        <w:rPr>
          <w:b/>
          <w:color w:val="003CA0"/>
          <w:sz w:val="16"/>
        </w:rPr>
        <w:t>[RE 1.151.237, rel. min. Alexandre de Moraes, j. 3-10-2019, P, DJE de 12-11-2019, Tema 1070.]</w:t>
      </w:r>
    </w:p>
    <w:p>
      <w:pPr>
        <w:ind w:left="288"/>
      </w:pPr>
      <w:r>
        <w:rPr>
          <w:color w:val="8C8C8C"/>
          <w:sz w:val="12"/>
        </w:rPr>
        <w:t>cf-art-30-inc-I</w:t>
      </w:r>
      <w:r>
        <w:rPr>
          <w:color w:val="003CA0"/>
          <w:sz w:val="12"/>
        </w:rPr>
        <w:t xml:space="preserve"> | RE 586.224</w:t>
      </w:r>
      <w:r>
        <w:rPr>
          <w:color w:val="003CA0"/>
          <w:sz w:val="12"/>
        </w:rPr>
        <w:t xml:space="preserve"> | rel. Luiz Fux</w:t>
      </w:r>
    </w:p>
    <w:p>
      <w:pPr>
        <w:ind w:left="288"/>
      </w:pPr>
      <w:r>
        <w:rPr>
          <w:color w:val="1E1E1E"/>
          <w:sz w:val="18"/>
        </w:rPr>
        <w:t>O Município é competente para legislar sobre meio ambiente com União e Estado, no limite de seu interesse local e desde que tal regramento seja e harmônico com a disciplina estabelecida pelos demais entes federados (art. 24, VI, c/c 30, I e II, da CRFB).</w:t>
      </w:r>
    </w:p>
    <w:p>
      <w:pPr>
        <w:ind w:left="288"/>
      </w:pPr>
      <w:r>
        <w:rPr>
          <w:b/>
          <w:color w:val="003CA0"/>
          <w:sz w:val="16"/>
        </w:rPr>
        <w:t>[RE 586.224, rel. min. Luiz Fux, j. 5-3-2015, P, DJE de 8-5-2015, Tema 145.]</w:t>
      </w:r>
    </w:p>
    <w:p>
      <w:pPr>
        <w:ind w:left="288"/>
      </w:pPr>
      <w:r>
        <w:rPr>
          <w:color w:val="8C8C8C"/>
          <w:sz w:val="12"/>
        </w:rPr>
        <w:t>cf-art-30-inc-I</w:t>
      </w:r>
      <w:r>
        <w:rPr>
          <w:color w:val="003CA0"/>
          <w:sz w:val="12"/>
        </w:rPr>
        <w:t xml:space="preserve"> | ARE 639.496</w:t>
      </w:r>
      <w:r>
        <w:rPr>
          <w:color w:val="003CA0"/>
          <w:sz w:val="12"/>
        </w:rPr>
        <w:t xml:space="preserve"> | rel. Cezar Peluso</w:t>
      </w:r>
    </w:p>
    <w:p>
      <w:pPr>
        <w:ind w:left="288"/>
      </w:pPr>
      <w:r>
        <w:rPr>
          <w:color w:val="1E1E1E"/>
          <w:sz w:val="18"/>
        </w:rPr>
        <w:t>(...)  inconstitucionalidade de norma municipal que impõe sanção mais gravosa que a prevista no CTB, por extrapolar a competência legislativa suplementar do Município expressa no art. 30, II, da CF. (...) Esta Corte possui ainda jurisprudência firmada no sentido de que compete privativamente à União legislar sobre trânsito e transporte, impossibilitados os Estados-membros e Municípios a legislar sobre a matéria enquanto não autorizados por lei complementar.</w:t>
      </w:r>
    </w:p>
    <w:p>
      <w:pPr>
        <w:ind w:left="288"/>
      </w:pPr>
      <w:r>
        <w:rPr>
          <w:b/>
          <w:color w:val="003CA0"/>
          <w:sz w:val="16"/>
        </w:rPr>
        <w:t>[ARE 639.496 RG, voto do rel. min. Cezar Peluso, j. 16-6-2011, P, DJE de 31-8-2011, Tema 430.]</w:t>
      </w:r>
    </w:p>
    <w:p>
      <w:pPr>
        <w:ind w:left="288"/>
      </w:pPr>
      <w:r>
        <w:rPr>
          <w:color w:val="8C8C8C"/>
          <w:sz w:val="12"/>
        </w:rPr>
        <w:t>cf-art-30-inc-I</w:t>
      </w:r>
      <w:r>
        <w:rPr>
          <w:color w:val="003CA0"/>
          <w:sz w:val="12"/>
        </w:rPr>
        <w:t xml:space="preserve"> | RE 610.221</w:t>
      </w:r>
      <w:r>
        <w:rPr>
          <w:color w:val="003CA0"/>
          <w:sz w:val="12"/>
        </w:rPr>
        <w:t xml:space="preserve"> | rel. Ellen Gracie</w:t>
      </w:r>
    </w:p>
    <w:p>
      <w:pPr>
        <w:ind w:left="288"/>
      </w:pPr>
      <w:r>
        <w:rPr>
          <w:color w:val="1E1E1E"/>
          <w:sz w:val="18"/>
        </w:rPr>
        <w:t>Definição do tempo máximo de espera de clientes em filas de instituições bancárias. Competência do Município para legislar. Assunto de interesse local. Ratificação da jurisprudência firmada por esta Suprema Corte.</w:t>
        <w:br/>
        <w:t>[RE 610.221 RG, rel. min. Ellen Gracie, j. 29-4-2010, P, DJE de 20-8-2010, Tema 272.] O Município do Rio de Janeiro, ao conceder a meia-entrada aos professores de cursos preparatórios comunitários e/ou sociais em estabelecimentos que promovam lazer e entretenimento e estimulem a difusão cultural, atuou nos exatos limites permitidos pelos incisos I e II do art. 30 da Constituição da R</w:t>
      </w:r>
    </w:p>
    <w:p>
      <w:pPr>
        <w:ind w:left="288"/>
      </w:pPr>
      <w:r>
        <w:rPr>
          <w:b/>
          <w:color w:val="003CA0"/>
          <w:sz w:val="16"/>
        </w:rPr>
        <w:t>[ARE 1.554.743 AgR, rel. min. Dias Toffoli, j. 15.09.2025, P, DJE de 08.10.2025.]</w:t>
      </w:r>
    </w:p>
    <w:p>
      <w:pPr>
        <w:ind w:left="144"/>
      </w:pPr>
      <w:r>
        <w:rPr>
          <w:b/>
          <w:color w:val="B45A00"/>
          <w:sz w:val="16"/>
        </w:rPr>
        <w:t>JULGADOS CORRELATOS</w:t>
      </w:r>
    </w:p>
    <w:p>
      <w:pPr>
        <w:ind w:left="288"/>
      </w:pPr>
      <w:r>
        <w:rPr>
          <w:color w:val="8C8C8C"/>
          <w:sz w:val="12"/>
        </w:rPr>
        <w:t>cf-art-30-inc-I</w:t>
      </w:r>
      <w:r>
        <w:rPr>
          <w:color w:val="003CA0"/>
          <w:sz w:val="12"/>
        </w:rPr>
        <w:t xml:space="preserve"> | RE 1.052.719</w:t>
      </w:r>
      <w:r>
        <w:rPr>
          <w:color w:val="003CA0"/>
          <w:sz w:val="12"/>
        </w:rPr>
        <w:t xml:space="preserve"> | rel. Ricardo Lewandowski</w:t>
      </w:r>
    </w:p>
    <w:p>
      <w:pPr>
        <w:ind w:left="288"/>
      </w:pPr>
      <w:r>
        <w:rPr>
          <w:color w:val="1E1E1E"/>
          <w:sz w:val="18"/>
        </w:rPr>
        <w:t>(...) reafirmação da importância do município em nosso contexto constitucional, bem lembrado pelo Ministro Fachin, agora alçado a integrante pleno de nossa Federação, é um membro de pleno direito da Federação Brasileira. E, aqui, nesse caso, temos exatamente isso, uma grande empresa atacadista, que atua em todo o território nacional e, de certa maneira, se utiliza de práticas que colocam em xeque o conforto, a privacidade do consumidor, que é indefeso perante uma imensa empresa como esta. O município age em prol do bem-estar daqueles sobre os quais tem a responsabilidade de zelar.</w:t>
      </w:r>
    </w:p>
    <w:p>
      <w:pPr>
        <w:ind w:left="288"/>
      </w:pPr>
      <w:r>
        <w:rPr>
          <w:b/>
          <w:color w:val="003CA0"/>
          <w:sz w:val="16"/>
        </w:rPr>
        <w:t>[RE 1.052.719 AgR, rel. min. Ricardo Lewandowski, j. 25-9-2018, 2ª T, DJE de 17-9-2019.]</w:t>
      </w:r>
    </w:p>
    <w:p>
      <w:pPr>
        <w:ind w:left="288"/>
      </w:pPr>
      <w:r>
        <w:rPr>
          <w:color w:val="8C8C8C"/>
          <w:sz w:val="12"/>
        </w:rPr>
        <w:t>cf-art-30-inc-I</w:t>
      </w:r>
      <w:r>
        <w:rPr>
          <w:color w:val="003CA0"/>
          <w:sz w:val="12"/>
        </w:rPr>
        <w:t xml:space="preserve"> | ARE 784.981</w:t>
      </w:r>
      <w:r>
        <w:rPr>
          <w:color w:val="003CA0"/>
          <w:sz w:val="12"/>
        </w:rPr>
        <w:t xml:space="preserve"> | rel. Rosa Weber</w:t>
      </w:r>
    </w:p>
    <w:p>
      <w:pPr>
        <w:ind w:left="288"/>
      </w:pPr>
      <w:r>
        <w:rPr>
          <w:color w:val="1E1E1E"/>
          <w:sz w:val="18"/>
        </w:rPr>
        <w:t>Competência do Município para legislar em matéria de segurança em estabelecimentos financeiros. Terminais de autoatendimento.</w:t>
      </w:r>
    </w:p>
    <w:p>
      <w:pPr>
        <w:ind w:left="288"/>
      </w:pPr>
      <w:r>
        <w:rPr>
          <w:b/>
          <w:color w:val="003CA0"/>
          <w:sz w:val="16"/>
        </w:rPr>
        <w:t>[ARE 784.981 AgR, rel. min. Rosa Weber, j. 17-3-2015, 1ª T, DJE de 7-4-2015.]</w:t>
      </w:r>
    </w:p>
    <w:p>
      <w:pPr>
        <w:ind w:left="288"/>
      </w:pPr>
      <w:r>
        <w:rPr>
          <w:color w:val="8C8C8C"/>
          <w:sz w:val="12"/>
        </w:rPr>
        <w:t>cf-art-30-inc-I</w:t>
      </w:r>
      <w:r>
        <w:rPr>
          <w:color w:val="003CA0"/>
          <w:sz w:val="12"/>
        </w:rPr>
        <w:t xml:space="preserve"> | AI 799.690</w:t>
      </w:r>
      <w:r>
        <w:rPr>
          <w:color w:val="003CA0"/>
          <w:sz w:val="12"/>
        </w:rPr>
        <w:t xml:space="preserve"> | rel. Rosa Weber</w:t>
      </w:r>
    </w:p>
    <w:p>
      <w:pPr>
        <w:ind w:left="288"/>
      </w:pPr>
      <w:r>
        <w:rPr>
          <w:color w:val="1E1E1E"/>
          <w:sz w:val="18"/>
        </w:rPr>
        <w:t>Interpretação da Lei municipal paulista 14.223/2006. Competência municipal para legislar sobre assuntos de interesse local. (...) O acórdão recorrido assentou que a Lei municipal 14.223/2006 – denominada "Lei Cidade Limpa" – trata de assuntos de interesse local, entre os quais, a ordenação dos elementos que compõem a paisagem urbana, com vistas a evitar a poluição visual e bem cuidar do meio ambiente e do patrimônio da cidade.</w:t>
      </w:r>
    </w:p>
    <w:p>
      <w:pPr>
        <w:ind w:left="288"/>
      </w:pPr>
      <w:r>
        <w:rPr>
          <w:b/>
          <w:color w:val="003CA0"/>
          <w:sz w:val="16"/>
        </w:rPr>
        <w:t>[AI 799.690 AgR, rel. min. Rosa Weber, j. 10-12-2013, 1ª T, DJE de 3-2-2014.]</w:t>
      </w:r>
    </w:p>
    <w:p>
      <w:pPr>
        <w:ind w:left="288"/>
      </w:pPr>
      <w:r>
        <w:rPr>
          <w:color w:val="8C8C8C"/>
          <w:sz w:val="12"/>
        </w:rPr>
        <w:t>cf-art-30-inc-I</w:t>
      </w:r>
      <w:r>
        <w:rPr>
          <w:color w:val="003CA0"/>
          <w:sz w:val="12"/>
        </w:rPr>
        <w:t xml:space="preserve"> | RE 702.848</w:t>
      </w:r>
      <w:r>
        <w:rPr>
          <w:color w:val="003CA0"/>
          <w:sz w:val="12"/>
        </w:rPr>
        <w:t xml:space="preserve"> | rel. Celso de Mello</w:t>
      </w:r>
    </w:p>
    <w:p>
      <w:pPr>
        <w:ind w:left="288"/>
      </w:pPr>
      <w:r>
        <w:rPr>
          <w:color w:val="1E1E1E"/>
          <w:sz w:val="18"/>
        </w:rPr>
        <w:t>Não vislumbro, no texto da Carta Política, a existência de obstáculo constitucional que possa inibir o exercício, pelo Município, da típica atribuição institucional que lhe pertence, fundada em título jurídico específico (CF, art. 30, I), para legislar, por autoridade própria, sobre a extensão da gratuidade do transporte público coletivo urbano às pessoas compreendidas na faixa etária entre 60 e 65 anos. Na realidade, o Município, ao assim legislar, apoia-se em competência material – que lhe reservou a própria Constituição da República – cuja prática autoriza essa mesma pessoa política a dispo</w:t>
      </w:r>
    </w:p>
    <w:p>
      <w:pPr>
        <w:ind w:left="288"/>
      </w:pPr>
      <w:r>
        <w:rPr>
          <w:b/>
          <w:color w:val="003CA0"/>
          <w:sz w:val="16"/>
        </w:rPr>
        <w:t>[RE 702.848, rel. min. Celso de Mello, j. 29-4-2013, dec. monocrática, DJE de 14-5-2013.]</w:t>
      </w:r>
    </w:p>
    <w:p>
      <w:pPr>
        <w:ind w:left="288"/>
      </w:pPr>
      <w:r>
        <w:rPr>
          <w:color w:val="8C8C8C"/>
          <w:sz w:val="12"/>
        </w:rPr>
        <w:t>cf-art-30-inc-I</w:t>
      </w:r>
      <w:r>
        <w:rPr>
          <w:color w:val="003CA0"/>
          <w:sz w:val="12"/>
        </w:rPr>
        <w:t xml:space="preserve"> | RE 566.836</w:t>
      </w:r>
      <w:r>
        <w:rPr>
          <w:color w:val="003CA0"/>
          <w:sz w:val="12"/>
        </w:rPr>
        <w:t xml:space="preserve"> | rel. Cármen Lúcia</w:t>
      </w:r>
    </w:p>
    <w:p>
      <w:pPr>
        <w:ind w:left="288"/>
      </w:pPr>
      <w:r>
        <w:rPr>
          <w:color w:val="1E1E1E"/>
          <w:sz w:val="18"/>
        </w:rPr>
        <w:t>(...) o acórdão recorrido está em harmonia com a pacífica jurisprudência do STF firmada no sentido de que o Município tem competência para legislar sobre a distância mínima entre postos de revenda de combustíveis.</w:t>
      </w:r>
    </w:p>
    <w:p>
      <w:pPr>
        <w:ind w:left="288"/>
      </w:pPr>
      <w:r>
        <w:rPr>
          <w:b/>
          <w:color w:val="003CA0"/>
          <w:sz w:val="16"/>
        </w:rPr>
        <w:t>[RE 566.836 ED, voto da rel. min. Cármen Lúcia, j. 30-6-2009, 1ª T, DJE de 14-8-2009.]</w:t>
      </w:r>
    </w:p>
    <w:p>
      <w:pPr>
        <w:ind w:left="288"/>
      </w:pPr>
      <w:r>
        <w:rPr>
          <w:color w:val="8C8C8C"/>
          <w:sz w:val="12"/>
        </w:rPr>
        <w:t>cf-art-30-inc-I</w:t>
      </w:r>
      <w:r>
        <w:rPr>
          <w:color w:val="003CA0"/>
          <w:sz w:val="12"/>
        </w:rPr>
        <w:t xml:space="preserve"> | RE 235.736</w:t>
      </w:r>
      <w:r>
        <w:rPr>
          <w:color w:val="003CA0"/>
          <w:sz w:val="12"/>
        </w:rPr>
        <w:t xml:space="preserve"> | rel. Ilmar Galvão</w:t>
      </w:r>
    </w:p>
    <w:p>
      <w:pPr>
        <w:ind w:left="288"/>
      </w:pPr>
      <w:r>
        <w:rPr>
          <w:color w:val="1E1E1E"/>
          <w:sz w:val="18"/>
        </w:rPr>
        <w:t>Vide RE 235.736, rel. min. Ilmar Galvão, j. 21-3-2000, 1ª T, DJ de 26-5-2000 Os Municípios têm autonomia para regular o horário do comércio local, desde que não infrinjam leis estaduais ou federais válidas, pois a Constituição lhes confere competência para legislar sobre assuntos de interesse local.</w:t>
      </w:r>
    </w:p>
    <w:p>
      <w:pPr>
        <w:ind w:left="288"/>
      </w:pPr>
      <w:r>
        <w:rPr>
          <w:b/>
          <w:color w:val="003CA0"/>
          <w:sz w:val="16"/>
        </w:rPr>
        <w:t>[AI 622.405 AgR, rel. min. Eros Grau, j. 22-5-2007, 2ª T, DJ de 15-6-2007.]</w:t>
      </w:r>
    </w:p>
    <w:p>
      <w:pPr>
        <w:ind w:left="288"/>
      </w:pPr>
      <w:r>
        <w:rPr>
          <w:color w:val="8C8C8C"/>
          <w:sz w:val="12"/>
        </w:rPr>
        <w:t>cf-art-30-inc-I</w:t>
      </w:r>
      <w:r>
        <w:rPr>
          <w:color w:val="003CA0"/>
          <w:sz w:val="12"/>
        </w:rPr>
        <w:t xml:space="preserve"> | AI 729.307</w:t>
      </w:r>
      <w:r>
        <w:rPr>
          <w:color w:val="003CA0"/>
          <w:sz w:val="12"/>
        </w:rPr>
        <w:t xml:space="preserve"> | rel. Cármen Lúcia</w:t>
      </w:r>
    </w:p>
    <w:p>
      <w:pPr>
        <w:ind w:left="288"/>
      </w:pPr>
      <w:r>
        <w:rPr>
          <w:color w:val="1E1E1E"/>
          <w:sz w:val="18"/>
        </w:rPr>
        <w:t>= AI 729.307 ED, rel. min. Cármen Lúcia, j. 27-10-2009, 1ª T, DJE de 4-12-2009 Vide ADI 3.731 MC, rel. min. Cezar Peluso, j. 29-8-2007, P, DJ de 11-10-2007 Distrito Federal: competência legislativa para fixação de tempo razoável de espera dos usuários dos serviços de cartórios. A imposição legal de um limite ao tempo de espera em fila dos usuários dos serviços prestados pelos cartórios não constitui matéria relativa à disciplina dos registros públicos, mas assunto de interesse local, cuja competência legislativa a Constituição atribui aos Municípios (...).</w:t>
      </w:r>
    </w:p>
    <w:p>
      <w:pPr>
        <w:ind w:left="288"/>
      </w:pPr>
      <w:r>
        <w:rPr>
          <w:b/>
          <w:color w:val="003CA0"/>
          <w:sz w:val="16"/>
        </w:rPr>
        <w:t>[RE 397.094, rel. min. Sepúlveda Pertence, j. 29-8-2006, 1ª T, DJ de 27-10-2006.]</w:t>
      </w:r>
    </w:p>
    <w:p>
      <w:pPr>
        <w:ind w:left="288"/>
      </w:pPr>
      <w:r>
        <w:rPr>
          <w:color w:val="8C8C8C"/>
          <w:sz w:val="12"/>
        </w:rPr>
        <w:t>cf-art-30-inc-I</w:t>
      </w:r>
      <w:r>
        <w:rPr>
          <w:color w:val="003CA0"/>
          <w:sz w:val="12"/>
        </w:rPr>
        <w:t xml:space="preserve"> | AI 491.420</w:t>
      </w:r>
      <w:r>
        <w:rPr>
          <w:color w:val="003CA0"/>
          <w:sz w:val="12"/>
        </w:rPr>
        <w:t xml:space="preserve"> | rel. Cezar Peluso</w:t>
      </w:r>
    </w:p>
    <w:p>
      <w:pPr>
        <w:ind w:left="288"/>
      </w:pPr>
      <w:r>
        <w:rPr>
          <w:color w:val="1E1E1E"/>
          <w:sz w:val="18"/>
        </w:rPr>
        <w:t>Os Municípios são competentes para legislar sobre questões que respeitem a edificações ou construções realizadas no seu território, assim como sobre assuntos relacionados à exigência de equipamentos de segurança, em imóveis destinados a atendimento ao público.</w:t>
      </w:r>
    </w:p>
    <w:p>
      <w:pPr>
        <w:ind w:left="288"/>
      </w:pPr>
      <w:r>
        <w:rPr>
          <w:b/>
          <w:color w:val="003CA0"/>
          <w:sz w:val="16"/>
        </w:rPr>
        <w:t>[AI 491.420 AgR, rel. min. Cezar Peluso, j. 21-2-2006, 1ª T, DJ de 24-3-2006.]</w:t>
      </w:r>
    </w:p>
    <w:p>
      <w:pPr>
        <w:ind w:left="288"/>
      </w:pPr>
      <w:r>
        <w:rPr>
          <w:color w:val="8C8C8C"/>
          <w:sz w:val="12"/>
        </w:rPr>
        <w:t>cf-art-30-inc-I</w:t>
      </w:r>
      <w:r>
        <w:rPr>
          <w:color w:val="003CA0"/>
          <w:sz w:val="12"/>
        </w:rPr>
        <w:t xml:space="preserve"> | RE 795.804</w:t>
      </w:r>
      <w:r>
        <w:rPr>
          <w:color w:val="003CA0"/>
          <w:sz w:val="12"/>
        </w:rPr>
        <w:t xml:space="preserve"> | rel. Gilmar Mendes</w:t>
      </w:r>
    </w:p>
    <w:p>
      <w:pPr>
        <w:ind w:left="288"/>
      </w:pPr>
      <w:r>
        <w:rPr>
          <w:color w:val="1E1E1E"/>
          <w:sz w:val="18"/>
        </w:rPr>
        <w:t>= RE 795.804 AgR, rel. min. Gilmar Mendes, j. 29-4-2014, 2ª T, DJE de 16-5-2014 A competência constitucional dos Municípios de legislar sobre interesse local não tem o alcance de estabelecer normas que a própria Constituição, na repartição das competências, atribui à União ou aos Estados. O legislador constituinte, em matéria de legislação sobre seguros, sequer conferiu competência comum ou concorrente aos Estados ou aos Municípios.</w:t>
      </w:r>
    </w:p>
    <w:p>
      <w:pPr>
        <w:ind w:left="288"/>
      </w:pPr>
      <w:r>
        <w:rPr>
          <w:b/>
          <w:color w:val="003CA0"/>
          <w:sz w:val="16"/>
        </w:rPr>
        <w:t>[RE 313.060, rel. min. Ellen Gracie, j. 29-11-2005, 2ª T, DJ de 24-2-2006.]</w:t>
      </w:r>
    </w:p>
    <w:p>
      <w:pPr>
        <w:ind w:left="288"/>
      </w:pPr>
      <w:r>
        <w:rPr>
          <w:color w:val="8C8C8C"/>
          <w:sz w:val="12"/>
        </w:rPr>
        <w:t>cf-art-30-inc-I</w:t>
      </w:r>
      <w:r>
        <w:rPr>
          <w:color w:val="003CA0"/>
          <w:sz w:val="12"/>
        </w:rPr>
        <w:t xml:space="preserve"> | AI 347.717</w:t>
      </w:r>
      <w:r>
        <w:rPr>
          <w:color w:val="003CA0"/>
          <w:sz w:val="12"/>
        </w:rPr>
        <w:t xml:space="preserve"> | rel. Celso de Mello</w:t>
      </w:r>
    </w:p>
    <w:p>
      <w:pPr>
        <w:ind w:left="288"/>
      </w:pPr>
      <w:r>
        <w:rPr>
          <w:color w:val="1E1E1E"/>
          <w:sz w:val="18"/>
        </w:rPr>
        <w:t>O Município pode editar legislação própria, com fundamento na autonomia constitucional que lhe é inerente (CF, art. 30, I), com o objetivo de determinar, às instituições financeiras, que instalem, em suas agências, em favor dos usuários dos serviços bancários (clientes ou não), equipamentos destinados a proporcionar-lhes segurança (tais como portas eletrônicas e câmaras filmadoras) ou a propiciar-lhes conforto, mediante oferecimento de instalações sanitárias, ou fornecimento de cadeiras de espera, ou, ainda, colocação de bebedouros.</w:t>
      </w:r>
    </w:p>
    <w:p>
      <w:pPr>
        <w:ind w:left="288"/>
      </w:pPr>
      <w:r>
        <w:rPr>
          <w:b/>
          <w:color w:val="003CA0"/>
          <w:sz w:val="16"/>
        </w:rPr>
        <w:t>[AI 347.717 AgR, rel. min. Celso de Mello, j. 31-5-2005, 2ª T, DJ de 5-8-2005.]</w:t>
      </w:r>
    </w:p>
    <w:p>
      <w:pPr>
        <w:ind w:left="288"/>
      </w:pPr>
      <w:r>
        <w:rPr>
          <w:color w:val="8C8C8C"/>
          <w:sz w:val="12"/>
        </w:rPr>
        <w:t>cf-art-30-inc-I</w:t>
      </w:r>
      <w:r>
        <w:rPr>
          <w:color w:val="003CA0"/>
          <w:sz w:val="12"/>
        </w:rPr>
        <w:t xml:space="preserve"> | RE 266.536</w:t>
      </w:r>
      <w:r>
        <w:rPr>
          <w:color w:val="003CA0"/>
          <w:sz w:val="12"/>
        </w:rPr>
        <w:t xml:space="preserve"> | rel. Dias Toffoli</w:t>
      </w:r>
    </w:p>
    <w:p>
      <w:pPr>
        <w:ind w:left="288"/>
      </w:pPr>
      <w:r>
        <w:rPr>
          <w:color w:val="1E1E1E"/>
          <w:sz w:val="18"/>
        </w:rPr>
        <w:t>= RE 266.536 AgR, rel. min. Dias Toffoli, j. 17-4-2012, 1ª T, DJE de 11-5-2012 Lei municipal de Joinville, que proíbe a instalação de nova farmácia a menos de 500 metros de estabelecimento da mesma natureza. Extremo a que não pode levar a competência municipal para o zoneamento da cidade, por redundar em reserva de mercado, ainda que relativa, e, consequentemente, em afronta aos princípios da livre concorrência, da defesa do consumidor e da liberdade do exercício das atividades econômicas, que informam o modelo de ordem econômica consagrado pela Carta da República (art. 170 e parágrafo da CF).</w:t>
      </w:r>
    </w:p>
    <w:p>
      <w:pPr>
        <w:ind w:left="288"/>
      </w:pPr>
      <w:r>
        <w:rPr>
          <w:b/>
          <w:color w:val="003CA0"/>
          <w:sz w:val="16"/>
        </w:rPr>
        <w:t>[RE 203.909, rel. min. Ilmar Galvão, j. 14-10-1997, 1ª T, DJ de 6-2-1998.]</w:t>
      </w:r>
    </w:p>
    <w:p>
      <w:pPr>
        <w:ind w:left="288"/>
      </w:pPr>
      <w:r>
        <w:rPr>
          <w:color w:val="8C8C8C"/>
          <w:sz w:val="12"/>
        </w:rPr>
        <w:t>cf-art-30-inc-II</w:t>
      </w:r>
      <w:r>
        <w:rPr>
          <w:color w:val="003CA0"/>
          <w:sz w:val="12"/>
        </w:rPr>
        <w:t xml:space="preserve"> | RE 1.576.466</w:t>
      </w:r>
      <w:r>
        <w:rPr>
          <w:color w:val="003CA0"/>
          <w:sz w:val="12"/>
        </w:rPr>
        <w:t xml:space="preserve"> | rel. Flávio Dino</w:t>
      </w:r>
    </w:p>
    <w:p>
      <w:pPr>
        <w:ind w:left="288"/>
      </w:pPr>
      <w:r>
        <w:rPr>
          <w:color w:val="1E1E1E"/>
          <w:sz w:val="18"/>
        </w:rPr>
        <w:t>Competência legislativa municipal. Exigência municipal de instalação de detectores de monóxido de carbono em imóveis residenciais. (...) A inexistência de norma geral federal aplicável afasta qualquer incompatibilidade entre a legislação municipal e o ordenamento federal, inserindo-se a Lei nº 6.002/2024 no âmbito da competência legislativa suplementar do Município para editar normas protetivas à saúde e à segurança habitacional. A alegação de vício de competência não prospera, pois não há contrariedade a normas gerais federais nem usurpação de competência privativa da União. Inexistindo parâm</w:t>
      </w:r>
    </w:p>
    <w:p>
      <w:pPr>
        <w:ind w:left="288"/>
      </w:pPr>
      <w:r>
        <w:rPr>
          <w:b/>
          <w:color w:val="003CA0"/>
          <w:sz w:val="16"/>
        </w:rPr>
        <w:t>[RE 1.576.466 AgR, rel. min. Flávio Dino, j. 9-2-2026, P, DJE de 23-2-2026.]</w:t>
      </w:r>
    </w:p>
    <w:p>
      <w:pPr>
        <w:ind w:left="288"/>
      </w:pPr>
      <w:r>
        <w:rPr>
          <w:color w:val="8C8C8C"/>
          <w:sz w:val="12"/>
        </w:rPr>
        <w:t>cf-art-30-inc-II</w:t>
      </w:r>
      <w:r>
        <w:rPr>
          <w:color w:val="003CA0"/>
          <w:sz w:val="12"/>
        </w:rPr>
        <w:t xml:space="preserve"> | ARE 1.554.743</w:t>
      </w:r>
      <w:r>
        <w:rPr>
          <w:color w:val="003CA0"/>
          <w:sz w:val="12"/>
        </w:rPr>
        <w:t xml:space="preserve"> | rel. Dias Toffoli</w:t>
      </w:r>
    </w:p>
    <w:p>
      <w:pPr>
        <w:ind w:left="288"/>
      </w:pPr>
      <w:r>
        <w:rPr>
          <w:color w:val="1E1E1E"/>
          <w:sz w:val="18"/>
        </w:rPr>
        <w:t>O Município do Rio de Janeiro, ao conceder a meia-entrada aos professores de cursos preparatórios comunitários e/ou sociais em estabelecimentos que promovam lazer e entretenimento e estimulem a difusão cultural, atuou nos exatos limites permitidos pelos incisos I e II do art. 30 da Constituição da República, uma vez que, ao legislar sobre assunto de interesse local – valorização dos profissionais de educação do referido ente federativo, compreendidos lato sensu –, suplementou as legislações federal e estadual.</w:t>
      </w:r>
    </w:p>
    <w:p>
      <w:pPr>
        <w:ind w:left="288"/>
      </w:pPr>
      <w:r>
        <w:rPr>
          <w:b/>
          <w:color w:val="003CA0"/>
          <w:sz w:val="16"/>
        </w:rPr>
        <w:t>[ARE 1.554.743 AgR, rel. min. Dias Toffoli, j. 15.09.2025, P, DJE de 08.10.2025.]</w:t>
      </w:r>
    </w:p>
    <w:p>
      <w:pPr>
        <w:ind w:left="288"/>
      </w:pPr>
      <w:r>
        <w:rPr>
          <w:color w:val="8C8C8C"/>
          <w:sz w:val="12"/>
        </w:rPr>
        <w:t>cf-art-30-inc-II</w:t>
      </w:r>
      <w:r>
        <w:rPr>
          <w:color w:val="003CA0"/>
          <w:sz w:val="12"/>
        </w:rPr>
        <w:t xml:space="preserve"> | ARE 1.549.272</w:t>
      </w:r>
      <w:r>
        <w:rPr>
          <w:color w:val="003CA0"/>
          <w:sz w:val="12"/>
        </w:rPr>
        <w:t xml:space="preserve"> | rel. Gilmar Mendes</w:t>
      </w:r>
    </w:p>
    <w:p>
      <w:pPr>
        <w:ind w:left="288"/>
      </w:pPr>
      <w:r>
        <w:rPr>
          <w:color w:val="1E1E1E"/>
          <w:sz w:val="18"/>
        </w:rPr>
        <w:t>Competência legislativa suplementar. Procedimentos em matéria processual. Lei Municipal. Prioridade na tramitação de processos administrativos. Constitucionalidade. (...) O acórdão recorrido corretamente analisou a compatibilidade da lei municipal com a legislação federal, concluindo que a norma municipal não contraria as normas gerais e exerce competência suplementar em relação a matéria de interesse local. A lei municipal não adentra o escopo de competências da União para dispor sobre as normas gerais de processo administrativo. A prioridade estabelecida na lei municipal encontra amparo em l</w:t>
      </w:r>
    </w:p>
    <w:p>
      <w:pPr>
        <w:ind w:left="288"/>
      </w:pPr>
      <w:r>
        <w:rPr>
          <w:b/>
          <w:color w:val="003CA0"/>
          <w:sz w:val="16"/>
        </w:rPr>
        <w:t>[ARE 1.549.272, rel. min. Gilmar Mendes, j. 16.06.2025, P, DJE de 31.07.2025.]</w:t>
      </w:r>
    </w:p>
    <w:p>
      <w:pPr>
        <w:ind w:left="288"/>
      </w:pPr>
      <w:r>
        <w:rPr>
          <w:color w:val="8C8C8C"/>
          <w:sz w:val="12"/>
        </w:rPr>
        <w:t>cf-art-30-inc-II</w:t>
      </w:r>
      <w:r>
        <w:rPr>
          <w:color w:val="003CA0"/>
          <w:sz w:val="12"/>
        </w:rPr>
        <w:t xml:space="preserve"> | ARE 1.496.053</w:t>
      </w:r>
      <w:r>
        <w:rPr>
          <w:color w:val="003CA0"/>
          <w:sz w:val="12"/>
        </w:rPr>
        <w:t xml:space="preserve"> | rel. André Mendonça</w:t>
      </w:r>
    </w:p>
    <w:p>
      <w:pPr>
        <w:ind w:left="288"/>
      </w:pPr>
      <w:r>
        <w:rPr>
          <w:color w:val="1E1E1E"/>
          <w:sz w:val="18"/>
        </w:rPr>
        <w:t>Artigo 3º da Lei nº 2.038, de 2017, do município de Peçanha/MG. Definição de atuação do conselho tutelar na época do carnaval. Competência suplementar do município. (...) Os municípios têm autonomia para dispor, mediante lei, sobre proteção à infância e à juventude em âmbito local, desde que não afrontem legislação federal ou estadual.</w:t>
        <w:br/>
        <w:t>[ARE 1.496.053, rel. min. André Mendonça, j. 07.08.2024, P, DJE de 04.09.2024.]</w:t>
      </w:r>
    </w:p>
    <w:p>
      <w:pPr>
        <w:ind w:left="144"/>
      </w:pPr>
      <w:r>
        <w:rPr>
          <w:b/>
          <w:color w:val="B45A00"/>
          <w:sz w:val="16"/>
        </w:rPr>
        <w:t>CONTROLE CONCENTRADO</w:t>
      </w:r>
    </w:p>
    <w:p>
      <w:pPr>
        <w:ind w:left="288"/>
      </w:pPr>
      <w:r>
        <w:rPr>
          <w:color w:val="8C8C8C"/>
          <w:sz w:val="12"/>
        </w:rPr>
        <w:t>cf-art-30-inc-III</w:t>
      </w:r>
      <w:r>
        <w:rPr>
          <w:color w:val="003CA0"/>
          <w:sz w:val="12"/>
        </w:rPr>
        <w:t xml:space="preserve"> | ADI 2.355</w:t>
      </w:r>
      <w:r>
        <w:rPr>
          <w:color w:val="003CA0"/>
          <w:sz w:val="12"/>
        </w:rPr>
        <w:t xml:space="preserve"> | rel. Nunes Marques</w:t>
      </w:r>
    </w:p>
    <w:p>
      <w:pPr>
        <w:ind w:left="288"/>
      </w:pPr>
      <w:r>
        <w:rPr>
          <w:color w:val="1E1E1E"/>
          <w:sz w:val="18"/>
        </w:rPr>
        <w:t>A parcela devida aos Municípios em razão da repartição constitucional de receitas lhes pertence de pleno direito. 2. Viola a autonomia municipal norma estadual que dispõe sobre a destinação dos recursos recebidos pelos Municípios a título de repartição constitucional de ICMS.</w:t>
        <w:br/>
        <w:t>[ADI 2.355, rel. min. Nunes Marques, j. 19-9-2022, P, DJE de 29-9-2022.]</w:t>
      </w:r>
    </w:p>
    <w:p>
      <w:pPr>
        <w:ind w:left="288"/>
      </w:pPr>
      <w:r>
        <w:rPr>
          <w:color w:val="8C8C8C"/>
          <w:sz w:val="12"/>
        </w:rPr>
        <w:t>cf-art-30-inc-IV</w:t>
      </w:r>
      <w:r>
        <w:rPr>
          <w:color w:val="003CA0"/>
          <w:sz w:val="12"/>
        </w:rPr>
        <w:t xml:space="preserve"> | ADI 478</w:t>
      </w:r>
      <w:r>
        <w:rPr>
          <w:color w:val="003CA0"/>
          <w:sz w:val="12"/>
        </w:rPr>
        <w:t xml:space="preserve"> | rel. Carlos Velloso</w:t>
      </w:r>
    </w:p>
    <w:p>
      <w:pPr>
        <w:ind w:left="288"/>
      </w:pPr>
      <w:r>
        <w:rPr>
          <w:color w:val="1E1E1E"/>
          <w:sz w:val="18"/>
        </w:rPr>
        <w:t>A criação, a organização e a supressão de distritos, da competência dos Municípios, faz-se com observância da legislação estadual (CF, art. 30, IV). Também a competência municipal, para promover, no que couber, adequado ordenamento territorial, mediante planejamento e controle do uso, do parcelamento e da ocupação do solo urbano – CF, art. 30, VIII – por relacionar-se com o direito urbanístico, está sujeita a normas federais e estaduais (CF, art. 24, I). As normas das entidades políticas diversas – União e Estado-membro – deverão, entretanto, ser gerais, em forma de diretrizes, sob pena de tor</w:t>
      </w:r>
    </w:p>
    <w:p>
      <w:pPr>
        <w:ind w:left="288"/>
      </w:pPr>
      <w:r>
        <w:rPr>
          <w:b/>
          <w:color w:val="003CA0"/>
          <w:sz w:val="16"/>
        </w:rPr>
        <w:t>ADI 478, rel. min. Carlos Velloso, j. 9-12-1996, P, DJ de 28-2-1997.]</w:t>
      </w:r>
    </w:p>
    <w:p>
      <w:pPr>
        <w:ind w:left="288"/>
      </w:pPr>
      <w:r>
        <w:rPr>
          <w:color w:val="8C8C8C"/>
          <w:sz w:val="12"/>
        </w:rPr>
        <w:t>cf-art-30-inc-IV</w:t>
      </w:r>
      <w:r>
        <w:rPr>
          <w:color w:val="003CA0"/>
          <w:sz w:val="12"/>
        </w:rPr>
        <w:t xml:space="preserve"> | ADI 512</w:t>
      </w:r>
      <w:r>
        <w:rPr>
          <w:color w:val="003CA0"/>
          <w:sz w:val="12"/>
        </w:rPr>
        <w:t xml:space="preserve"> | rel. Marco Aurélio</w:t>
      </w:r>
    </w:p>
    <w:p>
      <w:pPr>
        <w:ind w:left="288"/>
      </w:pPr>
      <w:r>
        <w:rPr>
          <w:color w:val="1E1E1E"/>
          <w:sz w:val="18"/>
        </w:rPr>
        <w:t>= ADI 512, rel. min. Marco Aurélio, j. 3-3-1999, P, DJ de 18-6-2001</w:t>
      </w:r>
    </w:p>
    <w:p>
      <w:pPr>
        <w:ind w:left="144"/>
      </w:pPr>
      <w:r>
        <w:rPr>
          <w:b/>
          <w:color w:val="B45A00"/>
          <w:sz w:val="16"/>
        </w:rPr>
        <w:t>REPERCUSSAO GERAL</w:t>
      </w:r>
    </w:p>
    <w:p>
      <w:pPr>
        <w:ind w:left="288"/>
      </w:pPr>
      <w:r>
        <w:rPr>
          <w:color w:val="8C8C8C"/>
          <w:sz w:val="12"/>
        </w:rPr>
        <w:t>cf-art-30-inc-IV</w:t>
      </w:r>
      <w:r>
        <w:rPr>
          <w:color w:val="003CA0"/>
          <w:sz w:val="12"/>
        </w:rPr>
        <w:t xml:space="preserve"> | RE 738.481</w:t>
      </w:r>
      <w:r>
        <w:rPr>
          <w:color w:val="003CA0"/>
          <w:sz w:val="12"/>
        </w:rPr>
        <w:t xml:space="preserve"> | rel. Edson Fachin</w:t>
      </w:r>
    </w:p>
    <w:p>
      <w:pPr>
        <w:ind w:left="288"/>
      </w:pPr>
      <w:r>
        <w:rPr>
          <w:color w:val="1E1E1E"/>
          <w:sz w:val="18"/>
        </w:rPr>
        <w:t>“Compete aos municípios legislar sobre a obrigatoriedade de instalação de hidrômetros individuais nos edifícios e condomínios, em razão do preponderante interesse local envolvido.”</w:t>
      </w:r>
    </w:p>
    <w:p>
      <w:pPr>
        <w:ind w:left="288"/>
      </w:pPr>
      <w:r>
        <w:rPr>
          <w:b/>
          <w:color w:val="003CA0"/>
          <w:sz w:val="16"/>
        </w:rPr>
        <w:t>[RE 738.481, rel. min. Edson Fachin, j. 16-8-2021, P, DJE de 25-8-2021, Tema 849.]</w:t>
      </w:r>
    </w:p>
    <w:p>
      <w:pPr>
        <w:ind w:left="288"/>
      </w:pPr>
      <w:r>
        <w:rPr>
          <w:color w:val="8C8C8C"/>
          <w:sz w:val="12"/>
        </w:rPr>
        <w:t>cf-art-30-inc-V</w:t>
      </w:r>
      <w:r>
        <w:rPr>
          <w:color w:val="003CA0"/>
          <w:sz w:val="12"/>
        </w:rPr>
        <w:t xml:space="preserve"> | ADI 7.725</w:t>
      </w:r>
      <w:r>
        <w:rPr>
          <w:color w:val="003CA0"/>
          <w:sz w:val="12"/>
        </w:rPr>
        <w:t xml:space="preserve"> | rel. André Mendonça</w:t>
      </w:r>
    </w:p>
    <w:p>
      <w:pPr>
        <w:ind w:left="288"/>
      </w:pPr>
      <w:r>
        <w:rPr>
          <w:color w:val="1E1E1E"/>
          <w:sz w:val="18"/>
        </w:rPr>
        <w:t>Lei Estadual nº 3.533/2019, do Estado do Tocantins. Suspensão dos serviços públicos de energia elétrica e água por inadimplemento dos usuários. (...) Considerando que a energia elétrica é matéria de competência administrativa e legislativa da União, é inconstitucional a lei estadual que estabeleça regras sobre a suspensão do fornecimento dos serviços por inadimplemento do usuário, por violação aos artigos 21, inciso XII, alínea “b”, e 22, inciso IV, da Constituição. (...) Quanto aos serviços públicos de fornecimento de água, o Supremo Tribunal Federal entende que o interesse predominante, ness</w:t>
      </w:r>
    </w:p>
    <w:p>
      <w:pPr>
        <w:ind w:left="288"/>
      </w:pPr>
      <w:r>
        <w:rPr>
          <w:b/>
          <w:color w:val="003CA0"/>
          <w:sz w:val="16"/>
        </w:rPr>
        <w:t>[ADI 7.725, rel. min. André Mendonça, j. 26.05.2025, P, DJE de 02.07.2025.]</w:t>
      </w:r>
    </w:p>
    <w:p>
      <w:pPr>
        <w:ind w:left="144"/>
      </w:pPr>
      <w:r>
        <w:rPr>
          <w:b/>
          <w:color w:val="B45A00"/>
          <w:sz w:val="16"/>
        </w:rPr>
        <w:t>CONTROLE CONCENTRADO</w:t>
      </w:r>
    </w:p>
    <w:p>
      <w:pPr>
        <w:ind w:left="288"/>
      </w:pPr>
      <w:r>
        <w:rPr>
          <w:color w:val="8C8C8C"/>
          <w:sz w:val="12"/>
        </w:rPr>
        <w:t>cf-art-30-inc-V</w:t>
      </w:r>
      <w:r>
        <w:rPr>
          <w:color w:val="003CA0"/>
          <w:sz w:val="12"/>
        </w:rPr>
        <w:t xml:space="preserve"> | ADI 845</w:t>
      </w:r>
      <w:r>
        <w:rPr>
          <w:color w:val="003CA0"/>
          <w:sz w:val="12"/>
        </w:rPr>
        <w:t xml:space="preserve"> | rel. Eros Grau</w:t>
      </w:r>
    </w:p>
    <w:p>
      <w:pPr>
        <w:ind w:left="288"/>
      </w:pPr>
      <w:r>
        <w:rPr>
          <w:color w:val="1E1E1E"/>
          <w:sz w:val="18"/>
        </w:rPr>
        <w:t>A competência para organizar serviços públicos de interesse local é municipal, entre os quais o de transporte coletivo (...). O preceito da Constituição amapaense que garante o direito a "meia passagem" aos estudantes, nos transportes coletivos municipais, avança sobre a competência legislativa local. A competência para legislar a propósito da prestação de serviços públicos de transporte intermunicipal é dos Estados-membros. Não há inconstitucionalidade no que toca ao benefício, concedido pela Constituição estadual, de "meia passagem" aos estudantes nos transportes coletivos intermunicipais.</w:t>
      </w:r>
    </w:p>
    <w:p>
      <w:pPr>
        <w:ind w:left="288"/>
      </w:pPr>
      <w:r>
        <w:rPr>
          <w:b/>
          <w:color w:val="003CA0"/>
          <w:sz w:val="16"/>
        </w:rPr>
        <w:t>[ADI 845, rel. min. Eros Grau, j. 22-11-2007, P, DJE de 7-3-2008.]</w:t>
      </w:r>
    </w:p>
    <w:p>
      <w:pPr>
        <w:ind w:left="288"/>
      </w:pPr>
      <w:r>
        <w:rPr>
          <w:color w:val="8C8C8C"/>
          <w:sz w:val="12"/>
        </w:rPr>
        <w:t>cf-art-30-inc-V</w:t>
      </w:r>
      <w:r>
        <w:rPr>
          <w:color w:val="003CA0"/>
          <w:sz w:val="12"/>
        </w:rPr>
        <w:t xml:space="preserve"> | ADI 2.751</w:t>
      </w:r>
      <w:r>
        <w:rPr>
          <w:color w:val="003CA0"/>
          <w:sz w:val="12"/>
        </w:rPr>
        <w:t xml:space="preserve"> | rel. Carlos Velloso</w:t>
      </w:r>
    </w:p>
    <w:p>
      <w:pPr>
        <w:ind w:left="288"/>
      </w:pPr>
      <w:r>
        <w:rPr>
          <w:color w:val="1E1E1E"/>
          <w:sz w:val="18"/>
        </w:rPr>
        <w:t>Lei 3.756/2002 do Estado do Rio de Janeiro, que autoriza o Poder Executivo a apreender e desemplacar veículos de transporte coletivo de passageiros encontrados em situação irregular: constitucionalidade, porque a norma legal insere-se no poder de polícia do Estado.</w:t>
      </w:r>
    </w:p>
    <w:p>
      <w:pPr>
        <w:ind w:left="288"/>
      </w:pPr>
      <w:r>
        <w:rPr>
          <w:b/>
          <w:color w:val="003CA0"/>
          <w:sz w:val="16"/>
        </w:rPr>
        <w:t>[ADI 2.751, rel. min. Carlos Velloso, j. 31-8-2005, P, DJ de 24-2-2006.]</w:t>
      </w:r>
    </w:p>
    <w:p>
      <w:pPr>
        <w:ind w:left="288"/>
      </w:pPr>
      <w:r>
        <w:rPr>
          <w:color w:val="8C8C8C"/>
          <w:sz w:val="12"/>
        </w:rPr>
        <w:t>cf-art-30-inc-V</w:t>
      </w:r>
      <w:r>
        <w:rPr>
          <w:color w:val="003CA0"/>
          <w:sz w:val="12"/>
        </w:rPr>
        <w:t xml:space="preserve"> | ADI 2.349</w:t>
      </w:r>
      <w:r>
        <w:rPr>
          <w:color w:val="003CA0"/>
          <w:sz w:val="12"/>
        </w:rPr>
        <w:t xml:space="preserve"> | rel. Eros Grau</w:t>
      </w:r>
    </w:p>
    <w:p>
      <w:pPr>
        <w:ind w:left="288"/>
      </w:pPr>
      <w:r>
        <w:rPr>
          <w:color w:val="1E1E1E"/>
          <w:sz w:val="18"/>
        </w:rPr>
        <w:t>Os Estados-membros são competentes para explorar e regulamentar a prestação de serviços de transporte intermunicipal. (...) A prestação de transporte urbano, consubstanciando serviço público de interesse local, é matéria albergada pela competência legislativa dos Municípios, não cabendo aos Estados-membros dispor a seu respeito.</w:t>
      </w:r>
    </w:p>
    <w:p>
      <w:pPr>
        <w:ind w:left="288"/>
      </w:pPr>
      <w:r>
        <w:rPr>
          <w:b/>
          <w:color w:val="003CA0"/>
          <w:sz w:val="16"/>
        </w:rPr>
        <w:t>[ADI 2.349, rel. min. Eros Grau, j. 31-8-2005, P, DJ de 14-10-2005.]</w:t>
      </w:r>
    </w:p>
    <w:p>
      <w:pPr>
        <w:ind w:left="288"/>
      </w:pPr>
      <w:r>
        <w:rPr>
          <w:color w:val="8C8C8C"/>
          <w:sz w:val="12"/>
        </w:rPr>
        <w:t>cf-art-30-inc-V</w:t>
      </w:r>
      <w:r>
        <w:rPr>
          <w:color w:val="003CA0"/>
          <w:sz w:val="12"/>
        </w:rPr>
        <w:t xml:space="preserve"> | RE 549.549</w:t>
      </w:r>
      <w:r>
        <w:rPr>
          <w:color w:val="003CA0"/>
          <w:sz w:val="12"/>
        </w:rPr>
        <w:t xml:space="preserve"> | rel. Ellen Gracie</w:t>
      </w:r>
    </w:p>
    <w:p>
      <w:pPr>
        <w:ind w:left="288"/>
      </w:pPr>
      <w:r>
        <w:rPr>
          <w:color w:val="1E1E1E"/>
          <w:sz w:val="18"/>
        </w:rPr>
        <w:t>= RE 549.549 AgR, rel. min. Ellen Gracie, j. 25-11-2008, 2ª T, DJE de 19-12-2008 Os serviços funerários constituem serviços municipais, dado que dizem respeito com necessidades imediatas do Município. CF, art. 30, V.</w:t>
      </w:r>
    </w:p>
    <w:p>
      <w:pPr>
        <w:ind w:left="288"/>
      </w:pPr>
      <w:r>
        <w:rPr>
          <w:b/>
          <w:color w:val="003CA0"/>
          <w:sz w:val="16"/>
        </w:rPr>
        <w:t>[ADI 1.221, rel. min. Carlos Velloso, j. 9-10-2003, P, DJ de 31-10-2003.]</w:t>
      </w:r>
    </w:p>
    <w:p>
      <w:pPr>
        <w:ind w:left="288"/>
      </w:pPr>
      <w:r>
        <w:rPr>
          <w:color w:val="8C8C8C"/>
          <w:sz w:val="12"/>
        </w:rPr>
        <w:t>cf-art-30-inc-V</w:t>
      </w:r>
      <w:r>
        <w:rPr>
          <w:color w:val="003CA0"/>
          <w:sz w:val="12"/>
        </w:rPr>
        <w:t xml:space="preserve"> | ADI 2.337</w:t>
      </w:r>
      <w:r>
        <w:rPr>
          <w:color w:val="003CA0"/>
          <w:sz w:val="12"/>
        </w:rPr>
        <w:t xml:space="preserve"> | rel. Celso de Mello</w:t>
      </w:r>
    </w:p>
    <w:p>
      <w:pPr>
        <w:ind w:left="288"/>
      </w:pPr>
      <w:r>
        <w:rPr>
          <w:color w:val="1E1E1E"/>
          <w:sz w:val="18"/>
        </w:rPr>
        <w:t>Os Estados-membros – que não podem interferir na esfera das relações jurídico-contratuais estabelecidas entre o poder concedente (quando este for a União Federal ou o Município) e as empresas concessionárias – também não dispõem de competência para modificar ou alterar as condições, que, previstas na licitação, acham-se formalmente estipuladas no contrato de concessão celebrado pela União (energia elétrica – CF, art. 21, XII, b) e pelo Município (fornecimento de água – CF, art. 30, I e V), de um lado, com as concessionárias, de outro, notadamente se essa ingerência normativa, ao determinar a s</w:t>
      </w:r>
    </w:p>
    <w:p>
      <w:pPr>
        <w:ind w:left="288"/>
      </w:pPr>
      <w:r>
        <w:rPr>
          <w:b/>
          <w:color w:val="003CA0"/>
          <w:sz w:val="16"/>
        </w:rPr>
        <w:t>[ADI 2.337 MC, rel. min. Celso de Mello, j. 20-2-2002, P, DJ de 21-6-2002.]</w:t>
      </w:r>
    </w:p>
    <w:p>
      <w:pPr>
        <w:ind w:left="288"/>
      </w:pPr>
      <w:r>
        <w:rPr>
          <w:color w:val="8C8C8C"/>
          <w:sz w:val="12"/>
        </w:rPr>
        <w:t>cf-art-30-inc-V</w:t>
      </w:r>
      <w:r>
        <w:rPr>
          <w:color w:val="003CA0"/>
          <w:sz w:val="12"/>
        </w:rPr>
        <w:t xml:space="preserve"> | ADI 2.340</w:t>
      </w:r>
      <w:r>
        <w:rPr>
          <w:color w:val="003CA0"/>
          <w:sz w:val="12"/>
        </w:rPr>
        <w:t xml:space="preserve"> | rel. Ricardo Lewandowski</w:t>
      </w:r>
    </w:p>
    <w:p>
      <w:pPr>
        <w:ind w:left="288"/>
      </w:pPr>
      <w:r>
        <w:rPr>
          <w:color w:val="1E1E1E"/>
          <w:sz w:val="18"/>
        </w:rPr>
        <w:t>= ADI 2.340, rel. min. Ricardo Lewandowski, j. 6-3-2013, P, DJE de 10-5-2013</w:t>
      </w:r>
    </w:p>
    <w:p>
      <w:pPr>
        <w:ind w:left="144"/>
      </w:pPr>
      <w:r>
        <w:rPr>
          <w:b/>
          <w:color w:val="B45A00"/>
          <w:sz w:val="16"/>
        </w:rPr>
        <w:t>REPERCUSSAO GERAL</w:t>
      </w:r>
    </w:p>
    <w:p>
      <w:pPr>
        <w:ind w:left="288"/>
      </w:pPr>
      <w:r>
        <w:rPr>
          <w:color w:val="8C8C8C"/>
          <w:sz w:val="12"/>
        </w:rPr>
        <w:t>cf-art-30-inc-V</w:t>
      </w:r>
      <w:r>
        <w:rPr>
          <w:color w:val="003CA0"/>
          <w:sz w:val="12"/>
        </w:rPr>
        <w:t xml:space="preserve"> | RE 1.350.965</w:t>
      </w:r>
      <w:r>
        <w:rPr>
          <w:color w:val="003CA0"/>
          <w:sz w:val="12"/>
        </w:rPr>
        <w:t xml:space="preserve"> | rel. Luiz Fux</w:t>
      </w:r>
    </w:p>
    <w:p>
      <w:pPr>
        <w:ind w:left="288"/>
      </w:pPr>
      <w:r>
        <w:rPr>
          <w:color w:val="1E1E1E"/>
          <w:sz w:val="18"/>
        </w:rPr>
        <w:t>É infraconstitucional, a ela se aplicando os efeitos da ausência de repercussão geral, a controvérsia relativa à extrapolação dos limites do poder regulamentar pela Agência Nacional de Energia Elétrica (ANEEL), na edição das Resoluções 414/2010, 479/2012 e 587/2013, as quais determinam a transferência aos municípios do sistema de iluminação pública registrado como Ativo Imobilizado em Serviço AIS da distribuidora de energia elétrica.</w:t>
        <w:br/>
        <w:t>[RE 1.350.965 RG, rel. min. Luiz Fux, j. 11-11-2021, P, DJE de 6-12-2021, Tema 1.181, com repercussão geral negada.] Surge constitucional previsão normativa local</w:t>
      </w:r>
    </w:p>
    <w:p>
      <w:pPr>
        <w:ind w:left="144"/>
      </w:pPr>
      <w:r>
        <w:rPr>
          <w:b/>
          <w:color w:val="B45A00"/>
          <w:sz w:val="16"/>
        </w:rPr>
        <w:t>JULGADOS CORRELATOS</w:t>
      </w:r>
    </w:p>
    <w:p>
      <w:pPr>
        <w:ind w:left="288"/>
      </w:pPr>
      <w:r>
        <w:rPr>
          <w:color w:val="8C8C8C"/>
          <w:sz w:val="12"/>
        </w:rPr>
        <w:t>cf-art-30-inc-V</w:t>
      </w:r>
      <w:r>
        <w:rPr>
          <w:color w:val="003CA0"/>
          <w:sz w:val="12"/>
        </w:rPr>
        <w:t xml:space="preserve"> | ARE 929.591</w:t>
      </w:r>
      <w:r>
        <w:rPr>
          <w:color w:val="003CA0"/>
          <w:sz w:val="12"/>
        </w:rPr>
        <w:t xml:space="preserve"> | rel. Dias Toffoli</w:t>
      </w:r>
    </w:p>
    <w:p>
      <w:pPr>
        <w:ind w:left="288"/>
      </w:pPr>
      <w:r>
        <w:rPr>
          <w:color w:val="1E1E1E"/>
          <w:sz w:val="18"/>
        </w:rPr>
        <w:t>Lei 4.166/2005 do Município de Cascavel/PR. (...) Não obstante o nobre escopo da referida norma de estender aos idosos entre 60 e 65 anos, independentemente do horário, a gratuidade nos transportes coletivos urbanos esteja prevista no art. 230, § 2º, da CF, o diploma em referência, originado de projeto de iniciativa do Poder Legislativo, acaba por incidir em matéria sujeita à reserva de administração, por ser atinente aos contratos administrativos celebrados com as concessionárias de serviço de transporte coletivo urbano municipal (art. 30,  V, da CF).</w:t>
        <w:br/>
        <w:t>[ARE 929.591 AgR, rel. min. Dias Toffoli,</w:t>
      </w:r>
    </w:p>
    <w:p>
      <w:pPr>
        <w:ind w:left="288"/>
      </w:pPr>
      <w:r>
        <w:rPr>
          <w:color w:val="8C8C8C"/>
          <w:sz w:val="12"/>
        </w:rPr>
        <w:t>cf-art-30-inc-VII</w:t>
      </w:r>
      <w:r>
        <w:rPr>
          <w:color w:val="003CA0"/>
          <w:sz w:val="12"/>
        </w:rPr>
        <w:t xml:space="preserve"> | AI 759.543</w:t>
      </w:r>
      <w:r>
        <w:rPr>
          <w:color w:val="003CA0"/>
          <w:sz w:val="12"/>
        </w:rPr>
        <w:t xml:space="preserve"> | rel. Celso de Mello</w:t>
      </w:r>
    </w:p>
    <w:p>
      <w:pPr>
        <w:ind w:left="288"/>
      </w:pPr>
      <w:r>
        <w:rPr>
          <w:color w:val="1E1E1E"/>
          <w:sz w:val="18"/>
        </w:rPr>
        <w:t>Ampliação e melhoria no atendimento à população no Hospital Municipal Souza Aguiar. Dever estatal de assistência à saúde resultante de norma constitucional. Obrigação jurídico-constitucional que se impõe aos Municípios (CF, art. 30, VII). Configuração, no caso, de típica hipótese de omissão inconstitucional imputável ao Município do Rio de Janeiro/RJ. Desrespeito à Constituição provocado por inércia estatal (RTJ 183/818-819). Comportamento que transgride a autoridade da Lei Fundamental da República (RTJ 185/794-796).</w:t>
      </w:r>
    </w:p>
    <w:p>
      <w:pPr>
        <w:ind w:left="288"/>
      </w:pPr>
      <w:r>
        <w:rPr>
          <w:b/>
          <w:color w:val="003CA0"/>
          <w:sz w:val="16"/>
        </w:rPr>
        <w:t>[AI 759.543 AgR, rel. min. Celso de Mello, j. 17-12-2013, 2ª T, DJE de 12-2-2014.]</w:t>
      </w:r>
    </w:p>
    <w:p>
      <w:pPr>
        <w:ind w:left="144"/>
      </w:pPr>
      <w:r>
        <w:rPr>
          <w:b/>
          <w:color w:val="B45A00"/>
          <w:sz w:val="16"/>
        </w:rPr>
        <w:t>CONTROLE CONCENTRADO</w:t>
      </w:r>
    </w:p>
    <w:p>
      <w:pPr>
        <w:ind w:left="288"/>
      </w:pPr>
      <w:r>
        <w:rPr>
          <w:color w:val="8C8C8C"/>
          <w:sz w:val="12"/>
        </w:rPr>
        <w:t>cf-art-30-inc-VIII</w:t>
      </w:r>
      <w:r>
        <w:rPr>
          <w:color w:val="003CA0"/>
          <w:sz w:val="12"/>
        </w:rPr>
        <w:t xml:space="preserve"> | ADI 478</w:t>
      </w:r>
      <w:r>
        <w:rPr>
          <w:color w:val="003CA0"/>
          <w:sz w:val="12"/>
        </w:rPr>
        <w:t xml:space="preserve"> | rel. Carlos Velloso</w:t>
      </w:r>
    </w:p>
    <w:p>
      <w:pPr>
        <w:ind w:left="288"/>
      </w:pPr>
      <w:r>
        <w:rPr>
          <w:color w:val="1E1E1E"/>
          <w:sz w:val="18"/>
        </w:rPr>
        <w:t>A criação, a organização e a supressão de distritos, da competência dos Municípios, faz-se com observância da legislação estadual (CF, art. 30, IV). Também a competência municipal, para promover, no que couber, adequado ordenamento territorial, mediante planejamento e controle do uso, do parcelamento e da ocupação do solo urbano – CF, art. 30, VIII – por relacionar-se com o direito urbanístico, está sujeita a normas federais e estaduais (CF, art. 24, I). As normas das entidades políticas diversas – União e Estado-membro – deverão, entretanto, ser gerais, em forma de diretrizes, sob pena de tor</w:t>
      </w:r>
    </w:p>
    <w:p>
      <w:pPr>
        <w:ind w:left="288"/>
      </w:pPr>
      <w:r>
        <w:rPr>
          <w:b/>
          <w:color w:val="003CA0"/>
          <w:sz w:val="16"/>
        </w:rPr>
        <w:t>[ADI 478, rel. min. Carlos Velloso, j. 9-12-1996, P, DJ de 28-2-1997.]</w:t>
      </w:r>
    </w:p>
    <w:p>
      <w:pPr>
        <w:ind w:left="288"/>
      </w:pPr>
      <w:r>
        <w:rPr>
          <w:color w:val="8C8C8C"/>
          <w:sz w:val="12"/>
        </w:rPr>
        <w:t>cf-art-30-inc-VIII</w:t>
      </w:r>
      <w:r>
        <w:rPr>
          <w:color w:val="003CA0"/>
          <w:sz w:val="12"/>
        </w:rPr>
        <w:t xml:space="preserve"> | ARE 1.536.905</w:t>
      </w:r>
      <w:r>
        <w:rPr>
          <w:color w:val="003CA0"/>
          <w:sz w:val="12"/>
        </w:rPr>
        <w:t xml:space="preserve"> | rel. Alexandre de Moraes</w:t>
      </w:r>
    </w:p>
    <w:p>
      <w:pPr>
        <w:ind w:left="288"/>
      </w:pPr>
      <w:r>
        <w:rPr>
          <w:color w:val="1E1E1E"/>
          <w:sz w:val="18"/>
        </w:rPr>
        <w:t xml:space="preserve">A necessidade de controle administrativo prévio para a intervenção no espaço urbano constitui preceito derivado da norma do art. 30, VIII, da Constituição Federal, que pressupõe a existência de uma proibição genérica do exercício dos direitos preexistentes dos particulares, calcado na função social da propriedade. Os municípios têm o poder-dever de realizar o controle prévio do uso, do parcelamento e da ocupação do solo urbano, no exercício de sua competência constitucional de execução da política de desenvolvimento urbano, com o objetivo de ordenar o pleno desenvolvimento das funções sociais </w:t>
      </w:r>
    </w:p>
    <w:p>
      <w:pPr>
        <w:ind w:left="288"/>
      </w:pPr>
      <w:r>
        <w:rPr>
          <w:b/>
          <w:color w:val="003CA0"/>
          <w:sz w:val="16"/>
        </w:rPr>
        <w:t>[ARE 1.536.905 AgR, rel. min. Alexandre de Moraes, j. 30.04.2025, P, DJE de 07.05.2025.]</w:t>
      </w:r>
    </w:p>
    <w:p>
      <w:pPr>
        <w:ind w:left="144"/>
      </w:pPr>
      <w:r>
        <w:rPr>
          <w:b/>
          <w:color w:val="B45A00"/>
          <w:sz w:val="16"/>
        </w:rPr>
        <w:t>JULGADOS CORRELATOS</w:t>
      </w:r>
    </w:p>
    <w:p>
      <w:pPr>
        <w:ind w:left="288"/>
      </w:pPr>
      <w:r>
        <w:rPr>
          <w:color w:val="8C8C8C"/>
          <w:sz w:val="12"/>
        </w:rPr>
        <w:t>cf-art-30-inc-VIII</w:t>
      </w:r>
      <w:r>
        <w:rPr>
          <w:color w:val="003CA0"/>
          <w:sz w:val="12"/>
        </w:rPr>
        <w:t xml:space="preserve"> | RE 632.006</w:t>
      </w:r>
      <w:r>
        <w:rPr>
          <w:color w:val="003CA0"/>
          <w:sz w:val="12"/>
        </w:rPr>
        <w:t xml:space="preserve"> | rel. Cármen Lúcia</w:t>
      </w:r>
    </w:p>
    <w:p>
      <w:pPr>
        <w:ind w:left="288"/>
      </w:pPr>
      <w:r>
        <w:rPr>
          <w:color w:val="1E1E1E"/>
          <w:sz w:val="18"/>
        </w:rPr>
        <w:t>Instalação de torres de telefonia celular. Competência legislativa municipal para disciplinar o uso e a ocupação do solo urbano.</w:t>
      </w:r>
    </w:p>
    <w:p>
      <w:pPr>
        <w:ind w:left="288"/>
      </w:pPr>
      <w:r>
        <w:rPr>
          <w:b/>
          <w:color w:val="003CA0"/>
          <w:sz w:val="16"/>
        </w:rPr>
        <w:t>[RE 632.006 AgR, rel. min. Cármen Lúcia, j. 18-11-2014, 2ª T, DJE de 1º-12-2014.]</w:t>
      </w:r>
    </w:p>
    <w:p>
      <w:pPr>
        <w:ind w:left="288"/>
      </w:pPr>
      <w:r>
        <w:rPr>
          <w:color w:val="8C8C8C"/>
          <w:sz w:val="12"/>
        </w:rPr>
        <w:t>cf-art-30-inc-IX</w:t>
      </w:r>
      <w:r>
        <w:rPr>
          <w:color w:val="003CA0"/>
          <w:sz w:val="12"/>
        </w:rPr>
        <w:t xml:space="preserve"> | ARE 1.416.029</w:t>
      </w:r>
      <w:r>
        <w:rPr>
          <w:color w:val="003CA0"/>
          <w:sz w:val="12"/>
        </w:rPr>
        <w:t xml:space="preserve"> | rel. Luiz Fux</w:t>
      </w:r>
    </w:p>
    <w:p>
      <w:pPr>
        <w:ind w:left="288"/>
      </w:pPr>
      <w:r>
        <w:rPr>
          <w:color w:val="1E1E1E"/>
          <w:sz w:val="18"/>
        </w:rPr>
        <w:t>O art. 216, §1º, da Constituição Federal, impõe ao Poder Público, com a colaboração da comunidade, a responsabilidade pela promoção e proteção do patrimônio cultural brasileiro por meio do tombamento. A competência para o tombamento é comum entre todos os entes federativos, nos termos dos arts. 23, III, 30, IX e 216, §1º, da Constituição Federal. O tombamento atribui ao bem um regime jurídico especial de proteção, criando obrigações para o proprietário, para todos os entes públicos envolvidos e para a sociedade, operando efeitos erga omnes, no sentido de impedir a prática de atos que acarretem</w:t>
      </w:r>
    </w:p>
    <w:p>
      <w:pPr>
        <w:ind w:left="288"/>
      </w:pPr>
      <w:r>
        <w:rPr>
          <w:b/>
          <w:color w:val="003CA0"/>
          <w:sz w:val="16"/>
        </w:rPr>
        <w:t>[ARE 1.416.029 AgR, rel. min. Luiz Fux, j. 25.06.2025, 1ª T, DJE de 18.07.2025.]</w:t>
      </w:r>
    </w:p>
    <w:p>
      <w:r>
        <w:rPr>
          <w:b/>
          <w:color w:val="003366"/>
          <w:sz w:val="20"/>
        </w:rPr>
        <w:t>Art. 31 Serão estatizadas as serventias do foro judicial, assim definidas em lei</w:t>
      </w:r>
      <w:r>
        <w:rPr>
          <w:color w:val="8C8C8C"/>
          <w:sz w:val="14"/>
        </w:rPr>
        <w:t xml:space="preserve">  [12 decisoes]</w:t>
      </w:r>
    </w:p>
    <w:p>
      <w:pPr>
        <w:ind w:left="144"/>
      </w:pPr>
      <w:r>
        <w:rPr>
          <w:b/>
          <w:color w:val="B45A00"/>
          <w:sz w:val="16"/>
        </w:rPr>
        <w:t>CONTROLE CONCENTRADO</w:t>
      </w:r>
    </w:p>
    <w:p>
      <w:pPr>
        <w:ind w:left="288"/>
      </w:pPr>
      <w:r>
        <w:rPr>
          <w:color w:val="8C8C8C"/>
          <w:sz w:val="12"/>
        </w:rPr>
        <w:t>cf-art-31-par-1</w:t>
      </w:r>
      <w:r>
        <w:rPr>
          <w:color w:val="003CA0"/>
          <w:sz w:val="12"/>
        </w:rPr>
        <w:t xml:space="preserve"> | RE 1.003.433</w:t>
      </w:r>
      <w:r>
        <w:rPr>
          <w:color w:val="003CA0"/>
          <w:sz w:val="12"/>
        </w:rPr>
        <w:t xml:space="preserve"> | rel. Gilmar Mendes</w:t>
      </w:r>
    </w:p>
    <w:p>
      <w:pPr>
        <w:ind w:left="288"/>
      </w:pPr>
      <w:r>
        <w:rPr>
          <w:color w:val="1E1E1E"/>
          <w:sz w:val="18"/>
        </w:rPr>
        <w:t>No julgamento do RE 1.003.433/RJ, tema 642 da repercussão geral, a Corte restringiu-se a examinar a questão da multa aplicada pelo Tribunal de Contas em razão de prática lesiva à Fazenda Pública municipal. Distinção entre aquela hipótese e a presente. Exame, no caso, da legitimidade para execução de multa simples imposta por Corte de Contas. Diferenciação entre duas modalidades de responsabilidade financeira: a reintegratória e a sancionatória. A primeira está relacionada à reposição de recursos públicos, objeto de desvio, pagamento indevido ou falta de cobrança ou liquidação nos termos da lei</w:t>
      </w:r>
    </w:p>
    <w:p>
      <w:pPr>
        <w:ind w:left="288"/>
      </w:pPr>
      <w:r>
        <w:rPr>
          <w:b/>
          <w:color w:val="003CA0"/>
          <w:sz w:val="16"/>
        </w:rPr>
        <w:t>[ADI 687, rel. min. Celso de Mello, j. 2-2-1995, P, DJ de 10-2-2006.]</w:t>
      </w:r>
    </w:p>
    <w:p>
      <w:pPr>
        <w:ind w:left="144"/>
      </w:pPr>
      <w:r>
        <w:rPr>
          <w:b/>
          <w:color w:val="B45A00"/>
          <w:sz w:val="16"/>
        </w:rPr>
        <w:t>REPERCUSSAO GERAL</w:t>
      </w:r>
    </w:p>
    <w:p>
      <w:pPr>
        <w:ind w:left="288"/>
      </w:pPr>
      <w:r>
        <w:rPr>
          <w:color w:val="8C8C8C"/>
          <w:sz w:val="12"/>
        </w:rPr>
        <w:t>cf-art-31-par-1</w:t>
      </w:r>
      <w:r>
        <w:rPr>
          <w:color w:val="003CA0"/>
          <w:sz w:val="12"/>
        </w:rPr>
        <w:t xml:space="preserve"> | RE 1.003.433</w:t>
      </w:r>
      <w:r>
        <w:rPr>
          <w:color w:val="003CA0"/>
          <w:sz w:val="12"/>
        </w:rPr>
        <w:t xml:space="preserve"> | rel. Marco Aurélio</w:t>
      </w:r>
    </w:p>
    <w:p>
      <w:pPr>
        <w:ind w:left="288"/>
      </w:pPr>
      <w:r>
        <w:rPr>
          <w:color w:val="1E1E1E"/>
          <w:sz w:val="18"/>
        </w:rPr>
        <w:t>O Município prejudicado é o legitimado para a execução de crédito decorrente de multa aplicada por Tribunal de Contas estadual a agente público municipal, em razão de danos causados ao erário municipal.</w:t>
      </w:r>
    </w:p>
    <w:p>
      <w:pPr>
        <w:ind w:left="288"/>
      </w:pPr>
      <w:r>
        <w:rPr>
          <w:b/>
          <w:color w:val="003CA0"/>
          <w:sz w:val="16"/>
        </w:rPr>
        <w:t>[RE 1.003.433, rel. min. Marco Aurélio, red. do ac. min. Alexandre de Moraes j. 15-9-2021, P, DJE de 13-10-2021, Tema 642, com mérito julgado.]</w:t>
      </w:r>
    </w:p>
    <w:p>
      <w:pPr>
        <w:ind w:left="144"/>
      </w:pPr>
      <w:r>
        <w:rPr>
          <w:b/>
          <w:color w:val="B45A00"/>
          <w:sz w:val="16"/>
        </w:rPr>
        <w:t>JULGADOS CORRELATOS</w:t>
      </w:r>
    </w:p>
    <w:p>
      <w:pPr>
        <w:ind w:left="288"/>
      </w:pPr>
      <w:r>
        <w:rPr>
          <w:color w:val="8C8C8C"/>
          <w:sz w:val="12"/>
        </w:rPr>
        <w:t>cf-art-31-par-1</w:t>
      </w:r>
      <w:r>
        <w:rPr>
          <w:color w:val="003CA0"/>
          <w:sz w:val="12"/>
        </w:rPr>
        <w:t xml:space="preserve"> | RE 261.885</w:t>
      </w:r>
      <w:r>
        <w:rPr>
          <w:color w:val="003CA0"/>
          <w:sz w:val="12"/>
        </w:rPr>
        <w:t xml:space="preserve"> | rel. Ilmar Galvão</w:t>
      </w:r>
    </w:p>
    <w:p>
      <w:pPr>
        <w:ind w:left="288"/>
      </w:pPr>
      <w:r>
        <w:rPr>
          <w:color w:val="1E1E1E"/>
          <w:sz w:val="18"/>
        </w:rPr>
        <w:t>Sendo o julgamento das contas do recorrente, como ex-chefe do Executivo Municipal, realizado pela Câmara de Vereadores mediante parecer prévio do Tribunal de Contas, que poderá deixar de prevalecer por decisão de 2/3 dos membros da Casa Legislativa (arts. 31, § 1º, e 71 c/c 75 da CF), é fora de dúvida que, no presente caso, em que o parecer foi pela rejeição das contas, não poderia ele, em face da norma constitucional sob referência, ter sido aprovado, sem que se houvesse propiciado ao interessado a oportunidade de opor-se ao referido pronunciamento técnico, de maneira ampla, perante o órgão l</w:t>
      </w:r>
    </w:p>
    <w:p>
      <w:pPr>
        <w:ind w:left="288"/>
      </w:pPr>
      <w:r>
        <w:rPr>
          <w:b/>
          <w:color w:val="003CA0"/>
          <w:sz w:val="16"/>
        </w:rPr>
        <w:t>[RE 261.885, rel. min. Ilmar Galvão, j. 5-12-2000, 1ª T, DJ de 16-3-2001.]</w:t>
      </w:r>
    </w:p>
    <w:p>
      <w:pPr>
        <w:ind w:left="288"/>
      </w:pPr>
      <w:r>
        <w:rPr>
          <w:color w:val="8C8C8C"/>
          <w:sz w:val="12"/>
        </w:rPr>
        <w:t>cf-art-31-par-1</w:t>
      </w:r>
      <w:r>
        <w:rPr>
          <w:color w:val="003CA0"/>
          <w:sz w:val="12"/>
        </w:rPr>
        <w:t xml:space="preserve"> | RE 414.908</w:t>
      </w:r>
      <w:r>
        <w:rPr>
          <w:color w:val="003CA0"/>
          <w:sz w:val="12"/>
        </w:rPr>
        <w:t xml:space="preserve"> | rel. Ayres Britto</w:t>
      </w:r>
    </w:p>
    <w:p>
      <w:pPr>
        <w:ind w:left="288"/>
      </w:pPr>
      <w:r>
        <w:rPr>
          <w:color w:val="1E1E1E"/>
          <w:sz w:val="18"/>
        </w:rPr>
        <w:t>= RE 414.908 AgR, rel. min. Ayres Britto, j. 16-8-2011, 2ª T, DJE de 18-10-2011</w:t>
      </w:r>
    </w:p>
    <w:p>
      <w:pPr>
        <w:ind w:left="144"/>
      </w:pPr>
      <w:r>
        <w:rPr>
          <w:b/>
          <w:color w:val="B45A00"/>
          <w:sz w:val="16"/>
        </w:rPr>
        <w:t>CONTROLE CONCENTRADO</w:t>
      </w:r>
    </w:p>
    <w:p>
      <w:pPr>
        <w:ind w:left="288"/>
      </w:pPr>
      <w:r>
        <w:rPr>
          <w:color w:val="8C8C8C"/>
          <w:sz w:val="12"/>
        </w:rPr>
        <w:t>cf-art-31-par-2</w:t>
      </w:r>
      <w:r>
        <w:rPr>
          <w:color w:val="003CA0"/>
          <w:sz w:val="12"/>
        </w:rPr>
        <w:t xml:space="preserve"> | ADI 3.077</w:t>
      </w:r>
      <w:r>
        <w:rPr>
          <w:color w:val="003CA0"/>
          <w:sz w:val="12"/>
        </w:rPr>
        <w:t xml:space="preserve"> | rel. Cármen Lúcia</w:t>
      </w:r>
    </w:p>
    <w:p>
      <w:pPr>
        <w:ind w:left="288"/>
      </w:pPr>
      <w:r>
        <w:rPr>
          <w:color w:val="1E1E1E"/>
          <w:sz w:val="18"/>
        </w:rPr>
        <w:t>Inconstitucionalidade de norma de Constituição estadual que dispensa apresentação de parecer prévio sobre as contas de chefe do Poder Executivo municipal a ser emitido pelo respectivo tribunal de contas estadual.</w:t>
        <w:br/>
        <w:t>[ADI 3.077, rel. min. Cármen Lúcia, j. 16-11-2016, P, DJE de 1º-8-2017.]</w:t>
      </w:r>
    </w:p>
    <w:p>
      <w:pPr>
        <w:ind w:left="144"/>
      </w:pPr>
      <w:r>
        <w:rPr>
          <w:b/>
          <w:color w:val="B45A00"/>
          <w:sz w:val="16"/>
        </w:rPr>
        <w:t>REPERCUSSAO GERAL</w:t>
      </w:r>
    </w:p>
    <w:p>
      <w:pPr>
        <w:ind w:left="288"/>
      </w:pPr>
      <w:r>
        <w:rPr>
          <w:color w:val="8C8C8C"/>
          <w:sz w:val="12"/>
        </w:rPr>
        <w:t>cf-art-31-par-2</w:t>
      </w:r>
      <w:r>
        <w:rPr>
          <w:color w:val="003CA0"/>
          <w:sz w:val="12"/>
        </w:rPr>
        <w:t xml:space="preserve"> | RE 1.459.224</w:t>
      </w:r>
      <w:r>
        <w:rPr>
          <w:color w:val="003CA0"/>
          <w:sz w:val="12"/>
        </w:rPr>
        <w:t xml:space="preserve"> | rel. Gilmar Mendes</w:t>
      </w:r>
    </w:p>
    <w:p>
      <w:pPr>
        <w:ind w:left="288"/>
      </w:pPr>
      <w:r>
        <w:rPr>
          <w:color w:val="1E1E1E"/>
          <w:sz w:val="18"/>
        </w:rPr>
        <w:t>A competência para julgamento das contas anuais dos prefeitos, eleitos pelo povo, é do Poder Legislativo (art. 71, I, da CF), órgão constituído por representantes democraticamente eleitos para averiguar, além da sua adequação orçamentária, sua destinação em prol dos interesses da população ali representada. O parecer dos Tribunais de Contas é meramente opinativo, não sendo apto a produzir inelegibilidade. No julgamento das contas anuais do prefeito, não há julgamento do próprio prefeito, mas deliberação sobre a exatidão da execução orçamentária do município. (...) “É correta a interpretação co</w:t>
      </w:r>
    </w:p>
    <w:p>
      <w:pPr>
        <w:ind w:left="144"/>
      </w:pPr>
      <w:r>
        <w:rPr>
          <w:b/>
          <w:color w:val="B45A00"/>
          <w:sz w:val="16"/>
        </w:rPr>
        <w:t>JULGADOS CORRELATOS</w:t>
      </w:r>
    </w:p>
    <w:p>
      <w:pPr>
        <w:ind w:left="288"/>
      </w:pPr>
      <w:r>
        <w:rPr>
          <w:color w:val="8C8C8C"/>
          <w:sz w:val="12"/>
        </w:rPr>
        <w:t>cf-art-31-par-2</w:t>
      </w:r>
      <w:r>
        <w:rPr>
          <w:color w:val="003CA0"/>
          <w:sz w:val="12"/>
        </w:rPr>
        <w:t xml:space="preserve"> | RCL 14.155</w:t>
      </w:r>
      <w:r>
        <w:rPr>
          <w:color w:val="003CA0"/>
          <w:sz w:val="12"/>
        </w:rPr>
        <w:t xml:space="preserve"> | rel. Celso de Mello</w:t>
      </w:r>
    </w:p>
    <w:p>
      <w:pPr>
        <w:ind w:left="288"/>
      </w:pPr>
      <w:r>
        <w:rPr>
          <w:color w:val="1E1E1E"/>
          <w:sz w:val="18"/>
        </w:rPr>
        <w:t>As contas públicas dos chefes do Executivo devem sofrer o julgamento – final e definitivo – da instituição parlamentar, cuja atuação, no plano do controle externo da legalidade e regularidade da atividade financeira do presidente da República, dos governadores e dos prefeitos municipais, é desempenhada com a intervenção ad coadjuvandum do tribunal de contas. A apreciação das contas prestadas pelo chefe do Poder Executivo – que é a expressão visível da unidade institucional desse órgão da soberania do Estado – constitui prerrogativa intransferível do Legislativo, que não pode ser substituído pe</w:t>
      </w:r>
    </w:p>
    <w:p>
      <w:pPr>
        <w:ind w:left="288"/>
      </w:pPr>
      <w:r>
        <w:rPr>
          <w:b/>
          <w:color w:val="003CA0"/>
          <w:sz w:val="16"/>
        </w:rPr>
        <w:t>[Rcl 14.155 MC-AgR, rel. min. Celso de Mello, j. 20-8-2012, dec. monocrática, DJE de 22-8-2012.]</w:t>
      </w:r>
    </w:p>
    <w:p>
      <w:pPr>
        <w:ind w:left="288"/>
      </w:pPr>
      <w:r>
        <w:rPr>
          <w:color w:val="8C8C8C"/>
          <w:sz w:val="12"/>
        </w:rPr>
        <w:t>cf-art-31-par-2</w:t>
      </w:r>
      <w:r>
        <w:rPr>
          <w:color w:val="003CA0"/>
          <w:sz w:val="12"/>
        </w:rPr>
        <w:t xml:space="preserve"> | RE 682.011</w:t>
      </w:r>
      <w:r>
        <w:rPr>
          <w:color w:val="003CA0"/>
          <w:sz w:val="12"/>
        </w:rPr>
        <w:t xml:space="preserve"> | rel. Celso de Mello</w:t>
      </w:r>
    </w:p>
    <w:p>
      <w:pPr>
        <w:ind w:left="288"/>
      </w:pPr>
      <w:r>
        <w:rPr>
          <w:color w:val="1E1E1E"/>
          <w:sz w:val="18"/>
        </w:rPr>
        <w:t>O controle externo das contas municipais, especialmente daquelas pertinentes ao chefe do Poder Executivo local, representa uma das mais expressivas prerrogativas institucionais da câmara de vereadores, que o exercerá com o auxílio do tribunal de contas (CF, art. 31). Essa fiscalização institucional não pode ser exercida, de modo abusivo e arbitrário, pela câmara de vereadores, eis que – devendo efetivar-se no contexto de procedimento revestido de caráter político-administrativo – está subordinada à necessária observância, pelo Poder Legislativo local, dos postulados constitucionais que assegur</w:t>
      </w:r>
    </w:p>
    <w:p>
      <w:pPr>
        <w:ind w:left="288"/>
      </w:pPr>
      <w:r>
        <w:rPr>
          <w:b/>
          <w:color w:val="003CA0"/>
          <w:sz w:val="16"/>
        </w:rPr>
        <w:t>[RE 682.011, rel. min. Celso de Mello, j. 8-6-2012, dec. monocrática, DJE de 13-6-2012.]</w:t>
      </w:r>
    </w:p>
    <w:p>
      <w:pPr>
        <w:ind w:left="144"/>
      </w:pPr>
      <w:r>
        <w:rPr>
          <w:b/>
          <w:color w:val="B45A00"/>
          <w:sz w:val="16"/>
        </w:rPr>
        <w:t>CONTROLE CONCENTRADO</w:t>
      </w:r>
    </w:p>
    <w:p>
      <w:pPr>
        <w:ind w:left="288"/>
      </w:pPr>
      <w:r>
        <w:rPr>
          <w:color w:val="8C8C8C"/>
          <w:sz w:val="12"/>
        </w:rPr>
        <w:t>cf-art-31-par-4</w:t>
      </w:r>
      <w:r>
        <w:rPr>
          <w:color w:val="003CA0"/>
          <w:sz w:val="12"/>
        </w:rPr>
        <w:t xml:space="preserve"> | ADI 346</w:t>
      </w:r>
      <w:r>
        <w:rPr>
          <w:color w:val="003CA0"/>
          <w:sz w:val="12"/>
        </w:rPr>
        <w:t xml:space="preserve"> | rel. Gilmar Mendes</w:t>
      </w:r>
    </w:p>
    <w:p>
      <w:pPr>
        <w:ind w:left="288"/>
      </w:pPr>
      <w:r>
        <w:rPr>
          <w:color w:val="1E1E1E"/>
          <w:sz w:val="18"/>
        </w:rPr>
        <w:t>(...) Tribunal de Contas do Município (de São Paulo e do Rio de Janeiro) é órgão independente e autônomo, pertencente à estrutura da esfera municipal, com a função de auxiliar a Câmara Municipal no controle externo da fiscalização financeira e orçamentária do respectivo município. Importante destacar que o art. 31, § 4º, da CF/88 veda que os municípios criem seus próprios Tribunais, Conselhos ou órgãos de contas municipais, mas isso não implicou a extinção do TCM/SP e do TCM/RJ, criados sob a égide de regime constitucional anterior (Lei Municipal 7.213/1968 e Lei Municipal 183/1980, respectiva</w:t>
      </w:r>
    </w:p>
    <w:p>
      <w:pPr>
        <w:ind w:left="288"/>
      </w:pPr>
      <w:r>
        <w:rPr>
          <w:b/>
          <w:color w:val="003CA0"/>
          <w:sz w:val="16"/>
        </w:rPr>
        <w:t>[ADI 346 e ADI 4.776, voto do rel. min. Gilmar Mendes, j. 3-6-2020, P, DJE de 2-10-2020.]</w:t>
      </w:r>
    </w:p>
    <w:p>
      <w:pPr>
        <w:ind w:left="288"/>
      </w:pPr>
      <w:r>
        <w:rPr>
          <w:color w:val="8C8C8C"/>
          <w:sz w:val="12"/>
        </w:rPr>
        <w:t>cf-art-31-par-4</w:t>
      </w:r>
      <w:r>
        <w:rPr>
          <w:color w:val="003CA0"/>
          <w:sz w:val="12"/>
        </w:rPr>
        <w:t xml:space="preserve"> | ADI 5.763</w:t>
      </w:r>
      <w:r>
        <w:rPr>
          <w:color w:val="003CA0"/>
          <w:sz w:val="12"/>
        </w:rPr>
        <w:t xml:space="preserve"> | rel. Marco Aurélio</w:t>
      </w:r>
    </w:p>
    <w:p>
      <w:pPr>
        <w:ind w:left="288"/>
      </w:pPr>
      <w:r>
        <w:rPr>
          <w:color w:val="1E1E1E"/>
          <w:sz w:val="18"/>
        </w:rPr>
        <w:t>A interpretação sistemática dos parágrafos 1º e 4º do artigo 31 da Constituição Federal revela ser possível a extinção de Tribunal de Contas responsável pela fiscalização dos Municípios mediante a promulgação de Emenda à Constituição estadual, surgindo impróprio afirmar que o Constituinte proibiu a supressão desses órgãos. (...) É inviável, a partir de leitura sistemática dos preceitos constitucionais, assentar a impossibilidade de Emenda à Constituição, de iniciativa parlamentar, versar a extinção de Tribunal de Contas estadual.</w:t>
      </w:r>
    </w:p>
    <w:p>
      <w:pPr>
        <w:ind w:left="288"/>
      </w:pPr>
      <w:r>
        <w:rPr>
          <w:b/>
          <w:color w:val="003CA0"/>
          <w:sz w:val="16"/>
        </w:rPr>
        <w:t>[ADI 5.763, rel. min. Marco Aurélio, j. 26-10-2017, P, DJE de 23-10-2019.]</w:t>
      </w:r>
    </w:p>
    <w:p>
      <w:pPr>
        <w:ind w:left="288"/>
      </w:pPr>
      <w:r>
        <w:rPr>
          <w:color w:val="8C8C8C"/>
          <w:sz w:val="12"/>
        </w:rPr>
        <w:t>cf-art-31-par-4</w:t>
      </w:r>
      <w:r>
        <w:rPr>
          <w:color w:val="003CA0"/>
          <w:sz w:val="12"/>
        </w:rPr>
        <w:t xml:space="preserve"> | ADI 445</w:t>
      </w:r>
      <w:r>
        <w:rPr>
          <w:color w:val="003CA0"/>
          <w:sz w:val="12"/>
        </w:rPr>
        <w:t xml:space="preserve"> | rel. Octavio Gallotti – ADI 445/DF</w:t>
      </w:r>
    </w:p>
    <w:p>
      <w:pPr>
        <w:ind w:left="288"/>
      </w:pPr>
      <w:r>
        <w:rPr>
          <w:color w:val="1E1E1E"/>
          <w:sz w:val="18"/>
        </w:rPr>
        <w:t>A Constituição da República impede que os Municípios criem os seus próprios tribunais, conselhos ou órgãos de contas municipais (CF, art. 31, § 4º), mas permite que os Estados-membros, mediante autônoma deliberação, instituam órgão estadual denominado Conselho ou Tribunal de Contas dos Municípios (RTJ 135/457, rel. min. Octavio Gallotti – ADI 445/DF, rel. min. Néri da Silveira), incumbido de auxiliar as câmaras municipais no exercício de seu poder de controle externo (CF, art. 31, § 1º).</w:t>
      </w:r>
    </w:p>
    <w:p>
      <w:pPr>
        <w:ind w:left="288"/>
      </w:pPr>
      <w:r>
        <w:rPr>
          <w:b/>
          <w:color w:val="003CA0"/>
          <w:sz w:val="16"/>
        </w:rPr>
        <w:t>[ADI 687, rel. min. Celso de Mello, j. 2-2-1995, P, DJ de 10-2-2006.]</w:t>
      </w:r>
    </w:p>
    <w:p>
      <w:pPr>
        <w:ind w:left="288"/>
      </w:pPr>
      <w:r>
        <w:rPr>
          <w:color w:val="8C8C8C"/>
          <w:sz w:val="12"/>
        </w:rPr>
        <w:t>cf-art-31-par-4</w:t>
      </w:r>
    </w:p>
    <w:p>
      <w:pPr>
        <w:ind w:left="288"/>
      </w:pPr>
      <w:r>
        <w:rPr>
          <w:color w:val="1E1E1E"/>
          <w:sz w:val="18"/>
        </w:rPr>
        <w:t>CAPÍTULO V Do Distrito Federal e dos Territórios SUMÁRIO Seção I Do Distrito Federal SUMÁRIO</w:t>
      </w:r>
    </w:p>
    <w:p>
      <w:r>
        <w:rPr>
          <w:b/>
          <w:color w:val="003366"/>
          <w:sz w:val="20"/>
        </w:rPr>
        <w:t>Art. 32 O disposto no art. 236 não se aplica aos serviços notariais e de registr</w:t>
      </w:r>
      <w:r>
        <w:rPr>
          <w:color w:val="8C8C8C"/>
          <w:sz w:val="14"/>
        </w:rPr>
        <w:t xml:space="preserve">  [9 decisoes]</w:t>
      </w:r>
    </w:p>
    <w:p>
      <w:pPr>
        <w:ind w:left="144"/>
      </w:pPr>
      <w:r>
        <w:rPr>
          <w:b/>
          <w:color w:val="B45A00"/>
          <w:sz w:val="16"/>
        </w:rPr>
        <w:t>CONTROLE CONCENTRADO</w:t>
      </w:r>
    </w:p>
    <w:p>
      <w:pPr>
        <w:ind w:left="288"/>
      </w:pPr>
      <w:r>
        <w:rPr>
          <w:color w:val="8C8C8C"/>
          <w:sz w:val="12"/>
        </w:rPr>
        <w:t>cf-art-32</w:t>
      </w:r>
      <w:r>
        <w:rPr>
          <w:color w:val="003CA0"/>
          <w:sz w:val="12"/>
        </w:rPr>
        <w:t xml:space="preserve"> | ADI 5.737</w:t>
      </w:r>
      <w:r>
        <w:rPr>
          <w:color w:val="003CA0"/>
          <w:sz w:val="12"/>
        </w:rPr>
        <w:t xml:space="preserve"> | rel. Dias Toffoli</w:t>
      </w:r>
    </w:p>
    <w:p>
      <w:pPr>
        <w:ind w:left="288"/>
      </w:pPr>
      <w:r>
        <w:rPr>
          <w:color w:val="1E1E1E"/>
          <w:sz w:val="18"/>
        </w:rPr>
        <w:t>A regra de competência prevista nos arts. 46, § 5º, e 52, caput e parágrafo único, do CPC, no ponto em que permite que estados e o Distrito Federal sejam demandados fora de seus respectivos limites territoriais, desconsidera sua prerrogativa constitucional de autoorganização. Não se pode alijar o Poder Judiciário Estadual de atuar nas questões de direito afetas aos entes públicos subnacionais. Além disso, os tribunais também possuem funções administrativas – como aquelas ligadas ao pagamento de precatórios judiciais – que não podem, sem base constitucional expressa, ser exercidas por autoridad</w:t>
      </w:r>
    </w:p>
    <w:p>
      <w:pPr>
        <w:ind w:left="288"/>
      </w:pPr>
      <w:r>
        <w:rPr>
          <w:b/>
          <w:color w:val="003CA0"/>
          <w:sz w:val="16"/>
        </w:rPr>
        <w:t>[ADI 1.706, rel. min. Eros Grau, j. 9-4-2008, P, DJE de 12-9-2008.]</w:t>
      </w:r>
    </w:p>
    <w:p>
      <w:pPr>
        <w:ind w:left="288"/>
      </w:pPr>
      <w:r>
        <w:rPr>
          <w:color w:val="8C8C8C"/>
          <w:sz w:val="12"/>
        </w:rPr>
        <w:t>cf-art-32</w:t>
      </w:r>
      <w:r>
        <w:rPr>
          <w:color w:val="003CA0"/>
          <w:sz w:val="12"/>
        </w:rPr>
        <w:t xml:space="preserve"> | ADI 980</w:t>
      </w:r>
      <w:r>
        <w:rPr>
          <w:color w:val="003CA0"/>
          <w:sz w:val="12"/>
        </w:rPr>
        <w:t xml:space="preserve"> | rel. Menezes Direito</w:t>
      </w:r>
    </w:p>
    <w:p>
      <w:pPr>
        <w:ind w:left="288"/>
      </w:pPr>
      <w:r>
        <w:rPr>
          <w:color w:val="1E1E1E"/>
          <w:sz w:val="18"/>
        </w:rPr>
        <w:t>(...) Lei Orgânica do Distrito Federal. (...) A Lei Orgânica tem força e autoridade equivalentes a um verdadeiro estatuto constitucional, podendo ser equiparada às Constituições promulgadas pelos Estados-membros, como assentado no julgamento que deferiu a medida cautelar nesta ação direta.</w:t>
      </w:r>
    </w:p>
    <w:p>
      <w:pPr>
        <w:ind w:left="288"/>
      </w:pPr>
      <w:r>
        <w:rPr>
          <w:b/>
          <w:color w:val="003CA0"/>
          <w:sz w:val="16"/>
        </w:rPr>
        <w:t>[ADI 980, rel. min. Menezes Direito, j. 6-3-2008, P, DJE de 1-8-2008.]</w:t>
      </w:r>
    </w:p>
    <w:p>
      <w:pPr>
        <w:ind w:left="288"/>
      </w:pPr>
      <w:r>
        <w:rPr>
          <w:color w:val="8C8C8C"/>
          <w:sz w:val="12"/>
        </w:rPr>
        <w:t>cf-art-32</w:t>
      </w:r>
      <w:r>
        <w:rPr>
          <w:color w:val="003CA0"/>
          <w:sz w:val="12"/>
        </w:rPr>
        <w:t xml:space="preserve"> | ADI 3.756</w:t>
      </w:r>
      <w:r>
        <w:rPr>
          <w:color w:val="003CA0"/>
          <w:sz w:val="12"/>
        </w:rPr>
        <w:t xml:space="preserve"> | rel. Ayres Britto</w:t>
      </w:r>
    </w:p>
    <w:p>
      <w:pPr>
        <w:ind w:left="288"/>
      </w:pPr>
      <w:r>
        <w:rPr>
          <w:color w:val="1E1E1E"/>
          <w:sz w:val="18"/>
        </w:rPr>
        <w:t>O Distrito Federal é uma unidade federativa de compostura singular, dado que: a) desfruta de competências que são próprias dos Estados e dos Municípios, cumulativamente (art. 32, § 1°, CF); b) algumas de suas instituições elementares são organizadas e mantidas pela União (art. 21, XIII e XIV, CF); c) os serviços públicos a cuja prestação está jungido são financiados, em parte, pela mesma pessoa federada central, que é a União (art. 21, XIV, parte final, CF). Conquanto submetido a regime constitucional diferenciado, o Distrito Federal está bem mais próximo da estruturação dos Estados-membros do</w:t>
      </w:r>
    </w:p>
    <w:p>
      <w:pPr>
        <w:ind w:left="288"/>
      </w:pPr>
      <w:r>
        <w:rPr>
          <w:b/>
          <w:color w:val="003CA0"/>
          <w:sz w:val="16"/>
        </w:rPr>
        <w:t>[ADI 3.756, rel. min. Ayres Britto, j. 21-6-2007, P, DJ de 19-10-2007.]</w:t>
      </w:r>
    </w:p>
    <w:p>
      <w:pPr>
        <w:ind w:left="288"/>
      </w:pPr>
      <w:r>
        <w:rPr>
          <w:color w:val="8C8C8C"/>
          <w:sz w:val="12"/>
        </w:rPr>
        <w:t>cf-art-32-par-1</w:t>
      </w:r>
      <w:r>
        <w:rPr>
          <w:color w:val="003CA0"/>
          <w:sz w:val="12"/>
        </w:rPr>
        <w:t xml:space="preserve"> | ADI 665</w:t>
      </w:r>
      <w:r>
        <w:rPr>
          <w:color w:val="003CA0"/>
          <w:sz w:val="12"/>
        </w:rPr>
        <w:t xml:space="preserve"> | rel. Sydney Sanches</w:t>
      </w:r>
    </w:p>
    <w:p>
      <w:pPr>
        <w:ind w:left="288"/>
      </w:pPr>
      <w:r>
        <w:rPr>
          <w:color w:val="1E1E1E"/>
          <w:sz w:val="18"/>
        </w:rPr>
        <w:t>A lei impugnada trata de servidores públicos do Distrito Federal, de seu regime jurídico, inclusive contagem de tempo de serviço para todos os efeitos e de provimento de cargos, definindo critérios para a progressão funcional, matérias todas compreendidas na alínea c do § 1º do art. 61, que atribuem privativamente ao chefe do Poder Executivo a iniciativa do processo legislativo, princípio a ser observado, não só nos Estados (art. 25), mas também no Distrito Federal (art. 32).</w:t>
      </w:r>
    </w:p>
    <w:p>
      <w:pPr>
        <w:ind w:left="288"/>
      </w:pPr>
      <w:r>
        <w:rPr>
          <w:b/>
          <w:color w:val="003CA0"/>
          <w:sz w:val="16"/>
        </w:rPr>
        <w:t>[ADI 665, rel. min. Sydney Sanches, j. 6-9-1995, P, DJ de 27-10-1995.]</w:t>
      </w:r>
    </w:p>
    <w:p>
      <w:pPr>
        <w:ind w:left="288"/>
      </w:pPr>
      <w:r>
        <w:rPr>
          <w:color w:val="8C8C8C"/>
          <w:sz w:val="12"/>
        </w:rPr>
        <w:t>cf-art-32-par-1</w:t>
      </w:r>
      <w:r>
        <w:rPr>
          <w:color w:val="003CA0"/>
          <w:sz w:val="12"/>
        </w:rPr>
        <w:t xml:space="preserve"> | ADI 880</w:t>
      </w:r>
      <w:r>
        <w:rPr>
          <w:color w:val="003CA0"/>
          <w:sz w:val="12"/>
        </w:rPr>
        <w:t xml:space="preserve"> | rel. Sepúlveda Pertence</w:t>
      </w:r>
    </w:p>
    <w:p>
      <w:pPr>
        <w:ind w:left="288"/>
      </w:pPr>
      <w:r>
        <w:rPr>
          <w:color w:val="1E1E1E"/>
          <w:sz w:val="18"/>
        </w:rPr>
        <w:t>O Distrito Federal, ao qual se vedou dividir-se em Municípios (CF, art. 32), é entidade federativa que acumula as competências reservadas pela Constituição aos Estados e aos Municípios: dada a inexistência de controle abstrato de normas municipais em face da Constituição da República, segue-se o descabimento de ação direta de inconstitucionalidade cujo objeto seja ato normativo editado pelo Distrito Federal, no exercício de competência que a Lei Fundamental reserva aos Municípios, qual a de disciplina e polícia do parcelamento do solo urbano.</w:t>
      </w:r>
    </w:p>
    <w:p>
      <w:pPr>
        <w:ind w:left="288"/>
      </w:pPr>
      <w:r>
        <w:rPr>
          <w:b/>
          <w:color w:val="003CA0"/>
          <w:sz w:val="16"/>
        </w:rPr>
        <w:t>[ADI 880 MC, rel. min. Sepúlveda Pertence, j. 6-10-1993, P, DJ de 4-2-1994.]</w:t>
      </w:r>
    </w:p>
    <w:p>
      <w:pPr>
        <w:ind w:left="288"/>
      </w:pPr>
      <w:r>
        <w:rPr>
          <w:color w:val="8C8C8C"/>
          <w:sz w:val="12"/>
        </w:rPr>
        <w:t>cf-art-32-par-1</w:t>
      </w:r>
      <w:r>
        <w:rPr>
          <w:color w:val="003CA0"/>
          <w:sz w:val="12"/>
        </w:rPr>
        <w:t xml:space="preserve"> | ADI 677</w:t>
      </w:r>
      <w:r>
        <w:rPr>
          <w:color w:val="003CA0"/>
          <w:sz w:val="12"/>
        </w:rPr>
        <w:t xml:space="preserve"> | rel. Néri da Silveira</w:t>
      </w:r>
    </w:p>
    <w:p>
      <w:pPr>
        <w:ind w:left="288"/>
      </w:pPr>
      <w:r>
        <w:rPr>
          <w:color w:val="1E1E1E"/>
          <w:sz w:val="18"/>
        </w:rPr>
        <w:t>Se é certo que, pelo art. 21, XIV, da Constituição, à União compete organizar e manter a Polícia Militar e o Corpo de Bombeiros Militar do Distrito Federal, sendo federal a lei que fixa vencimentos desses servidores militares, não é menos exato que, com base no art. 32 e § 1º da Lei Magna, incumbe ao Distrito Federal organizar seus serviços, aí compreendidos, à evidência e notadamente, os referentes ao gabinete do governador, competindo-lhe estabelecer gratificações, em lei distrital, pelo exercício de funções de confiança ou de cargos em comissão. Lei que assim disponha não invade a esfera de</w:t>
      </w:r>
    </w:p>
    <w:p>
      <w:pPr>
        <w:ind w:left="288"/>
      </w:pPr>
      <w:r>
        <w:rPr>
          <w:b/>
          <w:color w:val="003CA0"/>
          <w:sz w:val="16"/>
        </w:rPr>
        <w:t>[ADI 677, rel. min. Néri da Silveira, j. 11-3-1993, P, DJ de 21-5-1993.]</w:t>
      </w:r>
    </w:p>
    <w:p>
      <w:pPr>
        <w:ind w:left="144"/>
      </w:pPr>
      <w:r>
        <w:rPr>
          <w:b/>
          <w:color w:val="B45A00"/>
          <w:sz w:val="16"/>
        </w:rPr>
        <w:t>JULGADOS CORRELATOS</w:t>
      </w:r>
    </w:p>
    <w:p>
      <w:pPr>
        <w:ind w:left="288"/>
      </w:pPr>
      <w:r>
        <w:rPr>
          <w:color w:val="8C8C8C"/>
          <w:sz w:val="12"/>
        </w:rPr>
        <w:t>cf-art-32-par-1</w:t>
      </w:r>
      <w:r>
        <w:rPr>
          <w:color w:val="003CA0"/>
          <w:sz w:val="12"/>
        </w:rPr>
        <w:t xml:space="preserve"> | AC 767</w:t>
      </w:r>
      <w:r>
        <w:rPr>
          <w:color w:val="003CA0"/>
          <w:sz w:val="12"/>
        </w:rPr>
        <w:t xml:space="preserve"> | rel. Celso de Mello</w:t>
      </w:r>
    </w:p>
    <w:p>
      <w:pPr>
        <w:ind w:left="288"/>
      </w:pPr>
      <w:r>
        <w:rPr>
          <w:color w:val="1E1E1E"/>
          <w:sz w:val="18"/>
        </w:rPr>
        <w:t xml:space="preserve">Os Municípios e o Distrito Federal podem editar legislação própria, com fundamento na autonomia constitucional que lhes é inerente (CF, art. 30, I, e 32, § 1º), com objetivo de determinar às instituições financeiras que instalem, em suas agências, em favor dos usuários dos serviços bancários (clientes ou não), equipamentos destinados a proporcionar-lhes segurança (tais como portas eletrônicas e câmaras filmadoras) ou a propiciar-lhes conforto, mediante oferecimento de instalações sanitárias, ou fornecimento de cadeiras de espera, ou colocação de bebedouros, ou, ainda, prestação de atendimento </w:t>
      </w:r>
    </w:p>
    <w:p>
      <w:pPr>
        <w:ind w:left="288"/>
      </w:pPr>
      <w:r>
        <w:rPr>
          <w:b/>
          <w:color w:val="003CA0"/>
          <w:sz w:val="16"/>
        </w:rPr>
        <w:t>[AC 767 AgR, rel. min. Celso de Mello, j. 16-8-2005, 2ª T, DJE de 6-2-2014.]</w:t>
      </w:r>
    </w:p>
    <w:p>
      <w:pPr>
        <w:ind w:left="288"/>
      </w:pPr>
      <w:r>
        <w:rPr>
          <w:color w:val="8C8C8C"/>
          <w:sz w:val="12"/>
        </w:rPr>
        <w:t>cf-art-32-par-3</w:t>
      </w:r>
      <w:r>
        <w:rPr>
          <w:color w:val="003CA0"/>
          <w:sz w:val="12"/>
        </w:rPr>
        <w:t xml:space="preserve"> | AI 401.600</w:t>
      </w:r>
      <w:r>
        <w:rPr>
          <w:color w:val="003CA0"/>
          <w:sz w:val="12"/>
        </w:rPr>
        <w:t xml:space="preserve"> | rel. Celso de Mello</w:t>
      </w:r>
    </w:p>
    <w:p>
      <w:pPr>
        <w:ind w:left="288"/>
      </w:pPr>
      <w:r>
        <w:rPr>
          <w:color w:val="1E1E1E"/>
          <w:sz w:val="18"/>
        </w:rPr>
        <w:t>(...) o comportamento do ora agravado – que era, então, à época dos fatos, deputado distrital – subsume-se, inteiramente, ao âmbito de incidência da proteção constitucional fundada na garantia da imunidade parlamentar material, em ordem a excluir, na espécie, a responsabilidade civil do parlamentar em questão.</w:t>
      </w:r>
    </w:p>
    <w:p>
      <w:pPr>
        <w:ind w:left="288"/>
      </w:pPr>
      <w:r>
        <w:rPr>
          <w:b/>
          <w:color w:val="003CA0"/>
          <w:sz w:val="16"/>
        </w:rPr>
        <w:t>[AI 401.600 AgR, voto do rel. min. Celso de Mello, j. 1º-2-2011, 2ª T, DJE de 21-2-2011.]</w:t>
      </w:r>
    </w:p>
    <w:p>
      <w:pPr>
        <w:ind w:left="288"/>
      </w:pPr>
      <w:r>
        <w:rPr>
          <w:color w:val="8C8C8C"/>
          <w:sz w:val="12"/>
        </w:rPr>
        <w:t>cf-art-32-par-4</w:t>
      </w:r>
    </w:p>
    <w:p>
      <w:pPr>
        <w:ind w:left="288"/>
      </w:pPr>
      <w:r>
        <w:rPr>
          <w:color w:val="1E1E1E"/>
          <w:sz w:val="18"/>
        </w:rPr>
        <w:t>Seção II Dos Territórios SUMÁRIO</w:t>
      </w:r>
    </w:p>
    <w:p>
      <w:r>
        <w:rPr>
          <w:b/>
          <w:color w:val="003366"/>
          <w:sz w:val="20"/>
        </w:rPr>
        <w:t>Art. 33 Ressalvados os créditos de natureza alimentar, o valor dos precatórios j</w:t>
      </w:r>
      <w:r>
        <w:rPr>
          <w:color w:val="8C8C8C"/>
          <w:sz w:val="14"/>
        </w:rPr>
        <w:t xml:space="preserve">  [1 decisoes]</w:t>
      </w:r>
    </w:p>
    <w:p>
      <w:pPr>
        <w:ind w:left="288"/>
      </w:pPr>
      <w:r>
        <w:rPr>
          <w:color w:val="8C8C8C"/>
          <w:sz w:val="12"/>
        </w:rPr>
        <w:t>cf-art-33-par-2</w:t>
      </w:r>
    </w:p>
    <w:p>
      <w:pPr>
        <w:ind w:left="288"/>
      </w:pPr>
      <w:r>
        <w:rPr>
          <w:color w:val="1E1E1E"/>
          <w:sz w:val="18"/>
        </w:rPr>
        <w:t>§ 3º Nos Territórios Federais com mais de cem mil habitantes, além do Governador nomeado na forma desta Constituição, haverá órgãos judiciários de primeira e segunda instância, membros do Ministério Público e defensores públicos federais; a lei disporá sobre as eleições para a Câmara Territorial e sua competência deliberativa. CAPÍTULO VI Da Intervenção SUMÁRIO</w:t>
      </w:r>
    </w:p>
    <w:p>
      <w:r>
        <w:rPr>
          <w:b/>
          <w:color w:val="003366"/>
          <w:sz w:val="20"/>
        </w:rPr>
        <w:t xml:space="preserve">Art. 34 O sistema tributário nacional entrará em vigor a partir do primeiro dia </w:t>
      </w:r>
      <w:r>
        <w:rPr>
          <w:color w:val="8C8C8C"/>
          <w:sz w:val="14"/>
        </w:rPr>
        <w:t xml:space="preserve">  [15 decisoes]</w:t>
      </w:r>
    </w:p>
    <w:p>
      <w:pPr>
        <w:ind w:left="144"/>
      </w:pPr>
      <w:r>
        <w:rPr>
          <w:b/>
          <w:color w:val="B45A00"/>
          <w:sz w:val="16"/>
        </w:rPr>
        <w:t>JULGADOS CORRELATOS</w:t>
      </w:r>
    </w:p>
    <w:p>
      <w:pPr>
        <w:ind w:left="288"/>
      </w:pPr>
      <w:r>
        <w:rPr>
          <w:color w:val="8C8C8C"/>
          <w:sz w:val="12"/>
        </w:rPr>
        <w:t>cf-art-34</w:t>
      </w:r>
      <w:r>
        <w:rPr>
          <w:color w:val="003CA0"/>
          <w:sz w:val="12"/>
        </w:rPr>
        <w:t xml:space="preserve"> | ACO 3427</w:t>
      </w:r>
    </w:p>
    <w:p>
      <w:pPr>
        <w:ind w:left="288"/>
      </w:pPr>
      <w:r>
        <w:rPr>
          <w:color w:val="1E1E1E"/>
          <w:sz w:val="18"/>
        </w:rPr>
        <w:t>A Força Nacional de Segurança Pública representa programa de cooperação federativa, ao qual podem aderir, por atos formais específicos, os entes Federados. Em juízo de delibação, a norma inscrita no art. 4º do Decreto nº 5.289/2004, ao autorizar o emprego da Força Nacional de Segurança, em território de Estado-membro, sem a anuência de seu Governador, por mero ato de Ministro de Estado, viola a natureza cooperativa do programa e seu suporte constitucional, conflitando com os art. 34 e 241 da Constituição Federal. Encontra-se preenchido o requisito do fumus boni iuris. Em razão da intensa gravi</w:t>
      </w:r>
    </w:p>
    <w:p>
      <w:pPr>
        <w:ind w:left="288"/>
      </w:pPr>
      <w:r>
        <w:rPr>
          <w:b/>
          <w:color w:val="003CA0"/>
          <w:sz w:val="16"/>
        </w:rPr>
        <w:t>[ACO 3427 MC-Ref, rel. Edson Fachin, j. 24-09-2020, P, DJE de 14-12-2020.]</w:t>
      </w:r>
    </w:p>
    <w:p>
      <w:pPr>
        <w:ind w:left="288"/>
      </w:pPr>
      <w:r>
        <w:rPr>
          <w:color w:val="8C8C8C"/>
          <w:sz w:val="12"/>
        </w:rPr>
        <w:t>cf-art-34-inc-II</w:t>
      </w:r>
      <w:r>
        <w:rPr>
          <w:color w:val="003CA0"/>
          <w:sz w:val="12"/>
        </w:rPr>
        <w:t xml:space="preserve"> | PET 584</w:t>
      </w:r>
      <w:r>
        <w:rPr>
          <w:color w:val="003CA0"/>
          <w:sz w:val="12"/>
        </w:rPr>
        <w:t xml:space="preserve"> | rel. Celso de Mello</w:t>
      </w:r>
    </w:p>
    <w:p>
      <w:pPr>
        <w:ind w:left="288"/>
      </w:pPr>
      <w:r>
        <w:rPr>
          <w:color w:val="1E1E1E"/>
          <w:sz w:val="18"/>
        </w:rPr>
        <w:t>Ação cautelar incidental. Criação de Municípios em área litigiosa, que é disputada por Estados-membros. Consulta plebiscitária. Suspensão cautelar. Referendo do plenário do STF. A ofensa à esfera de autonomia jurídica de qualquer Estado-membro, por outra unidade regional da Federação, vulnera a harmonia que necessariamente deve imperar nas relações político-institucionais entre as pessoas estatais integrantes do pacto federal. A gravidade desse quadro assume tamanha magnitude que se revela apta a justificar, até mesmo, a própria decretação de intervenção federal, para o efeito de preservar a i</w:t>
      </w:r>
    </w:p>
    <w:p>
      <w:pPr>
        <w:ind w:left="288"/>
      </w:pPr>
      <w:r>
        <w:rPr>
          <w:b/>
          <w:color w:val="003CA0"/>
          <w:sz w:val="16"/>
        </w:rPr>
        <w:t>[Pet 584 MC, rel. min. Celso de Mello, j. 13-4-1992, P, DJ de 5-6-1992.]</w:t>
      </w:r>
    </w:p>
    <w:p>
      <w:pPr>
        <w:ind w:left="288"/>
      </w:pPr>
      <w:r>
        <w:rPr>
          <w:color w:val="8C8C8C"/>
          <w:sz w:val="12"/>
        </w:rPr>
        <w:t>cf-art-34-inc-II</w:t>
      </w:r>
      <w:r>
        <w:rPr>
          <w:color w:val="003CA0"/>
          <w:sz w:val="12"/>
        </w:rPr>
        <w:t xml:space="preserve"> | MS 21.041</w:t>
      </w:r>
      <w:r>
        <w:rPr>
          <w:color w:val="003CA0"/>
          <w:sz w:val="12"/>
        </w:rPr>
        <w:t xml:space="preserve"> | rel. Celso de Mello</w:t>
      </w:r>
    </w:p>
    <w:p>
      <w:pPr>
        <w:ind w:left="288"/>
      </w:pPr>
      <w:r>
        <w:rPr>
          <w:color w:val="1E1E1E"/>
          <w:sz w:val="18"/>
        </w:rPr>
        <w:t>O instituto da intervenção federal, consagrado por todas as Constituições republicanas, representa um elemento fundamental na própria formulação da doutrina do federalismo, que dele não pode prescindir – inobstante a expecionalidade de sua aplicação –, para efeito de preservação da intangibilidade do vínculo federativo, da unidade do Estado Federal e da integridade territorial das unidades federadas. A invasão territorial de um Estado por outro constitui um dos pressupostos de admissibilidade da intervenção federal. O presidente da República, nesse particular contexto, ao lançar mão da extraor</w:t>
      </w:r>
    </w:p>
    <w:p>
      <w:pPr>
        <w:ind w:left="288"/>
      </w:pPr>
      <w:r>
        <w:rPr>
          <w:b/>
          <w:color w:val="003CA0"/>
          <w:sz w:val="16"/>
        </w:rPr>
        <w:t>[MS 21.041, rel. min. Celso de Mello, j. 12-6-1991, P, DJ de 13-3-1992.]</w:t>
      </w:r>
    </w:p>
    <w:p>
      <w:pPr>
        <w:ind w:left="288"/>
      </w:pPr>
      <w:r>
        <w:rPr>
          <w:color w:val="8C8C8C"/>
          <w:sz w:val="12"/>
        </w:rPr>
        <w:t>cf-art-34-inc-IV</w:t>
      </w:r>
      <w:r>
        <w:rPr>
          <w:color w:val="003CA0"/>
          <w:sz w:val="12"/>
        </w:rPr>
        <w:t xml:space="preserve"> | IF 5.050</w:t>
      </w:r>
      <w:r>
        <w:rPr>
          <w:color w:val="003CA0"/>
          <w:sz w:val="12"/>
        </w:rPr>
        <w:t xml:space="preserve"> | rel. Ellen Gracie</w:t>
      </w:r>
    </w:p>
    <w:p>
      <w:pPr>
        <w:ind w:left="288"/>
      </w:pPr>
      <w:r>
        <w:rPr>
          <w:color w:val="1E1E1E"/>
          <w:sz w:val="18"/>
        </w:rPr>
        <w:t>Intervenção federal. Inexistência de atuação dolosa por parte do Estado. Indeferimento. (...) Decisão agravada que se encontra em consonância com a orientação desta Corte, no sentido de que o descumprimento voluntário e intencional de decisão judicial transitada em julgado é pressuposto indispensável ao acolhimento do pedido de intervenção federal.</w:t>
      </w:r>
    </w:p>
    <w:p>
      <w:pPr>
        <w:ind w:left="288"/>
      </w:pPr>
      <w:r>
        <w:rPr>
          <w:b/>
          <w:color w:val="003CA0"/>
          <w:sz w:val="16"/>
        </w:rPr>
        <w:t>[IF 5.050 AgR, rel. min. Ellen Gracie, j. 6-3-2008, P, DJE de 25-4-2008.]</w:t>
      </w:r>
    </w:p>
    <w:p>
      <w:pPr>
        <w:ind w:left="144"/>
      </w:pPr>
      <w:r>
        <w:rPr>
          <w:b/>
          <w:color w:val="B45A00"/>
          <w:sz w:val="16"/>
        </w:rPr>
        <w:t>REPERCUSSAO GERAL</w:t>
      </w:r>
    </w:p>
    <w:p>
      <w:pPr>
        <w:ind w:left="288"/>
      </w:pPr>
      <w:r>
        <w:rPr>
          <w:color w:val="8C8C8C"/>
          <w:sz w:val="12"/>
        </w:rPr>
        <w:t>cf-art-34-inc-V-ali-b</w:t>
      </w:r>
      <w:r>
        <w:rPr>
          <w:color w:val="003CA0"/>
          <w:sz w:val="12"/>
        </w:rPr>
        <w:t xml:space="preserve"> | RE 572.762</w:t>
      </w:r>
      <w:r>
        <w:rPr>
          <w:color w:val="003CA0"/>
          <w:sz w:val="12"/>
        </w:rPr>
        <w:t xml:space="preserve"> | rel. Ricardo Lewandowski</w:t>
      </w:r>
    </w:p>
    <w:p>
      <w:pPr>
        <w:ind w:left="288"/>
      </w:pPr>
      <w:r>
        <w:rPr>
          <w:color w:val="1E1E1E"/>
          <w:sz w:val="18"/>
        </w:rPr>
        <w:t>A parcela do imposto estadual sobre operações relativas à circulação de mercadorias e sobre prestações de serviços de transporte interestadual e intermunicipal e de comunicação, a que se refere o art. 158, IV, da Carta Magna, pertence de pleno direito aos Municípios. O repasse da quota constitucionalmente devida aos Municípios não pode sujeitar-se à condição prevista em programa de benefício fiscal de âmbito estadual. Limitação que configura indevida interferência do Estado no sistema constitucional de repartição de receitas tributárias.</w:t>
        <w:br/>
        <w:t>[RE 572.762, rel. min. Ricardo Lewandowski, j. 18-6-2008</w:t>
      </w:r>
    </w:p>
    <w:p>
      <w:pPr>
        <w:ind w:left="144"/>
      </w:pPr>
      <w:r>
        <w:rPr>
          <w:b/>
          <w:color w:val="B45A00"/>
          <w:sz w:val="16"/>
        </w:rPr>
        <w:t>JULGADOS CORRELATOS</w:t>
      </w:r>
    </w:p>
    <w:p>
      <w:pPr>
        <w:ind w:left="288"/>
      </w:pPr>
      <w:r>
        <w:rPr>
          <w:color w:val="8C8C8C"/>
          <w:sz w:val="12"/>
        </w:rPr>
        <w:t>cf-art-34-inc-VI</w:t>
      </w:r>
      <w:r>
        <w:rPr>
          <w:color w:val="003CA0"/>
          <w:sz w:val="12"/>
        </w:rPr>
        <w:t xml:space="preserve"> | IF 1.917</w:t>
      </w:r>
      <w:r>
        <w:rPr>
          <w:color w:val="003CA0"/>
          <w:sz w:val="12"/>
        </w:rPr>
        <w:t xml:space="preserve"> | rel. Maurício Corrêa</w:t>
      </w:r>
    </w:p>
    <w:p>
      <w:pPr>
        <w:ind w:left="288"/>
      </w:pPr>
      <w:r>
        <w:rPr>
          <w:color w:val="1E1E1E"/>
          <w:sz w:val="18"/>
        </w:rPr>
        <w:t>O descumprimento voluntário e intencional de decisão transitada em julgado configura pressuposto indispensável ao acolhimento do pedido de intervenção federal. A ausência de voluntariedade em não pagar precatórios, consubstanciada na insuficiência de recursos para satisfazer os créditos contra a Fazenda estadual no prazo previsto no § 1º do art. 100 da Constituição da República, não legitima a subtração temporária da autonomia estatal, mormente quando o ente público, apesar da exaustão do erário, vem sendo zeloso, na medida do possível, com suas obrigações derivadas de provimentos judiciais.</w:t>
      </w:r>
    </w:p>
    <w:p>
      <w:pPr>
        <w:ind w:left="288"/>
      </w:pPr>
      <w:r>
        <w:rPr>
          <w:b/>
          <w:color w:val="003CA0"/>
          <w:sz w:val="16"/>
        </w:rPr>
        <w:t>[IF 1.917 AgR, rel. min. Maurício Corrêa, j. 17-3-2004, P, DJ de 3-8-2007.]</w:t>
      </w:r>
    </w:p>
    <w:p>
      <w:pPr>
        <w:ind w:left="288"/>
      </w:pPr>
      <w:r>
        <w:rPr>
          <w:color w:val="8C8C8C"/>
          <w:sz w:val="12"/>
        </w:rPr>
        <w:t>cf-art-34-inc-VI</w:t>
      </w:r>
      <w:r>
        <w:rPr>
          <w:color w:val="003CA0"/>
          <w:sz w:val="12"/>
        </w:rPr>
        <w:t xml:space="preserve"> | IF 4.640</w:t>
      </w:r>
      <w:r>
        <w:rPr>
          <w:color w:val="003CA0"/>
          <w:sz w:val="12"/>
        </w:rPr>
        <w:t xml:space="preserve"> | rel. Cezar Peluso</w:t>
      </w:r>
    </w:p>
    <w:p>
      <w:pPr>
        <w:ind w:left="288"/>
      </w:pPr>
      <w:r>
        <w:rPr>
          <w:color w:val="1E1E1E"/>
          <w:sz w:val="18"/>
        </w:rPr>
        <w:t>= IF 4.640 AgR, rel. min. Cezar Peluso, j. 29-3-2012, P, DJE de 25-4-2012 Precatórios judiciais. Não configuração de atuação dolosa e deliberada do Estado de São Paulo com finalidade de não pagamento. Estado sujeito a quadro de múltiplas obrigações de idêntica hierarquia. Necessidade de garantir eficácia a outras normas constitucionais, como, por exemplo, a continuidade de prestação de serviços públicos. A intervenção, como medida extrema, deve atender à máxima da proporcionalidade. Adoção da chamada relação de precedência condicionada entre princípios constitucionais concorrentes.</w:t>
      </w:r>
    </w:p>
    <w:p>
      <w:pPr>
        <w:ind w:left="288"/>
      </w:pPr>
      <w:r>
        <w:rPr>
          <w:b/>
          <w:color w:val="003CA0"/>
          <w:sz w:val="16"/>
        </w:rPr>
        <w:t>[IF 298, red. do ac. min. Gilmar Mendes, j. 3-2-2003, P, DJ de 27-2-2004.]</w:t>
      </w:r>
    </w:p>
    <w:p>
      <w:pPr>
        <w:ind w:left="288"/>
      </w:pPr>
      <w:r>
        <w:rPr>
          <w:color w:val="8C8C8C"/>
          <w:sz w:val="12"/>
        </w:rPr>
        <w:t>cf-art-34-inc-VI</w:t>
      </w:r>
      <w:r>
        <w:rPr>
          <w:color w:val="003CA0"/>
          <w:sz w:val="12"/>
        </w:rPr>
        <w:t xml:space="preserve"> | IF 5.101</w:t>
      </w:r>
      <w:r>
        <w:rPr>
          <w:color w:val="003CA0"/>
          <w:sz w:val="12"/>
        </w:rPr>
        <w:t xml:space="preserve"> | rel. Cezar Peluso</w:t>
      </w:r>
    </w:p>
    <w:p>
      <w:pPr>
        <w:ind w:left="288"/>
      </w:pPr>
      <w:r>
        <w:rPr>
          <w:color w:val="1E1E1E"/>
          <w:sz w:val="18"/>
        </w:rPr>
        <w:t>= IF 5.101, IF 5.105, IF 5.106 e IF 5.114, rel. min. Cezar Peluso, j. 28-3-2012, P, DJE de 6-9-2012 O procedimento destinado a viabilizar, nas hipóteses de descumprimento de ordem ou de sentença judiciais (CF, art. 34, VI, e art. 35, IV), a efetivação do ato de intervenção – trate-se de intervenção federal nos Estados-membros, cuide-se de intervenção estadual nos Municípios – reveste-se de caráter político-administrativo, muito embora instaurado perante órgão competente do Poder Judiciário (CF, art. 36, II, e art. 35, IV), circunstância que inviabiliza, ante a ausência de causa, a utilização d</w:t>
      </w:r>
    </w:p>
    <w:p>
      <w:pPr>
        <w:ind w:left="288"/>
      </w:pPr>
      <w:r>
        <w:rPr>
          <w:b/>
          <w:color w:val="003CA0"/>
          <w:sz w:val="16"/>
        </w:rPr>
        <w:t>[AI 343.461 AgR, rel. min. Celso de Mello, j. 18-6-2002, 2ª T, DJ de 29-11-2002.]</w:t>
      </w:r>
    </w:p>
    <w:p>
      <w:pPr>
        <w:ind w:left="288"/>
      </w:pPr>
      <w:r>
        <w:rPr>
          <w:color w:val="8C8C8C"/>
          <w:sz w:val="12"/>
        </w:rPr>
        <w:t>cf-art-34-inc-VI</w:t>
      </w:r>
      <w:r>
        <w:rPr>
          <w:color w:val="003CA0"/>
          <w:sz w:val="12"/>
        </w:rPr>
        <w:t xml:space="preserve"> | IF 590</w:t>
      </w:r>
      <w:r>
        <w:rPr>
          <w:color w:val="003CA0"/>
          <w:sz w:val="12"/>
        </w:rPr>
        <w:t xml:space="preserve"> | rel. Celso de Mello</w:t>
      </w:r>
    </w:p>
    <w:p>
      <w:pPr>
        <w:ind w:left="288"/>
      </w:pPr>
      <w:r>
        <w:rPr>
          <w:color w:val="1E1E1E"/>
          <w:sz w:val="18"/>
        </w:rPr>
        <w:t>A exigência de respeito incondicional às decisões judiciais transitadas em julgado traduz imposição constitucional, justificada pelo princípio da separação de poderes e fundada nos postulados que informam, em nosso sistema jurídico, a própria concepção de Estado Democrático de Direito. O dever de cumprir as decisões emanadas do Poder Judiciário, notadamente nos casos em que a condenação judicial tem por destinatário o próprio poder público, muito mais do que simples incumbência de ordem processual, representa uma incontornável obrigação institucional a que não se pode subtrair o aparelho de Es</w:t>
      </w:r>
    </w:p>
    <w:p>
      <w:pPr>
        <w:ind w:left="288"/>
      </w:pPr>
      <w:r>
        <w:rPr>
          <w:b/>
          <w:color w:val="003CA0"/>
          <w:sz w:val="16"/>
        </w:rPr>
        <w:t>[IF 590 QO, rel. min. Celso de Mello, j. 17-9-1998, P, DJ de 9-10-1998.]</w:t>
      </w:r>
    </w:p>
    <w:p>
      <w:pPr>
        <w:ind w:left="288"/>
      </w:pPr>
      <w:r>
        <w:rPr>
          <w:color w:val="8C8C8C"/>
          <w:sz w:val="12"/>
        </w:rPr>
        <w:t>cf-art-34-inc-VI</w:t>
      </w:r>
      <w:r>
        <w:rPr>
          <w:color w:val="003CA0"/>
          <w:sz w:val="12"/>
        </w:rPr>
        <w:t xml:space="preserve"> | RE 149.986</w:t>
      </w:r>
      <w:r>
        <w:rPr>
          <w:color w:val="003CA0"/>
          <w:sz w:val="12"/>
        </w:rPr>
        <w:t xml:space="preserve"> | rel. Octavio Gallotti</w:t>
      </w:r>
    </w:p>
    <w:p>
      <w:pPr>
        <w:ind w:left="288"/>
      </w:pPr>
      <w:r>
        <w:rPr>
          <w:color w:val="1E1E1E"/>
          <w:sz w:val="18"/>
        </w:rPr>
        <w:t>Por não se tratar de causa, em sentido próprio, mas de providência administrativa, da privativa iniciativa do Tribunal de Justiça, não cabe recurso extraordinário contra a decisão daquela corte, que indeferiu o encaminhamento do pedido de intervenção federal, por suposto descumprimento de decisão judicial (art. 34, IV, da Constituição).</w:t>
      </w:r>
    </w:p>
    <w:p>
      <w:pPr>
        <w:ind w:left="288"/>
      </w:pPr>
      <w:r>
        <w:rPr>
          <w:b/>
          <w:color w:val="003CA0"/>
          <w:sz w:val="16"/>
        </w:rPr>
        <w:t>[RE 149.986, rel. min. Octavio Gallotti, j. 9-3-1993, 1ª T, DJ de 7-5-1993.]</w:t>
      </w:r>
    </w:p>
    <w:p>
      <w:pPr>
        <w:ind w:left="288"/>
      </w:pPr>
      <w:r>
        <w:rPr>
          <w:color w:val="8C8C8C"/>
          <w:sz w:val="12"/>
        </w:rPr>
        <w:t>cf-art-34-inc-VI</w:t>
      </w:r>
      <w:r>
        <w:rPr>
          <w:color w:val="003CA0"/>
          <w:sz w:val="12"/>
        </w:rPr>
        <w:t xml:space="preserve"> | IF 120</w:t>
      </w:r>
      <w:r>
        <w:rPr>
          <w:color w:val="003CA0"/>
          <w:sz w:val="12"/>
        </w:rPr>
        <w:t xml:space="preserve"> | rel. Sydney Sanches</w:t>
      </w:r>
    </w:p>
    <w:p>
      <w:pPr>
        <w:ind w:left="288"/>
      </w:pPr>
      <w:r>
        <w:rPr>
          <w:color w:val="1E1E1E"/>
          <w:sz w:val="18"/>
        </w:rPr>
        <w:t xml:space="preserve">Não se caracteriza hipótese de intervenção federal, por descumprimento de decisão judicial (art. 34, VI, da CF), se, com base no art. 33 do ADCT da CF e em decreto baixado pelo Poder Executivo estadual, o precatório judicial, em ação de indenização, por desapropriação indireta, vem sendo pago em moeda corrente, com atualização legal, em prestações anuais, iguais e sucessivas, no prazo de oito anos a partir de 1º-7-1989. Sendo o credor eventualmente preterido, em seu direito de precedência, o que pode pleitear é o sequestro da quantia necessária à satisfação do débito (...). E não, desde logo, </w:t>
      </w:r>
    </w:p>
    <w:p>
      <w:pPr>
        <w:ind w:left="288"/>
      </w:pPr>
      <w:r>
        <w:rPr>
          <w:b/>
          <w:color w:val="003CA0"/>
          <w:sz w:val="16"/>
        </w:rPr>
        <w:t>[IF 120, rel. min. Sydney Sanches, j. 10-2-1993, P, DJ de 5-3-1993.]</w:t>
      </w:r>
    </w:p>
    <w:p>
      <w:pPr>
        <w:ind w:left="144"/>
      </w:pPr>
      <w:r>
        <w:rPr>
          <w:b/>
          <w:color w:val="B45A00"/>
          <w:sz w:val="16"/>
        </w:rPr>
        <w:t>CONTROLE CONCENTRADO</w:t>
      </w:r>
    </w:p>
    <w:p>
      <w:pPr>
        <w:ind w:left="288"/>
      </w:pPr>
      <w:r>
        <w:rPr>
          <w:color w:val="8C8C8C"/>
          <w:sz w:val="12"/>
        </w:rPr>
        <w:t>cf-art-34-inc-VII</w:t>
      </w:r>
      <w:r>
        <w:rPr>
          <w:color w:val="003CA0"/>
          <w:sz w:val="12"/>
        </w:rPr>
        <w:t xml:space="preserve"> | ADI 7.369</w:t>
      </w:r>
      <w:r>
        <w:rPr>
          <w:color w:val="003CA0"/>
          <w:sz w:val="12"/>
        </w:rPr>
        <w:t xml:space="preserve"> | rel. Cármen Lúcia</w:t>
      </w:r>
    </w:p>
    <w:p>
      <w:pPr>
        <w:ind w:left="288"/>
      </w:pPr>
      <w:r>
        <w:rPr>
          <w:color w:val="1E1E1E"/>
          <w:sz w:val="18"/>
        </w:rPr>
        <w:t>É de observância obrigatória pelos Estados o rol taxativo de princípios constitucionais sensíveis previstos no inc. VII do art. 34 da Constituição da República, sendo desnecessária a reprodução literal na Constituição estadual como condição autorizativa para a intervenção do Estado em seus Municípios, por inexistir autonomia para modificá-lo.</w:t>
        <w:br/>
        <w:t>[ADI 7.369, rel. min. Cármen Lúcia, j. 13.05.2024, P, DJE de 08.08.2024.]</w:t>
      </w:r>
    </w:p>
    <w:p>
      <w:pPr>
        <w:ind w:left="144"/>
      </w:pPr>
      <w:r>
        <w:rPr>
          <w:b/>
          <w:color w:val="B45A00"/>
          <w:sz w:val="16"/>
        </w:rPr>
        <w:t>JULGADOS CORRELATOS</w:t>
      </w:r>
    </w:p>
    <w:p>
      <w:pPr>
        <w:ind w:left="288"/>
      </w:pPr>
      <w:r>
        <w:rPr>
          <w:color w:val="8C8C8C"/>
          <w:sz w:val="12"/>
        </w:rPr>
        <w:t>cf-art-34-inc-VII-ali-a</w:t>
      </w:r>
      <w:r>
        <w:rPr>
          <w:color w:val="003CA0"/>
          <w:sz w:val="12"/>
        </w:rPr>
        <w:t xml:space="preserve"> | IF 5.179</w:t>
      </w:r>
      <w:r>
        <w:rPr>
          <w:color w:val="003CA0"/>
          <w:sz w:val="12"/>
        </w:rPr>
        <w:t xml:space="preserve"> | rel. Cezar Peluso</w:t>
      </w:r>
    </w:p>
    <w:p>
      <w:pPr>
        <w:ind w:left="288"/>
      </w:pPr>
      <w:r>
        <w:rPr>
          <w:color w:val="1E1E1E"/>
          <w:sz w:val="18"/>
        </w:rPr>
        <w:t xml:space="preserve">Representação do PGR. Distrito Federal. Alegação da existência de largo esquema de corrupção. Envolvimento do ex-governador, deputados distritais e suplentes. Comprometimento das funções governamentais no âmbito dos Poderes Executivo e Legislativo. Fatos graves objeto de inquérito em curso no STJ. Ofensa aos princípios inscritos no art. 34, VII, a, da CF. (...) Enquanto medida extrema e excepcional, tendente a repor estado de coisas desestruturado por atos atentatórios à ordem definida por princípios constitucionais de extrema relevância, não se decreta intervenção federal quando tal ordem já </w:t>
      </w:r>
    </w:p>
    <w:p>
      <w:pPr>
        <w:ind w:left="288"/>
      </w:pPr>
      <w:r>
        <w:rPr>
          <w:b/>
          <w:color w:val="003CA0"/>
          <w:sz w:val="16"/>
        </w:rPr>
        <w:t>[IF 5.179, rel. min. Cezar Peluso, j. 30-6-2010, P, DJE de 8-10-2010.]</w:t>
      </w:r>
    </w:p>
    <w:p>
      <w:pPr>
        <w:ind w:left="288"/>
      </w:pPr>
      <w:r>
        <w:rPr>
          <w:color w:val="8C8C8C"/>
          <w:sz w:val="12"/>
        </w:rPr>
        <w:t>cf-art-34-inc-VII-ali-b</w:t>
      </w:r>
      <w:r>
        <w:rPr>
          <w:color w:val="003CA0"/>
          <w:sz w:val="12"/>
        </w:rPr>
        <w:t xml:space="preserve"> | IF 114</w:t>
      </w:r>
      <w:r>
        <w:rPr>
          <w:color w:val="003CA0"/>
          <w:sz w:val="12"/>
        </w:rPr>
        <w:t xml:space="preserve"> | rel. Néri da Silveira</w:t>
      </w:r>
    </w:p>
    <w:p>
      <w:pPr>
        <w:ind w:left="288"/>
      </w:pPr>
      <w:r>
        <w:rPr>
          <w:color w:val="1E1E1E"/>
          <w:sz w:val="18"/>
        </w:rPr>
        <w:t>Representação do PGR pleiteando intervenção federal no Estado de Mato Grosso, para assegurar a observância dos "direitos da pessoa humana", em face de fato criminoso praticado com extrema crueldade a indicar a inexistência de "condição mínima", no Estado, "para assegurar o respeito ao primordial direito da pessoa humana, que é o direito à vida". (...) Representação que merece conhecida, por seu fundamento: alegação de inobservância pelo Estado-membro do princípio constitucional sensível previsto no art. 34, VII, b, da Constituição de 1988, quanto aos "direitos da pessoa humana". (...) Hipótese</w:t>
      </w:r>
    </w:p>
    <w:p>
      <w:pPr>
        <w:ind w:left="288"/>
      </w:pPr>
      <w:r>
        <w:rPr>
          <w:b/>
          <w:color w:val="003CA0"/>
          <w:sz w:val="16"/>
        </w:rPr>
        <w:t>[IF 114, rel. min. Néri da Silveira, j. 13-3-1991, P, DJ de 27-9-1996.]</w:t>
      </w:r>
    </w:p>
    <w:p>
      <w:pPr>
        <w:ind w:left="288"/>
      </w:pPr>
      <w:r>
        <w:rPr>
          <w:color w:val="8C8C8C"/>
          <w:sz w:val="12"/>
        </w:rPr>
        <w:t>cf-art-34-inc-VII-ali-d</w:t>
      </w:r>
    </w:p>
    <w:p>
      <w:pPr>
        <w:ind w:left="288"/>
      </w:pPr>
      <w:r>
        <w:rPr>
          <w:color w:val="1E1E1E"/>
          <w:sz w:val="18"/>
        </w:rPr>
        <w:t>e) aplicação do mínimo exigido da receita resultante de impostos estaduais, compreendida a proveniente de transferências, na manutenção e desenvolvimento do ensino e nas ações e serviços públicos de saúde. (Redação da EC 29/2000)</w:t>
      </w:r>
    </w:p>
    <w:p>
      <w:pPr>
        <w:ind w:left="432"/>
      </w:pPr>
      <w:r>
        <w:rPr>
          <w:color w:val="003366"/>
          <w:sz w:val="18"/>
        </w:rPr>
        <w:t xml:space="preserve">§ 1 Entrarão em vigor com a promulgação da Constituição os arts. 148, 149, 150, </w:t>
      </w:r>
    </w:p>
    <w:p>
      <w:pPr>
        <w:ind w:left="432"/>
      </w:pPr>
      <w:r>
        <w:rPr>
          <w:color w:val="003366"/>
          <w:sz w:val="18"/>
        </w:rPr>
        <w:t>§ 2 O Fundo de Participação dos Estados e do Distrito Federal e o Fundo de Parti</w:t>
      </w:r>
    </w:p>
    <w:p>
      <w:pPr>
        <w:ind w:left="720"/>
      </w:pPr>
      <w:r>
        <w:rPr>
          <w:color w:val="003366"/>
          <w:sz w:val="18"/>
        </w:rPr>
        <w:t>I – a partir da promulgação da Constituição, os percentuais serão, respectivamen</w:t>
      </w:r>
    </w:p>
    <w:p>
      <w:pPr>
        <w:ind w:left="720"/>
      </w:pPr>
      <w:r>
        <w:rPr>
          <w:color w:val="003366"/>
          <w:sz w:val="18"/>
        </w:rPr>
        <w:t>II – o percentual relativo ao Fundo de Participação dos Estados e do Distrito Fe</w:t>
      </w:r>
    </w:p>
    <w:p>
      <w:pPr>
        <w:ind w:left="720"/>
      </w:pPr>
      <w:r>
        <w:rPr>
          <w:color w:val="003366"/>
          <w:sz w:val="18"/>
        </w:rPr>
        <w:t>III – o percentual relativo ao Fundo de Participação dos Municípios, a partir de</w:t>
      </w:r>
    </w:p>
    <w:p>
      <w:pPr>
        <w:ind w:left="432"/>
      </w:pPr>
      <w:r>
        <w:rPr>
          <w:color w:val="003366"/>
          <w:sz w:val="18"/>
        </w:rPr>
        <w:t>§ 3 Promulgada a Constituição, a União, os Estados, o Distrito Federal e os Muni</w:t>
      </w:r>
    </w:p>
    <w:p>
      <w:pPr>
        <w:ind w:left="432"/>
      </w:pPr>
      <w:r>
        <w:rPr>
          <w:color w:val="003366"/>
          <w:sz w:val="18"/>
        </w:rPr>
        <w:t>§ 4 As leis editadas nos termos do parágrafo anterior produzirão efeitos a parti</w:t>
      </w:r>
    </w:p>
    <w:p>
      <w:pPr>
        <w:ind w:left="432"/>
      </w:pPr>
      <w:r>
        <w:rPr>
          <w:color w:val="003366"/>
          <w:sz w:val="18"/>
        </w:rPr>
        <w:t>§ 5 Vigente o novo sistema tributário nacional, fica assegurada a aplicação da l</w:t>
      </w:r>
    </w:p>
    <w:p>
      <w:pPr>
        <w:ind w:left="432"/>
      </w:pPr>
      <w:r>
        <w:rPr>
          <w:color w:val="003366"/>
          <w:sz w:val="18"/>
        </w:rPr>
        <w:t xml:space="preserve">§ 6 Até 31 de dezembro de 1989, o disposto no art. 150, III, &amp;quot;b&amp;quot;, não </w:t>
      </w:r>
    </w:p>
    <w:p>
      <w:pPr>
        <w:ind w:left="432"/>
      </w:pPr>
      <w:r>
        <w:rPr>
          <w:color w:val="003366"/>
          <w:sz w:val="18"/>
        </w:rPr>
        <w:t>§ 7 Até que sejam fixadas em lei complementar, as alíquotas máximas do imposto m</w:t>
      </w:r>
    </w:p>
    <w:p>
      <w:pPr>
        <w:ind w:left="432"/>
      </w:pPr>
      <w:r>
        <w:rPr>
          <w:color w:val="003366"/>
          <w:sz w:val="18"/>
        </w:rPr>
        <w:t>§ 8 Se, no prazo de sessenta dias contados da promulgação da Constituição, não f</w:t>
      </w:r>
    </w:p>
    <w:p>
      <w:pPr>
        <w:ind w:left="432"/>
      </w:pPr>
      <w:r>
        <w:rPr>
          <w:color w:val="003366"/>
          <w:sz w:val="18"/>
        </w:rPr>
        <w:t>§ 9 Até que lei complementar disponha sobre a matéria, as empresas distribuidora</w:t>
      </w:r>
    </w:p>
    <w:p>
      <w:pPr>
        <w:ind w:left="432"/>
      </w:pPr>
      <w:r>
        <w:rPr>
          <w:color w:val="003366"/>
          <w:sz w:val="18"/>
        </w:rPr>
        <w:t xml:space="preserve">§ 10 Enquanto não entrar em vigor a lei prevista no art. 159, I, &amp;quot;c&amp;quot;, </w:t>
      </w:r>
    </w:p>
    <w:p>
      <w:pPr>
        <w:ind w:left="720"/>
      </w:pPr>
      <w:r>
        <w:rPr>
          <w:color w:val="003366"/>
          <w:sz w:val="18"/>
        </w:rPr>
        <w:t>I – seis décimos por cento na Região Norte, através do Banco da Amazônia S.A.;</w:t>
      </w:r>
    </w:p>
    <w:p>
      <w:pPr>
        <w:ind w:left="720"/>
      </w:pPr>
      <w:r>
        <w:rPr>
          <w:color w:val="003366"/>
          <w:sz w:val="18"/>
        </w:rPr>
        <w:t>II – um inteiro e oito décimos por cento na Região Nordeste, através do Banco do</w:t>
      </w:r>
    </w:p>
    <w:p>
      <w:pPr>
        <w:ind w:left="720"/>
      </w:pPr>
      <w:r>
        <w:rPr>
          <w:color w:val="003366"/>
          <w:sz w:val="18"/>
        </w:rPr>
        <w:t xml:space="preserve">III – seis décimos por cento na Região Centro-Oeste, através do Banco do Brasil </w:t>
      </w:r>
    </w:p>
    <w:p>
      <w:pPr>
        <w:ind w:left="432"/>
      </w:pPr>
      <w:r>
        <w:rPr>
          <w:color w:val="003366"/>
          <w:sz w:val="18"/>
        </w:rPr>
        <w:t>§ 11 Fica criado, nos termos da lei, o Banco de Desenvolvimento do Centro-Oeste,</w:t>
      </w:r>
    </w:p>
    <w:p>
      <w:pPr>
        <w:ind w:left="432"/>
      </w:pPr>
      <w:r>
        <w:rPr>
          <w:color w:val="003366"/>
          <w:sz w:val="18"/>
        </w:rPr>
        <w:t>§ 12 A urgência prevista no art. 148, II, não prejudica a cobrança do empréstimo</w:t>
      </w:r>
    </w:p>
    <w:p>
      <w:r>
        <w:rPr>
          <w:b/>
          <w:color w:val="003366"/>
          <w:sz w:val="20"/>
        </w:rPr>
        <w:t>Art. 35 O disposto no art. 165, § 7º, será cumprido de forma progressiva, no pra</w:t>
      </w:r>
      <w:r>
        <w:rPr>
          <w:color w:val="8C8C8C"/>
          <w:sz w:val="14"/>
        </w:rPr>
        <w:t xml:space="preserve">  [12 decisoes]</w:t>
      </w:r>
    </w:p>
    <w:p>
      <w:pPr>
        <w:ind w:left="144"/>
      </w:pPr>
      <w:r>
        <w:rPr>
          <w:b/>
          <w:color w:val="B45A00"/>
          <w:sz w:val="16"/>
        </w:rPr>
        <w:t>SUMULA</w:t>
      </w:r>
    </w:p>
    <w:p>
      <w:pPr>
        <w:ind w:left="288"/>
      </w:pPr>
      <w:r>
        <w:rPr>
          <w:color w:val="8C8C8C"/>
          <w:sz w:val="12"/>
        </w:rPr>
        <w:t>cf-art-35</w:t>
      </w:r>
    </w:p>
    <w:p>
      <w:pPr>
        <w:ind w:left="288"/>
      </w:pPr>
      <w:r>
        <w:rPr>
          <w:color w:val="1E1E1E"/>
          <w:sz w:val="18"/>
        </w:rPr>
        <w:t>Não cabe recurso extraordinário contra acórdão de tribunal de justiça que defere pedido de intervenção estadual em Município.</w:t>
      </w:r>
    </w:p>
    <w:p>
      <w:pPr>
        <w:ind w:left="288"/>
      </w:pPr>
      <w:r>
        <w:rPr>
          <w:b/>
          <w:color w:val="003CA0"/>
          <w:sz w:val="16"/>
        </w:rPr>
        <w:t>[Súmula 637.]</w:t>
      </w:r>
    </w:p>
    <w:p>
      <w:pPr>
        <w:ind w:left="144"/>
      </w:pPr>
      <w:r>
        <w:rPr>
          <w:b/>
          <w:color w:val="B45A00"/>
          <w:sz w:val="16"/>
        </w:rPr>
        <w:t>CONTROLE CONCENTRADO</w:t>
      </w:r>
    </w:p>
    <w:p>
      <w:pPr>
        <w:ind w:left="288"/>
      </w:pPr>
      <w:r>
        <w:rPr>
          <w:color w:val="8C8C8C"/>
          <w:sz w:val="12"/>
        </w:rPr>
        <w:t>cf-art-35</w:t>
      </w:r>
      <w:r>
        <w:rPr>
          <w:color w:val="003CA0"/>
          <w:sz w:val="12"/>
        </w:rPr>
        <w:t xml:space="preserve"> | ADI 7.369</w:t>
      </w:r>
      <w:r>
        <w:rPr>
          <w:color w:val="003CA0"/>
          <w:sz w:val="12"/>
        </w:rPr>
        <w:t xml:space="preserve"> | rel. Cármen Lúcia</w:t>
      </w:r>
    </w:p>
    <w:p>
      <w:pPr>
        <w:ind w:left="288"/>
      </w:pPr>
      <w:r>
        <w:rPr>
          <w:color w:val="1E1E1E"/>
          <w:sz w:val="18"/>
        </w:rPr>
        <w:t>É de observância obrigatória pelos Estados o rol taxativo de princípios constitucionais sensíveis previstos no inc. VII do art. 34 da Constituição da República, sendo desnecessária a reprodução literal na Constituição estadual como condição autorizativa para a intervenção do Estado em seus Municípios, por inexistir autonomia para modificá-lo.</w:t>
        <w:br/>
        <w:t>[ADI 7.369, rel. min. Cármen Lúcia, j. 13.05.2024, P, DJE de 08.08.2024.]</w:t>
      </w:r>
    </w:p>
    <w:p>
      <w:pPr>
        <w:ind w:left="288"/>
      </w:pPr>
      <w:r>
        <w:rPr>
          <w:color w:val="8C8C8C"/>
          <w:sz w:val="12"/>
        </w:rPr>
        <w:t>cf-art-35</w:t>
      </w:r>
      <w:r>
        <w:rPr>
          <w:color w:val="003CA0"/>
          <w:sz w:val="12"/>
        </w:rPr>
        <w:t xml:space="preserve"> | ADI 336</w:t>
      </w:r>
      <w:r>
        <w:rPr>
          <w:color w:val="003CA0"/>
          <w:sz w:val="12"/>
        </w:rPr>
        <w:t xml:space="preserve"> | rel. Eros Grau</w:t>
      </w:r>
    </w:p>
    <w:p>
      <w:pPr>
        <w:ind w:left="288"/>
      </w:pPr>
      <w:r>
        <w:rPr>
          <w:color w:val="1E1E1E"/>
          <w:sz w:val="18"/>
        </w:rPr>
        <w:t>As disposições do art. 35 da Constituição do Brasil/1988 também consubstanciam preceitos de observância compulsória por parte dos Estados-membros, sendo inconstitucionais quaisquer ampliações ou restrições às hipóteses de intervenção.</w:t>
      </w:r>
    </w:p>
    <w:p>
      <w:pPr>
        <w:ind w:left="288"/>
      </w:pPr>
      <w:r>
        <w:rPr>
          <w:b/>
          <w:color w:val="003CA0"/>
          <w:sz w:val="16"/>
        </w:rPr>
        <w:t>[ADI 336, voto do rel. min. Eros Grau, j. 10-2-2010, P, DJE de 17-9-2010.]</w:t>
      </w:r>
    </w:p>
    <w:p>
      <w:pPr>
        <w:ind w:left="288"/>
      </w:pPr>
      <w:r>
        <w:rPr>
          <w:color w:val="8C8C8C"/>
          <w:sz w:val="12"/>
        </w:rPr>
        <w:t>cf-art-35</w:t>
      </w:r>
      <w:r>
        <w:rPr>
          <w:color w:val="003CA0"/>
          <w:sz w:val="12"/>
        </w:rPr>
        <w:t xml:space="preserve"> | ADI 2.631</w:t>
      </w:r>
      <w:r>
        <w:rPr>
          <w:color w:val="003CA0"/>
          <w:sz w:val="12"/>
        </w:rPr>
        <w:t xml:space="preserve"> | rel. Carlos Velloso</w:t>
      </w:r>
    </w:p>
    <w:p>
      <w:pPr>
        <w:ind w:left="288"/>
      </w:pPr>
      <w:r>
        <w:rPr>
          <w:color w:val="1E1E1E"/>
          <w:sz w:val="18"/>
        </w:rPr>
        <w:t>É inconstitucional a atribuição conferida, pela Constituição do Pará, art. 85, I, ao Tribunal de Contas dos Municípios, para requerer ao governador do Estado a intervenção em Município. Caso em que o Tribunal de Contas age como auxiliar do Legislativo Municipal, a este cabendo formular a representação, se não rejeitar, por decisão de dois terços dos seus membros, o parecer prévio emitido pelo Tribunal (CF, art. 31, § 2º).</w:t>
      </w:r>
    </w:p>
    <w:p>
      <w:pPr>
        <w:ind w:left="288"/>
      </w:pPr>
      <w:r>
        <w:rPr>
          <w:b/>
          <w:color w:val="003CA0"/>
          <w:sz w:val="16"/>
        </w:rPr>
        <w:t>[ADI 2.631, rel. min. Carlos Velloso, j. 29-8-2002, P, DJ de 8-8-2003.]</w:t>
      </w:r>
    </w:p>
    <w:p>
      <w:pPr>
        <w:ind w:left="288"/>
      </w:pPr>
      <w:r>
        <w:rPr>
          <w:color w:val="8C8C8C"/>
          <w:sz w:val="12"/>
        </w:rPr>
        <w:t>cf-art-35</w:t>
      </w:r>
      <w:r>
        <w:rPr>
          <w:color w:val="003CA0"/>
          <w:sz w:val="12"/>
        </w:rPr>
        <w:t xml:space="preserve"> | ADI 614</w:t>
      </w:r>
      <w:r>
        <w:rPr>
          <w:color w:val="003CA0"/>
          <w:sz w:val="12"/>
        </w:rPr>
        <w:t xml:space="preserve"> | rel. Ilmar Galvão</w:t>
      </w:r>
    </w:p>
    <w:p>
      <w:pPr>
        <w:ind w:left="288"/>
      </w:pPr>
      <w:r>
        <w:rPr>
          <w:color w:val="1E1E1E"/>
          <w:sz w:val="18"/>
        </w:rPr>
        <w:t>Constituição do Estado do Maranhão. (...). Decretação da intervenção do Estado em Município, proposta pelo tribunal de contas (...). A tomada de contas do prefeito municipal, objeto principal do controle externo, é exercido pela câmara municipal com o auxílio do tribunal de contas, órgão a que cumpre emitir parecer prévio, no qual serão apontadas eventuais irregularidades encontradas e indicadas as providências de ordem corretiva consideradas aplicáveis ao caso pela referida casa legislativa, entre as quais a intervenção. Tratando-se, nessa última hipótese, de medida que implica séria interfer</w:t>
      </w:r>
    </w:p>
    <w:p>
      <w:pPr>
        <w:ind w:left="288"/>
      </w:pPr>
      <w:r>
        <w:rPr>
          <w:b/>
          <w:color w:val="003CA0"/>
          <w:sz w:val="16"/>
        </w:rPr>
        <w:t>[ADI 614 MC, rel. min. Ilmar Galvão, j. 14-10-1992, P, DJ de 18-5-2001.]</w:t>
      </w:r>
    </w:p>
    <w:p>
      <w:pPr>
        <w:ind w:left="144"/>
      </w:pPr>
      <w:r>
        <w:rPr>
          <w:b/>
          <w:color w:val="B45A00"/>
          <w:sz w:val="16"/>
        </w:rPr>
        <w:t>JULGADOS CORRELATOS</w:t>
      </w:r>
    </w:p>
    <w:p>
      <w:pPr>
        <w:ind w:left="288"/>
      </w:pPr>
      <w:r>
        <w:rPr>
          <w:color w:val="8C8C8C"/>
          <w:sz w:val="12"/>
        </w:rPr>
        <w:t>cf-art-35</w:t>
      </w:r>
      <w:r>
        <w:rPr>
          <w:color w:val="003CA0"/>
          <w:sz w:val="12"/>
        </w:rPr>
        <w:t xml:space="preserve"> | AI 597.466</w:t>
      </w:r>
      <w:r>
        <w:rPr>
          <w:color w:val="003CA0"/>
          <w:sz w:val="12"/>
        </w:rPr>
        <w:t xml:space="preserve"> | rel. Joaquim Barbosa</w:t>
      </w:r>
    </w:p>
    <w:p>
      <w:pPr>
        <w:ind w:left="288"/>
      </w:pPr>
      <w:r>
        <w:rPr>
          <w:color w:val="1E1E1E"/>
          <w:sz w:val="18"/>
        </w:rPr>
        <w:t>Intervenção estadual em Município. Súmula 637 do STF. De acordo com a jurisprudência deste Tribunal, a decisão de tribunal de justiça que determina a intervenção estadual em Município tem natureza político-administrativa, não ensejando, assim, o cabimento do recurso extraordinário.</w:t>
      </w:r>
    </w:p>
    <w:p>
      <w:pPr>
        <w:ind w:left="288"/>
      </w:pPr>
      <w:r>
        <w:rPr>
          <w:b/>
          <w:color w:val="003CA0"/>
          <w:sz w:val="16"/>
        </w:rPr>
        <w:t>[AI 597.466 AgR, rel. min. Joaquim Barbosa, j. 27-11-2007, 2ª T, DJE de 1º-2-2008.]</w:t>
      </w:r>
    </w:p>
    <w:p>
      <w:pPr>
        <w:ind w:left="288"/>
      </w:pPr>
      <w:r>
        <w:rPr>
          <w:color w:val="8C8C8C"/>
          <w:sz w:val="12"/>
        </w:rPr>
        <w:t>cf-art-35</w:t>
      </w:r>
      <w:r>
        <w:rPr>
          <w:color w:val="003CA0"/>
          <w:sz w:val="12"/>
        </w:rPr>
        <w:t xml:space="preserve"> | IF 590</w:t>
      </w:r>
      <w:r>
        <w:rPr>
          <w:color w:val="003CA0"/>
          <w:sz w:val="12"/>
        </w:rPr>
        <w:t xml:space="preserve"> | rel. Celso de Mello</w:t>
      </w:r>
    </w:p>
    <w:p>
      <w:pPr>
        <w:ind w:left="288"/>
      </w:pPr>
      <w:r>
        <w:rPr>
          <w:color w:val="1E1E1E"/>
          <w:sz w:val="18"/>
        </w:rPr>
        <w:t>Os Municípios situados no âmbito dos Estados-membros não se expõem à possibilidade constitucional de sofrerem intervenção decretada pela União Federal, eis que, relativamente a esses entes municipais, a única pessoa política ativamente legitimada a neles intervir é o Estado-membro. (...) Por isso mesmo, no sistema constitucional brasileiro, falece legitimidade ativa à União Federal para intervir em quaisquer Municípios, ressalvados, unicamente, os Municípios "localizados em Território Federal..." (CF, art. 35, caput).</w:t>
      </w:r>
    </w:p>
    <w:p>
      <w:pPr>
        <w:ind w:left="288"/>
      </w:pPr>
      <w:r>
        <w:rPr>
          <w:b/>
          <w:color w:val="003CA0"/>
          <w:sz w:val="16"/>
        </w:rPr>
        <w:t>[IF 590 QO, rel. min. Celso de Mello, j. 17-9-1998, P, DJ de 9-10-1998.]</w:t>
      </w:r>
    </w:p>
    <w:p>
      <w:pPr>
        <w:ind w:left="144"/>
      </w:pPr>
      <w:r>
        <w:rPr>
          <w:b/>
          <w:color w:val="B45A00"/>
          <w:sz w:val="16"/>
        </w:rPr>
        <w:t>CONTROLE CONCENTRADO</w:t>
      </w:r>
    </w:p>
    <w:p>
      <w:pPr>
        <w:ind w:left="288"/>
      </w:pPr>
      <w:r>
        <w:rPr>
          <w:color w:val="8C8C8C"/>
          <w:sz w:val="12"/>
        </w:rPr>
        <w:t>cf-art-35-inc-I</w:t>
      </w:r>
      <w:r>
        <w:rPr>
          <w:color w:val="003CA0"/>
          <w:sz w:val="12"/>
        </w:rPr>
        <w:t xml:space="preserve"> | ADI 558</w:t>
      </w:r>
      <w:r>
        <w:rPr>
          <w:color w:val="003CA0"/>
          <w:sz w:val="12"/>
        </w:rPr>
        <w:t xml:space="preserve"> | rel. Cármen Lúcia</w:t>
      </w:r>
    </w:p>
    <w:p>
      <w:pPr>
        <w:ind w:left="288"/>
      </w:pPr>
      <w:r>
        <w:rPr>
          <w:color w:val="1E1E1E"/>
          <w:sz w:val="18"/>
        </w:rPr>
        <w:t>A intervenção estadual nos Municípios pelo não pagamento da dívida fundada é garantida pelo inc. I do art. 35 da Constituição da República. Ao constituinte estadual não se autoriza restrição dessa hipótese apenas a casos nos quais o inadimplemento não esteja vinculado à gestão anterior.</w:t>
      </w:r>
    </w:p>
    <w:p>
      <w:pPr>
        <w:ind w:left="288"/>
      </w:pPr>
      <w:r>
        <w:rPr>
          <w:b/>
          <w:color w:val="003CA0"/>
          <w:sz w:val="16"/>
        </w:rPr>
        <w:t>[ADI 558, rel. min. Cármen Lúcia, j. 19-4-2021, Plenário, DJE de 22-9-2021.]</w:t>
      </w:r>
    </w:p>
    <w:p>
      <w:pPr>
        <w:ind w:left="288"/>
      </w:pPr>
      <w:r>
        <w:rPr>
          <w:color w:val="8C8C8C"/>
          <w:sz w:val="12"/>
        </w:rPr>
        <w:t>cf-art-35-inc-III</w:t>
      </w:r>
    </w:p>
    <w:p>
      <w:pPr>
        <w:ind w:left="288"/>
      </w:pPr>
      <w:r>
        <w:rPr>
          <w:color w:val="1E1E1E"/>
          <w:sz w:val="18"/>
        </w:rPr>
        <w:t>IV - o Tribunal de Justiça der provimento a representação para assegurar a observância de princípios indicados na Constituição Estadual, ou para prover a execução de lei, de ordem ou de decisão judicial.</w:t>
      </w:r>
    </w:p>
    <w:p>
      <w:pPr>
        <w:ind w:left="144"/>
      </w:pPr>
      <w:r>
        <w:rPr>
          <w:b/>
          <w:color w:val="B45A00"/>
          <w:sz w:val="16"/>
        </w:rPr>
        <w:t>JULGADOS CORRELATOS</w:t>
      </w:r>
    </w:p>
    <w:p>
      <w:pPr>
        <w:ind w:left="288"/>
      </w:pPr>
      <w:r>
        <w:rPr>
          <w:color w:val="8C8C8C"/>
          <w:sz w:val="12"/>
        </w:rPr>
        <w:t>cf-art-35-inc-III</w:t>
      </w:r>
      <w:r>
        <w:rPr>
          <w:color w:val="003CA0"/>
          <w:sz w:val="12"/>
        </w:rPr>
        <w:t xml:space="preserve"> | RCL 2.143</w:t>
      </w:r>
      <w:r>
        <w:rPr>
          <w:color w:val="003CA0"/>
          <w:sz w:val="12"/>
        </w:rPr>
        <w:t xml:space="preserve"> | rel. Celso de Mello</w:t>
      </w:r>
    </w:p>
    <w:p>
      <w:pPr>
        <w:ind w:left="288"/>
      </w:pPr>
      <w:r>
        <w:rPr>
          <w:color w:val="1E1E1E"/>
          <w:sz w:val="18"/>
        </w:rPr>
        <w:t>A Constituição da República não quer apenas que a entidade estatal pague os seus débitos judiciais. Mais do que isso, a Lei Fundamental exige que o poder público, ao solver a sua obrigação, respeite a ordem de precedência cronológica em que se situam os credores do Estado. A preterição da ordem de precedência cronológica – considerada a extrema gravidade desse gesto de insubmissão estatal às prescrições da Constituição – configura comportamento institucional que produz, no que concerne aos prefeitos municipais, (a) consequências de caráter processual (sequestro da quantia necessária à satisfaç</w:t>
      </w:r>
    </w:p>
    <w:p>
      <w:pPr>
        <w:ind w:left="288"/>
      </w:pPr>
      <w:r>
        <w:rPr>
          <w:b/>
          <w:color w:val="003CA0"/>
          <w:sz w:val="16"/>
        </w:rPr>
        <w:t>[Rcl 2.143 AgR, rel. min. Celso de Mello, j. 12-3-2003, P, DJ de 6-6-2003.]</w:t>
      </w:r>
    </w:p>
    <w:p>
      <w:pPr>
        <w:ind w:left="288"/>
      </w:pPr>
      <w:r>
        <w:rPr>
          <w:color w:val="8C8C8C"/>
          <w:sz w:val="12"/>
        </w:rPr>
        <w:t>cf-art-35-inc-III</w:t>
      </w:r>
      <w:r>
        <w:rPr>
          <w:color w:val="003CA0"/>
          <w:sz w:val="12"/>
        </w:rPr>
        <w:t xml:space="preserve"> | AI 343.461</w:t>
      </w:r>
      <w:r>
        <w:rPr>
          <w:color w:val="003CA0"/>
          <w:sz w:val="12"/>
        </w:rPr>
        <w:t xml:space="preserve"> | rel. Celso de Mello</w:t>
      </w:r>
    </w:p>
    <w:p>
      <w:pPr>
        <w:ind w:left="288"/>
      </w:pPr>
      <w:r>
        <w:rPr>
          <w:color w:val="1E1E1E"/>
          <w:sz w:val="18"/>
        </w:rPr>
        <w:t>O procedimento destinado a viabilizar, nas hipóteses de descumprimento de ordem ou de sentença judiciais (CF, art. 34, VI, e art. 35, IV), a efetivação do ato de intervenção – trate-se de intervenção federal nos Estados-membros, cuide-se de intervenção estadual nos Municípios – reveste-se de caráter político-administrativo, muito embora instaurado perante órgão competente do Poder Judiciário (CF, art. 36, II, e art. 35, IV) (...).</w:t>
      </w:r>
    </w:p>
    <w:p>
      <w:pPr>
        <w:ind w:left="288"/>
      </w:pPr>
      <w:r>
        <w:rPr>
          <w:b/>
          <w:color w:val="003CA0"/>
          <w:sz w:val="16"/>
        </w:rPr>
        <w:t>[AI 343.461 AgR, rel. min. Celso de Mello, j. 18-6-2002, 2ª T, DJ de 29-11-2002.]</w:t>
      </w:r>
    </w:p>
    <w:p>
      <w:pPr>
        <w:ind w:left="288"/>
      </w:pPr>
      <w:r>
        <w:rPr>
          <w:color w:val="8C8C8C"/>
          <w:sz w:val="12"/>
        </w:rPr>
        <w:t>cf-art-35-inc-III</w:t>
      </w:r>
      <w:r>
        <w:rPr>
          <w:color w:val="003CA0"/>
          <w:sz w:val="12"/>
        </w:rPr>
        <w:t xml:space="preserve"> | PET 1.256</w:t>
      </w:r>
      <w:r>
        <w:rPr>
          <w:color w:val="003CA0"/>
          <w:sz w:val="12"/>
        </w:rPr>
        <w:t xml:space="preserve"> | rel. Sepúlveda Pertence</w:t>
      </w:r>
    </w:p>
    <w:p>
      <w:pPr>
        <w:ind w:left="288"/>
      </w:pPr>
      <w:r>
        <w:rPr>
          <w:color w:val="1E1E1E"/>
          <w:sz w:val="18"/>
        </w:rPr>
        <w:t>Recurso extraordinário: descabimento: inexistência de causa no procedimento político-administrativo de requisição de intervenção estadual nos Municípios para prover a execução de ordem ou decisão judicial (CF, art. 35, IV), ainda quando requerida a providência pela parte interessada.</w:t>
      </w:r>
    </w:p>
    <w:p>
      <w:pPr>
        <w:ind w:left="288"/>
      </w:pPr>
      <w:r>
        <w:rPr>
          <w:b/>
          <w:color w:val="003CA0"/>
          <w:sz w:val="16"/>
        </w:rPr>
        <w:t>[Pet 1.256, rel. min. Sepúlveda Pertence, j. 4-11-1998, P, DJ de 4-5-2001.]</w:t>
      </w:r>
    </w:p>
    <w:p>
      <w:pPr>
        <w:ind w:left="432"/>
      </w:pPr>
      <w:r>
        <w:rPr>
          <w:color w:val="003366"/>
          <w:sz w:val="18"/>
        </w:rPr>
        <w:t>§ 1 Para aplicação dos critérios de que trata este artigo, excluem-se das despes</w:t>
      </w:r>
    </w:p>
    <w:p>
      <w:pPr>
        <w:ind w:left="720"/>
      </w:pPr>
      <w:r>
        <w:rPr>
          <w:color w:val="003366"/>
          <w:sz w:val="18"/>
        </w:rPr>
        <w:t>I – aos projetos considerados prioritários no plano plurianual;</w:t>
      </w:r>
    </w:p>
    <w:p>
      <w:pPr>
        <w:ind w:left="720"/>
      </w:pPr>
      <w:r>
        <w:rPr>
          <w:color w:val="003366"/>
          <w:sz w:val="18"/>
        </w:rPr>
        <w:t>II – à segurança e defesa nacional;</w:t>
      </w:r>
    </w:p>
    <w:p>
      <w:pPr>
        <w:ind w:left="720"/>
      </w:pPr>
      <w:r>
        <w:rPr>
          <w:color w:val="003366"/>
          <w:sz w:val="18"/>
        </w:rPr>
        <w:t>III – à manutenção dos órgãos federais no Distrito Federal;</w:t>
      </w:r>
    </w:p>
    <w:p>
      <w:pPr>
        <w:ind w:left="720"/>
      </w:pPr>
      <w:r>
        <w:rPr>
          <w:color w:val="003366"/>
          <w:sz w:val="18"/>
        </w:rPr>
        <w:t>IV – ao Congresso Nacional, ao Tribunal de Contas da União e ao Poder Judiciário</w:t>
      </w:r>
    </w:p>
    <w:p>
      <w:pPr>
        <w:ind w:left="720"/>
      </w:pPr>
      <w:r>
        <w:rPr>
          <w:color w:val="003366"/>
          <w:sz w:val="18"/>
        </w:rPr>
        <w:t xml:space="preserve">V – ao serviço da dívida da administração direta e indireta da União, inclusive </w:t>
      </w:r>
    </w:p>
    <w:p>
      <w:pPr>
        <w:ind w:left="432"/>
      </w:pPr>
      <w:r>
        <w:rPr>
          <w:color w:val="003366"/>
          <w:sz w:val="18"/>
        </w:rPr>
        <w:t>§ 2 Até a entrada em vigor da lei complementar a que se refere o art. 165, § 9º,</w:t>
      </w:r>
    </w:p>
    <w:p>
      <w:pPr>
        <w:ind w:left="720"/>
      </w:pPr>
      <w:r>
        <w:rPr>
          <w:color w:val="003366"/>
          <w:sz w:val="18"/>
        </w:rPr>
        <w:t>I – o projeto do plano plurianual, para vigência até o final do primeiro exercíc</w:t>
      </w:r>
    </w:p>
    <w:p>
      <w:pPr>
        <w:ind w:left="720"/>
      </w:pPr>
      <w:r>
        <w:rPr>
          <w:color w:val="003366"/>
          <w:sz w:val="18"/>
        </w:rPr>
        <w:t>II – o projeto de lei de diretrizes orçamentárias será encaminhado até oito mese</w:t>
      </w:r>
    </w:p>
    <w:p>
      <w:pPr>
        <w:ind w:left="720"/>
      </w:pPr>
      <w:r>
        <w:rPr>
          <w:color w:val="003366"/>
          <w:sz w:val="18"/>
        </w:rPr>
        <w:t>III – o projeto de lei orçamentária da União será encaminhado até quatro meses a</w:t>
      </w:r>
    </w:p>
    <w:p>
      <w:r>
        <w:rPr>
          <w:b/>
          <w:color w:val="003366"/>
          <w:sz w:val="20"/>
        </w:rPr>
        <w:t xml:space="preserve">Art. 36 Os fundos existentes na data da promulgação da Constituição, excetuados </w:t>
      </w:r>
      <w:r>
        <w:rPr>
          <w:color w:val="8C8C8C"/>
          <w:sz w:val="14"/>
        </w:rPr>
        <w:t xml:space="preserve">  [9 decisoes]</w:t>
      </w:r>
    </w:p>
    <w:p>
      <w:pPr>
        <w:ind w:left="288"/>
      </w:pPr>
      <w:r>
        <w:rPr>
          <w:color w:val="8C8C8C"/>
          <w:sz w:val="12"/>
        </w:rPr>
        <w:t>cf-art-36</w:t>
      </w:r>
    </w:p>
    <w:p>
      <w:pPr>
        <w:ind w:left="288"/>
      </w:pPr>
      <w:r>
        <w:rPr>
          <w:color w:val="1E1E1E"/>
          <w:sz w:val="18"/>
        </w:rPr>
        <w:t>I - no caso do art. 34, IV, de solicitação do Poder Legislativo ou do Poder Executivo coacto ou impedido, ou de requisição do Supremo Tribunal Federal, se a coação for exercida contra o Poder Judiciário;</w:t>
      </w:r>
    </w:p>
    <w:p>
      <w:pPr>
        <w:ind w:left="144"/>
      </w:pPr>
      <w:r>
        <w:rPr>
          <w:b/>
          <w:color w:val="B45A00"/>
          <w:sz w:val="16"/>
        </w:rPr>
        <w:t>JULGADOS CORRELATOS</w:t>
      </w:r>
    </w:p>
    <w:p>
      <w:pPr>
        <w:ind w:left="288"/>
      </w:pPr>
      <w:r>
        <w:rPr>
          <w:color w:val="8C8C8C"/>
          <w:sz w:val="12"/>
        </w:rPr>
        <w:t>cf-art-36</w:t>
      </w:r>
      <w:r>
        <w:rPr>
          <w:color w:val="003CA0"/>
          <w:sz w:val="12"/>
        </w:rPr>
        <w:t xml:space="preserve"> | RCL 464</w:t>
      </w:r>
      <w:r>
        <w:rPr>
          <w:color w:val="003CA0"/>
          <w:sz w:val="12"/>
        </w:rPr>
        <w:t xml:space="preserve"> | rel. Octavio Gallotti</w:t>
      </w:r>
    </w:p>
    <w:p>
      <w:pPr>
        <w:ind w:left="288"/>
      </w:pPr>
      <w:r>
        <w:rPr>
          <w:color w:val="1E1E1E"/>
          <w:sz w:val="18"/>
        </w:rPr>
        <w:t>Intervenção federal, por suposto descumprimento de decisão de tribunal de justiça. Não se pode ter, como invasiva da competência do Supremo Tribunal, a decisão de corte estadual, que, no exercício de sua exclusiva atribuição, indefere o encaminhamento do pedido de intervenção.</w:t>
      </w:r>
    </w:p>
    <w:p>
      <w:pPr>
        <w:ind w:left="288"/>
      </w:pPr>
      <w:r>
        <w:rPr>
          <w:b/>
          <w:color w:val="003CA0"/>
          <w:sz w:val="16"/>
        </w:rPr>
        <w:t>[Rcl 464, rel. min. Octavio Gallotti, j. 14-12-1994, P, DJ de 24-2-1995.]</w:t>
      </w:r>
    </w:p>
    <w:p>
      <w:pPr>
        <w:ind w:left="288"/>
      </w:pPr>
      <w:r>
        <w:rPr>
          <w:color w:val="8C8C8C"/>
          <w:sz w:val="12"/>
        </w:rPr>
        <w:t>cf-art-36-inc-II</w:t>
      </w:r>
      <w:r>
        <w:rPr>
          <w:color w:val="003CA0"/>
          <w:sz w:val="12"/>
        </w:rPr>
        <w:t xml:space="preserve"> | IF 2.792</w:t>
      </w:r>
      <w:r>
        <w:rPr>
          <w:color w:val="003CA0"/>
          <w:sz w:val="12"/>
        </w:rPr>
        <w:t xml:space="preserve"> | rel. Marco Aurélio</w:t>
      </w:r>
    </w:p>
    <w:p>
      <w:pPr>
        <w:ind w:left="288"/>
      </w:pPr>
      <w:r>
        <w:rPr>
          <w:color w:val="1E1E1E"/>
          <w:sz w:val="18"/>
        </w:rPr>
        <w:t>Art. 36, II, da CF. Define-se a competência pela matéria, cumprindo ao STF o julgamento quando o ato inobservado lastreia-se na CF; ao STJ quando envolvida matéria legal e ao TSE em se tratando de matéria de índole eleitoral.</w:t>
      </w:r>
    </w:p>
    <w:p>
      <w:pPr>
        <w:ind w:left="288"/>
      </w:pPr>
      <w:r>
        <w:rPr>
          <w:b/>
          <w:color w:val="003CA0"/>
          <w:sz w:val="16"/>
        </w:rPr>
        <w:t>[IF 2.792, rel. min. Marco Aurélio, j. 4-6-2003, P, DJ de 1º-8-2003.]</w:t>
      </w:r>
    </w:p>
    <w:p>
      <w:pPr>
        <w:ind w:left="288"/>
      </w:pPr>
      <w:r>
        <w:rPr>
          <w:color w:val="8C8C8C"/>
          <w:sz w:val="12"/>
        </w:rPr>
        <w:t>cf-art-36-inc-II</w:t>
      </w:r>
      <w:r>
        <w:rPr>
          <w:color w:val="003CA0"/>
          <w:sz w:val="12"/>
        </w:rPr>
        <w:t xml:space="preserve"> | IF 230</w:t>
      </w:r>
      <w:r>
        <w:rPr>
          <w:color w:val="003CA0"/>
          <w:sz w:val="12"/>
        </w:rPr>
        <w:t xml:space="preserve"> | rel. Sepúlveda Pertence</w:t>
      </w:r>
    </w:p>
    <w:p>
      <w:pPr>
        <w:ind w:left="288"/>
      </w:pPr>
      <w:r>
        <w:rPr>
          <w:color w:val="1E1E1E"/>
          <w:sz w:val="18"/>
        </w:rPr>
        <w:t>Cabe exclusivamente ao STF requisição de intervenção para assegurar a execução de decisões da Justiça do Trabalho ou da Justiça Militar, ainda quando fundadas em direito infraconstitucional: fundamentação. O pedido de requisição de intervenção dirigida pelo presidente do Tribunal de execução ao STF há de ter motivação quanto à procedência e também com a necessidade de intervenção.</w:t>
      </w:r>
    </w:p>
    <w:p>
      <w:pPr>
        <w:ind w:left="288"/>
      </w:pPr>
      <w:r>
        <w:rPr>
          <w:b/>
          <w:color w:val="003CA0"/>
          <w:sz w:val="16"/>
        </w:rPr>
        <w:t>[IF 230 QO, rel. min. Sepúlveda Pertence, j. 24-4-1996, P, DJ de 1º-7-1996.]</w:t>
      </w:r>
    </w:p>
    <w:p>
      <w:pPr>
        <w:ind w:left="288"/>
      </w:pPr>
      <w:r>
        <w:rPr>
          <w:color w:val="8C8C8C"/>
          <w:sz w:val="12"/>
        </w:rPr>
        <w:t>cf-art-36-inc-II</w:t>
      </w:r>
      <w:r>
        <w:rPr>
          <w:color w:val="003CA0"/>
          <w:sz w:val="12"/>
        </w:rPr>
        <w:t xml:space="preserve"> | IF 105</w:t>
      </w:r>
      <w:r>
        <w:rPr>
          <w:color w:val="003CA0"/>
          <w:sz w:val="12"/>
        </w:rPr>
        <w:t xml:space="preserve"> | rel. Sydney Sanches</w:t>
      </w:r>
    </w:p>
    <w:p>
      <w:pPr>
        <w:ind w:left="288"/>
      </w:pPr>
      <w:r>
        <w:rPr>
          <w:color w:val="1E1E1E"/>
          <w:sz w:val="18"/>
        </w:rPr>
        <w:t>Intervenção federal. Legitimidade ativa para o pedido. Interpretação do inciso II do art. 36 da CF de 1988, e do art. 19, II e III, da Lei 8.038, de 28-5-1990, e art. 350, II e III, do RISTF. A parte interessada na causa somente pode se dirigir ao STF, com pedido de intervenção federal, para prover a execução de decisão da própria corte. Quando se trate de decisão de tribunal de justiça, o requerimento de intervenção deve ser dirigido ao respectivo presidente, a quem incumbe, se for o caso, encaminhá-lo ao STF. Pedido não conhecido, por ilegitimidade ativa dos requerentes.</w:t>
      </w:r>
    </w:p>
    <w:p>
      <w:pPr>
        <w:ind w:left="288"/>
      </w:pPr>
      <w:r>
        <w:rPr>
          <w:b/>
          <w:color w:val="003CA0"/>
          <w:sz w:val="16"/>
        </w:rPr>
        <w:t>[IF 105 QO, rel. min. Sydney Sanches, j. 3-8-1992, P, DJ de 4-9-1992.]</w:t>
      </w:r>
    </w:p>
    <w:p>
      <w:pPr>
        <w:ind w:left="288"/>
      </w:pPr>
      <w:r>
        <w:rPr>
          <w:color w:val="8C8C8C"/>
          <w:sz w:val="12"/>
        </w:rPr>
        <w:t>cf-art-36-inc-II</w:t>
      </w:r>
      <w:r>
        <w:rPr>
          <w:color w:val="003CA0"/>
          <w:sz w:val="12"/>
        </w:rPr>
        <w:t xml:space="preserve"> | IF 4.677</w:t>
      </w:r>
      <w:r>
        <w:rPr>
          <w:color w:val="003CA0"/>
          <w:sz w:val="12"/>
        </w:rPr>
        <w:t xml:space="preserve"> | rel. Cezar Peluso</w:t>
      </w:r>
    </w:p>
    <w:p>
      <w:pPr>
        <w:ind w:left="288"/>
      </w:pPr>
      <w:r>
        <w:rPr>
          <w:color w:val="1E1E1E"/>
          <w:sz w:val="18"/>
        </w:rPr>
        <w:t>= IF 4.677 AgR, rel. min. Cezar Peluso, j. 29-3-2012, P, DJE de 20-6-2012 III - de provimento, pelo Supremo Tribunal Federal, de representação do Procurador-Geral da República, na hipótese do art. 34, VII, e no caso de recusa à execução de lei federal. (Redação da EC 45/2004)</w:t>
      </w:r>
    </w:p>
    <w:p>
      <w:pPr>
        <w:ind w:left="144"/>
      </w:pPr>
      <w:r>
        <w:rPr>
          <w:b/>
          <w:color w:val="B45A00"/>
          <w:sz w:val="16"/>
        </w:rPr>
        <w:t>SUMULA</w:t>
      </w:r>
    </w:p>
    <w:p>
      <w:pPr>
        <w:ind w:left="288"/>
      </w:pPr>
      <w:r>
        <w:rPr>
          <w:color w:val="8C8C8C"/>
          <w:sz w:val="12"/>
        </w:rPr>
        <w:t>cf-art-36-inc-II</w:t>
      </w:r>
    </w:p>
    <w:p>
      <w:pPr>
        <w:ind w:left="288"/>
      </w:pPr>
      <w:r>
        <w:rPr>
          <w:color w:val="1E1E1E"/>
          <w:sz w:val="18"/>
        </w:rPr>
        <w:t>Não há prazo de decadência para a representação de inconstitucionalidade prevista no art. 8º, parágrafo único, da CF.</w:t>
      </w:r>
    </w:p>
    <w:p>
      <w:pPr>
        <w:ind w:left="288"/>
      </w:pPr>
      <w:r>
        <w:rPr>
          <w:b/>
          <w:color w:val="003CA0"/>
          <w:sz w:val="16"/>
        </w:rPr>
        <w:t>[Súmula 360.]</w:t>
      </w:r>
    </w:p>
    <w:p>
      <w:pPr>
        <w:ind w:left="144"/>
      </w:pPr>
      <w:r>
        <w:rPr>
          <w:b/>
          <w:color w:val="B45A00"/>
          <w:sz w:val="16"/>
        </w:rPr>
        <w:t>CONTROLE CONCENTRADO</w:t>
      </w:r>
    </w:p>
    <w:p>
      <w:pPr>
        <w:ind w:left="288"/>
      </w:pPr>
      <w:r>
        <w:rPr>
          <w:color w:val="8C8C8C"/>
          <w:sz w:val="12"/>
        </w:rPr>
        <w:t>cf-art-36-par-1</w:t>
      </w:r>
      <w:r>
        <w:rPr>
          <w:color w:val="003CA0"/>
          <w:sz w:val="12"/>
        </w:rPr>
        <w:t xml:space="preserve"> | ADI 2.167</w:t>
      </w:r>
    </w:p>
    <w:p>
      <w:pPr>
        <w:ind w:left="288"/>
      </w:pPr>
      <w:r>
        <w:rPr>
          <w:color w:val="1E1E1E"/>
          <w:sz w:val="18"/>
        </w:rPr>
        <w:t>Tanto a intervenção federal quanto a estadual, (...) seja como ato vinculado, em algumas hipóteses, seja como ato discricionário, são atos do Chefe do Poder Executivo; ele é quem decreta a intervenção. O que a Constituição estabelece é que, em vinte e quatro horas, o decreto deve ser analisado, no caso aqui pela Assembleia Legislativa, para verificar as condições, para verificar as hipóteses, para verificar a extensão, para verificar a legalidade. O interventor - e essa é a divisão entre o Executivo e o Legislativo na intervenção - é de escolha e confiança do Chefe do Executivo. Ao colocar, na</w:t>
      </w:r>
    </w:p>
    <w:p>
      <w:pPr>
        <w:ind w:left="288"/>
      </w:pPr>
      <w:r>
        <w:rPr>
          <w:b/>
          <w:color w:val="003CA0"/>
          <w:sz w:val="16"/>
        </w:rPr>
        <w:t>[ADI 2.167, voto do red. do ac. min. Alexandre de Moraes, j. 3-6-2020, P, DJE de 11-11-2020.]</w:t>
      </w:r>
    </w:p>
    <w:p>
      <w:pPr>
        <w:ind w:left="288"/>
      </w:pPr>
      <w:r>
        <w:rPr>
          <w:color w:val="8C8C8C"/>
          <w:sz w:val="12"/>
        </w:rPr>
        <w:t>cf-art-36-par-4</w:t>
      </w:r>
    </w:p>
    <w:p>
      <w:pPr>
        <w:ind w:left="288"/>
      </w:pPr>
      <w:r>
        <w:rPr>
          <w:color w:val="1E1E1E"/>
          <w:sz w:val="18"/>
        </w:rPr>
        <w:t>CAPÍTULO VII Da Administração Pública SUMÁRIO Seção I Disposições Gerais SUMÁRIO</w:t>
      </w:r>
    </w:p>
    <w:p>
      <w:r>
        <w:rPr>
          <w:b/>
          <w:color w:val="003366"/>
          <w:sz w:val="20"/>
        </w:rPr>
        <w:t>Art. 37 A adaptação ao que estabelece o art. 167, III, deverá processar-se no pr</w:t>
      </w:r>
      <w:r>
        <w:rPr>
          <w:color w:val="8C8C8C"/>
          <w:sz w:val="14"/>
        </w:rPr>
        <w:t xml:space="preserve">  [625 decisoes]</w:t>
      </w:r>
    </w:p>
    <w:p>
      <w:pPr>
        <w:ind w:left="144"/>
      </w:pPr>
      <w:r>
        <w:rPr>
          <w:b/>
          <w:color w:val="B45A00"/>
          <w:sz w:val="16"/>
        </w:rPr>
        <w:t>SUMULA VINCULANTE</w:t>
      </w:r>
    </w:p>
    <w:p>
      <w:pPr>
        <w:ind w:left="288"/>
      </w:pPr>
      <w:r>
        <w:rPr>
          <w:color w:val="8C8C8C"/>
          <w:sz w:val="12"/>
        </w:rPr>
        <w:t>cf-art-37</w:t>
      </w:r>
    </w:p>
    <w:p>
      <w:pPr>
        <w:ind w:left="288"/>
      </w:pPr>
      <w:r>
        <w:rPr>
          <w:color w:val="1E1E1E"/>
          <w:sz w:val="18"/>
        </w:rPr>
        <w:t>A nomeação de cônjuge, companheiro, ou parente, em linha reta, colateral ou por afinidade, até o terceiro grau, inclusive, da autoridade nomeante ou de servidor da mesma pessoa jurídica, investido em cargo de direção, chefia ou assessoramento, para o exercício de cargo em comissão ou de confiança, ou, ainda, de função gratificada na administração pública direta e indireta, em qualquer dos Poderes da União, dos Estados, do Distrito Federal e dos Municípios, compreendido o ajuste mediante designações recíprocas, viola a CF.</w:t>
      </w:r>
    </w:p>
    <w:p>
      <w:pPr>
        <w:ind w:left="288"/>
      </w:pPr>
      <w:r>
        <w:rPr>
          <w:b/>
          <w:color w:val="003CA0"/>
          <w:sz w:val="16"/>
        </w:rPr>
        <w:t>[Súmula Vinculante 13.]</w:t>
      </w:r>
    </w:p>
    <w:p>
      <w:pPr>
        <w:ind w:left="144"/>
      </w:pPr>
      <w:r>
        <w:rPr>
          <w:b/>
          <w:color w:val="B45A00"/>
          <w:sz w:val="16"/>
        </w:rPr>
        <w:t>SUMULA</w:t>
      </w:r>
    </w:p>
    <w:p>
      <w:pPr>
        <w:ind w:left="288"/>
      </w:pPr>
      <w:r>
        <w:rPr>
          <w:color w:val="8C8C8C"/>
          <w:sz w:val="12"/>
        </w:rPr>
        <w:t>cf-art-37</w:t>
      </w:r>
    </w:p>
    <w:p>
      <w:pPr>
        <w:ind w:left="288"/>
      </w:pPr>
      <w:r>
        <w:rPr>
          <w:color w:val="1E1E1E"/>
          <w:sz w:val="18"/>
        </w:rPr>
        <w:t>Não cabe recurso extraordinário por contrariedade ao princípio constitucional da legalidade, quando a sua verificação pressuponha rever a interpretação dada a normas infraconstitucionais pela decisão recorrida.</w:t>
      </w:r>
    </w:p>
    <w:p>
      <w:pPr>
        <w:ind w:left="288"/>
      </w:pPr>
      <w:r>
        <w:rPr>
          <w:b/>
          <w:color w:val="003CA0"/>
          <w:sz w:val="16"/>
        </w:rPr>
        <w:t>[Súmula 636.]</w:t>
      </w:r>
    </w:p>
    <w:p>
      <w:pPr>
        <w:ind w:left="288"/>
      </w:pPr>
      <w:r>
        <w:rPr>
          <w:color w:val="8C8C8C"/>
          <w:sz w:val="12"/>
        </w:rPr>
        <w:t>cf-art-37</w:t>
      </w:r>
    </w:p>
    <w:p>
      <w:pPr>
        <w:ind w:left="288"/>
      </w:pPr>
      <w:r>
        <w:rPr>
          <w:color w:val="1E1E1E"/>
          <w:sz w:val="18"/>
        </w:rPr>
        <w:t>A administração pode anular seus próprios atos, quando eivados de vícios que os tornem ilegais, porque deles não se originam direitos, ou revogá-los, por motivo de conveniência ou oportunidade, respeitados os direitos adquiridos e ressalvada, em todos os casos, a apreciação judicial.</w:t>
      </w:r>
    </w:p>
    <w:p>
      <w:pPr>
        <w:ind w:left="288"/>
      </w:pPr>
      <w:r>
        <w:rPr>
          <w:b/>
          <w:color w:val="003CA0"/>
          <w:sz w:val="16"/>
        </w:rPr>
        <w:t>[Súmula 473.]</w:t>
      </w:r>
    </w:p>
    <w:p>
      <w:pPr>
        <w:ind w:left="288"/>
      </w:pPr>
      <w:r>
        <w:rPr>
          <w:color w:val="8C8C8C"/>
          <w:sz w:val="12"/>
        </w:rPr>
        <w:t>cf-art-37</w:t>
      </w:r>
    </w:p>
    <w:p>
      <w:pPr>
        <w:ind w:left="288"/>
      </w:pPr>
      <w:r>
        <w:rPr>
          <w:color w:val="1E1E1E"/>
          <w:sz w:val="18"/>
        </w:rPr>
        <w:t>A administração pública pode declarar a nulidade dos seus próprios atos.</w:t>
      </w:r>
    </w:p>
    <w:p>
      <w:pPr>
        <w:ind w:left="288"/>
      </w:pPr>
      <w:r>
        <w:rPr>
          <w:b/>
          <w:color w:val="003CA0"/>
          <w:sz w:val="16"/>
        </w:rPr>
        <w:t>[Súmula 346.]</w:t>
      </w:r>
    </w:p>
    <w:p>
      <w:pPr>
        <w:ind w:left="288"/>
      </w:pPr>
      <w:r>
        <w:rPr>
          <w:color w:val="8C8C8C"/>
          <w:sz w:val="12"/>
        </w:rPr>
        <w:t>cf-art-37</w:t>
      </w:r>
      <w:r>
        <w:rPr>
          <w:color w:val="003CA0"/>
          <w:sz w:val="12"/>
        </w:rPr>
        <w:t xml:space="preserve"> | ADI 5.319</w:t>
      </w:r>
      <w:r>
        <w:rPr>
          <w:color w:val="003CA0"/>
          <w:sz w:val="12"/>
        </w:rPr>
        <w:t xml:space="preserve"> | rel. Nunes Marques</w:t>
      </w:r>
    </w:p>
    <w:p>
      <w:pPr>
        <w:ind w:left="288"/>
      </w:pPr>
      <w:r>
        <w:rPr>
          <w:color w:val="1E1E1E"/>
          <w:sz w:val="18"/>
        </w:rPr>
        <w:t>A imunidade tributária outorgada pelo art. 195, § 7º, da Constituição Federal às entidades beneficentes de assistência social é condicionada ao atendimento das exigências estabelecidas em lei. A relação jurídica entre Administração Pública e entidade beneficente é de trato sucessivo, considerada a evolução constante da sociedade, impondo, assim, fiscalização durante toda a vigência do Cebas. A jurisprudência do STF consolidou-se pela inexistência de direito adquirido a regime jurídico relativo a imunidade tributária, de modo que a concessão do Cebas não dispensa a instituição do atendimento de</w:t>
      </w:r>
    </w:p>
    <w:p>
      <w:pPr>
        <w:ind w:left="288"/>
      </w:pPr>
      <w:r>
        <w:rPr>
          <w:b/>
          <w:color w:val="003CA0"/>
          <w:sz w:val="16"/>
        </w:rPr>
        <w:t>[ADI 5.319, rel. min. Nunes Marques, j. 27-10-2025, P, DJE de 11-2-2026.]</w:t>
      </w:r>
    </w:p>
    <w:p>
      <w:pPr>
        <w:ind w:left="288"/>
      </w:pPr>
      <w:r>
        <w:rPr>
          <w:color w:val="8C8C8C"/>
          <w:sz w:val="12"/>
        </w:rPr>
        <w:t>cf-art-37</w:t>
      </w:r>
      <w:r>
        <w:rPr>
          <w:color w:val="003CA0"/>
          <w:sz w:val="12"/>
        </w:rPr>
        <w:t xml:space="preserve"> | ADI 4.285</w:t>
      </w:r>
      <w:r>
        <w:rPr>
          <w:color w:val="003CA0"/>
          <w:sz w:val="12"/>
        </w:rPr>
        <w:t xml:space="preserve"> | rel. Nunes Marques</w:t>
      </w:r>
    </w:p>
    <w:p>
      <w:pPr>
        <w:ind w:left="288"/>
      </w:pPr>
      <w:r>
        <w:rPr>
          <w:color w:val="1E1E1E"/>
          <w:sz w:val="18"/>
        </w:rPr>
        <w:t xml:space="preserve">A incorporação de gratificação concedida a servidores públicos que desempenham funções de segurança, com fundamento na exposição a risco de vida, consiste em compensação específica pelas condições laborativas perigosas e é devida pelo serviço realizado. Fator de diferenciação legítimo. Trata-se incorporação razoável, compatível com a isonomia e o princípio da impessoalidade, na medida em que condicionada ao exercício das funções de segurança por prazo não inferior a 5 anos, dentro do período de 6 anos de vigência da norma que instituiu a gratificação, a qual foi automaticamente extinta depois </w:t>
      </w:r>
    </w:p>
    <w:p>
      <w:pPr>
        <w:ind w:left="288"/>
      </w:pPr>
      <w:r>
        <w:rPr>
          <w:b/>
          <w:color w:val="003CA0"/>
          <w:sz w:val="16"/>
        </w:rPr>
        <w:t>[ADI 4.285, rel. min. Nunes Marques, j. 20.10.2025, P, DJE de 27.10.2025.]</w:t>
      </w:r>
    </w:p>
    <w:p>
      <w:pPr>
        <w:ind w:left="288"/>
      </w:pPr>
      <w:r>
        <w:rPr>
          <w:color w:val="8C8C8C"/>
          <w:sz w:val="12"/>
        </w:rPr>
        <w:t>cf-art-37</w:t>
      </w:r>
      <w:r>
        <w:rPr>
          <w:color w:val="003CA0"/>
          <w:sz w:val="12"/>
        </w:rPr>
        <w:t xml:space="preserve"> | ADC 12</w:t>
      </w:r>
      <w:r>
        <w:rPr>
          <w:color w:val="003CA0"/>
          <w:sz w:val="12"/>
        </w:rPr>
        <w:t xml:space="preserve"> | rel. Ayres Britto)</w:t>
      </w:r>
    </w:p>
    <w:p>
      <w:pPr>
        <w:ind w:left="288"/>
      </w:pPr>
      <w:r>
        <w:rPr>
          <w:color w:val="1E1E1E"/>
          <w:sz w:val="18"/>
        </w:rPr>
        <w:t>A Resolução n. 7/2005 do Conselho Nacional de Justiça, que institui regras sobre a proibição do nepotismo, declarada constitucional pelo Supremo (ADC 12, Rel. Min. Ayres Britto), proíbe, nos termos do art. 2º, I, o exercício de cargo de provimento em comissão ou de função gratificada por cônjuge, companheiro ou parente em linha reta, colateral ou por afinidade, até o terceiro grau, inclusive. O § 1º do dispositivo exclui da regra os servidores ocupantes de cargo de provimento efetivo das carreiras judiciárias, admitidos por concurso público, observadas a compatibilidade do grau de escolaridade</w:t>
      </w:r>
    </w:p>
    <w:p>
      <w:pPr>
        <w:ind w:left="288"/>
      </w:pPr>
      <w:r>
        <w:rPr>
          <w:b/>
          <w:color w:val="003CA0"/>
          <w:sz w:val="16"/>
        </w:rPr>
        <w:t>[ADI 3.496, rel. min. Nunes Marques, j. 13.10.2025, P, DJE de 12.11.2025.]</w:t>
      </w:r>
    </w:p>
    <w:p>
      <w:pPr>
        <w:ind w:left="288"/>
      </w:pPr>
      <w:r>
        <w:rPr>
          <w:color w:val="8C8C8C"/>
          <w:sz w:val="12"/>
        </w:rPr>
        <w:t>cf-art-37</w:t>
      </w:r>
      <w:r>
        <w:rPr>
          <w:color w:val="003CA0"/>
          <w:sz w:val="12"/>
        </w:rPr>
        <w:t xml:space="preserve"> | ADC 12</w:t>
      </w:r>
      <w:r>
        <w:rPr>
          <w:color w:val="003CA0"/>
          <w:sz w:val="12"/>
        </w:rPr>
        <w:t xml:space="preserve"> | rel. Ayres Britto</w:t>
      </w:r>
    </w:p>
    <w:p>
      <w:pPr>
        <w:ind w:left="288"/>
      </w:pPr>
      <w:r>
        <w:rPr>
          <w:color w:val="1E1E1E"/>
          <w:sz w:val="18"/>
        </w:rPr>
        <w:t>Vide ADC 12, rel. min. Ayres Britto, j. 20.08.2008, P, DJE de 18.12.2009 Serviços notariais e de registro. Reestruturação. Lei Estadual. Constitucionalidade. (...) Os serviços notariais e de registro são exercidos em caráter privado, mediante delegação do Poder Público, conforme previsão do art. 236 da Constituição Federal. A Lei Federal n. 8.935/1994, em seu art. 26, veda a acumulação dos serviços, admitindo exceção apenas para municípios que não comportem, em razão do volume ou da receita, a instalação de mais de um serviço. (...) A reestruturação foi precedida de amplo estudo do Tribunal de</w:t>
      </w:r>
    </w:p>
    <w:p>
      <w:pPr>
        <w:ind w:left="288"/>
      </w:pPr>
      <w:r>
        <w:rPr>
          <w:b/>
          <w:color w:val="003CA0"/>
          <w:sz w:val="16"/>
        </w:rPr>
        <w:t>[ADI 7.352, rel. min. Cristiano Zanin, j. 29.09.2025, P, DJE de 02.10.2025.]</w:t>
      </w:r>
    </w:p>
    <w:p>
      <w:pPr>
        <w:ind w:left="288"/>
      </w:pPr>
      <w:r>
        <w:rPr>
          <w:color w:val="8C8C8C"/>
          <w:sz w:val="12"/>
        </w:rPr>
        <w:t>cf-art-37</w:t>
      </w:r>
      <w:r>
        <w:rPr>
          <w:color w:val="003CA0"/>
          <w:sz w:val="12"/>
        </w:rPr>
        <w:t xml:space="preserve"> | ADI 5.451</w:t>
      </w:r>
      <w:r>
        <w:rPr>
          <w:color w:val="003CA0"/>
          <w:sz w:val="12"/>
        </w:rPr>
        <w:t xml:space="preserve"> | rel. Nunes Marques</w:t>
      </w:r>
    </w:p>
    <w:p>
      <w:pPr>
        <w:ind w:left="288"/>
      </w:pPr>
      <w:r>
        <w:rPr>
          <w:color w:val="1E1E1E"/>
          <w:sz w:val="18"/>
        </w:rPr>
        <w:t xml:space="preserve">Lei Estadual. Ministério Público do Estado do Ceará. Serviço voluntário. (...) Não há falar em substituição de membros e servidores do Parquet, tampouco em ofensa à moralidade e eficiência da Administração Pública, pois o § 2º do art. 2º questionado é firme ao vedar aos voluntários o exercício de atividade típica ou similar às dos membros e servidores do Ministério Público, bem como o uso de distintivos e insígnias privativos destes. Além disso, o § 3º estabelece que a prestação de serviços pelos trabalhadores voluntários contempla principalmente conhecimentos estranhos à área de formação dos </w:t>
      </w:r>
    </w:p>
    <w:p>
      <w:pPr>
        <w:ind w:left="288"/>
      </w:pPr>
      <w:r>
        <w:rPr>
          <w:b/>
          <w:color w:val="003CA0"/>
          <w:sz w:val="16"/>
        </w:rPr>
        <w:t>[ADI 5.451, rel. min. Nunes Marques, j. 17.02.2025, P, DJE de 11.03.2025.]</w:t>
      </w:r>
    </w:p>
    <w:p>
      <w:pPr>
        <w:ind w:left="288"/>
      </w:pPr>
      <w:r>
        <w:rPr>
          <w:color w:val="8C8C8C"/>
          <w:sz w:val="12"/>
        </w:rPr>
        <w:t>cf-art-37</w:t>
      </w:r>
      <w:r>
        <w:rPr>
          <w:color w:val="003CA0"/>
          <w:sz w:val="12"/>
        </w:rPr>
        <w:t xml:space="preserve"> | ADI 7.629</w:t>
      </w:r>
      <w:r>
        <w:rPr>
          <w:color w:val="003CA0"/>
          <w:sz w:val="12"/>
        </w:rPr>
        <w:t xml:space="preserve"> | rel. Dias Toffoli</w:t>
      </w:r>
    </w:p>
    <w:p>
      <w:pPr>
        <w:ind w:left="288"/>
      </w:pPr>
      <w:r>
        <w:rPr>
          <w:color w:val="1E1E1E"/>
          <w:sz w:val="18"/>
        </w:rPr>
        <w:t>(...) o procedimento de descentralização da execução de serviços públicos não exclusivos para as entidades do terceiro setor, regulado pela Lei nº 23.081 do Estado de Minas Gerais, de 10 de agosto de 2018, deve ser conduzido de forma pública, objetiva e impessoal, em observância aos princípios do art. 37, caput, da Constituição da República, sem prejuízo da fiscalização do Ministério Público e do Tribunal de Contas quanto à utilização de verbas públicas.</w:t>
      </w:r>
    </w:p>
    <w:p>
      <w:pPr>
        <w:ind w:left="288"/>
      </w:pPr>
      <w:r>
        <w:rPr>
          <w:b/>
          <w:color w:val="003CA0"/>
          <w:sz w:val="16"/>
        </w:rPr>
        <w:t>[ADI 7.629, rel. min. Dias Toffoli, j. 17.02.2025, P, DJE de 21.02.2025.]</w:t>
      </w:r>
    </w:p>
    <w:p>
      <w:pPr>
        <w:ind w:left="144"/>
      </w:pPr>
      <w:r>
        <w:rPr>
          <w:b/>
          <w:color w:val="B45A00"/>
          <w:sz w:val="16"/>
        </w:rPr>
        <w:t>CONTROLE CONCENTRADO</w:t>
      </w:r>
    </w:p>
    <w:p>
      <w:pPr>
        <w:ind w:left="288"/>
      </w:pPr>
      <w:r>
        <w:rPr>
          <w:color w:val="8C8C8C"/>
          <w:sz w:val="12"/>
        </w:rPr>
        <w:t>cf-art-37</w:t>
      </w:r>
      <w:r>
        <w:rPr>
          <w:color w:val="003CA0"/>
          <w:sz w:val="12"/>
        </w:rPr>
        <w:t xml:space="preserve"> | ADI 5.157</w:t>
      </w:r>
      <w:r>
        <w:rPr>
          <w:color w:val="003CA0"/>
          <w:sz w:val="12"/>
        </w:rPr>
        <w:t xml:space="preserve"> | rel. Gilmar Mendes</w:t>
      </w:r>
    </w:p>
    <w:p>
      <w:pPr>
        <w:ind w:left="288"/>
      </w:pPr>
      <w:r>
        <w:rPr>
          <w:color w:val="1E1E1E"/>
          <w:sz w:val="18"/>
        </w:rPr>
        <w:t>“(...) o princípio da eficiência impõe que a Administração Pública utilize os meios necessários e adequados para atingimento dos objetivos pretendidos e impele que se estabeleçam mecanismos de controle para avaliação dos resultados obtidos. É, pois, um princípio associado tanto às finalidades objetivadas quanto ao fornecimento dos meios indispensáveis para o seu atingimento. (...) Assim, com a devida vênia, compreendo que melhores resultados podem ser obtidos a partir do fornecimento completo e adequado de equipamentos típicos para o desempenho das atividades de segurança do Poder Judiciário e</w:t>
      </w:r>
    </w:p>
    <w:p>
      <w:pPr>
        <w:ind w:left="288"/>
      </w:pPr>
      <w:r>
        <w:rPr>
          <w:b/>
          <w:color w:val="003CA0"/>
          <w:sz w:val="16"/>
        </w:rPr>
        <w:t>[ADI 3.581, rel. min. Nunes Marques, j. 26.11.2024, P, DJE de 18.12.2024.]</w:t>
      </w:r>
    </w:p>
    <w:p>
      <w:pPr>
        <w:ind w:left="288"/>
      </w:pPr>
      <w:r>
        <w:rPr>
          <w:color w:val="8C8C8C"/>
          <w:sz w:val="12"/>
        </w:rPr>
        <w:t>cf-art-37</w:t>
      </w:r>
      <w:r>
        <w:rPr>
          <w:color w:val="003CA0"/>
          <w:sz w:val="12"/>
        </w:rPr>
        <w:t xml:space="preserve"> | ADPF 362</w:t>
      </w:r>
      <w:r>
        <w:rPr>
          <w:color w:val="003CA0"/>
          <w:sz w:val="12"/>
        </w:rPr>
        <w:t xml:space="preserve"> | rel. Alexandre de Moraes</w:t>
      </w:r>
    </w:p>
    <w:p>
      <w:pPr>
        <w:ind w:left="288"/>
      </w:pPr>
      <w:r>
        <w:rPr>
          <w:color w:val="1E1E1E"/>
          <w:sz w:val="18"/>
        </w:rPr>
        <w:t>Ofício 265/1991 do Presidente da Assembleia Legislativa do Estado da Bahia. Exigência de lei específica para concessão de reajuste remuneratório para servidores do poder legislativo. Período anterior ao advento da emenda constitucional 19/98. Desnecessidade. Não atendimento às regras do processo legislativo. Ausência de ato formal da mesa diretora deliberando sobre o aumento concedido. Usurpação de competência. Configuração. (...) A subtração, pelo Presidente da Assembleia Legislativa, das atribuições conferidas à Mesa Diretora sugere haver indevida usurpação de competência, em conflito com os</w:t>
      </w:r>
    </w:p>
    <w:p>
      <w:pPr>
        <w:ind w:left="288"/>
      </w:pPr>
      <w:r>
        <w:rPr>
          <w:b/>
          <w:color w:val="003CA0"/>
          <w:sz w:val="16"/>
        </w:rPr>
        <w:t>[ADPF 559, rel. min. Roberto Barroso, j. 13-6-2022, P, DJE de 23-6-2022.]</w:t>
      </w:r>
    </w:p>
    <w:p>
      <w:pPr>
        <w:ind w:left="288"/>
      </w:pPr>
      <w:r>
        <w:rPr>
          <w:color w:val="8C8C8C"/>
          <w:sz w:val="12"/>
        </w:rPr>
        <w:t>cf-art-37</w:t>
      </w:r>
      <w:r>
        <w:rPr>
          <w:color w:val="003CA0"/>
          <w:sz w:val="12"/>
        </w:rPr>
        <w:t xml:space="preserve"> | ADI 2.946</w:t>
      </w:r>
      <w:r>
        <w:rPr>
          <w:color w:val="003CA0"/>
          <w:sz w:val="12"/>
        </w:rPr>
        <w:t xml:space="preserve"> | rel. Dias Toffoli</w:t>
      </w:r>
    </w:p>
    <w:p>
      <w:pPr>
        <w:ind w:left="288"/>
      </w:pPr>
      <w:r>
        <w:rPr>
          <w:color w:val="1E1E1E"/>
          <w:sz w:val="18"/>
        </w:rPr>
        <w:t>Artigo 27, caput e § 1º, da Lei 8.987, de 13 de fevereiro de 1995, renumerado pela Lei 11.196/05. Transferência da concessão ou do controle societário da concessionária. (...) Em nosso sistema jurídico, o que interessa à Administração é, sobretudo, a seleção da proposta mais vantajosa, independentemente da identidade do particular contratado ou dos atributos psicológicos ou subjetivos de que disponha. Como regra geral, as características pessoais, subjetivas ou psicológicas são indiferentes para o Estado. No tocante ao particular contratado, basta que tenha comprovada capacidade para cumprir a</w:t>
      </w:r>
    </w:p>
    <w:p>
      <w:pPr>
        <w:ind w:left="288"/>
      </w:pPr>
      <w:r>
        <w:rPr>
          <w:b/>
          <w:color w:val="003CA0"/>
          <w:sz w:val="16"/>
        </w:rPr>
        <w:t>[ADI 2.946, rel. min. Dias Toffoli, j. 9-3-2022, P, DJE de 18-5-2022.]</w:t>
      </w:r>
    </w:p>
    <w:p>
      <w:pPr>
        <w:ind w:left="288"/>
      </w:pPr>
      <w:r>
        <w:rPr>
          <w:color w:val="8C8C8C"/>
          <w:sz w:val="12"/>
        </w:rPr>
        <w:t>cf-art-37</w:t>
      </w:r>
      <w:r>
        <w:rPr>
          <w:color w:val="003CA0"/>
          <w:sz w:val="12"/>
        </w:rPr>
        <w:t xml:space="preserve"> | ADI 5.371</w:t>
      </w:r>
      <w:r>
        <w:rPr>
          <w:color w:val="003CA0"/>
          <w:sz w:val="12"/>
        </w:rPr>
        <w:t xml:space="preserve"> | rel. Roberto Barroso</w:t>
      </w:r>
    </w:p>
    <w:p>
      <w:pPr>
        <w:ind w:left="288"/>
      </w:pPr>
      <w:r>
        <w:rPr>
          <w:color w:val="1E1E1E"/>
          <w:sz w:val="18"/>
        </w:rPr>
        <w:t>Os processos administrativos sancionadores instaurados por agências reguladoras contra concessionárias de serviço público devem obedecer ao princípio da publicidade durante toda a sua tramitação, ressalvados eventuais atos que se enquadrem nas hipóteses de sigilo previstas em lei e na Constituição.</w:t>
      </w:r>
    </w:p>
    <w:p>
      <w:pPr>
        <w:ind w:left="288"/>
      </w:pPr>
      <w:r>
        <w:rPr>
          <w:b/>
          <w:color w:val="003CA0"/>
          <w:sz w:val="16"/>
        </w:rPr>
        <w:t>[ADI 5.371, rel. min. Roberto Barroso, j. 2-3-2022, P, DJE de 31-3-2022.]</w:t>
      </w:r>
    </w:p>
    <w:p>
      <w:pPr>
        <w:ind w:left="288"/>
      </w:pPr>
      <w:r>
        <w:rPr>
          <w:color w:val="8C8C8C"/>
          <w:sz w:val="12"/>
        </w:rPr>
        <w:t>cf-art-37</w:t>
      </w:r>
      <w:r>
        <w:rPr>
          <w:color w:val="003CA0"/>
          <w:sz w:val="12"/>
        </w:rPr>
        <w:t xml:space="preserve"> | ADPF 368</w:t>
      </w:r>
      <w:r>
        <w:rPr>
          <w:color w:val="003CA0"/>
          <w:sz w:val="12"/>
        </w:rPr>
        <w:t xml:space="preserve"> | rel. Gilmar Mendes</w:t>
      </w:r>
    </w:p>
    <w:p>
      <w:pPr>
        <w:ind w:left="288"/>
      </w:pPr>
      <w:r>
        <w:rPr>
          <w:color w:val="1E1E1E"/>
          <w:sz w:val="18"/>
        </w:rPr>
        <w:t>Pensão por morte e por invalidez para os mandatos políticos municipais, beneficiando os ex-ocupantes dos cargos, seus cônjuges ou companheiros sobreviventes, bem como seus descendentes consanguíneos de 1° grau. (...) Os cargos políticos do Poder Legislativo e do Poder Executivo municipal têm caráter temporário e transitório, motivo pelo qual não se justifica a concessão de qualquer benefício a ex-ocupante do cargo de forma permanente, sob pena de afronta aos princípios da igualdade, da impessoalidade, da moralidade pública e da responsabilidade com gastos públicos. Não se revela compatível com</w:t>
      </w:r>
    </w:p>
    <w:p>
      <w:pPr>
        <w:ind w:left="288"/>
      </w:pPr>
      <w:r>
        <w:rPr>
          <w:b/>
          <w:color w:val="003CA0"/>
          <w:sz w:val="16"/>
        </w:rPr>
        <w:t>[ADPF 368, rel. min. Gilmar Mendes, j. 8-9-2021, P, DJE de 15-9-2021.]</w:t>
      </w:r>
    </w:p>
    <w:p>
      <w:pPr>
        <w:ind w:left="288"/>
      </w:pPr>
      <w:r>
        <w:rPr>
          <w:color w:val="8C8C8C"/>
          <w:sz w:val="12"/>
        </w:rPr>
        <w:t>cf-art-37</w:t>
      </w:r>
      <w:r>
        <w:rPr>
          <w:color w:val="003CA0"/>
          <w:sz w:val="12"/>
        </w:rPr>
        <w:t xml:space="preserve"> | ADPF 690</w:t>
      </w:r>
      <w:r>
        <w:rPr>
          <w:color w:val="003CA0"/>
          <w:sz w:val="12"/>
        </w:rPr>
        <w:t xml:space="preserve"> | rel. Alexandre de Moraes</w:t>
      </w:r>
    </w:p>
    <w:p>
      <w:pPr>
        <w:ind w:left="288"/>
      </w:pPr>
      <w:r>
        <w:rPr>
          <w:color w:val="1E1E1E"/>
          <w:sz w:val="18"/>
        </w:rPr>
        <w:t>A gravidade da emergência causada pela COVID-19 exige das autoridades brasileiras, em todos os níveis de governo, a efetivação concreta da proteção à saúde pública, com a adoção de todas as medidas possíveis para o apoio e manutenção das atividades do Sistema Único de Saúde, entre elas o fornecimento de todas as informações necessárias para o planejamento e o combate à pandemia. A interrupção abrupta da coleta e divulgação de informações epidemiológicas, imprescindíveis para a análise da série histórica de evolução da pandemia (COVID-19), caracteriza ofensa a preceitos fundamentais da Constitu</w:t>
      </w:r>
    </w:p>
    <w:p>
      <w:pPr>
        <w:ind w:left="288"/>
      </w:pPr>
      <w:r>
        <w:rPr>
          <w:b/>
          <w:color w:val="003CA0"/>
          <w:sz w:val="16"/>
        </w:rPr>
        <w:t>[ADPF 690, rel. min. Alexandre de Moraes, j. 15-3-2021, P, DJE de 15-4-2021.]</w:t>
      </w:r>
    </w:p>
    <w:p>
      <w:pPr>
        <w:ind w:left="288"/>
      </w:pPr>
      <w:r>
        <w:rPr>
          <w:color w:val="8C8C8C"/>
          <w:sz w:val="12"/>
        </w:rPr>
        <w:t>cf-art-37</w:t>
      </w:r>
      <w:r>
        <w:rPr>
          <w:color w:val="003CA0"/>
          <w:sz w:val="12"/>
        </w:rPr>
        <w:t xml:space="preserve"> | ADPF 754</w:t>
      </w:r>
      <w:r>
        <w:rPr>
          <w:color w:val="003CA0"/>
          <w:sz w:val="12"/>
        </w:rPr>
        <w:t xml:space="preserve"> | rel. Ricardo Lewandowski</w:t>
      </w:r>
    </w:p>
    <w:p>
      <w:pPr>
        <w:ind w:left="288"/>
      </w:pPr>
      <w:r>
        <w:rPr>
          <w:color w:val="1E1E1E"/>
          <w:sz w:val="18"/>
        </w:rPr>
        <w:t>Na 2ª edição Plano Nacional de Operacionalização da Vacinação contra a Covid-19 estabeleceu-se a população que será imunizada prioritariamente, sem, no entanto, detalhar adequadamente, dentro daquele universo de cerca de setenta e sete milhões de pessoas, qual a ordem de cada grupo de pessoas. O perigo decorrente da alegada omissão sobre a discriminação categorizada dos primeiros brasileiros a serem vacinados – uma vez que a quantidade de vacinas disponíveis até o momento em solo nacional é muito inferior ao número das pessoas incluídas como prioritárias –, é evidente, e compromete o dever con</w:t>
      </w:r>
    </w:p>
    <w:p>
      <w:pPr>
        <w:ind w:left="288"/>
      </w:pPr>
      <w:r>
        <w:rPr>
          <w:b/>
          <w:color w:val="003CA0"/>
          <w:sz w:val="16"/>
        </w:rPr>
        <w:t>[ADPF 754 TPI segunda REF, rel. min. Ricardo Lewandowski, j. 1º-3-2021, P, DJE de 11-3-2021.]</w:t>
      </w:r>
    </w:p>
    <w:p>
      <w:pPr>
        <w:ind w:left="288"/>
      </w:pPr>
      <w:r>
        <w:rPr>
          <w:color w:val="8C8C8C"/>
          <w:sz w:val="12"/>
        </w:rPr>
        <w:t>cf-art-37</w:t>
      </w:r>
      <w:r>
        <w:rPr>
          <w:color w:val="003CA0"/>
          <w:sz w:val="12"/>
        </w:rPr>
        <w:t xml:space="preserve"> | ADI 5.337</w:t>
      </w:r>
      <w:r>
        <w:rPr>
          <w:color w:val="003CA0"/>
          <w:sz w:val="12"/>
        </w:rPr>
        <w:t xml:space="preserve"> | rel. Luiz Fux</w:t>
      </w:r>
    </w:p>
    <w:p>
      <w:pPr>
        <w:ind w:left="288"/>
      </w:pPr>
      <w:r>
        <w:rPr>
          <w:color w:val="1E1E1E"/>
          <w:sz w:val="18"/>
        </w:rPr>
        <w:t>(...) são inconstitucionais os dispositivos impugnados, que permitem a transferência inter vivos ou causa mortis da outorga do serviço de táxi, na medida em que não passam pelo crivo da proporcionalidade, da isonomia, da impessoalidade e da eficiência administrativa, gerando, adicionalmente, potenciais efeitos econômicos e sociais perversos que não resistem a uma análise custo-benefício. (...) §§ 1º, 2º e 3º do artigo 12-A da Lei 12.587/2012, que institui as diretrizes da Política Nacional de Mobilidade Urbana, com a redação dada pela Lei 12.865/2013.</w:t>
      </w:r>
    </w:p>
    <w:p>
      <w:pPr>
        <w:ind w:left="288"/>
      </w:pPr>
      <w:r>
        <w:rPr>
          <w:b/>
          <w:color w:val="003CA0"/>
          <w:sz w:val="16"/>
        </w:rPr>
        <w:t>[ADI 5.337, rel. min. Luiz Fux, j. 1-3-2021, P, DJE de 25-3-2021]</w:t>
      </w:r>
    </w:p>
    <w:p>
      <w:pPr>
        <w:ind w:left="288"/>
      </w:pPr>
      <w:r>
        <w:rPr>
          <w:color w:val="8C8C8C"/>
          <w:sz w:val="12"/>
        </w:rPr>
        <w:t>cf-art-37</w:t>
      </w:r>
      <w:r>
        <w:rPr>
          <w:color w:val="003CA0"/>
          <w:sz w:val="12"/>
        </w:rPr>
        <w:t xml:space="preserve"> | ADI 5.358</w:t>
      </w:r>
    </w:p>
    <w:p>
      <w:pPr>
        <w:ind w:left="288"/>
      </w:pPr>
      <w:r>
        <w:rPr>
          <w:color w:val="1E1E1E"/>
          <w:sz w:val="18"/>
        </w:rPr>
        <w:t>É inconstitucional a fixação de critério de desempate em concursos públicos que favoreça candidatos que pertencem ao serviço público de um determinado ente federativo.</w:t>
      </w:r>
    </w:p>
    <w:p>
      <w:pPr>
        <w:ind w:left="288"/>
      </w:pPr>
      <w:r>
        <w:rPr>
          <w:b/>
          <w:color w:val="003CA0"/>
          <w:sz w:val="16"/>
        </w:rPr>
        <w:t>[ADI 5.358, rel. Roberto Barroso, j. 30-11-2020, P, DJE de 15-12-2020]</w:t>
      </w:r>
    </w:p>
    <w:p>
      <w:pPr>
        <w:ind w:left="288"/>
      </w:pPr>
      <w:r>
        <w:rPr>
          <w:color w:val="8C8C8C"/>
          <w:sz w:val="12"/>
        </w:rPr>
        <w:t>cf-art-37</w:t>
      </w:r>
      <w:r>
        <w:rPr>
          <w:color w:val="003CA0"/>
          <w:sz w:val="12"/>
        </w:rPr>
        <w:t xml:space="preserve"> | ADPF 509</w:t>
      </w:r>
      <w:r>
        <w:rPr>
          <w:color w:val="003CA0"/>
          <w:sz w:val="12"/>
        </w:rPr>
        <w:t xml:space="preserve"> | rel. Marco Aurélio</w:t>
      </w:r>
    </w:p>
    <w:p>
      <w:pPr>
        <w:ind w:left="288"/>
      </w:pPr>
      <w:r>
        <w:rPr>
          <w:color w:val="1E1E1E"/>
          <w:sz w:val="18"/>
        </w:rPr>
        <w:t>Princípio da publicidade. Descabe enquadrar, como sancionador, cadastro de empregadores, cuja finalidade é o acesso à informação, mediante publicização de política de combate ao trabalho escravo, considerado resultado de procedimento administrativo de interesse público.</w:t>
        <w:br/>
        <w:t xml:space="preserve">[ADPF 509, rel. min. Marco Aurélio, j. 16-9-2020, P, DJE de 5-10-2020.] Conflita com a Carta da República a permanência de ocupante de cargo comissionado nomeado em momento anterior à publicação da norma que implicou vedação ao nepotismo, ausente direito adquirido (...). Surge constitucional a nomeação ou designação de parente </w:t>
      </w:r>
    </w:p>
    <w:p>
      <w:pPr>
        <w:ind w:left="288"/>
      </w:pPr>
      <w:r>
        <w:rPr>
          <w:b/>
          <w:color w:val="003CA0"/>
          <w:sz w:val="16"/>
        </w:rPr>
        <w:t>[ADI 3.680, rel. min. Marco Aurélio, j. 18-8-2020, P, DJE de 6-10-2020.]</w:t>
      </w:r>
    </w:p>
    <w:p>
      <w:pPr>
        <w:ind w:left="288"/>
      </w:pPr>
      <w:r>
        <w:rPr>
          <w:color w:val="8C8C8C"/>
          <w:sz w:val="12"/>
        </w:rPr>
        <w:t>cf-art-37</w:t>
      </w:r>
      <w:r>
        <w:rPr>
          <w:color w:val="003CA0"/>
          <w:sz w:val="12"/>
        </w:rPr>
        <w:t xml:space="preserve"> | ADI 2.821</w:t>
      </w:r>
      <w:r>
        <w:rPr>
          <w:color w:val="003CA0"/>
          <w:sz w:val="12"/>
        </w:rPr>
        <w:t xml:space="preserve"> | rel. Alexandre de Moraes</w:t>
      </w:r>
    </w:p>
    <w:p>
      <w:pPr>
        <w:ind w:left="288"/>
      </w:pPr>
      <w:r>
        <w:rPr>
          <w:color w:val="1E1E1E"/>
          <w:sz w:val="18"/>
        </w:rPr>
        <w:t>A ausência de critérios mínimos e razoáveis para concessão do benefício, especialmente a incorporação da vantagem, decorrente da continuidade do pagamento após o exercício da função, caracteriza concessão graciosa de vantagem remuneratória e, consequentemente, privilégio injustificado, que, além de não atender ao interesse público, é inconciliável com o ideal republicano e a moralidade (arts. 1º e 37 caput, ambos da CF).</w:t>
      </w:r>
    </w:p>
    <w:p>
      <w:pPr>
        <w:ind w:left="288"/>
      </w:pPr>
      <w:r>
        <w:rPr>
          <w:b/>
          <w:color w:val="003CA0"/>
          <w:sz w:val="16"/>
        </w:rPr>
        <w:t>[ADI 2.821, rel. min. Alexandre de Moraes, j. 20-12-2019, P, DJE de 26-2-2020.]</w:t>
      </w:r>
    </w:p>
    <w:p>
      <w:pPr>
        <w:ind w:left="288"/>
      </w:pPr>
      <w:r>
        <w:rPr>
          <w:color w:val="8C8C8C"/>
          <w:sz w:val="12"/>
        </w:rPr>
        <w:t>cf-art-37</w:t>
      </w:r>
      <w:r>
        <w:rPr>
          <w:color w:val="003CA0"/>
          <w:sz w:val="12"/>
        </w:rPr>
        <w:t xml:space="preserve"> | ADPF 129</w:t>
      </w:r>
      <w:r>
        <w:rPr>
          <w:color w:val="003CA0"/>
          <w:sz w:val="12"/>
        </w:rPr>
        <w:t xml:space="preserve"> | rel. Edson Fachin</w:t>
      </w:r>
    </w:p>
    <w:p>
      <w:pPr>
        <w:ind w:left="288"/>
      </w:pPr>
      <w:r>
        <w:rPr>
          <w:color w:val="1E1E1E"/>
          <w:sz w:val="18"/>
        </w:rPr>
        <w:t>Art. 86 do Decreto-lei 200/1967, que prevê o sigilo da movimentação dos créditos destinados à realização de despesas reservadas ou confidenciais. Não Recepção pela Constituição de 1988. (...) O Princípio de Publicidade dos Atos da Administração Pública caracteriza-se como preceito fundamental para fins de cabimento de Arguição de Descumprimento de Preceito Fundamental. O Estado Democrático de Direito instaurado pela Constituição de 1988 estabeleceu, como regra, a publicidade das informações referentes às despesas públicas, prescrevendo o sigilo como exceção, apenas quando imprescindível à segu</w:t>
      </w:r>
    </w:p>
    <w:p>
      <w:pPr>
        <w:ind w:left="288"/>
      </w:pPr>
      <w:r>
        <w:rPr>
          <w:b/>
          <w:color w:val="003CA0"/>
          <w:sz w:val="16"/>
        </w:rPr>
        <w:t>[ADPF 129, rel. min. Edson Fachin, j. 5-11-2019, P, DJE de 9-12-2019.]</w:t>
      </w:r>
    </w:p>
    <w:p>
      <w:pPr>
        <w:ind w:left="288"/>
      </w:pPr>
      <w:r>
        <w:rPr>
          <w:color w:val="8C8C8C"/>
          <w:sz w:val="12"/>
        </w:rPr>
        <w:t>cf-art-37</w:t>
      </w:r>
      <w:r>
        <w:rPr>
          <w:color w:val="003CA0"/>
          <w:sz w:val="12"/>
        </w:rPr>
        <w:t xml:space="preserve"> | ADI 5.346</w:t>
      </w:r>
      <w:r>
        <w:rPr>
          <w:color w:val="003CA0"/>
          <w:sz w:val="12"/>
        </w:rPr>
        <w:t xml:space="preserve"> | rel. Alexandre de Moraes</w:t>
      </w:r>
    </w:p>
    <w:p>
      <w:pPr>
        <w:ind w:left="288"/>
      </w:pPr>
      <w:r>
        <w:rPr>
          <w:color w:val="1E1E1E"/>
          <w:sz w:val="18"/>
        </w:rPr>
        <w:t>Lei 13.219/2014 do Estado da Bahia, que concede a ex-governadores, em caráter vitalício, o direito a serviços de segurança e motorista, prestados pela administração pública estadual. (...) A Jurisprudência do STF é firme quanto à inconstitucionalidade de leis estaduais e locais que concedem benefícios em caráter gracioso e vitalício a ex-agentes públicos, com fundamento nos princípios republicano, isonômico e da moralidade administrativa. (...) No caso, a norma impugnada não prevê o pagamento de benefício pecuniário, mas a disponibilização de serviços relacionados à preservação da incolumidade</w:t>
      </w:r>
    </w:p>
    <w:p>
      <w:pPr>
        <w:ind w:left="288"/>
      </w:pPr>
      <w:r>
        <w:rPr>
          <w:b/>
          <w:color w:val="003CA0"/>
          <w:sz w:val="16"/>
        </w:rPr>
        <w:t>[ADI 5.346, rel. min. Alexandre de Moraes, j. 18-10-2019, P, DJE de 6-11-2019.]</w:t>
      </w:r>
    </w:p>
    <w:p>
      <w:pPr>
        <w:ind w:left="288"/>
      </w:pPr>
      <w:r>
        <w:rPr>
          <w:color w:val="8C8C8C"/>
          <w:sz w:val="12"/>
        </w:rPr>
        <w:t>cf-art-37</w:t>
      </w:r>
      <w:r>
        <w:rPr>
          <w:color w:val="003CA0"/>
          <w:sz w:val="12"/>
        </w:rPr>
        <w:t xml:space="preserve"> | ADPF 310</w:t>
      </w:r>
      <w:r>
        <w:rPr>
          <w:color w:val="003CA0"/>
          <w:sz w:val="12"/>
        </w:rPr>
        <w:t xml:space="preserve"> | rel. Alexandre de Moraes</w:t>
      </w:r>
    </w:p>
    <w:p>
      <w:pPr>
        <w:ind w:left="288"/>
      </w:pPr>
      <w:r>
        <w:rPr>
          <w:color w:val="1E1E1E"/>
          <w:sz w:val="18"/>
        </w:rPr>
        <w:t>O art. 95, parágrafo único, V, da Constituição Federal estabelece um importante padrão de moralidade pública, visando a coibir situações de conflito de interesses que possam ameaçar a credibilidade do Poder Judiciário. Embora a aplicação dessas vedações pressuponha uma margem de valoração sobre os comandos contidos no art. 95 da CF, não é possível acrescentar a eles elementos normativos estranhos, principalmente no que se refere ao seu alcance subjetivo, pois o estatuto pessoal dos ocupantes da magistratura não pode ser aplicado a terceiros sem vínculo com a atividade judicante, sob pena de vi</w:t>
      </w:r>
    </w:p>
    <w:p>
      <w:pPr>
        <w:ind w:left="288"/>
      </w:pPr>
      <w:r>
        <w:rPr>
          <w:b/>
          <w:color w:val="003CA0"/>
          <w:sz w:val="16"/>
        </w:rPr>
        <w:t>[ADPF 310, rel. min. Alexandre de Moraes, j. 18-10-2019, P, DJE de 27-2-2020.]</w:t>
      </w:r>
    </w:p>
    <w:p>
      <w:pPr>
        <w:ind w:left="288"/>
      </w:pPr>
      <w:r>
        <w:rPr>
          <w:color w:val="8C8C8C"/>
          <w:sz w:val="12"/>
        </w:rPr>
        <w:t>cf-art-37</w:t>
      </w:r>
      <w:r>
        <w:rPr>
          <w:color w:val="003CA0"/>
          <w:sz w:val="12"/>
        </w:rPr>
        <w:t xml:space="preserve"> | ADI 3.094</w:t>
      </w:r>
      <w:r>
        <w:rPr>
          <w:color w:val="003CA0"/>
          <w:sz w:val="12"/>
        </w:rPr>
        <w:t xml:space="preserve"> | rel. Edson Fachin</w:t>
      </w:r>
    </w:p>
    <w:p>
      <w:pPr>
        <w:ind w:left="288"/>
      </w:pPr>
      <w:r>
        <w:rPr>
          <w:color w:val="1E1E1E"/>
          <w:sz w:val="18"/>
        </w:rPr>
        <w:t>A vedação ao nepotismo na Administração Pública decorre diretamente da Constituição Federal e sua aplicação deve ser imediata e verticalizada. Viola os princípios da moralidade, impessoalidade e isonomia diploma legal que excepciona da vedação ao nepotismo os servidores que estivessem no exercício do cargo no momento de sua edição.</w:t>
      </w:r>
    </w:p>
    <w:p>
      <w:pPr>
        <w:ind w:left="288"/>
      </w:pPr>
      <w:r>
        <w:rPr>
          <w:b/>
          <w:color w:val="003CA0"/>
          <w:sz w:val="16"/>
        </w:rPr>
        <w:t>[ADI 3.094, rel. min. Edson Fachin, j. 27-9-2019, P, DJE de 15-10-2019.]</w:t>
      </w:r>
    </w:p>
    <w:p>
      <w:pPr>
        <w:ind w:left="288"/>
      </w:pPr>
      <w:r>
        <w:rPr>
          <w:color w:val="8C8C8C"/>
          <w:sz w:val="12"/>
        </w:rPr>
        <w:t>cf-art-37</w:t>
      </w:r>
      <w:r>
        <w:rPr>
          <w:color w:val="003CA0"/>
          <w:sz w:val="12"/>
        </w:rPr>
        <w:t xml:space="preserve"> | ADI 3.367</w:t>
      </w:r>
      <w:r>
        <w:rPr>
          <w:color w:val="003CA0"/>
          <w:sz w:val="12"/>
        </w:rPr>
        <w:t xml:space="preserve"> | rel. Cármen Lúcia</w:t>
      </w:r>
    </w:p>
    <w:p>
      <w:pPr>
        <w:ind w:left="288"/>
      </w:pPr>
      <w:r>
        <w:rPr>
          <w:color w:val="1E1E1E"/>
          <w:sz w:val="18"/>
        </w:rPr>
        <w:t>O inciso I do art. 6º da Resolução 146/2012 do CNJ estabelece que "o cargo ocupado somente poderá ser redistribuído se o servidor preencher cumulativamente os seguintes requisitos: I – tempo mínimo de 36 meses de exercício no cargo a ser redistribuído". A jurisprudência do STF assentou a competência do CNJ para regulamentar questões afetas ao aprimoramento da gestão do Poder Judiciário (ADI 3.367 e ADC 12). A redistribuição de cargos deve atender aos interesses da administração pública e observar os princípios da impessoalidade, da moralidade, da eficiência e do concurso público. A exigência d</w:t>
      </w:r>
    </w:p>
    <w:p>
      <w:pPr>
        <w:ind w:left="288"/>
      </w:pPr>
      <w:r>
        <w:rPr>
          <w:b/>
          <w:color w:val="003CA0"/>
          <w:sz w:val="16"/>
        </w:rPr>
        <w:t>[ADI 4.938, rel. min. Cármen Lúcia, j. 26-4-2018, P, DJE de 6-8-2018.]</w:t>
      </w:r>
    </w:p>
    <w:p>
      <w:pPr>
        <w:ind w:left="288"/>
      </w:pPr>
      <w:r>
        <w:rPr>
          <w:color w:val="8C8C8C"/>
          <w:sz w:val="12"/>
        </w:rPr>
        <w:t>cf-art-37</w:t>
      </w:r>
      <w:r>
        <w:rPr>
          <w:color w:val="003CA0"/>
          <w:sz w:val="12"/>
        </w:rPr>
        <w:t xml:space="preserve"> | ADI 4.259</w:t>
      </w:r>
      <w:r>
        <w:rPr>
          <w:color w:val="003CA0"/>
          <w:sz w:val="12"/>
        </w:rPr>
        <w:t xml:space="preserve"> | rel. Edson Fachin</w:t>
      </w:r>
    </w:p>
    <w:p>
      <w:pPr>
        <w:ind w:left="288"/>
      </w:pPr>
      <w:r>
        <w:rPr>
          <w:color w:val="1E1E1E"/>
          <w:sz w:val="18"/>
        </w:rPr>
        <w:t xml:space="preserve">Incentivo fiscal. Esportes. Automobilismo. Igualdade tributária. Privilégio injustificado. Impessoalidade. Lei 8.736/2009 do Estado da Paraíba. Programa Acelera Paraíba. (...) A Lei estadual 8.736/2009 singulariza de tal modo os beneficiários que apenas uma única pessoa se beneficiaria com mais de 75% dos valores destinados ao programa de incentivo fiscal, o que representa evidente violação aos princípios da igualdade e da impessoalidade. A simples fixação de condições formais para a concessão de benefício fiscal não exime o instrumento normativo de resguardar o tratamento isonômico no que se </w:t>
      </w:r>
    </w:p>
    <w:p>
      <w:pPr>
        <w:ind w:left="288"/>
      </w:pPr>
      <w:r>
        <w:rPr>
          <w:b/>
          <w:color w:val="003CA0"/>
          <w:sz w:val="16"/>
        </w:rPr>
        <w:t>[ADI 4.259, rel. min. Edson Fachin, j. 3-3-2016, P, DJE de 16-3-2016.]</w:t>
      </w:r>
    </w:p>
    <w:p>
      <w:pPr>
        <w:ind w:left="288"/>
      </w:pPr>
      <w:r>
        <w:rPr>
          <w:color w:val="8C8C8C"/>
          <w:sz w:val="12"/>
        </w:rPr>
        <w:t>cf-art-37</w:t>
      </w:r>
      <w:r>
        <w:rPr>
          <w:color w:val="003CA0"/>
          <w:sz w:val="12"/>
        </w:rPr>
        <w:t xml:space="preserve"> | ADPF 378</w:t>
      </w:r>
    </w:p>
    <w:p>
      <w:pPr>
        <w:ind w:left="288"/>
      </w:pPr>
      <w:r>
        <w:rPr>
          <w:color w:val="1E1E1E"/>
          <w:sz w:val="18"/>
        </w:rPr>
        <w:t>No impeachment, todas as votações devem ser abertas, de modo a permitir maior transparência, controle dos representantes e legitimação do processo. No silêncio da Constituição, da Lei 1.079/1950 e do Regimento Interno sobre a forma de votação, não é admissível que o presidente da Câmara dos Deputados possa, por decisão unipessoal e discricionária, estender hipótese inespecífica de votação secreta prevista no RICD [Regimento Interno da Câmara dos Deputados], por analogia, à eleição para a Comissão Especial de impeachment. Em uma democracia, a regra é a publicidade das votações. O escrutínio sec</w:t>
      </w:r>
    </w:p>
    <w:p>
      <w:pPr>
        <w:ind w:left="288"/>
      </w:pPr>
      <w:r>
        <w:rPr>
          <w:b/>
          <w:color w:val="003CA0"/>
          <w:sz w:val="16"/>
        </w:rPr>
        <w:t>[ADPF 378 MC, red. do ac. min. Roberto Barroso, j. 16-12-2015, P, DJE de 8-3-2016.]</w:t>
      </w:r>
    </w:p>
    <w:p>
      <w:pPr>
        <w:ind w:left="288"/>
      </w:pPr>
      <w:r>
        <w:rPr>
          <w:color w:val="8C8C8C"/>
          <w:sz w:val="12"/>
        </w:rPr>
        <w:t>cf-art-37</w:t>
      </w:r>
      <w:r>
        <w:rPr>
          <w:color w:val="003CA0"/>
          <w:sz w:val="12"/>
        </w:rPr>
        <w:t xml:space="preserve"> | ADI 524</w:t>
      </w:r>
    </w:p>
    <w:p>
      <w:pPr>
        <w:ind w:left="288"/>
      </w:pPr>
      <w:r>
        <w:rPr>
          <w:color w:val="1E1E1E"/>
          <w:sz w:val="18"/>
        </w:rPr>
        <w:t>Servidor público. Nepotismo. Vedação ao exercício de funções sob a direção imediata de cônjuge ou parente até o segundo grau civil. Violação ao inciso II do art. 37 da CF e ao princípio da isonomia. Inexistência. Proibição que decorre do caput do art. 37 da CF. Procedência parcial para emprestar interpretação conforme a Constituição. Incidência exclusiva sobre cargos de provimento em comissão, função gratificada e cargos e direção e assessoramento.</w:t>
      </w:r>
    </w:p>
    <w:p>
      <w:pPr>
        <w:ind w:left="288"/>
      </w:pPr>
      <w:r>
        <w:rPr>
          <w:b/>
          <w:color w:val="003CA0"/>
          <w:sz w:val="16"/>
        </w:rPr>
        <w:t>[ADI 524, red. do ac. min. Ricardo Lewandowski, j. 20-5-2015, P, DJE de 3-8-2015.]</w:t>
      </w:r>
    </w:p>
    <w:p>
      <w:pPr>
        <w:ind w:left="288"/>
      </w:pPr>
      <w:r>
        <w:rPr>
          <w:color w:val="8C8C8C"/>
          <w:sz w:val="12"/>
        </w:rPr>
        <w:t>cf-art-37</w:t>
      </w:r>
      <w:r>
        <w:rPr>
          <w:color w:val="003CA0"/>
          <w:sz w:val="12"/>
        </w:rPr>
        <w:t xml:space="preserve"> | ADI 4.180</w:t>
      </w:r>
      <w:r>
        <w:rPr>
          <w:color w:val="003CA0"/>
          <w:sz w:val="12"/>
        </w:rPr>
        <w:t xml:space="preserve"> | rel. Gilmar Mendes</w:t>
      </w:r>
    </w:p>
    <w:p>
      <w:pPr>
        <w:ind w:left="288"/>
      </w:pPr>
      <w:r>
        <w:rPr>
          <w:color w:val="1E1E1E"/>
          <w:sz w:val="18"/>
        </w:rPr>
        <w:t xml:space="preserve">(...) o art. 2º da Lei distrital 3.189/2003, ao exigir a destinação de verba pública ao custeio de evento particular, com fins lucrativos, sem a necessária contrapartida (...), desatende ao princípio republicano e à impessoalidade administrativa. Como bem afirmou o advogado-geral da União, "a destinação de verbas públicas para o custeio de evento cultural tipicamente privado, sem amparo no regime jurídico-administrativo, traduz-se em favorecimento a segmento social determinado, incompatível, portanto, com o interesse público e com os preceitos constitucionais da impessoalidade e da moralidade </w:t>
      </w:r>
    </w:p>
    <w:p>
      <w:pPr>
        <w:ind w:left="288"/>
      </w:pPr>
      <w:r>
        <w:rPr>
          <w:b/>
          <w:color w:val="003CA0"/>
          <w:sz w:val="16"/>
        </w:rPr>
        <w:t>[ADI 4.180, voto do rel. min. Gilmar Mendes, j. 11-9-2014, P, DJE de 7-10-2014.]</w:t>
      </w:r>
    </w:p>
    <w:p>
      <w:pPr>
        <w:ind w:left="288"/>
      </w:pPr>
      <w:r>
        <w:rPr>
          <w:color w:val="8C8C8C"/>
          <w:sz w:val="12"/>
        </w:rPr>
        <w:t>cf-art-37</w:t>
      </w:r>
      <w:r>
        <w:rPr>
          <w:color w:val="003CA0"/>
          <w:sz w:val="12"/>
        </w:rPr>
        <w:t xml:space="preserve"> | ADI 3.745</w:t>
      </w:r>
      <w:r>
        <w:rPr>
          <w:color w:val="003CA0"/>
          <w:sz w:val="12"/>
        </w:rPr>
        <w:t xml:space="preserve"> | rel. Dias Toffoli</w:t>
      </w:r>
    </w:p>
    <w:p>
      <w:pPr>
        <w:ind w:left="288"/>
      </w:pPr>
      <w:r>
        <w:rPr>
          <w:color w:val="1E1E1E"/>
          <w:sz w:val="18"/>
        </w:rPr>
        <w:t>Parágrafo único do art. 1º da Lei 13.145/1997 do Estado de Goiás. Criação de exceções ao óbice da prática de atos de nepotismo. Vício material. Ofensa aos princípios da impessoalidade, da eficiência, da igualdade e da moralidade. (...) A previsão impugnada, ao permitir (excepcionar), relativamente a cargos em comissão ou funções gratificadas, a nomeação, a admissão ou a permanência de até dois parentes das autoridades mencionadas no caput do art. 1º da Lei estadual 13.145/1997 e do cônjuge do chefe do Poder Executivo, além de subverter o intuito moralizador inicial da norma, ofende irremediave</w:t>
      </w:r>
    </w:p>
    <w:p>
      <w:pPr>
        <w:ind w:left="288"/>
      </w:pPr>
      <w:r>
        <w:rPr>
          <w:b/>
          <w:color w:val="003CA0"/>
          <w:sz w:val="16"/>
        </w:rPr>
        <w:t>[ADI 2.198, rel. min. Dias Toffoli, j. 11-4-2013, P, DJE de 19-8-2013.]</w:t>
      </w:r>
    </w:p>
    <w:p>
      <w:pPr>
        <w:ind w:left="288"/>
      </w:pPr>
      <w:r>
        <w:rPr>
          <w:color w:val="8C8C8C"/>
          <w:sz w:val="12"/>
        </w:rPr>
        <w:t>cf-art-37</w:t>
      </w:r>
      <w:r>
        <w:rPr>
          <w:color w:val="003CA0"/>
          <w:sz w:val="12"/>
        </w:rPr>
        <w:t xml:space="preserve"> | ADI 3.795</w:t>
      </w:r>
      <w:r>
        <w:rPr>
          <w:color w:val="003CA0"/>
          <w:sz w:val="12"/>
        </w:rPr>
        <w:t xml:space="preserve"> | rel. Ayres Britto</w:t>
      </w:r>
    </w:p>
    <w:p>
      <w:pPr>
        <w:ind w:left="288"/>
      </w:pPr>
      <w:r>
        <w:rPr>
          <w:color w:val="1E1E1E"/>
          <w:sz w:val="18"/>
        </w:rPr>
        <w:t>Art. 4º da Lei 3.769, de 26 de janeiro de 2006, que veda a realização de processo seletivo para o recrutamento de estagiários pelos órgãos e entidades do poder público do Distrito Federal. Violação aos princípios da igualdade (art. 5º, caput) e da impessoalidade (caput do art. 37).</w:t>
      </w:r>
    </w:p>
    <w:p>
      <w:pPr>
        <w:ind w:left="288"/>
      </w:pPr>
      <w:r>
        <w:rPr>
          <w:b/>
          <w:color w:val="003CA0"/>
          <w:sz w:val="16"/>
        </w:rPr>
        <w:t>[ADI 3.795, rel. min. Ayres Britto, j. 24-2-2011, P, DJE de 16-6-2011.]</w:t>
      </w:r>
    </w:p>
    <w:p>
      <w:pPr>
        <w:ind w:left="288"/>
      </w:pPr>
      <w:r>
        <w:rPr>
          <w:color w:val="8C8C8C"/>
          <w:sz w:val="12"/>
        </w:rPr>
        <w:t>cf-art-37</w:t>
      </w:r>
      <w:r>
        <w:rPr>
          <w:color w:val="003CA0"/>
          <w:sz w:val="12"/>
        </w:rPr>
        <w:t xml:space="preserve"> | ADC 12</w:t>
      </w:r>
      <w:r>
        <w:rPr>
          <w:color w:val="003CA0"/>
          <w:sz w:val="12"/>
        </w:rPr>
        <w:t xml:space="preserve"> | rel. Ayres Britto</w:t>
      </w:r>
    </w:p>
    <w:p>
      <w:pPr>
        <w:ind w:left="288"/>
      </w:pPr>
      <w:r>
        <w:rPr>
          <w:color w:val="1E1E1E"/>
          <w:sz w:val="18"/>
        </w:rPr>
        <w:t>Ato normativo que "disciplina o exercício de cargos, empregos e funções por parentes, cônjuges e companheiros de magistrados e de servidores investidos em cargos de direção e assessoramento, no âmbito dos órgãos do Poder Judiciário e dá outras providências". (...) 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w:t>
      </w:r>
    </w:p>
    <w:p>
      <w:pPr>
        <w:ind w:left="288"/>
      </w:pPr>
      <w:r>
        <w:rPr>
          <w:b/>
          <w:color w:val="003CA0"/>
          <w:sz w:val="16"/>
        </w:rPr>
        <w:t>[ADC 12, rel. min. Ayres Britto, j. 20-8-2008, P, DJE de 18-12-2009.]</w:t>
      </w:r>
    </w:p>
    <w:p>
      <w:pPr>
        <w:ind w:left="288"/>
      </w:pPr>
      <w:r>
        <w:rPr>
          <w:color w:val="8C8C8C"/>
          <w:sz w:val="12"/>
        </w:rPr>
        <w:t>cf-art-37</w:t>
      </w:r>
      <w:r>
        <w:rPr>
          <w:color w:val="003CA0"/>
          <w:sz w:val="12"/>
        </w:rPr>
        <w:t xml:space="preserve"> | ADC 12</w:t>
      </w:r>
      <w:r>
        <w:rPr>
          <w:color w:val="003CA0"/>
          <w:sz w:val="12"/>
        </w:rPr>
        <w:t xml:space="preserve"> | rel. Ayres Britto</w:t>
      </w:r>
    </w:p>
    <w:p>
      <w:pPr>
        <w:ind w:left="288"/>
      </w:pPr>
      <w:r>
        <w:rPr>
          <w:color w:val="1E1E1E"/>
          <w:sz w:val="18"/>
        </w:rPr>
        <w:t>Ato normativo que "disciplina o exercício de cargos, empregos e funções por parentes, cônjuges e companheiros de magistrados e de servidores investidos em cargos de direção e assessoramento, no âmbito dos órgãos do Poder Judiciário e dá outras providências". (...) 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w:t>
      </w:r>
    </w:p>
    <w:p>
      <w:pPr>
        <w:ind w:left="288"/>
      </w:pPr>
      <w:r>
        <w:rPr>
          <w:b/>
          <w:color w:val="003CA0"/>
          <w:sz w:val="16"/>
        </w:rPr>
        <w:t>[ADC 12, rel. min. Ayres Britto, j. 20-8-2008, P, DJE de 18-12-2009.]</w:t>
      </w:r>
    </w:p>
    <w:p>
      <w:pPr>
        <w:ind w:left="288"/>
      </w:pPr>
      <w:r>
        <w:rPr>
          <w:color w:val="8C8C8C"/>
          <w:sz w:val="12"/>
        </w:rPr>
        <w:t>cf-art-37</w:t>
      </w:r>
      <w:r>
        <w:rPr>
          <w:color w:val="003CA0"/>
          <w:sz w:val="12"/>
        </w:rPr>
        <w:t xml:space="preserve"> | ADI 3.496</w:t>
      </w:r>
      <w:r>
        <w:rPr>
          <w:color w:val="003CA0"/>
          <w:sz w:val="12"/>
        </w:rPr>
        <w:t xml:space="preserve"> | rel. Nunes Marques</w:t>
      </w:r>
    </w:p>
    <w:p>
      <w:pPr>
        <w:ind w:left="288"/>
      </w:pPr>
      <w:r>
        <w:rPr>
          <w:color w:val="1E1E1E"/>
          <w:sz w:val="18"/>
        </w:rPr>
        <w:t>Vide ADI 3.496, rel. min. Nunes Marques, j. 13.10.2025, P, DJE de 12.11.2025 Segundo a nova redação acrescentada ao ADCT da Constituição de Mato Grosso do Sul, introduzida pela EC 35/2006, os ex-governadores sul-mato-grossenses que exerceram mandato integral, em "caráter permanente", receberiam subsídio mensal e vitalício, igual ao percebido pelo governador do Estado. Previsão de que esse benefício seria transferido ao cônjuge supérstite, reduzido à metade do valor devido ao titular. No vigente ordenamento republicano e democrático brasileiro, os cargos políticos de chefia do Poder Executivo n</w:t>
      </w:r>
    </w:p>
    <w:p>
      <w:pPr>
        <w:ind w:left="288"/>
      </w:pPr>
      <w:r>
        <w:rPr>
          <w:b/>
          <w:color w:val="003CA0"/>
          <w:sz w:val="16"/>
        </w:rPr>
        <w:t>[ADI 3.853, rel. min. Cármen Lúcia, j. 12-9-2007, P, DJ de 26-10-2007.]</w:t>
      </w:r>
    </w:p>
    <w:p>
      <w:pPr>
        <w:ind w:left="288"/>
      </w:pPr>
      <w:r>
        <w:rPr>
          <w:color w:val="8C8C8C"/>
          <w:sz w:val="12"/>
        </w:rPr>
        <w:t>cf-art-37</w:t>
      </w:r>
      <w:r>
        <w:rPr>
          <w:color w:val="003CA0"/>
          <w:sz w:val="12"/>
        </w:rPr>
        <w:t xml:space="preserve"> | ADPF 745</w:t>
      </w:r>
      <w:r>
        <w:rPr>
          <w:color w:val="003CA0"/>
          <w:sz w:val="12"/>
        </w:rPr>
        <w:t xml:space="preserve"> | rel. Cármen Lúcia</w:t>
      </w:r>
    </w:p>
    <w:p>
      <w:pPr>
        <w:ind w:left="288"/>
      </w:pPr>
      <w:r>
        <w:rPr>
          <w:color w:val="1E1E1E"/>
          <w:sz w:val="18"/>
        </w:rPr>
        <w:t>= [ADPF 745, rel. min. Cármen Lúcia, j. 18-10-2023, P, DJE de 7-12-2023.] Princípio da moralidade. Ética da legalidade e moralidade. Confinamento do princípio da moralidade ao âmbito da ética da legalidade, que não pode ser ultrapassada, sob pena de dissolução do próprio sistema.</w:t>
      </w:r>
    </w:p>
    <w:p>
      <w:pPr>
        <w:ind w:left="288"/>
      </w:pPr>
      <w:r>
        <w:rPr>
          <w:b/>
          <w:color w:val="003CA0"/>
          <w:sz w:val="16"/>
        </w:rPr>
        <w:t>[ADI 3.026, rel. min. Eros Grau, j. 8-6-2006, P, DJ de 29-9-2006.]</w:t>
      </w:r>
    </w:p>
    <w:p>
      <w:pPr>
        <w:ind w:left="288"/>
      </w:pPr>
      <w:r>
        <w:rPr>
          <w:color w:val="8C8C8C"/>
          <w:sz w:val="12"/>
        </w:rPr>
        <w:t>cf-art-37</w:t>
      </w:r>
      <w:r>
        <w:rPr>
          <w:color w:val="003CA0"/>
          <w:sz w:val="12"/>
        </w:rPr>
        <w:t xml:space="preserve"> | ADI 2.472</w:t>
      </w:r>
      <w:r>
        <w:rPr>
          <w:color w:val="003CA0"/>
          <w:sz w:val="12"/>
        </w:rPr>
        <w:t xml:space="preserve"> | rel. Maurício Corrêa</w:t>
      </w:r>
    </w:p>
    <w:p>
      <w:pPr>
        <w:ind w:left="288"/>
      </w:pPr>
      <w:r>
        <w:rPr>
          <w:color w:val="1E1E1E"/>
          <w:sz w:val="18"/>
        </w:rPr>
        <w:t>Administração pública. Princípios. Extensão. Surgindo, no ato normativo abstrato, a óptica, assentada em princípio básico da administração pública, de observância apenas em relação ao Executivo, tem-se a lei como a conflitar com a razoabilidade.</w:t>
      </w:r>
    </w:p>
    <w:p>
      <w:pPr>
        <w:ind w:left="288"/>
      </w:pPr>
      <w:r>
        <w:rPr>
          <w:b/>
          <w:color w:val="003CA0"/>
          <w:sz w:val="16"/>
        </w:rPr>
        <w:t>[ADI 2.472, red. do ac. min. Marco Aurélio, rel. min. Maurício Corrêa, j. 1º-4-2004, P, DJ de 9-3-2007.]</w:t>
      </w:r>
    </w:p>
    <w:p>
      <w:pPr>
        <w:ind w:left="288"/>
      </w:pPr>
      <w:r>
        <w:rPr>
          <w:color w:val="8C8C8C"/>
          <w:sz w:val="12"/>
        </w:rPr>
        <w:t>cf-art-37</w:t>
      </w:r>
      <w:r>
        <w:rPr>
          <w:color w:val="003CA0"/>
          <w:sz w:val="12"/>
        </w:rPr>
        <w:t xml:space="preserve"> | ADI 2.661</w:t>
      </w:r>
      <w:r>
        <w:rPr>
          <w:color w:val="003CA0"/>
          <w:sz w:val="12"/>
        </w:rPr>
        <w:t xml:space="preserve"> | rel. Celso de Mello</w:t>
      </w:r>
    </w:p>
    <w:p>
      <w:pPr>
        <w:ind w:left="288"/>
      </w:pPr>
      <w:r>
        <w:rPr>
          <w:color w:val="1E1E1E"/>
          <w:sz w:val="18"/>
        </w:rPr>
        <w:t>O princípio da moralidade administrativa – enquanto valor constitucional revestido de caráter ético-jurídico – condiciona a legitimidade e a validade dos atos estatais. A atividade estatal, qualquer que seja o domínio institucional de sua incidência, está necessariamente subordinada à observância de parâmetros ético-jurídicos que se refletem na consagração constitucional do princípio da moralidade administrativa. Esse postulado fundamental, que rege a atuação do poder público, confere substância e dá expressão a uma pauta de valores éticos sobre os quais se funda a ordem positiva do Estado.</w:t>
      </w:r>
    </w:p>
    <w:p>
      <w:pPr>
        <w:ind w:left="288"/>
      </w:pPr>
      <w:r>
        <w:rPr>
          <w:b/>
          <w:color w:val="003CA0"/>
          <w:sz w:val="16"/>
        </w:rPr>
        <w:t>[ADI 2.661 MC, rel. min. Celso de Mello, j. 5-6-2002, P, DJ de 23-8-2002.]</w:t>
      </w:r>
    </w:p>
    <w:p>
      <w:pPr>
        <w:ind w:left="288"/>
      </w:pPr>
      <w:r>
        <w:rPr>
          <w:color w:val="8C8C8C"/>
          <w:sz w:val="12"/>
        </w:rPr>
        <w:t>cf-art-37</w:t>
      </w:r>
      <w:r>
        <w:rPr>
          <w:color w:val="003CA0"/>
          <w:sz w:val="12"/>
        </w:rPr>
        <w:t xml:space="preserve"> | ADI 2.206</w:t>
      </w:r>
      <w:r>
        <w:rPr>
          <w:color w:val="003CA0"/>
          <w:sz w:val="12"/>
        </w:rPr>
        <w:t xml:space="preserve"> | rel. Nelson Jobim</w:t>
      </w:r>
    </w:p>
    <w:p>
      <w:pPr>
        <w:ind w:left="288"/>
      </w:pPr>
      <w:r>
        <w:rPr>
          <w:color w:val="1E1E1E"/>
          <w:sz w:val="18"/>
        </w:rPr>
        <w:t>Edital de concurso público da Corregedoria-Geral de Justiça do Estado de Alagoas. Previsão de pontuação aos servidores não estáveis, bem como a aprovação em qualquer concurso público, sem diferenciação de nível de graduação, desiguala os concorrentes, em ofensa ao princípio da isonomia. Ofensa ao princípio da publicidade, ao não trazer o nome dos candidatos e os respectivos números de inscrição.</w:t>
      </w:r>
    </w:p>
    <w:p>
      <w:pPr>
        <w:ind w:left="288"/>
      </w:pPr>
      <w:r>
        <w:rPr>
          <w:b/>
          <w:color w:val="003CA0"/>
          <w:sz w:val="16"/>
        </w:rPr>
        <w:t>[ADI 2.206 MC, rel. min. Nelson Jobim, j. 8-11-2000, P, DJ de 1º-8-2003.]</w:t>
      </w:r>
    </w:p>
    <w:p>
      <w:pPr>
        <w:ind w:left="288"/>
      </w:pPr>
      <w:r>
        <w:rPr>
          <w:color w:val="8C8C8C"/>
          <w:sz w:val="12"/>
        </w:rPr>
        <w:t>cf-art-37</w:t>
      </w:r>
      <w:r>
        <w:rPr>
          <w:color w:val="003CA0"/>
          <w:sz w:val="12"/>
        </w:rPr>
        <w:t xml:space="preserve"> | ADI 3.443</w:t>
      </w:r>
      <w:r>
        <w:rPr>
          <w:color w:val="003CA0"/>
          <w:sz w:val="12"/>
        </w:rPr>
        <w:t xml:space="preserve"> | rel. Carlos Velloso</w:t>
      </w:r>
    </w:p>
    <w:p>
      <w:pPr>
        <w:ind w:left="288"/>
      </w:pPr>
      <w:r>
        <w:rPr>
          <w:color w:val="1E1E1E"/>
          <w:sz w:val="18"/>
        </w:rPr>
        <w:t>Vide ADI 3.443, rel. min. Carlos Velloso, j. 8-9-2005, P, DJ de 23-9-2005 Os princípios gerais regentes da administração pública, previstos no art. 37, caput, da Constituição, são invocáveis de referência à administração de pessoal militar federal ou estadual, salvo no que tenha explícita disciplina em atenção às peculiaridades do serviço militar.</w:t>
      </w:r>
    </w:p>
    <w:p>
      <w:pPr>
        <w:ind w:left="288"/>
      </w:pPr>
      <w:r>
        <w:rPr>
          <w:b/>
          <w:color w:val="003CA0"/>
          <w:sz w:val="16"/>
        </w:rPr>
        <w:t>[ADI 1.694 MC, rel. min. Néri da Silveira, j. 30-10-1997, P, DJ de 15-12-2000.]</w:t>
      </w:r>
    </w:p>
    <w:p>
      <w:pPr>
        <w:ind w:left="288"/>
      </w:pPr>
      <w:r>
        <w:rPr>
          <w:color w:val="8C8C8C"/>
          <w:sz w:val="12"/>
        </w:rPr>
        <w:t>cf-art-37</w:t>
      </w:r>
      <w:r>
        <w:rPr>
          <w:color w:val="003CA0"/>
          <w:sz w:val="12"/>
        </w:rPr>
        <w:t xml:space="preserve"> | ARE 1.553.607</w:t>
      </w:r>
      <w:r>
        <w:rPr>
          <w:color w:val="003CA0"/>
          <w:sz w:val="12"/>
        </w:rPr>
        <w:t xml:space="preserve"> | rel. Luís Roberto Barroso</w:t>
      </w:r>
    </w:p>
    <w:p>
      <w:pPr>
        <w:ind w:left="288"/>
      </w:pPr>
      <w:r>
        <w:rPr>
          <w:color w:val="1E1E1E"/>
          <w:sz w:val="18"/>
        </w:rPr>
        <w:t>“1. As providências da Resolução CNJ nº 547/2024 não usurpam nem interferem na competência tributária dos entes federativos e devem ser observadas para o processamento e a extinção de execuções fiscais com base no princípio constitucional da eficiência; 2. É infraconstitucional e fática a controvérsia sobre o atendimento das exigências da Resolução CNJ nº 547/2024 para extinção da execução fiscal por falta de interesse de agir”.</w:t>
      </w:r>
    </w:p>
    <w:p>
      <w:pPr>
        <w:ind w:left="288"/>
      </w:pPr>
      <w:r>
        <w:rPr>
          <w:b/>
          <w:color w:val="003CA0"/>
          <w:sz w:val="16"/>
        </w:rPr>
        <w:t>[ARE 1.553.607 RG, rel. min. Luís Roberto Barroso, j. 19.09.2025, P, DJE de 30.09.2025, Tema 1.428, com mérito julgado.]</w:t>
      </w:r>
    </w:p>
    <w:p>
      <w:pPr>
        <w:ind w:left="288"/>
      </w:pPr>
      <w:r>
        <w:rPr>
          <w:color w:val="8C8C8C"/>
          <w:sz w:val="12"/>
        </w:rPr>
        <w:t>cf-art-37</w:t>
      </w:r>
      <w:r>
        <w:rPr>
          <w:color w:val="003CA0"/>
          <w:sz w:val="12"/>
        </w:rPr>
        <w:t xml:space="preserve"> | ARE 1.553.607</w:t>
      </w:r>
      <w:r>
        <w:rPr>
          <w:color w:val="003CA0"/>
          <w:sz w:val="12"/>
        </w:rPr>
        <w:t xml:space="preserve"> | rel. Luís Roberto Barroso</w:t>
      </w:r>
    </w:p>
    <w:p>
      <w:pPr>
        <w:ind w:left="288"/>
      </w:pPr>
      <w:r>
        <w:rPr>
          <w:color w:val="1E1E1E"/>
          <w:sz w:val="18"/>
        </w:rPr>
        <w:t>“1. As providências da Resolução CNJ nº 547/2024 não usurpam nem interferem na competência tributária dos entes federativos e devem ser observadas para o processamento e a extinção de execuções fiscais com base no princípio constitucional da eficiência; 2. É infraconstitucional e fática a controvérsia sobre o atendimento das exigências da Resolução CNJ nº 547/2024 para extinção da execução fiscal por falta de interesse de agir”.</w:t>
      </w:r>
    </w:p>
    <w:p>
      <w:pPr>
        <w:ind w:left="288"/>
      </w:pPr>
      <w:r>
        <w:rPr>
          <w:b/>
          <w:color w:val="003CA0"/>
          <w:sz w:val="16"/>
        </w:rPr>
        <w:t>[ARE 1.553.607 RG, rel. min. Luís Roberto Barroso, j. 19.09.2025, P, DJE de 30.09.2025, Tema 1.428, com mérito julgado.]</w:t>
      </w:r>
    </w:p>
    <w:p>
      <w:pPr>
        <w:ind w:left="288"/>
      </w:pPr>
      <w:r>
        <w:rPr>
          <w:color w:val="8C8C8C"/>
          <w:sz w:val="12"/>
        </w:rPr>
        <w:t>cf-art-37</w:t>
      </w:r>
      <w:r>
        <w:rPr>
          <w:color w:val="003CA0"/>
          <w:sz w:val="12"/>
        </w:rPr>
        <w:t xml:space="preserve"> | ARE 1.534.108</w:t>
      </w:r>
      <w:r>
        <w:rPr>
          <w:color w:val="003CA0"/>
          <w:sz w:val="12"/>
        </w:rPr>
        <w:t xml:space="preserve"> | rel. Luís Roberto Barroso</w:t>
      </w:r>
    </w:p>
    <w:p>
      <w:pPr>
        <w:ind w:left="288"/>
      </w:pPr>
      <w:r>
        <w:rPr>
          <w:color w:val="1E1E1E"/>
          <w:sz w:val="18"/>
        </w:rPr>
        <w:t>“É infraconstitucional e fática a controvérsia sobre a progressão na carreira de servidor público que não foi submetido à avaliação de desempenho”.</w:t>
      </w:r>
    </w:p>
    <w:p>
      <w:pPr>
        <w:ind w:left="288"/>
      </w:pPr>
      <w:r>
        <w:rPr>
          <w:b/>
          <w:color w:val="003CA0"/>
          <w:sz w:val="16"/>
        </w:rPr>
        <w:t>[ARE 1.534.108 RG, rel. min. Luís Roberto Barroso, j. 04.04.2025, P, DJE de 23.05.2025, Tema 1.385, com repercussão geral negada.]</w:t>
      </w:r>
    </w:p>
    <w:p>
      <w:pPr>
        <w:ind w:left="288"/>
      </w:pPr>
      <w:r>
        <w:rPr>
          <w:color w:val="8C8C8C"/>
          <w:sz w:val="12"/>
        </w:rPr>
        <w:t>cf-art-37</w:t>
      </w:r>
      <w:r>
        <w:rPr>
          <w:color w:val="003CA0"/>
          <w:sz w:val="12"/>
        </w:rPr>
        <w:t xml:space="preserve"> | ARE 1.531.908</w:t>
      </w:r>
      <w:r>
        <w:rPr>
          <w:color w:val="003CA0"/>
          <w:sz w:val="12"/>
        </w:rPr>
        <w:t xml:space="preserve"> | rel. Luís Roberto Barroso</w:t>
      </w:r>
    </w:p>
    <w:p>
      <w:pPr>
        <w:ind w:left="288"/>
      </w:pPr>
      <w:r>
        <w:rPr>
          <w:color w:val="1E1E1E"/>
          <w:sz w:val="18"/>
        </w:rPr>
        <w:t>“É infraconstitucional e pressupõe o exame de matéria fática a controvérsia sobre o atendimento de requisitos exigidos em lei ou em edital para posse em cargo público”.</w:t>
      </w:r>
    </w:p>
    <w:p>
      <w:pPr>
        <w:ind w:left="288"/>
      </w:pPr>
      <w:r>
        <w:rPr>
          <w:b/>
          <w:color w:val="003CA0"/>
          <w:sz w:val="16"/>
        </w:rPr>
        <w:t>[ARE 1.531.908 RG, rel. min. Luís Roberto Barroso, j. 14.2.2025, P, DJE de 20.2.2025, Tema 1.372, com repercussão geral negada.]</w:t>
      </w:r>
    </w:p>
    <w:p>
      <w:pPr>
        <w:ind w:left="288"/>
      </w:pPr>
      <w:r>
        <w:rPr>
          <w:color w:val="8C8C8C"/>
          <w:sz w:val="12"/>
        </w:rPr>
        <w:t>cf-art-37</w:t>
      </w:r>
      <w:r>
        <w:rPr>
          <w:color w:val="003CA0"/>
          <w:sz w:val="12"/>
        </w:rPr>
        <w:t xml:space="preserve"> | RE 1.249.095</w:t>
      </w:r>
      <w:r>
        <w:rPr>
          <w:color w:val="003CA0"/>
          <w:sz w:val="12"/>
        </w:rPr>
        <w:t xml:space="preserve"> | rel. Cristiano Zanin</w:t>
      </w:r>
    </w:p>
    <w:p>
      <w:pPr>
        <w:ind w:left="288"/>
      </w:pPr>
      <w:r>
        <w:rPr>
          <w:color w:val="1E1E1E"/>
          <w:sz w:val="18"/>
        </w:rPr>
        <w:t>“A presença de símbolos religiosos em prédios públicos, pertencentes a qualquer dos Poderes da União, dos Estados, do Distrito Federal e dos Municípios, desde que tenha o objetivo de manifestar a tradição cultural da sociedade brasileira, não viola os princípios da não discriminação, da laicidade estatal e da impessoalidade”.</w:t>
      </w:r>
    </w:p>
    <w:p>
      <w:pPr>
        <w:ind w:left="288"/>
      </w:pPr>
      <w:r>
        <w:rPr>
          <w:b/>
          <w:color w:val="003CA0"/>
          <w:sz w:val="16"/>
        </w:rPr>
        <w:t>[RE 1.249.095, rel. min. Cristiano Zanin, j. 27.11.2024, P, DJE de 27.02.2025, Tema 1.086, com mérito julgado.]</w:t>
      </w:r>
    </w:p>
    <w:p>
      <w:pPr>
        <w:ind w:left="288"/>
      </w:pPr>
      <w:r>
        <w:rPr>
          <w:color w:val="8C8C8C"/>
          <w:sz w:val="12"/>
        </w:rPr>
        <w:t>cf-art-37</w:t>
      </w:r>
      <w:r>
        <w:rPr>
          <w:color w:val="003CA0"/>
          <w:sz w:val="12"/>
        </w:rPr>
        <w:t xml:space="preserve"> | ARE 1.499.413</w:t>
      </w:r>
      <w:r>
        <w:rPr>
          <w:color w:val="003CA0"/>
          <w:sz w:val="12"/>
        </w:rPr>
        <w:t xml:space="preserve"> | rel. Luís Roberto Barroso</w:t>
      </w:r>
    </w:p>
    <w:p>
      <w:pPr>
        <w:ind w:left="288"/>
      </w:pPr>
      <w:r>
        <w:rPr>
          <w:color w:val="1E1E1E"/>
          <w:sz w:val="18"/>
        </w:rPr>
        <w:t>“É infraconstitucional e fática a controvérsia sobre a forma de cálculo de abono pecuniário de férias dos empregados da Empresa de Correios e Telégrafos - ECT”</w:t>
      </w:r>
    </w:p>
    <w:p>
      <w:pPr>
        <w:ind w:left="288"/>
      </w:pPr>
      <w:r>
        <w:rPr>
          <w:b/>
          <w:color w:val="003CA0"/>
          <w:sz w:val="16"/>
        </w:rPr>
        <w:t>[ARE 1.499.413 RG, rel. min. Luís Roberto Barroso, j. 04.10.2024, P, DJE de 09.10.2024, Tema 1.330, com repercussão geral negada.]</w:t>
      </w:r>
    </w:p>
    <w:p>
      <w:pPr>
        <w:ind w:left="144"/>
      </w:pPr>
      <w:r>
        <w:rPr>
          <w:b/>
          <w:color w:val="B45A00"/>
          <w:sz w:val="16"/>
        </w:rPr>
        <w:t>REPERCUSSAO GERAL</w:t>
      </w:r>
    </w:p>
    <w:p>
      <w:pPr>
        <w:ind w:left="288"/>
      </w:pPr>
      <w:r>
        <w:rPr>
          <w:color w:val="8C8C8C"/>
          <w:sz w:val="12"/>
        </w:rPr>
        <w:t>cf-art-37</w:t>
      </w:r>
      <w:r>
        <w:rPr>
          <w:color w:val="003CA0"/>
          <w:sz w:val="12"/>
        </w:rPr>
        <w:t xml:space="preserve"> | RE 1.355.208</w:t>
      </w:r>
      <w:r>
        <w:rPr>
          <w:color w:val="003CA0"/>
          <w:sz w:val="12"/>
        </w:rPr>
        <w:t xml:space="preserve"> | rel. Cármen Lúcia</w:t>
      </w:r>
    </w:p>
    <w:p>
      <w:pPr>
        <w:ind w:left="288"/>
      </w:pPr>
      <w:r>
        <w:rPr>
          <w:color w:val="1E1E1E"/>
          <w:sz w:val="18"/>
        </w:rPr>
        <w:t xml:space="preserve">É legítima a extinção de execução fiscal de baixo valor pela ausência de interesse de agir, tendo em vista o princípio constitucional da eficiência administrativa. 2. O ajuizamento da execução fiscal dependerá da prévia adoção das seguintes providências: a) tentativa de conciliação ou adoção de solução administrativa; e b) protesto do título, salvo por motivo de eficiência administrativa, comprovando-se a inadequação da medida. 3. O trâmite de ações de execução fiscal não impede os entes federados de pedirem a suspensão do processo para a adoção das medidas previstas no item 2, devendo, nesse </w:t>
      </w:r>
    </w:p>
    <w:p>
      <w:pPr>
        <w:ind w:left="288"/>
      </w:pPr>
      <w:r>
        <w:rPr>
          <w:b/>
          <w:color w:val="003CA0"/>
          <w:sz w:val="16"/>
        </w:rPr>
        <w:t>[RE 633.782, rel. min. Luiz Fux, j. 26-10-2020, P, DJE de 25-11-2020, Tema 532, com mérito julgado.]</w:t>
      </w:r>
    </w:p>
    <w:p>
      <w:pPr>
        <w:ind w:left="288"/>
      </w:pPr>
      <w:r>
        <w:rPr>
          <w:color w:val="8C8C8C"/>
          <w:sz w:val="12"/>
        </w:rPr>
        <w:t>cf-art-37</w:t>
      </w:r>
      <w:r>
        <w:rPr>
          <w:color w:val="003CA0"/>
          <w:sz w:val="12"/>
        </w:rPr>
        <w:t xml:space="preserve"> | ARE 652.777</w:t>
      </w:r>
      <w:r>
        <w:rPr>
          <w:color w:val="003CA0"/>
          <w:sz w:val="12"/>
        </w:rPr>
        <w:t xml:space="preserve"> | rel. Teori Zavascki</w:t>
      </w:r>
    </w:p>
    <w:p>
      <w:pPr>
        <w:ind w:left="288"/>
      </w:pPr>
      <w:r>
        <w:rPr>
          <w:color w:val="1E1E1E"/>
          <w:sz w:val="18"/>
        </w:rPr>
        <w:t>É legítima a publicação, inclusive em sítio eletrônico mantido pela administração pública, dos nomes dos seus servidores e do valor dos correspondentes vencimentos e vantagens pecuniárias.</w:t>
      </w:r>
    </w:p>
    <w:p>
      <w:pPr>
        <w:ind w:left="288"/>
      </w:pPr>
      <w:r>
        <w:rPr>
          <w:b/>
          <w:color w:val="003CA0"/>
          <w:sz w:val="16"/>
        </w:rPr>
        <w:t>[ARE 652.777, rel. min. Teori Zavascki, j. 23-4-2015, P, DJE de 1º-7-2015, Tema 483, com mérito julgado.]</w:t>
      </w:r>
    </w:p>
    <w:p>
      <w:pPr>
        <w:ind w:left="288"/>
      </w:pPr>
      <w:r>
        <w:rPr>
          <w:color w:val="8C8C8C"/>
          <w:sz w:val="12"/>
        </w:rPr>
        <w:t>cf-art-37</w:t>
      </w:r>
      <w:r>
        <w:rPr>
          <w:color w:val="003CA0"/>
          <w:sz w:val="12"/>
        </w:rPr>
        <w:t xml:space="preserve"> | RE 570.392</w:t>
      </w:r>
      <w:r>
        <w:rPr>
          <w:color w:val="003CA0"/>
          <w:sz w:val="12"/>
        </w:rPr>
        <w:t xml:space="preserve"> | rel. Cármen Lúcia</w:t>
      </w:r>
    </w:p>
    <w:p>
      <w:pPr>
        <w:ind w:left="288"/>
      </w:pPr>
      <w:r>
        <w:rPr>
          <w:color w:val="1E1E1E"/>
          <w:sz w:val="18"/>
        </w:rPr>
        <w:t>Não é privativa do chefe do Poder Executivo a competência para a iniciativa legislativa de lei sobre nepotismo na administração pública: leis com esse conteúdo normativo dão concretude aos princípios da moralidade e da impessoalidade do art. 37, caput, da Constituição da República, que, ademais, têm aplicabilidade imediata, ou seja, independente de lei. Precedentes. Súmula Vinculante 13.</w:t>
        <w:br/>
        <w:t>[RE 570.392, rel. min. Cármen Lúcia, j. 11-12-2014, P, DJE de 19-2-2015, Tema 29, com mérito julgado.] Empresa Brasileira de Correios e Telégrafos (ECT). Demissão imotivada de seus empregados. Impossibilidade.</w:t>
      </w:r>
    </w:p>
    <w:p>
      <w:pPr>
        <w:ind w:left="288"/>
      </w:pPr>
      <w:r>
        <w:rPr>
          <w:b/>
          <w:color w:val="003CA0"/>
          <w:sz w:val="16"/>
        </w:rPr>
        <w:t>[ARE 721.001 RG, rel. min. Gilmar Mendes, j. 28-2-2013, P, DJE de 1º-6-2015, Tema 635, com mérito julgado.]</w:t>
      </w:r>
    </w:p>
    <w:p>
      <w:pPr>
        <w:ind w:left="288"/>
      </w:pPr>
      <w:r>
        <w:rPr>
          <w:color w:val="8C8C8C"/>
          <w:sz w:val="12"/>
        </w:rPr>
        <w:t>cf-art-37</w:t>
      </w:r>
      <w:r>
        <w:rPr>
          <w:color w:val="003CA0"/>
          <w:sz w:val="12"/>
        </w:rPr>
        <w:t xml:space="preserve"> | RE 579.951</w:t>
      </w:r>
      <w:r>
        <w:rPr>
          <w:color w:val="003CA0"/>
          <w:sz w:val="12"/>
        </w:rPr>
        <w:t xml:space="preserve"> | rel. Ricardo Lewandowski</w:t>
      </w:r>
    </w:p>
    <w:p>
      <w:pPr>
        <w:ind w:left="288"/>
      </w:pPr>
      <w:r>
        <w:rPr>
          <w:color w:val="1E1E1E"/>
          <w:sz w:val="18"/>
        </w:rPr>
        <w:t>Embora restrita ao âmbito do Judiciário, a Resolução 7/2005 do CNJ, a prática do nepotismo nos demais Poderes é ilícita. A vedação do nepotismo não exige a edição de lei formal para coibir a prática. Proibição que decorre diretamente dos princípios contidos no art. 37, caput, da CF. (...) Recurso extraordinário conhecido e parcialmente provido para anular a nomeação do servidor, aparentado com agente político, ocupante de cargo em comissão.</w:t>
        <w:br/>
        <w:t>[RE 579.951, rel. min. Ricardo Lewandowski, j. 20-8-2008, P, DJE de 24-10-2008, Tema 66, com mérito julgado.]</w:t>
        <w:br/>
        <w:t>= ADI 3.745, rel. min. Dias Toffoli, j. 15-5-</w:t>
      </w:r>
    </w:p>
    <w:p>
      <w:pPr>
        <w:ind w:left="288"/>
      </w:pPr>
      <w:r>
        <w:rPr>
          <w:b/>
          <w:color w:val="003CA0"/>
          <w:sz w:val="16"/>
        </w:rPr>
        <w:t>[RE 1.536.640, rel. min. André Mendonça, j. 13.11.2025, P, Informativo STF 1.199.]</w:t>
      </w:r>
    </w:p>
    <w:p>
      <w:pPr>
        <w:ind w:left="144"/>
      </w:pPr>
      <w:r>
        <w:rPr>
          <w:b/>
          <w:color w:val="B45A00"/>
          <w:sz w:val="16"/>
        </w:rPr>
        <w:t>JULGADOS CORRELATOS</w:t>
      </w:r>
    </w:p>
    <w:p>
      <w:pPr>
        <w:ind w:left="288"/>
      </w:pPr>
      <w:r>
        <w:rPr>
          <w:color w:val="8C8C8C"/>
          <w:sz w:val="12"/>
        </w:rPr>
        <w:t>cf-art-37</w:t>
      </w:r>
      <w:r>
        <w:rPr>
          <w:color w:val="003CA0"/>
          <w:sz w:val="12"/>
        </w:rPr>
        <w:t xml:space="preserve"> | AO 31</w:t>
      </w:r>
      <w:r>
        <w:rPr>
          <w:color w:val="003CA0"/>
          <w:sz w:val="12"/>
        </w:rPr>
        <w:t xml:space="preserve"> | rel. Nunes Marques</w:t>
      </w:r>
    </w:p>
    <w:p>
      <w:pPr>
        <w:ind w:left="288"/>
      </w:pPr>
      <w:r>
        <w:rPr>
          <w:color w:val="1E1E1E"/>
          <w:sz w:val="18"/>
        </w:rPr>
        <w:t>A ordem democrática instituída em 1988 não admite o enaltecimento de golpes militares e iniciativas de subversão ilegítima da ordem, razão pela qual a “Ordem do Dia Alusiva ao 31 de Março de 1964” combatida nestes autos inequivocamente atentou contra a Constituição, violando o disposto em seus arts. 1º e 37, caput e § 1º. Quando se comunica em nome do Estado e valendo-se da estrutura estatal, o agente público encontra-se compelido a pautar qualquer mensagem porventura emitida nos ditames do art. 37 da Constituição. A utilização, por qualquer ente estatal, de recursos públicos para promover com</w:t>
      </w:r>
    </w:p>
    <w:p>
      <w:pPr>
        <w:ind w:left="288"/>
      </w:pPr>
      <w:r>
        <w:rPr>
          <w:b/>
          <w:color w:val="003CA0"/>
          <w:sz w:val="16"/>
        </w:rPr>
        <w:t>[ARE 1.165.456 AgR , red. do ac. min. Roberto Barroso, rel. min. Marco Aurélio, j. 1º-9-2020, 1ª T, DJE de 5-11-2020.]</w:t>
      </w:r>
    </w:p>
    <w:p>
      <w:pPr>
        <w:ind w:left="288"/>
      </w:pPr>
      <w:r>
        <w:rPr>
          <w:color w:val="8C8C8C"/>
          <w:sz w:val="12"/>
        </w:rPr>
        <w:t>cf-art-37</w:t>
      </w:r>
      <w:r>
        <w:rPr>
          <w:color w:val="003CA0"/>
          <w:sz w:val="12"/>
        </w:rPr>
        <w:t xml:space="preserve"> | ARE 1.141.147</w:t>
      </w:r>
      <w:r>
        <w:rPr>
          <w:color w:val="003CA0"/>
          <w:sz w:val="12"/>
        </w:rPr>
        <w:t xml:space="preserve"> | rel. Marco Aurélio</w:t>
      </w:r>
    </w:p>
    <w:p>
      <w:pPr>
        <w:ind w:left="288"/>
      </w:pPr>
      <w:r>
        <w:rPr>
          <w:color w:val="1E1E1E"/>
          <w:sz w:val="18"/>
        </w:rPr>
        <w:t>Servidor. Pagamento parcelado. Estado do Rio Grande do Sul. Impossibilidade. Descabe cogitar de discricionariedade administrativa quando se tratar de pagamento parcelado da remuneração dos servidores públicos estaduais, considerada a previsão do artigo 35 da Constituição do Estado do Rio Grande do Sul. Precedente: Ação Direta de Inconstitucionalidade 657/RS, Pleno, ministro Neri da Silveira, acórdão publicado no Diário da Justiça de 28 de setembro de 2001.</w:t>
      </w:r>
    </w:p>
    <w:p>
      <w:pPr>
        <w:ind w:left="288"/>
      </w:pPr>
      <w:r>
        <w:rPr>
          <w:b/>
          <w:color w:val="003CA0"/>
          <w:sz w:val="16"/>
        </w:rPr>
        <w:t>[ARE 1.141.147-AgR, rel. min. Marco Aurélio, j. em 13-8-2019, 1ª T, DJE de 24-9-2019.]</w:t>
      </w:r>
    </w:p>
    <w:p>
      <w:pPr>
        <w:ind w:left="288"/>
      </w:pPr>
      <w:r>
        <w:rPr>
          <w:color w:val="8C8C8C"/>
          <w:sz w:val="12"/>
        </w:rPr>
        <w:t>cf-art-37</w:t>
      </w:r>
      <w:r>
        <w:rPr>
          <w:color w:val="003CA0"/>
          <w:sz w:val="12"/>
        </w:rPr>
        <w:t xml:space="preserve"> | ARE 896.762</w:t>
      </w:r>
      <w:r>
        <w:rPr>
          <w:color w:val="003CA0"/>
          <w:sz w:val="12"/>
        </w:rPr>
        <w:t xml:space="preserve"> | rel. Dias Toffoli</w:t>
      </w:r>
    </w:p>
    <w:p>
      <w:pPr>
        <w:ind w:left="288"/>
      </w:pPr>
      <w:r>
        <w:rPr>
          <w:color w:val="1E1E1E"/>
          <w:sz w:val="18"/>
        </w:rPr>
        <w:t>Ao editar a Súmula Vinculante 13, embora não se tenha pretendido esgotar todas as possibilidades de configuração de nepotismo na administração pública, foram erigidos critérios objetivos de conformação, a saber: i) ajuste mediante designações recíprocas quando inexistente a relação de parentesco entre a autoridade nomeante e o ocupante do cargo de provimento em comissão ou da função comissionada; ii) relação de parentesco entre a pessoa nomeada e a autoridade nomeante; iii) relação de parentesco entre a pessoa nomeada e o ocupante de cargo de direção, chefia ou assessoramento a quem estiver su</w:t>
      </w:r>
    </w:p>
    <w:p>
      <w:pPr>
        <w:ind w:left="288"/>
      </w:pPr>
      <w:r>
        <w:rPr>
          <w:b/>
          <w:color w:val="003CA0"/>
          <w:sz w:val="16"/>
        </w:rPr>
        <w:t>[ARE 896.762 AgR, rel. min. Dias Toffoli, j. 4-6-2018, 2ª T, DJE de 26-6-2018.]</w:t>
      </w:r>
    </w:p>
    <w:p>
      <w:pPr>
        <w:ind w:left="288"/>
      </w:pPr>
      <w:r>
        <w:rPr>
          <w:color w:val="8C8C8C"/>
          <w:sz w:val="12"/>
        </w:rPr>
        <w:t>cf-art-37</w:t>
      </w:r>
      <w:r>
        <w:rPr>
          <w:color w:val="003CA0"/>
          <w:sz w:val="12"/>
        </w:rPr>
        <w:t xml:space="preserve"> | MS 34.179</w:t>
      </w:r>
      <w:r>
        <w:rPr>
          <w:color w:val="003CA0"/>
          <w:sz w:val="12"/>
        </w:rPr>
        <w:t xml:space="preserve"> | rel. Gilmar Mendes</w:t>
      </w:r>
    </w:p>
    <w:p>
      <w:pPr>
        <w:ind w:left="288"/>
      </w:pPr>
      <w:r>
        <w:rPr>
          <w:color w:val="1E1E1E"/>
          <w:sz w:val="18"/>
        </w:rPr>
        <w:t>Nepotismo. Ausência de subordinação hierárquica ou projeção funcional entre os servidores públicos nomeados para exercer cargo comissionado no mesmo órgão, ou entre as autoridades nomeantes. Discricionariedade do membro da magistratura para compor sua assessoria, observados os limites da lei e da Constituição. Impossibilidade de presunção de influência do exercente do cargo de direção, chefia e assessoramento vinculado a um desembargador na escolha e contratação de outro.</w:t>
      </w:r>
    </w:p>
    <w:p>
      <w:pPr>
        <w:ind w:left="288"/>
      </w:pPr>
      <w:r>
        <w:rPr>
          <w:b/>
          <w:color w:val="003CA0"/>
          <w:sz w:val="16"/>
        </w:rPr>
        <w:t>[MS 34.179 ED-AgR, rel. min. Gilmar Mendes, j. 4-4-2018, 2ª T, DJE de 23-4-2018.]</w:t>
      </w:r>
    </w:p>
    <w:p>
      <w:pPr>
        <w:ind w:left="288"/>
      </w:pPr>
      <w:r>
        <w:rPr>
          <w:color w:val="8C8C8C"/>
          <w:sz w:val="12"/>
        </w:rPr>
        <w:t>cf-art-37</w:t>
      </w:r>
      <w:r>
        <w:rPr>
          <w:color w:val="003CA0"/>
          <w:sz w:val="12"/>
        </w:rPr>
        <w:t xml:space="preserve"> | ACO 2.674</w:t>
      </w:r>
      <w:r>
        <w:rPr>
          <w:color w:val="003CA0"/>
          <w:sz w:val="12"/>
        </w:rPr>
        <w:t xml:space="preserve"> | rel. Luiz Fux</w:t>
      </w:r>
    </w:p>
    <w:p>
      <w:pPr>
        <w:ind w:left="288"/>
      </w:pPr>
      <w:r>
        <w:rPr>
          <w:color w:val="1E1E1E"/>
          <w:sz w:val="18"/>
        </w:rPr>
        <w:t>Em razão de expressa determinação constitucional, na medida em que a atuação da administração pública é pautada pelo princípio da legalidade (CF, art. 37, caput), inexiste, em princípio, qualquer ilegalidade na atuação da União em proceder à inscrição do órgão ou ente nos cadastros de restrição. A anotação de ente federado em tais cadastros exige a prévia e efetiva observância do devido processo legal, em suas dimensões material e processual.</w:t>
      </w:r>
    </w:p>
    <w:p>
      <w:pPr>
        <w:ind w:left="288"/>
      </w:pPr>
      <w:r>
        <w:rPr>
          <w:b/>
          <w:color w:val="003CA0"/>
          <w:sz w:val="16"/>
        </w:rPr>
        <w:t>[ACO 2.674 AgR, rel. min. Luiz Fux, j. 6-10-2017, 1ª T, DJE de 25-10-2017.]</w:t>
      </w:r>
    </w:p>
    <w:p>
      <w:pPr>
        <w:ind w:left="288"/>
      </w:pPr>
      <w:r>
        <w:rPr>
          <w:color w:val="8C8C8C"/>
          <w:sz w:val="12"/>
        </w:rPr>
        <w:t>cf-art-37</w:t>
      </w:r>
      <w:r>
        <w:rPr>
          <w:color w:val="003CA0"/>
          <w:sz w:val="12"/>
        </w:rPr>
        <w:t xml:space="preserve"> | RHC 133.118</w:t>
      </w:r>
      <w:r>
        <w:rPr>
          <w:color w:val="003CA0"/>
          <w:sz w:val="12"/>
        </w:rPr>
        <w:t xml:space="preserve"> | rel. Dias Toffoli</w:t>
      </w:r>
    </w:p>
    <w:p>
      <w:pPr>
        <w:ind w:left="288"/>
      </w:pPr>
      <w:r>
        <w:rPr>
          <w:color w:val="1E1E1E"/>
          <w:sz w:val="18"/>
        </w:rPr>
        <w:t>Ação penal. Associação criminosa, fraude a licitação, lavagem de dinheiro e peculato (arts. 288 e 313-A, CP; art. 90 da Lei 8.666/1993; art. 1º da Lei 9.613/1998 e art. 1º, I e II, do DL 201/1967). (...) diante da existência de indícios da prática de ilícitos penais com verbas públicas, o Ministério Público solicitou diretamente à instituição financeira cópias de extratos bancários e microfilmagens da conta corrente da municipalidade, além de fitas de caixa, para a apuração do real destino das verbas. O poder do Ministério Público de requisitar informações bancárias de conta corrente de titula</w:t>
      </w:r>
    </w:p>
    <w:p>
      <w:pPr>
        <w:ind w:left="288"/>
      </w:pPr>
      <w:r>
        <w:rPr>
          <w:b/>
          <w:color w:val="003CA0"/>
          <w:sz w:val="16"/>
        </w:rPr>
        <w:t>[Rcl 9.284, rel. min. Dias Toffoli, j. 30-9-2014, 1ª T, DJE de 19-11-2014.]</w:t>
      </w:r>
    </w:p>
    <w:p>
      <w:pPr>
        <w:ind w:left="288"/>
      </w:pPr>
      <w:r>
        <w:rPr>
          <w:color w:val="8C8C8C"/>
          <w:sz w:val="12"/>
        </w:rPr>
        <w:t>cf-art-37</w:t>
      </w:r>
      <w:r>
        <w:rPr>
          <w:color w:val="003CA0"/>
          <w:sz w:val="12"/>
        </w:rPr>
        <w:t xml:space="preserve"> | RCL 7.590</w:t>
      </w:r>
      <w:r>
        <w:rPr>
          <w:color w:val="003CA0"/>
          <w:sz w:val="12"/>
        </w:rPr>
        <w:t xml:space="preserve"> | rel. Dias Toffoli</w:t>
      </w:r>
    </w:p>
    <w:p>
      <w:pPr>
        <w:ind w:left="288"/>
      </w:pPr>
      <w:r>
        <w:rPr>
          <w:color w:val="1E1E1E"/>
          <w:sz w:val="18"/>
        </w:rPr>
        <w:t>Os cargos políticos são caracterizados não apenas por serem de livre nomeação ou exoneração, fundadas na fidúcia, mas também por seus titulares serem detentores de um múnus governamental decorrente da CF, não estando os seus ocupantes enquadrados na classificação de agentes administrativos. Em hipóteses que atinjam ocupantes de cargos políticos, a configuração do nepotismo deve ser analisado caso a caso, a fim de se verificar eventual "troca de favores" ou fraude a lei. Decisão judicial que anula ato de nomeação para cargo político apenas com fundamento na relação de parentesco estabelecida en</w:t>
      </w:r>
    </w:p>
    <w:p>
      <w:pPr>
        <w:ind w:left="288"/>
      </w:pPr>
      <w:r>
        <w:rPr>
          <w:b/>
          <w:color w:val="003CA0"/>
          <w:sz w:val="16"/>
        </w:rPr>
        <w:t>[Rcl 7.590, rel. min. Dias Toffoli, j. 30-9-2014, 1ª T, DJE de 14-11-2014.]</w:t>
      </w:r>
    </w:p>
    <w:p>
      <w:pPr>
        <w:ind w:left="288"/>
      </w:pPr>
      <w:r>
        <w:rPr>
          <w:color w:val="8C8C8C"/>
          <w:sz w:val="12"/>
        </w:rPr>
        <w:t>cf-art-37</w:t>
      </w:r>
      <w:r>
        <w:rPr>
          <w:color w:val="003CA0"/>
          <w:sz w:val="12"/>
        </w:rPr>
        <w:t xml:space="preserve"> | MS 27.945</w:t>
      </w:r>
      <w:r>
        <w:rPr>
          <w:color w:val="003CA0"/>
          <w:sz w:val="12"/>
        </w:rPr>
        <w:t xml:space="preserve"> | rel. Cármen Lúcia</w:t>
      </w:r>
    </w:p>
    <w:p>
      <w:pPr>
        <w:ind w:left="288"/>
      </w:pPr>
      <w:r>
        <w:rPr>
          <w:color w:val="1E1E1E"/>
          <w:sz w:val="18"/>
        </w:rPr>
        <w:t>Servidor efetivo do Poder Executivo, que exerce função comissionada em Tribunal, ao qual seu irmão é vinculado como juiz. (...) Não se faz necessária comprovação de "vínculo de amizade ou troca de favores" entre o irmão do impetrante e o desembargador federal de quem é assistente processual, pois é a análise objetiva da situação de parentesco entre o servidor e a pessoa nomeada para exercício de cargo em comissão ou de confiança na mesma pessoa jurídica da administração pública que configura a situação de nepotismo vedada, originariamente, pela Constituição da República.</w:t>
      </w:r>
    </w:p>
    <w:p>
      <w:pPr>
        <w:ind w:left="288"/>
      </w:pPr>
      <w:r>
        <w:rPr>
          <w:b/>
          <w:color w:val="003CA0"/>
          <w:sz w:val="16"/>
        </w:rPr>
        <w:t>[MS 27.945, rel. min. Cármen Lúcia, j. 26-8-2014, 2ª T, DJE de 4-9-2014.]</w:t>
      </w:r>
    </w:p>
    <w:p>
      <w:pPr>
        <w:ind w:left="288"/>
      </w:pPr>
      <w:r>
        <w:rPr>
          <w:color w:val="8C8C8C"/>
          <w:sz w:val="12"/>
        </w:rPr>
        <w:t>cf-art-37</w:t>
      </w:r>
      <w:r>
        <w:rPr>
          <w:color w:val="003CA0"/>
          <w:sz w:val="12"/>
        </w:rPr>
        <w:t xml:space="preserve"> | RCL 19.911</w:t>
      </w:r>
      <w:r>
        <w:rPr>
          <w:color w:val="003CA0"/>
          <w:sz w:val="12"/>
        </w:rPr>
        <w:t xml:space="preserve"> | rel. Roberto Barroso</w:t>
      </w:r>
    </w:p>
    <w:p>
      <w:pPr>
        <w:ind w:left="288"/>
      </w:pPr>
      <w:r>
        <w:rPr>
          <w:color w:val="1E1E1E"/>
          <w:sz w:val="18"/>
        </w:rPr>
        <w:t>= Rcl 19.911 AgR, rel. min. Roberto Barroso, j. 19-5-2015, 1ª T, DJE de 2-6-2015 A administração pública submete-se ao princípio da legalidade, sobrepondo-se ao regulamento a lei em sentido formal e material. (...) Consoante dispõe o inciso II do art. 141 da Lei 8.112/1990, viabilizando o salutar duplo grau administrativo, cumpre à autoridade de hierarquia imediatamente inferior às mencionadas na cabeça do artigo, entre as quais os presidentes dos tribunais federais, impor a suspensão do servidor quando ultrapassado o período de trinta dias. Inconstitucionalidade do Regulamento da Secretaria d</w:t>
      </w:r>
    </w:p>
    <w:p>
      <w:pPr>
        <w:ind w:left="288"/>
      </w:pPr>
      <w:r>
        <w:rPr>
          <w:b/>
          <w:color w:val="003CA0"/>
          <w:sz w:val="16"/>
        </w:rPr>
        <w:t>[MS 28.033, rel. min. Marco Aurélio, j. 23-4-2014, P, DJE de 30-10-2014.]</w:t>
      </w:r>
    </w:p>
    <w:p>
      <w:pPr>
        <w:ind w:left="288"/>
      </w:pPr>
      <w:r>
        <w:rPr>
          <w:color w:val="8C8C8C"/>
          <w:sz w:val="12"/>
        </w:rPr>
        <w:t>cf-art-37</w:t>
      </w:r>
      <w:r>
        <w:rPr>
          <w:color w:val="003CA0"/>
          <w:sz w:val="12"/>
        </w:rPr>
        <w:t xml:space="preserve"> | MS 31.697</w:t>
      </w:r>
      <w:r>
        <w:rPr>
          <w:color w:val="003CA0"/>
          <w:sz w:val="12"/>
        </w:rPr>
        <w:t xml:space="preserve"> | rel. Dias Toffoli</w:t>
      </w:r>
    </w:p>
    <w:p>
      <w:pPr>
        <w:ind w:left="288"/>
      </w:pPr>
      <w:r>
        <w:rPr>
          <w:color w:val="1E1E1E"/>
          <w:sz w:val="18"/>
        </w:rPr>
        <w:t>Competência do CNMP para promover a fiscalização dos princípios constitucionais da administração pública, consagrados no art. 37, caput, da CF, entre eles o princípio da moralidade, que rege a vedação ao nepotismo. É inexequível a precisão dos interesses públicos e privados envolvidos, ressalvando-se, ademais, a obrigatoriedade de o poder público pautar seus atos pelo respeito aos princípios da administração pública, em especial, no caso dos autos, aos da legalidade e da impessoalidade (art. 37, caput, da CF/1988). A edição de atos regulamentares ou vinculantes por autoridade competente para a</w:t>
      </w:r>
    </w:p>
    <w:p>
      <w:pPr>
        <w:ind w:left="288"/>
      </w:pPr>
      <w:r>
        <w:rPr>
          <w:b/>
          <w:color w:val="003CA0"/>
          <w:sz w:val="16"/>
        </w:rPr>
        <w:t>[MS 31.697, rel. min. Dias Toffoli, j. 11-3-2014, 1ª T, DJE de 2-4-2014.]</w:t>
      </w:r>
    </w:p>
    <w:p>
      <w:pPr>
        <w:ind w:left="288"/>
      </w:pPr>
      <w:r>
        <w:rPr>
          <w:color w:val="8C8C8C"/>
          <w:sz w:val="12"/>
        </w:rPr>
        <w:t>cf-art-37</w:t>
      </w:r>
      <w:r>
        <w:rPr>
          <w:color w:val="003CA0"/>
          <w:sz w:val="12"/>
        </w:rPr>
        <w:t xml:space="preserve"> | ARE 696.316</w:t>
      </w:r>
      <w:r>
        <w:rPr>
          <w:color w:val="003CA0"/>
          <w:sz w:val="12"/>
        </w:rPr>
        <w:t xml:space="preserve"> | rel. Joaquim Barbosa</w:t>
      </w:r>
    </w:p>
    <w:p>
      <w:pPr>
        <w:ind w:left="288"/>
      </w:pPr>
      <w:r>
        <w:rPr>
          <w:color w:val="1E1E1E"/>
          <w:sz w:val="18"/>
        </w:rPr>
        <w:t>(...) esta Corte firmou o entendimento de que é imprescindível a comprovação da má-fé do administrado para a configuração do dever de ressarcimento de valores indevidamente recebidos por erro da administração.</w:t>
      </w:r>
    </w:p>
    <w:p>
      <w:pPr>
        <w:ind w:left="288"/>
      </w:pPr>
      <w:r>
        <w:rPr>
          <w:b/>
          <w:color w:val="003CA0"/>
          <w:sz w:val="16"/>
        </w:rPr>
        <w:t>[ARE 696.316, rel. min. Joaquim Barbosa, j. 10-8-2012, dec. monocrática, DJE de 16-8-2012.]</w:t>
      </w:r>
    </w:p>
    <w:p>
      <w:pPr>
        <w:ind w:left="288"/>
      </w:pPr>
      <w:r>
        <w:rPr>
          <w:color w:val="8C8C8C"/>
          <w:sz w:val="12"/>
        </w:rPr>
        <w:t>cf-art-37</w:t>
      </w:r>
      <w:r>
        <w:rPr>
          <w:color w:val="003CA0"/>
          <w:sz w:val="12"/>
        </w:rPr>
        <w:t xml:space="preserve"> | MS 24.020</w:t>
      </w:r>
      <w:r>
        <w:rPr>
          <w:color w:val="003CA0"/>
          <w:sz w:val="12"/>
        </w:rPr>
        <w:t xml:space="preserve"> | rel. Joaquim Barbosa</w:t>
      </w:r>
    </w:p>
    <w:p>
      <w:pPr>
        <w:ind w:left="288"/>
      </w:pPr>
      <w:r>
        <w:rPr>
          <w:color w:val="1E1E1E"/>
          <w:sz w:val="18"/>
        </w:rPr>
        <w:t>(...) configurada a prática de nepotismo cruzado, tendo em vista que a assessora nomeada pelo impetrante para exercer cargo em comissão no TRT 17ª Região, sediado em Vitória/ES, é nora do magistrado que nomeou a esposa do impetrante para cargo em comissão no TRT 1ª Região, sediado no Rio de Janeiro/RJ. A nomeação para o cargo de assessor do impetrante é ato formalmente lícito. Contudo, no momento em que é apurada a finalidade contrária ao interesse público, qual seja, uma troca de favores entre membros do Judiciário, o ato deve ser invalidado, por violação ao princípio da moralidade administra</w:t>
      </w:r>
    </w:p>
    <w:p>
      <w:pPr>
        <w:ind w:left="288"/>
      </w:pPr>
      <w:r>
        <w:rPr>
          <w:b/>
          <w:color w:val="003CA0"/>
          <w:sz w:val="16"/>
        </w:rPr>
        <w:t>[MS 24.020, rel. min. Joaquim Barbosa, j. 6-3-2012, 2ª T, DJE de 13-6-2012.]</w:t>
      </w:r>
    </w:p>
    <w:p>
      <w:pPr>
        <w:ind w:left="288"/>
      </w:pPr>
      <w:r>
        <w:rPr>
          <w:color w:val="8C8C8C"/>
          <w:sz w:val="12"/>
        </w:rPr>
        <w:t>cf-art-37</w:t>
      </w:r>
      <w:r>
        <w:rPr>
          <w:color w:val="003CA0"/>
          <w:sz w:val="12"/>
        </w:rPr>
        <w:t xml:space="preserve"> | HC 102.819</w:t>
      </w:r>
      <w:r>
        <w:rPr>
          <w:color w:val="003CA0"/>
          <w:sz w:val="12"/>
        </w:rPr>
        <w:t xml:space="preserve"> | rel. Marco Aurélio</w:t>
      </w:r>
    </w:p>
    <w:p>
      <w:pPr>
        <w:ind w:left="288"/>
      </w:pPr>
      <w:r>
        <w:rPr>
          <w:color w:val="1E1E1E"/>
          <w:sz w:val="18"/>
        </w:rPr>
        <w:t>Inquérito. Publicidade. Norteia a administração pública – gênero – o princípio da publicidade no que deságua na busca da eficiência, ante o acompanhamento pela sociedade. Estando em jogo valores, há de ser observado o coletivo em detrimento, até mesmo, do individual.</w:t>
      </w:r>
    </w:p>
    <w:p>
      <w:pPr>
        <w:ind w:left="288"/>
      </w:pPr>
      <w:r>
        <w:rPr>
          <w:b/>
          <w:color w:val="003CA0"/>
          <w:sz w:val="16"/>
        </w:rPr>
        <w:t>[HC 102.819, rel. min. Marco Aurélio, j. 5-4-2011, 1ª T, DJE de 30-5-2011.]</w:t>
      </w:r>
    </w:p>
    <w:p>
      <w:pPr>
        <w:ind w:left="288"/>
      </w:pPr>
      <w:r>
        <w:rPr>
          <w:color w:val="8C8C8C"/>
          <w:sz w:val="12"/>
        </w:rPr>
        <w:t>cf-art-37</w:t>
      </w:r>
      <w:r>
        <w:rPr>
          <w:color w:val="003CA0"/>
          <w:sz w:val="12"/>
        </w:rPr>
        <w:t xml:space="preserve"> | AI 796.832</w:t>
      </w:r>
      <w:r>
        <w:rPr>
          <w:color w:val="003CA0"/>
          <w:sz w:val="12"/>
        </w:rPr>
        <w:t xml:space="preserve"> | rel. Cármen Lúcia</w:t>
      </w:r>
    </w:p>
    <w:p>
      <w:pPr>
        <w:ind w:left="288"/>
      </w:pPr>
      <w:r>
        <w:rPr>
          <w:color w:val="1E1E1E"/>
          <w:sz w:val="18"/>
        </w:rPr>
        <w:t>(...) a jurisprudência do STF assentou ser possível o controle de legalidade dos atos administrativos pelo Poder Judiciário.</w:t>
      </w:r>
    </w:p>
    <w:p>
      <w:pPr>
        <w:ind w:left="288"/>
      </w:pPr>
      <w:r>
        <w:rPr>
          <w:b/>
          <w:color w:val="003CA0"/>
          <w:sz w:val="16"/>
        </w:rPr>
        <w:t>[AI 796.832 AgR, voto da rel. min. Cármen Lúcia, j. 1º-2-2011, 1ª T, DJE de 23-2-2011.]</w:t>
      </w:r>
    </w:p>
    <w:p>
      <w:pPr>
        <w:ind w:left="288"/>
      </w:pPr>
      <w:r>
        <w:rPr>
          <w:color w:val="8C8C8C"/>
          <w:sz w:val="12"/>
        </w:rPr>
        <w:t>cf-art-37</w:t>
      </w:r>
      <w:r>
        <w:rPr>
          <w:color w:val="003CA0"/>
          <w:sz w:val="12"/>
        </w:rPr>
        <w:t xml:space="preserve"> | ARE 757.716</w:t>
      </w:r>
      <w:r>
        <w:rPr>
          <w:color w:val="003CA0"/>
          <w:sz w:val="12"/>
        </w:rPr>
        <w:t xml:space="preserve"> | rel. Celso de Mello</w:t>
      </w:r>
    </w:p>
    <w:p>
      <w:pPr>
        <w:ind w:left="288"/>
      </w:pPr>
      <w:r>
        <w:rPr>
          <w:color w:val="1E1E1E"/>
          <w:sz w:val="18"/>
        </w:rPr>
        <w:t>= ARE 757.716 AgR, rel. min. Celso de Mello, j. 27-8-2013, 2ª T, DJE de 7-10-2013 Vide RMS 24.699, rel. min. Eros Grau, j. 30-11-2004, 1ª T, DJ de 1º-7-2005 (...) pode a CGU [Corregedoria-Geral da União] fiscalizar a aplicação de dinheiro da União onde quer que ele esteja sendo aplicado, isto é, se houver um repasse de verbas federais a um Município, ele pode ser objeto de fiscalização no tocante à sua aplicação. (...) ressalto que a fiscalização operada pela CGU é realizada de forma aleatória – dada a impossibilidade fática de controlar as verbas repassadas a todos os Municípios brasileiros –</w:t>
      </w:r>
    </w:p>
    <w:p>
      <w:pPr>
        <w:ind w:left="288"/>
      </w:pPr>
      <w:r>
        <w:rPr>
          <w:b/>
          <w:color w:val="003CA0"/>
          <w:sz w:val="16"/>
        </w:rPr>
        <w:t>[RMS 25.943, voto do rel. min. Ricardo Lewandowski, j. 24-11-2010, P, DJE de 2-3-2011.]</w:t>
      </w:r>
    </w:p>
    <w:p>
      <w:pPr>
        <w:ind w:left="288"/>
      </w:pPr>
      <w:r>
        <w:rPr>
          <w:color w:val="8C8C8C"/>
          <w:sz w:val="12"/>
        </w:rPr>
        <w:t>cf-art-37</w:t>
      </w:r>
      <w:r>
        <w:rPr>
          <w:color w:val="003CA0"/>
          <w:sz w:val="12"/>
        </w:rPr>
        <w:t xml:space="preserve"> | AI 607.616</w:t>
      </w:r>
      <w:r>
        <w:rPr>
          <w:color w:val="003CA0"/>
          <w:sz w:val="12"/>
        </w:rPr>
        <w:t xml:space="preserve"> | rel. Joaquim Barbosa</w:t>
      </w:r>
    </w:p>
    <w:p>
      <w:pPr>
        <w:ind w:left="288"/>
      </w:pPr>
      <w:r>
        <w:rPr>
          <w:color w:val="1E1E1E"/>
          <w:sz w:val="18"/>
        </w:rPr>
        <w:t>(...) os valores arrecadados com tributos servem para custear atividades de interesse público. Porém, a circunstância não imuniza o Estado de assumir responsabilidades e a responder por sua conduta. Os princípios da moralidade, da legalidade e da propriedade impedem que o argumento seja levado às últimas consequências, de modo a impedir pura e simplesmente qualquer restituição de indébito tributário. Dessa forma, compete ao ente federado demonstrar com exatidão numérica o risco à continuidade do serviço público, causada pela reparação devida. Meras conjecturas ou ilações caem na vala das falác</w:t>
      </w:r>
    </w:p>
    <w:p>
      <w:pPr>
        <w:ind w:left="288"/>
      </w:pPr>
      <w:r>
        <w:rPr>
          <w:b/>
          <w:color w:val="003CA0"/>
          <w:sz w:val="16"/>
        </w:rPr>
        <w:t>[AI 607.616 AgR, voto do rel. min. Joaquim Barbosa, j. 31-8-2010, 2ª T, DJE de 1º-10-2010.]</w:t>
      </w:r>
    </w:p>
    <w:p>
      <w:pPr>
        <w:ind w:left="288"/>
      </w:pPr>
      <w:r>
        <w:rPr>
          <w:color w:val="8C8C8C"/>
          <w:sz w:val="12"/>
        </w:rPr>
        <w:t>cf-art-37</w:t>
      </w:r>
      <w:r>
        <w:rPr>
          <w:color w:val="003CA0"/>
          <w:sz w:val="12"/>
        </w:rPr>
        <w:t xml:space="preserve"> | RE 462.136</w:t>
      </w:r>
      <w:r>
        <w:rPr>
          <w:color w:val="003CA0"/>
          <w:sz w:val="12"/>
        </w:rPr>
        <w:t xml:space="preserve"> | rel. Joaquim Barbosa</w:t>
      </w:r>
    </w:p>
    <w:p>
      <w:pPr>
        <w:ind w:left="288"/>
      </w:pPr>
      <w:r>
        <w:rPr>
          <w:color w:val="1E1E1E"/>
          <w:sz w:val="18"/>
        </w:rPr>
        <w:t>Processo administrativo tributário. (...) A circunstância de inexistir previsão específica para a interposição de recurso hierárquico em favor do sujeito passivo não afasta o poder-dever da administração de examinar a validade do ato administrativo que implica a constituição do crédito tributário, ainda que não provocada, respeitadas a forma e as balizas impostas pelo sistema jurídico (Súmula 473/STF).</w:t>
      </w:r>
    </w:p>
    <w:p>
      <w:pPr>
        <w:ind w:left="288"/>
      </w:pPr>
      <w:r>
        <w:rPr>
          <w:b/>
          <w:color w:val="003CA0"/>
          <w:sz w:val="16"/>
        </w:rPr>
        <w:t>[RE 462.136 AgR, rel. min. Joaquim Barbosa, j. 31-8-2010, 2ª T, DJE de 1º-10-2010.]</w:t>
      </w:r>
    </w:p>
    <w:p>
      <w:pPr>
        <w:ind w:left="288"/>
      </w:pPr>
      <w:r>
        <w:rPr>
          <w:color w:val="8C8C8C"/>
          <w:sz w:val="12"/>
        </w:rPr>
        <w:t>cf-art-37</w:t>
      </w:r>
      <w:r>
        <w:rPr>
          <w:color w:val="003CA0"/>
          <w:sz w:val="12"/>
        </w:rPr>
        <w:t xml:space="preserve"> | STA 407</w:t>
      </w:r>
      <w:r>
        <w:rPr>
          <w:color w:val="003CA0"/>
          <w:sz w:val="12"/>
        </w:rPr>
        <w:t xml:space="preserve"> | rel. Cezar Peluso</w:t>
      </w:r>
    </w:p>
    <w:p>
      <w:pPr>
        <w:ind w:left="288"/>
      </w:pPr>
      <w:r>
        <w:rPr>
          <w:color w:val="1E1E1E"/>
          <w:sz w:val="18"/>
        </w:rPr>
        <w:t>Há risco de grave lesão à ordem pública, bem como de efeito multiplicador, na decisão judicial que determina remoção de servidor para acompanhar cônjuge transferido a pedido, quando não há interesse público em removê-lo.</w:t>
      </w:r>
    </w:p>
    <w:p>
      <w:pPr>
        <w:ind w:left="288"/>
      </w:pPr>
      <w:r>
        <w:rPr>
          <w:b/>
          <w:color w:val="003CA0"/>
          <w:sz w:val="16"/>
        </w:rPr>
        <w:t>[STA 407 AgR, rel. min. Cezar Peluso, j. 18-8-2010, P, DJE de 3-9-2010.]</w:t>
      </w:r>
    </w:p>
    <w:p>
      <w:pPr>
        <w:ind w:left="288"/>
      </w:pPr>
      <w:r>
        <w:rPr>
          <w:color w:val="8C8C8C"/>
          <w:sz w:val="12"/>
        </w:rPr>
        <w:t>cf-art-37</w:t>
      </w:r>
      <w:r>
        <w:rPr>
          <w:color w:val="003CA0"/>
          <w:sz w:val="12"/>
        </w:rPr>
        <w:t xml:space="preserve"> | MS 23.058</w:t>
      </w:r>
      <w:r>
        <w:rPr>
          <w:color w:val="003CA0"/>
          <w:sz w:val="12"/>
        </w:rPr>
        <w:t xml:space="preserve"> | rel. Ayres Britto</w:t>
      </w:r>
    </w:p>
    <w:p>
      <w:pPr>
        <w:ind w:left="288"/>
      </w:pPr>
      <w:r>
        <w:rPr>
          <w:color w:val="1E1E1E"/>
          <w:sz w:val="18"/>
        </w:rPr>
        <w:t>Vide MS 23.058, rel. min. Ayres Britto, j. 18-9-2008, P, DJE de 14-11-2008 A administração pública tem o direito de anular seus próprios atos, quando ilegais, ou revogá-los por motivos de conveniência e oportunidade (Súmulas 346 e 473, STF). O prazo decadencial estabelecido no art. 54 da Lei 9.784/1999 conta-se a partir da sua vigência (1º-2-1999), vedada a aplicação retroativa do preceito para limitar a liberdade da administração pública.</w:t>
      </w:r>
    </w:p>
    <w:p>
      <w:pPr>
        <w:ind w:left="288"/>
      </w:pPr>
      <w:r>
        <w:rPr>
          <w:b/>
          <w:color w:val="003CA0"/>
          <w:sz w:val="16"/>
        </w:rPr>
        <w:t>[RMS 25.856, rel. min. Eros Grau, j. 9-3-2010, 2ª T, DJE de 14-5-2010.]</w:t>
      </w:r>
    </w:p>
    <w:p>
      <w:pPr>
        <w:ind w:left="288"/>
      </w:pPr>
      <w:r>
        <w:rPr>
          <w:color w:val="8C8C8C"/>
          <w:sz w:val="12"/>
        </w:rPr>
        <w:t>cf-art-37</w:t>
      </w:r>
      <w:r>
        <w:rPr>
          <w:color w:val="003CA0"/>
          <w:sz w:val="12"/>
        </w:rPr>
        <w:t xml:space="preserve"> | RCL 6.702</w:t>
      </w:r>
      <w:r>
        <w:rPr>
          <w:color w:val="003CA0"/>
          <w:sz w:val="12"/>
        </w:rPr>
        <w:t xml:space="preserve"> | rel. Ricardo Lewandowski</w:t>
      </w:r>
    </w:p>
    <w:p>
      <w:pPr>
        <w:ind w:left="288"/>
      </w:pPr>
      <w:r>
        <w:rPr>
          <w:color w:val="1E1E1E"/>
          <w:sz w:val="18"/>
        </w:rPr>
        <w:t>Ato decisório contrário à Súmula Vinculante 13 do STF. Nepotismo. Nomeação para o exercício do cargo de conselheiro do Tribunal de Contas do Estado do Paraná. Natureza administrativa do cargo. (...) A vedação do nepotismo não exige a edição de lei formal para coibir a prática, uma vez que decorre diretamente dos princípios contidos no art. 37, caput, da CF. O cargo de conselheiro do Tribunal de Contas do Estado do Paraná reveste-se, à primeira vista, de natureza administrativa, uma vez que exerce a função de auxiliar do Legislativo no controle da administração pública.</w:t>
      </w:r>
    </w:p>
    <w:p>
      <w:pPr>
        <w:ind w:left="288"/>
      </w:pPr>
      <w:r>
        <w:rPr>
          <w:b/>
          <w:color w:val="003CA0"/>
          <w:sz w:val="16"/>
        </w:rPr>
        <w:t>[Rcl 6.702 AgR-MC, rel. min. Ricardo Lewandowski, j. 4-3-2009, P, DJE de 30-4-2009.]</w:t>
      </w:r>
    </w:p>
    <w:p>
      <w:pPr>
        <w:ind w:left="288"/>
      </w:pPr>
      <w:r>
        <w:rPr>
          <w:color w:val="8C8C8C"/>
          <w:sz w:val="12"/>
        </w:rPr>
        <w:t>cf-art-37</w:t>
      </w:r>
      <w:r>
        <w:rPr>
          <w:color w:val="003CA0"/>
          <w:sz w:val="12"/>
        </w:rPr>
        <w:t xml:space="preserve"> | MS 26.163</w:t>
      </w:r>
      <w:r>
        <w:rPr>
          <w:color w:val="003CA0"/>
          <w:sz w:val="12"/>
        </w:rPr>
        <w:t xml:space="preserve"> | rel. Cármen Lúcia</w:t>
      </w:r>
    </w:p>
    <w:p>
      <w:pPr>
        <w:ind w:left="288"/>
      </w:pPr>
      <w:r>
        <w:rPr>
          <w:color w:val="1E1E1E"/>
          <w:sz w:val="18"/>
        </w:rPr>
        <w:t>Concurso para a magistratura do Estado do Piauí. Critérios de convocação para as provas orais. Alteração do edital no curso do processo de seleção. Impossibilidade. (...) O CNJ tem legitimidade para fiscalizar, inclusive de ofício, os atos administrativos praticados por órgãos do Poder Judiciário (MS 26.163, rel. min. Cármen Lúcia, DJE de 4-9-2008). Após a publicação do edital e no curso do certame, só se admite a alteração das regras do concurso se houver modificação na legislação que disciplina a respectiva carreira. Precedentes (RE 318.106, rel. min. Ellen Gracie, DJ de 18-11-2005). No caso</w:t>
      </w:r>
    </w:p>
    <w:p>
      <w:pPr>
        <w:ind w:left="288"/>
      </w:pPr>
      <w:r>
        <w:rPr>
          <w:b/>
          <w:color w:val="003CA0"/>
          <w:sz w:val="16"/>
        </w:rPr>
        <w:t>[MS 27.165, rel. min. Joaquim Barbosa, j. 18-12-2008, P, DJE de 6-3-2009.]</w:t>
      </w:r>
    </w:p>
    <w:p>
      <w:pPr>
        <w:ind w:left="288"/>
      </w:pPr>
      <w:r>
        <w:rPr>
          <w:color w:val="8C8C8C"/>
          <w:sz w:val="12"/>
        </w:rPr>
        <w:t>cf-art-37</w:t>
      </w:r>
      <w:r>
        <w:rPr>
          <w:color w:val="003CA0"/>
          <w:sz w:val="12"/>
        </w:rPr>
        <w:t xml:space="preserve"> | RE 579.951</w:t>
      </w:r>
      <w:r>
        <w:rPr>
          <w:color w:val="003CA0"/>
          <w:sz w:val="12"/>
        </w:rPr>
        <w:t xml:space="preserve"> | rel. Ricardo Lewandowski</w:t>
      </w:r>
    </w:p>
    <w:p>
      <w:pPr>
        <w:ind w:left="288"/>
      </w:pPr>
      <w:r>
        <w:rPr>
          <w:color w:val="1E1E1E"/>
          <w:sz w:val="18"/>
        </w:rPr>
        <w:t>Nomeação de irmão de governador de Estado. Cargo de secretário de Estado. Nepotismo. Súmula Vinculante 13. Inaplicabilidade ao caso. Cargo de natureza política. Agente político. (...) Impossibilidade de submissão do reclamante, secretário estadual de transporte, agente político, às hipóteses expressamente elencadas na Súmula Vinculante 13, por se tratar de cargo de natureza política. Existência de precedente do Plenário do Tribunal: RE 579.951/RN, rel. min. Ricardo Lewandowski, DJE de 12-9-2008. Ocorrência da fumaça do bom direito.</w:t>
      </w:r>
    </w:p>
    <w:p>
      <w:pPr>
        <w:ind w:left="288"/>
      </w:pPr>
      <w:r>
        <w:rPr>
          <w:b/>
          <w:color w:val="003CA0"/>
          <w:sz w:val="16"/>
        </w:rPr>
        <w:t>[Rcl 6.650 MC-AgR, rel. min. Ellen Gracie, j. 16-10-2008, P, DJE de 21-11-2008.]</w:t>
      </w:r>
    </w:p>
    <w:p>
      <w:pPr>
        <w:ind w:left="288"/>
      </w:pPr>
      <w:r>
        <w:rPr>
          <w:color w:val="8C8C8C"/>
          <w:sz w:val="12"/>
        </w:rPr>
        <w:t>cf-art-37</w:t>
      </w:r>
      <w:r>
        <w:rPr>
          <w:color w:val="003CA0"/>
          <w:sz w:val="12"/>
        </w:rPr>
        <w:t xml:space="preserve"> | RE 825.682</w:t>
      </w:r>
      <w:r>
        <w:rPr>
          <w:color w:val="003CA0"/>
          <w:sz w:val="12"/>
        </w:rPr>
        <w:t xml:space="preserve"> | rel. Teori Zavascki</w:t>
      </w:r>
    </w:p>
    <w:p>
      <w:pPr>
        <w:ind w:left="288"/>
      </w:pPr>
      <w:r>
        <w:rPr>
          <w:color w:val="1E1E1E"/>
          <w:sz w:val="18"/>
        </w:rPr>
        <w:t xml:space="preserve">= RE 825.682 AgR, rel. min. Teori Zavascki, j. 10-2-2015, 2ª T, DJE de 2-3-2015 Remoção de ofício para acompanhar o cônjuge, independentemente da existência de vagas. (...) Especial proteção do Estado à família (art. 226 da CF). (...) Havendo a transferência, de ofício, do cônjuge da impetrante, empregado da Caixa Econômica Federal, para a cidade de Fortaleza/CE, tem ela, servidora ocupante de cargo no TCU, direito líquido e certo de também ser removida, independentemente da existência de vagas. Precedente: MS 21.893/DF. A alínea a do inciso III do parágrafo único do art. 36 da Lei 8.112/1990 </w:t>
      </w:r>
    </w:p>
    <w:p>
      <w:pPr>
        <w:ind w:left="288"/>
      </w:pPr>
      <w:r>
        <w:rPr>
          <w:b/>
          <w:color w:val="003CA0"/>
          <w:sz w:val="16"/>
        </w:rPr>
        <w:t>[MS 23.058, rel. min. Ayres Britto, j. 18-9-2008, P, DJE de 14-11-2008.]</w:t>
      </w:r>
    </w:p>
    <w:p>
      <w:pPr>
        <w:ind w:left="288"/>
      </w:pPr>
      <w:r>
        <w:rPr>
          <w:color w:val="8C8C8C"/>
          <w:sz w:val="12"/>
        </w:rPr>
        <w:t>cf-art-37</w:t>
      </w:r>
      <w:r>
        <w:rPr>
          <w:color w:val="003CA0"/>
          <w:sz w:val="12"/>
        </w:rPr>
        <w:t xml:space="preserve"> | RE 549.095</w:t>
      </w:r>
      <w:r>
        <w:rPr>
          <w:color w:val="003CA0"/>
          <w:sz w:val="12"/>
        </w:rPr>
        <w:t xml:space="preserve"> | rel. Eros Grau</w:t>
      </w:r>
    </w:p>
    <w:p>
      <w:pPr>
        <w:ind w:left="288"/>
      </w:pPr>
      <w:r>
        <w:rPr>
          <w:color w:val="1E1E1E"/>
          <w:sz w:val="18"/>
        </w:rPr>
        <w:t>= RE 549.095 AgR, rel. min. Eros Grau, j. 29-9-2009, 2ª T, DJE de 23-10-2009 Vide STA 407 AgR, rel. min. Cezar Peluso, j. 18-8-2010, P, DJE de 3-9-2010 Vide RE 587.260 AgR, rel. min. Eros Grau, j. 29-9-2009, 2ª T, DJE de 23-10-2009 Separação dos Poderes. Possibilidade de análise de ato do Poder Executivo pelo Poder Judiciário. (...) Reexame de matéria fática e interpretação de cláusulas editalícias. (...) Cabe ao Poder Judiciário a análise da legalidade e constitucionalidade dos atos dos três Poderes constitucionais, e, em vislumbrando mácula no ato impugnado, afastar a sua aplicação.</w:t>
      </w:r>
    </w:p>
    <w:p>
      <w:pPr>
        <w:ind w:left="288"/>
      </w:pPr>
      <w:r>
        <w:rPr>
          <w:b/>
          <w:color w:val="003CA0"/>
          <w:sz w:val="16"/>
        </w:rPr>
        <w:t>[AI 640.272 AgR, rel. min. Ricardo Lewandowski, j. 2-10-2007, 1ª T, DJ de 31-10-2007.]</w:t>
      </w:r>
    </w:p>
    <w:p>
      <w:pPr>
        <w:ind w:left="288"/>
      </w:pPr>
      <w:r>
        <w:rPr>
          <w:color w:val="8C8C8C"/>
          <w:sz w:val="12"/>
        </w:rPr>
        <w:t>cf-art-37</w:t>
      </w:r>
      <w:r>
        <w:rPr>
          <w:color w:val="003CA0"/>
          <w:sz w:val="12"/>
        </w:rPr>
        <w:t xml:space="preserve"> | RE 582.409</w:t>
      </w:r>
      <w:r>
        <w:rPr>
          <w:color w:val="003CA0"/>
          <w:sz w:val="12"/>
        </w:rPr>
        <w:t xml:space="preserve"> | rel. Gilmar Mendes</w:t>
      </w:r>
    </w:p>
    <w:p>
      <w:pPr>
        <w:ind w:left="288"/>
      </w:pPr>
      <w:r>
        <w:rPr>
          <w:color w:val="1E1E1E"/>
          <w:sz w:val="18"/>
        </w:rPr>
        <w:t>= RE 582.409 AgR, rel. min. Gilmar Mendes, j. 28-2-2012, 2ª T, DJE de 14-3-2012 A teoria do fato consumado não se caracteriza como matéria infraconstitucional, pois em diversas oportunidades esta Corte manifestou-se pela aplicação do princípio da segurança jurídica em atos administrativos inválidos, como subprincípio do Estado de Direito, tal como nos julgamentos do MS 24.268, DJ de 17-9-2004, e do MS 22.357, DJ de 5-11-2004, ambos por mim relatados. No entanto, no presente caso, não se pode invocar a teoria do fato consumado sob o manto da segurança jurídica. A aplicação dessa teoria enfrenta</w:t>
      </w:r>
    </w:p>
    <w:p>
      <w:pPr>
        <w:ind w:left="288"/>
      </w:pPr>
      <w:r>
        <w:rPr>
          <w:b/>
          <w:color w:val="003CA0"/>
          <w:sz w:val="16"/>
        </w:rPr>
        <w:t>[RE 462.909 AgR, voto do rel. min. Gilmar Mendes, j. 4-4-2006, 2ª T, DJ de 12-5-2006.]</w:t>
      </w:r>
    </w:p>
    <w:p>
      <w:pPr>
        <w:ind w:left="288"/>
      </w:pPr>
      <w:r>
        <w:rPr>
          <w:color w:val="8C8C8C"/>
          <w:sz w:val="12"/>
        </w:rPr>
        <w:t>cf-art-37</w:t>
      </w:r>
      <w:r>
        <w:rPr>
          <w:color w:val="003CA0"/>
          <w:sz w:val="12"/>
        </w:rPr>
        <w:t xml:space="preserve"> | RE 390.939</w:t>
      </w:r>
      <w:r>
        <w:rPr>
          <w:color w:val="003CA0"/>
          <w:sz w:val="12"/>
        </w:rPr>
        <w:t xml:space="preserve"> | rel. Ellen Gracie</w:t>
      </w:r>
    </w:p>
    <w:p>
      <w:pPr>
        <w:ind w:left="288"/>
      </w:pPr>
      <w:r>
        <w:rPr>
          <w:color w:val="1E1E1E"/>
          <w:sz w:val="18"/>
        </w:rPr>
        <w:t>A divulgação no Diário Oficial é suficiente per se para dar publicidade a um ato administrativo.</w:t>
      </w:r>
    </w:p>
    <w:p>
      <w:pPr>
        <w:ind w:left="288"/>
      </w:pPr>
      <w:r>
        <w:rPr>
          <w:b/>
          <w:color w:val="003CA0"/>
          <w:sz w:val="16"/>
        </w:rPr>
        <w:t>[RE 390.939, rel. min. Ellen Gracie, j. 16-8-2005, 2ª T, DJ de 9-9-2005.]</w:t>
      </w:r>
    </w:p>
    <w:p>
      <w:pPr>
        <w:ind w:left="288"/>
      </w:pPr>
      <w:r>
        <w:rPr>
          <w:color w:val="8C8C8C"/>
          <w:sz w:val="12"/>
        </w:rPr>
        <w:t>cf-art-37</w:t>
      </w:r>
      <w:r>
        <w:rPr>
          <w:color w:val="003CA0"/>
          <w:sz w:val="12"/>
        </w:rPr>
        <w:t xml:space="preserve"> | MS 24.872</w:t>
      </w:r>
      <w:r>
        <w:rPr>
          <w:color w:val="003CA0"/>
          <w:sz w:val="12"/>
        </w:rPr>
        <w:t xml:space="preserve"> | rel. Marco Aurélio</w:t>
      </w:r>
    </w:p>
    <w:p>
      <w:pPr>
        <w:ind w:left="288"/>
      </w:pPr>
      <w:r>
        <w:rPr>
          <w:color w:val="1E1E1E"/>
          <w:sz w:val="18"/>
        </w:rPr>
        <w:t>A administração pública é norteada por princípios conducentes à segurança jurídica – da legalidade, da impessoalidade, da moralidade, da publicidade e da eficiência. A variação de enfoques, seja qual for a justificativa, não se coaduna com os citados princípios, sob pena de grassar a insegurança.</w:t>
      </w:r>
    </w:p>
    <w:p>
      <w:pPr>
        <w:ind w:left="288"/>
      </w:pPr>
      <w:r>
        <w:rPr>
          <w:b/>
          <w:color w:val="003CA0"/>
          <w:sz w:val="16"/>
        </w:rPr>
        <w:t>[MS 24.872, voto do rel. min. Marco Aurélio, j. 30-6-2005, P, DJ de 30-9-2005.]</w:t>
      </w:r>
    </w:p>
    <w:p>
      <w:pPr>
        <w:ind w:left="288"/>
      </w:pPr>
      <w:r>
        <w:rPr>
          <w:color w:val="8C8C8C"/>
          <w:sz w:val="12"/>
        </w:rPr>
        <w:t>cf-art-37</w:t>
      </w:r>
      <w:r>
        <w:rPr>
          <w:color w:val="003CA0"/>
          <w:sz w:val="12"/>
        </w:rPr>
        <w:t xml:space="preserve"> | AI 442.918</w:t>
      </w:r>
      <w:r>
        <w:rPr>
          <w:color w:val="003CA0"/>
          <w:sz w:val="12"/>
        </w:rPr>
        <w:t xml:space="preserve"> | rel. Sepúlveda Pertence</w:t>
      </w:r>
    </w:p>
    <w:p>
      <w:pPr>
        <w:ind w:left="288"/>
      </w:pPr>
      <w:r>
        <w:rPr>
          <w:color w:val="1E1E1E"/>
          <w:sz w:val="18"/>
        </w:rPr>
        <w:t>A administração pode anular seus próprios atos, quando eivados de ilegalidade (Súmula 473), não podendo ser invocado o princípio da isonomia como pretexto de se obter benefício ilegalmente concedido a outros servidores.</w:t>
      </w:r>
    </w:p>
    <w:p>
      <w:pPr>
        <w:ind w:left="288"/>
      </w:pPr>
      <w:r>
        <w:rPr>
          <w:b/>
          <w:color w:val="003CA0"/>
          <w:sz w:val="16"/>
        </w:rPr>
        <w:t>[AI 442.918 AgR, rel. min. Sepúlveda Pertence, j. 4-5-2004, 1ª T, DJ de 4-6-2004.]</w:t>
      </w:r>
    </w:p>
    <w:p>
      <w:pPr>
        <w:ind w:left="288"/>
      </w:pPr>
      <w:r>
        <w:rPr>
          <w:color w:val="8C8C8C"/>
          <w:sz w:val="12"/>
        </w:rPr>
        <w:t>cf-art-37</w:t>
      </w:r>
      <w:r>
        <w:rPr>
          <w:color w:val="003CA0"/>
          <w:sz w:val="12"/>
        </w:rPr>
        <w:t xml:space="preserve"> | RE 363.328</w:t>
      </w:r>
      <w:r>
        <w:rPr>
          <w:color w:val="003CA0"/>
          <w:sz w:val="12"/>
        </w:rPr>
        <w:t xml:space="preserve"> | rel. Ellen Gracie</w:t>
      </w:r>
    </w:p>
    <w:p>
      <w:pPr>
        <w:ind w:left="288"/>
      </w:pPr>
      <w:r>
        <w:rPr>
          <w:color w:val="1E1E1E"/>
          <w:sz w:val="18"/>
        </w:rPr>
        <w:t>Inviável a invocação dos princípios de direito administrativo consagrados no caput do art. 37 da CF para garantir à embargante estabilidade no emprego não prevista na legislação pertinente, ante o disposto no art. 173 da Lei Maior.</w:t>
      </w:r>
    </w:p>
    <w:p>
      <w:pPr>
        <w:ind w:left="288"/>
      </w:pPr>
      <w:r>
        <w:rPr>
          <w:b/>
          <w:color w:val="003CA0"/>
          <w:sz w:val="16"/>
        </w:rPr>
        <w:t>[RE 363.328 ED, rel. min. Ellen Gracie, j. 2-12-2003, 2ª T, DJ de 19-12-2003.]</w:t>
      </w:r>
    </w:p>
    <w:p>
      <w:pPr>
        <w:ind w:left="288"/>
      </w:pPr>
      <w:r>
        <w:rPr>
          <w:color w:val="8C8C8C"/>
          <w:sz w:val="12"/>
        </w:rPr>
        <w:t>cf-art-37</w:t>
      </w:r>
      <w:r>
        <w:rPr>
          <w:color w:val="003CA0"/>
          <w:sz w:val="12"/>
        </w:rPr>
        <w:t xml:space="preserve"> | AI 651.512</w:t>
      </w:r>
      <w:r>
        <w:rPr>
          <w:color w:val="003CA0"/>
          <w:sz w:val="12"/>
        </w:rPr>
        <w:t xml:space="preserve"> | rel. Ricardo Lewandowski</w:t>
      </w:r>
    </w:p>
    <w:p>
      <w:pPr>
        <w:ind w:left="288"/>
      </w:pPr>
      <w:r>
        <w:rPr>
          <w:color w:val="1E1E1E"/>
          <w:sz w:val="18"/>
        </w:rPr>
        <w:t>= AI 651.512 AgR, rel. min. Ricardo Lewandowski, j. 5-5-2009, 1ª T, DJE de 5-6-2009 Transação. Validade. Em regra, os bens e o interesse público são indisponíveis, porque pertencem à coletividade. E, por isso, o administrador, mero gestor da coisa pública, não tem disponibilidade sobre os interesses confiados à sua guarda e realização. Todavia, há casos em que o princípio da indisponibilidade do interesse público deve ser atenuado, mormente quando se tem em vista que a solução adotada pela administração é a que melhor atenderá à ultimação deste interesse.</w:t>
      </w:r>
    </w:p>
    <w:p>
      <w:pPr>
        <w:ind w:left="288"/>
      </w:pPr>
      <w:r>
        <w:rPr>
          <w:b/>
          <w:color w:val="003CA0"/>
          <w:sz w:val="16"/>
        </w:rPr>
        <w:t>[RE 253.885, rel. min. Ellen Gracie, j. 4-6-2002, 1ª T, DJ de 21-6-2002.]</w:t>
      </w:r>
    </w:p>
    <w:p>
      <w:pPr>
        <w:ind w:left="288"/>
      </w:pPr>
      <w:r>
        <w:rPr>
          <w:color w:val="8C8C8C"/>
          <w:sz w:val="12"/>
        </w:rPr>
        <w:t>cf-art-37</w:t>
      </w:r>
      <w:r>
        <w:rPr>
          <w:color w:val="003CA0"/>
          <w:sz w:val="12"/>
        </w:rPr>
        <w:t xml:space="preserve"> | RE 205.535</w:t>
      </w:r>
      <w:r>
        <w:rPr>
          <w:color w:val="003CA0"/>
          <w:sz w:val="12"/>
        </w:rPr>
        <w:t xml:space="preserve"> | rel. Marco Aurélio</w:t>
      </w:r>
    </w:p>
    <w:p>
      <w:pPr>
        <w:ind w:left="288"/>
      </w:pPr>
      <w:r>
        <w:rPr>
          <w:color w:val="1E1E1E"/>
          <w:sz w:val="18"/>
        </w:rPr>
        <w:t>Discrepa da razoabilidade norteadora dos atos da administração pública o fato de o edital de concurso emprestar ao tempo de serviço público pontuação superior a títulos referentes a pós-graduação.</w:t>
      </w:r>
    </w:p>
    <w:p>
      <w:pPr>
        <w:ind w:left="288"/>
      </w:pPr>
      <w:r>
        <w:rPr>
          <w:b/>
          <w:color w:val="003CA0"/>
          <w:sz w:val="16"/>
        </w:rPr>
        <w:t>[RE 205.535 AgR, rel. min. Marco Aurélio, j. 22-5-1998, 2ª T, DJ de 14-8-1998.]</w:t>
      </w:r>
    </w:p>
    <w:p>
      <w:pPr>
        <w:ind w:left="288"/>
      </w:pPr>
      <w:r>
        <w:rPr>
          <w:color w:val="8C8C8C"/>
          <w:sz w:val="12"/>
        </w:rPr>
        <w:t>cf-art-37</w:t>
      </w:r>
      <w:r>
        <w:rPr>
          <w:color w:val="003CA0"/>
          <w:sz w:val="12"/>
        </w:rPr>
        <w:t xml:space="preserve"> | RE 163.301</w:t>
      </w:r>
      <w:r>
        <w:rPr>
          <w:color w:val="003CA0"/>
          <w:sz w:val="12"/>
        </w:rPr>
        <w:t xml:space="preserve"> | rel. Sepúlveda Pertence</w:t>
      </w:r>
    </w:p>
    <w:p>
      <w:pPr>
        <w:ind w:left="288"/>
      </w:pPr>
      <w:r>
        <w:rPr>
          <w:color w:val="1E1E1E"/>
          <w:sz w:val="18"/>
        </w:rPr>
        <w:t>Tribunal de Contas: aposentadoria de servidores de sua secretaria: anulação admissível – antes da submissão do ato ao julgamento de legalidade do próprio Tribunal (CF, art. 71, III) –, conforme a Súmula 473, que é corolário do princípio constitucional da legalidade da administração (CF, art. 37), violado, no caso, a pretexto de salvaguarda de direitos adquiridos, obviamente inoponíveis à desconstituição, pela administração mesma, de seus atos ilegais.</w:t>
      </w:r>
    </w:p>
    <w:p>
      <w:pPr>
        <w:ind w:left="288"/>
      </w:pPr>
      <w:r>
        <w:rPr>
          <w:b/>
          <w:color w:val="003CA0"/>
          <w:sz w:val="16"/>
        </w:rPr>
        <w:t>[RE 163.301, rel. min. Sepúlveda Pertence, j. 21-10-1997, 1ª T, DJ de 28-11-1997.]</w:t>
      </w:r>
    </w:p>
    <w:p>
      <w:pPr>
        <w:ind w:left="288"/>
      </w:pPr>
      <w:r>
        <w:rPr>
          <w:color w:val="8C8C8C"/>
          <w:sz w:val="12"/>
        </w:rPr>
        <w:t>cf-art-37</w:t>
      </w:r>
      <w:r>
        <w:rPr>
          <w:color w:val="003CA0"/>
          <w:sz w:val="12"/>
        </w:rPr>
        <w:t xml:space="preserve"> | RE 199.088</w:t>
      </w:r>
      <w:r>
        <w:rPr>
          <w:color w:val="003CA0"/>
          <w:sz w:val="12"/>
        </w:rPr>
        <w:t xml:space="preserve"> | rel. Carlos Velloso</w:t>
      </w:r>
    </w:p>
    <w:p>
      <w:pPr>
        <w:ind w:left="288"/>
      </w:pPr>
      <w:r>
        <w:rPr>
          <w:color w:val="1E1E1E"/>
          <w:sz w:val="18"/>
        </w:rPr>
        <w:t>Bacharel em Direito que exerce o cargo de assessor de desembargador: incompatibilidade para o exercício da advocacia. Lei 4.215, de 1963, arts. 83 e 84. Lei 8.906/1994, art. 28, IV. Inocorrência de ofensa ao art. 5º, XIII, que deve ser interpretado em consonância com o art. 22, XVI, da CF, e com o princípio da moralidade administrativa imposto à administração pública (CF, art. 37, caput).</w:t>
      </w:r>
    </w:p>
    <w:p>
      <w:pPr>
        <w:ind w:left="288"/>
      </w:pPr>
      <w:r>
        <w:rPr>
          <w:b/>
          <w:color w:val="003CA0"/>
          <w:sz w:val="16"/>
        </w:rPr>
        <w:t>[RE 199.088, rel. min. Carlos Velloso, j. 1º-10-1996, 2ª T, DJ de 16-4-1999.]</w:t>
      </w:r>
    </w:p>
    <w:p>
      <w:pPr>
        <w:ind w:left="288"/>
      </w:pPr>
      <w:r>
        <w:rPr>
          <w:color w:val="8C8C8C"/>
          <w:sz w:val="12"/>
        </w:rPr>
        <w:t>cf-art-37</w:t>
      </w:r>
      <w:r>
        <w:rPr>
          <w:color w:val="003CA0"/>
          <w:sz w:val="12"/>
        </w:rPr>
        <w:t xml:space="preserve"> | RE 550.005</w:t>
      </w:r>
      <w:r>
        <w:rPr>
          <w:color w:val="003CA0"/>
          <w:sz w:val="12"/>
        </w:rPr>
        <w:t xml:space="preserve"> | rel. Joaquim Barbosa</w:t>
      </w:r>
    </w:p>
    <w:p>
      <w:pPr>
        <w:ind w:left="288"/>
      </w:pPr>
      <w:r>
        <w:rPr>
          <w:color w:val="1E1E1E"/>
          <w:sz w:val="18"/>
        </w:rPr>
        <w:t>= RE 550.005 AgR, rel. min. Joaquim Barbosa, j. 8-5-2012, 2ª T, DJE de 25-5-2012 Vide ADI 3.541, rel. min. Dias Toffoli, j. 12-2-2014, P, DJE de 24-3-2014 Não cabe ao Banco do Brasil negar ao Ministério Público informações sobre nomes de beneficiários de empréstimos concedidos pela instituição, com recursos subsidiados pelo erário federal, sob invocação do sigilo bancário, em se tratando de requisição de informações e documentos para instruir procedimento administrativo instaurado em defesa do patrimônio público. Princípio da publicidade, ut art. 37 da Constituição.</w:t>
      </w:r>
    </w:p>
    <w:p>
      <w:pPr>
        <w:ind w:left="288"/>
      </w:pPr>
      <w:r>
        <w:rPr>
          <w:b/>
          <w:color w:val="003CA0"/>
          <w:sz w:val="16"/>
        </w:rPr>
        <w:t>[MS 21.729, red. do ac. min. Néri da Silveira, rel. min. Marco Aurélio, j. 5-10-1995, P, DJ de 19-10-2001.]</w:t>
      </w:r>
    </w:p>
    <w:p>
      <w:pPr>
        <w:ind w:left="288"/>
      </w:pPr>
      <w:r>
        <w:rPr>
          <w:color w:val="8C8C8C"/>
          <w:sz w:val="12"/>
        </w:rPr>
        <w:t>cf-art-37</w:t>
      </w:r>
      <w:r>
        <w:rPr>
          <w:color w:val="003CA0"/>
          <w:sz w:val="12"/>
        </w:rPr>
        <w:t xml:space="preserve"> | MS 21.814</w:t>
      </w:r>
      <w:r>
        <w:rPr>
          <w:color w:val="003CA0"/>
          <w:sz w:val="12"/>
        </w:rPr>
        <w:t xml:space="preserve"> | rel. Néri da Silveira</w:t>
      </w:r>
    </w:p>
    <w:p>
      <w:pPr>
        <w:ind w:left="288"/>
      </w:pPr>
      <w:r>
        <w:rPr>
          <w:color w:val="1E1E1E"/>
          <w:sz w:val="18"/>
        </w:rPr>
        <w:t>Impedimentos e suspeição. Presunção juris et de jure de parcialidade. Sendo a própria imparcialidade que se presume atingida, não é possível ao juiz, enquanto tal, praticar ato de seu ofício, jurisdicional ou administrativo, sem essa nota que marca, essencialmente, o caráter do magistrado. Se se desprezarem esses impedimentos, o ato administrativo infringirá os princípios da impessoalidade e moralidade previstos no art. 37 da Constituição.</w:t>
      </w:r>
    </w:p>
    <w:p>
      <w:pPr>
        <w:ind w:left="288"/>
      </w:pPr>
      <w:r>
        <w:rPr>
          <w:b/>
          <w:color w:val="003CA0"/>
          <w:sz w:val="16"/>
        </w:rPr>
        <w:t>[MS 21.814, rel. min. Néri da Silveira, j. 14-4-1994, P, DJ de 10-6-1994.]</w:t>
      </w:r>
    </w:p>
    <w:p>
      <w:pPr>
        <w:ind w:left="144"/>
      </w:pPr>
      <w:r>
        <w:rPr>
          <w:b/>
          <w:color w:val="B45A00"/>
          <w:sz w:val="16"/>
        </w:rPr>
        <w:t>SUMULA VINCULANTE</w:t>
      </w:r>
    </w:p>
    <w:p>
      <w:pPr>
        <w:ind w:left="288"/>
      </w:pPr>
      <w:r>
        <w:rPr>
          <w:color w:val="8C8C8C"/>
          <w:sz w:val="12"/>
        </w:rPr>
        <w:t>cf-art-37-inc-I</w:t>
      </w:r>
    </w:p>
    <w:p>
      <w:pPr>
        <w:ind w:left="288"/>
      </w:pPr>
      <w:r>
        <w:rPr>
          <w:color w:val="1E1E1E"/>
          <w:sz w:val="18"/>
        </w:rPr>
        <w:t>Só por lei se pode sujeitar a exame psicotécnico a habilitação de candidato a cargo público.</w:t>
      </w:r>
    </w:p>
    <w:p>
      <w:pPr>
        <w:ind w:left="288"/>
      </w:pPr>
      <w:r>
        <w:rPr>
          <w:b/>
          <w:color w:val="003CA0"/>
          <w:sz w:val="16"/>
        </w:rPr>
        <w:t>[Súmula Vinculante 44.]</w:t>
      </w:r>
    </w:p>
    <w:p>
      <w:pPr>
        <w:ind w:left="144"/>
      </w:pPr>
      <w:r>
        <w:rPr>
          <w:b/>
          <w:color w:val="B45A00"/>
          <w:sz w:val="16"/>
        </w:rPr>
        <w:t>SUMULA</w:t>
      </w:r>
    </w:p>
    <w:p>
      <w:pPr>
        <w:ind w:left="288"/>
      </w:pPr>
      <w:r>
        <w:rPr>
          <w:color w:val="8C8C8C"/>
          <w:sz w:val="12"/>
        </w:rPr>
        <w:t>cf-art-37-inc-I</w:t>
      </w:r>
    </w:p>
    <w:p>
      <w:pPr>
        <w:ind w:left="288"/>
      </w:pPr>
      <w:r>
        <w:rPr>
          <w:color w:val="1E1E1E"/>
          <w:sz w:val="18"/>
        </w:rPr>
        <w:t>O limite de idade para a inscrição em concurso público só se legitima em face do art. 7º, XXX, da Constituição, quando possa ser justificado pela natureza das atribuições do cargo a ser preenchido.</w:t>
      </w:r>
    </w:p>
    <w:p>
      <w:pPr>
        <w:ind w:left="288"/>
      </w:pPr>
      <w:r>
        <w:rPr>
          <w:b/>
          <w:color w:val="003CA0"/>
          <w:sz w:val="16"/>
        </w:rPr>
        <w:t>[Súmula 683.]</w:t>
      </w:r>
    </w:p>
    <w:p>
      <w:pPr>
        <w:ind w:left="288"/>
      </w:pPr>
      <w:r>
        <w:rPr>
          <w:color w:val="8C8C8C"/>
          <w:sz w:val="12"/>
        </w:rPr>
        <w:t>cf-art-37-inc-I</w:t>
      </w:r>
    </w:p>
    <w:p>
      <w:pPr>
        <w:ind w:left="288"/>
      </w:pPr>
      <w:r>
        <w:rPr>
          <w:color w:val="1E1E1E"/>
          <w:sz w:val="18"/>
        </w:rPr>
        <w:t>Não é admissível, por ato administrativo, restringir, em razão da idade, inscrição em concurso para cargo público.</w:t>
      </w:r>
    </w:p>
    <w:p>
      <w:pPr>
        <w:ind w:left="288"/>
      </w:pPr>
      <w:r>
        <w:rPr>
          <w:b/>
          <w:color w:val="003CA0"/>
          <w:sz w:val="16"/>
        </w:rPr>
        <w:t>[Súmula 14.]</w:t>
      </w:r>
    </w:p>
    <w:p>
      <w:pPr>
        <w:ind w:left="144"/>
      </w:pPr>
      <w:r>
        <w:rPr>
          <w:b/>
          <w:color w:val="B45A00"/>
          <w:sz w:val="16"/>
        </w:rPr>
        <w:t>CONTROLE CONCENTRADO</w:t>
      </w:r>
    </w:p>
    <w:p>
      <w:pPr>
        <w:ind w:left="288"/>
      </w:pPr>
      <w:r>
        <w:rPr>
          <w:color w:val="8C8C8C"/>
          <w:sz w:val="12"/>
        </w:rPr>
        <w:t>cf-art-37-inc-I</w:t>
      </w:r>
      <w:r>
        <w:rPr>
          <w:color w:val="003CA0"/>
          <w:sz w:val="12"/>
        </w:rPr>
        <w:t xml:space="preserve"> | ADI 7.483</w:t>
      </w:r>
      <w:r>
        <w:rPr>
          <w:color w:val="003CA0"/>
          <w:sz w:val="12"/>
        </w:rPr>
        <w:t xml:space="preserve"> | rel. Cristiano Zanin</w:t>
      </w:r>
    </w:p>
    <w:p>
      <w:pPr>
        <w:ind w:left="288"/>
      </w:pPr>
      <w:r>
        <w:rPr>
          <w:color w:val="1E1E1E"/>
          <w:sz w:val="18"/>
        </w:rPr>
        <w:t>A interpretação de que o art. 11 da Lei n. 2.108/1993, do Estado do Rio de Janeiro, pode restringir o acesso de mulheres a cargos da Polícia Militar viola diversos dispositivos e princípios constitucionais, tais como o direito à isonomia e à igualdade entre homens e mulheres (art. 5º, caput e I, da CF), o direito à não discriminação em razão de sexo (art. 3º, IV, da CF), o direito à proteção do mercado de trabalho da mulher (art. 7º, XX, da CF), a proibição à adoção de qualquer critério discriminatório por motivo de sexo, quando da admissão em ocupações públicas (art. 7º, XXX, da CF), o direit</w:t>
      </w:r>
    </w:p>
    <w:p>
      <w:pPr>
        <w:ind w:left="144"/>
      </w:pPr>
      <w:r>
        <w:rPr>
          <w:b/>
          <w:color w:val="B45A00"/>
          <w:sz w:val="16"/>
        </w:rPr>
        <w:t>REPERCUSSAO GERAL</w:t>
      </w:r>
    </w:p>
    <w:p>
      <w:pPr>
        <w:ind w:left="288"/>
      </w:pPr>
      <w:r>
        <w:rPr>
          <w:color w:val="8C8C8C"/>
          <w:sz w:val="12"/>
        </w:rPr>
        <w:t>cf-art-37-inc-I</w:t>
      </w:r>
      <w:r>
        <w:rPr>
          <w:color w:val="003CA0"/>
          <w:sz w:val="12"/>
        </w:rPr>
        <w:t xml:space="preserve"> | RE 1.133.146</w:t>
      </w:r>
      <w:r>
        <w:rPr>
          <w:color w:val="003CA0"/>
          <w:sz w:val="12"/>
        </w:rPr>
        <w:t xml:space="preserve"> | rel. Luiz Fux</w:t>
      </w:r>
    </w:p>
    <w:p>
      <w:pPr>
        <w:ind w:left="288"/>
      </w:pPr>
      <w:r>
        <w:rPr>
          <w:color w:val="1E1E1E"/>
          <w:sz w:val="18"/>
        </w:rPr>
        <w:t>No caso de declaração de nulidade de exame psicotécnico previsto em lei e em edital, é indispensável a realização de nova avaliação, com critérios objetivos, para prosseguimento no certame.</w:t>
      </w:r>
    </w:p>
    <w:p>
      <w:pPr>
        <w:ind w:left="288"/>
      </w:pPr>
      <w:r>
        <w:rPr>
          <w:b/>
          <w:color w:val="003CA0"/>
          <w:sz w:val="16"/>
        </w:rPr>
        <w:t>[RE 1.133.146 RG, rel. min. Luiz Fux, j. 20-9-2018, P, DJE de 26-9-2018, Tema 1.009, com mérito julgado.]</w:t>
      </w:r>
    </w:p>
    <w:p>
      <w:pPr>
        <w:ind w:left="288"/>
      </w:pPr>
      <w:r>
        <w:rPr>
          <w:color w:val="8C8C8C"/>
          <w:sz w:val="12"/>
        </w:rPr>
        <w:t>cf-art-37-inc-I</w:t>
      </w:r>
      <w:r>
        <w:rPr>
          <w:color w:val="003CA0"/>
          <w:sz w:val="12"/>
        </w:rPr>
        <w:t xml:space="preserve"> | RE 898.450</w:t>
      </w:r>
      <w:r>
        <w:rPr>
          <w:color w:val="003CA0"/>
          <w:sz w:val="12"/>
        </w:rPr>
        <w:t xml:space="preserve"> | rel. Luiz Fux</w:t>
      </w:r>
    </w:p>
    <w:p>
      <w:pPr>
        <w:ind w:left="288"/>
      </w:pPr>
      <w:r>
        <w:rPr>
          <w:color w:val="1E1E1E"/>
          <w:sz w:val="18"/>
        </w:rPr>
        <w:t>Os requisitos do edital para o ingresso em cargo, emprego ou função pública devem ter por fundamento lei em sentido formal e material. Editais de concurso público não podem estabelecer restrição a pessoas com tatuagem, salvo situações excepcionais em razão de conteúdo que viole valores constitucionais.</w:t>
      </w:r>
    </w:p>
    <w:p>
      <w:pPr>
        <w:ind w:left="288"/>
      </w:pPr>
      <w:r>
        <w:rPr>
          <w:b/>
          <w:color w:val="003CA0"/>
          <w:sz w:val="16"/>
        </w:rPr>
        <w:t>[RE 898.450, rel. min. Luiz Fux, j. 17-8-2016, P, DJE de 31-5-2017, Tema 838, com mérito julgado.]</w:t>
      </w:r>
    </w:p>
    <w:p>
      <w:pPr>
        <w:ind w:left="288"/>
      </w:pPr>
      <w:r>
        <w:rPr>
          <w:color w:val="8C8C8C"/>
          <w:sz w:val="12"/>
        </w:rPr>
        <w:t>cf-art-37-inc-I</w:t>
      </w:r>
      <w:r>
        <w:rPr>
          <w:color w:val="003CA0"/>
          <w:sz w:val="12"/>
        </w:rPr>
        <w:t xml:space="preserve"> | AI 758.533</w:t>
      </w:r>
      <w:r>
        <w:rPr>
          <w:color w:val="003CA0"/>
          <w:sz w:val="12"/>
        </w:rPr>
        <w:t xml:space="preserve"> | rel. Gilmar Mendes</w:t>
      </w:r>
    </w:p>
    <w:p>
      <w:pPr>
        <w:ind w:left="288"/>
      </w:pPr>
      <w:r>
        <w:rPr>
          <w:color w:val="1E1E1E"/>
          <w:sz w:val="18"/>
        </w:rPr>
        <w:t>Antiga é a jurisprudência desta Corte no sentido de que a exigência de avaliação psicológica ou teste psicotécnico, como requisito ou condição necessária ao acesso a determinados cargos públicos de carreira, somente é possível, nos termos da CF, se houver lei em sentido material (ato emanado do Poder Legislativo) que expressamente a autorize, além de previsão no edital do certame. Ademais, o exame psicotécnico necessita de um grau mínimo de objetividade e de publicidade dos atos em que se procede. A inexistência desses requisitos torna o ato ilegítimo, por não possibilitar o acesso à tutela ju</w:t>
      </w:r>
    </w:p>
    <w:p>
      <w:pPr>
        <w:ind w:left="144"/>
      </w:pPr>
      <w:r>
        <w:rPr>
          <w:b/>
          <w:color w:val="B45A00"/>
          <w:sz w:val="16"/>
        </w:rPr>
        <w:t>JULGADOS CORRELATOS</w:t>
      </w:r>
    </w:p>
    <w:p>
      <w:pPr>
        <w:ind w:left="288"/>
      </w:pPr>
      <w:r>
        <w:rPr>
          <w:color w:val="8C8C8C"/>
          <w:sz w:val="12"/>
        </w:rPr>
        <w:t>cf-art-37-inc-I</w:t>
      </w:r>
      <w:r>
        <w:rPr>
          <w:color w:val="003CA0"/>
          <w:sz w:val="12"/>
        </w:rPr>
        <w:t xml:space="preserve"> | ARE 685.870</w:t>
      </w:r>
      <w:r>
        <w:rPr>
          <w:color w:val="003CA0"/>
          <w:sz w:val="12"/>
        </w:rPr>
        <w:t xml:space="preserve"> | rel. Cármen Lúcia</w:t>
      </w:r>
    </w:p>
    <w:p>
      <w:pPr>
        <w:ind w:left="288"/>
      </w:pPr>
      <w:r>
        <w:rPr>
          <w:color w:val="1E1E1E"/>
          <w:sz w:val="18"/>
        </w:rPr>
        <w:t>Concurso público. Policial civil. Limite de idade. (...) A comprovação do requisito etário estabelecido na lei deve ocorrer no momento da inscrição no certame, e não no momento da inscrição do curso de formação.</w:t>
      </w:r>
    </w:p>
    <w:p>
      <w:pPr>
        <w:ind w:left="288"/>
      </w:pPr>
      <w:r>
        <w:rPr>
          <w:b/>
          <w:color w:val="003CA0"/>
          <w:sz w:val="16"/>
        </w:rPr>
        <w:t>[ARE 685.870 AgR, rel. min. Cármen Lúcia, j. 17-12-2013, 2ª T, DJE de 12-2-2014.]</w:t>
      </w:r>
    </w:p>
    <w:p>
      <w:pPr>
        <w:ind w:left="288"/>
      </w:pPr>
      <w:r>
        <w:rPr>
          <w:color w:val="8C8C8C"/>
          <w:sz w:val="12"/>
        </w:rPr>
        <w:t>cf-art-37-inc-I</w:t>
      </w:r>
      <w:r>
        <w:rPr>
          <w:color w:val="003CA0"/>
          <w:sz w:val="12"/>
        </w:rPr>
        <w:t xml:space="preserve"> | ARE 758.596</w:t>
      </w:r>
      <w:r>
        <w:rPr>
          <w:color w:val="003CA0"/>
          <w:sz w:val="12"/>
        </w:rPr>
        <w:t xml:space="preserve"> | rel. Roberto Barroso</w:t>
      </w:r>
    </w:p>
    <w:p>
      <w:pPr>
        <w:ind w:left="288"/>
      </w:pPr>
      <w:r>
        <w:rPr>
          <w:color w:val="1E1E1E"/>
          <w:sz w:val="18"/>
        </w:rPr>
        <w:t>= ARE 758.596 AgR, rel. min. Roberto Barroso, j. 19-8-2014, 1ª T, DJE de 4-9-2014 Edital que prevê apresentação de documentos que comprove o preenchimento dos requisitos em momento posterior à nomeação e antes da posse. Candidato que não preenche determinado requisito. Não configurado o direito à posse.</w:t>
      </w:r>
    </w:p>
    <w:p>
      <w:pPr>
        <w:ind w:left="288"/>
      </w:pPr>
      <w:r>
        <w:rPr>
          <w:b/>
          <w:color w:val="003CA0"/>
          <w:sz w:val="16"/>
        </w:rPr>
        <w:t>[RE 613.376 ED, rel. min. Gilmar Mendes, j. 13-12-2011, 2ª T, DJE de 17-2-2012.]</w:t>
      </w:r>
    </w:p>
    <w:p>
      <w:pPr>
        <w:ind w:left="288"/>
      </w:pPr>
      <w:r>
        <w:rPr>
          <w:color w:val="8C8C8C"/>
          <w:sz w:val="12"/>
        </w:rPr>
        <w:t>cf-art-37-inc-I</w:t>
      </w:r>
      <w:r>
        <w:rPr>
          <w:color w:val="003CA0"/>
          <w:sz w:val="12"/>
        </w:rPr>
        <w:t xml:space="preserve"> | AI 850.638</w:t>
      </w:r>
      <w:r>
        <w:rPr>
          <w:color w:val="003CA0"/>
          <w:sz w:val="12"/>
        </w:rPr>
        <w:t xml:space="preserve"> | rel. Ricardo Lewandowski</w:t>
      </w:r>
    </w:p>
    <w:p>
      <w:pPr>
        <w:ind w:left="288"/>
      </w:pPr>
      <w:r>
        <w:rPr>
          <w:color w:val="1E1E1E"/>
          <w:sz w:val="18"/>
        </w:rPr>
        <w:t>Concurso público. Reprovação em exame médico. Necessidade de avaliação mediante critérios objetivos. (...) A jurisprudência desta Corte firmou-se no sentido de que devem estar previstos no edital os critérios objetivos do exame médico.</w:t>
      </w:r>
    </w:p>
    <w:p>
      <w:pPr>
        <w:ind w:left="288"/>
      </w:pPr>
      <w:r>
        <w:rPr>
          <w:b/>
          <w:color w:val="003CA0"/>
          <w:sz w:val="16"/>
        </w:rPr>
        <w:t>[AI 850.638 AgR, rel. min. Ricardo Lewandowski, j. 11-10-2011, 2ª T, DJE de 25-10-2011.]</w:t>
      </w:r>
    </w:p>
    <w:p>
      <w:pPr>
        <w:ind w:left="288"/>
      </w:pPr>
      <w:r>
        <w:rPr>
          <w:color w:val="8C8C8C"/>
          <w:sz w:val="12"/>
        </w:rPr>
        <w:t>cf-art-37-inc-I</w:t>
      </w:r>
      <w:r>
        <w:rPr>
          <w:color w:val="003CA0"/>
          <w:sz w:val="12"/>
        </w:rPr>
        <w:t xml:space="preserve"> | RE 346.180</w:t>
      </w:r>
      <w:r>
        <w:rPr>
          <w:color w:val="003CA0"/>
          <w:sz w:val="12"/>
        </w:rPr>
        <w:t xml:space="preserve"> | rel. Joaquim Barbosa</w:t>
      </w:r>
    </w:p>
    <w:p>
      <w:pPr>
        <w:ind w:left="288"/>
      </w:pPr>
      <w:r>
        <w:rPr>
          <w:color w:val="1E1E1E"/>
          <w:sz w:val="18"/>
        </w:rPr>
        <w:t>Cargo público efetivo. Provimento por estrangeiro. (...) Até o advento das Emendas 11/1996 e 19/1998, o núcleo essencial dos direitos atribuídos aos estrangeiros, embora certamente compreendesse as prerrogativas necessárias ao resguardo da dignidade humana, não abrangia um direito à ocupação de cargos públicos efetivos na estrutura administrativa brasileira, consoante a redação primitiva do art. 37, I, da Lei Maior. Portanto, o art. 243, § 6º, da Lei 8.112/1990 estava em consonância com a Lei Maior e permanece em vigor até que surja o diploma exigido pelo novo art. 37, I, da Constituição.</w:t>
      </w:r>
    </w:p>
    <w:p>
      <w:pPr>
        <w:ind w:left="288"/>
      </w:pPr>
      <w:r>
        <w:rPr>
          <w:b/>
          <w:color w:val="003CA0"/>
          <w:sz w:val="16"/>
        </w:rPr>
        <w:t>[RE 346.180 AgR, rel. min. Joaquim Barbosa, j. 14-6-2011, 2ª T, DJE de 1º-8-2011.]</w:t>
      </w:r>
    </w:p>
    <w:p>
      <w:pPr>
        <w:ind w:left="288"/>
      </w:pPr>
      <w:r>
        <w:rPr>
          <w:color w:val="8C8C8C"/>
          <w:sz w:val="12"/>
        </w:rPr>
        <w:t>cf-art-37-inc-I</w:t>
      </w:r>
      <w:r>
        <w:rPr>
          <w:color w:val="003CA0"/>
          <w:sz w:val="12"/>
        </w:rPr>
        <w:t xml:space="preserve"> | RE 350.626</w:t>
      </w:r>
      <w:r>
        <w:rPr>
          <w:color w:val="003CA0"/>
          <w:sz w:val="12"/>
        </w:rPr>
        <w:t xml:space="preserve"> | rel. Dias Toffoli</w:t>
      </w:r>
    </w:p>
    <w:p>
      <w:pPr>
        <w:ind w:left="288"/>
      </w:pPr>
      <w:r>
        <w:rPr>
          <w:color w:val="1E1E1E"/>
          <w:sz w:val="18"/>
        </w:rPr>
        <w:t>= RE 350.626 AgR, rel. min. Dias Toffoli, j. 16-10-2012, 1ª T, DJE de 9-11-2012 Vide RE 544.655 AgR, rel. min. Eros Grau, j. 9-9-2008, 2ª T, DJE de 10-10-2008 Estrangeiro. Acesso ao cargo de professor da rede de ensino do Estado de Roraima. Ausência de norma regulamentadora. (...) Por não ser a norma regulamentadora de que trata o art. 37, I, da Constituição do Brasil matéria reservada à competência privativa da União, deve ser de iniciativa dos Estados-membros.</w:t>
      </w:r>
    </w:p>
    <w:p>
      <w:pPr>
        <w:ind w:left="288"/>
      </w:pPr>
      <w:r>
        <w:rPr>
          <w:b/>
          <w:color w:val="003CA0"/>
          <w:sz w:val="16"/>
        </w:rPr>
        <w:t>[RE 590.663 AgR, rel. min. Eros Grau, j. 15-12-2009, 2ª T, DJE de 12-2-2010.]</w:t>
      </w:r>
    </w:p>
    <w:p>
      <w:pPr>
        <w:ind w:left="288"/>
      </w:pPr>
      <w:r>
        <w:rPr>
          <w:color w:val="8C8C8C"/>
          <w:sz w:val="12"/>
        </w:rPr>
        <w:t>cf-art-37-inc-I</w:t>
      </w:r>
      <w:r>
        <w:rPr>
          <w:color w:val="003CA0"/>
          <w:sz w:val="12"/>
        </w:rPr>
        <w:t xml:space="preserve"> | RE 544.655</w:t>
      </w:r>
      <w:r>
        <w:rPr>
          <w:color w:val="003CA0"/>
          <w:sz w:val="12"/>
        </w:rPr>
        <w:t xml:space="preserve"> | rel. Eros Grau</w:t>
      </w:r>
    </w:p>
    <w:p>
      <w:pPr>
        <w:ind w:left="288"/>
      </w:pPr>
      <w:r>
        <w:rPr>
          <w:color w:val="1E1E1E"/>
          <w:sz w:val="18"/>
        </w:rPr>
        <w:t>Vide RE 544.655 AgR, rel. min. Eros Grau, j. 9-9-2008, 2ª T, DJE de 10-10-2008 A exigência de experiência profissional prevista apenas em edital importa em ofensa constitucional.</w:t>
      </w:r>
    </w:p>
    <w:p>
      <w:pPr>
        <w:ind w:left="288"/>
      </w:pPr>
      <w:r>
        <w:rPr>
          <w:b/>
          <w:color w:val="003CA0"/>
          <w:sz w:val="16"/>
        </w:rPr>
        <w:t>[RE 558.833 AgR, rel. min. Ellen Gracie, j. 8-9-2009, 2ª T, DJE de 25-9-2009.]</w:t>
      </w:r>
    </w:p>
    <w:p>
      <w:pPr>
        <w:ind w:left="288"/>
      </w:pPr>
      <w:r>
        <w:rPr>
          <w:color w:val="8C8C8C"/>
          <w:sz w:val="12"/>
        </w:rPr>
        <w:t>cf-art-37-inc-I</w:t>
      </w:r>
      <w:r>
        <w:rPr>
          <w:color w:val="003CA0"/>
          <w:sz w:val="12"/>
        </w:rPr>
        <w:t xml:space="preserve"> | MS 26.668</w:t>
      </w:r>
      <w:r>
        <w:rPr>
          <w:color w:val="003CA0"/>
          <w:sz w:val="12"/>
        </w:rPr>
        <w:t xml:space="preserve"> | rel. Ricardo Lewandowski</w:t>
      </w:r>
    </w:p>
    <w:p>
      <w:pPr>
        <w:ind w:left="288"/>
      </w:pPr>
      <w:r>
        <w:rPr>
          <w:color w:val="1E1E1E"/>
          <w:sz w:val="18"/>
        </w:rPr>
        <w:t>Concurso público para cargo de técnico de provimento de apoio. Exigência de três anos de habilitação. Inexistência de previsão constitucional. Segurança concedida. O que importa para o cumprimento da finalidade da lei é a existência da habilitação plena no ato da posse. A exigência de habilitação para o exercício do cargo objeto do certame dar-se-á no ato da posse e não da inscrição do concurso.</w:t>
      </w:r>
    </w:p>
    <w:p>
      <w:pPr>
        <w:ind w:left="288"/>
      </w:pPr>
      <w:r>
        <w:rPr>
          <w:b/>
          <w:color w:val="003CA0"/>
          <w:sz w:val="16"/>
        </w:rPr>
        <w:t>[MS 26.668, MS 26.673 e MS 26.810, rel. min. Ricardo Lewandowski, j. 15-4-2009, P, DJE de 29-5-2009.]</w:t>
      </w:r>
    </w:p>
    <w:p>
      <w:pPr>
        <w:ind w:left="288"/>
      </w:pPr>
      <w:r>
        <w:rPr>
          <w:color w:val="8C8C8C"/>
          <w:sz w:val="12"/>
        </w:rPr>
        <w:t>cf-art-37-inc-I</w:t>
      </w:r>
      <w:r>
        <w:rPr>
          <w:color w:val="003CA0"/>
          <w:sz w:val="12"/>
        </w:rPr>
        <w:t xml:space="preserve"> | RE 544.655</w:t>
      </w:r>
      <w:r>
        <w:rPr>
          <w:color w:val="003CA0"/>
          <w:sz w:val="12"/>
        </w:rPr>
        <w:t xml:space="preserve"> | rel. Eros Grau</w:t>
      </w:r>
    </w:p>
    <w:p>
      <w:pPr>
        <w:ind w:left="288"/>
      </w:pPr>
      <w:r>
        <w:rPr>
          <w:color w:val="1E1E1E"/>
          <w:sz w:val="18"/>
        </w:rPr>
        <w:t>O STF fixou entendimento no sentido de que o art. 37, I, da Constituição do Brasil (redação após a EC 19/1998) consubstancia, relativamente ao acesso aos cargos públicos por estrangeiros, preceito constitucional dotado de eficácia limitada, dependendo de regulamentação para produzir efeitos, sendo assim, não autoaplicável.</w:t>
      </w:r>
    </w:p>
    <w:p>
      <w:pPr>
        <w:ind w:left="288"/>
      </w:pPr>
      <w:r>
        <w:rPr>
          <w:b/>
          <w:color w:val="003CA0"/>
          <w:sz w:val="16"/>
        </w:rPr>
        <w:t>[RE 544.655 AgR, rel. min. Eros Grau, j. 9-9-2008, 2ª T, DJE de 10-10-2008.]</w:t>
      </w:r>
    </w:p>
    <w:p>
      <w:pPr>
        <w:ind w:left="288"/>
      </w:pPr>
      <w:r>
        <w:rPr>
          <w:color w:val="8C8C8C"/>
          <w:sz w:val="12"/>
        </w:rPr>
        <w:t>cf-art-37-inc-I</w:t>
      </w:r>
      <w:r>
        <w:rPr>
          <w:color w:val="003CA0"/>
          <w:sz w:val="12"/>
        </w:rPr>
        <w:t xml:space="preserve"> | RE 602.912</w:t>
      </w:r>
      <w:r>
        <w:rPr>
          <w:color w:val="003CA0"/>
          <w:sz w:val="12"/>
        </w:rPr>
        <w:t xml:space="preserve"> | rel. Cármen Lúcia</w:t>
      </w:r>
    </w:p>
    <w:p>
      <w:pPr>
        <w:ind w:left="288"/>
      </w:pPr>
      <w:r>
        <w:rPr>
          <w:color w:val="1E1E1E"/>
          <w:sz w:val="18"/>
        </w:rPr>
        <w:t>= RE 602.912 AgR, rel. min. Cármen Lúcia, j. 9-11-2010, 1ª T, DJE de 2-12-2010 Vide RE 346.180 AgR, rel. min. Joaquim Barbosa, j. 14-6-2011, 2ª T, DJE de 1º-8-2011 Vide RE 590.663 AgR, rel. min. Eros Grau, j. 15-12-2009, 2ª T, DJE de 12-2-2010 CNJ. Anulação do XVIII Concurso para Ingresso na Magistratura do Estado de Rondônia. Ofensa aos princípios da moralidade e impessoalidade. Inocorrência. (...) Não é possível presumir a existência de má-fé ou a ocorrência de irregularidades pelo simples fato de duas das candidatas aprovadas terem sido assessoras de desembargadores integrantes da banca exa</w:t>
      </w:r>
    </w:p>
    <w:p>
      <w:pPr>
        <w:ind w:left="288"/>
      </w:pPr>
      <w:r>
        <w:rPr>
          <w:b/>
          <w:color w:val="003CA0"/>
          <w:sz w:val="16"/>
        </w:rPr>
        <w:t>[MS 26.700, rel. min. Ricardo Lewandowski, j. 21-5-2008, P, DJE de 27-6-2008.]</w:t>
      </w:r>
    </w:p>
    <w:p>
      <w:pPr>
        <w:ind w:left="288"/>
      </w:pPr>
      <w:r>
        <w:rPr>
          <w:color w:val="8C8C8C"/>
          <w:sz w:val="12"/>
        </w:rPr>
        <w:t>cf-art-37-inc-I</w:t>
      </w:r>
      <w:r>
        <w:rPr>
          <w:color w:val="003CA0"/>
          <w:sz w:val="12"/>
        </w:rPr>
        <w:t xml:space="preserve"> | RE 559.823</w:t>
      </w:r>
      <w:r>
        <w:rPr>
          <w:color w:val="003CA0"/>
          <w:sz w:val="12"/>
        </w:rPr>
        <w:t xml:space="preserve"> | rel. Joaquim Barbosa</w:t>
      </w:r>
    </w:p>
    <w:p>
      <w:pPr>
        <w:ind w:left="288"/>
      </w:pPr>
      <w:r>
        <w:rPr>
          <w:color w:val="1E1E1E"/>
          <w:sz w:val="18"/>
        </w:rPr>
        <w:t>A fixação do limite de idade via edital não tem o condão de suprir a exigência constitucional de que tal requisito seja estabelecido por lei.</w:t>
      </w:r>
    </w:p>
    <w:p>
      <w:pPr>
        <w:ind w:left="288"/>
      </w:pPr>
      <w:r>
        <w:rPr>
          <w:b/>
          <w:color w:val="003CA0"/>
          <w:sz w:val="16"/>
        </w:rPr>
        <w:t>[RE 559.823 AgR, rel. min. Joaquim Barbosa, j. 27-11-2007, 2ª T, DJE de 1º-2-2008.]</w:t>
      </w:r>
    </w:p>
    <w:p>
      <w:pPr>
        <w:ind w:left="288"/>
      </w:pPr>
      <w:r>
        <w:rPr>
          <w:color w:val="8C8C8C"/>
          <w:sz w:val="12"/>
        </w:rPr>
        <w:t>cf-art-37-inc-I</w:t>
      </w:r>
      <w:r>
        <w:rPr>
          <w:color w:val="003CA0"/>
          <w:sz w:val="12"/>
        </w:rPr>
        <w:t xml:space="preserve"> | ARE 667.309</w:t>
      </w:r>
      <w:r>
        <w:rPr>
          <w:color w:val="003CA0"/>
          <w:sz w:val="12"/>
        </w:rPr>
        <w:t xml:space="preserve"> | rel. Cármen Lúcia</w:t>
      </w:r>
    </w:p>
    <w:p>
      <w:pPr>
        <w:ind w:left="288"/>
      </w:pPr>
      <w:r>
        <w:rPr>
          <w:color w:val="1E1E1E"/>
          <w:sz w:val="18"/>
        </w:rPr>
        <w:t>= ARE 667.309 AgR, rel. min. Cármen Lúcia, j. 20-3-2012, 1ª T, DJE de 9-4-2012 Vide RE 523.737 AgR, rel. min. Ellen Gracie, j. 22-6-2010, 2ª T, DJE de 6-8-2010 Vide RE 558.833 AgR, rel. min. Ellen Gracie, j. 8-9-2009, 2ª T, DJE de 25-9-2009 O exame psicotécnico, especialmente quando possuir natureza eliminatória, deve revestir-se de rigor científico, submetendo-se, em sua realização, à observância de critérios técnicos que propiciem base objetiva destinada a viabilizar o controle jurisdicional da legalidade, da correção e da razoabilidade dos parâmetros norteadores da formulação e das conclusõ</w:t>
      </w:r>
    </w:p>
    <w:p>
      <w:pPr>
        <w:ind w:left="288"/>
      </w:pPr>
      <w:r>
        <w:rPr>
          <w:b/>
          <w:color w:val="003CA0"/>
          <w:sz w:val="16"/>
        </w:rPr>
        <w:t>[AI 625.617 AgR, rel. min. Celso de Mello, j. 19-6-2007, 2ª T, DJ de 3-8-2007.]</w:t>
      </w:r>
    </w:p>
    <w:p>
      <w:pPr>
        <w:ind w:left="288"/>
      </w:pPr>
      <w:r>
        <w:rPr>
          <w:color w:val="8C8C8C"/>
          <w:sz w:val="12"/>
        </w:rPr>
        <w:t>cf-art-37-inc-I</w:t>
      </w:r>
    </w:p>
    <w:p>
      <w:pPr>
        <w:ind w:left="288"/>
      </w:pPr>
      <w:r>
        <w:rPr>
          <w:color w:val="1E1E1E"/>
          <w:sz w:val="18"/>
        </w:rPr>
        <w:t>II - a investidura em cargo ou emprego público depende de aprovação prévia em concurso público de provas ou de provas e títulos, de acordo com a natureza e a complexidade do cargo ou emprego, na forma prevista em lei, ressalvadas as nomeações para cargo em comissão declarado em lei de livre nomeação e exoneração; (Redação da EC 19/1998)</w:t>
      </w:r>
    </w:p>
    <w:p>
      <w:pPr>
        <w:ind w:left="144"/>
      </w:pPr>
      <w:r>
        <w:rPr>
          <w:b/>
          <w:color w:val="B45A00"/>
          <w:sz w:val="16"/>
        </w:rPr>
        <w:t>SUMULA VINCULANTE</w:t>
      </w:r>
    </w:p>
    <w:p>
      <w:pPr>
        <w:ind w:left="288"/>
      </w:pPr>
      <w:r>
        <w:rPr>
          <w:color w:val="8C8C8C"/>
          <w:sz w:val="12"/>
        </w:rPr>
        <w:t>cf-art-37-inc-I</w:t>
      </w:r>
    </w:p>
    <w:p>
      <w:pPr>
        <w:ind w:left="288"/>
      </w:pPr>
      <w:r>
        <w:rPr>
          <w:color w:val="1E1E1E"/>
          <w:sz w:val="18"/>
        </w:rPr>
        <w:t>É inconstitucional toda modalidade de provimento que propicie ao servidor investir-se, sem prévia aprovação em concurso público destinado ao seu provimento, em cargo que não integra a carreira na qual anteriormente investido.</w:t>
      </w:r>
    </w:p>
    <w:p>
      <w:pPr>
        <w:ind w:left="288"/>
      </w:pPr>
      <w:r>
        <w:rPr>
          <w:b/>
          <w:color w:val="003CA0"/>
          <w:sz w:val="16"/>
        </w:rPr>
        <w:t>[Súmula Vinculante 43.]</w:t>
      </w:r>
    </w:p>
    <w:p>
      <w:pPr>
        <w:ind w:left="144"/>
      </w:pPr>
      <w:r>
        <w:rPr>
          <w:b/>
          <w:color w:val="B45A00"/>
          <w:sz w:val="16"/>
        </w:rPr>
        <w:t>SUMULA</w:t>
      </w:r>
    </w:p>
    <w:p>
      <w:pPr>
        <w:ind w:left="288"/>
      </w:pPr>
      <w:r>
        <w:rPr>
          <w:color w:val="8C8C8C"/>
          <w:sz w:val="12"/>
        </w:rPr>
        <w:t>cf-art-37-inc-I</w:t>
      </w:r>
    </w:p>
    <w:p>
      <w:pPr>
        <w:ind w:left="288"/>
      </w:pPr>
      <w:r>
        <w:rPr>
          <w:color w:val="1E1E1E"/>
          <w:sz w:val="18"/>
        </w:rPr>
        <w:t>É inconstitucional o veto não motivado à participação de candidato a concurso público.</w:t>
      </w:r>
    </w:p>
    <w:p>
      <w:pPr>
        <w:ind w:left="288"/>
      </w:pPr>
      <w:r>
        <w:rPr>
          <w:b/>
          <w:color w:val="003CA0"/>
          <w:sz w:val="16"/>
        </w:rPr>
        <w:t>[Súmula 684.]</w:t>
      </w:r>
    </w:p>
    <w:p>
      <w:pPr>
        <w:ind w:left="288"/>
      </w:pPr>
      <w:r>
        <w:rPr>
          <w:color w:val="8C8C8C"/>
          <w:sz w:val="12"/>
        </w:rPr>
        <w:t>cf-art-37-inc-I</w:t>
      </w:r>
    </w:p>
    <w:p>
      <w:pPr>
        <w:ind w:left="288"/>
      </w:pPr>
      <w:r>
        <w:rPr>
          <w:color w:val="1E1E1E"/>
          <w:sz w:val="18"/>
        </w:rPr>
        <w:t>A nomeação de funcionário sem concurso pode ser desfeita antes da posse.</w:t>
      </w:r>
    </w:p>
    <w:p>
      <w:pPr>
        <w:ind w:left="288"/>
      </w:pPr>
      <w:r>
        <w:rPr>
          <w:b/>
          <w:color w:val="003CA0"/>
          <w:sz w:val="16"/>
        </w:rPr>
        <w:t>[Súmula 17.]</w:t>
      </w:r>
    </w:p>
    <w:p>
      <w:pPr>
        <w:ind w:left="288"/>
      </w:pPr>
      <w:r>
        <w:rPr>
          <w:color w:val="8C8C8C"/>
          <w:sz w:val="12"/>
        </w:rPr>
        <w:t>cf-art-37-inc-I</w:t>
      </w:r>
    </w:p>
    <w:p>
      <w:pPr>
        <w:ind w:left="288"/>
      </w:pPr>
      <w:r>
        <w:rPr>
          <w:color w:val="1E1E1E"/>
          <w:sz w:val="18"/>
        </w:rPr>
        <w:t>Funcionário nomeado por concurso tem direito à posse.</w:t>
      </w:r>
    </w:p>
    <w:p>
      <w:pPr>
        <w:ind w:left="288"/>
      </w:pPr>
      <w:r>
        <w:rPr>
          <w:b/>
          <w:color w:val="003CA0"/>
          <w:sz w:val="16"/>
        </w:rPr>
        <w:t>[Súmula 16.]</w:t>
      </w:r>
    </w:p>
    <w:p>
      <w:pPr>
        <w:ind w:left="288"/>
      </w:pPr>
      <w:r>
        <w:rPr>
          <w:color w:val="8C8C8C"/>
          <w:sz w:val="12"/>
        </w:rPr>
        <w:t>cf-art-37-inc-I</w:t>
      </w:r>
    </w:p>
    <w:p>
      <w:pPr>
        <w:ind w:left="288"/>
      </w:pPr>
      <w:r>
        <w:rPr>
          <w:color w:val="1E1E1E"/>
          <w:sz w:val="18"/>
        </w:rPr>
        <w:t>Dentro do prazo de validade do concurso, o candidato aprovado tem direito à nomeação, quando o cargo for preenchido sem observância da classificação.</w:t>
      </w:r>
    </w:p>
    <w:p>
      <w:pPr>
        <w:ind w:left="288"/>
      </w:pPr>
      <w:r>
        <w:rPr>
          <w:b/>
          <w:color w:val="003CA0"/>
          <w:sz w:val="16"/>
        </w:rPr>
        <w:t>[Súmula 15.]</w:t>
      </w:r>
    </w:p>
    <w:p>
      <w:pPr>
        <w:ind w:left="288"/>
      </w:pPr>
      <w:r>
        <w:rPr>
          <w:color w:val="8C8C8C"/>
          <w:sz w:val="12"/>
        </w:rPr>
        <w:t>cf-art-37-inc-I</w:t>
      </w:r>
      <w:r>
        <w:rPr>
          <w:color w:val="003CA0"/>
          <w:sz w:val="12"/>
        </w:rPr>
        <w:t xml:space="preserve"> | ARE 1.551.254</w:t>
      </w:r>
      <w:r>
        <w:rPr>
          <w:color w:val="003CA0"/>
          <w:sz w:val="12"/>
        </w:rPr>
        <w:t xml:space="preserve"> | rel. Cristiano Zanin</w:t>
      </w:r>
    </w:p>
    <w:p>
      <w:pPr>
        <w:ind w:left="288"/>
      </w:pPr>
      <w:r>
        <w:rPr>
          <w:color w:val="1E1E1E"/>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w:t>
      </w:r>
    </w:p>
    <w:p>
      <w:pPr>
        <w:ind w:left="288"/>
      </w:pPr>
      <w:r>
        <w:rPr>
          <w:b/>
          <w:color w:val="003CA0"/>
          <w:sz w:val="16"/>
        </w:rPr>
        <w:t>[ARE 1.551.254 AgR, rel. min. Cristiano Zanin, j. 22-12-2025, P, DJE de 2-2-2026.]</w:t>
      </w:r>
    </w:p>
    <w:p>
      <w:pPr>
        <w:ind w:left="288"/>
      </w:pPr>
      <w:r>
        <w:rPr>
          <w:color w:val="8C8C8C"/>
          <w:sz w:val="12"/>
        </w:rPr>
        <w:t>cf-art-37-inc-I</w:t>
      </w:r>
      <w:r>
        <w:rPr>
          <w:color w:val="003CA0"/>
          <w:sz w:val="12"/>
        </w:rPr>
        <w:t xml:space="preserve"> | ADI 4.746</w:t>
      </w:r>
      <w:r>
        <w:rPr>
          <w:color w:val="003CA0"/>
          <w:sz w:val="12"/>
        </w:rPr>
        <w:t xml:space="preserve"> | rel. Nunes Marques</w:t>
      </w:r>
    </w:p>
    <w:p>
      <w:pPr>
        <w:ind w:left="288"/>
      </w:pPr>
      <w:r>
        <w:rPr>
          <w:color w:val="1E1E1E"/>
          <w:sz w:val="18"/>
        </w:rPr>
        <w:t>Servidor público. Gratificação de Atividade Judiciária (GAJ). Requisito: “atividades diferenciadas”. (...) Inexistência de afronta à investidura e ao concurso público: a lei estadual questionada não versa sobre o ingresso no serviço público ou investidura em cargo sem prévia aprovação em certame, razão pela qual inocorre afronta aos arts. 37, I e II, e 39, § 1º, II, da Lei Maior. Desvio de função não configurado: o desvio de função se configura pelo desempenho de atividades afetas a rol de atribuições de cargo público diverso daquele ocupado pelo servidor. A hipótese diz com o desempenho de at</w:t>
      </w:r>
    </w:p>
    <w:p>
      <w:pPr>
        <w:ind w:left="288"/>
      </w:pPr>
      <w:r>
        <w:rPr>
          <w:b/>
          <w:color w:val="003CA0"/>
          <w:sz w:val="16"/>
        </w:rPr>
        <w:t>[ADI 4.746, rel. min. Nunes Marques, red. do ac. min. Flávio Dino, j. 06.10.2025, P, DJE de 21.10.2025.]</w:t>
      </w:r>
    </w:p>
    <w:p>
      <w:pPr>
        <w:ind w:left="288"/>
      </w:pPr>
      <w:r>
        <w:rPr>
          <w:color w:val="8C8C8C"/>
          <w:sz w:val="12"/>
        </w:rPr>
        <w:t>cf-art-37-inc-I</w:t>
      </w:r>
      <w:r>
        <w:rPr>
          <w:color w:val="003CA0"/>
          <w:sz w:val="12"/>
        </w:rPr>
        <w:t xml:space="preserve"> | ADI 7.832</w:t>
      </w:r>
      <w:r>
        <w:rPr>
          <w:color w:val="003CA0"/>
          <w:sz w:val="12"/>
        </w:rPr>
        <w:t xml:space="preserve"> | rel. Flávio Dino</w:t>
      </w:r>
    </w:p>
    <w:p>
      <w:pPr>
        <w:ind w:left="288"/>
      </w:pPr>
      <w:r>
        <w:rPr>
          <w:color w:val="1E1E1E"/>
          <w:sz w:val="18"/>
        </w:rPr>
        <w:t>A orientação firmada na Súmula Vinculante nº 43/STF acomoda exceção em caso de reestruturação da Administração Pública, especialmente quando necessária a extinção de entidades ou órgãos. Revela-se possível, nesse contexto, o aproveitamento de servidores mediante novo enquadramento funcional, desde que preenchidos os requisitos de: ( i ) similitude de atribuições; (ii ) equivalência salarial; e (iii ) identidade dos requisitos exigidos em concurso público .</w:t>
      </w:r>
    </w:p>
    <w:p>
      <w:pPr>
        <w:ind w:left="288"/>
      </w:pPr>
      <w:r>
        <w:rPr>
          <w:b/>
          <w:color w:val="003CA0"/>
          <w:sz w:val="16"/>
        </w:rPr>
        <w:t>[ADI 7.832 REF-MC, rel. min. Flávio Dino, j. 25.08.2025, P, DJE de 04.09.2025.]</w:t>
      </w:r>
    </w:p>
    <w:p>
      <w:pPr>
        <w:ind w:left="144"/>
      </w:pPr>
      <w:r>
        <w:rPr>
          <w:b/>
          <w:color w:val="B45A00"/>
          <w:sz w:val="16"/>
        </w:rPr>
        <w:t>CONTROLE CONCENTRADO</w:t>
      </w:r>
    </w:p>
    <w:p>
      <w:pPr>
        <w:ind w:left="288"/>
      </w:pPr>
      <w:r>
        <w:rPr>
          <w:color w:val="8C8C8C"/>
          <w:sz w:val="12"/>
        </w:rPr>
        <w:t>cf-art-37-inc-I</w:t>
      </w:r>
      <w:r>
        <w:rPr>
          <w:color w:val="003CA0"/>
          <w:sz w:val="12"/>
        </w:rPr>
        <w:t xml:space="preserve"> | ADI 7.602</w:t>
      </w:r>
      <w:r>
        <w:rPr>
          <w:color w:val="003CA0"/>
          <w:sz w:val="12"/>
        </w:rPr>
        <w:t xml:space="preserve"> | rel. Alexandre de Moraes</w:t>
      </w:r>
    </w:p>
    <w:p>
      <w:pPr>
        <w:ind w:left="288"/>
      </w:pPr>
      <w:r>
        <w:rPr>
          <w:color w:val="1E1E1E"/>
          <w:sz w:val="18"/>
        </w:rPr>
        <w:t>“Os escreventes juramentados, detentores de vínculos trabalhistas com cartórios não oficializados e admitidos por meio de concurso público antes do advento da Lei federal 8.935/1994, não estão abrangidos pelo art. 48 dessa lei, que trata exclusivamente de escreventes estatutários, pelo que devem permanecer vinculados à legislação trabalhista, sob pena de violação ao art. 37, II, da Constituição”.</w:t>
        <w:br/>
        <w:t>[ADI 7.602, rel. min. Alexandre de Moraes, j. 12.11.2024, P, DJE de 21.11.2024.] “1. É constitucional a criação de órgão para assessoramento e consultoria jurídica de Tribunal de Contas, podendo, toda</w:t>
      </w:r>
    </w:p>
    <w:p>
      <w:pPr>
        <w:ind w:left="288"/>
      </w:pPr>
      <w:r>
        <w:rPr>
          <w:b/>
          <w:color w:val="003CA0"/>
          <w:sz w:val="16"/>
        </w:rPr>
        <w:t>[ADI 3.748, rel. min. Marco Aurélio, red. do ac. min. Dias Toffoli, j. 16.6.2023, P, DJE de 17.8.2023.]</w:t>
      </w:r>
    </w:p>
    <w:p>
      <w:pPr>
        <w:ind w:left="288"/>
      </w:pPr>
      <w:r>
        <w:rPr>
          <w:color w:val="8C8C8C"/>
          <w:sz w:val="12"/>
        </w:rPr>
        <w:t>cf-art-37-inc-I</w:t>
      </w:r>
      <w:r>
        <w:rPr>
          <w:color w:val="003CA0"/>
          <w:sz w:val="12"/>
        </w:rPr>
        <w:t xml:space="preserve"> | ADPF 573</w:t>
      </w:r>
      <w:r>
        <w:rPr>
          <w:color w:val="003CA0"/>
          <w:sz w:val="12"/>
        </w:rPr>
        <w:t xml:space="preserve"> | rel. Roberto Barroso</w:t>
      </w:r>
    </w:p>
    <w:p>
      <w:pPr>
        <w:ind w:left="288"/>
      </w:pPr>
      <w:r>
        <w:rPr>
          <w:color w:val="1E1E1E"/>
          <w:sz w:val="18"/>
        </w:rPr>
        <w:t>(...) É incompatível com a regra do concurso público (art. 37, II, CF) a transformação de servidores celetistas não concursados em estatutários, com exceção daqueles detentores da estabilidade excepcional (art. 19 do ADCT) (...).</w:t>
        <w:br/>
        <w:t>[ADPF 573, rel. min. Roberto Barroso, j. 6-3-2023, P, DJE de 9-3-2023.] A equiparação de carreira de nível médio a outra de nível superior constitui forma de provimento derivado vedada pelo art. 37, II, da CF/88.</w:t>
      </w:r>
    </w:p>
    <w:p>
      <w:pPr>
        <w:ind w:left="288"/>
      </w:pPr>
      <w:r>
        <w:rPr>
          <w:b/>
          <w:color w:val="003CA0"/>
          <w:sz w:val="16"/>
        </w:rPr>
        <w:t>[ADI 5.299, rel. min. Roberto Barroso, j. 22-2-2023, P, DJE de 8-3-2023.]</w:t>
      </w:r>
    </w:p>
    <w:p>
      <w:pPr>
        <w:ind w:left="288"/>
      </w:pPr>
      <w:r>
        <w:rPr>
          <w:color w:val="8C8C8C"/>
          <w:sz w:val="12"/>
        </w:rPr>
        <w:t>cf-art-37-inc-I</w:t>
      </w:r>
      <w:r>
        <w:rPr>
          <w:color w:val="003CA0"/>
          <w:sz w:val="12"/>
        </w:rPr>
        <w:t xml:space="preserve"> | ADI 3.918</w:t>
      </w:r>
      <w:r>
        <w:rPr>
          <w:color w:val="003CA0"/>
          <w:sz w:val="12"/>
        </w:rPr>
        <w:t xml:space="preserve"> | rel. Dias Toffoli</w:t>
      </w:r>
    </w:p>
    <w:p>
      <w:pPr>
        <w:ind w:left="288"/>
      </w:pPr>
      <w:r>
        <w:rPr>
          <w:color w:val="1E1E1E"/>
          <w:sz w:val="18"/>
        </w:rPr>
        <w:t xml:space="preserve">A noção de igualdade não se encerra em sua dimensão meramente formal, de igualdade perante a lei. Ela contempla ainda um caráter material, pelo qual se busca concretizar a justiça social e os outros objetivos fundamentais da República (art. 3º da CRFB/88). É com base nesse viés material que a lei eventualmente estabelece distinções a fim de compensar os indivíduos que se encontram em situação desprivilegiada para elevá-los ao patamar dos demais. No caso em apreço, o critério utilizado pela norma para a isenção da taxa de inscrição nos concursos públicos estaduais foi a existência da qualidade </w:t>
      </w:r>
    </w:p>
    <w:p>
      <w:pPr>
        <w:ind w:left="288"/>
      </w:pPr>
      <w:r>
        <w:rPr>
          <w:b/>
          <w:color w:val="003CA0"/>
          <w:sz w:val="16"/>
        </w:rPr>
        <w:t>[ADI 3.918, rel. min. Dias Toffoli, j. 16-5-2022, P, DJE de 9-6-2022.]</w:t>
      </w:r>
    </w:p>
    <w:p>
      <w:pPr>
        <w:ind w:left="288"/>
      </w:pPr>
      <w:r>
        <w:rPr>
          <w:color w:val="8C8C8C"/>
          <w:sz w:val="12"/>
        </w:rPr>
        <w:t>cf-art-37-inc-I</w:t>
      </w:r>
      <w:r>
        <w:rPr>
          <w:color w:val="003CA0"/>
          <w:sz w:val="12"/>
        </w:rPr>
        <w:t xml:space="preserve"> | ADI 6.669</w:t>
      </w:r>
      <w:r>
        <w:rPr>
          <w:color w:val="003CA0"/>
          <w:sz w:val="12"/>
        </w:rPr>
        <w:t xml:space="preserve"> | rel. Nunes Marques</w:t>
      </w:r>
    </w:p>
    <w:p>
      <w:pPr>
        <w:ind w:left="288"/>
      </w:pPr>
      <w:r>
        <w:rPr>
          <w:color w:val="1E1E1E"/>
          <w:sz w:val="18"/>
        </w:rPr>
        <w:t xml:space="preserve">Conforme interpretação harmônica da Constituição Federal, o meio de provimento dos cargos de Oficial Capelão é o concurso público. Não se deve vincular a indicação de cargos que, no fundo, procuram manter a liberdade religiosa, ao arbítrio do Chefe do Executivo. (...) O concurso público é a forma de ingresso no serviço público mais segura e prudente a fim de que os ocupantes do cargo de Oficial Capelão sejam livres para professar a fé na qual estão imbuídos, sem indevidas interferências que poderiam ocorrer se o provimento se desse por nomeação para cargo de confiança pelo Chefe do Executivo. </w:t>
      </w:r>
    </w:p>
    <w:p>
      <w:pPr>
        <w:ind w:left="288"/>
      </w:pPr>
      <w:r>
        <w:rPr>
          <w:b/>
          <w:color w:val="003CA0"/>
          <w:sz w:val="16"/>
        </w:rPr>
        <w:t>[ADI 6.669, rel. min. Nunes Marques, j. 11-10-2021, Plenário, DJE de 25-11-2021.]</w:t>
      </w:r>
    </w:p>
    <w:p>
      <w:pPr>
        <w:ind w:left="288"/>
      </w:pPr>
      <w:r>
        <w:rPr>
          <w:color w:val="8C8C8C"/>
          <w:sz w:val="12"/>
        </w:rPr>
        <w:t>cf-art-37-inc-I</w:t>
      </w:r>
      <w:r>
        <w:rPr>
          <w:color w:val="003CA0"/>
          <w:sz w:val="12"/>
        </w:rPr>
        <w:t xml:space="preserve"> | ADI 3.917</w:t>
      </w:r>
      <w:r>
        <w:rPr>
          <w:color w:val="003CA0"/>
          <w:sz w:val="12"/>
        </w:rPr>
        <w:t xml:space="preserve"> | rel. Gilmar Mendes</w:t>
      </w:r>
    </w:p>
    <w:p>
      <w:pPr>
        <w:ind w:left="288"/>
      </w:pPr>
      <w:r>
        <w:rPr>
          <w:color w:val="1E1E1E"/>
          <w:sz w:val="18"/>
        </w:rPr>
        <w:t>Cessão, com ou sem ônus para o órgão cessionário, de empregados de entidades integrantes dos serviços sociais autônomos e de organizações sociais que mantenham contrato de gestão com o Estado do Ceará. Constitucional (...) Inexistência de ofensa ao artigo 37, II, da Constituição Federal, uma vez que o empregado cedido exercerá cargo em confiança, de livre nomeação e exoneração, nos termos do convênio pactuado.</w:t>
      </w:r>
    </w:p>
    <w:p>
      <w:pPr>
        <w:ind w:left="288"/>
      </w:pPr>
      <w:r>
        <w:rPr>
          <w:b/>
          <w:color w:val="003CA0"/>
          <w:sz w:val="16"/>
        </w:rPr>
        <w:t>[ADI 3.917, rel. min. Gilmar Mendes, j. 3-5-2021, P, DJE de 13-5-2021.]</w:t>
      </w:r>
    </w:p>
    <w:p>
      <w:pPr>
        <w:ind w:left="288"/>
      </w:pPr>
      <w:r>
        <w:rPr>
          <w:color w:val="8C8C8C"/>
          <w:sz w:val="12"/>
        </w:rPr>
        <w:t>cf-art-37-inc-I</w:t>
      </w:r>
      <w:r>
        <w:rPr>
          <w:color w:val="003CA0"/>
          <w:sz w:val="12"/>
        </w:rPr>
        <w:t xml:space="preserve"> | ADI 5.387</w:t>
      </w:r>
      <w:r>
        <w:rPr>
          <w:color w:val="003CA0"/>
          <w:sz w:val="12"/>
        </w:rPr>
        <w:t xml:space="preserve"> | rel. Marco Aurélio</w:t>
      </w:r>
    </w:p>
    <w:p>
      <w:pPr>
        <w:ind w:left="288"/>
      </w:pPr>
      <w:r>
        <w:rPr>
          <w:color w:val="1E1E1E"/>
          <w:sz w:val="18"/>
        </w:rPr>
        <w:t>A Lei 3.869, de 19 de março de 2013, do Estado do Amazonas, por meio da qual criado o ‘Programa de Residência Jurídica – PRJ’ no âmbito da Procuradoria-Geral do Estado, dispõe sobre simples estágio visando o aperfeiçoamento de bacharéis em Direito. Previu-se a existência de aulas teóricas e atividades práticas, afastada a possibilidade de exercício de atividade privativa de procurador do Estado e outros titulares de cargos públicos da área jurídica, sendo vedado, ao estagiário, praticar atos que possam vincular a Administração Pública – artigo 7º. No artigo 8º, estabeleceu-se, pedagogicamente,</w:t>
      </w:r>
    </w:p>
    <w:p>
      <w:pPr>
        <w:ind w:left="288"/>
      </w:pPr>
      <w:r>
        <w:rPr>
          <w:b/>
          <w:color w:val="003CA0"/>
          <w:sz w:val="16"/>
        </w:rPr>
        <w:t>[ADI 5.387, voto do rel. min. Marco Aurélio, j. 17-2-2021, P, DJE de 1º-3-2021.]</w:t>
      </w:r>
    </w:p>
    <w:p>
      <w:pPr>
        <w:ind w:left="288"/>
      </w:pPr>
      <w:r>
        <w:rPr>
          <w:color w:val="8C8C8C"/>
          <w:sz w:val="12"/>
        </w:rPr>
        <w:t>cf-art-37-inc-I</w:t>
      </w:r>
      <w:r>
        <w:rPr>
          <w:color w:val="003CA0"/>
          <w:sz w:val="12"/>
        </w:rPr>
        <w:t xml:space="preserve"> | ADI 5.406</w:t>
      </w:r>
      <w:r>
        <w:rPr>
          <w:color w:val="003CA0"/>
          <w:sz w:val="12"/>
        </w:rPr>
        <w:t xml:space="preserve"> | rel. Edson Fachin</w:t>
      </w:r>
    </w:p>
    <w:p>
      <w:pPr>
        <w:ind w:left="288"/>
      </w:pPr>
      <w:r>
        <w:rPr>
          <w:color w:val="1E1E1E"/>
          <w:sz w:val="18"/>
        </w:rPr>
        <w:t>A reestruturação de cargos, fundada em evolução legislativa de aproximação e na progressiva identificação de atribuições, não viola o princípio do concurso público quando: (i) uniformidade de atribuições entre os cargos extintos e aquele no qual serão os servidores reenquadrados; (ii) identidade dos requisitos de escolaridade para ingresso no cargo público; (iii) identidade remuneratória entre o cargo criado e aqueles extintos.</w:t>
      </w:r>
    </w:p>
    <w:p>
      <w:pPr>
        <w:ind w:left="288"/>
      </w:pPr>
      <w:r>
        <w:rPr>
          <w:b/>
          <w:color w:val="003CA0"/>
          <w:sz w:val="16"/>
        </w:rPr>
        <w:t>[ADI 5.406, rel. min. Edson Fachin, j. 27-4-2020, P, DJE de 26-6-2020.]</w:t>
      </w:r>
    </w:p>
    <w:p>
      <w:pPr>
        <w:ind w:left="288"/>
      </w:pPr>
      <w:r>
        <w:rPr>
          <w:color w:val="8C8C8C"/>
          <w:sz w:val="12"/>
        </w:rPr>
        <w:t>cf-art-37-inc-I</w:t>
      </w:r>
      <w:r>
        <w:rPr>
          <w:color w:val="003CA0"/>
          <w:sz w:val="12"/>
        </w:rPr>
        <w:t xml:space="preserve"> | ADPF 482</w:t>
      </w:r>
      <w:r>
        <w:rPr>
          <w:color w:val="003CA0"/>
          <w:sz w:val="12"/>
        </w:rPr>
        <w:t xml:space="preserve"> | rel. Alexandre de Moraes</w:t>
      </w:r>
    </w:p>
    <w:p>
      <w:pPr>
        <w:ind w:left="288"/>
      </w:pPr>
      <w:r>
        <w:rPr>
          <w:color w:val="1E1E1E"/>
          <w:sz w:val="18"/>
        </w:rPr>
        <w:t>A remoção, por permuta nacional, entre membros do Ministério Público dos Estados e entre esses e membros do Ministério Público do Distrito Federal e Territórios, admitida na decisão impugnada, equivale à transferência, ou seja, forma de ingresso em carreira diversa daquela para a qual o servidor público ingressou por concurso, vedada pelo art. 37, II, da Constituição Federal e pela Súmula Vinculante 43 (...).</w:t>
      </w:r>
    </w:p>
    <w:p>
      <w:pPr>
        <w:ind w:left="288"/>
      </w:pPr>
      <w:r>
        <w:rPr>
          <w:b/>
          <w:color w:val="003CA0"/>
          <w:sz w:val="16"/>
        </w:rPr>
        <w:t>[ADPF 482, rel. min. Alexandre de Moraes, j. 3-3-2020, P, DJE de 12-3-2020.]</w:t>
      </w:r>
    </w:p>
    <w:p>
      <w:pPr>
        <w:ind w:left="288"/>
      </w:pPr>
      <w:r>
        <w:rPr>
          <w:color w:val="8C8C8C"/>
          <w:sz w:val="12"/>
        </w:rPr>
        <w:t>cf-art-37-inc-I</w:t>
      </w:r>
      <w:r>
        <w:rPr>
          <w:color w:val="003CA0"/>
          <w:sz w:val="12"/>
        </w:rPr>
        <w:t xml:space="preserve"> | ADI 2.333</w:t>
      </w:r>
      <w:r>
        <w:rPr>
          <w:color w:val="003CA0"/>
          <w:sz w:val="12"/>
        </w:rPr>
        <w:t xml:space="preserve"> | rel. Marco Aurélio</w:t>
      </w:r>
    </w:p>
    <w:p>
      <w:pPr>
        <w:ind w:left="288"/>
      </w:pPr>
      <w:r>
        <w:rPr>
          <w:color w:val="1E1E1E"/>
          <w:sz w:val="18"/>
        </w:rPr>
        <w:t>Surge constitucional ato normativo que, sem versar ascensão funcional, estabelece exigência de escolaridade para transposição de classes, prevendo transformação, ante similitude entre a função extinta e aquela que a substituiu.</w:t>
      </w:r>
    </w:p>
    <w:p>
      <w:pPr>
        <w:ind w:left="288"/>
      </w:pPr>
      <w:r>
        <w:rPr>
          <w:b/>
          <w:color w:val="003CA0"/>
          <w:sz w:val="16"/>
        </w:rPr>
        <w:t>[ADI 2.333, rel. min. Marco Aurélio, j. 10-10-2019, P, DJE de 25-10-2019.]</w:t>
      </w:r>
    </w:p>
    <w:p>
      <w:pPr>
        <w:ind w:left="288"/>
      </w:pPr>
      <w:r>
        <w:rPr>
          <w:color w:val="8C8C8C"/>
          <w:sz w:val="12"/>
        </w:rPr>
        <w:t>cf-art-37-inc-I</w:t>
      </w:r>
      <w:r>
        <w:rPr>
          <w:color w:val="003CA0"/>
          <w:sz w:val="12"/>
        </w:rPr>
        <w:t xml:space="preserve"> | ADI 2.177</w:t>
      </w:r>
      <w:r>
        <w:rPr>
          <w:color w:val="003CA0"/>
          <w:sz w:val="12"/>
        </w:rPr>
        <w:t xml:space="preserve"> | rel. Gilmar Mendes</w:t>
      </w:r>
    </w:p>
    <w:p>
      <w:pPr>
        <w:ind w:left="288"/>
      </w:pPr>
      <w:r>
        <w:rPr>
          <w:color w:val="1E1E1E"/>
          <w:sz w:val="18"/>
        </w:rPr>
        <w:t>Lei 11.289/1999, do Estado de Santa Catarina. Isenção da taxa de inscrição em concursos públicos para candidatos de baixa renda. (...) Não viola o princípio da isonomia a diferenciação entre os candidatos, para fins de pagamento da contraprestação financeira para participação no certame, com fundamento em sua renda declarada.</w:t>
      </w:r>
    </w:p>
    <w:p>
      <w:pPr>
        <w:ind w:left="288"/>
      </w:pPr>
      <w:r>
        <w:rPr>
          <w:b/>
          <w:color w:val="003CA0"/>
          <w:sz w:val="16"/>
        </w:rPr>
        <w:t>[ADI 2.177, rel. min. Gilmar Mendes, j. 4-10-2019, P, DJE de 17-10-2019.]</w:t>
      </w:r>
    </w:p>
    <w:p>
      <w:pPr>
        <w:ind w:left="288"/>
      </w:pPr>
      <w:r>
        <w:rPr>
          <w:color w:val="8C8C8C"/>
          <w:sz w:val="12"/>
        </w:rPr>
        <w:t>cf-art-37-inc-I</w:t>
      </w:r>
      <w:r>
        <w:rPr>
          <w:color w:val="003CA0"/>
          <w:sz w:val="12"/>
        </w:rPr>
        <w:t xml:space="preserve"> | ADI 2.986</w:t>
      </w:r>
      <w:r>
        <w:rPr>
          <w:color w:val="003CA0"/>
          <w:sz w:val="12"/>
        </w:rPr>
        <w:t xml:space="preserve"> | rel. Alexandre de Moraes</w:t>
      </w:r>
    </w:p>
    <w:p>
      <w:pPr>
        <w:ind w:left="288"/>
      </w:pPr>
      <w:r>
        <w:rPr>
          <w:color w:val="1E1E1E"/>
          <w:sz w:val="18"/>
        </w:rPr>
        <w:t>A primeira das hipóteses de readmissão do art. 40, caput, da Lei 10.961/1992 do Estado de Minas Gerais enuncia espécie de anistia, permitindo o retorno de servidor afastado por motivos exclusivamente políticos. Readmissão que não conflita com a Constituição Federal, sobretudo porque a lei mineira exige que o desligamento tenha sido efetuado à míngua de qualquer processo administrativo, o que não é admitido pela jurisprudência do Supremo Tribunal Federal, mesmo no que se refere a servidores não estáveis. (...) Por outro lado, a parte final do mesmo artigo 40, caput, que autoriza reintegração de</w:t>
      </w:r>
    </w:p>
    <w:p>
      <w:pPr>
        <w:ind w:left="288"/>
      </w:pPr>
      <w:r>
        <w:rPr>
          <w:b/>
          <w:color w:val="003CA0"/>
          <w:sz w:val="16"/>
        </w:rPr>
        <w:t>[ADI 2.986, rel. min. Alexandre de Moraes, j. 23-8-2019, P, DJE de 9-9-2019.]</w:t>
      </w:r>
    </w:p>
    <w:p>
      <w:pPr>
        <w:ind w:left="288"/>
      </w:pPr>
      <w:r>
        <w:rPr>
          <w:color w:val="8C8C8C"/>
          <w:sz w:val="12"/>
        </w:rPr>
        <w:t>cf-art-37-inc-I</w:t>
      </w:r>
      <w:r>
        <w:rPr>
          <w:color w:val="003CA0"/>
          <w:sz w:val="12"/>
        </w:rPr>
        <w:t xml:space="preserve"> | ADI 3.434</w:t>
      </w:r>
      <w:r>
        <w:rPr>
          <w:color w:val="003CA0"/>
          <w:sz w:val="12"/>
        </w:rPr>
        <w:t xml:space="preserve"> | rel. Roberto Barroso</w:t>
      </w:r>
    </w:p>
    <w:p>
      <w:pPr>
        <w:ind w:left="288"/>
      </w:pPr>
      <w:r>
        <w:rPr>
          <w:color w:val="1E1E1E"/>
          <w:sz w:val="18"/>
        </w:rPr>
        <w:t>Ação direta em que se discute a constitucionalidade do art. 48, caput e parágrafo único, da Lei Complementar 38/2004 do Estado do Piauí, que autoriza o aproveitamento de prestadores de serviços, com 10 (dez) ou mais anos de serviço ininterruptos comprovados ao Estado, em cargos da Administração Pública sem a devida realização de concurso público. O dispositivo impugnado cria situação vedada pelo art. 37, II, da Constituição, ao permitir o ingresso no serviço público de prestadores de serviços sem a realização de concurso público.</w:t>
      </w:r>
    </w:p>
    <w:p>
      <w:pPr>
        <w:ind w:left="288"/>
      </w:pPr>
      <w:r>
        <w:rPr>
          <w:b/>
          <w:color w:val="003CA0"/>
          <w:sz w:val="16"/>
        </w:rPr>
        <w:t>[ADI 3.434, rel. min. Roberto Barroso, j. 23-8-2019, P, DJE de 6-9-2019.]</w:t>
      </w:r>
    </w:p>
    <w:p>
      <w:pPr>
        <w:ind w:left="288"/>
      </w:pPr>
      <w:r>
        <w:rPr>
          <w:color w:val="8C8C8C"/>
          <w:sz w:val="12"/>
        </w:rPr>
        <w:t>cf-art-37-inc-I</w:t>
      </w:r>
      <w:r>
        <w:rPr>
          <w:color w:val="003CA0"/>
          <w:sz w:val="12"/>
        </w:rPr>
        <w:t xml:space="preserve"> | ADI 1.240</w:t>
      </w:r>
      <w:r>
        <w:rPr>
          <w:color w:val="003CA0"/>
          <w:sz w:val="12"/>
        </w:rPr>
        <w:t xml:space="preserve"> | rel. Cármen Lúcia</w:t>
      </w:r>
    </w:p>
    <w:p>
      <w:pPr>
        <w:ind w:left="288"/>
      </w:pPr>
      <w:r>
        <w:rPr>
          <w:color w:val="1E1E1E"/>
          <w:sz w:val="18"/>
        </w:rPr>
        <w:t>Questionamento de validade constitucional do § 1º do art. 18 (...) da Lei 8.691/1993, pela qual se dispõe sobre o plano de carreiras para a área de ciência e tecnologia da administração direta, das autarquias e das fundações públicas federais. (..) a possibilidade de ingresso imediato no último padrão da classe mais elevada do nível superior contraria os princípios da igualdade e da impessoalidade pelos quais se rege o concurso público. Declaração de inconstitucionalidade com efeitos ex nunc.</w:t>
      </w:r>
    </w:p>
    <w:p>
      <w:pPr>
        <w:ind w:left="288"/>
      </w:pPr>
      <w:r>
        <w:rPr>
          <w:b/>
          <w:color w:val="003CA0"/>
          <w:sz w:val="16"/>
        </w:rPr>
        <w:t>[ADI 1.240, rel. min. Cármen Lúcia, j. 28-2-2019, P, DJE de 28-6-2019.]</w:t>
      </w:r>
    </w:p>
    <w:p>
      <w:pPr>
        <w:ind w:left="288"/>
      </w:pPr>
      <w:r>
        <w:rPr>
          <w:color w:val="8C8C8C"/>
          <w:sz w:val="12"/>
        </w:rPr>
        <w:t>cf-art-37-inc-I</w:t>
      </w:r>
      <w:r>
        <w:rPr>
          <w:color w:val="003CA0"/>
          <w:sz w:val="12"/>
        </w:rPr>
        <w:t xml:space="preserve"> | ADI 5.776</w:t>
      </w:r>
      <w:r>
        <w:rPr>
          <w:color w:val="003CA0"/>
          <w:sz w:val="12"/>
        </w:rPr>
        <w:t xml:space="preserve"> | rel. Alexandre de Moraes</w:t>
      </w:r>
    </w:p>
    <w:p>
      <w:pPr>
        <w:ind w:left="288"/>
      </w:pPr>
      <w:r>
        <w:rPr>
          <w:color w:val="1E1E1E"/>
          <w:sz w:val="18"/>
        </w:rPr>
        <w:t>Lei Estadual 6.677/1994 do Estado da Bahia. Concurso público. Empate entre candidatos. Preferência em ordem de classificação a candidato que contar mais tempo de serviço prestado ao ente. (...) Como corolário do princípio da isonomia posto em seu art. 5º, caput, a Constituição Federal enuncia expressamente, no inciso III do art. 19, que é vedado à União, aos Estados, ao Distrito Federal e aos Municípios criar distinções entre brasileiros ou preferências entre si. O dispositivo legal impugnado tem o claro propósito de conferir tratamento mais favorável a servidores do Estado da Bahia, em detrim</w:t>
      </w:r>
    </w:p>
    <w:p>
      <w:pPr>
        <w:ind w:left="288"/>
      </w:pPr>
      <w:r>
        <w:rPr>
          <w:b/>
          <w:color w:val="003CA0"/>
          <w:sz w:val="16"/>
        </w:rPr>
        <w:t>[ADI 5.776, rel. min. Alexandre de Moraes, j. 19-12-2018, P, DJE de 3-4-2019.]</w:t>
      </w:r>
    </w:p>
    <w:p>
      <w:pPr>
        <w:ind w:left="288"/>
      </w:pPr>
      <w:r>
        <w:rPr>
          <w:color w:val="8C8C8C"/>
          <w:sz w:val="12"/>
        </w:rPr>
        <w:t>cf-art-37-inc-I</w:t>
      </w:r>
      <w:r>
        <w:rPr>
          <w:color w:val="003CA0"/>
          <w:sz w:val="12"/>
        </w:rPr>
        <w:t xml:space="preserve"> | ADI 5.044</w:t>
      </w:r>
      <w:r>
        <w:rPr>
          <w:color w:val="003CA0"/>
          <w:sz w:val="12"/>
        </w:rPr>
        <w:t xml:space="preserve"> | rel. Alexandre de Moraes</w:t>
      </w:r>
    </w:p>
    <w:p>
      <w:pPr>
        <w:ind w:left="288"/>
      </w:pPr>
      <w:r>
        <w:rPr>
          <w:color w:val="1E1E1E"/>
          <w:sz w:val="18"/>
        </w:rPr>
        <w:t xml:space="preserve">Conforme a Jurisprudência desta Suprema Corte, a adoção de requisitos de capacidade física para o acesso a cargos públicos deve observar critérios idôneos e proporcionais de seleção, que guardem correlação com as atividades a serem desempenhadas pelo servidor. A norma contida no § 2º do art. 11 da Lei Federal 7.479/1986, no que se refere aos médicos e aos capelães, é incompatível com a Constituição Federal. Com relação ao restante da carreira de bombeiro-militar, não há ofensa aos princípios constitucionais da impessoalidade, da moralidade, da eficiência ou da proporcionalidade. Os limites de </w:t>
      </w:r>
    </w:p>
    <w:p>
      <w:pPr>
        <w:ind w:left="288"/>
      </w:pPr>
      <w:r>
        <w:rPr>
          <w:b/>
          <w:color w:val="003CA0"/>
          <w:sz w:val="16"/>
        </w:rPr>
        <w:t>[ADI 5.044, rel. min. Alexandre de Moraes, j. 11-10-2018, P, DJE de 27-6-2019.]</w:t>
      </w:r>
    </w:p>
    <w:p>
      <w:pPr>
        <w:ind w:left="288"/>
      </w:pPr>
      <w:r>
        <w:rPr>
          <w:color w:val="8C8C8C"/>
          <w:sz w:val="12"/>
        </w:rPr>
        <w:t>cf-art-37-inc-I</w:t>
      </w:r>
      <w:r>
        <w:rPr>
          <w:color w:val="003CA0"/>
          <w:sz w:val="12"/>
        </w:rPr>
        <w:t xml:space="preserve"> | ADC 41</w:t>
      </w:r>
      <w:r>
        <w:rPr>
          <w:color w:val="003CA0"/>
          <w:sz w:val="12"/>
        </w:rPr>
        <w:t xml:space="preserve"> | rel. Roberto Barroso</w:t>
      </w:r>
    </w:p>
    <w:p>
      <w:pPr>
        <w:ind w:left="288"/>
      </w:pPr>
      <w:r>
        <w:rPr>
          <w:color w:val="1E1E1E"/>
          <w:sz w:val="18"/>
        </w:rPr>
        <w:t>As Forças Armadas integram a administração pública federal, de modo que a vagas oferecidas nos concursos por elas promovidos sujeitam-se à política de cotas prevista na Lei 12.990/2014.</w:t>
      </w:r>
    </w:p>
    <w:p>
      <w:pPr>
        <w:ind w:left="288"/>
      </w:pPr>
      <w:r>
        <w:rPr>
          <w:b/>
          <w:color w:val="003CA0"/>
          <w:sz w:val="16"/>
        </w:rPr>
        <w:t>[ADC 41 ED, rel. min. Roberto Barroso, j. 12-4-2018, P, DJE de 7-5-2018.]</w:t>
      </w:r>
    </w:p>
    <w:p>
      <w:pPr>
        <w:ind w:left="288"/>
      </w:pPr>
      <w:r>
        <w:rPr>
          <w:color w:val="8C8C8C"/>
          <w:sz w:val="12"/>
        </w:rPr>
        <w:t>cf-art-37-inc-I</w:t>
      </w:r>
      <w:r>
        <w:rPr>
          <w:color w:val="003CA0"/>
          <w:sz w:val="12"/>
        </w:rPr>
        <w:t xml:space="preserve"> | ADI 5.035</w:t>
      </w:r>
    </w:p>
    <w:p>
      <w:pPr>
        <w:ind w:left="288"/>
      </w:pPr>
      <w:r>
        <w:rPr>
          <w:color w:val="1E1E1E"/>
          <w:sz w:val="18"/>
        </w:rPr>
        <w:t>Programa Mais Médicos. Conversão da Medida Provisória 621/2013 na Lei 12.871/13. Relevância e urgência configuradas pela carência de profissonais médicos em diversas regiões do país. (...) A Constituição obriga o Estado brasileiro a perseguir um modelo de atenção à saúde capaz de oferecer acesso universal ao melhor e mais diversificado elenco de ações e serviços de saúde que possa ser custeado para todos, igualmente, e para cada um, isoladamente, quando circunstâncias extraordinárias assim o exigirem. (...) Inocorrência de tratamento desigual em face das diferentes formas de recrutamento. Inex</w:t>
      </w:r>
    </w:p>
    <w:p>
      <w:pPr>
        <w:ind w:left="288"/>
      </w:pPr>
      <w:r>
        <w:rPr>
          <w:b/>
          <w:color w:val="003CA0"/>
          <w:sz w:val="16"/>
        </w:rPr>
        <w:t>[ADI 5.035, red. do ac. min. Alexandre de Moraes, j. 30-11-2017, P, DJE de 29-7-2020.]</w:t>
      </w:r>
    </w:p>
    <w:p>
      <w:pPr>
        <w:ind w:left="288"/>
      </w:pPr>
      <w:r>
        <w:rPr>
          <w:color w:val="8C8C8C"/>
          <w:sz w:val="12"/>
        </w:rPr>
        <w:t>cf-art-37-inc-I</w:t>
      </w:r>
      <w:r>
        <w:rPr>
          <w:color w:val="003CA0"/>
          <w:sz w:val="12"/>
        </w:rPr>
        <w:t xml:space="preserve"> | ADI 1.949</w:t>
      </w:r>
      <w:r>
        <w:rPr>
          <w:color w:val="003CA0"/>
          <w:sz w:val="12"/>
        </w:rPr>
        <w:t xml:space="preserve"> | rel. Dias Toffoli</w:t>
      </w:r>
    </w:p>
    <w:p>
      <w:pPr>
        <w:ind w:left="288"/>
      </w:pPr>
      <w:r>
        <w:rPr>
          <w:color w:val="1E1E1E"/>
          <w:sz w:val="18"/>
        </w:rPr>
        <w:t xml:space="preserve">A natureza da investidura a termo no cargo de dirigente de agência reguladora, bem como a incompatibilidade da demissão ad nutum com esse regime, haja vista que o art. 7º da legislação gaúcha prevê o mandato de quatro anos para o conselheiro da agência, exigem a fixação de balizas precisas quanto às hipóteses de demissibilidade dos dirigentes dessas entidades. Em razão do vácuo normativo resultante da inconstitucionalidade do art. 8º da Lei estadual 10.931/1997 e tendo em vista que o diploma legal não prevê qualquer outro procedimento ou garantia contra a exoneração imotivada dos conselheiros </w:t>
      </w:r>
    </w:p>
    <w:p>
      <w:pPr>
        <w:ind w:left="288"/>
      </w:pPr>
      <w:r>
        <w:rPr>
          <w:b/>
          <w:color w:val="003CA0"/>
          <w:sz w:val="16"/>
        </w:rPr>
        <w:t>[ADI 1.949, rel. min. Dias Toffoli, j. 17-9-2014, P, DJE de 14-11-2014.]</w:t>
      </w:r>
    </w:p>
    <w:p>
      <w:pPr>
        <w:ind w:left="288"/>
      </w:pPr>
      <w:r>
        <w:rPr>
          <w:color w:val="8C8C8C"/>
          <w:sz w:val="12"/>
        </w:rPr>
        <w:t>cf-art-37-inc-I</w:t>
      </w:r>
      <w:r>
        <w:rPr>
          <w:color w:val="003CA0"/>
          <w:sz w:val="12"/>
        </w:rPr>
        <w:t xml:space="preserve"> | ADI 4.303</w:t>
      </w:r>
      <w:r>
        <w:rPr>
          <w:color w:val="003CA0"/>
          <w:sz w:val="12"/>
        </w:rPr>
        <w:t xml:space="preserve"> | rel. Cármen Lúcia</w:t>
      </w:r>
    </w:p>
    <w:p>
      <w:pPr>
        <w:ind w:left="288"/>
      </w:pPr>
      <w:r>
        <w:rPr>
          <w:color w:val="1E1E1E"/>
          <w:sz w:val="18"/>
        </w:rPr>
        <w:t xml:space="preserve">A reestruturação convergente de carreiras análogas não contraria o art. 37, II, da Constituição da República. Logo, a LC potiguar 372/2008, ao manter exatamente a mesma estrutura de cargos e atribuições, é constitucional. A norma questionada autoriza a possibilidade de serem equiparadas as remunerações dos servidores auxiliares técnicos e assistentes em administração judiciária, aprovados em concurso público para o qual se exigiu diploma de nível médio, ao sistema remuneratório dos servidores aprovados em concurso para cargo de nível superior. (...) Servidores que ocupam os mesmos cargos, com </w:t>
      </w:r>
    </w:p>
    <w:p>
      <w:pPr>
        <w:ind w:left="288"/>
      </w:pPr>
      <w:r>
        <w:rPr>
          <w:b/>
          <w:color w:val="003CA0"/>
          <w:sz w:val="16"/>
        </w:rPr>
        <w:t>[ADI 4.303, rel. min. Cármen Lúcia, j. 5-2-2014, P, DJE de 28-8-2014.]</w:t>
      </w:r>
    </w:p>
    <w:p>
      <w:pPr>
        <w:ind w:left="288"/>
      </w:pPr>
      <w:r>
        <w:rPr>
          <w:color w:val="8C8C8C"/>
          <w:sz w:val="12"/>
        </w:rPr>
        <w:t>cf-art-37-inc-I</w:t>
      </w:r>
      <w:r>
        <w:rPr>
          <w:color w:val="003CA0"/>
          <w:sz w:val="12"/>
        </w:rPr>
        <w:t xml:space="preserve"> | ADI 917</w:t>
      </w:r>
    </w:p>
    <w:p>
      <w:pPr>
        <w:ind w:left="288"/>
      </w:pPr>
      <w:r>
        <w:rPr>
          <w:color w:val="1E1E1E"/>
          <w:sz w:val="18"/>
        </w:rPr>
        <w:t>A Lei 10.961/1992 do Estado de Minas Gerais autoriza que cargos sujeitos a preenchimento por concurso público sejam providos por "acesso", ficando preferencialmente destinados a categoria de pretendentes que já possui vínculo com a administração estadual. Com tal destinação, o instituto do acesso é, portanto, incompatível com o princípio da ampla acessibilidade, preconizado pelo art. 37, II, da Constituição.</w:t>
      </w:r>
    </w:p>
    <w:p>
      <w:pPr>
        <w:ind w:left="288"/>
      </w:pPr>
      <w:r>
        <w:rPr>
          <w:b/>
          <w:color w:val="003CA0"/>
          <w:sz w:val="16"/>
        </w:rPr>
        <w:t>[ADI 917, red. do ac. min. Teori Zavascki, j. 6-11-2013, P, DJE de 30-10-2014.]</w:t>
      </w:r>
    </w:p>
    <w:p>
      <w:pPr>
        <w:ind w:left="288"/>
      </w:pPr>
      <w:r>
        <w:rPr>
          <w:color w:val="8C8C8C"/>
          <w:sz w:val="12"/>
        </w:rPr>
        <w:t>cf-art-37-inc-I</w:t>
      </w:r>
      <w:r>
        <w:rPr>
          <w:color w:val="003CA0"/>
          <w:sz w:val="12"/>
        </w:rPr>
        <w:t xml:space="preserve"> | ADI 2.113</w:t>
      </w:r>
      <w:r>
        <w:rPr>
          <w:color w:val="003CA0"/>
          <w:sz w:val="12"/>
        </w:rPr>
        <w:t xml:space="preserve"> | rel. Cármen Lúcia</w:t>
      </w:r>
    </w:p>
    <w:p>
      <w:pPr>
        <w:ind w:left="288"/>
      </w:pPr>
      <w:r>
        <w:rPr>
          <w:color w:val="1E1E1E"/>
          <w:sz w:val="18"/>
        </w:rPr>
        <w:t>Criação de quadro de assistente jurídico de estabelecimento penitenciário e sua inserção na estrutura organizacional de secretaria de estado. (...) A investidura permanente na função pública de assistente penitenciário, por parte de servidores que já exercem cargos ou funções no Poder Executivo mineiro, afronta os arts. 5º, caput, e 37,  I e II, da Constituição da República.</w:t>
      </w:r>
    </w:p>
    <w:p>
      <w:pPr>
        <w:ind w:left="288"/>
      </w:pPr>
      <w:r>
        <w:rPr>
          <w:b/>
          <w:color w:val="003CA0"/>
          <w:sz w:val="16"/>
        </w:rPr>
        <w:t>[ADI 2.113, rel. min. Cármen Lúcia, j. 4-3-2009, P, DJE de 21-8-2009.]</w:t>
      </w:r>
    </w:p>
    <w:p>
      <w:pPr>
        <w:ind w:left="288"/>
      </w:pPr>
      <w:r>
        <w:rPr>
          <w:color w:val="8C8C8C"/>
          <w:sz w:val="12"/>
        </w:rPr>
        <w:t>cf-art-37-inc-I</w:t>
      </w:r>
      <w:r>
        <w:rPr>
          <w:color w:val="003CA0"/>
          <w:sz w:val="12"/>
        </w:rPr>
        <w:t xml:space="preserve"> | ADI 3.857</w:t>
      </w:r>
      <w:r>
        <w:rPr>
          <w:color w:val="003CA0"/>
          <w:sz w:val="12"/>
        </w:rPr>
        <w:t xml:space="preserve"> | rel. Ricardo Lewandowski</w:t>
      </w:r>
    </w:p>
    <w:p>
      <w:pPr>
        <w:ind w:left="288"/>
      </w:pPr>
      <w:r>
        <w:rPr>
          <w:color w:val="1E1E1E"/>
          <w:sz w:val="18"/>
        </w:rPr>
        <w:t>Provimento derivado de cargos. (...) Dispositivos legais impugnados que afrontam o comando do art. 37, II, da CF, o qual exige a realização de concurso público para provimento de cargos na administração estatal. Embora sob o rótulo de reestruturação da carreira na Secretaria da Fazenda, procedeu-se, na realidade, à instituição de cargos públicos, cujo provimento deve obedecer aos ditames constitucionais.</w:t>
      </w:r>
    </w:p>
    <w:p>
      <w:pPr>
        <w:ind w:left="288"/>
      </w:pPr>
      <w:r>
        <w:rPr>
          <w:b/>
          <w:color w:val="003CA0"/>
          <w:sz w:val="16"/>
        </w:rPr>
        <w:t>[ADI 3.857, rel. min. Ricardo Lewandowski, j. 18-12-2008, P, DJE de 27-2-2009.]</w:t>
      </w:r>
    </w:p>
    <w:p>
      <w:pPr>
        <w:ind w:left="288"/>
      </w:pPr>
      <w:r>
        <w:rPr>
          <w:color w:val="8C8C8C"/>
          <w:sz w:val="12"/>
        </w:rPr>
        <w:t>cf-art-37-inc-I</w:t>
      </w:r>
      <w:r>
        <w:rPr>
          <w:color w:val="003CA0"/>
          <w:sz w:val="12"/>
        </w:rPr>
        <w:t xml:space="preserve"> | ADI 980</w:t>
      </w:r>
      <w:r>
        <w:rPr>
          <w:color w:val="003CA0"/>
          <w:sz w:val="12"/>
        </w:rPr>
        <w:t xml:space="preserve"> | rel. Menezes Direito</w:t>
      </w:r>
    </w:p>
    <w:p>
      <w:pPr>
        <w:ind w:left="288"/>
      </w:pPr>
      <w:r>
        <w:rPr>
          <w:color w:val="1E1E1E"/>
          <w:sz w:val="18"/>
        </w:rPr>
        <w:t>É inconstitucional a lei que autoriza o sistema de opção ou de aproveitamento de servidores federais, estaduais e municipais sem que seja cumprida a exigência de concurso público.</w:t>
      </w:r>
    </w:p>
    <w:p>
      <w:pPr>
        <w:ind w:left="288"/>
      </w:pPr>
      <w:r>
        <w:rPr>
          <w:b/>
          <w:color w:val="003CA0"/>
          <w:sz w:val="16"/>
        </w:rPr>
        <w:t>[ADI 980, rel. min. Menezes Direito, j. 6-3-2008, P, DJE de 1º-8-2008.]</w:t>
      </w:r>
    </w:p>
    <w:p>
      <w:pPr>
        <w:ind w:left="288"/>
      </w:pPr>
      <w:r>
        <w:rPr>
          <w:color w:val="8C8C8C"/>
          <w:sz w:val="12"/>
        </w:rPr>
        <w:t>cf-art-37-inc-I</w:t>
      </w:r>
      <w:r>
        <w:rPr>
          <w:color w:val="003CA0"/>
          <w:sz w:val="12"/>
        </w:rPr>
        <w:t xml:space="preserve"> | ADI 3.552</w:t>
      </w:r>
      <w:r>
        <w:rPr>
          <w:color w:val="003CA0"/>
          <w:sz w:val="12"/>
        </w:rPr>
        <w:t xml:space="preserve"> | rel. Roberto Barroso</w:t>
      </w:r>
    </w:p>
    <w:p>
      <w:pPr>
        <w:ind w:left="288"/>
      </w:pPr>
      <w:r>
        <w:rPr>
          <w:color w:val="1E1E1E"/>
          <w:sz w:val="18"/>
        </w:rPr>
        <w:t>= ADI 3.552, rel. min. Roberto Barroso, j. 17-3-2016, P, DJE de 14-4-2016 Segundo precedente do STF (ADI 789/DF), os procuradores das cortes de contas são ligados administrativamente a elas, sem qualquer vínculo com o Ministério Público comum. Além de violar os arts. 73, § 2º,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pPr>
        <w:ind w:left="288"/>
      </w:pPr>
      <w:r>
        <w:rPr>
          <w:b/>
          <w:color w:val="003CA0"/>
          <w:sz w:val="16"/>
        </w:rPr>
        <w:t>[ADI 3.315, rel. min. Ricardo Lewandowski, j. 6-3-2008, P, DJE de 11-4-2008.]</w:t>
      </w:r>
    </w:p>
    <w:p>
      <w:pPr>
        <w:ind w:left="288"/>
      </w:pPr>
      <w:r>
        <w:rPr>
          <w:color w:val="8C8C8C"/>
          <w:sz w:val="12"/>
        </w:rPr>
        <w:t>cf-art-37-inc-I</w:t>
      </w:r>
      <w:r>
        <w:rPr>
          <w:color w:val="003CA0"/>
          <w:sz w:val="12"/>
        </w:rPr>
        <w:t xml:space="preserve"> | ADI 2.620</w:t>
      </w:r>
      <w:r>
        <w:rPr>
          <w:color w:val="003CA0"/>
          <w:sz w:val="12"/>
        </w:rPr>
        <w:t xml:space="preserve"> | rel. Eros Grau</w:t>
      </w:r>
    </w:p>
    <w:p>
      <w:pPr>
        <w:ind w:left="288"/>
      </w:pPr>
      <w:r>
        <w:rPr>
          <w:color w:val="1E1E1E"/>
          <w:sz w:val="18"/>
        </w:rPr>
        <w:t>Não guarda consonância com o texto da Constituição do Brasil o preceito que dispõe sobre a possibilidade de "reinclusão" do servidor que se desligou voluntariamente do serviço público. O fato de o militar licenciado ser considerado "adido especial" não autoriza seu retorno à corporação. O licenciamento consubstancia autêntico desligamento do serviço público. O licenciado não manterá mais qualquer vínculo com a administração. O licenciamento voluntário não se confunde o retorno do militar reformado ao serviço em decorrência da cessação da incapacidade que determinou sua reforma. O regresso do e</w:t>
      </w:r>
    </w:p>
    <w:p>
      <w:pPr>
        <w:ind w:left="288"/>
      </w:pPr>
      <w:r>
        <w:rPr>
          <w:b/>
          <w:color w:val="003CA0"/>
          <w:sz w:val="16"/>
        </w:rPr>
        <w:t>[ADI 2.620, rel. min. Eros Grau, j. 29-11-2007, P, DJE de 16-5-2008.]</w:t>
      </w:r>
    </w:p>
    <w:p>
      <w:pPr>
        <w:ind w:left="288"/>
      </w:pPr>
      <w:r>
        <w:rPr>
          <w:color w:val="8C8C8C"/>
          <w:sz w:val="12"/>
        </w:rPr>
        <w:t>cf-art-37-inc-I</w:t>
      </w:r>
      <w:r>
        <w:rPr>
          <w:color w:val="003CA0"/>
          <w:sz w:val="12"/>
        </w:rPr>
        <w:t xml:space="preserve"> | ADI 3.819</w:t>
      </w:r>
      <w:r>
        <w:rPr>
          <w:color w:val="003CA0"/>
          <w:sz w:val="12"/>
        </w:rPr>
        <w:t xml:space="preserve"> | rel. Eros Grau</w:t>
      </w:r>
    </w:p>
    <w:p>
      <w:pPr>
        <w:ind w:left="288"/>
      </w:pPr>
      <w:r>
        <w:rPr>
          <w:color w:val="1E1E1E"/>
          <w:sz w:val="18"/>
        </w:rPr>
        <w:t xml:space="preserve">Afronta ao disposto no art. 37, II, e art. 134, § 1º, da Constituição do Brasil. (...) Servidores estaduais integrados na carreira de defensor público estadual, recebendo a remuneração própria do cargo de defensor público de primeira classe, sem o prévio concurso público. Servidores investidos na função de defensor público, sem especificação do modo como se deu a sua investidura, e ocupantes dos cargos de assistente jurídico de penitenciária e de analista de justiça. A exigência de concurso público como regra para o acesso aos cargos, empregos e funções públicas confere concreção ao princípio </w:t>
      </w:r>
    </w:p>
    <w:p>
      <w:pPr>
        <w:ind w:left="288"/>
      </w:pPr>
      <w:r>
        <w:rPr>
          <w:b/>
          <w:color w:val="003CA0"/>
          <w:sz w:val="16"/>
        </w:rPr>
        <w:t>[ADI 3.819, rel. min. Eros Grau, j. 24-10-2007, P, DJE de 28-3-2008.]</w:t>
      </w:r>
    </w:p>
    <w:p>
      <w:pPr>
        <w:ind w:left="288"/>
      </w:pPr>
      <w:r>
        <w:rPr>
          <w:color w:val="8C8C8C"/>
          <w:sz w:val="12"/>
        </w:rPr>
        <w:t>cf-art-37-inc-I</w:t>
      </w:r>
      <w:r>
        <w:rPr>
          <w:color w:val="003CA0"/>
          <w:sz w:val="12"/>
        </w:rPr>
        <w:t xml:space="preserve"> | RCL 16.950</w:t>
      </w:r>
      <w:r>
        <w:rPr>
          <w:color w:val="003CA0"/>
          <w:sz w:val="12"/>
        </w:rPr>
        <w:t xml:space="preserve"> | rel. Cármen Lúcia</w:t>
      </w:r>
    </w:p>
    <w:p>
      <w:pPr>
        <w:ind w:left="288"/>
      </w:pPr>
      <w:r>
        <w:rPr>
          <w:color w:val="1E1E1E"/>
          <w:sz w:val="18"/>
        </w:rPr>
        <w:t>= Rcl 16.950, rel. min. Cármen Lúcia, j. 1º-12-2015, 2ª T, DJE de 18-12-2015 Violação ao art. 37, II e V, da Constituição. Os cargos em comissão criados pela Lei 1.939/1998 do Estado de Mato Grosso do Sul possuem atribuições meramente técnicas e que, portanto, não possuem o caráter de assessoramento, chefia ou direção exigido para tais cargos, nos termos do art. 37, V, da CF. Ação julgada procedente.</w:t>
      </w:r>
    </w:p>
    <w:p>
      <w:pPr>
        <w:ind w:left="288"/>
      </w:pPr>
      <w:r>
        <w:rPr>
          <w:b/>
          <w:color w:val="003CA0"/>
          <w:sz w:val="16"/>
        </w:rPr>
        <w:t>[ADI 3.706, rel. min. Gilmar Mendes, j. 15-08-2007, P, DJ de 5-10-2007.]</w:t>
      </w:r>
    </w:p>
    <w:p>
      <w:pPr>
        <w:ind w:left="288"/>
      </w:pPr>
      <w:r>
        <w:rPr>
          <w:color w:val="8C8C8C"/>
          <w:sz w:val="12"/>
        </w:rPr>
        <w:t>cf-art-37-inc-I</w:t>
      </w:r>
      <w:r>
        <w:rPr>
          <w:color w:val="003CA0"/>
          <w:sz w:val="12"/>
        </w:rPr>
        <w:t xml:space="preserve"> | AI 309.399</w:t>
      </w:r>
      <w:r>
        <w:rPr>
          <w:color w:val="003CA0"/>
          <w:sz w:val="12"/>
        </w:rPr>
        <w:t xml:space="preserve"> | rel. Dias Toffoli</w:t>
      </w:r>
    </w:p>
    <w:p>
      <w:pPr>
        <w:ind w:left="288"/>
      </w:pPr>
      <w:r>
        <w:rPr>
          <w:color w:val="1E1E1E"/>
          <w:sz w:val="18"/>
        </w:rPr>
        <w:t>= AI 309.399 AgR, rel. min. Dias Toffoli, j. 20-3-2012, 1ª T, DJE de 23-4-2012 O concurso público pressupõe o tratamento igualitário dos candidatos, discrepando da ordem jurídico-constitucional a previsão de vantagens quanto a certos cidadãos que venham prestando serviços à administração pública.</w:t>
      </w:r>
    </w:p>
    <w:p>
      <w:pPr>
        <w:ind w:left="288"/>
      </w:pPr>
      <w:r>
        <w:rPr>
          <w:b/>
          <w:color w:val="003CA0"/>
          <w:sz w:val="16"/>
        </w:rPr>
        <w:t>[ADI 2.949, red. do ac. min. Marco Aurélio, j. 26-9-2007, P, DJE de 28-5-2015.]</w:t>
      </w:r>
    </w:p>
    <w:p>
      <w:pPr>
        <w:ind w:left="288"/>
      </w:pPr>
      <w:r>
        <w:rPr>
          <w:color w:val="8C8C8C"/>
          <w:sz w:val="12"/>
        </w:rPr>
        <w:t>cf-art-37-inc-I</w:t>
      </w:r>
      <w:r>
        <w:rPr>
          <w:color w:val="003CA0"/>
          <w:sz w:val="12"/>
        </w:rPr>
        <w:t xml:space="preserve"> | ADI 3.233</w:t>
      </w:r>
      <w:r>
        <w:rPr>
          <w:color w:val="003CA0"/>
          <w:sz w:val="12"/>
        </w:rPr>
        <w:t xml:space="preserve"> | rel. Joaquim Barbosa</w:t>
      </w:r>
    </w:p>
    <w:p>
      <w:pPr>
        <w:ind w:left="288"/>
      </w:pPr>
      <w:r>
        <w:rPr>
          <w:color w:val="1E1E1E"/>
          <w:sz w:val="18"/>
        </w:rPr>
        <w:t>Ofende o disposto no art. 37, II, da CF norma que cria cargos em comissão cujas atribuições não se harmonizam com o princípio da livre nomeação e exoneração, que informa a investidura em comissão. Necessidade de demonstração efetiva, pelo legislador estadual, da adequação da norma aos fins pretendidos, de modo a justificar a exceção à regra do concurso público para a investidura em cargo público.</w:t>
      </w:r>
    </w:p>
    <w:p>
      <w:pPr>
        <w:ind w:left="288"/>
      </w:pPr>
      <w:r>
        <w:rPr>
          <w:b/>
          <w:color w:val="003CA0"/>
          <w:sz w:val="16"/>
        </w:rPr>
        <w:t>[ADI 3.233, rel. min. Joaquim Barbosa, j. 10-5-2007, P, DJ de 14-9-2007.]</w:t>
      </w:r>
    </w:p>
    <w:p>
      <w:pPr>
        <w:ind w:left="288"/>
      </w:pPr>
      <w:r>
        <w:rPr>
          <w:color w:val="8C8C8C"/>
          <w:sz w:val="12"/>
        </w:rPr>
        <w:t>cf-art-37-inc-I</w:t>
      </w:r>
      <w:r>
        <w:rPr>
          <w:color w:val="003CA0"/>
          <w:sz w:val="12"/>
        </w:rPr>
        <w:t xml:space="preserve"> | ADI 2.689</w:t>
      </w:r>
      <w:r>
        <w:rPr>
          <w:color w:val="003CA0"/>
          <w:sz w:val="12"/>
        </w:rPr>
        <w:t xml:space="preserve"> | rel. Ellen Gracie</w:t>
      </w:r>
    </w:p>
    <w:p>
      <w:pPr>
        <w:ind w:left="288"/>
      </w:pPr>
      <w:r>
        <w:rPr>
          <w:color w:val="1E1E1E"/>
          <w:sz w:val="18"/>
        </w:rPr>
        <w:t>O STF firmou sólida jurisprudência no sentido de que o art. 37, II, da CF rejeita qualquer burla à exigência de concurso público. Há diversos precedentes em que a tônica é a absoluta impossibilidade de se afastar esse critério de seleção dos quadros do serviço público (cf. ADI 2.689, rel. min. Ellen Gracie, Pleno, j. 9-10-2003; ADI 1.350 MC, rel. min. Celso de Mello, Pleno, j. 27-9-1995; ADI 980 MC, rel. min. Celso de Mello, Pleno, j. 3-2-1994); ADI 951, rel. min. Joaquim Barbosa, Pleno, j. 18-11-2004), até mesmo restringindo possíveis ampliações indevidas de exceções contidas na própria Const</w:t>
      </w:r>
    </w:p>
    <w:p>
      <w:pPr>
        <w:ind w:left="288"/>
      </w:pPr>
      <w:r>
        <w:rPr>
          <w:b/>
          <w:color w:val="003CA0"/>
          <w:sz w:val="16"/>
        </w:rPr>
        <w:t>[ADI 3.434 MC, voto do rel. min. Joaquim Barbosa, j. 23-8-2006, P, DJ de 28-9-2007.]</w:t>
        <w:br/>
        <w:t>= RE 635.206 AgR-AgR-AgR, rel. min. Roberto Barroso, j. 17-2-2017, 1ª T, DJE de 17-3-2017.</w:t>
        <w:br/>
        <w:t>Vide ADI 336, rel. min. Eros Grau, j. 10-2-2010, P, DJE de 17-9-2010</w:t>
      </w:r>
    </w:p>
    <w:p>
      <w:pPr>
        <w:ind w:left="288"/>
      </w:pPr>
      <w:r>
        <w:rPr>
          <w:color w:val="8C8C8C"/>
          <w:sz w:val="12"/>
        </w:rPr>
        <w:t>cf-art-37-inc-I</w:t>
      </w:r>
      <w:r>
        <w:rPr>
          <w:color w:val="003CA0"/>
          <w:sz w:val="12"/>
        </w:rPr>
        <w:t xml:space="preserve"> | ADI 3.026</w:t>
      </w:r>
      <w:r>
        <w:rPr>
          <w:color w:val="003CA0"/>
          <w:sz w:val="12"/>
        </w:rPr>
        <w:t xml:space="preserve"> | rel. Eros Grau</w:t>
      </w:r>
    </w:p>
    <w:p>
      <w:pPr>
        <w:ind w:left="288"/>
      </w:pPr>
      <w:r>
        <w:rPr>
          <w:color w:val="1E1E1E"/>
          <w:sz w:val="18"/>
        </w:rPr>
        <w:t>Não procede a alegação de que a OAB sujeita-se aos ditames impostos à administração pública direta e indireta. A OAB não é uma entidade da administração indireta da União. A Ordem é um serviço público independente, categoria ímpar no elenco das personalidades jurídicas existentes no direito brasileiro. A OAB não está incluída na categoria na qual se inserem essas que se tem referido como "autarquias especiais" para pretender-se afirmar equivocada independência das hoje chamadas "agências". Por não consubstanciar uma entidade da administração indireta, a OAB não está sujeita a controle da admin</w:t>
      </w:r>
    </w:p>
    <w:p>
      <w:pPr>
        <w:ind w:left="288"/>
      </w:pPr>
      <w:r>
        <w:rPr>
          <w:b/>
          <w:color w:val="003CA0"/>
          <w:sz w:val="16"/>
        </w:rPr>
        <w:t>[ADI 3.026, rel. min. Eros Grau, j. 8-6-2006, P, DJ de 29-9-2006.]</w:t>
      </w:r>
    </w:p>
    <w:p>
      <w:pPr>
        <w:ind w:left="288"/>
      </w:pPr>
      <w:r>
        <w:rPr>
          <w:color w:val="8C8C8C"/>
          <w:sz w:val="12"/>
        </w:rPr>
        <w:t>cf-art-37-inc-I</w:t>
      </w:r>
      <w:r>
        <w:rPr>
          <w:color w:val="003CA0"/>
          <w:sz w:val="12"/>
        </w:rPr>
        <w:t xml:space="preserve"> | ADI 3.522</w:t>
      </w:r>
      <w:r>
        <w:rPr>
          <w:color w:val="003CA0"/>
          <w:sz w:val="12"/>
        </w:rPr>
        <w:t xml:space="preserve"> | rel. Marco Aurélio</w:t>
      </w:r>
    </w:p>
    <w:p>
      <w:pPr>
        <w:ind w:left="288"/>
      </w:pPr>
      <w:r>
        <w:rPr>
          <w:color w:val="1E1E1E"/>
          <w:sz w:val="18"/>
        </w:rPr>
        <w:t>Mostra-se conflitante com o princípio da razoabilidade eleger como critério de desempate tempo anterior na titularidade do serviço para o qual se realiza o concurso público.</w:t>
      </w:r>
    </w:p>
    <w:p>
      <w:pPr>
        <w:ind w:left="288"/>
      </w:pPr>
      <w:r>
        <w:rPr>
          <w:b/>
          <w:color w:val="003CA0"/>
          <w:sz w:val="16"/>
        </w:rPr>
        <w:t>[ADI 3.522, rel. min. Marco Aurélio, j. 24-11-2005, P, DJ de 12-5-2006.]</w:t>
      </w:r>
    </w:p>
    <w:p>
      <w:pPr>
        <w:ind w:left="288"/>
      </w:pPr>
      <w:r>
        <w:rPr>
          <w:color w:val="8C8C8C"/>
          <w:sz w:val="12"/>
        </w:rPr>
        <w:t>cf-art-37-inc-I</w:t>
      </w:r>
      <w:r>
        <w:rPr>
          <w:color w:val="003CA0"/>
          <w:sz w:val="12"/>
        </w:rPr>
        <w:t xml:space="preserve"> | ADI 4.178</w:t>
      </w:r>
      <w:r>
        <w:rPr>
          <w:color w:val="003CA0"/>
          <w:sz w:val="12"/>
        </w:rPr>
        <w:t xml:space="preserve"> | rel. Cezar Peluso</w:t>
      </w:r>
    </w:p>
    <w:p>
      <w:pPr>
        <w:ind w:left="288"/>
      </w:pPr>
      <w:r>
        <w:rPr>
          <w:color w:val="1E1E1E"/>
          <w:sz w:val="18"/>
        </w:rPr>
        <w:t>= ADI 4.178 MC-REF, rel. min. Cezar Peluso, j. 4-2-2010, P, DJE de 7-5-2010 Vide AI 830.011 AgR, rel. min. Luiz Fux, j. 26-6-2012, 1ª T, DJE de 14-8-2012 Viola o princípio constitucional da isonomia norma que estabelece como título o mero exercício de função pública.</w:t>
      </w:r>
    </w:p>
    <w:p>
      <w:pPr>
        <w:ind w:left="288"/>
      </w:pPr>
      <w:r>
        <w:rPr>
          <w:b/>
          <w:color w:val="003CA0"/>
          <w:sz w:val="16"/>
        </w:rPr>
        <w:t>[ADI 3.443, rel. min. Carlos Velloso, j. 8-9-2005, P, DJ de 23-9-2005.]</w:t>
      </w:r>
    </w:p>
    <w:p>
      <w:pPr>
        <w:ind w:left="288"/>
      </w:pPr>
      <w:r>
        <w:rPr>
          <w:color w:val="8C8C8C"/>
          <w:sz w:val="12"/>
        </w:rPr>
        <w:t>cf-art-37-inc-I</w:t>
      </w:r>
      <w:r>
        <w:rPr>
          <w:color w:val="003CA0"/>
          <w:sz w:val="12"/>
        </w:rPr>
        <w:t xml:space="preserve"> | ADI 3.332</w:t>
      </w:r>
      <w:r>
        <w:rPr>
          <w:color w:val="003CA0"/>
          <w:sz w:val="12"/>
        </w:rPr>
        <w:t xml:space="preserve"> | rel. Eros Grau</w:t>
      </w:r>
    </w:p>
    <w:p>
      <w:pPr>
        <w:ind w:left="288"/>
      </w:pPr>
      <w:r>
        <w:rPr>
          <w:color w:val="1E1E1E"/>
          <w:sz w:val="18"/>
        </w:rPr>
        <w:t>É inconstitucional a chamada investidura por transposição.</w:t>
      </w:r>
    </w:p>
    <w:p>
      <w:pPr>
        <w:ind w:left="288"/>
      </w:pPr>
      <w:r>
        <w:rPr>
          <w:b/>
          <w:color w:val="003CA0"/>
          <w:sz w:val="16"/>
        </w:rPr>
        <w:t>[ADI 3.332, rel. min. Eros Grau, j. 30-6-2005, P, DJ de 14-10-2005.]</w:t>
      </w:r>
    </w:p>
    <w:p>
      <w:pPr>
        <w:ind w:left="288"/>
      </w:pPr>
      <w:r>
        <w:rPr>
          <w:color w:val="8C8C8C"/>
          <w:sz w:val="12"/>
        </w:rPr>
        <w:t>cf-art-37-inc-I</w:t>
      </w:r>
      <w:r>
        <w:rPr>
          <w:color w:val="003CA0"/>
          <w:sz w:val="12"/>
        </w:rPr>
        <w:t xml:space="preserve"> | RE 565.603</w:t>
      </w:r>
      <w:r>
        <w:rPr>
          <w:color w:val="003CA0"/>
          <w:sz w:val="12"/>
        </w:rPr>
        <w:t xml:space="preserve"> | rel. Cármen Lúcia</w:t>
      </w:r>
    </w:p>
    <w:p>
      <w:pPr>
        <w:ind w:left="288"/>
      </w:pPr>
      <w:r>
        <w:rPr>
          <w:color w:val="1E1E1E"/>
          <w:sz w:val="18"/>
        </w:rPr>
        <w:t>= RE 565.603 AgR, rel. min. Cármen Lúcia, j. 27-10-2009, 1ª T, DJE de 27-11-2009 A exigência de concurso público para a investidura em cargo garante o respeito a vários princípios constitucionais de direito administrativo, entre eles, o da impessoalidade e o da isonomia. O constituinte, todavia, inseriu no art. 19 do ADCT norma transitória criando uma estabilidade excepcional para servidores não concursados da União, dos Estados, do Distrito Federal e dos Municípios que, quando da promulgação da Carta Federal, contassem com, no mínimo, cinco anos ininterruptos de serviço público. A jurisprudên</w:t>
      </w:r>
    </w:p>
    <w:p>
      <w:pPr>
        <w:ind w:left="288"/>
      </w:pPr>
      <w:r>
        <w:rPr>
          <w:b/>
          <w:color w:val="003CA0"/>
          <w:sz w:val="16"/>
        </w:rPr>
        <w:t>[ADI 100, rel. min. Ellen Gracie, j. 9-9-2004, Plenário, DJ de 1º-10-2004.]</w:t>
      </w:r>
    </w:p>
    <w:p>
      <w:pPr>
        <w:ind w:left="288"/>
      </w:pPr>
      <w:r>
        <w:rPr>
          <w:color w:val="8C8C8C"/>
          <w:sz w:val="12"/>
        </w:rPr>
        <w:t>cf-art-37-inc-I</w:t>
      </w:r>
      <w:r>
        <w:rPr>
          <w:color w:val="003CA0"/>
          <w:sz w:val="12"/>
        </w:rPr>
        <w:t xml:space="preserve"> | RE 356.612</w:t>
      </w:r>
      <w:r>
        <w:rPr>
          <w:color w:val="003CA0"/>
          <w:sz w:val="12"/>
        </w:rPr>
        <w:t xml:space="preserve"> | rel. Joaquim Barbosa</w:t>
      </w:r>
    </w:p>
    <w:p>
      <w:pPr>
        <w:ind w:left="288"/>
      </w:pPr>
      <w:r>
        <w:rPr>
          <w:color w:val="1E1E1E"/>
          <w:sz w:val="18"/>
        </w:rPr>
        <w:t>= RE 356.612 AgR, rel. min. Joaquim Barbosa, j. 31-8-2010, 2ª T, DJE de 16-11-2010 Vide ADI 3.609, rel. min. Dias Toffoli, j. 5-2-2014, P, DJE de 30-10-2014 Conforme sedimentada jurisprudência deste Supremo Tribunal, a vigente ordem constitucional não mais tolera a transferência ou o aproveitamento como formas de investidura que importem no ingresso de cargo ou emprego público sem a devida realização de concurso público de provas ou de provas e títulos.</w:t>
      </w:r>
    </w:p>
    <w:p>
      <w:pPr>
        <w:ind w:left="288"/>
      </w:pPr>
      <w:r>
        <w:rPr>
          <w:b/>
          <w:color w:val="003CA0"/>
          <w:sz w:val="16"/>
        </w:rPr>
        <w:t>[ADI 2.689, rel. min. Ellen Gracie, j. 9-10-2003, P, DJ de 21-11-2003.]</w:t>
      </w:r>
    </w:p>
    <w:p>
      <w:pPr>
        <w:ind w:left="288"/>
      </w:pPr>
      <w:r>
        <w:rPr>
          <w:color w:val="8C8C8C"/>
          <w:sz w:val="12"/>
        </w:rPr>
        <w:t>cf-art-37-inc-I</w:t>
      </w:r>
      <w:r>
        <w:rPr>
          <w:color w:val="003CA0"/>
          <w:sz w:val="12"/>
        </w:rPr>
        <w:t xml:space="preserve"> | ADI 97</w:t>
      </w:r>
      <w:r>
        <w:rPr>
          <w:color w:val="003CA0"/>
          <w:sz w:val="12"/>
        </w:rPr>
        <w:t xml:space="preserve"> | rel. Moreira Alves</w:t>
      </w:r>
    </w:p>
    <w:p>
      <w:pPr>
        <w:ind w:left="288"/>
      </w:pPr>
      <w:r>
        <w:rPr>
          <w:color w:val="1E1E1E"/>
          <w:sz w:val="18"/>
        </w:rPr>
        <w:t>= ADI 97, rel. min. Moreira Alves, j. 25-6-1993, P, DJ de 22-10-1993 Equiparação de vantagens dos servidores públicos estatutários aos então celetistas que adquiriram estabilidade por força da CF. Ofensa ao art. 37, II, da CF.</w:t>
      </w:r>
    </w:p>
    <w:p>
      <w:pPr>
        <w:ind w:left="288"/>
      </w:pPr>
      <w:r>
        <w:rPr>
          <w:b/>
          <w:color w:val="003CA0"/>
          <w:sz w:val="16"/>
        </w:rPr>
        <w:t>[ADI 180, rel. min. Nelson Jobim, j. 3-4-2003, P, DJ de 27-6-2003.]</w:t>
      </w:r>
    </w:p>
    <w:p>
      <w:pPr>
        <w:ind w:left="288"/>
      </w:pPr>
      <w:r>
        <w:rPr>
          <w:color w:val="8C8C8C"/>
          <w:sz w:val="12"/>
        </w:rPr>
        <w:t>cf-art-37-inc-I</w:t>
      </w:r>
      <w:r>
        <w:rPr>
          <w:color w:val="003CA0"/>
          <w:sz w:val="12"/>
        </w:rPr>
        <w:t xml:space="preserve"> | ADI 2.364</w:t>
      </w:r>
      <w:r>
        <w:rPr>
          <w:color w:val="003CA0"/>
          <w:sz w:val="12"/>
        </w:rPr>
        <w:t xml:space="preserve"> | rel. Celso de Mello</w:t>
      </w:r>
    </w:p>
    <w:p>
      <w:pPr>
        <w:ind w:left="288"/>
      </w:pPr>
      <w:r>
        <w:rPr>
          <w:color w:val="1E1E1E"/>
          <w:sz w:val="18"/>
        </w:rPr>
        <w:t>O respeito efetivo à exigência de prévia aprovação em concurso público qualifica-se, constitucionalmente, como paradigma de legitimação ético-jurídica da investidura de qualquer cidadão em cargos, funções ou empregos públicos, ressalvadas as hipóteses de nomeação para cargos em comissão (CF, art. 37, II). A razão subjacente ao postulado do concurso público traduz-se na necessidade essencial de o Estado conferir efetividade ao princípio constitucional de que todos são iguais perante a lei, sem distinção de qualquer natureza, vedando-se, desse modo, a prática inaceitável de o poder público conce</w:t>
      </w:r>
    </w:p>
    <w:p>
      <w:pPr>
        <w:ind w:left="288"/>
      </w:pPr>
      <w:r>
        <w:rPr>
          <w:b/>
          <w:color w:val="003CA0"/>
          <w:sz w:val="16"/>
        </w:rPr>
        <w:t>[ADI 2.364, rel. min. Celso de Mello, j. 17-10-2018, P, DJE de 7-3-2019.]</w:t>
      </w:r>
    </w:p>
    <w:p>
      <w:pPr>
        <w:ind w:left="288"/>
      </w:pPr>
      <w:r>
        <w:rPr>
          <w:color w:val="8C8C8C"/>
          <w:sz w:val="12"/>
        </w:rPr>
        <w:t>cf-art-37-inc-I</w:t>
      </w:r>
      <w:r>
        <w:rPr>
          <w:color w:val="003CA0"/>
          <w:sz w:val="12"/>
        </w:rPr>
        <w:t xml:space="preserve"> | ADI 2.113</w:t>
      </w:r>
      <w:r>
        <w:rPr>
          <w:color w:val="003CA0"/>
          <w:sz w:val="12"/>
        </w:rPr>
        <w:t xml:space="preserve"> | rel. Cármen Lúcia</w:t>
      </w:r>
    </w:p>
    <w:p>
      <w:pPr>
        <w:ind w:left="288"/>
      </w:pPr>
      <w:r>
        <w:rPr>
          <w:color w:val="1E1E1E"/>
          <w:sz w:val="18"/>
        </w:rPr>
        <w:t>= ADI 2.113, rel. min. Cármen Lúcia, j. 4-3-2009, P, DJE de 21-8-2009 É inconstitucional o dispositivo da Constituição de Santa Catarina que estabelece o sistema eletivo, mediante voto direto e secreto, para escolha dos dirigentes dos estabelecimentos de ensino. É que os cargos públicos ou são providos mediante concurso público, ou, tratando-se de cargo em comissão, mediante livre nomeação e exoneração do chefe do Poder Executivo, se os cargos estão na órbita deste (CF, art. 37, II, art. 84, XXV).</w:t>
      </w:r>
    </w:p>
    <w:p>
      <w:pPr>
        <w:ind w:left="288"/>
      </w:pPr>
      <w:r>
        <w:rPr>
          <w:b/>
          <w:color w:val="003CA0"/>
          <w:sz w:val="16"/>
        </w:rPr>
        <w:t>[ADI 123, rel. min. Carlos Velloso, j. 3-2-1997, P, DJ de 12-9-1997.]</w:t>
      </w:r>
    </w:p>
    <w:p>
      <w:pPr>
        <w:ind w:left="288"/>
      </w:pPr>
      <w:r>
        <w:rPr>
          <w:color w:val="8C8C8C"/>
          <w:sz w:val="12"/>
        </w:rPr>
        <w:t>cf-art-37-inc-I</w:t>
      </w:r>
      <w:r>
        <w:rPr>
          <w:color w:val="003CA0"/>
          <w:sz w:val="12"/>
        </w:rPr>
        <w:t xml:space="preserve"> | ADI 2.997</w:t>
      </w:r>
      <w:r>
        <w:rPr>
          <w:color w:val="003CA0"/>
          <w:sz w:val="12"/>
        </w:rPr>
        <w:t xml:space="preserve"> | rel. Cezar Peluso</w:t>
      </w:r>
    </w:p>
    <w:p>
      <w:pPr>
        <w:ind w:left="288"/>
      </w:pPr>
      <w:r>
        <w:rPr>
          <w:color w:val="1E1E1E"/>
          <w:sz w:val="18"/>
        </w:rPr>
        <w:t xml:space="preserve">= ADI 2.997, rel. min. Cezar Peluso, j. 12-8-2009, P, DJE de 12-3-2010 Serventias judiciais e extrajudiciais. Concurso público: arts. 37, II, e 236, § 3º, da CF. Ação direta de inconstitucionalidade do art. 14 do ADCT da Constituição do Estado de Santa Catarina, de 5-10-1989, que diz: "Fica assegurada aos substitutos das serventias, na vacância, a efetivação no cargo de titular, desde que, investidos na forma da lei, estejam em efetivo exercício, pelo prazo de três anos, na mesma serventia, na data da promulgação da Constituição". É inconstitucional esse dispositivo por violar o princípio que </w:t>
      </w:r>
    </w:p>
    <w:p>
      <w:pPr>
        <w:ind w:left="288"/>
      </w:pPr>
      <w:r>
        <w:rPr>
          <w:b/>
          <w:color w:val="003CA0"/>
          <w:sz w:val="16"/>
        </w:rPr>
        <w:t>[ADI 363, rel. min. Sydney Sanches, j. 15-2-1996, P, DJ de 3-5-1996.]</w:t>
      </w:r>
    </w:p>
    <w:p>
      <w:pPr>
        <w:ind w:left="288"/>
      </w:pPr>
      <w:r>
        <w:rPr>
          <w:color w:val="8C8C8C"/>
          <w:sz w:val="12"/>
        </w:rPr>
        <w:t>cf-art-37-inc-I</w:t>
      </w:r>
      <w:r>
        <w:rPr>
          <w:color w:val="003CA0"/>
          <w:sz w:val="12"/>
        </w:rPr>
        <w:t xml:space="preserve"> | AI 719.760</w:t>
      </w:r>
      <w:r>
        <w:rPr>
          <w:color w:val="003CA0"/>
          <w:sz w:val="12"/>
        </w:rPr>
        <w:t xml:space="preserve"> | rel. Gilmar Mendes</w:t>
      </w:r>
    </w:p>
    <w:p>
      <w:pPr>
        <w:ind w:left="288"/>
      </w:pPr>
      <w:r>
        <w:rPr>
          <w:color w:val="1E1E1E"/>
          <w:sz w:val="18"/>
        </w:rPr>
        <w:t xml:space="preserve">= AI 719.760 AgR, rel. min. Gilmar Mendes, j. 16-11-2010, 2ª T, DJE de 1º-12-2010 Vide AI 541.408 AgR, rel. min. Ricardo Lewandowski, j. 23-6-2009, 1ª T, DJE de 14-8-2009 Vide RE 182.641, rel. min. Octavio Gallotti, j. 22-8-1995, 1ª T, DJ de 15-3-1996 Viola o princípio do inciso II do art. 37 da CF o disposto no art. 22 do ADCT da Constituição do Estado de Goiás, no ponto em que, sem concurso prévio de provas e títulos, assegura aos substitutos das serventias judiciais, na vacância, o direito de acesso a titular, desde que legalmente investidos na função até 5-10-1988, obrigados, apenas, a se </w:t>
      </w:r>
    </w:p>
    <w:p>
      <w:pPr>
        <w:ind w:left="288"/>
      </w:pPr>
      <w:r>
        <w:rPr>
          <w:b/>
          <w:color w:val="003CA0"/>
          <w:sz w:val="16"/>
        </w:rPr>
        <w:t>[ADI 690, rel. min. Sydney Sanches, j. 7-6-1995, P, DJ de 25-8-1995.]</w:t>
      </w:r>
    </w:p>
    <w:p>
      <w:pPr>
        <w:ind w:left="288"/>
      </w:pPr>
      <w:r>
        <w:rPr>
          <w:color w:val="8C8C8C"/>
          <w:sz w:val="12"/>
        </w:rPr>
        <w:t>cf-art-37-inc-I</w:t>
      </w:r>
      <w:r>
        <w:rPr>
          <w:color w:val="003CA0"/>
          <w:sz w:val="12"/>
        </w:rPr>
        <w:t xml:space="preserve"> | ADI 1.203</w:t>
      </w:r>
      <w:r>
        <w:rPr>
          <w:color w:val="003CA0"/>
          <w:sz w:val="12"/>
        </w:rPr>
        <w:t xml:space="preserve"> | rel. Celso de Mello</w:t>
      </w:r>
    </w:p>
    <w:p>
      <w:pPr>
        <w:ind w:left="288"/>
      </w:pPr>
      <w:r>
        <w:rPr>
          <w:color w:val="1E1E1E"/>
          <w:sz w:val="18"/>
        </w:rPr>
        <w:t>O sistema de direito constitucional positivo vigente no Brasil revela-se incompatível com quaisquer prescrições normativas que, estabelecendo a inversão da fórmula proclamada pelo art. 37, II, da Carta Federal, consagrem a esdrúxula figura do concurso público a posteriori.</w:t>
      </w:r>
    </w:p>
    <w:p>
      <w:pPr>
        <w:ind w:left="288"/>
      </w:pPr>
      <w:r>
        <w:rPr>
          <w:b/>
          <w:color w:val="003CA0"/>
          <w:sz w:val="16"/>
        </w:rPr>
        <w:t>[ADI 1.203 MC, rel. min. Celso de Mello, j. 16-2-1995, P, DJ de 24-2-1995.]</w:t>
      </w:r>
    </w:p>
    <w:p>
      <w:pPr>
        <w:ind w:left="288"/>
      </w:pPr>
      <w:r>
        <w:rPr>
          <w:color w:val="8C8C8C"/>
          <w:sz w:val="12"/>
        </w:rPr>
        <w:t>cf-art-37-inc-I</w:t>
      </w:r>
      <w:r>
        <w:rPr>
          <w:color w:val="003CA0"/>
          <w:sz w:val="12"/>
        </w:rPr>
        <w:t xml:space="preserve"> | ADI 112</w:t>
      </w:r>
      <w:r>
        <w:rPr>
          <w:color w:val="003CA0"/>
          <w:sz w:val="12"/>
        </w:rPr>
        <w:t xml:space="preserve"> | rel. Néri da Silveira</w:t>
      </w:r>
    </w:p>
    <w:p>
      <w:pPr>
        <w:ind w:left="288"/>
      </w:pPr>
      <w:r>
        <w:rPr>
          <w:color w:val="1E1E1E"/>
          <w:sz w:val="18"/>
        </w:rPr>
        <w:t>Distinção entre estabilidade e efetividade. O só fato de o funcionário público, detentor de um cargo, ser estável não é suficiente para o provimento em outro cargo, sem concurso público.</w:t>
      </w:r>
    </w:p>
    <w:p>
      <w:pPr>
        <w:ind w:left="288"/>
      </w:pPr>
      <w:r>
        <w:rPr>
          <w:b/>
          <w:color w:val="003CA0"/>
          <w:sz w:val="16"/>
        </w:rPr>
        <w:t>[ADI 112, rel. min. Néri da Silveira, j. 24-8-1994, P, DJ de 9-2-1996.]</w:t>
      </w:r>
    </w:p>
    <w:p>
      <w:pPr>
        <w:ind w:left="288"/>
      </w:pPr>
      <w:r>
        <w:rPr>
          <w:color w:val="8C8C8C"/>
          <w:sz w:val="12"/>
        </w:rPr>
        <w:t>cf-art-37-inc-I</w:t>
      </w:r>
      <w:r>
        <w:rPr>
          <w:color w:val="003CA0"/>
          <w:sz w:val="12"/>
        </w:rPr>
        <w:t xml:space="preserve"> | ADI 114</w:t>
      </w:r>
      <w:r>
        <w:rPr>
          <w:color w:val="003CA0"/>
          <w:sz w:val="12"/>
        </w:rPr>
        <w:t xml:space="preserve"> | rel. Cármen Lúcia</w:t>
      </w:r>
    </w:p>
    <w:p>
      <w:pPr>
        <w:ind w:left="288"/>
      </w:pPr>
      <w:r>
        <w:rPr>
          <w:color w:val="1E1E1E"/>
          <w:sz w:val="18"/>
        </w:rPr>
        <w:t>= ADI 114, rel. min. Cármen Lúcia, j. 26-11-2009, P, DJE de 3-10-2011 O título "Pioneiro do Tocantins", previsto no caput do art. 25 da Lei 157/1990, atribuído a servidores do Estado, nada tem de inconstitucional. Entretanto, quando utilizado para concurso de provas e títulos, ofende clara e diretamente o preceito constitucional que a todos assegura o acesso aos cargos públicos, pois o critério consagrado nas normas impugnadas, de maneira oblíqua, mas eficaz, deforma o concurso a ponto de fraudar o preceito constitucional, art. 37, II, da Constituição.</w:t>
      </w:r>
    </w:p>
    <w:p>
      <w:pPr>
        <w:ind w:left="288"/>
      </w:pPr>
      <w:r>
        <w:rPr>
          <w:b/>
          <w:color w:val="003CA0"/>
          <w:sz w:val="16"/>
        </w:rPr>
        <w:t>[ADI 598, rel. min. Paulo Brossard, j. 23-9-1993, P, DJ de 12-11-1993.]</w:t>
      </w:r>
    </w:p>
    <w:p>
      <w:pPr>
        <w:ind w:left="288"/>
      </w:pPr>
      <w:r>
        <w:rPr>
          <w:color w:val="8C8C8C"/>
          <w:sz w:val="12"/>
        </w:rPr>
        <w:t>cf-art-37-inc-I</w:t>
      </w:r>
      <w:r>
        <w:rPr>
          <w:color w:val="003CA0"/>
          <w:sz w:val="12"/>
        </w:rPr>
        <w:t xml:space="preserve"> | ADI 231</w:t>
      </w:r>
      <w:r>
        <w:rPr>
          <w:color w:val="003CA0"/>
          <w:sz w:val="12"/>
        </w:rPr>
        <w:t xml:space="preserve"> | rel. Moreira Alves</w:t>
      </w:r>
    </w:p>
    <w:p>
      <w:pPr>
        <w:ind w:left="288"/>
      </w:pPr>
      <w:r>
        <w:rPr>
          <w:color w:val="1E1E1E"/>
          <w:sz w:val="18"/>
        </w:rPr>
        <w:t>Ascensão ou acesso, transferência e aproveitamento no tocante a cargos ou empregos públicos. O critério do mérito aferível por concurso público de provas ou de provas e títulos é, no atual sistema constitucional, ressalvados os cargos em comissão declarados em lei de livre nomeação e exoneração, indispensável para cargo ou emprego público isolado ou em carreira. Para o isolado, em qualquer hipótese; para o em carreira, para o ingresso nela, que só se fará na classe inicial e pelo concurso público de provas ou de provas e títulos, não o sendo, porém, para os cargos subsequentes que nela se esca</w:t>
      </w:r>
    </w:p>
    <w:p>
      <w:pPr>
        <w:ind w:left="288"/>
      </w:pPr>
      <w:r>
        <w:rPr>
          <w:b/>
          <w:color w:val="003CA0"/>
          <w:sz w:val="16"/>
        </w:rPr>
        <w:t>[ADI 231, rel. min. Moreira Alves, j. 5-8-1992, P, DJ de 13-11-1992.]</w:t>
      </w:r>
    </w:p>
    <w:p>
      <w:pPr>
        <w:ind w:left="288"/>
      </w:pPr>
      <w:r>
        <w:rPr>
          <w:color w:val="8C8C8C"/>
          <w:sz w:val="12"/>
        </w:rPr>
        <w:t>cf-art-37-inc-I</w:t>
      </w:r>
      <w:r>
        <w:rPr>
          <w:color w:val="003CA0"/>
          <w:sz w:val="12"/>
        </w:rPr>
        <w:t xml:space="preserve"> | ADI 94</w:t>
      </w:r>
      <w:r>
        <w:rPr>
          <w:color w:val="003CA0"/>
          <w:sz w:val="12"/>
        </w:rPr>
        <w:t xml:space="preserve"> | rel. Gilmar Mendes</w:t>
      </w:r>
    </w:p>
    <w:p>
      <w:pPr>
        <w:ind w:left="288"/>
      </w:pPr>
      <w:r>
        <w:rPr>
          <w:color w:val="1E1E1E"/>
          <w:sz w:val="18"/>
        </w:rPr>
        <w:t>= ADI 94, rel. min. Gilmar Mendes, j. 7-12-2011, P, DJE de 16-12-2011 Vide RE 222.236 AgR, rel. min. Néri da Silveira, j. 17-10-2000, 2ª T, DJ de 24-11-2000 Vide RE 306.938 AgR, rel. min. Cezar Peluso, j. 18-9-2007, 2ª T, DJ de 11-10-2007 Vide ADI 430, rel. min. Sepúlveda Pertence, j. 25-5-1994, P, DJ de 1º-7-1994 A superveniente extinção dos cargos oferecidos em edital de concurso público em razão da superação do limite prudencial de gastos com pessoal, previsto em lei complementar regulamentadora do art. 169 da Constituição Federal, desde que anterior ao término do prazo de validade do concu</w:t>
      </w:r>
    </w:p>
    <w:p>
      <w:pPr>
        <w:ind w:left="288"/>
      </w:pPr>
      <w:r>
        <w:rPr>
          <w:b/>
          <w:color w:val="003CA0"/>
          <w:sz w:val="16"/>
        </w:rPr>
        <w:t>[RE 1.316.010, rel. min. Flávio Dino, j. 13.10.2025, P, DJE de 28.11.2025, Tema 1.164, com mérito julgado.]</w:t>
      </w:r>
    </w:p>
    <w:p>
      <w:pPr>
        <w:ind w:left="288"/>
      </w:pPr>
      <w:r>
        <w:rPr>
          <w:color w:val="8C8C8C"/>
          <w:sz w:val="12"/>
        </w:rPr>
        <w:t>cf-art-37-inc-I</w:t>
      </w:r>
      <w:r>
        <w:rPr>
          <w:color w:val="003CA0"/>
          <w:sz w:val="12"/>
        </w:rPr>
        <w:t xml:space="preserve"> | RE 1.513.277</w:t>
      </w:r>
      <w:r>
        <w:rPr>
          <w:color w:val="003CA0"/>
          <w:sz w:val="12"/>
        </w:rPr>
        <w:t xml:space="preserve"> | rel. Luís Roberto Barroso</w:t>
      </w:r>
    </w:p>
    <w:p>
      <w:pPr>
        <w:ind w:left="288"/>
      </w:pPr>
      <w:r>
        <w:rPr>
          <w:color w:val="1E1E1E"/>
          <w:sz w:val="18"/>
        </w:rPr>
        <w:t>“É infraconstitucional e fática a controvérsia sobre o direito de assistentes de educação infantil ao piso nacional do magistério”.</w:t>
      </w:r>
    </w:p>
    <w:p>
      <w:pPr>
        <w:ind w:left="288"/>
      </w:pPr>
      <w:r>
        <w:rPr>
          <w:b/>
          <w:color w:val="003CA0"/>
          <w:sz w:val="16"/>
        </w:rPr>
        <w:t>[RE 1.513.277 RG, rel. min. Luís Roberto Barroso, j. 28.2.2025, P, DJE de 7.3.2025, Tema 1.378, com repercussão geral negada.]</w:t>
      </w:r>
    </w:p>
    <w:p>
      <w:pPr>
        <w:ind w:left="288"/>
      </w:pPr>
      <w:r>
        <w:rPr>
          <w:color w:val="8C8C8C"/>
          <w:sz w:val="12"/>
        </w:rPr>
        <w:t>cf-art-37-inc-I</w:t>
      </w:r>
      <w:r>
        <w:rPr>
          <w:color w:val="003CA0"/>
          <w:sz w:val="12"/>
        </w:rPr>
        <w:t xml:space="preserve"> | RE 1.513.971</w:t>
      </w:r>
      <w:r>
        <w:rPr>
          <w:color w:val="003CA0"/>
          <w:sz w:val="12"/>
        </w:rPr>
        <w:t xml:space="preserve"> | rel. Luís Roberto Barroso</w:t>
      </w:r>
    </w:p>
    <w:p>
      <w:pPr>
        <w:ind w:left="288"/>
      </w:pPr>
      <w:r>
        <w:rPr>
          <w:color w:val="1E1E1E"/>
          <w:sz w:val="18"/>
        </w:rPr>
        <w:t>“É infraconstitucional e pressupõe o exame de matéria fática a controvérsia sobre a validade de contratos de trabalho celebrados por associações de apoio à escola, denominadas como Caixas Escolares ou Unidades Descentralizadas de Execução da Educação”.</w:t>
      </w:r>
    </w:p>
    <w:p>
      <w:pPr>
        <w:ind w:left="288"/>
      </w:pPr>
      <w:r>
        <w:rPr>
          <w:b/>
          <w:color w:val="003CA0"/>
          <w:sz w:val="16"/>
        </w:rPr>
        <w:t>[RE 1.513.971 RG, rel. min. Luís Roberto Barroso, j. 25.10.2024, P, DJE de 30.10.2024, Tema 1.346, com repercussão geral negada.]</w:t>
      </w:r>
    </w:p>
    <w:p>
      <w:pPr>
        <w:ind w:left="144"/>
      </w:pPr>
      <w:r>
        <w:rPr>
          <w:b/>
          <w:color w:val="B45A00"/>
          <w:sz w:val="16"/>
        </w:rPr>
        <w:t>REPERCUSSAO GERAL</w:t>
      </w:r>
    </w:p>
    <w:p>
      <w:pPr>
        <w:ind w:left="288"/>
      </w:pPr>
      <w:r>
        <w:rPr>
          <w:color w:val="8C8C8C"/>
          <w:sz w:val="12"/>
        </w:rPr>
        <w:t>cf-art-37-inc-I</w:t>
      </w:r>
      <w:r>
        <w:rPr>
          <w:color w:val="003CA0"/>
          <w:sz w:val="12"/>
        </w:rPr>
        <w:t xml:space="preserve"> | RE 766.304</w:t>
      </w:r>
      <w:r>
        <w:rPr>
          <w:color w:val="003CA0"/>
          <w:sz w:val="12"/>
        </w:rPr>
        <w:t xml:space="preserve"> | rel. Marco Aurélio</w:t>
      </w:r>
    </w:p>
    <w:p>
      <w:pPr>
        <w:ind w:left="288"/>
      </w:pPr>
      <w:r>
        <w:rPr>
          <w:color w:val="1E1E1E"/>
          <w:sz w:val="18"/>
        </w:rPr>
        <w:t>A ação judicial visando ao reconhecimento do direito à nomeação de candidato aprovado fora das vagas previstas no edital (cadastro de reserva) deve ter por causa de pedir preterição ocorrida na vigência do certame.</w:t>
        <w:br/>
        <w:t>[RE 766.304, rel. min. Marco Aurélio, red. do ac. min. Edson Fachin, j. 02.05.2024, P, DJE de 05.08.2024.] É inconstitucional a vedação à posse em cargo público de candidato(a) aprovado(a) que, embora tenha sido acometido(a) por doença grave, não apresenta sintoma incapacitante nem possui restrição relevante que impeça o exercício da função pretendida (CF, arts. 1º, III, 3º, IV, 5º,</w:t>
      </w:r>
    </w:p>
    <w:p>
      <w:pPr>
        <w:ind w:left="288"/>
      </w:pPr>
      <w:r>
        <w:rPr>
          <w:b/>
          <w:color w:val="003CA0"/>
          <w:sz w:val="16"/>
        </w:rPr>
        <w:t>[RE 1.306.505, rel. min. Alexandre de Moraes, j. 28-3-2022, P, DJE de 4-4-2022, Tema 1.157, com mérito julgado.]</w:t>
      </w:r>
    </w:p>
    <w:p>
      <w:pPr>
        <w:ind w:left="288"/>
      </w:pPr>
      <w:r>
        <w:rPr>
          <w:color w:val="8C8C8C"/>
          <w:sz w:val="12"/>
        </w:rPr>
        <w:t>cf-art-37-inc-I</w:t>
      </w:r>
      <w:r>
        <w:rPr>
          <w:color w:val="003CA0"/>
          <w:sz w:val="12"/>
        </w:rPr>
        <w:t xml:space="preserve"> | RE 740.008</w:t>
      </w:r>
      <w:r>
        <w:rPr>
          <w:color w:val="003CA0"/>
          <w:sz w:val="12"/>
        </w:rPr>
        <w:t xml:space="preserve"> | rel. Marco Aurélio</w:t>
      </w:r>
    </w:p>
    <w:p>
      <w:pPr>
        <w:ind w:left="288"/>
      </w:pPr>
      <w:r>
        <w:rPr>
          <w:color w:val="1E1E1E"/>
          <w:sz w:val="18"/>
        </w:rPr>
        <w:t>É inconstitucional o aproveitamento de servidor, aprovado em concurso público a exigir formação de nível médio, em cargo que pressuponha escolaridade superior.</w:t>
        <w:br/>
        <w:t>[RE 740.008, rel. min. Marco Aurélio, j. 21-12-2020, P, DJE de 14-4-2021, Tema 697, com mérito julgado.] É inconstitucional, por dispensar o concurso público, a reestruturação de quadro funcional por meio de aglutinação, em uma única carreira, de cargos diversos, quando a nova carreira tiver atribuições e responsabilidades diferentes dos cargos originais.</w:t>
      </w:r>
    </w:p>
    <w:p>
      <w:pPr>
        <w:ind w:left="288"/>
      </w:pPr>
      <w:r>
        <w:rPr>
          <w:b/>
          <w:color w:val="003CA0"/>
          <w:sz w:val="16"/>
        </w:rPr>
        <w:t>[RE 642.895, rel. min. Marco Aurélio, j. 15-5-2020, P, DJE de 3-6-2020, Tema 667, com mérito julgado.]</w:t>
      </w:r>
    </w:p>
    <w:p>
      <w:pPr>
        <w:ind w:left="288"/>
      </w:pPr>
      <w:r>
        <w:rPr>
          <w:color w:val="8C8C8C"/>
          <w:sz w:val="12"/>
        </w:rPr>
        <w:t>cf-art-37-inc-I</w:t>
      </w:r>
      <w:r>
        <w:rPr>
          <w:color w:val="003CA0"/>
          <w:sz w:val="12"/>
        </w:rPr>
        <w:t xml:space="preserve"> | RE 960.429</w:t>
      </w:r>
      <w:r>
        <w:rPr>
          <w:color w:val="003CA0"/>
          <w:sz w:val="12"/>
        </w:rPr>
        <w:t xml:space="preserve"> | rel. Gilmar Mendes</w:t>
      </w:r>
    </w:p>
    <w:p>
      <w:pPr>
        <w:ind w:left="288"/>
      </w:pPr>
      <w:r>
        <w:rPr>
          <w:color w:val="1E1E1E"/>
          <w:sz w:val="18"/>
        </w:rPr>
        <w:t>Compete à Justiça comum processar e julgar controvérsias relacionadas à fase pré-contratual de seleção e de admissão de pessoal e eventual nulidade do certame em face da Administração Pública, direta e indireta, nas hipóteses em que adotado o regime celetista de contratação de pessoal.</w:t>
      </w:r>
    </w:p>
    <w:p>
      <w:pPr>
        <w:ind w:left="288"/>
      </w:pPr>
      <w:r>
        <w:rPr>
          <w:b/>
          <w:color w:val="003CA0"/>
          <w:sz w:val="16"/>
        </w:rPr>
        <w:t>[RE 960.429, rel. min. Gilmar Mendes, j. 5-3-2020, P, DJE de 24-6-2020, RG, Tema 992, com mérito julgado.]</w:t>
      </w:r>
    </w:p>
    <w:p>
      <w:pPr>
        <w:ind w:left="288"/>
      </w:pPr>
      <w:r>
        <w:rPr>
          <w:color w:val="8C8C8C"/>
          <w:sz w:val="12"/>
        </w:rPr>
        <w:t>cf-art-37-inc-I</w:t>
      </w:r>
      <w:r>
        <w:rPr>
          <w:color w:val="003CA0"/>
          <w:sz w:val="12"/>
        </w:rPr>
        <w:t xml:space="preserve"> | RE 560.900</w:t>
      </w:r>
      <w:r>
        <w:rPr>
          <w:color w:val="003CA0"/>
          <w:sz w:val="12"/>
        </w:rPr>
        <w:t xml:space="preserve"> | rel. Roberto Barroso</w:t>
      </w:r>
    </w:p>
    <w:p>
      <w:pPr>
        <w:ind w:left="288"/>
      </w:pPr>
      <w:r>
        <w:rPr>
          <w:color w:val="1E1E1E"/>
          <w:sz w:val="18"/>
        </w:rPr>
        <w:t>Sem previsão constitucional adequada e instituída por lei, não é legítima a cláusula de edital de concurso público que restrinja a participação de candidato pelo simples fato de responder a inquérito ou ação penal.</w:t>
      </w:r>
    </w:p>
    <w:p>
      <w:pPr>
        <w:ind w:left="288"/>
      </w:pPr>
      <w:r>
        <w:rPr>
          <w:b/>
          <w:color w:val="003CA0"/>
          <w:sz w:val="16"/>
        </w:rPr>
        <w:t>[RE 560.900, rel. min. Roberto Barroso, j. 6-2-2020, P, DJE de 17-8-2020, Tema 22, com mérito julgado.]</w:t>
      </w:r>
    </w:p>
    <w:p>
      <w:pPr>
        <w:ind w:left="288"/>
      </w:pPr>
      <w:r>
        <w:rPr>
          <w:color w:val="8C8C8C"/>
          <w:sz w:val="12"/>
        </w:rPr>
        <w:t>cf-art-37-inc-I</w:t>
      </w:r>
      <w:r>
        <w:rPr>
          <w:color w:val="003CA0"/>
          <w:sz w:val="12"/>
        </w:rPr>
        <w:t xml:space="preserve"> | RCL 48.525</w:t>
      </w:r>
      <w:r>
        <w:rPr>
          <w:color w:val="003CA0"/>
          <w:sz w:val="12"/>
        </w:rPr>
        <w:t xml:space="preserve"> | rel. Dias Toffoli</w:t>
      </w:r>
    </w:p>
    <w:p>
      <w:pPr>
        <w:ind w:left="288"/>
      </w:pPr>
      <w:r>
        <w:rPr>
          <w:color w:val="1E1E1E"/>
          <w:sz w:val="18"/>
        </w:rPr>
        <w:t>Vide Rcl 48.525 AgR, rel. min. Dias Toffoli, j. 11-4-2022, 1ª T, DJE de 13-5-2022 É constitucional a remarcação do teste de aptidão física de candidata aprovada nas provas escritas que esteja grávida à época de sua realização, independentemente da previsão expressa em edital do concurso público.</w:t>
      </w:r>
    </w:p>
    <w:p>
      <w:pPr>
        <w:ind w:left="288"/>
      </w:pPr>
      <w:r>
        <w:rPr>
          <w:b/>
          <w:color w:val="003CA0"/>
          <w:sz w:val="16"/>
        </w:rPr>
        <w:t>[RE 1.058.333, rel. min. Luiz Fux, j. 21-11-2018, P, DJE de 27-7-2020, Tema 973, com mérito julgado.]</w:t>
      </w:r>
    </w:p>
    <w:p>
      <w:pPr>
        <w:ind w:left="288"/>
      </w:pPr>
      <w:r>
        <w:rPr>
          <w:color w:val="8C8C8C"/>
          <w:sz w:val="12"/>
        </w:rPr>
        <w:t>cf-art-37-inc-I</w:t>
      </w:r>
      <w:r>
        <w:rPr>
          <w:color w:val="003CA0"/>
          <w:sz w:val="12"/>
        </w:rPr>
        <w:t xml:space="preserve"> | RE 1.357.064</w:t>
      </w:r>
      <w:r>
        <w:rPr>
          <w:color w:val="003CA0"/>
          <w:sz w:val="12"/>
        </w:rPr>
        <w:t xml:space="preserve"> | rel. Alexandre de Moraes</w:t>
      </w:r>
    </w:p>
    <w:p>
      <w:pPr>
        <w:ind w:left="288"/>
      </w:pPr>
      <w:r>
        <w:rPr>
          <w:color w:val="1E1E1E"/>
          <w:sz w:val="18"/>
        </w:rPr>
        <w:t>Vide RE 1.357.064 AgR, rel. min. Alexandre de Moraes, j. 2-3-2022, 1ª T, DJE de 8-3-2022 A nomeação tardia de candidatos aprovados em concurso público, por meio de ato judicial, à qual atribuída eficácia retroativa, não gera direito às promoções ou progressões funcionais que alcançariam houvesse ocorrido, a tempo e modo, a nomeação.</w:t>
      </w:r>
    </w:p>
    <w:p>
      <w:pPr>
        <w:ind w:left="288"/>
      </w:pPr>
      <w:r>
        <w:rPr>
          <w:b/>
          <w:color w:val="003CA0"/>
          <w:sz w:val="16"/>
        </w:rPr>
        <w:t>[RE 629.392, rel. min. Marco Aurélio, j. 8-6-2017, P, DJE de 1º-2-2018, Tema 454, com mérito julgado.]</w:t>
      </w:r>
    </w:p>
    <w:p>
      <w:pPr>
        <w:ind w:left="288"/>
      </w:pPr>
      <w:r>
        <w:rPr>
          <w:color w:val="8C8C8C"/>
          <w:sz w:val="12"/>
        </w:rPr>
        <w:t>cf-art-37-inc-I</w:t>
      </w:r>
      <w:r>
        <w:rPr>
          <w:color w:val="003CA0"/>
          <w:sz w:val="12"/>
        </w:rPr>
        <w:t xml:space="preserve"> | RE 598.099</w:t>
      </w:r>
      <w:r>
        <w:rPr>
          <w:color w:val="003CA0"/>
          <w:sz w:val="12"/>
        </w:rPr>
        <w:t xml:space="preserve"> | rel. Luiz Fux</w:t>
      </w:r>
    </w:p>
    <w:p>
      <w:pPr>
        <w:ind w:left="288"/>
      </w:pPr>
      <w:r>
        <w:rPr>
          <w:color w:val="1E1E1E"/>
          <w:sz w:val="18"/>
        </w:rPr>
        <w:t>A tese objetiva assentada em sede desta repercussão geral é a de que o surgimento de novas vagas ou a abertura de novo concurso para o mesmo cargo, durante o prazo de validade do certame anterior, não gera automaticamente o direito à nomeação dos candidatos aprovados fora das vagas previstas no edital, ressalvadas as hipóteses de preterição arbitrária e imotivada por parte da administração, caracterizadas por comportamento tácito ou expresso do poder público capaz de revelar a inequívoca necessidade de nomeação do aprovado durante o período de validade do certame, a ser demonstrada de forma ca</w:t>
      </w:r>
    </w:p>
    <w:p>
      <w:pPr>
        <w:ind w:left="288"/>
      </w:pPr>
      <w:r>
        <w:rPr>
          <w:b/>
          <w:color w:val="003CA0"/>
          <w:sz w:val="16"/>
        </w:rPr>
        <w:t>[RE 789.874, rel. min. Teori Zavascki, j. 17-9-2014, P, DJE de 19-11-2014, Tema 569, com mérito julgado.]</w:t>
      </w:r>
    </w:p>
    <w:p>
      <w:pPr>
        <w:ind w:left="288"/>
      </w:pPr>
      <w:r>
        <w:rPr>
          <w:color w:val="8C8C8C"/>
          <w:sz w:val="12"/>
        </w:rPr>
        <w:t>cf-art-37-inc-I</w:t>
      </w:r>
      <w:r>
        <w:rPr>
          <w:color w:val="003CA0"/>
          <w:sz w:val="12"/>
        </w:rPr>
        <w:t xml:space="preserve"> | RE 608.482</w:t>
      </w:r>
      <w:r>
        <w:rPr>
          <w:color w:val="003CA0"/>
          <w:sz w:val="12"/>
        </w:rPr>
        <w:t xml:space="preserve"> | rel. Teori Zavascki</w:t>
      </w:r>
    </w:p>
    <w:p>
      <w:pPr>
        <w:ind w:left="288"/>
      </w:pPr>
      <w:r>
        <w:rPr>
          <w:color w:val="1E1E1E"/>
          <w:sz w:val="18"/>
        </w:rPr>
        <w:t>Não é compatível com o regime constitucional de acesso aos cargos públicos a manutenção no cargo, sob fundamento de fato consumado, de candidato não aprovado que nele tomou posse em decorrência de execução provisória de medida liminar ou outro provimento judicial de natureza precária, supervenientemente revogado ou modificado.</w:t>
      </w:r>
    </w:p>
    <w:p>
      <w:pPr>
        <w:ind w:left="288"/>
      </w:pPr>
      <w:r>
        <w:rPr>
          <w:b/>
          <w:color w:val="003CA0"/>
          <w:sz w:val="16"/>
        </w:rPr>
        <w:t>[RE 608.482, rel. min. Teori Zavascki, j. 7-8-2014, P, DJE de 30-10-2014, Tema 476, com mérito julgado.]</w:t>
        <w:br/>
        <w:t>Vide: MS 39.800, rel. min Nunes Marques, j. 2.10.2024, 2ª T, DJE de 18.12.2024.</w:t>
      </w:r>
    </w:p>
    <w:p>
      <w:pPr>
        <w:ind w:left="288"/>
      </w:pPr>
      <w:r>
        <w:rPr>
          <w:color w:val="8C8C8C"/>
          <w:sz w:val="12"/>
        </w:rPr>
        <w:t>cf-art-37-inc-I</w:t>
      </w:r>
      <w:r>
        <w:rPr>
          <w:color w:val="003CA0"/>
          <w:sz w:val="12"/>
        </w:rPr>
        <w:t xml:space="preserve"> | RE 658.026</w:t>
      </w:r>
      <w:r>
        <w:rPr>
          <w:color w:val="003CA0"/>
          <w:sz w:val="12"/>
        </w:rPr>
        <w:t xml:space="preserve"> | rel. Dias Toffoli</w:t>
      </w:r>
    </w:p>
    <w:p>
      <w:pPr>
        <w:ind w:left="288"/>
      </w:pPr>
      <w:r>
        <w:rPr>
          <w:color w:val="1E1E1E"/>
          <w:sz w:val="18"/>
        </w:rPr>
        <w:t>Ação direta de inconstitucionalidade de lei municipal em face de trecho da Constituição do Estado de Minas Gerais que repete texto da CF. (...) Contratação temporária por tempo determinado para atendimento a necessidade temporária de excepcional interesse público. Previsão em lei municipal de atividades ordinárias e regulares. Definição dos conteúdos jurídicos do art. 37, II e IX, da CF. Descumprimento dos requisitos constitucionais. (...) Prevalência da regra da obrigatoriedade do concurso público (art. 37, II, CF). As regras que restringem o cumprimento desse dispositivo estão previstas na C</w:t>
      </w:r>
    </w:p>
    <w:p>
      <w:pPr>
        <w:ind w:left="288"/>
      </w:pPr>
      <w:r>
        <w:rPr>
          <w:b/>
          <w:color w:val="003CA0"/>
          <w:sz w:val="16"/>
        </w:rPr>
        <w:t>[RE 658.026, rel. min. Dias Toffoli, j. 9-4-2014, P, DJE de 31-10-2014, Tema 612, com mérito julgado.]</w:t>
      </w:r>
    </w:p>
    <w:p>
      <w:pPr>
        <w:ind w:left="288"/>
      </w:pPr>
      <w:r>
        <w:rPr>
          <w:color w:val="8C8C8C"/>
          <w:sz w:val="12"/>
        </w:rPr>
        <w:t>cf-art-37-inc-I</w:t>
      </w:r>
      <w:r>
        <w:rPr>
          <w:color w:val="003CA0"/>
          <w:sz w:val="12"/>
        </w:rPr>
        <w:t xml:space="preserve"> | ADI 2.229</w:t>
      </w:r>
      <w:r>
        <w:rPr>
          <w:color w:val="003CA0"/>
          <w:sz w:val="12"/>
        </w:rPr>
        <w:t xml:space="preserve"> | rel. Carlos Velloso</w:t>
      </w:r>
    </w:p>
    <w:p>
      <w:pPr>
        <w:ind w:left="288"/>
      </w:pPr>
      <w:r>
        <w:rPr>
          <w:color w:val="1E1E1E"/>
          <w:sz w:val="18"/>
        </w:rPr>
        <w:t>Vide ADI 2.229, rel. min. Carlos Velloso, j. 9-6-2004, P, DJ de 25-6-2004 Concurso Público. Edital. Cláusulas de Barreira. Alegação de violação aos arts. 5º, caput, e 37, inciso I, da Constituição Federal. Regras restritivas em editais de concurso público, quando fundadas em critérios objetivos relacionados ao desempenho meritório do candidato, não ferem o princípio da isonomia. As cláusulas de barreira em concurso público, para seleção dos candidatos mais bem classificados, têm amparo constitucional.</w:t>
      </w:r>
    </w:p>
    <w:p>
      <w:pPr>
        <w:ind w:left="288"/>
      </w:pPr>
      <w:r>
        <w:rPr>
          <w:b/>
          <w:color w:val="003CA0"/>
          <w:sz w:val="16"/>
        </w:rPr>
        <w:t>[RE 635.739, voto do rel. min. Gilmar Mendes, j. 19-2-2014, P, DJE de 3-10-2014, Tema 376, com mérito julgado.]</w:t>
      </w:r>
    </w:p>
    <w:p>
      <w:pPr>
        <w:ind w:left="288"/>
      </w:pPr>
      <w:r>
        <w:rPr>
          <w:color w:val="8C8C8C"/>
          <w:sz w:val="12"/>
        </w:rPr>
        <w:t>cf-art-37-inc-I</w:t>
      </w:r>
      <w:r>
        <w:rPr>
          <w:color w:val="003CA0"/>
          <w:sz w:val="12"/>
        </w:rPr>
        <w:t xml:space="preserve"> | RE 630.733</w:t>
      </w:r>
      <w:r>
        <w:rPr>
          <w:color w:val="003CA0"/>
          <w:sz w:val="12"/>
        </w:rPr>
        <w:t xml:space="preserve"> | rel. Gilmar Mendes</w:t>
      </w:r>
    </w:p>
    <w:p>
      <w:pPr>
        <w:ind w:left="288"/>
      </w:pPr>
      <w:r>
        <w:rPr>
          <w:color w:val="1E1E1E"/>
          <w:sz w:val="18"/>
        </w:rPr>
        <w:t>Remarcação de teste de aptidão física em concurso público em razão de problema temporário de saúde. Vedação expressa em edital. Constitucionalidade. Violação ao princípio da isonomia. Não ocorrência. Postulado do qual não decorre, de plano, a possibilidade de realização de segunda chamada em etapa de concurso público em virtude de situações pessoais do candidato. Cláusula editalícia que confere eficácia ao princípio da isonomia à luz dos postulados da impessoalidade e da supremacia do interesse público. Inexistência de direito constitucional à remarcação de provas em razão de circunstâncias pe</w:t>
      </w:r>
    </w:p>
    <w:p>
      <w:pPr>
        <w:ind w:left="288"/>
      </w:pPr>
      <w:r>
        <w:rPr>
          <w:b/>
          <w:color w:val="003CA0"/>
          <w:sz w:val="16"/>
        </w:rPr>
        <w:t>[RE 598.099, rel. min. Gilmar Mendes, j. 10-8-2011, P, DJE de 3-10-2011, Tema 161, com mérito julgado.]</w:t>
      </w:r>
    </w:p>
    <w:p>
      <w:pPr>
        <w:ind w:left="288"/>
      </w:pPr>
      <w:r>
        <w:rPr>
          <w:color w:val="8C8C8C"/>
          <w:sz w:val="12"/>
        </w:rPr>
        <w:t>cf-art-37-inc-I</w:t>
      </w:r>
      <w:r>
        <w:rPr>
          <w:color w:val="003CA0"/>
          <w:sz w:val="12"/>
        </w:rPr>
        <w:t xml:space="preserve"> | RE 837.311</w:t>
      </w:r>
      <w:r>
        <w:rPr>
          <w:color w:val="003CA0"/>
          <w:sz w:val="12"/>
        </w:rPr>
        <w:t xml:space="preserve"> | rel. Luiz Fux</w:t>
      </w:r>
    </w:p>
    <w:p>
      <w:pPr>
        <w:ind w:left="288"/>
      </w:pPr>
      <w:r>
        <w:rPr>
          <w:color w:val="1E1E1E"/>
          <w:sz w:val="18"/>
        </w:rPr>
        <w:t>Vide RE 837.311, rel. min. Luiz Fux, j. 9-12-2015, P, DJE de 18-4-2016, Tema 784, com mérito julgado. Concurso público. Segurança pública. Investigação social. Previsão legal e editalícia. Ação penal em curso por crime de homicídio. Ato administrativo de exclusão do candidato. Compatibilidade com a tese do tema 22 da RG. (...) O agravo não demonstra o desacerto da decisão agravada, que se baseou na jurisprudência do STF, permitindo exceção ao tema 22 em casos de segurança pública, considerando a gravidade e as peculiaridades do cargo. A absolvição posterior não invalida a análise administrativ</w:t>
      </w:r>
    </w:p>
    <w:p>
      <w:pPr>
        <w:ind w:left="288"/>
      </w:pPr>
      <w:r>
        <w:rPr>
          <w:b/>
          <w:color w:val="003CA0"/>
          <w:sz w:val="16"/>
        </w:rPr>
        <w:t>[RE 1.487.107 AgR, rel. min. Gilmar Mendes, j. 22.09.2025, 2ª T, DJE de 23.09.2025.]</w:t>
      </w:r>
    </w:p>
    <w:p>
      <w:pPr>
        <w:ind w:left="288"/>
      </w:pPr>
      <w:r>
        <w:rPr>
          <w:color w:val="8C8C8C"/>
          <w:sz w:val="12"/>
        </w:rPr>
        <w:t>cf-art-37-inc-I</w:t>
      </w:r>
      <w:r>
        <w:rPr>
          <w:color w:val="003CA0"/>
          <w:sz w:val="12"/>
        </w:rPr>
        <w:t xml:space="preserve"> | RCL 74.699</w:t>
      </w:r>
      <w:r>
        <w:rPr>
          <w:color w:val="003CA0"/>
          <w:sz w:val="12"/>
        </w:rPr>
        <w:t xml:space="preserve"> | rel. Flávio Dino</w:t>
      </w:r>
    </w:p>
    <w:p>
      <w:pPr>
        <w:ind w:left="288"/>
      </w:pPr>
      <w:r>
        <w:rPr>
          <w:color w:val="1E1E1E"/>
          <w:sz w:val="18"/>
        </w:rPr>
        <w:t>O Supremo Tribunal Federal, ao fixar a tese no Tema 376 da Repercussão Geral, reconheceu a constitucionalidade da cláusula de barreira em concursos públicos, sem condicioná-la à suficiência do número de candidatos aprovados para o cadastro reserva. A eventual escassez de candidatos classificados não afasta a validade da cláusula. O acórdão reclamado aplicou corretamente o entendimento vinculante ao decidir que a subestimativa do número de aprovados para cadastro reserva não torna inconstitucional a cláusula de barreira, tampouco gera direito à reintegração de candidatos eliminados.</w:t>
      </w:r>
    </w:p>
    <w:p>
      <w:pPr>
        <w:ind w:left="288"/>
      </w:pPr>
      <w:r>
        <w:rPr>
          <w:b/>
          <w:color w:val="003CA0"/>
          <w:sz w:val="16"/>
        </w:rPr>
        <w:t>[Rcl 74.699 AgR, rel. min. Flávio Dino, j. 05.03.2025, 1ª T, DJE de 13.03.2025.]</w:t>
      </w:r>
    </w:p>
    <w:p>
      <w:pPr>
        <w:ind w:left="288"/>
      </w:pPr>
      <w:r>
        <w:rPr>
          <w:color w:val="8C8C8C"/>
          <w:sz w:val="12"/>
        </w:rPr>
        <w:t>cf-art-37-inc-I</w:t>
      </w:r>
      <w:r>
        <w:rPr>
          <w:color w:val="003CA0"/>
          <w:sz w:val="12"/>
        </w:rPr>
        <w:t xml:space="preserve"> | RCL 55.801</w:t>
      </w:r>
      <w:r>
        <w:rPr>
          <w:color w:val="003CA0"/>
          <w:sz w:val="12"/>
        </w:rPr>
        <w:t xml:space="preserve"> | rel. Edson Fachin</w:t>
      </w:r>
    </w:p>
    <w:p>
      <w:pPr>
        <w:ind w:left="288"/>
      </w:pPr>
      <w:r>
        <w:rPr>
          <w:color w:val="1E1E1E"/>
          <w:sz w:val="18"/>
        </w:rPr>
        <w:t>O candidato aprovado fora do número de vagas previstas no edital possui direito subjetivo à nomeação quando, em decorrência da desistência de candidatos nomeados classificados em colocação superior, passe ele a figurar entre as vagas constantes do edital.</w:t>
        <w:br/>
        <w:t>[Rcl 55.801 AgR, rel. min. Edson Fachin, j. 24-10-2023, 2ª T, DJE de 8-11-2023.]</w:t>
      </w:r>
    </w:p>
    <w:p>
      <w:pPr>
        <w:ind w:left="144"/>
      </w:pPr>
      <w:r>
        <w:rPr>
          <w:b/>
          <w:color w:val="B45A00"/>
          <w:sz w:val="16"/>
        </w:rPr>
        <w:t>JULGADOS CORRELATOS</w:t>
      </w:r>
    </w:p>
    <w:p>
      <w:pPr>
        <w:ind w:left="288"/>
      </w:pPr>
      <w:r>
        <w:rPr>
          <w:color w:val="8C8C8C"/>
          <w:sz w:val="12"/>
        </w:rPr>
        <w:t>cf-art-37-inc-I</w:t>
      </w:r>
      <w:r>
        <w:rPr>
          <w:color w:val="003CA0"/>
          <w:sz w:val="12"/>
        </w:rPr>
        <w:t xml:space="preserve"> | MS 36.790</w:t>
      </w:r>
      <w:r>
        <w:rPr>
          <w:color w:val="003CA0"/>
          <w:sz w:val="12"/>
        </w:rPr>
        <w:t xml:space="preserve"> | rel. Edson Fachin</w:t>
      </w:r>
    </w:p>
    <w:p>
      <w:pPr>
        <w:ind w:left="288"/>
      </w:pPr>
      <w:r>
        <w:rPr>
          <w:color w:val="1E1E1E"/>
          <w:sz w:val="18"/>
        </w:rPr>
        <w:t>A reintegração de empregado público anistiado deve ser feita mediante observância ao regime jurídico ao qual estava submetido à época de sua admissão. No caso, o impetrante estava submetido ao regime celetista, estando correto o ato que o reintegrou à Administração mantendo-o sob o regime celetista. As portarias que sucederam o ato de reintegração e alteraram o regime do impetrante anistiado de celetista para estatutário o fizeram em flagrante violação do disposto no art. 37, inciso II, da Carta Magna de 1988. A flagrante inconstitucionalidade da transposição de regime jurídico sem a aprovação</w:t>
      </w:r>
    </w:p>
    <w:p>
      <w:pPr>
        <w:ind w:left="288"/>
      </w:pPr>
      <w:r>
        <w:rPr>
          <w:b/>
          <w:color w:val="003CA0"/>
          <w:sz w:val="16"/>
        </w:rPr>
        <w:t>[RE 1.384.699 AgR, rel. min. Alexandre de Moraes, j. 16-8-2022, 1ª T, DJE de 19-8-2022.]</w:t>
      </w:r>
    </w:p>
    <w:p>
      <w:pPr>
        <w:ind w:left="288"/>
      </w:pPr>
      <w:r>
        <w:rPr>
          <w:color w:val="8C8C8C"/>
          <w:sz w:val="12"/>
        </w:rPr>
        <w:t>cf-art-37-inc-I</w:t>
      </w:r>
      <w:r>
        <w:rPr>
          <w:color w:val="003CA0"/>
          <w:sz w:val="12"/>
        </w:rPr>
        <w:t xml:space="preserve"> | RCL 47.586</w:t>
      </w:r>
      <w:r>
        <w:rPr>
          <w:color w:val="003CA0"/>
          <w:sz w:val="12"/>
        </w:rPr>
        <w:t xml:space="preserve"> | rel. Dias Toffoli</w:t>
      </w:r>
    </w:p>
    <w:p>
      <w:pPr>
        <w:ind w:left="288"/>
      </w:pPr>
      <w:r>
        <w:rPr>
          <w:color w:val="1E1E1E"/>
          <w:sz w:val="18"/>
        </w:rPr>
        <w:t>A Primeira Turma (Rcl 47.586-AgR, red. do ac. Min. Alexandre de Moraes, sessão de 8/2/22) firmou o entendimento de que a mitigação da tese do Tema 22 da Repercussão Geral é legítima quando o debate envolver certame para as carreiras policiais, mantendo a exclusão do candidato feita por banca de concurso público quando justificada no desabono da conduta social fundado em fatos narrados em inquérito policial ou ação penal, em conformidade com a fase de investigação social prevista no edital do respectivo concurso.</w:t>
      </w:r>
    </w:p>
    <w:p>
      <w:pPr>
        <w:ind w:left="288"/>
      </w:pPr>
      <w:r>
        <w:rPr>
          <w:b/>
          <w:color w:val="003CA0"/>
          <w:sz w:val="16"/>
        </w:rPr>
        <w:t>[Rcl 48.525 AgR, rel. min. Dias Toffoli, j. 11-4-2022, 1ª T, DJE de 13-5-2022.]</w:t>
      </w:r>
    </w:p>
    <w:p>
      <w:pPr>
        <w:ind w:left="288"/>
      </w:pPr>
      <w:r>
        <w:rPr>
          <w:color w:val="8C8C8C"/>
          <w:sz w:val="12"/>
        </w:rPr>
        <w:t>cf-art-37-inc-I</w:t>
      </w:r>
      <w:r>
        <w:rPr>
          <w:color w:val="003CA0"/>
          <w:sz w:val="12"/>
        </w:rPr>
        <w:t xml:space="preserve"> | RE 560.900</w:t>
      </w:r>
      <w:r>
        <w:rPr>
          <w:color w:val="003CA0"/>
          <w:sz w:val="12"/>
        </w:rPr>
        <w:t xml:space="preserve"> | rel. Roberto Barroso</w:t>
      </w:r>
    </w:p>
    <w:p>
      <w:pPr>
        <w:ind w:left="288"/>
      </w:pPr>
      <w:r>
        <w:rPr>
          <w:color w:val="1E1E1E"/>
          <w:sz w:val="18"/>
        </w:rPr>
        <w:t>Vide RE 560.900, rel. min. Roberto Barroso, j. 6-2-2020, P, DJE de 17-8-2020, Tema 22, com mérito julgado. O Plenário do Supremo Tribunal Federal, no julgamento do (...) precedente paradigma, fixou tese no sentido de que: ‘É constitucional a remarcação do teste de aptidão física de candidata que esteja grávida à época de sua realização, independentemente da previsão expressa em edital do concurso público.’ Não obstante o Tema 973 refira-se à eliminação de candidata gestante quando da realização do teste de atividade física, com mais razão ainda a tese deve ser aplicada à candidata que logrou ê</w:t>
      </w:r>
    </w:p>
    <w:p>
      <w:pPr>
        <w:ind w:left="288"/>
      </w:pPr>
      <w:r>
        <w:rPr>
          <w:b/>
          <w:color w:val="003CA0"/>
          <w:sz w:val="16"/>
        </w:rPr>
        <w:t>[RE 1.357.064 AgR, rel. min. Alexandre de Moraes, j. 2-3-2022, 1ª T, DJE de 8-3-2022.]</w:t>
      </w:r>
    </w:p>
    <w:p>
      <w:pPr>
        <w:ind w:left="288"/>
      </w:pPr>
      <w:r>
        <w:rPr>
          <w:color w:val="8C8C8C"/>
          <w:sz w:val="12"/>
        </w:rPr>
        <w:t>cf-art-37-inc-I</w:t>
      </w:r>
      <w:r>
        <w:rPr>
          <w:color w:val="003CA0"/>
          <w:sz w:val="12"/>
        </w:rPr>
        <w:t xml:space="preserve"> | RE 1.058.333</w:t>
      </w:r>
      <w:r>
        <w:rPr>
          <w:color w:val="003CA0"/>
          <w:sz w:val="12"/>
        </w:rPr>
        <w:t xml:space="preserve"> | rel. Luiz Fux</w:t>
      </w:r>
    </w:p>
    <w:p>
      <w:pPr>
        <w:ind w:left="288"/>
      </w:pPr>
      <w:r>
        <w:rPr>
          <w:color w:val="1E1E1E"/>
          <w:sz w:val="18"/>
        </w:rPr>
        <w:t>Vide RE 1.058.333, rel. min. Luiz Fux, j. 21-11-2018, P, DJE de 27-7-2020, Tema 973 Embora a jurisprudência do STF seja no sentido de que a desistência dos candidatos mais bem classificados dentro do prazo de validade do certame público garante aos aprovados fora do número de vagas o direito subjetivo à nomeação, esse entendimento não se estende aos casos de exoneração de servidor público. Diferentemente da desistência - ato praticado em curto espaço de tempo após a convocação do candidato -, a exoneração pode acontecer em qualquer momento, inclusive anos depois da nomeação e posse. Aceitar qu</w:t>
      </w:r>
    </w:p>
    <w:p>
      <w:pPr>
        <w:ind w:left="288"/>
      </w:pPr>
      <w:r>
        <w:rPr>
          <w:b/>
          <w:color w:val="003CA0"/>
          <w:sz w:val="16"/>
        </w:rPr>
        <w:t>[ARE 1.344.138 AgR, rel. min. Alexandre de Moraes, j. 16-11-2021, 1ª T, DJE de 23-11-2021.]</w:t>
      </w:r>
    </w:p>
    <w:p>
      <w:pPr>
        <w:ind w:left="288"/>
      </w:pPr>
      <w:r>
        <w:rPr>
          <w:color w:val="8C8C8C"/>
          <w:sz w:val="12"/>
        </w:rPr>
        <w:t>cf-art-37-inc-I</w:t>
      </w:r>
      <w:r>
        <w:rPr>
          <w:color w:val="003CA0"/>
          <w:sz w:val="12"/>
        </w:rPr>
        <w:t xml:space="preserve"> | ACO 1.957</w:t>
      </w:r>
      <w:r>
        <w:rPr>
          <w:color w:val="003CA0"/>
          <w:sz w:val="12"/>
        </w:rPr>
        <w:t xml:space="preserve"> | rel. Marco Aurélio</w:t>
      </w:r>
    </w:p>
    <w:p>
      <w:pPr>
        <w:ind w:left="288"/>
      </w:pPr>
      <w:r>
        <w:rPr>
          <w:color w:val="1E1E1E"/>
          <w:sz w:val="18"/>
        </w:rPr>
        <w:t>Itaipu Binacional. (...) Não se aplica o artigo 37, inciso II, da Constituição Federal às contratações de empregados realizadas por Itaipu.</w:t>
      </w:r>
    </w:p>
    <w:p>
      <w:pPr>
        <w:ind w:left="288"/>
      </w:pPr>
      <w:r>
        <w:rPr>
          <w:b/>
          <w:color w:val="003CA0"/>
          <w:sz w:val="16"/>
        </w:rPr>
        <w:t>[ACO 1.957, rel. min. Marco Aurélio, j. 8-9-2020, P, DJE de 24-9-2020.]</w:t>
      </w:r>
    </w:p>
    <w:p>
      <w:pPr>
        <w:ind w:left="288"/>
      </w:pPr>
      <w:r>
        <w:rPr>
          <w:color w:val="8C8C8C"/>
          <w:sz w:val="12"/>
        </w:rPr>
        <w:t>cf-art-37-inc-I</w:t>
      </w:r>
      <w:r>
        <w:rPr>
          <w:color w:val="003CA0"/>
          <w:sz w:val="12"/>
        </w:rPr>
        <w:t xml:space="preserve"> | RE 655.265</w:t>
      </w:r>
      <w:r>
        <w:rPr>
          <w:color w:val="003CA0"/>
          <w:sz w:val="12"/>
        </w:rPr>
        <w:t xml:space="preserve"> | rel. Luiz Fux</w:t>
      </w:r>
    </w:p>
    <w:p>
      <w:pPr>
        <w:ind w:left="288"/>
      </w:pPr>
      <w:r>
        <w:rPr>
          <w:color w:val="1E1E1E"/>
          <w:sz w:val="18"/>
        </w:rPr>
        <w:t>O candidato nomeado tardiamente por força de decisão judicial não tem direito à contagem retroativa do tempo de serviço e aos demais efeitos funcionais ou previdenciários a partir da data em que deveria ter sido nomeado. A investidura no cargo, através da nomeação, seguida da posse e do efetivo exercício, é que gera o direito às prerrogativas funcionais inerentes ao cargo público, sob pena de enriquecimento ilícito.</w:t>
      </w:r>
    </w:p>
    <w:p>
      <w:pPr>
        <w:ind w:left="288"/>
      </w:pPr>
      <w:r>
        <w:rPr>
          <w:b/>
          <w:color w:val="003CA0"/>
          <w:sz w:val="16"/>
        </w:rPr>
        <w:t>[RE 655.265-AgR, rel. min. Luiz Fux, j. 5-4-2019, P, DJE de 2-5-2019.]</w:t>
      </w:r>
    </w:p>
    <w:p>
      <w:pPr>
        <w:ind w:left="288"/>
      </w:pPr>
      <w:r>
        <w:rPr>
          <w:color w:val="8C8C8C"/>
          <w:sz w:val="12"/>
        </w:rPr>
        <w:t>cf-art-37-inc-I</w:t>
      </w:r>
      <w:r>
        <w:rPr>
          <w:color w:val="003CA0"/>
          <w:sz w:val="12"/>
        </w:rPr>
        <w:t xml:space="preserve"> | RE 837.311</w:t>
      </w:r>
      <w:r>
        <w:rPr>
          <w:color w:val="003CA0"/>
          <w:sz w:val="12"/>
        </w:rPr>
        <w:t xml:space="preserve"> | rel. Marco Aurélio</w:t>
      </w:r>
    </w:p>
    <w:p>
      <w:pPr>
        <w:ind w:left="288"/>
      </w:pPr>
      <w:r>
        <w:rPr>
          <w:color w:val="1E1E1E"/>
          <w:sz w:val="18"/>
        </w:rPr>
        <w:t>Concurso público de admissão à carreira de diplomata. (...) O candidato foi aprovado fora das vagas previstas em edital, e, tendo sido demonstrada nos autos a ausência do surgimento de novas vagas ou abertura de novo certame durante o prazo de validade do certame, resta inadequada a pretensão de aplicação do precedente julgado pelo Plenário no RE 837.311 RG. A simples consulta feita pelo Ministério das Relações Exteriores ao Ministério do Planejamento, Orçamento e Gestão, acerca da viabilidade orçamentária para o provimento de eventual vaga adicional ao Concurso de Admissão à Carreira de Diplo</w:t>
      </w:r>
    </w:p>
    <w:p>
      <w:pPr>
        <w:ind w:left="288"/>
      </w:pPr>
      <w:r>
        <w:rPr>
          <w:b/>
          <w:color w:val="003CA0"/>
          <w:sz w:val="16"/>
        </w:rPr>
        <w:t>[MS 31.708, rel. min. Marco Aurélio, j. 19-5-2015, 1ª T, DJE de 8-6-2015.]</w:t>
      </w:r>
    </w:p>
    <w:p>
      <w:pPr>
        <w:ind w:left="288"/>
      </w:pPr>
      <w:r>
        <w:rPr>
          <w:color w:val="8C8C8C"/>
          <w:sz w:val="12"/>
        </w:rPr>
        <w:t>cf-art-37-inc-I</w:t>
      </w:r>
      <w:r>
        <w:rPr>
          <w:color w:val="003CA0"/>
          <w:sz w:val="12"/>
        </w:rPr>
        <w:t xml:space="preserve"> | AI 706.869</w:t>
      </w:r>
      <w:r>
        <w:rPr>
          <w:color w:val="003CA0"/>
          <w:sz w:val="12"/>
        </w:rPr>
        <w:t xml:space="preserve"> | rel. Roberto Barroso</w:t>
      </w:r>
    </w:p>
    <w:p>
      <w:pPr>
        <w:ind w:left="288"/>
      </w:pPr>
      <w:r>
        <w:rPr>
          <w:color w:val="1E1E1E"/>
          <w:sz w:val="18"/>
        </w:rPr>
        <w:t>Hipótese em que a edição de resolução pelo TSE, que determinava que as vagas criadas posteriormente fossem preenchidas com o concurso então vigente, retirou do TRE a discricionariedade de optar por fazer um novo concurso ou aproveitar os que já estavam concursados. Diante de tal peculiaridade, reconhece-se o direito subjetivo à nomeação, devendo ser respeitada a ordem de classificação do concurso público.</w:t>
      </w:r>
    </w:p>
    <w:p>
      <w:pPr>
        <w:ind w:left="288"/>
      </w:pPr>
      <w:r>
        <w:rPr>
          <w:b/>
          <w:color w:val="003CA0"/>
          <w:sz w:val="16"/>
        </w:rPr>
        <w:t>[AI 706.869 AgR, rel. min. Roberto Barroso, j. 16-12-2014, 1ª T, DJE de 19-2-2015.]</w:t>
        <w:br/>
        <w:t>= RE 591.393 AgR-terceiro, rel. min. Edson Fachin, j. 1º-12-2017, 2ª T, DJE de 14-12-2017</w:t>
      </w:r>
    </w:p>
    <w:p>
      <w:pPr>
        <w:ind w:left="288"/>
      </w:pPr>
      <w:r>
        <w:rPr>
          <w:color w:val="8C8C8C"/>
          <w:sz w:val="12"/>
        </w:rPr>
        <w:t>cf-art-37-inc-I</w:t>
      </w:r>
      <w:r>
        <w:rPr>
          <w:color w:val="003CA0"/>
          <w:sz w:val="12"/>
        </w:rPr>
        <w:t xml:space="preserve"> | RE 534.738</w:t>
      </w:r>
    </w:p>
    <w:p>
      <w:pPr>
        <w:ind w:left="288"/>
      </w:pPr>
      <w:r>
        <w:rPr>
          <w:color w:val="1E1E1E"/>
          <w:sz w:val="18"/>
        </w:rPr>
        <w:t>Inaplicável a teoria do fato consumado em favor de candidato que permaneceu no cargo público por pouco mais de dois anos, ainda assim por força de medida cautelar cassada por órgão colegiado.</w:t>
      </w:r>
    </w:p>
    <w:p>
      <w:pPr>
        <w:ind w:left="288"/>
      </w:pPr>
      <w:r>
        <w:rPr>
          <w:b/>
          <w:color w:val="003CA0"/>
          <w:sz w:val="16"/>
        </w:rPr>
        <w:t>[RE 534.738 2ºJULG, red. do ac. min. Roberto Barroso, j. 11-11-2014, 1ª T, DJE de 19-2-2015.]</w:t>
      </w:r>
    </w:p>
    <w:p>
      <w:pPr>
        <w:ind w:left="288"/>
      </w:pPr>
      <w:r>
        <w:rPr>
          <w:color w:val="8C8C8C"/>
          <w:sz w:val="12"/>
        </w:rPr>
        <w:t>cf-art-37-inc-I</w:t>
      </w:r>
      <w:r>
        <w:rPr>
          <w:color w:val="003CA0"/>
          <w:sz w:val="12"/>
        </w:rPr>
        <w:t xml:space="preserve"> | MS 32.074</w:t>
      </w:r>
      <w:r>
        <w:rPr>
          <w:color w:val="003CA0"/>
          <w:sz w:val="12"/>
        </w:rPr>
        <w:t xml:space="preserve"> | rel. Luiz Fux</w:t>
      </w:r>
    </w:p>
    <w:p>
      <w:pPr>
        <w:ind w:left="288"/>
      </w:pPr>
      <w:r>
        <w:rPr>
          <w:color w:val="1E1E1E"/>
          <w:sz w:val="18"/>
        </w:rPr>
        <w:t>As provas de títulos em concursos públicos para provimento de cargos efetivos no seio da administração pública brasileira, qualquer que seja o Poder de que se trate ou o nível federativo de que se cuide, não podem ostentar natureza eliminatória, prestando-se apenas para classificar os candidatos, sem jamais justificar sua eliminação do certame, consoante se extrai, contrario sensu, do art. 37, II, da Constituição da República.</w:t>
      </w:r>
    </w:p>
    <w:p>
      <w:pPr>
        <w:ind w:left="288"/>
      </w:pPr>
      <w:r>
        <w:rPr>
          <w:b/>
          <w:color w:val="003CA0"/>
          <w:sz w:val="16"/>
        </w:rPr>
        <w:t>[MS 32.074, rel. min. Luiz Fux, j. 2-9-2014, 1ª T, DJE de 5-11-2014.]</w:t>
      </w:r>
    </w:p>
    <w:p>
      <w:pPr>
        <w:ind w:left="288"/>
      </w:pPr>
      <w:r>
        <w:rPr>
          <w:color w:val="8C8C8C"/>
          <w:sz w:val="12"/>
        </w:rPr>
        <w:t>cf-art-37-inc-I</w:t>
      </w:r>
      <w:r>
        <w:rPr>
          <w:color w:val="003CA0"/>
          <w:sz w:val="12"/>
        </w:rPr>
        <w:t xml:space="preserve"> | RMS 31.721</w:t>
      </w:r>
      <w:r>
        <w:rPr>
          <w:color w:val="003CA0"/>
          <w:sz w:val="12"/>
        </w:rPr>
        <w:t xml:space="preserve"> | rel. Luiz Fux</w:t>
      </w:r>
    </w:p>
    <w:p>
      <w:pPr>
        <w:ind w:left="288"/>
      </w:pPr>
      <w:r>
        <w:rPr>
          <w:color w:val="1E1E1E"/>
          <w:sz w:val="18"/>
        </w:rPr>
        <w:t>Os anistiados, quando readmitidos, sujeitam-se ao vínculo celetista, segundo a legislação vigente à época dos fatos. In casu, os recorrentes foram despedidos em abril de 1990, data anterior à promulgação da Lei 8.112, de 11 de dezembro de 1990 (Regime Jurídico Único obrigatório), razão pela qual não estavam sujeitos às suas disposições, inclusive em relação ao que previsto no art. 243.</w:t>
      </w:r>
    </w:p>
    <w:p>
      <w:pPr>
        <w:ind w:left="288"/>
      </w:pPr>
      <w:r>
        <w:rPr>
          <w:b/>
          <w:color w:val="003CA0"/>
          <w:sz w:val="16"/>
        </w:rPr>
        <w:t>[RMS 31.721 AgR, rel. min. Luiz Fux, j. 11-3-2014, 1ª T, DJE de 28-3-2014.]</w:t>
      </w:r>
    </w:p>
    <w:p>
      <w:pPr>
        <w:ind w:left="288"/>
      </w:pPr>
      <w:r>
        <w:rPr>
          <w:color w:val="8C8C8C"/>
          <w:sz w:val="12"/>
        </w:rPr>
        <w:t>cf-art-37-inc-I</w:t>
      </w:r>
      <w:r>
        <w:rPr>
          <w:color w:val="003CA0"/>
          <w:sz w:val="12"/>
        </w:rPr>
        <w:t xml:space="preserve"> | AI 759.882</w:t>
      </w:r>
      <w:r>
        <w:rPr>
          <w:color w:val="003CA0"/>
          <w:sz w:val="12"/>
        </w:rPr>
        <w:t xml:space="preserve"> | rel. Marco Aurélio</w:t>
      </w:r>
    </w:p>
    <w:p>
      <w:pPr>
        <w:ind w:left="288"/>
      </w:pPr>
      <w:r>
        <w:rPr>
          <w:color w:val="1E1E1E"/>
          <w:sz w:val="18"/>
        </w:rPr>
        <w:t>É importante destacar o que decidido na origem. O Tribunal de Justiça do Estado de Minas Gerais não disse do impedimento de proceder-se à exoneração de servidora ocupante meramente de cargo em comissão. Ressaltou, isso sim, a inviabilidade de fazê-lo no curso de licença médica para tratamento de câncer, presente a estabilidade provisória. Daí a pertinência dos precedentes mencionados na decisão impugnada. Em momento algum, o deslinde da controvérsia implicou violação à Carta da República, no que prevista, no art. 37, cabeça e inciso II, a necessidade de prévia aprovação em concurso público par</w:t>
      </w:r>
    </w:p>
    <w:p>
      <w:pPr>
        <w:ind w:left="288"/>
      </w:pPr>
      <w:r>
        <w:rPr>
          <w:b/>
          <w:color w:val="003CA0"/>
          <w:sz w:val="16"/>
        </w:rPr>
        <w:t>[AI 759.882 AgR, voto do rel. min. Marco Aurélio, j. 10-12-2013, 1ª T, DJE de 3-2-2014.]</w:t>
      </w:r>
    </w:p>
    <w:p>
      <w:pPr>
        <w:ind w:left="288"/>
      </w:pPr>
      <w:r>
        <w:rPr>
          <w:color w:val="8C8C8C"/>
          <w:sz w:val="12"/>
        </w:rPr>
        <w:t>cf-art-37-inc-I</w:t>
      </w:r>
      <w:r>
        <w:rPr>
          <w:color w:val="003CA0"/>
          <w:sz w:val="12"/>
        </w:rPr>
        <w:t xml:space="preserve"> | AR 2.137</w:t>
      </w:r>
      <w:r>
        <w:rPr>
          <w:color w:val="003CA0"/>
          <w:sz w:val="12"/>
        </w:rPr>
        <w:t xml:space="preserve"> | rel. Dias Toffoli</w:t>
      </w:r>
    </w:p>
    <w:p>
      <w:pPr>
        <w:ind w:left="288"/>
      </w:pPr>
      <w:r>
        <w:rPr>
          <w:color w:val="1E1E1E"/>
          <w:sz w:val="18"/>
        </w:rPr>
        <w:t>Viola a CF o enquadramento de servidor, sem concurso público, em cargo diverso daquele de que é titular. Mesmo antes da CF de 1988, o STF tinha entendimento firmado no sentido da impossibilidade de convalidação da situação do servidor em desvio de função, seja para efetivá-lo no cargo ou para lhe deferir o pagamento da diferença remuneratória correspondente. (...) O fato de ocorrer o desvio de função não autoriza o enquadramento do servidor público em cargo diverso daquele em que foi inicialmente investido, mormente quando esses cargos não estão compreendidos em uma mesma carreira.</w:t>
      </w:r>
    </w:p>
    <w:p>
      <w:pPr>
        <w:ind w:left="288"/>
      </w:pPr>
      <w:r>
        <w:rPr>
          <w:b/>
          <w:color w:val="003CA0"/>
          <w:sz w:val="16"/>
        </w:rPr>
        <w:t>[AR 2.137 AgR, rel. min. Dias Toffoli, j. 19-9-2013, P, DJE de 26-11-2013.]</w:t>
      </w:r>
    </w:p>
    <w:p>
      <w:pPr>
        <w:ind w:left="288"/>
      </w:pPr>
      <w:r>
        <w:rPr>
          <w:color w:val="8C8C8C"/>
          <w:sz w:val="12"/>
        </w:rPr>
        <w:t>cf-art-37-inc-I</w:t>
      </w:r>
      <w:r>
        <w:rPr>
          <w:color w:val="003CA0"/>
          <w:sz w:val="12"/>
        </w:rPr>
        <w:t xml:space="preserve"> | RE 594.233</w:t>
      </w:r>
      <w:r>
        <w:rPr>
          <w:color w:val="003CA0"/>
          <w:sz w:val="12"/>
        </w:rPr>
        <w:t xml:space="preserve"> | rel. Dias Toffoli</w:t>
      </w:r>
    </w:p>
    <w:p>
      <w:pPr>
        <w:ind w:left="288"/>
      </w:pPr>
      <w:r>
        <w:rPr>
          <w:color w:val="1E1E1E"/>
          <w:sz w:val="18"/>
        </w:rPr>
        <w:t>Extinção de empresa pública. Estrutura absorvida pela administração direta. Direito ao aproveitamento que não representa violação da exigência de concurso público. Possibilidade de o empregado anistiado vir a ocupar cargo público oriundo de transformação. A benesse concedida pela Lei 8.878/1994 ficou condicionada à transferência ou absorção da atividade desenvolvida pelo ente extinto por outro órgão da administração pública federal. É possível inferir do acórdão regional que o feixe de competências antes atribuído à Empresa Brasileira de Transportes Urbanos foi conferido ao Ministério dos Tran</w:t>
      </w:r>
    </w:p>
    <w:p>
      <w:pPr>
        <w:ind w:left="288"/>
      </w:pPr>
      <w:r>
        <w:rPr>
          <w:b/>
          <w:color w:val="003CA0"/>
          <w:sz w:val="16"/>
        </w:rPr>
        <w:t>[RE 594.233 AgR, rel. min. Dias Toffoli, j. 20-8-2013, 1ª T, DJE de 22-10-2013.]</w:t>
      </w:r>
    </w:p>
    <w:p>
      <w:pPr>
        <w:ind w:left="288"/>
      </w:pPr>
      <w:r>
        <w:rPr>
          <w:color w:val="8C8C8C"/>
          <w:sz w:val="12"/>
        </w:rPr>
        <w:t>cf-art-37-inc-I</w:t>
      </w:r>
      <w:r>
        <w:rPr>
          <w:color w:val="003CA0"/>
          <w:sz w:val="12"/>
        </w:rPr>
        <w:t xml:space="preserve"> | ADI 2.335</w:t>
      </w:r>
      <w:r>
        <w:rPr>
          <w:color w:val="003CA0"/>
          <w:sz w:val="12"/>
        </w:rPr>
        <w:t xml:space="preserve"> | rel. Dias Toffoli</w:t>
      </w:r>
    </w:p>
    <w:p>
      <w:pPr>
        <w:ind w:left="288"/>
      </w:pPr>
      <w:r>
        <w:rPr>
          <w:color w:val="1E1E1E"/>
          <w:sz w:val="18"/>
        </w:rPr>
        <w:t>Vide ADI 2.335, red. do ac. min. Gilmar Mendes, j. 11-6-2003, P, DJ de 19-12-2003 Concurso público. (...) Investigação social. Exclusão do certame. (...) A jurisprudência da Corte firmou o entendimento de que viola o princípio da presunção de inocência a exclusão de certame público de candidato que responda a inquérito policial ou ação penal sem trânsito em julgado da sentença condenatória.</w:t>
      </w:r>
    </w:p>
    <w:p>
      <w:pPr>
        <w:ind w:left="288"/>
      </w:pPr>
      <w:r>
        <w:rPr>
          <w:b/>
          <w:color w:val="003CA0"/>
          <w:sz w:val="16"/>
        </w:rPr>
        <w:t>[AI 829.186 AgR, rel. min. Dias Toffoli, j. 23-4-2013, 1ª T, DJE de 27-6-2013.]</w:t>
      </w:r>
    </w:p>
    <w:p>
      <w:pPr>
        <w:ind w:left="288"/>
      </w:pPr>
      <w:r>
        <w:rPr>
          <w:color w:val="8C8C8C"/>
          <w:sz w:val="12"/>
        </w:rPr>
        <w:t>cf-art-37-inc-I</w:t>
      </w:r>
      <w:r>
        <w:rPr>
          <w:color w:val="003CA0"/>
          <w:sz w:val="12"/>
        </w:rPr>
        <w:t xml:space="preserve"> | ARE 847.535</w:t>
      </w:r>
      <w:r>
        <w:rPr>
          <w:color w:val="003CA0"/>
          <w:sz w:val="12"/>
        </w:rPr>
        <w:t xml:space="preserve"> | rel. Celso de Mello</w:t>
      </w:r>
    </w:p>
    <w:p>
      <w:pPr>
        <w:ind w:left="288"/>
      </w:pPr>
      <w:r>
        <w:rPr>
          <w:color w:val="1E1E1E"/>
          <w:sz w:val="18"/>
        </w:rPr>
        <w:t>= ARE 847.535 AgR, rel. min. Celso de Mello, j. 30-6-2015, 2ª T, DJE de 6-8-2015 Vide ARE 915.004 AgR, rel. min. Dias Toffoli, j. 15-3-2016, 2ª T, DJE de 18-4-2016 Vide RE 827.546 AgR, rel. min. Dias Toffoli, j. 14-4-2015, 2ª T, DJE de 26-5-2015 A anulação, por via judicial, de questões de prova objetiva de concurso público, com vistas à habilitação para participação em fase posterior do certame, pressupõe a demonstração de que o impetrante estaria habilitado à etapa seguinte caso essa anulação fosse estendida à totalidade dos candidatos, mercê dos princípios constitucionais da isonomia, da im</w:t>
      </w:r>
    </w:p>
    <w:p>
      <w:pPr>
        <w:ind w:left="288"/>
      </w:pPr>
      <w:r>
        <w:rPr>
          <w:b/>
          <w:color w:val="003CA0"/>
          <w:sz w:val="16"/>
        </w:rPr>
        <w:t>[MS 30.859, rel. min. Luiz Fux, j. 28-8-2012, 1ª T, DJE de 24-10-2012.]</w:t>
      </w:r>
    </w:p>
    <w:p>
      <w:pPr>
        <w:ind w:left="288"/>
      </w:pPr>
      <w:r>
        <w:rPr>
          <w:color w:val="8C8C8C"/>
          <w:sz w:val="12"/>
        </w:rPr>
        <w:t>cf-art-37-inc-I</w:t>
      </w:r>
      <w:r>
        <w:rPr>
          <w:color w:val="003CA0"/>
          <w:sz w:val="12"/>
        </w:rPr>
        <w:t xml:space="preserve"> | MS 29.350</w:t>
      </w:r>
      <w:r>
        <w:rPr>
          <w:color w:val="003CA0"/>
          <w:sz w:val="12"/>
        </w:rPr>
        <w:t xml:space="preserve"> | rel. Luiz Fux</w:t>
      </w:r>
    </w:p>
    <w:p>
      <w:pPr>
        <w:ind w:left="288"/>
      </w:pPr>
      <w:r>
        <w:rPr>
          <w:color w:val="1E1E1E"/>
          <w:sz w:val="18"/>
        </w:rPr>
        <w:t>Mandado de segurança. CNJ. Decisão que determina ao Tribunal de Justiça do Estado da Paraíba que proceda à remoção de servidores previamente à nomeação de candidatos aprovados em concurso público e integrantes de cadastro de reserva. (...) A precedência da remoção sobre a investidura de candidatos inseridos em cadastro de reserva – e, portanto, excedentes ao número de vagas disponibilizadas no edital do concurso em que lograram aprovação – é obrigatória, máxime à luz do regime jurídico atualmente vigente e em decorrência do princípio da proteção da confiança. O juízo discricionário da administ</w:t>
      </w:r>
    </w:p>
    <w:p>
      <w:pPr>
        <w:ind w:left="288"/>
      </w:pPr>
      <w:r>
        <w:rPr>
          <w:b/>
          <w:color w:val="003CA0"/>
          <w:sz w:val="16"/>
        </w:rPr>
        <w:t>[MS 29.350, rel. min. Luiz Fux, j. 20-6-2012, P, DJE de 1º-8-2012.]</w:t>
      </w:r>
    </w:p>
    <w:p>
      <w:pPr>
        <w:ind w:left="288"/>
      </w:pPr>
      <w:r>
        <w:rPr>
          <w:color w:val="8C8C8C"/>
          <w:sz w:val="12"/>
        </w:rPr>
        <w:t>cf-art-37-inc-I</w:t>
      </w:r>
      <w:r>
        <w:rPr>
          <w:color w:val="003CA0"/>
          <w:sz w:val="12"/>
        </w:rPr>
        <w:t xml:space="preserve"> | AI 851.587</w:t>
      </w:r>
      <w:r>
        <w:rPr>
          <w:color w:val="003CA0"/>
          <w:sz w:val="12"/>
        </w:rPr>
        <w:t xml:space="preserve"> | rel. Marco Aurélio</w:t>
      </w:r>
    </w:p>
    <w:p>
      <w:pPr>
        <w:ind w:left="288"/>
      </w:pPr>
      <w:r>
        <w:rPr>
          <w:color w:val="1E1E1E"/>
          <w:sz w:val="18"/>
        </w:rPr>
        <w:t>Concurso público. Prova de esforço físico. Caso a caso, há de perquirir-se a sintonia da exigência, no que implica fator de tratamento diferenciado com a função a ser exercida. Não se tem como constitucional a exigência de prova física desproporcional à habilitação ao cargo de auxiliar médico-legista, porquanto a atuação deste, embora física, não se faz no campo da força bruta, mas a partir de técnica específica.</w:t>
      </w:r>
    </w:p>
    <w:p>
      <w:pPr>
        <w:ind w:left="288"/>
      </w:pPr>
      <w:r>
        <w:rPr>
          <w:b/>
          <w:color w:val="003CA0"/>
          <w:sz w:val="16"/>
        </w:rPr>
        <w:t>[AI 851.587 AgR, rel. min. Marco Aurélio, j. 19-6-2012, 1ª T, DJE de 1º-8-2012.]</w:t>
      </w:r>
    </w:p>
    <w:p>
      <w:pPr>
        <w:ind w:left="288"/>
      </w:pPr>
      <w:r>
        <w:rPr>
          <w:color w:val="8C8C8C"/>
          <w:sz w:val="12"/>
        </w:rPr>
        <w:t>cf-art-37-inc-I</w:t>
      </w:r>
      <w:r>
        <w:rPr>
          <w:color w:val="003CA0"/>
          <w:sz w:val="12"/>
        </w:rPr>
        <w:t xml:space="preserve"> | RE 150.455</w:t>
      </w:r>
      <w:r>
        <w:rPr>
          <w:color w:val="003CA0"/>
          <w:sz w:val="12"/>
        </w:rPr>
        <w:t xml:space="preserve"> | rel. Marco Aurélio</w:t>
      </w:r>
    </w:p>
    <w:p>
      <w:pPr>
        <w:ind w:left="288"/>
      </w:pPr>
      <w:r>
        <w:rPr>
          <w:color w:val="1E1E1E"/>
          <w:sz w:val="18"/>
        </w:rPr>
        <w:t>Vide RE 150.455, rel. min. Marco Aurélio, j. 15-12-1998, 2ª T, DJ de 7-5-1999 Os conselhos de fiscalização profissional, posto autarquias criadas por lei e ostentando personalidade jurídica de direito público, exercendo atividade tipicamente pública, qual seja, a fiscalização do exercício profissional, submetem-se às regras encartadas no art. 37, II, da Constituição do Brasil/1988, quando da contratação de servidores.</w:t>
      </w:r>
    </w:p>
    <w:p>
      <w:pPr>
        <w:ind w:left="288"/>
      </w:pPr>
      <w:r>
        <w:rPr>
          <w:b/>
          <w:color w:val="003CA0"/>
          <w:sz w:val="16"/>
        </w:rPr>
        <w:t>[RE 539.224, rel. min. Luiz Fux, j. 22-5-2012, 1ª T, DJE de 18-6-2012.]</w:t>
      </w:r>
    </w:p>
    <w:p>
      <w:pPr>
        <w:ind w:left="288"/>
      </w:pPr>
      <w:r>
        <w:rPr>
          <w:color w:val="8C8C8C"/>
          <w:sz w:val="12"/>
        </w:rPr>
        <w:t>cf-art-37-inc-I</w:t>
      </w:r>
      <w:r>
        <w:rPr>
          <w:color w:val="003CA0"/>
          <w:sz w:val="12"/>
        </w:rPr>
        <w:t xml:space="preserve"> | MS 26.149</w:t>
      </w:r>
      <w:r>
        <w:rPr>
          <w:color w:val="003CA0"/>
          <w:sz w:val="12"/>
        </w:rPr>
        <w:t xml:space="preserve"> | rel. Celso de Mello</w:t>
      </w:r>
    </w:p>
    <w:p>
      <w:pPr>
        <w:ind w:left="288"/>
      </w:pPr>
      <w:r>
        <w:rPr>
          <w:color w:val="1E1E1E"/>
          <w:sz w:val="18"/>
        </w:rPr>
        <w:t>= MS 26.149 AgR, rel. min. Celso de Mello, j. 16-9-2014, 2ª T, DJE de 11-11-2014 = MS 26.424, rel. min. Dias Toffoli, j. 19-2-2013, 1ª T, DJE de 21-3-2013 Ambas as Turmas desta Corte já se manifestaram pela admissibilidade do controle jurisdicional da legalidade do concurso público quando verificado o descompasso entre as questões de prova e o programa descrito no edital, que é a lei do certame. (...) Inexistência de direito líquido e certo a ser protegido quando constatado que os temas abordados nas questões impugnadas da prova escrita objetiva aplicada aos candidatos estão rigorosamente circ</w:t>
      </w:r>
    </w:p>
    <w:p>
      <w:pPr>
        <w:ind w:left="288"/>
      </w:pPr>
      <w:r>
        <w:rPr>
          <w:b/>
          <w:color w:val="003CA0"/>
          <w:sz w:val="16"/>
        </w:rPr>
        <w:t>[MS 30.894, rel. min. Ricardo Lewandowski, j. 8-5-2012, 2ª T, DJE de 24-9-2012.]</w:t>
      </w:r>
    </w:p>
    <w:p>
      <w:pPr>
        <w:ind w:left="288"/>
      </w:pPr>
      <w:r>
        <w:rPr>
          <w:color w:val="8C8C8C"/>
          <w:sz w:val="12"/>
        </w:rPr>
        <w:t>cf-art-37-inc-I</w:t>
      </w:r>
      <w:r>
        <w:rPr>
          <w:color w:val="003CA0"/>
          <w:sz w:val="12"/>
        </w:rPr>
        <w:t xml:space="preserve"> | MS 30.860</w:t>
      </w:r>
      <w:r>
        <w:rPr>
          <w:color w:val="003CA0"/>
          <w:sz w:val="12"/>
        </w:rPr>
        <w:t xml:space="preserve"> | rel. Luiz Fux</w:t>
      </w:r>
    </w:p>
    <w:p>
      <w:pPr>
        <w:ind w:left="288"/>
      </w:pPr>
      <w:r>
        <w:rPr>
          <w:color w:val="1E1E1E"/>
          <w:sz w:val="18"/>
        </w:rPr>
        <w:t>= MS 30.860, rel. min. Luiz Fux, j. 28-8-2012, 1ª T, DJE de 6-11-2012 Concurso público. Princípio da legalidade. Edital. Etapas. As etapas do concurso prescindem de disposição expressa em lei no sentido formal e material, sendo suficientes a previsão no edital e o nexo de causalidade consideradas as atribuições do cargo.</w:t>
      </w:r>
    </w:p>
    <w:p>
      <w:pPr>
        <w:ind w:left="288"/>
      </w:pPr>
      <w:r>
        <w:rPr>
          <w:b/>
          <w:color w:val="003CA0"/>
          <w:sz w:val="16"/>
        </w:rPr>
        <w:t>[MS 30.177, rel. min. Marco Aurélio, j. 24-4-2012, 1ª T, DJE de 17-5-2012.]</w:t>
      </w:r>
    </w:p>
    <w:p>
      <w:pPr>
        <w:ind w:left="288"/>
      </w:pPr>
      <w:r>
        <w:rPr>
          <w:color w:val="8C8C8C"/>
          <w:sz w:val="12"/>
        </w:rPr>
        <w:t>cf-art-37-inc-I</w:t>
      </w:r>
      <w:r>
        <w:rPr>
          <w:color w:val="003CA0"/>
          <w:sz w:val="12"/>
        </w:rPr>
        <w:t xml:space="preserve"> | MS 30.265</w:t>
      </w:r>
      <w:r>
        <w:rPr>
          <w:color w:val="003CA0"/>
          <w:sz w:val="12"/>
        </w:rPr>
        <w:t xml:space="preserve"> | rel. Gilmar Mendes</w:t>
      </w:r>
    </w:p>
    <w:p>
      <w:pPr>
        <w:ind w:left="288"/>
      </w:pPr>
      <w:r>
        <w:rPr>
          <w:color w:val="1E1E1E"/>
          <w:sz w:val="18"/>
        </w:rPr>
        <w:t>Concurso público. MPU. Técnico de Apoio Especializado/Segurança. Exigência de teste de aptidão física não viola a CF. Legalidade. (...) Atestado médico específico para realização do TAF [Teste de Aptidão Física]. Previsão editalícia. Ausência de ilegalidade ou abuso de poder. Forma de a administração garantir a integridade dos candidatos na realização das extenuantes provas e resguardar-se das eventuais responsabilidades, não configurando afronta ao texto constitucional ou requisito irrazoável.</w:t>
      </w:r>
    </w:p>
    <w:p>
      <w:pPr>
        <w:ind w:left="288"/>
      </w:pPr>
      <w:r>
        <w:rPr>
          <w:b/>
          <w:color w:val="003CA0"/>
          <w:sz w:val="16"/>
        </w:rPr>
        <w:t>[MS 30.265, rel. min. Gilmar Mendes, j. 6-3-2012, 2ª T, DJE de 18-5-2012.]</w:t>
      </w:r>
    </w:p>
    <w:p>
      <w:pPr>
        <w:ind w:left="288"/>
      </w:pPr>
      <w:r>
        <w:rPr>
          <w:color w:val="8C8C8C"/>
          <w:sz w:val="12"/>
        </w:rPr>
        <w:t>cf-art-37-inc-I</w:t>
      </w:r>
      <w:r>
        <w:rPr>
          <w:color w:val="003CA0"/>
          <w:sz w:val="12"/>
        </w:rPr>
        <w:t xml:space="preserve"> | RE 394.618</w:t>
      </w:r>
      <w:r>
        <w:rPr>
          <w:color w:val="003CA0"/>
          <w:sz w:val="12"/>
        </w:rPr>
        <w:t xml:space="preserve"> | rel. Marco Aurélio</w:t>
      </w:r>
    </w:p>
    <w:p>
      <w:pPr>
        <w:ind w:left="288"/>
      </w:pPr>
      <w:r>
        <w:rPr>
          <w:color w:val="1E1E1E"/>
          <w:sz w:val="18"/>
        </w:rPr>
        <w:t>Concurso público versus concurso interno. Ascensão funcional. Longe fica de vulnerar a CF pronunciamento no sentido da inviabilidade de placitar-se concurso interno para ingresso em cargo de carreira diversa daquela para a qual o servidor prestou concurso.</w:t>
      </w:r>
    </w:p>
    <w:p>
      <w:pPr>
        <w:ind w:left="288"/>
      </w:pPr>
      <w:r>
        <w:rPr>
          <w:b/>
          <w:color w:val="003CA0"/>
          <w:sz w:val="16"/>
        </w:rPr>
        <w:t>[RE 394.618 AgR, rel. min. Marco Aurélio, j. 13-12-2011, 1ª T, DJE de 16-2-2012.]</w:t>
      </w:r>
    </w:p>
    <w:p>
      <w:pPr>
        <w:ind w:left="288"/>
      </w:pPr>
      <w:r>
        <w:rPr>
          <w:color w:val="8C8C8C"/>
          <w:sz w:val="12"/>
        </w:rPr>
        <w:t>cf-art-37-inc-I</w:t>
      </w:r>
      <w:r>
        <w:rPr>
          <w:color w:val="003CA0"/>
          <w:sz w:val="12"/>
        </w:rPr>
        <w:t xml:space="preserve"> | MS 26.294</w:t>
      </w:r>
      <w:r>
        <w:rPr>
          <w:color w:val="003CA0"/>
          <w:sz w:val="12"/>
        </w:rPr>
        <w:t xml:space="preserve"> | rel. Ricardo Lewandowski</w:t>
      </w:r>
    </w:p>
    <w:p>
      <w:pPr>
        <w:ind w:left="288"/>
      </w:pPr>
      <w:r>
        <w:rPr>
          <w:color w:val="1E1E1E"/>
          <w:sz w:val="18"/>
        </w:rPr>
        <w:t>Não é possível a nomeação de candidato em quadro diverso do qual foi aprovado, ainda que os cargos tenham a mesma nomenclatura, atribuições iguais, e idêntica remuneração, quando inexiste essa previsão no edital do concurso. A falta de previsão no edital sobre a possibilidade de aproveitamento de candidato aprovado em certame destinado a prover vagas para quadro diverso do que prestou o concurso viola o princípio da publicidade, norteador de todo concurso público, bem como o da impessoalidade e o da isonomia.</w:t>
      </w:r>
    </w:p>
    <w:p>
      <w:pPr>
        <w:ind w:left="288"/>
      </w:pPr>
      <w:r>
        <w:rPr>
          <w:b/>
          <w:color w:val="003CA0"/>
          <w:sz w:val="16"/>
        </w:rPr>
        <w:t>[MS 26.294, rel. min. Ricardo Lewandowski, j. 23-11-2011, P, DJE de 15-2-2012.]</w:t>
      </w:r>
    </w:p>
    <w:p>
      <w:pPr>
        <w:ind w:left="288"/>
      </w:pPr>
      <w:r>
        <w:rPr>
          <w:color w:val="8C8C8C"/>
          <w:sz w:val="12"/>
        </w:rPr>
        <w:t>cf-art-37-inc-I</w:t>
      </w:r>
      <w:r>
        <w:rPr>
          <w:color w:val="003CA0"/>
          <w:sz w:val="12"/>
        </w:rPr>
        <w:t xml:space="preserve"> | RE 634.689</w:t>
      </w:r>
      <w:r>
        <w:rPr>
          <w:color w:val="003CA0"/>
          <w:sz w:val="12"/>
        </w:rPr>
        <w:t xml:space="preserve"> | rel. Cármen Lúcia</w:t>
      </w:r>
    </w:p>
    <w:p>
      <w:pPr>
        <w:ind w:left="288"/>
      </w:pPr>
      <w:r>
        <w:rPr>
          <w:color w:val="1E1E1E"/>
          <w:sz w:val="18"/>
        </w:rPr>
        <w:t>Concurso público. Preterição na nomeação de candidato melhor classificado. Ato ilícito da administração. Direito ao recebimento de vencimentos a partir da impetração de mandado de segurança.</w:t>
      </w:r>
    </w:p>
    <w:p>
      <w:pPr>
        <w:ind w:left="288"/>
      </w:pPr>
      <w:r>
        <w:rPr>
          <w:b/>
          <w:color w:val="003CA0"/>
          <w:sz w:val="16"/>
        </w:rPr>
        <w:t>[RE 634.689 AgR, rel. min. Cármen Lúcia, j. 25-10-2011, 1ª T, DJE de 23-11-2011.]</w:t>
      </w:r>
    </w:p>
    <w:p>
      <w:pPr>
        <w:ind w:left="288"/>
      </w:pPr>
      <w:r>
        <w:rPr>
          <w:color w:val="8C8C8C"/>
          <w:sz w:val="12"/>
        </w:rPr>
        <w:t>cf-art-37-inc-I</w:t>
      </w:r>
      <w:r>
        <w:rPr>
          <w:color w:val="003CA0"/>
          <w:sz w:val="12"/>
        </w:rPr>
        <w:t xml:space="preserve"> | MS 30.620</w:t>
      </w:r>
      <w:r>
        <w:rPr>
          <w:color w:val="003CA0"/>
          <w:sz w:val="12"/>
        </w:rPr>
        <w:t xml:space="preserve"> | rel. Gilmar Mendes</w:t>
      </w:r>
    </w:p>
    <w:p>
      <w:pPr>
        <w:ind w:left="288"/>
      </w:pPr>
      <w:r>
        <w:rPr>
          <w:color w:val="1E1E1E"/>
          <w:sz w:val="18"/>
        </w:rPr>
        <w:t>Concurso público. MPU. Fases subsequentes do certame, de caráter eliminatório. Prazo decadencial do art. 23 da Lei 12.016/2009. Termo inicial. Data de publicação do ato do poder público que efetivamente venha a causar prejuízo ao impetrante.</w:t>
      </w:r>
    </w:p>
    <w:p>
      <w:pPr>
        <w:ind w:left="288"/>
      </w:pPr>
      <w:r>
        <w:rPr>
          <w:b/>
          <w:color w:val="003CA0"/>
          <w:sz w:val="16"/>
        </w:rPr>
        <w:t>[MS 30.620 AgR, rel. min. Gilmar Mendes, j. 27-9-2011, 2ª T, DJE de 11-10-2011.]</w:t>
      </w:r>
    </w:p>
    <w:p>
      <w:pPr>
        <w:ind w:left="288"/>
      </w:pPr>
      <w:r>
        <w:rPr>
          <w:color w:val="8C8C8C"/>
          <w:sz w:val="12"/>
        </w:rPr>
        <w:t>cf-art-37-inc-I</w:t>
      </w:r>
      <w:r>
        <w:rPr>
          <w:color w:val="003CA0"/>
          <w:sz w:val="12"/>
        </w:rPr>
        <w:t xml:space="preserve"> | MS 30.188</w:t>
      </w:r>
      <w:r>
        <w:rPr>
          <w:color w:val="003CA0"/>
          <w:sz w:val="12"/>
        </w:rPr>
        <w:t xml:space="preserve"> | rel. Gilmar Mendes</w:t>
      </w:r>
    </w:p>
    <w:p>
      <w:pPr>
        <w:ind w:left="288"/>
      </w:pPr>
      <w:r>
        <w:rPr>
          <w:color w:val="1E1E1E"/>
          <w:sz w:val="18"/>
        </w:rPr>
        <w:t>Concurso público. (...) Exigência de teste de aptidão física. Legalidade. A Lei 11.415/2006, ao estabelecer a necessidade de realização de "provas" para ingresso no MPU, sem as especificar e determinar que as atribuições dos cargos seriam fixadas por regulamento, permitiu que elas fossem elaboradas de acordo com a natureza e complexidade de cada cargo, o que atende de forma direta aos ditames constitucionais (art. 37, II, da CF).</w:t>
      </w:r>
    </w:p>
    <w:p>
      <w:pPr>
        <w:ind w:left="288"/>
      </w:pPr>
      <w:r>
        <w:rPr>
          <w:b/>
          <w:color w:val="003CA0"/>
          <w:sz w:val="16"/>
        </w:rPr>
        <w:t>[MS 30.188, rel. min. Gilmar Mendes, j. 6-9-2011, 2ª T, DJE de 26-9-2011.]</w:t>
      </w:r>
    </w:p>
    <w:p>
      <w:pPr>
        <w:ind w:left="288"/>
      </w:pPr>
      <w:r>
        <w:rPr>
          <w:color w:val="8C8C8C"/>
          <w:sz w:val="12"/>
        </w:rPr>
        <w:t>cf-art-37-inc-I</w:t>
      </w:r>
      <w:r>
        <w:rPr>
          <w:color w:val="003CA0"/>
          <w:sz w:val="12"/>
        </w:rPr>
        <w:t xml:space="preserve"> | MS 29.507</w:t>
      </w:r>
      <w:r>
        <w:rPr>
          <w:color w:val="003CA0"/>
          <w:sz w:val="12"/>
        </w:rPr>
        <w:t xml:space="preserve"> | rel. Cármen Lúcia</w:t>
      </w:r>
    </w:p>
    <w:p>
      <w:pPr>
        <w:ind w:left="288"/>
      </w:pPr>
      <w:r>
        <w:rPr>
          <w:color w:val="1E1E1E"/>
          <w:sz w:val="18"/>
        </w:rPr>
        <w:t>= MS 29.507, rel. min. Cármen Lúcia, j. 18-10-2011, 1ª T, DJE de 16-11-2011 Inscrição em curso de formação profissional assegurada por liminar judicial. Pretendida nomeação, em caráter definitivo, para o referido cargo público. Inadmissibilidade. (...) A mera concessão de liminar mandamental – consideradas as notas de transitoriedade, cautelaridade, provisoriedade e instabilidade que tipificam esse provimento judicial – não basta, só por si, em face de sua evidente precariedade, para assegurar, em caráter permanente, a nomeação e a posse em determinado cargo público, pois tais atos administrat</w:t>
      </w:r>
    </w:p>
    <w:p>
      <w:pPr>
        <w:ind w:left="288"/>
      </w:pPr>
      <w:r>
        <w:rPr>
          <w:b/>
          <w:color w:val="003CA0"/>
          <w:sz w:val="16"/>
        </w:rPr>
        <w:t>[RMS 27.953 MC-AgR-AgR, rel. min. Celso de Mello, j. 23-8-2011, 2ª T, DJE de 5-9-2011.]</w:t>
      </w:r>
    </w:p>
    <w:p>
      <w:pPr>
        <w:ind w:left="288"/>
      </w:pPr>
      <w:r>
        <w:rPr>
          <w:color w:val="8C8C8C"/>
          <w:sz w:val="12"/>
        </w:rPr>
        <w:t>cf-art-37-inc-I</w:t>
      </w:r>
      <w:r>
        <w:rPr>
          <w:color w:val="003CA0"/>
          <w:sz w:val="12"/>
        </w:rPr>
        <w:t xml:space="preserve"> | RMS 23.586</w:t>
      </w:r>
      <w:r>
        <w:rPr>
          <w:color w:val="003CA0"/>
          <w:sz w:val="12"/>
        </w:rPr>
        <w:t xml:space="preserve"> | rel. Gilmar Mendes</w:t>
      </w:r>
    </w:p>
    <w:p>
      <w:pPr>
        <w:ind w:left="288"/>
      </w:pPr>
      <w:r>
        <w:rPr>
          <w:color w:val="1E1E1E"/>
          <w:sz w:val="18"/>
        </w:rPr>
        <w:t>= RMS 23.586, rel. min. Gilmar Mendes, j. 25-10-2011, 2ª T, DJE de 16-11-2011 Vide MS 22.357, rel. min. Gilmar Mendes, j. 27-5-2004, P, DJE de 5-11-2004 Concurso público. Quesito não previsto no edital, mas mencionado na prova discursiva. Desconsideração por ocasião da correção. Ausência de prejuízo. Inexistência de direito líquido e certo.</w:t>
      </w:r>
    </w:p>
    <w:p>
      <w:pPr>
        <w:ind w:left="288"/>
      </w:pPr>
      <w:r>
        <w:rPr>
          <w:b/>
          <w:color w:val="003CA0"/>
          <w:sz w:val="16"/>
        </w:rPr>
        <w:t>[MS 30.344 AgR, rel. min. Gilmar Mendes, j. 21-6-2011, 2ª T, DJE de 1º-8-2011.]</w:t>
      </w:r>
    </w:p>
    <w:p>
      <w:pPr>
        <w:ind w:left="288"/>
      </w:pPr>
      <w:r>
        <w:rPr>
          <w:color w:val="8C8C8C"/>
          <w:sz w:val="12"/>
        </w:rPr>
        <w:t>cf-art-37-inc-I</w:t>
      </w:r>
      <w:r>
        <w:rPr>
          <w:color w:val="003CA0"/>
          <w:sz w:val="12"/>
        </w:rPr>
        <w:t xml:space="preserve"> | MS 27.260</w:t>
      </w:r>
      <w:r>
        <w:rPr>
          <w:color w:val="003CA0"/>
          <w:sz w:val="12"/>
        </w:rPr>
        <w:t xml:space="preserve"> | rel. Sepúlveda Pertence</w:t>
      </w:r>
    </w:p>
    <w:p>
      <w:pPr>
        <w:ind w:left="288"/>
      </w:pPr>
      <w:r>
        <w:rPr>
          <w:color w:val="1E1E1E"/>
          <w:sz w:val="18"/>
        </w:rPr>
        <w:t>Vide MS 27.260, red. do ac. min. Cármen Lúcia, j. 29-10-2009, P, DJE de 26-3-2010 Vide RE 434.708, rel. min. Sepúlveda Pertence, j. 21-6-2005, 1ª T, DJ de 9-9-2005 Concurso público. (...) Surge extravagante implementar-se, para candidatos remanescentes em razão de haverem buscado o Judiciário, exigências extras, não constantes do edital.</w:t>
      </w:r>
    </w:p>
    <w:p>
      <w:pPr>
        <w:ind w:left="288"/>
      </w:pPr>
      <w:r>
        <w:rPr>
          <w:b/>
          <w:color w:val="003CA0"/>
          <w:sz w:val="16"/>
        </w:rPr>
        <w:t>[RE 596.482, rel. min. Marco Aurélio, j. 7-6-2011, 1ª T, DJE de 26-8-2011.]</w:t>
      </w:r>
    </w:p>
    <w:p>
      <w:pPr>
        <w:ind w:left="288"/>
      </w:pPr>
      <w:r>
        <w:rPr>
          <w:color w:val="8C8C8C"/>
          <w:sz w:val="12"/>
        </w:rPr>
        <w:t>cf-art-37-inc-I</w:t>
      </w:r>
      <w:r>
        <w:rPr>
          <w:color w:val="003CA0"/>
          <w:sz w:val="12"/>
        </w:rPr>
        <w:t xml:space="preserve"> | RE 339.852</w:t>
      </w:r>
      <w:r>
        <w:rPr>
          <w:color w:val="003CA0"/>
          <w:sz w:val="12"/>
        </w:rPr>
        <w:t xml:space="preserve"> | rel. Ayres Britto</w:t>
      </w:r>
    </w:p>
    <w:p>
      <w:pPr>
        <w:ind w:left="288"/>
      </w:pPr>
      <w:r>
        <w:rPr>
          <w:color w:val="1E1E1E"/>
          <w:sz w:val="18"/>
        </w:rPr>
        <w:t>Nos termos da jurisprudência do STF, é cabível a indenização por danos materiais nos casos de demora na nomeação de candidatos aprovados em concursos públicos, quando o óbice imposto pela administração pública é declarado inconstitucional pelo Poder Judiciário.</w:t>
      </w:r>
    </w:p>
    <w:p>
      <w:pPr>
        <w:ind w:left="288"/>
      </w:pPr>
      <w:r>
        <w:rPr>
          <w:b/>
          <w:color w:val="003CA0"/>
          <w:sz w:val="16"/>
        </w:rPr>
        <w:t>[RE 339.852 AgR, rel. min. Ayres Britto, j. 26-4-2011, 2ª T, DJE de 18-8-2011.]</w:t>
      </w:r>
    </w:p>
    <w:p>
      <w:pPr>
        <w:ind w:left="288"/>
      </w:pPr>
      <w:r>
        <w:rPr>
          <w:color w:val="8C8C8C"/>
          <w:sz w:val="12"/>
        </w:rPr>
        <w:t>cf-art-37-inc-I</w:t>
      </w:r>
      <w:r>
        <w:rPr>
          <w:color w:val="003CA0"/>
          <w:sz w:val="12"/>
        </w:rPr>
        <w:t xml:space="preserve"> | RE 724.347</w:t>
      </w:r>
      <w:r>
        <w:rPr>
          <w:color w:val="003CA0"/>
          <w:sz w:val="12"/>
        </w:rPr>
        <w:t xml:space="preserve"> | rel. Marco Aurélio</w:t>
      </w:r>
    </w:p>
    <w:p>
      <w:pPr>
        <w:ind w:left="288"/>
      </w:pPr>
      <w:r>
        <w:rPr>
          <w:color w:val="1E1E1E"/>
          <w:sz w:val="18"/>
        </w:rPr>
        <w:t>Vide RE 724.347, red. do ac. min. Roberto Barroso, j. 26-2-2015, P, DJE de 13-5-2015, Tema 671 Mostrando-se abrangente o ato mediante o qual o CNJ determinou a realização de concurso público para provimento de serventias vagas, descabe concluir pela existência de direito líquido e certo no que se sustenta a ausência de vacância de certa serventia.</w:t>
      </w:r>
    </w:p>
    <w:p>
      <w:pPr>
        <w:ind w:left="288"/>
      </w:pPr>
      <w:r>
        <w:rPr>
          <w:b/>
          <w:color w:val="003CA0"/>
          <w:sz w:val="16"/>
        </w:rPr>
        <w:t>[MS 28.103, rel. min. Marco Aurélio, j. 14-4-2011, P, DJE de 4-5-2011.]</w:t>
      </w:r>
    </w:p>
    <w:p>
      <w:pPr>
        <w:ind w:left="288"/>
      </w:pPr>
      <w:r>
        <w:rPr>
          <w:color w:val="8C8C8C"/>
          <w:sz w:val="12"/>
        </w:rPr>
        <w:t>cf-art-37-inc-I</w:t>
      </w:r>
      <w:r>
        <w:rPr>
          <w:color w:val="003CA0"/>
          <w:sz w:val="12"/>
        </w:rPr>
        <w:t xml:space="preserve"> | AI 332.312</w:t>
      </w:r>
      <w:r>
        <w:rPr>
          <w:color w:val="003CA0"/>
          <w:sz w:val="12"/>
        </w:rPr>
        <w:t xml:space="preserve"> | rel. Joaquim Barbosa</w:t>
      </w:r>
    </w:p>
    <w:p>
      <w:pPr>
        <w:ind w:left="288"/>
      </w:pPr>
      <w:r>
        <w:rPr>
          <w:color w:val="1E1E1E"/>
          <w:sz w:val="18"/>
        </w:rPr>
        <w:t>A jurisprudência do STF firmou-se no sentido de que os editais de concursos públicos são inalteráveis no decorrer dos certames, salvo quando alguma alteração se fizer necessária por imposição de lei ou para sanar erro material contido no texto. Permite-se ainda a correção de ambiguidade textual, nos termos da jurisprudência firmada acerca dos erros meramente materiais, desde que o sentido adotado tenha por base deliberação tomada prévia e publicamente pela comissão organizadora, em momento anterior ao início do próprio certame.</w:t>
      </w:r>
    </w:p>
    <w:p>
      <w:pPr>
        <w:ind w:left="288"/>
      </w:pPr>
      <w:r>
        <w:rPr>
          <w:b/>
          <w:color w:val="003CA0"/>
          <w:sz w:val="16"/>
        </w:rPr>
        <w:t>[AI 332.312 AgR, rel. min. Joaquim Barbosa, j. 1º-3-2011, 2ª T, DJE de 6-4-2011.]</w:t>
      </w:r>
    </w:p>
    <w:p>
      <w:pPr>
        <w:ind w:left="288"/>
      </w:pPr>
      <w:r>
        <w:rPr>
          <w:color w:val="8C8C8C"/>
          <w:sz w:val="12"/>
        </w:rPr>
        <w:t>cf-art-37-inc-I</w:t>
      </w:r>
      <w:r>
        <w:rPr>
          <w:color w:val="003CA0"/>
          <w:sz w:val="12"/>
        </w:rPr>
        <w:t xml:space="preserve"> | RE 604.498</w:t>
      </w:r>
      <w:r>
        <w:rPr>
          <w:color w:val="003CA0"/>
          <w:sz w:val="12"/>
        </w:rPr>
        <w:t xml:space="preserve"> | rel. Dias Toffoli</w:t>
      </w:r>
    </w:p>
    <w:p>
      <w:pPr>
        <w:ind w:left="288"/>
      </w:pPr>
      <w:r>
        <w:rPr>
          <w:color w:val="1E1E1E"/>
          <w:sz w:val="18"/>
        </w:rPr>
        <w:t>= RE 604.498, rel. min. Dias Toffoli, j. 12-4-2012, dec. monocrática, DJE de 17-4-2012 Não fere a ADC 4 decisão que determina a lotação e a posse de candidato aprovado em concurso público dentro do número de vagas, por ser o pagamento de verbas remuneratórias mero consectário lógico do ato de investidura.</w:t>
      </w:r>
    </w:p>
    <w:p>
      <w:pPr>
        <w:ind w:left="288"/>
      </w:pPr>
      <w:r>
        <w:rPr>
          <w:b/>
          <w:color w:val="003CA0"/>
          <w:sz w:val="16"/>
        </w:rPr>
        <w:t>[Rcl 7.583 AgR, rel. min. Gilmar Mendes, j. 24-2-2011, P, DJE de 18-3-2011.]</w:t>
      </w:r>
    </w:p>
    <w:p>
      <w:pPr>
        <w:ind w:left="288"/>
      </w:pPr>
      <w:r>
        <w:rPr>
          <w:color w:val="8C8C8C"/>
          <w:sz w:val="12"/>
        </w:rPr>
        <w:t>cf-art-37-inc-I</w:t>
      </w:r>
      <w:r>
        <w:rPr>
          <w:color w:val="003CA0"/>
          <w:sz w:val="12"/>
        </w:rPr>
        <w:t xml:space="preserve"> | RCL 4.751</w:t>
      </w:r>
      <w:r>
        <w:rPr>
          <w:color w:val="003CA0"/>
          <w:sz w:val="12"/>
        </w:rPr>
        <w:t xml:space="preserve"> | rel. Ayres Britto</w:t>
      </w:r>
    </w:p>
    <w:p>
      <w:pPr>
        <w:ind w:left="288"/>
      </w:pPr>
      <w:r>
        <w:rPr>
          <w:color w:val="1E1E1E"/>
          <w:sz w:val="18"/>
        </w:rPr>
        <w:t>Vide Rcl 4.751, rel. min. Ayres Britto, j. 20-5-2009, P, DJE de 19-6-2009 Vide Rcl 4.879, rel. min. Cármen Lúcia, j. 20-5-2009, P, DJE de 2-10-2009 Vide Rcl 5.008 AgR, Rcl 5.042 AgR, Rcl 5.065 AgR, Rcl 5.194 AgR e Rcl 5.416 AgR, rel. min. Cezar Peluso, j. 27-11-2008, P, DJE de 6-2-2009 O art. 236, § 3º, da CF é norma autoaplicável. Nos termos da CF, sempre se fez necessária a submissão a concurso público para o devido provimento de serventias extrajudiciais eventualmente vagas ou para fins de remoção. Rejeição da tese de que somente com a edição da Lei 8.935/1994 teria essa norma constituciona</w:t>
      </w:r>
    </w:p>
    <w:p>
      <w:pPr>
        <w:ind w:left="288"/>
      </w:pPr>
      <w:r>
        <w:rPr>
          <w:b/>
          <w:color w:val="003CA0"/>
          <w:sz w:val="16"/>
        </w:rPr>
        <w:t>[MS 28.279, rel. min. Ellen Gracie, j. 16-12-2010, P, DJE de 29-4-2011.]</w:t>
      </w:r>
    </w:p>
    <w:p>
      <w:pPr>
        <w:ind w:left="288"/>
      </w:pPr>
      <w:r>
        <w:rPr>
          <w:color w:val="8C8C8C"/>
          <w:sz w:val="12"/>
        </w:rPr>
        <w:t>cf-art-37-inc-I</w:t>
      </w:r>
      <w:r>
        <w:rPr>
          <w:color w:val="003CA0"/>
          <w:sz w:val="12"/>
        </w:rPr>
        <w:t xml:space="preserve"> | MS 29.282</w:t>
      </w:r>
      <w:r>
        <w:rPr>
          <w:color w:val="003CA0"/>
          <w:sz w:val="12"/>
        </w:rPr>
        <w:t xml:space="preserve"> | rel. Teori Zavascki</w:t>
      </w:r>
    </w:p>
    <w:p>
      <w:pPr>
        <w:ind w:left="288"/>
      </w:pPr>
      <w:r>
        <w:rPr>
          <w:color w:val="1E1E1E"/>
          <w:sz w:val="18"/>
        </w:rPr>
        <w:t>= MS 29.282 AgR, rel. min. Teori Zavascki, j. 24-2-2015, 2ª T, DJE de 11-3-2015 = MS 30.014 AgR, rel. min. Dias Toffoli, j. 18-12-2013, P, DJE de 18-2-2014 Contraria direito líquido e certo do servidor público a alteração, por meio de portaria, das atribuições do cargo que ocupa. A inexistência de direito adquirido a regime jurídico não autoriza a reestruturação de cargos públicos por outra via que não lei formal.</w:t>
      </w:r>
    </w:p>
    <w:p>
      <w:pPr>
        <w:ind w:left="288"/>
      </w:pPr>
      <w:r>
        <w:rPr>
          <w:b/>
          <w:color w:val="003CA0"/>
          <w:sz w:val="16"/>
        </w:rPr>
        <w:t>[MS 26.955, rel. min. Cármen Lúcia, j. 1º-12-2010, P, DJE de 13-4-2011.]</w:t>
      </w:r>
    </w:p>
    <w:p>
      <w:pPr>
        <w:ind w:left="288"/>
      </w:pPr>
      <w:r>
        <w:rPr>
          <w:color w:val="8C8C8C"/>
          <w:sz w:val="12"/>
        </w:rPr>
        <w:t>cf-art-37-inc-I</w:t>
      </w:r>
      <w:r>
        <w:rPr>
          <w:color w:val="003CA0"/>
          <w:sz w:val="12"/>
        </w:rPr>
        <w:t xml:space="preserve"> | RE 594.917</w:t>
      </w:r>
      <w:r>
        <w:rPr>
          <w:color w:val="003CA0"/>
          <w:sz w:val="12"/>
        </w:rPr>
        <w:t xml:space="preserve"> | rel. Ricardo Lewandowski</w:t>
      </w:r>
    </w:p>
    <w:p>
      <w:pPr>
        <w:ind w:left="288"/>
      </w:pPr>
      <w:r>
        <w:rPr>
          <w:color w:val="1E1E1E"/>
          <w:sz w:val="18"/>
        </w:rPr>
        <w:t>A jurisprudência desta Corte se firmou no sentido de que não há preterição quando a administração realiza nomeações em observação a decisão judicial.</w:t>
      </w:r>
    </w:p>
    <w:p>
      <w:pPr>
        <w:ind w:left="288"/>
      </w:pPr>
      <w:r>
        <w:rPr>
          <w:b/>
          <w:color w:val="003CA0"/>
          <w:sz w:val="16"/>
        </w:rPr>
        <w:t>[RE 594.917 AgR, rel. min. Ricardo Lewandowski, j. 9-11-2010, 1ª T, DJE de 25-11-2010.]</w:t>
      </w:r>
    </w:p>
    <w:p>
      <w:pPr>
        <w:ind w:left="288"/>
      </w:pPr>
      <w:r>
        <w:rPr>
          <w:color w:val="8C8C8C"/>
          <w:sz w:val="12"/>
        </w:rPr>
        <w:t>cf-art-37-inc-I</w:t>
      </w:r>
      <w:r>
        <w:rPr>
          <w:color w:val="003CA0"/>
          <w:sz w:val="12"/>
        </w:rPr>
        <w:t xml:space="preserve"> | ARE 869.153</w:t>
      </w:r>
      <w:r>
        <w:rPr>
          <w:color w:val="003CA0"/>
          <w:sz w:val="12"/>
        </w:rPr>
        <w:t xml:space="preserve"> | rel. Dias Toffoli</w:t>
      </w:r>
    </w:p>
    <w:p>
      <w:pPr>
        <w:ind w:left="288"/>
      </w:pPr>
      <w:r>
        <w:rPr>
          <w:color w:val="1E1E1E"/>
          <w:sz w:val="18"/>
        </w:rPr>
        <w:t>= ARE 869.153 AgR, rel. min. Dias Toffoli, j. 26-5-2015, 2ª T, DJE de 19-6-2015 = AI 620.992 AgR, rel. min. Cármen Lúcia, j. 22-5-2007, 1ª T, DJ de 29-6-2007 Não há violação aos princípios da isonomia e da publicidade quando a divulgação das notas dos candidatos em concurso público ocorre em sessão pública, mesmo que em momento anterior ao previsto no edital, ainda mais quando, como no caso, todos forem informados de sua ocorrência. A inobservância de regra procedimental de divulgação de notas não acarreta a nulidade de concurso público quando não demonstrado prejuízo aos concorrentes.</w:t>
      </w:r>
    </w:p>
    <w:p>
      <w:pPr>
        <w:ind w:left="288"/>
      </w:pPr>
      <w:r>
        <w:rPr>
          <w:b/>
          <w:color w:val="003CA0"/>
          <w:sz w:val="16"/>
        </w:rPr>
        <w:t>[AO 1.395 ED, rel. min. Dias Toffoli, j. 24-6-2010, P, DJE de 22-10-2010.]</w:t>
      </w:r>
    </w:p>
    <w:p>
      <w:pPr>
        <w:ind w:left="288"/>
      </w:pPr>
      <w:r>
        <w:rPr>
          <w:color w:val="8C8C8C"/>
          <w:sz w:val="12"/>
        </w:rPr>
        <w:t>cf-art-37-inc-I</w:t>
      </w:r>
      <w:r>
        <w:rPr>
          <w:color w:val="003CA0"/>
          <w:sz w:val="12"/>
        </w:rPr>
        <w:t xml:space="preserve"> | SS 4.189</w:t>
      </w:r>
      <w:r>
        <w:rPr>
          <w:color w:val="003CA0"/>
          <w:sz w:val="12"/>
        </w:rPr>
        <w:t xml:space="preserve"> | rel. Cezar Peluso</w:t>
      </w:r>
    </w:p>
    <w:p>
      <w:pPr>
        <w:ind w:left="288"/>
      </w:pPr>
      <w:r>
        <w:rPr>
          <w:color w:val="1E1E1E"/>
          <w:sz w:val="18"/>
        </w:rPr>
        <w:t>Não há risco de grave lesão à ordem pública na decisão judicial que determina seja observada a ordem classificatória em concurso público, a fim de evitar a preterição de concursados pela contratação de temporários, quando comprovada a necessidade do serviço.</w:t>
      </w:r>
    </w:p>
    <w:p>
      <w:pPr>
        <w:ind w:left="288"/>
      </w:pPr>
      <w:r>
        <w:rPr>
          <w:b/>
          <w:color w:val="003CA0"/>
          <w:sz w:val="16"/>
        </w:rPr>
        <w:t>[SS 4.189 AgR, rel. min. Cezar Peluso, j. 24-6-2010, P, DJE de 13-8-2010.]</w:t>
      </w:r>
    </w:p>
    <w:p>
      <w:pPr>
        <w:ind w:left="288"/>
      </w:pPr>
      <w:r>
        <w:rPr>
          <w:color w:val="8C8C8C"/>
          <w:sz w:val="12"/>
        </w:rPr>
        <w:t>cf-art-37-inc-I</w:t>
      </w:r>
      <w:r>
        <w:rPr>
          <w:color w:val="003CA0"/>
          <w:sz w:val="12"/>
        </w:rPr>
        <w:t xml:space="preserve"> | SS 3.583</w:t>
      </w:r>
      <w:r>
        <w:rPr>
          <w:color w:val="003CA0"/>
          <w:sz w:val="12"/>
        </w:rPr>
        <w:t xml:space="preserve"> | rel. Gilmar Mendes</w:t>
      </w:r>
    </w:p>
    <w:p>
      <w:pPr>
        <w:ind w:left="288"/>
      </w:pPr>
      <w:r>
        <w:rPr>
          <w:color w:val="1E1E1E"/>
          <w:sz w:val="18"/>
        </w:rPr>
        <w:t>Vide SS 3.583 AgR, rel. min. Gilmar Mendes, j. 1º-7-2009, P, DJE de 28-8-2009 O STF entende que a restrição da admissão a cargos públicos a partir da idade somente se justifica se previsto em lei e quando situações concretas exigem um limite razoável, tendo em conta o grau de esforço a ser desenvolvido pelo ocupante do cargo ou função. No caso, mostra-se desarrazoada a exigência de teste de esforço físico com critérios diferenciados em razão da faixa etária.</w:t>
      </w:r>
    </w:p>
    <w:p>
      <w:pPr>
        <w:ind w:left="288"/>
      </w:pPr>
      <w:r>
        <w:rPr>
          <w:b/>
          <w:color w:val="003CA0"/>
          <w:sz w:val="16"/>
        </w:rPr>
        <w:t>[RE 523.737 AgR, rel. min. Ellen Gracie, j. 22-6-2010, 2ª T, DJE de 6-8-2010.]</w:t>
      </w:r>
    </w:p>
    <w:p>
      <w:pPr>
        <w:ind w:left="288"/>
      </w:pPr>
      <w:r>
        <w:rPr>
          <w:color w:val="8C8C8C"/>
          <w:sz w:val="12"/>
        </w:rPr>
        <w:t>cf-art-37-inc-I</w:t>
      </w:r>
      <w:r>
        <w:rPr>
          <w:color w:val="003CA0"/>
          <w:sz w:val="12"/>
        </w:rPr>
        <w:t xml:space="preserve"> | RE 598.969</w:t>
      </w:r>
      <w:r>
        <w:rPr>
          <w:color w:val="003CA0"/>
          <w:sz w:val="12"/>
        </w:rPr>
        <w:t xml:space="preserve"> | rel. Ayres Britto</w:t>
      </w:r>
    </w:p>
    <w:p>
      <w:pPr>
        <w:ind w:left="288"/>
      </w:pPr>
      <w:r>
        <w:rPr>
          <w:color w:val="1E1E1E"/>
          <w:sz w:val="18"/>
        </w:rPr>
        <w:t>= RE 598.969 AgR, rel. min. Ayres Britto, j. 20-3-2012, 2ª T, DJE de 13-4-2012 A exigência de experiência profissional prevista apenas em edital importa em ofensa constitucional.</w:t>
      </w:r>
    </w:p>
    <w:p>
      <w:pPr>
        <w:ind w:left="288"/>
      </w:pPr>
      <w:r>
        <w:rPr>
          <w:b/>
          <w:color w:val="003CA0"/>
          <w:sz w:val="16"/>
        </w:rPr>
        <w:t>[RE 558.833 AgR, rel. min. Ellen Gracie, j. 8-9-2009, 2ª T, DJE de 25-9-2009.]</w:t>
      </w:r>
    </w:p>
    <w:p>
      <w:pPr>
        <w:ind w:left="288"/>
      </w:pPr>
      <w:r>
        <w:rPr>
          <w:color w:val="8C8C8C"/>
          <w:sz w:val="12"/>
        </w:rPr>
        <w:t>cf-art-37-inc-I</w:t>
      </w:r>
      <w:r>
        <w:rPr>
          <w:color w:val="003CA0"/>
          <w:sz w:val="12"/>
        </w:rPr>
        <w:t xml:space="preserve"> | RE 559.823</w:t>
      </w:r>
      <w:r>
        <w:rPr>
          <w:color w:val="003CA0"/>
          <w:sz w:val="12"/>
        </w:rPr>
        <w:t xml:space="preserve"> | rel. Joaquim Barbosa</w:t>
      </w:r>
    </w:p>
    <w:p>
      <w:pPr>
        <w:ind w:left="288"/>
      </w:pPr>
      <w:r>
        <w:rPr>
          <w:color w:val="1E1E1E"/>
          <w:sz w:val="18"/>
        </w:rPr>
        <w:t>Vide RE 559.823 AgR, rel. min. Joaquim Barbosa, j. 27-11-2007, 2ª T, DJE de 1º-2-2008 Direito à nomeação e à posse de candidatos aprovados em concurso público em caráter precário (sub judice). Ausentes os pressupostos autorizadores da suspensão de segurança. Decisão liminar que garante o respeito à ordem classificatória.</w:t>
      </w:r>
    </w:p>
    <w:p>
      <w:pPr>
        <w:ind w:left="288"/>
      </w:pPr>
      <w:r>
        <w:rPr>
          <w:b/>
          <w:color w:val="003CA0"/>
          <w:sz w:val="16"/>
        </w:rPr>
        <w:t>[SS 3.583 AgR, rel. min. Gilmar Mendes, j. 1º-7-2009, P, DJE de 28-8-2009.]</w:t>
      </w:r>
    </w:p>
    <w:p>
      <w:pPr>
        <w:ind w:left="288"/>
      </w:pPr>
      <w:r>
        <w:rPr>
          <w:color w:val="8C8C8C"/>
          <w:sz w:val="12"/>
        </w:rPr>
        <w:t>cf-art-37-inc-I</w:t>
      </w:r>
      <w:r>
        <w:rPr>
          <w:color w:val="003CA0"/>
          <w:sz w:val="12"/>
        </w:rPr>
        <w:t xml:space="preserve"> | SS 4.189</w:t>
      </w:r>
      <w:r>
        <w:rPr>
          <w:color w:val="003CA0"/>
          <w:sz w:val="12"/>
        </w:rPr>
        <w:t xml:space="preserve"> | rel. Cezar Peluso</w:t>
      </w:r>
    </w:p>
    <w:p>
      <w:pPr>
        <w:ind w:left="288"/>
      </w:pPr>
      <w:r>
        <w:rPr>
          <w:color w:val="1E1E1E"/>
          <w:sz w:val="18"/>
        </w:rPr>
        <w:t>Vide SS 4.189 AgR, rel. min. Cezar Peluso, j. 24-6-2010, P, DJE de 13-8-2010 O edital de concurso, desde que consentâneo com a lei de regência em sentido formal e material, obriga candidatos e administração pública.</w:t>
      </w:r>
    </w:p>
    <w:p>
      <w:pPr>
        <w:ind w:left="288"/>
      </w:pPr>
      <w:r>
        <w:rPr>
          <w:b/>
          <w:color w:val="003CA0"/>
          <w:sz w:val="16"/>
        </w:rPr>
        <w:t>[RE 480.129, rel. min. Marco Aurélio, j. 30-6-2009, 1ª T, DJE de 23-10-2009.]</w:t>
      </w:r>
    </w:p>
    <w:p>
      <w:pPr>
        <w:ind w:left="288"/>
      </w:pPr>
      <w:r>
        <w:rPr>
          <w:color w:val="8C8C8C"/>
          <w:sz w:val="12"/>
        </w:rPr>
        <w:t>cf-art-37-inc-I</w:t>
      </w:r>
      <w:r>
        <w:rPr>
          <w:color w:val="003CA0"/>
          <w:sz w:val="12"/>
        </w:rPr>
        <w:t xml:space="preserve"> | MS 29.957</w:t>
      </w:r>
      <w:r>
        <w:rPr>
          <w:color w:val="003CA0"/>
          <w:sz w:val="12"/>
        </w:rPr>
        <w:t xml:space="preserve"> | rel. Gilmar Mendes</w:t>
      </w:r>
    </w:p>
    <w:p>
      <w:pPr>
        <w:ind w:left="288"/>
      </w:pPr>
      <w:r>
        <w:rPr>
          <w:color w:val="1E1E1E"/>
          <w:sz w:val="18"/>
        </w:rPr>
        <w:t>Vide MS 29.957 e MS 30.265, rel. min. Gilmar Mendes, j. 6-3-2012, 2ª T, DJE de 18-5-2012 Vide RE 290.346, rel. min. Ilmar Galvão, j. 29-5-2001, 1ª T, DJ de 29-6-2001 O pedido de nomeação e posse em cargo público, decorrente de preterição na ordem de classificação dos aprovados em concurso público, não se confunde com o pagamento de vencimentos, que é mera consequência lógica da investidura no cargo para o qual concorreu. (...) As consequências decorrentes do ato de nomeação da interessada não evidenciam desrespeito à decisão proferida nos autos da ADC 4/DF. Precedentes.</w:t>
      </w:r>
    </w:p>
    <w:p>
      <w:pPr>
        <w:ind w:left="288"/>
      </w:pPr>
      <w:r>
        <w:rPr>
          <w:b/>
          <w:color w:val="003CA0"/>
          <w:sz w:val="16"/>
        </w:rPr>
        <w:t>[Rcl 4.879, rel. min. Cármen Lúcia, j. 20-5-2009, P, DJE de 2-10-2009.]</w:t>
      </w:r>
    </w:p>
    <w:p>
      <w:pPr>
        <w:ind w:left="288"/>
      </w:pPr>
      <w:r>
        <w:rPr>
          <w:color w:val="8C8C8C"/>
          <w:sz w:val="12"/>
        </w:rPr>
        <w:t>cf-art-37-inc-I</w:t>
      </w:r>
      <w:r>
        <w:rPr>
          <w:color w:val="003CA0"/>
          <w:sz w:val="12"/>
        </w:rPr>
        <w:t xml:space="preserve"> | RCL 7.583</w:t>
      </w:r>
      <w:r>
        <w:rPr>
          <w:color w:val="003CA0"/>
          <w:sz w:val="12"/>
        </w:rPr>
        <w:t xml:space="preserve"> | rel. Gilmar Mendes</w:t>
      </w:r>
    </w:p>
    <w:p>
      <w:pPr>
        <w:ind w:left="288"/>
      </w:pPr>
      <w:r>
        <w:rPr>
          <w:color w:val="1E1E1E"/>
          <w:sz w:val="18"/>
        </w:rPr>
        <w:t>Vide Rcl 7.583 AgR, rel. min. Gilmar Mendes, j. 24-2-2011, P, DJE de 18-3-2011 Vide Rcl 4.751, rel. min. Ayres Britto, j. 20-5-2009, P, DJE de 19-6-2009 Vide Rcl 5.008 AgR, Rcl 5.042 AgR, Rcl 5.065 AgR, Rcl 5.194 AgR e Rcl 5.416 AgR, rel. min. Cezar Peluso, j. 27-11-2008, P, DJE de 6-2-2009 Vide Rcl 5.013 AgR, rel. min. Menezes Direito, j. 10-3-2008, P, DJE de 18-4-2008 Concessão de pontos aos detentores do título de "Pioneiros do Tocantins". Anulação do concurso público por decisão judicial. Desnecessidade de instauração de processo administrativo prévio para exoneração dos aprovados. A decis</w:t>
      </w:r>
    </w:p>
    <w:p>
      <w:pPr>
        <w:ind w:left="288"/>
      </w:pPr>
      <w:r>
        <w:rPr>
          <w:b/>
          <w:color w:val="003CA0"/>
          <w:sz w:val="16"/>
        </w:rPr>
        <w:t>[Rcl 5.819, rel. min. Cármen Lúcia, j. 20-5-2009, P, DJE de 19-6-2009.]</w:t>
      </w:r>
    </w:p>
    <w:p>
      <w:pPr>
        <w:ind w:left="288"/>
      </w:pPr>
      <w:r>
        <w:rPr>
          <w:color w:val="8C8C8C"/>
          <w:sz w:val="12"/>
        </w:rPr>
        <w:t>cf-art-37-inc-I</w:t>
      </w:r>
      <w:r>
        <w:rPr>
          <w:color w:val="003CA0"/>
          <w:sz w:val="12"/>
        </w:rPr>
        <w:t xml:space="preserve"> | ADC 4</w:t>
      </w:r>
      <w:r>
        <w:rPr>
          <w:color w:val="003CA0"/>
          <w:sz w:val="12"/>
        </w:rPr>
        <w:t xml:space="preserve"> | rel. Ayres Britto</w:t>
      </w:r>
    </w:p>
    <w:p>
      <w:pPr>
        <w:ind w:left="288"/>
      </w:pPr>
      <w:r>
        <w:rPr>
          <w:color w:val="1E1E1E"/>
          <w:sz w:val="18"/>
        </w:rPr>
        <w:t>Ao conceder a medida cautelar na ADC 4, o STF vedou apenas a concessão de tutela antecipada que contrarie o disposto no art. 1º da Lei 9.494/1997. A reclassificação ou equiparação de servidores públicos e a concessão de aumento ou extensão de vantagens (art. 5º da Lei 4.348/1964) cuidam da específica situação em que um servidor público postula tais direitos em juízo. O mesmo vale para o pagamento de vencimentos e vantagens pecuniárias de que trata o § 4º do art. 1º da Lei 5.021/1966. A simples determinação para que candidatos participem das demais etapas de concurso público (curso de formação)</w:t>
      </w:r>
    </w:p>
    <w:p>
      <w:pPr>
        <w:ind w:left="288"/>
      </w:pPr>
      <w:r>
        <w:rPr>
          <w:b/>
          <w:color w:val="003CA0"/>
          <w:sz w:val="16"/>
        </w:rPr>
        <w:t>[Rcl 4.751, rel. min. Ayres Britto, j. 20-5-2009, P, DJE de 19-6-2009.]</w:t>
      </w:r>
    </w:p>
    <w:p>
      <w:pPr>
        <w:ind w:left="288"/>
      </w:pPr>
      <w:r>
        <w:rPr>
          <w:color w:val="8C8C8C"/>
          <w:sz w:val="12"/>
        </w:rPr>
        <w:t>cf-art-37-inc-I</w:t>
      </w:r>
      <w:r>
        <w:rPr>
          <w:color w:val="003CA0"/>
          <w:sz w:val="12"/>
        </w:rPr>
        <w:t xml:space="preserve"> | RCL 7.583</w:t>
      </w:r>
      <w:r>
        <w:rPr>
          <w:color w:val="003CA0"/>
          <w:sz w:val="12"/>
        </w:rPr>
        <w:t xml:space="preserve"> | rel. Gilmar Mendes</w:t>
      </w:r>
    </w:p>
    <w:p>
      <w:pPr>
        <w:ind w:left="288"/>
      </w:pPr>
      <w:r>
        <w:rPr>
          <w:color w:val="1E1E1E"/>
          <w:sz w:val="18"/>
        </w:rPr>
        <w:t>Vide Rcl 7.583 AgR, rel. min.  Gilmar Mendes, j. 24-2-2011, P, DJE de 18-3-2011 Vide Rcl 4.879, rel. min. Cármen Lúcia, j. 20-5-2009, P, DJE de 2-10-2009 Vide Rcl 5.008 AgR, Rcl 5.042 AgR, Rcl 5.065 AgR, Rcl 5.194 AgR e Rcl 5.416 AgR, rel. min. Cezar Peluso, j. 27-11-2008, P, DJE de 6-2-2009 Vide Rcl 5.013 AgR, rel. min. Menezes Direito, j. 10-3-2008, P, DJE de 18-4-2008 Não ofende a decisão liminar proferida na ADC 4 a antecipação de tutela que garante a inscrição de candidato em concurso público, ainda que da aprovação lhe resultem vantagens financeiras.</w:t>
      </w:r>
    </w:p>
    <w:p>
      <w:pPr>
        <w:ind w:left="288"/>
      </w:pPr>
      <w:r>
        <w:rPr>
          <w:b/>
          <w:color w:val="003CA0"/>
          <w:sz w:val="16"/>
        </w:rPr>
        <w:t>[Rcl 5.008 AgR, Rcl 5.042 AgR, Rcl 5.065 AgR, Rcl 5.194 AgR e Rcl 5.416 AgR, rel. min. Cezar Peluso, j. 27-11-2008, P, DJE de 6-2-2009.]</w:t>
      </w:r>
    </w:p>
    <w:p>
      <w:pPr>
        <w:ind w:left="288"/>
      </w:pPr>
      <w:r>
        <w:rPr>
          <w:color w:val="8C8C8C"/>
          <w:sz w:val="12"/>
        </w:rPr>
        <w:t>cf-art-37-inc-I</w:t>
      </w:r>
      <w:r>
        <w:rPr>
          <w:color w:val="003CA0"/>
          <w:sz w:val="12"/>
        </w:rPr>
        <w:t xml:space="preserve"> | RCL 7.583</w:t>
      </w:r>
      <w:r>
        <w:rPr>
          <w:color w:val="003CA0"/>
          <w:sz w:val="12"/>
        </w:rPr>
        <w:t xml:space="preserve"> | rel. Gilmar Mendes</w:t>
      </w:r>
    </w:p>
    <w:p>
      <w:pPr>
        <w:ind w:left="288"/>
      </w:pPr>
      <w:r>
        <w:rPr>
          <w:color w:val="1E1E1E"/>
          <w:sz w:val="18"/>
        </w:rPr>
        <w:t>Vide Rcl 7.583 AgR, rel. min. Gilmar Mendes, j. 24-2-2011, P, DJE de 18-3-2011 Vide Rcl 4.751, rel. min. Ayres Britto, j. 20-5-2009, P, DJE de 19-6-2009 Vide Rcl 4.879, rel. min. Cármen Lúcia, j. 20-5-2009, P, DJE de 2-10-2009 A participação em curso da Academia de Polícia Militar assegurada por força de antecipação de tutela não é apta a caracterizar o direito líquido e certo à nomeação. Esta Corte já rejeitou a chamada "teoria do fato consumado". Precedentes: RE 120.893 AgR/SP e AI 586.800 ED/DF, entre outros.</w:t>
      </w:r>
    </w:p>
    <w:p>
      <w:pPr>
        <w:ind w:left="288"/>
      </w:pPr>
      <w:r>
        <w:rPr>
          <w:b/>
          <w:color w:val="003CA0"/>
          <w:sz w:val="16"/>
        </w:rPr>
        <w:t>[RE 476.783 AgR, rel. min. Ellen Gracie, j. 28-10-2008, 2ª T, DJE de 21-11-2008.]</w:t>
      </w:r>
    </w:p>
    <w:p>
      <w:pPr>
        <w:ind w:left="288"/>
      </w:pPr>
      <w:r>
        <w:rPr>
          <w:color w:val="8C8C8C"/>
          <w:sz w:val="12"/>
        </w:rPr>
        <w:t>cf-art-37-inc-I</w:t>
      </w:r>
      <w:r>
        <w:rPr>
          <w:color w:val="003CA0"/>
          <w:sz w:val="12"/>
        </w:rPr>
        <w:t xml:space="preserve"> | AI 645.392</w:t>
      </w:r>
      <w:r>
        <w:rPr>
          <w:color w:val="003CA0"/>
          <w:sz w:val="12"/>
        </w:rPr>
        <w:t xml:space="preserve"> | rel. Dias Toffoli</w:t>
      </w:r>
    </w:p>
    <w:p>
      <w:pPr>
        <w:ind w:left="288"/>
      </w:pPr>
      <w:r>
        <w:rPr>
          <w:color w:val="1E1E1E"/>
          <w:sz w:val="18"/>
        </w:rPr>
        <w:t>= AI 645.392 AgR, rel. min. Dias Toffoli, j. 18-10-2011, 1ª T, DJE de 29-11-2011 Concurso público. Policial militar. Altura mínima. Previsão legal. Inexistência. Somente lei formal pode impor condições para o preenchimento de cargos, empregos ou funções públicas. Precedentes.</w:t>
      </w:r>
    </w:p>
    <w:p>
      <w:pPr>
        <w:ind w:left="288"/>
      </w:pPr>
      <w:r>
        <w:rPr>
          <w:b/>
          <w:color w:val="003CA0"/>
          <w:sz w:val="16"/>
        </w:rPr>
        <w:t>[AI 723.748 AgR, rel. min. Eros Grau, j. 30-9-2008, 2ª T, DJE de 7-11-2008.]</w:t>
      </w:r>
    </w:p>
    <w:p>
      <w:pPr>
        <w:ind w:left="288"/>
      </w:pPr>
      <w:r>
        <w:rPr>
          <w:color w:val="8C8C8C"/>
          <w:sz w:val="12"/>
        </w:rPr>
        <w:t>cf-art-37-inc-I</w:t>
      </w:r>
      <w:r>
        <w:rPr>
          <w:color w:val="003CA0"/>
          <w:sz w:val="12"/>
        </w:rPr>
        <w:t xml:space="preserve"> | AI 623.035</w:t>
      </w:r>
      <w:r>
        <w:rPr>
          <w:color w:val="003CA0"/>
          <w:sz w:val="12"/>
        </w:rPr>
        <w:t xml:space="preserve"> | rel. Cármen Lúcia</w:t>
      </w:r>
    </w:p>
    <w:p>
      <w:pPr>
        <w:ind w:left="288"/>
      </w:pPr>
      <w:r>
        <w:rPr>
          <w:color w:val="1E1E1E"/>
          <w:sz w:val="18"/>
        </w:rPr>
        <w:t>= AI 623.035 AgR, rel. min. Cármen Lúcia, j. 2-12-2010, 1ª T, DJE de 1º-2-2011 Concurso público. Nomeações. Anulação. Devido processo legal. O STF fixou jurisprudência no sentido de que é necessária a observância do devido processo legal para a anulação de ato administrativo que tenha repercutido no campo de interesses individuais.</w:t>
      </w:r>
    </w:p>
    <w:p>
      <w:pPr>
        <w:ind w:left="288"/>
      </w:pPr>
      <w:r>
        <w:rPr>
          <w:b/>
          <w:color w:val="003CA0"/>
          <w:sz w:val="16"/>
        </w:rPr>
        <w:t>[RE 501.869 AgR, rel. min. Eros Grau, j. 23-9-2008, 2ª T, DJE de 31-10-2008.]</w:t>
      </w:r>
    </w:p>
    <w:p>
      <w:pPr>
        <w:ind w:left="288"/>
      </w:pPr>
      <w:r>
        <w:rPr>
          <w:color w:val="8C8C8C"/>
          <w:sz w:val="12"/>
        </w:rPr>
        <w:t>cf-art-37-inc-I</w:t>
      </w:r>
      <w:r>
        <w:rPr>
          <w:color w:val="003CA0"/>
          <w:sz w:val="12"/>
        </w:rPr>
        <w:t xml:space="preserve"> | RMS 25.294</w:t>
      </w:r>
      <w:r>
        <w:rPr>
          <w:color w:val="003CA0"/>
          <w:sz w:val="12"/>
        </w:rPr>
        <w:t xml:space="preserve"> | rel. Marco Aurélio</w:t>
      </w:r>
    </w:p>
    <w:p>
      <w:pPr>
        <w:ind w:left="288"/>
      </w:pPr>
      <w:r>
        <w:rPr>
          <w:color w:val="1E1E1E"/>
          <w:sz w:val="18"/>
        </w:rPr>
        <w:t>Concurso público. Carreira judiciária. Analista. Escolaridade. Lei 9.421/1996. Alcance. Provimento 81/1999 do STM. A Lei 9.421/1996 deixa à definição dos tribunais a distribuição dos cargos de analista, sem impor a admissibilidade de todo e qualquer diploma de curso superior. A exigência de certa especialidade é estabelecida ante as necessidades da Corte, observado o que previsto na lei que haja criado tais cargos.</w:t>
      </w:r>
    </w:p>
    <w:p>
      <w:pPr>
        <w:ind w:left="288"/>
      </w:pPr>
      <w:r>
        <w:rPr>
          <w:b/>
          <w:color w:val="003CA0"/>
          <w:sz w:val="16"/>
        </w:rPr>
        <w:t>[RMS 25.294, rel. min. Marco Aurélio, j. 9-9-2008, 1ª T, DJE de 19-12-2008.]</w:t>
      </w:r>
    </w:p>
    <w:p>
      <w:pPr>
        <w:ind w:left="288"/>
      </w:pPr>
      <w:r>
        <w:rPr>
          <w:color w:val="8C8C8C"/>
          <w:sz w:val="12"/>
        </w:rPr>
        <w:t>cf-art-37-inc-I</w:t>
      </w:r>
      <w:r>
        <w:rPr>
          <w:color w:val="003CA0"/>
          <w:sz w:val="12"/>
        </w:rPr>
        <w:t xml:space="preserve"> | RE 461.792</w:t>
      </w:r>
      <w:r>
        <w:rPr>
          <w:color w:val="003CA0"/>
          <w:sz w:val="12"/>
        </w:rPr>
        <w:t xml:space="preserve"> | rel. Eros Grau</w:t>
      </w:r>
    </w:p>
    <w:p>
      <w:pPr>
        <w:ind w:left="288"/>
      </w:pPr>
      <w:r>
        <w:rPr>
          <w:color w:val="1E1E1E"/>
          <w:sz w:val="18"/>
        </w:rPr>
        <w:t>A investidura de servidor público efetivo em outro cargo depende de concurso público, nos termos do disposto no art. 37, II, da CF/1988, ressalvada a hipótese de promoção na mesma carreira.</w:t>
      </w:r>
    </w:p>
    <w:p>
      <w:pPr>
        <w:ind w:left="288"/>
      </w:pPr>
      <w:r>
        <w:rPr>
          <w:b/>
          <w:color w:val="003CA0"/>
          <w:sz w:val="16"/>
        </w:rPr>
        <w:t>[RE 461.792 AgR, rel. min. Eros Grau, j. 24-6-2008, 2ª T, DJE de 15-8-2008.]</w:t>
      </w:r>
    </w:p>
    <w:p>
      <w:pPr>
        <w:ind w:left="288"/>
      </w:pPr>
      <w:r>
        <w:rPr>
          <w:color w:val="8C8C8C"/>
          <w:sz w:val="12"/>
        </w:rPr>
        <w:t>cf-art-37-inc-I</w:t>
      </w:r>
      <w:r>
        <w:rPr>
          <w:color w:val="003CA0"/>
          <w:sz w:val="12"/>
        </w:rPr>
        <w:t xml:space="preserve"> | AI 801.098</w:t>
      </w:r>
      <w:r>
        <w:rPr>
          <w:color w:val="003CA0"/>
          <w:sz w:val="12"/>
        </w:rPr>
        <w:t xml:space="preserve"> | rel. Ricardo Lewandowski</w:t>
      </w:r>
    </w:p>
    <w:p>
      <w:pPr>
        <w:ind w:left="288"/>
      </w:pPr>
      <w:r>
        <w:rPr>
          <w:color w:val="1E1E1E"/>
          <w:sz w:val="18"/>
        </w:rPr>
        <w:t>= AI 801.098 AgR, rel. min. Ricardo Lewandowski, j. 9-11-2010, 1ª T, DJE de 26-11-2010 Após a Constituição do Brasil de 1988, é nula a contratação para a investidura em cargo ou emprego público sem prévia aprovação em concurso público. Tal contratação não gera efeitos trabalhistas, salvo o pagamento do saldo de salários dos dias efetivamente trabalhados, sob pena de enriquecimento sem causa do poder público. Precedentes. A regra constitucional que submete as empresas públicas e sociedades de economia mista ao regime jurídico próprio das empresas privadas (...) não elide a aplicação, a esses en</w:t>
      </w:r>
    </w:p>
    <w:p>
      <w:pPr>
        <w:ind w:left="288"/>
      </w:pPr>
      <w:r>
        <w:rPr>
          <w:b/>
          <w:color w:val="003CA0"/>
          <w:sz w:val="16"/>
        </w:rPr>
        <w:t>[AI 680.939 AgR, rel. min. Eros Grau, j. 27-11-2007, 2ª T, DJE de 1º-2-2008.]</w:t>
      </w:r>
    </w:p>
    <w:p>
      <w:pPr>
        <w:ind w:left="288"/>
      </w:pPr>
      <w:r>
        <w:rPr>
          <w:color w:val="8C8C8C"/>
          <w:sz w:val="12"/>
        </w:rPr>
        <w:t>cf-art-37-inc-I</w:t>
      </w:r>
      <w:r>
        <w:rPr>
          <w:color w:val="003CA0"/>
          <w:sz w:val="12"/>
        </w:rPr>
        <w:t xml:space="preserve"> | AI 612.687</w:t>
      </w:r>
      <w:r>
        <w:rPr>
          <w:color w:val="003CA0"/>
          <w:sz w:val="12"/>
        </w:rPr>
        <w:t xml:space="preserve"> | rel. Dias Toffoli</w:t>
      </w:r>
    </w:p>
    <w:p>
      <w:pPr>
        <w:ind w:left="288"/>
      </w:pPr>
      <w:r>
        <w:rPr>
          <w:color w:val="1E1E1E"/>
          <w:sz w:val="18"/>
        </w:rPr>
        <w:t>= AI 612.687 AgR, rel. min. Dias Toffoli, j. 9-11-2010, 1ª T, DJE de 9-3-2011 A jurisprudência fixada a partir da ADI 231, DJ de 13-11-1992, de que o ingresso nas carreiras públicas se dá mediante prévio concurso público, não alcança situações fáticas ocorridas anteriormente ao seu julgamento, mormente em período cujo entendimento sobre o tema não era pacífico nesta Corte.</w:t>
      </w:r>
    </w:p>
    <w:p>
      <w:pPr>
        <w:ind w:left="288"/>
      </w:pPr>
      <w:r>
        <w:rPr>
          <w:b/>
          <w:color w:val="003CA0"/>
          <w:sz w:val="16"/>
        </w:rPr>
        <w:t>[RE 306.938 AgR, rel. min. Cezar Peluso, j. 18-9-2007, 2ª T, DJ de 11-10-2007.]</w:t>
      </w:r>
    </w:p>
    <w:p>
      <w:pPr>
        <w:ind w:left="288"/>
      </w:pPr>
      <w:r>
        <w:rPr>
          <w:color w:val="8C8C8C"/>
          <w:sz w:val="12"/>
        </w:rPr>
        <w:t>cf-art-37-inc-I</w:t>
      </w:r>
      <w:r>
        <w:rPr>
          <w:color w:val="003CA0"/>
          <w:sz w:val="12"/>
        </w:rPr>
        <w:t xml:space="preserve"> | AI 290.014</w:t>
      </w:r>
      <w:r>
        <w:rPr>
          <w:color w:val="003CA0"/>
          <w:sz w:val="12"/>
        </w:rPr>
        <w:t xml:space="preserve"> | rel. Cezar Peluso</w:t>
      </w:r>
    </w:p>
    <w:p>
      <w:pPr>
        <w:ind w:left="288"/>
      </w:pPr>
      <w:r>
        <w:rPr>
          <w:color w:val="1E1E1E"/>
          <w:sz w:val="18"/>
        </w:rPr>
        <w:t>Não ofende o art. 37, II, da Constituição atual o reconhecimento de vínculo empregatício com empresa pública, iniciado sem concurso público, em período anterior a sua entrada em vigor. Precedentes: AI 290.014 AgR (rel. min. Cezar Peluso, Primeira Turma, DJ de 7-10-2005); RE 313.130 (rel. min. Maurício Corrêa, DJ de 5-8-2002); RE 454.410 (rel. min. Gilmar Mendes, DJ de 12-8-2005); e AI 254.417 AgR (rel. min. Octavio Gallotti, Primeira Turma, DJ de 16-6-2000).</w:t>
      </w:r>
    </w:p>
    <w:p>
      <w:pPr>
        <w:ind w:left="288"/>
      </w:pPr>
      <w:r>
        <w:rPr>
          <w:b/>
          <w:color w:val="003CA0"/>
          <w:sz w:val="16"/>
        </w:rPr>
        <w:t>[AI 367.237 AgR, rel. min. Joaquim Barbosa, j. 27-3-2007, 2ª T, DJ de 3-8-2007.]</w:t>
      </w:r>
    </w:p>
    <w:p>
      <w:pPr>
        <w:ind w:left="288"/>
      </w:pPr>
      <w:r>
        <w:rPr>
          <w:color w:val="8C8C8C"/>
          <w:sz w:val="12"/>
        </w:rPr>
        <w:t>cf-art-37-inc-I</w:t>
      </w:r>
      <w:r>
        <w:rPr>
          <w:color w:val="003CA0"/>
          <w:sz w:val="12"/>
        </w:rPr>
        <w:t xml:space="preserve"> | AI 594.942</w:t>
      </w:r>
      <w:r>
        <w:rPr>
          <w:color w:val="003CA0"/>
          <w:sz w:val="12"/>
        </w:rPr>
        <w:t xml:space="preserve"> | rel. Sepúlveda Pertence</w:t>
      </w:r>
    </w:p>
    <w:p>
      <w:pPr>
        <w:ind w:left="288"/>
      </w:pPr>
      <w:r>
        <w:rPr>
          <w:color w:val="1E1E1E"/>
          <w:sz w:val="18"/>
        </w:rPr>
        <w:t>Servidor público: o desvio de função ocorrido em data posterior à Constituição de 1988 não pode dar ensejo ao reenquadramento; no entanto, tem o servidor direito a receber a diferença das remunerações, como indenização, sob pena de enriquecimento sem causa do Estado: precedentes.</w:t>
      </w:r>
    </w:p>
    <w:p>
      <w:pPr>
        <w:ind w:left="288"/>
      </w:pPr>
      <w:r>
        <w:rPr>
          <w:b/>
          <w:color w:val="003CA0"/>
          <w:sz w:val="16"/>
        </w:rPr>
        <w:t>[AI 594.942 AgR, rel. min. Sepúlveda Pertence, j. 14-11-2006, 1ª T, DJ de 7-12-2006.]</w:t>
      </w:r>
    </w:p>
    <w:p>
      <w:pPr>
        <w:ind w:left="288"/>
      </w:pPr>
      <w:r>
        <w:rPr>
          <w:color w:val="8C8C8C"/>
          <w:sz w:val="12"/>
        </w:rPr>
        <w:t>cf-art-37-inc-I</w:t>
      </w:r>
      <w:r>
        <w:rPr>
          <w:color w:val="003CA0"/>
          <w:sz w:val="12"/>
        </w:rPr>
        <w:t xml:space="preserve"> | RE 576.625</w:t>
      </w:r>
      <w:r>
        <w:rPr>
          <w:color w:val="003CA0"/>
          <w:sz w:val="12"/>
        </w:rPr>
        <w:t xml:space="preserve"> | rel. Ricardo Lewandowski</w:t>
      </w:r>
    </w:p>
    <w:p>
      <w:pPr>
        <w:ind w:left="288"/>
      </w:pPr>
      <w:r>
        <w:rPr>
          <w:color w:val="1E1E1E"/>
          <w:sz w:val="18"/>
        </w:rPr>
        <w:t>= RE 576.625 AgR, rel. min. Ricardo Lewandowski, j. 1º-6-2010, 1ª T, DJE de 6-8-2010 Concurso público. Irregularidades. Anulação do concurso anterior à posse dos candidatos nomeados. Necessidade de prévio processo administrativo. Observância do contraditório e da ampla defesa.</w:t>
      </w:r>
    </w:p>
    <w:p>
      <w:pPr>
        <w:ind w:left="288"/>
      </w:pPr>
      <w:r>
        <w:rPr>
          <w:b/>
          <w:color w:val="003CA0"/>
          <w:sz w:val="16"/>
        </w:rPr>
        <w:t>[RE 351.489, rel. min. Gilmar Mendes, j. 7-2-2006, 2ª T, DJ de 17-3-2006.]</w:t>
      </w:r>
    </w:p>
    <w:p>
      <w:pPr>
        <w:ind w:left="288"/>
      </w:pPr>
      <w:r>
        <w:rPr>
          <w:color w:val="8C8C8C"/>
          <w:sz w:val="12"/>
        </w:rPr>
        <w:t>cf-art-37-inc-I</w:t>
      </w:r>
      <w:r>
        <w:rPr>
          <w:color w:val="003CA0"/>
          <w:sz w:val="12"/>
        </w:rPr>
        <w:t xml:space="preserve"> | RE 442.683</w:t>
      </w:r>
      <w:r>
        <w:rPr>
          <w:color w:val="003CA0"/>
          <w:sz w:val="12"/>
        </w:rPr>
        <w:t xml:space="preserve"> | rel. Carlos Velloso</w:t>
      </w:r>
    </w:p>
    <w:p>
      <w:pPr>
        <w:ind w:left="288"/>
      </w:pPr>
      <w:r>
        <w:rPr>
          <w:color w:val="1E1E1E"/>
          <w:sz w:val="18"/>
        </w:rPr>
        <w:t>Constitucional. Servidor público: provimento derivado: inconstitucionalidade: efeito ex nunc. Princípios da boa-fé e da segurança jurídica. (...) A Constituição de 1988 instituiu o concurso público como forma de acesso aos cargos públicos. CF, art. 37, II. Pedido de desconstituição de ato administrativo que deferiu, mediante concurso interno, a progressão de servidores públicos.</w:t>
        <w:br/>
        <w:t>[RE 442.683, rel. min. Carlos Velloso, j. 13-12-2005, 2ª T, DJ de 24-3-2006.]</w:t>
        <w:br/>
        <w:t>Vide ADI 3.857, rel. min. Ricardo Lewandowski, j. 18-12-2008, P, DJE de 27-2-2009</w:t>
        <w:br/>
        <w:t>Vide ADI 3.434 MC, voto do rel. min. Joaquim Barbosa, j. 2</w:t>
      </w:r>
    </w:p>
    <w:p>
      <w:pPr>
        <w:ind w:left="288"/>
      </w:pPr>
      <w:r>
        <w:rPr>
          <w:b/>
          <w:color w:val="003CA0"/>
          <w:sz w:val="16"/>
        </w:rPr>
        <w:t>[RE 223.903 AgR, rel. min. Ilmar Galvão, j. 5-3-2002, 1ª T, DJ de 26-4-2002.]</w:t>
      </w:r>
    </w:p>
    <w:p>
      <w:pPr>
        <w:ind w:left="288"/>
      </w:pPr>
      <w:r>
        <w:rPr>
          <w:color w:val="8C8C8C"/>
          <w:sz w:val="12"/>
        </w:rPr>
        <w:t>cf-art-37-inc-I</w:t>
      </w:r>
      <w:r>
        <w:rPr>
          <w:color w:val="003CA0"/>
          <w:sz w:val="12"/>
        </w:rPr>
        <w:t xml:space="preserve"> | RE 290.346</w:t>
      </w:r>
      <w:r>
        <w:rPr>
          <w:color w:val="003CA0"/>
          <w:sz w:val="12"/>
        </w:rPr>
        <w:t xml:space="preserve"> | rel. Ilmar Galvão</w:t>
      </w:r>
    </w:p>
    <w:p>
      <w:pPr>
        <w:ind w:left="288"/>
      </w:pPr>
      <w:r>
        <w:rPr>
          <w:color w:val="1E1E1E"/>
          <w:sz w:val="18"/>
        </w:rPr>
        <w:t>Em face do princípio da legalidade, pode a administração pública, enquanto não concluído e homologado o concurso público, alterar as condições do certame constantes do respectivo edital, para adaptá-las à nova legislação aplicável à espécie, visto que, antes do provimento do cargo, o candidato tem mera expectativa de direito à nomeação ou, se for o caso, à participação na segunda etapa do processo seletivo.</w:t>
      </w:r>
    </w:p>
    <w:p>
      <w:pPr>
        <w:ind w:left="288"/>
      </w:pPr>
      <w:r>
        <w:rPr>
          <w:b/>
          <w:color w:val="003CA0"/>
          <w:sz w:val="16"/>
        </w:rPr>
        <w:t>[RE 290.346, rel. min. Ilmar Galvão, j. 29-5-2001, 1ª T, DJ de 29-6-2001.]</w:t>
      </w:r>
    </w:p>
    <w:p>
      <w:pPr>
        <w:ind w:left="288"/>
      </w:pPr>
      <w:r>
        <w:rPr>
          <w:color w:val="8C8C8C"/>
          <w:sz w:val="12"/>
        </w:rPr>
        <w:t>cf-art-37-inc-I</w:t>
      </w:r>
      <w:r>
        <w:rPr>
          <w:color w:val="003CA0"/>
          <w:sz w:val="12"/>
        </w:rPr>
        <w:t xml:space="preserve"> | RE 646.491</w:t>
      </w:r>
      <w:r>
        <w:rPr>
          <w:color w:val="003CA0"/>
          <w:sz w:val="12"/>
        </w:rPr>
        <w:t xml:space="preserve"> | rel. Cármen Lúcia</w:t>
      </w:r>
    </w:p>
    <w:p>
      <w:pPr>
        <w:ind w:left="288"/>
      </w:pPr>
      <w:r>
        <w:rPr>
          <w:color w:val="1E1E1E"/>
          <w:sz w:val="18"/>
        </w:rPr>
        <w:t>= RE 646.491 AgR, rel. min. Cármen Lúcia, j. 25-10-2011, 1ª T, DJE de 23-11-2011</w:t>
        <w:br/>
        <w:t>= Pet 11.197 AgR, rel. min. Luiz Fux, j. 30-10-2023, 1ª T, DJE de 9-11-2023 Longe fica de vulnerar a Carta Política acórdão que, diante de desvio de função, implica o reconhecimento do direito à percepção, como verdadeira indenização, do valor maior, sem estampar enquadramento no cargo, para o que seria indispensável o concurso público.</w:t>
      </w:r>
    </w:p>
    <w:p>
      <w:pPr>
        <w:ind w:left="288"/>
      </w:pPr>
      <w:r>
        <w:rPr>
          <w:b/>
          <w:color w:val="003CA0"/>
          <w:sz w:val="16"/>
        </w:rPr>
        <w:t>[RE 275.840, red. do ac. min. Marco Aurélio, rel. min. Maurício Corrêa, j. 6-3-2001, 2ª T, DJ de 1º-6-2001.]</w:t>
      </w:r>
    </w:p>
    <w:p>
      <w:pPr>
        <w:ind w:left="288"/>
      </w:pPr>
      <w:r>
        <w:rPr>
          <w:color w:val="8C8C8C"/>
          <w:sz w:val="12"/>
        </w:rPr>
        <w:t>cf-art-37-inc-I</w:t>
      </w:r>
      <w:r>
        <w:rPr>
          <w:color w:val="003CA0"/>
          <w:sz w:val="12"/>
        </w:rPr>
        <w:t xml:space="preserve"> | RE 223.380</w:t>
      </w:r>
      <w:r>
        <w:rPr>
          <w:color w:val="003CA0"/>
          <w:sz w:val="12"/>
        </w:rPr>
        <w:t xml:space="preserve"> | rel. Marco Aurélio</w:t>
      </w:r>
    </w:p>
    <w:p>
      <w:pPr>
        <w:ind w:left="288"/>
      </w:pPr>
      <w:r>
        <w:rPr>
          <w:color w:val="1E1E1E"/>
          <w:sz w:val="18"/>
        </w:rPr>
        <w:t>Servidor público. Ausência de estabilidade. Cessação do vínculo. Tratando-se de servidor público arregimentado sem a aprovação em concurso público e que, à época da entrada em vigor da Carta de 1988, não contava com cinco anos de prestação de serviços, descabe cogitar de ilegalidade na ruptura do vínculo.</w:t>
      </w:r>
    </w:p>
    <w:p>
      <w:pPr>
        <w:ind w:left="288"/>
      </w:pPr>
      <w:r>
        <w:rPr>
          <w:b/>
          <w:color w:val="003CA0"/>
          <w:sz w:val="16"/>
        </w:rPr>
        <w:t>[RE 223.380, rel. min. Marco Aurélio, j. 28-11-2000, 2ª T, DJ de 30-3-2001.]</w:t>
      </w:r>
    </w:p>
    <w:p>
      <w:pPr>
        <w:ind w:left="288"/>
      </w:pPr>
      <w:r>
        <w:rPr>
          <w:color w:val="8C8C8C"/>
          <w:sz w:val="12"/>
        </w:rPr>
        <w:t>cf-art-37-inc-I</w:t>
      </w:r>
      <w:r>
        <w:rPr>
          <w:color w:val="003CA0"/>
          <w:sz w:val="12"/>
        </w:rPr>
        <w:t xml:space="preserve"> | RE 222.236</w:t>
      </w:r>
      <w:r>
        <w:rPr>
          <w:color w:val="003CA0"/>
          <w:sz w:val="12"/>
        </w:rPr>
        <w:t xml:space="preserve"> | rel. Néri da Silveira</w:t>
      </w:r>
    </w:p>
    <w:p>
      <w:pPr>
        <w:ind w:left="288"/>
      </w:pPr>
      <w:r>
        <w:rPr>
          <w:color w:val="1E1E1E"/>
          <w:sz w:val="18"/>
        </w:rPr>
        <w:t>Provimento de cargo público. Ascensão. Direito adquirido antes do advento da CF de 1988. Inaplicabilidade do art. 37, II, da CF.</w:t>
      </w:r>
    </w:p>
    <w:p>
      <w:pPr>
        <w:ind w:left="288"/>
      </w:pPr>
      <w:r>
        <w:rPr>
          <w:b/>
          <w:color w:val="003CA0"/>
          <w:sz w:val="16"/>
        </w:rPr>
        <w:t>[RE 222.236 AgR, rel. min. Néri da Silveira, j. 17-10-2000, 2ª T, DJ de 24-11-2000.]</w:t>
      </w:r>
    </w:p>
    <w:p>
      <w:pPr>
        <w:ind w:left="288"/>
      </w:pPr>
      <w:r>
        <w:rPr>
          <w:color w:val="8C8C8C"/>
          <w:sz w:val="12"/>
        </w:rPr>
        <w:t>cf-art-37-inc-I</w:t>
      </w:r>
      <w:r>
        <w:rPr>
          <w:color w:val="003CA0"/>
          <w:sz w:val="12"/>
        </w:rPr>
        <w:t xml:space="preserve"> | RE 219.934</w:t>
      </w:r>
      <w:r>
        <w:rPr>
          <w:color w:val="003CA0"/>
          <w:sz w:val="12"/>
        </w:rPr>
        <w:t xml:space="preserve"> | rel. Octavio Gallotti</w:t>
      </w:r>
    </w:p>
    <w:p>
      <w:pPr>
        <w:ind w:left="288"/>
      </w:pPr>
      <w:r>
        <w:rPr>
          <w:color w:val="1E1E1E"/>
          <w:sz w:val="18"/>
        </w:rPr>
        <w:t>Fere o princípio inscrito no art. 37, II, da CF, a atribuição, independentemente de concurso público, dos vencimentos de cargo superior que haja desempenhado, por desvio de função, o servidor.</w:t>
      </w:r>
    </w:p>
    <w:p>
      <w:pPr>
        <w:ind w:left="288"/>
      </w:pPr>
      <w:r>
        <w:rPr>
          <w:b/>
          <w:color w:val="003CA0"/>
          <w:sz w:val="16"/>
        </w:rPr>
        <w:t>[RE 219.934, rel. min. Octavio Gallotti, j. 14-6-2000, P, DJ de 16-2-2001.]</w:t>
      </w:r>
    </w:p>
    <w:p>
      <w:pPr>
        <w:ind w:left="288"/>
      </w:pPr>
      <w:r>
        <w:rPr>
          <w:color w:val="8C8C8C"/>
          <w:sz w:val="12"/>
        </w:rPr>
        <w:t>cf-art-37-inc-I</w:t>
      </w:r>
      <w:r>
        <w:rPr>
          <w:color w:val="003CA0"/>
          <w:sz w:val="12"/>
        </w:rPr>
        <w:t xml:space="preserve"> | AR 2.240</w:t>
      </w:r>
      <w:r>
        <w:rPr>
          <w:color w:val="003CA0"/>
          <w:sz w:val="12"/>
        </w:rPr>
        <w:t xml:space="preserve"> | rel. Dias Toffoli</w:t>
      </w:r>
    </w:p>
    <w:p>
      <w:pPr>
        <w:ind w:left="288"/>
      </w:pPr>
      <w:r>
        <w:rPr>
          <w:color w:val="1E1E1E"/>
          <w:sz w:val="18"/>
        </w:rPr>
        <w:t>= AR 2.240, rel. min. Dias Toffoli, j. 2-5-2012, dec. monocrática, DJE de 7-5-2012 Não se mostra razoável a pretensão de subordinar, ao preceito do art. 37, II, da Constituição, o vínculo empregatício estabelecido antes de sua promulgação.</w:t>
      </w:r>
    </w:p>
    <w:p>
      <w:pPr>
        <w:ind w:left="288"/>
      </w:pPr>
      <w:r>
        <w:rPr>
          <w:b/>
          <w:color w:val="003CA0"/>
          <w:sz w:val="16"/>
        </w:rPr>
        <w:t>[AI 254.417 AgR, rel. min. Octavio Gallotti, j. 28-3-2000, 1ª T, DJ de 16-6-2000.]</w:t>
      </w:r>
    </w:p>
    <w:p>
      <w:pPr>
        <w:ind w:left="288"/>
      </w:pPr>
      <w:r>
        <w:rPr>
          <w:color w:val="8C8C8C"/>
          <w:sz w:val="12"/>
        </w:rPr>
        <w:t>cf-art-37-inc-I</w:t>
      </w:r>
      <w:r>
        <w:rPr>
          <w:color w:val="003CA0"/>
          <w:sz w:val="12"/>
        </w:rPr>
        <w:t xml:space="preserve"> | AI 262.063</w:t>
      </w:r>
      <w:r>
        <w:rPr>
          <w:color w:val="003CA0"/>
          <w:sz w:val="12"/>
        </w:rPr>
        <w:t xml:space="preserve"> | rel. Sepúlveda Pertence</w:t>
      </w:r>
    </w:p>
    <w:p>
      <w:pPr>
        <w:ind w:left="288"/>
      </w:pPr>
      <w:r>
        <w:rPr>
          <w:color w:val="1E1E1E"/>
          <w:sz w:val="18"/>
        </w:rPr>
        <w:t>= AI 262.063 AgR, rel. min. Sepúlveda Pertence, j. 15-2-2005, 1ª T, DJ de 11-3-2005 Absorção pela administração direta estadual dos empregados de sociedade de economia mista em liquidação: plausibilidade da alegação de afronta ao princípio constitucional do concurso público (CF, art. 37, II).</w:t>
      </w:r>
    </w:p>
    <w:p>
      <w:pPr>
        <w:ind w:left="288"/>
      </w:pPr>
      <w:r>
        <w:rPr>
          <w:b/>
          <w:color w:val="003CA0"/>
          <w:sz w:val="16"/>
        </w:rPr>
        <w:t>[SS 837 AgR, rel. min. Sepúlveda Pertence, j. 9-5-1997, P, DJ de 13-6-1997.]</w:t>
      </w:r>
    </w:p>
    <w:p>
      <w:pPr>
        <w:ind w:left="288"/>
      </w:pPr>
      <w:r>
        <w:rPr>
          <w:color w:val="8C8C8C"/>
          <w:sz w:val="12"/>
        </w:rPr>
        <w:t>cf-art-37-inc-I</w:t>
      </w:r>
      <w:r>
        <w:rPr>
          <w:color w:val="003CA0"/>
          <w:sz w:val="12"/>
        </w:rPr>
        <w:t xml:space="preserve"> | RE 163.712</w:t>
      </w:r>
      <w:r>
        <w:rPr>
          <w:color w:val="003CA0"/>
          <w:sz w:val="12"/>
        </w:rPr>
        <w:t xml:space="preserve"> | rel. Ilmar Galvão</w:t>
      </w:r>
    </w:p>
    <w:p>
      <w:pPr>
        <w:ind w:left="288"/>
      </w:pPr>
      <w:r>
        <w:rPr>
          <w:color w:val="1E1E1E"/>
          <w:sz w:val="18"/>
        </w:rPr>
        <w:t>Ao exigir, no art. 37, II, que o ingresso em carreira só se fará mediante concurso público de provas ou de provas e títulos, o legislador constituinte baniu, das formas de investidura admitidas, a redistribuição e a transferência. Legítima a atuação da administração pública, nos termos da Súmula 473, que, uma vez verificada a violação à norma da CF no ato de redistribuição efetuado, cuidou logo de anulá-lo, sem que esse procedimento tenha importado em afronta a direito adquirido.</w:t>
      </w:r>
    </w:p>
    <w:p>
      <w:pPr>
        <w:ind w:left="288"/>
      </w:pPr>
      <w:r>
        <w:rPr>
          <w:b/>
          <w:color w:val="003CA0"/>
          <w:sz w:val="16"/>
        </w:rPr>
        <w:t>[RE 163.712, rel. min. Ilmar Galvão, j. 10-5-1996, 1ª T, DJ de 6-9-1996.]</w:t>
      </w:r>
    </w:p>
    <w:p>
      <w:pPr>
        <w:ind w:left="288"/>
      </w:pPr>
      <w:r>
        <w:rPr>
          <w:color w:val="8C8C8C"/>
          <w:sz w:val="12"/>
        </w:rPr>
        <w:t>cf-art-37-inc-I</w:t>
      </w:r>
      <w:r>
        <w:rPr>
          <w:color w:val="003CA0"/>
          <w:sz w:val="12"/>
        </w:rPr>
        <w:t xml:space="preserve"> | RE 156.400</w:t>
      </w:r>
      <w:r>
        <w:rPr>
          <w:color w:val="003CA0"/>
          <w:sz w:val="12"/>
        </w:rPr>
        <w:t xml:space="preserve"> | rel. Marco Aurélio</w:t>
      </w:r>
    </w:p>
    <w:p>
      <w:pPr>
        <w:ind w:left="288"/>
      </w:pPr>
      <w:r>
        <w:rPr>
          <w:color w:val="1E1E1E"/>
          <w:sz w:val="18"/>
        </w:rPr>
        <w:t>Concurso público. Inscrição. Vida pregressa. Contraditório e ampla defesa. O que se contém no inciso LV do art. 5º da CF, a pressupor litígio ou acusação, não tem pertinência à hipótese em que analisado o atendimento de requisitos referentes à inscrição de candidato a concurso público. O levantamento ético-social dispensa o contraditório, não se podendo cogitar quer da existência de litígio, quer de acusação que vise à determinada sanção.</w:t>
      </w:r>
    </w:p>
    <w:p>
      <w:pPr>
        <w:ind w:left="288"/>
      </w:pPr>
      <w:r>
        <w:rPr>
          <w:b/>
          <w:color w:val="003CA0"/>
          <w:sz w:val="16"/>
        </w:rPr>
        <w:t>[RE 156.400, rel. min. Marco Aurélio, j. 5-6-1995, 2ª T, DJ de 15-9-1995.]</w:t>
      </w:r>
    </w:p>
    <w:p>
      <w:pPr>
        <w:ind w:left="288"/>
      </w:pPr>
      <w:r>
        <w:rPr>
          <w:color w:val="8C8C8C"/>
          <w:sz w:val="12"/>
        </w:rPr>
        <w:t>cf-art-37-inc-I</w:t>
      </w:r>
      <w:r>
        <w:rPr>
          <w:color w:val="003CA0"/>
          <w:sz w:val="12"/>
        </w:rPr>
        <w:t xml:space="preserve"> | RE 233.303</w:t>
      </w:r>
      <w:r>
        <w:rPr>
          <w:color w:val="003CA0"/>
          <w:sz w:val="12"/>
        </w:rPr>
        <w:t xml:space="preserve"> | rel. Menezes Direito</w:t>
      </w:r>
    </w:p>
    <w:p>
      <w:pPr>
        <w:ind w:left="288"/>
      </w:pPr>
      <w:r>
        <w:rPr>
          <w:color w:val="1E1E1E"/>
          <w:sz w:val="18"/>
        </w:rPr>
        <w:t>= RE 233.303, rel. min. Menezes Direito, j. 27-5-2008, 2ª T, DJE de 1º-8-2008 Não ofende o princípio da igualdade o regulamento de concurso público que, destinado a preencher cargos de vários órgãos da Justiça Federal, sediados em locais diversos, determina que a classificação se faça por unidade da Federação, ainda que daí resulte que um candidato se possa classificar, em uma delas, com nota inferior ao que, em outra, não alcance a classificação respectiva.</w:t>
      </w:r>
    </w:p>
    <w:p>
      <w:pPr>
        <w:ind w:left="288"/>
      </w:pPr>
      <w:r>
        <w:rPr>
          <w:b/>
          <w:color w:val="003CA0"/>
          <w:sz w:val="16"/>
        </w:rPr>
        <w:t>[RE 146.585, rel. min. Sepúlveda Pertence, j. 18-4-1995, 1ª T, DJ de 15-9-1995.]</w:t>
      </w:r>
    </w:p>
    <w:p>
      <w:pPr>
        <w:ind w:left="288"/>
      </w:pPr>
      <w:r>
        <w:rPr>
          <w:color w:val="8C8C8C"/>
          <w:sz w:val="12"/>
        </w:rPr>
        <w:t>cf-art-37-inc-I</w:t>
      </w:r>
      <w:r>
        <w:rPr>
          <w:color w:val="003CA0"/>
          <w:sz w:val="12"/>
        </w:rPr>
        <w:t xml:space="preserve"> | RMS 23.259</w:t>
      </w:r>
      <w:r>
        <w:rPr>
          <w:color w:val="003CA0"/>
          <w:sz w:val="12"/>
        </w:rPr>
        <w:t xml:space="preserve"> | rel. Gilmar Mendes</w:t>
      </w:r>
    </w:p>
    <w:p>
      <w:pPr>
        <w:ind w:left="288"/>
      </w:pPr>
      <w:r>
        <w:rPr>
          <w:color w:val="1E1E1E"/>
          <w:sz w:val="18"/>
        </w:rPr>
        <w:t>= RMS 23.259, rel. min. Gilmar Mendes, j. 25-3-2003, 2ª T, DJ de 11-4-2003 Recorrente que era titular de cargo em comissão, sem vínculo efetivo com a administração pública direta (ou centralizada) da União Federal. Ato da Presidência do STM consistente na exoneração desse servidor, licenciado para tratamento de saúde, do cargo de assessor de ministro daquela alta corte judiciária. Possibilidade. Natureza jurídica do cargo em comissão. Notas que tipificam a investidura em referido cargo público. Poder discricionário da autoridade competente para exonerar, ad nutum, ocupante de cargo em comissão</w:t>
      </w:r>
    </w:p>
    <w:p>
      <w:pPr>
        <w:ind w:left="288"/>
      </w:pPr>
      <w:r>
        <w:rPr>
          <w:b/>
          <w:color w:val="003CA0"/>
          <w:sz w:val="16"/>
        </w:rPr>
        <w:t>[RMS 21.821, rel. min. Celso de Mello, j. 12-4-1994, 1ª T, DJE de 23-10-2009.]</w:t>
      </w:r>
    </w:p>
    <w:p>
      <w:pPr>
        <w:ind w:left="288"/>
      </w:pPr>
      <w:r>
        <w:rPr>
          <w:color w:val="8C8C8C"/>
          <w:sz w:val="12"/>
        </w:rPr>
        <w:t>cf-art-37-inc-I</w:t>
      </w:r>
      <w:r>
        <w:rPr>
          <w:color w:val="003CA0"/>
          <w:sz w:val="12"/>
        </w:rPr>
        <w:t xml:space="preserve"> | ARE 663.384</w:t>
      </w:r>
      <w:r>
        <w:rPr>
          <w:color w:val="003CA0"/>
          <w:sz w:val="12"/>
        </w:rPr>
        <w:t xml:space="preserve"> | rel. Cármen Lúcia</w:t>
      </w:r>
    </w:p>
    <w:p>
      <w:pPr>
        <w:ind w:left="288"/>
      </w:pPr>
      <w:r>
        <w:rPr>
          <w:color w:val="1E1E1E"/>
          <w:sz w:val="18"/>
        </w:rPr>
        <w:t xml:space="preserve">= ARE 663.384 AgR, rel. min. Cármen Lúcia, j. 25-9-2012, 2ª T, DJE de 11-10-2012 A acessibilidade aos cargos públicos a todos os brasileiros, nos termos da lei e mediante concurso público, é princípio constitucional explícito, desde 1934, art. 168. (...) Pela vigente ordem constitucional, em regra, o acesso aos empregos públicos opera-se mediante concurso público, que pode não ser de igual conteúdo, mas há de ser público. As autarquias, empresas públicas ou sociedades de economia mista estão sujeitas à regra, que envolve a administração direta, indireta ou fundacional, de qualquer dos poderes </w:t>
      </w:r>
    </w:p>
    <w:p>
      <w:pPr>
        <w:ind w:left="288"/>
      </w:pPr>
      <w:r>
        <w:rPr>
          <w:b/>
          <w:color w:val="003CA0"/>
          <w:sz w:val="16"/>
        </w:rPr>
        <w:t>[MS 21.322, rel. min. Paulo Brossard, j. 3-12-1992, P, DJ de 23-4-1993.]</w:t>
      </w:r>
    </w:p>
    <w:p>
      <w:pPr>
        <w:ind w:left="288"/>
      </w:pPr>
      <w:r>
        <w:rPr>
          <w:color w:val="8C8C8C"/>
          <w:sz w:val="12"/>
        </w:rPr>
        <w:t>cf-art-37-inc-I</w:t>
      </w:r>
      <w:r>
        <w:rPr>
          <w:color w:val="003CA0"/>
          <w:sz w:val="12"/>
        </w:rPr>
        <w:t xml:space="preserve"> | RE 558.833</w:t>
      </w:r>
      <w:r>
        <w:rPr>
          <w:color w:val="003CA0"/>
          <w:sz w:val="12"/>
        </w:rPr>
        <w:t xml:space="preserve"> | rel. Ellen Gracie</w:t>
      </w:r>
    </w:p>
    <w:p>
      <w:pPr>
        <w:ind w:left="288"/>
      </w:pPr>
      <w:r>
        <w:rPr>
          <w:color w:val="1E1E1E"/>
          <w:sz w:val="18"/>
        </w:rPr>
        <w:t>= RE 558.833 AgR, rel. min. Ellen Gracie, j. 8-9-2009, 2ª T, DJE de 25-9-2009 A exigência de caráter geral, de aprovação em concurso, não pode ser afastada nem mesmo pela reserva de "percentual dos cargos e empregos públicos para as pessoas portadoras de deficiência" (CF, art. 37, II e VIII).</w:t>
      </w:r>
    </w:p>
    <w:p>
      <w:pPr>
        <w:ind w:left="288"/>
      </w:pPr>
      <w:r>
        <w:rPr>
          <w:b/>
          <w:color w:val="003CA0"/>
          <w:sz w:val="16"/>
        </w:rPr>
        <w:t>[MI 153 AgR, rel. min. Paulo Brossard, j. 14-3-1990, P, DJ de 30-3-1990.]</w:t>
      </w:r>
    </w:p>
    <w:p>
      <w:pPr>
        <w:ind w:left="288"/>
      </w:pPr>
      <w:r>
        <w:rPr>
          <w:color w:val="8C8C8C"/>
          <w:sz w:val="12"/>
        </w:rPr>
        <w:t>cf-art-37-inc-III</w:t>
      </w:r>
      <w:r>
        <w:rPr>
          <w:color w:val="003CA0"/>
          <w:sz w:val="12"/>
        </w:rPr>
        <w:t xml:space="preserve"> | MS 30.891</w:t>
      </w:r>
      <w:r>
        <w:rPr>
          <w:color w:val="003CA0"/>
          <w:sz w:val="12"/>
        </w:rPr>
        <w:t xml:space="preserve"> | rel. Gilmar Mendes</w:t>
      </w:r>
    </w:p>
    <w:p>
      <w:pPr>
        <w:ind w:left="288"/>
      </w:pPr>
      <w:r>
        <w:rPr>
          <w:color w:val="1E1E1E"/>
          <w:sz w:val="18"/>
        </w:rPr>
        <w:t xml:space="preserve">Concurso público. Prazo de validade. Suspensão do curso do prazo de validade do certame por ato administrativo do TJMT [Tribunal de Justiça de Mato Grosso]. Retomada do curso do prazo após mais de dois anos, com a consequente nomeação dos candidatos. Decisão do CNJ que declarou a nulidade do ato do TJMT e determinou a exoneração dos servidores, por terem sido nomeados em período posterior àquele previsto no art. 37, III, da CF. Situação excepcional. Exercício das funções públicas por mais de dez anos. Presunção de legitimidade dos atos da administração pública. Demora na tramitação dos feitos </w:t>
      </w:r>
    </w:p>
    <w:p>
      <w:pPr>
        <w:ind w:left="288"/>
      </w:pPr>
      <w:r>
        <w:rPr>
          <w:b/>
          <w:color w:val="003CA0"/>
          <w:sz w:val="16"/>
        </w:rPr>
        <w:t>[Rcl 1.728 CS, rel. min. Luiz Fux, j. 24-11-2015, 1ª T, DJE de 18-4-2016.]</w:t>
      </w:r>
    </w:p>
    <w:p>
      <w:pPr>
        <w:ind w:left="288"/>
      </w:pPr>
      <w:r>
        <w:rPr>
          <w:color w:val="8C8C8C"/>
          <w:sz w:val="12"/>
        </w:rPr>
        <w:t>cf-art-37-inc-III</w:t>
      </w:r>
      <w:r>
        <w:rPr>
          <w:color w:val="003CA0"/>
          <w:sz w:val="12"/>
        </w:rPr>
        <w:t xml:space="preserve"> | RMS 25.310</w:t>
      </w:r>
      <w:r>
        <w:rPr>
          <w:color w:val="003CA0"/>
          <w:sz w:val="12"/>
        </w:rPr>
        <w:t xml:space="preserve"> | rel. Cezar Peluso</w:t>
      </w:r>
    </w:p>
    <w:p>
      <w:pPr>
        <w:ind w:left="288"/>
      </w:pPr>
      <w:r>
        <w:rPr>
          <w:color w:val="1E1E1E"/>
          <w:sz w:val="18"/>
        </w:rPr>
        <w:t>Vide RMS 25.310 AgR, rel. min. Cezar Peluso, j. 3-12-2008, P, DJE de 6-2-2009 Expirado o prazo de validade do concurso para ingresso na atividade notarial e de registro, não é mais possível a outorga de delegação a candidato aprovado no certame.</w:t>
      </w:r>
    </w:p>
    <w:p>
      <w:pPr>
        <w:ind w:left="288"/>
      </w:pPr>
      <w:r>
        <w:rPr>
          <w:b/>
          <w:color w:val="003CA0"/>
          <w:sz w:val="16"/>
        </w:rPr>
        <w:t>[MS 28.044 ED, rel. min. Ricardo Lewandowski, j. 27-10-2011, P, DJE de 12-12-2011.]</w:t>
      </w:r>
    </w:p>
    <w:p>
      <w:pPr>
        <w:ind w:left="288"/>
      </w:pPr>
      <w:r>
        <w:rPr>
          <w:color w:val="8C8C8C"/>
          <w:sz w:val="12"/>
        </w:rPr>
        <w:t>cf-art-37-inc-III</w:t>
      </w:r>
      <w:r>
        <w:rPr>
          <w:color w:val="003CA0"/>
          <w:sz w:val="12"/>
        </w:rPr>
        <w:t xml:space="preserve"> | RE 581.113</w:t>
      </w:r>
      <w:r>
        <w:rPr>
          <w:color w:val="003CA0"/>
          <w:sz w:val="12"/>
        </w:rPr>
        <w:t xml:space="preserve"> | rel. Dias Toffoli</w:t>
      </w:r>
    </w:p>
    <w:p>
      <w:pPr>
        <w:ind w:left="288"/>
      </w:pPr>
      <w:r>
        <w:rPr>
          <w:color w:val="1E1E1E"/>
          <w:sz w:val="18"/>
        </w:rPr>
        <w:t>Concurso público. Criação, por lei federal, de novos cargos durante o prazo de validade do certame. Posterior regulamentação editada pelo TSE a determinar o aproveitamento, para o preenchimento daqueles cargos, de aprovados em concurso que estivesse em vigor à data da publicação da lei. A administração, é certo, não está obrigada a prorrogar o prazo de validade dos concursos públicos; porém, se novos cargos vêm a ser criados, durante tal prazo de validade, mostra-se de todo recomendável que se proceda a essa prorrogação. Na hipótese de haver novas vagas, prestes a serem preenchidas, e razoável</w:t>
      </w:r>
    </w:p>
    <w:p>
      <w:pPr>
        <w:ind w:left="288"/>
      </w:pPr>
      <w:r>
        <w:rPr>
          <w:b/>
          <w:color w:val="003CA0"/>
          <w:sz w:val="16"/>
        </w:rPr>
        <w:t>[RE 581.113, rel. min. Dias Toffoli, j. 5-4-2011, 2ª T, DJE de 31-5-2011.]</w:t>
      </w:r>
    </w:p>
    <w:p>
      <w:pPr>
        <w:ind w:left="288"/>
      </w:pPr>
      <w:r>
        <w:rPr>
          <w:color w:val="8C8C8C"/>
          <w:sz w:val="12"/>
        </w:rPr>
        <w:t>cf-art-37-inc-III</w:t>
      </w:r>
      <w:r>
        <w:rPr>
          <w:color w:val="003CA0"/>
          <w:sz w:val="12"/>
        </w:rPr>
        <w:t xml:space="preserve"> | RE 779.117</w:t>
      </w:r>
      <w:r>
        <w:rPr>
          <w:color w:val="003CA0"/>
          <w:sz w:val="12"/>
        </w:rPr>
        <w:t xml:space="preserve"> | rel. Cármen Lúcia</w:t>
      </w:r>
    </w:p>
    <w:p>
      <w:pPr>
        <w:ind w:left="288"/>
      </w:pPr>
      <w:r>
        <w:rPr>
          <w:color w:val="1E1E1E"/>
          <w:sz w:val="18"/>
        </w:rPr>
        <w:t>= RE 779.117 AgR, rel. min. Cármen Lúcia, j. 4-2-2014, 2ª T, DJE de 14-2-2014 Serviço público. Cargo público. Concurso. Prazo de validade. Expiração. Pretensão de convocação para sua segunda etapa. Improcedência. Existência de cadastro de reserva. Irrelevância. Aplicação do acórdão do RMS 23.696. Precedente do Plenário que superou jurisprudência anterior, em especial o julgamento do RMS 23.040 e do RMS 23.567. Agravo improvido. Expirado o prazo de validade de concurso público, não procede pretensão de convocação para sua segunda etapa, sendo irrelevante a existência de cadastro de reserva, que</w:t>
      </w:r>
    </w:p>
    <w:p>
      <w:pPr>
        <w:ind w:left="288"/>
      </w:pPr>
      <w:r>
        <w:rPr>
          <w:b/>
          <w:color w:val="003CA0"/>
          <w:sz w:val="16"/>
        </w:rPr>
        <w:t>[RMS 25.310 AgR, rel. min. Cezar Peluso, j. 3-12-2008, P, DJE de 6-2-2009.]</w:t>
      </w:r>
    </w:p>
    <w:p>
      <w:pPr>
        <w:ind w:left="288"/>
      </w:pPr>
      <w:r>
        <w:rPr>
          <w:color w:val="8C8C8C"/>
          <w:sz w:val="12"/>
        </w:rPr>
        <w:t>cf-art-37-inc-III</w:t>
      </w:r>
      <w:r>
        <w:rPr>
          <w:color w:val="003CA0"/>
          <w:sz w:val="12"/>
        </w:rPr>
        <w:t xml:space="preserve"> | RCL 1.728</w:t>
      </w:r>
      <w:r>
        <w:rPr>
          <w:color w:val="003CA0"/>
          <w:sz w:val="12"/>
        </w:rPr>
        <w:t xml:space="preserve"> | rel. Luiz Fux</w:t>
      </w:r>
    </w:p>
    <w:p>
      <w:pPr>
        <w:ind w:left="288"/>
      </w:pPr>
      <w:r>
        <w:rPr>
          <w:color w:val="1E1E1E"/>
          <w:sz w:val="18"/>
        </w:rPr>
        <w:t>Vide Rcl 1.728 CS, rel. min. Luiz Fux, j. 24-11-2015, 1ª T, DJE de 18-4-2016 Ato do poder público que, após ultrapassado o primeiro biênio de validade de concurso público, institui novo período de dois anos de eficácia do certame ofende o art. 37, III, da CF/1988. Nulidade das nomeações realizadas com fundamento em tal ato, que pode ser declarada pela administração sem a necessidade de prévio processo administrativo, em homenagem à Súmula 473/STF.</w:t>
      </w:r>
    </w:p>
    <w:p>
      <w:pPr>
        <w:ind w:left="288"/>
      </w:pPr>
      <w:r>
        <w:rPr>
          <w:b/>
          <w:color w:val="003CA0"/>
          <w:sz w:val="16"/>
        </w:rPr>
        <w:t>[RE 352.258, rel. min. Ellen Gracie, j. 27-4-2004, 2ª T, DJ de 14-5-2004.]</w:t>
      </w:r>
    </w:p>
    <w:p>
      <w:pPr>
        <w:ind w:left="288"/>
      </w:pPr>
      <w:r>
        <w:rPr>
          <w:color w:val="8C8C8C"/>
          <w:sz w:val="12"/>
        </w:rPr>
        <w:t>cf-art-37-inc-III</w:t>
      </w:r>
      <w:r>
        <w:rPr>
          <w:color w:val="003CA0"/>
          <w:sz w:val="12"/>
        </w:rPr>
        <w:t xml:space="preserve"> | RMS 23.793</w:t>
      </w:r>
      <w:r>
        <w:rPr>
          <w:color w:val="003CA0"/>
          <w:sz w:val="12"/>
        </w:rPr>
        <w:t xml:space="preserve"> | rel. Moreira Alves</w:t>
      </w:r>
    </w:p>
    <w:p>
      <w:pPr>
        <w:ind w:left="288"/>
      </w:pPr>
      <w:r>
        <w:rPr>
          <w:color w:val="1E1E1E"/>
          <w:sz w:val="18"/>
        </w:rPr>
        <w:t>Exaurido o prazo de validade do concurso, e não tendo ele sido prorrogado, os incisos III e IV do art. 37 da Constituição e o princípio consagrado na Súmula 15 desta Corte não impedem que a administração abra posteriormente outros concursos para o preenchimento de vagas dessa natureza, sem ter que convocar os candidatos daquele concurso que não obtiveram classificação nele. Improcedência da aplicação ao caso da denominada "teoria do fato consumado".</w:t>
      </w:r>
    </w:p>
    <w:p>
      <w:pPr>
        <w:ind w:left="288"/>
      </w:pPr>
      <w:r>
        <w:rPr>
          <w:b/>
          <w:color w:val="003CA0"/>
          <w:sz w:val="16"/>
        </w:rPr>
        <w:t>[RMS 23.793, rel. min. Moreira Alves, j. 6-11-2001, 1ª T, DJ de 14-12-2001.]</w:t>
      </w:r>
    </w:p>
    <w:p>
      <w:pPr>
        <w:ind w:left="288"/>
      </w:pPr>
      <w:r>
        <w:rPr>
          <w:color w:val="8C8C8C"/>
          <w:sz w:val="12"/>
        </w:rPr>
        <w:t>cf-art-37-inc-III</w:t>
      </w:r>
      <w:r>
        <w:rPr>
          <w:color w:val="003CA0"/>
          <w:sz w:val="12"/>
        </w:rPr>
        <w:t xml:space="preserve"> | RE 192.568</w:t>
      </w:r>
      <w:r>
        <w:rPr>
          <w:color w:val="003CA0"/>
          <w:sz w:val="12"/>
        </w:rPr>
        <w:t xml:space="preserve"> | rel. Marco Aurélio</w:t>
      </w:r>
    </w:p>
    <w:p>
      <w:pPr>
        <w:ind w:left="288"/>
      </w:pPr>
      <w:r>
        <w:rPr>
          <w:color w:val="1E1E1E"/>
          <w:sz w:val="18"/>
        </w:rPr>
        <w:t>O princípio da razoabilidade é conducente a presumir-se, como objeto do concurso, o preenchimento das vagas existentes. Exsurge configurador de desvio de poder ato da administração pública que implique nomeação parcial de candidatos, indeferimento da prorrogação do prazo do concurso sem justificativa socialmente aceitável e publicação de novo edital com idêntica finalidade.</w:t>
      </w:r>
    </w:p>
    <w:p>
      <w:pPr>
        <w:ind w:left="288"/>
      </w:pPr>
      <w:r>
        <w:rPr>
          <w:b/>
          <w:color w:val="003CA0"/>
          <w:sz w:val="16"/>
        </w:rPr>
        <w:t>[RE 192.568, rel. min. Marco Aurélio, j. 23-4-1996, 2ª T, DJ de 13-9-1996.]</w:t>
      </w:r>
    </w:p>
    <w:p>
      <w:pPr>
        <w:ind w:left="288"/>
      </w:pPr>
      <w:r>
        <w:rPr>
          <w:color w:val="8C8C8C"/>
          <w:sz w:val="12"/>
        </w:rPr>
        <w:t>cf-art-37-inc-III</w:t>
      </w:r>
      <w:r>
        <w:rPr>
          <w:color w:val="003CA0"/>
          <w:sz w:val="12"/>
        </w:rPr>
        <w:t xml:space="preserve"> | RE 419.013</w:t>
      </w:r>
      <w:r>
        <w:rPr>
          <w:color w:val="003CA0"/>
          <w:sz w:val="12"/>
        </w:rPr>
        <w:t xml:space="preserve"> | rel. Carlos Velloso</w:t>
      </w:r>
    </w:p>
    <w:p>
      <w:pPr>
        <w:ind w:left="288"/>
      </w:pPr>
      <w:r>
        <w:rPr>
          <w:color w:val="1E1E1E"/>
          <w:sz w:val="18"/>
        </w:rPr>
        <w:t>= RE 419.013 AgR, rel. min. Carlos Velloso, j. 1º-6-2004, 2ª T, DJ de 25-6-2004 IV - durante o prazo improrrogável previsto no edital de convocação, aquele aprovado em concurso público de provas ou de provas e títulos será convocado com prioridade sobre novos concursados para assumir cargo ou emprego, na carreira; Texto normativo que assegura o direito de nomeação, dentro do prazo de 180 dias, para todo candidato que lograr aprovação em concurso público de provas, ou de provas de títulos, dentro do número de vagas ofertadas pela administração pública estadual e municipal. O direito do candidat</w:t>
      </w:r>
    </w:p>
    <w:p>
      <w:pPr>
        <w:ind w:left="144"/>
      </w:pPr>
      <w:r>
        <w:rPr>
          <w:b/>
          <w:color w:val="B45A00"/>
          <w:sz w:val="16"/>
        </w:rPr>
        <w:t>REPERCUSSAO GERAL</w:t>
      </w:r>
    </w:p>
    <w:p>
      <w:pPr>
        <w:ind w:left="288"/>
      </w:pPr>
      <w:r>
        <w:rPr>
          <w:color w:val="8C8C8C"/>
          <w:sz w:val="12"/>
        </w:rPr>
        <w:t>cf-art-37-inc-III</w:t>
      </w:r>
      <w:r>
        <w:rPr>
          <w:color w:val="003CA0"/>
          <w:sz w:val="12"/>
        </w:rPr>
        <w:t xml:space="preserve"> | RE 766.304</w:t>
      </w:r>
      <w:r>
        <w:rPr>
          <w:color w:val="003CA0"/>
          <w:sz w:val="12"/>
        </w:rPr>
        <w:t xml:space="preserve"> | rel. Marco Aurélio</w:t>
      </w:r>
    </w:p>
    <w:p>
      <w:pPr>
        <w:ind w:left="288"/>
      </w:pPr>
      <w:r>
        <w:rPr>
          <w:color w:val="1E1E1E"/>
          <w:sz w:val="18"/>
        </w:rPr>
        <w:t>A ação judicial visando ao reconhecimento do direito à nomeação de candidato aprovado fora das vagas previstas no edital (cadastro de reserva) deve ter por causa de pedir preterição ocorrida na vigência do certame.</w:t>
        <w:br/>
        <w:t>[RE 766.304, rel. min. Marco Aurélio, red. do ac. min. Edson Fachin, j. 02.05.2024, P, DJE de 05.08.2024.] Dentro do prazo de validade do concurso, a administração poderá escolher o momento no qual se realizará a nomeação, mas não poderá dispor sobre a própria nomeação, a qual, de acordo com o edital, passa a constituir um direito do concursando aprovado e, dessa forma, um dever imp</w:t>
      </w:r>
    </w:p>
    <w:p>
      <w:pPr>
        <w:ind w:left="288"/>
      </w:pPr>
      <w:r>
        <w:rPr>
          <w:b/>
          <w:color w:val="003CA0"/>
          <w:sz w:val="16"/>
        </w:rPr>
        <w:t>[Rcl 57.848, rel. min. Luiz Fux, j. 23.09.2025, P, Informativo STF 1.192.]</w:t>
      </w:r>
    </w:p>
    <w:p>
      <w:pPr>
        <w:ind w:left="144"/>
      </w:pPr>
      <w:r>
        <w:rPr>
          <w:b/>
          <w:color w:val="B45A00"/>
          <w:sz w:val="16"/>
        </w:rPr>
        <w:t>JULGADOS CORRELATOS</w:t>
      </w:r>
    </w:p>
    <w:p>
      <w:pPr>
        <w:ind w:left="288"/>
      </w:pPr>
      <w:r>
        <w:rPr>
          <w:color w:val="8C8C8C"/>
          <w:sz w:val="12"/>
        </w:rPr>
        <w:t>cf-art-37-inc-III</w:t>
      </w:r>
      <w:r>
        <w:rPr>
          <w:color w:val="003CA0"/>
          <w:sz w:val="12"/>
        </w:rPr>
        <w:t xml:space="preserve"> | RE 733.596</w:t>
      </w:r>
      <w:r>
        <w:rPr>
          <w:color w:val="003CA0"/>
          <w:sz w:val="12"/>
        </w:rPr>
        <w:t xml:space="preserve"> | rel. Luiz Fux</w:t>
      </w:r>
    </w:p>
    <w:p>
      <w:pPr>
        <w:ind w:left="288"/>
      </w:pPr>
      <w:r>
        <w:rPr>
          <w:color w:val="1E1E1E"/>
          <w:sz w:val="18"/>
        </w:rPr>
        <w:t>A contratação precária para o exercício de atribuições de cargo efetivo durante o prazo de validade do concurso público respectivo traduz preterição dos candidatos aprovados e confere a esses últimos direito subjetivo à nomeação.</w:t>
      </w:r>
    </w:p>
    <w:p>
      <w:pPr>
        <w:ind w:left="288"/>
      </w:pPr>
      <w:r>
        <w:rPr>
          <w:b/>
          <w:color w:val="003CA0"/>
          <w:sz w:val="16"/>
        </w:rPr>
        <w:t>[RE 733.596 AgR, rel. min. Luiz Fux, j. 11-2-2014, 1ª T, DJE de 26-2-2014.]</w:t>
      </w:r>
    </w:p>
    <w:p>
      <w:pPr>
        <w:ind w:left="288"/>
      </w:pPr>
      <w:r>
        <w:rPr>
          <w:color w:val="8C8C8C"/>
          <w:sz w:val="12"/>
        </w:rPr>
        <w:t>cf-art-37-inc-III</w:t>
      </w:r>
      <w:r>
        <w:rPr>
          <w:color w:val="003CA0"/>
          <w:sz w:val="12"/>
        </w:rPr>
        <w:t xml:space="preserve"> | AI 788.628</w:t>
      </w:r>
      <w:r>
        <w:rPr>
          <w:color w:val="003CA0"/>
          <w:sz w:val="12"/>
        </w:rPr>
        <w:t xml:space="preserve"> | rel. Ricardo Lewandowski</w:t>
      </w:r>
    </w:p>
    <w:p>
      <w:pPr>
        <w:ind w:left="288"/>
      </w:pPr>
      <w:r>
        <w:rPr>
          <w:color w:val="1E1E1E"/>
          <w:sz w:val="18"/>
        </w:rPr>
        <w:t>= AI 788.628 AgR, rel. min. Ricardo Lewandowski, j. 16-10-2012, 2ª T, DJE de 8-11-2012 Concurso público. Candidata aprovada, inicialmente, fora das vagas do edital. Desistência dos candidatos mais bem classificados. Direito a ser nomeada para ocupar a única vaga prevista no edital de convocação. Precedentes. O Tribunal de origem assentou que, com a desistência dos dois candidatos mais bem classificados para o preenchimento da única vaga prevista no instrumento convocatório, a ora agravada, classificada inicialmente em 3º lugar, tornava-se a primeira, na ordem classificatória, tendo, assim, ass</w:t>
      </w:r>
    </w:p>
    <w:p>
      <w:pPr>
        <w:ind w:left="288"/>
      </w:pPr>
      <w:r>
        <w:rPr>
          <w:b/>
          <w:color w:val="003CA0"/>
          <w:sz w:val="16"/>
        </w:rPr>
        <w:t>[ADI 6.887, rel. min. Edson Fachin, red. do ac. min. Alexandre de Moraes, j. 22.05.2025, P, DJE de 22.08.2025.]</w:t>
      </w:r>
    </w:p>
    <w:p>
      <w:pPr>
        <w:ind w:left="288"/>
      </w:pPr>
      <w:r>
        <w:rPr>
          <w:color w:val="8C8C8C"/>
          <w:sz w:val="12"/>
        </w:rPr>
        <w:t>cf-art-37-inc-III</w:t>
      </w:r>
      <w:r>
        <w:rPr>
          <w:color w:val="003CA0"/>
          <w:sz w:val="12"/>
        </w:rPr>
        <w:t xml:space="preserve"> | ADI 4.055</w:t>
      </w:r>
      <w:r>
        <w:rPr>
          <w:color w:val="003CA0"/>
          <w:sz w:val="12"/>
        </w:rPr>
        <w:t xml:space="preserve"> | rel. Nunes Marques</w:t>
      </w:r>
    </w:p>
    <w:p>
      <w:pPr>
        <w:ind w:left="288"/>
      </w:pPr>
      <w:r>
        <w:rPr>
          <w:color w:val="1E1E1E"/>
          <w:sz w:val="18"/>
        </w:rPr>
        <w:t>O parâmetro a ser observado na criação de cargos comissionados diz com a proporcionalidade entre o seu quantitativo e o total de cargos efetivos no ente da federação, não em cada órgão isoladamente. (Tema de Repercussão Geral nº 1010) O legislador constituinte entendeu por não estabelecer, no texto constitucional, qualquer percentual de observância obrigatória para o preenchimento dos cargos em comissão por servidores de carreira, tendo se limitado, na exata redação do inciso V do art. 37, a dispor sobre a necessidade de que os “percentuais mínimos” sejam “previstos em lei”. A liberdade de con</w:t>
      </w:r>
    </w:p>
    <w:p>
      <w:pPr>
        <w:ind w:left="288"/>
      </w:pPr>
      <w:r>
        <w:rPr>
          <w:b/>
          <w:color w:val="003CA0"/>
          <w:sz w:val="16"/>
        </w:rPr>
        <w:t>[ADI 4.055, rel. min. Nunes Marques, red. do ac. Flávio Dino, j. 17.03.2025, P, DJE de 02.04.2025.]</w:t>
      </w:r>
    </w:p>
    <w:p>
      <w:pPr>
        <w:ind w:left="288"/>
      </w:pPr>
      <w:r>
        <w:rPr>
          <w:color w:val="8C8C8C"/>
          <w:sz w:val="12"/>
        </w:rPr>
        <w:t>cf-art-37-inc-III</w:t>
      </w:r>
      <w:r>
        <w:rPr>
          <w:color w:val="003CA0"/>
          <w:sz w:val="12"/>
        </w:rPr>
        <w:t xml:space="preserve"> | ADI 3.228</w:t>
      </w:r>
      <w:r>
        <w:rPr>
          <w:color w:val="003CA0"/>
          <w:sz w:val="12"/>
        </w:rPr>
        <w:t xml:space="preserve"> | rel. Edson Fachin</w:t>
      </w:r>
    </w:p>
    <w:p>
      <w:pPr>
        <w:ind w:left="288"/>
      </w:pPr>
      <w:r>
        <w:rPr>
          <w:color w:val="1E1E1E"/>
          <w:sz w:val="18"/>
        </w:rPr>
        <w:t>O regime de subsídio não afasta a percepção de gratificações pelo exercício de cargos em comissão ou funções de confiança por membro do Ministério Público, desde que observado o teto remuneratório constitucional, sendo a vedada a acumulação e autorizado o exercício da opção.</w:t>
      </w:r>
    </w:p>
    <w:p>
      <w:pPr>
        <w:ind w:left="288"/>
      </w:pPr>
      <w:r>
        <w:rPr>
          <w:b/>
          <w:color w:val="003CA0"/>
          <w:sz w:val="16"/>
        </w:rPr>
        <w:t>[ADI 3.228, rel. min. Edson Fachin, red. do ac. min. Luís Roberto Barroso, j. 19.02.2025, P, DJE de 10.04.2025.]</w:t>
      </w:r>
    </w:p>
    <w:p>
      <w:pPr>
        <w:ind w:left="288"/>
      </w:pPr>
      <w:r>
        <w:rPr>
          <w:color w:val="8C8C8C"/>
          <w:sz w:val="12"/>
        </w:rPr>
        <w:t>cf-art-37-inc-III</w:t>
      </w:r>
      <w:r>
        <w:rPr>
          <w:color w:val="003CA0"/>
          <w:sz w:val="12"/>
        </w:rPr>
        <w:t xml:space="preserve"> | ADI 6.664</w:t>
      </w:r>
      <w:r>
        <w:rPr>
          <w:color w:val="003CA0"/>
          <w:sz w:val="12"/>
        </w:rPr>
        <w:t xml:space="preserve"> | rel. Nunes Marques</w:t>
      </w:r>
    </w:p>
    <w:p>
      <w:pPr>
        <w:ind w:left="288"/>
      </w:pPr>
      <w:r>
        <w:rPr>
          <w:color w:val="1E1E1E"/>
          <w:sz w:val="18"/>
        </w:rPr>
        <w:t>A reserva de funções gratificadas e cargos de direção superior a servidores de carreira estáveis configura restrição desproporcional, visto que o art. 37, V, da Carta da República é categórico em prever a ocupação por todos os servidores de carreira, em casos, condições e percentuais mínimos previstos em lei.</w:t>
      </w:r>
    </w:p>
    <w:p>
      <w:pPr>
        <w:ind w:left="288"/>
      </w:pPr>
      <w:r>
        <w:rPr>
          <w:b/>
          <w:color w:val="003CA0"/>
          <w:sz w:val="16"/>
        </w:rPr>
        <w:t>[ADI 6.664, rel. min. Nunes Marques, j. 26.11.2024, P, DJE de 18.12.2024.]</w:t>
      </w:r>
    </w:p>
    <w:p>
      <w:pPr>
        <w:ind w:left="144"/>
      </w:pPr>
      <w:r>
        <w:rPr>
          <w:b/>
          <w:color w:val="B45A00"/>
          <w:sz w:val="16"/>
        </w:rPr>
        <w:t>CONTROLE CONCENTRADO</w:t>
      </w:r>
    </w:p>
    <w:p>
      <w:pPr>
        <w:ind w:left="288"/>
      </w:pPr>
      <w:r>
        <w:rPr>
          <w:color w:val="8C8C8C"/>
          <w:sz w:val="12"/>
        </w:rPr>
        <w:t>cf-art-37-inc-III</w:t>
      </w:r>
      <w:r>
        <w:rPr>
          <w:color w:val="003CA0"/>
          <w:sz w:val="12"/>
        </w:rPr>
        <w:t xml:space="preserve"> | ADI 6.180</w:t>
      </w:r>
      <w:r>
        <w:rPr>
          <w:color w:val="003CA0"/>
          <w:sz w:val="12"/>
        </w:rPr>
        <w:t xml:space="preserve"> | rel. Dias Toffoli</w:t>
      </w:r>
    </w:p>
    <w:p>
      <w:pPr>
        <w:ind w:left="288"/>
      </w:pPr>
      <w:r>
        <w:rPr>
          <w:color w:val="1E1E1E"/>
          <w:sz w:val="18"/>
        </w:rPr>
        <w:t>Há autorização constitucional para que o chefe do Executivo disponha, em certas situações, mediante decreto, sobre organização e funcionamento da Administração Pública, desde que observadas as condições previstas no art. 84, inciso VI, alíneas a e b, da Constituição. Todavia, para fins de mera reorganização interna da Administração Pública, não é cabível a transformação, mediante decreto ou outro ato normativo infralegal, de funções de confiança em cargos em comissão e vice-versa, uma vez que tais postos funcionais possuem naturezas e formas de provimento distintas, por expressa disposição con</w:t>
      </w:r>
    </w:p>
    <w:p>
      <w:pPr>
        <w:ind w:left="288"/>
      </w:pPr>
      <w:r>
        <w:rPr>
          <w:b/>
          <w:color w:val="003CA0"/>
          <w:sz w:val="16"/>
        </w:rPr>
        <w:t>[ADI 4.877, rel. min. Marco Aurélio, j. 23-11-2020, P, DJE de 11-2-2021.]</w:t>
      </w:r>
    </w:p>
    <w:p>
      <w:pPr>
        <w:ind w:left="288"/>
      </w:pPr>
      <w:r>
        <w:rPr>
          <w:color w:val="8C8C8C"/>
          <w:sz w:val="12"/>
        </w:rPr>
        <w:t>cf-art-37-inc-III</w:t>
      </w:r>
      <w:r>
        <w:rPr>
          <w:color w:val="003CA0"/>
          <w:sz w:val="12"/>
        </w:rPr>
        <w:t xml:space="preserve"> | ADI 4.579</w:t>
      </w:r>
      <w:r>
        <w:rPr>
          <w:color w:val="003CA0"/>
          <w:sz w:val="12"/>
        </w:rPr>
        <w:t xml:space="preserve"> | rel. Luiz Fux</w:t>
      </w:r>
    </w:p>
    <w:p>
      <w:pPr>
        <w:ind w:left="288"/>
      </w:pPr>
      <w:r>
        <w:rPr>
          <w:color w:val="1E1E1E"/>
          <w:sz w:val="18"/>
        </w:rPr>
        <w:t>O artigo 110 da Lei Complementar 69/1990 do Estado do Rio de Janeiro, com a redação dada pelo artigo 4º da Lei Complementar estadual 135/2009, não viola os incisos II e V do artigo 37 da Constituição Federal ao dispor que a Corregedoria Tributária de Controle Externo será composta por três membros – um Fiscal de Rendas, ativo ou aposentado, um Procurador do Estado, ativo ou aposentado, e um representante da Ordem dos Advogados do Brasil – Seção RJ – a serem escolhidos pelo Governador do Estado. Isso porque o cargo de Corregedor Tributário possui atribuições de assessoria superior, admitindo pr</w:t>
      </w:r>
    </w:p>
    <w:p>
      <w:pPr>
        <w:ind w:left="288"/>
      </w:pPr>
      <w:r>
        <w:rPr>
          <w:b/>
          <w:color w:val="003CA0"/>
          <w:sz w:val="16"/>
        </w:rPr>
        <w:t>[ADI 4.579, rel. min. Luiz Fux, j. 13-2-2020, P, DJE de 28-4-2020.]</w:t>
      </w:r>
    </w:p>
    <w:p>
      <w:pPr>
        <w:ind w:left="288"/>
      </w:pPr>
      <w:r>
        <w:rPr>
          <w:color w:val="8C8C8C"/>
          <w:sz w:val="12"/>
        </w:rPr>
        <w:t>cf-art-37-inc-III</w:t>
      </w:r>
      <w:r>
        <w:rPr>
          <w:color w:val="003CA0"/>
          <w:sz w:val="12"/>
        </w:rPr>
        <w:t xml:space="preserve"> | ADI 3.174</w:t>
      </w:r>
      <w:r>
        <w:rPr>
          <w:color w:val="003CA0"/>
          <w:sz w:val="12"/>
        </w:rPr>
        <w:t xml:space="preserve"> | rel. Roberto Barroso</w:t>
      </w:r>
    </w:p>
    <w:p>
      <w:pPr>
        <w:ind w:left="288"/>
      </w:pPr>
      <w:r>
        <w:rPr>
          <w:color w:val="1E1E1E"/>
          <w:sz w:val="18"/>
        </w:rPr>
        <w:t>A jurisprudência desta Corte é firme no sentido de que só podem ser criados cargos em comissão quando suas atribuições exijam um vínculo de confiança entre seus ocupantes e aqueles que os nomeiam. (...) O cargo em comissão de Auxiliar de Juiz (...) é típica função de assessoramento, com a finalidade de auxiliar o exercício da atividade jurisdicional, por meio da elaboração de minutas de decisões e pesquisa de doutrina e de jurisprudência. Exige, portanto, relação de confiança entre o ocupante do cargo e o juiz que o nomeia, em consonância com o art. 37, V, da Constituição.</w:t>
      </w:r>
    </w:p>
    <w:p>
      <w:pPr>
        <w:ind w:left="288"/>
      </w:pPr>
      <w:r>
        <w:rPr>
          <w:b/>
          <w:color w:val="003CA0"/>
          <w:sz w:val="16"/>
        </w:rPr>
        <w:t>[ADI 3.174, rel. min. Roberto Barroso, j. 23-8-2019, P, DJE de 6-9-2019.]</w:t>
      </w:r>
    </w:p>
    <w:p>
      <w:pPr>
        <w:ind w:left="288"/>
      </w:pPr>
      <w:r>
        <w:rPr>
          <w:color w:val="8C8C8C"/>
          <w:sz w:val="12"/>
        </w:rPr>
        <w:t>cf-art-37-inc-III</w:t>
      </w:r>
      <w:r>
        <w:rPr>
          <w:color w:val="003CA0"/>
          <w:sz w:val="12"/>
        </w:rPr>
        <w:t xml:space="preserve"> | ADI 3.745</w:t>
      </w:r>
      <w:r>
        <w:rPr>
          <w:color w:val="003CA0"/>
          <w:sz w:val="12"/>
        </w:rPr>
        <w:t xml:space="preserve"> | rel. Dias Toffoli</w:t>
      </w:r>
    </w:p>
    <w:p>
      <w:pPr>
        <w:ind w:left="288"/>
      </w:pPr>
      <w:r>
        <w:rPr>
          <w:color w:val="1E1E1E"/>
          <w:sz w:val="18"/>
        </w:rPr>
        <w:t>Parágrafo único do art. 1º da Lei 13.145/1997 do Estado de Goiás. Criação de exceções ao óbice da prática de atos de nepotismo. Vício material. Ofensa aos princípios da impessoalidade, da eficiência, da igualdade e da moralidade. (...) A previsão impugnada, ao permitir (excepcionar), relativamente a cargos em comissão ou funções gratificadas, a nomeação, a admissão ou a permanência de até dois parentes das autoridades mencionadas no caput do art. 1º da Lei estadual 13.145/1997 e do cônjuge do chefe do Poder Executivo, além de subverter o intuito moralizador inicial da norma, ofende irremediave</w:t>
      </w:r>
    </w:p>
    <w:p>
      <w:pPr>
        <w:ind w:left="288"/>
      </w:pPr>
      <w:r>
        <w:rPr>
          <w:b/>
          <w:color w:val="003CA0"/>
          <w:sz w:val="16"/>
        </w:rPr>
        <w:t>[ADI 3.745, rel. min. Dias Toffoli, j. 15-5-2013, P, DJE de 1º-8-2013.]</w:t>
      </w:r>
    </w:p>
    <w:p>
      <w:pPr>
        <w:ind w:left="288"/>
      </w:pPr>
      <w:r>
        <w:rPr>
          <w:color w:val="8C8C8C"/>
          <w:sz w:val="12"/>
        </w:rPr>
        <w:t>cf-art-37-inc-III</w:t>
      </w:r>
      <w:r>
        <w:rPr>
          <w:color w:val="003CA0"/>
          <w:sz w:val="12"/>
        </w:rPr>
        <w:t xml:space="preserve"> | RE 579.951</w:t>
      </w:r>
      <w:r>
        <w:rPr>
          <w:color w:val="003CA0"/>
          <w:sz w:val="12"/>
        </w:rPr>
        <w:t xml:space="preserve"> | rel. Ricardo Lewandowski</w:t>
      </w:r>
    </w:p>
    <w:p>
      <w:pPr>
        <w:ind w:left="288"/>
      </w:pPr>
      <w:r>
        <w:rPr>
          <w:color w:val="1E1E1E"/>
          <w:sz w:val="18"/>
        </w:rPr>
        <w:t>= RE 579.951, rel. min. Ricardo Lewandowski, j. 20-8-2008, P, DJE de 24-10-2008, Tema 66 Violação ao art. 37, II e V, da Constituição. Os cargos em comissão criados pela Lei 1.939/1998 do Estado de Mato Grosso do Sul possuem atribuições meramente técnicas e que, portanto, não possuem o caráter de assessoramento, chefia ou direção exigido para tais cargos, nos termos do art. 37, V, da CF. Ação julgada procedente.</w:t>
      </w:r>
    </w:p>
    <w:p>
      <w:pPr>
        <w:ind w:left="288"/>
      </w:pPr>
      <w:r>
        <w:rPr>
          <w:b/>
          <w:color w:val="003CA0"/>
          <w:sz w:val="16"/>
        </w:rPr>
        <w:t>[ADI 3.706, rel. min. Gilmar Mendes, j. 15-8-2007, P, DJ de 5-10-2007.]</w:t>
      </w:r>
    </w:p>
    <w:p>
      <w:pPr>
        <w:ind w:left="144"/>
      </w:pPr>
      <w:r>
        <w:rPr>
          <w:b/>
          <w:color w:val="B45A00"/>
          <w:sz w:val="16"/>
        </w:rPr>
        <w:t>REPERCUSSAO GERAL</w:t>
      </w:r>
    </w:p>
    <w:p>
      <w:pPr>
        <w:ind w:left="288"/>
      </w:pPr>
      <w:r>
        <w:rPr>
          <w:color w:val="8C8C8C"/>
          <w:sz w:val="12"/>
        </w:rPr>
        <w:t>cf-art-37-inc-III</w:t>
      </w:r>
      <w:r>
        <w:rPr>
          <w:color w:val="003CA0"/>
          <w:sz w:val="12"/>
        </w:rPr>
        <w:t xml:space="preserve"> | RE 1.041.210</w:t>
      </w:r>
      <w:r>
        <w:rPr>
          <w:color w:val="003CA0"/>
          <w:sz w:val="12"/>
        </w:rPr>
        <w:t xml:space="preserve"> | rel. Dias Toffoli</w:t>
      </w:r>
    </w:p>
    <w:p>
      <w:pPr>
        <w:ind w:left="288"/>
      </w:pPr>
      <w:r>
        <w:rPr>
          <w:color w:val="1E1E1E"/>
          <w:sz w:val="18"/>
        </w:rPr>
        <w:t>Criação de cargos em comissão. Requisitos estabelecidos pela Constituição Federal. Estrita observância para que se legitime o regime excepcional de livre nomeação e exoneração. Repercussão geral reconhecida. Reafirmação da jurisprudência da Corte sobre o tema. (...) Fixada a seguinte tese: a) A criação de cargos em comissão somente se justifica para o exercício de funções de direção, chefia e assessoramento, não se prestando ao desempenho de atividades burocráticas, técnicas ou operacionais; b) tal criação deve pressupor a necessária relação de confiança entre a autoridade nomeante e o servido</w:t>
      </w:r>
    </w:p>
    <w:p>
      <w:pPr>
        <w:ind w:left="288"/>
      </w:pPr>
      <w:r>
        <w:rPr>
          <w:b/>
          <w:color w:val="003CA0"/>
          <w:sz w:val="16"/>
        </w:rPr>
        <w:t>[RE 1.041.210 RG, rel. min. Dias Toffoli, j. 27-9-2018, P, DJE de 22-5-2019, Tema 1.010, com mérito julgado.]</w:t>
      </w:r>
    </w:p>
    <w:p>
      <w:pPr>
        <w:ind w:left="144"/>
      </w:pPr>
      <w:r>
        <w:rPr>
          <w:b/>
          <w:color w:val="B45A00"/>
          <w:sz w:val="16"/>
        </w:rPr>
        <w:t>JULGADOS CORRELATOS</w:t>
      </w:r>
    </w:p>
    <w:p>
      <w:pPr>
        <w:ind w:left="288"/>
      </w:pPr>
      <w:r>
        <w:rPr>
          <w:color w:val="8C8C8C"/>
          <w:sz w:val="12"/>
        </w:rPr>
        <w:t>cf-art-37-inc-III</w:t>
      </w:r>
      <w:r>
        <w:rPr>
          <w:color w:val="003CA0"/>
          <w:sz w:val="12"/>
        </w:rPr>
        <w:t xml:space="preserve"> | ARE 1.480.667</w:t>
      </w:r>
      <w:r>
        <w:rPr>
          <w:color w:val="003CA0"/>
          <w:sz w:val="12"/>
        </w:rPr>
        <w:t xml:space="preserve"> | rel. Alexandre de Moraes</w:t>
      </w:r>
    </w:p>
    <w:p>
      <w:pPr>
        <w:ind w:left="288"/>
      </w:pPr>
      <w:r>
        <w:rPr>
          <w:color w:val="1E1E1E"/>
          <w:sz w:val="18"/>
        </w:rPr>
        <w:t>Lei complementar 167/2022 do Município de Maracajú/MS, que previu a criação de cargo em comissão para o exercício da função de Controlador-Geral. (...) Não há, no caso concreto, qualquer violação ao art. 37, II, da CF/1988 (concurso público) ou ao art. 37, V, da CF/1988 (cargos em comissão), pois a própria Constituição Federal confere ao Chefe do Poder Executivo a prerrogativa para nomear seu auxiliares, entre os quais se insere o Controlador-Geral. Tal cargo abrange típicas funções de assessoria e direção, sendo, portanto, possível o seu provimento por meio de cargo em comissão.</w:t>
        <w:br/>
        <w:t>[ARE 1.480.66</w:t>
      </w:r>
    </w:p>
    <w:p>
      <w:pPr>
        <w:ind w:left="288"/>
      </w:pPr>
      <w:r>
        <w:rPr>
          <w:b/>
          <w:color w:val="003CA0"/>
          <w:sz w:val="16"/>
        </w:rPr>
        <w:t>[RMS 24.287, rel. min. Maurício Corrêa, j. 26-11-2002, 2ª T, DJ de 1º-8-2003.]</w:t>
      </w:r>
    </w:p>
    <w:p>
      <w:pPr>
        <w:ind w:left="144"/>
      </w:pPr>
      <w:r>
        <w:rPr>
          <w:b/>
          <w:color w:val="B45A00"/>
          <w:sz w:val="16"/>
        </w:rPr>
        <w:t>CONTROLE CONCENTRADO</w:t>
      </w:r>
    </w:p>
    <w:p>
      <w:pPr>
        <w:ind w:left="288"/>
      </w:pPr>
      <w:r>
        <w:rPr>
          <w:color w:val="8C8C8C"/>
          <w:sz w:val="12"/>
        </w:rPr>
        <w:t>cf-art-37-inc-VI</w:t>
      </w:r>
      <w:r>
        <w:rPr>
          <w:color w:val="003CA0"/>
          <w:sz w:val="12"/>
        </w:rPr>
        <w:t xml:space="preserve"> | ADI 7.242</w:t>
      </w:r>
      <w:r>
        <w:rPr>
          <w:color w:val="003CA0"/>
          <w:sz w:val="12"/>
        </w:rPr>
        <w:t xml:space="preserve"> | rel. Gilmar Mendes</w:t>
      </w:r>
    </w:p>
    <w:p>
      <w:pPr>
        <w:ind w:left="288"/>
      </w:pPr>
      <w:r>
        <w:rPr>
          <w:color w:val="1E1E1E"/>
          <w:sz w:val="18"/>
        </w:rPr>
        <w:t>Direito do servidor estável à licença sem remuneração para desempenho de mandato sindical. Violação ao disposto nos arts. 8º, inciso I, e 37, inciso VI, da Constituição. Inocorrência.</w:t>
        <w:br/>
        <w:t>[ADI 7.242, rel. min. Gilmar Mendes, j. 18-4-2023, P, DJE de 25-4-2023.] O exercício de função executiva em instituição sindical não se confunde com o exercício de mandato eletivo, previsto no art. 38 da Constituição da República. Possibilidade de norma constitucional estadual assegurar aos servidores públicos estaduais dirigentes sindicais o afastamento do exercício do cargo, sem prejuízo da remuneração e das va</w:t>
      </w:r>
    </w:p>
    <w:p>
      <w:pPr>
        <w:ind w:left="288"/>
      </w:pPr>
      <w:r>
        <w:rPr>
          <w:b/>
          <w:color w:val="003CA0"/>
          <w:sz w:val="16"/>
        </w:rPr>
        <w:t>[ADI 990, rel. min. Sydney Sanches, j. 6-2-2003, P, DJ de 11-4-2003.]</w:t>
      </w:r>
    </w:p>
    <w:p>
      <w:pPr>
        <w:ind w:left="288"/>
      </w:pPr>
      <w:r>
        <w:rPr>
          <w:color w:val="8C8C8C"/>
          <w:sz w:val="12"/>
        </w:rPr>
        <w:t>cf-art-37-inc-VI</w:t>
      </w:r>
      <w:r>
        <w:rPr>
          <w:color w:val="003CA0"/>
          <w:sz w:val="12"/>
        </w:rPr>
        <w:t xml:space="preserve"> | ADI 1.416</w:t>
      </w:r>
      <w:r>
        <w:rPr>
          <w:color w:val="003CA0"/>
          <w:sz w:val="12"/>
        </w:rPr>
        <w:t xml:space="preserve"> | rel. Gilmar Mendes</w:t>
      </w:r>
    </w:p>
    <w:p>
      <w:pPr>
        <w:ind w:left="288"/>
      </w:pPr>
      <w:r>
        <w:rPr>
          <w:color w:val="1E1E1E"/>
          <w:sz w:val="18"/>
        </w:rPr>
        <w:t>Vedação de desconto de contribuição sindical. Violação ao art. 8º, IV, c/c o art. 37, VI, da Constituição.</w:t>
      </w:r>
    </w:p>
    <w:p>
      <w:pPr>
        <w:ind w:left="288"/>
      </w:pPr>
      <w:r>
        <w:rPr>
          <w:b/>
          <w:color w:val="003CA0"/>
          <w:sz w:val="16"/>
        </w:rPr>
        <w:t>[ADI 1.416, rel. min. Gilmar Mendes, j. 10-10-2002, P, DJ de 14-11-2002.]</w:t>
      </w:r>
    </w:p>
    <w:p>
      <w:pPr>
        <w:ind w:left="288"/>
      </w:pPr>
      <w:r>
        <w:rPr>
          <w:color w:val="8C8C8C"/>
          <w:sz w:val="12"/>
        </w:rPr>
        <w:t>cf-art-37-inc-VI</w:t>
      </w:r>
      <w:r>
        <w:rPr>
          <w:color w:val="003CA0"/>
          <w:sz w:val="12"/>
        </w:rPr>
        <w:t xml:space="preserve"> | ARE 1.541.256</w:t>
      </w:r>
      <w:r>
        <w:rPr>
          <w:color w:val="003CA0"/>
          <w:sz w:val="12"/>
        </w:rPr>
        <w:t xml:space="preserve"> | rel. Dias Toffoli</w:t>
      </w:r>
    </w:p>
    <w:p>
      <w:pPr>
        <w:ind w:left="288"/>
      </w:pPr>
      <w:r>
        <w:rPr>
          <w:color w:val="1E1E1E"/>
          <w:sz w:val="18"/>
        </w:rPr>
        <w:t>O Supremo Tribunal Federal tem entendimento pacífico no sentido de que não viola os arts. 5º, XVII; 8º; e 37, VI, da Constituição Federal a norma local que estabelece condições específicas para a concessão de licença a servidor público para o exercício de mandato classista. Legitimidade e validade da atuação legislativa municipal que, no exercício da autonomia garantida a todos os entes federativos, estabelece que a licença do servidor para o exercício do mandato sindical será concedida sem remuneração. Norma da Constituição Estadual que garante licença remunerada dirige-se aos servidores esta</w:t>
      </w:r>
    </w:p>
    <w:p>
      <w:pPr>
        <w:ind w:left="288"/>
      </w:pPr>
      <w:r>
        <w:rPr>
          <w:b/>
          <w:color w:val="003CA0"/>
          <w:sz w:val="16"/>
        </w:rPr>
        <w:t>[ARE 1.541.256 AgR, rel. min. Dias Toffoli, j. 13.05.2025, P, DJE de 06.06.2025.]</w:t>
      </w:r>
    </w:p>
    <w:p>
      <w:pPr>
        <w:ind w:left="144"/>
      </w:pPr>
      <w:r>
        <w:rPr>
          <w:b/>
          <w:color w:val="B45A00"/>
          <w:sz w:val="16"/>
        </w:rPr>
        <w:t>JULGADOS CORRELATOS</w:t>
      </w:r>
    </w:p>
    <w:p>
      <w:pPr>
        <w:ind w:left="288"/>
      </w:pPr>
      <w:r>
        <w:rPr>
          <w:color w:val="8C8C8C"/>
          <w:sz w:val="12"/>
        </w:rPr>
        <w:t>cf-art-37-inc-VI</w:t>
      </w:r>
      <w:r>
        <w:rPr>
          <w:color w:val="003CA0"/>
          <w:sz w:val="12"/>
        </w:rPr>
        <w:t xml:space="preserve"> | ADI 962</w:t>
      </w:r>
      <w:r>
        <w:rPr>
          <w:color w:val="003CA0"/>
          <w:sz w:val="12"/>
        </w:rPr>
        <w:t xml:space="preserve"> | rel. Sepúlveda Pertence</w:t>
      </w:r>
    </w:p>
    <w:p>
      <w:pPr>
        <w:ind w:left="288"/>
      </w:pPr>
      <w:r>
        <w:rPr>
          <w:color w:val="1E1E1E"/>
          <w:sz w:val="18"/>
        </w:rPr>
        <w:t>Facultada a formação de sindicatos de servidores públicos (CF, art. 37, VI), não cabe excluí-los do regime da contribuição legal compulsória exigível dos membros da categoria (ADI 962, 11-11-1993, Galvão).</w:t>
      </w:r>
    </w:p>
    <w:p>
      <w:pPr>
        <w:ind w:left="288"/>
      </w:pPr>
      <w:r>
        <w:rPr>
          <w:b/>
          <w:color w:val="003CA0"/>
          <w:sz w:val="16"/>
        </w:rPr>
        <w:t>[RMS 21.758, rel. min. Sepúlveda Pertence, j. 20-9-1994, 1ª T, DJ de 4-11-1994.]</w:t>
      </w:r>
    </w:p>
    <w:p>
      <w:pPr>
        <w:ind w:left="288"/>
      </w:pPr>
      <w:r>
        <w:rPr>
          <w:color w:val="8C8C8C"/>
          <w:sz w:val="12"/>
        </w:rPr>
        <w:t>cf-art-37-inc-VI</w:t>
      </w:r>
      <w:r>
        <w:rPr>
          <w:color w:val="003CA0"/>
          <w:sz w:val="12"/>
        </w:rPr>
        <w:t xml:space="preserve"> | RE 1.055.524</w:t>
      </w:r>
      <w:r>
        <w:rPr>
          <w:color w:val="003CA0"/>
          <w:sz w:val="12"/>
        </w:rPr>
        <w:t xml:space="preserve"> | rel. Gilmar Mendes</w:t>
      </w:r>
    </w:p>
    <w:p>
      <w:pPr>
        <w:ind w:left="288"/>
      </w:pPr>
      <w:r>
        <w:rPr>
          <w:color w:val="1E1E1E"/>
          <w:sz w:val="18"/>
        </w:rPr>
        <w:t>= RE 1.055.524 AgR, rel. min. Gilmar Mendes, j. 20-2-2018, 2ª T, DJE de 27-3-2018</w:t>
      </w:r>
    </w:p>
    <w:p>
      <w:pPr>
        <w:ind w:left="144"/>
      </w:pPr>
      <w:r>
        <w:rPr>
          <w:b/>
          <w:color w:val="B45A00"/>
          <w:sz w:val="16"/>
        </w:rPr>
        <w:t>CONTROLE CONCENTRADO</w:t>
      </w:r>
    </w:p>
    <w:p>
      <w:pPr>
        <w:ind w:left="288"/>
      </w:pPr>
      <w:r>
        <w:rPr>
          <w:color w:val="8C8C8C"/>
          <w:sz w:val="12"/>
        </w:rPr>
        <w:t>cf-art-37-inc-VII</w:t>
      </w:r>
      <w:r>
        <w:rPr>
          <w:color w:val="003CA0"/>
          <w:sz w:val="12"/>
        </w:rPr>
        <w:t xml:space="preserve"> | ADI 6.476</w:t>
      </w:r>
      <w:r>
        <w:rPr>
          <w:color w:val="003CA0"/>
          <w:sz w:val="12"/>
        </w:rPr>
        <w:t xml:space="preserve"> | rel. Roberto Barroso</w:t>
      </w:r>
    </w:p>
    <w:p>
      <w:pPr>
        <w:ind w:left="288"/>
      </w:pPr>
      <w:r>
        <w:rPr>
          <w:color w:val="1E1E1E"/>
          <w:sz w:val="18"/>
        </w:rPr>
        <w:t>Ação direta contra decreto que tem por objeto ‘excluir a previsão de adaptação das provas físicas para candidatos com deficiência e estabelecer que os critérios de aprovação dessas provas poderão seguir os mesmos critérios aplicados aos demais candidatos’. De acordo com o art. 2º da Convenção de Direitos das Pessoas com Deficiência – CDPD, a recusa de adaptação razoável é considerada discriminação por motivo de deficiência. O art. 3º, VI, do Decreto 9.508/2018, estabelece uma faculdade em benefício do candidato com deficiência, que pode utilizar suas próprias tecnologias assistivas e adaptaçõe</w:t>
      </w:r>
    </w:p>
    <w:p>
      <w:pPr>
        <w:ind w:left="288"/>
      </w:pPr>
      <w:r>
        <w:rPr>
          <w:b/>
          <w:color w:val="003CA0"/>
          <w:sz w:val="16"/>
        </w:rPr>
        <w:t>[ADI 6.476, rel. min. Roberto Barroso, j. 8-9-2021, P, DJE de 16-9-2021.]</w:t>
      </w:r>
    </w:p>
    <w:p>
      <w:pPr>
        <w:ind w:left="288"/>
      </w:pPr>
      <w:r>
        <w:rPr>
          <w:color w:val="8C8C8C"/>
          <w:sz w:val="12"/>
        </w:rPr>
        <w:t>cf-art-37-inc-VII</w:t>
      </w:r>
      <w:r>
        <w:rPr>
          <w:color w:val="003CA0"/>
          <w:sz w:val="12"/>
        </w:rPr>
        <w:t xml:space="preserve"> | ADI 3.235</w:t>
      </w:r>
      <w:r>
        <w:rPr>
          <w:color w:val="003CA0"/>
          <w:sz w:val="12"/>
        </w:rPr>
        <w:t xml:space="preserve"> | rel. Carlos Velloso</w:t>
      </w:r>
    </w:p>
    <w:p>
      <w:pPr>
        <w:ind w:left="288"/>
      </w:pPr>
      <w:r>
        <w:rPr>
          <w:color w:val="1E1E1E"/>
          <w:sz w:val="18"/>
        </w:rPr>
        <w:t xml:space="preserve">O exercício de um direito constitucional é garantia fundamental a ser protegida por esta Corte, desde que não exercido de forma abusiva. (...) ao considerar o exercício do direito de greve como falta grave ou fato desabonador da conduta, em termos de avaliação de estágio probatório, que enseja imediata exoneração do servidor público não estável, o dispositivo impugnado viola o direito de greve conferido aos servidores públicos no art. 37, VII, CF/1988, na medida em que inclui, entre os fatores de avaliação do estágio probatório, de forma inconstitucional, o exercício não abusivo do direito de </w:t>
      </w:r>
    </w:p>
    <w:p>
      <w:pPr>
        <w:ind w:left="288"/>
      </w:pPr>
      <w:r>
        <w:rPr>
          <w:b/>
          <w:color w:val="003CA0"/>
          <w:sz w:val="16"/>
        </w:rPr>
        <w:t>[ADI 3.235, voto do red. do ac. min. Gilmar Mendes, rel. min. Carlos Velloso, j. 4-2-2010, P, DJE de 12-3-2010].</w:t>
      </w:r>
    </w:p>
    <w:p>
      <w:pPr>
        <w:ind w:left="288"/>
      </w:pPr>
      <w:r>
        <w:rPr>
          <w:color w:val="8C8C8C"/>
          <w:sz w:val="12"/>
        </w:rPr>
        <w:t>cf-art-37-inc-VII</w:t>
      </w:r>
      <w:r>
        <w:rPr>
          <w:color w:val="003CA0"/>
          <w:sz w:val="12"/>
        </w:rPr>
        <w:t xml:space="preserve"> | RE 226.966</w:t>
      </w:r>
      <w:r>
        <w:rPr>
          <w:color w:val="003CA0"/>
          <w:sz w:val="12"/>
        </w:rPr>
        <w:t xml:space="preserve"> | rel. Menezes Direito</w:t>
      </w:r>
    </w:p>
    <w:p>
      <w:pPr>
        <w:ind w:left="288"/>
      </w:pPr>
      <w:r>
        <w:rPr>
          <w:color w:val="1E1E1E"/>
          <w:sz w:val="18"/>
        </w:rPr>
        <w:t>Vide RE 226.966, red. do ac. min. Cármen Lúcia, rel. min. Menezes Direito, j. 11-11-2008, 1ª T, DJE de 21-8-2009</w:t>
      </w:r>
    </w:p>
    <w:p>
      <w:pPr>
        <w:ind w:left="144"/>
      </w:pPr>
      <w:r>
        <w:rPr>
          <w:b/>
          <w:color w:val="B45A00"/>
          <w:sz w:val="16"/>
        </w:rPr>
        <w:t>REPERCUSSAO GERAL</w:t>
      </w:r>
    </w:p>
    <w:p>
      <w:pPr>
        <w:ind w:left="288"/>
      </w:pPr>
      <w:r>
        <w:rPr>
          <w:color w:val="8C8C8C"/>
          <w:sz w:val="12"/>
        </w:rPr>
        <w:t>cf-art-37-inc-VII</w:t>
      </w:r>
      <w:r>
        <w:rPr>
          <w:color w:val="003CA0"/>
          <w:sz w:val="12"/>
        </w:rPr>
        <w:t xml:space="preserve"> | RE 846.854</w:t>
      </w:r>
    </w:p>
    <w:p>
      <w:pPr>
        <w:ind w:left="288"/>
      </w:pPr>
      <w:r>
        <w:rPr>
          <w:color w:val="1E1E1E"/>
          <w:sz w:val="18"/>
        </w:rPr>
        <w:t>A Justiça Comum Federal ou Estadual é competente para julgar a abusividade de greve de servidores públicos celetistas da administração direta, autarquias e fundações de direito público.</w:t>
      </w:r>
    </w:p>
    <w:p>
      <w:pPr>
        <w:ind w:left="288"/>
      </w:pPr>
      <w:r>
        <w:rPr>
          <w:b/>
          <w:color w:val="003CA0"/>
          <w:sz w:val="16"/>
        </w:rPr>
        <w:t>[RE 846.854, red. do ac. min. Alexandre de Moraes, j. 1º-8-2017, P, DJE de 7-2-2018, Tema 544, com mérito julgado.]</w:t>
      </w:r>
    </w:p>
    <w:p>
      <w:pPr>
        <w:ind w:left="288"/>
      </w:pPr>
      <w:r>
        <w:rPr>
          <w:color w:val="8C8C8C"/>
          <w:sz w:val="12"/>
        </w:rPr>
        <w:t>cf-art-37-inc-VII</w:t>
      </w:r>
      <w:r>
        <w:rPr>
          <w:color w:val="003CA0"/>
          <w:sz w:val="12"/>
        </w:rPr>
        <w:t xml:space="preserve"> | ARE 654.432</w:t>
      </w:r>
    </w:p>
    <w:p>
      <w:pPr>
        <w:ind w:left="288"/>
      </w:pPr>
      <w:r>
        <w:rPr>
          <w:color w:val="1E1E1E"/>
          <w:sz w:val="18"/>
        </w:rPr>
        <w:t>O exercício do direito de greve, sob qualquer forma ou modalidade, é vedado aos policiais civis e a todos os servidores públicos que atuem diretamente na área de segurança pública. É obrigatória a participação do poder público em mediação instaurada pelos órgãos classistas das carreiras de segurança pública, nos termos do art. 165 do CPC, para vocalização dos interesses da categoria.</w:t>
      </w:r>
    </w:p>
    <w:p>
      <w:pPr>
        <w:ind w:left="288"/>
      </w:pPr>
      <w:r>
        <w:rPr>
          <w:b/>
          <w:color w:val="003CA0"/>
          <w:sz w:val="16"/>
        </w:rPr>
        <w:t>[ARE 654.432, red. do ac. min. Alexandre de Moraes, j. 5-4-2017, P, DJE de 11-6-2018, Tema 541, com mérito julgado.]</w:t>
      </w:r>
    </w:p>
    <w:p>
      <w:pPr>
        <w:ind w:left="288"/>
      </w:pPr>
      <w:r>
        <w:rPr>
          <w:color w:val="8C8C8C"/>
          <w:sz w:val="12"/>
        </w:rPr>
        <w:t>cf-art-37-inc-VII</w:t>
      </w:r>
      <w:r>
        <w:rPr>
          <w:color w:val="003CA0"/>
          <w:sz w:val="12"/>
        </w:rPr>
        <w:t xml:space="preserve"> | RE 693.456</w:t>
      </w:r>
      <w:r>
        <w:rPr>
          <w:color w:val="003CA0"/>
          <w:sz w:val="12"/>
        </w:rPr>
        <w:t xml:space="preserve"> | rel. Dias Toffoli</w:t>
      </w:r>
    </w:p>
    <w:p>
      <w:pPr>
        <w:ind w:left="288"/>
      </w:pPr>
      <w:r>
        <w:rPr>
          <w:color w:val="1E1E1E"/>
          <w:sz w:val="18"/>
        </w:rPr>
        <w:t>A administração pública deve proceder ao desconto dos dias de paralisação decorrentes do exercício do direito de greve pelos servidores públicos, em virtude da suspensão do vínculo funcional que dela decorre, permitida a compensação em caso de acordo. O desconto será, contudo, incabível se ficar demonstrado que a greve foi provocada por conduta ilícita do poder público.</w:t>
        <w:br/>
        <w:t>[RE 693.456, rel. min. Dias Toffoli, j. 27-10-2016, P, DJE de 19-10-2017, Tema 531, com mérito julgado.]</w:t>
      </w:r>
    </w:p>
    <w:p>
      <w:pPr>
        <w:ind w:left="144"/>
      </w:pPr>
      <w:r>
        <w:rPr>
          <w:b/>
          <w:color w:val="B45A00"/>
          <w:sz w:val="16"/>
        </w:rPr>
        <w:t>JULGADOS CORRELATOS</w:t>
      </w:r>
    </w:p>
    <w:p>
      <w:pPr>
        <w:ind w:left="288"/>
      </w:pPr>
      <w:r>
        <w:rPr>
          <w:color w:val="8C8C8C"/>
          <w:sz w:val="12"/>
        </w:rPr>
        <w:t>cf-art-37-inc-VII</w:t>
      </w:r>
      <w:r>
        <w:rPr>
          <w:color w:val="003CA0"/>
          <w:sz w:val="12"/>
        </w:rPr>
        <w:t xml:space="preserve"> | RE 480.989</w:t>
      </w:r>
      <w:r>
        <w:rPr>
          <w:color w:val="003CA0"/>
          <w:sz w:val="12"/>
        </w:rPr>
        <w:t xml:space="preserve"> | rel. Ellen Gracie</w:t>
      </w:r>
    </w:p>
    <w:p>
      <w:pPr>
        <w:ind w:left="288"/>
      </w:pPr>
      <w:r>
        <w:rPr>
          <w:color w:val="1E1E1E"/>
          <w:sz w:val="18"/>
        </w:rPr>
        <w:t>A questão relativa a greve de servidor público, com fundamento no art. 37, VII, da CF, é da competência deste STF, pois o acórdão recorrido decidiu a questão com fundamento em dispositivos constitucionais.</w:t>
      </w:r>
    </w:p>
    <w:p>
      <w:pPr>
        <w:ind w:left="288"/>
      </w:pPr>
      <w:r>
        <w:rPr>
          <w:b/>
          <w:color w:val="003CA0"/>
          <w:sz w:val="16"/>
        </w:rPr>
        <w:t>[RE 480.989 AgR, rel. min. Ellen Gracie, j. 28-9-2010, 2ª T, DJE de 25-10-2010.]</w:t>
      </w:r>
    </w:p>
    <w:p>
      <w:pPr>
        <w:ind w:left="288"/>
      </w:pPr>
      <w:r>
        <w:rPr>
          <w:color w:val="8C8C8C"/>
          <w:sz w:val="12"/>
        </w:rPr>
        <w:t>cf-art-37-inc-VII</w:t>
      </w:r>
      <w:r>
        <w:rPr>
          <w:color w:val="003CA0"/>
          <w:sz w:val="12"/>
        </w:rPr>
        <w:t xml:space="preserve"> | RE 226.966</w:t>
      </w:r>
      <w:r>
        <w:rPr>
          <w:color w:val="003CA0"/>
          <w:sz w:val="12"/>
        </w:rPr>
        <w:t xml:space="preserve"> | rel. Menezes Direito</w:t>
      </w:r>
    </w:p>
    <w:p>
      <w:pPr>
        <w:ind w:left="288"/>
      </w:pPr>
      <w:r>
        <w:rPr>
          <w:color w:val="1E1E1E"/>
          <w:sz w:val="18"/>
        </w:rPr>
        <w:t>A simples circunstância de o servidor público estar em estágio probatório não é justificativa para demissão com fundamento na sua participação em movimento grevista por período superior a trinta dias. A ausência de regulamentação do direito de greve não transforma os dias de paralisação em movimento grevista em faltas injustificadas.</w:t>
      </w:r>
    </w:p>
    <w:p>
      <w:pPr>
        <w:ind w:left="288"/>
      </w:pPr>
      <w:r>
        <w:rPr>
          <w:b/>
          <w:color w:val="003CA0"/>
          <w:sz w:val="16"/>
        </w:rPr>
        <w:t>[RE 226.966, red. do ac. min. Cármen Lúcia, rel. min. Menezes Direito, j. 11-11-2008, 1ª T, DJE de 21-8-2009.]</w:t>
      </w:r>
    </w:p>
    <w:p>
      <w:pPr>
        <w:ind w:left="288"/>
      </w:pPr>
      <w:r>
        <w:rPr>
          <w:color w:val="8C8C8C"/>
          <w:sz w:val="12"/>
        </w:rPr>
        <w:t>cf-art-37-inc-VII</w:t>
      </w:r>
      <w:r>
        <w:rPr>
          <w:color w:val="003CA0"/>
          <w:sz w:val="12"/>
        </w:rPr>
        <w:t xml:space="preserve"> | ADI 3.235</w:t>
      </w:r>
      <w:r>
        <w:rPr>
          <w:color w:val="003CA0"/>
          <w:sz w:val="12"/>
        </w:rPr>
        <w:t xml:space="preserve"> | rel. Carlos Velloso</w:t>
      </w:r>
    </w:p>
    <w:p>
      <w:pPr>
        <w:ind w:left="288"/>
      </w:pPr>
      <w:r>
        <w:rPr>
          <w:color w:val="1E1E1E"/>
          <w:sz w:val="18"/>
        </w:rPr>
        <w:t>Vide ADI 3.235, red. do ac. min. Gilmar Mendes, rel. min. Carlos Velloso, j. 4-2-2010, P, DJE de 12-3-2010 Direito de greve dos servidores públicos civis (CF, art. 37, VII). Evolução do tema na jurisprudência do STF. (...) Apesar das modificações implementadas pela EC 19/1998 quanto à modificação da reserva legal de lei complementar para a de lei ordinária específica (CF, art. 37, VII), observa-se que o direito de greve dos servidores públicos civis continua sem receber tratamento legislativo minimamente satisfatório para garantir o exercício dessa prerrogativa em consonância com imperativos c</w:t>
      </w:r>
    </w:p>
    <w:p>
      <w:pPr>
        <w:ind w:left="288"/>
      </w:pPr>
      <w:r>
        <w:rPr>
          <w:b/>
          <w:color w:val="003CA0"/>
          <w:sz w:val="16"/>
        </w:rPr>
        <w:t>[MI 708, rel. min. Gilmar Mendes, j. 25-10-2007, P, DJE de 31-10-2008.]</w:t>
      </w:r>
    </w:p>
    <w:p>
      <w:pPr>
        <w:ind w:left="288"/>
      </w:pPr>
      <w:r>
        <w:rPr>
          <w:color w:val="8C8C8C"/>
          <w:sz w:val="12"/>
        </w:rPr>
        <w:t>cf-art-37-inc-VII</w:t>
      </w:r>
      <w:r>
        <w:rPr>
          <w:color w:val="003CA0"/>
          <w:sz w:val="12"/>
        </w:rPr>
        <w:t xml:space="preserve"> | ARE 657.385</w:t>
      </w:r>
      <w:r>
        <w:rPr>
          <w:color w:val="003CA0"/>
          <w:sz w:val="12"/>
        </w:rPr>
        <w:t xml:space="preserve"> | rel. Luiz Fux</w:t>
      </w:r>
    </w:p>
    <w:p>
      <w:pPr>
        <w:ind w:left="288"/>
      </w:pPr>
      <w:r>
        <w:rPr>
          <w:color w:val="1E1E1E"/>
          <w:sz w:val="18"/>
        </w:rPr>
        <w:t>= ARE 657.385, rel. min. Luiz Fux, j. 29-2-2012, dec. monocrática, DJE de 13-3-2012 Vide RE 456.530 ED, rel. min. Joaquim Barbosa, j. 23-11-2010, 2ª T, DJE de 1º-2-2011 Vide ADI 3.235, red. do ac. min. Gilmar Mendes, rel. min. Carlos Velloso, j. 4-2-2010, P, DJE de 12-3-2010 Vide Rcl 6.568, rel. min. Eros Grau, j. 21-5-2009, P, DJE de 25-9-2009</w:t>
      </w:r>
    </w:p>
    <w:p>
      <w:pPr>
        <w:ind w:left="288"/>
      </w:pPr>
      <w:r>
        <w:rPr>
          <w:color w:val="8C8C8C"/>
          <w:sz w:val="12"/>
        </w:rPr>
        <w:t>cf-art-37-inc-VIII</w:t>
      </w:r>
      <w:r>
        <w:rPr>
          <w:color w:val="003CA0"/>
          <w:sz w:val="12"/>
        </w:rPr>
        <w:t xml:space="preserve"> | RMS 34.330</w:t>
      </w:r>
      <w:r>
        <w:rPr>
          <w:color w:val="003CA0"/>
          <w:sz w:val="12"/>
        </w:rPr>
        <w:t xml:space="preserve"> | rel. Nunes Marques</w:t>
      </w:r>
    </w:p>
    <w:p>
      <w:pPr>
        <w:ind w:left="288"/>
      </w:pPr>
      <w:r>
        <w:rPr>
          <w:color w:val="1E1E1E"/>
          <w:sz w:val="18"/>
        </w:rPr>
        <w:t>A Resolução n. 75/2009/CNJ regulamentou concursos públicos para ingresso na carreira da magistratura, em todos os ramos do Poder Judiciário nacional, e, no que se refere à reserva de vagas para pessoas com deficiência, tratou do tema a partir do 73, segundo o qual “as pessoas com deficiência que declararem tal condição, no momento da inscrição preliminar, terão reservados, no mínimo, 5% (cinco por cento) do total das vagas, vedado o arredondamento superior”, tendo sido replicada a previsão no Edital n. 1 do STM, de 16 de novembro de 2012. O edital do concurso, em conformidade com o referido at</w:t>
      </w:r>
    </w:p>
    <w:p>
      <w:pPr>
        <w:ind w:left="288"/>
      </w:pPr>
      <w:r>
        <w:rPr>
          <w:b/>
          <w:color w:val="003CA0"/>
          <w:sz w:val="16"/>
        </w:rPr>
        <w:t>[RMS 34.330 AgR-sexto, rel. min. Nunes Marques, j. 27.10.2025, 2ª T, DJE de 05.12.2025.]</w:t>
      </w:r>
    </w:p>
    <w:p>
      <w:pPr>
        <w:ind w:left="288"/>
      </w:pPr>
      <w:r>
        <w:rPr>
          <w:color w:val="8C8C8C"/>
          <w:sz w:val="12"/>
        </w:rPr>
        <w:t>cf-art-37-inc-VIII</w:t>
      </w:r>
      <w:r>
        <w:rPr>
          <w:color w:val="003CA0"/>
          <w:sz w:val="12"/>
        </w:rPr>
        <w:t xml:space="preserve"> | MI 6.984</w:t>
      </w:r>
      <w:r>
        <w:rPr>
          <w:color w:val="003CA0"/>
          <w:sz w:val="12"/>
        </w:rPr>
        <w:t xml:space="preserve"> | rel. Roberto Barroso</w:t>
      </w:r>
    </w:p>
    <w:p>
      <w:pPr>
        <w:ind w:left="288"/>
      </w:pPr>
      <w:r>
        <w:rPr>
          <w:color w:val="1E1E1E"/>
          <w:sz w:val="18"/>
        </w:rPr>
        <w:t xml:space="preserve">O dispositivo constitucional em que se ampara a inicial (princípio da igualdade) não assegura diretamente o direito que se alega pendente de regulamentação – direito de pessoa com doença grave, que não se enquadra no rol de deficiências do Decreto 3.298/1999, de concorrer para as vagas reservadas em concurso para pessoas com deficiência. É certo que a Constituição assegura a reserva de percentual dos cargos e empregos públicos para pessoas com deficiência (art. 37, VIII). No entanto, o dispositivo constitucional já foi regulamentado pelo art. 5º, § 2º, da Lei 8.112/1990, pela Lei 7.853/1999 e </w:t>
      </w:r>
    </w:p>
    <w:p>
      <w:pPr>
        <w:ind w:left="288"/>
      </w:pPr>
      <w:r>
        <w:rPr>
          <w:b/>
          <w:color w:val="003CA0"/>
          <w:sz w:val="16"/>
        </w:rPr>
        <w:t>[MI 6.984-AgR, rel. min. Roberto Barroso, j. 28-9-2018, P, DJE de 5-11-2018.]</w:t>
      </w:r>
    </w:p>
    <w:p>
      <w:pPr>
        <w:ind w:left="288"/>
      </w:pPr>
      <w:r>
        <w:rPr>
          <w:color w:val="8C8C8C"/>
          <w:sz w:val="12"/>
        </w:rPr>
        <w:t>cf-art-37-inc-VIII</w:t>
      </w:r>
      <w:r>
        <w:rPr>
          <w:color w:val="003CA0"/>
          <w:sz w:val="12"/>
        </w:rPr>
        <w:t xml:space="preserve"> | RMS 27.710</w:t>
      </w:r>
      <w:r>
        <w:rPr>
          <w:color w:val="003CA0"/>
          <w:sz w:val="12"/>
        </w:rPr>
        <w:t xml:space="preserve"> | rel. Dias Toffoli</w:t>
      </w:r>
    </w:p>
    <w:p>
      <w:pPr>
        <w:ind w:left="288"/>
      </w:pPr>
      <w:r>
        <w:rPr>
          <w:color w:val="1E1E1E"/>
          <w:sz w:val="18"/>
        </w:rPr>
        <w:t xml:space="preserve">Não se mostra justo, ou, no mínimo, razoável, que o candidato portador de deficiência física, na maioria das vezes limitado pela sua deficiência, esteja em aparente desvantagem em relação aos demais candidatos, devendo a ele ser garantida a observância do princípio da isonomia/igualdade. O STF, buscando garantir razoabilidade à aplicação do disposto no Decreto 3.298/1999, entendeu que o referido diploma legal deve ser interpretado em conjunto com a Lei 8.112/1990. Assim, as frações mencionadas no art. 37, § 2º, do Decreto 3.298/1999 deverão ser arredondadas para o primeiro número subsequente, </w:t>
      </w:r>
    </w:p>
    <w:p>
      <w:pPr>
        <w:ind w:left="288"/>
      </w:pPr>
      <w:r>
        <w:rPr>
          <w:b/>
          <w:color w:val="003CA0"/>
          <w:sz w:val="16"/>
        </w:rPr>
        <w:t>[RMS 27.710 AgR, rel. min. Dias Toffoli, j. 28-5-2015, P, DJE de 1º-7-2015.]</w:t>
      </w:r>
    </w:p>
    <w:p>
      <w:pPr>
        <w:ind w:left="288"/>
      </w:pPr>
      <w:r>
        <w:rPr>
          <w:color w:val="8C8C8C"/>
          <w:sz w:val="12"/>
        </w:rPr>
        <w:t>cf-art-37-inc-VIII</w:t>
      </w:r>
      <w:r>
        <w:rPr>
          <w:color w:val="003CA0"/>
          <w:sz w:val="12"/>
        </w:rPr>
        <w:t xml:space="preserve"> | RMS 32.732</w:t>
      </w:r>
      <w:r>
        <w:rPr>
          <w:color w:val="003CA0"/>
          <w:sz w:val="12"/>
        </w:rPr>
        <w:t xml:space="preserve"> | rel. Celso de Mello</w:t>
      </w:r>
    </w:p>
    <w:p>
      <w:pPr>
        <w:ind w:left="288"/>
      </w:pPr>
      <w:r>
        <w:rPr>
          <w:color w:val="1E1E1E"/>
          <w:sz w:val="18"/>
        </w:rPr>
        <w:t>Concurso público. Pessoa portadora de deficiência. Reserva percentual de cargos e empregos públicos (CF, art. 37, VIII). Ocorrência, na espécie, dos requisitos necessários ao reconhecimento do direito vindicado pela recorrente. Atendimento, no caso, da exigência de compatibilidade entre o estado de deficiência e o conteúdo ocupacional ou funcional do cargo público disputado, independentemente de a deficiência produzir dificuldade para o exercício da atividade funcional. Inadmissibilidade da exigência adicional de a situação de deficiência também produzir "dificuldades para o desempenho das fun</w:t>
      </w:r>
    </w:p>
    <w:p>
      <w:pPr>
        <w:ind w:left="288"/>
      </w:pPr>
      <w:r>
        <w:rPr>
          <w:b/>
          <w:color w:val="003CA0"/>
          <w:sz w:val="16"/>
        </w:rPr>
        <w:t>[RMS 32.732 AgR, rel. min. Celso de Mello, j. 3-6-2014, 2ª T, DJE de 1º-8-2014.]</w:t>
      </w:r>
    </w:p>
    <w:p>
      <w:pPr>
        <w:ind w:left="288"/>
      </w:pPr>
      <w:r>
        <w:rPr>
          <w:color w:val="8C8C8C"/>
          <w:sz w:val="12"/>
        </w:rPr>
        <w:t>cf-art-37-inc-VIII</w:t>
      </w:r>
      <w:r>
        <w:rPr>
          <w:color w:val="003CA0"/>
          <w:sz w:val="12"/>
        </w:rPr>
        <w:t xml:space="preserve"> | RMS 26.071</w:t>
      </w:r>
      <w:r>
        <w:rPr>
          <w:color w:val="003CA0"/>
          <w:sz w:val="12"/>
        </w:rPr>
        <w:t xml:space="preserve"> | rel. Ayres Britto</w:t>
      </w:r>
    </w:p>
    <w:p>
      <w:pPr>
        <w:ind w:left="288"/>
      </w:pPr>
      <w:r>
        <w:rPr>
          <w:color w:val="1E1E1E"/>
          <w:sz w:val="18"/>
        </w:rPr>
        <w:t xml:space="preserve">Concurso público. Candidato portador de deficiência visual. Ambliopia. Reserva de vaga. Inciso VIII do art. 37 da CF. Parágrafo 2º do art. 5º da Lei 8.112/1990. Lei 7.853/1989. Decretos 3.298/1999 e 5.296/2004. O candidato com visão monocular padece de deficiência que impede a comparação entre os dois olhos para saber-se qual deles é o "melhor". A visão univalente – comprometedora das noções de profundidade e distância – implica limitação superior à deficiência parcial que afete os dois olhos. A reparação ou compensação dos fatores de desigualdade factual com medidas de superioridade jurídica </w:t>
      </w:r>
    </w:p>
    <w:p>
      <w:pPr>
        <w:ind w:left="288"/>
      </w:pPr>
      <w:r>
        <w:rPr>
          <w:b/>
          <w:color w:val="003CA0"/>
          <w:sz w:val="16"/>
        </w:rPr>
        <w:t>[RMS 26.071, rel. min. Ayres Britto, j. 13-11-2007, 1ª T, DJ de 1º-2-2008.]</w:t>
      </w:r>
    </w:p>
    <w:p>
      <w:pPr>
        <w:ind w:left="288"/>
      </w:pPr>
      <w:r>
        <w:rPr>
          <w:color w:val="8C8C8C"/>
          <w:sz w:val="12"/>
        </w:rPr>
        <w:t>cf-art-37-inc-VIII</w:t>
      </w:r>
      <w:r>
        <w:rPr>
          <w:color w:val="003CA0"/>
          <w:sz w:val="12"/>
        </w:rPr>
        <w:t xml:space="preserve"> | RE 227.299</w:t>
      </w:r>
      <w:r>
        <w:rPr>
          <w:color w:val="003CA0"/>
          <w:sz w:val="12"/>
        </w:rPr>
        <w:t xml:space="preserve"> | rel. Ilmar Galvão</w:t>
      </w:r>
    </w:p>
    <w:p>
      <w:pPr>
        <w:ind w:left="288"/>
      </w:pPr>
      <w:r>
        <w:rPr>
          <w:color w:val="1E1E1E"/>
          <w:sz w:val="18"/>
        </w:rPr>
        <w:t>A exigência constitucional de reserva de vagas para portadores de deficiência em concurso público se impõe ainda que o percentual legalmente previsto seja inferior a um, hipótese em que a fração deve ser arredondada. Entendimento que garante a eficácia do art. 37, VIII, da CF, que, caso contrário, restaria violado.</w:t>
      </w:r>
    </w:p>
    <w:p>
      <w:pPr>
        <w:ind w:left="288"/>
      </w:pPr>
      <w:r>
        <w:rPr>
          <w:b/>
          <w:color w:val="003CA0"/>
          <w:sz w:val="16"/>
        </w:rPr>
        <w:t>[RE 227.299, rel. min. Ilmar Galvão, j. 14-6-2000, P, DJ de 6-10-2000.]</w:t>
      </w:r>
    </w:p>
    <w:p>
      <w:pPr>
        <w:ind w:left="288"/>
      </w:pPr>
      <w:r>
        <w:rPr>
          <w:color w:val="8C8C8C"/>
          <w:sz w:val="12"/>
        </w:rPr>
        <w:t>cf-art-37-inc-VIII</w:t>
      </w:r>
      <w:r>
        <w:rPr>
          <w:color w:val="003CA0"/>
          <w:sz w:val="12"/>
        </w:rPr>
        <w:t xml:space="preserve"> | RE 606.728</w:t>
      </w:r>
      <w:r>
        <w:rPr>
          <w:color w:val="003CA0"/>
          <w:sz w:val="12"/>
        </w:rPr>
        <w:t xml:space="preserve"> | rel. Cármen Lúcia</w:t>
      </w:r>
    </w:p>
    <w:p>
      <w:pPr>
        <w:ind w:left="288"/>
      </w:pPr>
      <w:r>
        <w:rPr>
          <w:color w:val="1E1E1E"/>
          <w:sz w:val="18"/>
        </w:rPr>
        <w:t>= RE 606.728 AgR, rel. min. Cármen Lúcia, j. 2-12-2010, 1ª T, DJE de 1º-2-2011 Vide RMS 27.710 AgR, rel. min. Dias Toffoli, j. 28-5-2015, P, DJE de 1º-7-2015 A exigência de caráter geral, de aprovação em concurso, não pode ser afastada nem mesmo pela reserva de "percentual dos cargos e empregos públicos para as pessoas portadoras de deficiência" (CF, art. 37, II e VIII).</w:t>
      </w:r>
    </w:p>
    <w:p>
      <w:pPr>
        <w:ind w:left="288"/>
      </w:pPr>
      <w:r>
        <w:rPr>
          <w:b/>
          <w:color w:val="003CA0"/>
          <w:sz w:val="16"/>
        </w:rPr>
        <w:t>[MI 153 AgR, rel. min. Paulo Brossard, j. 14-3-1990, P, DJ de 30-3-1990.]</w:t>
      </w:r>
    </w:p>
    <w:p>
      <w:pPr>
        <w:ind w:left="144"/>
      </w:pPr>
      <w:r>
        <w:rPr>
          <w:b/>
          <w:color w:val="B45A00"/>
          <w:sz w:val="16"/>
        </w:rPr>
        <w:t>CONTROLE CONCENTRADO</w:t>
      </w:r>
    </w:p>
    <w:p>
      <w:pPr>
        <w:ind w:left="288"/>
      </w:pPr>
      <w:r>
        <w:rPr>
          <w:color w:val="8C8C8C"/>
          <w:sz w:val="12"/>
        </w:rPr>
        <w:t>cf-art-37-inc-IX</w:t>
      </w:r>
      <w:r>
        <w:rPr>
          <w:color w:val="003CA0"/>
          <w:sz w:val="12"/>
        </w:rPr>
        <w:t xml:space="preserve"> | ADI 7.098</w:t>
      </w:r>
      <w:r>
        <w:rPr>
          <w:color w:val="003CA0"/>
          <w:sz w:val="12"/>
        </w:rPr>
        <w:t xml:space="preserve"> | rel. Gilmar Mendes</w:t>
      </w:r>
    </w:p>
    <w:p>
      <w:pPr>
        <w:ind w:left="288"/>
      </w:pPr>
      <w:r>
        <w:rPr>
          <w:color w:val="1E1E1E"/>
          <w:sz w:val="18"/>
        </w:rPr>
        <w:t>(...) a contratação temporária para o exercício de funções na administração penitenciária em cargos de servidores da polícia penal não pode ser admitida, de modo que o Estado do Maranhão deverá realizar o necessário concurso público ou o aproveitamento dos cargos públicos equivalentes, conforme disposto no art. 4º da EC nº 104/2019.</w:t>
        <w:br/>
        <w:t>[ADI 7.098, voto do rel. min. Gilmar Mendes, j. 27-3-2023, P, DJE de 5-5-2023.] (...) Aplicável a todos os entes federativos, o art. 3º da EC 106/2020 possibilita a flexibilização de limitações legais relacionadas à expansão de ações governamentais de enfrentamento</w:t>
      </w:r>
    </w:p>
    <w:p>
      <w:pPr>
        <w:ind w:left="288"/>
      </w:pPr>
      <w:r>
        <w:rPr>
          <w:b/>
          <w:color w:val="003CA0"/>
          <w:sz w:val="16"/>
        </w:rPr>
        <w:t>[ADI 3.237, rel. min. Joaquim Barbosa, j. 26-3-2014, P, DJE de 19-8-2014.]</w:t>
      </w:r>
    </w:p>
    <w:p>
      <w:pPr>
        <w:ind w:left="288"/>
      </w:pPr>
      <w:r>
        <w:rPr>
          <w:color w:val="8C8C8C"/>
          <w:sz w:val="12"/>
        </w:rPr>
        <w:t>cf-art-37-inc-IX</w:t>
      </w:r>
      <w:r>
        <w:rPr>
          <w:color w:val="003CA0"/>
          <w:sz w:val="12"/>
        </w:rPr>
        <w:t xml:space="preserve"> | RE 635.648</w:t>
      </w:r>
      <w:r>
        <w:rPr>
          <w:color w:val="003CA0"/>
          <w:sz w:val="12"/>
        </w:rPr>
        <w:t xml:space="preserve"> | rel. Edson Fachin</w:t>
      </w:r>
    </w:p>
    <w:p>
      <w:pPr>
        <w:ind w:left="288"/>
      </w:pPr>
      <w:r>
        <w:rPr>
          <w:color w:val="1E1E1E"/>
          <w:sz w:val="18"/>
        </w:rPr>
        <w:t>Vide RE 635.648, rel. min. Edson Fachin, j. 14-6-2017, P, DJE de 12-9-2017, Tema 403 É de natureza permanente a atividade de estatística e pesquisa desenvolvida pelo IBGE; sua intensidade e o volume dessas pesquisas não são os mesmos todo o tempo. Possibilidade de contratação temporária, nos termos do art. 37, IX, da Constituição da República, para atender à necessidade temporária de pessoal necessário à realização de trabalhos em determinados períodos. Observância dos princípios da eficiência e da moralidade.</w:t>
      </w:r>
    </w:p>
    <w:p>
      <w:pPr>
        <w:ind w:left="288"/>
      </w:pPr>
      <w:r>
        <w:rPr>
          <w:b/>
          <w:color w:val="003CA0"/>
          <w:sz w:val="16"/>
        </w:rPr>
        <w:t>[ADI 3.386, rel. min. Cármen Lúcia, j. 14-4-2011, P, DJE de 24-8-2011.]</w:t>
      </w:r>
    </w:p>
    <w:p>
      <w:pPr>
        <w:ind w:left="288"/>
      </w:pPr>
      <w:r>
        <w:rPr>
          <w:color w:val="8C8C8C"/>
          <w:sz w:val="12"/>
        </w:rPr>
        <w:t>cf-art-37-inc-IX</w:t>
      </w:r>
      <w:r>
        <w:rPr>
          <w:color w:val="003CA0"/>
          <w:sz w:val="12"/>
        </w:rPr>
        <w:t xml:space="preserve"> | ADI 3.068</w:t>
      </w:r>
      <w:r>
        <w:rPr>
          <w:color w:val="003CA0"/>
          <w:sz w:val="12"/>
        </w:rPr>
        <w:t xml:space="preserve"> | rel. Marco Aurélio</w:t>
      </w:r>
    </w:p>
    <w:p>
      <w:pPr>
        <w:ind w:left="288"/>
      </w:pPr>
      <w:r>
        <w:rPr>
          <w:color w:val="1E1E1E"/>
          <w:sz w:val="18"/>
        </w:rPr>
        <w:t>O art. 37, IX, da Constituição do Brasil autoriza contratações, sem concurso público, desde que indispensáveis ao atendimento de necessidade temporária de excepcional interesse público, quer para o desempenho das atividades de caráter eventual, temporário ou excepcional, quer para o desempenho das atividades de caráter regular e permanente. A alegada inércia da administração não pode ser punida em detrimento do interesse público, que ocorre quando colocado em risco o princípio da continuidade da atividade estatal.</w:t>
      </w:r>
    </w:p>
    <w:p>
      <w:pPr>
        <w:ind w:left="288"/>
      </w:pPr>
      <w:r>
        <w:rPr>
          <w:b/>
          <w:color w:val="003CA0"/>
          <w:sz w:val="16"/>
        </w:rPr>
        <w:t>[ADI 3.068, red. do ac. min. Eros Grau, rel. min. Marco Aurélio, j. 25-8-2004, P, DJ de 23-9-2005.]</w:t>
      </w:r>
    </w:p>
    <w:p>
      <w:pPr>
        <w:ind w:left="288"/>
      </w:pPr>
      <w:r>
        <w:rPr>
          <w:color w:val="8C8C8C"/>
          <w:sz w:val="12"/>
        </w:rPr>
        <w:t>cf-art-37-inc-IX</w:t>
      </w:r>
      <w:r>
        <w:rPr>
          <w:color w:val="003CA0"/>
          <w:sz w:val="12"/>
        </w:rPr>
        <w:t xml:space="preserve"> | ADI 3.247</w:t>
      </w:r>
      <w:r>
        <w:rPr>
          <w:color w:val="003CA0"/>
          <w:sz w:val="12"/>
        </w:rPr>
        <w:t xml:space="preserve"> | rel. Cármen Lúcia</w:t>
      </w:r>
    </w:p>
    <w:p>
      <w:pPr>
        <w:ind w:left="288"/>
      </w:pPr>
      <w:r>
        <w:rPr>
          <w:color w:val="1E1E1E"/>
          <w:sz w:val="18"/>
        </w:rPr>
        <w:t>= ADI 3.247, rel. min. Cármen Lúcia, j. 26-3-2014, P, DJE de 18-8-2014 A regra é a admissão de servidor público mediante concurso público: CF, art. 37, II. As duas exceções à regra são para os cargos em comissão referidos no inciso II do art. 37, e a contratação de pessoal por tempo determinado para atender a necessidade temporária de excepcional interesse público. CF, art. 37, IX. Nessa hipótese, deverão ser atendidas as seguintes condições: a) previsão em lei dos cargos; b) tempo determinado; c) necessidade temporária de interesse público; d) interesse público excepcional.</w:t>
      </w:r>
    </w:p>
    <w:p>
      <w:pPr>
        <w:ind w:left="288"/>
      </w:pPr>
      <w:r>
        <w:rPr>
          <w:b/>
          <w:color w:val="003CA0"/>
          <w:sz w:val="16"/>
        </w:rPr>
        <w:t>[ADI 2.229, rel. min. Carlos Velloso, j. 9-6-2004, P, DJ de 25-6-2004.]</w:t>
      </w:r>
    </w:p>
    <w:p>
      <w:pPr>
        <w:ind w:left="288"/>
      </w:pPr>
      <w:r>
        <w:rPr>
          <w:color w:val="8C8C8C"/>
          <w:sz w:val="12"/>
        </w:rPr>
        <w:t>cf-art-37-inc-IX</w:t>
      </w:r>
      <w:r>
        <w:rPr>
          <w:color w:val="003CA0"/>
          <w:sz w:val="12"/>
        </w:rPr>
        <w:t xml:space="preserve"> | ADI 3.430</w:t>
      </w:r>
      <w:r>
        <w:rPr>
          <w:color w:val="003CA0"/>
          <w:sz w:val="12"/>
        </w:rPr>
        <w:t xml:space="preserve"> | rel. Ricardo Lewandowski</w:t>
      </w:r>
    </w:p>
    <w:p>
      <w:pPr>
        <w:ind w:left="288"/>
      </w:pPr>
      <w:r>
        <w:rPr>
          <w:color w:val="1E1E1E"/>
          <w:sz w:val="18"/>
        </w:rPr>
        <w:t>= ADI 3.430, rel. min. Ricardo Lewandowski, j. 12-8-2009, P, DJE de 23-10-2009 Vide RE 658.026, rel. min. Dias Toffoli, j. 9-4-2014, P, DJE de 31-10-2014, Tema 612 Servidor público: contratação temporária excepcional (CF, art. 37, IX): inconstitucionalidade de sua aplicação para a admissão de servidores para funções burocráticas ordinárias e permanentes.</w:t>
      </w:r>
    </w:p>
    <w:p>
      <w:pPr>
        <w:ind w:left="288"/>
      </w:pPr>
      <w:r>
        <w:rPr>
          <w:b/>
          <w:color w:val="003CA0"/>
          <w:sz w:val="16"/>
        </w:rPr>
        <w:t>[ADI 2.987, rel. min. Sepúlveda Pertence, j. 19-2-2004, P, DJ de 2-4-2004.]</w:t>
      </w:r>
    </w:p>
    <w:p>
      <w:pPr>
        <w:ind w:left="288"/>
      </w:pPr>
      <w:r>
        <w:rPr>
          <w:color w:val="8C8C8C"/>
          <w:sz w:val="12"/>
        </w:rPr>
        <w:t>cf-art-37-inc-IX</w:t>
      </w:r>
      <w:r>
        <w:rPr>
          <w:color w:val="003CA0"/>
          <w:sz w:val="12"/>
        </w:rPr>
        <w:t xml:space="preserve"> | ADI 3.430</w:t>
      </w:r>
      <w:r>
        <w:rPr>
          <w:color w:val="003CA0"/>
          <w:sz w:val="12"/>
        </w:rPr>
        <w:t xml:space="preserve"> | rel. Ricardo Lewandowski</w:t>
      </w:r>
    </w:p>
    <w:p>
      <w:pPr>
        <w:ind w:left="288"/>
      </w:pPr>
      <w:r>
        <w:rPr>
          <w:color w:val="1E1E1E"/>
          <w:sz w:val="18"/>
        </w:rPr>
        <w:t>= ADI 3.430, rel. min. Ricardo Lewandowski, j. 12-8-2009, P, DJE de 23-10-2009 “O prazo bienal para ajuizamento de ação, previsto na parte final do art. 7º, XXIX, da Constituição Federal, não se aplica aos servidores temporários que tiveram seus contratos declarados nulos, por se tratarem de ocupantes de cargos públicos regidos por vínculo de natureza jurídico-administrativa. Nesses casos, incide o prazo prescricional quinquenal, nos termos do art. 1º do Decreto nº 20.910/1932."</w:t>
      </w:r>
    </w:p>
    <w:p>
      <w:pPr>
        <w:ind w:left="288"/>
      </w:pPr>
      <w:r>
        <w:rPr>
          <w:b/>
          <w:color w:val="003CA0"/>
          <w:sz w:val="16"/>
        </w:rPr>
        <w:t>[RE 1.336.848, rel. min. Gilmar Mendes, j. 01.09.2025, P, DJE de 09.09.2025, Tema 1.189, com mérito julgado.]</w:t>
      </w:r>
    </w:p>
    <w:p>
      <w:pPr>
        <w:ind w:left="288"/>
      </w:pPr>
      <w:r>
        <w:rPr>
          <w:color w:val="8C8C8C"/>
          <w:sz w:val="12"/>
        </w:rPr>
        <w:t>cf-art-37-inc-IX</w:t>
      </w:r>
      <w:r>
        <w:rPr>
          <w:color w:val="003CA0"/>
          <w:sz w:val="12"/>
        </w:rPr>
        <w:t xml:space="preserve"> | RE 1.500.990</w:t>
      </w:r>
      <w:r>
        <w:rPr>
          <w:color w:val="003CA0"/>
          <w:sz w:val="12"/>
        </w:rPr>
        <w:t xml:space="preserve"> | rel. Luís Roberto Barroso</w:t>
      </w:r>
    </w:p>
    <w:p>
      <w:pPr>
        <w:ind w:left="288"/>
      </w:pPr>
      <w:r>
        <w:rPr>
          <w:color w:val="1E1E1E"/>
          <w:sz w:val="18"/>
        </w:rPr>
        <w:t>“O regime administrativo-remuneratório da contratação temporária é diverso do regime jurídico dos servidores efetivos, sendo vedada a extensão por decisão judicial de parcelas de qualquer natureza, observado o Tema 551/RG”.</w:t>
      </w:r>
    </w:p>
    <w:p>
      <w:pPr>
        <w:ind w:left="288"/>
      </w:pPr>
      <w:r>
        <w:rPr>
          <w:b/>
          <w:color w:val="003CA0"/>
          <w:sz w:val="16"/>
        </w:rPr>
        <w:t>[RE 1.500.990 RG, rel. min. Luís Roberto Barroso, j. 25.10.2024, P, DJE de 06.11.2024, Tema 1.344, com mérito julgado.]</w:t>
      </w:r>
    </w:p>
    <w:p>
      <w:pPr>
        <w:ind w:left="288"/>
      </w:pPr>
      <w:r>
        <w:rPr>
          <w:color w:val="8C8C8C"/>
          <w:sz w:val="12"/>
        </w:rPr>
        <w:t>cf-art-37-inc-IX</w:t>
      </w:r>
      <w:r>
        <w:rPr>
          <w:color w:val="003CA0"/>
          <w:sz w:val="12"/>
        </w:rPr>
        <w:t xml:space="preserve"> | RE 1.500.990</w:t>
      </w:r>
      <w:r>
        <w:rPr>
          <w:color w:val="003CA0"/>
          <w:sz w:val="12"/>
        </w:rPr>
        <w:t xml:space="preserve"> | rel. Luís Roberto Barroso</w:t>
      </w:r>
    </w:p>
    <w:p>
      <w:pPr>
        <w:ind w:left="288"/>
      </w:pPr>
      <w:r>
        <w:rPr>
          <w:color w:val="1E1E1E"/>
          <w:sz w:val="18"/>
        </w:rPr>
        <w:t>“O regime administrativo-remuneratório da contratação temporária é diverso do regime jurídico dos servidores efetivos, sendo vedada a extensão por decisão judicial de parcelas de qualquer natureza, observado o Tema 551/RG”.</w:t>
      </w:r>
    </w:p>
    <w:p>
      <w:pPr>
        <w:ind w:left="288"/>
      </w:pPr>
      <w:r>
        <w:rPr>
          <w:b/>
          <w:color w:val="003CA0"/>
          <w:sz w:val="16"/>
        </w:rPr>
        <w:t>[RE 1.500.990 RG, rel. min. Luís Roberto Barroso, j. 25.10.2024, P, DJE de 06.11.2024, Tema 1.344, com mérito julgado.]</w:t>
      </w:r>
    </w:p>
    <w:p>
      <w:pPr>
        <w:ind w:left="144"/>
      </w:pPr>
      <w:r>
        <w:rPr>
          <w:b/>
          <w:color w:val="B45A00"/>
          <w:sz w:val="16"/>
        </w:rPr>
        <w:t>REPERCUSSAO GERAL</w:t>
      </w:r>
    </w:p>
    <w:p>
      <w:pPr>
        <w:ind w:left="288"/>
      </w:pPr>
      <w:r>
        <w:rPr>
          <w:color w:val="8C8C8C"/>
          <w:sz w:val="12"/>
        </w:rPr>
        <w:t>cf-art-37-inc-IX</w:t>
      </w:r>
      <w:r>
        <w:rPr>
          <w:color w:val="003CA0"/>
          <w:sz w:val="12"/>
        </w:rPr>
        <w:t xml:space="preserve"> | RE 1.066.677</w:t>
      </w:r>
      <w:r>
        <w:rPr>
          <w:color w:val="003CA0"/>
          <w:sz w:val="12"/>
        </w:rPr>
        <w:t xml:space="preserve"> | rel. Marco Aurélio</w:t>
      </w:r>
    </w:p>
    <w:p>
      <w:pPr>
        <w:ind w:left="288"/>
      </w:pPr>
      <w:r>
        <w:rPr>
          <w:color w:val="1E1E1E"/>
          <w:sz w:val="18"/>
        </w:rPr>
        <w:t>Servidores temporários não fazem jus a décimo terceiro salário e férias remuneradas acrescidas do terço constitucional, salvo (I) expressa previsão legal e/ou contratual em sentido contrário, ou (II) comprovado desvirtuamento da contratação temporária pela Administração Pública, em razão de sucessivas e reiteradas renovações e/ou prorrogações.</w:t>
      </w:r>
    </w:p>
    <w:p>
      <w:pPr>
        <w:ind w:left="288"/>
      </w:pPr>
      <w:r>
        <w:rPr>
          <w:b/>
          <w:color w:val="003CA0"/>
          <w:sz w:val="16"/>
        </w:rPr>
        <w:t>[RE 1.066.677, rel. min. Marco Aurélio, j. 22-5-2020, P, DJE de 1º-7-2020, Tema 551, com mérito julgado.]</w:t>
      </w:r>
    </w:p>
    <w:p>
      <w:pPr>
        <w:ind w:left="288"/>
      </w:pPr>
      <w:r>
        <w:rPr>
          <w:color w:val="8C8C8C"/>
          <w:sz w:val="12"/>
        </w:rPr>
        <w:t>cf-art-37-inc-IX</w:t>
      </w:r>
      <w:r>
        <w:rPr>
          <w:color w:val="003CA0"/>
          <w:sz w:val="12"/>
        </w:rPr>
        <w:t xml:space="preserve"> | RE 635.648</w:t>
      </w:r>
      <w:r>
        <w:rPr>
          <w:color w:val="003CA0"/>
          <w:sz w:val="12"/>
        </w:rPr>
        <w:t xml:space="preserve"> | rel. Edson Fachin</w:t>
      </w:r>
    </w:p>
    <w:p>
      <w:pPr>
        <w:ind w:left="288"/>
      </w:pPr>
      <w:r>
        <w:rPr>
          <w:color w:val="1E1E1E"/>
          <w:sz w:val="18"/>
        </w:rPr>
        <w:t>É compatível com a CF a previsão legal que exija o transcurso de 24 meses, contados do término do contrato, antes de nova admissão de professor temporário anteriormente contratado.</w:t>
        <w:br/>
        <w:t>[RE 635.648, voto do rel. min. Edson Fachin, j. 14-6-2017, P, DJE de 12-9-2017, Tema 403, com mérito julgado.] Reafirma-se, para fins de repercussão geral, a jurisprudência do STF no sentido de que a contratação por tempo determinado para atendimento de necessidade temporária de excepcional interesse público realizada em desconformidade com os preceitos do art. 37, IX, da CF não gera quaisquer efeitos jurídicos váli</w:t>
      </w:r>
    </w:p>
    <w:p>
      <w:pPr>
        <w:ind w:left="288"/>
      </w:pPr>
      <w:r>
        <w:rPr>
          <w:b/>
          <w:color w:val="003CA0"/>
          <w:sz w:val="16"/>
        </w:rPr>
        <w:t>[RE 658.026, rel. min. Dias Toffoli, j. 9-4-2014, P, DJE de 31-10-2014, Tema 612, com mérito julgado.]</w:t>
      </w:r>
    </w:p>
    <w:p>
      <w:pPr>
        <w:ind w:left="288"/>
      </w:pPr>
      <w:r>
        <w:rPr>
          <w:color w:val="8C8C8C"/>
          <w:sz w:val="12"/>
        </w:rPr>
        <w:t>cf-art-37-inc-IX</w:t>
      </w:r>
      <w:r>
        <w:rPr>
          <w:color w:val="003CA0"/>
          <w:sz w:val="12"/>
        </w:rPr>
        <w:t xml:space="preserve"> | ADI 2.229</w:t>
      </w:r>
      <w:r>
        <w:rPr>
          <w:color w:val="003CA0"/>
          <w:sz w:val="12"/>
        </w:rPr>
        <w:t xml:space="preserve"> | rel. Carlos Velloso</w:t>
      </w:r>
    </w:p>
    <w:p>
      <w:pPr>
        <w:ind w:left="288"/>
      </w:pPr>
      <w:r>
        <w:rPr>
          <w:color w:val="1E1E1E"/>
          <w:sz w:val="18"/>
        </w:rPr>
        <w:t>Vide ADI 2.229, rel. min. Carlos Velloso, j. 9-6-2004, P, DJ de 25-6-2004</w:t>
        <w:br/>
        <w:t>Vide RE 765.320 RG, rel. min. Teori Zavascki, j. 15-9-2016, P, DJE de 23-9-2016, Tema 916, com mérito julgado. Compete à Justiça comum processar e julgar causas instauradas entre o poder público e seus servidores submetidos a regime especial disciplinado por lei local editada antes da Constituição Republicana de 1988, com fundamento no art. 106 da Constituição de 1967, na redação que lhe deu a EC 1/1969, ou no art. 37, IX, da Constituição de 1988.</w:t>
        <w:br/>
        <w:t>[RE 573.202, rel. min. Ricardo Lewandowski, j. 21-8-2008, P, DJE de 5-12-2</w:t>
      </w:r>
    </w:p>
    <w:p>
      <w:pPr>
        <w:ind w:left="288"/>
      </w:pPr>
      <w:r>
        <w:rPr>
          <w:b/>
          <w:color w:val="003CA0"/>
          <w:sz w:val="16"/>
        </w:rPr>
        <w:t>[Rcl 57.848, rel. min. Luiz Fux, j. 23.09.2025, P, Informativo STF 1.192.]</w:t>
      </w:r>
    </w:p>
    <w:p>
      <w:pPr>
        <w:ind w:left="288"/>
      </w:pPr>
      <w:r>
        <w:rPr>
          <w:color w:val="8C8C8C"/>
          <w:sz w:val="12"/>
        </w:rPr>
        <w:t>cf-art-37-inc-IX</w:t>
      </w:r>
      <w:r>
        <w:rPr>
          <w:color w:val="003CA0"/>
          <w:sz w:val="12"/>
        </w:rPr>
        <w:t xml:space="preserve"> | RE 684.612</w:t>
      </w:r>
      <w:r>
        <w:rPr>
          <w:color w:val="003CA0"/>
          <w:sz w:val="12"/>
        </w:rPr>
        <w:t xml:space="preserve"> | rel. Flávio Dino</w:t>
      </w:r>
    </w:p>
    <w:p>
      <w:pPr>
        <w:ind w:left="288"/>
      </w:pPr>
      <w:r>
        <w:rPr>
          <w:color w:val="1E1E1E"/>
          <w:sz w:val="18"/>
        </w:rPr>
        <w:t>Os convênios, especialmente no contexto da Administração Pública municipal, possuem características intrínsecas que os qualificam como circunstâncias de necessidade excepcional e transitória. É fundamental distinguir a permanência da atividade-fim (saúde, assistência social) da transitoriedade e excepcionalidade da necessidade de contratação de pessoal pelo Município para a execução desses programas por meio de convênios, cuja continuidade depende de repasses de recursos e da manutenção das políticas pelos entes conveniados. A exigência de criação de cargos de provimento efetivo para atender a</w:t>
      </w:r>
    </w:p>
    <w:p>
      <w:pPr>
        <w:ind w:left="288"/>
      </w:pPr>
      <w:r>
        <w:rPr>
          <w:b/>
          <w:color w:val="003CA0"/>
          <w:sz w:val="16"/>
        </w:rPr>
        <w:t>[RE 1.543.843 AgR, rel. min. Flávio Dino, j. 12.08.2025, 1ª T, DJE de 18.08.2025.]</w:t>
      </w:r>
    </w:p>
    <w:p>
      <w:pPr>
        <w:ind w:left="288"/>
      </w:pPr>
      <w:r>
        <w:rPr>
          <w:color w:val="8C8C8C"/>
          <w:sz w:val="12"/>
        </w:rPr>
        <w:t>cf-art-37-inc-IX</w:t>
      </w:r>
      <w:r>
        <w:rPr>
          <w:color w:val="003CA0"/>
          <w:sz w:val="12"/>
        </w:rPr>
        <w:t xml:space="preserve"> | RCL 76.962</w:t>
      </w:r>
      <w:r>
        <w:rPr>
          <w:color w:val="003CA0"/>
          <w:sz w:val="12"/>
        </w:rPr>
        <w:t xml:space="preserve"> | rel. Flávio Dino</w:t>
      </w:r>
    </w:p>
    <w:p>
      <w:pPr>
        <w:ind w:left="288"/>
      </w:pPr>
      <w:r>
        <w:rPr>
          <w:color w:val="1E1E1E"/>
          <w:sz w:val="18"/>
        </w:rPr>
        <w:t>A contratação temporária, prevista no art. 37, IX, da Constituição Federal, é constitucional, desde que observados os requisitos legais. O fato de ser utilizada para atividades permanentes não configura, por si só, preterição ilegal de candidatos aprovados em concurso público.</w:t>
      </w:r>
    </w:p>
    <w:p>
      <w:pPr>
        <w:ind w:left="288"/>
      </w:pPr>
      <w:r>
        <w:rPr>
          <w:b/>
          <w:color w:val="003CA0"/>
          <w:sz w:val="16"/>
        </w:rPr>
        <w:t>[Rcl 76.962 AgR, rel. min. Flávio Dino, j. 07.04.2025, 1ª T, DJE de 15.04.2025.]</w:t>
      </w:r>
    </w:p>
    <w:p>
      <w:pPr>
        <w:ind w:left="288"/>
      </w:pPr>
      <w:r>
        <w:rPr>
          <w:color w:val="8C8C8C"/>
          <w:sz w:val="12"/>
        </w:rPr>
        <w:t>cf-art-37-inc-IX</w:t>
      </w:r>
      <w:r>
        <w:rPr>
          <w:color w:val="003CA0"/>
          <w:sz w:val="12"/>
        </w:rPr>
        <w:t xml:space="preserve"> | ARE 1.493.344</w:t>
      </w:r>
      <w:r>
        <w:rPr>
          <w:color w:val="003CA0"/>
          <w:sz w:val="12"/>
        </w:rPr>
        <w:t xml:space="preserve"> | rel. Edson Fachin</w:t>
      </w:r>
    </w:p>
    <w:p>
      <w:pPr>
        <w:ind w:left="288"/>
      </w:pPr>
      <w:r>
        <w:rPr>
          <w:color w:val="1E1E1E"/>
          <w:sz w:val="18"/>
        </w:rPr>
        <w:t>A verba referente ao adicional de insalubridade não está abarcada nas verbas trabalhistas mencionadas na ressalva do Tema 551 da sistemática de repercussão geral, de modo que indevida ao servidor temporário cujo vínculo foi declarado irregular em razão do comprovado desvirtuamento advindo de sucessivas e reiteradas renovações e/ou prorrogações, a partir de hermenêutica conjunta ao Tema 916 da repercussão geral.</w:t>
      </w:r>
    </w:p>
    <w:p>
      <w:pPr>
        <w:ind w:left="288"/>
      </w:pPr>
      <w:r>
        <w:rPr>
          <w:b/>
          <w:color w:val="003CA0"/>
          <w:sz w:val="16"/>
        </w:rPr>
        <w:t>[ARE 1.493.344 AgR-ED-AgR, rel. min. Edson Fachin, j. 31.03.2025, 2ª T, DJE de 08.04.2025.]</w:t>
      </w:r>
    </w:p>
    <w:p>
      <w:pPr>
        <w:ind w:left="144"/>
      </w:pPr>
      <w:r>
        <w:rPr>
          <w:b/>
          <w:color w:val="B45A00"/>
          <w:sz w:val="16"/>
        </w:rPr>
        <w:t>JULGADOS CORRELATOS</w:t>
      </w:r>
    </w:p>
    <w:p>
      <w:pPr>
        <w:ind w:left="288"/>
      </w:pPr>
      <w:r>
        <w:rPr>
          <w:color w:val="8C8C8C"/>
          <w:sz w:val="12"/>
        </w:rPr>
        <w:t>cf-art-37-inc-IX</w:t>
      </w:r>
      <w:r>
        <w:rPr>
          <w:color w:val="003CA0"/>
          <w:sz w:val="12"/>
        </w:rPr>
        <w:t xml:space="preserve"> | RE 781-826</w:t>
      </w:r>
      <w:r>
        <w:rPr>
          <w:color w:val="003CA0"/>
          <w:sz w:val="12"/>
        </w:rPr>
        <w:t xml:space="preserve"> | rel. Dias Toffoli</w:t>
      </w:r>
    </w:p>
    <w:p>
      <w:pPr>
        <w:ind w:left="288"/>
      </w:pPr>
      <w:r>
        <w:rPr>
          <w:color w:val="1E1E1E"/>
          <w:sz w:val="18"/>
        </w:rPr>
        <w:t>Lei do Município de Ilhabela 717/2009. (...) A lei impugnada, na realidade, não regulamenta contratação temporária, mas sim aspecto de bolsa concedida em âmbito de programa que tem cunho pedagógico. O fato de o bolsista, em caráter eventual, ter de realizar colaboração surge como contrapartida da sua participação no programa, o que não apresenta qualquer irrazoabilidade.</w:t>
      </w:r>
    </w:p>
    <w:p>
      <w:pPr>
        <w:ind w:left="288"/>
      </w:pPr>
      <w:r>
        <w:rPr>
          <w:b/>
          <w:color w:val="003CA0"/>
          <w:sz w:val="16"/>
        </w:rPr>
        <w:t>[RE 781-826 AgR, rel. min. Dias Toffoli, j. 20-4-2018, 2ª T, DJE de 15-5-2018.]</w:t>
      </w:r>
    </w:p>
    <w:p>
      <w:pPr>
        <w:ind w:left="288"/>
      </w:pPr>
      <w:r>
        <w:rPr>
          <w:color w:val="8C8C8C"/>
          <w:sz w:val="12"/>
        </w:rPr>
        <w:t>cf-art-37-inc-IX</w:t>
      </w:r>
      <w:r>
        <w:rPr>
          <w:color w:val="003CA0"/>
          <w:sz w:val="12"/>
        </w:rPr>
        <w:t xml:space="preserve"> | ARE 649.393</w:t>
      </w:r>
      <w:r>
        <w:rPr>
          <w:color w:val="003CA0"/>
          <w:sz w:val="12"/>
        </w:rPr>
        <w:t xml:space="preserve"> | rel. Cármen Lúcia</w:t>
      </w:r>
    </w:p>
    <w:p>
      <w:pPr>
        <w:ind w:left="288"/>
      </w:pPr>
      <w:r>
        <w:rPr>
          <w:color w:val="1E1E1E"/>
          <w:sz w:val="18"/>
        </w:rPr>
        <w:t>(...) em caso análogo ao que ora se debate, este STF assentou que é devida a extensão de direito previsto no art. 7º da Constituição da República a servidor contratado temporariamente com base em lei local regulamentadora do art. 37, IX, da Constituição, principalmente nos casos de contratos sucessivamente prorrogados.</w:t>
        <w:br/>
        <w:t>[ARE 649.393 AgR, voto da rel. min. Cármen Lúcia, j. 22-11-2011, 1ª T, DJE de 14-12-2011.]</w:t>
        <w:br/>
        <w:t>= ARE 664.484 AgR, rel. min. Gilmar Mendes, j. 5-2-2013, 2ª T, DJE de 25-2-2013 (...) ressalto que, em casos análogos, esta Suprema Corte tem reconhecido que a existência de leis municipai</w:t>
      </w:r>
    </w:p>
    <w:p>
      <w:pPr>
        <w:ind w:left="288"/>
      </w:pPr>
      <w:r>
        <w:rPr>
          <w:b/>
          <w:color w:val="003CA0"/>
          <w:sz w:val="16"/>
        </w:rPr>
        <w:t>[HC 104.078, voto do rel. min. Gilmar Mendes, j. 7-6-2011, 2ª T, DJE de 5-8-2011.]</w:t>
      </w:r>
    </w:p>
    <w:p>
      <w:pPr>
        <w:ind w:left="288"/>
      </w:pPr>
      <w:r>
        <w:rPr>
          <w:color w:val="8C8C8C"/>
          <w:sz w:val="12"/>
        </w:rPr>
        <w:t>cf-art-37-inc-IX</w:t>
      </w:r>
      <w:r>
        <w:rPr>
          <w:color w:val="003CA0"/>
          <w:sz w:val="12"/>
        </w:rPr>
        <w:t xml:space="preserve"> | AI 684.518</w:t>
      </w:r>
      <w:r>
        <w:rPr>
          <w:color w:val="003CA0"/>
          <w:sz w:val="12"/>
        </w:rPr>
        <w:t xml:space="preserve"> | rel. Eros Grau</w:t>
      </w:r>
    </w:p>
    <w:p>
      <w:pPr>
        <w:ind w:left="288"/>
      </w:pPr>
      <w:r>
        <w:rPr>
          <w:color w:val="1E1E1E"/>
          <w:sz w:val="18"/>
        </w:rPr>
        <w:t>O STF fixou entendimento no sentido de que, comprovada a necessidade de contratação de pessoal, deve-se nomear os candidatos aprovados no certame em vigor em detrimento da renovação de contrato temporário.</w:t>
      </w:r>
    </w:p>
    <w:p>
      <w:pPr>
        <w:ind w:left="288"/>
      </w:pPr>
      <w:r>
        <w:rPr>
          <w:b/>
          <w:color w:val="003CA0"/>
          <w:sz w:val="16"/>
        </w:rPr>
        <w:t>[AI 684.518 AgR, rel. min. Eros Grau, j. 28-4-2009, 2ª T, DJE de 29-5-2009.]</w:t>
      </w:r>
    </w:p>
    <w:p>
      <w:pPr>
        <w:ind w:left="288"/>
      </w:pPr>
      <w:r>
        <w:rPr>
          <w:color w:val="8C8C8C"/>
          <w:sz w:val="12"/>
        </w:rPr>
        <w:t>cf-art-37-inc-IX</w:t>
      </w:r>
      <w:r>
        <w:rPr>
          <w:color w:val="003CA0"/>
          <w:sz w:val="12"/>
        </w:rPr>
        <w:t xml:space="preserve"> | RE 555.141</w:t>
      </w:r>
      <w:r>
        <w:rPr>
          <w:color w:val="003CA0"/>
          <w:sz w:val="12"/>
        </w:rPr>
        <w:t xml:space="preserve"> | rel. Ellen Gracie</w:t>
      </w:r>
    </w:p>
    <w:p>
      <w:pPr>
        <w:ind w:left="288"/>
      </w:pPr>
      <w:r>
        <w:rPr>
          <w:color w:val="1E1E1E"/>
          <w:sz w:val="18"/>
        </w:rPr>
        <w:t xml:space="preserve">= RE 555.141 AgR, rel. min. Ellen Gracie, j. 8-2-2011, 2ª T, DJE de 24-2-2011 Servidores públicos. Regime temporário. Justiça do Trabalho. Incompetência. No julgamento da ADI 3.395 MC/DF, este Supremo Tribunal suspendeu toda e qualquer interpretação do inciso I do art. 114 da CF (na redação da EC 45/2004) que inserisse, na competência da Justiça do Trabalho, a apreciação de causas instauradas entre o poder público e seus servidores, a ele vinculados por típica relação de ordem estatutária ou de caráter jurídico-administrativo. As contratações temporárias para suprir os serviços públicos estão </w:t>
      </w:r>
    </w:p>
    <w:p>
      <w:pPr>
        <w:ind w:left="288"/>
      </w:pPr>
      <w:r>
        <w:rPr>
          <w:b/>
          <w:color w:val="003CA0"/>
          <w:sz w:val="16"/>
        </w:rPr>
        <w:t>[Rcl 4.872, red. do ac. min. Menezes Direito, rel. min. Marco Aurélio, j. 21-8-2008, P, DJE de 7-11-2008.]</w:t>
      </w:r>
    </w:p>
    <w:p>
      <w:pPr>
        <w:ind w:left="288"/>
      </w:pPr>
      <w:r>
        <w:rPr>
          <w:color w:val="8C8C8C"/>
          <w:sz w:val="12"/>
        </w:rPr>
        <w:t>cf-art-37-inc-IX</w:t>
      </w:r>
      <w:r>
        <w:rPr>
          <w:color w:val="003CA0"/>
          <w:sz w:val="12"/>
        </w:rPr>
        <w:t xml:space="preserve"> | RCL 7.126</w:t>
      </w:r>
      <w:r>
        <w:rPr>
          <w:color w:val="003CA0"/>
          <w:sz w:val="12"/>
        </w:rPr>
        <w:t xml:space="preserve"> | rel. Joaquim Barbosa</w:t>
      </w:r>
    </w:p>
    <w:p>
      <w:pPr>
        <w:ind w:left="288"/>
      </w:pPr>
      <w:r>
        <w:rPr>
          <w:color w:val="1E1E1E"/>
          <w:sz w:val="18"/>
        </w:rPr>
        <w:t>= Rcl 7.126 AgR, rel. min. Joaquim Barbosa, j. 20-6-2012, P, DJE de 1º-8-2012 X - a remuneração dos servidores públicos e o subsídio de que trata o § 4º do art. 39 somente poderão ser fixados ou alterados por lei específica, observada a iniciativa privativa em cada caso, assegurada revisão geral anual, sempre na mesma data e sem distinção de índices; (Redação da EC 19/1998)</w:t>
      </w:r>
    </w:p>
    <w:p>
      <w:pPr>
        <w:ind w:left="144"/>
      </w:pPr>
      <w:r>
        <w:rPr>
          <w:b/>
          <w:color w:val="B45A00"/>
          <w:sz w:val="16"/>
        </w:rPr>
        <w:t>SUMULA VINCULANTE</w:t>
      </w:r>
    </w:p>
    <w:p>
      <w:pPr>
        <w:ind w:left="288"/>
      </w:pPr>
      <w:r>
        <w:rPr>
          <w:color w:val="8C8C8C"/>
          <w:sz w:val="12"/>
        </w:rPr>
        <w:t>cf-art-37-inc-IX</w:t>
      </w:r>
    </w:p>
    <w:p>
      <w:pPr>
        <w:ind w:left="288"/>
      </w:pPr>
      <w:r>
        <w:rPr>
          <w:color w:val="1E1E1E"/>
          <w:sz w:val="18"/>
        </w:rPr>
        <w:t>O reajuste de 28,86%, concedido aos servidores militares pelas Leis 8.622/1993 e 8.627/1993, estende-se aos servidores civis do Poder Executivo, observadas as eventuais compensações decorrentes dos reajustes diferenciados concedidos pelos mesmos diplomas legais.</w:t>
      </w:r>
    </w:p>
    <w:p>
      <w:pPr>
        <w:ind w:left="288"/>
      </w:pPr>
      <w:r>
        <w:rPr>
          <w:b/>
          <w:color w:val="003CA0"/>
          <w:sz w:val="16"/>
        </w:rPr>
        <w:t>[Súmula Vinculante 51.]</w:t>
      </w:r>
    </w:p>
    <w:p>
      <w:pPr>
        <w:ind w:left="288"/>
      </w:pPr>
      <w:r>
        <w:rPr>
          <w:color w:val="8C8C8C"/>
          <w:sz w:val="12"/>
        </w:rPr>
        <w:t>cf-art-37-inc-IX</w:t>
      </w:r>
    </w:p>
    <w:p>
      <w:pPr>
        <w:ind w:left="288"/>
      </w:pPr>
      <w:r>
        <w:rPr>
          <w:color w:val="1E1E1E"/>
          <w:sz w:val="18"/>
        </w:rPr>
        <w:t>Não cabe ao poder Judiciário, que não tem função legislativa, aumentar vencimentos de servidores públicos sob o fundamento de isonomia.</w:t>
      </w:r>
    </w:p>
    <w:p>
      <w:pPr>
        <w:ind w:left="288"/>
      </w:pPr>
      <w:r>
        <w:rPr>
          <w:b/>
          <w:color w:val="003CA0"/>
          <w:sz w:val="16"/>
        </w:rPr>
        <w:t>[Súmula Vinculante 37.]</w:t>
      </w:r>
    </w:p>
    <w:p>
      <w:pPr>
        <w:ind w:left="144"/>
      </w:pPr>
      <w:r>
        <w:rPr>
          <w:b/>
          <w:color w:val="B45A00"/>
          <w:sz w:val="16"/>
        </w:rPr>
        <w:t>SUMULA</w:t>
      </w:r>
    </w:p>
    <w:p>
      <w:pPr>
        <w:ind w:left="288"/>
      </w:pPr>
      <w:r>
        <w:rPr>
          <w:color w:val="8C8C8C"/>
          <w:sz w:val="12"/>
        </w:rPr>
        <w:t>cf-art-37-inc-IX</w:t>
      </w:r>
    </w:p>
    <w:p>
      <w:pPr>
        <w:ind w:left="288"/>
      </w:pPr>
      <w:r>
        <w:rPr>
          <w:color w:val="1E1E1E"/>
          <w:sz w:val="18"/>
        </w:rPr>
        <w:t>Não ofende a Constituição a correção monetária no pagamento com atraso dos vencimentos de servidores públicos.</w:t>
      </w:r>
    </w:p>
    <w:p>
      <w:pPr>
        <w:ind w:left="288"/>
      </w:pPr>
      <w:r>
        <w:rPr>
          <w:b/>
          <w:color w:val="003CA0"/>
          <w:sz w:val="16"/>
        </w:rPr>
        <w:t>[Súmula 682.]</w:t>
      </w:r>
    </w:p>
    <w:p>
      <w:pPr>
        <w:ind w:left="288"/>
      </w:pPr>
      <w:r>
        <w:rPr>
          <w:color w:val="8C8C8C"/>
          <w:sz w:val="12"/>
        </w:rPr>
        <w:t>cf-art-37-inc-IX</w:t>
      </w:r>
    </w:p>
    <w:p>
      <w:pPr>
        <w:ind w:left="288"/>
      </w:pPr>
      <w:r>
        <w:rPr>
          <w:color w:val="1E1E1E"/>
          <w:sz w:val="18"/>
        </w:rPr>
        <w:t>A fixação de vencimentos dos servidores públicos não pode ser objeto de convenção coletiva.</w:t>
      </w:r>
    </w:p>
    <w:p>
      <w:pPr>
        <w:ind w:left="288"/>
      </w:pPr>
      <w:r>
        <w:rPr>
          <w:b/>
          <w:color w:val="003CA0"/>
          <w:sz w:val="16"/>
        </w:rPr>
        <w:t>[Súmula 679.]</w:t>
      </w:r>
    </w:p>
    <w:p>
      <w:pPr>
        <w:ind w:left="288"/>
      </w:pPr>
      <w:r>
        <w:rPr>
          <w:color w:val="8C8C8C"/>
          <w:sz w:val="12"/>
        </w:rPr>
        <w:t>cf-art-37-inc-IX</w:t>
      </w:r>
      <w:r>
        <w:rPr>
          <w:color w:val="003CA0"/>
          <w:sz w:val="12"/>
        </w:rPr>
        <w:t xml:space="preserve"> | ADPF 1.230</w:t>
      </w:r>
      <w:r>
        <w:rPr>
          <w:color w:val="003CA0"/>
          <w:sz w:val="12"/>
        </w:rPr>
        <w:t xml:space="preserve"> | rel. Cristiano Zanin</w:t>
      </w:r>
    </w:p>
    <w:p>
      <w:pPr>
        <w:ind w:left="288"/>
      </w:pPr>
      <w:r>
        <w:rPr>
          <w:color w:val="1E1E1E"/>
          <w:sz w:val="18"/>
        </w:rPr>
        <w:t>As Leis estaduais nº 17.597/2012, nº 18.172/2013 e nº 18.417/2014 buscaram conciliar o direito dos servidores com o equilíbrio econômico-financeiro das contas públicas estaduais. O Tribunal de Justiça do Estado de Goiás, ao julgar procedentes diversas ações coletivas e determinar o pagamento de valores retroativos pela revisão geral anual, gerou um impacto orçamentário-financeiro significativo, que pode comprometer a sustentabilidade do orçamento estadual. O equilíbrio fiscal é essencial para a implementação e manutenção de importantes políticas públicas e a garantia dos direitos sociais, conf</w:t>
      </w:r>
    </w:p>
    <w:p>
      <w:pPr>
        <w:ind w:left="288"/>
      </w:pPr>
      <w:r>
        <w:rPr>
          <w:b/>
          <w:color w:val="003CA0"/>
          <w:sz w:val="16"/>
        </w:rPr>
        <w:t>[ADPF 1.230 REF, rel. min. Cristiano Zanin, j. 06.08.2025, P, DJE de 13.08.2025.]</w:t>
      </w:r>
    </w:p>
    <w:p>
      <w:pPr>
        <w:ind w:left="288"/>
      </w:pPr>
      <w:r>
        <w:rPr>
          <w:color w:val="8C8C8C"/>
          <w:sz w:val="12"/>
        </w:rPr>
        <w:t>cf-art-37-inc-IX</w:t>
      </w:r>
      <w:r>
        <w:rPr>
          <w:color w:val="003CA0"/>
          <w:sz w:val="12"/>
        </w:rPr>
        <w:t xml:space="preserve"> | ADI 4.570</w:t>
      </w:r>
      <w:r>
        <w:rPr>
          <w:color w:val="003CA0"/>
          <w:sz w:val="12"/>
        </w:rPr>
        <w:t xml:space="preserve"> | rel. Nunes Marques</w:t>
      </w:r>
    </w:p>
    <w:p>
      <w:pPr>
        <w:ind w:left="288"/>
      </w:pPr>
      <w:r>
        <w:rPr>
          <w:color w:val="1E1E1E"/>
          <w:sz w:val="18"/>
        </w:rPr>
        <w:t>A fixação da remuneração dos servidores da Assembleia Legislativa se dá por lei específica de iniciativa privativa do próprio Poder Legislativo (CF/1988, art. 37, X), sendo inconstitucional a inserção do tema por emenda parlamentar em projeto de lei de iniciativa reservada.</w:t>
      </w:r>
    </w:p>
    <w:p>
      <w:pPr>
        <w:ind w:left="288"/>
      </w:pPr>
      <w:r>
        <w:rPr>
          <w:b/>
          <w:color w:val="003CA0"/>
          <w:sz w:val="16"/>
        </w:rPr>
        <w:t>[ADI 4.570, rel. min. Nunes Marques, j. 31.03.2025, P, DJE de 11.04.2025.]</w:t>
      </w:r>
    </w:p>
    <w:p>
      <w:pPr>
        <w:ind w:left="288"/>
      </w:pPr>
      <w:r>
        <w:rPr>
          <w:color w:val="8C8C8C"/>
          <w:sz w:val="12"/>
        </w:rPr>
        <w:t>cf-art-37-inc-IX</w:t>
      </w:r>
      <w:r>
        <w:rPr>
          <w:color w:val="003CA0"/>
          <w:sz w:val="12"/>
        </w:rPr>
        <w:t xml:space="preserve"> | ADI 6.849</w:t>
      </w:r>
      <w:r>
        <w:rPr>
          <w:color w:val="003CA0"/>
          <w:sz w:val="12"/>
        </w:rPr>
        <w:t xml:space="preserve"> | rel. Dias Toffoli</w:t>
      </w:r>
    </w:p>
    <w:p>
      <w:pPr>
        <w:ind w:left="288"/>
      </w:pPr>
      <w:r>
        <w:rPr>
          <w:color w:val="1E1E1E"/>
          <w:sz w:val="18"/>
        </w:rPr>
        <w:t>Regime próprio de previdência social do Estado do Paraná. Fixação de termo inicial para o pagamento dos benefícios de aposentadoria. Início do pagamento no mês subsequente ao da publicação do ato concessivo. (...) Até que o provento de aposentadoria seja efetivamente pago, o servidor público permanece recebendo seus vencimentos da ativa. Assim, eventual acolhimento da tese suscitada pelo requerente, segundo a qual os proventos deveriam ser pagos desde a data da entrega do requerimento (DET), acarretaria nítida violação do art. 37, § 10, da Constituição, segundo o qual, em regra, é vedada a per</w:t>
      </w:r>
    </w:p>
    <w:p>
      <w:pPr>
        <w:ind w:left="288"/>
      </w:pPr>
      <w:r>
        <w:rPr>
          <w:b/>
          <w:color w:val="003CA0"/>
          <w:sz w:val="16"/>
        </w:rPr>
        <w:t>[ADI 6.849, rel. min. Dias Toffoli, j. 19.11.2024, P, DJE de 02.12.2024.]</w:t>
      </w:r>
    </w:p>
    <w:p>
      <w:pPr>
        <w:ind w:left="288"/>
      </w:pPr>
      <w:r>
        <w:rPr>
          <w:color w:val="8C8C8C"/>
          <w:sz w:val="12"/>
        </w:rPr>
        <w:t>cf-art-37-inc-IX</w:t>
      </w:r>
      <w:r>
        <w:rPr>
          <w:color w:val="003CA0"/>
          <w:sz w:val="12"/>
        </w:rPr>
        <w:t xml:space="preserve"> | ADPF 362</w:t>
      </w:r>
      <w:r>
        <w:rPr>
          <w:color w:val="003CA0"/>
          <w:sz w:val="12"/>
        </w:rPr>
        <w:t xml:space="preserve"> | rel. Alexandre de Moraes</w:t>
      </w:r>
    </w:p>
    <w:p>
      <w:pPr>
        <w:ind w:left="288"/>
      </w:pPr>
      <w:r>
        <w:rPr>
          <w:color w:val="1E1E1E"/>
          <w:sz w:val="18"/>
        </w:rPr>
        <w:t>Ofício 265/1991 do Presidente da Assembleia Legislativa do Estado da Bahia. Exigência de lei específica para concessão de reajuste remuneratório para servidores do poder legislativo. Período anterior ao advento da emenda constitucional 19/98. Desnecessidade. Não atendimento às regras do processo legislativo. Ausência de ato formal da mesa diretora deliberando sobre o aumento concedido. Usurpação de competência. Configuração. (...) A subtração, pelo Presidente da Assembleia Legislativa, das atribuições conferidas à Mesa Diretora sugere haver indevida usurpação de competência, em conflito com os</w:t>
      </w:r>
    </w:p>
    <w:p>
      <w:pPr>
        <w:ind w:left="288"/>
      </w:pPr>
      <w:r>
        <w:rPr>
          <w:b/>
          <w:color w:val="003CA0"/>
          <w:sz w:val="16"/>
        </w:rPr>
        <w:t>[ADI 2.915, rel. min. Nunes Marques, j. 22-8-2023, P, DJE de 13-9-2023.]</w:t>
      </w:r>
    </w:p>
    <w:p>
      <w:pPr>
        <w:ind w:left="288"/>
      </w:pPr>
      <w:r>
        <w:rPr>
          <w:color w:val="8C8C8C"/>
          <w:sz w:val="12"/>
        </w:rPr>
        <w:t>cf-art-37-inc-IX</w:t>
      </w:r>
      <w:r>
        <w:rPr>
          <w:color w:val="003CA0"/>
          <w:sz w:val="12"/>
        </w:rPr>
        <w:t xml:space="preserve"> | ADI 1.156</w:t>
      </w:r>
      <w:r>
        <w:rPr>
          <w:color w:val="003CA0"/>
          <w:sz w:val="12"/>
        </w:rPr>
        <w:t xml:space="preserve"> | rel. Roberto Barroso</w:t>
      </w:r>
    </w:p>
    <w:p>
      <w:pPr>
        <w:ind w:left="288"/>
      </w:pPr>
      <w:r>
        <w:rPr>
          <w:color w:val="1E1E1E"/>
          <w:sz w:val="18"/>
        </w:rPr>
        <w:t>A previsão de índices distintos para a revisão geral anual, a depender do cargo e da sua remuneração, constante do art. 2º, §2º, e do art. 17, §1º, II, da LC nº 15/1993, do Estado da Paraíba, ofende o art. 37, X, da CF/1988. O atingimento do objetivo do art. 37, XII, da CF/1988, de se buscar algum grau de isonomia entre vencimentos em todos os Poderes, ainda que seja relevante, não pode ser buscado pela via da revisão geral anual.</w:t>
        <w:br/>
        <w:t>[ADI 1.156, rel. min. Roberto Barroso, j. 1º-3-2023, P, DJE de 9-3-2023.] Bônus de eficiência e produtividade na atividade tributária e aduaneira e da auditoria-fisc</w:t>
      </w:r>
    </w:p>
    <w:p>
      <w:pPr>
        <w:ind w:left="288"/>
      </w:pPr>
      <w:r>
        <w:rPr>
          <w:b/>
          <w:color w:val="003CA0"/>
          <w:sz w:val="16"/>
        </w:rPr>
        <w:t>[ADI 6.562, rel. min. Gilmar Mendes, j. 9-3-2022, P, DJE de 29-3-2022.]</w:t>
      </w:r>
    </w:p>
    <w:p>
      <w:pPr>
        <w:ind w:left="288"/>
      </w:pPr>
      <w:r>
        <w:rPr>
          <w:color w:val="8C8C8C"/>
          <w:sz w:val="12"/>
        </w:rPr>
        <w:t>cf-art-37-inc-IX</w:t>
      </w:r>
      <w:r>
        <w:rPr>
          <w:color w:val="003CA0"/>
          <w:sz w:val="12"/>
        </w:rPr>
        <w:t xml:space="preserve"> | ADI 345</w:t>
      </w:r>
      <w:r>
        <w:rPr>
          <w:color w:val="003CA0"/>
          <w:sz w:val="12"/>
        </w:rPr>
        <w:t xml:space="preserve"> | rel. Roberto Barroso</w:t>
      </w:r>
    </w:p>
    <w:p>
      <w:pPr>
        <w:ind w:left="288"/>
      </w:pPr>
      <w:r>
        <w:rPr>
          <w:color w:val="1E1E1E"/>
          <w:sz w:val="18"/>
        </w:rPr>
        <w:t>A simples revogação de norma que congelava verbas de servidores públicos não implica em aumento automático de remuneração, salvo se a norma assim dispuser expressamente.</w:t>
      </w:r>
    </w:p>
    <w:p>
      <w:pPr>
        <w:ind w:left="288"/>
      </w:pPr>
      <w:r>
        <w:rPr>
          <w:b/>
          <w:color w:val="003CA0"/>
          <w:sz w:val="16"/>
        </w:rPr>
        <w:t>[ADI 345, rel. min. Roberto Barroso, j. 8-9-2020, P, DJE de 5-11-2020.]</w:t>
      </w:r>
    </w:p>
    <w:p>
      <w:pPr>
        <w:ind w:left="288"/>
      </w:pPr>
      <w:r>
        <w:rPr>
          <w:color w:val="8C8C8C"/>
          <w:sz w:val="12"/>
        </w:rPr>
        <w:t>cf-art-37-inc-IX</w:t>
      </w:r>
      <w:r>
        <w:rPr>
          <w:color w:val="003CA0"/>
          <w:sz w:val="12"/>
        </w:rPr>
        <w:t xml:space="preserve"> | ADI 6.196</w:t>
      </w:r>
      <w:r>
        <w:rPr>
          <w:color w:val="003CA0"/>
          <w:sz w:val="12"/>
        </w:rPr>
        <w:t xml:space="preserve"> | rel. Alexandre de Moraes</w:t>
      </w:r>
    </w:p>
    <w:p>
      <w:pPr>
        <w:ind w:left="288"/>
      </w:pPr>
      <w:r>
        <w:rPr>
          <w:color w:val="1E1E1E"/>
          <w:sz w:val="18"/>
        </w:rPr>
        <w:t>Constitucionalidade do dispositivo legal que prevê a fixação da remuneração de servidores públicos temporários por meio de ato infralegal. A justificativa para a diferença dos critérios de remuneração existente entre o cargo de professor efetivo e a função exercida pelo professor temporário encontra respaldo na própria Constituição Federal (art. 37, II, IX, X), considerando que regimes jurídicos distintos comportam tratamentos diversos.</w:t>
      </w:r>
    </w:p>
    <w:p>
      <w:pPr>
        <w:ind w:left="288"/>
      </w:pPr>
      <w:r>
        <w:rPr>
          <w:b/>
          <w:color w:val="003CA0"/>
          <w:sz w:val="16"/>
        </w:rPr>
        <w:t>[ADI 6.196, rel. min. Alexandre de Moraes, j. 20-3-2020, P, DJE de 2-4-2020.]</w:t>
      </w:r>
    </w:p>
    <w:p>
      <w:pPr>
        <w:ind w:left="288"/>
      </w:pPr>
      <w:r>
        <w:rPr>
          <w:color w:val="8C8C8C"/>
          <w:sz w:val="12"/>
        </w:rPr>
        <w:t>cf-art-37-inc-IX</w:t>
      </w:r>
      <w:r>
        <w:rPr>
          <w:color w:val="003CA0"/>
          <w:sz w:val="12"/>
        </w:rPr>
        <w:t xml:space="preserve"> | ADI 3.968</w:t>
      </w:r>
      <w:r>
        <w:rPr>
          <w:color w:val="003CA0"/>
          <w:sz w:val="12"/>
        </w:rPr>
        <w:t xml:space="preserve"> | rel. Luiz Fux</w:t>
      </w:r>
    </w:p>
    <w:p>
      <w:pPr>
        <w:ind w:left="288"/>
      </w:pPr>
      <w:r>
        <w:rPr>
          <w:color w:val="1E1E1E"/>
          <w:sz w:val="18"/>
        </w:rPr>
        <w:t>O reajuste de remunerações e subsídios por lei específica tem por objeto a readequação da retribuição pecuniária devida pelo exercício de determinado cargo, ajustando-a à realidade das suas responsabilidades, atribuições e mercado de trabalho, enquanto que a revisão geral anual tem por escopo a mera recomposição do poder aquisitivo das remunerações e subsídios de todos os servidores públicos e agentes políticos de determinado ente federativo.</w:t>
      </w:r>
    </w:p>
    <w:p>
      <w:pPr>
        <w:ind w:left="288"/>
      </w:pPr>
      <w:r>
        <w:rPr>
          <w:b/>
          <w:color w:val="003CA0"/>
          <w:sz w:val="16"/>
        </w:rPr>
        <w:t>[ADI 3.968, rel. min. Luiz Fux, j. 29-11-2019, P, DJE de 18-12-2019.]</w:t>
      </w:r>
    </w:p>
    <w:p>
      <w:pPr>
        <w:ind w:left="288"/>
      </w:pPr>
      <w:r>
        <w:rPr>
          <w:color w:val="8C8C8C"/>
          <w:sz w:val="12"/>
        </w:rPr>
        <w:t>cf-art-37-inc-IX</w:t>
      </w:r>
      <w:r>
        <w:rPr>
          <w:color w:val="003CA0"/>
          <w:sz w:val="12"/>
        </w:rPr>
        <w:t xml:space="preserve"> | ADI 5.560</w:t>
      </w:r>
      <w:r>
        <w:rPr>
          <w:color w:val="003CA0"/>
          <w:sz w:val="12"/>
        </w:rPr>
        <w:t xml:space="preserve"> | rel. Rosa Weber</w:t>
      </w:r>
    </w:p>
    <w:p>
      <w:pPr>
        <w:ind w:left="288"/>
      </w:pPr>
      <w:r>
        <w:rPr>
          <w:color w:val="1E1E1E"/>
          <w:sz w:val="18"/>
        </w:rPr>
        <w:t>Lei 10.410/2016 do Estado do Mato Grosso (...). (...) Não há afronta à garantia de irredutibilidade dos vencimentos, ao comando expresso que assegura a Revisão Geral Anual dos servidores públicos sempre na mesma data e sem distinção de índices, nem à vedação do parcelamento de salário. O art. 169, § 1º da Carta Magna veda a concessão de qualquer vantagem ou aumento de remuneração, sem que haja prévia dotação orçamentária suficiente para atender às projeções de despesa de pessoal e aos acréscimos dela decorrentes. A norma impugnada, a um só tempo: (i) garante a revisão; e (ii) efetiva o seu pag</w:t>
      </w:r>
    </w:p>
    <w:p>
      <w:pPr>
        <w:ind w:left="288"/>
      </w:pPr>
      <w:r>
        <w:rPr>
          <w:b/>
          <w:color w:val="003CA0"/>
          <w:sz w:val="16"/>
        </w:rPr>
        <w:t>[ADI 5.560, rel. min. Rosa Weber, j. 18-10-2019, P, DJE de 4-11-2019.]</w:t>
      </w:r>
    </w:p>
    <w:p>
      <w:pPr>
        <w:ind w:left="288"/>
      </w:pPr>
      <w:r>
        <w:rPr>
          <w:color w:val="8C8C8C"/>
          <w:sz w:val="12"/>
        </w:rPr>
        <w:t>cf-art-37-inc-IX</w:t>
      </w:r>
      <w:r>
        <w:rPr>
          <w:color w:val="003CA0"/>
          <w:sz w:val="12"/>
        </w:rPr>
        <w:t xml:space="preserve"> | ADI 1.352</w:t>
      </w:r>
      <w:r>
        <w:rPr>
          <w:color w:val="003CA0"/>
          <w:sz w:val="12"/>
        </w:rPr>
        <w:t xml:space="preserve"> | rel. Edson Fachin</w:t>
      </w:r>
    </w:p>
    <w:p>
      <w:pPr>
        <w:ind w:left="288"/>
      </w:pPr>
      <w:r>
        <w:rPr>
          <w:color w:val="1E1E1E"/>
          <w:sz w:val="18"/>
        </w:rPr>
        <w:t>Processo Administrativo 16.117/1991 do TJDFT. URPS de julho de 1987 a novembro de 1989. Concessão por decisão administrativa. Impossibilidade. Direito adquirido. Inexistência. Procedência da ação direta. A concessão de qualquer benefício remuneratório a servidores públicos exige lei específica, nos termos do art. 37, X, da CF. Precedentes. De acordo com a jurisprudência do STF, não há direito adquirido ao reajuste de 26,06% (Plano Bresser).</w:t>
      </w:r>
    </w:p>
    <w:p>
      <w:pPr>
        <w:ind w:left="288"/>
      </w:pPr>
      <w:r>
        <w:rPr>
          <w:b/>
          <w:color w:val="003CA0"/>
          <w:sz w:val="16"/>
        </w:rPr>
        <w:t>[ADI 1.352, rel. min. Edson Fachin, j. 3-3-2016, P, DJE de 12-5-2016.]</w:t>
      </w:r>
    </w:p>
    <w:p>
      <w:pPr>
        <w:ind w:left="288"/>
      </w:pPr>
      <w:r>
        <w:rPr>
          <w:color w:val="8C8C8C"/>
          <w:sz w:val="12"/>
        </w:rPr>
        <w:t>cf-art-37-inc-IX</w:t>
      </w:r>
      <w:r>
        <w:rPr>
          <w:color w:val="003CA0"/>
          <w:sz w:val="12"/>
        </w:rPr>
        <w:t xml:space="preserve"> | ADI 3.202</w:t>
      </w:r>
      <w:r>
        <w:rPr>
          <w:color w:val="003CA0"/>
          <w:sz w:val="12"/>
        </w:rPr>
        <w:t xml:space="preserve"> | rel. Cármen Lúcia</w:t>
      </w:r>
    </w:p>
    <w:p>
      <w:pPr>
        <w:ind w:left="288"/>
      </w:pPr>
      <w:r>
        <w:rPr>
          <w:color w:val="1E1E1E"/>
          <w:sz w:val="18"/>
        </w:rPr>
        <w:t>Decisão administrativa do TJRN [Tribunal de Justiça do Rio Grande do Norte] (...). Extensão de concessão de gratificação de 100% aos agravantes aos servidores do Tribunal de Justiça. (...) A extensão da gratificação contrariou o inciso X do art. 37 da Constituição da República, pela inobservância de lei formal, promovendo equiparação remuneratória entre servidores, contrariando o art. 37, XIII, da Constituição da República.</w:t>
      </w:r>
    </w:p>
    <w:p>
      <w:pPr>
        <w:ind w:left="288"/>
      </w:pPr>
      <w:r>
        <w:rPr>
          <w:b/>
          <w:color w:val="003CA0"/>
          <w:sz w:val="16"/>
        </w:rPr>
        <w:t>[ADI 3.202, rel. min. Cármen Lúcia, j. 5-2-2014, P, DJE de 21-5-2014.]</w:t>
      </w:r>
    </w:p>
    <w:p>
      <w:pPr>
        <w:ind w:left="288"/>
      </w:pPr>
      <w:r>
        <w:rPr>
          <w:color w:val="8C8C8C"/>
          <w:sz w:val="12"/>
        </w:rPr>
        <w:t>cf-art-37-inc-IX</w:t>
      </w:r>
      <w:r>
        <w:rPr>
          <w:color w:val="003CA0"/>
          <w:sz w:val="12"/>
        </w:rPr>
        <w:t xml:space="preserve"> | ADI 336</w:t>
      </w:r>
      <w:r>
        <w:rPr>
          <w:color w:val="003CA0"/>
          <w:sz w:val="12"/>
        </w:rPr>
        <w:t xml:space="preserve"> | rel. Eros Grau</w:t>
      </w:r>
    </w:p>
    <w:p>
      <w:pPr>
        <w:ind w:left="288"/>
      </w:pPr>
      <w:r>
        <w:rPr>
          <w:color w:val="1E1E1E"/>
          <w:sz w:val="18"/>
        </w:rPr>
        <w:t>Trata-se de ação direta na qual é objetivada a declaração de inconstitucionalidade de diversos preceitos da Constituição sergipana e de seu ADCT. (...) Art. 100 da Constituição estadual (...). Ao vincular o reajuste dos servidores do Poder Judiciário ao dos magistrados, o preceito confere privilégio aos servidores daquele Poder, em detrimento dos demais, em desrespeito ao comando constitucional que assegura revisão geral de remuneração dos servidores públicos.</w:t>
      </w:r>
    </w:p>
    <w:p>
      <w:pPr>
        <w:ind w:left="288"/>
      </w:pPr>
      <w:r>
        <w:rPr>
          <w:b/>
          <w:color w:val="003CA0"/>
          <w:sz w:val="16"/>
        </w:rPr>
        <w:t>[ADI 336, voto do rel. min. Eros Grau, j. 10-2-2010, P, DJE de 17-9-2010.]</w:t>
      </w:r>
    </w:p>
    <w:p>
      <w:pPr>
        <w:ind w:left="288"/>
      </w:pPr>
      <w:r>
        <w:rPr>
          <w:color w:val="8C8C8C"/>
          <w:sz w:val="12"/>
        </w:rPr>
        <w:t>cf-art-37-inc-IX</w:t>
      </w:r>
      <w:r>
        <w:rPr>
          <w:color w:val="003CA0"/>
          <w:sz w:val="12"/>
        </w:rPr>
        <w:t xml:space="preserve"> | ADI 3.369</w:t>
      </w:r>
      <w:r>
        <w:rPr>
          <w:color w:val="003CA0"/>
          <w:sz w:val="12"/>
        </w:rPr>
        <w:t xml:space="preserve"> | rel. Carlos Velloso</w:t>
      </w:r>
    </w:p>
    <w:p>
      <w:pPr>
        <w:ind w:left="288"/>
      </w:pPr>
      <w:r>
        <w:rPr>
          <w:color w:val="1E1E1E"/>
          <w:sz w:val="18"/>
        </w:rPr>
        <w:t>Em tema de remuneração dos servidores públicos, estabelece a Constituição o princípio da reserva de lei. É dizer, em tema de remuneração dos servidores públicos, nada será feito senão mediante lei, lei específica. CF, art. 37, X; art. 51, IV; art. 52, XIII. Inconstitucionalidade formal do Ato Conjunto 1, de 5-11-2004, das Mesas do Senado Federal e da Câmara dos Deputados.</w:t>
      </w:r>
    </w:p>
    <w:p>
      <w:pPr>
        <w:ind w:left="288"/>
      </w:pPr>
      <w:r>
        <w:rPr>
          <w:b/>
          <w:color w:val="003CA0"/>
          <w:sz w:val="16"/>
        </w:rPr>
        <w:t>[ADI 3.369 MC, rel. min. Carlos Velloso, j. 16-12-2004, P, DJ de 1º-2-2005.]</w:t>
      </w:r>
    </w:p>
    <w:p>
      <w:pPr>
        <w:ind w:left="288"/>
      </w:pPr>
      <w:r>
        <w:rPr>
          <w:color w:val="8C8C8C"/>
          <w:sz w:val="12"/>
        </w:rPr>
        <w:t>cf-art-37-inc-IX</w:t>
      </w:r>
      <w:r>
        <w:rPr>
          <w:color w:val="003CA0"/>
          <w:sz w:val="12"/>
        </w:rPr>
        <w:t xml:space="preserve"> | AO 1.420</w:t>
      </w:r>
      <w:r>
        <w:rPr>
          <w:color w:val="003CA0"/>
          <w:sz w:val="12"/>
        </w:rPr>
        <w:t xml:space="preserve"> | rel. Cármen Lúcia</w:t>
      </w:r>
    </w:p>
    <w:p>
      <w:pPr>
        <w:ind w:left="288"/>
      </w:pPr>
      <w:r>
        <w:rPr>
          <w:color w:val="1E1E1E"/>
          <w:sz w:val="18"/>
        </w:rPr>
        <w:t>= AO 1.420, rel. min. Cármen Lúcia, j. 2-8-2011, 1ª T, DJE de 22-8-2011 O inciso X do art. 37 da CF autoriza a concessão de aumentos reais aos servidores públicos, lato sensu, e determina a revisão geral anual das respectivas remunerações. Sem embargo da divergência conceitual entre as duas espécies de acréscimo salarial, inexiste óbice de ordem constitucional para que a lei ordinária disponha, com antecedência, que os reajustes individualizados no exercício anterior sejam deduzidos da próxima correção ordinária. A ausência de compensação importaria desvirtuamento da reestruturação aprovada pe</w:t>
      </w:r>
    </w:p>
    <w:p>
      <w:pPr>
        <w:ind w:left="288"/>
      </w:pPr>
      <w:r>
        <w:rPr>
          <w:b/>
          <w:color w:val="003CA0"/>
          <w:sz w:val="16"/>
        </w:rPr>
        <w:t>[ADI 2.726, rel. min. Maurício Corrêa, j. 5-12-2002, P, DJ de 29-8-2003.]</w:t>
      </w:r>
    </w:p>
    <w:p>
      <w:pPr>
        <w:ind w:left="288"/>
      </w:pPr>
      <w:r>
        <w:rPr>
          <w:color w:val="8C8C8C"/>
          <w:sz w:val="12"/>
        </w:rPr>
        <w:t>cf-art-37-inc-IX</w:t>
      </w:r>
      <w:r>
        <w:rPr>
          <w:color w:val="003CA0"/>
          <w:sz w:val="12"/>
        </w:rPr>
        <w:t xml:space="preserve"> | ADI 2.061</w:t>
      </w:r>
      <w:r>
        <w:rPr>
          <w:color w:val="003CA0"/>
          <w:sz w:val="12"/>
        </w:rPr>
        <w:t xml:space="preserve"> | rel. Ilmar Galvão</w:t>
      </w:r>
    </w:p>
    <w:p>
      <w:pPr>
        <w:ind w:left="288"/>
      </w:pPr>
      <w:r>
        <w:rPr>
          <w:color w:val="1E1E1E"/>
          <w:sz w:val="18"/>
        </w:rPr>
        <w:t>Art. 37, X, da CF (redação da EC 19, de 4-6-1998). Norma constitucional que impõe ao presidente da República o dever de desencadear o processo de elaboração da lei anual de revisão geral da remuneração dos servidores da União, prevista no dispositivo constitucional em destaque, na qualidade de titular exclusivo da competência para iniciativa da espécie, na forma prevista no art. 61, § 1º, II, a, da CF. Mora que, no caso, se tem por verificada, quanto à observância do preceito constitucional, desde junho/1999, quando transcorridos os primeiros doze meses da data da edição da referida EC 19/1998</w:t>
      </w:r>
    </w:p>
    <w:p>
      <w:pPr>
        <w:ind w:left="288"/>
      </w:pPr>
      <w:r>
        <w:rPr>
          <w:b/>
          <w:color w:val="003CA0"/>
          <w:sz w:val="16"/>
        </w:rPr>
        <w:t>[ADI 2.061, rel. min. Ilmar Galvão, j. 25-4-2001, P, DJ de 29-6-2001.]</w:t>
      </w:r>
    </w:p>
    <w:p>
      <w:pPr>
        <w:ind w:left="288"/>
      </w:pPr>
      <w:r>
        <w:rPr>
          <w:color w:val="8C8C8C"/>
          <w:sz w:val="12"/>
        </w:rPr>
        <w:t>cf-art-37-inc-IX</w:t>
      </w:r>
      <w:r>
        <w:rPr>
          <w:color w:val="003CA0"/>
          <w:sz w:val="12"/>
        </w:rPr>
        <w:t xml:space="preserve"> | RE 519.292</w:t>
      </w:r>
      <w:r>
        <w:rPr>
          <w:color w:val="003CA0"/>
          <w:sz w:val="12"/>
        </w:rPr>
        <w:t xml:space="preserve"> | rel. Ayres Britto</w:t>
      </w:r>
    </w:p>
    <w:p>
      <w:pPr>
        <w:ind w:left="288"/>
      </w:pPr>
      <w:r>
        <w:rPr>
          <w:color w:val="1E1E1E"/>
          <w:sz w:val="18"/>
        </w:rPr>
        <w:t>= RE 519.292 AgR, rel. min. Ayres Britto, j. 15-5-2007, 1ª T, DJ de 3-8-2007 Vide RE 529.489 AgR, rel. min. Joaquim Barbosa, j. 27-11-2007, 2ª T, DJE de 1º-2-2008 Vide RE 505.194 AgR, rel. min. Cármen Lúcia, j. 13-12-2006, 1ª T, DJ de 16-2-2007 Vide RE 501.669 AgR, rel. min. Ricardo Lewandowski, j. 13-12-2006, 2ª T, DJ de 16-2-2007 Vide ADI 3.303, rel. min. Ayres Britto, j. 27-9-2006, P, DJ de 16-3-2007 O art. 37, X, da Constituição, corolário do princípio fundamental da isonomia, não é, porém, um imperativo de estratificação da escala relativa de remuneração dos servidores públicos existentes</w:t>
      </w:r>
    </w:p>
    <w:p>
      <w:pPr>
        <w:ind w:left="288"/>
      </w:pPr>
      <w:r>
        <w:rPr>
          <w:b/>
          <w:color w:val="003CA0"/>
          <w:sz w:val="16"/>
        </w:rPr>
        <w:t>[ADI 525 MC, rel. min. Sepúlveda Pertence, j. 12-6-1991, P, DJ de 2-4-2004.]</w:t>
      </w:r>
    </w:p>
    <w:p>
      <w:pPr>
        <w:ind w:left="288"/>
      </w:pPr>
      <w:r>
        <w:rPr>
          <w:color w:val="8C8C8C"/>
          <w:sz w:val="12"/>
        </w:rPr>
        <w:t>cf-art-37-inc-IX</w:t>
      </w:r>
      <w:r>
        <w:rPr>
          <w:color w:val="003CA0"/>
          <w:sz w:val="12"/>
        </w:rPr>
        <w:t xml:space="preserve"> | ARE 672.424</w:t>
      </w:r>
      <w:r>
        <w:rPr>
          <w:color w:val="003CA0"/>
          <w:sz w:val="12"/>
        </w:rPr>
        <w:t xml:space="preserve"> | rel. Ricardo Lewandowski</w:t>
      </w:r>
    </w:p>
    <w:p>
      <w:pPr>
        <w:ind w:left="288"/>
      </w:pPr>
      <w:r>
        <w:rPr>
          <w:color w:val="1E1E1E"/>
          <w:sz w:val="18"/>
        </w:rPr>
        <w:t>= ARE 672.424 AgR, rel. min. Ricardo Lewandowski, j. 27-3-2012, 2ª T, DJE de 12-4-2012 Vide ARE 672.428 AgR, rel. min. Rosa Weber, j. 15-10-2013, 1ª T, DJE de 29-10-2013 “1. É inconstitucional a delegação ao Poder Executivo de atribuição para fixar e alterar o valor de parcela remuneratória, prevista no § 2º do art. 20 da Lei estadual nº 6.762/1975, com a redação dada pela Lei nº 12.984/1998, e no art. 3º do Decreto nº 46.284/2013; 2. O reconhecimento da inconstitucionalidade não autoriza decréscimo remuneratório nem a repetição de valores.”</w:t>
      </w:r>
    </w:p>
    <w:p>
      <w:pPr>
        <w:ind w:left="288"/>
      </w:pPr>
      <w:r>
        <w:rPr>
          <w:b/>
          <w:color w:val="003CA0"/>
          <w:sz w:val="16"/>
        </w:rPr>
        <w:t>[RE 1.524.795, rel. min. Luís Roberto Barroso, j. 19.09.2025, P, Informativo STF 1.191, Tema 968, com mérito julgado.]</w:t>
      </w:r>
    </w:p>
    <w:p>
      <w:pPr>
        <w:ind w:left="288"/>
      </w:pPr>
      <w:r>
        <w:rPr>
          <w:color w:val="8C8C8C"/>
          <w:sz w:val="12"/>
        </w:rPr>
        <w:t>cf-art-37-inc-IX</w:t>
      </w:r>
      <w:r>
        <w:rPr>
          <w:color w:val="003CA0"/>
          <w:sz w:val="12"/>
        </w:rPr>
        <w:t xml:space="preserve"> | ARE 1.524.795</w:t>
      </w:r>
      <w:r>
        <w:rPr>
          <w:color w:val="003CA0"/>
          <w:sz w:val="12"/>
        </w:rPr>
        <w:t xml:space="preserve"> | rel. Luís Roberto Barroso</w:t>
      </w:r>
    </w:p>
    <w:p>
      <w:pPr>
        <w:ind w:left="288"/>
      </w:pPr>
      <w:r>
        <w:rPr>
          <w:color w:val="1E1E1E"/>
          <w:sz w:val="18"/>
        </w:rPr>
        <w:t>“1. É inconstitucional a delegação ao Poder Executivo de atribuição para fixar e alterar o valor de parcela remuneratória, prevista no § 2º do art. 20 da Lei estadual nº 6.762/1975, com a redação dada pela Lei nº 12.984/1998, e no art. 3º do Decreto nº 46.284/2013; 2. O reconhecimento da inconstitucionalidade não autoriza decréscimo remuneratório nem a repetição de valores”.</w:t>
      </w:r>
    </w:p>
    <w:p>
      <w:pPr>
        <w:ind w:left="288"/>
      </w:pPr>
      <w:r>
        <w:rPr>
          <w:b/>
          <w:color w:val="003CA0"/>
          <w:sz w:val="16"/>
        </w:rPr>
        <w:t>[ARE 1.524.795 RG, rel. min. Luís Roberto Barroso, j. 19-9-2025, P, DJE de 2-3-2026, Tema 1.427, com mérito julgado.]</w:t>
      </w:r>
    </w:p>
    <w:p>
      <w:pPr>
        <w:ind w:left="288"/>
      </w:pPr>
      <w:r>
        <w:rPr>
          <w:color w:val="8C8C8C"/>
          <w:sz w:val="12"/>
        </w:rPr>
        <w:t>cf-art-37-inc-IX</w:t>
      </w:r>
      <w:r>
        <w:rPr>
          <w:color w:val="003CA0"/>
          <w:sz w:val="12"/>
        </w:rPr>
        <w:t xml:space="preserve"> | ARE 1.521.277</w:t>
      </w:r>
      <w:r>
        <w:rPr>
          <w:color w:val="003CA0"/>
          <w:sz w:val="12"/>
        </w:rPr>
        <w:t xml:space="preserve"> | rel. Luís Roberto Barroso</w:t>
      </w:r>
    </w:p>
    <w:p>
      <w:pPr>
        <w:ind w:left="288"/>
      </w:pPr>
      <w:r>
        <w:rPr>
          <w:color w:val="1E1E1E"/>
          <w:sz w:val="18"/>
        </w:rPr>
        <w:t>“São infraconstitucionais as controvérsias sobre a natureza jurídica de parcelas devidas a servidores públicos, assim como sobre o direito ao recebimento de vantagens funcionais durante períodos legais de afastamento.”</w:t>
      </w:r>
    </w:p>
    <w:p>
      <w:pPr>
        <w:ind w:left="288"/>
      </w:pPr>
      <w:r>
        <w:rPr>
          <w:b/>
          <w:color w:val="003CA0"/>
          <w:sz w:val="16"/>
        </w:rPr>
        <w:t>[ARE 1.521.277 RG, rel. min. Luís Roberto Barroso, j. 18.11.2024, P, DJE de 22.11.2024, Tema 1.357, com repercussão geral negada.]</w:t>
      </w:r>
    </w:p>
    <w:p>
      <w:pPr>
        <w:ind w:left="288"/>
      </w:pPr>
      <w:r>
        <w:rPr>
          <w:color w:val="8C8C8C"/>
          <w:sz w:val="12"/>
        </w:rPr>
        <w:t>cf-art-37-inc-IX</w:t>
      </w:r>
      <w:r>
        <w:rPr>
          <w:color w:val="003CA0"/>
          <w:sz w:val="12"/>
        </w:rPr>
        <w:t xml:space="preserve"> | ARE 1.523.252</w:t>
      </w:r>
      <w:r>
        <w:rPr>
          <w:color w:val="003CA0"/>
          <w:sz w:val="12"/>
        </w:rPr>
        <w:t xml:space="preserve"> | rel. Luís Roberto Barroso</w:t>
      </w:r>
    </w:p>
    <w:p>
      <w:pPr>
        <w:ind w:left="288"/>
      </w:pPr>
      <w:r>
        <w:rPr>
          <w:color w:val="1E1E1E"/>
          <w:sz w:val="18"/>
        </w:rPr>
        <w:t>“É infraconstitucional a controvérsia sobre a natureza jurídica de parcelas devidas a servidores públicos para fins de incidência de contribuição previdenciária”.</w:t>
      </w:r>
    </w:p>
    <w:p>
      <w:pPr>
        <w:ind w:left="288"/>
      </w:pPr>
      <w:r>
        <w:rPr>
          <w:b/>
          <w:color w:val="003CA0"/>
          <w:sz w:val="16"/>
        </w:rPr>
        <w:t>[ARE 1.523.252 RG, rel. min. Luís Roberto Barroso, j. 18.11.2024, P, DJE de 22.11.2024, Tema 1.358, com repercussão geral negada.]</w:t>
      </w:r>
    </w:p>
    <w:p>
      <w:pPr>
        <w:ind w:left="288"/>
      </w:pPr>
      <w:r>
        <w:rPr>
          <w:color w:val="8C8C8C"/>
          <w:sz w:val="12"/>
        </w:rPr>
        <w:t>cf-art-37-inc-IX</w:t>
      </w:r>
      <w:r>
        <w:rPr>
          <w:color w:val="003CA0"/>
          <w:sz w:val="12"/>
        </w:rPr>
        <w:t xml:space="preserve"> | ARE 1.493.366</w:t>
      </w:r>
      <w:r>
        <w:rPr>
          <w:color w:val="003CA0"/>
          <w:sz w:val="12"/>
        </w:rPr>
        <w:t xml:space="preserve"> | rel. Luís Roberto Barroso</w:t>
      </w:r>
    </w:p>
    <w:p>
      <w:pPr>
        <w:ind w:left="288"/>
      </w:pPr>
      <w:r>
        <w:rPr>
          <w:color w:val="1E1E1E"/>
          <w:sz w:val="18"/>
        </w:rPr>
        <w:t>“São infraconstitucionais e fáticas as controvérsias sobre a existência de fundamento legal e sobre os requisitos para o recebimento de auxílios e vantagens remuneratórias por servidores públicos”.</w:t>
      </w:r>
    </w:p>
    <w:p>
      <w:pPr>
        <w:ind w:left="288"/>
      </w:pPr>
      <w:r>
        <w:rPr>
          <w:b/>
          <w:color w:val="003CA0"/>
          <w:sz w:val="16"/>
        </w:rPr>
        <w:t>[ARE 1.493.366 RG, rel. min. Luís Roberto Barroso, j. 18.11.2024, P, DJE de 22.11.2024, Tema 1.359, com repercussão geral negada.]</w:t>
      </w:r>
    </w:p>
    <w:p>
      <w:pPr>
        <w:ind w:left="288"/>
      </w:pPr>
      <w:r>
        <w:rPr>
          <w:color w:val="8C8C8C"/>
          <w:sz w:val="12"/>
        </w:rPr>
        <w:t>cf-art-37-inc-IX</w:t>
      </w:r>
      <w:r>
        <w:rPr>
          <w:color w:val="003CA0"/>
          <w:sz w:val="12"/>
        </w:rPr>
        <w:t xml:space="preserve"> | ARE 1.519.020</w:t>
      </w:r>
      <w:r>
        <w:rPr>
          <w:color w:val="003CA0"/>
          <w:sz w:val="12"/>
        </w:rPr>
        <w:t xml:space="preserve"> | rel. Luís Roberto Barroso</w:t>
      </w:r>
    </w:p>
    <w:p>
      <w:pPr>
        <w:ind w:left="288"/>
      </w:pPr>
      <w:r>
        <w:rPr>
          <w:color w:val="1E1E1E"/>
          <w:sz w:val="18"/>
        </w:rPr>
        <w:t>“É infraconstitucional e pressupõe o exame de matéria fática a controvérsia sobre a prescrição de pretensão de cobrança de diferenças remuneratórias a contar da edição de lei municipal declarada inconstitucional”.</w:t>
      </w:r>
    </w:p>
    <w:p>
      <w:pPr>
        <w:ind w:left="288"/>
      </w:pPr>
      <w:r>
        <w:rPr>
          <w:b/>
          <w:color w:val="003CA0"/>
          <w:sz w:val="16"/>
        </w:rPr>
        <w:t>[ARE 1.519.020 RG, rel. min. Luís Roberto Barroso, j. 18.10.2024, P, DJE de 22.10.2024, Tema 1.340, com repercussão geral negada.]</w:t>
      </w:r>
    </w:p>
    <w:p>
      <w:pPr>
        <w:ind w:left="144"/>
      </w:pPr>
      <w:r>
        <w:rPr>
          <w:b/>
          <w:color w:val="B45A00"/>
          <w:sz w:val="16"/>
        </w:rPr>
        <w:t>REPERCUSSAO GERAL</w:t>
      </w:r>
    </w:p>
    <w:p>
      <w:pPr>
        <w:ind w:left="288"/>
      </w:pPr>
      <w:r>
        <w:rPr>
          <w:color w:val="8C8C8C"/>
          <w:sz w:val="12"/>
        </w:rPr>
        <w:t>cf-art-37-inc-IX</w:t>
      </w:r>
      <w:r>
        <w:rPr>
          <w:color w:val="003CA0"/>
          <w:sz w:val="12"/>
        </w:rPr>
        <w:t xml:space="preserve"> | RE 843.112</w:t>
      </w:r>
      <w:r>
        <w:rPr>
          <w:color w:val="003CA0"/>
          <w:sz w:val="12"/>
        </w:rPr>
        <w:t xml:space="preserve"> | rel. Luiz Fux</w:t>
      </w:r>
    </w:p>
    <w:p>
      <w:pPr>
        <w:ind w:left="288"/>
      </w:pPr>
      <w:r>
        <w:rPr>
          <w:color w:val="1E1E1E"/>
          <w:sz w:val="18"/>
        </w:rPr>
        <w:t>O Poder Judiciário não possui competência para determinar ao Poder Executivo a apresentação de projeto de lei que vise a promover a revisão geral anual da remuneração dos servidores públicos, tampouco para fixar o respectivo índice de correção.</w:t>
      </w:r>
    </w:p>
    <w:p>
      <w:pPr>
        <w:ind w:left="288"/>
      </w:pPr>
      <w:r>
        <w:rPr>
          <w:b/>
          <w:color w:val="003CA0"/>
          <w:sz w:val="16"/>
        </w:rPr>
        <w:t>[RE 843.112, rel. min. Luiz Fux, j. 22-9-2020, P, DJE de 4-11-2020, Tema 624, com mérito julgado.]</w:t>
      </w:r>
    </w:p>
    <w:p>
      <w:pPr>
        <w:ind w:left="288"/>
      </w:pPr>
      <w:r>
        <w:rPr>
          <w:color w:val="8C8C8C"/>
          <w:sz w:val="12"/>
        </w:rPr>
        <w:t>cf-art-37-inc-IX</w:t>
      </w:r>
      <w:r>
        <w:rPr>
          <w:color w:val="003CA0"/>
          <w:sz w:val="12"/>
        </w:rPr>
        <w:t xml:space="preserve"> | RE 710.293</w:t>
      </w:r>
      <w:r>
        <w:rPr>
          <w:color w:val="003CA0"/>
          <w:sz w:val="12"/>
        </w:rPr>
        <w:t xml:space="preserve"> | rel. Luiz Fux</w:t>
      </w:r>
    </w:p>
    <w:p>
      <w:pPr>
        <w:ind w:left="288"/>
      </w:pPr>
      <w:r>
        <w:rPr>
          <w:color w:val="1E1E1E"/>
          <w:sz w:val="18"/>
        </w:rPr>
        <w:t>O auxílio-alimentação é verba de caráter indenizatório, que não se incorpora à remuneração, nada obstante também deve se submeter ao princípio da reserva legal, assim como as demais verbas indenizatórias. (...) A vedação da Súmula Vinculante 37 se estende às verbas de caráter indenizatório e, consequentemente, interdita o Poder Judiciário de equiparar o auxílio-alimentação, ou qualquer outra verba desta espécie, com fundamento na isonomia. Conclui-se que: ‘Não cabe ao Poder Judiciário, que não tem função legislativa, aumentar qualquer verba de servidores públicos de carreiras distintas sob o f</w:t>
      </w:r>
    </w:p>
    <w:p>
      <w:pPr>
        <w:ind w:left="288"/>
      </w:pPr>
      <w:r>
        <w:rPr>
          <w:b/>
          <w:color w:val="003CA0"/>
          <w:sz w:val="16"/>
        </w:rPr>
        <w:t>[RE 710.293, rel. min. Luiz Fux, j. 16-9-2020, P, DJE de 4-11-2020, Tema 600, com mérito julgado.]</w:t>
      </w:r>
    </w:p>
    <w:p>
      <w:pPr>
        <w:ind w:left="288"/>
      </w:pPr>
      <w:r>
        <w:rPr>
          <w:color w:val="8C8C8C"/>
          <w:sz w:val="12"/>
        </w:rPr>
        <w:t>cf-art-37-inc-IX</w:t>
      </w:r>
      <w:r>
        <w:rPr>
          <w:color w:val="003CA0"/>
          <w:sz w:val="12"/>
        </w:rPr>
        <w:t xml:space="preserve"> | RE 565.089</w:t>
      </w:r>
    </w:p>
    <w:p>
      <w:pPr>
        <w:ind w:left="288"/>
      </w:pPr>
      <w:r>
        <w:rPr>
          <w:color w:val="1E1E1E"/>
          <w:sz w:val="18"/>
        </w:rPr>
        <w:t>O não encaminhamento de projeto de lei de revisão anual dos vencimentos dos servidores públicos, previsto no inciso X do art. 37 da CF/1988, não gera direito subjetivo a indenização. Deve o Poder Executivo, no entanto, pronunciar-se de forma fundamentada acerca das razões pelas quais não propôs a revisão.</w:t>
      </w:r>
    </w:p>
    <w:p>
      <w:pPr>
        <w:ind w:left="288"/>
      </w:pPr>
      <w:r>
        <w:rPr>
          <w:b/>
          <w:color w:val="003CA0"/>
          <w:sz w:val="16"/>
        </w:rPr>
        <w:t>[RE 565.089, red. do ac. min. Roberto Barroso, j. 25-9-2019, P, DJE de 28-4-2020, Tema 19, com mérito julgado.]</w:t>
      </w:r>
    </w:p>
    <w:p>
      <w:pPr>
        <w:ind w:left="288"/>
      </w:pPr>
      <w:r>
        <w:rPr>
          <w:color w:val="8C8C8C"/>
          <w:sz w:val="12"/>
        </w:rPr>
        <w:t>cf-art-37-inc-IX</w:t>
      </w:r>
      <w:r>
        <w:rPr>
          <w:color w:val="003CA0"/>
          <w:sz w:val="12"/>
        </w:rPr>
        <w:t xml:space="preserve"> | ARE 1.219.067</w:t>
      </w:r>
      <w:r>
        <w:rPr>
          <w:color w:val="003CA0"/>
          <w:sz w:val="12"/>
        </w:rPr>
        <w:t xml:space="preserve"> | rel. Dias Toffoli</w:t>
      </w:r>
    </w:p>
    <w:p>
      <w:pPr>
        <w:ind w:left="288"/>
      </w:pPr>
      <w:r>
        <w:rPr>
          <w:color w:val="1E1E1E"/>
          <w:sz w:val="18"/>
        </w:rPr>
        <w:t>Viola o teor da Súmula Vinculante nº 37 a concessão, por decisão judicial, de diferenças salariais em razão da incorporação de valores aos vencimentos dos servidores públicos municipais de que trata as Leis Complementares nºs 1.000/2009 e 1.121/2011 do Município de Mogi-Guaçu.</w:t>
      </w:r>
    </w:p>
    <w:p>
      <w:pPr>
        <w:ind w:left="288"/>
      </w:pPr>
      <w:r>
        <w:rPr>
          <w:b/>
          <w:color w:val="003CA0"/>
          <w:sz w:val="16"/>
        </w:rPr>
        <w:t>[ARE 1.219.067 RG, voto do rel. min. Dias Toffoli, j. 29-8-2019, P, DJE de 26-9-2019, Tema 1.059, com mérito julgado.]</w:t>
      </w:r>
    </w:p>
    <w:p>
      <w:pPr>
        <w:ind w:left="288"/>
      </w:pPr>
      <w:r>
        <w:rPr>
          <w:color w:val="8C8C8C"/>
          <w:sz w:val="12"/>
        </w:rPr>
        <w:t>cf-art-37-inc-IX</w:t>
      </w:r>
      <w:r>
        <w:rPr>
          <w:color w:val="003CA0"/>
          <w:sz w:val="12"/>
        </w:rPr>
        <w:t xml:space="preserve"> | ARE 1.208.032</w:t>
      </w:r>
      <w:r>
        <w:rPr>
          <w:color w:val="003CA0"/>
          <w:sz w:val="12"/>
        </w:rPr>
        <w:t xml:space="preserve"> | rel. Dias Toffoli</w:t>
      </w:r>
    </w:p>
    <w:p>
      <w:pPr>
        <w:ind w:left="288"/>
      </w:pPr>
      <w:r>
        <w:rPr>
          <w:color w:val="1E1E1E"/>
          <w:sz w:val="18"/>
        </w:rPr>
        <w:t>A concessão, por decisão judicial, de diferenças salariais relativas a 13,23% a servidores públicos federais, sem o devido amparo legal, viola o teor da Súmula Vinculante nº 37.</w:t>
      </w:r>
    </w:p>
    <w:p>
      <w:pPr>
        <w:ind w:left="288"/>
      </w:pPr>
      <w:r>
        <w:rPr>
          <w:b/>
          <w:color w:val="003CA0"/>
          <w:sz w:val="16"/>
        </w:rPr>
        <w:t>[ARE 1.208.032 RG, voto do rel. min. Dias Toffoli, j. 29-8-2019, P, DJE de 26-9-2019, Tema 1.061, com mérito julgado.]</w:t>
      </w:r>
    </w:p>
    <w:p>
      <w:pPr>
        <w:ind w:left="288"/>
      </w:pPr>
      <w:r>
        <w:rPr>
          <w:color w:val="8C8C8C"/>
          <w:sz w:val="12"/>
        </w:rPr>
        <w:t>cf-art-37-inc-IX</w:t>
      </w:r>
      <w:r>
        <w:rPr>
          <w:color w:val="003CA0"/>
          <w:sz w:val="12"/>
        </w:rPr>
        <w:t xml:space="preserve"> | ARE 1.057.577</w:t>
      </w:r>
      <w:r>
        <w:rPr>
          <w:color w:val="003CA0"/>
          <w:sz w:val="12"/>
        </w:rPr>
        <w:t xml:space="preserve"> | rel. Gilmar Mendes</w:t>
      </w:r>
    </w:p>
    <w:p>
      <w:pPr>
        <w:ind w:left="288"/>
      </w:pPr>
      <w:r>
        <w:rPr>
          <w:color w:val="1E1E1E"/>
          <w:sz w:val="18"/>
        </w:rPr>
        <w:t>A extensão, pelo Poder Judiciário, das verbas e vantagens concedidas pelo Conselho de Reitores das Universidades do Estado de São Paulo (Cruesp) aos empregados das instituições de ensino autônomas vinculadas às universidades estaduais paulistas contraria o disposto na Súmula Vinculante 37.</w:t>
      </w:r>
    </w:p>
    <w:p>
      <w:pPr>
        <w:ind w:left="288"/>
      </w:pPr>
      <w:r>
        <w:rPr>
          <w:b/>
          <w:color w:val="003CA0"/>
          <w:sz w:val="16"/>
        </w:rPr>
        <w:t>[ARE 1.057.577 RG, rel. min. Gilmar Mendes, j. 1º-2-2019, P, DJE de 8-4-2019, Tema 1.027, com mérito julgado.]</w:t>
      </w:r>
    </w:p>
    <w:p>
      <w:pPr>
        <w:ind w:left="288"/>
      </w:pPr>
      <w:r>
        <w:rPr>
          <w:color w:val="8C8C8C"/>
          <w:sz w:val="12"/>
        </w:rPr>
        <w:t>cf-art-37-inc-IX</w:t>
      </w:r>
      <w:r>
        <w:rPr>
          <w:color w:val="003CA0"/>
          <w:sz w:val="12"/>
        </w:rPr>
        <w:t xml:space="preserve"> | RE 976.610</w:t>
      </w:r>
      <w:r>
        <w:rPr>
          <w:color w:val="003CA0"/>
          <w:sz w:val="12"/>
        </w:rPr>
        <w:t xml:space="preserve"> | rel. Dias Toffoli</w:t>
      </w:r>
    </w:p>
    <w:p>
      <w:pPr>
        <w:ind w:left="288"/>
      </w:pPr>
      <w:r>
        <w:rPr>
          <w:color w:val="1E1E1E"/>
          <w:sz w:val="18"/>
        </w:rPr>
        <w:t>O STF veda o aumento de vencimentos pelo Poder Judiciário com base no princípio da isonomia, na equiparação salarial ou a pretexto da revisão geral anual, não sendo devida, portanto, a extensão do maior reajuste concedido pela Lei estadual 7.622/2000 aos soldos de toda a categoria dos policiais militares do Estado da Bahia, dispensada a devolução de valores eventualmente recebidos de boa-fé até a data de conclusão do presente julgamento no Plenário Virtual desta Corte.</w:t>
      </w:r>
    </w:p>
    <w:p>
      <w:pPr>
        <w:ind w:left="288"/>
      </w:pPr>
      <w:r>
        <w:rPr>
          <w:b/>
          <w:color w:val="003CA0"/>
          <w:sz w:val="16"/>
        </w:rPr>
        <w:t>[RE 976.610 RG, voto do rel. min. Dias Toffoli, j. 15-2-2018, P, DJE de 26-2-2018, Tema 984, com mérito julgado.]</w:t>
      </w:r>
    </w:p>
    <w:p>
      <w:pPr>
        <w:ind w:left="288"/>
      </w:pPr>
      <w:r>
        <w:rPr>
          <w:color w:val="8C8C8C"/>
          <w:sz w:val="12"/>
        </w:rPr>
        <w:t>cf-art-37-inc-IX</w:t>
      </w:r>
      <w:r>
        <w:rPr>
          <w:color w:val="003CA0"/>
          <w:sz w:val="12"/>
        </w:rPr>
        <w:t xml:space="preserve"> | ARE 909.437</w:t>
      </w:r>
      <w:r>
        <w:rPr>
          <w:color w:val="003CA0"/>
          <w:sz w:val="12"/>
        </w:rPr>
        <w:t xml:space="preserve"> | rel. Roberto Barroso</w:t>
      </w:r>
    </w:p>
    <w:p>
      <w:pPr>
        <w:ind w:left="288"/>
      </w:pPr>
      <w:r>
        <w:rPr>
          <w:color w:val="1E1E1E"/>
          <w:sz w:val="18"/>
        </w:rPr>
        <w:t>Não cabe ao Poder Judiciário, que não tem função legislativa, aumentar vencimentos de servidores públicos sob fundamento de isonomia. Súmula 339/STF e Súmula Vinculante 37. Reconhecimento da repercussão geral da questão constitucional, com reafirmação da jurisprudência da Corte, para assentar a seguinte tese: “Não é devida a extensão, por via judicial, do reajuste concedido pela Lei 1.206/1987 aos servidores do Poder Judiciário do Estado do Rio de Janeiro, dispensando-se a devolução das verbas recebidas até 1º-9-2016 (data da conclusão deste julgamento)”.</w:t>
      </w:r>
    </w:p>
    <w:p>
      <w:pPr>
        <w:ind w:left="288"/>
      </w:pPr>
      <w:r>
        <w:rPr>
          <w:b/>
          <w:color w:val="003CA0"/>
          <w:sz w:val="16"/>
        </w:rPr>
        <w:t>[ARE 909.437 RG, rel. min. Roberto Barroso, j. 1º-9-2016, P, DJE de 11-10-2016, Tema 915, com mérito julgado.]</w:t>
        <w:br/>
        <w:t>Vide RE 592.317, rel. min. Gilmar Mendes, j. 28-8-2014, P, DJE de 10-11-2014, Tema 315, com mérito julgado.</w:t>
      </w:r>
    </w:p>
    <w:p>
      <w:pPr>
        <w:ind w:left="288"/>
      </w:pPr>
      <w:r>
        <w:rPr>
          <w:color w:val="8C8C8C"/>
          <w:sz w:val="12"/>
        </w:rPr>
        <w:t>cf-art-37-inc-IX</w:t>
      </w:r>
      <w:r>
        <w:rPr>
          <w:color w:val="003CA0"/>
          <w:sz w:val="12"/>
        </w:rPr>
        <w:t xml:space="preserve"> | RE 592.317</w:t>
      </w:r>
      <w:r>
        <w:rPr>
          <w:color w:val="003CA0"/>
          <w:sz w:val="12"/>
        </w:rPr>
        <w:t xml:space="preserve"> | rel. Gilmar Mendes</w:t>
      </w:r>
    </w:p>
    <w:p>
      <w:pPr>
        <w:ind w:left="288"/>
      </w:pPr>
      <w:r>
        <w:rPr>
          <w:color w:val="1E1E1E"/>
          <w:sz w:val="18"/>
        </w:rPr>
        <w:t>Servidor público. Extensão de gratificação com fundamento no princípio da isonomia. Vedação. Enunciado 339 da Súmula desta Corte.</w:t>
        <w:br/>
        <w:t>[RE 592.317, rel. min. Gilmar Mendes, j. 28-8-2014, P, DJE de 10-11-2014, Tema 315, com mérito julgado.]</w:t>
        <w:br/>
        <w:t>Vide ARE 909.437 RG, rel. min. Roberto Barroso, j. 1º-9-2016, P, DJE de 11-10-2016, Tema 915, com mérito julgado. O direito ao percentual de 11,98%, ou do índice decorrente do processo de liquidação, na remuneração do servidor, resultante da equivocada conversão do Cruzeiro Real em URV, não representa um aumento na remuneração do servidor público, mas um reconhec</w:t>
      </w:r>
    </w:p>
    <w:p>
      <w:pPr>
        <w:ind w:left="144"/>
      </w:pPr>
      <w:r>
        <w:rPr>
          <w:b/>
          <w:color w:val="B45A00"/>
          <w:sz w:val="16"/>
        </w:rPr>
        <w:t>JULGADOS CORRELATOS</w:t>
      </w:r>
    </w:p>
    <w:p>
      <w:pPr>
        <w:ind w:left="288"/>
      </w:pPr>
      <w:r>
        <w:rPr>
          <w:color w:val="8C8C8C"/>
          <w:sz w:val="12"/>
        </w:rPr>
        <w:t>cf-art-37-inc-IX</w:t>
      </w:r>
      <w:r>
        <w:rPr>
          <w:color w:val="003CA0"/>
          <w:sz w:val="12"/>
        </w:rPr>
        <w:t xml:space="preserve"> | RE 216.172</w:t>
      </w:r>
    </w:p>
    <w:p>
      <w:pPr>
        <w:ind w:left="288"/>
      </w:pPr>
      <w:r>
        <w:rPr>
          <w:color w:val="1E1E1E"/>
          <w:sz w:val="18"/>
        </w:rPr>
        <w:t>Lei 8.237/91. Concessão de aumento a servidores militares. Princípio da Isonomia. Extensão aos servidores públicos civis. Impossibilidade. Lei federal que reestruturou a carreira militar federal. Inexistência de revisão geral.</w:t>
      </w:r>
    </w:p>
    <w:p>
      <w:pPr>
        <w:ind w:left="288"/>
      </w:pPr>
      <w:r>
        <w:rPr>
          <w:b/>
          <w:color w:val="003CA0"/>
          <w:sz w:val="16"/>
        </w:rPr>
        <w:t>[RE 216.172, red do ac. min. Gilmar Mendes, j. em 6-11-2018, 2ª T, DJE de 23-8-2019.]</w:t>
      </w:r>
    </w:p>
    <w:p>
      <w:pPr>
        <w:ind w:left="288"/>
      </w:pPr>
      <w:r>
        <w:rPr>
          <w:color w:val="8C8C8C"/>
          <w:sz w:val="12"/>
        </w:rPr>
        <w:t>cf-art-37-inc-IX</w:t>
      </w:r>
      <w:r>
        <w:rPr>
          <w:color w:val="003CA0"/>
          <w:sz w:val="12"/>
        </w:rPr>
        <w:t xml:space="preserve"> | RCL 25.927</w:t>
      </w:r>
    </w:p>
    <w:p>
      <w:pPr>
        <w:ind w:left="288"/>
      </w:pPr>
      <w:r>
        <w:rPr>
          <w:color w:val="1E1E1E"/>
          <w:sz w:val="18"/>
        </w:rPr>
        <w:t>Concessão do percentual de 13,23% a servidor público federal (Leis 10.697/2003 e 10.698/2003) por decisão judicial. Princípio da isonomia. Violação à Súmula Vinculante 37.</w:t>
      </w:r>
    </w:p>
    <w:p>
      <w:pPr>
        <w:ind w:left="288"/>
      </w:pPr>
      <w:r>
        <w:rPr>
          <w:b/>
          <w:color w:val="003CA0"/>
          <w:sz w:val="16"/>
        </w:rPr>
        <w:t>[Rcl 25.927 AgR, red do ac. min. Alexandre de Moraes, j. em 31-10-2017, 1ª T, DJE de 2-2-2018.]</w:t>
      </w:r>
    </w:p>
    <w:p>
      <w:pPr>
        <w:ind w:left="288"/>
      </w:pPr>
      <w:r>
        <w:rPr>
          <w:color w:val="8C8C8C"/>
          <w:sz w:val="12"/>
        </w:rPr>
        <w:t>cf-art-37-inc-IX</w:t>
      </w:r>
      <w:r>
        <w:rPr>
          <w:color w:val="003CA0"/>
          <w:sz w:val="12"/>
        </w:rPr>
        <w:t xml:space="preserve"> | MI 4.409</w:t>
      </w:r>
      <w:r>
        <w:rPr>
          <w:color w:val="003CA0"/>
          <w:sz w:val="12"/>
        </w:rPr>
        <w:t xml:space="preserve"> | rel. Teori Zavascki</w:t>
      </w:r>
    </w:p>
    <w:p>
      <w:pPr>
        <w:ind w:left="288"/>
      </w:pPr>
      <w:r>
        <w:rPr>
          <w:color w:val="1E1E1E"/>
          <w:sz w:val="18"/>
        </w:rPr>
        <w:t>Revisão geral anual. (...) A Lei 10.331/2001 regulamentou o art. 37, X, da Constituição, conferindo-lhe eficácia plena, e está em vigor desde 19 de dezembro de 2001. Posteriormente, a Lei 10.697/2003 também cumpriu o dispositivo constitucional.</w:t>
        <w:br/>
        <w:t>[MI 4.409 AgR-ED-AgR, rel. min. Teori Zavascki, j. 17-10-2013, P, DJE de 18-11-2013.] A concessão de reajustes setoriais com a finalidade de corrigir distorções remuneratórias existentes no padrão remuneratório da carreira militar e em seus diferentes postos não ocasiona ofensa aos princípios da isonomia ou do reajuste geral de vencimentos.</w:t>
      </w:r>
    </w:p>
    <w:p>
      <w:pPr>
        <w:ind w:left="288"/>
      </w:pPr>
      <w:r>
        <w:rPr>
          <w:b/>
          <w:color w:val="003CA0"/>
          <w:sz w:val="16"/>
        </w:rPr>
        <w:t>[ARE 672.428 AgR, rel. min. Rosa Weber, j. 15-10-2013, 1ª T, DJE de 29-10-2013.]</w:t>
      </w:r>
    </w:p>
    <w:p>
      <w:pPr>
        <w:ind w:left="288"/>
      </w:pPr>
      <w:r>
        <w:rPr>
          <w:color w:val="8C8C8C"/>
          <w:sz w:val="12"/>
        </w:rPr>
        <w:t>cf-art-37-inc-IX</w:t>
      </w:r>
      <w:r>
        <w:rPr>
          <w:color w:val="003CA0"/>
          <w:sz w:val="12"/>
        </w:rPr>
        <w:t xml:space="preserve"> | ADI 525</w:t>
      </w:r>
      <w:r>
        <w:rPr>
          <w:color w:val="003CA0"/>
          <w:sz w:val="12"/>
        </w:rPr>
        <w:t xml:space="preserve"> | rel. Sepúlveda Pertence</w:t>
      </w:r>
    </w:p>
    <w:p>
      <w:pPr>
        <w:ind w:left="288"/>
      </w:pPr>
      <w:r>
        <w:rPr>
          <w:color w:val="1E1E1E"/>
          <w:sz w:val="18"/>
        </w:rPr>
        <w:t>Vide ADI 525 MC, rel. min. Sepúlveda Pertence, j. 12-6-1991, P, DJ de 2-4-2004 (...) o Plenário do Supremo Tribunal adotou entendimento segundo o qual o reajuste de 28.86%, concedido aos servidores militares e civis da União pelas Leis 8.622/1993 e 8.627/1993, não é extensível aos titulares do cargo de magistério.</w:t>
      </w:r>
    </w:p>
    <w:p>
      <w:pPr>
        <w:ind w:left="288"/>
      </w:pPr>
      <w:r>
        <w:rPr>
          <w:b/>
          <w:color w:val="003CA0"/>
          <w:sz w:val="16"/>
        </w:rPr>
        <w:t>[RE 587.825 AgR, voto da rel. min. Cármen Lúcia, j. 22-9-2009, 1ª T, DJE de 23-10-2009.]</w:t>
      </w:r>
    </w:p>
    <w:p>
      <w:pPr>
        <w:ind w:left="288"/>
      </w:pPr>
      <w:r>
        <w:rPr>
          <w:color w:val="8C8C8C"/>
          <w:sz w:val="12"/>
        </w:rPr>
        <w:t>cf-art-37-inc-IX</w:t>
      </w:r>
      <w:r>
        <w:rPr>
          <w:color w:val="003CA0"/>
          <w:sz w:val="12"/>
        </w:rPr>
        <w:t xml:space="preserve"> | AI 774.034</w:t>
      </w:r>
      <w:r>
        <w:rPr>
          <w:color w:val="003CA0"/>
          <w:sz w:val="12"/>
        </w:rPr>
        <w:t xml:space="preserve"> | rel. Eros Grau</w:t>
      </w:r>
    </w:p>
    <w:p>
      <w:pPr>
        <w:ind w:left="288"/>
      </w:pPr>
      <w:r>
        <w:rPr>
          <w:color w:val="1E1E1E"/>
          <w:sz w:val="18"/>
        </w:rPr>
        <w:t>= AI 774.034 AgR, rel. min. Eros Grau, j. 27-4-2010, 2ª T, DJE de 21-5-2010 A sentença que revigora a isonomia remuneratória dos procuradores autárquicos e fundacionais com os procuradores do Estado da Bahia desrespeita a eficácia vinculante da decisão do STF na ADI 112 MC, ainda que não haja referência expressa ao art. 3º do ADT da Constituição do mesmo Estado. Nada impede que procuradores autárquicos e fundacionais venham a ter os seus vencimentos fixados no mesmo patamar dos procuradores da administração direta. Mas é preciso que lei estadual, uma para cada classe de advogados públicos, exp</w:t>
      </w:r>
    </w:p>
    <w:p>
      <w:pPr>
        <w:ind w:left="288"/>
      </w:pPr>
      <w:r>
        <w:rPr>
          <w:b/>
          <w:color w:val="003CA0"/>
          <w:sz w:val="16"/>
        </w:rPr>
        <w:t>[Rcl 2.817, rel. min. Ayres Britto, j. 12-8-2009, P, DJE de 23-10-2009.]</w:t>
      </w:r>
    </w:p>
    <w:p>
      <w:pPr>
        <w:ind w:left="288"/>
      </w:pPr>
      <w:r>
        <w:rPr>
          <w:color w:val="8C8C8C"/>
          <w:sz w:val="12"/>
        </w:rPr>
        <w:t>cf-art-37-inc-IX</w:t>
      </w:r>
      <w:r>
        <w:rPr>
          <w:color w:val="003CA0"/>
          <w:sz w:val="12"/>
        </w:rPr>
        <w:t xml:space="preserve"> | RE 573.316</w:t>
      </w:r>
      <w:r>
        <w:rPr>
          <w:color w:val="003CA0"/>
          <w:sz w:val="12"/>
        </w:rPr>
        <w:t xml:space="preserve"> | rel. Eros Grau</w:t>
      </w:r>
    </w:p>
    <w:p>
      <w:pPr>
        <w:ind w:left="288"/>
      </w:pPr>
      <w:r>
        <w:rPr>
          <w:color w:val="1E1E1E"/>
          <w:sz w:val="18"/>
        </w:rPr>
        <w:t>O texto normativo inserido art. 37, X, da Constituição do Brasil não impede a dedução de eventuais aumentos decorrentes da reestruturação da carreira, criação e majoração de gratificações e adicionais ou de qualquer outra vantagem inerente ao respectivo cargo ou emprego da revisão geral de vencimentos.</w:t>
      </w:r>
    </w:p>
    <w:p>
      <w:pPr>
        <w:ind w:left="288"/>
      </w:pPr>
      <w:r>
        <w:rPr>
          <w:b/>
          <w:color w:val="003CA0"/>
          <w:sz w:val="16"/>
        </w:rPr>
        <w:t>[RE 573.316 AgR, rel. min. Eros Grau, j. 4-11-2008, 2ª T, DJE de 28-11-2008.]</w:t>
      </w:r>
    </w:p>
    <w:p>
      <w:pPr>
        <w:ind w:left="288"/>
      </w:pPr>
      <w:r>
        <w:rPr>
          <w:color w:val="8C8C8C"/>
          <w:sz w:val="12"/>
        </w:rPr>
        <w:t>cf-art-37-inc-IX</w:t>
      </w:r>
      <w:r>
        <w:rPr>
          <w:color w:val="003CA0"/>
          <w:sz w:val="12"/>
        </w:rPr>
        <w:t xml:space="preserve"> | ADI 5.622</w:t>
      </w:r>
      <w:r>
        <w:rPr>
          <w:color w:val="003CA0"/>
          <w:sz w:val="12"/>
        </w:rPr>
        <w:t xml:space="preserve"> | rel. Nunes Marques</w:t>
      </w:r>
    </w:p>
    <w:p>
      <w:pPr>
        <w:ind w:left="288"/>
      </w:pPr>
      <w:r>
        <w:rPr>
          <w:color w:val="1E1E1E"/>
          <w:sz w:val="18"/>
        </w:rPr>
        <w:t>XI - a remuneração e o subsídio dos ocupantes de cargos, funções e empregos públicos da administração direta, autárquica e fundacional, dos membros de qualquer dos Poderes da União, dos Estados, do Distrito Federal e dos Municípios, dos detentores de mandato eletivo e dos demais agentes políticos e os proventos, pensões ou outra espécie remuneratória, percebidos cumulativamente ou não, incluídas as vantagens pessoais ou de qualquer outra natureza, não poderão exceder o subsídio mensal, em espécie, dos Ministros do Supremo Tribunal Federal, aplicando-se como limite, nos Municípios, o subsídio d</w:t>
      </w:r>
    </w:p>
    <w:p>
      <w:pPr>
        <w:ind w:left="288"/>
      </w:pPr>
      <w:r>
        <w:rPr>
          <w:b/>
          <w:color w:val="003CA0"/>
          <w:sz w:val="16"/>
        </w:rPr>
        <w:t>[ADI 5.622, rel. min. Nunes Marques, j. 28.08.2025, P, Informativo STF 1.188.]</w:t>
      </w:r>
    </w:p>
    <w:p>
      <w:pPr>
        <w:ind w:left="288"/>
      </w:pPr>
      <w:r>
        <w:rPr>
          <w:color w:val="8C8C8C"/>
          <w:sz w:val="12"/>
        </w:rPr>
        <w:t>cf-art-37-inc-IX</w:t>
      </w:r>
      <w:r>
        <w:rPr>
          <w:color w:val="003CA0"/>
          <w:sz w:val="12"/>
        </w:rPr>
        <w:t xml:space="preserve"> | MS 32492</w:t>
      </w:r>
      <w:r>
        <w:rPr>
          <w:color w:val="003CA0"/>
          <w:sz w:val="12"/>
        </w:rPr>
        <w:t xml:space="preserve"> | rel. Dias Toffoli</w:t>
      </w:r>
    </w:p>
    <w:p>
      <w:pPr>
        <w:ind w:left="288"/>
      </w:pPr>
      <w:r>
        <w:rPr>
          <w:color w:val="1E1E1E"/>
          <w:sz w:val="18"/>
        </w:rPr>
        <w:t>A verba denominada “indenização de representação”, prevista no art. 2º da Lei 9.853/2023 do Estado do Pará, demonstra natureza de retribuição pelo exercício de cargo comissionado no âmbito do Poder Executivo Estadual. “A acumulação de função comissionada com vencimento de cargo efetivo no âmbito de um mesmo órgão público deve estar em conformidade com o teto constitucional, consoante dispõe o art. 37, inciso XI, da Carta Magna” (MS 32492 AgR, Rel. Min. Dias Toffoli, Segunda Turma, DJe 01/12/2017). Na ADI 7.402/GO, Rel. Min. André Mendonça, o Plenário do Supremo Tribunal Federal reafirmou o ent</w:t>
      </w:r>
    </w:p>
    <w:p>
      <w:pPr>
        <w:ind w:left="288"/>
      </w:pPr>
      <w:r>
        <w:rPr>
          <w:b/>
          <w:color w:val="003CA0"/>
          <w:sz w:val="16"/>
        </w:rPr>
        <w:t>[ADI 7.440, rel. min. Cristiano Zanin, j. 12.08.2025, P, DJE de 19.08.2025.]</w:t>
      </w:r>
    </w:p>
    <w:p>
      <w:pPr>
        <w:ind w:left="288"/>
      </w:pPr>
      <w:r>
        <w:rPr>
          <w:color w:val="8C8C8C"/>
          <w:sz w:val="12"/>
        </w:rPr>
        <w:t>cf-art-37-inc-IX</w:t>
      </w:r>
      <w:r>
        <w:rPr>
          <w:color w:val="003CA0"/>
          <w:sz w:val="12"/>
        </w:rPr>
        <w:t xml:space="preserve"> | ADI 7.402</w:t>
      </w:r>
      <w:r>
        <w:rPr>
          <w:color w:val="003CA0"/>
          <w:sz w:val="12"/>
        </w:rPr>
        <w:t xml:space="preserve"> | rel. André Mendonça</w:t>
      </w:r>
    </w:p>
    <w:p>
      <w:pPr>
        <w:ind w:left="288"/>
      </w:pPr>
      <w:r>
        <w:rPr>
          <w:color w:val="1E1E1E"/>
          <w:sz w:val="18"/>
        </w:rPr>
        <w:t>O teto constitucional abrange a integralidade das parcelas remuneratórias percebidas pelo servidor público. A única exceção se dá em relação às “parcelas de caráter indenizatório previstas em lei”, nos termos do § 11 do art. 37 da Lei Maior. A verba remuneratória é paga a título de contraprestação pelo serviço prestado. Já a parcela indenizatória tem por escopo compensar o gasto dispendido pelo servidor como condição necessária à efetiva prestação do serviço. Os conceitos são ontologicamente distintos, cuja diferenciação decorre da própria natureza jurídica particular de cada um. (...) Por iss</w:t>
      </w:r>
    </w:p>
    <w:p>
      <w:pPr>
        <w:ind w:left="288"/>
      </w:pPr>
      <w:r>
        <w:rPr>
          <w:b/>
          <w:color w:val="003CA0"/>
          <w:sz w:val="16"/>
        </w:rPr>
        <w:t>[ADI 7.402, rel. min. André Mendonça, j. 24.02.2025, P, DJE de 17.03.2025.]</w:t>
      </w:r>
    </w:p>
    <w:p>
      <w:pPr>
        <w:ind w:left="288"/>
      </w:pPr>
      <w:r>
        <w:rPr>
          <w:color w:val="8C8C8C"/>
          <w:sz w:val="12"/>
        </w:rPr>
        <w:t>cf-art-37-inc-IX</w:t>
      </w:r>
      <w:r>
        <w:rPr>
          <w:color w:val="003CA0"/>
          <w:sz w:val="12"/>
        </w:rPr>
        <w:t xml:space="preserve"> | ADI 3.228</w:t>
      </w:r>
      <w:r>
        <w:rPr>
          <w:color w:val="003CA0"/>
          <w:sz w:val="12"/>
        </w:rPr>
        <w:t xml:space="preserve"> | rel. Edson Fachin</w:t>
      </w:r>
    </w:p>
    <w:p>
      <w:pPr>
        <w:ind w:left="288"/>
      </w:pPr>
      <w:r>
        <w:rPr>
          <w:color w:val="1E1E1E"/>
          <w:sz w:val="18"/>
        </w:rPr>
        <w:t>O regime de subsídio não afasta a percepção de gratificações pelo exercício de cargos em comissão ou funções de confiança por membro do Ministério Público, desde que observado o teto remuneratório constitucional, sendo a vedada a acumulação e autorizado o exercício da opção.</w:t>
      </w:r>
    </w:p>
    <w:p>
      <w:pPr>
        <w:ind w:left="288"/>
      </w:pPr>
      <w:r>
        <w:rPr>
          <w:b/>
          <w:color w:val="003CA0"/>
          <w:sz w:val="16"/>
        </w:rPr>
        <w:t>[ADI 3.228, rel. min. Edson Fachin, red. do ac. min. Luís Roberto Barroso, j. 19.02.2025, P, DJE de 10.04.2025.]</w:t>
      </w:r>
    </w:p>
    <w:p>
      <w:pPr>
        <w:ind w:left="144"/>
      </w:pPr>
      <w:r>
        <w:rPr>
          <w:b/>
          <w:color w:val="B45A00"/>
          <w:sz w:val="16"/>
        </w:rPr>
        <w:t>CONTROLE CONCENTRADO</w:t>
      </w:r>
    </w:p>
    <w:p>
      <w:pPr>
        <w:ind w:left="288"/>
      </w:pPr>
      <w:r>
        <w:rPr>
          <w:color w:val="8C8C8C"/>
          <w:sz w:val="12"/>
        </w:rPr>
        <w:t>cf-art-37-inc-IX</w:t>
      </w:r>
      <w:r>
        <w:rPr>
          <w:color w:val="003CA0"/>
          <w:sz w:val="12"/>
        </w:rPr>
        <w:t xml:space="preserve"> | ADPF 593</w:t>
      </w:r>
      <w:r>
        <w:rPr>
          <w:color w:val="003CA0"/>
          <w:sz w:val="12"/>
        </w:rPr>
        <w:t xml:space="preserve"> | rel. Luiz Fux</w:t>
      </w:r>
    </w:p>
    <w:p>
      <w:pPr>
        <w:ind w:left="288"/>
      </w:pPr>
      <w:r>
        <w:rPr>
          <w:color w:val="1E1E1E"/>
          <w:sz w:val="18"/>
        </w:rPr>
        <w:t>A gratificação prevista para os cargos de direção do TCM-RJ, pela sua natureza remuneratória, deve ser submetida ao teto constitucional, uma vez que não se trata de verba indenizatória, mas de acréscimo patrimonial por serviços prestados. A expressão "de caráter indenizatório" constante do art. 24 do Regimento Interno do TCM-RJ viola o art. 37, XI, da Constituição Federal.</w:t>
        <w:br/>
        <w:t>[ADPF 593, rel. min. Luiz Fux, red. do ac. min. Flávio Dino, j. 30.09.2024, P, DJE de 16.10.2024.] A possibilidade da instituição de subtetos após a vigência da EC 41/03 encoraja os entes federativos a proceder de forma part</w:t>
      </w:r>
    </w:p>
    <w:p>
      <w:pPr>
        <w:ind w:left="288"/>
      </w:pPr>
      <w:r>
        <w:rPr>
          <w:b/>
          <w:color w:val="003CA0"/>
          <w:sz w:val="16"/>
        </w:rPr>
        <w:t>[ADI 4.900-ED, rel. min. Roberto Barroso, j. 3-8-2021, P, DJE 24-8-2021.]</w:t>
      </w:r>
    </w:p>
    <w:p>
      <w:pPr>
        <w:ind w:left="288"/>
      </w:pPr>
      <w:r>
        <w:rPr>
          <w:color w:val="8C8C8C"/>
          <w:sz w:val="12"/>
        </w:rPr>
        <w:t>cf-art-37-inc-IX</w:t>
      </w:r>
      <w:r>
        <w:rPr>
          <w:color w:val="003CA0"/>
          <w:sz w:val="12"/>
        </w:rPr>
        <w:t xml:space="preserve"> | ADI 4.900</w:t>
      </w:r>
      <w:r>
        <w:rPr>
          <w:color w:val="003CA0"/>
          <w:sz w:val="12"/>
        </w:rPr>
        <w:t xml:space="preserve"> | rel. Teori Zavascki</w:t>
      </w:r>
    </w:p>
    <w:p>
      <w:pPr>
        <w:ind w:left="288"/>
      </w:pPr>
      <w:r>
        <w:rPr>
          <w:color w:val="1E1E1E"/>
          <w:sz w:val="18"/>
        </w:rPr>
        <w:t>Vide:ADI 4.900, red.do ac. min. Roberto Barroso, rel. min. Teori Zavascki, j. 11-2-2015, P, DJE de 20-4-2015 Instituição de subteto remuneratório para magistratura estadual inferior ao da magistratura federal. Impossibilidade. Caráter nacional da estrutura judiciária brasileira. Artigo 93, V, da CF. (...) interpretação conforme à Constituição ao artigo 37, XI (com redação dada pela EC 41/2003) e § 12 (com redação dada pela EC 47/2005), da Constituição Federal, e declarar a inconstitucionalidade do artigo 2º da Resolução 13/2006 e artigo 1º, parágrafo único, da Resolução 14, ambas do Conselho N</w:t>
      </w:r>
    </w:p>
    <w:p>
      <w:pPr>
        <w:ind w:left="288"/>
      </w:pPr>
      <w:r>
        <w:rPr>
          <w:b/>
          <w:color w:val="003CA0"/>
          <w:sz w:val="16"/>
        </w:rPr>
        <w:t>[ADI 3.854 e ADI 4.014, rel. min. Gilmar Mendes, j. 7-12-2020, P, DJE de 8-2-2021.]</w:t>
      </w:r>
    </w:p>
    <w:p>
      <w:pPr>
        <w:ind w:left="288"/>
      </w:pPr>
      <w:r>
        <w:rPr>
          <w:color w:val="8C8C8C"/>
          <w:sz w:val="12"/>
        </w:rPr>
        <w:t>cf-art-37-inc-IX</w:t>
      </w:r>
      <w:r>
        <w:rPr>
          <w:color w:val="003CA0"/>
          <w:sz w:val="12"/>
        </w:rPr>
        <w:t xml:space="preserve"> | ADI 6.159</w:t>
      </w:r>
      <w:r>
        <w:rPr>
          <w:color w:val="003CA0"/>
          <w:sz w:val="12"/>
        </w:rPr>
        <w:t xml:space="preserve"> | rel. Roberto Barroso</w:t>
      </w:r>
    </w:p>
    <w:p>
      <w:pPr>
        <w:ind w:left="288"/>
      </w:pPr>
      <w:r>
        <w:rPr>
          <w:color w:val="1E1E1E"/>
          <w:sz w:val="18"/>
        </w:rPr>
        <w:t>É constitucional o pagamento de honorários sucumbenciais aos advogados públicos, observando-se, porém, o limite remuneratório previsto no art. 37, XI, da Constituição.</w:t>
      </w:r>
    </w:p>
    <w:p>
      <w:pPr>
        <w:ind w:left="288"/>
      </w:pPr>
      <w:r>
        <w:rPr>
          <w:b/>
          <w:color w:val="003CA0"/>
          <w:sz w:val="16"/>
        </w:rPr>
        <w:t>[ADI 6.159 e ADI 6.162, rel. min. Roberto Barroso, j. 24-8-2020, P, DJE de 25-11-2020.]</w:t>
      </w:r>
    </w:p>
    <w:p>
      <w:pPr>
        <w:ind w:left="288"/>
      </w:pPr>
      <w:r>
        <w:rPr>
          <w:color w:val="8C8C8C"/>
          <w:sz w:val="12"/>
        </w:rPr>
        <w:t>cf-art-37-inc-IX</w:t>
      </w:r>
      <w:r>
        <w:rPr>
          <w:color w:val="003CA0"/>
          <w:sz w:val="12"/>
        </w:rPr>
        <w:t xml:space="preserve"> | ADI 6.053</w:t>
      </w:r>
      <w:r>
        <w:rPr>
          <w:color w:val="003CA0"/>
          <w:sz w:val="12"/>
        </w:rPr>
        <w:t xml:space="preserve"> | rel. Marco Aurélio</w:t>
      </w:r>
    </w:p>
    <w:p>
      <w:pPr>
        <w:ind w:left="288"/>
      </w:pPr>
      <w:r>
        <w:rPr>
          <w:color w:val="1E1E1E"/>
          <w:sz w:val="18"/>
        </w:rPr>
        <w:t>Nada obstante compatível com o regime de subsídio, sobretudo quando estruturado como um modelo de remuneração por performance, com vistas à eficiência do serviço público, a possibilidade de advogados públicos perceberem verbas honorárias sucumbenciais não afasta a incidência do teto remuneratório estabelecido pelo art. 37, XI, da Constituição Federal.</w:t>
      </w:r>
    </w:p>
    <w:p>
      <w:pPr>
        <w:ind w:left="288"/>
      </w:pPr>
      <w:r>
        <w:rPr>
          <w:b/>
          <w:color w:val="003CA0"/>
          <w:sz w:val="16"/>
        </w:rPr>
        <w:t>[ADI 6.053, rel. min. Marco Aurélio, j. 22-6-2020, P, DJE de 17-7-2020.]</w:t>
      </w:r>
    </w:p>
    <w:p>
      <w:pPr>
        <w:ind w:left="288"/>
      </w:pPr>
      <w:r>
        <w:rPr>
          <w:color w:val="8C8C8C"/>
          <w:sz w:val="12"/>
        </w:rPr>
        <w:t>cf-art-37-inc-IX</w:t>
      </w:r>
      <w:r>
        <w:rPr>
          <w:color w:val="003CA0"/>
          <w:sz w:val="12"/>
        </w:rPr>
        <w:t xml:space="preserve"> | ADI 6.221</w:t>
      </w:r>
      <w:r>
        <w:rPr>
          <w:color w:val="003CA0"/>
          <w:sz w:val="12"/>
        </w:rPr>
        <w:t xml:space="preserve"> | rel. Edson Fachin</w:t>
      </w:r>
    </w:p>
    <w:p>
      <w:pPr>
        <w:ind w:left="288"/>
      </w:pPr>
      <w:r>
        <w:rPr>
          <w:color w:val="1E1E1E"/>
          <w:sz w:val="18"/>
        </w:rPr>
        <w:t>A faculdade conferida aos Estados para a regulação do teto aplicável a seus servidores (art. 37, § 12, da CF) não permite que a regulamentação editada com fundamento nesse permissivo inove no tratamento do teto dos servidores municipais, para quem o art. 37, XI, da CF, já estabelece um teto único.</w:t>
      </w:r>
    </w:p>
    <w:p>
      <w:pPr>
        <w:ind w:left="288"/>
      </w:pPr>
      <w:r>
        <w:rPr>
          <w:b/>
          <w:color w:val="003CA0"/>
          <w:sz w:val="16"/>
        </w:rPr>
        <w:t>[ADI 6.221 MC, red. do ac. min. Alexandre de Moraes, rel. min. Edson Fachin, j. 20-12-2019, P, DJE de 30-4-2020.]</w:t>
      </w:r>
    </w:p>
    <w:p>
      <w:pPr>
        <w:ind w:left="288"/>
      </w:pPr>
      <w:r>
        <w:rPr>
          <w:color w:val="8C8C8C"/>
          <w:sz w:val="12"/>
        </w:rPr>
        <w:t>cf-art-37-inc-IX</w:t>
      </w:r>
      <w:r>
        <w:rPr>
          <w:color w:val="003CA0"/>
          <w:sz w:val="12"/>
        </w:rPr>
        <w:t xml:space="preserve"> | ADI 4.900</w:t>
      </w:r>
      <w:r>
        <w:rPr>
          <w:color w:val="003CA0"/>
          <w:sz w:val="12"/>
        </w:rPr>
        <w:t xml:space="preserve"> | rel. Teori Zavascki</w:t>
      </w:r>
    </w:p>
    <w:p>
      <w:pPr>
        <w:ind w:left="288"/>
      </w:pPr>
      <w:r>
        <w:rPr>
          <w:color w:val="1E1E1E"/>
          <w:sz w:val="18"/>
        </w:rPr>
        <w:t>No que respeita ao subteto dos servidores estaduais, a Constituição estabeleceu a possibilidade de o Estado optar entre: a definição de um subteto por poder, hipótese em que o teto dos servidores da Justiça corresponderá ao subsídio dos desembargadores do Tribunal de Justiça (art. 37, XI, CF, na redação da EC 41/2003); e a definição de um subteto único, correspondente ao subsídio mensal dos desembargadores do Tribunal de Justiça, para todo e qualquer servidor de qualquer poder, ficando de fora desse subteto apenas o subsídio dos deputados (art. 37, § 12, CF, conforme redação da EC 47/2005). In</w:t>
      </w:r>
    </w:p>
    <w:p>
      <w:pPr>
        <w:ind w:left="288"/>
      </w:pPr>
      <w:r>
        <w:rPr>
          <w:b/>
          <w:color w:val="003CA0"/>
          <w:sz w:val="16"/>
        </w:rPr>
        <w:t>[ADI 4.900, rel. do ac. min. Roberto Barroso, rel. min. Teori Zavascki, j. 11-2-2015, P, DJE de 20-4-2015.]</w:t>
      </w:r>
    </w:p>
    <w:p>
      <w:pPr>
        <w:ind w:left="288"/>
      </w:pPr>
      <w:r>
        <w:rPr>
          <w:color w:val="8C8C8C"/>
          <w:sz w:val="12"/>
        </w:rPr>
        <w:t>cf-art-37-inc-IX</w:t>
      </w:r>
      <w:r>
        <w:rPr>
          <w:color w:val="003CA0"/>
          <w:sz w:val="12"/>
        </w:rPr>
        <w:t xml:space="preserve"> | ADI 4.900</w:t>
      </w:r>
      <w:r>
        <w:rPr>
          <w:color w:val="003CA0"/>
          <w:sz w:val="12"/>
        </w:rPr>
        <w:t xml:space="preserve"> | rel. Roberto Barroso</w:t>
      </w:r>
    </w:p>
    <w:p>
      <w:pPr>
        <w:ind w:left="288"/>
      </w:pPr>
      <w:r>
        <w:rPr>
          <w:color w:val="1E1E1E"/>
          <w:sz w:val="18"/>
        </w:rPr>
        <w:t>Vide: ADI 4.900-ED, rel. min. Roberto Barroso, j. 2-8-2021, P, DJE 24-8-2021 O valor correspondente aos proventos ou à remuneração do instituidor da pensão por morte, para os fins do art. 40, § 7º, da Constituição Federal, na redação da Emenda Constitucional nº 41/2003, deve considerar apenas as parcelas efetivamente percebidas pelo servidor ativo ou aposentado, excluídos os valores que excedam o teto ou subteto remuneratórios previstos no art. 37, XI, da Constituição, posto que sobre eles não incidiu contribuição previdenciária. A sistemática constitucional exige congruência entre custeio e b</w:t>
      </w:r>
    </w:p>
    <w:p>
      <w:pPr>
        <w:ind w:left="288"/>
      </w:pPr>
      <w:r>
        <w:rPr>
          <w:b/>
          <w:color w:val="003CA0"/>
          <w:sz w:val="16"/>
        </w:rPr>
        <w:t>[ARE 1.314.490, rel. min. Flávio Dino, j. 9-2-2026, P, DJE de 23-2-2026, Tema 1.167, com mérito julgado.]</w:t>
      </w:r>
    </w:p>
    <w:p>
      <w:pPr>
        <w:ind w:left="144"/>
      </w:pPr>
      <w:r>
        <w:rPr>
          <w:b/>
          <w:color w:val="B45A00"/>
          <w:sz w:val="16"/>
        </w:rPr>
        <w:t>REPERCUSSAO GERAL</w:t>
      </w:r>
    </w:p>
    <w:p>
      <w:pPr>
        <w:ind w:left="288"/>
      </w:pPr>
      <w:r>
        <w:rPr>
          <w:color w:val="8C8C8C"/>
          <w:sz w:val="12"/>
        </w:rPr>
        <w:t>cf-art-37-inc-IX</w:t>
      </w:r>
      <w:r>
        <w:rPr>
          <w:color w:val="003CA0"/>
          <w:sz w:val="12"/>
        </w:rPr>
        <w:t xml:space="preserve"> | RE 1.355.112</w:t>
      </w:r>
      <w:r>
        <w:rPr>
          <w:color w:val="003CA0"/>
          <w:sz w:val="12"/>
        </w:rPr>
        <w:t xml:space="preserve"> | rel. Luiz Fux</w:t>
      </w:r>
    </w:p>
    <w:p>
      <w:pPr>
        <w:ind w:left="288"/>
      </w:pPr>
      <w:r>
        <w:rPr>
          <w:color w:val="1E1E1E"/>
          <w:sz w:val="18"/>
        </w:rPr>
        <w:t>Efeitos das Emendas Constitucionais 41/2003 e 47/2005 sobre norma de Constituição Estadual editada na vigência da Emenda Constitucional 19/1998, que previa como limite de remuneração para todo o funcionalismo estadual o subsídio mensal, em espécie, dos Desembargadores do Tribunal de Justiça respectivo.</w:t>
      </w:r>
    </w:p>
    <w:p>
      <w:pPr>
        <w:ind w:left="288"/>
      </w:pPr>
      <w:r>
        <w:rPr>
          <w:b/>
          <w:color w:val="003CA0"/>
          <w:sz w:val="16"/>
        </w:rPr>
        <w:t>[RE 1.355.112 RG, rel. min. Luiz Fux, j. 10-3-2022, P, DJE de 24-3-2022, Tema 1.202, com mérito pendente.]</w:t>
      </w:r>
    </w:p>
    <w:p>
      <w:pPr>
        <w:ind w:left="288"/>
      </w:pPr>
      <w:r>
        <w:rPr>
          <w:color w:val="8C8C8C"/>
          <w:sz w:val="12"/>
        </w:rPr>
        <w:t>cf-art-37-inc-IX</w:t>
      </w:r>
      <w:r>
        <w:rPr>
          <w:color w:val="003CA0"/>
          <w:sz w:val="12"/>
        </w:rPr>
        <w:t xml:space="preserve"> | RE 808.202</w:t>
      </w:r>
      <w:r>
        <w:rPr>
          <w:color w:val="003CA0"/>
          <w:sz w:val="12"/>
        </w:rPr>
        <w:t xml:space="preserve"> | rel. Dias Toffoli</w:t>
      </w:r>
    </w:p>
    <w:p>
      <w:pPr>
        <w:ind w:left="288"/>
      </w:pPr>
      <w:r>
        <w:rPr>
          <w:color w:val="1E1E1E"/>
          <w:sz w:val="18"/>
        </w:rPr>
        <w:t>(...) os substitutos ou interinos designados para o exercício de função delegada não se equiparam aos titulares de serventias extrajudiciais, visto não atenderem aos requisitos estabelecidos nos arts. 37, inciso II; e 236, § 3º, da Constituição Federal para o provimento originário da função, inserindo-se na categoria dos agentes estatais, razão pela qual se aplica a eles o teto remuneratório do art. 37, inciso XI, da Carta da República.</w:t>
      </w:r>
    </w:p>
    <w:p>
      <w:pPr>
        <w:ind w:left="288"/>
      </w:pPr>
      <w:r>
        <w:rPr>
          <w:b/>
          <w:color w:val="003CA0"/>
          <w:sz w:val="16"/>
        </w:rPr>
        <w:t>[RE 808.202, rel. min. Dias Toffoli, j. 24-8-2020, P, DJE de 25-11-2020, Tema 779, com mérito julgado.]</w:t>
      </w:r>
    </w:p>
    <w:p>
      <w:pPr>
        <w:ind w:left="288"/>
      </w:pPr>
      <w:r>
        <w:rPr>
          <w:color w:val="8C8C8C"/>
          <w:sz w:val="12"/>
        </w:rPr>
        <w:t>cf-art-37-inc-IX</w:t>
      </w:r>
      <w:r>
        <w:rPr>
          <w:color w:val="003CA0"/>
          <w:sz w:val="12"/>
        </w:rPr>
        <w:t xml:space="preserve"> | RE 602.584</w:t>
      </w:r>
      <w:r>
        <w:rPr>
          <w:color w:val="003CA0"/>
          <w:sz w:val="12"/>
        </w:rPr>
        <w:t xml:space="preserve"> | rel. Marco Aurélio</w:t>
      </w:r>
    </w:p>
    <w:p>
      <w:pPr>
        <w:ind w:left="288"/>
      </w:pPr>
      <w:r>
        <w:rPr>
          <w:color w:val="1E1E1E"/>
          <w:sz w:val="18"/>
        </w:rPr>
        <w:t>Ocorrida a morte do instituidor da pensão em momento posterior ao da Emenda Constitucional 19/1998, o teto constitucional previsto no inciso XI do artigo 37 da Constituição Federal incide sobre o somatório de remuneração ou provento e pensão percebida por servidor.</w:t>
      </w:r>
    </w:p>
    <w:p>
      <w:pPr>
        <w:ind w:left="288"/>
      </w:pPr>
      <w:r>
        <w:rPr>
          <w:b/>
          <w:color w:val="003CA0"/>
          <w:sz w:val="16"/>
        </w:rPr>
        <w:t>[RE 602.584, rel. min. Marco Aurélio, j. 6-8-2020, P, DJE de 23-11-2020, Tema 359, com mérito julgado.]</w:t>
      </w:r>
    </w:p>
    <w:p>
      <w:pPr>
        <w:ind w:left="288"/>
      </w:pPr>
      <w:r>
        <w:rPr>
          <w:color w:val="8C8C8C"/>
          <w:sz w:val="12"/>
        </w:rPr>
        <w:t>cf-art-37-inc-IX</w:t>
      </w:r>
      <w:r>
        <w:rPr>
          <w:color w:val="003CA0"/>
          <w:sz w:val="12"/>
        </w:rPr>
        <w:t xml:space="preserve"> | RE 663.696</w:t>
      </w:r>
      <w:r>
        <w:rPr>
          <w:color w:val="003CA0"/>
          <w:sz w:val="12"/>
        </w:rPr>
        <w:t xml:space="preserve"> | rel. Luiz Fux</w:t>
      </w:r>
    </w:p>
    <w:p>
      <w:pPr>
        <w:ind w:left="288"/>
      </w:pPr>
      <w:r>
        <w:rPr>
          <w:color w:val="1E1E1E"/>
          <w:sz w:val="18"/>
        </w:rPr>
        <w:t>A expressão ‘Procuradores’, contida na parte final do inciso XI do art. 37 da Constituição da República, compreende os Procuradores Municipais, uma vez que estes se inserem nas funções essenciais à Justiça, estando, portanto, submetidos ao teto de noventa inteiros e vinte e cinco centésimos por cento do subsídio mensal, em espécie, dos Ministros do Supremo Tribunal Federal.</w:t>
      </w:r>
    </w:p>
    <w:p>
      <w:pPr>
        <w:ind w:left="288"/>
      </w:pPr>
      <w:r>
        <w:rPr>
          <w:b/>
          <w:color w:val="003CA0"/>
          <w:sz w:val="16"/>
        </w:rPr>
        <w:t>[RE 663.696, rel. min. Luiz Fux, j. 28 -2-2019, P, DJE de 22-8-2019, Tema 510, com mérito julgado.]</w:t>
      </w:r>
    </w:p>
    <w:p>
      <w:pPr>
        <w:ind w:left="288"/>
      </w:pPr>
      <w:r>
        <w:rPr>
          <w:color w:val="8C8C8C"/>
          <w:sz w:val="12"/>
        </w:rPr>
        <w:t>cf-art-37-inc-IX</w:t>
      </w:r>
      <w:r>
        <w:rPr>
          <w:color w:val="003CA0"/>
          <w:sz w:val="12"/>
        </w:rPr>
        <w:t xml:space="preserve"> | RE 612.975</w:t>
      </w:r>
      <w:r>
        <w:rPr>
          <w:color w:val="003CA0"/>
          <w:sz w:val="12"/>
        </w:rPr>
        <w:t xml:space="preserve"> | rel. Marco Aurélio</w:t>
      </w:r>
    </w:p>
    <w:p>
      <w:pPr>
        <w:ind w:left="288"/>
      </w:pPr>
      <w:r>
        <w:rPr>
          <w:color w:val="1E1E1E"/>
          <w:sz w:val="18"/>
        </w:rPr>
        <w:t>Nas situações jurídicas em que a CF autoriza a acumulação de cargos, o teto remuneratório é considerado em relação à remuneração de cada um deles, e não ao somatório do que recebido.</w:t>
      </w:r>
    </w:p>
    <w:p>
      <w:pPr>
        <w:ind w:left="288"/>
      </w:pPr>
      <w:r>
        <w:rPr>
          <w:b/>
          <w:color w:val="003CA0"/>
          <w:sz w:val="16"/>
        </w:rPr>
        <w:t>[RE 612.975 e RE 602.043, rel. min. Marco Aurélio, j. 27-4-2017, P, DJE de 8-9-2017, Tema 377 e Tema 384, com mérito julgado.]</w:t>
      </w:r>
    </w:p>
    <w:p>
      <w:pPr>
        <w:ind w:left="288"/>
      </w:pPr>
      <w:r>
        <w:rPr>
          <w:color w:val="8C8C8C"/>
          <w:sz w:val="12"/>
        </w:rPr>
        <w:t>cf-art-37-inc-IX</w:t>
      </w:r>
      <w:r>
        <w:rPr>
          <w:color w:val="003CA0"/>
          <w:sz w:val="12"/>
        </w:rPr>
        <w:t xml:space="preserve"> | RE 606.358</w:t>
      </w:r>
      <w:r>
        <w:rPr>
          <w:color w:val="003CA0"/>
          <w:sz w:val="12"/>
        </w:rPr>
        <w:t xml:space="preserve"> | rel. Rosa Weber</w:t>
      </w:r>
    </w:p>
    <w:p>
      <w:pPr>
        <w:ind w:left="288"/>
      </w:pPr>
      <w:r>
        <w:rPr>
          <w:color w:val="1E1E1E"/>
          <w:sz w:val="18"/>
        </w:rPr>
        <w:t>Computam-se para efeito de observância do teto remuneratório do art. 37, XI, da Constituição da República também os valores percebidos anteriormente à vigência da EC 41/2003 a título de vantagens pessoais pelo servidor público, dispensada a restituição dos valores recebidos em excesso de boa-fé até o dia 18 de novembro de 2015. O âmbito de incidência da garantia de irredutibilidade de vencimentos (art. 37, XV, da Lei Maior) não alcança valores excedentes do limite definido no art. 37, XI, da Constituição da República. Traduz afronta direta ao art. 37, XI e XV, da Constituição da República a ex</w:t>
      </w:r>
    </w:p>
    <w:p>
      <w:pPr>
        <w:ind w:left="288"/>
      </w:pPr>
      <w:r>
        <w:rPr>
          <w:b/>
          <w:color w:val="003CA0"/>
          <w:sz w:val="16"/>
        </w:rPr>
        <w:t>[RE 606.358, rel. min. Rosa Weber, j. 18-11-2015, P, DJE de 7-4-2016, Tema 257, com mérito julgado.]</w:t>
      </w:r>
    </w:p>
    <w:p>
      <w:pPr>
        <w:ind w:left="288"/>
      </w:pPr>
      <w:r>
        <w:rPr>
          <w:color w:val="8C8C8C"/>
          <w:sz w:val="12"/>
        </w:rPr>
        <w:t>cf-art-37-inc-IX</w:t>
      </w:r>
      <w:r>
        <w:rPr>
          <w:color w:val="003CA0"/>
          <w:sz w:val="12"/>
        </w:rPr>
        <w:t xml:space="preserve"> | RE 675.978</w:t>
      </w:r>
      <w:r>
        <w:rPr>
          <w:color w:val="003CA0"/>
          <w:sz w:val="12"/>
        </w:rPr>
        <w:t xml:space="preserve"> | rel. Cármen Lúcia</w:t>
      </w:r>
    </w:p>
    <w:p>
      <w:pPr>
        <w:ind w:left="288"/>
      </w:pPr>
      <w:r>
        <w:rPr>
          <w:color w:val="1E1E1E"/>
          <w:sz w:val="18"/>
        </w:rPr>
        <w:t>A base de cálculo sobre a qual incidirão os descontos previdenciários e o imposto de renda é a remuneração/subsídios/proventos/pensões ou outras espécies remuneratórias dos servidores públicos (valor bruto) fixada após a definição do valor a ser recebido por força da observância do teto/subteto constitucional, definidos em lei.</w:t>
      </w:r>
    </w:p>
    <w:p>
      <w:pPr>
        <w:ind w:left="288"/>
      </w:pPr>
      <w:r>
        <w:rPr>
          <w:b/>
          <w:color w:val="003CA0"/>
          <w:sz w:val="16"/>
        </w:rPr>
        <w:t>[RE 675.978, voto da rel. min. Cármen Lúcia, j. 15-4-2015, P, DJE de 29-6-2015, Tema 639, com mérito julgado.]</w:t>
      </w:r>
    </w:p>
    <w:p>
      <w:pPr>
        <w:ind w:left="288"/>
      </w:pPr>
      <w:r>
        <w:rPr>
          <w:color w:val="8C8C8C"/>
          <w:sz w:val="12"/>
        </w:rPr>
        <w:t>cf-art-37-inc-IX</w:t>
      </w:r>
      <w:r>
        <w:rPr>
          <w:color w:val="003CA0"/>
          <w:sz w:val="12"/>
        </w:rPr>
        <w:t xml:space="preserve"> | SS 5.011</w:t>
      </w:r>
      <w:r>
        <w:rPr>
          <w:color w:val="003CA0"/>
          <w:sz w:val="12"/>
        </w:rPr>
        <w:t xml:space="preserve"> | rel. Ricardo Lewandowski</w:t>
      </w:r>
    </w:p>
    <w:p>
      <w:pPr>
        <w:ind w:left="288"/>
      </w:pPr>
      <w:r>
        <w:rPr>
          <w:color w:val="1E1E1E"/>
          <w:sz w:val="18"/>
        </w:rPr>
        <w:t>Vide SS 5.011 AgR, rel. min. Ricardo Lewandowski, j. 17-6-2015, P, DJE de 1º-10-2015 O teto de retribuição estabelecido pela EC 41/2003 possui eficácia imediata, submetendo às referências de valor máximo nele discriminadas todas as verbas de natureza remuneratória percebidas pelos servidores públicos da União, Estados, Distrito Federal e Municípios, ainda que adquiridas de acordo com regime legal anterior. A observância da norma de teto de retribuição representa verdadeira condição de legitimidade para o pagamento das remunerações no serviço público. Os valores que ultrapassam os limites prees</w:t>
      </w:r>
    </w:p>
    <w:p>
      <w:pPr>
        <w:ind w:left="288"/>
      </w:pPr>
      <w:r>
        <w:rPr>
          <w:b/>
          <w:color w:val="003CA0"/>
          <w:sz w:val="16"/>
        </w:rPr>
        <w:t>[RE 609.381, rel. min. Teori Zavascki, j. 2-10-2014, P, DJE de 11-12-2014, Tema 480, com mérito julgado.]</w:t>
      </w:r>
    </w:p>
    <w:p>
      <w:pPr>
        <w:ind w:left="288"/>
      </w:pPr>
      <w:r>
        <w:rPr>
          <w:color w:val="8C8C8C"/>
          <w:sz w:val="12"/>
        </w:rPr>
        <w:t>cf-art-37-inc-IX</w:t>
      </w:r>
      <w:r>
        <w:rPr>
          <w:color w:val="003CA0"/>
          <w:sz w:val="12"/>
        </w:rPr>
        <w:t xml:space="preserve"> | RE 424.053</w:t>
      </w:r>
      <w:r>
        <w:rPr>
          <w:color w:val="003CA0"/>
          <w:sz w:val="12"/>
        </w:rPr>
        <w:t xml:space="preserve"> | rel. Marco Aurélio</w:t>
      </w:r>
    </w:p>
    <w:p>
      <w:pPr>
        <w:ind w:left="288"/>
      </w:pPr>
      <w:r>
        <w:rPr>
          <w:color w:val="1E1E1E"/>
          <w:sz w:val="18"/>
        </w:rPr>
        <w:t>A eficácia do inciso XI do art. 37 da CF, na redação decorrente da EC 19/1998, ficou jungida à fixação, por lei de iniciativa conjunta do presidente da República, do presidente do Supremo, do presidente da Câmara e do presidente do Senado, do subsídio, persistindo a vigência do texto primitivo da Carta, no que contemplado o teto por Poder, consideradas as esferas federal e estadual.</w:t>
      </w:r>
    </w:p>
    <w:p>
      <w:pPr>
        <w:ind w:left="288"/>
      </w:pPr>
      <w:r>
        <w:rPr>
          <w:b/>
          <w:color w:val="003CA0"/>
          <w:sz w:val="16"/>
        </w:rPr>
        <w:t>[RE 424.053, rel. min. Marco Aurélio, j. 24-6-2010, P, DJE de 1º-10-2010, Tema 282, com mérito julgado.]</w:t>
      </w:r>
    </w:p>
    <w:p>
      <w:pPr>
        <w:ind w:left="288"/>
      </w:pPr>
      <w:r>
        <w:rPr>
          <w:color w:val="8C8C8C"/>
          <w:sz w:val="12"/>
        </w:rPr>
        <w:t>cf-art-37-inc-IX</w:t>
      </w:r>
      <w:r>
        <w:rPr>
          <w:color w:val="003CA0"/>
          <w:sz w:val="12"/>
        </w:rPr>
        <w:t xml:space="preserve"> | RE 1.508.596</w:t>
      </w:r>
      <w:r>
        <w:rPr>
          <w:color w:val="003CA0"/>
          <w:sz w:val="12"/>
        </w:rPr>
        <w:t xml:space="preserve"> | rel. ALEXANDRE DE MORAES</w:t>
      </w:r>
    </w:p>
    <w:p>
      <w:pPr>
        <w:ind w:left="288"/>
      </w:pPr>
      <w:r>
        <w:rPr>
          <w:color w:val="1E1E1E"/>
          <w:sz w:val="18"/>
        </w:rPr>
        <w:t>O teto remuneratório das carreiras jurídicas previstas na Seção II, do Título IV da Constituição Federal – procuradores dos Estados e Municípios – são idênticos e correspondem ao mesmo teto salarial dos Desembargadores estaduais, que, nos termos do artigo 37, XI, é o teto remuneratório dos Ministros do STF, pois se inserem nas funções essenciais à Justiça. Não se pode excluir dessa interpretação constitucional a Defensoria Pública, que, igualmente, está prevista como função essencial à Justiça, na Seção III, do mesmo Título IV da Constituição Federal de 1988. A interpretação constitucional con</w:t>
      </w:r>
    </w:p>
    <w:p>
      <w:pPr>
        <w:ind w:left="288"/>
      </w:pPr>
      <w:r>
        <w:rPr>
          <w:b/>
          <w:color w:val="003CA0"/>
          <w:sz w:val="16"/>
        </w:rPr>
        <w:t>[ARE 1.514.053 AgR, rel. min. Flávio Dino, red. do ac. min. Alexandre de Moraes, j. 06.08.2025, 1ª T, DJE de 01.10.2025.]</w:t>
      </w:r>
    </w:p>
    <w:p>
      <w:pPr>
        <w:ind w:left="144"/>
      </w:pPr>
      <w:r>
        <w:rPr>
          <w:b/>
          <w:color w:val="B45A00"/>
          <w:sz w:val="16"/>
        </w:rPr>
        <w:t>JULGADOS CORRELATOS</w:t>
      </w:r>
    </w:p>
    <w:p>
      <w:pPr>
        <w:ind w:left="288"/>
      </w:pPr>
      <w:r>
        <w:rPr>
          <w:color w:val="8C8C8C"/>
          <w:sz w:val="12"/>
        </w:rPr>
        <w:t>cf-art-37-inc-IX</w:t>
      </w:r>
      <w:r>
        <w:rPr>
          <w:color w:val="003CA0"/>
          <w:sz w:val="12"/>
        </w:rPr>
        <w:t xml:space="preserve"> | RE 1.476.880</w:t>
      </w:r>
      <w:r>
        <w:rPr>
          <w:color w:val="003CA0"/>
          <w:sz w:val="12"/>
        </w:rPr>
        <w:t xml:space="preserve"> | rel. André Mendonça</w:t>
      </w:r>
    </w:p>
    <w:p>
      <w:pPr>
        <w:ind w:left="288"/>
      </w:pPr>
      <w:r>
        <w:rPr>
          <w:color w:val="1E1E1E"/>
          <w:sz w:val="18"/>
        </w:rPr>
        <w:t>Em se tratando da acumulação de duas pensões militares por morte, incide ao caso o Tema nº 359 do ementário da Repercussão Geral, cuja tese de julgamento é a seguinte: “Ocorrida a morte do instituidor da pensão em momento posterior ao da Emenda Constitucional nº 19/1998, o teto constitucional previsto no inciso XI do artigo 37 da Constituição Federal incide sobre o somatório de remuneração ou provento e pensão percebida por servidor.“</w:t>
        <w:br/>
        <w:t>[RE 1.476.880 AgR, rel. min. André Mendonça, j. 13.05.2024, 2ª T, DJE de 28.06.2024.] Acumulação remunerada de cargos públicos. Policial militar inativo. Profess</w:t>
      </w:r>
    </w:p>
    <w:p>
      <w:pPr>
        <w:ind w:left="288"/>
      </w:pPr>
      <w:r>
        <w:rPr>
          <w:b/>
          <w:color w:val="003CA0"/>
          <w:sz w:val="16"/>
        </w:rPr>
        <w:t>[MS 30.180 AgR, rel. min. Dias Toffoli, j. 21-10-2014, 1ª T, DJE de 21-11-2014.]</w:t>
      </w:r>
    </w:p>
    <w:p>
      <w:pPr>
        <w:ind w:left="288"/>
      </w:pPr>
      <w:r>
        <w:rPr>
          <w:color w:val="8C8C8C"/>
          <w:sz w:val="12"/>
        </w:rPr>
        <w:t>cf-art-37-inc-IX</w:t>
      </w:r>
      <w:r>
        <w:rPr>
          <w:color w:val="003CA0"/>
          <w:sz w:val="12"/>
        </w:rPr>
        <w:t xml:space="preserve"> | MS 29.093</w:t>
      </w:r>
      <w:r>
        <w:rPr>
          <w:color w:val="003CA0"/>
          <w:sz w:val="12"/>
        </w:rPr>
        <w:t xml:space="preserve"> | rel. Teori Zavascki</w:t>
      </w:r>
    </w:p>
    <w:p>
      <w:pPr>
        <w:ind w:left="288"/>
      </w:pPr>
      <w:r>
        <w:rPr>
          <w:color w:val="1E1E1E"/>
          <w:sz w:val="18"/>
        </w:rPr>
        <w:t>= MS 29.093 ED-ED-AgR, rel. min. Teori Zavascki, j. 14-4-2015, 2ª T, DJE de 3-8-2015 Registre-se (...) que a norma prevista no art. 37, XI, da CF, com a redação dada pela EC 41/2003, é autoaplicável.</w:t>
      </w:r>
    </w:p>
    <w:p>
      <w:pPr>
        <w:ind w:left="288"/>
      </w:pPr>
      <w:r>
        <w:rPr>
          <w:b/>
          <w:color w:val="003CA0"/>
          <w:sz w:val="16"/>
        </w:rPr>
        <w:t>[RE 372.369 AgR, voto do rel. min. Gilmar Mendes, j. 14-2-2012, 2ª T, DJE de 5-3-2012.]</w:t>
      </w:r>
    </w:p>
    <w:p>
      <w:pPr>
        <w:ind w:left="288"/>
      </w:pPr>
      <w:r>
        <w:rPr>
          <w:color w:val="8C8C8C"/>
          <w:sz w:val="12"/>
        </w:rPr>
        <w:t>cf-art-37-inc-IX</w:t>
      </w:r>
      <w:r>
        <w:rPr>
          <w:color w:val="003CA0"/>
          <w:sz w:val="12"/>
        </w:rPr>
        <w:t xml:space="preserve"> | RE 558.258</w:t>
      </w:r>
      <w:r>
        <w:rPr>
          <w:color w:val="003CA0"/>
          <w:sz w:val="12"/>
        </w:rPr>
        <w:t xml:space="preserve"> | rel. Ricardo Lewandowski</w:t>
      </w:r>
    </w:p>
    <w:p>
      <w:pPr>
        <w:ind w:left="288"/>
      </w:pPr>
      <w:r>
        <w:rPr>
          <w:color w:val="1E1E1E"/>
          <w:sz w:val="18"/>
        </w:rPr>
        <w:t>A referência ao termo "procuradores", na parte final do inciso IX do art. 37 da Constituição, deve ser interpretada de forma a alcançar os procuradores autárquicos, uma vez que estes se inserem no conceito de advocacia pública trazido pela Carta de 1988. A jurisprudência do STF, de resto, é firme no sentido de que somente por meio de lei em sentido formal é possível a estipulação de teto remuneratório.</w:t>
      </w:r>
    </w:p>
    <w:p>
      <w:pPr>
        <w:ind w:left="288"/>
      </w:pPr>
      <w:r>
        <w:rPr>
          <w:b/>
          <w:color w:val="003CA0"/>
          <w:sz w:val="16"/>
        </w:rPr>
        <w:t>[RE 558.258, rel. min. Ricardo Lewandowski, j. 9-11-2010, 1ª T, DJE de 18-3-2011.]</w:t>
      </w:r>
    </w:p>
    <w:p>
      <w:pPr>
        <w:ind w:left="288"/>
      </w:pPr>
      <w:r>
        <w:rPr>
          <w:color w:val="8C8C8C"/>
          <w:sz w:val="12"/>
        </w:rPr>
        <w:t>cf-art-37-inc-IX</w:t>
      </w:r>
      <w:r>
        <w:rPr>
          <w:color w:val="003CA0"/>
          <w:sz w:val="12"/>
        </w:rPr>
        <w:t xml:space="preserve"> | RE 562.238</w:t>
      </w:r>
      <w:r>
        <w:rPr>
          <w:color w:val="003CA0"/>
          <w:sz w:val="12"/>
        </w:rPr>
        <w:t xml:space="preserve"> | rel. Teori Zavascki</w:t>
      </w:r>
    </w:p>
    <w:p>
      <w:pPr>
        <w:ind w:left="288"/>
      </w:pPr>
      <w:r>
        <w:rPr>
          <w:color w:val="1E1E1E"/>
          <w:sz w:val="18"/>
        </w:rPr>
        <w:t>= RE 562.238 AgR, rel. min. Teori Zavascki, j. 2-4-2013, 2ª T, DJE de 17-4-2013 A jurisprudência do STF firmou-se no sentido de que, após a EC 41/2003, as vantagens pessoais, de qualquer espécie, devem ser incluídas no redutor do teto remuneratório, previsto no inciso XI do art. 37 da CF.</w:t>
      </w:r>
    </w:p>
    <w:p>
      <w:pPr>
        <w:ind w:left="288"/>
      </w:pPr>
      <w:r>
        <w:rPr>
          <w:b/>
          <w:color w:val="003CA0"/>
          <w:sz w:val="16"/>
        </w:rPr>
        <w:t>[RE 464.876 AgR, rel. min. Cármen Lúcia, j. 16-12-2008, 1ª T, DJE de 20-2-2009.]</w:t>
      </w:r>
    </w:p>
    <w:p>
      <w:pPr>
        <w:ind w:left="288"/>
      </w:pPr>
      <w:r>
        <w:rPr>
          <w:color w:val="8C8C8C"/>
          <w:sz w:val="12"/>
        </w:rPr>
        <w:t>cf-art-37-inc-IX</w:t>
      </w:r>
      <w:r>
        <w:rPr>
          <w:color w:val="003CA0"/>
          <w:sz w:val="12"/>
        </w:rPr>
        <w:t xml:space="preserve"> | RE 471.070</w:t>
      </w:r>
      <w:r>
        <w:rPr>
          <w:color w:val="003CA0"/>
          <w:sz w:val="12"/>
        </w:rPr>
        <w:t xml:space="preserve"> | rel. Ellen Gracie</w:t>
      </w:r>
    </w:p>
    <w:p>
      <w:pPr>
        <w:ind w:left="288"/>
      </w:pPr>
      <w:r>
        <w:rPr>
          <w:color w:val="1E1E1E"/>
          <w:sz w:val="18"/>
        </w:rPr>
        <w:t>= RE 471.070 AgR, rel. min. Ellen Gracie, j. 31-3-2009, 2ª T, DJE de 24-4-2009 Vide AI 339.636 AgR, rel. min. Ilmar Galvão, j. 16-10-2001, 1ª T, DJ de 14-12-2001 Os empregados das sociedades de economia mista estão submetidos ao teto salarial determinado pelo art. 37, XI, da Constituição, ainda antes da entrada em vigor da EC 19/1998.</w:t>
      </w:r>
    </w:p>
    <w:p>
      <w:pPr>
        <w:ind w:left="288"/>
      </w:pPr>
      <w:r>
        <w:rPr>
          <w:b/>
          <w:color w:val="003CA0"/>
          <w:sz w:val="16"/>
        </w:rPr>
        <w:t>[AI 581.311 AgR, rel. min. Cezar Peluso, j. 14-10-2008, 2ª T, DJE de 21-11-2008.]</w:t>
      </w:r>
    </w:p>
    <w:p>
      <w:pPr>
        <w:ind w:left="288"/>
      </w:pPr>
      <w:r>
        <w:rPr>
          <w:color w:val="8C8C8C"/>
          <w:sz w:val="12"/>
        </w:rPr>
        <w:t>cf-art-37-inc-IX</w:t>
      </w:r>
      <w:r>
        <w:rPr>
          <w:color w:val="003CA0"/>
          <w:sz w:val="12"/>
        </w:rPr>
        <w:t xml:space="preserve"> | RE 572.143</w:t>
      </w:r>
      <w:r>
        <w:rPr>
          <w:color w:val="003CA0"/>
          <w:sz w:val="12"/>
        </w:rPr>
        <w:t xml:space="preserve"> | rel. Ricardo Lewandowski</w:t>
      </w:r>
    </w:p>
    <w:p>
      <w:pPr>
        <w:ind w:left="288"/>
      </w:pPr>
      <w:r>
        <w:rPr>
          <w:color w:val="1E1E1E"/>
          <w:sz w:val="18"/>
        </w:rPr>
        <w:t>= RE 572.143 AgR, rel. min. Ricardo Lewandowski, j. 1º-2-2011, 1ª T, DJE de 25-2-2011 Observância do limite remuneratório dos servidores públicos estabelecido pelo art. 37, XI, da Constituição da República, com redação dada pela EC 41/2003. O STF pacificou o entendimento de que a percepção de proventos ou remuneração por servidores públicos acima do limite estabelecido no art. 37, XI, da Constituição da República enseja lesão à ordem pública. Impõe-se a suspensão das decisões como forma de evitar o efeito multiplicador, que se consubstancia no aforamento, nos diversos tribunais, de processos v</w:t>
      </w:r>
    </w:p>
    <w:p>
      <w:pPr>
        <w:ind w:left="288"/>
      </w:pPr>
      <w:r>
        <w:rPr>
          <w:b/>
          <w:color w:val="003CA0"/>
          <w:sz w:val="16"/>
        </w:rPr>
        <w:t>[SS 2.542 AgR, rel. min. Gilmar Mendes, j. 12-6-2008, P, DJE de 17-10-2008.]</w:t>
      </w:r>
    </w:p>
    <w:p>
      <w:pPr>
        <w:ind w:left="288"/>
      </w:pPr>
      <w:r>
        <w:rPr>
          <w:color w:val="8C8C8C"/>
          <w:sz w:val="12"/>
        </w:rPr>
        <w:t>cf-art-37-inc-IX</w:t>
      </w:r>
      <w:r>
        <w:rPr>
          <w:color w:val="003CA0"/>
          <w:sz w:val="12"/>
        </w:rPr>
        <w:t xml:space="preserve"> | RE 341.977</w:t>
      </w:r>
      <w:r>
        <w:rPr>
          <w:color w:val="003CA0"/>
          <w:sz w:val="12"/>
        </w:rPr>
        <w:t xml:space="preserve"> | rel. Eros Grau</w:t>
      </w:r>
    </w:p>
    <w:p>
      <w:pPr>
        <w:ind w:left="288"/>
      </w:pPr>
      <w:r>
        <w:rPr>
          <w:color w:val="1E1E1E"/>
          <w:sz w:val="18"/>
        </w:rPr>
        <w:t>Pensão especial por morte. Viúva de deputado estadual. Teto. Sendo a agravada pensionista, na condição de viúva de deputado estadual, não lhe é aplicável o teto do Poder Executivo estadual. (...) Pensão especial que foi extinta pela LC estadual 129/1994, criando em seu lugar pensão previdenciária integral, que, nos termos do disposto no art. 37, IV, da CF/1988, somente poderia sofrer limitação do teto remuneratório equivalente ao subsídio de deputado estadual. Precedentes.</w:t>
      </w:r>
    </w:p>
    <w:p>
      <w:pPr>
        <w:ind w:left="288"/>
      </w:pPr>
      <w:r>
        <w:rPr>
          <w:b/>
          <w:color w:val="003CA0"/>
          <w:sz w:val="16"/>
        </w:rPr>
        <w:t>[RE 341.977 AgR, rel. min. Eros Grau, j. 3-6-2008, 2ª T, DJE de 27-6-2008.]</w:t>
      </w:r>
    </w:p>
    <w:p>
      <w:pPr>
        <w:ind w:left="288"/>
      </w:pPr>
      <w:r>
        <w:rPr>
          <w:color w:val="8C8C8C"/>
          <w:sz w:val="12"/>
        </w:rPr>
        <w:t>cf-art-37-inc-IX</w:t>
      </w:r>
      <w:r>
        <w:rPr>
          <w:color w:val="003CA0"/>
          <w:sz w:val="12"/>
        </w:rPr>
        <w:t xml:space="preserve"> | RE 167.841</w:t>
      </w:r>
      <w:r>
        <w:rPr>
          <w:color w:val="003CA0"/>
          <w:sz w:val="12"/>
        </w:rPr>
        <w:t xml:space="preserve"> | rel. Dias Toffoli</w:t>
      </w:r>
    </w:p>
    <w:p>
      <w:pPr>
        <w:ind w:left="288"/>
      </w:pPr>
      <w:r>
        <w:rPr>
          <w:color w:val="1E1E1E"/>
          <w:sz w:val="18"/>
        </w:rPr>
        <w:t>= RE 167.841 AgR, rel. min. Dias Toffoli, j. 10-4-2012, 1ª T, DJE de 10-5-2012 Vide ADI 1.510 MC, rel. min. Carlos Velloso, j. 13-2-1997, P, DJ de 20-6-2003 Ministros aposentados do STF: proventos (subsídios): teto remuneratório: pretensão de imunidade à incidência do teto sobre o Adicional por Tempo de Serviço (ATS), no percentual máximo de 35% e sobre o acréscimo de 20% a que se refere o art. 184, III, da Lei 1.711/1952, combinado com o art. 250 da Lei 8.112/1990: mandado de segurança deferido, em parte. (...) No tocante à magistratura – independentemente de cuidar-se de uma emenda constituc</w:t>
      </w:r>
    </w:p>
    <w:p>
      <w:pPr>
        <w:ind w:left="288"/>
      </w:pPr>
      <w:r>
        <w:rPr>
          <w:b/>
          <w:color w:val="003CA0"/>
          <w:sz w:val="16"/>
        </w:rPr>
        <w:t>[MS 24.875, rel. min. Sepúlveda Pertence, j. 11-5-2006, P, DJ de 6-10-2006.]</w:t>
      </w:r>
    </w:p>
    <w:p>
      <w:pPr>
        <w:ind w:left="288"/>
      </w:pPr>
      <w:r>
        <w:rPr>
          <w:color w:val="8C8C8C"/>
          <w:sz w:val="12"/>
        </w:rPr>
        <w:t>cf-art-37-inc-IX</w:t>
      </w:r>
      <w:r>
        <w:rPr>
          <w:color w:val="003CA0"/>
          <w:sz w:val="12"/>
        </w:rPr>
        <w:t xml:space="preserve"> | AO 1.509</w:t>
      </w:r>
      <w:r>
        <w:rPr>
          <w:color w:val="003CA0"/>
          <w:sz w:val="12"/>
        </w:rPr>
        <w:t xml:space="preserve"> | rel. Ricardo Lewandowski</w:t>
      </w:r>
    </w:p>
    <w:p>
      <w:pPr>
        <w:ind w:left="288"/>
      </w:pPr>
      <w:r>
        <w:rPr>
          <w:color w:val="1E1E1E"/>
          <w:sz w:val="18"/>
        </w:rPr>
        <w:t>= AO 1.509 ED, rel. min. Ricardo Lewandowski, j. 27-2-2014, P, DJE de 26-3-2014 O STF, por sua Segunda Turma, ao julgar o RE 174.741, rel. min. Carlos Velloso, assentou a possibilidade de o Poder Legislativo estadual fixar, por meio de emenda a projeto de lei de iniciativa do Judiciário, o teto de vencimentos dos servidores deste Poder, tendo em conta a jurisprudência desta Suprema Corte que só restringe o poder de emenda em matérias de iniciativa reservada nas hipóteses de aumento de despesa e de descompasso entre a emenda e o assunto do projeto. Assentou-se, todavia, a teor do art. 37, XI da</w:t>
      </w:r>
    </w:p>
    <w:p>
      <w:pPr>
        <w:ind w:left="288"/>
      </w:pPr>
      <w:r>
        <w:rPr>
          <w:b/>
          <w:color w:val="003CA0"/>
          <w:sz w:val="16"/>
        </w:rPr>
        <w:t>[RE 301.841, rel. min. Ellen Gracie, j. 27-4-2004, 2ª T, DJ de 14-5-2004.]</w:t>
      </w:r>
    </w:p>
    <w:p>
      <w:pPr>
        <w:ind w:left="288"/>
      </w:pPr>
      <w:r>
        <w:rPr>
          <w:color w:val="8C8C8C"/>
          <w:sz w:val="12"/>
        </w:rPr>
        <w:t>cf-art-37-inc-IX</w:t>
      </w:r>
      <w:r>
        <w:rPr>
          <w:color w:val="003CA0"/>
          <w:sz w:val="12"/>
        </w:rPr>
        <w:t xml:space="preserve"> | AI 352.349</w:t>
      </w:r>
      <w:r>
        <w:rPr>
          <w:color w:val="003CA0"/>
          <w:sz w:val="12"/>
        </w:rPr>
        <w:t xml:space="preserve"> | rel. Sepúlveda Pertence</w:t>
      </w:r>
    </w:p>
    <w:p>
      <w:pPr>
        <w:ind w:left="288"/>
      </w:pPr>
      <w:r>
        <w:rPr>
          <w:color w:val="1E1E1E"/>
          <w:sz w:val="18"/>
        </w:rPr>
        <w:t>Procuradores do Município de São Paulo: teto de remuneração: inclusão, no cálculo, das parcelas referentes a honorários de advogado, adicional de função, regime de dedicação exclusiva e gratificação de nível superior conferidos a todos os integrantes da categoria.</w:t>
      </w:r>
    </w:p>
    <w:p>
      <w:pPr>
        <w:ind w:left="288"/>
      </w:pPr>
      <w:r>
        <w:rPr>
          <w:b/>
          <w:color w:val="003CA0"/>
          <w:sz w:val="16"/>
        </w:rPr>
        <w:t>[AI 352.349 ED, rel. min. Sepúlveda Pertence, j. 28-10-2003, 1ª T, DJ de 21-11-2003.]</w:t>
      </w:r>
    </w:p>
    <w:p>
      <w:pPr>
        <w:ind w:left="288"/>
      </w:pPr>
      <w:r>
        <w:rPr>
          <w:color w:val="8C8C8C"/>
          <w:sz w:val="12"/>
        </w:rPr>
        <w:t>cf-art-37-inc-IX</w:t>
      </w:r>
      <w:r>
        <w:rPr>
          <w:color w:val="003CA0"/>
          <w:sz w:val="12"/>
        </w:rPr>
        <w:t xml:space="preserve"> | AI 500.054</w:t>
      </w:r>
      <w:r>
        <w:rPr>
          <w:color w:val="003CA0"/>
          <w:sz w:val="12"/>
        </w:rPr>
        <w:t xml:space="preserve"> | rel. Cármen Lúcia</w:t>
      </w:r>
    </w:p>
    <w:p>
      <w:pPr>
        <w:ind w:left="288"/>
      </w:pPr>
      <w:r>
        <w:rPr>
          <w:color w:val="1E1E1E"/>
          <w:sz w:val="18"/>
        </w:rPr>
        <w:t>= AI 500.054 AgR, rel. min. Cármen Lúcia, j. 15-12-2009, 1ª T, DJE de 5-2-2010</w:t>
      </w:r>
    </w:p>
    <w:p>
      <w:pPr>
        <w:ind w:left="144"/>
      </w:pPr>
      <w:r>
        <w:rPr>
          <w:b/>
          <w:color w:val="B45A00"/>
          <w:sz w:val="16"/>
        </w:rPr>
        <w:t>CONTROLE CONCENTRADO</w:t>
      </w:r>
    </w:p>
    <w:p>
      <w:pPr>
        <w:ind w:left="288"/>
      </w:pPr>
      <w:r>
        <w:rPr>
          <w:color w:val="8C8C8C"/>
          <w:sz w:val="12"/>
        </w:rPr>
        <w:t>cf-art-37-inc-XII</w:t>
      </w:r>
      <w:r>
        <w:rPr>
          <w:color w:val="003CA0"/>
          <w:sz w:val="12"/>
        </w:rPr>
        <w:t xml:space="preserve"> | ADI 1.156</w:t>
      </w:r>
      <w:r>
        <w:rPr>
          <w:color w:val="003CA0"/>
          <w:sz w:val="12"/>
        </w:rPr>
        <w:t xml:space="preserve"> | rel. Roberto Barroso</w:t>
      </w:r>
    </w:p>
    <w:p>
      <w:pPr>
        <w:ind w:left="288"/>
      </w:pPr>
      <w:r>
        <w:rPr>
          <w:color w:val="1E1E1E"/>
          <w:sz w:val="18"/>
        </w:rPr>
        <w:t>A previsão de índices distintos para a revisão geral anual, a depender do cargo e da sua remuneração, constante do art. 2º, §2º, e do art. 17, §1º, II, da LC nº 15/1993, do Estado da Paraíba, ofende o art. 37, X, da CF/1988. O atingimento do objetivo do art. 37, XII, da CF/1988, de se buscar algum grau de isonomia entre vencimentos em todos os Poderes, ainda que seja relevante, não pode ser buscado pela via da revisão geral anual.</w:t>
      </w:r>
    </w:p>
    <w:p>
      <w:pPr>
        <w:ind w:left="288"/>
      </w:pPr>
      <w:r>
        <w:rPr>
          <w:b/>
          <w:color w:val="003CA0"/>
          <w:sz w:val="16"/>
        </w:rPr>
        <w:t>[ADI 1.156, rel. min. Roberto Barroso, j. 1º-3-2023, P, DJE de 9-3-2023.]</w:t>
      </w:r>
    </w:p>
    <w:p>
      <w:pPr>
        <w:ind w:left="288"/>
      </w:pPr>
      <w:r>
        <w:rPr>
          <w:color w:val="8C8C8C"/>
          <w:sz w:val="12"/>
        </w:rPr>
        <w:t>cf-art-37-inc-XII</w:t>
      </w:r>
      <w:r>
        <w:rPr>
          <w:color w:val="003CA0"/>
          <w:sz w:val="12"/>
        </w:rPr>
        <w:t xml:space="preserve"> | ADI 603</w:t>
      </w:r>
      <w:r>
        <w:rPr>
          <w:color w:val="003CA0"/>
          <w:sz w:val="12"/>
        </w:rPr>
        <w:t xml:space="preserve"> | rel. Eros Grau</w:t>
      </w:r>
    </w:p>
    <w:p>
      <w:pPr>
        <w:ind w:left="288"/>
      </w:pPr>
      <w:r>
        <w:rPr>
          <w:color w:val="1E1E1E"/>
          <w:sz w:val="18"/>
        </w:rPr>
        <w:t>Não há (...) ofensa ao disposto no art. 37, X e XII, da Constituição do Brasil. Como ponderou o ministro Célio Borja, relator à época (...): "(...) Argui-se (...) violação do inciso XII, do art. 37, da Constituição (...). Não está aí proclamada isonomia remuneratória prescrita alhures (art. 39, § 1º, CF) para os cargos, aliás, de atribuições iguais ou assemelhadas do mesmo Poder ou dos Poderes Executivo, Legislativo e Judiciário. O que o inciso XII, art. 37 da Constituição cria é um limite, não uma relação de igualdade. Ora, esse limite reclama, para implementar-se, intervenção legislativa uma</w:t>
      </w:r>
    </w:p>
    <w:p>
      <w:pPr>
        <w:ind w:left="288"/>
      </w:pPr>
      <w:r>
        <w:rPr>
          <w:b/>
          <w:color w:val="003CA0"/>
          <w:sz w:val="16"/>
        </w:rPr>
        <w:t>[ADI 603, voto do rel. min. Eros Grau, j. 17-8-2006, P, DJ de 6-10-2006.]</w:t>
      </w:r>
    </w:p>
    <w:p>
      <w:pPr>
        <w:ind w:left="144"/>
      </w:pPr>
      <w:r>
        <w:rPr>
          <w:b/>
          <w:color w:val="B45A00"/>
          <w:sz w:val="16"/>
        </w:rPr>
        <w:t>SUMULA VINCULANTE</w:t>
      </w:r>
    </w:p>
    <w:p>
      <w:pPr>
        <w:ind w:left="288"/>
      </w:pPr>
      <w:r>
        <w:rPr>
          <w:color w:val="8C8C8C"/>
          <w:sz w:val="12"/>
        </w:rPr>
        <w:t>cf-art-37-inc-XIII</w:t>
      </w:r>
    </w:p>
    <w:p>
      <w:pPr>
        <w:ind w:left="288"/>
      </w:pPr>
      <w:r>
        <w:rPr>
          <w:color w:val="1E1E1E"/>
          <w:sz w:val="18"/>
        </w:rPr>
        <w:t>É inconstitucional a vinculação do reajuste de vencimentos de servidores estaduais ou municipais a índices federais de correção monetária.</w:t>
      </w:r>
    </w:p>
    <w:p>
      <w:pPr>
        <w:ind w:left="288"/>
      </w:pPr>
      <w:r>
        <w:rPr>
          <w:b/>
          <w:color w:val="003CA0"/>
          <w:sz w:val="16"/>
        </w:rPr>
        <w:t>[Súmula Vinculante 42.]</w:t>
      </w:r>
    </w:p>
    <w:p>
      <w:pPr>
        <w:ind w:left="288"/>
      </w:pPr>
      <w:r>
        <w:rPr>
          <w:color w:val="8C8C8C"/>
          <w:sz w:val="12"/>
        </w:rPr>
        <w:t>cf-art-37-inc-XIII</w:t>
      </w:r>
      <w:r>
        <w:rPr>
          <w:color w:val="003CA0"/>
          <w:sz w:val="12"/>
        </w:rPr>
        <w:t xml:space="preserve"> | ADI 7.746</w:t>
      </w:r>
      <w:r>
        <w:rPr>
          <w:color w:val="003CA0"/>
          <w:sz w:val="12"/>
        </w:rPr>
        <w:t xml:space="preserve"> | rel. Cristiano Zanin</w:t>
      </w:r>
    </w:p>
    <w:p>
      <w:pPr>
        <w:ind w:left="288"/>
      </w:pPr>
      <w:r>
        <w:rPr>
          <w:color w:val="1E1E1E"/>
          <w:sz w:val="18"/>
        </w:rPr>
        <w:t>A jurisprudência do Supremo Tribunal Federal é pacífica no sentido da inconstitucionalidade da vinculação ou equiparação de espécies remuneratórias para o efeito de remuneração de pessoal do serviço público. A vedação visa impedir reajustes automáticos de vencimentos, assegurando a reserva de lei específica para a matéria (art. 37, X e XIII, da CF). (...) Interpretação conforme à Constituição Federal ao art. 7º, § 3º, I, a, da Lei n. 15.665/2006, do Estado de Goiás, para preservar o valor nominal dos vencimentos atualmente recebidos, vedando reajustes futuros decorrentes da vinculação remunera</w:t>
      </w:r>
    </w:p>
    <w:p>
      <w:pPr>
        <w:ind w:left="288"/>
      </w:pPr>
      <w:r>
        <w:rPr>
          <w:b/>
          <w:color w:val="003CA0"/>
          <w:sz w:val="16"/>
        </w:rPr>
        <w:t>[ADI 7.746, rel. min. Cristiano Zanin, j. 12.08.2025, P, DJE de 28.08.2025.]</w:t>
      </w:r>
    </w:p>
    <w:p>
      <w:pPr>
        <w:ind w:left="288"/>
      </w:pPr>
      <w:r>
        <w:rPr>
          <w:color w:val="8C8C8C"/>
          <w:sz w:val="12"/>
        </w:rPr>
        <w:t>cf-art-37-inc-XIII</w:t>
      </w:r>
      <w:r>
        <w:rPr>
          <w:color w:val="003CA0"/>
          <w:sz w:val="12"/>
        </w:rPr>
        <w:t xml:space="preserve"> | ADI 3.581</w:t>
      </w:r>
      <w:r>
        <w:rPr>
          <w:color w:val="003CA0"/>
          <w:sz w:val="12"/>
        </w:rPr>
        <w:t xml:space="preserve"> | rel. Nunes Marques</w:t>
      </w:r>
    </w:p>
    <w:p>
      <w:pPr>
        <w:ind w:left="288"/>
      </w:pPr>
      <w:r>
        <w:rPr>
          <w:color w:val="1E1E1E"/>
          <w:sz w:val="18"/>
        </w:rPr>
        <w:t>É inconstitucional a gratificação criada para remunerar investigadores e agentes da Polícia Civil pela guarda de preso em cadeias públicas e estabelecimentos do sistema penitenciário, porquanto configurado desvio de função. A gratificação paga aos agentes penitenciários da Secretaria da Justiça está atrelada ao vencimento de cargo pertencente à carreira da Polícia Civil. Eventual efeito cascata deve ser rechaçado, por incompatibilidade com o art. 37, XIII, da Constituição Federal.</w:t>
      </w:r>
    </w:p>
    <w:p>
      <w:pPr>
        <w:ind w:left="288"/>
      </w:pPr>
      <w:r>
        <w:rPr>
          <w:b/>
          <w:color w:val="003CA0"/>
          <w:sz w:val="16"/>
        </w:rPr>
        <w:t>[ADI 3.581, rel. min. Nunes Marques, j. 26.11.2024, P, DJE de 18.12.2024.]</w:t>
      </w:r>
    </w:p>
    <w:p>
      <w:pPr>
        <w:ind w:left="144"/>
      </w:pPr>
      <w:r>
        <w:rPr>
          <w:b/>
          <w:color w:val="B45A00"/>
          <w:sz w:val="16"/>
        </w:rPr>
        <w:t>CONTROLE CONCENTRADO</w:t>
      </w:r>
    </w:p>
    <w:p>
      <w:pPr>
        <w:ind w:left="288"/>
      </w:pPr>
      <w:r>
        <w:rPr>
          <w:color w:val="8C8C8C"/>
          <w:sz w:val="12"/>
        </w:rPr>
        <w:t>cf-art-37-inc-XIII</w:t>
      </w:r>
      <w:r>
        <w:rPr>
          <w:color w:val="003CA0"/>
          <w:sz w:val="12"/>
        </w:rPr>
        <w:t xml:space="preserve"> | ADI 7.264</w:t>
      </w:r>
      <w:r>
        <w:rPr>
          <w:color w:val="003CA0"/>
          <w:sz w:val="12"/>
        </w:rPr>
        <w:t xml:space="preserve"> | rel. Roberto Barroso</w:t>
      </w:r>
    </w:p>
    <w:p>
      <w:pPr>
        <w:ind w:left="288"/>
      </w:pPr>
      <w:r>
        <w:rPr>
          <w:color w:val="1E1E1E"/>
          <w:sz w:val="18"/>
        </w:rPr>
        <w:t xml:space="preserve">É inconstitucional, por violação ao art. 37, X e XIII, e ao art. 39, § 1º, da CF, a vinculação de remunerações de carreiras pertencentes a entes federativos distintos ao subsídio de Ministros do Supremo Tribunal Federal; 2) A previsão legal que fixe subsídio em percentual determinado de um cargo paradigma deve ser interpretada conforme à Constituição, considerando-se como base o valor vigente no momento de publicação da lei impugnada, vedados reajustes automáticos posteriores; 3) Não ofende a Constituição o escalonamento de salários entre cargos estruturados na mesma carreira pública ou entre </w:t>
      </w:r>
    </w:p>
    <w:p>
      <w:pPr>
        <w:ind w:left="288"/>
      </w:pPr>
      <w:r>
        <w:rPr>
          <w:b/>
          <w:color w:val="003CA0"/>
          <w:sz w:val="16"/>
        </w:rPr>
        <w:t>[ADI 6.951, rel. min. Edson Fachin, j. 13-6-2022, P, DJE de 28-6-2022.]</w:t>
      </w:r>
    </w:p>
    <w:p>
      <w:pPr>
        <w:ind w:left="288"/>
      </w:pPr>
      <w:r>
        <w:rPr>
          <w:color w:val="8C8C8C"/>
          <w:sz w:val="12"/>
        </w:rPr>
        <w:t>cf-art-37-inc-XIII</w:t>
      </w:r>
      <w:r>
        <w:rPr>
          <w:color w:val="003CA0"/>
          <w:sz w:val="12"/>
        </w:rPr>
        <w:t xml:space="preserve"> | ADI 3.804</w:t>
      </w:r>
      <w:r>
        <w:rPr>
          <w:color w:val="003CA0"/>
          <w:sz w:val="12"/>
        </w:rPr>
        <w:t xml:space="preserve"> | rel. Dias Toffoli</w:t>
      </w:r>
    </w:p>
    <w:p>
      <w:pPr>
        <w:ind w:left="288"/>
      </w:pPr>
      <w:r>
        <w:rPr>
          <w:color w:val="1E1E1E"/>
          <w:sz w:val="18"/>
        </w:rPr>
        <w:t xml:space="preserve">A extensão automática de vencimentos e vantagens dos membros do ministério público comum aos membros do parquet especial exorbita o modelo normativo proclamado pela própria Constituição Federal em seu art. 130 e transgride a autonomia financeira da respectiva corte de contas estadual e a cláusula proibitória fundada no art. 37, inciso XIII, da Carta da República, que veda a vinculação ou a equiparação de quaisquer espécies remuneratórias para o efeito de remuneração de pessoal do serviço público. Os únicos regramentos do ministério público comum aplicáveis ao parquet que atua junto a tribunal </w:t>
      </w:r>
    </w:p>
    <w:p>
      <w:pPr>
        <w:ind w:left="288"/>
      </w:pPr>
      <w:r>
        <w:rPr>
          <w:b/>
          <w:color w:val="003CA0"/>
          <w:sz w:val="16"/>
        </w:rPr>
        <w:t>[ADI 3.804, rel. min. Dias Toffoli, j. 6-12-2021, P, DJE de 16-3-2022.]</w:t>
      </w:r>
    </w:p>
    <w:p>
      <w:pPr>
        <w:ind w:left="288"/>
      </w:pPr>
      <w:r>
        <w:rPr>
          <w:color w:val="8C8C8C"/>
          <w:sz w:val="12"/>
        </w:rPr>
        <w:t>cf-art-37-inc-XIII</w:t>
      </w:r>
      <w:r>
        <w:rPr>
          <w:color w:val="003CA0"/>
          <w:sz w:val="12"/>
        </w:rPr>
        <w:t xml:space="preserve"> | ADI 1.756</w:t>
      </w:r>
      <w:r>
        <w:rPr>
          <w:color w:val="003CA0"/>
          <w:sz w:val="12"/>
        </w:rPr>
        <w:t xml:space="preserve"> | rel. Roberto Barroso</w:t>
      </w:r>
    </w:p>
    <w:p>
      <w:pPr>
        <w:ind w:left="288"/>
      </w:pPr>
      <w:r>
        <w:rPr>
          <w:color w:val="1E1E1E"/>
          <w:sz w:val="18"/>
        </w:rPr>
        <w:t>A jurisprudência desta Corte é firme quanto à inconstitucionalidade da vinculação entre os subsídios dos membros do Ministério Público e da Magistratura, em afronta ao art. 37, XIII, da Constituição.</w:t>
      </w:r>
    </w:p>
    <w:p>
      <w:pPr>
        <w:ind w:left="288"/>
      </w:pPr>
      <w:r>
        <w:rPr>
          <w:b/>
          <w:color w:val="003CA0"/>
          <w:sz w:val="16"/>
        </w:rPr>
        <w:t>[ADI 1.756, rel. min. Roberto Barroso, j. 7-10-2015, P, DJE de 4-11-2015.]</w:t>
      </w:r>
    </w:p>
    <w:p>
      <w:pPr>
        <w:ind w:left="288"/>
      </w:pPr>
      <w:r>
        <w:rPr>
          <w:color w:val="8C8C8C"/>
          <w:sz w:val="12"/>
        </w:rPr>
        <w:t>cf-art-37-inc-XIII</w:t>
      </w:r>
      <w:r>
        <w:rPr>
          <w:color w:val="003CA0"/>
          <w:sz w:val="12"/>
        </w:rPr>
        <w:t xml:space="preserve"> | ADI 668</w:t>
      </w:r>
      <w:r>
        <w:rPr>
          <w:color w:val="003CA0"/>
          <w:sz w:val="12"/>
        </w:rPr>
        <w:t xml:space="preserve"> | rel. Dias Toffoli</w:t>
      </w:r>
    </w:p>
    <w:p>
      <w:pPr>
        <w:ind w:left="288"/>
      </w:pPr>
      <w:r>
        <w:rPr>
          <w:color w:val="1E1E1E"/>
          <w:sz w:val="18"/>
        </w:rPr>
        <w:t>A jurisprudência da Corte é pacífica no que tange ao não cabimento de qualquer espécie de vinculação da remuneração de servidores públicos, repelindo, assim, a vinculação da remuneração de servidores do Estado a fatores alheios à sua vontade e ao seu controle; seja às variações de índices de correção editados pela União; seja aos pisos salariais profissionais.</w:t>
      </w:r>
    </w:p>
    <w:p>
      <w:pPr>
        <w:ind w:left="288"/>
      </w:pPr>
      <w:r>
        <w:rPr>
          <w:b/>
          <w:color w:val="003CA0"/>
          <w:sz w:val="16"/>
        </w:rPr>
        <w:t>[ADI 668, rel. min. Dias Toffoli, j. 19-2-2014, P, DJE de 28-3-2014.]</w:t>
      </w:r>
    </w:p>
    <w:p>
      <w:pPr>
        <w:ind w:left="288"/>
      </w:pPr>
      <w:r>
        <w:rPr>
          <w:color w:val="8C8C8C"/>
          <w:sz w:val="12"/>
        </w:rPr>
        <w:t>cf-art-37-inc-XIII</w:t>
      </w:r>
      <w:r>
        <w:rPr>
          <w:color w:val="003CA0"/>
          <w:sz w:val="12"/>
        </w:rPr>
        <w:t xml:space="preserve"> | ADI 191</w:t>
      </w:r>
      <w:r>
        <w:rPr>
          <w:color w:val="003CA0"/>
          <w:sz w:val="12"/>
        </w:rPr>
        <w:t xml:space="preserve"> | rel. Cármen Lúcia</w:t>
      </w:r>
    </w:p>
    <w:p>
      <w:pPr>
        <w:ind w:left="288"/>
      </w:pPr>
      <w:r>
        <w:rPr>
          <w:color w:val="1E1E1E"/>
          <w:sz w:val="18"/>
        </w:rPr>
        <w:t>A norma questionada aponta para a possibilidade de serem equiparados os servidores de toda e qualquer fundação privada, instituída ou mantida pelo Estado, aos das fundações públicas. Sendo diversos os regimes jurídicos, diferentes são os direitos e os deveres que se combinam e formam os fundamentos da relação empregatícia firmada. A equiparação de regime, inclusive o remuneratório, que se aperfeiçoa pela equiparação de vencimentos, é prática vedada pelo art. 37, XIII, da Constituição brasileira e contrária à Súmula 339 do STF.</w:t>
      </w:r>
    </w:p>
    <w:p>
      <w:pPr>
        <w:ind w:left="288"/>
      </w:pPr>
      <w:r>
        <w:rPr>
          <w:b/>
          <w:color w:val="003CA0"/>
          <w:sz w:val="16"/>
        </w:rPr>
        <w:t>[ADI 191, rel. min. Cármen Lúcia, j. 29-11-2007, P, DJE de 7-3-2008.]</w:t>
      </w:r>
    </w:p>
    <w:p>
      <w:pPr>
        <w:ind w:left="288"/>
      </w:pPr>
      <w:r>
        <w:rPr>
          <w:color w:val="8C8C8C"/>
          <w:sz w:val="12"/>
        </w:rPr>
        <w:t>cf-art-37-inc-XIII</w:t>
      </w:r>
      <w:r>
        <w:rPr>
          <w:color w:val="003CA0"/>
          <w:sz w:val="12"/>
        </w:rPr>
        <w:t xml:space="preserve"> | ADI 1.264</w:t>
      </w:r>
      <w:r>
        <w:rPr>
          <w:color w:val="003CA0"/>
          <w:sz w:val="12"/>
        </w:rPr>
        <w:t xml:space="preserve"> | rel. Cármen Lúcia</w:t>
      </w:r>
    </w:p>
    <w:p>
      <w:pPr>
        <w:ind w:left="288"/>
      </w:pPr>
      <w:r>
        <w:rPr>
          <w:color w:val="1E1E1E"/>
          <w:sz w:val="18"/>
        </w:rPr>
        <w:t xml:space="preserve">Previsão de reajuste dos valores fixados referentes às vantagens nominalmente identificáveis para os cargos de provimento em comissão de direção e de gerência superior, na mesma proporção. Configurada situação de pagamento de vantagem pessoal, na qual se enquadra o princípio da "estabilidade financeira", e não da proibição constitucional de vinculação de espécies remuneratórias vedada pelo art. 37, XIII, da Constituição da República. Previsão legal que não iguala ou equipara vencimentos, apenas reconhece o direito dos que exerceram cargos ou funções comissionadas por certo período de tempo em </w:t>
      </w:r>
    </w:p>
    <w:p>
      <w:pPr>
        <w:ind w:left="288"/>
      </w:pPr>
      <w:r>
        <w:rPr>
          <w:b/>
          <w:color w:val="003CA0"/>
          <w:sz w:val="16"/>
        </w:rPr>
        <w:t>[ADI 1.264, rel. min. Cármen Lúcia, j. 29-11-2007, P, DJE de 15-2-2008.]</w:t>
      </w:r>
    </w:p>
    <w:p>
      <w:pPr>
        <w:ind w:left="288"/>
      </w:pPr>
      <w:r>
        <w:rPr>
          <w:color w:val="8C8C8C"/>
          <w:sz w:val="12"/>
        </w:rPr>
        <w:t>cf-art-37-inc-XIII</w:t>
      </w:r>
      <w:r>
        <w:rPr>
          <w:color w:val="003CA0"/>
          <w:sz w:val="12"/>
        </w:rPr>
        <w:t xml:space="preserve"> | ADI 3.491</w:t>
      </w:r>
      <w:r>
        <w:rPr>
          <w:color w:val="003CA0"/>
          <w:sz w:val="12"/>
        </w:rPr>
        <w:t xml:space="preserve"> | rel. Ayres Britto</w:t>
      </w:r>
    </w:p>
    <w:p>
      <w:pPr>
        <w:ind w:left="288"/>
      </w:pPr>
      <w:r>
        <w:rPr>
          <w:color w:val="1E1E1E"/>
          <w:sz w:val="18"/>
        </w:rPr>
        <w:t>A Lei Maior impôs tratamento jurídico diferenciado entre a classe dos servidores públicos em geral e o membro de Poder, o detentor de mandato eletivo, os ministros de Estado e os secretários estaduais e municipais. Esses agentes públicos, que se situam no topo da estrutura funcional de cada poder orgânico da União, dos Estados, do Distrito Federal e dos Municípios, são remunerados exclusivamente por subsídios, cuja fixação ou alteração é matéria reservada à lei específica, observada, em cada caso, a respectiva iniciativa (incisos X e XI do art. 37 da CF/1988). O dispositivo legal impugnado, ao</w:t>
      </w:r>
    </w:p>
    <w:p>
      <w:pPr>
        <w:ind w:left="288"/>
      </w:pPr>
      <w:r>
        <w:rPr>
          <w:b/>
          <w:color w:val="003CA0"/>
          <w:sz w:val="16"/>
        </w:rPr>
        <w:t>[ADI 3.491, rel. min. Ayres Britto, j. 27-9-2006, P, DJ de 23-3-2007.]</w:t>
        <w:br/>
        <w:t>= RE 759.518 RG, rel. min. Gilmar Mendes, j. 29-5-2014, P, DJE de 24-11-2014, Tema 737</w:t>
      </w:r>
    </w:p>
    <w:p>
      <w:pPr>
        <w:ind w:left="288"/>
      </w:pPr>
      <w:r>
        <w:rPr>
          <w:color w:val="8C8C8C"/>
          <w:sz w:val="12"/>
        </w:rPr>
        <w:t>cf-art-37-inc-XIII</w:t>
      </w:r>
      <w:r>
        <w:rPr>
          <w:color w:val="003CA0"/>
          <w:sz w:val="12"/>
        </w:rPr>
        <w:t xml:space="preserve"> | ADI 2.831</w:t>
      </w:r>
      <w:r>
        <w:rPr>
          <w:color w:val="003CA0"/>
          <w:sz w:val="12"/>
        </w:rPr>
        <w:t xml:space="preserve"> | rel. Maurício Corrêa</w:t>
      </w:r>
    </w:p>
    <w:p>
      <w:pPr>
        <w:ind w:left="288"/>
      </w:pPr>
      <w:r>
        <w:rPr>
          <w:color w:val="1E1E1E"/>
          <w:sz w:val="18"/>
        </w:rPr>
        <w:t>Esta Corte firmou entendimento no sentido de que é inconstitucional a vinculação ou equiparação de quaisquer espécies remuneratórias para o efeito de remuneração do serviço público, exceto algumas situações previstas no próprio Texto Constitucional.</w:t>
      </w:r>
    </w:p>
    <w:p>
      <w:pPr>
        <w:ind w:left="288"/>
      </w:pPr>
      <w:r>
        <w:rPr>
          <w:b/>
          <w:color w:val="003CA0"/>
          <w:sz w:val="16"/>
        </w:rPr>
        <w:t>[ADI 2.831 MC, rel. min. Maurício Corrêa, j. 11-3-2004, P, DJ de 28-5-2004.]</w:t>
      </w:r>
    </w:p>
    <w:p>
      <w:pPr>
        <w:ind w:left="288"/>
      </w:pPr>
      <w:r>
        <w:rPr>
          <w:color w:val="8C8C8C"/>
          <w:sz w:val="12"/>
        </w:rPr>
        <w:t>cf-art-37-inc-XIII</w:t>
      </w:r>
      <w:r>
        <w:rPr>
          <w:color w:val="003CA0"/>
          <w:sz w:val="12"/>
        </w:rPr>
        <w:t xml:space="preserve"> | RE 709.685</w:t>
      </w:r>
      <w:r>
        <w:rPr>
          <w:color w:val="003CA0"/>
          <w:sz w:val="12"/>
        </w:rPr>
        <w:t xml:space="preserve"> | rel. Cármen Lúcia</w:t>
      </w:r>
    </w:p>
    <w:p>
      <w:pPr>
        <w:ind w:left="288"/>
      </w:pPr>
      <w:r>
        <w:rPr>
          <w:color w:val="1E1E1E"/>
          <w:sz w:val="18"/>
        </w:rPr>
        <w:t>= RE 709.685 AgR, rel. min. Cármen Lúcia, j. 27-11-2012, 2ª T, DJE de 18-12-2012 A fixação de um limite percentual na diferença entre os valores de remuneração recebidos pelos ocupantes dos quatro níveis que compõem a carreira de procurador de Estado não afronta a vedação contida no art. 37, XIII, da CF, por se tratar de uma sistematização da hierarquia salarial entre as classes de uma mesma carreira, e não uma vinculação salarial entre diferentes categorias de servidores públicos. Precedentes: ADI 2.863, Nelson Jobim, e ADI 955 MC, Celso de Mello. Viola o comando previsto no art. 37, XIII, da</w:t>
      </w:r>
    </w:p>
    <w:p>
      <w:pPr>
        <w:ind w:left="288"/>
      </w:pPr>
      <w:r>
        <w:rPr>
          <w:b/>
          <w:color w:val="003CA0"/>
          <w:sz w:val="16"/>
        </w:rPr>
        <w:t>[ADI 2.840, rel. min. Ellen Gracie, j. 15-10-2003, P, DJ de 11-6-2004.]</w:t>
      </w:r>
    </w:p>
    <w:p>
      <w:pPr>
        <w:ind w:left="288"/>
      </w:pPr>
      <w:r>
        <w:rPr>
          <w:color w:val="8C8C8C"/>
          <w:sz w:val="12"/>
        </w:rPr>
        <w:t>cf-art-37-inc-XIII</w:t>
      </w:r>
      <w:r>
        <w:rPr>
          <w:color w:val="003CA0"/>
          <w:sz w:val="12"/>
        </w:rPr>
        <w:t xml:space="preserve"> | ADI 196</w:t>
      </w:r>
      <w:r>
        <w:rPr>
          <w:color w:val="003CA0"/>
          <w:sz w:val="12"/>
        </w:rPr>
        <w:t xml:space="preserve"> | rel. Ellen Gracie</w:t>
      </w:r>
    </w:p>
    <w:p>
      <w:pPr>
        <w:ind w:left="288"/>
      </w:pPr>
      <w:r>
        <w:rPr>
          <w:color w:val="1E1E1E"/>
          <w:sz w:val="18"/>
        </w:rPr>
        <w:t>Conforme reiterada jurisprudência desta Corte, mostra-se inconstitucional a equiparação de vencimentos entre servidores estaduais e federais, por ofensa aos arts. 25 e 37, XIII, da CF.</w:t>
      </w:r>
    </w:p>
    <w:p>
      <w:pPr>
        <w:ind w:left="288"/>
      </w:pPr>
      <w:r>
        <w:rPr>
          <w:b/>
          <w:color w:val="003CA0"/>
          <w:sz w:val="16"/>
        </w:rPr>
        <w:t>[ADI 196, rel. min. Ellen Gracie, j. 15-8-2002, P, DJ de 20-9-2002.]</w:t>
      </w:r>
    </w:p>
    <w:p>
      <w:pPr>
        <w:ind w:left="144"/>
      </w:pPr>
      <w:r>
        <w:rPr>
          <w:b/>
          <w:color w:val="B45A00"/>
          <w:sz w:val="16"/>
        </w:rPr>
        <w:t>REPERCUSSAO GERAL</w:t>
      </w:r>
    </w:p>
    <w:p>
      <w:pPr>
        <w:ind w:left="288"/>
      </w:pPr>
      <w:r>
        <w:rPr>
          <w:color w:val="8C8C8C"/>
          <w:sz w:val="12"/>
        </w:rPr>
        <w:t>cf-art-37-inc-XIII</w:t>
      </w:r>
      <w:r>
        <w:rPr>
          <w:color w:val="003CA0"/>
          <w:sz w:val="12"/>
        </w:rPr>
        <w:t xml:space="preserve"> | RE 1.366.232</w:t>
      </w:r>
      <w:r>
        <w:rPr>
          <w:color w:val="003CA0"/>
          <w:sz w:val="12"/>
        </w:rPr>
        <w:t xml:space="preserve"> | rel. Luiz Fux</w:t>
      </w:r>
    </w:p>
    <w:p>
      <w:pPr>
        <w:ind w:left="288"/>
      </w:pPr>
      <w:r>
        <w:rPr>
          <w:color w:val="1E1E1E"/>
          <w:sz w:val="18"/>
        </w:rPr>
        <w:t>É infraconstitucional, a ela se aplicando os efeitos da ausência de repercussão geral, a controvérsia relativa ao implemento dos requisitos para concessão da gratificação de representação, prevista na Lei 12.124/1993 do Estado do Ceará, a servidor lotado em unidade policial não integrante formalmente da estrutura da Polícia Civil estadual.</w:t>
      </w:r>
    </w:p>
    <w:p>
      <w:pPr>
        <w:ind w:left="288"/>
      </w:pPr>
      <w:r>
        <w:rPr>
          <w:b/>
          <w:color w:val="003CA0"/>
          <w:sz w:val="16"/>
        </w:rPr>
        <w:t>[RE 1.366.232, rel. min. Luiz Fux, j. 12-5-2022, P, DJE de 19-5-2022, Tema 1.216, com repercussão geral negada.]</w:t>
      </w:r>
    </w:p>
    <w:p>
      <w:pPr>
        <w:ind w:left="288"/>
      </w:pPr>
      <w:r>
        <w:rPr>
          <w:color w:val="8C8C8C"/>
          <w:sz w:val="12"/>
        </w:rPr>
        <w:t>cf-art-37-inc-XIII</w:t>
      </w:r>
      <w:r>
        <w:rPr>
          <w:color w:val="003CA0"/>
          <w:sz w:val="12"/>
        </w:rPr>
        <w:t xml:space="preserve"> | ARE 665.632</w:t>
      </w:r>
      <w:r>
        <w:rPr>
          <w:color w:val="003CA0"/>
          <w:sz w:val="12"/>
        </w:rPr>
        <w:t xml:space="preserve"> | rel. Teori Zavascki</w:t>
      </w:r>
    </w:p>
    <w:p>
      <w:pPr>
        <w:ind w:left="288"/>
      </w:pPr>
      <w:r>
        <w:rPr>
          <w:color w:val="1E1E1E"/>
          <w:sz w:val="18"/>
        </w:rPr>
        <w:t>O art. 37, XIII, da CF/1988 coíbe a vinculação ou equiparação de quaisquer espécies remuneratórias no âmbito do serviço público. Destarte, a pretensão dos recorrentes se afigura evidentemente incompatível com a CF de 1988, uma vez que importa a equiparação de vencimentos entre os integrantes das Forças Armadas e os militares do Distrito Federal.</w:t>
      </w:r>
    </w:p>
    <w:p>
      <w:pPr>
        <w:ind w:left="288"/>
      </w:pPr>
      <w:r>
        <w:rPr>
          <w:b/>
          <w:color w:val="003CA0"/>
          <w:sz w:val="16"/>
        </w:rPr>
        <w:t>[ARE 665.632, rel. min. Teori Zavascki, j. 16-4-2015, P, DJE de 28-4-2015, Tema 806, com mérito julgado.]</w:t>
      </w:r>
    </w:p>
    <w:p>
      <w:pPr>
        <w:ind w:left="288"/>
      </w:pPr>
      <w:r>
        <w:rPr>
          <w:color w:val="8C8C8C"/>
          <w:sz w:val="12"/>
        </w:rPr>
        <w:t>cf-art-37-inc-XIII</w:t>
      </w:r>
      <w:r>
        <w:rPr>
          <w:color w:val="003CA0"/>
          <w:sz w:val="12"/>
        </w:rPr>
        <w:t xml:space="preserve"> | RE 745.811</w:t>
      </w:r>
      <w:r>
        <w:rPr>
          <w:color w:val="003CA0"/>
          <w:sz w:val="12"/>
        </w:rPr>
        <w:t xml:space="preserve"> | rel. Gilmar Mendes</w:t>
      </w:r>
    </w:p>
    <w:p>
      <w:pPr>
        <w:ind w:left="288"/>
      </w:pPr>
      <w:r>
        <w:rPr>
          <w:color w:val="1E1E1E"/>
          <w:sz w:val="18"/>
        </w:rPr>
        <w:t>(...) é pacífico o entendimento do STF no sentido de que as normas que alteram o padrão remuneratório são de iniciativa privativa do chefe do Poder Executivo. Assim, é inafastável a inconstitucionalidade formal do art. 273 da Constituição do Estado de Alagoas. Ressalta-se que esta questão já foi enfrentada por este Tribunal, na sistemática da repercussão geral, no julgamento do RE 745.811, de minha relatoria. (...) Ademais, também é uníssona a jurisprudência desta Corte quanto à impossibilidade de vinculação de vencimentos de cargos distintos. Dessa forma, ao vincular a remuneração de servidor</w:t>
      </w:r>
    </w:p>
    <w:p>
      <w:pPr>
        <w:ind w:left="288"/>
      </w:pPr>
      <w:r>
        <w:rPr>
          <w:b/>
          <w:color w:val="003CA0"/>
          <w:sz w:val="16"/>
        </w:rPr>
        <w:t>[Rcl 70.991 AgR, rel. min. Edson Fachin, red. do ac. Gilmar Mendes, j. 17.02.2025, 2ª T, DJE de 02.04.2025.]</w:t>
      </w:r>
    </w:p>
    <w:p>
      <w:pPr>
        <w:ind w:left="144"/>
      </w:pPr>
      <w:r>
        <w:rPr>
          <w:b/>
          <w:color w:val="B45A00"/>
          <w:sz w:val="16"/>
        </w:rPr>
        <w:t>JULGADOS CORRELATOS</w:t>
      </w:r>
    </w:p>
    <w:p>
      <w:pPr>
        <w:ind w:left="288"/>
      </w:pPr>
      <w:r>
        <w:rPr>
          <w:color w:val="8C8C8C"/>
          <w:sz w:val="12"/>
        </w:rPr>
        <w:t>cf-art-37-inc-XIII</w:t>
      </w:r>
      <w:r>
        <w:rPr>
          <w:color w:val="003CA0"/>
          <w:sz w:val="12"/>
        </w:rPr>
        <w:t xml:space="preserve"> | RE 977.068</w:t>
      </w:r>
      <w:r>
        <w:rPr>
          <w:color w:val="003CA0"/>
          <w:sz w:val="12"/>
        </w:rPr>
        <w:t xml:space="preserve"> | rel. Edson Fachin</w:t>
      </w:r>
    </w:p>
    <w:p>
      <w:pPr>
        <w:ind w:left="288"/>
      </w:pPr>
      <w:r>
        <w:rPr>
          <w:color w:val="1E1E1E"/>
          <w:sz w:val="18"/>
        </w:rPr>
        <w:t>É aplicável a Súmula Vinculante 42 a execuções de títulos judiciais formados anteriormente à publicação do verbete, caso este se remeta a julgamentos anteriores ao trânsito em julgado do ato exequendo.</w:t>
        <w:br/>
        <w:t>[RE 977.068 AgR, rel. min. Edson Fachin, j. 17-11-2017, 2ª T, DJE de 5-12-2017.] Art. 25 da LC 2.647/1986 do Estado de São Paulo. (...) É inconstitucional a norma veiculada no art. 25 da LC 467/1986, por meio da qual estabelecido sistema de reajuste automático de vencimentos, proventos e pensões pautado na variação acumulada do Índice de Preços ao Consumidor.</w:t>
        <w:br/>
        <w:t>[AI 779.185 AgR-segundo, rel. min. M</w:t>
      </w:r>
    </w:p>
    <w:p>
      <w:pPr>
        <w:ind w:left="288"/>
      </w:pPr>
      <w:r>
        <w:rPr>
          <w:b/>
          <w:color w:val="003CA0"/>
          <w:sz w:val="16"/>
        </w:rPr>
        <w:t>[RE 218.874, rel. min. Eros Grau, j. 7-11-2007, P, DJ de 1º-2-2008.]</w:t>
      </w:r>
    </w:p>
    <w:p>
      <w:pPr>
        <w:ind w:left="288"/>
      </w:pPr>
      <w:r>
        <w:rPr>
          <w:color w:val="8C8C8C"/>
          <w:sz w:val="12"/>
        </w:rPr>
        <w:t>cf-art-37-inc-XIII</w:t>
      </w:r>
      <w:r>
        <w:rPr>
          <w:color w:val="003CA0"/>
          <w:sz w:val="12"/>
        </w:rPr>
        <w:t xml:space="preserve"> | RE 222.656</w:t>
      </w:r>
      <w:r>
        <w:rPr>
          <w:color w:val="003CA0"/>
          <w:sz w:val="12"/>
        </w:rPr>
        <w:t xml:space="preserve"> | rel. Octavio Gallotti</w:t>
      </w:r>
    </w:p>
    <w:p>
      <w:pPr>
        <w:ind w:left="288"/>
      </w:pPr>
      <w:r>
        <w:rPr>
          <w:color w:val="1E1E1E"/>
          <w:sz w:val="18"/>
        </w:rPr>
        <w:t>O inciso XIII do art. 37 da Constituição veda a equiparação ou vinculação entre a remuneração de dois cargos, não a percepção dos vencimentos de um deles pela circunstância de haver o servidor exercido as funções correspondentes.</w:t>
      </w:r>
    </w:p>
    <w:p>
      <w:pPr>
        <w:ind w:left="288"/>
      </w:pPr>
      <w:r>
        <w:rPr>
          <w:b/>
          <w:color w:val="003CA0"/>
          <w:sz w:val="16"/>
        </w:rPr>
        <w:t>[RE 222.656, rel. min. Octavio Gallotti, j. 29-6-1999, 1ª T, DJ de 16-6-2000.]</w:t>
      </w:r>
    </w:p>
    <w:p>
      <w:pPr>
        <w:ind w:left="288"/>
      </w:pPr>
      <w:r>
        <w:rPr>
          <w:color w:val="8C8C8C"/>
          <w:sz w:val="12"/>
        </w:rPr>
        <w:t>cf-art-37-inc-XIII</w:t>
      </w:r>
      <w:r>
        <w:rPr>
          <w:color w:val="003CA0"/>
          <w:sz w:val="12"/>
        </w:rPr>
        <w:t xml:space="preserve"> | RE 226.462</w:t>
      </w:r>
      <w:r>
        <w:rPr>
          <w:color w:val="003CA0"/>
          <w:sz w:val="12"/>
        </w:rPr>
        <w:t xml:space="preserve"> | rel. Sepúlveda Pertence</w:t>
      </w:r>
    </w:p>
    <w:p>
      <w:pPr>
        <w:ind w:left="288"/>
      </w:pPr>
      <w:r>
        <w:rPr>
          <w:color w:val="1E1E1E"/>
          <w:sz w:val="18"/>
        </w:rPr>
        <w:t>Pacífica no STF a inexistência de conflito entre a chamada "estabilidade financeira" e o art. 37, XIII, CF, que proíbe vinculação entre vencimentos (cf. precedentes citados), daí não se segue, contudo, o direito adquirido do servidor beneficiário da vantagem à preservação do regime legal de atrelamento do valor dela ao vencimento do respectivo cargo em comissão: donde a legitimidade e a aplicabilidade imediata da lei que desvincule o reajuste futuro da vantagem àqueles vencimentos do cargo em comissão, submetendo-a aos critérios das revisões gerais dos vencimentos do funcionalismo.</w:t>
      </w:r>
    </w:p>
    <w:p>
      <w:pPr>
        <w:ind w:left="288"/>
      </w:pPr>
      <w:r>
        <w:rPr>
          <w:b/>
          <w:color w:val="003CA0"/>
          <w:sz w:val="16"/>
        </w:rPr>
        <w:t>[RE 226.462, rel. min. Sepúlveda Pertence, j. 13-5-1998, P, DJ de 25-5-2001.]</w:t>
      </w:r>
    </w:p>
    <w:p>
      <w:pPr>
        <w:ind w:left="288"/>
      </w:pPr>
      <w:r>
        <w:rPr>
          <w:color w:val="8C8C8C"/>
          <w:sz w:val="12"/>
        </w:rPr>
        <w:t>cf-art-37-inc-XIII</w:t>
      </w:r>
      <w:r>
        <w:rPr>
          <w:color w:val="003CA0"/>
          <w:sz w:val="12"/>
        </w:rPr>
        <w:t xml:space="preserve"> | RE 640.564</w:t>
      </w:r>
      <w:r>
        <w:rPr>
          <w:color w:val="003CA0"/>
          <w:sz w:val="12"/>
        </w:rPr>
        <w:t xml:space="preserve"> | rel. Luiz Fux</w:t>
      </w:r>
    </w:p>
    <w:p>
      <w:pPr>
        <w:ind w:left="288"/>
      </w:pPr>
      <w:r>
        <w:rPr>
          <w:color w:val="1E1E1E"/>
          <w:sz w:val="18"/>
        </w:rPr>
        <w:t>= RE 640.564 AgR, rel. min. Luiz Fux, j. 28-8-2012, 1ª T, DJE de 12-9-2012 XIV - os acréscimos pecuniários percebidos por servidor público não serão computados nem acumulados para fins de concessão de acréscimos ulteriores; (Redação da EC 19/1998)</w:t>
      </w:r>
    </w:p>
    <w:p>
      <w:pPr>
        <w:ind w:left="144"/>
      </w:pPr>
      <w:r>
        <w:rPr>
          <w:b/>
          <w:color w:val="B45A00"/>
          <w:sz w:val="16"/>
        </w:rPr>
        <w:t>REPERCUSSAO GERAL</w:t>
      </w:r>
    </w:p>
    <w:p>
      <w:pPr>
        <w:ind w:left="288"/>
      </w:pPr>
      <w:r>
        <w:rPr>
          <w:color w:val="8C8C8C"/>
          <w:sz w:val="12"/>
        </w:rPr>
        <w:t>cf-art-37-inc-XIII</w:t>
      </w:r>
      <w:r>
        <w:rPr>
          <w:color w:val="003CA0"/>
          <w:sz w:val="12"/>
        </w:rPr>
        <w:t xml:space="preserve"> | RE 563.708</w:t>
      </w:r>
      <w:r>
        <w:rPr>
          <w:color w:val="003CA0"/>
          <w:sz w:val="12"/>
        </w:rPr>
        <w:t xml:space="preserve"> | rel. Cármen Lúcia</w:t>
      </w:r>
    </w:p>
    <w:p>
      <w:pPr>
        <w:ind w:left="288"/>
      </w:pPr>
      <w:r>
        <w:rPr>
          <w:color w:val="1E1E1E"/>
          <w:sz w:val="18"/>
        </w:rPr>
        <w:t>Servidor público. Inexistência de direito adquirido a regime jurídico. Base de cálculo de vantagens pessoais. Efeito cascata: proibição constitucional. (...) Impossibilidade de redução dos vencimentos. Princípio da irredutibilidade dos vencimentos. Recurso ao qual se dá parcial provimento.</w:t>
        <w:br/>
        <w:t>[RE 563.708, rel. min. Cármen Lúcia, j. 6-2-2013, P, DJE de 2-5-2013, Tema 24, com mérito julgado.]</w:t>
      </w:r>
    </w:p>
    <w:p>
      <w:pPr>
        <w:ind w:left="144"/>
      </w:pPr>
      <w:r>
        <w:rPr>
          <w:b/>
          <w:color w:val="B45A00"/>
          <w:sz w:val="16"/>
        </w:rPr>
        <w:t>JULGADOS CORRELATOS</w:t>
      </w:r>
    </w:p>
    <w:p>
      <w:pPr>
        <w:ind w:left="288"/>
      </w:pPr>
      <w:r>
        <w:rPr>
          <w:color w:val="8C8C8C"/>
          <w:sz w:val="12"/>
        </w:rPr>
        <w:t>cf-art-37-inc-XIII</w:t>
      </w:r>
      <w:r>
        <w:rPr>
          <w:color w:val="003CA0"/>
          <w:sz w:val="12"/>
        </w:rPr>
        <w:t xml:space="preserve"> | AI 820.974</w:t>
      </w:r>
      <w:r>
        <w:rPr>
          <w:color w:val="003CA0"/>
          <w:sz w:val="12"/>
        </w:rPr>
        <w:t xml:space="preserve"> | rel. Marco Aurélio</w:t>
      </w:r>
    </w:p>
    <w:p>
      <w:pPr>
        <w:ind w:left="288"/>
      </w:pPr>
      <w:r>
        <w:rPr>
          <w:color w:val="1E1E1E"/>
          <w:sz w:val="18"/>
        </w:rPr>
        <w:t>Remuneração. Servidor público paulista. Sexta-parte. A parcela não caracteriza gratificação por tempo de serviço, mas melhoria de vencimento alcançada com implemento de condição temporal, integrando-o e servindo de base a outras parcelas.</w:t>
      </w:r>
    </w:p>
    <w:p>
      <w:pPr>
        <w:ind w:left="288"/>
      </w:pPr>
      <w:r>
        <w:rPr>
          <w:b/>
          <w:color w:val="003CA0"/>
          <w:sz w:val="16"/>
        </w:rPr>
        <w:t>[AI 820.974 AgR, rel. min. Marco Aurélio, j. 13-12-2011, 1ª T, DJE de 15-2-2012.]</w:t>
      </w:r>
    </w:p>
    <w:p>
      <w:pPr>
        <w:ind w:left="288"/>
      </w:pPr>
      <w:r>
        <w:rPr>
          <w:color w:val="8C8C8C"/>
          <w:sz w:val="12"/>
        </w:rPr>
        <w:t>cf-art-37-inc-XIII</w:t>
      </w:r>
      <w:r>
        <w:rPr>
          <w:color w:val="003CA0"/>
          <w:sz w:val="12"/>
        </w:rPr>
        <w:t xml:space="preserve"> | AI 414.610</w:t>
      </w:r>
      <w:r>
        <w:rPr>
          <w:color w:val="003CA0"/>
          <w:sz w:val="12"/>
        </w:rPr>
        <w:t xml:space="preserve"> | rel. Ellen Gracie</w:t>
      </w:r>
    </w:p>
    <w:p>
      <w:pPr>
        <w:ind w:left="288"/>
      </w:pPr>
      <w:r>
        <w:rPr>
          <w:color w:val="1E1E1E"/>
          <w:sz w:val="18"/>
        </w:rPr>
        <w:t>A decisão recorrida está em consonância com a jurisprudência desta Corte, a qual entende que as vantagens pessoais incidem na gratificação de produtividade porque compõem o vencimento do servidor.</w:t>
      </w:r>
    </w:p>
    <w:p>
      <w:pPr>
        <w:ind w:left="288"/>
      </w:pPr>
      <w:r>
        <w:rPr>
          <w:b/>
          <w:color w:val="003CA0"/>
          <w:sz w:val="16"/>
        </w:rPr>
        <w:t>[AI 414.610 AgR, rel. min. Ellen Gracie, j. 25-8-2009, 2ª T, DJE de 18-9-2009.]</w:t>
      </w:r>
    </w:p>
    <w:p>
      <w:pPr>
        <w:ind w:left="288"/>
      </w:pPr>
      <w:r>
        <w:rPr>
          <w:color w:val="8C8C8C"/>
          <w:sz w:val="12"/>
        </w:rPr>
        <w:t>cf-art-37-inc-XIII</w:t>
      </w:r>
      <w:r>
        <w:rPr>
          <w:color w:val="003CA0"/>
          <w:sz w:val="12"/>
        </w:rPr>
        <w:t xml:space="preserve"> | RE 262.398</w:t>
      </w:r>
      <w:r>
        <w:rPr>
          <w:color w:val="003CA0"/>
          <w:sz w:val="12"/>
        </w:rPr>
        <w:t xml:space="preserve"> | rel. Dias Toffoli</w:t>
      </w:r>
    </w:p>
    <w:p>
      <w:pPr>
        <w:ind w:left="288"/>
      </w:pPr>
      <w:r>
        <w:rPr>
          <w:color w:val="1E1E1E"/>
          <w:sz w:val="18"/>
        </w:rPr>
        <w:t xml:space="preserve">= RE 262.398 AgR, rel. min. Dias Toffoli, j. 21-8-2012, 1ª T, DJE de 6-9-2012 Vide RE 206.117, rel. min. Sepúlveda Pertence, j. 21-3-2000, 1ª T, DJ de 28-4-2000 Adicional por tempo de serviço. DL 2.019/1983 e Loman (...). Interpretando o DL 2.019/1983, em deliberação administrativa ocorrida em 4-4-1983, o Plenário desta Corte afastou, expressamente, a possibilidade da ocorrência do denominado "repicão" (incidência de adicional sobre adicional anterior da mesma natureza), ao determinar que "(...) o cálculo da gratificação adicional será efetuado sobre o vencimento e a representação percebidos, </w:t>
      </w:r>
    </w:p>
    <w:p>
      <w:pPr>
        <w:ind w:left="288"/>
      </w:pPr>
      <w:r>
        <w:rPr>
          <w:b/>
          <w:color w:val="003CA0"/>
          <w:sz w:val="16"/>
        </w:rPr>
        <w:t>[AO 150, rel. min. Menezes Direito, j. 23-10-2008, P, DJE de 27-2-2009.]</w:t>
      </w:r>
    </w:p>
    <w:p>
      <w:pPr>
        <w:ind w:left="288"/>
      </w:pPr>
      <w:r>
        <w:rPr>
          <w:color w:val="8C8C8C"/>
          <w:sz w:val="12"/>
        </w:rPr>
        <w:t>cf-art-37-inc-XIII</w:t>
      </w:r>
      <w:r>
        <w:rPr>
          <w:color w:val="003CA0"/>
          <w:sz w:val="12"/>
        </w:rPr>
        <w:t xml:space="preserve"> | AI 392.954</w:t>
      </w:r>
      <w:r>
        <w:rPr>
          <w:color w:val="003CA0"/>
          <w:sz w:val="12"/>
        </w:rPr>
        <w:t xml:space="preserve"> | rel. Cezar Peluso</w:t>
      </w:r>
    </w:p>
    <w:p>
      <w:pPr>
        <w:ind w:left="288"/>
      </w:pPr>
      <w:r>
        <w:rPr>
          <w:color w:val="1E1E1E"/>
          <w:sz w:val="18"/>
        </w:rPr>
        <w:t>A Constituição da República veda a acumulação de acréscimos pecuniários para fins de cálculo de acréscimos ulteriores, sob o mesmo fundamento.</w:t>
      </w:r>
    </w:p>
    <w:p>
      <w:pPr>
        <w:ind w:left="288"/>
      </w:pPr>
      <w:r>
        <w:rPr>
          <w:b/>
          <w:color w:val="003CA0"/>
          <w:sz w:val="16"/>
        </w:rPr>
        <w:t>[AI 392.954 AgR, rel. min. Cezar Peluso, j. 4-11-2003, P, DJ de 5-3-2004.]</w:t>
      </w:r>
    </w:p>
    <w:p>
      <w:pPr>
        <w:ind w:left="288"/>
      </w:pPr>
      <w:r>
        <w:rPr>
          <w:color w:val="8C8C8C"/>
          <w:sz w:val="12"/>
        </w:rPr>
        <w:t>cf-art-37-inc-XIII</w:t>
      </w:r>
      <w:r>
        <w:rPr>
          <w:color w:val="003CA0"/>
          <w:sz w:val="12"/>
        </w:rPr>
        <w:t xml:space="preserve"> | RMS 23.319</w:t>
      </w:r>
      <w:r>
        <w:rPr>
          <w:color w:val="003CA0"/>
          <w:sz w:val="12"/>
        </w:rPr>
        <w:t xml:space="preserve"> | rel. Nelson Jobim</w:t>
      </w:r>
    </w:p>
    <w:p>
      <w:pPr>
        <w:ind w:left="288"/>
      </w:pPr>
      <w:r>
        <w:rPr>
          <w:color w:val="1E1E1E"/>
          <w:sz w:val="18"/>
        </w:rPr>
        <w:t>Servidor público federal. Gratificação bienal. Impossibilidade da sua cumulação com adicional por tempo de serviço, por decorrerem de idêntico fundamento. Arts. 37, XIV, da CF e 17 do ADCT.</w:t>
      </w:r>
    </w:p>
    <w:p>
      <w:pPr>
        <w:ind w:left="288"/>
      </w:pPr>
      <w:r>
        <w:rPr>
          <w:b/>
          <w:color w:val="003CA0"/>
          <w:sz w:val="16"/>
        </w:rPr>
        <w:t>[RMS 23.319 AgR-ED, rel. min. Nelson Jobim, j. 20-8-2002, 2ª T, DJ de 19-12-2002.]</w:t>
      </w:r>
    </w:p>
    <w:p>
      <w:pPr>
        <w:ind w:left="288"/>
      </w:pPr>
      <w:r>
        <w:rPr>
          <w:color w:val="8C8C8C"/>
          <w:sz w:val="12"/>
        </w:rPr>
        <w:t>cf-art-37-inc-XIII</w:t>
      </w:r>
      <w:r>
        <w:rPr>
          <w:color w:val="003CA0"/>
          <w:sz w:val="12"/>
        </w:rPr>
        <w:t xml:space="preserve"> | RE 549.344</w:t>
      </w:r>
      <w:r>
        <w:rPr>
          <w:color w:val="003CA0"/>
          <w:sz w:val="12"/>
        </w:rPr>
        <w:t xml:space="preserve"> | rel. Cármen Lúcia</w:t>
      </w:r>
    </w:p>
    <w:p>
      <w:pPr>
        <w:ind w:left="288"/>
      </w:pPr>
      <w:r>
        <w:rPr>
          <w:color w:val="1E1E1E"/>
          <w:sz w:val="18"/>
        </w:rPr>
        <w:t>= RE 549.344 AgR, rel. min. Cármen Lúcia, j. 30-6-2009, 1ª T, DJE de 21-8-2009</w:t>
        <w:br/>
        <w:t>= AR 1.807, rel. min. Dias Toffoli, red. do ac. min. Luiz Fux, j. 25-4-2023, P, DJE de 28-6-2023 Acumulação de vantagens concedidas sob o mesmo título. Vedação constitucional (CF, art. 37, XIV). Adicional bienal e quinquênios: acréscimos à remuneração que têm o tempo de serviço público como fundamento.</w:t>
      </w:r>
    </w:p>
    <w:p>
      <w:pPr>
        <w:ind w:left="288"/>
      </w:pPr>
      <w:r>
        <w:rPr>
          <w:b/>
          <w:color w:val="003CA0"/>
          <w:sz w:val="16"/>
        </w:rPr>
        <w:t>[RMS 23.458, red. do ac. min. Maurício Corrêa, rel. min. Marco Aurélio, j. 16-10-2001, 2ª T, DJ de 3-5-2002.]</w:t>
      </w:r>
    </w:p>
    <w:p>
      <w:pPr>
        <w:ind w:left="288"/>
      </w:pPr>
      <w:r>
        <w:rPr>
          <w:color w:val="8C8C8C"/>
          <w:sz w:val="12"/>
        </w:rPr>
        <w:t>cf-art-37-inc-XIII</w:t>
      </w:r>
      <w:r>
        <w:rPr>
          <w:color w:val="003CA0"/>
          <w:sz w:val="12"/>
        </w:rPr>
        <w:t xml:space="preserve"> | AI 636.563</w:t>
      </w:r>
      <w:r>
        <w:rPr>
          <w:color w:val="003CA0"/>
          <w:sz w:val="12"/>
        </w:rPr>
        <w:t xml:space="preserve"> | rel. Cármen Lúcia</w:t>
      </w:r>
    </w:p>
    <w:p>
      <w:pPr>
        <w:ind w:left="288"/>
      </w:pPr>
      <w:r>
        <w:rPr>
          <w:color w:val="1E1E1E"/>
          <w:sz w:val="18"/>
        </w:rPr>
        <w:t>= AI 636.563 AgR, rel. min. Cármen Lúcia, j. 30-6-2009, 1ª T, DJE de 21-8-2009 O pressuposto para a aplicação do art. 17, caput, ADCT/1988, isto é, para a redução do vencimento, remuneração, vantagem e adicional, bem como de provento, é que esses estejam em desacordo com a Constituição de 1988. Ora, a Constituição de 1988 não estabeleceu limites ao critério do cálculo do adicional por tempo de serviço, em termos de percentuais. O que a Constituição vedou no art. 37, XIV, é o denominado "repique", ou o cálculo de vantagens pessoais uma sobre a outra, assim em "cascata".</w:t>
      </w:r>
    </w:p>
    <w:p>
      <w:pPr>
        <w:ind w:left="288"/>
      </w:pPr>
      <w:r>
        <w:rPr>
          <w:b/>
          <w:color w:val="003CA0"/>
          <w:sz w:val="16"/>
        </w:rPr>
        <w:t>[MS 22.891, rel. min. Carlos Velloso, j. 3-8-1998, P, DJ de 7-11-2003.]</w:t>
      </w:r>
    </w:p>
    <w:p>
      <w:pPr>
        <w:ind w:left="288"/>
      </w:pPr>
      <w:r>
        <w:rPr>
          <w:color w:val="8C8C8C"/>
          <w:sz w:val="12"/>
        </w:rPr>
        <w:t>cf-art-37-inc-XIII</w:t>
      </w:r>
      <w:r>
        <w:rPr>
          <w:color w:val="003CA0"/>
          <w:sz w:val="12"/>
        </w:rPr>
        <w:t xml:space="preserve"> | RE 130.960</w:t>
      </w:r>
      <w:r>
        <w:rPr>
          <w:color w:val="003CA0"/>
          <w:sz w:val="12"/>
        </w:rPr>
        <w:t xml:space="preserve"> | rel. Octavio Gallotti</w:t>
      </w:r>
    </w:p>
    <w:p>
      <w:pPr>
        <w:ind w:left="288"/>
      </w:pPr>
      <w:r>
        <w:rPr>
          <w:color w:val="1E1E1E"/>
          <w:sz w:val="18"/>
        </w:rPr>
        <w:t>Contagem sucessiva de parcelas de remuneração, ou seja, influência recíproca de umas sobre as outras, de sorte que seja a mesma gratificação incorporada ao estipêndio do servidor, para vir a integrar, em subsequente operação, a sua própria base de cálculo. Sistema incompatível com o disposto no art. 37, XIV, da Constituição (...).</w:t>
      </w:r>
    </w:p>
    <w:p>
      <w:pPr>
        <w:ind w:left="288"/>
      </w:pPr>
      <w:r>
        <w:rPr>
          <w:b/>
          <w:color w:val="003CA0"/>
          <w:sz w:val="16"/>
        </w:rPr>
        <w:t>[RE 130.960, rel. min. Octavio Gallotti, j. 12-12-1995, 1ª T, DJ de 8-3-1996.]</w:t>
      </w:r>
    </w:p>
    <w:p>
      <w:pPr>
        <w:ind w:left="288"/>
      </w:pPr>
      <w:r>
        <w:rPr>
          <w:color w:val="8C8C8C"/>
          <w:sz w:val="12"/>
        </w:rPr>
        <w:t>cf-art-37-inc-XIII</w:t>
      </w:r>
      <w:r>
        <w:rPr>
          <w:color w:val="003CA0"/>
          <w:sz w:val="12"/>
        </w:rPr>
        <w:t xml:space="preserve"> | RE 446.800</w:t>
      </w:r>
      <w:r>
        <w:rPr>
          <w:color w:val="003CA0"/>
          <w:sz w:val="12"/>
        </w:rPr>
        <w:t xml:space="preserve"> | rel. Cármen Lúcia</w:t>
      </w:r>
    </w:p>
    <w:p>
      <w:pPr>
        <w:ind w:left="288"/>
      </w:pPr>
      <w:r>
        <w:rPr>
          <w:color w:val="1E1E1E"/>
          <w:sz w:val="18"/>
        </w:rPr>
        <w:t>= RE 446.800 ED, rel. min. Cármen Lúcia, j. 8-9-2009, 1ª T, DJE de 2-10-2009 XV - o subsídio e os vencimentos dos ocupantes de cargos e empregos públicos são irredutíveis, ressalvado o disposto nos incisos XI e XIV deste artigo e nos arts. 39, § 4º; 150, II; 153, III; e 153, § 2º, I; (Redação da EC 19/1998)</w:t>
      </w:r>
    </w:p>
    <w:p>
      <w:pPr>
        <w:ind w:left="144"/>
      </w:pPr>
      <w:r>
        <w:rPr>
          <w:b/>
          <w:color w:val="B45A00"/>
          <w:sz w:val="16"/>
        </w:rPr>
        <w:t>CONTROLE CONCENTRADO</w:t>
      </w:r>
    </w:p>
    <w:p>
      <w:pPr>
        <w:ind w:left="288"/>
      </w:pPr>
      <w:r>
        <w:rPr>
          <w:color w:val="8C8C8C"/>
          <w:sz w:val="12"/>
        </w:rPr>
        <w:t>cf-art-37-inc-XIII</w:t>
      </w:r>
      <w:r>
        <w:rPr>
          <w:color w:val="003CA0"/>
          <w:sz w:val="12"/>
        </w:rPr>
        <w:t xml:space="preserve"> | ADI 5.606</w:t>
      </w:r>
      <w:r>
        <w:rPr>
          <w:color w:val="003CA0"/>
          <w:sz w:val="12"/>
        </w:rPr>
        <w:t xml:space="preserve"> | rel. Ricardo Lewandowski</w:t>
      </w:r>
    </w:p>
    <w:p>
      <w:pPr>
        <w:ind w:left="288"/>
      </w:pPr>
      <w:r>
        <w:rPr>
          <w:color w:val="1E1E1E"/>
          <w:sz w:val="18"/>
        </w:rPr>
        <w:t>A suspensão, por lei, de efeitos financeiros futuros de promoções de servidores públicos não ofende a proteção constitucional do direito adquirido e a regra da irredutibilidade de vencimentos.</w:t>
      </w:r>
    </w:p>
    <w:p>
      <w:pPr>
        <w:ind w:left="288"/>
      </w:pPr>
      <w:r>
        <w:rPr>
          <w:b/>
          <w:color w:val="003CA0"/>
          <w:sz w:val="16"/>
        </w:rPr>
        <w:t>[ADI 5.606, red. do ac. min. Roberto Barroso, rel. min. Ricardo Lewandowski, j. 21-2-2022, P, DJE de 31-3-2022.]</w:t>
      </w:r>
    </w:p>
    <w:p>
      <w:pPr>
        <w:ind w:left="288"/>
      </w:pPr>
      <w:r>
        <w:rPr>
          <w:color w:val="8C8C8C"/>
          <w:sz w:val="12"/>
        </w:rPr>
        <w:t>cf-art-37-inc-XIII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Artigos 9, § 3º, 23, § 2º, 56, caput, 57, caput. Ação julgada procedente com declaração de inconstitucionalidade dos dispositivos. (...) Em relação ao parágrafo 2º do artigo 23 da LRF, é entendimento iterativo do STF considerar a irredutibilidade do estipêndio funcional como garantia constitucional voltada a qualificar prerrogativa de caráter jurídico-social instituída em favor dos agentes públicos. (...) Artigo 23, § 1º, procedente para declarar a inconstitucionalidade parcial, sem red</w:t>
      </w:r>
    </w:p>
    <w:p>
      <w:pPr>
        <w:ind w:left="288"/>
      </w:pPr>
      <w:r>
        <w:rPr>
          <w:b/>
          <w:color w:val="003CA0"/>
          <w:sz w:val="16"/>
        </w:rPr>
        <w:t>[ADI 2.238, rel. min. Alexandre de Moraes, j. 24-6-2020, P, DJE de 15-9-2020.]</w:t>
      </w:r>
    </w:p>
    <w:p>
      <w:pPr>
        <w:ind w:left="288"/>
      </w:pPr>
      <w:r>
        <w:rPr>
          <w:color w:val="8C8C8C"/>
          <w:sz w:val="12"/>
        </w:rPr>
        <w:t>cf-art-37-inc-XIII</w:t>
      </w:r>
      <w:r>
        <w:rPr>
          <w:color w:val="003CA0"/>
          <w:sz w:val="12"/>
        </w:rPr>
        <w:t xml:space="preserve"> | ADI 5.026</w:t>
      </w:r>
      <w:r>
        <w:rPr>
          <w:color w:val="003CA0"/>
          <w:sz w:val="12"/>
        </w:rPr>
        <w:t xml:space="preserve"> | rel. Rosa Weber</w:t>
      </w:r>
    </w:p>
    <w:p>
      <w:pPr>
        <w:ind w:left="288"/>
      </w:pPr>
      <w:r>
        <w:rPr>
          <w:color w:val="1E1E1E"/>
          <w:sz w:val="18"/>
        </w:rPr>
        <w:t>Alegação de inconstitucionalidade material do artigo 53 da lei combatida, que prevê a forma de cálculo da renda mensal do benefício previdenciário de auxílio-doença com estipulação de valor inferior ao do rendimento efetivo do servidor. Inexistência de afronta aos princípios da irredutibilidade dos vencimentos e dos benefícios (artigos 37, XV, e 194, parágrafo único, da Constituição Federal). Os vencimentos recebidos pelo servidor público, pagos em contraprestação pelo seu labor, não se confundem com os valores auferidos a título de benefício previdenciário.</w:t>
      </w:r>
    </w:p>
    <w:p>
      <w:pPr>
        <w:ind w:left="288"/>
      </w:pPr>
      <w:r>
        <w:rPr>
          <w:b/>
          <w:color w:val="003CA0"/>
          <w:sz w:val="16"/>
        </w:rPr>
        <w:t>[ADI 5.026, rel. min. Rosa Weber, j. 3-3-2020, P, DJE de 12-3-2020.]</w:t>
      </w:r>
    </w:p>
    <w:p>
      <w:pPr>
        <w:ind w:left="288"/>
      </w:pPr>
      <w:r>
        <w:rPr>
          <w:color w:val="8C8C8C"/>
          <w:sz w:val="12"/>
        </w:rPr>
        <w:t>cf-art-37-inc-XIII</w:t>
      </w:r>
      <w:r>
        <w:rPr>
          <w:color w:val="003CA0"/>
          <w:sz w:val="12"/>
        </w:rPr>
        <w:t xml:space="preserve"> | ADI 5.560</w:t>
      </w:r>
      <w:r>
        <w:rPr>
          <w:color w:val="003CA0"/>
          <w:sz w:val="12"/>
        </w:rPr>
        <w:t xml:space="preserve"> | rel. Rosa Weber</w:t>
      </w:r>
    </w:p>
    <w:p>
      <w:pPr>
        <w:ind w:left="288"/>
      </w:pPr>
      <w:r>
        <w:rPr>
          <w:color w:val="1E1E1E"/>
          <w:sz w:val="18"/>
        </w:rPr>
        <w:t>Lei 10.410/2016 do Estado do Mato Grosso (...). (...) Não há afronta à garantia de irredutibilidade dos vencimentos, ao comando expresso que assegura a Revisão Geral Anual dos servidores públicos sempre na mesma data e sem distinção de índices, nem à vedação do parcelamento de salário. O art. 169, § 1º da Carta Magna veda a concessão de qualquer vantagem ou aumento de remuneração, sem que haja prévia dotação orçamentária suficiente para atender às projeções de despesa de pessoal e aos acréscimos dela decorrentes. A norma impugnada, a um só tempo: (i) garante a revisão; e (ii) efetiva o seu pag</w:t>
      </w:r>
    </w:p>
    <w:p>
      <w:pPr>
        <w:ind w:left="288"/>
      </w:pPr>
      <w:r>
        <w:rPr>
          <w:b/>
          <w:color w:val="003CA0"/>
          <w:sz w:val="16"/>
        </w:rPr>
        <w:t>[ADI 5.560, rel. min. Rosa Weber, j. 18-10-2019, P, DJE de 4-11-2019.]</w:t>
      </w:r>
    </w:p>
    <w:p>
      <w:pPr>
        <w:ind w:left="288"/>
      </w:pPr>
      <w:r>
        <w:rPr>
          <w:color w:val="8C8C8C"/>
          <w:sz w:val="12"/>
        </w:rPr>
        <w:t>cf-art-37-inc-XIII</w:t>
      </w:r>
      <w:r>
        <w:rPr>
          <w:color w:val="003CA0"/>
          <w:sz w:val="12"/>
        </w:rPr>
        <w:t xml:space="preserve"> | ADI 2.075</w:t>
      </w:r>
      <w:r>
        <w:rPr>
          <w:color w:val="003CA0"/>
          <w:sz w:val="12"/>
        </w:rPr>
        <w:t xml:space="preserve"> | rel. Celso de Mello</w:t>
      </w:r>
    </w:p>
    <w:p>
      <w:pPr>
        <w:ind w:left="288"/>
      </w:pPr>
      <w:r>
        <w:rPr>
          <w:color w:val="1E1E1E"/>
          <w:sz w:val="18"/>
        </w:rPr>
        <w:t>A garantia constitucional da irredutibilidade do estipêndio funcional traduz conquista jurídico-social outorgada, pela Constituição da República, a todos os servidores públicos (CF, art. 37, XV), em ordem a dispensar-lhes especial proteção de caráter financeiro contra eventuais ações arbitrárias do Estado. Essa qualificada tutela de ordem jurídica impede que o poder público adote medidas que importem, especialmente quando implementadas no plano infraconstitucional, em diminuição do valor nominal concernente ao estipêndio devido aos agentes públicos. A cláusula constitucional da irredutibilidad</w:t>
      </w:r>
    </w:p>
    <w:p>
      <w:pPr>
        <w:ind w:left="288"/>
      </w:pPr>
      <w:r>
        <w:rPr>
          <w:b/>
          <w:color w:val="003CA0"/>
          <w:sz w:val="16"/>
        </w:rPr>
        <w:t>[ADI 2.075 MC, rel. min. Celso de Mello, j. 7-2-2001, P, DJ de 27-6-2003.]</w:t>
      </w:r>
    </w:p>
    <w:p>
      <w:pPr>
        <w:ind w:left="288"/>
      </w:pPr>
      <w:r>
        <w:rPr>
          <w:color w:val="8C8C8C"/>
          <w:sz w:val="12"/>
        </w:rPr>
        <w:t>cf-art-37-inc-XIII</w:t>
      </w:r>
      <w:r>
        <w:rPr>
          <w:color w:val="003CA0"/>
          <w:sz w:val="12"/>
        </w:rPr>
        <w:t xml:space="preserve"> | RE 426.491</w:t>
      </w:r>
      <w:r>
        <w:rPr>
          <w:color w:val="003CA0"/>
          <w:sz w:val="12"/>
        </w:rPr>
        <w:t xml:space="preserve"> | rel. Ricardo Lewandowski</w:t>
      </w:r>
    </w:p>
    <w:p>
      <w:pPr>
        <w:ind w:left="288"/>
      </w:pPr>
      <w:r>
        <w:rPr>
          <w:color w:val="1E1E1E"/>
          <w:sz w:val="18"/>
        </w:rPr>
        <w:t xml:space="preserve">= RE 426.491 AgR, rel. min. Ricardo Lewandowski, j. 8-2-2011, 1ª T, DJE de 10-3-2011 A garantia constitucional da irredutibilidade da remuneração devida aos servidores públicos em atividade não se reveste de caráter absoluto. Expõe-se, por isso mesmo, às derrogações instituídas pela própria Constituição da República, que prevê, relativamente ao subsídio e aos vencimentos "dos ocupantes de cargos e empregos públicos" (CF, art. 37, XV), a incidência de tributos, legitimando-se, desse modo, quanto aos servidores públicos ativos, a exigibilidade da contribuição de seguridade social, mesmo porque, </w:t>
      </w:r>
    </w:p>
    <w:p>
      <w:pPr>
        <w:ind w:left="288"/>
      </w:pPr>
      <w:r>
        <w:rPr>
          <w:b/>
          <w:color w:val="003CA0"/>
          <w:sz w:val="16"/>
        </w:rPr>
        <w:t>[ADC 8 MC, rel. min. Celso de Mello, j. 13-10-1999, P, DJ de 4-4-2003.]</w:t>
      </w:r>
    </w:p>
    <w:p>
      <w:pPr>
        <w:ind w:left="288"/>
      </w:pPr>
      <w:r>
        <w:rPr>
          <w:color w:val="8C8C8C"/>
          <w:sz w:val="12"/>
        </w:rPr>
        <w:t>cf-art-37-inc-XIII</w:t>
      </w:r>
      <w:r>
        <w:rPr>
          <w:color w:val="003CA0"/>
          <w:sz w:val="12"/>
        </w:rPr>
        <w:t xml:space="preserve"> | RE 1.413.637</w:t>
      </w:r>
      <w:r>
        <w:rPr>
          <w:color w:val="003CA0"/>
          <w:sz w:val="12"/>
        </w:rPr>
        <w:t xml:space="preserve"> | rel. Luís Roberto Barroso</w:t>
      </w:r>
    </w:p>
    <w:p>
      <w:pPr>
        <w:ind w:left="288"/>
      </w:pPr>
      <w:r>
        <w:rPr>
          <w:color w:val="1E1E1E"/>
          <w:sz w:val="18"/>
        </w:rPr>
        <w:t>“É infraconstitucional e pressupõe o exame de matéria fática o exame de controvérsia sobre a possibilidade de uma lei de reestruturação de carreira designar o termo final de pagamento de diferenças remuneratórias de conversão de moeda em URV”.</w:t>
      </w:r>
    </w:p>
    <w:p>
      <w:pPr>
        <w:ind w:left="288"/>
      </w:pPr>
      <w:r>
        <w:rPr>
          <w:b/>
          <w:color w:val="003CA0"/>
          <w:sz w:val="16"/>
        </w:rPr>
        <w:t>[RE 1.413.637 RG, rel. min. Luís Roberto Barroso, j. 23.08.2024, P, DJE de 27.08.2024, Tema 1.318, com repercussão geral negada.]</w:t>
      </w:r>
    </w:p>
    <w:p>
      <w:pPr>
        <w:ind w:left="144"/>
      </w:pPr>
      <w:r>
        <w:rPr>
          <w:b/>
          <w:color w:val="B45A00"/>
          <w:sz w:val="16"/>
        </w:rPr>
        <w:t>REPERCUSSAO GERAL</w:t>
      </w:r>
    </w:p>
    <w:p>
      <w:pPr>
        <w:ind w:left="288"/>
      </w:pPr>
      <w:r>
        <w:rPr>
          <w:color w:val="8C8C8C"/>
          <w:sz w:val="12"/>
        </w:rPr>
        <w:t>cf-art-37-inc-XIII</w:t>
      </w:r>
      <w:r>
        <w:rPr>
          <w:color w:val="003CA0"/>
          <w:sz w:val="12"/>
        </w:rPr>
        <w:t xml:space="preserve"> | RE 642.890</w:t>
      </w:r>
      <w:r>
        <w:rPr>
          <w:color w:val="003CA0"/>
          <w:sz w:val="12"/>
        </w:rPr>
        <w:t xml:space="preserve"> | rel. Nunes Marques</w:t>
      </w:r>
    </w:p>
    <w:p>
      <w:pPr>
        <w:ind w:left="288"/>
      </w:pPr>
      <w:r>
        <w:rPr>
          <w:color w:val="1E1E1E"/>
          <w:sz w:val="18"/>
        </w:rPr>
        <w:t>A Portaria n. 931/2005 do Ministério da Defesa, que alterou a fórmula de cálculo do auxílio-invalidez para os servidores militares, está em harmonia com os princípios da legalidade e da irredutibilidade de vencimentos.</w:t>
      </w:r>
    </w:p>
    <w:p>
      <w:pPr>
        <w:ind w:left="288"/>
      </w:pPr>
      <w:r>
        <w:rPr>
          <w:b/>
          <w:color w:val="003CA0"/>
          <w:sz w:val="16"/>
        </w:rPr>
        <w:t>[RE 642.890, rel. min. Nunes Marques, j. 10-10-2022, P, DJE de 26-10-2022, Tema 465, com mérito julgado.]</w:t>
      </w:r>
    </w:p>
    <w:p>
      <w:pPr>
        <w:ind w:left="288"/>
      </w:pPr>
      <w:r>
        <w:rPr>
          <w:color w:val="8C8C8C"/>
          <w:sz w:val="12"/>
        </w:rPr>
        <w:t>cf-art-37-inc-XIII</w:t>
      </w:r>
      <w:r>
        <w:rPr>
          <w:color w:val="003CA0"/>
          <w:sz w:val="12"/>
        </w:rPr>
        <w:t xml:space="preserve"> | RE 1.367.406</w:t>
      </w:r>
      <w:r>
        <w:rPr>
          <w:color w:val="003CA0"/>
          <w:sz w:val="12"/>
        </w:rPr>
        <w:t xml:space="preserve"> | rel. Luiz Fux</w:t>
      </w:r>
    </w:p>
    <w:p>
      <w:pPr>
        <w:ind w:left="288"/>
      </w:pPr>
      <w:r>
        <w:rPr>
          <w:color w:val="1E1E1E"/>
          <w:sz w:val="18"/>
        </w:rPr>
        <w:t>É infraconstitucional, a ela se aplicando os efeitos da ausência de repercussão geral, a controvérsia relativa à possibilidade da inclusão da vantagem pessoal nominalmente identificada (VPNI) na base de cálculo do adicional por tempo de serviço concedido a servidores do Tribunal de Justiça do Estado do Paraná.</w:t>
      </w:r>
    </w:p>
    <w:p>
      <w:pPr>
        <w:ind w:left="288"/>
      </w:pPr>
      <w:r>
        <w:rPr>
          <w:b/>
          <w:color w:val="003CA0"/>
          <w:sz w:val="16"/>
        </w:rPr>
        <w:t>[RE 1.367.406 RG, rel. min. Luiz Fux, j. 12-8-2022, P, DJE de 17-8-2022, Tema 1.227, com repercussão geral negada.]</w:t>
      </w:r>
    </w:p>
    <w:p>
      <w:pPr>
        <w:ind w:left="288"/>
      </w:pPr>
      <w:r>
        <w:rPr>
          <w:color w:val="8C8C8C"/>
          <w:sz w:val="12"/>
        </w:rPr>
        <w:t>cf-art-37-inc-XIII</w:t>
      </w:r>
      <w:r>
        <w:rPr>
          <w:color w:val="003CA0"/>
          <w:sz w:val="12"/>
        </w:rPr>
        <w:t xml:space="preserve"> | RE 1.306.973</w:t>
      </w:r>
      <w:r>
        <w:rPr>
          <w:color w:val="003CA0"/>
          <w:sz w:val="12"/>
        </w:rPr>
        <w:t xml:space="preserve"> | rel. Luiz Fux</w:t>
      </w:r>
    </w:p>
    <w:p>
      <w:pPr>
        <w:ind w:left="288"/>
      </w:pPr>
      <w:r>
        <w:rPr>
          <w:color w:val="1E1E1E"/>
          <w:sz w:val="18"/>
        </w:rPr>
        <w:t>É infraconstitucional, a ela se aplicando os efeitos da ausência de repercussão geral, a controvérsia relativa à redução do percentual a ser pago aos servidores públicos da Secretaria de Educação do Estado de São Paulo sob a rubrica Bonificação por Resultados.</w:t>
        <w:br/>
        <w:t>[RE 1.306.973 RG, rel. min. Luiz Fux, j. 9-12-2021, P, DJE de 15-12-2021, Tema 1.188, com repercussão geral negada.] É inconstitucional o pagamento do adicional de 20% previsto no art. 184, II, da Lei 1.711/1952 a desembargadores, após a adoção do subsídio como forma remuneratória. A supressão do adicional não pode representar decesso re</w:t>
      </w:r>
    </w:p>
    <w:p>
      <w:pPr>
        <w:ind w:left="288"/>
      </w:pPr>
      <w:r>
        <w:rPr>
          <w:b/>
          <w:color w:val="003CA0"/>
          <w:sz w:val="16"/>
        </w:rPr>
        <w:t>[RE 597.396, red. do ac. min. Alexandre de Moraes, j. 16-9-2020, P, DJE de 5-10-2020, Tema 690, com mérito julgado.]</w:t>
      </w:r>
    </w:p>
    <w:p>
      <w:pPr>
        <w:ind w:left="288"/>
      </w:pPr>
      <w:r>
        <w:rPr>
          <w:color w:val="8C8C8C"/>
          <w:sz w:val="12"/>
        </w:rPr>
        <w:t>cf-art-37-inc-XIII</w:t>
      </w:r>
      <w:r>
        <w:rPr>
          <w:color w:val="003CA0"/>
          <w:sz w:val="12"/>
        </w:rPr>
        <w:t xml:space="preserve"> | RE 1.023.750</w:t>
      </w:r>
      <w:r>
        <w:rPr>
          <w:color w:val="003CA0"/>
          <w:sz w:val="12"/>
        </w:rPr>
        <w:t xml:space="preserve"> | rel. Marco Aurélio</w:t>
      </w:r>
    </w:p>
    <w:p>
      <w:pPr>
        <w:ind w:left="288"/>
      </w:pPr>
      <w:r>
        <w:rPr>
          <w:color w:val="1E1E1E"/>
          <w:sz w:val="18"/>
        </w:rPr>
        <w:t>Servidores que tiveram relação jurídica regida pela Consolidação das Leis do Trabalho, modificada considerado regime jurídico único, têm direito à diferença remuneratória decorrente do Plano de Cargos, Carreiras e Salários – PCCS.</w:t>
      </w:r>
    </w:p>
    <w:p>
      <w:pPr>
        <w:ind w:left="288"/>
      </w:pPr>
      <w:r>
        <w:rPr>
          <w:b/>
          <w:color w:val="003CA0"/>
          <w:sz w:val="16"/>
        </w:rPr>
        <w:t>[RE 1.023.750, rel. min. Marco Aurélio, j. 24-8-2020, P, DJE de 17-9-2020, Tema 951, com mérito julgado.]</w:t>
      </w:r>
    </w:p>
    <w:p>
      <w:pPr>
        <w:ind w:left="288"/>
      </w:pPr>
      <w:r>
        <w:rPr>
          <w:color w:val="8C8C8C"/>
          <w:sz w:val="12"/>
        </w:rPr>
        <w:t>cf-art-37-inc-XIII</w:t>
      </w:r>
      <w:r>
        <w:rPr>
          <w:color w:val="003CA0"/>
          <w:sz w:val="12"/>
        </w:rPr>
        <w:t xml:space="preserve"> | ARE 1.052.570</w:t>
      </w:r>
      <w:r>
        <w:rPr>
          <w:color w:val="003CA0"/>
          <w:sz w:val="12"/>
        </w:rPr>
        <w:t xml:space="preserve"> | rel. Alexandre de Moraes</w:t>
      </w:r>
    </w:p>
    <w:p>
      <w:pPr>
        <w:ind w:left="288"/>
      </w:pPr>
      <w:r>
        <w:rPr>
          <w:color w:val="1E1E1E"/>
          <w:sz w:val="18"/>
        </w:rPr>
        <w:t>Reafirma-se a jurisprudência dominante desta Corte nos termos da seguinte tese de repercussão geral: (I) O termo inicial do pagamento diferenciado das gratificações de desempenho entre servidores ativos e inativos é o da data da homologação do resultado das avaliações, após a conclusão do primeiro ciclo; (II) A redução, após a homologação do resultado das avaliações, do valor da gratificação de desempenho paga aos inativos e pensionistas não configura ofensa ao princípio da irredutibilidade de vencimentos.</w:t>
      </w:r>
    </w:p>
    <w:p>
      <w:pPr>
        <w:ind w:left="288"/>
      </w:pPr>
      <w:r>
        <w:rPr>
          <w:b/>
          <w:color w:val="003CA0"/>
          <w:sz w:val="16"/>
        </w:rPr>
        <w:t>[ARE 1.052.570 RG, rel. min. Alexandre de Moraes, j. 15-2-2018, P, DJE de 6-3-2018, Tema 983, com mérito julgado.]</w:t>
      </w:r>
    </w:p>
    <w:p>
      <w:pPr>
        <w:ind w:left="288"/>
      </w:pPr>
      <w:r>
        <w:rPr>
          <w:color w:val="8C8C8C"/>
          <w:sz w:val="12"/>
        </w:rPr>
        <w:t>cf-art-37-inc-XIII</w:t>
      </w:r>
      <w:r>
        <w:rPr>
          <w:color w:val="003CA0"/>
          <w:sz w:val="12"/>
        </w:rPr>
        <w:t xml:space="preserve"> | ARE 660.010</w:t>
      </w:r>
      <w:r>
        <w:rPr>
          <w:color w:val="003CA0"/>
          <w:sz w:val="12"/>
        </w:rPr>
        <w:t xml:space="preserve"> | rel. Dias Toffoli</w:t>
      </w:r>
    </w:p>
    <w:p>
      <w:pPr>
        <w:ind w:left="288"/>
      </w:pPr>
      <w:r>
        <w:rPr>
          <w:color w:val="1E1E1E"/>
          <w:sz w:val="18"/>
        </w:rPr>
        <w:t>Reafirmada a jurisprudência da Corte e fixadas as seguintes teses jurídicas: i) a ampliação de jornada de trabalho sem alteração da remuneração do servidor consiste em violação da regra constitucional da irredutibilidade de vencimentos; ii) no caso concreto, o § 1º do art. 1º do Decreto estadual nº 4.345, de 14 de fevereiro de 2005, do Estado do Paraná não se aplica aos servidores elencados em seu caput que, antes de sua edição, estavam legitimamente submetidos a carga horária semanal inferior a quarenta horas.</w:t>
      </w:r>
    </w:p>
    <w:p>
      <w:pPr>
        <w:ind w:left="288"/>
      </w:pPr>
      <w:r>
        <w:rPr>
          <w:b/>
          <w:color w:val="003CA0"/>
          <w:sz w:val="16"/>
        </w:rPr>
        <w:t>[ARE 660.010, rel. min. Dias Toffoli, j. 30-10-2014, P, DJE de 19-2-2015, Tema 514, com mérito julgado.]</w:t>
      </w:r>
    </w:p>
    <w:p>
      <w:pPr>
        <w:ind w:left="288"/>
      </w:pPr>
      <w:r>
        <w:rPr>
          <w:color w:val="8C8C8C"/>
          <w:sz w:val="12"/>
        </w:rPr>
        <w:t>cf-art-37-inc-XIII</w:t>
      </w:r>
      <w:r>
        <w:rPr>
          <w:color w:val="003CA0"/>
          <w:sz w:val="12"/>
        </w:rPr>
        <w:t xml:space="preserve"> | RE 609.381</w:t>
      </w:r>
      <w:r>
        <w:rPr>
          <w:color w:val="003CA0"/>
          <w:sz w:val="12"/>
        </w:rPr>
        <w:t xml:space="preserve"> | rel. Teori Zavascki</w:t>
      </w:r>
    </w:p>
    <w:p>
      <w:pPr>
        <w:ind w:left="288"/>
      </w:pPr>
      <w:r>
        <w:rPr>
          <w:color w:val="1E1E1E"/>
          <w:sz w:val="18"/>
        </w:rPr>
        <w:t>O teto de retribuição estabelecido pela EC 41/2003 possui eficácia imediata, submetendo às referências de valor máximo nele discriminadas todas as verbas de natureza remuneratória percebidas pelos servidores públicos da União, Estados, Distrito Federal e Municípios, ainda que adquiridas de acordo com regime legal anterior. A observância da norma de teto de retribuição representa verdadeira condição de legitimidade para o pagamento das remunerações no serviço público. Os valores que ultrapassam os limites preestabelecidos para cada nível federativo na CF constituem excesso cujo pagamento não po</w:t>
      </w:r>
    </w:p>
    <w:p>
      <w:pPr>
        <w:ind w:left="288"/>
      </w:pPr>
      <w:r>
        <w:rPr>
          <w:b/>
          <w:color w:val="003CA0"/>
          <w:sz w:val="16"/>
        </w:rPr>
        <w:t>[RE 609.381, rel. min. Teori Zavascki, j. 2-10-2014, P, DJE de 11-12-2014, Tema 480, com mérito julgado.]</w:t>
      </w:r>
    </w:p>
    <w:p>
      <w:pPr>
        <w:ind w:left="288"/>
      </w:pPr>
      <w:r>
        <w:rPr>
          <w:color w:val="8C8C8C"/>
          <w:sz w:val="12"/>
        </w:rPr>
        <w:t>cf-art-37-inc-XIII</w:t>
      </w:r>
      <w:r>
        <w:rPr>
          <w:color w:val="003CA0"/>
          <w:sz w:val="12"/>
        </w:rPr>
        <w:t xml:space="preserve"> | RE 561.836</w:t>
      </w:r>
      <w:r>
        <w:rPr>
          <w:color w:val="003CA0"/>
          <w:sz w:val="12"/>
        </w:rPr>
        <w:t xml:space="preserve"> | rel. Luiz Fux</w:t>
      </w:r>
    </w:p>
    <w:p>
      <w:pPr>
        <w:ind w:left="288"/>
      </w:pPr>
      <w:r>
        <w:rPr>
          <w:color w:val="1E1E1E"/>
          <w:sz w:val="18"/>
        </w:rPr>
        <w:t>O direito ao percentual de 11,98%, ou do índice decorrente do processo de liquidação, na remuneração do servidor, resultante da equivocada conversão do Cruzeiro Real em URV [Unidade Real de Valor], não representa um aumento na remuneração do servidor público, mas um reconhecimento da ocorrência de indevido decréscimo no momento da conversão da moeda em relação àqueles que recebem seus vencimentos em momento anterior ao do término do mês trabalhado, tal como ocorre, verbi gratia, no âmbito do Poder Legislativo e do Poder Judiciário por força do art. 168 da Constituição da República. (...) A irr</w:t>
      </w:r>
    </w:p>
    <w:p>
      <w:pPr>
        <w:ind w:left="288"/>
      </w:pPr>
      <w:r>
        <w:rPr>
          <w:b/>
          <w:color w:val="003CA0"/>
          <w:sz w:val="16"/>
        </w:rPr>
        <w:t>[RE 563.708, rel. min. Cármen Lúcia, j. 6-2-2013, P, DJE de 2-5-2013, Tema 24, com mérito julgado.]</w:t>
      </w:r>
    </w:p>
    <w:p>
      <w:pPr>
        <w:ind w:left="288"/>
      </w:pPr>
      <w:r>
        <w:rPr>
          <w:color w:val="8C8C8C"/>
          <w:sz w:val="12"/>
        </w:rPr>
        <w:t>cf-art-37-inc-XIII</w:t>
      </w:r>
      <w:r>
        <w:rPr>
          <w:color w:val="003CA0"/>
          <w:sz w:val="12"/>
        </w:rPr>
        <w:t xml:space="preserve"> | ARE 637.607</w:t>
      </w:r>
      <w:r>
        <w:rPr>
          <w:color w:val="003CA0"/>
          <w:sz w:val="12"/>
        </w:rPr>
        <w:t xml:space="preserve"> | rel. Cezar Peluso</w:t>
      </w:r>
    </w:p>
    <w:p>
      <w:pPr>
        <w:ind w:left="288"/>
      </w:pPr>
      <w:r>
        <w:rPr>
          <w:color w:val="1E1E1E"/>
          <w:sz w:val="18"/>
        </w:rPr>
        <w:t>É compatível com a Constituição a redução da Gratificação Especial de Retorno à Atividade (GERA), se o ingresso ou reingresso dos servidores públicos, aos quadros do CVMI [Corpo Voluntário de Militares Inativos Estaduais], ocorreu após a edição da Lei estadual 10.916/1997.</w:t>
      </w:r>
    </w:p>
    <w:p>
      <w:pPr>
        <w:ind w:left="288"/>
      </w:pPr>
      <w:r>
        <w:rPr>
          <w:b/>
          <w:color w:val="003CA0"/>
          <w:sz w:val="16"/>
        </w:rPr>
        <w:t>[ARE 637.607 RG, rel. min. Cezar Peluso, j. 23-6-2011, P, DJE de 6-9-2011, Tema 440, com mérito julgado.]</w:t>
      </w:r>
    </w:p>
    <w:p>
      <w:pPr>
        <w:ind w:left="288"/>
      </w:pPr>
      <w:r>
        <w:rPr>
          <w:color w:val="8C8C8C"/>
          <w:sz w:val="12"/>
        </w:rPr>
        <w:t>cf-art-37-inc-XIII</w:t>
      </w:r>
      <w:r>
        <w:rPr>
          <w:color w:val="003CA0"/>
          <w:sz w:val="12"/>
        </w:rPr>
        <w:t xml:space="preserve"> | RE 596.542</w:t>
      </w:r>
      <w:r>
        <w:rPr>
          <w:color w:val="003CA0"/>
          <w:sz w:val="12"/>
        </w:rPr>
        <w:t xml:space="preserve"> | rel. Cezar Peluso</w:t>
      </w:r>
    </w:p>
    <w:p>
      <w:pPr>
        <w:ind w:left="288"/>
      </w:pPr>
      <w:r>
        <w:rPr>
          <w:color w:val="1E1E1E"/>
          <w:sz w:val="18"/>
        </w:rPr>
        <w:t>É compatível com a Constituição lei específica que altera o cálculo da Gratificação por Produção Suplementar (GPS), desde que não haja redução da remuneração na sua totalidade.</w:t>
      </w:r>
    </w:p>
    <w:p>
      <w:pPr>
        <w:ind w:left="288"/>
      </w:pPr>
      <w:r>
        <w:rPr>
          <w:b/>
          <w:color w:val="003CA0"/>
          <w:sz w:val="16"/>
        </w:rPr>
        <w:t>[RE 596.542 RG, rel. min. Cezar Peluso, j. 16-6-2011, P, DJE de 16-9-2011, Tema 434, com mérito julgado.]</w:t>
      </w:r>
    </w:p>
    <w:p>
      <w:pPr>
        <w:ind w:left="288"/>
      </w:pPr>
      <w:r>
        <w:rPr>
          <w:color w:val="8C8C8C"/>
          <w:sz w:val="12"/>
        </w:rPr>
        <w:t>cf-art-37-inc-XIII</w:t>
      </w:r>
      <w:r>
        <w:rPr>
          <w:color w:val="003CA0"/>
          <w:sz w:val="12"/>
        </w:rPr>
        <w:t xml:space="preserve"> | RE 563.965</w:t>
      </w:r>
      <w:r>
        <w:rPr>
          <w:color w:val="003CA0"/>
          <w:sz w:val="12"/>
        </w:rPr>
        <w:t xml:space="preserve"> | rel. Cármen Lúcia</w:t>
      </w:r>
    </w:p>
    <w:p>
      <w:pPr>
        <w:ind w:left="288"/>
      </w:pPr>
      <w:r>
        <w:rPr>
          <w:color w:val="1E1E1E"/>
          <w:sz w:val="18"/>
        </w:rPr>
        <w:t>O STF pacificou a sua jurisprudência sobre a constitucionalidade do instituto da estabilidade financeira e sobre a ausência de direito adquirido a regime jurídico. Nesta linha, a LC 203/2001, do Estado do Rio Grande do Norte, no ponto que alterou a forma de cálculo de gratificações e, consequentemente, a composição da remuneração de servidores públicos, não ofende a Constituição da República de 1988, por dar cumprimento ao princípio da irredutibilidade da remuneração.</w:t>
        <w:br/>
        <w:t>[RE 563.965, rel. min. Cármen Lúcia, j. 11-2-2009, P, DJE de 20-3-2009, Tema 41, com mérito julgado.] Fixação de subsídios. Age</w:t>
      </w:r>
    </w:p>
    <w:p>
      <w:pPr>
        <w:ind w:left="288"/>
      </w:pPr>
      <w:r>
        <w:rPr>
          <w:b/>
          <w:color w:val="003CA0"/>
          <w:sz w:val="16"/>
        </w:rPr>
        <w:t>[ARE 1.462.344, rel. min. Gilmar Mendes, j. 27.10.2025, P, DJE de 03.11.2025.]</w:t>
      </w:r>
    </w:p>
    <w:p>
      <w:pPr>
        <w:ind w:left="288"/>
      </w:pPr>
      <w:r>
        <w:rPr>
          <w:color w:val="8C8C8C"/>
          <w:sz w:val="12"/>
        </w:rPr>
        <w:t>cf-art-37-inc-XIII</w:t>
      </w:r>
      <w:r>
        <w:rPr>
          <w:color w:val="003CA0"/>
          <w:sz w:val="12"/>
        </w:rPr>
        <w:t xml:space="preserve"> | RE 1.529.476</w:t>
      </w:r>
      <w:r>
        <w:rPr>
          <w:color w:val="003CA0"/>
          <w:sz w:val="12"/>
        </w:rPr>
        <w:t xml:space="preserve"> | rel. Gilmar Mendes</w:t>
      </w:r>
    </w:p>
    <w:p>
      <w:pPr>
        <w:ind w:left="288"/>
      </w:pPr>
      <w:r>
        <w:rPr>
          <w:color w:val="1E1E1E"/>
          <w:sz w:val="18"/>
        </w:rPr>
        <w:t>Há uma questão em discussão: saber se a modificação de aumentos salariais por lei superveniente, antes da produção de efeitos financeiros da lei original, configura violação ao direito adquirido e à irredutibilidade de vencimentos, considerando que a nova legislação buscou atender a Lei de Responsabilidade Fiscal e os princípios da isonomia e da razoabilidade. Não se verifica a violação a direito adquirido, uma vez que a Lei Complementar 896/2022 não chegou a produzir efeitos financeiros, sendo os aumentos nela previstos meras expectativas de direito e não valores incorporados ao patrimônio ju</w:t>
      </w:r>
    </w:p>
    <w:p>
      <w:pPr>
        <w:ind w:left="288"/>
      </w:pPr>
      <w:r>
        <w:rPr>
          <w:b/>
          <w:color w:val="003CA0"/>
          <w:sz w:val="16"/>
        </w:rPr>
        <w:t>[RE 1.529.476, rel. min. Gilmar Mendes, j. 15.09.2025, P, DJE de 07.10.2025.]</w:t>
      </w:r>
    </w:p>
    <w:p>
      <w:pPr>
        <w:ind w:left="144"/>
      </w:pPr>
      <w:r>
        <w:rPr>
          <w:b/>
          <w:color w:val="B45A00"/>
          <w:sz w:val="16"/>
        </w:rPr>
        <w:t>JULGADOS CORRELATOS</w:t>
      </w:r>
    </w:p>
    <w:p>
      <w:pPr>
        <w:ind w:left="288"/>
      </w:pPr>
      <w:r>
        <w:rPr>
          <w:color w:val="8C8C8C"/>
          <w:sz w:val="12"/>
        </w:rPr>
        <w:t>cf-art-37-inc-XIII</w:t>
      </w:r>
      <w:r>
        <w:rPr>
          <w:color w:val="003CA0"/>
          <w:sz w:val="12"/>
        </w:rPr>
        <w:t xml:space="preserve"> | RE 836.198</w:t>
      </w:r>
      <w:r>
        <w:rPr>
          <w:color w:val="003CA0"/>
          <w:sz w:val="12"/>
        </w:rPr>
        <w:t xml:space="preserve"> | rel. Roberto Barroso</w:t>
      </w:r>
    </w:p>
    <w:p>
      <w:pPr>
        <w:ind w:left="288"/>
      </w:pPr>
      <w:r>
        <w:rPr>
          <w:color w:val="1E1E1E"/>
          <w:sz w:val="18"/>
        </w:rPr>
        <w:t>(...) o art. 37, XV, da Constituição, impossibilita que retenção salarial seja utilizada como meio de redução de gastos com pessoal com o objetivo de adequação aos limites legais ou constitucionais de despesa.</w:t>
      </w:r>
    </w:p>
    <w:p>
      <w:pPr>
        <w:ind w:left="288"/>
      </w:pPr>
      <w:r>
        <w:rPr>
          <w:b/>
          <w:color w:val="003CA0"/>
          <w:sz w:val="16"/>
        </w:rPr>
        <w:t>[RE 836.198-AgR, rel. min. Roberto Barroso, j. 23-3-2018, 1ª T, DJE de 12-4-2018.]</w:t>
      </w:r>
    </w:p>
    <w:p>
      <w:pPr>
        <w:ind w:left="288"/>
      </w:pPr>
      <w:r>
        <w:rPr>
          <w:color w:val="8C8C8C"/>
          <w:sz w:val="12"/>
        </w:rPr>
        <w:t>cf-art-37-inc-XIII</w:t>
      </w:r>
      <w:r>
        <w:rPr>
          <w:color w:val="003CA0"/>
          <w:sz w:val="12"/>
        </w:rPr>
        <w:t xml:space="preserve"> | ARE 1.004.555</w:t>
      </w:r>
      <w:r>
        <w:rPr>
          <w:color w:val="003CA0"/>
          <w:sz w:val="12"/>
        </w:rPr>
        <w:t xml:space="preserve"> | rel. Dias Toffoli</w:t>
      </w:r>
    </w:p>
    <w:p>
      <w:pPr>
        <w:ind w:left="288"/>
      </w:pPr>
      <w:r>
        <w:rPr>
          <w:color w:val="1E1E1E"/>
          <w:sz w:val="18"/>
        </w:rPr>
        <w:t>É possível ao legislador desvincular, para o futuro, a forma de calcular gratificação incorporada pelo servidor, em razão de ter ocupado função/cargo comissionado, submetendo-a aos índices gerais de revisão, sem que isso represente violação do Texto Constitucional.</w:t>
      </w:r>
    </w:p>
    <w:p>
      <w:pPr>
        <w:ind w:left="288"/>
      </w:pPr>
      <w:r>
        <w:rPr>
          <w:b/>
          <w:color w:val="003CA0"/>
          <w:sz w:val="16"/>
        </w:rPr>
        <w:t>[ARE 1.004.555 AgR, rel. min. Dias Toffoli, j. 8-8-2017, P, DJE de 29-8-2017.]</w:t>
      </w:r>
    </w:p>
    <w:p>
      <w:pPr>
        <w:ind w:left="288"/>
      </w:pPr>
      <w:r>
        <w:rPr>
          <w:color w:val="8C8C8C"/>
          <w:sz w:val="12"/>
        </w:rPr>
        <w:t>cf-art-37-inc-XIII</w:t>
      </w:r>
      <w:r>
        <w:rPr>
          <w:color w:val="003CA0"/>
          <w:sz w:val="12"/>
        </w:rPr>
        <w:t xml:space="preserve"> | RMS 32.391</w:t>
      </w:r>
      <w:r>
        <w:rPr>
          <w:color w:val="003CA0"/>
          <w:sz w:val="12"/>
        </w:rPr>
        <w:t xml:space="preserve"> | rel. Dias Toffoli</w:t>
      </w:r>
    </w:p>
    <w:p>
      <w:pPr>
        <w:ind w:left="288"/>
      </w:pPr>
      <w:r>
        <w:rPr>
          <w:color w:val="1E1E1E"/>
          <w:sz w:val="18"/>
        </w:rPr>
        <w:t>É devido ao prestador de serviços no exterior, quando do enquadramento em cargo semelhante ao constante do organograma funcional brasileiro, o pagamento da diferença entre a remuneração percebida no exterior e a do cargo de referência, observado o teto constitucional, caracterizando-se o valor encontrado como vantagem pessoal.</w:t>
        <w:br/>
        <w:t>[RMS 32.391 AgR, rel. min. Dias Toffoli, j. 10-11-2015, 2ª T, DJE de 14-12-2015.] (...) o STF reconheceu assistir, no tema em análise (integração do salário-família, sem limitação, ao estipêndio funcional), o direito ora postulado, sem qualquer restrição, desde que se tr</w:t>
      </w:r>
    </w:p>
    <w:p>
      <w:pPr>
        <w:ind w:left="288"/>
      </w:pPr>
      <w:r>
        <w:rPr>
          <w:b/>
          <w:color w:val="003CA0"/>
          <w:sz w:val="16"/>
        </w:rPr>
        <w:t>[AI 817.010 AgR, voto do rel. min. Celso de Mello, j. 27-3-2012, 2ª T, DJE de 12-4-2012.]</w:t>
      </w:r>
    </w:p>
    <w:p>
      <w:pPr>
        <w:ind w:left="288"/>
      </w:pPr>
      <w:r>
        <w:rPr>
          <w:color w:val="8C8C8C"/>
          <w:sz w:val="12"/>
        </w:rPr>
        <w:t>cf-art-37-inc-XIII</w:t>
      </w:r>
      <w:r>
        <w:rPr>
          <w:color w:val="003CA0"/>
          <w:sz w:val="12"/>
        </w:rPr>
        <w:t xml:space="preserve"> | AI 541.949</w:t>
      </w:r>
      <w:r>
        <w:rPr>
          <w:color w:val="003CA0"/>
          <w:sz w:val="12"/>
        </w:rPr>
        <w:t xml:space="preserve"> | rel. Marco Aurélio</w:t>
      </w:r>
    </w:p>
    <w:p>
      <w:pPr>
        <w:ind w:left="288"/>
      </w:pPr>
      <w:r>
        <w:rPr>
          <w:color w:val="1E1E1E"/>
          <w:sz w:val="18"/>
        </w:rPr>
        <w:t>A alteração de proventos de servidor público somente pode ocorrer oportunizando-se o direito de defesa, ou seja, instaurando-se processo administrativo.</w:t>
      </w:r>
    </w:p>
    <w:p>
      <w:pPr>
        <w:ind w:left="288"/>
      </w:pPr>
      <w:r>
        <w:rPr>
          <w:b/>
          <w:color w:val="003CA0"/>
          <w:sz w:val="16"/>
        </w:rPr>
        <w:t>[AI 541.949 AgR, rel. min. Marco Aurélio, j. 13-4-2011, 1ª T, DJE de 18-5-2011.]</w:t>
      </w:r>
    </w:p>
    <w:p>
      <w:pPr>
        <w:ind w:left="288"/>
      </w:pPr>
      <w:r>
        <w:rPr>
          <w:color w:val="8C8C8C"/>
          <w:sz w:val="12"/>
        </w:rPr>
        <w:t>cf-art-37-inc-XIII</w:t>
      </w:r>
      <w:r>
        <w:rPr>
          <w:color w:val="003CA0"/>
          <w:sz w:val="12"/>
        </w:rPr>
        <w:t xml:space="preserve"> | RE 501.869</w:t>
      </w:r>
      <w:r>
        <w:rPr>
          <w:color w:val="003CA0"/>
          <w:sz w:val="12"/>
        </w:rPr>
        <w:t xml:space="preserve"> | rel. Eros Grau</w:t>
      </w:r>
    </w:p>
    <w:p>
      <w:pPr>
        <w:ind w:left="288"/>
      </w:pPr>
      <w:r>
        <w:rPr>
          <w:color w:val="1E1E1E"/>
          <w:sz w:val="18"/>
        </w:rPr>
        <w:t>Vide RE 501.869 AgR, rel. min. Eros Grau, j. 23-9-2008, 2ª T, DJE de 31-10-2008 Transposição do regime celetista para o estatutário. Inexistência de direito adquirido a regime jurídico. Possibilidade de diminuição ou supressão de vantagens sem redução do valor da remuneração.</w:t>
      </w:r>
    </w:p>
    <w:p>
      <w:pPr>
        <w:ind w:left="288"/>
      </w:pPr>
      <w:r>
        <w:rPr>
          <w:b/>
          <w:color w:val="003CA0"/>
          <w:sz w:val="16"/>
        </w:rPr>
        <w:t>[RE 599.618 ED, rel. min. Cármen Lúcia, j. 1º-2-2011, 1ª T, DJE de 14-3-2011.]</w:t>
      </w:r>
    </w:p>
    <w:p>
      <w:pPr>
        <w:ind w:left="288"/>
      </w:pPr>
      <w:r>
        <w:rPr>
          <w:color w:val="8C8C8C"/>
          <w:sz w:val="12"/>
        </w:rPr>
        <w:t>cf-art-37-inc-XIII</w:t>
      </w:r>
      <w:r>
        <w:rPr>
          <w:color w:val="003CA0"/>
          <w:sz w:val="12"/>
        </w:rPr>
        <w:t xml:space="preserve"> | RE 212.131</w:t>
      </w:r>
      <w:r>
        <w:rPr>
          <w:color w:val="003CA0"/>
          <w:sz w:val="12"/>
        </w:rPr>
        <w:t xml:space="preserve"> | rel. Ilmar Galvão</w:t>
      </w:r>
    </w:p>
    <w:p>
      <w:pPr>
        <w:ind w:left="288"/>
      </w:pPr>
      <w:r>
        <w:rPr>
          <w:color w:val="1E1E1E"/>
          <w:sz w:val="18"/>
        </w:rPr>
        <w:t>Vide RE 212.131, rel. min. Ilmar Galvão, j. 3-8-1999, 1ª T, DJ de 29-10-1999 O STF já pacificou sua jurisprudência no sentido de que os quintos incorporados, conforme Portaria MEC 474/1987, constituem direito adquirido, não alcançado pelas alterações promovidas pela Lei 8.168/1991. A aplicação da referida lei às parcelas já incorporadas aos vencimentos, com a redução de valores, configuraria ofensa ao princípio constitucional da irredutibilidade de vencimentos.</w:t>
      </w:r>
    </w:p>
    <w:p>
      <w:pPr>
        <w:ind w:left="288"/>
      </w:pPr>
      <w:r>
        <w:rPr>
          <w:b/>
          <w:color w:val="003CA0"/>
          <w:sz w:val="16"/>
        </w:rPr>
        <w:t>[AI 754.613 AgR, voto da rel. min. Ellen Gracie, j. 20-10-2009, 2ª T, DJE de 13-11-2009.]</w:t>
      </w:r>
    </w:p>
    <w:p>
      <w:pPr>
        <w:ind w:left="288"/>
      </w:pPr>
      <w:r>
        <w:rPr>
          <w:color w:val="8C8C8C"/>
          <w:sz w:val="12"/>
        </w:rPr>
        <w:t>cf-art-37-inc-XIII</w:t>
      </w:r>
      <w:r>
        <w:rPr>
          <w:color w:val="003CA0"/>
          <w:sz w:val="12"/>
        </w:rPr>
        <w:t xml:space="preserve"> | RE 594.979</w:t>
      </w:r>
      <w:r>
        <w:rPr>
          <w:color w:val="003CA0"/>
          <w:sz w:val="12"/>
        </w:rPr>
        <w:t xml:space="preserve"> | rel. Ricardo Lewandowski</w:t>
      </w:r>
    </w:p>
    <w:p>
      <w:pPr>
        <w:ind w:left="288"/>
      </w:pPr>
      <w:r>
        <w:rPr>
          <w:color w:val="1E1E1E"/>
          <w:sz w:val="18"/>
        </w:rPr>
        <w:t>= RE 594.979 AgR, rel. min. Ricardo Lewandowski, j. 8-2-2011, 1ª T, DJE de 10-3-2011 Cessada a atividade que deu origem à gratificação extraordinária, cessa igualmente a gratificação, não havendo falar em direito adquirido, tampouco, em princípio da irredutibilidade dos vencimentos.</w:t>
      </w:r>
    </w:p>
    <w:p>
      <w:pPr>
        <w:ind w:left="288"/>
      </w:pPr>
      <w:r>
        <w:rPr>
          <w:b/>
          <w:color w:val="003CA0"/>
          <w:sz w:val="16"/>
        </w:rPr>
        <w:t>[RE 338.436, rel. min. Menezes Direito, j. 2-9-2008, 1ª T, DJE de 21-11-2008.]</w:t>
      </w:r>
    </w:p>
    <w:p>
      <w:pPr>
        <w:ind w:left="288"/>
      </w:pPr>
      <w:r>
        <w:rPr>
          <w:color w:val="8C8C8C"/>
          <w:sz w:val="12"/>
        </w:rPr>
        <w:t>cf-art-37-inc-XIII</w:t>
      </w:r>
      <w:r>
        <w:rPr>
          <w:color w:val="003CA0"/>
          <w:sz w:val="12"/>
        </w:rPr>
        <w:t xml:space="preserve"> | RE 554.477</w:t>
      </w:r>
      <w:r>
        <w:rPr>
          <w:color w:val="003CA0"/>
          <w:sz w:val="12"/>
        </w:rPr>
        <w:t xml:space="preserve"> | rel. Eros Grau</w:t>
      </w:r>
    </w:p>
    <w:p>
      <w:pPr>
        <w:ind w:left="288"/>
      </w:pPr>
      <w:r>
        <w:rPr>
          <w:color w:val="1E1E1E"/>
          <w:sz w:val="18"/>
        </w:rPr>
        <w:t>Servidor público. Aposentadoria. Lei 1.762/1986 do Estado do Amazonas. Vantagem pessoal. O art. 139, II, da Lei estadual 1.762/1986 assegurou aos agravados o direito de incorporar aos seus proventos 20% da remuneração percebida quando da atividade. À época da edição dessa lei, estava em vigor a Constituição de 1967-1969, que vedava a percepção de proventos superiores à remuneração da atividade. Todavia, eventual inconstitucionalidade do art. 139, II, daquela lei estadual, em face da CF/1967-1969, nunca foi arguida e a gratificação por ela instituída incorporou-se ao patrimônio dos agravados. E</w:t>
      </w:r>
    </w:p>
    <w:p>
      <w:pPr>
        <w:ind w:left="288"/>
      </w:pPr>
      <w:r>
        <w:rPr>
          <w:b/>
          <w:color w:val="003CA0"/>
          <w:sz w:val="16"/>
        </w:rPr>
        <w:t>[RE 554.477 AgR, rel. min. Eros Grau, j. 10-6-2008, 2ª T, DJE de 27-6-2008.]</w:t>
      </w:r>
    </w:p>
    <w:p>
      <w:pPr>
        <w:ind w:left="288"/>
      </w:pPr>
      <w:r>
        <w:rPr>
          <w:color w:val="8C8C8C"/>
          <w:sz w:val="12"/>
        </w:rPr>
        <w:t>cf-art-37-inc-XIII</w:t>
      </w:r>
      <w:r>
        <w:rPr>
          <w:color w:val="003CA0"/>
          <w:sz w:val="12"/>
        </w:rPr>
        <w:t xml:space="preserve"> | RE 346.088</w:t>
      </w:r>
      <w:r>
        <w:rPr>
          <w:color w:val="003CA0"/>
          <w:sz w:val="12"/>
        </w:rPr>
        <w:t xml:space="preserve"> | rel. Gilmar Mendes</w:t>
      </w:r>
    </w:p>
    <w:p>
      <w:pPr>
        <w:ind w:left="288"/>
      </w:pPr>
      <w:r>
        <w:rPr>
          <w:color w:val="1E1E1E"/>
          <w:sz w:val="18"/>
        </w:rPr>
        <w:t>= RE 346.088 AgR, rel. min. Gilmar Mendes, j. 14-2-2010, 2ª T, DJE de 8-2-2011 A redução de proventos de aposentadoria, quando concedida em desacordo com a lei, não ofende o princípio da irredutibilidade de vencimentos.</w:t>
      </w:r>
    </w:p>
    <w:p>
      <w:pPr>
        <w:ind w:left="288"/>
      </w:pPr>
      <w:r>
        <w:rPr>
          <w:b/>
          <w:color w:val="003CA0"/>
          <w:sz w:val="16"/>
        </w:rPr>
        <w:t>[MS 25.552, rel. min. Cármen Lúcia, j. 7-4-2008, P, DJE de 30-5-2008.]</w:t>
      </w:r>
    </w:p>
    <w:p>
      <w:pPr>
        <w:ind w:left="288"/>
      </w:pPr>
      <w:r>
        <w:rPr>
          <w:color w:val="8C8C8C"/>
          <w:sz w:val="12"/>
        </w:rPr>
        <w:t>cf-art-37-inc-XIII</w:t>
      </w:r>
      <w:r>
        <w:rPr>
          <w:color w:val="003CA0"/>
          <w:sz w:val="12"/>
        </w:rPr>
        <w:t xml:space="preserve"> | RE 482.006</w:t>
      </w:r>
      <w:r>
        <w:rPr>
          <w:color w:val="003CA0"/>
          <w:sz w:val="12"/>
        </w:rPr>
        <w:t xml:space="preserve"> | rel. Ricardo Lewandowski</w:t>
      </w:r>
    </w:p>
    <w:p>
      <w:pPr>
        <w:ind w:left="288"/>
      </w:pPr>
      <w:r>
        <w:rPr>
          <w:color w:val="1E1E1E"/>
          <w:sz w:val="18"/>
        </w:rPr>
        <w:t>A redução de vencimentos de servidores públicos processados criminalmente colide com o disposto nos arts. 5º, LVII, e 37, XV, da Constituição, que abrigam, respectivamente, os princípios da presunção de inocência e da irredutibilidade de vencimentos. Norma estadual não recepcionada pela atual Carta Magna, sendo irrelevante a previsão que nela se contém de devolução dos valores descontados em caso de absolvição.</w:t>
      </w:r>
    </w:p>
    <w:p>
      <w:pPr>
        <w:ind w:left="288"/>
      </w:pPr>
      <w:r>
        <w:rPr>
          <w:b/>
          <w:color w:val="003CA0"/>
          <w:sz w:val="16"/>
        </w:rPr>
        <w:t>[RE 482.006, rel. min. Ricardo Lewandowski, j. 7-11-2007, P, DJ de 14-12-2007.]</w:t>
      </w:r>
    </w:p>
    <w:p>
      <w:pPr>
        <w:ind w:left="288"/>
      </w:pPr>
      <w:r>
        <w:rPr>
          <w:color w:val="8C8C8C"/>
          <w:sz w:val="12"/>
        </w:rPr>
        <w:t>cf-art-37-inc-XIII</w:t>
      </w:r>
      <w:r>
        <w:rPr>
          <w:color w:val="003CA0"/>
          <w:sz w:val="12"/>
        </w:rPr>
        <w:t xml:space="preserve"> | ARE 776.213</w:t>
      </w:r>
      <w:r>
        <w:rPr>
          <w:color w:val="003CA0"/>
          <w:sz w:val="12"/>
        </w:rPr>
        <w:t xml:space="preserve"> | rel. Gilmar Mendes</w:t>
      </w:r>
    </w:p>
    <w:p>
      <w:pPr>
        <w:ind w:left="288"/>
      </w:pPr>
      <w:r>
        <w:rPr>
          <w:color w:val="1E1E1E"/>
          <w:sz w:val="18"/>
        </w:rPr>
        <w:t>= ARE 776.213 AgR, rel. min. Gilmar Mendes, j. 19-8-2014, 2ª T, DJE de 4-9-2014 = AI 723.284 AgR, rel. min. Dias Toffoli, j. 27-8-2013, 1ª T, DJE de 23-10-2013 A irredutibilidade de vencimentos dos servidores, prevista no art. 37, XV, da Constituição do Brasil, aplica-se também àqueles que não possuem vínculo com a administração pública.</w:t>
      </w:r>
    </w:p>
    <w:p>
      <w:pPr>
        <w:ind w:left="288"/>
      </w:pPr>
      <w:r>
        <w:rPr>
          <w:b/>
          <w:color w:val="003CA0"/>
          <w:sz w:val="16"/>
        </w:rPr>
        <w:t>[MS 24.580, rel. min. Eros Grau, j. 30-8-2007, P, DJ de 23-11-2007.]</w:t>
      </w:r>
    </w:p>
    <w:p>
      <w:pPr>
        <w:ind w:left="288"/>
      </w:pPr>
      <w:r>
        <w:rPr>
          <w:color w:val="8C8C8C"/>
          <w:sz w:val="12"/>
        </w:rPr>
        <w:t>cf-art-37-inc-XIII</w:t>
      </w:r>
      <w:r>
        <w:rPr>
          <w:color w:val="003CA0"/>
          <w:sz w:val="12"/>
        </w:rPr>
        <w:t xml:space="preserve"> | RE 599.411</w:t>
      </w:r>
      <w:r>
        <w:rPr>
          <w:color w:val="003CA0"/>
          <w:sz w:val="12"/>
        </w:rPr>
        <w:t xml:space="preserve"> | rel. Cármen Lúcia</w:t>
      </w:r>
    </w:p>
    <w:p>
      <w:pPr>
        <w:ind w:left="288"/>
      </w:pPr>
      <w:r>
        <w:rPr>
          <w:color w:val="1E1E1E"/>
          <w:sz w:val="18"/>
        </w:rPr>
        <w:t>= RE 599.411 AgR, rel. min. Cármen Lúcia, j. 27-10-2009, 1ª T, DJE de 20-11-2009 A absorção de vantagem pecuniária por reajustes sucessivos não viola o princípio da irredutibilidade de vencimentos.</w:t>
      </w:r>
    </w:p>
    <w:p>
      <w:pPr>
        <w:ind w:left="288"/>
      </w:pPr>
      <w:r>
        <w:rPr>
          <w:b/>
          <w:color w:val="003CA0"/>
          <w:sz w:val="16"/>
        </w:rPr>
        <w:t>[AI 318.209 AgR-ED-ED, rel. min. Cezar Peluso, j. 7-8-2007, 1ª T, DJ de 24-8-2007.]</w:t>
      </w:r>
    </w:p>
    <w:p>
      <w:pPr>
        <w:ind w:left="288"/>
      </w:pPr>
      <w:r>
        <w:rPr>
          <w:color w:val="8C8C8C"/>
          <w:sz w:val="12"/>
        </w:rPr>
        <w:t>cf-art-37-inc-XIII</w:t>
      </w:r>
      <w:r>
        <w:rPr>
          <w:color w:val="003CA0"/>
          <w:sz w:val="12"/>
        </w:rPr>
        <w:t xml:space="preserve"> | MS 24.784</w:t>
      </w:r>
      <w:r>
        <w:rPr>
          <w:color w:val="003CA0"/>
          <w:sz w:val="12"/>
        </w:rPr>
        <w:t xml:space="preserve"> | rel. Carlos Velloso</w:t>
      </w:r>
    </w:p>
    <w:p>
      <w:pPr>
        <w:ind w:left="288"/>
      </w:pPr>
      <w:r>
        <w:rPr>
          <w:color w:val="1E1E1E"/>
          <w:sz w:val="18"/>
        </w:rPr>
        <w:t>Não há ilegalidade na extinção de uma vantagem ou na sua absorção por outra, desde que preservada a irredutibilidade da remuneração. Precedente (MS 24.784, rel. min. Carlos Velloso, DJ de 19-5-2004).</w:t>
      </w:r>
    </w:p>
    <w:p>
      <w:pPr>
        <w:ind w:left="288"/>
      </w:pPr>
      <w:r>
        <w:rPr>
          <w:b/>
          <w:color w:val="003CA0"/>
          <w:sz w:val="16"/>
        </w:rPr>
        <w:t>[MS 25.072, red. do ac. min. Eros Grau, rel. min. Marco Aurélio, j. 7-2-2007, P, DJ de 27-4-2007.]</w:t>
      </w:r>
    </w:p>
    <w:p>
      <w:pPr>
        <w:ind w:left="288"/>
      </w:pPr>
      <w:r>
        <w:rPr>
          <w:color w:val="8C8C8C"/>
          <w:sz w:val="12"/>
        </w:rPr>
        <w:t>cf-art-37-inc-XIII</w:t>
      </w:r>
      <w:r>
        <w:rPr>
          <w:color w:val="003CA0"/>
          <w:sz w:val="12"/>
        </w:rPr>
        <w:t xml:space="preserve"> | RE 212.131</w:t>
      </w:r>
      <w:r>
        <w:rPr>
          <w:color w:val="003CA0"/>
          <w:sz w:val="12"/>
        </w:rPr>
        <w:t xml:space="preserve"> | rel. Ilmar Galvão</w:t>
      </w:r>
    </w:p>
    <w:p>
      <w:pPr>
        <w:ind w:left="288"/>
      </w:pPr>
      <w:r>
        <w:rPr>
          <w:color w:val="1E1E1E"/>
          <w:sz w:val="18"/>
        </w:rPr>
        <w:t>Funcionário público. Conversão compulsória do regime contratual em estatutário. Redução verificada na remuneração. (...) Situação incompatível com o princípio da irredutibilidade que protegia os salários e protege os vencimentos do servidor, exsurgindo, como solução razoável para o impasse, o enquadramento do servidor do nível mais alto da categoria funcional que veio a integrar, convertido, ainda, eventual excesso remuneratório verificado em vantagem pessoal a ser absorvida em futuras concessões de aumento real ou específico.</w:t>
      </w:r>
    </w:p>
    <w:p>
      <w:pPr>
        <w:ind w:left="288"/>
      </w:pPr>
      <w:r>
        <w:rPr>
          <w:b/>
          <w:color w:val="003CA0"/>
          <w:sz w:val="16"/>
        </w:rPr>
        <w:t>[RE 212.131, rel. min. Ilmar Galvão, j. 3-8-1999, 1ª T, DJ de 29-10-1999.]</w:t>
      </w:r>
    </w:p>
    <w:p>
      <w:pPr>
        <w:ind w:left="288"/>
      </w:pPr>
      <w:r>
        <w:rPr>
          <w:color w:val="8C8C8C"/>
          <w:sz w:val="12"/>
        </w:rPr>
        <w:t>cf-art-37-inc-XIII</w:t>
      </w:r>
      <w:r>
        <w:rPr>
          <w:color w:val="003CA0"/>
          <w:sz w:val="12"/>
        </w:rPr>
        <w:t xml:space="preserve"> | AI 794.665</w:t>
      </w:r>
      <w:r>
        <w:rPr>
          <w:color w:val="003CA0"/>
          <w:sz w:val="12"/>
        </w:rPr>
        <w:t xml:space="preserve"> | rel. Cármen Lúcia</w:t>
      </w:r>
    </w:p>
    <w:p>
      <w:pPr>
        <w:ind w:left="288"/>
      </w:pPr>
      <w:r>
        <w:rPr>
          <w:color w:val="1E1E1E"/>
          <w:sz w:val="18"/>
        </w:rPr>
        <w:t>= AI 794.665 AgR, rel. min. Cármen Lúcia, j. 9-11-2010, 1ª T, DJE de 30-11-2010 Vide RE 599.618 ED, rel. min. Cármen Lúcia, j. 1º-2-2011, 1ª T, DJE de 14-3-2011 XVI - é vedada a acumulação remunerada de cargos públicos, exceto, quando houver compatibilidade de horários, observado em qualquer caso o disposto no inciso XI: (Redação da EC 19/1998)</w:t>
      </w:r>
    </w:p>
    <w:p>
      <w:pPr>
        <w:ind w:left="144"/>
      </w:pPr>
      <w:r>
        <w:rPr>
          <w:b/>
          <w:color w:val="B45A00"/>
          <w:sz w:val="16"/>
        </w:rPr>
        <w:t>CONTROLE CONCENTRADO</w:t>
      </w:r>
    </w:p>
    <w:p>
      <w:pPr>
        <w:ind w:left="288"/>
      </w:pPr>
      <w:r>
        <w:rPr>
          <w:color w:val="8C8C8C"/>
          <w:sz w:val="12"/>
        </w:rPr>
        <w:t>cf-art-37-inc-XIII</w:t>
      </w:r>
      <w:r>
        <w:rPr>
          <w:color w:val="003CA0"/>
          <w:sz w:val="12"/>
        </w:rPr>
        <w:t xml:space="preserve"> | ADI 1.770</w:t>
      </w:r>
      <w:r>
        <w:rPr>
          <w:color w:val="003CA0"/>
          <w:sz w:val="12"/>
        </w:rPr>
        <w:t xml:space="preserve"> | rel. Joaquim Barbosa</w:t>
      </w:r>
    </w:p>
    <w:p>
      <w:pPr>
        <w:ind w:left="288"/>
      </w:pPr>
      <w:r>
        <w:rPr>
          <w:color w:val="1E1E1E"/>
          <w:sz w:val="18"/>
        </w:rPr>
        <w:t>Readmissão de empregados de empresas públicas e sociedades de economia mista. Acumulação de proventos e vencimentos. (...) É inconstitucional o § 1º do art. 453 da CLT, com a redação dada pela Lei 9.528/1997, quer porque permite, como regra, a acumulação de proventos e vencimentos – vedada pela jurisprudência do STF –, quer porque se funda na ideia de que a aposentadoria espontânea rompe o vínculo empregatício.</w:t>
      </w:r>
    </w:p>
    <w:p>
      <w:pPr>
        <w:ind w:left="288"/>
      </w:pPr>
      <w:r>
        <w:rPr>
          <w:b/>
          <w:color w:val="003CA0"/>
          <w:sz w:val="16"/>
        </w:rPr>
        <w:t>[ADI 1.770, rel. min. Joaquim Barbosa, j. 11-10-2006, P, DJ de 1º-12-2006.]</w:t>
      </w:r>
    </w:p>
    <w:p>
      <w:pPr>
        <w:ind w:left="288"/>
      </w:pPr>
      <w:r>
        <w:rPr>
          <w:color w:val="8C8C8C"/>
          <w:sz w:val="12"/>
        </w:rPr>
        <w:t>cf-art-37-inc-XIII</w:t>
      </w:r>
      <w:r>
        <w:rPr>
          <w:color w:val="003CA0"/>
          <w:sz w:val="12"/>
        </w:rPr>
        <w:t xml:space="preserve"> | RE 679.645</w:t>
      </w:r>
      <w:r>
        <w:rPr>
          <w:color w:val="003CA0"/>
          <w:sz w:val="12"/>
        </w:rPr>
        <w:t xml:space="preserve"> | rel. Cármen Lúcia</w:t>
      </w:r>
    </w:p>
    <w:p>
      <w:pPr>
        <w:ind w:left="288"/>
      </w:pPr>
      <w:r>
        <w:rPr>
          <w:color w:val="1E1E1E"/>
          <w:sz w:val="18"/>
        </w:rPr>
        <w:t>= RE 679.645 AgR, rel. min. Cármen Lúcia, j. 11-2-2014, 2ª T, DJE de 21-2-2014 O dispositivo impugnado, ao estabelecer indistintamente que os proventos da inatividade não serão considerados para efeito de acumulação de cargos, afronta o art. 37, XVI, da CF, na medida em que amplia o rol das exceções à regra da não cumulatividade de proventos e vencimentos, já expressamente previstas no Texto Constitucional. Impossiblidade de acumulação de proventos com vencimentos quando envolvidos cargos inacumuláveis na atividade.</w:t>
      </w:r>
    </w:p>
    <w:p>
      <w:pPr>
        <w:ind w:left="288"/>
      </w:pPr>
      <w:r>
        <w:rPr>
          <w:b/>
          <w:color w:val="003CA0"/>
          <w:sz w:val="16"/>
        </w:rPr>
        <w:t>[ADI 1.328, rel. min. Ellen Gracie, j. 12-5-2004, P, DJ de 18-6-2004.]</w:t>
      </w:r>
    </w:p>
    <w:p>
      <w:pPr>
        <w:ind w:left="288"/>
      </w:pPr>
      <w:r>
        <w:rPr>
          <w:color w:val="8C8C8C"/>
          <w:sz w:val="12"/>
        </w:rPr>
        <w:t>cf-art-37-inc-XIII</w:t>
      </w:r>
      <w:r>
        <w:rPr>
          <w:color w:val="003CA0"/>
          <w:sz w:val="12"/>
        </w:rPr>
        <w:t xml:space="preserve"> | RE 415.974</w:t>
      </w:r>
      <w:r>
        <w:rPr>
          <w:color w:val="003CA0"/>
          <w:sz w:val="12"/>
        </w:rPr>
        <w:t xml:space="preserve"> | rel. Cármen Lúcia</w:t>
      </w:r>
    </w:p>
    <w:p>
      <w:pPr>
        <w:ind w:left="288"/>
      </w:pPr>
      <w:r>
        <w:rPr>
          <w:color w:val="1E1E1E"/>
          <w:sz w:val="18"/>
        </w:rPr>
        <w:t>= RE 415.974 AgR, rel. min. Cármen Lúcia, j. 1º-2-2011, 1ª T, DJE de 23-2-2011</w:t>
      </w:r>
    </w:p>
    <w:p>
      <w:pPr>
        <w:ind w:left="144"/>
      </w:pPr>
      <w:r>
        <w:rPr>
          <w:b/>
          <w:color w:val="B45A00"/>
          <w:sz w:val="16"/>
        </w:rPr>
        <w:t>REPERCUSSAO GERAL</w:t>
      </w:r>
    </w:p>
    <w:p>
      <w:pPr>
        <w:ind w:left="288"/>
      </w:pPr>
      <w:r>
        <w:rPr>
          <w:color w:val="8C8C8C"/>
          <w:sz w:val="12"/>
        </w:rPr>
        <w:t>cf-art-37-inc-XIII</w:t>
      </w:r>
      <w:r>
        <w:rPr>
          <w:color w:val="003CA0"/>
          <w:sz w:val="12"/>
        </w:rPr>
        <w:t xml:space="preserve"> | ARE 1.246.685</w:t>
      </w:r>
      <w:r>
        <w:rPr>
          <w:color w:val="003CA0"/>
          <w:sz w:val="12"/>
        </w:rPr>
        <w:t xml:space="preserve"> | rel. Dias Toffoli</w:t>
      </w:r>
    </w:p>
    <w:p>
      <w:pPr>
        <w:ind w:left="288"/>
      </w:pPr>
      <w:r>
        <w:rPr>
          <w:color w:val="1E1E1E"/>
          <w:sz w:val="18"/>
        </w:rPr>
        <w:t>As hipóteses excepcionais autorizadoras de acumulação de cargos públicos previstas na Constituição Federal sujeitam-se, unicamente, a existência de compatibilidade de horários, verificada no caso concreto, ainda que haja norma infraconstitucional que limite a jornada semanal.</w:t>
        <w:br/>
        <w:t>[ARE 1.246.685, rel. min. Dias Toffoli, j. 19-3-2020, P, DJE de 28-4-2020, Tema 1.081, com mérito julgado e reafirmação de jurisprudência.] Nas situações jurídicas em que a CF autoriza a acumulação de cargos, o teto remuneratório é considerado em relação à remuneração de cada um deles, e não ao somatório do que recebido.</w:t>
        <w:br/>
      </w:r>
    </w:p>
    <w:p>
      <w:pPr>
        <w:ind w:left="144"/>
      </w:pPr>
      <w:r>
        <w:rPr>
          <w:b/>
          <w:color w:val="B45A00"/>
          <w:sz w:val="16"/>
        </w:rPr>
        <w:t>JULGADOS CORRELATOS</w:t>
      </w:r>
    </w:p>
    <w:p>
      <w:pPr>
        <w:ind w:left="288"/>
      </w:pPr>
      <w:r>
        <w:rPr>
          <w:color w:val="8C8C8C"/>
          <w:sz w:val="12"/>
        </w:rPr>
        <w:t>cf-art-37-inc-XIII</w:t>
      </w:r>
      <w:r>
        <w:rPr>
          <w:color w:val="003CA0"/>
          <w:sz w:val="12"/>
        </w:rPr>
        <w:t xml:space="preserve"> | RE 1.441.764</w:t>
      </w:r>
      <w:r>
        <w:rPr>
          <w:color w:val="003CA0"/>
          <w:sz w:val="12"/>
        </w:rPr>
        <w:t xml:space="preserve"> | rel. Dias Toffoli</w:t>
      </w:r>
    </w:p>
    <w:p>
      <w:pPr>
        <w:ind w:left="288"/>
      </w:pPr>
      <w:r>
        <w:rPr>
          <w:color w:val="1E1E1E"/>
          <w:sz w:val="18"/>
        </w:rPr>
        <w:t>Acumulação remunerada de cargos públicos. Policial militar inativo. Professor em academia de polícia. Teto constitucional que incide isoladamente sobre cada remuneração. Tema nº 377 da Sistemática da Repercussão Geral.</w:t>
        <w:br/>
        <w:t>[RE 1.441.764 AgR, rel. min. Dias Toffoli, j. 22-8-2023, 2ª T, DJE de 11-9-2023.] Militar da reserva remunerada que reingressa no serviço público, em cargo civil, após a vigência da Emenda Constitucional n. 20/1998, não tem direito líquido e certo de acumular os proventos oriundos da reserva remunerada com a remuneração decorrente do exercício do cargo civil assumido.</w:t>
        <w:br/>
        <w:t>[MS 36.882</w:t>
      </w:r>
    </w:p>
    <w:p>
      <w:pPr>
        <w:ind w:left="288"/>
      </w:pPr>
      <w:r>
        <w:rPr>
          <w:b/>
          <w:color w:val="003CA0"/>
          <w:sz w:val="16"/>
        </w:rPr>
        <w:t>[RE 161.742, red do ac. min. Marco Aurélio, j. 13-10-2020, 1ª T, DJE de 4-2-2021.]</w:t>
      </w:r>
    </w:p>
    <w:p>
      <w:pPr>
        <w:ind w:left="288"/>
      </w:pPr>
      <w:r>
        <w:rPr>
          <w:color w:val="8C8C8C"/>
          <w:sz w:val="12"/>
        </w:rPr>
        <w:t>cf-art-37-inc-XIII</w:t>
      </w:r>
      <w:r>
        <w:rPr>
          <w:color w:val="003CA0"/>
          <w:sz w:val="12"/>
        </w:rPr>
        <w:t xml:space="preserve"> | RMS 26.929</w:t>
      </w:r>
      <w:r>
        <w:rPr>
          <w:color w:val="003CA0"/>
          <w:sz w:val="12"/>
        </w:rPr>
        <w:t xml:space="preserve"> | rel. Joaquim Barbosa</w:t>
      </w:r>
    </w:p>
    <w:p>
      <w:pPr>
        <w:ind w:left="288"/>
      </w:pPr>
      <w:r>
        <w:rPr>
          <w:color w:val="1E1E1E"/>
          <w:sz w:val="18"/>
        </w:rPr>
        <w:t>Servidor público em situação de acumulação ilícita de cargos ou empregos pode se valer da oportunidade prevista no art. 133, § 5º, da Lei 8.112/1990 para apresentar proposta de solução, comprovando o desfazimento dos vínculos, de forma a se enquadrar nas hipóteses de cumulação lícita. Contudo, o art. 133, § 5º, da Lei 8.112/1990 não autoriza que o servidor prolongue indefinidamente a situação ilegal, esperando se valer do dispositivo legal para caracterizar, como sendo de boa-fé, a proposta de solução apresentada com atraso.</w:t>
      </w:r>
    </w:p>
    <w:p>
      <w:pPr>
        <w:ind w:left="288"/>
      </w:pPr>
      <w:r>
        <w:rPr>
          <w:b/>
          <w:color w:val="003CA0"/>
          <w:sz w:val="16"/>
        </w:rPr>
        <w:t>[RMS 26.929, rel. min. Joaquim Barbosa, j. 19-10-2010, 2ª T, DJE de 11-11-2010.]</w:t>
      </w:r>
    </w:p>
    <w:p>
      <w:pPr>
        <w:ind w:left="288"/>
      </w:pPr>
      <w:r>
        <w:rPr>
          <w:color w:val="8C8C8C"/>
          <w:sz w:val="12"/>
        </w:rPr>
        <w:t>cf-art-37-inc-XIII</w:t>
      </w:r>
      <w:r>
        <w:rPr>
          <w:color w:val="003CA0"/>
          <w:sz w:val="12"/>
        </w:rPr>
        <w:t xml:space="preserve"> | RMS 24.737</w:t>
      </w:r>
      <w:r>
        <w:rPr>
          <w:color w:val="003CA0"/>
          <w:sz w:val="12"/>
        </w:rPr>
        <w:t xml:space="preserve"> | rel. Ayres Britto</w:t>
      </w:r>
    </w:p>
    <w:p>
      <w:pPr>
        <w:ind w:left="288"/>
      </w:pPr>
      <w:r>
        <w:rPr>
          <w:color w:val="1E1E1E"/>
          <w:sz w:val="18"/>
        </w:rPr>
        <w:t>O art. 11 da EC 20/1998 convalidou o reingresso – até a data da sua publicação – do inativo no serviço público, mediante concurso. Tal convalidação alcança os vencimentos em duplicidade, quando se tratar de cargos acumuláveis, na forma do art. 37, XVI, da Magna Carta, vedada, apenas, a percepção de mais de uma aposentadoria.</w:t>
      </w:r>
    </w:p>
    <w:p>
      <w:pPr>
        <w:ind w:left="288"/>
      </w:pPr>
      <w:r>
        <w:rPr>
          <w:b/>
          <w:color w:val="003CA0"/>
          <w:sz w:val="16"/>
        </w:rPr>
        <w:t>[RMS 24.737, rel. min. Ayres Britto, j. 1º-6-2004, 1ª T, DJ de 3-9-2004.]</w:t>
      </w:r>
    </w:p>
    <w:p>
      <w:pPr>
        <w:ind w:left="288"/>
      </w:pPr>
      <w:r>
        <w:rPr>
          <w:color w:val="8C8C8C"/>
          <w:sz w:val="12"/>
        </w:rPr>
        <w:t>cf-art-37-inc-XIII</w:t>
      </w:r>
      <w:r>
        <w:rPr>
          <w:color w:val="003CA0"/>
          <w:sz w:val="12"/>
        </w:rPr>
        <w:t xml:space="preserve"> | RE 163.204.</w:t>
      </w:r>
      <w:r>
        <w:rPr>
          <w:color w:val="003CA0"/>
          <w:sz w:val="12"/>
        </w:rPr>
        <w:t xml:space="preserve"> | rel. Néri da Silveira</w:t>
      </w:r>
    </w:p>
    <w:p>
      <w:pPr>
        <w:ind w:left="288"/>
      </w:pPr>
      <w:r>
        <w:rPr>
          <w:color w:val="1E1E1E"/>
          <w:sz w:val="18"/>
        </w:rPr>
        <w:t>A acumulação de proventos e vencimentos somente é permitida quando se tratar de cargos, funções ou empregos acumuláveis na atividade, na forma permitida pela Constituição. Precedente do Plenário – RE 163.204.</w:t>
      </w:r>
    </w:p>
    <w:p>
      <w:pPr>
        <w:ind w:left="288"/>
      </w:pPr>
      <w:r>
        <w:rPr>
          <w:b/>
          <w:color w:val="003CA0"/>
          <w:sz w:val="16"/>
        </w:rPr>
        <w:t>[RE 141.376, rel. min. Néri da Silveira, j. 2-10-2001, 2ª T, DJ de 22-2-2002.]</w:t>
      </w:r>
    </w:p>
    <w:p>
      <w:pPr>
        <w:ind w:left="288"/>
      </w:pPr>
      <w:r>
        <w:rPr>
          <w:color w:val="8C8C8C"/>
          <w:sz w:val="12"/>
        </w:rPr>
        <w:t>cf-art-37-inc-XIII</w:t>
      </w:r>
      <w:r>
        <w:rPr>
          <w:color w:val="003CA0"/>
          <w:sz w:val="12"/>
        </w:rPr>
        <w:t xml:space="preserve"> | RE 613.399</w:t>
      </w:r>
      <w:r>
        <w:rPr>
          <w:color w:val="003CA0"/>
          <w:sz w:val="12"/>
        </w:rPr>
        <w:t xml:space="preserve"> | rel. Ricardo Lewandowski</w:t>
      </w:r>
    </w:p>
    <w:p>
      <w:pPr>
        <w:ind w:left="288"/>
      </w:pPr>
      <w:r>
        <w:rPr>
          <w:color w:val="1E1E1E"/>
          <w:sz w:val="18"/>
        </w:rPr>
        <w:t>= RE 613.399 AgR, rel. min. Ricardo Lewandowski, j. 14-8-2012, 2ª T, DJE de 27-8-2012</w:t>
      </w:r>
    </w:p>
    <w:p>
      <w:pPr>
        <w:ind w:left="288"/>
      </w:pPr>
      <w:r>
        <w:rPr>
          <w:color w:val="8C8C8C"/>
          <w:sz w:val="12"/>
        </w:rPr>
        <w:t>cf-art-37-inc-XIII-ali-a</w:t>
      </w:r>
      <w:r>
        <w:rPr>
          <w:color w:val="003CA0"/>
          <w:sz w:val="12"/>
        </w:rPr>
        <w:t xml:space="preserve"> | RE 701.999</w:t>
      </w:r>
      <w:r>
        <w:rPr>
          <w:color w:val="003CA0"/>
          <w:sz w:val="12"/>
        </w:rPr>
        <w:t xml:space="preserve"> | rel. Ricardo Lewandowski</w:t>
      </w:r>
    </w:p>
    <w:p>
      <w:pPr>
        <w:ind w:left="288"/>
      </w:pPr>
      <w:r>
        <w:rPr>
          <w:color w:val="1E1E1E"/>
          <w:sz w:val="18"/>
        </w:rPr>
        <w:t>É impertinente a exigência de compatibilidade de horários como requisito para a percepção simultânea de um provento de aposentadoria no cargo de professor com a remuneração pelo exercício efetivo de outro cargo de magistério.</w:t>
      </w:r>
    </w:p>
    <w:p>
      <w:pPr>
        <w:ind w:left="288"/>
      </w:pPr>
      <w:r>
        <w:rPr>
          <w:b/>
          <w:color w:val="003CA0"/>
          <w:sz w:val="16"/>
        </w:rPr>
        <w:t>[RE 701.999 AgR, rel. min. Ricardo Lewandowski, j. 2-10-2012, 2ª T, DJE de 22-10-2012.]</w:t>
      </w:r>
    </w:p>
    <w:p>
      <w:pPr>
        <w:ind w:left="288"/>
      </w:pPr>
      <w:r>
        <w:rPr>
          <w:color w:val="8C8C8C"/>
          <w:sz w:val="12"/>
        </w:rPr>
        <w:t>cf-art-37-inc-XIII-ali-a</w:t>
      </w:r>
      <w:r>
        <w:rPr>
          <w:color w:val="003CA0"/>
          <w:sz w:val="12"/>
        </w:rPr>
        <w:t xml:space="preserve"> | RE 169.807</w:t>
      </w:r>
      <w:r>
        <w:rPr>
          <w:color w:val="003CA0"/>
          <w:sz w:val="12"/>
        </w:rPr>
        <w:t xml:space="preserve"> | rel. Carlos Velloso</w:t>
      </w:r>
    </w:p>
    <w:p>
      <w:pPr>
        <w:ind w:left="288"/>
      </w:pPr>
      <w:r>
        <w:rPr>
          <w:color w:val="1E1E1E"/>
          <w:sz w:val="18"/>
        </w:rPr>
        <w:t>É possível a acumulação de um cargo de professor com um emprego (celetista) de professor. Interpretação harmônica dos incisos XVI e XVII do art. 37 da CF.</w:t>
      </w:r>
    </w:p>
    <w:p>
      <w:pPr>
        <w:ind w:left="288"/>
      </w:pPr>
      <w:r>
        <w:rPr>
          <w:b/>
          <w:color w:val="003CA0"/>
          <w:sz w:val="16"/>
        </w:rPr>
        <w:t>[RE 169.807, rel. min. Carlos Velloso, j. 24-6-1996, 2ª T, DJ de 8-11-1996.]</w:t>
      </w:r>
    </w:p>
    <w:p>
      <w:pPr>
        <w:ind w:left="288"/>
      </w:pPr>
      <w:r>
        <w:rPr>
          <w:color w:val="8C8C8C"/>
          <w:sz w:val="12"/>
        </w:rPr>
        <w:t>cf-art-37-inc-XIII-ali-b</w:t>
      </w:r>
      <w:r>
        <w:rPr>
          <w:color w:val="003CA0"/>
          <w:sz w:val="12"/>
        </w:rPr>
        <w:t xml:space="preserve"> | MS 33.400</w:t>
      </w:r>
      <w:r>
        <w:rPr>
          <w:color w:val="003CA0"/>
          <w:sz w:val="12"/>
        </w:rPr>
        <w:t xml:space="preserve"> | rel. Dias Toffoli</w:t>
      </w:r>
    </w:p>
    <w:p>
      <w:pPr>
        <w:ind w:left="288"/>
      </w:pPr>
      <w:r>
        <w:rPr>
          <w:color w:val="1E1E1E"/>
          <w:sz w:val="18"/>
        </w:rPr>
        <w:t>A Constituição Federal não define ou fixa requisitos para o reconhecimento da natureza do cargo técnico ou científico a que faz alusão o art. 37, inciso XVI, Alínea b.</w:t>
      </w:r>
    </w:p>
    <w:p>
      <w:pPr>
        <w:ind w:left="288"/>
      </w:pPr>
      <w:r>
        <w:rPr>
          <w:b/>
          <w:color w:val="003CA0"/>
          <w:sz w:val="16"/>
        </w:rPr>
        <w:t>[MS 33.400 AgR, rel. min. Dias Toffoli, j. 1º-3-2021, 1ª T, DJE de 8-4-2021.]</w:t>
      </w:r>
    </w:p>
    <w:p>
      <w:pPr>
        <w:ind w:left="288"/>
      </w:pPr>
      <w:r>
        <w:rPr>
          <w:color w:val="8C8C8C"/>
          <w:sz w:val="12"/>
        </w:rPr>
        <w:t>cf-art-37-inc-XIII-ali-b</w:t>
      </w:r>
      <w:r>
        <w:rPr>
          <w:color w:val="003CA0"/>
          <w:sz w:val="12"/>
        </w:rPr>
        <w:t xml:space="preserve"> | RE 733.217</w:t>
      </w:r>
      <w:r>
        <w:rPr>
          <w:color w:val="003CA0"/>
          <w:sz w:val="12"/>
        </w:rPr>
        <w:t xml:space="preserve"> | rel. Gilmar Mendes</w:t>
      </w:r>
    </w:p>
    <w:p>
      <w:pPr>
        <w:ind w:left="288"/>
      </w:pPr>
      <w:r>
        <w:rPr>
          <w:color w:val="1E1E1E"/>
          <w:sz w:val="18"/>
        </w:rPr>
        <w:t>Acumulação remunerada de cargos públicos. Orientador educacional. Equivalência ao cargo de professor. Improcedência. Interpretação restritiva do art. 37, XVI, b, da CF.</w:t>
      </w:r>
    </w:p>
    <w:p>
      <w:pPr>
        <w:ind w:left="288"/>
      </w:pPr>
      <w:r>
        <w:rPr>
          <w:b/>
          <w:color w:val="003CA0"/>
          <w:sz w:val="16"/>
        </w:rPr>
        <w:t>[RE 733.217 AgR, rel. min. Gilmar Mendes, j. 29-6-2018, 2ª T, DJE de 2-8-2018.]</w:t>
      </w:r>
    </w:p>
    <w:p>
      <w:pPr>
        <w:ind w:left="288"/>
      </w:pPr>
      <w:r>
        <w:rPr>
          <w:color w:val="8C8C8C"/>
          <w:sz w:val="12"/>
        </w:rPr>
        <w:t>cf-art-37-inc-XIII-ali-b</w:t>
      </w:r>
      <w:r>
        <w:rPr>
          <w:color w:val="003CA0"/>
          <w:sz w:val="12"/>
        </w:rPr>
        <w:t xml:space="preserve"> | AI 192.918</w:t>
      </w:r>
      <w:r>
        <w:rPr>
          <w:color w:val="003CA0"/>
          <w:sz w:val="12"/>
        </w:rPr>
        <w:t xml:space="preserve"> | rel. Octavio Gallotti</w:t>
      </w:r>
    </w:p>
    <w:p>
      <w:pPr>
        <w:ind w:left="288"/>
      </w:pPr>
      <w:r>
        <w:rPr>
          <w:color w:val="1E1E1E"/>
          <w:sz w:val="18"/>
        </w:rPr>
        <w:t>Acumulação de emprego de atendente de telecomunicações de sociedade de economia mista, com cargo público de magistério. Quando viável, em recurso extraordinário, o reexame das atribuições daquele emprego (atividade de telefonista), correto, ainda assim, o acórdão recorrido, no sentido de se revestirem elas de "características simples e repetitivas", de modo a afastar-se a incidência do permissivo do art. 37, XVI, b, da Constituição.</w:t>
      </w:r>
    </w:p>
    <w:p>
      <w:pPr>
        <w:ind w:left="288"/>
      </w:pPr>
      <w:r>
        <w:rPr>
          <w:b/>
          <w:color w:val="003CA0"/>
          <w:sz w:val="16"/>
        </w:rPr>
        <w:t>[AI 192.918 AgR, rel. min. Octavio Gallotti, j. 3-6-1997, 1ª T, DJ de 12-9-1997.]</w:t>
      </w:r>
    </w:p>
    <w:p>
      <w:pPr>
        <w:ind w:left="288"/>
      </w:pPr>
      <w:r>
        <w:rPr>
          <w:color w:val="8C8C8C"/>
          <w:sz w:val="12"/>
        </w:rPr>
        <w:t>cf-art-37-inc-XIII-ali-c</w:t>
      </w:r>
      <w:r>
        <w:rPr>
          <w:color w:val="003CA0"/>
          <w:sz w:val="12"/>
        </w:rPr>
        <w:t xml:space="preserve"> | RMS 34.257</w:t>
      </w:r>
      <w:r>
        <w:rPr>
          <w:color w:val="003CA0"/>
          <w:sz w:val="12"/>
        </w:rPr>
        <w:t xml:space="preserve"> | rel. Ricardo Lewandowski</w:t>
      </w:r>
    </w:p>
    <w:p>
      <w:pPr>
        <w:ind w:left="288"/>
      </w:pPr>
      <w:r>
        <w:rPr>
          <w:color w:val="1E1E1E"/>
          <w:sz w:val="18"/>
        </w:rPr>
        <w:t>A existência de norma infraconstitucional que estipula limitação de jornada semanal não constitui óbice ao reconhecimento do direito à acumulação prevista no art. 37, XVI, c, da Constituição, desde que haja compatibilidade de horários para o exercício dos cargos a serem acumulados.</w:t>
      </w:r>
    </w:p>
    <w:p>
      <w:pPr>
        <w:ind w:left="288"/>
      </w:pPr>
      <w:r>
        <w:rPr>
          <w:b/>
          <w:color w:val="003CA0"/>
          <w:sz w:val="16"/>
        </w:rPr>
        <w:t>[RMS 34.257 AgR, rel. min. Ricardo Lewandowski, j. 29-6-2018, 2ª T, DJE de 6-8-2018.]</w:t>
      </w:r>
    </w:p>
    <w:p>
      <w:pPr>
        <w:ind w:left="288"/>
      </w:pPr>
      <w:r>
        <w:rPr>
          <w:color w:val="8C8C8C"/>
          <w:sz w:val="12"/>
        </w:rPr>
        <w:t>cf-art-37-inc-XIII-ali-c</w:t>
      </w:r>
      <w:r>
        <w:rPr>
          <w:color w:val="003CA0"/>
          <w:sz w:val="12"/>
        </w:rPr>
        <w:t xml:space="preserve"> | MS 33.853</w:t>
      </w:r>
      <w:r>
        <w:rPr>
          <w:color w:val="003CA0"/>
          <w:sz w:val="12"/>
        </w:rPr>
        <w:t xml:space="preserve"> | rel. Dias Toffoli</w:t>
      </w:r>
    </w:p>
    <w:p>
      <w:pPr>
        <w:ind w:left="288"/>
      </w:pPr>
      <w:r>
        <w:rPr>
          <w:color w:val="1E1E1E"/>
          <w:sz w:val="18"/>
        </w:rPr>
        <w:t xml:space="preserve">Jornada de trabalho de analistas judiciários das áreas de medicina e odontologia. Prevalência de norma especial sobre a geral. Previsão de jornada reduzida não alcança ocupantes de cargo em comissão ou função comissionada. (...) Diante do silêncio da Lei 11.416/2006 acerca da jornada de trabalho dos servidores do Poder Judiciário e existindo legislação que discipline a jornada de ocupantes de cargos públicos das áreas de medicina e odontologia, aplica-se a norma de caráter especial em detrimento da regra geral inserta no caput do art. 19 da Lei 8.112/1990. Inteligência do DL 1.445/1976, c/c a </w:t>
      </w:r>
    </w:p>
    <w:p>
      <w:pPr>
        <w:ind w:left="288"/>
      </w:pPr>
      <w:r>
        <w:rPr>
          <w:b/>
          <w:color w:val="003CA0"/>
          <w:sz w:val="16"/>
        </w:rPr>
        <w:t>[MS 33.853, rel. min. Dias Toffoli, j. 13-6-2017, 2ª T, DJE de 29-9-2017.]</w:t>
      </w:r>
    </w:p>
    <w:p>
      <w:pPr>
        <w:ind w:left="288"/>
      </w:pPr>
      <w:r>
        <w:rPr>
          <w:color w:val="8C8C8C"/>
          <w:sz w:val="12"/>
        </w:rPr>
        <w:t>cf-art-37-inc-XIII-ali-c</w:t>
      </w:r>
      <w:r>
        <w:rPr>
          <w:color w:val="003CA0"/>
          <w:sz w:val="12"/>
        </w:rPr>
        <w:t xml:space="preserve"> | MS 31.256</w:t>
      </w:r>
      <w:r>
        <w:rPr>
          <w:color w:val="003CA0"/>
          <w:sz w:val="12"/>
        </w:rPr>
        <w:t xml:space="preserve"> | rel. Marco Aurélio</w:t>
      </w:r>
    </w:p>
    <w:p>
      <w:pPr>
        <w:ind w:left="288"/>
      </w:pPr>
      <w:r>
        <w:rPr>
          <w:color w:val="1E1E1E"/>
          <w:sz w:val="18"/>
        </w:rPr>
        <w:t>A CF viabiliza a acumulação de dois cargos de saúde, uma vez verificada a compatibilidade de horário, tendo-se como consequência a possibilidade de dupla aposentadoria.</w:t>
      </w:r>
    </w:p>
    <w:p>
      <w:pPr>
        <w:ind w:left="288"/>
      </w:pPr>
      <w:r>
        <w:rPr>
          <w:b/>
          <w:color w:val="003CA0"/>
          <w:sz w:val="16"/>
        </w:rPr>
        <w:t>[MS 31.256, rel. min. Marco Aurélio, j. 24-3-2015, 1ª T, DJE de 20-4-2015.]</w:t>
      </w:r>
    </w:p>
    <w:p>
      <w:pPr>
        <w:ind w:left="288"/>
      </w:pPr>
      <w:r>
        <w:rPr>
          <w:color w:val="8C8C8C"/>
          <w:sz w:val="12"/>
        </w:rPr>
        <w:t>cf-art-37-inc-XIII-ali-c</w:t>
      </w:r>
      <w:r>
        <w:rPr>
          <w:color w:val="003CA0"/>
          <w:sz w:val="12"/>
        </w:rPr>
        <w:t xml:space="preserve"> | RE 570.213</w:t>
      </w:r>
      <w:r>
        <w:rPr>
          <w:color w:val="003CA0"/>
          <w:sz w:val="12"/>
        </w:rPr>
        <w:t xml:space="preserve"> | rel. Ricardo Lewandowski</w:t>
      </w:r>
    </w:p>
    <w:p>
      <w:pPr>
        <w:ind w:left="288"/>
      </w:pPr>
      <w:r>
        <w:rPr>
          <w:color w:val="1E1E1E"/>
          <w:sz w:val="18"/>
        </w:rPr>
        <w:t>A redação original do art. 37, XVI, c, da Constituição autorizava apenas a acumulação de dois cargos privativos de médico, não abrangendo os cargos privativos de profissionais de saúde contemplados posteriormente pela EC 34/2001.</w:t>
      </w:r>
    </w:p>
    <w:p>
      <w:pPr>
        <w:ind w:left="288"/>
      </w:pPr>
      <w:r>
        <w:rPr>
          <w:b/>
          <w:color w:val="003CA0"/>
          <w:sz w:val="16"/>
        </w:rPr>
        <w:t>[RE 570.213 AgR, rel. min. Ricardo Lewandowski, j. 10-5-2011, 1ª T, DJE de 26-5-2011.]</w:t>
      </w:r>
    </w:p>
    <w:p>
      <w:pPr>
        <w:ind w:left="288"/>
      </w:pPr>
      <w:r>
        <w:rPr>
          <w:color w:val="8C8C8C"/>
          <w:sz w:val="12"/>
        </w:rPr>
        <w:t>cf-art-37-inc-XIII-ali-c</w:t>
      </w:r>
      <w:r>
        <w:rPr>
          <w:color w:val="003CA0"/>
          <w:sz w:val="12"/>
        </w:rPr>
        <w:t xml:space="preserve"> | RE 553.670</w:t>
      </w:r>
      <w:r>
        <w:rPr>
          <w:color w:val="003CA0"/>
          <w:sz w:val="12"/>
        </w:rPr>
        <w:t xml:space="preserve"> | rel. Ellen Gracie</w:t>
      </w:r>
    </w:p>
    <w:p>
      <w:pPr>
        <w:ind w:left="288"/>
      </w:pPr>
      <w:r>
        <w:rPr>
          <w:color w:val="1E1E1E"/>
          <w:sz w:val="18"/>
        </w:rPr>
        <w:t>A CF prevê a possibilidade da acumulação de cargos privativos de profissionais da saúde, em que se incluem os assistentes sociais.</w:t>
      </w:r>
    </w:p>
    <w:p>
      <w:pPr>
        <w:ind w:left="288"/>
      </w:pPr>
      <w:r>
        <w:rPr>
          <w:b/>
          <w:color w:val="003CA0"/>
          <w:sz w:val="16"/>
        </w:rPr>
        <w:t>[RE 553.670 AgR, rel. min. Ellen Gracie, j. 14-9-2010, 2ª T, DJE de 1º-10-2010.]</w:t>
      </w:r>
    </w:p>
    <w:p>
      <w:pPr>
        <w:ind w:left="288"/>
      </w:pPr>
      <w:r>
        <w:rPr>
          <w:color w:val="8C8C8C"/>
          <w:sz w:val="12"/>
        </w:rPr>
        <w:t>cf-art-37-inc-XIII-ali-c</w:t>
      </w:r>
      <w:r>
        <w:rPr>
          <w:color w:val="003CA0"/>
          <w:sz w:val="12"/>
        </w:rPr>
        <w:t xml:space="preserve"> | ARE 823.904</w:t>
      </w:r>
      <w:r>
        <w:rPr>
          <w:color w:val="003CA0"/>
          <w:sz w:val="12"/>
        </w:rPr>
        <w:t xml:space="preserve"> | rel. Luiz Fux</w:t>
      </w:r>
    </w:p>
    <w:p>
      <w:pPr>
        <w:ind w:left="288"/>
      </w:pPr>
      <w:r>
        <w:rPr>
          <w:color w:val="1E1E1E"/>
          <w:sz w:val="18"/>
        </w:rPr>
        <w:t>= ARE 823.904 AgR, rel. min. Luiz Fux, j. 30-9-2014, 1ª T, DJE de 17-10-2014 = RE 721.077, rel. min. Gilmar Mendes, j. 7-12-2012, dec. monocrática, DJE de 13-12-2012 Vide AI 169.323 AgR, rel. min. Carlos Velloso, j. 18-6-1996, 2ª T, DJ de 14-11-1996 O art. 37, XVI, c, da CF autoriza a acumulação de dois cargos de médico, não sendo compatível interpretação ampliativa para abrigar no conceito o cargo de perita criminal com especialidade em medicina veterinária, como ocorre neste mandado de segurança. A especialidade médica não pode ser confundida sequer com a especialidade veterinária. Cada qual</w:t>
      </w:r>
    </w:p>
    <w:p>
      <w:pPr>
        <w:ind w:left="288"/>
      </w:pPr>
      <w:r>
        <w:rPr>
          <w:b/>
          <w:color w:val="003CA0"/>
          <w:sz w:val="16"/>
        </w:rPr>
        <w:t>[RE 248.248, rel. min. Menezes Direito, j. 2-9-2008, 1ª T, DJE de 14-11-2008.]</w:t>
      </w:r>
    </w:p>
    <w:p>
      <w:pPr>
        <w:ind w:left="288"/>
      </w:pPr>
      <w:r>
        <w:rPr>
          <w:color w:val="8C8C8C"/>
          <w:sz w:val="12"/>
        </w:rPr>
        <w:t>cf-art-37-inc-XIII-ali-c</w:t>
      </w:r>
    </w:p>
    <w:p>
      <w:pPr>
        <w:ind w:left="288"/>
      </w:pPr>
      <w:r>
        <w:rPr>
          <w:color w:val="1E1E1E"/>
          <w:sz w:val="18"/>
        </w:rPr>
        <w:t>XVII - a proibição de acumular estende-se a empregos e funções e abrange autarquias, fundações, empresas públicas, sociedades de economia mista, suas subsidiárias, e sociedades controladas, direta ou indiretamente, pelo poder público; (Redação da EC 19/1998)</w:t>
      </w:r>
    </w:p>
    <w:p>
      <w:pPr>
        <w:ind w:left="144"/>
      </w:pPr>
      <w:r>
        <w:rPr>
          <w:b/>
          <w:color w:val="B45A00"/>
          <w:sz w:val="16"/>
        </w:rPr>
        <w:t>CONTROLE CONCENTRADO</w:t>
      </w:r>
    </w:p>
    <w:p>
      <w:pPr>
        <w:ind w:left="288"/>
      </w:pPr>
      <w:r>
        <w:rPr>
          <w:color w:val="8C8C8C"/>
          <w:sz w:val="12"/>
        </w:rPr>
        <w:t>cf-art-37-inc-XIII-ali-c</w:t>
      </w:r>
      <w:r>
        <w:rPr>
          <w:color w:val="003CA0"/>
          <w:sz w:val="12"/>
        </w:rPr>
        <w:t xml:space="preserve"> | ADI 1.485</w:t>
      </w:r>
      <w:r>
        <w:rPr>
          <w:color w:val="003CA0"/>
          <w:sz w:val="12"/>
        </w:rPr>
        <w:t xml:space="preserve"> | rel. Rosa Weber</w:t>
      </w:r>
    </w:p>
    <w:p>
      <w:pPr>
        <w:ind w:left="288"/>
      </w:pPr>
      <w:r>
        <w:rPr>
          <w:color w:val="1E1E1E"/>
          <w:sz w:val="18"/>
        </w:rPr>
        <w:t>A autorização dada pela Lei 9.292/1996 para que servidores públicos participem de conselhos de administração e fiscal das empresas públicas e sociedades de economia mista, suas subsidiárias e controladas, bem como entidades sob controle direto ou indireto da União não contraria a vedação à acumulação remunerada de cargos, empregos e funções públicas trazida nos incisos XVI e XVII do artigo 37 da Constituição, uma vez que essa atuação como conselheiro não representa exercício de cargo ou função pública em sentido estrito.</w:t>
      </w:r>
    </w:p>
    <w:p>
      <w:pPr>
        <w:ind w:left="288"/>
      </w:pPr>
      <w:r>
        <w:rPr>
          <w:b/>
          <w:color w:val="003CA0"/>
          <w:sz w:val="16"/>
        </w:rPr>
        <w:t>[ADI 1.485, rel. min. Rosa Weber, j. 21-2-2020, P, DJE de 9-6-2020.]</w:t>
      </w:r>
    </w:p>
    <w:p>
      <w:pPr>
        <w:ind w:left="144"/>
      </w:pPr>
      <w:r>
        <w:rPr>
          <w:b/>
          <w:color w:val="B45A00"/>
          <w:sz w:val="16"/>
        </w:rPr>
        <w:t>JULGADOS CORRELATOS</w:t>
      </w:r>
    </w:p>
    <w:p>
      <w:pPr>
        <w:ind w:left="288"/>
      </w:pPr>
      <w:r>
        <w:rPr>
          <w:color w:val="8C8C8C"/>
          <w:sz w:val="12"/>
        </w:rPr>
        <w:t>cf-art-37-inc-XIII-ali-c</w:t>
      </w:r>
      <w:r>
        <w:rPr>
          <w:color w:val="003CA0"/>
          <w:sz w:val="12"/>
        </w:rPr>
        <w:t xml:space="preserve"> | MS 27.955</w:t>
      </w:r>
      <w:r>
        <w:rPr>
          <w:color w:val="003CA0"/>
          <w:sz w:val="12"/>
        </w:rPr>
        <w:t xml:space="preserve"> | rel. Roberto Barroso</w:t>
      </w:r>
    </w:p>
    <w:p>
      <w:pPr>
        <w:ind w:left="288"/>
      </w:pPr>
      <w:r>
        <w:rPr>
          <w:color w:val="1E1E1E"/>
          <w:sz w:val="18"/>
        </w:rPr>
        <w:t>Apesar de não ocuparem efetivo cargo público, a função exercida pelos titulares de serventias extrajudiciais possui inegável natureza pública. Dessa forma, aplicável ao caso a vedação prevista no inciso XVII do art. 37 da CF, que estende a proibição de cumulação também para as função públicas.</w:t>
      </w:r>
    </w:p>
    <w:p>
      <w:pPr>
        <w:ind w:left="288"/>
      </w:pPr>
      <w:r>
        <w:rPr>
          <w:b/>
          <w:color w:val="003CA0"/>
          <w:sz w:val="16"/>
        </w:rPr>
        <w:t>[MS 27.955 AgR, rel. min. Roberto Barroso, j. 17-8-2018, 1ª T, DJE de 5-9-2018.]</w:t>
      </w:r>
    </w:p>
    <w:p>
      <w:pPr>
        <w:ind w:left="288"/>
      </w:pPr>
      <w:r>
        <w:rPr>
          <w:color w:val="8C8C8C"/>
          <w:sz w:val="12"/>
        </w:rPr>
        <w:t>cf-art-37-inc-XIII-ali-c</w:t>
      </w:r>
      <w:r>
        <w:rPr>
          <w:color w:val="003CA0"/>
          <w:sz w:val="12"/>
        </w:rPr>
        <w:t xml:space="preserve"> | RMS 23.917</w:t>
      </w:r>
      <w:r>
        <w:rPr>
          <w:color w:val="003CA0"/>
          <w:sz w:val="12"/>
        </w:rPr>
        <w:t xml:space="preserve"> | rel. Ricardo Lewandowski</w:t>
      </w:r>
    </w:p>
    <w:p>
      <w:pPr>
        <w:ind w:left="288"/>
      </w:pPr>
      <w:r>
        <w:rPr>
          <w:color w:val="1E1E1E"/>
          <w:sz w:val="18"/>
        </w:rPr>
        <w:t>O acórdão recorrido entendeu que o servidor público que exerce três cargos ou empregos públicos de médico – um no INSS, outro na Secretaria Estadual de Saúde e Meio Ambiente e outro junto a hospital controlado pela União – incorre em acumulação ilegal de cargos. O STF tem reconhecido a presunção de má-fé do servidor que, embora notificado, não faz a opção que lhe compete. Demissão do recorrente que se assentou em processo administrativo regular, verificada a ocorrência dos requisitos do art. 133, § 6º, da Lei 8.112/1990.</w:t>
      </w:r>
    </w:p>
    <w:p>
      <w:pPr>
        <w:ind w:left="288"/>
      </w:pPr>
      <w:r>
        <w:rPr>
          <w:b/>
          <w:color w:val="003CA0"/>
          <w:sz w:val="16"/>
        </w:rPr>
        <w:t>[RMS 23.917, rel. min. Ricardo Lewandowski, j. 2-9-2008, 1ª T, DJE de 19-9-2008.]</w:t>
      </w:r>
    </w:p>
    <w:p>
      <w:pPr>
        <w:ind w:left="288"/>
      </w:pPr>
      <w:r>
        <w:rPr>
          <w:color w:val="8C8C8C"/>
          <w:sz w:val="12"/>
        </w:rPr>
        <w:t>cf-art-37-inc-XIII-ali-c</w:t>
      </w:r>
      <w:r>
        <w:rPr>
          <w:color w:val="003CA0"/>
          <w:sz w:val="12"/>
        </w:rPr>
        <w:t xml:space="preserve"> | RMS 24.249</w:t>
      </w:r>
      <w:r>
        <w:rPr>
          <w:color w:val="003CA0"/>
          <w:sz w:val="12"/>
        </w:rPr>
        <w:t xml:space="preserve"> | rel. Eros Grau</w:t>
      </w:r>
    </w:p>
    <w:p>
      <w:pPr>
        <w:ind w:left="288"/>
      </w:pPr>
      <w:r>
        <w:rPr>
          <w:color w:val="1E1E1E"/>
          <w:sz w:val="18"/>
        </w:rPr>
        <w:t>Para efeitos do disposto no art. 37, XVII, da Constituição, são sociedades de economia mista aquelas – anônimas ou não – sob o controle da União, dos Estados-membros, do Distrito Federal ou dos Municípios, independentemente da circunstância de terem sido "criadas por lei". Configura-se a má-fé do servidor que acumula cargos públicos de forma ilegal quando, embora devidamente notificado para optar por um dos cargos, não o faz, consubstanciando, sua omissão, disposição de persistir na prática do ilícito.</w:t>
      </w:r>
    </w:p>
    <w:p>
      <w:pPr>
        <w:ind w:left="288"/>
      </w:pPr>
      <w:r>
        <w:rPr>
          <w:b/>
          <w:color w:val="003CA0"/>
          <w:sz w:val="16"/>
        </w:rPr>
        <w:t>[RMS 24.249, rel. min. Eros Grau, j. 14-9-2004, 1ª T, DJ de 3-6-2005.]</w:t>
      </w:r>
    </w:p>
    <w:p>
      <w:pPr>
        <w:ind w:left="288"/>
      </w:pPr>
      <w:r>
        <w:rPr>
          <w:color w:val="8C8C8C"/>
          <w:sz w:val="12"/>
        </w:rPr>
        <w:t>cf-art-37-inc-XIII-ali-c</w:t>
      </w:r>
      <w:r>
        <w:rPr>
          <w:color w:val="003CA0"/>
          <w:sz w:val="12"/>
        </w:rPr>
        <w:t xml:space="preserve"> | RE 169.807</w:t>
      </w:r>
      <w:r>
        <w:rPr>
          <w:color w:val="003CA0"/>
          <w:sz w:val="12"/>
        </w:rPr>
        <w:t xml:space="preserve"> | rel. Carlos Velloso</w:t>
      </w:r>
    </w:p>
    <w:p>
      <w:pPr>
        <w:ind w:left="288"/>
      </w:pPr>
      <w:r>
        <w:rPr>
          <w:color w:val="1E1E1E"/>
          <w:sz w:val="18"/>
        </w:rPr>
        <w:t>É possível a acumulação de um cargo de professor com um emprego (celetista) de professor. Interpretação harmônica dos incisos XVI e XVII do art. 37 da CF.</w:t>
      </w:r>
    </w:p>
    <w:p>
      <w:pPr>
        <w:ind w:left="288"/>
      </w:pPr>
      <w:r>
        <w:rPr>
          <w:b/>
          <w:color w:val="003CA0"/>
          <w:sz w:val="16"/>
        </w:rPr>
        <w:t>[RE 169.807, rel. min. Carlos Velloso, j. 24-6-1996, 2ª T, DJ de 8-11-1996.]</w:t>
      </w:r>
    </w:p>
    <w:p>
      <w:pPr>
        <w:ind w:left="288"/>
      </w:pPr>
      <w:r>
        <w:rPr>
          <w:color w:val="8C8C8C"/>
          <w:sz w:val="12"/>
        </w:rPr>
        <w:t>cf-art-37-inc-XIII-ali-c</w:t>
      </w:r>
    </w:p>
    <w:p>
      <w:pPr>
        <w:ind w:left="288"/>
      </w:pPr>
      <w:r>
        <w:rPr>
          <w:color w:val="1E1E1E"/>
          <w:sz w:val="18"/>
        </w:rPr>
        <w:t>XVIII - a administração fazendária e seus servidores fiscais terão, dentro de suas áreas de competência e jurisdição, precedência sobre os demais setores administrativos, na forma da lei; XIX - somente por lei específica poderá ser criada autarquia e autorizada a instituição de empresa pública, de sociedade de economia mista e de fundação, cabendo à lei complementar, neste último caso, definir as áreas de sua atuação; (Redação da EC 19/1998)</w:t>
      </w:r>
    </w:p>
    <w:p>
      <w:pPr>
        <w:ind w:left="144"/>
      </w:pPr>
      <w:r>
        <w:rPr>
          <w:b/>
          <w:color w:val="B45A00"/>
          <w:sz w:val="16"/>
        </w:rPr>
        <w:t>CONTROLE CONCENTRADO</w:t>
      </w:r>
    </w:p>
    <w:p>
      <w:pPr>
        <w:ind w:left="288"/>
      </w:pPr>
      <w:r>
        <w:rPr>
          <w:color w:val="8C8C8C"/>
          <w:sz w:val="12"/>
        </w:rPr>
        <w:t>cf-art-37-inc-XIII-ali-c</w:t>
      </w:r>
      <w:r>
        <w:rPr>
          <w:color w:val="003CA0"/>
          <w:sz w:val="12"/>
        </w:rPr>
        <w:t xml:space="preserve"> | ADI 6.291</w:t>
      </w:r>
      <w:r>
        <w:rPr>
          <w:color w:val="003CA0"/>
          <w:sz w:val="12"/>
        </w:rPr>
        <w:t xml:space="preserve"> | rel. Cristiano Zanin</w:t>
      </w:r>
    </w:p>
    <w:p>
      <w:pPr>
        <w:ind w:left="288"/>
      </w:pPr>
      <w:r>
        <w:rPr>
          <w:color w:val="1E1E1E"/>
          <w:sz w:val="18"/>
        </w:rPr>
        <w:t>Emenda constitucional n. 77/2019, do Rio Grande do Sul. Revogação da obrigatoriedade de plebiscito para o processo de privatização de empresas estatais. Exercício da discricionariedade do poder legislativo estadual. Opção legislativa que atende os requisitos constitucionais.</w:t>
        <w:br/>
        <w:t>[ADI 6.291, rel. min. Cristiano Zanin, j. 28.10.2024, P, DJE de 08.11.2024.] As agências reguladoras independentes são autarquias de regime especial, caracterizadas por independência administrativa, ausência de subordinação hierárquica, mandato fixo, estabilidade de seus dirigentes e autonomia financeira. Esse regime espec</w:t>
      </w:r>
    </w:p>
    <w:p>
      <w:pPr>
        <w:ind w:left="288"/>
      </w:pPr>
      <w:r>
        <w:rPr>
          <w:b/>
          <w:color w:val="003CA0"/>
          <w:sz w:val="16"/>
        </w:rPr>
        <w:t>[ADI 6.241, rel. min. Cármen Lúcia, j. 8-2-2021, P, DJE de 22-3-2021.]</w:t>
      </w:r>
    </w:p>
    <w:p>
      <w:pPr>
        <w:ind w:left="288"/>
      </w:pPr>
      <w:r>
        <w:rPr>
          <w:color w:val="8C8C8C"/>
          <w:sz w:val="12"/>
        </w:rPr>
        <w:t>cf-art-37-inc-XIII-ali-c</w:t>
      </w:r>
      <w:r>
        <w:rPr>
          <w:color w:val="003CA0"/>
          <w:sz w:val="12"/>
        </w:rPr>
        <w:t xml:space="preserve"> | ADI 4.895</w:t>
      </w:r>
      <w:r>
        <w:rPr>
          <w:color w:val="003CA0"/>
          <w:sz w:val="12"/>
        </w:rPr>
        <w:t xml:space="preserve"> | rel. Cármen Lúcia</w:t>
      </w:r>
    </w:p>
    <w:p>
      <w:pPr>
        <w:ind w:left="288"/>
      </w:pPr>
      <w:r>
        <w:rPr>
          <w:color w:val="1E1E1E"/>
          <w:sz w:val="18"/>
        </w:rPr>
        <w:t>A lei específica autorizadora da criação das estatais é a ordinária, restringindo-se a exigência de lei complementar aos casos expressamente elencados na Constituição da República. No inc. XIX do art. 37 da Constituição, alterado pela Emenda Constitucional 19/1998, ao ser determinada a edição de lei complementar para a regulamentação das áreas de atuação, o poder constituinte derivado fez alusão tão somente às fundações. A interpretação gramatical deixa certo que a expressão ‘neste último caso’, no singular, refere-se ao antecedente ‘fundação’. A interpretação sistemática da Constituição també</w:t>
      </w:r>
    </w:p>
    <w:p>
      <w:pPr>
        <w:ind w:left="288"/>
      </w:pPr>
      <w:r>
        <w:rPr>
          <w:b/>
          <w:color w:val="003CA0"/>
          <w:sz w:val="16"/>
        </w:rPr>
        <w:t>[ADI 4.895, voto da rel. min. Cármen Lúcia, j. 7-12-2020, P, DJE de 4-2-2021.]</w:t>
      </w:r>
    </w:p>
    <w:p>
      <w:pPr>
        <w:ind w:left="288"/>
      </w:pPr>
      <w:r>
        <w:rPr>
          <w:color w:val="8C8C8C"/>
          <w:sz w:val="12"/>
        </w:rPr>
        <w:t>cf-art-37-inc-XIII-ali-c</w:t>
      </w:r>
      <w:r>
        <w:rPr>
          <w:color w:val="003CA0"/>
          <w:sz w:val="12"/>
        </w:rPr>
        <w:t xml:space="preserve"> | ADI 4.247</w:t>
      </w:r>
      <w:r>
        <w:rPr>
          <w:color w:val="003CA0"/>
          <w:sz w:val="12"/>
        </w:rPr>
        <w:t xml:space="preserve"> | rel. Marco Aurélio</w:t>
      </w:r>
    </w:p>
    <w:p>
      <w:pPr>
        <w:ind w:left="288"/>
      </w:pPr>
      <w:r>
        <w:rPr>
          <w:color w:val="1E1E1E"/>
          <w:sz w:val="18"/>
        </w:rPr>
        <w:t>A fundação, pouco importando a espécie de serviços a serem prestados, é pessoa jurídica de direito privado, sendo possível a criação mediante lei ordinária e a regência, pela Consolidação das Leis do Trabalho, da relação jurídica mantida com os prestadores de serviços.</w:t>
      </w:r>
    </w:p>
    <w:p>
      <w:pPr>
        <w:ind w:left="288"/>
      </w:pPr>
      <w:r>
        <w:rPr>
          <w:b/>
          <w:color w:val="003CA0"/>
          <w:sz w:val="16"/>
        </w:rPr>
        <w:t>[ADI 4.247, rel. min. Marco Aurélio, j. 4-11-2020, P, DJE de 8-3-2021.]</w:t>
      </w:r>
    </w:p>
    <w:p>
      <w:pPr>
        <w:ind w:left="288"/>
      </w:pPr>
      <w:r>
        <w:rPr>
          <w:color w:val="8C8C8C"/>
          <w:sz w:val="12"/>
        </w:rPr>
        <w:t>cf-art-37-inc-XIII-ali-c</w:t>
      </w:r>
      <w:r>
        <w:rPr>
          <w:color w:val="003CA0"/>
          <w:sz w:val="12"/>
        </w:rPr>
        <w:t xml:space="preserve"> | ADI 5.624</w:t>
      </w:r>
      <w:r>
        <w:rPr>
          <w:color w:val="003CA0"/>
          <w:sz w:val="12"/>
        </w:rPr>
        <w:t xml:space="preserve"> | rel. Ricardo Lewandowski</w:t>
      </w:r>
    </w:p>
    <w:p>
      <w:pPr>
        <w:ind w:left="288"/>
      </w:pPr>
      <w:r>
        <w:rPr>
          <w:color w:val="1E1E1E"/>
          <w:sz w:val="18"/>
        </w:rPr>
        <w:t>A alienação do controle acionário de empresas públicas e sociedades de economia mista exige autorização legislativa e licitação pública. A transferência do controle de subsidiárias e controladas não exige a anuência do Poder Legislativo e poderá ser operacionalizada sem processo de licitação pública, desde que garantida a competitividade entre os potenciais interessados e observados os princípios da administração pública constantes do art. 37 da Constituição da República.</w:t>
      </w:r>
    </w:p>
    <w:p>
      <w:pPr>
        <w:ind w:left="288"/>
      </w:pPr>
      <w:r>
        <w:rPr>
          <w:b/>
          <w:color w:val="003CA0"/>
          <w:sz w:val="16"/>
        </w:rPr>
        <w:t>[ADI 5.624 MC REF, rel. min. Ricardo Lewandowski, j. 6-6-2019, P, DJE de 29-11-2019.]</w:t>
      </w:r>
    </w:p>
    <w:p>
      <w:pPr>
        <w:ind w:left="288"/>
      </w:pPr>
      <w:r>
        <w:rPr>
          <w:color w:val="8C8C8C"/>
          <w:sz w:val="12"/>
        </w:rPr>
        <w:t>cf-art-37-inc-XIII-ali-c</w:t>
      </w:r>
      <w:r>
        <w:rPr>
          <w:color w:val="003CA0"/>
          <w:sz w:val="12"/>
        </w:rPr>
        <w:t xml:space="preserve"> | ADI 234</w:t>
      </w:r>
      <w:r>
        <w:rPr>
          <w:color w:val="003CA0"/>
          <w:sz w:val="12"/>
        </w:rPr>
        <w:t xml:space="preserve"> | rel. Cármen Lúcia</w:t>
      </w:r>
    </w:p>
    <w:p>
      <w:pPr>
        <w:ind w:left="288"/>
      </w:pPr>
      <w:r>
        <w:rPr>
          <w:color w:val="1E1E1E"/>
          <w:sz w:val="18"/>
        </w:rPr>
        <w:t>No julgamento da ADI 234/RJ, ao apreciar dispositivos da Constituição do Rio de Janeiro que vedavam a alienação de ações de sociedades de economia mista estaduais, o STF conferiu interpretação conforme à Constituição da República, no sentido de serem admitidas essas alienações, condicionando-as à autorização legislativa, por lei em sentido formal, tão somente quando importarem em perda do controle acionário por parte do Estado. Naquela assentada, se decidiu também que o chefe do Poder Executivo estadual não poderia ser privado da competência para dispor sobre a organização e o funcionamento da</w:t>
      </w:r>
    </w:p>
    <w:p>
      <w:pPr>
        <w:ind w:left="288"/>
      </w:pPr>
      <w:r>
        <w:rPr>
          <w:b/>
          <w:color w:val="003CA0"/>
          <w:sz w:val="16"/>
        </w:rPr>
        <w:t>[ADI 1.348, rel. min. Cármen Lúcia, j. 21-2-2008, P, DJE de 7-3-2008.]</w:t>
      </w:r>
    </w:p>
    <w:p>
      <w:pPr>
        <w:ind w:left="288"/>
      </w:pPr>
      <w:r>
        <w:rPr>
          <w:color w:val="8C8C8C"/>
          <w:sz w:val="12"/>
        </w:rPr>
        <w:t>cf-art-37-inc-XIII-ali-c</w:t>
      </w:r>
      <w:r>
        <w:rPr>
          <w:color w:val="003CA0"/>
          <w:sz w:val="12"/>
        </w:rPr>
        <w:t xml:space="preserve"> | RE 1.249.945</w:t>
      </w:r>
      <w:r>
        <w:rPr>
          <w:color w:val="003CA0"/>
          <w:sz w:val="12"/>
        </w:rPr>
        <w:t xml:space="preserve"> | rel. Flávio Dino</w:t>
      </w:r>
    </w:p>
    <w:p>
      <w:pPr>
        <w:ind w:left="288"/>
      </w:pPr>
      <w:r>
        <w:rPr>
          <w:color w:val="1E1E1E"/>
          <w:sz w:val="18"/>
        </w:rPr>
        <w:t>“É constitucional o art. 2º, I, da Lei nº 11.101/2005 quanto à inaplicabilidade do regime falimentar às empresas públicas e sociedades de economia mista, ainda que desempenhem atividades em regime de concorrência com a iniciativa privada, em razão do eminente interesse público/coletivo na sua criação e da necessidade de observância do princípio do paralelismo das formas”.</w:t>
      </w:r>
    </w:p>
    <w:p>
      <w:pPr>
        <w:ind w:left="288"/>
      </w:pPr>
      <w:r>
        <w:rPr>
          <w:b/>
          <w:color w:val="003CA0"/>
          <w:sz w:val="16"/>
        </w:rPr>
        <w:t>[RE 1.249.945, rel. min. Flávio Dino, j. 20.10.2025, P, DJE de 23.10.2025, Tema 1.101, com mérito julgado.]</w:t>
      </w:r>
    </w:p>
    <w:p>
      <w:pPr>
        <w:ind w:left="144"/>
      </w:pPr>
      <w:r>
        <w:rPr>
          <w:b/>
          <w:color w:val="B45A00"/>
          <w:sz w:val="16"/>
        </w:rPr>
        <w:t>JULGADOS CORRELATOS</w:t>
      </w:r>
    </w:p>
    <w:p>
      <w:pPr>
        <w:ind w:left="288"/>
      </w:pPr>
      <w:r>
        <w:rPr>
          <w:color w:val="8C8C8C"/>
          <w:sz w:val="12"/>
        </w:rPr>
        <w:t>cf-art-37-inc-XIII-ali-c</w:t>
      </w:r>
      <w:r>
        <w:rPr>
          <w:color w:val="003CA0"/>
          <w:sz w:val="12"/>
        </w:rPr>
        <w:t xml:space="preserve"> | MS 26.117</w:t>
      </w:r>
      <w:r>
        <w:rPr>
          <w:color w:val="003CA0"/>
          <w:sz w:val="12"/>
        </w:rPr>
        <w:t xml:space="preserve"> | rel. Eros Grau</w:t>
      </w:r>
    </w:p>
    <w:p>
      <w:pPr>
        <w:ind w:left="288"/>
      </w:pPr>
      <w:r>
        <w:rPr>
          <w:color w:val="1E1E1E"/>
          <w:sz w:val="18"/>
        </w:rPr>
        <w:t>A circunstância de a sociedade de economia mista não ter sido criada por lei não afasta a competência do Tribunal de Contas. São sociedades de economia mista, inclusive para os efeitos do art. 37, XIX, da Constituição do Brasil/1988, aquelas – anônimas ou não – sob o controle da União, dos Estados-membros, do Distrito Federal ou dos Municípios, independentemente da circunstância de terem sido criadas por lei.</w:t>
      </w:r>
    </w:p>
    <w:p>
      <w:pPr>
        <w:ind w:left="288"/>
      </w:pPr>
      <w:r>
        <w:rPr>
          <w:b/>
          <w:color w:val="003CA0"/>
          <w:sz w:val="16"/>
        </w:rPr>
        <w:t>[MS 26.117, rel. min. Eros Grau, j. 20-5-2009, P, DJE de 6-11-2009.]</w:t>
      </w:r>
    </w:p>
    <w:p>
      <w:pPr>
        <w:ind w:left="288"/>
      </w:pPr>
      <w:r>
        <w:rPr>
          <w:color w:val="8C8C8C"/>
          <w:sz w:val="12"/>
        </w:rPr>
        <w:t>cf-art-37-inc-XIII-ali-c</w:t>
      </w:r>
      <w:r>
        <w:rPr>
          <w:color w:val="003CA0"/>
          <w:sz w:val="12"/>
        </w:rPr>
        <w:t xml:space="preserve"> | RMS 24.249</w:t>
      </w:r>
      <w:r>
        <w:rPr>
          <w:color w:val="003CA0"/>
          <w:sz w:val="12"/>
        </w:rPr>
        <w:t xml:space="preserve"> | rel. Eros Grau</w:t>
      </w:r>
    </w:p>
    <w:p>
      <w:pPr>
        <w:ind w:left="288"/>
      </w:pPr>
      <w:r>
        <w:rPr>
          <w:color w:val="1E1E1E"/>
          <w:sz w:val="18"/>
        </w:rPr>
        <w:t>Vide RMS 24.249, rel. min. Eros Grau, j. 14-9-2004, 1ª T, DJ de 3-6-2005 O Sebrae [Serviço Brasileiro de Apoio às Micro e Pequenas Empresas] não corresponde à noção constitucional de autarquia, que, para começar, há de ser criada por lei específica (CF, art. 37, XIX) e não na forma de sociedade civil, com personalidade de direito privado, como é o caso do recorrido. Por isso, o disposto no art. 20, f, da Lei 4.717/1965, Lei de Ação Popular (LAP), para não se chocar com a Constituição, há de ter o seu alcance reduzido: não transforma em autarquia as entidades de direito privado que recebam e ap</w:t>
      </w:r>
    </w:p>
    <w:p>
      <w:pPr>
        <w:ind w:left="288"/>
      </w:pPr>
      <w:r>
        <w:rPr>
          <w:b/>
          <w:color w:val="003CA0"/>
          <w:sz w:val="16"/>
        </w:rPr>
        <w:t>[RE 366.168, rel. min. Sepúlveda Pertence, j. 3-2-2004, 1ª T, DJ de 14-5-2004.]</w:t>
      </w:r>
    </w:p>
    <w:p>
      <w:pPr>
        <w:ind w:left="144"/>
      </w:pPr>
      <w:r>
        <w:rPr>
          <w:b/>
          <w:color w:val="B45A00"/>
          <w:sz w:val="16"/>
        </w:rPr>
        <w:t>CONTROLE CONCENTRADO</w:t>
      </w:r>
    </w:p>
    <w:p>
      <w:pPr>
        <w:ind w:left="288"/>
      </w:pPr>
      <w:r>
        <w:rPr>
          <w:color w:val="8C8C8C"/>
          <w:sz w:val="12"/>
        </w:rPr>
        <w:t>cf-art-37-inc-XX</w:t>
      </w:r>
      <w:r>
        <w:rPr>
          <w:color w:val="003CA0"/>
          <w:sz w:val="12"/>
        </w:rPr>
        <w:t xml:space="preserve"> | ADI 5.624</w:t>
      </w:r>
      <w:r>
        <w:rPr>
          <w:color w:val="003CA0"/>
          <w:sz w:val="12"/>
        </w:rPr>
        <w:t xml:space="preserve"> | rel. Ricardo Lewandowski</w:t>
      </w:r>
    </w:p>
    <w:p>
      <w:pPr>
        <w:ind w:left="288"/>
      </w:pPr>
      <w:r>
        <w:rPr>
          <w:color w:val="1E1E1E"/>
          <w:sz w:val="18"/>
        </w:rPr>
        <w:t>A alienação do controle acionário de empresas públicas e sociedades de economia mista exige autorização legislativa e licitação pública. A transferência do controle de subsidiárias e controladas não exige a anuência do Poder Legislativo e poderá ser operacionalizada sem processo de licitação pública, desde que garantida a competitividade entre os potenciais interessados e observados os princípios da administração pública constantes do art. 37 da Constituição da República.</w:t>
      </w:r>
    </w:p>
    <w:p>
      <w:pPr>
        <w:ind w:left="288"/>
      </w:pPr>
      <w:r>
        <w:rPr>
          <w:b/>
          <w:color w:val="003CA0"/>
          <w:sz w:val="16"/>
        </w:rPr>
        <w:t>[ADI 5.624 MC REF, rel. min. Ricardo Lewandowski, j. 6-6-2019, P, DJE de 29-11-2019.]</w:t>
      </w:r>
    </w:p>
    <w:p>
      <w:pPr>
        <w:ind w:left="288"/>
      </w:pPr>
      <w:r>
        <w:rPr>
          <w:color w:val="8C8C8C"/>
          <w:sz w:val="12"/>
        </w:rPr>
        <w:t>cf-art-37-inc-XX</w:t>
      </w:r>
      <w:r>
        <w:rPr>
          <w:color w:val="003CA0"/>
          <w:sz w:val="12"/>
        </w:rPr>
        <w:t xml:space="preserve"> | ADI 1.491</w:t>
      </w:r>
    </w:p>
    <w:p>
      <w:pPr>
        <w:ind w:left="288"/>
      </w:pPr>
      <w:r>
        <w:rPr>
          <w:color w:val="1E1E1E"/>
          <w:sz w:val="18"/>
        </w:rPr>
        <w:t xml:space="preserve">Medida cautelar. Ação direta de inconstitucionalidade. Arts. 4º; 5º; 8º, § 2º; 10; e 13 da Lei 9.295/1996. Telecomunicações. Alegada violação dos arts. 2º; 5º; 21, XI; 37, XX e XXI; 66, § 2º; 170, IV e V; e 175 da CF. Não ocorrência. Medida cautelar indeferida. (...) É dispensável a autorização legislativa para a criação de empresas subsidiárias, desde que haja previsão para esse fim na lei de instituição da empresa pública, sociedade de economia mista ou fundação matriz, tendo em vista que a lei criadora é também a medida autorizadora. O Serviço de Valor Adicionado (SVA), previsto no art. 10 </w:t>
      </w:r>
    </w:p>
    <w:p>
      <w:pPr>
        <w:ind w:left="288"/>
      </w:pPr>
      <w:r>
        <w:rPr>
          <w:b/>
          <w:color w:val="003CA0"/>
          <w:sz w:val="16"/>
        </w:rPr>
        <w:t>[ADI 1.491 MC, red. do ac. min. Ricardo Lewandowski, j. 8-5-2014, P, DJE de 30-10-2014.]</w:t>
      </w:r>
    </w:p>
    <w:p>
      <w:pPr>
        <w:ind w:left="288"/>
      </w:pPr>
      <w:r>
        <w:rPr>
          <w:color w:val="8C8C8C"/>
          <w:sz w:val="12"/>
        </w:rPr>
        <w:t>cf-art-37-inc-XX</w:t>
      </w:r>
      <w:r>
        <w:rPr>
          <w:color w:val="003CA0"/>
          <w:sz w:val="12"/>
        </w:rPr>
        <w:t xml:space="preserve"> | ADI 1.649</w:t>
      </w:r>
      <w:r>
        <w:rPr>
          <w:color w:val="003CA0"/>
          <w:sz w:val="12"/>
        </w:rPr>
        <w:t xml:space="preserve"> | rel. Maurício Corrêa</w:t>
      </w:r>
    </w:p>
    <w:p>
      <w:pPr>
        <w:ind w:left="288"/>
      </w:pPr>
      <w:r>
        <w:rPr>
          <w:color w:val="1E1E1E"/>
          <w:sz w:val="18"/>
        </w:rPr>
        <w:t>= ADI 1.649, rel. min. Maurício Corrêa, j. 24-3-2004, P, DJ de 28-5-2004</w:t>
      </w:r>
    </w:p>
    <w:p>
      <w:pPr>
        <w:ind w:left="144"/>
      </w:pPr>
      <w:r>
        <w:rPr>
          <w:b/>
          <w:color w:val="B45A00"/>
          <w:sz w:val="16"/>
        </w:rPr>
        <w:t>JULGADOS CORRELATOS</w:t>
      </w:r>
    </w:p>
    <w:p>
      <w:pPr>
        <w:ind w:left="288"/>
      </w:pPr>
      <w:r>
        <w:rPr>
          <w:color w:val="8C8C8C"/>
          <w:sz w:val="12"/>
        </w:rPr>
        <w:t>cf-art-37-inc-XX</w:t>
      </w:r>
      <w:r>
        <w:rPr>
          <w:color w:val="003CA0"/>
          <w:sz w:val="12"/>
        </w:rPr>
        <w:t xml:space="preserve"> | RCL 42.576</w:t>
      </w:r>
    </w:p>
    <w:p>
      <w:pPr>
        <w:ind w:left="288"/>
      </w:pPr>
      <w:r>
        <w:rPr>
          <w:color w:val="1E1E1E"/>
          <w:sz w:val="18"/>
        </w:rPr>
        <w:t>Pelo inc. XIX do art. 37 da Constituição da República, a autorização legislativa para criação de sociedade de economia mista há de ser dada por lei específica, mas, para a criação das subsidiárias, no inc. XX do mesmo art. 37, exige -se apenas autorização legislativa genérica. No caso da Petróleo Brasileiro S/A – Petrobras, essa autorização foi dada pela Lei n. 9.478/1997, pela qual se dispõe sobre a política energética nacional e sobre as atividades referentes ao monopólio do petróleo e se instituem o Conselho Nacional de Política Energética e a Agência Nacional do Petróleo.</w:t>
      </w:r>
    </w:p>
    <w:p>
      <w:pPr>
        <w:ind w:left="288"/>
      </w:pPr>
      <w:r>
        <w:rPr>
          <w:b/>
          <w:color w:val="003CA0"/>
          <w:sz w:val="16"/>
        </w:rPr>
        <w:t>[Rcl 42.576-MC, red. do ac. min. Alexandre de Moraes, voto da min. Cármen Lúcia, j. 1º-10-2020, P, DJE de 17-6-2021.]</w:t>
      </w:r>
    </w:p>
    <w:p>
      <w:pPr>
        <w:ind w:left="288"/>
      </w:pPr>
      <w:r>
        <w:rPr>
          <w:color w:val="8C8C8C"/>
          <w:sz w:val="12"/>
        </w:rPr>
        <w:t>cf-art-37-inc-XX</w:t>
      </w:r>
      <w:r>
        <w:rPr>
          <w:color w:val="003CA0"/>
          <w:sz w:val="12"/>
        </w:rPr>
        <w:t xml:space="preserve"> | ADI 3.816</w:t>
      </w:r>
      <w:r>
        <w:rPr>
          <w:color w:val="003CA0"/>
          <w:sz w:val="12"/>
        </w:rPr>
        <w:t xml:space="preserve"> | rel. Nunes Marques</w:t>
      </w:r>
    </w:p>
    <w:p>
      <w:pPr>
        <w:ind w:left="288"/>
      </w:pPr>
      <w:r>
        <w:rPr>
          <w:color w:val="1E1E1E"/>
          <w:sz w:val="18"/>
        </w:rPr>
        <w:t>XXI - ressalvados os casos especificados na legislação, as obras, serviços, compras e alienações serão contratados mediante processo de licitação pública que assegure igualdade de condições a todos os concorrentes, com cláusulas que estabeleçam obrigações de pagamento, mantidas as condições efetivas da proposta, nos termos da lei, o qual somente permitirá as exigências de qualificação técnica e econômica indispensáveis à garantia do cumprimento das obrigações. A previsão de isenção de pedágio para veículos de pessoas com deficiência não configura, por si só, à míngua de elementos precisos, alt</w:t>
      </w:r>
    </w:p>
    <w:p>
      <w:pPr>
        <w:ind w:left="288"/>
      </w:pPr>
      <w:r>
        <w:rPr>
          <w:b/>
          <w:color w:val="003CA0"/>
          <w:sz w:val="16"/>
        </w:rPr>
        <w:t>[ADI 3.816, rel. min. Nunes Marques, j. 31.03.2025, P, DJE de 11.04.2025.]</w:t>
      </w:r>
    </w:p>
    <w:p>
      <w:pPr>
        <w:ind w:left="144"/>
      </w:pPr>
      <w:r>
        <w:rPr>
          <w:b/>
          <w:color w:val="B45A00"/>
          <w:sz w:val="16"/>
        </w:rPr>
        <w:t>CONTROLE CONCENTRADO</w:t>
      </w:r>
    </w:p>
    <w:p>
      <w:pPr>
        <w:ind w:left="288"/>
      </w:pPr>
      <w:r>
        <w:rPr>
          <w:color w:val="8C8C8C"/>
          <w:sz w:val="12"/>
        </w:rPr>
        <w:t>cf-art-37-inc-XX</w:t>
      </w:r>
      <w:r>
        <w:rPr>
          <w:color w:val="003CA0"/>
          <w:sz w:val="12"/>
        </w:rPr>
        <w:t xml:space="preserve"> | ADI 4.716</w:t>
      </w:r>
      <w:r>
        <w:rPr>
          <w:color w:val="003CA0"/>
          <w:sz w:val="12"/>
        </w:rPr>
        <w:t xml:space="preserve"> | rel. Dias Toffoli</w:t>
      </w:r>
    </w:p>
    <w:p>
      <w:pPr>
        <w:ind w:left="288"/>
      </w:pPr>
      <w:r>
        <w:rPr>
          <w:color w:val="1E1E1E"/>
          <w:sz w:val="18"/>
        </w:rPr>
        <w:t>“1. É constitucional a recusa de emissão de Certidão Negativa de Débitos Trabalhistas (CNDT) nas hipóteses determinadas no art. 642-A, § 1º, da Consolidação das Leis do Trabalho (CLT), com a redação conferida pela Lei nº 12.440/11; e 2. É constitucional a exigência de apresentação de CNDT nos processos licitatórios como requisito de comprovação de regularidade trabalhista”.</w:t>
        <w:br/>
        <w:t>[ADI 4.716 e ADI 4.742, rel. min. Dias Toffoli, j. 30.09.2024, P, DJE de 11.10.2024.] É constitucional a vedação à recontratação de empresa contratada diretamente por dispensa de licitação nos casos de emergência ou calamid</w:t>
      </w:r>
    </w:p>
    <w:p>
      <w:pPr>
        <w:ind w:left="288"/>
      </w:pPr>
      <w:r>
        <w:rPr>
          <w:b/>
          <w:color w:val="003CA0"/>
          <w:sz w:val="16"/>
        </w:rPr>
        <w:t>[ADI 4.645 e ADI 4.655, rel. min. Luiz Fux, j. 12-9-2023, P, DJE de 23-10-2023.]</w:t>
      </w:r>
    </w:p>
    <w:p>
      <w:pPr>
        <w:ind w:left="288"/>
      </w:pPr>
      <w:r>
        <w:rPr>
          <w:color w:val="8C8C8C"/>
          <w:sz w:val="12"/>
        </w:rPr>
        <w:t>cf-art-37-inc-XX</w:t>
      </w:r>
      <w:r>
        <w:rPr>
          <w:color w:val="003CA0"/>
          <w:sz w:val="12"/>
        </w:rPr>
        <w:t xml:space="preserve"> | ADI 6.313</w:t>
      </w:r>
      <w:r>
        <w:rPr>
          <w:color w:val="003CA0"/>
          <w:sz w:val="12"/>
        </w:rPr>
        <w:t xml:space="preserve"> | rel. Alexandre de Moraes</w:t>
      </w:r>
    </w:p>
    <w:p>
      <w:pPr>
        <w:ind w:left="288"/>
      </w:pPr>
      <w:r>
        <w:rPr>
          <w:color w:val="1E1E1E"/>
          <w:sz w:val="18"/>
        </w:rPr>
        <w:t>Por expressa autorização constitucional, o dever de licitar comporta exceções especificadas na legislação ordinária (art. 37, XXI, da CF). Constatadas a inviabilidade de competição e a consequente inexigibilidade de licitação na hipótese, é possível o credenciamento de particulares para, em consonância com os requisitos estabelecidos pelos órgãos competentes, prestar os serviços de fabricação e estampagem de placas de identificação veicular (arts. 6º, XLIII; 74, IV; e 79, II, da Lei 14.133/2021).</w:t>
        <w:br/>
        <w:t>[ADI 6.313, rel. min. Alexandre de Moraes, j. 28-8-2023, P, DJE de 4-9-2023.] Alegação de ofensa a</w:t>
      </w:r>
    </w:p>
    <w:p>
      <w:pPr>
        <w:ind w:left="288"/>
      </w:pPr>
      <w:r>
        <w:rPr>
          <w:b/>
          <w:color w:val="003CA0"/>
          <w:sz w:val="16"/>
        </w:rPr>
        <w:t>[ADI 1.706, rel. min. Eros Grau, j. 9-4-2008, P, DJE de 12-9-2008.]</w:t>
      </w:r>
    </w:p>
    <w:p>
      <w:pPr>
        <w:ind w:left="288"/>
      </w:pPr>
      <w:r>
        <w:rPr>
          <w:color w:val="8C8C8C"/>
          <w:sz w:val="12"/>
        </w:rPr>
        <w:t>cf-art-37-inc-XX</w:t>
      </w:r>
      <w:r>
        <w:rPr>
          <w:color w:val="003CA0"/>
          <w:sz w:val="12"/>
        </w:rPr>
        <w:t xml:space="preserve"> | ADI 2.716</w:t>
      </w:r>
      <w:r>
        <w:rPr>
          <w:color w:val="003CA0"/>
          <w:sz w:val="12"/>
        </w:rPr>
        <w:t xml:space="preserve"> | rel. Eros Grau</w:t>
      </w:r>
    </w:p>
    <w:p>
      <w:pPr>
        <w:ind w:left="288"/>
      </w:pPr>
      <w:r>
        <w:rPr>
          <w:color w:val="1E1E1E"/>
          <w:sz w:val="18"/>
        </w:rPr>
        <w:t>A licitação é um procedimento que visa à satisfação do interesse público, pautando-se pelo princípio da isonomia. Está voltada a um duplo objetivo: o de proporcionar à administração a possibilidade de realizar o negócio mais vantajoso – o melhor negócio – e o de assegurar aos administrados a oportunidade de concorrerem, em igualdade de condições, à contratação pretendida pela administração. (...) Procedimento que visa à satisfação do interesse público, pautando-se pelo princípio da isonomia, a função da licitação é a de viabilizar, através da mais ampla disputa, envolvendo o maior número possí</w:t>
      </w:r>
    </w:p>
    <w:p>
      <w:pPr>
        <w:ind w:left="288"/>
      </w:pPr>
      <w:r>
        <w:rPr>
          <w:b/>
          <w:color w:val="003CA0"/>
          <w:sz w:val="16"/>
        </w:rPr>
        <w:t>[ADI 2.716, rel. min. Eros Grau, j. 29-11-2007, P, DJE de 7-3-2008.]</w:t>
      </w:r>
    </w:p>
    <w:p>
      <w:pPr>
        <w:ind w:left="288"/>
      </w:pPr>
      <w:r>
        <w:rPr>
          <w:color w:val="8C8C8C"/>
          <w:sz w:val="12"/>
        </w:rPr>
        <w:t>cf-art-37-inc-XX</w:t>
      </w:r>
      <w:r>
        <w:rPr>
          <w:color w:val="003CA0"/>
          <w:sz w:val="12"/>
        </w:rPr>
        <w:t xml:space="preserve"> | RE 607.126</w:t>
      </w:r>
      <w:r>
        <w:rPr>
          <w:color w:val="003CA0"/>
          <w:sz w:val="12"/>
        </w:rPr>
        <w:t xml:space="preserve"> | rel. Cármen Lúcia</w:t>
      </w:r>
    </w:p>
    <w:p>
      <w:pPr>
        <w:ind w:left="288"/>
      </w:pPr>
      <w:r>
        <w:rPr>
          <w:color w:val="1E1E1E"/>
          <w:sz w:val="18"/>
        </w:rPr>
        <w:t xml:space="preserve">= RE 607.126 AgR, rel. min. Cármen Lúcia, j. 2-12-2010, 1ª T, DJE de 1º-2-2011 É inconstitucional o preceito segundo o qual, na análise de licitações, serão considerados, para averiguação da proposta mais vantajosa, entre outros itens, os valores relativos aos impostos pagos à Fazenda Pública daquele Estado-membro. Afronta ao princípio da isonomia, igualdade entre todos quantos pretendam acesso às contratações da administração. (...) A Constituição do Brasil exclui quaisquer exigências de qualificação técnica e econômica que não sejam indispensáveis à garantia do cumprimento das obrigações. A </w:t>
      </w:r>
    </w:p>
    <w:p>
      <w:pPr>
        <w:ind w:left="288"/>
      </w:pPr>
      <w:r>
        <w:rPr>
          <w:b/>
          <w:color w:val="003CA0"/>
          <w:sz w:val="16"/>
        </w:rPr>
        <w:t>[ADI 3.070, rel. min. Eros Grau, j. 29-11-2007, P, DJ de 19-12-2007.]</w:t>
      </w:r>
    </w:p>
    <w:p>
      <w:pPr>
        <w:ind w:left="288"/>
      </w:pPr>
      <w:r>
        <w:rPr>
          <w:color w:val="8C8C8C"/>
          <w:sz w:val="12"/>
        </w:rPr>
        <w:t>cf-art-37-inc-XX</w:t>
      </w:r>
      <w:r>
        <w:rPr>
          <w:color w:val="003CA0"/>
          <w:sz w:val="12"/>
        </w:rPr>
        <w:t xml:space="preserve"> | ADI 1.863</w:t>
      </w:r>
      <w:r>
        <w:rPr>
          <w:color w:val="003CA0"/>
          <w:sz w:val="12"/>
        </w:rPr>
        <w:t xml:space="preserve"> | rel. Eros Grau</w:t>
      </w:r>
    </w:p>
    <w:p>
      <w:pPr>
        <w:ind w:left="288"/>
      </w:pPr>
      <w:r>
        <w:rPr>
          <w:color w:val="1E1E1E"/>
          <w:sz w:val="18"/>
        </w:rPr>
        <w:t>Parágrafo único do art. 191 da Lei federal 9.472/1997. (...) Organização dos serviços de telecomunicações. (...) As privatizações – desestatizações – foram implementadas mediante a realização de leilão, modalidade de licitação prevista no art. 22 da Lei 8.666/1993 que a um só tempo transfere o controle acionário da empresa estatal e preserva a delegação de serviço público. O preceito impugnado não é inconstitucional. As empresas estatais privatizadas são delegadas e não concessionárias de serviço público. O fato de não terem celebrado com a União contratos de concessão é questão a ser resolvid</w:t>
      </w:r>
    </w:p>
    <w:p>
      <w:pPr>
        <w:ind w:left="288"/>
      </w:pPr>
      <w:r>
        <w:rPr>
          <w:b/>
          <w:color w:val="003CA0"/>
          <w:sz w:val="16"/>
        </w:rPr>
        <w:t>[ADI 1.863, rel. min. Eros Grau, j. 6-9-2007, P, DJE de 15-2-2008.]</w:t>
      </w:r>
    </w:p>
    <w:p>
      <w:pPr>
        <w:ind w:left="288"/>
      </w:pPr>
      <w:r>
        <w:rPr>
          <w:color w:val="8C8C8C"/>
          <w:sz w:val="12"/>
        </w:rPr>
        <w:t>cf-art-37-inc-XX</w:t>
      </w:r>
      <w:r>
        <w:rPr>
          <w:color w:val="003CA0"/>
          <w:sz w:val="12"/>
        </w:rPr>
        <w:t xml:space="preserve"> | ADI 1.864</w:t>
      </w:r>
      <w:r>
        <w:rPr>
          <w:color w:val="003CA0"/>
          <w:sz w:val="12"/>
        </w:rPr>
        <w:t xml:space="preserve"> | rel. Maurício Corrêa</w:t>
      </w:r>
    </w:p>
    <w:p>
      <w:pPr>
        <w:ind w:left="288"/>
      </w:pPr>
      <w:r>
        <w:rPr>
          <w:color w:val="1E1E1E"/>
          <w:sz w:val="18"/>
        </w:rPr>
        <w:t>A CF, no art. 37, XXI, determina a obrigatoriedade de obediência aos procedimentos licitatórios para a administração pública direta e indireta de qualquer um dos poderes da União, dos Estados, do Distrito Federal e dos Municípios. A mesma regra não existe para as entidades privadas que atuam em colaboração com a administração pública (...).</w:t>
      </w:r>
    </w:p>
    <w:p>
      <w:pPr>
        <w:ind w:left="288"/>
      </w:pPr>
      <w:r>
        <w:rPr>
          <w:b/>
          <w:color w:val="003CA0"/>
          <w:sz w:val="16"/>
        </w:rPr>
        <w:t>[ADI 1.864, red. do ac. min. Joaquim Barbosa, rel. min. Maurício Corrêa, j. 8-8-2007, P, DJE de 2-5-2008.]</w:t>
      </w:r>
    </w:p>
    <w:p>
      <w:pPr>
        <w:ind w:left="288"/>
      </w:pPr>
      <w:r>
        <w:rPr>
          <w:color w:val="8C8C8C"/>
          <w:sz w:val="12"/>
        </w:rPr>
        <w:t>cf-art-37-inc-XX</w:t>
      </w:r>
      <w:r>
        <w:rPr>
          <w:color w:val="003CA0"/>
          <w:sz w:val="12"/>
        </w:rPr>
        <w:t xml:space="preserve"> | ADI 2.990</w:t>
      </w:r>
      <w:r>
        <w:rPr>
          <w:color w:val="003CA0"/>
          <w:sz w:val="12"/>
        </w:rPr>
        <w:t xml:space="preserve"> | rel. Joaquim Barbosa</w:t>
      </w:r>
    </w:p>
    <w:p>
      <w:pPr>
        <w:ind w:left="288"/>
      </w:pPr>
      <w:r>
        <w:rPr>
          <w:color w:val="1E1E1E"/>
          <w:sz w:val="18"/>
        </w:rPr>
        <w:t>Venda de áreas públicas passíveis de se tornarem urbanas. (...) Processo de parcelamento reconhecido pela autoridade pública. Vendas individuais. (...) A dispensa de licitação em geral é definida no art. 24 da Lei 8.666/1993; especificadamente – nos casos de alienação, aforamento, concessão de direito real de uso, locação ou permissão de uso de bens imóveis construídos e destinados ou efetivamente utilizados no âmbito de programas habitacionais ou de regularização fundiária de interesse social, por órgãos ou entidades da administração pública – no seu art. 17, I, f. Há, no caso dos autos, invi</w:t>
      </w:r>
    </w:p>
    <w:p>
      <w:pPr>
        <w:ind w:left="288"/>
      </w:pPr>
      <w:r>
        <w:rPr>
          <w:b/>
          <w:color w:val="003CA0"/>
          <w:sz w:val="16"/>
        </w:rPr>
        <w:t>[ADI 2.990, red. do ac. min. Eros Grau, rel. min. Joaquim Barbosa, j. 18-4-2007, P, DJ de 24-8-2007.]</w:t>
      </w:r>
    </w:p>
    <w:p>
      <w:pPr>
        <w:ind w:left="288"/>
      </w:pPr>
      <w:r>
        <w:rPr>
          <w:color w:val="8C8C8C"/>
          <w:sz w:val="12"/>
        </w:rPr>
        <w:t>cf-art-37-inc-XX</w:t>
      </w:r>
      <w:r>
        <w:rPr>
          <w:color w:val="003CA0"/>
          <w:sz w:val="12"/>
        </w:rPr>
        <w:t xml:space="preserve"> | ADI 3.670</w:t>
      </w:r>
      <w:r>
        <w:rPr>
          <w:color w:val="003CA0"/>
          <w:sz w:val="12"/>
        </w:rPr>
        <w:t xml:space="preserve"> | rel. Sepúlveda Pertence</w:t>
      </w:r>
    </w:p>
    <w:p>
      <w:pPr>
        <w:ind w:left="288"/>
      </w:pPr>
      <w:r>
        <w:rPr>
          <w:color w:val="1E1E1E"/>
          <w:sz w:val="18"/>
        </w:rPr>
        <w:t>Ação direta de inconstitucionalidade: Lei distrital 3.705, de 21-11-2005, que cria restrições a empresas que discriminarem na contratação de mão de obra: inconstitucionalidade declarada. (...) Afronta ao art. 37, XXI, da Constituição da República – norma de observância compulsória pelas ordens locais – segundo o qual a disciplina legal das licitações há de assegurar a "igualdade de condições de todos os concorrentes", o que é incompatível com a proibição de licitar em função de um critério – o da discriminação de empregados inscritos em cadastros restritivos de crédito –, que não tem pertinênc</w:t>
      </w:r>
    </w:p>
    <w:p>
      <w:pPr>
        <w:ind w:left="288"/>
      </w:pPr>
      <w:r>
        <w:rPr>
          <w:b/>
          <w:color w:val="003CA0"/>
          <w:sz w:val="16"/>
        </w:rPr>
        <w:t>[ADI 3.670, rel. min. Sepúlveda Pertence, j. 2-4-2007, P, DJ de 18-5-2007.]</w:t>
      </w:r>
    </w:p>
    <w:p>
      <w:pPr>
        <w:ind w:left="288"/>
      </w:pPr>
      <w:r>
        <w:rPr>
          <w:color w:val="8C8C8C"/>
          <w:sz w:val="12"/>
        </w:rPr>
        <w:t>cf-art-37-inc-XX</w:t>
      </w:r>
      <w:r>
        <w:rPr>
          <w:color w:val="003CA0"/>
          <w:sz w:val="12"/>
        </w:rPr>
        <w:t xml:space="preserve"> | ADI 3.521</w:t>
      </w:r>
      <w:r>
        <w:rPr>
          <w:color w:val="003CA0"/>
          <w:sz w:val="12"/>
        </w:rPr>
        <w:t xml:space="preserve"> | rel. Eros Grau</w:t>
      </w:r>
    </w:p>
    <w:p>
      <w:pPr>
        <w:ind w:left="288"/>
      </w:pPr>
      <w:r>
        <w:rPr>
          <w:color w:val="1E1E1E"/>
          <w:sz w:val="18"/>
        </w:rPr>
        <w:t xml:space="preserve">Arts. 42 e 43 da LC 94/2002 do Estado do Paraná. (...) Violação do disposto no art. 37, XXI; e  art. 175, caput e parágrafo único, I e IV, da CF. (...) O art. 43, acrescentado à LC 94 pela LC 95, autoriza a manutenção, até 2008, de "outorgas vencidas, com caráter precário" ou que estiverem em vigor com prazo indeterminado. Permite ainda que essa prestação se dê em condições irregulares, a manutenção do vínculo estabelecido entre as empresas que atualmente a ela prestam serviços públicos e a administração estadual. Aponta como fundamento das prorrogações o § 2º do art. 42 da Lei federal 8.987, </w:t>
      </w:r>
    </w:p>
    <w:p>
      <w:pPr>
        <w:ind w:left="288"/>
      </w:pPr>
      <w:r>
        <w:rPr>
          <w:b/>
          <w:color w:val="003CA0"/>
          <w:sz w:val="16"/>
        </w:rPr>
        <w:t>[ADI 3.521, rel. min. Eros Grau, j. 28-9-2006, P, DJ de 16-3-2007.]</w:t>
      </w:r>
    </w:p>
    <w:p>
      <w:pPr>
        <w:ind w:left="288"/>
      </w:pPr>
      <w:r>
        <w:rPr>
          <w:color w:val="8C8C8C"/>
          <w:sz w:val="12"/>
        </w:rPr>
        <w:t>cf-art-37-inc-XX</w:t>
      </w:r>
      <w:r>
        <w:rPr>
          <w:color w:val="003CA0"/>
          <w:sz w:val="12"/>
        </w:rPr>
        <w:t xml:space="preserve"> | RE 412.921</w:t>
      </w:r>
      <w:r>
        <w:rPr>
          <w:color w:val="003CA0"/>
          <w:sz w:val="12"/>
        </w:rPr>
        <w:t xml:space="preserve"> | rel. Ricardo Lewandowski</w:t>
      </w:r>
    </w:p>
    <w:p>
      <w:pPr>
        <w:ind w:left="288"/>
      </w:pPr>
      <w:r>
        <w:rPr>
          <w:color w:val="1E1E1E"/>
          <w:sz w:val="18"/>
        </w:rPr>
        <w:t>= RE 412.921 AgR, rel. min. Ricardo Lewandowski, j. 22-2-2011, 1ª T, DJE de 15-3-2011 A lei estadual afeta o equilíbrio econômico-financeiro do contrato de concessão de obra pública, celebrado pela administração capixaba, ao conceder descontos e isenções sem qualquer forma de compensação. Afronta evidente ao princípio da harmonia entre os poderes, harmonia e não separação, na medida em que o Poder Legislativo pretende substituir o Executivo na gestão dos contratos administrativos celebrados.</w:t>
      </w:r>
    </w:p>
    <w:p>
      <w:pPr>
        <w:ind w:left="288"/>
      </w:pPr>
      <w:r>
        <w:rPr>
          <w:b/>
          <w:color w:val="003CA0"/>
          <w:sz w:val="16"/>
        </w:rPr>
        <w:t>[ADI 2.733, rel. min. Eros Grau, j. 26-10-2005, P, DJ de 3-2-2006.]</w:t>
      </w:r>
    </w:p>
    <w:p>
      <w:pPr>
        <w:ind w:left="288"/>
      </w:pPr>
      <w:r>
        <w:rPr>
          <w:color w:val="8C8C8C"/>
          <w:sz w:val="12"/>
        </w:rPr>
        <w:t>cf-art-37-inc-XX</w:t>
      </w:r>
      <w:r>
        <w:rPr>
          <w:color w:val="003CA0"/>
          <w:sz w:val="12"/>
        </w:rPr>
        <w:t xml:space="preserve"> | ADI 651</w:t>
      </w:r>
      <w:r>
        <w:rPr>
          <w:color w:val="003CA0"/>
          <w:sz w:val="12"/>
        </w:rPr>
        <w:t xml:space="preserve"> | rel. Ilmar Galvão</w:t>
      </w:r>
    </w:p>
    <w:p>
      <w:pPr>
        <w:ind w:left="288"/>
      </w:pPr>
      <w:r>
        <w:rPr>
          <w:color w:val="1E1E1E"/>
          <w:sz w:val="18"/>
        </w:rPr>
        <w:t>Venda de imóveis públicos sem a realização da necessária licitação. Contrariedade ao inciso XXI do art. 37 da CF. O ato normativo impugnado, ao possibilitar a venda direta de lotes e moradias em áreas públicas no perímetro urbano de Palmas/TO, viola a exigência de realização de prévia licitação para a alienação de bens públicos, na forma do mencionado dispositivo constitucional.</w:t>
      </w:r>
    </w:p>
    <w:p>
      <w:pPr>
        <w:ind w:left="288"/>
      </w:pPr>
      <w:r>
        <w:rPr>
          <w:b/>
          <w:color w:val="003CA0"/>
          <w:sz w:val="16"/>
        </w:rPr>
        <w:t>[ADI 651, rel. min. Ilmar Galvão, j. 8-8-2002, P, DJ de 20-9-2002.]</w:t>
      </w:r>
    </w:p>
    <w:p>
      <w:pPr>
        <w:ind w:left="288"/>
      </w:pPr>
      <w:r>
        <w:rPr>
          <w:color w:val="8C8C8C"/>
          <w:sz w:val="12"/>
        </w:rPr>
        <w:t>cf-art-37-inc-XX</w:t>
      </w:r>
      <w:r>
        <w:rPr>
          <w:color w:val="003CA0"/>
          <w:sz w:val="12"/>
        </w:rPr>
        <w:t xml:space="preserve"> | ADI 2.337</w:t>
      </w:r>
      <w:r>
        <w:rPr>
          <w:color w:val="003CA0"/>
          <w:sz w:val="12"/>
        </w:rPr>
        <w:t xml:space="preserve"> | rel. Celso de Mello</w:t>
      </w:r>
    </w:p>
    <w:p>
      <w:pPr>
        <w:ind w:left="288"/>
      </w:pPr>
      <w:r>
        <w:rPr>
          <w:color w:val="1E1E1E"/>
          <w:sz w:val="18"/>
        </w:rPr>
        <w:t>Os Estados-membros – que não podem interferir na esfera das relações jurídico-contratuais estabelecidas entre o poder concedente (quando este for a União Federal ou o Município) e as empresas concessionárias – também não dispõem de competência para modificar ou alterar as condições, que, previstas na licitação, acham-se formalmente estipuladas no contrato de concessão celebrado pela União (energia elétrica – CF, art. 21, XII, b) e pelo Município (fornecimento de água – CF, art. 30, I e V), de um lado, com as concessionárias, de outro, notadamente se essa ingerência normativa, ao determinar a s</w:t>
      </w:r>
    </w:p>
    <w:p>
      <w:pPr>
        <w:ind w:left="288"/>
      </w:pPr>
      <w:r>
        <w:rPr>
          <w:b/>
          <w:color w:val="003CA0"/>
          <w:sz w:val="16"/>
        </w:rPr>
        <w:t>[ADI 2.337 MC, rel. min. Celso de Mello, j. 20-2-2002, P, DJ de 21-6-2002.]</w:t>
      </w:r>
    </w:p>
    <w:p>
      <w:pPr>
        <w:ind w:left="288"/>
      </w:pPr>
      <w:r>
        <w:rPr>
          <w:color w:val="8C8C8C"/>
          <w:sz w:val="12"/>
        </w:rPr>
        <w:t>cf-art-37-inc-XX</w:t>
      </w:r>
      <w:r>
        <w:rPr>
          <w:color w:val="003CA0"/>
          <w:sz w:val="12"/>
        </w:rPr>
        <w:t xml:space="preserve"> | ADI 1.824</w:t>
      </w:r>
      <w:r>
        <w:rPr>
          <w:color w:val="003CA0"/>
          <w:sz w:val="12"/>
        </w:rPr>
        <w:t xml:space="preserve"> | rel. Néri da Silveira</w:t>
      </w:r>
    </w:p>
    <w:p>
      <w:pPr>
        <w:ind w:left="288"/>
      </w:pPr>
      <w:r>
        <w:rPr>
          <w:color w:val="1E1E1E"/>
          <w:sz w:val="18"/>
        </w:rPr>
        <w:t>A licitação, no processo de privatização, há de fazer-se com observância dos princípios maiores consignados no art. 37, XXI, da Lei Maior.</w:t>
      </w:r>
    </w:p>
    <w:p>
      <w:pPr>
        <w:ind w:left="288"/>
      </w:pPr>
      <w:r>
        <w:rPr>
          <w:b/>
          <w:color w:val="003CA0"/>
          <w:sz w:val="16"/>
        </w:rPr>
        <w:t>[ADI 1.824 MC, rel. min. Néri da Silveira, j. 10-6-1998, P, DJ de 29-11-2002.]</w:t>
      </w:r>
    </w:p>
    <w:p>
      <w:pPr>
        <w:ind w:left="288"/>
      </w:pPr>
      <w:r>
        <w:rPr>
          <w:color w:val="8C8C8C"/>
          <w:sz w:val="12"/>
        </w:rPr>
        <w:t>cf-art-37-inc-XX</w:t>
      </w:r>
      <w:r>
        <w:rPr>
          <w:color w:val="003CA0"/>
          <w:sz w:val="12"/>
        </w:rPr>
        <w:t xml:space="preserve"> | RE 610.523</w:t>
      </w:r>
      <w:r>
        <w:rPr>
          <w:color w:val="003CA0"/>
          <w:sz w:val="12"/>
        </w:rPr>
        <w:t xml:space="preserve"> | rel. Dias Toffoli</w:t>
      </w:r>
    </w:p>
    <w:p>
      <w:pPr>
        <w:ind w:left="288"/>
      </w:pPr>
      <w:r>
        <w:rPr>
          <w:color w:val="1E1E1E"/>
          <w:sz w:val="18"/>
        </w:rPr>
        <w:t>“a) O dolo é necessário para a configuração de qualquer ato de improbidade administrativa (art. 37, § 4º, da Constituição Federal), de modo que é inconstitucional a modalidade culposa de ato de improbidade administrativa prevista nos arts. 5º e 10 da Lei nº 8.429/92, em sua redação originária. b) São constitucionais os arts. 13, V, e 25, II, da Lei nº 8.666/1993, desde que interpretados no sentido de que a contratação direta de serviços advocatícios pela Administração Pública, por inexigibilidade de licitação, além dos critérios já previstos expressamente (necessidade de procedimento administr</w:t>
      </w:r>
    </w:p>
    <w:p>
      <w:pPr>
        <w:ind w:left="288"/>
      </w:pPr>
      <w:r>
        <w:rPr>
          <w:b/>
          <w:color w:val="003CA0"/>
          <w:sz w:val="16"/>
        </w:rPr>
        <w:t>[RE 610.523 e RE 656.558, rel. min. Dias Toffoli, j. 28.10.2025, P, DJE de 26.02.2025.]</w:t>
      </w:r>
    </w:p>
    <w:p>
      <w:pPr>
        <w:ind w:left="144"/>
      </w:pPr>
      <w:r>
        <w:rPr>
          <w:b/>
          <w:color w:val="B45A00"/>
          <w:sz w:val="16"/>
        </w:rPr>
        <w:t>REPERCUSSAO GERAL</w:t>
      </w:r>
    </w:p>
    <w:p>
      <w:pPr>
        <w:ind w:left="288"/>
      </w:pPr>
      <w:r>
        <w:rPr>
          <w:color w:val="8C8C8C"/>
          <w:sz w:val="12"/>
        </w:rPr>
        <w:t>cf-art-37-inc-XX</w:t>
      </w:r>
      <w:r>
        <w:rPr>
          <w:color w:val="003CA0"/>
          <w:sz w:val="12"/>
        </w:rPr>
        <w:t xml:space="preserve"> | RE 910.552</w:t>
      </w:r>
      <w:r>
        <w:rPr>
          <w:color w:val="003CA0"/>
          <w:sz w:val="12"/>
        </w:rPr>
        <w:t xml:space="preserve"> | rel. Cármen Lúcia</w:t>
      </w:r>
    </w:p>
    <w:p>
      <w:pPr>
        <w:ind w:left="288"/>
      </w:pPr>
      <w:r>
        <w:rPr>
          <w:color w:val="1E1E1E"/>
          <w:sz w:val="18"/>
        </w:rPr>
        <w:t>“É constitucional o ato normativo municipal, editado no exercício de competência legislativa suplementar, que proíba a participação em licitação ou a contratação: (a) de agentes eletivos; (b) de ocupantes de cargo em comissão ou função de confiança; (c) de cônjuge, companheiro ou parente em linha reta, colateral ou por afinidade, até o terceiro grau, inclusive, de qualquer destes; e (d) dos demais servidores públicos municipais”.</w:t>
        <w:br/>
        <w:t>[RE 910.552, rel. min. Cármen Lúcia, red. do ac. min. Roberto Barroso, j. 3-7-2023, P, DJE de 9-8-2023, Tema 1.001, com mérito julgado.] O inadimplemento dos encargos</w:t>
      </w:r>
    </w:p>
    <w:p>
      <w:pPr>
        <w:ind w:left="144"/>
      </w:pPr>
      <w:r>
        <w:rPr>
          <w:b/>
          <w:color w:val="B45A00"/>
          <w:sz w:val="16"/>
        </w:rPr>
        <w:t>JULGADOS CORRELATOS</w:t>
      </w:r>
    </w:p>
    <w:p>
      <w:pPr>
        <w:ind w:left="288"/>
      </w:pPr>
      <w:r>
        <w:rPr>
          <w:color w:val="8C8C8C"/>
          <w:sz w:val="12"/>
        </w:rPr>
        <w:t>cf-art-37-inc-XX</w:t>
      </w:r>
      <w:r>
        <w:rPr>
          <w:color w:val="003CA0"/>
          <w:sz w:val="12"/>
        </w:rPr>
        <w:t xml:space="preserve"> | MS 39.448</w:t>
      </w:r>
      <w:r>
        <w:rPr>
          <w:color w:val="003CA0"/>
          <w:sz w:val="12"/>
        </w:rPr>
        <w:t xml:space="preserve"> | rel. Nunes Marques</w:t>
      </w:r>
    </w:p>
    <w:p>
      <w:pPr>
        <w:ind w:left="288"/>
      </w:pPr>
      <w:r>
        <w:rPr>
          <w:color w:val="1E1E1E"/>
          <w:sz w:val="18"/>
        </w:rPr>
        <w:t>O processo de controle externo autuado a partir de representação formalizada com base no art. 113, § 1º, da Lei n. 8.666/1993 é instrumento destinado a averiguar a legalidade e regularidade dos atos praticados na condução de licitações pela Administração Pública, bem como das despesas decorrentes dos contratos celebrados, não se prestando a tutelar direitos subjetivos dos representantes, de seus patronos ou de qualquer outro interessado no procedimento licitatório.</w:t>
        <w:br/>
        <w:t>[MS 39.448 AgR, rel. min. Nunes Marques, j. 26.02.2024, 2ª T, DJE de 08.03.2024.] Responsabilidade subsidiária da Administração. A</w:t>
      </w:r>
    </w:p>
    <w:p>
      <w:pPr>
        <w:ind w:left="288"/>
      </w:pPr>
      <w:r>
        <w:rPr>
          <w:b/>
          <w:color w:val="003CA0"/>
          <w:sz w:val="16"/>
        </w:rPr>
        <w:t>[Rcl 58.799 AgR, rel. min. Edson Fachin, red. do ac. min. André Mendonça, j. 27.11.2023, 2ª T, DJE de 29.02.2024.]</w:t>
      </w:r>
    </w:p>
    <w:p>
      <w:pPr>
        <w:ind w:left="288"/>
      </w:pPr>
      <w:r>
        <w:rPr>
          <w:color w:val="8C8C8C"/>
          <w:sz w:val="12"/>
        </w:rPr>
        <w:t>cf-art-37-inc-XX</w:t>
      </w:r>
      <w:r>
        <w:rPr>
          <w:color w:val="003CA0"/>
          <w:sz w:val="12"/>
        </w:rPr>
        <w:t xml:space="preserve"> | RE 1.410.012</w:t>
      </w:r>
      <w:r>
        <w:rPr>
          <w:color w:val="003CA0"/>
          <w:sz w:val="12"/>
        </w:rPr>
        <w:t xml:space="preserve"> | rel. Edson Fachin</w:t>
      </w:r>
    </w:p>
    <w:p>
      <w:pPr>
        <w:ind w:left="288"/>
      </w:pPr>
      <w:r>
        <w:rPr>
          <w:color w:val="1E1E1E"/>
          <w:sz w:val="18"/>
        </w:rPr>
        <w:t>Lei Estadual nº 6.450, de 2013. (...) A norma estadual cria mecanismo de ressarcimento ao servidor ou autoridade pública por atos que, embora adstritos ao exercício da função pública, geram a propositura de demandas administrativas ou judiciais em desfavor desses agentes. (...) Os objetivos da norma são o de proteger o agente ou autoridade que atuam com probidade, a fim de reduzir o dano anormal a que estão sujeitos pelo acionamento temerário em seu desfavor, considerando a carga aflitiva própria do processo e os dispêndios para contratação de patrono particular. Não se verifica a criação, por</w:t>
      </w:r>
    </w:p>
    <w:p>
      <w:pPr>
        <w:ind w:left="288"/>
      </w:pPr>
      <w:r>
        <w:rPr>
          <w:b/>
          <w:color w:val="003CA0"/>
          <w:sz w:val="16"/>
        </w:rPr>
        <w:t>[ARE 1.235.427 ED-AgR-segundo, rel. min. Cristiano Zanin, j. 9-10-2023, 1ª T, DJE de 13-10-2023.]</w:t>
      </w:r>
    </w:p>
    <w:p>
      <w:pPr>
        <w:ind w:left="288"/>
      </w:pPr>
      <w:r>
        <w:rPr>
          <w:color w:val="8C8C8C"/>
          <w:sz w:val="12"/>
        </w:rPr>
        <w:t>cf-art-37-inc-XX</w:t>
      </w:r>
      <w:r>
        <w:rPr>
          <w:color w:val="003CA0"/>
          <w:sz w:val="12"/>
        </w:rPr>
        <w:t xml:space="preserve"> | rel. Rosa Weber</w:t>
      </w:r>
    </w:p>
    <w:p>
      <w:pPr>
        <w:ind w:left="288"/>
      </w:pPr>
      <w:r>
        <w:rPr>
          <w:color w:val="1E1E1E"/>
          <w:sz w:val="18"/>
        </w:rPr>
        <w:t>É válida a revogação da licitação, mesmo após as fases de adjudicação e homologação, quando existentes razões de interesse público supervenientes, devidamente justificadas, desde que observado o direito ao contraditório e ampla defesa. Não há falar, portanto, em direito adquirido à contratação, mas apenas de expectativa de direito. (...) O modelo de concessão de infraestruturas aeroportuárias em blocos acha-se estruturado sob a lógica do financiamento cruzado. O vencedor torna-se responsável por todos os Aeroportos do bloco, subsidiando a manutenção dos terminais aeroportuários deficitários co</w:t>
      </w:r>
    </w:p>
    <w:p>
      <w:pPr>
        <w:ind w:left="288"/>
      </w:pPr>
      <w:r>
        <w:rPr>
          <w:b/>
          <w:color w:val="003CA0"/>
          <w:sz w:val="16"/>
        </w:rPr>
        <w:t>[STP 776, rel. min. Rosa Weber, j. 2-10-2023, P, DJE de 6-12-2023.]</w:t>
      </w:r>
    </w:p>
    <w:p>
      <w:pPr>
        <w:ind w:left="288"/>
      </w:pPr>
      <w:r>
        <w:rPr>
          <w:color w:val="8C8C8C"/>
          <w:sz w:val="12"/>
        </w:rPr>
        <w:t>cf-art-37-inc-XX</w:t>
      </w:r>
      <w:r>
        <w:rPr>
          <w:color w:val="003CA0"/>
          <w:sz w:val="12"/>
        </w:rPr>
        <w:t xml:space="preserve"> | ACO 1.904</w:t>
      </w:r>
      <w:r>
        <w:rPr>
          <w:color w:val="003CA0"/>
          <w:sz w:val="12"/>
        </w:rPr>
        <w:t xml:space="preserve"> | rel. Marco Aurélio</w:t>
      </w:r>
    </w:p>
    <w:p>
      <w:pPr>
        <w:ind w:left="288"/>
      </w:pPr>
      <w:r>
        <w:rPr>
          <w:color w:val="1E1E1E"/>
          <w:sz w:val="18"/>
        </w:rPr>
        <w:t>Não se aplica a Lei 8.666/1993 às alienações e às contratações de obras, serviços e bens realizadas por Itaipu Binacional.</w:t>
        <w:br/>
        <w:t xml:space="preserve">[ACO 1.904, rel. min. Marco Aurélio, j. 8-9-2020, P, DJE de 24-9-2020.] Responsabilidade subsidiária da administração por dívidas trabalhistas em caso de terceirização. Alegação de violação à ADC 16 e à Súmula Vinculante 10. Superveniência do julgamento do tema nº 246 da repercussão geral. (...) Em 02.05.2017, data em que publicada a ata do julgamento do RE 760.931, ocorreu a substituição do parâmetro sobre a matéria. A partir de então, tornou-se inviável a propositura de </w:t>
      </w:r>
    </w:p>
    <w:p>
      <w:pPr>
        <w:ind w:left="288"/>
      </w:pPr>
      <w:r>
        <w:rPr>
          <w:b/>
          <w:color w:val="003CA0"/>
          <w:sz w:val="16"/>
        </w:rPr>
        <w:t>[Rcl 28.623 AgR, rel. min. Roberto Barroso, j. 12-12-2017, 1ª T, DJE de 7-2-2018.]</w:t>
      </w:r>
    </w:p>
    <w:p>
      <w:pPr>
        <w:ind w:left="288"/>
      </w:pPr>
      <w:r>
        <w:rPr>
          <w:color w:val="8C8C8C"/>
          <w:sz w:val="12"/>
        </w:rPr>
        <w:t>cf-art-37-inc-XX</w:t>
      </w:r>
      <w:r>
        <w:rPr>
          <w:color w:val="003CA0"/>
          <w:sz w:val="12"/>
        </w:rPr>
        <w:t xml:space="preserve"> | RE 668.810</w:t>
      </w:r>
      <w:r>
        <w:rPr>
          <w:color w:val="003CA0"/>
          <w:sz w:val="12"/>
        </w:rPr>
        <w:t xml:space="preserve"> | rel. Dias Toffoli</w:t>
      </w:r>
    </w:p>
    <w:p>
      <w:pPr>
        <w:ind w:left="288"/>
      </w:pPr>
      <w:r>
        <w:rPr>
          <w:color w:val="1E1E1E"/>
          <w:sz w:val="18"/>
        </w:rPr>
        <w:t>Lei do Município de São Paulo 13.959/2005, a qual exige que "os veículos utilizados para atender contratos estabelecidos com a Administração Municipal, Direta e Indireta, devem, obrigatoriamente, ter seus respectivos Certificados de Registro de Veículos expedidos no Município de São Paulo". Exigência que não se coaduna com os arts. 19, III, e 37, XXI, da CF. (...) A exigência constante da Lei 13.959/2005 do Município de São Paulo, além de malferir a legítima expectativa individual de quem queira participar de certame público, ofendendo direito individual, vulnera o interesse público, direito d</w:t>
      </w:r>
    </w:p>
    <w:p>
      <w:pPr>
        <w:ind w:left="288"/>
      </w:pPr>
      <w:r>
        <w:rPr>
          <w:b/>
          <w:color w:val="003CA0"/>
          <w:sz w:val="16"/>
        </w:rPr>
        <w:t>[Rcl 12.580 AgR, rel. min. Celso de Mello, j. 21-2-2013, P, DJE de 13-3-2013.]</w:t>
      </w:r>
    </w:p>
    <w:p>
      <w:pPr>
        <w:ind w:left="288"/>
      </w:pPr>
      <w:r>
        <w:rPr>
          <w:color w:val="8C8C8C"/>
          <w:sz w:val="12"/>
        </w:rPr>
        <w:t>cf-art-37-inc-XX</w:t>
      </w:r>
      <w:r>
        <w:rPr>
          <w:color w:val="003CA0"/>
          <w:sz w:val="12"/>
        </w:rPr>
        <w:t xml:space="preserve"> | ADC 16</w:t>
      </w:r>
      <w:r>
        <w:rPr>
          <w:color w:val="003CA0"/>
          <w:sz w:val="12"/>
        </w:rPr>
        <w:t xml:space="preserve"> | rel. Cezar Peluso</w:t>
      </w:r>
    </w:p>
    <w:p>
      <w:pPr>
        <w:ind w:left="288"/>
      </w:pPr>
      <w:r>
        <w:rPr>
          <w:color w:val="1E1E1E"/>
          <w:sz w:val="18"/>
        </w:rPr>
        <w:t>Vide ADC 16, rel. min. Cezar Peluso, j. 24-11-2010, P, DJE de 9-9-2011 A proibição de contratação com o Município dos parentes, afins ou consanguíneos, do prefeito, do vice-prefeito, dos vereadores e dos ocupantes de cargo em comissão ou função de confiança, bem como dos servidores e empregados públicos municipais, até seis meses após o fim do exercício das respectivas funções, é norma que evidentemente homenageia os princípios da impessoalidade e da moralidade administrativa, prevenindo eventuais lesões ao interesse público e ao patrimônio do Município, sem restringir a competição entre os li</w:t>
      </w:r>
    </w:p>
    <w:p>
      <w:pPr>
        <w:ind w:left="288"/>
      </w:pPr>
      <w:r>
        <w:rPr>
          <w:b/>
          <w:color w:val="003CA0"/>
          <w:sz w:val="16"/>
        </w:rPr>
        <w:t>[RE 423.560, rel. min. Joaquim Barbosa, j. 29-5-2012, 2ª T, DJE de 19-6-2012.]</w:t>
        <w:br/>
        <w:t>= ARE 648.476 AgR, rel. min. Roberto Barroso, j. 23-6-2017, 1ª T, DJE de 30-6-2017</w:t>
      </w:r>
    </w:p>
    <w:p>
      <w:pPr>
        <w:ind w:left="288"/>
      </w:pPr>
      <w:r>
        <w:rPr>
          <w:color w:val="8C8C8C"/>
          <w:sz w:val="12"/>
        </w:rPr>
        <w:t>cf-art-37-inc-XX</w:t>
      </w:r>
      <w:r>
        <w:rPr>
          <w:color w:val="003CA0"/>
          <w:sz w:val="12"/>
        </w:rPr>
        <w:t xml:space="preserve"> | RE 574.636</w:t>
      </w:r>
      <w:r>
        <w:rPr>
          <w:color w:val="003CA0"/>
          <w:sz w:val="12"/>
        </w:rPr>
        <w:t xml:space="preserve"> | rel. Cármen Lúcia</w:t>
      </w:r>
    </w:p>
    <w:p>
      <w:pPr>
        <w:ind w:left="288"/>
      </w:pPr>
      <w:r>
        <w:rPr>
          <w:color w:val="1E1E1E"/>
          <w:sz w:val="18"/>
        </w:rPr>
        <w:t>Realização de evento esportivo por entidade privada com múltiplo patrocínio: descaracterização do patrocínio como contratação administrativa sujeita à licitação. A participação de Município como um dos patrocinadores de evento esportivo de repercussão internacional não caracteriza a presença do ente público como contratante de ajuste administrativo sujeito a prévia licitação. Ausência de dever do patrocinador público de fazer licitação para condicionar o evento esportivo: objeto não estatal; inocorrência de pacto administrativo para prestar serviços ou adquirir bens.</w:t>
      </w:r>
    </w:p>
    <w:p>
      <w:pPr>
        <w:ind w:left="288"/>
      </w:pPr>
      <w:r>
        <w:rPr>
          <w:b/>
          <w:color w:val="003CA0"/>
          <w:sz w:val="16"/>
        </w:rPr>
        <w:t>[RE 574.636, rel. min. Cármen Lúcia, j. 16-8-2011, 1ª T, DJE de 14-10-2011.]</w:t>
      </w:r>
    </w:p>
    <w:p>
      <w:pPr>
        <w:ind w:left="288"/>
      </w:pPr>
      <w:r>
        <w:rPr>
          <w:color w:val="8C8C8C"/>
          <w:sz w:val="12"/>
        </w:rPr>
        <w:t>cf-art-37-inc-XX</w:t>
      </w:r>
      <w:r>
        <w:rPr>
          <w:color w:val="003CA0"/>
          <w:sz w:val="12"/>
        </w:rPr>
        <w:t xml:space="preserve"> | RCL 8.150</w:t>
      </w:r>
    </w:p>
    <w:p>
      <w:pPr>
        <w:ind w:left="288"/>
      </w:pPr>
      <w:r>
        <w:rPr>
          <w:color w:val="1E1E1E"/>
          <w:sz w:val="18"/>
        </w:rPr>
        <w:t>Acórdão que entendeu ser aplicável ao caso o que dispõe o inciso IV da Súmula 331/TST, sem a consequente declaração de inconstitucionalidade do art. 71, § 1º, da Lei 8.666/1993 com a observância da cláusula da reserva de Plenário, nos termos do art. 97 da CF. Não houve no julgamento do incidente de uniformização de jurisprudência (...) a declaração formal da inconstitucionalidade do art. 71, § 1º, da Lei 8.666/1993, mas apenas e tão somente a atribuição de certa interpretação ao mencionado dispositivo legal. (...) As disposições insertas no art. 71, § 1º, da Lei 8.666/1993 e no inciso IV da Sú</w:t>
      </w:r>
    </w:p>
    <w:p>
      <w:pPr>
        <w:ind w:left="288"/>
      </w:pPr>
      <w:r>
        <w:rPr>
          <w:b/>
          <w:color w:val="003CA0"/>
          <w:sz w:val="16"/>
        </w:rPr>
        <w:t>[Rcl 8.150 AgR, red. do ac. min. Ellen Gracie, j. 24-11-2010, P, DJE de 3-3-2011.]</w:t>
      </w:r>
    </w:p>
    <w:p>
      <w:pPr>
        <w:ind w:left="288"/>
      </w:pPr>
      <w:r>
        <w:rPr>
          <w:color w:val="8C8C8C"/>
          <w:sz w:val="12"/>
        </w:rPr>
        <w:t>cf-art-37-inc-XX</w:t>
      </w:r>
      <w:r>
        <w:rPr>
          <w:color w:val="003CA0"/>
          <w:sz w:val="12"/>
        </w:rPr>
        <w:t xml:space="preserve"> | MS 27.008</w:t>
      </w:r>
      <w:r>
        <w:rPr>
          <w:color w:val="003CA0"/>
          <w:sz w:val="12"/>
        </w:rPr>
        <w:t xml:space="preserve"> | rel. Ayres Britto</w:t>
      </w:r>
    </w:p>
    <w:p>
      <w:pPr>
        <w:ind w:left="288"/>
      </w:pPr>
      <w:r>
        <w:rPr>
          <w:color w:val="1E1E1E"/>
          <w:sz w:val="18"/>
        </w:rPr>
        <w:t>A representação ao TCU contra irregularidades em processo licitatório não está limitada pelo prazo do § 2º do art. 41 da Lei 8.666/1993.</w:t>
      </w:r>
    </w:p>
    <w:p>
      <w:pPr>
        <w:ind w:left="288"/>
      </w:pPr>
      <w:r>
        <w:rPr>
          <w:b/>
          <w:color w:val="003CA0"/>
          <w:sz w:val="16"/>
        </w:rPr>
        <w:t>[MS 27.008, rel. min. Ayres Britto, j. 17-2-2010, P, DJE de 12-3-2010.]</w:t>
      </w:r>
    </w:p>
    <w:p>
      <w:pPr>
        <w:ind w:left="288"/>
      </w:pPr>
      <w:r>
        <w:rPr>
          <w:color w:val="8C8C8C"/>
          <w:sz w:val="12"/>
        </w:rPr>
        <w:t>cf-art-37-inc-XX</w:t>
      </w:r>
      <w:r>
        <w:rPr>
          <w:color w:val="003CA0"/>
          <w:sz w:val="12"/>
        </w:rPr>
        <w:t xml:space="preserve"> | MS 27.516</w:t>
      </w:r>
      <w:r>
        <w:rPr>
          <w:color w:val="003CA0"/>
          <w:sz w:val="12"/>
        </w:rPr>
        <w:t xml:space="preserve"> | rel. Ellen Gracie</w:t>
      </w:r>
    </w:p>
    <w:p>
      <w:pPr>
        <w:ind w:left="288"/>
      </w:pPr>
      <w:r>
        <w:rPr>
          <w:color w:val="1E1E1E"/>
          <w:sz w:val="18"/>
        </w:rPr>
        <w:t>A titularidade dos serviços de transporte rodoviário interestadual e internacional de passageiros, nos termos do art. 21, XII, e, da CF, é da União. É possível a desestatização de serviços públicos já explorados por particulares, de responsabilidade da União, conforme disposto no art. 2º, § 1º, b, parte final, da Lei 9.491/1997. Inexistência de concessão ou de permissão para a utilização de algumas linhas, além da iminente expiração do prazo de concessão ou permissão de outras linhas. Existência de decisões judiciais proferidas em ações civis públicas propostas pelo MPF que determinam a imedia</w:t>
      </w:r>
    </w:p>
    <w:p>
      <w:pPr>
        <w:ind w:left="288"/>
      </w:pPr>
      <w:r>
        <w:rPr>
          <w:b/>
          <w:color w:val="003CA0"/>
          <w:sz w:val="16"/>
        </w:rPr>
        <w:t>[MS 27.516, rel. min. Ellen Gracie, j. 22-10-2008, P, DJE de 5-12-2008.]</w:t>
      </w:r>
    </w:p>
    <w:p>
      <w:pPr>
        <w:ind w:left="288"/>
      </w:pPr>
      <w:r>
        <w:rPr>
          <w:color w:val="8C8C8C"/>
          <w:sz w:val="12"/>
        </w:rPr>
        <w:t>cf-art-37-inc-XX</w:t>
      </w:r>
      <w:r>
        <w:rPr>
          <w:color w:val="003CA0"/>
          <w:sz w:val="12"/>
        </w:rPr>
        <w:t xml:space="preserve"> | RE 210.721</w:t>
      </w:r>
      <w:r>
        <w:rPr>
          <w:color w:val="003CA0"/>
          <w:sz w:val="12"/>
        </w:rPr>
        <w:t xml:space="preserve"> | rel. Menezes Direito</w:t>
      </w:r>
    </w:p>
    <w:p>
      <w:pPr>
        <w:ind w:left="288"/>
      </w:pPr>
      <w:r>
        <w:rPr>
          <w:color w:val="1E1E1E"/>
          <w:sz w:val="18"/>
        </w:rPr>
        <w:t>Não tem pertinência com a garantia do cumprimento do contrato objeto da licitação no âmbito estadual a exigência de declaração expedida por repartição federal relativa à segurança e à saúde do trabalhador. A exigência assim feita viola o art. 37, XXI, da CF.</w:t>
      </w:r>
    </w:p>
    <w:p>
      <w:pPr>
        <w:ind w:left="288"/>
      </w:pPr>
      <w:r>
        <w:rPr>
          <w:b/>
          <w:color w:val="003CA0"/>
          <w:sz w:val="16"/>
        </w:rPr>
        <w:t>[RE 210.721, rel. min. Menezes Direito, j. 20-5-2008, 1ª T, DJE de 8-8-2008.]</w:t>
      </w:r>
    </w:p>
    <w:p>
      <w:pPr>
        <w:ind w:left="288"/>
      </w:pPr>
      <w:r>
        <w:rPr>
          <w:color w:val="8C8C8C"/>
          <w:sz w:val="12"/>
        </w:rPr>
        <w:t>cf-art-37-inc-XX</w:t>
      </w:r>
      <w:r>
        <w:rPr>
          <w:color w:val="003CA0"/>
          <w:sz w:val="12"/>
        </w:rPr>
        <w:t xml:space="preserve"> | RMS 24.188</w:t>
      </w:r>
      <w:r>
        <w:rPr>
          <w:color w:val="003CA0"/>
          <w:sz w:val="12"/>
        </w:rPr>
        <w:t xml:space="preserve"> | rel. Cezar Peluso</w:t>
      </w:r>
    </w:p>
    <w:p>
      <w:pPr>
        <w:ind w:left="288"/>
      </w:pPr>
      <w:r>
        <w:rPr>
          <w:color w:val="1E1E1E"/>
          <w:sz w:val="18"/>
        </w:rPr>
        <w:t>É lícito à administração pública, com base em fatos supervenientes configuradores do interesse público, revogar motivadamente, mas sem audiência dos concorrentes habilitados, procedimento de licitação antes do início da fase de qualificação das propostas.</w:t>
      </w:r>
    </w:p>
    <w:p>
      <w:pPr>
        <w:ind w:left="288"/>
      </w:pPr>
      <w:r>
        <w:rPr>
          <w:b/>
          <w:color w:val="003CA0"/>
          <w:sz w:val="16"/>
        </w:rPr>
        <w:t>[RMS 24.188, rel. min. Cezar Peluso, j. 14-8-2007, 2ª T, DJ de 14-9-2007.]</w:t>
      </w:r>
    </w:p>
    <w:p>
      <w:pPr>
        <w:ind w:left="288"/>
      </w:pPr>
      <w:r>
        <w:rPr>
          <w:color w:val="8C8C8C"/>
          <w:sz w:val="12"/>
        </w:rPr>
        <w:t>cf-art-37-inc-XX</w:t>
      </w:r>
      <w:r>
        <w:rPr>
          <w:color w:val="003CA0"/>
          <w:sz w:val="12"/>
        </w:rPr>
        <w:t xml:space="preserve"> | MS 24.584</w:t>
      </w:r>
      <w:r>
        <w:rPr>
          <w:color w:val="003CA0"/>
          <w:sz w:val="12"/>
        </w:rPr>
        <w:t xml:space="preserve"> | rel. Marco Aurélio</w:t>
      </w:r>
    </w:p>
    <w:p>
      <w:pPr>
        <w:ind w:left="288"/>
      </w:pPr>
      <w:r>
        <w:rPr>
          <w:color w:val="1E1E1E"/>
          <w:sz w:val="18"/>
        </w:rPr>
        <w:t>Advogado público. Responsabilidade. (...) Prevendo o art. 38 da Lei 8.666/1993 que a manifestação da assessoria jurídica quanto a editais de licitação, contratos, acordos, convênios e ajustes não se limita a simples opinião, alcançando a aprovação, ou não, descabe a recusa à convocação do TCU para serem prestados esclarecimentos.</w:t>
      </w:r>
    </w:p>
    <w:p>
      <w:pPr>
        <w:ind w:left="288"/>
      </w:pPr>
      <w:r>
        <w:rPr>
          <w:b/>
          <w:color w:val="003CA0"/>
          <w:sz w:val="16"/>
        </w:rPr>
        <w:t>[MS 24.584, rel. min. Marco Aurélio, j. 9-8-2007, P, DJE de 20-6-2008.]</w:t>
      </w:r>
    </w:p>
    <w:p>
      <w:pPr>
        <w:ind w:left="288"/>
      </w:pPr>
      <w:r>
        <w:rPr>
          <w:color w:val="8C8C8C"/>
          <w:sz w:val="12"/>
        </w:rPr>
        <w:t>cf-art-37-inc-XX</w:t>
      </w:r>
      <w:r>
        <w:rPr>
          <w:color w:val="003CA0"/>
          <w:sz w:val="12"/>
        </w:rPr>
        <w:t xml:space="preserve"> | AP 348</w:t>
      </w:r>
      <w:r>
        <w:rPr>
          <w:color w:val="003CA0"/>
          <w:sz w:val="12"/>
        </w:rPr>
        <w:t xml:space="preserve"> | rel. Eros Grau</w:t>
      </w:r>
    </w:p>
    <w:p>
      <w:pPr>
        <w:ind w:left="288"/>
      </w:pPr>
      <w:r>
        <w:rPr>
          <w:color w:val="1E1E1E"/>
          <w:sz w:val="18"/>
        </w:rPr>
        <w:t>Contratação emergencial de advogados face ao caos administrativo herdado da administração municipal sucedida. (...) A hipótese dos autos não é de dispensa de licitação, eis que não caracterizado o requisito da emergência. Caracterização de situação na qual há inviabilidade de competição e, logo, inexigibilidade de licitação. "Serviços técnicos profissionais especializados" são serviços que a administração deve contratar sem licitação, escolhendo o contratado de acordo, em última instância, com o grau de confiança que ela própria, administração, deposite na especialização desse contratado. Ness</w:t>
      </w:r>
    </w:p>
    <w:p>
      <w:pPr>
        <w:ind w:left="288"/>
      </w:pPr>
      <w:r>
        <w:rPr>
          <w:b/>
          <w:color w:val="003CA0"/>
          <w:sz w:val="16"/>
        </w:rPr>
        <w:t>[AP 348, rel. min. Eros Grau, j. 15-12-2006, P, DJ de 3-8-2007.]</w:t>
      </w:r>
    </w:p>
    <w:p>
      <w:pPr>
        <w:ind w:left="288"/>
      </w:pPr>
      <w:r>
        <w:rPr>
          <w:color w:val="8C8C8C"/>
          <w:sz w:val="12"/>
        </w:rPr>
        <w:t>cf-art-37-inc-XX</w:t>
      </w:r>
      <w:r>
        <w:rPr>
          <w:color w:val="003CA0"/>
          <w:sz w:val="12"/>
        </w:rPr>
        <w:t xml:space="preserve"> | RMS 24.555</w:t>
      </w:r>
      <w:r>
        <w:rPr>
          <w:color w:val="003CA0"/>
          <w:sz w:val="12"/>
        </w:rPr>
        <w:t xml:space="preserve"> | rel. Eros Grau</w:t>
      </w:r>
    </w:p>
    <w:p>
      <w:pPr>
        <w:ind w:left="288"/>
      </w:pPr>
      <w:r>
        <w:rPr>
          <w:color w:val="1E1E1E"/>
          <w:sz w:val="18"/>
        </w:rPr>
        <w:t>A administração, bem como os licitantes, estão vinculados aos termos do edital (art. 37, XXI, da Constituição do Brasil/1988 e arts. 3º, 41 e 43, V, da Lei 8.666/1993), sendo-lhes vedado ampliar o sentido de suas cláusulas, de modo a exigir mais do que nelas previsto.</w:t>
      </w:r>
    </w:p>
    <w:p>
      <w:pPr>
        <w:ind w:left="288"/>
      </w:pPr>
      <w:r>
        <w:rPr>
          <w:b/>
          <w:color w:val="003CA0"/>
          <w:sz w:val="16"/>
        </w:rPr>
        <w:t>[RMS 24.555 AgR, rel. min. Eros Grau, j. 21-2-2006, 1ª T, DJ de 31-3-2006.]</w:t>
      </w:r>
    </w:p>
    <w:p>
      <w:pPr>
        <w:ind w:left="288"/>
      </w:pPr>
      <w:r>
        <w:rPr>
          <w:color w:val="8C8C8C"/>
          <w:sz w:val="12"/>
        </w:rPr>
        <w:t>cf-art-37-inc-XX</w:t>
      </w:r>
      <w:r>
        <w:rPr>
          <w:color w:val="003CA0"/>
          <w:sz w:val="12"/>
        </w:rPr>
        <w:t xml:space="preserve"> | RE 264.621</w:t>
      </w:r>
      <w:r>
        <w:rPr>
          <w:color w:val="003CA0"/>
          <w:sz w:val="12"/>
        </w:rPr>
        <w:t xml:space="preserve"> | rel. Joaquim Barbosa</w:t>
      </w:r>
    </w:p>
    <w:p>
      <w:pPr>
        <w:ind w:left="288"/>
      </w:pPr>
      <w:r>
        <w:rPr>
          <w:color w:val="1E1E1E"/>
          <w:sz w:val="18"/>
        </w:rPr>
        <w:t>Os princípios constitucionais que regem a administração pública exigem que a concessão de serviços públicos seja precedida de licitação pública. Contraria os arts. 37 e 175 da CF decisão judicial que, fundada em conceito genérico de interesse público, sequer fundamentada em fatos e a pretexto de suprir omissão do órgão administrativo competente, reconhece ao particular o direito de exploração de serviço público sem a observância do procedimento de licitação.</w:t>
      </w:r>
    </w:p>
    <w:p>
      <w:pPr>
        <w:ind w:left="288"/>
      </w:pPr>
      <w:r>
        <w:rPr>
          <w:b/>
          <w:color w:val="003CA0"/>
          <w:sz w:val="16"/>
        </w:rPr>
        <w:t>[RE 264.621, rel. min. Joaquim Barbosa, j. 1º-2-2005, 2ª T, DJ de 8-4-2005.]</w:t>
      </w:r>
    </w:p>
    <w:p>
      <w:pPr>
        <w:ind w:left="288"/>
      </w:pPr>
      <w:r>
        <w:rPr>
          <w:color w:val="8C8C8C"/>
          <w:sz w:val="12"/>
        </w:rPr>
        <w:t>cf-art-37-inc-XX</w:t>
      </w:r>
      <w:r>
        <w:rPr>
          <w:color w:val="003CA0"/>
          <w:sz w:val="12"/>
        </w:rPr>
        <w:t xml:space="preserve"> | AI 792.149</w:t>
      </w:r>
      <w:r>
        <w:rPr>
          <w:color w:val="003CA0"/>
          <w:sz w:val="12"/>
        </w:rPr>
        <w:t xml:space="preserve"> | rel. Ricardo Lewandowski</w:t>
      </w:r>
    </w:p>
    <w:p>
      <w:pPr>
        <w:ind w:left="288"/>
      </w:pPr>
      <w:r>
        <w:rPr>
          <w:color w:val="1E1E1E"/>
          <w:sz w:val="18"/>
        </w:rPr>
        <w:t>= AI 792.149 AgR, rel. min. Ricardo Lewandowski, j. 19-10-2010, 1ª T, DJE de 16-11-2010 Ato do TCU que determinou à administração pública a realização de nova licitação. Prorrogação do vigente contrato por prazo suficiente para que fosse realizada nova licitação. A escolha do período a ser prorrogado, realizada de acordo com o disposto no contrato celebrado, insere-se no âmbito de discricionariedade da administração.</w:t>
      </w:r>
    </w:p>
    <w:p>
      <w:pPr>
        <w:ind w:left="288"/>
      </w:pPr>
      <w:r>
        <w:rPr>
          <w:b/>
          <w:color w:val="003CA0"/>
          <w:sz w:val="16"/>
        </w:rPr>
        <w:t>[MS 24.785, red. do ac. min. Joaquim Barbosa, rel. min. Marco Aurélio, j. 8-9-2004, P, DJ de 3-2-2006.]</w:t>
      </w:r>
    </w:p>
    <w:p>
      <w:pPr>
        <w:ind w:left="288"/>
      </w:pPr>
      <w:r>
        <w:rPr>
          <w:color w:val="8C8C8C"/>
          <w:sz w:val="12"/>
        </w:rPr>
        <w:t>cf-art-37-inc-XX</w:t>
      </w:r>
      <w:r>
        <w:rPr>
          <w:color w:val="003CA0"/>
          <w:sz w:val="12"/>
        </w:rPr>
        <w:t xml:space="preserve"> | MS 26.250</w:t>
      </w:r>
      <w:r>
        <w:rPr>
          <w:color w:val="003CA0"/>
          <w:sz w:val="12"/>
        </w:rPr>
        <w:t xml:space="preserve"> | rel. Ayres Britto</w:t>
      </w:r>
    </w:p>
    <w:p>
      <w:pPr>
        <w:ind w:left="288"/>
      </w:pPr>
      <w:r>
        <w:rPr>
          <w:color w:val="1E1E1E"/>
          <w:sz w:val="18"/>
        </w:rPr>
        <w:t xml:space="preserve">= MS 26.250, rel. min. Ayres Britto, j. 17-2-2010, P, DJE de 12-3-2010 Não podem a lei, o decreto, os atos regimentais ou instruções normativas, e muito menos acordo firmado entre partes, superpor-se a preceito constitucional, instituindo privilégios para uns em detrimento de outros, posto que, além de odiosos e iníquos, atentam contra os princípios éticos e morais que precipuamente devem reger os atos relacionados com a administração pública. O art. 37, XXI, da CF, de conteúdo conceptual extensível primacialmente aos procedimentos licitatórios, insculpiu o princípio da isonomia assecuratória </w:t>
      </w:r>
    </w:p>
    <w:p>
      <w:pPr>
        <w:ind w:left="288"/>
      </w:pPr>
      <w:r>
        <w:rPr>
          <w:b/>
          <w:color w:val="003CA0"/>
          <w:sz w:val="16"/>
        </w:rPr>
        <w:t>[MS 22.509, rel. min. Marco Aurélio, red. do ac. min. Maurício Corrêa, j. 26-9-1996, P, DJ de 4-12-1996.]</w:t>
      </w:r>
    </w:p>
    <w:p>
      <w:pPr>
        <w:ind w:left="288"/>
      </w:pPr>
      <w:r>
        <w:rPr>
          <w:color w:val="8C8C8C"/>
          <w:sz w:val="12"/>
        </w:rPr>
        <w:t>cf-art-37-inc-XX</w:t>
      </w:r>
    </w:p>
    <w:p>
      <w:pPr>
        <w:ind w:left="288"/>
      </w:pPr>
      <w:r>
        <w:rPr>
          <w:color w:val="1E1E1E"/>
          <w:sz w:val="18"/>
        </w:rPr>
        <w:t>XXII - as administrações tributárias da União, dos Estados, do Distrito Federal e dos Municípios, atividades essenciais ao funcionamento do Estado, exercidas por servidores de carreiras específicas, terão recursos prioritários para a realização de suas atividades e atuarão de forma integrada, inclusive com o compartilhamento de cadastros e de informações fiscais, na forma da lei ou convênio. (Incluído pela EC 42/2003)</w:t>
      </w:r>
    </w:p>
    <w:p>
      <w:pPr>
        <w:ind w:left="144"/>
      </w:pPr>
      <w:r>
        <w:rPr>
          <w:b/>
          <w:color w:val="B45A00"/>
          <w:sz w:val="16"/>
        </w:rPr>
        <w:t>CONTROLE CONCENTRADO</w:t>
      </w:r>
    </w:p>
    <w:p>
      <w:pPr>
        <w:ind w:left="288"/>
      </w:pPr>
      <w:r>
        <w:rPr>
          <w:color w:val="8C8C8C"/>
          <w:sz w:val="12"/>
        </w:rPr>
        <w:t>cf-art-37-inc-XX</w:t>
      </w:r>
      <w:r>
        <w:rPr>
          <w:color w:val="003CA0"/>
          <w:sz w:val="12"/>
        </w:rPr>
        <w:t xml:space="preserve"> | ADI 5.729</w:t>
      </w:r>
      <w:r>
        <w:rPr>
          <w:color w:val="003CA0"/>
          <w:sz w:val="12"/>
        </w:rPr>
        <w:t xml:space="preserve"> | rel. Roberto Barroso</w:t>
      </w:r>
    </w:p>
    <w:p>
      <w:pPr>
        <w:ind w:left="288"/>
      </w:pPr>
      <w:r>
        <w:rPr>
          <w:color w:val="1E1E1E"/>
          <w:sz w:val="18"/>
        </w:rPr>
        <w:t xml:space="preserve">(...) Regime Especial de Regularização Cambial e Tributária (RERCT). O RERCT foi criado com finalidade essencialmente arrecadatória, permitindo a regularização de bens ou recursos enviados ao exterior, lá mantidos ou repatriados, sem o cumprimento das formalidades legais. A Lei 13.254/2016 estabelece benefícios e garantias a quem adere ao programa em contrapartida ao cumprimento dos seus deveres. Dentre as garantias, foi prevista a preservação do sigilo das informações prestadas (art. 7º, §§ 1º e 2º, objeto desta ADI). Não há inconstitucionalidade nos dispositivos impugnados. Isso porque: (i) </w:t>
      </w:r>
    </w:p>
    <w:p>
      <w:pPr>
        <w:ind w:left="288"/>
      </w:pPr>
      <w:r>
        <w:rPr>
          <w:b/>
          <w:color w:val="003CA0"/>
          <w:sz w:val="16"/>
        </w:rPr>
        <w:t>[ADI 5.729, rel. min. Roberto Barroso, j. 8-3-2021, P, DJE de 17-3-2021.]</w:t>
      </w:r>
    </w:p>
    <w:p>
      <w:pPr>
        <w:ind w:left="288"/>
      </w:pPr>
      <w:r>
        <w:rPr>
          <w:color w:val="8C8C8C"/>
          <w:sz w:val="12"/>
        </w:rPr>
        <w:t>cf-art-37-inc-XX</w:t>
      </w:r>
      <w:r>
        <w:rPr>
          <w:color w:val="003CA0"/>
          <w:sz w:val="12"/>
        </w:rPr>
        <w:t xml:space="preserve"> | ADI 4.883</w:t>
      </w:r>
      <w:r>
        <w:rPr>
          <w:color w:val="003CA0"/>
          <w:sz w:val="12"/>
        </w:rPr>
        <w:t xml:space="preserve"> | rel. Edson Fachin</w:t>
      </w:r>
    </w:p>
    <w:p>
      <w:pPr>
        <w:ind w:left="288"/>
      </w:pPr>
      <w:r>
        <w:rPr>
          <w:color w:val="1E1E1E"/>
          <w:sz w:val="18"/>
        </w:rPr>
        <w:t>O legislador constitucional deixou a cargo da legislação infraconstitucional a definição das carreiras componentes da ‘administração tributária’ a que se refere o inciso XXII, do art. 37, da Constituição.</w:t>
      </w:r>
    </w:p>
    <w:p>
      <w:pPr>
        <w:ind w:left="288"/>
      </w:pPr>
      <w:r>
        <w:rPr>
          <w:b/>
          <w:color w:val="003CA0"/>
          <w:sz w:val="16"/>
        </w:rPr>
        <w:t>[ADI 4.883, rel. min. Edson Fachin, j. 15-4-2020, P, DJE de 28-5-2020.]</w:t>
      </w:r>
    </w:p>
    <w:p>
      <w:pPr>
        <w:ind w:left="288"/>
      </w:pPr>
      <w:r>
        <w:rPr>
          <w:color w:val="8C8C8C"/>
          <w:sz w:val="12"/>
        </w:rPr>
        <w:t>cf-art-37-inc-XX</w:t>
      </w:r>
      <w:r>
        <w:rPr>
          <w:color w:val="003CA0"/>
          <w:sz w:val="12"/>
        </w:rPr>
        <w:t xml:space="preserve"> | RCL 77.863</w:t>
      </w:r>
      <w:r>
        <w:rPr>
          <w:color w:val="003CA0"/>
          <w:sz w:val="12"/>
        </w:rPr>
        <w:t xml:space="preserve"> | rel. André Mendonça</w:t>
      </w:r>
    </w:p>
    <w:p>
      <w:pPr>
        <w:ind w:left="288"/>
      </w:pPr>
      <w:r>
        <w:rPr>
          <w:color w:val="1E1E1E"/>
          <w:sz w:val="18"/>
        </w:rPr>
        <w:t>A exigência de que a fiscalização tributária – atividade que o art. 37, inc. XXII, da Constituição Federal, qualifica como essencial ao funcionamento do Estado e a ser exercida por servidores de carreiras específicas – seja desempenhada por servidores estatutários, detentores de um vínculo estável com a Administração, insere-se no âmbito da discricionariedade administrativa da União. Não se trata de uma interferência na autonomia municipal, mas sim de um critério para a celebração de um acordo de cooperação.</w:t>
      </w:r>
    </w:p>
    <w:p>
      <w:pPr>
        <w:ind w:left="288"/>
      </w:pPr>
      <w:r>
        <w:rPr>
          <w:b/>
          <w:color w:val="003CA0"/>
          <w:sz w:val="16"/>
        </w:rPr>
        <w:t>[Rcl 77.863 AgR, rel. min. André Mendonça, j. 20-10-2025, 2ª T, DJE de 3-11-2025.]</w:t>
      </w:r>
    </w:p>
    <w:p>
      <w:pPr>
        <w:ind w:left="288"/>
      </w:pPr>
      <w:r>
        <w:rPr>
          <w:color w:val="8C8C8C"/>
          <w:sz w:val="12"/>
        </w:rPr>
        <w:t>cf-art-37-par-1</w:t>
      </w:r>
      <w:r>
        <w:rPr>
          <w:color w:val="003CA0"/>
          <w:sz w:val="12"/>
        </w:rPr>
        <w:t xml:space="preserve"> | ADI 307</w:t>
      </w:r>
      <w:r>
        <w:rPr>
          <w:color w:val="003CA0"/>
          <w:sz w:val="12"/>
        </w:rPr>
        <w:t xml:space="preserve"> | rel. Eros Grau</w:t>
      </w:r>
    </w:p>
    <w:p>
      <w:pPr>
        <w:ind w:left="288"/>
      </w:pPr>
      <w:r>
        <w:rPr>
          <w:color w:val="1E1E1E"/>
          <w:sz w:val="18"/>
        </w:rPr>
        <w:t>O inciso V do art. 20 da Constituição do Estado veda ao Estado e aos Municípios atribuir nome de pessoa viva a avenida, praça, rua, logradouro, ponte, reservatório de água, viaduto, praça de esporte, biblioteca, hospital, maternidade, edifício público, auditórios, cidades e salas de aula. Não me parece inconstitucional. O preceito visa a impedir o culto e a promoção pessoal de pessoas vivas, tenham ou não passagem pela administração. Cabe ressaltar que proibição similar é estipulada, no âmbito federal, pela Lei 6.454/1977.</w:t>
      </w:r>
    </w:p>
    <w:p>
      <w:pPr>
        <w:ind w:left="288"/>
      </w:pPr>
      <w:r>
        <w:rPr>
          <w:b/>
          <w:color w:val="003CA0"/>
          <w:sz w:val="16"/>
        </w:rPr>
        <w:t>[ADI 307, voto do rel. min. Eros Grau, j. 13-2-2008, P, DJE de 1º-7-2009.]</w:t>
      </w:r>
    </w:p>
    <w:p>
      <w:pPr>
        <w:ind w:left="144"/>
      </w:pPr>
      <w:r>
        <w:rPr>
          <w:b/>
          <w:color w:val="B45A00"/>
          <w:sz w:val="16"/>
        </w:rPr>
        <w:t>JULGADOS CORRELATOS</w:t>
      </w:r>
    </w:p>
    <w:p>
      <w:pPr>
        <w:ind w:left="288"/>
      </w:pPr>
      <w:r>
        <w:rPr>
          <w:color w:val="8C8C8C"/>
          <w:sz w:val="12"/>
        </w:rPr>
        <w:t>cf-art-37-par-1</w:t>
      </w:r>
      <w:r>
        <w:rPr>
          <w:color w:val="003CA0"/>
          <w:sz w:val="12"/>
        </w:rPr>
        <w:t xml:space="preserve"> | RE 191.668</w:t>
      </w:r>
      <w:r>
        <w:rPr>
          <w:color w:val="003CA0"/>
          <w:sz w:val="12"/>
        </w:rPr>
        <w:t xml:space="preserve"> | rel. Menezes Direito</w:t>
      </w:r>
    </w:p>
    <w:p>
      <w:pPr>
        <w:ind w:left="288"/>
      </w:pPr>
      <w:r>
        <w:rPr>
          <w:color w:val="1E1E1E"/>
          <w:sz w:val="18"/>
        </w:rPr>
        <w:t>O caput e o § 1º do art. 37 da CF impedem que haja qualquer tipo de identificação entre a publicidade e os titulares dos cargos alcançando os partidos políticos a que pertençam. O rigor do dispositivo constitucional que assegura o princípio da impessoalidade vincula a publicidade ao caráter educativo, informativo ou de orientação social é incompatível com a menção de nomes, símbolos ou imagens, aí incluídos slogans, que caracterizem promoção pessoal ou de servidores públicos. A possibilidade de vinculação do conteúdo da divulgação com o partido político a que pertença o titular do cargo públic</w:t>
      </w:r>
    </w:p>
    <w:p>
      <w:pPr>
        <w:ind w:left="288"/>
      </w:pPr>
      <w:r>
        <w:rPr>
          <w:b/>
          <w:color w:val="003CA0"/>
          <w:sz w:val="16"/>
        </w:rPr>
        <w:t>[RE 191.668, rel. min. Menezes Direito, j. 15-4-2008, 1ª T, DJE de 30-5-2008.]</w:t>
      </w:r>
    </w:p>
    <w:p>
      <w:pPr>
        <w:ind w:left="288"/>
      </w:pPr>
      <w:r>
        <w:rPr>
          <w:color w:val="8C8C8C"/>
          <w:sz w:val="12"/>
        </w:rPr>
        <w:t>cf-art-37-par-1</w:t>
      </w:r>
      <w:r>
        <w:rPr>
          <w:color w:val="003CA0"/>
          <w:sz w:val="12"/>
        </w:rPr>
        <w:t xml:space="preserve"> | RE 217.025</w:t>
      </w:r>
      <w:r>
        <w:rPr>
          <w:color w:val="003CA0"/>
          <w:sz w:val="12"/>
        </w:rPr>
        <w:t xml:space="preserve"> | rel. Maurício Corrêa</w:t>
      </w:r>
    </w:p>
    <w:p>
      <w:pPr>
        <w:ind w:left="288"/>
      </w:pPr>
      <w:r>
        <w:rPr>
          <w:color w:val="1E1E1E"/>
          <w:sz w:val="18"/>
        </w:rPr>
        <w:t>Publicidade de caráter autopromocional do governador e de seus correligionários, contendo nomes, símbolos e imagens, realizada às custas do erário. Não observância do disposto na segunda parte do preceito constitucional contido no art. 37, § 1º.</w:t>
      </w:r>
    </w:p>
    <w:p>
      <w:pPr>
        <w:ind w:left="288"/>
      </w:pPr>
      <w:r>
        <w:rPr>
          <w:b/>
          <w:color w:val="003CA0"/>
          <w:sz w:val="16"/>
        </w:rPr>
        <w:t>[RE 217.025 AgR, rel. min. Maurício Corrêa, j. 27-4-1998, 2ª T, DJ de 5-6-1998.]</w:t>
      </w:r>
    </w:p>
    <w:p>
      <w:pPr>
        <w:ind w:left="144"/>
      </w:pPr>
      <w:r>
        <w:rPr>
          <w:b/>
          <w:color w:val="B45A00"/>
          <w:sz w:val="16"/>
        </w:rPr>
        <w:t>REPERCUSSAO GERAL</w:t>
      </w:r>
    </w:p>
    <w:p>
      <w:pPr>
        <w:ind w:left="288"/>
      </w:pPr>
      <w:r>
        <w:rPr>
          <w:color w:val="8C8C8C"/>
          <w:sz w:val="12"/>
        </w:rPr>
        <w:t>cf-art-37-par-2</w:t>
      </w:r>
      <w:r>
        <w:rPr>
          <w:color w:val="003CA0"/>
          <w:sz w:val="12"/>
        </w:rPr>
        <w:t xml:space="preserve"> | RE 596.478</w:t>
      </w:r>
      <w:r>
        <w:rPr>
          <w:color w:val="003CA0"/>
          <w:sz w:val="12"/>
        </w:rPr>
        <w:t xml:space="preserve"> | rel. Teori Zavascki</w:t>
      </w:r>
    </w:p>
    <w:p>
      <w:pPr>
        <w:ind w:left="288"/>
      </w:pPr>
      <w:r>
        <w:rPr>
          <w:color w:val="1E1E1E"/>
          <w:sz w:val="18"/>
        </w:rPr>
        <w:t>Contratação de pessoal pela administração pública sem concurso. Nulidade. Efeitos jurídicos admissíveis em relação a empregados: pagamento de saldo salarial e levantamento de FGTS (RE 596.478 – repercussão geral). Inexigibilidade de outras verbas, mesmo a título indenizatório.</w:t>
        <w:br/>
        <w:t>[RE 705.140, rel. min. Teori Zavascki, j. 28-8-2014, P, DJE de 5-11-2014, Tema 308, com mérito julgado.] Mesmo quando reconhecida a nulidade da contratação do empregado público, nos termos do art. 37, § 2º, da CF, subsiste o direito do trabalhador ao depósito do FGTS quando reconhecido ser devido o salário pelos serviços</w:t>
      </w:r>
    </w:p>
    <w:p>
      <w:pPr>
        <w:ind w:left="144"/>
      </w:pPr>
      <w:r>
        <w:rPr>
          <w:b/>
          <w:color w:val="B45A00"/>
          <w:sz w:val="16"/>
        </w:rPr>
        <w:t>CONTROLE CONCENTRADO</w:t>
      </w:r>
    </w:p>
    <w:p>
      <w:pPr>
        <w:ind w:left="288"/>
      </w:pPr>
      <w:r>
        <w:rPr>
          <w:color w:val="8C8C8C"/>
          <w:sz w:val="12"/>
        </w:rPr>
        <w:t>cf-art-37-par-3</w:t>
      </w:r>
      <w:r>
        <w:rPr>
          <w:color w:val="003CA0"/>
          <w:sz w:val="12"/>
        </w:rPr>
        <w:t xml:space="preserve"> | ADI 2.416</w:t>
      </w:r>
    </w:p>
    <w:p>
      <w:pPr>
        <w:ind w:left="288"/>
      </w:pPr>
      <w:r>
        <w:rPr>
          <w:color w:val="1E1E1E"/>
          <w:sz w:val="18"/>
        </w:rPr>
        <w:t>O art. 14 da Lei 2.689/2001, que cria o Conselho de Administração e Fiscalização de Áreas Públicas Rurais Regularizadas – composto majoritariamente por pessoas não integrantes dos quadros do poder público –, é inconstitucional, uma vez que transfere aos particulares com maior interesse no assunto o juízo de conveniência e oportunidade da alienação dos bens públicos, que é competência própria da administração pública.</w:t>
      </w:r>
    </w:p>
    <w:p>
      <w:pPr>
        <w:ind w:left="288"/>
      </w:pPr>
      <w:r>
        <w:rPr>
          <w:b/>
          <w:color w:val="003CA0"/>
          <w:sz w:val="16"/>
        </w:rPr>
        <w:t>[ADI 2.416, red. do ac. min. Ricardo Lewandowski, j. 12-12-2012, P, DJE de 14-10-2013.]</w:t>
      </w:r>
    </w:p>
    <w:p>
      <w:pPr>
        <w:ind w:left="288"/>
      </w:pPr>
      <w:r>
        <w:rPr>
          <w:color w:val="8C8C8C"/>
          <w:sz w:val="12"/>
        </w:rPr>
        <w:t>cf-art-37-par-3</w:t>
      </w:r>
    </w:p>
    <w:p>
      <w:pPr>
        <w:ind w:left="288"/>
      </w:pPr>
      <w:r>
        <w:rPr>
          <w:color w:val="1E1E1E"/>
          <w:sz w:val="18"/>
        </w:rPr>
        <w:t>I - as reclamações relativas à prestação dos serviços públicos em geral, asseguradas a manutenção de serviços de atendimento ao usuário e a avaliação periódica, externa e interna, da qualidade dos serviços; (Incluído pela EC 19/1998)</w:t>
      </w:r>
    </w:p>
    <w:p>
      <w:pPr>
        <w:ind w:left="288"/>
      </w:pPr>
      <w:r>
        <w:rPr>
          <w:color w:val="8C8C8C"/>
          <w:sz w:val="12"/>
        </w:rPr>
        <w:t>cf-art-37-par-4</w:t>
      </w:r>
      <w:r>
        <w:rPr>
          <w:color w:val="003CA0"/>
          <w:sz w:val="12"/>
        </w:rPr>
        <w:t xml:space="preserve"> | ADI 4.295</w:t>
      </w:r>
      <w:r>
        <w:rPr>
          <w:color w:val="003CA0"/>
          <w:sz w:val="12"/>
        </w:rPr>
        <w:t xml:space="preserve"> | rel. Marco Aurélio</w:t>
      </w:r>
    </w:p>
    <w:p>
      <w:pPr>
        <w:ind w:left="288"/>
      </w:pPr>
      <w:r>
        <w:rPr>
          <w:color w:val="1E1E1E"/>
          <w:sz w:val="18"/>
        </w:rPr>
        <w:t>O art. 13 do diploma legal, que prevê a obrigação de todo agente público apresentar sua declaração de imposto de renda e proventos de qualquer natureza, busca assegurar mecanismos de fiscalização do patrimônio de agentes públicos, de modo a resguardar a moralidade e o erário, razão pela qual normas dessa natureza já foram placitadas pelo Tribunal, inexistindo ofensa ao postulado da proporcionalidade.</w:t>
      </w:r>
    </w:p>
    <w:p>
      <w:pPr>
        <w:ind w:left="288"/>
      </w:pPr>
      <w:r>
        <w:rPr>
          <w:b/>
          <w:color w:val="003CA0"/>
          <w:sz w:val="16"/>
        </w:rPr>
        <w:t>[ADI 4.295, rel. min. Marco Aurélio, red. do ac. Gilmar Mendes, j. 21.8.2023, P, DJE de 2.10.2023.]</w:t>
      </w:r>
    </w:p>
    <w:p>
      <w:pPr>
        <w:ind w:left="288"/>
      </w:pPr>
      <w:r>
        <w:rPr>
          <w:color w:val="8C8C8C"/>
          <w:sz w:val="12"/>
        </w:rPr>
        <w:t>cf-art-37-par-4</w:t>
      </w:r>
      <w:r>
        <w:rPr>
          <w:color w:val="003CA0"/>
          <w:sz w:val="12"/>
        </w:rPr>
        <w:t xml:space="preserve"> | ADI 2.797</w:t>
      </w:r>
      <w:r>
        <w:rPr>
          <w:color w:val="003CA0"/>
          <w:sz w:val="12"/>
        </w:rPr>
        <w:t xml:space="preserve"> | rel. Sepúlveda Pertence</w:t>
      </w:r>
    </w:p>
    <w:p>
      <w:pPr>
        <w:ind w:left="288"/>
      </w:pPr>
      <w:r>
        <w:rPr>
          <w:color w:val="1E1E1E"/>
          <w:sz w:val="18"/>
        </w:rPr>
        <w:t>Pedido de modulação temporal dos efeitos da decisão de mérito. Possibilidade. Ações penais e de improbidade administrativa contra ocupantes e ex-ocupantes de cargos com prerrogativa de foro. Preservação dos atos processuais praticados até 15 de setembro de 2005. (...) Durante quase três anos os tribunais brasileiros processaram e julgaram ações penais e de improbidade administrativa contra ocupantes e ex-ocupantes de cargos com prerrogativa de foro, com fundamento nos §§ 1º e 2º do art. 84 do CPP. Como esses dispositivos legais cuidavam de competência dos órgãos do Poder Judiciário, todos os p</w:t>
      </w:r>
    </w:p>
    <w:p>
      <w:pPr>
        <w:ind w:left="288"/>
      </w:pPr>
      <w:r>
        <w:rPr>
          <w:b/>
          <w:color w:val="003CA0"/>
          <w:sz w:val="16"/>
        </w:rPr>
        <w:t>[ADI 2.797 e ADI 2.860, rel. min. Sepúlveda Pertence, j. 15-9-2005, P, DJ de 19-12-2006.]</w:t>
      </w:r>
    </w:p>
    <w:p>
      <w:pPr>
        <w:ind w:left="288"/>
      </w:pPr>
      <w:r>
        <w:rPr>
          <w:color w:val="8C8C8C"/>
          <w:sz w:val="12"/>
        </w:rPr>
        <w:t>cf-art-37-par-4</w:t>
      </w:r>
      <w:r>
        <w:rPr>
          <w:color w:val="003CA0"/>
          <w:sz w:val="12"/>
        </w:rPr>
        <w:t xml:space="preserve"> | PET 3.230</w:t>
      </w:r>
      <w:r>
        <w:rPr>
          <w:color w:val="003CA0"/>
          <w:sz w:val="12"/>
        </w:rPr>
        <w:t xml:space="preserve"> | rel. red. do ac. min. Roberto Barroso</w:t>
      </w:r>
    </w:p>
    <w:p>
      <w:pPr>
        <w:ind w:left="288"/>
      </w:pPr>
      <w:r>
        <w:rPr>
          <w:color w:val="1E1E1E"/>
          <w:sz w:val="18"/>
        </w:rPr>
        <w:t>= Pet 3.230 AgR, rel. min. red. do ac. min. Roberto Barroso, j. 10-5-2018, P, DJE de 22-8-2018 = Pet 3.030 QO, rel. min. Marco Aurélio, j. 23-5-2012, P, DJE de 25-2-2013 Vide ADI 2.797 ED, red. do ac. min. Ayres Britto, j. 16-5-2012, P, DJE de 28-2-2013 “(I) É possível a dupla responsabilização por crime eleitoral caixa dois (art. 350 do Código Eleitoral) e ato de improbidade administrativa (Lei 8.429/1992), pois a independência de instâncias exige tratamentos sancionatórios diferenciados entre os atos ilícitos em geral (civis, penais e político-administrativos) e os atos de improbidade admini</w:t>
      </w:r>
    </w:p>
    <w:p>
      <w:pPr>
        <w:ind w:left="288"/>
      </w:pPr>
      <w:r>
        <w:rPr>
          <w:b/>
          <w:color w:val="003CA0"/>
          <w:sz w:val="16"/>
        </w:rPr>
        <w:t>[RE 1.428.742, rel. min. Alexandre de Moraes, j. 9-2-2026, P, DJE de 5-3-2026, Tema 1.260, com mérito julgado.]</w:t>
      </w:r>
    </w:p>
    <w:p>
      <w:pPr>
        <w:ind w:left="288"/>
      </w:pPr>
      <w:r>
        <w:rPr>
          <w:color w:val="8C8C8C"/>
          <w:sz w:val="12"/>
        </w:rPr>
        <w:t>cf-art-37-par-4</w:t>
      </w:r>
      <w:r>
        <w:rPr>
          <w:color w:val="003CA0"/>
          <w:sz w:val="12"/>
        </w:rPr>
        <w:t xml:space="preserve"> | RE 610.523</w:t>
      </w:r>
      <w:r>
        <w:rPr>
          <w:color w:val="003CA0"/>
          <w:sz w:val="12"/>
        </w:rPr>
        <w:t xml:space="preserve"> | rel. Dias Toffoli</w:t>
      </w:r>
    </w:p>
    <w:p>
      <w:pPr>
        <w:ind w:left="288"/>
      </w:pPr>
      <w:r>
        <w:rPr>
          <w:color w:val="1E1E1E"/>
          <w:sz w:val="18"/>
        </w:rPr>
        <w:t>“a) O dolo é necessário para a configuração de qualquer ato de improbidade administrativa (art. 37, § 4º, da Constituição Federal), de modo que é inconstitucional a modalidade culposa de ato de improbidade administrativa prevista nos arts. 5º e 10 da Lei nº 8.429/92, em sua redação originária. b) São constitucionais os arts. 13, V, e 25, II, da Lei nº 8.666/1993, desde que interpretados no sentido de que a contratação direta de serviços advocatícios pela Administração Pública, por inexigibilidade de licitação, além dos critérios já previstos expressamente (necessidade de procedimento administr</w:t>
      </w:r>
    </w:p>
    <w:p>
      <w:pPr>
        <w:ind w:left="288"/>
      </w:pPr>
      <w:r>
        <w:rPr>
          <w:b/>
          <w:color w:val="003CA0"/>
          <w:sz w:val="16"/>
        </w:rPr>
        <w:t>[RE 610.523 e RE 656.558, rel. min. Dias Toffoli, j. 28.10.2025, P, DJE de 26.02.2025.]</w:t>
      </w:r>
    </w:p>
    <w:p>
      <w:pPr>
        <w:ind w:left="288"/>
      </w:pPr>
      <w:r>
        <w:rPr>
          <w:color w:val="8C8C8C"/>
          <w:sz w:val="12"/>
        </w:rPr>
        <w:t>cf-art-37-par-4</w:t>
      </w:r>
      <w:r>
        <w:rPr>
          <w:color w:val="003CA0"/>
          <w:sz w:val="12"/>
        </w:rPr>
        <w:t xml:space="preserve"> | ARE 1.484.919</w:t>
      </w:r>
      <w:r>
        <w:rPr>
          <w:color w:val="003CA0"/>
          <w:sz w:val="12"/>
        </w:rPr>
        <w:t xml:space="preserve"> | rel. Alexandre de Moraes</w:t>
      </w:r>
    </w:p>
    <w:p>
      <w:pPr>
        <w:ind w:left="288"/>
      </w:pPr>
      <w:r>
        <w:rPr>
          <w:color w:val="1E1E1E"/>
          <w:sz w:val="18"/>
        </w:rPr>
        <w:t>Indisponibilidade de bem de família e previsão de ressarcimento integral ao erário pela prática de ato de improbidade administrativa. Necessidade de conciliação interpretativa dos artigos 6º e 37, §4º da Constituição Federal.</w:t>
      </w:r>
    </w:p>
    <w:p>
      <w:pPr>
        <w:ind w:left="288"/>
      </w:pPr>
      <w:r>
        <w:rPr>
          <w:b/>
          <w:color w:val="003CA0"/>
          <w:sz w:val="16"/>
        </w:rPr>
        <w:t>[ARE 1.484.919 RG, rel. min. Alexandre de Moraes, j. 16.08.2024, P, DJE de 30.08.2024, Tema 1.316, com mérito pendente.]</w:t>
      </w:r>
    </w:p>
    <w:p>
      <w:pPr>
        <w:ind w:left="288"/>
      </w:pPr>
      <w:r>
        <w:rPr>
          <w:color w:val="8C8C8C"/>
          <w:sz w:val="12"/>
        </w:rPr>
        <w:t>cf-art-37-par-4</w:t>
      </w:r>
      <w:r>
        <w:rPr>
          <w:color w:val="003CA0"/>
          <w:sz w:val="12"/>
        </w:rPr>
        <w:t xml:space="preserve"> | ARE 843.989</w:t>
      </w:r>
      <w:r>
        <w:rPr>
          <w:color w:val="003CA0"/>
          <w:sz w:val="12"/>
        </w:rPr>
        <w:t xml:space="preserve"> | rel. Alexandre de Moraes</w:t>
      </w:r>
    </w:p>
    <w:p>
      <w:pPr>
        <w:ind w:left="288"/>
      </w:pPr>
      <w:r>
        <w:rPr>
          <w:color w:val="1E1E1E"/>
          <w:sz w:val="18"/>
        </w:rPr>
        <w:t>"1) É necessária a comprovação de responsabilidade subjetiva para a tipificação dos atos de improbidade administrativa, exigindo-se - nos artigos 9º, 10 e 11 da LIA - a presença do elemento subjetivo - DOLO; 2) A norma benéfica da Lei 14.230/2021 - revogação da modalidade culposa do ato de improbidade administrativa -, é IRRETROATIVA, em virtude do artigo 5º, inciso XXXVI, da Constituição Federal, não tendo incidência em relação à eficácia da coisa julgada; nem tampouco durante o processo de execução das penas e seus incidentes; 3) A nova Lei 14.230/2021 aplica-se aos atos de improbidade admin</w:t>
      </w:r>
    </w:p>
    <w:p>
      <w:pPr>
        <w:ind w:left="144"/>
      </w:pPr>
      <w:r>
        <w:rPr>
          <w:b/>
          <w:color w:val="B45A00"/>
          <w:sz w:val="16"/>
        </w:rPr>
        <w:t>REPERCUSSAO GERAL</w:t>
      </w:r>
    </w:p>
    <w:p>
      <w:pPr>
        <w:ind w:left="288"/>
      </w:pPr>
      <w:r>
        <w:rPr>
          <w:color w:val="8C8C8C"/>
          <w:sz w:val="12"/>
        </w:rPr>
        <w:t>cf-art-37-par-4</w:t>
      </w:r>
      <w:r>
        <w:rPr>
          <w:color w:val="003CA0"/>
          <w:sz w:val="12"/>
        </w:rPr>
        <w:t xml:space="preserve"> | ARE 1.175.650</w:t>
      </w:r>
      <w:r>
        <w:rPr>
          <w:color w:val="003CA0"/>
          <w:sz w:val="12"/>
        </w:rPr>
        <w:t xml:space="preserve"> | rel. Alexandre de Moraes</w:t>
      </w:r>
    </w:p>
    <w:p>
      <w:pPr>
        <w:ind w:left="288"/>
      </w:pPr>
      <w:r>
        <w:rPr>
          <w:color w:val="1E1E1E"/>
          <w:sz w:val="18"/>
        </w:rPr>
        <w:t>É constitucional a utilização da colaboração premiada, nos termos da Lei 12.850/2013, no âmbito civil, em ação civil pública por ato de improbidade administrativa movida pelo Ministério Público, observando-se as seguintes diretrizes: (1) Realizado o acordo de colaboração premiada, serão remetidos ao juiz, para análise, o respectivo termo, as declarações do colaborador e cópia da investigação, devendo o juiz ouvir sigilosamente o colaborador, acompanhado de seu defensor, oportunidade em que analisará os seguintes aspectos na homologação: regularidade, legalidade e voluntariedade da manifestação</w:t>
      </w:r>
    </w:p>
    <w:p>
      <w:pPr>
        <w:ind w:left="288"/>
      </w:pPr>
      <w:r>
        <w:rPr>
          <w:b/>
          <w:color w:val="003CA0"/>
          <w:sz w:val="16"/>
        </w:rPr>
        <w:t>[RE 1.471.155 AgR, rel. min. Edson Fachin, j. 25.06.2025, 2ª T, DJE de 04.08.2025.]</w:t>
      </w:r>
    </w:p>
    <w:p>
      <w:pPr>
        <w:ind w:left="288"/>
      </w:pPr>
      <w:r>
        <w:rPr>
          <w:color w:val="8C8C8C"/>
          <w:sz w:val="12"/>
        </w:rPr>
        <w:t>cf-art-37-par-4</w:t>
      </w:r>
      <w:r>
        <w:rPr>
          <w:color w:val="003CA0"/>
          <w:sz w:val="12"/>
        </w:rPr>
        <w:t xml:space="preserve"> | ARE 1.338.297</w:t>
      </w:r>
      <w:r>
        <w:rPr>
          <w:color w:val="003CA0"/>
          <w:sz w:val="12"/>
        </w:rPr>
        <w:t xml:space="preserve"> | rel. Alexandre de Moraes</w:t>
      </w:r>
    </w:p>
    <w:p>
      <w:pPr>
        <w:ind w:left="288"/>
      </w:pPr>
      <w:r>
        <w:rPr>
          <w:color w:val="1E1E1E"/>
          <w:sz w:val="18"/>
        </w:rPr>
        <w:t>A celebração do acordo de leniência não pode ser utilizada pela parte acordante como escudo para esquivar-se da responsabilização civil por danos contra terceiros que não fizeram parte do ajuste.</w:t>
      </w:r>
    </w:p>
    <w:p>
      <w:pPr>
        <w:ind w:left="288"/>
      </w:pPr>
      <w:r>
        <w:rPr>
          <w:b/>
          <w:color w:val="003CA0"/>
          <w:sz w:val="16"/>
        </w:rPr>
        <w:t>[ARE 1.338.297 AgR, rel. min. Alexandre de Moraes, j. 24.02.2025, 1ª T, DJE de 28.02.2025.]</w:t>
      </w:r>
    </w:p>
    <w:p>
      <w:pPr>
        <w:ind w:left="288"/>
      </w:pPr>
      <w:r>
        <w:rPr>
          <w:color w:val="8C8C8C"/>
          <w:sz w:val="12"/>
        </w:rPr>
        <w:t>cf-art-37-par-4</w:t>
      </w:r>
      <w:r>
        <w:rPr>
          <w:color w:val="003CA0"/>
          <w:sz w:val="12"/>
        </w:rPr>
        <w:t xml:space="preserve"> | RE 1.527.409</w:t>
      </w:r>
      <w:r>
        <w:rPr>
          <w:color w:val="003CA0"/>
          <w:sz w:val="12"/>
        </w:rPr>
        <w:t xml:space="preserve"> | rel. Alexandre de Moraes</w:t>
      </w:r>
    </w:p>
    <w:p>
      <w:pPr>
        <w:ind w:left="288"/>
      </w:pPr>
      <w:r>
        <w:rPr>
          <w:color w:val="1E1E1E"/>
          <w:sz w:val="18"/>
        </w:rPr>
        <w:t xml:space="preserve">Ao revogar a modalidade culposa do ato de improbidade administrativa, entretanto, a Lei 14.230/2021, não trouxe qualquer previsão de “anistia” geral para todos aqueles que, nesses mais de 30 anos de aplicação da LIA, foram condenados pela forma culposa de artigo 10; nem tampouco determinou, expressamente, sua retroatividade ou mesmo estabeleceu uma regra de transição que pudesse auxiliar o intérprete na aplicação dessa norma - revogação do ato de improbidade administrativa culposo - em situações diversas como ações em andamento, condenações não transitadas em julgado e condenações transitadas </w:t>
      </w:r>
    </w:p>
    <w:p>
      <w:pPr>
        <w:ind w:left="288"/>
      </w:pPr>
      <w:r>
        <w:rPr>
          <w:b/>
          <w:color w:val="003CA0"/>
          <w:sz w:val="16"/>
        </w:rPr>
        <w:t>[RE 1.527.409 AgR, rel. min. Alexandre de Moraes, j. 17.02.2025, 1ª T, DJE de 25.02.2025.]</w:t>
      </w:r>
    </w:p>
    <w:p>
      <w:pPr>
        <w:ind w:left="288"/>
      </w:pPr>
      <w:r>
        <w:rPr>
          <w:color w:val="8C8C8C"/>
          <w:sz w:val="12"/>
        </w:rPr>
        <w:t>cf-art-37-par-4</w:t>
      </w:r>
      <w:r>
        <w:rPr>
          <w:color w:val="003CA0"/>
          <w:sz w:val="12"/>
        </w:rPr>
        <w:t xml:space="preserve"> | RCL 71.111</w:t>
      </w:r>
      <w:r>
        <w:rPr>
          <w:color w:val="003CA0"/>
          <w:sz w:val="12"/>
        </w:rPr>
        <w:t xml:space="preserve"> | rel. Gilmar Mendes</w:t>
      </w:r>
    </w:p>
    <w:p>
      <w:pPr>
        <w:ind w:left="288"/>
      </w:pPr>
      <w:r>
        <w:rPr>
          <w:color w:val="1E1E1E"/>
          <w:sz w:val="18"/>
        </w:rPr>
        <w:t>A alteração promovida pela Lei 14.231/2021, que exige a comprovação inequívoca de dano ao erário para configuração do ato de improbidade previsto no art. 10 da LIA, aplica-se aos atos praticados na vigência do texto anterior da lei, desde que não haja condenação transitada em julgado.</w:t>
      </w:r>
    </w:p>
    <w:p>
      <w:pPr>
        <w:ind w:left="288"/>
      </w:pPr>
      <w:r>
        <w:rPr>
          <w:b/>
          <w:color w:val="003CA0"/>
          <w:sz w:val="16"/>
        </w:rPr>
        <w:t>[Rcl 71.111 AgR, rel. min. Gilmar Mendes, j. 16.12.2024, 2ª T, DJE de 26.02.2025.]</w:t>
      </w:r>
    </w:p>
    <w:p>
      <w:pPr>
        <w:ind w:left="288"/>
      </w:pPr>
      <w:r>
        <w:rPr>
          <w:color w:val="8C8C8C"/>
          <w:sz w:val="12"/>
        </w:rPr>
        <w:t>cf-art-37-par-4</w:t>
      </w:r>
      <w:r>
        <w:rPr>
          <w:color w:val="003CA0"/>
          <w:sz w:val="12"/>
        </w:rPr>
        <w:t xml:space="preserve"> | ARE 1.475.101</w:t>
      </w:r>
      <w:r>
        <w:rPr>
          <w:color w:val="003CA0"/>
          <w:sz w:val="12"/>
        </w:rPr>
        <w:t xml:space="preserve"> | rel. Alexandre de Moraes</w:t>
      </w:r>
    </w:p>
    <w:p>
      <w:pPr>
        <w:ind w:left="288"/>
      </w:pPr>
      <w:r>
        <w:rPr>
          <w:color w:val="1E1E1E"/>
          <w:sz w:val="18"/>
        </w:rPr>
        <w:t>Na ação de improbidade, uma vez prescritas as sanções, o ressarcimento ao erário, imprescritível, depende da prova de que o ato foi doloso e configura ato de improbidade administrativa, para que se abra a ampla defesa e o contraditório, a fim de evitar a responsabilidade objetiva.</w:t>
      </w:r>
    </w:p>
    <w:p>
      <w:pPr>
        <w:ind w:left="288"/>
      </w:pPr>
      <w:r>
        <w:rPr>
          <w:b/>
          <w:color w:val="003CA0"/>
          <w:sz w:val="16"/>
        </w:rPr>
        <w:t>[ARE 1.475.101 AgR, rel. min. Alexandre de Moraes, j. 22.10.2024, 1ª T, DJE de 04.02.2025.]</w:t>
      </w:r>
    </w:p>
    <w:p>
      <w:pPr>
        <w:ind w:left="144"/>
      </w:pPr>
      <w:r>
        <w:rPr>
          <w:b/>
          <w:color w:val="B45A00"/>
          <w:sz w:val="16"/>
        </w:rPr>
        <w:t>JULGADOS CORRELATOS</w:t>
      </w:r>
    </w:p>
    <w:p>
      <w:pPr>
        <w:ind w:left="288"/>
      </w:pPr>
      <w:r>
        <w:rPr>
          <w:color w:val="8C8C8C"/>
          <w:sz w:val="12"/>
        </w:rPr>
        <w:t>cf-art-37-par-4</w:t>
      </w:r>
      <w:r>
        <w:rPr>
          <w:color w:val="003CA0"/>
          <w:sz w:val="12"/>
        </w:rPr>
        <w:t xml:space="preserve"> | ARE 1.492.981</w:t>
      </w:r>
      <w:r>
        <w:rPr>
          <w:color w:val="003CA0"/>
          <w:sz w:val="12"/>
        </w:rPr>
        <w:t xml:space="preserve"> | rel. Alexandre de Moraes</w:t>
      </w:r>
    </w:p>
    <w:p>
      <w:pPr>
        <w:ind w:left="288"/>
      </w:pPr>
      <w:r>
        <w:rPr>
          <w:color w:val="1E1E1E"/>
          <w:sz w:val="18"/>
        </w:rPr>
        <w:t>Esta CORTE possui entendimento de que o Ministério Público possui legitimidade ad causam para propor Ação Civil Pública que busque o ressarcimento de danos ao Erário. Com o advento da Lei 14.230/2021, foi incluído o parágrafo 16 no art. 17 da Lei 8.429/1992, com o seguinte teor: “§ 16. A qualquer momento, se o magistrado identificar a existência de ilegalidades ou de irregularidades administrativas a serem sanadas sem que estejam presentes todos os requisitos para a imposição das sanções aos agentes incluídos no polo passivo da demanda, poderá, em decisão motivada, converter a ação de improbid</w:t>
      </w:r>
    </w:p>
    <w:p>
      <w:pPr>
        <w:ind w:left="288"/>
      </w:pPr>
      <w:r>
        <w:rPr>
          <w:b/>
          <w:color w:val="003CA0"/>
          <w:sz w:val="16"/>
        </w:rPr>
        <w:t>[AO 1.833, rel. min. Alexandre de Moraes, j. 10-4-2018, 1ª T, DJE de 8-5-2018.]</w:t>
      </w:r>
    </w:p>
    <w:p>
      <w:pPr>
        <w:ind w:left="288"/>
      </w:pPr>
      <w:r>
        <w:rPr>
          <w:color w:val="8C8C8C"/>
          <w:sz w:val="12"/>
        </w:rPr>
        <w:t>cf-art-37-par-4</w:t>
      </w:r>
      <w:r>
        <w:rPr>
          <w:color w:val="003CA0"/>
          <w:sz w:val="12"/>
        </w:rPr>
        <w:t xml:space="preserve"> | AC 3.585</w:t>
      </w:r>
      <w:r>
        <w:rPr>
          <w:color w:val="003CA0"/>
          <w:sz w:val="12"/>
        </w:rPr>
        <w:t xml:space="preserve"> | rel. Celso de Mello</w:t>
      </w:r>
    </w:p>
    <w:p>
      <w:pPr>
        <w:ind w:left="288"/>
      </w:pPr>
      <w:r>
        <w:rPr>
          <w:color w:val="1E1E1E"/>
          <w:sz w:val="18"/>
        </w:rPr>
        <w:t>Improbidade administrativa. Agente político. Comportamento alegadamente ocorrido no exercício de mandato de governador de Estado. Possibilidade de dupla sujeição tanto ao regime de responsabilização política, mediante impeachment (Lei 1.079/1950), desde que ainda titular de referido mandato eletivo, quanto à disciplina normativa da responsabilização civil por improbidade administrativa (Lei 8.424/1992). Extinção subsequente do mandato de governador de Estado. Exclusão do regime fundado na Lei 1.079/1950 (art. 76, parágrafo único). Pleito que objetiva distinguir processo civil de improbidade ad</w:t>
      </w:r>
    </w:p>
    <w:p>
      <w:pPr>
        <w:ind w:left="288"/>
      </w:pPr>
      <w:r>
        <w:rPr>
          <w:b/>
          <w:color w:val="003CA0"/>
          <w:sz w:val="16"/>
        </w:rPr>
        <w:t>[AC 3.585 AgR, rel. min. Celso de Mello, j. 2-9-2014, 2ª T, DJE de 28-10-2014.]</w:t>
      </w:r>
    </w:p>
    <w:p>
      <w:pPr>
        <w:ind w:left="288"/>
      </w:pPr>
      <w:r>
        <w:rPr>
          <w:color w:val="8C8C8C"/>
          <w:sz w:val="12"/>
        </w:rPr>
        <w:t>cf-art-37-par-4</w:t>
      </w:r>
      <w:r>
        <w:rPr>
          <w:color w:val="003CA0"/>
          <w:sz w:val="12"/>
        </w:rPr>
        <w:t xml:space="preserve"> | AP 409</w:t>
      </w:r>
      <w:r>
        <w:rPr>
          <w:color w:val="003CA0"/>
          <w:sz w:val="12"/>
        </w:rPr>
        <w:t xml:space="preserve"> | rel. Ayres Britto</w:t>
      </w:r>
    </w:p>
    <w:p>
      <w:pPr>
        <w:ind w:left="288"/>
      </w:pPr>
      <w:r>
        <w:rPr>
          <w:color w:val="1E1E1E"/>
          <w:sz w:val="18"/>
        </w:rPr>
        <w:t>(...) a probidade administrativa é o mais importante conteúdo do princípio da moralidade pública. Donde o modo particularmente severo como a Constituição reage à violação dela, probidade administrativa (...). É certo que esse regramento constitucional não tem a força de transformar em ilícitos penais práticas que eventualmente ofendam o cumprimento de deveres simplesmente administrativos. Daí por que a incidência da norma penal referida pelo Ministério Público está a depender da presença de um claro elemento subjetivo – a vontade livre e consciente (dolo) – de lesar o interesse público. Pois é</w:t>
      </w:r>
    </w:p>
    <w:p>
      <w:pPr>
        <w:ind w:left="288"/>
      </w:pPr>
      <w:r>
        <w:rPr>
          <w:b/>
          <w:color w:val="003CA0"/>
          <w:sz w:val="16"/>
        </w:rPr>
        <w:t>[AP 409, voto do rel. min. Ayres Britto, j. 13-5-2010, P, DJE de 1º-7-2010.]</w:t>
      </w:r>
    </w:p>
    <w:p>
      <w:pPr>
        <w:ind w:left="288"/>
      </w:pPr>
      <w:r>
        <w:rPr>
          <w:color w:val="8C8C8C"/>
          <w:sz w:val="12"/>
        </w:rPr>
        <w:t>cf-art-37-par-4</w:t>
      </w:r>
      <w:r>
        <w:rPr>
          <w:color w:val="003CA0"/>
          <w:sz w:val="12"/>
        </w:rPr>
        <w:t xml:space="preserve"> | RE 598.588</w:t>
      </w:r>
      <w:r>
        <w:rPr>
          <w:color w:val="003CA0"/>
          <w:sz w:val="12"/>
        </w:rPr>
        <w:t xml:space="preserve"> | rel. Eros Grau</w:t>
      </w:r>
    </w:p>
    <w:p>
      <w:pPr>
        <w:ind w:left="288"/>
      </w:pPr>
      <w:r>
        <w:rPr>
          <w:color w:val="1E1E1E"/>
          <w:sz w:val="18"/>
        </w:rPr>
        <w:t>As sanções civis impostas pelo art. 12 da Lei 8.429/1992 aos atos de improbidade administrativa estão em sintonia com os princípios constitucionais que regem a administração pública.</w:t>
      </w:r>
    </w:p>
    <w:p>
      <w:pPr>
        <w:ind w:left="288"/>
      </w:pPr>
      <w:r>
        <w:rPr>
          <w:b/>
          <w:color w:val="003CA0"/>
          <w:sz w:val="16"/>
        </w:rPr>
        <w:t>[RE 598.588 AgR, rel. min. Eros Grau, j. 2-2-2010, 2ª T, DJE de 26-2-2010.]</w:t>
      </w:r>
    </w:p>
    <w:p>
      <w:pPr>
        <w:ind w:left="288"/>
      </w:pPr>
      <w:r>
        <w:rPr>
          <w:color w:val="8C8C8C"/>
          <w:sz w:val="12"/>
        </w:rPr>
        <w:t>cf-art-37-par-4</w:t>
      </w:r>
      <w:r>
        <w:rPr>
          <w:color w:val="003CA0"/>
          <w:sz w:val="12"/>
        </w:rPr>
        <w:t xml:space="preserve"> | PET 4.089</w:t>
      </w:r>
      <w:r>
        <w:rPr>
          <w:color w:val="003CA0"/>
          <w:sz w:val="12"/>
        </w:rPr>
        <w:t xml:space="preserve"> | rel. Celso de Mello</w:t>
      </w:r>
    </w:p>
    <w:p>
      <w:pPr>
        <w:ind w:left="288"/>
      </w:pPr>
      <w:r>
        <w:rPr>
          <w:color w:val="1E1E1E"/>
          <w:sz w:val="18"/>
        </w:rPr>
        <w:t>O STF tem advertido que, tratando-se de ação civil por improbidade administrativa (Lei 8.429/1992), mostra-se irrelevante, para efeito de definição da competência originária dos tribunais, que se cuide de ocupante de cargo público ou de titular de mandato eletivo ainda no exercício das respectivas funções, pois a ação civil em questão deverá ser ajuizada perante magistrado de primeiro grau.</w:t>
      </w:r>
    </w:p>
    <w:p>
      <w:pPr>
        <w:ind w:left="288"/>
      </w:pPr>
      <w:r>
        <w:rPr>
          <w:b/>
          <w:color w:val="003CA0"/>
          <w:sz w:val="16"/>
        </w:rPr>
        <w:t>[Pet 4.089 AgR, rel. min. Celso de Mello, j. 24-10-2007, P, DJE de 1º-2-2013.]</w:t>
      </w:r>
    </w:p>
    <w:p>
      <w:pPr>
        <w:ind w:left="288"/>
      </w:pPr>
      <w:r>
        <w:rPr>
          <w:color w:val="8C8C8C"/>
          <w:sz w:val="12"/>
        </w:rPr>
        <w:t>cf-art-37-par-4</w:t>
      </w:r>
      <w:r>
        <w:rPr>
          <w:color w:val="003CA0"/>
          <w:sz w:val="12"/>
        </w:rPr>
        <w:t xml:space="preserve"> | RCL 2.138</w:t>
      </w:r>
      <w:r>
        <w:rPr>
          <w:color w:val="003CA0"/>
          <w:sz w:val="12"/>
        </w:rPr>
        <w:t xml:space="preserve"> | rel. Nelson Jobim</w:t>
      </w:r>
    </w:p>
    <w:p>
      <w:pPr>
        <w:ind w:left="288"/>
      </w:pPr>
      <w:r>
        <w:rPr>
          <w:color w:val="1E1E1E"/>
          <w:sz w:val="18"/>
        </w:rPr>
        <w:t>Os atos de improbidade administrativa são tipificados como crime de responsabilidade na Lei 1.079/1950, delito de caráter político-administrativo. Distinção entre os regimes de responsabilização político-administrativa. O sistema constitucional brasileiro distingue o regime de responsabilidade dos agentes políticos dos demais agentes públicos. A Constituição não admite a concorrência entre dois regimes de responsabilidade político-administrativa para os agentes políticos: o previsto no art. 37, § 4º (regulado pela Lei 8.429/1992), e o regime fixado no art. 102, I, c (disciplinado pela Lei 1.07</w:t>
      </w:r>
    </w:p>
    <w:p>
      <w:pPr>
        <w:ind w:left="288"/>
      </w:pPr>
      <w:r>
        <w:rPr>
          <w:b/>
          <w:color w:val="003CA0"/>
          <w:sz w:val="16"/>
        </w:rPr>
        <w:t>[Rcl 2.138, red. do ac. min. Gilmar Mendes, rel. min. Nelson Jobim, j. 13-6-2007, P, DJE de 18-4-2008.]</w:t>
      </w:r>
    </w:p>
    <w:p>
      <w:pPr>
        <w:ind w:left="288"/>
      </w:pPr>
      <w:r>
        <w:rPr>
          <w:color w:val="8C8C8C"/>
          <w:sz w:val="12"/>
        </w:rPr>
        <w:t>cf-art-37-par-4</w:t>
      </w:r>
      <w:r>
        <w:rPr>
          <w:color w:val="003CA0"/>
          <w:sz w:val="12"/>
        </w:rPr>
        <w:t xml:space="preserve"> | AI 809.338</w:t>
      </w:r>
      <w:r>
        <w:rPr>
          <w:color w:val="003CA0"/>
          <w:sz w:val="12"/>
        </w:rPr>
        <w:t xml:space="preserve"> | rel. Dias Toffoli</w:t>
      </w:r>
    </w:p>
    <w:p>
      <w:pPr>
        <w:ind w:left="288"/>
      </w:pPr>
      <w:r>
        <w:rPr>
          <w:color w:val="1E1E1E"/>
          <w:sz w:val="18"/>
        </w:rPr>
        <w:t>Vide AI 809.338 AgR, rel. min. Dias Toffoli, j. 29-10-2013, 1ª T, DJE de 24-3-2014 Vide Rcl 4.119 AgR, rel. min. Cármen Lúcia, j. 6-10-2011, P, DJE de 28-10-2011 Servidor do Departamento Nacional de Estradas e Rodagem (DNER) demitido por ato de improbidade administrativa e por se valer do cargo para obter proveito pessoal de outrem, em detrimento da dignidade da função pública, com base no art. 11, caput e I, da Lei 8.429/1992; e art. 117, IX, da Lei 8.112/1990. (...) Ato de improbidade: a aplicação das penalidades previstas na Lei 8.429/1992 não incumbe à administração, eis que privativa do P</w:t>
      </w:r>
    </w:p>
    <w:p>
      <w:pPr>
        <w:ind w:left="288"/>
      </w:pPr>
      <w:r>
        <w:rPr>
          <w:b/>
          <w:color w:val="003CA0"/>
          <w:sz w:val="16"/>
        </w:rPr>
        <w:t>[RMS 24.699, rel. min. Eros Grau, j. 30-11-2004, 1ª T, DJ de 1º-7-2005.]</w:t>
      </w:r>
    </w:p>
    <w:p>
      <w:pPr>
        <w:ind w:left="288"/>
      </w:pPr>
      <w:r>
        <w:rPr>
          <w:color w:val="8C8C8C"/>
          <w:sz w:val="12"/>
        </w:rPr>
        <w:t>cf-art-37-par-5</w:t>
      </w:r>
      <w:r>
        <w:rPr>
          <w:color w:val="003CA0"/>
          <w:sz w:val="12"/>
        </w:rPr>
        <w:t xml:space="preserve"> | ADPF 1.060</w:t>
      </w:r>
      <w:r>
        <w:rPr>
          <w:color w:val="003CA0"/>
          <w:sz w:val="12"/>
        </w:rPr>
        <w:t xml:space="preserve"> | rel. Dias Toffoli</w:t>
      </w:r>
    </w:p>
    <w:p>
      <w:pPr>
        <w:ind w:left="288"/>
      </w:pPr>
      <w:r>
        <w:rPr>
          <w:color w:val="1E1E1E"/>
          <w:sz w:val="18"/>
        </w:rPr>
        <w:t>“Prescrevem em 5 anos, a contar da publicação da ata de julgamento da presente ação, as pretensões de indenização propostas contra a União por filhos de pessoas atingidas pela hanseníase cujo fundamento seja o afastamento forçado promovido pelo Estado entre eles e seus pais, sem prejuízo da necessária demonstração, em cada caso, dos pressupostos da responsabilização civil do Estado”</w:t>
      </w:r>
    </w:p>
    <w:p>
      <w:pPr>
        <w:ind w:left="288"/>
      </w:pPr>
      <w:r>
        <w:rPr>
          <w:b/>
          <w:color w:val="003CA0"/>
          <w:sz w:val="16"/>
        </w:rPr>
        <w:t>[ADPF 1.060, rel. min. Dias Toffoli, j. 26.09.2025, P, Informativo STF 1.192.]</w:t>
      </w:r>
    </w:p>
    <w:p>
      <w:pPr>
        <w:ind w:left="288"/>
      </w:pPr>
      <w:r>
        <w:rPr>
          <w:color w:val="8C8C8C"/>
          <w:sz w:val="12"/>
        </w:rPr>
        <w:t>cf-art-37-par-5</w:t>
      </w:r>
      <w:r>
        <w:rPr>
          <w:color w:val="003CA0"/>
          <w:sz w:val="12"/>
        </w:rPr>
        <w:t xml:space="preserve"> | ARE 1.435.557</w:t>
      </w:r>
      <w:r>
        <w:rPr>
          <w:color w:val="003CA0"/>
          <w:sz w:val="12"/>
        </w:rPr>
        <w:t xml:space="preserve"> | rel. Alexandre de Moraes</w:t>
      </w:r>
    </w:p>
    <w:p>
      <w:pPr>
        <w:ind w:left="288"/>
      </w:pPr>
      <w:r>
        <w:rPr>
          <w:color w:val="1E1E1E"/>
          <w:sz w:val="18"/>
        </w:rPr>
        <w:t>De acordo com a redação original da Lei 8.429/1992, aplicável ao caso concreto, a contagem do prazo prescricional para a Ação de Improbidade Administrativa deve iniciar a partir do dia subsequente ao término do exercício do mandato - ou seja, do encerramento do vínculo do agente com a Administração Pública (art. 23, I). Em caso de reeleição do agente público, hipótese em que o vínculo com a Administração Pública é mantido, inicia-se o prazo prescricional no dia subsequente ao término do novo mandato.</w:t>
        <w:br/>
        <w:t>[ARE 1.435.557 AgR, rel. min. Alexandre de Moraes, j. 8-11-2023, 1ª T, DJE de 20-11-2023.]</w:t>
      </w:r>
    </w:p>
    <w:p>
      <w:pPr>
        <w:ind w:left="144"/>
      </w:pPr>
      <w:r>
        <w:rPr>
          <w:b/>
          <w:color w:val="B45A00"/>
          <w:sz w:val="16"/>
        </w:rPr>
        <w:t>REPERCUSSAO GERAL</w:t>
      </w:r>
    </w:p>
    <w:p>
      <w:pPr>
        <w:ind w:left="288"/>
      </w:pPr>
      <w:r>
        <w:rPr>
          <w:color w:val="8C8C8C"/>
          <w:sz w:val="12"/>
        </w:rPr>
        <w:t>cf-art-37-par-5</w:t>
      </w:r>
      <w:r>
        <w:rPr>
          <w:color w:val="003CA0"/>
          <w:sz w:val="12"/>
        </w:rPr>
        <w:t xml:space="preserve"> | RE 1.371.095</w:t>
      </w:r>
      <w:r>
        <w:rPr>
          <w:color w:val="003CA0"/>
          <w:sz w:val="12"/>
        </w:rPr>
        <w:t xml:space="preserve"> | rel. Luiz Fux</w:t>
      </w:r>
    </w:p>
    <w:p>
      <w:pPr>
        <w:ind w:left="288"/>
      </w:pPr>
      <w:r>
        <w:rPr>
          <w:color w:val="1E1E1E"/>
          <w:sz w:val="18"/>
        </w:rPr>
        <w:t>É infraconstitucional, a ela se aplicando os efeitos da ausência de repercussão geral, a controvérsia relativa à validade da constituição e inscrição em dívida ativa de créditos referentes a benefícios previdenciários ou assistenciais pagos indevidamente ou além do devido, constituídos por processos administrativos iniciados antes da vigência da Medida Provisória 780/2017, convertida na Lei 13.494/2017, e da Medida Provisória 871/2019, convertida na Lei 13.846/2019, bem como a discussão sobre a necessidade de seu refazimento.</w:t>
      </w:r>
    </w:p>
    <w:p>
      <w:pPr>
        <w:ind w:left="288"/>
      </w:pPr>
      <w:r>
        <w:rPr>
          <w:b/>
          <w:color w:val="003CA0"/>
          <w:sz w:val="16"/>
        </w:rPr>
        <w:t>[RE 1.371.095 RG, rel. min. Luiz Fux, j. 30-6-2022, P, DJE de 4-7-2022, Tema 1.222, com repercussão geral negada.]</w:t>
      </w:r>
    </w:p>
    <w:p>
      <w:pPr>
        <w:ind w:left="288"/>
      </w:pPr>
      <w:r>
        <w:rPr>
          <w:color w:val="8C8C8C"/>
          <w:sz w:val="12"/>
        </w:rPr>
        <w:t>cf-art-37-par-5</w:t>
      </w:r>
      <w:r>
        <w:rPr>
          <w:color w:val="003CA0"/>
          <w:sz w:val="12"/>
        </w:rPr>
        <w:t xml:space="preserve"> | RE 636.886</w:t>
      </w:r>
      <w:r>
        <w:rPr>
          <w:color w:val="003CA0"/>
          <w:sz w:val="12"/>
        </w:rPr>
        <w:t xml:space="preserve"> | rel. Alexandre de Moraes</w:t>
      </w:r>
    </w:p>
    <w:p>
      <w:pPr>
        <w:ind w:left="288"/>
      </w:pPr>
      <w:r>
        <w:rPr>
          <w:color w:val="1E1E1E"/>
          <w:sz w:val="18"/>
        </w:rPr>
        <w:t>É prescritível a pretensão de ressarcimento ao erário fundada em decisão de Tribunal de Contas.</w:t>
      </w:r>
    </w:p>
    <w:p>
      <w:pPr>
        <w:ind w:left="288"/>
      </w:pPr>
      <w:r>
        <w:rPr>
          <w:b/>
          <w:color w:val="003CA0"/>
          <w:sz w:val="16"/>
        </w:rPr>
        <w:t>[RE 636.886, rel. min. Alexandre de Moraes, j. 20-4-2020, P, DJE de 24-6-2020, Tema 899, com mérito julgado.]</w:t>
      </w:r>
    </w:p>
    <w:p>
      <w:pPr>
        <w:ind w:left="288"/>
      </w:pPr>
      <w:r>
        <w:rPr>
          <w:color w:val="8C8C8C"/>
          <w:sz w:val="12"/>
        </w:rPr>
        <w:t>cf-art-37-par-5</w:t>
      </w:r>
      <w:r>
        <w:rPr>
          <w:color w:val="003CA0"/>
          <w:sz w:val="12"/>
        </w:rPr>
        <w:t xml:space="preserve"> | RE 852.475</w:t>
      </w:r>
    </w:p>
    <w:p>
      <w:pPr>
        <w:ind w:left="288"/>
      </w:pPr>
      <w:r>
        <w:rPr>
          <w:color w:val="1E1E1E"/>
          <w:sz w:val="18"/>
        </w:rPr>
        <w:t>O texto constitucional é expresso (art. 37, § 5º, CRFB) ao prever que a lei estabelecerá os prazos de prescrição para ilícitos na esfera cível ou penal, aqui entendidas em sentido amplo, que gerem prejuízo ao erário e sejam praticados por qualquer agente. A Constituição, no mesmo dispositivo (art. 37, § 5º, CRFB) decota de tal comando para o Legislador as ações cíveis de ressarcimento ao erário, tornando-as, assim, imprescritíveis. São, portanto, imprescritíveis as ações de ressarcimento ao erário fundadas na prática de ato doloso tipificado na Lei de Improbidade Administrativa.</w:t>
      </w:r>
    </w:p>
    <w:p>
      <w:pPr>
        <w:ind w:left="288"/>
      </w:pPr>
      <w:r>
        <w:rPr>
          <w:b/>
          <w:color w:val="003CA0"/>
          <w:sz w:val="16"/>
        </w:rPr>
        <w:t>[RE 852.475, red. do ac. min. Edson Fachin, j. 8-8-2018, P, DJE de 25-3-2019, Tema 897, com mérito julgado.]</w:t>
      </w:r>
    </w:p>
    <w:p>
      <w:pPr>
        <w:ind w:left="288"/>
      </w:pPr>
      <w:r>
        <w:rPr>
          <w:color w:val="8C8C8C"/>
          <w:sz w:val="12"/>
        </w:rPr>
        <w:t>cf-art-37-par-5</w:t>
      </w:r>
      <w:r>
        <w:rPr>
          <w:color w:val="003CA0"/>
          <w:sz w:val="12"/>
        </w:rPr>
        <w:t xml:space="preserve"> | RE 669.069</w:t>
      </w:r>
      <w:r>
        <w:rPr>
          <w:color w:val="003CA0"/>
          <w:sz w:val="12"/>
        </w:rPr>
        <w:t xml:space="preserve"> | rel. Teori Zavascki</w:t>
      </w:r>
    </w:p>
    <w:p>
      <w:pPr>
        <w:ind w:left="288"/>
      </w:pPr>
      <w:r>
        <w:rPr>
          <w:color w:val="1E1E1E"/>
          <w:sz w:val="18"/>
        </w:rPr>
        <w:t>É prescritível a ação de reparação de danos à Fazenda Pública decorrente de ilícito civil.</w:t>
      </w:r>
    </w:p>
    <w:p>
      <w:pPr>
        <w:ind w:left="288"/>
      </w:pPr>
      <w:r>
        <w:rPr>
          <w:b/>
          <w:color w:val="003CA0"/>
          <w:sz w:val="16"/>
        </w:rPr>
        <w:t>[RE 669.069, rel. min. Teori Zavascki, j. 3-2-2016, P, DJE de 28-4-2016, Tema 666, com mérito julgado.]</w:t>
      </w:r>
    </w:p>
    <w:p>
      <w:pPr>
        <w:ind w:left="288"/>
      </w:pPr>
      <w:r>
        <w:rPr>
          <w:color w:val="8C8C8C"/>
          <w:sz w:val="12"/>
        </w:rPr>
        <w:t>cf-art-37-par-5</w:t>
      </w:r>
      <w:r>
        <w:rPr>
          <w:color w:val="003CA0"/>
          <w:sz w:val="12"/>
        </w:rPr>
        <w:t xml:space="preserve"> | ARE 1.542.302</w:t>
      </w:r>
      <w:r>
        <w:rPr>
          <w:color w:val="003CA0"/>
          <w:sz w:val="12"/>
        </w:rPr>
        <w:t xml:space="preserve"> | rel. Flávio Dino</w:t>
      </w:r>
    </w:p>
    <w:p>
      <w:pPr>
        <w:ind w:left="288"/>
      </w:pPr>
      <w:r>
        <w:rPr>
          <w:color w:val="1E1E1E"/>
          <w:sz w:val="18"/>
        </w:rPr>
        <w:t>A imprescritibilidade das ações de ressarcimento ao Erário não se restringe apenas aos atos de improbidade que causam prejuízo patrimonial direto (art. 10 da LIA), mas também abrange aqueles que importam enriquecimento ilícito (art. 9º da LIA) e os que violam os deveres de honestidade, imparcialidade e legalidade (art. 11 da LIA), desde que deles resulte dano ao patrimônio público. A exigência de comprovação de responsabilidade subjetiva (dolo) para a tipificação dos atos de improbidade administrativa, assentada no Tema 1.199, não condiciona as ações de ressarcimento exclusivamente às condutas</w:t>
      </w:r>
    </w:p>
    <w:p>
      <w:pPr>
        <w:ind w:left="288"/>
      </w:pPr>
      <w:r>
        <w:rPr>
          <w:b/>
          <w:color w:val="003CA0"/>
          <w:sz w:val="16"/>
        </w:rPr>
        <w:t>[ARE 1.542.302 AgR, rel. min. Flávio Dino, j. 25.08.2025, 1ª T, DJE de 29.08.2025.]</w:t>
      </w:r>
    </w:p>
    <w:p>
      <w:pPr>
        <w:ind w:left="288"/>
      </w:pPr>
      <w:r>
        <w:rPr>
          <w:color w:val="8C8C8C"/>
          <w:sz w:val="12"/>
        </w:rPr>
        <w:t>cf-art-37-par-5</w:t>
      </w:r>
      <w:r>
        <w:rPr>
          <w:color w:val="003CA0"/>
          <w:sz w:val="12"/>
        </w:rPr>
        <w:t xml:space="preserve"> | MS 24.519</w:t>
      </w:r>
      <w:r>
        <w:rPr>
          <w:color w:val="003CA0"/>
          <w:sz w:val="12"/>
        </w:rPr>
        <w:t xml:space="preserve"> | rel. Eros Grau. Incidência</w:t>
      </w:r>
    </w:p>
    <w:p>
      <w:pPr>
        <w:ind w:left="288"/>
      </w:pPr>
      <w:r>
        <w:rPr>
          <w:color w:val="1E1E1E"/>
          <w:sz w:val="18"/>
        </w:rPr>
        <w:t>TCU. Bolsista do CNPq. Descumprimento da obrigação de retornar ao País após término da concessão de bolsa para estudo no exterior. Ressarcimento ao erário. Inocorrência de prescrição. Denegação da segurança. O beneficiário de bolsa de estudos no exterior patrocinada pelo poder público não pode alegar desconhecimento de obrigação constante no contrato por ele subscrito e nas normas do órgão provedor. Precedente: MS 24.519, rel. min. Eros Grau. Incidência, na espécie, do disposto no art. 37, § 5º, da CF, no tocante à alegada prescrição.</w:t>
        <w:br/>
        <w:t xml:space="preserve">[MS 26.210, rel. min. Ricardo Lewandowski, j. 4-9-2008, P, </w:t>
      </w:r>
    </w:p>
    <w:p>
      <w:pPr>
        <w:ind w:left="144"/>
      </w:pPr>
      <w:r>
        <w:rPr>
          <w:b/>
          <w:color w:val="B45A00"/>
          <w:sz w:val="16"/>
        </w:rPr>
        <w:t>CONTROLE CONCENTRADO</w:t>
      </w:r>
    </w:p>
    <w:p>
      <w:pPr>
        <w:ind w:left="288"/>
      </w:pPr>
      <w:r>
        <w:rPr>
          <w:color w:val="8C8C8C"/>
          <w:sz w:val="12"/>
        </w:rPr>
        <w:t>cf-art-37-par-6</w:t>
      </w:r>
      <w:r>
        <w:rPr>
          <w:color w:val="003CA0"/>
          <w:sz w:val="12"/>
        </w:rPr>
        <w:t xml:space="preserve"> | ADI 6.428</w:t>
      </w:r>
      <w:r>
        <w:rPr>
          <w:color w:val="003CA0"/>
          <w:sz w:val="12"/>
        </w:rPr>
        <w:t xml:space="preserve"> | rel. Luís Roberto Barroso</w:t>
      </w:r>
    </w:p>
    <w:p>
      <w:pPr>
        <w:ind w:left="288"/>
      </w:pPr>
      <w:r>
        <w:rPr>
          <w:color w:val="1E1E1E"/>
          <w:sz w:val="18"/>
        </w:rPr>
        <w:t>“1. Compete ao legislador ordinário dimensionar o conceito de culpa previsto no art. 37, § 6º, da CF, respeitado o princípio da proporcionalidade, em especial na sua vertente de vedação à proteção insuficiente. 2. Estão abrangidas pela ideia de erro grosseiro as noções de imprudência, negligência e imperícia, quando efetivamente graves.”</w:t>
        <w:br/>
        <w:t>[ADI 6.428, rel. min. Luís Roberto Barroso, j. 11.03.2024, P, DJE de 17.04.2024.] A unidade da Federação responde por danos causados a custodiado quando a prisão tenha decorrido de iniciativa própria.</w:t>
      </w:r>
    </w:p>
    <w:p>
      <w:pPr>
        <w:ind w:left="288"/>
      </w:pPr>
      <w:r>
        <w:rPr>
          <w:b/>
          <w:color w:val="003CA0"/>
          <w:sz w:val="16"/>
        </w:rPr>
        <w:t>[ADI 3.738, rel. min. Marco Aurélio, j. 3-11-2020, P, DJE de 10-2-2021.]</w:t>
      </w:r>
    </w:p>
    <w:p>
      <w:pPr>
        <w:ind w:left="288"/>
      </w:pPr>
      <w:r>
        <w:rPr>
          <w:color w:val="8C8C8C"/>
          <w:sz w:val="12"/>
        </w:rPr>
        <w:t>cf-art-37-par-6</w:t>
      </w:r>
      <w:r>
        <w:rPr>
          <w:color w:val="003CA0"/>
          <w:sz w:val="12"/>
        </w:rPr>
        <w:t xml:space="preserve"> | ADI 6.421</w:t>
      </w:r>
      <w:r>
        <w:rPr>
          <w:color w:val="003CA0"/>
          <w:sz w:val="12"/>
        </w:rPr>
        <w:t xml:space="preserve"> | rel. Roberto Barroso</w:t>
      </w:r>
    </w:p>
    <w:p>
      <w:pPr>
        <w:ind w:left="288"/>
      </w:pPr>
      <w:r>
        <w:rPr>
          <w:color w:val="1E1E1E"/>
          <w:sz w:val="18"/>
        </w:rPr>
        <w:t>Responsabilidade civil e administrativa de Agentes Públicos. Atos relacionados à pandemia de COVID-19. Medida Provisória 966/2020. (...) Configura erro grosseiro o ato administrativo que ensejar violação ao direito à vida, à saúde, ao meio ambiente equilibrado ou impactos adversos à economia, por inobservância: (i) de normas e critérios científicos e técnicos; ou (ii) dos princípios constitucionais da precaução e da prevenção. A autoridade a quem compete decidir deve exigir que as opiniões técnicas em que baseará sua decisão tratem expressamente: (i) das normas e critérios científicos e técnic</w:t>
      </w:r>
    </w:p>
    <w:p>
      <w:pPr>
        <w:ind w:left="288"/>
      </w:pPr>
      <w:r>
        <w:rPr>
          <w:b/>
          <w:color w:val="003CA0"/>
          <w:sz w:val="16"/>
        </w:rPr>
        <w:t>[ADI 6.421 MC, rel. min. Roberto Barroso, j. 21-5-2020, P, DJE de 12-11-2020.]</w:t>
      </w:r>
    </w:p>
    <w:p>
      <w:pPr>
        <w:ind w:left="288"/>
      </w:pPr>
      <w:r>
        <w:rPr>
          <w:color w:val="8C8C8C"/>
          <w:sz w:val="12"/>
        </w:rPr>
        <w:t>cf-art-37-par-6</w:t>
      </w:r>
      <w:r>
        <w:rPr>
          <w:color w:val="003CA0"/>
          <w:sz w:val="12"/>
        </w:rPr>
        <w:t xml:space="preserve"> | ADI 2.418</w:t>
      </w:r>
      <w:r>
        <w:rPr>
          <w:color w:val="003CA0"/>
          <w:sz w:val="12"/>
        </w:rPr>
        <w:t xml:space="preserve"> | rel. Teori Zavascki</w:t>
      </w:r>
    </w:p>
    <w:p>
      <w:pPr>
        <w:ind w:left="288"/>
      </w:pPr>
      <w:r>
        <w:rPr>
          <w:color w:val="1E1E1E"/>
          <w:sz w:val="18"/>
        </w:rPr>
        <w:t>É constitucional a norma decorrente do art. 1º-C da Lei 9.494/1997, que fixa em cinco anos o prazo prescricional para as ações de indenização por danos causados por agentes de pessoas jurídicas de direito público e de pessoas jurídicas de direito privado prestadoras de serviços públicos, reproduzindo a regra já estabelecida, para a União, os Estados e os Municípios, no art. 1º do Decreto 20.910/1932.</w:t>
      </w:r>
    </w:p>
    <w:p>
      <w:pPr>
        <w:ind w:left="288"/>
      </w:pPr>
      <w:r>
        <w:rPr>
          <w:b/>
          <w:color w:val="003CA0"/>
          <w:sz w:val="16"/>
        </w:rPr>
        <w:t>[ADI 2.418, rel. min. Teori Zavascki, j. 4-5-2016, P, DJE de 17-11-2016.]</w:t>
      </w:r>
    </w:p>
    <w:p>
      <w:pPr>
        <w:ind w:left="288"/>
      </w:pPr>
      <w:r>
        <w:rPr>
          <w:color w:val="8C8C8C"/>
          <w:sz w:val="12"/>
        </w:rPr>
        <w:t>cf-art-37-par-6</w:t>
      </w:r>
      <w:r>
        <w:rPr>
          <w:color w:val="003CA0"/>
          <w:sz w:val="12"/>
        </w:rPr>
        <w:t xml:space="preserve"> | ADI 1.358</w:t>
      </w:r>
      <w:r>
        <w:rPr>
          <w:color w:val="003CA0"/>
          <w:sz w:val="12"/>
        </w:rPr>
        <w:t xml:space="preserve"> | rel. Gilmar Mendes</w:t>
      </w:r>
    </w:p>
    <w:p>
      <w:pPr>
        <w:ind w:left="288"/>
      </w:pPr>
      <w:r>
        <w:rPr>
          <w:color w:val="1E1E1E"/>
          <w:sz w:val="18"/>
        </w:rPr>
        <w:t>Pensão especial a cônjuge de vítima assassinada no Distrito Federal. Lei que impõe ao Distrito Federal responsabilidade além da prevista no art. 37, § 6º, da Constituição. Inocorrência da hipótese de assistência social. Inconstitucionalidade do art. 1º da Lei 842/1994.</w:t>
      </w:r>
    </w:p>
    <w:p>
      <w:pPr>
        <w:ind w:left="288"/>
      </w:pPr>
      <w:r>
        <w:rPr>
          <w:b/>
          <w:color w:val="003CA0"/>
          <w:sz w:val="16"/>
        </w:rPr>
        <w:t>[ADI 1.358, rel. min. Gilmar Mendes, j. 4-2-2015, P, DJE de 3-3-2015.]</w:t>
      </w:r>
    </w:p>
    <w:p>
      <w:pPr>
        <w:ind w:left="288"/>
      </w:pPr>
      <w:r>
        <w:rPr>
          <w:color w:val="8C8C8C"/>
          <w:sz w:val="12"/>
        </w:rPr>
        <w:t>cf-art-37-par-6</w:t>
      </w:r>
      <w:r>
        <w:rPr>
          <w:color w:val="003CA0"/>
          <w:sz w:val="12"/>
        </w:rPr>
        <w:t xml:space="preserve"> | ADI 4.976</w:t>
      </w:r>
      <w:r>
        <w:rPr>
          <w:color w:val="003CA0"/>
          <w:sz w:val="12"/>
        </w:rPr>
        <w:t xml:space="preserve"> | rel. Ricardo Lewandowski</w:t>
      </w:r>
    </w:p>
    <w:p>
      <w:pPr>
        <w:ind w:left="288"/>
      </w:pPr>
      <w:r>
        <w:rPr>
          <w:color w:val="1E1E1E"/>
          <w:sz w:val="18"/>
        </w:rPr>
        <w:t>A disposição contida no art. 37, § 6º, da CF não esgota a matéria relacionada à responsabilidade civil imputável à administração; pois, em situações especiais de grave risco para a população ou de relevante interesse público, pode o Estado ampliar a respectiva responsabilidade, por danos decorrentes de sua ação ou omissão, para além das balizas do supramencionado dispositivo constitucional, inclusive por lei ordinária, dividindo os ônus decorrentes dessa extensão com toda a sociedade. Validade do oferecimento pela União, mediante autorização legal, de garantia adicional, de natureza tipicament</w:t>
      </w:r>
    </w:p>
    <w:p>
      <w:pPr>
        <w:ind w:left="288"/>
      </w:pPr>
      <w:r>
        <w:rPr>
          <w:b/>
          <w:color w:val="003CA0"/>
          <w:sz w:val="16"/>
        </w:rPr>
        <w:t>[ADI 4.976, rel. min. Ricardo Lewandowski, j. 7-5-2014, P, DJE de 30-10-2014.]</w:t>
      </w:r>
    </w:p>
    <w:p>
      <w:pPr>
        <w:ind w:left="288"/>
      </w:pPr>
      <w:r>
        <w:rPr>
          <w:color w:val="8C8C8C"/>
          <w:sz w:val="12"/>
        </w:rPr>
        <w:t>cf-art-37-par-6</w:t>
      </w:r>
      <w:r>
        <w:rPr>
          <w:color w:val="003CA0"/>
          <w:sz w:val="12"/>
        </w:rPr>
        <w:t xml:space="preserve"> | RE 632.115</w:t>
      </w:r>
      <w:r>
        <w:rPr>
          <w:color w:val="003CA0"/>
          <w:sz w:val="12"/>
        </w:rPr>
        <w:t xml:space="preserve"> | rel. Luís Roberto Barroso</w:t>
      </w:r>
    </w:p>
    <w:p>
      <w:pPr>
        <w:ind w:left="288"/>
      </w:pPr>
      <w:r>
        <w:rPr>
          <w:color w:val="1E1E1E"/>
          <w:sz w:val="18"/>
        </w:rPr>
        <w:t>“1. A imunidade material parlamentar (art. 53, caput, c/c art. 27, § 1º, e art. 29, VIII, CF/1988) configura excludente da responsabilidade civil objetiva do Estado (art. 37, § 6º, CF/1988), afastando qualquer pretensão indenizatória em face do ente público por opiniões, palavras e votos cobertos por essa garantia. 2. Nas hipóteses em que a conduta do parlamentar extrapolar os limites da imunidade material, eventual responsabilização recairá de forma pessoal, direta e exclusiva sobre o próprio parlamentar, sob o regime de responsabilidade civil subjetiva.”</w:t>
      </w:r>
    </w:p>
    <w:p>
      <w:pPr>
        <w:ind w:left="288"/>
      </w:pPr>
      <w:r>
        <w:rPr>
          <w:b/>
          <w:color w:val="003CA0"/>
          <w:sz w:val="16"/>
        </w:rPr>
        <w:t>[RE 632.115, rel. min. Luís Roberto Barroso, j. 29.09.2025, P, DJE de 01.12.2025, Tema 950, com mérito julgado.]</w:t>
      </w:r>
    </w:p>
    <w:p>
      <w:pPr>
        <w:ind w:left="288"/>
      </w:pPr>
      <w:r>
        <w:rPr>
          <w:color w:val="8C8C8C"/>
          <w:sz w:val="12"/>
        </w:rPr>
        <w:t>cf-art-37-par-6</w:t>
      </w:r>
      <w:r>
        <w:rPr>
          <w:color w:val="003CA0"/>
          <w:sz w:val="12"/>
        </w:rPr>
        <w:t xml:space="preserve"> | RE 1.298.647</w:t>
      </w:r>
      <w:r>
        <w:rPr>
          <w:color w:val="003CA0"/>
          <w:sz w:val="12"/>
        </w:rPr>
        <w:t xml:space="preserve"> | rel. Nunes Marques</w:t>
      </w:r>
    </w:p>
    <w:p>
      <w:pPr>
        <w:ind w:left="288"/>
      </w:pPr>
      <w:r>
        <w:rPr>
          <w:color w:val="1E1E1E"/>
          <w:sz w:val="18"/>
        </w:rPr>
        <w:t>“1. Não há responsabilidade subsidiária da Administração Pública por encargos trabalhistas gerados pelo inadimplemento de empresa prestadora de serviços contratada, se amparada exclusivamente na premissa da inversão do ônus da prova, remanescendo imprescindível a comprovação, pela parte autora, da efetiva existência de comportamento negligente ou nexo de causalidade entre o dano por ele invocado e a conduta comissiva ou omissiva do poder público. 2. Haverá comportamento negligente quando a Administração Pública permanecer inerte após o recebimento de notificação formal de que a empresa contrat</w:t>
      </w:r>
    </w:p>
    <w:p>
      <w:pPr>
        <w:ind w:left="288"/>
      </w:pPr>
      <w:r>
        <w:rPr>
          <w:b/>
          <w:color w:val="003CA0"/>
          <w:sz w:val="16"/>
        </w:rPr>
        <w:t>[RE 1.298.647, rel. min. Nunes Marques, j. 13.02.2025, P, DJE de 15.04.2025, Tema 1.118, com mérito julgado.]</w:t>
      </w:r>
    </w:p>
    <w:p>
      <w:pPr>
        <w:ind w:left="288"/>
      </w:pPr>
      <w:r>
        <w:rPr>
          <w:color w:val="8C8C8C"/>
          <w:sz w:val="12"/>
        </w:rPr>
        <w:t>cf-art-37-par-6</w:t>
      </w:r>
      <w:r>
        <w:rPr>
          <w:color w:val="003CA0"/>
          <w:sz w:val="12"/>
        </w:rPr>
        <w:t xml:space="preserve"> | RE 1.522.507</w:t>
      </w:r>
      <w:r>
        <w:rPr>
          <w:color w:val="003CA0"/>
          <w:sz w:val="12"/>
        </w:rPr>
        <w:t xml:space="preserve"> | rel. Luís Roberto Barroso</w:t>
      </w:r>
    </w:p>
    <w:p>
      <w:pPr>
        <w:ind w:left="288"/>
      </w:pPr>
      <w:r>
        <w:rPr>
          <w:color w:val="1E1E1E"/>
          <w:sz w:val="18"/>
        </w:rPr>
        <w:t>“É infraconstitucional e pressupõe o exame de matéria fática a controvérsia sobre a legitimidade para o cumprimento individual de sentença coletiva”.</w:t>
      </w:r>
    </w:p>
    <w:p>
      <w:pPr>
        <w:ind w:left="288"/>
      </w:pPr>
      <w:r>
        <w:rPr>
          <w:b/>
          <w:color w:val="003CA0"/>
          <w:sz w:val="16"/>
        </w:rPr>
        <w:t>[RE 1.522.507 RG, rel. min. Luís Roberto Barroso, j. 11.11.2024, P, DJE de 14.11.2024, Tema 1.354, com repercussão geral negada.]</w:t>
      </w:r>
    </w:p>
    <w:p>
      <w:pPr>
        <w:ind w:left="144"/>
      </w:pPr>
      <w:r>
        <w:rPr>
          <w:b/>
          <w:color w:val="B45A00"/>
          <w:sz w:val="16"/>
        </w:rPr>
        <w:t>REPERCUSSAO GERAL</w:t>
      </w:r>
    </w:p>
    <w:p>
      <w:pPr>
        <w:ind w:left="288"/>
      </w:pPr>
      <w:r>
        <w:rPr>
          <w:color w:val="8C8C8C"/>
          <w:sz w:val="12"/>
        </w:rPr>
        <w:t>cf-art-37-par-6</w:t>
      </w:r>
      <w:r>
        <w:rPr>
          <w:color w:val="003CA0"/>
          <w:sz w:val="12"/>
        </w:rPr>
        <w:t xml:space="preserve"> | RE 1.455.038</w:t>
      </w:r>
      <w:r>
        <w:rPr>
          <w:color w:val="003CA0"/>
          <w:sz w:val="12"/>
        </w:rPr>
        <w:t xml:space="preserve"> | rel. Luís Roberto Barroso</w:t>
      </w:r>
    </w:p>
    <w:p>
      <w:pPr>
        <w:ind w:left="288"/>
      </w:pPr>
      <w:r>
        <w:rPr>
          <w:color w:val="1E1E1E"/>
          <w:sz w:val="18"/>
        </w:rPr>
        <w:t>“O adiamento de exame de concurso público por motivo de biossegurança relacionado à pandemia do COVID19 não impõe ao Estado o dever de indenizar”.</w:t>
        <w:br/>
        <w:t>[RE 1.455.038 RG, rel. min. Luís Roberto Barroso, j. 05.11.2024, P, DJE de 08.11.2024, Tema 1.347, com mérito julgado.] “É infraconstitucional e pressupõe o exame de matéria fática a controvérsia sobre a responsabilidade civil do Estado por exposição de agentes públicos a pesticida organoclorado DDT, a partir da ciência de toxidade do agente químico”.</w:t>
      </w:r>
    </w:p>
    <w:p>
      <w:pPr>
        <w:ind w:left="288"/>
      </w:pPr>
      <w:r>
        <w:rPr>
          <w:b/>
          <w:color w:val="003CA0"/>
          <w:sz w:val="16"/>
        </w:rPr>
        <w:t>[ARE 1.515.052 RG, rel. min. Luís Roberto Barroso, j. 27.09.2024, P, DJE de 01.10.2024, Tema 1.325, com repercussão geral negada.]</w:t>
      </w:r>
    </w:p>
    <w:p>
      <w:pPr>
        <w:ind w:left="288"/>
      </w:pPr>
      <w:r>
        <w:rPr>
          <w:color w:val="8C8C8C"/>
          <w:sz w:val="12"/>
        </w:rPr>
        <w:t>cf-art-37-par-6</w:t>
      </w:r>
      <w:r>
        <w:rPr>
          <w:color w:val="003CA0"/>
          <w:sz w:val="12"/>
        </w:rPr>
        <w:t xml:space="preserve"> | ARE 1.385.315</w:t>
      </w:r>
      <w:r>
        <w:rPr>
          <w:color w:val="003CA0"/>
          <w:sz w:val="12"/>
        </w:rPr>
        <w:t xml:space="preserve"> | rel. Edson Fachin</w:t>
      </w:r>
    </w:p>
    <w:p>
      <w:pPr>
        <w:ind w:left="288"/>
      </w:pPr>
      <w:r>
        <w:rPr>
          <w:color w:val="1E1E1E"/>
          <w:sz w:val="18"/>
        </w:rPr>
        <w:t>“(i) O Estado é responsável, na esfera cível, por morte ou ferimento decorrente de operações de segurança pública, nos termos da Teoria do Risco Administrativo; (ii) é ônus probatório do ente federativo demonstrar eventuais excludentes de responsabilidade civil; (iii) a perícia inconclusiva sobre a origem de disparo fatal durante operações policiais e militares não é suficiente, por si só, para afastar a responsabilidade civil do Estado, por constituir elemento indiciário”.</w:t>
        <w:br/>
        <w:t>[ARE 1.385.315, voto do rel. min. Edson Fachin, j. 11.04.2024, P, DJE de 13.06.2024, Tema 1.237, com mérito julgado.] É o</w:t>
      </w:r>
    </w:p>
    <w:p>
      <w:pPr>
        <w:ind w:left="288"/>
      </w:pPr>
      <w:r>
        <w:rPr>
          <w:b/>
          <w:color w:val="003CA0"/>
          <w:sz w:val="16"/>
        </w:rPr>
        <w:t>[RE 1.209.429, red. do ac. Min. Alexandre de Moraes, rel. min. Marco Aurélio, j. 10-6-2021, P, DJE de 20-10-2021, RG, Tema 1.055, com mérito julgado.]</w:t>
      </w:r>
    </w:p>
    <w:p>
      <w:pPr>
        <w:ind w:left="288"/>
      </w:pPr>
      <w:r>
        <w:rPr>
          <w:color w:val="8C8C8C"/>
          <w:sz w:val="12"/>
        </w:rPr>
        <w:t>cf-art-37-par-6</w:t>
      </w:r>
      <w:r>
        <w:rPr>
          <w:color w:val="003CA0"/>
          <w:sz w:val="12"/>
        </w:rPr>
        <w:t xml:space="preserve"> | RE 608.880</w:t>
      </w:r>
    </w:p>
    <w:p>
      <w:pPr>
        <w:ind w:left="288"/>
      </w:pPr>
      <w:r>
        <w:rPr>
          <w:color w:val="1E1E1E"/>
          <w:sz w:val="18"/>
        </w:rPr>
        <w:t>Nos termos do artigo 37, § 6º, da Constituição Federal, não se caracteriza a responsabilidade civil objetiva do Estado por danos decorrentes de crime praticado por pessoa foragida do sistema prisional, quando não demonstrado o nexo causal direto entre o momento da fuga e a conduta praticada.</w:t>
      </w:r>
    </w:p>
    <w:p>
      <w:pPr>
        <w:ind w:left="288"/>
      </w:pPr>
      <w:r>
        <w:rPr>
          <w:b/>
          <w:color w:val="003CA0"/>
          <w:sz w:val="16"/>
        </w:rPr>
        <w:t>[RE 608.880, red. do ac. min. Alexandre de Moraes, j. 8-9-2020, P, DJE de 1º-10-2020, Tema 362, com mérito julgado.]</w:t>
      </w:r>
    </w:p>
    <w:p>
      <w:pPr>
        <w:ind w:left="288"/>
      </w:pPr>
      <w:r>
        <w:rPr>
          <w:color w:val="8C8C8C"/>
          <w:sz w:val="12"/>
        </w:rPr>
        <w:t>cf-art-37-par-6</w:t>
      </w:r>
      <w:r>
        <w:rPr>
          <w:color w:val="003CA0"/>
          <w:sz w:val="12"/>
        </w:rPr>
        <w:t xml:space="preserve"> | ARE 884.325</w:t>
      </w:r>
      <w:r>
        <w:rPr>
          <w:color w:val="003CA0"/>
          <w:sz w:val="12"/>
        </w:rPr>
        <w:t xml:space="preserve"> | rel. Edson Fachin</w:t>
      </w:r>
    </w:p>
    <w:p>
      <w:pPr>
        <w:ind w:left="288"/>
      </w:pPr>
      <w:r>
        <w:rPr>
          <w:color w:val="1E1E1E"/>
          <w:sz w:val="18"/>
        </w:rPr>
        <w:t>A responsabilidade civil do Estado ocorre sempre que preenchidos os seguintes requisitos: a) dano; b) ação administrativa; c) nexo causal entre o dano e ação administrativa. Precedentes. A atuação do Estado sobre o domínio econômico por meio de normas de direção pode, potencialmente, atingir a lucratividade dos agentes econômicos. A política de fixação de preços constitui, em si mesma, uma limitação de lucros, razão pela qual a indenizabilidade de eventual dano atinge somente o efetivo prejuízo econômico, apurado por meio de perícia técnica. Hipótese em que não se demonstrou o efetivo prejuízo</w:t>
      </w:r>
    </w:p>
    <w:p>
      <w:pPr>
        <w:ind w:left="288"/>
      </w:pPr>
      <w:r>
        <w:rPr>
          <w:b/>
          <w:color w:val="003CA0"/>
          <w:sz w:val="16"/>
        </w:rPr>
        <w:t>[ARE 884.325, rel. min. Edson Fachin, j. 18-8-2020, P, DJE de 4-9-2020, Tema 826, com mérito julgado.]</w:t>
      </w:r>
    </w:p>
    <w:p>
      <w:pPr>
        <w:ind w:left="288"/>
      </w:pPr>
      <w:r>
        <w:rPr>
          <w:color w:val="8C8C8C"/>
          <w:sz w:val="12"/>
        </w:rPr>
        <w:t>cf-art-37-par-6</w:t>
      </w:r>
      <w:r>
        <w:rPr>
          <w:color w:val="003CA0"/>
          <w:sz w:val="12"/>
        </w:rPr>
        <w:t xml:space="preserve"> | RE 662.405</w:t>
      </w:r>
      <w:r>
        <w:rPr>
          <w:color w:val="003CA0"/>
          <w:sz w:val="12"/>
        </w:rPr>
        <w:t xml:space="preserve"> | rel. Luiz Fux</w:t>
      </w:r>
    </w:p>
    <w:p>
      <w:pPr>
        <w:ind w:left="288"/>
      </w:pPr>
      <w:r>
        <w:rPr>
          <w:color w:val="1E1E1E"/>
          <w:sz w:val="18"/>
        </w:rPr>
        <w:t>O Estado responde subsidiariamente por danos materiais causados a candidatos em concurso público organizado por pessoa jurídica de direito privado (art. 37, § 6º, da CRFB/88), quando os exames são cancelados por indícios de fraude.</w:t>
      </w:r>
    </w:p>
    <w:p>
      <w:pPr>
        <w:ind w:left="288"/>
      </w:pPr>
      <w:r>
        <w:rPr>
          <w:b/>
          <w:color w:val="003CA0"/>
          <w:sz w:val="16"/>
        </w:rPr>
        <w:t>[RE 662.405, rel. min. Luiz Fux, j. 29-6-2020, P, DJE de 13-8-2020 Tema 512, com mérito julgado.]</w:t>
      </w:r>
    </w:p>
    <w:p>
      <w:pPr>
        <w:ind w:left="288"/>
      </w:pPr>
      <w:r>
        <w:rPr>
          <w:color w:val="8C8C8C"/>
          <w:sz w:val="12"/>
        </w:rPr>
        <w:t>cf-art-37-par-6</w:t>
      </w:r>
      <w:r>
        <w:rPr>
          <w:color w:val="003CA0"/>
          <w:sz w:val="12"/>
        </w:rPr>
        <w:t xml:space="preserve"> | RE 136.861</w:t>
      </w:r>
    </w:p>
    <w:p>
      <w:pPr>
        <w:ind w:left="288"/>
      </w:pPr>
      <w:r>
        <w:rPr>
          <w:color w:val="1E1E1E"/>
          <w:sz w:val="18"/>
        </w:rPr>
        <w:t>Para que fique caracterizada a responsabilidade civil do Estado por danos decorrentes do comércio de fogos de artifício, é necessário que exista a violação de um dever jurídico específico de agir, que ocorrerá quando for concedida a licença para funcionamento sem as cautelas legais ou quando for de conhecimento do poder público eventuais irregularidades praticadas pelo particular.</w:t>
      </w:r>
    </w:p>
    <w:p>
      <w:pPr>
        <w:ind w:left="288"/>
      </w:pPr>
      <w:r>
        <w:rPr>
          <w:b/>
          <w:color w:val="003CA0"/>
          <w:sz w:val="16"/>
        </w:rPr>
        <w:t>[RE 136.861, red. do ac. min. Alexandre de Moraes, j. 11-3-2020, P, DJE de 13-8-2020 Tema 366, com mérito julgado.]</w:t>
      </w:r>
    </w:p>
    <w:p>
      <w:pPr>
        <w:ind w:left="288"/>
      </w:pPr>
      <w:r>
        <w:rPr>
          <w:color w:val="8C8C8C"/>
          <w:sz w:val="12"/>
        </w:rPr>
        <w:t>cf-art-37-par-6</w:t>
      </w:r>
      <w:r>
        <w:rPr>
          <w:color w:val="003CA0"/>
          <w:sz w:val="12"/>
        </w:rPr>
        <w:t xml:space="preserve"> | RE 1.027.633</w:t>
      </w:r>
      <w:r>
        <w:rPr>
          <w:color w:val="003CA0"/>
          <w:sz w:val="12"/>
        </w:rPr>
        <w:t xml:space="preserve"> | rel. Marco Aurélio</w:t>
      </w:r>
    </w:p>
    <w:p>
      <w:pPr>
        <w:ind w:left="288"/>
      </w:pPr>
      <w:r>
        <w:rPr>
          <w:color w:val="1E1E1E"/>
          <w:sz w:val="18"/>
        </w:rPr>
        <w:t>A teor do disposto no artigo 37, § 6º, da Constituição Federal, a ação por danos causados por agente público deve ser ajuizada contra o Estado ou a pessoa jurídica privada prestadora de serviço público, sendo parte ilegítima passiva o autor do ato.</w:t>
      </w:r>
    </w:p>
    <w:p>
      <w:pPr>
        <w:ind w:left="288"/>
      </w:pPr>
      <w:r>
        <w:rPr>
          <w:b/>
          <w:color w:val="003CA0"/>
          <w:sz w:val="16"/>
        </w:rPr>
        <w:t>[RE 1.027.633, voto do rel. min. Marco Aurélio, j. 14-8-2019, P, DJE de 6-12-2019, Tema 940, com mérito julgado.]</w:t>
      </w:r>
    </w:p>
    <w:p>
      <w:pPr>
        <w:ind w:left="288"/>
      </w:pPr>
      <w:r>
        <w:rPr>
          <w:color w:val="8C8C8C"/>
          <w:sz w:val="12"/>
        </w:rPr>
        <w:t>cf-art-37-par-6</w:t>
      </w:r>
      <w:r>
        <w:rPr>
          <w:color w:val="003CA0"/>
          <w:sz w:val="12"/>
        </w:rPr>
        <w:t xml:space="preserve"> | RE 760.931</w:t>
      </w:r>
      <w:r>
        <w:rPr>
          <w:color w:val="003CA0"/>
          <w:sz w:val="12"/>
        </w:rPr>
        <w:t xml:space="preserve"> | rel. Roberto Barroso</w:t>
      </w:r>
    </w:p>
    <w:p>
      <w:pPr>
        <w:ind w:left="288"/>
      </w:pPr>
      <w:r>
        <w:rPr>
          <w:color w:val="1E1E1E"/>
          <w:sz w:val="18"/>
        </w:rPr>
        <w:t>O inadimplemento dos encargos trabalhistas dos empregados do contratado não transfere automaticamente ao poder público contratante a responsabilidade pelo seu pagamento, seja em caráter solidário ou subsidiário, nos termos do art. 71, § 1º, da Lei 8.666/1993.</w:t>
      </w:r>
    </w:p>
    <w:p>
      <w:pPr>
        <w:ind w:left="288"/>
      </w:pPr>
      <w:r>
        <w:rPr>
          <w:b/>
          <w:color w:val="003CA0"/>
          <w:sz w:val="16"/>
        </w:rPr>
        <w:t>[RE 760.931, red. do ac. min. Luiz Fux, j. 26-4-2017, P, DJE de 12-9-2017, Tema 246, com mérito julgado.]</w:t>
        <w:br/>
        <w:t>Vide Rcl 28.623 AgR, rel. min. Roberto Barroso, j. 12-12-2017, 1ª T,DJE de 7-2-2018</w:t>
        <w:br/>
        <w:t>Vide Rcl 12.580 AgR, rel. min. Celso de Mello, j. 21-2-2013,</w:t>
      </w:r>
    </w:p>
    <w:p>
      <w:pPr>
        <w:ind w:left="288"/>
      </w:pPr>
      <w:r>
        <w:rPr>
          <w:color w:val="8C8C8C"/>
          <w:sz w:val="12"/>
        </w:rPr>
        <w:t>cf-art-37-par-6</w:t>
      </w:r>
      <w:r>
        <w:rPr>
          <w:color w:val="003CA0"/>
          <w:sz w:val="12"/>
        </w:rPr>
        <w:t xml:space="preserve"> | RE 580.252</w:t>
      </w:r>
    </w:p>
    <w:p>
      <w:pPr>
        <w:ind w:left="288"/>
      </w:pPr>
      <w:r>
        <w:rPr>
          <w:color w:val="1E1E1E"/>
          <w:sz w:val="18"/>
        </w:rPr>
        <w:t>Considerando que é dever do Estado, imposto pelo sistema normativo, manter em seus presídios os padrões mínimos de humanidade previstos no ordenamento jurídico, é de sua responsabilidade, nos termos do art. 37, § 6º, da Constituição, a obrigação de ressarcir os danos, inclusive morais, comprovadamente causados aos detentos em decorrência da falta ou insuficiência das condições legais de encarceramento.</w:t>
        <w:br/>
        <w:t>[RE 580.252, red. do ac. min. Gilmar Mendes, j. 16-2-2017, P, DJE de 11-9-2017, Tema 365, com mérito julgado.]</w:t>
      </w:r>
    </w:p>
    <w:p>
      <w:pPr>
        <w:ind w:left="288"/>
      </w:pPr>
      <w:r>
        <w:rPr>
          <w:color w:val="8C8C8C"/>
          <w:sz w:val="12"/>
        </w:rPr>
        <w:t>cf-art-37-par-6</w:t>
      </w:r>
      <w:r>
        <w:rPr>
          <w:color w:val="003CA0"/>
          <w:sz w:val="12"/>
        </w:rPr>
        <w:t xml:space="preserve"> | RE 724.347</w:t>
      </w:r>
    </w:p>
    <w:p>
      <w:pPr>
        <w:ind w:left="288"/>
      </w:pPr>
      <w:r>
        <w:rPr>
          <w:color w:val="1E1E1E"/>
          <w:sz w:val="18"/>
        </w:rPr>
        <w:t>Responsabilidade civil do Estado. Investidura em cargo público por força de decisão judicial. Tese afirmada em repercussão geral: na hipótese de posse em cargo público determinada por decisão judicial, o servidor não faz jus a indenização, sob fundamento de que deveria ter sido investido em momento anterior, salvo situação de arbitrariedade flagrante.</w:t>
      </w:r>
    </w:p>
    <w:p>
      <w:pPr>
        <w:ind w:left="288"/>
      </w:pPr>
      <w:r>
        <w:rPr>
          <w:b/>
          <w:color w:val="003CA0"/>
          <w:sz w:val="16"/>
        </w:rPr>
        <w:t>[RE 724.347, red. do ac. min. Roberto Barroso, j. 26-2-2015, P, DJE de 13-5-2015, Tema 671, com mérito julgado.]</w:t>
      </w:r>
    </w:p>
    <w:p>
      <w:pPr>
        <w:ind w:left="288"/>
      </w:pPr>
      <w:r>
        <w:rPr>
          <w:color w:val="8C8C8C"/>
          <w:sz w:val="12"/>
        </w:rPr>
        <w:t>cf-art-37-par-6</w:t>
      </w:r>
      <w:r>
        <w:rPr>
          <w:color w:val="003CA0"/>
          <w:sz w:val="12"/>
        </w:rPr>
        <w:t xml:space="preserve"> | RE 339.852</w:t>
      </w:r>
      <w:r>
        <w:rPr>
          <w:color w:val="003CA0"/>
          <w:sz w:val="12"/>
        </w:rPr>
        <w:t xml:space="preserve"> | rel. Ayres Britto</w:t>
      </w:r>
    </w:p>
    <w:p>
      <w:pPr>
        <w:ind w:left="288"/>
      </w:pPr>
      <w:r>
        <w:rPr>
          <w:color w:val="1E1E1E"/>
          <w:sz w:val="18"/>
        </w:rPr>
        <w:t>Vide RE 339.852 AgR, rel. min. Ayres Britto, j. 26-4-2011, 2ª T, DJE de 18-8-2011 A responsabilidade civil das pessoas jurídicas de direito privado prestadoras de serviço público é objetiva relativamente a terceiros usuários, e não usuários do serviço, segundo decorre do art. 37, § 6º, da CF. A inequívoca presença do nexo de causalidade entre o ato administrativo e o dano causado ao terceiro não usuário do serviço público é condição suficiente para estabelecer a responsabilidade objetiva da pessoa jurídica de direito privado.</w:t>
        <w:br/>
        <w:t xml:space="preserve">[RE 591.874, rel. min. Ricardo Lewandowski, j. 26-8-2009, P, DJE de </w:t>
      </w:r>
    </w:p>
    <w:p>
      <w:pPr>
        <w:ind w:left="288"/>
      </w:pPr>
      <w:r>
        <w:rPr>
          <w:b/>
          <w:color w:val="003CA0"/>
          <w:sz w:val="16"/>
        </w:rPr>
        <w:t>[RE 1.546.513 AgR, rel. min. Nunes Marques, red. do ac. min. Gilmar Mendes, j. 30-12-2025, 2ª T, DJE de 12-2-2026.]</w:t>
      </w:r>
    </w:p>
    <w:p>
      <w:pPr>
        <w:ind w:left="288"/>
      </w:pPr>
      <w:r>
        <w:rPr>
          <w:color w:val="8C8C8C"/>
          <w:sz w:val="12"/>
        </w:rPr>
        <w:t>cf-art-37-par-6</w:t>
      </w:r>
      <w:r>
        <w:rPr>
          <w:color w:val="003CA0"/>
          <w:sz w:val="12"/>
        </w:rPr>
        <w:t xml:space="preserve"> | RE 1.467.145</w:t>
      </w:r>
      <w:r>
        <w:rPr>
          <w:color w:val="003CA0"/>
          <w:sz w:val="12"/>
        </w:rPr>
        <w:t xml:space="preserve"> | rel. Flávio Dino</w:t>
      </w:r>
    </w:p>
    <w:p>
      <w:pPr>
        <w:ind w:left="288"/>
      </w:pPr>
      <w:r>
        <w:rPr>
          <w:color w:val="1E1E1E"/>
          <w:sz w:val="18"/>
        </w:rPr>
        <w:t>“I) O Estado do Paraná, em conformidade com postulados adotados pelo Supremo Tribunal Federal na fixação da tese no Tema nº 1.055 da Repercussão Geral, responde objetivamente pelos danos concretos diretamente causados por ação de policiais durante a ‘Operação Centro Cívico’, ocorrida em 29 de abril de 2015. Cabe ao ente público demonstrar, em cada caso, os fatos que comprovem eventual excludente da responsabilidade civil. II) Não se presume o reconhecimento da excludente de culpa exclusiva da vítima unicamente pelo fato desta estar presente na manifestação.”</w:t>
      </w:r>
    </w:p>
    <w:p>
      <w:pPr>
        <w:ind w:left="288"/>
      </w:pPr>
      <w:r>
        <w:rPr>
          <w:b/>
          <w:color w:val="003CA0"/>
          <w:sz w:val="16"/>
        </w:rPr>
        <w:t>[RE 1.467.145, rel. min. Flávio Dino, j. 29-10-2025, P, DJE de 11-2-2026.]</w:t>
      </w:r>
    </w:p>
    <w:p>
      <w:pPr>
        <w:ind w:left="144"/>
      </w:pPr>
      <w:r>
        <w:rPr>
          <w:b/>
          <w:color w:val="B45A00"/>
          <w:sz w:val="16"/>
        </w:rPr>
        <w:t>JULGADOS CORRELATOS</w:t>
      </w:r>
    </w:p>
    <w:p>
      <w:pPr>
        <w:ind w:left="288"/>
      </w:pPr>
      <w:r>
        <w:rPr>
          <w:color w:val="8C8C8C"/>
          <w:sz w:val="12"/>
        </w:rPr>
        <w:t>cf-art-37-par-6</w:t>
      </w:r>
      <w:r>
        <w:rPr>
          <w:color w:val="003CA0"/>
          <w:sz w:val="12"/>
        </w:rPr>
        <w:t xml:space="preserve"> | RCL 58.799</w:t>
      </w:r>
      <w:r>
        <w:rPr>
          <w:color w:val="003CA0"/>
          <w:sz w:val="12"/>
        </w:rPr>
        <w:t xml:space="preserve"> | rel. Edson Fachin</w:t>
      </w:r>
    </w:p>
    <w:p>
      <w:pPr>
        <w:ind w:left="288"/>
      </w:pPr>
      <w:r>
        <w:rPr>
          <w:color w:val="1E1E1E"/>
          <w:sz w:val="18"/>
        </w:rPr>
        <w:t>Responsabilidade subsidiária da Administração. ADC nº 16/DF. RE nº 760.931-RG/DF; tema RG nº 246. Inobservância. (...) Esta Corte tem entendimento de que a responsabilidade não pode ser automática, devendo ser mensurados os riscos embutidos no posicionamento de validar a imputação de débitos trabalhistas à entidade contratante, descurando do liame mínimo entre conduta e dano ocorrido.</w:t>
        <w:br/>
        <w:t>[Rcl 58.799 AgR, rel. min. Edson Fachin, red. do ac. min. André Mendonça, j. 27.11.2023, 2ª T, DJE de 29.02.2024.] É necessário estruturar o nexo causal entre dano e ações estatais armadas de modo a contemplar es</w:t>
      </w:r>
    </w:p>
    <w:p>
      <w:pPr>
        <w:ind w:left="288"/>
      </w:pPr>
      <w:r>
        <w:rPr>
          <w:b/>
          <w:color w:val="003CA0"/>
          <w:sz w:val="16"/>
        </w:rPr>
        <w:t>[RE 598.356, rel. min. Marco Aurélio, j. 8-5-2018, 1ª T, DJE de 1º-8-2018.]</w:t>
      </w:r>
    </w:p>
    <w:p>
      <w:pPr>
        <w:ind w:left="288"/>
      </w:pPr>
      <w:r>
        <w:rPr>
          <w:color w:val="8C8C8C"/>
          <w:sz w:val="12"/>
        </w:rPr>
        <w:t>cf-art-37-par-6</w:t>
      </w:r>
      <w:r>
        <w:rPr>
          <w:color w:val="003CA0"/>
          <w:sz w:val="12"/>
        </w:rPr>
        <w:t xml:space="preserve"> | RE 571.969</w:t>
      </w:r>
      <w:r>
        <w:rPr>
          <w:color w:val="003CA0"/>
          <w:sz w:val="12"/>
        </w:rPr>
        <w:t xml:space="preserve"> | rel. Cármen Lúcia</w:t>
      </w:r>
    </w:p>
    <w:p>
      <w:pPr>
        <w:ind w:left="288"/>
      </w:pPr>
      <w:r>
        <w:rPr>
          <w:color w:val="1E1E1E"/>
          <w:sz w:val="18"/>
        </w:rPr>
        <w:t>Responsabilidade da União por danos causados à concessionária de serviço de transporte aéreo (Varig S/A). Ruptura do equilíbrio econômico-financeiro do contrato decorrente dos efeitos dos Planos “Funaro” e “Cruzado”. Dever de indenizar. Responsabilidade por atos lícitos quando deles decorrerem prejuízos para os particulares em condições de desigualdade com os demais. Observância do princípio da legalidade, do direito adquirido e do ato jurídico perfeito.</w:t>
      </w:r>
    </w:p>
    <w:p>
      <w:pPr>
        <w:ind w:left="288"/>
      </w:pPr>
      <w:r>
        <w:rPr>
          <w:b/>
          <w:color w:val="003CA0"/>
          <w:sz w:val="16"/>
        </w:rPr>
        <w:t>[RE 571.969, rel. min. Cármen Lúcia, j. 12-3-2014, P, DJE de 18-9-2014.]</w:t>
      </w:r>
    </w:p>
    <w:p>
      <w:pPr>
        <w:ind w:left="288"/>
      </w:pPr>
      <w:r>
        <w:rPr>
          <w:color w:val="8C8C8C"/>
          <w:sz w:val="12"/>
        </w:rPr>
        <w:t>cf-art-37-par-6</w:t>
      </w:r>
      <w:r>
        <w:rPr>
          <w:color w:val="003CA0"/>
          <w:sz w:val="12"/>
        </w:rPr>
        <w:t xml:space="preserve"> | RCL 12.580</w:t>
      </w:r>
      <w:r>
        <w:rPr>
          <w:color w:val="003CA0"/>
          <w:sz w:val="12"/>
        </w:rPr>
        <w:t xml:space="preserve"> | rel. Celso de Mello</w:t>
      </w:r>
    </w:p>
    <w:p>
      <w:pPr>
        <w:ind w:left="288"/>
      </w:pPr>
      <w:r>
        <w:rPr>
          <w:color w:val="1E1E1E"/>
          <w:sz w:val="18"/>
        </w:rPr>
        <w:t>Responsabilidade subsidiária da administração pública por débitos trabalhistas (Lei 8.666/1993, art. 71, § 1º). Ato judicial reclamado plenamente justificado, no caso, pelo reconhecimento de situação configuradora de culpa in vigilando, in eligendo ou in omittendo. Dever legal das entidades públicas contratantes de fiscalizar o cumprimento, por parte das empresas contratadas, das obrigações trabalhistas referentes aos empregados vinculados ao contrato celebrado (Lei 8.666/1993, art. 67).</w:t>
      </w:r>
    </w:p>
    <w:p>
      <w:pPr>
        <w:ind w:left="288"/>
      </w:pPr>
      <w:r>
        <w:rPr>
          <w:b/>
          <w:color w:val="003CA0"/>
          <w:sz w:val="16"/>
        </w:rPr>
        <w:t>[Rcl 12.580 AgR, rel. min. Celso de Mello, j. 21-2-2013, P, DJE de 13-3-2013.]</w:t>
      </w:r>
    </w:p>
    <w:p>
      <w:pPr>
        <w:ind w:left="288"/>
      </w:pPr>
      <w:r>
        <w:rPr>
          <w:color w:val="8C8C8C"/>
          <w:sz w:val="12"/>
        </w:rPr>
        <w:t>cf-art-37-par-6</w:t>
      </w:r>
      <w:r>
        <w:rPr>
          <w:color w:val="003CA0"/>
          <w:sz w:val="12"/>
        </w:rPr>
        <w:t xml:space="preserve"> | ADC 16</w:t>
      </w:r>
      <w:r>
        <w:rPr>
          <w:color w:val="003CA0"/>
          <w:sz w:val="12"/>
        </w:rPr>
        <w:t xml:space="preserve"> | rel. Cezar Peluso</w:t>
      </w:r>
    </w:p>
    <w:p>
      <w:pPr>
        <w:ind w:left="288"/>
      </w:pPr>
      <w:r>
        <w:rPr>
          <w:color w:val="1E1E1E"/>
          <w:sz w:val="18"/>
        </w:rPr>
        <w:t>Vide ADC 16, rel. min. Cezar Peluso, j. 24-11-2010, P, DJE de 9-9-2011 A omissão do poder público, quando lesiva aos direitos de qualquer pessoa, induz à responsabilidade civil objetiva do Estado, desde que presentes os pressupostos primários que lhe determinam a obrigação de indenizar os prejuízos que os seus agentes, nessa condição, hajam causado a terceiros.</w:t>
      </w:r>
    </w:p>
    <w:p>
      <w:pPr>
        <w:ind w:left="288"/>
      </w:pPr>
      <w:r>
        <w:rPr>
          <w:b/>
          <w:color w:val="003CA0"/>
          <w:sz w:val="16"/>
        </w:rPr>
        <w:t>[ARE 655.277 ED, rel. min. Celso de Mello, j. 24-4-2012, 2ª T, DJE de 12-6-2012.]</w:t>
      </w:r>
    </w:p>
    <w:p>
      <w:pPr>
        <w:ind w:left="288"/>
      </w:pPr>
      <w:r>
        <w:rPr>
          <w:color w:val="8C8C8C"/>
          <w:sz w:val="12"/>
        </w:rPr>
        <w:t>cf-art-37-par-6</w:t>
      </w:r>
      <w:r>
        <w:rPr>
          <w:color w:val="003CA0"/>
          <w:sz w:val="12"/>
        </w:rPr>
        <w:t xml:space="preserve"> | ARE 663.647</w:t>
      </w:r>
      <w:r>
        <w:rPr>
          <w:color w:val="003CA0"/>
          <w:sz w:val="12"/>
        </w:rPr>
        <w:t xml:space="preserve"> | rel. Cármen Lúcia</w:t>
      </w:r>
    </w:p>
    <w:p>
      <w:pPr>
        <w:ind w:left="288"/>
      </w:pPr>
      <w:r>
        <w:rPr>
          <w:color w:val="1E1E1E"/>
          <w:sz w:val="18"/>
        </w:rPr>
        <w:t>Professora. Tiro de arma de fogo desferido por aluno. Ofensa à integridade física em local de trabalho. Responsabilidade objetiva. Abrangência de atos omissivos.</w:t>
      </w:r>
    </w:p>
    <w:p>
      <w:pPr>
        <w:ind w:left="288"/>
      </w:pPr>
      <w:r>
        <w:rPr>
          <w:b/>
          <w:color w:val="003CA0"/>
          <w:sz w:val="16"/>
        </w:rPr>
        <w:t>[ARE 663.647 AgR, rel. min. Cármen Lúcia, j. 14-2-2012, 1ª T, DJE de 6-3-2012.]</w:t>
      </w:r>
    </w:p>
    <w:p>
      <w:pPr>
        <w:ind w:left="288"/>
      </w:pPr>
      <w:r>
        <w:rPr>
          <w:color w:val="8C8C8C"/>
          <w:sz w:val="12"/>
        </w:rPr>
        <w:t>cf-art-37-par-6</w:t>
      </w:r>
      <w:r>
        <w:rPr>
          <w:color w:val="003CA0"/>
          <w:sz w:val="12"/>
        </w:rPr>
        <w:t xml:space="preserve"> | RE 486.825</w:t>
      </w:r>
      <w:r>
        <w:rPr>
          <w:color w:val="003CA0"/>
          <w:sz w:val="12"/>
        </w:rPr>
        <w:t xml:space="preserve"> | rel. Ayres Britto</w:t>
      </w:r>
    </w:p>
    <w:p>
      <w:pPr>
        <w:ind w:left="288"/>
      </w:pPr>
      <w:r>
        <w:rPr>
          <w:color w:val="1E1E1E"/>
          <w:sz w:val="18"/>
        </w:rPr>
        <w:t>O dano suportado pelos servidores, derivado do rompimento unilateral pela administração do plano de pensão, consubstancia direito à indenização, na forma do § 6º do art. 37 da CF. Com o que se faz imperioso o reconhecimento da situação jurídica subjetiva dos recorrentes ante o poder público, sob pena de se chancelar o enriquecimento estatal sem causa.</w:t>
      </w:r>
    </w:p>
    <w:p>
      <w:pPr>
        <w:ind w:left="288"/>
      </w:pPr>
      <w:r>
        <w:rPr>
          <w:b/>
          <w:color w:val="003CA0"/>
          <w:sz w:val="16"/>
        </w:rPr>
        <w:t>[RE 486.825, rel. min. Ayres Britto, j. 6-9-2011, 1ª T, DJE de 6-2-2012.]</w:t>
      </w:r>
    </w:p>
    <w:p>
      <w:pPr>
        <w:ind w:left="288"/>
      </w:pPr>
      <w:r>
        <w:rPr>
          <w:color w:val="8C8C8C"/>
          <w:sz w:val="12"/>
        </w:rPr>
        <w:t>cf-art-37-par-6</w:t>
      </w:r>
      <w:r>
        <w:rPr>
          <w:color w:val="003CA0"/>
          <w:sz w:val="12"/>
        </w:rPr>
        <w:t xml:space="preserve"> | RE 339.852</w:t>
      </w:r>
      <w:r>
        <w:rPr>
          <w:color w:val="003CA0"/>
          <w:sz w:val="12"/>
        </w:rPr>
        <w:t xml:space="preserve"> | rel. Ayres Britto</w:t>
      </w:r>
    </w:p>
    <w:p>
      <w:pPr>
        <w:ind w:left="288"/>
      </w:pPr>
      <w:r>
        <w:rPr>
          <w:color w:val="1E1E1E"/>
          <w:sz w:val="18"/>
        </w:rPr>
        <w:t>Nos termos da jurisprudência do STF, é cabível a indenização por danos materiais nos casos de demora na nomeação de candidatos aprovados em concursos públicos, quando o óbice imposto pela administração pública é declarado inconstitucional pelo Poder Judiciário.</w:t>
      </w:r>
    </w:p>
    <w:p>
      <w:pPr>
        <w:ind w:left="288"/>
      </w:pPr>
      <w:r>
        <w:rPr>
          <w:b/>
          <w:color w:val="003CA0"/>
          <w:sz w:val="16"/>
        </w:rPr>
        <w:t>[RE 339.852 AgR, rel. min. Ayres Britto, j. 26-4-2011, 2ª T, DJE de 18-8-2011.]</w:t>
      </w:r>
    </w:p>
    <w:p>
      <w:pPr>
        <w:ind w:left="288"/>
      </w:pPr>
      <w:r>
        <w:rPr>
          <w:color w:val="8C8C8C"/>
          <w:sz w:val="12"/>
        </w:rPr>
        <w:t>cf-art-37-par-6</w:t>
      </w:r>
      <w:r>
        <w:rPr>
          <w:color w:val="003CA0"/>
          <w:sz w:val="12"/>
        </w:rPr>
        <w:t xml:space="preserve"> | RE 724.347</w:t>
      </w:r>
    </w:p>
    <w:p>
      <w:pPr>
        <w:ind w:left="288"/>
      </w:pPr>
      <w:r>
        <w:rPr>
          <w:color w:val="1E1E1E"/>
          <w:sz w:val="18"/>
        </w:rPr>
        <w:t>Vide RE 724.347, red. do ac. min. Roberto Barroso, j. 26-2-2015, P, DJE de 13-5-2015, Tema 671 O art. 71, § 1º, da Lei 8.666/1993 prevê que a inadimplência do contratado não transfere aos entes públicos a responsabilidade pelo pagamento de encargos trabalhistas, fiscais e comerciais, enquanto o inciso IV da Súmula TST 331 dispõe que o inadimplemento das obrigações trabalhistas pelo contratado implica a responsabilidade subsidiária da administração pública, se tomadora dos serviços. O acórdão impugnado, ao aplicar ao presente caso a interpretação consagrada pelo TST no item IV do Enunciado 331,</w:t>
      </w:r>
    </w:p>
    <w:p>
      <w:pPr>
        <w:ind w:left="288"/>
      </w:pPr>
      <w:r>
        <w:rPr>
          <w:b/>
          <w:color w:val="003CA0"/>
          <w:sz w:val="16"/>
        </w:rPr>
        <w:t>[Rcl 8.150 AgR, red. do ac. min. Ellen Gracie, j. 24-11-2010, P, DJE de 3-3-2011.]</w:t>
      </w:r>
    </w:p>
    <w:p>
      <w:pPr>
        <w:ind w:left="288"/>
      </w:pPr>
      <w:r>
        <w:rPr>
          <w:color w:val="8C8C8C"/>
          <w:sz w:val="12"/>
        </w:rPr>
        <w:t>cf-art-37-par-6</w:t>
      </w:r>
      <w:r>
        <w:rPr>
          <w:color w:val="003CA0"/>
          <w:sz w:val="12"/>
        </w:rPr>
        <w:t xml:space="preserve"> | RCL 28.623</w:t>
      </w:r>
      <w:r>
        <w:rPr>
          <w:color w:val="003CA0"/>
          <w:sz w:val="12"/>
        </w:rPr>
        <w:t xml:space="preserve"> | rel. Roberto Barroso</w:t>
      </w:r>
    </w:p>
    <w:p>
      <w:pPr>
        <w:ind w:left="288"/>
      </w:pPr>
      <w:r>
        <w:rPr>
          <w:color w:val="1E1E1E"/>
          <w:sz w:val="18"/>
        </w:rPr>
        <w:t>Vide Rcl 28.623 AgR, rel. min. Roberto Barroso, j. 12-12-2017, 1ªT, DJE de 7-2-2018 Servidor público. Revisão geral de vencimento. Comportamento omissivo do chefe do Executivo. (...) Esta Corte firmou o entendimento de que, embora reconhecida a mora legislativa, não pode o Judiciário deflagrar o processo legislativo, nem fixar prazo para que o chefe do Poder Executivo o faça. Além disso, esta Turma entendeu que o comportamento omissivo do chefe do Poder Executivo não gera direito à indenização por perdas e danos.</w:t>
      </w:r>
    </w:p>
    <w:p>
      <w:pPr>
        <w:ind w:left="288"/>
      </w:pPr>
      <w:r>
        <w:rPr>
          <w:b/>
          <w:color w:val="003CA0"/>
          <w:sz w:val="16"/>
        </w:rPr>
        <w:t>[RE 424.584, red. do ac. min. Joaquim Barbosa, j. 17-11-2009, 2ª T, DJE de 7-5-2010.]</w:t>
      </w:r>
    </w:p>
    <w:p>
      <w:pPr>
        <w:ind w:left="288"/>
      </w:pPr>
      <w:r>
        <w:rPr>
          <w:color w:val="8C8C8C"/>
          <w:sz w:val="12"/>
        </w:rPr>
        <w:t>cf-art-37-par-6</w:t>
      </w:r>
      <w:r>
        <w:rPr>
          <w:color w:val="003CA0"/>
          <w:sz w:val="12"/>
        </w:rPr>
        <w:t xml:space="preserve"> | AI 552.366</w:t>
      </w:r>
      <w:r>
        <w:rPr>
          <w:color w:val="003CA0"/>
          <w:sz w:val="12"/>
        </w:rPr>
        <w:t xml:space="preserve"> | rel. Ellen Gracie</w:t>
      </w:r>
    </w:p>
    <w:p>
      <w:pPr>
        <w:ind w:left="288"/>
      </w:pPr>
      <w:r>
        <w:rPr>
          <w:color w:val="1E1E1E"/>
          <w:sz w:val="18"/>
        </w:rPr>
        <w:t>Responsabilidade objetiva do Estado por atos do Ministério Público (...). A legitimidade passiva é da pessoa jurídica de direito público para arcar com a sucumbência de ação promovida pelo Ministério Público na defesa de interesse do ente estatal. É assegurado o direito de regresso na hipótese de se verificar a incidência de dolo ou culpa do preposto, que atua em nome do Estado.</w:t>
      </w:r>
    </w:p>
    <w:p>
      <w:pPr>
        <w:ind w:left="288"/>
      </w:pPr>
      <w:r>
        <w:rPr>
          <w:b/>
          <w:color w:val="003CA0"/>
          <w:sz w:val="16"/>
        </w:rPr>
        <w:t>[AI 552.366 AgR, rel. min. Ellen Gracie, j. 6-10-2009, 2ª T, DJE de 29-10-2009.]</w:t>
      </w:r>
    </w:p>
    <w:p>
      <w:pPr>
        <w:ind w:left="288"/>
      </w:pPr>
      <w:r>
        <w:rPr>
          <w:color w:val="8C8C8C"/>
          <w:sz w:val="12"/>
        </w:rPr>
        <w:t>cf-art-37-par-6</w:t>
      </w:r>
      <w:r>
        <w:rPr>
          <w:color w:val="003CA0"/>
          <w:sz w:val="12"/>
        </w:rPr>
        <w:t xml:space="preserve"> | RE 551.156</w:t>
      </w:r>
      <w:r>
        <w:rPr>
          <w:color w:val="003CA0"/>
          <w:sz w:val="12"/>
        </w:rPr>
        <w:t xml:space="preserve"> | rel. Ellen Gracie</w:t>
      </w:r>
    </w:p>
    <w:p>
      <w:pPr>
        <w:ind w:left="288"/>
      </w:pPr>
      <w:r>
        <w:rPr>
          <w:color w:val="1E1E1E"/>
          <w:sz w:val="18"/>
        </w:rPr>
        <w:t>Vide RE 551.156 AgR, rel. min. Ellen Gracie, j. 10-3-2009, 2ª T, DJE de 3-4-2009 O Supremo Tribunal já assentou que, salvo os casos expressamente previstos em lei, a responsabilidade objetiva do Estado não se aplica aos atos de juízes.</w:t>
      </w:r>
    </w:p>
    <w:p>
      <w:pPr>
        <w:ind w:left="288"/>
      </w:pPr>
      <w:r>
        <w:rPr>
          <w:b/>
          <w:color w:val="003CA0"/>
          <w:sz w:val="16"/>
        </w:rPr>
        <w:t>[RE 553.637 ED, rel. min. Ellen Gracie, j. 4-8-2009, 2ª T, DJE de 25-9-2009.]</w:t>
      </w:r>
    </w:p>
    <w:p>
      <w:pPr>
        <w:ind w:left="288"/>
      </w:pPr>
      <w:r>
        <w:rPr>
          <w:color w:val="8C8C8C"/>
          <w:sz w:val="12"/>
        </w:rPr>
        <w:t>cf-art-37-par-6</w:t>
      </w:r>
      <w:r>
        <w:rPr>
          <w:color w:val="003CA0"/>
          <w:sz w:val="12"/>
        </w:rPr>
        <w:t xml:space="preserve"> | RE 228.977</w:t>
      </w:r>
      <w:r>
        <w:rPr>
          <w:color w:val="003CA0"/>
          <w:sz w:val="12"/>
        </w:rPr>
        <w:t xml:space="preserve"> | rel. Néri da Silveira</w:t>
      </w:r>
    </w:p>
    <w:p>
      <w:pPr>
        <w:ind w:left="288"/>
      </w:pPr>
      <w:r>
        <w:rPr>
          <w:color w:val="1E1E1E"/>
          <w:sz w:val="18"/>
        </w:rPr>
        <w:t>Vide RE 228.977, rel. min. Néri da Silveira, j. 5-3-2002, 2ª T, DJ de 12-4-2002 A discussão relativa à responsabilidade extracontratual do Estado, referente ao suicídio de paciente internado em hospital público, no caso, foi excluída pela culpa exclusiva da vítima, sem possibilidade de interferência do ente público.</w:t>
      </w:r>
    </w:p>
    <w:p>
      <w:pPr>
        <w:ind w:left="288"/>
      </w:pPr>
      <w:r>
        <w:rPr>
          <w:b/>
          <w:color w:val="003CA0"/>
          <w:sz w:val="16"/>
        </w:rPr>
        <w:t>[RE 318.725 AgR, rel. min. Ellen Gracie, j. 16-12-2008, 2ª T, DJE de 27-2-2009.]</w:t>
      </w:r>
    </w:p>
    <w:p>
      <w:pPr>
        <w:ind w:left="288"/>
      </w:pPr>
      <w:r>
        <w:rPr>
          <w:color w:val="8C8C8C"/>
          <w:sz w:val="12"/>
        </w:rPr>
        <w:t>cf-art-37-par-6</w:t>
      </w:r>
      <w:r>
        <w:rPr>
          <w:color w:val="003CA0"/>
          <w:sz w:val="12"/>
        </w:rPr>
        <w:t xml:space="preserve"> | RE 418.023</w:t>
      </w:r>
      <w:r>
        <w:rPr>
          <w:color w:val="003CA0"/>
          <w:sz w:val="12"/>
        </w:rPr>
        <w:t xml:space="preserve"> | rel. Eros Grau</w:t>
      </w:r>
    </w:p>
    <w:p>
      <w:pPr>
        <w:ind w:left="288"/>
      </w:pPr>
      <w:r>
        <w:rPr>
          <w:color w:val="1E1E1E"/>
          <w:sz w:val="18"/>
        </w:rPr>
        <w:t>Responsabilidade civil objetiva do Estado. Art. 37, § 6º, da Constituição. Crime praticado por policial militar durante o período de folga, usando arma da corporação. Responsabilidade civil objetiva do Estado.</w:t>
      </w:r>
    </w:p>
    <w:p>
      <w:pPr>
        <w:ind w:left="288"/>
      </w:pPr>
      <w:r>
        <w:rPr>
          <w:b/>
          <w:color w:val="003CA0"/>
          <w:sz w:val="16"/>
        </w:rPr>
        <w:t>[RE 418.023 AgR, rel. min. Eros Grau, j. 9-9-2008, 2ª T, DJE de 17-10-2008.]</w:t>
      </w:r>
    </w:p>
    <w:p>
      <w:pPr>
        <w:ind w:left="288"/>
      </w:pPr>
      <w:r>
        <w:rPr>
          <w:color w:val="8C8C8C"/>
          <w:sz w:val="12"/>
        </w:rPr>
        <w:t>cf-art-37-par-6</w:t>
      </w:r>
      <w:r>
        <w:rPr>
          <w:color w:val="003CA0"/>
          <w:sz w:val="12"/>
        </w:rPr>
        <w:t xml:space="preserve"> | ARE 751.186</w:t>
      </w:r>
      <w:r>
        <w:rPr>
          <w:color w:val="003CA0"/>
          <w:sz w:val="12"/>
        </w:rPr>
        <w:t xml:space="preserve"> | rel. Celso de Mello</w:t>
      </w:r>
    </w:p>
    <w:p>
      <w:pPr>
        <w:ind w:left="288"/>
      </w:pPr>
      <w:r>
        <w:rPr>
          <w:color w:val="1E1E1E"/>
          <w:sz w:val="18"/>
        </w:rPr>
        <w:t>= ARE 751.186 AgR, rel. min. Celso de Mello, j. 2-12-2014, 2ª T, DJE de 17-12-2014 = RE 213.525 AgR, rel. min. Ellen Gracie, j. 9-12-2008, 2ª T, DJE de 6-2-2009 Latrocínio cometido por foragido. Nexo de causalidade configurado. (...) A negligência estatal na vigilância do criminoso, a inércia das autoridades policiais diante da terceira fuga e o curto espaço de tempo que se seguiu antes do crime são suficientes para caracterizar o nexo de causalidade. Ato omissivo do Estado que enseja a responsabilidade objetiva nos termos do disposto no art. 37, § 6º, da Constituição do Brasil.</w:t>
      </w:r>
    </w:p>
    <w:p>
      <w:pPr>
        <w:ind w:left="288"/>
      </w:pPr>
      <w:r>
        <w:rPr>
          <w:b/>
          <w:color w:val="003CA0"/>
          <w:sz w:val="16"/>
        </w:rPr>
        <w:t>[RE 573.595 AgR, rel. min. Eros Grau, j. 24-6-2008, 2ª T, DJE de 15-8-2008.]</w:t>
      </w:r>
    </w:p>
    <w:p>
      <w:pPr>
        <w:ind w:left="288"/>
      </w:pPr>
      <w:r>
        <w:rPr>
          <w:color w:val="8C8C8C"/>
          <w:sz w:val="12"/>
        </w:rPr>
        <w:t>cf-art-37-par-6</w:t>
      </w:r>
      <w:r>
        <w:rPr>
          <w:color w:val="003CA0"/>
          <w:sz w:val="12"/>
        </w:rPr>
        <w:t xml:space="preserve"> | RE 495.740</w:t>
      </w:r>
      <w:r>
        <w:rPr>
          <w:color w:val="003CA0"/>
          <w:sz w:val="12"/>
        </w:rPr>
        <w:t xml:space="preserve"> | rel. Celso de Mello</w:t>
      </w:r>
    </w:p>
    <w:p>
      <w:pPr>
        <w:ind w:left="288"/>
      </w:pPr>
      <w:r>
        <w:rPr>
          <w:color w:val="1E1E1E"/>
          <w:sz w:val="18"/>
        </w:rPr>
        <w:t>A jurisprudência dos tribunais em geral tem reconhecido a responsabilidade civil objetiva do poder público nas hipóteses em que o eventus damni ocorra em hospitais públicos (ou mantidos pelo Estado), ou derive de tratamento médico inadequado, ministrado por funcionário público, ou, então, resulte de conduta positiva (ação) ou negativa (omissão) imputável a servidor público com atuação na área médica. Servidora pública gestante, que, no desempenho de suas atividades laborais, foi exposta à contaminação pelo citomegalovírus, em decorrência de suas funções, que consistiam, essencialmente, no tran</w:t>
      </w:r>
    </w:p>
    <w:p>
      <w:pPr>
        <w:ind w:left="288"/>
      </w:pPr>
      <w:r>
        <w:rPr>
          <w:b/>
          <w:color w:val="003CA0"/>
          <w:sz w:val="16"/>
        </w:rPr>
        <w:t>[RE 495.740 AgR, rel. min. Celso de Mello, j. 15-4-2008, 2ª T, DJE de 14-8-2009.]</w:t>
      </w:r>
    </w:p>
    <w:p>
      <w:pPr>
        <w:ind w:left="288"/>
      </w:pPr>
      <w:r>
        <w:rPr>
          <w:color w:val="8C8C8C"/>
          <w:sz w:val="12"/>
        </w:rPr>
        <w:t>cf-art-37-par-6</w:t>
      </w:r>
      <w:r>
        <w:rPr>
          <w:color w:val="003CA0"/>
          <w:sz w:val="12"/>
        </w:rPr>
        <w:t xml:space="preserve"> | AI 455.846</w:t>
      </w:r>
      <w:r>
        <w:rPr>
          <w:color w:val="003CA0"/>
          <w:sz w:val="12"/>
        </w:rPr>
        <w:t xml:space="preserve"> | rel. Celso de Mello</w:t>
      </w:r>
    </w:p>
    <w:p>
      <w:pPr>
        <w:ind w:left="288"/>
      </w:pPr>
      <w:r>
        <w:rPr>
          <w:color w:val="1E1E1E"/>
          <w:sz w:val="18"/>
        </w:rPr>
        <w:t>Vide AI 455.846, rel. min. Celso de Mello, j. 11-10-2004, dec. monocrática, DJ de 21-10-2004 Aposentadoria especial. Lei autorizando convênio com o Instituto de Previdência de São Paulo (IPESP). Revogação posterior e denúncia do convênio. (...) Não há falar em ato ilícito quando a Câmara dos Vereadores, mediante processo legislativo regular, revoga lei anterior que autorizou convênio previdenciário e, em consequência, promove a respectiva denúncia.</w:t>
      </w:r>
    </w:p>
    <w:p>
      <w:pPr>
        <w:ind w:left="288"/>
      </w:pPr>
      <w:r>
        <w:rPr>
          <w:b/>
          <w:color w:val="003CA0"/>
          <w:sz w:val="16"/>
        </w:rPr>
        <w:t>[RE 172.582, rel. min. Menezes Direito, j. 15-4-2008, 1ª T, DJE de 16-5-2008.]</w:t>
      </w:r>
    </w:p>
    <w:p>
      <w:pPr>
        <w:ind w:left="288"/>
      </w:pPr>
      <w:r>
        <w:rPr>
          <w:color w:val="8C8C8C"/>
          <w:sz w:val="12"/>
        </w:rPr>
        <w:t>cf-art-37-par-6</w:t>
      </w:r>
      <w:r>
        <w:rPr>
          <w:color w:val="003CA0"/>
          <w:sz w:val="12"/>
        </w:rPr>
        <w:t xml:space="preserve"> | AI 522.832</w:t>
      </w:r>
      <w:r>
        <w:rPr>
          <w:color w:val="003CA0"/>
          <w:sz w:val="12"/>
        </w:rPr>
        <w:t xml:space="preserve"> | rel. Gilmar Mendes</w:t>
      </w:r>
    </w:p>
    <w:p>
      <w:pPr>
        <w:ind w:left="288"/>
      </w:pPr>
      <w:r>
        <w:rPr>
          <w:color w:val="1E1E1E"/>
          <w:sz w:val="18"/>
        </w:rPr>
        <w:t>Responsabilidade civil do Estado. Danos morais. Ato de tabelionato (...). Cabimento.</w:t>
      </w:r>
    </w:p>
    <w:p>
      <w:pPr>
        <w:ind w:left="288"/>
      </w:pPr>
      <w:r>
        <w:rPr>
          <w:b/>
          <w:color w:val="003CA0"/>
          <w:sz w:val="16"/>
        </w:rPr>
        <w:t>[AI 522.832 AgR, rel. min. Gilmar Mendes, j. 26-2-2008, 2ª T, DJE de 28-3-2008.]</w:t>
      </w:r>
    </w:p>
    <w:p>
      <w:pPr>
        <w:ind w:left="288"/>
      </w:pPr>
      <w:r>
        <w:rPr>
          <w:color w:val="8C8C8C"/>
          <w:sz w:val="12"/>
        </w:rPr>
        <w:t>cf-art-37-par-6</w:t>
      </w:r>
      <w:r>
        <w:rPr>
          <w:color w:val="003CA0"/>
          <w:sz w:val="12"/>
        </w:rPr>
        <w:t xml:space="preserve"> | RE 505.393</w:t>
      </w:r>
      <w:r>
        <w:rPr>
          <w:color w:val="003CA0"/>
          <w:sz w:val="12"/>
        </w:rPr>
        <w:t xml:space="preserve"> | rel. Sepúlveda Pertence</w:t>
      </w:r>
    </w:p>
    <w:p>
      <w:pPr>
        <w:ind w:left="288"/>
      </w:pPr>
      <w:r>
        <w:rPr>
          <w:color w:val="1E1E1E"/>
          <w:sz w:val="18"/>
        </w:rPr>
        <w:t>O direito à indenização da vítima de erro judiciário e daquela presa além do tempo devido, previsto no art. 5º, LXXV, da Constituição, já era previsto no art. 630 do CPP, com a exceção do caso de ação penal privada e só uma hipótese de exoneração, quando para a condenação tivesse contribuído o próprio réu. A regra constitucional não veio para aditar pressupostos subjetivos à regra geral da responsabilidade fundada no risco administrativo, conforme o art. 37, § 6º, da Lei Fundamental: a partir do entendimento consolidado de que a regra geral é a irresponsabilidade civil do Estado por atos de ju</w:t>
      </w:r>
    </w:p>
    <w:p>
      <w:pPr>
        <w:ind w:left="288"/>
      </w:pPr>
      <w:r>
        <w:rPr>
          <w:b/>
          <w:color w:val="003CA0"/>
          <w:sz w:val="16"/>
        </w:rPr>
        <w:t>[RE 505.393, rel. min. Sepúlveda Pertence, j. 26-6-2007, 1ª T, DJ de 5-10-2007.]</w:t>
      </w:r>
    </w:p>
    <w:p>
      <w:pPr>
        <w:ind w:left="288"/>
      </w:pPr>
      <w:r>
        <w:rPr>
          <w:color w:val="8C8C8C"/>
          <w:sz w:val="12"/>
        </w:rPr>
        <w:t>cf-art-37-par-6</w:t>
      </w:r>
      <w:r>
        <w:rPr>
          <w:color w:val="003CA0"/>
          <w:sz w:val="12"/>
        </w:rPr>
        <w:t xml:space="preserve"> | AI 636.814</w:t>
      </w:r>
      <w:r>
        <w:rPr>
          <w:color w:val="003CA0"/>
          <w:sz w:val="12"/>
        </w:rPr>
        <w:t xml:space="preserve"> | rel. Eros Grau</w:t>
      </w:r>
    </w:p>
    <w:p>
      <w:pPr>
        <w:ind w:left="288"/>
      </w:pPr>
      <w:r>
        <w:rPr>
          <w:color w:val="1E1E1E"/>
          <w:sz w:val="18"/>
        </w:rPr>
        <w:t>A responsabilidade civil das pessoas jurídicas de direito público e das pessoas jurídicas de direito privado prestadoras de serviço público, responsabilidade objetiva, com base no risco administrativo, admite pesquisa em torno da culpa da vítima, para o fim de abrandá-la ou mesmo excluí-la.</w:t>
      </w:r>
    </w:p>
    <w:p>
      <w:pPr>
        <w:ind w:left="288"/>
      </w:pPr>
      <w:r>
        <w:rPr>
          <w:b/>
          <w:color w:val="003CA0"/>
          <w:sz w:val="16"/>
        </w:rPr>
        <w:t>[AI 636.814 AgR, rel. min. Eros Grau, j. 22-5-2007, 2ª T, DJ de 15-6-2007.]</w:t>
      </w:r>
    </w:p>
    <w:p>
      <w:pPr>
        <w:ind w:left="288"/>
      </w:pPr>
      <w:r>
        <w:rPr>
          <w:color w:val="8C8C8C"/>
          <w:sz w:val="12"/>
        </w:rPr>
        <w:t>cf-art-37-par-6</w:t>
      </w:r>
      <w:r>
        <w:rPr>
          <w:color w:val="003CA0"/>
          <w:sz w:val="12"/>
        </w:rPr>
        <w:t xml:space="preserve"> | RE 341.776</w:t>
      </w:r>
      <w:r>
        <w:rPr>
          <w:color w:val="003CA0"/>
          <w:sz w:val="12"/>
        </w:rPr>
        <w:t xml:space="preserve"> | rel. Gilmar Mendes</w:t>
      </w:r>
    </w:p>
    <w:p>
      <w:pPr>
        <w:ind w:left="288"/>
      </w:pPr>
      <w:r>
        <w:rPr>
          <w:color w:val="1E1E1E"/>
          <w:sz w:val="18"/>
        </w:rPr>
        <w:t>Responsabilidade civil do Estado. Morte. Vítima que exercia atividade policial irregular, desvinculada do serviço público. Nexo de causalidade não configurado.</w:t>
      </w:r>
    </w:p>
    <w:p>
      <w:pPr>
        <w:ind w:left="288"/>
      </w:pPr>
      <w:r>
        <w:rPr>
          <w:b/>
          <w:color w:val="003CA0"/>
          <w:sz w:val="16"/>
        </w:rPr>
        <w:t>[RE 341.776, rel. min. Gilmar Mendes, j. 17-4-2007, 2ª T, DJ de 3-8-2007.]</w:t>
      </w:r>
    </w:p>
    <w:p>
      <w:pPr>
        <w:ind w:left="288"/>
      </w:pPr>
      <w:r>
        <w:rPr>
          <w:color w:val="8C8C8C"/>
          <w:sz w:val="12"/>
        </w:rPr>
        <w:t>cf-art-37-par-6</w:t>
      </w:r>
      <w:r>
        <w:rPr>
          <w:color w:val="003CA0"/>
          <w:sz w:val="12"/>
        </w:rPr>
        <w:t xml:space="preserve"> | RE 456.302</w:t>
      </w:r>
      <w:r>
        <w:rPr>
          <w:color w:val="003CA0"/>
          <w:sz w:val="12"/>
        </w:rPr>
        <w:t xml:space="preserve"> | rel. Sepúlveda Pertence</w:t>
      </w:r>
    </w:p>
    <w:p>
      <w:pPr>
        <w:ind w:left="288"/>
      </w:pPr>
      <w:r>
        <w:rPr>
          <w:color w:val="1E1E1E"/>
          <w:sz w:val="18"/>
        </w:rPr>
        <w:t>Responsabilidade civil do Estado: reparação de danos morais e materiais decorrentes de parada cardiorrespiratória durante cirurgia realizada em hospital público. (...) É da jurisprudência do Supremo Tribunal que, para a configuração da responsabilidade objetiva do Estado, não é necessário que o ato praticado seja ilícito.</w:t>
      </w:r>
    </w:p>
    <w:p>
      <w:pPr>
        <w:ind w:left="288"/>
      </w:pPr>
      <w:r>
        <w:rPr>
          <w:b/>
          <w:color w:val="003CA0"/>
          <w:sz w:val="16"/>
        </w:rPr>
        <w:t>[RE 456.302 AgR, rel. min. Sepúlveda Pertence, j. 6-2-2007, 1ª T, DJ de 16-3-2007.]</w:t>
      </w:r>
    </w:p>
    <w:p>
      <w:pPr>
        <w:ind w:left="288"/>
      </w:pPr>
      <w:r>
        <w:rPr>
          <w:color w:val="8C8C8C"/>
          <w:sz w:val="12"/>
        </w:rPr>
        <w:t>cf-art-37-par-6</w:t>
      </w:r>
      <w:r>
        <w:rPr>
          <w:color w:val="003CA0"/>
          <w:sz w:val="12"/>
        </w:rPr>
        <w:t xml:space="preserve"> | RE 481.110</w:t>
      </w:r>
      <w:r>
        <w:rPr>
          <w:color w:val="003CA0"/>
          <w:sz w:val="12"/>
        </w:rPr>
        <w:t xml:space="preserve"> | rel. Celso de Mello</w:t>
      </w:r>
    </w:p>
    <w:p>
      <w:pPr>
        <w:ind w:left="288"/>
      </w:pPr>
      <w:r>
        <w:rPr>
          <w:color w:val="1E1E1E"/>
          <w:sz w:val="18"/>
        </w:rPr>
        <w:t>Os elementos que compõem a estrutura e delineiam o perfil da responsabilidade civil objetiva do poder público compreendem (a) a alteridade do dano, (b) a causalidade material entre o eventus damni e o comportamento positivo (ação) ou negativo (omissão) do agente público, (c) a oficialidade da atividade causal e lesiva imputável a agente do poder público que tenha, nessa específica condição, incidido em conduta comissiva ou omissiva, independentemente da licitude, ou não, do comportamento funcional e (d) a ausência de causa excludente da responsabilidade estatal. Precedentes. O dever de indeniz</w:t>
      </w:r>
    </w:p>
    <w:p>
      <w:pPr>
        <w:ind w:left="288"/>
      </w:pPr>
      <w:r>
        <w:rPr>
          <w:b/>
          <w:color w:val="003CA0"/>
          <w:sz w:val="16"/>
        </w:rPr>
        <w:t>[RE 481.110 AgR, rel. min. Celso de Mello, j. 6-2-2007, 2ª T, DJ de 9-3-2007.]</w:t>
      </w:r>
    </w:p>
    <w:p>
      <w:pPr>
        <w:ind w:left="288"/>
      </w:pPr>
      <w:r>
        <w:rPr>
          <w:color w:val="8C8C8C"/>
          <w:sz w:val="12"/>
        </w:rPr>
        <w:t>cf-art-37-par-6</w:t>
      </w:r>
      <w:r>
        <w:rPr>
          <w:color w:val="003CA0"/>
          <w:sz w:val="12"/>
        </w:rPr>
        <w:t xml:space="preserve"> | ARE 663.647</w:t>
      </w:r>
      <w:r>
        <w:rPr>
          <w:color w:val="003CA0"/>
          <w:sz w:val="12"/>
        </w:rPr>
        <w:t xml:space="preserve"> | rel. Cármen Lúcia</w:t>
      </w:r>
    </w:p>
    <w:p>
      <w:pPr>
        <w:ind w:left="288"/>
      </w:pPr>
      <w:r>
        <w:rPr>
          <w:color w:val="1E1E1E"/>
          <w:sz w:val="18"/>
        </w:rPr>
        <w:t>Vide ARE 663.647 AgR, rel. min. Cármen Lúcia, j. 14-2-2012, 1ª T, DJE de 6-3-2012 A administração pública pode anular seus próprios atos, quando inquinados de ilegalidade (Súmula 473); mas, se a atividade do agente público acarretou danos patrimoniais ou morais a outrem – salvo culpa exclusiva dele –, eles deverão ser ressarcidos, de acordo com o disposto no art. 37, § 6º, da CF.</w:t>
      </w:r>
    </w:p>
    <w:p>
      <w:pPr>
        <w:ind w:left="288"/>
      </w:pPr>
      <w:r>
        <w:rPr>
          <w:b/>
          <w:color w:val="003CA0"/>
          <w:sz w:val="16"/>
        </w:rPr>
        <w:t>[RE 460.881, rel. min. Sepúlveda Pertence, j. 18-4-2006, 1ª T, DJ de 12-5-2006.]</w:t>
      </w:r>
    </w:p>
    <w:p>
      <w:pPr>
        <w:ind w:left="288"/>
      </w:pPr>
      <w:r>
        <w:rPr>
          <w:color w:val="8C8C8C"/>
          <w:sz w:val="12"/>
        </w:rPr>
        <w:t>cf-art-37-par-6</w:t>
      </w:r>
      <w:r>
        <w:rPr>
          <w:color w:val="003CA0"/>
          <w:sz w:val="12"/>
        </w:rPr>
        <w:t xml:space="preserve"> | RE 409.203</w:t>
      </w:r>
    </w:p>
    <w:p>
      <w:pPr>
        <w:ind w:left="288"/>
      </w:pPr>
      <w:r>
        <w:rPr>
          <w:color w:val="1E1E1E"/>
          <w:sz w:val="18"/>
        </w:rPr>
        <w:t>Impõe-se a responsabilização do Estado quando um condenado submetido a regime prisional aberto pratica, em sete ocasiões, falta grave de evasão, sem que as autoridades responsáveis pela execução da pena lhe apliquem a medida de regressão do regime prisional aplicável à espécie. Tal omissão do Estado constituiu, na espécie, o fator determinante que propiciou ao infrator a oportunidade para praticar o crime de estupro contra menor de doze anos de idade, justamente no período em que deveria estar recolhido à prisão. Está configurado o nexo de causalidade, uma vez que, se a lei de execução penal t</w:t>
      </w:r>
    </w:p>
    <w:p>
      <w:pPr>
        <w:ind w:left="288"/>
      </w:pPr>
      <w:r>
        <w:rPr>
          <w:b/>
          <w:color w:val="003CA0"/>
          <w:sz w:val="16"/>
        </w:rPr>
        <w:t>[RE 409.203, red. do ac. min. Joaquim Barbosa, j. 7-3-2006, 2ª T, DJ de 20-4-2007.]</w:t>
      </w:r>
    </w:p>
    <w:p>
      <w:pPr>
        <w:ind w:left="288"/>
      </w:pPr>
      <w:r>
        <w:rPr>
          <w:color w:val="8C8C8C"/>
          <w:sz w:val="12"/>
        </w:rPr>
        <w:t>cf-art-37-par-6</w:t>
      </w:r>
      <w:r>
        <w:rPr>
          <w:color w:val="003CA0"/>
          <w:sz w:val="12"/>
        </w:rPr>
        <w:t xml:space="preserve"> | AI 473.381</w:t>
      </w:r>
      <w:r>
        <w:rPr>
          <w:color w:val="003CA0"/>
          <w:sz w:val="12"/>
        </w:rPr>
        <w:t xml:space="preserve"> | rel. Carlos Velloso</w:t>
      </w:r>
    </w:p>
    <w:p>
      <w:pPr>
        <w:ind w:left="288"/>
      </w:pPr>
      <w:r>
        <w:rPr>
          <w:color w:val="1E1E1E"/>
          <w:sz w:val="18"/>
        </w:rPr>
        <w:t>O entendimento do STF é no sentido de que descabe ao intérprete fazer distinções quanto ao vocábulo "terceiro" contido no § 6º do art. 37 da CF, devendo o Estado responder pelos danos causados por seus agentes qualquer que seja a vítima, servidor público ou não.</w:t>
      </w:r>
    </w:p>
    <w:p>
      <w:pPr>
        <w:ind w:left="288"/>
      </w:pPr>
      <w:r>
        <w:rPr>
          <w:b/>
          <w:color w:val="003CA0"/>
          <w:sz w:val="16"/>
        </w:rPr>
        <w:t>[AI 473.381 AgR, rel. min. Carlos Velloso, j. 20-9-2005, 2ª T, DJ de 28-10-2005.]</w:t>
      </w:r>
    </w:p>
    <w:p>
      <w:pPr>
        <w:ind w:left="288"/>
      </w:pPr>
      <w:r>
        <w:rPr>
          <w:color w:val="8C8C8C"/>
          <w:sz w:val="12"/>
        </w:rPr>
        <w:t>cf-art-37-par-6</w:t>
      </w:r>
      <w:r>
        <w:rPr>
          <w:color w:val="003CA0"/>
          <w:sz w:val="12"/>
        </w:rPr>
        <w:t xml:space="preserve"> | RE 435.444</w:t>
      </w:r>
      <w:r>
        <w:rPr>
          <w:color w:val="003CA0"/>
          <w:sz w:val="12"/>
        </w:rPr>
        <w:t xml:space="preserve"> | rel. Roberto Barroso</w:t>
      </w:r>
    </w:p>
    <w:p>
      <w:pPr>
        <w:ind w:left="288"/>
      </w:pPr>
      <w:r>
        <w:rPr>
          <w:color w:val="1E1E1E"/>
          <w:sz w:val="18"/>
        </w:rPr>
        <w:t>= RE 435.444 AgR, rel. min. Roberto Barroso, j. 18-3-2014, 1ª T, DJE de 9-6-2014 Caso em que o policial autor do disparo não se encontrava na qualidade de agente público. Nessa contextura, não há falar de responsabilidade civil do Estado.</w:t>
      </w:r>
    </w:p>
    <w:p>
      <w:pPr>
        <w:ind w:left="288"/>
      </w:pPr>
      <w:r>
        <w:rPr>
          <w:b/>
          <w:color w:val="003CA0"/>
          <w:sz w:val="16"/>
        </w:rPr>
        <w:t>[RE 363.423, rel. min. Ayres Britto, j. 16-11-2004, 1ª T, DJE de 14-3-2008.]</w:t>
      </w:r>
    </w:p>
    <w:p>
      <w:pPr>
        <w:ind w:left="288"/>
      </w:pPr>
      <w:r>
        <w:rPr>
          <w:color w:val="8C8C8C"/>
          <w:sz w:val="12"/>
        </w:rPr>
        <w:t>cf-art-37-par-6</w:t>
      </w:r>
      <w:r>
        <w:rPr>
          <w:color w:val="003CA0"/>
          <w:sz w:val="12"/>
        </w:rPr>
        <w:t xml:space="preserve"> | AI 455.846</w:t>
      </w:r>
      <w:r>
        <w:rPr>
          <w:color w:val="003CA0"/>
          <w:sz w:val="12"/>
        </w:rPr>
        <w:t xml:space="preserve"> | rel. Celso de Mello</w:t>
      </w:r>
    </w:p>
    <w:p>
      <w:pPr>
        <w:ind w:left="288"/>
      </w:pPr>
      <w:r>
        <w:rPr>
          <w:color w:val="1E1E1E"/>
          <w:sz w:val="18"/>
        </w:rPr>
        <w:t>Responsabilidade civil objetiva do poder público. Elementos estruturais. Pressupostos legitimadores da incidência do art. 37, § 6º, da Constituição da República. Teoria do risco administrativo. Fato danoso para o ofendido, resultante de atuação de servidor público no desempenho de atividade médica. Procedimento executado em hospital público. Dano moral. Ressarcibilidade. Dupla função da indenização civil por dano moral (reparação-sanção): (a) caráter punitivo ou inibitório (exemplary or punitive damages) e (b) natureza compensatória ou reparatória.</w:t>
      </w:r>
    </w:p>
    <w:p>
      <w:pPr>
        <w:ind w:left="288"/>
      </w:pPr>
      <w:r>
        <w:rPr>
          <w:b/>
          <w:color w:val="003CA0"/>
          <w:sz w:val="16"/>
        </w:rPr>
        <w:t>[AI 455.846, rel. min. Celso de Mello, j. 11-10-2004, dec. monocrática, DJ de 21-10-2004.]</w:t>
      </w:r>
    </w:p>
    <w:p>
      <w:pPr>
        <w:ind w:left="288"/>
      </w:pPr>
      <w:r>
        <w:rPr>
          <w:color w:val="8C8C8C"/>
          <w:sz w:val="12"/>
        </w:rPr>
        <w:t>cf-art-37-par-6</w:t>
      </w:r>
      <w:r>
        <w:rPr>
          <w:color w:val="003CA0"/>
          <w:sz w:val="12"/>
        </w:rPr>
        <w:t xml:space="preserve"> | RE 369.820</w:t>
      </w:r>
      <w:r>
        <w:rPr>
          <w:color w:val="003CA0"/>
          <w:sz w:val="12"/>
        </w:rPr>
        <w:t xml:space="preserve"> | rel. Carlos Velloso</w:t>
      </w:r>
    </w:p>
    <w:p>
      <w:pPr>
        <w:ind w:left="288"/>
      </w:pPr>
      <w:r>
        <w:rPr>
          <w:color w:val="1E1E1E"/>
          <w:sz w:val="18"/>
        </w:rPr>
        <w:t>Tratando-se de ato omissivo do poder público, a responsabilidade civil por tal ato é subjetiva, pelo que exige dolo ou culpa, esta numa de suas três vertentes, a negligência, a imperícia ou a imprudência, não sendo, entretanto, necessário individualizá-la, dado que pode ser atribuída ao serviço público, de forma genérica, a falta do serviço. A falta do serviço – faute du service dos franceses – não dispensa o requisito da causalidade, vale dizer, do nexo de causalidade entre a ação omissiva atribuída ao poder público e o dano causado a terceiro.</w:t>
      </w:r>
    </w:p>
    <w:p>
      <w:pPr>
        <w:ind w:left="288"/>
      </w:pPr>
      <w:r>
        <w:rPr>
          <w:b/>
          <w:color w:val="003CA0"/>
          <w:sz w:val="16"/>
        </w:rPr>
        <w:t>[RE 369.820, rel. min. Carlos Velloso, j. 4-11-2003, 2ª T, DJ de 27-2-2004.]</w:t>
      </w:r>
    </w:p>
    <w:p>
      <w:pPr>
        <w:ind w:left="288"/>
      </w:pPr>
      <w:r>
        <w:rPr>
          <w:color w:val="8C8C8C"/>
          <w:sz w:val="12"/>
        </w:rPr>
        <w:t>cf-art-37-par-6</w:t>
      </w:r>
      <w:r>
        <w:rPr>
          <w:color w:val="003CA0"/>
          <w:sz w:val="12"/>
        </w:rPr>
        <w:t xml:space="preserve"> | RE 602.223</w:t>
      </w:r>
      <w:r>
        <w:rPr>
          <w:color w:val="003CA0"/>
          <w:sz w:val="12"/>
        </w:rPr>
        <w:t xml:space="preserve"> | rel. Eros Grau</w:t>
      </w:r>
    </w:p>
    <w:p>
      <w:pPr>
        <w:ind w:left="288"/>
      </w:pPr>
      <w:r>
        <w:rPr>
          <w:color w:val="1E1E1E"/>
          <w:sz w:val="18"/>
        </w:rPr>
        <w:t>= RE 602.223 AgR, rel. min. Eros Grau, j. 9-2-2010, 2ª T, DJE de 12-3-2010 Contaminação de pacientes hemofílicos com o vírus da Aids em hospital da rede pública. Responsabilidade civil do Estado. Teoria do risco administrativo. Condenação com base em laudo pericial.</w:t>
      </w:r>
    </w:p>
    <w:p>
      <w:pPr>
        <w:ind w:left="288"/>
      </w:pPr>
      <w:r>
        <w:rPr>
          <w:b/>
          <w:color w:val="003CA0"/>
          <w:sz w:val="16"/>
        </w:rPr>
        <w:t>[RE 363.999 AgR, rel. min. Gilmar Mendes, j. 8-4-2003, 2ª T, DJ de 25-4-2003.]</w:t>
      </w:r>
    </w:p>
    <w:p>
      <w:pPr>
        <w:ind w:left="288"/>
      </w:pPr>
      <w:r>
        <w:rPr>
          <w:color w:val="8C8C8C"/>
          <w:sz w:val="12"/>
        </w:rPr>
        <w:t>cf-art-37-par-6</w:t>
      </w:r>
      <w:r>
        <w:rPr>
          <w:color w:val="003CA0"/>
          <w:sz w:val="12"/>
        </w:rPr>
        <w:t xml:space="preserve"> | RE 283.989</w:t>
      </w:r>
      <w:r>
        <w:rPr>
          <w:color w:val="003CA0"/>
          <w:sz w:val="12"/>
        </w:rPr>
        <w:t xml:space="preserve"> | rel. Ilmar Galvão</w:t>
      </w:r>
    </w:p>
    <w:p>
      <w:pPr>
        <w:ind w:left="288"/>
      </w:pPr>
      <w:r>
        <w:rPr>
          <w:color w:val="1E1E1E"/>
          <w:sz w:val="18"/>
        </w:rPr>
        <w:t>Caracteriza-se a responsabilidade civil objetiva do poder público em decorrência de danos causados, por invasores, em propriedade particular, quando o Estado se omite no cumprimento de ordem judicial para envio de força policial ao imóvel invadido.</w:t>
      </w:r>
    </w:p>
    <w:p>
      <w:pPr>
        <w:ind w:left="288"/>
      </w:pPr>
      <w:r>
        <w:rPr>
          <w:b/>
          <w:color w:val="003CA0"/>
          <w:sz w:val="16"/>
        </w:rPr>
        <w:t>[RE 283.989, rel. min. Ilmar Galvão, j. 28-5-2002, 1ª T, DJ de 13-9-2002.]</w:t>
      </w:r>
    </w:p>
    <w:p>
      <w:pPr>
        <w:ind w:left="288"/>
      </w:pPr>
      <w:r>
        <w:rPr>
          <w:color w:val="8C8C8C"/>
          <w:sz w:val="12"/>
        </w:rPr>
        <w:t>cf-art-37-par-6</w:t>
      </w:r>
      <w:r>
        <w:rPr>
          <w:color w:val="003CA0"/>
          <w:sz w:val="12"/>
        </w:rPr>
        <w:t xml:space="preserve"> | RE 228.977</w:t>
      </w:r>
      <w:r>
        <w:rPr>
          <w:color w:val="003CA0"/>
          <w:sz w:val="12"/>
        </w:rPr>
        <w:t xml:space="preserve"> | rel. Néri da Silveira</w:t>
      </w:r>
    </w:p>
    <w:p>
      <w:pPr>
        <w:ind w:left="288"/>
      </w:pPr>
      <w:r>
        <w:rPr>
          <w:color w:val="1E1E1E"/>
          <w:sz w:val="18"/>
        </w:rPr>
        <w:t>A autoridade judiciária não tem responsabilidade civil pelos atos jurisdicionais praticados. Os magistrados enquadram-se na espécie agente político, investidos para o exercício de atribuições constitucionais, sendo dotados de plena liberdade funcional no desempenho de suas funções, com prerrogativas próprias e legislação específica. Ação que deveria ter sido ajuizada contra a Fazenda estadual – responsável eventual pelos alegados danos causados pela autoridade judicial, ao exercer suas atribuições –, a qual, posteriormente, terá assegurado o direito de regresso contra o magistrado responsável,</w:t>
      </w:r>
    </w:p>
    <w:p>
      <w:pPr>
        <w:ind w:left="288"/>
      </w:pPr>
      <w:r>
        <w:rPr>
          <w:b/>
          <w:color w:val="003CA0"/>
          <w:sz w:val="16"/>
        </w:rPr>
        <w:t>[RE 228.977, rel. min. Néri da Silveira, j. 5-3-2002, 2ª T, DJ de 12-4-2002.]</w:t>
      </w:r>
    </w:p>
    <w:p>
      <w:pPr>
        <w:ind w:left="288"/>
      </w:pPr>
      <w:r>
        <w:rPr>
          <w:color w:val="8C8C8C"/>
          <w:sz w:val="12"/>
        </w:rPr>
        <w:t>cf-art-37-par-6</w:t>
      </w:r>
      <w:r>
        <w:rPr>
          <w:color w:val="003CA0"/>
          <w:sz w:val="12"/>
        </w:rPr>
        <w:t xml:space="preserve"> | RE 518.278</w:t>
      </w:r>
      <w:r>
        <w:rPr>
          <w:color w:val="003CA0"/>
          <w:sz w:val="12"/>
        </w:rPr>
        <w:t xml:space="preserve"> | rel. Eros Grau</w:t>
      </w:r>
    </w:p>
    <w:p>
      <w:pPr>
        <w:ind w:left="288"/>
      </w:pPr>
      <w:r>
        <w:rPr>
          <w:color w:val="1E1E1E"/>
          <w:sz w:val="18"/>
        </w:rPr>
        <w:t>= RE 518.278 AgR, rel. min. Eros Grau, j. 31-3-2009, 2ª T, DJE de 24-4-2009 Responsabilidade civil do Estado: caracterização: morte causada a particular por agente da Polícia Rodoviária em serviço: irrelevância, nas circunstâncias do caso, de ter sido o servidor absolvido por legítima defesa de terceiro, se a agressão a esse não atribuída à vítima, mas a outrem, não atingido.</w:t>
      </w:r>
    </w:p>
    <w:p>
      <w:pPr>
        <w:ind w:left="288"/>
      </w:pPr>
      <w:r>
        <w:rPr>
          <w:b/>
          <w:color w:val="003CA0"/>
          <w:sz w:val="16"/>
        </w:rPr>
        <w:t>[RE 229.653, rel. min. Sepúlveda Pertence, j. 12-6-2001, 1ª T, DJ de 10-8-2001.]</w:t>
      </w:r>
    </w:p>
    <w:p>
      <w:pPr>
        <w:ind w:left="288"/>
      </w:pPr>
      <w:r>
        <w:rPr>
          <w:color w:val="8C8C8C"/>
          <w:sz w:val="12"/>
        </w:rPr>
        <w:t>cf-art-37-par-6</w:t>
      </w:r>
      <w:r>
        <w:rPr>
          <w:color w:val="003CA0"/>
          <w:sz w:val="12"/>
        </w:rPr>
        <w:t xml:space="preserve"> | RE 201.595</w:t>
      </w:r>
      <w:r>
        <w:rPr>
          <w:color w:val="003CA0"/>
          <w:sz w:val="12"/>
        </w:rPr>
        <w:t xml:space="preserve"> | rel. Marco Aurélio</w:t>
      </w:r>
    </w:p>
    <w:p>
      <w:pPr>
        <w:ind w:left="288"/>
      </w:pPr>
      <w:r>
        <w:rPr>
          <w:color w:val="1E1E1E"/>
          <w:sz w:val="18"/>
        </w:rPr>
        <w:t>Responde o Estado pelos danos causados em razão de reconhecimento de firma considerada assinatura falsa. Em se tratando de atividade cartorária exercida à luz do art. 236 da CF, a responsabilidade objetiva é do notário, no que assume posição semelhante à das pessoas jurídicas de direito privado prestadoras de serviços públicos (...).</w:t>
      </w:r>
    </w:p>
    <w:p>
      <w:pPr>
        <w:ind w:left="288"/>
      </w:pPr>
      <w:r>
        <w:rPr>
          <w:b/>
          <w:color w:val="003CA0"/>
          <w:sz w:val="16"/>
        </w:rPr>
        <w:t>[RE 201.595, rel. min. Marco Aurélio, j. 28-11-2000, 2ª T, DJ de 20-4-2001.]</w:t>
      </w:r>
    </w:p>
    <w:p>
      <w:pPr>
        <w:ind w:left="288"/>
      </w:pPr>
      <w:r>
        <w:rPr>
          <w:color w:val="8C8C8C"/>
          <w:sz w:val="12"/>
        </w:rPr>
        <w:t>cf-art-37-par-6</w:t>
      </w:r>
      <w:r>
        <w:rPr>
          <w:color w:val="003CA0"/>
          <w:sz w:val="12"/>
        </w:rPr>
        <w:t xml:space="preserve"> | RE 788.009</w:t>
      </w:r>
      <w:r>
        <w:rPr>
          <w:color w:val="003CA0"/>
          <w:sz w:val="12"/>
        </w:rPr>
        <w:t xml:space="preserve"> | rel. Dias Toffoli</w:t>
      </w:r>
    </w:p>
    <w:p>
      <w:pPr>
        <w:ind w:left="288"/>
      </w:pPr>
      <w:r>
        <w:rPr>
          <w:color w:val="1E1E1E"/>
          <w:sz w:val="18"/>
        </w:rPr>
        <w:t>= RE 788.009 AgR, rel. min. Dias Toffoli, j. 19-8-2014, 1ª T, DJE de 13-10-2014 Entre as pessoas jurídicas de direito privado prestadoras de serviço público a que alude o § 6º do art. 37 da CF se incluem as permissionárias de serviços públicos.</w:t>
      </w:r>
    </w:p>
    <w:p>
      <w:pPr>
        <w:ind w:left="288"/>
      </w:pPr>
      <w:r>
        <w:rPr>
          <w:b/>
          <w:color w:val="003CA0"/>
          <w:sz w:val="16"/>
        </w:rPr>
        <w:t>[RE 206.711, rel. min. Moreira Alves, j. 26-3-1999, 1ª T, DJ de 25-6-1999.]</w:t>
      </w:r>
    </w:p>
    <w:p>
      <w:pPr>
        <w:ind w:left="288"/>
      </w:pPr>
      <w:r>
        <w:rPr>
          <w:color w:val="8C8C8C"/>
          <w:sz w:val="12"/>
        </w:rPr>
        <w:t>cf-art-37-par-6</w:t>
      </w:r>
      <w:r>
        <w:rPr>
          <w:color w:val="003CA0"/>
          <w:sz w:val="12"/>
        </w:rPr>
        <w:t xml:space="preserve"> | RE 209.354</w:t>
      </w:r>
      <w:r>
        <w:rPr>
          <w:color w:val="003CA0"/>
          <w:sz w:val="12"/>
        </w:rPr>
        <w:t xml:space="preserve"> | rel. Carlos Velloso</w:t>
      </w:r>
    </w:p>
    <w:p>
      <w:pPr>
        <w:ind w:left="288"/>
      </w:pPr>
      <w:r>
        <w:rPr>
          <w:color w:val="1E1E1E"/>
          <w:sz w:val="18"/>
        </w:rPr>
        <w:t>Natureza estatal das atividades exercidas pelos serventuários titulares de cartórios e registros extrajudiciais, exercidas em caráter privado, por delegação do poder público. Responsabilidade objetiva do Estado pelos danos praticados a terceiros por esses servidores no exercício de tais funções, assegurado o direito de regresso contra o notário, nos casos de dolo ou culpa.</w:t>
      </w:r>
    </w:p>
    <w:p>
      <w:pPr>
        <w:ind w:left="288"/>
      </w:pPr>
      <w:r>
        <w:rPr>
          <w:b/>
          <w:color w:val="003CA0"/>
          <w:sz w:val="16"/>
        </w:rPr>
        <w:t>[RE 209.354 AgR, rel. min. Carlos Velloso, j. 2-3-1999, 2ª T, DJ de 16-4-1999.]</w:t>
      </w:r>
    </w:p>
    <w:p>
      <w:pPr>
        <w:ind w:left="288"/>
      </w:pPr>
      <w:r>
        <w:rPr>
          <w:color w:val="8C8C8C"/>
          <w:sz w:val="12"/>
        </w:rPr>
        <w:t>cf-art-37-par-6</w:t>
      </w:r>
      <w:r>
        <w:rPr>
          <w:color w:val="003CA0"/>
          <w:sz w:val="12"/>
        </w:rPr>
        <w:t xml:space="preserve"> | RE 518.894</w:t>
      </w:r>
      <w:r>
        <w:rPr>
          <w:color w:val="003CA0"/>
          <w:sz w:val="12"/>
        </w:rPr>
        <w:t xml:space="preserve"> | rel. Ayres Britto</w:t>
      </w:r>
    </w:p>
    <w:p>
      <w:pPr>
        <w:ind w:left="288"/>
      </w:pPr>
      <w:r>
        <w:rPr>
          <w:color w:val="1E1E1E"/>
          <w:sz w:val="18"/>
        </w:rPr>
        <w:t>= RE 518.894 AgR, rel. min. Ayres Britto, j. 2-8-2011, 2ª T, DJE de 23-9-2011 Responsabilidade do Estado. Natureza. Animais em via pública. Colisão. A responsabilidade do Estado (gênero), prevista no § 6º do art. 37 da CF, é objetiva. O dolo e a culpa nele previstos dizem respeito à ação de regresso. Responde o Município pelos danos causados a terceiro em virtude da insuficiência de serviço de fiscalização visando à retirada, de vias urbanas, de animais.</w:t>
      </w:r>
    </w:p>
    <w:p>
      <w:pPr>
        <w:ind w:left="288"/>
      </w:pPr>
      <w:r>
        <w:rPr>
          <w:b/>
          <w:color w:val="003CA0"/>
          <w:sz w:val="16"/>
        </w:rPr>
        <w:t>[RE 180.602, rel. min. Marco Aurélio, j. 15-12-1998, 2ª T, DJ de 16-4-1999.]</w:t>
      </w:r>
    </w:p>
    <w:p>
      <w:pPr>
        <w:ind w:left="288"/>
      </w:pPr>
      <w:r>
        <w:rPr>
          <w:color w:val="8C8C8C"/>
          <w:sz w:val="12"/>
        </w:rPr>
        <w:t>cf-art-37-par-6</w:t>
      </w:r>
      <w:r>
        <w:rPr>
          <w:color w:val="003CA0"/>
          <w:sz w:val="12"/>
        </w:rPr>
        <w:t xml:space="preserve"> | RE 209.137</w:t>
      </w:r>
      <w:r>
        <w:rPr>
          <w:color w:val="003CA0"/>
          <w:sz w:val="12"/>
        </w:rPr>
        <w:t xml:space="preserve"> | rel. Moreira Alves</w:t>
      </w:r>
    </w:p>
    <w:p>
      <w:pPr>
        <w:ind w:left="288"/>
      </w:pPr>
      <w:r>
        <w:rPr>
          <w:color w:val="1E1E1E"/>
          <w:sz w:val="18"/>
        </w:rPr>
        <w:t>A responsabilidade objetiva, inclusive a das pessoas jurídicas de direito público e de direito privado a que alude o art. 37, § 6º, da atual Constituição, é excluída ou atenuada quando a causa do dano decorre exclusivamente da ação da vítima, ou quando há concorrência de causas, em função, no primeiro caso, da ausência do nexo de causalidade na ocorrência do dano para determinar a responsabilidade daquelas pessoas jurídicas, ou, no segundo caso, da causalidade concorrente para a verificação do dano.</w:t>
      </w:r>
    </w:p>
    <w:p>
      <w:pPr>
        <w:ind w:left="288"/>
      </w:pPr>
      <w:r>
        <w:rPr>
          <w:b/>
          <w:color w:val="003CA0"/>
          <w:sz w:val="16"/>
        </w:rPr>
        <w:t>[RE 209.137, rel. min. Moreira Alves, j. 8-9-1998, 1ª T, DJ de 5-2-1999.]</w:t>
      </w:r>
    </w:p>
    <w:p>
      <w:pPr>
        <w:ind w:left="288"/>
      </w:pPr>
      <w:r>
        <w:rPr>
          <w:color w:val="8C8C8C"/>
          <w:sz w:val="12"/>
        </w:rPr>
        <w:t>cf-art-37-par-6</w:t>
      </w:r>
      <w:r>
        <w:rPr>
          <w:color w:val="003CA0"/>
          <w:sz w:val="12"/>
        </w:rPr>
        <w:t xml:space="preserve"> | RE 130.764</w:t>
      </w:r>
      <w:r>
        <w:rPr>
          <w:color w:val="003CA0"/>
          <w:sz w:val="12"/>
        </w:rPr>
        <w:t xml:space="preserve"> | rel. Moreira Alves. [RE 172.025</w:t>
      </w:r>
    </w:p>
    <w:p>
      <w:pPr>
        <w:ind w:left="288"/>
      </w:pPr>
      <w:r>
        <w:rPr>
          <w:color w:val="1E1E1E"/>
          <w:sz w:val="18"/>
        </w:rPr>
        <w:t>Latrocínio praticado por preso foragido, meses depois da fuga. Fora dos parâmetros da causalidade não é possível impor ao poder público uma responsabilidade ressarcitória sob o argumento de falha no sistema de segurança dos presos. Precedente da Primeira Turma: RE 130.764, rel. min. Moreira Alves.</w:t>
      </w:r>
    </w:p>
    <w:p>
      <w:pPr>
        <w:ind w:left="288"/>
      </w:pPr>
      <w:r>
        <w:rPr>
          <w:b/>
          <w:color w:val="003CA0"/>
          <w:sz w:val="16"/>
        </w:rPr>
        <w:t>[RE 172.025, rel. min. Ilmar Galvão, j. 8-10-1996, 1ª T, DJ de 19-12-1996.]</w:t>
      </w:r>
    </w:p>
    <w:p>
      <w:pPr>
        <w:ind w:left="288"/>
      </w:pPr>
      <w:r>
        <w:rPr>
          <w:color w:val="8C8C8C"/>
          <w:sz w:val="12"/>
        </w:rPr>
        <w:t>cf-art-37-par-6</w:t>
      </w:r>
      <w:r>
        <w:rPr>
          <w:color w:val="003CA0"/>
          <w:sz w:val="12"/>
        </w:rPr>
        <w:t xml:space="preserve"> | RE 607.771</w:t>
      </w:r>
      <w:r>
        <w:rPr>
          <w:color w:val="003CA0"/>
          <w:sz w:val="12"/>
        </w:rPr>
        <w:t xml:space="preserve"> | rel. Eros Grau</w:t>
      </w:r>
    </w:p>
    <w:p>
      <w:pPr>
        <w:ind w:left="288"/>
      </w:pPr>
      <w:r>
        <w:rPr>
          <w:color w:val="1E1E1E"/>
          <w:sz w:val="18"/>
        </w:rPr>
        <w:t xml:space="preserve">Vide RE 607.771 AgR, rel. min. Eros Grau, j. 20-4-2010, 2ª T, DJE de 14-5-2010 A teoria do risco administrativo, consagrada em sucessivos documentos constitucionais brasileiros desde a Carta Política de 1946, confere fundamento doutrinário à responsabilidade civil objetiva do poder público pelos danos a que os agentes públicos houverem dado causa, por ação ou por omissão. Essa concepção teórica, que informa o princípio constitucional da responsabilidade civil objetiva do poder público, faz emergir, da mera ocorrência de ato lesivo causado à vítima pelo Estado, o dever de indenizá-la pelo dano </w:t>
      </w:r>
    </w:p>
    <w:p>
      <w:pPr>
        <w:ind w:left="288"/>
      </w:pPr>
      <w:r>
        <w:rPr>
          <w:b/>
          <w:color w:val="003CA0"/>
          <w:sz w:val="16"/>
        </w:rPr>
        <w:t>[RE 109.615, rel. min. Celso de Mello, j. 28-5-1996, 1ª T, DJ de 2-8-1996.]</w:t>
      </w:r>
    </w:p>
    <w:p>
      <w:pPr>
        <w:ind w:left="288"/>
      </w:pPr>
      <w:r>
        <w:rPr>
          <w:color w:val="8C8C8C"/>
          <w:sz w:val="12"/>
        </w:rPr>
        <w:t>cf-art-37-par-6</w:t>
      </w:r>
      <w:r>
        <w:rPr>
          <w:color w:val="003CA0"/>
          <w:sz w:val="12"/>
        </w:rPr>
        <w:t xml:space="preserve"> | RMS 22.063</w:t>
      </w:r>
      <w:r>
        <w:rPr>
          <w:color w:val="003CA0"/>
          <w:sz w:val="12"/>
        </w:rPr>
        <w:t xml:space="preserve"> | rel. Marco Aurélio</w:t>
      </w:r>
    </w:p>
    <w:p>
      <w:pPr>
        <w:ind w:left="288"/>
      </w:pPr>
      <w:r>
        <w:rPr>
          <w:color w:val="1E1E1E"/>
          <w:sz w:val="18"/>
        </w:rPr>
        <w:t>A norma constitucional ínsita no art. 37, § 6º, refere-se à responsabilidade civil do Estado por danos causados a terceiros na prestação de serviços públicos, não ensejando qualquer indenização ao candidato habilitado em concurso público mas não nomeado por interesse da administração.</w:t>
      </w:r>
    </w:p>
    <w:p>
      <w:pPr>
        <w:ind w:left="288"/>
      </w:pPr>
      <w:r>
        <w:rPr>
          <w:b/>
          <w:color w:val="003CA0"/>
          <w:sz w:val="16"/>
        </w:rPr>
        <w:t>[RMS 22.063, red. do ac. min. Maurício Corrêa, rel. min. Marco Aurélio, j. 26-6-1995, 2ª T, DJ de 7-12-1995.]</w:t>
      </w:r>
    </w:p>
    <w:p>
      <w:pPr>
        <w:ind w:left="288"/>
      </w:pPr>
      <w:r>
        <w:rPr>
          <w:color w:val="8C8C8C"/>
          <w:sz w:val="12"/>
        </w:rPr>
        <w:t>cf-art-37-par-6</w:t>
      </w:r>
      <w:r>
        <w:rPr>
          <w:color w:val="003CA0"/>
          <w:sz w:val="12"/>
        </w:rPr>
        <w:t xml:space="preserve"> | AI 794.192</w:t>
      </w:r>
      <w:r>
        <w:rPr>
          <w:color w:val="003CA0"/>
          <w:sz w:val="12"/>
        </w:rPr>
        <w:t xml:space="preserve"> | rel. Ricardo Lewandowski</w:t>
      </w:r>
    </w:p>
    <w:p>
      <w:pPr>
        <w:ind w:left="288"/>
      </w:pPr>
      <w:r>
        <w:rPr>
          <w:color w:val="1E1E1E"/>
          <w:sz w:val="18"/>
        </w:rPr>
        <w:t>= AI 794.192 AgR, rel. min. Ricardo Lewandowski, j. 19-10-2010, 1ª T, DJE de 16-11-2010 A responsabilidade civil do Estado, responsabilidade objetiva, com base no risco administrativo, que admite pesquisa em torno da culpa do particular, para o fim de abrandar ou mesmo excluir a responsabilidade estatal, ocorre, em síntese, diante dos seguintes requisitos: a) do dano; b) da ação administrativa; c) e desde que haja nexo causal entre o dano e a ação administrativa. A consideração no sentido da licitude da ação administrativa é irrelevante, pois o que interessa é isto: sofrendo o particular um pr</w:t>
      </w:r>
    </w:p>
    <w:p>
      <w:pPr>
        <w:ind w:left="288"/>
      </w:pPr>
      <w:r>
        <w:rPr>
          <w:b/>
          <w:color w:val="003CA0"/>
          <w:sz w:val="16"/>
        </w:rPr>
        <w:t>[RE 113.587, rel. min. Carlos Velloso, j. 18-2-1992, 2ª T, DJ de 3-4-1992.]</w:t>
      </w:r>
    </w:p>
    <w:p>
      <w:pPr>
        <w:ind w:left="288"/>
      </w:pPr>
      <w:r>
        <w:rPr>
          <w:color w:val="8C8C8C"/>
          <w:sz w:val="12"/>
        </w:rPr>
        <w:t>cf-art-37-par-7</w:t>
      </w:r>
    </w:p>
    <w:p>
      <w:pPr>
        <w:ind w:left="288"/>
      </w:pPr>
      <w:r>
        <w:rPr>
          <w:color w:val="1E1E1E"/>
          <w:sz w:val="18"/>
        </w:rPr>
        <w:t>§ 8º A autonomia gerencial, orçamentária e financeira dos órgãos e entidades da administração direta e indireta poderá ser ampliada mediante contrato, a ser firmado entre seus administradores e o poder público, que tenha por objeto a fixação de metas de desempenho para o órgão ou entidade, cabendo à lei dispor sobre: (Incluído pela EC 19/1998)</w:t>
      </w:r>
    </w:p>
    <w:p>
      <w:pPr>
        <w:ind w:left="144"/>
      </w:pPr>
      <w:r>
        <w:rPr>
          <w:b/>
          <w:color w:val="B45A00"/>
          <w:sz w:val="16"/>
        </w:rPr>
        <w:t>CONTROLE CONCENTRADO</w:t>
      </w:r>
    </w:p>
    <w:p>
      <w:pPr>
        <w:ind w:left="288"/>
      </w:pPr>
      <w:r>
        <w:rPr>
          <w:color w:val="8C8C8C"/>
          <w:sz w:val="12"/>
        </w:rPr>
        <w:t>cf-art-37-par-9</w:t>
      </w:r>
      <w:r>
        <w:rPr>
          <w:color w:val="003CA0"/>
          <w:sz w:val="12"/>
        </w:rPr>
        <w:t xml:space="preserve"> | ADI 6.584</w:t>
      </w:r>
      <w:r>
        <w:rPr>
          <w:color w:val="003CA0"/>
          <w:sz w:val="12"/>
        </w:rPr>
        <w:t xml:space="preserve"> | rel. Gilmar Mendes</w:t>
      </w:r>
    </w:p>
    <w:p>
      <w:pPr>
        <w:ind w:left="288"/>
      </w:pPr>
      <w:r>
        <w:rPr>
          <w:color w:val="1E1E1E"/>
          <w:sz w:val="18"/>
        </w:rPr>
        <w:t>Teto remuneratório aos empregados de empresas públicas e sociedades de economia mista não dependentes do erário do Distrito Federal. Violação ao art. 37 da Constituição Federal. Medida cautelar confirmada. Inconstitucionalidade da Emenda à Lei Orgânica do Distrito Federal n. 99/2017. Interpretação conforme à Constituição ao artigo 19, X, da LODF, de modo que a expressão “empregos públicos” se limite às entidades que recebam recursos do Distrito Federal para pagamento de despesas de pessoal ou de custeio em geral. Ação julgada procedente.</w:t>
        <w:br/>
        <w:t>[ADI 6.584, rel. min. Gilmar Mendes, j. 24-5-2021, P, DJ</w:t>
      </w:r>
    </w:p>
    <w:p>
      <w:pPr>
        <w:ind w:left="144"/>
      </w:pPr>
      <w:r>
        <w:rPr>
          <w:b/>
          <w:color w:val="B45A00"/>
          <w:sz w:val="16"/>
        </w:rPr>
        <w:t>REPERCUSSAO GERAL</w:t>
      </w:r>
    </w:p>
    <w:p>
      <w:pPr>
        <w:ind w:left="288"/>
      </w:pPr>
      <w:r>
        <w:rPr>
          <w:color w:val="8C8C8C"/>
          <w:sz w:val="12"/>
        </w:rPr>
        <w:t>cf-art-37-par-9</w:t>
      </w:r>
      <w:r>
        <w:rPr>
          <w:color w:val="003CA0"/>
          <w:sz w:val="12"/>
        </w:rPr>
        <w:t xml:space="preserve"> | RE 658.999</w:t>
      </w:r>
      <w:r>
        <w:rPr>
          <w:color w:val="003CA0"/>
          <w:sz w:val="12"/>
        </w:rPr>
        <w:t xml:space="preserve"> | rel. Dias Toffoli</w:t>
      </w:r>
    </w:p>
    <w:p>
      <w:pPr>
        <w:ind w:left="288"/>
      </w:pPr>
      <w:r>
        <w:rPr>
          <w:color w:val="1E1E1E"/>
          <w:sz w:val="18"/>
        </w:rPr>
        <w:t>“Tratando-se de cargos constitucionalmente acumuláveis, descabe aplicar a vedação de acumulação de aposentadorias e pensões contida na parte final do art. 11 da Emenda Constitucional nº 20/98, porquanto destinada apenas aos casos de que trata, ou seja, aos reingressos no serviço público por meio de concurso público antes da publicação da referida emenda e que envolvam cargos inacumuláveis".</w:t>
        <w:br/>
        <w:t>[RE 658.999, rel. min. Dias Toffoli, j. 17-12-2022, P, DJE de 22-3-2023, Tema 627, com mérito julgado.] Há remansosa jurisprudência desta Corte nesse sentido, afirmando a impossibilidade da acumulação trípl</w:t>
      </w:r>
    </w:p>
    <w:p>
      <w:pPr>
        <w:ind w:left="288"/>
      </w:pPr>
      <w:r>
        <w:rPr>
          <w:b/>
          <w:color w:val="003CA0"/>
          <w:sz w:val="16"/>
        </w:rPr>
        <w:t>[ARE 848.993 RG, voto do rel. min. Gilmar Mendes, j. 6-10-2016, P, DJE de 23-3-2017, Tema 921, com mérito julgado.]</w:t>
      </w:r>
    </w:p>
    <w:p>
      <w:pPr>
        <w:ind w:left="288"/>
      </w:pPr>
      <w:r>
        <w:rPr>
          <w:color w:val="8C8C8C"/>
          <w:sz w:val="12"/>
        </w:rPr>
        <w:t>cf-art-37-par-9</w:t>
      </w:r>
      <w:r>
        <w:rPr>
          <w:color w:val="003CA0"/>
          <w:sz w:val="12"/>
        </w:rPr>
        <w:t xml:space="preserve"> | RE 584.388</w:t>
      </w:r>
      <w:r>
        <w:rPr>
          <w:color w:val="003CA0"/>
          <w:sz w:val="12"/>
        </w:rPr>
        <w:t xml:space="preserve"> | rel. Ricardo Lewandowski</w:t>
      </w:r>
    </w:p>
    <w:p>
      <w:pPr>
        <w:ind w:left="288"/>
      </w:pPr>
      <w:r>
        <w:rPr>
          <w:color w:val="1E1E1E"/>
          <w:sz w:val="18"/>
        </w:rPr>
        <w:t>A Carta de 1988 veda a percepção simultânea de proventos de aposentadoria com remuneração de cargo, emprego ou função pública, ressalvadas hipóteses – inocorrentes na espécie – de cargos acumuláveis na forma da Constituição, cargos eletivos e cargos em comissão (art. 37, § 10, da Constituição). Mesmo antes da EC 20/1998, a acumulação de proventos e vencimentos somente era admitida quando se tratasse de cargos, funções ou empregos acumuláveis na atividade, na forma permitida pela CF. Com o advento da EC 20/1998, que preservou a situação daqueles servidores que retornaram ao serviço público ante</w:t>
      </w:r>
    </w:p>
    <w:p>
      <w:pPr>
        <w:ind w:left="144"/>
      </w:pPr>
      <w:r>
        <w:rPr>
          <w:b/>
          <w:color w:val="B45A00"/>
          <w:sz w:val="16"/>
        </w:rPr>
        <w:t>JULGADOS CORRELATOS</w:t>
      </w:r>
    </w:p>
    <w:p>
      <w:pPr>
        <w:ind w:left="288"/>
      </w:pPr>
      <w:r>
        <w:rPr>
          <w:color w:val="8C8C8C"/>
          <w:sz w:val="12"/>
        </w:rPr>
        <w:t>cf-art-37-par-9</w:t>
      </w:r>
      <w:r>
        <w:rPr>
          <w:color w:val="003CA0"/>
          <w:sz w:val="12"/>
        </w:rPr>
        <w:t xml:space="preserve"> | MS 36.882</w:t>
      </w:r>
      <w:r>
        <w:rPr>
          <w:color w:val="003CA0"/>
          <w:sz w:val="12"/>
        </w:rPr>
        <w:t xml:space="preserve"> | rel. Nunes Marques</w:t>
      </w:r>
    </w:p>
    <w:p>
      <w:pPr>
        <w:ind w:left="288"/>
      </w:pPr>
      <w:r>
        <w:rPr>
          <w:color w:val="1E1E1E"/>
          <w:sz w:val="18"/>
        </w:rPr>
        <w:t>Militar da reserva remunerada que reingressa no serviço público, em cargo civil, após a vigência da Emenda Constitucional n. 20/1998, não tem direito líquido e certo de acumular os proventos oriundos da reserva remunerada com a remuneração decorrente do exercício do cargo civil assumido.</w:t>
        <w:br/>
        <w:t>[MS 36.882 ED-AgR, rel. min. Nunes Marques, j. 7-2-2023, 2ª T, DJE de 16-2-2023.] O acesso a cargos públicos rege-se pela Constituição Federal e pela legislação de cada unidade federativa. Se o legislador municipal estabeleceu que a aposentadoria é causa de vacância, o servidor não pode, sem prestar novo concu</w:t>
      </w:r>
    </w:p>
    <w:p>
      <w:pPr>
        <w:ind w:left="288"/>
      </w:pPr>
      <w:r>
        <w:rPr>
          <w:b/>
          <w:color w:val="003CA0"/>
          <w:sz w:val="16"/>
        </w:rPr>
        <w:t>[AI 264.217 AgR, rel. min. Dias Toffoli, j. 20-3-2012, 1ª T, DJE de 26-4-2012.]</w:t>
      </w:r>
    </w:p>
    <w:p>
      <w:pPr>
        <w:ind w:left="288"/>
      </w:pPr>
      <w:r>
        <w:rPr>
          <w:color w:val="8C8C8C"/>
          <w:sz w:val="12"/>
        </w:rPr>
        <w:t>cf-art-37-par-9</w:t>
      </w:r>
      <w:r>
        <w:rPr>
          <w:color w:val="003CA0"/>
          <w:sz w:val="12"/>
        </w:rPr>
        <w:t xml:space="preserve"> | AI 481.022</w:t>
      </w:r>
      <w:r>
        <w:rPr>
          <w:color w:val="003CA0"/>
          <w:sz w:val="12"/>
        </w:rPr>
        <w:t xml:space="preserve"> | rel. Marco Aurélio</w:t>
      </w:r>
    </w:p>
    <w:p>
      <w:pPr>
        <w:ind w:left="288"/>
      </w:pPr>
      <w:r>
        <w:rPr>
          <w:color w:val="1E1E1E"/>
          <w:sz w:val="18"/>
        </w:rPr>
        <w:t>Com o art. 11 da EC 20, de 15-12-1998, ocorreu o afastamento da incidência da proibição de acumular proventos e vencimentos em relação àqueles que tivessem reingressado no serviço público em data anterior ao da promulgação do novo texto constitucional.</w:t>
      </w:r>
    </w:p>
    <w:p>
      <w:pPr>
        <w:ind w:left="288"/>
      </w:pPr>
      <w:r>
        <w:rPr>
          <w:b/>
          <w:color w:val="003CA0"/>
          <w:sz w:val="16"/>
        </w:rPr>
        <w:t>[AI 481.022 AgR, rel. min. Marco Aurélio, j. 7-4-2009, 1ª T, DJE de 5-6-2009.]</w:t>
      </w:r>
    </w:p>
    <w:p>
      <w:pPr>
        <w:ind w:left="288"/>
      </w:pPr>
      <w:r>
        <w:rPr>
          <w:color w:val="8C8C8C"/>
          <w:sz w:val="12"/>
        </w:rPr>
        <w:t>cf-art-37-par-9</w:t>
      </w:r>
      <w:r>
        <w:rPr>
          <w:color w:val="003CA0"/>
          <w:sz w:val="12"/>
        </w:rPr>
        <w:t xml:space="preserve"> | RE 593.326</w:t>
      </w:r>
      <w:r>
        <w:rPr>
          <w:color w:val="003CA0"/>
          <w:sz w:val="12"/>
        </w:rPr>
        <w:t xml:space="preserve"> | rel. Dias Toffoli</w:t>
      </w:r>
    </w:p>
    <w:p>
      <w:pPr>
        <w:ind w:left="288"/>
      </w:pPr>
      <w:r>
        <w:rPr>
          <w:color w:val="1E1E1E"/>
          <w:sz w:val="18"/>
        </w:rPr>
        <w:t>= RE 593.326, rel. min. Dias Toffoli, j. 7-11-2012, dec. monocrática, DJE de 14-11-2012 As recorrentes pretendem continuar recebendo, cumulativamente, os proventos de aposentadoria com os vencimentos do cargo da ativa. Alegam que foram beneficiadas pela exceção criada no art. 11 da EC 20/1998. A EC 20/1998 vedou a percepção simultânea de proventos de aposentadoria com a remuneração de cargo, emprego ou função pública, ressalvados os cargos acumuláveis na forma desta Constituição. Por outro lado, reconheceu o direito daqueles servidores aposentados que, até a data da promulgação dessa emenda, r</w:t>
      </w:r>
    </w:p>
    <w:p>
      <w:pPr>
        <w:ind w:left="288"/>
      </w:pPr>
      <w:r>
        <w:rPr>
          <w:b/>
          <w:color w:val="003CA0"/>
          <w:sz w:val="16"/>
        </w:rPr>
        <w:t>[RE 382.389, rel. min. Ellen Gracie, j. 14-2-2006, 2ª T, DJ de 17-3-2006.]</w:t>
      </w:r>
    </w:p>
    <w:p>
      <w:pPr>
        <w:ind w:left="288"/>
      </w:pPr>
      <w:r>
        <w:rPr>
          <w:color w:val="8C8C8C"/>
          <w:sz w:val="12"/>
        </w:rPr>
        <w:t>cf-art-37-par-9</w:t>
      </w:r>
      <w:r>
        <w:rPr>
          <w:color w:val="003CA0"/>
          <w:sz w:val="12"/>
        </w:rPr>
        <w:t xml:space="preserve"> | RE 295.014</w:t>
      </w:r>
      <w:r>
        <w:rPr>
          <w:color w:val="003CA0"/>
          <w:sz w:val="12"/>
        </w:rPr>
        <w:t xml:space="preserve"> | rel. Gilmar Mendes</w:t>
      </w:r>
    </w:p>
    <w:p>
      <w:pPr>
        <w:ind w:left="288"/>
      </w:pPr>
      <w:r>
        <w:rPr>
          <w:color w:val="1E1E1E"/>
          <w:sz w:val="18"/>
        </w:rPr>
        <w:t>= RE 295.014 AgR, rel. min. Gilmar Mendes, j. 15-2-2011, 2ª T, DJE de 1º-3-2011 O art. 93, § 9º, da Constituição do Brasil de 1967, na redação da EC 1/1969, bem como a Constituição de 1988, antes da EC 20/1998, não obstavam o retorno do militar reformado ao serviço público e a posterior aposentadoria no cargo civil, acumulando os respectivos proventos. Precedente (MS 24.742, rel. min. Marco Aurélio, Informativo 360). Reformado o militar sob a Constituição de 1967 e aposentado como servidor civil na vigência da Constituição de 1988, antes da edição da EC 20/1998, não há falar em acumulação de p</w:t>
      </w:r>
    </w:p>
    <w:p>
      <w:pPr>
        <w:ind w:left="288"/>
      </w:pPr>
      <w:r>
        <w:rPr>
          <w:b/>
          <w:color w:val="003CA0"/>
          <w:sz w:val="16"/>
        </w:rPr>
        <w:t>[MS 24.997, MS 25.015, MS 25.036, MS 25.037, MS 25.090 e MS 25.095, rel. min. Eros Grau, j. 2-2-2005, P, DJ de 1º-4-2005.]</w:t>
      </w:r>
    </w:p>
    <w:p>
      <w:pPr>
        <w:ind w:left="288"/>
      </w:pPr>
      <w:r>
        <w:rPr>
          <w:color w:val="8C8C8C"/>
          <w:sz w:val="12"/>
        </w:rPr>
        <w:t>cf-art-37-par-9</w:t>
      </w:r>
      <w:r>
        <w:rPr>
          <w:color w:val="003CA0"/>
          <w:sz w:val="12"/>
        </w:rPr>
        <w:t xml:space="preserve"> | AI 801.096</w:t>
      </w:r>
      <w:r>
        <w:rPr>
          <w:color w:val="003CA0"/>
          <w:sz w:val="12"/>
        </w:rPr>
        <w:t xml:space="preserve"> | rel. Luiz Fux</w:t>
      </w:r>
    </w:p>
    <w:p>
      <w:pPr>
        <w:ind w:left="288"/>
      </w:pPr>
      <w:r>
        <w:rPr>
          <w:color w:val="1E1E1E"/>
          <w:sz w:val="18"/>
        </w:rPr>
        <w:t>= AI 801.096 AgR, rel. min. Luiz Fux, j. 6-12-2011, 1ª T, DJE de 19-12-2011</w:t>
      </w:r>
    </w:p>
    <w:p>
      <w:r>
        <w:rPr>
          <w:b/>
          <w:color w:val="003366"/>
          <w:sz w:val="20"/>
        </w:rPr>
        <w:t xml:space="preserve">Art. 38 Até a promulgação da lei complementar referida no art. 169, a União, os </w:t>
      </w:r>
      <w:r>
        <w:rPr>
          <w:color w:val="8C8C8C"/>
          <w:sz w:val="14"/>
        </w:rPr>
        <w:t xml:space="preserve">  [9 decisoes]</w:t>
      </w:r>
    </w:p>
    <w:p>
      <w:pPr>
        <w:ind w:left="144"/>
      </w:pPr>
      <w:r>
        <w:rPr>
          <w:b/>
          <w:color w:val="B45A00"/>
          <w:sz w:val="16"/>
        </w:rPr>
        <w:t>CONTROLE CONCENTRADO</w:t>
      </w:r>
    </w:p>
    <w:p>
      <w:pPr>
        <w:ind w:left="288"/>
      </w:pPr>
      <w:r>
        <w:rPr>
          <w:color w:val="8C8C8C"/>
          <w:sz w:val="12"/>
        </w:rPr>
        <w:t>cf-art-38</w:t>
      </w:r>
      <w:r>
        <w:rPr>
          <w:color w:val="003CA0"/>
          <w:sz w:val="12"/>
        </w:rPr>
        <w:t xml:space="preserve"> | ADI 119</w:t>
      </w:r>
      <w:r>
        <w:rPr>
          <w:color w:val="003CA0"/>
          <w:sz w:val="12"/>
        </w:rPr>
        <w:t xml:space="preserve"> | rel. Dias Toffoli</w:t>
      </w:r>
    </w:p>
    <w:p>
      <w:pPr>
        <w:ind w:left="288"/>
      </w:pPr>
      <w:r>
        <w:rPr>
          <w:color w:val="1E1E1E"/>
          <w:sz w:val="18"/>
        </w:rPr>
        <w:t>É inconstitucional a garantia da disponibilidade remunerada ao ex-detentor de mandato eletivo, com a opção pelo retorno ou não às atividades, se servidor público, após o encerramento da atividade parlamentar. Não conformidade com o Texto Magno, por ofensa ao regime constitucional da disponibilidade do servidor público (art. 41, §§ 2º e 3º, CF/1988) e à regra de afastamento do titular de cargo público para o exercício de mandato eletivo (art. 38, CF/1988).</w:t>
      </w:r>
    </w:p>
    <w:p>
      <w:pPr>
        <w:ind w:left="288"/>
      </w:pPr>
      <w:r>
        <w:rPr>
          <w:b/>
          <w:color w:val="003CA0"/>
          <w:sz w:val="16"/>
        </w:rPr>
        <w:t>[ADI 119, rel. min. Dias Toffoli, j. 19-2-2014, P, DJE de 28-3-2014.]</w:t>
      </w:r>
    </w:p>
    <w:p>
      <w:pPr>
        <w:ind w:left="288"/>
      </w:pPr>
      <w:r>
        <w:rPr>
          <w:color w:val="8C8C8C"/>
          <w:sz w:val="12"/>
        </w:rPr>
        <w:t>cf-art-38-inc-II</w:t>
      </w:r>
      <w:r>
        <w:rPr>
          <w:color w:val="003CA0"/>
          <w:sz w:val="12"/>
        </w:rPr>
        <w:t xml:space="preserve"> | ADI 1.381</w:t>
      </w:r>
      <w:r>
        <w:rPr>
          <w:color w:val="003CA0"/>
          <w:sz w:val="12"/>
        </w:rPr>
        <w:t xml:space="preserve"> | rel. Dias Toffoli</w:t>
      </w:r>
    </w:p>
    <w:p>
      <w:pPr>
        <w:ind w:left="288"/>
      </w:pPr>
      <w:r>
        <w:rPr>
          <w:color w:val="1E1E1E"/>
          <w:sz w:val="18"/>
        </w:rPr>
        <w:t>Lei estadual 5.729/1995. (...) Elegibilidade do policial militar. Violação ao art. 38 da CF. (...) A autorização, ao militar eleito, de optar pela fonte de pagamento, qualquer que seja a natureza do mandato, destoa do regramento constitucional disposto no art. 38 da CF, que somente permite o direito de opção nas estritas hipóteses de vereador e de prefeito municipal.</w:t>
      </w:r>
    </w:p>
    <w:p>
      <w:pPr>
        <w:ind w:left="288"/>
      </w:pPr>
      <w:r>
        <w:rPr>
          <w:b/>
          <w:color w:val="003CA0"/>
          <w:sz w:val="16"/>
        </w:rPr>
        <w:t>[ADI 1.381, rel. min. Dias Toffoli, j. 21-8-2014, P, DJE de 9-10-2014.]</w:t>
      </w:r>
    </w:p>
    <w:p>
      <w:pPr>
        <w:ind w:left="288"/>
      </w:pPr>
      <w:r>
        <w:rPr>
          <w:color w:val="8C8C8C"/>
          <w:sz w:val="12"/>
        </w:rPr>
        <w:t>cf-art-38-inc-II</w:t>
      </w:r>
      <w:r>
        <w:rPr>
          <w:color w:val="003CA0"/>
          <w:sz w:val="12"/>
        </w:rPr>
        <w:t xml:space="preserve"> | ADI 199</w:t>
      </w:r>
      <w:r>
        <w:rPr>
          <w:color w:val="003CA0"/>
          <w:sz w:val="12"/>
        </w:rPr>
        <w:t xml:space="preserve"> | rel. Maurício Corrêa</w:t>
      </w:r>
    </w:p>
    <w:p>
      <w:pPr>
        <w:ind w:left="288"/>
      </w:pPr>
      <w:r>
        <w:rPr>
          <w:color w:val="1E1E1E"/>
          <w:sz w:val="18"/>
        </w:rPr>
        <w:t>Servidor público investido no mandato de vice-prefeito. Aplicam-se-lhe, por analogia, as disposições contidas no inciso II do art. 38 da CF.</w:t>
      </w:r>
    </w:p>
    <w:p>
      <w:pPr>
        <w:ind w:left="288"/>
      </w:pPr>
      <w:r>
        <w:rPr>
          <w:b/>
          <w:color w:val="003CA0"/>
          <w:sz w:val="16"/>
        </w:rPr>
        <w:t>[ADI 199, rel. min. Maurício Corrêa, j. 22-4-1998, P, DJ de 7-8-1998.]</w:t>
      </w:r>
    </w:p>
    <w:p>
      <w:pPr>
        <w:ind w:left="288"/>
      </w:pPr>
      <w:r>
        <w:rPr>
          <w:color w:val="8C8C8C"/>
          <w:sz w:val="12"/>
        </w:rPr>
        <w:t>cf-art-38-inc-II</w:t>
      </w:r>
      <w:r>
        <w:rPr>
          <w:color w:val="003CA0"/>
          <w:sz w:val="12"/>
        </w:rPr>
        <w:t xml:space="preserve"> | ADI 143</w:t>
      </w:r>
      <w:r>
        <w:rPr>
          <w:color w:val="003CA0"/>
          <w:sz w:val="12"/>
        </w:rPr>
        <w:t xml:space="preserve"> | rel. Carlos Velloso</w:t>
      </w:r>
    </w:p>
    <w:p>
      <w:pPr>
        <w:ind w:left="288"/>
      </w:pPr>
      <w:r>
        <w:rPr>
          <w:color w:val="1E1E1E"/>
          <w:sz w:val="18"/>
        </w:rPr>
        <w:t>Suspensão cautelar da eficácia do § 2º do art. 38 da Constituição do Ceará, que autoriza o afastamento do cargo, sem prejuízo dos salários, vencimentos e demais vantagens, de servidor público eleito vice-prefeito.</w:t>
      </w:r>
    </w:p>
    <w:p>
      <w:pPr>
        <w:ind w:left="288"/>
      </w:pPr>
      <w:r>
        <w:rPr>
          <w:b/>
          <w:color w:val="003CA0"/>
          <w:sz w:val="16"/>
        </w:rPr>
        <w:t>[ADI 143 MC-MC, rel. min. Carlos Velloso, j. 2-9-1993, P, DJ de 30-3-2001.]</w:t>
      </w:r>
    </w:p>
    <w:p>
      <w:pPr>
        <w:ind w:left="144"/>
      </w:pPr>
      <w:r>
        <w:rPr>
          <w:b/>
          <w:color w:val="B45A00"/>
          <w:sz w:val="16"/>
        </w:rPr>
        <w:t>JULGADOS CORRELATOS</w:t>
      </w:r>
    </w:p>
    <w:p>
      <w:pPr>
        <w:ind w:left="288"/>
      </w:pPr>
      <w:r>
        <w:rPr>
          <w:color w:val="8C8C8C"/>
          <w:sz w:val="12"/>
        </w:rPr>
        <w:t>cf-art-38-inc-II</w:t>
      </w:r>
      <w:r>
        <w:rPr>
          <w:color w:val="003CA0"/>
          <w:sz w:val="12"/>
        </w:rPr>
        <w:t xml:space="preserve"> | RE 140.269</w:t>
      </w:r>
      <w:r>
        <w:rPr>
          <w:color w:val="003CA0"/>
          <w:sz w:val="12"/>
        </w:rPr>
        <w:t xml:space="preserve"> | rel. Néri da Silveira</w:t>
      </w:r>
    </w:p>
    <w:p>
      <w:pPr>
        <w:ind w:left="288"/>
      </w:pPr>
      <w:r>
        <w:rPr>
          <w:color w:val="1E1E1E"/>
          <w:sz w:val="18"/>
        </w:rPr>
        <w:t xml:space="preserve">Não pode o vice-prefeito acumular a remuneração decorrente de emprego em empresa pública estadual com a representação estabelecida para o exercício do mandato eletivo (...). O que a Constituição excepcionou, no art. 38, III, no âmbito municipal, foi apenas a situação do vereador, ao possibilitar-lhe, se servidor público, no exercício do mandato, perceber as vantagens de seu cargo, emprego ou função, sem prejuízo da remuneração do cargo eletivo, quando houver compatibilidade de horários; se não se comprovar a compatibilidade de horários, será aplicada a norma relativa ao prefeito (CF, art. 38, </w:t>
      </w:r>
    </w:p>
    <w:p>
      <w:pPr>
        <w:ind w:left="288"/>
      </w:pPr>
      <w:r>
        <w:rPr>
          <w:b/>
          <w:color w:val="003CA0"/>
          <w:sz w:val="16"/>
        </w:rPr>
        <w:t>[RE 140.269, rel. min. Néri da Silveira, j. 1º-10-1996, 2ª T, DJ de 9-5-1997.]</w:t>
      </w:r>
    </w:p>
    <w:p>
      <w:pPr>
        <w:ind w:left="288"/>
      </w:pPr>
      <w:r>
        <w:rPr>
          <w:color w:val="8C8C8C"/>
          <w:sz w:val="12"/>
        </w:rPr>
        <w:t>cf-art-38-inc-II</w:t>
      </w:r>
      <w:r>
        <w:rPr>
          <w:color w:val="003CA0"/>
          <w:sz w:val="12"/>
        </w:rPr>
        <w:t xml:space="preserve"> | ARE 659.543</w:t>
      </w:r>
      <w:r>
        <w:rPr>
          <w:color w:val="003CA0"/>
          <w:sz w:val="12"/>
        </w:rPr>
        <w:t xml:space="preserve"> | rel. Cármen Lúcia</w:t>
      </w:r>
    </w:p>
    <w:p>
      <w:pPr>
        <w:ind w:left="288"/>
      </w:pPr>
      <w:r>
        <w:rPr>
          <w:color w:val="1E1E1E"/>
          <w:sz w:val="18"/>
        </w:rPr>
        <w:t>= ARE 659.543 AgR, rel. min. Cármen Lúcia, j. 30-10-2012, 2ª T, DJE de 20-11-2012 III - investido no mandato de Vereador, havendo compatibilidade de horários, perceberá as vantagens de seu cargo, emprego ou função, sem prejuízo da remuneração do cargo eletivo, e, não havendo compatibilidade, será aplicada a norma do inciso anterior;</w:t>
      </w:r>
    </w:p>
    <w:p>
      <w:pPr>
        <w:ind w:left="144"/>
      </w:pPr>
      <w:r>
        <w:rPr>
          <w:b/>
          <w:color w:val="B45A00"/>
          <w:sz w:val="16"/>
        </w:rPr>
        <w:t>CONTROLE CONCENTRADO</w:t>
      </w:r>
    </w:p>
    <w:p>
      <w:pPr>
        <w:ind w:left="288"/>
      </w:pPr>
      <w:r>
        <w:rPr>
          <w:color w:val="8C8C8C"/>
          <w:sz w:val="12"/>
        </w:rPr>
        <w:t>cf-art-38-inc-II</w:t>
      </w:r>
      <w:r>
        <w:rPr>
          <w:color w:val="003CA0"/>
          <w:sz w:val="12"/>
        </w:rPr>
        <w:t xml:space="preserve"> | ADI 1.381</w:t>
      </w:r>
      <w:r>
        <w:rPr>
          <w:color w:val="003CA0"/>
          <w:sz w:val="12"/>
        </w:rPr>
        <w:t xml:space="preserve"> | rel. Dias Toffoli</w:t>
      </w:r>
    </w:p>
    <w:p>
      <w:pPr>
        <w:ind w:left="288"/>
      </w:pPr>
      <w:r>
        <w:rPr>
          <w:color w:val="1E1E1E"/>
          <w:sz w:val="18"/>
        </w:rPr>
        <w:t>Lei estadual 5.729/1995. (...) Elegibilidade do policial militar. Violação ao art. 38 da CF. (...) A autorização, ao militar eleito, de optar pela fonte de pagamento, qualquer que seja a natureza do mandato, destoa do regramento constitucional disposto no art. 38 da CF, que somente permite o direito de opção nas estritas hipóteses de vereador e de prefeito municipal.</w:t>
      </w:r>
    </w:p>
    <w:p>
      <w:pPr>
        <w:ind w:left="288"/>
      </w:pPr>
      <w:r>
        <w:rPr>
          <w:b/>
          <w:color w:val="003CA0"/>
          <w:sz w:val="16"/>
        </w:rPr>
        <w:t>[ADI 1.381, rel. min. Dias Toffoli, j. 21-8-2014, P, DJE de 9-10-2014.]</w:t>
      </w:r>
    </w:p>
    <w:p>
      <w:pPr>
        <w:ind w:left="288"/>
      </w:pPr>
      <w:r>
        <w:rPr>
          <w:color w:val="8C8C8C"/>
          <w:sz w:val="12"/>
        </w:rPr>
        <w:t>cf-art-38-inc-II</w:t>
      </w:r>
      <w:r>
        <w:rPr>
          <w:color w:val="003CA0"/>
          <w:sz w:val="12"/>
        </w:rPr>
        <w:t xml:space="preserve"> | ADI 199</w:t>
      </w:r>
      <w:r>
        <w:rPr>
          <w:color w:val="003CA0"/>
          <w:sz w:val="12"/>
        </w:rPr>
        <w:t xml:space="preserve"> | rel. Maurício Corrêa</w:t>
      </w:r>
    </w:p>
    <w:p>
      <w:pPr>
        <w:ind w:left="288"/>
      </w:pPr>
      <w:r>
        <w:rPr>
          <w:color w:val="1E1E1E"/>
          <w:sz w:val="18"/>
        </w:rPr>
        <w:t>Carta estadual. Restrição do exercício funcional ao domicílio eleitoral. Impossibilidade. A CF prevê tão somente a hipótese do desempenho simultâneo das funções públicas, observada a compatibilidade de horários. Extensão ao suplente de vereador. Insubsistência. Ao suplente de vereador não se pode validamente estabelecer nenhuma limitação ao exercício do cargo, emprego ou função, por não ser titular de mandato eletivo.</w:t>
      </w:r>
    </w:p>
    <w:p>
      <w:pPr>
        <w:ind w:left="288"/>
      </w:pPr>
      <w:r>
        <w:rPr>
          <w:b/>
          <w:color w:val="003CA0"/>
          <w:sz w:val="16"/>
        </w:rPr>
        <w:t>[ADI 199, rel. min. Maurício Corrêa, j. 22-4-1998, P, DJ de 7-8-1998.]</w:t>
      </w:r>
    </w:p>
    <w:p>
      <w:pPr>
        <w:ind w:left="288"/>
      </w:pPr>
      <w:r>
        <w:rPr>
          <w:color w:val="8C8C8C"/>
          <w:sz w:val="12"/>
        </w:rPr>
        <w:t>cf-art-38-inc-V</w:t>
      </w:r>
      <w:r>
        <w:rPr>
          <w:color w:val="003CA0"/>
          <w:sz w:val="12"/>
        </w:rPr>
        <w:t xml:space="preserve"> | ADPF 853</w:t>
      </w:r>
      <w:r>
        <w:rPr>
          <w:color w:val="003CA0"/>
          <w:sz w:val="12"/>
        </w:rPr>
        <w:t xml:space="preserve"> | rel. Edson Fachin</w:t>
      </w:r>
    </w:p>
    <w:p>
      <w:pPr>
        <w:ind w:left="288"/>
      </w:pPr>
      <w:r>
        <w:rPr>
          <w:color w:val="1E1E1E"/>
          <w:sz w:val="18"/>
        </w:rPr>
        <w:t>A antinomia aparente entre a disposição do art. 38, V da Constituição da República e o art. 14, caput da Emenda Constitucional n. 103/2019 deve ser resolvida pelo critério da especialidade, tendo em vista que há duas normas de idêntica hierarquia que ingressaram simultaneamente no mundo jurídico. A interpretação realizada pelos atos do poder público questionados viola os preceitos fundamentais da separação dos poderes, da isonomia e indiretamente o princípio federativo ao fomentarem cobrança de contribuição previdenciária em desacordo com as prescrições da Emenda Constitucional n. 103/2019. Ar</w:t>
      </w:r>
    </w:p>
    <w:p>
      <w:pPr>
        <w:ind w:left="432"/>
      </w:pPr>
      <w:r>
        <w:rPr>
          <w:color w:val="003366"/>
          <w:sz w:val="18"/>
        </w:rPr>
        <w:t>§ 1 A União, os Estados, o Distrito Federal e os Municípios, quando a respectiva</w:t>
      </w:r>
    </w:p>
    <w:p>
      <w:pPr>
        <w:ind w:left="432"/>
      </w:pPr>
      <w:r>
        <w:rPr>
          <w:color w:val="003366"/>
          <w:sz w:val="18"/>
        </w:rPr>
        <w:t>§ 2 As despesas com pessoal resultantes do cumprimento do disposto nos §§ 12, 13</w:t>
      </w:r>
    </w:p>
    <w:p>
      <w:pPr>
        <w:ind w:left="720"/>
      </w:pPr>
      <w:r>
        <w:rPr>
          <w:color w:val="003366"/>
          <w:sz w:val="18"/>
        </w:rPr>
        <w:t>I – até o fim do exercício financeiro subsequente ao da publicação deste disposi</w:t>
      </w:r>
    </w:p>
    <w:p>
      <w:pPr>
        <w:ind w:left="720"/>
      </w:pPr>
      <w:r>
        <w:rPr>
          <w:color w:val="003366"/>
          <w:sz w:val="18"/>
        </w:rPr>
        <w:t>II – no segundo exercício financeiro subsequente ao da publicação deste disposit</w:t>
      </w:r>
    </w:p>
    <w:p>
      <w:pPr>
        <w:ind w:left="720"/>
      </w:pPr>
      <w:r>
        <w:rPr>
          <w:color w:val="003366"/>
          <w:sz w:val="18"/>
        </w:rPr>
        <w:t>III – entre o terceiro e o décimo segundo exercício financeiro subsequente ao da</w:t>
      </w:r>
    </w:p>
    <w:p>
      <w:r>
        <w:rPr>
          <w:b/>
          <w:color w:val="003366"/>
          <w:sz w:val="20"/>
        </w:rPr>
        <w:t>Art. 39 Para efeito do cumprimento das disposições constitucionais que impliquem</w:t>
      </w:r>
      <w:r>
        <w:rPr>
          <w:color w:val="8C8C8C"/>
          <w:sz w:val="14"/>
        </w:rPr>
        <w:t xml:space="preserve">  [58 decisoes]</w:t>
      </w:r>
    </w:p>
    <w:p>
      <w:pPr>
        <w:ind w:left="288"/>
      </w:pPr>
      <w:r>
        <w:rPr>
          <w:color w:val="8C8C8C"/>
          <w:sz w:val="12"/>
        </w:rPr>
        <w:t>cf-art-39</w:t>
      </w:r>
      <w:r>
        <w:rPr>
          <w:color w:val="003CA0"/>
          <w:sz w:val="12"/>
        </w:rPr>
        <w:t xml:space="preserve"> | ADI 2.135</w:t>
      </w:r>
      <w:r>
        <w:rPr>
          <w:color w:val="003CA0"/>
          <w:sz w:val="12"/>
        </w:rPr>
        <w:t xml:space="preserve"> | rel. Cármen Lúcia. Red. do ac. min. Gilmar Mendes</w:t>
      </w:r>
    </w:p>
    <w:p>
      <w:pPr>
        <w:ind w:left="288"/>
      </w:pPr>
      <w:r>
        <w:rPr>
          <w:color w:val="1E1E1E"/>
          <w:sz w:val="18"/>
        </w:rPr>
        <w:t>A questão em discussão consiste em saber se o processo legislativo que culminou na promulgação da EC 19/1998, em especial a fase de Redação do Vencido durante o primeiro turno de votação na Câmara dos Deputados, observou o disposto no § 2º do art. 60 da Constituição, que estabelece a necessidade de discussão e aprovação em dois turnos, por maioria qualificada, para que uma proposta de emenda à Constituição possa ser considerada aprovada. Em específico, envolve a correta compreensão e delimitação do objeto do Destaque para Votação em Separado (DVS) n. 9 e dos efeitos decorrentes de sua rejeição</w:t>
      </w:r>
    </w:p>
    <w:p>
      <w:pPr>
        <w:ind w:left="288"/>
      </w:pPr>
      <w:r>
        <w:rPr>
          <w:b/>
          <w:color w:val="003CA0"/>
          <w:sz w:val="16"/>
        </w:rPr>
        <w:t>[ADI 2.135, rel. min. Cármen Lúcia. Red. do ac. min. Gilmar Mendes, j. 06.11.2024, P, DJE de 03.06.2025.]</w:t>
      </w:r>
    </w:p>
    <w:p>
      <w:pPr>
        <w:ind w:left="288"/>
      </w:pPr>
      <w:r>
        <w:rPr>
          <w:color w:val="8C8C8C"/>
          <w:sz w:val="12"/>
        </w:rPr>
        <w:t>cf-art-39</w:t>
      </w:r>
      <w:r>
        <w:rPr>
          <w:color w:val="003CA0"/>
          <w:sz w:val="12"/>
        </w:rPr>
        <w:t xml:space="preserve"> | ADC 36</w:t>
      </w:r>
      <w:r>
        <w:rPr>
          <w:color w:val="003CA0"/>
          <w:sz w:val="12"/>
        </w:rPr>
        <w:t xml:space="preserve"> | rel. Cármen Lúcia</w:t>
      </w:r>
    </w:p>
    <w:p>
      <w:pPr>
        <w:ind w:left="288"/>
      </w:pPr>
      <w:r>
        <w:rPr>
          <w:color w:val="1E1E1E"/>
          <w:sz w:val="18"/>
        </w:rPr>
        <w:t>Os Conselhos Profissionais, enquanto autarquias corporativas criadas por lei com outorga para o exercício de atividade típica do Estado, tem maior grau de autonomia administrativa e financeira, constituindo espécie sui generis de pessoa jurídica de direito público não estatal, a qual não se aplica a obrigatoriedade do regime jurídico único preconizado pelo artigo 39 do texto constitucional. Trata-se de natureza peculiar que justifica o afastamento de algumas das regras ordinárias impostas às pessoas jurídicas de direito público. (...) Constitucionalidade da legislação que permite a contratação</w:t>
      </w:r>
    </w:p>
    <w:p>
      <w:pPr>
        <w:ind w:left="288"/>
      </w:pPr>
      <w:r>
        <w:rPr>
          <w:b/>
          <w:color w:val="003CA0"/>
          <w:sz w:val="16"/>
        </w:rPr>
        <w:t>[ADC 36, rel. min. Cármen Lúcia, j. 8-9-2020, P, DJE de 16-11-2020.]</w:t>
      </w:r>
    </w:p>
    <w:p>
      <w:pPr>
        <w:ind w:left="288"/>
      </w:pPr>
      <w:r>
        <w:rPr>
          <w:color w:val="8C8C8C"/>
          <w:sz w:val="12"/>
        </w:rPr>
        <w:t>cf-art-39</w:t>
      </w:r>
      <w:r>
        <w:rPr>
          <w:color w:val="003CA0"/>
          <w:sz w:val="12"/>
        </w:rPr>
        <w:t xml:space="preserve"> | ADI 5.615</w:t>
      </w:r>
      <w:r>
        <w:rPr>
          <w:color w:val="003CA0"/>
          <w:sz w:val="12"/>
        </w:rPr>
        <w:t xml:space="preserve"> | rel. Alexandre de Moraes</w:t>
      </w:r>
    </w:p>
    <w:p>
      <w:pPr>
        <w:ind w:left="288"/>
      </w:pPr>
      <w:r>
        <w:rPr>
          <w:color w:val="1E1E1E"/>
          <w:sz w:val="18"/>
        </w:rPr>
        <w:t xml:space="preserve">Compete a cada Ente federativo estipular, por meio de lei em sentido estrito, o regime jurídico de seus servidores, escolhendo entre o regime estatutário ou o regime celetista, sendo que a Constituição Federal não excluiu a possibilidade de ser adotado o regime de emprego público (celetista) para as autarquias. Para que haja produção completa dos efeitos do art. 39 da CF, é indispensável que o Ente federativo edite norma específica instituindo o regime jurídico de seus servidores da Administração Direta, das autarquias e das fundações públicas. (...) A ausência da lei instituidora de um único </w:t>
      </w:r>
    </w:p>
    <w:p>
      <w:pPr>
        <w:ind w:left="288"/>
      </w:pPr>
      <w:r>
        <w:rPr>
          <w:b/>
          <w:color w:val="003CA0"/>
          <w:sz w:val="16"/>
        </w:rPr>
        <w:t>[ADI 5.615, rel. min. Alexandre de Moraes, j. 29-5-2020, P, DJE de 6-7-2020.]</w:t>
      </w:r>
    </w:p>
    <w:p>
      <w:pPr>
        <w:ind w:left="288"/>
      </w:pPr>
      <w:r>
        <w:rPr>
          <w:color w:val="8C8C8C"/>
          <w:sz w:val="12"/>
        </w:rPr>
        <w:t>cf-art-39</w:t>
      </w:r>
      <w:r>
        <w:rPr>
          <w:color w:val="003CA0"/>
          <w:sz w:val="12"/>
        </w:rPr>
        <w:t xml:space="preserve"> | RE 1.500.797</w:t>
      </w:r>
      <w:r>
        <w:rPr>
          <w:color w:val="003CA0"/>
          <w:sz w:val="12"/>
        </w:rPr>
        <w:t xml:space="preserve"> | rel. Luís Roberto Barroso</w:t>
      </w:r>
    </w:p>
    <w:p>
      <w:pPr>
        <w:ind w:left="288"/>
      </w:pPr>
      <w:r>
        <w:rPr>
          <w:color w:val="1E1E1E"/>
          <w:sz w:val="18"/>
        </w:rPr>
        <w:t>“É infraconstitucional a controvérsia sobre o excesso de poder regulamentar de ato do Poder Executivo que regulamenta lei sobre o regime de servidor público”.</w:t>
      </w:r>
    </w:p>
    <w:p>
      <w:pPr>
        <w:ind w:left="288"/>
      </w:pPr>
      <w:r>
        <w:rPr>
          <w:b/>
          <w:color w:val="003CA0"/>
          <w:sz w:val="16"/>
        </w:rPr>
        <w:t>[RE 1.500.797 RG, rel. min. Luís Roberto Barroso, j. 18.11.2024, P, DJE de 22.11.2024, Tema 1.356, com repercussão geral negada.]</w:t>
      </w:r>
    </w:p>
    <w:p>
      <w:pPr>
        <w:ind w:left="144"/>
      </w:pPr>
      <w:r>
        <w:rPr>
          <w:b/>
          <w:color w:val="B45A00"/>
          <w:sz w:val="16"/>
        </w:rPr>
        <w:t>REPERCUSSAO GERAL</w:t>
      </w:r>
    </w:p>
    <w:p>
      <w:pPr>
        <w:ind w:left="288"/>
      </w:pPr>
      <w:r>
        <w:rPr>
          <w:color w:val="8C8C8C"/>
          <w:sz w:val="12"/>
        </w:rPr>
        <w:t>cf-art-39</w:t>
      </w:r>
      <w:r>
        <w:rPr>
          <w:color w:val="003CA0"/>
          <w:sz w:val="12"/>
        </w:rPr>
        <w:t xml:space="preserve"> | RE 1.367.790</w:t>
      </w:r>
      <w:r>
        <w:rPr>
          <w:color w:val="003CA0"/>
          <w:sz w:val="12"/>
        </w:rPr>
        <w:t xml:space="preserve"> | rel. Luiz Fux</w:t>
      </w:r>
    </w:p>
    <w:p>
      <w:pPr>
        <w:ind w:left="288"/>
      </w:pPr>
      <w:r>
        <w:rPr>
          <w:color w:val="1E1E1E"/>
          <w:sz w:val="18"/>
        </w:rPr>
        <w:t>É inconstitucional a contagem do tempo pretérito à investidura no cargo efetivo, exercido exclusivamente em cargo comissionado, para fins de incorporação de quintos como VPNI, com fundamento no artigo 1º da Lei 15.138/2010 do Estado de Santa Catarina.</w:t>
      </w:r>
    </w:p>
    <w:p>
      <w:pPr>
        <w:ind w:left="288"/>
      </w:pPr>
      <w:r>
        <w:rPr>
          <w:b/>
          <w:color w:val="003CA0"/>
          <w:sz w:val="16"/>
        </w:rPr>
        <w:t>[RE 1.367.790, rel. min. Luiz Fux, j. 28-4-2022, P, DJE de 4-5-2022, Tema 1.213, com mérito julgado e reafirmação de jurisprudência.]</w:t>
      </w:r>
    </w:p>
    <w:p>
      <w:pPr>
        <w:ind w:left="288"/>
      </w:pPr>
      <w:r>
        <w:rPr>
          <w:color w:val="8C8C8C"/>
          <w:sz w:val="12"/>
        </w:rPr>
        <w:t>cf-art-39</w:t>
      </w:r>
      <w:r>
        <w:rPr>
          <w:color w:val="003CA0"/>
          <w:sz w:val="12"/>
        </w:rPr>
        <w:t xml:space="preserve"> | RE 573.202</w:t>
      </w:r>
      <w:r>
        <w:rPr>
          <w:color w:val="003CA0"/>
          <w:sz w:val="12"/>
        </w:rPr>
        <w:t xml:space="preserve"> | rel. Ricardo Lewandowski</w:t>
      </w:r>
    </w:p>
    <w:p>
      <w:pPr>
        <w:ind w:left="288"/>
      </w:pPr>
      <w:r>
        <w:rPr>
          <w:color w:val="1E1E1E"/>
          <w:sz w:val="18"/>
        </w:rPr>
        <w:t>Compete à Justiça comum processar e julgar causas instauradas entre o poder público e seus servidores submetidos a regime especial disciplinado por lei local editada antes da Constituição Republicana de 1988, com fundamento no art. 106 da Constituição de 1967, na redação que lhe deu a EC 1/1969, ou no art. 37, IX, da Constituição de 1988.</w:t>
      </w:r>
    </w:p>
    <w:p>
      <w:pPr>
        <w:ind w:left="288"/>
      </w:pPr>
      <w:r>
        <w:rPr>
          <w:b/>
          <w:color w:val="003CA0"/>
          <w:sz w:val="16"/>
        </w:rPr>
        <w:t>[RE 573.202, rel. min. Ricardo Lewandowski, j. 21-8-2008, P, DJE de 5-12-2008, Tema 43, com mérito julgado.]</w:t>
      </w:r>
    </w:p>
    <w:p>
      <w:pPr>
        <w:ind w:left="144"/>
      </w:pPr>
      <w:r>
        <w:rPr>
          <w:b/>
          <w:color w:val="B45A00"/>
          <w:sz w:val="16"/>
        </w:rPr>
        <w:t>JULGADOS CORRELATOS</w:t>
      </w:r>
    </w:p>
    <w:p>
      <w:pPr>
        <w:ind w:left="288"/>
      </w:pPr>
      <w:r>
        <w:rPr>
          <w:color w:val="8C8C8C"/>
          <w:sz w:val="12"/>
        </w:rPr>
        <w:t>cf-art-39</w:t>
      </w:r>
      <w:r>
        <w:rPr>
          <w:color w:val="003CA0"/>
          <w:sz w:val="12"/>
        </w:rPr>
        <w:t xml:space="preserve"> | RMS 30.548</w:t>
      </w:r>
      <w:r>
        <w:rPr>
          <w:color w:val="003CA0"/>
          <w:sz w:val="12"/>
        </w:rPr>
        <w:t xml:space="preserve"> | rel. Marco Aurélio</w:t>
      </w:r>
    </w:p>
    <w:p>
      <w:pPr>
        <w:ind w:left="288"/>
      </w:pPr>
      <w:r>
        <w:rPr>
          <w:color w:val="1E1E1E"/>
          <w:sz w:val="18"/>
        </w:rPr>
        <w:t>O retorno do servidor à administração pública, à prestação de serviços, faz-se observada a situação jurídica originária, descabendo transmudar o regime da CLT em especial – inteligência das Leis 8.878/1994 e 8.212/1990.</w:t>
      </w:r>
    </w:p>
    <w:p>
      <w:pPr>
        <w:ind w:left="288"/>
      </w:pPr>
      <w:r>
        <w:rPr>
          <w:b/>
          <w:color w:val="003CA0"/>
          <w:sz w:val="16"/>
        </w:rPr>
        <w:t>[RMS 30.548, rel. min. Marco Aurélio, j. 15-9-2015, 1ª T, DJE de 28-10-2015.]</w:t>
      </w:r>
    </w:p>
    <w:p>
      <w:pPr>
        <w:ind w:left="288"/>
      </w:pPr>
      <w:r>
        <w:rPr>
          <w:color w:val="8C8C8C"/>
          <w:sz w:val="12"/>
        </w:rPr>
        <w:t>cf-art-39</w:t>
      </w:r>
      <w:r>
        <w:rPr>
          <w:color w:val="003CA0"/>
          <w:sz w:val="12"/>
        </w:rPr>
        <w:t xml:space="preserve"> | MS 28.033</w:t>
      </w:r>
      <w:r>
        <w:rPr>
          <w:color w:val="003CA0"/>
          <w:sz w:val="12"/>
        </w:rPr>
        <w:t xml:space="preserve"> | rel. Marco Aurélio</w:t>
      </w:r>
    </w:p>
    <w:p>
      <w:pPr>
        <w:ind w:left="288"/>
      </w:pPr>
      <w:r>
        <w:rPr>
          <w:color w:val="1E1E1E"/>
          <w:sz w:val="18"/>
        </w:rPr>
        <w:t>A administração pública submete-se ao princípio da legalidade, sobrepondo-se ao regulamento a lei em sentido formal e material. (...) Consoante dispõe o inciso II do art. 141 da Lei 8.112/1990, viabilizando o salutar duplo grau administrativo, cumpre à autoridade de hierarquia imediatamente inferior às mencionadas na cabeça do artigo, entre as quais os presidentes dos tribunais federais, impor a suspensão do servidor quando ultrapassado o período de trinta dias. Inconstitucionalidade do Regulamento da Secretaria do Supremo, que, ao prever a autoria da sanção pelo dirigente maior do Tribunal, f</w:t>
      </w:r>
    </w:p>
    <w:p>
      <w:pPr>
        <w:ind w:left="288"/>
      </w:pPr>
      <w:r>
        <w:rPr>
          <w:b/>
          <w:color w:val="003CA0"/>
          <w:sz w:val="16"/>
        </w:rPr>
        <w:t>[MS 28.033, rel. min. Marco Aurélio, j. 23-4-2014, P, DJE de 30-10-2014.]</w:t>
      </w:r>
    </w:p>
    <w:p>
      <w:pPr>
        <w:ind w:left="288"/>
      </w:pPr>
      <w:r>
        <w:rPr>
          <w:color w:val="8C8C8C"/>
          <w:sz w:val="12"/>
        </w:rPr>
        <w:t>cf-art-39</w:t>
      </w:r>
      <w:r>
        <w:rPr>
          <w:color w:val="003CA0"/>
          <w:sz w:val="12"/>
        </w:rPr>
        <w:t xml:space="preserve"> | RE 549.211</w:t>
      </w:r>
      <w:r>
        <w:rPr>
          <w:color w:val="003CA0"/>
          <w:sz w:val="12"/>
        </w:rPr>
        <w:t xml:space="preserve"> | rel. Dias Toffoli</w:t>
      </w:r>
    </w:p>
    <w:p>
      <w:pPr>
        <w:ind w:left="288"/>
      </w:pPr>
      <w:r>
        <w:rPr>
          <w:color w:val="1E1E1E"/>
          <w:sz w:val="18"/>
        </w:rPr>
        <w:t>Ao servidor de órgão de fiscalização profissional admitido ainda na década de cinquenta é de ser reconhecido o direito de aposentar-se nos termos da Lei 8.112/1990, em razão do disposto no art. 39 da CF, em sua redação original.</w:t>
      </w:r>
    </w:p>
    <w:p>
      <w:pPr>
        <w:ind w:left="288"/>
      </w:pPr>
      <w:r>
        <w:rPr>
          <w:b/>
          <w:color w:val="003CA0"/>
          <w:sz w:val="16"/>
        </w:rPr>
        <w:t>[RE 549.211 AgR, rel. min. Dias Toffoli, j. 10-4-2012, 1ª T, DJE de 10-5-2012.]</w:t>
      </w:r>
    </w:p>
    <w:p>
      <w:pPr>
        <w:ind w:left="288"/>
      </w:pPr>
      <w:r>
        <w:rPr>
          <w:color w:val="8C8C8C"/>
          <w:sz w:val="12"/>
        </w:rPr>
        <w:t>cf-art-39</w:t>
      </w:r>
      <w:r>
        <w:rPr>
          <w:color w:val="003CA0"/>
          <w:sz w:val="12"/>
        </w:rPr>
        <w:t xml:space="preserve"> | AI 784.572</w:t>
      </w:r>
      <w:r>
        <w:rPr>
          <w:color w:val="003CA0"/>
          <w:sz w:val="12"/>
        </w:rPr>
        <w:t xml:space="preserve"> | rel. Cármen Lúcia</w:t>
      </w:r>
    </w:p>
    <w:p>
      <w:pPr>
        <w:ind w:left="288"/>
      </w:pPr>
      <w:r>
        <w:rPr>
          <w:color w:val="1E1E1E"/>
          <w:sz w:val="18"/>
        </w:rPr>
        <w:t>Possibilidade de legislação infraconstitucional dispor sobre vantagem ou garantia não vedada ou não disciplinada pela Constituição da República.</w:t>
      </w:r>
    </w:p>
    <w:p>
      <w:pPr>
        <w:ind w:left="288"/>
      </w:pPr>
      <w:r>
        <w:rPr>
          <w:b/>
          <w:color w:val="003CA0"/>
          <w:sz w:val="16"/>
        </w:rPr>
        <w:t>[AI 784.572 AgR, rel. min. Cármen Lúcia, j. 8-2-2011, 1ª T, DJE de 25-3-2011.]</w:t>
      </w:r>
    </w:p>
    <w:p>
      <w:pPr>
        <w:ind w:left="144"/>
      </w:pPr>
      <w:r>
        <w:rPr>
          <w:b/>
          <w:color w:val="B45A00"/>
          <w:sz w:val="16"/>
        </w:rPr>
        <w:t>SUMULA VINCULANTE</w:t>
      </w:r>
    </w:p>
    <w:p>
      <w:pPr>
        <w:ind w:left="288"/>
      </w:pPr>
      <w:r>
        <w:rPr>
          <w:color w:val="8C8C8C"/>
          <w:sz w:val="12"/>
        </w:rPr>
        <w:t>cf-art-39-par-1</w:t>
      </w:r>
    </w:p>
    <w:p>
      <w:pPr>
        <w:ind w:left="288"/>
      </w:pPr>
      <w:r>
        <w:rPr>
          <w:color w:val="1E1E1E"/>
          <w:sz w:val="18"/>
        </w:rPr>
        <w:t>Não cabe ao Poder Judiciário, que não tem função legislativa, aumentar vencimentos de servidores públicos sob o fundamento de isonomia.</w:t>
      </w:r>
    </w:p>
    <w:p>
      <w:pPr>
        <w:ind w:left="288"/>
      </w:pPr>
      <w:r>
        <w:rPr>
          <w:b/>
          <w:color w:val="003CA0"/>
          <w:sz w:val="16"/>
        </w:rPr>
        <w:t>[Súmula Vinculante 37.]</w:t>
      </w:r>
    </w:p>
    <w:p>
      <w:pPr>
        <w:ind w:left="288"/>
      </w:pPr>
      <w:r>
        <w:rPr>
          <w:color w:val="8C8C8C"/>
          <w:sz w:val="12"/>
        </w:rPr>
        <w:t>cf-art-39-par-1</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144"/>
      </w:pPr>
      <w:r>
        <w:rPr>
          <w:b/>
          <w:color w:val="B45A00"/>
          <w:sz w:val="16"/>
        </w:rPr>
        <w:t>SUMULA</w:t>
      </w:r>
    </w:p>
    <w:p>
      <w:pPr>
        <w:ind w:left="288"/>
      </w:pPr>
      <w:r>
        <w:rPr>
          <w:color w:val="8C8C8C"/>
          <w:sz w:val="12"/>
        </w:rPr>
        <w:t>cf-art-39-par-1</w:t>
      </w:r>
    </w:p>
    <w:p>
      <w:pPr>
        <w:ind w:left="288"/>
      </w:pPr>
      <w:r>
        <w:rPr>
          <w:color w:val="1E1E1E"/>
          <w:sz w:val="18"/>
        </w:rPr>
        <w:t>A fixação de vencimentos dos servidores públicos não pode ser objeto de convenção coletiva.</w:t>
      </w:r>
    </w:p>
    <w:p>
      <w:pPr>
        <w:ind w:left="288"/>
      </w:pPr>
      <w:r>
        <w:rPr>
          <w:b/>
          <w:color w:val="003CA0"/>
          <w:sz w:val="16"/>
        </w:rPr>
        <w:t>[Súmula 679.]</w:t>
      </w:r>
    </w:p>
    <w:p>
      <w:pPr>
        <w:ind w:left="288"/>
      </w:pPr>
      <w:r>
        <w:rPr>
          <w:color w:val="8C8C8C"/>
          <w:sz w:val="12"/>
        </w:rPr>
        <w:t>cf-art-39-par-1</w:t>
      </w:r>
      <w:r>
        <w:rPr>
          <w:color w:val="003CA0"/>
          <w:sz w:val="12"/>
        </w:rPr>
        <w:t xml:space="preserve"> | ADI 4.921</w:t>
      </w:r>
      <w:r>
        <w:rPr>
          <w:color w:val="003CA0"/>
          <w:sz w:val="12"/>
        </w:rPr>
        <w:t xml:space="preserve"> | rel. Nunes Marques</w:t>
      </w:r>
    </w:p>
    <w:p>
      <w:pPr>
        <w:ind w:left="288"/>
      </w:pPr>
      <w:r>
        <w:rPr>
          <w:color w:val="1E1E1E"/>
          <w:sz w:val="18"/>
        </w:rPr>
        <w:t>Polícia Civil do estado de Roraima. Política remuneratória. LC n. 94/2006. Vencimento. Majoração. Carreiras de níveis diversos. Índices distintos. (...) Constitui discricionariedade do administrador a fixação dos padrões de vencimento dos servidores públicos, considerados a dotação orçamentária prévia, a elaboração de lei específica, os princípios constantes do art. 39, § 1º, da CF/1988 – atinentes à natureza, ao grau e à responsabilidade, complexidade e peculiaridades de cada cargo –, bem assim os requisitos de investidura.</w:t>
      </w:r>
    </w:p>
    <w:p>
      <w:pPr>
        <w:ind w:left="288"/>
      </w:pPr>
      <w:r>
        <w:rPr>
          <w:b/>
          <w:color w:val="003CA0"/>
          <w:sz w:val="16"/>
        </w:rPr>
        <w:t>[ADI 4.921, rel. min. Nunes Marques, j. 20.10.2025, P, DJE de 27.10.2025.]</w:t>
      </w:r>
    </w:p>
    <w:p>
      <w:pPr>
        <w:ind w:left="288"/>
      </w:pPr>
      <w:r>
        <w:rPr>
          <w:color w:val="8C8C8C"/>
          <w:sz w:val="12"/>
        </w:rPr>
        <w:t>cf-art-39-par-1</w:t>
      </w:r>
      <w:r>
        <w:rPr>
          <w:color w:val="003CA0"/>
          <w:sz w:val="12"/>
        </w:rPr>
        <w:t xml:space="preserve"> | ARE 1.552.867</w:t>
      </w:r>
      <w:r>
        <w:rPr>
          <w:color w:val="003CA0"/>
          <w:sz w:val="12"/>
        </w:rPr>
        <w:t xml:space="preserve"> | rel. André Mendonça</w:t>
      </w:r>
    </w:p>
    <w:p>
      <w:pPr>
        <w:ind w:left="288"/>
      </w:pPr>
      <w:r>
        <w:rPr>
          <w:color w:val="1E1E1E"/>
          <w:sz w:val="18"/>
        </w:rPr>
        <w:t>A jurisprudência do STF exige que a criação de gratificações esteja vinculada à descrição de atividades especiais que justifiquem tratamento remuneratório diferenciado, não podendo visar apenas à remuneração de serviços ordinários ou inerentes ao cargo.</w:t>
      </w:r>
    </w:p>
    <w:p>
      <w:pPr>
        <w:ind w:left="288"/>
      </w:pPr>
      <w:r>
        <w:rPr>
          <w:b/>
          <w:color w:val="003CA0"/>
          <w:sz w:val="16"/>
        </w:rPr>
        <w:t>[ARE 1.552.867, rel. min. André Mendonça, j. 20.10.2025, P, DJE de 28.10.2025.]</w:t>
      </w:r>
    </w:p>
    <w:p>
      <w:pPr>
        <w:ind w:left="144"/>
      </w:pPr>
      <w:r>
        <w:rPr>
          <w:b/>
          <w:color w:val="B45A00"/>
          <w:sz w:val="16"/>
        </w:rPr>
        <w:t>JULGADOS CORRELATOS</w:t>
      </w:r>
    </w:p>
    <w:p>
      <w:pPr>
        <w:ind w:left="288"/>
      </w:pPr>
      <w:r>
        <w:rPr>
          <w:color w:val="8C8C8C"/>
          <w:sz w:val="12"/>
        </w:rPr>
        <w:t>cf-art-39-par-1</w:t>
      </w:r>
      <w:r>
        <w:rPr>
          <w:color w:val="003CA0"/>
          <w:sz w:val="12"/>
        </w:rPr>
        <w:t xml:space="preserve"> | RE 226.874</w:t>
      </w:r>
      <w:r>
        <w:rPr>
          <w:color w:val="003CA0"/>
          <w:sz w:val="12"/>
        </w:rPr>
        <w:t xml:space="preserve"> | rel. Carlos Velloso</w:t>
      </w:r>
    </w:p>
    <w:p>
      <w:pPr>
        <w:ind w:left="288"/>
      </w:pPr>
      <w:r>
        <w:rPr>
          <w:color w:val="1E1E1E"/>
          <w:sz w:val="18"/>
        </w:rPr>
        <w:t>A CF não concedeu isonomia direta às carreiras jurídicas. Essa isonomia deve ser viabilizada mediante lei.</w:t>
      </w:r>
    </w:p>
    <w:p>
      <w:pPr>
        <w:ind w:left="288"/>
      </w:pPr>
      <w:r>
        <w:rPr>
          <w:b/>
          <w:color w:val="003CA0"/>
          <w:sz w:val="16"/>
        </w:rPr>
        <w:t>[RE 226.874 AgR, rel. min. Carlos Velloso, j. 23-3-2004, 2ª T, DJ de 23-4-2004.]</w:t>
      </w:r>
    </w:p>
    <w:p>
      <w:pPr>
        <w:ind w:left="144"/>
      </w:pPr>
      <w:r>
        <w:rPr>
          <w:b/>
          <w:color w:val="B45A00"/>
          <w:sz w:val="16"/>
        </w:rPr>
        <w:t>REPERCUSSAO GERAL</w:t>
      </w:r>
    </w:p>
    <w:p>
      <w:pPr>
        <w:ind w:left="288"/>
      </w:pPr>
      <w:r>
        <w:rPr>
          <w:color w:val="8C8C8C"/>
          <w:sz w:val="12"/>
        </w:rPr>
        <w:t>cf-art-39-par-1-inc-II</w:t>
      </w:r>
      <w:r>
        <w:rPr>
          <w:color w:val="003CA0"/>
          <w:sz w:val="12"/>
        </w:rPr>
        <w:t xml:space="preserve"> | RE 740.008</w:t>
      </w:r>
      <w:r>
        <w:rPr>
          <w:color w:val="003CA0"/>
          <w:sz w:val="12"/>
        </w:rPr>
        <w:t xml:space="preserve"> | rel. Marco Aurélio</w:t>
      </w:r>
    </w:p>
    <w:p>
      <w:pPr>
        <w:ind w:left="288"/>
      </w:pPr>
      <w:r>
        <w:rPr>
          <w:color w:val="1E1E1E"/>
          <w:sz w:val="18"/>
        </w:rPr>
        <w:t>É inconstitucional o aproveitamento de servidor, aprovado em concurso público a exigir formação de nível médio, em cargo que pressuponha escolaridade superior.</w:t>
        <w:br/>
        <w:t>[RE 740.008, rel. min. Marco Aurélio, j. 21-12-2020, P, DJE de 14-4-2021, Tema 697, com mérito julgado.]</w:t>
      </w:r>
    </w:p>
    <w:p>
      <w:pPr>
        <w:ind w:left="288"/>
      </w:pPr>
      <w:r>
        <w:rPr>
          <w:color w:val="8C8C8C"/>
          <w:sz w:val="12"/>
        </w:rPr>
        <w:t>cf-art-39-par-1-inc-III</w:t>
      </w:r>
    </w:p>
    <w:p>
      <w:pPr>
        <w:ind w:left="288"/>
      </w:pPr>
      <w:r>
        <w:rPr>
          <w:color w:val="1E1E1E"/>
          <w:sz w:val="18"/>
        </w:rPr>
        <w:t>§ 2º A União, os Estados e o Distrito Federal manterão escolas de governo para a formação e o aperfeiçoamento dos servidores públicos, constituindo-se a participação nos cursos um dos requisitos para a promoção na carreira, facultada, para isso, a celebração de convênios ou contratos entre os entes federados. (Redação da EC 19/1998)</w:t>
      </w:r>
    </w:p>
    <w:p>
      <w:pPr>
        <w:ind w:left="144"/>
      </w:pPr>
      <w:r>
        <w:rPr>
          <w:b/>
          <w:color w:val="B45A00"/>
          <w:sz w:val="16"/>
        </w:rPr>
        <w:t>CONTROLE CONCENTRADO</w:t>
      </w:r>
    </w:p>
    <w:p>
      <w:pPr>
        <w:ind w:left="288"/>
      </w:pPr>
      <w:r>
        <w:rPr>
          <w:color w:val="8C8C8C"/>
          <w:sz w:val="12"/>
        </w:rPr>
        <w:t>cf-art-39-par-1-inc-III</w:t>
      </w:r>
      <w:r>
        <w:rPr>
          <w:color w:val="003CA0"/>
          <w:sz w:val="12"/>
        </w:rPr>
        <w:t xml:space="preserve"> | ADI 6.012</w:t>
      </w:r>
      <w:r>
        <w:rPr>
          <w:color w:val="003CA0"/>
          <w:sz w:val="12"/>
        </w:rPr>
        <w:t xml:space="preserve"> | rel. Alexandre de Moraes</w:t>
      </w:r>
    </w:p>
    <w:p>
      <w:pPr>
        <w:ind w:left="288"/>
      </w:pPr>
      <w:r>
        <w:rPr>
          <w:color w:val="1E1E1E"/>
          <w:sz w:val="18"/>
        </w:rPr>
        <w:t>A necessidade de formação e o aprimoramento profissional no âmbito da Administração Pública (art. 39, § 2º, da CF) permite o exercício de atividades de docência por parte dos próprios agentes públicos, os quais passam a desempenhar funções diversas para as quais foram investidos. No caso, a compensação pelo exercício voluntário de função de magistério policial, em Academia de Polícia ou em outra área da segurança Pública do Estado de Mato Grosso do Sul, busca indenizar o exercício de atividade que, em rigor, não está incluída nas atribuições legais do cargo titularizado pelo docente, seja de D</w:t>
      </w:r>
    </w:p>
    <w:p>
      <w:pPr>
        <w:ind w:left="288"/>
      </w:pPr>
      <w:r>
        <w:rPr>
          <w:b/>
          <w:color w:val="003CA0"/>
          <w:sz w:val="16"/>
        </w:rPr>
        <w:t>[ADI 6.012, rel. min. Alexandre de Moraes, j. 27-9-2019, P, DJE de 15-10-2019.]</w:t>
      </w:r>
    </w:p>
    <w:p>
      <w:pPr>
        <w:ind w:left="144"/>
      </w:pPr>
      <w:r>
        <w:rPr>
          <w:b/>
          <w:color w:val="B45A00"/>
          <w:sz w:val="16"/>
        </w:rPr>
        <w:t>SUMULA VINCULANTE</w:t>
      </w:r>
    </w:p>
    <w:p>
      <w:pPr>
        <w:ind w:left="288"/>
      </w:pPr>
      <w:r>
        <w:rPr>
          <w:color w:val="8C8C8C"/>
          <w:sz w:val="12"/>
        </w:rPr>
        <w:t>cf-art-39-par-3</w:t>
      </w:r>
    </w:p>
    <w:p>
      <w:pPr>
        <w:ind w:left="288"/>
      </w:pPr>
      <w:r>
        <w:rPr>
          <w:color w:val="1E1E1E"/>
          <w:sz w:val="18"/>
        </w:rPr>
        <w:t>Os arts. 7º, IV, e 39, § 3º (redação da EC 19/1998), da Constituição referem-se ao total da remuneração percebida pelo servidor público.</w:t>
      </w:r>
    </w:p>
    <w:p>
      <w:pPr>
        <w:ind w:left="288"/>
      </w:pPr>
      <w:r>
        <w:rPr>
          <w:b/>
          <w:color w:val="003CA0"/>
          <w:sz w:val="16"/>
        </w:rPr>
        <w:t>[Súmula Vinculante 16.]</w:t>
      </w:r>
    </w:p>
    <w:p>
      <w:pPr>
        <w:ind w:left="288"/>
      </w:pPr>
      <w:r>
        <w:rPr>
          <w:color w:val="8C8C8C"/>
          <w:sz w:val="12"/>
        </w:rPr>
        <w:t>cf-art-39-par-3</w:t>
      </w:r>
    </w:p>
    <w:p>
      <w:pPr>
        <w:ind w:left="288"/>
      </w:pPr>
      <w:r>
        <w:rPr>
          <w:color w:val="1E1E1E"/>
          <w:sz w:val="18"/>
        </w:rPr>
        <w:t>O cálculo de gratificações e outras vantagens do servidor público não incide sobre o abono utilizado para se atingir o salário mínimo.</w:t>
      </w:r>
    </w:p>
    <w:p>
      <w:pPr>
        <w:ind w:left="288"/>
      </w:pPr>
      <w:r>
        <w:rPr>
          <w:b/>
          <w:color w:val="003CA0"/>
          <w:sz w:val="16"/>
        </w:rPr>
        <w:t>[Súmula Vinculante 15.]</w:t>
      </w:r>
    </w:p>
    <w:p>
      <w:pPr>
        <w:ind w:left="288"/>
      </w:pPr>
      <w:r>
        <w:rPr>
          <w:color w:val="8C8C8C"/>
          <w:sz w:val="12"/>
        </w:rPr>
        <w:t>cf-art-39-par-3</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144"/>
      </w:pPr>
      <w:r>
        <w:rPr>
          <w:b/>
          <w:color w:val="B45A00"/>
          <w:sz w:val="16"/>
        </w:rPr>
        <w:t>SUMULA</w:t>
      </w:r>
    </w:p>
    <w:p>
      <w:pPr>
        <w:ind w:left="288"/>
      </w:pPr>
      <w:r>
        <w:rPr>
          <w:color w:val="8C8C8C"/>
          <w:sz w:val="12"/>
        </w:rPr>
        <w:t>cf-art-39-par-3</w:t>
      </w:r>
    </w:p>
    <w:p>
      <w:pPr>
        <w:ind w:left="288"/>
      </w:pPr>
      <w:r>
        <w:rPr>
          <w:color w:val="1E1E1E"/>
          <w:sz w:val="18"/>
        </w:rPr>
        <w:t>O limite de idade para a inscrição em concurso público só se legitima em face do art. 7º, XXX, da Constituição, quando possa ser justificado pela natureza das atribuições do cargo a ser preenchido.</w:t>
      </w:r>
    </w:p>
    <w:p>
      <w:pPr>
        <w:ind w:left="288"/>
      </w:pPr>
      <w:r>
        <w:rPr>
          <w:b/>
          <w:color w:val="003CA0"/>
          <w:sz w:val="16"/>
        </w:rPr>
        <w:t>[Súmula 683.]</w:t>
      </w:r>
    </w:p>
    <w:p>
      <w:pPr>
        <w:ind w:left="288"/>
      </w:pPr>
      <w:r>
        <w:rPr>
          <w:color w:val="8C8C8C"/>
          <w:sz w:val="12"/>
        </w:rPr>
        <w:t>cf-art-39-par-3</w:t>
      </w:r>
    </w:p>
    <w:p>
      <w:pPr>
        <w:ind w:left="288"/>
      </w:pPr>
      <w:r>
        <w:rPr>
          <w:color w:val="1E1E1E"/>
          <w:sz w:val="18"/>
        </w:rPr>
        <w:t>A fixação de vencimentos dos servidores públicos não pode ser objeto de convenção coletiva.</w:t>
      </w:r>
    </w:p>
    <w:p>
      <w:pPr>
        <w:ind w:left="288"/>
      </w:pPr>
      <w:r>
        <w:rPr>
          <w:b/>
          <w:color w:val="003CA0"/>
          <w:sz w:val="16"/>
        </w:rPr>
        <w:t>[Súmula 679.]</w:t>
      </w:r>
    </w:p>
    <w:p>
      <w:pPr>
        <w:ind w:left="288"/>
      </w:pPr>
      <w:r>
        <w:rPr>
          <w:color w:val="8C8C8C"/>
          <w:sz w:val="12"/>
        </w:rPr>
        <w:t>cf-art-39-par-3</w:t>
      </w:r>
      <w:r>
        <w:rPr>
          <w:color w:val="003CA0"/>
          <w:sz w:val="12"/>
        </w:rPr>
        <w:t xml:space="preserve"> | ADI 6.799</w:t>
      </w:r>
      <w:r>
        <w:rPr>
          <w:color w:val="003CA0"/>
          <w:sz w:val="12"/>
        </w:rPr>
        <w:t xml:space="preserve"> | rel. Cristiano Zanin</w:t>
      </w:r>
    </w:p>
    <w:p>
      <w:pPr>
        <w:ind w:left="288"/>
      </w:pPr>
      <w:r>
        <w:rPr>
          <w:color w:val="1E1E1E"/>
          <w:sz w:val="18"/>
        </w:rPr>
        <w:t>“É inconstitucional lei estadual que fixa idade máxima para ingresso na carreira do Ministério Público, sem a necessária vinculação à natureza das atribuições do cargo”.</w:t>
      </w:r>
    </w:p>
    <w:p>
      <w:pPr>
        <w:ind w:left="288"/>
      </w:pPr>
      <w:r>
        <w:rPr>
          <w:b/>
          <w:color w:val="003CA0"/>
          <w:sz w:val="16"/>
        </w:rPr>
        <w:t>[ADI 6.799, rel. min. Cristiano Zanin, j. 26.05.2025, P, DJE de 04.06.2025.]</w:t>
      </w:r>
    </w:p>
    <w:p>
      <w:pPr>
        <w:ind w:left="288"/>
      </w:pPr>
      <w:r>
        <w:rPr>
          <w:color w:val="8C8C8C"/>
          <w:sz w:val="12"/>
        </w:rPr>
        <w:t>cf-art-39-par-3</w:t>
      </w:r>
      <w:r>
        <w:rPr>
          <w:color w:val="003CA0"/>
          <w:sz w:val="12"/>
        </w:rPr>
        <w:t xml:space="preserve"> | ADI 7.532</w:t>
      </w:r>
      <w:r>
        <w:rPr>
          <w:color w:val="003CA0"/>
          <w:sz w:val="12"/>
        </w:rPr>
        <w:t xml:space="preserve"> | rel. André Mendonça</w:t>
      </w:r>
    </w:p>
    <w:p>
      <w:pPr>
        <w:ind w:left="288"/>
      </w:pPr>
      <w:r>
        <w:rPr>
          <w:color w:val="1E1E1E"/>
          <w:sz w:val="18"/>
        </w:rPr>
        <w:t>1. A servidora pública gestante tem direito ao gozo de licença-maternidade, independentemente do regime jurídico aplicável, se contratual ou administrativo, ainda que ocupe cargo em comissão ou seja contratada por tempo determinado. 2. O prazo para fruição da licença-maternidade pelas servidoras públicas em cargo comissionado ou contratadas temporariamente deve ser concedido de acordo com a respectiva lei estadual que regule a contratação comissionada ou temporária, ou, eventualmente, a legislação trabalhista que incida sobre o caso, na hipótese de vínculo não-administrativo. 3. Não há como se</w:t>
      </w:r>
    </w:p>
    <w:p>
      <w:pPr>
        <w:ind w:left="288"/>
      </w:pPr>
      <w:r>
        <w:rPr>
          <w:b/>
          <w:color w:val="003CA0"/>
          <w:sz w:val="16"/>
        </w:rPr>
        <w:t>[ADI 7.532, rel. min. André Mendonça, j. 24.02.2025, P, DJE de 29.04.2025.]</w:t>
      </w:r>
    </w:p>
    <w:p>
      <w:pPr>
        <w:ind w:left="144"/>
      </w:pPr>
      <w:r>
        <w:rPr>
          <w:b/>
          <w:color w:val="B45A00"/>
          <w:sz w:val="16"/>
        </w:rPr>
        <w:t>CONTROLE CONCENTRADO</w:t>
      </w:r>
    </w:p>
    <w:p>
      <w:pPr>
        <w:ind w:left="288"/>
      </w:pPr>
      <w:r>
        <w:rPr>
          <w:color w:val="8C8C8C"/>
          <w:sz w:val="12"/>
        </w:rPr>
        <w:t>cf-art-39-par-3</w:t>
      </w:r>
      <w:r>
        <w:rPr>
          <w:color w:val="003CA0"/>
          <w:sz w:val="12"/>
        </w:rPr>
        <w:t xml:space="preserve"> | ADI 7.399</w:t>
      </w:r>
      <w:r>
        <w:rPr>
          <w:color w:val="003CA0"/>
          <w:sz w:val="12"/>
        </w:rPr>
        <w:t xml:space="preserve"> | rel. Alexandre de Moraes</w:t>
      </w:r>
    </w:p>
    <w:p>
      <w:pPr>
        <w:ind w:left="288"/>
      </w:pPr>
      <w:r>
        <w:rPr>
          <w:color w:val="1E1E1E"/>
          <w:sz w:val="18"/>
        </w:rPr>
        <w:t>Art. 55, caput, incisos I, II e III, e §1º, da Lei 11.440/2006, nos trechos que estabelece critérios etários para a transferência dos diplomatas ao Quadro Especial do Serviço Exterior Brasileiro. Inexistência de violação à isonomia. (...) Critérios de transferência por idade ou por tempo de classe, o que ocorrer primeiro. No caso do critério por idade, a transferência é efetivada independentemente do tempo de serviço na respectiva classe. (...) O delineamento constitucional acerca das exigências de idade para acesso a determinados cargos e para progressão funcional confere um considerável espa</w:t>
      </w:r>
    </w:p>
    <w:p>
      <w:pPr>
        <w:ind w:left="144"/>
      </w:pPr>
      <w:r>
        <w:rPr>
          <w:b/>
          <w:color w:val="B45A00"/>
          <w:sz w:val="16"/>
        </w:rPr>
        <w:t>REPERCUSSAO GERAL</w:t>
      </w:r>
    </w:p>
    <w:p>
      <w:pPr>
        <w:ind w:left="288"/>
      </w:pPr>
      <w:r>
        <w:rPr>
          <w:color w:val="8C8C8C"/>
          <w:sz w:val="12"/>
        </w:rPr>
        <w:t>cf-art-39-par-3</w:t>
      </w:r>
      <w:r>
        <w:rPr>
          <w:color w:val="003CA0"/>
          <w:sz w:val="12"/>
        </w:rPr>
        <w:t xml:space="preserve"> | RE 1.211.446</w:t>
      </w:r>
      <w:r>
        <w:rPr>
          <w:color w:val="003CA0"/>
          <w:sz w:val="12"/>
        </w:rPr>
        <w:t xml:space="preserve"> | rel. Alexandre de Moraes</w:t>
      </w:r>
    </w:p>
    <w:p>
      <w:pPr>
        <w:ind w:left="288"/>
      </w:pPr>
      <w:r>
        <w:rPr>
          <w:color w:val="1E1E1E"/>
          <w:sz w:val="18"/>
        </w:rPr>
        <w:t>“A servidora pública ou a trabalhadora regida pela CLT não gestante em união homoafetiva têm direito ao gozo da licença-maternidade. Caso a companheira tenha usufruído do benefício, fará jus a período de afastamento correspondente ao da licença-paternidade”.</w:t>
      </w:r>
    </w:p>
    <w:p>
      <w:pPr>
        <w:ind w:left="288"/>
      </w:pPr>
      <w:r>
        <w:rPr>
          <w:b/>
          <w:color w:val="003CA0"/>
          <w:sz w:val="16"/>
        </w:rPr>
        <w:t>[RE 1.211.446, rel. min. Alexandre de Moraes, j. 13.03.2024, P, DJE de 21.05.2024, Tema 1.072, com mérito julgado.]</w:t>
      </w:r>
    </w:p>
    <w:p>
      <w:pPr>
        <w:ind w:left="288"/>
      </w:pPr>
      <w:r>
        <w:rPr>
          <w:color w:val="8C8C8C"/>
          <w:sz w:val="12"/>
        </w:rPr>
        <w:t>cf-art-39-par-3</w:t>
      </w:r>
      <w:r>
        <w:rPr>
          <w:color w:val="003CA0"/>
          <w:sz w:val="12"/>
        </w:rPr>
        <w:t xml:space="preserve"> | RE 842.844</w:t>
      </w:r>
      <w:r>
        <w:rPr>
          <w:color w:val="003CA0"/>
          <w:sz w:val="12"/>
        </w:rPr>
        <w:t xml:space="preserve"> | rel. Luiz Fux</w:t>
      </w:r>
    </w:p>
    <w:p>
      <w:pPr>
        <w:ind w:left="288"/>
      </w:pPr>
      <w:r>
        <w:rPr>
          <w:color w:val="1E1E1E"/>
          <w:sz w:val="18"/>
        </w:rPr>
        <w:t>A trabalhadora gestante tem direito ao gozo de licença-maternidade e à estabilidade provisória, independentemente do regime jurídico aplicável, se contratual ou administrativo, ainda que ocupe cargo em comissão ou seja contratada por tempo determinado, nos termos dos arts. 7º, XVIII; 37, II; e 39, § 3º; da Constituição Federal, e 10, II, b, do Ato das Disposições Constitucionais Transitórias.</w:t>
        <w:br/>
        <w:t xml:space="preserve">[RE 842.844, rel. min. Luiz Fux, j. 5-10-2023, P, DJE de 6-12-2023, Tema 542, com mérito julgado.] “No exercício da autonomia legislativa municipal, não pode o Município, ao disciplinar o regime jurídico </w:t>
      </w:r>
    </w:p>
    <w:p>
      <w:pPr>
        <w:ind w:left="288"/>
      </w:pPr>
      <w:r>
        <w:rPr>
          <w:b/>
          <w:color w:val="003CA0"/>
          <w:sz w:val="16"/>
        </w:rPr>
        <w:t>[RE 593.448, rel. min. Edson Fachin, j. 05.12.2022, P, DJE de 19.12.2022, Tema 221, com mérito julgado.]</w:t>
      </w:r>
    </w:p>
    <w:p>
      <w:pPr>
        <w:ind w:left="288"/>
      </w:pPr>
      <w:r>
        <w:rPr>
          <w:color w:val="8C8C8C"/>
          <w:sz w:val="12"/>
        </w:rPr>
        <w:t>cf-art-39-par-3</w:t>
      </w:r>
      <w:r>
        <w:rPr>
          <w:color w:val="003CA0"/>
          <w:sz w:val="12"/>
        </w:rPr>
        <w:t xml:space="preserve"> | RE 964.659</w:t>
      </w:r>
      <w:r>
        <w:rPr>
          <w:color w:val="003CA0"/>
          <w:sz w:val="12"/>
        </w:rPr>
        <w:t xml:space="preserve"> | rel. Dias Toffoli</w:t>
      </w:r>
    </w:p>
    <w:p>
      <w:pPr>
        <w:ind w:left="288"/>
      </w:pPr>
      <w:r>
        <w:rPr>
          <w:color w:val="1E1E1E"/>
          <w:sz w:val="18"/>
        </w:rPr>
        <w:t>(...) ”[é] defeso o pagamento de remuneração em valor inferior ao salário mínimo ao servidor público, ainda que labore em jornada reduzida de trabalho”.</w:t>
        <w:br/>
        <w:t>[RE 964.659, rel. min. Dias Toffoli, j. 8-8-2022, P, DJE de 1º-9-2022, Tema 900, com mérito julgado.] Concessão de décimo terceiro salário e férias remuneradas acrescidas do terço constitucional a conciliadores e juízes leigos.</w:t>
      </w:r>
    </w:p>
    <w:p>
      <w:pPr>
        <w:ind w:left="288"/>
      </w:pPr>
      <w:r>
        <w:rPr>
          <w:b/>
          <w:color w:val="003CA0"/>
          <w:sz w:val="16"/>
        </w:rPr>
        <w:t>[RE 1.308.392 RG, rel. min. Luiz Fux, j. 21-4-2022, P, DJE de 29-4-2022, Tema 1.211, com mérito pendente.]</w:t>
      </w:r>
    </w:p>
    <w:p>
      <w:pPr>
        <w:ind w:left="288"/>
      </w:pPr>
      <w:r>
        <w:rPr>
          <w:color w:val="8C8C8C"/>
          <w:sz w:val="12"/>
        </w:rPr>
        <w:t>cf-art-39-par-3</w:t>
      </w:r>
      <w:r>
        <w:rPr>
          <w:color w:val="003CA0"/>
          <w:sz w:val="12"/>
        </w:rPr>
        <w:t xml:space="preserve"> | ARE 1.336.085</w:t>
      </w:r>
      <w:r>
        <w:rPr>
          <w:color w:val="003CA0"/>
          <w:sz w:val="12"/>
        </w:rPr>
        <w:t xml:space="preserve"> | rel. Luiz Fux</w:t>
      </w:r>
    </w:p>
    <w:p>
      <w:pPr>
        <w:ind w:left="288"/>
      </w:pPr>
      <w:r>
        <w:rPr>
          <w:color w:val="1E1E1E"/>
          <w:sz w:val="18"/>
        </w:rPr>
        <w:t>É infraconstitucional, a ela se aplicando os efeitos da ausência de repercussão geral, a controvérsia relativa à definição do divisor aplicável ao cálculo de horas extras de servidores públicos.</w:t>
      </w:r>
    </w:p>
    <w:p>
      <w:pPr>
        <w:ind w:left="288"/>
      </w:pPr>
      <w:r>
        <w:rPr>
          <w:b/>
          <w:color w:val="003CA0"/>
          <w:sz w:val="16"/>
        </w:rPr>
        <w:t>[ARE 1.336.085 RG, rel. min. Luiz Fux, j. 26-8-2021, P, DJE de 3-9-2021, Tema 1.163, com repercussão geral negada.]</w:t>
      </w:r>
    </w:p>
    <w:p>
      <w:pPr>
        <w:ind w:left="288"/>
      </w:pPr>
      <w:r>
        <w:rPr>
          <w:color w:val="8C8C8C"/>
          <w:sz w:val="12"/>
        </w:rPr>
        <w:t>cf-art-39-par-3</w:t>
      </w:r>
      <w:r>
        <w:rPr>
          <w:color w:val="003CA0"/>
          <w:sz w:val="12"/>
        </w:rPr>
        <w:t xml:space="preserve"> | ARE 678.112</w:t>
      </w:r>
      <w:r>
        <w:rPr>
          <w:color w:val="003CA0"/>
          <w:sz w:val="12"/>
        </w:rPr>
        <w:t xml:space="preserve"> | rel. Luiz Fux</w:t>
      </w:r>
    </w:p>
    <w:p>
      <w:pPr>
        <w:ind w:left="288"/>
      </w:pPr>
      <w:r>
        <w:rPr>
          <w:color w:val="1E1E1E"/>
          <w:sz w:val="18"/>
        </w:rPr>
        <w:t xml:space="preserve">Insta saber se é razoável ou não limitar idade para ingressar em carreira policial, a par da aprovação em testes médicos e físicos. Com efeito, o Supremo tem entendido, em casos semelhantes, que o estabelecimento de limite de idade para inscrição em concurso público apenas é legítimo quando justificado pela natureza das atribuições do cargo a ser preenchido. (...) Nesse mesmo sentido, o teor do Enunciado 683 da Súmula da jurisprudência dominante neste Pretório Excelso: "O limite de idade para a inscrição em concurso público só se legitima em face do art. 7º, XXX, da Constituição, quando possa </w:t>
      </w:r>
    </w:p>
    <w:p>
      <w:pPr>
        <w:ind w:left="288"/>
      </w:pPr>
      <w:r>
        <w:rPr>
          <w:b/>
          <w:color w:val="003CA0"/>
          <w:sz w:val="16"/>
        </w:rPr>
        <w:t>[ARE 678.112 RG, voto do rel. min. Luiz Fux, j. 25-4-2013, P, DJE de 17-5-2013, Tema 646, com mérito julgado.]</w:t>
        <w:br/>
        <w:t>Vide RE 523.737 AgR, rel. min. Ellen Gracie, j. 22-6-2010, 2ª T, DJE de 6-8-2010</w:t>
      </w:r>
    </w:p>
    <w:p>
      <w:pPr>
        <w:ind w:left="288"/>
      </w:pPr>
      <w:r>
        <w:rPr>
          <w:color w:val="8C8C8C"/>
          <w:sz w:val="12"/>
        </w:rPr>
        <w:t>cf-art-39-par-3</w:t>
      </w:r>
      <w:r>
        <w:rPr>
          <w:color w:val="003CA0"/>
          <w:sz w:val="12"/>
        </w:rPr>
        <w:t xml:space="preserve"> | RE 572.921</w:t>
      </w:r>
      <w:r>
        <w:rPr>
          <w:color w:val="003CA0"/>
          <w:sz w:val="12"/>
        </w:rPr>
        <w:t xml:space="preserve"> | rel. Ricardo Lewandowski</w:t>
      </w:r>
    </w:p>
    <w:p>
      <w:pPr>
        <w:ind w:left="288"/>
      </w:pPr>
      <w:r>
        <w:rPr>
          <w:color w:val="1E1E1E"/>
          <w:sz w:val="18"/>
        </w:rPr>
        <w:t>Servidor público. Vencimentos. Salário mínimo. Complementação por abono. Cálculo de gratificações e outras vantagens sobre o abono utilizado para se atingir o salário mínimo. Impossibilidade. Questão de ordem. Matéria de mérito pacificada no STF. Repercussão geral reconhecida. Confirmação da jurisprudência.</w:t>
      </w:r>
    </w:p>
    <w:p>
      <w:pPr>
        <w:ind w:left="288"/>
      </w:pPr>
      <w:r>
        <w:rPr>
          <w:b/>
          <w:color w:val="003CA0"/>
          <w:sz w:val="16"/>
        </w:rPr>
        <w:t>[RE 572.921 QO-RG, rel. min. Ricardo Lewandowski, j. 13-11-2008, P, DJE de 6-2-2009, Tema 141, com mérito julgado.]</w:t>
      </w:r>
    </w:p>
    <w:p>
      <w:pPr>
        <w:ind w:left="288"/>
      </w:pPr>
      <w:r>
        <w:rPr>
          <w:color w:val="8C8C8C"/>
          <w:sz w:val="12"/>
        </w:rPr>
        <w:t>cf-art-39-par-3</w:t>
      </w:r>
      <w:r>
        <w:rPr>
          <w:color w:val="003CA0"/>
          <w:sz w:val="12"/>
        </w:rPr>
        <w:t xml:space="preserve"> | RE 439.360</w:t>
      </w:r>
      <w:r>
        <w:rPr>
          <w:color w:val="003CA0"/>
          <w:sz w:val="12"/>
        </w:rPr>
        <w:t xml:space="preserve"> | rel. Sepúlveda Pertence</w:t>
      </w:r>
    </w:p>
    <w:p>
      <w:pPr>
        <w:ind w:left="288"/>
      </w:pPr>
      <w:r>
        <w:rPr>
          <w:color w:val="1E1E1E"/>
          <w:sz w:val="18"/>
        </w:rPr>
        <w:t>= RE 439.360 AgR, rel. min. Sepúlveda Pertence, j. 9-8-2005, 1ª T, DJ de 2-9-2005 “1. A vinculação automática de remuneração ao salário mínimo viola o enunciado nº 4 da Súmula Vinculante do STF, aplicável tanto a empregados públicos quanto a servidores estatutários. 2. A coisa julgada formada sob regime celetista não gera efeitos sobre a remuneração de servidores públicos submetidos ao regime jurídico único, cujos vencimentos são estipulados por normas estatutárias. 3. A irredutibilidade de vencimentos, no momento de transição para o regime estatutário, não confere direito a reajustes automáti</w:t>
      </w:r>
    </w:p>
    <w:p>
      <w:pPr>
        <w:ind w:left="288"/>
      </w:pPr>
      <w:r>
        <w:rPr>
          <w:b/>
          <w:color w:val="003CA0"/>
          <w:sz w:val="16"/>
        </w:rPr>
        <w:t>[ARE 1.526.509 AgR, rel. min. André Mendonça, j. 22.02.2025, 2ª T, DJE de 07.03.2025.]</w:t>
      </w:r>
    </w:p>
    <w:p>
      <w:pPr>
        <w:ind w:left="144"/>
      </w:pPr>
      <w:r>
        <w:rPr>
          <w:b/>
          <w:color w:val="B45A00"/>
          <w:sz w:val="16"/>
        </w:rPr>
        <w:t>JULGADOS CORRELATOS</w:t>
      </w:r>
    </w:p>
    <w:p>
      <w:pPr>
        <w:ind w:left="288"/>
      </w:pPr>
      <w:r>
        <w:rPr>
          <w:color w:val="8C8C8C"/>
          <w:sz w:val="12"/>
        </w:rPr>
        <w:t>cf-art-39-par-3</w:t>
      </w:r>
      <w:r>
        <w:rPr>
          <w:color w:val="003CA0"/>
          <w:sz w:val="12"/>
        </w:rPr>
        <w:t xml:space="preserve"> | RE 425.760</w:t>
      </w:r>
      <w:r>
        <w:rPr>
          <w:color w:val="003CA0"/>
          <w:sz w:val="12"/>
        </w:rPr>
        <w:t xml:space="preserve"> | rel. Roberto Barroso</w:t>
      </w:r>
    </w:p>
    <w:p>
      <w:pPr>
        <w:ind w:left="288"/>
      </w:pPr>
      <w:r>
        <w:rPr>
          <w:color w:val="1E1E1E"/>
          <w:sz w:val="18"/>
        </w:rPr>
        <w:t xml:space="preserve">No caso, é notória a razoabilidade da Lei 8.112/1990, ao exigir genericamente a idade mínima de dezoito anos para a investidura em cargo público, uma vez que a própria CF proíbe expressamente o exercício de qualquer trabalho a menores de dezoito anos, salvo na condição de aprendiz, a partir de quatorze anos (art. 7º, XXXIII, da Carta). De fato, tendo em conta o grau de responsabilidade e a essencialidade dos servidores públicos ao correto andamento da máquina administrativa, não se pode igualar o exercício de função pública às atribuições acometidas a um aprendiz. Dessa forma, como exposto na </w:t>
      </w:r>
    </w:p>
    <w:p>
      <w:pPr>
        <w:ind w:left="288"/>
      </w:pPr>
      <w:r>
        <w:rPr>
          <w:b/>
          <w:color w:val="003CA0"/>
          <w:sz w:val="16"/>
        </w:rPr>
        <w:t>[RE 425.760 AgR, voto do rel. min. Roberto Barroso, j. 29-10-2013, 1ª T, DJE de 20-2-2014.]</w:t>
      </w:r>
    </w:p>
    <w:p>
      <w:pPr>
        <w:ind w:left="288"/>
      </w:pPr>
      <w:r>
        <w:rPr>
          <w:color w:val="8C8C8C"/>
          <w:sz w:val="12"/>
        </w:rPr>
        <w:t>cf-art-39-par-3</w:t>
      </w:r>
      <w:r>
        <w:rPr>
          <w:color w:val="003CA0"/>
          <w:sz w:val="12"/>
        </w:rPr>
        <w:t xml:space="preserve"> | RE 523.737</w:t>
      </w:r>
      <w:r>
        <w:rPr>
          <w:color w:val="003CA0"/>
          <w:sz w:val="12"/>
        </w:rPr>
        <w:t xml:space="preserve"> | rel. Ellen Gracie</w:t>
      </w:r>
    </w:p>
    <w:p>
      <w:pPr>
        <w:ind w:left="288"/>
      </w:pPr>
      <w:r>
        <w:rPr>
          <w:color w:val="1E1E1E"/>
          <w:sz w:val="18"/>
        </w:rPr>
        <w:t>Concurso público da polícia militar. (...) O STF entende que a restrição da admissão a cargos públicos a partir da idade somente se justifica se previsto em lei e quando situações concretas exigem um limite razoável, tendo em conta o grau de esforço a ser desenvolvido pelo ocupante do cargo ou função. No caso, mostra-se desarrazoada a exigência de teste de esforço físico com critérios diferenciados em razão da faixa etária.</w:t>
      </w:r>
    </w:p>
    <w:p>
      <w:pPr>
        <w:ind w:left="288"/>
      </w:pPr>
      <w:r>
        <w:rPr>
          <w:b/>
          <w:color w:val="003CA0"/>
          <w:sz w:val="16"/>
        </w:rPr>
        <w:t>[RE 523.737 AgR, rel. min. Ellen Gracie, j. 22-6-2010, 2ª T, DJE de 6-8-2010.]</w:t>
      </w:r>
    </w:p>
    <w:p>
      <w:pPr>
        <w:ind w:left="288"/>
      </w:pPr>
      <w:r>
        <w:rPr>
          <w:color w:val="8C8C8C"/>
          <w:sz w:val="12"/>
        </w:rPr>
        <w:t>cf-art-39-par-3</w:t>
      </w:r>
      <w:r>
        <w:rPr>
          <w:color w:val="003CA0"/>
          <w:sz w:val="12"/>
        </w:rPr>
        <w:t xml:space="preserve"> | AI 598.715</w:t>
      </w:r>
      <w:r>
        <w:rPr>
          <w:color w:val="003CA0"/>
          <w:sz w:val="12"/>
        </w:rPr>
        <w:t xml:space="preserve"> | rel. Marco Aurélio</w:t>
      </w:r>
    </w:p>
    <w:p>
      <w:pPr>
        <w:ind w:left="288"/>
      </w:pPr>
      <w:r>
        <w:rPr>
          <w:color w:val="1E1E1E"/>
          <w:sz w:val="18"/>
        </w:rPr>
        <w:t>Longe fica de vulnerar a CF pronunciamento no sentido da inexigibilidade de altura mínima para habilitação em concurso público quando esta for prevista estritamente no edital, e não em lei em sentido formal e material.</w:t>
      </w:r>
    </w:p>
    <w:p>
      <w:pPr>
        <w:ind w:left="288"/>
      </w:pPr>
      <w:r>
        <w:rPr>
          <w:b/>
          <w:color w:val="003CA0"/>
          <w:sz w:val="16"/>
        </w:rPr>
        <w:t>[AI 598.715 AgR, rel. min. Marco Aurélio, j. 1º-4-2008, 1ª T, DJE de 9-5-2008.]</w:t>
      </w:r>
    </w:p>
    <w:p>
      <w:pPr>
        <w:ind w:left="288"/>
      </w:pPr>
      <w:r>
        <w:rPr>
          <w:color w:val="8C8C8C"/>
          <w:sz w:val="12"/>
        </w:rPr>
        <w:t>cf-art-39-par-3</w:t>
      </w:r>
      <w:r>
        <w:rPr>
          <w:color w:val="003CA0"/>
          <w:sz w:val="12"/>
        </w:rPr>
        <w:t xml:space="preserve"> | RE 559.823</w:t>
      </w:r>
      <w:r>
        <w:rPr>
          <w:color w:val="003CA0"/>
          <w:sz w:val="12"/>
        </w:rPr>
        <w:t xml:space="preserve"> | rel. Joaquim Barbosa</w:t>
      </w:r>
    </w:p>
    <w:p>
      <w:pPr>
        <w:ind w:left="288"/>
      </w:pPr>
      <w:r>
        <w:rPr>
          <w:color w:val="1E1E1E"/>
          <w:sz w:val="18"/>
        </w:rPr>
        <w:t>A fixação do limite de idade via edital não tem o condão de suprir a exigência constitucional de que tal requisito seja estabelecido por lei.</w:t>
      </w:r>
    </w:p>
    <w:p>
      <w:pPr>
        <w:ind w:left="288"/>
      </w:pPr>
      <w:r>
        <w:rPr>
          <w:b/>
          <w:color w:val="003CA0"/>
          <w:sz w:val="16"/>
        </w:rPr>
        <w:t>[RE 559.823 AgR, rel. min. Joaquim Barbosa, j. 27-11-2007, 2ª T, DJE de 1º-2-2008.]</w:t>
      </w:r>
    </w:p>
    <w:p>
      <w:pPr>
        <w:ind w:left="288"/>
      </w:pPr>
      <w:r>
        <w:rPr>
          <w:color w:val="8C8C8C"/>
          <w:sz w:val="12"/>
        </w:rPr>
        <w:t>cf-art-39-par-3</w:t>
      </w:r>
      <w:r>
        <w:rPr>
          <w:color w:val="003CA0"/>
          <w:sz w:val="12"/>
        </w:rPr>
        <w:t xml:space="preserve"> | ARE 667.309</w:t>
      </w:r>
      <w:r>
        <w:rPr>
          <w:color w:val="003CA0"/>
          <w:sz w:val="12"/>
        </w:rPr>
        <w:t xml:space="preserve"> | rel. Cármen Lúcia</w:t>
      </w:r>
    </w:p>
    <w:p>
      <w:pPr>
        <w:ind w:left="288"/>
      </w:pPr>
      <w:r>
        <w:rPr>
          <w:color w:val="1E1E1E"/>
          <w:sz w:val="18"/>
        </w:rPr>
        <w:t>= ARE 667.309 AgR, rel. min. Cármen Lúcia, j. 20-3-2012, 1ª T, DJE de 9-4-2012 Vide RE 523.737 AgR, rel. min. Ellen Gracie, j. 22-6-2010, 2ª T, DJE de 6-8-2010 Vide RE 558.833 AgR, rel. min. Ellen Gracie, j. 8-9-2009, 2ª T, DJE de 25-9-2009 Concurso público. Fator altura. Caso a caso, há de perquirir-se a sintonia da exigência, no que implica fator de tratamento diferenciado com a função a ser exercida. No âmbito da polícia, ao contrário do que ocorre com o agente em si, não se tem como constitucional a exigência de altura mínima, considerados homens e mulheres, de um metro e sessenta para a h</w:t>
      </w:r>
    </w:p>
    <w:p>
      <w:pPr>
        <w:ind w:left="288"/>
      </w:pPr>
      <w:r>
        <w:rPr>
          <w:b/>
          <w:color w:val="003CA0"/>
          <w:sz w:val="16"/>
        </w:rPr>
        <w:t>[RE 150.455, rel. min. Marco Aurélio, j. 15-12-1998, 2ª T, DJ de 7-5-1999.]</w:t>
      </w:r>
    </w:p>
    <w:p>
      <w:pPr>
        <w:ind w:left="288"/>
      </w:pPr>
      <w:r>
        <w:rPr>
          <w:color w:val="8C8C8C"/>
          <w:sz w:val="12"/>
        </w:rPr>
        <w:t>cf-art-39-par-3</w:t>
      </w:r>
      <w:r>
        <w:rPr>
          <w:color w:val="003CA0"/>
          <w:sz w:val="12"/>
        </w:rPr>
        <w:t xml:space="preserve"> | AI 384.050</w:t>
      </w:r>
      <w:r>
        <w:rPr>
          <w:color w:val="003CA0"/>
          <w:sz w:val="12"/>
        </w:rPr>
        <w:t xml:space="preserve"> | rel. Carlos Velloso</w:t>
      </w:r>
    </w:p>
    <w:p>
      <w:pPr>
        <w:ind w:left="288"/>
      </w:pPr>
      <w:r>
        <w:rPr>
          <w:color w:val="1E1E1E"/>
          <w:sz w:val="18"/>
        </w:rPr>
        <w:t>= AI 384.050 AgR, rel. min. Carlos Velloso, j. 9-9-2003, 2ª T, DJ de 10-10-2003 A vedação constitucional de diferença de critério de admissão por motivo de idade (CF, art. 7º, XXX) é corolário, na esfera das relações de trabalho, do princípio fundamental de igualdade, que se entende, à falta de exclusão constitucional inequívoca (como ocorre em relação aos militares – CF, art. 42, § 1º), a todo o sistema do pessoal civil. É ponderável, não obstante, a ressalva das hipóteses em que a limitação de idade se possa legitimar como imposição da natureza e das atribuições do cargo a preencher.</w:t>
      </w:r>
    </w:p>
    <w:p>
      <w:pPr>
        <w:ind w:left="288"/>
      </w:pPr>
      <w:r>
        <w:rPr>
          <w:b/>
          <w:color w:val="003CA0"/>
          <w:sz w:val="16"/>
        </w:rPr>
        <w:t>[RMS 21.046, rel. min. Sepúlveda Pertence, j. 14-12-1990, P, DJ de 14-11-1991.]</w:t>
      </w:r>
    </w:p>
    <w:p>
      <w:pPr>
        <w:ind w:left="288"/>
      </w:pPr>
      <w:r>
        <w:rPr>
          <w:color w:val="8C8C8C"/>
          <w:sz w:val="12"/>
        </w:rPr>
        <w:t>cf-art-39-par-3</w:t>
      </w:r>
      <w:r>
        <w:rPr>
          <w:color w:val="003CA0"/>
          <w:sz w:val="12"/>
        </w:rPr>
        <w:t xml:space="preserve"> | AI 722.490</w:t>
      </w:r>
      <w:r>
        <w:rPr>
          <w:color w:val="003CA0"/>
          <w:sz w:val="12"/>
        </w:rPr>
        <w:t xml:space="preserve"> | rel. Ricardo Lewandowski</w:t>
      </w:r>
    </w:p>
    <w:p>
      <w:pPr>
        <w:ind w:left="288"/>
      </w:pPr>
      <w:r>
        <w:rPr>
          <w:color w:val="1E1E1E"/>
          <w:sz w:val="18"/>
        </w:rPr>
        <w:t>= AI 722.490 AgR, rel. min. Ricardo Lewandowski, j. 3-2-2009, 1ª T, DJE de 6-3-2009 § 4º O membro de Poder, o detentor de mandato eletivo, os Ministros de Estado e os Secretários Estaduais e Municipais serão remunerados exclusivamente por subsídio fixado em parcela única, vedado o acréscimo de qualquer gratificação, adicional, abono, prêmio, verba de representação ou outra espécie remuneratória, obedecido, em qualquer caso, o disposto no art. 37, X e XI. (Incluído pela EC 19/1998) O regime de subsídio não afasta a percepção de gratificações pelo exercício de cargos em comissão ou funções de co</w:t>
      </w:r>
    </w:p>
    <w:p>
      <w:pPr>
        <w:ind w:left="288"/>
      </w:pPr>
      <w:r>
        <w:rPr>
          <w:b/>
          <w:color w:val="003CA0"/>
          <w:sz w:val="16"/>
        </w:rPr>
        <w:t>[ADI 3.228, rel. min. Edson Fachin, red. do ac. min. Luís Roberto Barroso, j. 19.02.2025, P, DJE de 10.04.2025.]</w:t>
      </w:r>
    </w:p>
    <w:p>
      <w:pPr>
        <w:ind w:left="144"/>
      </w:pPr>
      <w:r>
        <w:rPr>
          <w:b/>
          <w:color w:val="B45A00"/>
          <w:sz w:val="16"/>
        </w:rPr>
        <w:t>CONTROLE CONCENTRADO</w:t>
      </w:r>
    </w:p>
    <w:p>
      <w:pPr>
        <w:ind w:left="288"/>
      </w:pPr>
      <w:r>
        <w:rPr>
          <w:color w:val="8C8C8C"/>
          <w:sz w:val="12"/>
        </w:rPr>
        <w:t>cf-art-39-par-3</w:t>
      </w:r>
      <w:r>
        <w:rPr>
          <w:color w:val="003CA0"/>
          <w:sz w:val="12"/>
        </w:rPr>
        <w:t xml:space="preserve"> | ADI 3.834</w:t>
      </w:r>
      <w:r>
        <w:rPr>
          <w:color w:val="003CA0"/>
          <w:sz w:val="12"/>
        </w:rPr>
        <w:t xml:space="preserve"> | rel. Luís Roberto Barroso</w:t>
      </w:r>
    </w:p>
    <w:p>
      <w:pPr>
        <w:ind w:left="288"/>
      </w:pPr>
      <w:r>
        <w:rPr>
          <w:color w:val="1E1E1E"/>
          <w:sz w:val="18"/>
        </w:rPr>
        <w:t>Vantagens remuneratórias criadas por resolução do Conselho Nacional do Ministério Público. (...) A incorporação de vantagens pessoais decorrentes do exercício pretérito de função de direção, chefia ou assessoramento, bem como o acréscimo de 20% ao cálculo dos proventos de aposentaria para aqueles que se aposentam no último nível da carreira, afrontam o regime constitucional de subsídio.</w:t>
        <w:br/>
        <w:t>[ADI 3.834, rel. min. Luís Roberto Barroso, j. 21-11-2023, P, DJE de 6-2-2024.] O ‘auxílio-aperfeiçoamento’ previsto na Lei Complementar nº 89/2015, do Estado do Amapá, tem caráter excepcional e não viola a reg</w:t>
      </w:r>
    </w:p>
    <w:p>
      <w:pPr>
        <w:ind w:left="288"/>
      </w:pPr>
      <w:r>
        <w:rPr>
          <w:b/>
          <w:color w:val="003CA0"/>
          <w:sz w:val="16"/>
        </w:rPr>
        <w:t>[ADI 4.941, red. do ac. min. Luiz Fux, j. 14-8-2019, P, DJE de 7-2-2020.]</w:t>
      </w:r>
    </w:p>
    <w:p>
      <w:pPr>
        <w:ind w:left="288"/>
      </w:pPr>
      <w:r>
        <w:rPr>
          <w:color w:val="8C8C8C"/>
          <w:sz w:val="12"/>
        </w:rPr>
        <w:t>cf-art-39-par-3</w:t>
      </w:r>
      <w:r>
        <w:rPr>
          <w:color w:val="003CA0"/>
          <w:sz w:val="12"/>
        </w:rPr>
        <w:t xml:space="preserve"> | ADI 4.587</w:t>
      </w:r>
      <w:r>
        <w:rPr>
          <w:color w:val="003CA0"/>
          <w:sz w:val="12"/>
        </w:rPr>
        <w:t xml:space="preserve"> | rel. Ricardo Lewandowski</w:t>
      </w:r>
    </w:p>
    <w:p>
      <w:pPr>
        <w:ind w:left="288"/>
      </w:pPr>
      <w:r>
        <w:rPr>
          <w:color w:val="1E1E1E"/>
          <w:sz w:val="18"/>
        </w:rPr>
        <w:t>O art. 57, § 7º, do Texto Constitucional veda o pagamento de parcela indenizatória aos parlamentares em razão de convocação extraordinária. Essa norma é de reprodução obrigatória pelos Estados-membros por força do art. 27, § 2º, da Carta Magna. A Constituição é expressa, no art. 39, § 4º, ao vedar o acréscimo de qualquer gratificação, adicional, abono, prêmio, verba de representação ou outra espécie remuneratória ao subsídio percebido pelos parlamentares.</w:t>
      </w:r>
    </w:p>
    <w:p>
      <w:pPr>
        <w:ind w:left="288"/>
      </w:pPr>
      <w:r>
        <w:rPr>
          <w:b/>
          <w:color w:val="003CA0"/>
          <w:sz w:val="16"/>
        </w:rPr>
        <w:t>[ADI 4.587, rel. min. Ricardo Lewandowski, j. 22-5-2014, P, DJE de 18-6-2014.]</w:t>
      </w:r>
    </w:p>
    <w:p>
      <w:pPr>
        <w:ind w:left="288"/>
      </w:pPr>
      <w:r>
        <w:rPr>
          <w:color w:val="8C8C8C"/>
          <w:sz w:val="12"/>
        </w:rPr>
        <w:t>cf-art-39-par-3</w:t>
      </w:r>
      <w:r>
        <w:rPr>
          <w:color w:val="003CA0"/>
          <w:sz w:val="12"/>
        </w:rPr>
        <w:t xml:space="preserve"> | ADI 3.923</w:t>
      </w:r>
      <w:r>
        <w:rPr>
          <w:color w:val="003CA0"/>
          <w:sz w:val="12"/>
        </w:rPr>
        <w:t xml:space="preserve"> | rel. Eros Grau</w:t>
      </w:r>
    </w:p>
    <w:p>
      <w:pPr>
        <w:ind w:left="288"/>
      </w:pPr>
      <w:r>
        <w:rPr>
          <w:color w:val="1E1E1E"/>
          <w:sz w:val="18"/>
        </w:rPr>
        <w:t>O ato normativo impugnado institui a remuneração por meio de "subsídio" a grupos de servidores públicos do Estado do Maranhão. Aplicação indiscriminada. O subsídio de que trata o § 4º do art. 39 da CF/1988 pode ser estendido a outros servidores públicos, configurando contudo pressupostos necessários à substituição de vencimentos por subsídio a organização dos servidores em carreira configura, bem assim a irredutibilidade da remuneração. A lei questionada não disciplina de forma clara como será procedido o pagamento das vantagens adquiridas por decisão judicial ou em decorrência de decisão admi</w:t>
      </w:r>
    </w:p>
    <w:p>
      <w:pPr>
        <w:ind w:left="288"/>
      </w:pPr>
      <w:r>
        <w:rPr>
          <w:b/>
          <w:color w:val="003CA0"/>
          <w:sz w:val="16"/>
        </w:rPr>
        <w:t>[ADI 3.923 MC, rel. min. Eros Grau, j. 16-8-2007, P, DJE de 15-2-2008.]</w:t>
      </w:r>
    </w:p>
    <w:p>
      <w:pPr>
        <w:ind w:left="144"/>
      </w:pPr>
      <w:r>
        <w:rPr>
          <w:b/>
          <w:color w:val="B45A00"/>
          <w:sz w:val="16"/>
        </w:rPr>
        <w:t>REPERCUSSAO GERAL</w:t>
      </w:r>
    </w:p>
    <w:p>
      <w:pPr>
        <w:ind w:left="288"/>
      </w:pPr>
      <w:r>
        <w:rPr>
          <w:color w:val="8C8C8C"/>
          <w:sz w:val="12"/>
        </w:rPr>
        <w:t>cf-art-39-par-3</w:t>
      </w:r>
      <w:r>
        <w:rPr>
          <w:color w:val="003CA0"/>
          <w:sz w:val="12"/>
        </w:rPr>
        <w:t xml:space="preserve"> | RE 597.396</w:t>
      </w:r>
    </w:p>
    <w:p>
      <w:pPr>
        <w:ind w:left="288"/>
      </w:pPr>
      <w:r>
        <w:rPr>
          <w:color w:val="1E1E1E"/>
          <w:sz w:val="18"/>
        </w:rPr>
        <w:t>É inconstitucional o pagamento do adicional de 20% previsto no art. 184, II, da Lei 1.711/1952 a desembargadores, após a adoção do subsídio como forma remuneratória. A supressão do adicional não pode representar decesso remuneratório, em face do princípio constitucional da irredutibilidade de vencimentos, hipótese em que a parcela deve ser absorvida por reajustes salariais futuros.</w:t>
      </w:r>
    </w:p>
    <w:p>
      <w:pPr>
        <w:ind w:left="288"/>
      </w:pPr>
      <w:r>
        <w:rPr>
          <w:b/>
          <w:color w:val="003CA0"/>
          <w:sz w:val="16"/>
        </w:rPr>
        <w:t>[RE 597.396, red. do ac. min. Alexandre de Moraes, j. 16-9-2020, P, DJE de 5-10-2020, Tema 690, com mérito julgado.]</w:t>
      </w:r>
    </w:p>
    <w:p>
      <w:pPr>
        <w:ind w:left="288"/>
      </w:pPr>
      <w:r>
        <w:rPr>
          <w:color w:val="8C8C8C"/>
          <w:sz w:val="12"/>
        </w:rPr>
        <w:t>cf-art-39-par-3</w:t>
      </w:r>
      <w:r>
        <w:rPr>
          <w:color w:val="003CA0"/>
          <w:sz w:val="12"/>
        </w:rPr>
        <w:t xml:space="preserve"> | RE 650.898</w:t>
      </w:r>
    </w:p>
    <w:p>
      <w:pPr>
        <w:ind w:left="288"/>
      </w:pPr>
      <w:r>
        <w:rPr>
          <w:color w:val="1E1E1E"/>
          <w:sz w:val="18"/>
        </w:rPr>
        <w:t>O regime de subsídio é incompatível com outras parcelas remuneratórias de natureza mensal, o que não é o caso do 13º salário e do terço constitucional de férias, pagos a todos os trabalhadores e servidores com periodicidade anual.</w:t>
      </w:r>
    </w:p>
    <w:p>
      <w:pPr>
        <w:ind w:left="288"/>
      </w:pPr>
      <w:r>
        <w:rPr>
          <w:b/>
          <w:color w:val="003CA0"/>
          <w:sz w:val="16"/>
        </w:rPr>
        <w:t>[RE 650.898, red. do ac. min. Roberto Barroso, j. 1º-2-2017, P, DJE de 24-8-2017, Tema 484, com mérito julgado.]</w:t>
      </w:r>
    </w:p>
    <w:p>
      <w:pPr>
        <w:ind w:left="144"/>
      </w:pPr>
      <w:r>
        <w:rPr>
          <w:b/>
          <w:color w:val="B45A00"/>
          <w:sz w:val="16"/>
        </w:rPr>
        <w:t>JULGADOS CORRELATOS</w:t>
      </w:r>
    </w:p>
    <w:p>
      <w:pPr>
        <w:ind w:left="288"/>
      </w:pPr>
      <w:r>
        <w:rPr>
          <w:color w:val="8C8C8C"/>
          <w:sz w:val="12"/>
        </w:rPr>
        <w:t>cf-art-39-par-3</w:t>
      </w:r>
      <w:r>
        <w:rPr>
          <w:color w:val="003CA0"/>
          <w:sz w:val="12"/>
        </w:rPr>
        <w:t xml:space="preserve"> | AO 584</w:t>
      </w:r>
      <w:r>
        <w:rPr>
          <w:color w:val="003CA0"/>
          <w:sz w:val="12"/>
        </w:rPr>
        <w:t xml:space="preserve"> | rel. Maurício Corrêa</w:t>
      </w:r>
    </w:p>
    <w:p>
      <w:pPr>
        <w:ind w:left="288"/>
      </w:pPr>
      <w:r>
        <w:rPr>
          <w:color w:val="1E1E1E"/>
          <w:sz w:val="18"/>
        </w:rPr>
        <w:t>Remuneração dos magistrados na vigência da EC 19/1998. Regência do § 4º do art. 39, com remissão ao art. 37, X e XI, da CF: parcela única em forma de subsídio, exigência de lei específica e teto correspondente ao valor devido aos ministros do STF. A nova estrutura judiciária nacional (CF, art. 93, V) criou ampla vinculação, embora indireta, entre toda a magistratura, independentemente do nível organizacional, se federal ou estadual. Antinomia apenas aparente, em face da autonomia dos Estados-membros, por força do constituinte derivado. O sistema de subsídio instaurado pela EC 19/1998 somente t</w:t>
      </w:r>
    </w:p>
    <w:p>
      <w:pPr>
        <w:ind w:left="288"/>
      </w:pPr>
      <w:r>
        <w:rPr>
          <w:b/>
          <w:color w:val="003CA0"/>
          <w:sz w:val="16"/>
        </w:rPr>
        <w:t>[AO 584, rel. min. Maurício Corrêa, j. 21-5-2003, P, DJ de 27-6-2003.]</w:t>
      </w:r>
    </w:p>
    <w:p>
      <w:pPr>
        <w:ind w:left="288"/>
      </w:pPr>
      <w:r>
        <w:rPr>
          <w:color w:val="8C8C8C"/>
          <w:sz w:val="12"/>
        </w:rPr>
        <w:t>cf-art-39-par-3</w:t>
      </w:r>
      <w:r>
        <w:rPr>
          <w:color w:val="003CA0"/>
          <w:sz w:val="12"/>
        </w:rPr>
        <w:t xml:space="preserve"> | ADI 2.116</w:t>
      </w:r>
      <w:r>
        <w:rPr>
          <w:color w:val="003CA0"/>
          <w:sz w:val="12"/>
        </w:rPr>
        <w:t xml:space="preserve"> | rel. Marco Aurélio</w:t>
      </w:r>
    </w:p>
    <w:p>
      <w:pPr>
        <w:ind w:left="288"/>
      </w:pPr>
      <w:r>
        <w:rPr>
          <w:color w:val="1E1E1E"/>
          <w:sz w:val="18"/>
        </w:rPr>
        <w:t>(...) o Plenário desta Corte, ao apreciar a ADI 2.116 MC, rel. min. Marco Aurélio, entendeu que, por não serem autoaplicáveis as normas dos arts. 37, XI, e 39, § 4º, da CF (redação dada pela EC 19/1998) – até que seja promulgada a lei de fixação do subsídio de ministro do STF –, as vantagens pessoais continuam excluídas do teto de remuneração.</w:t>
      </w:r>
    </w:p>
    <w:p>
      <w:pPr>
        <w:ind w:left="288"/>
      </w:pPr>
      <w:r>
        <w:rPr>
          <w:b/>
          <w:color w:val="003CA0"/>
          <w:sz w:val="16"/>
        </w:rPr>
        <w:t>[AI 339.636 AgR, rel. min. Ilmar Galvão, j. 16-10-2001, 1ª T, DJ de 14-12-2001.]</w:t>
      </w:r>
    </w:p>
    <w:p>
      <w:pPr>
        <w:ind w:left="288"/>
      </w:pPr>
      <w:r>
        <w:rPr>
          <w:color w:val="8C8C8C"/>
          <w:sz w:val="12"/>
        </w:rPr>
        <w:t>cf-art-39-par-3</w:t>
      </w:r>
      <w:r>
        <w:rPr>
          <w:color w:val="003CA0"/>
          <w:sz w:val="12"/>
        </w:rPr>
        <w:t xml:space="preserve"> | RE 524.824</w:t>
      </w:r>
      <w:r>
        <w:rPr>
          <w:color w:val="003CA0"/>
          <w:sz w:val="12"/>
        </w:rPr>
        <w:t xml:space="preserve"> | rel. Ellen Gracie</w:t>
      </w:r>
    </w:p>
    <w:p>
      <w:pPr>
        <w:ind w:left="288"/>
      </w:pPr>
      <w:r>
        <w:rPr>
          <w:color w:val="1E1E1E"/>
          <w:sz w:val="18"/>
        </w:rPr>
        <w:t>= RE 524.824 AgR, rel. min. Ellen Gracie, j. 8-6-2010, 2ª T, DJE de 25-6-2010 Vide RE 464.876 AgR, rel. min. Cármen Lúcia, j. 16-12-2008, 1ª T, DJE de 20-2-2009</w:t>
      </w:r>
    </w:p>
    <w:p>
      <w:pPr>
        <w:ind w:left="288"/>
      </w:pPr>
      <w:r>
        <w:rPr>
          <w:color w:val="8C8C8C"/>
          <w:sz w:val="12"/>
        </w:rPr>
        <w:t>cf-art-39-par-5</w:t>
      </w:r>
      <w:r>
        <w:rPr>
          <w:color w:val="003CA0"/>
          <w:sz w:val="12"/>
        </w:rPr>
        <w:t xml:space="preserve"> | AI 740.028</w:t>
      </w:r>
      <w:r>
        <w:rPr>
          <w:color w:val="003CA0"/>
          <w:sz w:val="12"/>
        </w:rPr>
        <w:t xml:space="preserve"> | rel. Eros Grau</w:t>
      </w:r>
    </w:p>
    <w:p>
      <w:pPr>
        <w:ind w:left="288"/>
      </w:pPr>
      <w:r>
        <w:rPr>
          <w:color w:val="1E1E1E"/>
          <w:sz w:val="18"/>
        </w:rPr>
        <w:t>O STF fixou entendimento no sentido de que a estipulação de teto remuneratório, nos termos fixados pela EC 19/1998, exige a promulgação de lei em sentido formal e material.</w:t>
      </w:r>
    </w:p>
    <w:p>
      <w:pPr>
        <w:ind w:left="288"/>
      </w:pPr>
      <w:r>
        <w:rPr>
          <w:b/>
          <w:color w:val="003CA0"/>
          <w:sz w:val="16"/>
        </w:rPr>
        <w:t>[AI 740.028 AgR, rel. min. Eros Grau, j. 24-3-2009, 2ª T, DJE de 24-4-2009.]</w:t>
      </w:r>
    </w:p>
    <w:p>
      <w:pPr>
        <w:ind w:left="288"/>
      </w:pPr>
      <w:r>
        <w:rPr>
          <w:color w:val="8C8C8C"/>
          <w:sz w:val="12"/>
        </w:rPr>
        <w:t>cf-art-39-par-5</w:t>
      </w:r>
      <w:r>
        <w:rPr>
          <w:color w:val="003CA0"/>
          <w:sz w:val="12"/>
        </w:rPr>
        <w:t xml:space="preserve"> | RE 461.626</w:t>
      </w:r>
      <w:r>
        <w:rPr>
          <w:color w:val="003CA0"/>
          <w:sz w:val="12"/>
        </w:rPr>
        <w:t xml:space="preserve"> | rel. Ayres Britto</w:t>
      </w:r>
    </w:p>
    <w:p>
      <w:pPr>
        <w:ind w:left="288"/>
      </w:pPr>
      <w:r>
        <w:rPr>
          <w:color w:val="1E1E1E"/>
          <w:sz w:val="18"/>
        </w:rPr>
        <w:t>= RE 461.626 AgR, rel. min. Ayres Britto, j. 14-12-2010, 2ª T, DJE de 17-2-2011</w:t>
      </w:r>
    </w:p>
    <w:p>
      <w:pPr>
        <w:ind w:left="288"/>
      </w:pPr>
      <w:r>
        <w:rPr>
          <w:color w:val="8C8C8C"/>
          <w:sz w:val="12"/>
        </w:rPr>
        <w:t>cf-art-39-par-6</w:t>
      </w:r>
    </w:p>
    <w:p>
      <w:pPr>
        <w:ind w:left="288"/>
      </w:pPr>
      <w:r>
        <w:rPr>
          <w:color w:val="1E1E1E"/>
          <w:sz w:val="18"/>
        </w:rPr>
        <w:t>§ 7º Lei da União, dos Estados, do Distrito Federal e dos Municípios disciplinará a aplicação de recursos orçamentários provenientes da economia com despesas correntes em cada órgão, autarquia e fundação, para aplicação no desenvolvimento de programas de qualidade e produtividade, treinamento e desenvolvimento, modernização, reaparelhamento e racionalização do serviço público, inclusive sob a forma de adicional ou prêmio de produtividade. (Incluído pela EC 19/1998)</w:t>
      </w:r>
    </w:p>
    <w:p>
      <w:pPr>
        <w:ind w:left="144"/>
      </w:pPr>
      <w:r>
        <w:rPr>
          <w:b/>
          <w:color w:val="B45A00"/>
          <w:sz w:val="16"/>
        </w:rPr>
        <w:t>CONTROLE CONCENTRADO</w:t>
      </w:r>
    </w:p>
    <w:p>
      <w:pPr>
        <w:ind w:left="288"/>
      </w:pPr>
      <w:r>
        <w:rPr>
          <w:color w:val="8C8C8C"/>
          <w:sz w:val="12"/>
        </w:rPr>
        <w:t>cf-art-39-par-6</w:t>
      </w:r>
      <w:r>
        <w:rPr>
          <w:color w:val="003CA0"/>
          <w:sz w:val="12"/>
        </w:rPr>
        <w:t xml:space="preserve"> | ADI 6.562</w:t>
      </w:r>
      <w:r>
        <w:rPr>
          <w:color w:val="003CA0"/>
          <w:sz w:val="12"/>
        </w:rPr>
        <w:t xml:space="preserve"> | rel. Gilmar Mendes</w:t>
      </w:r>
    </w:p>
    <w:p>
      <w:pPr>
        <w:ind w:left="288"/>
      </w:pPr>
      <w:r>
        <w:rPr>
          <w:color w:val="1E1E1E"/>
          <w:sz w:val="18"/>
        </w:rPr>
        <w:t>Bônus de eficiência e produtividade na atividade tributária e aduaneira e da auditoria-fiscal do trabalho. Lei federal 13.464, de 2017. (...) O Bônus de Eficiência não macula a exigência constitucional de lei específica a fixar e alterar a remuneração dos servidores públicos (Art. 37, X da CF/88). A remuneração por desempenho encontra suas balizas, seu intervalo, satisfatoriamente previstas em lei formal e se amolda ao respaldo constitucional do princípio da eficiência (Art. 37, caput c/c Art. 39, § 7º da CF/88).</w:t>
      </w:r>
    </w:p>
    <w:p>
      <w:pPr>
        <w:ind w:left="288"/>
      </w:pPr>
      <w:r>
        <w:rPr>
          <w:b/>
          <w:color w:val="003CA0"/>
          <w:sz w:val="16"/>
        </w:rPr>
        <w:t>[ADI 6.562, rel. min. Gilmar Mendes, j. 9-3-2022, P, DJE de 29-3-2022.]</w:t>
      </w:r>
    </w:p>
    <w:p>
      <w:pPr>
        <w:ind w:left="288"/>
      </w:pPr>
      <w:r>
        <w:rPr>
          <w:color w:val="8C8C8C"/>
          <w:sz w:val="12"/>
        </w:rPr>
        <w:t>cf-art-39-par-8</w:t>
      </w:r>
      <w:r>
        <w:rPr>
          <w:color w:val="003CA0"/>
          <w:sz w:val="12"/>
        </w:rPr>
        <w:t xml:space="preserve"> | ADI 6.562</w:t>
      </w:r>
      <w:r>
        <w:rPr>
          <w:color w:val="003CA0"/>
          <w:sz w:val="12"/>
        </w:rPr>
        <w:t xml:space="preserve"> | rel. Gilmar Mendes</w:t>
      </w:r>
    </w:p>
    <w:p>
      <w:pPr>
        <w:ind w:left="288"/>
      </w:pPr>
      <w:r>
        <w:rPr>
          <w:color w:val="1E1E1E"/>
          <w:sz w:val="18"/>
        </w:rPr>
        <w:t>A instituição do Bônus de Eficiência e Produtividade na Atividade Tributária e Aduaneira e da Auditoria-fiscal do Trabalho não ofende o regime constitucional de remuneração por subsídio. As carreiras a que se destinam exerceram opção constitucional por remuneração sob a sistemática de vencimentos (Art. 39, § 8º da CF/88).</w:t>
      </w:r>
    </w:p>
    <w:p>
      <w:pPr>
        <w:ind w:left="288"/>
      </w:pPr>
      <w:r>
        <w:rPr>
          <w:b/>
          <w:color w:val="003CA0"/>
          <w:sz w:val="16"/>
        </w:rPr>
        <w:t>[ADI 6.562, rel. min. Gilmar Mendes, j. 9-3-2022, P, DJE de 29-3-2022.]</w:t>
      </w:r>
    </w:p>
    <w:p>
      <w:pPr>
        <w:ind w:left="288"/>
      </w:pPr>
      <w:r>
        <w:rPr>
          <w:color w:val="8C8C8C"/>
          <w:sz w:val="12"/>
        </w:rPr>
        <w:t>cf-art-39-par-8</w:t>
      </w:r>
      <w:r>
        <w:rPr>
          <w:color w:val="003CA0"/>
          <w:sz w:val="12"/>
        </w:rPr>
        <w:t xml:space="preserve"> | ADI 5.400</w:t>
      </w:r>
      <w:r>
        <w:rPr>
          <w:color w:val="003CA0"/>
          <w:sz w:val="12"/>
        </w:rPr>
        <w:t xml:space="preserve"> | rel. Luiz Fux</w:t>
      </w:r>
    </w:p>
    <w:p>
      <w:pPr>
        <w:ind w:left="288"/>
      </w:pPr>
      <w:r>
        <w:rPr>
          <w:color w:val="1E1E1E"/>
          <w:sz w:val="18"/>
        </w:rPr>
        <w:t>A fixação de diferentes valores de subsídios para refletir o escalonamento dos cargos em níveis crescentes de responsabilidade, complexidade e antiguidade é consequência lógica desse sistema remuneratório, mercê da necessidade de os servidores estarem organizados em carreira para a adoção do subsídio (artigo 39, § 8º, da Constituição Federal), sendo, ainda, consentânea com a eficiência e isonomia e previsibilidade que devem nortear o atuar administrativo.</w:t>
      </w:r>
    </w:p>
    <w:p>
      <w:pPr>
        <w:ind w:left="288"/>
      </w:pPr>
      <w:r>
        <w:rPr>
          <w:b/>
          <w:color w:val="003CA0"/>
          <w:sz w:val="16"/>
        </w:rPr>
        <w:t>[ADI 5.400, rel. min. Luiz Fux, j. 21-2-2020, P, DJE de 12-3-2020.]</w:t>
      </w:r>
    </w:p>
    <w:p>
      <w:pPr>
        <w:ind w:left="288"/>
      </w:pPr>
      <w:r>
        <w:rPr>
          <w:color w:val="8C8C8C"/>
          <w:sz w:val="12"/>
        </w:rPr>
        <w:t>cf-art-39-par-8</w:t>
      </w:r>
      <w:r>
        <w:rPr>
          <w:color w:val="003CA0"/>
          <w:sz w:val="12"/>
        </w:rPr>
        <w:t xml:space="preserve"> | ADI 4.941</w:t>
      </w:r>
    </w:p>
    <w:p>
      <w:pPr>
        <w:ind w:left="288"/>
      </w:pPr>
      <w:r>
        <w:rPr>
          <w:color w:val="1E1E1E"/>
          <w:sz w:val="18"/>
        </w:rPr>
        <w:t>Questionamento do pagamento de gratificação de dedicação exclusiva (GDE) específico quanto aos agentes remunerados por subsídio. Conhecimento da ação apenas quanto à expressão ‘ou subsídio’, constante dos §§ 1º, 3º e 5º do artigo 1º da Lei 6.975/2008. O servidor público que exerce funções extraordinárias ou labora em condições diferenciadas pode receber parcela remuneratória além do subsídio. A interpretação sistemática do artigo 39, §§ 3º, 4º e 8º, da CRFB, permitem o pagamento dos direitos elencados no primeiro parágrafo citado. O artigo 39, § 4º, da Constituição Federal, não constitui vedaç</w:t>
      </w:r>
    </w:p>
    <w:p>
      <w:pPr>
        <w:ind w:left="288"/>
      </w:pPr>
      <w:r>
        <w:rPr>
          <w:b/>
          <w:color w:val="003CA0"/>
          <w:sz w:val="16"/>
        </w:rPr>
        <w:t>[ADI 4.941, red. do ac. min. Luiz Fux, j. 14-8-2019, P, DJE de 7-2-2020.]</w:t>
      </w:r>
    </w:p>
    <w:p>
      <w:pPr>
        <w:ind w:left="288"/>
      </w:pPr>
      <w:r>
        <w:rPr>
          <w:color w:val="8C8C8C"/>
          <w:sz w:val="12"/>
        </w:rPr>
        <w:t>cf-art-39-par-8</w:t>
      </w:r>
      <w:r>
        <w:rPr>
          <w:color w:val="003CA0"/>
          <w:sz w:val="12"/>
        </w:rPr>
        <w:t xml:space="preserve"> | ADI 4.079</w:t>
      </w:r>
      <w:r>
        <w:rPr>
          <w:color w:val="003CA0"/>
          <w:sz w:val="12"/>
        </w:rPr>
        <w:t xml:space="preserve"> | rel. Roberto Barroso</w:t>
      </w:r>
    </w:p>
    <w:p>
      <w:pPr>
        <w:ind w:left="288"/>
      </w:pPr>
      <w:r>
        <w:rPr>
          <w:color w:val="1E1E1E"/>
          <w:sz w:val="18"/>
        </w:rPr>
        <w:t>(...) não viola a Constituição o diploma estadual que impede o transporte, para o regime de subsídios, das vantagens pessoais adquiridas no passado, na medida em que autoriza os servidores a se manterem no sistema anterior e a optarem, em qualquer tempo, pela incidência do novo regime. Cabendo a decisão aos próprios servidores, não há redução forçada da remuneração ou violação ao direito adquirido. Tampouco há violação à isonomia, já que a desequiparação entre regimes foi estabelecida em benefício dos próprios servidores, que podem optar, a qualquer tempo, pelo regime mais benéfico.</w:t>
      </w:r>
    </w:p>
    <w:p>
      <w:pPr>
        <w:ind w:left="288"/>
      </w:pPr>
      <w:r>
        <w:rPr>
          <w:b/>
          <w:color w:val="003CA0"/>
          <w:sz w:val="16"/>
        </w:rPr>
        <w:t>[ADI 4.079, rel. min. Roberto Barroso, j. 26-2-2015, P, DJE de 5-5-2015.]</w:t>
      </w:r>
    </w:p>
    <w:p>
      <w:pPr>
        <w:ind w:left="288"/>
      </w:pPr>
      <w:r>
        <w:rPr>
          <w:color w:val="8C8C8C"/>
          <w:sz w:val="12"/>
        </w:rPr>
        <w:t>cf-art-39-par-8</w:t>
      </w:r>
      <w:r>
        <w:rPr>
          <w:color w:val="003CA0"/>
          <w:sz w:val="12"/>
        </w:rPr>
        <w:t xml:space="preserve"> | ADI 3.923</w:t>
      </w:r>
      <w:r>
        <w:rPr>
          <w:color w:val="003CA0"/>
          <w:sz w:val="12"/>
        </w:rPr>
        <w:t xml:space="preserve"> | rel. Eros Grau</w:t>
      </w:r>
    </w:p>
    <w:p>
      <w:pPr>
        <w:ind w:left="288"/>
      </w:pPr>
      <w:r>
        <w:rPr>
          <w:color w:val="1E1E1E"/>
          <w:sz w:val="18"/>
        </w:rPr>
        <w:t>O ato normativo impugnado institui a remuneração por meio de "subsídio" a grupos de servidores públicos do Estado do Maranhão. Aplicação indiscriminada. O subsídio de que trata o § 4º do art. 39 da CF/1988 pode ser estendido a outros servidores públicos, configurando contudo pressupostos necessários à substituição de vencimentos por subsídio a organização dos servidores em carreira configura, bem assim a irredutibilidade da remuneração. A lei questionada não disciplina de forma clara como será procedido o pagamento das vantagens adquiridas por decisão judicial ou em decorrência de decisão admi</w:t>
      </w:r>
    </w:p>
    <w:p>
      <w:pPr>
        <w:ind w:left="288"/>
      </w:pPr>
      <w:r>
        <w:rPr>
          <w:b/>
          <w:color w:val="003CA0"/>
          <w:sz w:val="16"/>
        </w:rPr>
        <w:t>[ADI 3.923 MC, rel. min. Eros Grau, j. 16-8-2007, P, DJE de 15-2-2008.]</w:t>
      </w:r>
    </w:p>
    <w:p>
      <w:r>
        <w:rPr>
          <w:b/>
          <w:color w:val="003366"/>
          <w:sz w:val="20"/>
        </w:rPr>
        <w:t>Art. 40 É mantida a Zona Franca de Manaus, com suas características de área livr</w:t>
      </w:r>
      <w:r>
        <w:rPr>
          <w:color w:val="8C8C8C"/>
          <w:sz w:val="14"/>
        </w:rPr>
        <w:t xml:space="preserve">  [117 decisoes]</w:t>
      </w:r>
    </w:p>
    <w:p>
      <w:pPr>
        <w:ind w:left="144"/>
      </w:pPr>
      <w:r>
        <w:rPr>
          <w:b/>
          <w:color w:val="B45A00"/>
          <w:sz w:val="16"/>
        </w:rPr>
        <w:t>SUMULA</w:t>
      </w:r>
    </w:p>
    <w:p>
      <w:pPr>
        <w:ind w:left="288"/>
      </w:pPr>
      <w:r>
        <w:rPr>
          <w:color w:val="8C8C8C"/>
          <w:sz w:val="12"/>
        </w:rPr>
        <w:t>cf-art-40</w:t>
      </w:r>
    </w:p>
    <w:p>
      <w:pPr>
        <w:ind w:left="288"/>
      </w:pPr>
      <w:r>
        <w:rPr>
          <w:color w:val="1E1E1E"/>
          <w:sz w:val="18"/>
        </w:rPr>
        <w:t>Ressalvada a revisão prevista em lei, os proventos da inatividade regulam-se pela lei vigente ao tempo em que o militar, ou o servidor civil reuniu os requisitos necessários.</w:t>
      </w:r>
    </w:p>
    <w:p>
      <w:pPr>
        <w:ind w:left="288"/>
      </w:pPr>
      <w:r>
        <w:rPr>
          <w:b/>
          <w:color w:val="003CA0"/>
          <w:sz w:val="16"/>
        </w:rPr>
        <w:t>[Súmula 359.]</w:t>
      </w:r>
    </w:p>
    <w:p>
      <w:pPr>
        <w:ind w:left="288"/>
      </w:pPr>
      <w:r>
        <w:rPr>
          <w:color w:val="8C8C8C"/>
          <w:sz w:val="12"/>
        </w:rPr>
        <w:t>cf-art-40</w:t>
      </w:r>
      <w:r>
        <w:rPr>
          <w:color w:val="003CA0"/>
          <w:sz w:val="12"/>
        </w:rPr>
        <w:t xml:space="preserve"> | ADI 7.683</w:t>
      </w:r>
      <w:r>
        <w:rPr>
          <w:color w:val="003CA0"/>
          <w:sz w:val="12"/>
        </w:rPr>
        <w:t xml:space="preserve"> | rel. Cristiano Zanin</w:t>
      </w:r>
    </w:p>
    <w:p>
      <w:pPr>
        <w:ind w:left="288"/>
      </w:pPr>
      <w:r>
        <w:rPr>
          <w:color w:val="1E1E1E"/>
          <w:sz w:val="18"/>
        </w:rPr>
        <w:t>A jurisprudência do Supremo Tribunal Federal é consolidada no sentido de que a competência legislativa suplementar dos estados em relação ao respectivo regime próprio deve mantê-lo restrito aos servidores titulares de cargo efetivo, não havendo permissão constitucional para ampliar o rol previsto no art. 40 da Constituição Federal.</w:t>
      </w:r>
    </w:p>
    <w:p>
      <w:pPr>
        <w:ind w:left="288"/>
      </w:pPr>
      <w:r>
        <w:rPr>
          <w:b/>
          <w:color w:val="003CA0"/>
          <w:sz w:val="16"/>
        </w:rPr>
        <w:t>[ADI 7.683, rel. min. Cristiano Zanin, j. 22-12-2025, P, DJE de 30-1-2026.]</w:t>
      </w:r>
    </w:p>
    <w:p>
      <w:pPr>
        <w:ind w:left="144"/>
      </w:pPr>
      <w:r>
        <w:rPr>
          <w:b/>
          <w:color w:val="B45A00"/>
          <w:sz w:val="16"/>
        </w:rPr>
        <w:t>CONTROLE CONCENTRADO</w:t>
      </w:r>
    </w:p>
    <w:p>
      <w:pPr>
        <w:ind w:left="288"/>
      </w:pPr>
      <w:r>
        <w:rPr>
          <w:color w:val="8C8C8C"/>
          <w:sz w:val="12"/>
        </w:rPr>
        <w:t>cf-art-40</w:t>
      </w:r>
      <w:r>
        <w:rPr>
          <w:color w:val="003CA0"/>
          <w:sz w:val="12"/>
        </w:rPr>
        <w:t xml:space="preserve"> | ADI 4.824</w:t>
      </w:r>
      <w:r>
        <w:rPr>
          <w:color w:val="003CA0"/>
          <w:sz w:val="12"/>
        </w:rPr>
        <w:t xml:space="preserve"> | rel. Roberto Barroso</w:t>
      </w:r>
    </w:p>
    <w:p>
      <w:pPr>
        <w:ind w:left="288"/>
      </w:pPr>
      <w:r>
        <w:rPr>
          <w:color w:val="1E1E1E"/>
          <w:sz w:val="18"/>
        </w:rPr>
        <w:t>“1. É constitucional norma de lei estadual que imponha ao Ministério Público (i) a vinculação ao regime próprio de previdência social do respectivo ente federado; e (ii) a participação, juntamente com os poderes e demais órgãos autônomos, do custeio previdenciário. 2. É inconstitucional norma de lei estadual que autorize a Secretaria de Estado de Fazenda a reter o valor correspondente às contribuições previdenciárias devidas pelo Ministério Público, seus membros e servidores”.</w:t>
        <w:br/>
        <w:t>[ADI 4.824, rel. min. Roberto Barroso, j. 13-3-2023, P, DJE de 28-3-2023.]</w:t>
        <w:br/>
        <w:t xml:space="preserve">= ADI 4.859, rel. min. Roberto Barroso, j. </w:t>
      </w:r>
    </w:p>
    <w:p>
      <w:pPr>
        <w:ind w:left="288"/>
      </w:pPr>
      <w:r>
        <w:rPr>
          <w:b/>
          <w:color w:val="003CA0"/>
          <w:sz w:val="16"/>
        </w:rPr>
        <w:t>[ADPF 418, rel. min. Alexandre de Moraes, j. 15-4-2020, P, DJE de 30-4-2020.]</w:t>
      </w:r>
    </w:p>
    <w:p>
      <w:pPr>
        <w:ind w:left="288"/>
      </w:pPr>
      <w:r>
        <w:rPr>
          <w:color w:val="8C8C8C"/>
          <w:sz w:val="12"/>
        </w:rPr>
        <w:t>cf-art-40</w:t>
      </w:r>
      <w:r>
        <w:rPr>
          <w:color w:val="003CA0"/>
          <w:sz w:val="12"/>
        </w:rPr>
        <w:t xml:space="preserve"> | ADI 3.628</w:t>
      </w:r>
      <w:r>
        <w:rPr>
          <w:color w:val="003CA0"/>
          <w:sz w:val="12"/>
        </w:rPr>
        <w:t xml:space="preserve"> | rel. Dias Toffoli</w:t>
      </w:r>
    </w:p>
    <w:p>
      <w:pPr>
        <w:ind w:left="288"/>
      </w:pPr>
      <w:r>
        <w:rPr>
          <w:color w:val="1E1E1E"/>
          <w:sz w:val="18"/>
        </w:rPr>
        <w:t xml:space="preserve">Art. 110, parágrafo único, Lei 915, de 18 de agosto de 2005, do Estado do Amapá. (...) Durante o período de vigência do Decreto 87, de 6 de junho de 1991, não havia contribuição dos servidores ao antigo IPEAP [Instituto de Previdência do Estado do Amapá] para o custeio dos benefícios de aposentadoria. O art. 254 da Lei estadual 66, de 6 de maio de 1993, expressamente determinava que "[a]s despesas decorrentes com aposentadorias serão de responsabilidade integral do Governo do Estado do Amapá". A transferência à Amapá Previdência (AMPREV) da responsabilidade pelo pagamento das aposentadorias e </w:t>
      </w:r>
    </w:p>
    <w:p>
      <w:pPr>
        <w:ind w:left="288"/>
      </w:pPr>
      <w:r>
        <w:rPr>
          <w:b/>
          <w:color w:val="003CA0"/>
          <w:sz w:val="16"/>
        </w:rPr>
        <w:t>[ADI 3.628, rel. min. Dias Toffoli, j. 8-3-2018, P, DJE de 10-10-2018.]</w:t>
      </w:r>
    </w:p>
    <w:p>
      <w:pPr>
        <w:ind w:left="288"/>
      </w:pPr>
      <w:r>
        <w:rPr>
          <w:color w:val="8C8C8C"/>
          <w:sz w:val="12"/>
        </w:rPr>
        <w:t>cf-art-40</w:t>
      </w:r>
      <w:r>
        <w:rPr>
          <w:color w:val="003CA0"/>
          <w:sz w:val="12"/>
        </w:rPr>
        <w:t xml:space="preserve"> | ADI 3.104</w:t>
      </w:r>
      <w:r>
        <w:rPr>
          <w:color w:val="003CA0"/>
          <w:sz w:val="12"/>
        </w:rPr>
        <w:t xml:space="preserve"> | rel. Cármen Lúcia</w:t>
      </w:r>
    </w:p>
    <w:p>
      <w:pPr>
        <w:ind w:left="288"/>
      </w:pPr>
      <w:r>
        <w:rPr>
          <w:color w:val="1E1E1E"/>
          <w:sz w:val="18"/>
        </w:rPr>
        <w:t>Art. 2º e expressão "8º" do art. 10, ambos da EC 41/2003. Aposentadoria. Tempus regit actum. Regime jurídico. Direito adquirido: não ocorrência. A aposentadoria é direito constitucional que se adquire e se introduz no patrimônio jurídico do interessado no momento de sua formalização pela entidade competente. Em questões previdenciárias, aplicam-se as normas vigentes ao tempo da reunião dos requisitos de passagem para a inatividade. Somente os servidores públicos que preenchiam os requisitos estabelecidos na EC 20/1998, durante a vigência das normas por ela fixadas, poderiam reclamar a aplicaçã</w:t>
      </w:r>
    </w:p>
    <w:p>
      <w:pPr>
        <w:ind w:left="288"/>
      </w:pPr>
      <w:r>
        <w:rPr>
          <w:b/>
          <w:color w:val="003CA0"/>
          <w:sz w:val="16"/>
        </w:rPr>
        <w:t>[ADI 3.104, rel. min. Cármen Lúcia, j. 26-9-2007, P, DJ de 9-11-2007.]</w:t>
      </w:r>
    </w:p>
    <w:p>
      <w:pPr>
        <w:ind w:left="288"/>
      </w:pPr>
      <w:r>
        <w:rPr>
          <w:color w:val="8C8C8C"/>
          <w:sz w:val="12"/>
        </w:rPr>
        <w:t>cf-art-40</w:t>
      </w:r>
      <w:r>
        <w:rPr>
          <w:color w:val="003CA0"/>
          <w:sz w:val="12"/>
        </w:rPr>
        <w:t xml:space="preserve"> | ADI 2.791</w:t>
      </w:r>
      <w:r>
        <w:rPr>
          <w:color w:val="003CA0"/>
          <w:sz w:val="12"/>
        </w:rPr>
        <w:t xml:space="preserve"> | rel. Gilmar Mendes</w:t>
      </w:r>
    </w:p>
    <w:p>
      <w:pPr>
        <w:ind w:left="288"/>
      </w:pPr>
      <w:r>
        <w:rPr>
          <w:color w:val="1E1E1E"/>
          <w:sz w:val="18"/>
        </w:rPr>
        <w:t>(...) entendimento já pacificado nesta Corte no sentido de que o Estado-membro não pode conceder aos serventuários da Justiça aposentadoria em regime idêntico ao dos servidores públicos (art. 40, caput, da CF).</w:t>
      </w:r>
    </w:p>
    <w:p>
      <w:pPr>
        <w:ind w:left="288"/>
      </w:pPr>
      <w:r>
        <w:rPr>
          <w:b/>
          <w:color w:val="003CA0"/>
          <w:sz w:val="16"/>
        </w:rPr>
        <w:t>[ADI 2.791, rel. min. Gilmar Mendes, j. 16-8-2006, P, DJ de 24-11-2006.]</w:t>
      </w:r>
    </w:p>
    <w:p>
      <w:pPr>
        <w:ind w:left="288"/>
      </w:pPr>
      <w:r>
        <w:rPr>
          <w:color w:val="8C8C8C"/>
          <w:sz w:val="12"/>
        </w:rPr>
        <w:t>cf-art-40</w:t>
      </w:r>
      <w:r>
        <w:rPr>
          <w:color w:val="003CA0"/>
          <w:sz w:val="12"/>
        </w:rPr>
        <w:t xml:space="preserve"> | ARE 705.633</w:t>
      </w:r>
      <w:r>
        <w:rPr>
          <w:color w:val="003CA0"/>
          <w:sz w:val="12"/>
        </w:rPr>
        <w:t xml:space="preserve"> | rel. Marco Aurélio</w:t>
      </w:r>
    </w:p>
    <w:p>
      <w:pPr>
        <w:ind w:left="288"/>
      </w:pPr>
      <w:r>
        <w:rPr>
          <w:color w:val="1E1E1E"/>
          <w:sz w:val="18"/>
        </w:rPr>
        <w:t>= ARE 705.633 AgR, rel. min. Marco Aurélio, j. 8-10-2013, 1ª T, DJE de 28-10-2013 Não é inconstitucional o art. 4º, caput, da EC 41, de 19-12-2003, que instituiu contribuição previdenciária sobre os proventos de aposentadoria e as pensões dos servidores públicos da União, dos Estados, do Distrito Federal e dos Municípios, incluídas suas autarquias e fundações.</w:t>
      </w:r>
    </w:p>
    <w:p>
      <w:pPr>
        <w:ind w:left="288"/>
      </w:pPr>
      <w:r>
        <w:rPr>
          <w:b/>
          <w:color w:val="003CA0"/>
          <w:sz w:val="16"/>
        </w:rPr>
        <w:t>[ADI 3.105 e ADI 3.128, red. do ac. min. Cezar Peluso, j. 18-8-2004, P, DJ de 18-2-2005.]</w:t>
      </w:r>
    </w:p>
    <w:p>
      <w:pPr>
        <w:ind w:left="288"/>
      </w:pPr>
      <w:r>
        <w:rPr>
          <w:color w:val="8C8C8C"/>
          <w:sz w:val="12"/>
        </w:rPr>
        <w:t>cf-art-40</w:t>
      </w:r>
      <w:r>
        <w:rPr>
          <w:color w:val="003CA0"/>
          <w:sz w:val="12"/>
        </w:rPr>
        <w:t xml:space="preserve"> | MS 24.777</w:t>
      </w:r>
      <w:r>
        <w:rPr>
          <w:color w:val="003CA0"/>
          <w:sz w:val="12"/>
        </w:rPr>
        <w:t xml:space="preserve"> | rel. Teori Zavascki</w:t>
      </w:r>
    </w:p>
    <w:p>
      <w:pPr>
        <w:ind w:left="288"/>
      </w:pPr>
      <w:r>
        <w:rPr>
          <w:color w:val="1E1E1E"/>
          <w:sz w:val="18"/>
        </w:rPr>
        <w:t>= MS 24.777 AgR, rel. min. Teori Zavascki, j. 19-9-2013, P, DJE de 16-10-2013 Vide AI 594.104 AgR, rel. min. Ellen Gracie, j. 4-5-2010, 2ª T, DJE de 21-5-2010 Vide RE 475.076 AgR, rel. min. Eros Grau, j. 25-11-2008, 2ª T, DJE de 19-12-2008 Tabeliães e oficiais de registros públicos: aposentadoria: inconstitucionalidade da norma da Constituição local que – além de conceder-lhes aposentadoria de servidor público – que, para esse efeito, não são – vincula os respectivos proventos às alterações dos vencimentos da magistratura: precedente (ADI 139, RTJ 138/14).</w:t>
      </w:r>
    </w:p>
    <w:p>
      <w:pPr>
        <w:ind w:left="288"/>
      </w:pPr>
      <w:r>
        <w:rPr>
          <w:b/>
          <w:color w:val="003CA0"/>
          <w:sz w:val="16"/>
        </w:rPr>
        <w:t>[ADI 575, rel. min. Sepúlveda Pertence, j. 25-3-1999, P, DJ de 25-6-1999.]</w:t>
      </w:r>
    </w:p>
    <w:p>
      <w:pPr>
        <w:ind w:left="288"/>
      </w:pPr>
      <w:r>
        <w:rPr>
          <w:color w:val="8C8C8C"/>
          <w:sz w:val="12"/>
        </w:rPr>
        <w:t>cf-art-40</w:t>
      </w:r>
      <w:r>
        <w:rPr>
          <w:color w:val="003CA0"/>
          <w:sz w:val="12"/>
        </w:rPr>
        <w:t xml:space="preserve"> | AI 668.533</w:t>
      </w:r>
      <w:r>
        <w:rPr>
          <w:color w:val="003CA0"/>
          <w:sz w:val="12"/>
        </w:rPr>
        <w:t xml:space="preserve"> | rel. Cármen Lúcia</w:t>
      </w:r>
    </w:p>
    <w:p>
      <w:pPr>
        <w:ind w:left="288"/>
      </w:pPr>
      <w:r>
        <w:rPr>
          <w:color w:val="1E1E1E"/>
          <w:sz w:val="18"/>
        </w:rPr>
        <w:t>= AI 668.533 AgR, rel. min. Cármen Lúcia, j. 25-10-2011, 1ª T, DJE de 23-11-2011 Vide RE 565.936 AgR, rel. min. Ellen Gracie, j. 26-10-2010, 2ª T, DJE de 29-11-2010 Já se firmou na jurisprudência desta Corte que, entre os princípios de observância obrigatória pela Constituição e pelas leis dos Estados-membros, se encontram os contidos no art. 40 da Carta Magna Federal (assim, nas ADI 101, ADI 178 e ADI 755).</w:t>
      </w:r>
    </w:p>
    <w:p>
      <w:pPr>
        <w:ind w:left="288"/>
      </w:pPr>
      <w:r>
        <w:rPr>
          <w:b/>
          <w:color w:val="003CA0"/>
          <w:sz w:val="16"/>
        </w:rPr>
        <w:t>[ADI 369, rel. min. Moreira Alves, j. 9-12-1998, P, DJ de 12-3-1999.]</w:t>
      </w:r>
    </w:p>
    <w:p>
      <w:pPr>
        <w:ind w:left="288"/>
      </w:pPr>
      <w:r>
        <w:rPr>
          <w:color w:val="8C8C8C"/>
          <w:sz w:val="12"/>
        </w:rPr>
        <w:t>cf-art-40</w:t>
      </w:r>
      <w:r>
        <w:rPr>
          <w:color w:val="003CA0"/>
          <w:sz w:val="12"/>
        </w:rPr>
        <w:t xml:space="preserve"> | ADI 4.698</w:t>
      </w:r>
      <w:r>
        <w:rPr>
          <w:color w:val="003CA0"/>
          <w:sz w:val="12"/>
        </w:rPr>
        <w:t xml:space="preserve"> | rel. Joaquim Barbosa</w:t>
      </w:r>
    </w:p>
    <w:p>
      <w:pPr>
        <w:ind w:left="288"/>
      </w:pPr>
      <w:r>
        <w:rPr>
          <w:color w:val="1E1E1E"/>
          <w:sz w:val="18"/>
        </w:rPr>
        <w:t>= ADI 4.698 MC, rel. min. Joaquim Barbosa, j. 1º-12-2011, P, DJE de 25-4-2012 “Somente os servidores públicos civis detentores de cargo efetivo (art. 40, CF, na redação dada pela EC 20/98) são vinculados ao regime próprio de previdência social, a excluir os estáveis nos termos do art. 19 do ADCT e os demais servidores admitidos sem concurso público, ressalvadas as aposentadorias e pensões já concedidas ou com requisitos já satisfeitos até a data da publicação da ata de julgamento destes embargos declaratórios”.</w:t>
      </w:r>
    </w:p>
    <w:p>
      <w:pPr>
        <w:ind w:left="288"/>
      </w:pPr>
      <w:r>
        <w:rPr>
          <w:b/>
          <w:color w:val="003CA0"/>
          <w:sz w:val="16"/>
        </w:rPr>
        <w:t>[RE 1.426.306 RG-ED, rel. min. Luís Roberto Barroso, j. 11.06.2024, P, DJE de 21.06.2024, Tema 1.254, com mérito julgado.]</w:t>
      </w:r>
    </w:p>
    <w:p>
      <w:pPr>
        <w:ind w:left="144"/>
      </w:pPr>
      <w:r>
        <w:rPr>
          <w:b/>
          <w:color w:val="B45A00"/>
          <w:sz w:val="16"/>
        </w:rPr>
        <w:t>REPERCUSSAO GERAL</w:t>
      </w:r>
    </w:p>
    <w:p>
      <w:pPr>
        <w:ind w:left="288"/>
      </w:pPr>
      <w:r>
        <w:rPr>
          <w:color w:val="8C8C8C"/>
          <w:sz w:val="12"/>
        </w:rPr>
        <w:t>cf-art-40</w:t>
      </w:r>
      <w:r>
        <w:rPr>
          <w:color w:val="003CA0"/>
          <w:sz w:val="12"/>
        </w:rPr>
        <w:t xml:space="preserve"> | AI 831.223</w:t>
      </w:r>
      <w:r>
        <w:rPr>
          <w:color w:val="003CA0"/>
          <w:sz w:val="12"/>
        </w:rPr>
        <w:t xml:space="preserve"> | rel. Cezar Peluso</w:t>
      </w:r>
    </w:p>
    <w:p>
      <w:pPr>
        <w:ind w:left="288"/>
      </w:pPr>
      <w:r>
        <w:rPr>
          <w:color w:val="1E1E1E"/>
          <w:sz w:val="18"/>
        </w:rPr>
        <w:t>A questão suscitada neste recurso versa sobre a constitucionalidade da instituição de contribuição à saúde incidente sobre o valor de proventos e pensões de servidores públicos, no interregno das EC 20/1998 e EC 41/2003. Esta Corte possui jurisprudência firmada no sentido da inconstitucionalidade de contribuição previdenciária instituída sobre proventos e pensões de servidores públicos com a finalidade de assistência à saúde diferenciada, ainda no interregno das EC 20/1998 e EC 41/2003.</w:t>
      </w:r>
    </w:p>
    <w:p>
      <w:pPr>
        <w:ind w:left="288"/>
      </w:pPr>
      <w:r>
        <w:rPr>
          <w:b/>
          <w:color w:val="003CA0"/>
          <w:sz w:val="16"/>
        </w:rPr>
        <w:t>[AI 831.223 RG, rel. min. Cezar Peluso, j. 16-6-2011, P, DJE de 6-10-2011, Tema 431, com mérito julgado.]</w:t>
      </w:r>
    </w:p>
    <w:p>
      <w:pPr>
        <w:ind w:left="144"/>
      </w:pPr>
      <w:r>
        <w:rPr>
          <w:b/>
          <w:color w:val="B45A00"/>
          <w:sz w:val="16"/>
        </w:rPr>
        <w:t>JULGADOS CORRELATOS</w:t>
      </w:r>
    </w:p>
    <w:p>
      <w:pPr>
        <w:ind w:left="288"/>
      </w:pPr>
      <w:r>
        <w:rPr>
          <w:color w:val="8C8C8C"/>
          <w:sz w:val="12"/>
        </w:rPr>
        <w:t>cf-art-40</w:t>
      </w:r>
      <w:r>
        <w:rPr>
          <w:color w:val="003CA0"/>
          <w:sz w:val="12"/>
        </w:rPr>
        <w:t xml:space="preserve"> | MS 31.299</w:t>
      </w:r>
    </w:p>
    <w:p>
      <w:pPr>
        <w:ind w:left="288"/>
      </w:pPr>
      <w:r>
        <w:rPr>
          <w:color w:val="1E1E1E"/>
          <w:sz w:val="18"/>
        </w:rPr>
        <w:t>A ratio do art. 8º, § 3º, da EC 20/98 estabeleceu regra de transição compensatória para todos os Magistrados, membros do Ministério Público e do Tribunal de Contas, do sexo masculino, que ainda não haviam preenchidos os requisitos para a aposentadoria na data de sua vigência. A partir da leitura da norma constitucional, é possível inferir a mensagem do constituinte no sentido de que, ao sujeitarem tais servidores a novo regime jurídico previdenciário, com significativo acréscimo de 5 anos de contribuição para a aposentadoria, contemplou-os com o direito adquirido ao acréscimo de tempo de servi</w:t>
      </w:r>
    </w:p>
    <w:p>
      <w:pPr>
        <w:ind w:left="288"/>
      </w:pPr>
      <w:r>
        <w:rPr>
          <w:b/>
          <w:color w:val="003CA0"/>
          <w:sz w:val="16"/>
        </w:rPr>
        <w:t>[MS 31.299 AgR, red. do ac. min. Alexandre de Moraes, j. 15-4-2021, P, DJE de 5-5-2021.]</w:t>
      </w:r>
    </w:p>
    <w:p>
      <w:pPr>
        <w:ind w:left="288"/>
      </w:pPr>
      <w:r>
        <w:rPr>
          <w:color w:val="8C8C8C"/>
          <w:sz w:val="12"/>
        </w:rPr>
        <w:t>cf-art-40</w:t>
      </w:r>
      <w:r>
        <w:rPr>
          <w:color w:val="003CA0"/>
          <w:sz w:val="12"/>
        </w:rPr>
        <w:t xml:space="preserve"> | ARE 1.069.876</w:t>
      </w:r>
      <w:r>
        <w:rPr>
          <w:color w:val="003CA0"/>
          <w:sz w:val="12"/>
        </w:rPr>
        <w:t xml:space="preserve"> | rel. Dias Toffoli</w:t>
      </w:r>
    </w:p>
    <w:p>
      <w:pPr>
        <w:ind w:left="288"/>
      </w:pPr>
      <w:r>
        <w:rPr>
          <w:color w:val="1E1E1E"/>
          <w:sz w:val="18"/>
        </w:rPr>
        <w:t>Servidores públicos detentores da estabilidade excepcional do art. 19 do ADCT. Inclusão no regime próprio de previdência social. Impossibilidade. (...) Os servidores abrangidos pela estabilidade excepcional prevista no art. 19 do ADCT não se equiparam aos servidores efetivos, os quais foram aprovados em concurso público. Aqueles possuem somente o direito de permanecer no serviço público nos cargos em que foram admitidos, não tendo direito aos benefícios privativos dos servidores efetivos. Conforme consta do art. 40 da CF, com a redação dada pela EC 42/2003, pertencem ao regime próprio de previ</w:t>
      </w:r>
    </w:p>
    <w:p>
      <w:pPr>
        <w:ind w:left="288"/>
      </w:pPr>
      <w:r>
        <w:rPr>
          <w:b/>
          <w:color w:val="003CA0"/>
          <w:sz w:val="16"/>
        </w:rPr>
        <w:t>[ARE 1.069.876 AgR, rel. min. Dias Toffoli, j. 27-10-2017, 2ª T, DJE de 13-11-2017.]</w:t>
      </w:r>
    </w:p>
    <w:p>
      <w:pPr>
        <w:ind w:left="288"/>
      </w:pPr>
      <w:r>
        <w:rPr>
          <w:color w:val="8C8C8C"/>
          <w:sz w:val="12"/>
        </w:rPr>
        <w:t>cf-art-40</w:t>
      </w:r>
      <w:r>
        <w:rPr>
          <w:color w:val="003CA0"/>
          <w:sz w:val="12"/>
        </w:rPr>
        <w:t xml:space="preserve"> | RE 1.381.137</w:t>
      </w:r>
      <w:r>
        <w:rPr>
          <w:color w:val="003CA0"/>
          <w:sz w:val="12"/>
        </w:rPr>
        <w:t xml:space="preserve"> | rel. Alexandre de Moraes</w:t>
      </w:r>
    </w:p>
    <w:p>
      <w:pPr>
        <w:ind w:left="288"/>
      </w:pPr>
      <w:r>
        <w:rPr>
          <w:color w:val="1E1E1E"/>
          <w:sz w:val="18"/>
        </w:rPr>
        <w:t>= RE 1.381.137 AgR, rel. min. Alexandre de Moraes, red. do ac. min. Roberto Barroso, j. 16-8-2022, 1ª T, DJE de 29-8-2022 O princípio da solidariedade se presta a universalizar o âmbito de potenciais contribuintes, mitigando a referibilidade que é própria das contribuições. Não se presta o referido postulado a legitimar distorções na base de cálculo das contribuições, as quais, no intuito desmedido de arrecadar, acarretam o desvirtuamento da natureza retributiva que deve marcar os regimes de previdência.</w:t>
        <w:br/>
        <w:t>[ARE 669.573 AgR, rel. min. Roberto Barroso, j. 4-8-2015, 1ª T, DJE de 26-8-2015.] O servi</w:t>
      </w:r>
    </w:p>
    <w:p>
      <w:pPr>
        <w:ind w:left="288"/>
      </w:pPr>
      <w:r>
        <w:rPr>
          <w:b/>
          <w:color w:val="003CA0"/>
          <w:sz w:val="16"/>
        </w:rPr>
        <w:t>[MS 27.215 AgR, rel. min. Luiz Fux, j. 10-4-2014, P, DJE de 5-5-2014.]</w:t>
      </w:r>
    </w:p>
    <w:p>
      <w:pPr>
        <w:ind w:left="288"/>
      </w:pPr>
      <w:r>
        <w:rPr>
          <w:color w:val="8C8C8C"/>
          <w:sz w:val="12"/>
        </w:rPr>
        <w:t>cf-art-40</w:t>
      </w:r>
      <w:r>
        <w:rPr>
          <w:color w:val="003CA0"/>
          <w:sz w:val="12"/>
        </w:rPr>
        <w:t xml:space="preserve"> | RE 610.290</w:t>
      </w:r>
      <w:r>
        <w:rPr>
          <w:color w:val="003CA0"/>
          <w:sz w:val="12"/>
        </w:rPr>
        <w:t xml:space="preserve"> | rel. Ricardo Lewandowski</w:t>
      </w:r>
    </w:p>
    <w:p>
      <w:pPr>
        <w:ind w:left="288"/>
      </w:pPr>
      <w:r>
        <w:rPr>
          <w:color w:val="1E1E1E"/>
          <w:sz w:val="18"/>
        </w:rPr>
        <w:t>Compete aos Estados-membros dispor sobre os direitos, os deveres, a remuneração, as prerrogativas e outras situações especiais dos militares, inclusive quanto aos direitos previdenciários. O benefício previdenciário instituído em favor dos dependentes de policial militar excluído da corporação representa uma contraprestação às contribuições previdenciárias pagas durante o período efetivamente trabalhado.</w:t>
      </w:r>
    </w:p>
    <w:p>
      <w:pPr>
        <w:ind w:left="288"/>
      </w:pPr>
      <w:r>
        <w:rPr>
          <w:b/>
          <w:color w:val="003CA0"/>
          <w:sz w:val="16"/>
        </w:rPr>
        <w:t>[RE 610.290, rel. min. Ricardo Lewandowski, j. 25-6-2013, 2ª T, DJE de 15-8-2013.]</w:t>
      </w:r>
    </w:p>
    <w:p>
      <w:pPr>
        <w:ind w:left="288"/>
      </w:pPr>
      <w:r>
        <w:rPr>
          <w:color w:val="8C8C8C"/>
          <w:sz w:val="12"/>
        </w:rPr>
        <w:t>cf-art-40</w:t>
      </w:r>
      <w:r>
        <w:rPr>
          <w:color w:val="003CA0"/>
          <w:sz w:val="12"/>
        </w:rPr>
        <w:t xml:space="preserve"> | AI 725.444</w:t>
      </w:r>
      <w:r>
        <w:rPr>
          <w:color w:val="003CA0"/>
          <w:sz w:val="12"/>
        </w:rPr>
        <w:t xml:space="preserve"> | rel. Joaquim Barbosa</w:t>
      </w:r>
    </w:p>
    <w:p>
      <w:pPr>
        <w:ind w:left="288"/>
      </w:pPr>
      <w:r>
        <w:rPr>
          <w:color w:val="1E1E1E"/>
          <w:sz w:val="18"/>
        </w:rPr>
        <w:t>De acordo com a orientação firmada neste Tribunal, o servidor que completou o tempo de serviço para usufruir da licença-prêmio em momento anterior à vigência da EC 20/1998, e não o fez, tem direito a computar em dobro o tempo correspondente à licença para fins de aposentadoria.</w:t>
      </w:r>
    </w:p>
    <w:p>
      <w:pPr>
        <w:ind w:left="288"/>
      </w:pPr>
      <w:r>
        <w:rPr>
          <w:b/>
          <w:color w:val="003CA0"/>
          <w:sz w:val="16"/>
        </w:rPr>
        <w:t>[AI 725.444 AgR, rel. min. Joaquim Barbosa, j. 7-2-2012, 2ª T, DJE de 23-2-2012.]</w:t>
      </w:r>
    </w:p>
    <w:p>
      <w:pPr>
        <w:ind w:left="288"/>
      </w:pPr>
      <w:r>
        <w:rPr>
          <w:color w:val="8C8C8C"/>
          <w:sz w:val="12"/>
        </w:rPr>
        <w:t>cf-art-40</w:t>
      </w:r>
      <w:r>
        <w:rPr>
          <w:color w:val="003CA0"/>
          <w:sz w:val="12"/>
        </w:rPr>
        <w:t xml:space="preserve"> | ADI 2.034</w:t>
      </w:r>
      <w:r>
        <w:rPr>
          <w:color w:val="003CA0"/>
          <w:sz w:val="12"/>
        </w:rPr>
        <w:t xml:space="preserve"> | rel. Sydney Sanches (...). [RE 517.288 AgR</w:t>
      </w:r>
    </w:p>
    <w:p>
      <w:pPr>
        <w:ind w:left="288"/>
      </w:pPr>
      <w:r>
        <w:rPr>
          <w:color w:val="1E1E1E"/>
          <w:sz w:val="18"/>
        </w:rPr>
        <w:t>(...) a alegação de que os critérios de cálculo de alíquota de contribuição previdenciária relativos a equilíbrio financeiro e atuarial deveriam ser necessariamente estabelecidos por lei em sentido formal foi rechaçada pelo Plenário do STF no julgamento da  ADI 2.034 MC, rel. min. Sydney Sanches (...).</w:t>
      </w:r>
    </w:p>
    <w:p>
      <w:pPr>
        <w:ind w:left="288"/>
      </w:pPr>
      <w:r>
        <w:rPr>
          <w:b/>
          <w:color w:val="003CA0"/>
          <w:sz w:val="16"/>
        </w:rPr>
        <w:t>[RE 517.288 AgR, voto da rel. min. Cármen Lúcia, j. 22-2-2011, 1ª T, DJE de 18-3-2011.]</w:t>
      </w:r>
    </w:p>
    <w:p>
      <w:pPr>
        <w:ind w:left="288"/>
      </w:pPr>
      <w:r>
        <w:rPr>
          <w:color w:val="8C8C8C"/>
          <w:sz w:val="12"/>
        </w:rPr>
        <w:t>cf-art-40</w:t>
      </w:r>
      <w:r>
        <w:rPr>
          <w:color w:val="003CA0"/>
          <w:sz w:val="12"/>
        </w:rPr>
        <w:t xml:space="preserve"> | RE 589.441</w:t>
      </w:r>
      <w:r>
        <w:rPr>
          <w:color w:val="003CA0"/>
          <w:sz w:val="12"/>
        </w:rPr>
        <w:t xml:space="preserve"> | rel. Eros Grau</w:t>
      </w:r>
    </w:p>
    <w:p>
      <w:pPr>
        <w:ind w:left="288"/>
      </w:pPr>
      <w:r>
        <w:rPr>
          <w:color w:val="1E1E1E"/>
          <w:sz w:val="18"/>
        </w:rPr>
        <w:t>Contribuição social incidente sobre o abono de incentivo à participação em reuniões pedagógicas. Impossibilidade. Somente as parcelas incorporáveis ao salário do servidor sofrem a incidência da contribuição previdenciária.</w:t>
      </w:r>
    </w:p>
    <w:p>
      <w:pPr>
        <w:ind w:left="288"/>
      </w:pPr>
      <w:r>
        <w:rPr>
          <w:b/>
          <w:color w:val="003CA0"/>
          <w:sz w:val="16"/>
        </w:rPr>
        <w:t>[RE 589.441 AgR, rel. min. Eros Grau, j. 9-12-2008, 2ª T, DJE de 6-2-2009.]</w:t>
      </w:r>
    </w:p>
    <w:p>
      <w:pPr>
        <w:ind w:left="288"/>
      </w:pPr>
      <w:r>
        <w:rPr>
          <w:color w:val="8C8C8C"/>
          <w:sz w:val="12"/>
        </w:rPr>
        <w:t>cf-art-40</w:t>
      </w:r>
      <w:r>
        <w:rPr>
          <w:color w:val="003CA0"/>
          <w:sz w:val="12"/>
        </w:rPr>
        <w:t xml:space="preserve"> | AI 624.554</w:t>
      </w:r>
      <w:r>
        <w:rPr>
          <w:color w:val="003CA0"/>
          <w:sz w:val="12"/>
        </w:rPr>
        <w:t xml:space="preserve"> | rel. Gilmar Mendes</w:t>
      </w:r>
    </w:p>
    <w:p>
      <w:pPr>
        <w:ind w:left="288"/>
      </w:pPr>
      <w:r>
        <w:rPr>
          <w:color w:val="1E1E1E"/>
          <w:sz w:val="18"/>
        </w:rPr>
        <w:t>Servidor público. Aposentadoria. Cômputo do tempo rural. Comprovação do recolhimento da previdência social. Período anterior à EC 20, de 1998. Necessidade.</w:t>
      </w:r>
    </w:p>
    <w:p>
      <w:pPr>
        <w:ind w:left="288"/>
      </w:pPr>
      <w:r>
        <w:rPr>
          <w:b/>
          <w:color w:val="003CA0"/>
          <w:sz w:val="16"/>
        </w:rPr>
        <w:t>[AI 624.554 AgR, rel. min. Gilmar Mendes, j. 30-9-2008, 2ª T, DJE de 21-11-2008.]</w:t>
      </w:r>
    </w:p>
    <w:p>
      <w:pPr>
        <w:ind w:left="288"/>
      </w:pPr>
      <w:r>
        <w:rPr>
          <w:color w:val="8C8C8C"/>
          <w:sz w:val="12"/>
        </w:rPr>
        <w:t>cf-art-40</w:t>
      </w:r>
      <w:r>
        <w:rPr>
          <w:color w:val="003CA0"/>
          <w:sz w:val="12"/>
        </w:rPr>
        <w:t xml:space="preserve"> | ADI 3.105.</w:t>
      </w:r>
      <w:r>
        <w:rPr>
          <w:color w:val="003CA0"/>
          <w:sz w:val="12"/>
        </w:rPr>
        <w:t xml:space="preserve"> | rel. Cármen Lúcia</w:t>
      </w:r>
    </w:p>
    <w:p>
      <w:pPr>
        <w:ind w:left="288"/>
      </w:pPr>
      <w:r>
        <w:rPr>
          <w:color w:val="1E1E1E"/>
          <w:sz w:val="18"/>
        </w:rPr>
        <w:t>Magistrados e pensionistas de magistrados aposentados que entraram na magistratura quando vigente a Constituição da República de 1946. Reiteração dos argumentos de que a EC 20/1998 e a EC 41/2003 não alcançariam os servidores que ingressaram na carreira antes da promulgação da Constituição da República de 1988. Ausência de norma de imunidade tributária absoluta que assegure aos agravantes o direito adquirido de não se sujeitarem à contribuição previdenciária. Descumprimento da ADI 3.105.</w:t>
      </w:r>
    </w:p>
    <w:p>
      <w:pPr>
        <w:ind w:left="288"/>
      </w:pPr>
      <w:r>
        <w:rPr>
          <w:b/>
          <w:color w:val="003CA0"/>
          <w:sz w:val="16"/>
        </w:rPr>
        <w:t>[Rcl 4.486 MC-AgR, rel. min. Cármen Lúcia, j. 28-8-2008, P, DJE de 26-9-2008.]</w:t>
      </w:r>
    </w:p>
    <w:p>
      <w:pPr>
        <w:ind w:left="288"/>
      </w:pPr>
      <w:r>
        <w:rPr>
          <w:color w:val="8C8C8C"/>
          <w:sz w:val="12"/>
        </w:rPr>
        <w:t>cf-art-40</w:t>
      </w:r>
      <w:r>
        <w:rPr>
          <w:color w:val="003CA0"/>
          <w:sz w:val="12"/>
        </w:rPr>
        <w:t xml:space="preserve"> | RE 450.855</w:t>
      </w:r>
      <w:r>
        <w:rPr>
          <w:color w:val="003CA0"/>
          <w:sz w:val="12"/>
        </w:rPr>
        <w:t xml:space="preserve"> | rel. Eros Grau</w:t>
      </w:r>
    </w:p>
    <w:p>
      <w:pPr>
        <w:ind w:left="288"/>
      </w:pPr>
      <w:r>
        <w:rPr>
          <w:color w:val="1E1E1E"/>
          <w:sz w:val="18"/>
        </w:rPr>
        <w:t xml:space="preserve">O sistema público de previdência social é fundamentado no princípio da solidariedade (art. 3º,  I, da Constituição do Brasil/1988), contribuindo os ativos para financiar os benefícios pagos aos inativos. Se todos, inclusive inativos e pensionistas, estão sujeitos ao pagamento das contribuições, bem como aos aumentos de suas alíquotas, seria flagrante a afronta ao princípio da isonomia se o legislador distinguisse, entre os beneficiários, alguns mais e outros menos privilegiados, eis que todos contribuem, conforme as mesmas regras, para financiar o sistema. Se as alterações na legislação sobre </w:t>
      </w:r>
    </w:p>
    <w:p>
      <w:pPr>
        <w:ind w:left="288"/>
      </w:pPr>
      <w:r>
        <w:rPr>
          <w:b/>
          <w:color w:val="003CA0"/>
          <w:sz w:val="16"/>
        </w:rPr>
        <w:t>[RE 450.855 AgR, rel. min. Eros Grau, j. 23-8-2005, 1ª T, DJ de 9-12-2005.]</w:t>
      </w:r>
    </w:p>
    <w:p>
      <w:pPr>
        <w:ind w:left="144"/>
      </w:pPr>
      <w:r>
        <w:rPr>
          <w:b/>
          <w:color w:val="B45A00"/>
          <w:sz w:val="16"/>
        </w:rPr>
        <w:t>REPERCUSSAO GERAL</w:t>
      </w:r>
    </w:p>
    <w:p>
      <w:pPr>
        <w:ind w:left="288"/>
      </w:pPr>
      <w:r>
        <w:rPr>
          <w:color w:val="8C8C8C"/>
          <w:sz w:val="12"/>
        </w:rPr>
        <w:t>cf-art-40-par-1</w:t>
      </w:r>
      <w:r>
        <w:rPr>
          <w:color w:val="003CA0"/>
          <w:sz w:val="12"/>
        </w:rPr>
        <w:t xml:space="preserve"> | RE 590.260</w:t>
      </w:r>
      <w:r>
        <w:rPr>
          <w:color w:val="003CA0"/>
          <w:sz w:val="12"/>
        </w:rPr>
        <w:t xml:space="preserve"> | rel. Ricardo Lewandowski</w:t>
      </w:r>
    </w:p>
    <w:p>
      <w:pPr>
        <w:ind w:left="288"/>
      </w:pPr>
      <w:r>
        <w:rPr>
          <w:color w:val="1E1E1E"/>
          <w:sz w:val="18"/>
        </w:rPr>
        <w:t>Os servidores que ingressaram no serviço público antes da EC 41/2003, mas que se aposentaram após a referida emenda, possuem direito à paridade remuneratória e à integralidade no cálculo de seus proventos, desde que observadas as regras de transição especificadas nos arts. 2º e 3º da EC 47/2005.</w:t>
      </w:r>
    </w:p>
    <w:p>
      <w:pPr>
        <w:ind w:left="288"/>
      </w:pPr>
      <w:r>
        <w:rPr>
          <w:b/>
          <w:color w:val="003CA0"/>
          <w:sz w:val="16"/>
        </w:rPr>
        <w:t>[RE 590.260, rel. min. Ricardo Lewandowski, j. 24-6-2009, P, DJE de 23-10-2009, Tema 139, com mérito julgado.]</w:t>
      </w:r>
    </w:p>
    <w:p>
      <w:pPr>
        <w:ind w:left="144"/>
      </w:pPr>
      <w:r>
        <w:rPr>
          <w:b/>
          <w:color w:val="B45A00"/>
          <w:sz w:val="16"/>
        </w:rPr>
        <w:t>JULGADOS CORRELATOS</w:t>
      </w:r>
    </w:p>
    <w:p>
      <w:pPr>
        <w:ind w:left="288"/>
      </w:pPr>
      <w:r>
        <w:rPr>
          <w:color w:val="8C8C8C"/>
          <w:sz w:val="12"/>
        </w:rPr>
        <w:t>cf-art-40-par-1</w:t>
      </w:r>
      <w:r>
        <w:rPr>
          <w:color w:val="003CA0"/>
          <w:sz w:val="12"/>
        </w:rPr>
        <w:t xml:space="preserve"> | MS 27.615</w:t>
      </w:r>
      <w:r>
        <w:rPr>
          <w:color w:val="003CA0"/>
          <w:sz w:val="12"/>
        </w:rPr>
        <w:t xml:space="preserve"> | rel. Ricardo Lewandowski</w:t>
      </w:r>
    </w:p>
    <w:p>
      <w:pPr>
        <w:ind w:left="288"/>
      </w:pPr>
      <w:r>
        <w:rPr>
          <w:color w:val="1E1E1E"/>
          <w:sz w:val="18"/>
        </w:rPr>
        <w:t>A Súmula 96 do TCU prevê a possibilidade de contagem, para efeito de tempo de serviço, do trabalho prestado por aluno-aprendiz, desde que comprovada sua retribuição pecuniária, para cálculo de concessão do benefício de aposentadoria.</w:t>
      </w:r>
    </w:p>
    <w:p>
      <w:pPr>
        <w:ind w:left="288"/>
      </w:pPr>
      <w:r>
        <w:rPr>
          <w:b/>
          <w:color w:val="003CA0"/>
          <w:sz w:val="16"/>
        </w:rPr>
        <w:t>[MS 27.615 AgR, rel. min. Ricardo Lewandowski, j. 22-5-2014, P, DJE de 13-6-2014.]</w:t>
      </w:r>
    </w:p>
    <w:p>
      <w:pPr>
        <w:ind w:left="288"/>
      </w:pPr>
      <w:r>
        <w:rPr>
          <w:color w:val="8C8C8C"/>
          <w:sz w:val="12"/>
        </w:rPr>
        <w:t>cf-art-40-par-1</w:t>
      </w:r>
      <w:r>
        <w:rPr>
          <w:color w:val="003CA0"/>
          <w:sz w:val="12"/>
        </w:rPr>
        <w:t xml:space="preserve"> | RE 568.377</w:t>
      </w:r>
      <w:r>
        <w:rPr>
          <w:color w:val="003CA0"/>
          <w:sz w:val="12"/>
        </w:rPr>
        <w:t xml:space="preserve"> | rel. Eros Grau</w:t>
      </w:r>
    </w:p>
    <w:p>
      <w:pPr>
        <w:ind w:left="288"/>
      </w:pPr>
      <w:r>
        <w:rPr>
          <w:color w:val="1E1E1E"/>
          <w:sz w:val="18"/>
        </w:rPr>
        <w:t>Se o servidor contribuiu para a Previdência Social no período trabalhado além da data em que poderia ter se aposentado – o que não fez porque ao tempo do requerimento houve controvérsia a respeito da contagem do tempo de serviço, posteriormente dirimida em juízo a favor do servidor –, faz jus à devolução dos valores recolhidos, nos termos da isenção prevista no § 5º do art. 8º da EC 20/1998.</w:t>
      </w:r>
    </w:p>
    <w:p>
      <w:pPr>
        <w:ind w:left="288"/>
      </w:pPr>
      <w:r>
        <w:rPr>
          <w:b/>
          <w:color w:val="003CA0"/>
          <w:sz w:val="16"/>
        </w:rPr>
        <w:t>[RE 568.377, rel. min. Eros Grau, j. 7-10-2008, 2ª T, DJE de 14-11-2008.]</w:t>
      </w:r>
    </w:p>
    <w:p>
      <w:pPr>
        <w:ind w:left="288"/>
      </w:pPr>
      <w:r>
        <w:rPr>
          <w:color w:val="8C8C8C"/>
          <w:sz w:val="12"/>
        </w:rPr>
        <w:t>cf-art-40-par-1</w:t>
      </w:r>
      <w:r>
        <w:rPr>
          <w:color w:val="003CA0"/>
          <w:sz w:val="12"/>
        </w:rPr>
        <w:t xml:space="preserve"> | RMS 24.640</w:t>
      </w:r>
    </w:p>
    <w:p>
      <w:pPr>
        <w:ind w:left="288"/>
      </w:pPr>
      <w:r>
        <w:rPr>
          <w:color w:val="1E1E1E"/>
          <w:sz w:val="18"/>
        </w:rPr>
        <w:t>Descompasso entre o conteúdo de atestado médico oficial e atestado médico particular resolve-se com a predominância do primeiro, do oficial. (...) A repercussão de doença no cálculo dos proventos ou de pensão pressupõe encontrar-se em vigor lei prevendo-a.</w:t>
      </w:r>
    </w:p>
    <w:p>
      <w:pPr>
        <w:ind w:left="288"/>
      </w:pPr>
      <w:r>
        <w:rPr>
          <w:b/>
          <w:color w:val="003CA0"/>
          <w:sz w:val="16"/>
        </w:rPr>
        <w:t>[RMS 24.640, red. do ac. min. Marco Aurélio, j. 23-9-2008, 1ª T, DJE de 27-3-2009.]</w:t>
      </w:r>
    </w:p>
    <w:p>
      <w:pPr>
        <w:ind w:left="288"/>
      </w:pPr>
      <w:r>
        <w:rPr>
          <w:color w:val="8C8C8C"/>
          <w:sz w:val="12"/>
        </w:rPr>
        <w:t>cf-art-40-par-1</w:t>
      </w:r>
      <w:r>
        <w:rPr>
          <w:color w:val="003CA0"/>
          <w:sz w:val="12"/>
        </w:rPr>
        <w:t xml:space="preserve"> | MS 25.552</w:t>
      </w:r>
      <w:r>
        <w:rPr>
          <w:color w:val="003CA0"/>
          <w:sz w:val="12"/>
        </w:rPr>
        <w:t xml:space="preserve"> | rel. Cármen Lúcia</w:t>
      </w:r>
    </w:p>
    <w:p>
      <w:pPr>
        <w:ind w:left="288"/>
      </w:pPr>
      <w:r>
        <w:rPr>
          <w:color w:val="1E1E1E"/>
          <w:sz w:val="18"/>
        </w:rPr>
        <w:t>A redução de proventos de aposentadoria, quando concedida em desacordo com a lei, não ofende o princípio da irredutibilidade de vencimentos.</w:t>
      </w:r>
    </w:p>
    <w:p>
      <w:pPr>
        <w:ind w:left="288"/>
      </w:pPr>
      <w:r>
        <w:rPr>
          <w:b/>
          <w:color w:val="003CA0"/>
          <w:sz w:val="16"/>
        </w:rPr>
        <w:t>[MS 25.552, rel. min. Cármen Lúcia, j. 7-4-2008, P, DJE de 30-5-2008.]</w:t>
      </w:r>
    </w:p>
    <w:p>
      <w:pPr>
        <w:ind w:left="288"/>
      </w:pPr>
      <w:r>
        <w:rPr>
          <w:color w:val="8C8C8C"/>
          <w:sz w:val="12"/>
        </w:rPr>
        <w:t>cf-art-40-par-1</w:t>
      </w:r>
      <w:r>
        <w:rPr>
          <w:color w:val="003CA0"/>
          <w:sz w:val="12"/>
        </w:rPr>
        <w:t xml:space="preserve"> | RE 382.631</w:t>
      </w:r>
      <w:r>
        <w:rPr>
          <w:color w:val="003CA0"/>
          <w:sz w:val="12"/>
        </w:rPr>
        <w:t xml:space="preserve"> | rel. Sepúlveda Pertence</w:t>
      </w:r>
    </w:p>
    <w:p>
      <w:pPr>
        <w:ind w:left="288"/>
      </w:pPr>
      <w:r>
        <w:rPr>
          <w:color w:val="1E1E1E"/>
          <w:sz w:val="18"/>
        </w:rPr>
        <w:t>Servidor público: aposentadoria: proventos: direito adquirido aos proventos conformes a lei regente ao tempo da reunião dos requisitos da inatividade, ainda quando só requerida na vigência da lei posterior menos favorável (Súmula 359, revista).</w:t>
      </w:r>
    </w:p>
    <w:p>
      <w:pPr>
        <w:ind w:left="288"/>
      </w:pPr>
      <w:r>
        <w:rPr>
          <w:b/>
          <w:color w:val="003CA0"/>
          <w:sz w:val="16"/>
        </w:rPr>
        <w:t>[RE 382.631 AgR, rel. min. Sepúlveda Pertence, j. 18-10-2005, 1ª T, DJ de 11-11-2005.]</w:t>
      </w:r>
    </w:p>
    <w:p>
      <w:pPr>
        <w:ind w:left="288"/>
      </w:pPr>
      <w:r>
        <w:rPr>
          <w:color w:val="8C8C8C"/>
          <w:sz w:val="12"/>
        </w:rPr>
        <w:t>cf-art-40-par-1</w:t>
      </w:r>
      <w:r>
        <w:rPr>
          <w:color w:val="003CA0"/>
          <w:sz w:val="12"/>
        </w:rPr>
        <w:t xml:space="preserve"> | MS 26.196</w:t>
      </w:r>
      <w:r>
        <w:rPr>
          <w:color w:val="003CA0"/>
          <w:sz w:val="12"/>
        </w:rPr>
        <w:t xml:space="preserve"> | rel. Ayres Britto</w:t>
      </w:r>
    </w:p>
    <w:p>
      <w:pPr>
        <w:ind w:left="288"/>
      </w:pPr>
      <w:r>
        <w:rPr>
          <w:color w:val="1E1E1E"/>
          <w:sz w:val="18"/>
        </w:rPr>
        <w:t>= MS 26.196, rel. min. Ayres Britto, j. 18-11-2010, P, DJE de 1º-2-2011 I - por incapacidade permanente para o trabalho, no cargo em que estiver investido, quando insuscetível de readaptação, hipótese em que será obrigatória a realização de avaliações periódicas para verificação da continuidade das condições que ensejaram a concessão da aposentadoria, na forma de lei do respectivo ente federativo; (Redação da EC n. 103/2019) “O auxílio-suplementar, concedido à luz do art. 9º da Lei nº 6.367/76, é cumulável com a aposentadoria por invalidez somente se as condições para a concessão dessa tiverem</w:t>
      </w:r>
    </w:p>
    <w:p>
      <w:pPr>
        <w:ind w:left="288"/>
      </w:pPr>
      <w:r>
        <w:rPr>
          <w:b/>
          <w:color w:val="003CA0"/>
          <w:sz w:val="16"/>
        </w:rPr>
        <w:t>[RE 687.813, rel. min. Dias Toffoli, j. 17.02.2025, P, DJE de 21.02.2025, Tema 599, com mérito julgado.]</w:t>
      </w:r>
    </w:p>
    <w:p>
      <w:pPr>
        <w:ind w:left="288"/>
      </w:pPr>
      <w:r>
        <w:rPr>
          <w:color w:val="8C8C8C"/>
          <w:sz w:val="12"/>
        </w:rPr>
        <w:t>cf-art-40-par-1</w:t>
      </w:r>
      <w:r>
        <w:rPr>
          <w:color w:val="003CA0"/>
          <w:sz w:val="12"/>
        </w:rPr>
        <w:t xml:space="preserve"> | RE 1.447.945</w:t>
      </w:r>
      <w:r>
        <w:rPr>
          <w:color w:val="003CA0"/>
          <w:sz w:val="12"/>
        </w:rPr>
        <w:t xml:space="preserve"> | rel. Alexandre de Moraes</w:t>
      </w:r>
    </w:p>
    <w:p>
      <w:pPr>
        <w:ind w:left="288"/>
      </w:pPr>
      <w:r>
        <w:rPr>
          <w:color w:val="1E1E1E"/>
          <w:sz w:val="18"/>
        </w:rPr>
        <w:t>Impossibilidade de o militar, portador assintomático do vírus HIV, ser reformado ex officio por incapacidade definitiva para o serviço ativo das Forças Armadas, somente por esse motivo, antes da alteração legislativa promovida pela Lei 13.954/2019.</w:t>
      </w:r>
    </w:p>
    <w:p>
      <w:pPr>
        <w:ind w:left="288"/>
      </w:pPr>
      <w:r>
        <w:rPr>
          <w:b/>
          <w:color w:val="003CA0"/>
          <w:sz w:val="16"/>
        </w:rPr>
        <w:t>[RE 1.447.945 RG, rel. min. Alexandre de Moraes, j. 09.08.2024, P, DJE de 27.08.2024, Tema 1.310, com mérito pendente.]</w:t>
      </w:r>
    </w:p>
    <w:p>
      <w:pPr>
        <w:ind w:left="144"/>
      </w:pPr>
      <w:r>
        <w:rPr>
          <w:b/>
          <w:color w:val="B45A00"/>
          <w:sz w:val="16"/>
        </w:rPr>
        <w:t>REPERCUSSAO GERAL</w:t>
      </w:r>
    </w:p>
    <w:p>
      <w:pPr>
        <w:ind w:left="288"/>
      </w:pPr>
      <w:r>
        <w:rPr>
          <w:color w:val="8C8C8C"/>
          <w:sz w:val="12"/>
        </w:rPr>
        <w:t>cf-art-40-par-1</w:t>
      </w:r>
      <w:r>
        <w:rPr>
          <w:color w:val="003CA0"/>
          <w:sz w:val="12"/>
        </w:rPr>
        <w:t xml:space="preserve"> | RE 924.456</w:t>
      </w:r>
    </w:p>
    <w:p>
      <w:pPr>
        <w:ind w:left="288"/>
      </w:pPr>
      <w:r>
        <w:rPr>
          <w:color w:val="1E1E1E"/>
          <w:sz w:val="18"/>
        </w:rPr>
        <w:t>Os proventos de aposentadoria por invalidez decorrente de doença grave ou acidente de trabalho (art. 40, § 1º, I, da CF) correspondiam à integralidade da remuneração percebida pelo servidor no momento da aposentação, até o advento da EC 41/2003, a partir de quando o conceito de proventos integrais deixou de ter correspondência com a remuneração recebida em atividade e foi definida pela Lei 10.887/2004 como a média aritmética de 80% da melhores contribuições revertidas pelo servidor ao regime previdenciário. A EC 70/2012 inovou no tratamento da matéria ao introduzir o art. 6º-A no texto da EC 4</w:t>
      </w:r>
    </w:p>
    <w:p>
      <w:pPr>
        <w:ind w:left="144"/>
      </w:pPr>
      <w:r>
        <w:rPr>
          <w:b/>
          <w:color w:val="B45A00"/>
          <w:sz w:val="16"/>
        </w:rPr>
        <w:t>CONTROLE CONCENTRADO</w:t>
      </w:r>
    </w:p>
    <w:p>
      <w:pPr>
        <w:ind w:left="288"/>
      </w:pPr>
      <w:r>
        <w:rPr>
          <w:color w:val="8C8C8C"/>
          <w:sz w:val="12"/>
        </w:rPr>
        <w:t>cf-art-40-par-1</w:t>
      </w:r>
      <w:r>
        <w:rPr>
          <w:color w:val="003CA0"/>
          <w:sz w:val="12"/>
        </w:rPr>
        <w:t xml:space="preserve"> | ADI 5.378</w:t>
      </w:r>
      <w:r>
        <w:rPr>
          <w:color w:val="003CA0"/>
          <w:sz w:val="12"/>
        </w:rPr>
        <w:t xml:space="preserve"> | rel. Edson Fachin</w:t>
      </w:r>
    </w:p>
    <w:p>
      <w:pPr>
        <w:ind w:left="288"/>
      </w:pPr>
      <w:r>
        <w:rPr>
          <w:color w:val="1E1E1E"/>
          <w:sz w:val="18"/>
        </w:rPr>
        <w:t>É inconstitucional norma estadual, editada dentro do período entre a promulgação da Emenda Constitucional n. 88, em 7 de maio de 2015, até a publicação da Lei Complementar n. 152, em 3 de dezembro de 2015, que estende a idade de aposentadoria compulsória para cargos que não estejam expressamente indicados na Constituição Federal.</w:t>
      </w:r>
    </w:p>
    <w:p>
      <w:pPr>
        <w:ind w:left="288"/>
      </w:pPr>
      <w:r>
        <w:rPr>
          <w:b/>
          <w:color w:val="003CA0"/>
          <w:sz w:val="16"/>
        </w:rPr>
        <w:t>[ADI 5.378, rel. min. Edson Fachin, j. 17-12-2022, P, DJE de 2-2-2023.]</w:t>
      </w:r>
    </w:p>
    <w:p>
      <w:pPr>
        <w:ind w:left="288"/>
      </w:pPr>
      <w:r>
        <w:rPr>
          <w:color w:val="8C8C8C"/>
          <w:sz w:val="12"/>
        </w:rPr>
        <w:t>cf-art-40-par-1</w:t>
      </w:r>
      <w:r>
        <w:rPr>
          <w:color w:val="003CA0"/>
          <w:sz w:val="12"/>
        </w:rPr>
        <w:t xml:space="preserve"> | ADI 4.696</w:t>
      </w:r>
      <w:r>
        <w:rPr>
          <w:color w:val="003CA0"/>
          <w:sz w:val="12"/>
        </w:rPr>
        <w:t xml:space="preserve"> | rel. Edson Fachin</w:t>
      </w:r>
    </w:p>
    <w:p>
      <w:pPr>
        <w:ind w:left="288"/>
      </w:pPr>
      <w:r>
        <w:rPr>
          <w:color w:val="1E1E1E"/>
          <w:sz w:val="18"/>
        </w:rPr>
        <w:t>Art. 57, § 1º, II, da Constituição do Estado do Piauí, na redação dada pela EC 32, de 27-10-2011. (...) A modificação da idade para o implemento da aposentadoria compulsória, efetuada pela EC 88/2015, não tem o condão de operar a convalidação superveniente da norma impugnada, persistindo sua inconstitucionalidade. As regras da CF que dispõem sobre aposentadoria dos servidores titulares de cargos efetivos da União, dos Estados, do Distrito Federal e dos Municípios são normas gerais de reprodução obrigatória pelas Constituições dos Estados-membros. A norma impugnada invadiu campo reservado à Uni</w:t>
      </w:r>
    </w:p>
    <w:p>
      <w:pPr>
        <w:ind w:left="288"/>
      </w:pPr>
      <w:r>
        <w:rPr>
          <w:b/>
          <w:color w:val="003CA0"/>
          <w:sz w:val="16"/>
        </w:rPr>
        <w:t>[ADI 4.696, rel. min. Edson Fachin, j. 30-6-2017, P, DJE de 14-9-2017.]</w:t>
      </w:r>
    </w:p>
    <w:p>
      <w:pPr>
        <w:ind w:left="288"/>
      </w:pPr>
      <w:r>
        <w:rPr>
          <w:color w:val="8C8C8C"/>
          <w:sz w:val="12"/>
        </w:rPr>
        <w:t>cf-art-40-par-1</w:t>
      </w:r>
      <w:r>
        <w:rPr>
          <w:color w:val="003CA0"/>
          <w:sz w:val="12"/>
        </w:rPr>
        <w:t xml:space="preserve"> | ADI 5.316</w:t>
      </w:r>
      <w:r>
        <w:rPr>
          <w:color w:val="003CA0"/>
          <w:sz w:val="12"/>
        </w:rPr>
        <w:t xml:space="preserve"> | rel. Luiz Fux</w:t>
      </w:r>
    </w:p>
    <w:p>
      <w:pPr>
        <w:ind w:left="288"/>
      </w:pPr>
      <w:r>
        <w:rPr>
          <w:color w:val="1E1E1E"/>
          <w:sz w:val="18"/>
        </w:rPr>
        <w:t>EC 88/2015. (...) Aposentadoria compulsória aos 75 anos de idade de membros dos tribunais superiores e do TCU. Necessidade de nova sabatina perante o Senado Federal (CRFB, art. 52). Violação à separação dos poderes (CRFB, art. 60, § 4º, III). Ultraje à independência e à imparcialidade do Poder Judiciário. Inconstitucionalidade da expressão "nas condições do art. 52 da Constituição Federal" do art. 100 do ADCT. Sentido da expressão "lei complementar" na nova redação do art. 40, § 1º, II, CRFB. Discussão restrita aos membros do Poder Judiciário. Art. 93, VI, da CRFB. Necessidade de lei complemen</w:t>
      </w:r>
    </w:p>
    <w:p>
      <w:pPr>
        <w:ind w:left="288"/>
      </w:pPr>
      <w:r>
        <w:rPr>
          <w:b/>
          <w:color w:val="003CA0"/>
          <w:sz w:val="16"/>
        </w:rPr>
        <w:t>[ADI 2.602, red. do ac. min. Eros Grau, j. 24-11-2005, P, DJ de 31-3-2006.]</w:t>
      </w:r>
    </w:p>
    <w:p>
      <w:pPr>
        <w:ind w:left="288"/>
      </w:pPr>
      <w:r>
        <w:rPr>
          <w:color w:val="8C8C8C"/>
          <w:sz w:val="12"/>
        </w:rPr>
        <w:t>cf-art-40-par-1</w:t>
      </w:r>
      <w:r>
        <w:rPr>
          <w:color w:val="003CA0"/>
          <w:sz w:val="12"/>
        </w:rPr>
        <w:t xml:space="preserve"> | AI 494.237</w:t>
      </w:r>
      <w:r>
        <w:rPr>
          <w:color w:val="003CA0"/>
          <w:sz w:val="12"/>
        </w:rPr>
        <w:t xml:space="preserve"> | rel. Joaquim Barbosa</w:t>
      </w:r>
    </w:p>
    <w:p>
      <w:pPr>
        <w:ind w:left="288"/>
      </w:pPr>
      <w:r>
        <w:rPr>
          <w:color w:val="1E1E1E"/>
          <w:sz w:val="18"/>
        </w:rPr>
        <w:t>= AI 494.237 AgR, rel. min. Joaquim Barbosa, j. 23-11-2010, 2ª T, DJE de 7-12-2010 Vide RE 556.504 ED, rel. min. Dias Toffoli, j. 10-8-2010, 1ª T, DJE de 25-10-2010</w:t>
        <w:br/>
        <w:t>Vide RE 647.827, rel. min. Gilmar Mendes, j. 15-2-2017, P, DJE de 1º-2-2018, Tema 571</w:t>
      </w:r>
    </w:p>
    <w:p>
      <w:pPr>
        <w:ind w:left="144"/>
      </w:pPr>
      <w:r>
        <w:rPr>
          <w:b/>
          <w:color w:val="B45A00"/>
          <w:sz w:val="16"/>
        </w:rPr>
        <w:t>REPERCUSSAO GERAL</w:t>
      </w:r>
    </w:p>
    <w:p>
      <w:pPr>
        <w:ind w:left="288"/>
      </w:pPr>
      <w:r>
        <w:rPr>
          <w:color w:val="8C8C8C"/>
          <w:sz w:val="12"/>
        </w:rPr>
        <w:t>cf-art-40-par-1</w:t>
      </w:r>
      <w:r>
        <w:rPr>
          <w:color w:val="003CA0"/>
          <w:sz w:val="12"/>
        </w:rPr>
        <w:t xml:space="preserve"> | RE 647.827</w:t>
      </w:r>
      <w:r>
        <w:rPr>
          <w:color w:val="003CA0"/>
          <w:sz w:val="12"/>
        </w:rPr>
        <w:t xml:space="preserve"> | rel. Gilmar Mendes</w:t>
      </w:r>
    </w:p>
    <w:p>
      <w:pPr>
        <w:ind w:left="288"/>
      </w:pPr>
      <w:r>
        <w:rPr>
          <w:color w:val="1E1E1E"/>
          <w:sz w:val="18"/>
        </w:rPr>
        <w:t>Não se aplica a aposentadoria compulsória prevista no art. 40, § 1º, II, da CF aos titulares de serventias judiciais não estatizadas, desde que não sejam ocupantes de cargo público efetivo e não recebam remuneração proveniente dos cofres públicos.</w:t>
      </w:r>
    </w:p>
    <w:p>
      <w:pPr>
        <w:ind w:left="288"/>
      </w:pPr>
      <w:r>
        <w:rPr>
          <w:b/>
          <w:color w:val="003CA0"/>
          <w:sz w:val="16"/>
        </w:rPr>
        <w:t>[RE 647.827, rel. min. Gilmar Mendes, j. 15-2-2017, P, DJE de 1º-2-2018, Tema 571, com mérito julgado.]</w:t>
      </w:r>
    </w:p>
    <w:p>
      <w:pPr>
        <w:ind w:left="288"/>
      </w:pPr>
      <w:r>
        <w:rPr>
          <w:color w:val="8C8C8C"/>
          <w:sz w:val="12"/>
        </w:rPr>
        <w:t>cf-art-40-par-1</w:t>
      </w:r>
      <w:r>
        <w:rPr>
          <w:color w:val="003CA0"/>
          <w:sz w:val="12"/>
        </w:rPr>
        <w:t xml:space="preserve"> | ADI 2.602</w:t>
      </w:r>
      <w:r>
        <w:rPr>
          <w:color w:val="003CA0"/>
          <w:sz w:val="12"/>
        </w:rPr>
        <w:t xml:space="preserve"> | rel. Dias Toffoli</w:t>
      </w:r>
    </w:p>
    <w:p>
      <w:pPr>
        <w:ind w:left="288"/>
      </w:pPr>
      <w:r>
        <w:rPr>
          <w:color w:val="1E1E1E"/>
          <w:sz w:val="18"/>
        </w:rPr>
        <w:t>Vide ADI 2.602, red. do ac. min. Eros Grau, j. 24-11-2005, P, DJ de 31-3-2006 (...) Os servidores ocupantes de cargo exclusivamente em comissão não se submetem à regra da aposentadoria compulsória prevista no art. 40, § 1º, II, da CF, a qual atinge apenas os ocupantes de cargo de provimento efetivo, inexistindo, também, qualquer idade limite para fins de nomeação a cargo em comissão. (...) Ressalvados impedimentos de ordem infraconstitucional, inexiste óbice constitucional a que o servidor efetivo aposentado compulsoriamente permaneça no cargo comissionado que já desempenhava ou a que seja nom</w:t>
      </w:r>
    </w:p>
    <w:p>
      <w:pPr>
        <w:ind w:left="288"/>
      </w:pPr>
      <w:r>
        <w:rPr>
          <w:b/>
          <w:color w:val="003CA0"/>
          <w:sz w:val="16"/>
        </w:rPr>
        <w:t>[RE 786.540, rel. min. Dias Toffoli, j. 15-12-2016, P, DJE de 15-12-2017, Tema 763, com mérito julgado.]</w:t>
      </w:r>
    </w:p>
    <w:p>
      <w:pPr>
        <w:ind w:left="144"/>
      </w:pPr>
      <w:r>
        <w:rPr>
          <w:b/>
          <w:color w:val="B45A00"/>
          <w:sz w:val="16"/>
        </w:rPr>
        <w:t>JULGADOS CORRELATOS</w:t>
      </w:r>
    </w:p>
    <w:p>
      <w:pPr>
        <w:ind w:left="288"/>
      </w:pPr>
      <w:r>
        <w:rPr>
          <w:color w:val="8C8C8C"/>
          <w:sz w:val="12"/>
        </w:rPr>
        <w:t>cf-art-40-par-1</w:t>
      </w:r>
      <w:r>
        <w:rPr>
          <w:color w:val="003CA0"/>
          <w:sz w:val="12"/>
        </w:rPr>
        <w:t xml:space="preserve"> | ADI 5.316</w:t>
      </w:r>
      <w:r>
        <w:rPr>
          <w:color w:val="003CA0"/>
          <w:sz w:val="12"/>
        </w:rPr>
        <w:t xml:space="preserve"> | rel. Dias Toffoli</w:t>
      </w:r>
    </w:p>
    <w:p>
      <w:pPr>
        <w:ind w:left="288"/>
      </w:pPr>
      <w:r>
        <w:rPr>
          <w:color w:val="1E1E1E"/>
          <w:sz w:val="18"/>
        </w:rPr>
        <w:t>Pretensão de reversão de aposentadoria compulsória de membro septuagenário do MPU, aposentado compulsoriamente antes do advento da LC 152/2015. A singularidade do instituto da reversão, prevista na Seção VIII do Capítulo I do Título II da Lei 8.112/1990, não se presta para satisfazer a pretensão de retorno à atividade de servidores já aposentados compulsoriamente. (...) A mudança de parâmetro etário trazida pela EC 88/2015 não retira a condição de ato jurídico perfeito de aposentação compulsória, levada a efeito em momento pretérito. (...) Não há falar em afronta ao princípio constitucional da</w:t>
      </w:r>
    </w:p>
    <w:p>
      <w:pPr>
        <w:ind w:left="288"/>
      </w:pPr>
      <w:r>
        <w:rPr>
          <w:b/>
          <w:color w:val="003CA0"/>
          <w:sz w:val="16"/>
        </w:rPr>
        <w:t>[ADI 7.727 MC-REF, rel. min. Flávio Dino, j. 25.04.2025, P, DJE de 07.05.2025.]</w:t>
      </w:r>
    </w:p>
    <w:p>
      <w:pPr>
        <w:ind w:left="144"/>
      </w:pPr>
      <w:r>
        <w:rPr>
          <w:b/>
          <w:color w:val="B45A00"/>
          <w:sz w:val="16"/>
        </w:rPr>
        <w:t>CONTROLE CONCENTRADO</w:t>
      </w:r>
    </w:p>
    <w:p>
      <w:pPr>
        <w:ind w:left="288"/>
      </w:pPr>
      <w:r>
        <w:rPr>
          <w:color w:val="8C8C8C"/>
          <w:sz w:val="12"/>
        </w:rPr>
        <w:t>cf-art-40-par-1</w:t>
      </w:r>
      <w:r>
        <w:rPr>
          <w:color w:val="003CA0"/>
          <w:sz w:val="12"/>
        </w:rPr>
        <w:t xml:space="preserve"> | ADI 6.591</w:t>
      </w:r>
      <w:r>
        <w:rPr>
          <w:color w:val="003CA0"/>
          <w:sz w:val="12"/>
        </w:rPr>
        <w:t xml:space="preserve"> | rel. Edson Fachin</w:t>
      </w:r>
    </w:p>
    <w:p>
      <w:pPr>
        <w:ind w:left="288"/>
      </w:pPr>
      <w:r>
        <w:rPr>
          <w:color w:val="1E1E1E"/>
          <w:sz w:val="18"/>
        </w:rPr>
        <w:t>A possibilidade de cumulação de sanções e a vinculação da Administração indicam que é constitucional a previsão legal que impede a exoneração a pedido e a aposentadoria voluntária de servidor que responde a processo disciplinar. (...) Em caso de inobservância de prazo razoável para a conclusão de processo administrativo disciplinar, não há falar em ilegalidade na concessão de aposentadoria ao servidor investigado.</w:t>
        <w:br/>
        <w:t>[ADI 6.591, rel. min. Edson Fachin, j. 3-5-2023, P, DJE de 22-5-2023.]</w:t>
      </w:r>
    </w:p>
    <w:p>
      <w:pPr>
        <w:ind w:left="144"/>
      </w:pPr>
      <w:r>
        <w:rPr>
          <w:b/>
          <w:color w:val="B45A00"/>
          <w:sz w:val="16"/>
        </w:rPr>
        <w:t>REPERCUSSAO GERAL</w:t>
      </w:r>
    </w:p>
    <w:p>
      <w:pPr>
        <w:ind w:left="288"/>
      </w:pPr>
      <w:r>
        <w:rPr>
          <w:color w:val="8C8C8C"/>
          <w:sz w:val="12"/>
        </w:rPr>
        <w:t>cf-art-40-par-1</w:t>
      </w:r>
      <w:r>
        <w:rPr>
          <w:color w:val="003CA0"/>
          <w:sz w:val="12"/>
        </w:rPr>
        <w:t xml:space="preserve"> | RE 1.322.195</w:t>
      </w:r>
      <w:r>
        <w:rPr>
          <w:color w:val="003CA0"/>
          <w:sz w:val="12"/>
        </w:rPr>
        <w:t xml:space="preserve"> | rel. Luiz Fux</w:t>
      </w:r>
    </w:p>
    <w:p>
      <w:pPr>
        <w:ind w:left="288"/>
      </w:pPr>
      <w:r>
        <w:rPr>
          <w:color w:val="1E1E1E"/>
          <w:sz w:val="18"/>
        </w:rPr>
        <w:t>A promoção por acesso de servidor a classe distinta na carreira não representa ascensão a cargo diverso daquele em que já estava efetivado, de modo que, para fins de aposentadoria, o prazo mínimo de cinco anos no cargo efetivo, exigido pelo artigo 40, § 1º, inciso III, da Constituição Federal, na redação da Emenda Constitucional 20/1998, e pelos artigos 6º da Emenda Constitucional 41/2003 e 3º da Emenda Constitucional 47/2005, não recomeça a contar pela alteração de classe.</w:t>
      </w:r>
    </w:p>
    <w:p>
      <w:pPr>
        <w:ind w:left="288"/>
      </w:pPr>
      <w:r>
        <w:rPr>
          <w:b/>
          <w:color w:val="003CA0"/>
          <w:sz w:val="16"/>
        </w:rPr>
        <w:t>[RE 1.322.195, rel. min. Luiz Fux, j. 31-3-2022, P, DJE de 5-4-2022, Tema 1.207, com mérito julgado e reafirmação de jurisprudência.]</w:t>
      </w:r>
    </w:p>
    <w:p>
      <w:pPr>
        <w:ind w:left="288"/>
      </w:pPr>
      <w:r>
        <w:rPr>
          <w:color w:val="8C8C8C"/>
          <w:sz w:val="12"/>
        </w:rPr>
        <w:t>cf-art-40-par-2</w:t>
      </w:r>
      <w:r>
        <w:rPr>
          <w:color w:val="003CA0"/>
          <w:sz w:val="12"/>
        </w:rPr>
        <w:t xml:space="preserve"> | RE 1.303.874</w:t>
      </w:r>
      <w:r>
        <w:rPr>
          <w:color w:val="003CA0"/>
          <w:sz w:val="12"/>
        </w:rPr>
        <w:t xml:space="preserve"> | rel. Luiz Fux</w:t>
      </w:r>
    </w:p>
    <w:p>
      <w:pPr>
        <w:ind w:left="288"/>
      </w:pPr>
      <w:r>
        <w:rPr>
          <w:color w:val="1E1E1E"/>
          <w:sz w:val="18"/>
        </w:rPr>
        <w:t>Assentada a inconstitucionalidade do artigo 23, § 4º, da Lei 21.710/2015 do Estado de Minas Gerais, por autorizar pagamento de proventos de aposentadoria em montante superior ao que o servidor percebia no cargo efetivo, não possui repercussão geral a controvérsia relativa à necessidade de comprovação, em concreto, da inobservância do disposto no artigo 40, § 2º, da Constituição Federal (na redação dada pela Emenda Constitucional 20/1998).</w:t>
        <w:br/>
        <w:t>[RE 1.303.874 RG, rel. min. Luiz Fux, j. 17-6-2021, P, DJE de 22-6-2021, Tema 1.152, com repercussão geral negada.]</w:t>
      </w:r>
    </w:p>
    <w:p>
      <w:pPr>
        <w:ind w:left="144"/>
      </w:pPr>
      <w:r>
        <w:rPr>
          <w:b/>
          <w:color w:val="B45A00"/>
          <w:sz w:val="16"/>
        </w:rPr>
        <w:t>JULGADOS CORRELATOS</w:t>
      </w:r>
    </w:p>
    <w:p>
      <w:pPr>
        <w:ind w:left="288"/>
      </w:pPr>
      <w:r>
        <w:rPr>
          <w:color w:val="8C8C8C"/>
          <w:sz w:val="12"/>
        </w:rPr>
        <w:t>cf-art-40-par-3</w:t>
      </w:r>
      <w:r>
        <w:rPr>
          <w:color w:val="003CA0"/>
          <w:sz w:val="12"/>
        </w:rPr>
        <w:t xml:space="preserve"> | MS 25.494</w:t>
      </w:r>
      <w:r>
        <w:rPr>
          <w:color w:val="003CA0"/>
          <w:sz w:val="12"/>
        </w:rPr>
        <w:t xml:space="preserve"> | rel. Ricardo Lewandowski</w:t>
      </w:r>
    </w:p>
    <w:p>
      <w:pPr>
        <w:ind w:left="288"/>
      </w:pPr>
      <w:r>
        <w:rPr>
          <w:color w:val="1E1E1E"/>
          <w:sz w:val="18"/>
        </w:rPr>
        <w:t>Aposentadoria de servidor público. Emenda Constitucional nº 41/03. Artigo 40, § 3º, da CF. Lei nº 10.887/04. Base de cálculo. Contribuição previdenciária. Parcela variável de gratificação de desempenho. Contribuição social do servidor público. Incidência sobre a totalidade da base de contribuição. Artigo 4º, § 1º, da Lei nº 10.887/04.</w:t>
        <w:br/>
        <w:t>[MS 25.494, rel. min. Ricardo Lewandowski, red. do ac. min. Dias Toffoli, j. 26-6-7-2023, 1ª T, DJE de 30-8-2023.]</w:t>
      </w:r>
    </w:p>
    <w:p>
      <w:pPr>
        <w:ind w:left="288"/>
      </w:pPr>
      <w:r>
        <w:rPr>
          <w:color w:val="8C8C8C"/>
          <w:sz w:val="12"/>
        </w:rPr>
        <w:t>cf-art-40-par-4</w:t>
      </w:r>
      <w:r>
        <w:rPr>
          <w:color w:val="003CA0"/>
          <w:sz w:val="12"/>
        </w:rPr>
        <w:t xml:space="preserve"> | ADI 7.676</w:t>
      </w:r>
      <w:r>
        <w:rPr>
          <w:color w:val="003CA0"/>
          <w:sz w:val="12"/>
        </w:rPr>
        <w:t xml:space="preserve"> | rel. Flávio Dino</w:t>
      </w:r>
    </w:p>
    <w:p>
      <w:pPr>
        <w:ind w:left="288"/>
      </w:pPr>
      <w:r>
        <w:rPr>
          <w:color w:val="1E1E1E"/>
          <w:sz w:val="18"/>
        </w:rPr>
        <w:t>Aposentadoria de servidores públicos do estado de São Paulo. (...) LC nº 1.354/2020 do estado de São Paulo. Emenda constitucional estadual nº 49/2020. Critério da permanência no nível ou na classe. Inaplicabilidade. Emenda constitucional nº 103/2019. (...) A jurisprudência do STF, consolidada nos Temas nº 578 e nº 1207 de Repercussão Geral, assenta que o requisito do tempo no cargo, para fins de aposentadoria, deve ser interpretado como tempo de permanência na carreira, não sendo exigível lapso temporal específico em determinado nível ou classe. (...) A EC nº 103/2019 não alterou o entendiment</w:t>
      </w:r>
    </w:p>
    <w:p>
      <w:pPr>
        <w:ind w:left="288"/>
      </w:pPr>
      <w:r>
        <w:rPr>
          <w:b/>
          <w:color w:val="003CA0"/>
          <w:sz w:val="16"/>
        </w:rPr>
        <w:t>[ADI 7.676, rel. min. Flávio Dino, j. 05.11.2025, P, DJE de 12.11.2025.]</w:t>
      </w:r>
    </w:p>
    <w:p>
      <w:pPr>
        <w:ind w:left="288"/>
      </w:pPr>
      <w:r>
        <w:rPr>
          <w:color w:val="8C8C8C"/>
          <w:sz w:val="12"/>
        </w:rPr>
        <w:t>cf-art-40-par-4</w:t>
      </w:r>
      <w:r>
        <w:rPr>
          <w:color w:val="003CA0"/>
          <w:sz w:val="12"/>
        </w:rPr>
        <w:t xml:space="preserve"> | MI 1.271</w:t>
      </w:r>
      <w:r>
        <w:rPr>
          <w:color w:val="003CA0"/>
          <w:sz w:val="12"/>
        </w:rPr>
        <w:t xml:space="preserve"> | rel. Luiz Fux</w:t>
      </w:r>
    </w:p>
    <w:p>
      <w:pPr>
        <w:ind w:left="288"/>
      </w:pPr>
      <w:r>
        <w:rPr>
          <w:color w:val="1E1E1E"/>
          <w:sz w:val="18"/>
        </w:rPr>
        <w:t>Compete ao ente federado a que se vincula o servidor cobrir eventual insuficiência financeira decorrente do pagamento de benefícios previstos nos regimes próprios de previdência dos servidores públicos, lógica que se aplica ao custeio das aposentadorias especiais, afastando-se a incidência do art. 195, § 5º, da CF.</w:t>
      </w:r>
    </w:p>
    <w:p>
      <w:pPr>
        <w:ind w:left="288"/>
      </w:pPr>
      <w:r>
        <w:rPr>
          <w:b/>
          <w:color w:val="003CA0"/>
          <w:sz w:val="16"/>
        </w:rPr>
        <w:t>[MI 1.271 AgR, rel. min. Luiz Fux, j. 24-10-2013, P, DJE de 21-11-2013.]</w:t>
      </w:r>
    </w:p>
    <w:p>
      <w:pPr>
        <w:ind w:left="288"/>
      </w:pPr>
      <w:r>
        <w:rPr>
          <w:color w:val="8C8C8C"/>
          <w:sz w:val="12"/>
        </w:rPr>
        <w:t>cf-art-40-par-4</w:t>
      </w:r>
      <w:r>
        <w:rPr>
          <w:color w:val="003CA0"/>
          <w:sz w:val="12"/>
        </w:rPr>
        <w:t xml:space="preserve"> | MI 5.071</w:t>
      </w:r>
      <w:r>
        <w:rPr>
          <w:color w:val="003CA0"/>
          <w:sz w:val="12"/>
        </w:rPr>
        <w:t xml:space="preserve"> | rel. Cármen Lúcia</w:t>
      </w:r>
    </w:p>
    <w:p>
      <w:pPr>
        <w:ind w:left="288"/>
      </w:pPr>
      <w:r>
        <w:rPr>
          <w:color w:val="1E1E1E"/>
          <w:sz w:val="18"/>
        </w:rPr>
        <w:t>Autoridade administrativa não necessita de decisão em mandado de injunção em favor de servidor público para simples verificação se ele preenche, ou não, os requisitos necessários para a aposentadoria especial (art. 57 da Lei 8.213/1991).</w:t>
      </w:r>
    </w:p>
    <w:p>
      <w:pPr>
        <w:ind w:left="288"/>
      </w:pPr>
      <w:r>
        <w:rPr>
          <w:b/>
          <w:color w:val="003CA0"/>
          <w:sz w:val="16"/>
        </w:rPr>
        <w:t>[MI 5.071 AgR, rel. min. Cármen Lúcia, j. 8-5-2013, P, DJE de 28-5-2013.]</w:t>
      </w:r>
    </w:p>
    <w:p>
      <w:pPr>
        <w:ind w:left="288"/>
      </w:pPr>
      <w:r>
        <w:rPr>
          <w:color w:val="8C8C8C"/>
          <w:sz w:val="12"/>
        </w:rPr>
        <w:t>cf-art-40-par-4</w:t>
      </w:r>
      <w:r>
        <w:rPr>
          <w:color w:val="003CA0"/>
          <w:sz w:val="12"/>
        </w:rPr>
        <w:t xml:space="preserve"> | MI 1.286</w:t>
      </w:r>
      <w:r>
        <w:rPr>
          <w:color w:val="003CA0"/>
          <w:sz w:val="12"/>
        </w:rPr>
        <w:t xml:space="preserve"> | rel. Cármen Lúcia</w:t>
      </w:r>
    </w:p>
    <w:p>
      <w:pPr>
        <w:ind w:left="288"/>
      </w:pPr>
      <w:r>
        <w:rPr>
          <w:color w:val="1E1E1E"/>
          <w:sz w:val="18"/>
        </w:rPr>
        <w:t>A autoridade administrativa responsável pelo exame do pedido de aposentadoria é competente para aferir, no caso concreto, o preenchimento de todos os requisitos para a aposentação previstos no ordenamento jurídico vigente.</w:t>
      </w:r>
    </w:p>
    <w:p>
      <w:pPr>
        <w:ind w:left="288"/>
      </w:pPr>
      <w:r>
        <w:rPr>
          <w:b/>
          <w:color w:val="003CA0"/>
          <w:sz w:val="16"/>
        </w:rPr>
        <w:t>[MI 1.286 ED, rel. min. Cármen Lúcia, j. 18-12-2009, P, DJE de 19-2-2010.]</w:t>
      </w:r>
    </w:p>
    <w:p>
      <w:pPr>
        <w:ind w:left="288"/>
      </w:pPr>
      <w:r>
        <w:rPr>
          <w:color w:val="8C8C8C"/>
          <w:sz w:val="12"/>
        </w:rPr>
        <w:t>cf-art-40-par-4</w:t>
      </w:r>
      <w:r>
        <w:rPr>
          <w:color w:val="003CA0"/>
          <w:sz w:val="12"/>
        </w:rPr>
        <w:t xml:space="preserve"> | MI 3.564</w:t>
      </w:r>
      <w:r>
        <w:rPr>
          <w:color w:val="003CA0"/>
          <w:sz w:val="12"/>
        </w:rPr>
        <w:t xml:space="preserve"> | rel. Ricardo Lewandowski</w:t>
      </w:r>
    </w:p>
    <w:p>
      <w:pPr>
        <w:ind w:left="288"/>
      </w:pPr>
      <w:r>
        <w:rPr>
          <w:color w:val="1E1E1E"/>
          <w:sz w:val="18"/>
        </w:rPr>
        <w:t>= MI 3.564 AgR, rel. min. Ricardo Lewandowski, j. 17-10-2013, P, DJE de 18-11-2013 § 5º Os ocupantes do cargo de professor terão idade mínima reduzida em 5 (cinco) anos em relação às idades decorrentes da aplicação do disposto no inciso III do § 1º, desde que comprovem tempo de efetivo exercício das funções de magistério na educação infantil e no ensino fundamental e médio fixado em lei complementar do respectivo ente federativo. (Redação da EC n. 103/2019)</w:t>
      </w:r>
    </w:p>
    <w:p>
      <w:pPr>
        <w:ind w:left="144"/>
      </w:pPr>
      <w:r>
        <w:rPr>
          <w:b/>
          <w:color w:val="B45A00"/>
          <w:sz w:val="16"/>
        </w:rPr>
        <w:t>CONTROLE CONCENTRADO</w:t>
      </w:r>
    </w:p>
    <w:p>
      <w:pPr>
        <w:ind w:left="288"/>
      </w:pPr>
      <w:r>
        <w:rPr>
          <w:color w:val="8C8C8C"/>
          <w:sz w:val="12"/>
        </w:rPr>
        <w:t>cf-art-40-par-4</w:t>
      </w:r>
      <w:r>
        <w:rPr>
          <w:color w:val="003CA0"/>
          <w:sz w:val="12"/>
        </w:rPr>
        <w:t xml:space="preserve"> | ADI 856</w:t>
      </w:r>
      <w:r>
        <w:rPr>
          <w:color w:val="003CA0"/>
          <w:sz w:val="12"/>
        </w:rPr>
        <w:t xml:space="preserve"> | rel. Luiz Fux</w:t>
      </w:r>
    </w:p>
    <w:p>
      <w:pPr>
        <w:ind w:left="288"/>
      </w:pPr>
      <w:r>
        <w:rPr>
          <w:color w:val="1E1E1E"/>
          <w:sz w:val="18"/>
        </w:rPr>
        <w:t>O art. 40, III, b, da Constituição, na sua redação original, da mesma forma que o texto atual do parágrafo quinto do mesmo artigo, consagra redução no tempo de serviço necessário à aposentadoria do professor que comprove exclusivamente tempo de efetivo exercício das funções de magistério, sendo certo que a fixação de requisitos para a concessão de aposentadoria especial é matéria de competência legislativa da União, consoante os artigos 22, XXIII e XXIV, e 24, XII e § 1º, da Constituição.</w:t>
        <w:br/>
        <w:t>[ADI 856, rel. min. Luiz Fux, j. 4-9-2023, P, DJE de 2-10-2023.] Ação direta de inconstitucionalidade mane</w:t>
      </w:r>
    </w:p>
    <w:p>
      <w:pPr>
        <w:ind w:left="144"/>
      </w:pPr>
      <w:r>
        <w:rPr>
          <w:b/>
          <w:color w:val="B45A00"/>
          <w:sz w:val="16"/>
        </w:rPr>
        <w:t>REPERCUSSAO GERAL</w:t>
      </w:r>
    </w:p>
    <w:p>
      <w:pPr>
        <w:ind w:left="288"/>
      </w:pPr>
      <w:r>
        <w:rPr>
          <w:color w:val="8C8C8C"/>
          <w:sz w:val="12"/>
        </w:rPr>
        <w:t>cf-art-40-par-4</w:t>
      </w:r>
      <w:r>
        <w:rPr>
          <w:color w:val="003CA0"/>
          <w:sz w:val="12"/>
        </w:rPr>
        <w:t xml:space="preserve"> | RE 1.039.644</w:t>
      </w:r>
      <w:r>
        <w:rPr>
          <w:color w:val="003CA0"/>
          <w:sz w:val="12"/>
        </w:rPr>
        <w:t xml:space="preserve"> | rel. Alexandre de Moraes</w:t>
      </w:r>
    </w:p>
    <w:p>
      <w:pPr>
        <w:ind w:left="288"/>
      </w:pPr>
      <w:r>
        <w:rPr>
          <w:color w:val="1E1E1E"/>
          <w:sz w:val="18"/>
        </w:rPr>
        <w:t>Para a concessão da aposentadoria especial de que trata o art. 40, § 5º, da Constituição, conta-se o tempo de efetivo exercício, pelo professor, da docência e das atividades de direção de unidade escolar e de coordenação e assessoramento pedagógico, desde que em estabelecimentos de educação infantil ou de ensino fundamental e médio.</w:t>
        <w:br/>
        <w:t>[RE 1.039.644 RG, rel. min. Alexandre de Moraes, j. 13-10-2017, P, DJE de 13-11-2017, Tema 965, com mérito julgado.]</w:t>
        <w:br/>
        <w:t>= ADI 3.772, red. do ac. min. Ricardo Lewandowski, j. 29-10-2008, P, DJE de 29-10-2009 Atualmente, o § 8º do art. 201 do Texto Constitucional dispõe</w:t>
      </w:r>
    </w:p>
    <w:p>
      <w:pPr>
        <w:ind w:left="288"/>
      </w:pPr>
      <w:r>
        <w:rPr>
          <w:b/>
          <w:color w:val="003CA0"/>
          <w:sz w:val="16"/>
        </w:rPr>
        <w:t>[RE 1.520.559 AgR, rel. min. André Mendonça, j. 25.08.2025, 1ª T, DJE de 29.08.2025.]</w:t>
      </w:r>
    </w:p>
    <w:p>
      <w:pPr>
        <w:ind w:left="144"/>
      </w:pPr>
      <w:r>
        <w:rPr>
          <w:b/>
          <w:color w:val="B45A00"/>
          <w:sz w:val="16"/>
        </w:rPr>
        <w:t>JULGADOS CORRELATOS</w:t>
      </w:r>
    </w:p>
    <w:p>
      <w:pPr>
        <w:ind w:left="288"/>
      </w:pPr>
      <w:r>
        <w:rPr>
          <w:color w:val="8C8C8C"/>
          <w:sz w:val="12"/>
        </w:rPr>
        <w:t>cf-art-40-par-4</w:t>
      </w:r>
      <w:r>
        <w:rPr>
          <w:color w:val="003CA0"/>
          <w:sz w:val="12"/>
        </w:rPr>
        <w:t xml:space="preserve"> | ARE 742.005</w:t>
      </w:r>
      <w:r>
        <w:rPr>
          <w:color w:val="003CA0"/>
          <w:sz w:val="12"/>
        </w:rPr>
        <w:t xml:space="preserve"> | rel. Teori Zavascki</w:t>
      </w:r>
    </w:p>
    <w:p>
      <w:pPr>
        <w:ind w:left="288"/>
      </w:pPr>
      <w:r>
        <w:rPr>
          <w:color w:val="1E1E1E"/>
          <w:sz w:val="18"/>
        </w:rPr>
        <w:t>No regime anterior à EC 18/1981, a atividade de professor era considerada como especial (Decreto 53.831/1964, Anexo, item 2.1.4). Foi a partir dessa emenda que a aposentadoria do professor passou a ser espécie de benefício por tempo de contribuição, com o requisito etário reduzido, e não mais uma aposentadoria especial.</w:t>
      </w:r>
    </w:p>
    <w:p>
      <w:pPr>
        <w:ind w:left="288"/>
      </w:pPr>
      <w:r>
        <w:rPr>
          <w:b/>
          <w:color w:val="003CA0"/>
          <w:sz w:val="16"/>
        </w:rPr>
        <w:t>[ARE 742.005 AgR, rel. min. Teori Zavascki, j. 18-3-2014, 2ª T, DJE de 1º-4-2014.]</w:t>
        <w:br/>
        <w:t>= ARE 703.550 RG, rel. min. Gilmar Mendes, j. 2-10-2014, P, DJE de 21-10-2014, Tema 772</w:t>
      </w:r>
    </w:p>
    <w:p>
      <w:pPr>
        <w:ind w:left="288"/>
      </w:pPr>
      <w:r>
        <w:rPr>
          <w:color w:val="8C8C8C"/>
          <w:sz w:val="12"/>
        </w:rPr>
        <w:t>cf-art-40-par-4</w:t>
      </w:r>
      <w:r>
        <w:rPr>
          <w:color w:val="003CA0"/>
          <w:sz w:val="12"/>
        </w:rPr>
        <w:t xml:space="preserve"> | ADI 3.772</w:t>
      </w:r>
    </w:p>
    <w:p>
      <w:pPr>
        <w:ind w:left="288"/>
      </w:pPr>
      <w:r>
        <w:rPr>
          <w:color w:val="1E1E1E"/>
          <w:sz w:val="18"/>
        </w:rPr>
        <w:t>Vide ADI 3.772, red. do ac. min. Ricardo Lewandowski, j. 29-10-2008, P, DJE de 29-10-2009 § 6º Ressalvadas as aposentadorias decorrentes dos cargos acumuláveis na forma desta Constituição, é vedada a percepção de mais de uma aposentadoria à conta de regime próprio de previdência social, aplicando-se outras vedações, regras e condições para a acumulação de benefícios previdenciários estabelecidas no Regime Geral de Previdência Social. (Redação da EC n. 103/2019)</w:t>
      </w:r>
    </w:p>
    <w:p>
      <w:pPr>
        <w:ind w:left="144"/>
      </w:pPr>
      <w:r>
        <w:rPr>
          <w:b/>
          <w:color w:val="B45A00"/>
          <w:sz w:val="16"/>
        </w:rPr>
        <w:t>REPERCUSSAO GERAL</w:t>
      </w:r>
    </w:p>
    <w:p>
      <w:pPr>
        <w:ind w:left="288"/>
      </w:pPr>
      <w:r>
        <w:rPr>
          <w:color w:val="8C8C8C"/>
          <w:sz w:val="12"/>
        </w:rPr>
        <w:t>cf-art-40-par-4</w:t>
      </w:r>
      <w:r>
        <w:rPr>
          <w:color w:val="003CA0"/>
          <w:sz w:val="12"/>
        </w:rPr>
        <w:t xml:space="preserve"> | ARE 848.993</w:t>
      </w:r>
      <w:r>
        <w:rPr>
          <w:color w:val="003CA0"/>
          <w:sz w:val="12"/>
        </w:rPr>
        <w:t xml:space="preserve"> | rel. Gilmar Mendes</w:t>
      </w:r>
    </w:p>
    <w:p>
      <w:pPr>
        <w:ind w:left="288"/>
      </w:pPr>
      <w:r>
        <w:rPr>
          <w:color w:val="1E1E1E"/>
          <w:sz w:val="18"/>
        </w:rPr>
        <w:t>Há remansosa jurisprudência desta Corte nesse sentido, afirmando a impossibilidade da acumulação tríplice de cargos públicos, ainda que os provimentos nestes tenham ocorrido antes da vigência da EC 20/1998. (...) o art. 11 da EC 20/1998 possibilita a acumulação, apenas, de um provento de aposentadoria com a remuneração de um cargo na ativa, no qual se tenha ingressado por concurso público antes da edição da referida emenda, ainda que inacumuláveis os cargos. Em qualquer hipótese, é vedada a acumulação tríplice de remunerações, sejam proventos, sejam vencimentos.</w:t>
        <w:br/>
        <w:t>[ARE 848.993 RG, voto do rel. m</w:t>
      </w:r>
    </w:p>
    <w:p>
      <w:pPr>
        <w:ind w:left="288"/>
      </w:pPr>
      <w:r>
        <w:rPr>
          <w:b/>
          <w:color w:val="003CA0"/>
          <w:sz w:val="16"/>
        </w:rPr>
        <w:t>[RE 1.531.247 ED-AgR, rel. min. Flávio Dino, j. 20.10.2025, 1ª T, DJE de 23.10.2025.]</w:t>
      </w:r>
    </w:p>
    <w:p>
      <w:pPr>
        <w:ind w:left="288"/>
      </w:pPr>
      <w:r>
        <w:rPr>
          <w:color w:val="8C8C8C"/>
          <w:sz w:val="12"/>
        </w:rPr>
        <w:t>cf-art-40-par-4</w:t>
      </w:r>
    </w:p>
    <w:p>
      <w:pPr>
        <w:ind w:left="288"/>
      </w:pPr>
      <w:r>
        <w:rPr>
          <w:color w:val="1E1E1E"/>
          <w:sz w:val="18"/>
        </w:rPr>
        <w:t>§ 7º Observado o disposto no § 2º do art. 201, quando se tratar da única fonte de renda formal auferida pelo dependente, o benefício de pensão por morte será concedido nos termos de lei do respectivo ente federativo, a qual tratará de forma diferenciada a hipótese de morte dos servidores de que trata o § 4º-B decorrente de agressão sofrida no exercício ou em razão da função. (Redação da EC n. 103/2019)</w:t>
      </w:r>
    </w:p>
    <w:p>
      <w:pPr>
        <w:ind w:left="144"/>
      </w:pPr>
      <w:r>
        <w:rPr>
          <w:b/>
          <w:color w:val="B45A00"/>
          <w:sz w:val="16"/>
        </w:rPr>
        <w:t>CONTROLE CONCENTRADO</w:t>
      </w:r>
    </w:p>
    <w:p>
      <w:pPr>
        <w:ind w:left="288"/>
      </w:pPr>
      <w:r>
        <w:rPr>
          <w:color w:val="8C8C8C"/>
          <w:sz w:val="12"/>
        </w:rPr>
        <w:t>cf-art-40-par-4</w:t>
      </w:r>
      <w:r>
        <w:rPr>
          <w:color w:val="003CA0"/>
          <w:sz w:val="12"/>
        </w:rPr>
        <w:t xml:space="preserve"> | ADI 7.051</w:t>
      </w:r>
      <w:r>
        <w:rPr>
          <w:color w:val="003CA0"/>
          <w:sz w:val="12"/>
        </w:rPr>
        <w:t xml:space="preserve"> | rel. Roberto Barroso</w:t>
      </w:r>
    </w:p>
    <w:p>
      <w:pPr>
        <w:ind w:left="288"/>
      </w:pPr>
      <w:r>
        <w:rPr>
          <w:color w:val="1E1E1E"/>
          <w:sz w:val="18"/>
        </w:rPr>
        <w:t>“É constitucional o art. 23, caput, da Emenda Constitucional nº 103/2019, que fixa novos critérios de cálculo para a pensão por morte no Regime Geral e nos Regimes Próprios de Previdência Social”.</w:t>
        <w:br/>
        <w:t>[ADI 7.051, rel. min. Roberto Barroso, j. 26-6-2023, P, DJE de 2-8-2023.]</w:t>
      </w:r>
    </w:p>
    <w:p>
      <w:pPr>
        <w:ind w:left="144"/>
      </w:pPr>
      <w:r>
        <w:rPr>
          <w:b/>
          <w:color w:val="B45A00"/>
          <w:sz w:val="16"/>
        </w:rPr>
        <w:t>JULGADOS CORRELATOS</w:t>
      </w:r>
    </w:p>
    <w:p>
      <w:pPr>
        <w:ind w:left="288"/>
      </w:pPr>
      <w:r>
        <w:rPr>
          <w:color w:val="8C8C8C"/>
          <w:sz w:val="12"/>
        </w:rPr>
        <w:t>cf-art-40-par-4</w:t>
      </w:r>
      <w:r>
        <w:rPr>
          <w:color w:val="003CA0"/>
          <w:sz w:val="12"/>
        </w:rPr>
        <w:t xml:space="preserve"> | MS 37.359</w:t>
      </w:r>
      <w:r>
        <w:rPr>
          <w:color w:val="003CA0"/>
          <w:sz w:val="12"/>
        </w:rPr>
        <w:t xml:space="preserve"> | rel. Edson Fachin</w:t>
      </w:r>
    </w:p>
    <w:p>
      <w:pPr>
        <w:ind w:left="288"/>
      </w:pPr>
      <w:r>
        <w:rPr>
          <w:color w:val="1E1E1E"/>
          <w:sz w:val="18"/>
        </w:rPr>
        <w:t>Reconhecida a qualidade de dependente da filha solteira maior de vinte e um anos em relação ao instituidor da pensão e não se verificando a superação das condições essenciais previstas na Lei 3373/1958, que embasou a concessão, quais sejam, casamento ou posse em cargo público permanente, a pensão é devida e deve ser mantida, em respeito aos princípios da legalidade, da segurança jurídica e do tempus regit actum.</w:t>
      </w:r>
    </w:p>
    <w:p>
      <w:pPr>
        <w:ind w:left="288"/>
      </w:pPr>
      <w:r>
        <w:rPr>
          <w:b/>
          <w:color w:val="003CA0"/>
          <w:sz w:val="16"/>
        </w:rPr>
        <w:t>[MS 37.359 AgR, rel. min. Edson Fachin, j. 17-2-2021,2ª T, DJE de 26-2-2021.]</w:t>
      </w:r>
    </w:p>
    <w:p>
      <w:pPr>
        <w:ind w:left="288"/>
      </w:pPr>
      <w:r>
        <w:rPr>
          <w:color w:val="8C8C8C"/>
          <w:sz w:val="12"/>
        </w:rPr>
        <w:t>cf-art-40-par-4</w:t>
      </w:r>
      <w:r>
        <w:rPr>
          <w:color w:val="003CA0"/>
          <w:sz w:val="12"/>
        </w:rPr>
        <w:t xml:space="preserve"> | MS 32.867</w:t>
      </w:r>
      <w:r>
        <w:rPr>
          <w:color w:val="003CA0"/>
          <w:sz w:val="12"/>
        </w:rPr>
        <w:t xml:space="preserve"> | rel. Rosa Weber</w:t>
      </w:r>
    </w:p>
    <w:p>
      <w:pPr>
        <w:ind w:left="288"/>
      </w:pPr>
      <w:r>
        <w:rPr>
          <w:color w:val="1E1E1E"/>
          <w:sz w:val="18"/>
        </w:rPr>
        <w:t>(...) o art. 5º da Lei 9.717/1998 não teve o condão de derrogar categorias de beneficiários de pensão por morte do regime próprio de previdência dos servidores públicos federais, de molde a delimitá-las ao mesmo rol previsto para o regime geral.</w:t>
      </w:r>
    </w:p>
    <w:p>
      <w:pPr>
        <w:ind w:left="288"/>
      </w:pPr>
      <w:r>
        <w:rPr>
          <w:b/>
          <w:color w:val="003CA0"/>
          <w:sz w:val="16"/>
        </w:rPr>
        <w:t>[MS 32.867 AgR, rel. min. Rosa Weber, j. 16-3-2018, 1ª T, DJE de 4-4-2018.]</w:t>
      </w:r>
    </w:p>
    <w:p>
      <w:pPr>
        <w:ind w:left="288"/>
      </w:pPr>
      <w:r>
        <w:rPr>
          <w:color w:val="8C8C8C"/>
          <w:sz w:val="12"/>
        </w:rPr>
        <w:t>cf-art-40-par-4</w:t>
      </w:r>
      <w:r>
        <w:rPr>
          <w:color w:val="003CA0"/>
          <w:sz w:val="12"/>
        </w:rPr>
        <w:t xml:space="preserve"> | RE 493.490</w:t>
      </w:r>
      <w:r>
        <w:rPr>
          <w:color w:val="003CA0"/>
          <w:sz w:val="12"/>
        </w:rPr>
        <w:t xml:space="preserve"> | rel. Joaquim Barbosa</w:t>
      </w:r>
    </w:p>
    <w:p>
      <w:pPr>
        <w:ind w:left="288"/>
      </w:pPr>
      <w:r>
        <w:rPr>
          <w:color w:val="1E1E1E"/>
          <w:sz w:val="18"/>
        </w:rPr>
        <w:t>A decisão concessiva de revisão para 100% do salário de benefício nas hipóteses de pensão por morte, aposentadoria por invalidez e aposentadoria especial, instituídas em período anterior ao da vigência da Lei 9.032/1995, é contrária à Constituição.</w:t>
      </w:r>
    </w:p>
    <w:p>
      <w:pPr>
        <w:ind w:left="288"/>
      </w:pPr>
      <w:r>
        <w:rPr>
          <w:b/>
          <w:color w:val="003CA0"/>
          <w:sz w:val="16"/>
        </w:rPr>
        <w:t>[RE 493.490 AgR, rel. min. Joaquim Barbosa, j. 4-9-2007, 2ª T, DJE de 1º-2-2008.]</w:t>
      </w:r>
    </w:p>
    <w:p>
      <w:pPr>
        <w:ind w:left="288"/>
      </w:pPr>
      <w:r>
        <w:rPr>
          <w:color w:val="8C8C8C"/>
          <w:sz w:val="12"/>
        </w:rPr>
        <w:t>cf-art-40-par-4</w:t>
      </w:r>
      <w:r>
        <w:rPr>
          <w:color w:val="003CA0"/>
          <w:sz w:val="12"/>
        </w:rPr>
        <w:t xml:space="preserve"> | AI 576.400</w:t>
      </w:r>
      <w:r>
        <w:rPr>
          <w:color w:val="003CA0"/>
          <w:sz w:val="12"/>
        </w:rPr>
        <w:t xml:space="preserve"> | rel. Marco Aurélio</w:t>
      </w:r>
    </w:p>
    <w:p>
      <w:pPr>
        <w:ind w:left="288"/>
      </w:pPr>
      <w:r>
        <w:rPr>
          <w:color w:val="1E1E1E"/>
          <w:sz w:val="18"/>
        </w:rPr>
        <w:t>= AI 576.400 AgR, rel. min. Marco Aurélio, j. 7-4-2009, 1ª T, DJE de 29-5-2009 Orientação de ambas as Turmas deste Tribunal no sentido de que os antigos ferroviários que atuavam perante a extinta Fepasa [Ferrovia Paulista S.A.] estavam submetidos ao regime jurídico estatutário e não à CLT. Recebimento de pensão por morte no valor da totalidade dos vencimentos ou proventos dos servidores falecidos, à luz do autoaplicável art. 40, § 5º (atual § 7º), da Constituição do Brasil, observado o teto inscrito no art. 37, XI, da Constituição do Brasil/1988.</w:t>
      </w:r>
    </w:p>
    <w:p>
      <w:pPr>
        <w:ind w:left="288"/>
      </w:pPr>
      <w:r>
        <w:rPr>
          <w:b/>
          <w:color w:val="003CA0"/>
          <w:sz w:val="16"/>
        </w:rPr>
        <w:t>[AI 548.235 AgR, rel. min. Eros Grau, j. 16-5-2006, 2ª T, DJ de 9-6-2006.]</w:t>
      </w:r>
    </w:p>
    <w:p>
      <w:pPr>
        <w:ind w:left="288"/>
      </w:pPr>
      <w:r>
        <w:rPr>
          <w:color w:val="8C8C8C"/>
          <w:sz w:val="12"/>
        </w:rPr>
        <w:t>cf-art-40-par-4</w:t>
      </w:r>
      <w:r>
        <w:rPr>
          <w:color w:val="003CA0"/>
          <w:sz w:val="12"/>
        </w:rPr>
        <w:t xml:space="preserve"> | AI 339.656</w:t>
      </w:r>
      <w:r>
        <w:rPr>
          <w:color w:val="003CA0"/>
          <w:sz w:val="12"/>
        </w:rPr>
        <w:t xml:space="preserve"> | rel. Joaquim Barbosa</w:t>
      </w:r>
    </w:p>
    <w:p>
      <w:pPr>
        <w:ind w:left="288"/>
      </w:pPr>
      <w:r>
        <w:rPr>
          <w:color w:val="1E1E1E"/>
          <w:sz w:val="18"/>
        </w:rPr>
        <w:t>= AI 339.656 AgR, rel. min. Joaquim Barbosa, j. 6-4-2010, 2ª T, DJE de 7-5-2010 Vide RE 602.201 AgR, rel. min. Eros Grau, j. 24-11-2009, 2ª T, DJE de 18-12-2009 A regência da pensão faz-se considerada a legislação em vigor na data do falecimento do servidor, descabendo emprestar a texto de lei ou da Constituição eficácia retroativa, no que prevista a percepção pela totalidade dos vencimentos.</w:t>
      </w:r>
    </w:p>
    <w:p>
      <w:pPr>
        <w:ind w:left="288"/>
      </w:pPr>
      <w:r>
        <w:rPr>
          <w:b/>
          <w:color w:val="003CA0"/>
          <w:sz w:val="16"/>
        </w:rPr>
        <w:t>[RE 273.570, rel. min. Marco Aurélio, j. 14-2-2006, DJ de 5-5-2006.]</w:t>
      </w:r>
    </w:p>
    <w:p>
      <w:pPr>
        <w:ind w:left="288"/>
      </w:pPr>
      <w:r>
        <w:rPr>
          <w:color w:val="8C8C8C"/>
          <w:sz w:val="12"/>
        </w:rPr>
        <w:t>cf-art-40-par-4</w:t>
      </w:r>
      <w:r>
        <w:rPr>
          <w:color w:val="003CA0"/>
          <w:sz w:val="12"/>
        </w:rPr>
        <w:t xml:space="preserve"> | AI 765.377</w:t>
      </w:r>
      <w:r>
        <w:rPr>
          <w:color w:val="003CA0"/>
          <w:sz w:val="12"/>
        </w:rPr>
        <w:t xml:space="preserve"> | rel. Cármen Lúcia</w:t>
      </w:r>
    </w:p>
    <w:p>
      <w:pPr>
        <w:ind w:left="288"/>
      </w:pPr>
      <w:r>
        <w:rPr>
          <w:color w:val="1E1E1E"/>
          <w:sz w:val="18"/>
        </w:rPr>
        <w:t>= AI 765.377 AgR, rel. min. Cármen Lúcia, j. 24-8-2010, 1ª T, DJE de 24-9-2010 I - ao valor da totalidade dos proventos do servidor falecido, até o limite máximo estabelecido para os benefícios do regime geral de previdência social de que trata o art. 201, acrescido de setenta por cento da parcela excedente a este limite, caso aposentado à data do óbito; ou (Incluído pela EC n. 41/2003)</w:t>
      </w:r>
    </w:p>
    <w:p>
      <w:pPr>
        <w:ind w:left="144"/>
      </w:pPr>
      <w:r>
        <w:rPr>
          <w:b/>
          <w:color w:val="B45A00"/>
          <w:sz w:val="16"/>
        </w:rPr>
        <w:t>REPERCUSSAO GERAL</w:t>
      </w:r>
    </w:p>
    <w:p>
      <w:pPr>
        <w:ind w:left="288"/>
      </w:pPr>
      <w:r>
        <w:rPr>
          <w:color w:val="8C8C8C"/>
          <w:sz w:val="12"/>
        </w:rPr>
        <w:t>cf-art-40-par-4</w:t>
      </w:r>
      <w:r>
        <w:rPr>
          <w:color w:val="003CA0"/>
          <w:sz w:val="12"/>
        </w:rPr>
        <w:t xml:space="preserve"> | RE 603.580</w:t>
      </w:r>
      <w:r>
        <w:rPr>
          <w:color w:val="003CA0"/>
          <w:sz w:val="12"/>
        </w:rPr>
        <w:t xml:space="preserve"> | rel. Ricardo Lewandowski</w:t>
      </w:r>
    </w:p>
    <w:p>
      <w:pPr>
        <w:ind w:left="288"/>
      </w:pPr>
      <w:r>
        <w:rPr>
          <w:color w:val="1E1E1E"/>
          <w:sz w:val="18"/>
        </w:rPr>
        <w:t>Pensão por morte. Instituidor aposentado antes da EC 41/2003, porém falecido após seu advento. Direito do pensionista à paridade. Impossibilidade. Exceção: art. 3º da EC 47/2005. (...) O benefício previdenciário da pensão por morte deve ser regido pela lei vigente à época do óbito de seu instituidor. Às pensões derivadas de óbito de servidores aposentados nos termos do art. 3º da EC 47/2005 é garantido o direito à paridade.</w:t>
      </w:r>
    </w:p>
    <w:p>
      <w:pPr>
        <w:ind w:left="288"/>
      </w:pPr>
      <w:r>
        <w:rPr>
          <w:b/>
          <w:color w:val="003CA0"/>
          <w:sz w:val="16"/>
        </w:rPr>
        <w:t>[RE 603.580, rel. min. Ricardo Lewandowski, j. 20-5-2015, P, DJE de 4-8-2015, Tema 396, com mérito julgado.]</w:t>
      </w:r>
    </w:p>
    <w:p>
      <w:pPr>
        <w:ind w:left="288"/>
      </w:pPr>
      <w:r>
        <w:rPr>
          <w:color w:val="8C8C8C"/>
          <w:sz w:val="12"/>
        </w:rPr>
        <w:t>cf-art-40-par-4</w:t>
      </w:r>
    </w:p>
    <w:p>
      <w:pPr>
        <w:ind w:left="288"/>
      </w:pPr>
      <w:r>
        <w:rPr>
          <w:color w:val="1E1E1E"/>
          <w:sz w:val="18"/>
        </w:rPr>
        <w:t>II - ao valor da totalidade da remuneração do servidor no cargo efetivo em que se deu o falecimento, até o limite máximo estabelecido para os benefícios do regime geral de previdência social de que trata o art. 201, acrescido de setenta por cento da parcela excedente a este limite, caso em atividade na data do óbito. (Incluído pela EC n. 41/2003)</w:t>
      </w:r>
    </w:p>
    <w:p>
      <w:pPr>
        <w:ind w:left="144"/>
      </w:pPr>
      <w:r>
        <w:rPr>
          <w:b/>
          <w:color w:val="B45A00"/>
          <w:sz w:val="16"/>
        </w:rPr>
        <w:t>SUMULA VINCULANTE</w:t>
      </w:r>
    </w:p>
    <w:p>
      <w:pPr>
        <w:ind w:left="288"/>
      </w:pPr>
      <w:r>
        <w:rPr>
          <w:color w:val="8C8C8C"/>
          <w:sz w:val="12"/>
        </w:rPr>
        <w:t>cf-art-40-par-8</w:t>
      </w:r>
    </w:p>
    <w:p>
      <w:pPr>
        <w:ind w:left="288"/>
      </w:pPr>
      <w:r>
        <w:rPr>
          <w:color w:val="1E1E1E"/>
          <w:sz w:val="18"/>
        </w:rPr>
        <w:t>A Gratificação de Desempenho de Atividade de Seguridade Social e do Trabalho (GDASST), instituída pela Lei 10.483/2002, deve ser estendida aos inativos no valor correspondente a sessenta pontos, desde o advento da MP 198/2004, convertida na Lei 10.971/2004, quando tais inativos façam jus à paridade constitucional (EC 20/1998, 41/2003 e 47/2005).</w:t>
      </w:r>
    </w:p>
    <w:p>
      <w:pPr>
        <w:ind w:left="288"/>
      </w:pPr>
      <w:r>
        <w:rPr>
          <w:b/>
          <w:color w:val="003CA0"/>
          <w:sz w:val="16"/>
        </w:rPr>
        <w:t>[Súmula Vinculante 34.]</w:t>
      </w:r>
    </w:p>
    <w:p>
      <w:pPr>
        <w:ind w:left="144"/>
      </w:pPr>
      <w:r>
        <w:rPr>
          <w:b/>
          <w:color w:val="B45A00"/>
          <w:sz w:val="16"/>
        </w:rPr>
        <w:t>CONTROLE CONCENTRADO</w:t>
      </w:r>
    </w:p>
    <w:p>
      <w:pPr>
        <w:ind w:left="288"/>
      </w:pPr>
      <w:r>
        <w:rPr>
          <w:color w:val="8C8C8C"/>
          <w:sz w:val="12"/>
        </w:rPr>
        <w:t>cf-art-40-par-8</w:t>
      </w:r>
      <w:r>
        <w:rPr>
          <w:color w:val="003CA0"/>
          <w:sz w:val="12"/>
        </w:rPr>
        <w:t xml:space="preserve"> | ADI 5.179</w:t>
      </w:r>
    </w:p>
    <w:p>
      <w:pPr>
        <w:ind w:left="288"/>
      </w:pPr>
      <w:r>
        <w:rPr>
          <w:color w:val="1E1E1E"/>
          <w:sz w:val="18"/>
        </w:rPr>
        <w:t>(...) interpretação conforme à Constituição ao art. 5º da Lei 9.655/1998, no sentido de que se aplicam aos proventos de aposentadoria do juízes classistas temporários (e às pensões decorrentes) os reajustes conferidos aos servidores públicos federais do Poder Judiciário da União (vencimentos básicos de analista judiciário, na classe intermediária, no último padrão), de acordo com a redação conferida ao § 8º do art. 40 da CF pela Emenda Constitucional 41/2003.</w:t>
      </w:r>
    </w:p>
    <w:p>
      <w:pPr>
        <w:ind w:left="288"/>
      </w:pPr>
      <w:r>
        <w:rPr>
          <w:b/>
          <w:color w:val="003CA0"/>
          <w:sz w:val="16"/>
        </w:rPr>
        <w:t>[ADI 5.179, red. do ac. min. Gilmar Mendes, j. 27-4-2020, P, DJE de 17-9-2020.]</w:t>
      </w:r>
    </w:p>
    <w:p>
      <w:pPr>
        <w:ind w:left="288"/>
      </w:pPr>
      <w:r>
        <w:rPr>
          <w:color w:val="8C8C8C"/>
          <w:sz w:val="12"/>
        </w:rPr>
        <w:t>cf-art-40-par-8</w:t>
      </w:r>
      <w:r>
        <w:rPr>
          <w:color w:val="003CA0"/>
          <w:sz w:val="12"/>
        </w:rPr>
        <w:t xml:space="preserve"> | RE 1.408.525</w:t>
      </w:r>
      <w:r>
        <w:rPr>
          <w:color w:val="003CA0"/>
          <w:sz w:val="12"/>
        </w:rPr>
        <w:t xml:space="preserve"> | rel. Cármen Lúcia</w:t>
      </w:r>
    </w:p>
    <w:p>
      <w:pPr>
        <w:ind w:left="288"/>
      </w:pPr>
      <w:r>
        <w:rPr>
          <w:color w:val="1E1E1E"/>
          <w:sz w:val="18"/>
        </w:rPr>
        <w:t>1. Reafirma-se a jurisprudência do Supremo Tribunal Federal de que o termo inicial do pagamento diferenciado das gratificações de desempenho entre servidores ativos e inativos é a data da homologação do resultado das avaliações, após a conclusão do primeiro ciclo (Tema 983). 2. A mera alteração do limite mínimo da Gratificação de Desempenho de Atividade do Seguro Social – GDASS, devida aos integrantes da Carreira do Seguro Social em função do desempenho institucional e individual, não afasta a natureza pro labore faciendo da parcela, sendo inaplicável aos servidores públicos inativos.</w:t>
      </w:r>
    </w:p>
    <w:p>
      <w:pPr>
        <w:ind w:left="288"/>
      </w:pPr>
      <w:r>
        <w:rPr>
          <w:b/>
          <w:color w:val="003CA0"/>
          <w:sz w:val="16"/>
        </w:rPr>
        <w:t>[RE 1.408.525, rel. min. Cármen Lúcia, j.18-2-2026, P, DJE de 2-3-2026, Tema 1.289, com mérito julgado.]</w:t>
      </w:r>
    </w:p>
    <w:p>
      <w:pPr>
        <w:ind w:left="144"/>
      </w:pPr>
      <w:r>
        <w:rPr>
          <w:b/>
          <w:color w:val="B45A00"/>
          <w:sz w:val="16"/>
        </w:rPr>
        <w:t>REPERCUSSAO GERAL</w:t>
      </w:r>
    </w:p>
    <w:p>
      <w:pPr>
        <w:ind w:left="288"/>
      </w:pPr>
      <w:r>
        <w:rPr>
          <w:color w:val="8C8C8C"/>
          <w:sz w:val="12"/>
        </w:rPr>
        <w:t>cf-art-40-par-8</w:t>
      </w:r>
      <w:r>
        <w:rPr>
          <w:color w:val="003CA0"/>
          <w:sz w:val="12"/>
        </w:rPr>
        <w:t xml:space="preserve"> | RE 1.372.723</w:t>
      </w:r>
      <w:r>
        <w:rPr>
          <w:color w:val="003CA0"/>
          <w:sz w:val="12"/>
        </w:rPr>
        <w:t xml:space="preserve"> | rel. Dias Toffoli</w:t>
      </w:r>
    </w:p>
    <w:p>
      <w:pPr>
        <w:ind w:left="288"/>
      </w:pPr>
      <w:r>
        <w:rPr>
          <w:color w:val="1E1E1E"/>
          <w:sz w:val="18"/>
        </w:rPr>
        <w:t>“É constitucional o reajuste de proventos e pensões concedidos a servidores públicos federais e seus dependentes não beneficiados pela garantia de paridade de revisão pelo mesmo índice de reajuste do regime geral de previdência social (RGPS), previsto em normativo do Ministério da Previdência Social, no período anterior à Lei 11.784/2008”.</w:t>
      </w:r>
    </w:p>
    <w:p>
      <w:pPr>
        <w:ind w:left="288"/>
      </w:pPr>
      <w:r>
        <w:rPr>
          <w:b/>
          <w:color w:val="003CA0"/>
          <w:sz w:val="16"/>
        </w:rPr>
        <w:t>[RE 1.372.723, rel. min. Dias Toffoli, j. 2-10-2023, P, DJE de 24-10-2023, Tema 1.224, com mérito julgado.]</w:t>
      </w:r>
    </w:p>
    <w:p>
      <w:pPr>
        <w:ind w:left="288"/>
      </w:pPr>
      <w:r>
        <w:rPr>
          <w:color w:val="8C8C8C"/>
          <w:sz w:val="12"/>
        </w:rPr>
        <w:t>cf-art-40-par-8</w:t>
      </w:r>
      <w:r>
        <w:rPr>
          <w:color w:val="003CA0"/>
          <w:sz w:val="12"/>
        </w:rPr>
        <w:t xml:space="preserve"> | ARE 1.331.395</w:t>
      </w:r>
      <w:r>
        <w:rPr>
          <w:color w:val="003CA0"/>
          <w:sz w:val="12"/>
        </w:rPr>
        <w:t xml:space="preserve"> | rel. Luiz Fux</w:t>
      </w:r>
    </w:p>
    <w:p>
      <w:pPr>
        <w:ind w:left="288"/>
      </w:pPr>
      <w:r>
        <w:rPr>
          <w:color w:val="1E1E1E"/>
          <w:sz w:val="18"/>
        </w:rPr>
        <w:t>É infraconstitucional, a ela se aplicando os efeitos da ausência de repercussão geral, a controvérsia relativa à natureza da vantagem Reconhecimento de Saberes e Competências (RSC), instituída pela Lei 12.772/2012, e sua consequente extensão a servidor aposentado pela regra da paridade.</w:t>
        <w:br/>
        <w:t>[ARE 1.331.395 RG, rel. min. Luiz Fux, j. 13-8-2021, P, DJE de 18-8-2021, Tema 1.160, com repercussão geral negada.] As gratificações de natureza pro labore faciendo são incorporadas à aposentadoria conforme as normas de regência de cada uma delas, não caracterizando ofensa ao direito à integralidade a incorpor</w:t>
      </w:r>
    </w:p>
    <w:p>
      <w:pPr>
        <w:ind w:left="288"/>
      </w:pPr>
      <w:r>
        <w:rPr>
          <w:b/>
          <w:color w:val="003CA0"/>
          <w:sz w:val="16"/>
        </w:rPr>
        <w:t>[RE 662.406, rel. min. Teori Zavascki, j. 11-12-2014, P, DJE de 18-2-2015, Tema 664, com mérito julgado.]</w:t>
      </w:r>
    </w:p>
    <w:p>
      <w:pPr>
        <w:ind w:left="288"/>
      </w:pPr>
      <w:r>
        <w:rPr>
          <w:color w:val="8C8C8C"/>
          <w:sz w:val="12"/>
        </w:rPr>
        <w:t>cf-art-40-par-8</w:t>
      </w:r>
      <w:r>
        <w:rPr>
          <w:color w:val="003CA0"/>
          <w:sz w:val="12"/>
        </w:rPr>
        <w:t xml:space="preserve"> | RE 631.389</w:t>
      </w:r>
      <w:r>
        <w:rPr>
          <w:color w:val="003CA0"/>
          <w:sz w:val="12"/>
        </w:rPr>
        <w:t xml:space="preserve"> | rel. Marco Aurélio</w:t>
      </w:r>
    </w:p>
    <w:p>
      <w:pPr>
        <w:ind w:left="288"/>
      </w:pPr>
      <w:r>
        <w:rPr>
          <w:color w:val="1E1E1E"/>
          <w:sz w:val="18"/>
        </w:rPr>
        <w:t>= RE 631.389, rel. min. Marco Aurélio, j. 25-9-2013, P, DJE de 3-6-2014, Tema 351, com mérito julgado A Verba de Incentivo de Aprimoramento à Docência, instituída pela LC 159, de 18-3-2004, do Estado de Mato Grosso, constitui vantagem remuneratória concedida indistintamente aos professores ativos, sendo, portanto, extensível aos professores inativos e pensionistas, nos termos do art. 40, § 8º, da CF. (...) Fixação das teses do julgado, para que gerem efeitos erga omnes e para que os objetivos da tutela jurisdicional especial alcancem de forma eficiente os seus resultados jurídicos, nos seguint</w:t>
      </w:r>
    </w:p>
    <w:p>
      <w:pPr>
        <w:ind w:left="288"/>
      </w:pPr>
      <w:r>
        <w:rPr>
          <w:b/>
          <w:color w:val="003CA0"/>
          <w:sz w:val="16"/>
        </w:rPr>
        <w:t>[RE 631.389, rel. min. Marco Aurélio, j. 25-9-2013, P, DJE de 3-6-2014, Tema 351, com mérito julgado.]</w:t>
        <w:br/>
        <w:t>= RE 662.406, rel. min. Teori Zavascki, j. 11-12-2014, P, DJE de 18-2-2015, Tema 664, com mérito julgado</w:t>
      </w:r>
    </w:p>
    <w:p>
      <w:pPr>
        <w:ind w:left="288"/>
      </w:pPr>
      <w:r>
        <w:rPr>
          <w:color w:val="8C8C8C"/>
          <w:sz w:val="12"/>
        </w:rPr>
        <w:t>cf-art-40-par-8</w:t>
      </w:r>
      <w:r>
        <w:rPr>
          <w:color w:val="003CA0"/>
          <w:sz w:val="12"/>
        </w:rPr>
        <w:t xml:space="preserve"> | RE 572.884</w:t>
      </w:r>
      <w:r>
        <w:rPr>
          <w:color w:val="003CA0"/>
          <w:sz w:val="12"/>
        </w:rPr>
        <w:t xml:space="preserve"> | rel. Ricardo Lewandowski</w:t>
      </w:r>
    </w:p>
    <w:p>
      <w:pPr>
        <w:ind w:left="288"/>
      </w:pPr>
      <w:r>
        <w:rPr>
          <w:color w:val="1E1E1E"/>
          <w:sz w:val="18"/>
        </w:rPr>
        <w:t xml:space="preserve">A Gratificação de Desempenho de Atividade de Ciência e Tecnologia (GDACT), instituída pelo art. 19 da MP 2.048-26, de 29 de junho de 2000, por ocasião de sua criação, tinha o caráter de gratificação pessoal, pro labore faciendo, e, por esse motivo, não foi estendida, automaticamente, aos já aposentados e pensionistas. O art. 60-A, acrescentado pela Lei 10.769/2003 à MP 2.229-43/2001, estendeu aos inativos a GDACT, no valor correspondente a 30% do percentual máximo aplicado ao padrão da classe em que o servidor estivesse posicionado. Dessa forma, não houve redução indevida, pois, como visto, a </w:t>
      </w:r>
    </w:p>
    <w:p>
      <w:pPr>
        <w:ind w:left="144"/>
      </w:pPr>
      <w:r>
        <w:rPr>
          <w:b/>
          <w:color w:val="B45A00"/>
          <w:sz w:val="16"/>
        </w:rPr>
        <w:t>JULGADOS CORRELATOS</w:t>
      </w:r>
    </w:p>
    <w:p>
      <w:pPr>
        <w:ind w:left="288"/>
      </w:pPr>
      <w:r>
        <w:rPr>
          <w:color w:val="8C8C8C"/>
          <w:sz w:val="12"/>
        </w:rPr>
        <w:t>cf-art-40-par-8</w:t>
      </w:r>
      <w:r>
        <w:rPr>
          <w:color w:val="003CA0"/>
          <w:sz w:val="12"/>
        </w:rPr>
        <w:t xml:space="preserve"> | RE 949.293</w:t>
      </w:r>
      <w:r>
        <w:rPr>
          <w:color w:val="003CA0"/>
          <w:sz w:val="12"/>
        </w:rPr>
        <w:t xml:space="preserve"> | rel. Dias Toffoli</w:t>
      </w:r>
    </w:p>
    <w:p>
      <w:pPr>
        <w:ind w:left="288"/>
      </w:pPr>
      <w:r>
        <w:rPr>
          <w:color w:val="1E1E1E"/>
          <w:sz w:val="18"/>
        </w:rPr>
        <w:t>Gratificação de Desempenho da Atividade do Seguro Social (GDASS). Natureza pro “labore faciendo”. Incorporação aos proventos. Não observância da última pontuação obtida na ativa. Direito à integralidade. Violação. Não ocorrência. (...) A jurisprudência da Corte é no sentido de que as gratificações de natureza pro labore faciendo são incorporadas, em decorrência da aposentadoria, conforme as normas de regência de cada uma delas (no caso, o art. 16, da Lei 10.855/2004), não havendo ofensa ao direito à integralidade (art. 3º da EC 47/2005).</w:t>
      </w:r>
    </w:p>
    <w:p>
      <w:pPr>
        <w:ind w:left="288"/>
      </w:pPr>
      <w:r>
        <w:rPr>
          <w:b/>
          <w:color w:val="003CA0"/>
          <w:sz w:val="16"/>
        </w:rPr>
        <w:t>[RE 949.293 AgR, rel. min. Dias Toffoli, j. 28-6-2016, 2ª T, DJE de 8-8-2016.]</w:t>
        <w:br/>
        <w:t>= RE 948.503 AgR, rel. min. Edson Fachin, j. 30-9-2016, 1ª T, DJE de 18-10-2016</w:t>
      </w:r>
    </w:p>
    <w:p>
      <w:pPr>
        <w:ind w:left="288"/>
      </w:pPr>
      <w:r>
        <w:rPr>
          <w:color w:val="8C8C8C"/>
          <w:sz w:val="12"/>
        </w:rPr>
        <w:t>cf-art-40-par-8</w:t>
      </w:r>
      <w:r>
        <w:rPr>
          <w:color w:val="003CA0"/>
          <w:sz w:val="12"/>
        </w:rPr>
        <w:t xml:space="preserve"> | MI 6.460</w:t>
      </w:r>
      <w:r>
        <w:rPr>
          <w:color w:val="003CA0"/>
          <w:sz w:val="12"/>
        </w:rPr>
        <w:t xml:space="preserve"> | rel. Roberto Barroso</w:t>
      </w:r>
    </w:p>
    <w:p>
      <w:pPr>
        <w:ind w:left="288"/>
      </w:pPr>
      <w:r>
        <w:rPr>
          <w:color w:val="1E1E1E"/>
          <w:sz w:val="18"/>
        </w:rPr>
        <w:t>Os proventos dos juízes classistas de primeira instância que adquiriram direito à aposentadoria antes da Lei 9.528/1997 são reajustados na mesma época e no mesmo percentual concedido, em caráter geral, aos servidores públicos federais em atividade, por força da regra da paridade da Lei 6.903/1981 e do disposto na Lei 9.655/1998.</w:t>
      </w:r>
    </w:p>
    <w:p>
      <w:pPr>
        <w:ind w:left="288"/>
      </w:pPr>
      <w:r>
        <w:rPr>
          <w:b/>
          <w:color w:val="003CA0"/>
          <w:sz w:val="16"/>
        </w:rPr>
        <w:t>[MI 6.460 AgR, rel. min. Roberto Barroso, j. 28-5-2015, P, DJE de 24-6-2015.]</w:t>
      </w:r>
    </w:p>
    <w:p>
      <w:pPr>
        <w:ind w:left="288"/>
      </w:pPr>
      <w:r>
        <w:rPr>
          <w:color w:val="8C8C8C"/>
          <w:sz w:val="12"/>
        </w:rPr>
        <w:t>cf-art-40-par-8</w:t>
      </w:r>
      <w:r>
        <w:rPr>
          <w:color w:val="003CA0"/>
          <w:sz w:val="12"/>
        </w:rPr>
        <w:t xml:space="preserve"> | RE 700.126</w:t>
      </w:r>
      <w:r>
        <w:rPr>
          <w:color w:val="003CA0"/>
          <w:sz w:val="12"/>
        </w:rPr>
        <w:t xml:space="preserve"> | rel. Teori Zavascki</w:t>
      </w:r>
    </w:p>
    <w:p>
      <w:pPr>
        <w:ind w:left="288"/>
      </w:pPr>
      <w:r>
        <w:rPr>
          <w:color w:val="1E1E1E"/>
          <w:sz w:val="18"/>
        </w:rPr>
        <w:t>Serventuários da Justiça aposentados que não eram remunerados pelos cofres públicos. Extensão de aumentos remuneratórios concedidos aos servidores ativos do Tribunal de Justiça do Estado. Ilegitimidade. Súmula Vinculante 37.</w:t>
      </w:r>
    </w:p>
    <w:p>
      <w:pPr>
        <w:ind w:left="288"/>
      </w:pPr>
      <w:r>
        <w:rPr>
          <w:b/>
          <w:color w:val="003CA0"/>
          <w:sz w:val="16"/>
        </w:rPr>
        <w:t>[RE 700.126 ED, rel. min. Teori Zavascki, j. 9-12-2014, 2ª T, DJE de 19-12-2014.]</w:t>
      </w:r>
    </w:p>
    <w:p>
      <w:pPr>
        <w:ind w:left="288"/>
      </w:pPr>
      <w:r>
        <w:rPr>
          <w:color w:val="8C8C8C"/>
          <w:sz w:val="12"/>
        </w:rPr>
        <w:t>cf-art-40-par-8</w:t>
      </w:r>
      <w:r>
        <w:rPr>
          <w:color w:val="003CA0"/>
          <w:sz w:val="12"/>
        </w:rPr>
        <w:t xml:space="preserve"> | AI 853.473</w:t>
      </w:r>
      <w:r>
        <w:rPr>
          <w:color w:val="003CA0"/>
          <w:sz w:val="12"/>
        </w:rPr>
        <w:t xml:space="preserve"> | rel. Gilmar Mendes</w:t>
      </w:r>
    </w:p>
    <w:p>
      <w:pPr>
        <w:ind w:left="288"/>
      </w:pPr>
      <w:r>
        <w:rPr>
          <w:color w:val="1E1E1E"/>
          <w:sz w:val="18"/>
        </w:rPr>
        <w:t>(...) esta Corte já firmou entendimento no sentido de que a Gratificação de Estímulo à Docência não possui caráter genérico, motivo pelo qual não deve ser estendida a inativos e pensionistas.</w:t>
      </w:r>
    </w:p>
    <w:p>
      <w:pPr>
        <w:ind w:left="288"/>
      </w:pPr>
      <w:r>
        <w:rPr>
          <w:b/>
          <w:color w:val="003CA0"/>
          <w:sz w:val="16"/>
        </w:rPr>
        <w:t>[AI 853.473 AgR-AgR-ED, voto do rel. min. Gilmar Mendes, j. 30-10-2012, 2ª T, DJE de 27-11-2012.]</w:t>
      </w:r>
    </w:p>
    <w:p>
      <w:pPr>
        <w:ind w:left="288"/>
      </w:pPr>
      <w:r>
        <w:rPr>
          <w:color w:val="8C8C8C"/>
          <w:sz w:val="12"/>
        </w:rPr>
        <w:t>cf-art-40-par-8</w:t>
      </w:r>
      <w:r>
        <w:rPr>
          <w:color w:val="003CA0"/>
          <w:sz w:val="12"/>
        </w:rPr>
        <w:t xml:space="preserve"> | RE 389.213</w:t>
      </w:r>
      <w:r>
        <w:rPr>
          <w:color w:val="003CA0"/>
          <w:sz w:val="12"/>
        </w:rPr>
        <w:t xml:space="preserve"> | rel. Dias Toffoli</w:t>
      </w:r>
    </w:p>
    <w:p>
      <w:pPr>
        <w:ind w:left="288"/>
      </w:pPr>
      <w:r>
        <w:rPr>
          <w:color w:val="1E1E1E"/>
          <w:sz w:val="18"/>
        </w:rPr>
        <w:t>É pacífica a jurisprudência desta Corte no sentido de que as vantagens remuneratórias denominadas "diárias operacionais" e "abono policial", concedidas aos militares em atividade do Estado do Ceará, de forma geral, são extensíveis aos militares aposentados e aos pensionistas, sob pena de violação do art. 40, § 8º, da CF.</w:t>
      </w:r>
    </w:p>
    <w:p>
      <w:pPr>
        <w:ind w:left="288"/>
      </w:pPr>
      <w:r>
        <w:rPr>
          <w:b/>
          <w:color w:val="003CA0"/>
          <w:sz w:val="16"/>
        </w:rPr>
        <w:t>[RE 389.213 AgR, rel. min. Dias Toffoli, j. 2-8-2011, 1ª T, DJE de 19-9-2011.]</w:t>
      </w:r>
    </w:p>
    <w:p>
      <w:pPr>
        <w:ind w:left="288"/>
      </w:pPr>
      <w:r>
        <w:rPr>
          <w:color w:val="8C8C8C"/>
          <w:sz w:val="12"/>
        </w:rPr>
        <w:t>cf-art-40-par-8</w:t>
      </w:r>
      <w:r>
        <w:rPr>
          <w:color w:val="003CA0"/>
          <w:sz w:val="12"/>
        </w:rPr>
        <w:t xml:space="preserve"> | RE 418.379</w:t>
      </w:r>
      <w:r>
        <w:rPr>
          <w:color w:val="003CA0"/>
          <w:sz w:val="12"/>
        </w:rPr>
        <w:t xml:space="preserve"> | rel. Joaquim Barbosa</w:t>
      </w:r>
    </w:p>
    <w:p>
      <w:pPr>
        <w:ind w:left="288"/>
      </w:pPr>
      <w:r>
        <w:rPr>
          <w:color w:val="1E1E1E"/>
          <w:sz w:val="18"/>
        </w:rPr>
        <w:t>= RE 418.379 AgR, rel. min. Joaquim Barbosa, j. 5-6-2012, 2ª T, DJE de 22-6-2012 É devido aos servidores inativos da Fepasa [Ferrovia Paulista S.A.] o abono concedido aos servidores em atividade.</w:t>
      </w:r>
    </w:p>
    <w:p>
      <w:pPr>
        <w:ind w:left="288"/>
      </w:pPr>
      <w:r>
        <w:rPr>
          <w:b/>
          <w:color w:val="003CA0"/>
          <w:sz w:val="16"/>
        </w:rPr>
        <w:t>[AI 694.707 AgR, rel. min. Ricardo Lewandowski, j. 25-8-2009, 1ª T, DJE de 18-9-2009.]</w:t>
      </w:r>
    </w:p>
    <w:p>
      <w:pPr>
        <w:ind w:left="288"/>
      </w:pPr>
      <w:r>
        <w:rPr>
          <w:color w:val="8C8C8C"/>
          <w:sz w:val="12"/>
        </w:rPr>
        <w:t>cf-art-40-par-8</w:t>
      </w:r>
      <w:r>
        <w:rPr>
          <w:color w:val="003CA0"/>
          <w:sz w:val="12"/>
        </w:rPr>
        <w:t xml:space="preserve"> | AI 526.987</w:t>
      </w:r>
      <w:r>
        <w:rPr>
          <w:color w:val="003CA0"/>
          <w:sz w:val="12"/>
        </w:rPr>
        <w:t xml:space="preserve"> | rel. Cezar Peluso</w:t>
      </w:r>
    </w:p>
    <w:p>
      <w:pPr>
        <w:ind w:left="288"/>
      </w:pPr>
      <w:r>
        <w:rPr>
          <w:color w:val="1E1E1E"/>
          <w:sz w:val="18"/>
        </w:rPr>
        <w:t>= AI 526.987 AgR, rel. min. Cezar Peluso, j. 7-8-2012, 2ª T, DJE de 20-8-2012 Aposentados. Extensão de benefício. Art. 40, § 8º, da CF. A pedra de toque da incidência do preceito é saber se em atividade os aposentados lograriam o benefício.</w:t>
      </w:r>
    </w:p>
    <w:p>
      <w:pPr>
        <w:ind w:left="288"/>
      </w:pPr>
      <w:r>
        <w:rPr>
          <w:b/>
          <w:color w:val="003CA0"/>
          <w:sz w:val="16"/>
        </w:rPr>
        <w:t>[AI 486.042 AgR, rel. min. Marco Aurélio, j. 25-11-2008, 1ª T, DJE de 20-3-2009.]</w:t>
      </w:r>
    </w:p>
    <w:p>
      <w:pPr>
        <w:ind w:left="288"/>
      </w:pPr>
      <w:r>
        <w:rPr>
          <w:color w:val="8C8C8C"/>
          <w:sz w:val="12"/>
        </w:rPr>
        <w:t>cf-art-40-par-8</w:t>
      </w:r>
      <w:r>
        <w:rPr>
          <w:color w:val="003CA0"/>
          <w:sz w:val="12"/>
        </w:rPr>
        <w:t xml:space="preserve"> | AR 1.536</w:t>
      </w:r>
      <w:r>
        <w:rPr>
          <w:color w:val="003CA0"/>
          <w:sz w:val="12"/>
        </w:rPr>
        <w:t xml:space="preserve"> | rel. Cármen Lúcia</w:t>
      </w:r>
    </w:p>
    <w:p>
      <w:pPr>
        <w:ind w:left="288"/>
      </w:pPr>
      <w:r>
        <w:rPr>
          <w:color w:val="1E1E1E"/>
          <w:sz w:val="18"/>
        </w:rPr>
        <w:t>A vantagem legalmente prevista não é condicionada à produtividade do servidor público, a ela fazendo jus não apenas os servidores em efetivo exercício do cargo, mas também aqueles que, afastados em circunstâncias especificadas legalmente, a recebem. Natureza geral da vantagem, que, assim, há de integrar os proventos dos inativos.</w:t>
      </w:r>
    </w:p>
    <w:p>
      <w:pPr>
        <w:ind w:left="288"/>
      </w:pPr>
      <w:r>
        <w:rPr>
          <w:b/>
          <w:color w:val="003CA0"/>
          <w:sz w:val="16"/>
        </w:rPr>
        <w:t>[AR 1.536, rel. min. Cármen Lúcia, j. 2-8-2007, P, DJ de 6-9-2007.]</w:t>
      </w:r>
    </w:p>
    <w:p>
      <w:pPr>
        <w:ind w:left="288"/>
      </w:pPr>
      <w:r>
        <w:rPr>
          <w:color w:val="8C8C8C"/>
          <w:sz w:val="12"/>
        </w:rPr>
        <w:t>cf-art-40-par-8</w:t>
      </w:r>
      <w:r>
        <w:rPr>
          <w:color w:val="003CA0"/>
          <w:sz w:val="12"/>
        </w:rPr>
        <w:t xml:space="preserve"> | AI 476.232</w:t>
      </w:r>
      <w:r>
        <w:rPr>
          <w:color w:val="003CA0"/>
          <w:sz w:val="12"/>
        </w:rPr>
        <w:t xml:space="preserve"> | rel. Joaquim Barbosa</w:t>
      </w:r>
    </w:p>
    <w:p>
      <w:pPr>
        <w:ind w:left="288"/>
      </w:pPr>
      <w:r>
        <w:rPr>
          <w:color w:val="1E1E1E"/>
          <w:sz w:val="18"/>
        </w:rPr>
        <w:t>= AI 476.232 AgR-segundo, rel. min. Joaquim Barbosa, j. 24-4-2012, 2ª T, DJE de 22-5-2012 As normas contidas no art. 40, § 8º, da Constituição do Brasil são autoaplicáveis. A revisão dos proventos da aposentadoria e a extensão aos inativos de quaisquer benefícios e vantagens concedidos aos servidores em atividade pressupõe, tão somente, a existência de lei prevendo-os em relação a estes últimos.</w:t>
      </w:r>
    </w:p>
    <w:p>
      <w:pPr>
        <w:ind w:left="288"/>
      </w:pPr>
      <w:r>
        <w:rPr>
          <w:b/>
          <w:color w:val="003CA0"/>
          <w:sz w:val="16"/>
        </w:rPr>
        <w:t>[AI 620.154 AgR, rel. min. Eros Grau, j. 17-4-2007, 2ª T, DJ de 18-5-2007.]</w:t>
      </w:r>
    </w:p>
    <w:p>
      <w:pPr>
        <w:ind w:left="144"/>
      </w:pPr>
      <w:r>
        <w:rPr>
          <w:b/>
          <w:color w:val="B45A00"/>
          <w:sz w:val="16"/>
        </w:rPr>
        <w:t>SUMULA</w:t>
      </w:r>
    </w:p>
    <w:p>
      <w:pPr>
        <w:ind w:left="288"/>
      </w:pPr>
      <w:r>
        <w:rPr>
          <w:color w:val="8C8C8C"/>
          <w:sz w:val="12"/>
        </w:rPr>
        <w:t>cf-art-40-par-9</w:t>
      </w:r>
    </w:p>
    <w:p>
      <w:pPr>
        <w:ind w:left="288"/>
      </w:pPr>
      <w:r>
        <w:rPr>
          <w:color w:val="1E1E1E"/>
          <w:sz w:val="18"/>
        </w:rPr>
        <w:t>A Constituição, ao assegurar, no § 3º do art. 102, a contagem integral do tempo de serviço público federal, estadual ou municipal para os efeitos de aposentadoria e disponibilidade, não proíbe à União, aos Estados e aos Municípios mandarem contar, mediante lei, para efeito diverso, tempo de serviço prestado a outra pessoa de direito público interno.</w:t>
      </w:r>
    </w:p>
    <w:p>
      <w:pPr>
        <w:ind w:left="288"/>
      </w:pPr>
      <w:r>
        <w:rPr>
          <w:b/>
          <w:color w:val="003CA0"/>
          <w:sz w:val="16"/>
        </w:rPr>
        <w:t>[Súmula 567.]</w:t>
      </w:r>
    </w:p>
    <w:p>
      <w:pPr>
        <w:ind w:left="144"/>
      </w:pPr>
      <w:r>
        <w:rPr>
          <w:b/>
          <w:color w:val="B45A00"/>
          <w:sz w:val="16"/>
        </w:rPr>
        <w:t>JULGADOS CORRELATOS</w:t>
      </w:r>
    </w:p>
    <w:p>
      <w:pPr>
        <w:ind w:left="288"/>
      </w:pPr>
      <w:r>
        <w:rPr>
          <w:color w:val="8C8C8C"/>
          <w:sz w:val="12"/>
        </w:rPr>
        <w:t>cf-art-40-par-9</w:t>
      </w:r>
      <w:r>
        <w:rPr>
          <w:color w:val="003CA0"/>
          <w:sz w:val="12"/>
        </w:rPr>
        <w:t xml:space="preserve"> | RE 439.699</w:t>
      </w:r>
      <w:r>
        <w:rPr>
          <w:color w:val="003CA0"/>
          <w:sz w:val="12"/>
        </w:rPr>
        <w:t xml:space="preserve"> | rel. Sepúlveda Pertence</w:t>
      </w:r>
    </w:p>
    <w:p>
      <w:pPr>
        <w:ind w:left="288"/>
      </w:pPr>
      <w:r>
        <w:rPr>
          <w:color w:val="1E1E1E"/>
          <w:sz w:val="18"/>
        </w:rPr>
        <w:t>Servidor público: contagem especial de tempo de serviço prestado enquanto celetista, antes, portanto, de sua transformação em estatutário: direito adquirido, para todos os efeitos, desde que comprovado o efetivo exercício de atividade considerada insalubre, perigosa ou penosa.</w:t>
      </w:r>
    </w:p>
    <w:p>
      <w:pPr>
        <w:ind w:left="288"/>
      </w:pPr>
      <w:r>
        <w:rPr>
          <w:b/>
          <w:color w:val="003CA0"/>
          <w:sz w:val="16"/>
        </w:rPr>
        <w:t>[RE 439.699 AgR, rel. min. Sepúlveda Pertence, j. 14-11-2006, 1ª T, DJ de 7-12-2006.]</w:t>
      </w:r>
    </w:p>
    <w:p>
      <w:pPr>
        <w:ind w:left="288"/>
      </w:pPr>
      <w:r>
        <w:rPr>
          <w:color w:val="8C8C8C"/>
          <w:sz w:val="12"/>
        </w:rPr>
        <w:t>cf-art-40-par-9</w:t>
      </w:r>
      <w:r>
        <w:rPr>
          <w:color w:val="003CA0"/>
          <w:sz w:val="12"/>
        </w:rPr>
        <w:t xml:space="preserve"> | RE 457.106</w:t>
      </w:r>
      <w:r>
        <w:rPr>
          <w:color w:val="003CA0"/>
          <w:sz w:val="12"/>
        </w:rPr>
        <w:t xml:space="preserve"> | rel. Dias Toffoli</w:t>
      </w:r>
    </w:p>
    <w:p>
      <w:pPr>
        <w:ind w:left="288"/>
      </w:pPr>
      <w:r>
        <w:rPr>
          <w:color w:val="1E1E1E"/>
          <w:sz w:val="18"/>
        </w:rPr>
        <w:t>= RE 457.106 AgR, rel. min. Dias Toffoli, j. 14-2-2012, 1ª T, DJE de 28-3-2012 Pela lei vigente à época de sua prestação, qualifica-se o tempo de serviço do funcionário público, sem a aplicação retroativa de norma ulterior que nesse sentido não haja disposto.</w:t>
      </w:r>
    </w:p>
    <w:p>
      <w:pPr>
        <w:ind w:left="288"/>
      </w:pPr>
      <w:r>
        <w:rPr>
          <w:b/>
          <w:color w:val="003CA0"/>
          <w:sz w:val="16"/>
        </w:rPr>
        <w:t>[RE 174.150, rel. min. Octavio Gallotti, j. 4-4-2000, 1ª T, DJ de 18-8-2000.]</w:t>
      </w:r>
    </w:p>
    <w:p>
      <w:pPr>
        <w:ind w:left="288"/>
      </w:pPr>
      <w:r>
        <w:rPr>
          <w:color w:val="8C8C8C"/>
          <w:sz w:val="12"/>
        </w:rPr>
        <w:t>cf-art-40-par-9</w:t>
      </w:r>
    </w:p>
    <w:p>
      <w:pPr>
        <w:ind w:left="288"/>
      </w:pPr>
      <w:r>
        <w:rPr>
          <w:color w:val="1E1E1E"/>
          <w:sz w:val="18"/>
        </w:rPr>
        <w:t>§ 10. A lei não poderá estabelecer qualquer forma de contagem de tempo de contribuição fictício. (Incluído pela EC n. 20/1998)</w:t>
      </w:r>
    </w:p>
    <w:p>
      <w:pPr>
        <w:ind w:left="144"/>
      </w:pPr>
      <w:r>
        <w:rPr>
          <w:b/>
          <w:color w:val="B45A00"/>
          <w:sz w:val="16"/>
        </w:rPr>
        <w:t>CONTROLE CONCENTRADO</w:t>
      </w:r>
    </w:p>
    <w:p>
      <w:pPr>
        <w:ind w:left="288"/>
      </w:pPr>
      <w:r>
        <w:rPr>
          <w:color w:val="8C8C8C"/>
          <w:sz w:val="12"/>
        </w:rPr>
        <w:t>cf-art-40-par-9</w:t>
      </w:r>
      <w:r>
        <w:rPr>
          <w:color w:val="003CA0"/>
          <w:sz w:val="12"/>
        </w:rPr>
        <w:t xml:space="preserve"> | ADI 404</w:t>
      </w:r>
      <w:r>
        <w:rPr>
          <w:color w:val="003CA0"/>
          <w:sz w:val="12"/>
        </w:rPr>
        <w:t xml:space="preserve"> | rel. Carlos Velloso</w:t>
      </w:r>
    </w:p>
    <w:p>
      <w:pPr>
        <w:ind w:left="288"/>
      </w:pPr>
      <w:r>
        <w:rPr>
          <w:color w:val="1E1E1E"/>
          <w:sz w:val="18"/>
        </w:rPr>
        <w:t>A CF estabelece tempo mínimo para a aposentadoria, não podendo norma infraconstitucional reduzi-lo mediante a fixação de tempo ficto.</w:t>
      </w:r>
    </w:p>
    <w:p>
      <w:pPr>
        <w:ind w:left="288"/>
      </w:pPr>
      <w:r>
        <w:rPr>
          <w:b/>
          <w:color w:val="003CA0"/>
          <w:sz w:val="16"/>
        </w:rPr>
        <w:t>[ADI 404, rel. min. Carlos Velloso, j. 1º-4-2004, P, DJ de 14-5-2004.]</w:t>
      </w:r>
    </w:p>
    <w:p>
      <w:pPr>
        <w:ind w:left="144"/>
      </w:pPr>
      <w:r>
        <w:rPr>
          <w:b/>
          <w:color w:val="B45A00"/>
          <w:sz w:val="16"/>
        </w:rPr>
        <w:t>JULGADOS CORRELATOS</w:t>
      </w:r>
    </w:p>
    <w:p>
      <w:pPr>
        <w:ind w:left="288"/>
      </w:pPr>
      <w:r>
        <w:rPr>
          <w:color w:val="8C8C8C"/>
          <w:sz w:val="12"/>
        </w:rPr>
        <w:t>cf-art-40-par-9</w:t>
      </w:r>
      <w:r>
        <w:rPr>
          <w:color w:val="003CA0"/>
          <w:sz w:val="12"/>
        </w:rPr>
        <w:t xml:space="preserve"> | MI 4.204</w:t>
      </w:r>
      <w:r>
        <w:rPr>
          <w:color w:val="003CA0"/>
          <w:sz w:val="12"/>
        </w:rPr>
        <w:t xml:space="preserve"> | rel. Roberto Barroso</w:t>
      </w:r>
    </w:p>
    <w:p>
      <w:pPr>
        <w:ind w:left="288"/>
      </w:pPr>
      <w:r>
        <w:rPr>
          <w:color w:val="1E1E1E"/>
          <w:sz w:val="18"/>
        </w:rPr>
        <w:t>No regime próprio de previdência dos servidores públicos, a conversão de tempo especial em comum por um fator multiplicador decorre diretamente do direito constitucional à aposentadoria especial (CF, art. 40, § 4º) e não incide na proibição de cômputo de tempo ficto (CF, art. 40, § 10).</w:t>
      </w:r>
    </w:p>
    <w:p>
      <w:pPr>
        <w:ind w:left="288"/>
      </w:pPr>
      <w:r>
        <w:rPr>
          <w:b/>
          <w:color w:val="003CA0"/>
          <w:sz w:val="16"/>
        </w:rPr>
        <w:t>[MI 4.204, rel. min. Roberto Barroso, j. 23-11-2021, P, DJE de 17-2-2022.]</w:t>
      </w:r>
    </w:p>
    <w:p>
      <w:pPr>
        <w:ind w:left="288"/>
      </w:pPr>
      <w:r>
        <w:rPr>
          <w:color w:val="8C8C8C"/>
          <w:sz w:val="12"/>
        </w:rPr>
        <w:t>cf-art-40-par-9</w:t>
      </w:r>
      <w:r>
        <w:rPr>
          <w:color w:val="003CA0"/>
          <w:sz w:val="12"/>
        </w:rPr>
        <w:t xml:space="preserve"> | AI 727.410</w:t>
      </w:r>
      <w:r>
        <w:rPr>
          <w:color w:val="003CA0"/>
          <w:sz w:val="12"/>
        </w:rPr>
        <w:t xml:space="preserve"> | rel. Gilmar Mendes</w:t>
      </w:r>
    </w:p>
    <w:p>
      <w:pPr>
        <w:ind w:left="288"/>
      </w:pPr>
      <w:r>
        <w:rPr>
          <w:color w:val="1E1E1E"/>
          <w:sz w:val="18"/>
        </w:rPr>
        <w:t>Contagem do tempo de serviço como advogado e estagiário para fins de aposentadoria e disponibilidade no cargo de procurador municipal (...). Regra de transição do art. 4º da EC 20/1998. Possibilidade. Admissão de que o tempo de serviço considerado pela legislação vigente para efeito de aposentadoria, cumprido até que a lei discipline a matéria, seja contado como tempo de contribuição.</w:t>
      </w:r>
    </w:p>
    <w:p>
      <w:pPr>
        <w:ind w:left="288"/>
      </w:pPr>
      <w:r>
        <w:rPr>
          <w:b/>
          <w:color w:val="003CA0"/>
          <w:sz w:val="16"/>
        </w:rPr>
        <w:t>[AI 727.410 AgR, rel. min. Gilmar Mendes, j. 20-3-2012, 2ª T, DJE de 2-4-2012.]</w:t>
      </w:r>
    </w:p>
    <w:p>
      <w:pPr>
        <w:ind w:left="288"/>
      </w:pPr>
      <w:r>
        <w:rPr>
          <w:color w:val="8C8C8C"/>
          <w:sz w:val="12"/>
        </w:rPr>
        <w:t>cf-art-40-par-9</w:t>
      </w:r>
    </w:p>
    <w:p>
      <w:pPr>
        <w:ind w:left="288"/>
      </w:pPr>
      <w:r>
        <w:rPr>
          <w:color w:val="1E1E1E"/>
          <w:sz w:val="18"/>
        </w:rPr>
        <w:t>§ 11. Aplica-se o limite fixado no art. 37, XI, à soma total dos proventos de inatividade, inclusive quando decorrentes da acumulação de cargos ou empregos públicos, bem como de outras atividades sujeitas a contribuição para o regime geral de previdência social, e ao montante resultante da adição de proventos de inatividade com remuneração de cargo acumulável na forma desta Constituição, cargo em comissão declarado em lei de livre nomeação e exoneração, e de cargo eletivo. (Incluído pela EC n. 20/1998)</w:t>
      </w:r>
    </w:p>
    <w:p>
      <w:pPr>
        <w:ind w:left="288"/>
      </w:pPr>
      <w:r>
        <w:rPr>
          <w:color w:val="8C8C8C"/>
          <w:sz w:val="12"/>
        </w:rPr>
        <w:t>cf-art-40-par-9</w:t>
      </w:r>
      <w:r>
        <w:rPr>
          <w:color w:val="003CA0"/>
          <w:sz w:val="12"/>
        </w:rPr>
        <w:t xml:space="preserve"> | MS 24.742</w:t>
      </w:r>
      <w:r>
        <w:rPr>
          <w:color w:val="003CA0"/>
          <w:sz w:val="12"/>
        </w:rPr>
        <w:t xml:space="preserve"> | rel. Marco Aurélio</w:t>
      </w:r>
    </w:p>
    <w:p>
      <w:pPr>
        <w:ind w:left="288"/>
      </w:pPr>
      <w:r>
        <w:rPr>
          <w:color w:val="1E1E1E"/>
          <w:sz w:val="18"/>
        </w:rPr>
        <w:t>A Carta de 1988, na redação primitiva, nada dispôs a respeito, em si, da acumulação de proventos. Com a EC 20, deu-se disciplina interpretativa para viabilizar a acumulação de proventos e vencimentos considerados aqueles que, à época, haviam reingressado no serviço público por concurso público de provas ou de provas e títulos e pelas demais formas previstas na CF, vedando-se, isso em 1998, a percepção de mais de uma aposentadoria pelo regime de previdência a que se refere o art. 40 da CF, aplicando-se o limite fixado no § 11 do art. 40 (...).</w:t>
      </w:r>
    </w:p>
    <w:p>
      <w:pPr>
        <w:ind w:left="288"/>
      </w:pPr>
      <w:r>
        <w:rPr>
          <w:b/>
          <w:color w:val="003CA0"/>
          <w:sz w:val="16"/>
        </w:rPr>
        <w:t>[MS 24.742, voto do rel. min. Marco Aurélio, j. 8-9-2004, P, DJ de 11-3-2005.]</w:t>
      </w:r>
    </w:p>
    <w:p>
      <w:pPr>
        <w:ind w:left="288"/>
      </w:pPr>
      <w:r>
        <w:rPr>
          <w:color w:val="8C8C8C"/>
          <w:sz w:val="12"/>
        </w:rPr>
        <w:t>cf-art-40-par-9</w:t>
      </w:r>
      <w:r>
        <w:rPr>
          <w:color w:val="003CA0"/>
          <w:sz w:val="12"/>
        </w:rPr>
        <w:t xml:space="preserve"> | MS 24.448</w:t>
      </w:r>
      <w:r>
        <w:rPr>
          <w:color w:val="003CA0"/>
          <w:sz w:val="12"/>
        </w:rPr>
        <w:t xml:space="preserve"> | rel. Ayres Britto</w:t>
      </w:r>
    </w:p>
    <w:p>
      <w:pPr>
        <w:ind w:left="288"/>
      </w:pPr>
      <w:r>
        <w:rPr>
          <w:color w:val="1E1E1E"/>
          <w:sz w:val="18"/>
        </w:rPr>
        <w:t>= MS 24.448, rel. min. Ayres Britto, j. 27-9-2007, P, DJE de 14-11-2007 § 12. Além do disposto neste artigo, serão observados, em regime próprio de previdência social, no que couber, os requisitos e critérios fixados para o Regime Geral de Previdência Social. (Redação da EC n. 103/2019)</w:t>
      </w:r>
    </w:p>
    <w:p>
      <w:pPr>
        <w:ind w:left="144"/>
      </w:pPr>
      <w:r>
        <w:rPr>
          <w:b/>
          <w:color w:val="B45A00"/>
          <w:sz w:val="16"/>
        </w:rPr>
        <w:t>CONTROLE CONCENTRADO</w:t>
      </w:r>
    </w:p>
    <w:p>
      <w:pPr>
        <w:ind w:left="288"/>
      </w:pPr>
      <w:r>
        <w:rPr>
          <w:color w:val="8C8C8C"/>
          <w:sz w:val="12"/>
        </w:rPr>
        <w:t>cf-art-40-par-9</w:t>
      </w:r>
      <w:r>
        <w:rPr>
          <w:color w:val="003CA0"/>
          <w:sz w:val="12"/>
        </w:rPr>
        <w:t xml:space="preserve"> | ADI 3.105</w:t>
      </w:r>
    </w:p>
    <w:p>
      <w:pPr>
        <w:ind w:left="288"/>
      </w:pPr>
      <w:r>
        <w:rPr>
          <w:color w:val="1E1E1E"/>
          <w:sz w:val="18"/>
        </w:rPr>
        <w:t>Não é inconstitucional o art. 4º, caput, da EC 41, de 19-12-2003, que instituiu contribuição previdenciária sobre os proventos de aposentadoria e as pensões dos servidores públicos da União, dos Estados, do Distrito Federal e dos Municípios, incluídas suas autarquias e fundações.</w:t>
      </w:r>
    </w:p>
    <w:p>
      <w:pPr>
        <w:ind w:left="288"/>
      </w:pPr>
      <w:r>
        <w:rPr>
          <w:b/>
          <w:color w:val="003CA0"/>
          <w:sz w:val="16"/>
        </w:rPr>
        <w:t>[ADI 3.105 e ADI 3.128, red. do ac. min. Cezar Peluso, j. 18-8-2004, P, DJ de 18-2-2005.]</w:t>
      </w:r>
    </w:p>
    <w:p>
      <w:pPr>
        <w:ind w:left="144"/>
      </w:pPr>
      <w:r>
        <w:rPr>
          <w:b/>
          <w:color w:val="B45A00"/>
          <w:sz w:val="16"/>
        </w:rPr>
        <w:t>REPERCUSSAO GERAL</w:t>
      </w:r>
    </w:p>
    <w:p>
      <w:pPr>
        <w:ind w:left="288"/>
      </w:pPr>
      <w:r>
        <w:rPr>
          <w:color w:val="8C8C8C"/>
          <w:sz w:val="12"/>
        </w:rPr>
        <w:t>cf-art-40-par-9</w:t>
      </w:r>
      <w:r>
        <w:rPr>
          <w:color w:val="003CA0"/>
          <w:sz w:val="12"/>
        </w:rPr>
        <w:t xml:space="preserve"> | RE 593.068</w:t>
      </w:r>
      <w:r>
        <w:rPr>
          <w:color w:val="003CA0"/>
          <w:sz w:val="12"/>
        </w:rPr>
        <w:t xml:space="preserve"> | rel. Roberto Barroso</w:t>
      </w:r>
    </w:p>
    <w:p>
      <w:pPr>
        <w:ind w:left="288"/>
      </w:pPr>
      <w:r>
        <w:rPr>
          <w:color w:val="1E1E1E"/>
          <w:sz w:val="18"/>
        </w:rPr>
        <w:t>O regime previdenciário próprio, aplicável aos servidores públicos, rege-se pelas normas expressas do art. 40 da Constituição, e por dois vetores sistêmicos: (a) o caráter contributivo; e (b) o princípio da solidariedade. A leitura dos §§ 3º e 12 do art. 40, c/c o § 11 do art. 201 da CF, deixa claro que somente devem figurar como base de cálculo da contribuição previdenciária as remunerações/ganhos habituais que tenham ‘repercussão em benefícios’. Como consequência, ficam excluídas as verbas que não se incorporam à aposentadoria. Ademais, a dimensão contributiva do sistema é incompatível com a</w:t>
      </w:r>
    </w:p>
    <w:p>
      <w:pPr>
        <w:ind w:left="288"/>
      </w:pPr>
      <w:r>
        <w:rPr>
          <w:b/>
          <w:color w:val="003CA0"/>
          <w:sz w:val="16"/>
        </w:rPr>
        <w:t>[RE 593.068, rel. min. Roberto Barroso, j. 11-10-2018, P, DJE de 22-3-2019, Tema 163, com mérito julgado.]</w:t>
      </w:r>
    </w:p>
    <w:p>
      <w:pPr>
        <w:ind w:left="144"/>
      </w:pPr>
      <w:r>
        <w:rPr>
          <w:b/>
          <w:color w:val="B45A00"/>
          <w:sz w:val="16"/>
        </w:rPr>
        <w:t>JULGADOS CORRELATOS</w:t>
      </w:r>
    </w:p>
    <w:p>
      <w:pPr>
        <w:ind w:left="288"/>
      </w:pPr>
      <w:r>
        <w:rPr>
          <w:color w:val="8C8C8C"/>
          <w:sz w:val="12"/>
        </w:rPr>
        <w:t>cf-art-40-par-9</w:t>
      </w:r>
      <w:r>
        <w:rPr>
          <w:color w:val="003CA0"/>
          <w:sz w:val="12"/>
        </w:rPr>
        <w:t xml:space="preserve"> | RE 463.348</w:t>
      </w:r>
      <w:r>
        <w:rPr>
          <w:color w:val="003CA0"/>
          <w:sz w:val="12"/>
        </w:rPr>
        <w:t xml:space="preserve"> | rel. Sepúlveda Pertence</w:t>
      </w:r>
    </w:p>
    <w:p>
      <w:pPr>
        <w:ind w:left="288"/>
      </w:pPr>
      <w:r>
        <w:rPr>
          <w:color w:val="1E1E1E"/>
          <w:sz w:val="18"/>
        </w:rPr>
        <w:t>Servidor público. Contribuição previdenciária: não incidência sobre a vantagem não incorporável ao vencimento para o cálculo dos proventos de aposentadoria, relativa ao exercício de função ou cargo comissionados (CF, art. 40, § 12, c/c art. 201, § 11, e art. 195, § 5º; Lei 9.527, de 10-12-1997).</w:t>
      </w:r>
    </w:p>
    <w:p>
      <w:pPr>
        <w:ind w:left="288"/>
      </w:pPr>
      <w:r>
        <w:rPr>
          <w:b/>
          <w:color w:val="003CA0"/>
          <w:sz w:val="16"/>
        </w:rPr>
        <w:t>[RE 463.348, rel. min. Sepúlveda Pertence, j. 14-2-2006, 1ª T, DJ de 7-4-2006.]</w:t>
      </w:r>
    </w:p>
    <w:p>
      <w:pPr>
        <w:ind w:left="288"/>
      </w:pPr>
      <w:r>
        <w:rPr>
          <w:color w:val="8C8C8C"/>
          <w:sz w:val="12"/>
        </w:rPr>
        <w:t>cf-art-40-par-9</w:t>
      </w:r>
      <w:r>
        <w:rPr>
          <w:color w:val="003CA0"/>
          <w:sz w:val="12"/>
        </w:rPr>
        <w:t xml:space="preserve"> | RE 467.624</w:t>
      </w:r>
      <w:r>
        <w:rPr>
          <w:color w:val="003CA0"/>
          <w:sz w:val="12"/>
        </w:rPr>
        <w:t xml:space="preserve"> | rel. Cármen Lúcia</w:t>
      </w:r>
    </w:p>
    <w:p>
      <w:pPr>
        <w:ind w:left="288"/>
      </w:pPr>
      <w:r>
        <w:rPr>
          <w:color w:val="1E1E1E"/>
          <w:sz w:val="18"/>
        </w:rPr>
        <w:t xml:space="preserve">= RE 467.624 AgR, rel. min. Cármen Lúcia, j. 26-5-2009, 1ª T, DJE de 1º-7-2009 Contribuição instituída pela Lei estadual 7.672/1982. Proventos da inatividade e pensões. Assistência médica diferenciada. Legitimidade da cobrança somente até o advento da EC 20/1998. (...) O STF, no julgamento do RE 367.094 AgR, rel. min. Sepúlveda Pertence, assentou a ilegitimidade da cobrança da contribuição previdenciária de 2%, após o advento da EC 20/1998. A natureza de assistência médica diferenciada não viabiliza a cobrança da mencionada contribuição após a edição da EC 20/1998 (Precedente: RE 357.846 AgR, </w:t>
      </w:r>
    </w:p>
    <w:p>
      <w:pPr>
        <w:ind w:left="288"/>
      </w:pPr>
      <w:r>
        <w:rPr>
          <w:b/>
          <w:color w:val="003CA0"/>
          <w:sz w:val="16"/>
        </w:rPr>
        <w:t>[RE 377.225 AgR, red. do ac. min. Ayres Britto, rel. min. Marco Aurélio, j. 11-5-2004, 1ª T, DJ de 23-11-2007.]</w:t>
      </w:r>
    </w:p>
    <w:p>
      <w:pPr>
        <w:ind w:left="288"/>
      </w:pPr>
      <w:r>
        <w:rPr>
          <w:color w:val="8C8C8C"/>
          <w:sz w:val="12"/>
        </w:rPr>
        <w:t>cf-art-40-par-9</w:t>
      </w:r>
      <w:r>
        <w:rPr>
          <w:color w:val="003CA0"/>
          <w:sz w:val="12"/>
        </w:rPr>
        <w:t xml:space="preserve"> | RE 630.935</w:t>
      </w:r>
      <w:r>
        <w:rPr>
          <w:color w:val="003CA0"/>
          <w:sz w:val="12"/>
        </w:rPr>
        <w:t xml:space="preserve"> | rel. Cármen Lúcia</w:t>
      </w:r>
    </w:p>
    <w:p>
      <w:pPr>
        <w:ind w:left="288"/>
      </w:pPr>
      <w:r>
        <w:rPr>
          <w:color w:val="1E1E1E"/>
          <w:sz w:val="18"/>
        </w:rPr>
        <w:t>= RE 630.935 AgR, rel. min. Cármen Lúcia, j. 15-2-2011, 1ª T, DJE de 4-3-2011 = ADI 2.158, rel. min. Dias Toffoli, j. 15-9-2010, P, DJE de 16-12-2010 O custeio da assistência médica diferenciada presente no Estado do Rio Grande do Sul, por se tratar de ação voltada a assegurar direitos relativos à saúde, é espécie vinculada ao financiamento da seguridade social e, portanto, conforme decidido por esta Corte na ADI 2.010, medida liminar, rel. min. Celso de Mello, não pode ser aplicada aos aposentados e pensionistas. Ocorrerá restituição das contribuições a partir do advento da EC 20/1998, não se</w:t>
      </w:r>
    </w:p>
    <w:p>
      <w:pPr>
        <w:ind w:left="288"/>
      </w:pPr>
      <w:r>
        <w:rPr>
          <w:b/>
          <w:color w:val="003CA0"/>
          <w:sz w:val="16"/>
        </w:rPr>
        <w:t>[RE 357.628 AgR, rel. min. Joaquim Barbosa, j. 16-9-2003, 1ª T, DJ de 3-10-2003.]</w:t>
      </w:r>
    </w:p>
    <w:p>
      <w:pPr>
        <w:ind w:left="288"/>
      </w:pPr>
      <w:r>
        <w:rPr>
          <w:color w:val="8C8C8C"/>
          <w:sz w:val="12"/>
        </w:rPr>
        <w:t>cf-art-40-par-9</w:t>
      </w:r>
      <w:r>
        <w:rPr>
          <w:color w:val="003CA0"/>
          <w:sz w:val="12"/>
        </w:rPr>
        <w:t xml:space="preserve"> | RE 630.935</w:t>
      </w:r>
      <w:r>
        <w:rPr>
          <w:color w:val="003CA0"/>
          <w:sz w:val="12"/>
        </w:rPr>
        <w:t xml:space="preserve"> | rel. Cármen Lúcia</w:t>
      </w:r>
    </w:p>
    <w:p>
      <w:pPr>
        <w:ind w:left="288"/>
      </w:pPr>
      <w:r>
        <w:rPr>
          <w:color w:val="1E1E1E"/>
          <w:sz w:val="18"/>
        </w:rPr>
        <w:t>= RE 630.935 AgR, rel. min. Cármen Lúcia, j. 15-2-2011, 1ª T, DJE de 4-3-2011 § 13. Aplica-se ao agente público ocupante, exclusivamente, de cargo em comissão declarado em lei de livre nomeação e exoneração, de outro cargo temporário, inclusive mandato eletivo, ou de emprego público, o Regime Geral de Previdência Social. (Redação da EC n. 103/2019)</w:t>
      </w:r>
    </w:p>
    <w:p>
      <w:pPr>
        <w:ind w:left="144"/>
      </w:pPr>
      <w:r>
        <w:rPr>
          <w:b/>
          <w:color w:val="B45A00"/>
          <w:sz w:val="16"/>
        </w:rPr>
        <w:t>CONTROLE CONCENTRADO</w:t>
      </w:r>
    </w:p>
    <w:p>
      <w:pPr>
        <w:ind w:left="288"/>
      </w:pPr>
      <w:r>
        <w:rPr>
          <w:color w:val="8C8C8C"/>
          <w:sz w:val="12"/>
        </w:rPr>
        <w:t>cf-art-40-par-9</w:t>
      </w:r>
      <w:r>
        <w:rPr>
          <w:color w:val="003CA0"/>
          <w:sz w:val="12"/>
        </w:rPr>
        <w:t xml:space="preserve"> | ADI 2.177</w:t>
      </w:r>
      <w:r>
        <w:rPr>
          <w:color w:val="003CA0"/>
          <w:sz w:val="12"/>
        </w:rPr>
        <w:t xml:space="preserve"> | rel. Gilmar Mendes</w:t>
      </w:r>
    </w:p>
    <w:p>
      <w:pPr>
        <w:ind w:left="288"/>
      </w:pPr>
      <w:r>
        <w:rPr>
          <w:color w:val="1E1E1E"/>
          <w:sz w:val="18"/>
        </w:rPr>
        <w:t>A Emenda Constitucional 20/98 limitou a filiação aos regimes próprios de previdência apenas a servidores titulares de cargo efetivo, bem como vedou a criação de regimes previdenciários alternativos, em benefício de categorias determinadas. Os agentes políticos, no exercício de mandato, desempenham cargos públicos temporários, de modo que se submetem à filiação obrigatória ao Regime Geral de Previdência Social, a teor do disposto no art. 40, §13, da Constituição Federal, incluído pela EC 20/18.</w:t>
      </w:r>
    </w:p>
    <w:p>
      <w:pPr>
        <w:ind w:left="288"/>
      </w:pPr>
      <w:r>
        <w:rPr>
          <w:b/>
          <w:color w:val="003CA0"/>
          <w:sz w:val="16"/>
        </w:rPr>
        <w:t>[ADI 2.177, rel. min. Gilmar Mendes, j. 4-10-2019, P, DJE de 17-10-2019.]</w:t>
      </w:r>
    </w:p>
    <w:p>
      <w:pPr>
        <w:ind w:left="288"/>
      </w:pPr>
      <w:r>
        <w:rPr>
          <w:color w:val="8C8C8C"/>
          <w:sz w:val="12"/>
        </w:rPr>
        <w:t>cf-art-40-par-9</w:t>
      </w:r>
      <w:r>
        <w:rPr>
          <w:color w:val="003CA0"/>
          <w:sz w:val="12"/>
        </w:rPr>
        <w:t xml:space="preserve"> | ADI 3.106</w:t>
      </w:r>
      <w:r>
        <w:rPr>
          <w:color w:val="003CA0"/>
          <w:sz w:val="12"/>
        </w:rPr>
        <w:t xml:space="preserve"> | rel. Luiz Fux</w:t>
      </w:r>
    </w:p>
    <w:p>
      <w:pPr>
        <w:ind w:left="288"/>
      </w:pPr>
      <w:r>
        <w:rPr>
          <w:color w:val="1E1E1E"/>
          <w:sz w:val="18"/>
        </w:rPr>
        <w:t>Regime próprio de previdência privada e assistência social dos servidores do Estado de Minas Gerais. Aposentadoria e benefícios assegurados a servidores não titulares de cargo efetivo. Alegada violação aos arts. 40, § 13, e 149, § 1º, da CF. Ação direta julgada parcialmente procedente (...). (...) Embargos de declaração acolhidos parcialmente para (...) conferir efeitos prospectivos (eficácia ex nunc) à declaração de inconstitucionalidade proferida pelo STF no julgamento de mérito da presente ação direta, fixando como marco temporal de início da sua vigência a data de conclusão daquele julgame</w:t>
      </w:r>
    </w:p>
    <w:p>
      <w:pPr>
        <w:ind w:left="288"/>
      </w:pPr>
      <w:r>
        <w:rPr>
          <w:b/>
          <w:color w:val="003CA0"/>
          <w:sz w:val="16"/>
        </w:rPr>
        <w:t>[ADI 3.106 ED, rel. min. Luiz Fux, j. 20-5-2015, P, DJE de 13-8-2015.]</w:t>
      </w:r>
    </w:p>
    <w:p>
      <w:pPr>
        <w:ind w:left="288"/>
      </w:pPr>
      <w:r>
        <w:rPr>
          <w:color w:val="8C8C8C"/>
          <w:sz w:val="12"/>
        </w:rPr>
        <w:t>cf-art-40-par-9</w:t>
      </w:r>
      <w:r>
        <w:rPr>
          <w:color w:val="003CA0"/>
          <w:sz w:val="12"/>
        </w:rPr>
        <w:t xml:space="preserve"> | ADI 3.106</w:t>
      </w:r>
      <w:r>
        <w:rPr>
          <w:color w:val="003CA0"/>
          <w:sz w:val="12"/>
        </w:rPr>
        <w:t xml:space="preserve"> | rel. Eros Grau</w:t>
      </w:r>
    </w:p>
    <w:p>
      <w:pPr>
        <w:ind w:left="288"/>
      </w:pPr>
      <w:r>
        <w:rPr>
          <w:color w:val="1E1E1E"/>
          <w:sz w:val="18"/>
        </w:rPr>
        <w:t>Vide ADI 3.106, rel. min. Eros Grau, j. 14-4-2010, P, DJE de 24-9-2010</w:t>
      </w:r>
    </w:p>
    <w:p>
      <w:pPr>
        <w:ind w:left="144"/>
      </w:pPr>
      <w:r>
        <w:rPr>
          <w:b/>
          <w:color w:val="B45A00"/>
          <w:sz w:val="16"/>
        </w:rPr>
        <w:t>REPERCUSSAO GERAL</w:t>
      </w:r>
    </w:p>
    <w:p>
      <w:pPr>
        <w:ind w:left="288"/>
      </w:pPr>
      <w:r>
        <w:rPr>
          <w:color w:val="8C8C8C"/>
          <w:sz w:val="12"/>
        </w:rPr>
        <w:t>cf-art-40-par-9</w:t>
      </w:r>
      <w:r>
        <w:rPr>
          <w:color w:val="003CA0"/>
          <w:sz w:val="12"/>
        </w:rPr>
        <w:t xml:space="preserve"> | ARE 1.371.155</w:t>
      </w:r>
      <w:r>
        <w:rPr>
          <w:color w:val="003CA0"/>
          <w:sz w:val="12"/>
        </w:rPr>
        <w:t xml:space="preserve"> | rel. Luiz Fux</w:t>
      </w:r>
    </w:p>
    <w:p>
      <w:pPr>
        <w:ind w:left="288"/>
      </w:pPr>
      <w:r>
        <w:rPr>
          <w:color w:val="1E1E1E"/>
          <w:sz w:val="18"/>
        </w:rPr>
        <w:t>É infraconstitucional, a ela se aplicando os efeitos da ausência de repercussão geral, a controvérsia relativa à prorrogação de licença-maternidade a servidoras estaduais contratadas em caráter temporário.</w:t>
      </w:r>
    </w:p>
    <w:p>
      <w:pPr>
        <w:ind w:left="288"/>
      </w:pPr>
      <w:r>
        <w:rPr>
          <w:b/>
          <w:color w:val="003CA0"/>
          <w:sz w:val="16"/>
        </w:rPr>
        <w:t>[ARE 1.371.155 RG, rel. min. Luiz Fux, j. 28-4-2022, P, DJE de 9-5-2022, Tema 1.212, com repercussão geral negada.]</w:t>
      </w:r>
    </w:p>
    <w:p>
      <w:pPr>
        <w:ind w:left="288"/>
      </w:pPr>
      <w:r>
        <w:rPr>
          <w:color w:val="8C8C8C"/>
          <w:sz w:val="12"/>
        </w:rPr>
        <w:t>cf-art-40-par-9</w:t>
      </w:r>
      <w:r>
        <w:rPr>
          <w:color w:val="003CA0"/>
          <w:sz w:val="12"/>
        </w:rPr>
        <w:t xml:space="preserve"> | RE 626.837</w:t>
      </w:r>
      <w:r>
        <w:rPr>
          <w:color w:val="003CA0"/>
          <w:sz w:val="12"/>
        </w:rPr>
        <w:t xml:space="preserve"> | rel. Dias Toffoli</w:t>
      </w:r>
    </w:p>
    <w:p>
      <w:pPr>
        <w:ind w:left="288"/>
      </w:pPr>
      <w:r>
        <w:rPr>
          <w:color w:val="1E1E1E"/>
          <w:sz w:val="18"/>
        </w:rPr>
        <w:t>A partir da nova redação dada ao art. 195, I, a, e II, da Constituição pela Emenda Constitucional 20/1998, há previsão de incidência da contribuição previdenciária sobre a folha de salários e demais rendimentos do trabalho pagos ou creditados, a qualquer título, a pessoa física que preste serviço à União, aos Estados ou aos Municípios, mesmo sem vínculo empregatício. Não se verifica, ademais, a restrição de se considerar como segurado obrigatório da Previdência Social somente o "trabalhador", já que o texto constitucional se refere também a "demais segurados da Previdência Social". A EC 20/199</w:t>
      </w:r>
    </w:p>
    <w:p>
      <w:pPr>
        <w:ind w:left="288"/>
      </w:pPr>
      <w:r>
        <w:rPr>
          <w:b/>
          <w:color w:val="003CA0"/>
          <w:sz w:val="16"/>
        </w:rPr>
        <w:t>[RE 626.837, rel. min. Dias Toffoli, j. 25-5-2017, P, DJE de 1º-2-2018, Tema 691, com mérito julgado.]</w:t>
      </w:r>
    </w:p>
    <w:p>
      <w:pPr>
        <w:ind w:left="144"/>
      </w:pPr>
      <w:r>
        <w:rPr>
          <w:b/>
          <w:color w:val="B45A00"/>
          <w:sz w:val="16"/>
        </w:rPr>
        <w:t>JULGADOS CORRELATOS</w:t>
      </w:r>
    </w:p>
    <w:p>
      <w:pPr>
        <w:ind w:left="288"/>
      </w:pPr>
      <w:r>
        <w:rPr>
          <w:color w:val="8C8C8C"/>
          <w:sz w:val="12"/>
        </w:rPr>
        <w:t>cf-art-40-par-9</w:t>
      </w:r>
      <w:r>
        <w:rPr>
          <w:color w:val="003CA0"/>
          <w:sz w:val="12"/>
        </w:rPr>
        <w:t xml:space="preserve"> | AI 578.458</w:t>
      </w:r>
      <w:r>
        <w:rPr>
          <w:color w:val="003CA0"/>
          <w:sz w:val="12"/>
        </w:rPr>
        <w:t xml:space="preserve"> | rel. Gilmar Mendes</w:t>
      </w:r>
    </w:p>
    <w:p>
      <w:pPr>
        <w:ind w:left="288"/>
      </w:pPr>
      <w:r>
        <w:rPr>
          <w:color w:val="1E1E1E"/>
          <w:sz w:val="18"/>
        </w:rPr>
        <w:t>Não tem direito à aposentadoria estatutária o servidor detentor de cargo em comissão aposentado após a EC 20, de 16-12-1998.</w:t>
      </w:r>
    </w:p>
    <w:p>
      <w:pPr>
        <w:ind w:left="288"/>
      </w:pPr>
      <w:r>
        <w:rPr>
          <w:b/>
          <w:color w:val="003CA0"/>
          <w:sz w:val="16"/>
        </w:rPr>
        <w:t>[AI 578.458 AgR, rel. min. Gilmar Mendes, j. 14-8-2007, 2ª T, DJ de 14-9-2007.]</w:t>
      </w:r>
    </w:p>
    <w:p>
      <w:pPr>
        <w:ind w:left="288"/>
      </w:pPr>
      <w:r>
        <w:rPr>
          <w:color w:val="8C8C8C"/>
          <w:sz w:val="12"/>
        </w:rPr>
        <w:t>cf-art-40-par-9</w:t>
      </w:r>
      <w:r>
        <w:rPr>
          <w:color w:val="003CA0"/>
          <w:sz w:val="12"/>
        </w:rPr>
        <w:t xml:space="preserve"> | MS 24.024</w:t>
      </w:r>
      <w:r>
        <w:rPr>
          <w:color w:val="003CA0"/>
          <w:sz w:val="12"/>
        </w:rPr>
        <w:t xml:space="preserve"> | rel. Ilmar Galvão</w:t>
      </w:r>
    </w:p>
    <w:p>
      <w:pPr>
        <w:ind w:left="288"/>
      </w:pPr>
      <w:r>
        <w:rPr>
          <w:color w:val="1E1E1E"/>
          <w:sz w:val="18"/>
        </w:rPr>
        <w:t>A nomeação para cargo comissionado após a Lei 8.647, de 1993, não gera direito ao cálculo dos proventos de aposentadoria pelo regime estatutário, mas pelo regime geral da previdência social, nos moldes do cargo ocupado pelo impetrante à época da edição da lei. A lei submeteu os detentores de cargos em comissão ao regime geral da previdência social.</w:t>
      </w:r>
    </w:p>
    <w:p>
      <w:pPr>
        <w:ind w:left="288"/>
      </w:pPr>
      <w:r>
        <w:rPr>
          <w:b/>
          <w:color w:val="003CA0"/>
          <w:sz w:val="16"/>
        </w:rPr>
        <w:t>[MS 24.024, red. do ac. min. Gilmar Mendes, rel. min. Ilmar Galvão, j. 19-3-2003, P, DJ de 24-10-2003.]</w:t>
      </w:r>
    </w:p>
    <w:p>
      <w:pPr>
        <w:ind w:left="288"/>
      </w:pPr>
      <w:r>
        <w:rPr>
          <w:color w:val="8C8C8C"/>
          <w:sz w:val="12"/>
        </w:rPr>
        <w:t>cf-art-40-par-9</w:t>
      </w:r>
      <w:r>
        <w:rPr>
          <w:color w:val="003CA0"/>
          <w:sz w:val="12"/>
        </w:rPr>
        <w:t xml:space="preserve"> | ADI 4.863</w:t>
      </w:r>
      <w:r>
        <w:rPr>
          <w:color w:val="003CA0"/>
          <w:sz w:val="12"/>
        </w:rPr>
        <w:t xml:space="preserve"> | rel. André Mendonça</w:t>
      </w:r>
    </w:p>
    <w:p>
      <w:pPr>
        <w:ind w:left="288"/>
      </w:pPr>
      <w:r>
        <w:rPr>
          <w:color w:val="1E1E1E"/>
          <w:sz w:val="18"/>
        </w:rPr>
        <w:t>§ 14. A União, os Estados, o Distrito Federal e os Municípios instituirão, por lei de iniciativa do respectivo Poder Executivo, regime de previdência complementar para servidores públicos ocupantes de cargo efetivo, observado o limite máximo dos benefícios do Regime Geral de Previdência Social para o valor das aposentadorias e das pensões em regime próprio de previdência social, ressalvado o disposto no § 16. (Redação da EC n. 103/2019) Regime de previdência complementar dos servidores públicos titulares de cargo efetivo. Art. 40, §§14 e 15, da constituição (EC nº 41, de 2003) e Lei nº 12.618,</w:t>
      </w:r>
    </w:p>
    <w:p>
      <w:pPr>
        <w:ind w:left="288"/>
      </w:pPr>
      <w:r>
        <w:rPr>
          <w:b/>
          <w:color w:val="003CA0"/>
          <w:sz w:val="16"/>
        </w:rPr>
        <w:t>[ADI 4.863, rel. min. André Mendonça, j. 11.11.2025, P, DJE de 04.12.2025.]</w:t>
      </w:r>
    </w:p>
    <w:p>
      <w:pPr>
        <w:ind w:left="288"/>
      </w:pPr>
      <w:r>
        <w:rPr>
          <w:color w:val="8C8C8C"/>
          <w:sz w:val="12"/>
        </w:rPr>
        <w:t>cf-art-40-par-9</w:t>
      </w:r>
    </w:p>
    <w:p>
      <w:pPr>
        <w:ind w:left="288"/>
      </w:pPr>
      <w:r>
        <w:rPr>
          <w:color w:val="1E1E1E"/>
          <w:sz w:val="18"/>
        </w:rPr>
        <w:t>§ 15. O regime de previdência complementar de que trata o § 14 oferecerá plano de benefícios somente na modalidade contribuição definida, observará o disposto no art. 202 e será efetivado por intermédio de entidade fechada de previdência complementar ou de entidade aberta de previdência complementar. (Redação da EC n. 103/2019)</w:t>
      </w:r>
    </w:p>
    <w:p>
      <w:pPr>
        <w:ind w:left="144"/>
      </w:pPr>
      <w:r>
        <w:rPr>
          <w:b/>
          <w:color w:val="B45A00"/>
          <w:sz w:val="16"/>
        </w:rPr>
        <w:t>CONTROLE CONCENTRADO</w:t>
      </w:r>
    </w:p>
    <w:p>
      <w:pPr>
        <w:ind w:left="288"/>
      </w:pPr>
      <w:r>
        <w:rPr>
          <w:color w:val="8C8C8C"/>
          <w:sz w:val="12"/>
        </w:rPr>
        <w:t>cf-art-40-par-9</w:t>
      </w:r>
      <w:r>
        <w:rPr>
          <w:color w:val="003CA0"/>
          <w:sz w:val="12"/>
        </w:rPr>
        <w:t xml:space="preserve"> | ADI 3.297</w:t>
      </w:r>
      <w:r>
        <w:rPr>
          <w:color w:val="003CA0"/>
          <w:sz w:val="12"/>
        </w:rPr>
        <w:t xml:space="preserve"> | rel. Alexandre de Moraes</w:t>
      </w:r>
    </w:p>
    <w:p>
      <w:pPr>
        <w:ind w:left="288"/>
      </w:pPr>
      <w:r>
        <w:rPr>
          <w:color w:val="1E1E1E"/>
          <w:sz w:val="18"/>
        </w:rPr>
        <w:t>O Regime de Previdência Complementar (RPC) é facultativo, tanto na instituição, pelo ente federativo, quanto na adesão, por parte do servidor. A norma constitucional impõe que os benefícios a serem pagos pelo RPC sejam estruturados exclusivamente na modalidade de contribuição definida (art. 40, § 15, da CF), permitindo ao participante indicar o valor de sua contribuição mensal e projetar o valor da renda a ser recebida no momento de sua aposentadoria. Por isso, a mudança nas regras de aposentadoria não compromete as prerrogativas funcionais e institucionais do Poder Judiciário e de seus membro</w:t>
      </w:r>
    </w:p>
    <w:p>
      <w:pPr>
        <w:ind w:left="288"/>
      </w:pPr>
      <w:r>
        <w:rPr>
          <w:b/>
          <w:color w:val="003CA0"/>
          <w:sz w:val="16"/>
        </w:rPr>
        <w:t>[ADI 3.297, rel. min. Alexandre de Moraes, j. 11-10-2019, P, DJE de 25-10-2019.]</w:t>
      </w:r>
    </w:p>
    <w:p>
      <w:pPr>
        <w:ind w:left="288"/>
      </w:pPr>
      <w:r>
        <w:rPr>
          <w:color w:val="8C8C8C"/>
          <w:sz w:val="12"/>
        </w:rPr>
        <w:t>cf-art-40-par-9</w:t>
      </w:r>
    </w:p>
    <w:p>
      <w:pPr>
        <w:ind w:left="288"/>
      </w:pPr>
      <w:r>
        <w:rPr>
          <w:color w:val="1E1E1E"/>
          <w:sz w:val="18"/>
        </w:rPr>
        <w:t>§ 16. Somente mediante sua prévia e expressa opção, o disposto nos §§ 14 e 15 poderá ser aplicado ao servidor que tiver ingressado no serviço público até a data da publicação do ato de instituição do correspondente regime de previdência complementar. (Incluído pela EC n. 20/1998)</w:t>
      </w:r>
    </w:p>
    <w:p>
      <w:pPr>
        <w:ind w:left="288"/>
      </w:pPr>
      <w:r>
        <w:rPr>
          <w:color w:val="8C8C8C"/>
          <w:sz w:val="12"/>
        </w:rPr>
        <w:t>cf-art-40-par-9</w:t>
      </w:r>
      <w:r>
        <w:rPr>
          <w:color w:val="003CA0"/>
          <w:sz w:val="12"/>
        </w:rPr>
        <w:t xml:space="preserve"> | ADI 4.885</w:t>
      </w:r>
      <w:r>
        <w:rPr>
          <w:color w:val="003CA0"/>
          <w:sz w:val="12"/>
        </w:rPr>
        <w:t xml:space="preserve"> | rel. Marco Aurélio</w:t>
      </w:r>
    </w:p>
    <w:p>
      <w:pPr>
        <w:ind w:left="288"/>
      </w:pPr>
      <w:r>
        <w:rPr>
          <w:color w:val="1E1E1E"/>
          <w:sz w:val="18"/>
        </w:rPr>
        <w:t>Descabe ao Supremo, no exercício da função de legislador negativo, suspender a eficácia de dispositivos que definem novo termo final para a formalização, por servidor público – gênero –, de opção pelo ingresso no regime de previdência complementar ao qual se refere o § 16 do artigo 40 da Constituição Federal, sob pena de indevida manipulação de opção político-normativa do Parlamento.</w:t>
      </w:r>
    </w:p>
    <w:p>
      <w:pPr>
        <w:ind w:left="288"/>
      </w:pPr>
      <w:r>
        <w:rPr>
          <w:b/>
          <w:color w:val="003CA0"/>
          <w:sz w:val="16"/>
        </w:rPr>
        <w:t>[ADI 4.885-MC, rel. min. Marco Aurélio, j. 27-6-2018, P, DJE de 1º-8-2019.]</w:t>
      </w:r>
    </w:p>
    <w:p>
      <w:pPr>
        <w:ind w:left="288"/>
      </w:pPr>
      <w:r>
        <w:rPr>
          <w:color w:val="8C8C8C"/>
          <w:sz w:val="12"/>
        </w:rPr>
        <w:t>cf-art-40-par-9</w:t>
      </w:r>
    </w:p>
    <w:p>
      <w:pPr>
        <w:ind w:left="288"/>
      </w:pPr>
      <w:r>
        <w:rPr>
          <w:color w:val="1E1E1E"/>
          <w:sz w:val="18"/>
        </w:rPr>
        <w:t>§ 17. Todos os valores de remuneração considerados para o cálculo do benefício previsto no § 3° serão devidamente atualizados, na forma da lei. (Incluído pela EC n. 41/2003) § 18. Incidirá contribuição sobre os proventos de aposentadorias e pensões concedidas pelo regime de que trata este artigo que superem o limite máximo estabelecido para os benefícios do regime geral de previdência social de que trata o art. 201, com percentual igual ao estabelecido para os servidores titulares de cargos efetivos. (Incluído pela EC n. 41/2003)</w:t>
      </w:r>
    </w:p>
    <w:p>
      <w:pPr>
        <w:ind w:left="288"/>
      </w:pPr>
      <w:r>
        <w:rPr>
          <w:color w:val="8C8C8C"/>
          <w:sz w:val="12"/>
        </w:rPr>
        <w:t>cf-art-40-par-9</w:t>
      </w:r>
      <w:r>
        <w:rPr>
          <w:color w:val="003CA0"/>
          <w:sz w:val="12"/>
        </w:rPr>
        <w:t xml:space="preserve"> | ADI 3.133</w:t>
      </w:r>
      <w:r>
        <w:rPr>
          <w:color w:val="003CA0"/>
          <w:sz w:val="12"/>
        </w:rPr>
        <w:t xml:space="preserve"> | rel. Cármen Lúcia</w:t>
      </w:r>
    </w:p>
    <w:p>
      <w:pPr>
        <w:ind w:left="288"/>
      </w:pPr>
      <w:r>
        <w:rPr>
          <w:color w:val="1E1E1E"/>
          <w:sz w:val="18"/>
        </w:rPr>
        <w:t>A discriminação determinada pelo art. 40, § 18, da Constituição da República, segundo a qual incidirá contribuição previdenciária sobre os proventos de aposentadorias e pensões que excederem o limite máximo estabelecido para os benefícios do regime geral de previdência social configura situação justificadamente favorável àqueles que já recebiam benefícios quando do advento da Emenda Constitucional 41/2003, incluídos no rol dos contribuintes (...).</w:t>
      </w:r>
    </w:p>
    <w:p>
      <w:pPr>
        <w:ind w:left="288"/>
      </w:pPr>
      <w:r>
        <w:rPr>
          <w:b/>
          <w:color w:val="003CA0"/>
          <w:sz w:val="16"/>
        </w:rPr>
        <w:t>[ADI 3.133, ADI 3.143 e ADI 3.184, rel. min. Cármen Lúcia, j. 24-6-2020, P, DJE de 18-9-2020.]</w:t>
      </w:r>
    </w:p>
    <w:p>
      <w:pPr>
        <w:ind w:left="288"/>
      </w:pPr>
      <w:r>
        <w:rPr>
          <w:color w:val="8C8C8C"/>
          <w:sz w:val="12"/>
        </w:rPr>
        <w:t>cf-art-40-par-9</w:t>
      </w:r>
      <w:r>
        <w:rPr>
          <w:color w:val="003CA0"/>
          <w:sz w:val="12"/>
        </w:rPr>
        <w:t xml:space="preserve"> | ADI 3.105</w:t>
      </w:r>
      <w:r>
        <w:rPr>
          <w:color w:val="003CA0"/>
          <w:sz w:val="12"/>
        </w:rPr>
        <w:t xml:space="preserve"> | rel. Gilmar Mendes</w:t>
      </w:r>
    </w:p>
    <w:p>
      <w:pPr>
        <w:ind w:left="288"/>
      </w:pPr>
      <w:r>
        <w:rPr>
          <w:color w:val="1E1E1E"/>
          <w:sz w:val="18"/>
        </w:rPr>
        <w:t>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 Noutras palavras, não há, em nosso ordenamento, nenhuma norma jurídica válida que, como efeito específico do fato jurídico da aposentadoria, lhe imunize os proventos e as pensões, de modo absoluto, à tributação de</w:t>
      </w:r>
    </w:p>
    <w:p>
      <w:pPr>
        <w:ind w:left="288"/>
      </w:pPr>
      <w:r>
        <w:rPr>
          <w:b/>
          <w:color w:val="003CA0"/>
          <w:sz w:val="16"/>
        </w:rPr>
        <w:t>[ARE 1.427.037 RG, rel. min. Luís Roberto Barroso, j. 09.08.2024, P, DJE de 14.08.2024, Tema 1.312, com repercussão geral negada.]</w:t>
      </w:r>
    </w:p>
    <w:p>
      <w:pPr>
        <w:ind w:left="144"/>
      </w:pPr>
      <w:r>
        <w:rPr>
          <w:b/>
          <w:color w:val="B45A00"/>
          <w:sz w:val="16"/>
        </w:rPr>
        <w:t>REPERCUSSAO GERAL</w:t>
      </w:r>
    </w:p>
    <w:p>
      <w:pPr>
        <w:ind w:left="288"/>
      </w:pPr>
      <w:r>
        <w:rPr>
          <w:color w:val="8C8C8C"/>
          <w:sz w:val="12"/>
        </w:rPr>
        <w:t>cf-art-40-par-9</w:t>
      </w:r>
      <w:r>
        <w:rPr>
          <w:color w:val="003CA0"/>
          <w:sz w:val="12"/>
        </w:rPr>
        <w:t xml:space="preserve"> | ADI 2.010</w:t>
      </w:r>
      <w:r>
        <w:rPr>
          <w:color w:val="003CA0"/>
          <w:sz w:val="12"/>
        </w:rPr>
        <w:t xml:space="preserve"> | rel. Celso de Mello</w:t>
      </w:r>
    </w:p>
    <w:p>
      <w:pPr>
        <w:ind w:left="288"/>
      </w:pPr>
      <w:r>
        <w:rPr>
          <w:color w:val="1E1E1E"/>
          <w:sz w:val="18"/>
        </w:rPr>
        <w:t xml:space="preserve">Repetida é a jurisprudência desta Corte no sentido de que as contribuições recolhidas por órgão de seguridade social dos servidores civis inativos e respectivos pensionistas após a edição da EC 20/1998 são inconstitucionais, por expressa hipótese de não incidência criada pela referida emenda. Nesse contexto, o Tribunal demanda exaustivamente a devolução aos pensionistas e inativos de parcelas indevidamente recolhidas, sob pena de enriquecimento ilícito. Ressalte-se que esta Corte, no julgamento da ADI 2.010 MC, Pleno, rel. min. Celso de Mello, DJ de 29-9-1999, entendeu que o art. 195, II, c/c </w:t>
      </w:r>
    </w:p>
    <w:p>
      <w:pPr>
        <w:ind w:left="144"/>
      </w:pPr>
      <w:r>
        <w:rPr>
          <w:b/>
          <w:color w:val="B45A00"/>
          <w:sz w:val="16"/>
        </w:rPr>
        <w:t>JULGADOS CORRELATOS</w:t>
      </w:r>
    </w:p>
    <w:p>
      <w:pPr>
        <w:ind w:left="288"/>
      </w:pPr>
      <w:r>
        <w:rPr>
          <w:color w:val="8C8C8C"/>
          <w:sz w:val="12"/>
        </w:rPr>
        <w:t>cf-art-40-par-9</w:t>
      </w:r>
      <w:r>
        <w:rPr>
          <w:color w:val="003CA0"/>
          <w:sz w:val="12"/>
        </w:rPr>
        <w:t xml:space="preserve"> | RE 467.929</w:t>
      </w:r>
      <w:r>
        <w:rPr>
          <w:color w:val="003CA0"/>
          <w:sz w:val="12"/>
        </w:rPr>
        <w:t xml:space="preserve"> | rel. Gilmar Mendes</w:t>
      </w:r>
    </w:p>
    <w:p>
      <w:pPr>
        <w:ind w:left="288"/>
      </w:pPr>
      <w:r>
        <w:rPr>
          <w:color w:val="1E1E1E"/>
          <w:sz w:val="18"/>
        </w:rPr>
        <w:t>Servidor público. Contribuição social. Art. 2º da Lei 8.688/1993. Alíquotas progressivas. Constitucionalidade.</w:t>
      </w:r>
    </w:p>
    <w:p>
      <w:pPr>
        <w:ind w:left="288"/>
      </w:pPr>
      <w:r>
        <w:rPr>
          <w:b/>
          <w:color w:val="003CA0"/>
          <w:sz w:val="16"/>
        </w:rPr>
        <w:t>[RE 467.929 AgR, rel. min. Gilmar Mendes, j. 30-9-2008, 2ª T, DJE de 21-11-2008.]</w:t>
      </w:r>
    </w:p>
    <w:p>
      <w:pPr>
        <w:ind w:left="288"/>
      </w:pPr>
      <w:r>
        <w:rPr>
          <w:color w:val="8C8C8C"/>
          <w:sz w:val="12"/>
        </w:rPr>
        <w:t>cf-art-40-par-9</w:t>
      </w:r>
    </w:p>
    <w:p>
      <w:pPr>
        <w:ind w:left="288"/>
      </w:pPr>
      <w:r>
        <w:rPr>
          <w:color w:val="1E1E1E"/>
          <w:sz w:val="18"/>
        </w:rPr>
        <w:t>§ 19. Observados critérios a serem estabelecidos em lei do respectivo ente federativo, o servidor titular de cargo efetivo que tenha completado as exigências para a aposentadoria voluntária e que opte por permanecer em atividade poderá fazer jus a um abono de permanência equivalente, no máximo, ao valor da sua contribuição previdenciária, até completar a idade para aposentadoria compulsória. (Redação da EC n. 103/2019)</w:t>
      </w:r>
    </w:p>
    <w:p>
      <w:pPr>
        <w:ind w:left="144"/>
      </w:pPr>
      <w:r>
        <w:rPr>
          <w:b/>
          <w:color w:val="B45A00"/>
          <w:sz w:val="16"/>
        </w:rPr>
        <w:t>CONTROLE CONCENTRADO</w:t>
      </w:r>
    </w:p>
    <w:p>
      <w:pPr>
        <w:ind w:left="288"/>
      </w:pPr>
      <w:r>
        <w:rPr>
          <w:color w:val="8C8C8C"/>
          <w:sz w:val="12"/>
        </w:rPr>
        <w:t>cf-art-40-par-9</w:t>
      </w:r>
      <w:r>
        <w:rPr>
          <w:color w:val="003CA0"/>
          <w:sz w:val="12"/>
        </w:rPr>
        <w:t xml:space="preserve"> | ADI 5.026</w:t>
      </w:r>
      <w:r>
        <w:rPr>
          <w:color w:val="003CA0"/>
          <w:sz w:val="12"/>
        </w:rPr>
        <w:t xml:space="preserve"> | rel. Rosa Weber</w:t>
      </w:r>
    </w:p>
    <w:p>
      <w:pPr>
        <w:ind w:left="288"/>
      </w:pPr>
      <w:r>
        <w:rPr>
          <w:color w:val="1E1E1E"/>
          <w:sz w:val="18"/>
        </w:rPr>
        <w:t>O abono de permanência deve ser concedido uma vez preenchidos os seus requisitos, sem necessidade de formulação de requerimento ou outra exigência não prevista constitucionalmente. A jurisprudência desta Suprema Corte tem afirmado que cumpridas as condições para o gozo da aposentadoria, o servidor que decida continuar a exercer as atividades laborais tem direito ao aludido abono sem qualquer tipo de exigência adicional.</w:t>
      </w:r>
    </w:p>
    <w:p>
      <w:pPr>
        <w:ind w:left="288"/>
      </w:pPr>
      <w:r>
        <w:rPr>
          <w:b/>
          <w:color w:val="003CA0"/>
          <w:sz w:val="16"/>
        </w:rPr>
        <w:t>[ADI 5.026, rel. min. Rosa Weber, j. 3-3-2020, P, DJE de 12-3-2020.]</w:t>
      </w:r>
    </w:p>
    <w:p>
      <w:pPr>
        <w:ind w:left="144"/>
      </w:pPr>
      <w:r>
        <w:rPr>
          <w:b/>
          <w:color w:val="B45A00"/>
          <w:sz w:val="16"/>
        </w:rPr>
        <w:t>REPERCUSSAO GERAL</w:t>
      </w:r>
    </w:p>
    <w:p>
      <w:pPr>
        <w:ind w:left="288"/>
      </w:pPr>
      <w:r>
        <w:rPr>
          <w:color w:val="8C8C8C"/>
          <w:sz w:val="12"/>
        </w:rPr>
        <w:t>cf-art-40-par-9</w:t>
      </w:r>
      <w:r>
        <w:rPr>
          <w:color w:val="003CA0"/>
          <w:sz w:val="12"/>
        </w:rPr>
        <w:t xml:space="preserve"> | RE 1.348.274</w:t>
      </w:r>
      <w:r>
        <w:rPr>
          <w:color w:val="003CA0"/>
          <w:sz w:val="12"/>
        </w:rPr>
        <w:t xml:space="preserve"> | rel. Luiz Fux</w:t>
      </w:r>
    </w:p>
    <w:p>
      <w:pPr>
        <w:ind w:left="288"/>
      </w:pPr>
      <w:r>
        <w:rPr>
          <w:color w:val="1E1E1E"/>
          <w:sz w:val="18"/>
        </w:rPr>
        <w:t>É infraconstitucional, a ela se aplicando os efeitos da ausência de repercussão geral, a controvérsia relativa à possibilidade de cumulação do abono de permanência com indenização decorrente do indeferimento equivocado de aposentadoria a servidor público.</w:t>
        <w:br/>
        <w:t>[RE 1.348.274 RG, rel. min. Luiz Fux, j. 8-9-2022, P, DJE de 13-9-2022, Tema 1.233, com repercussão geral negada.] Servidor público. Ingresso no serviço público anterior à Constituição da República de 1988. Ausência de concurso público. Abono de permanência. Impossibilidade de extensão das vantagens do servidor efetivo. Tema 1.157 da repercus</w:t>
      </w:r>
    </w:p>
    <w:p>
      <w:pPr>
        <w:ind w:left="288"/>
      </w:pPr>
      <w:r>
        <w:rPr>
          <w:b/>
          <w:color w:val="003CA0"/>
          <w:sz w:val="16"/>
        </w:rPr>
        <w:t>[ARE 1.582.423 AgR, rel. min. Cármen Lúcia, j. 25-2-2026, 1ª T, DJE de 3-3-2026.]</w:t>
      </w:r>
    </w:p>
    <w:p>
      <w:pPr>
        <w:ind w:left="144"/>
      </w:pPr>
      <w:r>
        <w:rPr>
          <w:b/>
          <w:color w:val="B45A00"/>
          <w:sz w:val="16"/>
        </w:rPr>
        <w:t>JULGADOS CORRELATOS</w:t>
      </w:r>
    </w:p>
    <w:p>
      <w:pPr>
        <w:ind w:left="288"/>
      </w:pPr>
      <w:r>
        <w:rPr>
          <w:color w:val="8C8C8C"/>
          <w:sz w:val="12"/>
        </w:rPr>
        <w:t>cf-art-40-par-9</w:t>
      </w:r>
      <w:r>
        <w:rPr>
          <w:color w:val="003CA0"/>
          <w:sz w:val="12"/>
        </w:rPr>
        <w:t xml:space="preserve"> | RE 1.363.132</w:t>
      </w:r>
      <w:r>
        <w:rPr>
          <w:color w:val="003CA0"/>
          <w:sz w:val="12"/>
        </w:rPr>
        <w:t xml:space="preserve"> | rel. Dias Toffoli</w:t>
      </w:r>
    </w:p>
    <w:p>
      <w:pPr>
        <w:ind w:left="288"/>
      </w:pPr>
      <w:r>
        <w:rPr>
          <w:color w:val="1E1E1E"/>
          <w:sz w:val="18"/>
        </w:rPr>
        <w:t>Os servidores públicos efetivos que implementarem os requisitos para a aposentadoria com base na regra do art. 3º da Emenda Constitucional nº 47, de 5 de julho de 2005, no caso de opção por permanecer em atividade, fazem jus à percepção do abono de permanência, tendo em vista que o benefício deve estar condicionado tão somente à reunião dos requisitos para a aposentadoria voluntária.</w:t>
      </w:r>
    </w:p>
    <w:p>
      <w:pPr>
        <w:ind w:left="288"/>
      </w:pPr>
      <w:r>
        <w:rPr>
          <w:b/>
          <w:color w:val="003CA0"/>
          <w:sz w:val="16"/>
        </w:rPr>
        <w:t xml:space="preserve">[RE 1.363.132 AgR, rel. min. Dias Toffoli, j. 28-11-2022, 1ª T, DJE de 9-3-2023.] </w:t>
        <w:br/>
        <w:t>= ARE 1.384.187 AgR, rel. min. Gilmar Mendes, red. do ac. min. André Mendonça, j. 3-7-2023, 2ª T, DJE de 17-8-2023</w:t>
      </w:r>
    </w:p>
    <w:p>
      <w:pPr>
        <w:ind w:left="288"/>
      </w:pPr>
      <w:r>
        <w:rPr>
          <w:color w:val="8C8C8C"/>
          <w:sz w:val="12"/>
        </w:rPr>
        <w:t>cf-art-40-par-9</w:t>
      </w:r>
      <w:r>
        <w:rPr>
          <w:color w:val="003CA0"/>
          <w:sz w:val="12"/>
        </w:rPr>
        <w:t xml:space="preserve"> | ARE 1.295.775</w:t>
      </w:r>
      <w:r>
        <w:rPr>
          <w:color w:val="003CA0"/>
          <w:sz w:val="12"/>
        </w:rPr>
        <w:t xml:space="preserve"> | rel. Alexandre de Moraes</w:t>
      </w:r>
    </w:p>
    <w:p>
      <w:pPr>
        <w:ind w:left="288"/>
      </w:pPr>
      <w:r>
        <w:rPr>
          <w:color w:val="1E1E1E"/>
          <w:sz w:val="18"/>
        </w:rPr>
        <w:t>Servidor público. Abono de permanência. § 19 do art. 40 da Constituição, na redação anterior à emenda 103/2019. (...) Nas hipóteses em que for cabível a recondução ao cargo anterior, o servidor deve continuar recebendo o abono de permanência, mesmo que ocupe outro cargo. No peculiar quadro em exame nestes autos, por manter o direito a se aposentar pelo cargo anterior, está atendida a finalidade do benefício – estimular a permanência do funcionário no serviço ativo e, ao mesmo tempo, proporcionar economia para o Erário. Entretanto, até que implemente os pressupostos para se aposentar no novo ca</w:t>
      </w:r>
    </w:p>
    <w:p>
      <w:pPr>
        <w:ind w:left="288"/>
      </w:pPr>
      <w:r>
        <w:rPr>
          <w:b/>
          <w:color w:val="003CA0"/>
          <w:sz w:val="16"/>
        </w:rPr>
        <w:t>[ARE 1.295.775 AgR AgR, rel. min. Alexandre de Moraes, j. 12-5-2021, 1ª T, DJE de 21-5-2021.]</w:t>
      </w:r>
    </w:p>
    <w:p>
      <w:pPr>
        <w:ind w:left="288"/>
      </w:pPr>
      <w:r>
        <w:rPr>
          <w:color w:val="8C8C8C"/>
          <w:sz w:val="12"/>
        </w:rPr>
        <w:t>cf-art-40-par-9</w:t>
      </w:r>
      <w:r>
        <w:rPr>
          <w:color w:val="003CA0"/>
          <w:sz w:val="12"/>
        </w:rPr>
        <w:t xml:space="preserve"> | MS 33.424</w:t>
      </w:r>
      <w:r>
        <w:rPr>
          <w:color w:val="003CA0"/>
          <w:sz w:val="12"/>
        </w:rPr>
        <w:t xml:space="preserve"> | rel. Marco Aurélio</w:t>
      </w:r>
    </w:p>
    <w:p>
      <w:pPr>
        <w:ind w:left="288"/>
      </w:pPr>
      <w:r>
        <w:rPr>
          <w:color w:val="1E1E1E"/>
          <w:sz w:val="18"/>
        </w:rPr>
        <w:t>A ocupação de novo cargo dentro da estrutura do Poder Judiciário, pelo titular do abono de permanência, não implica a cessação do benefício.</w:t>
        <w:br/>
        <w:t>[MS 33.424, rel. min. Marco Aurélio, j. 28-3-2017, 1ª T, DJE de 10-4-2017.] § 20. É vedada a existência de mais de um regime próprio de previdência social e de mais de um órgão ou entidade gestora desse regime em cada ente federativo, abrangidos todos os poderes, órgãos e entidades autárquicas e fundacionais, que serão responsáveis pelo seu financiamento, observados os critérios, os parâmetros e a natureza jurídica definidos na lei complementar de que tra</w:t>
      </w:r>
    </w:p>
    <w:p>
      <w:pPr>
        <w:ind w:left="144"/>
      </w:pPr>
      <w:r>
        <w:rPr>
          <w:b/>
          <w:color w:val="B45A00"/>
          <w:sz w:val="16"/>
        </w:rPr>
        <w:t>CONTROLE CONCENTRADO</w:t>
      </w:r>
    </w:p>
    <w:p>
      <w:pPr>
        <w:ind w:left="288"/>
      </w:pPr>
      <w:r>
        <w:rPr>
          <w:color w:val="8C8C8C"/>
          <w:sz w:val="12"/>
        </w:rPr>
        <w:t>cf-art-40-par-9</w:t>
      </w:r>
      <w:r>
        <w:rPr>
          <w:color w:val="003CA0"/>
          <w:sz w:val="12"/>
        </w:rPr>
        <w:t xml:space="preserve"> | ADI 5.801</w:t>
      </w:r>
      <w:r>
        <w:rPr>
          <w:color w:val="003CA0"/>
          <w:sz w:val="12"/>
        </w:rPr>
        <w:t xml:space="preserve"> | rel. Luiz Fux</w:t>
      </w:r>
    </w:p>
    <w:p>
      <w:pPr>
        <w:ind w:left="288"/>
      </w:pPr>
      <w:r>
        <w:rPr>
          <w:color w:val="1E1E1E"/>
          <w:sz w:val="18"/>
        </w:rPr>
        <w:t>Apesar de organizadas e mantidas pela União, as polícias civil e militar e o corpo de bombeiros militar do Distrito Federal integram a estrutura orgânica do Poder Executivo distrital, submetendo-se ao poder hierárquico do Governador local (arts. 42 e 144, § 6º, da CRFB/88). (...) Diante dessa vinculação funcional à Administração Pública distrital e da proibição de existência de mais de um regime próprio de previdência social em cada ente federativo (art. 40, § 20, da CRFB/88), é constitucional a lei distrital que dispõe que os integrantes das carreiras da segurança pública do Distrito Federal,</w:t>
      </w:r>
    </w:p>
    <w:p>
      <w:pPr>
        <w:ind w:left="288"/>
      </w:pPr>
      <w:r>
        <w:rPr>
          <w:b/>
          <w:color w:val="003CA0"/>
          <w:sz w:val="16"/>
        </w:rPr>
        <w:t>[ADI 3.297, rel. min. Alexandre de Moraes, j. 11-10-2019, P, DJE de 25-10-2019.]</w:t>
      </w:r>
    </w:p>
    <w:p>
      <w:r>
        <w:rPr>
          <w:b/>
          <w:color w:val="003366"/>
          <w:sz w:val="20"/>
        </w:rPr>
        <w:t>Art. 41 Os Poderes Executivos da União, dos Estados, do Distrito Federal e dos M</w:t>
      </w:r>
      <w:r>
        <w:rPr>
          <w:color w:val="8C8C8C"/>
          <w:sz w:val="14"/>
        </w:rPr>
        <w:t xml:space="preserve">  [43 decisoes]</w:t>
      </w:r>
    </w:p>
    <w:p>
      <w:pPr>
        <w:ind w:left="144"/>
      </w:pPr>
      <w:r>
        <w:rPr>
          <w:b/>
          <w:color w:val="B45A00"/>
          <w:sz w:val="16"/>
        </w:rPr>
        <w:t>CONTROLE CONCENTRADO</w:t>
      </w:r>
    </w:p>
    <w:p>
      <w:pPr>
        <w:ind w:left="288"/>
      </w:pPr>
      <w:r>
        <w:rPr>
          <w:color w:val="8C8C8C"/>
          <w:sz w:val="12"/>
        </w:rPr>
        <w:t>cf-art-41</w:t>
      </w:r>
      <w:r>
        <w:rPr>
          <w:color w:val="003CA0"/>
          <w:sz w:val="12"/>
        </w:rPr>
        <w:t xml:space="preserve"> | ADI 5.220</w:t>
      </w:r>
      <w:r>
        <w:rPr>
          <w:color w:val="003CA0"/>
          <w:sz w:val="12"/>
        </w:rPr>
        <w:t xml:space="preserve"> | rel. Carmen Lucia</w:t>
      </w:r>
    </w:p>
    <w:p>
      <w:pPr>
        <w:ind w:left="288"/>
      </w:pPr>
      <w:r>
        <w:rPr>
          <w:color w:val="1E1E1E"/>
          <w:sz w:val="18"/>
        </w:rPr>
        <w:t>O disposto no art. 41 da Constituição da República, pelo qual se estabelece que a obtenção da estabilidade no serviço público ocorre após três anos de efetivo exercício, deve ser interpretado em consonância com os princípios constitucionais da igualdade de gênero, proteção à maternidade, dignidade da mulher e planejamento familiar. É constitucional o cômputo do período de licença à gestante no período do estágio probatório da servidora pública pelo imperativo da máxima efetividade dos direitos fundamentais.</w:t>
      </w:r>
    </w:p>
    <w:p>
      <w:pPr>
        <w:ind w:left="288"/>
      </w:pPr>
      <w:r>
        <w:rPr>
          <w:b/>
          <w:color w:val="003CA0"/>
          <w:sz w:val="16"/>
        </w:rPr>
        <w:t>[ADI 5.220, rel. min. Carmen Lucia, j. 15-3-2021, P, DJE de 23-3-2021.]</w:t>
      </w:r>
    </w:p>
    <w:p>
      <w:pPr>
        <w:ind w:left="288"/>
      </w:pPr>
      <w:r>
        <w:rPr>
          <w:color w:val="8C8C8C"/>
          <w:sz w:val="12"/>
        </w:rPr>
        <w:t>cf-art-41</w:t>
      </w:r>
      <w:r>
        <w:rPr>
          <w:color w:val="003CA0"/>
          <w:sz w:val="12"/>
        </w:rPr>
        <w:t xml:space="preserve"> | ADI 3.235</w:t>
      </w:r>
      <w:r>
        <w:rPr>
          <w:color w:val="003CA0"/>
          <w:sz w:val="12"/>
        </w:rPr>
        <w:t xml:space="preserve"> | rel. Carlos Velloso</w:t>
      </w:r>
    </w:p>
    <w:p>
      <w:pPr>
        <w:ind w:left="288"/>
      </w:pPr>
      <w:r>
        <w:rPr>
          <w:color w:val="1E1E1E"/>
          <w:sz w:val="18"/>
        </w:rPr>
        <w:t xml:space="preserve">(...) constata-se que o dispositivo impugnado padece de inconstitucionalidade, na medida em que considera o exercício não abusivo de um direito constitucional – direito de greve – como falta grave ou fato desabonador da conduta no serviço público, a ensejar a imediata exoneração do servidor público em estágio probatório, mediante processo administrativo próprio. (...) Além disso, o dispositivo impugnado explicita uma diferenciação de efeitos do exercício do direito de greve entre servidores estáveis e não estáveis, imputando consequência gravosa apenas aos primeiros, consubstanciada no ato de </w:t>
      </w:r>
    </w:p>
    <w:p>
      <w:pPr>
        <w:ind w:left="288"/>
      </w:pPr>
      <w:r>
        <w:rPr>
          <w:b/>
          <w:color w:val="003CA0"/>
          <w:sz w:val="16"/>
        </w:rPr>
        <w:t>[ADI 3.235, voto do red.do ac. min. Gilmar Mendes, rel. min. Carlos Velloso, j. 4-2-2010, P, DJE de 12-3-2010.]</w:t>
      </w:r>
    </w:p>
    <w:p>
      <w:pPr>
        <w:ind w:left="288"/>
      </w:pPr>
      <w:r>
        <w:rPr>
          <w:color w:val="8C8C8C"/>
          <w:sz w:val="12"/>
        </w:rPr>
        <w:t>cf-art-41</w:t>
      </w:r>
      <w:r>
        <w:rPr>
          <w:color w:val="003CA0"/>
          <w:sz w:val="12"/>
        </w:rPr>
        <w:t xml:space="preserve"> | RE 226.966</w:t>
      </w:r>
      <w:r>
        <w:rPr>
          <w:color w:val="003CA0"/>
          <w:sz w:val="12"/>
        </w:rPr>
        <w:t xml:space="preserve"> | rel. Menezes Direito</w:t>
      </w:r>
    </w:p>
    <w:p>
      <w:pPr>
        <w:ind w:left="288"/>
      </w:pPr>
      <w:r>
        <w:rPr>
          <w:color w:val="1E1E1E"/>
          <w:sz w:val="18"/>
        </w:rPr>
        <w:t>Vide RE 226.966, red. do ac. min. Cármen Lúcia, rel. min. Menezes Direito, j. 11-11-2008, 1ª T, DJE de 21-8-2009 Defensor público estadual: garantias e prerrogativas. (...) O prazo trienal para aquisição de estabilidade no cargo, fixado pela EC 19/1998, é aplicável indistintamente a todos os servidores públicos.</w:t>
      </w:r>
    </w:p>
    <w:p>
      <w:pPr>
        <w:ind w:left="288"/>
      </w:pPr>
      <w:r>
        <w:rPr>
          <w:b/>
          <w:color w:val="003CA0"/>
          <w:sz w:val="16"/>
        </w:rPr>
        <w:t>[ADI 230, rel. min. Cármen Lúcia, j. 1º-2-2010, P, DJE de 30-10-2014.]</w:t>
      </w:r>
    </w:p>
    <w:p>
      <w:pPr>
        <w:ind w:left="144"/>
      </w:pPr>
      <w:r>
        <w:rPr>
          <w:b/>
          <w:color w:val="B45A00"/>
          <w:sz w:val="16"/>
        </w:rPr>
        <w:t>REPERCUSSAO GERAL</w:t>
      </w:r>
    </w:p>
    <w:p>
      <w:pPr>
        <w:ind w:left="288"/>
      </w:pPr>
      <w:r>
        <w:rPr>
          <w:color w:val="8C8C8C"/>
          <w:sz w:val="12"/>
        </w:rPr>
        <w:t>cf-art-41</w:t>
      </w:r>
      <w:r>
        <w:rPr>
          <w:color w:val="003CA0"/>
          <w:sz w:val="12"/>
        </w:rPr>
        <w:t xml:space="preserve"> | RE 589.998</w:t>
      </w:r>
      <w:r>
        <w:rPr>
          <w:color w:val="003CA0"/>
          <w:sz w:val="12"/>
        </w:rPr>
        <w:t xml:space="preserve"> | rel. Ricardo Lewandowski</w:t>
      </w:r>
    </w:p>
    <w:p>
      <w:pPr>
        <w:ind w:left="288"/>
      </w:pPr>
      <w:r>
        <w:rPr>
          <w:color w:val="1E1E1E"/>
          <w:sz w:val="18"/>
        </w:rPr>
        <w:t>Empresa Brasileira de Correios e Telégrafos (ECT). Demissão imotivada de seus empregados. Impossibilidade. Necessidade de motivação da dispensa. (...) Os empregados públicos não fazem jus à estabilidade prevista no art. 41 da CF, salvo aqueles admitidos em período anterior ao advento da EC 19/1998. (...) Em atenção, no entanto, aos princípios da impessoalidade e isonomia, que regem a admissão por concurso público, a dispensa do empregado de empresas públicas e sociedades de economia mista que prestam serviços públicos deve ser motivada, assegurando-se, assim, que tais princípios, observados no</w:t>
      </w:r>
    </w:p>
    <w:p>
      <w:pPr>
        <w:ind w:left="144"/>
      </w:pPr>
      <w:r>
        <w:rPr>
          <w:b/>
          <w:color w:val="B45A00"/>
          <w:sz w:val="16"/>
        </w:rPr>
        <w:t>JULGADOS CORRELATOS</w:t>
      </w:r>
    </w:p>
    <w:p>
      <w:pPr>
        <w:ind w:left="288"/>
      </w:pPr>
      <w:r>
        <w:rPr>
          <w:color w:val="8C8C8C"/>
          <w:sz w:val="12"/>
        </w:rPr>
        <w:t>cf-art-41</w:t>
      </w:r>
      <w:r>
        <w:rPr>
          <w:color w:val="003CA0"/>
          <w:sz w:val="12"/>
        </w:rPr>
        <w:t xml:space="preserve"> | AR 2.553</w:t>
      </w:r>
      <w:r>
        <w:rPr>
          <w:color w:val="003CA0"/>
          <w:sz w:val="12"/>
        </w:rPr>
        <w:t xml:space="preserve"> | rel. Roberto Barroso</w:t>
      </w:r>
    </w:p>
    <w:p>
      <w:pPr>
        <w:ind w:left="288"/>
      </w:pPr>
      <w:r>
        <w:rPr>
          <w:color w:val="1E1E1E"/>
          <w:sz w:val="18"/>
        </w:rPr>
        <w:t>O tribunal de origem consignou que os servidores ‘ingressaram no serviço público no final de 1997 e início de 1998, poucos meses antes do advento da Emenda Constitucional 19, o curso do prazo do estágio e estabilidade estava em andamento’ e, ao final, entendeu que eles estavam submetidos ao prazo de 3 (três) anos para a aquisição da estabilidade no serviço público. Decisão mantida pelo STF no acórdão recorrido. Há que se reconhecer a violação ao art. 28 da Emenda Constitucional 19/1998, que fixou regra de transição para os servidores que se encontravam com o prazo de estágio probatório em curs</w:t>
      </w:r>
    </w:p>
    <w:p>
      <w:pPr>
        <w:ind w:left="288"/>
      </w:pPr>
      <w:r>
        <w:rPr>
          <w:b/>
          <w:color w:val="003CA0"/>
          <w:sz w:val="16"/>
        </w:rPr>
        <w:t>[AR 2.553, rel. min. Roberto Barroso, j. 23-8-2021, P, DJE de 8-9-2021.]</w:t>
      </w:r>
    </w:p>
    <w:p>
      <w:pPr>
        <w:ind w:left="288"/>
      </w:pPr>
      <w:r>
        <w:rPr>
          <w:color w:val="8C8C8C"/>
          <w:sz w:val="12"/>
        </w:rPr>
        <w:t>cf-art-41</w:t>
      </w:r>
      <w:r>
        <w:rPr>
          <w:color w:val="003CA0"/>
          <w:sz w:val="12"/>
        </w:rPr>
        <w:t xml:space="preserve"> | RE 805.491</w:t>
      </w:r>
      <w:r>
        <w:rPr>
          <w:color w:val="003CA0"/>
          <w:sz w:val="12"/>
        </w:rPr>
        <w:t xml:space="preserve"> | rel. Dias Toffoli</w:t>
      </w:r>
    </w:p>
    <w:p>
      <w:pPr>
        <w:ind w:left="288"/>
      </w:pPr>
      <w:r>
        <w:rPr>
          <w:color w:val="1E1E1E"/>
          <w:sz w:val="18"/>
        </w:rPr>
        <w:t>A jurisprudência do STF firmou-se no sentido de que o ato de exoneração do servidor é meramente declaratório, podendo ocorrer após o prazo de três anos fixados para o estágio probatório, desde que as avaliações de desempenho sejam efetuadas dentro do prazo constitucional.</w:t>
      </w:r>
    </w:p>
    <w:p>
      <w:pPr>
        <w:ind w:left="288"/>
      </w:pPr>
      <w:r>
        <w:rPr>
          <w:b/>
          <w:color w:val="003CA0"/>
          <w:sz w:val="16"/>
        </w:rPr>
        <w:t>[RE 805.491 AgR, rel. min. Dias Toffoli, j. 23-2-2016, 2ª T, DJE de 29-4-2016.]</w:t>
      </w:r>
    </w:p>
    <w:p>
      <w:pPr>
        <w:ind w:left="288"/>
      </w:pPr>
      <w:r>
        <w:rPr>
          <w:color w:val="8C8C8C"/>
          <w:sz w:val="12"/>
        </w:rPr>
        <w:t>cf-art-41</w:t>
      </w:r>
      <w:r>
        <w:rPr>
          <w:color w:val="003CA0"/>
          <w:sz w:val="12"/>
        </w:rPr>
        <w:t xml:space="preserve"> | STA 263</w:t>
      </w:r>
      <w:r>
        <w:rPr>
          <w:color w:val="003CA0"/>
          <w:sz w:val="12"/>
        </w:rPr>
        <w:t xml:space="preserve"> | rel. Gilmar Mendes</w:t>
      </w:r>
    </w:p>
    <w:p>
      <w:pPr>
        <w:ind w:left="288"/>
      </w:pPr>
      <w:r>
        <w:rPr>
          <w:color w:val="1E1E1E"/>
          <w:sz w:val="18"/>
        </w:rPr>
        <w:t>(...) a EC 19/1998, que alterou o art. 41 da CF, elevou para três anos o prazo para a aquisição da estabilidade no serviço público e, por interpretação lógica, o prazo do estágio probatório.</w:t>
      </w:r>
    </w:p>
    <w:p>
      <w:pPr>
        <w:ind w:left="288"/>
      </w:pPr>
      <w:r>
        <w:rPr>
          <w:b/>
          <w:color w:val="003CA0"/>
          <w:sz w:val="16"/>
        </w:rPr>
        <w:t>[STA 263 AgR, rel. min. Gilmar Mendes, j. 4-2-2010, P, DJE de 26-2-2010.]</w:t>
      </w:r>
    </w:p>
    <w:p>
      <w:pPr>
        <w:ind w:left="288"/>
      </w:pPr>
      <w:r>
        <w:rPr>
          <w:color w:val="8C8C8C"/>
          <w:sz w:val="12"/>
        </w:rPr>
        <w:t>cf-art-41</w:t>
      </w:r>
      <w:r>
        <w:rPr>
          <w:color w:val="003CA0"/>
          <w:sz w:val="12"/>
        </w:rPr>
        <w:t xml:space="preserve"> | RE 226.966</w:t>
      </w:r>
      <w:r>
        <w:rPr>
          <w:color w:val="003CA0"/>
          <w:sz w:val="12"/>
        </w:rPr>
        <w:t xml:space="preserve"> | rel. Menezes Direito</w:t>
      </w:r>
    </w:p>
    <w:p>
      <w:pPr>
        <w:ind w:left="288"/>
      </w:pPr>
      <w:r>
        <w:rPr>
          <w:color w:val="1E1E1E"/>
          <w:sz w:val="18"/>
        </w:rPr>
        <w:t>A simples circunstância de o servidor público estar em estágio probatório não é justificativa para demissão com fundamento na sua participação em movimento grevista por período superior a trinta dias. A ausência de regulamentação do direito de greve não transforma os dias de paralisação em movimento grevista em faltas injustificadas.</w:t>
      </w:r>
    </w:p>
    <w:p>
      <w:pPr>
        <w:ind w:left="288"/>
      </w:pPr>
      <w:r>
        <w:rPr>
          <w:b/>
          <w:color w:val="003CA0"/>
          <w:sz w:val="16"/>
        </w:rPr>
        <w:t>[RE 226.966, red. do ac. min. Cármen Lúcia, rel. min. Menezes Direito, j. 11-11-2008, 1ª T, DJE de 21-8-2009.]</w:t>
      </w:r>
    </w:p>
    <w:p>
      <w:pPr>
        <w:ind w:left="288"/>
      </w:pPr>
      <w:r>
        <w:rPr>
          <w:color w:val="8C8C8C"/>
          <w:sz w:val="12"/>
        </w:rPr>
        <w:t>cf-art-41</w:t>
      </w:r>
      <w:r>
        <w:rPr>
          <w:color w:val="003CA0"/>
          <w:sz w:val="12"/>
        </w:rPr>
        <w:t xml:space="preserve"> | ADI 3.235</w:t>
      </w:r>
      <w:r>
        <w:rPr>
          <w:color w:val="003CA0"/>
          <w:sz w:val="12"/>
        </w:rPr>
        <w:t xml:space="preserve"> | rel. Carlos Velloso</w:t>
      </w:r>
    </w:p>
    <w:p>
      <w:pPr>
        <w:ind w:left="288"/>
      </w:pPr>
      <w:r>
        <w:rPr>
          <w:color w:val="1E1E1E"/>
          <w:sz w:val="18"/>
        </w:rPr>
        <w:t xml:space="preserve">Vide ADI 3.235, rel. do ac. min. Gilmar Mendes, rel. min. Carlos Velloso, j. 4-2-2010, P, DJE de 12-3-2010 A decisão agravada está em conformidade com entendimento firmado por ambas as Turmas desta Corte, no sentido de que não se aplica a empregado de sociedade de economia mista, regido pela CLT, o disposto no art. 41 da CF, o qual somente disciplina a estabilidade dos servidores públicos civis. Ademais, não há ofensa aos princípios de direito administrativo previstos no art. 37 da Carta Magna, porquanto a pretendida estabilidade não encontra respaldo na legislação pertinente, em face do art. </w:t>
      </w:r>
    </w:p>
    <w:p>
      <w:pPr>
        <w:ind w:left="288"/>
      </w:pPr>
      <w:r>
        <w:rPr>
          <w:b/>
          <w:color w:val="003CA0"/>
          <w:sz w:val="16"/>
        </w:rPr>
        <w:t>[AI 465.780 AgR, rel. min. Joaquim Barbosa, j. 23-11-2004, 2ª T, DJ de 18-2-2005.]</w:t>
      </w:r>
    </w:p>
    <w:p>
      <w:pPr>
        <w:ind w:left="288"/>
      </w:pPr>
      <w:r>
        <w:rPr>
          <w:color w:val="8C8C8C"/>
          <w:sz w:val="12"/>
        </w:rPr>
        <w:t>cf-art-41</w:t>
      </w:r>
      <w:r>
        <w:rPr>
          <w:color w:val="003CA0"/>
          <w:sz w:val="12"/>
        </w:rPr>
        <w:t xml:space="preserve"> | AI 660.311</w:t>
      </w:r>
      <w:r>
        <w:rPr>
          <w:color w:val="003CA0"/>
          <w:sz w:val="12"/>
        </w:rPr>
        <w:t xml:space="preserve"> | rel. Eros Grau</w:t>
      </w:r>
    </w:p>
    <w:p>
      <w:pPr>
        <w:ind w:left="288"/>
      </w:pPr>
      <w:r>
        <w:rPr>
          <w:color w:val="1E1E1E"/>
          <w:sz w:val="18"/>
        </w:rPr>
        <w:t>= AI 660.311 AgR, rel. min. Eros Grau, j. 9-10-2007, 2ª T, DJ de 23-11-2007 O direito de o servidor, aprovado em concurso público, estável, que presta novo concurso e, aprovado, é nomeado para cargo outro, retornar ao cargo anterior ocorre enquanto estiver sendo submetido ao estágio probatório no novo cargo: Lei 8.112/1990, art. 20, § 2º. É que, enquanto não confirmado no estágio do novo cargo, não estará extinta a situação anterior.</w:t>
      </w:r>
    </w:p>
    <w:p>
      <w:pPr>
        <w:ind w:left="288"/>
      </w:pPr>
      <w:r>
        <w:rPr>
          <w:b/>
          <w:color w:val="003CA0"/>
          <w:sz w:val="16"/>
        </w:rPr>
        <w:t>[MS 24.543, rel. min. Carlos Velloso, j. 21-8-2003, P, DJ de 12-9-2003.]</w:t>
      </w:r>
    </w:p>
    <w:p>
      <w:pPr>
        <w:ind w:left="288"/>
      </w:pPr>
      <w:r>
        <w:rPr>
          <w:color w:val="8C8C8C"/>
          <w:sz w:val="12"/>
        </w:rPr>
        <w:t>cf-art-41-par-1</w:t>
      </w:r>
      <w:r>
        <w:rPr>
          <w:color w:val="003CA0"/>
          <w:sz w:val="12"/>
        </w:rPr>
        <w:t xml:space="preserve"> | MS 22.362</w:t>
      </w:r>
      <w:r>
        <w:rPr>
          <w:color w:val="003CA0"/>
          <w:sz w:val="12"/>
        </w:rPr>
        <w:t xml:space="preserve"> | rel. Maurício Corrêa</w:t>
      </w:r>
    </w:p>
    <w:p>
      <w:pPr>
        <w:ind w:left="288"/>
      </w:pPr>
      <w:r>
        <w:rPr>
          <w:color w:val="1E1E1E"/>
          <w:sz w:val="18"/>
        </w:rPr>
        <w:t>A ausência de decisão judicial com trânsito em julgado não torna nulo o ato demissório aplicado com base em processo administrativo em que foi assegurada ampla defesa, pois a aplicação da pena disciplinar ou administrativa independe da conclusão dos processos civil e penal, eventualmente instaurados em razão dos mesmos fatos. Interpretação do art. 125 da Lei 8.112/1990 e do art. 20 da Lei 8.429/1992 em face do art. 41, § 1º, da Constituição.</w:t>
      </w:r>
    </w:p>
    <w:p>
      <w:pPr>
        <w:ind w:left="288"/>
      </w:pPr>
      <w:r>
        <w:rPr>
          <w:b/>
          <w:color w:val="003CA0"/>
          <w:sz w:val="16"/>
        </w:rPr>
        <w:t>[MS 22.362, rel. min. Maurício Corrêa, j. 6-5-1999, P, DJ de 18-6-1999.]</w:t>
      </w:r>
    </w:p>
    <w:p>
      <w:pPr>
        <w:ind w:left="144"/>
      </w:pPr>
      <w:r>
        <w:rPr>
          <w:b/>
          <w:color w:val="B45A00"/>
          <w:sz w:val="16"/>
        </w:rPr>
        <w:t>SUMULA</w:t>
      </w:r>
    </w:p>
    <w:p>
      <w:pPr>
        <w:ind w:left="288"/>
      </w:pPr>
      <w:r>
        <w:rPr>
          <w:color w:val="8C8C8C"/>
          <w:sz w:val="12"/>
        </w:rPr>
        <w:t>cf-art-41-par-1-inc-II</w:t>
      </w:r>
    </w:p>
    <w:p>
      <w:pPr>
        <w:ind w:left="288"/>
      </w:pPr>
      <w:r>
        <w:rPr>
          <w:color w:val="1E1E1E"/>
          <w:sz w:val="18"/>
        </w:rPr>
        <w:t>Funcionário em estágio probatório não pode ser exonerado nem demitido sem inquérito ou sem as formalidades legais de apuração de sua capacidade.</w:t>
      </w:r>
    </w:p>
    <w:p>
      <w:pPr>
        <w:ind w:left="288"/>
      </w:pPr>
      <w:r>
        <w:rPr>
          <w:b/>
          <w:color w:val="003CA0"/>
          <w:sz w:val="16"/>
        </w:rPr>
        <w:t>[Súmula 21.]</w:t>
      </w:r>
    </w:p>
    <w:p>
      <w:pPr>
        <w:ind w:left="288"/>
      </w:pPr>
      <w:r>
        <w:rPr>
          <w:color w:val="8C8C8C"/>
          <w:sz w:val="12"/>
        </w:rPr>
        <w:t>cf-art-41-par-1-inc-II</w:t>
      </w:r>
    </w:p>
    <w:p>
      <w:pPr>
        <w:ind w:left="288"/>
      </w:pPr>
      <w:r>
        <w:rPr>
          <w:color w:val="1E1E1E"/>
          <w:sz w:val="18"/>
        </w:rPr>
        <w:t>É necessário processo administrativo com ampla defesa, para demissão de funcionário admitido por concurso.</w:t>
      </w:r>
    </w:p>
    <w:p>
      <w:pPr>
        <w:ind w:left="288"/>
      </w:pPr>
      <w:r>
        <w:rPr>
          <w:b/>
          <w:color w:val="003CA0"/>
          <w:sz w:val="16"/>
        </w:rPr>
        <w:t>[Súmula 20.]</w:t>
      </w:r>
    </w:p>
    <w:p>
      <w:pPr>
        <w:ind w:left="288"/>
      </w:pPr>
      <w:r>
        <w:rPr>
          <w:color w:val="8C8C8C"/>
          <w:sz w:val="12"/>
        </w:rPr>
        <w:t>cf-art-41-par-1-inc-II</w:t>
      </w:r>
    </w:p>
    <w:p>
      <w:pPr>
        <w:ind w:left="288"/>
      </w:pPr>
      <w:r>
        <w:rPr>
          <w:color w:val="1E1E1E"/>
          <w:sz w:val="18"/>
        </w:rPr>
        <w:t>É inadmissível segunda punição de servidor público, baseada no mesmo processo em que se fundou a primeira.</w:t>
      </w:r>
    </w:p>
    <w:p>
      <w:pPr>
        <w:ind w:left="288"/>
      </w:pPr>
      <w:r>
        <w:rPr>
          <w:b/>
          <w:color w:val="003CA0"/>
          <w:sz w:val="16"/>
        </w:rPr>
        <w:t>[Súmula 19.]</w:t>
      </w:r>
    </w:p>
    <w:p>
      <w:pPr>
        <w:ind w:left="288"/>
      </w:pPr>
      <w:r>
        <w:rPr>
          <w:color w:val="8C8C8C"/>
          <w:sz w:val="12"/>
        </w:rPr>
        <w:t>cf-art-41-par-1-inc-II</w:t>
      </w:r>
    </w:p>
    <w:p>
      <w:pPr>
        <w:ind w:left="288"/>
      </w:pPr>
      <w:r>
        <w:rPr>
          <w:color w:val="1E1E1E"/>
          <w:sz w:val="18"/>
        </w:rPr>
        <w:t>Pela falta residual, não compreendida na absolvição pelo juízo criminal, é admissível a punição administrativa do servidor público.</w:t>
      </w:r>
    </w:p>
    <w:p>
      <w:pPr>
        <w:ind w:left="288"/>
      </w:pPr>
      <w:r>
        <w:rPr>
          <w:b/>
          <w:color w:val="003CA0"/>
          <w:sz w:val="16"/>
        </w:rPr>
        <w:t>[Súmula 18.]</w:t>
      </w:r>
    </w:p>
    <w:p>
      <w:pPr>
        <w:ind w:left="144"/>
      </w:pPr>
      <w:r>
        <w:rPr>
          <w:b/>
          <w:color w:val="B45A00"/>
          <w:sz w:val="16"/>
        </w:rPr>
        <w:t>CONTROLE CONCENTRADO</w:t>
      </w:r>
    </w:p>
    <w:p>
      <w:pPr>
        <w:ind w:left="288"/>
      </w:pPr>
      <w:r>
        <w:rPr>
          <w:color w:val="8C8C8C"/>
          <w:sz w:val="12"/>
        </w:rPr>
        <w:t>cf-art-41-par-1-inc-II</w:t>
      </w:r>
      <w:r>
        <w:rPr>
          <w:color w:val="003CA0"/>
          <w:sz w:val="12"/>
        </w:rPr>
        <w:t xml:space="preserve"> | ADI 5.437</w:t>
      </w:r>
    </w:p>
    <w:p>
      <w:pPr>
        <w:ind w:left="288"/>
      </w:pPr>
      <w:r>
        <w:rPr>
          <w:color w:val="1E1E1E"/>
          <w:sz w:val="18"/>
        </w:rPr>
        <w:t>É constitucional a norma legal pela qual se impõe demissão por ineficiência no serviço público, apurada em processo administrativo disciplinar, assegurada a ampla defesa. Hipótese prevista no inc. II do § 1º do art. 41 da Constituição da República que não equivale à perda de cargo público por avaliação de desempenho a que se refere o inc. III do § 1º do art. 41 da Constituição da República.</w:t>
      </w:r>
    </w:p>
    <w:p>
      <w:pPr>
        <w:ind w:left="288"/>
      </w:pPr>
      <w:r>
        <w:rPr>
          <w:b/>
          <w:color w:val="003CA0"/>
          <w:sz w:val="16"/>
        </w:rPr>
        <w:t>[ADI 5.437, rel.. min. Cármen Lúcia, j. 23-11-2020, P, DJE de 3-12-2020.]</w:t>
      </w:r>
    </w:p>
    <w:p>
      <w:pPr>
        <w:ind w:left="144"/>
      </w:pPr>
      <w:r>
        <w:rPr>
          <w:b/>
          <w:color w:val="B45A00"/>
          <w:sz w:val="16"/>
        </w:rPr>
        <w:t>REPERCUSSAO GERAL</w:t>
      </w:r>
    </w:p>
    <w:p>
      <w:pPr>
        <w:ind w:left="288"/>
      </w:pPr>
      <w:r>
        <w:rPr>
          <w:color w:val="8C8C8C"/>
          <w:sz w:val="12"/>
        </w:rPr>
        <w:t>cf-art-41-par-1-inc-II</w:t>
      </w:r>
      <w:r>
        <w:rPr>
          <w:color w:val="003CA0"/>
          <w:sz w:val="12"/>
        </w:rPr>
        <w:t xml:space="preserve"> | ARE 691.306</w:t>
      </w:r>
      <w:r>
        <w:rPr>
          <w:color w:val="003CA0"/>
          <w:sz w:val="12"/>
        </w:rPr>
        <w:t xml:space="preserve"> | rel. Cezar Peluso</w:t>
      </w:r>
    </w:p>
    <w:p>
      <w:pPr>
        <w:ind w:left="288"/>
      </w:pPr>
      <w:r>
        <w:rPr>
          <w:color w:val="1E1E1E"/>
          <w:sz w:val="18"/>
        </w:rPr>
        <w:t>A Corte possui jurisprudência firmada no sentido de que a competência conferida à Justiça Militar pelo art. 125, § 4º, da Constituição é relativa à perda de graduação como pena acessória criminal, e não à sanção disciplinar, que pode decorrer de adequado processo administrativo (Súmula 673). Firmou-se, ainda, entendimento de que não há óbice à aplicação de sanção disciplinar administrativa antes do trânsito em julgado da ação penal, pois são relativamente independentes as instâncias jurisdicional e administrativa.</w:t>
        <w:br/>
        <w:t>[ARE 691.306 RG, voto do rel. min. Cezar Peluso, j. 23-8-2012, P, DJE de 11-9-20</w:t>
      </w:r>
    </w:p>
    <w:p>
      <w:pPr>
        <w:ind w:left="144"/>
      </w:pPr>
      <w:r>
        <w:rPr>
          <w:b/>
          <w:color w:val="B45A00"/>
          <w:sz w:val="16"/>
        </w:rPr>
        <w:t>JULGADOS CORRELATOS</w:t>
      </w:r>
    </w:p>
    <w:p>
      <w:pPr>
        <w:ind w:left="288"/>
      </w:pPr>
      <w:r>
        <w:rPr>
          <w:color w:val="8C8C8C"/>
          <w:sz w:val="12"/>
        </w:rPr>
        <w:t>cf-art-41-par-1-inc-II</w:t>
      </w:r>
      <w:r>
        <w:rPr>
          <w:color w:val="003CA0"/>
          <w:sz w:val="12"/>
        </w:rPr>
        <w:t xml:space="preserve"> | RMS 36.383</w:t>
      </w:r>
      <w:r>
        <w:rPr>
          <w:color w:val="003CA0"/>
          <w:sz w:val="12"/>
        </w:rPr>
        <w:t xml:space="preserve"> | rel. Gilmar Mendes</w:t>
      </w:r>
    </w:p>
    <w:p>
      <w:pPr>
        <w:ind w:left="288"/>
      </w:pPr>
      <w:r>
        <w:rPr>
          <w:color w:val="1E1E1E"/>
          <w:sz w:val="18"/>
        </w:rPr>
        <w:t>Reitor da Universidade de Brasília. Pena de demissão por processo administrativo disciplinar. Aplicação de sanção ao acusado em relação a cargo diferente (professor universitário) daquele no qual teriam sido praticadas as infrações disciplinares (reitor). Possibilidade. Art. 16, I, da Lei 5.540/1968, com redação dada pela Lei 9.192/1995. Participação de um dos membros da comissão em mais de um PAD, com fatos e objetos distintos, não determina a suspeição, unicamente por possuir o mesmo acusado. Literalidade do art. 18, I e III, da Lei 9.784/1999.</w:t>
      </w:r>
    </w:p>
    <w:p>
      <w:pPr>
        <w:ind w:left="288"/>
      </w:pPr>
      <w:r>
        <w:rPr>
          <w:b/>
          <w:color w:val="003CA0"/>
          <w:sz w:val="16"/>
        </w:rPr>
        <w:t>[RMS 36.383 AgR, rel. min. Gilmar Mendes, j. 29-5-2020, 2ª T, DJE de 10-6-2020.]</w:t>
      </w:r>
    </w:p>
    <w:p>
      <w:pPr>
        <w:ind w:left="288"/>
      </w:pPr>
      <w:r>
        <w:rPr>
          <w:color w:val="8C8C8C"/>
          <w:sz w:val="12"/>
        </w:rPr>
        <w:t>cf-art-41-par-1-inc-II</w:t>
      </w:r>
      <w:r>
        <w:rPr>
          <w:color w:val="003CA0"/>
          <w:sz w:val="12"/>
        </w:rPr>
        <w:t xml:space="preserve"> | RMS 28.490</w:t>
      </w:r>
      <w:r>
        <w:rPr>
          <w:color w:val="003CA0"/>
          <w:sz w:val="12"/>
        </w:rPr>
        <w:t xml:space="preserve"> | rel. Roberto Barroso</w:t>
      </w:r>
    </w:p>
    <w:p>
      <w:pPr>
        <w:ind w:left="288"/>
      </w:pPr>
      <w:r>
        <w:rPr>
          <w:color w:val="1E1E1E"/>
          <w:sz w:val="18"/>
        </w:rPr>
        <w:t>A jurisprudência desta Corte é firme no sentido de que não é impedido para integrar a Comissão de processo administrativo disciplinar servidor que tenha atuado na investigação judicial ou administrativa de possíveis fatos tidos por irregulares (...).</w:t>
      </w:r>
    </w:p>
    <w:p>
      <w:pPr>
        <w:ind w:left="288"/>
      </w:pPr>
      <w:r>
        <w:rPr>
          <w:b/>
          <w:color w:val="003CA0"/>
          <w:sz w:val="16"/>
        </w:rPr>
        <w:t>[RMS 28.490 AgR, rel. min. Roberto Barroso, j. 8-8-2017, P, DJE de 24-8-2017.]</w:t>
      </w:r>
    </w:p>
    <w:p>
      <w:pPr>
        <w:ind w:left="288"/>
      </w:pPr>
      <w:r>
        <w:rPr>
          <w:color w:val="8C8C8C"/>
          <w:sz w:val="12"/>
        </w:rPr>
        <w:t>cf-art-41-par-1-inc-II</w:t>
      </w:r>
      <w:r>
        <w:rPr>
          <w:color w:val="003CA0"/>
          <w:sz w:val="12"/>
        </w:rPr>
        <w:t xml:space="preserve"> | RMS 33.666</w:t>
      </w:r>
      <w:r>
        <w:rPr>
          <w:color w:val="003CA0"/>
          <w:sz w:val="12"/>
        </w:rPr>
        <w:t xml:space="preserve"> | rel. Dias Toffoli</w:t>
      </w:r>
    </w:p>
    <w:p>
      <w:pPr>
        <w:ind w:left="288"/>
      </w:pPr>
      <w:r>
        <w:rPr>
          <w:color w:val="1E1E1E"/>
          <w:sz w:val="18"/>
        </w:rPr>
        <w:t>Assentada a possibilidade de se proceder a diligências instrutórias com a designação de nova comissão, cumpre avaliar se, na hipótese dos autos, a primeira conclusão a que chegou o relatório da comissão autorizaria tal providência. A resposta é afirmativa. (...) quando do exame do primeiro relatório, havia dúvida razoável a amparar a continuidade do procedimento apuratório e, também, a opção da comissão julgadora pela continuidade da instrução, objetivando a coleta de novas provas a fim de elucidar a verdade dos fatos. Ora, “na hipótese de coleta de novos meios de prova ou de saneamento proces</w:t>
      </w:r>
    </w:p>
    <w:p>
      <w:pPr>
        <w:ind w:left="288"/>
      </w:pPr>
      <w:r>
        <w:rPr>
          <w:b/>
          <w:color w:val="003CA0"/>
          <w:sz w:val="16"/>
        </w:rPr>
        <w:t>[RE 784.302 AgR, rel. min. Dias Toffoli, j. 25-8-2015, 2ª T, DJE de 25-9-2015.]</w:t>
      </w:r>
    </w:p>
    <w:p>
      <w:pPr>
        <w:ind w:left="288"/>
      </w:pPr>
      <w:r>
        <w:rPr>
          <w:color w:val="8C8C8C"/>
          <w:sz w:val="12"/>
        </w:rPr>
        <w:t>cf-art-41-par-1-inc-II</w:t>
      </w:r>
      <w:r>
        <w:rPr>
          <w:color w:val="003CA0"/>
          <w:sz w:val="12"/>
        </w:rPr>
        <w:t xml:space="preserve"> | RMS 24.129</w:t>
      </w:r>
      <w:r>
        <w:rPr>
          <w:color w:val="003CA0"/>
          <w:sz w:val="12"/>
        </w:rPr>
        <w:t xml:space="preserve"> | rel. Joaquim Barbosa</w:t>
      </w:r>
    </w:p>
    <w:p>
      <w:pPr>
        <w:ind w:left="288"/>
      </w:pPr>
      <w:r>
        <w:rPr>
          <w:color w:val="1E1E1E"/>
          <w:sz w:val="18"/>
        </w:rPr>
        <w:t>A pena imposta ao servidor regula a prescrição. A anulação do processo administrativo original fixa como termo inicial do prazo a data em que o fato se tornou conhecido e, como termo final, a data de instauração do processo válido.</w:t>
      </w:r>
    </w:p>
    <w:p>
      <w:pPr>
        <w:ind w:left="288"/>
      </w:pPr>
      <w:r>
        <w:rPr>
          <w:b/>
          <w:color w:val="003CA0"/>
          <w:sz w:val="16"/>
        </w:rPr>
        <w:t>[RMS 24.129, rel. min. Joaquim Barbosa, j. 20-3-2012, 2ª T, DJE de 30-4-2012.]</w:t>
      </w:r>
    </w:p>
    <w:p>
      <w:pPr>
        <w:ind w:left="288"/>
      </w:pPr>
      <w:r>
        <w:rPr>
          <w:color w:val="8C8C8C"/>
          <w:sz w:val="12"/>
        </w:rPr>
        <w:t>cf-art-41-par-1-inc-II</w:t>
      </w:r>
      <w:r>
        <w:rPr>
          <w:color w:val="003CA0"/>
          <w:sz w:val="12"/>
        </w:rPr>
        <w:t xml:space="preserve"> | MS 23.187</w:t>
      </w:r>
      <w:r>
        <w:rPr>
          <w:color w:val="003CA0"/>
          <w:sz w:val="12"/>
        </w:rPr>
        <w:t xml:space="preserve"> | rel. Eros Grau</w:t>
      </w:r>
    </w:p>
    <w:p>
      <w:pPr>
        <w:ind w:left="288"/>
      </w:pPr>
      <w:r>
        <w:rPr>
          <w:color w:val="1E1E1E"/>
          <w:sz w:val="18"/>
        </w:rPr>
        <w:t>Auditoria realizada pela Superintendência Estadual do INSS no Rio de Janeiro apurou que servidores daquela autarquia haviam cadastrado "senhas fantasmas" nos sistemas de informática e, utilizando-se dessas matrículas, autorizaram a concessão indevida de benefícios previdenciários, gerando prejuízos ao erário. O superintendente estadual determinou, a partir dessas informações, a instauração de sindicância, destituindo os servidores das funções comissionadas que exerciam e afastando-os preventivamente de suas atividades. (...) Não se deu, no caso, qualquer violação dos princípios do contraditóri</w:t>
      </w:r>
    </w:p>
    <w:p>
      <w:pPr>
        <w:ind w:left="288"/>
      </w:pPr>
      <w:r>
        <w:rPr>
          <w:b/>
          <w:color w:val="003CA0"/>
          <w:sz w:val="16"/>
        </w:rPr>
        <w:t>[MS 23.187, rel. min. Eros Grau, j. 27-5-2010, P, DJE de 6-8-2010.]</w:t>
      </w:r>
    </w:p>
    <w:p>
      <w:pPr>
        <w:ind w:left="288"/>
      </w:pPr>
      <w:r>
        <w:rPr>
          <w:color w:val="8C8C8C"/>
          <w:sz w:val="12"/>
        </w:rPr>
        <w:t>cf-art-41-par-1-inc-II</w:t>
      </w:r>
      <w:r>
        <w:rPr>
          <w:color w:val="003CA0"/>
          <w:sz w:val="12"/>
        </w:rPr>
        <w:t xml:space="preserve"> | MS 23.034</w:t>
      </w:r>
      <w:r>
        <w:rPr>
          <w:color w:val="003CA0"/>
          <w:sz w:val="12"/>
        </w:rPr>
        <w:t xml:space="preserve"> | rel. Octavio Gallotti</w:t>
      </w:r>
    </w:p>
    <w:p>
      <w:pPr>
        <w:ind w:left="288"/>
      </w:pPr>
      <w:r>
        <w:rPr>
          <w:color w:val="1E1E1E"/>
          <w:sz w:val="18"/>
        </w:rPr>
        <w:t>Vide MS 23.034, rel. min. Octavio Gallotti, j. 29-3-1999, P, DJ de 18-6-1999 Processo administrativo disciplinar. (...) Imparcialidade. O fato de a mesma autoridade ter praticado vários atos no processo não conduz, necessariamente, a julgamento parcial. Impedimento que deve ser alegado no momento próprio, em sede administrativa.</w:t>
      </w:r>
    </w:p>
    <w:p>
      <w:pPr>
        <w:ind w:left="288"/>
      </w:pPr>
      <w:r>
        <w:rPr>
          <w:b/>
          <w:color w:val="003CA0"/>
          <w:sz w:val="16"/>
        </w:rPr>
        <w:t>[RMS 23.922, rel. min. Joaquim Barbosa, j. 9-2-2010, 2ª T, DJE de 12-3-2010.]</w:t>
      </w:r>
    </w:p>
    <w:p>
      <w:pPr>
        <w:ind w:left="288"/>
      </w:pPr>
      <w:r>
        <w:rPr>
          <w:color w:val="8C8C8C"/>
          <w:sz w:val="12"/>
        </w:rPr>
        <w:t>cf-art-41-par-1-inc-II</w:t>
      </w:r>
      <w:r>
        <w:rPr>
          <w:color w:val="003CA0"/>
          <w:sz w:val="12"/>
        </w:rPr>
        <w:t xml:space="preserve"> | RE 513.585</w:t>
      </w:r>
      <w:r>
        <w:rPr>
          <w:color w:val="003CA0"/>
          <w:sz w:val="12"/>
        </w:rPr>
        <w:t xml:space="preserve"> | rel. Eros Grau</w:t>
      </w:r>
    </w:p>
    <w:p>
      <w:pPr>
        <w:ind w:left="288"/>
      </w:pPr>
      <w:r>
        <w:rPr>
          <w:color w:val="1E1E1E"/>
          <w:sz w:val="18"/>
        </w:rPr>
        <w:t>A jurisprudência desta Corte tem se fixado no sentido de que a ausência de processo administrativo ou a inobservância aos princípios do contraditório e da ampla defesa tornam nulo o ato de demissão de servidor público, seja ele civil ou militar, estável ou não.</w:t>
      </w:r>
    </w:p>
    <w:p>
      <w:pPr>
        <w:ind w:left="288"/>
      </w:pPr>
      <w:r>
        <w:rPr>
          <w:b/>
          <w:color w:val="003CA0"/>
          <w:sz w:val="16"/>
        </w:rPr>
        <w:t>[RE 513.585 AgR, rel. min. Eros Grau, j. 17-6-2008, 2ª T, DJE de 1º-8-2008.]</w:t>
      </w:r>
    </w:p>
    <w:p>
      <w:pPr>
        <w:ind w:left="288"/>
      </w:pPr>
      <w:r>
        <w:rPr>
          <w:color w:val="8C8C8C"/>
          <w:sz w:val="12"/>
        </w:rPr>
        <w:t>cf-art-41-par-1-inc-II</w:t>
      </w:r>
      <w:r>
        <w:rPr>
          <w:color w:val="003CA0"/>
          <w:sz w:val="12"/>
        </w:rPr>
        <w:t xml:space="preserve"> | RE 594.040</w:t>
      </w:r>
      <w:r>
        <w:rPr>
          <w:color w:val="003CA0"/>
          <w:sz w:val="12"/>
        </w:rPr>
        <w:t xml:space="preserve"> | rel. Ricardo Lewandowski</w:t>
      </w:r>
    </w:p>
    <w:p>
      <w:pPr>
        <w:ind w:left="288"/>
      </w:pPr>
      <w:r>
        <w:rPr>
          <w:color w:val="1E1E1E"/>
          <w:sz w:val="18"/>
        </w:rPr>
        <w:t>= RE 594.040 AgR, rel. min. Ricardo Lewandowski, j. 6-4-2010, 1ª T, DJE de 23-4-2010 Vide RE 217.579 AgR, rel. min. Cezar Peluso, j. 16-12-2004, 1ª T, DJ de 4-3-2005 Servidor público. Demissão. Comissão disciplinar presidida por promotor de justiça, que se enquadra no conceito lato sensu de servidor público. A demissão da impetrante grávida baseou-se em justa causa. Legalidade do ato de demissão.</w:t>
      </w:r>
    </w:p>
    <w:p>
      <w:pPr>
        <w:ind w:left="288"/>
      </w:pPr>
      <w:r>
        <w:rPr>
          <w:b/>
          <w:color w:val="003CA0"/>
          <w:sz w:val="16"/>
        </w:rPr>
        <w:t>[MS 23.474, rel. min. Gilmar Mendes, j. 14-9-2006, P, DJ de 23-2-2007.]</w:t>
      </w:r>
    </w:p>
    <w:p>
      <w:pPr>
        <w:ind w:left="288"/>
      </w:pPr>
      <w:r>
        <w:rPr>
          <w:color w:val="8C8C8C"/>
          <w:sz w:val="12"/>
        </w:rPr>
        <w:t>cf-art-41-par-1-inc-II</w:t>
      </w:r>
      <w:r>
        <w:rPr>
          <w:color w:val="003CA0"/>
          <w:sz w:val="12"/>
        </w:rPr>
        <w:t xml:space="preserve"> | AI 504.869</w:t>
      </w:r>
      <w:r>
        <w:rPr>
          <w:color w:val="003CA0"/>
          <w:sz w:val="12"/>
        </w:rPr>
        <w:t xml:space="preserve"> | rel. Joaquim Barbosa</w:t>
      </w:r>
    </w:p>
    <w:p>
      <w:pPr>
        <w:ind w:left="288"/>
      </w:pPr>
      <w:r>
        <w:rPr>
          <w:color w:val="1E1E1E"/>
          <w:sz w:val="18"/>
        </w:rPr>
        <w:t>Licenciamento de policial militar sem estabilidade pode resultar de procedimento administrativo mais simplificado, desde que respeitado o contraditório e a ampla defesa.</w:t>
      </w:r>
    </w:p>
    <w:p>
      <w:pPr>
        <w:ind w:left="288"/>
      </w:pPr>
      <w:r>
        <w:rPr>
          <w:b/>
          <w:color w:val="003CA0"/>
          <w:sz w:val="16"/>
        </w:rPr>
        <w:t>[AI 504.869, rel. min. Joaquim Barbosa, j. 23-11-2004, 2ª T, DJ de 18-2-2005.]</w:t>
      </w:r>
    </w:p>
    <w:p>
      <w:pPr>
        <w:ind w:left="288"/>
      </w:pPr>
      <w:r>
        <w:rPr>
          <w:color w:val="8C8C8C"/>
          <w:sz w:val="12"/>
        </w:rPr>
        <w:t>cf-art-41-par-1-inc-II</w:t>
      </w:r>
      <w:r>
        <w:rPr>
          <w:color w:val="003CA0"/>
          <w:sz w:val="12"/>
        </w:rPr>
        <w:t xml:space="preserve"> | RE 247.349.</w:t>
      </w:r>
      <w:r>
        <w:rPr>
          <w:color w:val="003CA0"/>
          <w:sz w:val="12"/>
        </w:rPr>
        <w:t xml:space="preserve"> | rel. Sepúlveda Pertence</w:t>
      </w:r>
    </w:p>
    <w:p>
      <w:pPr>
        <w:ind w:left="288"/>
      </w:pPr>
      <w:r>
        <w:rPr>
          <w:color w:val="1E1E1E"/>
          <w:sz w:val="18"/>
        </w:rPr>
        <w:t>Servidor estadual em estágio probatório: exoneração não precedida de procedimento específico, com observância do direito à ampla defesa e ao contraditório, como impõe a Súmula 21/STF: nulidade. (...) Reconhecida a nulidade da exoneração, deve o servidor retornar à situação em que se encontrava antes do ato questionado, inclusive no que se refere ao tempo faltante para a complementação e avaliação regular do estágio probatório, fazendo jus ao pagamento da remuneração como se houvesse continuado no exercício do cargo; ressalva de entendimento pessoal do relator manifestado no julgamento do RE 24</w:t>
      </w:r>
    </w:p>
    <w:p>
      <w:pPr>
        <w:ind w:left="288"/>
      </w:pPr>
      <w:r>
        <w:rPr>
          <w:b/>
          <w:color w:val="003CA0"/>
          <w:sz w:val="16"/>
        </w:rPr>
        <w:t>[RE 222.532, rel. min. Sepúlveda Pertence, j. 8-8-2000, 1ª T, DJ de 1º-9-2000.]</w:t>
      </w:r>
    </w:p>
    <w:p>
      <w:pPr>
        <w:ind w:left="288"/>
      </w:pPr>
      <w:r>
        <w:rPr>
          <w:color w:val="8C8C8C"/>
          <w:sz w:val="12"/>
        </w:rPr>
        <w:t>cf-art-41-par-1-inc-II</w:t>
      </w:r>
      <w:r>
        <w:rPr>
          <w:color w:val="003CA0"/>
          <w:sz w:val="12"/>
        </w:rPr>
        <w:t xml:space="preserve"> | AI 623.854</w:t>
      </w:r>
      <w:r>
        <w:rPr>
          <w:color w:val="003CA0"/>
          <w:sz w:val="12"/>
        </w:rPr>
        <w:t xml:space="preserve"> | rel. Cármen Lúcia</w:t>
      </w:r>
    </w:p>
    <w:p>
      <w:pPr>
        <w:ind w:left="288"/>
      </w:pPr>
      <w:r>
        <w:rPr>
          <w:color w:val="1E1E1E"/>
          <w:sz w:val="18"/>
        </w:rPr>
        <w:t>= AI 623.854 AgR, rel. min. Cármen Lúcia, j. 25-8-2009, 1ª T, DJE de 23-10-2009 Vide RE 378.041, rel. min. Ayres Britto, j. 21-9-2004, 1ª T, DJ de 11-2-2005 Não obstante as sanções de suspensão e demissão tenham sido sucessivamente aplicadas ao mesmo fato, não há bis in idem, vedado pela Súmula 19, se, para aplicar a demissão, o presidente da República anulou previamente a suspensão, por incompetência da autoridade inferior que a impusera.</w:t>
      </w:r>
    </w:p>
    <w:p>
      <w:pPr>
        <w:ind w:left="288"/>
      </w:pPr>
      <w:r>
        <w:rPr>
          <w:b/>
          <w:color w:val="003CA0"/>
          <w:sz w:val="16"/>
        </w:rPr>
        <w:t>[MS 23.146, rel. min. Sepúlveda Pertence, j. 19-8-1999, P, DJ de 24-9-1999.]</w:t>
      </w:r>
    </w:p>
    <w:p>
      <w:pPr>
        <w:ind w:left="288"/>
      </w:pPr>
      <w:r>
        <w:rPr>
          <w:color w:val="8C8C8C"/>
          <w:sz w:val="12"/>
        </w:rPr>
        <w:t>cf-art-41-par-1-inc-II</w:t>
      </w:r>
      <w:r>
        <w:rPr>
          <w:color w:val="003CA0"/>
          <w:sz w:val="12"/>
        </w:rPr>
        <w:t xml:space="preserve"> | RMS 23.922</w:t>
      </w:r>
      <w:r>
        <w:rPr>
          <w:color w:val="003CA0"/>
          <w:sz w:val="12"/>
        </w:rPr>
        <w:t xml:space="preserve"> | rel. Joaquim Barbosa</w:t>
      </w:r>
    </w:p>
    <w:p>
      <w:pPr>
        <w:ind w:left="288"/>
      </w:pPr>
      <w:r>
        <w:rPr>
          <w:color w:val="1E1E1E"/>
          <w:sz w:val="18"/>
        </w:rPr>
        <w:t>= RMS 23.922, rel. min. Joaquim Barbosa, j. 9-2-2010, 2ª T, DJE de 12-3-2010 Não é obstáculo à aplicação da pena de demissão a circunstância de achar-se o servidor em gozo de licença especial.</w:t>
      </w:r>
    </w:p>
    <w:p>
      <w:pPr>
        <w:ind w:left="288"/>
      </w:pPr>
      <w:r>
        <w:rPr>
          <w:b/>
          <w:color w:val="003CA0"/>
          <w:sz w:val="16"/>
        </w:rPr>
        <w:t>[MS 23.034, rel. min. Octavio Gallotti, j. 29-3-1999, P, DJ de 18-6-1999.]</w:t>
      </w:r>
    </w:p>
    <w:p>
      <w:pPr>
        <w:ind w:left="288"/>
      </w:pPr>
      <w:r>
        <w:rPr>
          <w:color w:val="8C8C8C"/>
          <w:sz w:val="12"/>
        </w:rPr>
        <w:t>cf-art-41-par-1-inc-II</w:t>
      </w:r>
      <w:r>
        <w:rPr>
          <w:color w:val="003CA0"/>
          <w:sz w:val="12"/>
        </w:rPr>
        <w:t xml:space="preserve"> | MS 23.187</w:t>
      </w:r>
      <w:r>
        <w:rPr>
          <w:color w:val="003CA0"/>
          <w:sz w:val="12"/>
        </w:rPr>
        <w:t xml:space="preserve"> | rel. Eros Grau</w:t>
      </w:r>
    </w:p>
    <w:p>
      <w:pPr>
        <w:ind w:left="288"/>
      </w:pPr>
      <w:r>
        <w:rPr>
          <w:color w:val="1E1E1E"/>
          <w:sz w:val="18"/>
        </w:rPr>
        <w:t>Vide MS 23.187, rel. min. Eros Grau, j. 27-5-2010, P, DJE de 6-8-2010 Não há dúvida de que são independentes as instâncias penal e administrativa, só repercutindo aquela nesta quando ela se manifesta pela inexistência material do fato ou pela negativa de sua autoria.</w:t>
      </w:r>
    </w:p>
    <w:p>
      <w:pPr>
        <w:ind w:left="288"/>
      </w:pPr>
      <w:r>
        <w:rPr>
          <w:b/>
          <w:color w:val="003CA0"/>
          <w:sz w:val="16"/>
        </w:rPr>
        <w:t>[MS 21.545, rel. min. Moreira Alves, j. 11-3-1993, P, DJ de 2-4-1993.]</w:t>
      </w:r>
    </w:p>
    <w:p>
      <w:pPr>
        <w:ind w:left="288"/>
      </w:pPr>
      <w:r>
        <w:rPr>
          <w:color w:val="8C8C8C"/>
          <w:sz w:val="12"/>
        </w:rPr>
        <w:t>cf-art-41-par-1-inc-II</w:t>
      </w:r>
      <w:r>
        <w:rPr>
          <w:color w:val="003CA0"/>
          <w:sz w:val="12"/>
        </w:rPr>
        <w:t xml:space="preserve"> | ARE 691.306</w:t>
      </w:r>
      <w:r>
        <w:rPr>
          <w:color w:val="003CA0"/>
          <w:sz w:val="12"/>
        </w:rPr>
        <w:t xml:space="preserve"> | rel. Cezar Peluso</w:t>
      </w:r>
    </w:p>
    <w:p>
      <w:pPr>
        <w:ind w:left="288"/>
      </w:pPr>
      <w:r>
        <w:rPr>
          <w:color w:val="1E1E1E"/>
          <w:sz w:val="18"/>
        </w:rPr>
        <w:t>Vide ARE 691.306 RG, rel. min. Cezar Peluso, j. 23-8-2012, P, DJE de 11-9-2012, Tema 565</w:t>
      </w:r>
    </w:p>
    <w:p>
      <w:pPr>
        <w:ind w:left="144"/>
      </w:pPr>
      <w:r>
        <w:rPr>
          <w:b/>
          <w:color w:val="B45A00"/>
          <w:sz w:val="16"/>
        </w:rPr>
        <w:t>CONTROLE CONCENTRADO</w:t>
      </w:r>
    </w:p>
    <w:p>
      <w:pPr>
        <w:ind w:left="288"/>
      </w:pPr>
      <w:r>
        <w:rPr>
          <w:color w:val="8C8C8C"/>
          <w:sz w:val="12"/>
        </w:rPr>
        <w:t>cf-art-41-par-1-inc-III</w:t>
      </w:r>
      <w:r>
        <w:rPr>
          <w:color w:val="003CA0"/>
          <w:sz w:val="12"/>
        </w:rPr>
        <w:t xml:space="preserve"> | ADI 5.437</w:t>
      </w:r>
    </w:p>
    <w:p>
      <w:pPr>
        <w:ind w:left="288"/>
      </w:pPr>
      <w:r>
        <w:rPr>
          <w:color w:val="1E1E1E"/>
          <w:sz w:val="18"/>
        </w:rPr>
        <w:t>É constitucional a norma legal pela qual se impõe demissão por ineficiência no serviço público, apurada em processo administrativo disciplinar, assegurada a ampla defesa. Hipótese prevista no inc. II do § 1º do art. 41 da Constituição da República que não equivale à perda de cargo público por avaliação de desempenho a que se refere o inc. III do § 1º do art. 41 da Constituição da República.</w:t>
      </w:r>
    </w:p>
    <w:p>
      <w:pPr>
        <w:ind w:left="288"/>
      </w:pPr>
      <w:r>
        <w:rPr>
          <w:b/>
          <w:color w:val="003CA0"/>
          <w:sz w:val="16"/>
        </w:rPr>
        <w:t>[ADI 5.437, rel.. min. Cármen Lúcia, j. 23-11-2020, P, DJE de 3-12-2020.]</w:t>
      </w:r>
    </w:p>
    <w:p>
      <w:pPr>
        <w:ind w:left="144"/>
      </w:pPr>
      <w:r>
        <w:rPr>
          <w:b/>
          <w:color w:val="B45A00"/>
          <w:sz w:val="16"/>
        </w:rPr>
        <w:t>REPERCUSSAO GERAL</w:t>
      </w:r>
    </w:p>
    <w:p>
      <w:pPr>
        <w:ind w:left="288"/>
      </w:pPr>
      <w:r>
        <w:rPr>
          <w:color w:val="8C8C8C"/>
          <w:sz w:val="12"/>
        </w:rPr>
        <w:t>cf-art-41-par-1-inc-III</w:t>
      </w:r>
      <w:r>
        <w:rPr>
          <w:color w:val="003CA0"/>
          <w:sz w:val="12"/>
        </w:rPr>
        <w:t xml:space="preserve"> | RE 688.267</w:t>
      </w:r>
      <w:r>
        <w:rPr>
          <w:color w:val="003CA0"/>
          <w:sz w:val="12"/>
        </w:rPr>
        <w:t xml:space="preserve"> | rel. Alexandre de Moraes</w:t>
      </w:r>
    </w:p>
    <w:p>
      <w:pPr>
        <w:ind w:left="288"/>
      </w:pPr>
      <w:r>
        <w:rPr>
          <w:color w:val="1E1E1E"/>
          <w:sz w:val="18"/>
        </w:rPr>
        <w:t>As empresas públicas e as sociedades de economia mista, sejam elas prestadoras de serviço público ou exploradoras de atividade econômica, ainda que em regime concorrencial, têm o dever jurídico de motivar em ato formal, a demissão de seus empregados concursados, não se exigindo processo administrativo. Tal motivação deve consistir em fundamento razoável, não se exigindo, porém, que se enquadre nas hipóteses de justa causa da legislação trabalhista.</w:t>
        <w:br/>
        <w:t>[RE 688.267, rel. min. Alexandre de Moraes, red. do ac. min. Luís Roberto Barroso, j. 28.02.2024, P, DJE de 29.04.2024, Tema 1.022, com mérito julg</w:t>
      </w:r>
    </w:p>
    <w:p>
      <w:pPr>
        <w:ind w:left="144"/>
      </w:pPr>
      <w:r>
        <w:rPr>
          <w:b/>
          <w:color w:val="B45A00"/>
          <w:sz w:val="16"/>
        </w:rPr>
        <w:t>CONTROLE CONCENTRADO</w:t>
      </w:r>
    </w:p>
    <w:p>
      <w:pPr>
        <w:ind w:left="288"/>
      </w:pPr>
      <w:r>
        <w:rPr>
          <w:color w:val="8C8C8C"/>
          <w:sz w:val="12"/>
        </w:rPr>
        <w:t>cf-art-41-par-1-inc-III</w:t>
      </w:r>
      <w:r>
        <w:rPr>
          <w:color w:val="003CA0"/>
          <w:sz w:val="12"/>
        </w:rPr>
        <w:t xml:space="preserve"> | ADI 119</w:t>
      </w:r>
      <w:r>
        <w:rPr>
          <w:color w:val="003CA0"/>
          <w:sz w:val="12"/>
        </w:rPr>
        <w:t xml:space="preserve"> | rel. Dias Toffoli</w:t>
      </w:r>
    </w:p>
    <w:p>
      <w:pPr>
        <w:ind w:left="288"/>
      </w:pPr>
      <w:r>
        <w:rPr>
          <w:color w:val="1E1E1E"/>
          <w:sz w:val="18"/>
        </w:rPr>
        <w:t>É inconstitucional a garantia da disponibilidade remunerada ao ex-detentor de mandato eletivo, com a opção pelo retorno ou não às atividades, se servidor público, após o encerramento da atividade parlamentar. Não conformidade com o Texto Magno, por ofensa ao regime constitucional da disponibilidade do servidor público (art. 41, §§ 2º e 3º, CF/1988) e à regra de afastamento do titular de cargo público para o exercício de mandato eletivo (art. 38, CF/1988).</w:t>
      </w:r>
    </w:p>
    <w:p>
      <w:pPr>
        <w:ind w:left="288"/>
      </w:pPr>
      <w:r>
        <w:rPr>
          <w:b/>
          <w:color w:val="003CA0"/>
          <w:sz w:val="16"/>
        </w:rPr>
        <w:t>[ADI 119, rel. min. Dias Toffoli, j. 19-2-2014, P, DJE de 28-3-2014.]</w:t>
      </w:r>
    </w:p>
    <w:p>
      <w:pPr>
        <w:ind w:left="288"/>
      </w:pPr>
      <w:r>
        <w:rPr>
          <w:color w:val="8C8C8C"/>
          <w:sz w:val="12"/>
        </w:rPr>
        <w:t>cf-art-41-par-3</w:t>
      </w:r>
      <w:r>
        <w:rPr>
          <w:color w:val="003CA0"/>
          <w:sz w:val="12"/>
        </w:rPr>
        <w:t xml:space="preserve"> | ADI 239</w:t>
      </w:r>
      <w:r>
        <w:rPr>
          <w:color w:val="003CA0"/>
          <w:sz w:val="12"/>
        </w:rPr>
        <w:t xml:space="preserve"> | rel. Dias Toffoli</w:t>
      </w:r>
    </w:p>
    <w:p>
      <w:pPr>
        <w:ind w:left="288"/>
      </w:pPr>
      <w:r>
        <w:rPr>
          <w:color w:val="1E1E1E"/>
          <w:sz w:val="18"/>
        </w:rPr>
        <w:t>Art. 90, § 3º, da Constituição do Estado do Rio de Janeiro. Disponibilidade remunerada dos servidores públicos. (...) A imposição do prazo de um ano para aproveitamento do servidor em disponibilidade ofende materialmente a Carta Federal, pois consiste em obrigação criada pelo Poder Legislativo que não decorre direta ou indiretamente dos pressupostos essenciais à aplicação do instituto da disponibilidade definidos na Constituição da República (art. 41, § 3º), e, principalmente, porque não condiz com o postulado da independência dos Poderes instituídos, ainda que em sede do primeiro exercício do</w:t>
      </w:r>
    </w:p>
    <w:p>
      <w:pPr>
        <w:ind w:left="288"/>
      </w:pPr>
      <w:r>
        <w:rPr>
          <w:b/>
          <w:color w:val="003CA0"/>
          <w:sz w:val="16"/>
        </w:rPr>
        <w:t>[ADI 239, rel. min. Dias Toffoli, j. 19-2-2014, P, DJE de 30-10-2014.]</w:t>
      </w:r>
    </w:p>
    <w:p>
      <w:pPr>
        <w:ind w:left="288"/>
      </w:pPr>
      <w:r>
        <w:rPr>
          <w:color w:val="8C8C8C"/>
          <w:sz w:val="12"/>
        </w:rPr>
        <w:t>cf-art-41-par-3</w:t>
      </w:r>
      <w:r>
        <w:rPr>
          <w:color w:val="003CA0"/>
          <w:sz w:val="12"/>
        </w:rPr>
        <w:t xml:space="preserve"> | ADI 119</w:t>
      </w:r>
      <w:r>
        <w:rPr>
          <w:color w:val="003CA0"/>
          <w:sz w:val="12"/>
        </w:rPr>
        <w:t xml:space="preserve"> | rel. Dias Toffoli</w:t>
      </w:r>
    </w:p>
    <w:p>
      <w:pPr>
        <w:ind w:left="288"/>
      </w:pPr>
      <w:r>
        <w:rPr>
          <w:color w:val="1E1E1E"/>
          <w:sz w:val="18"/>
        </w:rPr>
        <w:t>É inconstitucional a garantia da disponibilidade remunerada ao ex-detentor de mandato eletivo, com a opção pelo retorno ou não às atividades, se servidor público, após o encerramento da atividade parlamentar. Não conformidade com o Texto Magno, por ofensa ao regime constitucional da disponibilidade do servidor público (art. 41, §§ 2º e 3º, CF/1988) e à regra de afastamento do titular de cargo público para o exercício de mandato eletivo (art. 38, CF/1988).</w:t>
      </w:r>
    </w:p>
    <w:p>
      <w:pPr>
        <w:ind w:left="288"/>
      </w:pPr>
      <w:r>
        <w:rPr>
          <w:b/>
          <w:color w:val="003CA0"/>
          <w:sz w:val="16"/>
        </w:rPr>
        <w:t>[ADI 119, rel. min. Dias Toffoli, j. 19-2-2014, P, DJE de 28-3-2014.]</w:t>
      </w:r>
    </w:p>
    <w:p>
      <w:pPr>
        <w:ind w:left="288"/>
      </w:pPr>
      <w:r>
        <w:rPr>
          <w:color w:val="8C8C8C"/>
          <w:sz w:val="12"/>
        </w:rPr>
        <w:t>cf-art-41-par-3</w:t>
      </w:r>
      <w:r>
        <w:rPr>
          <w:color w:val="003CA0"/>
          <w:sz w:val="12"/>
        </w:rPr>
        <w:t xml:space="preserve"> | ADI 2.645</w:t>
      </w:r>
      <w:r>
        <w:rPr>
          <w:color w:val="003CA0"/>
          <w:sz w:val="12"/>
        </w:rPr>
        <w:t xml:space="preserve"> | rel. Sepúlveda Pertence</w:t>
      </w:r>
    </w:p>
    <w:p>
      <w:pPr>
        <w:ind w:left="288"/>
      </w:pPr>
      <w:r>
        <w:rPr>
          <w:color w:val="1E1E1E"/>
          <w:sz w:val="18"/>
        </w:rPr>
        <w:t>Ação direta de inconstitucionalidade parcial: incindibilidade do contexto do diploma legal: impossibilidade jurídica. Da declaração de inconstitucionalidade adstrita à regra de aproveitamento automático decorreria, com a subsistência da parte inicial do art. 170, a inversão do sentido inequívoco do pertinente conjunto normativo da Lei 1.284/2001: a disponibilidade dos ocupantes dos cargos extintos – que a lei quis beneficiar com o aproveitamento automático – e, com essa disponibilidade, a drástica consequência – não pretendida pela lei benéfica – de reduzir-lhes a remuneração na razão do tempo</w:t>
      </w:r>
    </w:p>
    <w:p>
      <w:pPr>
        <w:ind w:left="288"/>
      </w:pPr>
      <w:r>
        <w:rPr>
          <w:b/>
          <w:color w:val="003CA0"/>
          <w:sz w:val="16"/>
        </w:rPr>
        <w:t>[ADI 2.645 MC, rel. min. Sepúlveda Pertence, j. 11-11-2004, P, DJ de 29-9-2006.]</w:t>
      </w:r>
    </w:p>
    <w:p>
      <w:pPr>
        <w:ind w:left="144"/>
      </w:pPr>
      <w:r>
        <w:rPr>
          <w:b/>
          <w:color w:val="B45A00"/>
          <w:sz w:val="16"/>
        </w:rPr>
        <w:t>JULGADOS CORRELATOS</w:t>
      </w:r>
    </w:p>
    <w:p>
      <w:pPr>
        <w:ind w:left="288"/>
      </w:pPr>
      <w:r>
        <w:rPr>
          <w:color w:val="8C8C8C"/>
          <w:sz w:val="12"/>
        </w:rPr>
        <w:t>cf-art-41-par-3</w:t>
      </w:r>
      <w:r>
        <w:rPr>
          <w:color w:val="003CA0"/>
          <w:sz w:val="12"/>
        </w:rPr>
        <w:t xml:space="preserve"> | RE 194.082</w:t>
      </w:r>
      <w:r>
        <w:rPr>
          <w:color w:val="003CA0"/>
          <w:sz w:val="12"/>
        </w:rPr>
        <w:t xml:space="preserve"> | rel. Menezes Direito</w:t>
      </w:r>
    </w:p>
    <w:p>
      <w:pPr>
        <w:ind w:left="288"/>
      </w:pPr>
      <w:r>
        <w:rPr>
          <w:color w:val="1E1E1E"/>
          <w:sz w:val="18"/>
        </w:rPr>
        <w:t>Já assentou a Suprema Corte que a declaração de desnecessidade de cargos públicos está subordinada ao juízo de conveniência e oportunidade da administração, não dependendo de lei ordinária para tanto.</w:t>
      </w:r>
    </w:p>
    <w:p>
      <w:pPr>
        <w:ind w:left="288"/>
      </w:pPr>
      <w:r>
        <w:rPr>
          <w:b/>
          <w:color w:val="003CA0"/>
          <w:sz w:val="16"/>
        </w:rPr>
        <w:t>[RE 194.082, rel. min. Menezes Direito, j. 22-4-2008, 1ª T, DJE de 30-5-2008.]</w:t>
      </w:r>
    </w:p>
    <w:p>
      <w:pPr>
        <w:ind w:left="288"/>
      </w:pPr>
      <w:r>
        <w:rPr>
          <w:color w:val="8C8C8C"/>
          <w:sz w:val="12"/>
        </w:rPr>
        <w:t>cf-art-41-par-3</w:t>
      </w:r>
      <w:r>
        <w:rPr>
          <w:color w:val="003CA0"/>
          <w:sz w:val="12"/>
        </w:rPr>
        <w:t xml:space="preserve"> | RE 560.464</w:t>
      </w:r>
      <w:r>
        <w:rPr>
          <w:color w:val="003CA0"/>
          <w:sz w:val="12"/>
        </w:rPr>
        <w:t xml:space="preserve"> | rel. Eros Grau</w:t>
      </w:r>
    </w:p>
    <w:p>
      <w:pPr>
        <w:ind w:left="288"/>
      </w:pPr>
      <w:r>
        <w:rPr>
          <w:color w:val="1E1E1E"/>
          <w:sz w:val="18"/>
        </w:rPr>
        <w:t>O servidor público posto em disponibilidade tem o direito de ser aproveitado em outro cargo da administração pública direta ou indireta, desde que observada a compatibilidade de atribuições e vencimentos com o cargo anterior.</w:t>
      </w:r>
    </w:p>
    <w:p>
      <w:pPr>
        <w:ind w:left="288"/>
      </w:pPr>
      <w:r>
        <w:rPr>
          <w:b/>
          <w:color w:val="003CA0"/>
          <w:sz w:val="16"/>
        </w:rPr>
        <w:t>[RE 560.464 AgR, rel. min. Eros Grau, j. 11-12-2007, 2ª T, DJE de 15-2-2008.]</w:t>
      </w:r>
    </w:p>
    <w:p>
      <w:pPr>
        <w:ind w:left="288"/>
      </w:pPr>
      <w:r>
        <w:rPr>
          <w:color w:val="8C8C8C"/>
          <w:sz w:val="12"/>
        </w:rPr>
        <w:t>cf-art-41-par-3</w:t>
      </w:r>
      <w:r>
        <w:rPr>
          <w:color w:val="003CA0"/>
          <w:sz w:val="12"/>
        </w:rPr>
        <w:t xml:space="preserve"> | ARE 656.166</w:t>
      </w:r>
      <w:r>
        <w:rPr>
          <w:color w:val="003CA0"/>
          <w:sz w:val="12"/>
        </w:rPr>
        <w:t xml:space="preserve"> | rel. Cármen Lúcia</w:t>
      </w:r>
    </w:p>
    <w:p>
      <w:pPr>
        <w:ind w:left="288"/>
      </w:pPr>
      <w:r>
        <w:rPr>
          <w:color w:val="1E1E1E"/>
          <w:sz w:val="18"/>
        </w:rPr>
        <w:t>= ARE 656.166 AgR, rel. min. Cármen Lúcia, j. 22-11-2011, 1ª T, DJE de 14-12-2011 Os cargos públicos apenas podem ser criados e extintos por lei de iniciativa do presidente da República. A declaração de desnecessidade sem amparo legal não é hábil a extingui-los.</w:t>
      </w:r>
    </w:p>
    <w:p>
      <w:pPr>
        <w:ind w:left="288"/>
      </w:pPr>
      <w:r>
        <w:rPr>
          <w:b/>
          <w:color w:val="003CA0"/>
          <w:sz w:val="16"/>
        </w:rPr>
        <w:t>[RE 240.735 AgR, rel. min. Eros Grau, j. 28-3-2006, 2ª T, DJ de 5-5-2006.]</w:t>
      </w:r>
    </w:p>
    <w:p>
      <w:pPr>
        <w:ind w:left="288"/>
      </w:pPr>
      <w:r>
        <w:rPr>
          <w:color w:val="8C8C8C"/>
          <w:sz w:val="12"/>
        </w:rPr>
        <w:t>cf-art-41-par-3</w:t>
      </w:r>
      <w:r>
        <w:rPr>
          <w:color w:val="003CA0"/>
          <w:sz w:val="12"/>
        </w:rPr>
        <w:t xml:space="preserve"> | MS 21.225</w:t>
      </w:r>
      <w:r>
        <w:rPr>
          <w:color w:val="003CA0"/>
          <w:sz w:val="12"/>
        </w:rPr>
        <w:t xml:space="preserve"> | rel. Marco Aurélio</w:t>
      </w:r>
    </w:p>
    <w:p>
      <w:pPr>
        <w:ind w:left="288"/>
      </w:pPr>
      <w:r>
        <w:rPr>
          <w:color w:val="1E1E1E"/>
          <w:sz w:val="18"/>
        </w:rPr>
        <w:t>A disponibilidade não tem contornos pessoais, estando ligada ao cargo efetivo ocupado pelo servidor. (...) Dispensável é a especificação do cargo na lei de regência da disponibilidade, podendo a individualização resultar de decreto regulamentador, observando-se, neste, a lei regulamentada.</w:t>
      </w:r>
    </w:p>
    <w:p>
      <w:pPr>
        <w:ind w:left="288"/>
      </w:pPr>
      <w:r>
        <w:rPr>
          <w:b/>
          <w:color w:val="003CA0"/>
          <w:sz w:val="16"/>
        </w:rPr>
        <w:t>[MS 21.225, rel. min. Marco Aurélio, j. 17-6-1993, P, DJ de 31-3-2000.]</w:t>
      </w:r>
    </w:p>
    <w:p>
      <w:pPr>
        <w:ind w:left="288"/>
      </w:pPr>
      <w:r>
        <w:rPr>
          <w:color w:val="8C8C8C"/>
          <w:sz w:val="12"/>
        </w:rPr>
        <w:t>cf-art-41-par-4</w:t>
      </w:r>
      <w:r>
        <w:rPr>
          <w:color w:val="003CA0"/>
          <w:sz w:val="12"/>
        </w:rPr>
        <w:t xml:space="preserve"> | RMS 28.032</w:t>
      </w:r>
      <w:r>
        <w:rPr>
          <w:color w:val="003CA0"/>
          <w:sz w:val="12"/>
        </w:rPr>
        <w:t xml:space="preserve"> | rel. Cármen Lúcia</w:t>
      </w:r>
    </w:p>
    <w:p>
      <w:pPr>
        <w:ind w:left="288"/>
      </w:pPr>
      <w:r>
        <w:rPr>
          <w:color w:val="1E1E1E"/>
          <w:sz w:val="18"/>
        </w:rPr>
        <w:t>A aprovação no Programa de Formação e Aperfeiçoamento na Carreira de Diplomata atende a condição de avaliação especial de desempenho para a aquisição da estabilidade na carreira de diplomata (§ 4º do art. 41 da Constituição da República e inciso V do § 2º do Decreto 93.325/1986), não sendo, contudo, requisito para a promoção, nos termos dos arts. 51 e 53 da Lei 11.440/2006.</w:t>
      </w:r>
    </w:p>
    <w:p>
      <w:pPr>
        <w:ind w:left="288"/>
      </w:pPr>
      <w:r>
        <w:rPr>
          <w:b/>
          <w:color w:val="003CA0"/>
          <w:sz w:val="16"/>
        </w:rPr>
        <w:t>[RMS 28.032, rel. min. Cármen Lúcia, j. 23-3-2010, 1ª T, DJE de 28-5-2010.]</w:t>
      </w:r>
    </w:p>
    <w:p>
      <w:pPr>
        <w:ind w:left="288"/>
      </w:pPr>
      <w:r>
        <w:rPr>
          <w:color w:val="8C8C8C"/>
          <w:sz w:val="12"/>
        </w:rPr>
        <w:t>cf-art-41-par-4</w:t>
      </w:r>
    </w:p>
    <w:p>
      <w:pPr>
        <w:ind w:left="288"/>
      </w:pPr>
      <w:r>
        <w:rPr>
          <w:color w:val="1E1E1E"/>
          <w:sz w:val="18"/>
        </w:rPr>
        <w:t>Seção III Dos Militares dos Estados, do Distrito Federal e dos Territórios (Redação da EC 18/1998) SUMÁRIO</w:t>
      </w:r>
    </w:p>
    <w:p>
      <w:pPr>
        <w:ind w:left="432"/>
      </w:pPr>
      <w:r>
        <w:rPr>
          <w:color w:val="003366"/>
          <w:sz w:val="18"/>
        </w:rPr>
        <w:t>§ 1 Considerar-se-ão revogados após dois anos, a partir da data da promulgação d</w:t>
      </w:r>
    </w:p>
    <w:p>
      <w:pPr>
        <w:ind w:left="432"/>
      </w:pPr>
      <w:r>
        <w:rPr>
          <w:color w:val="003366"/>
          <w:sz w:val="18"/>
        </w:rPr>
        <w:t>§ 2 A revogação não prejudicará os direitos que já tiverem sido adquiridos, àque</w:t>
      </w:r>
    </w:p>
    <w:p>
      <w:pPr>
        <w:ind w:left="432"/>
      </w:pPr>
      <w:r>
        <w:rPr>
          <w:color w:val="003366"/>
          <w:sz w:val="18"/>
        </w:rPr>
        <w:t>§ 3 Os incentivos concedidos por convênio entre Estados, celebrados nos termos d</w:t>
      </w:r>
    </w:p>
    <w:p>
      <w:r>
        <w:rPr>
          <w:b/>
          <w:color w:val="003366"/>
          <w:sz w:val="20"/>
        </w:rPr>
        <w:t>Art. 42 Durante 40 (quarenta) anos, a União aplicará dos recursos destinados à i</w:t>
      </w:r>
      <w:r>
        <w:rPr>
          <w:color w:val="8C8C8C"/>
          <w:sz w:val="14"/>
        </w:rPr>
        <w:t xml:space="preserve">  [8 decisoes]</w:t>
      </w:r>
    </w:p>
    <w:p>
      <w:pPr>
        <w:ind w:left="288"/>
      </w:pPr>
      <w:r>
        <w:rPr>
          <w:color w:val="8C8C8C"/>
          <w:sz w:val="12"/>
        </w:rPr>
        <w:t>cf-art-42</w:t>
      </w:r>
    </w:p>
    <w:p>
      <w:pPr>
        <w:ind w:left="288"/>
      </w:pPr>
      <w:r>
        <w:rPr>
          <w:color w:val="1E1E1E"/>
          <w:sz w:val="18"/>
        </w:rPr>
        <w:t>§ 1º Aplicam-se aos militares dos Estados, do Distrito Federal e dos Territórios, além do que vier a ser fixado em lei, as disposições do art. 14, § 8º; do art. 40, § 9º; e do art. 142, §§ 2º e 3º, cabendo a lei estadual específica dispor sobre as matérias do art. 142, § 3º, X, sendo as patentes dos oficiais conferidas pelos respectivos governadores. (Redação da EC 20/1998)</w:t>
      </w:r>
    </w:p>
    <w:p>
      <w:pPr>
        <w:ind w:left="144"/>
      </w:pPr>
      <w:r>
        <w:rPr>
          <w:b/>
          <w:color w:val="B45A00"/>
          <w:sz w:val="16"/>
        </w:rPr>
        <w:t>SUMULA VINCULANTE</w:t>
      </w:r>
    </w:p>
    <w:p>
      <w:pPr>
        <w:ind w:left="288"/>
      </w:pPr>
      <w:r>
        <w:rPr>
          <w:color w:val="8C8C8C"/>
          <w:sz w:val="12"/>
        </w:rPr>
        <w:t>cf-art-42</w:t>
      </w:r>
    </w:p>
    <w:p>
      <w:pPr>
        <w:ind w:left="288"/>
      </w:pPr>
      <w:r>
        <w:rPr>
          <w:color w:val="1E1E1E"/>
          <w:sz w:val="18"/>
        </w:rPr>
        <w:t>Salvo nos casos previstos na Constituição, o salário mínimo não pode ser usado como indexador de base de cálculo de vantagem de servidor público ou de empregado, nem ser substituído por decisão judicial.</w:t>
      </w:r>
    </w:p>
    <w:p>
      <w:pPr>
        <w:ind w:left="288"/>
      </w:pPr>
      <w:r>
        <w:rPr>
          <w:b/>
          <w:color w:val="003CA0"/>
          <w:sz w:val="16"/>
        </w:rPr>
        <w:t>[Súmula Vinculante 4.]</w:t>
      </w:r>
    </w:p>
    <w:p>
      <w:pPr>
        <w:ind w:left="144"/>
      </w:pPr>
      <w:r>
        <w:rPr>
          <w:b/>
          <w:color w:val="B45A00"/>
          <w:sz w:val="16"/>
        </w:rPr>
        <w:t>CONTROLE CONCENTRADO</w:t>
      </w:r>
    </w:p>
    <w:p>
      <w:pPr>
        <w:ind w:left="288"/>
      </w:pPr>
      <w:r>
        <w:rPr>
          <w:color w:val="8C8C8C"/>
          <w:sz w:val="12"/>
        </w:rPr>
        <w:t>cf-art-42</w:t>
      </w:r>
      <w:r>
        <w:rPr>
          <w:color w:val="003CA0"/>
          <w:sz w:val="12"/>
        </w:rPr>
        <w:t xml:space="preserve"> | ADI 5.783</w:t>
      </w:r>
      <w:r>
        <w:rPr>
          <w:color w:val="003CA0"/>
          <w:sz w:val="12"/>
        </w:rPr>
        <w:t xml:space="preserve"> | rel. Luiz Fux</w:t>
      </w:r>
    </w:p>
    <w:p>
      <w:pPr>
        <w:ind w:left="288"/>
      </w:pPr>
      <w:r>
        <w:rPr>
          <w:color w:val="1E1E1E"/>
          <w:sz w:val="18"/>
        </w:rPr>
        <w:t>Alegação de violação ao disposto no artigo 42, § 1º, que exige lei específica para tratar do regime de previdência do servidor militar, nos termos do art. 142, § 3º, inciso X, da Constituição Federal. Inocorrência. A inclusão em um mesmo diploma normativo de regra geral, comum a servidores civis e militares, não ofende a exigência constitucional de lei específica para tratar da inatividade dos militares.</w:t>
        <w:br/>
        <w:t>[ADI 5.783, rel. min. Luiz Fux, red. do ac. min. Gilmar Mendes, j. 12-9-2023, P, DJE de 14-11-2023.]</w:t>
      </w:r>
    </w:p>
    <w:p>
      <w:pPr>
        <w:ind w:left="144"/>
      </w:pPr>
      <w:r>
        <w:rPr>
          <w:b/>
          <w:color w:val="B45A00"/>
          <w:sz w:val="16"/>
        </w:rPr>
        <w:t>REPERCUSSAO GERAL</w:t>
      </w:r>
    </w:p>
    <w:p>
      <w:pPr>
        <w:ind w:left="288"/>
      </w:pPr>
      <w:r>
        <w:rPr>
          <w:color w:val="8C8C8C"/>
          <w:sz w:val="12"/>
        </w:rPr>
        <w:t>cf-art-42</w:t>
      </w:r>
      <w:r>
        <w:rPr>
          <w:color w:val="003CA0"/>
          <w:sz w:val="12"/>
        </w:rPr>
        <w:t xml:space="preserve"> | RE 970.823</w:t>
      </w:r>
    </w:p>
    <w:p>
      <w:pPr>
        <w:ind w:left="288"/>
      </w:pPr>
      <w:r>
        <w:rPr>
          <w:color w:val="1E1E1E"/>
          <w:sz w:val="18"/>
        </w:rPr>
        <w:t>“I - A Constituição Federal não prevê adicional noturno aos Militares Estaduais ou Distritais. II – Mandado de Injunção será cabível para que se apliquem, aos militares estaduais, as normas que regulamentam o adicional noturno dos servidores públicos civis, desde que o direito a tal parcela remuneratória esteja expressamente previsto na Constituição Estadual ou na Lei Orgânica do Distrito Federal”.</w:t>
      </w:r>
    </w:p>
    <w:p>
      <w:pPr>
        <w:ind w:left="288"/>
      </w:pPr>
      <w:r>
        <w:rPr>
          <w:b/>
          <w:color w:val="003CA0"/>
          <w:sz w:val="16"/>
        </w:rPr>
        <w:t>[RE 970.823, red. do ac. min. Alexandre de Moraes, j. 18-8-2020, P, DJE de 4-9-2020, Tema 1.038, com mérito julgado.]</w:t>
      </w:r>
    </w:p>
    <w:p>
      <w:pPr>
        <w:ind w:left="144"/>
      </w:pPr>
      <w:r>
        <w:rPr>
          <w:b/>
          <w:color w:val="B45A00"/>
          <w:sz w:val="16"/>
        </w:rPr>
        <w:t>JULGADOS CORRELATOS</w:t>
      </w:r>
    </w:p>
    <w:p>
      <w:pPr>
        <w:ind w:left="288"/>
      </w:pPr>
      <w:r>
        <w:rPr>
          <w:color w:val="8C8C8C"/>
          <w:sz w:val="12"/>
        </w:rPr>
        <w:t>cf-art-42</w:t>
      </w:r>
      <w:r>
        <w:rPr>
          <w:color w:val="003CA0"/>
          <w:sz w:val="12"/>
        </w:rPr>
        <w:t xml:space="preserve"> | ACO 3.396</w:t>
      </w:r>
      <w:r>
        <w:rPr>
          <w:color w:val="003CA0"/>
          <w:sz w:val="12"/>
        </w:rPr>
        <w:t xml:space="preserve"> | rel. Alexandre de Moraes</w:t>
      </w:r>
    </w:p>
    <w:p>
      <w:pPr>
        <w:ind w:left="288"/>
      </w:pPr>
      <w:r>
        <w:rPr>
          <w:color w:val="1E1E1E"/>
          <w:sz w:val="18"/>
        </w:rPr>
        <w:t>Cabe à lei estadual, nos termos do art. 42, § 1º, da Constituição Federal, regulamentar as disposições do art. 142, § 3º, inciso X, dentre as quais as relativas ao regime de aposentadoria dos militares estaduais e a questões pertinentes ao regime jurídico.</w:t>
      </w:r>
    </w:p>
    <w:p>
      <w:pPr>
        <w:ind w:left="288"/>
      </w:pPr>
      <w:r>
        <w:rPr>
          <w:b/>
          <w:color w:val="003CA0"/>
          <w:sz w:val="16"/>
        </w:rPr>
        <w:t>[ACO 3.396, rel. min. Alexandre de Moraes, j. 5-10-2020, P, DJE de 19-10-2020.]</w:t>
      </w:r>
    </w:p>
    <w:p>
      <w:pPr>
        <w:ind w:left="288"/>
      </w:pPr>
      <w:r>
        <w:rPr>
          <w:color w:val="8C8C8C"/>
          <w:sz w:val="12"/>
        </w:rPr>
        <w:t>cf-art-42</w:t>
      </w:r>
      <w:r>
        <w:rPr>
          <w:color w:val="003CA0"/>
          <w:sz w:val="12"/>
        </w:rPr>
        <w:t xml:space="preserve"> | ARE 818.547</w:t>
      </w:r>
      <w:r>
        <w:rPr>
          <w:color w:val="003CA0"/>
          <w:sz w:val="12"/>
        </w:rPr>
        <w:t xml:space="preserve"> | rel. Roberto Barroso</w:t>
      </w:r>
    </w:p>
    <w:p>
      <w:pPr>
        <w:ind w:left="288"/>
      </w:pPr>
      <w:r>
        <w:rPr>
          <w:color w:val="1E1E1E"/>
          <w:sz w:val="18"/>
        </w:rPr>
        <w:t>De acordo com o art. 42 da CF, cabe à lei própria fixar o regime jurídico de aposentadoria dos servidores militares, de modo que, existindo norma específica (LC 51/1985 ou DL estadual 260/1970), não há que se falar em aplicação da regra prevista aos trabalhadores em geral (Lei 8.213/1991).</w:t>
      </w:r>
    </w:p>
    <w:p>
      <w:pPr>
        <w:ind w:left="288"/>
      </w:pPr>
      <w:r>
        <w:rPr>
          <w:b/>
          <w:color w:val="003CA0"/>
          <w:sz w:val="16"/>
        </w:rPr>
        <w:t>[ARE 818.547 AgR, rel. min. Roberto Barroso, j. 30-9-2014, 1ª T, DJE de 15-10-2014.]</w:t>
      </w:r>
    </w:p>
    <w:p>
      <w:pPr>
        <w:ind w:left="288"/>
      </w:pPr>
      <w:r>
        <w:rPr>
          <w:color w:val="8C8C8C"/>
          <w:sz w:val="12"/>
        </w:rPr>
        <w:t>cf-art-42</w:t>
      </w:r>
      <w:r>
        <w:rPr>
          <w:color w:val="003CA0"/>
          <w:sz w:val="12"/>
        </w:rPr>
        <w:t xml:space="preserve"> | ARE 870.509</w:t>
      </w:r>
      <w:r>
        <w:rPr>
          <w:color w:val="003CA0"/>
          <w:sz w:val="12"/>
        </w:rPr>
        <w:t xml:space="preserve"> | rel. Cármen Lúcia</w:t>
      </w:r>
    </w:p>
    <w:p>
      <w:pPr>
        <w:ind w:left="288"/>
      </w:pPr>
      <w:r>
        <w:rPr>
          <w:color w:val="1E1E1E"/>
          <w:sz w:val="18"/>
        </w:rPr>
        <w:t>= ARE 870.509 AgR, rel. min. Cármen Lúcia, j. 12-5-2015, 2ª T, DJE de 22-5-2015 Cabe à lei estadual, nos termos da norma constitucional do art. 142, § 3º, X, regular as disposições do art. 42, § 1º, da CF e estabelecer as condições de transferência do militar para a inatividade.</w:t>
      </w:r>
    </w:p>
    <w:p>
      <w:pPr>
        <w:ind w:left="288"/>
      </w:pPr>
      <w:r>
        <w:rPr>
          <w:b/>
          <w:color w:val="003CA0"/>
          <w:sz w:val="16"/>
        </w:rPr>
        <w:t>[RE 495.341 AgR, rel. min. Ellen Gracie, j. 14-9-2010, 2ª T, DJE de 1º-10-2010.]</w:t>
      </w:r>
    </w:p>
    <w:p>
      <w:pPr>
        <w:ind w:left="144"/>
      </w:pPr>
      <w:r>
        <w:rPr>
          <w:b/>
          <w:color w:val="B45A00"/>
          <w:sz w:val="16"/>
        </w:rPr>
        <w:t>CONTROLE CONCENTRADO</w:t>
      </w:r>
    </w:p>
    <w:p>
      <w:pPr>
        <w:ind w:left="288"/>
      </w:pPr>
      <w:r>
        <w:rPr>
          <w:color w:val="8C8C8C"/>
          <w:sz w:val="12"/>
        </w:rPr>
        <w:t>cf-art-42-par-3</w:t>
      </w:r>
      <w:r>
        <w:rPr>
          <w:color w:val="003CA0"/>
          <w:sz w:val="12"/>
        </w:rPr>
        <w:t xml:space="preserve"> | ADI 3.663</w:t>
      </w:r>
      <w:r>
        <w:rPr>
          <w:color w:val="003CA0"/>
          <w:sz w:val="12"/>
        </w:rPr>
        <w:t xml:space="preserve"> | rel. Dias Toffoli</w:t>
      </w:r>
    </w:p>
    <w:p>
      <w:pPr>
        <w:ind w:left="288"/>
      </w:pPr>
      <w:r>
        <w:rPr>
          <w:color w:val="1E1E1E"/>
          <w:sz w:val="18"/>
        </w:rPr>
        <w:t xml:space="preserve">A designação para a prestação de tarefa por prazo certo, prevista na legislação maranhense, guarda muita semelhança com o instituto da prestação de tarefa por tempo certo, existente na legislação militar federal. Cuida-se de instrumento atípico de gestão de pessoal da Administração Castrense, o qual visa, precipuamente, ao aproveitamento das habilidades e expertises dos militares em inatividade, podendo vir a suprir, circunstancialmente, a carência de efetivo na organização militar. O militar da reserva que presta tarefas por tempo certo permanece em situação de inatividade, exercendo de modo </w:t>
      </w:r>
    </w:p>
    <w:p>
      <w:pPr>
        <w:ind w:left="720"/>
      </w:pPr>
      <w:r>
        <w:rPr>
          <w:color w:val="003366"/>
          <w:sz w:val="18"/>
        </w:rPr>
        <w:t>I – 20% (vinte por cento) na Região Centro-Oeste; (Redação dada pela Emenda Cons</w:t>
      </w:r>
    </w:p>
    <w:p>
      <w:pPr>
        <w:ind w:left="720"/>
      </w:pPr>
      <w:r>
        <w:rPr>
          <w:color w:val="003366"/>
          <w:sz w:val="18"/>
        </w:rPr>
        <w:t>II – 50% (cinquenta por cento) na Região Nordeste, preferencialmente no Semiárid</w:t>
      </w:r>
    </w:p>
    <w:p>
      <w:r>
        <w:rPr>
          <w:b/>
          <w:color w:val="003366"/>
          <w:sz w:val="20"/>
        </w:rPr>
        <w:t>Art. 43 Na data da promulgação da lei que disciplinar a pesquisa e a lavra de re</w:t>
      </w:r>
      <w:r>
        <w:rPr>
          <w:color w:val="8C8C8C"/>
          <w:sz w:val="14"/>
        </w:rPr>
        <w:t xml:space="preserve">  [56 decisoes]</w:t>
      </w:r>
    </w:p>
    <w:p>
      <w:pPr>
        <w:ind w:left="288"/>
      </w:pPr>
      <w:r>
        <w:rPr>
          <w:color w:val="8C8C8C"/>
          <w:sz w:val="12"/>
        </w:rPr>
        <w:t>cf-art-43-par-1-inc-I</w:t>
      </w:r>
    </w:p>
    <w:p>
      <w:pPr>
        <w:ind w:left="288"/>
      </w:pPr>
      <w:r>
        <w:rPr>
          <w:color w:val="1E1E1E"/>
          <w:sz w:val="18"/>
        </w:rPr>
        <w:t>II - a composição dos organismos regionais que executarão, na forma da lei, os planos regionais, integrantes dos planos nacionais de desenvolvimento econômico e social, aprovados juntamente com estes.</w:t>
      </w:r>
    </w:p>
    <w:p>
      <w:pPr>
        <w:ind w:left="288"/>
      </w:pPr>
      <w:r>
        <w:rPr>
          <w:color w:val="8C8C8C"/>
          <w:sz w:val="12"/>
        </w:rPr>
        <w:t>cf-art-43-par-3-ali-d</w:t>
      </w:r>
    </w:p>
    <w:p>
      <w:pPr>
        <w:ind w:left="288"/>
      </w:pPr>
      <w:r>
        <w:rPr>
          <w:color w:val="1E1E1E"/>
          <w:sz w:val="18"/>
        </w:rPr>
        <w:t>XXVI - organizar e fiscalizar a proteção e o tratamento de dados pessoais, nos termos da lei. (Incluído pela EC n. 115/2022) XXX - proteção e tratamento de dados pessoais. (Incluído pela EC n. 115/22)</w:t>
      </w:r>
    </w:p>
    <w:p>
      <w:pPr>
        <w:ind w:left="288"/>
      </w:pPr>
      <w:r>
        <w:rPr>
          <w:color w:val="8C8C8C"/>
          <w:sz w:val="12"/>
        </w:rPr>
        <w:t>cf-art-43-par-3-ali-m</w:t>
      </w:r>
    </w:p>
    <w:p>
      <w:pPr>
        <w:ind w:left="288"/>
      </w:pPr>
      <w:r>
        <w:rPr>
          <w:color w:val="1E1E1E"/>
          <w:sz w:val="18"/>
        </w:rPr>
        <w:t>n) 35 (trinta e cinco) Vereadores, nos Municípios de mais de 1.200.000 (um milhão e duzentos mil) habitantes e de até 1.350.000 (um milhão e trezentos e cinquenta mil) habitantes; (Incluída pela EC 58/2009)</w:t>
      </w:r>
    </w:p>
    <w:p>
      <w:pPr>
        <w:ind w:left="288"/>
      </w:pPr>
      <w:r>
        <w:rPr>
          <w:color w:val="8C8C8C"/>
          <w:sz w:val="12"/>
        </w:rPr>
        <w:t>cf-art-43-par-3-ali-p</w:t>
      </w:r>
    </w:p>
    <w:p>
      <w:pPr>
        <w:ind w:left="288"/>
      </w:pPr>
      <w:r>
        <w:rPr>
          <w:color w:val="1E1E1E"/>
          <w:sz w:val="18"/>
        </w:rPr>
        <w:t>q) 41 (quarenta e um) Vereadores, nos Municípios de mais de 1.800.000 (um milhão e oitocentos mil) habitantes e de até 2.400.000 (dois milhões e quatrocentos mil) habitantes; (Incluída pela EC 58/2009)</w:t>
      </w:r>
    </w:p>
    <w:p>
      <w:pPr>
        <w:ind w:left="288"/>
      </w:pPr>
      <w:r>
        <w:rPr>
          <w:color w:val="8C8C8C"/>
          <w:sz w:val="12"/>
        </w:rPr>
        <w:t>cf-art-43-par-3-ali-x</w:t>
      </w:r>
      <w:r>
        <w:rPr>
          <w:color w:val="003CA0"/>
          <w:sz w:val="12"/>
        </w:rPr>
        <w:t xml:space="preserve"> | ADI 7.402</w:t>
      </w:r>
      <w:r>
        <w:rPr>
          <w:color w:val="003CA0"/>
          <w:sz w:val="12"/>
        </w:rPr>
        <w:t xml:space="preserve"> | rel. André Mendonça</w:t>
      </w:r>
    </w:p>
    <w:p>
      <w:pPr>
        <w:ind w:left="288"/>
      </w:pPr>
      <w:r>
        <w:rPr>
          <w:color w:val="1E1E1E"/>
          <w:sz w:val="18"/>
        </w:rPr>
        <w:t xml:space="preserve">V - 4% (quatro por cento) para Municípios com população entre 3.000.001 (três milhões e um) e 8.000.000 (oito milhões) de habitantes; (Incluído pela EC 58/2009) VI - 3,5% (três inteiros e cinco décimos por cento) para Municípios com população acima de 8.000.001 (oito milhões e um) habitantes. (Incluído pela EC 58/2009) § 11. Não serão computadas, para efeito dos limites remuneratórios de que trata o inciso XI do caput deste artigo, as parcelas de caráter indenizatório expressamente previstas em lei ordinária, aprovada pelo Congresso Nacional, de caráter nacional, aplicada a todos os Poderes e </w:t>
      </w:r>
    </w:p>
    <w:p>
      <w:pPr>
        <w:ind w:left="288"/>
      </w:pPr>
      <w:r>
        <w:rPr>
          <w:b/>
          <w:color w:val="003CA0"/>
          <w:sz w:val="16"/>
        </w:rPr>
        <w:t>[ADI 7.402, rel. min. André Mendonça, j. 24.02.2025, P, DJE de 17.03.2025.]</w:t>
      </w:r>
    </w:p>
    <w:p>
      <w:pPr>
        <w:ind w:left="288"/>
      </w:pPr>
      <w:r>
        <w:rPr>
          <w:color w:val="8C8C8C"/>
          <w:sz w:val="12"/>
        </w:rPr>
        <w:t>cf-art-43-par-3-ali-x</w:t>
      </w:r>
      <w:r>
        <w:rPr>
          <w:color w:val="003CA0"/>
          <w:sz w:val="12"/>
        </w:rPr>
        <w:t xml:space="preserve"> | RE 1.167.842</w:t>
      </w:r>
      <w:r>
        <w:rPr>
          <w:color w:val="003CA0"/>
          <w:sz w:val="12"/>
        </w:rPr>
        <w:t xml:space="preserve"> | rel. Gilmar Mendes</w:t>
      </w:r>
    </w:p>
    <w:p>
      <w:pPr>
        <w:ind w:left="288"/>
      </w:pPr>
      <w:r>
        <w:rPr>
          <w:color w:val="1E1E1E"/>
          <w:sz w:val="18"/>
        </w:rPr>
        <w:t>“O art. 43, caput e § 1º, da Lei Complementar estadual 1.059/2008, de São Paulo, é formal e materialmente constitucional. A natureza indenizatória da conversão de licença-prêmio em pecúnia é válida somente no que se refere ao valor total da indenização. O teto remuneratório constitucional incide na base de cálculo utilizada para computação do valor a ser pago a título de indenização de licença-prêmio não gozada, equivalente à remuneração a que o servidor faz jus no momento de sua aposentadoria”.</w:t>
      </w:r>
    </w:p>
    <w:p>
      <w:pPr>
        <w:ind w:left="288"/>
      </w:pPr>
      <w:r>
        <w:rPr>
          <w:b/>
          <w:color w:val="003CA0"/>
          <w:sz w:val="16"/>
        </w:rPr>
        <w:t>[RE 1.167.842, rel. min. Gilmar Mendes, j. 12.11.2024, P, DJE de 12.12.2024, Tema 975, com mérito julgado.]</w:t>
      </w:r>
    </w:p>
    <w:p>
      <w:pPr>
        <w:ind w:left="288"/>
      </w:pPr>
      <w:r>
        <w:rPr>
          <w:color w:val="8C8C8C"/>
          <w:sz w:val="12"/>
        </w:rPr>
        <w:t>cf-art-43-par-3-ali-x</w:t>
      </w:r>
      <w:r>
        <w:rPr>
          <w:color w:val="003CA0"/>
          <w:sz w:val="12"/>
        </w:rPr>
        <w:t xml:space="preserve"> | ARE 1.485.330</w:t>
      </w:r>
      <w:r>
        <w:rPr>
          <w:color w:val="003CA0"/>
          <w:sz w:val="12"/>
        </w:rPr>
        <w:t xml:space="preserve"> | rel. Flávio Dino</w:t>
      </w:r>
    </w:p>
    <w:p>
      <w:pPr>
        <w:ind w:left="288"/>
      </w:pPr>
      <w:r>
        <w:rPr>
          <w:color w:val="1E1E1E"/>
          <w:sz w:val="18"/>
        </w:rPr>
        <w:t>(...) o cálculo do adicional de férias deve ter como parâmetro a remuneração recebida pelo servidor público já limitada ao teto constitucional.</w:t>
      </w:r>
    </w:p>
    <w:p>
      <w:pPr>
        <w:ind w:left="288"/>
      </w:pPr>
      <w:r>
        <w:rPr>
          <w:b/>
          <w:color w:val="003CA0"/>
          <w:sz w:val="16"/>
        </w:rPr>
        <w:t>[ARE 1.485.330 AgR, rel. min. Flávio Dino, j. 24.02.2025, 1ª T, DJE de 28.02.2025.]</w:t>
      </w:r>
    </w:p>
    <w:p>
      <w:pPr>
        <w:ind w:left="288"/>
      </w:pPr>
      <w:r>
        <w:rPr>
          <w:color w:val="8C8C8C"/>
          <w:sz w:val="12"/>
        </w:rPr>
        <w:t>cf-art-43-par-3-ali-x</w:t>
      </w:r>
    </w:p>
    <w:p>
      <w:pPr>
        <w:ind w:left="288"/>
      </w:pPr>
      <w:r>
        <w:rPr>
          <w:color w:val="1E1E1E"/>
          <w:sz w:val="18"/>
        </w:rPr>
        <w:t>§ 12. Para os fins do disposto no inciso XI do caput deste artigo, fica facultado aos Estados e ao Distrito Federal fixar, em seu âmbito, mediante emenda às respectivas Constituições e Lei Orgânica, como limite único, o subsídio mensal dos Desembargadores do respectivo Tribunal de Justiça, limitado a noventa inteiros e vinte e cinco centésimos por cento do subsídio mensal dos Ministros do Supremo Tribunal Federal, não se aplicando o disposto neste parágrafo aos subsídios dos Deputados Estaduais e Distritais e dos Vereadores. (Incluído pela EC 47/2005)</w:t>
      </w:r>
    </w:p>
    <w:p>
      <w:pPr>
        <w:ind w:left="144"/>
      </w:pPr>
      <w:r>
        <w:rPr>
          <w:b/>
          <w:color w:val="B45A00"/>
          <w:sz w:val="16"/>
        </w:rPr>
        <w:t>CONTROLE CONCENTRADO</w:t>
      </w:r>
    </w:p>
    <w:p>
      <w:pPr>
        <w:ind w:left="288"/>
      </w:pPr>
      <w:r>
        <w:rPr>
          <w:color w:val="8C8C8C"/>
          <w:sz w:val="12"/>
        </w:rPr>
        <w:t>cf-art-43-par-3-ali-x</w:t>
      </w:r>
      <w:r>
        <w:rPr>
          <w:color w:val="003CA0"/>
          <w:sz w:val="12"/>
        </w:rPr>
        <w:t xml:space="preserve"> | ADI 6.221</w:t>
      </w:r>
    </w:p>
    <w:p>
      <w:pPr>
        <w:ind w:left="288"/>
      </w:pPr>
      <w:r>
        <w:rPr>
          <w:color w:val="1E1E1E"/>
          <w:sz w:val="18"/>
        </w:rPr>
        <w:t>A faculdade conferida aos Estados para a regulação do teto aplicável a seus servidores (art. 37, § 12, da CF) não permite que a regulamentação editada com fundamento nesse permissivo inove no tratamento do teto dos servidores municipais, para quem o art. 37, XI, da CF, já estabelece um teto único.</w:t>
      </w:r>
    </w:p>
    <w:p>
      <w:pPr>
        <w:ind w:left="288"/>
      </w:pPr>
      <w:r>
        <w:rPr>
          <w:b/>
          <w:color w:val="003CA0"/>
          <w:sz w:val="16"/>
        </w:rPr>
        <w:t>[ADI 6.221 MC, red. do ac. min. Alexandre de Moraes, j. 20-12-2019, P, DJE de 30-4-2020.]</w:t>
      </w:r>
    </w:p>
    <w:p>
      <w:pPr>
        <w:ind w:left="288"/>
      </w:pPr>
      <w:r>
        <w:rPr>
          <w:color w:val="8C8C8C"/>
          <w:sz w:val="12"/>
        </w:rPr>
        <w:t>cf-art-43-par-3-ali-x</w:t>
      </w:r>
      <w:r>
        <w:rPr>
          <w:color w:val="003CA0"/>
          <w:sz w:val="12"/>
        </w:rPr>
        <w:t xml:space="preserve"> | ADI 4.900</w:t>
      </w:r>
    </w:p>
    <w:p>
      <w:pPr>
        <w:ind w:left="288"/>
      </w:pPr>
      <w:r>
        <w:rPr>
          <w:color w:val="1E1E1E"/>
          <w:sz w:val="18"/>
        </w:rPr>
        <w:t>No que respeita ao subteto dos servidores estaduais, a Constituição estabeleceu a possibilidade de o Estado optar entre: a definição de um subteto por poder, hipótese em que o teto dos servidores da Justiça corresponderá ao subsídio dos desembargadores do Tribunal de Justiça (art. 37, XI, CF, na redação da EC 41/2003); e a definição de um subteto único, correspondente ao subsídio mensal dos desembargadores do Tribunal de Justiça, para todo e qualquer servidor de qualquer poder, ficando de fora desse subteto apenas o subsídio dos deputados (art. 37, § 12, CF, conforme redação da EC 47/2005). In</w:t>
      </w:r>
    </w:p>
    <w:p>
      <w:pPr>
        <w:ind w:left="288"/>
      </w:pPr>
      <w:r>
        <w:rPr>
          <w:b/>
          <w:color w:val="003CA0"/>
          <w:sz w:val="16"/>
        </w:rPr>
        <w:t>[ADI 4.900, red. do ac. min. Roberto Barroso, j. 11-2-2015, P, DJE de 20-4-2015.]</w:t>
      </w:r>
    </w:p>
    <w:p>
      <w:pPr>
        <w:ind w:left="288"/>
      </w:pPr>
      <w:r>
        <w:rPr>
          <w:color w:val="8C8C8C"/>
          <w:sz w:val="12"/>
        </w:rPr>
        <w:t>cf-art-43-par-3-ali-x</w:t>
      </w:r>
    </w:p>
    <w:p>
      <w:pPr>
        <w:ind w:left="288"/>
      </w:pPr>
      <w:r>
        <w:rPr>
          <w:color w:val="1E1E1E"/>
          <w:sz w:val="18"/>
        </w:rPr>
        <w:t>§ 13. O servidor público titular de cargo efetivo poderá ser readaptado para exercício de cargo cujas atribuições e responsabilidades sejam compatíveis com a limitação que tenha sofrido em sua capacidade física ou mental, enquanto permanecer nesta condição, desde que possua a habilitação e o nível de escolaridade exigidos para o cargo de destino, mantida a remuneração do cargo de origem. (Incluído pela EC 103/2019) § 14. A aposentadoria concedida com a utilização de tempo de contribuição decorrente de cargo, emprego ou função pública, inclusive do Regime Geral de Previdência Social, acarretará</w:t>
      </w:r>
    </w:p>
    <w:p>
      <w:pPr>
        <w:ind w:left="144"/>
      </w:pPr>
      <w:r>
        <w:rPr>
          <w:b/>
          <w:color w:val="B45A00"/>
          <w:sz w:val="16"/>
        </w:rPr>
        <w:t>REPERCUSSAO GERAL</w:t>
      </w:r>
    </w:p>
    <w:p>
      <w:pPr>
        <w:ind w:left="288"/>
      </w:pPr>
      <w:r>
        <w:rPr>
          <w:color w:val="8C8C8C"/>
          <w:sz w:val="12"/>
        </w:rPr>
        <w:t>cf-art-43-par-3-ali-x</w:t>
      </w:r>
      <w:r>
        <w:rPr>
          <w:color w:val="003CA0"/>
          <w:sz w:val="12"/>
        </w:rPr>
        <w:t xml:space="preserve"> | RE 655.283</w:t>
      </w:r>
      <w:r>
        <w:rPr>
          <w:color w:val="003CA0"/>
          <w:sz w:val="12"/>
        </w:rPr>
        <w:t xml:space="preserve"> | rel. Marco Aurélio</w:t>
      </w:r>
    </w:p>
    <w:p>
      <w:pPr>
        <w:ind w:left="288"/>
      </w:pPr>
      <w:r>
        <w:rPr>
          <w:color w:val="1E1E1E"/>
          <w:sz w:val="18"/>
        </w:rPr>
        <w:t>A natureza do ato de demissão de empregado público é constitucional-administrativa e não trabalhista, o que atrai a competência da Justiça comum para julgar a questão. A concessão de aposentadoria aos empregados públicos inviabiliza a permanência no emprego, nos termos do art. 37, § 14, da Constituição Federal (CF), salvo para as aposentadorias concedidas pelo Regime Geral de Previdência Social (RGPS) até a data de entrada em vigor da Emenda Constitucional (EC) 103/09, nos termos do que dispõe seu art. 6º.</w:t>
      </w:r>
    </w:p>
    <w:p>
      <w:pPr>
        <w:ind w:left="288"/>
      </w:pPr>
      <w:r>
        <w:rPr>
          <w:b/>
          <w:color w:val="003CA0"/>
          <w:sz w:val="16"/>
        </w:rPr>
        <w:t>[RE 655.283, rel. Min. Marco Aurélio, redator do acórdão Min. Dias Toffoli, j. 16-6-2021, P, DJE de 2-12-2021, RG, Tema 606, com mérito julgado.]</w:t>
      </w:r>
    </w:p>
    <w:p>
      <w:pPr>
        <w:ind w:left="288"/>
      </w:pPr>
      <w:r>
        <w:rPr>
          <w:color w:val="8C8C8C"/>
          <w:sz w:val="12"/>
        </w:rPr>
        <w:t>cf-art-43-par-3-ali-x</w:t>
      </w:r>
      <w:r>
        <w:rPr>
          <w:color w:val="003CA0"/>
          <w:sz w:val="12"/>
        </w:rPr>
        <w:t xml:space="preserve"> | RCL 79.937</w:t>
      </w:r>
      <w:r>
        <w:rPr>
          <w:color w:val="003CA0"/>
          <w:sz w:val="12"/>
        </w:rPr>
        <w:t xml:space="preserve"> | rel. Gilmar Mendes</w:t>
      </w:r>
    </w:p>
    <w:p>
      <w:pPr>
        <w:ind w:left="288"/>
      </w:pPr>
      <w:r>
        <w:rPr>
          <w:color w:val="1E1E1E"/>
          <w:sz w:val="18"/>
        </w:rPr>
        <w:t>Reintegração de empregado público. Reunião dos requisitos para a aposentadoria antes da emenda constitucional 103/2019. Exceção do art. 6º. (...) A demora da Administração na concessão do benefício não pode resultar em prejuízo ao segurado que, ao requerer sua aposentadoria antes do advento da EC 103/2019, já tinha preenchido os requisitos necessários à inativação, nos termos do art. 3º da referida emenda.</w:t>
      </w:r>
    </w:p>
    <w:p>
      <w:pPr>
        <w:ind w:left="288"/>
      </w:pPr>
      <w:r>
        <w:rPr>
          <w:b/>
          <w:color w:val="003CA0"/>
          <w:sz w:val="16"/>
        </w:rPr>
        <w:t>[Rcl 79.937 ED-AgR, rel. min. Gilmar Mendes, j. 27.10.2025, 2ª T, DJE de 29.10.2025.]</w:t>
      </w:r>
    </w:p>
    <w:p>
      <w:pPr>
        <w:ind w:left="288"/>
      </w:pPr>
      <w:r>
        <w:rPr>
          <w:color w:val="8C8C8C"/>
          <w:sz w:val="12"/>
        </w:rPr>
        <w:t>cf-art-43-par-3-ali-x</w:t>
      </w:r>
      <w:r>
        <w:rPr>
          <w:color w:val="003CA0"/>
          <w:sz w:val="12"/>
        </w:rPr>
        <w:t xml:space="preserve"> | PET 9.585</w:t>
      </w:r>
      <w:r>
        <w:rPr>
          <w:color w:val="003CA0"/>
          <w:sz w:val="12"/>
        </w:rPr>
        <w:t xml:space="preserve"> | rel. Luís Roberto Barroso</w:t>
      </w:r>
    </w:p>
    <w:p>
      <w:pPr>
        <w:ind w:left="288"/>
      </w:pPr>
      <w:r>
        <w:rPr>
          <w:color w:val="1E1E1E"/>
          <w:sz w:val="18"/>
        </w:rPr>
        <w:t>§ 15. É vedada a complementação de aposentadorias de servidores públicos e de pensões por morte a seus dependentes que não seja decorrente do disposto nos §§ 14 a 16 do art. 40 ou que não seja prevista em lei que extinga regime próprio de previdência social. (Incluído pela EC 103/2019) § 16. Os órgãos e entidades da administração pública, individual ou conjuntamente, devem realizar avaliação das políticas públicas, inclusive com divulgação do objeto a ser avaliado e dos resultados alcançados, na forma da lei. (Incluído pela EC n. 109/2021) Correção de falhas estruturais no subsistema de atençã</w:t>
      </w:r>
    </w:p>
    <w:p>
      <w:pPr>
        <w:ind w:left="288"/>
      </w:pPr>
      <w:r>
        <w:rPr>
          <w:b/>
          <w:color w:val="003CA0"/>
          <w:sz w:val="16"/>
        </w:rPr>
        <w:t>[ADPF 709, rel. min. Luís Roberto Barroso, j. 29.09.2025, P, DJE de 14.10.2025.]</w:t>
      </w:r>
    </w:p>
    <w:p>
      <w:pPr>
        <w:ind w:left="288"/>
      </w:pPr>
      <w:r>
        <w:rPr>
          <w:color w:val="8C8C8C"/>
          <w:sz w:val="12"/>
        </w:rPr>
        <w:t>cf-art-43-par-3-ali-x</w:t>
      </w:r>
    </w:p>
    <w:p>
      <w:pPr>
        <w:ind w:left="288"/>
      </w:pPr>
      <w:r>
        <w:rPr>
          <w:color w:val="1E1E1E"/>
          <w:sz w:val="18"/>
        </w:rPr>
        <w:t>§ 9º É vedada a incorporação de vantagens de caráter temporário ou vinculadas ao exercício de função de confiança ou de cargo em comissão à remuneração do cargo efetivo. (Incluído pela EC 103/2019)</w:t>
      </w:r>
    </w:p>
    <w:p>
      <w:pPr>
        <w:ind w:left="288"/>
      </w:pPr>
      <w:r>
        <w:rPr>
          <w:color w:val="8C8C8C"/>
          <w:sz w:val="12"/>
        </w:rPr>
        <w:t>cf-art-43-par-3-inc-II</w:t>
      </w:r>
      <w:r>
        <w:rPr>
          <w:color w:val="003CA0"/>
          <w:sz w:val="12"/>
        </w:rPr>
        <w:t xml:space="preserve"> | RE 1.486.392</w:t>
      </w:r>
      <w:r>
        <w:rPr>
          <w:color w:val="003CA0"/>
          <w:sz w:val="12"/>
        </w:rPr>
        <w:t xml:space="preserve"> | rel. Luís Roberto Barroso</w:t>
      </w:r>
    </w:p>
    <w:p>
      <w:pPr>
        <w:ind w:left="288"/>
      </w:pPr>
      <w:r>
        <w:rPr>
          <w:color w:val="1E1E1E"/>
          <w:sz w:val="18"/>
        </w:rPr>
        <w:t>“1. É infraconstitucional a controvérsia sobre o direito à paridade de servidor público policial civil que preencheu os requisitos para a aposentadoria especial prevista na Lei Complementar nº 51/1985; 2. É nulo o acórdão que garante a paridade para aposentadoria especial de policial civil sem examinar a legislação do ente federativo ao qual pertença o servidor”.</w:t>
      </w:r>
    </w:p>
    <w:p>
      <w:pPr>
        <w:ind w:left="288"/>
      </w:pPr>
      <w:r>
        <w:rPr>
          <w:b/>
          <w:color w:val="003CA0"/>
          <w:sz w:val="16"/>
        </w:rPr>
        <w:t>[RE 1.486.392 RG, rel. min. Luís Roberto Barroso, j. 28.06.2024, P, DJE de 14.08.2024, Tema 1.307, com repercussão geral negada.]</w:t>
      </w:r>
    </w:p>
    <w:p>
      <w:pPr>
        <w:ind w:left="288"/>
      </w:pPr>
      <w:r>
        <w:rPr>
          <w:color w:val="8C8C8C"/>
          <w:sz w:val="12"/>
        </w:rPr>
        <w:t>cf-art-43-par-3-inc-II</w:t>
      </w:r>
      <w:r>
        <w:rPr>
          <w:color w:val="003CA0"/>
          <w:sz w:val="12"/>
        </w:rPr>
        <w:t xml:space="preserve"> | RE 1.162.672</w:t>
      </w:r>
      <w:r>
        <w:rPr>
          <w:color w:val="003CA0"/>
          <w:sz w:val="12"/>
        </w:rPr>
        <w:t xml:space="preserve"> | rel. Dias Toffoli</w:t>
      </w:r>
    </w:p>
    <w:p>
      <w:pPr>
        <w:ind w:left="288"/>
      </w:pPr>
      <w:r>
        <w:rPr>
          <w:color w:val="1E1E1E"/>
          <w:sz w:val="18"/>
        </w:rPr>
        <w:t>“O servidor público policial civil que preencheu os requisitos para a aposentadoria especial voluntária prevista na LC nº 51/85 tem direito ao cálculo de seus proventos com base na regra da integralidade e, quando também previsto em lei complementar, na regra da paridade, independentemente do cumprimento das regras de transição especificadas nos arts. 2º e 3º da EC 47/05, por enquadrar-se na exceção prevista no art. 40, § 4º, inciso II, da Constituição Federal, na redação anterior à EC 103/19, atinente ao exercício de atividade de risco”.</w:t>
        <w:br/>
        <w:t xml:space="preserve">[RE 1.162.672, rel. min. Dias Toffoli, j. 4-9-2023, P, </w:t>
      </w:r>
    </w:p>
    <w:p>
      <w:pPr>
        <w:ind w:left="288"/>
      </w:pPr>
      <w:r>
        <w:rPr>
          <w:color w:val="8C8C8C"/>
          <w:sz w:val="12"/>
        </w:rPr>
        <w:t>cf-art-43-par-3-inc-III</w:t>
      </w:r>
    </w:p>
    <w:p>
      <w:pPr>
        <w:ind w:left="288"/>
      </w:pPr>
      <w:r>
        <w:rPr>
          <w:color w:val="1E1E1E"/>
          <w:sz w:val="18"/>
        </w:rPr>
        <w:t>§ 4º-A. Poderão ser estabelecidos por lei complementar do respectivo ente federativo idade e tempo de contribuição diferenciados para aposentadoria de servidores com deficiência, previamente submetidos a avaliação biopsicossocial realizada por equipe multiprofissional e interdisciplinar. (Incluído pela EC n. 103/2019)</w:t>
      </w:r>
    </w:p>
    <w:p>
      <w:pPr>
        <w:ind w:left="144"/>
      </w:pPr>
      <w:r>
        <w:rPr>
          <w:b/>
          <w:color w:val="B45A00"/>
          <w:sz w:val="16"/>
        </w:rPr>
        <w:t>JULGADOS CORRELATOS</w:t>
      </w:r>
    </w:p>
    <w:p>
      <w:pPr>
        <w:ind w:left="288"/>
      </w:pPr>
      <w:r>
        <w:rPr>
          <w:color w:val="8C8C8C"/>
          <w:sz w:val="12"/>
        </w:rPr>
        <w:t>cf-art-43-par-3-inc-III</w:t>
      </w:r>
      <w:r>
        <w:rPr>
          <w:color w:val="003CA0"/>
          <w:sz w:val="12"/>
        </w:rPr>
        <w:t xml:space="preserve"> | MI 6.816</w:t>
      </w:r>
      <w:r>
        <w:rPr>
          <w:color w:val="003CA0"/>
          <w:sz w:val="12"/>
        </w:rPr>
        <w:t xml:space="preserve"> | rel. Marco Aurélio</w:t>
      </w:r>
    </w:p>
    <w:p>
      <w:pPr>
        <w:ind w:left="288"/>
      </w:pPr>
      <w:r>
        <w:rPr>
          <w:color w:val="1E1E1E"/>
          <w:sz w:val="18"/>
        </w:rPr>
        <w:t>Com o advento da Emenda Constitucional 103, de 12 de novembro de 2019, tendo em vista a competência legislativa concorrente de cada ente para estabelecer, mediante lei complementar, idade e tempo de contribuição diferenciados para aposentadoria especial no regime próprio, não cabe ao Supremo julgar mandado de injunção formalizado por servidor de ente federado, voltado a suprir a omissão normativa – artigo 40, parágrafos 4º-A, 4º-B e 4º-C, da Carta da República.</w:t>
      </w:r>
    </w:p>
    <w:p>
      <w:pPr>
        <w:ind w:left="288"/>
      </w:pPr>
      <w:r>
        <w:rPr>
          <w:b/>
          <w:color w:val="003CA0"/>
          <w:sz w:val="16"/>
        </w:rPr>
        <w:t>[MI 6.816 AgR, rel. min. Marco Aurélio, j. 29-5-2020, P, DJE de 17-6-2020.]</w:t>
      </w:r>
    </w:p>
    <w:p>
      <w:pPr>
        <w:ind w:left="288"/>
      </w:pPr>
      <w:r>
        <w:rPr>
          <w:color w:val="8C8C8C"/>
          <w:sz w:val="12"/>
        </w:rPr>
        <w:t>cf-art-43-par-3-inc-III</w:t>
      </w:r>
      <w:r>
        <w:rPr>
          <w:color w:val="003CA0"/>
          <w:sz w:val="12"/>
        </w:rPr>
        <w:t xml:space="preserve"> | MI 4.031</w:t>
      </w:r>
      <w:r>
        <w:rPr>
          <w:color w:val="003CA0"/>
          <w:sz w:val="12"/>
        </w:rPr>
        <w:t xml:space="preserve"> | rel. Roberto Barroso</w:t>
      </w:r>
    </w:p>
    <w:p>
      <w:pPr>
        <w:ind w:left="288"/>
      </w:pPr>
      <w:r>
        <w:rPr>
          <w:color w:val="1E1E1E"/>
          <w:sz w:val="18"/>
        </w:rPr>
        <w:t>A LC 142/2013, que regulamentou a aposentadoria especial de pessoas com deficiência no Regime Geral de Previdência Social, deve ser aplicada ao pedido de aposentadoria de servidores públicos com deficiência, por se tratar de diploma mais adequado para suprir a omissão na regulamentação do antigo art. 40, § 4º, I, da CF/1988 (atual art. 40, § 4º-A).</w:t>
      </w:r>
    </w:p>
    <w:p>
      <w:pPr>
        <w:ind w:left="288"/>
      </w:pPr>
      <w:r>
        <w:rPr>
          <w:b/>
          <w:color w:val="003CA0"/>
          <w:sz w:val="16"/>
        </w:rPr>
        <w:t>[MI 4.031 AgR, rel. min. Roberto Barroso, j. 4-5-2020, P, DJE de 20-5-2020.]</w:t>
      </w:r>
    </w:p>
    <w:p>
      <w:pPr>
        <w:ind w:left="288"/>
      </w:pPr>
      <w:r>
        <w:rPr>
          <w:color w:val="8C8C8C"/>
          <w:sz w:val="12"/>
        </w:rPr>
        <w:t>cf-art-43-par-3-inc-III</w:t>
      </w:r>
      <w:r>
        <w:rPr>
          <w:color w:val="003CA0"/>
          <w:sz w:val="12"/>
        </w:rPr>
        <w:t xml:space="preserve"> | MI 4.245</w:t>
      </w:r>
      <w:r>
        <w:rPr>
          <w:color w:val="003CA0"/>
          <w:sz w:val="12"/>
        </w:rPr>
        <w:t xml:space="preserve"> | rel. Luiz Fux</w:t>
      </w:r>
    </w:p>
    <w:p>
      <w:pPr>
        <w:ind w:left="288"/>
      </w:pPr>
      <w:r>
        <w:rPr>
          <w:color w:val="1E1E1E"/>
          <w:sz w:val="18"/>
        </w:rPr>
        <w:t>A aposentadoria especial de servidor público portador de deficiência está consagrada como direito previsto no art. 40, § 4º-A da Constituição da República (antigo art. 40, § 4º, I), incluído pela Emenda Constitucional 103/2019. A Emenda Constitucional 103/2019 predica, em seu art. 22, caput, que a aposentadoria especial de servidor público federal portador de deficiência é assegurada mediante o preenchimento dos requisitos previstos na Lei Complementar 142/2013, que deve ser aplicada inclusive nos períodos de prestação de serviço anteriores à sua vigência, até que seja editada a lei complement</w:t>
      </w:r>
    </w:p>
    <w:p>
      <w:pPr>
        <w:ind w:left="288"/>
      </w:pPr>
      <w:r>
        <w:rPr>
          <w:b/>
          <w:color w:val="003CA0"/>
          <w:sz w:val="16"/>
        </w:rPr>
        <w:t>[MI 4.245 AgR AgR, rel. min. Luiz Fux, j. 27-4-2020, P, DJE de 22-6-2020.]</w:t>
      </w:r>
    </w:p>
    <w:p>
      <w:pPr>
        <w:ind w:left="288"/>
      </w:pPr>
      <w:r>
        <w:rPr>
          <w:color w:val="8C8C8C"/>
          <w:sz w:val="12"/>
        </w:rPr>
        <w:t>cf-art-43-par-3-inc-III</w:t>
      </w:r>
      <w:r>
        <w:rPr>
          <w:color w:val="003CA0"/>
          <w:sz w:val="12"/>
        </w:rPr>
        <w:t xml:space="preserve"> | MI 1.885</w:t>
      </w:r>
      <w:r>
        <w:rPr>
          <w:color w:val="003CA0"/>
          <w:sz w:val="12"/>
        </w:rPr>
        <w:t xml:space="preserve"> | rel. Cármen Lúcia</w:t>
      </w:r>
    </w:p>
    <w:p>
      <w:pPr>
        <w:ind w:left="288"/>
      </w:pPr>
      <w:r>
        <w:rPr>
          <w:color w:val="1E1E1E"/>
          <w:sz w:val="18"/>
        </w:rPr>
        <w:t>Aposentadoria especial. Servidor público portador de necessidades especiais: art. 40, § 4º, I, da Constituição da República. Aplicação das regras da LC 142/2013, que dispõem sobre aposentadoria de pessoa com deficiência segurada do Regime Geral de Previdência Social (RGPS).</w:t>
      </w:r>
    </w:p>
    <w:p>
      <w:pPr>
        <w:ind w:left="288"/>
      </w:pPr>
      <w:r>
        <w:rPr>
          <w:b/>
          <w:color w:val="003CA0"/>
          <w:sz w:val="16"/>
        </w:rPr>
        <w:t>[MI 1.885 AgR, rel. min. Cármen Lúcia, j. 22-5-2014, P, DJE de 13-6-2014.]</w:t>
      </w:r>
    </w:p>
    <w:p>
      <w:pPr>
        <w:ind w:left="288"/>
      </w:pPr>
      <w:r>
        <w:rPr>
          <w:color w:val="8C8C8C"/>
          <w:sz w:val="12"/>
        </w:rPr>
        <w:t>cf-art-43-par-3-inc-III</w:t>
      </w:r>
      <w:r>
        <w:rPr>
          <w:color w:val="003CA0"/>
          <w:sz w:val="12"/>
        </w:rPr>
        <w:t xml:space="preserve"> | MI 1.967</w:t>
      </w:r>
      <w:r>
        <w:rPr>
          <w:color w:val="003CA0"/>
          <w:sz w:val="12"/>
        </w:rPr>
        <w:t xml:space="preserve"> | rel. Celso de Mello</w:t>
      </w:r>
    </w:p>
    <w:p>
      <w:pPr>
        <w:ind w:left="288"/>
      </w:pPr>
      <w:r>
        <w:rPr>
          <w:color w:val="1E1E1E"/>
          <w:sz w:val="18"/>
        </w:rPr>
        <w:t>(...) o mandado de injunção busca neutralizar as consequências lesivas decorrentes da ausência de regulamentação normativa de preceitos constitucionais revestidos de eficácia limitada, cuja incidência – necessária ao exercício efetivo de determinados direitos neles diretamente fundados – depende, essencialmente, da intervenção concretizadora do legislador. (...) O caso ora em exame (...) versa situação prevista no § 4º do art. 40 da Constituição, cujo inciso I trata da aposentadoria especial reconhecida a servidores públicos que sejam "portadores de deficiência" e que igualmente sofrem, à seme</w:t>
      </w:r>
    </w:p>
    <w:p>
      <w:pPr>
        <w:ind w:left="288"/>
      </w:pPr>
      <w:r>
        <w:rPr>
          <w:b/>
          <w:color w:val="003CA0"/>
          <w:sz w:val="16"/>
        </w:rPr>
        <w:t>[MI 1.967, rel. min. Celso de Mello, j. 24-5-2011, dec. monocrática, DJE de 27-5-2011.]</w:t>
      </w:r>
    </w:p>
    <w:p>
      <w:pPr>
        <w:ind w:left="288"/>
      </w:pPr>
      <w:r>
        <w:rPr>
          <w:color w:val="8C8C8C"/>
          <w:sz w:val="12"/>
        </w:rPr>
        <w:t>cf-art-43-par-3-inc-III</w:t>
      </w:r>
      <w:r>
        <w:rPr>
          <w:color w:val="003CA0"/>
          <w:sz w:val="12"/>
        </w:rPr>
        <w:t xml:space="preserve"> | ADPF 1.095</w:t>
      </w:r>
      <w:r>
        <w:rPr>
          <w:color w:val="003CA0"/>
          <w:sz w:val="12"/>
        </w:rPr>
        <w:t xml:space="preserve"> | rel. Gilmar Mendes</w:t>
      </w:r>
    </w:p>
    <w:p>
      <w:pPr>
        <w:ind w:left="288"/>
      </w:pPr>
      <w:r>
        <w:rPr>
          <w:color w:val="1E1E1E"/>
          <w:sz w:val="18"/>
        </w:rPr>
        <w:t>§ 4º-B. Poderão ser estabelecidos por lei complementar do respectivo ente federativo idade e tempo de contribuição diferenciados para aposentadoria de ocupantes do cargo de agente penitenciário, de agente socioeducativo ou de policial dos órgãos de que tratam o inciso IV do caput do art. 51, o inciso XIII do caput do art. 52 e os incisos I a IV do caput do art. 144. (Incluído pela EC n. 103/2019) O art. 40, § 4º-B, da Constituição Federal encerra rol taxativo, de modo que somente admite a instituição, mediante lei complementar editada pelo respectivo ente federado, de aposentadoria com critéri</w:t>
      </w:r>
    </w:p>
    <w:p>
      <w:pPr>
        <w:ind w:left="288"/>
      </w:pPr>
      <w:r>
        <w:rPr>
          <w:b/>
          <w:color w:val="003CA0"/>
          <w:sz w:val="16"/>
        </w:rPr>
        <w:t>[ADPF 1.095, rel. min. Gilmar Mendes, j. 12.08.2025, P, DJE de 11.11.2025.]</w:t>
      </w:r>
    </w:p>
    <w:p>
      <w:pPr>
        <w:ind w:left="288"/>
      </w:pPr>
      <w:r>
        <w:rPr>
          <w:color w:val="8C8C8C"/>
          <w:sz w:val="12"/>
        </w:rPr>
        <w:t>cf-art-43-par-3-inc-III</w:t>
      </w:r>
      <w:r>
        <w:rPr>
          <w:color w:val="003CA0"/>
          <w:sz w:val="12"/>
        </w:rPr>
        <w:t xml:space="preserve"> | ADI 7.727</w:t>
      </w:r>
      <w:r>
        <w:rPr>
          <w:color w:val="003CA0"/>
          <w:sz w:val="12"/>
        </w:rPr>
        <w:t xml:space="preserve"> | rel. Flávio Dino</w:t>
      </w:r>
    </w:p>
    <w:p>
      <w:pPr>
        <w:ind w:left="288"/>
      </w:pPr>
      <w:r>
        <w:rPr>
          <w:color w:val="1E1E1E"/>
          <w:sz w:val="18"/>
        </w:rPr>
        <w:t>A questão em discussão consiste em saber se as regras de aposentação das mulheres policiais civis e federais introduzidas pela EC nº 103/2019, ao exigirem de forma indistinta a ambos os sexos a “idade mínima de 55 (cinquenta e cinco) anos”, bem como “52 (cinquenta e dois) anos de idade, se mulher”, na hipótese da fórmula idade+pedágio (período adicional de contribuição) se amoldam aos preceitos constitucionais da igualdade material. Confrontados os específicos preceitos direcionados a policiais civis e federais com o regramento geral introduzido pela EC nº 103/2019, bem como à luz da praxe con</w:t>
      </w:r>
    </w:p>
    <w:p>
      <w:pPr>
        <w:ind w:left="288"/>
      </w:pPr>
      <w:r>
        <w:rPr>
          <w:b/>
          <w:color w:val="003CA0"/>
          <w:sz w:val="16"/>
        </w:rPr>
        <w:t>[ADI 7.727 MC-REF, rel. min. Flávio Dino, j. 25.04.2025, P, DJE de 07.05.2025.]</w:t>
      </w:r>
    </w:p>
    <w:p>
      <w:pPr>
        <w:ind w:left="144"/>
      </w:pPr>
      <w:r>
        <w:rPr>
          <w:b/>
          <w:color w:val="B45A00"/>
          <w:sz w:val="16"/>
        </w:rPr>
        <w:t>CONTROLE CONCENTRADO</w:t>
      </w:r>
    </w:p>
    <w:p>
      <w:pPr>
        <w:ind w:left="288"/>
      </w:pPr>
      <w:r>
        <w:rPr>
          <w:color w:val="8C8C8C"/>
          <w:sz w:val="12"/>
        </w:rPr>
        <w:t>cf-art-43-par-3-inc-III</w:t>
      </w:r>
      <w:r>
        <w:rPr>
          <w:color w:val="003CA0"/>
          <w:sz w:val="12"/>
        </w:rPr>
        <w:t xml:space="preserve"> | ADI 7.494</w:t>
      </w:r>
      <w:r>
        <w:rPr>
          <w:color w:val="003CA0"/>
          <w:sz w:val="12"/>
        </w:rPr>
        <w:t xml:space="preserve"> | rel. Cármen Lúcia</w:t>
      </w:r>
    </w:p>
    <w:p>
      <w:pPr>
        <w:ind w:left="288"/>
      </w:pPr>
      <w:r>
        <w:rPr>
          <w:color w:val="1E1E1E"/>
          <w:sz w:val="18"/>
        </w:rPr>
        <w:t>É incompatível com o regime da aposentadoria especial por exercício da atividade de risco, análoga à dos policiais, a atuação dos membros do Ministério Público e dos ocupantes de cargos no Poder Judiciário, Defensoria Pública, Procuradores do Estado, Procuradores dos Municípios, Oficiais de Justiça e Auditores Fiscais de Tributos estaduais por contrariedade aos §§ 4º e 4º-B do art. 40 da Constituição da República.</w:t>
        <w:br/>
        <w:t>[ADI 7.494, rel. min. Cármen Lúcia, j. 04.04.2024, P, DJE de 10.04.2024.] O regime constitucional da aposentadoria especial, com as significativas modificações promovidas pela EC 103</w:t>
      </w:r>
    </w:p>
    <w:p>
      <w:pPr>
        <w:ind w:left="288"/>
      </w:pPr>
      <w:r>
        <w:rPr>
          <w:b/>
          <w:color w:val="003CA0"/>
          <w:sz w:val="16"/>
        </w:rPr>
        <w:t>[ADI 6.917, rel. min. Alexandre de Moraes, j. 21-3-2022, P, DJE de 29-3-2022.]</w:t>
      </w:r>
    </w:p>
    <w:p>
      <w:pPr>
        <w:ind w:left="288"/>
      </w:pPr>
      <w:r>
        <w:rPr>
          <w:color w:val="8C8C8C"/>
          <w:sz w:val="12"/>
        </w:rPr>
        <w:t>cf-art-43-par-3-inc-III</w:t>
      </w:r>
      <w:r>
        <w:rPr>
          <w:color w:val="003CA0"/>
          <w:sz w:val="12"/>
        </w:rPr>
        <w:t xml:space="preserve"> | ADI 3.817</w:t>
      </w:r>
      <w:r>
        <w:rPr>
          <w:color w:val="003CA0"/>
          <w:sz w:val="12"/>
        </w:rPr>
        <w:t xml:space="preserve"> | rel. Cármen Lúcia</w:t>
      </w:r>
    </w:p>
    <w:p>
      <w:pPr>
        <w:ind w:left="288"/>
      </w:pPr>
      <w:r>
        <w:rPr>
          <w:color w:val="1E1E1E"/>
          <w:sz w:val="18"/>
        </w:rPr>
        <w:t>O art. 1º da LC federal 51/1985, que dispõe que o policial será aposentado voluntariamente, com proventos integrais, após trinta anos de serviço, desde que conte pelo menos vinte anos de exercício em cargo de natureza estritamente policial, foi recepcionado pela Constituição da República de 1988. A combinação desse dispositivo com o art. 3º da Lei distrital 3.556/2005 autoriza a contagem do período de vinte anos previsto na LC 51/1985 sem que o servidor público tenha, necessariamente, exercido atividades de natureza estritamente policial, expondo sua integridade física a risco, pressuposto par</w:t>
      </w:r>
    </w:p>
    <w:p>
      <w:pPr>
        <w:ind w:left="288"/>
      </w:pPr>
      <w:r>
        <w:rPr>
          <w:b/>
          <w:color w:val="003CA0"/>
          <w:sz w:val="16"/>
        </w:rPr>
        <w:t>[ADI 3.817, rel. min. Cármen Lúcia, j. 13-11-2008, P, DJE de 3-4-2009.]</w:t>
      </w:r>
    </w:p>
    <w:p>
      <w:pPr>
        <w:ind w:left="288"/>
      </w:pPr>
      <w:r>
        <w:rPr>
          <w:color w:val="8C8C8C"/>
          <w:sz w:val="12"/>
        </w:rPr>
        <w:t>cf-art-43-par-3-inc-III</w:t>
      </w:r>
      <w:r>
        <w:rPr>
          <w:color w:val="003CA0"/>
          <w:sz w:val="12"/>
        </w:rPr>
        <w:t xml:space="preserve"> | RE 567.110</w:t>
      </w:r>
      <w:r>
        <w:rPr>
          <w:color w:val="003CA0"/>
          <w:sz w:val="12"/>
        </w:rPr>
        <w:t xml:space="preserve"> | rel. Cármen Lúcia</w:t>
      </w:r>
    </w:p>
    <w:p>
      <w:pPr>
        <w:ind w:left="288"/>
      </w:pPr>
      <w:r>
        <w:rPr>
          <w:color w:val="1E1E1E"/>
          <w:sz w:val="18"/>
        </w:rPr>
        <w:t>= RE 567.110, rel. min. Cármen Lúcia, j. 13-10-2010, P, DJE de 11-4-2011, Tema 26</w:t>
      </w:r>
    </w:p>
    <w:p>
      <w:pPr>
        <w:ind w:left="144"/>
      </w:pPr>
      <w:r>
        <w:rPr>
          <w:b/>
          <w:color w:val="B45A00"/>
          <w:sz w:val="16"/>
        </w:rPr>
        <w:t>REPERCUSSAO GERAL</w:t>
      </w:r>
    </w:p>
    <w:p>
      <w:pPr>
        <w:ind w:left="288"/>
      </w:pPr>
      <w:r>
        <w:rPr>
          <w:color w:val="8C8C8C"/>
          <w:sz w:val="12"/>
        </w:rPr>
        <w:t>cf-art-43-par-3-inc-III</w:t>
      </w:r>
      <w:r>
        <w:rPr>
          <w:color w:val="003CA0"/>
          <w:sz w:val="12"/>
        </w:rPr>
        <w:t xml:space="preserve"> | ADI 3.817</w:t>
      </w:r>
      <w:r>
        <w:rPr>
          <w:color w:val="003CA0"/>
          <w:sz w:val="12"/>
        </w:rPr>
        <w:t xml:space="preserve"> | rel. Cármen Lúcia</w:t>
      </w:r>
    </w:p>
    <w:p>
      <w:pPr>
        <w:ind w:left="288"/>
      </w:pPr>
      <w:r>
        <w:rPr>
          <w:color w:val="1E1E1E"/>
          <w:sz w:val="18"/>
        </w:rPr>
        <w:t>Previdenciário. Recepção constitucional do art. 1º, I, da LC 51/1985. Adoção de requisitos e critérios diferenciados para a concessão de aposentadoria a servidores cujas atividades não são exercidas exclusivamente sob condições especiais que prejudiquem a saúde ou a integridade física. Reiteração do posicionamento assentado no julgamento da ADI 3.817, rel. min. Cármen Lúcia, da recepção do inciso I do art. 1º da LC 51/1985 pela Constituição. O Tribunal a quo reconheceu, corretamente, o direito do recorrido de se aposentar na forma especial prevista na LC 51/1985, por terem sido cumpridos todos</w:t>
      </w:r>
    </w:p>
    <w:p>
      <w:pPr>
        <w:ind w:left="288"/>
      </w:pPr>
      <w:r>
        <w:rPr>
          <w:b/>
          <w:color w:val="003CA0"/>
          <w:sz w:val="16"/>
        </w:rPr>
        <w:t>[RE 567.110, rel. min. Cármen Lúcia, j. 13-10-2010, P, DJE de 11-4-2011, Tema 26, com mérito julgado.]</w:t>
        <w:br/>
        <w:t>= ADI 3.817, rel. min. Cármen Lúcia, j. 13-11-2008, P, DJE de 3-4-2009</w:t>
      </w:r>
    </w:p>
    <w:p>
      <w:pPr>
        <w:ind w:left="288"/>
      </w:pPr>
      <w:r>
        <w:rPr>
          <w:color w:val="8C8C8C"/>
          <w:sz w:val="12"/>
        </w:rPr>
        <w:t>cf-art-43-par-3-inc-III</w:t>
      </w:r>
      <w:r>
        <w:rPr>
          <w:color w:val="003CA0"/>
          <w:sz w:val="12"/>
        </w:rPr>
        <w:t xml:space="preserve"> | RE 1.526.375</w:t>
      </w:r>
      <w:r>
        <w:rPr>
          <w:color w:val="003CA0"/>
          <w:sz w:val="12"/>
        </w:rPr>
        <w:t xml:space="preserve"> | rel. Alexandre de Moraes</w:t>
      </w:r>
    </w:p>
    <w:p>
      <w:pPr>
        <w:ind w:left="288"/>
      </w:pPr>
      <w:r>
        <w:rPr>
          <w:color w:val="1E1E1E"/>
          <w:sz w:val="18"/>
        </w:rPr>
        <w:t>(...) o art. 5º da Emenda Constitucional 103/2019 institui norma transitória assegurando aos ocupantes de cargo de agente federal penitenciário ou socioeducativo a aplicação analógica da Lei Complementar 51, de 20.12.1985, a qual dispõe sobre aposentadoria do servidor público policial, até que especificamente regulamentada a aposentadoria especial, nos termos do § 4º-B do art. 40 da Constituição. Ou seja, a Emenda Constitucional 103/2019 positivou, em norma transitória, a aplicação analógica da Lei Complementar 51/1985.</w:t>
      </w:r>
    </w:p>
    <w:p>
      <w:pPr>
        <w:ind w:left="288"/>
      </w:pPr>
      <w:r>
        <w:rPr>
          <w:b/>
          <w:color w:val="003CA0"/>
          <w:sz w:val="16"/>
        </w:rPr>
        <w:t>[RE 1.526.375 ED, rel. min. Alexandre de Moraes, j. 12.03.2025, 1ª T, DJE de 19.03.2025.]</w:t>
      </w:r>
    </w:p>
    <w:p>
      <w:pPr>
        <w:ind w:left="144"/>
      </w:pPr>
      <w:r>
        <w:rPr>
          <w:b/>
          <w:color w:val="B45A00"/>
          <w:sz w:val="16"/>
        </w:rPr>
        <w:t>JULGADOS CORRELATOS</w:t>
      </w:r>
    </w:p>
    <w:p>
      <w:pPr>
        <w:ind w:left="288"/>
      </w:pPr>
      <w:r>
        <w:rPr>
          <w:color w:val="8C8C8C"/>
          <w:sz w:val="12"/>
        </w:rPr>
        <w:t>cf-art-43-par-3-inc-III</w:t>
      </w:r>
      <w:r>
        <w:rPr>
          <w:color w:val="003CA0"/>
          <w:sz w:val="12"/>
        </w:rPr>
        <w:t xml:space="preserve"> | MI 6.103</w:t>
      </w:r>
      <w:r>
        <w:rPr>
          <w:color w:val="003CA0"/>
          <w:sz w:val="12"/>
        </w:rPr>
        <w:t xml:space="preserve"> | rel. Rosa Weber</w:t>
      </w:r>
    </w:p>
    <w:p>
      <w:pPr>
        <w:ind w:left="288"/>
      </w:pPr>
      <w:r>
        <w:rPr>
          <w:color w:val="1E1E1E"/>
          <w:sz w:val="18"/>
        </w:rPr>
        <w:t>À luz do art. 40, § 4º-B, da Magna Carta, introduzido pela Emenda Constitucional 103/2019, o tempo de serviço prestado às Forças Armadas não se inclui no rol taxativo de cargos que podem ensejar a concessão de aposentadoria especial por exposição a atividade de risco.</w:t>
      </w:r>
    </w:p>
    <w:p>
      <w:pPr>
        <w:ind w:left="288"/>
      </w:pPr>
      <w:r>
        <w:rPr>
          <w:b/>
          <w:color w:val="003CA0"/>
          <w:sz w:val="16"/>
        </w:rPr>
        <w:t>[MI 6.103 AgR, rel. min. Rosa Weber, j. 24-8-2020, P, DJE de 17-9-2020.]</w:t>
      </w:r>
    </w:p>
    <w:p>
      <w:pPr>
        <w:ind w:left="288"/>
      </w:pPr>
      <w:r>
        <w:rPr>
          <w:color w:val="8C8C8C"/>
          <w:sz w:val="12"/>
        </w:rPr>
        <w:t>cf-art-43-par-3-inc-III</w:t>
      </w:r>
      <w:r>
        <w:rPr>
          <w:color w:val="003CA0"/>
          <w:sz w:val="12"/>
        </w:rPr>
        <w:t xml:space="preserve"> | MI 6.816</w:t>
      </w:r>
      <w:r>
        <w:rPr>
          <w:color w:val="003CA0"/>
          <w:sz w:val="12"/>
        </w:rPr>
        <w:t xml:space="preserve"> | rel. Marco Aurélio</w:t>
      </w:r>
    </w:p>
    <w:p>
      <w:pPr>
        <w:ind w:left="288"/>
      </w:pPr>
      <w:r>
        <w:rPr>
          <w:color w:val="1E1E1E"/>
          <w:sz w:val="18"/>
        </w:rPr>
        <w:t>Com o advento da Emenda Constitucional 103, de 12 de novembro de 2019, tendo em vista a competência legislativa concorrente de cada ente para estabelecer, mediante lei complementar, idade e tempo de contribuição diferenciados para aposentadoria especial no regime próprio, não cabe ao Supremo julgar mandado de injunção formalizado por servidor de ente federado, voltado a suprir a omissão normativa – artigo 40, parágrafos 4º-A, 4º-B e 4º-C, da Carta da República.</w:t>
      </w:r>
    </w:p>
    <w:p>
      <w:pPr>
        <w:ind w:left="288"/>
      </w:pPr>
      <w:r>
        <w:rPr>
          <w:b/>
          <w:color w:val="003CA0"/>
          <w:sz w:val="16"/>
        </w:rPr>
        <w:t>[MI 6.816 AgR, rel. min. Marco Aurélio, j. 29-5-2020, P, DJE de 17-6-2020.]</w:t>
      </w:r>
    </w:p>
    <w:p>
      <w:pPr>
        <w:ind w:left="288"/>
      </w:pPr>
      <w:r>
        <w:rPr>
          <w:color w:val="8C8C8C"/>
          <w:sz w:val="12"/>
        </w:rPr>
        <w:t>cf-art-43-par-3-inc-III</w:t>
      </w:r>
      <w:r>
        <w:rPr>
          <w:color w:val="003CA0"/>
          <w:sz w:val="12"/>
        </w:rPr>
        <w:t xml:space="preserve"> | MI 6.770</w:t>
      </w:r>
    </w:p>
    <w:p>
      <w:pPr>
        <w:ind w:left="288"/>
      </w:pPr>
      <w:r>
        <w:rPr>
          <w:color w:val="1E1E1E"/>
          <w:sz w:val="18"/>
        </w:rPr>
        <w:t>Diante do caráter aberto da expressão atividades de risco (art. 40, § 4º, II, da Constituição) e da relativa liberdade de conformação do legislador, somente há omissão inconstitucional nos casos em que a periculosidade é inequivocamente inerente ao ofício. A eventual exposição a situações de risco a que podem estar sujeitos os guardas municipais e, de resto, diversas outras categorias, não garante direito subjetivo constitucional à aposentadoria especial. A percepção de gratificações ou adicionais de periculosidade, assim como o porte de arma de fogo, não são suficientes para reconhecer o dire</w:t>
      </w:r>
    </w:p>
    <w:p>
      <w:pPr>
        <w:ind w:left="288"/>
      </w:pPr>
      <w:r>
        <w:rPr>
          <w:b/>
          <w:color w:val="003CA0"/>
          <w:sz w:val="16"/>
        </w:rPr>
        <w:t>[MI 6.770 AgR, red. do ac. min. Roberto Barroso, j. 20-6-2018, P, DJE de 26-11-2018.]</w:t>
      </w:r>
    </w:p>
    <w:p>
      <w:pPr>
        <w:ind w:left="288"/>
      </w:pPr>
      <w:r>
        <w:rPr>
          <w:color w:val="8C8C8C"/>
          <w:sz w:val="12"/>
        </w:rPr>
        <w:t>cf-art-43-par-3-inc-III</w:t>
      </w:r>
      <w:r>
        <w:rPr>
          <w:color w:val="003CA0"/>
          <w:sz w:val="12"/>
        </w:rPr>
        <w:t xml:space="preserve"> | MI 833</w:t>
      </w:r>
    </w:p>
    <w:p>
      <w:pPr>
        <w:ind w:left="288"/>
      </w:pPr>
      <w:r>
        <w:rPr>
          <w:color w:val="1E1E1E"/>
          <w:sz w:val="18"/>
        </w:rPr>
        <w:t>Diante do caráter aberto da expressão atividades de risco (art. 40, § 4º, II, da Constituição) e da relativa liberdade de conformação do legislador, somente há omissão inconstitucional quando a periculosidade seja inequivocamente inerente ao ofício. A eventual exposição a situações de risco – a que podem estar sujeitos os oficiais de Justiça e, de resto, diversas categorias de servidores públicos – não garante direito subjetivo constitucional à aposentadoria especial. A percepção de gratificações ou adicionais de periculosidade, assim como o porte de arma de fogo não são, por si sós, suficient</w:t>
      </w:r>
    </w:p>
    <w:p>
      <w:pPr>
        <w:ind w:left="288"/>
      </w:pPr>
      <w:r>
        <w:rPr>
          <w:b/>
          <w:color w:val="003CA0"/>
          <w:sz w:val="16"/>
        </w:rPr>
        <w:t>[MI 833, red. do ac. min. Roberto Barroso, j. 11-6-2015, P, DJE de 30-9-2015.]</w:t>
      </w:r>
    </w:p>
    <w:p>
      <w:pPr>
        <w:ind w:left="288"/>
      </w:pPr>
      <w:r>
        <w:rPr>
          <w:color w:val="8C8C8C"/>
          <w:sz w:val="12"/>
        </w:rPr>
        <w:t>cf-art-43-par-3-inc-III</w:t>
      </w:r>
      <w:r>
        <w:rPr>
          <w:color w:val="003CA0"/>
          <w:sz w:val="12"/>
        </w:rPr>
        <w:t xml:space="preserve"> | MI 4.528</w:t>
      </w:r>
      <w:r>
        <w:rPr>
          <w:color w:val="003CA0"/>
          <w:sz w:val="12"/>
        </w:rPr>
        <w:t xml:space="preserve"> | rel. Cármen Lúcia</w:t>
      </w:r>
    </w:p>
    <w:p>
      <w:pPr>
        <w:ind w:left="288"/>
      </w:pPr>
      <w:r>
        <w:rPr>
          <w:color w:val="1E1E1E"/>
          <w:sz w:val="18"/>
        </w:rPr>
        <w:t>Aposentadoria especial de policial. Atividade de risco. (...) Impossibilidade de conjugação do sistema da LC 51/1985 com o do art. 57 da Lei 8.213/1991, para, com isso, cogitar-se de idade mínima para aposentação.</w:t>
      </w:r>
    </w:p>
    <w:p>
      <w:pPr>
        <w:ind w:left="288"/>
      </w:pPr>
      <w:r>
        <w:rPr>
          <w:b/>
          <w:color w:val="003CA0"/>
          <w:sz w:val="16"/>
        </w:rPr>
        <w:t>[MI 4.528 AgR, rel. min. Cármen Lúcia, j. 13-6-2012, P, DJE de 1º-8-2012.]</w:t>
      </w:r>
    </w:p>
    <w:p>
      <w:pPr>
        <w:ind w:left="288"/>
      </w:pPr>
      <w:r>
        <w:rPr>
          <w:color w:val="8C8C8C"/>
          <w:sz w:val="12"/>
        </w:rPr>
        <w:t>cf-art-43-par-3-inc-III</w:t>
      </w:r>
      <w:r>
        <w:rPr>
          <w:color w:val="003CA0"/>
          <w:sz w:val="12"/>
        </w:rPr>
        <w:t xml:space="preserve"> | MI 2.787</w:t>
      </w:r>
      <w:r>
        <w:rPr>
          <w:color w:val="003CA0"/>
          <w:sz w:val="12"/>
        </w:rPr>
        <w:t xml:space="preserve"> | rel. Teori Zavascki</w:t>
      </w:r>
    </w:p>
    <w:p>
      <w:pPr>
        <w:ind w:left="288"/>
      </w:pPr>
      <w:r>
        <w:rPr>
          <w:color w:val="1E1E1E"/>
          <w:sz w:val="18"/>
        </w:rPr>
        <w:t>= MI 2.787 AgR-segundo, rel. min. Teori Zavascki, j. 24-4-2013, P, DJE de 27-5-2013 Servidor público do Distrito Federal: inexistência de direito à aposentadoria especial, no caso de atividades perigosas, insalubres ou penosas. O Supremo Tribunal, no julgamento do MI 444 QO, Sydney Sanches, RTJ 158/6, assentou que a norma inscrita no art. 40, § 1º (atual § 4º), da CF não conferiu originariamente a nenhum servidor público o direito à obtenção de aposentadoria especial pelo exercício de atividades perigosas, insalubres ou penosas; o mencionado preceito constitucional apenas faculta ao legislador</w:t>
      </w:r>
    </w:p>
    <w:p>
      <w:pPr>
        <w:ind w:left="288"/>
      </w:pPr>
      <w:r>
        <w:rPr>
          <w:b/>
          <w:color w:val="003CA0"/>
          <w:sz w:val="16"/>
        </w:rPr>
        <w:t>[RE 428.511 AgR, rel. min. Sepúlveda Pertence, j. 14-2-2006, 1ª T, DJ de 17-3-2006.]</w:t>
      </w:r>
    </w:p>
    <w:p>
      <w:pPr>
        <w:ind w:left="288"/>
      </w:pPr>
      <w:r>
        <w:rPr>
          <w:color w:val="8C8C8C"/>
          <w:sz w:val="12"/>
        </w:rPr>
        <w:t>cf-art-43-par-3-inc-III</w:t>
      </w:r>
      <w:r>
        <w:rPr>
          <w:color w:val="003CA0"/>
          <w:sz w:val="12"/>
        </w:rPr>
        <w:t xml:space="preserve"> | RE 433.305</w:t>
      </w:r>
      <w:r>
        <w:rPr>
          <w:color w:val="003CA0"/>
          <w:sz w:val="12"/>
        </w:rPr>
        <w:t xml:space="preserve"> | rel. Sepúlveda Pertence</w:t>
      </w:r>
    </w:p>
    <w:p>
      <w:pPr>
        <w:ind w:left="288"/>
      </w:pPr>
      <w:r>
        <w:rPr>
          <w:color w:val="1E1E1E"/>
          <w:sz w:val="18"/>
        </w:rPr>
        <w:t>O servidor público tem direito à emissão pelo INSS de certidão de tempo de serviço prestado como celetista sob condições de insalubridade, periculosidade e penosidade, com os acréscimos previstos na legislação previdenciária. A autarquia não tem legitimidade para opor resistência à emissão da certidão com fundamento na alegada impossibilidade de sua utilização para a aposentadoria estatutária; requerida esta, apenas a entidade à qual incumba deferi-la é que poderia se opor à sua concessão.</w:t>
      </w:r>
    </w:p>
    <w:p>
      <w:pPr>
        <w:ind w:left="288"/>
      </w:pPr>
      <w:r>
        <w:rPr>
          <w:b/>
          <w:color w:val="003CA0"/>
          <w:sz w:val="16"/>
        </w:rPr>
        <w:t>[RE 433.305, rel. min. Sepúlveda Pertence, j. 14-2-2006, 1ª T, DJ de 10-3-2006.]</w:t>
      </w:r>
    </w:p>
    <w:p>
      <w:pPr>
        <w:ind w:left="288"/>
      </w:pPr>
      <w:r>
        <w:rPr>
          <w:color w:val="8C8C8C"/>
          <w:sz w:val="12"/>
        </w:rPr>
        <w:t>cf-art-43-par-3-inc-III</w:t>
      </w:r>
    </w:p>
    <w:p>
      <w:pPr>
        <w:ind w:left="288"/>
      </w:pPr>
      <w:r>
        <w:rPr>
          <w:color w:val="1E1E1E"/>
          <w:sz w:val="18"/>
        </w:rPr>
        <w:t>§ 4º-C. Poderão ser estabelecidos por lei complementar do respectivo ente federativo idade e tempo de contribuição diferenciados para aposentadoria de servidores cujas atividades sejam exercidas com efetiva exposição a agentes químicos, físicos e biológicos prejudiciais à saúde, ou associação desses agentes, vedada a caracterização por categoria profissional ou ocupação. (Incluído pela EC n. 103/2019)</w:t>
      </w:r>
    </w:p>
    <w:p>
      <w:pPr>
        <w:ind w:left="144"/>
      </w:pPr>
      <w:r>
        <w:rPr>
          <w:b/>
          <w:color w:val="B45A00"/>
          <w:sz w:val="16"/>
        </w:rPr>
        <w:t>SUMULA VINCULANTE</w:t>
      </w:r>
    </w:p>
    <w:p>
      <w:pPr>
        <w:ind w:left="288"/>
      </w:pPr>
      <w:r>
        <w:rPr>
          <w:color w:val="8C8C8C"/>
          <w:sz w:val="12"/>
        </w:rPr>
        <w:t>cf-art-43-par-3-inc-III</w:t>
      </w:r>
    </w:p>
    <w:p>
      <w:pPr>
        <w:ind w:left="288"/>
      </w:pPr>
      <w:r>
        <w:rPr>
          <w:color w:val="1E1E1E"/>
          <w:sz w:val="18"/>
        </w:rPr>
        <w:t>Aplicam-se ao servidor público, no que couber, as regras do regime geral da previdência social sobre aposentadoria especial de que trata o art. 40, § 4º, III, da CF, até a edição de lei complementar específica.</w:t>
      </w:r>
    </w:p>
    <w:p>
      <w:pPr>
        <w:ind w:left="288"/>
      </w:pPr>
      <w:r>
        <w:rPr>
          <w:b/>
          <w:color w:val="003CA0"/>
          <w:sz w:val="16"/>
        </w:rPr>
        <w:t>[Súmula Vinculante 33.]</w:t>
      </w:r>
    </w:p>
    <w:p>
      <w:pPr>
        <w:ind w:left="144"/>
      </w:pPr>
      <w:r>
        <w:rPr>
          <w:b/>
          <w:color w:val="B45A00"/>
          <w:sz w:val="16"/>
        </w:rPr>
        <w:t>CONTROLE CONCENTRADO</w:t>
      </w:r>
    </w:p>
    <w:p>
      <w:pPr>
        <w:ind w:left="288"/>
      </w:pPr>
      <w:r>
        <w:rPr>
          <w:color w:val="8C8C8C"/>
          <w:sz w:val="12"/>
        </w:rPr>
        <w:t>cf-art-43-par-3-inc-III</w:t>
      </w:r>
      <w:r>
        <w:rPr>
          <w:color w:val="003CA0"/>
          <w:sz w:val="12"/>
        </w:rPr>
        <w:t xml:space="preserve"> | ADI 3.817</w:t>
      </w:r>
      <w:r>
        <w:rPr>
          <w:color w:val="003CA0"/>
          <w:sz w:val="12"/>
        </w:rPr>
        <w:t xml:space="preserve"> | rel. Cármen Lúcia</w:t>
      </w:r>
    </w:p>
    <w:p>
      <w:pPr>
        <w:ind w:left="288"/>
      </w:pPr>
      <w:r>
        <w:rPr>
          <w:color w:val="1E1E1E"/>
          <w:sz w:val="18"/>
        </w:rPr>
        <w:t>O art. 1º da LC federal 51/1985, que dispõe que o policial será aposentado voluntariamente, com proventos integrais, após trinta anos de serviço, desde que conte pelo menos vinte anos de exercício em cargo de natureza estritamente policial, foi recepcionado pela Constituição da República de 1988. A combinação desse dispositivo com o art. 3º da Lei distrital 3.556/2005 autoriza a contagem do período de vinte anos previsto na LC 51/1985 sem que o servidor público tenha, necessariamente, exercido atividades de natureza estritamente policial, expondo sua integridade física a risco, pressuposto par</w:t>
      </w:r>
    </w:p>
    <w:p>
      <w:pPr>
        <w:ind w:left="288"/>
      </w:pPr>
      <w:r>
        <w:rPr>
          <w:b/>
          <w:color w:val="003CA0"/>
          <w:sz w:val="16"/>
        </w:rPr>
        <w:t>[ADI 3.817, rel. min. Cármen Lúcia, j. 13-11-2008, P, DJE de 3-4-2009.]</w:t>
      </w:r>
    </w:p>
    <w:p>
      <w:pPr>
        <w:ind w:left="288"/>
      </w:pPr>
      <w:r>
        <w:rPr>
          <w:color w:val="8C8C8C"/>
          <w:sz w:val="12"/>
        </w:rPr>
        <w:t>cf-art-43-par-3-inc-III</w:t>
      </w:r>
      <w:r>
        <w:rPr>
          <w:color w:val="003CA0"/>
          <w:sz w:val="12"/>
        </w:rPr>
        <w:t xml:space="preserve"> | RE 567.110</w:t>
      </w:r>
      <w:r>
        <w:rPr>
          <w:color w:val="003CA0"/>
          <w:sz w:val="12"/>
        </w:rPr>
        <w:t xml:space="preserve"> | rel. Cármen Lúcia</w:t>
      </w:r>
    </w:p>
    <w:p>
      <w:pPr>
        <w:ind w:left="288"/>
      </w:pPr>
      <w:r>
        <w:rPr>
          <w:color w:val="1E1E1E"/>
          <w:sz w:val="18"/>
        </w:rPr>
        <w:t>= RE 567.110, rel. min. Cármen Lúcia, j. 13-10-2010, P, DJE de 11-4-2011, Tema 26</w:t>
      </w:r>
    </w:p>
    <w:p>
      <w:pPr>
        <w:ind w:left="144"/>
      </w:pPr>
      <w:r>
        <w:rPr>
          <w:b/>
          <w:color w:val="B45A00"/>
          <w:sz w:val="16"/>
        </w:rPr>
        <w:t>REPERCUSSAO GERAL</w:t>
      </w:r>
    </w:p>
    <w:p>
      <w:pPr>
        <w:ind w:left="288"/>
      </w:pPr>
      <w:r>
        <w:rPr>
          <w:color w:val="8C8C8C"/>
          <w:sz w:val="12"/>
        </w:rPr>
        <w:t>cf-art-43-par-3-inc-III</w:t>
      </w:r>
      <w:r>
        <w:rPr>
          <w:color w:val="003CA0"/>
          <w:sz w:val="12"/>
        </w:rPr>
        <w:t xml:space="preserve"> | RE 1.014.286</w:t>
      </w:r>
    </w:p>
    <w:p>
      <w:pPr>
        <w:ind w:left="288"/>
      </w:pPr>
      <w:r>
        <w:rPr>
          <w:color w:val="1E1E1E"/>
          <w:sz w:val="18"/>
        </w:rPr>
        <w:t>Até a edição da Emenda Constitucional 103/2019, o direito à conversão, em tempo comum, do prestado sob condições especiais que prejudiquem a saúde ou a integridade física de servidor público decorre da previsão de adoção de requisitos e critérios diferenciados para a jubilação daquele enquadrado na hipótese prevista no então vigente inciso III do § 4º do art. 40 da Constituição da República, devendo ser aplicadas as normas do regime geral de previdência social relativas à aposentadoria especial contidas na Lei 8.213/1991 para viabilizar sua concretização enquanto não sobrevier lei complementar</w:t>
      </w:r>
    </w:p>
    <w:p>
      <w:pPr>
        <w:ind w:left="288"/>
      </w:pPr>
      <w:r>
        <w:rPr>
          <w:b/>
          <w:color w:val="003CA0"/>
          <w:sz w:val="16"/>
        </w:rPr>
        <w:t>[RE 1.014.286, red. do ac. min. Edson Fachin, j. 31-8-2020, P, DJE de 24-9-2020, Tema 942, com mérito julgado.]</w:t>
      </w:r>
    </w:p>
    <w:p>
      <w:pPr>
        <w:ind w:left="288"/>
      </w:pPr>
      <w:r>
        <w:rPr>
          <w:color w:val="8C8C8C"/>
          <w:sz w:val="12"/>
        </w:rPr>
        <w:t>cf-art-43-par-3-inc-III</w:t>
      </w:r>
      <w:r>
        <w:rPr>
          <w:color w:val="003CA0"/>
          <w:sz w:val="12"/>
        </w:rPr>
        <w:t xml:space="preserve"> | RE 791.961</w:t>
      </w:r>
      <w:r>
        <w:rPr>
          <w:color w:val="003CA0"/>
          <w:sz w:val="12"/>
        </w:rPr>
        <w:t xml:space="preserve"> | rel. Dias Toffoli</w:t>
      </w:r>
    </w:p>
    <w:p>
      <w:pPr>
        <w:ind w:left="288"/>
      </w:pPr>
      <w:r>
        <w:rPr>
          <w:color w:val="1E1E1E"/>
          <w:sz w:val="18"/>
        </w:rPr>
        <w:t xml:space="preserve">(...) é constitucional a vedação de continuidade da percepção de aposentadoria especial se o beneficiário permanece laborando em atividade especial ou a ela retorna, seja essa atividade especial aquela que ensejou a aposentação precoce ou não; nas hipóteses em que o segurado solicitar a aposentadoria e continuar a exercer o labor especial, a data de início do benefício será a data de entrada do requerimento, remontando a esse marco, inclusive, os efeitos financeiros; efetivada, contudo, seja na via administrativa, seja na judicial, a implantação do benefício, uma vez verificada a continuidade </w:t>
      </w:r>
    </w:p>
    <w:p>
      <w:pPr>
        <w:ind w:left="288"/>
      </w:pPr>
      <w:r>
        <w:rPr>
          <w:b/>
          <w:color w:val="003CA0"/>
          <w:sz w:val="16"/>
        </w:rPr>
        <w:t>[RE 791.961, rel. min. Dias Toffoli, j. 8-6-2020, P, DJE de 19-8-2020, Tema 709, com mérito julgado.]</w:t>
      </w:r>
    </w:p>
    <w:p>
      <w:pPr>
        <w:ind w:left="288"/>
      </w:pPr>
      <w:r>
        <w:rPr>
          <w:color w:val="8C8C8C"/>
          <w:sz w:val="12"/>
        </w:rPr>
        <w:t>cf-art-43-par-3-inc-III</w:t>
      </w:r>
      <w:r>
        <w:rPr>
          <w:color w:val="003CA0"/>
          <w:sz w:val="12"/>
        </w:rPr>
        <w:t xml:space="preserve"> | ARE 1.450.142</w:t>
      </w:r>
      <w:r>
        <w:rPr>
          <w:color w:val="003CA0"/>
          <w:sz w:val="12"/>
        </w:rPr>
        <w:t xml:space="preserve"> | rel. Luís Roberto Barroso</w:t>
      </w:r>
    </w:p>
    <w:p>
      <w:pPr>
        <w:ind w:left="288"/>
      </w:pPr>
      <w:r>
        <w:rPr>
          <w:color w:val="1E1E1E"/>
          <w:sz w:val="18"/>
        </w:rPr>
        <w:t>A orientação jurisprudencial do Supremo Tribunal Federal é no sentido de que o Tema 942 da repercussão geral, que tem como base o art. 40, § 4º, III, da Constituição, não se aplica aos servidores militares.</w:t>
      </w:r>
    </w:p>
    <w:p>
      <w:pPr>
        <w:ind w:left="288"/>
      </w:pPr>
      <w:r>
        <w:rPr>
          <w:b/>
          <w:color w:val="003CA0"/>
          <w:sz w:val="16"/>
        </w:rPr>
        <w:t>[ARE 1.450.142 ED-AgR, rel. min. Luís Roberto Barroso, j. 2-10-2023, 1ª T, DJE de 18-10-2023.]</w:t>
      </w:r>
    </w:p>
    <w:p>
      <w:pPr>
        <w:ind w:left="288"/>
      </w:pPr>
      <w:r>
        <w:rPr>
          <w:color w:val="8C8C8C"/>
          <w:sz w:val="12"/>
        </w:rPr>
        <w:t>cf-art-43-par-3-inc-III</w:t>
      </w:r>
      <w:r>
        <w:rPr>
          <w:color w:val="003CA0"/>
          <w:sz w:val="12"/>
        </w:rPr>
        <w:t xml:space="preserve"> | RE 1.501.712</w:t>
      </w:r>
      <w:r>
        <w:rPr>
          <w:color w:val="003CA0"/>
          <w:sz w:val="12"/>
        </w:rPr>
        <w:t xml:space="preserve"> | rel. Nunes Marques</w:t>
      </w:r>
    </w:p>
    <w:p>
      <w:pPr>
        <w:ind w:left="288"/>
      </w:pPr>
      <w:r>
        <w:rPr>
          <w:color w:val="1E1E1E"/>
          <w:sz w:val="18"/>
        </w:rPr>
        <w:t>Vide RE 1.501.712 AgR, rel. min. Nunes Marques, j. 06.11.2024, 2ª T, DJE de 18.11.2024 Com o advento da Emenda Constitucional 103, de 12 de novembro de 2019, tendo em vista a competência legislativa concorrente de cada ente para estabelecer, mediante lei complementar, idade e tempo de contribuição diferenciados para aposentadoria especial no regime próprio, não cabe ao Supremo julgar mandado de injunção formalizado por servidor de ente federado, voltado a suprir a omissão normativa – artigo 40, parágrafos 4º-A, 4º-B e 4º-C, da Carta da República.</w:t>
        <w:br/>
        <w:t>[MI 6.816 AgR, rel. min. Marco Aurélio, j. 29-5</w:t>
      </w:r>
    </w:p>
    <w:p>
      <w:pPr>
        <w:ind w:left="288"/>
      </w:pPr>
      <w:r>
        <w:rPr>
          <w:b/>
          <w:color w:val="003CA0"/>
          <w:sz w:val="16"/>
        </w:rPr>
        <w:t>[MI 3.881 AgR, rel. min. Cármen Lúcia, j. 20-10-2011, P, DJE de 21-11-2011.]</w:t>
      </w:r>
    </w:p>
    <w:p>
      <w:pPr>
        <w:ind w:left="288"/>
      </w:pPr>
      <w:r>
        <w:rPr>
          <w:color w:val="8C8C8C"/>
          <w:sz w:val="12"/>
        </w:rPr>
        <w:t>cf-art-43-par-3-inc-III</w:t>
      </w:r>
      <w:r>
        <w:rPr>
          <w:color w:val="003CA0"/>
          <w:sz w:val="12"/>
        </w:rPr>
        <w:t xml:space="preserve"> | MI 2.140</w:t>
      </w:r>
      <w:r>
        <w:rPr>
          <w:color w:val="003CA0"/>
          <w:sz w:val="12"/>
        </w:rPr>
        <w:t xml:space="preserve"> | rel. Cármen Lúcia</w:t>
      </w:r>
    </w:p>
    <w:p>
      <w:pPr>
        <w:ind w:left="288"/>
      </w:pPr>
      <w:r>
        <w:rPr>
          <w:color w:val="1E1E1E"/>
          <w:sz w:val="18"/>
        </w:rPr>
        <w:t>= MI 2.140 AgR, red. do ac. min. Luiz Fux, j. 6-3-2013, P, DJE de 27-8-2013 Aposentadoria especial de servidor público. Art. 40, § 4º, da CF. Aplicação do art. 57 da Lei 8.213/1991. A inexistência de norma estadual que estabeleça critérios para a aferição das condições especiais de trabalho que prejudiquem a saúde ou integridade física dos servidores públicos não impede o julgamento do mandado de injunção. A indefinição desses critérios decorre da omissão legislativa objeto do mandado de injunção.</w:t>
      </w:r>
    </w:p>
    <w:p>
      <w:pPr>
        <w:ind w:left="288"/>
      </w:pPr>
      <w:r>
        <w:rPr>
          <w:b/>
          <w:color w:val="003CA0"/>
          <w:sz w:val="16"/>
        </w:rPr>
        <w:t>[MI 1.169 AgR, rel. min. Cármen Lúcia, j. 1º-8-2011, P, DJE de 22-8-2011.]</w:t>
      </w:r>
    </w:p>
    <w:p>
      <w:pPr>
        <w:ind w:left="288"/>
      </w:pPr>
      <w:r>
        <w:rPr>
          <w:color w:val="8C8C8C"/>
          <w:sz w:val="12"/>
        </w:rPr>
        <w:t>cf-art-43-par-3-inc-III</w:t>
      </w:r>
      <w:r>
        <w:rPr>
          <w:color w:val="003CA0"/>
          <w:sz w:val="12"/>
        </w:rPr>
        <w:t xml:space="preserve"> | MI 1.832</w:t>
      </w:r>
      <w:r>
        <w:rPr>
          <w:color w:val="003CA0"/>
          <w:sz w:val="12"/>
        </w:rPr>
        <w:t xml:space="preserve"> | rel. Cármen Lúcia</w:t>
      </w:r>
    </w:p>
    <w:p>
      <w:pPr>
        <w:ind w:left="288"/>
      </w:pPr>
      <w:r>
        <w:rPr>
          <w:color w:val="1E1E1E"/>
          <w:sz w:val="18"/>
        </w:rPr>
        <w:t>Aposentadoria especial de servidor público distrital. Art. 40, § 4º, III, da Constituição da República. (...) A competência concorrente para legislar sobre previdência social não afasta a necessidade de tratamento uniforme das exceções às regras de aposentadoria dos servidores públicos. Necessidade de atuação normativa da União para a edição de norma regulamentadora de caráter nacional.</w:t>
      </w:r>
    </w:p>
    <w:p>
      <w:pPr>
        <w:ind w:left="288"/>
      </w:pPr>
      <w:r>
        <w:rPr>
          <w:b/>
          <w:color w:val="003CA0"/>
          <w:sz w:val="16"/>
        </w:rPr>
        <w:t>[MI 1.832 AgR, rel. min. Cármen Lúcia, j. 24-3-2011, P, DJE de 18-5-2011.]</w:t>
      </w:r>
    </w:p>
    <w:p>
      <w:pPr>
        <w:ind w:left="288"/>
      </w:pPr>
      <w:r>
        <w:rPr>
          <w:color w:val="8C8C8C"/>
          <w:sz w:val="12"/>
        </w:rPr>
        <w:t>cf-art-43-par-3-inc-III</w:t>
      </w:r>
      <w:r>
        <w:rPr>
          <w:color w:val="003CA0"/>
          <w:sz w:val="12"/>
        </w:rPr>
        <w:t xml:space="preserve"> | MI 1.898</w:t>
      </w:r>
      <w:r>
        <w:rPr>
          <w:color w:val="003CA0"/>
          <w:sz w:val="12"/>
        </w:rPr>
        <w:t xml:space="preserve"> | rel. Joaquim Barbosa</w:t>
      </w:r>
    </w:p>
    <w:p>
      <w:pPr>
        <w:ind w:left="288"/>
      </w:pPr>
      <w:r>
        <w:rPr>
          <w:color w:val="1E1E1E"/>
          <w:sz w:val="18"/>
        </w:rPr>
        <w:t>= MI 1.898 AgR, rel. min. Joaquim Barbosa, j. 16-5-2012, P, DJE de 1º-6-2012 Servidor público. Trabalho em ambiente insalubre. Os parâmetros alusivos à aposentadoria especial, enquanto não editada a lei exigida pelo Texto Constitucional, são aqueles contidos na Lei 8.213/1991, não cabendo mesclar sistemas para, com isso, cogitar-se de idade mínima.</w:t>
      </w:r>
    </w:p>
    <w:p>
      <w:pPr>
        <w:ind w:left="288"/>
      </w:pPr>
      <w:r>
        <w:rPr>
          <w:b/>
          <w:color w:val="003CA0"/>
          <w:sz w:val="16"/>
        </w:rPr>
        <w:t>[MI 758 ED, rel. min. Marco Aurélio, j. 8-4-2010, P, DJE de 14-5-2010.]</w:t>
      </w:r>
    </w:p>
    <w:p>
      <w:pPr>
        <w:ind w:left="288"/>
      </w:pPr>
      <w:r>
        <w:rPr>
          <w:color w:val="8C8C8C"/>
          <w:sz w:val="12"/>
        </w:rPr>
        <w:t>cf-art-43-par-3-inc-III</w:t>
      </w:r>
      <w:r>
        <w:rPr>
          <w:color w:val="003CA0"/>
          <w:sz w:val="12"/>
        </w:rPr>
        <w:t xml:space="preserve"> | MI 1.038</w:t>
      </w:r>
      <w:r>
        <w:rPr>
          <w:color w:val="003CA0"/>
          <w:sz w:val="12"/>
        </w:rPr>
        <w:t xml:space="preserve"> | rel. Gilmar Mendes</w:t>
      </w:r>
    </w:p>
    <w:p>
      <w:pPr>
        <w:ind w:left="288"/>
      </w:pPr>
      <w:r>
        <w:rPr>
          <w:color w:val="1E1E1E"/>
          <w:sz w:val="18"/>
        </w:rPr>
        <w:t>= MI 1.038 ED, rel. min. Gilmar Mendes, j. 16-5-2012, P, DJE de 19-6-2012 Servidor público: direito adquirido à contagem especial de tempo de serviço prestado em condições insalubres, vinculado ao regime geral da previdência, antes de sua transformação em estatutário, para fins de aposentadoria: o cômputo do tempo de serviço e os seus efeitos jurídicos regem-se pela lei vigente quando da sua prestação: incidência, mutatis mutandis, da Súmula 359.</w:t>
      </w:r>
    </w:p>
    <w:p>
      <w:pPr>
        <w:ind w:left="288"/>
      </w:pPr>
      <w:r>
        <w:rPr>
          <w:b/>
          <w:color w:val="003CA0"/>
          <w:sz w:val="16"/>
        </w:rPr>
        <w:t>[RE 464.694 AgR, rel. min. Sepúlveda Pertence, j. 13-2-2007, 1ª T, DJ de 27-4-2007.]</w:t>
      </w:r>
    </w:p>
    <w:p>
      <w:pPr>
        <w:ind w:left="288"/>
      </w:pPr>
      <w:r>
        <w:rPr>
          <w:color w:val="8C8C8C"/>
          <w:sz w:val="12"/>
        </w:rPr>
        <w:t>cf-art-43-par-3-inc-III</w:t>
      </w:r>
      <w:r>
        <w:rPr>
          <w:color w:val="003CA0"/>
          <w:sz w:val="12"/>
        </w:rPr>
        <w:t xml:space="preserve"> | AI 736.438</w:t>
      </w:r>
      <w:r>
        <w:rPr>
          <w:color w:val="003CA0"/>
          <w:sz w:val="12"/>
        </w:rPr>
        <w:t xml:space="preserve"> | rel. Ayres Britto</w:t>
      </w:r>
    </w:p>
    <w:p>
      <w:pPr>
        <w:ind w:left="288"/>
      </w:pPr>
      <w:r>
        <w:rPr>
          <w:color w:val="1E1E1E"/>
          <w:sz w:val="18"/>
        </w:rPr>
        <w:t>= AI 736.438 AgR, rel. min. Ayres Britto, j. 24-8-2010, 2ª T, DJE de 8-10-2010 O adicional de insalubridade não é vantagem de caráter geral, pressupondo atividade insalubre comprovada por laudo pericial. Não pode ser estendida indiscriminadamente a todos os servidores da categoria, ativos e inativos, não se aplicando o art. 40, § 4º, da Constituição.</w:t>
      </w:r>
    </w:p>
    <w:p>
      <w:pPr>
        <w:ind w:left="288"/>
      </w:pPr>
      <w:r>
        <w:rPr>
          <w:b/>
          <w:color w:val="003CA0"/>
          <w:sz w:val="16"/>
        </w:rPr>
        <w:t>[AI 540.618 AgR, rel. min. Sepúlveda Pertence, j. 14-11-2006, 1ª T, DJ de 15-12-2006.]</w:t>
      </w:r>
    </w:p>
    <w:p>
      <w:pPr>
        <w:ind w:left="288"/>
      </w:pPr>
      <w:r>
        <w:rPr>
          <w:color w:val="8C8C8C"/>
          <w:sz w:val="12"/>
        </w:rPr>
        <w:t>cf-art-43-par-3-inc-III</w:t>
      </w:r>
      <w:r>
        <w:rPr>
          <w:color w:val="003CA0"/>
          <w:sz w:val="12"/>
        </w:rPr>
        <w:t xml:space="preserve"> | MI 444</w:t>
      </w:r>
      <w:r>
        <w:rPr>
          <w:color w:val="003CA0"/>
          <w:sz w:val="12"/>
        </w:rPr>
        <w:t xml:space="preserve"> | rel. Sepúlveda Pertence</w:t>
      </w:r>
    </w:p>
    <w:p>
      <w:pPr>
        <w:ind w:left="288"/>
      </w:pPr>
      <w:r>
        <w:rPr>
          <w:color w:val="1E1E1E"/>
          <w:sz w:val="18"/>
        </w:rPr>
        <w:t>Servidor público do Distrito Federal: inexistência de direito à aposentadoria especial, no caso de atividades perigosas, insalubres ou penosas. O Supremo Tribunal, no julgamento do MI 444 QO, Sydney Sanches, RTJ 158/6, assentou que a norma inscrita no art. 40, § 1º (atual § 4º), da CF não conferiu originariamente a nenhum servidor público o direito à obtenção de aposentadoria especial pelo exercício de atividades perigosas, insalubres ou penosas; o mencionado preceito constitucional apenas faculta ao legislador, mediante lei complementar, instituir outras hipóteses de aposentadoria especial, n</w:t>
      </w:r>
    </w:p>
    <w:p>
      <w:pPr>
        <w:ind w:left="288"/>
      </w:pPr>
      <w:r>
        <w:rPr>
          <w:b/>
          <w:color w:val="003CA0"/>
          <w:sz w:val="16"/>
        </w:rPr>
        <w:t>[RE 428.511 AgR, rel. min. Sepúlveda Pertence, j. 14-2-2006, 1ª T, DJ de 17-3-2006.]</w:t>
      </w:r>
    </w:p>
    <w:p>
      <w:pPr>
        <w:ind w:left="288"/>
      </w:pPr>
      <w:r>
        <w:rPr>
          <w:color w:val="8C8C8C"/>
          <w:sz w:val="12"/>
        </w:rPr>
        <w:t>cf-art-43-par-3-inc-III</w:t>
      </w:r>
      <w:r>
        <w:rPr>
          <w:color w:val="003CA0"/>
          <w:sz w:val="12"/>
        </w:rPr>
        <w:t xml:space="preserve"> | RE 433.305</w:t>
      </w:r>
      <w:r>
        <w:rPr>
          <w:color w:val="003CA0"/>
          <w:sz w:val="12"/>
        </w:rPr>
        <w:t xml:space="preserve"> | rel. Sepúlveda Pertence</w:t>
      </w:r>
    </w:p>
    <w:p>
      <w:pPr>
        <w:ind w:left="288"/>
      </w:pPr>
      <w:r>
        <w:rPr>
          <w:color w:val="1E1E1E"/>
          <w:sz w:val="18"/>
        </w:rPr>
        <w:t>O servidor público tem direito à emissão pelo INSS de certidão de tempo de serviço prestado como celetista sob condições de insalubridade, periculosidade e penosidade, com os acréscimos previstos na legislação previdenciária. A autarquia não tem legitimidade para opor resistência à emissão da certidão com fundamento na alegada impossibilidade de sua utilização para a aposentadoria estatutária; requerida esta, apenas a entidade à qual incumba deferi-la é que poderia se opor à sua concessão.</w:t>
      </w:r>
    </w:p>
    <w:p>
      <w:pPr>
        <w:ind w:left="288"/>
      </w:pPr>
      <w:r>
        <w:rPr>
          <w:b/>
          <w:color w:val="003CA0"/>
          <w:sz w:val="16"/>
        </w:rPr>
        <w:t>[RE 433.305, rel. min. Sepúlveda Pertence, j. 14-2-2006, 1ª T, DJ de 10-3-2006.]</w:t>
      </w:r>
    </w:p>
    <w:p>
      <w:pPr>
        <w:ind w:left="288"/>
      </w:pPr>
      <w:r>
        <w:rPr>
          <w:color w:val="8C8C8C"/>
          <w:sz w:val="12"/>
        </w:rPr>
        <w:t>cf-art-43-par-3-inc-III</w:t>
      </w:r>
      <w:r>
        <w:rPr>
          <w:color w:val="003CA0"/>
          <w:sz w:val="12"/>
        </w:rPr>
        <w:t xml:space="preserve"> | RE 383.998</w:t>
      </w:r>
      <w:r>
        <w:rPr>
          <w:color w:val="003CA0"/>
          <w:sz w:val="12"/>
        </w:rPr>
        <w:t xml:space="preserve"> | rel. Sepúlveda Pertence</w:t>
      </w:r>
    </w:p>
    <w:p>
      <w:pPr>
        <w:ind w:left="288"/>
      </w:pPr>
      <w:r>
        <w:rPr>
          <w:color w:val="1E1E1E"/>
          <w:sz w:val="18"/>
        </w:rPr>
        <w:t>= RE 383.998 AgR, rel. min. Sepúlveda Pertence, j. 13-2-2007, 1ª T, DJ de 27-4-2007 § 21. (Revogado pela EC n. 103/2019) § 22. Vedada a instituição de novos regimes próprios de previdência social, lei complementar federal estabelecerá, para os que já existam, normas gerais de organização, de funcionamento e de responsabilidade em sua gestão, dispondo, entre outros aspectos, sobre: (Incluído pela EC n. 103/2019)</w:t>
      </w:r>
    </w:p>
    <w:p>
      <w:pPr>
        <w:ind w:left="288"/>
      </w:pPr>
      <w:r>
        <w:rPr>
          <w:color w:val="8C8C8C"/>
          <w:sz w:val="12"/>
        </w:rPr>
        <w:t>cf-art-43-par-3-inc-IV</w:t>
      </w:r>
    </w:p>
    <w:p>
      <w:pPr>
        <w:ind w:left="288"/>
      </w:pPr>
      <w:r>
        <w:rPr>
          <w:color w:val="1E1E1E"/>
          <w:sz w:val="18"/>
        </w:rPr>
        <w:t>V - condições para instituição do fundo com finalidade previdenciária de que trata o art. 249 e para vinculação a ele dos recursos provenientes de contribuições e dos bens, direitos e ativos de qualquer natureza; (Incluído pela EC n. 103/2019) VI - mecanismos de equacionamento do deficit atuarial; (Incluído pela EC n. 103/2019) VII - estruturação do órgão ou entidade gestora do regime, observados os princípios relacionados com governança, controle interno e transparência; (Incluído pela EC n. 103/2019) VIII - condições e hipóteses para responsabilização daqueles que desempenhem atribuições rel</w:t>
      </w:r>
    </w:p>
    <w:p>
      <w:pPr>
        <w:ind w:left="288"/>
      </w:pPr>
      <w:r>
        <w:rPr>
          <w:color w:val="8C8C8C"/>
          <w:sz w:val="12"/>
        </w:rPr>
        <w:t>cf-art-43-par-3-inc-III</w:t>
      </w:r>
      <w:r>
        <w:rPr>
          <w:color w:val="003CA0"/>
          <w:sz w:val="12"/>
        </w:rPr>
        <w:t xml:space="preserve"> | RE 592.891</w:t>
      </w:r>
      <w:r>
        <w:rPr>
          <w:color w:val="003CA0"/>
          <w:sz w:val="12"/>
        </w:rPr>
        <w:t xml:space="preserve"> | rel. Rosa Weber</w:t>
      </w:r>
    </w:p>
    <w:p>
      <w:pPr>
        <w:ind w:left="288"/>
      </w:pPr>
      <w:r>
        <w:rPr>
          <w:color w:val="1E1E1E"/>
          <w:sz w:val="18"/>
        </w:rPr>
        <w:t>Há direito ao creditamento de IPI na entrada de insumos, matéria-prima e material de embalagem adquiridos junto à Zona Franca de Manaus sob o regime da isenção, considerada a previsão de incentivos regionais constante do art. 43, § 2º, III, da Constituição Federal, combinada com o comando do art. 40 do ADCT</w:t>
      </w:r>
    </w:p>
    <w:p>
      <w:pPr>
        <w:ind w:left="288"/>
      </w:pPr>
      <w:r>
        <w:rPr>
          <w:b/>
          <w:color w:val="003CA0"/>
          <w:sz w:val="16"/>
        </w:rPr>
        <w:t>[RE 592.891, rel. min. Rosa Weber, j. 25-4-2019, P, DJE de 20-4-2019, Tema 322, com mérito julgado.]</w:t>
      </w:r>
    </w:p>
    <w:p>
      <w:pPr>
        <w:ind w:left="288"/>
      </w:pPr>
      <w:r>
        <w:rPr>
          <w:color w:val="8C8C8C"/>
          <w:sz w:val="12"/>
        </w:rPr>
        <w:t>cf-art-43-par-4</w:t>
      </w:r>
    </w:p>
    <w:p>
      <w:pPr>
        <w:ind w:left="288"/>
      </w:pPr>
      <w:r>
        <w:rPr>
          <w:color w:val="1E1E1E"/>
          <w:sz w:val="18"/>
        </w:rPr>
        <w:t>TÍTULO IV Da Organização dos Poderes (Redação da EC 80/2014) SUMÁRIO CAPÍTULO I Do Poder Legislativo SUMÁRIO Seção I Do Congresso Nacional SUMÁRIO</w:t>
      </w:r>
    </w:p>
    <w:p>
      <w:r>
        <w:rPr>
          <w:b/>
          <w:color w:val="003366"/>
          <w:sz w:val="20"/>
        </w:rPr>
        <w:t>Art. 44 As atuais empresas brasileiras titulares de autorização de pesquisa, con</w:t>
      </w:r>
      <w:r>
        <w:rPr>
          <w:color w:val="8C8C8C"/>
          <w:sz w:val="14"/>
        </w:rPr>
        <w:t xml:space="preserve">  [2 decisoes]</w:t>
      </w:r>
    </w:p>
    <w:p>
      <w:pPr>
        <w:ind w:left="144"/>
      </w:pPr>
      <w:r>
        <w:rPr>
          <w:b/>
          <w:color w:val="B45A00"/>
          <w:sz w:val="16"/>
        </w:rPr>
        <w:t>JULGADOS CORRELATOS</w:t>
      </w:r>
    </w:p>
    <w:p>
      <w:pPr>
        <w:ind w:left="288"/>
      </w:pPr>
      <w:r>
        <w:rPr>
          <w:color w:val="8C8C8C"/>
          <w:sz w:val="12"/>
        </w:rPr>
        <w:t>cf-art-44</w:t>
      </w:r>
      <w:r>
        <w:rPr>
          <w:color w:val="003CA0"/>
          <w:sz w:val="12"/>
        </w:rPr>
        <w:t xml:space="preserve"> | MS 26.900</w:t>
      </w:r>
    </w:p>
    <w:p>
      <w:pPr>
        <w:ind w:left="288"/>
      </w:pPr>
      <w:r>
        <w:rPr>
          <w:color w:val="1E1E1E"/>
          <w:sz w:val="18"/>
        </w:rPr>
        <w:t>A sessão deliberativa extraordinária do Senado Federal que decide sobre a perda de mandato do presidente do Congresso Nacional faz com que todos os parlamentares, sejam eles membros da Câmara ou do Senado Federal, tenham legítimo interesse no desfecho da sessão, visto que, somados, compõem o Poder Legislativo, que é exercido pelo Congresso Nacional (art. 44 da CF).</w:t>
      </w:r>
    </w:p>
    <w:p>
      <w:pPr>
        <w:ind w:left="288"/>
      </w:pPr>
      <w:r>
        <w:rPr>
          <w:b/>
          <w:color w:val="003CA0"/>
          <w:sz w:val="16"/>
        </w:rPr>
        <w:t>[MS 26.900 MC, red. do ac. min. Ricardo Lewandowski, j. 12-9-2007, P, DJE de 4-4-2008.]</w:t>
      </w:r>
    </w:p>
    <w:p>
      <w:pPr>
        <w:ind w:left="288"/>
      </w:pPr>
      <w:r>
        <w:rPr>
          <w:color w:val="8C8C8C"/>
          <w:sz w:val="12"/>
        </w:rPr>
        <w:t>cf-art-44</w:t>
      </w:r>
    </w:p>
    <w:p>
      <w:pPr>
        <w:ind w:left="288"/>
      </w:pPr>
      <w:r>
        <w:rPr>
          <w:color w:val="1E1E1E"/>
          <w:sz w:val="18"/>
        </w:rPr>
        <w:t>Parágrafo único. Cada legislatura terá a duração de quatro anos.</w:t>
      </w:r>
    </w:p>
    <w:p>
      <w:pPr>
        <w:ind w:left="432"/>
      </w:pPr>
      <w:r>
        <w:rPr>
          <w:color w:val="003366"/>
          <w:sz w:val="18"/>
        </w:rPr>
        <w:t>§ 1 Ressalvadas as disposições de interesse nacional previstas no texto constitu</w:t>
      </w:r>
    </w:p>
    <w:p>
      <w:pPr>
        <w:ind w:left="432"/>
      </w:pPr>
      <w:r>
        <w:rPr>
          <w:color w:val="003366"/>
          <w:sz w:val="18"/>
        </w:rPr>
        <w:t xml:space="preserve">§ 2 Ficarão também dispensadas do cumprimento do disposto no art. 176, § 1º, as </w:t>
      </w:r>
    </w:p>
    <w:p>
      <w:pPr>
        <w:ind w:left="432"/>
      </w:pPr>
      <w:r>
        <w:rPr>
          <w:color w:val="003366"/>
          <w:sz w:val="18"/>
        </w:rPr>
        <w:t>§ 3 As empresas brasileiras referidas no § 1º somente poderão ter autorizações d</w:t>
      </w:r>
    </w:p>
    <w:p>
      <w:r>
        <w:rPr>
          <w:b/>
          <w:color w:val="003366"/>
          <w:sz w:val="20"/>
        </w:rPr>
        <w:t>Art. 45 Ficam excluídas do monopólio estabelecido pelo art. 177, II, da Constitu</w:t>
      </w:r>
      <w:r>
        <w:rPr>
          <w:color w:val="8C8C8C"/>
          <w:sz w:val="14"/>
        </w:rPr>
        <w:t xml:space="preserve">  [9 decisoes]</w:t>
      </w:r>
    </w:p>
    <w:p>
      <w:pPr>
        <w:ind w:left="288"/>
      </w:pPr>
      <w:r>
        <w:rPr>
          <w:color w:val="8C8C8C"/>
          <w:sz w:val="12"/>
        </w:rPr>
        <w:t>cf-art-45</w:t>
      </w:r>
      <w:r>
        <w:rPr>
          <w:color w:val="003CA0"/>
          <w:sz w:val="12"/>
        </w:rPr>
        <w:t xml:space="preserve"> | ADI 7.228</w:t>
      </w:r>
      <w:r>
        <w:rPr>
          <w:color w:val="003CA0"/>
          <w:sz w:val="12"/>
        </w:rPr>
        <w:t xml:space="preserve"> | rel. Ricardo Lewandowski</w:t>
      </w:r>
    </w:p>
    <w:p>
      <w:pPr>
        <w:ind w:left="288"/>
      </w:pPr>
      <w:r>
        <w:rPr>
          <w:color w:val="1E1E1E"/>
          <w:sz w:val="18"/>
        </w:rPr>
        <w:t>Art. 109, § 2º, e art. 111 do Código Eleitoral. Caput e § 2º do art. 11 e art. 13 da Resolução n. 23.677/2021 do Tribunal Superior Eleitoral. Inaplicação da cláusula de desempenho partidário, na proporção de 80% do quociente eleitoral, à terceira fase de distribuição das cadeiras remanescentes por descumprimento aos princípios do pluralismo político, da soberania popular, da representatividade e da proporcionalidade partidária.</w:t>
      </w:r>
    </w:p>
    <w:p>
      <w:pPr>
        <w:ind w:left="288"/>
      </w:pPr>
      <w:r>
        <w:rPr>
          <w:b/>
          <w:color w:val="003CA0"/>
          <w:sz w:val="16"/>
        </w:rPr>
        <w:t>[ADI 7.228, ADI 7.263 e ADI 7.325, rel. min. Ricardo Lewandowski, red. do ac. min. Cármen Lúcia, j. 28.02.2024, P, DJE de 27.05.2024.]</w:t>
      </w:r>
    </w:p>
    <w:p>
      <w:pPr>
        <w:ind w:left="288"/>
      </w:pPr>
      <w:r>
        <w:rPr>
          <w:color w:val="8C8C8C"/>
          <w:sz w:val="12"/>
        </w:rPr>
        <w:t>cf-art-45</w:t>
      </w:r>
      <w:r>
        <w:rPr>
          <w:color w:val="003CA0"/>
          <w:sz w:val="12"/>
        </w:rPr>
        <w:t xml:space="preserve"> | ADO 38</w:t>
      </w:r>
      <w:r>
        <w:rPr>
          <w:color w:val="003CA0"/>
          <w:sz w:val="12"/>
        </w:rPr>
        <w:t xml:space="preserve"> | rel. Luiz Fux</w:t>
      </w:r>
    </w:p>
    <w:p>
      <w:pPr>
        <w:ind w:left="288"/>
      </w:pPr>
      <w:r>
        <w:rPr>
          <w:color w:val="1E1E1E"/>
          <w:sz w:val="18"/>
        </w:rPr>
        <w:t>O sistema eleitoral proporcional, previsto na Constituição para a eleição de Deputados Federais (art. 45, caput), é aquele no qual se busca a inclusão das mais variadas posições do espectro político no Parlamento, tendo como característica o princípio de que a distribuição de cadeiras deve refletir, tanto quanto possível, a distribuição de votos obtida pelos partidos. O constituinte não desceu às minúcias na definição das regras aplicáveis a este sistema, de sorte que o legislador tem amplo espaço para a definição de seus aspectos práticos, estando limitado apenas pelos contornos essenciais qu</w:t>
      </w:r>
    </w:p>
    <w:p>
      <w:pPr>
        <w:ind w:left="288"/>
      </w:pPr>
      <w:r>
        <w:rPr>
          <w:b/>
          <w:color w:val="003CA0"/>
          <w:sz w:val="16"/>
        </w:rPr>
        <w:t>[ADI 5.420, rel. min. Dias Toffoli, j. 4-3-2020, P, DJE de 9-9-2020.]</w:t>
      </w:r>
    </w:p>
    <w:p>
      <w:pPr>
        <w:ind w:left="288"/>
      </w:pPr>
      <w:r>
        <w:rPr>
          <w:color w:val="8C8C8C"/>
          <w:sz w:val="12"/>
        </w:rPr>
        <w:t>cf-art-45</w:t>
      </w:r>
      <w:r>
        <w:rPr>
          <w:color w:val="003CA0"/>
          <w:sz w:val="12"/>
        </w:rPr>
        <w:t xml:space="preserve"> | ADI 5.920</w:t>
      </w:r>
      <w:r>
        <w:rPr>
          <w:color w:val="003CA0"/>
          <w:sz w:val="12"/>
        </w:rPr>
        <w:t xml:space="preserve"> | rel. Luiz Fux</w:t>
      </w:r>
    </w:p>
    <w:p>
      <w:pPr>
        <w:ind w:left="288"/>
      </w:pPr>
      <w:r>
        <w:rPr>
          <w:color w:val="1E1E1E"/>
          <w:sz w:val="18"/>
        </w:rPr>
        <w:t>A cláusula de desempenho individual de 10% do quociente eleitoral para a eleição não viola o princípio democrático ou o sistema proporcional, consistindo, antes, em valorização da representatividade e do voto nominal, em consonância com o sistema de listas abertas e com o comportamento cultural do eleitor brasileiro. O sistema proporcional impõe regras que devem observar as particularidades da realidade eleitoral do País, considerando aspectos culturais e fáticos, pois na experiência comparada não se percebem modelos perfeitos e pré-determinados. O sistema eleitoral proporcional para a eleição</w:t>
      </w:r>
    </w:p>
    <w:p>
      <w:pPr>
        <w:ind w:left="288"/>
      </w:pPr>
      <w:r>
        <w:rPr>
          <w:b/>
          <w:color w:val="003CA0"/>
          <w:sz w:val="16"/>
        </w:rPr>
        <w:t>[ADI 5.947, rel. min. Marco Aurélio, j. 4-3-2020, P, DJE de 30-7-2020.]</w:t>
      </w:r>
    </w:p>
    <w:p>
      <w:pPr>
        <w:ind w:left="288"/>
      </w:pPr>
      <w:r>
        <w:rPr>
          <w:color w:val="8C8C8C"/>
          <w:sz w:val="12"/>
        </w:rPr>
        <w:t>cf-art-45</w:t>
      </w:r>
      <w:r>
        <w:rPr>
          <w:color w:val="003CA0"/>
          <w:sz w:val="12"/>
        </w:rPr>
        <w:t xml:space="preserve"> | ADI 4.647</w:t>
      </w:r>
      <w:r>
        <w:rPr>
          <w:color w:val="003CA0"/>
          <w:sz w:val="12"/>
        </w:rPr>
        <w:t xml:space="preserve"> | rel. Dias Toffoli</w:t>
      </w:r>
    </w:p>
    <w:p>
      <w:pPr>
        <w:ind w:left="288"/>
      </w:pPr>
      <w:r>
        <w:rPr>
          <w:color w:val="1E1E1E"/>
          <w:sz w:val="18"/>
        </w:rPr>
        <w:t>Resolução da Câmara dos Deputados. (...) Ato que disciplina a distribuição de servidores por gabinete de liderança a cada nova eleição com base na representatividade do partido. (...) Os critérios equitativos adotados na resolução decorrem do próprio regime democrático e da lógica da representatividade proporcional, sem descuidar da garantia do direito de existência das minorias.</w:t>
      </w:r>
    </w:p>
    <w:p>
      <w:pPr>
        <w:ind w:left="288"/>
      </w:pPr>
      <w:r>
        <w:rPr>
          <w:b/>
          <w:color w:val="003CA0"/>
          <w:sz w:val="16"/>
        </w:rPr>
        <w:t>[ADI 4.647, rel. min. Dias Toffoli, j. 6-6-2018, P, DJE de 21-6-2018.]</w:t>
      </w:r>
    </w:p>
    <w:p>
      <w:pPr>
        <w:ind w:left="144"/>
      </w:pPr>
      <w:r>
        <w:rPr>
          <w:b/>
          <w:color w:val="B45A00"/>
          <w:sz w:val="16"/>
        </w:rPr>
        <w:t>JULGADOS CORRELATOS</w:t>
      </w:r>
    </w:p>
    <w:p>
      <w:pPr>
        <w:ind w:left="288"/>
      </w:pPr>
      <w:r>
        <w:rPr>
          <w:color w:val="8C8C8C"/>
          <w:sz w:val="12"/>
        </w:rPr>
        <w:t>cf-art-45</w:t>
      </w:r>
      <w:r>
        <w:rPr>
          <w:color w:val="003CA0"/>
          <w:sz w:val="12"/>
        </w:rPr>
        <w:t xml:space="preserve"> | MS 30.380</w:t>
      </w:r>
      <w:r>
        <w:rPr>
          <w:color w:val="003CA0"/>
          <w:sz w:val="12"/>
        </w:rPr>
        <w:t xml:space="preserve"> | rel. Celso de Mello</w:t>
      </w:r>
    </w:p>
    <w:p>
      <w:pPr>
        <w:ind w:left="288"/>
      </w:pPr>
      <w:r>
        <w:rPr>
          <w:color w:val="1E1E1E"/>
          <w:sz w:val="18"/>
        </w:rPr>
        <w:t>Tratando-se de eleições proporcionais, e como a distribuição de cadeiras entre os partidos políticos é realizada em razão da votação por eles obtida, não se desconhece que, fora das coligações, muitas agremiações partidárias, atuando isoladamente, sequer conseguiriam eleger seus próprios candidatos, eis que incapazes, elas mesmas, de atingir o quociente eleitoral. No entanto, tal seria possível se as agremiações, disputando o processo eleitoral, o fizessem no âmbito de uma coligação partidária, pois mais facilmente alcançável, por essa união transitória de partidos políticos, o quociente eleit</w:t>
      </w:r>
    </w:p>
    <w:p>
      <w:pPr>
        <w:ind w:left="288"/>
      </w:pPr>
      <w:r>
        <w:rPr>
          <w:b/>
          <w:color w:val="003CA0"/>
          <w:sz w:val="16"/>
        </w:rPr>
        <w:t>[MS 30.380 MC, rel. min. Celso de Mello, j. 31-3-2011, dec. monocrática, DJE de 5-4-2011.]</w:t>
      </w:r>
    </w:p>
    <w:p>
      <w:pPr>
        <w:ind w:left="288"/>
      </w:pPr>
      <w:r>
        <w:rPr>
          <w:color w:val="8C8C8C"/>
          <w:sz w:val="12"/>
        </w:rPr>
        <w:t>cf-art-45</w:t>
      </w:r>
      <w:r>
        <w:rPr>
          <w:color w:val="003CA0"/>
          <w:sz w:val="12"/>
        </w:rPr>
        <w:t xml:space="preserve"> | MS 26.604</w:t>
      </w:r>
      <w:r>
        <w:rPr>
          <w:color w:val="003CA0"/>
          <w:sz w:val="12"/>
        </w:rPr>
        <w:t xml:space="preserve"> | rel. Cármen Lúcia</w:t>
      </w:r>
    </w:p>
    <w:p>
      <w:pPr>
        <w:ind w:left="288"/>
      </w:pPr>
      <w:r>
        <w:rPr>
          <w:color w:val="1E1E1E"/>
          <w:sz w:val="18"/>
        </w:rPr>
        <w:t>No Brasil, a eleição de deputados faz-se pelo sistema da representação proporcional, por lista aberta, uninominal. No sistema que acolhe – como se dá no Brasil desde a Constituição de 1934 – a representação proporcional para a eleição de deputados e vereadores, o eleitor exerce a sua liberdade de escolha apenas entre os candidatos registrados pelo partido político, sendo eles, portanto, seguidores necessários do programa partidário de sua opção. O destinatário do voto é o partido político viabilizador da candidatura por ele oferecida. O eleito vincula-se, necessariamente, a determinado partido</w:t>
      </w:r>
    </w:p>
    <w:p>
      <w:pPr>
        <w:ind w:left="288"/>
      </w:pPr>
      <w:r>
        <w:rPr>
          <w:b/>
          <w:color w:val="003CA0"/>
          <w:sz w:val="16"/>
        </w:rPr>
        <w:t>[MS 26.604, rel. min. Cármen Lúcia, j. 4-10-2007, P, DJE de 3-10-2008.]</w:t>
      </w:r>
    </w:p>
    <w:p>
      <w:pPr>
        <w:ind w:left="288"/>
      </w:pPr>
      <w:r>
        <w:rPr>
          <w:color w:val="8C8C8C"/>
          <w:sz w:val="12"/>
        </w:rPr>
        <w:t>cf-art-45</w:t>
      </w:r>
      <w:r>
        <w:rPr>
          <w:color w:val="003CA0"/>
          <w:sz w:val="12"/>
        </w:rPr>
        <w:t xml:space="preserve"> | MS 26.602</w:t>
      </w:r>
      <w:r>
        <w:rPr>
          <w:color w:val="003CA0"/>
          <w:sz w:val="12"/>
        </w:rPr>
        <w:t xml:space="preserve"> | rel. Eros Grau</w:t>
      </w:r>
    </w:p>
    <w:p>
      <w:pPr>
        <w:ind w:left="288"/>
      </w:pPr>
      <w:r>
        <w:rPr>
          <w:color w:val="1E1E1E"/>
          <w:sz w:val="18"/>
        </w:rPr>
        <w:t>= MS 26.602, rel. min. Eros Grau, j. 4-10-2007, P, DJE de 17-10-2008 = MS 26.603, rel. min. Celso de Mello, j. 4-10-2007, P, DJE de 19-12-2008 § 1º O número total de Deputados, bem como a representação por Estado e pelo Distrito Federal, será estabelecido por lei complementar, proporcionalmente à população, procedendo-se aos ajustes necessários, no ano anterior às eleições, para que nenhuma daquelas unidades da Federação tenha menos de oito ou mais de setenta Deputados.</w:t>
      </w:r>
    </w:p>
    <w:p>
      <w:pPr>
        <w:ind w:left="144"/>
      </w:pPr>
      <w:r>
        <w:rPr>
          <w:b/>
          <w:color w:val="B45A00"/>
          <w:sz w:val="16"/>
        </w:rPr>
        <w:t>CONTROLE CONCENTRADO</w:t>
      </w:r>
    </w:p>
    <w:p>
      <w:pPr>
        <w:ind w:left="288"/>
      </w:pPr>
      <w:r>
        <w:rPr>
          <w:color w:val="8C8C8C"/>
          <w:sz w:val="12"/>
        </w:rPr>
        <w:t>cf-art-45</w:t>
      </w:r>
      <w:r>
        <w:rPr>
          <w:color w:val="003CA0"/>
          <w:sz w:val="12"/>
        </w:rPr>
        <w:t xml:space="preserve"> | ADO 38</w:t>
      </w:r>
      <w:r>
        <w:rPr>
          <w:color w:val="003CA0"/>
          <w:sz w:val="12"/>
        </w:rPr>
        <w:t xml:space="preserve"> | rel. Luiz Fux</w:t>
      </w:r>
    </w:p>
    <w:p>
      <w:pPr>
        <w:ind w:left="288"/>
      </w:pPr>
      <w:r>
        <w:rPr>
          <w:color w:val="1E1E1E"/>
          <w:sz w:val="18"/>
        </w:rPr>
        <w:t>Ante a circunstância inexorável de que a população de cada unidade federativa se altera ao longo do tempo de forma desigual,   instituiu o constituinte originário comando acessório ao legislador complementar, determinando a realização de ajustes periódicos necessários ao restabelecimento da proporcionalidade eventualmente rompida ao longo dos quatro anos anteriores. In casu, resta caracterizada a inertia deliberandi, vez que, desde a edição da Lei Complementar nº 78/1993, jamais houve a revisão periódica exigida pelo §1º do art. 45 da CF. A declaração de inconstitucionalidade do parágrafo únic</w:t>
      </w:r>
    </w:p>
    <w:p>
      <w:pPr>
        <w:ind w:left="288"/>
      </w:pPr>
      <w:r>
        <w:rPr>
          <w:b/>
          <w:color w:val="003CA0"/>
          <w:sz w:val="16"/>
        </w:rPr>
        <w:t>[ADI 267 MC, rel. min. Celso de Mello, j. 25-10-1990, P, DJ de 19-5-1995.]</w:t>
      </w:r>
    </w:p>
    <w:p>
      <w:pPr>
        <w:ind w:left="144"/>
      </w:pPr>
      <w:r>
        <w:rPr>
          <w:b/>
          <w:color w:val="B45A00"/>
          <w:sz w:val="16"/>
        </w:rPr>
        <w:t>JULGADOS CORRELATOS</w:t>
      </w:r>
    </w:p>
    <w:p>
      <w:pPr>
        <w:ind w:left="288"/>
      </w:pPr>
      <w:r>
        <w:rPr>
          <w:color w:val="8C8C8C"/>
          <w:sz w:val="12"/>
        </w:rPr>
        <w:t>cf-art-45</w:t>
      </w:r>
      <w:r>
        <w:rPr>
          <w:color w:val="003CA0"/>
          <w:sz w:val="12"/>
        </w:rPr>
        <w:t xml:space="preserve"> | RE 300.343</w:t>
      </w:r>
      <w:r>
        <w:rPr>
          <w:color w:val="003CA0"/>
          <w:sz w:val="12"/>
        </w:rPr>
        <w:t xml:space="preserve"> | rel. Maurício Corrêa</w:t>
      </w:r>
    </w:p>
    <w:p>
      <w:pPr>
        <w:ind w:left="288"/>
      </w:pPr>
      <w:r>
        <w:rPr>
          <w:color w:val="1E1E1E"/>
          <w:sz w:val="18"/>
        </w:rPr>
        <w:t>Número de vereadores proporcional à população. CF, art. 29, IV. Aplicação de critério aritmético rígido. (...) Fronteiras da autonomia municipal impostas pela própria Carta da República, que admite a proporcionalidade da representação política em face do número de habitantes. Orientação que se confirma e se reitera segundo o modelo de composição da Câmara dos Deputados e das Assembleias Legislativas (CF, arts. 27 e 45, § 1º).</w:t>
      </w:r>
    </w:p>
    <w:p>
      <w:pPr>
        <w:ind w:left="288"/>
      </w:pPr>
      <w:r>
        <w:rPr>
          <w:b/>
          <w:color w:val="003CA0"/>
          <w:sz w:val="16"/>
        </w:rPr>
        <w:t>[RE 300.343, rel. min. Maurício Corrêa, j. 31-3-2004, P, DJ de 11-6-2004.]</w:t>
      </w:r>
    </w:p>
    <w:p>
      <w:r>
        <w:rPr>
          <w:b/>
          <w:color w:val="003366"/>
          <w:sz w:val="20"/>
        </w:rPr>
        <w:t>Art. 46 São sujeitos à correção monetária desde o vencimento, até seu efetivo pa</w:t>
      </w:r>
      <w:r>
        <w:rPr>
          <w:color w:val="8C8C8C"/>
          <w:sz w:val="14"/>
        </w:rPr>
        <w:t xml:space="preserve">  [2 decisoes]</w:t>
      </w:r>
    </w:p>
    <w:p>
      <w:pPr>
        <w:ind w:left="144"/>
      </w:pPr>
      <w:r>
        <w:rPr>
          <w:b/>
          <w:color w:val="B45A00"/>
          <w:sz w:val="16"/>
        </w:rPr>
        <w:t>CONTROLE CONCENTRADO</w:t>
      </w:r>
    </w:p>
    <w:p>
      <w:pPr>
        <w:ind w:left="288"/>
      </w:pPr>
      <w:r>
        <w:rPr>
          <w:color w:val="8C8C8C"/>
          <w:sz w:val="12"/>
        </w:rPr>
        <w:t>cf-art-46</w:t>
      </w:r>
      <w:r>
        <w:rPr>
          <w:color w:val="003CA0"/>
          <w:sz w:val="12"/>
        </w:rPr>
        <w:t xml:space="preserve"> | ADI 5.619</w:t>
      </w:r>
      <w:r>
        <w:rPr>
          <w:color w:val="003CA0"/>
          <w:sz w:val="12"/>
        </w:rPr>
        <w:t xml:space="preserve"> | rel. Roberto Barroso</w:t>
      </w:r>
    </w:p>
    <w:p>
      <w:pPr>
        <w:ind w:left="288"/>
      </w:pPr>
      <w:r>
        <w:rPr>
          <w:color w:val="1E1E1E"/>
          <w:sz w:val="18"/>
        </w:rPr>
        <w:t>É constitucional legislação federal que estabeleça novas eleições para os cargos majoritários simples – isto é, Prefeitos de Municípios com menos de duzentos mil eleitores e Senadores da República – em casos de vacância por causas eleitorais.</w:t>
      </w:r>
    </w:p>
    <w:p>
      <w:pPr>
        <w:ind w:left="288"/>
      </w:pPr>
      <w:r>
        <w:rPr>
          <w:b/>
          <w:color w:val="003CA0"/>
          <w:sz w:val="16"/>
        </w:rPr>
        <w:t>[ADI 5.619, rel. min. Roberto Barroso, j. 8-3-2018, P, DJE de 7-8-2018.]</w:t>
      </w:r>
    </w:p>
    <w:p>
      <w:pPr>
        <w:ind w:left="144"/>
      </w:pPr>
      <w:r>
        <w:rPr>
          <w:b/>
          <w:color w:val="B45A00"/>
          <w:sz w:val="16"/>
        </w:rPr>
        <w:t>JULGADOS CORRELATOS</w:t>
      </w:r>
    </w:p>
    <w:p>
      <w:pPr>
        <w:ind w:left="288"/>
      </w:pPr>
      <w:r>
        <w:rPr>
          <w:color w:val="8C8C8C"/>
          <w:sz w:val="12"/>
        </w:rPr>
        <w:t>cf-art-46-par-3</w:t>
      </w:r>
      <w:r>
        <w:rPr>
          <w:color w:val="003CA0"/>
          <w:sz w:val="12"/>
        </w:rPr>
        <w:t xml:space="preserve"> | RE 128.519</w:t>
      </w:r>
      <w:r>
        <w:rPr>
          <w:color w:val="003CA0"/>
          <w:sz w:val="12"/>
        </w:rPr>
        <w:t xml:space="preserve"> | rel. Marco Aurélio</w:t>
      </w:r>
    </w:p>
    <w:p>
      <w:pPr>
        <w:ind w:left="288"/>
      </w:pPr>
      <w:r>
        <w:rPr>
          <w:color w:val="1E1E1E"/>
          <w:sz w:val="18"/>
        </w:rPr>
        <w:t>Registro de candidatos ao Senado. Suplentes. Parágrafo 3º do art. 46 da CF. Este dispositivo legal não disciplina o registro dos candidatos. Vulnera-o decisão que o tem como pertinente para, de forma peremptória, indeferir o registro de chapa em que apresentado apenas um suplente, pouco importando que a diligência objetivando a complementação respectiva esteja prevista em diploma legal de cunho ordinário. O desrespeito a este não serve à manutenção do esvaziamento dos direitos e garantias constitucionais explícitos e dos que decorrem dos princípios inseridos na Lei Maior.</w:t>
      </w:r>
    </w:p>
    <w:p>
      <w:pPr>
        <w:ind w:left="288"/>
      </w:pPr>
      <w:r>
        <w:rPr>
          <w:b/>
          <w:color w:val="003CA0"/>
          <w:sz w:val="16"/>
        </w:rPr>
        <w:t>[RE 128.519, rel. min. Marco Aurélio, j. 27-09-1990, P, DJ de 8-3-1991.]</w:t>
      </w:r>
    </w:p>
    <w:p>
      <w:pPr>
        <w:ind w:left="720"/>
      </w:pPr>
      <w:r>
        <w:rPr>
          <w:color w:val="003366"/>
          <w:sz w:val="18"/>
        </w:rPr>
        <w:t>I – às operações realizadas posteriormente à decretação dos regimes referidos no</w:t>
      </w:r>
    </w:p>
    <w:p>
      <w:pPr>
        <w:ind w:left="720"/>
      </w:pPr>
      <w:r>
        <w:rPr>
          <w:color w:val="003366"/>
          <w:sz w:val="18"/>
        </w:rPr>
        <w:t>II – às operações de empréstimo, financiamento, refinanciamento, assistência fin</w:t>
      </w:r>
    </w:p>
    <w:p>
      <w:pPr>
        <w:ind w:left="720"/>
      </w:pPr>
      <w:r>
        <w:rPr>
          <w:color w:val="003366"/>
          <w:sz w:val="18"/>
        </w:rPr>
        <w:t>III – aos créditos anteriores à promulgação da Constituição;</w:t>
      </w:r>
    </w:p>
    <w:p>
      <w:pPr>
        <w:ind w:left="720"/>
      </w:pPr>
      <w:r>
        <w:rPr>
          <w:color w:val="003366"/>
          <w:sz w:val="18"/>
        </w:rPr>
        <w:t>IV – aos créditos das entidades da administração pública anteriores à promulgaçã</w:t>
      </w:r>
    </w:p>
    <w:p>
      <w:r>
        <w:rPr>
          <w:b/>
          <w:color w:val="003366"/>
          <w:sz w:val="20"/>
        </w:rPr>
        <w:t>Art. 47 Na liquidação dos débitos, inclusive suas renegociações e composições po</w:t>
      </w:r>
      <w:r>
        <w:rPr>
          <w:color w:val="8C8C8C"/>
          <w:sz w:val="14"/>
        </w:rPr>
        <w:t xml:space="preserve">  [1 decisoes]</w:t>
      </w:r>
    </w:p>
    <w:p>
      <w:pPr>
        <w:ind w:left="288"/>
      </w:pPr>
      <w:r>
        <w:rPr>
          <w:color w:val="8C8C8C"/>
          <w:sz w:val="12"/>
        </w:rPr>
        <w:t>cf-art-47</w:t>
      </w:r>
    </w:p>
    <w:p>
      <w:pPr>
        <w:ind w:left="288"/>
      </w:pPr>
      <w:r>
        <w:rPr>
          <w:color w:val="1E1E1E"/>
          <w:sz w:val="18"/>
        </w:rPr>
        <w:t>Seção II Das Atribuições do Congresso Nacional SUMÁRIO</w:t>
      </w:r>
    </w:p>
    <w:p>
      <w:pPr>
        <w:ind w:left="720"/>
      </w:pPr>
      <w:r>
        <w:rPr>
          <w:color w:val="003366"/>
          <w:sz w:val="18"/>
        </w:rPr>
        <w:t>I – aos micro e pequenos empresários ou seus estabelecimentos no período de 28 d</w:t>
      </w:r>
    </w:p>
    <w:p>
      <w:pPr>
        <w:ind w:left="720"/>
      </w:pPr>
      <w:r>
        <w:rPr>
          <w:color w:val="003366"/>
          <w:sz w:val="18"/>
        </w:rPr>
        <w:t xml:space="preserve">II – ao mini, pequenos e médios produtores rurais no período de 28 de fevereiro </w:t>
      </w:r>
    </w:p>
    <w:p>
      <w:pPr>
        <w:ind w:left="432"/>
      </w:pPr>
      <w:r>
        <w:rPr>
          <w:color w:val="003366"/>
          <w:sz w:val="18"/>
        </w:rPr>
        <w:t xml:space="preserve">§ 1 Consideram-se, para efeito deste artigo, microempresas as pessoas jurídicas </w:t>
      </w:r>
    </w:p>
    <w:p>
      <w:pPr>
        <w:ind w:left="432"/>
      </w:pPr>
      <w:r>
        <w:rPr>
          <w:color w:val="003366"/>
          <w:sz w:val="18"/>
        </w:rPr>
        <w:t>§ 2 A classificação de mini, pequeno e médio produtor rural será feita obedecend</w:t>
      </w:r>
    </w:p>
    <w:p>
      <w:pPr>
        <w:ind w:left="432"/>
      </w:pPr>
      <w:r>
        <w:rPr>
          <w:color w:val="003366"/>
          <w:sz w:val="18"/>
        </w:rPr>
        <w:t>§ 3 A isenção da correção monetária a que se refere este artigo só será concedid</w:t>
      </w:r>
    </w:p>
    <w:p>
      <w:pPr>
        <w:ind w:left="720"/>
      </w:pPr>
      <w:r>
        <w:rPr>
          <w:color w:val="003366"/>
          <w:sz w:val="18"/>
        </w:rPr>
        <w:t>I – se a liquidação do débito inicial, acrescido de juros legais e taxas judicia</w:t>
      </w:r>
    </w:p>
    <w:p>
      <w:pPr>
        <w:ind w:left="720"/>
      </w:pPr>
      <w:r>
        <w:rPr>
          <w:color w:val="003366"/>
          <w:sz w:val="18"/>
        </w:rPr>
        <w:t>II – se a aplicação dos recursos não contrariar a finalidade do financiamento, c</w:t>
      </w:r>
    </w:p>
    <w:p>
      <w:pPr>
        <w:ind w:left="720"/>
      </w:pPr>
      <w:r>
        <w:rPr>
          <w:color w:val="003366"/>
          <w:sz w:val="18"/>
        </w:rPr>
        <w:t>III – se não for demonstrado pela instituição credora que o mutuário dispõe de m</w:t>
      </w:r>
    </w:p>
    <w:p>
      <w:pPr>
        <w:ind w:left="720"/>
      </w:pPr>
      <w:r>
        <w:rPr>
          <w:color w:val="003366"/>
          <w:sz w:val="18"/>
        </w:rPr>
        <w:t>IV – se o financiamento inicial não ultrapassar o limite de cinco mil Obrigações</w:t>
      </w:r>
    </w:p>
    <w:p>
      <w:pPr>
        <w:ind w:left="720"/>
      </w:pPr>
      <w:r>
        <w:rPr>
          <w:color w:val="003366"/>
          <w:sz w:val="18"/>
        </w:rPr>
        <w:t>V – se o beneficiário não for proprietário de mais de cinco módulos rurais.</w:t>
      </w:r>
    </w:p>
    <w:p>
      <w:pPr>
        <w:ind w:left="432"/>
      </w:pPr>
      <w:r>
        <w:rPr>
          <w:color w:val="003366"/>
          <w:sz w:val="18"/>
        </w:rPr>
        <w:t>§ 4 Os benefícios de que trata este artigo não se estendem aos débitos já quitad</w:t>
      </w:r>
    </w:p>
    <w:p>
      <w:pPr>
        <w:ind w:left="432"/>
      </w:pPr>
      <w:r>
        <w:rPr>
          <w:color w:val="003366"/>
          <w:sz w:val="18"/>
        </w:rPr>
        <w:t xml:space="preserve">§ 5 No caso de operações com prazos de vencimento posteriores à data- limite de </w:t>
      </w:r>
    </w:p>
    <w:p>
      <w:pPr>
        <w:ind w:left="432"/>
      </w:pPr>
      <w:r>
        <w:rPr>
          <w:color w:val="003366"/>
          <w:sz w:val="18"/>
        </w:rPr>
        <w:t xml:space="preserve">§ 6 A concessão do presente benefício por bancos comerciais privados em nenhuma </w:t>
      </w:r>
    </w:p>
    <w:p>
      <w:pPr>
        <w:ind w:left="432"/>
      </w:pPr>
      <w:r>
        <w:rPr>
          <w:color w:val="003366"/>
          <w:sz w:val="18"/>
        </w:rPr>
        <w:t>§ 7 No caso de repasse a agentes financeiros oficiais ou cooperativas de crédito</w:t>
      </w:r>
    </w:p>
    <w:p>
      <w:r>
        <w:rPr>
          <w:b/>
          <w:color w:val="003366"/>
          <w:sz w:val="20"/>
        </w:rPr>
        <w:t>Art. 48 O Congresso Nacional, dentro de cento e vinte dias da promulgação da Con</w:t>
      </w:r>
      <w:r>
        <w:rPr>
          <w:color w:val="8C8C8C"/>
          <w:sz w:val="14"/>
        </w:rPr>
        <w:t xml:space="preserve">  [10 decisoes]</w:t>
      </w:r>
    </w:p>
    <w:p>
      <w:pPr>
        <w:ind w:left="144"/>
      </w:pPr>
      <w:r>
        <w:rPr>
          <w:b/>
          <w:color w:val="B45A00"/>
          <w:sz w:val="16"/>
        </w:rPr>
        <w:t>CONTROLE CONCENTRADO</w:t>
      </w:r>
    </w:p>
    <w:p>
      <w:pPr>
        <w:ind w:left="288"/>
      </w:pPr>
      <w:r>
        <w:rPr>
          <w:color w:val="8C8C8C"/>
          <w:sz w:val="12"/>
        </w:rPr>
        <w:t>cf-art-48-inc-II</w:t>
      </w:r>
      <w:r>
        <w:rPr>
          <w:color w:val="003CA0"/>
          <w:sz w:val="12"/>
        </w:rPr>
        <w:t xml:space="preserve"> | ADI 225</w:t>
      </w:r>
      <w:r>
        <w:rPr>
          <w:color w:val="003CA0"/>
          <w:sz w:val="12"/>
        </w:rPr>
        <w:t xml:space="preserve"> | rel. Paulo Brossard</w:t>
      </w:r>
    </w:p>
    <w:p>
      <w:pPr>
        <w:ind w:left="288"/>
      </w:pPr>
      <w:r>
        <w:rPr>
          <w:color w:val="1E1E1E"/>
          <w:sz w:val="18"/>
        </w:rPr>
        <w:t>Os precatórios judiciais, apresentados até 1º de julho, e nesta data atualizados, devem ser incluídos na proposta orçamentária que, submetida ao crivo do Poder Legislativo (art. 48, II, e 166 da CF), transformar-se-á na lei orçamentária do exercício seguinte. Somente se nela estiverem previstas dotações orçamentárias para tal fim é que os requisitórios poderão ser pagos; pois é vedada a realização de qualquer despesa sem que haja previsão no orçamento (art. 167, II, CF).</w:t>
      </w:r>
    </w:p>
    <w:p>
      <w:pPr>
        <w:ind w:left="288"/>
      </w:pPr>
      <w:r>
        <w:rPr>
          <w:b/>
          <w:color w:val="003CA0"/>
          <w:sz w:val="16"/>
        </w:rPr>
        <w:t>[ADI 225, rel. min. Paulo Brossard, j. 31-8-1994, P, DJ de 25-5-2001.]</w:t>
      </w:r>
    </w:p>
    <w:p>
      <w:pPr>
        <w:ind w:left="288"/>
      </w:pPr>
      <w:r>
        <w:rPr>
          <w:color w:val="8C8C8C"/>
          <w:sz w:val="12"/>
        </w:rPr>
        <w:t>cf-art-48-inc-V</w:t>
      </w:r>
      <w:r>
        <w:rPr>
          <w:color w:val="003CA0"/>
          <w:sz w:val="12"/>
        </w:rPr>
        <w:t xml:space="preserve"> | ADI 6.218</w:t>
      </w:r>
      <w:r>
        <w:rPr>
          <w:color w:val="003CA0"/>
          <w:sz w:val="12"/>
        </w:rPr>
        <w:t xml:space="preserve"> | rel. Nunes Marques</w:t>
      </w:r>
    </w:p>
    <w:p>
      <w:pPr>
        <w:ind w:left="288"/>
      </w:pPr>
      <w:r>
        <w:rPr>
          <w:color w:val="1E1E1E"/>
          <w:sz w:val="18"/>
        </w:rPr>
        <w:t>A competência da União para dispor sobre os “limites do território nacional” (CF, art. 48, V) refere-se apenas aos limites com países estrangeiros, não aos limites entre o chamado “território da União” e os demais entes da Federação.</w:t>
        <w:br/>
        <w:t>[ADI 6.218, rel. min. Nunes Marques, red. do ac. min. Rosa Weber, j. 3-7-2023, P, DJE de 21-8-2023.]</w:t>
      </w:r>
    </w:p>
    <w:p>
      <w:pPr>
        <w:ind w:left="144"/>
      </w:pPr>
      <w:r>
        <w:rPr>
          <w:b/>
          <w:color w:val="B45A00"/>
          <w:sz w:val="16"/>
        </w:rPr>
        <w:t>JULGADOS CORRELATOS</w:t>
      </w:r>
    </w:p>
    <w:p>
      <w:pPr>
        <w:ind w:left="288"/>
      </w:pPr>
      <w:r>
        <w:rPr>
          <w:color w:val="8C8C8C"/>
          <w:sz w:val="12"/>
        </w:rPr>
        <w:t>cf-art-48-inc-V</w:t>
      </w:r>
      <w:r>
        <w:rPr>
          <w:color w:val="003CA0"/>
          <w:sz w:val="12"/>
        </w:rPr>
        <w:t xml:space="preserve"> | ACO 3.568</w:t>
      </w:r>
      <w:r>
        <w:rPr>
          <w:color w:val="003CA0"/>
          <w:sz w:val="12"/>
        </w:rPr>
        <w:t xml:space="preserve"> | rel. Ricardo Lewandowski</w:t>
      </w:r>
    </w:p>
    <w:p>
      <w:pPr>
        <w:ind w:left="288"/>
      </w:pPr>
      <w:r>
        <w:rPr>
          <w:color w:val="1E1E1E"/>
          <w:sz w:val="18"/>
        </w:rPr>
        <w:t>A cessão de uso de bem público por parte da Administração serve para que órgãos da mesma pessoa jurídica - ou de pessoas diversas - fiquem incumbidos de desenvolver atividades que, de algum modo, traduzam interesse para a coletividade. É assente em nosso ordenamento a necessidade de autorização legislativa para que essa espécie contratual se dê entre entidades integrantes de esferas distintas, na forma dos arts. 48, V, e art. 188, § 1º, ambos da Constituição Federal, e do art. 4º, § 1º, da Constituição do Estado de Pernambuco. É que a cessão de bens de uso comum do povo a outros entes não supõ</w:t>
      </w:r>
    </w:p>
    <w:p>
      <w:pPr>
        <w:ind w:left="144"/>
      </w:pPr>
      <w:r>
        <w:rPr>
          <w:b/>
          <w:color w:val="B45A00"/>
          <w:sz w:val="16"/>
        </w:rPr>
        <w:t>CONTROLE CONCENTRADO</w:t>
      </w:r>
    </w:p>
    <w:p>
      <w:pPr>
        <w:ind w:left="288"/>
      </w:pPr>
      <w:r>
        <w:rPr>
          <w:color w:val="8C8C8C"/>
          <w:sz w:val="12"/>
        </w:rPr>
        <w:t>cf-art-48-inc-VI</w:t>
      </w:r>
      <w:r>
        <w:rPr>
          <w:color w:val="003CA0"/>
          <w:sz w:val="12"/>
        </w:rPr>
        <w:t xml:space="preserve"> | ADI 6.121</w:t>
      </w:r>
      <w:r>
        <w:rPr>
          <w:color w:val="003CA0"/>
          <w:sz w:val="12"/>
        </w:rPr>
        <w:t xml:space="preserve"> | rel. Marco Aurélio</w:t>
      </w:r>
    </w:p>
    <w:p>
      <w:pPr>
        <w:ind w:left="288"/>
      </w:pPr>
      <w:r>
        <w:rPr>
          <w:color w:val="1E1E1E"/>
          <w:sz w:val="18"/>
        </w:rPr>
        <w:t>Considerado o princípio da separação dos poderes, conflita com a Constituição Federal a extinção, por ato unilateralmente editado pelo Chefe do Executivo, de órgãos colegiados que, contando com menção em lei em sentido formal, viabilizem a participação popular na condução das políticas públicas – mesmo quando ausente expressa ‘indicação de suas competências ou dos membros que o compõem’.</w:t>
      </w:r>
    </w:p>
    <w:p>
      <w:pPr>
        <w:ind w:left="288"/>
      </w:pPr>
      <w:r>
        <w:rPr>
          <w:b/>
          <w:color w:val="003CA0"/>
          <w:sz w:val="16"/>
        </w:rPr>
        <w:t>[ADI 6.121 MC, rel. min. Marco Aurélio, j. 13-6-2019, P, DJE de 28-11-2019.]</w:t>
      </w:r>
    </w:p>
    <w:p>
      <w:pPr>
        <w:ind w:left="288"/>
      </w:pPr>
      <w:r>
        <w:rPr>
          <w:color w:val="8C8C8C"/>
          <w:sz w:val="12"/>
        </w:rPr>
        <w:t>cf-art-48-inc-VIII</w:t>
      </w:r>
      <w:r>
        <w:rPr>
          <w:color w:val="003CA0"/>
          <w:sz w:val="12"/>
        </w:rPr>
        <w:t xml:space="preserve"> | ADPF 153</w:t>
      </w:r>
      <w:r>
        <w:rPr>
          <w:color w:val="003CA0"/>
          <w:sz w:val="12"/>
        </w:rPr>
        <w:t xml:space="preserve"> | rel. Eros Grau</w:t>
      </w:r>
    </w:p>
    <w:p>
      <w:pPr>
        <w:ind w:left="288"/>
      </w:pPr>
      <w:r>
        <w:rPr>
          <w:color w:val="1E1E1E"/>
          <w:sz w:val="18"/>
        </w:rPr>
        <w:t>Lei 6.683/1979, a chamada "Lei de Anistia". (...) A lei estendeu a conexão aos crimes praticados pelos agentes do Estado contra os que lutavam contra o Estado de exceção; daí o caráter bilateral da anistia, ampla e geral, que somente não foi irrestrita porque não abrangia os já condenados – e com sentença transitada em julgado, qual o Supremo assentou – pela prática de crimes de terrorismo, assalto, sequestro e atentado pessoal. (...) É a realidade histórico-social da migração da ditadura para a democracia política, da transição conciliada de 1979, que há de ser ponderada para que possamos dis</w:t>
      </w:r>
    </w:p>
    <w:p>
      <w:pPr>
        <w:ind w:left="288"/>
      </w:pPr>
      <w:r>
        <w:rPr>
          <w:b/>
          <w:color w:val="003CA0"/>
          <w:sz w:val="16"/>
        </w:rPr>
        <w:t>[ADPF 153, rel. min. Eros Grau, j. 29-4-2010, P, DJE de 6-8-2010.]</w:t>
      </w:r>
    </w:p>
    <w:p>
      <w:pPr>
        <w:ind w:left="288"/>
      </w:pPr>
      <w:r>
        <w:rPr>
          <w:color w:val="8C8C8C"/>
          <w:sz w:val="12"/>
        </w:rPr>
        <w:t>cf-art-48-inc-VIII</w:t>
      </w:r>
      <w:r>
        <w:rPr>
          <w:color w:val="003CA0"/>
          <w:sz w:val="12"/>
        </w:rPr>
        <w:t xml:space="preserve"> | ADI 1.231</w:t>
      </w:r>
      <w:r>
        <w:rPr>
          <w:color w:val="003CA0"/>
          <w:sz w:val="12"/>
        </w:rPr>
        <w:t xml:space="preserve"> | rel. Carlos Velloso</w:t>
      </w:r>
    </w:p>
    <w:p>
      <w:pPr>
        <w:ind w:left="288"/>
      </w:pPr>
      <w:r>
        <w:rPr>
          <w:color w:val="1E1E1E"/>
          <w:sz w:val="18"/>
        </w:rPr>
        <w:t xml:space="preserve">A anistia, que depende de lei, é para os crimes políticos. Essa é a regra. Consubstancia ela ato político, com natureza política. Excepcionalmente, estende-se a crimes comuns, certo que, para estes, há o indulto e a graça, institutos distintos da anistia (CF, art. 84, XII). Pode abranger, também, qualquer sanção imposta por lei. A anistia é ato político, concedido mediante lei, assim da competência do Congresso e do chefe do Executivo, correndo por conta destes a avaliação dos critérios de conveniência e oportunidade do ato, sem dispensa, entretanto, do controle judicial, porque pode ocorrer, </w:t>
      </w:r>
    </w:p>
    <w:p>
      <w:pPr>
        <w:ind w:left="288"/>
      </w:pPr>
      <w:r>
        <w:rPr>
          <w:b/>
          <w:color w:val="003CA0"/>
          <w:sz w:val="16"/>
        </w:rPr>
        <w:t>[ADI 1.231, rel. min. Carlos Velloso, j. 15-12-2005, P, DJ de 28-4-2006.]</w:t>
      </w:r>
    </w:p>
    <w:p>
      <w:pPr>
        <w:ind w:left="288"/>
      </w:pPr>
      <w:r>
        <w:rPr>
          <w:color w:val="8C8C8C"/>
          <w:sz w:val="12"/>
        </w:rPr>
        <w:t>cf-art-48-inc-VIII</w:t>
      </w:r>
    </w:p>
    <w:p>
      <w:pPr>
        <w:ind w:left="288"/>
      </w:pPr>
      <w:r>
        <w:rPr>
          <w:color w:val="1E1E1E"/>
          <w:sz w:val="18"/>
        </w:rPr>
        <w:t>IX - organização administrativa, judiciária, do Ministério Público e da Defensoria Pública da União e dos Territórios e organização judiciária e do Ministério Público do Distrito Federal; (Redação da EC 69/2012) (Vide EC 69/2012) X - criação, transformação e extinção de cargos, empregos e funções públicas, observado o que estabelece o art. 84, VI, b; (Redação da EC 32/2001)</w:t>
      </w:r>
    </w:p>
    <w:p>
      <w:pPr>
        <w:ind w:left="288"/>
      </w:pPr>
      <w:r>
        <w:rPr>
          <w:color w:val="8C8C8C"/>
          <w:sz w:val="12"/>
        </w:rPr>
        <w:t>cf-art-48-inc-VIII</w:t>
      </w:r>
      <w:r>
        <w:rPr>
          <w:color w:val="003CA0"/>
          <w:sz w:val="12"/>
        </w:rPr>
        <w:t xml:space="preserve"> | ADI 51</w:t>
      </w:r>
      <w:r>
        <w:rPr>
          <w:color w:val="003CA0"/>
          <w:sz w:val="12"/>
        </w:rPr>
        <w:t xml:space="preserve"> | rel. Paulo Brossard</w:t>
      </w:r>
    </w:p>
    <w:p>
      <w:pPr>
        <w:ind w:left="288"/>
      </w:pPr>
      <w:r>
        <w:rPr>
          <w:color w:val="1E1E1E"/>
          <w:sz w:val="18"/>
        </w:rPr>
        <w:t>Universidade federal. Autonomia (art. 207, CF). Ação direta de inconstitucionalidade. Resolução 2/1988 do Conselho Universitário da Universidade Federal do Rio de Janeiro, que dispõe sobre eleição do reitor e vice-reitor. Inconstitucionalidade. Ofensa ao inciso X e caput do art. 48 e inciso XXV do art. 84, ambos da CF.</w:t>
      </w:r>
    </w:p>
    <w:p>
      <w:pPr>
        <w:ind w:left="288"/>
      </w:pPr>
      <w:r>
        <w:rPr>
          <w:b/>
          <w:color w:val="003CA0"/>
          <w:sz w:val="16"/>
        </w:rPr>
        <w:t>[ADI 51, rel. min. Paulo Brossard, j. 25-10-1989, P, DJ de 17-9-1993.]</w:t>
      </w:r>
    </w:p>
    <w:p>
      <w:pPr>
        <w:ind w:left="288"/>
      </w:pPr>
      <w:r>
        <w:rPr>
          <w:color w:val="8C8C8C"/>
          <w:sz w:val="12"/>
        </w:rPr>
        <w:t>cf-art-48-inc-VIII</w:t>
      </w:r>
      <w:r>
        <w:rPr>
          <w:color w:val="003CA0"/>
          <w:sz w:val="12"/>
        </w:rPr>
        <w:t xml:space="preserve"> | ADI 578</w:t>
      </w:r>
      <w:r>
        <w:rPr>
          <w:color w:val="003CA0"/>
          <w:sz w:val="12"/>
        </w:rPr>
        <w:t xml:space="preserve"> | rel. Maurício Corrêa</w:t>
      </w:r>
    </w:p>
    <w:p>
      <w:pPr>
        <w:ind w:left="288"/>
      </w:pPr>
      <w:r>
        <w:rPr>
          <w:color w:val="1E1E1E"/>
          <w:sz w:val="18"/>
        </w:rPr>
        <w:t>= ADI 578, rel. min. Maurício Corrêa, j. 3-3-1999, P, DJ de 18-5-2001 XI - criação e extinção de Ministérios e órgãos da administração pública; (Redação da EC 32/2001)</w:t>
      </w:r>
    </w:p>
    <w:p>
      <w:pPr>
        <w:ind w:left="288"/>
      </w:pPr>
      <w:r>
        <w:rPr>
          <w:color w:val="8C8C8C"/>
          <w:sz w:val="12"/>
        </w:rPr>
        <w:t>cf-art-48-inc-XIII</w:t>
      </w:r>
    </w:p>
    <w:p>
      <w:pPr>
        <w:ind w:left="288"/>
      </w:pPr>
      <w:r>
        <w:rPr>
          <w:color w:val="1E1E1E"/>
          <w:sz w:val="18"/>
        </w:rPr>
        <w:t>XIV - moeda, seus limites de emissão, e montante da dívida mobiliária federal. XV - fixação do subsídio dos Ministros do Supremo Tribunal Federal, observado o que dispõem os arts. 39, § 4º; 150, II; 153, III; e 153, § 2º, I. (Redação da EC 41/2003)</w:t>
      </w:r>
    </w:p>
    <w:p>
      <w:r>
        <w:rPr>
          <w:b/>
          <w:color w:val="003366"/>
          <w:sz w:val="20"/>
        </w:rPr>
        <w:t>Art. 49 A lei disporá sobre o instituto da enfiteuse em imóveis urbanos, sendo f</w:t>
      </w:r>
      <w:r>
        <w:rPr>
          <w:color w:val="8C8C8C"/>
          <w:sz w:val="14"/>
        </w:rPr>
        <w:t xml:space="preserve">  [22 decisoes]</w:t>
      </w:r>
    </w:p>
    <w:p>
      <w:pPr>
        <w:ind w:left="144"/>
      </w:pPr>
      <w:r>
        <w:rPr>
          <w:b/>
          <w:color w:val="B45A00"/>
          <w:sz w:val="16"/>
        </w:rPr>
        <w:t>CONTROLE CONCENTRADO</w:t>
      </w:r>
    </w:p>
    <w:p>
      <w:pPr>
        <w:ind w:left="288"/>
      </w:pPr>
      <w:r>
        <w:rPr>
          <w:color w:val="8C8C8C"/>
          <w:sz w:val="12"/>
        </w:rPr>
        <w:t>cf-art-49-inc-I</w:t>
      </w:r>
      <w:r>
        <w:rPr>
          <w:color w:val="003CA0"/>
          <w:sz w:val="12"/>
        </w:rPr>
        <w:t xml:space="preserve"> | ADC 39</w:t>
      </w:r>
      <w:r>
        <w:rPr>
          <w:color w:val="003CA0"/>
          <w:sz w:val="12"/>
        </w:rPr>
        <w:t xml:space="preserve"> | rel. Dias Toffoli</w:t>
      </w:r>
    </w:p>
    <w:p>
      <w:pPr>
        <w:ind w:left="288"/>
      </w:pPr>
      <w:r>
        <w:rPr>
          <w:color w:val="1E1E1E"/>
          <w:sz w:val="18"/>
        </w:rPr>
        <w:t>(...) a denúncia pelo Presidente da República de tratados internacionais aprovados pelo Congresso Nacional, para que produza efeitos no ordenamento jurídico interno, não prescinde da sua aprovação pelo Congresso”. Aplicação desse entendimento a partir da publicação da ata do julgamento, mantendo-se a eficácia das denúncias realizadas até esse marco temporal.</w:t>
        <w:br/>
        <w:t>[ADC 39, rel. min. Dias Toffoli, j. 19-6-2023, P, DJE de 18-8-2023.] (...) o requerente alega que o art. 49, I, da CF, ao prever competência exclusiva do Congresso Nacional, restringe-se ao poder de resolver acordos ou tratados internacion</w:t>
      </w:r>
    </w:p>
    <w:p>
      <w:pPr>
        <w:ind w:left="288"/>
      </w:pPr>
      <w:r>
        <w:rPr>
          <w:b/>
          <w:color w:val="003CA0"/>
          <w:sz w:val="16"/>
        </w:rPr>
        <w:t>[ADI 1.480 MC, rel. min. Celso de Mello, j. 4-9-1997, P, DJ de 18-5-2001.]</w:t>
      </w:r>
    </w:p>
    <w:p>
      <w:pPr>
        <w:ind w:left="144"/>
      </w:pPr>
      <w:r>
        <w:rPr>
          <w:b/>
          <w:color w:val="B45A00"/>
          <w:sz w:val="16"/>
        </w:rPr>
        <w:t>JULGADOS CORRELATOS</w:t>
      </w:r>
    </w:p>
    <w:p>
      <w:pPr>
        <w:ind w:left="288"/>
      </w:pPr>
      <w:r>
        <w:rPr>
          <w:color w:val="8C8C8C"/>
          <w:sz w:val="12"/>
        </w:rPr>
        <w:t>cf-art-49-inc-I</w:t>
      </w:r>
      <w:r>
        <w:rPr>
          <w:color w:val="003CA0"/>
          <w:sz w:val="12"/>
        </w:rPr>
        <w:t xml:space="preserve"> | CR 8.279</w:t>
      </w:r>
      <w:r>
        <w:rPr>
          <w:color w:val="003CA0"/>
          <w:sz w:val="12"/>
        </w:rPr>
        <w:t xml:space="preserve"> | rel. Celso de Mello</w:t>
      </w:r>
    </w:p>
    <w:p>
      <w:pPr>
        <w:ind w:left="288"/>
      </w:pPr>
      <w:r>
        <w:rPr>
          <w:color w:val="1E1E1E"/>
          <w:sz w:val="18"/>
        </w:rPr>
        <w:t>A recepção dos tratados internacionais em geral e dos acordos celebrados pelo Brasil no âmbito do Mercosul depende, para efeito de sua ulterior execução no plano interno, de uma sucessão causal e ordenada de atos revestidos de caráter político-jurídico, assim definidos: (a) aprovação, pelo Congresso Nacional, mediante decreto legislativo, de tais convenções; (b) ratificação desses atos internacionais, pelo chefe de Estado, mediante depósito do respectivo instrumento; (c) promulgação de tais acordos ou tratados, pelo presidente da República, mediante decreto, em ordem a viabilizar a produção do</w:t>
      </w:r>
    </w:p>
    <w:p>
      <w:pPr>
        <w:ind w:left="288"/>
      </w:pPr>
      <w:r>
        <w:rPr>
          <w:b/>
          <w:color w:val="003CA0"/>
          <w:sz w:val="16"/>
        </w:rPr>
        <w:t>[CR 8.279 AgR, rel. min. Celso de Mello, j. 17-6-1998, P, DJ de 10-8-2000.]</w:t>
      </w:r>
    </w:p>
    <w:p>
      <w:pPr>
        <w:ind w:left="288"/>
      </w:pPr>
      <w:r>
        <w:rPr>
          <w:color w:val="8C8C8C"/>
          <w:sz w:val="12"/>
        </w:rPr>
        <w:t>cf-art-49-inc-I</w:t>
      </w:r>
    </w:p>
    <w:p>
      <w:pPr>
        <w:ind w:left="288"/>
      </w:pPr>
      <w:r>
        <w:rPr>
          <w:color w:val="1E1E1E"/>
          <w:sz w:val="18"/>
        </w:rPr>
        <w:t>II - autorizar o Presidente da República a declarar guerra, a celebrar a paz, a permitir que forças estrangeiras transitem pelo território nacional ou nele permaneçam temporariamente, ressalvados os casos previstos em lei complementar;</w:t>
      </w:r>
    </w:p>
    <w:p>
      <w:pPr>
        <w:ind w:left="144"/>
      </w:pPr>
      <w:r>
        <w:rPr>
          <w:b/>
          <w:color w:val="B45A00"/>
          <w:sz w:val="16"/>
        </w:rPr>
        <w:t>CONTROLE CONCENTRADO</w:t>
      </w:r>
    </w:p>
    <w:p>
      <w:pPr>
        <w:ind w:left="288"/>
      </w:pPr>
      <w:r>
        <w:rPr>
          <w:color w:val="8C8C8C"/>
          <w:sz w:val="12"/>
        </w:rPr>
        <w:t>cf-art-49-inc-III</w:t>
      </w:r>
      <w:r>
        <w:rPr>
          <w:color w:val="003CA0"/>
          <w:sz w:val="12"/>
        </w:rPr>
        <w:t xml:space="preserve"> | ADI 1.172</w:t>
      </w:r>
      <w:r>
        <w:rPr>
          <w:color w:val="003CA0"/>
          <w:sz w:val="12"/>
        </w:rPr>
        <w:t xml:space="preserve"> | rel. Ellen Gracie</w:t>
      </w:r>
    </w:p>
    <w:p>
      <w:pPr>
        <w:ind w:left="288"/>
      </w:pPr>
      <w:r>
        <w:rPr>
          <w:color w:val="1E1E1E"/>
          <w:sz w:val="18"/>
        </w:rPr>
        <w:t>(...) o disposto no caput do art. 96 da Lei Orgânica do Distrito Federal harmoniza-se perfeitamente com o modelo federal, concedendo ao governador um prazo para as ausências ocasionais dos limites do Distrito Federal, sem que careça da prévia autorização da Câmara Legislativa. Existência de conformação entre o princípio da liberdade de locomoção do cidadão com a prerrogativa institucional do Poder Legislativo em fiscalizar os atos e os comportamentos dos governantes.</w:t>
      </w:r>
    </w:p>
    <w:p>
      <w:pPr>
        <w:ind w:left="288"/>
      </w:pPr>
      <w:r>
        <w:rPr>
          <w:b/>
          <w:color w:val="003CA0"/>
          <w:sz w:val="16"/>
        </w:rPr>
        <w:t>[ADI 1.172, rel. min. Ellen Gracie, j. 19-3-2003, P, DJ de 25-4-2003.]</w:t>
      </w:r>
    </w:p>
    <w:p>
      <w:pPr>
        <w:ind w:left="288"/>
      </w:pPr>
      <w:r>
        <w:rPr>
          <w:color w:val="8C8C8C"/>
          <w:sz w:val="12"/>
        </w:rPr>
        <w:t>cf-art-49-inc-III</w:t>
      </w:r>
      <w:r>
        <w:rPr>
          <w:color w:val="003CA0"/>
          <w:sz w:val="12"/>
        </w:rPr>
        <w:t xml:space="preserve"> | ADI 738</w:t>
      </w:r>
      <w:r>
        <w:rPr>
          <w:color w:val="003CA0"/>
          <w:sz w:val="12"/>
        </w:rPr>
        <w:t xml:space="preserve"> | rel. Maurício Corrêa</w:t>
      </w:r>
    </w:p>
    <w:p>
      <w:pPr>
        <w:ind w:left="288"/>
      </w:pPr>
      <w:r>
        <w:rPr>
          <w:color w:val="1E1E1E"/>
          <w:sz w:val="18"/>
        </w:rPr>
        <w:t>Afronta os princípios constitucionais da harmonia e independência entre os Poderes e da liberdade de locomoção norma estadual que exige prévia licença da assembleia legislativa para que o governador e o vice-governador possam ausentar-se do País por qualquer prazo. Espécie de autorização que, segundo o modelo federal, somente se justifica quando o afastamento exceder a quinze dias. Aplicação do princípio da simetria.</w:t>
      </w:r>
    </w:p>
    <w:p>
      <w:pPr>
        <w:ind w:left="288"/>
      </w:pPr>
      <w:r>
        <w:rPr>
          <w:b/>
          <w:color w:val="003CA0"/>
          <w:sz w:val="16"/>
        </w:rPr>
        <w:t>[ADI 738, rel. min. Maurício Corrêa, j. 13-11-2002, P, DJ de 7-2-2003.]</w:t>
      </w:r>
    </w:p>
    <w:p>
      <w:pPr>
        <w:ind w:left="288"/>
      </w:pPr>
      <w:r>
        <w:rPr>
          <w:color w:val="8C8C8C"/>
          <w:sz w:val="12"/>
        </w:rPr>
        <w:t>cf-art-49-inc-III</w:t>
      </w:r>
      <w:r>
        <w:rPr>
          <w:color w:val="003CA0"/>
          <w:sz w:val="12"/>
        </w:rPr>
        <w:t xml:space="preserve"> | RE 317.574</w:t>
      </w:r>
      <w:r>
        <w:rPr>
          <w:color w:val="003CA0"/>
          <w:sz w:val="12"/>
        </w:rPr>
        <w:t xml:space="preserve"> | rel. Cezar Peluso</w:t>
      </w:r>
    </w:p>
    <w:p>
      <w:pPr>
        <w:ind w:left="288"/>
      </w:pPr>
      <w:r>
        <w:rPr>
          <w:color w:val="1E1E1E"/>
          <w:sz w:val="18"/>
        </w:rPr>
        <w:t>= RE 317.574, rel. min. Cezar Peluso, j. 1º-12-2010, P, DJE de 1º-2-2011</w:t>
      </w:r>
    </w:p>
    <w:p>
      <w:pPr>
        <w:ind w:left="288"/>
      </w:pPr>
      <w:r>
        <w:rPr>
          <w:color w:val="8C8C8C"/>
          <w:sz w:val="12"/>
        </w:rPr>
        <w:t>cf-art-49-inc-V</w:t>
      </w:r>
      <w:r>
        <w:rPr>
          <w:color w:val="003CA0"/>
          <w:sz w:val="12"/>
        </w:rPr>
        <w:t xml:space="preserve"> | ADI 748</w:t>
      </w:r>
      <w:r>
        <w:rPr>
          <w:color w:val="003CA0"/>
          <w:sz w:val="12"/>
        </w:rPr>
        <w:t xml:space="preserve"> | rel. Celso de Mello</w:t>
      </w:r>
    </w:p>
    <w:p>
      <w:pPr>
        <w:ind w:left="288"/>
      </w:pPr>
      <w:r>
        <w:rPr>
          <w:color w:val="1E1E1E"/>
          <w:sz w:val="18"/>
        </w:rPr>
        <w:t>Possibilidade de fiscalização normativa abstrata (...). O decreto legislativo, editado com fundamento no art. 49, V, da CF, não se desveste dos atributos tipificadores da normatividade pelo fato de limitar-se, materialmente, à suspensão de eficácia de ato oriundo do Poder Executivo. Também realiza função normativa o ato estatal que exclui, extingue ou suspende a validade ou a eficácia de uma outra norma jurídica. A eficácia derrogatória ou inibitória das consequências jurídicas dos atos estatais constitui um dos momentos concretizadores do processo normativo.</w:t>
      </w:r>
    </w:p>
    <w:p>
      <w:pPr>
        <w:ind w:left="288"/>
      </w:pPr>
      <w:r>
        <w:rPr>
          <w:b/>
          <w:color w:val="003CA0"/>
          <w:sz w:val="16"/>
        </w:rPr>
        <w:t>[ADI 748 MC, rel. min. Celso de Mello, j. 1º-7-1992, P, DJ de 6-11-1992.]</w:t>
      </w:r>
    </w:p>
    <w:p>
      <w:pPr>
        <w:ind w:left="144"/>
      </w:pPr>
      <w:r>
        <w:rPr>
          <w:b/>
          <w:color w:val="B45A00"/>
          <w:sz w:val="16"/>
        </w:rPr>
        <w:t>JULGADOS CORRELATOS</w:t>
      </w:r>
    </w:p>
    <w:p>
      <w:pPr>
        <w:ind w:left="288"/>
      </w:pPr>
      <w:r>
        <w:rPr>
          <w:color w:val="8C8C8C"/>
          <w:sz w:val="12"/>
        </w:rPr>
        <w:t>cf-art-49-inc-V</w:t>
      </w:r>
      <w:r>
        <w:rPr>
          <w:color w:val="003CA0"/>
          <w:sz w:val="12"/>
        </w:rPr>
        <w:t xml:space="preserve"> | RE 318.873</w:t>
      </w:r>
      <w:r>
        <w:rPr>
          <w:color w:val="003CA0"/>
          <w:sz w:val="12"/>
        </w:rPr>
        <w:t xml:space="preserve"> | rel. Celso de Mello</w:t>
      </w:r>
    </w:p>
    <w:p>
      <w:pPr>
        <w:ind w:left="288"/>
      </w:pPr>
      <w:r>
        <w:rPr>
          <w:color w:val="1E1E1E"/>
          <w:sz w:val="18"/>
        </w:rPr>
        <w:t>O abuso de poder regulamentar, especialmente nos casos em que o Estado atua contra legem ou praeter legem, não só expõe o ato transgressor ao controle jurisdicional, mas viabiliza, até mesmo, tal a gravidade desse comportamento governamental, o exercício, pelo Congresso Nacional, da competência extraordinária que lhe confere o art. 49, V, da Constituição da República e que lhe permite "sustar os atos normativos do Poder Executivo que exorbitem do poder regulamentar (...)". Doutrina. Precedentes (RE 318.873 AgR/SC, rel. min. Celso de Mello, v.g.). Plausibilidade jurídica da impugnação à validad</w:t>
      </w:r>
    </w:p>
    <w:p>
      <w:pPr>
        <w:ind w:left="288"/>
      </w:pPr>
      <w:r>
        <w:rPr>
          <w:b/>
          <w:color w:val="003CA0"/>
          <w:sz w:val="16"/>
        </w:rPr>
        <w:t>[AC 1.033 AgR-QO, rel. min. Celso de Mello, j. 25-5-2006, P, DJ de 16-6-2006.]</w:t>
      </w:r>
    </w:p>
    <w:p>
      <w:pPr>
        <w:ind w:left="288"/>
      </w:pPr>
      <w:r>
        <w:rPr>
          <w:color w:val="8C8C8C"/>
          <w:sz w:val="12"/>
        </w:rPr>
        <w:t>cf-art-49-inc-VII</w:t>
      </w:r>
    </w:p>
    <w:p>
      <w:pPr>
        <w:ind w:left="288"/>
      </w:pPr>
      <w:r>
        <w:rPr>
          <w:color w:val="1E1E1E"/>
          <w:sz w:val="18"/>
        </w:rPr>
        <w:t>VIII - fixar os subsídios do Presidente e do Vice-Presidente da República e dos Ministros de Estado, observado o que dispõem os arts. 37, XI; 39, § 4º; 150, II; 153, III; e 153, § 2º, I; (Redação da EC 19/1998)</w:t>
      </w:r>
    </w:p>
    <w:p>
      <w:pPr>
        <w:ind w:left="144"/>
      </w:pPr>
      <w:r>
        <w:rPr>
          <w:b/>
          <w:color w:val="B45A00"/>
          <w:sz w:val="16"/>
        </w:rPr>
        <w:t>CONTROLE CONCENTRADO</w:t>
      </w:r>
    </w:p>
    <w:p>
      <w:pPr>
        <w:ind w:left="288"/>
      </w:pPr>
      <w:r>
        <w:rPr>
          <w:color w:val="8C8C8C"/>
          <w:sz w:val="12"/>
        </w:rPr>
        <w:t>cf-art-49-inc-VII</w:t>
      </w:r>
      <w:r>
        <w:rPr>
          <w:color w:val="003CA0"/>
          <w:sz w:val="12"/>
        </w:rPr>
        <w:t xml:space="preserve"> | ADI 3.491</w:t>
      </w:r>
      <w:r>
        <w:rPr>
          <w:color w:val="003CA0"/>
          <w:sz w:val="12"/>
        </w:rPr>
        <w:t xml:space="preserve"> | rel. Ayres Britto</w:t>
      </w:r>
    </w:p>
    <w:p>
      <w:pPr>
        <w:ind w:left="288"/>
      </w:pPr>
      <w:r>
        <w:rPr>
          <w:color w:val="1E1E1E"/>
          <w:sz w:val="18"/>
        </w:rPr>
        <w:t>A Lei Maior impôs tratamento jurídico diferenciado entre a classe dos servidores públicos em geral e o membro de Poder, o detentor de mandato eletivo, os ministros de Estado e os secretários estaduais e municipais. Esses agentes públicos, que se situam no topo da estrutura funcional de cada poder orgânico da União, dos Estados, do Distrito Federal e dos Municípios, são remunerados exclusivamente por subsídios, cuja fixação ou alteração é matéria reservada à lei específica, observada, em cada caso, a respectiva iniciativa (incisos X e XI do art. 37 da CF/1988). O dispositivo legal impugnado, ao</w:t>
      </w:r>
    </w:p>
    <w:p>
      <w:pPr>
        <w:ind w:left="288"/>
      </w:pPr>
      <w:r>
        <w:rPr>
          <w:b/>
          <w:color w:val="003CA0"/>
          <w:sz w:val="16"/>
        </w:rPr>
        <w:t>[ADI 3.491, rel. min. Ayres Britto, j. 27-9-2006, P, DJ de 23-3-2007.]</w:t>
        <w:br/>
        <w:t>= RE 759.518 RG, rel. min. Gilmar Mendes, j. 29-5-2014, P, DJE de 24-11-2014, Tema 737</w:t>
      </w:r>
    </w:p>
    <w:p>
      <w:pPr>
        <w:ind w:left="144"/>
      </w:pPr>
      <w:r>
        <w:rPr>
          <w:b/>
          <w:color w:val="B45A00"/>
          <w:sz w:val="16"/>
        </w:rPr>
        <w:t>JULGADOS CORRELATOS</w:t>
      </w:r>
    </w:p>
    <w:p>
      <w:pPr>
        <w:ind w:left="288"/>
      </w:pPr>
      <w:r>
        <w:rPr>
          <w:color w:val="8C8C8C"/>
          <w:sz w:val="12"/>
        </w:rPr>
        <w:t>cf-art-49-inc-VII</w:t>
      </w:r>
      <w:r>
        <w:rPr>
          <w:color w:val="003CA0"/>
          <w:sz w:val="12"/>
        </w:rPr>
        <w:t xml:space="preserve"> | RMS 21.946</w:t>
      </w:r>
      <w:r>
        <w:rPr>
          <w:color w:val="003CA0"/>
          <w:sz w:val="12"/>
        </w:rPr>
        <w:t xml:space="preserve"> | rel. Sepúlveda Pertence</w:t>
      </w:r>
    </w:p>
    <w:p>
      <w:pPr>
        <w:ind w:left="288"/>
      </w:pPr>
      <w:r>
        <w:rPr>
          <w:color w:val="1E1E1E"/>
          <w:sz w:val="18"/>
        </w:rPr>
        <w:t>Teto de vencimentos e proventos (CF, art. 37, XI): para tal efeito, a remuneração dos ministros de Estado é aquela atribuída ao cargo por decreto legislativo (CF, art. 49, VIII), não que, mediante opção, perceba efetivamente algum dos seus titulares, em razão de ser parlamentar ou servidor público efetivo.</w:t>
      </w:r>
    </w:p>
    <w:p>
      <w:pPr>
        <w:ind w:left="288"/>
      </w:pPr>
      <w:r>
        <w:rPr>
          <w:b/>
          <w:color w:val="003CA0"/>
          <w:sz w:val="16"/>
        </w:rPr>
        <w:t>[RMS 21.946, rel. min. Sepúlveda Pertence, j. 24-5-1994, 1ª T, DJ de 1º-7-1994.]</w:t>
      </w:r>
    </w:p>
    <w:p>
      <w:pPr>
        <w:ind w:left="288"/>
      </w:pPr>
      <w:r>
        <w:rPr>
          <w:color w:val="8C8C8C"/>
          <w:sz w:val="12"/>
        </w:rPr>
        <w:t>cf-art-49-inc-IX</w:t>
      </w:r>
      <w:r>
        <w:rPr>
          <w:color w:val="003CA0"/>
          <w:sz w:val="12"/>
        </w:rPr>
        <w:t xml:space="preserve"> | ADPF 434</w:t>
      </w:r>
      <w:r>
        <w:rPr>
          <w:color w:val="003CA0"/>
          <w:sz w:val="12"/>
        </w:rPr>
        <w:t xml:space="preserve"> | rel. Nunes Marques</w:t>
      </w:r>
    </w:p>
    <w:p>
      <w:pPr>
        <w:ind w:left="288"/>
      </w:pPr>
      <w:r>
        <w:rPr>
          <w:color w:val="1E1E1E"/>
          <w:sz w:val="18"/>
        </w:rPr>
        <w:t>O parecer técnico do Tribunal de Contas, embora relevante para subsidiar o julgamento político da Assembleia Legislativa, possui natureza opinativa, não vinculando nem condicionando o exercício da competência legislativa. A ausência de parecer prévio no prazo constitucional não obsta o julgamento das contas pelo Legislativo, sendo-lhe vedado eximir-se da competência constitucionalmente atribuída.</w:t>
      </w:r>
    </w:p>
    <w:p>
      <w:pPr>
        <w:ind w:left="288"/>
      </w:pPr>
      <w:r>
        <w:rPr>
          <w:b/>
          <w:color w:val="003CA0"/>
          <w:sz w:val="16"/>
        </w:rPr>
        <w:t>[ADPF 434, rel. min. Nunes Marques, j. 12.08.2025, P, DJE de 16.10.2025.]</w:t>
      </w:r>
    </w:p>
    <w:p>
      <w:pPr>
        <w:ind w:left="144"/>
      </w:pPr>
      <w:r>
        <w:rPr>
          <w:b/>
          <w:color w:val="B45A00"/>
          <w:sz w:val="16"/>
        </w:rPr>
        <w:t>CONTROLE CONCENTRADO</w:t>
      </w:r>
    </w:p>
    <w:p>
      <w:pPr>
        <w:ind w:left="288"/>
      </w:pPr>
      <w:r>
        <w:rPr>
          <w:color w:val="8C8C8C"/>
          <w:sz w:val="12"/>
        </w:rPr>
        <w:t>cf-art-49-inc-IX</w:t>
      </w:r>
      <w:r>
        <w:rPr>
          <w:color w:val="003CA0"/>
          <w:sz w:val="12"/>
        </w:rPr>
        <w:t xml:space="preserve"> | ADI 1.964</w:t>
      </w:r>
      <w:r>
        <w:rPr>
          <w:color w:val="003CA0"/>
          <w:sz w:val="12"/>
        </w:rPr>
        <w:t xml:space="preserve"> | rel. Dias Toffoli</w:t>
      </w:r>
    </w:p>
    <w:p>
      <w:pPr>
        <w:ind w:left="288"/>
      </w:pPr>
      <w:r>
        <w:rPr>
          <w:color w:val="1E1E1E"/>
          <w:sz w:val="18"/>
        </w:rPr>
        <w:t>A CF foi assente em definir o papel específico do Legislativo municipal para julgar, após parecer prévio do tribunal de contas, as contas anuais elaboradas pelo chefe do Poder Executivo local, sem abrir margem para a ampliação para outros agentes ou órgãos públicos. O art. 29, § 2º, da Constituição do Estado do Espírito Santo, ao alargar a competência de controle externo exercida pelas câmaras municipais para alcançar, além do prefeito, o presidente da câmara municipal, alterou o modelo previsto na CF.</w:t>
      </w:r>
    </w:p>
    <w:p>
      <w:pPr>
        <w:ind w:left="288"/>
      </w:pPr>
      <w:r>
        <w:rPr>
          <w:b/>
          <w:color w:val="003CA0"/>
          <w:sz w:val="16"/>
        </w:rPr>
        <w:t>[ADI 1.964, rel. min. Dias Toffoli, j. 4-9-2014, P, DJE de 9-10-2014.]</w:t>
      </w:r>
    </w:p>
    <w:p>
      <w:pPr>
        <w:ind w:left="144"/>
      </w:pPr>
      <w:r>
        <w:rPr>
          <w:b/>
          <w:color w:val="B45A00"/>
          <w:sz w:val="16"/>
        </w:rPr>
        <w:t>JULGADOS CORRELATOS</w:t>
      </w:r>
    </w:p>
    <w:p>
      <w:pPr>
        <w:ind w:left="288"/>
      </w:pPr>
      <w:r>
        <w:rPr>
          <w:color w:val="8C8C8C"/>
          <w:sz w:val="12"/>
        </w:rPr>
        <w:t>cf-art-49-inc-IX</w:t>
      </w:r>
      <w:r>
        <w:rPr>
          <w:color w:val="003CA0"/>
          <w:sz w:val="12"/>
        </w:rPr>
        <w:t xml:space="preserve"> | MS 33.729</w:t>
      </w:r>
      <w:r>
        <w:rPr>
          <w:color w:val="003CA0"/>
          <w:sz w:val="12"/>
        </w:rPr>
        <w:t xml:space="preserve"> | rel. Roberto Barroso</w:t>
      </w:r>
    </w:p>
    <w:p>
      <w:pPr>
        <w:ind w:left="288"/>
      </w:pPr>
      <w:r>
        <w:rPr>
          <w:color w:val="1E1E1E"/>
          <w:sz w:val="18"/>
        </w:rPr>
        <w:t>O julgamento das contas do Presidente da República deve ser feito pelo Congresso Nacional em sessão conjunta das Casas, e não separadamente pela Câmara dos Deputados e pelo Senado Federal. (...) Entretanto, a longa duração da prática de julgamento separado das contas do Presidente da República por cada uma das Casas Legislativas deve ser considerada no julgamento de mérito. Tendo as contas já sido aprovadas, e os PDLs convertidos em decretos legislativos, os efeitos dos atos já praticados devem ser resguardados, em homenagem à segurança jurídica.</w:t>
        <w:br/>
        <w:t>[MS 33.729, rel. min. Roberto Barroso, j. 22-5-</w:t>
      </w:r>
    </w:p>
    <w:p>
      <w:pPr>
        <w:ind w:left="144"/>
      </w:pPr>
      <w:r>
        <w:rPr>
          <w:b/>
          <w:color w:val="B45A00"/>
          <w:sz w:val="16"/>
        </w:rPr>
        <w:t>CONTROLE CONCENTRADO</w:t>
      </w:r>
    </w:p>
    <w:p>
      <w:pPr>
        <w:ind w:left="288"/>
      </w:pPr>
      <w:r>
        <w:rPr>
          <w:color w:val="8C8C8C"/>
          <w:sz w:val="12"/>
        </w:rPr>
        <w:t>cf-art-49-inc-X</w:t>
      </w:r>
      <w:r>
        <w:rPr>
          <w:color w:val="003CA0"/>
          <w:sz w:val="12"/>
        </w:rPr>
        <w:t xml:space="preserve"> | ADI 5.351</w:t>
      </w:r>
      <w:r>
        <w:rPr>
          <w:color w:val="003CA0"/>
          <w:sz w:val="12"/>
        </w:rPr>
        <w:t xml:space="preserve"> | rel. Cármen Lúcia</w:t>
      </w:r>
    </w:p>
    <w:p>
      <w:pPr>
        <w:ind w:left="288"/>
      </w:pPr>
      <w:r>
        <w:rPr>
          <w:color w:val="1E1E1E"/>
          <w:sz w:val="18"/>
        </w:rPr>
        <w:t>“O estabelecimento de hipóteses de prioridade de tramitação processual insere-se entre as atribuições legislativas da União (inc. I do art. 22 da Constituição da República). Não viola a proporcionalidade ou razoabilidade a opção do legislador de priorizar a tramitação de procedimentos administrativos ou judiciais que derivem de apurações das Comissões Parlamentares de Inquérito, considerando o interesse público atingido e a deferência constitucional ao poder fiscalizatório do Congresso Nacional (inc. X do art. 49 da Constituição da República).”</w:t>
      </w:r>
    </w:p>
    <w:p>
      <w:pPr>
        <w:ind w:left="288"/>
      </w:pPr>
      <w:r>
        <w:rPr>
          <w:b/>
          <w:color w:val="003CA0"/>
          <w:sz w:val="16"/>
        </w:rPr>
        <w:t>[ADI 5.351, rel. min. Cármen Lúcia, j. 18-6-2021, P, DJE de 20-8-2021.]</w:t>
      </w:r>
    </w:p>
    <w:p>
      <w:pPr>
        <w:ind w:left="288"/>
      </w:pPr>
      <w:r>
        <w:rPr>
          <w:color w:val="8C8C8C"/>
          <w:sz w:val="12"/>
        </w:rPr>
        <w:t>cf-art-49-inc-X</w:t>
      </w:r>
      <w:r>
        <w:rPr>
          <w:color w:val="003CA0"/>
          <w:sz w:val="12"/>
        </w:rPr>
        <w:t xml:space="preserve"> | ADI 3.046</w:t>
      </w:r>
      <w:r>
        <w:rPr>
          <w:color w:val="003CA0"/>
          <w:sz w:val="12"/>
        </w:rPr>
        <w:t xml:space="preserve"> | rel. Sepúlveda Pertence</w:t>
      </w:r>
    </w:p>
    <w:p>
      <w:pPr>
        <w:ind w:left="288"/>
      </w:pPr>
      <w:r>
        <w:rPr>
          <w:color w:val="1E1E1E"/>
          <w:sz w:val="18"/>
        </w:rPr>
        <w:t xml:space="preserve">Do relevo primacial dos "pesos e contrapesos" no paradigma de divisão dos poderes, segue-se que à norma infraconstitucional – aí incluída, em relação à Federal, a Constituição dos Estados-membros – não é dado criar novas interferências de um Poder na órbita de outro que não derive explícita ou implicitamente de regra ou princípio da Lei Fundamental da República. O poder de fiscalização legislativa da ação administrativa do Poder Executivo é outorgado aos órgãos coletivos de cada Câmara do Congresso Nacional, no plano federal, e da assembleia legislativa, no dos Estados; nunca aos seus membros </w:t>
      </w:r>
    </w:p>
    <w:p>
      <w:pPr>
        <w:ind w:left="288"/>
      </w:pPr>
      <w:r>
        <w:rPr>
          <w:b/>
          <w:color w:val="003CA0"/>
          <w:sz w:val="16"/>
        </w:rPr>
        <w:t>[ADI 3.046, rel. min. Sepúlveda Pertence, j. 15-4-2004, P, DJ de 28-5-2004.]</w:t>
      </w:r>
    </w:p>
    <w:p>
      <w:pPr>
        <w:ind w:left="288"/>
      </w:pPr>
      <w:r>
        <w:rPr>
          <w:color w:val="8C8C8C"/>
          <w:sz w:val="12"/>
        </w:rPr>
        <w:t>cf-art-49-inc-XI</w:t>
      </w:r>
      <w:r>
        <w:rPr>
          <w:color w:val="003CA0"/>
          <w:sz w:val="12"/>
        </w:rPr>
        <w:t xml:space="preserve"> | ADI 3.059</w:t>
      </w:r>
      <w:r>
        <w:rPr>
          <w:color w:val="003CA0"/>
          <w:sz w:val="12"/>
        </w:rPr>
        <w:t xml:space="preserve"> | rel. Ayres Britto</w:t>
      </w:r>
    </w:p>
    <w:p>
      <w:pPr>
        <w:ind w:left="288"/>
      </w:pPr>
      <w:r>
        <w:rPr>
          <w:color w:val="1E1E1E"/>
          <w:sz w:val="18"/>
        </w:rPr>
        <w:t>É a Constituição mesma que resguarda o "funcionamento parlamentar" dos partidos, "de acordo com a lei" (inciso IV do art. 17), e assim mais intensamente participando das experiências do parlamento – sobretudo no altaneiro plano da produção das leis e na vigília dos atos normativos dos demais poderes (inciso XI do art. 49 da CF – é que essas pessoas jurídico-eleitorais que são os partidos políticos desfrutam de habilitação processual para o ajuizamento das ações diretas de inconstitucionalidade.</w:t>
      </w:r>
    </w:p>
    <w:p>
      <w:pPr>
        <w:ind w:left="288"/>
      </w:pPr>
      <w:r>
        <w:rPr>
          <w:b/>
          <w:color w:val="003CA0"/>
          <w:sz w:val="16"/>
        </w:rPr>
        <w:t>[ADI 3.059 MC, voto do rel. min. Ayres Britto, j. 15-4-2004, P, DJ de 20-8-2004.]</w:t>
      </w:r>
    </w:p>
    <w:p>
      <w:pPr>
        <w:ind w:left="288"/>
      </w:pPr>
      <w:r>
        <w:rPr>
          <w:color w:val="8C8C8C"/>
          <w:sz w:val="12"/>
        </w:rPr>
        <w:t>cf-art-49-inc-XIII</w:t>
      </w:r>
    </w:p>
    <w:p>
      <w:pPr>
        <w:ind w:left="288"/>
      </w:pPr>
      <w:r>
        <w:rPr>
          <w:color w:val="1E1E1E"/>
          <w:sz w:val="18"/>
        </w:rPr>
        <w:t>XIV - aprovar iniciativas do Poder Executivo referentes a atividades nucleares; XV - autorizar referendo e convocar plebiscito; XVI - autorizar, em terras indígenas, a exploração e o aproveitamento de recursos hídricos e a pesquisa e lavra de riquezas minerais;</w:t>
      </w:r>
    </w:p>
    <w:p>
      <w:pPr>
        <w:ind w:left="288"/>
      </w:pPr>
      <w:r>
        <w:rPr>
          <w:color w:val="8C8C8C"/>
          <w:sz w:val="12"/>
        </w:rPr>
        <w:t>cf-art-49-inc-XIII</w:t>
      </w:r>
      <w:r>
        <w:rPr>
          <w:color w:val="003CA0"/>
          <w:sz w:val="12"/>
        </w:rPr>
        <w:t xml:space="preserve"> | ADI 3.352</w:t>
      </w:r>
      <w:r>
        <w:rPr>
          <w:color w:val="003CA0"/>
          <w:sz w:val="12"/>
        </w:rPr>
        <w:t xml:space="preserve"> | rel. Sepúlveda Pertence</w:t>
      </w:r>
    </w:p>
    <w:p>
      <w:pPr>
        <w:ind w:left="288"/>
      </w:pPr>
      <w:r>
        <w:rPr>
          <w:color w:val="1E1E1E"/>
          <w:sz w:val="18"/>
        </w:rPr>
        <w:t>É do Congresso Nacional a competência exclusiva para autorizar a pesquisa e a lavra das riquezas minerais em terras indígenas (CF, art. 49, XVI, e 231, § 3º), mediante decreto legislativo, que não é dado substituir por medida provisória. Não a usurpa, contudo, a medida provisória que, visando resolver o problema criado com a existência, em poder de dada comunidade indígena, do produto de lavra de diamantes já realizada, disciplina-lhe a arrecadação, a venda e a entrega aos indígenas da renda líquida resultante de sua alienação.</w:t>
      </w:r>
    </w:p>
    <w:p>
      <w:pPr>
        <w:ind w:left="288"/>
      </w:pPr>
      <w:r>
        <w:rPr>
          <w:b/>
          <w:color w:val="003CA0"/>
          <w:sz w:val="16"/>
        </w:rPr>
        <w:t>[ADI 3.352 MC, rel. min. Sepúlveda Pertence, j. 2-12-2004, P, DJ de 15-4-2005.]</w:t>
      </w:r>
    </w:p>
    <w:p>
      <w:pPr>
        <w:ind w:left="288"/>
      </w:pPr>
      <w:r>
        <w:rPr>
          <w:color w:val="8C8C8C"/>
          <w:sz w:val="12"/>
        </w:rPr>
        <w:t>cf-art-49-inc-XIII</w:t>
      </w:r>
    </w:p>
    <w:p>
      <w:pPr>
        <w:ind w:left="288"/>
      </w:pPr>
      <w:r>
        <w:rPr>
          <w:color w:val="1E1E1E"/>
          <w:sz w:val="18"/>
        </w:rPr>
        <w:t>XVII - aprovar, previamente, a alienação ou concessão de terras públicas com área superior a dois mil e quinhentos hectares.</w:t>
      </w:r>
    </w:p>
    <w:p>
      <w:pPr>
        <w:ind w:left="288"/>
      </w:pPr>
      <w:r>
        <w:rPr>
          <w:color w:val="8C8C8C"/>
          <w:sz w:val="12"/>
        </w:rPr>
        <w:t>cf-art-49-inc-XIII</w:t>
      </w:r>
      <w:r>
        <w:rPr>
          <w:color w:val="003CA0"/>
          <w:sz w:val="12"/>
        </w:rPr>
        <w:t xml:space="preserve"> | ADI 3.989</w:t>
      </w:r>
      <w:r>
        <w:rPr>
          <w:color w:val="003CA0"/>
          <w:sz w:val="12"/>
        </w:rPr>
        <w:t xml:space="preserve"> | rel. Dias Toffoli</w:t>
      </w:r>
    </w:p>
    <w:p>
      <w:pPr>
        <w:ind w:left="288"/>
      </w:pPr>
      <w:r>
        <w:rPr>
          <w:color w:val="1E1E1E"/>
          <w:sz w:val="18"/>
        </w:rPr>
        <w:t>A concessão florestal é um contrato administrativo que tem por objeto o uso, por particular, de perímetros de florestas públicas, visando à prática do manejo florestal sustentável mediante a exploração de produtos e serviços. A concessão florestal não transfere o domínio de terras públicas ao concessionário. O Plano Plurianual de Outorga Florestal (PPAOF) contém o conjunto de florestas públicas que podem ser submetidas à concessão. A mera elaboração do documento não obriga ou estabelece regras para a efetiva delegação onerosa de uma unidade de manejo a um particular. Controvérsia sobre a neces</w:t>
      </w:r>
    </w:p>
    <w:p>
      <w:pPr>
        <w:ind w:left="144"/>
      </w:pPr>
      <w:r>
        <w:rPr>
          <w:b/>
          <w:color w:val="B45A00"/>
          <w:sz w:val="16"/>
        </w:rPr>
        <w:t>JULGADOS CORRELATOS</w:t>
      </w:r>
    </w:p>
    <w:p>
      <w:pPr>
        <w:ind w:left="288"/>
      </w:pPr>
      <w:r>
        <w:rPr>
          <w:color w:val="8C8C8C"/>
          <w:sz w:val="12"/>
        </w:rPr>
        <w:t>cf-art-49-inc-XIII</w:t>
      </w:r>
      <w:r>
        <w:rPr>
          <w:color w:val="003CA0"/>
          <w:sz w:val="12"/>
        </w:rPr>
        <w:t xml:space="preserve"> | ACO 79</w:t>
      </w:r>
      <w:r>
        <w:rPr>
          <w:color w:val="003CA0"/>
          <w:sz w:val="12"/>
        </w:rPr>
        <w:t xml:space="preserve"> | rel. Cezar Peluso</w:t>
      </w:r>
    </w:p>
    <w:p>
      <w:pPr>
        <w:ind w:left="288"/>
      </w:pPr>
      <w:r>
        <w:rPr>
          <w:color w:val="1E1E1E"/>
          <w:sz w:val="18"/>
        </w:rPr>
        <w:t>Sob pena de ofensa aos princípios constitucionais da segurança jurídica e da proteção à confiança legítima, não podem ser anuladas, meio século depois, por falta de necessária autorização prévia do Legislativo, concessões de domínio de terras públicas, celebradas para fins de colonização, quando esta, sob absoluta boa-fé e convicção de validez dos negócios por parte dos adquirentes e sucessores, se consolidou, ao longo do tempo, com criação de cidades, fixação de famílias, construção de hospitais, estradas, aeroportos, residências, estabelecimentos comerciais, industriais e de serviços, etc.</w:t>
      </w:r>
    </w:p>
    <w:p>
      <w:pPr>
        <w:ind w:left="288"/>
      </w:pPr>
      <w:r>
        <w:rPr>
          <w:b/>
          <w:color w:val="003CA0"/>
          <w:sz w:val="16"/>
        </w:rPr>
        <w:t>[ACO 79, rel. min. Cezar Peluso, j. 15-3-2012, P, DJE de 28-5-2012.]</w:t>
      </w:r>
    </w:p>
    <w:p>
      <w:pPr>
        <w:ind w:left="432"/>
      </w:pPr>
      <w:r>
        <w:rPr>
          <w:color w:val="003366"/>
          <w:sz w:val="18"/>
        </w:rPr>
        <w:t xml:space="preserve">§ 1 Quando não existir cláusula contratual, serão adotados os critérios e bases </w:t>
      </w:r>
    </w:p>
    <w:p>
      <w:pPr>
        <w:ind w:left="432"/>
      </w:pPr>
      <w:r>
        <w:rPr>
          <w:color w:val="003366"/>
          <w:sz w:val="18"/>
        </w:rPr>
        <w:t xml:space="preserve">§ 2 Os direitos dos atuais ocupantes inscritos ficam assegurados pela aplicação </w:t>
      </w:r>
    </w:p>
    <w:p>
      <w:pPr>
        <w:ind w:left="432"/>
      </w:pPr>
      <w:r>
        <w:rPr>
          <w:color w:val="003366"/>
          <w:sz w:val="18"/>
        </w:rPr>
        <w:t>§ 3 A enfiteuse continuará sendo aplicada aos terrenos de marinha e seus acresci</w:t>
      </w:r>
    </w:p>
    <w:p>
      <w:pPr>
        <w:ind w:left="432"/>
      </w:pPr>
      <w:r>
        <w:rPr>
          <w:color w:val="003366"/>
          <w:sz w:val="18"/>
        </w:rPr>
        <w:t>§ 4 Remido o foro, o antigo titular do domínio direto deverá, no prazo de novent</w:t>
      </w:r>
    </w:p>
    <w:p>
      <w:r>
        <w:rPr>
          <w:b/>
          <w:color w:val="003366"/>
          <w:sz w:val="20"/>
        </w:rPr>
        <w:t xml:space="preserve">Art. 50 Lei agrícola a ser promulgada no prazo de um ano disporá, nos termos da </w:t>
      </w:r>
      <w:r>
        <w:rPr>
          <w:color w:val="8C8C8C"/>
          <w:sz w:val="14"/>
        </w:rPr>
        <w:t xml:space="preserve">  [8 decisoes]</w:t>
      </w:r>
    </w:p>
    <w:p>
      <w:pPr>
        <w:ind w:left="144"/>
      </w:pPr>
      <w:r>
        <w:rPr>
          <w:b/>
          <w:color w:val="B45A00"/>
          <w:sz w:val="16"/>
        </w:rPr>
        <w:t>CONTROLE CONCENTRADO</w:t>
      </w:r>
    </w:p>
    <w:p>
      <w:pPr>
        <w:ind w:left="288"/>
      </w:pPr>
      <w:r>
        <w:rPr>
          <w:color w:val="8C8C8C"/>
          <w:sz w:val="12"/>
        </w:rPr>
        <w:t>cf-art-50</w:t>
      </w:r>
      <w:r>
        <w:rPr>
          <w:color w:val="003CA0"/>
          <w:sz w:val="12"/>
        </w:rPr>
        <w:t xml:space="preserve"> | ADI 6.651</w:t>
      </w:r>
      <w:r>
        <w:rPr>
          <w:color w:val="003CA0"/>
          <w:sz w:val="12"/>
        </w:rPr>
        <w:t xml:space="preserve"> | rel. Edson Fachin</w:t>
      </w:r>
    </w:p>
    <w:p>
      <w:pPr>
        <w:ind w:left="288"/>
      </w:pPr>
      <w:r>
        <w:rPr>
          <w:color w:val="1E1E1E"/>
          <w:sz w:val="18"/>
        </w:rPr>
        <w:t>A Constituição da República, em seu art. 50, caput e § 2º, prescreve sistemática de controle do Poder Legislativo sobre o Poder Executivo que, em razão do princípio da simetria, deve ser observada pelos Estados membros.</w:t>
      </w:r>
    </w:p>
    <w:p>
      <w:pPr>
        <w:ind w:left="288"/>
      </w:pPr>
      <w:r>
        <w:rPr>
          <w:b/>
          <w:color w:val="003CA0"/>
          <w:sz w:val="16"/>
        </w:rPr>
        <w:t>[ADI 6.651, rel. min. Edson Fachin, j. 21-2-2022, P, DJE de 30-3-2022.]</w:t>
      </w:r>
    </w:p>
    <w:p>
      <w:pPr>
        <w:ind w:left="288"/>
      </w:pPr>
      <w:r>
        <w:rPr>
          <w:color w:val="8C8C8C"/>
          <w:sz w:val="12"/>
        </w:rPr>
        <w:t>cf-art-50</w:t>
      </w:r>
      <w:r>
        <w:rPr>
          <w:color w:val="003CA0"/>
          <w:sz w:val="12"/>
        </w:rPr>
        <w:t xml:space="preserve"> | ADI 2.911</w:t>
      </w:r>
      <w:r>
        <w:rPr>
          <w:color w:val="003CA0"/>
          <w:sz w:val="12"/>
        </w:rPr>
        <w:t xml:space="preserve"> | rel. Ayres Britto</w:t>
      </w:r>
    </w:p>
    <w:p>
      <w:pPr>
        <w:ind w:left="288"/>
      </w:pPr>
      <w:r>
        <w:rPr>
          <w:color w:val="1E1E1E"/>
          <w:sz w:val="18"/>
        </w:rPr>
        <w:t>Os dispositivos impugnados contemplam a possibilidade de a Assembleia Legislativa capixaba convocar o presidente do Tribunal de Justiça para prestar, pessoalmente, informações sobre assunto previamente determinado, importando crime de responsabilidade a ausência injustificada desse chefe de Poder. Ao fazê-lo, porém, o art. 57 da Constituição capixaba não seguiu o paradigma da CF, extrapolando as fronteiras do esquema de freios e contrapesos – cuja aplicabilidade é sempre estrita ou materialmente inelástica – e maculando o princípio da separação de poderes.</w:t>
      </w:r>
    </w:p>
    <w:p>
      <w:pPr>
        <w:ind w:left="288"/>
      </w:pPr>
      <w:r>
        <w:rPr>
          <w:b/>
          <w:color w:val="003CA0"/>
          <w:sz w:val="16"/>
        </w:rPr>
        <w:t>[ADI 2.911, rel. min. Ayres Britto, j. 10-8-2006, P, DJ de 2-2-2007.]</w:t>
      </w:r>
    </w:p>
    <w:p>
      <w:pPr>
        <w:ind w:left="288"/>
      </w:pPr>
      <w:r>
        <w:rPr>
          <w:color w:val="8C8C8C"/>
          <w:sz w:val="12"/>
        </w:rPr>
        <w:t>cf-art-50-par-1</w:t>
      </w:r>
    </w:p>
    <w:p>
      <w:pPr>
        <w:ind w:left="288"/>
      </w:pPr>
      <w:r>
        <w:rPr>
          <w:color w:val="1E1E1E"/>
          <w:sz w:val="18"/>
        </w:rPr>
        <w:t>§ 2º As Mesas da Câmara dos Deputados e do Senado Federal poderão encaminhar pedidos escritos de informações a Ministros de Estado ou a qualquer das pessoas referidas no caput deste artigo, importando em crime de responsabilidade a recusa, ou o não atendimento, no prazo de trinta dias, bem como a prestação de informações falsas. (Redação da ECR 2/1994)</w:t>
      </w:r>
    </w:p>
    <w:p>
      <w:pPr>
        <w:ind w:left="288"/>
      </w:pPr>
      <w:r>
        <w:rPr>
          <w:color w:val="8C8C8C"/>
          <w:sz w:val="12"/>
        </w:rPr>
        <w:t>cf-art-50-par-1</w:t>
      </w:r>
      <w:r>
        <w:rPr>
          <w:color w:val="003CA0"/>
          <w:sz w:val="12"/>
        </w:rPr>
        <w:t xml:space="preserve"> | ADI 6.647</w:t>
      </w:r>
      <w:r>
        <w:rPr>
          <w:color w:val="003CA0"/>
          <w:sz w:val="12"/>
        </w:rPr>
        <w:t xml:space="preserve"> | rel. Gilmar Mendes</w:t>
      </w:r>
    </w:p>
    <w:p>
      <w:pPr>
        <w:ind w:left="288"/>
      </w:pPr>
      <w:r>
        <w:rPr>
          <w:color w:val="1E1E1E"/>
          <w:sz w:val="18"/>
        </w:rPr>
        <w:t>As Constituições Estaduais não podem ampliar o rol de autoridades sujeitas à convocação pelo Poder Legislativo e à sanção por crime de responsabilidade, por violação ao princípio da simetria e à competência privativa da União para legislar sobre o tema.</w:t>
        <w:br/>
        <w:t>[ADI 6.647, rel. min. Gilmar Mendes, j. 17-12-2022, P, DJE de 11-4-2023.] A Constituição da República, em seu art. 50, caput e § 2º, prescreve sistemática de controle do Poder Legislativo sobre o Poder Executivo que, em razão do princípio da simetria, deve ser observada pelos Estados membros.</w:t>
        <w:br/>
        <w:t>[ADI 6.651, rel. min. Edson Fachin, j. 21-2-2022, P,</w:t>
      </w:r>
    </w:p>
    <w:p>
      <w:pPr>
        <w:ind w:left="288"/>
      </w:pPr>
      <w:r>
        <w:rPr>
          <w:b/>
          <w:color w:val="003CA0"/>
          <w:sz w:val="16"/>
        </w:rPr>
        <w:t>[ADI 3.279, rel. min. Cezar Peluso, j. 16-11-2011, P, DJE de 15-2-2012.]</w:t>
      </w:r>
    </w:p>
    <w:p>
      <w:pPr>
        <w:ind w:left="288"/>
      </w:pPr>
      <w:r>
        <w:rPr>
          <w:color w:val="8C8C8C"/>
          <w:sz w:val="12"/>
        </w:rPr>
        <w:t>cf-art-50-par-1</w:t>
      </w:r>
      <w:r>
        <w:rPr>
          <w:color w:val="003CA0"/>
          <w:sz w:val="12"/>
        </w:rPr>
        <w:t xml:space="preserve"> | ADI 3.046</w:t>
      </w:r>
      <w:r>
        <w:rPr>
          <w:color w:val="003CA0"/>
          <w:sz w:val="12"/>
        </w:rPr>
        <w:t xml:space="preserve"> | rel. Sepúlveda Pertence</w:t>
      </w:r>
    </w:p>
    <w:p>
      <w:pPr>
        <w:ind w:left="288"/>
      </w:pPr>
      <w:r>
        <w:rPr>
          <w:color w:val="1E1E1E"/>
          <w:sz w:val="18"/>
        </w:rPr>
        <w:t>O poder de fiscalização legislativa da ação administrativa do Poder Executivo é outorgado aos órgãos coletivos de cada Câmara do Congresso Nacional, no plano federal, e da Assembleia Legislativa, no dos Estados; nunca aos seus membros individualmente, salvo, é claro, quando atuem em representação (ou presentação) de sua Casa ou comissão.</w:t>
      </w:r>
    </w:p>
    <w:p>
      <w:pPr>
        <w:ind w:left="288"/>
      </w:pPr>
      <w:r>
        <w:rPr>
          <w:b/>
          <w:color w:val="003CA0"/>
          <w:sz w:val="16"/>
        </w:rPr>
        <w:t>[ADI 3.046, rel. min. Sepúlveda Pertence, j. 15-4-2004, P, DJ de 28-5-2004.]</w:t>
      </w:r>
    </w:p>
    <w:p>
      <w:pPr>
        <w:ind w:left="288"/>
      </w:pPr>
      <w:r>
        <w:rPr>
          <w:color w:val="8C8C8C"/>
          <w:sz w:val="12"/>
        </w:rPr>
        <w:t>cf-art-50-par-1</w:t>
      </w:r>
      <w:r>
        <w:rPr>
          <w:color w:val="003CA0"/>
          <w:sz w:val="12"/>
        </w:rPr>
        <w:t xml:space="preserve"> | RMS 28.251</w:t>
      </w:r>
      <w:r>
        <w:rPr>
          <w:color w:val="003CA0"/>
          <w:sz w:val="12"/>
        </w:rPr>
        <w:t xml:space="preserve"> | rel. Ricardo Lewandowski</w:t>
      </w:r>
    </w:p>
    <w:p>
      <w:pPr>
        <w:ind w:left="288"/>
      </w:pPr>
      <w:r>
        <w:rPr>
          <w:color w:val="1E1E1E"/>
          <w:sz w:val="18"/>
        </w:rPr>
        <w:t>= RMS 28.251 AgR, rel. min. Ricardo Lewandowski, j. 18-10-2011, 2ª T, DJE de 22-11-2011</w:t>
      </w:r>
    </w:p>
    <w:p>
      <w:pPr>
        <w:ind w:left="144"/>
      </w:pPr>
      <w:r>
        <w:rPr>
          <w:b/>
          <w:color w:val="B45A00"/>
          <w:sz w:val="16"/>
        </w:rPr>
        <w:t>JULGADOS CORRELATOS</w:t>
      </w:r>
    </w:p>
    <w:p>
      <w:pPr>
        <w:ind w:left="288"/>
      </w:pPr>
      <w:r>
        <w:rPr>
          <w:color w:val="8C8C8C"/>
          <w:sz w:val="12"/>
        </w:rPr>
        <w:t>cf-art-50-par-1</w:t>
      </w:r>
      <w:r>
        <w:rPr>
          <w:color w:val="003CA0"/>
          <w:sz w:val="12"/>
        </w:rPr>
        <w:t xml:space="preserve"> | RMS 28.251</w:t>
      </w:r>
      <w:r>
        <w:rPr>
          <w:color w:val="003CA0"/>
          <w:sz w:val="12"/>
        </w:rPr>
        <w:t xml:space="preserve"> | rel. Ricardo Lewandowski</w:t>
      </w:r>
    </w:p>
    <w:p>
      <w:pPr>
        <w:ind w:left="288"/>
      </w:pPr>
      <w:r>
        <w:rPr>
          <w:color w:val="1E1E1E"/>
          <w:sz w:val="18"/>
        </w:rPr>
        <w:t>O direito de requerer informações aos ministros de Estado foi conferido pela Constituição tão somente às Mesas da Câmara dos Deputados e do Senado Federal, e não a parlamentares individualmente. (...) O entendimento pacífico desta Corte é no sentido de que o parlamentar individualmente não possui legitimidade para impetrar mandado de segurança para defender prerrogativa concernente à Casa Legislativa à qual pertence.</w:t>
      </w:r>
    </w:p>
    <w:p>
      <w:pPr>
        <w:ind w:left="288"/>
      </w:pPr>
      <w:r>
        <w:rPr>
          <w:b/>
          <w:color w:val="003CA0"/>
          <w:sz w:val="16"/>
        </w:rPr>
        <w:t>[RMS 28.251 AgR, rel. min. Ricardo Lewandowski, j. 18-10-2011, 2ª T, DJE de 22-11-2011.]</w:t>
      </w:r>
    </w:p>
    <w:p>
      <w:pPr>
        <w:ind w:left="288"/>
      </w:pPr>
      <w:r>
        <w:rPr>
          <w:color w:val="8C8C8C"/>
          <w:sz w:val="12"/>
        </w:rPr>
        <w:t>cf-art-50-par-1</w:t>
      </w:r>
    </w:p>
    <w:p>
      <w:pPr>
        <w:ind w:left="288"/>
      </w:pPr>
      <w:r>
        <w:rPr>
          <w:color w:val="1E1E1E"/>
          <w:sz w:val="18"/>
        </w:rPr>
        <w:t>Seção III Da Câmara dos Deputados SUMÁRIO</w:t>
      </w:r>
    </w:p>
    <w:p>
      <w:r>
        <w:rPr>
          <w:b/>
          <w:color w:val="003366"/>
          <w:sz w:val="20"/>
        </w:rPr>
        <w:t>Art. 51 Serão revistos pelo Congresso Nacional, através de Comissão mista, nos t</w:t>
      </w:r>
      <w:r>
        <w:rPr>
          <w:color w:val="8C8C8C"/>
          <w:sz w:val="14"/>
        </w:rPr>
        <w:t xml:space="preserve">  [10 decisoes]</w:t>
      </w:r>
    </w:p>
    <w:p>
      <w:pPr>
        <w:ind w:left="144"/>
      </w:pPr>
      <w:r>
        <w:rPr>
          <w:b/>
          <w:color w:val="B45A00"/>
          <w:sz w:val="16"/>
        </w:rPr>
        <w:t>JULGADOS CORRELATOS</w:t>
      </w:r>
    </w:p>
    <w:p>
      <w:pPr>
        <w:ind w:left="288"/>
      </w:pPr>
      <w:r>
        <w:rPr>
          <w:color w:val="8C8C8C"/>
          <w:sz w:val="12"/>
        </w:rPr>
        <w:t>cf-art-51</w:t>
      </w:r>
      <w:r>
        <w:rPr>
          <w:color w:val="003CA0"/>
          <w:sz w:val="12"/>
        </w:rPr>
        <w:t xml:space="preserve"> | MS 33.558</w:t>
      </w:r>
      <w:r>
        <w:rPr>
          <w:color w:val="003CA0"/>
          <w:sz w:val="12"/>
        </w:rPr>
        <w:t xml:space="preserve"> | rel. Celso de Mello</w:t>
      </w:r>
    </w:p>
    <w:p>
      <w:pPr>
        <w:ind w:left="288"/>
      </w:pPr>
      <w:r>
        <w:rPr>
          <w:color w:val="1E1E1E"/>
          <w:sz w:val="18"/>
        </w:rPr>
        <w:t>Denúncia contra a presidente da República. Princípio da livre denunciabilidade popular (Lei 1.079/1950, art. 14). Imputação de crime de responsabilidade à chefe do Poder Executivo da União. Negativa de seguimento por parte do presidente da Câmara dos Deputados. Recurso do cidadão denunciante ao Plenário dessa Casa Legislativa. Deliberação que deixa de admitir referida manifestação recursal. (...) A questão do judicial review e o princípio da separação de poderes. Atos interna corporis e discussões de natureza regimental: apreciação vedada ao Poder Judiciário, por tratar-se de tema que deve ser</w:t>
      </w:r>
    </w:p>
    <w:p>
      <w:pPr>
        <w:ind w:left="288"/>
      </w:pPr>
      <w:r>
        <w:rPr>
          <w:b/>
          <w:color w:val="003CA0"/>
          <w:sz w:val="16"/>
        </w:rPr>
        <w:t>[MS 33.558 AgR, rel. min. Celso de Mello, j. 25-11-2015, P, DJE de 21-3-2016.]</w:t>
      </w:r>
    </w:p>
    <w:p>
      <w:pPr>
        <w:ind w:left="144"/>
      </w:pPr>
      <w:r>
        <w:rPr>
          <w:b/>
          <w:color w:val="B45A00"/>
          <w:sz w:val="16"/>
        </w:rPr>
        <w:t>CONTROLE CONCENTRADO</w:t>
      </w:r>
    </w:p>
    <w:p>
      <w:pPr>
        <w:ind w:left="288"/>
      </w:pPr>
      <w:r>
        <w:rPr>
          <w:color w:val="8C8C8C"/>
          <w:sz w:val="12"/>
        </w:rPr>
        <w:t>cf-art-51-inc-I</w:t>
      </w:r>
      <w:r>
        <w:rPr>
          <w:color w:val="003CA0"/>
          <w:sz w:val="12"/>
        </w:rPr>
        <w:t xml:space="preserve"> | ADI 5.540</w:t>
      </w:r>
      <w:r>
        <w:rPr>
          <w:color w:val="003CA0"/>
          <w:sz w:val="12"/>
        </w:rPr>
        <w:t xml:space="preserve"> | rel. Edson Fachin</w:t>
      </w:r>
    </w:p>
    <w:p>
      <w:pPr>
        <w:ind w:left="288"/>
      </w:pPr>
      <w:r>
        <w:rPr>
          <w:color w:val="1E1E1E"/>
          <w:sz w:val="18"/>
        </w:rPr>
        <w:t>Não há necessidade de prévia autorização da Assembleia Legislativa para o recebimento de denúncia ou queixa e instauração de ação penal contra Governador de Estado, por crime comum, cabendo ao STJ, no ato de recebimento ou no curso do processo, dispor, fundamentadamente, sobre a aplicação de medidas cautelares penais, inclusive afastamento do cargo.</w:t>
      </w:r>
    </w:p>
    <w:p>
      <w:pPr>
        <w:ind w:left="288"/>
      </w:pPr>
      <w:r>
        <w:rPr>
          <w:b/>
          <w:color w:val="003CA0"/>
          <w:sz w:val="16"/>
        </w:rPr>
        <w:t>[ADI 5.540, rel. min. Edson Fachin, j. 3-5-2017, P, DJE de 28-3-2019.]</w:t>
      </w:r>
    </w:p>
    <w:p>
      <w:pPr>
        <w:ind w:left="288"/>
      </w:pPr>
      <w:r>
        <w:rPr>
          <w:color w:val="8C8C8C"/>
          <w:sz w:val="12"/>
        </w:rPr>
        <w:t>cf-art-51-inc-I</w:t>
      </w:r>
      <w:r>
        <w:rPr>
          <w:color w:val="003CA0"/>
          <w:sz w:val="12"/>
        </w:rPr>
        <w:t xml:space="preserve"> | ADI 4.362</w:t>
      </w:r>
      <w:r>
        <w:rPr>
          <w:color w:val="003CA0"/>
          <w:sz w:val="12"/>
        </w:rPr>
        <w:t xml:space="preserve"> | rel. Carlos Velloso). [ADPF 378 MC</w:t>
      </w:r>
    </w:p>
    <w:p>
      <w:pPr>
        <w:ind w:left="288"/>
      </w:pPr>
      <w:r>
        <w:rPr>
          <w:color w:val="1E1E1E"/>
          <w:sz w:val="18"/>
        </w:rPr>
        <w:t>= ADI 4.362, red. do ac. min. Roberto Barroso, j. 9-8-2017, P, DJE de 6-2-2018 Apresentada denúncia contra o presidente da República por crime de responsabilidade, compete à Câmara dos Deputados autorizar a instauração de processo (art. 51, I, da CF/1988). A Câmara exerce, assim, um juízo eminentemente político sobre os fatos narrados, que constitui condição para o prosseguimento da denúncia. (...) Há três ordens de argumentos que justificam esse entendimento. Em primeiro lugar, esta é a única interpretação possível à luz da Constituição de 1988, por qualquer enfoque que se dê: literal, histór</w:t>
      </w:r>
    </w:p>
    <w:p>
      <w:pPr>
        <w:ind w:left="288"/>
      </w:pPr>
      <w:r>
        <w:rPr>
          <w:b/>
          <w:color w:val="003CA0"/>
          <w:sz w:val="16"/>
        </w:rPr>
        <w:t>[ADPF 378 MC, red. do ac. min. Roberto Barroso, j. 17-12-2015, P, DJE de 8-3-2016.]</w:t>
      </w:r>
    </w:p>
    <w:p>
      <w:pPr>
        <w:ind w:left="288"/>
      </w:pPr>
      <w:r>
        <w:rPr>
          <w:color w:val="8C8C8C"/>
          <w:sz w:val="12"/>
        </w:rPr>
        <w:t>cf-art-51-inc-I</w:t>
      </w:r>
      <w:r>
        <w:rPr>
          <w:color w:val="003CA0"/>
          <w:sz w:val="12"/>
        </w:rPr>
        <w:t xml:space="preserve"> | MS 34.130</w:t>
      </w:r>
      <w:r>
        <w:rPr>
          <w:color w:val="003CA0"/>
          <w:sz w:val="12"/>
        </w:rPr>
        <w:t xml:space="preserve"> | rel. Edson Fachin</w:t>
      </w:r>
    </w:p>
    <w:p>
      <w:pPr>
        <w:ind w:left="288"/>
      </w:pPr>
      <w:r>
        <w:rPr>
          <w:color w:val="1E1E1E"/>
          <w:sz w:val="18"/>
        </w:rPr>
        <w:t>= MS 34.130 MC, rel. min. Edson Fachin, j. 15-4-2016, P, DJE de 1º-9-2016</w:t>
      </w:r>
    </w:p>
    <w:p>
      <w:pPr>
        <w:ind w:left="144"/>
      </w:pPr>
      <w:r>
        <w:rPr>
          <w:b/>
          <w:color w:val="B45A00"/>
          <w:sz w:val="16"/>
        </w:rPr>
        <w:t>JULGADOS CORRELATOS</w:t>
      </w:r>
    </w:p>
    <w:p>
      <w:pPr>
        <w:ind w:left="288"/>
      </w:pPr>
      <w:r>
        <w:rPr>
          <w:color w:val="8C8C8C"/>
          <w:sz w:val="12"/>
        </w:rPr>
        <w:t>cf-art-51-inc-I</w:t>
      </w:r>
      <w:r>
        <w:rPr>
          <w:color w:val="003CA0"/>
          <w:sz w:val="12"/>
        </w:rPr>
        <w:t xml:space="preserve"> | INQ 4.483</w:t>
      </w:r>
      <w:r>
        <w:rPr>
          <w:color w:val="003CA0"/>
          <w:sz w:val="12"/>
        </w:rPr>
        <w:t xml:space="preserve"> | rel. Edson Fachin</w:t>
      </w:r>
    </w:p>
    <w:p>
      <w:pPr>
        <w:ind w:left="288"/>
      </w:pPr>
      <w:r>
        <w:rPr>
          <w:color w:val="1E1E1E"/>
          <w:sz w:val="18"/>
        </w:rPr>
        <w:t>A imunidade formal prevista nos arts. 86, caput e 51, I, da Constituição Federal tem por finalidade tutelar o regular exercício dos cargos de Presidente da República e de Ministro de Estado, razão pela qual não é extensível a codenunciados que não se encontram investidos em tais funções. Incidência da Súmula 245 do Supremo Tribunal Federal.</w:t>
        <w:br/>
        <w:t>[Inq 4.483 AgR e Inq 4.327 AgR-segundo, rel. min. Edson Fachin, j. 19-12-2017, P, DJE de 9-8-2018] A regra da prévia licença da Casa Legislativa como condição da procedibilidade para deliberar-se sobre o recebimento da denúncia não se irradia a ponto de apa</w:t>
      </w:r>
    </w:p>
    <w:p>
      <w:pPr>
        <w:ind w:left="288"/>
      </w:pPr>
      <w:r>
        <w:rPr>
          <w:color w:val="8C8C8C"/>
          <w:sz w:val="12"/>
        </w:rPr>
        <w:t>cf-art-51-inc-III</w:t>
      </w:r>
    </w:p>
    <w:p>
      <w:pPr>
        <w:ind w:left="288"/>
      </w:pPr>
      <w:r>
        <w:rPr>
          <w:color w:val="1E1E1E"/>
          <w:sz w:val="18"/>
        </w:rPr>
        <w:t>IV - dispor sobre sua organização, funcionamento, polícia, criação, transformação ou extinção dos cargos, empregos e funções de seus serviços, e a iniciativa de lei para fixação da respectiva remuneração, observados os parâmetros estabelecidos na lei de diretrizes orçamentárias; (Redação da EC 19/1998)</w:t>
      </w:r>
    </w:p>
    <w:p>
      <w:pPr>
        <w:ind w:left="144"/>
      </w:pPr>
      <w:r>
        <w:rPr>
          <w:b/>
          <w:color w:val="B45A00"/>
          <w:sz w:val="16"/>
        </w:rPr>
        <w:t>CONTROLE CONCENTRADO</w:t>
      </w:r>
    </w:p>
    <w:p>
      <w:pPr>
        <w:ind w:left="288"/>
      </w:pPr>
      <w:r>
        <w:rPr>
          <w:color w:val="8C8C8C"/>
          <w:sz w:val="12"/>
        </w:rPr>
        <w:t>cf-art-51-inc-III</w:t>
      </w:r>
      <w:r>
        <w:rPr>
          <w:color w:val="003CA0"/>
          <w:sz w:val="12"/>
        </w:rPr>
        <w:t xml:space="preserve"> | ADI 3.599</w:t>
      </w:r>
      <w:r>
        <w:rPr>
          <w:color w:val="003CA0"/>
          <w:sz w:val="12"/>
        </w:rPr>
        <w:t xml:space="preserve"> | rel. Gilmar Mendes</w:t>
      </w:r>
    </w:p>
    <w:p>
      <w:pPr>
        <w:ind w:left="288"/>
      </w:pPr>
      <w:r>
        <w:rPr>
          <w:color w:val="1E1E1E"/>
          <w:sz w:val="18"/>
        </w:rPr>
        <w:t>As normas que são objeto da presente ação direta alteram remuneração dos servidores das duas Casas Legislativas, majorando-a em 15%. Não há dúvida, portanto, de que não se trata de norma que pretendeu revisão geral anual de remuneração dos servidores públicos, mas de norma específica, das respectivas Casas Legislativas, concedendo majoração de remuneração a seus servidores. A CF, em seu art. 37, X, na redação que lhe foi dada pela EC 19/1998, estabeleceu expressamente que a remuneração dos servidores públicos somente poderá ser fixada ou alterada por lei específica, observada a iniciativa priv</w:t>
      </w:r>
    </w:p>
    <w:p>
      <w:pPr>
        <w:ind w:left="288"/>
      </w:pPr>
      <w:r>
        <w:rPr>
          <w:b/>
          <w:color w:val="003CA0"/>
          <w:sz w:val="16"/>
        </w:rPr>
        <w:t>[ADI 3.599, voto do rel. min. Gilmar Mendes, j. 21-5-2007, P, DJ de 14-9-2007.]</w:t>
      </w:r>
    </w:p>
    <w:p>
      <w:pPr>
        <w:ind w:left="288"/>
      </w:pPr>
      <w:r>
        <w:rPr>
          <w:color w:val="8C8C8C"/>
          <w:sz w:val="12"/>
        </w:rPr>
        <w:t>cf-art-51-inc-III</w:t>
      </w:r>
      <w:r>
        <w:rPr>
          <w:color w:val="003CA0"/>
          <w:sz w:val="12"/>
        </w:rPr>
        <w:t xml:space="preserve"> | ADI 3.369</w:t>
      </w:r>
      <w:r>
        <w:rPr>
          <w:color w:val="003CA0"/>
          <w:sz w:val="12"/>
        </w:rPr>
        <w:t xml:space="preserve"> | rel. Carlos Velloso</w:t>
      </w:r>
    </w:p>
    <w:p>
      <w:pPr>
        <w:ind w:left="288"/>
      </w:pPr>
      <w:r>
        <w:rPr>
          <w:color w:val="1E1E1E"/>
          <w:sz w:val="18"/>
        </w:rPr>
        <w:t>Em tema de remuneração dos servidores públicos, estabelece a Constituição o princípio da reserva de lei. É dizer, em tema de remuneração dos servidores públicos, nada será feito senão mediante lei, lei específica. CF, art. 37, X; art. 51, IV; art. 52, XIII.</w:t>
      </w:r>
    </w:p>
    <w:p>
      <w:pPr>
        <w:ind w:left="288"/>
      </w:pPr>
      <w:r>
        <w:rPr>
          <w:b/>
          <w:color w:val="003CA0"/>
          <w:sz w:val="16"/>
        </w:rPr>
        <w:t>[ADI 3.369 MC, rel. min. Carlos Velloso, j. 16-12-2004, P, DJ de 18-2-2005.]</w:t>
      </w:r>
    </w:p>
    <w:p>
      <w:pPr>
        <w:ind w:left="288"/>
      </w:pPr>
      <w:r>
        <w:rPr>
          <w:color w:val="8C8C8C"/>
          <w:sz w:val="12"/>
        </w:rPr>
        <w:t>cf-art-51-inc-III</w:t>
      </w:r>
      <w:r>
        <w:rPr>
          <w:color w:val="003CA0"/>
          <w:sz w:val="12"/>
        </w:rPr>
        <w:t xml:space="preserve"> | ADI 3.306</w:t>
      </w:r>
      <w:r>
        <w:rPr>
          <w:color w:val="003CA0"/>
          <w:sz w:val="12"/>
        </w:rPr>
        <w:t xml:space="preserve"> | rel. Gilmar Mendes</w:t>
      </w:r>
    </w:p>
    <w:p>
      <w:pPr>
        <w:ind w:left="288"/>
      </w:pPr>
      <w:r>
        <w:rPr>
          <w:color w:val="1E1E1E"/>
          <w:sz w:val="18"/>
        </w:rPr>
        <w:t>= ADI 3.306, rel. min. Gilmar Mendes, j. 17-3-2011, P, DJE de 7-6-2011 Por expressa previsão constitucional, apenas as Casas do Congresso gozavam da prerrogativa de aumentar os vencimentos de seus servidores por ato interno de suas Mesas Diretoras (arts. 51, IV, e 52, XIII, na redação original), o que não ocorre com o TCU, que, a teor do art. 73, exerce, no que couber, as atribuições previstas no art. 96, relativas aos tribunais. A nova redação dada aos arts. 51, IV, e 52, XIII, pelos arts. 9º e 10 da EC 19/1998 não alterou essa situação, porque as resoluções do Senado e da Câmara foram recepc</w:t>
      </w:r>
    </w:p>
    <w:p>
      <w:pPr>
        <w:ind w:left="288"/>
      </w:pPr>
      <w:r>
        <w:rPr>
          <w:b/>
          <w:color w:val="003CA0"/>
          <w:sz w:val="16"/>
        </w:rPr>
        <w:t>[ADI 1.782, rel. min. Maurício Corrêa, j. 9-9-1999, P, DJ de 15-10-1999.]</w:t>
      </w:r>
    </w:p>
    <w:p>
      <w:pPr>
        <w:ind w:left="288"/>
      </w:pPr>
      <w:r>
        <w:rPr>
          <w:color w:val="8C8C8C"/>
          <w:sz w:val="12"/>
        </w:rPr>
        <w:t>cf-art-51-inc-V</w:t>
      </w:r>
    </w:p>
    <w:p>
      <w:pPr>
        <w:ind w:left="288"/>
      </w:pPr>
      <w:r>
        <w:rPr>
          <w:color w:val="1E1E1E"/>
          <w:sz w:val="18"/>
        </w:rPr>
        <w:t>Seção IV Do Senado Federal SUMÁRIO</w:t>
      </w:r>
    </w:p>
    <w:p>
      <w:pPr>
        <w:ind w:left="432"/>
      </w:pPr>
      <w:r>
        <w:rPr>
          <w:color w:val="003366"/>
          <w:sz w:val="18"/>
        </w:rPr>
        <w:t>§ 1 No tocante às vendas, a revisão será feita com base exclusivamente no critér</w:t>
      </w:r>
    </w:p>
    <w:p>
      <w:pPr>
        <w:ind w:left="432"/>
      </w:pPr>
      <w:r>
        <w:rPr>
          <w:color w:val="003366"/>
          <w:sz w:val="18"/>
        </w:rPr>
        <w:t>§ 2 No caso de concessões e doações, a revisão obedecerá aos critérios de legali</w:t>
      </w:r>
    </w:p>
    <w:p>
      <w:pPr>
        <w:ind w:left="432"/>
      </w:pPr>
      <w:r>
        <w:rPr>
          <w:color w:val="003366"/>
          <w:sz w:val="18"/>
        </w:rPr>
        <w:t>§ 3 Nas hipóteses previstas nos parágrafos anteriores, comprovada a ilegalidade,</w:t>
      </w:r>
    </w:p>
    <w:p>
      <w:r>
        <w:rPr>
          <w:b/>
          <w:color w:val="003366"/>
          <w:sz w:val="20"/>
        </w:rPr>
        <w:t>Art. 52 Até que sejam fixadas as condições do art. 192, são vedados: (Redação da</w:t>
      </w:r>
      <w:r>
        <w:rPr>
          <w:color w:val="8C8C8C"/>
          <w:sz w:val="14"/>
        </w:rPr>
        <w:t xml:space="preserve">  [26 decisoes]</w:t>
      </w:r>
    </w:p>
    <w:p>
      <w:pPr>
        <w:ind w:left="288"/>
      </w:pPr>
      <w:r>
        <w:rPr>
          <w:color w:val="8C8C8C"/>
          <w:sz w:val="12"/>
        </w:rPr>
        <w:t>cf-art-52</w:t>
      </w:r>
    </w:p>
    <w:p>
      <w:pPr>
        <w:ind w:left="288"/>
      </w:pPr>
      <w:r>
        <w:rPr>
          <w:color w:val="1E1E1E"/>
          <w:sz w:val="18"/>
        </w:rPr>
        <w:t>I - processar e julgar o Presidente e o Vice-Presidente da República nos crimes de responsabilidade, bem como os Ministros de Estado e os Comandantes da Marinha, do Exército e da Aeronáutica nos crimes da mesma natureza conexos com aqueles; (Redação da EC 23/1999)</w:t>
      </w:r>
    </w:p>
    <w:p>
      <w:pPr>
        <w:ind w:left="144"/>
      </w:pPr>
      <w:r>
        <w:rPr>
          <w:b/>
          <w:color w:val="B45A00"/>
          <w:sz w:val="16"/>
        </w:rPr>
        <w:t>CONTROLE CONCENTRADO</w:t>
      </w:r>
    </w:p>
    <w:p>
      <w:pPr>
        <w:ind w:left="288"/>
      </w:pPr>
      <w:r>
        <w:rPr>
          <w:color w:val="8C8C8C"/>
          <w:sz w:val="12"/>
        </w:rPr>
        <w:t>cf-art-52</w:t>
      </w:r>
      <w:r>
        <w:rPr>
          <w:color w:val="003CA0"/>
          <w:sz w:val="12"/>
        </w:rPr>
        <w:t xml:space="preserve"> | ADPF 378</w:t>
      </w:r>
    </w:p>
    <w:p>
      <w:pPr>
        <w:ind w:left="288"/>
      </w:pPr>
      <w:r>
        <w:rPr>
          <w:color w:val="1E1E1E"/>
          <w:sz w:val="18"/>
        </w:rPr>
        <w:t>Ao Senado compete, privativamente, processar e julgar o presidente (art. 52, I), locução que abrange a realização de um juízo inicial de instauração ou não do processo, isto é, de recebimento ou não da denúncia autorizada pela Câmara. (...) Por outro lado, há de se estender o rito relativamente abreviado da Lei 1.079/1950 para julgamento do impeachment pelo Senado, incorporando-se a ele uma etapa inicial de instauração ou não do processo, bem como uma etapa de pronúncia ou não do denunciado, tal como se fez em 1992. Estas são etapas essenciais ao exercício, pleno e pautado pelo devido processo</w:t>
      </w:r>
    </w:p>
    <w:p>
      <w:pPr>
        <w:ind w:left="288"/>
      </w:pPr>
      <w:r>
        <w:rPr>
          <w:b/>
          <w:color w:val="003CA0"/>
          <w:sz w:val="16"/>
        </w:rPr>
        <w:t>[ADPF 378 MC, red. do ac. min. Roberto Barroso, j. 16-12-2015, P, DJE de 8-3-2016.]</w:t>
      </w:r>
    </w:p>
    <w:p>
      <w:pPr>
        <w:ind w:left="144"/>
      </w:pPr>
      <w:r>
        <w:rPr>
          <w:b/>
          <w:color w:val="B45A00"/>
          <w:sz w:val="16"/>
        </w:rPr>
        <w:t>JULGADOS CORRELATOS</w:t>
      </w:r>
    </w:p>
    <w:p>
      <w:pPr>
        <w:ind w:left="288"/>
      </w:pPr>
      <w:r>
        <w:rPr>
          <w:color w:val="8C8C8C"/>
          <w:sz w:val="12"/>
        </w:rPr>
        <w:t>cf-art-52</w:t>
      </w:r>
      <w:r>
        <w:rPr>
          <w:color w:val="003CA0"/>
          <w:sz w:val="12"/>
        </w:rPr>
        <w:t xml:space="preserve"> | PET 3.240</w:t>
      </w:r>
    </w:p>
    <w:p>
      <w:pPr>
        <w:ind w:left="288"/>
      </w:pPr>
      <w:r>
        <w:rPr>
          <w:color w:val="1E1E1E"/>
          <w:sz w:val="18"/>
        </w:rPr>
        <w:t>Os agentes políticos, com exceção do Presidente da República, encontram-se sujeitos a um duplo regime sancionatório, de modo que se submetem tanto à responsabilização civil pelos atos de improbidade administrativa, quanto à responsabilização político-administrativa por crimes de responsabilidade. Não há qualquer impedimento à concorrência de esferas de responsabilização distintas, de modo que carece de fundamento constitucional a tentativa de imunizar os agentes políticos das sanções da ação de improbidade administrativa, a pretexto de que estas seriam absorvidas pelo crime de responsabilidade</w:t>
      </w:r>
    </w:p>
    <w:p>
      <w:pPr>
        <w:ind w:left="288"/>
      </w:pPr>
      <w:r>
        <w:rPr>
          <w:b/>
          <w:color w:val="003CA0"/>
          <w:sz w:val="16"/>
        </w:rPr>
        <w:t>[Pet 3.240 AgR, red. do ac. min. Roberto Barroso, j. 10-5-2018, P, DJE de 22-8-2018.]</w:t>
      </w:r>
    </w:p>
    <w:p>
      <w:pPr>
        <w:ind w:left="288"/>
      </w:pPr>
      <w:r>
        <w:rPr>
          <w:color w:val="8C8C8C"/>
          <w:sz w:val="12"/>
        </w:rPr>
        <w:t>cf-art-52</w:t>
      </w:r>
      <w:r>
        <w:rPr>
          <w:color w:val="003CA0"/>
          <w:sz w:val="12"/>
        </w:rPr>
        <w:t xml:space="preserve"> | PET 1.656</w:t>
      </w:r>
      <w:r>
        <w:rPr>
          <w:color w:val="003CA0"/>
          <w:sz w:val="12"/>
        </w:rPr>
        <w:t xml:space="preserve"> | rel. Maurício Corrêa</w:t>
      </w:r>
    </w:p>
    <w:p>
      <w:pPr>
        <w:ind w:left="288"/>
      </w:pPr>
      <w:r>
        <w:rPr>
          <w:color w:val="1E1E1E"/>
          <w:sz w:val="18"/>
        </w:rPr>
        <w:t>O processo de impeachment dos ministros de Estado, por crimes de responsabilidade autônomos, não conexos com infrações da mesma natureza do presidente da República, ostenta caráter jurisdicional, devendo ser instruído e julgado pelo STF. Inaplicabilidade do disposto nos arts. 51, I, e 52, I, da Carta de 1988 e 14 da Lei 1.079/1950, dado que é prescindível autorização política da Câmara dos Deputados para a sua instauração.</w:t>
      </w:r>
    </w:p>
    <w:p>
      <w:pPr>
        <w:ind w:left="288"/>
      </w:pPr>
      <w:r>
        <w:rPr>
          <w:b/>
          <w:color w:val="003CA0"/>
          <w:sz w:val="16"/>
        </w:rPr>
        <w:t>[Pet 1.656, rel. min. Maurício Corrêa, j. 11-9-2002, P, DJ de 1º-8-2003.]</w:t>
      </w:r>
    </w:p>
    <w:p>
      <w:pPr>
        <w:ind w:left="288"/>
      </w:pPr>
      <w:r>
        <w:rPr>
          <w:color w:val="8C8C8C"/>
          <w:sz w:val="12"/>
        </w:rPr>
        <w:t>cf-art-52</w:t>
      </w:r>
      <w:r>
        <w:rPr>
          <w:color w:val="003CA0"/>
          <w:sz w:val="12"/>
        </w:rPr>
        <w:t xml:space="preserve"> | MS 21.623</w:t>
      </w:r>
      <w:r>
        <w:rPr>
          <w:color w:val="003CA0"/>
          <w:sz w:val="12"/>
        </w:rPr>
        <w:t xml:space="preserve"> | rel. Carlos Velloso</w:t>
      </w:r>
    </w:p>
    <w:p>
      <w:pPr>
        <w:ind w:left="288"/>
      </w:pPr>
      <w:r>
        <w:rPr>
          <w:color w:val="1E1E1E"/>
          <w:sz w:val="18"/>
        </w:rPr>
        <w:t xml:space="preserve">Impedimento e suspeição de senadores: inocorrência. O Senado, posto investido da função de julgar o presidente da República, não se transforma, às inteiras, num tribunal judiciário submetido às rígidas regras a que estão sujeitos os órgãos do Poder Judiciário, já que o Senado é um órgão político. Quando a Câmara Legislativa – o Senado Federal – se investe de "função judicialiforme", a fim de processar e julgar a acusação, ela se submete, é certo, a regras jurídicas, regras, entretanto, próprias, que o legislador previamente fixou e que compõem o processo político-penal. Regras de impedimento: </w:t>
      </w:r>
    </w:p>
    <w:p>
      <w:pPr>
        <w:ind w:left="288"/>
      </w:pPr>
      <w:r>
        <w:rPr>
          <w:b/>
          <w:color w:val="003CA0"/>
          <w:sz w:val="16"/>
        </w:rPr>
        <w:t>[MS 21.623, rel. min. Carlos Velloso, j. 17-12-1992, P, DJ de 28-5-1993.]</w:t>
      </w:r>
    </w:p>
    <w:p>
      <w:pPr>
        <w:ind w:left="288"/>
      </w:pPr>
      <w:r>
        <w:rPr>
          <w:color w:val="8C8C8C"/>
          <w:sz w:val="12"/>
        </w:rPr>
        <w:t>cf-art-52</w:t>
      </w:r>
    </w:p>
    <w:p>
      <w:pPr>
        <w:ind w:left="288"/>
      </w:pPr>
      <w:r>
        <w:rPr>
          <w:color w:val="1E1E1E"/>
          <w:sz w:val="18"/>
        </w:rPr>
        <w:t>II - processar e julgar os Ministros do Supremo Tribunal Federal, os membros do Conselho Nacional de Justiça e do Conselho Nacional do Ministério Público, o Procurador-Geral da República e o Advogado-Geral da União nos crimes de responsabilidade; (Redação da EC 45/2004)</w:t>
      </w:r>
    </w:p>
    <w:p>
      <w:pPr>
        <w:ind w:left="288"/>
      </w:pPr>
      <w:r>
        <w:rPr>
          <w:color w:val="8C8C8C"/>
          <w:sz w:val="12"/>
        </w:rPr>
        <w:t>cf-art-52</w:t>
      </w:r>
      <w:r>
        <w:rPr>
          <w:color w:val="003CA0"/>
          <w:sz w:val="12"/>
        </w:rPr>
        <w:t xml:space="preserve"> | MS 34.592</w:t>
      </w:r>
      <w:r>
        <w:rPr>
          <w:color w:val="003CA0"/>
          <w:sz w:val="12"/>
        </w:rPr>
        <w:t xml:space="preserve"> | rel. Edson Fachin</w:t>
      </w:r>
    </w:p>
    <w:p>
      <w:pPr>
        <w:ind w:left="288"/>
      </w:pPr>
      <w:r>
        <w:rPr>
          <w:color w:val="1E1E1E"/>
          <w:sz w:val="18"/>
        </w:rPr>
        <w:t>Processo de impeachment. Ministro do STF. (...) Inexiste previsão legal de que os arquivamentos de denúncias por ausência de justa causa em processo de impeachment devam ser exercidos pela Mesa do Senado Federal, sendo inviável aplicar a regra de competência prevista para o recebimento de denúncia por crime de responsabilidade praticado por presidente da República, em que já houve um juízo prévio de admissibilidade na Câmara dos Deputados.</w:t>
        <w:br/>
        <w:t>[MS 34.592 AgR, rel. min. Edson Fachin, j. 6-10-2017, P, DJE de 23-10-2017.] Impeachment. Ministro do STF. (...) Na linha da jurisprudência firmada pelo Ple</w:t>
      </w:r>
    </w:p>
    <w:p>
      <w:pPr>
        <w:ind w:left="144"/>
      </w:pPr>
      <w:r>
        <w:rPr>
          <w:b/>
          <w:color w:val="B45A00"/>
          <w:sz w:val="16"/>
        </w:rPr>
        <w:t>CONTROLE CONCENTRADO</w:t>
      </w:r>
    </w:p>
    <w:p>
      <w:pPr>
        <w:ind w:left="288"/>
      </w:pPr>
      <w:r>
        <w:rPr>
          <w:color w:val="8C8C8C"/>
          <w:sz w:val="12"/>
        </w:rPr>
        <w:t>cf-art-52-inc-III-ali-a</w:t>
      </w:r>
      <w:r>
        <w:rPr>
          <w:color w:val="003CA0"/>
          <w:sz w:val="12"/>
        </w:rPr>
        <w:t xml:space="preserve"> | ADI 4.150</w:t>
      </w:r>
      <w:r>
        <w:rPr>
          <w:color w:val="003CA0"/>
          <w:sz w:val="12"/>
        </w:rPr>
        <w:t xml:space="preserve"> | rel. Marco Aurélio</w:t>
      </w:r>
    </w:p>
    <w:p>
      <w:pPr>
        <w:ind w:left="288"/>
      </w:pPr>
      <w:r>
        <w:rPr>
          <w:color w:val="1E1E1E"/>
          <w:sz w:val="18"/>
        </w:rPr>
        <w:t>Conflita com a CF norma da Carta do Estado que junge à aprovação da assembleia legislativa a escolha de candidato à vaga do quinto em tribunal.</w:t>
      </w:r>
    </w:p>
    <w:p>
      <w:pPr>
        <w:ind w:left="288"/>
      </w:pPr>
      <w:r>
        <w:rPr>
          <w:b/>
          <w:color w:val="003CA0"/>
          <w:sz w:val="16"/>
        </w:rPr>
        <w:t>[ADI 4.150, rel. min. Marco Aurélio, j. 25-2-2015, P, DJE de 19-3-2015.]</w:t>
      </w:r>
    </w:p>
    <w:p>
      <w:pPr>
        <w:ind w:left="144"/>
      </w:pPr>
      <w:r>
        <w:rPr>
          <w:b/>
          <w:color w:val="B45A00"/>
          <w:sz w:val="16"/>
        </w:rPr>
        <w:t>JULGADOS CORRELATOS</w:t>
      </w:r>
    </w:p>
    <w:p>
      <w:pPr>
        <w:ind w:left="288"/>
      </w:pPr>
      <w:r>
        <w:rPr>
          <w:color w:val="8C8C8C"/>
          <w:sz w:val="12"/>
        </w:rPr>
        <w:t>cf-art-52-inc-III-ali-b</w:t>
      </w:r>
      <w:r>
        <w:rPr>
          <w:color w:val="003CA0"/>
          <w:sz w:val="12"/>
        </w:rPr>
        <w:t xml:space="preserve"> | RCL 6.702</w:t>
      </w:r>
      <w:r>
        <w:rPr>
          <w:color w:val="003CA0"/>
          <w:sz w:val="12"/>
        </w:rPr>
        <w:t xml:space="preserve"> | rel. Ricardo Lewandowski</w:t>
      </w:r>
    </w:p>
    <w:p>
      <w:pPr>
        <w:ind w:left="288"/>
      </w:pPr>
      <w:r>
        <w:rPr>
          <w:color w:val="1E1E1E"/>
          <w:sz w:val="18"/>
        </w:rPr>
        <w:t>O cargo de conselheiro do Tribunal de Contas do Estado do Paraná reveste-se, à primeira vista, de natureza administrativa, uma vez que exerce a função de auxiliar do Legislativo no controle da administração pública. Aparente ocorrência de vícios que maculam o processo de escolha por parte da Assembleia Legislativa paranaense. À luz do princípio da simetria, o processo de escolha de membros do Tribunal de Contas pela Assembleia Legislativa, por votação aberta, ofende, a princípio, o art. 52, III, b, da Constituição.</w:t>
      </w:r>
    </w:p>
    <w:p>
      <w:pPr>
        <w:ind w:left="288"/>
      </w:pPr>
      <w:r>
        <w:rPr>
          <w:b/>
          <w:color w:val="003CA0"/>
          <w:sz w:val="16"/>
        </w:rPr>
        <w:t>[Rcl 6.702 MC-AgR, rel. min. Ricardo Lewandowski, j. 4-3-2009, P, DJE de 30-4-2009.]</w:t>
      </w:r>
    </w:p>
    <w:p>
      <w:pPr>
        <w:ind w:left="144"/>
      </w:pPr>
      <w:r>
        <w:rPr>
          <w:b/>
          <w:color w:val="B45A00"/>
          <w:sz w:val="16"/>
        </w:rPr>
        <w:t>CONTROLE CONCENTRADO</w:t>
      </w:r>
    </w:p>
    <w:p>
      <w:pPr>
        <w:ind w:left="288"/>
      </w:pPr>
      <w:r>
        <w:rPr>
          <w:color w:val="8C8C8C"/>
          <w:sz w:val="12"/>
        </w:rPr>
        <w:t>cf-art-52-inc-III-ali-f</w:t>
      </w:r>
      <w:r>
        <w:rPr>
          <w:color w:val="003CA0"/>
          <w:sz w:val="12"/>
        </w:rPr>
        <w:t xml:space="preserve"> | ADI 2.225</w:t>
      </w:r>
      <w:r>
        <w:rPr>
          <w:color w:val="003CA0"/>
          <w:sz w:val="12"/>
        </w:rPr>
        <w:t xml:space="preserve"> | rel. Dias Toffoli</w:t>
      </w:r>
    </w:p>
    <w:p>
      <w:pPr>
        <w:ind w:left="288"/>
      </w:pPr>
      <w:r>
        <w:rPr>
          <w:color w:val="1E1E1E"/>
          <w:sz w:val="18"/>
        </w:rPr>
        <w:t>A Corte já pacificou o entendimento de que não padece de nenhum vício constitucional a previsão de participação do Poder Legislativo na nomeação de dirigentes de autarquias ou fundações públicas. Trata-se de aplicação aos Estados-membros do parâmetro de simetria constante do art. 52, III, f, da CF, que submete ao crivo do Senado Federal a aprovação prévia dos indicados para ocupar determinados cargos definidos por lei. Nesses termos, são válidas as normas locais que subordinam a nomeação dos dirigentes de autarquias ou fundações públicas à prévia aprovação de assembleia legislativa, não havend</w:t>
      </w:r>
    </w:p>
    <w:p>
      <w:pPr>
        <w:ind w:left="288"/>
      </w:pPr>
      <w:r>
        <w:rPr>
          <w:b/>
          <w:color w:val="003CA0"/>
          <w:sz w:val="16"/>
        </w:rPr>
        <w:t>[ADI 2.225, rel. min. Dias Toffoli, j. 21-8-2014, P, DJE de 30-10-2014.]</w:t>
      </w:r>
    </w:p>
    <w:p>
      <w:pPr>
        <w:ind w:left="288"/>
      </w:pPr>
      <w:r>
        <w:rPr>
          <w:color w:val="8C8C8C"/>
          <w:sz w:val="12"/>
        </w:rPr>
        <w:t>cf-art-52-inc-VI</w:t>
      </w:r>
    </w:p>
    <w:p>
      <w:pPr>
        <w:ind w:left="288"/>
      </w:pPr>
      <w:r>
        <w:rPr>
          <w:color w:val="1E1E1E"/>
          <w:sz w:val="18"/>
        </w:rPr>
        <w:t>VII - dispor sobre limites globais e condições para as operações de crédito externo e interno da União, dos Estados, do Distrito Federal e dos Municípios, de suas autarquias e demais entidades controladas pelo Poder Público federal;</w:t>
      </w:r>
    </w:p>
    <w:p>
      <w:pPr>
        <w:ind w:left="288"/>
      </w:pPr>
      <w:r>
        <w:rPr>
          <w:color w:val="8C8C8C"/>
          <w:sz w:val="12"/>
        </w:rPr>
        <w:t>cf-art-52-inc-VI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 possibilidade de fixação por Estados e Municípios de limites de endividamento abaixo daqueles nacionalmente exigíveis não compromete competências do Senado Federal, materializando, ao contrário, prerrogativa que decorre naturalmente da autonomia política e financeira de cada Ente federado.</w:t>
        <w:br/>
        <w:t>[ADI 2.238, rel. min. Alexandre de Moraes, j. 24-6-2020, P, DJE de 15-9-2020.] Não caracterização como operação de crédito, para fins de submissão ao disposto no art. 52, inciso VII, da Constituição</w:t>
      </w:r>
    </w:p>
    <w:p>
      <w:pPr>
        <w:ind w:left="288"/>
      </w:pPr>
      <w:r>
        <w:rPr>
          <w:b/>
          <w:color w:val="003CA0"/>
          <w:sz w:val="16"/>
        </w:rPr>
        <w:t>[ADI 3.786, rel. min. Alexandre de Moraes, j. 3-10-2019, P, DJE de 18-12-2019.]</w:t>
      </w:r>
    </w:p>
    <w:p>
      <w:pPr>
        <w:ind w:left="288"/>
      </w:pPr>
      <w:r>
        <w:rPr>
          <w:color w:val="8C8C8C"/>
          <w:sz w:val="12"/>
        </w:rPr>
        <w:t>cf-art-52-inc-VI</w:t>
      </w:r>
      <w:r>
        <w:rPr>
          <w:color w:val="003CA0"/>
          <w:sz w:val="12"/>
        </w:rPr>
        <w:t xml:space="preserve"> | ADI 3.786</w:t>
      </w:r>
      <w:r>
        <w:rPr>
          <w:color w:val="003CA0"/>
          <w:sz w:val="12"/>
        </w:rPr>
        <w:t xml:space="preserve"> | rel. Alexandre de Moraes</w:t>
      </w:r>
    </w:p>
    <w:p>
      <w:pPr>
        <w:ind w:left="288"/>
      </w:pPr>
      <w:r>
        <w:rPr>
          <w:color w:val="1E1E1E"/>
          <w:sz w:val="18"/>
        </w:rPr>
        <w:t>Não caracterização como operação de crédito, para fins de submissão ao disposto no art. 52, inciso VII, da Constituição Federal, da autorização prevista pela Resolução do Senado Federal 33/2006, de cessão da Dívida Ativa de Estados, do Distrito Federal e de Municípios a instituições financeiras mediante emprego de endosso-mandato e antecipação de receita. A leitura constitucional do conceito de operações de crédito, incluída a por antecipação de receita, deve atentar para o de responsabilidade fiscal. Alteração na forma de cobrança da Dívida Ativa tributária e não tributária demanda tratamento</w:t>
      </w:r>
    </w:p>
    <w:p>
      <w:pPr>
        <w:ind w:left="288"/>
      </w:pPr>
      <w:r>
        <w:rPr>
          <w:color w:val="8C8C8C"/>
          <w:sz w:val="12"/>
        </w:rPr>
        <w:t>cf-art-52-inc-IX</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A possibilidade de fixação por Estados e Municípios de limites de endividamento abaixo daqueles nacionalmente exigíveis não compromete competências do Senado Federal, materializando, ao contrário, prerrogativa que decorre naturalmente da autonomia política e financeira de cada Ente federado.</w:t>
      </w:r>
    </w:p>
    <w:p>
      <w:pPr>
        <w:ind w:left="288"/>
      </w:pPr>
      <w:r>
        <w:rPr>
          <w:b/>
          <w:color w:val="003CA0"/>
          <w:sz w:val="16"/>
        </w:rPr>
        <w:t>[ADI 2.238, rel. min. Alexandre de Moraes, j. 24-6-2020, P, DJE de 15-9-2020.]</w:t>
      </w:r>
    </w:p>
    <w:p>
      <w:pPr>
        <w:ind w:left="288"/>
      </w:pPr>
      <w:r>
        <w:rPr>
          <w:color w:val="8C8C8C"/>
          <w:sz w:val="12"/>
        </w:rPr>
        <w:t>cf-art-52-inc-X</w:t>
      </w:r>
      <w:r>
        <w:rPr>
          <w:color w:val="003CA0"/>
          <w:sz w:val="12"/>
        </w:rPr>
        <w:t xml:space="preserve"> | ADI 3.929</w:t>
      </w:r>
      <w:r>
        <w:rPr>
          <w:color w:val="003CA0"/>
          <w:sz w:val="12"/>
        </w:rPr>
        <w:t xml:space="preserve"> | rel. Nunes Marques</w:t>
      </w:r>
    </w:p>
    <w:p>
      <w:pPr>
        <w:ind w:left="288"/>
      </w:pPr>
      <w:r>
        <w:rPr>
          <w:color w:val="1E1E1E"/>
          <w:sz w:val="18"/>
        </w:rPr>
        <w:t>A suspensão de eficácia de norma pelo Senado Federal, prevista no art. 52, X, da Constituição Federal, deve guardar correspondência com o que foi declarado inconstitucional pelo STF.</w:t>
      </w:r>
    </w:p>
    <w:p>
      <w:pPr>
        <w:ind w:left="288"/>
      </w:pPr>
      <w:r>
        <w:rPr>
          <w:b/>
          <w:color w:val="003CA0"/>
          <w:sz w:val="16"/>
        </w:rPr>
        <w:t>[ADI 3.929, rel. min. Nunes Marques, j. 08.09.2025, P, DJE de 03.10.2025.]</w:t>
      </w:r>
    </w:p>
    <w:p>
      <w:pPr>
        <w:ind w:left="288"/>
      </w:pPr>
      <w:r>
        <w:rPr>
          <w:color w:val="8C8C8C"/>
          <w:sz w:val="12"/>
        </w:rPr>
        <w:t>cf-art-52-inc-X</w:t>
      </w:r>
      <w:r>
        <w:rPr>
          <w:color w:val="003CA0"/>
          <w:sz w:val="12"/>
        </w:rPr>
        <w:t xml:space="preserve"> | ADI 3.406</w:t>
      </w:r>
      <w:r>
        <w:rPr>
          <w:color w:val="003CA0"/>
          <w:sz w:val="12"/>
        </w:rPr>
        <w:t xml:space="preserve"> | rel. Rosa Weber</w:t>
      </w:r>
    </w:p>
    <w:p>
      <w:pPr>
        <w:ind w:left="288"/>
      </w:pPr>
      <w:r>
        <w:rPr>
          <w:color w:val="1E1E1E"/>
          <w:sz w:val="18"/>
        </w:rPr>
        <w:t>Ao assegurar nível mínimo de proteção a ser necessariamente observado em todos os Estados da Federação, a Lei nº 9.055/1995, na condição de norma geral, não se impõe como obstáculo à maximização dessa proteção pelos Estados, ausente eficácia preemptiva da sua atuação legislativa, no exercício da competência concorrente. A Lei nº 3.579/2001 do Estado do Rio de Janeiro não excede dos limites da competência concorrente suplementar dos Estados, consentânea a proibição progressiva nela encartada com a diretriz norteadora da Lei nº 9.055/1995 (norma geral) (...). A despeito da nomenclatura, preceito</w:t>
      </w:r>
    </w:p>
    <w:p>
      <w:pPr>
        <w:ind w:left="288"/>
      </w:pPr>
      <w:r>
        <w:rPr>
          <w:b/>
          <w:color w:val="003CA0"/>
          <w:sz w:val="16"/>
        </w:rPr>
        <w:t>[ADI 3.406 e ADI 3.470, rel. min. Rosa Weber, j. 29-11-2017, P, DJE de 1-2-2019.]</w:t>
      </w:r>
    </w:p>
    <w:p>
      <w:pPr>
        <w:ind w:left="144"/>
      </w:pPr>
      <w:r>
        <w:rPr>
          <w:b/>
          <w:color w:val="B45A00"/>
          <w:sz w:val="16"/>
        </w:rPr>
        <w:t>JULGADOS CORRELATOS</w:t>
      </w:r>
    </w:p>
    <w:p>
      <w:pPr>
        <w:ind w:left="288"/>
      </w:pPr>
      <w:r>
        <w:rPr>
          <w:color w:val="8C8C8C"/>
          <w:sz w:val="12"/>
        </w:rPr>
        <w:t>cf-art-52-inc-X</w:t>
      </w:r>
      <w:r>
        <w:rPr>
          <w:color w:val="003CA0"/>
          <w:sz w:val="12"/>
        </w:rPr>
        <w:t xml:space="preserve"> | RE 387.271</w:t>
      </w:r>
      <w:r>
        <w:rPr>
          <w:color w:val="003CA0"/>
          <w:sz w:val="12"/>
        </w:rPr>
        <w:t xml:space="preserve"> | rel. Marco Aurélio</w:t>
      </w:r>
    </w:p>
    <w:p>
      <w:pPr>
        <w:ind w:left="288"/>
      </w:pPr>
      <w:r>
        <w:rPr>
          <w:color w:val="1E1E1E"/>
          <w:sz w:val="18"/>
        </w:rPr>
        <w:t>(...) o conflito de norma com preceito constitucional superveniente resolve-se no campo da não recepção, não cabendo a comunicação ao Senado prevista no inciso X do art. 52 da CF.</w:t>
      </w:r>
    </w:p>
    <w:p>
      <w:pPr>
        <w:ind w:left="288"/>
      </w:pPr>
      <w:r>
        <w:rPr>
          <w:b/>
          <w:color w:val="003CA0"/>
          <w:sz w:val="16"/>
        </w:rPr>
        <w:t>[RE 387.271, rel. min. Marco Aurélio, j. 8-8-2007, P, DJE de 1º-2-2008.]</w:t>
      </w:r>
    </w:p>
    <w:p>
      <w:pPr>
        <w:ind w:left="288"/>
      </w:pPr>
      <w:r>
        <w:rPr>
          <w:color w:val="8C8C8C"/>
          <w:sz w:val="12"/>
        </w:rPr>
        <w:t>cf-art-52-inc-X</w:t>
      </w:r>
      <w:r>
        <w:rPr>
          <w:color w:val="003CA0"/>
          <w:sz w:val="12"/>
        </w:rPr>
        <w:t xml:space="preserve"> | RE 199.293</w:t>
      </w:r>
      <w:r>
        <w:rPr>
          <w:color w:val="003CA0"/>
          <w:sz w:val="12"/>
        </w:rPr>
        <w:t xml:space="preserve"> | rel. Marco Aurélio</w:t>
      </w:r>
    </w:p>
    <w:p>
      <w:pPr>
        <w:ind w:left="288"/>
      </w:pPr>
      <w:r>
        <w:rPr>
          <w:color w:val="1E1E1E"/>
          <w:sz w:val="18"/>
        </w:rPr>
        <w:t>Assim, independentemente da preclusão maior, lançou-se ao mundo jurídico a determinação de que fosse comunicado o Legislativo municipal sobre a inconstitucionalidade declarada. Ora, tal decisão conflita com a ordem natural das coisas e, mais do que isso, com o preceito do art. 52, X, da CF, de observância obrigatória nos Estados federados, por encerrar verdadeiro princípio, segundo o qual, enquanto não fulminada em definitivo a lei, ante a pecha de inconstitucional, continua ela sendo de observância obrigatória. (...) Tratando-se de hipótese em que a competência para julgar originariamente a r</w:t>
      </w:r>
    </w:p>
    <w:p>
      <w:pPr>
        <w:ind w:left="288"/>
      </w:pPr>
      <w:r>
        <w:rPr>
          <w:b/>
          <w:color w:val="003CA0"/>
          <w:sz w:val="16"/>
        </w:rPr>
        <w:t>[RE 199.293, voto do rel. min. Marco Aurélio, j. 19-5-2004, P, DJ de 6-8-2004.]</w:t>
      </w:r>
    </w:p>
    <w:p>
      <w:pPr>
        <w:ind w:left="288"/>
      </w:pPr>
      <w:r>
        <w:rPr>
          <w:color w:val="8C8C8C"/>
          <w:sz w:val="12"/>
        </w:rPr>
        <w:t>cf-art-52-inc-XII</w:t>
      </w:r>
    </w:p>
    <w:p>
      <w:pPr>
        <w:ind w:left="288"/>
      </w:pPr>
      <w:r>
        <w:rPr>
          <w:color w:val="1E1E1E"/>
          <w:sz w:val="18"/>
        </w:rPr>
        <w:t>XIII - dispor sobre sua organização, funcionamento, polícia, criação, transformação ou extinção dos cargos, empregos e funções de seus serviços, e a iniciativa de lei para fixação da respectiva remuneração, observados os parâmetros estabelecidos na lei de diretrizes orçamentárias; (Redação da EC 19/1998)</w:t>
      </w:r>
    </w:p>
    <w:p>
      <w:pPr>
        <w:ind w:left="144"/>
      </w:pPr>
      <w:r>
        <w:rPr>
          <w:b/>
          <w:color w:val="B45A00"/>
          <w:sz w:val="16"/>
        </w:rPr>
        <w:t>CONTROLE CONCENTRADO</w:t>
      </w:r>
    </w:p>
    <w:p>
      <w:pPr>
        <w:ind w:left="288"/>
      </w:pPr>
      <w:r>
        <w:rPr>
          <w:color w:val="8C8C8C"/>
          <w:sz w:val="12"/>
        </w:rPr>
        <w:t>cf-art-52-inc-XII</w:t>
      </w:r>
      <w:r>
        <w:rPr>
          <w:color w:val="003CA0"/>
          <w:sz w:val="12"/>
        </w:rPr>
        <w:t xml:space="preserve"> | ADI 3.599</w:t>
      </w:r>
      <w:r>
        <w:rPr>
          <w:color w:val="003CA0"/>
          <w:sz w:val="12"/>
        </w:rPr>
        <w:t xml:space="preserve"> | rel. Gilmar Mendes</w:t>
      </w:r>
    </w:p>
    <w:p>
      <w:pPr>
        <w:ind w:left="288"/>
      </w:pPr>
      <w:r>
        <w:rPr>
          <w:color w:val="1E1E1E"/>
          <w:sz w:val="18"/>
        </w:rPr>
        <w:t>As normas que são objeto da presente ação direta alteram remuneração dos servidores das duas Casas Legislativas, majorando-a em 15%. Não há dúvida, portanto, de que não se trata de norma que pretendeu revisão geral anual de remuneração dos servidores públicos, mas de norma específica, das respectivas Casas Legislativas, concedendo majoração de remuneração a seus servidores. A CF, em seu art. 37, X, na redação que lhe foi dada pela EC 19/1998, estabeleceu expressamente que a remuneração dos servidores públicos somente poderá ser fixada ou alterada por lei específica, observada a iniciativa priv</w:t>
      </w:r>
    </w:p>
    <w:p>
      <w:pPr>
        <w:ind w:left="288"/>
      </w:pPr>
      <w:r>
        <w:rPr>
          <w:b/>
          <w:color w:val="003CA0"/>
          <w:sz w:val="16"/>
        </w:rPr>
        <w:t>[ADI 3.599, voto do rel. min. Gilmar Mendes, j. 21-5-2007, P, DJ de 14-9-2007.]</w:t>
      </w:r>
    </w:p>
    <w:p>
      <w:pPr>
        <w:ind w:left="288"/>
      </w:pPr>
      <w:r>
        <w:rPr>
          <w:color w:val="8C8C8C"/>
          <w:sz w:val="12"/>
        </w:rPr>
        <w:t>cf-art-52-inc-XII</w:t>
      </w:r>
      <w:r>
        <w:rPr>
          <w:color w:val="003CA0"/>
          <w:sz w:val="12"/>
        </w:rPr>
        <w:t xml:space="preserve"> | ADI 3.369</w:t>
      </w:r>
      <w:r>
        <w:rPr>
          <w:color w:val="003CA0"/>
          <w:sz w:val="12"/>
        </w:rPr>
        <w:t xml:space="preserve"> | rel. Carlos Velloso</w:t>
      </w:r>
    </w:p>
    <w:p>
      <w:pPr>
        <w:ind w:left="288"/>
      </w:pPr>
      <w:r>
        <w:rPr>
          <w:color w:val="1E1E1E"/>
          <w:sz w:val="18"/>
        </w:rPr>
        <w:t>Em tema de remuneração dos servidores públicos, estabelece a Constituição o princípio da reserva de lei. É dizer, em tema de remuneração dos servidores públicos, nada será feito senão mediante lei, lei específica. CF, art. 37, X; art. 51, IV; art. 52, XIII.</w:t>
      </w:r>
    </w:p>
    <w:p>
      <w:pPr>
        <w:ind w:left="288"/>
      </w:pPr>
      <w:r>
        <w:rPr>
          <w:b/>
          <w:color w:val="003CA0"/>
          <w:sz w:val="16"/>
        </w:rPr>
        <w:t>[ADI 3.369 MC, rel. min. Carlos Velloso, j. 16-12-2004, P, DJ de 18-2-2005.]</w:t>
      </w:r>
    </w:p>
    <w:p>
      <w:pPr>
        <w:ind w:left="288"/>
      </w:pPr>
      <w:r>
        <w:rPr>
          <w:color w:val="8C8C8C"/>
          <w:sz w:val="12"/>
        </w:rPr>
        <w:t>cf-art-52-inc-XII</w:t>
      </w:r>
      <w:r>
        <w:rPr>
          <w:color w:val="003CA0"/>
          <w:sz w:val="12"/>
        </w:rPr>
        <w:t xml:space="preserve"> | ADI 3.306</w:t>
      </w:r>
      <w:r>
        <w:rPr>
          <w:color w:val="003CA0"/>
          <w:sz w:val="12"/>
        </w:rPr>
        <w:t xml:space="preserve"> | rel. Gilmar Mendes</w:t>
      </w:r>
    </w:p>
    <w:p>
      <w:pPr>
        <w:ind w:left="288"/>
      </w:pPr>
      <w:r>
        <w:rPr>
          <w:color w:val="1E1E1E"/>
          <w:sz w:val="18"/>
        </w:rPr>
        <w:t>= ADI 3.306, rel. min. Gilmar Mendes, j. 17-3-2011, P, DJE de 7-6-2011 Por expressa previsão constitucional, apenas as Casas do Congresso gozavam da prerrogativa de aumentar os vencimentos de seus servidores por ato interno de suas Mesas Diretoras (arts. 51, IV, e 52, XIII, na redação original), o que não ocorre com o TCU, que, a teor do art. 73, exerce, no que couber, as atribuições previstas no art. 96, relativas aos tribunais. A nova redação dada aos arts. 51, IV, e 52, XIII, pelos arts. 9º e 10 da EC 19/1998, não alterou esta situação, porque as resoluções do Senado e da Câmara foram recep</w:t>
      </w:r>
    </w:p>
    <w:p>
      <w:pPr>
        <w:ind w:left="288"/>
      </w:pPr>
      <w:r>
        <w:rPr>
          <w:b/>
          <w:color w:val="003CA0"/>
          <w:sz w:val="16"/>
        </w:rPr>
        <w:t>[ADI 1.782, rel. min. Maurício Corrêa, j. 9-9-1999, P, DJ de 15-10-1999.]</w:t>
      </w:r>
    </w:p>
    <w:p>
      <w:pPr>
        <w:ind w:left="144"/>
      </w:pPr>
      <w:r>
        <w:rPr>
          <w:b/>
          <w:color w:val="B45A00"/>
          <w:sz w:val="16"/>
        </w:rPr>
        <w:t>JULGADOS CORRELATOS</w:t>
      </w:r>
    </w:p>
    <w:p>
      <w:pPr>
        <w:ind w:left="288"/>
      </w:pPr>
      <w:r>
        <w:rPr>
          <w:color w:val="8C8C8C"/>
          <w:sz w:val="12"/>
        </w:rPr>
        <w:t>cf-art-52-inc-XII</w:t>
      </w:r>
      <w:r>
        <w:rPr>
          <w:color w:val="003CA0"/>
          <w:sz w:val="12"/>
        </w:rPr>
        <w:t xml:space="preserve"> | MS 39.639</w:t>
      </w:r>
      <w:r>
        <w:rPr>
          <w:color w:val="003CA0"/>
          <w:sz w:val="12"/>
        </w:rPr>
        <w:t xml:space="preserve"> | rel. Cristiano Zanin</w:t>
      </w:r>
    </w:p>
    <w:p>
      <w:pPr>
        <w:ind w:left="288"/>
      </w:pPr>
      <w:r>
        <w:rPr>
          <w:color w:val="1E1E1E"/>
          <w:sz w:val="18"/>
        </w:rPr>
        <w:t>A autorização para realizar trabalho remoto, fora do país, sujeita-se à disciplina normativa aplicável ao órgão em que labora o servidor. Inexistência, no caso concreto, de norma explícita que atribua à impetrante o direito inexorável a trabalhar no exterior. Legislação que confere à Presidência do Senado competência discricionária para definir a organização de trabalho, com amparo no art. 52, XIII, da Constituição Federal.</w:t>
        <w:br/>
        <w:t>[MS 39.639 AgR-segundo, rel. min. Cristiano Zanin, j. 04.06.2024, 1ª T, DJE de 10.06.2024.] As Cartas de 1969 e de 1988 não conferiram poder normativo ao Senado Federal que</w:t>
      </w:r>
    </w:p>
    <w:p>
      <w:pPr>
        <w:ind w:left="288"/>
      </w:pPr>
      <w:r>
        <w:rPr>
          <w:color w:val="8C8C8C"/>
          <w:sz w:val="12"/>
        </w:rPr>
        <w:t>cf-art-52-inc-XII</w:t>
      </w:r>
      <w:r>
        <w:rPr>
          <w:color w:val="003CA0"/>
          <w:sz w:val="12"/>
        </w:rPr>
        <w:t xml:space="preserve"> | MS 34.418</w:t>
      </w:r>
      <w:r>
        <w:rPr>
          <w:color w:val="003CA0"/>
          <w:sz w:val="12"/>
        </w:rPr>
        <w:t xml:space="preserve"> | rel. Rosa Weber</w:t>
      </w:r>
    </w:p>
    <w:p>
      <w:pPr>
        <w:ind w:left="288"/>
      </w:pPr>
      <w:r>
        <w:rPr>
          <w:color w:val="1E1E1E"/>
          <w:sz w:val="18"/>
        </w:rPr>
        <w:t xml:space="preserve">Impeachment de Presidente da República. Votação no Senado Federal. Cisão de votações referentes à perda do cargo e à inabilitação, por oito anos, para o exercício de função pública (art. 52, parágrafo único, da Constituição Federal). (...) Sob o pálio da técnica, ainda que se pudesse dar guarida à tese da nulidade da segunda votação, observados os limites da via processual eleita, bem como os regulares efeitos jurídicos decorrentes da declaração de nulidade - retirar do mundo o ato anulado, para, se o caso, o seu refazimento -, exsurge óbice intransponível ao efeito buscado no writ, qual seja </w:t>
      </w:r>
    </w:p>
    <w:p>
      <w:pPr>
        <w:ind w:left="144"/>
      </w:pPr>
      <w:r>
        <w:rPr>
          <w:b/>
          <w:color w:val="B45A00"/>
          <w:sz w:val="16"/>
        </w:rPr>
        <w:t>CONTROLE CONCENTRADO</w:t>
      </w:r>
    </w:p>
    <w:p>
      <w:pPr>
        <w:ind w:left="288"/>
      </w:pPr>
      <w:r>
        <w:rPr>
          <w:color w:val="8C8C8C"/>
          <w:sz w:val="12"/>
        </w:rPr>
        <w:t>cf-art-52-inc-XII</w:t>
      </w:r>
      <w:r>
        <w:rPr>
          <w:color w:val="003CA0"/>
          <w:sz w:val="12"/>
        </w:rPr>
        <w:t xml:space="preserve"> | ADI 1.628</w:t>
      </w:r>
      <w:r>
        <w:rPr>
          <w:color w:val="003CA0"/>
          <w:sz w:val="12"/>
        </w:rPr>
        <w:t xml:space="preserve"> | rel. Eros Grau</w:t>
      </w:r>
    </w:p>
    <w:p>
      <w:pPr>
        <w:ind w:left="288"/>
      </w:pPr>
      <w:r>
        <w:rPr>
          <w:color w:val="1E1E1E"/>
          <w:sz w:val="18"/>
        </w:rPr>
        <w:t>(...) a Constituição de 1988, ao tratar dos crimes de responsabilidade, dispõe: "Art. 52. (...)" Para as autoridades que relaciona, a Constituição elevou o prazo de inabilitação de cinco para oito anos, podendo-se afirmar que, nesse ponto, o art. 2º da Lei 1.079/1950 não foi por ela recebido. Já em relação às autoridades estaduais, a Constituição foi omissa. Aí surge a indagação: o prazo constitucional se aplica por analogia – ou até por simetria – a essas autoridades? A Constituição não cuidando da questão no que se refere às autoridades estaduais, o preceito veiculado pelo art. 78 da Lei 1.0</w:t>
      </w:r>
    </w:p>
    <w:p>
      <w:pPr>
        <w:ind w:left="288"/>
      </w:pPr>
      <w:r>
        <w:rPr>
          <w:b/>
          <w:color w:val="003CA0"/>
          <w:sz w:val="16"/>
        </w:rPr>
        <w:t>[ADI 1.628, voto do rel. min. Eros Grau, j. 10-8-2006, P, DJ de 24-11-2006.]</w:t>
      </w:r>
    </w:p>
    <w:p>
      <w:pPr>
        <w:ind w:left="288"/>
      </w:pPr>
      <w:r>
        <w:rPr>
          <w:color w:val="8C8C8C"/>
          <w:sz w:val="12"/>
        </w:rPr>
        <w:t>cf-art-52-inc-XII</w:t>
      </w:r>
      <w:r>
        <w:rPr>
          <w:color w:val="003CA0"/>
          <w:sz w:val="12"/>
        </w:rPr>
        <w:t xml:space="preserve"> | MS 21.689</w:t>
      </w:r>
      <w:r>
        <w:rPr>
          <w:color w:val="003CA0"/>
          <w:sz w:val="12"/>
        </w:rPr>
        <w:t xml:space="preserve"> | rel. Carlos Velloso</w:t>
      </w:r>
    </w:p>
    <w:p>
      <w:pPr>
        <w:ind w:left="288"/>
      </w:pPr>
      <w:r>
        <w:rPr>
          <w:color w:val="1E1E1E"/>
          <w:sz w:val="18"/>
        </w:rPr>
        <w:t>A existência, no impeachment brasileiro, segundo a Constituição e o direito comum (CF, 1988, art. 52, parágrafo único; Lei 1.079, de 1950, arts. 2º, 33 e 34), de duas penas: a) perda do cargo; b) inabilitação, por oito anos, para o exercício de função pública. A renúncia ao cargo, apresentada na sessão de julgamento, quando já iniciado este, não paralisa o processo de impeachment. Os princípios constitucionais da impessoalidade e da moralidade administrativa (CF, art. 37). A jurisprudência do STF relativamente aos crimes de responsabilidade dos prefeitos municipais, na forma do DL 201, de 27-2</w:t>
      </w:r>
    </w:p>
    <w:p>
      <w:pPr>
        <w:ind w:left="720"/>
      </w:pPr>
      <w:r>
        <w:rPr>
          <w:color w:val="003366"/>
          <w:sz w:val="18"/>
        </w:rPr>
        <w:t>I – a instalação, no País, de novas agências de instituições financeiras domicil</w:t>
      </w:r>
    </w:p>
    <w:p>
      <w:pPr>
        <w:ind w:left="720"/>
      </w:pPr>
      <w:r>
        <w:rPr>
          <w:color w:val="003366"/>
          <w:sz w:val="18"/>
        </w:rPr>
        <w:t>II – o aumento do percentual de participação, no capital de instituições finance</w:t>
      </w:r>
    </w:p>
    <w:p>
      <w:r>
        <w:rPr>
          <w:b/>
          <w:color w:val="003366"/>
          <w:sz w:val="20"/>
        </w:rPr>
        <w:t>Art. 53 Ao ex-combatente que tenha efetivamente participado de operações bélicas</w:t>
      </w:r>
      <w:r>
        <w:rPr>
          <w:color w:val="8C8C8C"/>
          <w:sz w:val="14"/>
        </w:rPr>
        <w:t xml:space="preserve">  [39 decisoes]</w:t>
      </w:r>
    </w:p>
    <w:p>
      <w:pPr>
        <w:ind w:left="144"/>
      </w:pPr>
      <w:r>
        <w:rPr>
          <w:b/>
          <w:color w:val="B45A00"/>
          <w:sz w:val="16"/>
        </w:rPr>
        <w:t>SUMULA</w:t>
      </w:r>
    </w:p>
    <w:p>
      <w:pPr>
        <w:ind w:left="288"/>
      </w:pPr>
      <w:r>
        <w:rPr>
          <w:color w:val="8C8C8C"/>
          <w:sz w:val="12"/>
        </w:rPr>
        <w:t>cf-art-53</w:t>
      </w:r>
    </w:p>
    <w:p>
      <w:pPr>
        <w:ind w:left="288"/>
      </w:pPr>
      <w:r>
        <w:rPr>
          <w:color w:val="1E1E1E"/>
          <w:sz w:val="18"/>
        </w:rPr>
        <w:t>A imunidade parlamentar não se estende ao corréu sem essa prerrogativa.</w:t>
      </w:r>
    </w:p>
    <w:p>
      <w:pPr>
        <w:ind w:left="288"/>
      </w:pPr>
      <w:r>
        <w:rPr>
          <w:b/>
          <w:color w:val="003CA0"/>
          <w:sz w:val="16"/>
        </w:rPr>
        <w:t>[Súmula 245.]</w:t>
      </w:r>
    </w:p>
    <w:p>
      <w:pPr>
        <w:ind w:left="288"/>
      </w:pPr>
      <w:r>
        <w:rPr>
          <w:color w:val="8C8C8C"/>
          <w:sz w:val="12"/>
        </w:rPr>
        <w:t>cf-art-53</w:t>
      </w:r>
      <w:r>
        <w:rPr>
          <w:color w:val="003CA0"/>
          <w:sz w:val="12"/>
        </w:rPr>
        <w:t xml:space="preserve"> | RE 632.115</w:t>
      </w:r>
      <w:r>
        <w:rPr>
          <w:color w:val="003CA0"/>
          <w:sz w:val="12"/>
        </w:rPr>
        <w:t xml:space="preserve"> | rel. Luís Roberto Barroso</w:t>
      </w:r>
    </w:p>
    <w:p>
      <w:pPr>
        <w:ind w:left="288"/>
      </w:pPr>
      <w:r>
        <w:rPr>
          <w:color w:val="1E1E1E"/>
          <w:sz w:val="18"/>
        </w:rPr>
        <w:t>“1. A imunidade material parlamentar (art. 53, caput, c/c art. 27, § 1º, e art. 29, VIII, CF/1988) configura excludente da responsabilidade civil objetiva do Estado (art. 37, § 6º, CF/1988), afastando qualquer pretensão indenizatória em face do ente público por opiniões, palavras e votos cobertos por essa garantia. 2. Nas hipóteses em que a conduta do parlamentar extrapolar os limites da imunidade material, eventual responsabilização recairá de forma pessoal, direta e exclusiva sobre o próprio parlamentar, sob o regime de responsabilidade civil subjetiva.”</w:t>
      </w:r>
    </w:p>
    <w:p>
      <w:pPr>
        <w:ind w:left="288"/>
      </w:pPr>
      <w:r>
        <w:rPr>
          <w:b/>
          <w:color w:val="003CA0"/>
          <w:sz w:val="16"/>
        </w:rPr>
        <w:t>[RE 632.115, rel. min. Luís Roberto Barroso, j. 29.09.2025, P, DJE de 01.12.2025, Tema 950, com mérito julgado.]</w:t>
      </w:r>
    </w:p>
    <w:p>
      <w:pPr>
        <w:ind w:left="144"/>
      </w:pPr>
      <w:r>
        <w:rPr>
          <w:b/>
          <w:color w:val="B45A00"/>
          <w:sz w:val="16"/>
        </w:rPr>
        <w:t>JULGADOS CORRELATOS</w:t>
      </w:r>
    </w:p>
    <w:p>
      <w:pPr>
        <w:ind w:left="288"/>
      </w:pPr>
      <w:r>
        <w:rPr>
          <w:color w:val="8C8C8C"/>
          <w:sz w:val="12"/>
        </w:rPr>
        <w:t>cf-art-53</w:t>
      </w:r>
      <w:r>
        <w:rPr>
          <w:color w:val="003CA0"/>
          <w:sz w:val="12"/>
        </w:rPr>
        <w:t xml:space="preserve"> | INQ 4.781</w:t>
      </w:r>
      <w:r>
        <w:rPr>
          <w:color w:val="003CA0"/>
          <w:sz w:val="12"/>
        </w:rPr>
        <w:t xml:space="preserve"> | rel. Alexandre de Moraes</w:t>
      </w:r>
    </w:p>
    <w:p>
      <w:pPr>
        <w:ind w:left="288"/>
      </w:pPr>
      <w:r>
        <w:rPr>
          <w:color w:val="1E1E1E"/>
          <w:sz w:val="18"/>
        </w:rPr>
        <w:t>Não incidência da imunidade parlamentar prevista no caput, do art. 53, da Constituição Federal. A jurisprudência da CORTE é pacífica no sentido de que a garantia constitucional da imunidade parlamentar material somente incide no caso de as manifestações guardarem conexão com o desempenho da função legislativa ou que sejam proferidas em razão desta; não sendo possível utilizá-la como verdadeiro escudo protetivo para a prática de atividades ilícitas. As condutas praticadas pelo parlamentar foram perpetradas em âmbito virtual, por meio da publicação e divulgação de vídeos em mídia digital ("YouTu</w:t>
      </w:r>
    </w:p>
    <w:p>
      <w:pPr>
        <w:ind w:left="288"/>
      </w:pPr>
      <w:r>
        <w:rPr>
          <w:b/>
          <w:color w:val="003CA0"/>
          <w:sz w:val="16"/>
        </w:rPr>
        <w:t>[INQ 4.781 Ref, rel. min. Alexandre de Moraes, j. 17-2-2021, P, DJE de 14-5-2021.]</w:t>
      </w:r>
    </w:p>
    <w:p>
      <w:pPr>
        <w:ind w:left="288"/>
      </w:pPr>
      <w:r>
        <w:rPr>
          <w:color w:val="8C8C8C"/>
          <w:sz w:val="12"/>
        </w:rPr>
        <w:t>cf-art-53</w:t>
      </w:r>
      <w:r>
        <w:rPr>
          <w:color w:val="003CA0"/>
          <w:sz w:val="12"/>
        </w:rPr>
        <w:t xml:space="preserve"> | PET 7.174</w:t>
      </w:r>
      <w:r>
        <w:rPr>
          <w:color w:val="003CA0"/>
          <w:sz w:val="12"/>
        </w:rPr>
        <w:t xml:space="preserve"> | rel. Rosa Weber</w:t>
      </w:r>
    </w:p>
    <w:p>
      <w:pPr>
        <w:ind w:left="288"/>
      </w:pPr>
      <w:r>
        <w:rPr>
          <w:color w:val="1E1E1E"/>
          <w:sz w:val="18"/>
        </w:rPr>
        <w:t>A imunidade parlamentar pressupõe nexo de causalidade com o exercício do mandato. Declarações proferidas em contexto desvinculado das funções parlamentares não se encontram cobertas pela imunidade material.</w:t>
        <w:br/>
        <w:t xml:space="preserve">[PET 7.174, red. do ac. min. Marco Aurélio, j. 10-3-2020, 1ª T, DJE de 28-09-2020.] Deputado federal. Crime contra a honra. Nexo de implicação entre as declarações e o exercício do mandato. Imunidade parlamentar material. Alcance. Art. 53, caput, da CF. (...) A verbalização da representação parlamentar não contempla ofensas pessoais, via achincalhamentos ou licenciosidade da fala. Placita, </w:t>
      </w:r>
    </w:p>
    <w:p>
      <w:pPr>
        <w:ind w:left="288"/>
      </w:pPr>
      <w:r>
        <w:rPr>
          <w:b/>
          <w:color w:val="003CA0"/>
          <w:sz w:val="16"/>
        </w:rPr>
        <w:t>[Pet 5.714 AgR, rel. min. Rosa Weber, j. 28-11-2017, 1ª T, DJE de 13-12-2017.]</w:t>
      </w:r>
    </w:p>
    <w:p>
      <w:pPr>
        <w:ind w:left="288"/>
      </w:pPr>
      <w:r>
        <w:rPr>
          <w:color w:val="8C8C8C"/>
          <w:sz w:val="12"/>
        </w:rPr>
        <w:t>cf-art-53</w:t>
      </w:r>
      <w:r>
        <w:rPr>
          <w:color w:val="003CA0"/>
          <w:sz w:val="12"/>
        </w:rPr>
        <w:t xml:space="preserve"> | PET 5.705</w:t>
      </w:r>
      <w:r>
        <w:rPr>
          <w:color w:val="003CA0"/>
          <w:sz w:val="12"/>
        </w:rPr>
        <w:t xml:space="preserve"> | rel. Luiz Fux</w:t>
      </w:r>
    </w:p>
    <w:p>
      <w:pPr>
        <w:ind w:left="288"/>
      </w:pPr>
      <w:r>
        <w:rPr>
          <w:color w:val="1E1E1E"/>
          <w:sz w:val="18"/>
        </w:rPr>
        <w:t>O animus difamandi conduz, nesta fase, ao recebimento da queixa-crime. a) A imunidade parlamentar material cobra, para sua incidência no momento do recebimento da denúncia, a constatação, primo ictu occuli, do liame direto entre o fato apontado como crime contra a honra e o exercício do mandato parlamentar, pelo ofensor. A liberdade de opinião e manifestação do parlamentar, ratione muneris, impõe contornos à imunidade material, nos limites estritamente necessários à defesa do mandato contra o arbítrio, à luz do princípio republicano que norteia a CF. A imunidade parlamentar material, estabelec</w:t>
      </w:r>
    </w:p>
    <w:p>
      <w:pPr>
        <w:ind w:left="288"/>
      </w:pPr>
      <w:r>
        <w:rPr>
          <w:b/>
          <w:color w:val="003CA0"/>
          <w:sz w:val="16"/>
        </w:rPr>
        <w:t>[Inq 3.932 e Pet 5.243, rel. min. Luiz Fux, j. 21-6-2016, 1ª T, DJE de 9-9-2016.]</w:t>
      </w:r>
    </w:p>
    <w:p>
      <w:pPr>
        <w:ind w:left="288"/>
      </w:pPr>
      <w:r>
        <w:rPr>
          <w:color w:val="8C8C8C"/>
          <w:sz w:val="12"/>
        </w:rPr>
        <w:t>cf-art-53</w:t>
      </w:r>
      <w:r>
        <w:rPr>
          <w:color w:val="003CA0"/>
          <w:sz w:val="12"/>
        </w:rPr>
        <w:t xml:space="preserve"> | INQ 1.958</w:t>
      </w:r>
      <w:r>
        <w:rPr>
          <w:color w:val="003CA0"/>
          <w:sz w:val="12"/>
        </w:rPr>
        <w:t xml:space="preserve"> | rel. Roberto Barroso</w:t>
      </w:r>
    </w:p>
    <w:p>
      <w:pPr>
        <w:ind w:left="288"/>
      </w:pPr>
      <w:r>
        <w:rPr>
          <w:color w:val="1E1E1E"/>
          <w:sz w:val="18"/>
        </w:rPr>
        <w:t>Vide Inq 1.958, red. do ac. min. Ayres Britto, j. 29-10-2003, P, DJ de 18-2-2005 Art. 53 da CF. Imunidade parlamentar. Ofensas em entrevistas a meios de comunicação de massa e em postagens na rede social WhatsApp. (...) Imunidade parlamentar. A vinculação da declaração com o desempenho do mandato deve ser aferida com base no alcance das atribuições dos parlamentares. As "funções parlamentares abrangem, além da elaboração de leis, a fiscalização dos outros Poderes e, de modo ainda mais amplo, o debate de ideias, fundamental para o desenvolvimento da democracia" – RE 600.063 RG, rel. p/ ac. min.</w:t>
      </w:r>
    </w:p>
    <w:p>
      <w:pPr>
        <w:ind w:left="288"/>
      </w:pPr>
      <w:r>
        <w:rPr>
          <w:b/>
          <w:color w:val="003CA0"/>
          <w:sz w:val="16"/>
        </w:rPr>
        <w:t>[AO 2.002, rel. min. Gilmar Mendes, j. 2-2-2016, 2ª T, DJE de 26-2-2016.]</w:t>
      </w:r>
    </w:p>
    <w:p>
      <w:pPr>
        <w:ind w:left="288"/>
      </w:pPr>
      <w:r>
        <w:rPr>
          <w:color w:val="8C8C8C"/>
          <w:sz w:val="12"/>
        </w:rPr>
        <w:t>cf-art-53</w:t>
      </w:r>
      <w:r>
        <w:rPr>
          <w:color w:val="003CA0"/>
          <w:sz w:val="12"/>
        </w:rPr>
        <w:t xml:space="preserve"> | AC 3.883</w:t>
      </w:r>
      <w:r>
        <w:rPr>
          <w:color w:val="003CA0"/>
          <w:sz w:val="12"/>
        </w:rPr>
        <w:t xml:space="preserve"> | rel. Celso de Mello</w:t>
      </w:r>
    </w:p>
    <w:p>
      <w:pPr>
        <w:ind w:left="288"/>
      </w:pPr>
      <w:r>
        <w:rPr>
          <w:color w:val="1E1E1E"/>
          <w:sz w:val="18"/>
        </w:rPr>
        <w:t>A incidência da imunidade parlamentar material – por tornar inviável o ajuizamento da ação penal de conhecimento e da ação de indenização civil, ambas de índole principal – afeta a possibilidade jurídica de formulação e, até mesmo, de processamento do próprio pedido de explicações, em face da natureza meramente acessória de que se reveste tal providência de ordem cautelar. (...) Onde não couber a responsabilização penal e/ou civil do congressista por delitos contra a honra, porque amparado pela garantia constitucional da imunidade parlamentar material, aí também não se viabilizará a utilização</w:t>
      </w:r>
    </w:p>
    <w:p>
      <w:pPr>
        <w:ind w:left="288"/>
      </w:pPr>
      <w:r>
        <w:rPr>
          <w:b/>
          <w:color w:val="003CA0"/>
          <w:sz w:val="16"/>
        </w:rPr>
        <w:t>[AC 3.883 AgR, rel. min. Celso de Mello, j. 10-11-2015, 2ª T, DJE de 1º-2-2016.]</w:t>
      </w:r>
    </w:p>
    <w:p>
      <w:pPr>
        <w:ind w:left="288"/>
      </w:pPr>
      <w:r>
        <w:rPr>
          <w:color w:val="8C8C8C"/>
          <w:sz w:val="12"/>
        </w:rPr>
        <w:t>cf-art-53</w:t>
      </w:r>
      <w:r>
        <w:rPr>
          <w:color w:val="003CA0"/>
          <w:sz w:val="12"/>
        </w:rPr>
        <w:t xml:space="preserve"> | INQ 2.332</w:t>
      </w:r>
      <w:r>
        <w:rPr>
          <w:color w:val="003CA0"/>
          <w:sz w:val="12"/>
        </w:rPr>
        <w:t xml:space="preserve"> | rel. Celso de Mello</w:t>
      </w:r>
    </w:p>
    <w:p>
      <w:pPr>
        <w:ind w:left="288"/>
      </w:pPr>
      <w:r>
        <w:rPr>
          <w:color w:val="1E1E1E"/>
          <w:sz w:val="18"/>
        </w:rPr>
        <w:t>A cláusula de inviolabilidade constitucional, que impede a responsabilização penal e/ou civil do membro do Congresso Nacional, por suas palavras, opiniões e votos, também abrange, sob seu manto protetor, as entrevistas jornalísticas, a transmissão, para a imprensa, do conteúdo de pronunciamentos ou de relatórios produzidos nas Casas Legislativas e as declarações feitas aos meios de comunicação social, eis que tais manifestações – desde que vinculadas ao desempenho do mandato – qualificam-se como natural projeção do exercício das atividades parlamentares.</w:t>
      </w:r>
    </w:p>
    <w:p>
      <w:pPr>
        <w:ind w:left="288"/>
      </w:pPr>
      <w:r>
        <w:rPr>
          <w:b/>
          <w:color w:val="003CA0"/>
          <w:sz w:val="16"/>
        </w:rPr>
        <w:t>[Inq 2.332 AgR, rel. min. Celso de Mello, j. 10-2-2011, P, DJE de 1º-3-2011.]</w:t>
      </w:r>
    </w:p>
    <w:p>
      <w:pPr>
        <w:ind w:left="288"/>
      </w:pPr>
      <w:r>
        <w:rPr>
          <w:color w:val="8C8C8C"/>
          <w:sz w:val="12"/>
        </w:rPr>
        <w:t>cf-art-53</w:t>
      </w:r>
      <w:r>
        <w:rPr>
          <w:color w:val="003CA0"/>
          <w:sz w:val="12"/>
        </w:rPr>
        <w:t xml:space="preserve"> | INQ 2.815</w:t>
      </w:r>
      <w:r>
        <w:rPr>
          <w:color w:val="003CA0"/>
          <w:sz w:val="12"/>
        </w:rPr>
        <w:t xml:space="preserve"> | rel. Marco Aurélio</w:t>
      </w:r>
    </w:p>
    <w:p>
      <w:pPr>
        <w:ind w:left="288"/>
      </w:pPr>
      <w:r>
        <w:rPr>
          <w:color w:val="1E1E1E"/>
          <w:sz w:val="18"/>
        </w:rPr>
        <w:t>Ante a imunidade prevista no art. 53 da Carta Federal, a utilização da tribuna da Casa Legislativa, considerado certo contexto ligado a frustrada CPI, apontando-se corrupção em órgão público, não enseja ação penal.</w:t>
      </w:r>
    </w:p>
    <w:p>
      <w:pPr>
        <w:ind w:left="288"/>
      </w:pPr>
      <w:r>
        <w:rPr>
          <w:b/>
          <w:color w:val="003CA0"/>
          <w:sz w:val="16"/>
        </w:rPr>
        <w:t>[Inq 2.815 AgR-ED, rel. min. Marco Aurélio, j. 25-11-2009, P, DJE de 18-12-2009.]</w:t>
      </w:r>
    </w:p>
    <w:p>
      <w:pPr>
        <w:ind w:left="288"/>
      </w:pPr>
      <w:r>
        <w:rPr>
          <w:color w:val="8C8C8C"/>
          <w:sz w:val="12"/>
        </w:rPr>
        <w:t>cf-art-53</w:t>
      </w:r>
      <w:r>
        <w:rPr>
          <w:color w:val="003CA0"/>
          <w:sz w:val="12"/>
        </w:rPr>
        <w:t xml:space="preserve"> | INQ 2.297</w:t>
      </w:r>
      <w:r>
        <w:rPr>
          <w:color w:val="003CA0"/>
          <w:sz w:val="12"/>
        </w:rPr>
        <w:t xml:space="preserve"> | rel. Cármen Lúcia</w:t>
      </w:r>
    </w:p>
    <w:p>
      <w:pPr>
        <w:ind w:left="288"/>
      </w:pPr>
      <w:r>
        <w:rPr>
          <w:color w:val="1E1E1E"/>
          <w:sz w:val="18"/>
        </w:rPr>
        <w:t>Inquérito. Ação penal privada. Queixa-crime oferecida contra deputado federal e jornalista. Pretensas ofensas praticadas pelo primeiro querelado e publicadas pela segunda querelada em matéria jornalística (...). As afirmações tidas como ofensivas pelo querelante foram feitas no exercício do mandato parlamentar, por ter o querelado se manifestado na condição de deputado federal e de presidente da Câmara, não sendo possível desvincular aquelas afirmações do exercício da ampla liberdade de expressão, típica da atividade parlamentar (art. 51 da Constituição da República). O art. 53 da Constituição</w:t>
      </w:r>
    </w:p>
    <w:p>
      <w:pPr>
        <w:ind w:left="288"/>
      </w:pPr>
      <w:r>
        <w:rPr>
          <w:b/>
          <w:color w:val="003CA0"/>
          <w:sz w:val="16"/>
        </w:rPr>
        <w:t>[Inq 2.297, rel. min. Cármen Lúcia, j. 20-9-2007, P, DJ de 19-10-2007.]</w:t>
      </w:r>
    </w:p>
    <w:p>
      <w:pPr>
        <w:ind w:left="288"/>
      </w:pPr>
      <w:r>
        <w:rPr>
          <w:color w:val="8C8C8C"/>
          <w:sz w:val="12"/>
        </w:rPr>
        <w:t>cf-art-53</w:t>
      </w:r>
      <w:r>
        <w:rPr>
          <w:color w:val="003CA0"/>
          <w:sz w:val="12"/>
        </w:rPr>
        <w:t xml:space="preserve"> | RE 210.917</w:t>
      </w:r>
      <w:r>
        <w:rPr>
          <w:color w:val="003CA0"/>
          <w:sz w:val="12"/>
        </w:rPr>
        <w:t xml:space="preserve"> | rel. Sepúlveda Pertence</w:t>
      </w:r>
    </w:p>
    <w:p>
      <w:pPr>
        <w:ind w:left="288"/>
      </w:pPr>
      <w:r>
        <w:rPr>
          <w:color w:val="1E1E1E"/>
          <w:sz w:val="18"/>
        </w:rPr>
        <w:t>Imunidade parlamentar material: ofensa irrogada em Plenário, independente de conexão com o mandato, elide a responsabilidade civil por dano moral. Precedente: RE 210.917, 12-8-1998, Pertence, RTJ 177/1375.</w:t>
      </w:r>
    </w:p>
    <w:p>
      <w:pPr>
        <w:ind w:left="288"/>
      </w:pPr>
      <w:r>
        <w:rPr>
          <w:b/>
          <w:color w:val="003CA0"/>
          <w:sz w:val="16"/>
        </w:rPr>
        <w:t>[RE 463.671 AgR, rel. min. Sepúlveda Pertence, j. 19-6-2007, 1ª T, DJ de 3-8-2007.]</w:t>
      </w:r>
    </w:p>
    <w:p>
      <w:pPr>
        <w:ind w:left="288"/>
      </w:pPr>
      <w:r>
        <w:rPr>
          <w:color w:val="8C8C8C"/>
          <w:sz w:val="12"/>
        </w:rPr>
        <w:t>cf-art-53</w:t>
      </w:r>
      <w:r>
        <w:rPr>
          <w:color w:val="003CA0"/>
          <w:sz w:val="12"/>
        </w:rPr>
        <w:t xml:space="preserve"> | RE 577.785</w:t>
      </w:r>
      <w:r>
        <w:rPr>
          <w:color w:val="003CA0"/>
          <w:sz w:val="12"/>
        </w:rPr>
        <w:t xml:space="preserve"> | rel. Ricardo Lewandowski</w:t>
      </w:r>
    </w:p>
    <w:p>
      <w:pPr>
        <w:ind w:left="288"/>
      </w:pPr>
      <w:r>
        <w:rPr>
          <w:color w:val="1E1E1E"/>
          <w:sz w:val="18"/>
        </w:rPr>
        <w:t>= RE 577.785 AgR, rel. min. Ricardo Lewandowski, j. 1º-2-2011, 1ª T, DJE de 21-2-2011 A imunidade material prevista no art. 53, caput, da Constituição não é absoluta, pois somente se verifica nos casos em que a conduta possa ter alguma relação com o exercício do mandato parlamentar. Embora a atividade jornalística exercida pelo querelado não seja incompatível com atividade política, há indícios suficientemente robustos de que as declarações do querelado, além de exorbitarem o limite da simples opinião, foram por ele proferidas na condição exclusiva de jornalista.</w:t>
      </w:r>
    </w:p>
    <w:p>
      <w:pPr>
        <w:ind w:left="288"/>
      </w:pPr>
      <w:r>
        <w:rPr>
          <w:b/>
          <w:color w:val="003CA0"/>
          <w:sz w:val="16"/>
        </w:rPr>
        <w:t>[Inq 2.134, rel. min. Joaquim Barbosa, j. 23-3-2006, P, DJ de 2-2-2007.]</w:t>
      </w:r>
    </w:p>
    <w:p>
      <w:pPr>
        <w:ind w:left="288"/>
      </w:pPr>
      <w:r>
        <w:rPr>
          <w:color w:val="8C8C8C"/>
          <w:sz w:val="12"/>
        </w:rPr>
        <w:t>cf-art-53</w:t>
      </w:r>
      <w:r>
        <w:rPr>
          <w:color w:val="003CA0"/>
          <w:sz w:val="12"/>
        </w:rPr>
        <w:t xml:space="preserve"> | INQ 2.130</w:t>
      </w:r>
      <w:r>
        <w:rPr>
          <w:color w:val="003CA0"/>
          <w:sz w:val="12"/>
        </w:rPr>
        <w:t xml:space="preserve"> | rel. Ellen Gracie</w:t>
      </w:r>
    </w:p>
    <w:p>
      <w:pPr>
        <w:ind w:left="288"/>
      </w:pPr>
      <w:r>
        <w:rPr>
          <w:color w:val="1E1E1E"/>
          <w:sz w:val="18"/>
        </w:rPr>
        <w:t>A divulgação, em informativo eletrônico gerado em gabinete de deputado federal, na Câmara dos Deputados, de fatos que, em tese, configuram crimes contra a administração pública, não pode ser tida como desvinculada do exercício parlamentar, principalmente quando tais fatos ocorrem no Estado que o parlamentar representa no Congresso Nacional.</w:t>
      </w:r>
    </w:p>
    <w:p>
      <w:pPr>
        <w:ind w:left="288"/>
      </w:pPr>
      <w:r>
        <w:rPr>
          <w:b/>
          <w:color w:val="003CA0"/>
          <w:sz w:val="16"/>
        </w:rPr>
        <w:t>[Inq 2.130, rel. min. Ellen Gracie, j. 13-10-2004, P, DJ de 5-11-2004.]</w:t>
      </w:r>
    </w:p>
    <w:p>
      <w:pPr>
        <w:ind w:left="288"/>
      </w:pPr>
      <w:r>
        <w:rPr>
          <w:color w:val="8C8C8C"/>
          <w:sz w:val="12"/>
        </w:rPr>
        <w:t>cf-art-53</w:t>
      </w:r>
      <w:r>
        <w:rPr>
          <w:color w:val="003CA0"/>
          <w:sz w:val="12"/>
        </w:rPr>
        <w:t xml:space="preserve"> | INQ 390</w:t>
      </w:r>
    </w:p>
    <w:p>
      <w:pPr>
        <w:ind w:left="288"/>
      </w:pPr>
      <w:r>
        <w:rPr>
          <w:color w:val="1E1E1E"/>
          <w:sz w:val="18"/>
        </w:rPr>
        <w:t>A palavra "inviolabilidade" significa intocabilidade, intangibilidade do parlamentar quanto ao cometimento de crime ou contravenção. Tal inviolabilidade é de natureza material e decorre da função parlamentar, porque em jogo a representatividade do povo. O art. 53 da CF, com a redação da Emenda 35, não reeditou a ressalva quanto aos crimes contra a honra, prevista no art. 32 da EC 1, de 1969. Assim, é de se distinguir as situações em que as supostas ofensas são proferidas dentro e fora do Parlamento. Somente nessas últimas ofensas irrogadas fora do Parlamento é de se perquirir da chamada "conex</w:t>
      </w:r>
    </w:p>
    <w:p>
      <w:pPr>
        <w:ind w:left="288"/>
      </w:pPr>
      <w:r>
        <w:rPr>
          <w:b/>
          <w:color w:val="003CA0"/>
          <w:sz w:val="16"/>
        </w:rPr>
        <w:t>[Inq 1.958, red. do ac. min. Ayres Britto, j. 29-10-2003, P, DJ de 18-2-2005.]</w:t>
      </w:r>
    </w:p>
    <w:p>
      <w:pPr>
        <w:ind w:left="288"/>
      </w:pPr>
      <w:r>
        <w:rPr>
          <w:color w:val="8C8C8C"/>
          <w:sz w:val="12"/>
        </w:rPr>
        <w:t>cf-art-53</w:t>
      </w:r>
      <w:r>
        <w:rPr>
          <w:color w:val="003CA0"/>
          <w:sz w:val="12"/>
        </w:rPr>
        <w:t xml:space="preserve"> | INQ 2.295</w:t>
      </w:r>
      <w:r>
        <w:rPr>
          <w:color w:val="003CA0"/>
          <w:sz w:val="12"/>
        </w:rPr>
        <w:t xml:space="preserve"> | rel. Luiz Fux</w:t>
      </w:r>
    </w:p>
    <w:p>
      <w:pPr>
        <w:ind w:left="288"/>
      </w:pPr>
      <w:r>
        <w:rPr>
          <w:color w:val="1E1E1E"/>
          <w:sz w:val="18"/>
        </w:rPr>
        <w:t>= Inq 2.295, red. do ac. min. Menezes Direito, j. 23-10-2008, P, DJE de 5-6-2009 Vide Inq 3.932 e Pet 5.243, rel. min. Luiz Fux, j. 21-6-2016, 1ª T, DJE de 9-9-2016 A garantia constitucional da imunidade parlamentar em sentido material (CF, art. 53, caput) – destinada a viabilizar a prática independente, pelo membro do Congresso Nacional, do mandato legislativo de que é titular – não se estende ao congressista, quando, na condição de candidato a qualquer cargo eletivo, vem a ofender, moralmente, a honra de terceira pessoa, inclusive a de outros candidatos, em pronunciamento motivado por finali</w:t>
      </w:r>
    </w:p>
    <w:p>
      <w:pPr>
        <w:ind w:left="288"/>
      </w:pPr>
      <w:r>
        <w:rPr>
          <w:b/>
          <w:color w:val="003CA0"/>
          <w:sz w:val="16"/>
        </w:rPr>
        <w:t>[Inq 1.400 QO, rel. min. Celso de Mello, j. 4-12-2002, P, DJ de 10-10-2003.]</w:t>
      </w:r>
    </w:p>
    <w:p>
      <w:pPr>
        <w:ind w:left="288"/>
      </w:pPr>
      <w:r>
        <w:rPr>
          <w:color w:val="8C8C8C"/>
          <w:sz w:val="12"/>
        </w:rPr>
        <w:t>cf-art-53</w:t>
      </w:r>
      <w:r>
        <w:rPr>
          <w:color w:val="003CA0"/>
          <w:sz w:val="12"/>
        </w:rPr>
        <w:t xml:space="preserve"> | ARE 674.093</w:t>
      </w:r>
      <w:r>
        <w:rPr>
          <w:color w:val="003CA0"/>
          <w:sz w:val="12"/>
        </w:rPr>
        <w:t xml:space="preserve"> | rel. Gilmar Mendes</w:t>
      </w:r>
    </w:p>
    <w:p>
      <w:pPr>
        <w:ind w:left="288"/>
      </w:pPr>
      <w:r>
        <w:rPr>
          <w:color w:val="1E1E1E"/>
          <w:sz w:val="18"/>
        </w:rPr>
        <w:t xml:space="preserve">= ARE 674.093, rel. min. Gilmar Mendes, j. 20-3-2012, dec. monocrática, DJE de 26-3-2012 = AI 657.235 ED, rel. min. Joaquim Barbosa, j. 7-12-2010, 2ª T, DJE de 1º-2-2011 A garantia constitucional da imunidade parlamentar em sentido material (CF, art. 53, caput) – que representa um instrumento vital destinado a viabilizar o exercício independente do mandato representativo – somente protege o membro do Congresso Nacional, qualquer que seja o âmbito espacial (locus) em que este exerça a liberdade de opinião (ainda que fora do recinto da própria Casa legislativa), nas hipóteses específicas em que </w:t>
      </w:r>
    </w:p>
    <w:p>
      <w:pPr>
        <w:ind w:left="288"/>
      </w:pPr>
      <w:r>
        <w:rPr>
          <w:b/>
          <w:color w:val="003CA0"/>
          <w:sz w:val="16"/>
        </w:rPr>
        <w:t>[Inq 1.024 QO, rel. min. Celso de Mello, j. 21-11-2002, P, DJ de 4-3-2005.]</w:t>
      </w:r>
    </w:p>
    <w:p>
      <w:pPr>
        <w:ind w:left="288"/>
      </w:pPr>
      <w:r>
        <w:rPr>
          <w:color w:val="8C8C8C"/>
          <w:sz w:val="12"/>
        </w:rPr>
        <w:t>cf-art-53</w:t>
      </w:r>
      <w:r>
        <w:rPr>
          <w:color w:val="003CA0"/>
          <w:sz w:val="12"/>
        </w:rPr>
        <w:t xml:space="preserve"> | INQ 2.915</w:t>
      </w:r>
      <w:r>
        <w:rPr>
          <w:color w:val="003CA0"/>
          <w:sz w:val="12"/>
        </w:rPr>
        <w:t xml:space="preserve"> | rel. Luiz Fux</w:t>
      </w:r>
    </w:p>
    <w:p>
      <w:pPr>
        <w:ind w:left="288"/>
      </w:pPr>
      <w:r>
        <w:rPr>
          <w:color w:val="1E1E1E"/>
          <w:sz w:val="18"/>
        </w:rPr>
        <w:t>= Inq 2.915, rel. min. Luiz Fux, j. 9-5-2013, P, DJE de 31-5-2013 Com o advento da EC 35, de 20-12-2001, que deu nova redação ao art. 53 da CF, de 5-10-1988, os deputados e senadores já não gozam de imunidade processual, mas, apenas, de imunidade material, por suas opiniões, palavras e votos, proferidos, obviamente, no exercício do mandato ou em razão dele. Por crimes de outra natureza, respondem os parlamentares, perante esta Corte, agora sem necessidade de prévia licença da respectiva Casa Legislativa, como exigia o § 1º do art. 53 da CF, em sua redação originária.</w:t>
      </w:r>
    </w:p>
    <w:p>
      <w:pPr>
        <w:ind w:left="288"/>
      </w:pPr>
      <w:r>
        <w:rPr>
          <w:b/>
          <w:color w:val="003CA0"/>
          <w:sz w:val="16"/>
        </w:rPr>
        <w:t>[Inq 1.710, rel. min. Sydney Sanches, j. 27-2-2002, P, DJ de 28-6-2002.]</w:t>
      </w:r>
    </w:p>
    <w:p>
      <w:pPr>
        <w:ind w:left="288"/>
      </w:pPr>
      <w:r>
        <w:rPr>
          <w:color w:val="8C8C8C"/>
          <w:sz w:val="12"/>
        </w:rPr>
        <w:t>cf-art-53-par-1</w:t>
      </w:r>
      <w:r>
        <w:rPr>
          <w:color w:val="003CA0"/>
          <w:sz w:val="12"/>
        </w:rPr>
        <w:t xml:space="preserve"> | ADPF 424</w:t>
      </w:r>
      <w:r>
        <w:rPr>
          <w:color w:val="003CA0"/>
          <w:sz w:val="12"/>
        </w:rPr>
        <w:t xml:space="preserve"> | rel. Cristiano Zanin</w:t>
      </w:r>
    </w:p>
    <w:p>
      <w:pPr>
        <w:ind w:left="288"/>
      </w:pPr>
      <w:r>
        <w:rPr>
          <w:color w:val="1E1E1E"/>
          <w:sz w:val="18"/>
        </w:rPr>
        <w:t>Busca e apreensão nas dependências do Congresso Nacional e em imóveis funcionais de parlamentares. (...) Ainda que a investigação não tenha como alvo direto o parlamentar, a apreensão nesses locais de objetos, como documentos e dispositivos informáticos, repercute, ainda que indiretamente, sobre o desempenho da atividade parlamentar e o próprio exercício do mandato, atraindo a competência do Supremo Tribunal Federal (CF/1988, art. 53, § 1º, c/c art. 102, I, “b”). O art. 13, II, do Código de Processo Penal foi recepcionado pela Constituição de 1988, sendo que a legalidade do dever nele instituí</w:t>
      </w:r>
    </w:p>
    <w:p>
      <w:pPr>
        <w:ind w:left="288"/>
      </w:pPr>
      <w:r>
        <w:rPr>
          <w:b/>
          <w:color w:val="003CA0"/>
          <w:sz w:val="16"/>
        </w:rPr>
        <w:t>[ADPF 424, rel. min. Cristiano Zanin, j. 29.09.2025, P, DJE de 13.10.2025.]</w:t>
      </w:r>
    </w:p>
    <w:p>
      <w:pPr>
        <w:ind w:left="288"/>
      </w:pPr>
      <w:r>
        <w:rPr>
          <w:color w:val="8C8C8C"/>
          <w:sz w:val="12"/>
        </w:rPr>
        <w:t>cf-art-53-par-1</w:t>
      </w:r>
      <w:r>
        <w:rPr>
          <w:color w:val="003CA0"/>
          <w:sz w:val="12"/>
        </w:rPr>
        <w:t xml:space="preserve"> | AP 937</w:t>
      </w:r>
      <w:r>
        <w:rPr>
          <w:color w:val="003CA0"/>
          <w:sz w:val="12"/>
        </w:rPr>
        <w:t xml:space="preserve"> | rel. Edson Fachin</w:t>
      </w:r>
    </w:p>
    <w:p>
      <w:pPr>
        <w:ind w:left="288"/>
      </w:pPr>
      <w:r>
        <w:rPr>
          <w:color w:val="1E1E1E"/>
          <w:sz w:val="18"/>
        </w:rPr>
        <w:t>(...) por se tratar de prerrogativa do cargo, e não de privilégio pessoal, o foro privativo para atos cometidos no exercício das funções deve subsistir mesmo após a cessão do exercício funcional. Afinal, a saída do cargo não ofusca as razões que fomentam a outorga de competência originária aos Tribunais. O que ocorre é justamente o contrário. É nesse instante que adversários do ex-titular da posição política possuem mais condições de exercer influências em seu desfavor, e a prerrogativa de foro se torna mais necessária para evitar perseguições e maledicências. Há mais. A subsistência do foro e</w:t>
      </w:r>
    </w:p>
    <w:p>
      <w:pPr>
        <w:ind w:left="288"/>
      </w:pPr>
      <w:r>
        <w:rPr>
          <w:b/>
          <w:color w:val="003CA0"/>
          <w:sz w:val="16"/>
        </w:rPr>
        <w:t>[Inq 4.787 AgR-QO, rel. min. Gilmar Mendes, j. 12.03.2025, P, DJE de 27.05.2025.]</w:t>
      </w:r>
    </w:p>
    <w:p>
      <w:pPr>
        <w:ind w:left="288"/>
      </w:pPr>
      <w:r>
        <w:rPr>
          <w:color w:val="8C8C8C"/>
          <w:sz w:val="12"/>
        </w:rPr>
        <w:t>cf-art-53-par-1</w:t>
      </w:r>
      <w:r>
        <w:rPr>
          <w:color w:val="003CA0"/>
          <w:sz w:val="12"/>
        </w:rPr>
        <w:t xml:space="preserve"> | INQ 3.734</w:t>
      </w:r>
      <w:r>
        <w:rPr>
          <w:color w:val="003CA0"/>
          <w:sz w:val="12"/>
        </w:rPr>
        <w:t xml:space="preserve"> | rel. Roberto Barroso</w:t>
      </w:r>
    </w:p>
    <w:p>
      <w:pPr>
        <w:ind w:left="288"/>
      </w:pPr>
      <w:r>
        <w:rPr>
          <w:color w:val="1E1E1E"/>
          <w:sz w:val="18"/>
        </w:rPr>
        <w:t>A Turma, por maioria de votos, já decidiu que a renúncia de parlamentar, após o final da instrução, não acarreta a perda de competência do STF. (...) No Inq 3.734, a Turma entendeu, por ocasião do recebimento da denúncia, que na hipótese de não reeleição não se aplica o mesmo critério de fixação de competência. O caso presente, que envolve julgamento de ação penal, é análogo a este último. No entanto, a instrução foi concluída e o voto do relator preparado quando o denunciado ainda era titular de mandato. Diante disso, o relator propôs a concessão de habeas corpus de ofício, já que seu voto er</w:t>
      </w:r>
    </w:p>
    <w:p>
      <w:pPr>
        <w:ind w:left="288"/>
      </w:pPr>
      <w:r>
        <w:rPr>
          <w:b/>
          <w:color w:val="003CA0"/>
          <w:sz w:val="16"/>
        </w:rPr>
        <w:t>[AP 568, rel. min. Roberto Barroso, j. 14-4-2015, 1ª T, DJE de 18-5-2015.]</w:t>
      </w:r>
    </w:p>
    <w:p>
      <w:pPr>
        <w:ind w:left="288"/>
      </w:pPr>
      <w:r>
        <w:rPr>
          <w:color w:val="8C8C8C"/>
          <w:sz w:val="12"/>
        </w:rPr>
        <w:t>cf-art-53-par-1</w:t>
      </w:r>
      <w:r>
        <w:rPr>
          <w:color w:val="003CA0"/>
          <w:sz w:val="12"/>
        </w:rPr>
        <w:t xml:space="preserve"> | AP 563</w:t>
      </w:r>
      <w:r>
        <w:rPr>
          <w:color w:val="003CA0"/>
          <w:sz w:val="12"/>
        </w:rPr>
        <w:t xml:space="preserve"> | rel. Teori Zavascki</w:t>
      </w:r>
    </w:p>
    <w:p>
      <w:pPr>
        <w:ind w:left="288"/>
      </w:pPr>
      <w:r>
        <w:rPr>
          <w:color w:val="1E1E1E"/>
          <w:sz w:val="18"/>
        </w:rPr>
        <w:t>Incumbe ao STF, nos termos do art. 102, I, b, da Constituição, processar e julgar originariamente, nas infrações penais comuns (como no caso), os membros do Congresso Nacional desde o momento em que passam a ter direito a assento na cadeira parlamentar, com a expedição do diploma (art. 53, § 1º, da Constituição).</w:t>
      </w:r>
    </w:p>
    <w:p>
      <w:pPr>
        <w:ind w:left="288"/>
      </w:pPr>
      <w:r>
        <w:rPr>
          <w:b/>
          <w:color w:val="003CA0"/>
          <w:sz w:val="16"/>
        </w:rPr>
        <w:t>[AP 563, rel. min. Teori Zavascki, j. 21-10-2014, 2ª T, DJE de 28-11-2014.]</w:t>
      </w:r>
    </w:p>
    <w:p>
      <w:pPr>
        <w:ind w:left="288"/>
      </w:pPr>
      <w:r>
        <w:rPr>
          <w:color w:val="8C8C8C"/>
          <w:sz w:val="12"/>
        </w:rPr>
        <w:t>cf-art-53-par-1</w:t>
      </w:r>
      <w:r>
        <w:rPr>
          <w:color w:val="003CA0"/>
          <w:sz w:val="12"/>
        </w:rPr>
        <w:t xml:space="preserve"> | AP 634</w:t>
      </w:r>
      <w:r>
        <w:rPr>
          <w:color w:val="003CA0"/>
          <w:sz w:val="12"/>
        </w:rPr>
        <w:t xml:space="preserve"> | rel. Roberto Barroso</w:t>
      </w:r>
    </w:p>
    <w:p>
      <w:pPr>
        <w:ind w:left="288"/>
      </w:pPr>
      <w:r>
        <w:rPr>
          <w:color w:val="1E1E1E"/>
          <w:sz w:val="18"/>
        </w:rPr>
        <w:t xml:space="preserve">Proferido o primeiro voto em julgamento de apelação criminal por tribunal de justiça, o exercício superveniente de mandato parlamentar pelo réu, antes da conclusão do julgamento, não tem o condão de deslocar a competência para o STF. Ademais, no caso, o réu foi diplomado suplente e assumiu o mandato, em razão do afastamento do titular, dois dias antes de o revisor devolver o processo para continuação do julgamento, havendo comunicado esse fato apenas no dia da sessão. Mais que isso, atualmente, conforme consulta ao sítio da Câmara dos Deputados, o réu não exerce mais o mandato parlamentar. Em </w:t>
      </w:r>
    </w:p>
    <w:p>
      <w:pPr>
        <w:ind w:left="288"/>
      </w:pPr>
      <w:r>
        <w:rPr>
          <w:b/>
          <w:color w:val="003CA0"/>
          <w:sz w:val="16"/>
        </w:rPr>
        <w:t>[AP 634 QO, rel. min. Roberto Barroso, j. 6-2-2014, P, DJE de 30-10-2014.]</w:t>
      </w:r>
    </w:p>
    <w:p>
      <w:pPr>
        <w:ind w:left="288"/>
      </w:pPr>
      <w:r>
        <w:rPr>
          <w:color w:val="8C8C8C"/>
          <w:sz w:val="12"/>
        </w:rPr>
        <w:t>cf-art-53-par-1</w:t>
      </w:r>
      <w:r>
        <w:rPr>
          <w:color w:val="003CA0"/>
          <w:sz w:val="12"/>
        </w:rPr>
        <w:t xml:space="preserve"> | HC 70.620</w:t>
      </w:r>
      <w:r>
        <w:rPr>
          <w:color w:val="003CA0"/>
          <w:sz w:val="12"/>
        </w:rPr>
        <w:t xml:space="preserve"> | rel. Celso de Mello</w:t>
      </w:r>
    </w:p>
    <w:p>
      <w:pPr>
        <w:ind w:left="288"/>
      </w:pPr>
      <w:r>
        <w:rPr>
          <w:color w:val="1E1E1E"/>
          <w:sz w:val="18"/>
        </w:rPr>
        <w:t>Vide HC 70.620, rel. min. Celso de Mello, j. 16-12-1993, P, DJ de 24-11-2006 A instauração do procedimento a que se refere o art. 22 da LC 64/1990 – pertinente ao suposto envolvimento de membro do Congresso Nacional em alegado abuso de poder econômico, considerada a natureza jurídica das sanções de direito eleitoral nele imponíveis – não torna invocável, por isso mesmo, para efeito de seu processamento, a prerrogativa de foro perante o STF, eis que esse procedimento, disciplinado pela LC 64/1990 (art. 22), objetiva, em última análise, viabilizar a imposição de sanção de direito eleitoral, desv</w:t>
      </w:r>
    </w:p>
    <w:p>
      <w:pPr>
        <w:ind w:left="288"/>
      </w:pPr>
      <w:r>
        <w:rPr>
          <w:b/>
          <w:color w:val="003CA0"/>
          <w:sz w:val="16"/>
        </w:rPr>
        <w:t>[Rcl 13.286 MC, rel. min. Celso de Mello, j. 17-2-2012, dec. monocrática, DJE de 29-2-2012.]</w:t>
      </w:r>
    </w:p>
    <w:p>
      <w:pPr>
        <w:ind w:left="288"/>
      </w:pPr>
      <w:r>
        <w:rPr>
          <w:color w:val="8C8C8C"/>
          <w:sz w:val="12"/>
        </w:rPr>
        <w:t>cf-art-53-par-1</w:t>
      </w:r>
      <w:r>
        <w:rPr>
          <w:color w:val="003CA0"/>
          <w:sz w:val="12"/>
        </w:rPr>
        <w:t xml:space="preserve"> | AP 396</w:t>
      </w:r>
      <w:r>
        <w:rPr>
          <w:color w:val="003CA0"/>
          <w:sz w:val="12"/>
        </w:rPr>
        <w:t xml:space="preserve"> | rel. Cármen Lúcia</w:t>
      </w:r>
    </w:p>
    <w:p>
      <w:pPr>
        <w:ind w:left="288"/>
      </w:pPr>
      <w:r>
        <w:rPr>
          <w:color w:val="1E1E1E"/>
          <w:sz w:val="18"/>
        </w:rPr>
        <w:t>Deputado federal. Renúncia ao mandato. Abuso de direito: reconhecimento da competência do STF para a continuidade do julgamento da presente ação penal. (...) Renúncia de mandato: ato legítimo. Não se presta, porém, a ser utilizada como subterfúgio para deslocamento de competências constitucionalmente definidas, que não podem ser objeto de escolha pessoal. Impossibilidade de ser aproveitada como expediente para impedir o julgamento em tempo à absolvição ou à condenação e, neste caso, à definição de penas. No caso, a renúncia do mandato foi apresentada à Casa Legislativa em 27-10-2010, véspera d</w:t>
      </w:r>
    </w:p>
    <w:p>
      <w:pPr>
        <w:ind w:left="288"/>
      </w:pPr>
      <w:r>
        <w:rPr>
          <w:b/>
          <w:color w:val="003CA0"/>
          <w:sz w:val="16"/>
        </w:rPr>
        <w:t>[AP 396, rel. min. Cármen Lúcia, j. 28-10-2010, P, DJE de 28-4-2011.]</w:t>
      </w:r>
    </w:p>
    <w:p>
      <w:pPr>
        <w:ind w:left="288"/>
      </w:pPr>
      <w:r>
        <w:rPr>
          <w:color w:val="8C8C8C"/>
          <w:sz w:val="12"/>
        </w:rPr>
        <w:t>cf-art-53-par-1</w:t>
      </w:r>
      <w:r>
        <w:rPr>
          <w:color w:val="003CA0"/>
          <w:sz w:val="12"/>
        </w:rPr>
        <w:t xml:space="preserve"> | AP 606</w:t>
      </w:r>
      <w:r>
        <w:rPr>
          <w:color w:val="003CA0"/>
          <w:sz w:val="12"/>
        </w:rPr>
        <w:t xml:space="preserve"> | rel. Roberto Barroso</w:t>
      </w:r>
    </w:p>
    <w:p>
      <w:pPr>
        <w:ind w:left="288"/>
      </w:pPr>
      <w:r>
        <w:rPr>
          <w:color w:val="1E1E1E"/>
          <w:sz w:val="18"/>
        </w:rPr>
        <w:t>Vide AP 606 QO, rel. min. Roberto Barroso, j. 12-8-2014, 1ª T, DJE de 18-9-2014 Vide AP 333, rel. min. Joaquim Barbosa, j. 5-12-2007, P, DJE de 11-4-2008 (...) tratando-se de parlamentar indiciado, submetido a investigação penal, não tem ele a prerrogativa a que se refere o art. 221 do CPP. Com efeito, aqueles que figuram como indiciados (inquérito policial) ou como réus (processo penal), em procedimentos instaurados ou em curso perante o STF, não dispõem da prerrogativa instituída pelo art. 221 do CPP, eis que essa norma legal somente se aplica às autoridades que ostentem a condição formal de</w:t>
      </w:r>
    </w:p>
    <w:p>
      <w:pPr>
        <w:ind w:left="288"/>
      </w:pPr>
      <w:r>
        <w:rPr>
          <w:b/>
          <w:color w:val="003CA0"/>
          <w:sz w:val="16"/>
        </w:rPr>
        <w:t>[Inq 2.839, rel. min. Celso de Mello, j. 11-9-2009, dec. monocrática, DJE de 17-9-2009.]</w:t>
      </w:r>
    </w:p>
    <w:p>
      <w:pPr>
        <w:ind w:left="288"/>
      </w:pPr>
      <w:r>
        <w:rPr>
          <w:color w:val="8C8C8C"/>
          <w:sz w:val="12"/>
        </w:rPr>
        <w:t>cf-art-53-par-1</w:t>
      </w:r>
      <w:r>
        <w:rPr>
          <w:color w:val="003CA0"/>
          <w:sz w:val="12"/>
        </w:rPr>
        <w:t xml:space="preserve"> | AP 421</w:t>
      </w:r>
      <w:r>
        <w:rPr>
          <w:color w:val="003CA0"/>
          <w:sz w:val="12"/>
        </w:rPr>
        <w:t xml:space="preserve"> | rel. Joaquim Barbosa</w:t>
      </w:r>
    </w:p>
    <w:p>
      <w:pPr>
        <w:ind w:left="288"/>
      </w:pPr>
      <w:r>
        <w:rPr>
          <w:color w:val="1E1E1E"/>
          <w:sz w:val="18"/>
        </w:rPr>
        <w:t>Vide AP 421 QO, rel. min. Joaquim Barbosa, j. 22-10-2009, P, DJE de 4-2-2011 Ex-deputado não tem direito a foro especial por prerrogativa de função, em ação civil pública por improbidade administrativa.</w:t>
      </w:r>
    </w:p>
    <w:p>
      <w:pPr>
        <w:ind w:left="288"/>
      </w:pPr>
      <w:r>
        <w:rPr>
          <w:b/>
          <w:color w:val="003CA0"/>
          <w:sz w:val="16"/>
        </w:rPr>
        <w:t>[Pet 3.421 AgR, rel. min. Cezar Peluso, j. 25-6-2009, P, DJE de 4-6-2010.]</w:t>
      </w:r>
    </w:p>
    <w:p>
      <w:pPr>
        <w:ind w:left="288"/>
      </w:pPr>
      <w:r>
        <w:rPr>
          <w:color w:val="8C8C8C"/>
          <w:sz w:val="12"/>
        </w:rPr>
        <w:t>cf-art-53-par-1</w:t>
      </w:r>
      <w:r>
        <w:rPr>
          <w:color w:val="003CA0"/>
          <w:sz w:val="12"/>
        </w:rPr>
        <w:t xml:space="preserve"> | INQ 2.421</w:t>
      </w:r>
      <w:r>
        <w:rPr>
          <w:color w:val="003CA0"/>
          <w:sz w:val="12"/>
        </w:rPr>
        <w:t xml:space="preserve"> | rel. Menezes Direito</w:t>
      </w:r>
    </w:p>
    <w:p>
      <w:pPr>
        <w:ind w:left="288"/>
      </w:pPr>
      <w:r>
        <w:rPr>
          <w:color w:val="1E1E1E"/>
          <w:sz w:val="18"/>
        </w:rPr>
        <w:t>Vide Inq 2.421 AgR, rel. min. Menezes Direito, j. 14-2-2008, P, DJE de 4-4-2008 Vide Inq 2.429 AgR, rel. min. Joaquim Barbosa, j. 27-6-2007, P, DJE de 17-8-2007 Vide Inq 2.453 AgR, rel. min. Ricardo Lewandowski, j. 17-5-2007, P, DJ de 29-6-2007 Prerrogativa de foro. Termo inicial. Recebida a denúncia em data anterior ao fenômeno gerador da prerrogativa de foro, descabe entender insubsistente o ato judicial formalizado, não se podendo concluir pela existência de vício considerado o fator tempo.</w:t>
      </w:r>
    </w:p>
    <w:p>
      <w:pPr>
        <w:ind w:left="288"/>
      </w:pPr>
      <w:r>
        <w:rPr>
          <w:b/>
          <w:color w:val="003CA0"/>
          <w:sz w:val="16"/>
        </w:rPr>
        <w:t>[HC 91.593, rel. min. Marco Aurélio, j. 11-9-2008, P, DJE de 17-4-2009.]</w:t>
      </w:r>
    </w:p>
    <w:p>
      <w:pPr>
        <w:ind w:left="288"/>
      </w:pPr>
      <w:r>
        <w:rPr>
          <w:color w:val="8C8C8C"/>
          <w:sz w:val="12"/>
        </w:rPr>
        <w:t>cf-art-53-par-1</w:t>
      </w:r>
      <w:r>
        <w:rPr>
          <w:color w:val="003CA0"/>
          <w:sz w:val="12"/>
        </w:rPr>
        <w:t xml:space="preserve"> | INQ 2.421</w:t>
      </w:r>
      <w:r>
        <w:rPr>
          <w:color w:val="003CA0"/>
          <w:sz w:val="12"/>
        </w:rPr>
        <w:t xml:space="preserve"> | rel. Menezes Direito</w:t>
      </w:r>
    </w:p>
    <w:p>
      <w:pPr>
        <w:ind w:left="288"/>
      </w:pPr>
      <w:r>
        <w:rPr>
          <w:color w:val="1E1E1E"/>
          <w:sz w:val="18"/>
        </w:rPr>
        <w:t>A prerrogativa de foro conferida aos membros do Congresso Nacional, vinculada à liberdade máxima necessária ao bom desempenho do ofício legislativo, estende-se ao suplente respectivo apenas durante o período em que este permanecer no efetivo exercício da atividade parlamentar. Assim, o retorno do deputado ou do senador titular às funções normais implica a perda, pelo suplente, do direito de ser investigado, processado e julgado no STF.</w:t>
      </w:r>
    </w:p>
    <w:p>
      <w:pPr>
        <w:ind w:left="288"/>
      </w:pPr>
      <w:r>
        <w:rPr>
          <w:b/>
          <w:color w:val="003CA0"/>
          <w:sz w:val="16"/>
        </w:rPr>
        <w:t>[Inq 2.421 AgR, rel. min. Menezes Direito, j. 14-2-2008, P, DJE de 4-4-2008.]</w:t>
      </w:r>
    </w:p>
    <w:p>
      <w:pPr>
        <w:ind w:left="288"/>
      </w:pPr>
      <w:r>
        <w:rPr>
          <w:color w:val="8C8C8C"/>
          <w:sz w:val="12"/>
        </w:rPr>
        <w:t>cf-art-53-par-1</w:t>
      </w:r>
      <w:r>
        <w:rPr>
          <w:color w:val="003CA0"/>
          <w:sz w:val="12"/>
        </w:rPr>
        <w:t xml:space="preserve"> | INQ 3.341</w:t>
      </w:r>
      <w:r>
        <w:rPr>
          <w:color w:val="003CA0"/>
          <w:sz w:val="12"/>
        </w:rPr>
        <w:t xml:space="preserve"> | rel. Celso de Mello</w:t>
      </w:r>
    </w:p>
    <w:p>
      <w:pPr>
        <w:ind w:left="288"/>
      </w:pPr>
      <w:r>
        <w:rPr>
          <w:color w:val="1E1E1E"/>
          <w:sz w:val="18"/>
        </w:rPr>
        <w:t>= Inq 3.341, rel. min. Celso de Mello, j. 25-4-2012, dec. monocrática, DJE de 3-5-2012 Os membros do Congresso Nacional, pela condição peculiar de representantes do povo ou dos Estados que ostentam, atraem a competência jurisdicional do STF. O foro especial possui natureza intuitu funcionae, ligando-se ao cargo de senador ou deputado e não à pessoa do parlamentar. Não se cuida de prerrogativa intuitu personae, vinculando-se ao cargo, ainda que ocupado interinamente, razão pela qual se admite a sua perda ante o retorno do titular ao exercício daquele. A diplomação do suplente não lhe estende au</w:t>
      </w:r>
    </w:p>
    <w:p>
      <w:pPr>
        <w:ind w:left="288"/>
      </w:pPr>
      <w:r>
        <w:rPr>
          <w:b/>
          <w:color w:val="003CA0"/>
          <w:sz w:val="16"/>
        </w:rPr>
        <w:t>[Inq 2.453 AgR, rel. min. Ricardo Lewandowski, j. 17-5-2007, P, DJ de 29-6-2007.]</w:t>
      </w:r>
    </w:p>
    <w:p>
      <w:pPr>
        <w:ind w:left="288"/>
      </w:pPr>
      <w:r>
        <w:rPr>
          <w:color w:val="8C8C8C"/>
          <w:sz w:val="12"/>
        </w:rPr>
        <w:t>cf-art-53-par-1</w:t>
      </w:r>
      <w:r>
        <w:rPr>
          <w:color w:val="003CA0"/>
          <w:sz w:val="12"/>
        </w:rPr>
        <w:t xml:space="preserve"> | INQ 2.421</w:t>
      </w:r>
      <w:r>
        <w:rPr>
          <w:color w:val="003CA0"/>
          <w:sz w:val="12"/>
        </w:rPr>
        <w:t xml:space="preserve"> | rel. Menezes Direito</w:t>
      </w:r>
    </w:p>
    <w:p>
      <w:pPr>
        <w:ind w:left="288"/>
      </w:pPr>
      <w:r>
        <w:rPr>
          <w:color w:val="1E1E1E"/>
          <w:sz w:val="18"/>
        </w:rPr>
        <w:t>= Inq 2.421 AgR, rel. min. Menezes Direito, j. 14-2-2008, P, DJE de 4-4-2008 A diplomação do réu como deputado federal opera o deslocamento, para o STF, da competência penal para a persecutio criminis, não tendo o condão de afetar a integridade jurídica dos atos processuais, inclusive os de caráter decisório, já praticados, com base no ordenamento positivo vigente à época de sua efetivação, por órgão judiciário até então competente.</w:t>
      </w:r>
    </w:p>
    <w:p>
      <w:pPr>
        <w:ind w:left="288"/>
      </w:pPr>
      <w:r>
        <w:rPr>
          <w:b/>
          <w:color w:val="003CA0"/>
          <w:sz w:val="16"/>
        </w:rPr>
        <w:t>[HC 70.620, rel. min. Celso de Mello, j. 16-12-1993, P, DJ de 24-11-2006.]</w:t>
      </w:r>
    </w:p>
    <w:p>
      <w:pPr>
        <w:ind w:left="288"/>
      </w:pPr>
      <w:r>
        <w:rPr>
          <w:color w:val="8C8C8C"/>
          <w:sz w:val="12"/>
        </w:rPr>
        <w:t>cf-art-53-par-1</w:t>
      </w:r>
      <w:r>
        <w:rPr>
          <w:color w:val="003CA0"/>
          <w:sz w:val="12"/>
        </w:rPr>
        <w:t xml:space="preserve"> | INQ 2.767</w:t>
      </w:r>
      <w:r>
        <w:rPr>
          <w:color w:val="003CA0"/>
          <w:sz w:val="12"/>
        </w:rPr>
        <w:t xml:space="preserve"> | rel. Joaquim Barbosa</w:t>
      </w:r>
    </w:p>
    <w:p>
      <w:pPr>
        <w:ind w:left="288"/>
      </w:pPr>
      <w:r>
        <w:rPr>
          <w:color w:val="1E1E1E"/>
          <w:sz w:val="18"/>
        </w:rPr>
        <w:t>= Inq 2.767, rel. min. Joaquim Barbosa, j. 18-6-2009, P, DJE de 4-9-2009 Vide AP 634 QO, rel. min. Roberto Barroso, j. 6-2-2014, P, DJE de 30-10-2014 § 2º Desde a expedição do diploma, os membros do Congresso Nacional não poderão ser presos, salvo em flagrante de crime inafiançável. Nesse caso, os autos serão remetidos dentro de vinte e quatro horas à Casa respectiva, para que, pelo voto da maioria de seus membros, resolva sobre a prisão. (Redação da EC 35/2001)</w:t>
      </w:r>
    </w:p>
    <w:p>
      <w:pPr>
        <w:ind w:left="144"/>
      </w:pPr>
      <w:r>
        <w:rPr>
          <w:b/>
          <w:color w:val="B45A00"/>
          <w:sz w:val="16"/>
        </w:rPr>
        <w:t>CONTROLE CONCENTRADO</w:t>
      </w:r>
    </w:p>
    <w:p>
      <w:pPr>
        <w:ind w:left="288"/>
      </w:pPr>
      <w:r>
        <w:rPr>
          <w:color w:val="8C8C8C"/>
          <w:sz w:val="12"/>
        </w:rPr>
        <w:t>cf-art-53-par-1</w:t>
      </w:r>
      <w:r>
        <w:rPr>
          <w:color w:val="003CA0"/>
          <w:sz w:val="12"/>
        </w:rPr>
        <w:t xml:space="preserve"> | ADI 5.526</w:t>
      </w:r>
    </w:p>
    <w:p>
      <w:pPr>
        <w:ind w:left="288"/>
      </w:pPr>
      <w:r>
        <w:rPr>
          <w:color w:val="1E1E1E"/>
          <w:sz w:val="18"/>
        </w:rPr>
        <w:t>O Poder Judiciário dispõe de competência para impor aos parlamentares, por autoridade própria, as medidas cautelares a que se refere o art. 319 do CPP, seja em substituição de prisão em flagrante delito por crime inafiançável, por constituírem medidas individuais e específicas menos gravosas; seja autonomamente, em circunstâncias de excepcional gravidade. Os autos da prisão em flagrante delito por crime inafiançável ou a decisão judicial de imposição de medidas cautelares que impossibilitem, direta ou indiretamente, o pleno e regular exercício do mandato parlamentar e de suas funções legislati</w:t>
      </w:r>
    </w:p>
    <w:p>
      <w:pPr>
        <w:ind w:left="144"/>
      </w:pPr>
      <w:r>
        <w:rPr>
          <w:b/>
          <w:color w:val="B45A00"/>
          <w:sz w:val="16"/>
        </w:rPr>
        <w:t>JULGADOS CORRELATOS</w:t>
      </w:r>
    </w:p>
    <w:p>
      <w:pPr>
        <w:ind w:left="288"/>
      </w:pPr>
      <w:r>
        <w:rPr>
          <w:color w:val="8C8C8C"/>
          <w:sz w:val="12"/>
        </w:rPr>
        <w:t>cf-art-53-par-1</w:t>
      </w:r>
      <w:r>
        <w:rPr>
          <w:color w:val="003CA0"/>
          <w:sz w:val="12"/>
        </w:rPr>
        <w:t xml:space="preserve"> | ADI 5.526</w:t>
      </w:r>
      <w:r>
        <w:rPr>
          <w:color w:val="003CA0"/>
          <w:sz w:val="12"/>
        </w:rPr>
        <w:t xml:space="preserve"> | rel. Alexandre de Moraes</w:t>
      </w:r>
    </w:p>
    <w:p>
      <w:pPr>
        <w:ind w:left="288"/>
      </w:pPr>
      <w:r>
        <w:rPr>
          <w:color w:val="1E1E1E"/>
          <w:sz w:val="18"/>
        </w:rPr>
        <w:t>Violação às medidas cautelares impostas. Possibilidade de fixação de multa diária, com Desconto direto nos vencimentos e bloqueio imediato das contas bancárias do réu como garantia de cumprimento da medida. Desnecessidade de manifestação da casa legislativa por ausência de interferência direta ou indireta no exercício do mandato Parlamentar (ADI 5.526).</w:t>
      </w:r>
    </w:p>
    <w:p>
      <w:pPr>
        <w:ind w:left="288"/>
      </w:pPr>
      <w:r>
        <w:rPr>
          <w:b/>
          <w:color w:val="003CA0"/>
          <w:sz w:val="16"/>
        </w:rPr>
        <w:t>[AP 1.044 REF, rel. min. Alexandre de Moraes, j. 4-4-2022, P, DJE de 21-6-2022.]</w:t>
        <w:br/>
        <w:t>Vide ADI 5.526, rel. min. Edson Fachin, red. do ac. min. Alexandre de Moraes, j. 11-10-2017, P, DJE de 7-8-2018</w:t>
      </w:r>
    </w:p>
    <w:p>
      <w:pPr>
        <w:ind w:left="288"/>
      </w:pPr>
      <w:r>
        <w:rPr>
          <w:color w:val="8C8C8C"/>
          <w:sz w:val="12"/>
        </w:rPr>
        <w:t>cf-art-53-par-1</w:t>
      </w:r>
      <w:r>
        <w:rPr>
          <w:color w:val="003CA0"/>
          <w:sz w:val="12"/>
        </w:rPr>
        <w:t xml:space="preserve"> | AC 4.039</w:t>
      </w:r>
      <w:r>
        <w:rPr>
          <w:color w:val="003CA0"/>
          <w:sz w:val="12"/>
        </w:rPr>
        <w:t xml:space="preserve"> | rel. Teori Zavascki</w:t>
      </w:r>
    </w:p>
    <w:p>
      <w:pPr>
        <w:ind w:left="288"/>
      </w:pPr>
      <w:r>
        <w:rPr>
          <w:color w:val="1E1E1E"/>
          <w:sz w:val="18"/>
        </w:rPr>
        <w:t xml:space="preserve">A Constituição Federal não permite a propagação de ideias contrárias à ordem constitucional e ao Estado Democrático (CF, art. 5º, XLIV; 34, III e IV), nem tampouco a realização de manifestações nas redes sociais visando ao rompimento do Estado de Direito, com a extinção das cláusulas pétreas constitucionais – Separação de Poderes (CF, art. 60, §4º), com a consequente, instalação do arbítrio. (...) As condutas praticadas pelo parlamentar foram perpetradas em âmbito virtual, por meio da publicação e divulgação de vídeos em mídia digital (‘YouTube’) durante todo o dia, com constante interação do </w:t>
      </w:r>
    </w:p>
    <w:p>
      <w:pPr>
        <w:ind w:left="288"/>
      </w:pPr>
      <w:r>
        <w:rPr>
          <w:b/>
          <w:color w:val="003CA0"/>
          <w:sz w:val="16"/>
        </w:rPr>
        <w:t>[Inq 4.781 REF, rel. min. Alexandre de Moraes, j. 17-2-2021, P, DJE de 14-5-2021.]</w:t>
      </w:r>
    </w:p>
    <w:p>
      <w:pPr>
        <w:ind w:left="288"/>
      </w:pPr>
      <w:r>
        <w:rPr>
          <w:color w:val="8C8C8C"/>
          <w:sz w:val="12"/>
        </w:rPr>
        <w:t>cf-art-53-par-1</w:t>
      </w:r>
      <w:r>
        <w:rPr>
          <w:color w:val="003CA0"/>
          <w:sz w:val="12"/>
        </w:rPr>
        <w:t xml:space="preserve"> | HC 89.417</w:t>
      </w:r>
      <w:r>
        <w:rPr>
          <w:color w:val="003CA0"/>
          <w:sz w:val="12"/>
        </w:rPr>
        <w:t xml:space="preserve"> | rel. Cármen Lúcia</w:t>
      </w:r>
    </w:p>
    <w:p>
      <w:pPr>
        <w:ind w:left="288"/>
      </w:pPr>
      <w:r>
        <w:rPr>
          <w:color w:val="1E1E1E"/>
          <w:sz w:val="18"/>
        </w:rPr>
        <w:t xml:space="preserve">Os elementos contidos nos autos impõem interpretação que considere mais que a regra proibitiva da prisão de parlamentar, isoladamente, como previsto no art. 53, § 2º, da Constituição da República. Há de se buscar interpretação que conduza à aplicação efetiva e eficaz do sistema constitucional como um todo. A norma constitucional que cuida da imunidade parlamentar e da proibição de prisão do membro de órgão legislativo não pode ser tomada em sua literalidade, menos ainda como regra isolada do sistema constitucional. Os princípios determinam a interpretação e aplicação corretas da norma, sempre </w:t>
      </w:r>
    </w:p>
    <w:p>
      <w:pPr>
        <w:ind w:left="288"/>
      </w:pPr>
      <w:r>
        <w:rPr>
          <w:b/>
          <w:color w:val="003CA0"/>
          <w:sz w:val="16"/>
        </w:rPr>
        <w:t>[HC 89.417, rel. min. Cármen Lúcia, j. 22-8-2006, 1ª T, DJ de 15-12-2006.]</w:t>
      </w:r>
    </w:p>
    <w:p>
      <w:pPr>
        <w:ind w:left="288"/>
      </w:pPr>
      <w:r>
        <w:rPr>
          <w:color w:val="8C8C8C"/>
          <w:sz w:val="12"/>
        </w:rPr>
        <w:t>cf-art-53-par-1</w:t>
      </w:r>
      <w:r>
        <w:rPr>
          <w:color w:val="003CA0"/>
          <w:sz w:val="12"/>
        </w:rPr>
        <w:t xml:space="preserve"> | INQ 1.344</w:t>
      </w:r>
      <w:r>
        <w:rPr>
          <w:color w:val="003CA0"/>
          <w:sz w:val="12"/>
        </w:rPr>
        <w:t xml:space="preserve"> | rel. Sepúlveda Pertence</w:t>
      </w:r>
    </w:p>
    <w:p>
      <w:pPr>
        <w:ind w:left="288"/>
      </w:pPr>
      <w:r>
        <w:rPr>
          <w:color w:val="1E1E1E"/>
          <w:sz w:val="18"/>
        </w:rPr>
        <w:t>Ao contrário da inviolabilidade ou imunidade material que elide a criminalidade do fato ou, pelo menos, a responsabilidade do agente – e, substantiva, por isso, instituto de direito penal –, a "licença prévia" antes exigida caracterizava mera condição de procedibilidade, a qual – até que deferida ou enquanto durasse a investidura parlamentar do acusado – configurava empecilho temporário ao exercício da jurisdição, impedindo a instauração ou o curso do processo. Do que resulta induvidoso – independentemente de qualquer indagação sobre a eficácia temporal de emenda à Constituição – a aplicabilid</w:t>
      </w:r>
    </w:p>
    <w:p>
      <w:pPr>
        <w:ind w:left="288"/>
      </w:pPr>
      <w:r>
        <w:rPr>
          <w:b/>
          <w:color w:val="003CA0"/>
          <w:sz w:val="16"/>
        </w:rPr>
        <w:t>[Inq 1.344, rel. min. Sepúlveda Pertence, j. 7-8-2002, P, DJ de 1º-8-2003.]</w:t>
      </w:r>
    </w:p>
    <w:p>
      <w:pPr>
        <w:ind w:left="288"/>
      </w:pPr>
      <w:r>
        <w:rPr>
          <w:color w:val="8C8C8C"/>
          <w:sz w:val="12"/>
        </w:rPr>
        <w:t>cf-art-53-par-1</w:t>
      </w:r>
      <w:r>
        <w:rPr>
          <w:color w:val="003CA0"/>
          <w:sz w:val="12"/>
        </w:rPr>
        <w:t xml:space="preserve"> | AP 2.668</w:t>
      </w:r>
      <w:r>
        <w:rPr>
          <w:color w:val="003CA0"/>
          <w:sz w:val="12"/>
        </w:rPr>
        <w:t xml:space="preserve"> | rel. Alexandre de Moraes</w:t>
      </w:r>
    </w:p>
    <w:p>
      <w:pPr>
        <w:ind w:left="288"/>
      </w:pPr>
      <w:r>
        <w:rPr>
          <w:color w:val="1E1E1E"/>
          <w:sz w:val="18"/>
        </w:rPr>
        <w:t>§ 3º Recebida a denúncia contra o Senador ou Deputado, por crime ocorrido após a diplomação, o Supremo Tribunal Federal dará ciência à Casa respectiva, que, por iniciativa de partido político nela representado e pelo voto da maioria de seus membros, poderá, até a decisão final, sustar o andamento da ação. (Redação da EC 35/2001) O § 3º do artigo 53 da Constituição Federal, com redação dada pela Emenda Constitucional nº 35, de 20 de dezembro de 2001, estabelece que somente as ações penais instauradas contra Parlamentares, por infrações praticadas após a diplomação, poderão ser suspensas pela su</w:t>
      </w:r>
    </w:p>
    <w:p>
      <w:pPr>
        <w:ind w:left="288"/>
      </w:pPr>
      <w:r>
        <w:rPr>
          <w:b/>
          <w:color w:val="003CA0"/>
          <w:sz w:val="16"/>
        </w:rPr>
        <w:t>[AP 2.668 QO, rel. min. Alexandre de Moraes, j. 14.05.2025, 1ª T, DJE de 14.05.2025.]</w:t>
      </w:r>
    </w:p>
    <w:p>
      <w:pPr>
        <w:ind w:left="288"/>
      </w:pPr>
      <w:r>
        <w:rPr>
          <w:color w:val="8C8C8C"/>
          <w:sz w:val="12"/>
        </w:rPr>
        <w:t>cf-art-53-par-1</w:t>
      </w:r>
      <w:r>
        <w:rPr>
          <w:color w:val="003CA0"/>
          <w:sz w:val="12"/>
        </w:rPr>
        <w:t xml:space="preserve"> | INQ 1.637</w:t>
      </w:r>
      <w:r>
        <w:rPr>
          <w:color w:val="003CA0"/>
          <w:sz w:val="12"/>
        </w:rPr>
        <w:t xml:space="preserve"> | rel. Ayres Britto</w:t>
      </w:r>
    </w:p>
    <w:p>
      <w:pPr>
        <w:ind w:left="288"/>
      </w:pPr>
      <w:r>
        <w:rPr>
          <w:color w:val="1E1E1E"/>
          <w:sz w:val="18"/>
        </w:rPr>
        <w:t>O STF, em várias oportunidades, firmou o entendimento de que a EC 35, publicada em 21-12-2001, tem aplicabilidade imediata, por referir-se a imunidade processual, apta a alcançar as situações em curso. Referida emenda "suprimiu, para efeito de prosseguimento da persecutio criminis, a necessidade de licença parlamentar, distinguindo, ainda, entre delitos ocorridos antes e após a diplomação, para admitir, somente quanto a estes últimos, a possibilidade de suspensão do curso da ação penal" (Inq 1.637, min. Celso de Mello). Em face desta orientação, carece de plausibilidade jurídica, para o fim de</w:t>
      </w:r>
    </w:p>
    <w:p>
      <w:pPr>
        <w:ind w:left="288"/>
      </w:pPr>
      <w:r>
        <w:rPr>
          <w:color w:val="8C8C8C"/>
          <w:sz w:val="12"/>
        </w:rPr>
        <w:t>cf-art-53-par-7</w:t>
      </w:r>
    </w:p>
    <w:p>
      <w:pPr>
        <w:ind w:left="288"/>
      </w:pPr>
      <w:r>
        <w:rPr>
          <w:color w:val="1E1E1E"/>
          <w:sz w:val="18"/>
        </w:rPr>
        <w:t>§ 8º As imunidades de Deputados ou Senadores subsistirão durante o estado de sítio, só podendo ser suspensas mediante o voto de dois terços dos membros da Casa respectiva, nos casos de atos praticados fora do recinto do Congresso Nacional, que sejam incompatíveis com a execução da medida. (Incluído pela EC 35/2001)</w:t>
      </w:r>
    </w:p>
    <w:p>
      <w:pPr>
        <w:ind w:left="720"/>
      </w:pPr>
      <w:r>
        <w:rPr>
          <w:color w:val="003366"/>
          <w:sz w:val="18"/>
        </w:rPr>
        <w:t>I – aproveitamento no serviço público, sem a exigência de concurso, com estabili</w:t>
      </w:r>
    </w:p>
    <w:p>
      <w:pPr>
        <w:ind w:left="720"/>
      </w:pPr>
      <w:r>
        <w:rPr>
          <w:color w:val="003366"/>
          <w:sz w:val="18"/>
        </w:rPr>
        <w:t>II – pensão especial correspondente à deixada por segundo-tenente das Forças Arm</w:t>
      </w:r>
    </w:p>
    <w:p>
      <w:pPr>
        <w:ind w:left="720"/>
      </w:pPr>
      <w:r>
        <w:rPr>
          <w:color w:val="003366"/>
          <w:sz w:val="18"/>
        </w:rPr>
        <w:t>III – em caso de morte, pensão à viúva ou companheira ou dependente, de forma pr</w:t>
      </w:r>
    </w:p>
    <w:p>
      <w:pPr>
        <w:ind w:left="720"/>
      </w:pPr>
      <w:r>
        <w:rPr>
          <w:color w:val="003366"/>
          <w:sz w:val="18"/>
        </w:rPr>
        <w:t>IV – assistência médica, hospitalar e educacional gratuita, extensiva aos depend</w:t>
      </w:r>
    </w:p>
    <w:p>
      <w:pPr>
        <w:ind w:left="720"/>
      </w:pPr>
      <w:r>
        <w:rPr>
          <w:color w:val="003366"/>
          <w:sz w:val="18"/>
        </w:rPr>
        <w:t>V – aposentadoria com proventos integrais aos vinte e cinco anos de serviço efet</w:t>
      </w:r>
    </w:p>
    <w:p>
      <w:pPr>
        <w:ind w:left="720"/>
      </w:pPr>
      <w:r>
        <w:rPr>
          <w:color w:val="003366"/>
          <w:sz w:val="18"/>
        </w:rPr>
        <w:t xml:space="preserve">VI – prioridade na aquisição da casa própria, para os que não a possuam ou para </w:t>
      </w:r>
    </w:p>
    <w:p>
      <w:r>
        <w:rPr>
          <w:b/>
          <w:color w:val="003366"/>
          <w:sz w:val="20"/>
        </w:rPr>
        <w:t xml:space="preserve">Art. 54 Os seringueiros recrutados nos termos do Decreto-Lei nº 5.813, de 14 de </w:t>
      </w:r>
      <w:r>
        <w:rPr>
          <w:color w:val="8C8C8C"/>
          <w:sz w:val="14"/>
        </w:rPr>
        <w:t xml:space="preserve">  [2 decisoes]</w:t>
      </w:r>
    </w:p>
    <w:p>
      <w:pPr>
        <w:ind w:left="288"/>
      </w:pPr>
      <w:r>
        <w:rPr>
          <w:color w:val="8C8C8C"/>
          <w:sz w:val="12"/>
        </w:rPr>
        <w:t>cf-art-54-inc-I</w:t>
      </w:r>
    </w:p>
    <w:p>
      <w:pPr>
        <w:ind w:left="288"/>
      </w:pPr>
      <w:r>
        <w:rPr>
          <w:color w:val="1E1E1E"/>
          <w:sz w:val="18"/>
        </w:rPr>
        <w:t>a) firmar ou manter contrato com pessoa jurídica de direito público, autarquia, empresa pública, sociedade de economia mista ou empresa concessionária de serviço público, salvo quando o contrato obedecer a cláusulas uniformes;</w:t>
      </w:r>
    </w:p>
    <w:p>
      <w:pPr>
        <w:ind w:left="144"/>
      </w:pPr>
      <w:r>
        <w:rPr>
          <w:b/>
          <w:color w:val="B45A00"/>
          <w:sz w:val="16"/>
        </w:rPr>
        <w:t>JULGADOS CORRELATOS</w:t>
      </w:r>
    </w:p>
    <w:p>
      <w:pPr>
        <w:ind w:left="288"/>
      </w:pPr>
      <w:r>
        <w:rPr>
          <w:color w:val="8C8C8C"/>
          <w:sz w:val="12"/>
        </w:rPr>
        <w:t>cf-art-54-inc-II-ali-d</w:t>
      </w:r>
      <w:r>
        <w:rPr>
          <w:color w:val="003CA0"/>
          <w:sz w:val="12"/>
        </w:rPr>
        <w:t xml:space="preserve"> | MS 21.266</w:t>
      </w:r>
      <w:r>
        <w:rPr>
          <w:color w:val="003CA0"/>
          <w:sz w:val="12"/>
        </w:rPr>
        <w:t xml:space="preserve"> | rel. Célio Borja</w:t>
      </w:r>
    </w:p>
    <w:p>
      <w:pPr>
        <w:ind w:left="288"/>
      </w:pPr>
      <w:r>
        <w:rPr>
          <w:color w:val="1E1E1E"/>
          <w:sz w:val="18"/>
        </w:rPr>
        <w:t>As restrições constitucionais inerentes ao exercício do mandato parlamentar não se estendem ao suplente. A eleição e o exercício do mandato de prefeito não acarretam a perda da condição jurídica de suplente, podendo ser legitimamente convocado para substituir o titular, desde que renuncie ao mandato eletivo municipal.</w:t>
      </w:r>
    </w:p>
    <w:p>
      <w:pPr>
        <w:ind w:left="288"/>
      </w:pPr>
      <w:r>
        <w:rPr>
          <w:b/>
          <w:color w:val="003CA0"/>
          <w:sz w:val="16"/>
        </w:rPr>
        <w:t>[MS 21.266, rel. min. Célio Borja, j. 22-5-1991, 1ª T, DJ de 22-10-1993.]</w:t>
      </w:r>
    </w:p>
    <w:p>
      <w:pPr>
        <w:ind w:left="432"/>
      </w:pPr>
      <w:r>
        <w:rPr>
          <w:color w:val="003366"/>
          <w:sz w:val="18"/>
        </w:rPr>
        <w:t>§ 1 O benefício é estendido aos seringueiros que, atendendo a apelo do Governo b</w:t>
      </w:r>
    </w:p>
    <w:p>
      <w:pPr>
        <w:ind w:left="432"/>
      </w:pPr>
      <w:r>
        <w:rPr>
          <w:color w:val="003366"/>
          <w:sz w:val="18"/>
        </w:rPr>
        <w:t>§ 2 Os benefícios estabelecidos neste artigo são transferíveis aos dependentes r</w:t>
      </w:r>
    </w:p>
    <w:p>
      <w:pPr>
        <w:ind w:left="432"/>
      </w:pPr>
      <w:r>
        <w:rPr>
          <w:color w:val="003366"/>
          <w:sz w:val="18"/>
        </w:rPr>
        <w:t>§ 3 A concessão do benefício far-se-á conforme lei a ser proposta pelo Poder Exe</w:t>
      </w:r>
    </w:p>
    <w:p>
      <w:r>
        <w:rPr>
          <w:b/>
          <w:color w:val="003366"/>
          <w:sz w:val="20"/>
        </w:rPr>
        <w:t>Art. 54 A. Os seringueiros de que trata o art. 54 deste Ato das Disposições Cons</w:t>
      </w:r>
      <w:r>
        <w:rPr>
          <w:color w:val="8C8C8C"/>
          <w:sz w:val="14"/>
        </w:rPr>
        <w:t xml:space="preserve">  [2 decisoes]</w:t>
      </w:r>
    </w:p>
    <w:p>
      <w:pPr>
        <w:ind w:left="288"/>
      </w:pPr>
      <w:r>
        <w:rPr>
          <w:color w:val="8C8C8C"/>
          <w:sz w:val="12"/>
        </w:rPr>
        <w:t>cf-art-54-inc-I</w:t>
      </w:r>
    </w:p>
    <w:p>
      <w:pPr>
        <w:ind w:left="288"/>
      </w:pPr>
      <w:r>
        <w:rPr>
          <w:color w:val="1E1E1E"/>
          <w:sz w:val="18"/>
        </w:rPr>
        <w:t>a) firmar ou manter contrato com pessoa jurídica de direito público, autarquia, empresa pública, sociedade de economia mista ou empresa concessionária de serviço público, salvo quando o contrato obedecer a cláusulas uniformes;</w:t>
      </w:r>
    </w:p>
    <w:p>
      <w:pPr>
        <w:ind w:left="144"/>
      </w:pPr>
      <w:r>
        <w:rPr>
          <w:b/>
          <w:color w:val="B45A00"/>
          <w:sz w:val="16"/>
        </w:rPr>
        <w:t>JULGADOS CORRELATOS</w:t>
      </w:r>
    </w:p>
    <w:p>
      <w:pPr>
        <w:ind w:left="288"/>
      </w:pPr>
      <w:r>
        <w:rPr>
          <w:color w:val="8C8C8C"/>
          <w:sz w:val="12"/>
        </w:rPr>
        <w:t>cf-art-54-inc-II-ali-d</w:t>
      </w:r>
      <w:r>
        <w:rPr>
          <w:color w:val="003CA0"/>
          <w:sz w:val="12"/>
        </w:rPr>
        <w:t xml:space="preserve"> | MS 21.266</w:t>
      </w:r>
      <w:r>
        <w:rPr>
          <w:color w:val="003CA0"/>
          <w:sz w:val="12"/>
        </w:rPr>
        <w:t xml:space="preserve"> | rel. Célio Borja</w:t>
      </w:r>
    </w:p>
    <w:p>
      <w:pPr>
        <w:ind w:left="288"/>
      </w:pPr>
      <w:r>
        <w:rPr>
          <w:color w:val="1E1E1E"/>
          <w:sz w:val="18"/>
        </w:rPr>
        <w:t>As restrições constitucionais inerentes ao exercício do mandato parlamentar não se estendem ao suplente. A eleição e o exercício do mandato de prefeito não acarretam a perda da condição jurídica de suplente, podendo ser legitimamente convocado para substituir o titular, desde que renuncie ao mandato eletivo municipal.</w:t>
      </w:r>
    </w:p>
    <w:p>
      <w:pPr>
        <w:ind w:left="288"/>
      </w:pPr>
      <w:r>
        <w:rPr>
          <w:b/>
          <w:color w:val="003CA0"/>
          <w:sz w:val="16"/>
        </w:rPr>
        <w:t>[MS 21.266, rel. min. Célio Borja, j. 22-5-1991, 1ª T, DJ de 22-10-1993.]</w:t>
      </w:r>
    </w:p>
    <w:p>
      <w:r>
        <w:rPr>
          <w:b/>
          <w:color w:val="003366"/>
          <w:sz w:val="20"/>
        </w:rPr>
        <w:t>Art. 55 Até que seja aprovada a lei de diretrizes orçamentárias, trinta por cent</w:t>
      </w:r>
      <w:r>
        <w:rPr>
          <w:color w:val="8C8C8C"/>
          <w:sz w:val="14"/>
        </w:rPr>
        <w:t xml:space="preserve">  [20 decisoes]</w:t>
      </w:r>
    </w:p>
    <w:p>
      <w:pPr>
        <w:ind w:left="144"/>
      </w:pPr>
      <w:r>
        <w:rPr>
          <w:b/>
          <w:color w:val="B45A00"/>
          <w:sz w:val="16"/>
        </w:rPr>
        <w:t>CONTROLE CONCENTRADO</w:t>
      </w:r>
    </w:p>
    <w:p>
      <w:pPr>
        <w:ind w:left="288"/>
      </w:pPr>
      <w:r>
        <w:rPr>
          <w:color w:val="8C8C8C"/>
          <w:sz w:val="12"/>
        </w:rPr>
        <w:t>cf-art-55</w:t>
      </w:r>
      <w:r>
        <w:rPr>
          <w:color w:val="003CA0"/>
          <w:sz w:val="12"/>
        </w:rPr>
        <w:t xml:space="preserve"> | ADI 5.081</w:t>
      </w:r>
      <w:r>
        <w:rPr>
          <w:color w:val="003CA0"/>
          <w:sz w:val="12"/>
        </w:rPr>
        <w:t xml:space="preserve"> | rel. Roberto Barroso</w:t>
      </w:r>
    </w:p>
    <w:p>
      <w:pPr>
        <w:ind w:left="288"/>
      </w:pPr>
      <w:r>
        <w:rPr>
          <w:color w:val="1E1E1E"/>
          <w:sz w:val="18"/>
        </w:rPr>
        <w:t xml:space="preserve">Inaplicabilidade da regra de perda do mandato por infidelidade partidária ao sistema eleitoral majoritário. (...) As características do sistema proporcional, com sua ênfase nos votos obtidos pelos partidos, tornam a fidelidade partidária importante para garantir que as opções políticas feitas pelo eleitor no momento da eleição sejam minimamente preservadas. Daí a legitimidade de se decretar a perda do mandato do candidato que abandona a legenda pela qual se elegeu. O sistema majoritário, adotado para a eleição de presidente, governador, prefeito e senador, tem lógica e dinâmica diversas da do </w:t>
      </w:r>
    </w:p>
    <w:p>
      <w:pPr>
        <w:ind w:left="288"/>
      </w:pPr>
      <w:r>
        <w:rPr>
          <w:b/>
          <w:color w:val="003CA0"/>
          <w:sz w:val="16"/>
        </w:rPr>
        <w:t>[ADI 5.081, rel. min. Roberto Barroso, j. 27-5-2015, P, DJE de 19-8-2015.]</w:t>
      </w:r>
    </w:p>
    <w:p>
      <w:pPr>
        <w:ind w:left="288"/>
      </w:pPr>
      <w:r>
        <w:rPr>
          <w:color w:val="8C8C8C"/>
          <w:sz w:val="12"/>
        </w:rPr>
        <w:t>cf-art-55</w:t>
      </w:r>
      <w:r>
        <w:rPr>
          <w:color w:val="003CA0"/>
          <w:sz w:val="12"/>
        </w:rPr>
        <w:t xml:space="preserve"> | MS 26.604</w:t>
      </w:r>
      <w:r>
        <w:rPr>
          <w:color w:val="003CA0"/>
          <w:sz w:val="12"/>
        </w:rPr>
        <w:t xml:space="preserve"> | rel. Cármen Lúcia</w:t>
      </w:r>
    </w:p>
    <w:p>
      <w:pPr>
        <w:ind w:left="288"/>
      </w:pPr>
      <w:r>
        <w:rPr>
          <w:color w:val="1E1E1E"/>
          <w:sz w:val="18"/>
        </w:rPr>
        <w:t>Vide MS 26.604, rel. min. Cármen Lúcia, j. 4-10-2007, P, DJE de 3-10-2008 O STF, por ocasião do julgamento dos MS 26.602, 26.603 e 26.604 reconheceu a existência do dever constitucional de observância do princípio da fidelidade partidária. (...) Não faria sentido a Corte reconhecer a existência de um direito constitucional sem prever um instrumento para assegurá-lo. As resoluções impugnadas surgem em contexto excepcional e transitório, tão somente como mecanismos para salvaguardar a observância da fidelidade partidária enquanto o Poder Legislativo, órgão legitimado para resolver as tensões típ</w:t>
      </w:r>
    </w:p>
    <w:p>
      <w:pPr>
        <w:ind w:left="288"/>
      </w:pPr>
      <w:r>
        <w:rPr>
          <w:b/>
          <w:color w:val="003CA0"/>
          <w:sz w:val="16"/>
        </w:rPr>
        <w:t>[ADI 3.999 e ADI 4.086, rel. min. Joaquim Barbosa, j. 12-11-2008, P, DJE de 17-4-2009.]</w:t>
      </w:r>
    </w:p>
    <w:p>
      <w:pPr>
        <w:ind w:left="144"/>
      </w:pPr>
      <w:r>
        <w:rPr>
          <w:b/>
          <w:color w:val="B45A00"/>
          <w:sz w:val="16"/>
        </w:rPr>
        <w:t>JULGADOS CORRELATOS</w:t>
      </w:r>
    </w:p>
    <w:p>
      <w:pPr>
        <w:ind w:left="288"/>
      </w:pPr>
      <w:r>
        <w:rPr>
          <w:color w:val="8C8C8C"/>
          <w:sz w:val="12"/>
        </w:rPr>
        <w:t>cf-art-55</w:t>
      </w:r>
      <w:r>
        <w:rPr>
          <w:color w:val="003CA0"/>
          <w:sz w:val="12"/>
        </w:rPr>
        <w:t xml:space="preserve"> | MS 27.938</w:t>
      </w:r>
      <w:r>
        <w:rPr>
          <w:color w:val="003CA0"/>
          <w:sz w:val="12"/>
        </w:rPr>
        <w:t xml:space="preserve"> | rel. Joaquim Barbosa</w:t>
      </w:r>
    </w:p>
    <w:p>
      <w:pPr>
        <w:ind w:left="288"/>
      </w:pPr>
      <w:r>
        <w:rPr>
          <w:color w:val="1E1E1E"/>
          <w:sz w:val="18"/>
        </w:rPr>
        <w:t>O reconhecimento da justa causa para transferência de partido político afasta a perda do mandato eletivo por infidelidade partidária. Contudo, ela não transfere ao novo partido o direito de sucessão à vaga.</w:t>
      </w:r>
    </w:p>
    <w:p>
      <w:pPr>
        <w:ind w:left="288"/>
      </w:pPr>
      <w:r>
        <w:rPr>
          <w:b/>
          <w:color w:val="003CA0"/>
          <w:sz w:val="16"/>
        </w:rPr>
        <w:t>[MS 27.938, rel. min. Joaquim Barbosa, j. 11-3-2010, P, DJE de 30-4-2010.]</w:t>
      </w:r>
    </w:p>
    <w:p>
      <w:pPr>
        <w:ind w:left="288"/>
      </w:pPr>
      <w:r>
        <w:rPr>
          <w:color w:val="8C8C8C"/>
          <w:sz w:val="12"/>
        </w:rPr>
        <w:t>cf-art-55</w:t>
      </w:r>
      <w:r>
        <w:rPr>
          <w:color w:val="003CA0"/>
          <w:sz w:val="12"/>
        </w:rPr>
        <w:t xml:space="preserve"> | MS 26.604</w:t>
      </w:r>
      <w:r>
        <w:rPr>
          <w:color w:val="003CA0"/>
          <w:sz w:val="12"/>
        </w:rPr>
        <w:t xml:space="preserve"> | rel. Cármen Lúcia</w:t>
      </w:r>
    </w:p>
    <w:p>
      <w:pPr>
        <w:ind w:left="288"/>
      </w:pPr>
      <w:r>
        <w:rPr>
          <w:color w:val="1E1E1E"/>
          <w:sz w:val="18"/>
        </w:rPr>
        <w:t xml:space="preserve">Vide MS 26.604, rel. min. Cármen Lúcia, j. 4-10-2007, P, DJE de 3-10-2008 A fidelidade partidária é corolário lógico-jurídico necessário do sistema constitucional vigente, sem necessidade de sua expressão literal. Sem ela não há atenção aos princípios obrigatórios que informam o ordenamento constitucional. A desfiliação partidária como causa do afastamento do parlamentar do cargo no qual se investira não configura, expressamente, pela Constituição, hipótese de cassação de mandato. O desligamento do parlamentar do mandato, em razão da ruptura, imotivada e assumida no exercício de sua liberdade </w:t>
      </w:r>
    </w:p>
    <w:p>
      <w:pPr>
        <w:ind w:left="288"/>
      </w:pPr>
      <w:r>
        <w:rPr>
          <w:b/>
          <w:color w:val="003CA0"/>
          <w:sz w:val="16"/>
        </w:rPr>
        <w:t>[MS 26.604, rel. min. Cármen Lúcia, j. 4-10-2007, P, DJE de 3-10-2008.]</w:t>
      </w:r>
    </w:p>
    <w:p>
      <w:pPr>
        <w:ind w:left="288"/>
      </w:pPr>
      <w:r>
        <w:rPr>
          <w:color w:val="8C8C8C"/>
          <w:sz w:val="12"/>
        </w:rPr>
        <w:t>cf-art-55</w:t>
      </w:r>
      <w:r>
        <w:rPr>
          <w:color w:val="003CA0"/>
          <w:sz w:val="12"/>
        </w:rPr>
        <w:t xml:space="preserve"> | MS 26.602</w:t>
      </w:r>
      <w:r>
        <w:rPr>
          <w:color w:val="003CA0"/>
          <w:sz w:val="12"/>
        </w:rPr>
        <w:t xml:space="preserve"> | rel. Eros Grau</w:t>
      </w:r>
    </w:p>
    <w:p>
      <w:pPr>
        <w:ind w:left="288"/>
      </w:pPr>
      <w:r>
        <w:rPr>
          <w:color w:val="1E1E1E"/>
          <w:sz w:val="18"/>
        </w:rPr>
        <w:t>= MS 26.602, rel. min. Eros Grau, j. 4-10-2007, P, DJE de 17-10-2008 = MS 26.603, rel. min. Celso de Mello, j. 4-10-2007, P, DJE de 19-12-2008 Vide ADI 5.081, rel. min. Roberto Barroso, j. 27-5-2015, P, DJE de 19-8-2015 Vide MS 27.938, rel. min. Joaquim Barbosa, j. 11-3-2010, P, DJE de 30-4-2010 Vide ADI 3.999 e ADI 4.086, rel. min. Joaquim Barbosa, j. 12-11-2008, P, DJE de 17-4-2009</w:t>
      </w:r>
    </w:p>
    <w:p>
      <w:pPr>
        <w:ind w:left="288"/>
      </w:pPr>
      <w:r>
        <w:rPr>
          <w:color w:val="8C8C8C"/>
          <w:sz w:val="12"/>
        </w:rPr>
        <w:t>cf-art-55-inc-II</w:t>
      </w:r>
      <w:r>
        <w:rPr>
          <w:color w:val="003CA0"/>
          <w:sz w:val="12"/>
        </w:rPr>
        <w:t xml:space="preserve"> | rel. Rosa Weber</w:t>
      </w:r>
    </w:p>
    <w:p>
      <w:pPr>
        <w:ind w:left="288"/>
      </w:pPr>
      <w:r>
        <w:rPr>
          <w:color w:val="1E1E1E"/>
          <w:sz w:val="18"/>
        </w:rPr>
        <w:t>A Constituição da República estabelece, a teor do art. 55, II, como hipótese de cassação do mandato a prática de condutas incompatíveis com o decoro parlamentar. Essa expressão consubstancia verdadeiro conceito genérico a ser preenchido pela Casa Legislativa competente, a evidenciar seu amplo espectro de discricionariedade.</w:t>
        <w:br/>
        <w:t>[STP 949 MC-REF, rel. min. Rosa Weber, j. 3-7-2023, P, DJE de 25-7-2023.]</w:t>
      </w:r>
    </w:p>
    <w:p>
      <w:pPr>
        <w:ind w:left="288"/>
      </w:pPr>
      <w:r>
        <w:rPr>
          <w:color w:val="8C8C8C"/>
          <w:sz w:val="12"/>
        </w:rPr>
        <w:t>cf-art-55-inc-II</w:t>
      </w:r>
      <w:r>
        <w:rPr>
          <w:color w:val="003CA0"/>
          <w:sz w:val="12"/>
        </w:rPr>
        <w:t xml:space="preserve"> | MS 34.327</w:t>
      </w:r>
      <w:r>
        <w:rPr>
          <w:color w:val="003CA0"/>
          <w:sz w:val="12"/>
        </w:rPr>
        <w:t xml:space="preserve"> | rel. Roberto Barroso</w:t>
      </w:r>
    </w:p>
    <w:p>
      <w:pPr>
        <w:ind w:left="288"/>
      </w:pPr>
      <w:r>
        <w:rPr>
          <w:color w:val="1E1E1E"/>
          <w:sz w:val="18"/>
        </w:rPr>
        <w:t>Cassação de mandato de deputado federal. Quebra de decoro parlamentar. (...) A suspensão do exercício do mandato do impetrante, por decisão desta Corte em sede cautelar penal, não gera direito à suspensão do processo de cassação do mandato: ninguém pode se beneficiar da própria conduta reprovável. Inexistência de violação à ampla defesa ou de direito subjetivo a dilações indevidas.</w:t>
        <w:br/>
        <w:t xml:space="preserve">[MS 34.327, rel. min. Roberto Barroso, j. 8-9-2016, P, DJE de 1º-8-2017.] (...) a regra inscrita no art. 56, II, da Constituição, não torna o congressista imune ao processo de cassação de seu mandato parlamentar. O </w:t>
      </w:r>
    </w:p>
    <w:p>
      <w:pPr>
        <w:ind w:left="288"/>
      </w:pPr>
      <w:r>
        <w:rPr>
          <w:b/>
          <w:color w:val="003CA0"/>
          <w:sz w:val="16"/>
        </w:rPr>
        <w:t>[MS 34.064 MC, rel. min. Celso de Mello, j. 16-3-2016, dec. monocrática, DJE de 18-3-2016.]</w:t>
      </w:r>
    </w:p>
    <w:p>
      <w:pPr>
        <w:ind w:left="288"/>
      </w:pPr>
      <w:r>
        <w:rPr>
          <w:color w:val="8C8C8C"/>
          <w:sz w:val="12"/>
        </w:rPr>
        <w:t>cf-art-55-inc-II</w:t>
      </w:r>
      <w:r>
        <w:rPr>
          <w:color w:val="003CA0"/>
          <w:sz w:val="12"/>
        </w:rPr>
        <w:t xml:space="preserve"> | MS 26.900</w:t>
      </w:r>
      <w:r>
        <w:rPr>
          <w:color w:val="003CA0"/>
          <w:sz w:val="12"/>
        </w:rPr>
        <w:t xml:space="preserve"> | rel. Eros Grau</w:t>
      </w:r>
    </w:p>
    <w:p>
      <w:pPr>
        <w:ind w:left="288"/>
      </w:pPr>
      <w:r>
        <w:rPr>
          <w:color w:val="1E1E1E"/>
          <w:sz w:val="18"/>
        </w:rPr>
        <w:t>A sessão deliberativa extraordinária do Senado Federal que decide sobre a perda de mandato do presidente do Congresso Nacional faz com que todos os parlamentares, sejam eles membros da Câmara ou do Senado Federal, tenham legítimo interesse no desfecho da sessão, visto que, somados, compõem o Poder Legislativo, que é exercido pelo Congresso Nacional (art. 44 da CF).</w:t>
      </w:r>
    </w:p>
    <w:p>
      <w:pPr>
        <w:ind w:left="288"/>
      </w:pPr>
      <w:r>
        <w:rPr>
          <w:b/>
          <w:color w:val="003CA0"/>
          <w:sz w:val="16"/>
        </w:rPr>
        <w:t>[MS 26.900 MC, red. do ac. min. Ricardo Lewandowski, rel. min. Eros Grau, j. 12-9-2007, P, DJE de 4-4-2008.]</w:t>
      </w:r>
    </w:p>
    <w:p>
      <w:pPr>
        <w:ind w:left="288"/>
      </w:pPr>
      <w:r>
        <w:rPr>
          <w:color w:val="8C8C8C"/>
          <w:sz w:val="12"/>
        </w:rPr>
        <w:t>cf-art-55-inc-II</w:t>
      </w:r>
      <w:r>
        <w:rPr>
          <w:color w:val="003CA0"/>
          <w:sz w:val="12"/>
        </w:rPr>
        <w:t xml:space="preserve"> | MS 23.388</w:t>
      </w:r>
      <w:r>
        <w:rPr>
          <w:color w:val="003CA0"/>
          <w:sz w:val="12"/>
        </w:rPr>
        <w:t xml:space="preserve"> | rel. Néri da Silveira</w:t>
      </w:r>
    </w:p>
    <w:p>
      <w:pPr>
        <w:ind w:left="288"/>
      </w:pPr>
      <w:r>
        <w:rPr>
          <w:color w:val="1E1E1E"/>
          <w:sz w:val="18"/>
        </w:rPr>
        <w:t>Ato da Mesa da Câmara dos Deputados, confirmado pela Comissão de Constituição e Justiça e Redação da referida Casa Legislativa, sobre a cassação do mandato do impetrante por comportamento incompatível com o decoro parlamentar. (...) Não cabe, no âmbito do mandado de segurança, (...) discutir deliberação, interna corporis, da Casa Legislativa. Escapa ao controle do Judiciário, no que concerne a seu mérito, juízo sobre fatos que se reserva, privativamente, à Casa do Congresso Nacional formulá-lo.</w:t>
      </w:r>
    </w:p>
    <w:p>
      <w:pPr>
        <w:ind w:left="288"/>
      </w:pPr>
      <w:r>
        <w:rPr>
          <w:b/>
          <w:color w:val="003CA0"/>
          <w:sz w:val="16"/>
        </w:rPr>
        <w:t>[MS 23.388, rel. min. Néri da Silveira, j. 25-11-1999, P, DJ de 20-4-2001.]</w:t>
      </w:r>
    </w:p>
    <w:p>
      <w:pPr>
        <w:ind w:left="288"/>
      </w:pPr>
      <w:r>
        <w:rPr>
          <w:color w:val="8C8C8C"/>
          <w:sz w:val="12"/>
        </w:rPr>
        <w:t>cf-art-55-inc-III</w:t>
      </w:r>
      <w:r>
        <w:rPr>
          <w:color w:val="003CA0"/>
          <w:sz w:val="12"/>
        </w:rPr>
        <w:t xml:space="preserve"> | MS 32.326</w:t>
      </w:r>
      <w:r>
        <w:rPr>
          <w:color w:val="003CA0"/>
          <w:sz w:val="12"/>
        </w:rPr>
        <w:t xml:space="preserve"> | rel. Roberto Barroso</w:t>
      </w:r>
    </w:p>
    <w:p>
      <w:pPr>
        <w:ind w:left="288"/>
      </w:pPr>
      <w:r>
        <w:rPr>
          <w:color w:val="1E1E1E"/>
          <w:sz w:val="18"/>
        </w:rPr>
        <w:t>Perda do mandato parlamentar. É da competência das Casas Legislativas decidir sobre a perda do mandato do congressista condenado criminalmente (art. 55, VI e § 2º, da CF). Regra excepcionada – adoção, no ponto, da tese proposta pelo eminente revisor, ministro Luís Roberto Barroso – quando a condenação impõe o cumprimento de pena em regime fechado, e não viável o trabalho externo diante da impossibilidade de cumprimento da fração mínima de 1/6 da pena para a obtenção do benefício durante o mandato e antes de consumada a ausência do congressista a 1/3 das sessões ordinárias da Casa Legislativa d</w:t>
      </w:r>
    </w:p>
    <w:p>
      <w:pPr>
        <w:ind w:left="288"/>
      </w:pPr>
      <w:r>
        <w:rPr>
          <w:color w:val="8C8C8C"/>
          <w:sz w:val="12"/>
        </w:rPr>
        <w:t>cf-art-55-par-1</w:t>
      </w:r>
      <w:r>
        <w:rPr>
          <w:color w:val="003CA0"/>
          <w:sz w:val="12"/>
        </w:rPr>
        <w:t xml:space="preserve"> | MS 25.579</w:t>
      </w:r>
      <w:r>
        <w:rPr>
          <w:color w:val="003CA0"/>
          <w:sz w:val="12"/>
        </w:rPr>
        <w:t xml:space="preserve"> | rel. Sepúlveda Pertence</w:t>
      </w:r>
    </w:p>
    <w:p>
      <w:pPr>
        <w:ind w:left="288"/>
      </w:pPr>
      <w:r>
        <w:rPr>
          <w:color w:val="1E1E1E"/>
          <w:sz w:val="18"/>
        </w:rPr>
        <w:t>O membro do Congresso Nacional que se licencia do mandato para investir-se no cargo de ministro de Estado não perde os laços que o unem, organicamente, ao Parlamento (CF, art. 56, I). (...) ainda que licenciado, cumpre-lhe guardar estrita observância às vedações e incompatibilidades inerentes ao estatuto constitucional do congressista, assim como às exigências ético-jurídicas que a Constituição (CF, art. 55, § 1º) e os regimentos internos das Casas Legislativas estabelecem como elementos caracterizadores do decoro parlamentar.</w:t>
      </w:r>
    </w:p>
    <w:p>
      <w:pPr>
        <w:ind w:left="288"/>
      </w:pPr>
      <w:r>
        <w:rPr>
          <w:b/>
          <w:color w:val="003CA0"/>
          <w:sz w:val="16"/>
        </w:rPr>
        <w:t>[MS 25.579 MC, red. do ac. min. Joaquim Barbosa, rel. min. Sepúlveda Pertence, j. 19-10-2005, P, DJ de 24-8-2007.]</w:t>
      </w:r>
    </w:p>
    <w:p>
      <w:pPr>
        <w:ind w:left="288"/>
      </w:pPr>
      <w:r>
        <w:rPr>
          <w:color w:val="8C8C8C"/>
          <w:sz w:val="12"/>
        </w:rPr>
        <w:t>cf-art-55-par-2</w:t>
      </w:r>
      <w:r>
        <w:rPr>
          <w:color w:val="003CA0"/>
          <w:sz w:val="12"/>
        </w:rPr>
        <w:t xml:space="preserve"> | AP 996</w:t>
      </w:r>
      <w:r>
        <w:rPr>
          <w:color w:val="003CA0"/>
          <w:sz w:val="12"/>
        </w:rPr>
        <w:t xml:space="preserve"> | rel. Edson Fachin</w:t>
      </w:r>
    </w:p>
    <w:p>
      <w:pPr>
        <w:ind w:left="288"/>
      </w:pPr>
      <w:r>
        <w:rPr>
          <w:color w:val="1E1E1E"/>
          <w:sz w:val="18"/>
        </w:rPr>
        <w:t>(...) a jurisprudência consolidada e a melhor doutrina sobre o assunto sinalizam que a perda do mandato nos casos de condenação criminal transitada em julgado, em se tratando de deputados e senadores, regrada pelo art. 55, § 2º, da Lei Maior, não é automática. (...) quando o mandato resulta do livre exercício da soberania popular, ou seja, quando o parlamentar é legitimamente eleito, falece ao Judiciário competência para decretar a perda automática de seu mandato, pois ela será, nos termos do art. 55, VI, § 2º, da Constituição, “decidida pela Câmara dos Deputados ou pelo Senado Federal, por vo</w:t>
      </w:r>
    </w:p>
    <w:p>
      <w:pPr>
        <w:ind w:left="288"/>
      </w:pPr>
      <w:r>
        <w:rPr>
          <w:b/>
          <w:color w:val="003CA0"/>
          <w:sz w:val="16"/>
        </w:rPr>
        <w:t>[AP 996, rel. Min. Edson Fachin, voto do min. Ricardo Lewandowski, j. 29-5-2018, 2ª T, DJE de 8-2-2019.]</w:t>
      </w:r>
    </w:p>
    <w:p>
      <w:pPr>
        <w:ind w:left="288"/>
      </w:pPr>
      <w:r>
        <w:rPr>
          <w:color w:val="8C8C8C"/>
          <w:sz w:val="12"/>
        </w:rPr>
        <w:t>cf-art-55-par-2</w:t>
      </w:r>
      <w:r>
        <w:rPr>
          <w:color w:val="003CA0"/>
          <w:sz w:val="12"/>
        </w:rPr>
        <w:t xml:space="preserve"> | AP 694</w:t>
      </w:r>
      <w:r>
        <w:rPr>
          <w:color w:val="003CA0"/>
          <w:sz w:val="12"/>
        </w:rPr>
        <w:t xml:space="preserve"> | rel. Rosa Weber</w:t>
      </w:r>
    </w:p>
    <w:p>
      <w:pPr>
        <w:ind w:left="288"/>
      </w:pPr>
      <w:r>
        <w:rPr>
          <w:color w:val="1E1E1E"/>
          <w:sz w:val="18"/>
        </w:rPr>
        <w:t>Vide AP 694, rel. min. Rosa Weber, j. 2-5-2017, 1ª T, DJE de 31-8-2017 Perda do mandato parlamentar. É da competência das Casas Legislativas decidir sobre a perda do mandato do congressista condenado criminalmente (art. 55, VI e § 2º, da CF). Regra excepcionada – adoção, no ponto, da tese proposta pelo eminente revisor, ministro Luís Roberto Barroso – quando a condenação impõe o cumprimento de pena em regime fechado, e não viável o trabalho externo diante da impossibilidade de cumprimento da fração mínima de 1/6 da pena para a obtenção do benefício durante o mandato e antes de consumada a ausê</w:t>
      </w:r>
    </w:p>
    <w:p>
      <w:pPr>
        <w:ind w:left="288"/>
      </w:pPr>
      <w:r>
        <w:rPr>
          <w:b/>
          <w:color w:val="003CA0"/>
          <w:sz w:val="16"/>
        </w:rPr>
        <w:t>[AP 694, rel. min. Rosa Weber, j. 2-5-2017, 1ª T, DJE de 31-8-2017.]</w:t>
      </w:r>
    </w:p>
    <w:p>
      <w:pPr>
        <w:ind w:left="288"/>
      </w:pPr>
      <w:r>
        <w:rPr>
          <w:color w:val="8C8C8C"/>
          <w:sz w:val="12"/>
        </w:rPr>
        <w:t>cf-art-55-par-2</w:t>
      </w:r>
      <w:r>
        <w:rPr>
          <w:color w:val="003CA0"/>
          <w:sz w:val="12"/>
        </w:rPr>
        <w:t xml:space="preserve"> | AP 565</w:t>
      </w:r>
      <w:r>
        <w:rPr>
          <w:color w:val="003CA0"/>
          <w:sz w:val="12"/>
        </w:rPr>
        <w:t xml:space="preserve"> | rel. Cármen Lúcia</w:t>
      </w:r>
    </w:p>
    <w:p>
      <w:pPr>
        <w:ind w:left="288"/>
      </w:pPr>
      <w:r>
        <w:rPr>
          <w:color w:val="1E1E1E"/>
          <w:sz w:val="18"/>
        </w:rPr>
        <w:t>≠ AP 565, rel. min. Cármen Lúcia, j. 8-8-2013, P, DJE de 23-5-2014 Vide AP 996, rel. Min. Edson Fachin, j. 29-5-2018, 2ª T, DJE de 8-2-2019 Em processo parlamentar de perda de mandato, não se admite aproveitamento de prova acusatória produzida após as provas de defesa, sem oportunidade de contradição real.</w:t>
      </w:r>
    </w:p>
    <w:p>
      <w:pPr>
        <w:ind w:left="288"/>
      </w:pPr>
      <w:r>
        <w:rPr>
          <w:b/>
          <w:color w:val="003CA0"/>
          <w:sz w:val="16"/>
        </w:rPr>
        <w:t>[MS 25.647 MC, rel. min. Cezar Peluso, j. 30-11-2005, P, DJ de 15-12-2006.]</w:t>
      </w:r>
    </w:p>
    <w:p>
      <w:pPr>
        <w:ind w:left="288"/>
      </w:pPr>
      <w:r>
        <w:rPr>
          <w:color w:val="8C8C8C"/>
          <w:sz w:val="12"/>
        </w:rPr>
        <w:t>cf-art-55-par-3</w:t>
      </w:r>
      <w:r>
        <w:rPr>
          <w:color w:val="003CA0"/>
          <w:sz w:val="12"/>
        </w:rPr>
        <w:t xml:space="preserve"> | MS 32.326</w:t>
      </w:r>
      <w:r>
        <w:rPr>
          <w:color w:val="003CA0"/>
          <w:sz w:val="12"/>
        </w:rPr>
        <w:t xml:space="preserve"> | rel. Roberto Barroso</w:t>
      </w:r>
    </w:p>
    <w:p>
      <w:pPr>
        <w:ind w:left="288"/>
      </w:pPr>
      <w:r>
        <w:rPr>
          <w:color w:val="1E1E1E"/>
          <w:sz w:val="18"/>
        </w:rPr>
        <w:t>Perda do mandato parlamentar. É da competência das Casas Legislativas decidir sobre a perda do mandato do congressista condenado criminalmente (art. 55, VI e § 2º, da CF). Regra excepcionada – adoção, no ponto, da tese proposta pelo eminente revisor, ministro Luís Roberto Barroso – quando a condenação impõe o cumprimento de pena em regime fechado, e não viável o trabalho externo diante da impossibilidade de cumprimento da fração mínima de 1/6 da pena para a obtenção do benefício durante o mandato e antes de consumada a ausência do congressista a 1/3 das sessões ordinárias da Casa Legislativa d</w:t>
      </w:r>
    </w:p>
    <w:p>
      <w:pPr>
        <w:ind w:left="288"/>
      </w:pPr>
      <w:r>
        <w:rPr>
          <w:b/>
          <w:color w:val="003CA0"/>
          <w:sz w:val="16"/>
        </w:rPr>
        <w:t>[MS 25.461, rel. min. Sepúlveda Pertence, j. 29-6-2006, P, DJ de 22-9-2006.]</w:t>
      </w:r>
    </w:p>
    <w:p>
      <w:pPr>
        <w:ind w:left="288"/>
      </w:pPr>
      <w:r>
        <w:rPr>
          <w:color w:val="8C8C8C"/>
          <w:sz w:val="12"/>
        </w:rPr>
        <w:t>cf-art-55-par-3</w:t>
      </w:r>
      <w:r>
        <w:rPr>
          <w:color w:val="003CA0"/>
          <w:sz w:val="12"/>
        </w:rPr>
        <w:t xml:space="preserve"> | MS 25.458</w:t>
      </w:r>
      <w:r>
        <w:rPr>
          <w:color w:val="003CA0"/>
          <w:sz w:val="12"/>
        </w:rPr>
        <w:t xml:space="preserve"> | rel. Marco Aurélio</w:t>
      </w:r>
    </w:p>
    <w:p>
      <w:pPr>
        <w:ind w:left="288"/>
      </w:pPr>
      <w:r>
        <w:rPr>
          <w:color w:val="1E1E1E"/>
          <w:sz w:val="18"/>
        </w:rPr>
        <w:t>Eficácia imediata das decisões da Justiça Eleitoral, salvo exceções previstas em lei. Comunicada a decisão à Presidência da Câmara dos Deputados, cabe a esta dar posse imediata ao suplente do parlamentar que teve seu diploma cassado.</w:t>
      </w:r>
    </w:p>
    <w:p>
      <w:pPr>
        <w:ind w:left="288"/>
      </w:pPr>
      <w:r>
        <w:rPr>
          <w:b/>
          <w:color w:val="003CA0"/>
          <w:sz w:val="16"/>
        </w:rPr>
        <w:t>[MS 25.458, red. do ac. min. Joaquim Barbosa, rel. min. Marco Aurélio, j. 7-12-2005, P, DJ de 9-3-2007.]</w:t>
      </w:r>
    </w:p>
    <w:p>
      <w:pPr>
        <w:ind w:left="288"/>
      </w:pPr>
      <w:r>
        <w:rPr>
          <w:color w:val="8C8C8C"/>
          <w:sz w:val="12"/>
        </w:rPr>
        <w:t>cf-art-55-par-3</w:t>
      </w:r>
      <w:r>
        <w:rPr>
          <w:color w:val="003CA0"/>
          <w:sz w:val="12"/>
        </w:rPr>
        <w:t xml:space="preserve"> | MS 27.613</w:t>
      </w:r>
      <w:r>
        <w:rPr>
          <w:color w:val="003CA0"/>
          <w:sz w:val="12"/>
        </w:rPr>
        <w:t xml:space="preserve"> | rel. Ricardo Lewandowski</w:t>
      </w:r>
    </w:p>
    <w:p>
      <w:pPr>
        <w:ind w:left="288"/>
      </w:pPr>
      <w:r>
        <w:rPr>
          <w:color w:val="1E1E1E"/>
          <w:sz w:val="18"/>
        </w:rPr>
        <w:t>= MS 27.613, rel. min. Ricardo Lewandowski, j. 28-10-2009, P, DJE de 4-12-2009</w:t>
      </w:r>
    </w:p>
    <w:p>
      <w:pPr>
        <w:ind w:left="288"/>
      </w:pPr>
      <w:r>
        <w:rPr>
          <w:color w:val="8C8C8C"/>
          <w:sz w:val="12"/>
        </w:rPr>
        <w:t>cf-art-55-par-4</w:t>
      </w:r>
      <w:r>
        <w:rPr>
          <w:color w:val="003CA0"/>
          <w:sz w:val="12"/>
        </w:rPr>
        <w:t xml:space="preserve"> | AP 396</w:t>
      </w:r>
      <w:r>
        <w:rPr>
          <w:color w:val="003CA0"/>
          <w:sz w:val="12"/>
        </w:rPr>
        <w:t xml:space="preserve"> | rel. Cármen Lúcia</w:t>
      </w:r>
    </w:p>
    <w:p>
      <w:pPr>
        <w:ind w:left="288"/>
      </w:pPr>
      <w:r>
        <w:rPr>
          <w:color w:val="1E1E1E"/>
          <w:sz w:val="18"/>
        </w:rPr>
        <w:t>Deputado federal. Renúncia ao mandato. Abuso de direito: reconhecimento da competência do STF para a continuidade do julgamento da presente ação penal. (...) Renúncia de mandato: ato legítimo. Não se presta, porém, a ser utilizada como subterfúgio para deslocamento de competências constitucionalmente definidas, que não podem ser objeto de escolha pessoal. Impossibilidade de ser aproveitada como expediente para impedir o julgamento em tempo à absolvição ou à condenação e, neste caso, à definição de penas. No caso, a renúncia do mandato foi apresentada à Casa Legislativa em 27-10-2010, véspera d</w:t>
      </w:r>
    </w:p>
    <w:p>
      <w:pPr>
        <w:ind w:left="288"/>
      </w:pPr>
      <w:r>
        <w:rPr>
          <w:b/>
          <w:color w:val="003CA0"/>
          <w:sz w:val="16"/>
        </w:rPr>
        <w:t>[AP 396, rel. min. Cármen Lúcia, j. 28-10-2010, P, DJE de 28-4-2011.]</w:t>
      </w:r>
    </w:p>
    <w:p>
      <w:pPr>
        <w:ind w:left="288"/>
      </w:pPr>
      <w:r>
        <w:rPr>
          <w:color w:val="8C8C8C"/>
          <w:sz w:val="12"/>
        </w:rPr>
        <w:t>cf-art-55-par-4</w:t>
      </w:r>
      <w:r>
        <w:rPr>
          <w:color w:val="003CA0"/>
          <w:sz w:val="12"/>
        </w:rPr>
        <w:t xml:space="preserve"> | AP 333</w:t>
      </w:r>
      <w:r>
        <w:rPr>
          <w:color w:val="003CA0"/>
          <w:sz w:val="12"/>
        </w:rPr>
        <w:t xml:space="preserve"> | rel. Joaquim Barbosa</w:t>
      </w:r>
    </w:p>
    <w:p>
      <w:pPr>
        <w:ind w:left="288"/>
      </w:pPr>
      <w:r>
        <w:rPr>
          <w:color w:val="1E1E1E"/>
          <w:sz w:val="18"/>
        </w:rPr>
        <w:t>Vide AP 333, rel. min. Joaquim Barbosa, j. 5-12-2007, P, DJE de 11-4-2008 A renúncia do réu produz plenos efeitos no plano processual, o que implica a declinação da competência do STF para o juízo criminal de primeiro grau. Ausente o abuso de direito que os votos vencidos vislumbraram no ato. Autos encaminhados ao juízo atualmente competente.</w:t>
      </w:r>
    </w:p>
    <w:p>
      <w:pPr>
        <w:ind w:left="288"/>
      </w:pPr>
      <w:r>
        <w:rPr>
          <w:b/>
          <w:color w:val="003CA0"/>
          <w:sz w:val="16"/>
        </w:rPr>
        <w:t>[AP 333, rel. min. Joaquim Barbosa, j. 5-12-2007, P, DJE de 11-4-2008.]</w:t>
      </w:r>
    </w:p>
    <w:p>
      <w:pPr>
        <w:ind w:left="288"/>
      </w:pPr>
      <w:r>
        <w:rPr>
          <w:color w:val="8C8C8C"/>
          <w:sz w:val="12"/>
        </w:rPr>
        <w:t>cf-art-55-par-4</w:t>
      </w:r>
      <w:r>
        <w:rPr>
          <w:color w:val="003CA0"/>
          <w:sz w:val="12"/>
        </w:rPr>
        <w:t xml:space="preserve"> | AP 396</w:t>
      </w:r>
      <w:r>
        <w:rPr>
          <w:color w:val="003CA0"/>
          <w:sz w:val="12"/>
        </w:rPr>
        <w:t xml:space="preserve"> | rel. Cármen Lúcia</w:t>
      </w:r>
    </w:p>
    <w:p>
      <w:pPr>
        <w:ind w:left="288"/>
      </w:pPr>
      <w:r>
        <w:rPr>
          <w:color w:val="1E1E1E"/>
          <w:sz w:val="18"/>
        </w:rPr>
        <w:t>Vide AP 396, rel. min. Cármen Lúcia, j. 28-10-2010, P, DJE de 28-4-2011</w:t>
      </w:r>
    </w:p>
    <w:p>
      <w:r>
        <w:rPr>
          <w:b/>
          <w:color w:val="003366"/>
          <w:sz w:val="20"/>
        </w:rPr>
        <w:t>Art. 56 Até que a lei disponha sobre o art. 195, I, a arrecadação decorrente de,</w:t>
      </w:r>
      <w:r>
        <w:rPr>
          <w:color w:val="8C8C8C"/>
          <w:sz w:val="14"/>
        </w:rPr>
        <w:t xml:space="preserve">  [9 decisoes]</w:t>
      </w:r>
    </w:p>
    <w:p>
      <w:pPr>
        <w:ind w:left="144"/>
      </w:pPr>
      <w:r>
        <w:rPr>
          <w:b/>
          <w:color w:val="B45A00"/>
          <w:sz w:val="16"/>
        </w:rPr>
        <w:t>JULGADOS CORRELATOS</w:t>
      </w:r>
    </w:p>
    <w:p>
      <w:pPr>
        <w:ind w:left="288"/>
      </w:pPr>
      <w:r>
        <w:rPr>
          <w:color w:val="8C8C8C"/>
          <w:sz w:val="12"/>
        </w:rPr>
        <w:t>cf-art-56-inc-I</w:t>
      </w:r>
      <w:r>
        <w:rPr>
          <w:color w:val="003CA0"/>
          <w:sz w:val="12"/>
        </w:rPr>
        <w:t xml:space="preserve"> | PET 7.990</w:t>
      </w:r>
      <w:r>
        <w:rPr>
          <w:color w:val="003CA0"/>
          <w:sz w:val="12"/>
        </w:rPr>
        <w:t xml:space="preserve"> | rel. Marco Aurélio</w:t>
      </w:r>
    </w:p>
    <w:p>
      <w:pPr>
        <w:ind w:left="288"/>
      </w:pPr>
      <w:r>
        <w:rPr>
          <w:color w:val="1E1E1E"/>
          <w:sz w:val="18"/>
        </w:rPr>
        <w:t>Parlamentar – prerrogativa de foro – alcance. A competência do Supremo Tribunal Federal, considerada prática de crime comum, pressupõe delito cometido no exercício do mandato e a este, de alguma forma, ligado. Mandato parlamentar – licença – prerrogativa de função – insubsistência. A superveniência de licença do parlamentar para o desempenho de cargo diverso daquele gerador da prerrogativa de função torna insubsistente a competência do Supremo, considerada a ausência de vinculação do delito com o cargo atualmente desempenhado.</w:t>
      </w:r>
    </w:p>
    <w:p>
      <w:pPr>
        <w:ind w:left="288"/>
      </w:pPr>
      <w:r>
        <w:rPr>
          <w:b/>
          <w:color w:val="003CA0"/>
          <w:sz w:val="16"/>
        </w:rPr>
        <w:t>[Pet 7.990 AgR, rel. min. Marco Aurélio, j. 18-8-2020, 1ª T, DJE 4-12-2020]</w:t>
      </w:r>
    </w:p>
    <w:p>
      <w:pPr>
        <w:ind w:left="288"/>
      </w:pPr>
      <w:r>
        <w:rPr>
          <w:color w:val="8C8C8C"/>
          <w:sz w:val="12"/>
        </w:rPr>
        <w:t>cf-art-56-inc-I</w:t>
      </w:r>
      <w:r>
        <w:rPr>
          <w:color w:val="003CA0"/>
          <w:sz w:val="12"/>
        </w:rPr>
        <w:t xml:space="preserve"> | INQ 777-3</w:t>
      </w:r>
      <w:r>
        <w:rPr>
          <w:color w:val="003CA0"/>
          <w:sz w:val="12"/>
        </w:rPr>
        <w:t xml:space="preserve"> | rel. Moreira Alves</w:t>
      </w:r>
    </w:p>
    <w:p>
      <w:pPr>
        <w:ind w:left="288"/>
      </w:pPr>
      <w:r>
        <w:rPr>
          <w:color w:val="1E1E1E"/>
          <w:sz w:val="18"/>
        </w:rPr>
        <w:t>O membro do Congresso Nacional que se licencia do mandato para investir-se no cargo de ministro de Estado não perde os laços que o unem, organicamente, ao Parlamento (CF, art. 56, I). Consequentemente, continua a subsistir em seu favor a garantia constitucional da prerrogativa de foro em matéria penal (Inq 777-3 QO/TO, rel. min. Moreira Alves, DJ de 1º-10-1993), bem como a faculdade de optar pela remuneração do mandato (CF, art. 56, § 3º). Da mesma forma, ainda que licenciado, cumpre-lhe guardar estrita observância às vedações e incompatibilidades inerentes ao estatuto constitucional do congre</w:t>
      </w:r>
    </w:p>
    <w:p>
      <w:pPr>
        <w:ind w:left="144"/>
      </w:pPr>
      <w:r>
        <w:rPr>
          <w:b/>
          <w:color w:val="B45A00"/>
          <w:sz w:val="16"/>
        </w:rPr>
        <w:t>CONTROLE CONCENTRADO</w:t>
      </w:r>
    </w:p>
    <w:p>
      <w:pPr>
        <w:ind w:left="288"/>
      </w:pPr>
      <w:r>
        <w:rPr>
          <w:color w:val="8C8C8C"/>
          <w:sz w:val="12"/>
        </w:rPr>
        <w:t>cf-art-56-inc-I</w:t>
      </w:r>
      <w:r>
        <w:rPr>
          <w:color w:val="003CA0"/>
          <w:sz w:val="12"/>
        </w:rPr>
        <w:t xml:space="preserve"> | ADI 7.254</w:t>
      </w:r>
      <w:r>
        <w:rPr>
          <w:color w:val="003CA0"/>
          <w:sz w:val="12"/>
        </w:rPr>
        <w:t xml:space="preserve"> | rel. Flávio Dino</w:t>
      </w:r>
    </w:p>
    <w:p>
      <w:pPr>
        <w:ind w:left="288"/>
      </w:pPr>
      <w:r>
        <w:rPr>
          <w:color w:val="1E1E1E"/>
          <w:sz w:val="18"/>
        </w:rPr>
        <w:t>Ação direta ajuizada contra norma da Constituição estadual de Pernambuco que autoriza o afastamento parlamentar motivado por razões de interesse particular sem restringir o limite de tempo da licença, tornando possível, nessa hipótese, a convocação do suplente para o exercício do mandato eletivo. Chama-se de Estatuto dos Congressistas o conjunto de normas constitucionais – aplicáveis, por extensão, aos Deputados estaduais (CF, art. 27, § 1º) – destinadas à garantia da liberdade dos Deputados Federais e Senadores da República e da independência do Poder Legislativo da União. (...) As disposiçõe</w:t>
      </w:r>
    </w:p>
    <w:p>
      <w:pPr>
        <w:ind w:left="144"/>
      </w:pPr>
      <w:r>
        <w:rPr>
          <w:b/>
          <w:color w:val="B45A00"/>
          <w:sz w:val="16"/>
        </w:rPr>
        <w:t>JULGADOS CORRELATOS</w:t>
      </w:r>
    </w:p>
    <w:p>
      <w:pPr>
        <w:ind w:left="288"/>
      </w:pPr>
      <w:r>
        <w:rPr>
          <w:color w:val="8C8C8C"/>
          <w:sz w:val="12"/>
        </w:rPr>
        <w:t>cf-art-56-inc-I</w:t>
      </w:r>
      <w:r>
        <w:rPr>
          <w:color w:val="003CA0"/>
          <w:sz w:val="12"/>
        </w:rPr>
        <w:t xml:space="preserve"> | MS 34.064</w:t>
      </w:r>
      <w:r>
        <w:rPr>
          <w:color w:val="003CA0"/>
          <w:sz w:val="12"/>
        </w:rPr>
        <w:t xml:space="preserve"> | rel. Celso de Mello</w:t>
      </w:r>
    </w:p>
    <w:p>
      <w:pPr>
        <w:ind w:left="288"/>
      </w:pPr>
      <w:r>
        <w:rPr>
          <w:color w:val="1E1E1E"/>
          <w:sz w:val="18"/>
        </w:rPr>
        <w:t>(...) a regra inscrita no art. 56, II, da Constituição, não torna o congressista imune ao processo de cassação de seu mandato parlamentar. O que essa cláusula constitucional estabelece, isso sim, é a impossibilidade de a mera concessão de licença ao parlamentar, por motivo de doença, erigir-se, ela própria, à condição geradora da perda do mandato legislativo. Isso significa que o simples afastamento temporário das funções legislativas, por razão de saúde, não se revela motivo bastante para justificar a imposição da sanção destitutória do mandato parlamentar, eis que inexistente, em tal hipótes</w:t>
      </w:r>
    </w:p>
    <w:p>
      <w:pPr>
        <w:ind w:left="288"/>
      </w:pPr>
      <w:r>
        <w:rPr>
          <w:b/>
          <w:color w:val="003CA0"/>
          <w:sz w:val="16"/>
        </w:rPr>
        <w:t>[MS 34.064 MC, rel. min. Celso de Mello, j. 16-3-2016, dec. monocrática, DJE de 18-3-2016.]</w:t>
      </w:r>
    </w:p>
    <w:p>
      <w:pPr>
        <w:ind w:left="144"/>
      </w:pPr>
      <w:r>
        <w:rPr>
          <w:b/>
          <w:color w:val="B45A00"/>
          <w:sz w:val="16"/>
        </w:rPr>
        <w:t>CONTROLE CONCENTRADO</w:t>
      </w:r>
    </w:p>
    <w:p>
      <w:pPr>
        <w:ind w:left="288"/>
      </w:pPr>
      <w:r>
        <w:rPr>
          <w:color w:val="8C8C8C"/>
          <w:sz w:val="12"/>
        </w:rPr>
        <w:t>cf-art-56-par-1</w:t>
      </w:r>
      <w:r>
        <w:rPr>
          <w:color w:val="003CA0"/>
          <w:sz w:val="12"/>
        </w:rPr>
        <w:t xml:space="preserve"> | ADI 7.253</w:t>
      </w:r>
      <w:r>
        <w:rPr>
          <w:color w:val="003CA0"/>
          <w:sz w:val="12"/>
        </w:rPr>
        <w:t xml:space="preserve"> | rel. Cármen Lúcia</w:t>
      </w:r>
    </w:p>
    <w:p>
      <w:pPr>
        <w:ind w:left="288"/>
      </w:pPr>
      <w:r>
        <w:rPr>
          <w:color w:val="1E1E1E"/>
          <w:sz w:val="18"/>
        </w:rPr>
        <w:t>A interpretação que assegura a máxima efetividade do § 1º do art. 56 c/c o § 1º do art. 27 da Constituição da República e dos princípios da soberania popular, democrático e republicano determina que o prazo previsto na Constituição da República, para convocação de suplente no caso de licença de parlamentar para tratar de interesses particulares, é de observância obrigatória pelos Estados-membros e deve ser adotado pelas respectivas Assembleias Legislativas.</w:t>
        <w:br/>
        <w:t>[ADI 7.253, rel. min. Cármen Lúcia, j. 22-5-2023, P, DJE de 6-6-2023.]</w:t>
      </w:r>
    </w:p>
    <w:p>
      <w:pPr>
        <w:ind w:left="144"/>
      </w:pPr>
      <w:r>
        <w:rPr>
          <w:b/>
          <w:color w:val="B45A00"/>
          <w:sz w:val="16"/>
        </w:rPr>
        <w:t>JULGADOS CORRELATOS</w:t>
      </w:r>
    </w:p>
    <w:p>
      <w:pPr>
        <w:ind w:left="288"/>
      </w:pPr>
      <w:r>
        <w:rPr>
          <w:color w:val="8C8C8C"/>
          <w:sz w:val="12"/>
        </w:rPr>
        <w:t>cf-art-56-par-1</w:t>
      </w:r>
      <w:r>
        <w:rPr>
          <w:color w:val="003CA0"/>
          <w:sz w:val="12"/>
        </w:rPr>
        <w:t xml:space="preserve"> | MS 30.260</w:t>
      </w:r>
      <w:r>
        <w:rPr>
          <w:color w:val="003CA0"/>
          <w:sz w:val="12"/>
        </w:rPr>
        <w:t xml:space="preserve"> | rel. Cármen Lúcia</w:t>
      </w:r>
    </w:p>
    <w:p>
      <w:pPr>
        <w:ind w:left="288"/>
      </w:pPr>
      <w:r>
        <w:rPr>
          <w:color w:val="1E1E1E"/>
          <w:sz w:val="18"/>
        </w:rPr>
        <w:t>O quociente partidário para o preenchimento de cargos vagos é definido em função da coligação, contemplando seus candidatos mais votados, independentemente dos partidos aos quais são filiados. Regra que deve ser mantida para a convocação dos suplentes, pois eles, como os eleitos, formam lista única de votações nominais que, em ordem decrescente, representa a vontade do eleitorado. A sistemática estabelecida no ordenamento jurídico eleitoral para o preenchimento dos cargos disputados no sistema de eleições proporcionais é declarada no momento da diplomação, quando são ordenados os candidatos el</w:t>
      </w:r>
    </w:p>
    <w:p>
      <w:pPr>
        <w:ind w:left="288"/>
      </w:pPr>
      <w:r>
        <w:rPr>
          <w:b/>
          <w:color w:val="003CA0"/>
          <w:sz w:val="16"/>
        </w:rPr>
        <w:t>[AP 511, rel. min. Celso de Mello, j. 25-11-2009, dec. monocrática, DJE de 3-12-2009.]</w:t>
      </w:r>
    </w:p>
    <w:p>
      <w:pPr>
        <w:ind w:left="144"/>
      </w:pPr>
      <w:r>
        <w:rPr>
          <w:b/>
          <w:color w:val="B45A00"/>
          <w:sz w:val="16"/>
        </w:rPr>
        <w:t>CONTROLE CONCENTRADO</w:t>
      </w:r>
    </w:p>
    <w:p>
      <w:pPr>
        <w:ind w:left="288"/>
      </w:pPr>
      <w:r>
        <w:rPr>
          <w:color w:val="8C8C8C"/>
          <w:sz w:val="12"/>
        </w:rPr>
        <w:t>cf-art-56-par-2</w:t>
      </w:r>
      <w:r>
        <w:rPr>
          <w:color w:val="003CA0"/>
          <w:sz w:val="12"/>
        </w:rPr>
        <w:t xml:space="preserve"> | ADPF 643</w:t>
      </w:r>
      <w:r>
        <w:rPr>
          <w:color w:val="003CA0"/>
          <w:sz w:val="12"/>
        </w:rPr>
        <w:t xml:space="preserve"> | rel. Rosa Weber</w:t>
      </w:r>
    </w:p>
    <w:p>
      <w:pPr>
        <w:ind w:left="288"/>
      </w:pPr>
      <w:r>
        <w:rPr>
          <w:color w:val="1E1E1E"/>
          <w:sz w:val="18"/>
        </w:rPr>
        <w:t>Independentemente do número de votos anulados, há a necessidade de realização de novas eleições em pleito majoritário quando for indeferido o pedido de registro da candidatura ou em virtude de cassação do diploma ou do mandato. Somente se poderia cogitar do amesquinhamento do princípio federativo, em caso de duradoura persistência da situação de representação a menor de um determinado Estado, o que, na inteligência do art. 56, § 2º, da Constituição, corresponderia a um prazo superior a quinze meses. Não se extrai do indigitado artigo interpretação conducente a permitir a assunção interina do c</w:t>
      </w:r>
    </w:p>
    <w:p>
      <w:pPr>
        <w:ind w:left="144"/>
      </w:pPr>
      <w:r>
        <w:rPr>
          <w:b/>
          <w:color w:val="B45A00"/>
          <w:sz w:val="16"/>
        </w:rPr>
        <w:t>JULGADOS CORRELATOS</w:t>
      </w:r>
    </w:p>
    <w:p>
      <w:pPr>
        <w:ind w:left="288"/>
      </w:pPr>
      <w:r>
        <w:rPr>
          <w:color w:val="8C8C8C"/>
          <w:sz w:val="12"/>
        </w:rPr>
        <w:t>cf-art-56-par-3</w:t>
      </w:r>
      <w:r>
        <w:rPr>
          <w:color w:val="003CA0"/>
          <w:sz w:val="12"/>
        </w:rPr>
        <w:t xml:space="preserve"> | INQ 777-3</w:t>
      </w:r>
      <w:r>
        <w:rPr>
          <w:color w:val="003CA0"/>
          <w:sz w:val="12"/>
        </w:rPr>
        <w:t xml:space="preserve"> | rel. Moreira Alves</w:t>
      </w:r>
    </w:p>
    <w:p>
      <w:pPr>
        <w:ind w:left="288"/>
      </w:pPr>
      <w:r>
        <w:rPr>
          <w:color w:val="1E1E1E"/>
          <w:sz w:val="18"/>
        </w:rPr>
        <w:t>O membro do Congresso Nacional que se licencia do mandato para investir-se no cargo de ministro de Estado não perde os laços que o unem, organicamente, ao Parlamento (CF, art. 56, I). Consequentemente, continua a subsistir em seu favor a garantia constitucional da prerrogativa de foro em matéria penal (Inq 777-3 QO/TO, rel. min. Moreira Alves, DJ de 1º-10-1993), bem como a faculdade de optar pela remuneração do mandato (CF, art. 56, § 3º). Da mesma forma, ainda que licenciado, cumpre-lhe guardar estrita observância às vedações e incompatibilidades inerentes ao estatuto constitucional do congre</w:t>
      </w:r>
    </w:p>
    <w:p>
      <w:pPr>
        <w:ind w:left="288"/>
      </w:pPr>
      <w:r>
        <w:rPr>
          <w:b/>
          <w:color w:val="003CA0"/>
          <w:sz w:val="16"/>
        </w:rPr>
        <w:t>[MS 25.579 MC, red. do ac. min. Joaquim Barbosa, j. 19-10-2005, P, DJ de 24-8-2007.]</w:t>
      </w:r>
    </w:p>
    <w:p>
      <w:pPr>
        <w:ind w:left="288"/>
      </w:pPr>
      <w:r>
        <w:rPr>
          <w:color w:val="8C8C8C"/>
          <w:sz w:val="12"/>
        </w:rPr>
        <w:t>cf-art-56-par-3</w:t>
      </w:r>
    </w:p>
    <w:p>
      <w:pPr>
        <w:ind w:left="288"/>
      </w:pPr>
      <w:r>
        <w:rPr>
          <w:color w:val="1E1E1E"/>
          <w:sz w:val="18"/>
        </w:rPr>
        <w:t>Seção VI Das Reuniões SUMÁRIO</w:t>
      </w:r>
    </w:p>
    <w:p>
      <w:r>
        <w:rPr>
          <w:b/>
          <w:color w:val="003366"/>
          <w:sz w:val="20"/>
        </w:rPr>
        <w:t>Art. 57 Os débitos dos Estados e dos Municípios relativos às contribuições previ</w:t>
      </w:r>
      <w:r>
        <w:rPr>
          <w:color w:val="8C8C8C"/>
          <w:sz w:val="14"/>
        </w:rPr>
        <w:t xml:space="preserve">  [16 decisoes]</w:t>
      </w:r>
    </w:p>
    <w:p>
      <w:pPr>
        <w:ind w:left="144"/>
      </w:pPr>
      <w:r>
        <w:rPr>
          <w:b/>
          <w:color w:val="B45A00"/>
          <w:sz w:val="16"/>
        </w:rPr>
        <w:t>JULGADOS CORRELATOS</w:t>
      </w:r>
    </w:p>
    <w:p>
      <w:pPr>
        <w:ind w:left="288"/>
      </w:pPr>
      <w:r>
        <w:rPr>
          <w:color w:val="8C8C8C"/>
          <w:sz w:val="12"/>
        </w:rPr>
        <w:t>cf-art-57-par-3</w:t>
      </w:r>
      <w:r>
        <w:rPr>
          <w:color w:val="003CA0"/>
          <w:sz w:val="12"/>
        </w:rPr>
        <w:t xml:space="preserve"> | MS 33.729</w:t>
      </w:r>
      <w:r>
        <w:rPr>
          <w:color w:val="003CA0"/>
          <w:sz w:val="12"/>
        </w:rPr>
        <w:t xml:space="preserve"> | rel. Roberto Barroso</w:t>
      </w:r>
    </w:p>
    <w:p>
      <w:pPr>
        <w:ind w:left="288"/>
      </w:pPr>
      <w:r>
        <w:rPr>
          <w:color w:val="1E1E1E"/>
          <w:sz w:val="18"/>
        </w:rPr>
        <w:t>O julgamento das contas do Presidente da República deve ser feito pelo Congresso Nacional em sessão conjunta das Casas, e não separadamente pela Câmara dos Deputados e pelo Senado Federal. (...) Entretanto, a longa duração da prática de julgamento separado das contas do Presidente da República por cada uma das Casas Legislativas deve ser considerada no julgamento de mérito. Tendo as contas já sido aprovadas, e os PDLs convertidos em decretos legislativos, os efeitos dos atos já praticados devem ser resguardados, em homenagem à segurança jurídica.</w:t>
        <w:br/>
        <w:t>[MS 33.729, rel. min. Roberto Barroso, j. 22-5-</w:t>
      </w:r>
    </w:p>
    <w:p>
      <w:pPr>
        <w:ind w:left="144"/>
      </w:pPr>
      <w:r>
        <w:rPr>
          <w:b/>
          <w:color w:val="B45A00"/>
          <w:sz w:val="16"/>
        </w:rPr>
        <w:t>CONTROLE CONCENTRADO</w:t>
      </w:r>
    </w:p>
    <w:p>
      <w:pPr>
        <w:ind w:left="288"/>
      </w:pPr>
      <w:r>
        <w:rPr>
          <w:color w:val="8C8C8C"/>
          <w:sz w:val="12"/>
        </w:rPr>
        <w:t>cf-art-57-par-3-inc-IV</w:t>
      </w:r>
      <w:r>
        <w:rPr>
          <w:color w:val="003CA0"/>
          <w:sz w:val="12"/>
        </w:rPr>
        <w:t xml:space="preserve"> | ADPF 714</w:t>
      </w:r>
      <w:r>
        <w:rPr>
          <w:color w:val="003CA0"/>
          <w:sz w:val="12"/>
        </w:rPr>
        <w:t xml:space="preserve"> | rel. Gilmar Mendes</w:t>
      </w:r>
    </w:p>
    <w:p>
      <w:pPr>
        <w:ind w:left="288"/>
      </w:pPr>
      <w:r>
        <w:rPr>
          <w:color w:val="1E1E1E"/>
          <w:sz w:val="18"/>
        </w:rPr>
        <w:t>Veto presidencial em projeto de lei que determinava a utilização de máscaras em locais fechados. Novo veto, após sanção parcial, contra dispositivo anteriormente sancionado, que determinava a utilização de máscaras em presídios. Admissibilidade de ADPF contra veto por inconstitucionalidade. Impossibilidade de arrependimento ao veto.</w:t>
      </w:r>
    </w:p>
    <w:p>
      <w:pPr>
        <w:ind w:left="288"/>
      </w:pPr>
      <w:r>
        <w:rPr>
          <w:b/>
          <w:color w:val="003CA0"/>
          <w:sz w:val="16"/>
        </w:rPr>
        <w:t>[ADPF 714, ADPF 715 e ADPF 716, rel. min. Gilmar Mendes, j. 17-2-2021, P, DJE 25-2-2021.]</w:t>
      </w:r>
    </w:p>
    <w:p>
      <w:pPr>
        <w:ind w:left="288"/>
      </w:pPr>
      <w:r>
        <w:rPr>
          <w:color w:val="8C8C8C"/>
          <w:sz w:val="12"/>
        </w:rPr>
        <w:t>cf-art-57-par-3-inc-IV</w:t>
      </w:r>
      <w:r>
        <w:rPr>
          <w:color w:val="003CA0"/>
          <w:sz w:val="12"/>
        </w:rPr>
        <w:t xml:space="preserve"> | ADPF 1</w:t>
      </w:r>
      <w:r>
        <w:rPr>
          <w:color w:val="003CA0"/>
          <w:sz w:val="12"/>
        </w:rPr>
        <w:t xml:space="preserve"> | rel. Néri da Silveira</w:t>
      </w:r>
    </w:p>
    <w:p>
      <w:pPr>
        <w:ind w:left="288"/>
      </w:pPr>
      <w:r>
        <w:rPr>
          <w:color w:val="1E1E1E"/>
          <w:sz w:val="18"/>
        </w:rPr>
        <w:t>No processo legislativo, o ato de vetar, por motivo de inconstitucionalidade ou de contrariedade ao interesse público, e a deliberação legislativa de manter ou recusar o veto, qualquer que seja o motivo desse juízo, compõem procedimentos que se hão de reservar à esfera de independência dos poderes políticos em apreço. Não é, assim, enquadrável, em princípio, o veto, devidamente fundamentado, pendente de deliberação política do Poder Legislativo – que pode, sempre, mantê-lo ou recusá-lo – no conceito de "ato do poder público", para os fins do art. 1º da Lei 9.882/1999. Impossibilidade de interv</w:t>
      </w:r>
    </w:p>
    <w:p>
      <w:pPr>
        <w:ind w:left="288"/>
      </w:pPr>
      <w:r>
        <w:rPr>
          <w:b/>
          <w:color w:val="003CA0"/>
          <w:sz w:val="16"/>
        </w:rPr>
        <w:t>[ADPF 1 QO, rel. min. Néri da Silveira, j. 3-2-2000, P, DJ de 7-11-2003.]</w:t>
      </w:r>
    </w:p>
    <w:p>
      <w:pPr>
        <w:ind w:left="288"/>
      </w:pPr>
      <w:r>
        <w:rPr>
          <w:color w:val="8C8C8C"/>
          <w:sz w:val="12"/>
        </w:rPr>
        <w:t>cf-art-57-par-3-inc-IV</w:t>
      </w:r>
      <w:r>
        <w:rPr>
          <w:color w:val="003CA0"/>
          <w:sz w:val="12"/>
        </w:rPr>
        <w:t xml:space="preserve"> | ADI 7.756</w:t>
      </w:r>
      <w:r>
        <w:rPr>
          <w:color w:val="003CA0"/>
          <w:sz w:val="12"/>
        </w:rPr>
        <w:t xml:space="preserve"> | rel. Cármen Lúcia</w:t>
      </w:r>
    </w:p>
    <w:p>
      <w:pPr>
        <w:ind w:left="288"/>
      </w:pPr>
      <w:r>
        <w:rPr>
          <w:color w:val="1E1E1E"/>
          <w:sz w:val="18"/>
        </w:rPr>
        <w:t>§ 4º Cada uma das Casas reunir-se-á em sessões preparatórias, a partir de 1º de fevereiro, no primeiro ano da legislatura, para a posse de seus membros e eleição das respectivas Mesas, para mandato de 2 (dois) anos, vedada a recondução para o mesmo cargo na eleição imediatamente subsequente. (Redação da EC 50/2006) A utilização da idade como critério de desempate nas eleições da mesa diretora da Assembleia Legislativa, em caso de empates sucessivos na votação, não desatende a Constituição da República.</w:t>
      </w:r>
    </w:p>
    <w:p>
      <w:pPr>
        <w:ind w:left="288"/>
      </w:pPr>
      <w:r>
        <w:rPr>
          <w:b/>
          <w:color w:val="003CA0"/>
          <w:sz w:val="16"/>
        </w:rPr>
        <w:t>[ADI 7.756, voto da rel. min. Cármen Lúcia, j. 26-11-2025, P, DJE de 12-2-2026.]</w:t>
      </w:r>
    </w:p>
    <w:p>
      <w:pPr>
        <w:ind w:left="288"/>
      </w:pPr>
      <w:r>
        <w:rPr>
          <w:color w:val="8C8C8C"/>
          <w:sz w:val="12"/>
        </w:rPr>
        <w:t>cf-art-57-par-3-inc-IV</w:t>
      </w:r>
      <w:r>
        <w:rPr>
          <w:color w:val="003CA0"/>
          <w:sz w:val="12"/>
        </w:rPr>
        <w:t xml:space="preserve"> | ADI 7.737</w:t>
      </w:r>
      <w:r>
        <w:rPr>
          <w:color w:val="003CA0"/>
          <w:sz w:val="12"/>
        </w:rPr>
        <w:t xml:space="preserve"> | rel. Flávio Dino</w:t>
      </w:r>
    </w:p>
    <w:p>
      <w:pPr>
        <w:ind w:left="288"/>
      </w:pPr>
      <w:r>
        <w:rPr>
          <w:color w:val="1E1E1E"/>
          <w:sz w:val="18"/>
        </w:rPr>
        <w:t>Resolução. Antecipação excessiva de eleição para mesa diretora de Assembleia Legislativa. (...) A Resolução ALEPE nº 1.936/2023, ora impugnada, modificou a redação do § 2º do art. 74 para permitir a antecipação da eleição para o mês de novembro do primeiro ano da legislatura, período muito distante do início do segundo biênio, o que diminui as chances de grupos minoritários disputarem a liderança no segundo biênio, dificulta a alternância nos cargos de poder e reduz a representatividade das instituições em relação às mudanças políticas e sociais. Ao antecipar excessivamente as eleições, a reso</w:t>
      </w:r>
    </w:p>
    <w:p>
      <w:pPr>
        <w:ind w:left="288"/>
      </w:pPr>
      <w:r>
        <w:rPr>
          <w:b/>
          <w:color w:val="003CA0"/>
          <w:sz w:val="16"/>
        </w:rPr>
        <w:t>[ADI 7.737, rel. min. Flávio Dino, j. 25.06.2025, P, DJE de 16.07.2025.]</w:t>
      </w:r>
    </w:p>
    <w:p>
      <w:pPr>
        <w:ind w:left="288"/>
      </w:pPr>
      <w:r>
        <w:rPr>
          <w:color w:val="8C8C8C"/>
          <w:sz w:val="12"/>
        </w:rPr>
        <w:t>cf-art-57-par-3-inc-IV</w:t>
      </w:r>
      <w:r>
        <w:rPr>
          <w:color w:val="003CA0"/>
          <w:sz w:val="12"/>
        </w:rPr>
        <w:t xml:space="preserve"> | ADI 7.733</w:t>
      </w:r>
      <w:r>
        <w:rPr>
          <w:color w:val="003CA0"/>
          <w:sz w:val="12"/>
        </w:rPr>
        <w:t xml:space="preserve"> | rel. Gilmar Mendes</w:t>
      </w:r>
    </w:p>
    <w:p>
      <w:pPr>
        <w:ind w:left="288"/>
      </w:pPr>
      <w:r>
        <w:rPr>
          <w:color w:val="1E1E1E"/>
          <w:sz w:val="18"/>
        </w:rPr>
        <w:t>Interpretação sistemática da Constituição Federal leva à compreensão de que as eleições da Mesa Diretora do Poder Legislativo, para o segundo biênio da legislatura, devem realizar-se a partir do mês de outubro do ano anterior ao início do mandato pertinente, em respeito à expressão política da composição atual da casa.</w:t>
        <w:br/>
        <w:t xml:space="preserve">[ADI 7.733, rel. min. Gilmar Mendes, j. 19.11.2024, P, DJE de 28.11.2024.] Emenda nº 48/22 à Constituição do Estado do Tocantins. Eleições concomitantes da mesa diretora da Assembleia Legislativa para o primeiro e o segundo biênios. Inconstitucionalidade. (...) as eleições para </w:t>
      </w:r>
    </w:p>
    <w:p>
      <w:pPr>
        <w:ind w:left="288"/>
      </w:pPr>
      <w:r>
        <w:rPr>
          <w:b/>
          <w:color w:val="003CA0"/>
          <w:sz w:val="16"/>
        </w:rPr>
        <w:t>[ADPF 1.002, voto da rel. min. Cármen Lúcia, j. 13-12-2022, P, DJE de 12-4-2023.]</w:t>
      </w:r>
    </w:p>
    <w:p>
      <w:pPr>
        <w:ind w:left="288"/>
      </w:pPr>
      <w:r>
        <w:rPr>
          <w:color w:val="8C8C8C"/>
          <w:sz w:val="12"/>
        </w:rPr>
        <w:t>cf-art-57-par-3-inc-IV</w:t>
      </w:r>
      <w:r>
        <w:rPr>
          <w:color w:val="003CA0"/>
          <w:sz w:val="12"/>
        </w:rPr>
        <w:t xml:space="preserve"> | ADI 6.524</w:t>
      </w:r>
      <w:r>
        <w:rPr>
          <w:color w:val="003CA0"/>
          <w:sz w:val="12"/>
        </w:rPr>
        <w:t xml:space="preserve"> | rel. Gilmar Mendes</w:t>
      </w:r>
    </w:p>
    <w:p>
      <w:pPr>
        <w:ind w:left="288"/>
      </w:pPr>
      <w:r>
        <w:rPr>
          <w:color w:val="1E1E1E"/>
          <w:sz w:val="18"/>
        </w:rPr>
        <w:t>(i) a eleição dos membros das Mesas das Assembleias Legislativas estaduais deve observar o limite de uma única reeleição ou recondução, limite cuja observância independe de os mandados consecutivos referirem-se à mesma legislatura; (ii) a vedação à reeleição ou recondução aplica-se somente para o mesmo cargo da mesa diretora, não impedindo que membro da mesa anterior se mantenha no órgão de direção, desde que em cargo distinto; (iii) o limite de uma única reeleição ou recondução, acima veiculado, deve orientar a formação da Mesa da Assembleia Legislativa no período posterior à data de publicaç</w:t>
      </w:r>
    </w:p>
    <w:p>
      <w:pPr>
        <w:ind w:left="288"/>
      </w:pPr>
      <w:r>
        <w:rPr>
          <w:b/>
          <w:color w:val="003CA0"/>
          <w:sz w:val="16"/>
        </w:rPr>
        <w:t>[ADI 6.688, ADI 6.698, ADI 6.714 e ADI 7.016, rel. min. Gilmar Mendes, ADI 6.683, ADI 6.686, ADI 6.687, ADI 6.711 e ADI 6.718, rel. min. Nunes Marques, j. 7.12.2022, P, DJE de 28.4.2023.]</w:t>
      </w:r>
    </w:p>
    <w:p>
      <w:pPr>
        <w:ind w:left="288"/>
      </w:pPr>
      <w:r>
        <w:rPr>
          <w:color w:val="8C8C8C"/>
          <w:sz w:val="12"/>
        </w:rPr>
        <w:t>cf-art-57-par-3-inc-IV</w:t>
      </w:r>
      <w:r>
        <w:rPr>
          <w:color w:val="003CA0"/>
          <w:sz w:val="12"/>
        </w:rPr>
        <w:t xml:space="preserve"> | ADPF 871</w:t>
      </w:r>
      <w:r>
        <w:rPr>
          <w:color w:val="003CA0"/>
          <w:sz w:val="12"/>
        </w:rPr>
        <w:t xml:space="preserve"> | rel. Cármen Lúcia</w:t>
      </w:r>
    </w:p>
    <w:p>
      <w:pPr>
        <w:ind w:left="288"/>
      </w:pPr>
      <w:r>
        <w:rPr>
          <w:color w:val="1E1E1E"/>
          <w:sz w:val="18"/>
        </w:rPr>
        <w:t>Permissão de recondução de membro da Mesa Diretora da Câmara Municipal. Princípios republicano e democrático. Interpretação conforme à Constituição para permitir apenas uma reeleição consecutiva para o mesmo cargo.</w:t>
      </w:r>
    </w:p>
    <w:p>
      <w:pPr>
        <w:ind w:left="288"/>
      </w:pPr>
      <w:r>
        <w:rPr>
          <w:b/>
          <w:color w:val="003CA0"/>
          <w:sz w:val="16"/>
        </w:rPr>
        <w:t>[ADPF 871, rel. min. Cármen Lúcia, j. 23-11-2021, P, DJE de 3-12-2021.]</w:t>
        <w:br/>
        <w:t>Vide ADI 6.524, rel. min. Gilmar Mendes, j. 15-12-2020, P, DJE de 6-4-2021.</w:t>
      </w:r>
    </w:p>
    <w:p>
      <w:pPr>
        <w:ind w:left="288"/>
      </w:pPr>
      <w:r>
        <w:rPr>
          <w:color w:val="8C8C8C"/>
          <w:sz w:val="12"/>
        </w:rPr>
        <w:t>cf-art-57-par-3-inc-IV</w:t>
      </w:r>
      <w:r>
        <w:rPr>
          <w:color w:val="003CA0"/>
          <w:sz w:val="12"/>
        </w:rPr>
        <w:t xml:space="preserve"> | ADI 6.524</w:t>
      </w:r>
    </w:p>
    <w:p>
      <w:pPr>
        <w:ind w:left="288"/>
      </w:pPr>
      <w:r>
        <w:rPr>
          <w:color w:val="1E1E1E"/>
          <w:sz w:val="18"/>
        </w:rPr>
        <w:t>(i) a eleição dos membros das Mesas das Assembleias Legislativas estaduais deve observar o limite de uma única reeleição ou recondução, limite cuja observância independe de os mandatos consecutivos referirem-se à mesma legislatura; (ii) a vedação à reeleição ou recondução aplica-se somente para o mesmo cargo da mesa diretora, não impedindo que membro da mesa anterior se mantenha no órgão de direção, desde que em cargo distinto; e (iii) o limite de uma única reeleição ou recondução, acima veiculado, deve orientar a formação das Mesas das Assembleias Legislativas que foram eleitas após a publica</w:t>
      </w:r>
    </w:p>
    <w:p>
      <w:pPr>
        <w:ind w:left="288"/>
      </w:pPr>
      <w:r>
        <w:rPr>
          <w:b/>
          <w:color w:val="003CA0"/>
          <w:sz w:val="16"/>
        </w:rPr>
        <w:t>[ADI 6.707, ADI 6.709 e ADI 6.710, redator do acórdão min. Gilmar Mendes, j. 20-9-2021, P, DJE de 6-12-2021.]</w:t>
      </w:r>
    </w:p>
    <w:p>
      <w:pPr>
        <w:ind w:left="288"/>
      </w:pPr>
      <w:r>
        <w:rPr>
          <w:color w:val="8C8C8C"/>
          <w:sz w:val="12"/>
        </w:rPr>
        <w:t>cf-art-57-par-3-inc-IV</w:t>
      </w:r>
      <w:r>
        <w:rPr>
          <w:color w:val="003CA0"/>
          <w:sz w:val="12"/>
        </w:rPr>
        <w:t xml:space="preserve"> | ADI 6.524</w:t>
      </w:r>
      <w:r>
        <w:rPr>
          <w:color w:val="003CA0"/>
          <w:sz w:val="12"/>
        </w:rPr>
        <w:t xml:space="preserve"> | rel. Gilmar Mendes</w:t>
      </w:r>
    </w:p>
    <w:p>
      <w:pPr>
        <w:ind w:left="288"/>
      </w:pPr>
      <w:r>
        <w:rPr>
          <w:color w:val="1E1E1E"/>
          <w:sz w:val="18"/>
        </w:rPr>
        <w:t>Compreensão da maioria no sentido de que o art. 57, § 4º, da Constituição Federal de 1988 requer interpretação do art. 5º, caput e § 1º, do RICD, e o art. 59, RISF, que assente a impossibilidade de recondução de Membro da Mesa para o mesmo cargo, na eleição imediatamente subsequente, que ocorre no início do terceiro ano da legislatura. (...) o Tribunal reafirmou jurisprudência que pontifica que a vedação em referência não tem lugar em caso de nova legislatura, situação em que se constitui Congresso novo.</w:t>
      </w:r>
    </w:p>
    <w:p>
      <w:pPr>
        <w:ind w:left="288"/>
      </w:pPr>
      <w:r>
        <w:rPr>
          <w:b/>
          <w:color w:val="003CA0"/>
          <w:sz w:val="16"/>
        </w:rPr>
        <w:t>[ADI 6.524, rel. min. Gilmar Mendes, j. 15-12-2020, P, DJE de 6-4-2021.]</w:t>
      </w:r>
    </w:p>
    <w:p>
      <w:pPr>
        <w:ind w:left="288"/>
      </w:pPr>
      <w:r>
        <w:rPr>
          <w:color w:val="8C8C8C"/>
          <w:sz w:val="12"/>
        </w:rPr>
        <w:t>cf-art-57-par-3-inc-IV</w:t>
      </w:r>
      <w:r>
        <w:rPr>
          <w:color w:val="003CA0"/>
          <w:sz w:val="12"/>
        </w:rPr>
        <w:t xml:space="preserve"> | ADPF 871</w:t>
      </w:r>
      <w:r>
        <w:rPr>
          <w:color w:val="003CA0"/>
          <w:sz w:val="12"/>
        </w:rPr>
        <w:t xml:space="preserve"> | rel. Cármen Lúcia</w:t>
      </w:r>
    </w:p>
    <w:p>
      <w:pPr>
        <w:ind w:left="288"/>
      </w:pPr>
      <w:r>
        <w:rPr>
          <w:color w:val="1E1E1E"/>
          <w:sz w:val="18"/>
        </w:rPr>
        <w:t>Vide ADPF 871, rel. min. Cármen Lúcia, j. 23-11-2021, P, DJE de 3-12-2021</w:t>
      </w:r>
    </w:p>
    <w:p>
      <w:pPr>
        <w:ind w:left="144"/>
      </w:pPr>
      <w:r>
        <w:rPr>
          <w:b/>
          <w:color w:val="B45A00"/>
          <w:sz w:val="16"/>
        </w:rPr>
        <w:t>JULGADOS CORRELATOS</w:t>
      </w:r>
    </w:p>
    <w:p>
      <w:pPr>
        <w:ind w:left="288"/>
      </w:pPr>
      <w:r>
        <w:rPr>
          <w:color w:val="8C8C8C"/>
          <w:sz w:val="12"/>
        </w:rPr>
        <w:t>cf-art-57-par-5</w:t>
      </w:r>
      <w:r>
        <w:rPr>
          <w:color w:val="003CA0"/>
          <w:sz w:val="12"/>
        </w:rPr>
        <w:t xml:space="preserve"> | MS 24.041</w:t>
      </w:r>
      <w:r>
        <w:rPr>
          <w:color w:val="003CA0"/>
          <w:sz w:val="12"/>
        </w:rPr>
        <w:t xml:space="preserve"> | rel. Nelson Jobim</w:t>
      </w:r>
    </w:p>
    <w:p>
      <w:pPr>
        <w:ind w:left="288"/>
      </w:pPr>
      <w:r>
        <w:rPr>
          <w:color w:val="1E1E1E"/>
          <w:sz w:val="18"/>
        </w:rPr>
        <w:t xml:space="preserve">Mesa do Congresso Nacional. Substituição do presidente. Mandado de segurança. Legitimidade ativa de membro da Câmara dos Deputados em face da garantia do devido processo legislativo. História constitucional do Poder Legislativo desde a Assembleia Geral do Império. Análise do sistema brasileiro. Bicameralismo. Constituição de 1988. Inovação – art. 57, § 5º. Composição. Presidência do Senado e preenchimento dos demais cargos pelos equivalentes em ambas as casas, observada a alternância. Matéria de estrita interpretação constitucional. Competência deste Tribunal. Impossibilidade de aplicar norma </w:t>
      </w:r>
    </w:p>
    <w:p>
      <w:pPr>
        <w:ind w:left="288"/>
      </w:pPr>
      <w:r>
        <w:rPr>
          <w:b/>
          <w:color w:val="003CA0"/>
          <w:sz w:val="16"/>
        </w:rPr>
        <w:t>[MS 24.041, rel. min. Nelson Jobim, j. 29-8-2001, P, DJ de 11-4-2003.]</w:t>
      </w:r>
    </w:p>
    <w:p>
      <w:pPr>
        <w:ind w:left="288"/>
      </w:pPr>
      <w:r>
        <w:rPr>
          <w:color w:val="8C8C8C"/>
          <w:sz w:val="12"/>
        </w:rPr>
        <w:t>cf-art-57-par-6</w:t>
      </w:r>
    </w:p>
    <w:p>
      <w:pPr>
        <w:ind w:left="288"/>
      </w:pPr>
      <w:r>
        <w:rPr>
          <w:color w:val="1E1E1E"/>
          <w:sz w:val="18"/>
        </w:rPr>
        <w:t>I - pelo Presidente do Senado Federal, em caso de decretação de estado de defesa ou de intervenção federal, de pedido de autorização para a decretação de estado de sítio e para o compromisso e a posse do Presidente e do Vice-Presidente da República; II - pelo Presidente da República, pelos Presidentes da Câmara dos Deputados e do Senado Federal ou a requerimento da maioria dos membros de ambas as Casas, em caso de urgência ou interesse público relevante, em todas as hipóteses deste inciso com a aprovação da maioria absoluta de cada uma das Casas do Congresso Nacional. (Redação da EC 50/2006)</w:t>
      </w:r>
    </w:p>
    <w:p>
      <w:pPr>
        <w:ind w:left="288"/>
      </w:pPr>
      <w:r>
        <w:rPr>
          <w:color w:val="8C8C8C"/>
          <w:sz w:val="12"/>
        </w:rPr>
        <w:t>cf-art-57-par-6</w:t>
      </w:r>
      <w:r>
        <w:rPr>
          <w:color w:val="003CA0"/>
          <w:sz w:val="12"/>
        </w:rPr>
        <w:t xml:space="preserve"> | MS 25.769</w:t>
      </w:r>
      <w:r>
        <w:rPr>
          <w:color w:val="003CA0"/>
          <w:sz w:val="12"/>
        </w:rPr>
        <w:t xml:space="preserve"> | rel. Marco Aurélio</w:t>
      </w:r>
    </w:p>
    <w:p>
      <w:pPr>
        <w:ind w:left="288"/>
      </w:pPr>
      <w:r>
        <w:rPr>
          <w:color w:val="1E1E1E"/>
          <w:sz w:val="18"/>
        </w:rPr>
        <w:t>Mandado de segurança. Sessão extraordinária de casa legislativa. Convocação. Impugnação. Inexistência de direito subjetivo do cidadão. Surge inadequada a impetração no que voltada a obstaculizar convocação extraordinária para sessão de casa legislativa.</w:t>
      </w:r>
    </w:p>
    <w:p>
      <w:pPr>
        <w:ind w:left="288"/>
      </w:pPr>
      <w:r>
        <w:rPr>
          <w:b/>
          <w:color w:val="003CA0"/>
          <w:sz w:val="16"/>
        </w:rPr>
        <w:t>[MS 25.769 AgR, rel. min. Marco Aurélio, j. 2-4-2009, P, DJE de 8-5-2009.]</w:t>
      </w:r>
    </w:p>
    <w:p>
      <w:pPr>
        <w:ind w:left="144"/>
      </w:pPr>
      <w:r>
        <w:rPr>
          <w:b/>
          <w:color w:val="B45A00"/>
          <w:sz w:val="16"/>
        </w:rPr>
        <w:t>CONTROLE CONCENTRADO</w:t>
      </w:r>
    </w:p>
    <w:p>
      <w:pPr>
        <w:ind w:left="288"/>
      </w:pPr>
      <w:r>
        <w:rPr>
          <w:color w:val="8C8C8C"/>
          <w:sz w:val="12"/>
        </w:rPr>
        <w:t>cf-art-57-par-7</w:t>
      </w:r>
      <w:r>
        <w:rPr>
          <w:color w:val="003CA0"/>
          <w:sz w:val="12"/>
        </w:rPr>
        <w:t xml:space="preserve"> | ADI 4.587</w:t>
      </w:r>
      <w:r>
        <w:rPr>
          <w:color w:val="003CA0"/>
          <w:sz w:val="12"/>
        </w:rPr>
        <w:t xml:space="preserve"> | rel. Ricardo Lewandowski</w:t>
      </w:r>
    </w:p>
    <w:p>
      <w:pPr>
        <w:ind w:left="288"/>
      </w:pPr>
      <w:r>
        <w:rPr>
          <w:color w:val="1E1E1E"/>
          <w:sz w:val="18"/>
        </w:rPr>
        <w:t>O art. 57, § 7º, do Texto Constitucional veda o pagamento de parcela indenizatória aos parlamentares em razão de convocação extraordinária. Essa norma é de reprodução obrigatória pelos Estados-membros por força do art. 27, § 2º, da Carta Magna. A Constituição é expressa, no art. 39, § 4º, ao vedar o acréscimo de qualquer gratificação, adicional, abono, prêmio, verba de representação ou outra espécie remuneratória ao subsídio percebido pelos parlamentares.</w:t>
      </w:r>
    </w:p>
    <w:p>
      <w:pPr>
        <w:ind w:left="288"/>
      </w:pPr>
      <w:r>
        <w:rPr>
          <w:b/>
          <w:color w:val="003CA0"/>
          <w:sz w:val="16"/>
        </w:rPr>
        <w:t>[ADI 4.587, rel. min. Ricardo Lewandowski, j. 22-5-2014, P, DJE de 18-6-2014.]</w:t>
      </w:r>
    </w:p>
    <w:p>
      <w:pPr>
        <w:ind w:left="288"/>
      </w:pPr>
      <w:r>
        <w:rPr>
          <w:color w:val="8C8C8C"/>
          <w:sz w:val="12"/>
        </w:rPr>
        <w:t>cf-art-57-par-8</w:t>
      </w:r>
    </w:p>
    <w:p>
      <w:pPr>
        <w:ind w:left="288"/>
      </w:pPr>
      <w:r>
        <w:rPr>
          <w:color w:val="1E1E1E"/>
          <w:sz w:val="18"/>
        </w:rPr>
        <w:t>Seção VII Das Comissões SUMÁRIO</w:t>
      </w:r>
    </w:p>
    <w:p>
      <w:pPr>
        <w:ind w:left="432"/>
      </w:pPr>
      <w:r>
        <w:rPr>
          <w:color w:val="003366"/>
          <w:sz w:val="18"/>
        </w:rPr>
        <w:t>§ 1 O montante a ser pago em cada um dos dois primeiros anos não será inferior a</w:t>
      </w:r>
    </w:p>
    <w:p>
      <w:pPr>
        <w:ind w:left="432"/>
      </w:pPr>
      <w:r>
        <w:rPr>
          <w:color w:val="003366"/>
          <w:sz w:val="18"/>
        </w:rPr>
        <w:t>§ 2 A liquidação poderá incluir pagamentos na forma de cessão de bens e prestaçã</w:t>
      </w:r>
    </w:p>
    <w:p>
      <w:pPr>
        <w:ind w:left="432"/>
      </w:pPr>
      <w:r>
        <w:rPr>
          <w:color w:val="003366"/>
          <w:sz w:val="18"/>
        </w:rPr>
        <w:t>§ 3 Em garantia do cumprimento do parcelamento, os Estados e os Municípios consi</w:t>
      </w:r>
    </w:p>
    <w:p>
      <w:pPr>
        <w:ind w:left="432"/>
      </w:pPr>
      <w:r>
        <w:rPr>
          <w:color w:val="003366"/>
          <w:sz w:val="18"/>
        </w:rPr>
        <w:t>§ 4 Descumprida qualquer das condições estabelecidas para concessão do parcelame</w:t>
      </w:r>
    </w:p>
    <w:p>
      <w:r>
        <w:rPr>
          <w:b/>
          <w:color w:val="003366"/>
          <w:sz w:val="20"/>
        </w:rPr>
        <w:t xml:space="preserve">Art. 58 Os benefícios de prestação continuada, mantidos pela previdência social </w:t>
      </w:r>
      <w:r>
        <w:rPr>
          <w:color w:val="8C8C8C"/>
          <w:sz w:val="14"/>
        </w:rPr>
        <w:t xml:space="preserve">  [27 decisoes]</w:t>
      </w:r>
    </w:p>
    <w:p>
      <w:pPr>
        <w:ind w:left="144"/>
      </w:pPr>
      <w:r>
        <w:rPr>
          <w:b/>
          <w:color w:val="B45A00"/>
          <w:sz w:val="16"/>
        </w:rPr>
        <w:t>CONTROLE CONCENTRADO</w:t>
      </w:r>
    </w:p>
    <w:p>
      <w:pPr>
        <w:ind w:left="288"/>
      </w:pPr>
      <w:r>
        <w:rPr>
          <w:color w:val="8C8C8C"/>
          <w:sz w:val="12"/>
        </w:rPr>
        <w:t>cf-art-58-par-1</w:t>
      </w:r>
      <w:r>
        <w:rPr>
          <w:color w:val="003CA0"/>
          <w:sz w:val="12"/>
        </w:rPr>
        <w:t xml:space="preserve"> | ADPF 378</w:t>
      </w:r>
    </w:p>
    <w:p>
      <w:pPr>
        <w:ind w:left="288"/>
      </w:pPr>
      <w:r>
        <w:rPr>
          <w:color w:val="1E1E1E"/>
          <w:sz w:val="18"/>
        </w:rPr>
        <w:t>É incompatível com o art. 58, caput e § 1º, da Constituição que os representantes dos partidos políticos ou blocos parlamentares deixem de ser indicados pelos líderes, na forma do Regimento Interno da Câmara dos Deputados, para serem escolhidos de fora para dentro, pelo Plenário, em violação à autonomia partidária. Em rigor, portanto, a hipótese não é de eleição. Para o rito de impeachment em curso, contudo, não se considera inválida a realização de eleição pelo Plenário da Câmara, desde que limitada, tal como ocorreu no caso Collor, a ratificar ou não as indicações feitas pelos líderes dos pa</w:t>
      </w:r>
    </w:p>
    <w:p>
      <w:pPr>
        <w:ind w:left="288"/>
      </w:pPr>
      <w:r>
        <w:rPr>
          <w:b/>
          <w:color w:val="003CA0"/>
          <w:sz w:val="16"/>
        </w:rPr>
        <w:t>[ADPF 378 MC, red. do ac. min. Roberto Barroso, j. 16-12-2015, P, DJE de 8-3-2016.]</w:t>
      </w:r>
    </w:p>
    <w:p>
      <w:pPr>
        <w:ind w:left="144"/>
      </w:pPr>
      <w:r>
        <w:rPr>
          <w:b/>
          <w:color w:val="B45A00"/>
          <w:sz w:val="16"/>
        </w:rPr>
        <w:t>JULGADOS CORRELATOS</w:t>
      </w:r>
    </w:p>
    <w:p>
      <w:pPr>
        <w:ind w:left="288"/>
      </w:pPr>
      <w:r>
        <w:rPr>
          <w:color w:val="8C8C8C"/>
          <w:sz w:val="12"/>
        </w:rPr>
        <w:t>cf-art-58-par-1</w:t>
      </w:r>
      <w:r>
        <w:rPr>
          <w:color w:val="003CA0"/>
          <w:sz w:val="12"/>
        </w:rPr>
        <w:t xml:space="preserve"> | MS 22.183</w:t>
      </w:r>
      <w:r>
        <w:rPr>
          <w:color w:val="003CA0"/>
          <w:sz w:val="12"/>
        </w:rPr>
        <w:t xml:space="preserve"> | rel. Maurício Corrêa</w:t>
      </w:r>
    </w:p>
    <w:p>
      <w:pPr>
        <w:ind w:left="288"/>
      </w:pPr>
      <w:r>
        <w:rPr>
          <w:color w:val="1E1E1E"/>
          <w:sz w:val="18"/>
        </w:rPr>
        <w:t>Ato do presidente da Câmara que, tendo em vista a impossibilidade, pelo critério proporcional, defere, para fins de registro, a candidatura para o cargo de presidente e indefere para o de membro titular da Mesa. Mandado de segurança impetrado para o fim de anular a eleição da Mesa da Câmara e validar o registro da candidatura ao cargo de 3º secretário. Decisão fundada, exclusivamente, em norma regimental referente à composição da Mesa e indicação de candidaturas para seus cargos (art. 8º). O fundamento regimental, por ser matéria interna corporis, só pode encontrar solução no âmbito do Poder L</w:t>
      </w:r>
    </w:p>
    <w:p>
      <w:pPr>
        <w:ind w:left="288"/>
      </w:pPr>
      <w:r>
        <w:rPr>
          <w:b/>
          <w:color w:val="003CA0"/>
          <w:sz w:val="16"/>
        </w:rPr>
        <w:t>[MS 22.183, rel. min. Maurício Corrêa, j. 5-4-1995, P, DJ de 12-12-1997.]</w:t>
      </w:r>
    </w:p>
    <w:p>
      <w:pPr>
        <w:ind w:left="144"/>
      </w:pPr>
      <w:r>
        <w:rPr>
          <w:b/>
          <w:color w:val="B45A00"/>
          <w:sz w:val="16"/>
        </w:rPr>
        <w:t>CONTROLE CONCENTRADO</w:t>
      </w:r>
    </w:p>
    <w:p>
      <w:pPr>
        <w:ind w:left="288"/>
      </w:pPr>
      <w:r>
        <w:rPr>
          <w:color w:val="8C8C8C"/>
          <w:sz w:val="12"/>
        </w:rPr>
        <w:t>cf-art-58-par-2</w:t>
      </w:r>
      <w:r>
        <w:rPr>
          <w:color w:val="003CA0"/>
          <w:sz w:val="12"/>
        </w:rPr>
        <w:t xml:space="preserve"> | ADI 1.505</w:t>
      </w:r>
      <w:r>
        <w:rPr>
          <w:color w:val="003CA0"/>
          <w:sz w:val="12"/>
        </w:rPr>
        <w:t xml:space="preserve"> | rel. Eros Grau</w:t>
      </w:r>
    </w:p>
    <w:p>
      <w:pPr>
        <w:ind w:left="288"/>
      </w:pPr>
      <w:r>
        <w:rPr>
          <w:color w:val="1E1E1E"/>
          <w:sz w:val="18"/>
        </w:rPr>
        <w:t>Art. 187 da Constituição do Estado do Espírito Santo. Relatório de impacto ambiental. Aprovação pela Assembleia Legislativa. Vício material. Afronta aos arts. 58, § 2º, e 225, § 1º, da Constituição do Brasil. É inconstitucional preceito da Constituição do Estado do Espírito Santo que submete o Relatório de Impacto Ambiental (RIMA) ao crivo de comissão permanente e específica da Assembleia Legislativa. A concessão de autorização para desenvolvimento de atividade potencialmente danosa ao meio ambiente consubstancia ato do poder de polícia – ato da administração pública –, entenda-se ato do Poder</w:t>
      </w:r>
    </w:p>
    <w:p>
      <w:pPr>
        <w:ind w:left="288"/>
      </w:pPr>
      <w:r>
        <w:rPr>
          <w:b/>
          <w:color w:val="003CA0"/>
          <w:sz w:val="16"/>
        </w:rPr>
        <w:t>[ADI 1.505, rel. min. Eros Grau, j. 24-11-2004, P, DJ de 4-3-2005.]</w:t>
      </w:r>
    </w:p>
    <w:p>
      <w:pPr>
        <w:ind w:left="288"/>
      </w:pPr>
      <w:r>
        <w:rPr>
          <w:color w:val="8C8C8C"/>
          <w:sz w:val="12"/>
        </w:rPr>
        <w:t>cf-art-58-par-2-inc-I</w:t>
      </w:r>
      <w:r>
        <w:rPr>
          <w:color w:val="003CA0"/>
          <w:sz w:val="12"/>
        </w:rPr>
        <w:t xml:space="preserve"> | ADI 652</w:t>
      </w:r>
      <w:r>
        <w:rPr>
          <w:color w:val="003CA0"/>
          <w:sz w:val="12"/>
        </w:rPr>
        <w:t xml:space="preserve"> | rel. Celso de Mello</w:t>
      </w:r>
    </w:p>
    <w:p>
      <w:pPr>
        <w:ind w:left="288"/>
      </w:pPr>
      <w:r>
        <w:rPr>
          <w:color w:val="1E1E1E"/>
          <w:sz w:val="18"/>
        </w:rPr>
        <w:t>O procedimento instituído por lei complementar estadual, que confere poder decisório a comissão da assembleia legislativa, para o efeito de criação de Municípios, subverte os postulados disciplinadores do processo de formação das leis, pela transgressão do princípio geral da reserva de plenário, que comete a este órgão colegiado a competência exclusiva para, enquanto instância legislativa suprema, discutir, apreciar e votar os projetos de lei. O princípio da reserva de plenário, "que sempre se presume", só pode ser derrogado, em caráter de absoluta excepcionalidade, nas situações previstas pel</w:t>
      </w:r>
    </w:p>
    <w:p>
      <w:pPr>
        <w:ind w:left="288"/>
      </w:pPr>
      <w:r>
        <w:rPr>
          <w:b/>
          <w:color w:val="003CA0"/>
          <w:sz w:val="16"/>
        </w:rPr>
        <w:t>[ADI 652 MC, rel. min. Celso de Mello, j. 18-12-1991, P, DJ de 2-4-1993.]</w:t>
      </w:r>
    </w:p>
    <w:p>
      <w:pPr>
        <w:ind w:left="288"/>
      </w:pPr>
      <w:r>
        <w:rPr>
          <w:color w:val="8C8C8C"/>
          <w:sz w:val="12"/>
        </w:rPr>
        <w:t>cf-art-58-par-2-inc-VI</w:t>
      </w:r>
    </w:p>
    <w:p>
      <w:pPr>
        <w:ind w:left="288"/>
      </w:pPr>
      <w:r>
        <w:rPr>
          <w:color w:val="1E1E1E"/>
          <w:sz w:val="18"/>
        </w:rPr>
        <w:t>§ 3º As comissões parlamentares de inquérito, que terão poderes de investigação próprios das autoridades judiciais, além de outros previstos nos regimentos das respectivas Casas, serão criadas pela Câmara dos Deputados e pelo Senado Federal, em conjunto ou separadamente, mediante requerimento de um terço de seus membros, para a apuração de fato determinado e por prazo certo, sendo suas conclusões, se for o caso, encaminhadas ao Ministério Público, para que promova a responsabilidade civil ou criminal dos infratores.</w:t>
      </w:r>
    </w:p>
    <w:p>
      <w:pPr>
        <w:ind w:left="288"/>
      </w:pPr>
      <w:r>
        <w:rPr>
          <w:color w:val="8C8C8C"/>
          <w:sz w:val="12"/>
        </w:rPr>
        <w:t>cf-art-58-par-2-inc-VI</w:t>
      </w:r>
      <w:r>
        <w:rPr>
          <w:color w:val="003CA0"/>
          <w:sz w:val="12"/>
        </w:rPr>
        <w:t xml:space="preserve"> | ADI 3.619</w:t>
      </w:r>
      <w:r>
        <w:rPr>
          <w:color w:val="003CA0"/>
          <w:sz w:val="12"/>
        </w:rPr>
        <w:t xml:space="preserve"> | rel. Eros Grau</w:t>
      </w:r>
    </w:p>
    <w:p>
      <w:pPr>
        <w:ind w:left="288"/>
      </w:pPr>
      <w:r>
        <w:rPr>
          <w:color w:val="1E1E1E"/>
          <w:sz w:val="18"/>
        </w:rPr>
        <w:t>A Constituição do Brasil assegura a 1/3 dos membros da Câmara dos Deputados e a 1/3 dos membros do Senado Federal a criação da CPI, deixando, porém, ao próprio parlamento o seu destino. A garantia assegurada a 1/3 dos membros da Câmara ou do Senado estende-se aos membros das assembleias legislativas estaduais – garantia das minorias. O modelo federal de criação e instauração das CPIs constitui matéria a ser compulsoriamente observada pelas casas legislativas estaduais. A garantia da instalação da CPI independe de deliberação plenária, seja da Câmara, do Senado ou da assembleia legislativa. (..</w:t>
      </w:r>
    </w:p>
    <w:p>
      <w:pPr>
        <w:ind w:left="288"/>
      </w:pPr>
      <w:r>
        <w:rPr>
          <w:b/>
          <w:color w:val="003CA0"/>
          <w:sz w:val="16"/>
        </w:rPr>
        <w:t>[ADI 3.619, rel. min. Eros Grau, j. 1º-8-2006, P, DJ de 20-4-2007.]</w:t>
      </w:r>
    </w:p>
    <w:p>
      <w:pPr>
        <w:ind w:left="144"/>
      </w:pPr>
      <w:r>
        <w:rPr>
          <w:b/>
          <w:color w:val="B45A00"/>
          <w:sz w:val="16"/>
        </w:rPr>
        <w:t>JULGADOS CORRELATOS</w:t>
      </w:r>
    </w:p>
    <w:p>
      <w:pPr>
        <w:ind w:left="288"/>
      </w:pPr>
      <w:r>
        <w:rPr>
          <w:color w:val="8C8C8C"/>
          <w:sz w:val="12"/>
        </w:rPr>
        <w:t>cf-art-58-par-2-inc-VI</w:t>
      </w:r>
      <w:r>
        <w:rPr>
          <w:color w:val="003CA0"/>
          <w:sz w:val="12"/>
        </w:rPr>
        <w:t xml:space="preserve"> | MS 33.521</w:t>
      </w:r>
      <w:r>
        <w:rPr>
          <w:color w:val="003CA0"/>
          <w:sz w:val="12"/>
        </w:rPr>
        <w:t xml:space="preserve"> | rel. Marco Aurélio</w:t>
      </w:r>
    </w:p>
    <w:p>
      <w:pPr>
        <w:ind w:left="288"/>
      </w:pPr>
      <w:r>
        <w:rPr>
          <w:color w:val="1E1E1E"/>
          <w:sz w:val="18"/>
        </w:rPr>
        <w:t>É atribuição do Presidente da Câmara aferir o preenchimento dos requisitos atinentes à instauração de comissão parlamentar de inquérito.</w:t>
      </w:r>
    </w:p>
    <w:p>
      <w:pPr>
        <w:ind w:left="288"/>
      </w:pPr>
      <w:r>
        <w:rPr>
          <w:b/>
          <w:color w:val="003CA0"/>
          <w:sz w:val="16"/>
        </w:rPr>
        <w:t>[MS 33.521, rel. min. Marco Aurélio, j. 15-5-2020, P, DJE de 24-6-2020.]</w:t>
      </w:r>
    </w:p>
    <w:p>
      <w:pPr>
        <w:ind w:left="288"/>
      </w:pPr>
      <w:r>
        <w:rPr>
          <w:color w:val="8C8C8C"/>
          <w:sz w:val="12"/>
        </w:rPr>
        <w:t>cf-art-58-par-2-inc-VI</w:t>
      </w:r>
      <w:r>
        <w:rPr>
          <w:color w:val="003CA0"/>
          <w:sz w:val="12"/>
        </w:rPr>
        <w:t xml:space="preserve"> | MS 35.216</w:t>
      </w:r>
      <w:r>
        <w:rPr>
          <w:color w:val="003CA0"/>
          <w:sz w:val="12"/>
        </w:rPr>
        <w:t xml:space="preserve"> | rel. Luiz Fux</w:t>
      </w:r>
    </w:p>
    <w:p>
      <w:pPr>
        <w:ind w:left="288"/>
      </w:pPr>
      <w:r>
        <w:rPr>
          <w:color w:val="1E1E1E"/>
          <w:sz w:val="18"/>
        </w:rPr>
        <w:t>As CPIs possuem permissão legal para encaminhar relatório circunstanciado não só ao Ministério Público e à AGU, mas, também, a outros órgãos públicos, podendo veicular, inclusive, documentação que possibilite a instauração de inquérito policial em face de pessoas envolvidas nos fatos apurados (art. 58, § 3º, CRFB/1988, c/c art. 6º-A da Lei 1.579/1952, incluído pela Lei 13.367/2016).</w:t>
      </w:r>
    </w:p>
    <w:p>
      <w:pPr>
        <w:ind w:left="288"/>
      </w:pPr>
      <w:r>
        <w:rPr>
          <w:b/>
          <w:color w:val="003CA0"/>
          <w:sz w:val="16"/>
        </w:rPr>
        <w:t>[MS 35.216 AgR, rel. min. Luiz Fux, j. 17-11-2017, P, DJE de 27-11-2017.]</w:t>
      </w:r>
    </w:p>
    <w:p>
      <w:pPr>
        <w:ind w:left="288"/>
      </w:pPr>
      <w:r>
        <w:rPr>
          <w:color w:val="8C8C8C"/>
          <w:sz w:val="12"/>
        </w:rPr>
        <w:t>cf-art-58-par-2-inc-VI</w:t>
      </w:r>
      <w:r>
        <w:rPr>
          <w:color w:val="003CA0"/>
          <w:sz w:val="12"/>
        </w:rPr>
        <w:t xml:space="preserve"> | HC 71.231</w:t>
      </w:r>
      <w:r>
        <w:rPr>
          <w:color w:val="003CA0"/>
          <w:sz w:val="12"/>
        </w:rPr>
        <w:t xml:space="preserve"> | rel. Carlos Velloso</w:t>
      </w:r>
    </w:p>
    <w:p>
      <w:pPr>
        <w:ind w:left="288"/>
      </w:pPr>
      <w:r>
        <w:rPr>
          <w:color w:val="1E1E1E"/>
          <w:sz w:val="18"/>
        </w:rPr>
        <w:t>(...) além da função contramajoritária fiscalizatória do Poder Executivo, reiteradamente assentada por esta Corte, as CPIs figuram como instrumento essencial das atividades parlamentares como um todo, na medida em que objetivam "reunir dados e informações para o exercício das funções constitucionais conferidas ao Parlamento" (FERRAZ, Anna Cândida da Cunha. Conflito entre poderes. São Paulo: Revista dos Tribunais, 1994. p. 174), de forma que viabilizam a atividade parlamentar em sua plenitude. Em outras palavras, incumbe às Comissões em apreço não apenas as atividades de fiscalização. As CPIs t</w:t>
      </w:r>
    </w:p>
    <w:p>
      <w:pPr>
        <w:ind w:left="288"/>
      </w:pPr>
      <w:r>
        <w:rPr>
          <w:b/>
          <w:color w:val="003CA0"/>
          <w:sz w:val="16"/>
        </w:rPr>
        <w:t>[MS 25.991 AgR, rel. min. Marco Aurélio, j. 25-8-2015, 1ª T, DJE de 10-9-2015.]</w:t>
      </w:r>
    </w:p>
    <w:p>
      <w:pPr>
        <w:ind w:left="288"/>
      </w:pPr>
      <w:r>
        <w:rPr>
          <w:color w:val="8C8C8C"/>
          <w:sz w:val="12"/>
        </w:rPr>
        <w:t>cf-art-58-par-2-inc-VI</w:t>
      </w:r>
      <w:r>
        <w:rPr>
          <w:color w:val="003CA0"/>
          <w:sz w:val="12"/>
        </w:rPr>
        <w:t xml:space="preserve"> | MS 33.663</w:t>
      </w:r>
      <w:r>
        <w:rPr>
          <w:color w:val="003CA0"/>
          <w:sz w:val="12"/>
        </w:rPr>
        <w:t xml:space="preserve"> | rel. Celso de Mello</w:t>
      </w:r>
    </w:p>
    <w:p>
      <w:pPr>
        <w:ind w:left="288"/>
      </w:pPr>
      <w:r>
        <w:rPr>
          <w:color w:val="1E1E1E"/>
          <w:sz w:val="18"/>
        </w:rPr>
        <w:t>Impossibilidade jurídica de CPI praticar atos sobre os quais incida a cláusula constitucional da reserva de jurisdição, como a busca e apreensão domiciliar (...). Possibilidade, contudo, de a CPI ordenar busca e apreensão de bens, objetos e computadores, desde que essa diligência não se efetive em local inviolável, como os espaços domiciliares, sob pena, em tal hipótese, de invalidade da diligência e de ineficácia probatória dos elementos informativos dela resultantes. Deliberação da CPI/Petrobras que, embora não abrangente do domicílio dos impetrantes, ressentir-se-ia da falta da necessária f</w:t>
      </w:r>
    </w:p>
    <w:p>
      <w:pPr>
        <w:ind w:left="288"/>
      </w:pPr>
      <w:r>
        <w:rPr>
          <w:b/>
          <w:color w:val="003CA0"/>
          <w:sz w:val="16"/>
        </w:rPr>
        <w:t>[MS 33.663 MC, rel. min. Celso de Mello, j. 19-6-2015, dec. monocrática, DJE de 18-8-2015.]</w:t>
      </w:r>
    </w:p>
    <w:p>
      <w:pPr>
        <w:ind w:left="288"/>
      </w:pPr>
      <w:r>
        <w:rPr>
          <w:color w:val="8C8C8C"/>
          <w:sz w:val="12"/>
        </w:rPr>
        <w:t>cf-art-58-par-2-inc-VI</w:t>
      </w:r>
      <w:r>
        <w:rPr>
          <w:color w:val="003CA0"/>
          <w:sz w:val="12"/>
        </w:rPr>
        <w:t xml:space="preserve"> | MS 31.475</w:t>
      </w:r>
      <w:r>
        <w:rPr>
          <w:color w:val="003CA0"/>
          <w:sz w:val="12"/>
        </w:rPr>
        <w:t xml:space="preserve"> | rel. Rosa Weber</w:t>
      </w:r>
    </w:p>
    <w:p>
      <w:pPr>
        <w:ind w:left="288"/>
      </w:pPr>
      <w:r>
        <w:rPr>
          <w:color w:val="1E1E1E"/>
          <w:sz w:val="18"/>
        </w:rPr>
        <w:t>A presente impetração volta-se, efetivamente, contra ato deliberativo consubstanciador de regramento da disciplina interna de trabalho da CPMI. (...) da leitura da Ata da 20ª Reunião da Comissão Parlamentar Mista de Inquérito (...) constata-se que a estratégia inquisitiva relativa às testemunhas que invocarem o direito constitucional ao silêncio – dispensar do depoimento – foi objeto de específica deliberação e subsequente encaminhamento de votação no âmbito daquele órgão investigativo colegiado. Não obstante seja imperativo o respeito, tanto na organização quanto na dinâmica das CPIs, das pre</w:t>
      </w:r>
    </w:p>
    <w:p>
      <w:pPr>
        <w:ind w:left="288"/>
      </w:pPr>
      <w:r>
        <w:rPr>
          <w:b/>
          <w:color w:val="003CA0"/>
          <w:sz w:val="16"/>
        </w:rPr>
        <w:t>[MS 31.475, rel. min. Rosa Weber, j. 7-8-2012, dec. monocrática, DJE de 10-8-2012.]</w:t>
      </w:r>
    </w:p>
    <w:p>
      <w:pPr>
        <w:ind w:left="288"/>
      </w:pPr>
      <w:r>
        <w:rPr>
          <w:color w:val="8C8C8C"/>
          <w:sz w:val="12"/>
        </w:rPr>
        <w:t>cf-art-58-par-2-inc-VI</w:t>
      </w:r>
      <w:r>
        <w:rPr>
          <w:color w:val="003CA0"/>
          <w:sz w:val="12"/>
        </w:rPr>
        <w:t xml:space="preserve"> | MS 30.906</w:t>
      </w:r>
      <w:r>
        <w:rPr>
          <w:color w:val="003CA0"/>
          <w:sz w:val="12"/>
        </w:rPr>
        <w:t xml:space="preserve"> | rel. Celso de Mello</w:t>
      </w:r>
    </w:p>
    <w:p>
      <w:pPr>
        <w:ind w:left="288"/>
      </w:pPr>
      <w:r>
        <w:rPr>
          <w:color w:val="1E1E1E"/>
          <w:sz w:val="18"/>
        </w:rPr>
        <w:t xml:space="preserve">(...) as CPIs somente podem exercer as atribuições investigatórias que lhes são inerentes, desde que o façam nos mesmos termos e segundo as mesmas exigências que a Constituição e as leis da República impõem aos juízes, especialmente no que concerne ao necessário respeito às prerrogativas que o ordenamento positivo do Estado confere aos advogados. (...) não se revela legítimo opor, ao advogado, restrições, que, ao impedirem, injusta e arbitrariamente, o regular exercício de sua atividade profissional, culminem por esvaziar e nulificar a própria razão de ser de sua intervenção perante os órgãos </w:t>
      </w:r>
    </w:p>
    <w:p>
      <w:pPr>
        <w:ind w:left="288"/>
      </w:pPr>
      <w:r>
        <w:rPr>
          <w:b/>
          <w:color w:val="003CA0"/>
          <w:sz w:val="16"/>
        </w:rPr>
        <w:t>[MS 30.906 MC, rel. min. Celso de Mello, j. 5-10-2011, dec. monocrática, DJE de 10-10-2011.]</w:t>
      </w:r>
    </w:p>
    <w:p>
      <w:pPr>
        <w:ind w:left="288"/>
      </w:pPr>
      <w:r>
        <w:rPr>
          <w:color w:val="8C8C8C"/>
          <w:sz w:val="12"/>
        </w:rPr>
        <w:t>cf-art-58-par-2-inc-VI</w:t>
      </w:r>
      <w:r>
        <w:rPr>
          <w:color w:val="003CA0"/>
          <w:sz w:val="12"/>
        </w:rPr>
        <w:t xml:space="preserve"> | HC 100.341</w:t>
      </w:r>
      <w:r>
        <w:rPr>
          <w:color w:val="003CA0"/>
          <w:sz w:val="12"/>
        </w:rPr>
        <w:t xml:space="preserve"> | rel. Joaquim Barbosa</w:t>
      </w:r>
    </w:p>
    <w:p>
      <w:pPr>
        <w:ind w:left="288"/>
      </w:pPr>
      <w:r>
        <w:rPr>
          <w:color w:val="1E1E1E"/>
          <w:sz w:val="18"/>
        </w:rPr>
        <w:t>Utilização, por CPI, de documentos oriundos de inquérito sigiloso. Possibilidade.</w:t>
      </w:r>
    </w:p>
    <w:p>
      <w:pPr>
        <w:ind w:left="288"/>
      </w:pPr>
      <w:r>
        <w:rPr>
          <w:b/>
          <w:color w:val="003CA0"/>
          <w:sz w:val="16"/>
        </w:rPr>
        <w:t>[HC 100.341, rel. min. Joaquim Barbosa, j. 4-11-2010, P, DJE de 2-12-2010.]</w:t>
      </w:r>
    </w:p>
    <w:p>
      <w:pPr>
        <w:ind w:left="288"/>
      </w:pPr>
      <w:r>
        <w:rPr>
          <w:color w:val="8C8C8C"/>
          <w:sz w:val="12"/>
        </w:rPr>
        <w:t>cf-art-58-par-2-inc-VI</w:t>
      </w:r>
      <w:r>
        <w:rPr>
          <w:color w:val="003CA0"/>
          <w:sz w:val="12"/>
        </w:rPr>
        <w:t xml:space="preserve"> | HC 100.200</w:t>
      </w:r>
      <w:r>
        <w:rPr>
          <w:color w:val="003CA0"/>
          <w:sz w:val="12"/>
        </w:rPr>
        <w:t xml:space="preserve"> | rel. Joaquim Barbosa</w:t>
      </w:r>
    </w:p>
    <w:p>
      <w:pPr>
        <w:ind w:left="288"/>
      </w:pPr>
      <w:r>
        <w:rPr>
          <w:color w:val="1E1E1E"/>
          <w:sz w:val="18"/>
        </w:rPr>
        <w:t>É jurisprudência pacífica desta Corte a possibilidade de o investigado, convocado para depor perante CPI, permanecer em silêncio, evitando-se a autoincriminação, além de ter assegurado o direito de ser assistido por advogado e de comunicar-se com este durante a sua inquirição. (...) Considerando a qualidade de investigado convocado por CPI para prestar depoimento, é imperiosa a dispensa do compromisso legal inerente às testemunhas. Direitos e garantias inerentes ao privilégio contra a autoincriminação podem ser previamente assegurados para exercício em eventuais reconvocações.</w:t>
      </w:r>
    </w:p>
    <w:p>
      <w:pPr>
        <w:ind w:left="288"/>
      </w:pPr>
      <w:r>
        <w:rPr>
          <w:b/>
          <w:color w:val="003CA0"/>
          <w:sz w:val="16"/>
        </w:rPr>
        <w:t>[HC 100.200, rel. min. Joaquim Barbosa, j. 8-4-2010, P, DJE de 27-8-2010.]</w:t>
      </w:r>
    </w:p>
    <w:p>
      <w:pPr>
        <w:ind w:left="288"/>
      </w:pPr>
      <w:r>
        <w:rPr>
          <w:color w:val="8C8C8C"/>
          <w:sz w:val="12"/>
        </w:rPr>
        <w:t>cf-art-58-par-2-inc-VI</w:t>
      </w:r>
      <w:r>
        <w:rPr>
          <w:color w:val="003CA0"/>
          <w:sz w:val="12"/>
        </w:rPr>
        <w:t xml:space="preserve"> | MS 27.483</w:t>
      </w:r>
      <w:r>
        <w:rPr>
          <w:color w:val="003CA0"/>
          <w:sz w:val="12"/>
        </w:rPr>
        <w:t xml:space="preserve"> | rel. Cezar Peluso</w:t>
      </w:r>
    </w:p>
    <w:p>
      <w:pPr>
        <w:ind w:left="288"/>
      </w:pPr>
      <w:r>
        <w:rPr>
          <w:color w:val="1E1E1E"/>
          <w:sz w:val="18"/>
        </w:rPr>
        <w:t>CPI não tem poder jurídico de, mediante requisição, a operadoras de telefonia, de cópias de decisão nem de mandado judicial de interceptação telefônica, quebrar sigilo imposto a processo sujeito a segredo de justiça. Este é oponível a CPI, representando expressiva limitação aos seus poderes constitucionais.</w:t>
      </w:r>
    </w:p>
    <w:p>
      <w:pPr>
        <w:ind w:left="288"/>
      </w:pPr>
      <w:r>
        <w:rPr>
          <w:b/>
          <w:color w:val="003CA0"/>
          <w:sz w:val="16"/>
        </w:rPr>
        <w:t>[MS 27.483 MC-REF, rel. min. Cezar Peluso, j. 14-8-2008, P, DJE de 10-10-2008.]</w:t>
      </w:r>
    </w:p>
    <w:p>
      <w:pPr>
        <w:ind w:left="288"/>
      </w:pPr>
      <w:r>
        <w:rPr>
          <w:color w:val="8C8C8C"/>
          <w:sz w:val="12"/>
        </w:rPr>
        <w:t>cf-art-58-par-2-inc-VI</w:t>
      </w:r>
      <w:r>
        <w:rPr>
          <w:color w:val="003CA0"/>
          <w:sz w:val="12"/>
        </w:rPr>
        <w:t xml:space="preserve"> | MS 26.441</w:t>
      </w:r>
      <w:r>
        <w:rPr>
          <w:color w:val="003CA0"/>
          <w:sz w:val="12"/>
        </w:rPr>
        <w:t xml:space="preserve"> | rel. Celso de Mello</w:t>
      </w:r>
    </w:p>
    <w:p>
      <w:pPr>
        <w:ind w:left="288"/>
      </w:pPr>
      <w:r>
        <w:rPr>
          <w:color w:val="1E1E1E"/>
          <w:sz w:val="18"/>
        </w:rPr>
        <w:t>A norma inscrita no art. 58, § 3º, da Constituição da República destina-se a ensejar a participação ativa das minorias parlamentares no processo de investigação legislativa, sem que, para tanto, mostre-se necessária a concordância das agremiações que compõem a maioria parlamentar. O direito de oposição, especialmente aquele reconhecido às minorias legislativas, para que não se transforme numa prerrogativa constitucional inconsequente, há de ser aparelhado com instrumentos de atuação que viabilizem a sua prática efetiva e concreta no âmbito de cada uma das Casas do Congresso Nacional. (...) A o</w:t>
      </w:r>
    </w:p>
    <w:p>
      <w:pPr>
        <w:ind w:left="288"/>
      </w:pPr>
      <w:r>
        <w:rPr>
          <w:b/>
          <w:color w:val="003CA0"/>
          <w:sz w:val="16"/>
        </w:rPr>
        <w:t>[MS 26.441, rel. min. Celso de Mello, j. 25-4-2007, P, DJE de 18-12-2009.]</w:t>
      </w:r>
    </w:p>
    <w:p>
      <w:pPr>
        <w:ind w:left="288"/>
      </w:pPr>
      <w:r>
        <w:rPr>
          <w:color w:val="8C8C8C"/>
          <w:sz w:val="12"/>
        </w:rPr>
        <w:t>cf-art-58-par-2-inc-VI</w:t>
      </w:r>
      <w:r>
        <w:rPr>
          <w:color w:val="003CA0"/>
          <w:sz w:val="12"/>
        </w:rPr>
        <w:t xml:space="preserve"> | MS 24.831</w:t>
      </w:r>
      <w:r>
        <w:rPr>
          <w:color w:val="003CA0"/>
          <w:sz w:val="12"/>
        </w:rPr>
        <w:t xml:space="preserve"> | rel. Celso de Mello</w:t>
      </w:r>
    </w:p>
    <w:p>
      <w:pPr>
        <w:ind w:left="288"/>
      </w:pPr>
      <w:r>
        <w:rPr>
          <w:color w:val="1E1E1E"/>
          <w:sz w:val="18"/>
        </w:rPr>
        <w:t>Vide MS 24.831, rel. min. Celso de Mello, j. 22-6-2005, P, DJ de 4-8-2006 Criação de CPI: requisitos constitucionais. O Parlamento recebeu dos cidadãos, não só o poder de representação política e a competência para legislar, mas também o mandato para fiscalizar os órgãos e agentes do Estado, respeitados, nesse processo de fiscalização, os limites materiais e as exigências formais estabelecidas pela CF. O direito de investigar – que a Constituição da República atribuiu ao Congresso Nacional e às Casas que o compõem (art. 58, § 3º) – tem, no inquérito parlamentar, o instrumento mais expressivo d</w:t>
      </w:r>
    </w:p>
    <w:p>
      <w:pPr>
        <w:ind w:left="288"/>
      </w:pPr>
      <w:r>
        <w:rPr>
          <w:b/>
          <w:color w:val="003CA0"/>
          <w:sz w:val="16"/>
        </w:rPr>
        <w:t>[MS 24.831, rel. min. Celso de Mello, j. 22-6-2005, P, DJ de 4-8-2006.]</w:t>
      </w:r>
    </w:p>
    <w:p>
      <w:pPr>
        <w:ind w:left="288"/>
      </w:pPr>
      <w:r>
        <w:rPr>
          <w:color w:val="8C8C8C"/>
          <w:sz w:val="12"/>
        </w:rPr>
        <w:t>cf-art-58-par-2-inc-VI</w:t>
      </w:r>
      <w:r>
        <w:rPr>
          <w:color w:val="003CA0"/>
          <w:sz w:val="12"/>
        </w:rPr>
        <w:t xml:space="preserve"> | MS 26.441</w:t>
      </w:r>
      <w:r>
        <w:rPr>
          <w:color w:val="003CA0"/>
          <w:sz w:val="12"/>
        </w:rPr>
        <w:t xml:space="preserve"> | rel. Celso de Mello</w:t>
      </w:r>
    </w:p>
    <w:p>
      <w:pPr>
        <w:ind w:left="288"/>
      </w:pPr>
      <w:r>
        <w:rPr>
          <w:color w:val="1E1E1E"/>
          <w:sz w:val="18"/>
        </w:rPr>
        <w:t>Vide MS 26.441, rel. min. Celso de Mello, j. 25-4-2007, P, DJE de 18-12-2009 O princípio da colegialidade traduz diretriz de fundamental importância na regência das deliberações tomadas por qualquer CPI, notadamente quando esta, no desempenho de sua competência investigatória, ordena a adoção de medidas restritivas de direitos, como aquelas que importam na revelação (disclosure) das operações financeiras ativas e passivas de qualquer pessoa. A legitimidade do ato de quebra do sigilo bancário, além de supor a plena adequação de tal medida ao que prescreve a Constituição, deriva da necessidade d</w:t>
      </w:r>
    </w:p>
    <w:p>
      <w:pPr>
        <w:ind w:left="288"/>
      </w:pPr>
      <w:r>
        <w:rPr>
          <w:b/>
          <w:color w:val="003CA0"/>
          <w:sz w:val="16"/>
        </w:rPr>
        <w:t>[MS 24.817, rel. min. Celso de Mello, j. 3-2-2005, P, DJE de 6-11-2009.]</w:t>
      </w:r>
    </w:p>
    <w:p>
      <w:pPr>
        <w:ind w:left="288"/>
      </w:pPr>
      <w:r>
        <w:rPr>
          <w:color w:val="8C8C8C"/>
          <w:sz w:val="12"/>
        </w:rPr>
        <w:t>cf-art-58-par-2-inc-VI</w:t>
      </w:r>
      <w:r>
        <w:rPr>
          <w:color w:val="003CA0"/>
          <w:sz w:val="12"/>
        </w:rPr>
        <w:t xml:space="preserve"> | MS 24.832</w:t>
      </w:r>
      <w:r>
        <w:rPr>
          <w:color w:val="003CA0"/>
          <w:sz w:val="12"/>
        </w:rPr>
        <w:t xml:space="preserve"> | rel. Cezar Peluso</w:t>
      </w:r>
    </w:p>
    <w:p>
      <w:pPr>
        <w:ind w:left="288"/>
      </w:pPr>
      <w:r>
        <w:rPr>
          <w:color w:val="1E1E1E"/>
          <w:sz w:val="18"/>
        </w:rPr>
        <w:t>Não aparentam caracterizar abuso de exposição da imagem pessoal na mídia a transmissão e a gravação de sessão em que se toma depoimento de indiciado, em CPI.</w:t>
      </w:r>
    </w:p>
    <w:p>
      <w:pPr>
        <w:ind w:left="288"/>
      </w:pPr>
      <w:r>
        <w:rPr>
          <w:b/>
          <w:color w:val="003CA0"/>
          <w:sz w:val="16"/>
        </w:rPr>
        <w:t>[MS 24.832 MC, rel. min. Cezar Peluso, j. 18-3-2004, P, DJ de 18-8-2006.]</w:t>
      </w:r>
    </w:p>
    <w:p>
      <w:pPr>
        <w:ind w:left="288"/>
      </w:pPr>
      <w:r>
        <w:rPr>
          <w:color w:val="8C8C8C"/>
          <w:sz w:val="12"/>
        </w:rPr>
        <w:t>cf-art-58-par-2-inc-VI</w:t>
      </w:r>
      <w:r>
        <w:rPr>
          <w:color w:val="003CA0"/>
          <w:sz w:val="12"/>
        </w:rPr>
        <w:t xml:space="preserve"> | MS 23.868</w:t>
      </w:r>
      <w:r>
        <w:rPr>
          <w:color w:val="003CA0"/>
          <w:sz w:val="12"/>
        </w:rPr>
        <w:t xml:space="preserve"> | rel. Celso de Mello</w:t>
      </w:r>
    </w:p>
    <w:p>
      <w:pPr>
        <w:ind w:left="288"/>
      </w:pPr>
      <w:r>
        <w:rPr>
          <w:color w:val="1E1E1E"/>
          <w:sz w:val="18"/>
        </w:rPr>
        <w:t>A quebra do sigilo, por ato de CPI, deve ser necessariamente fundamentada, sob pena de invalidade. A CPI – que dispõe de competência constitucional para ordenar a quebra do sigilo bancário, fiscal e telefônico das pessoas sob investigação do Poder Legislativo – somente poderá praticar tal ato, que se reveste de gravíssimas consequências, se justificar, de modo adequado, e sempre mediante indicação concreta de fatos específicos, a necessidade de adoção dessa medida excepcional. Precedentes. A fundamentação da quebra de sigilo há de ser contemporânea à própria deliberação legislativa que a decre</w:t>
      </w:r>
    </w:p>
    <w:p>
      <w:pPr>
        <w:ind w:left="288"/>
      </w:pPr>
      <w:r>
        <w:rPr>
          <w:b/>
          <w:color w:val="003CA0"/>
          <w:sz w:val="16"/>
        </w:rPr>
        <w:t>[MS 23.868, rel. min. Celso de Mello, j. 30-8-2001, P, DJ de 21-6-2002.]</w:t>
      </w:r>
    </w:p>
    <w:p>
      <w:pPr>
        <w:ind w:left="288"/>
      </w:pPr>
      <w:r>
        <w:rPr>
          <w:color w:val="8C8C8C"/>
          <w:sz w:val="12"/>
        </w:rPr>
        <w:t>cf-art-58-par-2-inc-VI</w:t>
      </w:r>
      <w:r>
        <w:rPr>
          <w:color w:val="003CA0"/>
          <w:sz w:val="12"/>
        </w:rPr>
        <w:t xml:space="preserve"> | MS 23.852</w:t>
      </w:r>
      <w:r>
        <w:rPr>
          <w:color w:val="003CA0"/>
          <w:sz w:val="12"/>
        </w:rPr>
        <w:t xml:space="preserve"> | rel. Celso de Mello</w:t>
      </w:r>
    </w:p>
    <w:p>
      <w:pPr>
        <w:ind w:left="288"/>
      </w:pPr>
      <w:r>
        <w:rPr>
          <w:color w:val="1E1E1E"/>
          <w:sz w:val="18"/>
        </w:rPr>
        <w:t>A jurisprudência do STF entende prejudicadas as ações de mandado de segurança e de habeas corpus, sempre que – impetrados tais writs constitucionais contra CPIs – vierem estas a extinguir-se, em virtude da conclusão de seus trabalhos investigatórios, independentemente da aprovação, ou não, de seu relatório final.</w:t>
      </w:r>
    </w:p>
    <w:p>
      <w:pPr>
        <w:ind w:left="288"/>
      </w:pPr>
      <w:r>
        <w:rPr>
          <w:b/>
          <w:color w:val="003CA0"/>
          <w:sz w:val="16"/>
        </w:rPr>
        <w:t>[MS 23.852 QO, rel. min. Celso de Mello, j. 28-6-2001, P, DJ de 24-8-2001.]</w:t>
      </w:r>
    </w:p>
    <w:p>
      <w:pPr>
        <w:ind w:left="288"/>
      </w:pPr>
      <w:r>
        <w:rPr>
          <w:color w:val="8C8C8C"/>
          <w:sz w:val="12"/>
        </w:rPr>
        <w:t>cf-art-58-par-2-inc-VI</w:t>
      </w:r>
      <w:r>
        <w:rPr>
          <w:color w:val="003CA0"/>
          <w:sz w:val="12"/>
        </w:rPr>
        <w:t xml:space="preserve"> | MS 25.459</w:t>
      </w:r>
      <w:r>
        <w:rPr>
          <w:color w:val="003CA0"/>
          <w:sz w:val="12"/>
        </w:rPr>
        <w:t xml:space="preserve"> | rel. Cezar Peluso</w:t>
      </w:r>
    </w:p>
    <w:p>
      <w:pPr>
        <w:ind w:left="288"/>
      </w:pPr>
      <w:r>
        <w:rPr>
          <w:color w:val="1E1E1E"/>
          <w:sz w:val="18"/>
        </w:rPr>
        <w:t>= MS 25.459 AgR, rel. min. Cezar Peluso, j. 4-2-2010, P, DJE de 12-3-2010 = HC 95.277, rel. min. Cármen Lúcia, j. 19-12-2008, P, DJE de 20-2-2009. Para ter-se fundamentada a decisão de quebra dos sigilos, considera-se o teor do requerimento, bem como o que exposto, no momento da submissão a voto, aos integrantes da CPI, descabendo exigir que o ato conte com a mesma estrutura, com relatório, fundamentação e parte dispositiva, de uma decisão judicial.</w:t>
      </w:r>
    </w:p>
    <w:p>
      <w:pPr>
        <w:ind w:left="288"/>
      </w:pPr>
      <w:r>
        <w:rPr>
          <w:b/>
          <w:color w:val="003CA0"/>
          <w:sz w:val="16"/>
        </w:rPr>
        <w:t>[MS 23.716, rel. min. Marco Aurélio, j. 4-4-2001, P, DJ de 18-5-2001.]</w:t>
      </w:r>
    </w:p>
    <w:p>
      <w:pPr>
        <w:ind w:left="288"/>
      </w:pPr>
      <w:r>
        <w:rPr>
          <w:color w:val="8C8C8C"/>
          <w:sz w:val="12"/>
        </w:rPr>
        <w:t>cf-art-58-par-2-inc-VI</w:t>
      </w:r>
      <w:r>
        <w:rPr>
          <w:color w:val="003CA0"/>
          <w:sz w:val="12"/>
        </w:rPr>
        <w:t xml:space="preserve"> | HC 79.812</w:t>
      </w:r>
      <w:r>
        <w:rPr>
          <w:color w:val="003CA0"/>
          <w:sz w:val="12"/>
        </w:rPr>
        <w:t xml:space="preserve"> | rel. Celso de Mello</w:t>
      </w:r>
    </w:p>
    <w:p>
      <w:pPr>
        <w:ind w:left="288"/>
      </w:pPr>
      <w:r>
        <w:rPr>
          <w:color w:val="1E1E1E"/>
          <w:sz w:val="18"/>
        </w:rPr>
        <w:t>O privilégio contra a autoincriminação – que é plenamente invocável perante as CPIs – traduz direito público subjetivo assegurado a qualquer pessoa, que, na condição de testemunha, de indiciado ou de réu, deva prestar depoimento perante órgãos do Poder Legislativo, do Poder Executivo ou do Poder Judiciário. O exercício do direito de permanecer em silêncio não autoriza os órgãos estatais a dispensarem qualquer tratamento que implique restrição à esfera jurídica daquele que regularmente invocou essa prerrogativa fundamental. (...) O direito ao silêncio – enquanto poder jurídico reconhecido a qua</w:t>
      </w:r>
    </w:p>
    <w:p>
      <w:pPr>
        <w:ind w:left="288"/>
      </w:pPr>
      <w:r>
        <w:rPr>
          <w:b/>
          <w:color w:val="003CA0"/>
          <w:sz w:val="16"/>
        </w:rPr>
        <w:t>[HC 79.812, rel. min. Celso de Mello, j. 8-11-2000, P, DJ de 16-2-2001.]</w:t>
      </w:r>
    </w:p>
    <w:p>
      <w:pPr>
        <w:ind w:left="288"/>
      </w:pPr>
      <w:r>
        <w:rPr>
          <w:color w:val="8C8C8C"/>
          <w:sz w:val="12"/>
        </w:rPr>
        <w:t>cf-art-58-par-2-inc-VI</w:t>
      </w:r>
      <w:r>
        <w:rPr>
          <w:color w:val="003CA0"/>
          <w:sz w:val="12"/>
        </w:rPr>
        <w:t xml:space="preserve"> | HC 100.200</w:t>
      </w:r>
      <w:r>
        <w:rPr>
          <w:color w:val="003CA0"/>
          <w:sz w:val="12"/>
        </w:rPr>
        <w:t xml:space="preserve"> | rel. Joaquim Barbosa</w:t>
      </w:r>
    </w:p>
    <w:p>
      <w:pPr>
        <w:ind w:left="288"/>
      </w:pPr>
      <w:r>
        <w:rPr>
          <w:color w:val="1E1E1E"/>
          <w:sz w:val="18"/>
        </w:rPr>
        <w:t>Vide HC 100.200, rel. min. Joaquim Barbosa, j. 8-4-2010, P, DJE de 27-8-2010 Incompetência da CPI para expedir decreto de indisponibilidade de bens de particular, que não é medida de instrução – a cujo âmbito se restringem os poderes de autoridade judicial a elas conferidos no art. 58, § 3º, mas de provimento cautelar de eventual sentença futura, que só pode caber ao juiz competente para proferi-la.</w:t>
      </w:r>
    </w:p>
    <w:p>
      <w:pPr>
        <w:ind w:left="288"/>
      </w:pPr>
      <w:r>
        <w:rPr>
          <w:b/>
          <w:color w:val="003CA0"/>
          <w:sz w:val="16"/>
        </w:rPr>
        <w:t>[MS 23.480, rel. min. Sepúlveda Pertence, j. 4-5-2000, P, DJ de 15-9-2000.]</w:t>
      </w:r>
    </w:p>
    <w:p>
      <w:pPr>
        <w:ind w:left="288"/>
      </w:pPr>
      <w:r>
        <w:rPr>
          <w:color w:val="8C8C8C"/>
          <w:sz w:val="12"/>
        </w:rPr>
        <w:t>cf-art-58-par-2-inc-VI</w:t>
      </w:r>
      <w:r>
        <w:rPr>
          <w:color w:val="003CA0"/>
          <w:sz w:val="12"/>
        </w:rPr>
        <w:t xml:space="preserve"> | HC 71.261</w:t>
      </w:r>
      <w:r>
        <w:rPr>
          <w:color w:val="003CA0"/>
          <w:sz w:val="12"/>
        </w:rPr>
        <w:t xml:space="preserve"> | rel. Sepúlveda Pertence</w:t>
      </w:r>
    </w:p>
    <w:p>
      <w:pPr>
        <w:ind w:left="288"/>
      </w:pPr>
      <w:r>
        <w:rPr>
          <w:color w:val="1E1E1E"/>
          <w:sz w:val="18"/>
        </w:rPr>
        <w:t>A duração do inquérito parlamentar – com o poder coercitivo sobre particulares, inerentes à sua atividade instrutória e à exposição da honra e da imagem das pessoas a desconfianças e conjecturas injuriosas – e um dos pontos de tensão dialética entre a CPI e os direitos individuais, cuja solução, pela limitação temporal do funcionamento do órgão, antes se deve entender matéria apropriada à lei do que aos regimentos: donde, a recepção do art. 5º, § 2º, da Lei 1.579/1952, que situa, no termo final de legislatura em que constituída, o limite intransponível de duração, ao qual, com ou sem prorrogaç</w:t>
      </w:r>
    </w:p>
    <w:p>
      <w:pPr>
        <w:ind w:left="288"/>
      </w:pPr>
      <w:r>
        <w:rPr>
          <w:b/>
          <w:color w:val="003CA0"/>
          <w:sz w:val="16"/>
        </w:rPr>
        <w:t>[HC 71.261, rel. min. Sepúlveda Pertence, j. 11-5-1994, P, DJ de 24-6-1994.]</w:t>
      </w:r>
    </w:p>
    <w:p>
      <w:pPr>
        <w:ind w:left="288"/>
      </w:pPr>
      <w:r>
        <w:rPr>
          <w:color w:val="8C8C8C"/>
          <w:sz w:val="12"/>
        </w:rPr>
        <w:t>cf-art-58-par-2-inc-VI</w:t>
      </w:r>
      <w:r>
        <w:rPr>
          <w:color w:val="003CA0"/>
          <w:sz w:val="12"/>
        </w:rPr>
        <w:t xml:space="preserve"> | RE 194.346</w:t>
      </w:r>
      <w:r>
        <w:rPr>
          <w:color w:val="003CA0"/>
          <w:sz w:val="12"/>
        </w:rPr>
        <w:t xml:space="preserve"> | rel. Joaquim Barbosa</w:t>
      </w:r>
    </w:p>
    <w:p>
      <w:pPr>
        <w:ind w:left="288"/>
      </w:pPr>
      <w:r>
        <w:rPr>
          <w:color w:val="1E1E1E"/>
          <w:sz w:val="18"/>
        </w:rPr>
        <w:t>= RE 194.346 AgR, rel. min. Joaquim Barbosa, j. 14-9-2010, 2ª T, DJE de 8-10-2010</w:t>
      </w:r>
    </w:p>
    <w:p>
      <w:pPr>
        <w:ind w:left="288"/>
      </w:pPr>
      <w:r>
        <w:rPr>
          <w:color w:val="8C8C8C"/>
          <w:sz w:val="12"/>
        </w:rPr>
        <w:t>cf-art-58-par-4</w:t>
      </w:r>
    </w:p>
    <w:p>
      <w:pPr>
        <w:ind w:left="288"/>
      </w:pPr>
      <w:r>
        <w:rPr>
          <w:color w:val="1E1E1E"/>
          <w:sz w:val="18"/>
        </w:rPr>
        <w:t>Seção VIII Do Processo Legislativo SUMÁRIO Subseção I - Disposição Geral</w:t>
      </w:r>
    </w:p>
    <w:p>
      <w:r>
        <w:rPr>
          <w:b/>
          <w:color w:val="003366"/>
          <w:sz w:val="20"/>
        </w:rPr>
        <w:t>Art. 59 Os projetos de lei relativos à organização da seguridade social e aos pl</w:t>
      </w:r>
      <w:r>
        <w:rPr>
          <w:color w:val="8C8C8C"/>
          <w:sz w:val="14"/>
        </w:rPr>
        <w:t xml:space="preserve">  [16 decisoes]</w:t>
      </w:r>
    </w:p>
    <w:p>
      <w:pPr>
        <w:ind w:left="288"/>
      </w:pPr>
      <w:r>
        <w:rPr>
          <w:color w:val="8C8C8C"/>
          <w:sz w:val="12"/>
        </w:rPr>
        <w:t>cf-art-59</w:t>
      </w:r>
      <w:r>
        <w:rPr>
          <w:color w:val="003CA0"/>
          <w:sz w:val="12"/>
        </w:rPr>
        <w:t xml:space="preserve"> | ADI 7.231</w:t>
      </w:r>
      <w:r>
        <w:rPr>
          <w:color w:val="003CA0"/>
          <w:sz w:val="12"/>
        </w:rPr>
        <w:t xml:space="preserve"> | rel. Flávio Dino</w:t>
      </w:r>
    </w:p>
    <w:p>
      <w:pPr>
        <w:ind w:left="288"/>
      </w:pPr>
      <w:r>
        <w:rPr>
          <w:color w:val="1E1E1E"/>
          <w:sz w:val="18"/>
        </w:rPr>
        <w:t>O erro no processo de formação das leis que distorça a manifestação de vontade do Poder Legislativo enseja a inconstitucionalidade formal, por violação ao devido processo legislativo, previsto nos arts. 59 e seguintes da Constituição Federal, e ao princípio democrático (art. 1º, caput, CF).</w:t>
      </w:r>
    </w:p>
    <w:p>
      <w:pPr>
        <w:ind w:left="288"/>
      </w:pPr>
      <w:r>
        <w:rPr>
          <w:b/>
          <w:color w:val="003CA0"/>
          <w:sz w:val="16"/>
        </w:rPr>
        <w:t>[ADI 7.231, rel. min. Flávio Dino, j. 16.06.2025, P, DJE de 22.08.2025.]</w:t>
      </w:r>
    </w:p>
    <w:p>
      <w:pPr>
        <w:ind w:left="144"/>
      </w:pPr>
      <w:r>
        <w:rPr>
          <w:b/>
          <w:color w:val="B45A00"/>
          <w:sz w:val="16"/>
        </w:rPr>
        <w:t>CONTROLE CONCENTRADO</w:t>
      </w:r>
    </w:p>
    <w:p>
      <w:pPr>
        <w:ind w:left="288"/>
      </w:pPr>
      <w:r>
        <w:rPr>
          <w:color w:val="8C8C8C"/>
          <w:sz w:val="12"/>
        </w:rPr>
        <w:t>cf-art-59</w:t>
      </w:r>
      <w:r>
        <w:rPr>
          <w:color w:val="003CA0"/>
          <w:sz w:val="12"/>
        </w:rPr>
        <w:t xml:space="preserve"> | ADPF 362</w:t>
      </w:r>
      <w:r>
        <w:rPr>
          <w:color w:val="003CA0"/>
          <w:sz w:val="12"/>
        </w:rPr>
        <w:t xml:space="preserve"> | rel. Alexandre de Moraes</w:t>
      </w:r>
    </w:p>
    <w:p>
      <w:pPr>
        <w:ind w:left="288"/>
      </w:pPr>
      <w:r>
        <w:rPr>
          <w:color w:val="1E1E1E"/>
          <w:sz w:val="18"/>
        </w:rPr>
        <w:t>Ofício 265/1991 do Presidente da Assembleia Legislativa do Estado da Bahia. Exigência de lei específica para concessão de reajuste remuneratório para servidores do poder legislativo. Período anterior ao advento da emenda constitucional 19/98. Desnecessidade. Não atendimento às regras do processo legislativo. Ausência de ato formal da mesa diretora deliberando sobre o aumento concedido. Usurpação de competência. Configuração. (...) A subtração, pelo Presidente da Assembleia Legislativa, das atribuições conferidas à Mesa Diretora sugere haver indevida usurpação de competência, em conflito com os</w:t>
      </w:r>
    </w:p>
    <w:p>
      <w:pPr>
        <w:ind w:left="288"/>
      </w:pPr>
      <w:r>
        <w:rPr>
          <w:b/>
          <w:color w:val="003CA0"/>
          <w:sz w:val="16"/>
        </w:rPr>
        <w:t>[ADPF 362, rel. min. Alexandre de Moraes, j. 21.02.2024, P, DJE de 23.04.2024.]</w:t>
      </w:r>
    </w:p>
    <w:p>
      <w:pPr>
        <w:ind w:left="144"/>
      </w:pPr>
      <w:r>
        <w:rPr>
          <w:b/>
          <w:color w:val="B45A00"/>
          <w:sz w:val="16"/>
        </w:rPr>
        <w:t>JULGADOS CORRELATOS</w:t>
      </w:r>
    </w:p>
    <w:p>
      <w:pPr>
        <w:ind w:left="288"/>
      </w:pPr>
      <w:r>
        <w:rPr>
          <w:color w:val="8C8C8C"/>
          <w:sz w:val="12"/>
        </w:rPr>
        <w:t>cf-art-59</w:t>
      </w:r>
      <w:r>
        <w:rPr>
          <w:color w:val="003CA0"/>
          <w:sz w:val="12"/>
        </w:rPr>
        <w:t xml:space="preserve"> | MS 27.971</w:t>
      </w:r>
      <w:r>
        <w:rPr>
          <w:color w:val="003CA0"/>
          <w:sz w:val="12"/>
        </w:rPr>
        <w:t xml:space="preserve"> | rel. Celso de Mello</w:t>
      </w:r>
    </w:p>
    <w:p>
      <w:pPr>
        <w:ind w:left="288"/>
      </w:pPr>
      <w:r>
        <w:rPr>
          <w:color w:val="1E1E1E"/>
          <w:sz w:val="18"/>
        </w:rPr>
        <w:t>(...) a perda superveniente de titularidade do mandato legislativo tem efeito desqualificador da legitimidade ativa do congressista que, apoiado nessa específica condição político-jurídica, ajuizou ação de mandado de segurança com o objetivo de questionar a validade jurídica de determinado procedimento que ambas as Casas do Congresso Nacional têm adotado em matéria de apreciação de medidas provisórias. É que a atualidade do exercício do mandato parlamentar configura, nesse contexto, situação legitimante e necessária, tanto para a instauração, quanto para o prosseguimento da causa perante o STF</w:t>
      </w:r>
    </w:p>
    <w:p>
      <w:pPr>
        <w:ind w:left="288"/>
      </w:pPr>
      <w:r>
        <w:rPr>
          <w:b/>
          <w:color w:val="003CA0"/>
          <w:sz w:val="16"/>
        </w:rPr>
        <w:t>[MS 27.971, rel. min. Celso de Mello, j. 1º-7-2011, dec. monocrática, DJE de 1º-8-2011.]</w:t>
      </w:r>
    </w:p>
    <w:p>
      <w:pPr>
        <w:ind w:left="288"/>
      </w:pPr>
      <w:r>
        <w:rPr>
          <w:color w:val="8C8C8C"/>
          <w:sz w:val="12"/>
        </w:rPr>
        <w:t>cf-art-59</w:t>
      </w:r>
      <w:r>
        <w:rPr>
          <w:color w:val="003CA0"/>
          <w:sz w:val="12"/>
        </w:rPr>
        <w:t xml:space="preserve"> | MS 24.667</w:t>
      </w:r>
      <w:r>
        <w:rPr>
          <w:color w:val="003CA0"/>
          <w:sz w:val="12"/>
        </w:rPr>
        <w:t xml:space="preserve"> | rel. Carlos Velloso</w:t>
      </w:r>
    </w:p>
    <w:p>
      <w:pPr>
        <w:ind w:left="288"/>
      </w:pPr>
      <w:r>
        <w:rPr>
          <w:color w:val="1E1E1E"/>
          <w:sz w:val="18"/>
        </w:rP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pPr>
        <w:ind w:left="288"/>
      </w:pPr>
      <w:r>
        <w:rPr>
          <w:b/>
          <w:color w:val="003CA0"/>
          <w:sz w:val="16"/>
        </w:rPr>
        <w:t>[MS 24.667 AgR, rel. min. Carlos Velloso, j. 4-12-2003, P, DJ de 23-4-2004.]</w:t>
      </w:r>
    </w:p>
    <w:p>
      <w:pPr>
        <w:ind w:left="288"/>
      </w:pPr>
      <w:r>
        <w:rPr>
          <w:color w:val="8C8C8C"/>
          <w:sz w:val="12"/>
        </w:rPr>
        <w:t>cf-art-59</w:t>
      </w:r>
      <w:r>
        <w:rPr>
          <w:color w:val="003CA0"/>
          <w:sz w:val="12"/>
        </w:rPr>
        <w:t xml:space="preserve"> | MS 32.033</w:t>
      </w:r>
      <w:r>
        <w:rPr>
          <w:color w:val="003CA0"/>
          <w:sz w:val="12"/>
        </w:rPr>
        <w:t xml:space="preserve"> | rel. Celso de Mello</w:t>
      </w:r>
    </w:p>
    <w:p>
      <w:pPr>
        <w:ind w:left="288"/>
      </w:pPr>
      <w:r>
        <w:rPr>
          <w:color w:val="1E1E1E"/>
          <w:sz w:val="18"/>
        </w:rPr>
        <w:t>= MS 32.033, red. do ac. min. Teori Zavascki, j. 20-6-2013, P, DJE de 18-2-2014 (...) as leis, ainda que em período de vacatio legis, não se revelam imunes à possibilidade jurídica de sua revogação por diploma legislativo que, sendo editado posteriormente, apresente-se em relação de conflito antinômico com elas. Vale dizer, inexiste qualquer obstáculo de índole jurídico-constitucional que impeça a revogação de uma determinada lei por outra, ainda que a superveniência desta última tenha formalmente ocorrido durante o prazo de vacatio legis, tal como já ocorreu, em nosso sistema de direito posit</w:t>
      </w:r>
    </w:p>
    <w:p>
      <w:pPr>
        <w:ind w:left="288"/>
      </w:pPr>
      <w:r>
        <w:rPr>
          <w:b/>
          <w:color w:val="003CA0"/>
          <w:sz w:val="16"/>
        </w:rPr>
        <w:t>[HC 72.435, voto do rel. min. Celso de Mello, j. 12-9-1995, 1ª T, DJE de 14-8-2009.]</w:t>
      </w:r>
    </w:p>
    <w:p>
      <w:pPr>
        <w:ind w:left="288"/>
      </w:pPr>
      <w:r>
        <w:rPr>
          <w:color w:val="8C8C8C"/>
          <w:sz w:val="12"/>
        </w:rPr>
        <w:t>cf-art-59-inc-II</w:t>
      </w:r>
    </w:p>
    <w:p>
      <w:pPr>
        <w:ind w:left="288"/>
      </w:pPr>
      <w:r>
        <w:rPr>
          <w:color w:val="1E1E1E"/>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88"/>
      </w:pPr>
      <w:r>
        <w:rPr>
          <w:b/>
          <w:color w:val="003CA0"/>
          <w:sz w:val="16"/>
        </w:rPr>
        <w:t>[Súmula Vinculante 62]</w:t>
      </w:r>
    </w:p>
    <w:p>
      <w:pPr>
        <w:ind w:left="144"/>
      </w:pPr>
      <w:r>
        <w:rPr>
          <w:b/>
          <w:color w:val="B45A00"/>
          <w:sz w:val="16"/>
        </w:rPr>
        <w:t>CONTROLE CONCENTRADO</w:t>
      </w:r>
    </w:p>
    <w:p>
      <w:pPr>
        <w:ind w:left="288"/>
      </w:pPr>
      <w:r>
        <w:rPr>
          <w:color w:val="8C8C8C"/>
          <w:sz w:val="12"/>
        </w:rPr>
        <w:t>cf-art-59-inc-II</w:t>
      </w:r>
      <w:r>
        <w:rPr>
          <w:color w:val="003CA0"/>
          <w:sz w:val="12"/>
        </w:rPr>
        <w:t xml:space="preserve"> | ADI 2.926</w:t>
      </w:r>
      <w:r>
        <w:rPr>
          <w:color w:val="003CA0"/>
          <w:sz w:val="12"/>
        </w:rPr>
        <w:t xml:space="preserve"> | rel. Nunes Marques</w:t>
      </w:r>
    </w:p>
    <w:p>
      <w:pPr>
        <w:ind w:left="288"/>
      </w:pPr>
      <w:r>
        <w:rPr>
          <w:color w:val="1E1E1E"/>
          <w:sz w:val="18"/>
        </w:rPr>
        <w:t>A votação e aprovação de lei complementar em contexto a exigir apenas o rito de lei ordinária não configura vício formal, porquanto é satisfeito, e suplantado, o requisito da maioria simples. A lei complementar inexigível deve ser tratada como lei ordinária.</w:t>
        <w:br/>
        <w:t>[ADI 2.926, rel. min. Nunes Marques, j. 18-3-2023, P, DJE de 22-5-2023.] “É possível a revogação ou alteração por lei ordinária de benefício instituído a servidor público por lei complementar quando materialmente ordinária, observado o princípio da simetria.”</w:t>
      </w:r>
    </w:p>
    <w:p>
      <w:pPr>
        <w:ind w:left="288"/>
      </w:pPr>
      <w:r>
        <w:rPr>
          <w:b/>
          <w:color w:val="003CA0"/>
          <w:sz w:val="16"/>
        </w:rPr>
        <w:t>[ARE 1.521.802, rel. min. Edson Fachin, j. 15.09.2025, P, DJE de 19.09.2025, Tema 1.352, com mérito julgado.]</w:t>
      </w:r>
    </w:p>
    <w:p>
      <w:pPr>
        <w:ind w:left="144"/>
      </w:pPr>
      <w:r>
        <w:rPr>
          <w:b/>
          <w:color w:val="B45A00"/>
          <w:sz w:val="16"/>
        </w:rPr>
        <w:t>REPERCUSSAO GERAL</w:t>
      </w:r>
    </w:p>
    <w:p>
      <w:pPr>
        <w:ind w:left="288"/>
      </w:pPr>
      <w:r>
        <w:rPr>
          <w:color w:val="8C8C8C"/>
          <w:sz w:val="12"/>
        </w:rPr>
        <w:t>cf-art-59-inc-II</w:t>
      </w:r>
      <w:r>
        <w:rPr>
          <w:color w:val="003CA0"/>
          <w:sz w:val="12"/>
        </w:rPr>
        <w:t xml:space="preserve"> | RE 377.457</w:t>
      </w:r>
      <w:r>
        <w:rPr>
          <w:color w:val="003CA0"/>
          <w:sz w:val="12"/>
        </w:rPr>
        <w:t xml:space="preserve"> | rel. Gilmar Mendes</w:t>
      </w:r>
    </w:p>
    <w:p>
      <w:pPr>
        <w:ind w:left="288"/>
      </w:pPr>
      <w:r>
        <w:rPr>
          <w:color w:val="1E1E1E"/>
          <w:sz w:val="18"/>
        </w:rPr>
        <w:t>A  LC 70/1991 é apenas formalmente complementar, mas materialmente ordinária, com relação aos dispositivos concernentes à contribuição social por ela instituída.</w:t>
        <w:br/>
        <w:t>[RE 377.457, rel. min. Gilmar Mendes, j. 17-9-2008, P, DJE de 19-12-2008, Tema 71, com mérito julgado.]</w:t>
        <w:br/>
        <w:t>Vide ADI 4.071 AgR, rel. min. Menezes Direito, j. 22-4-2009, P, DJE de 16-10-2009</w:t>
      </w:r>
    </w:p>
    <w:p>
      <w:pPr>
        <w:ind w:left="144"/>
      </w:pPr>
      <w:r>
        <w:rPr>
          <w:b/>
          <w:color w:val="B45A00"/>
          <w:sz w:val="16"/>
        </w:rPr>
        <w:t>JULGADOS CORRELATOS</w:t>
      </w:r>
    </w:p>
    <w:p>
      <w:pPr>
        <w:ind w:left="288"/>
      </w:pPr>
      <w:r>
        <w:rPr>
          <w:color w:val="8C8C8C"/>
          <w:sz w:val="12"/>
        </w:rPr>
        <w:t>cf-art-59-inc-II</w:t>
      </w:r>
      <w:r>
        <w:rPr>
          <w:color w:val="003CA0"/>
          <w:sz w:val="12"/>
        </w:rPr>
        <w:t xml:space="preserve"> | RE 228.339</w:t>
      </w:r>
      <w:r>
        <w:rPr>
          <w:color w:val="003CA0"/>
          <w:sz w:val="12"/>
        </w:rPr>
        <w:t xml:space="preserve"> | rel. Joaquim Barbosa</w:t>
      </w:r>
    </w:p>
    <w:p>
      <w:pPr>
        <w:ind w:left="288"/>
      </w:pPr>
      <w:r>
        <w:rPr>
          <w:color w:val="1E1E1E"/>
          <w:sz w:val="18"/>
        </w:rPr>
        <w:t>Conflito entre legislação local e lei complementar de normas gerais em matéria tributária. (...) Nem toda contraposição entre lei ordinária e lei complementar se resolve no plano constitucional. Entre outras hipóteses, a discussão será de alçada constitucional se o ponto a ser resolvido, direta ou incidentalmente, referir-se à existência ou inexistência de reserva de lei complementar para instituir o tributo ou estabelecer normas gerais em matéria tributária, pois é a Constituição que estabelece os campos materiais para o rito de processo legislativo adequado. Num segundo ponto, é possível ent</w:t>
      </w:r>
    </w:p>
    <w:p>
      <w:pPr>
        <w:ind w:left="288"/>
      </w:pPr>
      <w:r>
        <w:rPr>
          <w:b/>
          <w:color w:val="003CA0"/>
          <w:sz w:val="16"/>
        </w:rPr>
        <w:t>[RE 228.339 AgR, rel. min. Joaquim Barbosa, j. 20-4-2010, 2ª T, DJE de 28-5-2010.]</w:t>
      </w:r>
    </w:p>
    <w:p>
      <w:pPr>
        <w:ind w:left="288"/>
      </w:pPr>
      <w:r>
        <w:rPr>
          <w:color w:val="8C8C8C"/>
          <w:sz w:val="12"/>
        </w:rPr>
        <w:t>cf-art-59-inc-II</w:t>
      </w:r>
      <w:r>
        <w:rPr>
          <w:color w:val="003CA0"/>
          <w:sz w:val="12"/>
        </w:rPr>
        <w:t xml:space="preserve"> | AI 235.800</w:t>
      </w:r>
      <w:r>
        <w:rPr>
          <w:color w:val="003CA0"/>
          <w:sz w:val="12"/>
        </w:rPr>
        <w:t xml:space="preserve"> | rel. Moreira Alves</w:t>
      </w:r>
    </w:p>
    <w:p>
      <w:pPr>
        <w:ind w:left="288"/>
      </w:pPr>
      <w:r>
        <w:rPr>
          <w:color w:val="1E1E1E"/>
          <w:sz w:val="18"/>
        </w:rPr>
        <w:t>A recepção de lei ordinária como lei complementar pela Constituição posterior a ela só ocorre com relação aos seus dispositivos em vigor quando da promulgação desta, não havendo que se pretender a ocorrência de efeito repristinatório, porque o nosso sistema jurídico, salvo disposição em contrário, não admite a repristinação (art. 2º, § 3º, da Lei de Introdução ao Código Civil).</w:t>
      </w:r>
    </w:p>
    <w:p>
      <w:pPr>
        <w:ind w:left="288"/>
      </w:pPr>
      <w:r>
        <w:rPr>
          <w:b/>
          <w:color w:val="003CA0"/>
          <w:sz w:val="16"/>
        </w:rPr>
        <w:t>[AI 235.800 AgR, rel. min. Moreira Alves, j. 25-5-1999, 1ª T, DJ de 25-6-1999.]</w:t>
      </w:r>
    </w:p>
    <w:p>
      <w:pPr>
        <w:ind w:left="288"/>
      </w:pPr>
      <w:r>
        <w:rPr>
          <w:color w:val="8C8C8C"/>
          <w:sz w:val="12"/>
        </w:rPr>
        <w:t>cf-art-59-inc-III</w:t>
      </w:r>
    </w:p>
    <w:p>
      <w:pPr>
        <w:ind w:left="288"/>
      </w:pPr>
      <w:r>
        <w:rPr>
          <w:color w:val="1E1E1E"/>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88"/>
      </w:pPr>
      <w:r>
        <w:rPr>
          <w:b/>
          <w:color w:val="003CA0"/>
          <w:sz w:val="16"/>
        </w:rPr>
        <w:t>[Súmula Vinculante 62]</w:t>
      </w:r>
    </w:p>
    <w:p>
      <w:pPr>
        <w:ind w:left="288"/>
      </w:pPr>
      <w:r>
        <w:rPr>
          <w:color w:val="8C8C8C"/>
          <w:sz w:val="12"/>
        </w:rPr>
        <w:t>cf-art-59-inc-III</w:t>
      </w:r>
      <w:r>
        <w:rPr>
          <w:color w:val="003CA0"/>
          <w:sz w:val="12"/>
        </w:rPr>
        <w:t xml:space="preserve"> | ARE 1.521.802</w:t>
      </w:r>
      <w:r>
        <w:rPr>
          <w:color w:val="003CA0"/>
          <w:sz w:val="12"/>
        </w:rPr>
        <w:t xml:space="preserve"> | rel. Edson Fachin</w:t>
      </w:r>
    </w:p>
    <w:p>
      <w:pPr>
        <w:ind w:left="288"/>
      </w:pPr>
      <w:r>
        <w:rPr>
          <w:color w:val="1E1E1E"/>
          <w:sz w:val="18"/>
        </w:rPr>
        <w:t>“É possível a revogação ou alteração por lei ordinária de benefício instituído a servidor público por lei complementar quando materialmente ordinária, observado o princípio da simetria.”</w:t>
      </w:r>
    </w:p>
    <w:p>
      <w:pPr>
        <w:ind w:left="288"/>
      </w:pPr>
      <w:r>
        <w:rPr>
          <w:b/>
          <w:color w:val="003CA0"/>
          <w:sz w:val="16"/>
        </w:rPr>
        <w:t>[ARE 1.521.802, rel. min. Edson Fachin, j. 15.09.2025, P, DJE de 19.09.2025, Tema 1.352, com mérito julgado.]</w:t>
      </w:r>
    </w:p>
    <w:p>
      <w:pPr>
        <w:ind w:left="144"/>
      </w:pPr>
      <w:r>
        <w:rPr>
          <w:b/>
          <w:color w:val="B45A00"/>
          <w:sz w:val="16"/>
        </w:rPr>
        <w:t>REPERCUSSAO GERAL</w:t>
      </w:r>
    </w:p>
    <w:p>
      <w:pPr>
        <w:ind w:left="288"/>
      </w:pPr>
      <w:r>
        <w:rPr>
          <w:color w:val="8C8C8C"/>
          <w:sz w:val="12"/>
        </w:rPr>
        <w:t>cf-art-59-inc-III</w:t>
      </w:r>
      <w:r>
        <w:rPr>
          <w:color w:val="003CA0"/>
          <w:sz w:val="12"/>
        </w:rPr>
        <w:t xml:space="preserve"> | RE 377.457</w:t>
      </w:r>
      <w:r>
        <w:rPr>
          <w:color w:val="003CA0"/>
          <w:sz w:val="12"/>
        </w:rPr>
        <w:t xml:space="preserve"> | rel. Gilmar Mendes</w:t>
      </w:r>
    </w:p>
    <w:p>
      <w:pPr>
        <w:ind w:left="288"/>
      </w:pPr>
      <w:r>
        <w:rPr>
          <w:color w:val="1E1E1E"/>
          <w:sz w:val="18"/>
        </w:rPr>
        <w:t>A LC 70/1991 é apenas formalmente complementar, mas materialmente ordinária, com relação aos dispositivos concernentes à contribuição social por ela instituída.</w:t>
        <w:br/>
        <w:t>[RE 377.457, rel. min. Gilmar Mendes, j. 17-9-2008, P, DJE de 19-12-2008, Tema 71, com mérito julgado.]</w:t>
        <w:br/>
        <w:t>Vide ADI 4.071 AgR, rel. min. Menezes Direito, j. 22-4-2009, P, DJE de 16-10-2009</w:t>
      </w:r>
    </w:p>
    <w:p>
      <w:pPr>
        <w:ind w:left="144"/>
      </w:pPr>
      <w:r>
        <w:rPr>
          <w:b/>
          <w:color w:val="B45A00"/>
          <w:sz w:val="16"/>
        </w:rPr>
        <w:t>JULGADOS CORRELATOS</w:t>
      </w:r>
    </w:p>
    <w:p>
      <w:pPr>
        <w:ind w:left="288"/>
      </w:pPr>
      <w:r>
        <w:rPr>
          <w:color w:val="8C8C8C"/>
          <w:sz w:val="12"/>
        </w:rPr>
        <w:t>cf-art-59-inc-III</w:t>
      </w:r>
      <w:r>
        <w:rPr>
          <w:color w:val="003CA0"/>
          <w:sz w:val="12"/>
        </w:rPr>
        <w:t xml:space="preserve"> | RE 405.386</w:t>
      </w:r>
    </w:p>
    <w:p>
      <w:pPr>
        <w:ind w:left="288"/>
      </w:pPr>
      <w:r>
        <w:rPr>
          <w:color w:val="1E1E1E"/>
          <w:sz w:val="18"/>
        </w:rPr>
        <w:t>Não há empecilho constitucional à edição de leis sem caráter geral e abstrato, providas apenas de efeitos concretos e individualizados. Há matérias a cujo respeito a disciplina não pode ser conferida por ato administrativo, demandando a edição de lei, ainda que em sentido meramente formal. É o caso da concessão de pensões especiais. O tratamento privilegiado a certas pessoas somente pode ser considerado ofensivo ao princípio da igualdade ou da moralidade quando não decorrer de uma causa razoavelmente justificada.</w:t>
      </w:r>
    </w:p>
    <w:p>
      <w:pPr>
        <w:ind w:left="288"/>
      </w:pPr>
      <w:r>
        <w:rPr>
          <w:b/>
          <w:color w:val="003CA0"/>
          <w:sz w:val="16"/>
        </w:rPr>
        <w:t>[RE 405.386, red. do ac. min. Teori Zavascki, j. 26-2-2013, 2ª T, DJE de 26-4-2013.]</w:t>
      </w:r>
    </w:p>
    <w:p>
      <w:pPr>
        <w:ind w:left="288"/>
      </w:pPr>
      <w:r>
        <w:rPr>
          <w:color w:val="8C8C8C"/>
          <w:sz w:val="12"/>
        </w:rPr>
        <w:t>cf-art-59-inc-III</w:t>
      </w:r>
      <w:r>
        <w:rPr>
          <w:color w:val="003CA0"/>
          <w:sz w:val="12"/>
        </w:rPr>
        <w:t xml:space="preserve"> | RE 228.339</w:t>
      </w:r>
      <w:r>
        <w:rPr>
          <w:color w:val="003CA0"/>
          <w:sz w:val="12"/>
        </w:rPr>
        <w:t xml:space="preserve"> | rel. Joaquim Barbosa</w:t>
      </w:r>
    </w:p>
    <w:p>
      <w:pPr>
        <w:ind w:left="288"/>
      </w:pPr>
      <w:r>
        <w:rPr>
          <w:color w:val="1E1E1E"/>
          <w:sz w:val="18"/>
        </w:rPr>
        <w:t>Conflito entre legislação local e lei complementar de normas gerais em matéria tributária. (...) Nem toda contraposição entre lei ordinária e lei complementar se resolve no plano constitucional. Dentre outras hipóteses, a discussão será de alçada constitucional se o ponto a ser resolvido, direta ou incidentalmente, referir-se à existência ou inexistência de reserva de lei complementar para instituir o tributo ou estabelecer normas gerais em matéria tributária, pois é a Constituição que estabelece os campos materiais para o rito de processo legislativo adequado. Num segundo ponto, é possível en</w:t>
      </w:r>
    </w:p>
    <w:p>
      <w:pPr>
        <w:ind w:left="288"/>
      </w:pPr>
      <w:r>
        <w:rPr>
          <w:b/>
          <w:color w:val="003CA0"/>
          <w:sz w:val="16"/>
        </w:rPr>
        <w:t>[RE 228.339 AgR, rel. min. Joaquim Barbosa, j. 20-4-2010, 2ª T, DJE de 28-5-2010.]</w:t>
      </w:r>
    </w:p>
    <w:p>
      <w:pPr>
        <w:ind w:left="288"/>
      </w:pPr>
      <w:r>
        <w:rPr>
          <w:color w:val="8C8C8C"/>
          <w:sz w:val="12"/>
        </w:rPr>
        <w:t>cf-art-59-par-unico</w:t>
      </w:r>
    </w:p>
    <w:p>
      <w:pPr>
        <w:ind w:left="288"/>
      </w:pPr>
      <w:r>
        <w:rPr>
          <w:color w:val="1E1E1E"/>
          <w:sz w:val="18"/>
        </w:rPr>
        <w:t>Subseção II - Da Emenda à Constituição</w:t>
      </w:r>
    </w:p>
    <w:p>
      <w:r>
        <w:rPr>
          <w:b/>
          <w:color w:val="003366"/>
          <w:sz w:val="20"/>
        </w:rPr>
        <w:t>Art. 60 A complementação da União referida no inciso IV do caput do art. 212-A d</w:t>
      </w:r>
      <w:r>
        <w:rPr>
          <w:color w:val="8C8C8C"/>
          <w:sz w:val="14"/>
        </w:rPr>
        <w:t xml:space="preserve">  [24 decisoes]</w:t>
      </w:r>
    </w:p>
    <w:p>
      <w:pPr>
        <w:ind w:left="144"/>
      </w:pPr>
      <w:r>
        <w:rPr>
          <w:b/>
          <w:color w:val="B45A00"/>
          <w:sz w:val="16"/>
        </w:rPr>
        <w:t>CONTROLE CONCENTRADO</w:t>
      </w:r>
    </w:p>
    <w:p>
      <w:pPr>
        <w:ind w:left="288"/>
      </w:pPr>
      <w:r>
        <w:rPr>
          <w:color w:val="8C8C8C"/>
          <w:sz w:val="12"/>
        </w:rPr>
        <w:t>cf-art-60</w:t>
      </w:r>
      <w:r>
        <w:rPr>
          <w:color w:val="003CA0"/>
          <w:sz w:val="12"/>
        </w:rPr>
        <w:t xml:space="preserve"> | ADI 2.356</w:t>
      </w:r>
    </w:p>
    <w:p>
      <w:pPr>
        <w:ind w:left="288"/>
      </w:pPr>
      <w:r>
        <w:rPr>
          <w:color w:val="1E1E1E"/>
          <w:sz w:val="18"/>
        </w:rPr>
        <w:t>A eficácia das regras jurídicas produzidas pelo poder constituinte (redundantemente chamado de "originário") não está sujeita a nenhuma limitação normativa, seja de ordem material, seja formal, porque provém do exercício de um poder de fato ou suprapositivo. Já as normas produzidas pelo poder reformador, essas têm sua validez e eficácia condicionadas à legitimação que recebam da ordem constitucional. Daí a necessária obediência das emendas constitucionais às chamadas cláusulas pétreas.</w:t>
      </w:r>
    </w:p>
    <w:p>
      <w:pPr>
        <w:ind w:left="288"/>
      </w:pPr>
      <w:r>
        <w:rPr>
          <w:b/>
          <w:color w:val="003CA0"/>
          <w:sz w:val="16"/>
        </w:rPr>
        <w:t>[ADI 2.356 MC e ADI 2.362 MC, red. do ac. min. Ayres Britto, j. 25-11-2010, P, DJE de 19-5-2011.]</w:t>
      </w:r>
    </w:p>
    <w:p>
      <w:pPr>
        <w:ind w:left="288"/>
      </w:pPr>
      <w:r>
        <w:rPr>
          <w:color w:val="8C8C8C"/>
          <w:sz w:val="12"/>
        </w:rPr>
        <w:t>cf-art-60</w:t>
      </w:r>
      <w:r>
        <w:rPr>
          <w:color w:val="003CA0"/>
          <w:sz w:val="12"/>
        </w:rPr>
        <w:t xml:space="preserve"> | ADI 939</w:t>
      </w:r>
      <w:r>
        <w:rPr>
          <w:color w:val="003CA0"/>
          <w:sz w:val="12"/>
        </w:rPr>
        <w:t xml:space="preserve"> | rel. Sydney Sanches</w:t>
      </w:r>
    </w:p>
    <w:p>
      <w:pPr>
        <w:ind w:left="288"/>
      </w:pPr>
      <w:r>
        <w:rPr>
          <w:color w:val="1E1E1E"/>
          <w:sz w:val="18"/>
        </w:rPr>
        <w:t>= ADI 939, rel. min. Sydney Sanches, j. 15-12-1993, P, DJ de 18-3-1994</w:t>
      </w:r>
    </w:p>
    <w:p>
      <w:pPr>
        <w:ind w:left="144"/>
      </w:pPr>
      <w:r>
        <w:rPr>
          <w:b/>
          <w:color w:val="B45A00"/>
          <w:sz w:val="16"/>
        </w:rPr>
        <w:t>JULGADOS CORRELATOS</w:t>
      </w:r>
    </w:p>
    <w:p>
      <w:pPr>
        <w:ind w:left="288"/>
      </w:pPr>
      <w:r>
        <w:rPr>
          <w:color w:val="8C8C8C"/>
          <w:sz w:val="12"/>
        </w:rPr>
        <w:t>cf-art-60</w:t>
      </w:r>
      <w:r>
        <w:rPr>
          <w:color w:val="003CA0"/>
          <w:sz w:val="12"/>
        </w:rPr>
        <w:t xml:space="preserve"> | MS 24.667</w:t>
      </w:r>
      <w:r>
        <w:rPr>
          <w:color w:val="003CA0"/>
          <w:sz w:val="12"/>
        </w:rPr>
        <w:t xml:space="preserve"> | rel. Carlos Velloso</w:t>
      </w:r>
    </w:p>
    <w:p>
      <w:pPr>
        <w:ind w:left="288"/>
      </w:pPr>
      <w:r>
        <w:rPr>
          <w:color w:val="1E1E1E"/>
          <w:sz w:val="18"/>
        </w:rP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pPr>
        <w:ind w:left="288"/>
      </w:pPr>
      <w:r>
        <w:rPr>
          <w:b/>
          <w:color w:val="003CA0"/>
          <w:sz w:val="16"/>
        </w:rPr>
        <w:t>[MS 24.667 AgR, rel. min. Carlos Velloso, j. 4-12-2003, P, DJ de 23-4-2004.]</w:t>
      </w:r>
    </w:p>
    <w:p>
      <w:pPr>
        <w:ind w:left="288"/>
      </w:pPr>
      <w:r>
        <w:rPr>
          <w:color w:val="8C8C8C"/>
          <w:sz w:val="12"/>
        </w:rPr>
        <w:t>cf-art-60</w:t>
      </w:r>
      <w:r>
        <w:rPr>
          <w:color w:val="003CA0"/>
          <w:sz w:val="12"/>
        </w:rPr>
        <w:t xml:space="preserve"> | MS 32.033</w:t>
      </w:r>
    </w:p>
    <w:p>
      <w:pPr>
        <w:ind w:left="288"/>
      </w:pPr>
      <w:r>
        <w:rPr>
          <w:color w:val="1E1E1E"/>
          <w:sz w:val="18"/>
        </w:rPr>
        <w:t>= MS 32.033, red. do ac. min. Teori Zavascki, j. 20-6-2013, P, DJE de 18-2-2014</w:t>
      </w:r>
    </w:p>
    <w:p>
      <w:pPr>
        <w:ind w:left="144"/>
      </w:pPr>
      <w:r>
        <w:rPr>
          <w:b/>
          <w:color w:val="B45A00"/>
          <w:sz w:val="16"/>
        </w:rPr>
        <w:t>CONTROLE CONCENTRADO</w:t>
      </w:r>
    </w:p>
    <w:p>
      <w:pPr>
        <w:ind w:left="288"/>
      </w:pPr>
      <w:r>
        <w:rPr>
          <w:color w:val="8C8C8C"/>
          <w:sz w:val="12"/>
        </w:rPr>
        <w:t>cf-art-60-inc-I</w:t>
      </w:r>
      <w:r>
        <w:rPr>
          <w:color w:val="003CA0"/>
          <w:sz w:val="12"/>
        </w:rPr>
        <w:t xml:space="preserve"> | ADI 2.031</w:t>
      </w:r>
      <w:r>
        <w:rPr>
          <w:color w:val="003CA0"/>
          <w:sz w:val="12"/>
        </w:rPr>
        <w:t xml:space="preserve"> | rel. Ellen Gracie</w:t>
      </w:r>
    </w:p>
    <w:p>
      <w:pPr>
        <w:ind w:left="288"/>
      </w:pPr>
      <w:r>
        <w:rPr>
          <w:color w:val="1E1E1E"/>
          <w:sz w:val="18"/>
        </w:rPr>
        <w:t>O início da tramitação da proposta de emenda no Senado Federal está em harmonia com o disposto no art. 60, I, da CF, que confere poder de iniciativa a ambas as Casas Legislativas.</w:t>
      </w:r>
    </w:p>
    <w:p>
      <w:pPr>
        <w:ind w:left="288"/>
      </w:pPr>
      <w:r>
        <w:rPr>
          <w:b/>
          <w:color w:val="003CA0"/>
          <w:sz w:val="16"/>
        </w:rPr>
        <w:t>[ADI 2.031, rel. min. Ellen Gracie, j. 3-10-2002, P, DJ de 17-10-2003.]</w:t>
      </w:r>
    </w:p>
    <w:p>
      <w:pPr>
        <w:ind w:left="288"/>
      </w:pPr>
      <w:r>
        <w:rPr>
          <w:color w:val="8C8C8C"/>
          <w:sz w:val="12"/>
        </w:rPr>
        <w:t>cf-art-60-par-2</w:t>
      </w:r>
      <w:r>
        <w:rPr>
          <w:color w:val="003CA0"/>
          <w:sz w:val="12"/>
        </w:rPr>
        <w:t xml:space="preserve"> | ADI 2.135</w:t>
      </w:r>
      <w:r>
        <w:rPr>
          <w:color w:val="003CA0"/>
          <w:sz w:val="12"/>
        </w:rPr>
        <w:t xml:space="preserve"> | rel. Cármen Lúcia. Red. do ac. min. Gilmar Mendes</w:t>
      </w:r>
    </w:p>
    <w:p>
      <w:pPr>
        <w:ind w:left="288"/>
      </w:pPr>
      <w:r>
        <w:rPr>
          <w:color w:val="1E1E1E"/>
          <w:sz w:val="18"/>
        </w:rPr>
        <w:t>A questão em discussão consiste em saber se o processo legislativo que culminou na promulgação da EC 19/1998, em especial a fase de Redação do Vencido durante o primeiro turno de votação na Câmara dos Deputados, observou o disposto no § 2º do art. 60 da Constituição, que estabelece a necessidade de discussão e aprovação em dois turnos, por maioria qualificada, para que uma proposta de emenda à Constituição possa ser considerada aprovada. Em específico, envolve a correta compreensão e delimitação do objeto do Destaque para Votação em Separado (DVS) n. 9 e dos efeitos decorrentes de sua rejeição</w:t>
      </w:r>
    </w:p>
    <w:p>
      <w:pPr>
        <w:ind w:left="288"/>
      </w:pPr>
      <w:r>
        <w:rPr>
          <w:b/>
          <w:color w:val="003CA0"/>
          <w:sz w:val="16"/>
        </w:rPr>
        <w:t>[ADI 2.135, rel. min. Cármen Lúcia. Red. do ac. min. Gilmar Mendes, j. 06.11.2024, P, DJE de 03.06.2025.]</w:t>
      </w:r>
    </w:p>
    <w:p>
      <w:pPr>
        <w:ind w:left="288"/>
      </w:pPr>
      <w:r>
        <w:rPr>
          <w:color w:val="8C8C8C"/>
          <w:sz w:val="12"/>
        </w:rPr>
        <w:t>cf-art-60-par-2</w:t>
      </w:r>
      <w:r>
        <w:rPr>
          <w:color w:val="003CA0"/>
          <w:sz w:val="12"/>
        </w:rPr>
        <w:t xml:space="preserve"> | ADI 7.205</w:t>
      </w:r>
      <w:r>
        <w:rPr>
          <w:color w:val="003CA0"/>
          <w:sz w:val="12"/>
        </w:rPr>
        <w:t xml:space="preserve"> | rel. Dias Toffoli</w:t>
      </w:r>
    </w:p>
    <w:p>
      <w:pPr>
        <w:ind w:left="288"/>
      </w:pPr>
      <w:r>
        <w:rPr>
          <w:color w:val="1E1E1E"/>
          <w:sz w:val="18"/>
        </w:rPr>
        <w:t>(...) o art. 70, § 1º, da Lei Orgânica do Distrito Federal, ao exigir, para a aprovação de suas emendas, quórum de dois terços, destoa do arquétipo federal previsto no art. 60, § 2º, da CF, padecendo, pois, de patente inconstitucionalidade.</w:t>
        <w:br/>
        <w:t>[ADI 7.205, rel. min. Dias Toffoli, j. 17-12-2022, P, DJE de 20-4-2023.] A CF de 1988 não fixou um intervalo temporal mínimo entre os dois turnos de votação para fins de aprovação de emendas à Constituição (CF, art. 60, § 2º), de sorte que inexiste parâmetro objetivo que oriente o exame judicial do grau de solidez da vontade política de reformar a Lei Maior</w:t>
      </w:r>
    </w:p>
    <w:p>
      <w:pPr>
        <w:ind w:left="288"/>
      </w:pPr>
      <w:r>
        <w:rPr>
          <w:b/>
          <w:color w:val="003CA0"/>
          <w:sz w:val="16"/>
        </w:rPr>
        <w:t>[ADI 3.367, rel. min. Cezar Peluso, j. 13-4-2005, P, DJ de 22-9-2006.]</w:t>
      </w:r>
    </w:p>
    <w:p>
      <w:pPr>
        <w:ind w:left="288"/>
      </w:pPr>
      <w:r>
        <w:rPr>
          <w:color w:val="8C8C8C"/>
          <w:sz w:val="12"/>
        </w:rPr>
        <w:t>cf-art-60-par-2</w:t>
      </w:r>
      <w:r>
        <w:rPr>
          <w:color w:val="003CA0"/>
          <w:sz w:val="12"/>
        </w:rPr>
        <w:t xml:space="preserve"> | ADI 486</w:t>
      </w:r>
      <w:r>
        <w:rPr>
          <w:color w:val="003CA0"/>
          <w:sz w:val="12"/>
        </w:rPr>
        <w:t xml:space="preserve"> | rel. Celso de Mello</w:t>
      </w:r>
    </w:p>
    <w:p>
      <w:pPr>
        <w:ind w:left="288"/>
      </w:pPr>
      <w:r>
        <w:rPr>
          <w:color w:val="1E1E1E"/>
          <w:sz w:val="18"/>
        </w:rPr>
        <w:t>Processo de reforma da Constituição estadual. Necessária observância dos requisitos estabelecidos na CF (art. 60, § 1º a § 5º). Impossibilidade constitucional de o Estado-membro, em divergência com o modelo inscrito na Lei Fundamental da República, condicionar a reforma da Constituição estadual à aprovação da respectiva proposta por 4/5 da totalidade dos membros integrantes da assembleia legislativa. Exigência que virtualmente esteriliza o exercício da função reformadora pelo Poder Legislativo local (...).</w:t>
      </w:r>
    </w:p>
    <w:p>
      <w:pPr>
        <w:ind w:left="288"/>
      </w:pPr>
      <w:r>
        <w:rPr>
          <w:b/>
          <w:color w:val="003CA0"/>
          <w:sz w:val="16"/>
        </w:rPr>
        <w:t>[ADI 486, rel. min. Celso de Mello, j. 3-4-1997, P, DJ de 10-11-2006.]</w:t>
      </w:r>
    </w:p>
    <w:p>
      <w:pPr>
        <w:ind w:left="288"/>
      </w:pPr>
      <w:r>
        <w:rPr>
          <w:color w:val="8C8C8C"/>
          <w:sz w:val="12"/>
        </w:rPr>
        <w:t>cf-art-60-par-4</w:t>
      </w:r>
      <w:r>
        <w:rPr>
          <w:color w:val="003CA0"/>
          <w:sz w:val="12"/>
        </w:rPr>
        <w:t xml:space="preserve"> | RP 94</w:t>
      </w:r>
      <w:r>
        <w:rPr>
          <w:color w:val="003CA0"/>
          <w:sz w:val="12"/>
        </w:rPr>
        <w:t xml:space="preserve"> | rel. Castro Nunes</w:t>
      </w:r>
    </w:p>
    <w:p>
      <w:pPr>
        <w:ind w:left="288"/>
      </w:pPr>
      <w:r>
        <w:rPr>
          <w:color w:val="1E1E1E"/>
          <w:sz w:val="18"/>
        </w:rPr>
        <w:t>É muito difícil indicar, a priori, os preceitos fundamentais da Constituição passíveis de lesão tão grave que justifique o processo e o julgamento da arguição de descumprimento. Não há dúvida de que alguns desses preceitos estão enunciados, de forma explícita, no texto constitucional. (...) não se poderá deixar de atribuir essa qualificação aos demais princípios protegidos pela cláusula pétrea do art. 60, § 4º, da Constituição. (...) É fácil ver que a amplitude conferida às cláusulas pétreas e a ideia de unidade da Constituição (...) acabam por colocar parte significativa da Constituição sob a</w:t>
      </w:r>
    </w:p>
    <w:p>
      <w:pPr>
        <w:ind w:left="288"/>
      </w:pPr>
      <w:r>
        <w:rPr>
          <w:b/>
          <w:color w:val="003CA0"/>
          <w:sz w:val="16"/>
        </w:rPr>
        <w:t>[ADPF 33 MC, voto do rel. min. Gilmar Mendes, j. 29-10-2003, P, DJ de 6-8-2004.]</w:t>
      </w:r>
    </w:p>
    <w:p>
      <w:pPr>
        <w:ind w:left="288"/>
      </w:pPr>
      <w:r>
        <w:rPr>
          <w:color w:val="8C8C8C"/>
          <w:sz w:val="12"/>
        </w:rPr>
        <w:t>cf-art-60-par-4</w:t>
      </w:r>
      <w:r>
        <w:rPr>
          <w:color w:val="003CA0"/>
          <w:sz w:val="12"/>
        </w:rPr>
        <w:t xml:space="preserve"> | ADI 939</w:t>
      </w:r>
      <w:r>
        <w:rPr>
          <w:color w:val="003CA0"/>
          <w:sz w:val="12"/>
        </w:rPr>
        <w:t xml:space="preserve"> | rel. Sydney Sanches</w:t>
      </w:r>
    </w:p>
    <w:p>
      <w:pPr>
        <w:ind w:left="288"/>
      </w:pPr>
      <w:r>
        <w:rPr>
          <w:color w:val="1E1E1E"/>
          <w:sz w:val="18"/>
        </w:rPr>
        <w:t>O STF já assentou o entendimento de que é admissível a ação direta de inconstitucionalidade de emenda constitucional, quando se alega, na inicial, que esta contraria princípios imutáveis ou as chamadas cláusulas pétreas da Constituição originária (art. 60, § 4º, da CF). Precedente: ADI 939 (RTJ 151/755).</w:t>
      </w:r>
    </w:p>
    <w:p>
      <w:pPr>
        <w:ind w:left="288"/>
      </w:pPr>
      <w:r>
        <w:rPr>
          <w:b/>
          <w:color w:val="003CA0"/>
          <w:sz w:val="16"/>
        </w:rPr>
        <w:t>[ADI 1.946 MC, rel. min. Sydney Sanches, j. 29-4-1999, P, DJ de 14-9-2001.]</w:t>
      </w:r>
    </w:p>
    <w:p>
      <w:pPr>
        <w:ind w:left="288"/>
      </w:pPr>
      <w:r>
        <w:rPr>
          <w:color w:val="8C8C8C"/>
          <w:sz w:val="12"/>
        </w:rPr>
        <w:t>cf-art-60-par-4</w:t>
      </w:r>
      <w:r>
        <w:rPr>
          <w:color w:val="003CA0"/>
          <w:sz w:val="12"/>
        </w:rPr>
        <w:t xml:space="preserve"> | ADI 815</w:t>
      </w:r>
      <w:r>
        <w:rPr>
          <w:color w:val="003CA0"/>
          <w:sz w:val="12"/>
        </w:rPr>
        <w:t xml:space="preserve"> | rel. Moreira Alves</w:t>
      </w:r>
    </w:p>
    <w:p>
      <w:pPr>
        <w:ind w:left="288"/>
      </w:pPr>
      <w:r>
        <w:rPr>
          <w:color w:val="1E1E1E"/>
          <w:sz w:val="18"/>
        </w:rPr>
        <w:t>As cláusulas pétreas não podem ser invocadas para sustentação da tese da inconstitucionalidade de normas constitucionais inferiores em face de normas constitucionais superiores, porquanto a Constituição as prevê apenas como limites ao poder constituinte derivado ao rever ou ao emendar a Constituição elaborada pelo poder constituinte originário, e não como abarcando normas cuja observância se impôs ao próprio poder constituinte originário com relação às outras que não sejam consideradas como cláusulas pétreas, e, portanto, possam ser emendadas.</w:t>
      </w:r>
    </w:p>
    <w:p>
      <w:pPr>
        <w:ind w:left="288"/>
      </w:pPr>
      <w:r>
        <w:rPr>
          <w:b/>
          <w:color w:val="003CA0"/>
          <w:sz w:val="16"/>
        </w:rPr>
        <w:t>[ADI 815, rel. min. Moreira Alves, j. 28-3-1996, P, DJ de 10-5-1996.]</w:t>
      </w:r>
    </w:p>
    <w:p>
      <w:pPr>
        <w:ind w:left="144"/>
      </w:pPr>
      <w:r>
        <w:rPr>
          <w:b/>
          <w:color w:val="B45A00"/>
          <w:sz w:val="16"/>
        </w:rPr>
        <w:t>JULGADOS CORRELATOS</w:t>
      </w:r>
    </w:p>
    <w:p>
      <w:pPr>
        <w:ind w:left="288"/>
      </w:pPr>
      <w:r>
        <w:rPr>
          <w:color w:val="8C8C8C"/>
          <w:sz w:val="12"/>
        </w:rPr>
        <w:t>cf-art-60-par-4</w:t>
      </w:r>
      <w:r>
        <w:rPr>
          <w:color w:val="003CA0"/>
          <w:sz w:val="12"/>
        </w:rPr>
        <w:t xml:space="preserve"> | EXT 986</w:t>
      </w:r>
      <w:r>
        <w:rPr>
          <w:color w:val="003CA0"/>
          <w:sz w:val="12"/>
        </w:rPr>
        <w:t xml:space="preserve"> | rel. Eros Grau</w:t>
      </w:r>
    </w:p>
    <w:p>
      <w:pPr>
        <w:ind w:left="288"/>
      </w:pPr>
      <w:r>
        <w:rPr>
          <w:color w:val="1E1E1E"/>
          <w:sz w:val="18"/>
        </w:rPr>
        <w:t>Extradição e necessidade de observância dos parâmetros do devido processo legal, do Estado de Direito e do respeito aos direitos humanos. Constituição do Brasil, arts. 5º, § 1º, e 60, § 4º. (...) Obrigação do STF de manter e observar os parâmetros do devido processo legal, do Estado de Direito e dos direitos humanos. (...) Necessidade de assegurar direitos fundamentais básicos ao extraditando. Direitos e garantias fundamentais devem ter eficácia imediata (cf. art. 5º, § 1º); a vinculação direta dos órgãos estatais a esses direitos deve obrigar o Estado a guardar-lhes estrita observância. Direi</w:t>
      </w:r>
    </w:p>
    <w:p>
      <w:pPr>
        <w:ind w:left="288"/>
      </w:pPr>
      <w:r>
        <w:rPr>
          <w:b/>
          <w:color w:val="003CA0"/>
          <w:sz w:val="16"/>
        </w:rPr>
        <w:t>[Ext 986, rel. min. Eros Grau, j. 15-8-2007, P, DJ de 5-10-2007.]</w:t>
      </w:r>
    </w:p>
    <w:p>
      <w:pPr>
        <w:ind w:left="144"/>
      </w:pPr>
      <w:r>
        <w:rPr>
          <w:b/>
          <w:color w:val="B45A00"/>
          <w:sz w:val="16"/>
        </w:rPr>
        <w:t>CONTROLE CONCENTRADO</w:t>
      </w:r>
    </w:p>
    <w:p>
      <w:pPr>
        <w:ind w:left="288"/>
      </w:pPr>
      <w:r>
        <w:rPr>
          <w:color w:val="8C8C8C"/>
          <w:sz w:val="12"/>
        </w:rPr>
        <w:t>cf-art-60-par-4-inc-I</w:t>
      </w:r>
      <w:r>
        <w:rPr>
          <w:color w:val="003CA0"/>
          <w:sz w:val="12"/>
        </w:rPr>
        <w:t xml:space="preserve"> | ADI 2.024</w:t>
      </w:r>
      <w:r>
        <w:rPr>
          <w:color w:val="003CA0"/>
          <w:sz w:val="12"/>
        </w:rPr>
        <w:t xml:space="preserve"> | rel. Sepúlveda Pertence</w:t>
      </w:r>
    </w:p>
    <w:p>
      <w:pPr>
        <w:ind w:left="288"/>
      </w:pPr>
      <w:r>
        <w:rPr>
          <w:color w:val="1E1E1E"/>
          <w:sz w:val="18"/>
        </w:rPr>
        <w:t xml:space="preserve">A "forma federativa de Estado" – elevado a princípio intangível por todas as Constituições da República – não pode ser conceituada a partir de um modelo ideal e apriorístico de Federação, mas, sim, daquele que o constituinte originário concretamente adotou e, como o adotou, erigiu em limite material imposto às futuras emendas à Constituição; de resto as limitações materiais ao poder constituinte de reforma, que o art. 60, § 4º, da Lei Fundamental enumera, não significam a intangibilidade literal da respectiva disciplina na Constituição originária, mas apenas a proteção do núcleo essencial dos </w:t>
      </w:r>
    </w:p>
    <w:p>
      <w:pPr>
        <w:ind w:left="288"/>
      </w:pPr>
      <w:r>
        <w:rPr>
          <w:b/>
          <w:color w:val="003CA0"/>
          <w:sz w:val="16"/>
        </w:rPr>
        <w:t>[ADI 2.024, rel. min. Sepúlveda Pertence, j. 3-5-2007, P, DJ de 22-6-2007.]</w:t>
      </w:r>
    </w:p>
    <w:p>
      <w:pPr>
        <w:ind w:left="144"/>
      </w:pPr>
      <w:r>
        <w:rPr>
          <w:b/>
          <w:color w:val="B45A00"/>
          <w:sz w:val="16"/>
        </w:rPr>
        <w:t>JULGADOS CORRELATOS</w:t>
      </w:r>
    </w:p>
    <w:p>
      <w:pPr>
        <w:ind w:left="288"/>
      </w:pPr>
      <w:r>
        <w:rPr>
          <w:color w:val="8C8C8C"/>
          <w:sz w:val="12"/>
        </w:rPr>
        <w:t>cf-art-60-par-4-inc-I</w:t>
      </w:r>
      <w:r>
        <w:rPr>
          <w:color w:val="003CA0"/>
          <w:sz w:val="12"/>
        </w:rPr>
        <w:t xml:space="preserve"> | HC 80.511</w:t>
      </w:r>
      <w:r>
        <w:rPr>
          <w:color w:val="003CA0"/>
          <w:sz w:val="12"/>
        </w:rPr>
        <w:t xml:space="preserve"> | rel. Celso de Mello</w:t>
      </w:r>
    </w:p>
    <w:p>
      <w:pPr>
        <w:ind w:left="288"/>
      </w:pPr>
      <w:r>
        <w:rPr>
          <w:color w:val="1E1E1E"/>
          <w:sz w:val="18"/>
        </w:rPr>
        <w:t>(...) a ideia de Federação – que tem, na autonomia dos Estados-membros, um de seus cornerstones – revela-se elemento cujo sentido de fundamentalidade a torna imune, em sede de revisão constitucional, à própria ação reformadora do Congresso Nacional, por representar categoria política inalcançável, até mesmo, pelo exercício do poder constituinte derivado (CF, art. 60, § 4º, I).</w:t>
      </w:r>
    </w:p>
    <w:p>
      <w:pPr>
        <w:ind w:left="288"/>
      </w:pPr>
      <w:r>
        <w:rPr>
          <w:b/>
          <w:color w:val="003CA0"/>
          <w:sz w:val="16"/>
        </w:rPr>
        <w:t>[HC 80.511, voto do rel. min. Celso de Mello, j. 21-8-2001, 2ª T, DJ de 14-9-2001.]</w:t>
      </w:r>
    </w:p>
    <w:p>
      <w:pPr>
        <w:ind w:left="144"/>
      </w:pPr>
      <w:r>
        <w:rPr>
          <w:b/>
          <w:color w:val="B45A00"/>
          <w:sz w:val="16"/>
        </w:rPr>
        <w:t>CONTROLE CONCENTRADO</w:t>
      </w:r>
    </w:p>
    <w:p>
      <w:pPr>
        <w:ind w:left="288"/>
      </w:pPr>
      <w:r>
        <w:rPr>
          <w:color w:val="8C8C8C"/>
          <w:sz w:val="12"/>
        </w:rPr>
        <w:t>cf-art-60-par-4-inc-II</w:t>
      </w:r>
      <w:r>
        <w:rPr>
          <w:color w:val="003CA0"/>
          <w:sz w:val="12"/>
        </w:rPr>
        <w:t xml:space="preserve"> | ADI 7.350</w:t>
      </w:r>
      <w:r>
        <w:rPr>
          <w:color w:val="003CA0"/>
          <w:sz w:val="12"/>
        </w:rPr>
        <w:t xml:space="preserve"> | rel. Dias Toffoli</w:t>
      </w:r>
    </w:p>
    <w:p>
      <w:pPr>
        <w:ind w:left="288"/>
      </w:pPr>
      <w:r>
        <w:rPr>
          <w:color w:val="1E1E1E"/>
          <w:sz w:val="18"/>
        </w:rPr>
        <w:t>Emenda nº 48/22 à Constituição do Estado do Tocantins. Eleições concomitantes da mesa diretora da Assembleia Legislativa para o primeiro e o segundo biênios. Inconstitucionalidade. (...) as eleições para as mesas das casas legislativas federais devem ser contemporâneas ao início do respectivo biênio (art. 57, § 4º, da CF/88). Não há no texto constitucional nenhuma norma que se assemelhe ao que previu o dispositivo questionado, isto é, que antecipe de forma tão desarrazoada a escolha de eleitos para um dado mandato e concentre em um único momento a escolha de duas “chapas” distintas para os mes</w:t>
      </w:r>
    </w:p>
    <w:p>
      <w:pPr>
        <w:ind w:left="288"/>
      </w:pPr>
      <w:r>
        <w:rPr>
          <w:b/>
          <w:color w:val="003CA0"/>
          <w:sz w:val="16"/>
        </w:rPr>
        <w:t>[ADI 7.350, rel. min. Dias Toffoli, j. 11.03.2024, P, DJE de 07.05.2024.]</w:t>
      </w:r>
    </w:p>
    <w:p>
      <w:pPr>
        <w:ind w:left="288"/>
      </w:pPr>
      <w:r>
        <w:rPr>
          <w:color w:val="8C8C8C"/>
          <w:sz w:val="12"/>
        </w:rPr>
        <w:t>cf-art-60-par-4-inc-II</w:t>
      </w:r>
      <w:r>
        <w:rPr>
          <w:color w:val="003CA0"/>
          <w:sz w:val="12"/>
        </w:rPr>
        <w:t xml:space="preserve"> | ADI 5.889</w:t>
      </w:r>
      <w:r>
        <w:rPr>
          <w:color w:val="003CA0"/>
          <w:sz w:val="12"/>
        </w:rPr>
        <w:t xml:space="preserve"> | rel. Gilmar Mendes</w:t>
      </w:r>
    </w:p>
    <w:p>
      <w:pPr>
        <w:ind w:left="288"/>
      </w:pPr>
      <w:r>
        <w:rPr>
          <w:color w:val="1E1E1E"/>
          <w:sz w:val="18"/>
        </w:rPr>
        <w:t>Legitimidade do Congresso Nacional para adoção de sistemas e procedimentos de escrutínio eleitoral com observância das garantias de sigilosidade e liberdade do voto (CF, arts. 14 e 60, § 4º, II). Modelo híbrido de votação previsto pelo art. 59-A da Lei 9.504/1997. Potencialidade de risco na identificação do eleitor configuradora de ameaça à sua livre escolha. Inconstitucionalidade.</w:t>
        <w:br/>
        <w:t>[ADI 5.889, rel. min. Gilmar Mendes, j. 16-9-2020, P, DJE de 5-10-2020.]</w:t>
      </w:r>
    </w:p>
    <w:p>
      <w:pPr>
        <w:ind w:left="288"/>
      </w:pPr>
      <w:r>
        <w:rPr>
          <w:color w:val="8C8C8C"/>
          <w:sz w:val="12"/>
        </w:rPr>
        <w:t>cf-art-60-par-4-inc-IV</w:t>
      </w:r>
      <w:r>
        <w:rPr>
          <w:color w:val="003CA0"/>
          <w:sz w:val="12"/>
        </w:rPr>
        <w:t xml:space="preserve"> | ADI 5.935</w:t>
      </w:r>
      <w:r>
        <w:rPr>
          <w:color w:val="003CA0"/>
          <w:sz w:val="12"/>
        </w:rPr>
        <w:t xml:space="preserve"> | rel. Edson Fachin</w:t>
      </w:r>
    </w:p>
    <w:p>
      <w:pPr>
        <w:ind w:left="288"/>
      </w:pPr>
      <w:r>
        <w:rPr>
          <w:color w:val="1E1E1E"/>
          <w:sz w:val="18"/>
        </w:rPr>
        <w:t>EC 98/2017. Servidores dos Territórios Federais. Amapá e Roraima. (...) Os direitos e garantias individuais foram alçados à condição de cláusula pétrea pela primeira vez na Constituição da República de 1988. O art. 60, §4º, IV, protege o texto constitucional de emendas que atinjam o núcleo essencial desses direitos ou tendam a aboli-los. (...) O ordenamento pátrio possui outras exceções ao concurso público, inclusive que garantem a efetivação de trabalhadores de ex-Territórios, cabendo ao constituinte derivado estabelecer critérios para alargá-la, bem como medir o impacto orçamentário. A prote</w:t>
      </w:r>
    </w:p>
    <w:p>
      <w:pPr>
        <w:ind w:left="288"/>
      </w:pPr>
      <w:r>
        <w:rPr>
          <w:b/>
          <w:color w:val="003CA0"/>
          <w:sz w:val="16"/>
        </w:rPr>
        <w:t>[ADI 5.935, rel. min. Edson Fachin, j. 22-5-2020, P, DJE de 3-6-2020.]</w:t>
      </w:r>
    </w:p>
    <w:p>
      <w:pPr>
        <w:ind w:left="288"/>
      </w:pPr>
      <w:r>
        <w:rPr>
          <w:color w:val="8C8C8C"/>
          <w:sz w:val="12"/>
        </w:rPr>
        <w:t>cf-art-60-par-4-inc-IV</w:t>
      </w:r>
      <w:r>
        <w:rPr>
          <w:color w:val="003CA0"/>
          <w:sz w:val="12"/>
        </w:rPr>
        <w:t xml:space="preserve"> | ADI 3.128</w:t>
      </w:r>
      <w:r>
        <w:rPr>
          <w:color w:val="003CA0"/>
          <w:sz w:val="12"/>
        </w:rPr>
        <w:t xml:space="preserve"> | rel. Ellen Gracie</w:t>
      </w:r>
    </w:p>
    <w:p>
      <w:pPr>
        <w:ind w:left="288"/>
      </w:pPr>
      <w:r>
        <w:rPr>
          <w:color w:val="1E1E1E"/>
          <w:sz w:val="18"/>
        </w:rPr>
        <w:t>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 Noutras palavras, não há, em nosso ordenamento, nenhuma norma jurídica válida que, como efeito específico do fato jurídico da aposentadoria, lhe imunize os proventos e as pensões, de modo absoluto, à tributação de</w:t>
      </w:r>
    </w:p>
    <w:p>
      <w:pPr>
        <w:ind w:left="288"/>
      </w:pPr>
      <w:r>
        <w:rPr>
          <w:b/>
          <w:color w:val="003CA0"/>
          <w:sz w:val="16"/>
        </w:rPr>
        <w:t>[ADI 3.128 e ADI 3.105, red. do ac. min. Cezar Peluso, rel. min. Ellen Gracie, j. 18-8-2004, P, DJ de 18-2-2005.]</w:t>
      </w:r>
    </w:p>
    <w:p>
      <w:pPr>
        <w:ind w:left="288"/>
      </w:pPr>
      <w:r>
        <w:rPr>
          <w:color w:val="8C8C8C"/>
          <w:sz w:val="12"/>
        </w:rPr>
        <w:t>cf-art-60-par-4-inc-IV</w:t>
      </w:r>
      <w:r>
        <w:rPr>
          <w:color w:val="003CA0"/>
          <w:sz w:val="12"/>
        </w:rPr>
        <w:t xml:space="preserve"> | ADI 2.666</w:t>
      </w:r>
      <w:r>
        <w:rPr>
          <w:color w:val="003CA0"/>
          <w:sz w:val="12"/>
        </w:rPr>
        <w:t xml:space="preserve"> | rel. Ellen Gracie</w:t>
      </w:r>
    </w:p>
    <w:p>
      <w:pPr>
        <w:ind w:left="288"/>
      </w:pPr>
      <w:r>
        <w:rPr>
          <w:color w:val="1E1E1E"/>
          <w:sz w:val="18"/>
        </w:rPr>
        <w:t>Contribuição Provisória sobre Movimentação ou CPMF (arts. 84 e 85, acrescentados ao ADCT pelo art. 3º da EC 37, de 12-6-2002). Ausência de inconstitucionalidade material. O § 4º, IV, do art. 60 da Constituição veda a deliberação quanto à proposta de emenda tendente a abolir os direitos e garantias individuais. Proibida, assim, estaria a deliberação de emenda que se destinasse a suprimir do texto constitucional o § 6º do art. 195, ou que excluísse a aplicação desse preceito a uma hipótese em que, pela vontade do constituinte originário, devesse ele ser aplicado.</w:t>
      </w:r>
    </w:p>
    <w:p>
      <w:pPr>
        <w:ind w:left="288"/>
      </w:pPr>
      <w:r>
        <w:rPr>
          <w:b/>
          <w:color w:val="003CA0"/>
          <w:sz w:val="16"/>
        </w:rPr>
        <w:t>[ADI 2.666, rel. min. Ellen Gracie, j. 3-10-2002, P, DJ de 6-12-2002.]</w:t>
      </w:r>
    </w:p>
    <w:p>
      <w:pPr>
        <w:ind w:left="288"/>
      </w:pPr>
      <w:r>
        <w:rPr>
          <w:color w:val="8C8C8C"/>
          <w:sz w:val="12"/>
        </w:rPr>
        <w:t>cf-art-60-par-4-inc-IV</w:t>
      </w:r>
      <w:r>
        <w:rPr>
          <w:color w:val="003CA0"/>
          <w:sz w:val="12"/>
        </w:rPr>
        <w:t xml:space="preserve"> | ADI 466</w:t>
      </w:r>
      <w:r>
        <w:rPr>
          <w:color w:val="003CA0"/>
          <w:sz w:val="12"/>
        </w:rPr>
        <w:t xml:space="preserve"> | rel. Celso de Mello</w:t>
      </w:r>
    </w:p>
    <w:p>
      <w:pPr>
        <w:ind w:left="288"/>
      </w:pPr>
      <w:r>
        <w:rPr>
          <w:color w:val="1E1E1E"/>
          <w:sz w:val="18"/>
        </w:rPr>
        <w:t>O Congresso Nacional, no exercício de sua atividade constituinte derivada e no desempenho de sua função reformadora, está juridicamente subordinado à decisão do poder constituinte originário que, a par de restrições de ordem circunstancial, inibitórias do poder reformador (CF, art. 60, § 1º), identificou, em nosso sistema constitucional, um núcleo temático intangível e imune à ação revisora da instituição parlamentar. As limitações materiais explícitas, definidas no § 4º do art. 60 da Constituição da República, incidem diretamente sobre o poder de reforma conferido ao Poder Legislativo da Uniã</w:t>
      </w:r>
    </w:p>
    <w:p>
      <w:pPr>
        <w:ind w:left="288"/>
      </w:pPr>
      <w:r>
        <w:rPr>
          <w:b/>
          <w:color w:val="003CA0"/>
          <w:sz w:val="16"/>
        </w:rPr>
        <w:t>[ADI 466, rel. min. Celso de Mello, j. 3-4-1991, P, DJ de 10-5-1991.]</w:t>
      </w:r>
    </w:p>
    <w:p>
      <w:pPr>
        <w:ind w:left="144"/>
      </w:pPr>
      <w:r>
        <w:rPr>
          <w:b/>
          <w:color w:val="B45A00"/>
          <w:sz w:val="16"/>
        </w:rPr>
        <w:t>REPERCUSSAO GERAL</w:t>
      </w:r>
    </w:p>
    <w:p>
      <w:pPr>
        <w:ind w:left="288"/>
      </w:pPr>
      <w:r>
        <w:rPr>
          <w:color w:val="8C8C8C"/>
          <w:sz w:val="12"/>
        </w:rPr>
        <w:t>cf-art-60-par-4-inc-IV</w:t>
      </w:r>
      <w:r>
        <w:rPr>
          <w:color w:val="003CA0"/>
          <w:sz w:val="12"/>
        </w:rPr>
        <w:t xml:space="preserve"> | RE 587.008</w:t>
      </w:r>
      <w:r>
        <w:rPr>
          <w:color w:val="003CA0"/>
          <w:sz w:val="12"/>
        </w:rPr>
        <w:t xml:space="preserve"> | rel. Dias Toffoli</w:t>
      </w:r>
    </w:p>
    <w:p>
      <w:pPr>
        <w:ind w:left="288"/>
      </w:pPr>
      <w:r>
        <w:rPr>
          <w:color w:val="1E1E1E"/>
          <w:sz w:val="18"/>
        </w:rPr>
        <w:t>O poder constituinte derivado não é ilimitado, visto que se submete ao processo consignado no art. 60, §§ 2º e 3º, da CF, bem assim aos limites materiais, circunstanciais e temporais dos §§ 1º, 4º e 5º do aludido artigo. A anterioridade da norma tributária, quando essa é gravosa, representa uma das garantias fundamentais do contribuinte, traduzindo uma limitação ao poder impositivo do Estado.</w:t>
        <w:br/>
        <w:t>[RE 587.008, rel. min. Dias Toffoli, j. 2-2-2011, P, DJE de 6-5-2011, Tema 107, com mérito julgado.]</w:t>
        <w:br/>
        <w:t>Vide ADI 939, rel. min. Sydney Sanches, j. 15-12-1993, P, DJ de 18-3-1994</w:t>
      </w:r>
    </w:p>
    <w:p>
      <w:pPr>
        <w:ind w:left="144"/>
      </w:pPr>
      <w:r>
        <w:rPr>
          <w:b/>
          <w:color w:val="B45A00"/>
          <w:sz w:val="16"/>
        </w:rPr>
        <w:t>JULGADOS CORRELATOS</w:t>
      </w:r>
    </w:p>
    <w:p>
      <w:pPr>
        <w:ind w:left="288"/>
      </w:pPr>
      <w:r>
        <w:rPr>
          <w:color w:val="8C8C8C"/>
          <w:sz w:val="12"/>
        </w:rPr>
        <w:t>cf-art-60-par-4-inc-IV</w:t>
      </w:r>
      <w:r>
        <w:rPr>
          <w:color w:val="003CA0"/>
          <w:sz w:val="12"/>
        </w:rPr>
        <w:t xml:space="preserve"> | MS 24.875</w:t>
      </w:r>
      <w:r>
        <w:rPr>
          <w:color w:val="003CA0"/>
          <w:sz w:val="12"/>
        </w:rPr>
        <w:t xml:space="preserve"> | rel. Sepúlveda Pertence</w:t>
      </w:r>
    </w:p>
    <w:p>
      <w:pPr>
        <w:ind w:left="288"/>
      </w:pPr>
      <w:r>
        <w:rPr>
          <w:color w:val="1E1E1E"/>
          <w:sz w:val="18"/>
        </w:rPr>
        <w:t>Com relação a emendas constitucionais, o parâmetro de aferição de sua constitucionalidade é estreitíssimo, adstrito às limitações materiais, explícitas ou implícitas, que a Constituição imponha induvidosamente ao mais eminente dos poderes instituídos, qual seja o órgão de sua própria reforma. Nem da interpretação mais generosa das chamadas "cláusulas pétreas" poderia resultar que um juízo de eventuais inconveniências se convertesse em declaração de inconstitucionalidade da emenda constitucional que submeta certa vantagem funcional ao teto constitucional de vencimentos.</w:t>
      </w:r>
    </w:p>
    <w:p>
      <w:pPr>
        <w:ind w:left="288"/>
      </w:pPr>
      <w:r>
        <w:rPr>
          <w:b/>
          <w:color w:val="003CA0"/>
          <w:sz w:val="16"/>
        </w:rPr>
        <w:t>[MS 24.875, rel. min. Sepúlveda Pertence, j. 11-5-2006, P, DJ de 6-10-2006.]</w:t>
      </w:r>
    </w:p>
    <w:p>
      <w:pPr>
        <w:ind w:left="288"/>
      </w:pPr>
      <w:r>
        <w:rPr>
          <w:color w:val="8C8C8C"/>
          <w:sz w:val="12"/>
        </w:rPr>
        <w:t>cf-art-60-par-5</w:t>
      </w:r>
      <w:r>
        <w:rPr>
          <w:color w:val="003CA0"/>
          <w:sz w:val="12"/>
        </w:rPr>
        <w:t xml:space="preserve"> | MS 22.503</w:t>
      </w:r>
      <w:r>
        <w:rPr>
          <w:color w:val="003CA0"/>
          <w:sz w:val="12"/>
        </w:rPr>
        <w:t xml:space="preserve"> | rel. Marco Aurélio</w:t>
      </w:r>
    </w:p>
    <w:p>
      <w:pPr>
        <w:ind w:left="288"/>
      </w:pPr>
      <w:r>
        <w:rPr>
          <w:color w:val="1E1E1E"/>
          <w:sz w:val="18"/>
        </w:rPr>
        <w:t>Não ocorre contrariedade ao § 5º do art. 60 da Constituição na medida em que o presidente da Câmara dos Deputados, autoridade coatora, aplica dispositivo regimental adequado e declara prejudicada a proposição que tiver substitutivo aprovado, e não rejeitado, ressalvados os destaques (art. 163, V). É de ver-se, pois, que tendo a Câmara dos Deputados apenas rejeitado o substitutivo, e não o projeto que veio por mensagem do Poder Executivo, não se cuida de aplicar a norma do art. 60, § 5º, da Constituição. Por isso mesmo, afastada a rejeição do substitutivo, nada impede que se prossiga na votação</w:t>
      </w:r>
    </w:p>
    <w:p>
      <w:pPr>
        <w:ind w:left="288"/>
      </w:pPr>
      <w:r>
        <w:rPr>
          <w:b/>
          <w:color w:val="003CA0"/>
          <w:sz w:val="16"/>
        </w:rPr>
        <w:t>[MS 22.503, rel. min. Marco Aurélio, j. 8-5-1996, P, DJ de 6-6-1997.]</w:t>
      </w:r>
    </w:p>
    <w:p>
      <w:pPr>
        <w:ind w:left="288"/>
      </w:pPr>
      <w:r>
        <w:rPr>
          <w:color w:val="8C8C8C"/>
          <w:sz w:val="12"/>
        </w:rPr>
        <w:t>cf-art-60-par-5</w:t>
      </w:r>
    </w:p>
    <w:p>
      <w:pPr>
        <w:ind w:left="288"/>
      </w:pPr>
      <w:r>
        <w:rPr>
          <w:color w:val="1E1E1E"/>
          <w:sz w:val="18"/>
        </w:rPr>
        <w:t>Subseção III - Das Leis</w:t>
      </w:r>
    </w:p>
    <w:p>
      <w:pPr>
        <w:ind w:left="720"/>
      </w:pPr>
      <w:r>
        <w:rPr>
          <w:color w:val="003366"/>
          <w:sz w:val="18"/>
        </w:rPr>
        <w:t>I – 12% (doze por cento), no primeiro ano; (Redação dada pela Emenda Constitucio</w:t>
      </w:r>
    </w:p>
    <w:p>
      <w:pPr>
        <w:ind w:left="720"/>
      </w:pPr>
      <w:r>
        <w:rPr>
          <w:color w:val="003366"/>
          <w:sz w:val="18"/>
        </w:rPr>
        <w:t>II – 15% (quinze por cento), no segundo ano; (Redação dada pela Emenda Constituc</w:t>
      </w:r>
    </w:p>
    <w:p>
      <w:pPr>
        <w:ind w:left="720"/>
      </w:pPr>
      <w:r>
        <w:rPr>
          <w:color w:val="003366"/>
          <w:sz w:val="18"/>
        </w:rPr>
        <w:t>III – 17% (dezessete por cento), no terceiro ano; (Redação dada pela Emenda Cons</w:t>
      </w:r>
    </w:p>
    <w:p>
      <w:pPr>
        <w:ind w:left="720"/>
      </w:pPr>
      <w:r>
        <w:rPr>
          <w:color w:val="003366"/>
          <w:sz w:val="18"/>
        </w:rPr>
        <w:t>IV – 19% (dezenove por cento), no quarto ano; (Redação dada pela Emenda Constitu</w:t>
      </w:r>
    </w:p>
    <w:p>
      <w:pPr>
        <w:ind w:left="720"/>
      </w:pPr>
      <w:r>
        <w:rPr>
          <w:color w:val="003366"/>
          <w:sz w:val="18"/>
        </w:rPr>
        <w:t>V – 21% (vinte e um por cento), no quinto ano; (Redação dada pela Emenda Constit</w:t>
      </w:r>
    </w:p>
    <w:p>
      <w:pPr>
        <w:ind w:left="720"/>
      </w:pPr>
      <w:r>
        <w:rPr>
          <w:color w:val="003366"/>
          <w:sz w:val="18"/>
        </w:rPr>
        <w:t>VI – 23% (vinte e três por cento), no sexto ano. (Redação dada pela Emenda Const</w:t>
      </w:r>
    </w:p>
    <w:p>
      <w:pPr>
        <w:ind w:left="432"/>
      </w:pPr>
      <w:r>
        <w:rPr>
          <w:color w:val="003366"/>
          <w:sz w:val="18"/>
        </w:rPr>
        <w:t xml:space="preserve">§ 1 A parcela da complementação de que trata a alínea &amp;quot;b&amp;quot; do inciso V </w:t>
      </w:r>
    </w:p>
    <w:p>
      <w:pPr>
        <w:ind w:left="720"/>
      </w:pPr>
      <w:r>
        <w:rPr>
          <w:color w:val="003366"/>
          <w:sz w:val="18"/>
        </w:rPr>
        <w:t>I – 2 (dois) pontos percentuais, no primeiro ano; (Redação dada pela Emenda Cons</w:t>
      </w:r>
    </w:p>
    <w:p>
      <w:pPr>
        <w:ind w:left="720"/>
      </w:pPr>
      <w:r>
        <w:rPr>
          <w:color w:val="003366"/>
          <w:sz w:val="18"/>
        </w:rPr>
        <w:t>II – 5 (cinco) pontos percentuais, no segundo ano; (Redação dada pela Emenda Con</w:t>
      </w:r>
    </w:p>
    <w:p>
      <w:pPr>
        <w:ind w:left="720"/>
      </w:pPr>
      <w:r>
        <w:rPr>
          <w:color w:val="003366"/>
          <w:sz w:val="18"/>
        </w:rPr>
        <w:t>III – 6,25 (seis inteiros e vinte e cinco centésimos) pontos percentuais, no ter</w:t>
      </w:r>
    </w:p>
    <w:p>
      <w:pPr>
        <w:ind w:left="720"/>
      </w:pPr>
      <w:r>
        <w:rPr>
          <w:color w:val="003366"/>
          <w:sz w:val="18"/>
        </w:rPr>
        <w:t>IV – 7,5 (sete inteiros e cinco décimos) pontos percentuais, no quarto ano; (Red</w:t>
      </w:r>
    </w:p>
    <w:p>
      <w:pPr>
        <w:ind w:left="720"/>
      </w:pPr>
      <w:r>
        <w:rPr>
          <w:color w:val="003366"/>
          <w:sz w:val="18"/>
        </w:rPr>
        <w:t>V – 9 (nove) pontos percentuais, no quinto ano; (Redação dada pela Emenda Consti</w:t>
      </w:r>
    </w:p>
    <w:p>
      <w:pPr>
        <w:ind w:left="720"/>
      </w:pPr>
      <w:r>
        <w:rPr>
          <w:color w:val="003366"/>
          <w:sz w:val="18"/>
        </w:rPr>
        <w:t>VI – 10,5 (dez inteiros e cinco décimos) pontos percentuais, no sexto ano. (Reda</w:t>
      </w:r>
    </w:p>
    <w:p>
      <w:pPr>
        <w:ind w:left="432"/>
      </w:pPr>
      <w:r>
        <w:rPr>
          <w:color w:val="003366"/>
          <w:sz w:val="18"/>
        </w:rPr>
        <w:t xml:space="preserve">§ 2 A parcela da complementação de que trata a alínea &amp;quot;c&amp;quot; do inciso V </w:t>
      </w:r>
    </w:p>
    <w:p>
      <w:pPr>
        <w:ind w:left="720"/>
      </w:pPr>
      <w:r>
        <w:rPr>
          <w:color w:val="003366"/>
          <w:sz w:val="18"/>
        </w:rPr>
        <w:t>I – 0,75 (setenta e cinco centésimos) ponto percentual, no terceiro ano; (Redaçã</w:t>
      </w:r>
    </w:p>
    <w:p>
      <w:pPr>
        <w:ind w:left="720"/>
      </w:pPr>
      <w:r>
        <w:rPr>
          <w:color w:val="003366"/>
          <w:sz w:val="18"/>
        </w:rPr>
        <w:t xml:space="preserve">II – 1,5 (um inteiro e cinco décimos) ponto percentual, no quarto ano; (Redação </w:t>
      </w:r>
    </w:p>
    <w:p>
      <w:pPr>
        <w:ind w:left="720"/>
      </w:pPr>
      <w:r>
        <w:rPr>
          <w:color w:val="003366"/>
          <w:sz w:val="18"/>
        </w:rPr>
        <w:t>III – 2 (dois) pontos percentuais, no quinto ano; (Redação dada pela Emenda Cons</w:t>
      </w:r>
    </w:p>
    <w:p>
      <w:pPr>
        <w:ind w:left="720"/>
      </w:pPr>
      <w:r>
        <w:rPr>
          <w:color w:val="003366"/>
          <w:sz w:val="18"/>
        </w:rPr>
        <w:t>IV – 2,5 (dois inteiros e cinco décimos) pontos percentuais, no sexto ano. (Reda</w:t>
      </w:r>
    </w:p>
    <w:p>
      <w:r>
        <w:rPr>
          <w:b/>
          <w:color w:val="003366"/>
          <w:sz w:val="20"/>
        </w:rPr>
        <w:t xml:space="preserve">Art. 60 A. Os critérios de distribuição da complementação da União e dos fundos </w:t>
      </w:r>
      <w:r>
        <w:rPr>
          <w:color w:val="8C8C8C"/>
          <w:sz w:val="14"/>
        </w:rPr>
        <w:t xml:space="preserve">  [24 decisoes]</w:t>
      </w:r>
    </w:p>
    <w:p>
      <w:pPr>
        <w:ind w:left="144"/>
      </w:pPr>
      <w:r>
        <w:rPr>
          <w:b/>
          <w:color w:val="B45A00"/>
          <w:sz w:val="16"/>
        </w:rPr>
        <w:t>CONTROLE CONCENTRADO</w:t>
      </w:r>
    </w:p>
    <w:p>
      <w:pPr>
        <w:ind w:left="288"/>
      </w:pPr>
      <w:r>
        <w:rPr>
          <w:color w:val="8C8C8C"/>
          <w:sz w:val="12"/>
        </w:rPr>
        <w:t>cf-art-60</w:t>
      </w:r>
      <w:r>
        <w:rPr>
          <w:color w:val="003CA0"/>
          <w:sz w:val="12"/>
        </w:rPr>
        <w:t xml:space="preserve"> | ADI 2.356</w:t>
      </w:r>
    </w:p>
    <w:p>
      <w:pPr>
        <w:ind w:left="288"/>
      </w:pPr>
      <w:r>
        <w:rPr>
          <w:color w:val="1E1E1E"/>
          <w:sz w:val="18"/>
        </w:rPr>
        <w:t>A eficácia das regras jurídicas produzidas pelo poder constituinte (redundantemente chamado de "originário") não está sujeita a nenhuma limitação normativa, seja de ordem material, seja formal, porque provém do exercício de um poder de fato ou suprapositivo. Já as normas produzidas pelo poder reformador, essas têm sua validez e eficácia condicionadas à legitimação que recebam da ordem constitucional. Daí a necessária obediência das emendas constitucionais às chamadas cláusulas pétreas.</w:t>
      </w:r>
    </w:p>
    <w:p>
      <w:pPr>
        <w:ind w:left="288"/>
      </w:pPr>
      <w:r>
        <w:rPr>
          <w:b/>
          <w:color w:val="003CA0"/>
          <w:sz w:val="16"/>
        </w:rPr>
        <w:t>[ADI 2.356 MC e ADI 2.362 MC, red. do ac. min. Ayres Britto, j. 25-11-2010, P, DJE de 19-5-2011.]</w:t>
      </w:r>
    </w:p>
    <w:p>
      <w:pPr>
        <w:ind w:left="288"/>
      </w:pPr>
      <w:r>
        <w:rPr>
          <w:color w:val="8C8C8C"/>
          <w:sz w:val="12"/>
        </w:rPr>
        <w:t>cf-art-60</w:t>
      </w:r>
      <w:r>
        <w:rPr>
          <w:color w:val="003CA0"/>
          <w:sz w:val="12"/>
        </w:rPr>
        <w:t xml:space="preserve"> | ADI 939</w:t>
      </w:r>
      <w:r>
        <w:rPr>
          <w:color w:val="003CA0"/>
          <w:sz w:val="12"/>
        </w:rPr>
        <w:t xml:space="preserve"> | rel. Sydney Sanches</w:t>
      </w:r>
    </w:p>
    <w:p>
      <w:pPr>
        <w:ind w:left="288"/>
      </w:pPr>
      <w:r>
        <w:rPr>
          <w:color w:val="1E1E1E"/>
          <w:sz w:val="18"/>
        </w:rPr>
        <w:t>= ADI 939, rel. min. Sydney Sanches, j. 15-12-1993, P, DJ de 18-3-1994</w:t>
      </w:r>
    </w:p>
    <w:p>
      <w:pPr>
        <w:ind w:left="144"/>
      </w:pPr>
      <w:r>
        <w:rPr>
          <w:b/>
          <w:color w:val="B45A00"/>
          <w:sz w:val="16"/>
        </w:rPr>
        <w:t>JULGADOS CORRELATOS</w:t>
      </w:r>
    </w:p>
    <w:p>
      <w:pPr>
        <w:ind w:left="288"/>
      </w:pPr>
      <w:r>
        <w:rPr>
          <w:color w:val="8C8C8C"/>
          <w:sz w:val="12"/>
        </w:rPr>
        <w:t>cf-art-60</w:t>
      </w:r>
      <w:r>
        <w:rPr>
          <w:color w:val="003CA0"/>
          <w:sz w:val="12"/>
        </w:rPr>
        <w:t xml:space="preserve"> | MS 24.667</w:t>
      </w:r>
      <w:r>
        <w:rPr>
          <w:color w:val="003CA0"/>
          <w:sz w:val="12"/>
        </w:rPr>
        <w:t xml:space="preserve"> | rel. Carlos Velloso</w:t>
      </w:r>
    </w:p>
    <w:p>
      <w:pPr>
        <w:ind w:left="288"/>
      </w:pPr>
      <w:r>
        <w:rPr>
          <w:color w:val="1E1E1E"/>
          <w:sz w:val="18"/>
        </w:rP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pPr>
        <w:ind w:left="288"/>
      </w:pPr>
      <w:r>
        <w:rPr>
          <w:b/>
          <w:color w:val="003CA0"/>
          <w:sz w:val="16"/>
        </w:rPr>
        <w:t>[MS 24.667 AgR, rel. min. Carlos Velloso, j. 4-12-2003, P, DJ de 23-4-2004.]</w:t>
      </w:r>
    </w:p>
    <w:p>
      <w:pPr>
        <w:ind w:left="288"/>
      </w:pPr>
      <w:r>
        <w:rPr>
          <w:color w:val="8C8C8C"/>
          <w:sz w:val="12"/>
        </w:rPr>
        <w:t>cf-art-60</w:t>
      </w:r>
      <w:r>
        <w:rPr>
          <w:color w:val="003CA0"/>
          <w:sz w:val="12"/>
        </w:rPr>
        <w:t xml:space="preserve"> | MS 32.033</w:t>
      </w:r>
    </w:p>
    <w:p>
      <w:pPr>
        <w:ind w:left="288"/>
      </w:pPr>
      <w:r>
        <w:rPr>
          <w:color w:val="1E1E1E"/>
          <w:sz w:val="18"/>
        </w:rPr>
        <w:t>= MS 32.033, red. do ac. min. Teori Zavascki, j. 20-6-2013, P, DJE de 18-2-2014</w:t>
      </w:r>
    </w:p>
    <w:p>
      <w:pPr>
        <w:ind w:left="144"/>
      </w:pPr>
      <w:r>
        <w:rPr>
          <w:b/>
          <w:color w:val="B45A00"/>
          <w:sz w:val="16"/>
        </w:rPr>
        <w:t>CONTROLE CONCENTRADO</w:t>
      </w:r>
    </w:p>
    <w:p>
      <w:pPr>
        <w:ind w:left="288"/>
      </w:pPr>
      <w:r>
        <w:rPr>
          <w:color w:val="8C8C8C"/>
          <w:sz w:val="12"/>
        </w:rPr>
        <w:t>cf-art-60-inc-I</w:t>
      </w:r>
      <w:r>
        <w:rPr>
          <w:color w:val="003CA0"/>
          <w:sz w:val="12"/>
        </w:rPr>
        <w:t xml:space="preserve"> | ADI 2.031</w:t>
      </w:r>
      <w:r>
        <w:rPr>
          <w:color w:val="003CA0"/>
          <w:sz w:val="12"/>
        </w:rPr>
        <w:t xml:space="preserve"> | rel. Ellen Gracie</w:t>
      </w:r>
    </w:p>
    <w:p>
      <w:pPr>
        <w:ind w:left="288"/>
      </w:pPr>
      <w:r>
        <w:rPr>
          <w:color w:val="1E1E1E"/>
          <w:sz w:val="18"/>
        </w:rPr>
        <w:t>O início da tramitação da proposta de emenda no Senado Federal está em harmonia com o disposto no art. 60, I, da CF, que confere poder de iniciativa a ambas as Casas Legislativas.</w:t>
      </w:r>
    </w:p>
    <w:p>
      <w:pPr>
        <w:ind w:left="288"/>
      </w:pPr>
      <w:r>
        <w:rPr>
          <w:b/>
          <w:color w:val="003CA0"/>
          <w:sz w:val="16"/>
        </w:rPr>
        <w:t>[ADI 2.031, rel. min. Ellen Gracie, j. 3-10-2002, P, DJ de 17-10-2003.]</w:t>
      </w:r>
    </w:p>
    <w:p>
      <w:pPr>
        <w:ind w:left="288"/>
      </w:pPr>
      <w:r>
        <w:rPr>
          <w:color w:val="8C8C8C"/>
          <w:sz w:val="12"/>
        </w:rPr>
        <w:t>cf-art-60-par-2</w:t>
      </w:r>
      <w:r>
        <w:rPr>
          <w:color w:val="003CA0"/>
          <w:sz w:val="12"/>
        </w:rPr>
        <w:t xml:space="preserve"> | ADI 2.135</w:t>
      </w:r>
      <w:r>
        <w:rPr>
          <w:color w:val="003CA0"/>
          <w:sz w:val="12"/>
        </w:rPr>
        <w:t xml:space="preserve"> | rel. Cármen Lúcia. Red. do ac. min. Gilmar Mendes</w:t>
      </w:r>
    </w:p>
    <w:p>
      <w:pPr>
        <w:ind w:left="288"/>
      </w:pPr>
      <w:r>
        <w:rPr>
          <w:color w:val="1E1E1E"/>
          <w:sz w:val="18"/>
        </w:rPr>
        <w:t>A questão em discussão consiste em saber se o processo legislativo que culminou na promulgação da EC 19/1998, em especial a fase de Redação do Vencido durante o primeiro turno de votação na Câmara dos Deputados, observou o disposto no § 2º do art. 60 da Constituição, que estabelece a necessidade de discussão e aprovação em dois turnos, por maioria qualificada, para que uma proposta de emenda à Constituição possa ser considerada aprovada. Em específico, envolve a correta compreensão e delimitação do objeto do Destaque para Votação em Separado (DVS) n. 9 e dos efeitos decorrentes de sua rejeição</w:t>
      </w:r>
    </w:p>
    <w:p>
      <w:pPr>
        <w:ind w:left="288"/>
      </w:pPr>
      <w:r>
        <w:rPr>
          <w:b/>
          <w:color w:val="003CA0"/>
          <w:sz w:val="16"/>
        </w:rPr>
        <w:t>[ADI 2.135, rel. min. Cármen Lúcia. Red. do ac. min. Gilmar Mendes, j. 06.11.2024, P, DJE de 03.06.2025.]</w:t>
      </w:r>
    </w:p>
    <w:p>
      <w:pPr>
        <w:ind w:left="288"/>
      </w:pPr>
      <w:r>
        <w:rPr>
          <w:color w:val="8C8C8C"/>
          <w:sz w:val="12"/>
        </w:rPr>
        <w:t>cf-art-60-par-2</w:t>
      </w:r>
      <w:r>
        <w:rPr>
          <w:color w:val="003CA0"/>
          <w:sz w:val="12"/>
        </w:rPr>
        <w:t xml:space="preserve"> | ADI 7.205</w:t>
      </w:r>
      <w:r>
        <w:rPr>
          <w:color w:val="003CA0"/>
          <w:sz w:val="12"/>
        </w:rPr>
        <w:t xml:space="preserve"> | rel. Dias Toffoli</w:t>
      </w:r>
    </w:p>
    <w:p>
      <w:pPr>
        <w:ind w:left="288"/>
      </w:pPr>
      <w:r>
        <w:rPr>
          <w:color w:val="1E1E1E"/>
          <w:sz w:val="18"/>
        </w:rPr>
        <w:t>(...) o art. 70, § 1º, da Lei Orgânica do Distrito Federal, ao exigir, para a aprovação de suas emendas, quórum de dois terços, destoa do arquétipo federal previsto no art. 60, § 2º, da CF, padecendo, pois, de patente inconstitucionalidade.</w:t>
        <w:br/>
        <w:t>[ADI 7.205, rel. min. Dias Toffoli, j. 17-12-2022, P, DJE de 20-4-2023.] A CF de 1988 não fixou um intervalo temporal mínimo entre os dois turnos de votação para fins de aprovação de emendas à Constituição (CF, art. 60, § 2º), de sorte que inexiste parâmetro objetivo que oriente o exame judicial do grau de solidez da vontade política de reformar a Lei Maior</w:t>
      </w:r>
    </w:p>
    <w:p>
      <w:pPr>
        <w:ind w:left="288"/>
      </w:pPr>
      <w:r>
        <w:rPr>
          <w:b/>
          <w:color w:val="003CA0"/>
          <w:sz w:val="16"/>
        </w:rPr>
        <w:t>[ADI 3.367, rel. min. Cezar Peluso, j. 13-4-2005, P, DJ de 22-9-2006.]</w:t>
      </w:r>
    </w:p>
    <w:p>
      <w:pPr>
        <w:ind w:left="288"/>
      </w:pPr>
      <w:r>
        <w:rPr>
          <w:color w:val="8C8C8C"/>
          <w:sz w:val="12"/>
        </w:rPr>
        <w:t>cf-art-60-par-2</w:t>
      </w:r>
      <w:r>
        <w:rPr>
          <w:color w:val="003CA0"/>
          <w:sz w:val="12"/>
        </w:rPr>
        <w:t xml:space="preserve"> | ADI 486</w:t>
      </w:r>
      <w:r>
        <w:rPr>
          <w:color w:val="003CA0"/>
          <w:sz w:val="12"/>
        </w:rPr>
        <w:t xml:space="preserve"> | rel. Celso de Mello</w:t>
      </w:r>
    </w:p>
    <w:p>
      <w:pPr>
        <w:ind w:left="288"/>
      </w:pPr>
      <w:r>
        <w:rPr>
          <w:color w:val="1E1E1E"/>
          <w:sz w:val="18"/>
        </w:rPr>
        <w:t>Processo de reforma da Constituição estadual. Necessária observância dos requisitos estabelecidos na CF (art. 60, § 1º a § 5º). Impossibilidade constitucional de o Estado-membro, em divergência com o modelo inscrito na Lei Fundamental da República, condicionar a reforma da Constituição estadual à aprovação da respectiva proposta por 4/5 da totalidade dos membros integrantes da assembleia legislativa. Exigência que virtualmente esteriliza o exercício da função reformadora pelo Poder Legislativo local (...).</w:t>
      </w:r>
    </w:p>
    <w:p>
      <w:pPr>
        <w:ind w:left="288"/>
      </w:pPr>
      <w:r>
        <w:rPr>
          <w:b/>
          <w:color w:val="003CA0"/>
          <w:sz w:val="16"/>
        </w:rPr>
        <w:t>[ADI 486, rel. min. Celso de Mello, j. 3-4-1997, P, DJ de 10-11-2006.]</w:t>
      </w:r>
    </w:p>
    <w:p>
      <w:pPr>
        <w:ind w:left="288"/>
      </w:pPr>
      <w:r>
        <w:rPr>
          <w:color w:val="8C8C8C"/>
          <w:sz w:val="12"/>
        </w:rPr>
        <w:t>cf-art-60-par-4</w:t>
      </w:r>
      <w:r>
        <w:rPr>
          <w:color w:val="003CA0"/>
          <w:sz w:val="12"/>
        </w:rPr>
        <w:t xml:space="preserve"> | RP 94</w:t>
      </w:r>
      <w:r>
        <w:rPr>
          <w:color w:val="003CA0"/>
          <w:sz w:val="12"/>
        </w:rPr>
        <w:t xml:space="preserve"> | rel. Castro Nunes</w:t>
      </w:r>
    </w:p>
    <w:p>
      <w:pPr>
        <w:ind w:left="288"/>
      </w:pPr>
      <w:r>
        <w:rPr>
          <w:color w:val="1E1E1E"/>
          <w:sz w:val="18"/>
        </w:rPr>
        <w:t>É muito difícil indicar, a priori, os preceitos fundamentais da Constituição passíveis de lesão tão grave que justifique o processo e o julgamento da arguição de descumprimento. Não há dúvida de que alguns desses preceitos estão enunciados, de forma explícita, no texto constitucional. (...) não se poderá deixar de atribuir essa qualificação aos demais princípios protegidos pela cláusula pétrea do art. 60, § 4º, da Constituição. (...) É fácil ver que a amplitude conferida às cláusulas pétreas e a ideia de unidade da Constituição (...) acabam por colocar parte significativa da Constituição sob a</w:t>
      </w:r>
    </w:p>
    <w:p>
      <w:pPr>
        <w:ind w:left="288"/>
      </w:pPr>
      <w:r>
        <w:rPr>
          <w:b/>
          <w:color w:val="003CA0"/>
          <w:sz w:val="16"/>
        </w:rPr>
        <w:t>[ADPF 33 MC, voto do rel. min. Gilmar Mendes, j. 29-10-2003, P, DJ de 6-8-2004.]</w:t>
      </w:r>
    </w:p>
    <w:p>
      <w:pPr>
        <w:ind w:left="288"/>
      </w:pPr>
      <w:r>
        <w:rPr>
          <w:color w:val="8C8C8C"/>
          <w:sz w:val="12"/>
        </w:rPr>
        <w:t>cf-art-60-par-4</w:t>
      </w:r>
      <w:r>
        <w:rPr>
          <w:color w:val="003CA0"/>
          <w:sz w:val="12"/>
        </w:rPr>
        <w:t xml:space="preserve"> | ADI 939</w:t>
      </w:r>
      <w:r>
        <w:rPr>
          <w:color w:val="003CA0"/>
          <w:sz w:val="12"/>
        </w:rPr>
        <w:t xml:space="preserve"> | rel. Sydney Sanches</w:t>
      </w:r>
    </w:p>
    <w:p>
      <w:pPr>
        <w:ind w:left="288"/>
      </w:pPr>
      <w:r>
        <w:rPr>
          <w:color w:val="1E1E1E"/>
          <w:sz w:val="18"/>
        </w:rPr>
        <w:t>O STF já assentou o entendimento de que é admissível a ação direta de inconstitucionalidade de emenda constitucional, quando se alega, na inicial, que esta contraria princípios imutáveis ou as chamadas cláusulas pétreas da Constituição originária (art. 60, § 4º, da CF). Precedente: ADI 939 (RTJ 151/755).</w:t>
      </w:r>
    </w:p>
    <w:p>
      <w:pPr>
        <w:ind w:left="288"/>
      </w:pPr>
      <w:r>
        <w:rPr>
          <w:b/>
          <w:color w:val="003CA0"/>
          <w:sz w:val="16"/>
        </w:rPr>
        <w:t>[ADI 1.946 MC, rel. min. Sydney Sanches, j. 29-4-1999, P, DJ de 14-9-2001.]</w:t>
      </w:r>
    </w:p>
    <w:p>
      <w:pPr>
        <w:ind w:left="288"/>
      </w:pPr>
      <w:r>
        <w:rPr>
          <w:color w:val="8C8C8C"/>
          <w:sz w:val="12"/>
        </w:rPr>
        <w:t>cf-art-60-par-4</w:t>
      </w:r>
      <w:r>
        <w:rPr>
          <w:color w:val="003CA0"/>
          <w:sz w:val="12"/>
        </w:rPr>
        <w:t xml:space="preserve"> | ADI 815</w:t>
      </w:r>
      <w:r>
        <w:rPr>
          <w:color w:val="003CA0"/>
          <w:sz w:val="12"/>
        </w:rPr>
        <w:t xml:space="preserve"> | rel. Moreira Alves</w:t>
      </w:r>
    </w:p>
    <w:p>
      <w:pPr>
        <w:ind w:left="288"/>
      </w:pPr>
      <w:r>
        <w:rPr>
          <w:color w:val="1E1E1E"/>
          <w:sz w:val="18"/>
        </w:rPr>
        <w:t>As cláusulas pétreas não podem ser invocadas para sustentação da tese da inconstitucionalidade de normas constitucionais inferiores em face de normas constitucionais superiores, porquanto a Constituição as prevê apenas como limites ao poder constituinte derivado ao rever ou ao emendar a Constituição elaborada pelo poder constituinte originário, e não como abarcando normas cuja observância se impôs ao próprio poder constituinte originário com relação às outras que não sejam consideradas como cláusulas pétreas, e, portanto, possam ser emendadas.</w:t>
      </w:r>
    </w:p>
    <w:p>
      <w:pPr>
        <w:ind w:left="288"/>
      </w:pPr>
      <w:r>
        <w:rPr>
          <w:b/>
          <w:color w:val="003CA0"/>
          <w:sz w:val="16"/>
        </w:rPr>
        <w:t>[ADI 815, rel. min. Moreira Alves, j. 28-3-1996, P, DJ de 10-5-1996.]</w:t>
      </w:r>
    </w:p>
    <w:p>
      <w:pPr>
        <w:ind w:left="144"/>
      </w:pPr>
      <w:r>
        <w:rPr>
          <w:b/>
          <w:color w:val="B45A00"/>
          <w:sz w:val="16"/>
        </w:rPr>
        <w:t>JULGADOS CORRELATOS</w:t>
      </w:r>
    </w:p>
    <w:p>
      <w:pPr>
        <w:ind w:left="288"/>
      </w:pPr>
      <w:r>
        <w:rPr>
          <w:color w:val="8C8C8C"/>
          <w:sz w:val="12"/>
        </w:rPr>
        <w:t>cf-art-60-par-4</w:t>
      </w:r>
      <w:r>
        <w:rPr>
          <w:color w:val="003CA0"/>
          <w:sz w:val="12"/>
        </w:rPr>
        <w:t xml:space="preserve"> | EXT 986</w:t>
      </w:r>
      <w:r>
        <w:rPr>
          <w:color w:val="003CA0"/>
          <w:sz w:val="12"/>
        </w:rPr>
        <w:t xml:space="preserve"> | rel. Eros Grau</w:t>
      </w:r>
    </w:p>
    <w:p>
      <w:pPr>
        <w:ind w:left="288"/>
      </w:pPr>
      <w:r>
        <w:rPr>
          <w:color w:val="1E1E1E"/>
          <w:sz w:val="18"/>
        </w:rPr>
        <w:t>Extradição e necessidade de observância dos parâmetros do devido processo legal, do Estado de Direito e do respeito aos direitos humanos. Constituição do Brasil, arts. 5º, § 1º, e 60, § 4º. (...) Obrigação do STF de manter e observar os parâmetros do devido processo legal, do Estado de Direito e dos direitos humanos. (...) Necessidade de assegurar direitos fundamentais básicos ao extraditando. Direitos e garantias fundamentais devem ter eficácia imediata (cf. art. 5º, § 1º); a vinculação direta dos órgãos estatais a esses direitos deve obrigar o Estado a guardar-lhes estrita observância. Direi</w:t>
      </w:r>
    </w:p>
    <w:p>
      <w:pPr>
        <w:ind w:left="288"/>
      </w:pPr>
      <w:r>
        <w:rPr>
          <w:b/>
          <w:color w:val="003CA0"/>
          <w:sz w:val="16"/>
        </w:rPr>
        <w:t>[Ext 986, rel. min. Eros Grau, j. 15-8-2007, P, DJ de 5-10-2007.]</w:t>
      </w:r>
    </w:p>
    <w:p>
      <w:pPr>
        <w:ind w:left="144"/>
      </w:pPr>
      <w:r>
        <w:rPr>
          <w:b/>
          <w:color w:val="B45A00"/>
          <w:sz w:val="16"/>
        </w:rPr>
        <w:t>CONTROLE CONCENTRADO</w:t>
      </w:r>
    </w:p>
    <w:p>
      <w:pPr>
        <w:ind w:left="288"/>
      </w:pPr>
      <w:r>
        <w:rPr>
          <w:color w:val="8C8C8C"/>
          <w:sz w:val="12"/>
        </w:rPr>
        <w:t>cf-art-60-par-4-inc-I</w:t>
      </w:r>
      <w:r>
        <w:rPr>
          <w:color w:val="003CA0"/>
          <w:sz w:val="12"/>
        </w:rPr>
        <w:t xml:space="preserve"> | ADI 2.024</w:t>
      </w:r>
      <w:r>
        <w:rPr>
          <w:color w:val="003CA0"/>
          <w:sz w:val="12"/>
        </w:rPr>
        <w:t xml:space="preserve"> | rel. Sepúlveda Pertence</w:t>
      </w:r>
    </w:p>
    <w:p>
      <w:pPr>
        <w:ind w:left="288"/>
      </w:pPr>
      <w:r>
        <w:rPr>
          <w:color w:val="1E1E1E"/>
          <w:sz w:val="18"/>
        </w:rPr>
        <w:t xml:space="preserve">A "forma federativa de Estado" – elevado a princípio intangível por todas as Constituições da República – não pode ser conceituada a partir de um modelo ideal e apriorístico de Federação, mas, sim, daquele que o constituinte originário concretamente adotou e, como o adotou, erigiu em limite material imposto às futuras emendas à Constituição; de resto as limitações materiais ao poder constituinte de reforma, que o art. 60, § 4º, da Lei Fundamental enumera, não significam a intangibilidade literal da respectiva disciplina na Constituição originária, mas apenas a proteção do núcleo essencial dos </w:t>
      </w:r>
    </w:p>
    <w:p>
      <w:pPr>
        <w:ind w:left="288"/>
      </w:pPr>
      <w:r>
        <w:rPr>
          <w:b/>
          <w:color w:val="003CA0"/>
          <w:sz w:val="16"/>
        </w:rPr>
        <w:t>[ADI 2.024, rel. min. Sepúlveda Pertence, j. 3-5-2007, P, DJ de 22-6-2007.]</w:t>
      </w:r>
    </w:p>
    <w:p>
      <w:pPr>
        <w:ind w:left="144"/>
      </w:pPr>
      <w:r>
        <w:rPr>
          <w:b/>
          <w:color w:val="B45A00"/>
          <w:sz w:val="16"/>
        </w:rPr>
        <w:t>JULGADOS CORRELATOS</w:t>
      </w:r>
    </w:p>
    <w:p>
      <w:pPr>
        <w:ind w:left="288"/>
      </w:pPr>
      <w:r>
        <w:rPr>
          <w:color w:val="8C8C8C"/>
          <w:sz w:val="12"/>
        </w:rPr>
        <w:t>cf-art-60-par-4-inc-I</w:t>
      </w:r>
      <w:r>
        <w:rPr>
          <w:color w:val="003CA0"/>
          <w:sz w:val="12"/>
        </w:rPr>
        <w:t xml:space="preserve"> | HC 80.511</w:t>
      </w:r>
      <w:r>
        <w:rPr>
          <w:color w:val="003CA0"/>
          <w:sz w:val="12"/>
        </w:rPr>
        <w:t xml:space="preserve"> | rel. Celso de Mello</w:t>
      </w:r>
    </w:p>
    <w:p>
      <w:pPr>
        <w:ind w:left="288"/>
      </w:pPr>
      <w:r>
        <w:rPr>
          <w:color w:val="1E1E1E"/>
          <w:sz w:val="18"/>
        </w:rPr>
        <w:t>(...) a ideia de Federação – que tem, na autonomia dos Estados-membros, um de seus cornerstones – revela-se elemento cujo sentido de fundamentalidade a torna imune, em sede de revisão constitucional, à própria ação reformadora do Congresso Nacional, por representar categoria política inalcançável, até mesmo, pelo exercício do poder constituinte derivado (CF, art. 60, § 4º, I).</w:t>
      </w:r>
    </w:p>
    <w:p>
      <w:pPr>
        <w:ind w:left="288"/>
      </w:pPr>
      <w:r>
        <w:rPr>
          <w:b/>
          <w:color w:val="003CA0"/>
          <w:sz w:val="16"/>
        </w:rPr>
        <w:t>[HC 80.511, voto do rel. min. Celso de Mello, j. 21-8-2001, 2ª T, DJ de 14-9-2001.]</w:t>
      </w:r>
    </w:p>
    <w:p>
      <w:pPr>
        <w:ind w:left="144"/>
      </w:pPr>
      <w:r>
        <w:rPr>
          <w:b/>
          <w:color w:val="B45A00"/>
          <w:sz w:val="16"/>
        </w:rPr>
        <w:t>CONTROLE CONCENTRADO</w:t>
      </w:r>
    </w:p>
    <w:p>
      <w:pPr>
        <w:ind w:left="288"/>
      </w:pPr>
      <w:r>
        <w:rPr>
          <w:color w:val="8C8C8C"/>
          <w:sz w:val="12"/>
        </w:rPr>
        <w:t>cf-art-60-par-4-inc-II</w:t>
      </w:r>
      <w:r>
        <w:rPr>
          <w:color w:val="003CA0"/>
          <w:sz w:val="12"/>
        </w:rPr>
        <w:t xml:space="preserve"> | ADI 7.350</w:t>
      </w:r>
      <w:r>
        <w:rPr>
          <w:color w:val="003CA0"/>
          <w:sz w:val="12"/>
        </w:rPr>
        <w:t xml:space="preserve"> | rel. Dias Toffoli</w:t>
      </w:r>
    </w:p>
    <w:p>
      <w:pPr>
        <w:ind w:left="288"/>
      </w:pPr>
      <w:r>
        <w:rPr>
          <w:color w:val="1E1E1E"/>
          <w:sz w:val="18"/>
        </w:rPr>
        <w:t>Emenda nº 48/22 à Constituição do Estado do Tocantins. Eleições concomitantes da mesa diretora da Assembleia Legislativa para o primeiro e o segundo biênios. Inconstitucionalidade. (...) as eleições para as mesas das casas legislativas federais devem ser contemporâneas ao início do respectivo biênio (art. 57, § 4º, da CF/88). Não há no texto constitucional nenhuma norma que se assemelhe ao que previu o dispositivo questionado, isto é, que antecipe de forma tão desarrazoada a escolha de eleitos para um dado mandato e concentre em um único momento a escolha de duas “chapas” distintas para os mes</w:t>
      </w:r>
    </w:p>
    <w:p>
      <w:pPr>
        <w:ind w:left="288"/>
      </w:pPr>
      <w:r>
        <w:rPr>
          <w:b/>
          <w:color w:val="003CA0"/>
          <w:sz w:val="16"/>
        </w:rPr>
        <w:t>[ADI 7.350, rel. min. Dias Toffoli, j. 11.03.2024, P, DJE de 07.05.2024.]</w:t>
      </w:r>
    </w:p>
    <w:p>
      <w:pPr>
        <w:ind w:left="288"/>
      </w:pPr>
      <w:r>
        <w:rPr>
          <w:color w:val="8C8C8C"/>
          <w:sz w:val="12"/>
        </w:rPr>
        <w:t>cf-art-60-par-4-inc-II</w:t>
      </w:r>
      <w:r>
        <w:rPr>
          <w:color w:val="003CA0"/>
          <w:sz w:val="12"/>
        </w:rPr>
        <w:t xml:space="preserve"> | ADI 5.889</w:t>
      </w:r>
      <w:r>
        <w:rPr>
          <w:color w:val="003CA0"/>
          <w:sz w:val="12"/>
        </w:rPr>
        <w:t xml:space="preserve"> | rel. Gilmar Mendes</w:t>
      </w:r>
    </w:p>
    <w:p>
      <w:pPr>
        <w:ind w:left="288"/>
      </w:pPr>
      <w:r>
        <w:rPr>
          <w:color w:val="1E1E1E"/>
          <w:sz w:val="18"/>
        </w:rPr>
        <w:t>Legitimidade do Congresso Nacional para adoção de sistemas e procedimentos de escrutínio eleitoral com observância das garantias de sigilosidade e liberdade do voto (CF, arts. 14 e 60, § 4º, II). Modelo híbrido de votação previsto pelo art. 59-A da Lei 9.504/1997. Potencialidade de risco na identificação do eleitor configuradora de ameaça à sua livre escolha. Inconstitucionalidade.</w:t>
        <w:br/>
        <w:t>[ADI 5.889, rel. min. Gilmar Mendes, j. 16-9-2020, P, DJE de 5-10-2020.]</w:t>
      </w:r>
    </w:p>
    <w:p>
      <w:pPr>
        <w:ind w:left="288"/>
      </w:pPr>
      <w:r>
        <w:rPr>
          <w:color w:val="8C8C8C"/>
          <w:sz w:val="12"/>
        </w:rPr>
        <w:t>cf-art-60-par-4-inc-IV</w:t>
      </w:r>
      <w:r>
        <w:rPr>
          <w:color w:val="003CA0"/>
          <w:sz w:val="12"/>
        </w:rPr>
        <w:t xml:space="preserve"> | ADI 5.935</w:t>
      </w:r>
      <w:r>
        <w:rPr>
          <w:color w:val="003CA0"/>
          <w:sz w:val="12"/>
        </w:rPr>
        <w:t xml:space="preserve"> | rel. Edson Fachin</w:t>
      </w:r>
    </w:p>
    <w:p>
      <w:pPr>
        <w:ind w:left="288"/>
      </w:pPr>
      <w:r>
        <w:rPr>
          <w:color w:val="1E1E1E"/>
          <w:sz w:val="18"/>
        </w:rPr>
        <w:t>EC 98/2017. Servidores dos Territórios Federais. Amapá e Roraima. (...) Os direitos e garantias individuais foram alçados à condição de cláusula pétrea pela primeira vez na Constituição da República de 1988. O art. 60, §4º, IV, protege o texto constitucional de emendas que atinjam o núcleo essencial desses direitos ou tendam a aboli-los. (...) O ordenamento pátrio possui outras exceções ao concurso público, inclusive que garantem a efetivação de trabalhadores de ex-Territórios, cabendo ao constituinte derivado estabelecer critérios para alargá-la, bem como medir o impacto orçamentário. A prote</w:t>
      </w:r>
    </w:p>
    <w:p>
      <w:pPr>
        <w:ind w:left="288"/>
      </w:pPr>
      <w:r>
        <w:rPr>
          <w:b/>
          <w:color w:val="003CA0"/>
          <w:sz w:val="16"/>
        </w:rPr>
        <w:t>[ADI 5.935, rel. min. Edson Fachin, j. 22-5-2020, P, DJE de 3-6-2020.]</w:t>
      </w:r>
    </w:p>
    <w:p>
      <w:pPr>
        <w:ind w:left="288"/>
      </w:pPr>
      <w:r>
        <w:rPr>
          <w:color w:val="8C8C8C"/>
          <w:sz w:val="12"/>
        </w:rPr>
        <w:t>cf-art-60-par-4-inc-IV</w:t>
      </w:r>
      <w:r>
        <w:rPr>
          <w:color w:val="003CA0"/>
          <w:sz w:val="12"/>
        </w:rPr>
        <w:t xml:space="preserve"> | ADI 3.128</w:t>
      </w:r>
      <w:r>
        <w:rPr>
          <w:color w:val="003CA0"/>
          <w:sz w:val="12"/>
        </w:rPr>
        <w:t xml:space="preserve"> | rel. Ellen Gracie</w:t>
      </w:r>
    </w:p>
    <w:p>
      <w:pPr>
        <w:ind w:left="288"/>
      </w:pPr>
      <w:r>
        <w:rPr>
          <w:color w:val="1E1E1E"/>
          <w:sz w:val="18"/>
        </w:rPr>
        <w:t>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 Noutras palavras, não há, em nosso ordenamento, nenhuma norma jurídica válida que, como efeito específico do fato jurídico da aposentadoria, lhe imunize os proventos e as pensões, de modo absoluto, à tributação de</w:t>
      </w:r>
    </w:p>
    <w:p>
      <w:pPr>
        <w:ind w:left="288"/>
      </w:pPr>
      <w:r>
        <w:rPr>
          <w:b/>
          <w:color w:val="003CA0"/>
          <w:sz w:val="16"/>
        </w:rPr>
        <w:t>[ADI 3.128 e ADI 3.105, red. do ac. min. Cezar Peluso, rel. min. Ellen Gracie, j. 18-8-2004, P, DJ de 18-2-2005.]</w:t>
      </w:r>
    </w:p>
    <w:p>
      <w:pPr>
        <w:ind w:left="288"/>
      </w:pPr>
      <w:r>
        <w:rPr>
          <w:color w:val="8C8C8C"/>
          <w:sz w:val="12"/>
        </w:rPr>
        <w:t>cf-art-60-par-4-inc-IV</w:t>
      </w:r>
      <w:r>
        <w:rPr>
          <w:color w:val="003CA0"/>
          <w:sz w:val="12"/>
        </w:rPr>
        <w:t xml:space="preserve"> | ADI 2.666</w:t>
      </w:r>
      <w:r>
        <w:rPr>
          <w:color w:val="003CA0"/>
          <w:sz w:val="12"/>
        </w:rPr>
        <w:t xml:space="preserve"> | rel. Ellen Gracie</w:t>
      </w:r>
    </w:p>
    <w:p>
      <w:pPr>
        <w:ind w:left="288"/>
      </w:pPr>
      <w:r>
        <w:rPr>
          <w:color w:val="1E1E1E"/>
          <w:sz w:val="18"/>
        </w:rPr>
        <w:t>Contribuição Provisória sobre Movimentação ou CPMF (arts. 84 e 85, acrescentados ao ADCT pelo art. 3º da EC 37, de 12-6-2002). Ausência de inconstitucionalidade material. O § 4º, IV, do art. 60 da Constituição veda a deliberação quanto à proposta de emenda tendente a abolir os direitos e garantias individuais. Proibida, assim, estaria a deliberação de emenda que se destinasse a suprimir do texto constitucional o § 6º do art. 195, ou que excluísse a aplicação desse preceito a uma hipótese em que, pela vontade do constituinte originário, devesse ele ser aplicado.</w:t>
      </w:r>
    </w:p>
    <w:p>
      <w:pPr>
        <w:ind w:left="288"/>
      </w:pPr>
      <w:r>
        <w:rPr>
          <w:b/>
          <w:color w:val="003CA0"/>
          <w:sz w:val="16"/>
        </w:rPr>
        <w:t>[ADI 2.666, rel. min. Ellen Gracie, j. 3-10-2002, P, DJ de 6-12-2002.]</w:t>
      </w:r>
    </w:p>
    <w:p>
      <w:pPr>
        <w:ind w:left="288"/>
      </w:pPr>
      <w:r>
        <w:rPr>
          <w:color w:val="8C8C8C"/>
          <w:sz w:val="12"/>
        </w:rPr>
        <w:t>cf-art-60-par-4-inc-IV</w:t>
      </w:r>
      <w:r>
        <w:rPr>
          <w:color w:val="003CA0"/>
          <w:sz w:val="12"/>
        </w:rPr>
        <w:t xml:space="preserve"> | ADI 466</w:t>
      </w:r>
      <w:r>
        <w:rPr>
          <w:color w:val="003CA0"/>
          <w:sz w:val="12"/>
        </w:rPr>
        <w:t xml:space="preserve"> | rel. Celso de Mello</w:t>
      </w:r>
    </w:p>
    <w:p>
      <w:pPr>
        <w:ind w:left="288"/>
      </w:pPr>
      <w:r>
        <w:rPr>
          <w:color w:val="1E1E1E"/>
          <w:sz w:val="18"/>
        </w:rPr>
        <w:t>O Congresso Nacional, no exercício de sua atividade constituinte derivada e no desempenho de sua função reformadora, está juridicamente subordinado à decisão do poder constituinte originário que, a par de restrições de ordem circunstancial, inibitórias do poder reformador (CF, art. 60, § 1º), identificou, em nosso sistema constitucional, um núcleo temático intangível e imune à ação revisora da instituição parlamentar. As limitações materiais explícitas, definidas no § 4º do art. 60 da Constituição da República, incidem diretamente sobre o poder de reforma conferido ao Poder Legislativo da Uniã</w:t>
      </w:r>
    </w:p>
    <w:p>
      <w:pPr>
        <w:ind w:left="288"/>
      </w:pPr>
      <w:r>
        <w:rPr>
          <w:b/>
          <w:color w:val="003CA0"/>
          <w:sz w:val="16"/>
        </w:rPr>
        <w:t>[ADI 466, rel. min. Celso de Mello, j. 3-4-1991, P, DJ de 10-5-1991.]</w:t>
      </w:r>
    </w:p>
    <w:p>
      <w:pPr>
        <w:ind w:left="144"/>
      </w:pPr>
      <w:r>
        <w:rPr>
          <w:b/>
          <w:color w:val="B45A00"/>
          <w:sz w:val="16"/>
        </w:rPr>
        <w:t>REPERCUSSAO GERAL</w:t>
      </w:r>
    </w:p>
    <w:p>
      <w:pPr>
        <w:ind w:left="288"/>
      </w:pPr>
      <w:r>
        <w:rPr>
          <w:color w:val="8C8C8C"/>
          <w:sz w:val="12"/>
        </w:rPr>
        <w:t>cf-art-60-par-4-inc-IV</w:t>
      </w:r>
      <w:r>
        <w:rPr>
          <w:color w:val="003CA0"/>
          <w:sz w:val="12"/>
        </w:rPr>
        <w:t xml:space="preserve"> | RE 587.008</w:t>
      </w:r>
      <w:r>
        <w:rPr>
          <w:color w:val="003CA0"/>
          <w:sz w:val="12"/>
        </w:rPr>
        <w:t xml:space="preserve"> | rel. Dias Toffoli</w:t>
      </w:r>
    </w:p>
    <w:p>
      <w:pPr>
        <w:ind w:left="288"/>
      </w:pPr>
      <w:r>
        <w:rPr>
          <w:color w:val="1E1E1E"/>
          <w:sz w:val="18"/>
        </w:rPr>
        <w:t>O poder constituinte derivado não é ilimitado, visto que se submete ao processo consignado no art. 60, §§ 2º e 3º, da CF, bem assim aos limites materiais, circunstanciais e temporais dos §§ 1º, 4º e 5º do aludido artigo. A anterioridade da norma tributária, quando essa é gravosa, representa uma das garantias fundamentais do contribuinte, traduzindo uma limitação ao poder impositivo do Estado.</w:t>
        <w:br/>
        <w:t>[RE 587.008, rel. min. Dias Toffoli, j. 2-2-2011, P, DJE de 6-5-2011, Tema 107, com mérito julgado.]</w:t>
        <w:br/>
        <w:t>Vide ADI 939, rel. min. Sydney Sanches, j. 15-12-1993, P, DJ de 18-3-1994</w:t>
      </w:r>
    </w:p>
    <w:p>
      <w:pPr>
        <w:ind w:left="144"/>
      </w:pPr>
      <w:r>
        <w:rPr>
          <w:b/>
          <w:color w:val="B45A00"/>
          <w:sz w:val="16"/>
        </w:rPr>
        <w:t>JULGADOS CORRELATOS</w:t>
      </w:r>
    </w:p>
    <w:p>
      <w:pPr>
        <w:ind w:left="288"/>
      </w:pPr>
      <w:r>
        <w:rPr>
          <w:color w:val="8C8C8C"/>
          <w:sz w:val="12"/>
        </w:rPr>
        <w:t>cf-art-60-par-4-inc-IV</w:t>
      </w:r>
      <w:r>
        <w:rPr>
          <w:color w:val="003CA0"/>
          <w:sz w:val="12"/>
        </w:rPr>
        <w:t xml:space="preserve"> | MS 24.875</w:t>
      </w:r>
      <w:r>
        <w:rPr>
          <w:color w:val="003CA0"/>
          <w:sz w:val="12"/>
        </w:rPr>
        <w:t xml:space="preserve"> | rel. Sepúlveda Pertence</w:t>
      </w:r>
    </w:p>
    <w:p>
      <w:pPr>
        <w:ind w:left="288"/>
      </w:pPr>
      <w:r>
        <w:rPr>
          <w:color w:val="1E1E1E"/>
          <w:sz w:val="18"/>
        </w:rPr>
        <w:t>Com relação a emendas constitucionais, o parâmetro de aferição de sua constitucionalidade é estreitíssimo, adstrito às limitações materiais, explícitas ou implícitas, que a Constituição imponha induvidosamente ao mais eminente dos poderes instituídos, qual seja o órgão de sua própria reforma. Nem da interpretação mais generosa das chamadas "cláusulas pétreas" poderia resultar que um juízo de eventuais inconveniências se convertesse em declaração de inconstitucionalidade da emenda constitucional que submeta certa vantagem funcional ao teto constitucional de vencimentos.</w:t>
      </w:r>
    </w:p>
    <w:p>
      <w:pPr>
        <w:ind w:left="288"/>
      </w:pPr>
      <w:r>
        <w:rPr>
          <w:b/>
          <w:color w:val="003CA0"/>
          <w:sz w:val="16"/>
        </w:rPr>
        <w:t>[MS 24.875, rel. min. Sepúlveda Pertence, j. 11-5-2006, P, DJ de 6-10-2006.]</w:t>
      </w:r>
    </w:p>
    <w:p>
      <w:pPr>
        <w:ind w:left="288"/>
      </w:pPr>
      <w:r>
        <w:rPr>
          <w:color w:val="8C8C8C"/>
          <w:sz w:val="12"/>
        </w:rPr>
        <w:t>cf-art-60-par-5</w:t>
      </w:r>
      <w:r>
        <w:rPr>
          <w:color w:val="003CA0"/>
          <w:sz w:val="12"/>
        </w:rPr>
        <w:t xml:space="preserve"> | MS 22.503</w:t>
      </w:r>
      <w:r>
        <w:rPr>
          <w:color w:val="003CA0"/>
          <w:sz w:val="12"/>
        </w:rPr>
        <w:t xml:space="preserve"> | rel. Marco Aurélio</w:t>
      </w:r>
    </w:p>
    <w:p>
      <w:pPr>
        <w:ind w:left="288"/>
      </w:pPr>
      <w:r>
        <w:rPr>
          <w:color w:val="1E1E1E"/>
          <w:sz w:val="18"/>
        </w:rPr>
        <w:t>Não ocorre contrariedade ao § 5º do art. 60 da Constituição na medida em que o presidente da Câmara dos Deputados, autoridade coatora, aplica dispositivo regimental adequado e declara prejudicada a proposição que tiver substitutivo aprovado, e não rejeitado, ressalvados os destaques (art. 163, V). É de ver-se, pois, que tendo a Câmara dos Deputados apenas rejeitado o substitutivo, e não o projeto que veio por mensagem do Poder Executivo, não se cuida de aplicar a norma do art. 60, § 5º, da Constituição. Por isso mesmo, afastada a rejeição do substitutivo, nada impede que se prossiga na votação</w:t>
      </w:r>
    </w:p>
    <w:p>
      <w:pPr>
        <w:ind w:left="288"/>
      </w:pPr>
      <w:r>
        <w:rPr>
          <w:b/>
          <w:color w:val="003CA0"/>
          <w:sz w:val="16"/>
        </w:rPr>
        <w:t>[MS 22.503, rel. min. Marco Aurélio, j. 8-5-1996, P, DJ de 6-6-1997.]</w:t>
      </w:r>
    </w:p>
    <w:p>
      <w:pPr>
        <w:ind w:left="288"/>
      </w:pPr>
      <w:r>
        <w:rPr>
          <w:color w:val="8C8C8C"/>
          <w:sz w:val="12"/>
        </w:rPr>
        <w:t>cf-art-60-par-5</w:t>
      </w:r>
    </w:p>
    <w:p>
      <w:pPr>
        <w:ind w:left="288"/>
      </w:pPr>
      <w:r>
        <w:rPr>
          <w:color w:val="1E1E1E"/>
          <w:sz w:val="18"/>
        </w:rPr>
        <w:t>Subseção III - Das Leis</w:t>
      </w:r>
    </w:p>
    <w:p>
      <w:r>
        <w:rPr>
          <w:b/>
          <w:color w:val="003366"/>
          <w:sz w:val="20"/>
        </w:rPr>
        <w:t>Art. 61 As entidades educacionais a que se refere o art. 213, bem como as fundaç</w:t>
      </w:r>
      <w:r>
        <w:rPr>
          <w:color w:val="8C8C8C"/>
          <w:sz w:val="14"/>
        </w:rPr>
        <w:t xml:space="preserve">  [80 decisoes]</w:t>
      </w:r>
    </w:p>
    <w:p>
      <w:pPr>
        <w:ind w:left="144"/>
      </w:pPr>
      <w:r>
        <w:rPr>
          <w:b/>
          <w:color w:val="B45A00"/>
          <w:sz w:val="16"/>
        </w:rPr>
        <w:t>CONTROLE CONCENTRADO</w:t>
      </w:r>
    </w:p>
    <w:p>
      <w:pPr>
        <w:ind w:left="288"/>
      </w:pPr>
      <w:r>
        <w:rPr>
          <w:color w:val="8C8C8C"/>
          <w:sz w:val="12"/>
        </w:rPr>
        <w:t>cf-art-61</w:t>
      </w:r>
      <w:r>
        <w:rPr>
          <w:color w:val="003CA0"/>
          <w:sz w:val="12"/>
        </w:rPr>
        <w:t xml:space="preserve"> | ADI 572</w:t>
      </w:r>
      <w:r>
        <w:rPr>
          <w:color w:val="003CA0"/>
          <w:sz w:val="12"/>
        </w:rPr>
        <w:t xml:space="preserve"> | rel. Eros Grau</w:t>
      </w:r>
    </w:p>
    <w:p>
      <w:pPr>
        <w:ind w:left="288"/>
      </w:pPr>
      <w:r>
        <w:rPr>
          <w:color w:val="1E1E1E"/>
          <w:sz w:val="18"/>
        </w:rPr>
        <w:t>O constituinte estadual não pode estabelecer hipóteses nas quais seja vedada a apresentação de projeto de lei pelo chefe do Executivo sem que isso represente ofensa à harmonia entre os Poderes.</w:t>
      </w:r>
    </w:p>
    <w:p>
      <w:pPr>
        <w:ind w:left="288"/>
      </w:pPr>
      <w:r>
        <w:rPr>
          <w:b/>
          <w:color w:val="003CA0"/>
          <w:sz w:val="16"/>
        </w:rPr>
        <w:t>[ADI 572, rel. min. Eros Grau, j. 28-6-2006, P, DJ de 9-2-2007.]</w:t>
      </w:r>
    </w:p>
    <w:p>
      <w:pPr>
        <w:ind w:left="288"/>
      </w:pPr>
      <w:r>
        <w:rPr>
          <w:color w:val="8C8C8C"/>
          <w:sz w:val="12"/>
        </w:rPr>
        <w:t>cf-art-61</w:t>
      </w:r>
      <w:r>
        <w:rPr>
          <w:color w:val="003CA0"/>
          <w:sz w:val="12"/>
        </w:rPr>
        <w:t xml:space="preserve"> | ADI 637</w:t>
      </w:r>
      <w:r>
        <w:rPr>
          <w:color w:val="003CA0"/>
          <w:sz w:val="12"/>
        </w:rPr>
        <w:t xml:space="preserve"> | rel. Sepúlveda Pertence</w:t>
      </w:r>
    </w:p>
    <w:p>
      <w:pPr>
        <w:ind w:left="288"/>
      </w:pPr>
      <w:r>
        <w:rPr>
          <w:color w:val="1E1E1E"/>
          <w:sz w:val="18"/>
        </w:rPr>
        <w:t>Processo legislativo dos Estados-membros: absorção compulsória das linhas básicas do modelo constitucional federal entre elas, as decorrentes das normas de reserva de iniciativa das leis, dada a implicação com o princípio fundamental da separação e independência dos poderes: jurisprudência consolidada do Supremo Tribunal.</w:t>
      </w:r>
    </w:p>
    <w:p>
      <w:pPr>
        <w:ind w:left="288"/>
      </w:pPr>
      <w:r>
        <w:rPr>
          <w:b/>
          <w:color w:val="003CA0"/>
          <w:sz w:val="16"/>
        </w:rPr>
        <w:t>[ADI 637, rel. min. Sepúlveda Pertence, j. 25-8-2004, P, DJ de 1º-10-2004.]</w:t>
      </w:r>
    </w:p>
    <w:p>
      <w:pPr>
        <w:ind w:left="144"/>
      </w:pPr>
      <w:r>
        <w:rPr>
          <w:b/>
          <w:color w:val="B45A00"/>
          <w:sz w:val="16"/>
        </w:rPr>
        <w:t>REPERCUSSAO GERAL</w:t>
      </w:r>
    </w:p>
    <w:p>
      <w:pPr>
        <w:ind w:left="288"/>
      </w:pPr>
      <w:r>
        <w:rPr>
          <w:color w:val="8C8C8C"/>
          <w:sz w:val="12"/>
        </w:rPr>
        <w:t>cf-art-61</w:t>
      </w:r>
      <w:r>
        <w:rPr>
          <w:color w:val="003CA0"/>
          <w:sz w:val="12"/>
        </w:rPr>
        <w:t xml:space="preserve"> | RE 626.946</w:t>
      </w:r>
      <w:r>
        <w:rPr>
          <w:color w:val="003CA0"/>
          <w:sz w:val="12"/>
        </w:rPr>
        <w:t xml:space="preserve"> | rel. Marco Aurélio</w:t>
      </w:r>
    </w:p>
    <w:p>
      <w:pPr>
        <w:ind w:left="288"/>
      </w:pPr>
      <w:r>
        <w:rPr>
          <w:color w:val="1E1E1E"/>
          <w:sz w:val="18"/>
        </w:rPr>
        <w:t>Surge constitucional lei de iniciativa parlamentar a criar conselho de representantes da sociedade civil, integrante da estrutura do Poder Legislativo, com atribuição de acompanhar ações do Executivo.</w:t>
      </w:r>
    </w:p>
    <w:p>
      <w:pPr>
        <w:ind w:left="288"/>
      </w:pPr>
      <w:r>
        <w:rPr>
          <w:b/>
          <w:color w:val="003CA0"/>
          <w:sz w:val="16"/>
        </w:rPr>
        <w:t>[RE 626.946, rel. min. Marco Aurélio, j. 13-10-2020, P, DJE de 17-12-2020, Tema 1.040, com mérito julgado]</w:t>
      </w:r>
    </w:p>
    <w:p>
      <w:pPr>
        <w:ind w:left="288"/>
      </w:pPr>
      <w:r>
        <w:rPr>
          <w:color w:val="8C8C8C"/>
          <w:sz w:val="12"/>
        </w:rPr>
        <w:t>cf-art-61</w:t>
      </w:r>
      <w:r>
        <w:rPr>
          <w:color w:val="003CA0"/>
          <w:sz w:val="12"/>
        </w:rPr>
        <w:t xml:space="preserve"> | RE 1.536.640</w:t>
      </w:r>
      <w:r>
        <w:rPr>
          <w:color w:val="003CA0"/>
          <w:sz w:val="12"/>
        </w:rPr>
        <w:t xml:space="preserve"> | rel. André Mendonça</w:t>
      </w:r>
    </w:p>
    <w:p>
      <w:pPr>
        <w:ind w:left="288"/>
      </w:pPr>
      <w:r>
        <w:rPr>
          <w:color w:val="1E1E1E"/>
          <w:sz w:val="18"/>
        </w:rPr>
        <w:t>É formalmente constitucional — na medida em que não configura matéria sujeita à reserva de iniciativa do chefe do Poder Executivo — a Lei Distrital nº 7.465/2024, que instituiu o Programa de Financiamento da Infraestrutura Pública do Distrito Federal, destinado a viabilizar a captação de recursos privados para realização de obras e manutenção de equipamentos públicos mediante parcerias entre o poder público e a iniciativa privada.</w:t>
      </w:r>
    </w:p>
    <w:p>
      <w:pPr>
        <w:ind w:left="288"/>
      </w:pPr>
      <w:r>
        <w:rPr>
          <w:b/>
          <w:color w:val="003CA0"/>
          <w:sz w:val="16"/>
        </w:rPr>
        <w:t>[RE 1.536.640, rel. min. André Mendonça, j. 13.11.2025, P, Informativo STF 1.199.]</w:t>
      </w:r>
    </w:p>
    <w:p>
      <w:pPr>
        <w:ind w:left="144"/>
      </w:pPr>
      <w:r>
        <w:rPr>
          <w:b/>
          <w:color w:val="B45A00"/>
          <w:sz w:val="16"/>
        </w:rPr>
        <w:t>JULGADOS CORRELATOS</w:t>
      </w:r>
    </w:p>
    <w:p>
      <w:pPr>
        <w:ind w:left="288"/>
      </w:pPr>
      <w:r>
        <w:rPr>
          <w:color w:val="8C8C8C"/>
          <w:sz w:val="12"/>
        </w:rPr>
        <w:t>cf-art-61</w:t>
      </w:r>
      <w:r>
        <w:rPr>
          <w:color w:val="003CA0"/>
          <w:sz w:val="12"/>
        </w:rPr>
        <w:t xml:space="preserve"> | RE 328.896</w:t>
      </w:r>
      <w:r>
        <w:rPr>
          <w:color w:val="003CA0"/>
          <w:sz w:val="12"/>
        </w:rPr>
        <w:t xml:space="preserve"> | rel. Celso de Mello</w:t>
      </w:r>
    </w:p>
    <w:p>
      <w:pPr>
        <w:ind w:left="288"/>
      </w:pPr>
      <w:r>
        <w:rPr>
          <w:color w:val="1E1E1E"/>
          <w:sz w:val="18"/>
        </w:rPr>
        <w:t>(...) não mais assiste, ao chefe do Poder Executivo, a prerrogativa constitucional de fazer instaurar, com exclusividade, em matéria tributária, o concernente processo legislativo. (...) sob a égide da Constituição republicana de 1988, também o membro do Poder Legislativo dispõe de legitimidade ativa para iniciar o processo de formação das leis, quando se tratar de matéria de índole tributária, não mais subsistindo, em consequência, a restrição que prevaleceu ao longo da Carta Federal de 1969 (art. 57, I) (...).</w:t>
      </w:r>
    </w:p>
    <w:p>
      <w:pPr>
        <w:ind w:left="288"/>
      </w:pPr>
      <w:r>
        <w:rPr>
          <w:b/>
          <w:color w:val="003CA0"/>
          <w:sz w:val="16"/>
        </w:rPr>
        <w:t>[RE 328.896, rel. min. Celso de Mello, j. 9-10-2009, dec. monocrática, DJE de 5-11-2009.]</w:t>
      </w:r>
    </w:p>
    <w:p>
      <w:pPr>
        <w:ind w:left="288"/>
      </w:pPr>
      <w:r>
        <w:rPr>
          <w:color w:val="8C8C8C"/>
          <w:sz w:val="12"/>
        </w:rPr>
        <w:t>cf-art-61</w:t>
      </w:r>
      <w:r>
        <w:rPr>
          <w:color w:val="003CA0"/>
          <w:sz w:val="12"/>
        </w:rPr>
        <w:t xml:space="preserve"> | RE 424.674</w:t>
      </w:r>
      <w:r>
        <w:rPr>
          <w:color w:val="003CA0"/>
          <w:sz w:val="12"/>
        </w:rPr>
        <w:t xml:space="preserve"> | rel. Marco Aurélio</w:t>
      </w:r>
    </w:p>
    <w:p>
      <w:pPr>
        <w:ind w:left="288"/>
      </w:pPr>
      <w:r>
        <w:rPr>
          <w:color w:val="1E1E1E"/>
          <w:sz w:val="18"/>
        </w:rPr>
        <w:t>= RE 424.674, rel. min. Marco Aurélio, j. 25-2-2014, 1ª T, DJE de 19-3-2014</w:t>
      </w:r>
    </w:p>
    <w:p>
      <w:pPr>
        <w:ind w:left="288"/>
      </w:pPr>
      <w:r>
        <w:rPr>
          <w:color w:val="8C8C8C"/>
          <w:sz w:val="12"/>
        </w:rPr>
        <w:t>cf-art-61-par-1</w:t>
      </w:r>
      <w:r>
        <w:rPr>
          <w:color w:val="003CA0"/>
          <w:sz w:val="12"/>
        </w:rPr>
        <w:t xml:space="preserve"> | ADPF 1.092</w:t>
      </w:r>
      <w:r>
        <w:rPr>
          <w:color w:val="003CA0"/>
          <w:sz w:val="12"/>
        </w:rPr>
        <w:t xml:space="preserve"> | rel. André Mendonça</w:t>
      </w:r>
    </w:p>
    <w:p>
      <w:pPr>
        <w:ind w:left="288"/>
      </w:pPr>
      <w:r>
        <w:rPr>
          <w:color w:val="1E1E1E"/>
          <w:sz w:val="18"/>
        </w:rPr>
        <w:t>Projeto de lei de iniciativa reservada. Alteração, por meio de emenda parlamentar, da natureza do projeto de lei ordinária para projeto de lei complementar. Manutenção da essência do projeto de lei inicial. Possibilidade. Atuação em conformidade com os limites do poder de emenda. Inexistência de inconstitucionalidade formal. A Emenda Modificativa 1 ao PL 177/2014 limitou-se a transmudar o projeto de lei ordinária em projeto de lei complementar, mantendo os termos do quanto encaminhado pelo Governador do Estado, de modo que a atuação da ALESE está em absoluta conformidade com o poder de emenda,</w:t>
      </w:r>
    </w:p>
    <w:p>
      <w:pPr>
        <w:ind w:left="288"/>
      </w:pPr>
      <w:r>
        <w:rPr>
          <w:b/>
          <w:color w:val="003CA0"/>
          <w:sz w:val="16"/>
        </w:rPr>
        <w:t>[ADPF 1.092, rel. min. André Mendonça, red. do ac. min. Gilmar Mendes, j. 12.08.2025, P, DJE de 20.08.2025.]</w:t>
      </w:r>
    </w:p>
    <w:p>
      <w:pPr>
        <w:ind w:left="144"/>
      </w:pPr>
      <w:r>
        <w:rPr>
          <w:b/>
          <w:color w:val="B45A00"/>
          <w:sz w:val="16"/>
        </w:rPr>
        <w:t>CONTROLE CONCENTRADO</w:t>
      </w:r>
    </w:p>
    <w:p>
      <w:pPr>
        <w:ind w:left="288"/>
      </w:pPr>
      <w:r>
        <w:rPr>
          <w:color w:val="8C8C8C"/>
          <w:sz w:val="12"/>
        </w:rPr>
        <w:t>cf-art-61-par-1</w:t>
      </w:r>
      <w:r>
        <w:rPr>
          <w:color w:val="003CA0"/>
          <w:sz w:val="12"/>
        </w:rPr>
        <w:t xml:space="preserve"> | ADI 2.583</w:t>
      </w:r>
      <w:r>
        <w:rPr>
          <w:color w:val="003CA0"/>
          <w:sz w:val="12"/>
        </w:rPr>
        <w:t xml:space="preserve"> | rel. Cármen Lúcia</w:t>
      </w:r>
    </w:p>
    <w:p>
      <w:pPr>
        <w:ind w:left="288"/>
      </w:pPr>
      <w:r>
        <w:rPr>
          <w:color w:val="1E1E1E"/>
          <w:sz w:val="18"/>
        </w:rPr>
        <w:t>Art. 2º da Lei gaúcha 11.369/2001. Cadastro de contratações temporárias. Criação de procedimentos administrativos que devem ser observados pelo Poder Executivo na contratação de servidores temporários. (...) As normas impugnadas, decorrentes de emendas parlamentares, estabelecem o procedimento a ser adotado pelo Poder Executivo estadual para a realização de inscrições no cadastro de contratações temporárias, tema não incluído entre aqueles cujos projetos de lei são de iniciativa privativa do governador do Estado.</w:t>
      </w:r>
    </w:p>
    <w:p>
      <w:pPr>
        <w:ind w:left="288"/>
      </w:pPr>
      <w:r>
        <w:rPr>
          <w:b/>
          <w:color w:val="003CA0"/>
          <w:sz w:val="16"/>
        </w:rPr>
        <w:t>[ADI 2.583, rel. min. Cármen Lúcia, j. 1º-8-2011, P, DJE de 26-8-2011.]</w:t>
      </w:r>
    </w:p>
    <w:p>
      <w:pPr>
        <w:ind w:left="288"/>
      </w:pPr>
      <w:r>
        <w:rPr>
          <w:color w:val="8C8C8C"/>
          <w:sz w:val="12"/>
        </w:rPr>
        <w:t>cf-art-61-par-1</w:t>
      </w:r>
      <w:r>
        <w:rPr>
          <w:color w:val="003CA0"/>
          <w:sz w:val="12"/>
        </w:rPr>
        <w:t xml:space="preserve"> | ADI 3.458</w:t>
      </w:r>
      <w:r>
        <w:rPr>
          <w:color w:val="003CA0"/>
          <w:sz w:val="12"/>
        </w:rPr>
        <w:t xml:space="preserve"> | rel. Eros Grau</w:t>
      </w:r>
    </w:p>
    <w:p>
      <w:pPr>
        <w:ind w:left="288"/>
      </w:pPr>
      <w:r>
        <w:rPr>
          <w:color w:val="1E1E1E"/>
          <w:sz w:val="18"/>
        </w:rPr>
        <w:t>A iniciativa legislativa, no que respeita à criação de conta única de depósitos judiciais e extrajudiciais, cabe ao Poder Judiciário. A deflagração do processo legislativo pelo chefe do Poder Executivo consubstancia afronta ao texto da Constituição do Brasil (art. 61, § 1º).</w:t>
      </w:r>
    </w:p>
    <w:p>
      <w:pPr>
        <w:ind w:left="288"/>
      </w:pPr>
      <w:r>
        <w:rPr>
          <w:b/>
          <w:color w:val="003CA0"/>
          <w:sz w:val="16"/>
        </w:rPr>
        <w:t>[ADI 3.458, rel. min. Eros Grau, j. 21-2-2008, P, DJE de 16-5-2008.]</w:t>
      </w:r>
    </w:p>
    <w:p>
      <w:pPr>
        <w:ind w:left="288"/>
      </w:pPr>
      <w:r>
        <w:rPr>
          <w:color w:val="8C8C8C"/>
          <w:sz w:val="12"/>
        </w:rPr>
        <w:t>cf-art-61-par-1</w:t>
      </w:r>
      <w:r>
        <w:rPr>
          <w:color w:val="003CA0"/>
          <w:sz w:val="12"/>
        </w:rPr>
        <w:t xml:space="preserve"> | ADI 2.855</w:t>
      </w:r>
      <w:r>
        <w:rPr>
          <w:color w:val="003CA0"/>
          <w:sz w:val="12"/>
        </w:rPr>
        <w:t xml:space="preserve"> | rel. Marco Aurélio</w:t>
      </w:r>
    </w:p>
    <w:p>
      <w:pPr>
        <w:ind w:left="288"/>
      </w:pPr>
      <w:r>
        <w:rPr>
          <w:color w:val="1E1E1E"/>
          <w:sz w:val="18"/>
        </w:rPr>
        <w:t>Vide ADI 2.855, rel. min. Marco Aurélio, j. 12-5-2010, P, DJE de 17-9-2010 Vide ADI 2.909, rel. min. Ayres Britto, j. 12-5-2010, P, DJE de 11-6-2010 Não procede a alegação de que qualquer projeto de lei que crie despesa só poderá ser proposto pelo chefe do Executivo. As hipóteses de limitação da iniciativa parlamentar estão previstas, em numerus clausus, no art. 61 da Constituição do Brasil – matérias relativas ao funcionamento da administração pública, notadamente no que se refere a servidores e órgãos do Poder Executivo. Precedentes.</w:t>
      </w:r>
    </w:p>
    <w:p>
      <w:pPr>
        <w:ind w:left="288"/>
      </w:pPr>
      <w:r>
        <w:rPr>
          <w:b/>
          <w:color w:val="003CA0"/>
          <w:sz w:val="16"/>
        </w:rPr>
        <w:t>[ADI 3.394, rel. min. Eros Grau, j. 2-4-2007, P, DJE de 15-8-2008.]</w:t>
      </w:r>
    </w:p>
    <w:p>
      <w:pPr>
        <w:ind w:left="288"/>
      </w:pPr>
      <w:r>
        <w:rPr>
          <w:color w:val="8C8C8C"/>
          <w:sz w:val="12"/>
        </w:rPr>
        <w:t>cf-art-61-par-1</w:t>
      </w:r>
      <w:r>
        <w:rPr>
          <w:color w:val="003CA0"/>
          <w:sz w:val="12"/>
        </w:rPr>
        <w:t xml:space="preserve"> | ADI 2.672</w:t>
      </w:r>
    </w:p>
    <w:p>
      <w:pPr>
        <w:ind w:left="288"/>
      </w:pPr>
      <w:r>
        <w:rPr>
          <w:color w:val="1E1E1E"/>
          <w:sz w:val="18"/>
        </w:rPr>
        <w:t>O diploma normativo em causa, que estabelece isenção do pagamento de taxa de concurso público, não versa sobre matéria relativa a servidores públicos (§ 1º do art. 61 da CF/1988). Dispõe, isso sim, sobre condição para se chegar à investidura em cargo público, que é um momento anterior ao da caracterização do candidato como servidor público. Inconstitucionalidade formal não configurada.</w:t>
      </w:r>
    </w:p>
    <w:p>
      <w:pPr>
        <w:ind w:left="288"/>
      </w:pPr>
      <w:r>
        <w:rPr>
          <w:b/>
          <w:color w:val="003CA0"/>
          <w:sz w:val="16"/>
        </w:rPr>
        <w:t>[ADI 2.672, red. do ac. min. Ayres Britto, j. 22-6-2006, P, DJ de 10-11-2006.]</w:t>
      </w:r>
    </w:p>
    <w:p>
      <w:pPr>
        <w:ind w:left="288"/>
      </w:pPr>
      <w:r>
        <w:rPr>
          <w:color w:val="8C8C8C"/>
          <w:sz w:val="12"/>
        </w:rPr>
        <w:t>cf-art-61-par-1</w:t>
      </w:r>
      <w:r>
        <w:rPr>
          <w:color w:val="003CA0"/>
          <w:sz w:val="12"/>
        </w:rPr>
        <w:t xml:space="preserve"> | AI 682.317</w:t>
      </w:r>
      <w:r>
        <w:rPr>
          <w:color w:val="003CA0"/>
          <w:sz w:val="12"/>
        </w:rPr>
        <w:t xml:space="preserve"> | rel. Dias Toffoli</w:t>
      </w:r>
    </w:p>
    <w:p>
      <w:pPr>
        <w:ind w:left="288"/>
      </w:pPr>
      <w:r>
        <w:rPr>
          <w:color w:val="1E1E1E"/>
          <w:sz w:val="18"/>
        </w:rPr>
        <w:t>= AI 682.317 AgR, rel. min. Dias Toffoli, j. 14-2-2012, 1ª T, DJE de 22-3-2012 A sanção do projeto de lei não convalida o vício de inconstitucionalidade resultante da usurpação do poder de iniciativa. A ulterior aquiescência do chefe do Poder Executivo, mediante sanção do projeto de lei, ainda quando dele seja a prerrogativa usurpada, não tem o condão de sanar o vício radical da inconstitucionalidade. Insubsistência da Súmula 5/STF.</w:t>
      </w:r>
    </w:p>
    <w:p>
      <w:pPr>
        <w:ind w:left="288"/>
      </w:pPr>
      <w:r>
        <w:rPr>
          <w:b/>
          <w:color w:val="003CA0"/>
          <w:sz w:val="16"/>
        </w:rPr>
        <w:t>[ADI 2.867, rel. min. Celso de Mello, j. 3-12-2003, P, DJ de 9-2-2007.]</w:t>
      </w:r>
    </w:p>
    <w:p>
      <w:pPr>
        <w:ind w:left="288"/>
      </w:pPr>
      <w:r>
        <w:rPr>
          <w:color w:val="8C8C8C"/>
          <w:sz w:val="12"/>
        </w:rPr>
        <w:t>cf-art-61-par-1</w:t>
      </w:r>
      <w:r>
        <w:rPr>
          <w:color w:val="003CA0"/>
          <w:sz w:val="12"/>
        </w:rPr>
        <w:t xml:space="preserve"> | ADI 2.305</w:t>
      </w:r>
      <w:r>
        <w:rPr>
          <w:color w:val="003CA0"/>
          <w:sz w:val="12"/>
        </w:rPr>
        <w:t xml:space="preserve"> | rel. Cezar Peluso</w:t>
      </w:r>
    </w:p>
    <w:p>
      <w:pPr>
        <w:ind w:left="288"/>
      </w:pPr>
      <w:r>
        <w:rPr>
          <w:color w:val="1E1E1E"/>
          <w:sz w:val="18"/>
        </w:rPr>
        <w:t>= ADI 2.305, rel. min. Cezar Peluso, j. 30-6-2011, P, DJE de 5-8-2011</w:t>
        <w:br/>
        <w:t>= ADI  6.337, rel. min. Rosa Weber, j. 24-8-2020, P, DJE de 22-10-2020.] Tratando-se de projeto de lei de iniciativa privativa do chefe do Poder Executivo, não pode o Poder Legislativo assinar-lhe prazo para o exercício dessa prerrogativa sua. Não havendo aumento de despesa, o Poder Legislativo pode emendar projeto de iniciativa privativa do chefe do Poder Executivo, mas esse poder não é ilimitado, não se estendendo ele a emendas que não guardem estreita pertinência com o objeto do projeto encaminhado ao Legislativo pelo Exe</w:t>
      </w:r>
    </w:p>
    <w:p>
      <w:pPr>
        <w:ind w:left="288"/>
      </w:pPr>
      <w:r>
        <w:rPr>
          <w:b/>
          <w:color w:val="003CA0"/>
          <w:sz w:val="16"/>
        </w:rPr>
        <w:t>[ADI 546, rel. min. Moreira Alves, j. 11-3-1999, P, DJ de 14-4-2000.]</w:t>
      </w:r>
    </w:p>
    <w:p>
      <w:pPr>
        <w:ind w:left="288"/>
      </w:pPr>
      <w:r>
        <w:rPr>
          <w:color w:val="8C8C8C"/>
          <w:sz w:val="12"/>
        </w:rPr>
        <w:t>cf-art-61-par-1</w:t>
      </w:r>
      <w:r>
        <w:rPr>
          <w:color w:val="003CA0"/>
          <w:sz w:val="12"/>
        </w:rPr>
        <w:t xml:space="preserve"> | ADI 2.305</w:t>
      </w:r>
      <w:r>
        <w:rPr>
          <w:color w:val="003CA0"/>
          <w:sz w:val="12"/>
        </w:rPr>
        <w:t xml:space="preserve"> | rel. Cezar Peluso</w:t>
      </w:r>
    </w:p>
    <w:p>
      <w:pPr>
        <w:ind w:left="288"/>
      </w:pPr>
      <w:r>
        <w:rPr>
          <w:color w:val="1E1E1E"/>
          <w:sz w:val="18"/>
        </w:rPr>
        <w:t>= ADI 2.305, rel. min. Cezar Peluso, j. 30-6-2011, P, DJE de 5-8-2011</w:t>
      </w:r>
    </w:p>
    <w:p>
      <w:pPr>
        <w:ind w:left="144"/>
      </w:pPr>
      <w:r>
        <w:rPr>
          <w:b/>
          <w:color w:val="B45A00"/>
          <w:sz w:val="16"/>
        </w:rPr>
        <w:t>REPERCUSSAO GERAL</w:t>
      </w:r>
    </w:p>
    <w:p>
      <w:pPr>
        <w:ind w:left="288"/>
      </w:pPr>
      <w:r>
        <w:rPr>
          <w:color w:val="8C8C8C"/>
          <w:sz w:val="12"/>
        </w:rPr>
        <w:t>cf-art-61-par-1</w:t>
      </w:r>
      <w:r>
        <w:rPr>
          <w:color w:val="003CA0"/>
          <w:sz w:val="12"/>
        </w:rPr>
        <w:t xml:space="preserve"> | ARE 878.911</w:t>
      </w:r>
      <w:r>
        <w:rPr>
          <w:color w:val="003CA0"/>
          <w:sz w:val="12"/>
        </w:rPr>
        <w:t xml:space="preserve"> | rel. Gilmar Mendes</w:t>
      </w:r>
    </w:p>
    <w:p>
      <w:pPr>
        <w:ind w:left="288"/>
      </w:pPr>
      <w:r>
        <w:rPr>
          <w:color w:val="1E1E1E"/>
          <w:sz w:val="18"/>
        </w:rPr>
        <w:t xml:space="preserve">Não usurpa a competência privativa do chefe do Poder Executivo lei que, embora crie despesa para a administração pública, não trata da sua estrutura ou da atribuição de seus órgãos nem do regime jurídico de servidores públicos. </w:t>
        <w:br/>
        <w:t xml:space="preserve">[ARE 878.911 RG, rel. min. Gilmar Mendes, j. 29-9-2016, P, DJE de 11-10-2016, Tema 917, com mérito julgado.] A lei municipal em questão dispõe sobre as condições para a identificação, cadastramento e matrícula de alunos com necessidades educacionais especiais, incluindo a disponibilização de professor auxiliar e a fixação de prazo para a realização de laudo médico (60 </w:t>
      </w:r>
    </w:p>
    <w:p>
      <w:pPr>
        <w:ind w:left="288"/>
      </w:pPr>
      <w:r>
        <w:rPr>
          <w:b/>
          <w:color w:val="003CA0"/>
          <w:sz w:val="16"/>
        </w:rPr>
        <w:t>[RE 1.513.460, rel. min. Gilmar Mendes, j. 16-12-2025, P, DJE de 8-1-2026.]</w:t>
      </w:r>
    </w:p>
    <w:p>
      <w:pPr>
        <w:ind w:left="288"/>
      </w:pPr>
      <w:r>
        <w:rPr>
          <w:color w:val="8C8C8C"/>
          <w:sz w:val="12"/>
        </w:rPr>
        <w:t>cf-art-61-par-1</w:t>
      </w:r>
      <w:r>
        <w:rPr>
          <w:color w:val="003CA0"/>
          <w:sz w:val="12"/>
        </w:rPr>
        <w:t xml:space="preserve"> | RE 1.533.649</w:t>
      </w:r>
      <w:r>
        <w:rPr>
          <w:color w:val="003CA0"/>
          <w:sz w:val="12"/>
        </w:rPr>
        <w:t xml:space="preserve"> | rel. André Mendonça</w:t>
      </w:r>
    </w:p>
    <w:p>
      <w:pPr>
        <w:ind w:left="288"/>
      </w:pPr>
      <w:r>
        <w:rPr>
          <w:color w:val="1E1E1E"/>
          <w:sz w:val="18"/>
        </w:rPr>
        <w:t>“Não ofende a reserva de iniciativa do Chefe do Poder Executivo lei municipal de iniciativa parlamentar pela qual se estabelecem formas de publicidade institucional sobre aplicativo de saúde pública”.</w:t>
      </w:r>
    </w:p>
    <w:p>
      <w:pPr>
        <w:ind w:left="288"/>
      </w:pPr>
      <w:r>
        <w:rPr>
          <w:b/>
          <w:color w:val="003CA0"/>
          <w:sz w:val="16"/>
        </w:rPr>
        <w:t>[RE 1.533.649, rel. min. André Mendonça, j. 09.06.2025, P, DJE de 08.07.2025.]</w:t>
      </w:r>
    </w:p>
    <w:p>
      <w:pPr>
        <w:ind w:left="288"/>
      </w:pPr>
      <w:r>
        <w:rPr>
          <w:color w:val="8C8C8C"/>
          <w:sz w:val="12"/>
        </w:rPr>
        <w:t>cf-art-61-par-1</w:t>
      </w:r>
      <w:r>
        <w:rPr>
          <w:color w:val="003CA0"/>
          <w:sz w:val="12"/>
        </w:rPr>
        <w:t xml:space="preserve"> | RE 1.498.771</w:t>
      </w:r>
      <w:r>
        <w:rPr>
          <w:color w:val="003CA0"/>
          <w:sz w:val="12"/>
        </w:rPr>
        <w:t xml:space="preserve"> | rel. Gilmar Mendes</w:t>
      </w:r>
    </w:p>
    <w:p>
      <w:pPr>
        <w:ind w:left="288"/>
      </w:pPr>
      <w:r>
        <w:rPr>
          <w:color w:val="1E1E1E"/>
          <w:sz w:val="18"/>
        </w:rPr>
        <w:t>Lei Municipal de iniciativa parlamentar que determina a transmissão, ao vivo e via internet, das licitações do Poder Legislativo e Executivo do Município de Itapecerica da Serra. 3. Tema 917 da repercussão geral. Não usurpa competência privativa do Chefe do Poder Executivo lei que, embora crie despesa para a Administração, não trata da sua estrutura ou da atribuição de seus órgãos nem do regime jurídico de servidores públicos.</w:t>
      </w:r>
    </w:p>
    <w:p>
      <w:pPr>
        <w:ind w:left="288"/>
      </w:pPr>
      <w:r>
        <w:rPr>
          <w:b/>
          <w:color w:val="003CA0"/>
          <w:sz w:val="16"/>
        </w:rPr>
        <w:t>[RE 1.498.771, rel. min. Gilmar Mendes, j. 31.03.2025, P, DJE de 10.04.2025.]</w:t>
      </w:r>
    </w:p>
    <w:p>
      <w:pPr>
        <w:ind w:left="288"/>
      </w:pPr>
      <w:r>
        <w:rPr>
          <w:color w:val="8C8C8C"/>
          <w:sz w:val="12"/>
        </w:rPr>
        <w:t>cf-art-61-par-1</w:t>
      </w:r>
      <w:r>
        <w:rPr>
          <w:color w:val="003CA0"/>
          <w:sz w:val="12"/>
        </w:rPr>
        <w:t xml:space="preserve"> | RE 1.506.020</w:t>
      </w:r>
      <w:r>
        <w:rPr>
          <w:color w:val="003CA0"/>
          <w:sz w:val="12"/>
        </w:rPr>
        <w:t xml:space="preserve"> | rel. Gilmar Mendes</w:t>
      </w:r>
    </w:p>
    <w:p>
      <w:pPr>
        <w:ind w:left="288"/>
      </w:pPr>
      <w:r>
        <w:rPr>
          <w:color w:val="1E1E1E"/>
          <w:sz w:val="18"/>
        </w:rPr>
        <w:t>Lei municipal de iniciativa parlamentar que detalha a publicidade de informações sobre empreendimentos imobiliários não usurpa competência privativa do chefe do Poder Executivo se não interfere na estrutura administrativa, atribuições de órgãos ou regime jurídico de servidores públicos.</w:t>
      </w:r>
    </w:p>
    <w:p>
      <w:pPr>
        <w:ind w:left="288"/>
      </w:pPr>
      <w:r>
        <w:rPr>
          <w:b/>
          <w:color w:val="003CA0"/>
          <w:sz w:val="16"/>
        </w:rPr>
        <w:t>[RE 1.506.020, rel. min. Gilmar Mendes, j. 31.03.2025, P, DJE de 09.04.2025.]</w:t>
      </w:r>
    </w:p>
    <w:p>
      <w:pPr>
        <w:ind w:left="144"/>
      </w:pPr>
      <w:r>
        <w:rPr>
          <w:b/>
          <w:color w:val="B45A00"/>
          <w:sz w:val="16"/>
        </w:rPr>
        <w:t>JULGADOS CORRELATOS</w:t>
      </w:r>
    </w:p>
    <w:p>
      <w:pPr>
        <w:ind w:left="288"/>
      </w:pPr>
      <w:r>
        <w:rPr>
          <w:color w:val="8C8C8C"/>
          <w:sz w:val="12"/>
        </w:rPr>
        <w:t>cf-art-61-par-1</w:t>
      </w:r>
      <w:r>
        <w:rPr>
          <w:color w:val="003CA0"/>
          <w:sz w:val="12"/>
        </w:rPr>
        <w:t xml:space="preserve"> | RE 1.497.683</w:t>
      </w:r>
      <w:r>
        <w:rPr>
          <w:color w:val="003CA0"/>
          <w:sz w:val="12"/>
        </w:rPr>
        <w:t xml:space="preserve"> | rel. André Mendonça</w:t>
      </w:r>
    </w:p>
    <w:p>
      <w:pPr>
        <w:ind w:left="288"/>
      </w:pPr>
      <w:r>
        <w:rPr>
          <w:color w:val="1E1E1E"/>
          <w:sz w:val="18"/>
        </w:rPr>
        <w:t>Lei municipal nº 9.001, de 2023. Agendamento e cancelamento de consultas médicas, exames e procedimentos médicos. Tema nº 917 do ementário da repercussão geral. Atribuição de encargos para concretização do direito social à saúde. (...) Convém ressaltar que a interpretação relativa ao Tema RG nº 917 deve ser bem analisada. Com efeito, no julgamento do ARE nº 878.911/RJ (j. 29/09/2016, p. 11/10/2016), o Supremo Tribunal Federal fixou a seguinte tese: “Não usurpa competência privativa do Chefe do Poder Executivo lei que, embora crie despesa para a Administração, não trata da sua estrutura ou da a</w:t>
      </w:r>
    </w:p>
    <w:p>
      <w:pPr>
        <w:ind w:left="288"/>
      </w:pPr>
      <w:r>
        <w:rPr>
          <w:b/>
          <w:color w:val="003CA0"/>
          <w:sz w:val="16"/>
        </w:rPr>
        <w:t>[MS 22.690, rel. min. Celso de Mello, j. 17-4-1997, P, DJ de 7-12-2006.]</w:t>
      </w:r>
    </w:p>
    <w:p>
      <w:pPr>
        <w:ind w:left="144"/>
      </w:pPr>
      <w:r>
        <w:rPr>
          <w:b/>
          <w:color w:val="B45A00"/>
          <w:sz w:val="16"/>
        </w:rPr>
        <w:t>CONTROLE CONCENTRADO</w:t>
      </w:r>
    </w:p>
    <w:p>
      <w:pPr>
        <w:ind w:left="288"/>
      </w:pPr>
      <w:r>
        <w:rPr>
          <w:color w:val="8C8C8C"/>
          <w:sz w:val="12"/>
        </w:rPr>
        <w:t>cf-art-61-par-1-inc-II</w:t>
      </w:r>
      <w:r>
        <w:rPr>
          <w:color w:val="003CA0"/>
          <w:sz w:val="12"/>
        </w:rPr>
        <w:t xml:space="preserve"> | ADI 7.149</w:t>
      </w:r>
      <w:r>
        <w:rPr>
          <w:color w:val="003CA0"/>
          <w:sz w:val="12"/>
        </w:rPr>
        <w:t xml:space="preserve"> | rel. Ricardo Lewandowski</w:t>
      </w:r>
    </w:p>
    <w:p>
      <w:pPr>
        <w:ind w:left="288"/>
      </w:pPr>
      <w:r>
        <w:rPr>
          <w:color w:val="1E1E1E"/>
          <w:sz w:val="18"/>
        </w:rPr>
        <w:t>Lei 9.385/2021, do Estado do Rio de Janeiro, que inseriu o inciso XII no art. 19 da Lei 4.528/2005, para garantir a reserva de vagas em escola para irmãos que frequentem a mesma etapa ou ciclo escolar. (...) Ao garantir a reserva de vaga para irmãos, sem influenciar no funcionamento de órgãos, alterar o regime jurídico de servidores, estabelecer regramento procedimental sobre matrículas ou proibir o gestor de implementar estratégias por ele idealizadas, a norma editada pela Assembleia Legislativa do Estado do Rio de Janeiro não subtraiu do Chefe do Poder Executivo a iniciativa que lhe é reserv</w:t>
      </w:r>
    </w:p>
    <w:p>
      <w:pPr>
        <w:ind w:left="288"/>
      </w:pPr>
      <w:r>
        <w:rPr>
          <w:b/>
          <w:color w:val="003CA0"/>
          <w:sz w:val="16"/>
        </w:rPr>
        <w:t>[ADI 7.149, rel. min. Ricardo Lewandowski, j. 26-9-2022, P, DJE de 5-10-2022.]</w:t>
      </w:r>
    </w:p>
    <w:p>
      <w:pPr>
        <w:ind w:left="288"/>
      </w:pPr>
      <w:r>
        <w:rPr>
          <w:color w:val="8C8C8C"/>
          <w:sz w:val="12"/>
        </w:rPr>
        <w:t>cf-art-61-par-1-inc-II</w:t>
      </w:r>
      <w:r>
        <w:rPr>
          <w:color w:val="003CA0"/>
          <w:sz w:val="12"/>
        </w:rPr>
        <w:t xml:space="preserve"> | ADI 341</w:t>
      </w:r>
      <w:r>
        <w:rPr>
          <w:color w:val="003CA0"/>
          <w:sz w:val="12"/>
        </w:rPr>
        <w:t xml:space="preserve"> | rel. Eros Grau</w:t>
      </w:r>
    </w:p>
    <w:p>
      <w:pPr>
        <w:ind w:left="288"/>
      </w:pPr>
      <w:r>
        <w:rPr>
          <w:color w:val="1E1E1E"/>
          <w:sz w:val="18"/>
        </w:rPr>
        <w:t>Aplica-se aos Estados-membros o disposto no art. 61, § 1º, II, da Constituição do Brasil. Precedentes. Inviável o projeto de lei de iniciativa do Poder Legislativo que disponha a propósito [de] servidores públicos – "anistia" administrativa, nesta hipótese – implicando aumento de despesas para o Poder Executivo.</w:t>
      </w:r>
    </w:p>
    <w:p>
      <w:pPr>
        <w:ind w:left="288"/>
      </w:pPr>
      <w:r>
        <w:rPr>
          <w:b/>
          <w:color w:val="003CA0"/>
          <w:sz w:val="16"/>
        </w:rPr>
        <w:t>[ADI 341, rel. min. Eros Grau, j. 14-4-2010, P, DJE de 11-6-2010.]</w:t>
      </w:r>
    </w:p>
    <w:p>
      <w:pPr>
        <w:ind w:left="288"/>
      </w:pPr>
      <w:r>
        <w:rPr>
          <w:color w:val="8C8C8C"/>
          <w:sz w:val="12"/>
        </w:rPr>
        <w:t>cf-art-61-par-1-inc-II-ali-a</w:t>
      </w:r>
      <w:r>
        <w:rPr>
          <w:color w:val="003CA0"/>
          <w:sz w:val="12"/>
        </w:rPr>
        <w:t xml:space="preserve"> | ADI 4.354</w:t>
      </w:r>
      <w:r>
        <w:rPr>
          <w:color w:val="003CA0"/>
          <w:sz w:val="12"/>
        </w:rPr>
        <w:t xml:space="preserve"> | rel. Dias Toffoli</w:t>
      </w:r>
    </w:p>
    <w:p>
      <w:pPr>
        <w:ind w:left="288"/>
      </w:pPr>
      <w:r>
        <w:rPr>
          <w:color w:val="1E1E1E"/>
          <w:sz w:val="18"/>
        </w:rPr>
        <w:t>Inexistência de vício de iniciativa na proposição da Lei nº 12.030/09, haja vista tratar-se de norma geral direcionada aos peritos criminais de todo o Brasil. O diploma impugnado estabelece apenas normas relativas à organização, aos direitos e às garantias dos peritos criminais oficiais, não adentrando na matéria do art. 61, § 1º, inciso II, alíneas a ou c, da Constituição Federal.</w:t>
      </w:r>
    </w:p>
    <w:p>
      <w:pPr>
        <w:ind w:left="288"/>
      </w:pPr>
      <w:r>
        <w:rPr>
          <w:b/>
          <w:color w:val="003CA0"/>
          <w:sz w:val="16"/>
        </w:rPr>
        <w:t>[ADI 4.354, rel. min. Dias Toffoli, j. 07.11.2024, P, DJE de 28.02.2025.]</w:t>
      </w:r>
    </w:p>
    <w:p>
      <w:pPr>
        <w:ind w:left="288"/>
      </w:pPr>
      <w:r>
        <w:rPr>
          <w:color w:val="8C8C8C"/>
          <w:sz w:val="12"/>
        </w:rPr>
        <w:t>cf-art-61-par-1-inc-II-ali-a</w:t>
      </w:r>
      <w:r>
        <w:rPr>
          <w:color w:val="003CA0"/>
          <w:sz w:val="12"/>
        </w:rPr>
        <w:t xml:space="preserve"> | ADI 3.428</w:t>
      </w:r>
      <w:r>
        <w:rPr>
          <w:color w:val="003CA0"/>
          <w:sz w:val="12"/>
        </w:rPr>
        <w:t xml:space="preserve"> | rel. Luiz Fux</w:t>
      </w:r>
    </w:p>
    <w:p>
      <w:pPr>
        <w:ind w:left="288"/>
      </w:pPr>
      <w:r>
        <w:rPr>
          <w:color w:val="1E1E1E"/>
          <w:sz w:val="18"/>
        </w:rPr>
        <w:t>Criação do Conselho Federal e dos Conselhos Regionais de Educação Física e disciplina da eleição de seus membros efetivos e suplentes. Lei de iniciativa parlamentar. Inconstitucionalidade formal. Os conselhos de fiscalização profissional possuem natureza jurídica de autarquia federal, de forma que somente podem ser criados por lei de iniciativa do presidente da república (artigo 61, § 1º, II, a, da constituição federal).</w:t>
        <w:br/>
        <w:t>[ADI 3.428, rel. min. Luiz Fux, j. 1º-3-2023, P, DJE de 24-4-2023.] A educação a distância é modalidade educacional na qual a mediação didático-pedagógica ocorre com a utiliza</w:t>
      </w:r>
    </w:p>
    <w:p>
      <w:pPr>
        <w:ind w:left="288"/>
      </w:pPr>
      <w:r>
        <w:rPr>
          <w:b/>
          <w:color w:val="003CA0"/>
          <w:sz w:val="16"/>
        </w:rPr>
        <w:t>[ADI 5.004, rel. min. Alexandre de Moraes, j. 12-4-2018, P, DJE de 25-4-2018.]</w:t>
      </w:r>
    </w:p>
    <w:p>
      <w:pPr>
        <w:ind w:left="288"/>
      </w:pPr>
      <w:r>
        <w:rPr>
          <w:color w:val="8C8C8C"/>
          <w:sz w:val="12"/>
        </w:rPr>
        <w:t>cf-art-61-par-1-inc-II-ali-a</w:t>
      </w:r>
      <w:r>
        <w:rPr>
          <w:color w:val="003CA0"/>
          <w:sz w:val="12"/>
        </w:rPr>
        <w:t xml:space="preserve"> | ADI 290</w:t>
      </w:r>
      <w:r>
        <w:rPr>
          <w:color w:val="003CA0"/>
          <w:sz w:val="12"/>
        </w:rPr>
        <w:t xml:space="preserve"> | rel. Dias Toffoli</w:t>
      </w:r>
    </w:p>
    <w:p>
      <w:pPr>
        <w:ind w:left="288"/>
      </w:pPr>
      <w:r>
        <w:rPr>
          <w:color w:val="1E1E1E"/>
          <w:sz w:val="18"/>
        </w:rPr>
        <w:t>Inequívoco o vício de iniciativa da Lei estadual 1.117, de 30-3-1990, na medida em que estabelece normas para aplicação do salário mínimo profissional aos servidores estaduais. Incidência da regra de iniciativa legislativa exclusiva do chefe do Poder Executivo para dispor sobre remuneração dos cargos e funções do serviço público, em razão da cláusula de reserva prevista no art. 61, § 1º, II, a, da Carta Magna.</w:t>
      </w:r>
    </w:p>
    <w:p>
      <w:pPr>
        <w:ind w:left="288"/>
      </w:pPr>
      <w:r>
        <w:rPr>
          <w:b/>
          <w:color w:val="003CA0"/>
          <w:sz w:val="16"/>
        </w:rPr>
        <w:t>[ADI 290, rel. min. Dias Toffoli, j. 19-2-2014, P, DJE de 12-6-2014.]</w:t>
      </w:r>
    </w:p>
    <w:p>
      <w:pPr>
        <w:ind w:left="288"/>
      </w:pPr>
      <w:r>
        <w:rPr>
          <w:color w:val="8C8C8C"/>
          <w:sz w:val="12"/>
        </w:rPr>
        <w:t>cf-art-61-par-1-inc-II-ali-a</w:t>
      </w:r>
      <w:r>
        <w:rPr>
          <w:color w:val="003CA0"/>
          <w:sz w:val="12"/>
        </w:rPr>
        <w:t xml:space="preserve"> | ADI 4.759</w:t>
      </w:r>
      <w:r>
        <w:rPr>
          <w:color w:val="003CA0"/>
          <w:sz w:val="12"/>
        </w:rPr>
        <w:t xml:space="preserve"> | rel. Marco Aurélio</w:t>
      </w:r>
    </w:p>
    <w:p>
      <w:pPr>
        <w:ind w:left="288"/>
      </w:pPr>
      <w:r>
        <w:rPr>
          <w:color w:val="1E1E1E"/>
          <w:sz w:val="18"/>
        </w:rPr>
        <w:t>Em se tratando de servidor cedido pelo Executivo, a este cabe a iniciativa de lei a alcançar a respectiva remuneração.</w:t>
      </w:r>
    </w:p>
    <w:p>
      <w:pPr>
        <w:ind w:left="288"/>
      </w:pPr>
      <w:r>
        <w:rPr>
          <w:b/>
          <w:color w:val="003CA0"/>
          <w:sz w:val="16"/>
        </w:rPr>
        <w:t>[ADI 4.759 MC, rel. min. Marco Aurélio, j. 5-2-2014, P, DJE de 1º-8-2014.]</w:t>
      </w:r>
    </w:p>
    <w:p>
      <w:pPr>
        <w:ind w:left="288"/>
      </w:pPr>
      <w:r>
        <w:rPr>
          <w:color w:val="8C8C8C"/>
          <w:sz w:val="12"/>
        </w:rPr>
        <w:t>cf-art-61-par-1-inc-II-ali-a</w:t>
      </w:r>
      <w:r>
        <w:rPr>
          <w:color w:val="003CA0"/>
          <w:sz w:val="12"/>
        </w:rPr>
        <w:t xml:space="preserve"> | ADI 1.521</w:t>
      </w:r>
      <w:r>
        <w:rPr>
          <w:color w:val="003CA0"/>
          <w:sz w:val="12"/>
        </w:rPr>
        <w:t xml:space="preserve"> | rel. Ricardo Lewandowski</w:t>
      </w:r>
    </w:p>
    <w:p>
      <w:pPr>
        <w:ind w:left="288"/>
      </w:pPr>
      <w:r>
        <w:rPr>
          <w:color w:val="1E1E1E"/>
          <w:sz w:val="18"/>
        </w:rPr>
        <w:t>A extinção de cargos públicos, sejam eles efetivos ou em comissão, pressupõe lei específica, dispondo quantos e quais cargos serão extintos, não podendo ocorrer por meio de norma genérica inserida na Constituição. Incabível, por emenda constitucional, nos Estados-membros, que o Poder Legislativo disponha sobre espécie reservada à iniciativa privativa dos demais Poderes da República, sob pena de afronta ao art. 61 da Lei Maior.</w:t>
      </w:r>
    </w:p>
    <w:p>
      <w:pPr>
        <w:ind w:left="288"/>
      </w:pPr>
      <w:r>
        <w:rPr>
          <w:b/>
          <w:color w:val="003CA0"/>
          <w:sz w:val="16"/>
        </w:rPr>
        <w:t>[ADI 1.521, rel. min. Ricardo Lewandowski, j. 19-6-2013, P, DJE de 13-8-2013.]</w:t>
      </w:r>
    </w:p>
    <w:p>
      <w:pPr>
        <w:ind w:left="288"/>
      </w:pPr>
      <w:r>
        <w:rPr>
          <w:color w:val="8C8C8C"/>
          <w:sz w:val="12"/>
        </w:rPr>
        <w:t>cf-art-61-par-1-inc-II-ali-a</w:t>
      </w:r>
      <w:r>
        <w:rPr>
          <w:color w:val="003CA0"/>
          <w:sz w:val="12"/>
        </w:rPr>
        <w:t xml:space="preserve"> | ADI 3.555</w:t>
      </w:r>
      <w:r>
        <w:rPr>
          <w:color w:val="003CA0"/>
          <w:sz w:val="12"/>
        </w:rPr>
        <w:t xml:space="preserve"> | rel. Cezar Peluso</w:t>
      </w:r>
    </w:p>
    <w:p>
      <w:pPr>
        <w:ind w:left="288"/>
      </w:pPr>
      <w:r>
        <w:rPr>
          <w:color w:val="1E1E1E"/>
          <w:sz w:val="18"/>
        </w:rPr>
        <w:t>É inconstitucional a norma de Constituição do Estado-membro que disponha sobre valor da remuneração de servidores policiais militares.</w:t>
      </w:r>
    </w:p>
    <w:p>
      <w:pPr>
        <w:ind w:left="288"/>
      </w:pPr>
      <w:r>
        <w:rPr>
          <w:b/>
          <w:color w:val="003CA0"/>
          <w:sz w:val="16"/>
        </w:rPr>
        <w:t>[ADI 3.555, rel. min. Cezar Peluso, j. 4-3-2009, P, DJE de 8-5-2009.]</w:t>
      </w:r>
    </w:p>
    <w:p>
      <w:pPr>
        <w:ind w:left="288"/>
      </w:pPr>
      <w:r>
        <w:rPr>
          <w:color w:val="8C8C8C"/>
          <w:sz w:val="12"/>
        </w:rPr>
        <w:t>cf-art-61-par-1-inc-II-ali-a</w:t>
      </w:r>
      <w:r>
        <w:rPr>
          <w:color w:val="003CA0"/>
          <w:sz w:val="12"/>
        </w:rPr>
        <w:t xml:space="preserve"> | ADI 3.232</w:t>
      </w:r>
      <w:r>
        <w:rPr>
          <w:color w:val="003CA0"/>
          <w:sz w:val="12"/>
        </w:rPr>
        <w:t xml:space="preserve"> | rel. Cezar Peluso</w:t>
      </w:r>
    </w:p>
    <w:p>
      <w:pPr>
        <w:ind w:left="288"/>
      </w:pPr>
      <w:r>
        <w:rPr>
          <w:color w:val="1E1E1E"/>
          <w:sz w:val="18"/>
        </w:rPr>
        <w:t>São inconstitucionais a lei que autorize o chefe do Poder Executivo a dispor, mediante decreto, sobre criação de cargos públicos remunerados, bem como os decretos que lhe deem execução.</w:t>
      </w:r>
    </w:p>
    <w:p>
      <w:pPr>
        <w:ind w:left="288"/>
      </w:pPr>
      <w:r>
        <w:rPr>
          <w:b/>
          <w:color w:val="003CA0"/>
          <w:sz w:val="16"/>
        </w:rPr>
        <w:t>[ADI 3.232, rel. min. Cezar Peluso, j. 14-8-2008, P, DJE de 3-10-2008.]</w:t>
      </w:r>
    </w:p>
    <w:p>
      <w:pPr>
        <w:ind w:left="288"/>
      </w:pPr>
      <w:r>
        <w:rPr>
          <w:color w:val="8C8C8C"/>
          <w:sz w:val="12"/>
        </w:rPr>
        <w:t>cf-art-61-par-1-inc-II-ali-a</w:t>
      </w:r>
      <w:r>
        <w:rPr>
          <w:color w:val="003CA0"/>
          <w:sz w:val="12"/>
        </w:rPr>
        <w:t xml:space="preserve"> | ADI 4.125</w:t>
      </w:r>
      <w:r>
        <w:rPr>
          <w:color w:val="003CA0"/>
          <w:sz w:val="12"/>
        </w:rPr>
        <w:t xml:space="preserve"> | rel. Cármen Lúcia</w:t>
      </w:r>
    </w:p>
    <w:p>
      <w:pPr>
        <w:ind w:left="288"/>
      </w:pPr>
      <w:r>
        <w:rPr>
          <w:color w:val="1E1E1E"/>
          <w:sz w:val="18"/>
        </w:rPr>
        <w:t>= ADI 4.125, rel. min. Cármen Lúcia, j. 10-6-2010, P, DJE de 15-2-2011 Lei estadual que dispõe sobre a situação funcional de servidores públicos: iniciativa do chefe do Poder Executivo (art. 61, § 1º, II, a e c, CR/1988). Princípio da simetria.</w:t>
      </w:r>
    </w:p>
    <w:p>
      <w:pPr>
        <w:ind w:left="288"/>
      </w:pPr>
      <w:r>
        <w:rPr>
          <w:b/>
          <w:color w:val="003CA0"/>
          <w:sz w:val="16"/>
        </w:rPr>
        <w:t>[ADI 2.029, rel. min. Ricardo Lewandowski, j. 4-6-2007, P, DJ de 24-8-2007.]</w:t>
      </w:r>
    </w:p>
    <w:p>
      <w:pPr>
        <w:ind w:left="288"/>
      </w:pPr>
      <w:r>
        <w:rPr>
          <w:color w:val="8C8C8C"/>
          <w:sz w:val="12"/>
        </w:rPr>
        <w:t>cf-art-61-par-1-inc-II-ali-a</w:t>
      </w:r>
      <w:r>
        <w:rPr>
          <w:color w:val="003CA0"/>
          <w:sz w:val="12"/>
        </w:rPr>
        <w:t xml:space="preserve"> | ADI 3.791</w:t>
      </w:r>
      <w:r>
        <w:rPr>
          <w:color w:val="003CA0"/>
          <w:sz w:val="12"/>
        </w:rPr>
        <w:t xml:space="preserve"> | rel. Ayres Britto</w:t>
      </w:r>
    </w:p>
    <w:p>
      <w:pPr>
        <w:ind w:left="288"/>
      </w:pPr>
      <w:r>
        <w:rPr>
          <w:color w:val="1E1E1E"/>
          <w:sz w:val="18"/>
        </w:rPr>
        <w:t xml:space="preserve">= ADI 3.791, rel. min. Ayres Britto, j. 16-6-2010, P, DJE de 27-8-2010 Poder constituinte estadual. Autonomia (ADCT, art. 11). Restrições jurisprudenciais inaplicáveis ao caso. É da jurisprudência assente do Supremo Tribunal que afronta o princípio fundamental da separação e independência dos Poderes o trato em constituições estaduais de matéria, sem caráter essencialmente constitucional – assim, por exemplo, a relativa à fixação de vencimentos ou à concessão de vantagens específicas a servidores públicos –, que caracterize fraude à iniciativa reservada ao Poder Executivo de leis ordinárias a </w:t>
      </w:r>
    </w:p>
    <w:p>
      <w:pPr>
        <w:ind w:left="288"/>
      </w:pPr>
      <w:r>
        <w:rPr>
          <w:b/>
          <w:color w:val="003CA0"/>
          <w:sz w:val="16"/>
        </w:rPr>
        <w:t>[ADI 104, rel. min. Sepúlveda Pertence, j. 4-6-2007, P, DJ de 24-8-2007.]</w:t>
      </w:r>
    </w:p>
    <w:p>
      <w:pPr>
        <w:ind w:left="288"/>
      </w:pPr>
      <w:r>
        <w:rPr>
          <w:color w:val="8C8C8C"/>
          <w:sz w:val="12"/>
        </w:rPr>
        <w:t>cf-art-61-par-1-inc-II-ali-a</w:t>
      </w:r>
      <w:r>
        <w:rPr>
          <w:color w:val="003CA0"/>
          <w:sz w:val="12"/>
        </w:rPr>
        <w:t xml:space="preserve"> | ADI 3.599</w:t>
      </w:r>
      <w:r>
        <w:rPr>
          <w:color w:val="003CA0"/>
          <w:sz w:val="12"/>
        </w:rPr>
        <w:t xml:space="preserve"> | rel. Gilmar Mendes</w:t>
      </w:r>
    </w:p>
    <w:p>
      <w:pPr>
        <w:ind w:left="288"/>
      </w:pPr>
      <w:r>
        <w:rPr>
          <w:color w:val="1E1E1E"/>
          <w:sz w:val="18"/>
        </w:rPr>
        <w:t>Leis federais 11.169/2005 e 11.170/2005, que alteram a remuneração dos servidores públicos integrantes dos Quadros de Pessoal da Câmara dos Deputados e do Senado Federal. (...) Não configurada a alegada usurpação de iniciativa privativa do presidente da República, tendo em vista que as normas impugnadas não pretenderam a revisão geral anual de remuneração dos servidores públicos. Distinção entre reajuste setorial de servidores públicos e revisão geral anual da remuneração dos servidores públicos: necessidade de lei específica para ambas as situações.</w:t>
      </w:r>
    </w:p>
    <w:p>
      <w:pPr>
        <w:ind w:left="288"/>
      </w:pPr>
      <w:r>
        <w:rPr>
          <w:b/>
          <w:color w:val="003CA0"/>
          <w:sz w:val="16"/>
        </w:rPr>
        <w:t>[ADI 3.599, rel. min. Gilmar Mendes, j. 21-5-2007, P, DJ de 14-9-2007.]</w:t>
      </w:r>
    </w:p>
    <w:p>
      <w:pPr>
        <w:ind w:left="288"/>
      </w:pPr>
      <w:r>
        <w:rPr>
          <w:color w:val="8C8C8C"/>
          <w:sz w:val="12"/>
        </w:rPr>
        <w:t>cf-art-61-par-1-inc-II-ali-a</w:t>
      </w:r>
      <w:r>
        <w:rPr>
          <w:color w:val="003CA0"/>
          <w:sz w:val="12"/>
        </w:rPr>
        <w:t xml:space="preserve"> | ADI 3.061</w:t>
      </w:r>
      <w:r>
        <w:rPr>
          <w:color w:val="003CA0"/>
          <w:sz w:val="12"/>
        </w:rPr>
        <w:t xml:space="preserve"> | rel. Ayres Britto</w:t>
      </w:r>
    </w:p>
    <w:p>
      <w:pPr>
        <w:ind w:left="288"/>
      </w:pPr>
      <w:r>
        <w:rPr>
          <w:color w:val="1E1E1E"/>
          <w:sz w:val="18"/>
        </w:rPr>
        <w:t>O § 1º do art. 61 da Lei Republicana confere ao chefe do Poder Executivo a privativa competência para iniciar os processos de elaboração de diplomas legislativos que disponham sobre a criação de cargos, funções ou empregos públicos na administração direta e autárquica, o aumento da respectiva remuneração, bem como os referentes a servidores públicos da União e dos Territórios, seu regime jurídico, provimento de cargos, estabilidade e aposentadoria (alíneas a e c do inciso II do art. 61). Insistindo nessa linha de opção política, a mesma Lei Maior de 1988 habilitou os presidentes do STF, dos tr</w:t>
      </w:r>
    </w:p>
    <w:p>
      <w:pPr>
        <w:ind w:left="288"/>
      </w:pPr>
      <w:r>
        <w:rPr>
          <w:b/>
          <w:color w:val="003CA0"/>
          <w:sz w:val="16"/>
        </w:rPr>
        <w:t>[ADI 3.061, rel. min. Ayres Britto, j. 5-4-2006, P, DJ de 9-6-2006.]</w:t>
      </w:r>
    </w:p>
    <w:p>
      <w:pPr>
        <w:ind w:left="288"/>
      </w:pPr>
      <w:r>
        <w:rPr>
          <w:color w:val="8C8C8C"/>
          <w:sz w:val="12"/>
        </w:rPr>
        <w:t>cf-art-61-par-1-inc-II-ali-a</w:t>
      </w:r>
      <w:r>
        <w:rPr>
          <w:color w:val="003CA0"/>
          <w:sz w:val="12"/>
        </w:rPr>
        <w:t xml:space="preserve"> | ADI 1.521</w:t>
      </w:r>
      <w:r>
        <w:rPr>
          <w:color w:val="003CA0"/>
          <w:sz w:val="12"/>
        </w:rPr>
        <w:t xml:space="preserve"> | rel. Ricardo Lewandowski</w:t>
      </w:r>
    </w:p>
    <w:p>
      <w:pPr>
        <w:ind w:left="288"/>
      </w:pPr>
      <w:r>
        <w:rPr>
          <w:color w:val="1E1E1E"/>
          <w:sz w:val="18"/>
        </w:rPr>
        <w:t>= ADI 1.521, rel. min. Ricardo Lewandowski, j. 19-6-2013, P, DJE de 13-8-2013 A fixação de data para o pagamento dos vencimentos dos servidores estaduais e a previsão de correção monetária em caso de atraso não constituem aumento de remuneração ou concessão de vantagem.</w:t>
      </w:r>
    </w:p>
    <w:p>
      <w:pPr>
        <w:ind w:left="288"/>
      </w:pPr>
      <w:r>
        <w:rPr>
          <w:b/>
          <w:color w:val="003CA0"/>
          <w:sz w:val="16"/>
        </w:rPr>
        <w:t>[ADI 559, rel. min. Eros Grau, j. 15-2-2006, P, DJ de 5-5-2006.]</w:t>
      </w:r>
    </w:p>
    <w:p>
      <w:pPr>
        <w:ind w:left="288"/>
      </w:pPr>
      <w:r>
        <w:rPr>
          <w:color w:val="8C8C8C"/>
          <w:sz w:val="12"/>
        </w:rPr>
        <w:t>cf-art-61-par-1-inc-II-ali-a</w:t>
      </w:r>
      <w:r>
        <w:rPr>
          <w:color w:val="003CA0"/>
          <w:sz w:val="12"/>
        </w:rPr>
        <w:t xml:space="preserve"> | ADI 2.079</w:t>
      </w:r>
      <w:r>
        <w:rPr>
          <w:color w:val="003CA0"/>
          <w:sz w:val="12"/>
        </w:rPr>
        <w:t xml:space="preserve"> | rel. Maurício Corrêa</w:t>
      </w:r>
    </w:p>
    <w:p>
      <w:pPr>
        <w:ind w:left="288"/>
      </w:pPr>
      <w:r>
        <w:rPr>
          <w:color w:val="1E1E1E"/>
          <w:sz w:val="18"/>
        </w:rPr>
        <w:t>Incorre em vício de inconstitucionalidade formal (CF, arts. 61, § 1º, II, a e c, e 63, I) a norma jurídica decorrente de emenda parlamentar em projeto de lei de iniciativa reservada ao chefe do Poder Executivo de que resulte aumento de despesa. Parâmetro de observância cogente pelos Estados da Federação, à luz do princípio da simetria.</w:t>
      </w:r>
    </w:p>
    <w:p>
      <w:pPr>
        <w:ind w:left="288"/>
      </w:pPr>
      <w:r>
        <w:rPr>
          <w:b/>
          <w:color w:val="003CA0"/>
          <w:sz w:val="16"/>
        </w:rPr>
        <w:t>[ADI 2.079, rel. min. Maurício Corrêa, j. 29-4-2004, P, DJ de 18-6-2004.]</w:t>
      </w:r>
    </w:p>
    <w:p>
      <w:pPr>
        <w:ind w:left="288"/>
      </w:pPr>
      <w:r>
        <w:rPr>
          <w:color w:val="8C8C8C"/>
          <w:sz w:val="12"/>
        </w:rPr>
        <w:t>cf-art-61-par-1-inc-II-ali-a</w:t>
      </w:r>
      <w:r>
        <w:rPr>
          <w:color w:val="003CA0"/>
          <w:sz w:val="12"/>
        </w:rPr>
        <w:t xml:space="preserve"> | RE 745.811</w:t>
      </w:r>
      <w:r>
        <w:rPr>
          <w:color w:val="003CA0"/>
          <w:sz w:val="12"/>
        </w:rPr>
        <w:t xml:space="preserve"> | rel. Gilmar Mendes</w:t>
      </w:r>
    </w:p>
    <w:p>
      <w:pPr>
        <w:ind w:left="288"/>
      </w:pPr>
      <w:r>
        <w:rPr>
          <w:color w:val="1E1E1E"/>
          <w:sz w:val="18"/>
        </w:rPr>
        <w:t>= RE 745.811 RG, rel. min. Gilmar Mendes, j. 17-10-2013, P, DJE de 6-11-2013, Tema 686 O tema concernente à disciplina jurídica da remuneração funcional submete-se ao postulado constitucional da reserva absoluta de lei, vedando-se, em consequência, a intervenção de outros atos estatais revestidos de menor positividade jurídica, emanados de fontes normativas que se revelem estranhas, quanto à sua origem institucional, ao âmbito de atuação do Poder Legislativo, notadamente quando se tratar de imposições restritivas ou de fixação de limitações quantitativas ao estipêndio devido aos agentes públic</w:t>
      </w:r>
    </w:p>
    <w:p>
      <w:pPr>
        <w:ind w:left="288"/>
      </w:pPr>
      <w:r>
        <w:rPr>
          <w:b/>
          <w:color w:val="003CA0"/>
          <w:sz w:val="16"/>
        </w:rPr>
        <w:t>[ADI 2.075 MC, rel. min. Celso de Mello, j. 7-2-2001, P, DJ de 27-6-2003.]</w:t>
      </w:r>
    </w:p>
    <w:p>
      <w:pPr>
        <w:ind w:left="144"/>
      </w:pPr>
      <w:r>
        <w:rPr>
          <w:b/>
          <w:color w:val="B45A00"/>
          <w:sz w:val="16"/>
        </w:rPr>
        <w:t>REPERCUSSAO GERAL</w:t>
      </w:r>
    </w:p>
    <w:p>
      <w:pPr>
        <w:ind w:left="288"/>
      </w:pPr>
      <w:r>
        <w:rPr>
          <w:color w:val="8C8C8C"/>
          <w:sz w:val="12"/>
        </w:rPr>
        <w:t>cf-art-61-par-1-inc-II-ali-a</w:t>
      </w:r>
      <w:r>
        <w:rPr>
          <w:color w:val="003CA0"/>
          <w:sz w:val="12"/>
        </w:rPr>
        <w:t xml:space="preserve"> | RE 590.829</w:t>
      </w:r>
      <w:r>
        <w:rPr>
          <w:color w:val="003CA0"/>
          <w:sz w:val="12"/>
        </w:rPr>
        <w:t xml:space="preserve"> | rel. Marco Aurélio</w:t>
      </w:r>
    </w:p>
    <w:p>
      <w:pPr>
        <w:ind w:left="288"/>
      </w:pPr>
      <w:r>
        <w:rPr>
          <w:color w:val="1E1E1E"/>
          <w:sz w:val="18"/>
        </w:rPr>
        <w:t>Descabe, em lei orgânica de Município, a normatização de direitos dos servidores, porquanto a prática acaba por afrontar a iniciativa do chefe do Poder Executivo.</w:t>
        <w:br/>
        <w:t xml:space="preserve">[RE 590.829, rel. min. Marco Aurélio, j. 5-3-2015, P, DJE de 30-3-2015, Tema 223, com mérito julgado.] Dispositivos resultantes de emenda parlamentar que estenderam gratificação, inicialmente prevista apenas para os professores, a todos os servidores que atuem na área de educação especial. Inconstitucionalidade formal. Arts. 2º e 63, I, da CF. </w:t>
        <w:br/>
        <w:t>[RE 745.811 RG, rel. min. Gilmar Mendes, j. 17-10-2013, P, DJE de 6-11-2013, Tema 686, com</w:t>
      </w:r>
    </w:p>
    <w:p>
      <w:pPr>
        <w:ind w:left="144"/>
      </w:pPr>
      <w:r>
        <w:rPr>
          <w:b/>
          <w:color w:val="B45A00"/>
          <w:sz w:val="16"/>
        </w:rPr>
        <w:t>JULGADOS CORRELATOS</w:t>
      </w:r>
    </w:p>
    <w:p>
      <w:pPr>
        <w:ind w:left="288"/>
      </w:pPr>
      <w:r>
        <w:rPr>
          <w:color w:val="8C8C8C"/>
          <w:sz w:val="12"/>
        </w:rPr>
        <w:t>cf-art-61-par-1-inc-II-ali-a</w:t>
      </w:r>
      <w:r>
        <w:rPr>
          <w:color w:val="003CA0"/>
          <w:sz w:val="12"/>
        </w:rPr>
        <w:t xml:space="preserve"> | RE 240.735</w:t>
      </w:r>
      <w:r>
        <w:rPr>
          <w:color w:val="003CA0"/>
          <w:sz w:val="12"/>
        </w:rPr>
        <w:t xml:space="preserve"> | rel. Eros Grau</w:t>
      </w:r>
    </w:p>
    <w:p>
      <w:pPr>
        <w:ind w:left="288"/>
      </w:pPr>
      <w:r>
        <w:rPr>
          <w:color w:val="1E1E1E"/>
          <w:sz w:val="18"/>
        </w:rPr>
        <w:t>Os cargos públicos apenas podem ser criados e extintos por lei de iniciativa do presidente da República. A declaração de desnecessidade sem amparo legal não é hábil a extingui-los.</w:t>
      </w:r>
    </w:p>
    <w:p>
      <w:pPr>
        <w:ind w:left="288"/>
      </w:pPr>
      <w:r>
        <w:rPr>
          <w:b/>
          <w:color w:val="003CA0"/>
          <w:sz w:val="16"/>
        </w:rPr>
        <w:t>[RE 240.735 AgR, rel. min. Eros Grau, j. 28-3-2006, 2ª T, DJ de 5-5-2006.]</w:t>
      </w:r>
    </w:p>
    <w:p>
      <w:pPr>
        <w:ind w:left="144"/>
      </w:pPr>
      <w:r>
        <w:rPr>
          <w:b/>
          <w:color w:val="B45A00"/>
          <w:sz w:val="16"/>
        </w:rPr>
        <w:t>CONTROLE CONCENTRADO</w:t>
      </w:r>
    </w:p>
    <w:p>
      <w:pPr>
        <w:ind w:left="288"/>
      </w:pPr>
      <w:r>
        <w:rPr>
          <w:color w:val="8C8C8C"/>
          <w:sz w:val="12"/>
        </w:rPr>
        <w:t>cf-art-61-par-1-inc-II-ali-b</w:t>
      </w:r>
      <w:r>
        <w:rPr>
          <w:color w:val="003CA0"/>
          <w:sz w:val="12"/>
        </w:rPr>
        <w:t xml:space="preserve"> | ADI 2.447</w:t>
      </w:r>
      <w:r>
        <w:rPr>
          <w:color w:val="003CA0"/>
          <w:sz w:val="12"/>
        </w:rPr>
        <w:t xml:space="preserve"> | rel. Joaquim Barbosa</w:t>
      </w:r>
    </w:p>
    <w:p>
      <w:pPr>
        <w:ind w:left="288"/>
      </w:pPr>
      <w:r>
        <w:rPr>
          <w:color w:val="1E1E1E"/>
          <w:sz w:val="18"/>
        </w:rPr>
        <w:t>A reserva de lei de iniciativa do chefe do Executivo, prevista no art. 61, § 1º, II, b, da Constituição, somente se aplica aos Territórios federais.</w:t>
      </w:r>
    </w:p>
    <w:p>
      <w:pPr>
        <w:ind w:left="288"/>
      </w:pPr>
      <w:r>
        <w:rPr>
          <w:b/>
          <w:color w:val="003CA0"/>
          <w:sz w:val="16"/>
        </w:rPr>
        <w:t>[ADI 2.447, rel. min. Joaquim Barbosa, j. 4-3-2009, P, DJE de 4-12-2009.]</w:t>
      </w:r>
    </w:p>
    <w:p>
      <w:pPr>
        <w:ind w:left="288"/>
      </w:pPr>
      <w:r>
        <w:rPr>
          <w:color w:val="8C8C8C"/>
          <w:sz w:val="12"/>
        </w:rPr>
        <w:t>cf-art-61-par-1-inc-II-ali-b</w:t>
      </w:r>
      <w:r>
        <w:rPr>
          <w:color w:val="003CA0"/>
          <w:sz w:val="12"/>
        </w:rPr>
        <w:t xml:space="preserve"> | ADI 2.464</w:t>
      </w:r>
      <w:r>
        <w:rPr>
          <w:color w:val="003CA0"/>
          <w:sz w:val="12"/>
        </w:rPr>
        <w:t xml:space="preserve"> | rel. Ellen Gracie</w:t>
      </w:r>
    </w:p>
    <w:p>
      <w:pPr>
        <w:ind w:left="288"/>
      </w:pPr>
      <w:r>
        <w:rPr>
          <w:color w:val="1E1E1E"/>
          <w:sz w:val="18"/>
        </w:rPr>
        <w:t>Não ofende o art. 61, § 1º, II, b, da CF lei oriunda de projeto elaborado na assembleia legislativa estadual que trate sobre matéria tributária, uma vez que a aplicação deste dispositivo está circunscrita às iniciativas privativas do chefe do Poder Executivo Federal na órbita exclusiva dos Territórios federais.</w:t>
      </w:r>
    </w:p>
    <w:p>
      <w:pPr>
        <w:ind w:left="288"/>
      </w:pPr>
      <w:r>
        <w:rPr>
          <w:b/>
          <w:color w:val="003CA0"/>
          <w:sz w:val="16"/>
        </w:rPr>
        <w:t>[ADI 2.464, rel. min. Ellen Gracie, j. 11-4-2007, P, DJ de 25-5-2007.]</w:t>
      </w:r>
    </w:p>
    <w:p>
      <w:pPr>
        <w:ind w:left="288"/>
      </w:pPr>
      <w:r>
        <w:rPr>
          <w:color w:val="8C8C8C"/>
          <w:sz w:val="12"/>
        </w:rPr>
        <w:t>cf-art-61-par-1-inc-II-ali-b</w:t>
      </w:r>
      <w:r>
        <w:rPr>
          <w:color w:val="003CA0"/>
          <w:sz w:val="12"/>
        </w:rPr>
        <w:t xml:space="preserve"> | RE 601.348</w:t>
      </w:r>
      <w:r>
        <w:rPr>
          <w:color w:val="003CA0"/>
          <w:sz w:val="12"/>
        </w:rPr>
        <w:t xml:space="preserve"> | rel. Ricardo Lewandowski</w:t>
      </w:r>
    </w:p>
    <w:p>
      <w:pPr>
        <w:ind w:left="288"/>
      </w:pPr>
      <w:r>
        <w:rPr>
          <w:color w:val="1E1E1E"/>
          <w:sz w:val="18"/>
        </w:rPr>
        <w:t>= RE 601.348 ED, rel. min. Ricardo Lewandowski, j. 22-11-2011, 2ª T, DJE de 7-12-2011 Vide ADI 3.205, rel. min. Sepúlveda Pertence, j. 19-10-2006, P, DJ de 17-11-2006 Por tratar-se de evidente matéria de organização administrativa, a iniciativa do processo legislativo está reservada ao chefe do Poder Executivo local. Os Estados-membros e o Distrito Federal devem obediência às regras de iniciativa legislativa reservada, fixadas constitucionalmente, sob pena de violação do modelo de harmônica tripartição de poderes, consagrado pelo constituinte originário.</w:t>
      </w:r>
    </w:p>
    <w:p>
      <w:pPr>
        <w:ind w:left="288"/>
      </w:pPr>
      <w:r>
        <w:rPr>
          <w:b/>
          <w:color w:val="003CA0"/>
          <w:sz w:val="16"/>
        </w:rPr>
        <w:t>[ADI 1.182, rel. min. Eros Grau, j. 24-11-2005, P, DJ de 10-3-2006.]</w:t>
      </w:r>
    </w:p>
    <w:p>
      <w:pPr>
        <w:ind w:left="288"/>
      </w:pPr>
      <w:r>
        <w:rPr>
          <w:color w:val="8C8C8C"/>
          <w:sz w:val="12"/>
        </w:rPr>
        <w:t>cf-art-61-par-1-inc-II-ali-b</w:t>
      </w:r>
      <w:r>
        <w:rPr>
          <w:color w:val="003CA0"/>
          <w:sz w:val="12"/>
        </w:rPr>
        <w:t xml:space="preserve"> | RE 508.827</w:t>
      </w:r>
      <w:r>
        <w:rPr>
          <w:color w:val="003CA0"/>
          <w:sz w:val="12"/>
        </w:rPr>
        <w:t xml:space="preserve"> | rel. Cármen Lúcia</w:t>
      </w:r>
    </w:p>
    <w:p>
      <w:pPr>
        <w:ind w:left="288"/>
      </w:pPr>
      <w:r>
        <w:rPr>
          <w:color w:val="1E1E1E"/>
          <w:sz w:val="18"/>
        </w:rPr>
        <w:t>= RE 508.827 AgR, rel. min. Cármen Lúcia, j. 25-9-2012, 2ª T, DJE de 19-10-2012 A Constituição de 1988 admite a iniciativa parlamentar na instauração do processo legislativo em tema de direito tributário. A iniciativa reservada, por constituir matéria de direito estrito, não se presume e nem comporta interpretação ampliativa, na medida em que, por implicar limitação ao poder de instauração do processo legislativo, deve necessariamente derivar de norma constitucional explícita e inequívoca. O ato de legislar sobre direito tributário, ainda que para conceder benefícios jurídicos de ordem fiscal,</w:t>
      </w:r>
    </w:p>
    <w:p>
      <w:pPr>
        <w:ind w:left="288"/>
      </w:pPr>
      <w:r>
        <w:rPr>
          <w:b/>
          <w:color w:val="003CA0"/>
          <w:sz w:val="16"/>
        </w:rPr>
        <w:t>[ADI 724 MC, rel. min. Celso de Mello, j. 7-5-1992, P, DJ de 27-4-2001.]</w:t>
      </w:r>
    </w:p>
    <w:p>
      <w:pPr>
        <w:ind w:left="288"/>
      </w:pPr>
      <w:r>
        <w:rPr>
          <w:color w:val="8C8C8C"/>
          <w:sz w:val="12"/>
        </w:rPr>
        <w:t>cf-art-61-par-1-inc-II-ali-b</w:t>
      </w:r>
      <w:r>
        <w:rPr>
          <w:color w:val="003CA0"/>
          <w:sz w:val="12"/>
        </w:rPr>
        <w:t xml:space="preserve"> | RE 590.697</w:t>
      </w:r>
      <w:r>
        <w:rPr>
          <w:color w:val="003CA0"/>
          <w:sz w:val="12"/>
        </w:rPr>
        <w:t xml:space="preserve"> | rel. Ricardo Lewandowski</w:t>
      </w:r>
    </w:p>
    <w:p>
      <w:pPr>
        <w:ind w:left="288"/>
      </w:pPr>
      <w:r>
        <w:rPr>
          <w:color w:val="1E1E1E"/>
          <w:sz w:val="18"/>
        </w:rPr>
        <w:t>= RE 590.697 ED, rel. min. Ricardo Lewandowski, j. 23-8-2011, 2ª T, DJE de 6-9-2011 “A iniciativa legislativa para definição de obrigações de pequeno valor para pagamento de condenação judicial não é reservada ao chefe do Poder Executivo”.</w:t>
      </w:r>
    </w:p>
    <w:p>
      <w:pPr>
        <w:ind w:left="288"/>
      </w:pPr>
      <w:r>
        <w:rPr>
          <w:b/>
          <w:color w:val="003CA0"/>
          <w:sz w:val="16"/>
        </w:rPr>
        <w:t>[RE 1.496.204 RG, rel. min. Luís Roberto Barroso, j. 04.10.2024, P, DJE de 09.10.2024, Tema 1.326, com mérito julgado.]</w:t>
      </w:r>
    </w:p>
    <w:p>
      <w:pPr>
        <w:ind w:left="144"/>
      </w:pPr>
      <w:r>
        <w:rPr>
          <w:b/>
          <w:color w:val="B45A00"/>
          <w:sz w:val="16"/>
        </w:rPr>
        <w:t>REPERCUSSAO GERAL</w:t>
      </w:r>
    </w:p>
    <w:p>
      <w:pPr>
        <w:ind w:left="288"/>
      </w:pPr>
      <w:r>
        <w:rPr>
          <w:color w:val="8C8C8C"/>
          <w:sz w:val="12"/>
        </w:rPr>
        <w:t>cf-art-61-par-1-inc-II-ali-b</w:t>
      </w:r>
      <w:r>
        <w:rPr>
          <w:color w:val="003CA0"/>
          <w:sz w:val="12"/>
        </w:rPr>
        <w:t xml:space="preserve"> | ARE 743.480</w:t>
      </w:r>
      <w:r>
        <w:rPr>
          <w:color w:val="003CA0"/>
          <w:sz w:val="12"/>
        </w:rPr>
        <w:t xml:space="preserve"> | rel. Gilmar Mendes</w:t>
      </w:r>
    </w:p>
    <w:p>
      <w:pPr>
        <w:ind w:left="288"/>
      </w:pPr>
      <w:r>
        <w:rPr>
          <w:color w:val="1E1E1E"/>
          <w:sz w:val="18"/>
        </w:rPr>
        <w:t>A norma não reserva à iniciativa privativa do presidente da República toda e qualquer lei que cuide de tributos, senão apenas a matéria tributária dos Territórios.</w:t>
        <w:br/>
        <w:t>[ARE 743.480 RG, voto do rel. min. Gilmar Mendes, j. 10-10-2013, P, DJE de 20-11-2013, Tema 682, com mérito julgado.]</w:t>
      </w:r>
    </w:p>
    <w:p>
      <w:pPr>
        <w:ind w:left="288"/>
      </w:pPr>
      <w:r>
        <w:rPr>
          <w:color w:val="8C8C8C"/>
          <w:sz w:val="12"/>
        </w:rPr>
        <w:t>cf-art-61-par-1-inc-II-ali-c</w:t>
      </w:r>
      <w:r>
        <w:rPr>
          <w:color w:val="003CA0"/>
          <w:sz w:val="12"/>
        </w:rPr>
        <w:t xml:space="preserve"> | ADI 3.901</w:t>
      </w:r>
      <w:r>
        <w:rPr>
          <w:color w:val="003CA0"/>
          <w:sz w:val="12"/>
        </w:rPr>
        <w:t xml:space="preserve"> | rel. Edson Fachin</w:t>
      </w:r>
    </w:p>
    <w:p>
      <w:pPr>
        <w:ind w:left="288"/>
      </w:pPr>
      <w:r>
        <w:rPr>
          <w:color w:val="1E1E1E"/>
          <w:sz w:val="18"/>
        </w:rPr>
        <w:t>A designação de período para a realização de concurso público é matéria que não se enquadra na competência do Chefe do Executivo (art. 61, §1º, inciso II, “c”, CF), visto que não se relaciona, diretamente, com o provimento de cargos públicos.</w:t>
      </w:r>
    </w:p>
    <w:p>
      <w:pPr>
        <w:ind w:left="288"/>
      </w:pPr>
      <w:r>
        <w:rPr>
          <w:b/>
          <w:color w:val="003CA0"/>
          <w:sz w:val="16"/>
        </w:rPr>
        <w:t>[ADI 3.901, rel. min. Edson Fachin, j. 22.09.2025, P, DJE de 26.11.2025.]</w:t>
      </w:r>
    </w:p>
    <w:p>
      <w:pPr>
        <w:ind w:left="288"/>
      </w:pPr>
      <w:r>
        <w:rPr>
          <w:color w:val="8C8C8C"/>
          <w:sz w:val="12"/>
        </w:rPr>
        <w:t>cf-art-61-par-1-inc-II-ali-c</w:t>
      </w:r>
      <w:r>
        <w:rPr>
          <w:color w:val="003CA0"/>
          <w:sz w:val="12"/>
        </w:rPr>
        <w:t xml:space="preserve"> | ADI 4.354</w:t>
      </w:r>
      <w:r>
        <w:rPr>
          <w:color w:val="003CA0"/>
          <w:sz w:val="12"/>
        </w:rPr>
        <w:t xml:space="preserve"> | rel. Dias Toffoli</w:t>
      </w:r>
    </w:p>
    <w:p>
      <w:pPr>
        <w:ind w:left="288"/>
      </w:pPr>
      <w:r>
        <w:rPr>
          <w:color w:val="1E1E1E"/>
          <w:sz w:val="18"/>
        </w:rPr>
        <w:t>Inexistência de vício de iniciativa na proposição da Lei nº 12.030/09, haja vista tratar-se de norma geral direcionada aos peritos criminais de todo o Brasil. O diploma impugnado estabelece apenas normas relativas à organização, aos direitos e às garantias dos peritos criminais oficiais, não adentrando na matéria do art. 61, § 1º, inciso II, alíneas a ou c, da Constituição Federal.</w:t>
      </w:r>
    </w:p>
    <w:p>
      <w:pPr>
        <w:ind w:left="288"/>
      </w:pPr>
      <w:r>
        <w:rPr>
          <w:b/>
          <w:color w:val="003CA0"/>
          <w:sz w:val="16"/>
        </w:rPr>
        <w:t>[ADI 4.354, rel. min. Dias Toffoli, j. 07.11.2024, P, DJE de 28.02.2025.]</w:t>
      </w:r>
    </w:p>
    <w:p>
      <w:pPr>
        <w:ind w:left="144"/>
      </w:pPr>
      <w:r>
        <w:rPr>
          <w:b/>
          <w:color w:val="B45A00"/>
          <w:sz w:val="16"/>
        </w:rPr>
        <w:t>CONTROLE CONCENTRADO</w:t>
      </w:r>
    </w:p>
    <w:p>
      <w:pPr>
        <w:ind w:left="288"/>
      </w:pPr>
      <w:r>
        <w:rPr>
          <w:color w:val="8C8C8C"/>
          <w:sz w:val="12"/>
        </w:rPr>
        <w:t>cf-art-61-par-1-inc-II-ali-c</w:t>
      </w:r>
      <w:r>
        <w:rPr>
          <w:color w:val="003CA0"/>
          <w:sz w:val="12"/>
        </w:rPr>
        <w:t xml:space="preserve"> | ADI 856</w:t>
      </w:r>
      <w:r>
        <w:rPr>
          <w:color w:val="003CA0"/>
          <w:sz w:val="12"/>
        </w:rPr>
        <w:t xml:space="preserve"> | rel. Luiz Fux</w:t>
      </w:r>
    </w:p>
    <w:p>
      <w:pPr>
        <w:ind w:left="288"/>
      </w:pPr>
      <w:r>
        <w:rPr>
          <w:color w:val="1E1E1E"/>
          <w:sz w:val="18"/>
        </w:rPr>
        <w:t>Aposentadoria especial. Funções de magistério. Definição. Projeto de lei de iniciativa privativa do chefe do executivo (...). (...) O Chefe do Executivo possui a iniciativa privativa de leis que disponham sobre servidores públicos da União e Territórios, seu regime jurídico, provimento de cargos, estabilidade e aposentadoria de civis, reforma e transferência de militares para a inatividade, bem como sobre criação, estruturação e atribuições dos Ministérios e órgãos da administração pública, ex vi do art. 61, II, alíneas c e e, da Carta Magna.</w:t>
        <w:br/>
        <w:t>[ADI 856, rel. min. Luiz Fux, j. 4-9-2023, P, DJE d</w:t>
      </w:r>
    </w:p>
    <w:p>
      <w:pPr>
        <w:ind w:left="288"/>
      </w:pPr>
      <w:r>
        <w:rPr>
          <w:b/>
          <w:color w:val="003CA0"/>
          <w:sz w:val="16"/>
        </w:rPr>
        <w:t>[ADI 3.980, rel. min. Rosa Weber, j. 29-11-2019, P, DJE de 18-12-2019.]</w:t>
      </w:r>
    </w:p>
    <w:p>
      <w:pPr>
        <w:ind w:left="288"/>
      </w:pPr>
      <w:r>
        <w:rPr>
          <w:color w:val="8C8C8C"/>
          <w:sz w:val="12"/>
        </w:rPr>
        <w:t>cf-art-61-par-1-inc-II-ali-c</w:t>
      </w:r>
      <w:r>
        <w:rPr>
          <w:color w:val="003CA0"/>
          <w:sz w:val="12"/>
        </w:rPr>
        <w:t xml:space="preserve"> | ADI 4.827</w:t>
      </w:r>
      <w:r>
        <w:rPr>
          <w:color w:val="003CA0"/>
          <w:sz w:val="12"/>
        </w:rPr>
        <w:t xml:space="preserve"> | rel. Alexandre de Moraes</w:t>
      </w:r>
    </w:p>
    <w:p>
      <w:pPr>
        <w:ind w:left="288"/>
      </w:pPr>
      <w:r>
        <w:rPr>
          <w:color w:val="1E1E1E"/>
          <w:sz w:val="18"/>
        </w:rPr>
        <w:t>Lei 7.372/2012 do Estado de Alagoas, que dispõe sobre a fixação do efetivo da polícia militar. Emenda parlamentar a projeto de lei de iniciativa exclusiva do chefe do poder executivo. Criação do quadro de oficiais veterinários. Distribuição de quadro de assessorias militares dos Poderes Judiciário e Legislativo. (...) O desmembramento do Quadro de Oficiais de Saúde (QOS) para criação de um Quadro novo e isolado, composto apenas por Oficiais Veterinários (QOV), além de desbordar do conteúdo do projeto original, viola a iniciativa reservada ao Chefe do Poder Executivo, que é aquele que tem inici</w:t>
      </w:r>
    </w:p>
    <w:p>
      <w:pPr>
        <w:ind w:left="288"/>
      </w:pPr>
      <w:r>
        <w:rPr>
          <w:b/>
          <w:color w:val="003CA0"/>
          <w:sz w:val="16"/>
        </w:rPr>
        <w:t>[ADI 4.827, rel. min. Alexandre de Moraes, j. 27-9-2019, P, DJE de 15-10-2019.]</w:t>
      </w:r>
    </w:p>
    <w:p>
      <w:pPr>
        <w:ind w:left="288"/>
      </w:pPr>
      <w:r>
        <w:rPr>
          <w:color w:val="8C8C8C"/>
          <w:sz w:val="12"/>
        </w:rPr>
        <w:t>cf-art-61-par-1-inc-II-ali-c</w:t>
      </w:r>
      <w:r>
        <w:rPr>
          <w:color w:val="003CA0"/>
          <w:sz w:val="12"/>
        </w:rPr>
        <w:t xml:space="preserve"> | ADI 5.786</w:t>
      </w:r>
      <w:r>
        <w:rPr>
          <w:color w:val="003CA0"/>
          <w:sz w:val="12"/>
        </w:rPr>
        <w:t xml:space="preserve"> | rel. Alexandre de Moraes</w:t>
      </w:r>
    </w:p>
    <w:p>
      <w:pPr>
        <w:ind w:left="288"/>
      </w:pPr>
      <w:r>
        <w:rPr>
          <w:color w:val="1E1E1E"/>
          <w:sz w:val="18"/>
        </w:rPr>
        <w:t>Ao estabelecer a obrigatoriedade de as escolas públicas de educação básica de Santa Catarina manterem a presença de um segundo professor de turma nas salas de aula que tiverem alunos com diagnóstico de deficiências e transtornos especificados no texto normativo, a lei estadual, de iniciativa parlamentar, viola regra constitucional que determina a iniciativa privativa do Poder Executivo para dispor sobre servidores públicos, seu regime jurídico, provimento de cargos, estabilidade e aposentadoria (CF, art. 61, § 1º, II, c).</w:t>
      </w:r>
    </w:p>
    <w:p>
      <w:pPr>
        <w:ind w:left="288"/>
      </w:pPr>
      <w:r>
        <w:rPr>
          <w:b/>
          <w:color w:val="003CA0"/>
          <w:sz w:val="16"/>
        </w:rPr>
        <w:t>[ADI 5.786, rel. min. Alexandre de Moraes, j. 13-9-2019, P, DJE de 26-9-2019.]</w:t>
      </w:r>
    </w:p>
    <w:p>
      <w:pPr>
        <w:ind w:left="288"/>
      </w:pPr>
      <w:r>
        <w:rPr>
          <w:color w:val="8C8C8C"/>
          <w:sz w:val="12"/>
        </w:rPr>
        <w:t>cf-art-61-par-1-inc-II-ali-c</w:t>
      </w:r>
      <w:r>
        <w:rPr>
          <w:color w:val="003CA0"/>
          <w:sz w:val="12"/>
        </w:rPr>
        <w:t xml:space="preserve"> | ADI 5.520</w:t>
      </w:r>
      <w:r>
        <w:rPr>
          <w:color w:val="003CA0"/>
          <w:sz w:val="12"/>
        </w:rPr>
        <w:t xml:space="preserve"> | rel. Alexandre de Moraes</w:t>
      </w:r>
    </w:p>
    <w:p>
      <w:pPr>
        <w:ind w:left="288"/>
      </w:pPr>
      <w:r>
        <w:rPr>
          <w:color w:val="1E1E1E"/>
          <w:sz w:val="18"/>
        </w:rPr>
        <w:t>A Emenda Constitucional 61/2012 de Santa Catarina conferiu status de carreira jurídica, com independência funcional, ao cargo de delegado de polícia. Com isso, alterou o regime do cargo e afetou o exercício de competência típica da chefia do Poder Executivo, o que viola a cláusula de reserva de iniciativa do chefe do Poder Executivo (art. 61, § 1º, II, c, extensível aos Estados-Membros por força do art. 25 da CF).</w:t>
      </w:r>
    </w:p>
    <w:p>
      <w:pPr>
        <w:ind w:left="288"/>
      </w:pPr>
      <w:r>
        <w:rPr>
          <w:b/>
          <w:color w:val="003CA0"/>
          <w:sz w:val="16"/>
        </w:rPr>
        <w:t>[ADI 5.520, rel. min. Alexandre de Moraes, j. 6-9-2019, P, DJE de 20-9-2019.]</w:t>
      </w:r>
    </w:p>
    <w:p>
      <w:pPr>
        <w:ind w:left="288"/>
      </w:pPr>
      <w:r>
        <w:rPr>
          <w:color w:val="8C8C8C"/>
          <w:sz w:val="12"/>
        </w:rPr>
        <w:t>cf-art-61-par-1-inc-II-ali-c</w:t>
      </w:r>
      <w:r>
        <w:rPr>
          <w:color w:val="003CA0"/>
          <w:sz w:val="12"/>
        </w:rPr>
        <w:t xml:space="preserve"> | ADI 3.792</w:t>
      </w:r>
      <w:r>
        <w:rPr>
          <w:color w:val="003CA0"/>
          <w:sz w:val="12"/>
        </w:rPr>
        <w:t xml:space="preserve"> | rel. Dias Toffoli</w:t>
      </w:r>
    </w:p>
    <w:p>
      <w:pPr>
        <w:ind w:left="288"/>
      </w:pPr>
      <w:r>
        <w:rPr>
          <w:color w:val="1E1E1E"/>
          <w:sz w:val="18"/>
        </w:rPr>
        <w:t>Ação direta de inconstitucionalidade. Lei 8.865/2006 do Estado do Rio Grande do Norte. Obrigação de a Universidade do Estado do Rio Grande do Norte prestar serviço de assistência judiciária, durante os finais de semana, aos necessitados presos em flagrante delito. (...) Os arts. 2º e 3º da Lei 8.865/2006, resultante de projeto de lei de iniciativa parlamentar, contêm, ainda, vício formal de iniciativa (art. 61, § 1º, II, c, CF/1988), pois criam atribuições para a Secretaria de Estado da Educação, Cultura e dos Desportos (art. 2º), para a Secretaria de Estado de Defesa Social e Segurança Públic</w:t>
      </w:r>
    </w:p>
    <w:p>
      <w:pPr>
        <w:ind w:left="288"/>
      </w:pPr>
      <w:r>
        <w:rPr>
          <w:b/>
          <w:color w:val="003CA0"/>
          <w:sz w:val="16"/>
        </w:rPr>
        <w:t>[ADI 3.792, rel. min. Dias Toffoli, j. 22-9-2016, P, DJE de 1º-8-2017.]</w:t>
      </w:r>
    </w:p>
    <w:p>
      <w:pPr>
        <w:ind w:left="288"/>
      </w:pPr>
      <w:r>
        <w:rPr>
          <w:color w:val="8C8C8C"/>
          <w:sz w:val="12"/>
        </w:rPr>
        <w:t>cf-art-61-par-1-inc-II-ali-c</w:t>
      </w:r>
      <w:r>
        <w:rPr>
          <w:color w:val="003CA0"/>
          <w:sz w:val="12"/>
        </w:rPr>
        <w:t xml:space="preserve"> | ADI 2.300</w:t>
      </w:r>
      <w:r>
        <w:rPr>
          <w:color w:val="003CA0"/>
          <w:sz w:val="12"/>
        </w:rPr>
        <w:t xml:space="preserve"> | rel. Teori Zavascki</w:t>
      </w:r>
    </w:p>
    <w:p>
      <w:pPr>
        <w:ind w:left="288"/>
      </w:pPr>
      <w:r>
        <w:rPr>
          <w:color w:val="1E1E1E"/>
          <w:sz w:val="18"/>
        </w:rPr>
        <w:t>Ao provocar alteração no regime jurídico dos servidores civis do Estado do Rio Grande do Sul e impor limitações ao exercício da autotutela nas relações estatutárias estabelecidas entre a administração e seus servidores, a LC estadual 11.370/1999, de iniciativa parlamentar, padece de vício formal e material de incompatibilidade com a CF.</w:t>
      </w:r>
    </w:p>
    <w:p>
      <w:pPr>
        <w:ind w:left="288"/>
      </w:pPr>
      <w:r>
        <w:rPr>
          <w:b/>
          <w:color w:val="003CA0"/>
          <w:sz w:val="16"/>
        </w:rPr>
        <w:t>[ADI 2.300, rel. min. Teori Zavascki, j. 21-8-2014, P, DJE de 17-9-2014.]</w:t>
      </w:r>
    </w:p>
    <w:p>
      <w:pPr>
        <w:ind w:left="288"/>
      </w:pPr>
      <w:r>
        <w:rPr>
          <w:color w:val="8C8C8C"/>
          <w:sz w:val="12"/>
        </w:rPr>
        <w:t>cf-art-61-par-1-inc-II-ali-c</w:t>
      </w:r>
      <w:r>
        <w:rPr>
          <w:color w:val="003CA0"/>
          <w:sz w:val="12"/>
        </w:rPr>
        <w:t xml:space="preserve"> | ADI 2.873</w:t>
      </w:r>
      <w:r>
        <w:rPr>
          <w:color w:val="003CA0"/>
          <w:sz w:val="12"/>
        </w:rPr>
        <w:t xml:space="preserve"> | rel. Ellen Gracie</w:t>
      </w:r>
    </w:p>
    <w:p>
      <w:pPr>
        <w:ind w:left="288"/>
      </w:pPr>
      <w:r>
        <w:rPr>
          <w:color w:val="1E1E1E"/>
          <w:sz w:val="18"/>
        </w:rPr>
        <w:t>(...) a norma prevista em Constituição estadual vedando a estipulação de limite de idade para o ingresso no serviço público traz em si requisito referente ao provimento de cargos e ao regime jurídico de servidor público, matéria cuja regulamentação reclama a edição de legislação ordinária, de iniciativa do chefe do Poder Executivo.</w:t>
      </w:r>
    </w:p>
    <w:p>
      <w:pPr>
        <w:ind w:left="288"/>
      </w:pPr>
      <w:r>
        <w:rPr>
          <w:b/>
          <w:color w:val="003CA0"/>
          <w:sz w:val="16"/>
        </w:rPr>
        <w:t>[ADI 2.873, rel. min. Ellen Gracie, j. 20-9-2007, P, DJ de 9-11-2007.]</w:t>
      </w:r>
    </w:p>
    <w:p>
      <w:pPr>
        <w:ind w:left="288"/>
      </w:pPr>
      <w:r>
        <w:rPr>
          <w:color w:val="8C8C8C"/>
          <w:sz w:val="12"/>
        </w:rPr>
        <w:t>cf-art-61-par-1-inc-II-ali-c</w:t>
      </w:r>
      <w:r>
        <w:rPr>
          <w:color w:val="003CA0"/>
          <w:sz w:val="12"/>
        </w:rPr>
        <w:t xml:space="preserve"> | ADI 2.856</w:t>
      </w:r>
      <w:r>
        <w:rPr>
          <w:color w:val="003CA0"/>
          <w:sz w:val="12"/>
        </w:rPr>
        <w:t xml:space="preserve"> | rel. Gilmar Mendes</w:t>
      </w:r>
    </w:p>
    <w:p>
      <w:pPr>
        <w:ind w:left="288"/>
      </w:pPr>
      <w:r>
        <w:rPr>
          <w:color w:val="1E1E1E"/>
          <w:sz w:val="18"/>
        </w:rPr>
        <w:t>= ADI 2.856, rel. min. Gilmar Mendes, j. 10-2-2011, P, DJE de 1º-3-2011 Ofende o art. 61, § 1º, II, c, e o art. 2º da CF de 1988 emenda parlamentar que estabeleça perdão a servidores por falta ao trabalho.</w:t>
      </w:r>
    </w:p>
    <w:p>
      <w:pPr>
        <w:ind w:left="288"/>
      </w:pPr>
      <w:r>
        <w:rPr>
          <w:b/>
          <w:color w:val="003CA0"/>
          <w:sz w:val="16"/>
        </w:rPr>
        <w:t>[ADI 13, rel. min. Joaquim Barbosa, j. 17-9-2007, P, DJ de 28-9-2007.]</w:t>
      </w:r>
    </w:p>
    <w:p>
      <w:pPr>
        <w:ind w:left="288"/>
      </w:pPr>
      <w:r>
        <w:rPr>
          <w:color w:val="8C8C8C"/>
          <w:sz w:val="12"/>
        </w:rPr>
        <w:t>cf-art-61-par-1-inc-II-ali-c</w:t>
      </w:r>
      <w:r>
        <w:rPr>
          <w:color w:val="003CA0"/>
          <w:sz w:val="12"/>
        </w:rPr>
        <w:t xml:space="preserve"> | ADI 1.448</w:t>
      </w:r>
      <w:r>
        <w:rPr>
          <w:color w:val="003CA0"/>
          <w:sz w:val="12"/>
        </w:rPr>
        <w:t xml:space="preserve"> | rel. Maurício Corrêa</w:t>
      </w:r>
    </w:p>
    <w:p>
      <w:pPr>
        <w:ind w:left="288"/>
      </w:pPr>
      <w:r>
        <w:rPr>
          <w:color w:val="1E1E1E"/>
          <w:sz w:val="18"/>
        </w:rPr>
        <w:t>Disposição constitucional estadual que impõe o pagamento de 13º salário aos servidores estaduais em data e forma definidas. Abuso do poder constituinte estadual, por interferência indevida na programação financeira e na execução de despesa pública, a cargo do Poder Executivo, nos termos da CF.</w:t>
      </w:r>
    </w:p>
    <w:p>
      <w:pPr>
        <w:ind w:left="288"/>
      </w:pPr>
      <w:r>
        <w:rPr>
          <w:b/>
          <w:color w:val="003CA0"/>
          <w:sz w:val="16"/>
        </w:rPr>
        <w:t>[ADI 1.448, red. do ac. min. Joaquim Barbosa, rel. min. Maurício Corrêa, j. 16-8-2007, P, DJ de 11-10-2007.]</w:t>
      </w:r>
    </w:p>
    <w:p>
      <w:pPr>
        <w:ind w:left="288"/>
      </w:pPr>
      <w:r>
        <w:rPr>
          <w:color w:val="8C8C8C"/>
          <w:sz w:val="12"/>
        </w:rPr>
        <w:t>cf-art-61-par-1-inc-II-ali-c</w:t>
      </w:r>
      <w:r>
        <w:rPr>
          <w:color w:val="003CA0"/>
          <w:sz w:val="12"/>
        </w:rPr>
        <w:t xml:space="preserve"> | ADI 1.895</w:t>
      </w:r>
      <w:r>
        <w:rPr>
          <w:color w:val="003CA0"/>
          <w:sz w:val="12"/>
        </w:rPr>
        <w:t xml:space="preserve"> | rel. Sepúlveda Pertence</w:t>
      </w:r>
    </w:p>
    <w:p>
      <w:pPr>
        <w:ind w:left="288"/>
      </w:pPr>
      <w:r>
        <w:rPr>
          <w:color w:val="1E1E1E"/>
          <w:sz w:val="18"/>
        </w:rPr>
        <w:t>Processo legislativo: normas de lei de iniciativa parlamentar que cuidam de jornada de trabalho, distribuição de carga horária, lotação dos profissionais da educação e uso dos espaços físicos e recursos humanos e materiais do Estado e de seus Municípios na organização do sistema de ensino: reserva de iniciativa ao Poder Executivo dos projetos de leis que disponham sobre o regime jurídico dos servidores públicos, provimento de cargos, estabilidade e aposentadoria (art. 61, II, § 1º, c).</w:t>
      </w:r>
    </w:p>
    <w:p>
      <w:pPr>
        <w:ind w:left="288"/>
      </w:pPr>
      <w:r>
        <w:rPr>
          <w:b/>
          <w:color w:val="003CA0"/>
          <w:sz w:val="16"/>
        </w:rPr>
        <w:t>[ADI 1.895, rel. min. Sepúlveda Pertence, j. 2-8-2007, P, DJ de 6-9-2007.]</w:t>
      </w:r>
    </w:p>
    <w:p>
      <w:pPr>
        <w:ind w:left="288"/>
      </w:pPr>
      <w:r>
        <w:rPr>
          <w:color w:val="8C8C8C"/>
          <w:sz w:val="12"/>
        </w:rPr>
        <w:t>cf-art-61-par-1-inc-II-ali-c</w:t>
      </w:r>
      <w:r>
        <w:rPr>
          <w:color w:val="003CA0"/>
          <w:sz w:val="12"/>
        </w:rPr>
        <w:t xml:space="preserve"> | ADI 3.403</w:t>
      </w:r>
      <w:r>
        <w:rPr>
          <w:color w:val="003CA0"/>
          <w:sz w:val="12"/>
        </w:rPr>
        <w:t xml:space="preserve"> | rel. Joaquim Barbosa</w:t>
      </w:r>
    </w:p>
    <w:p>
      <w:pPr>
        <w:ind w:left="288"/>
      </w:pPr>
      <w:r>
        <w:rPr>
          <w:color w:val="1E1E1E"/>
          <w:sz w:val="18"/>
        </w:rPr>
        <w:t>Lei 10.964/2001 do Estado de São Paulo. Realização de exames de sangue em funcionários de empresas públicas do Estado de São Paulo. (...) Norma que disciplina acompanhamento preventivo de saúde aplicável exclusivamente a parte do funcionalismo público estadual. Iniciativa parlamentar. Ofensa ao disposto no art. 61, § 1º, c, da CF de 1988.</w:t>
      </w:r>
    </w:p>
    <w:p>
      <w:pPr>
        <w:ind w:left="288"/>
      </w:pPr>
      <w:r>
        <w:rPr>
          <w:b/>
          <w:color w:val="003CA0"/>
          <w:sz w:val="16"/>
        </w:rPr>
        <w:t>[ADI 3.403, rel. min. Joaquim Barbosa, j. 18-6-2007, P, DJ de 24-8-2007.]</w:t>
      </w:r>
    </w:p>
    <w:p>
      <w:pPr>
        <w:ind w:left="288"/>
      </w:pPr>
      <w:r>
        <w:rPr>
          <w:color w:val="8C8C8C"/>
          <w:sz w:val="12"/>
        </w:rPr>
        <w:t>cf-art-61-par-1-inc-II-ali-c</w:t>
      </w:r>
      <w:r>
        <w:rPr>
          <w:color w:val="003CA0"/>
          <w:sz w:val="12"/>
        </w:rPr>
        <w:t xml:space="preserve"> | ADI 2.420</w:t>
      </w:r>
      <w:r>
        <w:rPr>
          <w:color w:val="003CA0"/>
          <w:sz w:val="12"/>
        </w:rPr>
        <w:t xml:space="preserve"> | rel. Ellen Gracie</w:t>
      </w:r>
    </w:p>
    <w:p>
      <w:pPr>
        <w:ind w:left="288"/>
      </w:pPr>
      <w:r>
        <w:rPr>
          <w:color w:val="1E1E1E"/>
          <w:sz w:val="18"/>
        </w:rPr>
        <w:t>A posse, matéria de que tratou o diploma impugnado, complementa e completa, juntamente com a entrada no exercício, o provimento de cargo público iniciado com a nomeação do candidato aprovado em concurso. É, portanto, matéria claramente prevista no art. 61, § 1º, II, c, da Carta Magna, cuja reserva legislativa foi inegavelmente desrespeitada.</w:t>
      </w:r>
    </w:p>
    <w:p>
      <w:pPr>
        <w:ind w:left="288"/>
      </w:pPr>
      <w:r>
        <w:rPr>
          <w:b/>
          <w:color w:val="003CA0"/>
          <w:sz w:val="16"/>
        </w:rPr>
        <w:t>[ADI 2.420, rel. min. Ellen Gracie, j. 24-2-2005, P, DJ de 25-4-2005.]</w:t>
      </w:r>
    </w:p>
    <w:p>
      <w:pPr>
        <w:ind w:left="288"/>
      </w:pPr>
      <w:r>
        <w:rPr>
          <w:color w:val="8C8C8C"/>
          <w:sz w:val="12"/>
        </w:rPr>
        <w:t>cf-art-61-par-1-inc-II-ali-c</w:t>
      </w:r>
      <w:r>
        <w:rPr>
          <w:color w:val="003CA0"/>
          <w:sz w:val="12"/>
        </w:rPr>
        <w:t xml:space="preserve"> | RE 583.231</w:t>
      </w:r>
      <w:r>
        <w:rPr>
          <w:color w:val="003CA0"/>
          <w:sz w:val="12"/>
        </w:rPr>
        <w:t xml:space="preserve"> | rel. Cármen Lúcia</w:t>
      </w:r>
    </w:p>
    <w:p>
      <w:pPr>
        <w:ind w:left="288"/>
      </w:pPr>
      <w:r>
        <w:rPr>
          <w:color w:val="1E1E1E"/>
          <w:sz w:val="18"/>
        </w:rPr>
        <w:t>= RE 583.231 AgR, rel. min. Cármen Lúcia, j. 8-2-2011, 1ª T, DJE de 2-3-2011 Significação constitucional do regime jurídico dos servidores públicos (civis e militares). A locução constitucional "regime jurídico dos servidores públicos" corresponde ao conjunto de normas que disciplinam os diversos aspectos das relações, estatutárias ou contratuais, mantidas pelo Estado com os seus agentes. Precedentes.</w:t>
      </w:r>
    </w:p>
    <w:p>
      <w:pPr>
        <w:ind w:left="288"/>
      </w:pPr>
      <w:r>
        <w:rPr>
          <w:b/>
          <w:color w:val="003CA0"/>
          <w:sz w:val="16"/>
        </w:rPr>
        <w:t>[ADI 2.867, rel. min. Celso de Mello, j. 3-12-2003, P, DJ de 9-2-2007.]</w:t>
      </w:r>
    </w:p>
    <w:p>
      <w:pPr>
        <w:ind w:left="288"/>
      </w:pPr>
      <w:r>
        <w:rPr>
          <w:color w:val="8C8C8C"/>
          <w:sz w:val="12"/>
        </w:rPr>
        <w:t>cf-art-61-par-1-inc-II-ali-c</w:t>
      </w:r>
      <w:r>
        <w:rPr>
          <w:color w:val="003CA0"/>
          <w:sz w:val="12"/>
        </w:rPr>
        <w:t xml:space="preserve"> | ADI 700</w:t>
      </w:r>
      <w:r>
        <w:rPr>
          <w:color w:val="003CA0"/>
          <w:sz w:val="12"/>
        </w:rPr>
        <w:t xml:space="preserve"> | rel. Maurício Corrêa</w:t>
      </w:r>
    </w:p>
    <w:p>
      <w:pPr>
        <w:ind w:left="288"/>
      </w:pPr>
      <w:r>
        <w:rPr>
          <w:color w:val="1E1E1E"/>
          <w:sz w:val="18"/>
        </w:rPr>
        <w:t>É firme na jurisprudência do Tribunal que a sanção do projeto de lei não convalida o defeito de iniciativa.</w:t>
      </w:r>
    </w:p>
    <w:p>
      <w:pPr>
        <w:ind w:left="288"/>
      </w:pPr>
      <w:r>
        <w:rPr>
          <w:b/>
          <w:color w:val="003CA0"/>
          <w:sz w:val="16"/>
        </w:rPr>
        <w:t>[ADI 700, rel. min. Maurício Corrêa, j. 23-5-2001, P, DJ de 24-8-2001.]</w:t>
      </w:r>
    </w:p>
    <w:p>
      <w:pPr>
        <w:ind w:left="288"/>
      </w:pPr>
      <w:r>
        <w:rPr>
          <w:color w:val="8C8C8C"/>
          <w:sz w:val="12"/>
        </w:rPr>
        <w:t>cf-art-61-par-1-inc-II-ali-c</w:t>
      </w:r>
      <w:r>
        <w:rPr>
          <w:color w:val="003CA0"/>
          <w:sz w:val="12"/>
        </w:rPr>
        <w:t xml:space="preserve"> | ADI 2.904</w:t>
      </w:r>
      <w:r>
        <w:rPr>
          <w:color w:val="003CA0"/>
          <w:sz w:val="12"/>
        </w:rPr>
        <w:t xml:space="preserve"> | rel. Menezes Direito</w:t>
      </w:r>
    </w:p>
    <w:p>
      <w:pPr>
        <w:ind w:left="288"/>
      </w:pPr>
      <w:r>
        <w:rPr>
          <w:color w:val="1E1E1E"/>
          <w:sz w:val="18"/>
        </w:rPr>
        <w:t>=  ADI 2.904, rel. min. Menezes Direito, j. 15-4-2009, P, DJE de 25-9-2009 A criação do direito à aposentadoria dos titulares das serventias judiciais e extrajudiciais mediante norma transitória de constituição estadual vulnera a regra segundo a qual os Estados organizam-se e regem-se pelas respectivas constituições e leis que adotarem, observados os princípios que decorrem da Lei Básica Federal.</w:t>
      </w:r>
    </w:p>
    <w:p>
      <w:pPr>
        <w:ind w:left="288"/>
      </w:pPr>
      <w:r>
        <w:rPr>
          <w:b/>
          <w:color w:val="003CA0"/>
          <w:sz w:val="16"/>
        </w:rPr>
        <w:t>[ADI 139, red. do ac. min. Marco Aurélio, j. 31-10-1991, P, DJ de 5-6-1992.]</w:t>
      </w:r>
    </w:p>
    <w:p>
      <w:pPr>
        <w:ind w:left="144"/>
      </w:pPr>
      <w:r>
        <w:rPr>
          <w:b/>
          <w:color w:val="B45A00"/>
          <w:sz w:val="16"/>
        </w:rPr>
        <w:t>REPERCUSSAO GERAL</w:t>
      </w:r>
    </w:p>
    <w:p>
      <w:pPr>
        <w:ind w:left="288"/>
      </w:pPr>
      <w:r>
        <w:rPr>
          <w:color w:val="8C8C8C"/>
          <w:sz w:val="12"/>
        </w:rPr>
        <w:t>cf-art-61-par-1-inc-II-ali-c</w:t>
      </w:r>
      <w:r>
        <w:rPr>
          <w:color w:val="003CA0"/>
          <w:sz w:val="12"/>
        </w:rPr>
        <w:t xml:space="preserve"> | RE 590.829</w:t>
      </w:r>
      <w:r>
        <w:rPr>
          <w:color w:val="003CA0"/>
          <w:sz w:val="12"/>
        </w:rPr>
        <w:t xml:space="preserve"> | rel. Marco Aurélio</w:t>
      </w:r>
    </w:p>
    <w:p>
      <w:pPr>
        <w:ind w:left="288"/>
      </w:pPr>
      <w:r>
        <w:rPr>
          <w:color w:val="1E1E1E"/>
          <w:sz w:val="18"/>
        </w:rPr>
        <w:t>Descabe, em lei orgânica de Município, a normatização de direitos dos servidores, porquanto a prática acaba por afrontar a iniciativa do chefe do Poder Executivo.</w:t>
        <w:br/>
        <w:t>[RE 590.829, rel. min. Marco Aurélio, j. 5-3-2015, P, DJE de 30-3-2015, Tema 223, com mérito julgado.]</w:t>
      </w:r>
    </w:p>
    <w:p>
      <w:pPr>
        <w:ind w:left="144"/>
      </w:pPr>
      <w:r>
        <w:rPr>
          <w:b/>
          <w:color w:val="B45A00"/>
          <w:sz w:val="16"/>
        </w:rPr>
        <w:t>JULGADOS CORRELATOS</w:t>
      </w:r>
    </w:p>
    <w:p>
      <w:pPr>
        <w:ind w:left="288"/>
      </w:pPr>
      <w:r>
        <w:rPr>
          <w:color w:val="8C8C8C"/>
          <w:sz w:val="12"/>
        </w:rPr>
        <w:t>cf-art-61-par-1-inc-II-ali-c</w:t>
      </w:r>
      <w:r>
        <w:rPr>
          <w:color w:val="003CA0"/>
          <w:sz w:val="12"/>
        </w:rPr>
        <w:t xml:space="preserve"> | MS 35.779</w:t>
      </w:r>
      <w:r>
        <w:rPr>
          <w:color w:val="003CA0"/>
          <w:sz w:val="12"/>
        </w:rPr>
        <w:t xml:space="preserve"> | rel. Roberto Barroso</w:t>
      </w:r>
    </w:p>
    <w:p>
      <w:pPr>
        <w:ind w:left="288"/>
      </w:pPr>
      <w:r>
        <w:rPr>
          <w:color w:val="1E1E1E"/>
          <w:sz w:val="18"/>
        </w:rPr>
        <w:t>(...) a restrição à manifestação político-partidária em redes sociais imposta pelo Provimento nº 71/2018 contraria o regime legal e constitucional que assegura aos servidores civis o direito de filiação partidária e o exercício pleno de atividade política e afronta a autonomia dos Estados para disciplinar o estatuto de seus servidores.</w:t>
      </w:r>
    </w:p>
    <w:p>
      <w:pPr>
        <w:ind w:left="288"/>
      </w:pPr>
      <w:r>
        <w:rPr>
          <w:b/>
          <w:color w:val="003CA0"/>
          <w:sz w:val="16"/>
        </w:rPr>
        <w:t>[MS 35.779 MC, rel. min. Roberto Barroso, j. 29-11-2018, dec. monocrática, DJE de 10-12-2018.]</w:t>
      </w:r>
    </w:p>
    <w:p>
      <w:pPr>
        <w:ind w:left="288"/>
      </w:pPr>
      <w:r>
        <w:rPr>
          <w:color w:val="8C8C8C"/>
          <w:sz w:val="12"/>
        </w:rPr>
        <w:t>cf-art-61-par-1-inc-II-ali-c</w:t>
      </w:r>
      <w:r>
        <w:rPr>
          <w:color w:val="003CA0"/>
          <w:sz w:val="12"/>
        </w:rPr>
        <w:t xml:space="preserve"> | ADI 5.213</w:t>
      </w:r>
      <w:r>
        <w:rPr>
          <w:color w:val="003CA0"/>
          <w:sz w:val="12"/>
        </w:rPr>
        <w:t xml:space="preserve"> | rel. Alexandre de Moraes</w:t>
      </w:r>
    </w:p>
    <w:p>
      <w:pPr>
        <w:ind w:left="288"/>
      </w:pPr>
      <w:r>
        <w:rPr>
          <w:color w:val="1E1E1E"/>
          <w:sz w:val="18"/>
        </w:rPr>
        <w:t>Direito de greve de servidores públicos estaduais. Regulamentação por lei estadual. (...) A norma impugnada, ao disciplinar o exercício do direito de greve dos servidores públicos do Estado de Rondônia, apresenta peculiar disciplina normativa concernente à relação jurídica havida entre os servidores públicos estaduais e a administração pública. Considerada a iniciativa parlamentar da norma impugnada, é de se reconhecer sua inconstitucionalidade formal (art. 61, §1º, II, c, CF)</w:t>
      </w:r>
    </w:p>
    <w:p>
      <w:pPr>
        <w:ind w:left="288"/>
      </w:pPr>
      <w:r>
        <w:rPr>
          <w:b/>
          <w:color w:val="003CA0"/>
          <w:sz w:val="16"/>
        </w:rPr>
        <w:t>[ADI 5.213, rel. min. Alexandre de Moraes, j. 13-6-2018, P, DJE de 21-6-2018.]</w:t>
      </w:r>
    </w:p>
    <w:p>
      <w:pPr>
        <w:ind w:left="288"/>
      </w:pPr>
      <w:r>
        <w:rPr>
          <w:color w:val="8C8C8C"/>
          <w:sz w:val="12"/>
        </w:rPr>
        <w:t>cf-art-61-par-1-inc-II-ali-c</w:t>
      </w:r>
      <w:r>
        <w:rPr>
          <w:color w:val="003CA0"/>
          <w:sz w:val="12"/>
        </w:rPr>
        <w:t xml:space="preserve"> | ADI 7.280</w:t>
      </w:r>
      <w:r>
        <w:rPr>
          <w:color w:val="003CA0"/>
          <w:sz w:val="12"/>
        </w:rPr>
        <w:t xml:space="preserve"> | rel. André Mendonça</w:t>
      </w:r>
    </w:p>
    <w:p>
      <w:pPr>
        <w:ind w:left="288"/>
      </w:pPr>
      <w:r>
        <w:rPr>
          <w:color w:val="1E1E1E"/>
          <w:sz w:val="18"/>
        </w:rPr>
        <w:t>d) organização do Ministério Público e da Defensoria Pública da União, bem como normas gerais para a organização do Ministério Público e da Defensoria Pública dos Estados, do Distrito Federal e dos Territórios; A Constituição Federal atribui à União a competência para dispor sobre normas gerais relativas à organização do Ministério Público, conforme os arts. 61, § 1º, II, "d", e 128, § 5º, sendo vedado aos Estados criar critérios incompatíveis com a Lei Orgânica Nacional do Ministério Público. A Lei nº 8.625/1993 (LONMP) disciplina os critérios de promoção e remoção dos membros do Ministério P</w:t>
      </w:r>
    </w:p>
    <w:p>
      <w:pPr>
        <w:ind w:left="288"/>
      </w:pPr>
      <w:r>
        <w:rPr>
          <w:b/>
          <w:color w:val="003CA0"/>
          <w:sz w:val="16"/>
        </w:rPr>
        <w:t>[ADI 7.280, rel. min. André Mendonça, j. 14.04.2025, P, DJE de 28.05.2025.]</w:t>
      </w:r>
    </w:p>
    <w:p>
      <w:pPr>
        <w:ind w:left="144"/>
      </w:pPr>
      <w:r>
        <w:rPr>
          <w:b/>
          <w:color w:val="B45A00"/>
          <w:sz w:val="16"/>
        </w:rPr>
        <w:t>CONTROLE CONCENTRADO</w:t>
      </w:r>
    </w:p>
    <w:p>
      <w:pPr>
        <w:ind w:left="288"/>
      </w:pPr>
      <w:r>
        <w:rPr>
          <w:color w:val="8C8C8C"/>
          <w:sz w:val="12"/>
        </w:rPr>
        <w:t>cf-art-61-par-1-inc-II-ali-c</w:t>
      </w:r>
      <w:r>
        <w:rPr>
          <w:color w:val="003CA0"/>
          <w:sz w:val="12"/>
        </w:rPr>
        <w:t xml:space="preserve"> | ADI 400</w:t>
      </w:r>
      <w:r>
        <w:rPr>
          <w:color w:val="003CA0"/>
          <w:sz w:val="12"/>
        </w:rPr>
        <w:t xml:space="preserve"> | rel. Nunes Marques</w:t>
      </w:r>
    </w:p>
    <w:p>
      <w:pPr>
        <w:ind w:left="288"/>
      </w:pPr>
      <w:r>
        <w:rPr>
          <w:color w:val="1E1E1E"/>
          <w:sz w:val="18"/>
        </w:rPr>
        <w:t xml:space="preserve">Na esfera estadual, coexistem dois regimes de organização do Ministério Público: (i) a Lei Orgânica Nacional (Lei nº 8.625/1993), editada com base no art. 61, § 1º, II, d, da CF; e (ii) a Lei Orgânica do Estado, que delimita, em lei complementar de iniciativa do Procurador-Geral de Justiça, organização, atribuições e estatuto de cada Ministério Público (art. 128, § 5º, CF). É inconstitucional a atribuição de iniciativa privativa ao Governador do Estado para leis que disponham sobre a organização do Ministério Público estadual. (...) Tese: ‘a atribuição de iniciativa privativa ao Governador do </w:t>
      </w:r>
    </w:p>
    <w:p>
      <w:pPr>
        <w:ind w:left="288"/>
      </w:pPr>
      <w:r>
        <w:rPr>
          <w:b/>
          <w:color w:val="003CA0"/>
          <w:sz w:val="16"/>
        </w:rPr>
        <w:t>[ADI 400, rel. min. Nunes Marques, red. do ac. min. Roberto Barroso, j. 21-6-2022, P, DJE de 19-8-2022.]</w:t>
      </w:r>
    </w:p>
    <w:p>
      <w:pPr>
        <w:ind w:left="288"/>
      </w:pPr>
      <w:r>
        <w:rPr>
          <w:color w:val="8C8C8C"/>
          <w:sz w:val="12"/>
        </w:rPr>
        <w:t>cf-art-61-par-1-inc-II-ali-c</w:t>
      </w:r>
      <w:r>
        <w:rPr>
          <w:color w:val="003CA0"/>
          <w:sz w:val="12"/>
        </w:rPr>
        <w:t xml:space="preserve"> | ADI 5.351</w:t>
      </w:r>
      <w:r>
        <w:rPr>
          <w:color w:val="003CA0"/>
          <w:sz w:val="12"/>
        </w:rPr>
        <w:t xml:space="preserve"> | rel. Cármen Lúcia</w:t>
      </w:r>
    </w:p>
    <w:p>
      <w:pPr>
        <w:ind w:left="288"/>
      </w:pPr>
      <w:r>
        <w:rPr>
          <w:color w:val="1E1E1E"/>
          <w:sz w:val="18"/>
        </w:rPr>
        <w:t>É formalmente inconstitucional a norma impugnada, pois usurpada iniciativa reservada pela Constituição da República ao chefe do Poder Executivo para tratar sobre normas gerais à organização do Ministério Público e versada sobre matéria reservada à lei complementar de iniciativa do chefe do Ministério Público.</w:t>
        <w:br/>
        <w:t>[ADI 5.351, rel. min. Cármen Lúcia, j. 21-6-2021, P, DJE de 20-8-2021.] As leis complementares estaduais, pelas quais se estabelecem a organização, atribuições e estatuto dos respectivos Ministérios Públicos são de iniciativa do Procurador-Geral de Justiça do Estado e devem observar o reg</w:t>
      </w:r>
    </w:p>
    <w:p>
      <w:pPr>
        <w:ind w:left="288"/>
      </w:pPr>
      <w:r>
        <w:rPr>
          <w:b/>
          <w:color w:val="003CA0"/>
          <w:sz w:val="16"/>
        </w:rPr>
        <w:t>[ADI 5.281, rel. min. Cármen Lúcia, j. 12-5-2021, P, DJE de 20-5-2021.]</w:t>
      </w:r>
    </w:p>
    <w:p>
      <w:pPr>
        <w:ind w:left="288"/>
      </w:pPr>
      <w:r>
        <w:rPr>
          <w:color w:val="8C8C8C"/>
          <w:sz w:val="12"/>
        </w:rPr>
        <w:t>cf-art-61-par-1-inc-II-ali-c</w:t>
      </w:r>
      <w:r>
        <w:rPr>
          <w:color w:val="003CA0"/>
          <w:sz w:val="12"/>
        </w:rPr>
        <w:t xml:space="preserve"> | ADI 4.075</w:t>
      </w:r>
      <w:r>
        <w:rPr>
          <w:color w:val="003CA0"/>
          <w:sz w:val="12"/>
        </w:rPr>
        <w:t xml:space="preserve"> | rel. Joaquim Barbosa</w:t>
      </w:r>
    </w:p>
    <w:p>
      <w:pPr>
        <w:ind w:left="288"/>
      </w:pPr>
      <w:r>
        <w:rPr>
          <w:color w:val="1E1E1E"/>
          <w:sz w:val="18"/>
        </w:rPr>
        <w:t>A jurisprudência desta Corte firmou-se no sentido de que gera inconstitucionalidade formal a emenda parlamentar a projeto de lei de iniciativa do Ministério Público estadual que importa aumento de despesa.</w:t>
      </w:r>
    </w:p>
    <w:p>
      <w:pPr>
        <w:ind w:left="288"/>
      </w:pPr>
      <w:r>
        <w:rPr>
          <w:b/>
          <w:color w:val="003CA0"/>
          <w:sz w:val="16"/>
        </w:rPr>
        <w:t>[ADI 4.075 MC, rel. min. Joaquim Barbosa, j. 4-6-2008, P, DJE de 20-6-2008.]</w:t>
      </w:r>
    </w:p>
    <w:p>
      <w:pPr>
        <w:ind w:left="288"/>
      </w:pPr>
      <w:r>
        <w:rPr>
          <w:color w:val="8C8C8C"/>
          <w:sz w:val="12"/>
        </w:rPr>
        <w:t>cf-art-61-par-1-inc-II-ali-c</w:t>
      </w:r>
      <w:r>
        <w:rPr>
          <w:color w:val="003CA0"/>
          <w:sz w:val="12"/>
        </w:rPr>
        <w:t xml:space="preserve"> | ADI 126-4</w:t>
      </w:r>
      <w:r>
        <w:rPr>
          <w:color w:val="003CA0"/>
          <w:sz w:val="12"/>
        </w:rPr>
        <w:t xml:space="preserve"> | rel. O. Gallotti</w:t>
      </w:r>
    </w:p>
    <w:p>
      <w:pPr>
        <w:ind w:left="288"/>
      </w:pPr>
      <w:r>
        <w:rPr>
          <w:color w:val="1E1E1E"/>
          <w:sz w:val="18"/>
        </w:rPr>
        <w:t>No julgamento da ADI 126-4/RO, rel. min. O. Gallotti, o STF decidiu que a competência do Ministério Público para propor a fixação de vencimentos decorre do poder que lhe confere a Constituição de iniciativa para a criação de cargos (CF, art. 127, § 2º).</w:t>
      </w:r>
    </w:p>
    <w:p>
      <w:pPr>
        <w:ind w:left="288"/>
      </w:pPr>
      <w:r>
        <w:rPr>
          <w:b/>
          <w:color w:val="003CA0"/>
          <w:sz w:val="16"/>
        </w:rPr>
        <w:t>[ADI 595 MC, rel. min. Carlos Velloso, j. 30-10-1991, P, DJ de 13-12-1991.]</w:t>
      </w:r>
    </w:p>
    <w:p>
      <w:pPr>
        <w:ind w:left="288"/>
      </w:pPr>
      <w:r>
        <w:rPr>
          <w:color w:val="8C8C8C"/>
          <w:sz w:val="12"/>
        </w:rPr>
        <w:t>cf-art-61-par-1-inc-II-ali-e</w:t>
      </w:r>
      <w:r>
        <w:rPr>
          <w:color w:val="003CA0"/>
          <w:sz w:val="12"/>
        </w:rPr>
        <w:t xml:space="preserve"> | ADI 856</w:t>
      </w:r>
      <w:r>
        <w:rPr>
          <w:color w:val="003CA0"/>
          <w:sz w:val="12"/>
        </w:rPr>
        <w:t xml:space="preserve"> | rel. Luiz Fux</w:t>
      </w:r>
    </w:p>
    <w:p>
      <w:pPr>
        <w:ind w:left="288"/>
      </w:pPr>
      <w:r>
        <w:rPr>
          <w:color w:val="1E1E1E"/>
          <w:sz w:val="18"/>
        </w:rPr>
        <w:t>Aposentadoria especial. Funções de magistério. Definição. Projeto de lei de iniciativa privativa do chefe do executivo (...). (...) O Chefe do Executivo possui a iniciativa privativa de leis que disponham sobre servidores públicos da União e Territórios, seu regime jurídico, provimento de cargos, estabilidade e aposentadoria de civis, reforma e transferência de militares para a inatividade, bem como sobre criação, estruturação e atribuições dos Ministérios e órgãos da administração pública, ex vi do art. 61, II, alíneas c e e, da Carta Magna.</w:t>
        <w:br/>
        <w:t>[ADI 856, rel. min. Luiz Fux, j. 4-9-2023, P, DJE d</w:t>
      </w:r>
    </w:p>
    <w:p>
      <w:pPr>
        <w:ind w:left="288"/>
      </w:pPr>
      <w:r>
        <w:rPr>
          <w:b/>
          <w:color w:val="003CA0"/>
          <w:sz w:val="16"/>
        </w:rPr>
        <w:t>[ADI 5.293, rel. min. Alexandre de Moraes, j. 8-11-2017, P, DJE de 21-11-2017.]</w:t>
      </w:r>
    </w:p>
    <w:p>
      <w:pPr>
        <w:ind w:left="288"/>
      </w:pPr>
      <w:r>
        <w:rPr>
          <w:color w:val="8C8C8C"/>
          <w:sz w:val="12"/>
        </w:rPr>
        <w:t>cf-art-61-par-1-inc-II-ali-e</w:t>
      </w:r>
      <w:r>
        <w:rPr>
          <w:color w:val="003CA0"/>
          <w:sz w:val="12"/>
        </w:rPr>
        <w:t xml:space="preserve"> | ADI 2.443</w:t>
      </w:r>
      <w:r>
        <w:rPr>
          <w:color w:val="003CA0"/>
          <w:sz w:val="12"/>
        </w:rPr>
        <w:t xml:space="preserve"> | rel. Marco Aurélio</w:t>
      </w:r>
    </w:p>
    <w:p>
      <w:pPr>
        <w:ind w:left="288"/>
      </w:pPr>
      <w:r>
        <w:rPr>
          <w:color w:val="1E1E1E"/>
          <w:sz w:val="18"/>
        </w:rPr>
        <w:t>Consoante disposto na Carta da República, incumbe ao chefe do Poder Executivo o encaminhamento de projeto de lei que vise alterar procedimento adotado no respectivo âmbito. (...) A iniciativa de projeto de lei objetivando a disciplina de central de atendimento telefônico de serviço do Executivo cabe a este último e não ao Parlamento.</w:t>
        <w:br/>
        <w:t>[ADI 2.443, rel. min. Marco Aurélio, j. 25-9-2014, P, DJE de 3-11-2014.] Reconhecida a inconstitucionalidade de dispositivo de lei, de iniciativa parlamentar, que restringe matérias a serem publicadas no Diário Oficial do Estado por vício de natureza formal e mate</w:t>
      </w:r>
    </w:p>
    <w:p>
      <w:pPr>
        <w:ind w:left="288"/>
      </w:pPr>
      <w:r>
        <w:rPr>
          <w:b/>
          <w:color w:val="003CA0"/>
          <w:sz w:val="16"/>
        </w:rPr>
        <w:t>[ADI 2.294, rel. min. Ricardo Lewandowski, j. 27-8-2014, P, DJE de 11-9-2014.]</w:t>
      </w:r>
    </w:p>
    <w:p>
      <w:pPr>
        <w:ind w:left="288"/>
      </w:pPr>
      <w:r>
        <w:rPr>
          <w:color w:val="8C8C8C"/>
          <w:sz w:val="12"/>
        </w:rPr>
        <w:t>cf-art-61-par-1-inc-II-ali-e</w:t>
      </w:r>
      <w:r>
        <w:rPr>
          <w:color w:val="003CA0"/>
          <w:sz w:val="12"/>
        </w:rPr>
        <w:t xml:space="preserve"> | ADI 2.329</w:t>
      </w:r>
      <w:r>
        <w:rPr>
          <w:color w:val="003CA0"/>
          <w:sz w:val="12"/>
        </w:rPr>
        <w:t xml:space="preserve"> | rel. Cármen Lúcia</w:t>
      </w:r>
    </w:p>
    <w:p>
      <w:pPr>
        <w:ind w:left="288"/>
      </w:pPr>
      <w:r>
        <w:rPr>
          <w:color w:val="1E1E1E"/>
          <w:sz w:val="18"/>
        </w:rPr>
        <w:t>Lei alagoana 6.153, de 11-5-2000, que cria o programa de leitura de jornais e periódicos em sala de aula, a ser cumprido pelas escolas da rede oficial e particular do Estado de Alagoas. Iniciativa privativa do chefe do Poder Executivo estadual para legislar sobre organização administrativa no âmbito do Estado. Lei de iniciativa parlamentar que afronta o art. 61, § 1º, II, e, da Constituição da República, ao alterar a atribuição da Secretaria de Educação do Estado de Alagoas. Princípio da simetria federativa de competências. Iniciativa louvável do legislador alagoano que não retira o vício form</w:t>
      </w:r>
    </w:p>
    <w:p>
      <w:pPr>
        <w:ind w:left="288"/>
      </w:pPr>
      <w:r>
        <w:rPr>
          <w:b/>
          <w:color w:val="003CA0"/>
          <w:sz w:val="16"/>
        </w:rPr>
        <w:t>[ADI 2.329, rel. min. Cármen Lúcia, j. 14-4-2010, P, DJE de 25-6-2010.]</w:t>
      </w:r>
    </w:p>
    <w:p>
      <w:pPr>
        <w:ind w:left="288"/>
      </w:pPr>
      <w:r>
        <w:rPr>
          <w:color w:val="8C8C8C"/>
          <w:sz w:val="12"/>
        </w:rPr>
        <w:t>cf-art-61-par-1-inc-II-ali-e</w:t>
      </w:r>
      <w:r>
        <w:rPr>
          <w:color w:val="003CA0"/>
          <w:sz w:val="12"/>
        </w:rPr>
        <w:t xml:space="preserve"> | ADI 2.857</w:t>
      </w:r>
      <w:r>
        <w:rPr>
          <w:color w:val="003CA0"/>
          <w:sz w:val="12"/>
        </w:rPr>
        <w:t xml:space="preserve"> | rel. Joaquim Barbosa</w:t>
      </w:r>
    </w:p>
    <w:p>
      <w:pPr>
        <w:ind w:left="288"/>
      </w:pPr>
      <w:r>
        <w:rPr>
          <w:color w:val="1E1E1E"/>
          <w:sz w:val="18"/>
        </w:rPr>
        <w:t>A Lei 6.835/2001, de iniciativa da Mesa da Assembleia Legislativa do Estado do Espírito Santo, cria nova atribuição à Secretaria de Fazenda Estadual, órgão integrante do Poder Executivo daquele Estado. À luz do princípio da simetria, são de iniciativa do chefe do Poder Executivo estadual as leis que versem sobre a organização administrativa do Estado, podendo a questão referente à organização e funcionamento da administração estadual, quando não importar aumento de despesa, ser regulamentada por meio de decreto do chefe do Poder Executivo (...). Inconstitucionalidade formal, por vício de inici</w:t>
      </w:r>
    </w:p>
    <w:p>
      <w:pPr>
        <w:ind w:left="288"/>
      </w:pPr>
      <w:r>
        <w:rPr>
          <w:b/>
          <w:color w:val="003CA0"/>
          <w:sz w:val="16"/>
        </w:rPr>
        <w:t>[ADI 2.857, rel. min. Joaquim Barbosa, j. 30-8-2007, P, DJ de 30-11-2007.]</w:t>
      </w:r>
    </w:p>
    <w:p>
      <w:pPr>
        <w:ind w:left="288"/>
      </w:pPr>
      <w:r>
        <w:rPr>
          <w:color w:val="8C8C8C"/>
          <w:sz w:val="12"/>
        </w:rPr>
        <w:t>cf-art-61-par-1-inc-II-ali-e</w:t>
      </w:r>
      <w:r>
        <w:rPr>
          <w:color w:val="003CA0"/>
          <w:sz w:val="12"/>
        </w:rPr>
        <w:t xml:space="preserve"> | ADI 3.180</w:t>
      </w:r>
      <w:r>
        <w:rPr>
          <w:color w:val="003CA0"/>
          <w:sz w:val="12"/>
        </w:rPr>
        <w:t xml:space="preserve"> | rel. Joaquim Barbosa</w:t>
      </w:r>
    </w:p>
    <w:p>
      <w:pPr>
        <w:ind w:left="288"/>
      </w:pPr>
      <w:r>
        <w:rPr>
          <w:color w:val="1E1E1E"/>
          <w:sz w:val="18"/>
        </w:rPr>
        <w:t>Lei 781, de 2003, do Estado do Amapá, que, em seus arts. 4º, 5º e 6º, estabelece obrigações para o Poder Executivo instituir e organizar sistema de avaliação de satisfação dos usuários de serviços públicos. Inconstitucionalidade formal, em virtude de a lei ter-se originado de iniciativa da Assembleia Legislativa. Processo legislativo que deveria ter sido inaugurado por iniciativa do governador do Estado (CF, art. 61, § 1º, II, e).</w:t>
      </w:r>
    </w:p>
    <w:p>
      <w:pPr>
        <w:ind w:left="288"/>
      </w:pPr>
      <w:r>
        <w:rPr>
          <w:b/>
          <w:color w:val="003CA0"/>
          <w:sz w:val="16"/>
        </w:rPr>
        <w:t>[ADI 3.180, rel. min. Joaquim Barbosa, j. 17-5-2007, P, DJ de 15-6-2007.]</w:t>
      </w:r>
    </w:p>
    <w:p>
      <w:pPr>
        <w:ind w:left="288"/>
      </w:pPr>
      <w:r>
        <w:rPr>
          <w:color w:val="8C8C8C"/>
          <w:sz w:val="12"/>
        </w:rPr>
        <w:t>cf-art-61-par-1-inc-II-ali-e</w:t>
      </w:r>
      <w:r>
        <w:rPr>
          <w:color w:val="003CA0"/>
          <w:sz w:val="12"/>
        </w:rPr>
        <w:t xml:space="preserve"> | ADI 1.275</w:t>
      </w:r>
      <w:r>
        <w:rPr>
          <w:color w:val="003CA0"/>
          <w:sz w:val="12"/>
        </w:rPr>
        <w:t xml:space="preserve"> | rel. Ricardo Lewandowski</w:t>
      </w:r>
    </w:p>
    <w:p>
      <w:pPr>
        <w:ind w:left="288"/>
      </w:pPr>
      <w:r>
        <w:rPr>
          <w:color w:val="1E1E1E"/>
          <w:sz w:val="18"/>
        </w:rPr>
        <w:t>Lei do Estado de São Paulo. Criação do Conselho Estadual de Controle e Fiscalização do Sangue (COFISAN), órgão auxiliar da Secretaria de Estado da Saúde. Lei de iniciativa parlamentar. Vício de iniciativa. Inconstitucionalidade reconhecida. Projeto de lei que visa à criação e estruturação de órgão da administração pública: iniciativa do chefe do Poder Executivo (art. 61, § 1º, II, e, CF/1988). Princípio da simetria.</w:t>
      </w:r>
    </w:p>
    <w:p>
      <w:pPr>
        <w:ind w:left="288"/>
      </w:pPr>
      <w:r>
        <w:rPr>
          <w:b/>
          <w:color w:val="003CA0"/>
          <w:sz w:val="16"/>
        </w:rPr>
        <w:t>[ADI 1.275, rel. min. Ricardo Lewandowski, j. 16-5-2007, P, DJ de 8-6-2007.]</w:t>
      </w:r>
    </w:p>
    <w:p>
      <w:pPr>
        <w:ind w:left="288"/>
      </w:pPr>
      <w:r>
        <w:rPr>
          <w:color w:val="8C8C8C"/>
          <w:sz w:val="12"/>
        </w:rPr>
        <w:t>cf-art-61-par-1-inc-II-ali-e</w:t>
      </w:r>
      <w:r>
        <w:rPr>
          <w:color w:val="003CA0"/>
          <w:sz w:val="12"/>
        </w:rPr>
        <w:t xml:space="preserve"> | ADI 3.179</w:t>
      </w:r>
      <w:r>
        <w:rPr>
          <w:color w:val="003CA0"/>
          <w:sz w:val="12"/>
        </w:rPr>
        <w:t xml:space="preserve"> | rel. Cezar Peluso</w:t>
      </w:r>
    </w:p>
    <w:p>
      <w:pPr>
        <w:ind w:left="288"/>
      </w:pPr>
      <w:r>
        <w:rPr>
          <w:color w:val="1E1E1E"/>
          <w:sz w:val="18"/>
        </w:rPr>
        <w:t>= ADI 3.179, rel. min. Cezar Peluso, j. 27-5-2010, P, DJE de 10-9-2010 Lei de iniciativa do Ministério Público. (...) O texto normativo criou novo órgão na administração pública estadual, composto, entre outros membros, por dois secretários de Estado, além de acarretar ônus para o Estado-membro. Afronta ao disposto no art. 61, § 1º, II, e, da Constituição do Brasil.</w:t>
      </w:r>
    </w:p>
    <w:p>
      <w:pPr>
        <w:ind w:left="288"/>
      </w:pPr>
      <w:r>
        <w:rPr>
          <w:b/>
          <w:color w:val="003CA0"/>
          <w:sz w:val="16"/>
        </w:rPr>
        <w:t>[ADI 603, rel. min. Eros Grau, j. 17-8-2006, P, DJ de 6-10-2006.]</w:t>
      </w:r>
    </w:p>
    <w:p>
      <w:pPr>
        <w:ind w:left="288"/>
      </w:pPr>
      <w:r>
        <w:rPr>
          <w:color w:val="8C8C8C"/>
          <w:sz w:val="12"/>
        </w:rPr>
        <w:t>cf-art-61-par-1-inc-II-ali-e</w:t>
      </w:r>
      <w:r>
        <w:rPr>
          <w:color w:val="003CA0"/>
          <w:sz w:val="12"/>
        </w:rPr>
        <w:t xml:space="preserve"> | ADI 1.144</w:t>
      </w:r>
      <w:r>
        <w:rPr>
          <w:color w:val="003CA0"/>
          <w:sz w:val="12"/>
        </w:rPr>
        <w:t xml:space="preserve"> | rel. Eros Grau</w:t>
      </w:r>
    </w:p>
    <w:p>
      <w:pPr>
        <w:ind w:left="288"/>
      </w:pPr>
      <w:r>
        <w:rPr>
          <w:color w:val="1E1E1E"/>
          <w:sz w:val="18"/>
        </w:rPr>
        <w:t>Lei 10.238/1994 do Estado do Rio Grande do Sul. Instituição do programa estadual de iluminação pública, destinado aos Municípios. Criação de um conselho para administrar o programa. (...) Vício de iniciativa, vez que o projeto de lei foi apresentado por um parlamentar, embora trate de matéria típica de administração. O texto normativo criou novo órgão na administração pública estadual, o Conselho de Administração, composto, entre outros, por dois secretários de Estado, além de acarretar ônus para o Estado-membro.</w:t>
      </w:r>
    </w:p>
    <w:p>
      <w:pPr>
        <w:ind w:left="288"/>
      </w:pPr>
      <w:r>
        <w:rPr>
          <w:b/>
          <w:color w:val="003CA0"/>
          <w:sz w:val="16"/>
        </w:rPr>
        <w:t>[ADI 1.144, rel. min. Eros Grau, j. 16-8-2006, P, DJ de 8-9-2006.]</w:t>
      </w:r>
    </w:p>
    <w:p>
      <w:pPr>
        <w:ind w:left="288"/>
      </w:pPr>
      <w:r>
        <w:rPr>
          <w:color w:val="8C8C8C"/>
          <w:sz w:val="12"/>
        </w:rPr>
        <w:t>cf-art-61-par-1-inc-II-ali-e</w:t>
      </w:r>
      <w:r>
        <w:rPr>
          <w:color w:val="003CA0"/>
          <w:sz w:val="12"/>
        </w:rPr>
        <w:t xml:space="preserve"> | ADI 3.254</w:t>
      </w:r>
      <w:r>
        <w:rPr>
          <w:color w:val="003CA0"/>
          <w:sz w:val="12"/>
        </w:rPr>
        <w:t xml:space="preserve"> | rel. Ellen Gracie</w:t>
      </w:r>
    </w:p>
    <w:p>
      <w:pPr>
        <w:ind w:left="288"/>
      </w:pPr>
      <w:r>
        <w:rPr>
          <w:color w:val="1E1E1E"/>
          <w:sz w:val="18"/>
        </w:rPr>
        <w:t>É indispensável a iniciativa do chefe do Poder Executivo (mediante projeto de lei ou mesmo, após a EC 32/2001, por meio de decreto) na elaboração de normas que de alguma forma remodelem as atribuições de órgão pertencente à estrutura administrativa de determinada unidade da Federação.</w:t>
      </w:r>
    </w:p>
    <w:p>
      <w:pPr>
        <w:ind w:left="288"/>
      </w:pPr>
      <w:r>
        <w:rPr>
          <w:b/>
          <w:color w:val="003CA0"/>
          <w:sz w:val="16"/>
        </w:rPr>
        <w:t>[ADI 3.254, rel. min. Ellen Gracie, j. 16-11-2005, P, DJ de 2-12-2005.]</w:t>
      </w:r>
    </w:p>
    <w:p>
      <w:pPr>
        <w:ind w:left="288"/>
      </w:pPr>
      <w:r>
        <w:rPr>
          <w:color w:val="8C8C8C"/>
          <w:sz w:val="12"/>
        </w:rPr>
        <w:t>cf-art-61-par-1-inc-II-ali-e</w:t>
      </w:r>
      <w:r>
        <w:rPr>
          <w:color w:val="003CA0"/>
          <w:sz w:val="12"/>
        </w:rPr>
        <w:t xml:space="preserve"> | AI 643.926</w:t>
      </w:r>
      <w:r>
        <w:rPr>
          <w:color w:val="003CA0"/>
          <w:sz w:val="12"/>
        </w:rPr>
        <w:t xml:space="preserve"> | rel. Dias Toffoli</w:t>
      </w:r>
    </w:p>
    <w:p>
      <w:pPr>
        <w:ind w:left="288"/>
      </w:pPr>
      <w:r>
        <w:rPr>
          <w:color w:val="1E1E1E"/>
          <w:sz w:val="18"/>
        </w:rPr>
        <w:t>= AI 643.926 ED, rel. min. Dias Toffoli, j. 13-3-2012, 1ª T, DJE de 12-4-2012</w:t>
      </w:r>
    </w:p>
    <w:p>
      <w:pPr>
        <w:ind w:left="288"/>
      </w:pPr>
      <w:r>
        <w:rPr>
          <w:color w:val="8C8C8C"/>
          <w:sz w:val="12"/>
        </w:rPr>
        <w:t>cf-art-61-par-1-inc-II-ali-f</w:t>
      </w:r>
      <w:r>
        <w:rPr>
          <w:color w:val="003CA0"/>
          <w:sz w:val="12"/>
        </w:rPr>
        <w:t xml:space="preserve"> | ADI 2.966</w:t>
      </w:r>
      <w:r>
        <w:rPr>
          <w:color w:val="003CA0"/>
          <w:sz w:val="12"/>
        </w:rPr>
        <w:t xml:space="preserve"> | rel. Joaquim Barbosa</w:t>
      </w:r>
    </w:p>
    <w:p>
      <w:pPr>
        <w:ind w:left="288"/>
      </w:pPr>
      <w:r>
        <w:rPr>
          <w:color w:val="1E1E1E"/>
          <w:sz w:val="18"/>
        </w:rPr>
        <w:t>À luz do princípio da simetria, é de iniciativa privativa do chefe do Poder Executivo estadual as leis que disciplinem o regime jurídico dos militares (art. 61, § 1º, II, f, da CF/1988). Matéria restrita à iniciativa do Poder Executivo não pode ser regulada por emenda constitucional de origem parlamentar.</w:t>
      </w:r>
    </w:p>
    <w:p>
      <w:pPr>
        <w:ind w:left="288"/>
      </w:pPr>
      <w:r>
        <w:rPr>
          <w:b/>
          <w:color w:val="003CA0"/>
          <w:sz w:val="16"/>
        </w:rPr>
        <w:t>[ADI 2.966, rel. min. Joaquim Barbosa, j. 6-4-2005, P, DJ de 6-5-2005.]</w:t>
      </w:r>
    </w:p>
    <w:p>
      <w:pPr>
        <w:ind w:left="288"/>
      </w:pPr>
      <w:r>
        <w:rPr>
          <w:color w:val="8C8C8C"/>
          <w:sz w:val="12"/>
        </w:rPr>
        <w:t>cf-art-61-par-1-inc-II-ali-f</w:t>
      </w:r>
      <w:r>
        <w:rPr>
          <w:color w:val="003CA0"/>
          <w:sz w:val="12"/>
        </w:rPr>
        <w:t xml:space="preserve"> | ADI 858</w:t>
      </w:r>
      <w:r>
        <w:rPr>
          <w:color w:val="003CA0"/>
          <w:sz w:val="12"/>
        </w:rPr>
        <w:t xml:space="preserve"> | rel. Ricardo Lewandowski</w:t>
      </w:r>
    </w:p>
    <w:p>
      <w:pPr>
        <w:ind w:left="288"/>
      </w:pPr>
      <w:r>
        <w:rPr>
          <w:color w:val="1E1E1E"/>
          <w:sz w:val="18"/>
        </w:rPr>
        <w:t>= ADI 858, rel. min. Ricardo Lewandowski, j. 13-2-2008, P, DJE de 28-3-2008 Vide ADI 2.102, rel. min. Menezes Direito, j. 15-4-2009, P, DJE de 21-8-2009</w:t>
      </w:r>
    </w:p>
    <w:p>
      <w:r>
        <w:rPr>
          <w:b/>
          <w:color w:val="003366"/>
          <w:sz w:val="20"/>
        </w:rPr>
        <w:t>Art. 62 A lei criará o Serviço Nacional de Aprendizagem Rural (SENAR) nos moldes</w:t>
      </w:r>
      <w:r>
        <w:rPr>
          <w:color w:val="8C8C8C"/>
          <w:sz w:val="14"/>
        </w:rPr>
        <w:t xml:space="preserve">  [47 decisoes]</w:t>
      </w:r>
    </w:p>
    <w:p>
      <w:pPr>
        <w:ind w:left="288"/>
      </w:pPr>
      <w:r>
        <w:rPr>
          <w:color w:val="8C8C8C"/>
          <w:sz w:val="12"/>
        </w:rPr>
        <w:t>cf-art-62</w:t>
      </w:r>
      <w:r>
        <w:rPr>
          <w:color w:val="003CA0"/>
          <w:sz w:val="12"/>
        </w:rPr>
        <w:t xml:space="preserve"> | ADI 2.527</w:t>
      </w:r>
      <w:r>
        <w:rPr>
          <w:color w:val="003CA0"/>
          <w:sz w:val="12"/>
        </w:rPr>
        <w:t xml:space="preserve"> | rel. Cármen Lúcia</w:t>
      </w:r>
    </w:p>
    <w:p>
      <w:pPr>
        <w:ind w:left="288"/>
      </w:pPr>
      <w:r>
        <w:rPr>
          <w:color w:val="1E1E1E"/>
          <w:sz w:val="18"/>
        </w:rPr>
        <w:t>Ausência de revogação do caput do art. 896-A, incluído pela Medida Provisória n. 2.226/2011 na Consolidação das Leis do Trabalho. (...) Editada a Medida Provisória n. 2.226, de 4.9.2001, antes da Emenda Constitucional n. 32, de 11.9.2001, e não tendo sido revogada por medida provisória posterior nem por deliberação definitiva do Congresso Nacional, a norma instituída no art. 1º da Medida Provisória n. 2.226/2001 não perdeu validade. (...) Para a solução da controvérsia, há de considerarem o decurso de mais de vinte e quatro anos desde a entrada em vigor da Medida Provisória n. 2.226, de 4.9.20</w:t>
      </w:r>
    </w:p>
    <w:p>
      <w:pPr>
        <w:ind w:left="288"/>
      </w:pPr>
      <w:r>
        <w:rPr>
          <w:b/>
          <w:color w:val="003CA0"/>
          <w:sz w:val="16"/>
        </w:rPr>
        <w:t>[ADI 2.527, rel. min. Cármen Lúcia, j. 09.10.2025, P, DJE de 16.12.2025.]</w:t>
      </w:r>
    </w:p>
    <w:p>
      <w:pPr>
        <w:ind w:left="144"/>
      </w:pPr>
      <w:r>
        <w:rPr>
          <w:b/>
          <w:color w:val="B45A00"/>
          <w:sz w:val="16"/>
        </w:rPr>
        <w:t>CONTROLE CONCENTRADO</w:t>
      </w:r>
    </w:p>
    <w:p>
      <w:pPr>
        <w:ind w:left="288"/>
      </w:pPr>
      <w:r>
        <w:rPr>
          <w:color w:val="8C8C8C"/>
          <w:sz w:val="12"/>
        </w:rPr>
        <w:t>cf-art-62</w:t>
      </w:r>
      <w:r>
        <w:rPr>
          <w:color w:val="003CA0"/>
          <w:sz w:val="12"/>
        </w:rPr>
        <w:t xml:space="preserve"> | ADI 7.232</w:t>
      </w:r>
      <w:r>
        <w:rPr>
          <w:color w:val="003CA0"/>
          <w:sz w:val="12"/>
        </w:rPr>
        <w:t xml:space="preserve"> | rel. Cármen Lúcia</w:t>
      </w:r>
    </w:p>
    <w:p>
      <w:pPr>
        <w:ind w:left="288"/>
      </w:pPr>
      <w:r>
        <w:rPr>
          <w:color w:val="1E1E1E"/>
          <w:sz w:val="18"/>
        </w:rPr>
        <w:t>Nos termos do inc. III do § 1° do art. 62 da Constituição da República, é vedado ao Poder Executivo editar medida provisória que disponha sobre matéria reservada a lei complementar.</w:t>
      </w:r>
    </w:p>
    <w:p>
      <w:pPr>
        <w:ind w:left="288"/>
      </w:pPr>
      <w:r>
        <w:rPr>
          <w:b/>
          <w:color w:val="003CA0"/>
          <w:sz w:val="16"/>
        </w:rPr>
        <w:t>[ADI 7.232-MC-Ref, rel. min. Cármen Lúcia, j. 10-11-2022, P, DJE de 10-1-2023.]</w:t>
      </w:r>
    </w:p>
    <w:p>
      <w:pPr>
        <w:ind w:left="288"/>
      </w:pPr>
      <w:r>
        <w:rPr>
          <w:color w:val="8C8C8C"/>
          <w:sz w:val="12"/>
        </w:rPr>
        <w:t>cf-art-62</w:t>
      </w:r>
      <w:r>
        <w:rPr>
          <w:color w:val="003CA0"/>
          <w:sz w:val="12"/>
        </w:rPr>
        <w:t xml:space="preserve"> | ADI 7.232</w:t>
      </w:r>
      <w:r>
        <w:rPr>
          <w:color w:val="003CA0"/>
          <w:sz w:val="12"/>
        </w:rPr>
        <w:t xml:space="preserve"> | rel. Cármen Lúcia</w:t>
      </w:r>
    </w:p>
    <w:p>
      <w:pPr>
        <w:ind w:left="288"/>
      </w:pPr>
      <w:r>
        <w:rPr>
          <w:color w:val="1E1E1E"/>
          <w:sz w:val="18"/>
        </w:rPr>
        <w:t>A jurisprudência deste Supremo Tribunal admite o controle de constitucionalidade de medida provisória quando se comprove desvio de finalidade ou abuso da competência normativa do Chefe do Executivo, pela ausência dos requisitos constitucionais de relevância e urgência. Na espécie, o Presidente da República valeu-se de medida provisória para desconstituir o que deliberado pelo Congresso Nacional e reafirmado na derrubada dos vetos presidenciais às normas alteradas pela Medida Provisória n. 1.135/2022.</w:t>
      </w:r>
    </w:p>
    <w:p>
      <w:pPr>
        <w:ind w:left="288"/>
      </w:pPr>
      <w:r>
        <w:rPr>
          <w:b/>
          <w:color w:val="003CA0"/>
          <w:sz w:val="16"/>
        </w:rPr>
        <w:t>[ADI 7.232-MC-Ref, rel. min. Cármen Lúcia, j. 10-11-2022, P, DJE de 10-1-2023.]</w:t>
      </w:r>
    </w:p>
    <w:p>
      <w:pPr>
        <w:ind w:left="288"/>
      </w:pPr>
      <w:r>
        <w:rPr>
          <w:color w:val="8C8C8C"/>
          <w:sz w:val="12"/>
        </w:rPr>
        <w:t>cf-art-62</w:t>
      </w:r>
      <w:r>
        <w:rPr>
          <w:color w:val="003CA0"/>
          <w:sz w:val="12"/>
        </w:rPr>
        <w:t xml:space="preserve"> | ADI 4.980</w:t>
      </w:r>
      <w:r>
        <w:rPr>
          <w:color w:val="003CA0"/>
          <w:sz w:val="12"/>
        </w:rPr>
        <w:t xml:space="preserve"> | rel. Nunes Marques</w:t>
      </w:r>
    </w:p>
    <w:p>
      <w:pPr>
        <w:ind w:left="288"/>
      </w:pPr>
      <w:r>
        <w:rPr>
          <w:color w:val="1E1E1E"/>
          <w:sz w:val="18"/>
        </w:rPr>
        <w:t>A conversão de medida provisória em lei, com absorção de conteúdo, torna prejudicado o debate sobre o atendimento dos pressupostos de sua admissibilidade.</w:t>
      </w:r>
    </w:p>
    <w:p>
      <w:pPr>
        <w:ind w:left="288"/>
      </w:pPr>
      <w:r>
        <w:rPr>
          <w:b/>
          <w:color w:val="003CA0"/>
          <w:sz w:val="16"/>
        </w:rPr>
        <w:t>[ADI 4.980, rel. min. Nunes Marques, j. 10-3-2022, P, DJE de 17-5-2022.]</w:t>
      </w:r>
    </w:p>
    <w:p>
      <w:pPr>
        <w:ind w:left="288"/>
      </w:pPr>
      <w:r>
        <w:rPr>
          <w:color w:val="8C8C8C"/>
          <w:sz w:val="12"/>
        </w:rPr>
        <w:t>cf-art-62</w:t>
      </w:r>
      <w:r>
        <w:rPr>
          <w:color w:val="003CA0"/>
          <w:sz w:val="12"/>
        </w:rPr>
        <w:t xml:space="preserve"> | ADI 5.709</w:t>
      </w:r>
      <w:r>
        <w:rPr>
          <w:color w:val="003CA0"/>
          <w:sz w:val="12"/>
        </w:rPr>
        <w:t xml:space="preserve"> | rel. Rosa Weber</w:t>
      </w:r>
    </w:p>
    <w:p>
      <w:pPr>
        <w:ind w:left="288"/>
      </w:pPr>
      <w:r>
        <w:rPr>
          <w:color w:val="1E1E1E"/>
          <w:sz w:val="18"/>
        </w:rPr>
        <w:t>Medida provisória não revoga lei anterior, mas apenas suspende seus efeitos no ordenamento jurídico, em face do seu caráter transitório e precário. Assim, aprovada a medida provisória pela Câmara e pelo Senado, surge nova lei, a qual terá o efeito de revogar lei antecedente. Todavia, caso a medida provisória seja rejeitada (expressa ou tacitamente), a lei primeira vigente no ordenamento, e que estava suspensa, volta a ter eficácia.</w:t>
      </w:r>
    </w:p>
    <w:p>
      <w:pPr>
        <w:ind w:left="288"/>
      </w:pPr>
      <w:r>
        <w:rPr>
          <w:b/>
          <w:color w:val="003CA0"/>
          <w:sz w:val="16"/>
        </w:rPr>
        <w:t>[ADI 5.709, ADI 5.716, ADI 5.717 e ADI 5.727, rel. min. Rosa Weber, j. 27-3-2019, P, DJE de 28-6-2019.]</w:t>
      </w:r>
    </w:p>
    <w:p>
      <w:pPr>
        <w:ind w:left="288"/>
      </w:pPr>
      <w:r>
        <w:rPr>
          <w:color w:val="8C8C8C"/>
          <w:sz w:val="12"/>
        </w:rPr>
        <w:t>cf-art-62</w:t>
      </w:r>
      <w:r>
        <w:rPr>
          <w:color w:val="003CA0"/>
          <w:sz w:val="12"/>
        </w:rPr>
        <w:t xml:space="preserve"> | ADI 3.330</w:t>
      </w:r>
      <w:r>
        <w:rPr>
          <w:color w:val="003CA0"/>
          <w:sz w:val="12"/>
        </w:rPr>
        <w:t xml:space="preserve"> | rel. Ayres Britto</w:t>
      </w:r>
    </w:p>
    <w:p>
      <w:pPr>
        <w:ind w:left="288"/>
      </w:pPr>
      <w:r>
        <w:rPr>
          <w:color w:val="1E1E1E"/>
          <w:sz w:val="18"/>
        </w:rPr>
        <w:t>A conversão de medida provisória em lei não prejudica o debate jurisdicional sobre o atendimento dos pressupostos de admissibilidade desse espécime de ato da ordem legislativa.</w:t>
        <w:br/>
        <w:t>[ADI 3.330, rel. min. Ayres Britto, j. 3-5-2012, P, DJE de 22-3-2013.] Conversão da medida provisória na Lei 11.658/2008, sem alteração substancial. Aditamento ao pedido inicial. Inexistência de obstáculo processual ao prosseguimento do julgamento. A lei de conversão não convalida os vícios existentes na medida provisória.</w:t>
      </w:r>
    </w:p>
    <w:p>
      <w:pPr>
        <w:ind w:left="288"/>
      </w:pPr>
      <w:r>
        <w:rPr>
          <w:b/>
          <w:color w:val="003CA0"/>
          <w:sz w:val="16"/>
        </w:rPr>
        <w:t>[ADI 4.048 MC, rel. min. Gilmar Mendes, j. 14-5-2008, P, DJE de 22-8-2008.]</w:t>
      </w:r>
    </w:p>
    <w:p>
      <w:pPr>
        <w:ind w:left="288"/>
      </w:pPr>
      <w:r>
        <w:rPr>
          <w:color w:val="8C8C8C"/>
          <w:sz w:val="12"/>
        </w:rPr>
        <w:t>cf-art-62</w:t>
      </w:r>
      <w:r>
        <w:rPr>
          <w:color w:val="003CA0"/>
          <w:sz w:val="12"/>
        </w:rPr>
        <w:t xml:space="preserve"> | ADI 4.049</w:t>
      </w:r>
      <w:r>
        <w:rPr>
          <w:color w:val="003CA0"/>
          <w:sz w:val="12"/>
        </w:rPr>
        <w:t xml:space="preserve"> | rel. Ayres Britto</w:t>
      </w:r>
    </w:p>
    <w:p>
      <w:pPr>
        <w:ind w:left="288"/>
      </w:pPr>
      <w:r>
        <w:rPr>
          <w:color w:val="1E1E1E"/>
          <w:sz w:val="18"/>
        </w:rPr>
        <w:t>= ADI 4.049 MC, rel. min. Ayres Britto, j. 5-11-2008, P, DJE de 8-5-2009 Esta Suprema Corte somente admite o exame jurisdicional do mérito dos requisitos de relevância e urgência na edição de medida provisória em casos excepcionalíssimos, em que a ausência desses pressupostos seja evidente.</w:t>
      </w:r>
    </w:p>
    <w:p>
      <w:pPr>
        <w:ind w:left="288"/>
      </w:pPr>
      <w:r>
        <w:rPr>
          <w:b/>
          <w:color w:val="003CA0"/>
          <w:sz w:val="16"/>
        </w:rPr>
        <w:t>[ADI 2.527 MC, rel. min. Ellen Gracie, j. 16-8-2007, P, DJ de 23-11-2007.]</w:t>
      </w:r>
    </w:p>
    <w:p>
      <w:pPr>
        <w:ind w:left="288"/>
      </w:pPr>
      <w:r>
        <w:rPr>
          <w:color w:val="8C8C8C"/>
          <w:sz w:val="12"/>
        </w:rPr>
        <w:t>cf-art-62</w:t>
      </w:r>
      <w:r>
        <w:rPr>
          <w:color w:val="003CA0"/>
          <w:sz w:val="12"/>
        </w:rPr>
        <w:t xml:space="preserve"> | ADC 11</w:t>
      </w:r>
      <w:r>
        <w:rPr>
          <w:color w:val="003CA0"/>
          <w:sz w:val="12"/>
        </w:rPr>
        <w:t xml:space="preserve"> | rel. Cezar Peluso</w:t>
      </w:r>
    </w:p>
    <w:p>
      <w:pPr>
        <w:ind w:left="288"/>
      </w:pPr>
      <w:r>
        <w:rPr>
          <w:color w:val="1E1E1E"/>
          <w:sz w:val="18"/>
        </w:rPr>
        <w:t>Conforme entendimento consolidado da Corte, os requisitos constitucionais legitimadores da edição de medidas provisórias, vertidos nos conceitos jurídicos indeterminados de "relevância" e "urgência" (art. 62 da CF), apenas em caráter excepcional se submetem ao crivo do Poder Judiciário, por força da regra da separação de poderes (art. 2º da CF).</w:t>
      </w:r>
    </w:p>
    <w:p>
      <w:pPr>
        <w:ind w:left="288"/>
      </w:pPr>
      <w:r>
        <w:rPr>
          <w:b/>
          <w:color w:val="003CA0"/>
          <w:sz w:val="16"/>
        </w:rPr>
        <w:t>[ADC 11 MC, voto do rel. min. Cezar Peluso, j. 28-3-2007, P, DJ de 29-6-2007.]</w:t>
      </w:r>
    </w:p>
    <w:p>
      <w:pPr>
        <w:ind w:left="288"/>
      </w:pPr>
      <w:r>
        <w:rPr>
          <w:color w:val="8C8C8C"/>
          <w:sz w:val="12"/>
        </w:rPr>
        <w:t>cf-art-62</w:t>
      </w:r>
      <w:r>
        <w:rPr>
          <w:color w:val="003CA0"/>
          <w:sz w:val="12"/>
        </w:rPr>
        <w:t xml:space="preserve"> | ADI 4.029</w:t>
      </w:r>
      <w:r>
        <w:rPr>
          <w:color w:val="003CA0"/>
          <w:sz w:val="12"/>
        </w:rPr>
        <w:t xml:space="preserve"> | rel. Luiz Fux</w:t>
      </w:r>
    </w:p>
    <w:p>
      <w:pPr>
        <w:ind w:left="288"/>
      </w:pPr>
      <w:r>
        <w:rPr>
          <w:color w:val="1E1E1E"/>
          <w:sz w:val="18"/>
        </w:rPr>
        <w:t>= ADI 4.029, rel. min. Luiz Fux, j. 8-3-2012, P, DJE de 27-6-2012 Adoção de medida provisória por Estado-membro. Possibilidade. Arts. 62 e 84, XXVI, da CF. EC 32, de 11-9-2001, que alterou substancialmente a redação do art. 62. (...) Inexistência de vedação expressa quanto às medidas provisórias. Necessidade de previsão no texto da Carta estadual e da estrita observância dos princípios e limitações impostas pelo modelo federal.</w:t>
      </w:r>
    </w:p>
    <w:p>
      <w:pPr>
        <w:ind w:left="288"/>
      </w:pPr>
      <w:r>
        <w:rPr>
          <w:b/>
          <w:color w:val="003CA0"/>
          <w:sz w:val="16"/>
        </w:rPr>
        <w:t>[ADI 2.391, rel. min. Ellen Gracie, j. 16-8-2006, P, DJ de 16-3-2007.]</w:t>
      </w:r>
    </w:p>
    <w:p>
      <w:pPr>
        <w:ind w:left="288"/>
      </w:pPr>
      <w:r>
        <w:rPr>
          <w:color w:val="8C8C8C"/>
          <w:sz w:val="12"/>
        </w:rPr>
        <w:t>cf-art-62</w:t>
      </w:r>
      <w:r>
        <w:rPr>
          <w:color w:val="003CA0"/>
          <w:sz w:val="12"/>
        </w:rPr>
        <w:t xml:space="preserve"> | ADI 425</w:t>
      </w:r>
      <w:r>
        <w:rPr>
          <w:color w:val="003CA0"/>
          <w:sz w:val="12"/>
        </w:rPr>
        <w:t xml:space="preserve"> | rel. Maurício Corrêa</w:t>
      </w:r>
    </w:p>
    <w:p>
      <w:pPr>
        <w:ind w:left="288"/>
      </w:pPr>
      <w:r>
        <w:rPr>
          <w:color w:val="1E1E1E"/>
          <w:sz w:val="18"/>
        </w:rPr>
        <w:t>= ADI 425, rel. min. Maurício Corrêa, j. 4-9-2002, P, DJ de 19-12-2003 Porque possui força de lei e eficácia imediata a partir de sua publicação, a medida provisória não pode ser "retirada" pelo presidente da República à apreciação do Congresso Nacional. (...) Como qualquer outro ato legislativo, a medida provisória é passível de ab-rogação mediante diploma de igual ou superior hierarquia. (...) A revogação da medida provisória por outra apenas suspende a eficácia da norma ab-rogada, que voltará a vigorar pelo tempo que lhe reste para apreciação, caso caduque ou seja rejeitada a medida provisó</w:t>
      </w:r>
    </w:p>
    <w:p>
      <w:pPr>
        <w:ind w:left="288"/>
      </w:pPr>
      <w:r>
        <w:rPr>
          <w:b/>
          <w:color w:val="003CA0"/>
          <w:sz w:val="16"/>
        </w:rPr>
        <w:t>[ADI 2.984 MC, rel. min. Ellen Gracie, j. 4-9-2003, P, DJ de 14-5-2004.]</w:t>
      </w:r>
    </w:p>
    <w:p>
      <w:pPr>
        <w:ind w:left="288"/>
      </w:pPr>
      <w:r>
        <w:rPr>
          <w:color w:val="8C8C8C"/>
          <w:sz w:val="12"/>
        </w:rPr>
        <w:t>cf-art-62</w:t>
      </w:r>
      <w:r>
        <w:rPr>
          <w:color w:val="003CA0"/>
          <w:sz w:val="12"/>
        </w:rPr>
        <w:t xml:space="preserve"> | ADI 2.213</w:t>
      </w:r>
      <w:r>
        <w:rPr>
          <w:color w:val="003CA0"/>
          <w:sz w:val="12"/>
        </w:rPr>
        <w:t xml:space="preserve"> | rel. Celso de Mello</w:t>
      </w:r>
    </w:p>
    <w:p>
      <w:pPr>
        <w:ind w:left="288"/>
      </w:pPr>
      <w:r>
        <w:rPr>
          <w:color w:val="1E1E1E"/>
          <w:sz w:val="18"/>
        </w:rPr>
        <w:t>A edição de medidas provisórias, pelo presidente da República, para legitimar-se juridicamente, depende, dentre outros requisitos, da estrita observância dos pressupostos constitucionais da urgência e da relevância (CF, art. 62, caput). Os pressupostos da urgência e da relevância, embora conceitos jurídicos relativamente indeterminados e fluidos, mesmo expondo-se, inicialmente, à avaliação discricionária do presidente da República, estão sujeitos, ainda que excepcionalmente, ao controle do Poder Judiciário, porque compõem a própria estrutura constitucional que disciplina as medidas provisórias</w:t>
      </w:r>
    </w:p>
    <w:p>
      <w:pPr>
        <w:ind w:left="288"/>
      </w:pPr>
      <w:r>
        <w:rPr>
          <w:b/>
          <w:color w:val="003CA0"/>
          <w:sz w:val="16"/>
        </w:rPr>
        <w:t>[ADI 2.213 MC, rel. min. Celso de Mello, j. 4-4-2002, P, DJ de 23-4-2004.]</w:t>
      </w:r>
    </w:p>
    <w:p>
      <w:pPr>
        <w:ind w:left="288"/>
      </w:pPr>
      <w:r>
        <w:rPr>
          <w:color w:val="8C8C8C"/>
          <w:sz w:val="12"/>
        </w:rPr>
        <w:t>cf-art-62</w:t>
      </w:r>
      <w:r>
        <w:rPr>
          <w:color w:val="003CA0"/>
          <w:sz w:val="12"/>
        </w:rPr>
        <w:t xml:space="preserve"> | ADI 2.213</w:t>
      </w:r>
      <w:r>
        <w:rPr>
          <w:color w:val="003CA0"/>
          <w:sz w:val="12"/>
        </w:rPr>
        <w:t xml:space="preserve"> | rel. Celso de Mello</w:t>
      </w:r>
    </w:p>
    <w:p>
      <w:pPr>
        <w:ind w:left="288"/>
      </w:pPr>
      <w:r>
        <w:rPr>
          <w:color w:val="1E1E1E"/>
          <w:sz w:val="18"/>
        </w:rPr>
        <w:t xml:space="preserve">A crescente apropriação institucional do poder de legislar, por parte dos sucessivos presidentes da República, tem despertado graves preocupações de ordem jurídica, em razão do fato de a utilização excessiva das medidas provisórias causar profundas distorções que se projetam no plano das relações políticas entre os Poderes Executivo e Legislativo. Nada pode justificar a utilização abusiva de medidas provisórias, sob pena de o Executivo, quando ausentes razões constitucionais de urgência, necessidade e relevância material, investir-se, ilegitimamente, na mais relevante função institucional que </w:t>
      </w:r>
    </w:p>
    <w:p>
      <w:pPr>
        <w:ind w:left="288"/>
      </w:pPr>
      <w:r>
        <w:rPr>
          <w:b/>
          <w:color w:val="003CA0"/>
          <w:sz w:val="16"/>
        </w:rPr>
        <w:t>[ADI 2.213 MC, rel. min. Celso de Mello, j. 4-4-2002, P, DJ de 23-4-2004.]</w:t>
      </w:r>
    </w:p>
    <w:p>
      <w:pPr>
        <w:ind w:left="288"/>
      </w:pPr>
      <w:r>
        <w:rPr>
          <w:color w:val="8C8C8C"/>
          <w:sz w:val="12"/>
        </w:rPr>
        <w:t>cf-art-62</w:t>
      </w:r>
      <w:r>
        <w:rPr>
          <w:color w:val="003CA0"/>
          <w:sz w:val="12"/>
        </w:rPr>
        <w:t xml:space="preserve"> | ADI 1.717</w:t>
      </w:r>
      <w:r>
        <w:rPr>
          <w:color w:val="003CA0"/>
          <w:sz w:val="12"/>
        </w:rPr>
        <w:t xml:space="preserve"> | rel. Sydney Sanches</w:t>
      </w:r>
    </w:p>
    <w:p>
      <w:pPr>
        <w:ind w:left="288"/>
      </w:pPr>
      <w:r>
        <w:rPr>
          <w:color w:val="1E1E1E"/>
          <w:sz w:val="18"/>
        </w:rPr>
        <w:t>No que concerne à alegada falta dos requisitos da relevância e da urgência da medida provisória (que deu origem à lei em questão), exigidos no art. 62 da Constituição, o STF somente a tem por caracterizada quando neste objetivamente evidenciada. E não quando dependa de uma avaliação subjetiva, estritamente política, mediante critérios de oportunidade e conveniência, esta confiada aos Poderes Executivo e Legislativo, que têm melhores condições que o Judiciário para uma conclusão a respeito.</w:t>
      </w:r>
    </w:p>
    <w:p>
      <w:pPr>
        <w:ind w:left="288"/>
      </w:pPr>
      <w:r>
        <w:rPr>
          <w:b/>
          <w:color w:val="003CA0"/>
          <w:sz w:val="16"/>
        </w:rPr>
        <w:t>[ADI 1.717 MC, rel. min. Sydney Sanches, j. 22-9-1999, 2ª T, DJ de 25-2-2000.]</w:t>
      </w:r>
    </w:p>
    <w:p>
      <w:pPr>
        <w:ind w:left="288"/>
      </w:pPr>
      <w:r>
        <w:rPr>
          <w:color w:val="8C8C8C"/>
          <w:sz w:val="12"/>
        </w:rPr>
        <w:t>cf-art-62</w:t>
      </w:r>
      <w:r>
        <w:rPr>
          <w:color w:val="003CA0"/>
          <w:sz w:val="12"/>
        </w:rPr>
        <w:t xml:space="preserve"> | ADI 1.726</w:t>
      </w:r>
      <w:r>
        <w:rPr>
          <w:color w:val="003CA0"/>
          <w:sz w:val="12"/>
        </w:rPr>
        <w:t xml:space="preserve"> | rel. Maurício Corrêa</w:t>
      </w:r>
    </w:p>
    <w:p>
      <w:pPr>
        <w:ind w:left="288"/>
      </w:pPr>
      <w:r>
        <w:rPr>
          <w:color w:val="1E1E1E"/>
          <w:sz w:val="18"/>
        </w:rPr>
        <w:t>A exigência de prévia autorização legislativa para a criação de fundos, prevista no art. 167, IX, da Constituição, é suprida pela edição de medida provisória, que tem força de lei, nos termos do seu art. 62. O argumento de que medida provisória não se presta à criação de fundos fica combalido com a sua conversão em lei; pois, bem ou mal, o Congresso Nacional entendeu supridos os critérios da relevância e da urgência.</w:t>
      </w:r>
    </w:p>
    <w:p>
      <w:pPr>
        <w:ind w:left="288"/>
      </w:pPr>
      <w:r>
        <w:rPr>
          <w:b/>
          <w:color w:val="003CA0"/>
          <w:sz w:val="16"/>
        </w:rPr>
        <w:t>[ADI 1.726 MC, rel. min. Maurício Corrêa, j. 16-9-1998, P, DJ de 30-4-2004.]</w:t>
      </w:r>
    </w:p>
    <w:p>
      <w:pPr>
        <w:ind w:left="288"/>
      </w:pPr>
      <w:r>
        <w:rPr>
          <w:color w:val="8C8C8C"/>
          <w:sz w:val="12"/>
        </w:rPr>
        <w:t>cf-art-62</w:t>
      </w:r>
      <w:r>
        <w:rPr>
          <w:color w:val="003CA0"/>
          <w:sz w:val="12"/>
        </w:rPr>
        <w:t xml:space="preserve"> | ADI 1.204</w:t>
      </w:r>
      <w:r>
        <w:rPr>
          <w:color w:val="003CA0"/>
          <w:sz w:val="12"/>
        </w:rPr>
        <w:t xml:space="preserve"> | rel. Moreira Alves</w:t>
      </w:r>
    </w:p>
    <w:p>
      <w:pPr>
        <w:ind w:left="288"/>
      </w:pPr>
      <w:r>
        <w:rPr>
          <w:color w:val="1E1E1E"/>
          <w:sz w:val="18"/>
        </w:rPr>
        <w:t>Já se firmou a jurisprudência desta Corte (assim, nas ADI 1.204 MC, 1.370 MC e 1.636 MC) no sentido de que, quando medida provisória ainda pendente de apreciação pelo Congresso Nacional é revogada por outra, fica suspensa a eficácia da que foi objeto de revogação até que haja pronunciamento do Poder Legislativo sobre a medida provisória revogadora, a qual, se convertida em lei, tornará definitiva a revogação; se não o for, retomará os seus efeitos a medida provisória revogada pelo período que ainda lhe restava para vigorar.</w:t>
      </w:r>
    </w:p>
    <w:p>
      <w:pPr>
        <w:ind w:left="288"/>
      </w:pPr>
      <w:r>
        <w:rPr>
          <w:b/>
          <w:color w:val="003CA0"/>
          <w:sz w:val="16"/>
        </w:rPr>
        <w:t>[ADI 1.665 MC, rel. min. Moreira Alves, j. 27-11-1997, P, DJ de 8-5-1998.]</w:t>
      </w:r>
    </w:p>
    <w:p>
      <w:pPr>
        <w:ind w:left="288"/>
      </w:pPr>
      <w:r>
        <w:rPr>
          <w:color w:val="8C8C8C"/>
          <w:sz w:val="12"/>
        </w:rPr>
        <w:t>cf-art-62</w:t>
      </w:r>
      <w:r>
        <w:rPr>
          <w:color w:val="003CA0"/>
          <w:sz w:val="12"/>
        </w:rPr>
        <w:t xml:space="preserve"> | ADI 1.125</w:t>
      </w:r>
      <w:r>
        <w:rPr>
          <w:color w:val="003CA0"/>
          <w:sz w:val="12"/>
        </w:rPr>
        <w:t xml:space="preserve"> | rel. Carlos Velloso</w:t>
      </w:r>
    </w:p>
    <w:p>
      <w:pPr>
        <w:ind w:left="288"/>
      </w:pPr>
      <w:r>
        <w:rPr>
          <w:color w:val="1E1E1E"/>
          <w:sz w:val="18"/>
        </w:rPr>
        <w:t>No caso de reedição da medida provisória, ou no caso de sua conversão em lei, poderá o autor da ação direta pedir a extensão da ação à medida provisória reeditada ou à lei de conversão, para que a inconstitucionalidade arguida venha a ser apreciada pelo STF, inclusive no que toca a liminar pleiteada.</w:t>
      </w:r>
    </w:p>
    <w:p>
      <w:pPr>
        <w:ind w:left="288"/>
      </w:pPr>
      <w:r>
        <w:rPr>
          <w:b/>
          <w:color w:val="003CA0"/>
          <w:sz w:val="16"/>
        </w:rPr>
        <w:t>[ADI 1.125 MC, rel. min. Carlos Velloso, j. 1º-2-1995, P, DJ de 31-3-1995.]</w:t>
      </w:r>
    </w:p>
    <w:p>
      <w:pPr>
        <w:ind w:left="288"/>
      </w:pPr>
      <w:r>
        <w:rPr>
          <w:color w:val="8C8C8C"/>
          <w:sz w:val="12"/>
        </w:rPr>
        <w:t>cf-art-62</w:t>
      </w:r>
      <w:r>
        <w:rPr>
          <w:color w:val="003CA0"/>
          <w:sz w:val="12"/>
        </w:rPr>
        <w:t xml:space="preserve"> | ADI 1.005</w:t>
      </w:r>
      <w:r>
        <w:rPr>
          <w:color w:val="003CA0"/>
          <w:sz w:val="12"/>
        </w:rPr>
        <w:t xml:space="preserve"> | rel. Moreira Alves</w:t>
      </w:r>
    </w:p>
    <w:p>
      <w:pPr>
        <w:ind w:left="288"/>
      </w:pPr>
      <w:r>
        <w:rPr>
          <w:color w:val="1E1E1E"/>
          <w:sz w:val="18"/>
        </w:rPr>
        <w:t>Quando uma medida provisória é convertida em lei, a arguição de inconstitucionalidade deve atacar esta e não aquela. Essa regra, porém, não se aplica a casos em que a inconstitucionalidade que se alega com relação à medida provisória diz respeito exclusivamente a ela (o de ser, ou não, cabível medida provisória para instituir ou aumentar imposto), refletindo-se sobre a lei de conversão no tocante a sua vigência para o efeito da observância do princípio constitucional da anterioridade.</w:t>
      </w:r>
    </w:p>
    <w:p>
      <w:pPr>
        <w:ind w:left="288"/>
      </w:pPr>
      <w:r>
        <w:rPr>
          <w:b/>
          <w:color w:val="003CA0"/>
          <w:sz w:val="16"/>
        </w:rPr>
        <w:t>[ADI 1.005 MC, rel. min. Moreira Alves, j. 11-11-1994, P, DJ de 19-5-1995.]</w:t>
      </w:r>
    </w:p>
    <w:p>
      <w:pPr>
        <w:ind w:left="288"/>
      </w:pPr>
      <w:r>
        <w:rPr>
          <w:color w:val="8C8C8C"/>
          <w:sz w:val="12"/>
        </w:rPr>
        <w:t>cf-art-62</w:t>
      </w:r>
      <w:r>
        <w:rPr>
          <w:color w:val="003CA0"/>
          <w:sz w:val="12"/>
        </w:rPr>
        <w:t xml:space="preserve"> | ADI 691</w:t>
      </w:r>
      <w:r>
        <w:rPr>
          <w:color w:val="003CA0"/>
          <w:sz w:val="12"/>
        </w:rPr>
        <w:t xml:space="preserve"> | rel. Sepúlveda Pertence</w:t>
      </w:r>
    </w:p>
    <w:p>
      <w:pPr>
        <w:ind w:left="288"/>
      </w:pPr>
      <w:r>
        <w:rPr>
          <w:color w:val="1E1E1E"/>
          <w:sz w:val="18"/>
        </w:rPr>
        <w:t>Não prejudica a ação direta de inconstitucionalidade material de medida provisória a sua intercorrente conversão em lei sem alterações, dado que a sua aprovação e promulgação integrais apenas lhe tornam definitiva a vigência, com eficácia ex tunc e sem solução de continuidade, preservada a identidade originária do seu conteúdo normativo, objeto da arguição de invalidade.</w:t>
      </w:r>
    </w:p>
    <w:p>
      <w:pPr>
        <w:ind w:left="288"/>
      </w:pPr>
      <w:r>
        <w:rPr>
          <w:b/>
          <w:color w:val="003CA0"/>
          <w:sz w:val="16"/>
        </w:rPr>
        <w:t>[ADI 691 MC, rel. min. Sepúlveda Pertence, j. 22-4-1992, P, DJ de 19-6-1992.]</w:t>
      </w:r>
    </w:p>
    <w:p>
      <w:pPr>
        <w:ind w:left="288"/>
      </w:pPr>
      <w:r>
        <w:rPr>
          <w:color w:val="8C8C8C"/>
          <w:sz w:val="12"/>
        </w:rPr>
        <w:t>cf-art-62</w:t>
      </w:r>
      <w:r>
        <w:rPr>
          <w:color w:val="003CA0"/>
          <w:sz w:val="12"/>
        </w:rPr>
        <w:t xml:space="preserve"> | ADI 365</w:t>
      </w:r>
      <w:r>
        <w:rPr>
          <w:color w:val="003CA0"/>
          <w:sz w:val="12"/>
        </w:rPr>
        <w:t xml:space="preserve"> | rel. Celso de Mello</w:t>
      </w:r>
    </w:p>
    <w:p>
      <w:pPr>
        <w:ind w:left="288"/>
      </w:pPr>
      <w:r>
        <w:rPr>
          <w:color w:val="1E1E1E"/>
          <w:sz w:val="18"/>
        </w:rPr>
        <w:t>Os atos regulamentares de medidas provisórias não convertidas em lei não subsistem autonomamente, eis que nelas reside, de modo direto e imediato, o seu próprio fundamento de validade e de eficácia. A ausência de conversão legislativa opera efeitos extintivos radicais e genéricos, de modo a afetar todos os atos que estejam, de qualquer modo, causalmente vinculados a medida provisória rejeitada ou não transformada em lei, especialmente aqueles que, editados pelo próprio poder público, com ela mantinham, ou deveriam manter, estrita relação de dependência normativa e de acessoriedade jurídica, ta</w:t>
      </w:r>
    </w:p>
    <w:p>
      <w:pPr>
        <w:ind w:left="288"/>
      </w:pPr>
      <w:r>
        <w:rPr>
          <w:b/>
          <w:color w:val="003CA0"/>
          <w:sz w:val="16"/>
        </w:rPr>
        <w:t>[ADI 365 AgR, rel. min. Celso de Mello, j. 7-11-1990, P, DJ de 15-3-1991.]</w:t>
      </w:r>
    </w:p>
    <w:p>
      <w:pPr>
        <w:ind w:left="288"/>
      </w:pPr>
      <w:r>
        <w:rPr>
          <w:color w:val="8C8C8C"/>
          <w:sz w:val="12"/>
        </w:rPr>
        <w:t>cf-art-62</w:t>
      </w:r>
      <w:r>
        <w:rPr>
          <w:color w:val="003CA0"/>
          <w:sz w:val="12"/>
        </w:rPr>
        <w:t xml:space="preserve"> | ADI 293</w:t>
      </w:r>
      <w:r>
        <w:rPr>
          <w:color w:val="003CA0"/>
          <w:sz w:val="12"/>
        </w:rPr>
        <w:t xml:space="preserve"> | rel. Celso de Mello</w:t>
      </w:r>
    </w:p>
    <w:p>
      <w:pPr>
        <w:ind w:left="288"/>
      </w:pPr>
      <w:r>
        <w:rPr>
          <w:color w:val="1E1E1E"/>
          <w:sz w:val="18"/>
        </w:rPr>
        <w:t>A edição de medida provisória gera dois efeitos imediatos. O primeiro efeito é de ordem normativa, eis que a medida provisória, que possui vigência e eficácia imediatas, inova, em caráter inaugural, a ordem jurídica. O segundo efeito é de natureza ritual, eis que a publicação da medida provisória atua como verdadeira provocatio ad agendum, estimulando o Congresso Nacional a instaurar o adequado procedimento de conversão em lei.</w:t>
      </w:r>
    </w:p>
    <w:p>
      <w:pPr>
        <w:ind w:left="288"/>
      </w:pPr>
      <w:r>
        <w:rPr>
          <w:b/>
          <w:color w:val="003CA0"/>
          <w:sz w:val="16"/>
        </w:rPr>
        <w:t>[ADI 293 MC, rel. min. Celso de Mello, j. 6-6-1990, P, DJ de 16-4-1993.]</w:t>
      </w:r>
    </w:p>
    <w:p>
      <w:pPr>
        <w:ind w:left="288"/>
      </w:pPr>
      <w:r>
        <w:rPr>
          <w:color w:val="8C8C8C"/>
          <w:sz w:val="12"/>
        </w:rPr>
        <w:t>cf-art-62</w:t>
      </w:r>
      <w:r>
        <w:rPr>
          <w:color w:val="003CA0"/>
          <w:sz w:val="12"/>
        </w:rPr>
        <w:t xml:space="preserve"> | ADI 221</w:t>
      </w:r>
      <w:r>
        <w:rPr>
          <w:color w:val="003CA0"/>
          <w:sz w:val="12"/>
        </w:rPr>
        <w:t xml:space="preserve"> | rel. Moreira Alves</w:t>
      </w:r>
    </w:p>
    <w:p>
      <w:pPr>
        <w:ind w:left="288"/>
      </w:pPr>
      <w:r>
        <w:rPr>
          <w:color w:val="1E1E1E"/>
          <w:sz w:val="18"/>
        </w:rPr>
        <w:t xml:space="preserve">O que justifica a edição dessa espécie normativa, com força de lei, em nosso direito constitucional, é a existência de um estado de necessidade, que impõe ao poder público a adoção imediata de providências, de caráter legislativo, inalcançáveis segundo as regras ordinárias de legiferação, em face do próprio periculum in mora que fatalmente decorreria do atraso na concretização da prestação legislativa. (...) É inquestionável que as medidas provisórias traduzem, no plano da organização do Estado e na esfera das relações institucionais entre os Poderes Executivo e Legislativo, um instrumento de </w:t>
      </w:r>
    </w:p>
    <w:p>
      <w:pPr>
        <w:ind w:left="288"/>
      </w:pPr>
      <w:r>
        <w:rPr>
          <w:b/>
          <w:color w:val="003CA0"/>
          <w:sz w:val="16"/>
        </w:rPr>
        <w:t>[ADI 221 MC, rel. min. Moreira Alves, voto do min. Celso de Mello, j. 29-3-1990, P, DJ de 22-10-1993.]</w:t>
      </w:r>
    </w:p>
    <w:p>
      <w:pPr>
        <w:ind w:left="144"/>
      </w:pPr>
      <w:r>
        <w:rPr>
          <w:b/>
          <w:color w:val="B45A00"/>
          <w:sz w:val="16"/>
        </w:rPr>
        <w:t>REPERCUSSAO GERAL</w:t>
      </w:r>
    </w:p>
    <w:p>
      <w:pPr>
        <w:ind w:left="288"/>
      </w:pPr>
      <w:r>
        <w:rPr>
          <w:color w:val="8C8C8C"/>
          <w:sz w:val="12"/>
        </w:rPr>
        <w:t>cf-art-62</w:t>
      </w:r>
      <w:r>
        <w:rPr>
          <w:color w:val="003CA0"/>
          <w:sz w:val="12"/>
        </w:rPr>
        <w:t xml:space="preserve"> | RE 592.377</w:t>
      </w:r>
    </w:p>
    <w:p>
      <w:pPr>
        <w:ind w:left="288"/>
      </w:pPr>
      <w:r>
        <w:rPr>
          <w:color w:val="1E1E1E"/>
          <w:sz w:val="18"/>
        </w:rPr>
        <w:t>(...) o tema tratado pelo art. 5º da MP 2.170/2001 é relevante, porquanto o tratamento normativo dos juros é matéria extremamente sensível para a estruturação do sistema bancário, e, consequentemente, para assegurar estabilidade à dinâmica da vida econômica do país. Por outro lado, a urgência para a edição do ato também não pode ser rechaçada, ainda mais em se considerando que, para tal, seria indispensável fazer juízo sobre a realidade econômica existente à época, ou seja, há quinze anos passados.</w:t>
        <w:br/>
        <w:t>[RE 592.377, red. do ac. min. Teori Zavascki, j. 4-2-2015, P, DJE de 20-3-2015, Tema 33.]</w:t>
      </w:r>
    </w:p>
    <w:p>
      <w:pPr>
        <w:ind w:left="144"/>
      </w:pPr>
      <w:r>
        <w:rPr>
          <w:b/>
          <w:color w:val="B45A00"/>
          <w:sz w:val="16"/>
        </w:rPr>
        <w:t>JULGADOS CORRELATOS</w:t>
      </w:r>
    </w:p>
    <w:p>
      <w:pPr>
        <w:ind w:left="288"/>
      </w:pPr>
      <w:r>
        <w:rPr>
          <w:color w:val="8C8C8C"/>
          <w:sz w:val="12"/>
        </w:rPr>
        <w:t>cf-art-62</w:t>
      </w:r>
      <w:r>
        <w:rPr>
          <w:color w:val="003CA0"/>
          <w:sz w:val="12"/>
        </w:rPr>
        <w:t xml:space="preserve"> | RE 378.691</w:t>
      </w:r>
      <w:r>
        <w:rPr>
          <w:color w:val="003CA0"/>
          <w:sz w:val="12"/>
        </w:rPr>
        <w:t xml:space="preserve"> | rel. Eros Grau</w:t>
      </w:r>
    </w:p>
    <w:p>
      <w:pPr>
        <w:ind w:left="288"/>
      </w:pPr>
      <w:r>
        <w:rPr>
          <w:color w:val="1E1E1E"/>
          <w:sz w:val="18"/>
        </w:rPr>
        <w:t>O STF fixou entendimento no sentido de que não perde a eficácia a medida provisória, com força de lei, não apreciada pelo Congresso Nacional, mas reeditada, por meio de nova medida provisória, dentro de seu prazo de validade de trinta dias.</w:t>
      </w:r>
    </w:p>
    <w:p>
      <w:pPr>
        <w:ind w:left="288"/>
      </w:pPr>
      <w:r>
        <w:rPr>
          <w:b/>
          <w:color w:val="003CA0"/>
          <w:sz w:val="16"/>
        </w:rPr>
        <w:t>[RE 378.691 AgR, rel. min. Eros Grau, j. 13-5-2008, 2ª T, DJE de 6-6-2008.]</w:t>
      </w:r>
    </w:p>
    <w:p>
      <w:pPr>
        <w:ind w:left="288"/>
      </w:pPr>
      <w:r>
        <w:rPr>
          <w:color w:val="8C8C8C"/>
          <w:sz w:val="12"/>
        </w:rPr>
        <w:t>cf-art-62</w:t>
      </w:r>
      <w:r>
        <w:rPr>
          <w:color w:val="003CA0"/>
          <w:sz w:val="12"/>
        </w:rPr>
        <w:t xml:space="preserve"> | RE 588.943</w:t>
      </w:r>
      <w:r>
        <w:rPr>
          <w:color w:val="003CA0"/>
          <w:sz w:val="12"/>
        </w:rPr>
        <w:t xml:space="preserve"> | rel. Cármen Lúcia</w:t>
      </w:r>
    </w:p>
    <w:p>
      <w:pPr>
        <w:ind w:left="288"/>
      </w:pPr>
      <w:r>
        <w:rPr>
          <w:color w:val="1E1E1E"/>
          <w:sz w:val="18"/>
        </w:rPr>
        <w:t>= RE 588.943 AgR, rel. min. Cármen Lúcia, j. 15-2-2011, 1ª T, DJE de 18-3-2011 Conversão em lei das medidas provisórias, sem alteração substancial do seu texto: ratificação do ato normativo editado pelo presidente da República. Sanção do chefe do Poder Executivo. Inexigível. Medida provisória alterada pelo Congresso Nacional, com supressão ou acréscimo de dispositivos. Obrigatoriedade da remessa do projeto de lei de conversão ao presidente da República para sanção ou veto, de modo a prevalecer a comunhão de vontade do Poder Executivo e do Legislativo.</w:t>
      </w:r>
    </w:p>
    <w:p>
      <w:pPr>
        <w:ind w:left="288"/>
      </w:pPr>
      <w:r>
        <w:rPr>
          <w:b/>
          <w:color w:val="003CA0"/>
          <w:sz w:val="16"/>
        </w:rPr>
        <w:t>[RE 217.194, rel. min. Maurício Corrêa, j. 17-4-2001, 2ª T, DJ de 1º-6-2001.]</w:t>
      </w:r>
    </w:p>
    <w:p>
      <w:pPr>
        <w:ind w:left="144"/>
      </w:pPr>
      <w:r>
        <w:rPr>
          <w:b/>
          <w:color w:val="B45A00"/>
          <w:sz w:val="16"/>
        </w:rPr>
        <w:t>CONTROLE CONCENTRADO</w:t>
      </w:r>
    </w:p>
    <w:p>
      <w:pPr>
        <w:ind w:left="288"/>
      </w:pPr>
      <w:r>
        <w:rPr>
          <w:color w:val="8C8C8C"/>
          <w:sz w:val="12"/>
        </w:rPr>
        <w:t>cf-art-62-par-1-inc-I-ali-a</w:t>
      </w:r>
      <w:r>
        <w:rPr>
          <w:color w:val="003CA0"/>
          <w:sz w:val="12"/>
        </w:rPr>
        <w:t xml:space="preserve"> | ADI 4.011</w:t>
      </w:r>
      <w:r>
        <w:rPr>
          <w:color w:val="003CA0"/>
          <w:sz w:val="12"/>
        </w:rPr>
        <w:t xml:space="preserve"> | rel. Nunes Marques</w:t>
      </w:r>
    </w:p>
    <w:p>
      <w:pPr>
        <w:ind w:left="288"/>
      </w:pPr>
      <w:r>
        <w:rPr>
          <w:color w:val="1E1E1E"/>
          <w:sz w:val="18"/>
        </w:rPr>
        <w:t>Programa Nacional de Segurança Pública com Cidadania – PRONASCI. (...) O art. 2º, da Lei nº 11.707, de 20 de junho de 2008, é constitucional. A norma versa sobre política voltada para o âmbito da segurança pública e não tem por objeto matéria eleitoral não havendo violação aos arts. 16 e 62, § 1º, I, alínea a, da Constituição Federal.</w:t>
      </w:r>
    </w:p>
    <w:p>
      <w:pPr>
        <w:ind w:left="288"/>
      </w:pPr>
      <w:r>
        <w:rPr>
          <w:b/>
          <w:color w:val="003CA0"/>
          <w:sz w:val="16"/>
        </w:rPr>
        <w:t>[ADI 4.011, rel. min. Nunes Marques, j. 19-4-2021, P, DJE de 4-5-2021.]</w:t>
      </w:r>
    </w:p>
    <w:p>
      <w:pPr>
        <w:ind w:left="288"/>
      </w:pPr>
      <w:r>
        <w:rPr>
          <w:color w:val="8C8C8C"/>
          <w:sz w:val="12"/>
        </w:rPr>
        <w:t>cf-art-62-par-1-inc-I-ali-b</w:t>
      </w:r>
      <w:r>
        <w:rPr>
          <w:color w:val="003CA0"/>
          <w:sz w:val="12"/>
        </w:rPr>
        <w:t xml:space="preserve"> | ADI 2.736</w:t>
      </w:r>
      <w:r>
        <w:rPr>
          <w:color w:val="003CA0"/>
          <w:sz w:val="12"/>
        </w:rPr>
        <w:t xml:space="preserve"> | rel. Cezar Peluso</w:t>
      </w:r>
    </w:p>
    <w:p>
      <w:pPr>
        <w:ind w:left="288"/>
      </w:pPr>
      <w:r>
        <w:rPr>
          <w:color w:val="1E1E1E"/>
          <w:sz w:val="18"/>
        </w:rPr>
        <w:t>É inconstitucional a medida provisória que, alterando lei, suprime condenação em honorários advocatícios, por sucumbência, nas ações entre o FGTS e titulares de contas vinculadas, bem como naquelas em que figurem os respectivos representantes ou substitutos processuais.</w:t>
        <w:br/>
        <w:t>[ADI 2.736, rel. min. Cezar Peluso, j. 8-9-2010, P, DJE de 29-3-2011.]</w:t>
        <w:br/>
        <w:t>= RE 581.160, rel. min. Ricardo Lewandowski, j. 20-6-2012, P, DJE de 23-8-2012, Tema 116 O controle judicial dos requisitos de relevância e urgência para edição de medidas provisórias (art. 62, caput, da CF/1988) é excepcionalíssimo, justificando-se apenas e</w:t>
      </w:r>
    </w:p>
    <w:p>
      <w:pPr>
        <w:ind w:left="288"/>
      </w:pPr>
      <w:r>
        <w:rPr>
          <w:b/>
          <w:color w:val="003CA0"/>
          <w:sz w:val="16"/>
        </w:rPr>
        <w:t>[RE 1.347.526, rel. min. Cristiano Zanin, j. 15.09.2025, P, DJE de 24.09.2025, Tema 1.196, com mérito julgado.]</w:t>
      </w:r>
    </w:p>
    <w:p>
      <w:pPr>
        <w:ind w:left="144"/>
      </w:pPr>
      <w:r>
        <w:rPr>
          <w:b/>
          <w:color w:val="B45A00"/>
          <w:sz w:val="16"/>
        </w:rPr>
        <w:t>REPERCUSSAO GERAL</w:t>
      </w:r>
    </w:p>
    <w:p>
      <w:pPr>
        <w:ind w:left="288"/>
      </w:pPr>
      <w:r>
        <w:rPr>
          <w:color w:val="8C8C8C"/>
          <w:sz w:val="12"/>
        </w:rPr>
        <w:t>cf-art-62-par-1-inc-I-ali-b</w:t>
      </w:r>
      <w:r>
        <w:rPr>
          <w:color w:val="003CA0"/>
          <w:sz w:val="12"/>
        </w:rPr>
        <w:t xml:space="preserve"> | RE 1.347.526</w:t>
      </w:r>
      <w:r>
        <w:rPr>
          <w:color w:val="003CA0"/>
          <w:sz w:val="12"/>
        </w:rPr>
        <w:t xml:space="preserve"> | rel. Luiz Fux</w:t>
      </w:r>
    </w:p>
    <w:p>
      <w:pPr>
        <w:ind w:left="288"/>
      </w:pPr>
      <w:r>
        <w:rPr>
          <w:color w:val="1E1E1E"/>
          <w:sz w:val="18"/>
        </w:rPr>
        <w:t>Constitucionalidade da Medida Provisória 739/2016, substituída pela Medida Provisória 767/2017 e convertida na Lei 13.457/2017, as quais alteraram a Lei 8.213/1991, inserindo preceito sobre prazo estimado para a duração do benefício.</w:t>
      </w:r>
    </w:p>
    <w:p>
      <w:pPr>
        <w:ind w:left="288"/>
      </w:pPr>
      <w:r>
        <w:rPr>
          <w:b/>
          <w:color w:val="003CA0"/>
          <w:sz w:val="16"/>
        </w:rPr>
        <w:t>[RE 1.347.526 RG, rel. min. Luiz Fux, j. 17-2-2022, P, DJE de 23-2-2022, Tema 1.196, com mérito pendente.]</w:t>
      </w:r>
    </w:p>
    <w:p>
      <w:pPr>
        <w:ind w:left="288"/>
      </w:pPr>
      <w:r>
        <w:rPr>
          <w:color w:val="8C8C8C"/>
          <w:sz w:val="12"/>
        </w:rPr>
        <w:t>cf-art-62-par-1-inc-I-ali-b</w:t>
      </w:r>
      <w:r>
        <w:rPr>
          <w:color w:val="003CA0"/>
          <w:sz w:val="12"/>
        </w:rPr>
        <w:t xml:space="preserve"> | RE 581.160</w:t>
      </w:r>
      <w:r>
        <w:rPr>
          <w:color w:val="003CA0"/>
          <w:sz w:val="12"/>
        </w:rPr>
        <w:t xml:space="preserve"> | rel. Ricardo Lewandowski</w:t>
      </w:r>
    </w:p>
    <w:p>
      <w:pPr>
        <w:ind w:left="288"/>
      </w:pPr>
      <w:r>
        <w:rPr>
          <w:color w:val="1E1E1E"/>
          <w:sz w:val="18"/>
        </w:rPr>
        <w:t xml:space="preserve">(...) o STF declarou a inconstitucionalidade do art. 9º da MP 2.164-41/2001 com base nos seguintes fundamentos: (...) c) a matéria relativa à condenação em honorários advocatícios possui natureza processual civil, e a jurisprudência desta Corte, antes mesmo da vedação imposta pela EC 32/2001, não admitia a utilização de medida provisória para disciplinar questões processuais; d) a competência para legislar sobre matéria de índole processual civil é privativa da União Federal, no âmbito do Poder Legislativo (art. 22, I, da CF). Tais fundamentos devem ser adotados, in totum, neste caso, no qual </w:t>
      </w:r>
    </w:p>
    <w:p>
      <w:pPr>
        <w:ind w:left="288"/>
      </w:pPr>
      <w:r>
        <w:rPr>
          <w:b/>
          <w:color w:val="003CA0"/>
          <w:sz w:val="16"/>
        </w:rPr>
        <w:t>[RE 581.160, voto do rel. min. Ricardo Lewandowski, j. 20-6-2012, P, DJE de 23-8-2012, Tema 116, com mérito julgado.]</w:t>
        <w:br/>
        <w:t>= ADI 2.736, rel. min. Cezar Peluso, j. 8-9-2010, P, DJE de 29-3-2011</w:t>
      </w:r>
    </w:p>
    <w:p>
      <w:pPr>
        <w:ind w:left="144"/>
      </w:pPr>
      <w:r>
        <w:rPr>
          <w:b/>
          <w:color w:val="B45A00"/>
          <w:sz w:val="16"/>
        </w:rPr>
        <w:t>JULGADOS CORRELATOS</w:t>
      </w:r>
    </w:p>
    <w:p>
      <w:pPr>
        <w:ind w:left="288"/>
      </w:pPr>
      <w:r>
        <w:rPr>
          <w:color w:val="8C8C8C"/>
          <w:sz w:val="12"/>
        </w:rPr>
        <w:t>cf-art-62-par-1-inc-I-ali-b</w:t>
      </w:r>
      <w:r>
        <w:rPr>
          <w:color w:val="003CA0"/>
          <w:sz w:val="12"/>
        </w:rPr>
        <w:t xml:space="preserve"> | RE 254.818</w:t>
      </w:r>
      <w:r>
        <w:rPr>
          <w:color w:val="003CA0"/>
          <w:sz w:val="12"/>
        </w:rPr>
        <w:t xml:space="preserve"> | rel. Sepúlveda Pertence</w:t>
      </w:r>
    </w:p>
    <w:p>
      <w:pPr>
        <w:ind w:left="288"/>
      </w:pPr>
      <w:r>
        <w:rPr>
          <w:color w:val="1E1E1E"/>
          <w:sz w:val="18"/>
        </w:rPr>
        <w:t>Medida provisória: sua inadmissibilidade em matéria penal, extraída pela doutrina consensual da interpretação sistemática da Constituição, não compreende a de normas penais benéficas, assim, as que abolem crimes ou lhes restringem o alcance, extingam ou abrandem penas ou ampliam os casos de isenção de pena ou de extinção de punibilidade.</w:t>
      </w:r>
    </w:p>
    <w:p>
      <w:pPr>
        <w:ind w:left="288"/>
      </w:pPr>
      <w:r>
        <w:rPr>
          <w:b/>
          <w:color w:val="003CA0"/>
          <w:sz w:val="16"/>
        </w:rPr>
        <w:t>[RE 254.818, rel. min. Sepúlveda Pertence, j. 8-11-2000, P, DJ de 19-12-2002.]</w:t>
      </w:r>
    </w:p>
    <w:p>
      <w:pPr>
        <w:ind w:left="144"/>
      </w:pPr>
      <w:r>
        <w:rPr>
          <w:b/>
          <w:color w:val="B45A00"/>
          <w:sz w:val="16"/>
        </w:rPr>
        <w:t>CONTROLE CONCENTRADO</w:t>
      </w:r>
    </w:p>
    <w:p>
      <w:pPr>
        <w:ind w:left="288"/>
      </w:pPr>
      <w:r>
        <w:rPr>
          <w:color w:val="8C8C8C"/>
          <w:sz w:val="12"/>
        </w:rPr>
        <w:t>cf-art-62-par-1-inc-I-ali-c</w:t>
      </w:r>
      <w:r>
        <w:rPr>
          <w:color w:val="003CA0"/>
          <w:sz w:val="12"/>
        </w:rPr>
        <w:t xml:space="preserve"> | ADI 2.581</w:t>
      </w:r>
      <w:r>
        <w:rPr>
          <w:color w:val="003CA0"/>
          <w:sz w:val="12"/>
        </w:rPr>
        <w:t xml:space="preserve"> | rel. Maurício Corrêa</w:t>
      </w:r>
    </w:p>
    <w:p>
      <w:pPr>
        <w:ind w:left="288"/>
      </w:pPr>
      <w:r>
        <w:rPr>
          <w:color w:val="1E1E1E"/>
          <w:sz w:val="18"/>
        </w:rPr>
        <w:t>A regra do Diploma Maior quanto à iniciativa do chefe do Poder Executivo para projeto a respeito de certas matérias não suplanta o tratamento destas últimas pela vez primeira na Carta do próprio Estado. (...) Mostra-se harmônico com a CF preceito da Carta estadual prevendo a escolha do procurador-geral do Estado entre os integrantes da carreira.</w:t>
      </w:r>
    </w:p>
    <w:p>
      <w:pPr>
        <w:ind w:left="288"/>
      </w:pPr>
      <w:r>
        <w:rPr>
          <w:b/>
          <w:color w:val="003CA0"/>
          <w:sz w:val="16"/>
        </w:rPr>
        <w:t>[ADI 2.581, red. do ac. min. Marco Aurélio, rel. min. Maurício Corrêa, j. 16-8-2007, P, DJE de 15-8-2008.]</w:t>
      </w:r>
    </w:p>
    <w:p>
      <w:pPr>
        <w:ind w:left="288"/>
      </w:pPr>
      <w:r>
        <w:rPr>
          <w:color w:val="8C8C8C"/>
          <w:sz w:val="12"/>
        </w:rPr>
        <w:t>cf-art-62-par-1-inc-I-ali-c</w:t>
      </w:r>
      <w:r>
        <w:rPr>
          <w:color w:val="003CA0"/>
          <w:sz w:val="12"/>
        </w:rPr>
        <w:t xml:space="preserve"> | ADI 291</w:t>
      </w:r>
      <w:r>
        <w:rPr>
          <w:color w:val="003CA0"/>
          <w:sz w:val="12"/>
        </w:rPr>
        <w:t xml:space="preserve"> | rel. Joaquim Barbosa</w:t>
      </w:r>
    </w:p>
    <w:p>
      <w:pPr>
        <w:ind w:left="288"/>
      </w:pPr>
      <w:r>
        <w:rPr>
          <w:color w:val="1E1E1E"/>
          <w:sz w:val="18"/>
        </w:rPr>
        <w:t>≠ ADI 291, rel. min. Joaquim Barbosa, j. 7-4-2010, P, DJE de 10-9-2010</w:t>
      </w:r>
    </w:p>
    <w:p>
      <w:pPr>
        <w:ind w:left="288"/>
      </w:pPr>
      <w:r>
        <w:rPr>
          <w:color w:val="8C8C8C"/>
          <w:sz w:val="12"/>
        </w:rPr>
        <w:t>cf-art-62-par-2</w:t>
      </w:r>
      <w:r>
        <w:rPr>
          <w:color w:val="003CA0"/>
          <w:sz w:val="12"/>
        </w:rPr>
        <w:t xml:space="preserve"> | ADI 7.375</w:t>
      </w:r>
      <w:r>
        <w:rPr>
          <w:color w:val="003CA0"/>
          <w:sz w:val="12"/>
        </w:rPr>
        <w:t xml:space="preserve"> | rel. André Mendonça</w:t>
      </w:r>
    </w:p>
    <w:p>
      <w:pPr>
        <w:ind w:left="288"/>
      </w:pPr>
      <w:r>
        <w:rPr>
          <w:color w:val="1E1E1E"/>
          <w:sz w:val="18"/>
        </w:rPr>
        <w:t xml:space="preserve">É dado aos Chefes do Poder Executivo dos Estados-membros editarem medidas provisórias, desde que a espécie legislativa esteja prevista na Constituição estadual e seja observado o conjunto de regras básicas do processo legislativo postas no Texto Constitucional de 1988. Com o advento da Emenda Constitucional nº 32, de 2001, passou-se a exigir que a medida provisória a qual implicasse instituição ou majoração de impostos só produzirá efeitos no exercício financeiro seguinte ao de sua edição, caso seja devidamente convertida em lei até o último dia do ano fiscal em que foi editada, nos termos do </w:t>
      </w:r>
    </w:p>
    <w:p>
      <w:pPr>
        <w:ind w:left="288"/>
      </w:pPr>
      <w:r>
        <w:rPr>
          <w:color w:val="8C8C8C"/>
          <w:sz w:val="12"/>
        </w:rPr>
        <w:t>cf-art-62-par-2</w:t>
      </w:r>
      <w:r>
        <w:rPr>
          <w:color w:val="003CA0"/>
          <w:sz w:val="12"/>
        </w:rPr>
        <w:t xml:space="preserve"> | ADPF 216</w:t>
      </w:r>
      <w:r>
        <w:rPr>
          <w:color w:val="003CA0"/>
          <w:sz w:val="12"/>
        </w:rPr>
        <w:t xml:space="preserve"> | rel. Cármem Lúcia</w:t>
      </w:r>
    </w:p>
    <w:p>
      <w:pPr>
        <w:ind w:left="288"/>
      </w:pPr>
      <w:r>
        <w:rPr>
          <w:color w:val="1E1E1E"/>
          <w:sz w:val="18"/>
        </w:rPr>
        <w:t>O § 11 do art. 62 da Constituição visa garantir segurança jurídica àqueles que praticaram atos embasados na medida provisória rejeitada ou não apreciada, mas isso não pode se dar ao extremo de se permitir a sobreposição da vontade do Chefe do Poder Executivo sob a do Poder Legislativo, em situações, por exemplo, em que a preservação dos efeitos da medida provisória equivalha à manutenção de sua vigência. Interpretação diversa ofenderia a cláusula pétrea constante do art. 2º da Constituição, que preconiza a separação entre os Poderes. Quanto aos pedidos de licença para exploração de CLIA não ex</w:t>
      </w:r>
    </w:p>
    <w:p>
      <w:pPr>
        <w:ind w:left="288"/>
      </w:pPr>
      <w:r>
        <w:rPr>
          <w:b/>
          <w:color w:val="003CA0"/>
          <w:sz w:val="16"/>
        </w:rPr>
        <w:t>[ADPF 216, rel. min. Cármem Lúcia, j. 14-3-2018, P, DJE de 23-3-2020.]</w:t>
      </w:r>
    </w:p>
    <w:p>
      <w:pPr>
        <w:ind w:left="288"/>
      </w:pPr>
      <w:r>
        <w:rPr>
          <w:color w:val="8C8C8C"/>
          <w:sz w:val="12"/>
        </w:rPr>
        <w:t>cf-art-62-par-2</w:t>
      </w:r>
      <w:r>
        <w:rPr>
          <w:color w:val="003CA0"/>
          <w:sz w:val="12"/>
        </w:rPr>
        <w:t xml:space="preserve"> | ADI 5.127</w:t>
      </w:r>
      <w:r>
        <w:rPr>
          <w:color w:val="003CA0"/>
          <w:sz w:val="12"/>
        </w:rPr>
        <w:t xml:space="preserve"> | rel. Rosa Weber</w:t>
      </w:r>
    </w:p>
    <w:p>
      <w:pPr>
        <w:ind w:left="288"/>
      </w:pPr>
      <w:r>
        <w:rPr>
          <w:color w:val="1E1E1E"/>
          <w:sz w:val="18"/>
        </w:rPr>
        <w:t>Se a medida provisória é espécie normativa de competência exclusiva do presidente da República e excepcional, pois sujeita às exigências de relevância e urgência – critérios esses de juízo político prévio do presidente da República –, não é possível tratar de temas diversos daqueles fixados como relevantes e urgentes. Uma vez estabelecido o tema relevante e urgente, toda e qualquer emenda parlamentar em projeto de conversão de medida provisória em lei se limita e circunscreve ao tema definido como urgente e relevante. Vale dizer, é evidente que é possível emenda parlamentar ao projeto de conve</w:t>
      </w:r>
    </w:p>
    <w:p>
      <w:pPr>
        <w:ind w:left="288"/>
      </w:pPr>
      <w:r>
        <w:rPr>
          <w:b/>
          <w:color w:val="003CA0"/>
          <w:sz w:val="16"/>
        </w:rPr>
        <w:t>[ADI 5.127, voto do red. do ac. min. Edson Fachin, rel. min. Rosa Weber, j. 15-10-2015, P, DJE de 11-5-2016.]</w:t>
      </w:r>
    </w:p>
    <w:p>
      <w:pPr>
        <w:ind w:left="288"/>
      </w:pPr>
      <w:r>
        <w:rPr>
          <w:color w:val="8C8C8C"/>
          <w:sz w:val="12"/>
        </w:rPr>
        <w:t>cf-art-62-par-4</w:t>
      </w:r>
      <w:r>
        <w:rPr>
          <w:color w:val="003CA0"/>
          <w:sz w:val="12"/>
        </w:rPr>
        <w:t xml:space="preserve"> | ADPF 661</w:t>
      </w:r>
      <w:r>
        <w:rPr>
          <w:color w:val="003CA0"/>
          <w:sz w:val="12"/>
        </w:rPr>
        <w:t xml:space="preserve"> | rel. Alexandre de Moraes</w:t>
      </w:r>
    </w:p>
    <w:p>
      <w:pPr>
        <w:ind w:left="288"/>
      </w:pPr>
      <w:r>
        <w:rPr>
          <w:color w:val="1E1E1E"/>
          <w:sz w:val="18"/>
        </w:rPr>
        <w:t>O controle legislativo sobre medidas provisórias editadas pelo Presidente da República é tão importante para o equilíbrio entre os poderes da República que a Constituição Federal estabeleceu uma única hipótese excepcional de suspensão do prazo decadencial de 120 (cento e vinte) dias, durante o recesso do Congresso Nacional (CF, § 4º, art. 62). As alterações no funcionamento regimental das Casas Legislativas, em virtude da pandemia da COVID-19, não caracterizam recesso parlamentar, pois o Congresso Nacional continuará a funcionar e exercer todas as suas competências constitucionais. (...) Mostr</w:t>
      </w:r>
    </w:p>
    <w:p>
      <w:pPr>
        <w:ind w:left="288"/>
      </w:pPr>
      <w:r>
        <w:rPr>
          <w:b/>
          <w:color w:val="003CA0"/>
          <w:sz w:val="16"/>
        </w:rPr>
        <w:t>[ADPF 661, rel. min. Alexandre de Moraes, j. 8-9-2021, P, DJE de 15-9-2021.]</w:t>
      </w:r>
    </w:p>
    <w:p>
      <w:pPr>
        <w:ind w:left="288"/>
      </w:pPr>
      <w:r>
        <w:rPr>
          <w:color w:val="8C8C8C"/>
          <w:sz w:val="12"/>
        </w:rPr>
        <w:t>cf-art-62-par-5</w:t>
      </w:r>
    </w:p>
    <w:p>
      <w:pPr>
        <w:ind w:left="288"/>
      </w:pPr>
      <w:r>
        <w:rPr>
          <w:color w:val="1E1E1E"/>
          <w:sz w:val="18"/>
        </w:rPr>
        <w:t>§ 6º Se a medida provisória não for apreciada em até quarenta e cinco dias contados de sua publicação, entrará em regime de urgência, subsequentemente, em cada uma das Casas do Congresso Nacional, ficando sobrestadas, até que se ultime a votação, todas as demais deliberações legislativas da Casa em que estiver tramitando. (Incluído pela EC 32/2001)</w:t>
      </w:r>
    </w:p>
    <w:p>
      <w:pPr>
        <w:ind w:left="288"/>
      </w:pPr>
      <w:r>
        <w:rPr>
          <w:color w:val="8C8C8C"/>
          <w:sz w:val="12"/>
        </w:rPr>
        <w:t>cf-art-62-par-5</w:t>
      </w:r>
      <w:r>
        <w:rPr>
          <w:color w:val="003CA0"/>
          <w:sz w:val="12"/>
        </w:rPr>
        <w:t xml:space="preserve"> | ADI 3.146</w:t>
      </w:r>
      <w:r>
        <w:rPr>
          <w:color w:val="003CA0"/>
          <w:sz w:val="12"/>
        </w:rPr>
        <w:t xml:space="preserve"> | rel. Joaquim Barbosa</w:t>
      </w:r>
    </w:p>
    <w:p>
      <w:pPr>
        <w:ind w:left="288"/>
      </w:pPr>
      <w:r>
        <w:rPr>
          <w:color w:val="1E1E1E"/>
          <w:sz w:val="18"/>
        </w:rPr>
        <w:t>A CF, ao dispor regras sobre processo legislativo, permite o controle judicial da regularidade do processo. Exceção à jurisprudência do STF sobre a impossibilidade de revisão jurisdicional em matéria interna corporis. (...). Alegação de inconstitucionalidade formal: nulidade do processo legislativo em que foi aprovado projeto de lei enquanto pendente a leitura de medida provisória numa das Casas do Congresso Nacional, para os efeitos do sobrestamento a que se refere o art. 62, § 6º, da CF. Medida provisória que trancaria a pauta lida após a aprovação do projeto que resultou na lei atacada. Aus</w:t>
      </w:r>
    </w:p>
    <w:p>
      <w:pPr>
        <w:ind w:left="288"/>
      </w:pPr>
      <w:r>
        <w:rPr>
          <w:b/>
          <w:color w:val="003CA0"/>
          <w:sz w:val="16"/>
        </w:rPr>
        <w:t>[ADI 3.146, rel. min. Joaquim Barbosa, j. 11-5-2006, P, DJ de 19-12-2006.]</w:t>
      </w:r>
    </w:p>
    <w:p>
      <w:pPr>
        <w:ind w:left="144"/>
      </w:pPr>
      <w:r>
        <w:rPr>
          <w:b/>
          <w:color w:val="B45A00"/>
          <w:sz w:val="16"/>
        </w:rPr>
        <w:t>JULGADOS CORRELATOS</w:t>
      </w:r>
    </w:p>
    <w:p>
      <w:pPr>
        <w:ind w:left="288"/>
      </w:pPr>
      <w:r>
        <w:rPr>
          <w:color w:val="8C8C8C"/>
          <w:sz w:val="12"/>
        </w:rPr>
        <w:t>cf-art-62-par-5</w:t>
      </w:r>
      <w:r>
        <w:rPr>
          <w:color w:val="003CA0"/>
          <w:sz w:val="12"/>
        </w:rPr>
        <w:t xml:space="preserve"> | MS 27.931</w:t>
      </w:r>
      <w:r>
        <w:rPr>
          <w:color w:val="003CA0"/>
          <w:sz w:val="12"/>
        </w:rPr>
        <w:t xml:space="preserve"> | rel. Celso de Mello</w:t>
      </w:r>
    </w:p>
    <w:p>
      <w:pPr>
        <w:ind w:left="288"/>
      </w:pPr>
      <w:r>
        <w:rPr>
          <w:color w:val="1E1E1E"/>
          <w:sz w:val="18"/>
        </w:rPr>
        <w:t>O regime de urgência previsto no art. 62, § 6º, da Constituição da República – que impõe o sobrestamento das deliberações legislativas das Casas do Congresso Nacional – incide, tão-somente, sobre aquelas matérias que se mostram passíveis de regramento por medida provisória, excluídos, em consequência, do bloqueio procedimental imposto por mencionado preceito constitucional as propostas de emenda à Constituição e os projetos de lei complementar, de decreto legislativo, de resolução e, até mesmo, tratando-se de projetos de lei ordinária, aqueles que veiculem temas pré-excluídos do âmbito de inci</w:t>
      </w:r>
    </w:p>
    <w:p>
      <w:pPr>
        <w:ind w:left="288"/>
      </w:pPr>
      <w:r>
        <w:rPr>
          <w:b/>
          <w:color w:val="003CA0"/>
          <w:sz w:val="16"/>
        </w:rPr>
        <w:t>[MS 27.931, rel. min. Celso de Mello, j. 29-6-2017, P, DJE de 28-10-2020.]</w:t>
      </w:r>
    </w:p>
    <w:p>
      <w:pPr>
        <w:ind w:left="144"/>
      </w:pPr>
      <w:r>
        <w:rPr>
          <w:b/>
          <w:color w:val="B45A00"/>
          <w:sz w:val="16"/>
        </w:rPr>
        <w:t>CONTROLE CONCENTRADO</w:t>
      </w:r>
    </w:p>
    <w:p>
      <w:pPr>
        <w:ind w:left="288"/>
      </w:pPr>
      <w:r>
        <w:rPr>
          <w:color w:val="8C8C8C"/>
          <w:sz w:val="12"/>
        </w:rPr>
        <w:t>cf-art-62-par-9</w:t>
      </w:r>
      <w:r>
        <w:rPr>
          <w:color w:val="003CA0"/>
          <w:sz w:val="12"/>
        </w:rPr>
        <w:t xml:space="preserve"> | ADPF 661</w:t>
      </w:r>
      <w:r>
        <w:rPr>
          <w:color w:val="003CA0"/>
          <w:sz w:val="12"/>
        </w:rPr>
        <w:t xml:space="preserve"> | rel. Alexandre de Moraes</w:t>
      </w:r>
    </w:p>
    <w:p>
      <w:pPr>
        <w:ind w:left="288"/>
      </w:pPr>
      <w:r>
        <w:rPr>
          <w:color w:val="1E1E1E"/>
          <w:sz w:val="18"/>
        </w:rPr>
        <w:t>O controle legislativo sobre medidas provisórias editadas pelo Presidente da República é tão importante para o equilíbrio entre os poderes da República que a Constituição Federal estabeleceu uma única hipótese excepcional de suspensão do prazo decadencial de 120 (cento e vinte) dias, durante o recesso do Congresso Nacional (CF, § 4º, art. 62). As alterações no funcionamento regimental das Casas Legislativas, em virtude da pandemia da COVID-19, não caracterizam recesso parlamentar, pois o Congresso Nacional continuará a funcionar e exercer todas as suas competências constitucionais. (...) Mostr</w:t>
      </w:r>
    </w:p>
    <w:p>
      <w:pPr>
        <w:ind w:left="288"/>
      </w:pPr>
      <w:r>
        <w:rPr>
          <w:b/>
          <w:color w:val="003CA0"/>
          <w:sz w:val="16"/>
        </w:rPr>
        <w:t>[ADPF 661, rel. min. Alexandre de Moraes, j. 8-9-2021, P, DJE de 15-9-2021.]</w:t>
      </w:r>
    </w:p>
    <w:p>
      <w:pPr>
        <w:ind w:left="288"/>
      </w:pPr>
      <w:r>
        <w:rPr>
          <w:color w:val="8C8C8C"/>
          <w:sz w:val="12"/>
        </w:rPr>
        <w:t>cf-art-62-par-9</w:t>
      </w:r>
      <w:r>
        <w:rPr>
          <w:color w:val="003CA0"/>
          <w:sz w:val="12"/>
        </w:rPr>
        <w:t xml:space="preserve"> | ADI 4.029</w:t>
      </w:r>
      <w:r>
        <w:rPr>
          <w:color w:val="003CA0"/>
          <w:sz w:val="12"/>
        </w:rPr>
        <w:t xml:space="preserve"> | rel. Luiz Fux</w:t>
      </w:r>
    </w:p>
    <w:p>
      <w:pPr>
        <w:ind w:left="288"/>
      </w:pPr>
      <w:r>
        <w:rPr>
          <w:color w:val="1E1E1E"/>
          <w:sz w:val="18"/>
        </w:rPr>
        <w:t>As comissões mistas e a magnitude das funções das mesmas no processo de conversão de medidas provisórias decorrem da necessidade, imposta pela Constituição, de assegurar uma reflexão mais detida sobre o ato normativo primário emanado pelo Executivo, evitando que a apreciação pelo Plenário seja feita de maneira inopinada, percebendo-se, assim, que o parecer desse Colegiado representa, em vez de formalidade desimportante, uma garantia de que o Legislativo fiscalize o exercício atípico da função legiferante pelo Executivo. O art. 6º da Resolução 1 de 2002 do Congresso Nacional, que permite a emis</w:t>
      </w:r>
    </w:p>
    <w:p>
      <w:pPr>
        <w:ind w:left="288"/>
      </w:pPr>
      <w:r>
        <w:rPr>
          <w:b/>
          <w:color w:val="003CA0"/>
          <w:sz w:val="16"/>
        </w:rPr>
        <w:t>[ADI 4.029, rel. min. Luiz Fux, j. 8-3-2012, P, DJE de 27-6-2012.]</w:t>
      </w:r>
    </w:p>
    <w:p>
      <w:pPr>
        <w:ind w:left="288"/>
      </w:pPr>
      <w:r>
        <w:rPr>
          <w:color w:val="8C8C8C"/>
          <w:sz w:val="12"/>
        </w:rPr>
        <w:t>cf-art-62-par-9</w:t>
      </w:r>
    </w:p>
    <w:p>
      <w:pPr>
        <w:ind w:left="288"/>
      </w:pPr>
      <w:r>
        <w:rPr>
          <w:color w:val="1E1E1E"/>
          <w:sz w:val="18"/>
        </w:rPr>
        <w:t>§ 10. É vedada a reedição, na mesma sessão legislativa, de medida provisória que tenha sido rejeitada ou que tenha perdido sua eficácia por decurso de prazo. (Incluído pela EC 32/2001)</w:t>
      </w:r>
    </w:p>
    <w:p>
      <w:pPr>
        <w:ind w:left="288"/>
      </w:pPr>
      <w:r>
        <w:rPr>
          <w:color w:val="8C8C8C"/>
          <w:sz w:val="12"/>
        </w:rPr>
        <w:t>cf-art-62-par-9</w:t>
      </w:r>
      <w:r>
        <w:rPr>
          <w:color w:val="003CA0"/>
          <w:sz w:val="12"/>
        </w:rPr>
        <w:t xml:space="preserve"> | ADI 2.984</w:t>
      </w:r>
      <w:r>
        <w:rPr>
          <w:color w:val="003CA0"/>
          <w:sz w:val="12"/>
        </w:rPr>
        <w:t xml:space="preserve"> | rel. Rosa Weber</w:t>
      </w:r>
    </w:p>
    <w:p>
      <w:pPr>
        <w:ind w:left="288"/>
      </w:pPr>
      <w:r>
        <w:rPr>
          <w:color w:val="1E1E1E"/>
          <w:sz w:val="18"/>
        </w:rPr>
        <w:t>Impossibilidade de reedição, na mesma sessão legislativa, de medida provisória revogada, nos termos do prescreve o art. 62, §§2º e 3º. Interpretação jurídica em sentido contrário, importaria violação do princípio da Separação de Poderes. Isso porque o Presidente da República teria o controle e comando da pauta do Congresso Nacional, por conseguinte, das prioridades do processo legislativo, em detrimento do próprio Poder Legislativo. Matéria de competência privativa das duas Casas Legislativas (inciso IV do art. 51 e inciso XIII do art. 52, ambos da Constituição Federal). O alcance normativo do</w:t>
      </w:r>
    </w:p>
    <w:p>
      <w:pPr>
        <w:ind w:left="288"/>
      </w:pPr>
      <w:r>
        <w:rPr>
          <w:b/>
          <w:color w:val="003CA0"/>
          <w:sz w:val="16"/>
        </w:rPr>
        <w:t>[ADI 5.709, ADI 5.716, ADI 5.717 e ADI 5.727, rel. min. Rosa Weber, j. 27-3-2019, P, DJE de 28-6-2019.]</w:t>
      </w:r>
    </w:p>
    <w:p>
      <w:pPr>
        <w:ind w:left="288"/>
      </w:pPr>
      <w:r>
        <w:rPr>
          <w:color w:val="8C8C8C"/>
          <w:sz w:val="12"/>
        </w:rPr>
        <w:t>cf-art-62-par-9</w:t>
      </w:r>
      <w:r>
        <w:rPr>
          <w:color w:val="003CA0"/>
          <w:sz w:val="12"/>
        </w:rPr>
        <w:t xml:space="preserve"> | ADI 2.010</w:t>
      </w:r>
      <w:r>
        <w:rPr>
          <w:color w:val="003CA0"/>
          <w:sz w:val="12"/>
        </w:rPr>
        <w:t xml:space="preserve"> | rel. Octavio Gallotti). Também pelas mesmas razões</w:t>
      </w:r>
    </w:p>
    <w:p>
      <w:pPr>
        <w:ind w:left="288"/>
      </w:pPr>
      <w:r>
        <w:rPr>
          <w:color w:val="1E1E1E"/>
          <w:sz w:val="18"/>
        </w:rPr>
        <w:t>A norma inscrita no art. 67 da Constituição – que consagra o postulado da irrepetibilidade dos projetos rejeitados na mesma sessão legislativa – não impede o presidente da República de submeter, à apreciação do Congresso Nacional, reunido em convocação extraordinária (CF, art. 57, § 6º, II), projeto de lei versando, total ou parcialmente, a mesma matéria que constituiu objeto de medida provisória rejeitada pelo Parlamento, em sessão legislativa realizada no ano anterior. O presidente da República, no entanto, sob pena de ofensa ao princípio da separação de poderes e de transgressão à integrida</w:t>
      </w:r>
    </w:p>
    <w:p>
      <w:pPr>
        <w:ind w:left="288"/>
      </w:pPr>
      <w:r>
        <w:rPr>
          <w:b/>
          <w:color w:val="003CA0"/>
          <w:sz w:val="16"/>
        </w:rPr>
        <w:t>[ADI 2.010 MC, rel. min. Celso de Mello, j. 30-9-1999, P, DJ de 12-4-2002.]</w:t>
      </w:r>
    </w:p>
    <w:p>
      <w:pPr>
        <w:ind w:left="288"/>
      </w:pPr>
      <w:r>
        <w:rPr>
          <w:color w:val="8C8C8C"/>
          <w:sz w:val="12"/>
        </w:rPr>
        <w:t>cf-art-62-par-9</w:t>
      </w:r>
    </w:p>
    <w:p>
      <w:pPr>
        <w:ind w:left="288"/>
      </w:pPr>
      <w:r>
        <w:rPr>
          <w:color w:val="1E1E1E"/>
          <w:sz w:val="18"/>
        </w:rPr>
        <w:t>§ 11. Não editado o decreto legislativo a que se refere o § 3º até sessenta dias após a rejeição ou perda de eficácia de medida provisória, as relações jurídicas constituídas e decorrentes de atos praticados durante sua vigência conservar-se-ão por ela regidas. (Incluído pela EC 32/2001)</w:t>
      </w:r>
    </w:p>
    <w:p>
      <w:pPr>
        <w:ind w:left="288"/>
      </w:pPr>
      <w:r>
        <w:rPr>
          <w:color w:val="8C8C8C"/>
          <w:sz w:val="12"/>
        </w:rPr>
        <w:t>cf-art-62-par-9</w:t>
      </w:r>
      <w:r>
        <w:rPr>
          <w:color w:val="003CA0"/>
          <w:sz w:val="12"/>
        </w:rPr>
        <w:t xml:space="preserve"> | ADPF 216</w:t>
      </w:r>
      <w:r>
        <w:rPr>
          <w:color w:val="003CA0"/>
          <w:sz w:val="12"/>
        </w:rPr>
        <w:t xml:space="preserve"> | rel. Cármem Lúcia</w:t>
      </w:r>
    </w:p>
    <w:p>
      <w:pPr>
        <w:ind w:left="288"/>
      </w:pPr>
      <w:r>
        <w:rPr>
          <w:color w:val="1E1E1E"/>
          <w:sz w:val="18"/>
        </w:rPr>
        <w:t>O § 11 do art. 62 da Constituição visa garantir segurança jurídica àqueles que praticaram atos embasados na medida provisória rejeitada ou não apreciada, mas isso não pode se dar ao extremo de se permitir a sobreposição da vontade do Chefe do Poder Executivo sob a do Poder Legislativo, em situações, por exemplo, em que a preservação dos efeitos da medida provisória equivalha à manutenção de sua vigência. Interpretação diversa ofenderia a cláusula pétrea constante do art. 2º da Constituição, que preconiza a separação entre os Poderes. Quanto aos pedidos de licença para exploração de CLIA não ex</w:t>
      </w:r>
    </w:p>
    <w:p>
      <w:pPr>
        <w:ind w:left="288"/>
      </w:pPr>
      <w:r>
        <w:rPr>
          <w:b/>
          <w:color w:val="003CA0"/>
          <w:sz w:val="16"/>
        </w:rPr>
        <w:t>[ADPF 216, rel. min. Cármem Lúcia, j. 14-3-2018, P, DJE de 23-3-2020.]</w:t>
      </w:r>
    </w:p>
    <w:p>
      <w:pPr>
        <w:ind w:left="288"/>
      </w:pPr>
      <w:r>
        <w:rPr>
          <w:color w:val="8C8C8C"/>
          <w:sz w:val="12"/>
        </w:rPr>
        <w:t>cf-art-62-par-9</w:t>
      </w:r>
      <w:r>
        <w:rPr>
          <w:color w:val="003CA0"/>
          <w:sz w:val="12"/>
        </w:rPr>
        <w:t xml:space="preserve"> | RE 1.517.308</w:t>
      </w:r>
      <w:r>
        <w:rPr>
          <w:color w:val="003CA0"/>
          <w:sz w:val="12"/>
        </w:rPr>
        <w:t xml:space="preserve"> | rel. Luís Roberto Barroso</w:t>
      </w:r>
    </w:p>
    <w:p>
      <w:pPr>
        <w:ind w:left="288"/>
      </w:pPr>
      <w:r>
        <w:rPr>
          <w:color w:val="1E1E1E"/>
          <w:sz w:val="18"/>
        </w:rPr>
        <w:t>Prazo prescricional de um ano do art. 14 da Medida Provisória nº 1.039/2021 para os pedidos de auxílio emergencial.</w:t>
      </w:r>
    </w:p>
    <w:p>
      <w:pPr>
        <w:ind w:left="288"/>
      </w:pPr>
      <w:r>
        <w:rPr>
          <w:b/>
          <w:color w:val="003CA0"/>
          <w:sz w:val="16"/>
        </w:rPr>
        <w:t>[RE 1.517.308 RG, rel. min. Luís Roberto Barroso, j. 23.05.2025, P, DJE de 09.06.2025, Tema 1.399, com mérito pendente.]</w:t>
      </w:r>
    </w:p>
    <w:p>
      <w:pPr>
        <w:ind w:left="288"/>
      </w:pPr>
      <w:r>
        <w:rPr>
          <w:color w:val="8C8C8C"/>
          <w:sz w:val="12"/>
        </w:rPr>
        <w:t>cf-art-62-par-9</w:t>
      </w:r>
    </w:p>
    <w:p>
      <w:pPr>
        <w:ind w:left="288"/>
      </w:pPr>
      <w:r>
        <w:rPr>
          <w:color w:val="1E1E1E"/>
          <w:sz w:val="18"/>
        </w:rPr>
        <w:t>§ 12. Aprovado projeto de lei de conversão alterando o texto original da medida provisória, esta manter-se-á integralmente em vigor até que seja sancionado ou vetado o projeto. (Incluído pela EC 32/2001)</w:t>
      </w:r>
    </w:p>
    <w:p>
      <w:r>
        <w:rPr>
          <w:b/>
          <w:color w:val="003366"/>
          <w:sz w:val="20"/>
        </w:rPr>
        <w:t>Art. 63 É criada uma Comissão composta de nove membros, sendo três do Poder Legi</w:t>
      </w:r>
      <w:r>
        <w:rPr>
          <w:color w:val="8C8C8C"/>
          <w:sz w:val="14"/>
        </w:rPr>
        <w:t xml:space="preserve">  [9 decisoes]</w:t>
      </w:r>
    </w:p>
    <w:p>
      <w:pPr>
        <w:ind w:left="144"/>
      </w:pPr>
      <w:r>
        <w:rPr>
          <w:b/>
          <w:color w:val="B45A00"/>
          <w:sz w:val="16"/>
        </w:rPr>
        <w:t>CONTROLE CONCENTRADO</w:t>
      </w:r>
    </w:p>
    <w:p>
      <w:pPr>
        <w:ind w:left="288"/>
      </w:pPr>
      <w:r>
        <w:rPr>
          <w:color w:val="8C8C8C"/>
          <w:sz w:val="12"/>
        </w:rPr>
        <w:t>cf-art-63-inc-I</w:t>
      </w:r>
      <w:r>
        <w:rPr>
          <w:color w:val="003CA0"/>
          <w:sz w:val="12"/>
        </w:rPr>
        <w:t xml:space="preserve"> | ADI 2.791</w:t>
      </w:r>
      <w:r>
        <w:rPr>
          <w:color w:val="003CA0"/>
          <w:sz w:val="12"/>
        </w:rPr>
        <w:t xml:space="preserve"> | rel. Gilmar Mendes</w:t>
      </w:r>
    </w:p>
    <w:p>
      <w:pPr>
        <w:ind w:left="288"/>
      </w:pPr>
      <w:r>
        <w:rPr>
          <w:color w:val="1E1E1E"/>
          <w:sz w:val="18"/>
        </w:rPr>
        <w:t>Inconstitucionalidade formal caracterizada. Emenda parlamentar a projeto de iniciativa exclusiva do chefe do Executivo que resulta em aumento de despesa afronta o art. 63, I, c/c o 61, § 1º, II, c, da CF.</w:t>
      </w:r>
    </w:p>
    <w:p>
      <w:pPr>
        <w:ind w:left="288"/>
      </w:pPr>
      <w:r>
        <w:rPr>
          <w:b/>
          <w:color w:val="003CA0"/>
          <w:sz w:val="16"/>
        </w:rPr>
        <w:t>[ADI 2.791, rel. min. Gilmar Mendes, j. 16-8-2006, P, DJ de 24-11-2006.]</w:t>
      </w:r>
    </w:p>
    <w:p>
      <w:pPr>
        <w:ind w:left="288"/>
      </w:pPr>
      <w:r>
        <w:rPr>
          <w:color w:val="8C8C8C"/>
          <w:sz w:val="12"/>
        </w:rPr>
        <w:t>cf-art-63-inc-I</w:t>
      </w:r>
      <w:r>
        <w:rPr>
          <w:color w:val="003CA0"/>
          <w:sz w:val="12"/>
        </w:rPr>
        <w:t xml:space="preserve"> | ADI 4.009</w:t>
      </w:r>
      <w:r>
        <w:rPr>
          <w:color w:val="003CA0"/>
          <w:sz w:val="12"/>
        </w:rPr>
        <w:t xml:space="preserve"> | rel. Eros Grau</w:t>
      </w:r>
    </w:p>
    <w:p>
      <w:pPr>
        <w:ind w:left="288"/>
      </w:pPr>
      <w:r>
        <w:rPr>
          <w:color w:val="1E1E1E"/>
          <w:sz w:val="18"/>
        </w:rPr>
        <w:t>= ADI 4.009, rel. min. Eros Grau, j. 4-2-2009, P, DJE de 29-5-2009 As normas constitucionais de processo legislativo não impossibilitam, em regra, a modificação, por meio de emendas parlamentares, dos projetos de lei enviados pelo chefe do Poder Executivo no exercício de sua iniciativa privativa. Essa atribuição do Poder Legislativo brasileiro esbarra, porém, em duas limitações: a) a impossibilidade de o Parlamento veicular matérias diferentes das versadas no projeto de lei, de modo a desfigurá-lo; e b) a impossibilidade de as emendas parlamentares aos projetos de lei de iniciativa do presiden</w:t>
      </w:r>
    </w:p>
    <w:p>
      <w:pPr>
        <w:ind w:left="288"/>
      </w:pPr>
      <w:r>
        <w:rPr>
          <w:b/>
          <w:color w:val="003CA0"/>
          <w:sz w:val="16"/>
        </w:rPr>
        <w:t>[ADI 3.114, rel. min. Ayres Britto, j. 24-8-2005, P, DJ de 7-4-2006.]</w:t>
      </w:r>
    </w:p>
    <w:p>
      <w:pPr>
        <w:ind w:left="288"/>
      </w:pPr>
      <w:r>
        <w:rPr>
          <w:color w:val="8C8C8C"/>
          <w:sz w:val="12"/>
        </w:rPr>
        <w:t>cf-art-63-inc-I</w:t>
      </w:r>
      <w:r>
        <w:rPr>
          <w:color w:val="003CA0"/>
          <w:sz w:val="12"/>
        </w:rPr>
        <w:t xml:space="preserve"> | ADI 2.583</w:t>
      </w:r>
      <w:r>
        <w:rPr>
          <w:color w:val="003CA0"/>
          <w:sz w:val="12"/>
        </w:rPr>
        <w:t xml:space="preserve"> | rel. Cármen Lúcia</w:t>
      </w:r>
    </w:p>
    <w:p>
      <w:pPr>
        <w:ind w:left="288"/>
      </w:pPr>
      <w:r>
        <w:rPr>
          <w:color w:val="1E1E1E"/>
          <w:sz w:val="18"/>
        </w:rPr>
        <w:t>= ADI 2.583, rel. min. Cármen Lúcia, j. 1º-8-2011, P, DJE de 26-8-2011 O poder de emendar – que não constitui derivação do poder de iniciar o processo de formação das leis – qualifica-se como prerrogativa deferida aos parlamentares, que se sujeitam, no entanto, quanto ao seu exercício, às restrições impostas, em numerus clausus, pela CF. A CF de 1988, prestigiando o exercício da função parlamentar, afastou muitas das restrições que incidiam, especificamente, no regime constitucional anterior, sobre o poder de emenda reconhecido aos membros do Legislativo. O legislador constituinte, ao assim pr</w:t>
      </w:r>
    </w:p>
    <w:p>
      <w:pPr>
        <w:ind w:left="288"/>
      </w:pPr>
      <w:r>
        <w:rPr>
          <w:b/>
          <w:color w:val="003CA0"/>
          <w:sz w:val="16"/>
        </w:rPr>
        <w:t>[ADI 2.681 MC, rel. min. Celso de Mello, j. 11-9-2002, P, DJE de 25-10-2013.]</w:t>
      </w:r>
    </w:p>
    <w:p>
      <w:pPr>
        <w:ind w:left="288"/>
      </w:pPr>
      <w:r>
        <w:rPr>
          <w:color w:val="8C8C8C"/>
          <w:sz w:val="12"/>
        </w:rPr>
        <w:t>cf-art-63-inc-I</w:t>
      </w:r>
      <w:r>
        <w:rPr>
          <w:color w:val="003CA0"/>
          <w:sz w:val="12"/>
        </w:rPr>
        <w:t xml:space="preserve"> | ADI 774</w:t>
      </w:r>
      <w:r>
        <w:rPr>
          <w:color w:val="003CA0"/>
          <w:sz w:val="12"/>
        </w:rPr>
        <w:t xml:space="preserve"> | rel. Sepúlveda Pertence</w:t>
      </w:r>
    </w:p>
    <w:p>
      <w:pPr>
        <w:ind w:left="288"/>
      </w:pPr>
      <w:r>
        <w:rPr>
          <w:color w:val="1E1E1E"/>
          <w:sz w:val="18"/>
        </w:rPr>
        <w:t>Processo legislativo da União: observância compulsória pelos Estados de seus princípios básicos, por sua implicação com o princípio fundamental da separação e independência dos Poderes: jurisprudência do Supremo Tribunal. Processo legislativo: emenda de origem parlamentar a projeto de iniciativa reservada a outro poder: inconstitucionalidade, quando da alteração resulte aumento da despesa consequente ao projeto inicial (...).</w:t>
      </w:r>
    </w:p>
    <w:p>
      <w:pPr>
        <w:ind w:left="288"/>
      </w:pPr>
      <w:r>
        <w:rPr>
          <w:b/>
          <w:color w:val="003CA0"/>
          <w:sz w:val="16"/>
        </w:rPr>
        <w:t>[ADI 774, rel. min. Sepúlveda Pertence, j. 10-12-1998, P, DJ de 26-2-1999.]</w:t>
      </w:r>
    </w:p>
    <w:p>
      <w:pPr>
        <w:ind w:left="288"/>
      </w:pPr>
      <w:r>
        <w:rPr>
          <w:color w:val="8C8C8C"/>
          <w:sz w:val="12"/>
        </w:rPr>
        <w:t>cf-art-63-inc-I</w:t>
      </w:r>
      <w:r>
        <w:rPr>
          <w:color w:val="003CA0"/>
          <w:sz w:val="12"/>
        </w:rPr>
        <w:t xml:space="preserve"> | RE 745.811</w:t>
      </w:r>
      <w:r>
        <w:rPr>
          <w:color w:val="003CA0"/>
          <w:sz w:val="12"/>
        </w:rPr>
        <w:t xml:space="preserve"> | rel. Gilmar Mendes</w:t>
      </w:r>
    </w:p>
    <w:p>
      <w:pPr>
        <w:ind w:left="288"/>
      </w:pPr>
      <w:r>
        <w:rPr>
          <w:color w:val="1E1E1E"/>
          <w:sz w:val="18"/>
        </w:rPr>
        <w:t>= RE 745.811 RG, rel. min. Gilmar Mendes, j. 17-10-2013, P, DJE de 6-11-2013, Tema 686</w:t>
      </w:r>
    </w:p>
    <w:p>
      <w:pPr>
        <w:ind w:left="144"/>
      </w:pPr>
      <w:r>
        <w:rPr>
          <w:b/>
          <w:color w:val="B45A00"/>
          <w:sz w:val="16"/>
        </w:rPr>
        <w:t>REPERCUSSAO GERAL</w:t>
      </w:r>
    </w:p>
    <w:p>
      <w:pPr>
        <w:ind w:left="288"/>
      </w:pPr>
      <w:r>
        <w:rPr>
          <w:color w:val="8C8C8C"/>
          <w:sz w:val="12"/>
        </w:rPr>
        <w:t>cf-art-63-inc-I</w:t>
      </w:r>
      <w:r>
        <w:rPr>
          <w:color w:val="003CA0"/>
          <w:sz w:val="12"/>
        </w:rPr>
        <w:t xml:space="preserve"> | RE 745.811</w:t>
      </w:r>
      <w:r>
        <w:rPr>
          <w:color w:val="003CA0"/>
          <w:sz w:val="12"/>
        </w:rPr>
        <w:t xml:space="preserve"> | rel. Gilmar Mendes</w:t>
      </w:r>
    </w:p>
    <w:p>
      <w:pPr>
        <w:ind w:left="288"/>
      </w:pPr>
      <w:r>
        <w:rPr>
          <w:color w:val="1E1E1E"/>
          <w:sz w:val="18"/>
        </w:rPr>
        <w:t xml:space="preserve">Dispositivos resultantes de emenda parlamentar que estenderam gratificação, inicialmente prevista apenas para os professores, a todos os servidores que atuem na área de educação especial. Inconstitucionalidade formal. Arts. 2º e 63, I, da CF. </w:t>
        <w:br/>
        <w:t>[RE 745.811 RG, rel. min. Gilmar Mendes, j. 17-10-2013, P, DJE de 6-11-2013, Tema 686, com mérito julgado.]</w:t>
        <w:br/>
        <w:t>= ADI 774, rel. min. Sepúlveda Pertence, j. 10-12-1998, P, DJ de 26-2-1999</w:t>
      </w:r>
    </w:p>
    <w:p>
      <w:pPr>
        <w:ind w:left="144"/>
      </w:pPr>
      <w:r>
        <w:rPr>
          <w:b/>
          <w:color w:val="B45A00"/>
          <w:sz w:val="16"/>
        </w:rPr>
        <w:t>JULGADOS CORRELATOS</w:t>
      </w:r>
    </w:p>
    <w:p>
      <w:pPr>
        <w:ind w:left="288"/>
      </w:pPr>
      <w:r>
        <w:rPr>
          <w:color w:val="8C8C8C"/>
          <w:sz w:val="12"/>
        </w:rPr>
        <w:t>cf-art-63-inc-I</w:t>
      </w:r>
      <w:r>
        <w:rPr>
          <w:color w:val="003CA0"/>
          <w:sz w:val="12"/>
        </w:rPr>
        <w:t xml:space="preserve"> | RE 274.383</w:t>
      </w:r>
      <w:r>
        <w:rPr>
          <w:color w:val="003CA0"/>
          <w:sz w:val="12"/>
        </w:rPr>
        <w:t xml:space="preserve"> | rel. Ellen Gracie</w:t>
      </w:r>
    </w:p>
    <w:p>
      <w:pPr>
        <w:ind w:left="288"/>
      </w:pPr>
      <w:r>
        <w:rPr>
          <w:color w:val="1E1E1E"/>
          <w:sz w:val="18"/>
        </w:rPr>
        <w:t>Norma que rege o regime jurídico de servidor público. Iniciativa privativa do chefe do Executivo. Alegação de inconstitucionalidade dessa regra, ante a emenda da Câmara de Vereadores, que reduziu o tempo mínimo de exercício de quinze para doze anos. Entendimento consolidado desta Corte no sentido de ser permitido a parlamentares apresentar emendas a projeto de iniciativa privativa do Executivo, desde que não causem aumento de despesas (art. 61, § 1º, a e c, c/c art. 63, I, todos da CF/1988). Inaplicabilidade ao caso concreto. Se a norma impugnada for retirada do mundo jurídico, desaparecerá qu</w:t>
      </w:r>
    </w:p>
    <w:p>
      <w:pPr>
        <w:ind w:left="288"/>
      </w:pPr>
      <w:r>
        <w:rPr>
          <w:b/>
          <w:color w:val="003CA0"/>
          <w:sz w:val="16"/>
        </w:rPr>
        <w:t>[RE 274.383, rel. min. Ellen Gracie, j. 29-3-2005, 2ª T, DJ de 22-4-2005.]</w:t>
      </w:r>
    </w:p>
    <w:p>
      <w:pPr>
        <w:ind w:left="144"/>
      </w:pPr>
      <w:r>
        <w:rPr>
          <w:b/>
          <w:color w:val="B45A00"/>
          <w:sz w:val="16"/>
        </w:rPr>
        <w:t>CONTROLE CONCENTRADO</w:t>
      </w:r>
    </w:p>
    <w:p>
      <w:pPr>
        <w:ind w:left="288"/>
      </w:pPr>
      <w:r>
        <w:rPr>
          <w:color w:val="8C8C8C"/>
          <w:sz w:val="12"/>
        </w:rPr>
        <w:t>cf-art-63-inc-II</w:t>
      </w:r>
      <w:r>
        <w:rPr>
          <w:color w:val="003CA0"/>
          <w:sz w:val="12"/>
        </w:rPr>
        <w:t xml:space="preserve"> | ADI 865</w:t>
      </w:r>
      <w:r>
        <w:rPr>
          <w:color w:val="003CA0"/>
          <w:sz w:val="12"/>
        </w:rPr>
        <w:t xml:space="preserve"> | rel. Celso de Mello</w:t>
      </w:r>
    </w:p>
    <w:p>
      <w:pPr>
        <w:ind w:left="288"/>
      </w:pPr>
      <w:r>
        <w:rPr>
          <w:color w:val="1E1E1E"/>
          <w:sz w:val="18"/>
        </w:rPr>
        <w:t>O projeto de lei sobre organização judiciária pode sofrer emendas parlamentares de que resulte, até mesmo, aumento da despesa prevista. O conteúdo restritivo da norma inscrita no art. 63, II, da CF, que concerne exclusivamente aos serviços administrativos estruturados na secretaria dos tribunais, não se aplica aos projetos referentes à organização judiciária, eis que as limitações expressamente previstas, nesse tema, pela Carta Política de 1969 (art. 144, § 5º, in fine) deixaram de ser reproduzidas pelo vigente ordenamento constitucional.</w:t>
      </w:r>
    </w:p>
    <w:p>
      <w:pPr>
        <w:ind w:left="288"/>
      </w:pPr>
      <w:r>
        <w:rPr>
          <w:b/>
          <w:color w:val="003CA0"/>
          <w:sz w:val="16"/>
        </w:rPr>
        <w:t>[ADI 865 MC, rel. min. Celso de Mello, j. 7-10-1993, P, DJ de 8-4-1994.]</w:t>
      </w:r>
    </w:p>
    <w:p>
      <w:pPr>
        <w:ind w:left="144"/>
      </w:pPr>
      <w:r>
        <w:rPr>
          <w:b/>
          <w:color w:val="B45A00"/>
          <w:sz w:val="16"/>
        </w:rPr>
        <w:t>JULGADOS CORRELATOS</w:t>
      </w:r>
    </w:p>
    <w:p>
      <w:pPr>
        <w:ind w:left="288"/>
      </w:pPr>
      <w:r>
        <w:rPr>
          <w:color w:val="8C8C8C"/>
          <w:sz w:val="12"/>
        </w:rPr>
        <w:t>cf-art-63-inc-II</w:t>
      </w:r>
      <w:r>
        <w:rPr>
          <w:color w:val="003CA0"/>
          <w:sz w:val="12"/>
        </w:rPr>
        <w:t xml:space="preserve"> | RE 140.542</w:t>
      </w:r>
      <w:r>
        <w:rPr>
          <w:color w:val="003CA0"/>
          <w:sz w:val="12"/>
        </w:rPr>
        <w:t xml:space="preserve"> | rel. Ilmar Galvão</w:t>
      </w:r>
    </w:p>
    <w:p>
      <w:pPr>
        <w:ind w:left="288"/>
      </w:pPr>
      <w:r>
        <w:rPr>
          <w:color w:val="1E1E1E"/>
          <w:sz w:val="18"/>
        </w:rPr>
        <w:t>Art. 2º da Lei 1.509/1989/RJ, pelo qual foi atribuída a competência aos respectivos juízos de cognição para execução das sentenças criminais por eles proferidas. Acórdão que declarou a inconstitucionalidade da norma, ao fundamento de haver ela resultado de emenda a projeto de lei de iniciativa do Poder Judiciário, no curso do trâmite legislativo. Decisão insustentável, já que a iniciativa de lei constitui mero pressuposto objetivo vinculatório do procedimento legislativo, que se exaure no impulso dado pelo poder competente, sem o efeito de reduzir a atuação do Poder Legislativo a uma simples a</w:t>
      </w:r>
    </w:p>
    <w:p>
      <w:pPr>
        <w:ind w:left="288"/>
      </w:pPr>
      <w:r>
        <w:rPr>
          <w:b/>
          <w:color w:val="003CA0"/>
          <w:sz w:val="16"/>
        </w:rPr>
        <w:t>[RE 140.542, rel. min. Ilmar Galvão, j. 30-9-1993, P, DJ de 25-10-1996.]</w:t>
      </w:r>
    </w:p>
    <w:p>
      <w:r>
        <w:rPr>
          <w:b/>
          <w:color w:val="003366"/>
          <w:sz w:val="20"/>
        </w:rPr>
        <w:t>Art. 64 A Imprensa Nacional e demais gráficas da União, dos Estados, do Distrito</w:t>
      </w:r>
      <w:r>
        <w:rPr>
          <w:color w:val="8C8C8C"/>
          <w:sz w:val="14"/>
        </w:rPr>
        <w:t xml:space="preserve">  [3 decisoes]</w:t>
      </w:r>
    </w:p>
    <w:p>
      <w:pPr>
        <w:ind w:left="144"/>
      </w:pPr>
      <w:r>
        <w:rPr>
          <w:b/>
          <w:color w:val="B45A00"/>
          <w:sz w:val="16"/>
        </w:rPr>
        <w:t>CONTROLE CONCENTRADO</w:t>
      </w:r>
    </w:p>
    <w:p>
      <w:pPr>
        <w:ind w:left="288"/>
      </w:pPr>
      <w:r>
        <w:rPr>
          <w:color w:val="8C8C8C"/>
          <w:sz w:val="12"/>
        </w:rPr>
        <w:t>cf-art-64-par-1</w:t>
      </w:r>
      <w:r>
        <w:rPr>
          <w:color w:val="003CA0"/>
          <w:sz w:val="12"/>
        </w:rPr>
        <w:t xml:space="preserve"> | ADI 3.682</w:t>
      </w:r>
      <w:r>
        <w:rPr>
          <w:color w:val="003CA0"/>
          <w:sz w:val="12"/>
        </w:rPr>
        <w:t xml:space="preserve"> | rel. Gilmar Mendes</w:t>
      </w:r>
    </w:p>
    <w:p>
      <w:pPr>
        <w:ind w:left="288"/>
      </w:pPr>
      <w:r>
        <w:rPr>
          <w:color w:val="1E1E1E"/>
          <w:sz w:val="18"/>
        </w:rPr>
        <w:t>Assim, questão que ainda está a merecer melhor exame diz respeito à inertia deliberandi (discussão e votação) no âmbito das Casas Legislativas. Enquanto a sanção e o veto estão disciplinados, de forma relativamente precisa, no texto constitucional, inclusive no que concerne a prazos (art. 66), a deliberação não mereceu do constituinte, no tocante a esse aspecto, uma disciplina mais minuciosa. Ressalvada a hipótese de utilização do procedimento abreviado previsto no art. 64, §§ 1º e 2º, da Constituição, não se estabeleceram prazos para a apreciação dos projetos de lei. Observe-se que, mesmo nos</w:t>
      </w:r>
    </w:p>
    <w:p>
      <w:pPr>
        <w:ind w:left="288"/>
      </w:pPr>
      <w:r>
        <w:rPr>
          <w:b/>
          <w:color w:val="003CA0"/>
          <w:sz w:val="16"/>
        </w:rPr>
        <w:t>[ADI 3.682, voto do rel. min. Gilmar Mendes, j. 9-5-2007, P, DJ de 6-9-2007.]</w:t>
      </w:r>
    </w:p>
    <w:p>
      <w:pPr>
        <w:ind w:left="288"/>
      </w:pPr>
      <w:r>
        <w:rPr>
          <w:color w:val="8C8C8C"/>
          <w:sz w:val="12"/>
        </w:rPr>
        <w:t>cf-art-64-par-1</w:t>
      </w:r>
      <w:r>
        <w:rPr>
          <w:color w:val="003CA0"/>
          <w:sz w:val="12"/>
        </w:rPr>
        <w:t xml:space="preserve"> | ADI 525</w:t>
      </w:r>
      <w:r>
        <w:rPr>
          <w:color w:val="003CA0"/>
          <w:sz w:val="12"/>
        </w:rPr>
        <w:t xml:space="preserve"> | rel. Sepúlveda Pertence</w:t>
      </w:r>
    </w:p>
    <w:p>
      <w:pPr>
        <w:ind w:left="288"/>
      </w:pPr>
      <w:r>
        <w:rPr>
          <w:color w:val="1E1E1E"/>
          <w:sz w:val="18"/>
        </w:rPr>
        <w:t>Medida provisória: (...) edição na pendência, em regime de urgência, de projeto de lei sobre matéria de iniciativa presidencial. (...) A circunstância de a MP 296/1991 ter sido baixada no curso do processo legislativo, em regime de urgência(...), sobre projeto de iniciativa presidencial abrangendo a matéria por ela regulada, não ilide, por si só, a possibilidade constitucional da sua edição.</w:t>
      </w:r>
    </w:p>
    <w:p>
      <w:pPr>
        <w:ind w:left="288"/>
      </w:pPr>
      <w:r>
        <w:rPr>
          <w:b/>
          <w:color w:val="003CA0"/>
          <w:sz w:val="16"/>
        </w:rPr>
        <w:t>[ADI 525 MC, rel. min. Sepúlveda Pertence, j. 12-6-1991, P, DJ de 2-4-2004.]</w:t>
      </w:r>
    </w:p>
    <w:p>
      <w:pPr>
        <w:ind w:left="288"/>
      </w:pPr>
      <w:r>
        <w:rPr>
          <w:color w:val="8C8C8C"/>
          <w:sz w:val="12"/>
        </w:rPr>
        <w:t>cf-art-64-par-1</w:t>
      </w:r>
    </w:p>
    <w:p>
      <w:pPr>
        <w:ind w:left="288"/>
      </w:pPr>
      <w:r>
        <w:rPr>
          <w:color w:val="1E1E1E"/>
          <w:sz w:val="18"/>
        </w:rPr>
        <w:t>§ 2º Se, no caso do § 1º, a Câmara dos Deputados e o Senado Federal não se manifestarem sobre a proposição, cada qual sucessivamente, em até quarenta e cinco dias, sobrestar-se-ão todas as demais deliberações legislativas da respectiva Casa, com exceção das que tenham prazo constitucional determinado, até que se ultime a votação. (Redação da EC 32/2001)</w:t>
      </w:r>
    </w:p>
    <w:p>
      <w:r>
        <w:rPr>
          <w:b/>
          <w:color w:val="003366"/>
          <w:sz w:val="20"/>
        </w:rPr>
        <w:t>Art. 65 O Poder Legislativo regulamentará, no prazo de doze meses, o art. 220, §</w:t>
      </w:r>
      <w:r>
        <w:rPr>
          <w:color w:val="8C8C8C"/>
          <w:sz w:val="14"/>
        </w:rPr>
        <w:t xml:space="preserve">  [4 decisoes]</w:t>
      </w:r>
    </w:p>
    <w:p>
      <w:pPr>
        <w:ind w:left="288"/>
      </w:pPr>
      <w:r>
        <w:rPr>
          <w:color w:val="8C8C8C"/>
          <w:sz w:val="12"/>
        </w:rPr>
        <w:t>cf-art-65-par-unico</w:t>
      </w:r>
      <w:r>
        <w:rPr>
          <w:color w:val="003CA0"/>
          <w:sz w:val="12"/>
        </w:rPr>
        <w:t xml:space="preserve"> | ADI 6.085</w:t>
      </w:r>
      <w:r>
        <w:rPr>
          <w:color w:val="003CA0"/>
          <w:sz w:val="12"/>
        </w:rPr>
        <w:t xml:space="preserve"> | rel. Cristiano Zanin</w:t>
      </w:r>
    </w:p>
    <w:p>
      <w:pPr>
        <w:ind w:left="288"/>
      </w:pPr>
      <w:r>
        <w:rPr>
          <w:color w:val="1E1E1E"/>
          <w:sz w:val="18"/>
        </w:rPr>
        <w:t>Mostra-se relevante perquirir, diante de uma emenda apresentada pela Casa Revisora, se ela possui, ou não, aptidão para modificar a proposição jurídica originalmente encaminhada pela Casa Iniciadora. Caso se compreenda que a Casa Revisora introduziu emenda que implica alteração, supressão ou complementação de conteúdo, mostra-se indispensável o retorno à Casa Iniciadora para análise e deliberação. Caso se entenda em sentido diverso, ou seja, que a emenda inserida pela Casa Revisora não acarretou modificação quanto à substância do projeto, revela-se prescindível o retorno à Casa Iniciadora.</w:t>
      </w:r>
    </w:p>
    <w:p>
      <w:pPr>
        <w:ind w:left="288"/>
      </w:pPr>
      <w:r>
        <w:rPr>
          <w:b/>
          <w:color w:val="003CA0"/>
          <w:sz w:val="16"/>
        </w:rPr>
        <w:t>[ADI 6.085, rel. min. Cristiano Zanin, red. do ac. min. Gilmar Mendes, j. 19.08.2025, P, DJE de 08.10.2025.]</w:t>
      </w:r>
    </w:p>
    <w:p>
      <w:pPr>
        <w:ind w:left="288"/>
      </w:pPr>
      <w:r>
        <w:rPr>
          <w:color w:val="8C8C8C"/>
          <w:sz w:val="12"/>
        </w:rPr>
        <w:t>cf-art-65-par-unico</w:t>
      </w:r>
      <w:r>
        <w:rPr>
          <w:color w:val="003CA0"/>
          <w:sz w:val="12"/>
        </w:rPr>
        <w:t xml:space="preserve"> | ADI 7.442</w:t>
      </w:r>
      <w:r>
        <w:rPr>
          <w:color w:val="003CA0"/>
          <w:sz w:val="12"/>
        </w:rPr>
        <w:t xml:space="preserve"> | rel. Alexandre de Moraes</w:t>
      </w:r>
    </w:p>
    <w:p>
      <w:pPr>
        <w:ind w:left="288"/>
      </w:pPr>
      <w:r>
        <w:rPr>
          <w:color w:val="1E1E1E"/>
          <w:sz w:val="18"/>
        </w:rPr>
        <w:t>A observância de regularidade do devido processo legislativo em ambas as Casas Legislativas é imprescindível em face do bicameralismo de nosso Congresso Nacional, que consagra, em regra, a necessidade de discussão e aprovação de um projeto de lei por ambas as casas, exigindo que qualquer alteração de conteúdo ao projeto aprovado por uma delas retorne à outra. 4. O Senado Federal especificou, exclusivamente, que as sociedades cooperativas operadoras de plano de assistência à saúde não estão contidas na limitação constante do art. 2º, II a Lei 11.101/2005. Nesse sentido, não alterou substancialm</w:t>
      </w:r>
    </w:p>
    <w:p>
      <w:pPr>
        <w:ind w:left="288"/>
      </w:pPr>
      <w:r>
        <w:rPr>
          <w:b/>
          <w:color w:val="003CA0"/>
          <w:sz w:val="16"/>
        </w:rPr>
        <w:t>[ADI 7.442, rel. min. Alexandre de Moraes, j. 24.10.2024, P, DJE de 07.02.2025.]</w:t>
      </w:r>
    </w:p>
    <w:p>
      <w:pPr>
        <w:ind w:left="144"/>
      </w:pPr>
      <w:r>
        <w:rPr>
          <w:b/>
          <w:color w:val="B45A00"/>
          <w:sz w:val="16"/>
        </w:rPr>
        <w:t>CONTROLE CONCENTRADO</w:t>
      </w:r>
    </w:p>
    <w:p>
      <w:pPr>
        <w:ind w:left="288"/>
      </w:pPr>
      <w:r>
        <w:rPr>
          <w:color w:val="8C8C8C"/>
          <w:sz w:val="12"/>
        </w:rPr>
        <w:t>cf-art-65-par-unico</w:t>
      </w:r>
      <w:r>
        <w:rPr>
          <w:color w:val="003CA0"/>
          <w:sz w:val="12"/>
        </w:rPr>
        <w:t xml:space="preserve"> | ADI 2.238</w:t>
      </w:r>
      <w:r>
        <w:rPr>
          <w:color w:val="003CA0"/>
          <w:sz w:val="12"/>
        </w:rPr>
        <w:t xml:space="preserve"> | rel. Alexandre de Moraes</w:t>
      </w:r>
    </w:p>
    <w:p>
      <w:pPr>
        <w:ind w:left="288"/>
      </w:pPr>
      <w:r>
        <w:rPr>
          <w:color w:val="1E1E1E"/>
          <w:sz w:val="18"/>
        </w:rPr>
        <w:t>Na presente hipótese, não houve qualquer desrespeito ao devido processo legislativo, tendo sido respeitado integralmente o bicameralismo congressual, pois ambas as Casas legislativas aprovaram os mesmos textos, inexistindo qualquer alteração substancial de conteúdo nos dispositivos impugnados.</w:t>
        <w:br/>
        <w:t>[ADI 2.238, voto do rel. min. Alexandre de Moraes, j. 24-6-2020, P, DJE de 15-9-2020.]</w:t>
        <w:br/>
        <w:t>Vide ADI 2.182, red. do ac. min. Cármen Lúcia, j. 12-5-2010, P, DJE de 10-9-2010 Inconstitucionalidade formal da Lei 8.429/1992 (Lei de Improbidade Administrativa): inexistência. (...) Iniciado o projeto de lei na Câma</w:t>
      </w:r>
    </w:p>
    <w:p>
      <w:pPr>
        <w:ind w:left="288"/>
      </w:pPr>
      <w:r>
        <w:rPr>
          <w:b/>
          <w:color w:val="003CA0"/>
          <w:sz w:val="16"/>
        </w:rPr>
        <w:t>[ADI 2.182, red. do ac. min. Cármen Lúcia, rel. min. Marco Aurélio, j. 12-5-2010, P, DJE de 10-9-2010.]</w:t>
      </w:r>
    </w:p>
    <w:p>
      <w:pPr>
        <w:ind w:left="288"/>
      </w:pPr>
      <w:r>
        <w:rPr>
          <w:color w:val="8C8C8C"/>
          <w:sz w:val="12"/>
        </w:rPr>
        <w:t>cf-art-65-par-unico</w:t>
      </w:r>
      <w:r>
        <w:rPr>
          <w:color w:val="003CA0"/>
          <w:sz w:val="12"/>
        </w:rPr>
        <w:t xml:space="preserve"> | ADI 2.238</w:t>
      </w:r>
      <w:r>
        <w:rPr>
          <w:color w:val="003CA0"/>
          <w:sz w:val="12"/>
        </w:rPr>
        <w:t xml:space="preserve"> | rel. Alexandre de Moraes</w:t>
      </w:r>
    </w:p>
    <w:p>
      <w:pPr>
        <w:ind w:left="288"/>
      </w:pPr>
      <w:r>
        <w:rPr>
          <w:color w:val="1E1E1E"/>
          <w:sz w:val="18"/>
        </w:rPr>
        <w:t>Vide ADI 2.238, rel. min. Alexandre de Moraes, j. 24-6-2020, P, DJE de 15-9-2020 Projeto de lei aprovado na Casa iniciadora (Câmara dos Deputados) e remetido à Casa revisora (Senado Federal), na qual foi aprovado substitutivo, seguindo-se sua volta à Câmara. A aprovação de substitutivo pelo Senado não equivale à rejeição do projeto, visto que "emenda substitutiva é a apresentada à parte de outra proposição, denominando-se 'substitutivo' quando alterar, substancial ou formalmente, em seu conjunto" (§ 4º do art. 118 do Regimento Interno da Câmara dos Deputados); substitutivo, pois, nada mais é d</w:t>
      </w:r>
    </w:p>
    <w:p>
      <w:pPr>
        <w:ind w:left="288"/>
      </w:pPr>
      <w:r>
        <w:rPr>
          <w:b/>
          <w:color w:val="003CA0"/>
          <w:sz w:val="16"/>
        </w:rPr>
        <w:t>[ADI 2.182 MC, rel. min. Maurício Corrêa, j. 31-5-2000, P, DJ de19-3-2004.]</w:t>
      </w:r>
    </w:p>
    <w:p>
      <w:r>
        <w:rPr>
          <w:b/>
          <w:color w:val="003366"/>
          <w:sz w:val="20"/>
        </w:rPr>
        <w:t>Art. 66 São mantidas as concessões de serviços públicos de telecomunicações atua</w:t>
      </w:r>
      <w:r>
        <w:rPr>
          <w:color w:val="8C8C8C"/>
          <w:sz w:val="14"/>
        </w:rPr>
        <w:t xml:space="preserve">  [12 decisoes]</w:t>
      </w:r>
    </w:p>
    <w:p>
      <w:pPr>
        <w:ind w:left="144"/>
      </w:pPr>
      <w:r>
        <w:rPr>
          <w:b/>
          <w:color w:val="B45A00"/>
          <w:sz w:val="16"/>
        </w:rPr>
        <w:t>CONTROLE CONCENTRADO</w:t>
      </w:r>
    </w:p>
    <w:p>
      <w:pPr>
        <w:ind w:left="288"/>
      </w:pPr>
      <w:r>
        <w:rPr>
          <w:color w:val="8C8C8C"/>
          <w:sz w:val="12"/>
        </w:rPr>
        <w:t>cf-art-66</w:t>
      </w:r>
      <w:r>
        <w:rPr>
          <w:color w:val="003CA0"/>
          <w:sz w:val="12"/>
        </w:rPr>
        <w:t xml:space="preserve"> | ADPF 714</w:t>
      </w:r>
      <w:r>
        <w:rPr>
          <w:color w:val="003CA0"/>
          <w:sz w:val="12"/>
        </w:rPr>
        <w:t xml:space="preserve"> | rel. Gilmar Mendes</w:t>
      </w:r>
    </w:p>
    <w:p>
      <w:pPr>
        <w:ind w:left="288"/>
      </w:pPr>
      <w:r>
        <w:rPr>
          <w:color w:val="1E1E1E"/>
          <w:sz w:val="18"/>
        </w:rPr>
        <w:t>Veto presidencial em projeto de lei que determinava a utilização de máscaras em locais fechados. Novo veto, após sanção parcial, contra dispositivo anteriormente sancionado, que determinava a utilização de máscaras em presídios. Admissibilidade de ADPF contra veto por inconstitucionalidade. Impossibilidade de arrependimento ao veto.</w:t>
      </w:r>
    </w:p>
    <w:p>
      <w:pPr>
        <w:ind w:left="288"/>
      </w:pPr>
      <w:r>
        <w:rPr>
          <w:b/>
          <w:color w:val="003CA0"/>
          <w:sz w:val="16"/>
        </w:rPr>
        <w:t>[ADPF 714, ADPF 715 e ADPF 716, rel. min. Gilmar Mendes, j. 17-2-2021, P, DJE 25-2-2021.]</w:t>
      </w:r>
    </w:p>
    <w:p>
      <w:pPr>
        <w:ind w:left="288"/>
      </w:pPr>
      <w:r>
        <w:rPr>
          <w:color w:val="8C8C8C"/>
          <w:sz w:val="12"/>
        </w:rPr>
        <w:t>cf-art-66</w:t>
      </w:r>
      <w:r>
        <w:rPr>
          <w:color w:val="003CA0"/>
          <w:sz w:val="12"/>
        </w:rPr>
        <w:t xml:space="preserve"> | ADI 2.867</w:t>
      </w:r>
      <w:r>
        <w:rPr>
          <w:color w:val="003CA0"/>
          <w:sz w:val="12"/>
        </w:rPr>
        <w:t xml:space="preserve"> | rel. Celso de Mello</w:t>
      </w:r>
    </w:p>
    <w:p>
      <w:pPr>
        <w:ind w:left="288"/>
      </w:pPr>
      <w:r>
        <w:rPr>
          <w:color w:val="1E1E1E"/>
          <w:sz w:val="18"/>
        </w:rPr>
        <w:t>A sanção do projeto de lei não convalida o vício de inconstitucionalidade resultante da usurpação do poder de iniciativa. A ulterior aquiescência do chefe do Poder Executivo, mediante sanção do projeto de lei, ainda quando dele seja a prerrogativa usurpada, não tem o condão de sanar o vício radical da inconstitucionalidade. Insubsistência da Súmula 5/STF.</w:t>
      </w:r>
    </w:p>
    <w:p>
      <w:pPr>
        <w:ind w:left="288"/>
      </w:pPr>
      <w:r>
        <w:rPr>
          <w:b/>
          <w:color w:val="003CA0"/>
          <w:sz w:val="16"/>
        </w:rPr>
        <w:t>[ADI 2.867, rel. min. Celso de Mello, j. 3-12-2003, P, DJ de 9-2-2007.]</w:t>
      </w:r>
    </w:p>
    <w:p>
      <w:pPr>
        <w:ind w:left="288"/>
      </w:pPr>
      <w:r>
        <w:rPr>
          <w:color w:val="8C8C8C"/>
          <w:sz w:val="12"/>
        </w:rPr>
        <w:t>cf-art-66</w:t>
      </w:r>
      <w:r>
        <w:rPr>
          <w:color w:val="003CA0"/>
          <w:sz w:val="12"/>
        </w:rPr>
        <w:t xml:space="preserve"> | ADI 2.113</w:t>
      </w:r>
      <w:r>
        <w:rPr>
          <w:color w:val="003CA0"/>
          <w:sz w:val="12"/>
        </w:rPr>
        <w:t xml:space="preserve"> | rel. Cármen Lúcia</w:t>
      </w:r>
    </w:p>
    <w:p>
      <w:pPr>
        <w:ind w:left="288"/>
      </w:pPr>
      <w:r>
        <w:rPr>
          <w:color w:val="1E1E1E"/>
          <w:sz w:val="18"/>
        </w:rPr>
        <w:t>= ADI 2.113, rel. min. Cármen Lúcia, j. 4-3-2009, P, DJE de 21-8-2009</w:t>
      </w:r>
    </w:p>
    <w:p>
      <w:pPr>
        <w:ind w:left="144"/>
      </w:pPr>
      <w:r>
        <w:rPr>
          <w:b/>
          <w:color w:val="B45A00"/>
          <w:sz w:val="16"/>
        </w:rPr>
        <w:t>JULGADOS CORRELATOS</w:t>
      </w:r>
    </w:p>
    <w:p>
      <w:pPr>
        <w:ind w:left="288"/>
      </w:pPr>
      <w:r>
        <w:rPr>
          <w:color w:val="8C8C8C"/>
          <w:sz w:val="12"/>
        </w:rPr>
        <w:t>cf-art-66</w:t>
      </w:r>
      <w:r>
        <w:rPr>
          <w:color w:val="003CA0"/>
          <w:sz w:val="12"/>
        </w:rPr>
        <w:t xml:space="preserve"> | RCL 14.156</w:t>
      </w:r>
      <w:r>
        <w:rPr>
          <w:color w:val="003CA0"/>
          <w:sz w:val="12"/>
        </w:rPr>
        <w:t xml:space="preserve"> | rel. Celso de Mello</w:t>
      </w:r>
    </w:p>
    <w:p>
      <w:pPr>
        <w:ind w:left="288"/>
      </w:pPr>
      <w:r>
        <w:rPr>
          <w:color w:val="1E1E1E"/>
          <w:sz w:val="18"/>
        </w:rPr>
        <w:t>Pretendida submissão do processo legislativo ao efeito vinculante que resulta do julgamento, pelo STF, das causas de fiscalização abstrata de constitucionalidade. Inadmissibilidade. Consequente possibilidade de o chefe do Poder Executivo, por meio de sanção (ato impregnado de qualificação constitucional e integrante do próprio processo de formação das leis), converter, em lei, projeto cujo conteúdo estaria em conflito com decisão confirmatória da constitucionalidade de certo diploma legislativo, proferida, em sede de controle abstrato, pela Suprema Corte.</w:t>
      </w:r>
    </w:p>
    <w:p>
      <w:pPr>
        <w:ind w:left="288"/>
      </w:pPr>
      <w:r>
        <w:rPr>
          <w:b/>
          <w:color w:val="003CA0"/>
          <w:sz w:val="16"/>
        </w:rPr>
        <w:t>[Rcl 14.156 AgR, rel. min. Celso de Mello, j. 19-2-2014, P, DJE de 13-5-2014.]</w:t>
      </w:r>
    </w:p>
    <w:p>
      <w:pPr>
        <w:ind w:left="288"/>
      </w:pPr>
      <w:r>
        <w:rPr>
          <w:color w:val="8C8C8C"/>
          <w:sz w:val="12"/>
        </w:rPr>
        <w:t>cf-art-66</w:t>
      </w:r>
      <w:r>
        <w:rPr>
          <w:color w:val="003CA0"/>
          <w:sz w:val="12"/>
        </w:rPr>
        <w:t xml:space="preserve"> | RCL 13.019</w:t>
      </w:r>
      <w:r>
        <w:rPr>
          <w:color w:val="003CA0"/>
          <w:sz w:val="12"/>
        </w:rPr>
        <w:t xml:space="preserve"> | rel. Celso de Mello</w:t>
      </w:r>
    </w:p>
    <w:p>
      <w:pPr>
        <w:ind w:left="288"/>
      </w:pPr>
      <w:r>
        <w:rPr>
          <w:color w:val="1E1E1E"/>
          <w:sz w:val="18"/>
        </w:rPr>
        <w:t>Vide Rcl 13.019 MC, rel. min. Celso de Mello, j. 8-5-2012, dec. monocrática, DJE de 15-5-2012 § 1º Se o Presidente da República considerar o projeto, no todo ou em parte, inconstitucional ou contrário ao interesse público, vetá-lo-á total ou parcialmente, no prazo de quinze dias úteis, contados da data do recebimento, e comunicará, dentro de quarenta e oito horas, ao Presidente do Senado Federal os motivos do veto.</w:t>
      </w:r>
    </w:p>
    <w:p>
      <w:pPr>
        <w:ind w:left="144"/>
      </w:pPr>
      <w:r>
        <w:rPr>
          <w:b/>
          <w:color w:val="B45A00"/>
          <w:sz w:val="16"/>
        </w:rPr>
        <w:t>CONTROLE CONCENTRADO</w:t>
      </w:r>
    </w:p>
    <w:p>
      <w:pPr>
        <w:ind w:left="288"/>
      </w:pPr>
      <w:r>
        <w:rPr>
          <w:color w:val="8C8C8C"/>
          <w:sz w:val="12"/>
        </w:rPr>
        <w:t>cf-art-66</w:t>
      </w:r>
      <w:r>
        <w:rPr>
          <w:color w:val="003CA0"/>
          <w:sz w:val="12"/>
        </w:rPr>
        <w:t xml:space="preserve"> | ADPF 1.078</w:t>
      </w:r>
      <w:r>
        <w:rPr>
          <w:color w:val="003CA0"/>
          <w:sz w:val="12"/>
        </w:rPr>
        <w:t xml:space="preserve"> | rel. Edson Fachin</w:t>
      </w:r>
    </w:p>
    <w:p>
      <w:pPr>
        <w:ind w:left="288"/>
      </w:pPr>
      <w:r>
        <w:rPr>
          <w:color w:val="1E1E1E"/>
          <w:sz w:val="18"/>
        </w:rPr>
        <w:t>A contagem do prazo de 15 dias úteis tem como marco inicial o primeiro dia útil subsequente à data de recebimento da matéria pela chefia do Poder Executivo e, como termo final, a comunicação do veto ao Poder Legislativo, e não a publicação, conforme precedentes desta Corte.</w:t>
        <w:br/>
        <w:t>[ADPF 1.078, rel. min. Edson Fachin, j. 01.07.2024, P, DJE de 10.07.2024.] O poder de veto previsto no art. 66, § 1º, da Constituição não pode ser exercido após o decurso do prazo constitucional de 15 (quinze) dias.</w:t>
        <w:br/>
        <w:t>[ADPF 893, rel. min. Cármen Lúcia, red do ac. min. Roberto Barroso, j. 21-6-2022, P, DJE de 5-9-2022.] Veto p</w:t>
      </w:r>
    </w:p>
    <w:p>
      <w:pPr>
        <w:ind w:left="288"/>
      </w:pPr>
      <w:r>
        <w:rPr>
          <w:b/>
          <w:color w:val="003CA0"/>
          <w:sz w:val="16"/>
        </w:rPr>
        <w:t>[ADPF 714, rel. min. Gilmar Mendes, j. 17-2-2021, P, DJE de 25-2-2021.]</w:t>
      </w:r>
    </w:p>
    <w:p>
      <w:pPr>
        <w:ind w:left="144"/>
      </w:pPr>
      <w:r>
        <w:rPr>
          <w:b/>
          <w:color w:val="B45A00"/>
          <w:sz w:val="16"/>
        </w:rPr>
        <w:t>JULGADOS CORRELATOS</w:t>
      </w:r>
    </w:p>
    <w:p>
      <w:pPr>
        <w:ind w:left="288"/>
      </w:pPr>
      <w:r>
        <w:rPr>
          <w:color w:val="8C8C8C"/>
          <w:sz w:val="12"/>
        </w:rPr>
        <w:t>cf-art-66</w:t>
      </w:r>
      <w:r>
        <w:rPr>
          <w:color w:val="003CA0"/>
          <w:sz w:val="12"/>
        </w:rPr>
        <w:t xml:space="preserve"> | MS 33.694</w:t>
      </w:r>
      <w:r>
        <w:rPr>
          <w:color w:val="003CA0"/>
          <w:sz w:val="12"/>
        </w:rPr>
        <w:t xml:space="preserve"> | rel. Cármen Lúcia</w:t>
      </w:r>
    </w:p>
    <w:p>
      <w:pPr>
        <w:ind w:left="288"/>
      </w:pPr>
      <w:r>
        <w:rPr>
          <w:color w:val="1E1E1E"/>
          <w:sz w:val="18"/>
        </w:rPr>
        <w:t>(...) o impetrante pretende submeter ao controle abstrato de constitucionalidade deste Supremo Tribunal o mérito do veto aposto pela presidente da República a proposta legislativa votada pelo Congresso Nacional, afirmando-o contrário aos arts. 5º, §§ 2º e 3º, e 206, I, da Constituição da República (...). Pretende obter a declaração de inconstitucionalidade do veto e, com isso, a promulgação de normas vetadas. O impetrante pretende substituir os instrumentos de controle abstrato de constitucionalidade pela ação de mandado de segurança. Aqueles instrumentos são dispostos constitucionalmente, têm</w:t>
      </w:r>
    </w:p>
    <w:p>
      <w:pPr>
        <w:ind w:left="288"/>
      </w:pPr>
      <w:r>
        <w:rPr>
          <w:b/>
          <w:color w:val="003CA0"/>
          <w:sz w:val="16"/>
        </w:rPr>
        <w:t>[MS 33.694, rel. min. Cármen Lúcia, j. 6-8-2015, dec. monocrática, DJE de 14-8-2015.]</w:t>
      </w:r>
    </w:p>
    <w:p>
      <w:pPr>
        <w:ind w:left="288"/>
      </w:pPr>
      <w:r>
        <w:rPr>
          <w:color w:val="8C8C8C"/>
          <w:sz w:val="12"/>
        </w:rPr>
        <w:t>cf-art-66</w:t>
      </w:r>
      <w:r>
        <w:rPr>
          <w:color w:val="003CA0"/>
          <w:sz w:val="12"/>
        </w:rPr>
        <w:t xml:space="preserve"> | MS 33.694</w:t>
      </w:r>
      <w:r>
        <w:rPr>
          <w:color w:val="003CA0"/>
          <w:sz w:val="12"/>
        </w:rPr>
        <w:t xml:space="preserve"> | rel. Cármen Lúcia</w:t>
      </w:r>
    </w:p>
    <w:p>
      <w:pPr>
        <w:ind w:left="288"/>
      </w:pPr>
      <w:r>
        <w:rPr>
          <w:color w:val="1E1E1E"/>
          <w:sz w:val="18"/>
        </w:rPr>
        <w:t>= MS 33.694 AgR, rel. min. Cármen Lúcia, j. 7-10-2015, P, DJE de 26-10-2015</w:t>
      </w:r>
    </w:p>
    <w:p>
      <w:pPr>
        <w:ind w:left="144"/>
      </w:pPr>
      <w:r>
        <w:rPr>
          <w:b/>
          <w:color w:val="B45A00"/>
          <w:sz w:val="16"/>
        </w:rPr>
        <w:t>CONTROLE CONCENTRADO</w:t>
      </w:r>
    </w:p>
    <w:p>
      <w:pPr>
        <w:ind w:left="288"/>
      </w:pPr>
      <w:r>
        <w:rPr>
          <w:color w:val="8C8C8C"/>
          <w:sz w:val="12"/>
        </w:rPr>
        <w:t>cf-art-66-par-4</w:t>
      </w:r>
      <w:r>
        <w:rPr>
          <w:color w:val="003CA0"/>
          <w:sz w:val="12"/>
        </w:rPr>
        <w:t xml:space="preserve"> | ADI 5.706</w:t>
      </w:r>
      <w:r>
        <w:rPr>
          <w:color w:val="003CA0"/>
          <w:sz w:val="12"/>
        </w:rPr>
        <w:t xml:space="preserve"> | rel. Luiz Fux</w:t>
      </w:r>
    </w:p>
    <w:p>
      <w:pPr>
        <w:ind w:left="288"/>
      </w:pPr>
      <w:r>
        <w:rPr>
          <w:color w:val="1E1E1E"/>
          <w:sz w:val="18"/>
        </w:rPr>
        <w:t>A inobservância do prazo previsto no artigo 66, § 4º, da Constituição Federal para o Poder Legislativo apreciar o veto do chefe do Poder Executivo a projeto de lei acarreta tão somente a inclusão da matéria na ordem do dia da sessão imediata e o sobrestamento das demais proposições até sua votação, não se podendo extrair do texto constitucional a caducidade ou preclusão desta prerrogativa do Poder Legislativo.</w:t>
        <w:br/>
        <w:t>[ADI 5.706, rel. min. Luiz Fux, j. 26.02.2024, P, DJE de 13.03.2024.] Processo legislativo: veto mantido pelo Legislativo: decreto legislativo que, anos depois, sob fundamento de ter sid</w:t>
      </w:r>
    </w:p>
    <w:p>
      <w:pPr>
        <w:ind w:left="144"/>
      </w:pPr>
      <w:r>
        <w:rPr>
          <w:b/>
          <w:color w:val="B45A00"/>
          <w:sz w:val="16"/>
        </w:rPr>
        <w:t>JULGADOS CORRELATOS</w:t>
      </w:r>
    </w:p>
    <w:p>
      <w:pPr>
        <w:ind w:left="288"/>
      </w:pPr>
      <w:r>
        <w:rPr>
          <w:color w:val="8C8C8C"/>
          <w:sz w:val="12"/>
        </w:rPr>
        <w:t>cf-art-66-par-4</w:t>
      </w:r>
      <w:r>
        <w:rPr>
          <w:color w:val="003CA0"/>
          <w:sz w:val="12"/>
        </w:rPr>
        <w:t xml:space="preserve"> | RCL 1.206</w:t>
      </w:r>
      <w:r>
        <w:rPr>
          <w:color w:val="003CA0"/>
          <w:sz w:val="12"/>
        </w:rPr>
        <w:t xml:space="preserve"> | rel. Maurício Corrêa</w:t>
      </w:r>
    </w:p>
    <w:p>
      <w:pPr>
        <w:ind w:left="288"/>
      </w:pPr>
      <w:r>
        <w:rPr>
          <w:color w:val="1E1E1E"/>
          <w:sz w:val="18"/>
        </w:rPr>
        <w:t>Se para a apreciação do veto é exigido o voto da maioria absoluta (CF, art. 66, § 4º) e o seu exame ocorreu na vigência da atual ordem constitucional, não poderia a Assembleia Legislativa valer-se daquele fixado na anterior Carta estadual para determiná-lo como sendo o de 2/3. O modelo federal é de observância cogente pelos Estados-membros desde a data da promulgação da Carta de 1988.</w:t>
      </w:r>
    </w:p>
    <w:p>
      <w:pPr>
        <w:ind w:left="288"/>
      </w:pPr>
      <w:r>
        <w:rPr>
          <w:b/>
          <w:color w:val="003CA0"/>
          <w:sz w:val="16"/>
        </w:rPr>
        <w:t>[Rcl 1.206, rel. min. Maurício Corrêa, j. 22-8-2002, P, DJ de 18-10-2002.]</w:t>
      </w:r>
    </w:p>
    <w:p>
      <w:pPr>
        <w:ind w:left="288"/>
      </w:pPr>
      <w:r>
        <w:rPr>
          <w:color w:val="8C8C8C"/>
          <w:sz w:val="12"/>
        </w:rPr>
        <w:t>cf-art-66-par-6</w:t>
      </w:r>
      <w:r>
        <w:rPr>
          <w:color w:val="003CA0"/>
          <w:sz w:val="12"/>
        </w:rPr>
        <w:t xml:space="preserve"> | MS 31.816</w:t>
      </w:r>
    </w:p>
    <w:p>
      <w:pPr>
        <w:ind w:left="288"/>
      </w:pPr>
      <w:r>
        <w:rPr>
          <w:color w:val="1E1E1E"/>
          <w:sz w:val="18"/>
        </w:rPr>
        <w:t>No caso, o que se pretende, na impetração, é provimento que iniba o Congresso Nacional de apreciar o Veto Parcial 38/2012, aposto pela presidente da República ao Projeto de Lei 2.565/2011, antes da votação de todos os demais vetos anteriormente apresentados (mais de 3 mil), alguns com prazo vencido há mais de treze anos. A medida liminar, que tem natureza antecipatória, não pode ir além nem deferir providência diversa da que deriva da sentença definitiva. Assim, no entender majoritário da Corte, não há como manter a determinação liminar ordenando ao Congresso Nacional que "se abstenha de delib</w:t>
      </w:r>
    </w:p>
    <w:p>
      <w:pPr>
        <w:ind w:left="288"/>
      </w:pPr>
      <w:r>
        <w:rPr>
          <w:b/>
          <w:color w:val="003CA0"/>
          <w:sz w:val="16"/>
        </w:rPr>
        <w:t>[MS 31.816 MC-AgR, red. do ac. min. Teori Zavascki, j. 27-2-2013, P, DJE de 13-5-2013.]</w:t>
      </w:r>
    </w:p>
    <w:p>
      <w:pPr>
        <w:ind w:left="144"/>
      </w:pPr>
      <w:r>
        <w:rPr>
          <w:b/>
          <w:color w:val="B45A00"/>
          <w:sz w:val="16"/>
        </w:rPr>
        <w:t>REPERCUSSAO GERAL</w:t>
      </w:r>
    </w:p>
    <w:p>
      <w:pPr>
        <w:ind w:left="288"/>
      </w:pPr>
      <w:r>
        <w:rPr>
          <w:color w:val="8C8C8C"/>
          <w:sz w:val="12"/>
        </w:rPr>
        <w:t>cf-art-66-par-7</w:t>
      </w:r>
      <w:r>
        <w:rPr>
          <w:color w:val="003CA0"/>
          <w:sz w:val="12"/>
        </w:rPr>
        <w:t xml:space="preserve"> | RE 706.103</w:t>
      </w:r>
      <w:r>
        <w:rPr>
          <w:color w:val="003CA0"/>
          <w:sz w:val="12"/>
        </w:rPr>
        <w:t xml:space="preserve"> | rel. Luiz Fux</w:t>
      </w:r>
    </w:p>
    <w:p>
      <w:pPr>
        <w:ind w:left="288"/>
      </w:pPr>
      <w:r>
        <w:rPr>
          <w:color w:val="1E1E1E"/>
          <w:sz w:val="18"/>
        </w:rPr>
        <w:t>É constitucional a promulgação, pelo Chefe do Poder Executivo, da parte incontroversa de projeto de lei que não foi vetada, antes da manifestação do Poder Legislativo pela manutenção ou pela rejeição do veto, inexistindo vício de inconstitucionalidade dessa parte inicialmente publicada pela ausência de promulgação da derrubada dos vetos.</w:t>
      </w:r>
    </w:p>
    <w:p>
      <w:pPr>
        <w:ind w:left="288"/>
      </w:pPr>
      <w:r>
        <w:rPr>
          <w:b/>
          <w:color w:val="003CA0"/>
          <w:sz w:val="16"/>
        </w:rPr>
        <w:t>[RE 706.103, rel. min. Luiz Fux, j. 27-4-2020, P, DJE de 14-5-2020, Tema 595, com mérito julgado.]</w:t>
      </w:r>
    </w:p>
    <w:p>
      <w:r>
        <w:rPr>
          <w:b/>
          <w:color w:val="003366"/>
          <w:sz w:val="20"/>
        </w:rPr>
        <w:t>Art. 67 A União concluirá a demarcação das terras indígenas no prazo de cinco an</w:t>
      </w:r>
      <w:r>
        <w:rPr>
          <w:color w:val="8C8C8C"/>
          <w:sz w:val="14"/>
        </w:rPr>
        <w:t xml:space="preserve">  [3 decisoes]</w:t>
      </w:r>
    </w:p>
    <w:p>
      <w:pPr>
        <w:ind w:left="144"/>
      </w:pPr>
      <w:r>
        <w:rPr>
          <w:b/>
          <w:color w:val="B45A00"/>
          <w:sz w:val="16"/>
        </w:rPr>
        <w:t>CONTROLE CONCENTRADO</w:t>
      </w:r>
    </w:p>
    <w:p>
      <w:pPr>
        <w:ind w:left="288"/>
      </w:pPr>
      <w:r>
        <w:rPr>
          <w:color w:val="8C8C8C"/>
          <w:sz w:val="12"/>
        </w:rPr>
        <w:t>cf-art-67</w:t>
      </w:r>
      <w:r>
        <w:rPr>
          <w:color w:val="003CA0"/>
          <w:sz w:val="12"/>
        </w:rPr>
        <w:t xml:space="preserve"> | ADI 2.010</w:t>
      </w:r>
      <w:r>
        <w:rPr>
          <w:color w:val="003CA0"/>
          <w:sz w:val="12"/>
        </w:rPr>
        <w:t xml:space="preserve"> | rel. Octavio Gallotti). Também pelas mesmas razões</w:t>
      </w:r>
    </w:p>
    <w:p>
      <w:pPr>
        <w:ind w:left="288"/>
      </w:pPr>
      <w:r>
        <w:rPr>
          <w:color w:val="1E1E1E"/>
          <w:sz w:val="18"/>
        </w:rPr>
        <w:t>A norma inscrita no art. 67 da Constituição – que consagra o postulado da irrepetibilidade dos projetos rejeitados na mesma sessão legislativa – não impede o presidente da República de submeter, à apreciação do Congresso Nacional, reunido em convocação extraordinária (CF, art. 57, § 6º, II), projeto de lei versando, total ou parcialmente, a mesma matéria que constitui objeto de medida provisória rejeitada pelo Parlamento, em sessão legislativa realizada no ano anterior. O presidente da República, no entanto, sob pena de ofensa ao princípio da separação de poderes e de transgressão à integridad</w:t>
      </w:r>
    </w:p>
    <w:p>
      <w:pPr>
        <w:ind w:left="288"/>
      </w:pPr>
      <w:r>
        <w:rPr>
          <w:b/>
          <w:color w:val="003CA0"/>
          <w:sz w:val="16"/>
        </w:rPr>
        <w:t>[ADI 2.010 MC, rel. min. Celso de Mello, j. 30-10-1999, P, DJ de 12-4-2002.]</w:t>
      </w:r>
    </w:p>
    <w:p>
      <w:pPr>
        <w:ind w:left="288"/>
      </w:pPr>
      <w:r>
        <w:rPr>
          <w:color w:val="8C8C8C"/>
          <w:sz w:val="12"/>
        </w:rPr>
        <w:t>cf-art-67</w:t>
      </w:r>
      <w:r>
        <w:rPr>
          <w:color w:val="003CA0"/>
          <w:sz w:val="12"/>
        </w:rPr>
        <w:t xml:space="preserve"> | ADI 1.546</w:t>
      </w:r>
      <w:r>
        <w:rPr>
          <w:color w:val="003CA0"/>
          <w:sz w:val="12"/>
        </w:rPr>
        <w:t xml:space="preserve"> | rel. Nelson Jobim</w:t>
      </w:r>
    </w:p>
    <w:p>
      <w:pPr>
        <w:ind w:left="288"/>
      </w:pPr>
      <w:r>
        <w:rPr>
          <w:color w:val="1E1E1E"/>
          <w:sz w:val="18"/>
        </w:rPr>
        <w:t>Constituição estadual e regimento interno da assembleia legislativa. Estrutura do processo legislativo. Projeto de lei rejeitado. Reapresentação. Expressões em dispositivos que desobedecem ao art. 25 e se contrapõem ao art. 67, ambos da CF. A observância das regras federais não fere autonomia estadual.</w:t>
      </w:r>
    </w:p>
    <w:p>
      <w:pPr>
        <w:ind w:left="288"/>
      </w:pPr>
      <w:r>
        <w:rPr>
          <w:b/>
          <w:color w:val="003CA0"/>
          <w:sz w:val="16"/>
        </w:rPr>
        <w:t>[ADI 1.546, rel. min. Nelson Jobim, j. 3-12-1998, P, DJ de 6-4-2001.]</w:t>
      </w:r>
    </w:p>
    <w:p>
      <w:pPr>
        <w:ind w:left="288"/>
      </w:pPr>
      <w:r>
        <w:rPr>
          <w:color w:val="8C8C8C"/>
          <w:sz w:val="12"/>
        </w:rPr>
        <w:t>cf-art-67</w:t>
      </w:r>
      <w:r>
        <w:rPr>
          <w:color w:val="003CA0"/>
          <w:sz w:val="12"/>
        </w:rPr>
        <w:t xml:space="preserve"> | ADI 1.441</w:t>
      </w:r>
      <w:r>
        <w:rPr>
          <w:color w:val="003CA0"/>
          <w:sz w:val="12"/>
        </w:rPr>
        <w:t xml:space="preserve"> | rel. Octavio Gallotti</w:t>
      </w:r>
    </w:p>
    <w:p>
      <w:pPr>
        <w:ind w:left="288"/>
      </w:pPr>
      <w:r>
        <w:rPr>
          <w:color w:val="1E1E1E"/>
          <w:sz w:val="18"/>
        </w:rPr>
        <w:t>A exigência de iniciativa da maioria dos votos dos membros de qualquer das Casas do Congresso Nacional, inscrita no art. 67 da Constituição, inibe, em tese e por força de compreensão, a utilização do processo de medida provisória para o trato da matéria que já tenha sido objeto de rejeição na mesma sessão legislativa. Não em sessão legislativa antecedente, seja ordinária ou extraordinária.</w:t>
      </w:r>
    </w:p>
    <w:p>
      <w:pPr>
        <w:ind w:left="288"/>
      </w:pPr>
      <w:r>
        <w:rPr>
          <w:b/>
          <w:color w:val="003CA0"/>
          <w:sz w:val="16"/>
        </w:rPr>
        <w:t>[ADI 1.441 MC, voto do rel. min. Octavio Gallotti, j. 28-6-1996, P, DJ de 18-10-1996.]</w:t>
      </w:r>
    </w:p>
    <w:p>
      <w:r>
        <w:rPr>
          <w:b/>
          <w:color w:val="003366"/>
          <w:sz w:val="20"/>
        </w:rPr>
        <w:t>Art. 68 Aos remanescentes das comunidades dos quilombos que estejam ocupando sua</w:t>
      </w:r>
      <w:r>
        <w:rPr>
          <w:color w:val="8C8C8C"/>
          <w:sz w:val="14"/>
        </w:rPr>
        <w:t xml:space="preserve">  [4 decisoes]</w:t>
      </w:r>
    </w:p>
    <w:p>
      <w:pPr>
        <w:ind w:left="144"/>
      </w:pPr>
      <w:r>
        <w:rPr>
          <w:b/>
          <w:color w:val="B45A00"/>
          <w:sz w:val="16"/>
        </w:rPr>
        <w:t>CONTROLE CONCENTRADO</w:t>
      </w:r>
    </w:p>
    <w:p>
      <w:pPr>
        <w:ind w:left="288"/>
      </w:pPr>
      <w:r>
        <w:rPr>
          <w:color w:val="8C8C8C"/>
          <w:sz w:val="12"/>
        </w:rPr>
        <w:t>cf-art-68</w:t>
      </w:r>
      <w:r>
        <w:rPr>
          <w:color w:val="003CA0"/>
          <w:sz w:val="12"/>
        </w:rPr>
        <w:t xml:space="preserve"> | ADI 425</w:t>
      </w:r>
      <w:r>
        <w:rPr>
          <w:color w:val="003CA0"/>
          <w:sz w:val="12"/>
        </w:rPr>
        <w:t xml:space="preserve"> | rel. Maurício Corrêa</w:t>
      </w:r>
    </w:p>
    <w:p>
      <w:pPr>
        <w:ind w:left="288"/>
      </w:pPr>
      <w:r>
        <w:rPr>
          <w:color w:val="1E1E1E"/>
          <w:sz w:val="18"/>
        </w:rPr>
        <w:t>A MP 64/1990, convertida na Lei 215/1990, que autoriza o chefe do Poder Executivo a doar quaisquer bens do Estado, móveis ou imóveis, sem especificá-los, ofende os princípios constitucionais sensíveis (CF, arts. 2º, 25 e 34, IV), como aliás bem anotado no parecer do MPF. Com efeito, a competência outorgada ao governador, por meio de norma genérica, votada pela Assembleia Legislativa, constitui forma de violação ao princípio da separação dos Poderes de que cuidam os arts. 2º e 60, § 4º, da CF, porquanto lhe atribui contínua autorização para a disponibilidade de bens públicos do Estado. Ora, ess</w:t>
      </w:r>
    </w:p>
    <w:p>
      <w:pPr>
        <w:ind w:left="288"/>
      </w:pPr>
      <w:r>
        <w:rPr>
          <w:b/>
          <w:color w:val="003CA0"/>
          <w:sz w:val="16"/>
        </w:rPr>
        <w:t>[ADI 425, voto do rel. min. Maurício Corrêa, j. 4-9-2002, P, DJ de 19-12-2003.]</w:t>
      </w:r>
    </w:p>
    <w:p>
      <w:pPr>
        <w:ind w:left="288"/>
      </w:pPr>
      <w:r>
        <w:rPr>
          <w:color w:val="8C8C8C"/>
          <w:sz w:val="12"/>
        </w:rPr>
        <w:t>cf-art-68</w:t>
      </w:r>
      <w:r>
        <w:rPr>
          <w:color w:val="003CA0"/>
          <w:sz w:val="12"/>
        </w:rPr>
        <w:t xml:space="preserve"> | ADI 1.296</w:t>
      </w:r>
      <w:r>
        <w:rPr>
          <w:color w:val="003CA0"/>
          <w:sz w:val="12"/>
        </w:rPr>
        <w:t xml:space="preserve"> | rel. Celso de Mello. [ADI 1.247 MC</w:t>
      </w:r>
    </w:p>
    <w:p>
      <w:pPr>
        <w:ind w:left="288"/>
      </w:pPr>
      <w:r>
        <w:rPr>
          <w:color w:val="1E1E1E"/>
          <w:sz w:val="18"/>
        </w:rPr>
        <w:t>Matéria tributária e delegação legislativa: a outorga de qualquer subsídio, isenção ou crédito presumido, a redução da base de cálculo e a concessão de anistia ou remissão em matéria tributária só podem ser deferidas mediante lei específica, sendo vedado ao Poder Legislativo conferir ao chefe do Executivo a prerrogativa extraordinária de dispor, normativamente, sobre tais categorias temáticas, sob pena de ofensa ao postulado nuclear da separação de poderes e de transgressão ao princípio da reserva constitucional de competência legislativa. Precedente: ADI 1.296/PE, rel. min. Celso de Mello.</w:t>
      </w:r>
    </w:p>
    <w:p>
      <w:pPr>
        <w:ind w:left="288"/>
      </w:pPr>
      <w:r>
        <w:rPr>
          <w:b/>
          <w:color w:val="003CA0"/>
          <w:sz w:val="16"/>
        </w:rPr>
        <w:t>[ADI 1.247 MC, rel. min. Celso de Mello, j. 17-8-1995, P, DJ de 8-9-1995.]</w:t>
      </w:r>
    </w:p>
    <w:p>
      <w:pPr>
        <w:ind w:left="288"/>
      </w:pPr>
      <w:r>
        <w:rPr>
          <w:color w:val="8C8C8C"/>
          <w:sz w:val="12"/>
        </w:rPr>
        <w:t>cf-art-68</w:t>
      </w:r>
      <w:r>
        <w:rPr>
          <w:color w:val="003CA0"/>
          <w:sz w:val="12"/>
        </w:rPr>
        <w:t xml:space="preserve"> | ADI 2.688</w:t>
      </w:r>
      <w:r>
        <w:rPr>
          <w:color w:val="003CA0"/>
          <w:sz w:val="12"/>
        </w:rPr>
        <w:t xml:space="preserve"> | rel. Joaquim Barbosa</w:t>
      </w:r>
    </w:p>
    <w:p>
      <w:pPr>
        <w:ind w:left="288"/>
      </w:pPr>
      <w:r>
        <w:rPr>
          <w:color w:val="1E1E1E"/>
          <w:sz w:val="18"/>
        </w:rPr>
        <w:t>= ADI 2.688, rel. min. Joaquim Barbosa, j. 1º-6-2011, P, DJE de 26-8-2011 A nova Constituição da República revelou-se extremamente fiel ao postulado da separação de poderes, disciplinando, mediante regime de direito estrito, a possibilidade, sempre excepcional, de o Parlamento proceder a delegação legislativa externa em favor do Poder Executivo. A delegação legislativa externa, nos casos em que se apresente possível, só pode ser veiculada mediante resolução, que constitui o meio formalmente idôneo para consubstanciar, em nosso sistema constitucional, o ato de outorga parlamentar de funções nor</w:t>
      </w:r>
    </w:p>
    <w:p>
      <w:pPr>
        <w:ind w:left="288"/>
      </w:pPr>
      <w:r>
        <w:rPr>
          <w:b/>
          <w:color w:val="003CA0"/>
          <w:sz w:val="16"/>
        </w:rPr>
        <w:t>[ADI 1.296 MC, rel. min. Celso de Mello, j. 14-6-1995, P, DJ de 10-8-1995.]</w:t>
      </w:r>
    </w:p>
    <w:p>
      <w:pPr>
        <w:ind w:left="144"/>
      </w:pPr>
      <w:r>
        <w:rPr>
          <w:b/>
          <w:color w:val="B45A00"/>
          <w:sz w:val="16"/>
        </w:rPr>
        <w:t>JULGADOS CORRELATOS</w:t>
      </w:r>
    </w:p>
    <w:p>
      <w:pPr>
        <w:ind w:left="288"/>
      </w:pPr>
      <w:r>
        <w:rPr>
          <w:color w:val="8C8C8C"/>
          <w:sz w:val="12"/>
        </w:rPr>
        <w:t>cf-art-68-par-1-inc-I</w:t>
      </w:r>
      <w:r>
        <w:rPr>
          <w:color w:val="003CA0"/>
          <w:sz w:val="12"/>
        </w:rPr>
        <w:t xml:space="preserve"> | HC 85.060</w:t>
      </w:r>
      <w:r>
        <w:rPr>
          <w:color w:val="003CA0"/>
          <w:sz w:val="12"/>
        </w:rPr>
        <w:t xml:space="preserve"> | rel. Eros Grau</w:t>
      </w:r>
    </w:p>
    <w:p>
      <w:pPr>
        <w:ind w:left="288"/>
      </w:pPr>
      <w:r>
        <w:rPr>
          <w:color w:val="1E1E1E"/>
          <w:sz w:val="18"/>
        </w:rPr>
        <w:t>Quando o Executivo e o Judiciário expedem atos normativos de caráter não legislativo – regulamentos e regimentos, respectivamente –, não o fazem no exercício da função legislativa, mas no desenvolvimento de "função normativa". O exercício da função regulamentar e da função regimental não decorre de delegação de função legislativa; não envolve, portanto, derrogação do princípio da divisão dos Poderes.</w:t>
      </w:r>
    </w:p>
    <w:p>
      <w:pPr>
        <w:ind w:left="288"/>
      </w:pPr>
      <w:r>
        <w:rPr>
          <w:b/>
          <w:color w:val="003CA0"/>
          <w:sz w:val="16"/>
        </w:rPr>
        <w:t>[HC 85.060, rel. min. Eros Grau, j. 23-9-2008, 1ª T, DJE de 13-2-2009.]</w:t>
      </w:r>
    </w:p>
    <w:p>
      <w:r>
        <w:rPr>
          <w:b/>
          <w:color w:val="003366"/>
          <w:sz w:val="20"/>
        </w:rPr>
        <w:t>Art. 69 Será permitido aos Estados manter consultorias jurídicas separadas de su</w:t>
      </w:r>
      <w:r>
        <w:rPr>
          <w:color w:val="8C8C8C"/>
          <w:sz w:val="14"/>
        </w:rPr>
        <w:t xml:space="preserve">  [2 decisoes]</w:t>
      </w:r>
    </w:p>
    <w:p>
      <w:pPr>
        <w:ind w:left="144"/>
      </w:pPr>
      <w:r>
        <w:rPr>
          <w:b/>
          <w:color w:val="B45A00"/>
          <w:sz w:val="16"/>
        </w:rPr>
        <w:t>CONTROLE CONCENTRADO</w:t>
      </w:r>
    </w:p>
    <w:p>
      <w:pPr>
        <w:ind w:left="288"/>
      </w:pPr>
      <w:r>
        <w:rPr>
          <w:color w:val="8C8C8C"/>
          <w:sz w:val="12"/>
        </w:rPr>
        <w:t>cf-art-69</w:t>
      </w:r>
      <w:r>
        <w:rPr>
          <w:color w:val="003CA0"/>
          <w:sz w:val="12"/>
        </w:rPr>
        <w:t xml:space="preserve"> | ADI 5.003</w:t>
      </w:r>
      <w:r>
        <w:rPr>
          <w:color w:val="003CA0"/>
          <w:sz w:val="12"/>
        </w:rPr>
        <w:t xml:space="preserve"> | rel. Luiz Fux</w:t>
      </w:r>
    </w:p>
    <w:p>
      <w:pPr>
        <w:ind w:left="288"/>
      </w:pPr>
      <w:r>
        <w:rPr>
          <w:color w:val="1E1E1E"/>
          <w:sz w:val="18"/>
        </w:rPr>
        <w:t>A lei complementar, conquanto não goze, no ordenamento jurídico nacional, de posição hierárquica superior àquela ocupada pela lei ordinária, pressupõe a adoção de processo legislativo qualificado, cujo quórum para a aprovação demanda maioria absoluta, ex vi do artigo 69 da CRFB. A criação de reserva de lei complementar, com o fito de mitigar a influência das maiorias parlamentares circunstanciais no processo legislativo referente a determinadas matérias, decorre de juízo de ponderação específico realizado pelo texto constitucional, fruto do sopesamento entre o princípio democrático, de um lado</w:t>
      </w:r>
    </w:p>
    <w:p>
      <w:pPr>
        <w:ind w:left="288"/>
      </w:pPr>
      <w:r>
        <w:rPr>
          <w:b/>
          <w:color w:val="003CA0"/>
          <w:sz w:val="16"/>
        </w:rPr>
        <w:t>[ADI 5.003, rel. min. Luiz Fux, j. 5-12-2019, P, DJE de 19-12-2019.]</w:t>
      </w:r>
    </w:p>
    <w:p>
      <w:pPr>
        <w:ind w:left="288"/>
      </w:pPr>
      <w:r>
        <w:rPr>
          <w:color w:val="8C8C8C"/>
          <w:sz w:val="12"/>
        </w:rPr>
        <w:t>cf-art-69</w:t>
      </w:r>
    </w:p>
    <w:p>
      <w:pPr>
        <w:ind w:left="288"/>
      </w:pPr>
      <w:r>
        <w:rPr>
          <w:color w:val="1E1E1E"/>
          <w:sz w:val="18"/>
        </w:rPr>
        <w:t>Seção IX Da Fiscalização Contábil, Financeira e Orçamentária SUMÁRIO</w:t>
      </w:r>
    </w:p>
    <w:p>
      <w:r>
        <w:rPr>
          <w:b/>
          <w:color w:val="003366"/>
          <w:sz w:val="20"/>
        </w:rPr>
        <w:t xml:space="preserve">Art. 70 Fica mantida atual competência dos tribunais estaduais até a mesma seja </w:t>
      </w:r>
      <w:r>
        <w:rPr>
          <w:color w:val="8C8C8C"/>
          <w:sz w:val="14"/>
        </w:rPr>
        <w:t xml:space="preserve">  [11 decisoes]</w:t>
      </w:r>
    </w:p>
    <w:p>
      <w:pPr>
        <w:ind w:left="288"/>
      </w:pPr>
      <w:r>
        <w:rPr>
          <w:color w:val="8C8C8C"/>
          <w:sz w:val="12"/>
        </w:rPr>
        <w:t>cf-art-70</w:t>
      </w:r>
      <w:r>
        <w:rPr>
          <w:color w:val="003CA0"/>
          <w:sz w:val="12"/>
        </w:rPr>
        <w:t xml:space="preserve"> | ADI 5.705</w:t>
      </w:r>
      <w:r>
        <w:rPr>
          <w:color w:val="003CA0"/>
          <w:sz w:val="12"/>
        </w:rPr>
        <w:t xml:space="preserve"> | rel. André Mendonça</w:t>
      </w:r>
    </w:p>
    <w:p>
      <w:pPr>
        <w:ind w:left="288"/>
      </w:pPr>
      <w:r>
        <w:rPr>
          <w:color w:val="1E1E1E"/>
          <w:sz w:val="18"/>
        </w:rPr>
        <w:t>A Constituição Federal (artigos 70 a 74) prevê os sistemas de controle interno e externo como mecanismos autônomos e cooperativos de fiscalização da Administração Pública, sem relação de hierarquia entre si. O modelo constitucional atribui ao controle interno a função de apoio ao controle externo, mas não o subordina às determinações dos Tribunais de Contas, em respeito ao princípio da separação de poderes. (...) A expressão "por determinação do Tribunal de Contas do Estado", contida no art. 61, inciso I, da Lei complementar estadual nº 202, de 2000, implica subordinação hierárquica indevida d</w:t>
      </w:r>
    </w:p>
    <w:p>
      <w:pPr>
        <w:ind w:left="288"/>
      </w:pPr>
      <w:r>
        <w:rPr>
          <w:b/>
          <w:color w:val="003CA0"/>
          <w:sz w:val="16"/>
        </w:rPr>
        <w:t>[ADI 5.705, rel. min. André Mendonça, j. 09.06.2025, P, DJE de 28.08.2025.]</w:t>
      </w:r>
    </w:p>
    <w:p>
      <w:pPr>
        <w:ind w:left="144"/>
      </w:pPr>
      <w:r>
        <w:rPr>
          <w:b/>
          <w:color w:val="B45A00"/>
          <w:sz w:val="16"/>
        </w:rPr>
        <w:t>CONTROLE CONCENTRADO</w:t>
      </w:r>
    </w:p>
    <w:p>
      <w:pPr>
        <w:ind w:left="288"/>
      </w:pPr>
      <w:r>
        <w:rPr>
          <w:color w:val="8C8C8C"/>
          <w:sz w:val="12"/>
        </w:rPr>
        <w:t>cf-art-70</w:t>
      </w:r>
      <w:r>
        <w:rPr>
          <w:color w:val="003CA0"/>
          <w:sz w:val="12"/>
        </w:rPr>
        <w:t xml:space="preserve"> | ADI 523</w:t>
      </w:r>
      <w:r>
        <w:rPr>
          <w:color w:val="003CA0"/>
          <w:sz w:val="12"/>
        </w:rPr>
        <w:t xml:space="preserve"> | rel. Eros Grau</w:t>
      </w:r>
    </w:p>
    <w:p>
      <w:pPr>
        <w:ind w:left="288"/>
      </w:pPr>
      <w:r>
        <w:rPr>
          <w:color w:val="1E1E1E"/>
          <w:sz w:val="18"/>
        </w:rPr>
        <w:t>A Constituição do Brasil – art. 70 – estabelece que compete ao Tribunal de Contas auxiliar o Legislativo na função de fiscalização a ele designada. (...) Não cabe ao Poder Legislativo apreciar recursos interpostos contra decisões tomadas em processos administrativos nos quais se discuta questão tributária.</w:t>
      </w:r>
    </w:p>
    <w:p>
      <w:pPr>
        <w:ind w:left="288"/>
      </w:pPr>
      <w:r>
        <w:rPr>
          <w:b/>
          <w:color w:val="003CA0"/>
          <w:sz w:val="16"/>
        </w:rPr>
        <w:t>[ADI 523, rel. min. Eros Grau, j. 3-4-2008, P, DJE de 17-10-2008.]</w:t>
      </w:r>
    </w:p>
    <w:p>
      <w:pPr>
        <w:ind w:left="288"/>
      </w:pPr>
      <w:r>
        <w:rPr>
          <w:color w:val="8C8C8C"/>
          <w:sz w:val="12"/>
        </w:rPr>
        <w:t>cf-art-70</w:t>
      </w:r>
      <w:r>
        <w:rPr>
          <w:color w:val="003CA0"/>
          <w:sz w:val="12"/>
        </w:rPr>
        <w:t xml:space="preserve"> | ADI 375</w:t>
      </w:r>
      <w:r>
        <w:rPr>
          <w:color w:val="003CA0"/>
          <w:sz w:val="12"/>
        </w:rPr>
        <w:t xml:space="preserve"> | rel. Octavio Gallotti</w:t>
      </w:r>
    </w:p>
    <w:p>
      <w:pPr>
        <w:ind w:left="288"/>
      </w:pPr>
      <w:r>
        <w:rPr>
          <w:color w:val="1E1E1E"/>
          <w:sz w:val="18"/>
        </w:rPr>
        <w:t>Ante a publicidade de que se devem tais gastos revestir, não conflita, com a Carta Federal (arts. 70 e 71), o dispositivo da Constituição do Amazonas (art. 28, XXX), que autoriza a requisição de informações e cópias autenticadas de documentos de despesas realizadas pelos Tribunais de Contas dos Estados e Municípios. Não estão ambos os Tribunais indenes ao controle externo da Assembleia, nem basta, ao fim colimado pelo dispositivo estadual impugnado, o encaminhamento dos relatórios previstos, com outro objetivo, pelo § 4º do art. 71 da CF.</w:t>
      </w:r>
    </w:p>
    <w:p>
      <w:pPr>
        <w:ind w:left="288"/>
      </w:pPr>
      <w:r>
        <w:rPr>
          <w:b/>
          <w:color w:val="003CA0"/>
          <w:sz w:val="16"/>
        </w:rPr>
        <w:t>[ADI 375, rel. min. Octavio Gallotti, j. 30-10-1991, P, DJ de 14-2-1992.]</w:t>
      </w:r>
    </w:p>
    <w:p>
      <w:pPr>
        <w:ind w:left="144"/>
      </w:pPr>
      <w:r>
        <w:rPr>
          <w:b/>
          <w:color w:val="B45A00"/>
          <w:sz w:val="16"/>
        </w:rPr>
        <w:t>JULGADOS CORRELATOS</w:t>
      </w:r>
    </w:p>
    <w:p>
      <w:pPr>
        <w:ind w:left="288"/>
      </w:pPr>
      <w:r>
        <w:rPr>
          <w:color w:val="8C8C8C"/>
          <w:sz w:val="12"/>
        </w:rPr>
        <w:t>cf-art-70</w:t>
      </w:r>
      <w:r>
        <w:rPr>
          <w:color w:val="003CA0"/>
          <w:sz w:val="12"/>
        </w:rPr>
        <w:t xml:space="preserve"> | RMS 25.943</w:t>
      </w:r>
      <w:r>
        <w:rPr>
          <w:color w:val="003CA0"/>
          <w:sz w:val="12"/>
        </w:rPr>
        <w:t xml:space="preserve"> | rel. Ricardo Lewandowski</w:t>
      </w:r>
    </w:p>
    <w:p>
      <w:pPr>
        <w:ind w:left="288"/>
      </w:pPr>
      <w:r>
        <w:rPr>
          <w:color w:val="1E1E1E"/>
          <w:sz w:val="18"/>
        </w:rPr>
        <w:t>A Controladoria-Geral da União (CGU) pode fiscalizar a aplicação de verbas federais onde quer que elas estejam sendo aplicadas, mesmo que em outro ente federado às quais foram destinadas. A fiscalização exercida pela CGU é interna, pois feita exclusivamente sobre verbas provenientes do orçamento do Executivo.</w:t>
      </w:r>
    </w:p>
    <w:p>
      <w:pPr>
        <w:ind w:left="288"/>
      </w:pPr>
      <w:r>
        <w:rPr>
          <w:b/>
          <w:color w:val="003CA0"/>
          <w:sz w:val="16"/>
        </w:rPr>
        <w:t>[RMS 25.943, rel. min. Ricardo Lewandowski, j. 24-11-2010, P, DJE de 2-3-2011.]</w:t>
      </w:r>
    </w:p>
    <w:p>
      <w:pPr>
        <w:ind w:left="288"/>
      </w:pPr>
      <w:r>
        <w:rPr>
          <w:color w:val="8C8C8C"/>
          <w:sz w:val="12"/>
        </w:rPr>
        <w:t>cf-art-70</w:t>
      </w:r>
      <w:r>
        <w:rPr>
          <w:color w:val="003CA0"/>
          <w:sz w:val="12"/>
        </w:rPr>
        <w:t xml:space="preserve"> | MS 24.423</w:t>
      </w:r>
      <w:r>
        <w:rPr>
          <w:color w:val="003CA0"/>
          <w:sz w:val="12"/>
        </w:rPr>
        <w:t xml:space="preserve"> | rel. Gilmar Mendes</w:t>
      </w:r>
    </w:p>
    <w:p>
      <w:pPr>
        <w:ind w:left="288"/>
      </w:pPr>
      <w:r>
        <w:rPr>
          <w:color w:val="1E1E1E"/>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w:t>
      </w:r>
    </w:p>
    <w:p>
      <w:pPr>
        <w:ind w:left="288"/>
      </w:pPr>
      <w:r>
        <w:rPr>
          <w:b/>
          <w:color w:val="003CA0"/>
          <w:sz w:val="16"/>
        </w:rPr>
        <w:t>[MS 24.423, voto do rel. min. Gilmar Mendes, j. 10-9-2008, P, DJE de 20-2-2009.]</w:t>
      </w:r>
    </w:p>
    <w:p>
      <w:pPr>
        <w:ind w:left="288"/>
      </w:pPr>
      <w:r>
        <w:rPr>
          <w:color w:val="8C8C8C"/>
          <w:sz w:val="12"/>
        </w:rPr>
        <w:t>cf-art-70</w:t>
      </w:r>
      <w:r>
        <w:rPr>
          <w:color w:val="003CA0"/>
          <w:sz w:val="12"/>
        </w:rPr>
        <w:t xml:space="preserve"> | PET 3.606</w:t>
      </w:r>
      <w:r>
        <w:rPr>
          <w:color w:val="003CA0"/>
          <w:sz w:val="12"/>
        </w:rPr>
        <w:t xml:space="preserve"> | rel. Sepúlveda Pertence</w:t>
      </w:r>
    </w:p>
    <w:p>
      <w:pPr>
        <w:ind w:left="288"/>
      </w:pPr>
      <w:r>
        <w:rPr>
          <w:color w:val="1E1E1E"/>
          <w:sz w:val="18"/>
        </w:rPr>
        <w:t xml:space="preserve">Conflito de atribuição inexistente: ministro de Estado dos Transportes e TCU: áreas de atuação diversas e inconfundíveis. A atuação do TCU no exercício da fiscalização contábil, financeira, orçamentária, operacional e patrimonial das entidades administrativas não se confunde com aquela atividade fiscalizatória realizada pelo próprio órgão administrativo, uma vez que esta atribuição decorre da de controle interno ínsito a cada Poder e aquela, do controle externo a cargo do Congresso Nacional (CF, art. 70). O poder outorgado pelo legislador ao TCU, de declarar, verificada a ocorrência de fraude </w:t>
      </w:r>
    </w:p>
    <w:p>
      <w:pPr>
        <w:ind w:left="288"/>
      </w:pPr>
      <w:r>
        <w:rPr>
          <w:b/>
          <w:color w:val="003CA0"/>
          <w:sz w:val="16"/>
        </w:rPr>
        <w:t>[Pet 3.606 AgR, rel. min. Sepúlveda Pertence, j. 21-9-2006, P, DJ de 27-10-2006.]</w:t>
      </w:r>
    </w:p>
    <w:p>
      <w:pPr>
        <w:ind w:left="288"/>
      </w:pPr>
      <w:r>
        <w:rPr>
          <w:color w:val="8C8C8C"/>
          <w:sz w:val="12"/>
        </w:rPr>
        <w:t>cf-art-70-par-unico</w:t>
      </w:r>
      <w:r>
        <w:rPr>
          <w:color w:val="003CA0"/>
          <w:sz w:val="12"/>
        </w:rPr>
        <w:t xml:space="preserve"> | ADI 7.702</w:t>
      </w:r>
      <w:r>
        <w:rPr>
          <w:color w:val="003CA0"/>
          <w:sz w:val="12"/>
        </w:rPr>
        <w:t xml:space="preserve"> | rel. Edson Fachin</w:t>
      </w:r>
    </w:p>
    <w:p>
      <w:pPr>
        <w:ind w:left="288"/>
      </w:pPr>
      <w:r>
        <w:rPr>
          <w:color w:val="1E1E1E"/>
          <w:sz w:val="18"/>
        </w:rPr>
        <w:t>É constitucional norma estadual que cria fundo público especial e autoriza sua gestão, para melhor consecução de suas finalidades, por meio de repasse a outros fundos e de participação de fundo financeiro de natureza privada criado e mantido por instituição financeira controlado pelo Estado. Devem ser necessariamente resguardadas as finalidades legais previstas pela norma geral (art. 2º, §2º da Lei Complementar nº. 206/2024), com destinação integral dos recursos a plano de investimentos em ações de enfrentamento e mitigação dos danos decorrentes da calamidade pública e de suas consequências so</w:t>
      </w:r>
    </w:p>
    <w:p>
      <w:pPr>
        <w:ind w:left="288"/>
      </w:pPr>
      <w:r>
        <w:rPr>
          <w:b/>
          <w:color w:val="003CA0"/>
          <w:sz w:val="16"/>
        </w:rPr>
        <w:t>[ADI 7.702, rel. min. Edson Fachin, j. 05.03.2025, P, DJE de 24.03.2025.]</w:t>
      </w:r>
    </w:p>
    <w:p>
      <w:pPr>
        <w:ind w:left="144"/>
      </w:pPr>
      <w:r>
        <w:rPr>
          <w:b/>
          <w:color w:val="B45A00"/>
          <w:sz w:val="16"/>
        </w:rPr>
        <w:t>REPERCUSSAO GERAL</w:t>
      </w:r>
    </w:p>
    <w:p>
      <w:pPr>
        <w:ind w:left="288"/>
      </w:pPr>
      <w:r>
        <w:rPr>
          <w:color w:val="8C8C8C"/>
          <w:sz w:val="12"/>
        </w:rPr>
        <w:t>cf-art-70-par-unico</w:t>
      </w:r>
      <w:r>
        <w:rPr>
          <w:color w:val="003CA0"/>
          <w:sz w:val="12"/>
        </w:rPr>
        <w:t xml:space="preserve"> | RE 1.182.189</w:t>
      </w:r>
      <w:r>
        <w:rPr>
          <w:color w:val="003CA0"/>
          <w:sz w:val="12"/>
        </w:rPr>
        <w:t xml:space="preserve"> | rel. Marco Aurélio</w:t>
      </w:r>
    </w:p>
    <w:p>
      <w:pPr>
        <w:ind w:left="288"/>
      </w:pPr>
      <w:r>
        <w:rPr>
          <w:color w:val="1E1E1E"/>
          <w:sz w:val="18"/>
        </w:rPr>
        <w:t>“O Conselho Federal e os Conselhos Seccionais da Ordem dos Advogados do Brasil não estão obrigados a prestar contas ao Tribunal de Contas da União nem a qualquer outra entidade externa”.</w:t>
        <w:br/>
        <w:t>[RE 1.182.189, rel. min. Marco Aurélio, red. do ac. min. Edson Fachin, j. 25-4-2023, P, DJE de 16-6-2023, Tema 1.054, com mérito julgado.] A simples natureza privada de uma entidade ou pessoa jurídica não impede o exercício da competência fiscalizatória do TCU, sendo a extensão do controle externo prevista expressamente na Constituição Federal. Da mesma forma, a circunstância de não integrar a Administração Pú</w:t>
      </w:r>
    </w:p>
    <w:p>
      <w:pPr>
        <w:ind w:left="288"/>
      </w:pPr>
      <w:r>
        <w:rPr>
          <w:b/>
          <w:color w:val="003CA0"/>
          <w:sz w:val="16"/>
        </w:rPr>
        <w:t>[MS 37.082 AgR, rel. min. Cristiano Zanin, j. 25-2-2026, 1ª T, DJE de 2-3-2026.]</w:t>
      </w:r>
    </w:p>
    <w:p>
      <w:pPr>
        <w:ind w:left="144"/>
      </w:pPr>
      <w:r>
        <w:rPr>
          <w:b/>
          <w:color w:val="B45A00"/>
          <w:sz w:val="16"/>
        </w:rPr>
        <w:t>JULGADOS CORRELATOS</w:t>
      </w:r>
    </w:p>
    <w:p>
      <w:pPr>
        <w:ind w:left="288"/>
      </w:pPr>
      <w:r>
        <w:rPr>
          <w:color w:val="8C8C8C"/>
          <w:sz w:val="12"/>
        </w:rPr>
        <w:t>cf-art-70-par-unico</w:t>
      </w:r>
      <w:r>
        <w:rPr>
          <w:color w:val="003CA0"/>
          <w:sz w:val="12"/>
        </w:rPr>
        <w:t xml:space="preserve"> | MS 24.423</w:t>
      </w:r>
      <w:r>
        <w:rPr>
          <w:color w:val="003CA0"/>
          <w:sz w:val="12"/>
        </w:rPr>
        <w:t xml:space="preserve"> | rel. Gilmar Mendes</w:t>
      </w:r>
    </w:p>
    <w:p>
      <w:pPr>
        <w:ind w:left="288"/>
      </w:pPr>
      <w:r>
        <w:rPr>
          <w:color w:val="1E1E1E"/>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w:t>
      </w:r>
    </w:p>
    <w:p>
      <w:pPr>
        <w:ind w:left="288"/>
      </w:pPr>
      <w:r>
        <w:rPr>
          <w:b/>
          <w:color w:val="003CA0"/>
          <w:sz w:val="16"/>
        </w:rPr>
        <w:t>[MS 24.423, voto do rel. min. Gilmar Mendes, j. 10-9-2008, P, DJE de 20-2-2009.]</w:t>
      </w:r>
    </w:p>
    <w:p>
      <w:pPr>
        <w:ind w:left="288"/>
      </w:pPr>
      <w:r>
        <w:rPr>
          <w:color w:val="8C8C8C"/>
          <w:sz w:val="12"/>
        </w:rPr>
        <w:t>cf-art-70-par-unico</w:t>
      </w:r>
      <w:r>
        <w:rPr>
          <w:color w:val="003CA0"/>
          <w:sz w:val="12"/>
        </w:rPr>
        <w:t xml:space="preserve"> | MS 24.073</w:t>
      </w:r>
      <w:r>
        <w:rPr>
          <w:color w:val="003CA0"/>
          <w:sz w:val="12"/>
        </w:rPr>
        <w:t xml:space="preserve"> | rel. Carlos Velloso</w:t>
      </w:r>
    </w:p>
    <w:p>
      <w:pPr>
        <w:ind w:left="288"/>
      </w:pPr>
      <w:r>
        <w:rPr>
          <w:color w:val="1E1E1E"/>
          <w:sz w:val="18"/>
        </w:rPr>
        <w:t>Advogado de empresa estatal que, chamado a opinar, oferece parecer sugerindo contratação direta, sem licitação, mediante interpretação da Lei das Licitações. Pretensão do TCU em responsabilizar o advogado solidariamente com o administrador que decidiu pela contratação direta: impossibilidade, dado que o parecer não é ato administrativo, sendo, quando muito, ato de administração consultiva, que visa a informar, elucidar, sugerir providências administrativas a serem estabelecidas nos atos de administração ativa (MELLO, Celso Antônio Bandeira de. Curso de direito administrativo. 13. ed. Malheiros</w:t>
      </w:r>
    </w:p>
    <w:p>
      <w:pPr>
        <w:ind w:left="288"/>
      </w:pPr>
      <w:r>
        <w:rPr>
          <w:b/>
          <w:color w:val="003CA0"/>
          <w:sz w:val="16"/>
        </w:rPr>
        <w:t>[MS 24.073, rel. min. Carlos Velloso, j. 6-11-2002, P, DJ de 31-10-2003.]</w:t>
      </w:r>
    </w:p>
    <w:p>
      <w:pPr>
        <w:ind w:left="288"/>
      </w:pPr>
      <w:r>
        <w:rPr>
          <w:color w:val="8C8C8C"/>
          <w:sz w:val="12"/>
        </w:rPr>
        <w:t>cf-art-70-par-unico</w:t>
      </w:r>
      <w:r>
        <w:rPr>
          <w:color w:val="003CA0"/>
          <w:sz w:val="12"/>
        </w:rPr>
        <w:t xml:space="preserve"> | MS 24.631</w:t>
      </w:r>
      <w:r>
        <w:rPr>
          <w:color w:val="003CA0"/>
          <w:sz w:val="12"/>
        </w:rPr>
        <w:t xml:space="preserve"> | rel. Joaquim Barbosa</w:t>
      </w:r>
    </w:p>
    <w:p>
      <w:pPr>
        <w:ind w:left="288"/>
      </w:pPr>
      <w:r>
        <w:rPr>
          <w:color w:val="1E1E1E"/>
          <w:sz w:val="18"/>
        </w:rPr>
        <w:t>Vide MS 24.631, rel. min. Joaquim Barbosa, j. 9-8-2007, P, DJE de 1º-2-2008 Vide MS 24.584, rel. min. Marco Aurélio, j. 9-8-2007, P, DJE de 20-6-2008</w:t>
      </w:r>
    </w:p>
    <w:p>
      <w:r>
        <w:rPr>
          <w:b/>
          <w:color w:val="003366"/>
          <w:sz w:val="20"/>
        </w:rPr>
        <w:t>Art. 71 É instituído, nos exercícios financeiros de 1994 e 1995, bem assim nos p</w:t>
      </w:r>
      <w:r>
        <w:rPr>
          <w:color w:val="8C8C8C"/>
          <w:sz w:val="14"/>
        </w:rPr>
        <w:t xml:space="preserve">  [89 decisoes]</w:t>
      </w:r>
    </w:p>
    <w:p>
      <w:pPr>
        <w:ind w:left="144"/>
      </w:pPr>
      <w:r>
        <w:rPr>
          <w:b/>
          <w:color w:val="B45A00"/>
          <w:sz w:val="16"/>
        </w:rPr>
        <w:t>SUMULA</w:t>
      </w:r>
    </w:p>
    <w:p>
      <w:pPr>
        <w:ind w:left="288"/>
      </w:pPr>
      <w:r>
        <w:rPr>
          <w:color w:val="8C8C8C"/>
          <w:sz w:val="12"/>
        </w:rPr>
        <w:t>cf-art-71</w:t>
      </w:r>
    </w:p>
    <w:p>
      <w:pPr>
        <w:ind w:left="288"/>
      </w:pPr>
      <w:r>
        <w:rPr>
          <w:color w:val="1E1E1E"/>
          <w:sz w:val="18"/>
        </w:rPr>
        <w:t>O Tribunal de Contas, no exercício de suas atribuições, pode apreciar a constitucionalidade das leis e dos atos do poder público.</w:t>
      </w:r>
    </w:p>
    <w:p>
      <w:pPr>
        <w:ind w:left="288"/>
      </w:pPr>
      <w:r>
        <w:rPr>
          <w:b/>
          <w:color w:val="003CA0"/>
          <w:sz w:val="16"/>
        </w:rPr>
        <w:t>[Súmula 347.]</w:t>
      </w:r>
    </w:p>
    <w:p>
      <w:pPr>
        <w:ind w:left="288"/>
      </w:pPr>
      <w:r>
        <w:rPr>
          <w:color w:val="8C8C8C"/>
          <w:sz w:val="12"/>
        </w:rPr>
        <w:t>cf-art-71</w:t>
      </w:r>
      <w:r>
        <w:rPr>
          <w:color w:val="003CA0"/>
          <w:sz w:val="12"/>
        </w:rPr>
        <w:t xml:space="preserve"> | ADI 7.459</w:t>
      </w:r>
      <w:r>
        <w:rPr>
          <w:color w:val="003CA0"/>
          <w:sz w:val="12"/>
        </w:rPr>
        <w:t xml:space="preserve"> | rel. Dias Toffoli</w:t>
      </w:r>
    </w:p>
    <w:p>
      <w:pPr>
        <w:ind w:left="288"/>
      </w:pPr>
      <w:r>
        <w:rPr>
          <w:color w:val="1E1E1E"/>
          <w:sz w:val="18"/>
        </w:rPr>
        <w:t>O procedimento de análise prévia de seletividade é instrumento para que a Corte de Contas conheça o objeto da denúncia e possa mensurar os impactos e as repercussões da irregularidade apontada, de modo que a Corte de Contas atue apenas quando presentes materialidade, relevância, oportunidade, risco, gravidade, urgência e tendência que justifiquem uma ação de controle externo. O Tribunal poderá priorizar esforços em ações de maior impacto em termos sociais, financeiros e orçamentários, evitando que o controle externo atue em questões menores cujo custo seja maior do que eventual benefício. Obse</w:t>
      </w:r>
    </w:p>
    <w:p>
      <w:pPr>
        <w:ind w:left="288"/>
      </w:pPr>
      <w:r>
        <w:rPr>
          <w:b/>
          <w:color w:val="003CA0"/>
          <w:sz w:val="16"/>
        </w:rPr>
        <w:t>[ADI 7.459, rel. min. Dias Toffoli, j. 01.07.2025, P, DJE de 08.07.2025.]</w:t>
      </w:r>
    </w:p>
    <w:p>
      <w:pPr>
        <w:ind w:left="144"/>
      </w:pPr>
      <w:r>
        <w:rPr>
          <w:b/>
          <w:color w:val="B45A00"/>
          <w:sz w:val="16"/>
        </w:rPr>
        <w:t>CONTROLE CONCENTRADO</w:t>
      </w:r>
    </w:p>
    <w:p>
      <w:pPr>
        <w:ind w:left="288"/>
      </w:pPr>
      <w:r>
        <w:rPr>
          <w:color w:val="8C8C8C"/>
          <w:sz w:val="12"/>
        </w:rPr>
        <w:t>cf-art-71</w:t>
      </w:r>
      <w:r>
        <w:rPr>
          <w:color w:val="003CA0"/>
          <w:sz w:val="12"/>
        </w:rPr>
        <w:t xml:space="preserve"> | ADI 2.324</w:t>
      </w:r>
      <w:r>
        <w:rPr>
          <w:color w:val="003CA0"/>
          <w:sz w:val="12"/>
        </w:rPr>
        <w:t xml:space="preserve"> | rel. Alexandre de Moraes</w:t>
      </w:r>
    </w:p>
    <w:p>
      <w:pPr>
        <w:ind w:left="288"/>
      </w:pPr>
      <w:r>
        <w:rPr>
          <w:color w:val="1E1E1E"/>
          <w:sz w:val="18"/>
        </w:rPr>
        <w:t xml:space="preserve">Lei complementar 101/2000. Lei de Responsabilidade Fiscal (LRF). Artigos 56, § 2º, e 59, caput. Inexistência de usurpação de competência. (...) Inexistência de qualquer subtração à competência dos Tribunais de Contas de julgamento das próprias contas, mas previsão de atuação opinativa da Comissão Mista de Orçamento (art. 166, § 1º, da CF) ou órgão equivalente. Ao permitir a fiscalização dos padrões de gestão fiscal pela atuação concomitante do Legislativo e dos Tribunais de Contas, o dispositivo buscou melhor aproveitar as especializações institucionais, sem qualquer usurpação de competências </w:t>
      </w:r>
    </w:p>
    <w:p>
      <w:pPr>
        <w:ind w:left="288"/>
      </w:pPr>
      <w:r>
        <w:rPr>
          <w:b/>
          <w:color w:val="003CA0"/>
          <w:sz w:val="16"/>
        </w:rPr>
        <w:t>[ADI 916, rel. min. Joaquim Barbosa, j. 2-2-2009, P, DJE de 6-3-2009.]</w:t>
      </w:r>
    </w:p>
    <w:p>
      <w:pPr>
        <w:ind w:left="288"/>
      </w:pPr>
      <w:r>
        <w:rPr>
          <w:color w:val="8C8C8C"/>
          <w:sz w:val="12"/>
        </w:rPr>
        <w:t>cf-art-71</w:t>
      </w:r>
      <w:r>
        <w:rPr>
          <w:color w:val="003CA0"/>
          <w:sz w:val="12"/>
        </w:rPr>
        <w:t xml:space="preserve"> | RP 1.021</w:t>
      </w:r>
      <w:r>
        <w:rPr>
          <w:color w:val="003CA0"/>
          <w:sz w:val="12"/>
        </w:rPr>
        <w:t xml:space="preserve"> | rel. Nelson Jobim</w:t>
      </w:r>
    </w:p>
    <w:p>
      <w:pPr>
        <w:ind w:left="288"/>
      </w:pPr>
      <w:r>
        <w:rPr>
          <w:color w:val="1E1E1E"/>
          <w:sz w:val="18"/>
        </w:rPr>
        <w:t xml:space="preserve">Competência exclusiva da Assembleia Legislativa para julgar anualmente as contas do Tribunal de Contas do Estado do Pará. Prestação de contas pelo Tribunal de Justiça paraense à Assembleia Legislativa no prazo de sessenta dias contados da abertura da sessão legislativa. Alegação de violação do disposto nos art. 71, I e II, e 75, da Constituição do Brasil. Inocorrência. A Constituição do Brasil de 1988, ao tratar de fiscalização contábil, financeira e orçamentária, prevê o controle externo a ser exercido pelo Congresso Nacional com o auxílio do TCU. A função fiscalizadora do TCU não é inovação </w:t>
      </w:r>
    </w:p>
    <w:p>
      <w:pPr>
        <w:ind w:left="288"/>
      </w:pPr>
      <w:r>
        <w:rPr>
          <w:b/>
          <w:color w:val="003CA0"/>
          <w:sz w:val="16"/>
        </w:rPr>
        <w:t>[ADI 2.597, red. do ac. min. Eros Grau, rel. min. Nelson Jobim, j. 4-8-2004, P, DJ de 17-8-2007.]</w:t>
      </w:r>
    </w:p>
    <w:p>
      <w:pPr>
        <w:ind w:left="288"/>
      </w:pPr>
      <w:r>
        <w:rPr>
          <w:color w:val="8C8C8C"/>
          <w:sz w:val="12"/>
        </w:rPr>
        <w:t>cf-art-71</w:t>
      </w:r>
      <w:r>
        <w:rPr>
          <w:color w:val="003CA0"/>
          <w:sz w:val="12"/>
        </w:rPr>
        <w:t xml:space="preserve"> | ADI 1.175</w:t>
      </w:r>
      <w:r>
        <w:rPr>
          <w:color w:val="003CA0"/>
          <w:sz w:val="12"/>
        </w:rPr>
        <w:t xml:space="preserve"> | rel. Carlos Velloso</w:t>
      </w:r>
    </w:p>
    <w:p>
      <w:pPr>
        <w:ind w:left="288"/>
      </w:pPr>
      <w:r>
        <w:rPr>
          <w:color w:val="1E1E1E"/>
          <w:sz w:val="18"/>
        </w:rPr>
        <w:t>Surge harmônico com a CF diploma revelador do controle pelo Legislativo das contas dos órgãos que o auxiliam, ou seja, dos tribunais de contas.</w:t>
      </w:r>
    </w:p>
    <w:p>
      <w:pPr>
        <w:ind w:left="288"/>
      </w:pPr>
      <w:r>
        <w:rPr>
          <w:b/>
          <w:color w:val="003CA0"/>
          <w:sz w:val="16"/>
        </w:rPr>
        <w:t>[ADI 1.175, red. do ac. min. Marco Aurélio, rel. min. Carlos Velloso, j. 4-8-2004, P, DJ de 19-12-2006.]</w:t>
      </w:r>
    </w:p>
    <w:p>
      <w:pPr>
        <w:ind w:left="288"/>
      </w:pPr>
      <w:r>
        <w:rPr>
          <w:color w:val="8C8C8C"/>
          <w:sz w:val="12"/>
        </w:rPr>
        <w:t>cf-art-71</w:t>
      </w:r>
      <w:r>
        <w:rPr>
          <w:color w:val="003CA0"/>
          <w:sz w:val="12"/>
        </w:rPr>
        <w:t xml:space="preserve"> | MS 37.082</w:t>
      </w:r>
      <w:r>
        <w:rPr>
          <w:color w:val="003CA0"/>
          <w:sz w:val="12"/>
        </w:rPr>
        <w:t xml:space="preserve"> | rel. Cristiano Zanin</w:t>
      </w:r>
    </w:p>
    <w:p>
      <w:pPr>
        <w:ind w:left="288"/>
      </w:pPr>
      <w:r>
        <w:rPr>
          <w:color w:val="1E1E1E"/>
          <w:sz w:val="18"/>
        </w:rPr>
        <w:t>A simples natureza privada de uma entidade ou pessoa jurídica não impede o exercício da competência fiscalizatória do TCU, sendo a extensão do controle externo prevista expressamente na Constituição Federal. Da mesma forma, a circunstância de não integrar a Administração Pública, direta ou indireta, também não exime a pessoa jurídica, ex ante, de qualquer controle do órgão.  Ainda que os repasses realizados pelo ente público patrocinador sejam destinados aos planos de benefícios, isto é, à previdência complementar, há a possibilidade de a gestão dos recursos ocasionar a responsabilidade patrim</w:t>
      </w:r>
    </w:p>
    <w:p>
      <w:pPr>
        <w:ind w:left="288"/>
      </w:pPr>
      <w:r>
        <w:rPr>
          <w:b/>
          <w:color w:val="003CA0"/>
          <w:sz w:val="16"/>
        </w:rPr>
        <w:t>[MS 37.082 AgR, rel. min. Cristiano Zanin, j. 25-2-2026, 1ª T, DJE de 2-3-2026.]</w:t>
      </w:r>
    </w:p>
    <w:p>
      <w:pPr>
        <w:ind w:left="144"/>
      </w:pPr>
      <w:r>
        <w:rPr>
          <w:b/>
          <w:color w:val="B45A00"/>
          <w:sz w:val="16"/>
        </w:rPr>
        <w:t>JULGADOS CORRELATOS</w:t>
      </w:r>
    </w:p>
    <w:p>
      <w:pPr>
        <w:ind w:left="288"/>
      </w:pPr>
      <w:r>
        <w:rPr>
          <w:color w:val="8C8C8C"/>
          <w:sz w:val="12"/>
        </w:rPr>
        <w:t>cf-art-71</w:t>
      </w:r>
      <w:r>
        <w:rPr>
          <w:color w:val="003CA0"/>
          <w:sz w:val="12"/>
        </w:rPr>
        <w:t xml:space="preserve"> | MS 25.888</w:t>
      </w:r>
      <w:r>
        <w:rPr>
          <w:color w:val="003CA0"/>
          <w:sz w:val="12"/>
        </w:rPr>
        <w:t xml:space="preserve"> | rel. Gilmar Mendes</w:t>
      </w:r>
    </w:p>
    <w:p>
      <w:pPr>
        <w:ind w:left="288"/>
      </w:pPr>
      <w:r>
        <w:rPr>
          <w:color w:val="1E1E1E"/>
          <w:sz w:val="18"/>
        </w:rPr>
        <w:t>A normatividade da Constituição é antes de tudo um dever a ser observado por parte dos órgãos do Estado que lidam com a aplicação de normas jurídicas a casos concretos. Se ao Supremo Tribunal Federal compete, precipuamente, a guarda da Constituição Federal, é certo que a sua interpretação do texto constitucional deve ser acompanhada pelos demais órgãos públicos. (...) O tratamento de questões constitucionais, por parte de um Tribunal de Contas, observa a finalidade de reforçar a normatividade constitucional. Da Corte de Contas espera-se a postura de cobrar da administração pública a observânci</w:t>
      </w:r>
    </w:p>
    <w:p>
      <w:pPr>
        <w:ind w:left="288"/>
      </w:pPr>
      <w:r>
        <w:rPr>
          <w:b/>
          <w:color w:val="003CA0"/>
          <w:sz w:val="16"/>
        </w:rPr>
        <w:t>[MS 35.500, rel. min. Alexandre de Moraes, j. 13-4-2021, P, DJE de 5-5-2021.]</w:t>
      </w:r>
    </w:p>
    <w:p>
      <w:pPr>
        <w:ind w:left="288"/>
      </w:pPr>
      <w:r>
        <w:rPr>
          <w:color w:val="8C8C8C"/>
          <w:sz w:val="12"/>
        </w:rPr>
        <w:t>cf-art-71</w:t>
      </w:r>
      <w:r>
        <w:rPr>
          <w:color w:val="003CA0"/>
          <w:sz w:val="12"/>
        </w:rPr>
        <w:t xml:space="preserve"> | MS 23.168</w:t>
      </w:r>
      <w:r>
        <w:rPr>
          <w:color w:val="003CA0"/>
          <w:sz w:val="12"/>
        </w:rPr>
        <w:t xml:space="preserve"> | rel. Rosa Weber</w:t>
      </w:r>
    </w:p>
    <w:p>
      <w:pPr>
        <w:ind w:left="288"/>
      </w:pPr>
      <w:r>
        <w:rPr>
          <w:color w:val="1E1E1E"/>
          <w:sz w:val="18"/>
        </w:rPr>
        <w:t>Deliberações do Tribunal de Contas da União que determinaram o fornecimento de trabalhos de auditoria interna. Recusa de entrega, por parte do Banco do Brasil S.A., (...) Quando enfocados apenas dados operacionais da sociedade de economia mista, sem identificação de dados pessoais ou de movimentações individuais dos correntistas, não há falar em sigilo bancário como óbice ao fornecimento dos documentos de auditoria interna requisitados pelo TCU. Esse e o entendimento que se extrai dos princípios da publicidade e da transparência, além da exigência de prestar contas, inerentes, por imposição co</w:t>
      </w:r>
    </w:p>
    <w:p>
      <w:pPr>
        <w:ind w:left="288"/>
      </w:pPr>
      <w:r>
        <w:rPr>
          <w:b/>
          <w:color w:val="003CA0"/>
          <w:sz w:val="16"/>
        </w:rPr>
        <w:t>[MS 23.168-AgR, rel. min. Rosa Weber, j. em 27-6-2019, 1a.T, DJE de 5-8-2019.</w:t>
      </w:r>
    </w:p>
    <w:p>
      <w:pPr>
        <w:ind w:left="288"/>
      </w:pPr>
      <w:r>
        <w:rPr>
          <w:color w:val="8C8C8C"/>
          <w:sz w:val="12"/>
        </w:rPr>
        <w:t>cf-art-71</w:t>
      </w:r>
      <w:r>
        <w:rPr>
          <w:color w:val="003CA0"/>
          <w:sz w:val="12"/>
        </w:rPr>
        <w:t xml:space="preserve"> | MS 33.340</w:t>
      </w:r>
      <w:r>
        <w:rPr>
          <w:color w:val="003CA0"/>
          <w:sz w:val="12"/>
        </w:rPr>
        <w:t xml:space="preserve"> | rel. Luiz Fux</w:t>
      </w:r>
    </w:p>
    <w:p>
      <w:pPr>
        <w:ind w:left="288"/>
      </w:pPr>
      <w:r>
        <w:rPr>
          <w:color w:val="1E1E1E"/>
          <w:sz w:val="18"/>
        </w:rPr>
        <w:t>O sigilo de informações necessárias para a preservação da intimidade é relativizado quando se está diante do interesse da sociedade de se conhecer o destino dos recursos públicos. Operações financeiras que envolvam recursos públicos não estão abrangidas pelo sigilo bancário a que alude a LC 105/2001, visto que as operações dessa espécie estão submetidas aos princípios da administração pública insculpidos no art. 37 da CF. Em tais situações, é prerrogativa constitucional do Tribunal [TCU] o acesso a informações relacionadas a operações financiadas com recursos públicos.</w:t>
      </w:r>
    </w:p>
    <w:p>
      <w:pPr>
        <w:ind w:left="288"/>
      </w:pPr>
      <w:r>
        <w:rPr>
          <w:b/>
          <w:color w:val="003CA0"/>
          <w:sz w:val="16"/>
        </w:rPr>
        <w:t>[MS 33.340, rel. min. Luiz Fux, j. 26-5-2015, 1ª T, DJE de 3-8-2015.]</w:t>
      </w:r>
    </w:p>
    <w:p>
      <w:pPr>
        <w:ind w:left="288"/>
      </w:pPr>
      <w:r>
        <w:rPr>
          <w:color w:val="8C8C8C"/>
          <w:sz w:val="12"/>
        </w:rPr>
        <w:t>cf-art-71</w:t>
      </w:r>
      <w:r>
        <w:rPr>
          <w:color w:val="003CA0"/>
          <w:sz w:val="12"/>
        </w:rPr>
        <w:t xml:space="preserve"> | MS 33.092</w:t>
      </w:r>
      <w:r>
        <w:rPr>
          <w:color w:val="003CA0"/>
          <w:sz w:val="12"/>
        </w:rPr>
        <w:t xml:space="preserve"> | rel. Gilmar Mendes</w:t>
      </w:r>
    </w:p>
    <w:p>
      <w:pPr>
        <w:ind w:left="288"/>
      </w:pPr>
      <w:r>
        <w:rPr>
          <w:color w:val="1E1E1E"/>
          <w:sz w:val="18"/>
        </w:rPr>
        <w:t>TCU. Tomada de contas especial. Dano ao patrimônio da Petrobras. Medida cautelar de indisponibilidade de bens dos responsáveis. Poder geral de cautela reconhecido ao TCU como decorrência de suas atribuições constitucionais.</w:t>
      </w:r>
    </w:p>
    <w:p>
      <w:pPr>
        <w:ind w:left="288"/>
      </w:pPr>
      <w:r>
        <w:rPr>
          <w:b/>
          <w:color w:val="003CA0"/>
          <w:sz w:val="16"/>
        </w:rPr>
        <w:t>[MS 33.092, rel. min. Gilmar Mendes, j. 24-3-2015, 2ª T, DJE de 17-8-2015.]</w:t>
      </w:r>
    </w:p>
    <w:p>
      <w:pPr>
        <w:ind w:left="288"/>
      </w:pPr>
      <w:r>
        <w:rPr>
          <w:color w:val="8C8C8C"/>
          <w:sz w:val="12"/>
        </w:rPr>
        <w:t>cf-art-71</w:t>
      </w:r>
      <w:r>
        <w:rPr>
          <w:color w:val="003CA0"/>
          <w:sz w:val="12"/>
        </w:rPr>
        <w:t xml:space="preserve"> | MS 27.008</w:t>
      </w:r>
      <w:r>
        <w:rPr>
          <w:color w:val="003CA0"/>
          <w:sz w:val="12"/>
        </w:rPr>
        <w:t xml:space="preserve"> | rel. Ayres Britto</w:t>
      </w:r>
    </w:p>
    <w:p>
      <w:pPr>
        <w:ind w:left="288"/>
      </w:pPr>
      <w:r>
        <w:rPr>
          <w:color w:val="1E1E1E"/>
          <w:sz w:val="18"/>
        </w:rPr>
        <w:t>A representação ao TCU contra irregularidades em processo licitatório não está limitada pelo prazo do § 2º do art. 41 da Lei 8.666/1993.</w:t>
      </w:r>
    </w:p>
    <w:p>
      <w:pPr>
        <w:ind w:left="288"/>
      </w:pPr>
      <w:r>
        <w:rPr>
          <w:b/>
          <w:color w:val="003CA0"/>
          <w:sz w:val="16"/>
        </w:rPr>
        <w:t>[MS 27.008, rel. min. Ayres Britto, j. 17-2-2010, P, DJE de 12-3-2010.]</w:t>
      </w:r>
    </w:p>
    <w:p>
      <w:pPr>
        <w:ind w:left="288"/>
      </w:pPr>
      <w:r>
        <w:rPr>
          <w:color w:val="8C8C8C"/>
          <w:sz w:val="12"/>
        </w:rPr>
        <w:t>cf-art-71</w:t>
      </w:r>
      <w:r>
        <w:rPr>
          <w:color w:val="003CA0"/>
          <w:sz w:val="12"/>
        </w:rPr>
        <w:t xml:space="preserve"> | MS 26.250</w:t>
      </w:r>
      <w:r>
        <w:rPr>
          <w:color w:val="003CA0"/>
          <w:sz w:val="12"/>
        </w:rPr>
        <w:t xml:space="preserve"> | rel. Ayres Britto</w:t>
      </w:r>
    </w:p>
    <w:p>
      <w:pPr>
        <w:ind w:left="288"/>
      </w:pPr>
      <w:r>
        <w:rPr>
          <w:color w:val="1E1E1E"/>
          <w:sz w:val="18"/>
        </w:rPr>
        <w:t>Não há direito líquido e certo à prorrogação de contrato celebrado com o poder público. Existência de mera expectativa de direito, dado que a decisão sobre a prorrogação do ajuste se inscreve no âmbito da discricionariedade da administração pública. Sendo a relação jurídica travada entre o Tribunal de Contas e a administração pública, não há que se falar em desrespeito às garantias constitucionais do contraditório e da ampla defesa.</w:t>
      </w:r>
    </w:p>
    <w:p>
      <w:pPr>
        <w:ind w:left="288"/>
      </w:pPr>
      <w:r>
        <w:rPr>
          <w:b/>
          <w:color w:val="003CA0"/>
          <w:sz w:val="16"/>
        </w:rPr>
        <w:t>[MS 26.250, rel. min. Ayres Britto, j. 17-2-2010, P, DJE de 12-3-2010.]</w:t>
      </w:r>
    </w:p>
    <w:p>
      <w:pPr>
        <w:ind w:left="288"/>
      </w:pPr>
      <w:r>
        <w:rPr>
          <w:color w:val="8C8C8C"/>
          <w:sz w:val="12"/>
        </w:rPr>
        <w:t>cf-art-71</w:t>
      </w:r>
      <w:r>
        <w:rPr>
          <w:color w:val="003CA0"/>
          <w:sz w:val="12"/>
        </w:rPr>
        <w:t xml:space="preserve"> | MS 24.423</w:t>
      </w:r>
      <w:r>
        <w:rPr>
          <w:color w:val="003CA0"/>
          <w:sz w:val="12"/>
        </w:rPr>
        <w:t xml:space="preserve"> | rel. Gilmar Mendes</w:t>
      </w:r>
    </w:p>
    <w:p>
      <w:pPr>
        <w:ind w:left="288"/>
      </w:pPr>
      <w:r>
        <w:rPr>
          <w:color w:val="1E1E1E"/>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w:t>
      </w:r>
    </w:p>
    <w:p>
      <w:pPr>
        <w:ind w:left="288"/>
      </w:pPr>
      <w:r>
        <w:rPr>
          <w:b/>
          <w:color w:val="003CA0"/>
          <w:sz w:val="16"/>
        </w:rPr>
        <w:t>[MS 24.423, voto do rel. min. Gilmar Mendes, j. 10-9-2008, P, DJE de 20-2-2009.]</w:t>
      </w:r>
    </w:p>
    <w:p>
      <w:pPr>
        <w:ind w:left="288"/>
      </w:pPr>
      <w:r>
        <w:rPr>
          <w:color w:val="8C8C8C"/>
          <w:sz w:val="12"/>
        </w:rPr>
        <w:t>cf-art-71</w:t>
      </w:r>
      <w:r>
        <w:rPr>
          <w:color w:val="003CA0"/>
          <w:sz w:val="12"/>
        </w:rPr>
        <w:t xml:space="preserve"> | MS 26.732</w:t>
      </w:r>
      <w:r>
        <w:rPr>
          <w:color w:val="003CA0"/>
          <w:sz w:val="12"/>
        </w:rPr>
        <w:t xml:space="preserve"> | rel. Cármen Lúcia</w:t>
      </w:r>
    </w:p>
    <w:p>
      <w:pPr>
        <w:ind w:left="288"/>
      </w:pPr>
      <w:r>
        <w:rPr>
          <w:color w:val="1E1E1E"/>
          <w:sz w:val="18"/>
        </w:rPr>
        <w:t>Não se faz necessária a notificação prévia e pessoal da data em que será realizada a sessão de julgamento de recurso de reconsideração pelo TCU. Ausência de ofensa aos princípios da ampla defesa e do devido processo legal quando a pauta de julgamentos é publicada no DOU. O pedido de sustentação oral pode ser feito, conforme autoriza o art. 168 do Regimento Interno do TCU, até quatro horas antes da sessão. Para tanto, é necessário que os interessados no julgamento acompanhem o andamento do processo e as publicações feitas no DOU.</w:t>
      </w:r>
    </w:p>
    <w:p>
      <w:pPr>
        <w:ind w:left="288"/>
      </w:pPr>
      <w:r>
        <w:rPr>
          <w:b/>
          <w:color w:val="003CA0"/>
          <w:sz w:val="16"/>
        </w:rPr>
        <w:t>[MS 26.732 AgR, rel. min. Cármen Lúcia, j. 25-6-2008, P, DJE de 15-8-2008.]</w:t>
      </w:r>
    </w:p>
    <w:p>
      <w:pPr>
        <w:ind w:left="288"/>
      </w:pPr>
      <w:r>
        <w:rPr>
          <w:color w:val="8C8C8C"/>
          <w:sz w:val="12"/>
        </w:rPr>
        <w:t>cf-art-71</w:t>
      </w:r>
      <w:r>
        <w:rPr>
          <w:color w:val="003CA0"/>
          <w:sz w:val="12"/>
        </w:rPr>
        <w:t xml:space="preserve"> | MS 22.801</w:t>
      </w:r>
      <w:r>
        <w:rPr>
          <w:color w:val="003CA0"/>
          <w:sz w:val="12"/>
        </w:rPr>
        <w:t xml:space="preserve"> | rel. Menezes Direito</w:t>
      </w:r>
    </w:p>
    <w:p>
      <w:pPr>
        <w:ind w:left="288"/>
      </w:pPr>
      <w:r>
        <w:rPr>
          <w:color w:val="1E1E1E"/>
          <w:sz w:val="18"/>
        </w:rPr>
        <w:t>A LC 105, de 10-1-2001, não conferiu ao TCU poderes para determinar a quebra do sigilo bancário de dados constantes do Banco Central do Brasil. O legislador conferiu esses poderes ao Poder Judiciário (art. 3º), ao Poder Legislativo Federal (art. 4º), bem como às CPIs, após prévia aprovação do pedido pelo Plenário da Câmara dos Deputados, do Senado Federal ou do Plenário de suas respectivas CPIs (§§ 1º e 2º do art. 4º). Embora as atividades do TCU, por sua natureza, verificação de contas e até mesmo o julgamento das contas das pessoas enumeradas no art. 71, II, da CF, justifiquem a eventual que</w:t>
      </w:r>
    </w:p>
    <w:p>
      <w:pPr>
        <w:ind w:left="288"/>
      </w:pPr>
      <w:r>
        <w:rPr>
          <w:b/>
          <w:color w:val="003CA0"/>
          <w:sz w:val="16"/>
        </w:rPr>
        <w:t>[MS 22.801, rel. min. Menezes Direito, j. 17-12-2007, P, DJE de 14-3-2008.]</w:t>
      </w:r>
    </w:p>
    <w:p>
      <w:pPr>
        <w:ind w:left="288"/>
      </w:pPr>
      <w:r>
        <w:rPr>
          <w:color w:val="8C8C8C"/>
          <w:sz w:val="12"/>
        </w:rPr>
        <w:t>cf-art-71</w:t>
      </w:r>
      <w:r>
        <w:rPr>
          <w:color w:val="003CA0"/>
          <w:sz w:val="12"/>
        </w:rPr>
        <w:t xml:space="preserve"> | MS 22.934</w:t>
      </w:r>
      <w:r>
        <w:rPr>
          <w:color w:val="003CA0"/>
          <w:sz w:val="12"/>
        </w:rPr>
        <w:t xml:space="preserve"> | rel. Joaquim Barbosa</w:t>
      </w:r>
    </w:p>
    <w:p>
      <w:pPr>
        <w:ind w:left="288"/>
      </w:pPr>
      <w:r>
        <w:rPr>
          <w:color w:val="1E1E1E"/>
          <w:sz w:val="18"/>
        </w:rPr>
        <w:t>= MS 22.934, rel. min. Joaquim Barbosa, j. 17-4-2012, 2ª T, DJE de 9-5-2012 Advogado público. Responsabilidade. (...) Prevendo o art. 38 da Lei 8.666/1993 que a manifestação da assessoria jurídica quanto a editais de licitação, contratos, acordos, convênios e ajustes não se limita a simples opinião, alcançando a aprovação, ou não, descabe a recusa à convocação do TCU para serem prestados esclarecimentos.</w:t>
      </w:r>
    </w:p>
    <w:p>
      <w:pPr>
        <w:ind w:left="288"/>
      </w:pPr>
      <w:r>
        <w:rPr>
          <w:b/>
          <w:color w:val="003CA0"/>
          <w:sz w:val="16"/>
        </w:rPr>
        <w:t>[MS 24.584, rel. min. Marco Aurélio, j. 9-8-2007, P, DJE de 20-6-2008.]</w:t>
      </w:r>
    </w:p>
    <w:p>
      <w:pPr>
        <w:ind w:left="288"/>
      </w:pPr>
      <w:r>
        <w:rPr>
          <w:color w:val="8C8C8C"/>
          <w:sz w:val="12"/>
        </w:rPr>
        <w:t>cf-art-71</w:t>
      </w:r>
      <w:r>
        <w:rPr>
          <w:color w:val="003CA0"/>
          <w:sz w:val="12"/>
        </w:rPr>
        <w:t xml:space="preserve"> | MS 24.631</w:t>
      </w:r>
      <w:r>
        <w:rPr>
          <w:color w:val="003CA0"/>
          <w:sz w:val="12"/>
        </w:rPr>
        <w:t xml:space="preserve"> | rel. Joaquim Barbosa</w:t>
      </w:r>
    </w:p>
    <w:p>
      <w:pPr>
        <w:ind w:left="288"/>
      </w:pPr>
      <w:r>
        <w:rPr>
          <w:color w:val="1E1E1E"/>
          <w:sz w:val="18"/>
        </w:rPr>
        <w:t>Controle externo. Auditoria pelo TCU. Responsabilidade de procurador de autarquia por emissão de parecer técnico-jurídico de natureza opinativa. Segurança deferida. Repercussões da natureza jurídico-administrativa do parecer jurídico: (i) quando a consulta é facultativa, a autoridade não se vincula ao parecer proferido, sendo que seu poder de decisão não se altera pela manifestação do órgão consultivo; (ii) quando a consulta é obrigatória, a autoridade administrativa se vincula a emitir o ato tal como submetido à consultoria, com parecer favorável ou contrário, e se pretender praticar ato de f</w:t>
      </w:r>
    </w:p>
    <w:p>
      <w:pPr>
        <w:ind w:left="288"/>
      </w:pPr>
      <w:r>
        <w:rPr>
          <w:b/>
          <w:color w:val="003CA0"/>
          <w:sz w:val="16"/>
        </w:rPr>
        <w:t>[MS 24.631, rel. min. Joaquim Barbosa, j. 9-8-2007, P, DJ de 1º-2-2008.]</w:t>
      </w:r>
    </w:p>
    <w:p>
      <w:pPr>
        <w:ind w:left="288"/>
      </w:pPr>
      <w:r>
        <w:rPr>
          <w:color w:val="8C8C8C"/>
          <w:sz w:val="12"/>
        </w:rPr>
        <w:t>cf-art-71</w:t>
      </w:r>
      <w:r>
        <w:rPr>
          <w:color w:val="003CA0"/>
          <w:sz w:val="12"/>
        </w:rPr>
        <w:t xml:space="preserve"> | MS 24.001</w:t>
      </w:r>
      <w:r>
        <w:rPr>
          <w:color w:val="003CA0"/>
          <w:sz w:val="12"/>
        </w:rPr>
        <w:t xml:space="preserve"> | rel. Maurício Corrêa</w:t>
      </w:r>
    </w:p>
    <w:p>
      <w:pPr>
        <w:ind w:left="288"/>
      </w:pPr>
      <w:r>
        <w:rPr>
          <w:color w:val="1E1E1E"/>
          <w:sz w:val="18"/>
        </w:rPr>
        <w:t>A jurisprudência desta Corte é firme no sentido de que o TCU é parte legítima para figurar no polo passivo de mandado de segurança apenas quando o ato impugnado estiver revestido de caráter impositivo. Nesse sentido o MS 24.001, rel. min. Maurício Corrêa, DJ de 20-5-2002. A especificação da autoridade coatora na petição inicial há de ser feita em função do órgão do TCU que tenha proferido a decisão impugnada no mandamus. Tanto o presidente daquela Corte de Contas quanto os das respectivas Câmaras podem figurar como autoridades coatoras. O Supremo, no entanto, não faz essa distinção, conhecendo</w:t>
      </w:r>
    </w:p>
    <w:p>
      <w:pPr>
        <w:ind w:left="288"/>
      </w:pPr>
      <w:r>
        <w:rPr>
          <w:b/>
          <w:color w:val="003CA0"/>
          <w:sz w:val="16"/>
        </w:rPr>
        <w:t>[MS 26.381 AgR, rel. min. Eros Grau, j. 14-6-2007, P, DJ de 10-8-2007.]</w:t>
      </w:r>
    </w:p>
    <w:p>
      <w:pPr>
        <w:ind w:left="288"/>
      </w:pPr>
      <w:r>
        <w:rPr>
          <w:color w:val="8C8C8C"/>
          <w:sz w:val="12"/>
        </w:rPr>
        <w:t>cf-art-71</w:t>
      </w:r>
      <w:r>
        <w:rPr>
          <w:color w:val="003CA0"/>
          <w:sz w:val="12"/>
        </w:rPr>
        <w:t xml:space="preserve"> | MS 24.001</w:t>
      </w:r>
      <w:r>
        <w:rPr>
          <w:color w:val="003CA0"/>
          <w:sz w:val="12"/>
        </w:rPr>
        <w:t xml:space="preserve"> | rel. Eros Grau</w:t>
      </w:r>
    </w:p>
    <w:p>
      <w:pPr>
        <w:ind w:left="288"/>
      </w:pPr>
      <w:r>
        <w:rPr>
          <w:color w:val="1E1E1E"/>
          <w:sz w:val="18"/>
        </w:rPr>
        <w:t>O presidente da Primeira Câmara do TCU é parte legítima para figurar no polo passivo de mandado de segurança quando o ato impugnado reveste-se de caráter impositivo. Precedente (MS 24.001, relator Maurício Corrêa, DJ de 20-5-2002). Prejudicada a impetração quanto ao coordenador-geral de recursos humanos da Abin [Agência Brasileira de Inteligência], mero executor do ato administrativo do TCU.</w:t>
      </w:r>
    </w:p>
    <w:p>
      <w:pPr>
        <w:ind w:left="288"/>
      </w:pPr>
      <w:r>
        <w:rPr>
          <w:b/>
          <w:color w:val="003CA0"/>
          <w:sz w:val="16"/>
        </w:rPr>
        <w:t>[MS 24.997, MS 25.015, MS 25.036, MS 25.037, MS 25.090 e MS 25.095, rel. min. Eros Grau, j. 2-2-2005, P, DJ de 1º-4-2005.]</w:t>
      </w:r>
    </w:p>
    <w:p>
      <w:pPr>
        <w:ind w:left="288"/>
      </w:pPr>
      <w:r>
        <w:rPr>
          <w:color w:val="8C8C8C"/>
          <w:sz w:val="12"/>
        </w:rPr>
        <w:t>cf-art-71</w:t>
      </w:r>
      <w:r>
        <w:rPr>
          <w:color w:val="003CA0"/>
          <w:sz w:val="12"/>
        </w:rPr>
        <w:t xml:space="preserve"> | MS 25.149</w:t>
      </w:r>
      <w:r>
        <w:rPr>
          <w:color w:val="003CA0"/>
          <w:sz w:val="12"/>
        </w:rPr>
        <w:t xml:space="preserve"> | rel. Celso de Mello</w:t>
      </w:r>
    </w:p>
    <w:p>
      <w:pPr>
        <w:ind w:left="288"/>
      </w:pPr>
      <w:r>
        <w:rPr>
          <w:color w:val="1E1E1E"/>
          <w:sz w:val="18"/>
        </w:rPr>
        <w:t>= MS 25.149, rel. min. Celso de Mello, j. 9-6-2005, P, DJE de 18-9-2009 (...) a atribuição de poderes explícitos, ao Tribunal de Contas, tais como enunciados no art. 71 da Lei Fundamental da República, supõe que se lhe reconheça, ainda que por implicitude, a titularidade de meios destinados a viabilizar a adoção de medidas cautelares vocacionadas a conferir real efetividade às suas deliberações finais, permitindo, assim, que se neutralizem situações de lesividade, atual ou iminente, ao erário público. Impende considerar, no ponto, em ordem a legitimar esse entendimento, a formulação que se fez</w:t>
      </w:r>
    </w:p>
    <w:p>
      <w:pPr>
        <w:ind w:left="288"/>
      </w:pPr>
      <w:r>
        <w:rPr>
          <w:b/>
          <w:color w:val="003CA0"/>
          <w:sz w:val="16"/>
        </w:rPr>
        <w:t>[MS 24.510, rel. min. Ellen Gracie, voto do min. Celso de Mello, j. 19-11-2003, P, DJ de 19-3-2004.]</w:t>
      </w:r>
    </w:p>
    <w:p>
      <w:pPr>
        <w:ind w:left="288"/>
      </w:pPr>
      <w:r>
        <w:rPr>
          <w:color w:val="8C8C8C"/>
          <w:sz w:val="12"/>
        </w:rPr>
        <w:t>cf-art-71</w:t>
      </w:r>
      <w:r>
        <w:rPr>
          <w:color w:val="003CA0"/>
          <w:sz w:val="12"/>
        </w:rPr>
        <w:t xml:space="preserve"> | MS 33.092</w:t>
      </w:r>
      <w:r>
        <w:rPr>
          <w:color w:val="003CA0"/>
          <w:sz w:val="12"/>
        </w:rPr>
        <w:t xml:space="preserve"> | rel. Gilmar Mendes</w:t>
      </w:r>
    </w:p>
    <w:p>
      <w:pPr>
        <w:ind w:left="288"/>
      </w:pPr>
      <w:r>
        <w:rPr>
          <w:color w:val="1E1E1E"/>
          <w:sz w:val="18"/>
        </w:rPr>
        <w:t>Vide MS 33.092, rel. min. Gilmar Mendes, j. 24-3-2015, 2ª T, DJE de 17-8-2015 TCU: processo de representação fundado em invalidade de contrato administrativo: incidência das garantias do devido processo legal e do contraditório e ampla defesa, que impõem assegurar aos interessados, a começar do particular contratante, a ciência de sua instauração e as intervenções cabíveis. (...) A incidência imediata das garantias constitucionais referidas dispensariam previsão legal expressa de audiência dos interessados; de qualquer modo, nada exclui os procedimentos do Tribunal de Contas da aplicação subsi</w:t>
      </w:r>
    </w:p>
    <w:p>
      <w:pPr>
        <w:ind w:left="288"/>
      </w:pPr>
      <w:r>
        <w:rPr>
          <w:b/>
          <w:color w:val="003CA0"/>
          <w:sz w:val="16"/>
        </w:rPr>
        <w:t>[MS 23.550, rel. min. Sepúlveda Pertence, j. 4-4-2001, P, DJ de 31-10-2001.]</w:t>
      </w:r>
    </w:p>
    <w:p>
      <w:pPr>
        <w:ind w:left="288"/>
      </w:pPr>
      <w:r>
        <w:rPr>
          <w:color w:val="8C8C8C"/>
          <w:sz w:val="12"/>
        </w:rPr>
        <w:t>cf-art-71</w:t>
      </w:r>
      <w:r>
        <w:rPr>
          <w:color w:val="003CA0"/>
          <w:sz w:val="12"/>
        </w:rPr>
        <w:t xml:space="preserve"> | MS 30.329</w:t>
      </w:r>
      <w:r>
        <w:rPr>
          <w:color w:val="003CA0"/>
          <w:sz w:val="12"/>
        </w:rPr>
        <w:t xml:space="preserve"> | rel. Cármen Lúcia</w:t>
      </w:r>
    </w:p>
    <w:p>
      <w:pPr>
        <w:ind w:left="288"/>
      </w:pPr>
      <w:r>
        <w:rPr>
          <w:color w:val="1E1E1E"/>
          <w:sz w:val="18"/>
        </w:rPr>
        <w:t>= MS 30.329, rel. min. Cármen Lúcia, j. 18-12-2012, 2ª T , DJE de 20-2-2013</w:t>
      </w:r>
    </w:p>
    <w:p>
      <w:pPr>
        <w:ind w:left="288"/>
      </w:pPr>
      <w:r>
        <w:rPr>
          <w:color w:val="8C8C8C"/>
          <w:sz w:val="12"/>
        </w:rPr>
        <w:t>cf-art-71-inc-I</w:t>
      </w:r>
      <w:r>
        <w:rPr>
          <w:color w:val="003CA0"/>
          <w:sz w:val="12"/>
        </w:rPr>
        <w:t xml:space="preserve"> | ADPF 434</w:t>
      </w:r>
      <w:r>
        <w:rPr>
          <w:color w:val="003CA0"/>
          <w:sz w:val="12"/>
        </w:rPr>
        <w:t xml:space="preserve"> | rel. Nunes Marques</w:t>
      </w:r>
    </w:p>
    <w:p>
      <w:pPr>
        <w:ind w:left="288"/>
      </w:pPr>
      <w:r>
        <w:rPr>
          <w:color w:val="1E1E1E"/>
          <w:sz w:val="18"/>
        </w:rPr>
        <w:t>O parecer técnico do Tribunal de Contas, embora relevante para subsidiar o julgamento político da Assembleia Legislativa, possui natureza opinativa, não vinculando nem condicionando o exercício da competência legislativa. A ausência de parecer prévio no prazo constitucional não obsta o julgamento das contas pelo Legislativo, sendo-lhe vedado eximir-se da competência constitucionalmente atribuída.</w:t>
      </w:r>
    </w:p>
    <w:p>
      <w:pPr>
        <w:ind w:left="288"/>
      </w:pPr>
      <w:r>
        <w:rPr>
          <w:b/>
          <w:color w:val="003CA0"/>
          <w:sz w:val="16"/>
        </w:rPr>
        <w:t>[ADPF 434, rel. min. Nunes Marques, j. 12.08.2025, P, DJE de 16.10.2025.]</w:t>
      </w:r>
    </w:p>
    <w:p>
      <w:pPr>
        <w:ind w:left="288"/>
      </w:pPr>
      <w:r>
        <w:rPr>
          <w:color w:val="8C8C8C"/>
          <w:sz w:val="12"/>
        </w:rPr>
        <w:t>cf-art-71-inc-I</w:t>
      </w:r>
      <w:r>
        <w:rPr>
          <w:color w:val="003CA0"/>
          <w:sz w:val="12"/>
        </w:rPr>
        <w:t xml:space="preserve"> | ADPF 366</w:t>
      </w:r>
      <w:r>
        <w:rPr>
          <w:color w:val="003CA0"/>
          <w:sz w:val="12"/>
        </w:rPr>
        <w:t xml:space="preserve"> | rel. Gilmar Mendes</w:t>
      </w:r>
    </w:p>
    <w:p>
      <w:pPr>
        <w:ind w:left="288"/>
      </w:pPr>
      <w:r>
        <w:rPr>
          <w:color w:val="1E1E1E"/>
          <w:sz w:val="18"/>
        </w:rPr>
        <w:t>A competência do Tribunal de Contas para emissão do parecer prévio a que se refere o art. 71, I, da Constituição Federal, quando extrapolado, em muito, o prazo constitucionalmente imposto, não tem o condão de obstruir a competência do Poder Legislativo estadual para julgar as contas anuais do Chefe do Poder Executivo estadual. (...) Admitir que o Tribunal de Contas do Estado, após superado, de forma irrazoável, o prazo mencionado, pode impedir o exercício de atribuição própria do Poder Legislativo estadual significa – além de menosprezar esse Poder, diminuindo, de forma inconstitucional, seu â</w:t>
      </w:r>
    </w:p>
    <w:p>
      <w:pPr>
        <w:ind w:left="288"/>
      </w:pPr>
      <w:r>
        <w:rPr>
          <w:b/>
          <w:color w:val="003CA0"/>
          <w:sz w:val="16"/>
        </w:rPr>
        <w:t>[ADPF 366, rel. min. Gilmar Mendes, j. 24.02.2025, P, DJE de 06.03.2025.]</w:t>
      </w:r>
    </w:p>
    <w:p>
      <w:pPr>
        <w:ind w:left="144"/>
      </w:pPr>
      <w:r>
        <w:rPr>
          <w:b/>
          <w:color w:val="B45A00"/>
          <w:sz w:val="16"/>
        </w:rPr>
        <w:t>CONTROLE CONCENTRADO</w:t>
      </w:r>
    </w:p>
    <w:p>
      <w:pPr>
        <w:ind w:left="288"/>
      </w:pPr>
      <w:r>
        <w:rPr>
          <w:color w:val="8C8C8C"/>
          <w:sz w:val="12"/>
        </w:rPr>
        <w:t>cf-art-71-inc-I</w:t>
      </w:r>
      <w:r>
        <w:rPr>
          <w:color w:val="003CA0"/>
          <w:sz w:val="12"/>
        </w:rPr>
        <w:t xml:space="preserve"> | ADI 1.779</w:t>
      </w:r>
      <w:r>
        <w:rPr>
          <w:color w:val="003CA0"/>
          <w:sz w:val="12"/>
        </w:rPr>
        <w:t xml:space="preserve"> | rel. Ilmar Galvão</w:t>
      </w:r>
    </w:p>
    <w:p>
      <w:pPr>
        <w:ind w:left="288"/>
      </w:pPr>
      <w:r>
        <w:rPr>
          <w:color w:val="1E1E1E"/>
          <w:sz w:val="18"/>
        </w:rPr>
        <w:t>Disposições que, na conformidade da orientação assentada na jurisprudência do STF, ao atribuírem competência exclusiva à assembleia legislativa para julgar as contas do Poder Legislativo, do Tribunal de Contas, do tribunal de justiça e das mesas diretoras das câmaras municipais, entram em choque com a norma contida no inciso I do art. 71 da CF.</w:t>
      </w:r>
    </w:p>
    <w:p>
      <w:pPr>
        <w:ind w:left="288"/>
      </w:pPr>
      <w:r>
        <w:rPr>
          <w:b/>
          <w:color w:val="003CA0"/>
          <w:sz w:val="16"/>
        </w:rPr>
        <w:t>[ADI 1.779, rel. min. Ilmar Galvão, j. 1º-8-2001, P, DJ de 14-9-2001.]</w:t>
      </w:r>
    </w:p>
    <w:p>
      <w:pPr>
        <w:ind w:left="288"/>
      </w:pPr>
      <w:r>
        <w:rPr>
          <w:color w:val="8C8C8C"/>
          <w:sz w:val="12"/>
        </w:rPr>
        <w:t>cf-art-71-inc-I</w:t>
      </w:r>
      <w:r>
        <w:rPr>
          <w:color w:val="003CA0"/>
          <w:sz w:val="12"/>
        </w:rPr>
        <w:t xml:space="preserve"> | ADI 4.124</w:t>
      </w:r>
      <w:r>
        <w:rPr>
          <w:color w:val="003CA0"/>
          <w:sz w:val="12"/>
        </w:rPr>
        <w:t xml:space="preserve"> | rel. Nunes Marques</w:t>
      </w:r>
    </w:p>
    <w:p>
      <w:pPr>
        <w:ind w:left="288"/>
      </w:pPr>
      <w:r>
        <w:rPr>
          <w:color w:val="1E1E1E"/>
          <w:sz w:val="18"/>
        </w:rPr>
        <w:t>II - julgar as contas dos administradores e demais responsáveis por dinheiros, bens e valores públicos da administração direta e indireta, incluídas as fundações e sociedades instituídas e mantidas pelo Poder Público federal, e as contas daqueles que derem causa a perda, extravio ou outra irregularidade de que resulte prejuízo ao erário público; Os Tribunais de Contas dos Municípios do Estado, quando existentes, são órgãos estaduais, sujeitos à competência genérica do Tribunal de Contas do Estado para o julgamento de suas contas, nos termos dos arts. 71, II, e 75 da CF/1988. A norma estadual q</w:t>
      </w:r>
    </w:p>
    <w:p>
      <w:pPr>
        <w:ind w:left="288"/>
      </w:pPr>
      <w:r>
        <w:rPr>
          <w:b/>
          <w:color w:val="003CA0"/>
          <w:sz w:val="16"/>
        </w:rPr>
        <w:t>[ADI 4.124, rel. min. Nunes Marques, j. 16-12-2025, P, DJE de 26-1-2026.]</w:t>
      </w:r>
    </w:p>
    <w:p>
      <w:pPr>
        <w:ind w:left="288"/>
      </w:pPr>
      <w:r>
        <w:rPr>
          <w:color w:val="8C8C8C"/>
          <w:sz w:val="12"/>
        </w:rPr>
        <w:t>cf-art-71-inc-I</w:t>
      </w:r>
      <w:r>
        <w:rPr>
          <w:color w:val="003CA0"/>
          <w:sz w:val="12"/>
        </w:rPr>
        <w:t xml:space="preserve"> | ADPF 982</w:t>
      </w:r>
      <w:r>
        <w:rPr>
          <w:color w:val="003CA0"/>
          <w:sz w:val="12"/>
        </w:rPr>
        <w:t xml:space="preserve"> | rel. Flávio Dino</w:t>
      </w:r>
    </w:p>
    <w:p>
      <w:pPr>
        <w:ind w:left="288"/>
      </w:pPr>
      <w:r>
        <w:rPr>
          <w:color w:val="1E1E1E"/>
          <w:sz w:val="18"/>
        </w:rPr>
        <w:t>“(I) Prefeitos que ordenam despesas têm o dever de prestar contas, seja por atuarem como responsáveis por dinheiros, bens e valores públicos da administração, seja na eventualidade de darem causa a perda, extravio ou outra irregularidade que resulte em prejuízo ao erário; (II) Compete aos Tribunais de Contas, nos termos do art. 71, II, da Constituição Federal de 1988, o julgamento das contas de Prefeitos que atuem na qualidade de ordenadores de despesas; (III) A competência dos Tribunais de Contas, quando atestada a irregularidade de contas de gestão prestadas por Prefeitos ordenadores de desp</w:t>
      </w:r>
    </w:p>
    <w:p>
      <w:pPr>
        <w:ind w:left="288"/>
      </w:pPr>
      <w:r>
        <w:rPr>
          <w:b/>
          <w:color w:val="003CA0"/>
          <w:sz w:val="16"/>
        </w:rPr>
        <w:t>[ADPF 982, rel. min. Flávio Dino, j. 24.02.2025, P, DJE de 17.03.2025.]</w:t>
      </w:r>
    </w:p>
    <w:p>
      <w:pPr>
        <w:ind w:left="288"/>
      </w:pPr>
      <w:r>
        <w:rPr>
          <w:color w:val="8C8C8C"/>
          <w:sz w:val="12"/>
        </w:rPr>
        <w:t>cf-art-71-inc-I</w:t>
      </w:r>
      <w:r>
        <w:rPr>
          <w:color w:val="003CA0"/>
          <w:sz w:val="12"/>
        </w:rPr>
        <w:t xml:space="preserve"> | ADI 2.238</w:t>
      </w:r>
      <w:r>
        <w:rPr>
          <w:color w:val="003CA0"/>
          <w:sz w:val="12"/>
        </w:rPr>
        <w:t xml:space="preserve"> | rel. Alexandre de Moraes</w:t>
      </w:r>
    </w:p>
    <w:p>
      <w:pPr>
        <w:ind w:left="288"/>
      </w:pPr>
      <w:r>
        <w:rPr>
          <w:color w:val="1E1E1E"/>
          <w:sz w:val="18"/>
        </w:rPr>
        <w:t>Ação direta de inconstitucionalidade. Lei Complementar 101/2000. Lei de Responsabilidade Fiscal (LRF). (...) Em relação ao artigo 56, caput, da LRF, a emissão de diferentes pareceres prévios respectivamente às contas dos Poderes Legislativo, Judiciário e Ministério Público transmite ambiguidade a respeito de qual deveria ser o teor da análise a ser efetuada pelos Tribunais de Contas, se juízo opinativo, tal como o do art. 71, I, da CF, ou se conclusivo, com valor de julgamento. Confirmação da liminar, declarando-se a inconstitucionalidade do dispositivo. O mesmo se aplica ao art. 57, caput, da</w:t>
      </w:r>
    </w:p>
    <w:p>
      <w:pPr>
        <w:ind w:left="288"/>
      </w:pPr>
      <w:r>
        <w:rPr>
          <w:b/>
          <w:color w:val="003CA0"/>
          <w:sz w:val="16"/>
        </w:rPr>
        <w:t>[ADI 2.238, rel. min. Alexandre de Moraes, j. 24-6-2020, P, DJE de 15-9-2020.]</w:t>
        <w:br/>
        <w:t>= ADI 2.324, rel. min. Alexandre de Moraes, j. 22-8-2019, P, DJE de 14-9-2020</w:t>
      </w:r>
    </w:p>
    <w:p>
      <w:pPr>
        <w:ind w:left="288"/>
      </w:pPr>
      <w:r>
        <w:rPr>
          <w:color w:val="8C8C8C"/>
          <w:sz w:val="12"/>
        </w:rPr>
        <w:t>cf-art-71-inc-I</w:t>
      </w:r>
      <w:r>
        <w:rPr>
          <w:color w:val="003CA0"/>
          <w:sz w:val="12"/>
        </w:rPr>
        <w:t xml:space="preserve"> | ADI 1.934</w:t>
      </w:r>
      <w:r>
        <w:rPr>
          <w:color w:val="003CA0"/>
          <w:sz w:val="12"/>
        </w:rPr>
        <w:t xml:space="preserve"> | rel. Roberto Barroso</w:t>
      </w:r>
    </w:p>
    <w:p>
      <w:pPr>
        <w:ind w:left="288"/>
      </w:pPr>
      <w:r>
        <w:rPr>
          <w:color w:val="1E1E1E"/>
          <w:sz w:val="18"/>
        </w:rPr>
        <w:t>É inconstitucional o art. 1º da Lei 9.604/1998, que fixou a competência dos Tribunais de Contas Estaduais e de Câmaras Municipais para análise da prestação de contas da aplicação de recursos financeiros oriundos do Fundo Nacional de Assistência Social, repassados aos Estados e Municípios. A competência para o controle da prestação de contas da aplicação de recursos federais é do Tribunal de Contas da União (...).</w:t>
      </w:r>
    </w:p>
    <w:p>
      <w:pPr>
        <w:ind w:left="288"/>
      </w:pPr>
      <w:r>
        <w:rPr>
          <w:b/>
          <w:color w:val="003CA0"/>
          <w:sz w:val="16"/>
        </w:rPr>
        <w:t>[ADI 1.934, rel. min. Roberto Barroso, j. 7-2-2019, P, DJE de 26-2-2019.]</w:t>
      </w:r>
    </w:p>
    <w:p>
      <w:pPr>
        <w:ind w:left="288"/>
      </w:pPr>
      <w:r>
        <w:rPr>
          <w:color w:val="8C8C8C"/>
          <w:sz w:val="12"/>
        </w:rPr>
        <w:t>cf-art-71-inc-I</w:t>
      </w:r>
      <w:r>
        <w:rPr>
          <w:color w:val="003CA0"/>
          <w:sz w:val="12"/>
        </w:rPr>
        <w:t xml:space="preserve"> | ADI 3.715</w:t>
      </w:r>
      <w:r>
        <w:rPr>
          <w:color w:val="003CA0"/>
          <w:sz w:val="12"/>
        </w:rPr>
        <w:t xml:space="preserve"> | rel. Gilmar Mendes</w:t>
      </w:r>
    </w:p>
    <w:p>
      <w:pPr>
        <w:ind w:left="288"/>
      </w:pPr>
      <w:r>
        <w:rPr>
          <w:color w:val="1E1E1E"/>
          <w:sz w:val="18"/>
        </w:rPr>
        <w:t>Constituição do Estado do Tocantins. EC 16/2006, que criou a possibilidade de recurso, dotado de efeito suspensivo, para o Plenário da Assembleia Legislativa, das decisões tomadas pelo Tribunal de Contas do Estado com base em sua competência de julgamento de contas (...). (...) No âmbito das competências institucionais do Tribunal de Contas, o STF tem reconhecido a clara distinção entre: a competência para apreciar e emitir parecer prévio sobre as contas prestadas anualmente pelo chefe do Poder Executivo, especificada no art. 71, I, CF/1988; e a competência para julgar as contas dos demais adm</w:t>
      </w:r>
    </w:p>
    <w:p>
      <w:pPr>
        <w:ind w:left="288"/>
      </w:pPr>
      <w:r>
        <w:rPr>
          <w:b/>
          <w:color w:val="003CA0"/>
          <w:sz w:val="16"/>
        </w:rPr>
        <w:t>[ADI 3.715, rel. min. Gilmar Mendes, j. 21-8-2014, P, DJE de 30-10-2014.]</w:t>
      </w:r>
    </w:p>
    <w:p>
      <w:pPr>
        <w:ind w:left="288"/>
      </w:pPr>
      <w:r>
        <w:rPr>
          <w:color w:val="8C8C8C"/>
          <w:sz w:val="12"/>
        </w:rPr>
        <w:t>cf-art-71-inc-I</w:t>
      </w:r>
      <w:r>
        <w:rPr>
          <w:color w:val="003CA0"/>
          <w:sz w:val="12"/>
        </w:rPr>
        <w:t xml:space="preserve"> | ADI 849</w:t>
      </w:r>
      <w:r>
        <w:rPr>
          <w:color w:val="003CA0"/>
          <w:sz w:val="12"/>
        </w:rPr>
        <w:t xml:space="preserve"> | rel. Sepúlveda Pertence</w:t>
      </w:r>
    </w:p>
    <w:p>
      <w:pPr>
        <w:ind w:left="288"/>
      </w:pPr>
      <w:r>
        <w:rPr>
          <w:color w:val="1E1E1E"/>
          <w:sz w:val="18"/>
        </w:rPr>
        <w:t>Tribunal de contas dos Estados: competência: observância compulsória do modelo federal: inconstitucionalidade de subtração ao tribunal de contas da competência do julgamento das contas da mesa da assembleia legislativa – compreendidas na previsão do art. 71, II, da CF, para submetê-las ao regime do art. 71, c/c o art. 49, IX, que é exclusivo da prestação de contas do chefe do Poder Executivo.</w:t>
      </w:r>
    </w:p>
    <w:p>
      <w:pPr>
        <w:ind w:left="288"/>
      </w:pPr>
      <w:r>
        <w:rPr>
          <w:b/>
          <w:color w:val="003CA0"/>
          <w:sz w:val="16"/>
        </w:rPr>
        <w:t>[ADI 849, rel. min. Sepúlveda Pertence, j. 11-2-1999, P, DJ de 23-4-1999.]</w:t>
      </w:r>
    </w:p>
    <w:p>
      <w:pPr>
        <w:ind w:left="144"/>
      </w:pPr>
      <w:r>
        <w:rPr>
          <w:b/>
          <w:color w:val="B45A00"/>
          <w:sz w:val="16"/>
        </w:rPr>
        <w:t>JULGADOS CORRELATOS</w:t>
      </w:r>
    </w:p>
    <w:p>
      <w:pPr>
        <w:ind w:left="288"/>
      </w:pPr>
      <w:r>
        <w:rPr>
          <w:color w:val="8C8C8C"/>
          <w:sz w:val="12"/>
        </w:rPr>
        <w:t>cf-art-71-inc-I</w:t>
      </w:r>
      <w:r>
        <w:rPr>
          <w:color w:val="003CA0"/>
          <w:sz w:val="12"/>
        </w:rPr>
        <w:t xml:space="preserve"> | MS 32.703</w:t>
      </w:r>
      <w:r>
        <w:rPr>
          <w:color w:val="003CA0"/>
          <w:sz w:val="12"/>
        </w:rPr>
        <w:t xml:space="preserve"> | rel. Dias Toffoli</w:t>
      </w:r>
    </w:p>
    <w:p>
      <w:pPr>
        <w:ind w:left="288"/>
      </w:pPr>
      <w:r>
        <w:rPr>
          <w:color w:val="1E1E1E"/>
          <w:sz w:val="18"/>
        </w:rPr>
        <w:t>Não compete ao TCU adotar procedimento de fiscalização que alcance a Fundação Banco do Brasil [FBB] quanto aos recursos próprios, de natureza eminentemente privada, repassados por aquela entidade a terceiros, visto que a FBB não integra o rol de entidades obrigadas a prestar contas àquela Corte de Contas, nos termos do art. 71, II, da CF, não lhe cabendo, por via reflexa, subserviência aos preceitos que regem a Administração Pública.</w:t>
      </w:r>
    </w:p>
    <w:p>
      <w:pPr>
        <w:ind w:left="288"/>
      </w:pPr>
      <w:r>
        <w:rPr>
          <w:b/>
          <w:color w:val="003CA0"/>
          <w:sz w:val="16"/>
        </w:rPr>
        <w:t>[MS 32.703 AgR, rel. min. Dias Toffoli, j. 10-4-2018, 2ª T, DJE de 11-5-2018.]</w:t>
      </w:r>
    </w:p>
    <w:p>
      <w:pPr>
        <w:ind w:left="288"/>
      </w:pPr>
      <w:r>
        <w:rPr>
          <w:color w:val="8C8C8C"/>
          <w:sz w:val="12"/>
        </w:rPr>
        <w:t>cf-art-71-inc-I</w:t>
      </w:r>
      <w:r>
        <w:rPr>
          <w:color w:val="003CA0"/>
          <w:sz w:val="12"/>
        </w:rPr>
        <w:t xml:space="preserve"> | MS 26.297</w:t>
      </w:r>
      <w:r>
        <w:rPr>
          <w:color w:val="003CA0"/>
          <w:sz w:val="12"/>
        </w:rPr>
        <w:t xml:space="preserve"> | rel. Edson Fachin</w:t>
      </w:r>
    </w:p>
    <w:p>
      <w:pPr>
        <w:ind w:left="288"/>
      </w:pPr>
      <w:r>
        <w:rPr>
          <w:color w:val="1E1E1E"/>
          <w:sz w:val="18"/>
        </w:rPr>
        <w:t>Mandado de segurança contra ato do TCU que determinou a cessação de pagamento do adicional previsto no DL 1.971/1982 aos empregados da Eletronorte admitidos após a edição do Decreto 89.253/1983. (...) o processo de tomada de contas instaurado perante o TCU é regido pela Lei 8.443/1992, que consubstancia norma especial em relação à Lei 9.784/1999. Por essa razão, não ocorre, no caso, a decadência.</w:t>
      </w:r>
    </w:p>
    <w:p>
      <w:pPr>
        <w:ind w:left="288"/>
      </w:pPr>
      <w:r>
        <w:rPr>
          <w:b/>
          <w:color w:val="003CA0"/>
          <w:sz w:val="16"/>
        </w:rPr>
        <w:t>[MS 26.297 AgR, rel. min. Edson Fachin, j. 17-3-2017, 2ª T, DJE de 3-5-2017.]</w:t>
      </w:r>
    </w:p>
    <w:p>
      <w:pPr>
        <w:ind w:left="288"/>
      </w:pPr>
      <w:r>
        <w:rPr>
          <w:color w:val="8C8C8C"/>
          <w:sz w:val="12"/>
        </w:rPr>
        <w:t>cf-art-71-inc-I</w:t>
      </w:r>
      <w:r>
        <w:rPr>
          <w:color w:val="003CA0"/>
          <w:sz w:val="12"/>
        </w:rPr>
        <w:t xml:space="preserve"> | MS 24.379</w:t>
      </w:r>
      <w:r>
        <w:rPr>
          <w:color w:val="003CA0"/>
          <w:sz w:val="12"/>
        </w:rPr>
        <w:t xml:space="preserve"> | rel. Dias Toffoli</w:t>
      </w:r>
    </w:p>
    <w:p>
      <w:pPr>
        <w:ind w:left="288"/>
      </w:pPr>
      <w:r>
        <w:rPr>
          <w:color w:val="1E1E1E"/>
          <w:sz w:val="18"/>
        </w:rPr>
        <w:t>Em decorrência da amplitude das competências fiscalizadoras da Corte de Contas, tem-se que não é a natureza do ente envolvido na relação que permite, ou não, a incidência da fiscalização da Corte de Contas, mas sim a origem dos recursos envolvidos, conforme dispõe o art. 71, II, da CF.</w:t>
      </w:r>
    </w:p>
    <w:p>
      <w:pPr>
        <w:ind w:left="288"/>
      </w:pPr>
      <w:r>
        <w:rPr>
          <w:b/>
          <w:color w:val="003CA0"/>
          <w:sz w:val="16"/>
        </w:rPr>
        <w:t>[MS 24.379, rel. min. Dias Toffoli, j. 7-4-2015, 1ª T, DJE de 8-6-2015.]</w:t>
      </w:r>
    </w:p>
    <w:p>
      <w:pPr>
        <w:ind w:left="288"/>
      </w:pPr>
      <w:r>
        <w:rPr>
          <w:color w:val="8C8C8C"/>
          <w:sz w:val="12"/>
        </w:rPr>
        <w:t>cf-art-71-inc-I</w:t>
      </w:r>
      <w:r>
        <w:rPr>
          <w:color w:val="003CA0"/>
          <w:sz w:val="12"/>
        </w:rPr>
        <w:t xml:space="preserve"> | MS 26.969</w:t>
      </w:r>
      <w:r>
        <w:rPr>
          <w:color w:val="003CA0"/>
          <w:sz w:val="12"/>
        </w:rPr>
        <w:t xml:space="preserve"> | rel. Luiz Fux</w:t>
      </w:r>
    </w:p>
    <w:p>
      <w:pPr>
        <w:ind w:left="288"/>
      </w:pPr>
      <w:r>
        <w:rPr>
          <w:color w:val="1E1E1E"/>
          <w:sz w:val="18"/>
        </w:rPr>
        <w:t>As instâncias judicial e administrativa não se confundem, razão pela qual a fiscalização do TCU não inibe a propositura da ação civil pública (...).</w:t>
      </w:r>
    </w:p>
    <w:p>
      <w:pPr>
        <w:ind w:left="288"/>
      </w:pPr>
      <w:r>
        <w:rPr>
          <w:b/>
          <w:color w:val="003CA0"/>
          <w:sz w:val="16"/>
        </w:rPr>
        <w:t>[MS 26.969, rel. min. Luiz Fux, j. 18-11-2014, 1ª T, DJE de 12-12-2014.]</w:t>
      </w:r>
    </w:p>
    <w:p>
      <w:pPr>
        <w:ind w:left="288"/>
      </w:pPr>
      <w:r>
        <w:rPr>
          <w:color w:val="8C8C8C"/>
          <w:sz w:val="12"/>
        </w:rPr>
        <w:t>cf-art-71-inc-I</w:t>
      </w:r>
      <w:r>
        <w:rPr>
          <w:color w:val="003CA0"/>
          <w:sz w:val="12"/>
        </w:rPr>
        <w:t xml:space="preserve"> | MS 26.117</w:t>
      </w:r>
      <w:r>
        <w:rPr>
          <w:color w:val="003CA0"/>
          <w:sz w:val="12"/>
        </w:rPr>
        <w:t xml:space="preserve"> | rel. Eros Grau</w:t>
      </w:r>
    </w:p>
    <w:p>
      <w:pPr>
        <w:ind w:left="288"/>
      </w:pPr>
      <w:r>
        <w:rPr>
          <w:color w:val="1E1E1E"/>
          <w:sz w:val="18"/>
        </w:rPr>
        <w:t>A circunstância de a sociedade de economia mista não ter sido criada por lei não afasta a competência do Tribunal de Contas.</w:t>
      </w:r>
    </w:p>
    <w:p>
      <w:pPr>
        <w:ind w:left="288"/>
      </w:pPr>
      <w:r>
        <w:rPr>
          <w:b/>
          <w:color w:val="003CA0"/>
          <w:sz w:val="16"/>
        </w:rPr>
        <w:t>[MS 26.117, rel. min. Eros Grau, j. 20-5-2009, P, DJE de 6-11-2009.]</w:t>
      </w:r>
    </w:p>
    <w:p>
      <w:pPr>
        <w:ind w:left="288"/>
      </w:pPr>
      <w:r>
        <w:rPr>
          <w:color w:val="8C8C8C"/>
          <w:sz w:val="12"/>
        </w:rPr>
        <w:t>cf-art-71-inc-I</w:t>
      </w:r>
      <w:r>
        <w:rPr>
          <w:color w:val="003CA0"/>
          <w:sz w:val="12"/>
        </w:rPr>
        <w:t xml:space="preserve"> | MS 24.423</w:t>
      </w:r>
      <w:r>
        <w:rPr>
          <w:color w:val="003CA0"/>
          <w:sz w:val="12"/>
        </w:rPr>
        <w:t xml:space="preserve"> | rel. Gilmar Mendes</w:t>
      </w:r>
    </w:p>
    <w:p>
      <w:pPr>
        <w:ind w:left="288"/>
      </w:pPr>
      <w:r>
        <w:rPr>
          <w:color w:val="1E1E1E"/>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w:t>
      </w:r>
    </w:p>
    <w:p>
      <w:pPr>
        <w:ind w:left="288"/>
      </w:pPr>
      <w:r>
        <w:rPr>
          <w:b/>
          <w:color w:val="003CA0"/>
          <w:sz w:val="16"/>
        </w:rPr>
        <w:t>[MS 24.423, voto do rel. min. Gilmar Mendes, j. 10-9-2008, P, DJE de 20-2-2009.]</w:t>
      </w:r>
    </w:p>
    <w:p>
      <w:pPr>
        <w:ind w:left="288"/>
      </w:pPr>
      <w:r>
        <w:rPr>
          <w:color w:val="8C8C8C"/>
          <w:sz w:val="12"/>
        </w:rPr>
        <w:t>cf-art-71-inc-I</w:t>
      </w:r>
      <w:r>
        <w:rPr>
          <w:color w:val="003CA0"/>
          <w:sz w:val="12"/>
        </w:rPr>
        <w:t xml:space="preserve"> | MS 24.961</w:t>
      </w:r>
      <w:r>
        <w:rPr>
          <w:color w:val="003CA0"/>
          <w:sz w:val="12"/>
        </w:rPr>
        <w:t xml:space="preserve"> | rel. Carlos Velloso</w:t>
      </w:r>
    </w:p>
    <w:p>
      <w:pPr>
        <w:ind w:left="288"/>
      </w:pPr>
      <w:r>
        <w:rPr>
          <w:color w:val="1E1E1E"/>
          <w:sz w:val="18"/>
        </w:rPr>
        <w:t>A competência do TCU para julgar contas abrange todos quantos derem causa a perda, extravio ou outra irregularidade de que resulte dano ao erário, devendo ser aplicadas aos responsáveis, em caso de ilegalidade de despesa ou irregularidade de contas, as sanções previstas em lei, lei que estabelecerá, entre outras cominações, multa proporcional ao dano causado aos cofres públicos (art. 71, II, da Constituição do Brasil/1988 e art. 5º, II e VIII, da Lei 8.443/1992). A tomada de contas especial não consubstancia procedimento administrativo disciplinar. Tem por escopo a defesa da coisa pública, bus</w:t>
      </w:r>
    </w:p>
    <w:p>
      <w:pPr>
        <w:ind w:left="288"/>
      </w:pPr>
      <w:r>
        <w:rPr>
          <w:b/>
          <w:color w:val="003CA0"/>
          <w:sz w:val="16"/>
        </w:rPr>
        <w:t>[MS 25.880, rel. min. Eros Grau, j. 7-2-2007, P, DJ de 16-3-2007.]</w:t>
      </w:r>
    </w:p>
    <w:p>
      <w:pPr>
        <w:ind w:left="288"/>
      </w:pPr>
      <w:r>
        <w:rPr>
          <w:color w:val="8C8C8C"/>
          <w:sz w:val="12"/>
        </w:rPr>
        <w:t>cf-art-71-inc-I</w:t>
      </w:r>
      <w:r>
        <w:rPr>
          <w:color w:val="003CA0"/>
          <w:sz w:val="12"/>
        </w:rPr>
        <w:t xml:space="preserve"> | MS 25.092</w:t>
      </w:r>
      <w:r>
        <w:rPr>
          <w:color w:val="003CA0"/>
          <w:sz w:val="12"/>
        </w:rPr>
        <w:t xml:space="preserve"> | rel. Carlos Velloso</w:t>
      </w:r>
    </w:p>
    <w:p>
      <w:pPr>
        <w:ind w:left="288"/>
      </w:pPr>
      <w:r>
        <w:rPr>
          <w:color w:val="1E1E1E"/>
          <w:sz w:val="18"/>
        </w:rPr>
        <w:t>Ao TCU compete julgar as contas dos administradores e demais responsáveis por dinheiros, bens e valores públicos da administração direta e indireta, incluídas as fundações e sociedades instituídas e mantidas pelo poder público federal, e as contas daqueles que derem causa a perda, extravio ou outra irregularidade de que resulte prejuízo ao erário (CF, art. 71, II; Lei 8.443/1992, art. 1º, I). As empresas públicas e as sociedades de economia mista, integrantes da administração indireta, estão sujeitas à fiscalização do Tribunal de Contas, não obstante os seus servidores estarem sujeitos ao regi</w:t>
      </w:r>
    </w:p>
    <w:p>
      <w:pPr>
        <w:ind w:left="288"/>
      </w:pPr>
      <w:r>
        <w:rPr>
          <w:b/>
          <w:color w:val="003CA0"/>
          <w:sz w:val="16"/>
        </w:rPr>
        <w:t>[MS 25.092, rel. min. Carlos Velloso, j. 10-11-2005, P, DJ de 17-3-2006.]</w:t>
      </w:r>
    </w:p>
    <w:p>
      <w:pPr>
        <w:ind w:left="288"/>
      </w:pPr>
      <w:r>
        <w:rPr>
          <w:color w:val="8C8C8C"/>
          <w:sz w:val="12"/>
        </w:rPr>
        <w:t>cf-art-71-inc-I</w:t>
      </w:r>
      <w:r>
        <w:rPr>
          <w:color w:val="003CA0"/>
          <w:sz w:val="12"/>
        </w:rPr>
        <w:t xml:space="preserve"> | RE 356.209</w:t>
      </w:r>
      <w:r>
        <w:rPr>
          <w:color w:val="003CA0"/>
          <w:sz w:val="12"/>
        </w:rPr>
        <w:t xml:space="preserve"> | rel. Ellen Gracie</w:t>
      </w:r>
    </w:p>
    <w:p>
      <w:pPr>
        <w:ind w:left="288"/>
      </w:pPr>
      <w:r>
        <w:rPr>
          <w:color w:val="1E1E1E"/>
          <w:sz w:val="18"/>
        </w:rPr>
        <w:t>= RE 356.209 AgR, rel. min. Ellen Gracie, j. 1º-3-2011, 2ª T, DJE de 25-3-2011 O TCU não tem competência para julgar as contas dos administradores de entidades de direito privado. A participação majoritária do Estado na composição do capital não transmuda seus bens em públicos. Os bens e valores questionados não são os da administração pública, mas os geridos considerando-se a atividade bancária por depósitos de terceiros e administrados pelo banco comercialmente. Atividade tipicamente privada, desenvolvida por entidade cujo controle acionário é da União.</w:t>
      </w:r>
    </w:p>
    <w:p>
      <w:pPr>
        <w:ind w:left="288"/>
      </w:pPr>
      <w:r>
        <w:rPr>
          <w:b/>
          <w:color w:val="003CA0"/>
          <w:sz w:val="16"/>
        </w:rPr>
        <w:t>[MS 23.875, red. do ac. min. Nelson Jobim, rel. min. Carlos Velloso, j. 7-3-2002, P, DJ de 30-4-2004.]</w:t>
      </w:r>
    </w:p>
    <w:p>
      <w:pPr>
        <w:ind w:left="288"/>
      </w:pPr>
      <w:r>
        <w:rPr>
          <w:color w:val="8C8C8C"/>
          <w:sz w:val="12"/>
        </w:rPr>
        <w:t>cf-art-71-inc-I</w:t>
      </w:r>
      <w:r>
        <w:rPr>
          <w:color w:val="003CA0"/>
          <w:sz w:val="12"/>
        </w:rPr>
        <w:t xml:space="preserve"> | MS 21.797</w:t>
      </w:r>
      <w:r>
        <w:rPr>
          <w:color w:val="003CA0"/>
          <w:sz w:val="12"/>
        </w:rPr>
        <w:t xml:space="preserve"> | rel. Carlos Velloso</w:t>
      </w:r>
    </w:p>
    <w:p>
      <w:pPr>
        <w:ind w:left="288"/>
      </w:pPr>
      <w:r>
        <w:rPr>
          <w:color w:val="1E1E1E"/>
          <w:sz w:val="18"/>
        </w:rPr>
        <w:t>Natureza autárquica do Conselho Federal e dos Conselhos Regionais de Odontologia. Obrigatoriedade de prestar contas ao TCU.</w:t>
      </w:r>
    </w:p>
    <w:p>
      <w:pPr>
        <w:ind w:left="288"/>
      </w:pPr>
      <w:r>
        <w:rPr>
          <w:b/>
          <w:color w:val="003CA0"/>
          <w:sz w:val="16"/>
        </w:rPr>
        <w:t>[MS 21.797, rel. min. Carlos Velloso, j. 9-3-2000, P, DJ de 18-5-2001.]</w:t>
      </w:r>
    </w:p>
    <w:p>
      <w:pPr>
        <w:ind w:left="288"/>
      </w:pPr>
      <w:r>
        <w:rPr>
          <w:color w:val="8C8C8C"/>
          <w:sz w:val="12"/>
        </w:rPr>
        <w:t>cf-art-71-inc-I</w:t>
      </w:r>
      <w:r>
        <w:rPr>
          <w:color w:val="003CA0"/>
          <w:sz w:val="12"/>
        </w:rPr>
        <w:t xml:space="preserve"> | MS 21.644</w:t>
      </w:r>
      <w:r>
        <w:rPr>
          <w:color w:val="003CA0"/>
          <w:sz w:val="12"/>
        </w:rPr>
        <w:t xml:space="preserve"> | rel. Néri da Silveira</w:t>
      </w:r>
    </w:p>
    <w:p>
      <w:pPr>
        <w:ind w:left="288"/>
      </w:pPr>
      <w:r>
        <w:rPr>
          <w:color w:val="1E1E1E"/>
          <w:sz w:val="18"/>
        </w:rPr>
        <w:t>Embora a entidade seja de direito privado, sujeita-se à fiscalização do Estado, pois recebe recursos de origem estatal, e seus dirigentes hão de prestar contas dos valores recebidos; quem gere dinheiro público ou administra bens ou interesses da comunidade deve contas ao órgão competente para a fiscalização.</w:t>
      </w:r>
    </w:p>
    <w:p>
      <w:pPr>
        <w:ind w:left="288"/>
      </w:pPr>
      <w:r>
        <w:rPr>
          <w:b/>
          <w:color w:val="003CA0"/>
          <w:sz w:val="16"/>
        </w:rPr>
        <w:t>[MS 21.644, rel. min. Néri da Silveira, j. 4-11-1993, P, DJ de 8-11-1996.]</w:t>
      </w:r>
    </w:p>
    <w:p>
      <w:pPr>
        <w:ind w:left="288"/>
      </w:pPr>
      <w:r>
        <w:rPr>
          <w:color w:val="8C8C8C"/>
          <w:sz w:val="12"/>
        </w:rPr>
        <w:t>cf-art-71-inc-I</w:t>
      </w:r>
      <w:r>
        <w:rPr>
          <w:color w:val="003CA0"/>
          <w:sz w:val="12"/>
        </w:rPr>
        <w:t xml:space="preserve"> | MS 26.969</w:t>
      </w:r>
      <w:r>
        <w:rPr>
          <w:color w:val="003CA0"/>
          <w:sz w:val="12"/>
        </w:rPr>
        <w:t xml:space="preserve"> | rel. Luiz Fux</w:t>
      </w:r>
    </w:p>
    <w:p>
      <w:pPr>
        <w:ind w:left="288"/>
      </w:pPr>
      <w:r>
        <w:rPr>
          <w:color w:val="1E1E1E"/>
          <w:sz w:val="18"/>
        </w:rPr>
        <w:t>= MS 26.969, rel. min. Luiz Fux, j. 18-11-2014, 1ª T, DJE de 12-12-2014 III - apreciar, para fins de registro, a legalidade dos atos de admissão de pessoal, a qualquer título, na administração direta e indireta, incluídas as fundações instituídas e mantidas pelo Poder Público, excetuadas as nomeações para cargo de provimento em comissão, bem como a das concessões de aposentadorias, reformas e pensões, ressalvadas as melhorias posteriores que não alterem o fundamento legal do ato concessório;</w:t>
      </w:r>
    </w:p>
    <w:p>
      <w:pPr>
        <w:ind w:left="144"/>
      </w:pPr>
      <w:r>
        <w:rPr>
          <w:b/>
          <w:color w:val="B45A00"/>
          <w:sz w:val="16"/>
        </w:rPr>
        <w:t>SUMULA VINCULANTE</w:t>
      </w:r>
    </w:p>
    <w:p>
      <w:pPr>
        <w:ind w:left="288"/>
      </w:pPr>
      <w:r>
        <w:rPr>
          <w:color w:val="8C8C8C"/>
          <w:sz w:val="12"/>
        </w:rPr>
        <w:t>cf-art-71-inc-I</w:t>
      </w:r>
    </w:p>
    <w:p>
      <w:pPr>
        <w:ind w:left="288"/>
      </w:pPr>
      <w:r>
        <w:rPr>
          <w:color w:val="1E1E1E"/>
          <w:sz w:val="18"/>
        </w:rPr>
        <w:t>Nos processos perante o TCU asseguram-se o contraditório e a ampla defesa quando da decisão puder resultar anulação ou revogação de ato administrativo que beneficie o interessado, excetuada a apreciação da legalidade do ato de concessão inicial de aposentadoria, reforma e pensão.</w:t>
      </w:r>
    </w:p>
    <w:p>
      <w:pPr>
        <w:ind w:left="288"/>
      </w:pPr>
      <w:r>
        <w:rPr>
          <w:b/>
          <w:color w:val="003CA0"/>
          <w:sz w:val="16"/>
        </w:rPr>
        <w:t>[Súmula Vinculante 3.]</w:t>
      </w:r>
    </w:p>
    <w:p>
      <w:pPr>
        <w:ind w:left="144"/>
      </w:pPr>
      <w:r>
        <w:rPr>
          <w:b/>
          <w:color w:val="B45A00"/>
          <w:sz w:val="16"/>
        </w:rPr>
        <w:t>SUMULA</w:t>
      </w:r>
    </w:p>
    <w:p>
      <w:pPr>
        <w:ind w:left="288"/>
      </w:pPr>
      <w:r>
        <w:rPr>
          <w:color w:val="8C8C8C"/>
          <w:sz w:val="12"/>
        </w:rPr>
        <w:t>cf-art-71-inc-I</w:t>
      </w:r>
    </w:p>
    <w:p>
      <w:pPr>
        <w:ind w:left="288"/>
      </w:pPr>
      <w:r>
        <w:rPr>
          <w:color w:val="1E1E1E"/>
          <w:sz w:val="18"/>
        </w:rPr>
        <w:t>A revogação ou anulação, pelo Poder Executivo, de aposentadoria ou qualquer outro ato aprovado pelo Tribunal de Contas não produz efeitos antes de aprovada por aquele Tribunal, ressalvada a competência revisora do Judiciário.</w:t>
      </w:r>
    </w:p>
    <w:p>
      <w:pPr>
        <w:ind w:left="288"/>
      </w:pPr>
      <w:r>
        <w:rPr>
          <w:b/>
          <w:color w:val="003CA0"/>
          <w:sz w:val="16"/>
        </w:rPr>
        <w:t>[Súmula 6.]</w:t>
      </w:r>
    </w:p>
    <w:p>
      <w:pPr>
        <w:ind w:left="144"/>
      </w:pPr>
      <w:r>
        <w:rPr>
          <w:b/>
          <w:color w:val="B45A00"/>
          <w:sz w:val="16"/>
        </w:rPr>
        <w:t>REPERCUSSAO GERAL</w:t>
      </w:r>
    </w:p>
    <w:p>
      <w:pPr>
        <w:ind w:left="288"/>
      </w:pPr>
      <w:r>
        <w:rPr>
          <w:color w:val="8C8C8C"/>
          <w:sz w:val="12"/>
        </w:rPr>
        <w:t>cf-art-71-inc-I</w:t>
      </w:r>
      <w:r>
        <w:rPr>
          <w:color w:val="003CA0"/>
          <w:sz w:val="12"/>
        </w:rPr>
        <w:t xml:space="preserve"> | RE 576.920</w:t>
      </w:r>
      <w:r>
        <w:rPr>
          <w:color w:val="003CA0"/>
          <w:sz w:val="12"/>
        </w:rPr>
        <w:t xml:space="preserve"> | rel. Edson Fachin</w:t>
      </w:r>
    </w:p>
    <w:p>
      <w:pPr>
        <w:ind w:left="288"/>
      </w:pPr>
      <w:r>
        <w:rPr>
          <w:color w:val="1E1E1E"/>
          <w:sz w:val="18"/>
        </w:rPr>
        <w:t>A competência técnica do Tribunal de Contas do Estado, ao negar registro de admissão de pessoal, não se subordina à revisão pelo Poder Legislativo respectivo.</w:t>
      </w:r>
    </w:p>
    <w:p>
      <w:pPr>
        <w:ind w:left="288"/>
      </w:pPr>
      <w:r>
        <w:rPr>
          <w:b/>
          <w:color w:val="003CA0"/>
          <w:sz w:val="16"/>
        </w:rPr>
        <w:t>[RE 576.920, rel. min. Edson Fachin, j. 20-4-2020, P, DJE de 9-11-2020, Tema 47, com mérito julgado.]</w:t>
      </w:r>
    </w:p>
    <w:p>
      <w:pPr>
        <w:ind w:left="288"/>
      </w:pPr>
      <w:r>
        <w:rPr>
          <w:color w:val="8C8C8C"/>
          <w:sz w:val="12"/>
        </w:rPr>
        <w:t>cf-art-71-inc-I</w:t>
      </w:r>
      <w:r>
        <w:rPr>
          <w:color w:val="003CA0"/>
          <w:sz w:val="12"/>
        </w:rPr>
        <w:t xml:space="preserve"> | RE 636.553</w:t>
      </w:r>
      <w:r>
        <w:rPr>
          <w:color w:val="003CA0"/>
          <w:sz w:val="12"/>
        </w:rPr>
        <w:t xml:space="preserve"> | rel. Gilmar Mendes</w:t>
      </w:r>
    </w:p>
    <w:p>
      <w:pPr>
        <w:ind w:left="288"/>
      </w:pPr>
      <w:r>
        <w:rPr>
          <w:color w:val="1E1E1E"/>
          <w:sz w:val="18"/>
        </w:rPr>
        <w:t>Em atenção aos princípios da segurança jurídica e da confiança legítima, os Tribunais de Contas estão sujeitos ao prazo de 5 anos para o julgamento da legalidade do ato de concessão inicial de aposentadoria, reforma ou pensão, a contar da chegada do processo à respectiva Corte de Contas.</w:t>
      </w:r>
    </w:p>
    <w:p>
      <w:pPr>
        <w:ind w:left="288"/>
      </w:pPr>
      <w:r>
        <w:rPr>
          <w:b/>
          <w:color w:val="003CA0"/>
          <w:sz w:val="16"/>
        </w:rPr>
        <w:t>[RE 636.553, rel. min. Gilmar Mendes, j. 19-2-2020, P, DJE de 26-5-2020, Tema 445, com mérito julgado.]</w:t>
      </w:r>
    </w:p>
    <w:p>
      <w:pPr>
        <w:ind w:left="144"/>
      </w:pPr>
      <w:r>
        <w:rPr>
          <w:b/>
          <w:color w:val="B45A00"/>
          <w:sz w:val="16"/>
        </w:rPr>
        <w:t>JULGADOS CORRELATOS</w:t>
      </w:r>
    </w:p>
    <w:p>
      <w:pPr>
        <w:ind w:left="288"/>
      </w:pPr>
      <w:r>
        <w:rPr>
          <w:color w:val="8C8C8C"/>
          <w:sz w:val="12"/>
        </w:rPr>
        <w:t>cf-art-71-inc-I</w:t>
      </w:r>
      <w:r>
        <w:rPr>
          <w:color w:val="003CA0"/>
          <w:sz w:val="12"/>
        </w:rPr>
        <w:t xml:space="preserve"> | MS 39.736</w:t>
      </w:r>
      <w:r>
        <w:rPr>
          <w:color w:val="003CA0"/>
          <w:sz w:val="12"/>
        </w:rPr>
        <w:t xml:space="preserve"> | rel. Flávio Dino</w:t>
      </w:r>
    </w:p>
    <w:p>
      <w:pPr>
        <w:ind w:left="288"/>
      </w:pPr>
      <w:r>
        <w:rPr>
          <w:color w:val="1E1E1E"/>
          <w:sz w:val="18"/>
        </w:rPr>
        <w:t>É ilegal o ato administrativo que exorbita o exame da regularidade da pensão por morte, conforme requisitos objetivos desse benefício, e desconstitui o próprio ato de concessão da aposentadoria de servidor já falecido, no que tange ao valor dos proventos, depois de decorridos mais de trinta anos (desde 1984).</w:t>
        <w:br/>
        <w:t>[MS 39.736 MC-REF, rel. min. Flávio Dino, j. 01.07.2024, 1ª T, DJE de 12.07.2024.] (...) não há direito adquirido a regime jurídico referente à composição dos vencimentos de servidor público, podendo, destarte, a Corte de Contas da União concluir pela ilegalidade do ato de concessão de ap</w:t>
      </w:r>
    </w:p>
    <w:p>
      <w:pPr>
        <w:ind w:left="288"/>
      </w:pPr>
      <w:r>
        <w:rPr>
          <w:b/>
          <w:color w:val="003CA0"/>
          <w:sz w:val="16"/>
        </w:rPr>
        <w:t>[MS 31.383, rel. min. Marco Aurélio, j. 12-5-2015, 1ª T, DJE de 25-6-2015.]</w:t>
      </w:r>
    </w:p>
    <w:p>
      <w:pPr>
        <w:ind w:left="288"/>
      </w:pPr>
      <w:r>
        <w:rPr>
          <w:color w:val="8C8C8C"/>
          <w:sz w:val="12"/>
        </w:rPr>
        <w:t>cf-art-71-inc-I</w:t>
      </w:r>
      <w:r>
        <w:rPr>
          <w:color w:val="003CA0"/>
          <w:sz w:val="12"/>
        </w:rPr>
        <w:t xml:space="preserve"> | MS 25.916</w:t>
      </w:r>
      <w:r>
        <w:rPr>
          <w:color w:val="003CA0"/>
          <w:sz w:val="12"/>
        </w:rPr>
        <w:t xml:space="preserve"> | rel. Marco Aurélio</w:t>
      </w:r>
    </w:p>
    <w:p>
      <w:pPr>
        <w:ind w:left="288"/>
      </w:pPr>
      <w:r>
        <w:rPr>
          <w:color w:val="1E1E1E"/>
          <w:sz w:val="18"/>
        </w:rPr>
        <w:t>Os institutos da anistia e da aposentadoria são diversos, quando a primeira não envolve, explicitamente, a segunda, cabendo ao TCU, a teor do disposto no art. 71, III, da CF, examinar o atendimento dos requisitos legais considerado o processo de registro da aposentadoria.</w:t>
      </w:r>
    </w:p>
    <w:p>
      <w:pPr>
        <w:ind w:left="288"/>
      </w:pPr>
      <w:r>
        <w:rPr>
          <w:b/>
          <w:color w:val="003CA0"/>
          <w:sz w:val="16"/>
        </w:rPr>
        <w:t>[MS 25.916, rel. min. Marco Aurélio, j. 19-9-2013, P, DJE de 13-12-2013.]</w:t>
      </w:r>
    </w:p>
    <w:p>
      <w:pPr>
        <w:ind w:left="288"/>
      </w:pPr>
      <w:r>
        <w:rPr>
          <w:color w:val="8C8C8C"/>
          <w:sz w:val="12"/>
        </w:rPr>
        <w:t>cf-art-71-inc-I</w:t>
      </w:r>
      <w:r>
        <w:rPr>
          <w:color w:val="003CA0"/>
          <w:sz w:val="12"/>
        </w:rPr>
        <w:t xml:space="preserve"> | MS 30.312</w:t>
      </w:r>
      <w:r>
        <w:rPr>
          <w:color w:val="003CA0"/>
          <w:sz w:val="12"/>
        </w:rPr>
        <w:t xml:space="preserve"> | rel. Dias Toffoli</w:t>
      </w:r>
    </w:p>
    <w:p>
      <w:pPr>
        <w:ind w:left="288"/>
      </w:pPr>
      <w:r>
        <w:rPr>
          <w:color w:val="1E1E1E"/>
          <w:sz w:val="18"/>
        </w:rPr>
        <w:t>Existência de decisão judicial transitada em julgado condenando a União ao pagamento da pensão, conforme se verifica na parte dispositiva da sentença. Não se está diante de hipótese excepcional de lacuna do título judicial ou de desvio administrativo em sua implementação. Desse modo, não pode o TCU, mesmo que indiretamente, alterar as partes alcançadas pela decisão judicial já transitada em julgado. Se o responsável pelo pagamento da pensão era o INSS, essa questão deveria ter sido arguida à época da discussão judicial. A questão acerca do regime de aposentação da impetrante deveria ter sido a</w:t>
      </w:r>
    </w:p>
    <w:p>
      <w:pPr>
        <w:ind w:left="288"/>
      </w:pPr>
      <w:r>
        <w:rPr>
          <w:b/>
          <w:color w:val="003CA0"/>
          <w:sz w:val="16"/>
        </w:rPr>
        <w:t>[MS 30.312 AgR, rel. min. Dias Toffoli, j. 27-11-2012, 1ª T, DJE de 14-12-2012.]</w:t>
      </w:r>
    </w:p>
    <w:p>
      <w:pPr>
        <w:ind w:left="288"/>
      </w:pPr>
      <w:r>
        <w:rPr>
          <w:color w:val="8C8C8C"/>
          <w:sz w:val="12"/>
        </w:rPr>
        <w:t>cf-art-71-inc-I</w:t>
      </w:r>
      <w:r>
        <w:rPr>
          <w:color w:val="003CA0"/>
          <w:sz w:val="12"/>
        </w:rPr>
        <w:t xml:space="preserve"> | MS 30.799</w:t>
      </w:r>
      <w:r>
        <w:rPr>
          <w:color w:val="003CA0"/>
          <w:sz w:val="12"/>
        </w:rPr>
        <w:t xml:space="preserve"> | rel. Cármen Lúcia</w:t>
      </w:r>
    </w:p>
    <w:p>
      <w:pPr>
        <w:ind w:left="288"/>
      </w:pPr>
      <w:r>
        <w:rPr>
          <w:color w:val="1E1E1E"/>
          <w:sz w:val="18"/>
        </w:rPr>
        <w:t>TCU. Suspensão de pensão concedida com base em lei de anistia por presunção de ilegalidade, sem prévio exame do ato de concessão. Contrariedade ao princípio do devido processo legal.</w:t>
      </w:r>
    </w:p>
    <w:p>
      <w:pPr>
        <w:ind w:left="288"/>
      </w:pPr>
      <w:r>
        <w:rPr>
          <w:b/>
          <w:color w:val="003CA0"/>
          <w:sz w:val="16"/>
        </w:rPr>
        <w:t>[MS 30.799, rel. min. Cármen Lúcia, j. 2-10-2012, 2ª T, DJE de 9-11-2012.]</w:t>
      </w:r>
    </w:p>
    <w:p>
      <w:pPr>
        <w:ind w:left="288"/>
      </w:pPr>
      <w:r>
        <w:rPr>
          <w:color w:val="8C8C8C"/>
          <w:sz w:val="12"/>
        </w:rPr>
        <w:t>cf-art-71-inc-I</w:t>
      </w:r>
      <w:r>
        <w:rPr>
          <w:color w:val="003CA0"/>
          <w:sz w:val="12"/>
        </w:rPr>
        <w:t xml:space="preserve"> | MS 22.315</w:t>
      </w:r>
      <w:r>
        <w:rPr>
          <w:color w:val="003CA0"/>
          <w:sz w:val="12"/>
        </w:rPr>
        <w:t xml:space="preserve"> | rel. Gilmar Mendes</w:t>
      </w:r>
    </w:p>
    <w:p>
      <w:pPr>
        <w:ind w:left="288"/>
      </w:pPr>
      <w:r>
        <w:rPr>
          <w:color w:val="1E1E1E"/>
          <w:sz w:val="18"/>
        </w:rPr>
        <w:t>Aposentadoria. TCU. Negativa de registro de aposentadoria. Segurança jurídica como subprincípio do Estado de Direito. Situação consolidada, prevalecendo a boa-fé e a confiança. Aptidão da justificação judicial para produzir os efeitos a que se destina.</w:t>
      </w:r>
    </w:p>
    <w:p>
      <w:pPr>
        <w:ind w:left="288"/>
      </w:pPr>
      <w:r>
        <w:rPr>
          <w:b/>
          <w:color w:val="003CA0"/>
          <w:sz w:val="16"/>
        </w:rPr>
        <w:t>[MS 22.315, rel. min. Gilmar Mendes, j. 17-4-2012, 2ª T, DJE de 16-5-2012.]</w:t>
      </w:r>
    </w:p>
    <w:p>
      <w:pPr>
        <w:ind w:left="288"/>
      </w:pPr>
      <w:r>
        <w:rPr>
          <w:color w:val="8C8C8C"/>
          <w:sz w:val="12"/>
        </w:rPr>
        <w:t>cf-art-71-inc-I</w:t>
      </w:r>
      <w:r>
        <w:rPr>
          <w:color w:val="003CA0"/>
          <w:sz w:val="12"/>
        </w:rPr>
        <w:t xml:space="preserve"> | AI 805.165</w:t>
      </w:r>
      <w:r>
        <w:rPr>
          <w:color w:val="003CA0"/>
          <w:sz w:val="12"/>
        </w:rPr>
        <w:t xml:space="preserve"> | rel. Luiz Fux</w:t>
      </w:r>
    </w:p>
    <w:p>
      <w:pPr>
        <w:ind w:left="288"/>
      </w:pPr>
      <w:r>
        <w:rPr>
          <w:color w:val="1E1E1E"/>
          <w:sz w:val="18"/>
        </w:rPr>
        <w:t>Servidor público. Cancelamento unilateral de aposentadoria. (...) A anulação unilateral pela administração sem o conhecimento do Tribunal de Contas está em desacordo com a Súmula 6 do STF (...).</w:t>
      </w:r>
    </w:p>
    <w:p>
      <w:pPr>
        <w:ind w:left="288"/>
      </w:pPr>
      <w:r>
        <w:rPr>
          <w:b/>
          <w:color w:val="003CA0"/>
          <w:sz w:val="16"/>
        </w:rPr>
        <w:t>[AI 805.165 AgR, rel. min. Luiz Fux, j. 6-12-2011, 1ª T, DJE de 19-12-2011.]</w:t>
      </w:r>
    </w:p>
    <w:p>
      <w:pPr>
        <w:ind w:left="288"/>
      </w:pPr>
      <w:r>
        <w:rPr>
          <w:color w:val="8C8C8C"/>
          <w:sz w:val="12"/>
        </w:rPr>
        <w:t>cf-art-71-inc-I</w:t>
      </w:r>
      <w:r>
        <w:rPr>
          <w:color w:val="003CA0"/>
          <w:sz w:val="12"/>
        </w:rPr>
        <w:t xml:space="preserve"> | MS 24.781</w:t>
      </w:r>
    </w:p>
    <w:p>
      <w:pPr>
        <w:ind w:left="288"/>
      </w:pPr>
      <w:r>
        <w:rPr>
          <w:color w:val="1E1E1E"/>
          <w:sz w:val="18"/>
        </w:rPr>
        <w:t>Nos termos dos precedentes firmados pelo Plenário desta Corte, não se opera a decadência prevista no art. 54 da Lei 9.784/1999 no período compreendido entre o ato administrativo concessivo de aposentadoria ou pensão e o posterior julgamento de sua legalidade e registro pelo TCU – que consubstancia o exercício da competência constitucional de controle externo (art. 71, III, CF). A recente jurisprudência consolidada do STF passou a se manifestar no sentido de exigir que o TCU assegure a ampla defesa e o contraditório nos casos em que o controle externo de legalidade exercido pela Corte de Contas</w:t>
      </w:r>
    </w:p>
    <w:p>
      <w:pPr>
        <w:ind w:left="288"/>
      </w:pPr>
      <w:r>
        <w:rPr>
          <w:b/>
          <w:color w:val="003CA0"/>
          <w:sz w:val="16"/>
        </w:rPr>
        <w:t>[MS 24.781, red. do ac. min. Gilmar Mendes, j. 2-3-2011, P, DJE de 9-6-2011.]</w:t>
      </w:r>
    </w:p>
    <w:p>
      <w:pPr>
        <w:ind w:left="288"/>
      </w:pPr>
      <w:r>
        <w:rPr>
          <w:color w:val="8C8C8C"/>
          <w:sz w:val="12"/>
        </w:rPr>
        <w:t>cf-art-71-inc-I</w:t>
      </w:r>
      <w:r>
        <w:rPr>
          <w:color w:val="003CA0"/>
          <w:sz w:val="12"/>
        </w:rPr>
        <w:t xml:space="preserve"> | MS 27.699</w:t>
      </w:r>
      <w:r>
        <w:rPr>
          <w:color w:val="003CA0"/>
          <w:sz w:val="12"/>
        </w:rPr>
        <w:t xml:space="preserve"> | rel. Dias Toffoli</w:t>
      </w:r>
    </w:p>
    <w:p>
      <w:pPr>
        <w:ind w:left="288"/>
      </w:pPr>
      <w:r>
        <w:rPr>
          <w:color w:val="1E1E1E"/>
          <w:sz w:val="18"/>
        </w:rPr>
        <w:t>= MS 27.699 AgR, rel. min. Dias Toffoli, j. 21-8-2012, 1ª T, DJE de 4-9-2012 = MS 26.053 ED-segundos, rel. min. Ricardo Lewandowski, j. 14-4-2011, P, DJE de 23-5-2011 Vide MS 27.746 ED, rel. min. Dias Toffoli, j. 12-6-2012, 1ª T, DJE de 6-9-2012 Vide MS 26.560, rel. min. Cezar Peluso, j. 17-12-2007, P, DJE de 22-2-2008 O TCU considerou legal o ato de concessão inicial de pensão do montepio civil da União em favor da impetrante e de sua irmã, ordenando o seu registro. A Corte de Contas também determinou a adoção de medidas com o objetivo de efetuar a alteração dessa pensão para que a irmã da im</w:t>
      </w:r>
    </w:p>
    <w:p>
      <w:pPr>
        <w:ind w:left="288"/>
      </w:pPr>
      <w:r>
        <w:rPr>
          <w:b/>
          <w:color w:val="003CA0"/>
          <w:sz w:val="16"/>
        </w:rPr>
        <w:t>[MS 28.061 AgR, rel. min. Ellen Gracie, j. 2-3-2011, P, DJE de 11-4-2011.]</w:t>
      </w:r>
    </w:p>
    <w:p>
      <w:pPr>
        <w:ind w:left="288"/>
      </w:pPr>
      <w:r>
        <w:rPr>
          <w:color w:val="8C8C8C"/>
          <w:sz w:val="12"/>
        </w:rPr>
        <w:t>cf-art-71-inc-I</w:t>
      </w:r>
      <w:r>
        <w:rPr>
          <w:color w:val="003CA0"/>
          <w:sz w:val="12"/>
        </w:rPr>
        <w:t xml:space="preserve"> | MS 25.116</w:t>
      </w:r>
      <w:r>
        <w:rPr>
          <w:color w:val="003CA0"/>
          <w:sz w:val="12"/>
        </w:rPr>
        <w:t xml:space="preserve"> | rel. Ayres Britto</w:t>
      </w:r>
    </w:p>
    <w:p>
      <w:pPr>
        <w:ind w:left="288"/>
      </w:pPr>
      <w:r>
        <w:rPr>
          <w:color w:val="1E1E1E"/>
          <w:sz w:val="18"/>
        </w:rPr>
        <w:t>A manifestação do órgão constitucional de controle externo há de se formalizar em tempo que não desborde das pautas elementares da razoabilidade. Todo o direito positivo é permeado por essa preocupação com o tempo enquanto figura jurídica, para que sua prolongada passagem em aberto não opere como fator de séria instabilidade intersubjetiva ou mesmo intergrupal. A própria CF/1988 dá conta de institutos que têm no perfazimento de um certo lapso temporal a sua própria razão de ser. Pelo que existe uma espécie de tempo constitucional médio que resume em si, objetivamente, o desejado critério da ra</w:t>
      </w:r>
    </w:p>
    <w:p>
      <w:pPr>
        <w:ind w:left="288"/>
      </w:pPr>
      <w:r>
        <w:rPr>
          <w:b/>
          <w:color w:val="003CA0"/>
          <w:sz w:val="16"/>
        </w:rPr>
        <w:t>[MS 25.116, rel. min. Ayres Britto, j. 8-9-2010, P, DJE de 10-2-2011.]</w:t>
      </w:r>
    </w:p>
    <w:p>
      <w:pPr>
        <w:ind w:left="288"/>
      </w:pPr>
      <w:r>
        <w:rPr>
          <w:color w:val="8C8C8C"/>
          <w:sz w:val="12"/>
        </w:rPr>
        <w:t>cf-art-71-inc-I</w:t>
      </w:r>
      <w:r>
        <w:rPr>
          <w:color w:val="003CA0"/>
          <w:sz w:val="12"/>
        </w:rPr>
        <w:t xml:space="preserve"> | MS 26.053</w:t>
      </w:r>
      <w:r>
        <w:rPr>
          <w:color w:val="003CA0"/>
          <w:sz w:val="12"/>
        </w:rPr>
        <w:t xml:space="preserve"> | rel. Ricardo Lewandowski</w:t>
      </w:r>
    </w:p>
    <w:p>
      <w:pPr>
        <w:ind w:left="288"/>
      </w:pPr>
      <w:r>
        <w:rPr>
          <w:color w:val="1E1E1E"/>
          <w:sz w:val="18"/>
        </w:rPr>
        <w:t>= MS 26.053, rel. min. Ricardo Lewandowski, j. 18-11-2010, P, DJE de 23-2-2011 Envolvendo a espécie, considerados atos administrativos em geral, o registro de aposentadoria, descabe cogitar de situação constituída a atrair o disposto no art. 54 da Lei  9.784/1999, no que fixa prazo decadencial para a administração pública rever atos praticados. (...) Versando o processo administrativo submetido ao Tribunal de Contas alteração do registro de aposentadoria para aditar-se aos proventos certa parcela, mostra-se dispensável a observância do contraditório.</w:t>
      </w:r>
    </w:p>
    <w:p>
      <w:pPr>
        <w:ind w:left="288"/>
      </w:pPr>
      <w:r>
        <w:rPr>
          <w:b/>
          <w:color w:val="003CA0"/>
          <w:sz w:val="16"/>
        </w:rPr>
        <w:t>[MS 25.525, rel. min. Marco Aurélio, j. 17-2-2010, P, DJE de 19-3-2010.]</w:t>
      </w:r>
    </w:p>
    <w:p>
      <w:pPr>
        <w:ind w:left="288"/>
      </w:pPr>
      <w:r>
        <w:rPr>
          <w:color w:val="8C8C8C"/>
          <w:sz w:val="12"/>
        </w:rPr>
        <w:t>cf-art-71-inc-I</w:t>
      </w:r>
      <w:r>
        <w:rPr>
          <w:color w:val="003CA0"/>
          <w:sz w:val="12"/>
        </w:rPr>
        <w:t xml:space="preserve"> | MS 30.916</w:t>
      </w:r>
      <w:r>
        <w:rPr>
          <w:color w:val="003CA0"/>
          <w:sz w:val="12"/>
        </w:rPr>
        <w:t xml:space="preserve"> | rel. Cármen Lúcia</w:t>
      </w:r>
    </w:p>
    <w:p>
      <w:pPr>
        <w:ind w:left="288"/>
      </w:pPr>
      <w:r>
        <w:rPr>
          <w:color w:val="1E1E1E"/>
          <w:sz w:val="18"/>
        </w:rPr>
        <w:t>= MS 30.916, rel. min. Cármen Lúcia, j. 22-5-2012, 1ª T, DJE de 8-6-2012 Mandado de segurança. TCU. (...) Determinação de retorno do impetrante à atividade para completar o tempo necessário para aposentadoria com proventos integrais, ou sua permanência, na condição de aposentado, com proventos proporcionais. Legalidade do cômputo do prazo de aluno-aprendiz em escola técnica para aposentadoria do impetrante (...). Segurança concedida.</w:t>
      </w:r>
    </w:p>
    <w:p>
      <w:pPr>
        <w:ind w:left="288"/>
      </w:pPr>
      <w:r>
        <w:rPr>
          <w:b/>
          <w:color w:val="003CA0"/>
          <w:sz w:val="16"/>
        </w:rPr>
        <w:t>[MS 27.185, rel. min. Cármen Lúcia, j. 17-2-2010, P, DJE de 12-3-2010.]</w:t>
      </w:r>
    </w:p>
    <w:p>
      <w:pPr>
        <w:ind w:left="288"/>
      </w:pPr>
      <w:r>
        <w:rPr>
          <w:color w:val="8C8C8C"/>
          <w:sz w:val="12"/>
        </w:rPr>
        <w:t>cf-art-71-inc-I</w:t>
      </w:r>
      <w:r>
        <w:rPr>
          <w:color w:val="003CA0"/>
          <w:sz w:val="12"/>
        </w:rPr>
        <w:t xml:space="preserve"> | MS 28.399</w:t>
      </w:r>
      <w:r>
        <w:rPr>
          <w:color w:val="003CA0"/>
          <w:sz w:val="12"/>
        </w:rPr>
        <w:t xml:space="preserve"> | rel. Ricardo Lewandowski</w:t>
      </w:r>
    </w:p>
    <w:p>
      <w:pPr>
        <w:ind w:left="288"/>
      </w:pPr>
      <w:r>
        <w:rPr>
          <w:color w:val="1E1E1E"/>
          <w:sz w:val="18"/>
        </w:rPr>
        <w:t>= MS 28.399 AgR, rel. min. Ricardo Lewandowski, j. 22-5-2012, 2ª T, DJE de 5-6-2012</w:t>
        <w:br/>
        <w:t>= MS 31.518, rel. min. Marco Aurélio, j. 7-2-2017, 1ª T, DJE de 6-9-2017 (...) a Súmula Vinculante 3 se dirige, exclusivamente, às decisões do TCU que anulem ou revoguem atos administrativos que beneficiem algum interessado. Os precedentes que subsidiaram a elaboração da Súmula Vinculante 3 tratam tão somente de decisões da Corte de Contas que cancelaram aposentadorias ou pensões. Em nenhum deles há referência a procedimentos de tomadas de contas. O procedimento de tomadas de contas se destina à verificação, pe</w:t>
      </w:r>
    </w:p>
    <w:p>
      <w:pPr>
        <w:ind w:left="288"/>
      </w:pPr>
      <w:r>
        <w:rPr>
          <w:b/>
          <w:color w:val="003CA0"/>
          <w:sz w:val="16"/>
        </w:rPr>
        <w:t>[Rcl 6.396 AgR, rel. min. Joaquim Barbosa, j. 21-10-2009, P, DJE de 13-11-2009.]</w:t>
      </w:r>
    </w:p>
    <w:p>
      <w:pPr>
        <w:ind w:left="288"/>
      </w:pPr>
      <w:r>
        <w:rPr>
          <w:color w:val="8C8C8C"/>
          <w:sz w:val="12"/>
        </w:rPr>
        <w:t>cf-art-71-inc-I</w:t>
      </w:r>
      <w:r>
        <w:rPr>
          <w:color w:val="003CA0"/>
          <w:sz w:val="12"/>
        </w:rPr>
        <w:t xml:space="preserve"> | RCL 10.546</w:t>
      </w:r>
      <w:r>
        <w:rPr>
          <w:color w:val="003CA0"/>
          <w:sz w:val="12"/>
        </w:rPr>
        <w:t xml:space="preserve"> | rel. Cármen Lúcia</w:t>
      </w:r>
    </w:p>
    <w:p>
      <w:pPr>
        <w:ind w:left="288"/>
      </w:pPr>
      <w:r>
        <w:rPr>
          <w:color w:val="1E1E1E"/>
          <w:sz w:val="18"/>
        </w:rPr>
        <w:t>= Rcl 10.546 AgR, rel. min. Cármen Lúcia, j. 24-2-2011, P, DJE de 13-4-2011 Não pode o TCU, sob fundamento ou pretexto algum, anular ascensão funcional de servidor operada e aprovada há mais de cinco anos, sobretudo em procedimento que lhe não assegura o contraditório e a ampla defesa.</w:t>
      </w:r>
    </w:p>
    <w:p>
      <w:pPr>
        <w:ind w:left="288"/>
      </w:pPr>
      <w:r>
        <w:rPr>
          <w:b/>
          <w:color w:val="003CA0"/>
          <w:sz w:val="16"/>
        </w:rPr>
        <w:t>[MS 26.560, rel. min. Cezar Peluso, j. 17-12-2007, P, DJE de 22-2-2008.]</w:t>
      </w:r>
    </w:p>
    <w:p>
      <w:pPr>
        <w:ind w:left="288"/>
      </w:pPr>
      <w:r>
        <w:rPr>
          <w:color w:val="8C8C8C"/>
          <w:sz w:val="12"/>
        </w:rPr>
        <w:t>cf-art-71-inc-I</w:t>
      </w:r>
      <w:r>
        <w:rPr>
          <w:color w:val="003CA0"/>
          <w:sz w:val="12"/>
        </w:rPr>
        <w:t xml:space="preserve"> | MS 26.237</w:t>
      </w:r>
      <w:r>
        <w:rPr>
          <w:color w:val="003CA0"/>
          <w:sz w:val="12"/>
        </w:rPr>
        <w:t xml:space="preserve"> | rel. Dias Toffoli</w:t>
      </w:r>
    </w:p>
    <w:p>
      <w:pPr>
        <w:ind w:left="288"/>
      </w:pPr>
      <w:r>
        <w:rPr>
          <w:color w:val="1E1E1E"/>
          <w:sz w:val="18"/>
        </w:rPr>
        <w:t>= MS 26.237 AgR, rel. min. Dias Toffoli, j. 21-8-2012, 1ª T, DJE de 6-9-2012 Vide MS 25.525, rel. min. Marco Aurélio, j. 17-2-2010, P, DJE de 19-3-2010 Uma vez aperfeiçoado o ato complexo alusivo à aposentadoria, com a homologação pelo Tribunal de Contas, a modificação dos proventos não prescinde da observação do devido processo legal, presente a medula deste último, ou seja, o contraditório.</w:t>
      </w:r>
    </w:p>
    <w:p>
      <w:pPr>
        <w:ind w:left="288"/>
      </w:pPr>
      <w:r>
        <w:rPr>
          <w:b/>
          <w:color w:val="003CA0"/>
          <w:sz w:val="16"/>
        </w:rPr>
        <w:t>[RE 285.495, rel. min. Marco Aurélio, j. 2-10-2007, 1ª T, DJ de 30-11-2007.]</w:t>
      </w:r>
    </w:p>
    <w:p>
      <w:pPr>
        <w:ind w:left="288"/>
      </w:pPr>
      <w:r>
        <w:rPr>
          <w:color w:val="8C8C8C"/>
          <w:sz w:val="12"/>
        </w:rPr>
        <w:t>cf-art-71-inc-I</w:t>
      </w:r>
      <w:r>
        <w:rPr>
          <w:color w:val="003CA0"/>
          <w:sz w:val="12"/>
        </w:rPr>
        <w:t xml:space="preserve"> | MS 25.460</w:t>
      </w:r>
      <w:r>
        <w:rPr>
          <w:color w:val="003CA0"/>
          <w:sz w:val="12"/>
        </w:rPr>
        <w:t xml:space="preserve"> | rel. Carlos Velloso</w:t>
      </w:r>
    </w:p>
    <w:p>
      <w:pPr>
        <w:ind w:left="288"/>
      </w:pPr>
      <w:r>
        <w:rPr>
          <w:color w:val="1E1E1E"/>
          <w:sz w:val="18"/>
        </w:rPr>
        <w:t>Vantagem pecuniária incorporada aos proventos de aposentadoria de servidor público, por força de decisão judicial transitada em julgado: não pode o Tribunal de Contas, em caso assim, determinar a supressão de tal vantagem, por isso que a situação jurídica coberta pela coisa julgada somente pode ser modificada pela via da ação rescisória.</w:t>
      </w:r>
    </w:p>
    <w:p>
      <w:pPr>
        <w:ind w:left="288"/>
      </w:pPr>
      <w:r>
        <w:rPr>
          <w:b/>
          <w:color w:val="003CA0"/>
          <w:sz w:val="16"/>
        </w:rPr>
        <w:t>[MS 25.460, rel. min. Carlos Velloso, j. 15-12-2005, P, DJ de 10-2-2006.]</w:t>
      </w:r>
    </w:p>
    <w:p>
      <w:pPr>
        <w:ind w:left="288"/>
      </w:pPr>
      <w:r>
        <w:rPr>
          <w:color w:val="8C8C8C"/>
          <w:sz w:val="12"/>
        </w:rPr>
        <w:t>cf-art-71-inc-I</w:t>
      </w:r>
      <w:r>
        <w:rPr>
          <w:color w:val="003CA0"/>
          <w:sz w:val="12"/>
        </w:rPr>
        <w:t xml:space="preserve"> | MS 30.312</w:t>
      </w:r>
      <w:r>
        <w:rPr>
          <w:color w:val="003CA0"/>
          <w:sz w:val="12"/>
        </w:rPr>
        <w:t xml:space="preserve"> | rel. Dias Toffoli</w:t>
      </w:r>
    </w:p>
    <w:p>
      <w:pPr>
        <w:ind w:left="288"/>
      </w:pPr>
      <w:r>
        <w:rPr>
          <w:color w:val="1E1E1E"/>
          <w:sz w:val="18"/>
        </w:rPr>
        <w:t>= MS 30.312 AgR, rel. min. Dias Toffoli, j. 27-11-2012, 1ª T, DJE de 14-12-2012 O ato de aposentadoria configura ato administrativo complexo, aperfeiçoando-se somente com o registro perante o Tribunal de Contas. Submetido à condição resolutiva, não se operam os efeitos da decadência antes da vontade final da administração.</w:t>
      </w:r>
    </w:p>
    <w:p>
      <w:pPr>
        <w:ind w:left="288"/>
      </w:pPr>
      <w:r>
        <w:rPr>
          <w:b/>
          <w:color w:val="003CA0"/>
          <w:sz w:val="16"/>
        </w:rPr>
        <w:t>[MS 24.997, MS 25.015, MS 25.036, MS 25.037, MS 25.090 e MS 25.095, rel. min. Eros Grau, j. 2-2-2005, P, DJ de 1º-4-2005.]</w:t>
      </w:r>
    </w:p>
    <w:p>
      <w:pPr>
        <w:ind w:left="288"/>
      </w:pPr>
      <w:r>
        <w:rPr>
          <w:color w:val="8C8C8C"/>
          <w:sz w:val="12"/>
        </w:rPr>
        <w:t>cf-art-71-inc-I</w:t>
      </w:r>
      <w:r>
        <w:rPr>
          <w:color w:val="003CA0"/>
          <w:sz w:val="12"/>
        </w:rPr>
        <w:t xml:space="preserve"> | AI 844.718</w:t>
      </w:r>
      <w:r>
        <w:rPr>
          <w:color w:val="003CA0"/>
          <w:sz w:val="12"/>
        </w:rPr>
        <w:t xml:space="preserve"> | rel. Luiz Fux</w:t>
      </w:r>
    </w:p>
    <w:p>
      <w:pPr>
        <w:ind w:left="288"/>
      </w:pPr>
      <w:r>
        <w:rPr>
          <w:color w:val="1E1E1E"/>
          <w:sz w:val="18"/>
        </w:rPr>
        <w:t>= AI 844.718 AgR, rel. min. Luiz Fux, j. 22-11-2011, 1ª T, DJE de 13-12-2011 Vide MS 24.781, red. do ac. min. Gilmar Mendes, j. 2-3-2011, P, DJE de 9-6-2011 Tribunal de Contas: registro de aposentadoria: mandado de segurança posterior para compelir a autoridade administrativa a alterar o ato concessivo já registrado não impõe ao Tribunal de Contas deferir o registro da alteração: aplicação da Súmula 6/STF, não elidida pela circunstância de o ato administrativo subsequente ao registro ter derivado do deferimento de mandado de segurança para ordenar a sua prática à autoridade competente retifica</w:t>
      </w:r>
    </w:p>
    <w:p>
      <w:pPr>
        <w:ind w:left="288"/>
      </w:pPr>
      <w:r>
        <w:rPr>
          <w:b/>
          <w:color w:val="003CA0"/>
          <w:sz w:val="16"/>
        </w:rPr>
        <w:t>[MS 22.658, rel. min. Sepúlveda Pertence, j. 10-9-1997, P, DJ de 27-3-1998.]</w:t>
      </w:r>
    </w:p>
    <w:p>
      <w:pPr>
        <w:ind w:left="288"/>
      </w:pPr>
      <w:r>
        <w:rPr>
          <w:color w:val="8C8C8C"/>
          <w:sz w:val="12"/>
        </w:rPr>
        <w:t>cf-art-71-inc-I</w:t>
      </w:r>
      <w:r>
        <w:rPr>
          <w:color w:val="003CA0"/>
          <w:sz w:val="12"/>
        </w:rPr>
        <w:t xml:space="preserve"> | MS 21.466</w:t>
      </w:r>
      <w:r>
        <w:rPr>
          <w:color w:val="003CA0"/>
          <w:sz w:val="12"/>
        </w:rPr>
        <w:t xml:space="preserve"> | rel. Celso de Mello</w:t>
      </w:r>
    </w:p>
    <w:p>
      <w:pPr>
        <w:ind w:left="288"/>
      </w:pPr>
      <w:r>
        <w:rPr>
          <w:color w:val="1E1E1E"/>
          <w:sz w:val="18"/>
        </w:rPr>
        <w:t xml:space="preserve">O TCU, no desempenho dessa específica atribuição, não dispõe de competência para proceder a qualquer inovação no título jurídico de aposentação submetido a seu exame. Constatada a ocorrência de vício de legalidade no ato concessivo de aposentadoria, torna-se lícito ao TCU, especialmente ante a ampliação do espaço institucional de sua atuação fiscalizadora, recomendar ao órgão ou entidade competente que adote as medidas necessárias ao exato cumprimento da lei, evitando, desse modo, a medida radical da recusa de registro. Se o órgão de que proveio o ato juridicamente viciado, agindo nos limites </w:t>
      </w:r>
    </w:p>
    <w:p>
      <w:pPr>
        <w:ind w:left="288"/>
      </w:pPr>
      <w:r>
        <w:rPr>
          <w:b/>
          <w:color w:val="003CA0"/>
          <w:sz w:val="16"/>
        </w:rPr>
        <w:t>[MS 21.466, rel. min. Celso de Mello, j. 19-5-1993, P, DJ de 6-5-1994.]</w:t>
      </w:r>
    </w:p>
    <w:p>
      <w:pPr>
        <w:ind w:left="288"/>
      </w:pPr>
      <w:r>
        <w:rPr>
          <w:color w:val="8C8C8C"/>
          <w:sz w:val="12"/>
        </w:rPr>
        <w:t>cf-art-71-inc-I</w:t>
      </w:r>
    </w:p>
    <w:p>
      <w:pPr>
        <w:ind w:left="288"/>
      </w:pPr>
      <w:r>
        <w:rPr>
          <w:color w:val="1E1E1E"/>
          <w:sz w:val="18"/>
        </w:rPr>
        <w:t>IV - realizar, por iniciativa própria, da Câmara dos Deputados, do Senado Federal, de Comissão técnica ou de inquérito, inspeções e auditorias de natureza contábil, financeira, orçamentária, operacional e patrimonial, nas unidades administrativas dos Poderes Legislativo, Executivo e Judiciário, e demais entidades referidas no inciso II;</w:t>
      </w:r>
    </w:p>
    <w:p>
      <w:pPr>
        <w:ind w:left="288"/>
      </w:pPr>
      <w:r>
        <w:rPr>
          <w:color w:val="8C8C8C"/>
          <w:sz w:val="12"/>
        </w:rPr>
        <w:t>cf-art-71-inc-I</w:t>
      </w:r>
      <w:r>
        <w:rPr>
          <w:color w:val="003CA0"/>
          <w:sz w:val="12"/>
        </w:rPr>
        <w:t xml:space="preserve"> | MS 31.707</w:t>
      </w:r>
      <w:r>
        <w:rPr>
          <w:color w:val="003CA0"/>
          <w:sz w:val="12"/>
        </w:rPr>
        <w:t xml:space="preserve"> | rel. Roberto Barroso</w:t>
      </w:r>
    </w:p>
    <w:p>
      <w:pPr>
        <w:ind w:left="288"/>
      </w:pPr>
      <w:r>
        <w:rPr>
          <w:color w:val="1E1E1E"/>
          <w:sz w:val="18"/>
        </w:rPr>
        <w:t>A jurisprudência desta Corte é pacífica no sentido de que, na auditoria promovida pelo Tribunal de Contas sobre órgãos públicos, o contraditório se forma entre os referidos órgãos e o TCU, não se admitindo a integração do feito por eventuais terceiros.</w:t>
        <w:br/>
        <w:t>[MS 31.707 AgR, rel. min. Roberto Barroso, j. 24-11-2017, 1ª T, DJE de 7-12-2017.]</w:t>
      </w:r>
    </w:p>
    <w:p>
      <w:pPr>
        <w:ind w:left="288"/>
      </w:pPr>
      <w:r>
        <w:rPr>
          <w:color w:val="8C8C8C"/>
          <w:sz w:val="12"/>
        </w:rPr>
        <w:t>cf-art-71-inc-V</w:t>
      </w:r>
      <w:r>
        <w:rPr>
          <w:color w:val="003CA0"/>
          <w:sz w:val="12"/>
        </w:rPr>
        <w:t xml:space="preserve"> | ACO 1.905</w:t>
      </w:r>
      <w:r>
        <w:rPr>
          <w:color w:val="003CA0"/>
          <w:sz w:val="12"/>
        </w:rPr>
        <w:t xml:space="preserve"> | rel. Marco Aurélio</w:t>
      </w:r>
    </w:p>
    <w:p>
      <w:pPr>
        <w:ind w:left="288"/>
      </w:pPr>
      <w:r>
        <w:rPr>
          <w:color w:val="1E1E1E"/>
          <w:sz w:val="18"/>
        </w:rPr>
        <w:t>Itaipu Binacional. (...) Eventual fiscalização pelo Tribunal de Contas da União dar-se-á nos termos acordados em instrumento firmado entre a República Federativa do Brasil e a República do Paraguai.</w:t>
      </w:r>
    </w:p>
    <w:p>
      <w:pPr>
        <w:ind w:left="288"/>
      </w:pPr>
      <w:r>
        <w:rPr>
          <w:b/>
          <w:color w:val="003CA0"/>
          <w:sz w:val="16"/>
        </w:rPr>
        <w:t>[ACO 1.905, rel. min. Marco Aurélio, j. 8-9-2020, P, DJE de 24-9-2020.]</w:t>
      </w:r>
    </w:p>
    <w:p>
      <w:pPr>
        <w:ind w:left="144"/>
      </w:pPr>
      <w:r>
        <w:rPr>
          <w:b/>
          <w:color w:val="B45A00"/>
          <w:sz w:val="16"/>
        </w:rPr>
        <w:t>CONTROLE CONCENTRADO</w:t>
      </w:r>
    </w:p>
    <w:p>
      <w:pPr>
        <w:ind w:left="288"/>
      </w:pPr>
      <w:r>
        <w:rPr>
          <w:color w:val="8C8C8C"/>
          <w:sz w:val="12"/>
        </w:rPr>
        <w:t>cf-art-71-inc-VI</w:t>
      </w:r>
      <w:r>
        <w:rPr>
          <w:color w:val="003CA0"/>
          <w:sz w:val="12"/>
        </w:rPr>
        <w:t xml:space="preserve"> | ADI 5.791</w:t>
      </w:r>
      <w:r>
        <w:rPr>
          <w:color w:val="003CA0"/>
          <w:sz w:val="12"/>
        </w:rPr>
        <w:t xml:space="preserve"> | rel. Ricardo Lewandowski</w:t>
      </w:r>
    </w:p>
    <w:p>
      <w:pPr>
        <w:ind w:left="288"/>
      </w:pPr>
      <w:r>
        <w:rPr>
          <w:color w:val="1E1E1E"/>
          <w:sz w:val="18"/>
        </w:rPr>
        <w:t>É competência do TCU fiscalizar a aplicação de verbas originárias da União por parte dos demais entes da Federação.</w:t>
      </w:r>
    </w:p>
    <w:p>
      <w:pPr>
        <w:ind w:left="288"/>
      </w:pPr>
      <w:r>
        <w:rPr>
          <w:b/>
          <w:color w:val="003CA0"/>
          <w:sz w:val="16"/>
        </w:rPr>
        <w:t>[ADI 5.791, rel. min. Ricardo Lewandowski, j. 5-9-2022, P, DJE de 12-9-2022.]</w:t>
      </w:r>
    </w:p>
    <w:p>
      <w:pPr>
        <w:ind w:left="288"/>
      </w:pPr>
      <w:r>
        <w:rPr>
          <w:color w:val="8C8C8C"/>
          <w:sz w:val="12"/>
        </w:rPr>
        <w:t>cf-art-71-inc-VI</w:t>
      </w:r>
      <w:r>
        <w:rPr>
          <w:color w:val="003CA0"/>
          <w:sz w:val="12"/>
        </w:rPr>
        <w:t xml:space="preserve"> | ADI 1.934</w:t>
      </w:r>
      <w:r>
        <w:rPr>
          <w:color w:val="003CA0"/>
          <w:sz w:val="12"/>
        </w:rPr>
        <w:t xml:space="preserve"> | rel. Roberto Barroso</w:t>
      </w:r>
    </w:p>
    <w:p>
      <w:pPr>
        <w:ind w:left="288"/>
      </w:pPr>
      <w:r>
        <w:rPr>
          <w:color w:val="1E1E1E"/>
          <w:sz w:val="18"/>
        </w:rPr>
        <w:t>Fundo Nacional de Assistência Social. Lei 9.604/1998. (...) O art. 2º da (...) lei, (...) é compatível com a Constituição. A previsão de repasse automático de recursos do Fundo para Estados e Municípios, ainda que desvinculado da celebração prévia de convênio, ajuste, acordo ou contrato, não afasta a competência do TCU prevista no art. 71, VI, da Carta.</w:t>
      </w:r>
    </w:p>
    <w:p>
      <w:pPr>
        <w:ind w:left="288"/>
      </w:pPr>
      <w:r>
        <w:rPr>
          <w:b/>
          <w:color w:val="003CA0"/>
          <w:sz w:val="16"/>
        </w:rPr>
        <w:t>[ADI 1.934, rel. min. Roberto Barroso, j. 7-2-2019, P, DJE de 26-2-2019.]</w:t>
      </w:r>
    </w:p>
    <w:p>
      <w:pPr>
        <w:ind w:left="144"/>
      </w:pPr>
      <w:r>
        <w:rPr>
          <w:b/>
          <w:color w:val="B45A00"/>
          <w:sz w:val="16"/>
        </w:rPr>
        <w:t>JULGADOS CORRELATOS</w:t>
      </w:r>
    </w:p>
    <w:p>
      <w:pPr>
        <w:ind w:left="288"/>
      </w:pPr>
      <w:r>
        <w:rPr>
          <w:color w:val="8C8C8C"/>
          <w:sz w:val="12"/>
        </w:rPr>
        <w:t>cf-art-71-inc-VI</w:t>
      </w:r>
      <w:r>
        <w:rPr>
          <w:color w:val="003CA0"/>
          <w:sz w:val="12"/>
        </w:rPr>
        <w:t xml:space="preserve"> | MS 28.584</w:t>
      </w:r>
      <w:r>
        <w:rPr>
          <w:color w:val="003CA0"/>
          <w:sz w:val="12"/>
        </w:rPr>
        <w:t xml:space="preserve"> | rel. Edson Fachin</w:t>
      </w:r>
    </w:p>
    <w:p>
      <w:pPr>
        <w:ind w:left="288"/>
      </w:pPr>
      <w:r>
        <w:rPr>
          <w:color w:val="1E1E1E"/>
          <w:sz w:val="18"/>
        </w:rPr>
        <w:t>A competência para fiscalizar a aplicação dos recursos da União repassados ao FCDF é do Tribunal de Contas da União, à luz do disposto no art. 71, VI, da Constituição Federal.</w:t>
      </w:r>
    </w:p>
    <w:p>
      <w:pPr>
        <w:ind w:left="288"/>
      </w:pPr>
      <w:r>
        <w:rPr>
          <w:b/>
          <w:color w:val="003CA0"/>
          <w:sz w:val="16"/>
        </w:rPr>
        <w:t>[MS 28.584 AgR-ED, rel. min. Edson Fachin, j. 25-4-2023, 2ª T, DJE de 3-5-2023.]</w:t>
      </w:r>
    </w:p>
    <w:p>
      <w:pPr>
        <w:ind w:left="288"/>
      </w:pPr>
      <w:r>
        <w:rPr>
          <w:color w:val="8C8C8C"/>
          <w:sz w:val="12"/>
        </w:rPr>
        <w:t>cf-art-71-inc-VI</w:t>
      </w:r>
      <w:r>
        <w:rPr>
          <w:color w:val="003CA0"/>
          <w:sz w:val="12"/>
        </w:rPr>
        <w:t xml:space="preserve"> | MS 30.946</w:t>
      </w:r>
      <w:r>
        <w:rPr>
          <w:color w:val="003CA0"/>
          <w:sz w:val="12"/>
        </w:rPr>
        <w:t xml:space="preserve"> | rel. Dias Toffoli</w:t>
      </w:r>
    </w:p>
    <w:p>
      <w:pPr>
        <w:ind w:left="288"/>
      </w:pPr>
      <w:r>
        <w:rPr>
          <w:color w:val="1E1E1E"/>
          <w:sz w:val="18"/>
        </w:rPr>
        <w:t>Na condição de convenente, o Estado pode ser responsabilizado pela má utilização de verbas públicas federais repassadas por convênio, submetendo-se, portanto, ao controle do TCU, sem prejuízo, ainda, de eventual responsabilidade concorrente do gestor estadual.</w:t>
      </w:r>
    </w:p>
    <w:p>
      <w:pPr>
        <w:ind w:left="288"/>
      </w:pPr>
      <w:r>
        <w:rPr>
          <w:b/>
          <w:color w:val="003CA0"/>
          <w:sz w:val="16"/>
        </w:rPr>
        <w:t>[MS 30.946 AgR, rel. min. Dias Toffoli, j. 4-4-2018, 2ª T, DJE de 9-5-2018.]</w:t>
      </w:r>
    </w:p>
    <w:p>
      <w:pPr>
        <w:ind w:left="288"/>
      </w:pPr>
      <w:r>
        <w:rPr>
          <w:color w:val="8C8C8C"/>
          <w:sz w:val="12"/>
        </w:rPr>
        <w:t>cf-art-71-inc-VI</w:t>
      </w:r>
      <w:r>
        <w:rPr>
          <w:color w:val="003CA0"/>
          <w:sz w:val="12"/>
        </w:rPr>
        <w:t xml:space="preserve"> | MS 24.312</w:t>
      </w:r>
      <w:r>
        <w:rPr>
          <w:color w:val="003CA0"/>
          <w:sz w:val="12"/>
        </w:rPr>
        <w:t xml:space="preserve"> | rel. Ellen Gracie</w:t>
      </w:r>
    </w:p>
    <w:p>
      <w:pPr>
        <w:ind w:left="288"/>
      </w:pPr>
      <w:r>
        <w:rPr>
          <w:color w:val="1E1E1E"/>
          <w:sz w:val="18"/>
        </w:rPr>
        <w:t>Embora os recursos naturais da plataforma continental e os recursos minerais sejam bens da União (CF, art. 20, V e IX), a participação ou compensação aos Estados, Distrito Federal e Municípios no resultado da exploração de petróleo, xisto betuminoso e gás natural são receitas originárias destes últimos entes federativos (CF, art. 20, § 1º). É inaplicável, ao caso, o disposto no art. 71, VI, da Carta Magna, que se refere, especificamente, ao repasse efetuado pela União – mediante convênio, acordo ou ajuste – de recursos originariamente federais.</w:t>
      </w:r>
    </w:p>
    <w:p>
      <w:pPr>
        <w:ind w:left="288"/>
      </w:pPr>
      <w:r>
        <w:rPr>
          <w:b/>
          <w:color w:val="003CA0"/>
          <w:sz w:val="16"/>
        </w:rPr>
        <w:t>[MS 24.312, rel. min. Ellen Gracie, j. 19-2-2003, P, DJ de 19-12-2003.]</w:t>
      </w:r>
    </w:p>
    <w:p>
      <w:pPr>
        <w:ind w:left="288"/>
      </w:pPr>
      <w:r>
        <w:rPr>
          <w:color w:val="8C8C8C"/>
          <w:sz w:val="12"/>
        </w:rPr>
        <w:t>cf-art-71-inc-VI</w:t>
      </w:r>
      <w:r>
        <w:rPr>
          <w:color w:val="003CA0"/>
          <w:sz w:val="12"/>
        </w:rPr>
        <w:t xml:space="preserve"> | ADI 7.082</w:t>
      </w:r>
      <w:r>
        <w:rPr>
          <w:color w:val="003CA0"/>
          <w:sz w:val="12"/>
        </w:rPr>
        <w:t xml:space="preserve"> | rel. Cristiano Zanin</w:t>
      </w:r>
    </w:p>
    <w:p>
      <w:pPr>
        <w:ind w:left="288"/>
      </w:pPr>
      <w:r>
        <w:rPr>
          <w:color w:val="1E1E1E"/>
          <w:sz w:val="18"/>
        </w:rPr>
        <w:t>VII - prestar as informações solicitadas pelo Congresso Nacional, por qualquer de suas Casas, ou por qualquer das respectivas Comissões, sobre a fiscalização contábil, financeira, orçamentária, operacional e patrimonial e sobre resultados de auditorias e inspeções realizadas; VIII - aplicar aos responsáveis, em caso de ilegalidade de despesa ou irregularidade de contas, as sanções previstas em lei, que estabelecerá, entre outras cominações, multa proporcional ao dano causado ao erário; Lei n. 14.460/2022, do Estado da Bahia, de iniciativa parlamentar. Veda aplicação de multas e responsabilizaç</w:t>
      </w:r>
    </w:p>
    <w:p>
      <w:pPr>
        <w:ind w:left="288"/>
      </w:pPr>
      <w:r>
        <w:rPr>
          <w:b/>
          <w:color w:val="003CA0"/>
          <w:sz w:val="16"/>
        </w:rPr>
        <w:t>[ADI 7.082, rel. min. Cristiano Zanin, j. 29.09.2025, P, DJE de 02.10.2025.]</w:t>
      </w:r>
    </w:p>
    <w:p>
      <w:pPr>
        <w:ind w:left="288"/>
      </w:pPr>
      <w:r>
        <w:rPr>
          <w:color w:val="8C8C8C"/>
          <w:sz w:val="12"/>
        </w:rPr>
        <w:t>cf-art-71-inc-VI</w:t>
      </w:r>
      <w:r>
        <w:rPr>
          <w:color w:val="003CA0"/>
          <w:sz w:val="12"/>
        </w:rPr>
        <w:t xml:space="preserve"> | MS 30.788</w:t>
      </w:r>
    </w:p>
    <w:p>
      <w:pPr>
        <w:ind w:left="288"/>
      </w:pPr>
      <w:r>
        <w:rPr>
          <w:color w:val="1E1E1E"/>
          <w:sz w:val="18"/>
        </w:rPr>
        <w:t>É constitucional o art. 46 da Lei 8.443/1992, que institui sanção de inidoneidade a particulares por fraude a licitação, aplicável pelo TCU.</w:t>
      </w:r>
    </w:p>
    <w:p>
      <w:pPr>
        <w:ind w:left="288"/>
      </w:pPr>
      <w:r>
        <w:rPr>
          <w:b/>
          <w:color w:val="003CA0"/>
          <w:sz w:val="16"/>
        </w:rPr>
        <w:t>[MS 30.788, red. do ac. min. Roberto Barroso, j. 21-5-2015, P, DJE de 4-8-2015.]</w:t>
      </w:r>
    </w:p>
    <w:p>
      <w:pPr>
        <w:ind w:left="288"/>
      </w:pPr>
      <w:r>
        <w:rPr>
          <w:color w:val="8C8C8C"/>
          <w:sz w:val="12"/>
        </w:rPr>
        <w:t>cf-art-71-inc-VI</w:t>
      </w:r>
      <w:r>
        <w:rPr>
          <w:color w:val="003CA0"/>
          <w:sz w:val="12"/>
        </w:rPr>
        <w:t xml:space="preserve"> | PET 3.606</w:t>
      </w:r>
      <w:r>
        <w:rPr>
          <w:color w:val="003CA0"/>
          <w:sz w:val="12"/>
        </w:rPr>
        <w:t xml:space="preserve"> | rel. Sepúlveda Pertence</w:t>
      </w:r>
    </w:p>
    <w:p>
      <w:pPr>
        <w:ind w:left="288"/>
      </w:pPr>
      <w:r>
        <w:rPr>
          <w:color w:val="1E1E1E"/>
          <w:sz w:val="18"/>
        </w:rPr>
        <w:t xml:space="preserve">Vide Pet 3.606 AgR, rel. min. Sepúlveda Pertence, j. 21-9-2006, P, DJ de 27-10-2006 Nepotismo cruzado. (...) Reconhecida a competência do TCU para a verificação da legalidade do ato praticado pelo impetrante, nos termos dos arts. 71, VIII e IX, da CF. Procedimento instaurado no TCU a partir de encaminhamento de autos de procedimento administrativo concluído pelo MPF no Estado do Espírito Santo. (...) A nomeação para o cargo de assessor do impetrante é ato formalmente lícito. Contudo, no momento em que é apurada a finalidade contrária ao interesse público, qual seja, uma troca de favores entre </w:t>
      </w:r>
    </w:p>
    <w:p>
      <w:pPr>
        <w:ind w:left="288"/>
      </w:pPr>
      <w:r>
        <w:rPr>
          <w:b/>
          <w:color w:val="003CA0"/>
          <w:sz w:val="16"/>
        </w:rPr>
        <w:t>[MS 24.020, rel. min. Joaquim Barbosa, j. 6-3-2012, 2ª T, DJE de 13-6-2012.]</w:t>
      </w:r>
    </w:p>
    <w:p>
      <w:pPr>
        <w:ind w:left="288"/>
      </w:pPr>
      <w:r>
        <w:rPr>
          <w:color w:val="8C8C8C"/>
          <w:sz w:val="12"/>
        </w:rPr>
        <w:t>cf-art-71-inc-VI</w:t>
      </w:r>
      <w:r>
        <w:rPr>
          <w:color w:val="003CA0"/>
          <w:sz w:val="12"/>
        </w:rPr>
        <w:t xml:space="preserve"> | MS 24.544</w:t>
      </w:r>
      <w:r>
        <w:rPr>
          <w:color w:val="003CA0"/>
          <w:sz w:val="12"/>
        </w:rPr>
        <w:t xml:space="preserve"> | rel. Marco Aurélio</w:t>
      </w:r>
    </w:p>
    <w:p>
      <w:pPr>
        <w:ind w:left="288"/>
      </w:pPr>
      <w:r>
        <w:rPr>
          <w:color w:val="1E1E1E"/>
          <w:sz w:val="18"/>
        </w:rPr>
        <w:t>Ato do TCU. Imposição de valor a ser ressarcido aos cofres públicos e previsão de desconto, considerado o que percebido pelo servidor, geram a legitimidade do TCU para figurar no mandado de segurança como órgão coator.</w:t>
      </w:r>
    </w:p>
    <w:p>
      <w:pPr>
        <w:ind w:left="288"/>
      </w:pPr>
      <w:r>
        <w:rPr>
          <w:b/>
          <w:color w:val="003CA0"/>
          <w:sz w:val="16"/>
        </w:rPr>
        <w:t>[MS 24.544, rel. min. Marco Aurélio, j. 4-8-2004, P, DJ de 4-3-2005.]</w:t>
      </w:r>
    </w:p>
    <w:p>
      <w:pPr>
        <w:ind w:left="288"/>
      </w:pPr>
      <w:r>
        <w:rPr>
          <w:color w:val="8C8C8C"/>
          <w:sz w:val="12"/>
        </w:rPr>
        <w:t>cf-art-71-inc-VI</w:t>
      </w:r>
      <w:r>
        <w:rPr>
          <w:color w:val="003CA0"/>
          <w:sz w:val="12"/>
        </w:rPr>
        <w:t xml:space="preserve"> | MS 21.548</w:t>
      </w:r>
      <w:r>
        <w:rPr>
          <w:color w:val="003CA0"/>
          <w:sz w:val="12"/>
        </w:rPr>
        <w:t xml:space="preserve"> | rel. Maurício Corrêa</w:t>
      </w:r>
    </w:p>
    <w:p>
      <w:pPr>
        <w:ind w:left="288"/>
      </w:pPr>
      <w:r>
        <w:rPr>
          <w:color w:val="1E1E1E"/>
          <w:sz w:val="18"/>
        </w:rPr>
        <w:t>O TCU é parte legítima para figurar no polo passivo do mandado de segurança, quando sua decisão está revestida de caráter impositivo.</w:t>
      </w:r>
    </w:p>
    <w:p>
      <w:pPr>
        <w:ind w:left="288"/>
      </w:pPr>
      <w:r>
        <w:rPr>
          <w:b/>
          <w:color w:val="003CA0"/>
          <w:sz w:val="16"/>
        </w:rPr>
        <w:t>[MS 21.548, rel. min. Maurício Corrêa, j. 4-2-1999, P, DJ de 25-6-1999.]</w:t>
      </w:r>
    </w:p>
    <w:p>
      <w:pPr>
        <w:ind w:left="288"/>
      </w:pPr>
      <w:r>
        <w:rPr>
          <w:color w:val="8C8C8C"/>
          <w:sz w:val="12"/>
        </w:rPr>
        <w:t>cf-art-71-inc-VI</w:t>
      </w:r>
      <w:r>
        <w:rPr>
          <w:color w:val="003CA0"/>
          <w:sz w:val="12"/>
        </w:rPr>
        <w:t xml:space="preserve"> | MS 28.700</w:t>
      </w:r>
      <w:r>
        <w:rPr>
          <w:color w:val="003CA0"/>
          <w:sz w:val="12"/>
        </w:rPr>
        <w:t xml:space="preserve"> | rel. Marco Aurélio</w:t>
      </w:r>
    </w:p>
    <w:p>
      <w:pPr>
        <w:ind w:left="288"/>
      </w:pPr>
      <w:r>
        <w:rPr>
          <w:color w:val="1E1E1E"/>
          <w:sz w:val="18"/>
        </w:rPr>
        <w:t>= MS 28.700, rel. min. Marco Aurélio, j. 30-10-2012, 1ª T, DJE de 22-2-2013 Não é possível, efetivamente, entender que as decisões das cortes de contas, no exercício de sua competência constitucional, não possuam teor de coercibilidade. Possibilidade de impor sanções, assim como a lei disciplinar. Certo está que, na hipótese de abuso no exercício dessas atribuições por agentes da fiscalização dos tribunais de contas, ou de desvio de poder, os sujeitos passivos das sanções impostas possuem os meios que a ordem jurídica contém para o controle de legalidade dos atos de quem quer que exerça parcel</w:t>
      </w:r>
    </w:p>
    <w:p>
      <w:pPr>
        <w:ind w:left="288"/>
      </w:pPr>
      <w:r>
        <w:rPr>
          <w:b/>
          <w:color w:val="003CA0"/>
          <w:sz w:val="16"/>
        </w:rPr>
        <w:t>[RE 190.985, rel. min. Néri da Silveira, j. 14-2-1996, P, DJ de 24-8-2001.]</w:t>
      </w:r>
    </w:p>
    <w:p>
      <w:pPr>
        <w:ind w:left="288"/>
      </w:pPr>
      <w:r>
        <w:rPr>
          <w:color w:val="8C8C8C"/>
          <w:sz w:val="12"/>
        </w:rPr>
        <w:t>cf-art-71-inc-IX</w:t>
      </w:r>
      <w:r>
        <w:rPr>
          <w:color w:val="003CA0"/>
          <w:sz w:val="12"/>
        </w:rPr>
        <w:t xml:space="preserve"> | MS 24.020</w:t>
      </w:r>
      <w:r>
        <w:rPr>
          <w:color w:val="003CA0"/>
          <w:sz w:val="12"/>
        </w:rPr>
        <w:t xml:space="preserve"> | rel. Joaquim Barbosa</w:t>
      </w:r>
    </w:p>
    <w:p>
      <w:pPr>
        <w:ind w:left="288"/>
      </w:pPr>
      <w:r>
        <w:rPr>
          <w:color w:val="1E1E1E"/>
          <w:sz w:val="18"/>
        </w:rPr>
        <w:t>Nepotismo cruzado. (...) Reconhecida a competência do TCU para a verificação da legalidade do ato praticado pelo impetrante, nos termos dos arts. 71, VIII e IX, da CF. Procedimento instaurado no TCU a partir de encaminhamento de autos de procedimento administrativo concluído pelo MPF no Estado do Espírito Santo. (...) A nomeação para o cargo de assessor do impetrante é ato formalmente lícito. Contudo, no momento em que é apurada a finalidade contrária ao interesse público, qual seja, uma troca de favores entre membros do Judiciário, o ato deve ser invalidado, por violação ao princípio da moral</w:t>
      </w:r>
    </w:p>
    <w:p>
      <w:pPr>
        <w:ind w:left="288"/>
      </w:pPr>
      <w:r>
        <w:rPr>
          <w:b/>
          <w:color w:val="003CA0"/>
          <w:sz w:val="16"/>
        </w:rPr>
        <w:t>[MS 24.020, rel. min. Joaquim Barbosa, j. 6-3-2012, 2ª T, DJE de 13-6-2012.]</w:t>
      </w:r>
    </w:p>
    <w:p>
      <w:pPr>
        <w:ind w:left="288"/>
      </w:pPr>
      <w:r>
        <w:rPr>
          <w:color w:val="8C8C8C"/>
          <w:sz w:val="12"/>
        </w:rPr>
        <w:t>cf-art-71-inc-IX</w:t>
      </w:r>
      <w:r>
        <w:rPr>
          <w:color w:val="003CA0"/>
          <w:sz w:val="12"/>
        </w:rPr>
        <w:t xml:space="preserve"> | MS 23.550</w:t>
      </w:r>
    </w:p>
    <w:p>
      <w:pPr>
        <w:ind w:left="288"/>
      </w:pPr>
      <w:r>
        <w:rPr>
          <w:color w:val="1E1E1E"/>
          <w:sz w:val="18"/>
        </w:rPr>
        <w:t>O TCU, embora não tenha poder para anular ou sustar contratos administrativos, tem competência, conforme o art. 71, IX, para determinar à autoridade administrativa que promova a anulação do contrato e, se for o caso, da licitação de que se originou.</w:t>
      </w:r>
    </w:p>
    <w:p>
      <w:pPr>
        <w:ind w:left="288"/>
      </w:pPr>
      <w:r>
        <w:rPr>
          <w:b/>
          <w:color w:val="003CA0"/>
          <w:sz w:val="16"/>
        </w:rPr>
        <w:t>[MS 23.550, red. do ac. min. Sepúlveda Pertence, j. 4-4-2001, P, DJ de 31-10-2001.]</w:t>
      </w:r>
    </w:p>
    <w:p>
      <w:pPr>
        <w:ind w:left="288"/>
      </w:pPr>
      <w:r>
        <w:rPr>
          <w:color w:val="8C8C8C"/>
          <w:sz w:val="12"/>
        </w:rPr>
        <w:t>cf-art-71-inc-IX</w:t>
      </w:r>
      <w:r>
        <w:rPr>
          <w:color w:val="003CA0"/>
          <w:sz w:val="12"/>
        </w:rPr>
        <w:t xml:space="preserve"> | MS 26.000</w:t>
      </w:r>
      <w:r>
        <w:rPr>
          <w:color w:val="003CA0"/>
          <w:sz w:val="12"/>
        </w:rPr>
        <w:t xml:space="preserve"> | rel. Dias Toffoli</w:t>
      </w:r>
    </w:p>
    <w:p>
      <w:pPr>
        <w:ind w:left="288"/>
      </w:pPr>
      <w:r>
        <w:rPr>
          <w:color w:val="1E1E1E"/>
          <w:sz w:val="18"/>
        </w:rPr>
        <w:t>= MS 26.000, rel. min. Dias Toffoli, j. 16-10-2012, 1ª T, DJE de 14-11-2012</w:t>
      </w:r>
    </w:p>
    <w:p>
      <w:pPr>
        <w:ind w:left="144"/>
      </w:pPr>
      <w:r>
        <w:rPr>
          <w:b/>
          <w:color w:val="B45A00"/>
          <w:sz w:val="16"/>
        </w:rPr>
        <w:t>CONTROLE CONCENTRADO</w:t>
      </w:r>
    </w:p>
    <w:p>
      <w:pPr>
        <w:ind w:left="288"/>
      </w:pPr>
      <w:r>
        <w:rPr>
          <w:color w:val="8C8C8C"/>
          <w:sz w:val="12"/>
        </w:rPr>
        <w:t>cf-art-71-par-1</w:t>
      </w:r>
      <w:r>
        <w:rPr>
          <w:color w:val="003CA0"/>
          <w:sz w:val="12"/>
        </w:rPr>
        <w:t xml:space="preserve"> | ADI 3.715</w:t>
      </w:r>
      <w:r>
        <w:rPr>
          <w:color w:val="003CA0"/>
          <w:sz w:val="12"/>
        </w:rPr>
        <w:t xml:space="preserve"> | rel. Gilmar Mendes</w:t>
      </w:r>
    </w:p>
    <w:p>
      <w:pPr>
        <w:ind w:left="288"/>
      </w:pPr>
      <w:r>
        <w:rPr>
          <w:color w:val="1E1E1E"/>
          <w:sz w:val="18"/>
        </w:rPr>
        <w:t>Constituição do Estado do Tocantins. EC 16/2006, que (...) atribuiu à Assembleia Legislativa a competência para sustar não apenas os contratos, mas também as licitações e eventuais casos de dispensa e inexigibilidade de licitação (...). A CF é clara ao determinar, em seu art. 75, que as normas constitucionais que conformam o modelo federal de organização do TCU são de observância compulsória pelas Constituições dos Estados-membros. (...) A CF dispõe que apenas no caso de contratos o ato de sustação será adotado diretamente pelo Congresso Nacional (art. 71, § 1º, CF/1988). Ação julgada proceden</w:t>
      </w:r>
    </w:p>
    <w:p>
      <w:pPr>
        <w:ind w:left="288"/>
      </w:pPr>
      <w:r>
        <w:rPr>
          <w:b/>
          <w:color w:val="003CA0"/>
          <w:sz w:val="16"/>
        </w:rPr>
        <w:t>[ADI 3.715, rel. min. Gilmar Mendes, j. 21-8-2014, P, DJE de 30-10-2014.]</w:t>
      </w:r>
    </w:p>
    <w:p>
      <w:pPr>
        <w:ind w:left="288"/>
      </w:pPr>
      <w:r>
        <w:rPr>
          <w:color w:val="8C8C8C"/>
          <w:sz w:val="12"/>
        </w:rPr>
        <w:t>cf-art-71-par-3</w:t>
      </w:r>
      <w:r>
        <w:rPr>
          <w:color w:val="003CA0"/>
          <w:sz w:val="12"/>
        </w:rPr>
        <w:t xml:space="preserve"> | RE 1.003.433</w:t>
      </w:r>
      <w:r>
        <w:rPr>
          <w:color w:val="003CA0"/>
          <w:sz w:val="12"/>
        </w:rPr>
        <w:t xml:space="preserve"> | rel. Gilmar Mendes</w:t>
      </w:r>
    </w:p>
    <w:p>
      <w:pPr>
        <w:ind w:left="288"/>
      </w:pPr>
      <w:r>
        <w:rPr>
          <w:color w:val="1E1E1E"/>
          <w:sz w:val="18"/>
        </w:rPr>
        <w:t>No julgamento do RE 1.003.433/RJ, tema 642 da repercussão geral, a Corte restringiu-se a examinar a questão da multa aplicada pelo Tribunal de Contas em razão de prática lesiva à Fazenda Pública municipal. Distinção entre aquela hipótese e a presente. Exame, no caso, da legitimidade para execução de multa simples imposta por Corte de Contas. Diferenciação entre duas modalidades de responsabilidade financeira: a reintegratória e a sancionatória. A primeira está relacionada à reposição de recursos públicos, objeto de desvio, pagamento indevido ou falta de cobrança ou liquidação nos termos da lei</w:t>
      </w:r>
    </w:p>
    <w:p>
      <w:pPr>
        <w:ind w:left="144"/>
      </w:pPr>
      <w:r>
        <w:rPr>
          <w:b/>
          <w:color w:val="B45A00"/>
          <w:sz w:val="16"/>
        </w:rPr>
        <w:t>REPERCUSSAO GERAL</w:t>
      </w:r>
    </w:p>
    <w:p>
      <w:pPr>
        <w:ind w:left="288"/>
      </w:pPr>
      <w:r>
        <w:rPr>
          <w:color w:val="8C8C8C"/>
          <w:sz w:val="12"/>
        </w:rPr>
        <w:t>cf-art-71-par-3</w:t>
      </w:r>
      <w:r>
        <w:rPr>
          <w:color w:val="003CA0"/>
          <w:sz w:val="12"/>
        </w:rPr>
        <w:t xml:space="preserve"> | RE 1.003.433</w:t>
      </w:r>
      <w:r>
        <w:rPr>
          <w:color w:val="003CA0"/>
          <w:sz w:val="12"/>
        </w:rPr>
        <w:t xml:space="preserve"> | rel. Marco Aurélio</w:t>
      </w:r>
    </w:p>
    <w:p>
      <w:pPr>
        <w:ind w:left="288"/>
      </w:pPr>
      <w:r>
        <w:rPr>
          <w:color w:val="1E1E1E"/>
          <w:sz w:val="18"/>
        </w:rPr>
        <w:t>O Município prejudicado é o legitimado para a execução de crédito decorrente de multa aplicada por Tribunal de Contas estadual a agente público municipal, em razão de danos causados ao erário municipal.</w:t>
      </w:r>
    </w:p>
    <w:p>
      <w:pPr>
        <w:ind w:left="288"/>
      </w:pPr>
      <w:r>
        <w:rPr>
          <w:b/>
          <w:color w:val="003CA0"/>
          <w:sz w:val="16"/>
        </w:rPr>
        <w:t>[RE 1.003.433, rel. min. Marco Aurélio, red. do ac. min. Alexandre de Moraes j. 15-9-2021, P, DJE de 13-10-2021, Tema 642, com mérito julgado.]</w:t>
      </w:r>
    </w:p>
    <w:p>
      <w:pPr>
        <w:ind w:left="144"/>
      </w:pPr>
      <w:r>
        <w:rPr>
          <w:b/>
          <w:color w:val="B45A00"/>
          <w:sz w:val="16"/>
        </w:rPr>
        <w:t>JULGADOS CORRELATOS</w:t>
      </w:r>
    </w:p>
    <w:p>
      <w:pPr>
        <w:ind w:left="288"/>
      </w:pPr>
      <w:r>
        <w:rPr>
          <w:color w:val="8C8C8C"/>
          <w:sz w:val="12"/>
        </w:rPr>
        <w:t>cf-art-71-par-3</w:t>
      </w:r>
      <w:r>
        <w:rPr>
          <w:color w:val="003CA0"/>
          <w:sz w:val="12"/>
        </w:rPr>
        <w:t xml:space="preserve"> | ACO 3.182</w:t>
      </w:r>
      <w:r>
        <w:rPr>
          <w:color w:val="003CA0"/>
          <w:sz w:val="12"/>
        </w:rPr>
        <w:t xml:space="preserve"> | rel. Ricardo Lewandowski</w:t>
      </w:r>
    </w:p>
    <w:p>
      <w:pPr>
        <w:ind w:left="288"/>
      </w:pPr>
      <w:r>
        <w:rPr>
          <w:color w:val="1E1E1E"/>
          <w:sz w:val="18"/>
        </w:rPr>
        <w:t>(...) a tomada de contas especial é um procedimento administrativo com rito próprio, que tem suas regras e pressupostos definidos na Lei 8.443/1992, e que permite não somente a apuração, mas também a liquidação do dano em dívida líquida e certa, por meio de decisão com eficácia de título executivo extrajudicial (art. 71, § 3º, da CF).</w:t>
      </w:r>
    </w:p>
    <w:p>
      <w:pPr>
        <w:ind w:left="288"/>
      </w:pPr>
      <w:r>
        <w:rPr>
          <w:b/>
          <w:color w:val="003CA0"/>
          <w:sz w:val="16"/>
        </w:rPr>
        <w:t>[ACO 3.182 AgR, rel. min. Ricardo Lewandowski, j. 24-8-2020, P, DJE de 2-10-2020.]</w:t>
      </w:r>
    </w:p>
    <w:p>
      <w:pPr>
        <w:ind w:left="288"/>
      </w:pPr>
      <w:r>
        <w:rPr>
          <w:color w:val="8C8C8C"/>
          <w:sz w:val="12"/>
        </w:rPr>
        <w:t>cf-art-71-par-3</w:t>
      </w:r>
      <w:r>
        <w:rPr>
          <w:color w:val="003CA0"/>
          <w:sz w:val="12"/>
        </w:rPr>
        <w:t xml:space="preserve"> | RE 510.034</w:t>
      </w:r>
      <w:r>
        <w:rPr>
          <w:color w:val="003CA0"/>
          <w:sz w:val="12"/>
        </w:rPr>
        <w:t xml:space="preserve"> | rel. Eros Grau</w:t>
      </w:r>
    </w:p>
    <w:p>
      <w:pPr>
        <w:ind w:left="288"/>
      </w:pPr>
      <w:r>
        <w:rPr>
          <w:color w:val="1E1E1E"/>
          <w:sz w:val="18"/>
        </w:rPr>
        <w:t>Em caso de multa imposta por tribunal de contas estadual a responsáveis por irregularidades no uso de bens públicos, a ação de cobrança somente pode ser proposta pelo ente público beneficiário da condenação do tribunal de contas.</w:t>
      </w:r>
    </w:p>
    <w:p>
      <w:pPr>
        <w:ind w:left="288"/>
      </w:pPr>
      <w:r>
        <w:rPr>
          <w:b/>
          <w:color w:val="003CA0"/>
          <w:sz w:val="16"/>
        </w:rPr>
        <w:t>[RE 510.034 AgR, rel. min. Eros Grau, j. 24-6-2008, 2ª T, DJE de 15-8-2008.]</w:t>
      </w:r>
    </w:p>
    <w:p>
      <w:pPr>
        <w:ind w:left="288"/>
      </w:pPr>
      <w:r>
        <w:rPr>
          <w:color w:val="8C8C8C"/>
          <w:sz w:val="12"/>
        </w:rPr>
        <w:t>cf-art-71-par-3</w:t>
      </w:r>
      <w:r>
        <w:rPr>
          <w:color w:val="003CA0"/>
          <w:sz w:val="12"/>
        </w:rPr>
        <w:t xml:space="preserve"> | AI 765.470</w:t>
      </w:r>
      <w:r>
        <w:rPr>
          <w:color w:val="003CA0"/>
          <w:sz w:val="12"/>
        </w:rPr>
        <w:t xml:space="preserve"> | rel. Rosa Weber</w:t>
      </w:r>
    </w:p>
    <w:p>
      <w:pPr>
        <w:ind w:left="288"/>
      </w:pPr>
      <w:r>
        <w:rPr>
          <w:color w:val="1E1E1E"/>
          <w:sz w:val="18"/>
        </w:rPr>
        <w:t>= AI 765.470 AgR, rel. min. Rosa Weber, j. 18-12-2012, 1ª T, DJE de 19-2-2013</w:t>
      </w:r>
    </w:p>
    <w:p>
      <w:pPr>
        <w:ind w:left="144"/>
      </w:pPr>
      <w:r>
        <w:rPr>
          <w:b/>
          <w:color w:val="B45A00"/>
          <w:sz w:val="16"/>
        </w:rPr>
        <w:t>CONTROLE CONCENTRADO</w:t>
      </w:r>
    </w:p>
    <w:p>
      <w:pPr>
        <w:ind w:left="288"/>
      </w:pPr>
      <w:r>
        <w:rPr>
          <w:color w:val="8C8C8C"/>
          <w:sz w:val="12"/>
        </w:rPr>
        <w:t>cf-art-71-par-4</w:t>
      </w:r>
      <w:r>
        <w:rPr>
          <w:color w:val="003CA0"/>
          <w:sz w:val="12"/>
        </w:rPr>
        <w:t xml:space="preserve"> | ADI 687</w:t>
      </w:r>
      <w:r>
        <w:rPr>
          <w:color w:val="003CA0"/>
          <w:sz w:val="12"/>
        </w:rPr>
        <w:t xml:space="preserve"> | rel. Celso de Mello</w:t>
      </w:r>
    </w:p>
    <w:p>
      <w:pPr>
        <w:ind w:left="288"/>
      </w:pPr>
      <w:r>
        <w:rPr>
          <w:color w:val="1E1E1E"/>
          <w:sz w:val="18"/>
        </w:rPr>
        <w:t xml:space="preserve">O tribunal de contas está obrigado, por expressa determinação constitucional (CF, art. 71, § 4º), aplicável ao plano local (CF, art. 75), a encaminhar ao Poder Legislativo a que se acha institucionalmente vinculado tanto relatórios trimestrais quanto anuais de suas próprias atividades, pois tais relatórios, além de permitirem o exame parlamentar do desempenho, pela corte de contas, de suas atribuições fiscalizadoras, também se destinam a expor ao Legislativo a situação das finanças públicas administradas pelos órgãos e entidades governamentais, em ordem a conferir um grau de maior eficácia ao </w:t>
      </w:r>
    </w:p>
    <w:p>
      <w:pPr>
        <w:ind w:left="288"/>
      </w:pPr>
      <w:r>
        <w:rPr>
          <w:b/>
          <w:color w:val="003CA0"/>
          <w:sz w:val="16"/>
        </w:rPr>
        <w:t>[ADI 687, rel. min. Celso de Mello, j. 2-2-1995, P, DJ de 10-2-2006.]</w:t>
      </w:r>
    </w:p>
    <w:p>
      <w:pPr>
        <w:ind w:left="432"/>
      </w:pPr>
      <w:r>
        <w:rPr>
          <w:color w:val="003366"/>
          <w:sz w:val="18"/>
        </w:rPr>
        <w:t>§ 1 Ao Fundo criado por este artigo não se aplica o disposto na parte final do i</w:t>
      </w:r>
    </w:p>
    <w:p>
      <w:pPr>
        <w:ind w:left="432"/>
      </w:pPr>
      <w:r>
        <w:rPr>
          <w:color w:val="003366"/>
          <w:sz w:val="18"/>
        </w:rPr>
        <w:t>§ 2 O Fundo criado por este artigo passa a ser denominado Fundo de Estabilização</w:t>
      </w:r>
    </w:p>
    <w:p>
      <w:pPr>
        <w:ind w:left="432"/>
      </w:pPr>
      <w:r>
        <w:rPr>
          <w:color w:val="003366"/>
          <w:sz w:val="18"/>
        </w:rPr>
        <w:t>§ 3 O Poder Executivo publicará demonstrativo da execução orçamentária, de perio</w:t>
      </w:r>
    </w:p>
    <w:p>
      <w:r>
        <w:rPr>
          <w:b/>
          <w:color w:val="003366"/>
          <w:sz w:val="20"/>
        </w:rPr>
        <w:t>Art. 72 Integram o Fundo Social de Emergência: (Incluído pela Emenda Constitucio</w:t>
      </w:r>
    </w:p>
    <w:p>
      <w:pPr>
        <w:ind w:left="720"/>
      </w:pPr>
      <w:r>
        <w:rPr>
          <w:color w:val="003366"/>
          <w:sz w:val="18"/>
        </w:rPr>
        <w:t>I – o produto da arrecadação do imposto sobre renda e proventos de qualquer natu</w:t>
      </w:r>
    </w:p>
    <w:p>
      <w:pPr>
        <w:ind w:left="720"/>
      </w:pPr>
      <w:r>
        <w:rPr>
          <w:color w:val="003366"/>
          <w:sz w:val="18"/>
        </w:rPr>
        <w:t>II – a parcela do produto da arrecadação do imposto sobre renda e proventos de q</w:t>
      </w:r>
    </w:p>
    <w:p>
      <w:pPr>
        <w:ind w:left="720"/>
      </w:pPr>
      <w:r>
        <w:rPr>
          <w:color w:val="003366"/>
          <w:sz w:val="18"/>
        </w:rPr>
        <w:t xml:space="preserve">III – a parcela do produto da arrecadação resultante da elevação da alíquota da </w:t>
      </w:r>
    </w:p>
    <w:p>
      <w:pPr>
        <w:ind w:left="720"/>
      </w:pPr>
      <w:r>
        <w:rPr>
          <w:color w:val="003366"/>
          <w:sz w:val="18"/>
        </w:rPr>
        <w:t>IV – vinte por cento do produto da arrecadação de todos os impostos e contribuiç</w:t>
      </w:r>
    </w:p>
    <w:p>
      <w:pPr>
        <w:ind w:left="720"/>
      </w:pPr>
      <w:r>
        <w:rPr>
          <w:color w:val="003366"/>
          <w:sz w:val="18"/>
        </w:rPr>
        <w:t>V – a parcela do produto da arrecadação da contribuição de que trata a Lei Compl</w:t>
      </w:r>
    </w:p>
    <w:p>
      <w:pPr>
        <w:ind w:left="720"/>
      </w:pPr>
      <w:r>
        <w:rPr>
          <w:color w:val="003366"/>
          <w:sz w:val="18"/>
        </w:rPr>
        <w:t>VI – outras receitas previstas em lei específica. (Incluído pela Emenda Constitu</w:t>
      </w:r>
    </w:p>
    <w:p>
      <w:pPr>
        <w:ind w:left="432"/>
      </w:pPr>
      <w:r>
        <w:rPr>
          <w:color w:val="003366"/>
          <w:sz w:val="18"/>
        </w:rPr>
        <w:t>§ 1 As alíquotas e a base de cálculo previstas nos incisos III e V aplicar-se-ão</w:t>
      </w:r>
    </w:p>
    <w:p>
      <w:pPr>
        <w:ind w:left="432"/>
      </w:pPr>
      <w:r>
        <w:rPr>
          <w:color w:val="003366"/>
          <w:sz w:val="18"/>
        </w:rPr>
        <w:t>§ 2 As parcelas de que tratam os incisos I, II, III e V serão previamente deduzi</w:t>
      </w:r>
    </w:p>
    <w:p>
      <w:pPr>
        <w:ind w:left="432"/>
      </w:pPr>
      <w:r>
        <w:rPr>
          <w:color w:val="003366"/>
          <w:sz w:val="18"/>
        </w:rPr>
        <w:t>§ 3 A parcela de que trata o inciso IV será previamente deduzida da base de cálc</w:t>
      </w:r>
    </w:p>
    <w:p>
      <w:pPr>
        <w:ind w:left="432"/>
      </w:pPr>
      <w:r>
        <w:rPr>
          <w:color w:val="003366"/>
          <w:sz w:val="18"/>
        </w:rPr>
        <w:t>§ 4 O disposto no parágrafo anterior não se aplica aos recursos previstos nos Ar</w:t>
      </w:r>
    </w:p>
    <w:p>
      <w:pPr>
        <w:ind w:left="432"/>
      </w:pPr>
      <w:r>
        <w:rPr>
          <w:color w:val="003366"/>
          <w:sz w:val="18"/>
        </w:rPr>
        <w:t>§ 5 A parcela dos recursos provenientes do imposto sobre renda e proventos de qu</w:t>
      </w:r>
    </w:p>
    <w:p>
      <w:r>
        <w:rPr>
          <w:b/>
          <w:color w:val="003366"/>
          <w:sz w:val="20"/>
        </w:rPr>
        <w:t>Art. 73 Na regulação do Fundo Social de Emergência não poderá ser utilizado o in</w:t>
      </w:r>
      <w:r>
        <w:rPr>
          <w:color w:val="8C8C8C"/>
          <w:sz w:val="14"/>
        </w:rPr>
        <w:t xml:space="preserve">  [25 decisoes]</w:t>
      </w:r>
    </w:p>
    <w:p>
      <w:pPr>
        <w:ind w:left="288"/>
      </w:pPr>
      <w:r>
        <w:rPr>
          <w:color w:val="8C8C8C"/>
          <w:sz w:val="12"/>
        </w:rPr>
        <w:t>cf-art-73</w:t>
      </w:r>
      <w:r>
        <w:rPr>
          <w:color w:val="003CA0"/>
          <w:sz w:val="12"/>
        </w:rPr>
        <w:t xml:space="preserve"> | ADI 6.844</w:t>
      </w:r>
      <w:r>
        <w:rPr>
          <w:color w:val="003CA0"/>
          <w:sz w:val="12"/>
        </w:rPr>
        <w:t xml:space="preserve"> | rel. Luiz Fux</w:t>
      </w:r>
    </w:p>
    <w:p>
      <w:pPr>
        <w:ind w:left="288"/>
      </w:pPr>
      <w:r>
        <w:rPr>
          <w:color w:val="1E1E1E"/>
          <w:sz w:val="18"/>
        </w:rPr>
        <w:t>A jurisprudência do Supremo Tribunal Federal firmou-se no sentido de que a interpretação sistemática das normas constitucionais confere aos Tribunais de Contas autonomia e autogoverno na definição de seus assuntos internos, o que inclui a reserva de iniciativa legislativa (artigos 73, caput, e 96, inciso II, alínea “d”, da Constituição). In casu, a norma impugnada, derivada de projeto de lei apresentado pelo Presidente da República, representa a imposição, ao Tribunal de Contas, da cessão de um de seus servidores, que passará a ocupar cargo de comissão em regime de dedicação exclusiva no Poder</w:t>
      </w:r>
    </w:p>
    <w:p>
      <w:pPr>
        <w:ind w:left="288"/>
      </w:pPr>
      <w:r>
        <w:rPr>
          <w:b/>
          <w:color w:val="003CA0"/>
          <w:sz w:val="16"/>
        </w:rPr>
        <w:t>[ADI 6.844, rel. min. Luiz Fux, j. 27.05.2025, P, DJE de 04.06.2025.]</w:t>
      </w:r>
    </w:p>
    <w:p>
      <w:pPr>
        <w:ind w:left="144"/>
      </w:pPr>
      <w:r>
        <w:rPr>
          <w:b/>
          <w:color w:val="B45A00"/>
          <w:sz w:val="16"/>
        </w:rPr>
        <w:t>CONTROLE CONCENTRADO</w:t>
      </w:r>
    </w:p>
    <w:p>
      <w:pPr>
        <w:ind w:left="288"/>
      </w:pPr>
      <w:r>
        <w:rPr>
          <w:color w:val="8C8C8C"/>
          <w:sz w:val="12"/>
        </w:rPr>
        <w:t>cf-art-73</w:t>
      </w:r>
      <w:r>
        <w:rPr>
          <w:color w:val="003CA0"/>
          <w:sz w:val="12"/>
        </w:rPr>
        <w:t xml:space="preserve"> | ADI 6.967</w:t>
      </w:r>
      <w:r>
        <w:rPr>
          <w:color w:val="003CA0"/>
          <w:sz w:val="12"/>
        </w:rPr>
        <w:t xml:space="preserve"> | rel. Nunes Marques</w:t>
      </w:r>
    </w:p>
    <w:p>
      <w:pPr>
        <w:ind w:left="288"/>
      </w:pPr>
      <w:r>
        <w:rPr>
          <w:color w:val="1E1E1E"/>
          <w:sz w:val="18"/>
        </w:rPr>
        <w:t>É reservada ao Tribunal de Contas a iniciativa para deflagrar processo legislativo a fim de dispor sobre a própria estrutura e organização, sendo vedado ao Poder Legislativo formalizar emendas, se impertinentes em relação à matéria originalmente proposta ou caso delas resulte aumento de despesa. (...) É inconstitucional a revogação, decorrente de emenda parlamentar, de dispositivo da Lei Orgânica do Tribunal de Contas mediante o qual (i) determinado que os meios de comunicação dos atos processuais serão regulamentados via resolução; (ii) fixada multa com valor dobrado aos infratores reincident</w:t>
      </w:r>
    </w:p>
    <w:p>
      <w:pPr>
        <w:ind w:left="288"/>
      </w:pPr>
      <w:r>
        <w:rPr>
          <w:b/>
          <w:color w:val="003CA0"/>
          <w:sz w:val="16"/>
        </w:rPr>
        <w:t>[ADI 4.643, rel. min. Luiz Fux, j. 15-5-2019, P, DJE de 3-6-2019.]</w:t>
      </w:r>
    </w:p>
    <w:p>
      <w:pPr>
        <w:ind w:left="288"/>
      </w:pPr>
      <w:r>
        <w:rPr>
          <w:color w:val="8C8C8C"/>
          <w:sz w:val="12"/>
        </w:rPr>
        <w:t>cf-art-73</w:t>
      </w:r>
      <w:r>
        <w:rPr>
          <w:color w:val="003CA0"/>
          <w:sz w:val="12"/>
        </w:rPr>
        <w:t xml:space="preserve"> | ADI 4.418</w:t>
      </w:r>
      <w:r>
        <w:rPr>
          <w:color w:val="003CA0"/>
          <w:sz w:val="12"/>
        </w:rPr>
        <w:t xml:space="preserve"> | rel. Dias Toffoli</w:t>
      </w:r>
    </w:p>
    <w:p>
      <w:pPr>
        <w:ind w:left="288"/>
      </w:pPr>
      <w:r>
        <w:rPr>
          <w:color w:val="1E1E1E"/>
          <w:sz w:val="18"/>
        </w:rPr>
        <w:t>As cortes de contas seguem o exemplo dos tribunais judiciários no que concerne às garantias de independência, sendo também detentoras de autonomia funcional, administrativa e financeira, das quais decorre, essencialmente, a iniciativa reservada para instaurar processo legislativo que pretenda alterar sua organização e funcionamento, conforme interpretação sistemática dos arts. 73, 75 e 96, II, d, da CF.</w:t>
      </w:r>
    </w:p>
    <w:p>
      <w:pPr>
        <w:ind w:left="288"/>
      </w:pPr>
      <w:r>
        <w:rPr>
          <w:b/>
          <w:color w:val="003CA0"/>
          <w:sz w:val="16"/>
        </w:rPr>
        <w:t>[ADI 4.418, rel. min. Dias Toffoli, j. 15-12-2016, P, DJE de 20-3-2017.]</w:t>
      </w:r>
    </w:p>
    <w:p>
      <w:pPr>
        <w:ind w:left="288"/>
      </w:pPr>
      <w:r>
        <w:rPr>
          <w:color w:val="8C8C8C"/>
          <w:sz w:val="12"/>
        </w:rPr>
        <w:t>cf-art-73</w:t>
      </w:r>
      <w:r>
        <w:rPr>
          <w:color w:val="003CA0"/>
          <w:sz w:val="12"/>
        </w:rPr>
        <w:t xml:space="preserve"> | ADI 1.994</w:t>
      </w:r>
      <w:r>
        <w:rPr>
          <w:color w:val="003CA0"/>
          <w:sz w:val="12"/>
        </w:rPr>
        <w:t xml:space="preserve"> | rel. Eros Grau</w:t>
      </w:r>
    </w:p>
    <w:p>
      <w:pPr>
        <w:ind w:left="288"/>
      </w:pPr>
      <w:r>
        <w:rPr>
          <w:color w:val="1E1E1E"/>
          <w:sz w:val="18"/>
        </w:rPr>
        <w:t>Vide ADI 1.994, rel. min. Eros Grau, j. 24-5-2006, P, DJ de 8-9-2006 O autor ataca trecho do art. 50 da Carta estadual que outorgou ao Tribunal de Contas do Estado, além da capacidade de autogestão, a autonomia de caráter financeiro. Constitucionalidade decorrente da outorga à Corte de Contas das mesmas garantias dadas ao Poder Judiciário (arts. 73 e 96 da CF/1988), o que inclui a autonomia financeira.</w:t>
      </w:r>
    </w:p>
    <w:p>
      <w:pPr>
        <w:ind w:left="288"/>
      </w:pPr>
      <w:r>
        <w:rPr>
          <w:b/>
          <w:color w:val="003CA0"/>
          <w:sz w:val="16"/>
        </w:rPr>
        <w:t>[ADI 119, rel. min. Dias Toffoli, j. 19-2-2014, P, DJE de 28-3-2014.]</w:t>
      </w:r>
    </w:p>
    <w:p>
      <w:pPr>
        <w:ind w:left="288"/>
      </w:pPr>
      <w:r>
        <w:rPr>
          <w:color w:val="8C8C8C"/>
          <w:sz w:val="12"/>
        </w:rPr>
        <w:t>cf-art-73</w:t>
      </w:r>
      <w:r>
        <w:rPr>
          <w:color w:val="003CA0"/>
          <w:sz w:val="12"/>
        </w:rPr>
        <w:t xml:space="preserve"> | ADI 4.190</w:t>
      </w:r>
      <w:r>
        <w:rPr>
          <w:color w:val="003CA0"/>
          <w:sz w:val="12"/>
        </w:rPr>
        <w:t xml:space="preserve"> | rel. Celso de Mello</w:t>
      </w:r>
    </w:p>
    <w:p>
      <w:pPr>
        <w:ind w:left="288"/>
      </w:pPr>
      <w:r>
        <w:rPr>
          <w:color w:val="1E1E1E"/>
          <w:sz w:val="18"/>
        </w:rPr>
        <w:t>Os tribunais de contas ostentam posição eminente na estrutura constitucional brasileira, não se achando subordinados, por qualquer vínculo de ordem hierárquica, ao Poder Legislativo, de que não são órgãos delegatários nem organismos de mero assessoramento técnico. A competência institucional dos tribunais de contas não deriva, por isso mesmo, de delegação dos órgãos do Poder Legislativo, mas traduz emanação que resulta, primariamente, da própria Constituição da República.</w:t>
      </w:r>
    </w:p>
    <w:p>
      <w:pPr>
        <w:ind w:left="288"/>
      </w:pPr>
      <w:r>
        <w:rPr>
          <w:b/>
          <w:color w:val="003CA0"/>
          <w:sz w:val="16"/>
        </w:rPr>
        <w:t>[ADI 4.190 MC-REF, rel. min. Celso de Mello, j. 10-3-2010, P, DJE de 11-6-2010.]</w:t>
      </w:r>
    </w:p>
    <w:p>
      <w:pPr>
        <w:ind w:left="288"/>
      </w:pPr>
      <w:r>
        <w:rPr>
          <w:color w:val="8C8C8C"/>
          <w:sz w:val="12"/>
        </w:rPr>
        <w:t>cf-art-73-par-1</w:t>
      </w:r>
      <w:r>
        <w:rPr>
          <w:color w:val="003CA0"/>
          <w:sz w:val="12"/>
        </w:rPr>
        <w:t xml:space="preserve"> | ADI 5.587</w:t>
      </w:r>
      <w:r>
        <w:rPr>
          <w:color w:val="003CA0"/>
          <w:sz w:val="12"/>
        </w:rPr>
        <w:t xml:space="preserve"> | rel. André Mendonça</w:t>
      </w:r>
    </w:p>
    <w:p>
      <w:pPr>
        <w:ind w:left="288"/>
      </w:pPr>
      <w:r>
        <w:rPr>
          <w:color w:val="1E1E1E"/>
          <w:sz w:val="18"/>
        </w:rPr>
        <w:t>A exigência de requisitos adicionais para que auditores exerçam a função de substituição de conselheiros, tais como, a) tempo de serviço no Tribunal e b) ausência de punição ou mesmo prática de infração disciplinar não encontra previsão constitucional e impõe restrições desproporcionais, violando os arts. 73, §§ 1º e 4º, e 75 da Constituição da República.</w:t>
      </w:r>
    </w:p>
    <w:p>
      <w:pPr>
        <w:ind w:left="288"/>
      </w:pPr>
      <w:r>
        <w:rPr>
          <w:b/>
          <w:color w:val="003CA0"/>
          <w:sz w:val="16"/>
        </w:rPr>
        <w:t>[ADI 5.587, rel. min. André Mendonça, j. 25.04.2025, P, DJE de 08.10.2025.]</w:t>
      </w:r>
    </w:p>
    <w:p>
      <w:pPr>
        <w:ind w:left="144"/>
      </w:pPr>
      <w:r>
        <w:rPr>
          <w:b/>
          <w:color w:val="B45A00"/>
          <w:sz w:val="16"/>
        </w:rPr>
        <w:t>JULGADOS CORRELATOS</w:t>
      </w:r>
    </w:p>
    <w:p>
      <w:pPr>
        <w:ind w:left="288"/>
      </w:pPr>
      <w:r>
        <w:rPr>
          <w:color w:val="8C8C8C"/>
          <w:sz w:val="12"/>
        </w:rPr>
        <w:t>cf-art-73-par-1-inc-I</w:t>
      </w:r>
      <w:r>
        <w:rPr>
          <w:color w:val="003CA0"/>
          <w:sz w:val="12"/>
        </w:rPr>
        <w:t xml:space="preserve"> | MS 23.968</w:t>
      </w:r>
      <w:r>
        <w:rPr>
          <w:color w:val="003CA0"/>
          <w:sz w:val="12"/>
        </w:rPr>
        <w:t xml:space="preserve"> | rel. Gilmar Mendes</w:t>
      </w:r>
    </w:p>
    <w:p>
      <w:pPr>
        <w:ind w:left="288"/>
      </w:pPr>
      <w:r>
        <w:rPr>
          <w:color w:val="1E1E1E"/>
          <w:sz w:val="18"/>
        </w:rPr>
        <w:t>Elaboração de lista singular para preenchimento de cargo de ministro do TCU. Pedido de elaboração de nova lista tríplice. Limite objetivo de idade não admite exceções, CF, art. 73, § 1º. A lista deve ser tríplice quando houver candidatos aptos, Regimento Interno do TCU, art. 281, § 5º. Lista singular elaborada em conformidade com o Regimento Interno do TCU. Prejuízo do mandado de segurança em virtude do fato de o impetrante já ter completado setenta anos.</w:t>
      </w:r>
    </w:p>
    <w:p>
      <w:pPr>
        <w:ind w:left="288"/>
      </w:pPr>
      <w:r>
        <w:rPr>
          <w:b/>
          <w:color w:val="003CA0"/>
          <w:sz w:val="16"/>
        </w:rPr>
        <w:t>[MS 23.968, rel. min. Gilmar Mendes, j. 14-4-2008, P, DJE de 13-6-2008.]</w:t>
      </w:r>
    </w:p>
    <w:p>
      <w:pPr>
        <w:ind w:left="288"/>
      </w:pPr>
      <w:r>
        <w:rPr>
          <w:color w:val="8C8C8C"/>
          <w:sz w:val="12"/>
        </w:rPr>
        <w:t>cf-art-73-par-1-inc-III</w:t>
      </w:r>
      <w:r>
        <w:rPr>
          <w:color w:val="003CA0"/>
          <w:sz w:val="12"/>
        </w:rPr>
        <w:t xml:space="preserve"> | AO 476</w:t>
      </w:r>
    </w:p>
    <w:p>
      <w:pPr>
        <w:ind w:left="288"/>
      </w:pPr>
      <w:r>
        <w:rPr>
          <w:color w:val="1E1E1E"/>
          <w:sz w:val="18"/>
        </w:rPr>
        <w:t>A qualificação profissional formal não é requisito à nomeação de conselheiro de tribunal de contas estadual. O requisito notório saber é pressuposto subjetivo a ser analisado pelo governador do Estado, a seu juízo discricionário.</w:t>
      </w:r>
    </w:p>
    <w:p>
      <w:pPr>
        <w:ind w:left="288"/>
      </w:pPr>
      <w:r>
        <w:rPr>
          <w:b/>
          <w:color w:val="003CA0"/>
          <w:sz w:val="16"/>
        </w:rPr>
        <w:t>[AO 476, red. do ac. min. Nelson Jobim, j. 16-10-1997, P, DJ de 5-11-1999.]</w:t>
      </w:r>
    </w:p>
    <w:p>
      <w:pPr>
        <w:ind w:left="144"/>
      </w:pPr>
      <w:r>
        <w:rPr>
          <w:b/>
          <w:color w:val="B45A00"/>
          <w:sz w:val="16"/>
        </w:rPr>
        <w:t>CONTROLE CONCENTRADO</w:t>
      </w:r>
    </w:p>
    <w:p>
      <w:pPr>
        <w:ind w:left="288"/>
      </w:pPr>
      <w:r>
        <w:rPr>
          <w:color w:val="8C8C8C"/>
          <w:sz w:val="12"/>
        </w:rPr>
        <w:t>cf-art-73-par-2</w:t>
      </w:r>
      <w:r>
        <w:rPr>
          <w:color w:val="003CA0"/>
          <w:sz w:val="12"/>
        </w:rPr>
        <w:t xml:space="preserve"> | ADI 2.117</w:t>
      </w:r>
      <w:r>
        <w:rPr>
          <w:color w:val="003CA0"/>
          <w:sz w:val="12"/>
        </w:rPr>
        <w:t xml:space="preserve"> | rel. Marco Aurélio</w:t>
      </w:r>
    </w:p>
    <w:p>
      <w:pPr>
        <w:ind w:left="288"/>
      </w:pPr>
      <w:r>
        <w:rPr>
          <w:color w:val="1E1E1E"/>
          <w:sz w:val="18"/>
        </w:rPr>
        <w:t>O disposto no art. 73, § 2º, da CF, presente o princípio do determinismo, encerra não a simples escolha dos integrantes, mas, acima de tudo, a composição do TCU.</w:t>
      </w:r>
    </w:p>
    <w:p>
      <w:pPr>
        <w:ind w:left="288"/>
      </w:pPr>
      <w:r>
        <w:rPr>
          <w:b/>
          <w:color w:val="003CA0"/>
          <w:sz w:val="16"/>
        </w:rPr>
        <w:t>[ADI 2.117, rel. min. Marco Aurélio, j. 27-8-2014, P, DJE de 18-9-2014.]</w:t>
      </w:r>
    </w:p>
    <w:p>
      <w:pPr>
        <w:ind w:left="288"/>
      </w:pPr>
      <w:r>
        <w:rPr>
          <w:color w:val="8C8C8C"/>
          <w:sz w:val="12"/>
        </w:rPr>
        <w:t>cf-art-73-par-2</w:t>
      </w:r>
      <w:r>
        <w:rPr>
          <w:color w:val="003CA0"/>
          <w:sz w:val="12"/>
        </w:rPr>
        <w:t xml:space="preserve"> | ADI 3.688</w:t>
      </w:r>
      <w:r>
        <w:rPr>
          <w:color w:val="003CA0"/>
          <w:sz w:val="12"/>
        </w:rPr>
        <w:t xml:space="preserve"> | rel. Joaquim Barbosa</w:t>
      </w:r>
    </w:p>
    <w:p>
      <w:pPr>
        <w:ind w:left="288"/>
      </w:pPr>
      <w:r>
        <w:rPr>
          <w:color w:val="1E1E1E"/>
          <w:sz w:val="18"/>
        </w:rPr>
        <w:t>Lei do Estado de Pernambuco que prevê que a escolha de membros indicados para o Tribunal de Contas do Estado será feita do seguinte modo: as três primeiras pela Assembleia Legislativa e as três seguintes pelo governador. A aplicação pura e simples do critério cronológico permite que vagas ocupadas originalmente por membros indicados pela Assembleia Legislativa sejam posteriormente ocupadas por membros indicados pelo governador, ferindo assim o entendimento desta Corte, exposto na Súmula 653, de que nos tribunais de contas estaduais que contêm 7 membros, a seguinte proporção deverá ser respeita</w:t>
      </w:r>
    </w:p>
    <w:p>
      <w:pPr>
        <w:ind w:left="288"/>
      </w:pPr>
      <w:r>
        <w:rPr>
          <w:b/>
          <w:color w:val="003CA0"/>
          <w:sz w:val="16"/>
        </w:rPr>
        <w:t>[ADI 3.688, rel. min. Joaquim Barbosa, j. 11-6-2007, P, DJ de 24-8-2007.]</w:t>
      </w:r>
    </w:p>
    <w:p>
      <w:pPr>
        <w:ind w:left="288"/>
      </w:pPr>
      <w:r>
        <w:rPr>
          <w:color w:val="8C8C8C"/>
          <w:sz w:val="12"/>
        </w:rPr>
        <w:t>cf-art-73-par-2</w:t>
      </w:r>
      <w:r>
        <w:rPr>
          <w:color w:val="003CA0"/>
          <w:sz w:val="12"/>
        </w:rPr>
        <w:t xml:space="preserve"> | ADI 1.957</w:t>
      </w:r>
      <w:r>
        <w:rPr>
          <w:color w:val="003CA0"/>
          <w:sz w:val="12"/>
        </w:rPr>
        <w:t xml:space="preserve"> | rel. Gilmar Mendes</w:t>
      </w:r>
    </w:p>
    <w:p>
      <w:pPr>
        <w:ind w:left="288"/>
      </w:pPr>
      <w:r>
        <w:rPr>
          <w:color w:val="1E1E1E"/>
          <w:sz w:val="18"/>
        </w:rPr>
        <w:t>= ADI 1.957, rel. min. Gilmar Mendes, j. 1º-9-2010, P, DJE de 22-10-2010 O preceito veiculado pelo art. 73 da Constituição do Brasil aplica-se, no que couber, à organização, composição e fiscalização dos tribunais de contas dos Estados e do Distrito Federal, bem como dos tribunais e conselhos de contas dos Municípios. Imposição do modelo federal nos termos do art. 75. A inércia da Assembleia Legislativa cearense relativamente à criação de cargos e carreiras do Ministério Público Especial e de auditores que devam atuar junto ao Tribunal de Contas estadual consubstancia omissão inconstitucional.</w:t>
      </w:r>
    </w:p>
    <w:p>
      <w:pPr>
        <w:ind w:left="288"/>
      </w:pPr>
      <w:r>
        <w:rPr>
          <w:b/>
          <w:color w:val="003CA0"/>
          <w:sz w:val="16"/>
        </w:rPr>
        <w:t>[ADI 3.276, rel. min. Eros Grau, j. 2-6-2005, P, DJ de 1º-2-2008.]</w:t>
      </w:r>
    </w:p>
    <w:p>
      <w:pPr>
        <w:ind w:left="288"/>
      </w:pPr>
      <w:r>
        <w:rPr>
          <w:color w:val="8C8C8C"/>
          <w:sz w:val="12"/>
        </w:rPr>
        <w:t>cf-art-73-par-2</w:t>
      </w:r>
      <w:r>
        <w:rPr>
          <w:color w:val="003CA0"/>
          <w:sz w:val="12"/>
        </w:rPr>
        <w:t xml:space="preserve"> | ADI 374</w:t>
      </w:r>
      <w:r>
        <w:rPr>
          <w:color w:val="003CA0"/>
          <w:sz w:val="12"/>
        </w:rPr>
        <w:t xml:space="preserve"> | rel. Dias Toffoli</w:t>
      </w:r>
    </w:p>
    <w:p>
      <w:pPr>
        <w:ind w:left="288"/>
      </w:pPr>
      <w:r>
        <w:rPr>
          <w:color w:val="1E1E1E"/>
          <w:sz w:val="18"/>
        </w:rPr>
        <w:t xml:space="preserve">= ADI 374, rel. min. Dias Toffoli, j. 22-3-2012, P, DJE de 21-8-2014 Constituição: princípio da efetividade máxima e transição. Na solução dos problemas de transição de um para outro modelo constitucional, deve prevalecer, sempre que possível, a interpretação que viabilize a implementação mais rápida do novo ordenamento. Tribunal de contas dos Estados: implementação do modelo de composição heterogênea da Constituição de 1988. A Constituição de 1988 rompeu com a fórmula tradicional de exclusividade da livre indicação dos seus membros pelo Poder Executivo para, de um lado, impor a predominância </w:t>
      </w:r>
    </w:p>
    <w:p>
      <w:pPr>
        <w:ind w:left="288"/>
      </w:pPr>
      <w:r>
        <w:rPr>
          <w:b/>
          <w:color w:val="003CA0"/>
          <w:sz w:val="16"/>
        </w:rPr>
        <w:t>[ADI 2.596, rel. min. Sepúlveda Pertence, j. 19-3-2003, P, DJ de 2-5-2003.]</w:t>
      </w:r>
    </w:p>
    <w:p>
      <w:pPr>
        <w:ind w:left="288"/>
      </w:pPr>
      <w:r>
        <w:rPr>
          <w:color w:val="8C8C8C"/>
          <w:sz w:val="12"/>
        </w:rPr>
        <w:t>cf-art-73-par-2</w:t>
      </w:r>
      <w:r>
        <w:rPr>
          <w:color w:val="003CA0"/>
          <w:sz w:val="12"/>
        </w:rPr>
        <w:t xml:space="preserve"> | ADI 374</w:t>
      </w:r>
      <w:r>
        <w:rPr>
          <w:color w:val="003CA0"/>
          <w:sz w:val="12"/>
        </w:rPr>
        <w:t xml:space="preserve"> | rel. Dias Toffoli</w:t>
      </w:r>
    </w:p>
    <w:p>
      <w:pPr>
        <w:ind w:left="288"/>
      </w:pPr>
      <w:r>
        <w:rPr>
          <w:color w:val="1E1E1E"/>
          <w:sz w:val="18"/>
        </w:rPr>
        <w:t>= ADI 374, rel. min. Dias Toffoli, j. 22-3-2012, P, DJE de 21-8-2014 I - um terço pelo Presidente da República, com aprovação do Senado Federal, sendo dois alternadamente dentre auditores e membros do Ministério Público junto ao Tribunal, indicados em lista tríplice pelo Tribunal, segundo os critérios de antiguidade e merecimento; Desde 1993, o Supremo Tribunal Federal compreende que a composição dos Tribunais de Contas estaduais e do Distrito Federal deve seguir o padrão de 4 (quatro) indicações pelas Assembleias Legislativas ou pela Câmara Distrital e 3 (três) vagas destinadas à escolha do G</w:t>
      </w:r>
    </w:p>
    <w:p>
      <w:pPr>
        <w:ind w:left="288"/>
      </w:pPr>
      <w:r>
        <w:rPr>
          <w:b/>
          <w:color w:val="003CA0"/>
          <w:sz w:val="16"/>
        </w:rPr>
        <w:t>[ADI 7.053, rel. min. Nunes Marques, red. do ac. min. Gilmar Mendes, j. 12.08.2025, P, DJE de 08.10.2025.]</w:t>
      </w:r>
    </w:p>
    <w:p>
      <w:pPr>
        <w:ind w:left="288"/>
      </w:pPr>
      <w:r>
        <w:rPr>
          <w:color w:val="8C8C8C"/>
          <w:sz w:val="12"/>
        </w:rPr>
        <w:t>cf-art-73-par-2</w:t>
      </w:r>
      <w:r>
        <w:rPr>
          <w:color w:val="003CA0"/>
          <w:sz w:val="12"/>
        </w:rPr>
        <w:t xml:space="preserve"> | ADI 5.276</w:t>
      </w:r>
      <w:r>
        <w:rPr>
          <w:color w:val="003CA0"/>
          <w:sz w:val="12"/>
        </w:rPr>
        <w:t xml:space="preserve"> | rel. Nunes Marques</w:t>
      </w:r>
    </w:p>
    <w:p>
      <w:pPr>
        <w:ind w:left="288"/>
      </w:pPr>
      <w:r>
        <w:rPr>
          <w:color w:val="1E1E1E"/>
          <w:sz w:val="18"/>
        </w:rPr>
        <w:t>A CF/1988 estabelece que os membros do Tribunal de Contas escolhidos dentre auditores e membros do Ministério Público junto à Corte sejam indicados em lista tríplice elaborada pelo Tribunal segundo os critérios de antiguidade e merecimento. O critério de antiguidade, por sua natureza objetiva, não admite combinação com elemento subjetivo, como a votação, pelos membros da Corte, de nomes para comporem a lista tríplice, parâmetro de índole essencialmente pessoal e política. O dispositivo impugnado viola o princípio da simetria, pois incorpora em situação de empate, na escolha de candidato por an</w:t>
      </w:r>
    </w:p>
    <w:p>
      <w:pPr>
        <w:ind w:left="288"/>
      </w:pPr>
      <w:r>
        <w:rPr>
          <w:b/>
          <w:color w:val="003CA0"/>
          <w:sz w:val="16"/>
        </w:rPr>
        <w:t>[ADI 5.276, rel. min. Nunes Marques, j. 25.04.2025, P, DJE de 13.05.2025.]</w:t>
      </w:r>
    </w:p>
    <w:p>
      <w:pPr>
        <w:ind w:left="288"/>
      </w:pPr>
      <w:r>
        <w:rPr>
          <w:color w:val="8C8C8C"/>
          <w:sz w:val="12"/>
        </w:rPr>
        <w:t>cf-art-73-par-2</w:t>
      </w:r>
      <w:r>
        <w:rPr>
          <w:color w:val="003CA0"/>
          <w:sz w:val="12"/>
        </w:rPr>
        <w:t xml:space="preserve"> | ADI 789</w:t>
      </w:r>
      <w:r>
        <w:rPr>
          <w:color w:val="003CA0"/>
          <w:sz w:val="12"/>
        </w:rPr>
        <w:t xml:space="preserve"> | rel. Ricardo Lewandowski</w:t>
      </w:r>
    </w:p>
    <w:p>
      <w:pPr>
        <w:ind w:left="288"/>
      </w:pPr>
      <w:r>
        <w:rPr>
          <w:color w:val="1E1E1E"/>
          <w:sz w:val="18"/>
        </w:rPr>
        <w:t>Segundo precedente do STF (ADI 789/DF), os procuradores das cortes de contas são ligados administrativamente a elas, sem qualquer vínculo com o Ministério Público comum. Além de violar os arts. 73, § 2º,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pPr>
        <w:ind w:left="288"/>
      </w:pPr>
      <w:r>
        <w:rPr>
          <w:b/>
          <w:color w:val="003CA0"/>
          <w:sz w:val="16"/>
        </w:rPr>
        <w:t>[ADI 3.315, rel. min. Ricardo Lewandowski, j. 6-3-2008, P, DJE de 11-4-2008.]</w:t>
      </w:r>
    </w:p>
    <w:p>
      <w:pPr>
        <w:ind w:left="288"/>
      </w:pPr>
      <w:r>
        <w:rPr>
          <w:color w:val="8C8C8C"/>
          <w:sz w:val="12"/>
        </w:rPr>
        <w:t>cf-art-73-par-2</w:t>
      </w:r>
      <w:r>
        <w:rPr>
          <w:color w:val="003CA0"/>
          <w:sz w:val="12"/>
        </w:rPr>
        <w:t xml:space="preserve"> | ADI 789</w:t>
      </w:r>
      <w:r>
        <w:rPr>
          <w:color w:val="003CA0"/>
          <w:sz w:val="12"/>
        </w:rPr>
        <w:t xml:space="preserve"> | rel. Celso de Mello</w:t>
      </w:r>
    </w:p>
    <w:p>
      <w:pPr>
        <w:ind w:left="288"/>
      </w:pPr>
      <w:r>
        <w:rPr>
          <w:color w:val="1E1E1E"/>
          <w:sz w:val="18"/>
        </w:rPr>
        <w:t>Ministério Público junto ao TCU. Instituição que não integra o MPU. (...) O Ministério Público que atua perante o TCU qualifica-se como órgão de extração constitucional, eis que a sua existência jurídica resulta de expressa previsão normativa constante da Carta Política (art. 73, § 2º, I, e art. 130), sendo indiferente, para efeito de sua configuração jurídico-institucional, a circunstância de não constar do rol taxativo inscrito no art. 128, I, da Constituição, que define a estrutura orgânica do MPU. O Ministério Público junto ao TCU não dispõe de fisionomia institucional própria e, não obsta</w:t>
      </w:r>
    </w:p>
    <w:p>
      <w:pPr>
        <w:ind w:left="288"/>
      </w:pPr>
      <w:r>
        <w:rPr>
          <w:b/>
          <w:color w:val="003CA0"/>
          <w:sz w:val="16"/>
        </w:rPr>
        <w:t>[ADI 789, rel. min. Celso de Mello, j. 26-5-1994, P, DJ de 19-12-1994.]</w:t>
      </w:r>
    </w:p>
    <w:p>
      <w:pPr>
        <w:ind w:left="288"/>
      </w:pPr>
      <w:r>
        <w:rPr>
          <w:color w:val="8C8C8C"/>
          <w:sz w:val="12"/>
        </w:rPr>
        <w:t>cf-art-73-par-3</w:t>
      </w:r>
      <w:r>
        <w:rPr>
          <w:color w:val="003CA0"/>
          <w:sz w:val="12"/>
        </w:rPr>
        <w:t xml:space="preserve"> | ADI 6.126</w:t>
      </w:r>
      <w:r>
        <w:rPr>
          <w:color w:val="003CA0"/>
          <w:sz w:val="12"/>
        </w:rPr>
        <w:t xml:space="preserve"> | rel. Edson Fachin</w:t>
      </w:r>
    </w:p>
    <w:p>
      <w:pPr>
        <w:ind w:left="288"/>
      </w:pPr>
      <w:r>
        <w:rPr>
          <w:color w:val="1E1E1E"/>
          <w:sz w:val="18"/>
        </w:rPr>
        <w:t>Em face do regime remuneratório paritário estatuído no art. 73, § 3º, da Constituição Federal, e em atenção ao princípio da simetria, a instituição de verba de representação para os Conselheiros do Tribunal de Contas do Distrito Federal sem observância da equivalência em lei para os Desembargadores do Tribunal de Justiça viola o próprio texto constitucional.</w:t>
      </w:r>
    </w:p>
    <w:p>
      <w:pPr>
        <w:ind w:left="288"/>
      </w:pPr>
      <w:r>
        <w:rPr>
          <w:b/>
          <w:color w:val="003CA0"/>
          <w:sz w:val="16"/>
        </w:rPr>
        <w:t>[ADI 6.126, rel. min. Edson Fachin, j. 18-4-2023, P, DJE de 4-5-2023.]</w:t>
      </w:r>
    </w:p>
    <w:p>
      <w:pPr>
        <w:ind w:left="288"/>
      </w:pPr>
      <w:r>
        <w:rPr>
          <w:color w:val="8C8C8C"/>
          <w:sz w:val="12"/>
        </w:rPr>
        <w:t>cf-art-73-par-3</w:t>
      </w:r>
      <w:r>
        <w:rPr>
          <w:color w:val="003CA0"/>
          <w:sz w:val="12"/>
        </w:rPr>
        <w:t xml:space="preserve"> | ADI 3.417</w:t>
      </w:r>
      <w:r>
        <w:rPr>
          <w:color w:val="003CA0"/>
          <w:sz w:val="12"/>
        </w:rPr>
        <w:t xml:space="preserve"> | rel. Cármen Lúcia</w:t>
      </w:r>
    </w:p>
    <w:p>
      <w:pPr>
        <w:ind w:left="288"/>
      </w:pPr>
      <w:r>
        <w:rPr>
          <w:color w:val="1E1E1E"/>
          <w:sz w:val="18"/>
        </w:rPr>
        <w:t>A aplicação subsidiária aos conselheiros do Tribunal de Contas do Distrito Federal das normas do regime jurídico dos servidores públicos desse órgão conduz à extensão indevida de vantagens não estabelecidas na Lei Orgânica da Magistratura e quebra da paridade determinada pela Constituição da República entre os membros do Tribunal de Contas e os magistrados, conforme previsão do § 3º do art. 73 e do art. 75 da Constituição da República.</w:t>
      </w:r>
    </w:p>
    <w:p>
      <w:pPr>
        <w:ind w:left="288"/>
      </w:pPr>
      <w:r>
        <w:rPr>
          <w:b/>
          <w:color w:val="003CA0"/>
          <w:sz w:val="16"/>
        </w:rPr>
        <w:t>[ADI 3.417, rel. min. Cármen Lúcia, j. 13-9-2019, P, DJE de 27-9-2019.]</w:t>
      </w:r>
    </w:p>
    <w:p>
      <w:pPr>
        <w:ind w:left="144"/>
      </w:pPr>
      <w:r>
        <w:rPr>
          <w:b/>
          <w:color w:val="B45A00"/>
          <w:sz w:val="16"/>
        </w:rPr>
        <w:t>JULGADOS CORRELATOS</w:t>
      </w:r>
    </w:p>
    <w:p>
      <w:pPr>
        <w:ind w:left="288"/>
      </w:pPr>
      <w:r>
        <w:rPr>
          <w:color w:val="8C8C8C"/>
          <w:sz w:val="12"/>
        </w:rPr>
        <w:t>cf-art-73-par-3</w:t>
      </w:r>
      <w:r>
        <w:rPr>
          <w:color w:val="003CA0"/>
          <w:sz w:val="12"/>
        </w:rPr>
        <w:t xml:space="preserve"> | INQ 4.954</w:t>
      </w:r>
      <w:r>
        <w:rPr>
          <w:color w:val="003CA0"/>
          <w:sz w:val="12"/>
        </w:rPr>
        <w:t xml:space="preserve"> | rel. Alexandre de Moraes</w:t>
      </w:r>
    </w:p>
    <w:p>
      <w:pPr>
        <w:ind w:left="288"/>
      </w:pPr>
      <w:r>
        <w:rPr>
          <w:color w:val="1E1E1E"/>
          <w:sz w:val="18"/>
        </w:rPr>
        <w:t>São conferidas as mesmas prerrogativas dos integrantes da magistratura (arts. 73, § 3º, e 75 da Constituição) aos membros dos Tribunais de Contas Estaduais, dentre as quais a de ser recolhido em prisão especial ou em sala de Estado-Maior (art. 33, III, da LOMAN).</w:t>
        <w:br/>
        <w:t>[Inq 4.954 AgR-quarto, rel. min. Alexandre de Moraes, j. 07.10.2024, 1ª T, DJE de 09.10.2024.] Ministro aposentado do TCU. Férias não gozadas por necessidade de serviço motivada por exclusivo interesse do poder público. Exercício, no caso, por ministro do TCU, de funções inerentes à administração superior da Corte de Contas. Superveni</w:t>
      </w:r>
    </w:p>
    <w:p>
      <w:pPr>
        <w:ind w:left="288"/>
      </w:pPr>
      <w:r>
        <w:rPr>
          <w:color w:val="8C8C8C"/>
          <w:sz w:val="12"/>
        </w:rPr>
        <w:t>cf-art-73-par-4</w:t>
      </w:r>
      <w:r>
        <w:rPr>
          <w:color w:val="003CA0"/>
          <w:sz w:val="12"/>
        </w:rPr>
        <w:t xml:space="preserve"> | ADI 5.587</w:t>
      </w:r>
      <w:r>
        <w:rPr>
          <w:color w:val="003CA0"/>
          <w:sz w:val="12"/>
        </w:rPr>
        <w:t xml:space="preserve"> | rel. André Mendonça</w:t>
      </w:r>
    </w:p>
    <w:p>
      <w:pPr>
        <w:ind w:left="288"/>
      </w:pPr>
      <w:r>
        <w:rPr>
          <w:color w:val="1E1E1E"/>
          <w:sz w:val="18"/>
        </w:rPr>
        <w:t>A exigência de requisitos adicionais para que auditores exerçam a função de substituição de conselheiros, tais como, a) tempo de serviço no Tribunal e b) ausência de punição ou mesmo prática de infração disciplinar não encontra previsão constitucional e impõe restrições desproporcionais, violando os arts. 73, §§ 1º e 4º, e 75 da Constituição da República.</w:t>
      </w:r>
    </w:p>
    <w:p>
      <w:pPr>
        <w:ind w:left="288"/>
      </w:pPr>
      <w:r>
        <w:rPr>
          <w:b/>
          <w:color w:val="003CA0"/>
          <w:sz w:val="16"/>
        </w:rPr>
        <w:t>[ADI 5.587, rel. min. André Mendonça, j. 25.04.2025, P, DJE de 08.10.2025.]</w:t>
      </w:r>
    </w:p>
    <w:p>
      <w:pPr>
        <w:ind w:left="288"/>
      </w:pPr>
      <w:r>
        <w:rPr>
          <w:color w:val="8C8C8C"/>
          <w:sz w:val="12"/>
        </w:rPr>
        <w:t>cf-art-73-par-4</w:t>
      </w:r>
      <w:r>
        <w:rPr>
          <w:color w:val="003CA0"/>
          <w:sz w:val="12"/>
        </w:rPr>
        <w:t xml:space="preserve"> | ADI 6.054</w:t>
      </w:r>
      <w:r>
        <w:rPr>
          <w:color w:val="003CA0"/>
          <w:sz w:val="12"/>
        </w:rPr>
        <w:t xml:space="preserve"> | rel. Gilmar Mendes</w:t>
      </w:r>
    </w:p>
    <w:p>
      <w:pPr>
        <w:ind w:left="288"/>
      </w:pPr>
      <w:r>
        <w:rPr>
          <w:color w:val="1E1E1E"/>
          <w:sz w:val="18"/>
        </w:rPr>
        <w:t>O art. 73, § 4º, da Constituição Federal fixa que, no exercício ordinário da judicatura de contas, os Auditores do Tribunal de Contas gozam das mesmas garantias e a eles se impõem os mesmos impedimentos de juízes de Tribunais Regionais Federais. Por outro lado, quando em exercício da extraordinária função de substituir Ministros titulares, os Auditores gozam das mesmas garantias e vedações do titular. (...) Habilitação para votar para composição da direção da Corte de Contas. O ato de votar para composição dos órgãos de direção do Tribunal de Contas não consubstancia uma espécie de garantia, t</w:t>
      </w:r>
    </w:p>
    <w:p>
      <w:pPr>
        <w:ind w:left="288"/>
      </w:pPr>
      <w:r>
        <w:rPr>
          <w:b/>
          <w:color w:val="003CA0"/>
          <w:sz w:val="16"/>
        </w:rPr>
        <w:t>[ADI 6.054, rel. min. Gilmar Mendes, j. 28.10.2024, P, DJE de 05.11.2024.]</w:t>
      </w:r>
    </w:p>
    <w:p>
      <w:pPr>
        <w:ind w:left="288"/>
      </w:pPr>
      <w:r>
        <w:rPr>
          <w:color w:val="8C8C8C"/>
          <w:sz w:val="12"/>
        </w:rPr>
        <w:t>cf-art-73-par-4</w:t>
      </w:r>
      <w:r>
        <w:rPr>
          <w:color w:val="003CA0"/>
          <w:sz w:val="12"/>
        </w:rPr>
        <w:t xml:space="preserve"> | ADI 5.530</w:t>
      </w:r>
      <w:r>
        <w:rPr>
          <w:color w:val="003CA0"/>
          <w:sz w:val="12"/>
        </w:rPr>
        <w:t xml:space="preserve"> | rel. Roberto Barroso</w:t>
      </w:r>
    </w:p>
    <w:p>
      <w:pPr>
        <w:ind w:left="288"/>
      </w:pPr>
      <w:r>
        <w:rPr>
          <w:color w:val="1E1E1E"/>
          <w:sz w:val="18"/>
        </w:rPr>
        <w:t>“São inconstitucionais normas que atribuem a emissão de pareceres opinativos aos auditores de Tribunal de Contas estadual, por incompatibilidade com a função de judicatura de contas estabelecida pelos arts. 73, § 4º, e 75, caput, da Constituição”.</w:t>
        <w:br/>
        <w:t>[ADI 5.530, rel. min. Roberto Barroso, j. 22-5-2023, P, DJE de 6-6-2023.] (...) este Supremo Tribunal (...) assentou que a interpretação adequada do § 4º do art. 73 da Constituição da República é aquela que estende aos auditores estaduais as mesmas garantias asseguradas aos magistrados do correspondente Tribunal de Justiça, inclusive quanto à equipar</w:t>
      </w:r>
    </w:p>
    <w:p>
      <w:pPr>
        <w:ind w:left="288"/>
      </w:pPr>
      <w:r>
        <w:rPr>
          <w:b/>
          <w:color w:val="003CA0"/>
          <w:sz w:val="16"/>
        </w:rPr>
        <w:t>[ADI 6.945, rel. min. Roberto Barroso, j. 22-8-2022, P, DJE de 5-9-2022.]</w:t>
      </w:r>
    </w:p>
    <w:p>
      <w:pPr>
        <w:ind w:left="288"/>
      </w:pPr>
      <w:r>
        <w:rPr>
          <w:color w:val="8C8C8C"/>
          <w:sz w:val="12"/>
        </w:rPr>
        <w:t>cf-art-73-par-4</w:t>
      </w:r>
      <w:r>
        <w:rPr>
          <w:color w:val="003CA0"/>
          <w:sz w:val="12"/>
        </w:rPr>
        <w:t xml:space="preserve"> | ADI 4.541</w:t>
      </w:r>
      <w:r>
        <w:rPr>
          <w:color w:val="003CA0"/>
          <w:sz w:val="12"/>
        </w:rPr>
        <w:t xml:space="preserve"> | rel. Cármen Lúcia</w:t>
      </w:r>
    </w:p>
    <w:p>
      <w:pPr>
        <w:ind w:left="288"/>
      </w:pPr>
      <w:r>
        <w:rPr>
          <w:color w:val="1E1E1E"/>
          <w:sz w:val="18"/>
        </w:rPr>
        <w:t>Impossibilidade de equiparação legislativa do cargo de auditor, categorias jurídica e de controle externo, do Tribunal de Contas baiano ao de auditor do Tribunal de Contas da União, de estatura e atribuições distintas. (...) Necessidade de edição de lei estadual para criação do cargo específico de auditor ao qual se refere o art. 73, §§ 2º e 4º, a ser provido por concurso público.</w:t>
      </w:r>
    </w:p>
    <w:p>
      <w:pPr>
        <w:ind w:left="288"/>
      </w:pPr>
      <w:r>
        <w:rPr>
          <w:b/>
          <w:color w:val="003CA0"/>
          <w:sz w:val="16"/>
        </w:rPr>
        <w:t>[ADI 4.541, rel. min. Cármen Lúcia, j. 19-4-2021, P, DJE de 4-5-2021.]</w:t>
      </w:r>
    </w:p>
    <w:p>
      <w:pPr>
        <w:ind w:left="288"/>
      </w:pPr>
      <w:r>
        <w:rPr>
          <w:color w:val="8C8C8C"/>
          <w:sz w:val="12"/>
        </w:rPr>
        <w:t>cf-art-73-par-4</w:t>
      </w:r>
      <w:r>
        <w:rPr>
          <w:color w:val="003CA0"/>
          <w:sz w:val="12"/>
        </w:rPr>
        <w:t xml:space="preserve"> | ADI 1.994</w:t>
      </w:r>
      <w:r>
        <w:rPr>
          <w:color w:val="003CA0"/>
          <w:sz w:val="12"/>
        </w:rPr>
        <w:t xml:space="preserve"> | rel. Eros Grau</w:t>
      </w:r>
    </w:p>
    <w:p>
      <w:pPr>
        <w:ind w:left="288"/>
      </w:pPr>
      <w:r>
        <w:rPr>
          <w:color w:val="1E1E1E"/>
          <w:sz w:val="18"/>
        </w:rPr>
        <w:t>Não é possível ao Estado-membro extinguir o cargo de auditor na corte de contas estadual, previsto constitucionalmente, e substituí-lo por outro cuja forma de provimento igualmente divirja do modelo definido pela Constituição do Brasil/1988.</w:t>
      </w:r>
    </w:p>
    <w:p>
      <w:pPr>
        <w:ind w:left="288"/>
      </w:pPr>
      <w:r>
        <w:rPr>
          <w:b/>
          <w:color w:val="003CA0"/>
          <w:sz w:val="16"/>
        </w:rPr>
        <w:t>[ADI 1.994, rel. min. Eros Grau, j. 24-5-2006, P, DJ de 8-9-2006.]</w:t>
      </w:r>
    </w:p>
    <w:p>
      <w:pPr>
        <w:ind w:left="288"/>
      </w:pPr>
      <w:r>
        <w:rPr>
          <w:color w:val="8C8C8C"/>
          <w:sz w:val="12"/>
        </w:rPr>
        <w:t>cf-art-73-par-4</w:t>
      </w:r>
      <w:r>
        <w:rPr>
          <w:color w:val="003CA0"/>
          <w:sz w:val="12"/>
        </w:rPr>
        <w:t xml:space="preserve"> | ADI 2.208</w:t>
      </w:r>
      <w:r>
        <w:rPr>
          <w:color w:val="003CA0"/>
          <w:sz w:val="12"/>
        </w:rPr>
        <w:t xml:space="preserve"> | rel. Gilmar Mendes</w:t>
      </w:r>
    </w:p>
    <w:p>
      <w:pPr>
        <w:ind w:left="288"/>
      </w:pPr>
      <w:r>
        <w:rPr>
          <w:color w:val="1E1E1E"/>
          <w:sz w:val="18"/>
        </w:rPr>
        <w:t>Criação de cargo de controlador do Tribunal de Contas do Estado do Paraná. Alegada ofensa ao art. 37, II e XIII, aos §§ 1º e 2º do art. 73, e ao art. 75 da Constitução da República. (...) Inconstitucionalidade da previsão de nomeação de auditores e controladores sem aprovação em concurso de provas ou de provas e títulos, conforme determina o art. 37, II, da Constituição. (...) Criação da figura de controlador em desacordo com o disposto na CF (art. 73, § 4º, CF).</w:t>
      </w:r>
    </w:p>
    <w:p>
      <w:pPr>
        <w:ind w:left="288"/>
      </w:pPr>
      <w:r>
        <w:rPr>
          <w:b/>
          <w:color w:val="003CA0"/>
          <w:sz w:val="16"/>
        </w:rPr>
        <w:t>[ADI 2.208, rel. min. Gilmar Mendes, j. 19-5-2004, P, DJ de 25-6-2004.]</w:t>
      </w:r>
    </w:p>
    <w:p>
      <w:r>
        <w:rPr>
          <w:b/>
          <w:color w:val="003366"/>
          <w:sz w:val="20"/>
        </w:rPr>
        <w:t>Art. 74 A União poderá instituir contribuição provisória sobre movimentação ou t</w:t>
      </w:r>
      <w:r>
        <w:rPr>
          <w:color w:val="8C8C8C"/>
          <w:sz w:val="14"/>
        </w:rPr>
        <w:t xml:space="preserve">  [3 decisoes]</w:t>
      </w:r>
    </w:p>
    <w:p>
      <w:pPr>
        <w:ind w:left="144"/>
      </w:pPr>
      <w:r>
        <w:rPr>
          <w:b/>
          <w:color w:val="B45A00"/>
          <w:sz w:val="16"/>
        </w:rPr>
        <w:t>JULGADOS CORRELATOS</w:t>
      </w:r>
    </w:p>
    <w:p>
      <w:pPr>
        <w:ind w:left="288"/>
      </w:pPr>
      <w:r>
        <w:rPr>
          <w:color w:val="8C8C8C"/>
          <w:sz w:val="12"/>
        </w:rPr>
        <w:t>cf-art-74</w:t>
      </w:r>
      <w:r>
        <w:rPr>
          <w:color w:val="003CA0"/>
          <w:sz w:val="12"/>
        </w:rPr>
        <w:t xml:space="preserve"> | RMS 25.943</w:t>
      </w:r>
      <w:r>
        <w:rPr>
          <w:color w:val="003CA0"/>
          <w:sz w:val="12"/>
        </w:rPr>
        <w:t xml:space="preserve"> | rel. Ricardo Lewandowski</w:t>
      </w:r>
    </w:p>
    <w:p>
      <w:pPr>
        <w:ind w:left="288"/>
      </w:pPr>
      <w:r>
        <w:rPr>
          <w:color w:val="1E1E1E"/>
          <w:sz w:val="18"/>
        </w:rPr>
        <w:t>A Controladoria-Geral da União (CGU) pode fiscalizar a aplicação de verbas federais onde quer que elas estejam sendo aplicadas, mesmo que em outro ente federado às quais foram destinadas. A fiscalização exercida pela CGU é interna, pois feita exclusivamente sobre verbas provenientes do orçamento do Executivo.</w:t>
      </w:r>
    </w:p>
    <w:p>
      <w:pPr>
        <w:ind w:left="288"/>
      </w:pPr>
      <w:r>
        <w:rPr>
          <w:b/>
          <w:color w:val="003CA0"/>
          <w:sz w:val="16"/>
        </w:rPr>
        <w:t>[RMS 25.943, rel. min. Ricardo Lewandowski, j. 24-11-2010, P, DJE de 2-3-2011.]</w:t>
      </w:r>
    </w:p>
    <w:p>
      <w:pPr>
        <w:ind w:left="288"/>
      </w:pPr>
      <w:r>
        <w:rPr>
          <w:color w:val="8C8C8C"/>
          <w:sz w:val="12"/>
        </w:rPr>
        <w:t>cf-art-74-inc-I</w:t>
      </w:r>
    </w:p>
    <w:p>
      <w:pPr>
        <w:ind w:left="288"/>
      </w:pPr>
      <w:r>
        <w:rPr>
          <w:color w:val="1E1E1E"/>
          <w:sz w:val="18"/>
        </w:rPr>
        <w:t>II - comprovar a legalidade e avaliar os resultados, quanto à eficácia e eficiência, da gestão orçamentária, financeira e patrimonial nos órgãos e entidades da administração federal, bem como da aplicação de recursos públicos por entidades de direito privado;</w:t>
      </w:r>
    </w:p>
    <w:p>
      <w:pPr>
        <w:ind w:left="288"/>
      </w:pPr>
      <w:r>
        <w:rPr>
          <w:color w:val="8C8C8C"/>
          <w:sz w:val="12"/>
        </w:rPr>
        <w:t>cf-art-74-inc-IV</w:t>
      </w:r>
      <w:r>
        <w:rPr>
          <w:color w:val="003CA0"/>
          <w:sz w:val="12"/>
        </w:rPr>
        <w:t xml:space="preserve"> | ADI 5.705</w:t>
      </w:r>
      <w:r>
        <w:rPr>
          <w:color w:val="003CA0"/>
          <w:sz w:val="12"/>
        </w:rPr>
        <w:t xml:space="preserve"> | rel. André Mendonça</w:t>
      </w:r>
    </w:p>
    <w:p>
      <w:pPr>
        <w:ind w:left="288"/>
      </w:pPr>
      <w:r>
        <w:rPr>
          <w:color w:val="1E1E1E"/>
          <w:sz w:val="18"/>
        </w:rPr>
        <w:t>A Constituição Federal (artigos 70 a 74) prevê os sistemas de controle interno e externo como mecanismos autônomos e cooperativos de fiscalização da Administração Pública, sem relação de hierarquia entre si. O modelo constitucional atribui ao controle interno a função de apoio ao controle externo, mas não o subordina às determinações dos Tribunais de Contas, em respeito ao princípio da separação de poderes. (...) A expressão "por determinação do Tribunal de Contas do Estado", contida no art. 61, inciso I, da Lei complementar estadual nº 202, de 2000, implica subordinação hierárquica indevida d</w:t>
      </w:r>
    </w:p>
    <w:p>
      <w:pPr>
        <w:ind w:left="288"/>
      </w:pPr>
      <w:r>
        <w:rPr>
          <w:b/>
          <w:color w:val="003CA0"/>
          <w:sz w:val="16"/>
        </w:rPr>
        <w:t>[ADI 5.705, rel. min. André Mendonça, j. 09.06.2025, P, DJE de 28.08.2025.]</w:t>
      </w:r>
    </w:p>
    <w:p>
      <w:pPr>
        <w:ind w:left="432"/>
      </w:pPr>
      <w:r>
        <w:rPr>
          <w:color w:val="003366"/>
          <w:sz w:val="18"/>
        </w:rPr>
        <w:t>§ 1 A alíquota da contribuição de que trata este artigo não excederá a vinte e c</w:t>
      </w:r>
    </w:p>
    <w:p>
      <w:pPr>
        <w:ind w:left="432"/>
      </w:pPr>
      <w:r>
        <w:rPr>
          <w:color w:val="003366"/>
          <w:sz w:val="18"/>
        </w:rPr>
        <w:t>§ 2 A contribuição de que trata este artigo não se aplica o disposto nos arts. 1</w:t>
      </w:r>
    </w:p>
    <w:p>
      <w:pPr>
        <w:ind w:left="432"/>
      </w:pPr>
      <w:r>
        <w:rPr>
          <w:color w:val="003366"/>
          <w:sz w:val="18"/>
        </w:rPr>
        <w:t>§ 3 O produto da arrecadação da contribuição de que trata este artigo será desti</w:t>
      </w:r>
    </w:p>
    <w:p>
      <w:pPr>
        <w:ind w:left="432"/>
      </w:pPr>
      <w:r>
        <w:rPr>
          <w:color w:val="003366"/>
          <w:sz w:val="18"/>
        </w:rPr>
        <w:t>§ 4 A contribuição de que trata este artigo terá sua exigibilidade subordinada a</w:t>
      </w:r>
    </w:p>
    <w:p>
      <w:r>
        <w:rPr>
          <w:b/>
          <w:color w:val="003366"/>
          <w:sz w:val="20"/>
        </w:rPr>
        <w:t>Art. 75 É prorrogada, por trinta e seis meses, a cobrança da contribuição provis</w:t>
      </w:r>
      <w:r>
        <w:rPr>
          <w:color w:val="8C8C8C"/>
          <w:sz w:val="14"/>
        </w:rPr>
        <w:t xml:space="preserve">  [35 decisoes]</w:t>
      </w:r>
    </w:p>
    <w:p>
      <w:pPr>
        <w:ind w:left="288"/>
      </w:pPr>
      <w:r>
        <w:rPr>
          <w:color w:val="8C8C8C"/>
          <w:sz w:val="12"/>
        </w:rPr>
        <w:t>cf-art-75</w:t>
      </w:r>
      <w:r>
        <w:rPr>
          <w:color w:val="003CA0"/>
          <w:sz w:val="12"/>
        </w:rPr>
        <w:t xml:space="preserve"> | ADI 4.124</w:t>
      </w:r>
      <w:r>
        <w:rPr>
          <w:color w:val="003CA0"/>
          <w:sz w:val="12"/>
        </w:rPr>
        <w:t xml:space="preserve"> | rel. Nunes Marques</w:t>
      </w:r>
    </w:p>
    <w:p>
      <w:pPr>
        <w:ind w:left="288"/>
      </w:pPr>
      <w:r>
        <w:rPr>
          <w:color w:val="1E1E1E"/>
          <w:sz w:val="18"/>
        </w:rPr>
        <w:t>Os Tribunais de Contas dos Municípios do Estado, quando existentes, são órgãos estaduais, sujeitos à competência genérica do Tribunal de Contas do Estado para o julgamento de suas contas, nos termos dos arts. 71, II, e 75 da CF/1988. A norma estadual que atribui à Assembleia Legislativa o julgamento das contas do Tribunal de Contas dos Municípios do Estado viola a organização do controle externo definida pela Constituição Federal, configurando ingerência indevida no modelo federativo e na repartição de competências estabelecida pela Carta Magna.</w:t>
      </w:r>
    </w:p>
    <w:p>
      <w:pPr>
        <w:ind w:left="288"/>
      </w:pPr>
      <w:r>
        <w:rPr>
          <w:b/>
          <w:color w:val="003CA0"/>
          <w:sz w:val="16"/>
        </w:rPr>
        <w:t>[ADI 4.124, rel. min. Nunes Marques, j. 16-12-2025, P, DJE de 26-1-2026.]</w:t>
      </w:r>
    </w:p>
    <w:p>
      <w:pPr>
        <w:ind w:left="288"/>
      </w:pPr>
      <w:r>
        <w:rPr>
          <w:color w:val="8C8C8C"/>
          <w:sz w:val="12"/>
        </w:rPr>
        <w:t>cf-art-75</w:t>
      </w:r>
      <w:r>
        <w:rPr>
          <w:color w:val="003CA0"/>
          <w:sz w:val="12"/>
        </w:rPr>
        <w:t xml:space="preserve"> | ADI 7.053</w:t>
      </w:r>
      <w:r>
        <w:rPr>
          <w:color w:val="003CA0"/>
          <w:sz w:val="12"/>
        </w:rPr>
        <w:t xml:space="preserve"> | rel. Nunes Marques</w:t>
      </w:r>
    </w:p>
    <w:p>
      <w:pPr>
        <w:ind w:left="288"/>
      </w:pPr>
      <w:r>
        <w:rPr>
          <w:color w:val="1E1E1E"/>
          <w:sz w:val="18"/>
        </w:rPr>
        <w:t>Desde 1993, o Supremo Tribunal Federal compreende que a composição dos Tribunais de Contas estaduais e do Distrito Federal deve seguir o padrão de 4 (quatro) indicações pelas Assembleias Legislativas ou pela Câmara Distrital e 3 (três) vagas destinadas à escolha do Governador, das quais 2 (duas) têm vinculação à carreira de Auditor da Corte de Contas e aos membros do MP de Contas. (...) Deixar de prover, deliberadamente, os cargos de Auditor do Tribunal de Contas por certo configura circunstância de inconstitucionalidade por omissão, que deve ser objeto da devida atenção pelos Poderes constitu</w:t>
      </w:r>
    </w:p>
    <w:p>
      <w:pPr>
        <w:ind w:left="288"/>
      </w:pPr>
      <w:r>
        <w:rPr>
          <w:b/>
          <w:color w:val="003CA0"/>
          <w:sz w:val="16"/>
        </w:rPr>
        <w:t>[ADI 7.053, rel. min. Nunes Marques, red. do ac. min. Gilmar Mendes, j. 12.08.2025, P, DJE de 08.10.2025.]</w:t>
      </w:r>
    </w:p>
    <w:p>
      <w:pPr>
        <w:ind w:left="288"/>
      </w:pPr>
      <w:r>
        <w:rPr>
          <w:color w:val="8C8C8C"/>
          <w:sz w:val="12"/>
        </w:rPr>
        <w:t>cf-art-75</w:t>
      </w:r>
      <w:r>
        <w:rPr>
          <w:color w:val="003CA0"/>
          <w:sz w:val="12"/>
        </w:rPr>
        <w:t xml:space="preserve"> | ADPF 434</w:t>
      </w:r>
      <w:r>
        <w:rPr>
          <w:color w:val="003CA0"/>
          <w:sz w:val="12"/>
        </w:rPr>
        <w:t xml:space="preserve"> | rel. Nunes Marques</w:t>
      </w:r>
    </w:p>
    <w:p>
      <w:pPr>
        <w:ind w:left="288"/>
      </w:pPr>
      <w:r>
        <w:rPr>
          <w:color w:val="1E1E1E"/>
          <w:sz w:val="18"/>
        </w:rPr>
        <w:t>O parecer técnico do Tribunal de Contas, embora relevante para subsidiar o julgamento político da Assembleia Legislativa, possui natureza opinativa, não vinculando nem condicionando o exercício da competência legislativa. A ausência de parecer prévio no prazo constitucional não obsta o julgamento das contas pelo Legislativo, sendo-lhe vedado eximir-se da competência constitucionalmente atribuída.</w:t>
      </w:r>
    </w:p>
    <w:p>
      <w:pPr>
        <w:ind w:left="288"/>
      </w:pPr>
      <w:r>
        <w:rPr>
          <w:b/>
          <w:color w:val="003CA0"/>
          <w:sz w:val="16"/>
        </w:rPr>
        <w:t>[ADPF 434, rel. min. Nunes Marques, j. 12.08.2025, P, DJE de 16.10.2025.]</w:t>
      </w:r>
    </w:p>
    <w:p>
      <w:pPr>
        <w:ind w:left="288"/>
      </w:pPr>
      <w:r>
        <w:rPr>
          <w:color w:val="8C8C8C"/>
          <w:sz w:val="12"/>
        </w:rPr>
        <w:t>cf-art-75</w:t>
      </w:r>
      <w:r>
        <w:rPr>
          <w:color w:val="003CA0"/>
          <w:sz w:val="12"/>
        </w:rPr>
        <w:t xml:space="preserve"> | ADI 7.459</w:t>
      </w:r>
      <w:r>
        <w:rPr>
          <w:color w:val="003CA0"/>
          <w:sz w:val="12"/>
        </w:rPr>
        <w:t xml:space="preserve"> | rel. Dias Toffoli</w:t>
      </w:r>
    </w:p>
    <w:p>
      <w:pPr>
        <w:ind w:left="288"/>
      </w:pPr>
      <w:r>
        <w:rPr>
          <w:color w:val="1E1E1E"/>
          <w:sz w:val="18"/>
        </w:rPr>
        <w:t>O procedimento de análise prévia de seletividade é instrumento para que a Corte de Contas conheça o objeto da denúncia e possa mensurar os impactos e as repercussões da irregularidade apontada, de modo que a Corte de Contas atue apenas quando presentes materialidade, relevância, oportunidade, risco, gravidade, urgência e tendência que justifiquem uma ação de controle externo. O Tribunal poderá priorizar esforços em ações de maior impacto em termos sociais, financeiros e orçamentários, evitando que o controle externo atue em questões menores cujo custo seja maior do que eventual benefício. Obse</w:t>
      </w:r>
    </w:p>
    <w:p>
      <w:pPr>
        <w:ind w:left="288"/>
      </w:pPr>
      <w:r>
        <w:rPr>
          <w:b/>
          <w:color w:val="003CA0"/>
          <w:sz w:val="16"/>
        </w:rPr>
        <w:t>[ADI 7.459, rel. min. Dias Toffoli, j. 01.07.2025, P, DJE de 08.07.2025.]</w:t>
      </w:r>
    </w:p>
    <w:p>
      <w:pPr>
        <w:ind w:left="288"/>
      </w:pPr>
      <w:r>
        <w:rPr>
          <w:color w:val="8C8C8C"/>
          <w:sz w:val="12"/>
        </w:rPr>
        <w:t>cf-art-75</w:t>
      </w:r>
      <w:r>
        <w:rPr>
          <w:color w:val="003CA0"/>
          <w:sz w:val="12"/>
        </w:rPr>
        <w:t xml:space="preserve"> | ADI 5.276</w:t>
      </w:r>
      <w:r>
        <w:rPr>
          <w:color w:val="003CA0"/>
          <w:sz w:val="12"/>
        </w:rPr>
        <w:t xml:space="preserve"> | rel. Nunes Marques</w:t>
      </w:r>
    </w:p>
    <w:p>
      <w:pPr>
        <w:ind w:left="288"/>
      </w:pPr>
      <w:r>
        <w:rPr>
          <w:color w:val="1E1E1E"/>
          <w:sz w:val="18"/>
        </w:rPr>
        <w:t>A CF/1988 estabelece que os membros do Tribunal de Contas escolhidos dentre auditores e membros do Ministério Público junto à Corte sejam indicados em lista tríplice elaborada pelo Tribunal segundo os critérios de antiguidade e merecimento. O critério de antiguidade, por sua natureza objetiva, não admite combinação com elemento subjetivo, como a votação, pelos membros da Corte, de nomes para comporem a lista tríplice, parâmetro de índole essencialmente pessoal e política. O dispositivo impugnado viola o princípio da simetria, pois incorpora em situação de empate, na escolha de candidato por an</w:t>
      </w:r>
    </w:p>
    <w:p>
      <w:pPr>
        <w:ind w:left="288"/>
      </w:pPr>
      <w:r>
        <w:rPr>
          <w:b/>
          <w:color w:val="003CA0"/>
          <w:sz w:val="16"/>
        </w:rPr>
        <w:t>[ADI 5.276, rel. min. Nunes Marques, j. 25.04.2025, P, DJE de 13.05.2025.]</w:t>
      </w:r>
    </w:p>
    <w:p>
      <w:pPr>
        <w:ind w:left="288"/>
      </w:pPr>
      <w:r>
        <w:rPr>
          <w:color w:val="8C8C8C"/>
          <w:sz w:val="12"/>
        </w:rPr>
        <w:t>cf-art-75</w:t>
      </w:r>
      <w:r>
        <w:rPr>
          <w:color w:val="003CA0"/>
          <w:sz w:val="12"/>
        </w:rPr>
        <w:t xml:space="preserve"> | ADI 5.587</w:t>
      </w:r>
      <w:r>
        <w:rPr>
          <w:color w:val="003CA0"/>
          <w:sz w:val="12"/>
        </w:rPr>
        <w:t xml:space="preserve"> | rel. André Mendonça</w:t>
      </w:r>
    </w:p>
    <w:p>
      <w:pPr>
        <w:ind w:left="288"/>
      </w:pPr>
      <w:r>
        <w:rPr>
          <w:color w:val="1E1E1E"/>
          <w:sz w:val="18"/>
        </w:rPr>
        <w:t>A exigência de requisitos adicionais para que auditores exerçam a função de substituição de conselheiros, tais como, a) tempo de serviço no Tribunal e b) ausência de punição ou mesmo prática de infração disciplinar não encontra previsão constitucional e impõe restrições desproporcionais, violando os arts. 73, §§ 1º e 4º, e 75 da Constituição da República.</w:t>
      </w:r>
    </w:p>
    <w:p>
      <w:pPr>
        <w:ind w:left="288"/>
      </w:pPr>
      <w:r>
        <w:rPr>
          <w:b/>
          <w:color w:val="003CA0"/>
          <w:sz w:val="16"/>
        </w:rPr>
        <w:t>[ADI 5.587, rel. min. André Mendonça, j. 25.04.2025, P, DJE de 08.10.2025.]</w:t>
      </w:r>
    </w:p>
    <w:p>
      <w:pPr>
        <w:ind w:left="288"/>
      </w:pPr>
      <w:r>
        <w:rPr>
          <w:color w:val="8C8C8C"/>
          <w:sz w:val="12"/>
        </w:rPr>
        <w:t>cf-art-75</w:t>
      </w:r>
      <w:r>
        <w:rPr>
          <w:color w:val="003CA0"/>
          <w:sz w:val="12"/>
        </w:rPr>
        <w:t xml:space="preserve"> | ADI 4.190</w:t>
      </w:r>
      <w:r>
        <w:rPr>
          <w:color w:val="003CA0"/>
          <w:sz w:val="12"/>
        </w:rPr>
        <w:t xml:space="preserve"> | rel. Nunes Marques</w:t>
      </w:r>
    </w:p>
    <w:p>
      <w:pPr>
        <w:ind w:left="288"/>
      </w:pPr>
      <w:r>
        <w:rPr>
          <w:color w:val="1E1E1E"/>
          <w:sz w:val="18"/>
        </w:rPr>
        <w:t xml:space="preserve">Art. 128, §§ 6º e 7º, da Constituição do Estado do Rio de Janeiro, na redação conferida pela Emenda nº 40/2009, renumerados pela Emenda nº 53/2012. Condutas praticadas por conselheiros do Tribunal de Contas. Julgamento pela Assembleia Legislativa. Sanção de afastamento do cargo. Disciplina do processo e julgamento. Tipificação de crimes de responsabilidade. (...) A previsão de perda do cargo sem decisão judicial transitada em julgado ofende a garantia constitucional da vitaliciedade assegurada pelo modelo federal extensível aos Tribunais de Contas dos Estados-membros (CF/1988, arts. 73, § 3º, </w:t>
      </w:r>
    </w:p>
    <w:p>
      <w:pPr>
        <w:ind w:left="288"/>
      </w:pPr>
      <w:r>
        <w:rPr>
          <w:b/>
          <w:color w:val="003CA0"/>
          <w:sz w:val="16"/>
        </w:rPr>
        <w:t>[ADI 4.190, rel. min. Nunes Marques, j. 24.02.2025, P, DJE de 11.03.2025.]</w:t>
      </w:r>
    </w:p>
    <w:p>
      <w:pPr>
        <w:ind w:left="288"/>
      </w:pPr>
      <w:r>
        <w:rPr>
          <w:color w:val="8C8C8C"/>
          <w:sz w:val="12"/>
        </w:rPr>
        <w:t>cf-art-75</w:t>
      </w:r>
      <w:r>
        <w:rPr>
          <w:color w:val="003CA0"/>
          <w:sz w:val="12"/>
        </w:rPr>
        <w:t xml:space="preserve"> | ADI 5.254</w:t>
      </w:r>
      <w:r>
        <w:rPr>
          <w:color w:val="003CA0"/>
          <w:sz w:val="12"/>
        </w:rPr>
        <w:t xml:space="preserve"> | rel. Luís Roberto Barroso</w:t>
      </w:r>
    </w:p>
    <w:p>
      <w:pPr>
        <w:ind w:left="288"/>
      </w:pPr>
      <w:r>
        <w:rPr>
          <w:color w:val="1E1E1E"/>
          <w:sz w:val="18"/>
        </w:rPr>
        <w:t>“É inconstitucional, por violação aos arts. 130 e 75 da CF/1988, norma estadual que confere autonomia administrativa e orçamentária ao Ministério Público Estadual junto ao Tribunal de Contas, garantida a independência funcional de seus membros e os meios necessários para o desempenho da função”.</w:t>
      </w:r>
    </w:p>
    <w:p>
      <w:pPr>
        <w:ind w:left="288"/>
      </w:pPr>
      <w:r>
        <w:rPr>
          <w:b/>
          <w:color w:val="003CA0"/>
          <w:sz w:val="16"/>
        </w:rPr>
        <w:t>[ADI 5.254, rel. min. Luís Roberto Barroso, j. 21.08.2024, P, DJE de 05.08.2025.]</w:t>
      </w:r>
    </w:p>
    <w:p>
      <w:pPr>
        <w:ind w:left="288"/>
      </w:pPr>
      <w:r>
        <w:rPr>
          <w:color w:val="8C8C8C"/>
          <w:sz w:val="12"/>
        </w:rPr>
        <w:t>cf-art-75</w:t>
      </w:r>
      <w:r>
        <w:rPr>
          <w:color w:val="003CA0"/>
          <w:sz w:val="12"/>
        </w:rPr>
        <w:t xml:space="preserve"> | ADI 6.557</w:t>
      </w:r>
      <w:r>
        <w:rPr>
          <w:color w:val="003CA0"/>
          <w:sz w:val="12"/>
        </w:rPr>
        <w:t xml:space="preserve"> | rel. Cristiano Zanin</w:t>
      </w:r>
    </w:p>
    <w:p>
      <w:pPr>
        <w:ind w:left="288"/>
      </w:pPr>
      <w:r>
        <w:rPr>
          <w:color w:val="1E1E1E"/>
          <w:sz w:val="18"/>
        </w:rPr>
        <w:t>Inocorrência de afronta à iniciativa privativa dos Tribunais de Contas. A alteração da destinação da receita decorrente de aplicação de multa pelo Tribunal de Contas estadual é matéria estranha à estruturação ou organização interna da respectiva Corte de Contas. As receitas públicas provenientes de multas aplicadas pelos Tribunais de Contas estaduais pertencem ao tesouro do ente público beneficiado pela decisão de imputação de débito ou mantenedor da respectiva Corte de Contas.</w:t>
        <w:br/>
        <w:t xml:space="preserve">[ADI 6.557, rel. min. Cristiano Zanin, j. 19.08.2024, P, DJE de 22.08.2024.] “1. É constitucional a criação de órgão </w:t>
      </w:r>
    </w:p>
    <w:p>
      <w:pPr>
        <w:ind w:left="288"/>
      </w:pPr>
      <w:r>
        <w:rPr>
          <w:b/>
          <w:color w:val="003CA0"/>
          <w:sz w:val="16"/>
        </w:rPr>
        <w:t>[ADI 6.951, rel. min. Edson Fachin, j. 13-6-2022, P, DJE de 28-6-2022.]</w:t>
      </w:r>
    </w:p>
    <w:p>
      <w:pPr>
        <w:ind w:left="288"/>
      </w:pPr>
      <w:r>
        <w:rPr>
          <w:color w:val="8C8C8C"/>
          <w:sz w:val="12"/>
        </w:rPr>
        <w:t>cf-art-75</w:t>
      </w:r>
      <w:r>
        <w:rPr>
          <w:color w:val="003CA0"/>
          <w:sz w:val="12"/>
        </w:rPr>
        <w:t xml:space="preserve"> | ADI 5.384</w:t>
      </w:r>
      <w:r>
        <w:rPr>
          <w:color w:val="003CA0"/>
          <w:sz w:val="12"/>
        </w:rPr>
        <w:t xml:space="preserve"> | rel. Alexandre de Moraes</w:t>
      </w:r>
    </w:p>
    <w:p>
      <w:pPr>
        <w:ind w:left="288"/>
      </w:pPr>
      <w:r>
        <w:rPr>
          <w:color w:val="1E1E1E"/>
          <w:sz w:val="18"/>
        </w:rPr>
        <w:t>A edição de norma estadual, decorrente de emenda parlamentar, veiculadora de regras sobre prescrição e decadência aplicável no âmbito de Tribunal de Contas estadual, não ofende a competência privativa desse para iniciar o processo legislativo a dispor sobre sua organização e funcionamento.</w:t>
      </w:r>
    </w:p>
    <w:p>
      <w:pPr>
        <w:ind w:left="288"/>
      </w:pPr>
      <w:r>
        <w:rPr>
          <w:b/>
          <w:color w:val="003CA0"/>
          <w:sz w:val="16"/>
        </w:rPr>
        <w:t>[ADI 5.384, rel. min. Alexandre de Moraes, j. 30-5-2022, P, DJE de 10-8-2022.]</w:t>
      </w:r>
    </w:p>
    <w:p>
      <w:pPr>
        <w:ind w:left="288"/>
      </w:pPr>
      <w:r>
        <w:rPr>
          <w:color w:val="8C8C8C"/>
          <w:sz w:val="12"/>
        </w:rPr>
        <w:t>cf-art-75</w:t>
      </w:r>
      <w:r>
        <w:rPr>
          <w:color w:val="003CA0"/>
          <w:sz w:val="12"/>
        </w:rPr>
        <w:t xml:space="preserve"> | ADI 3.977</w:t>
      </w:r>
      <w:r>
        <w:rPr>
          <w:color w:val="003CA0"/>
          <w:sz w:val="12"/>
        </w:rPr>
        <w:t xml:space="preserve"> | rel. Marco Aurélio</w:t>
      </w:r>
    </w:p>
    <w:p>
      <w:pPr>
        <w:ind w:left="288"/>
      </w:pPr>
      <w:r>
        <w:rPr>
          <w:color w:val="1E1E1E"/>
          <w:sz w:val="18"/>
        </w:rPr>
        <w:t>Consideradas a autonomia e a independência asseguradas aos Tribunais de Contas pela Lei Maior, surge constitucional a limitação do padrão remuneratório dos auditores àqueles vinculados ao subsídio percebido por Conselheiro – cargo de maior hierarquia dentro dos órgãos.</w:t>
      </w:r>
    </w:p>
    <w:p>
      <w:pPr>
        <w:ind w:left="288"/>
      </w:pPr>
      <w:r>
        <w:rPr>
          <w:b/>
          <w:color w:val="003CA0"/>
          <w:sz w:val="16"/>
        </w:rPr>
        <w:t>[ADI 3.977, rel. min. Marco Aurélio, j. 10-10-2019, P, DJE de 10-3-2020.]</w:t>
      </w:r>
    </w:p>
    <w:p>
      <w:pPr>
        <w:ind w:left="288"/>
      </w:pPr>
      <w:r>
        <w:rPr>
          <w:color w:val="8C8C8C"/>
          <w:sz w:val="12"/>
        </w:rPr>
        <w:t>cf-art-75</w:t>
      </w:r>
      <w:r>
        <w:rPr>
          <w:color w:val="003CA0"/>
          <w:sz w:val="12"/>
        </w:rPr>
        <w:t xml:space="preserve"> | ADI 3.417</w:t>
      </w:r>
      <w:r>
        <w:rPr>
          <w:color w:val="003CA0"/>
          <w:sz w:val="12"/>
        </w:rPr>
        <w:t xml:space="preserve"> | rel. Cármen Lúcia</w:t>
      </w:r>
    </w:p>
    <w:p>
      <w:pPr>
        <w:ind w:left="288"/>
      </w:pPr>
      <w:r>
        <w:rPr>
          <w:color w:val="1E1E1E"/>
          <w:sz w:val="18"/>
        </w:rPr>
        <w:t>A aplicação subsidiária aos conselheiros do Tribunal de Contas do Distrito Federal das normas do regime jurídico dos servidores públicos desse órgão conduz à extensão indevida de vantagens não estabelecidas na Lei Orgânica da Magistratura e quebra da paridade determinada pela Constituição da República entre os membros do Tribunal de Contas e os magistrados, conforme previsão do § 3º do art. 73 e do art. 75 da Constituição da República.</w:t>
      </w:r>
    </w:p>
    <w:p>
      <w:pPr>
        <w:ind w:left="288"/>
      </w:pPr>
      <w:r>
        <w:rPr>
          <w:b/>
          <w:color w:val="003CA0"/>
          <w:sz w:val="16"/>
        </w:rPr>
        <w:t>[ADI 3.417, rel. min. Cármen Lúcia, j. 13-9-2019, P, DJE de 27-9-2019.]</w:t>
      </w:r>
    </w:p>
    <w:p>
      <w:pPr>
        <w:ind w:left="288"/>
      </w:pPr>
      <w:r>
        <w:rPr>
          <w:color w:val="8C8C8C"/>
          <w:sz w:val="12"/>
        </w:rPr>
        <w:t>cf-art-75</w:t>
      </w:r>
      <w:r>
        <w:rPr>
          <w:color w:val="003CA0"/>
          <w:sz w:val="12"/>
        </w:rPr>
        <w:t xml:space="preserve"> | ADI 4.643</w:t>
      </w:r>
      <w:r>
        <w:rPr>
          <w:color w:val="003CA0"/>
          <w:sz w:val="12"/>
        </w:rPr>
        <w:t xml:space="preserve"> | rel. Luiz Fux</w:t>
      </w:r>
    </w:p>
    <w:p>
      <w:pPr>
        <w:ind w:left="288"/>
      </w:pPr>
      <w:r>
        <w:rPr>
          <w:color w:val="1E1E1E"/>
          <w:sz w:val="18"/>
        </w:rPr>
        <w:t>A Lei Complementar 142/2011 do Estado do Rio de Janeiro, de origem parlamentar, ao alterar diversos dispositivos da Lei Orgânica do Tribunal de Contas do Estado do Rio de Janeiro, contrariou o disposto nos artigos 73, 75 e 96, II, d, da Constituição Federal, por dispor sobre forma de atuação, competências, garantias, deveres e organização do Tribunal de Contas estadual, matéria de iniciativa legislativa privativa daquela Corte. As Cortes de Contas do país, conforme reconhecido pela Constituição de 1988 e por esta Suprema Corte, gozam das prerrogativas da autonomia e do autogoverno, o que inclu</w:t>
      </w:r>
    </w:p>
    <w:p>
      <w:pPr>
        <w:ind w:left="288"/>
      </w:pPr>
      <w:r>
        <w:rPr>
          <w:b/>
          <w:color w:val="003CA0"/>
          <w:sz w:val="16"/>
        </w:rPr>
        <w:t>[ADI 4.643, rel. min. Luiz Fux, j. 15-5-2019, P, DJE de 3-6-2019.]</w:t>
      </w:r>
    </w:p>
    <w:p>
      <w:pPr>
        <w:ind w:left="288"/>
      </w:pPr>
      <w:r>
        <w:rPr>
          <w:color w:val="8C8C8C"/>
          <w:sz w:val="12"/>
        </w:rPr>
        <w:t>cf-art-75</w:t>
      </w:r>
      <w:r>
        <w:rPr>
          <w:color w:val="003CA0"/>
          <w:sz w:val="12"/>
        </w:rPr>
        <w:t xml:space="preserve"> | ADI 5.323</w:t>
      </w:r>
      <w:r>
        <w:rPr>
          <w:color w:val="003CA0"/>
          <w:sz w:val="12"/>
        </w:rPr>
        <w:t xml:space="preserve"> | rel. Rosa Weber</w:t>
      </w:r>
    </w:p>
    <w:p>
      <w:pPr>
        <w:ind w:left="288"/>
      </w:pPr>
      <w:r>
        <w:rPr>
          <w:color w:val="1E1E1E"/>
          <w:sz w:val="18"/>
        </w:rPr>
        <w:t>O art. 75, caput, da Constituição da República contempla comando expresso de espelhamento obrigatório, nos Estados, no Distrito Federal e nos Municípios, do modelo nela estabelecido de controle externo da higidez contábil, financeira e orçamentária dos atos administrativos, sendo materialmente inconstitucional a norma de regência da organização ou funcionamento de Tribunal de Contas estadual divorciada do modelo federal de controle externo das contas públicas.</w:t>
      </w:r>
    </w:p>
    <w:p>
      <w:pPr>
        <w:ind w:left="288"/>
      </w:pPr>
      <w:r>
        <w:rPr>
          <w:b/>
          <w:color w:val="003CA0"/>
          <w:sz w:val="16"/>
        </w:rPr>
        <w:t>[ADI 5.323, rel. min. Rosa Weber, j. 11-4-2019, P, DJE de 6-5-2019.]</w:t>
      </w:r>
    </w:p>
    <w:p>
      <w:pPr>
        <w:ind w:left="288"/>
      </w:pPr>
      <w:r>
        <w:rPr>
          <w:color w:val="8C8C8C"/>
          <w:sz w:val="12"/>
        </w:rPr>
        <w:t>cf-art-75</w:t>
      </w:r>
      <w:r>
        <w:rPr>
          <w:color w:val="003CA0"/>
          <w:sz w:val="12"/>
        </w:rPr>
        <w:t xml:space="preserve"> | ADI 825</w:t>
      </w:r>
      <w:r>
        <w:rPr>
          <w:color w:val="003CA0"/>
          <w:sz w:val="12"/>
        </w:rPr>
        <w:t xml:space="preserve"> | rel. Alexandre de Moraes</w:t>
      </w:r>
    </w:p>
    <w:p>
      <w:pPr>
        <w:ind w:left="288"/>
      </w:pPr>
      <w:r>
        <w:rPr>
          <w:color w:val="1E1E1E"/>
          <w:sz w:val="18"/>
        </w:rPr>
        <w:t>É inconstitucional a atribuição, aos Tribunais de Contas estaduais, de competência para homologação dos cálculos das cotas do ICMS devidas aos Municípios, por violação ao princípio da separação dos Poderes (art. 2º da CF), afastada a alegação de simetria com o modelo federal (arts. 75 e 161, parágrafo único, da CF).</w:t>
      </w:r>
    </w:p>
    <w:p>
      <w:pPr>
        <w:ind w:left="288"/>
      </w:pPr>
      <w:r>
        <w:rPr>
          <w:b/>
          <w:color w:val="003CA0"/>
          <w:sz w:val="16"/>
        </w:rPr>
        <w:t>[ADI 825, rel. min. Alexandre de Moraes, j. 25-10-2018, P, DJE de 27-6-2019.]</w:t>
      </w:r>
    </w:p>
    <w:p>
      <w:pPr>
        <w:ind w:left="288"/>
      </w:pPr>
      <w:r>
        <w:rPr>
          <w:color w:val="8C8C8C"/>
          <w:sz w:val="12"/>
        </w:rPr>
        <w:t>cf-art-75</w:t>
      </w:r>
      <w:r>
        <w:rPr>
          <w:color w:val="003CA0"/>
          <w:sz w:val="12"/>
        </w:rPr>
        <w:t xml:space="preserve"> | ADI 916</w:t>
      </w:r>
      <w:r>
        <w:rPr>
          <w:color w:val="003CA0"/>
          <w:sz w:val="12"/>
        </w:rPr>
        <w:t xml:space="preserve"> | rel. Joaquim Barbosa</w:t>
      </w:r>
    </w:p>
    <w:p>
      <w:pPr>
        <w:ind w:left="288"/>
      </w:pPr>
      <w:r>
        <w:rPr>
          <w:color w:val="1E1E1E"/>
          <w:sz w:val="18"/>
        </w:rPr>
        <w:t>Nos termos do art. 75 da Constituição, as normas relativas à organização e fiscalização do TCU se aplicam aos demais tribunais de contas. O art. 71 da Constituição não insere na competência do TCU a aptidão para examinar, previamente, a validade de contratos administrativos celebrados pelo poder público. Atividade que se insere no acervo de competência da função executiva. É inconstitucional norma local que estabeleça a competência do tribunal de contas para realizar exame prévio de validade de contratos firmados com o poder público.</w:t>
      </w:r>
    </w:p>
    <w:p>
      <w:pPr>
        <w:ind w:left="288"/>
      </w:pPr>
      <w:r>
        <w:rPr>
          <w:b/>
          <w:color w:val="003CA0"/>
          <w:sz w:val="16"/>
        </w:rPr>
        <w:t>[ADI 916, rel. min. Joaquim Barbosa, j. 2-2-2009, P, DJE de 6-3-2009.]</w:t>
      </w:r>
    </w:p>
    <w:p>
      <w:pPr>
        <w:ind w:left="288"/>
      </w:pPr>
      <w:r>
        <w:rPr>
          <w:color w:val="8C8C8C"/>
          <w:sz w:val="12"/>
        </w:rPr>
        <w:t>cf-art-75</w:t>
      </w:r>
      <w:r>
        <w:rPr>
          <w:color w:val="003CA0"/>
          <w:sz w:val="12"/>
        </w:rPr>
        <w:t xml:space="preserve"> | ADI 3.688</w:t>
      </w:r>
      <w:r>
        <w:rPr>
          <w:color w:val="003CA0"/>
          <w:sz w:val="12"/>
        </w:rPr>
        <w:t xml:space="preserve"> | rel. Joaquim Barbosa</w:t>
      </w:r>
    </w:p>
    <w:p>
      <w:pPr>
        <w:ind w:left="288"/>
      </w:pPr>
      <w:r>
        <w:rPr>
          <w:color w:val="1E1E1E"/>
          <w:sz w:val="18"/>
        </w:rPr>
        <w:t>Lei do Estado de Pernambuco que prevê que a escolha de membros indicados para o Tribunal de Contas do Estado será feita do seguinte modo: as três primeiras pela Assembleia Legislativa e as três seguintes pelo governador. A aplicação pura e simples do critério cronológico permite que vagas ocupadas originalmente por membros indicados pela Assembleia Legislativa sejam posteriormente ocupadas por membros indicados pelo governador, ferindo assim o entendimento desta Corte, exposto na Súmula 653, de que nos tribunais de contas estaduais que contêm 7 membros, a seguinte proporção deverá ser respeita</w:t>
      </w:r>
    </w:p>
    <w:p>
      <w:pPr>
        <w:ind w:left="288"/>
      </w:pPr>
      <w:r>
        <w:rPr>
          <w:b/>
          <w:color w:val="003CA0"/>
          <w:sz w:val="16"/>
        </w:rPr>
        <w:t>[ADI 3.688, rel. min. Joaquim Barbosa, j. 11-6-2007, P, DJ de 24-8-2007.]</w:t>
      </w:r>
    </w:p>
    <w:p>
      <w:pPr>
        <w:ind w:left="288"/>
      </w:pPr>
      <w:r>
        <w:rPr>
          <w:color w:val="8C8C8C"/>
          <w:sz w:val="12"/>
        </w:rPr>
        <w:t>cf-art-75</w:t>
      </w:r>
      <w:r>
        <w:rPr>
          <w:color w:val="003CA0"/>
          <w:sz w:val="12"/>
        </w:rPr>
        <w:t xml:space="preserve"> | ADI 1.957</w:t>
      </w:r>
      <w:r>
        <w:rPr>
          <w:color w:val="003CA0"/>
          <w:sz w:val="12"/>
        </w:rPr>
        <w:t xml:space="preserve"> | rel. Gilmar Mendes</w:t>
      </w:r>
    </w:p>
    <w:p>
      <w:pPr>
        <w:ind w:left="288"/>
      </w:pPr>
      <w:r>
        <w:rPr>
          <w:color w:val="1E1E1E"/>
          <w:sz w:val="18"/>
        </w:rPr>
        <w:t>= ADI 1.957, rel. min. Gilmar Mendes, j. 1º-9-2010, P, DJE de 22-10-2010 Não ofende a Constituição o estabelecimento, pela constituição estadual, da precedência da indicação feita por um dos Poderes sobre a do outro (v.g., ADI 419, Rezek, DJ de 24-11-1995; ADI 1.068, Rezek, DJ de 24-11-1995; ADI 585, Ilmar, DJ de 2-9-1994). Entretanto, no caso da composição dos tribunais de contas paraenses, a situação atual, marcada com indicações feitas sob quadros normativos diferentes, necessita de ajuste para se aproximar do desenho institucional dado pela Constituição. "Na solução dos problemas de transi</w:t>
      </w:r>
    </w:p>
    <w:p>
      <w:pPr>
        <w:ind w:left="288"/>
      </w:pPr>
      <w:r>
        <w:rPr>
          <w:b/>
          <w:color w:val="003CA0"/>
          <w:sz w:val="16"/>
        </w:rPr>
        <w:t>[ADI 3.255, rel. min. Sepúlveda Pertence, j. 22-6-2006, P, DJ de 7-12-2007.]</w:t>
      </w:r>
    </w:p>
    <w:p>
      <w:pPr>
        <w:ind w:left="288"/>
      </w:pPr>
      <w:r>
        <w:rPr>
          <w:color w:val="8C8C8C"/>
          <w:sz w:val="12"/>
        </w:rPr>
        <w:t>cf-art-75</w:t>
      </w:r>
      <w:r>
        <w:rPr>
          <w:color w:val="003CA0"/>
          <w:sz w:val="12"/>
        </w:rPr>
        <w:t xml:space="preserve"> | ADI 1.957</w:t>
      </w:r>
      <w:r>
        <w:rPr>
          <w:color w:val="003CA0"/>
          <w:sz w:val="12"/>
        </w:rPr>
        <w:t xml:space="preserve"> | rel. Gilmar Mendes</w:t>
      </w:r>
    </w:p>
    <w:p>
      <w:pPr>
        <w:ind w:left="288"/>
      </w:pPr>
      <w:r>
        <w:rPr>
          <w:color w:val="1E1E1E"/>
          <w:sz w:val="18"/>
        </w:rPr>
        <w:t>= ADI 1.957, rel. min. Gilmar Mendes, j. 1º-9-2010, P, DJE de 22-10-2010 Impossibilidade de procuradores de justiça do Estado do Espírito Santo atuarem junto à corte de contas estadual, em substituição aos membros do Ministério Público especial. Esta Corte entende que somente o Ministério Público especial tem legitimidade para atuar junto aos tribunais de contas dos Estados e que a organização e composição dos tribunais de contas estaduais estão sujeitas ao modelo jurídico estabelecido pela Constituição do Brasil (art. 75). (...) É inconstitucional o texto normativo que prevê a possibilidade d</w:t>
      </w:r>
    </w:p>
    <w:p>
      <w:pPr>
        <w:ind w:left="288"/>
      </w:pPr>
      <w:r>
        <w:rPr>
          <w:b/>
          <w:color w:val="003CA0"/>
          <w:sz w:val="16"/>
        </w:rPr>
        <w:t>[ADI 3.192, rel. min. Eros Grau, j. 24-5-2006, P, DJ de 18-8-2006.]</w:t>
      </w:r>
    </w:p>
    <w:p>
      <w:pPr>
        <w:ind w:left="288"/>
      </w:pPr>
      <w:r>
        <w:rPr>
          <w:color w:val="8C8C8C"/>
          <w:sz w:val="12"/>
        </w:rPr>
        <w:t>cf-art-75</w:t>
      </w:r>
      <w:r>
        <w:rPr>
          <w:color w:val="003CA0"/>
          <w:sz w:val="12"/>
        </w:rPr>
        <w:t xml:space="preserve"> | ADI 3.307</w:t>
      </w:r>
      <w:r>
        <w:rPr>
          <w:color w:val="003CA0"/>
          <w:sz w:val="12"/>
        </w:rPr>
        <w:t xml:space="preserve"> | rel. Cármen Lúcia</w:t>
      </w:r>
    </w:p>
    <w:p>
      <w:pPr>
        <w:ind w:left="288"/>
      </w:pPr>
      <w:r>
        <w:rPr>
          <w:color w:val="1E1E1E"/>
          <w:sz w:val="18"/>
        </w:rPr>
        <w:t>= ADI 3.307, rel. min. Cármen Lúcia, j. 2-2-2009, P, DJE de 29-5-2009 A nomeação livre dos membros do tribunal de contas do Estado e do tribunal de contas dos Municípios pelo governador dar-se-á nos termos do art. 75 da Constituição do Brasil, não devendo alongar-se de maneira a abranger também as vagas que a Constituição destinou aos membros do Ministério Público e aos auditores. (...) O preceito veiculado pelo art. 73 da Constituição do Brasil aplica-se, no que couber, à organização, composição e fiscalização dos tribunais de contas dos Estados e do Distrito Federal, bem como dos tribunais e</w:t>
      </w:r>
    </w:p>
    <w:p>
      <w:pPr>
        <w:ind w:left="288"/>
      </w:pPr>
      <w:r>
        <w:rPr>
          <w:b/>
          <w:color w:val="003CA0"/>
          <w:sz w:val="16"/>
        </w:rPr>
        <w:t>[ADI 3.276, rel. min. Eros Grau, j. 2-6-2005, P, DJ de 1º-2-2008.]</w:t>
      </w:r>
    </w:p>
    <w:p>
      <w:pPr>
        <w:ind w:left="288"/>
      </w:pPr>
      <w:r>
        <w:rPr>
          <w:color w:val="8C8C8C"/>
          <w:sz w:val="12"/>
        </w:rPr>
        <w:t>cf-art-75</w:t>
      </w:r>
      <w:r>
        <w:rPr>
          <w:color w:val="003CA0"/>
          <w:sz w:val="12"/>
        </w:rPr>
        <w:t xml:space="preserve"> | ADI 374</w:t>
      </w:r>
      <w:r>
        <w:rPr>
          <w:color w:val="003CA0"/>
          <w:sz w:val="12"/>
        </w:rPr>
        <w:t xml:space="preserve"> | rel. Dias Toffoli</w:t>
      </w:r>
    </w:p>
    <w:p>
      <w:pPr>
        <w:ind w:left="288"/>
      </w:pPr>
      <w:r>
        <w:rPr>
          <w:color w:val="1E1E1E"/>
          <w:sz w:val="18"/>
        </w:rPr>
        <w:t>= ADI 374, rel. min. Dias Toffoli, j. 22-3-2012, P, DJE de 21-8-2014 Competência exclusiva da Assembleia Legislativa para julgar anualmente as contas do Tribunal de Contas do Estado do Pará. Prestação de contas pelo Tribunal de Justiça paraense à Assembleia Legislativa no prazo de sessenta dias contados da abertura da sessão legislativa. Alegação de violação do disposto nos art. 71, I e II, e 75, da Constituição do Brasil. Inocorrência. A Constituição do Brasil de 1988, ao tratar de fiscalização contábil, financeira e orçamentária, prevê o controle externo a ser exercido pelo Congresso Naciona</w:t>
      </w:r>
    </w:p>
    <w:p>
      <w:pPr>
        <w:ind w:left="288"/>
      </w:pPr>
      <w:r>
        <w:rPr>
          <w:b/>
          <w:color w:val="003CA0"/>
          <w:sz w:val="16"/>
        </w:rPr>
        <w:t>[ADI 2.597, red. do ac. min. Eros Grau, j. 4-8-2004, P, DJ de 17-8-2007.]</w:t>
      </w:r>
    </w:p>
    <w:p>
      <w:pPr>
        <w:ind w:left="288"/>
      </w:pPr>
      <w:r>
        <w:rPr>
          <w:color w:val="8C8C8C"/>
          <w:sz w:val="12"/>
        </w:rPr>
        <w:t>cf-art-75</w:t>
      </w:r>
      <w:r>
        <w:rPr>
          <w:color w:val="003CA0"/>
          <w:sz w:val="12"/>
        </w:rPr>
        <w:t xml:space="preserve"> | ADI 1.175</w:t>
      </w:r>
    </w:p>
    <w:p>
      <w:pPr>
        <w:ind w:left="288"/>
      </w:pPr>
      <w:r>
        <w:rPr>
          <w:color w:val="1E1E1E"/>
          <w:sz w:val="18"/>
        </w:rPr>
        <w:t>Surge harmônico com a CF diploma revelador do controle pelo Legislativo das contas dos órgãos que o auxiliam, ou seja, dos tribunais de contas.</w:t>
      </w:r>
    </w:p>
    <w:p>
      <w:pPr>
        <w:ind w:left="288"/>
      </w:pPr>
      <w:r>
        <w:rPr>
          <w:b/>
          <w:color w:val="003CA0"/>
          <w:sz w:val="16"/>
        </w:rPr>
        <w:t>[ADI 1.175, red. do ac. min. Marco Aurélio, j. 4-8-2004, P, DJ de 19-12-2006.]</w:t>
      </w:r>
    </w:p>
    <w:p>
      <w:pPr>
        <w:ind w:left="288"/>
      </w:pPr>
      <w:r>
        <w:rPr>
          <w:color w:val="8C8C8C"/>
          <w:sz w:val="12"/>
        </w:rPr>
        <w:t>cf-art-75</w:t>
      </w:r>
      <w:r>
        <w:rPr>
          <w:color w:val="003CA0"/>
          <w:sz w:val="12"/>
        </w:rPr>
        <w:t xml:space="preserve"> | RE 97.858</w:t>
      </w:r>
    </w:p>
    <w:p>
      <w:pPr>
        <w:ind w:left="288"/>
      </w:pPr>
      <w:r>
        <w:rPr>
          <w:color w:val="1E1E1E"/>
          <w:sz w:val="18"/>
        </w:rPr>
        <w:t>Inexistência de violação ao princípio da simetria pelo disposto no art. 74, § 1º, da Constituição estadual, uma vez que a necessária correlação de vencimentos dos conselheiros do tribunal de contas se dá em relação aos desembargadores do tribunal de justiça. Precedente: RE 97.858, Néri da Silveira, DJ de 15-6-1984.</w:t>
      </w:r>
    </w:p>
    <w:p>
      <w:pPr>
        <w:ind w:left="288"/>
      </w:pPr>
      <w:r>
        <w:rPr>
          <w:b/>
          <w:color w:val="003CA0"/>
          <w:sz w:val="16"/>
        </w:rPr>
        <w:t>[ADI 396, red. do ac. min. Gilmar Mendes, j. 27-5-2004, P, DJ de 5-8-2005.]</w:t>
      </w:r>
    </w:p>
    <w:p>
      <w:pPr>
        <w:ind w:left="288"/>
      </w:pPr>
      <w:r>
        <w:rPr>
          <w:color w:val="8C8C8C"/>
          <w:sz w:val="12"/>
        </w:rPr>
        <w:t>cf-art-75</w:t>
      </w:r>
      <w:r>
        <w:rPr>
          <w:color w:val="003CA0"/>
          <w:sz w:val="12"/>
        </w:rPr>
        <w:t xml:space="preserve"> | ADI 2.378</w:t>
      </w:r>
      <w:r>
        <w:rPr>
          <w:color w:val="003CA0"/>
          <w:sz w:val="12"/>
        </w:rPr>
        <w:t xml:space="preserve"> | rel. Maurício Corrêa</w:t>
      </w:r>
    </w:p>
    <w:p>
      <w:pPr>
        <w:ind w:left="288"/>
      </w:pPr>
      <w:r>
        <w:rPr>
          <w:color w:val="1E1E1E"/>
          <w:sz w:val="18"/>
        </w:rPr>
        <w:t xml:space="preserve">O Ministério Público especial junto aos tribunais de contas estaduais não dispõe das garantias institucionais pertinentes ao Ministério Público comum dos Estados-membros, notadamente daquelas prerrogativas que concernem à autonomia administrativa e financeira dessa instituição, ao processo de escolha, nomeação e destituição de seu titular e ao poder de iniciativa dos projetos de lei relativos à sua organização. Precedentes. A cláusula de garantia inscrita no art. 130 da Constituição – que não outorgou, ao Ministério Público especial, as mesmas prerrogativas e atributos de autonomia conferidos </w:t>
      </w:r>
    </w:p>
    <w:p>
      <w:pPr>
        <w:ind w:left="288"/>
      </w:pPr>
      <w:r>
        <w:rPr>
          <w:b/>
          <w:color w:val="003CA0"/>
          <w:sz w:val="16"/>
        </w:rPr>
        <w:t>[ADI 2.378, red. do ac. min. Celso de Mello, rel. min. Maurício Corrêa, j. 19-5-2004, P, DJ de 6-9-2007.]</w:t>
      </w:r>
    </w:p>
    <w:p>
      <w:pPr>
        <w:ind w:left="288"/>
      </w:pPr>
      <w:r>
        <w:rPr>
          <w:color w:val="8C8C8C"/>
          <w:sz w:val="12"/>
        </w:rPr>
        <w:t>cf-art-75</w:t>
      </w:r>
      <w:r>
        <w:rPr>
          <w:color w:val="003CA0"/>
          <w:sz w:val="12"/>
        </w:rPr>
        <w:t xml:space="preserve"> | ADI 461</w:t>
      </w:r>
      <w:r>
        <w:rPr>
          <w:color w:val="003CA0"/>
          <w:sz w:val="12"/>
        </w:rPr>
        <w:t xml:space="preserve"> | rel. Carlos Velloso</w:t>
      </w:r>
    </w:p>
    <w:p>
      <w:pPr>
        <w:ind w:left="288"/>
      </w:pPr>
      <w:r>
        <w:rPr>
          <w:color w:val="1E1E1E"/>
          <w:sz w:val="18"/>
        </w:rPr>
        <w:t>Inclusão, na Constituição baiana, art. 80, das isenções fiscais, como objetivo da fiscalização por parte do Tribunal de Contas do Estado e bem assim a outorga ao Tribunal de Contas da competência para julgar recursos de decisão denegatória de pensão (Constituição baiana, art. 95, I, b): inconstitucionalidade, dado que citados dispositivos são ofensivos à norma dos arts. 70 e 71, III, CF, aplicáveis aos tribunais de contas dos Estados, ex vi do disposto no art. 75, CF.</w:t>
      </w:r>
    </w:p>
    <w:p>
      <w:pPr>
        <w:ind w:left="288"/>
      </w:pPr>
      <w:r>
        <w:rPr>
          <w:b/>
          <w:color w:val="003CA0"/>
          <w:sz w:val="16"/>
        </w:rPr>
        <w:t>[ADI 461, rel. min. Carlos Velloso, j. 8-8-2002, P, DJ de 6-9-2002.]</w:t>
      </w:r>
    </w:p>
    <w:p>
      <w:pPr>
        <w:ind w:left="144"/>
      </w:pPr>
      <w:r>
        <w:rPr>
          <w:b/>
          <w:color w:val="B45A00"/>
          <w:sz w:val="16"/>
        </w:rPr>
        <w:t>REPERCUSSAO GERAL</w:t>
      </w:r>
    </w:p>
    <w:p>
      <w:pPr>
        <w:ind w:left="288"/>
      </w:pPr>
      <w:r>
        <w:rPr>
          <w:color w:val="8C8C8C"/>
          <w:sz w:val="12"/>
        </w:rPr>
        <w:t>cf-art-75</w:t>
      </w:r>
      <w:r>
        <w:rPr>
          <w:color w:val="003CA0"/>
          <w:sz w:val="12"/>
        </w:rPr>
        <w:t xml:space="preserve"> | RE 576.920</w:t>
      </w:r>
      <w:r>
        <w:rPr>
          <w:color w:val="003CA0"/>
          <w:sz w:val="12"/>
        </w:rPr>
        <w:t xml:space="preserve"> | rel. Edson Fachin</w:t>
      </w:r>
    </w:p>
    <w:p>
      <w:pPr>
        <w:ind w:left="288"/>
      </w:pPr>
      <w:r>
        <w:rPr>
          <w:color w:val="1E1E1E"/>
          <w:sz w:val="18"/>
        </w:rPr>
        <w:t>A competência técnica do Tribunal de Contas do Estado, ao negar registro de admissão de pessoal, não se subordina à revisão pelo Poder Legislativo respectivo.</w:t>
      </w:r>
    </w:p>
    <w:p>
      <w:pPr>
        <w:ind w:left="288"/>
      </w:pPr>
      <w:r>
        <w:rPr>
          <w:b/>
          <w:color w:val="003CA0"/>
          <w:sz w:val="16"/>
        </w:rPr>
        <w:t>[RE 576.920, rel. min. Edson Fachin, j. 20-4-2020, P, DJE de 9-11-2020, Tema 47, com mérito julgado.]</w:t>
      </w:r>
    </w:p>
    <w:p>
      <w:pPr>
        <w:ind w:left="288"/>
      </w:pPr>
      <w:r>
        <w:rPr>
          <w:color w:val="8C8C8C"/>
          <w:sz w:val="12"/>
        </w:rPr>
        <w:t>cf-art-75</w:t>
      </w:r>
      <w:r>
        <w:rPr>
          <w:color w:val="003CA0"/>
          <w:sz w:val="12"/>
        </w:rPr>
        <w:t xml:space="preserve"> | RE 223.037</w:t>
      </w:r>
      <w:r>
        <w:rPr>
          <w:color w:val="003CA0"/>
          <w:sz w:val="12"/>
        </w:rPr>
        <w:t xml:space="preserve"> | rel. Maurício Corrêa</w:t>
      </w:r>
    </w:p>
    <w:p>
      <w:pPr>
        <w:ind w:left="288"/>
      </w:pPr>
      <w:r>
        <w:rPr>
          <w:color w:val="1E1E1E"/>
          <w:sz w:val="18"/>
        </w:rPr>
        <w:t>A questão constitucional discutida nos autos é a possibilidade de execução das decisões de condenação patrimonial proferidas pelos tribunais de contas por iniciativa do Ministério Público, atuante ou não junto às cortes de contas, seja federal, seja estadual. (...) a jurisprudência pacificada do STF firmou-se no sentido de que a referida ação de execução pode ser proposta tão somente pelo ente público beneficiário da condenação imposta pelos tribunais de contas. (...) Por conseguinte, é ausente a legitimidade ativa do Parquet. Na espécie, não se comporta interpretação ampliativa do art. 129, I</w:t>
      </w:r>
    </w:p>
    <w:p>
      <w:pPr>
        <w:ind w:left="288"/>
      </w:pPr>
      <w:r>
        <w:rPr>
          <w:b/>
          <w:color w:val="003CA0"/>
          <w:sz w:val="16"/>
        </w:rPr>
        <w:t>[ARE 823.347 RG, voto do rel. min. Gilmar Mendes, j. 2-10-2014, P, DJE de 28-10-2014, Tema 768, com mérito julgado.]</w:t>
      </w:r>
    </w:p>
    <w:p>
      <w:pPr>
        <w:ind w:left="144"/>
      </w:pPr>
      <w:r>
        <w:rPr>
          <w:b/>
          <w:color w:val="B45A00"/>
          <w:sz w:val="16"/>
        </w:rPr>
        <w:t>JULGADOS CORRELATOS</w:t>
      </w:r>
    </w:p>
    <w:p>
      <w:pPr>
        <w:ind w:left="288"/>
      </w:pPr>
      <w:r>
        <w:rPr>
          <w:color w:val="8C8C8C"/>
          <w:sz w:val="12"/>
        </w:rPr>
        <w:t>cf-art-75</w:t>
      </w:r>
      <w:r>
        <w:rPr>
          <w:color w:val="003CA0"/>
          <w:sz w:val="12"/>
        </w:rPr>
        <w:t xml:space="preserve"> | INQ 4.954</w:t>
      </w:r>
      <w:r>
        <w:rPr>
          <w:color w:val="003CA0"/>
          <w:sz w:val="12"/>
        </w:rPr>
        <w:t xml:space="preserve"> | rel. Alexandre de Moraes</w:t>
      </w:r>
    </w:p>
    <w:p>
      <w:pPr>
        <w:ind w:left="288"/>
      </w:pPr>
      <w:r>
        <w:rPr>
          <w:color w:val="1E1E1E"/>
          <w:sz w:val="18"/>
        </w:rPr>
        <w:t>São conferidas as mesmas prerrogativas dos integrantes da magistratura (arts. 73, § 3º, e 75 da Constituição) aos membros dos Tribunais de Contas Estaduais, dentre as quais a de ser recolhido em prisão especial ou em sala de Estado-Maior (art. 33, III, da LOMAN).</w:t>
        <w:br/>
        <w:t>[Inq 4.954 AgR-quarto, rel. min. Alexandre de Moraes, j. 07.10.2024, 1ª T, DJE de 09.10.2024.] É possível a comprovação, pelo Estado, da observância do limite de gastos com pessoal, mediante decisão do Tribunal de Contas local, visando a concessão, pela União, de garantia em empréstimos contratados com instituições financeiras naciona</w:t>
      </w:r>
    </w:p>
    <w:p>
      <w:pPr>
        <w:ind w:left="288"/>
      </w:pPr>
      <w:r>
        <w:rPr>
          <w:b/>
          <w:color w:val="003CA0"/>
          <w:sz w:val="16"/>
        </w:rPr>
        <w:t>[SS 4.580, rel. min. Cezar Peluso, j. 2-3-2012, dec. monocrática, DJE de 13-3-2012.]</w:t>
      </w:r>
    </w:p>
    <w:p>
      <w:pPr>
        <w:ind w:left="288"/>
      </w:pPr>
      <w:r>
        <w:rPr>
          <w:color w:val="8C8C8C"/>
          <w:sz w:val="12"/>
        </w:rPr>
        <w:t>cf-art-75</w:t>
      </w:r>
      <w:r>
        <w:rPr>
          <w:color w:val="003CA0"/>
          <w:sz w:val="12"/>
        </w:rPr>
        <w:t xml:space="preserve"> | RE 213.461</w:t>
      </w:r>
      <w:r>
        <w:rPr>
          <w:color w:val="003CA0"/>
          <w:sz w:val="12"/>
        </w:rPr>
        <w:t xml:space="preserve"> | rel. Octavio Galloti</w:t>
      </w:r>
    </w:p>
    <w:p>
      <w:pPr>
        <w:ind w:left="288"/>
      </w:pPr>
      <w:r>
        <w:rPr>
          <w:color w:val="1E1E1E"/>
          <w:sz w:val="18"/>
        </w:rPr>
        <w:t>Serventuário da Justiça titular de serventia extrajudicial. Concessão de "gratificação de assiduidade" e de "adicional por tempo de serviço", próprios dos servidores públicos. Impossibilidade de tal extensão, diante da Súmula 339 desta Corte. Reconhecimento da competência do tribunal de contas do Estado para recusar o registro desses benefícios, diante do que dispõem os art. 71, III, e 75 da CF.</w:t>
      </w:r>
    </w:p>
    <w:p>
      <w:pPr>
        <w:ind w:left="288"/>
      </w:pPr>
      <w:r>
        <w:rPr>
          <w:b/>
          <w:color w:val="003CA0"/>
          <w:sz w:val="16"/>
        </w:rPr>
        <w:t>[RE 213.461, rel. min. Octavio Galloti, j. 18-4-2000, 1ª T, DJ de 26-5-2000.]</w:t>
      </w:r>
    </w:p>
    <w:p>
      <w:pPr>
        <w:ind w:left="288"/>
      </w:pPr>
      <w:r>
        <w:rPr>
          <w:color w:val="8C8C8C"/>
          <w:sz w:val="12"/>
        </w:rPr>
        <w:t>cf-art-75</w:t>
      </w:r>
      <w:r>
        <w:rPr>
          <w:color w:val="003CA0"/>
          <w:sz w:val="12"/>
        </w:rPr>
        <w:t xml:space="preserve"> | AR 2.279</w:t>
      </w:r>
      <w:r>
        <w:rPr>
          <w:color w:val="003CA0"/>
          <w:sz w:val="12"/>
        </w:rPr>
        <w:t xml:space="preserve"> | rel. Ricardo Lewandowski</w:t>
      </w:r>
    </w:p>
    <w:p>
      <w:pPr>
        <w:ind w:left="288"/>
      </w:pPr>
      <w:r>
        <w:rPr>
          <w:color w:val="1E1E1E"/>
          <w:sz w:val="18"/>
        </w:rPr>
        <w:t>= AR 2.279 AgR, rel. min. Ricardo Lewandowski, j. 27-2-2014, DJE de 21-3-2014 Parágrafo único. As Constituições estaduais disporão sobre os Tribunais de Contas respectivos, que serão integrados por sete Conselheiros.</w:t>
      </w:r>
    </w:p>
    <w:p>
      <w:pPr>
        <w:ind w:left="144"/>
      </w:pPr>
      <w:r>
        <w:rPr>
          <w:b/>
          <w:color w:val="B45A00"/>
          <w:sz w:val="16"/>
        </w:rPr>
        <w:t>SUMULA</w:t>
      </w:r>
    </w:p>
    <w:p>
      <w:pPr>
        <w:ind w:left="288"/>
      </w:pPr>
      <w:r>
        <w:rPr>
          <w:color w:val="8C8C8C"/>
          <w:sz w:val="12"/>
        </w:rPr>
        <w:t>cf-art-75</w:t>
      </w:r>
    </w:p>
    <w:p>
      <w:pPr>
        <w:ind w:left="288"/>
      </w:pPr>
      <w:r>
        <w:rPr>
          <w:color w:val="1E1E1E"/>
          <w:sz w:val="18"/>
        </w:rPr>
        <w:t>No tribunal de contas estadual, composto por sete conselheiros, quatro devem ser escolhidos pela assembleia legislativa e três pelo chefe do Poder Executivo estadual, cabendo a este indicar um dentre auditores e outro dentre membros do Ministério Público, e um terceiro à sua livre escolha.</w:t>
      </w:r>
    </w:p>
    <w:p>
      <w:pPr>
        <w:ind w:left="288"/>
      </w:pPr>
      <w:r>
        <w:rPr>
          <w:b/>
          <w:color w:val="003CA0"/>
          <w:sz w:val="16"/>
        </w:rPr>
        <w:t>[Súmula 653.]</w:t>
      </w:r>
    </w:p>
    <w:p>
      <w:pPr>
        <w:ind w:left="288"/>
      </w:pPr>
      <w:r>
        <w:rPr>
          <w:color w:val="8C8C8C"/>
          <w:sz w:val="12"/>
        </w:rPr>
        <w:t>cf-art-75</w:t>
      </w:r>
      <w:r>
        <w:rPr>
          <w:color w:val="003CA0"/>
          <w:sz w:val="12"/>
        </w:rPr>
        <w:t xml:space="preserve"> | ADI 4.964</w:t>
      </w:r>
      <w:r>
        <w:rPr>
          <w:color w:val="003CA0"/>
          <w:sz w:val="12"/>
        </w:rPr>
        <w:t xml:space="preserve"> | rel. Nunes Marques</w:t>
      </w:r>
    </w:p>
    <w:p>
      <w:pPr>
        <w:ind w:left="288"/>
      </w:pPr>
      <w:r>
        <w:rPr>
          <w:color w:val="1E1E1E"/>
          <w:sz w:val="18"/>
        </w:rPr>
        <w:t>É constitucional a previsão de dupla deliberação pela Assembleia Legislativa para escolha de conselheiro do Tribunal de Contas, por encontrar-se albergada na margem de conformação permitida ao constituinte estadual quanto à disciplina do procedimento.</w:t>
      </w:r>
    </w:p>
    <w:p>
      <w:pPr>
        <w:ind w:left="288"/>
      </w:pPr>
      <w:r>
        <w:rPr>
          <w:b/>
          <w:color w:val="003CA0"/>
          <w:sz w:val="16"/>
        </w:rPr>
        <w:t>[ADI 4.964, rel. min. Nunes Marques, j. 16.12.2024, P, DJE de 06.02.2025.]</w:t>
      </w:r>
    </w:p>
    <w:p>
      <w:pPr>
        <w:ind w:left="144"/>
      </w:pPr>
      <w:r>
        <w:rPr>
          <w:b/>
          <w:color w:val="B45A00"/>
          <w:sz w:val="16"/>
        </w:rPr>
        <w:t>CONTROLE CONCENTRADO</w:t>
      </w:r>
    </w:p>
    <w:p>
      <w:pPr>
        <w:ind w:left="288"/>
      </w:pPr>
      <w:r>
        <w:rPr>
          <w:color w:val="8C8C8C"/>
          <w:sz w:val="12"/>
        </w:rPr>
        <w:t>cf-art-75</w:t>
      </w:r>
      <w:r>
        <w:rPr>
          <w:color w:val="003CA0"/>
          <w:sz w:val="12"/>
        </w:rPr>
        <w:t xml:space="preserve"> | ADI 397</w:t>
      </w:r>
      <w:r>
        <w:rPr>
          <w:color w:val="003CA0"/>
          <w:sz w:val="12"/>
        </w:rPr>
        <w:t xml:space="preserve"> | rel. Eros Grau</w:t>
      </w:r>
    </w:p>
    <w:p>
      <w:pPr>
        <w:ind w:left="288"/>
      </w:pPr>
      <w:r>
        <w:rPr>
          <w:color w:val="1E1E1E"/>
          <w:sz w:val="18"/>
        </w:rPr>
        <w:t>Nos termos do Enunciado 653 da Súmula desta Corte, nos tribunais de contas estaduais, compostos por sete conselheiros, três deles serão escolhidos pelo governador do Estado, cabendo-lhe indicar um entre auditores e outro entre membros do Ministério Público especial, o terceiro sendo da sua livre escolha. Os demais são escolhidos pela assembleia legislativa. Quanto aos dois primeiros, apenas os auditores e membros do Ministério Público junto ao tribunal de contas podem figurar entre os possíveis conselheiros.</w:t>
      </w:r>
    </w:p>
    <w:p>
      <w:pPr>
        <w:ind w:left="288"/>
      </w:pPr>
      <w:r>
        <w:rPr>
          <w:b/>
          <w:color w:val="003CA0"/>
          <w:sz w:val="16"/>
        </w:rPr>
        <w:t>[ADI 397, rel. min. Eros Grau, j. 3-8-2005, P, DJ de 9-12-2005.]</w:t>
      </w:r>
    </w:p>
    <w:p>
      <w:pPr>
        <w:ind w:left="288"/>
      </w:pPr>
      <w:r>
        <w:rPr>
          <w:color w:val="8C8C8C"/>
          <w:sz w:val="12"/>
        </w:rPr>
        <w:t>cf-art-75</w:t>
      </w:r>
      <w:r>
        <w:rPr>
          <w:color w:val="003CA0"/>
          <w:sz w:val="12"/>
        </w:rPr>
        <w:t xml:space="preserve"> | RE 634.891</w:t>
      </w:r>
      <w:r>
        <w:rPr>
          <w:color w:val="003CA0"/>
          <w:sz w:val="12"/>
        </w:rPr>
        <w:t xml:space="preserve"> | rel. Cármen Lúcia</w:t>
      </w:r>
    </w:p>
    <w:p>
      <w:pPr>
        <w:ind w:left="288"/>
      </w:pPr>
      <w:r>
        <w:rPr>
          <w:color w:val="1E1E1E"/>
          <w:sz w:val="18"/>
        </w:rPr>
        <w:t>= RE 634.891 AgR, rel. min. Cármen Lúcia, j. 21-6-2011, 1ª T, DJE de 1º-8-2011 (...) é pacífica a jurisprudência do Plenário, no sentido de que, nos tribunais de contas, compostos por sete membros, três devem ser nomeados pelo governador (um dentre membros do Ministério Público, um dentre auditores, e um de livre escolha) e quatro pela assembleia legislativa. Só assim se pode conciliar o disposto nos arts. 73, § 2º, I e II, e 75 da CF.</w:t>
      </w:r>
    </w:p>
    <w:p>
      <w:pPr>
        <w:ind w:left="288"/>
      </w:pPr>
      <w:r>
        <w:rPr>
          <w:b/>
          <w:color w:val="003CA0"/>
          <w:sz w:val="16"/>
        </w:rPr>
        <w:t>[ADI 2.502 MC, rel. min. Sydney Sanches, j. 3-10-2001, P, DJ de14-12-2001.]</w:t>
      </w:r>
    </w:p>
    <w:p>
      <w:pPr>
        <w:ind w:left="144"/>
      </w:pPr>
      <w:r>
        <w:rPr>
          <w:b/>
          <w:color w:val="B45A00"/>
          <w:sz w:val="16"/>
        </w:rPr>
        <w:t>REPERCUSSAO GERAL</w:t>
      </w:r>
    </w:p>
    <w:p>
      <w:pPr>
        <w:ind w:left="288"/>
      </w:pPr>
      <w:r>
        <w:rPr>
          <w:color w:val="8C8C8C"/>
          <w:sz w:val="12"/>
        </w:rPr>
        <w:t>cf-art-75</w:t>
      </w:r>
      <w:r>
        <w:rPr>
          <w:color w:val="003CA0"/>
          <w:sz w:val="12"/>
        </w:rPr>
        <w:t xml:space="preserve"> | RE 717.424</w:t>
      </w:r>
      <w:r>
        <w:rPr>
          <w:color w:val="003CA0"/>
          <w:sz w:val="12"/>
        </w:rPr>
        <w:t xml:space="preserve"> | rel. Marco Aurélio</w:t>
      </w:r>
    </w:p>
    <w:p>
      <w:pPr>
        <w:ind w:left="288"/>
      </w:pPr>
      <w:r>
        <w:rPr>
          <w:color w:val="1E1E1E"/>
          <w:sz w:val="18"/>
        </w:rPr>
        <w:t>(...) prevalece a regra constitucional de divisão proporcional das indicações entre os Poderes Legislativo e Executivo, e ao inerente critério da “vaga cativa”, sobre a obrigatória indicação de clientelas específicas pelos governadores. O Tribunal definiu tratar-se de regras sucessivas: primeiro, observa-se a proporção de escolhas entre os poderes para, apenas então, cumprirem-se os critérios impostos ao Executivo, não havendo exceção a tal sistemática, nem mesmo em razão da ausência de membro do Ministério Público especial. Isso significa que o atendimento da norma quanto à distribuição de ca</w:t>
      </w:r>
    </w:p>
    <w:p>
      <w:pPr>
        <w:ind w:left="432"/>
      </w:pPr>
      <w:r>
        <w:rPr>
          <w:color w:val="003366"/>
          <w:sz w:val="18"/>
        </w:rPr>
        <w:t>§ 1 Observado o disposto no § 6º do art. 195 da Constituição Federal, a alíquota</w:t>
      </w:r>
    </w:p>
    <w:p>
      <w:pPr>
        <w:ind w:left="432"/>
      </w:pPr>
      <w:r>
        <w:rPr>
          <w:color w:val="003366"/>
          <w:sz w:val="18"/>
        </w:rPr>
        <w:t xml:space="preserve">§ 2 O resultado do aumento da arrecadação, decorrente da alteração da alíquota, </w:t>
      </w:r>
    </w:p>
    <w:p>
      <w:pPr>
        <w:ind w:left="432"/>
      </w:pPr>
      <w:r>
        <w:rPr>
          <w:color w:val="003366"/>
          <w:sz w:val="18"/>
        </w:rPr>
        <w:t>§ 3 É a União autorizada a emitir títulos da dívida pública interna, cujos recur</w:t>
      </w:r>
    </w:p>
    <w:p>
      <w:r>
        <w:rPr>
          <w:b/>
          <w:color w:val="003366"/>
          <w:sz w:val="20"/>
        </w:rPr>
        <w:t>Art. 76 São desvinculados de órgão, fundo ou despesa, até 31 de dezembro de 2032</w:t>
      </w:r>
      <w:r>
        <w:rPr>
          <w:color w:val="8C8C8C"/>
          <w:sz w:val="14"/>
        </w:rPr>
        <w:t xml:space="preserve">  [1 decisoes]</w:t>
      </w:r>
    </w:p>
    <w:p>
      <w:pPr>
        <w:ind w:left="144"/>
      </w:pPr>
      <w:r>
        <w:rPr>
          <w:b/>
          <w:color w:val="B45A00"/>
          <w:sz w:val="16"/>
        </w:rPr>
        <w:t>CONTROLE CONCENTRADO</w:t>
      </w:r>
    </w:p>
    <w:p>
      <w:pPr>
        <w:ind w:left="288"/>
      </w:pPr>
      <w:r>
        <w:rPr>
          <w:color w:val="8C8C8C"/>
          <w:sz w:val="12"/>
        </w:rPr>
        <w:t>cf-art-76</w:t>
      </w:r>
      <w:r>
        <w:rPr>
          <w:color w:val="003CA0"/>
          <w:sz w:val="12"/>
        </w:rPr>
        <w:t xml:space="preserve"> | ADI 2.564</w:t>
      </w:r>
      <w:r>
        <w:rPr>
          <w:color w:val="003CA0"/>
          <w:sz w:val="12"/>
        </w:rPr>
        <w:t xml:space="preserve"> | rel. Ellen Gracie</w:t>
      </w:r>
    </w:p>
    <w:p>
      <w:pPr>
        <w:ind w:left="288"/>
      </w:pPr>
      <w:r>
        <w:rPr>
          <w:color w:val="1E1E1E"/>
          <w:sz w:val="18"/>
        </w:rPr>
        <w:t>Os arts. 76 e 84, I, II e VI, a, todos da CF, atribuem ao presidente da República a posição de chefe supremo da administração pública federal, ao qual estão subordinados os ministros de Estado. Ausência de ofensa ao princípio da reserva legal, diante da nova redação atribuída ao inciso VI do art. 84 pela EC 32/2001, que permite expressamente ao presidente da República dispor, por decreto, sobre a organização e o funcionamento da administração federal, quando isso não implicar aumento de despesa ou criação de órgãos públicos, exceções que não se aplicam ao decreto atacado.</w:t>
      </w:r>
    </w:p>
    <w:p>
      <w:pPr>
        <w:ind w:left="288"/>
      </w:pPr>
      <w:r>
        <w:rPr>
          <w:b/>
          <w:color w:val="003CA0"/>
          <w:sz w:val="16"/>
        </w:rPr>
        <w:t>[ADI 2.564, rel. min. Ellen Gracie, j. 8-10-2003, P, DJ de 6-2-2004.]</w:t>
      </w:r>
    </w:p>
    <w:p>
      <w:pPr>
        <w:ind w:left="432"/>
      </w:pPr>
      <w:r>
        <w:rPr>
          <w:color w:val="003366"/>
          <w:sz w:val="18"/>
        </w:rPr>
        <w:t>§ 1 (Revogado). (Redação dada pela Emenda constitucional nº 93, de 2016) Produçã</w:t>
      </w:r>
    </w:p>
    <w:p>
      <w:pPr>
        <w:ind w:left="432"/>
      </w:pPr>
      <w:r>
        <w:rPr>
          <w:color w:val="003366"/>
          <w:sz w:val="18"/>
        </w:rPr>
        <w:t>§ 2 Excetua-se da desvinculação de que trata o caput a arrecadação da contribuiç</w:t>
      </w:r>
    </w:p>
    <w:p>
      <w:pPr>
        <w:ind w:left="432"/>
      </w:pPr>
      <w:r>
        <w:rPr>
          <w:color w:val="003366"/>
          <w:sz w:val="18"/>
        </w:rPr>
        <w:t>§ 3 (Revogado). (Redação dada pela Emenda constitucional nº 93, de 2016) Produçã</w:t>
      </w:r>
    </w:p>
    <w:p>
      <w:pPr>
        <w:ind w:left="432"/>
      </w:pPr>
      <w:r>
        <w:rPr>
          <w:color w:val="003366"/>
          <w:sz w:val="18"/>
        </w:rPr>
        <w:t>§ 4 A desvinculação de que trata o caput não se aplica às receitas das contribui</w:t>
      </w:r>
    </w:p>
    <w:p>
      <w:pPr>
        <w:ind w:left="432"/>
      </w:pPr>
      <w:r>
        <w:rPr>
          <w:color w:val="003366"/>
          <w:sz w:val="18"/>
        </w:rPr>
        <w:t>§ 5 A desvinculação de que trata ocaputdeste artigo não opera efeitos sobre recu</w:t>
      </w:r>
    </w:p>
    <w:p>
      <w:pPr>
        <w:ind w:left="432"/>
      </w:pPr>
      <w:r>
        <w:rPr>
          <w:color w:val="003366"/>
          <w:sz w:val="18"/>
        </w:rPr>
        <w:t>§ 6 A desvinculação de que trata ocaputdeste artigo não se aplica às receitas de</w:t>
      </w:r>
    </w:p>
    <w:p>
      <w:r>
        <w:rPr>
          <w:b/>
          <w:color w:val="003366"/>
          <w:sz w:val="20"/>
        </w:rPr>
        <w:t>Art. 76 A. São desvinculados de órgão, fundo ou despesa, até 31 de dezembro de 2</w:t>
      </w:r>
      <w:r>
        <w:rPr>
          <w:color w:val="8C8C8C"/>
          <w:sz w:val="14"/>
        </w:rPr>
        <w:t xml:space="preserve">  [1 decisoes]</w:t>
      </w:r>
    </w:p>
    <w:p>
      <w:pPr>
        <w:ind w:left="144"/>
      </w:pPr>
      <w:r>
        <w:rPr>
          <w:b/>
          <w:color w:val="B45A00"/>
          <w:sz w:val="16"/>
        </w:rPr>
        <w:t>CONTROLE CONCENTRADO</w:t>
      </w:r>
    </w:p>
    <w:p>
      <w:pPr>
        <w:ind w:left="288"/>
      </w:pPr>
      <w:r>
        <w:rPr>
          <w:color w:val="8C8C8C"/>
          <w:sz w:val="12"/>
        </w:rPr>
        <w:t>cf-art-76</w:t>
      </w:r>
      <w:r>
        <w:rPr>
          <w:color w:val="003CA0"/>
          <w:sz w:val="12"/>
        </w:rPr>
        <w:t xml:space="preserve"> | ADI 2.564</w:t>
      </w:r>
      <w:r>
        <w:rPr>
          <w:color w:val="003CA0"/>
          <w:sz w:val="12"/>
        </w:rPr>
        <w:t xml:space="preserve"> | rel. Ellen Gracie</w:t>
      </w:r>
    </w:p>
    <w:p>
      <w:pPr>
        <w:ind w:left="288"/>
      </w:pPr>
      <w:r>
        <w:rPr>
          <w:color w:val="1E1E1E"/>
          <w:sz w:val="18"/>
        </w:rPr>
        <w:t>Os arts. 76 e 84, I, II e VI, a, todos da CF, atribuem ao presidente da República a posição de chefe supremo da administração pública federal, ao qual estão subordinados os ministros de Estado. Ausência de ofensa ao princípio da reserva legal, diante da nova redação atribuída ao inciso VI do art. 84 pela EC 32/2001, que permite expressamente ao presidente da República dispor, por decreto, sobre a organização e o funcionamento da administração federal, quando isso não implicar aumento de despesa ou criação de órgãos públicos, exceções que não se aplicam ao decreto atacado.</w:t>
      </w:r>
    </w:p>
    <w:p>
      <w:pPr>
        <w:ind w:left="288"/>
      </w:pPr>
      <w:r>
        <w:rPr>
          <w:b/>
          <w:color w:val="003CA0"/>
          <w:sz w:val="16"/>
        </w:rPr>
        <w:t>[ADI 2.564, rel. min. Ellen Gracie, j. 8-10-2003, P, DJ de 6-2-2004.]</w:t>
      </w:r>
    </w:p>
    <w:p>
      <w:pPr>
        <w:ind w:left="720"/>
      </w:pPr>
      <w:r>
        <w:rPr>
          <w:color w:val="003366"/>
          <w:sz w:val="18"/>
        </w:rPr>
        <w:t xml:space="preserve">I – recursos destinados ao financiamento das ações e serviços públicos de saúde </w:t>
      </w:r>
    </w:p>
    <w:p>
      <w:pPr>
        <w:ind w:left="720"/>
      </w:pPr>
      <w:r>
        <w:rPr>
          <w:color w:val="003366"/>
          <w:sz w:val="18"/>
        </w:rPr>
        <w:t>II – receitas que pertencem aos Municípios decorrentes de transferências previst</w:t>
      </w:r>
    </w:p>
    <w:p>
      <w:pPr>
        <w:ind w:left="720"/>
      </w:pPr>
      <w:r>
        <w:rPr>
          <w:color w:val="003366"/>
          <w:sz w:val="18"/>
        </w:rPr>
        <w:t>III – receitas de contribuições previdenciárias e de assistência à saúde dos ser</w:t>
      </w:r>
    </w:p>
    <w:p>
      <w:pPr>
        <w:ind w:left="720"/>
      </w:pPr>
      <w:r>
        <w:rPr>
          <w:color w:val="003366"/>
          <w:sz w:val="18"/>
        </w:rPr>
        <w:t>IV – demais transferências obrigatórias e voluntárias entre entes da Federação c</w:t>
      </w:r>
    </w:p>
    <w:p>
      <w:pPr>
        <w:ind w:left="720"/>
      </w:pPr>
      <w:r>
        <w:rPr>
          <w:color w:val="003366"/>
          <w:sz w:val="18"/>
        </w:rPr>
        <w:t>V – fundos instituídos pelo Poder Judiciário, pelos Tribunais de Contas, pelo Mi</w:t>
      </w:r>
    </w:p>
    <w:p>
      <w:r>
        <w:rPr>
          <w:b/>
          <w:color w:val="003366"/>
          <w:sz w:val="20"/>
        </w:rPr>
        <w:t>Art. 76 B. São desvinculadas de órgão, fundo ou despesa, até 31 de dezembro de 2</w:t>
      </w:r>
      <w:r>
        <w:rPr>
          <w:color w:val="8C8C8C"/>
          <w:sz w:val="14"/>
        </w:rPr>
        <w:t xml:space="preserve">  [1 decisoes]</w:t>
      </w:r>
    </w:p>
    <w:p>
      <w:pPr>
        <w:ind w:left="144"/>
      </w:pPr>
      <w:r>
        <w:rPr>
          <w:b/>
          <w:color w:val="B45A00"/>
          <w:sz w:val="16"/>
        </w:rPr>
        <w:t>CONTROLE CONCENTRADO</w:t>
      </w:r>
    </w:p>
    <w:p>
      <w:pPr>
        <w:ind w:left="288"/>
      </w:pPr>
      <w:r>
        <w:rPr>
          <w:color w:val="8C8C8C"/>
          <w:sz w:val="12"/>
        </w:rPr>
        <w:t>cf-art-76</w:t>
      </w:r>
      <w:r>
        <w:rPr>
          <w:color w:val="003CA0"/>
          <w:sz w:val="12"/>
        </w:rPr>
        <w:t xml:space="preserve"> | ADI 2.564</w:t>
      </w:r>
      <w:r>
        <w:rPr>
          <w:color w:val="003CA0"/>
          <w:sz w:val="12"/>
        </w:rPr>
        <w:t xml:space="preserve"> | rel. Ellen Gracie</w:t>
      </w:r>
    </w:p>
    <w:p>
      <w:pPr>
        <w:ind w:left="288"/>
      </w:pPr>
      <w:r>
        <w:rPr>
          <w:color w:val="1E1E1E"/>
          <w:sz w:val="18"/>
        </w:rPr>
        <w:t>Os arts. 76 e 84, I, II e VI, a, todos da CF, atribuem ao presidente da República a posição de chefe supremo da administração pública federal, ao qual estão subordinados os ministros de Estado. Ausência de ofensa ao princípio da reserva legal, diante da nova redação atribuída ao inciso VI do art. 84 pela EC 32/2001, que permite expressamente ao presidente da República dispor, por decreto, sobre a organização e o funcionamento da administração federal, quando isso não implicar aumento de despesa ou criação de órgãos públicos, exceções que não se aplicam ao decreto atacado.</w:t>
      </w:r>
    </w:p>
    <w:p>
      <w:pPr>
        <w:ind w:left="288"/>
      </w:pPr>
      <w:r>
        <w:rPr>
          <w:b/>
          <w:color w:val="003CA0"/>
          <w:sz w:val="16"/>
        </w:rPr>
        <w:t>[ADI 2.564, rel. min. Ellen Gracie, j. 8-10-2003, P, DJ de 6-2-2004.]</w:t>
      </w:r>
    </w:p>
    <w:p>
      <w:pPr>
        <w:ind w:left="720"/>
      </w:pPr>
      <w:r>
        <w:rPr>
          <w:color w:val="003366"/>
          <w:sz w:val="18"/>
        </w:rPr>
        <w:t>I – 50% (cinquenta por cento), até 31 de dezembro de 2026; e (Incluído pela Emen</w:t>
      </w:r>
    </w:p>
    <w:p>
      <w:pPr>
        <w:ind w:left="720"/>
      </w:pPr>
      <w:r>
        <w:rPr>
          <w:color w:val="003366"/>
          <w:sz w:val="18"/>
        </w:rPr>
        <w:t xml:space="preserve">II – 30% (trinta por cento), de 1º de janeiro de 2027 a 31 de dezembro de 2032. </w:t>
      </w:r>
    </w:p>
    <w:p>
      <w:pPr>
        <w:ind w:left="432"/>
      </w:pPr>
      <w:r>
        <w:rPr>
          <w:color w:val="003366"/>
          <w:sz w:val="18"/>
        </w:rPr>
        <w:t xml:space="preserve">§ 1 Excetuam-se das desvinculações de que trata o caput deste artigo: (Incluído </w:t>
      </w:r>
    </w:p>
    <w:p>
      <w:pPr>
        <w:ind w:left="720"/>
      </w:pPr>
      <w:r>
        <w:rPr>
          <w:color w:val="003366"/>
          <w:sz w:val="18"/>
        </w:rPr>
        <w:t xml:space="preserve">I – recursos destinados ao financiamento das ações e serviços públicos de saúde </w:t>
      </w:r>
    </w:p>
    <w:p>
      <w:pPr>
        <w:ind w:left="720"/>
      </w:pPr>
      <w:r>
        <w:rPr>
          <w:color w:val="003366"/>
          <w:sz w:val="18"/>
        </w:rPr>
        <w:t>II – receitas de contribuições previdenciárias e de assistência à saúde dos serv</w:t>
      </w:r>
    </w:p>
    <w:p>
      <w:pPr>
        <w:ind w:left="720"/>
      </w:pPr>
      <w:r>
        <w:rPr>
          <w:color w:val="003366"/>
          <w:sz w:val="18"/>
        </w:rPr>
        <w:t>III – transferências obrigatórias e voluntárias entre entes da Federação com des</w:t>
      </w:r>
    </w:p>
    <w:p>
      <w:pPr>
        <w:ind w:left="720"/>
      </w:pPr>
      <w:r>
        <w:rPr>
          <w:color w:val="003366"/>
          <w:sz w:val="18"/>
        </w:rPr>
        <w:t>IV – fundos instituídos pelo Tribunal de Contas do Município. (Incluído dada pel</w:t>
      </w:r>
    </w:p>
    <w:p>
      <w:pPr>
        <w:ind w:left="432"/>
      </w:pPr>
      <w:r>
        <w:rPr>
          <w:color w:val="003366"/>
          <w:sz w:val="18"/>
        </w:rPr>
        <w:t>§ 2 A cada exercício financeiro, até a data de que trata o caput deste artigo, p</w:t>
      </w:r>
    </w:p>
    <w:p>
      <w:r>
        <w:rPr>
          <w:b/>
          <w:color w:val="003366"/>
          <w:sz w:val="20"/>
        </w:rPr>
        <w:t>Art. 77 Até o exercício financeiro de 2004, os recursos mínimos aplicados nas aç</w:t>
      </w:r>
      <w:r>
        <w:rPr>
          <w:color w:val="8C8C8C"/>
          <w:sz w:val="14"/>
        </w:rPr>
        <w:t xml:space="preserve">  [3 decisoes]</w:t>
      </w:r>
    </w:p>
    <w:p>
      <w:pPr>
        <w:ind w:left="144"/>
      </w:pPr>
      <w:r>
        <w:rPr>
          <w:b/>
          <w:color w:val="B45A00"/>
          <w:sz w:val="16"/>
        </w:rPr>
        <w:t>CONTROLE CONCENTRADO</w:t>
      </w:r>
    </w:p>
    <w:p>
      <w:pPr>
        <w:ind w:left="288"/>
      </w:pPr>
      <w:r>
        <w:rPr>
          <w:color w:val="8C8C8C"/>
          <w:sz w:val="12"/>
        </w:rPr>
        <w:t>cf-art-77</w:t>
      </w:r>
      <w:r>
        <w:rPr>
          <w:color w:val="003CA0"/>
          <w:sz w:val="12"/>
        </w:rPr>
        <w:t xml:space="preserve"> | ADI 1.057</w:t>
      </w:r>
      <w:r>
        <w:rPr>
          <w:color w:val="003CA0"/>
          <w:sz w:val="12"/>
        </w:rPr>
        <w:t xml:space="preserve"> | rel. Celso de Mello</w:t>
      </w:r>
    </w:p>
    <w:p>
      <w:pPr>
        <w:ind w:left="288"/>
      </w:pPr>
      <w:r>
        <w:rPr>
          <w:color w:val="1E1E1E"/>
          <w:sz w:val="18"/>
        </w:rPr>
        <w:t>Na realidade, e tal como precedentemente acentuado, os Estados-membros acham-se vinculados, em função de expressa determinação constitucional inscrita no art. 28, caput, in fine, da Carta da República, ao modelo subordinante estabelecido pelo art. 77 da CF, que se aplica, no entanto, por força dessa cláusula de extensão, apenas às eleições ordinárias e populares realizadas para a seleção de governador e de vice-governador de Estado, inexistindo, no que concerne à hipótese de escolha suplementar pelo próprio Poder Legislativo, no caso excepcional da dupla vacância, qualquer regramento constituc</w:t>
      </w:r>
    </w:p>
    <w:p>
      <w:pPr>
        <w:ind w:left="288"/>
      </w:pPr>
      <w:r>
        <w:rPr>
          <w:b/>
          <w:color w:val="003CA0"/>
          <w:sz w:val="16"/>
        </w:rPr>
        <w:t>[ADI 1.057 MC, voto do rel. min. Celso de Mello, j. 20-4-1994, P, DJ de 6-4-2001.]</w:t>
      </w:r>
    </w:p>
    <w:p>
      <w:pPr>
        <w:ind w:left="144"/>
      </w:pPr>
      <w:r>
        <w:rPr>
          <w:b/>
          <w:color w:val="B45A00"/>
          <w:sz w:val="16"/>
        </w:rPr>
        <w:t>JULGADOS CORRELATOS</w:t>
      </w:r>
    </w:p>
    <w:p>
      <w:pPr>
        <w:ind w:left="288"/>
      </w:pPr>
      <w:r>
        <w:rPr>
          <w:color w:val="8C8C8C"/>
          <w:sz w:val="12"/>
        </w:rPr>
        <w:t>cf-art-77-par-2</w:t>
      </w:r>
      <w:r>
        <w:rPr>
          <w:color w:val="003CA0"/>
          <w:sz w:val="12"/>
        </w:rPr>
        <w:t xml:space="preserve"> | RMS 23.234</w:t>
      </w:r>
      <w:r>
        <w:rPr>
          <w:color w:val="003CA0"/>
          <w:sz w:val="12"/>
        </w:rPr>
        <w:t xml:space="preserve"> | rel. Sepúlveda Pertence</w:t>
      </w:r>
    </w:p>
    <w:p>
      <w:pPr>
        <w:ind w:left="288"/>
      </w:pPr>
      <w:r>
        <w:rPr>
          <w:color w:val="1E1E1E"/>
          <w:sz w:val="18"/>
        </w:rPr>
        <w:t>Eleições majoritárias: nulidade: maioria de votos nulos, como tais entendidos os dados a candidatos cujo registro fora indeferido: incidência do art. 224 do Código Eleitoral, recebido pela Constituição. O art. 77, § 2º, da CF, ao definir a maioria absoluta, trata de estabelecer critério para a proclamação do eleito, no primeiro turno das eleições majoritárias a ela sujeitas; mas, é óbvio, não se cogita de proclamação de resultado eleitoral antes de verificada a validade das eleições; e sobre a validade da eleição – pressuposto da proclamação do seu resultado, é que versa o art. 224 do Código E</w:t>
      </w:r>
    </w:p>
    <w:p>
      <w:pPr>
        <w:ind w:left="288"/>
      </w:pPr>
      <w:r>
        <w:rPr>
          <w:b/>
          <w:color w:val="003CA0"/>
          <w:sz w:val="16"/>
        </w:rPr>
        <w:t>[RMS 23.234, rel. min. Sepúlveda Pertence, j. 2-10-1998, 1ª T, DJ de 20-11-1998.]</w:t>
      </w:r>
    </w:p>
    <w:p>
      <w:pPr>
        <w:ind w:left="288"/>
      </w:pPr>
      <w:r>
        <w:rPr>
          <w:color w:val="8C8C8C"/>
          <w:sz w:val="12"/>
        </w:rPr>
        <w:t>cf-art-77-par-2</w:t>
      </w:r>
      <w:r>
        <w:rPr>
          <w:color w:val="003CA0"/>
          <w:sz w:val="12"/>
        </w:rPr>
        <w:t xml:space="preserve"> | RE 140.460</w:t>
      </w:r>
      <w:r>
        <w:rPr>
          <w:color w:val="003CA0"/>
          <w:sz w:val="12"/>
        </w:rPr>
        <w:t xml:space="preserve"> | rel. Ilmar Galvão</w:t>
      </w:r>
    </w:p>
    <w:p>
      <w:pPr>
        <w:ind w:left="288"/>
      </w:pPr>
      <w:r>
        <w:rPr>
          <w:color w:val="1E1E1E"/>
          <w:sz w:val="18"/>
        </w:rPr>
        <w:t>Os votos brancos também representam manifestação da vontade política do eleitor. São eles computados em eleições majoritárias em face de norma expressa (arts. 28; 29, II; e 77, § 2º, da CF) configuradora de exceção alusiva às eleições majoritárias, não podendo por isso ser tomada como princípio geral. O art. 5º do ADCT limitou-se a dispor sobre a inaplicabilidade, à eleição para prefeito nele referida, do princípio da maioria absoluta previsto no § 2º do referido art. 77 do Texto Constitucional permanente, não dispondo sobre voto em branco.</w:t>
      </w:r>
    </w:p>
    <w:p>
      <w:pPr>
        <w:ind w:left="288"/>
      </w:pPr>
      <w:r>
        <w:rPr>
          <w:b/>
          <w:color w:val="003CA0"/>
          <w:sz w:val="16"/>
        </w:rPr>
        <w:t>[RE 140.460, rel. min. Ilmar Galvão, j. 19-5-1993, P, DJ de 4-5-2001.]</w:t>
      </w:r>
    </w:p>
    <w:p>
      <w:pPr>
        <w:ind w:left="1008"/>
      </w:pPr>
      <w:r>
        <w:rPr>
          <w:color w:val="003366"/>
          <w:sz w:val="18"/>
        </w:rPr>
        <w:t>a) no ano 2000, o montante empenhado em ações e serviços públicos de saúde no ex</w:t>
      </w:r>
    </w:p>
    <w:p>
      <w:pPr>
        <w:ind w:left="1008"/>
      </w:pPr>
      <w:r>
        <w:rPr>
          <w:color w:val="003366"/>
          <w:sz w:val="18"/>
        </w:rPr>
        <w:t>b) do ano 2001 ao ano 2004, o valor apurado no ano anterior, corrigido pela vari</w:t>
      </w:r>
    </w:p>
    <w:p>
      <w:pPr>
        <w:ind w:left="432"/>
      </w:pPr>
      <w:r>
        <w:rPr>
          <w:color w:val="003366"/>
          <w:sz w:val="18"/>
        </w:rPr>
        <w:t>§ 1 Os Estados, o Distrito Federal e os Municípios que apliquem percentuais infe</w:t>
      </w:r>
    </w:p>
    <w:p>
      <w:pPr>
        <w:ind w:left="432"/>
      </w:pPr>
      <w:r>
        <w:rPr>
          <w:color w:val="003366"/>
          <w:sz w:val="18"/>
        </w:rPr>
        <w:t>§ 2 Dos recursos da União apurados nos termos deste artigo, quinze por cento, no</w:t>
      </w:r>
    </w:p>
    <w:p>
      <w:pPr>
        <w:ind w:left="432"/>
      </w:pPr>
      <w:r>
        <w:rPr>
          <w:color w:val="003366"/>
          <w:sz w:val="18"/>
        </w:rPr>
        <w:t xml:space="preserve">§ 3 Os recursos dos Estados, do Distrito Federal e dos Municípios destinados às </w:t>
      </w:r>
    </w:p>
    <w:p>
      <w:pPr>
        <w:ind w:left="432"/>
      </w:pPr>
      <w:r>
        <w:rPr>
          <w:color w:val="003366"/>
          <w:sz w:val="18"/>
        </w:rPr>
        <w:t>§ 4 Na ausência da lei complementar a que se refere o art. 198, § 3º, a partir d</w:t>
      </w:r>
    </w:p>
    <w:p>
      <w:r>
        <w:rPr>
          <w:b/>
          <w:color w:val="003366"/>
          <w:sz w:val="20"/>
        </w:rPr>
        <w:t>Art. 78 Ressalvados os créditos definidos em lei como de pequeno valor, os de na</w:t>
      </w:r>
      <w:r>
        <w:rPr>
          <w:color w:val="8C8C8C"/>
          <w:sz w:val="14"/>
        </w:rPr>
        <w:t xml:space="preserve">  [1 decisoes]</w:t>
      </w:r>
    </w:p>
    <w:p>
      <w:pPr>
        <w:ind w:left="288"/>
      </w:pPr>
      <w:r>
        <w:rPr>
          <w:color w:val="8C8C8C"/>
          <w:sz w:val="12"/>
        </w:rPr>
        <w:t>cf-art-78</w:t>
      </w:r>
    </w:p>
    <w:p>
      <w:pPr>
        <w:ind w:left="288"/>
      </w:pPr>
      <w:r>
        <w:rPr>
          <w:color w:val="1E1E1E"/>
          <w:sz w:val="18"/>
        </w:rPr>
        <w:t>Parágrafo único. Se, decorridos dez dias da data fixada para a posse, o Presidente ou o Vice-Presidente, salvo motivo de força maior, não tiver assumido o cargo, este será declarado vago.</w:t>
      </w:r>
    </w:p>
    <w:p>
      <w:pPr>
        <w:ind w:left="432"/>
      </w:pPr>
      <w:r>
        <w:rPr>
          <w:color w:val="003366"/>
          <w:sz w:val="18"/>
        </w:rPr>
        <w:t>§ 1 É permitida a decomposição de parcelas, a critério do credor. (Incluído pela</w:t>
      </w:r>
    </w:p>
    <w:p>
      <w:pPr>
        <w:ind w:left="432"/>
      </w:pPr>
      <w:r>
        <w:rPr>
          <w:color w:val="003366"/>
          <w:sz w:val="18"/>
        </w:rPr>
        <w:t>§ 2 As prestações anuais a que se refere o caput deste artigo terão, se não liqu</w:t>
      </w:r>
    </w:p>
    <w:p>
      <w:pPr>
        <w:ind w:left="432"/>
      </w:pPr>
      <w:r>
        <w:rPr>
          <w:color w:val="003366"/>
          <w:sz w:val="18"/>
        </w:rPr>
        <w:t>§ 3 O prazo referido no caput deste artigo fica reduzido para dois anos, nos cas</w:t>
      </w:r>
    </w:p>
    <w:p>
      <w:pPr>
        <w:ind w:left="432"/>
      </w:pPr>
      <w:r>
        <w:rPr>
          <w:color w:val="003366"/>
          <w:sz w:val="18"/>
        </w:rPr>
        <w:t>§ 4 O Presidente do Tribunal competente deverá, vencido o prazo ou em caso de om</w:t>
      </w:r>
    </w:p>
    <w:p>
      <w:r>
        <w:rPr>
          <w:b/>
          <w:color w:val="003366"/>
          <w:sz w:val="20"/>
        </w:rPr>
        <w:t>Art. 79 É instituído, para vigorar até o ano de 2010, no âmbito do Poder Executi</w:t>
      </w:r>
      <w:r>
        <w:rPr>
          <w:color w:val="8C8C8C"/>
          <w:sz w:val="14"/>
        </w:rPr>
        <w:t xml:space="preserve">  [1 decisoes]</w:t>
      </w:r>
    </w:p>
    <w:p>
      <w:pPr>
        <w:ind w:left="144"/>
      </w:pPr>
      <w:r>
        <w:rPr>
          <w:b/>
          <w:color w:val="B45A00"/>
          <w:sz w:val="16"/>
        </w:rPr>
        <w:t>CONTROLE CONCENTRADO</w:t>
      </w:r>
    </w:p>
    <w:p>
      <w:pPr>
        <w:ind w:left="288"/>
      </w:pPr>
      <w:r>
        <w:rPr>
          <w:color w:val="8C8C8C"/>
          <w:sz w:val="12"/>
        </w:rPr>
        <w:t>cf-art-79</w:t>
      </w:r>
      <w:r>
        <w:rPr>
          <w:color w:val="003CA0"/>
          <w:sz w:val="12"/>
        </w:rPr>
        <w:t xml:space="preserve"> | ADI 3.647</w:t>
      </w:r>
      <w:r>
        <w:rPr>
          <w:color w:val="003CA0"/>
          <w:sz w:val="12"/>
        </w:rPr>
        <w:t xml:space="preserve"> | rel. Joaquim Barbosa</w:t>
      </w:r>
    </w:p>
    <w:p>
      <w:pPr>
        <w:ind w:left="288"/>
      </w:pPr>
      <w:r>
        <w:rPr>
          <w:color w:val="1E1E1E"/>
          <w:sz w:val="18"/>
        </w:rPr>
        <w:t xml:space="preserve">A ausência do presidente da República do país ou a ausência do governador do Estado do território estadual ou do país é uma causa temporária que impossibilita o cumprimento, pelo chefe do Poder Executivo, dos deveres e responsabilidades inerentes ao cargo. Desse modo, para que não haja acefalia no âmbito do Poder Executivo, o presidente da República ou o governador do Estado deve ser devidamente substituído pelo vice-presidente ou vice-governador, respectivamente. (...) Em decorrência do princípio da simetria, a Constituição estadual deve estabelecer sanção para o afastamento do governador ou </w:t>
      </w:r>
    </w:p>
    <w:p>
      <w:pPr>
        <w:ind w:left="288"/>
      </w:pPr>
      <w:r>
        <w:rPr>
          <w:b/>
          <w:color w:val="003CA0"/>
          <w:sz w:val="16"/>
        </w:rPr>
        <w:t>[ADI 3.647, rel. min. Joaquim Barbosa, j. 17-9-2007, P, DJE de 16-5-2008.]</w:t>
      </w:r>
    </w:p>
    <w:p>
      <w:r>
        <w:rPr>
          <w:b/>
          <w:color w:val="003366"/>
          <w:sz w:val="20"/>
        </w:rPr>
        <w:t>Art. 80 Compõem o Fundo de Combate e Erradicação da Pobreza: (Incluído pela Emen</w:t>
      </w:r>
      <w:r>
        <w:rPr>
          <w:color w:val="8C8C8C"/>
          <w:sz w:val="14"/>
        </w:rPr>
        <w:t xml:space="preserve">  [2 decisoes]</w:t>
      </w:r>
    </w:p>
    <w:p>
      <w:pPr>
        <w:ind w:left="144"/>
      </w:pPr>
      <w:r>
        <w:rPr>
          <w:b/>
          <w:color w:val="B45A00"/>
          <w:sz w:val="16"/>
        </w:rPr>
        <w:t>CONTROLE CONCENTRADO</w:t>
      </w:r>
    </w:p>
    <w:p>
      <w:pPr>
        <w:ind w:left="288"/>
      </w:pPr>
      <w:r>
        <w:rPr>
          <w:color w:val="8C8C8C"/>
          <w:sz w:val="12"/>
        </w:rPr>
        <w:t>cf-art-80</w:t>
      </w:r>
      <w:r>
        <w:rPr>
          <w:color w:val="003CA0"/>
          <w:sz w:val="12"/>
        </w:rPr>
        <w:t xml:space="preserve"> | ADPF 402</w:t>
      </w:r>
    </w:p>
    <w:p>
      <w:pPr>
        <w:ind w:left="288"/>
      </w:pPr>
      <w:r>
        <w:rPr>
          <w:color w:val="1E1E1E"/>
          <w:sz w:val="18"/>
        </w:rPr>
        <w:t>Os substitutos eventuais do Presidente da República – o Presidente da Câmara dos Deputados, o Presidente do Senado Federal e o Presidente do Supremo Tribunal Federal (CF, art. 80) – ficarão unicamente impossibilitados de exercer, em caráter interino, a Chefia do Poder Executivo da União, caso ostentem a posição de réus criminais, condição que assumem somente após o recebimento judicial da denúncia ou da queixa-crime (CF, art. 86, § 1º, I). Essa interdição, contudo – por unicamente incidir na hipótese estrita de convocação para o exercício, por substituição, da Presidência da República (CF, art</w:t>
      </w:r>
    </w:p>
    <w:p>
      <w:pPr>
        <w:ind w:left="288"/>
      </w:pPr>
      <w:r>
        <w:rPr>
          <w:b/>
          <w:color w:val="003CA0"/>
          <w:sz w:val="16"/>
        </w:rPr>
        <w:t>[ADPF 402 MC-REF, red. do ac. min. Celso de Mello, j. 7-12-2016, P, DJE de 29-8-2018.]</w:t>
      </w:r>
    </w:p>
    <w:p>
      <w:pPr>
        <w:ind w:left="144"/>
      </w:pPr>
      <w:r>
        <w:rPr>
          <w:b/>
          <w:color w:val="B45A00"/>
          <w:sz w:val="16"/>
        </w:rPr>
        <w:t>JULGADOS CORRELATOS</w:t>
      </w:r>
    </w:p>
    <w:p>
      <w:pPr>
        <w:ind w:left="288"/>
      </w:pPr>
      <w:r>
        <w:rPr>
          <w:color w:val="8C8C8C"/>
          <w:sz w:val="12"/>
        </w:rPr>
        <w:t>cf-art-80</w:t>
      </w:r>
      <w:r>
        <w:rPr>
          <w:color w:val="003CA0"/>
          <w:sz w:val="12"/>
        </w:rPr>
        <w:t xml:space="preserve"> | RE 655.647</w:t>
      </w:r>
      <w:r>
        <w:rPr>
          <w:color w:val="003CA0"/>
          <w:sz w:val="12"/>
        </w:rPr>
        <w:t xml:space="preserve"> | rel. Dias Toffoli</w:t>
      </w:r>
    </w:p>
    <w:p>
      <w:pPr>
        <w:ind w:left="288"/>
      </w:pPr>
      <w:r>
        <w:rPr>
          <w:color w:val="1E1E1E"/>
          <w:sz w:val="18"/>
        </w:rPr>
        <w:t>Art. 75 da Lei Orgânica do Município de Manaus/AM, que dispõe sobre os substitutos eventuais do prefeito e vice-prefeito no caso de dupla vacância. (...) A jurisprudência da Corte fixou-se no sentido de que a disciplina acerca da sucessão e da substituição da chefia do Poder Executivo municipal põe-se no âmbito da autonomia política do Município, por tratar tão somente de assunto de interesse local, não havendo dever de observância do modelo federal (...).</w:t>
      </w:r>
    </w:p>
    <w:p>
      <w:pPr>
        <w:ind w:left="288"/>
      </w:pPr>
      <w:r>
        <w:rPr>
          <w:b/>
          <w:color w:val="003CA0"/>
          <w:sz w:val="16"/>
        </w:rPr>
        <w:t>[RE 655.647 AgR, rel. min. Dias Toffoli, j. 11-11-2014, 1ª T, DJE de 19-12-2014.]</w:t>
      </w:r>
    </w:p>
    <w:p>
      <w:pPr>
        <w:ind w:left="432"/>
      </w:pPr>
      <w:r>
        <w:rPr>
          <w:color w:val="003366"/>
          <w:sz w:val="18"/>
        </w:rPr>
        <w:t>§ 1 Aos recursos integrantes do Fundo de que trata este artigo não se aplica o d</w:t>
      </w:r>
    </w:p>
    <w:p>
      <w:pPr>
        <w:ind w:left="432"/>
      </w:pPr>
      <w:r>
        <w:rPr>
          <w:color w:val="003366"/>
          <w:sz w:val="18"/>
        </w:rPr>
        <w:t>§ 2 A arrecadação decorrente do disposto no inciso I deste artigo, no período co</w:t>
      </w:r>
    </w:p>
    <w:p>
      <w:r>
        <w:rPr>
          <w:b/>
          <w:color w:val="003366"/>
          <w:sz w:val="20"/>
        </w:rPr>
        <w:t>Art. 81 É instituído Fundo constituído pelos recursos recebidos pela União em de</w:t>
      </w:r>
      <w:r>
        <w:rPr>
          <w:color w:val="8C8C8C"/>
          <w:sz w:val="14"/>
        </w:rPr>
        <w:t xml:space="preserve">  [6 decisoes]</w:t>
      </w:r>
    </w:p>
    <w:p>
      <w:pPr>
        <w:ind w:left="144"/>
      </w:pPr>
      <w:r>
        <w:rPr>
          <w:b/>
          <w:color w:val="B45A00"/>
          <w:sz w:val="16"/>
        </w:rPr>
        <w:t>CONTROLE CONCENTRADO</w:t>
      </w:r>
    </w:p>
    <w:p>
      <w:pPr>
        <w:ind w:left="288"/>
      </w:pPr>
      <w:r>
        <w:rPr>
          <w:color w:val="8C8C8C"/>
          <w:sz w:val="12"/>
        </w:rPr>
        <w:t>cf-art-81-par-1</w:t>
      </w:r>
      <w:r>
        <w:rPr>
          <w:color w:val="003CA0"/>
          <w:sz w:val="12"/>
        </w:rPr>
        <w:t xml:space="preserve"> | ADI 5.525</w:t>
      </w:r>
      <w:r>
        <w:rPr>
          <w:color w:val="003CA0"/>
          <w:sz w:val="12"/>
        </w:rPr>
        <w:t xml:space="preserve"> | rel. Roberto Barroso</w:t>
      </w:r>
    </w:p>
    <w:p>
      <w:pPr>
        <w:ind w:left="288"/>
      </w:pPr>
      <w:r>
        <w:rPr>
          <w:color w:val="1E1E1E"/>
          <w:sz w:val="18"/>
        </w:rPr>
        <w:t>O legislador ordinário federal pode prever hipóteses de vacância de cargos eletivos fora das situações expressamente contempladas na Constituição, com vistas a assegurar a higidez do processo eleitoral e a preservar o princípio majoritário. Não pode, todavia, disciplinar o modo de eleição para o cargo vago diferentemente do que estabelece a Constituição Federal. Inconstitucionalidade do § 4º do art. 224 do Código Eleitoral, na redação dada pela Lei 13.165/2015, na parte em que incide sobre a eleição para Presidente, Vice-Presidente e Senador da República, em caso de vacância, por estar em cont</w:t>
      </w:r>
    </w:p>
    <w:p>
      <w:pPr>
        <w:ind w:left="288"/>
      </w:pPr>
      <w:r>
        <w:rPr>
          <w:b/>
          <w:color w:val="003CA0"/>
          <w:sz w:val="16"/>
        </w:rPr>
        <w:t>[ADI 5.525, rel. min. Roberto Barroso, j. 8-3-2019, P, DJE de 29-11-2019.]</w:t>
      </w:r>
    </w:p>
    <w:p>
      <w:pPr>
        <w:ind w:left="288"/>
      </w:pPr>
      <w:r>
        <w:rPr>
          <w:color w:val="8C8C8C"/>
          <w:sz w:val="12"/>
        </w:rPr>
        <w:t>cf-art-81-par-1</w:t>
      </w:r>
      <w:r>
        <w:rPr>
          <w:color w:val="003CA0"/>
          <w:sz w:val="12"/>
        </w:rPr>
        <w:t xml:space="preserve"> | ADI 4.298</w:t>
      </w:r>
      <w:r>
        <w:rPr>
          <w:color w:val="003CA0"/>
          <w:sz w:val="12"/>
        </w:rPr>
        <w:t xml:space="preserve"> | rel. Cezar Peluso</w:t>
      </w:r>
    </w:p>
    <w:p>
      <w:pPr>
        <w:ind w:left="288"/>
      </w:pPr>
      <w:r>
        <w:rPr>
          <w:color w:val="1E1E1E"/>
          <w:sz w:val="18"/>
        </w:rPr>
        <w:t xml:space="preserve">A reserva de lei constante do art. 81, § 1º, da CF, que é nítida e especialíssima exceção ao cânone do exercício direto do sufrágio, diz respeito tão só ao regime de dupla vacância dos cargos de presidente e do vice-presidente da República, e, como tal, é da óbvia competência da União. E, considerados o desenho federativo e a inaplicabilidade do princípio da simetria ao caso, compete aos Estados-membros definir e regulamentar as normas de substituição de governador e vice-governador. De modo que, quando, como na espécie, tenha o constituinte estadual reproduzido o preceito da CF, a reserva de </w:t>
      </w:r>
    </w:p>
    <w:p>
      <w:pPr>
        <w:ind w:left="288"/>
      </w:pPr>
      <w:r>
        <w:rPr>
          <w:b/>
          <w:color w:val="003CA0"/>
          <w:sz w:val="16"/>
        </w:rPr>
        <w:t>[ADI 4.298 MC, voto do rel. min. Cezar Peluso, j. 7-10-2009, P, DJE de 27-11-2009.]</w:t>
      </w:r>
    </w:p>
    <w:p>
      <w:pPr>
        <w:ind w:left="288"/>
      </w:pPr>
      <w:r>
        <w:rPr>
          <w:color w:val="8C8C8C"/>
          <w:sz w:val="12"/>
        </w:rPr>
        <w:t>cf-art-81-par-1</w:t>
      </w:r>
      <w:r>
        <w:rPr>
          <w:color w:val="003CA0"/>
          <w:sz w:val="12"/>
        </w:rPr>
        <w:t xml:space="preserve"> | ADI 3.549</w:t>
      </w:r>
      <w:r>
        <w:rPr>
          <w:color w:val="003CA0"/>
          <w:sz w:val="12"/>
        </w:rPr>
        <w:t xml:space="preserve"> | rel. Cármen Lúcia</w:t>
      </w:r>
    </w:p>
    <w:p>
      <w:pPr>
        <w:ind w:left="288"/>
      </w:pPr>
      <w:r>
        <w:rPr>
          <w:color w:val="1E1E1E"/>
          <w:sz w:val="18"/>
        </w:rPr>
        <w:t>A vocação sucessória dos cargos de prefeito e vice-prefeito põe-se no âmbito da autonomia política local, em caso de dupla vacância. Ao disciplinar matéria, cuja competência é exclusiva dos Municípios, o art. 75, § 2º, da Constituição de Goiás fere a autonomia desses entes, mitigando-lhes a capacidade de auto-organização e de autogoverno e limitando a sua autonomia política assegurada pela Constituição brasileira.</w:t>
      </w:r>
    </w:p>
    <w:p>
      <w:pPr>
        <w:ind w:left="288"/>
      </w:pPr>
      <w:r>
        <w:rPr>
          <w:b/>
          <w:color w:val="003CA0"/>
          <w:sz w:val="16"/>
        </w:rPr>
        <w:t>[ADI 3.549, rel. min. Cármen Lúcia, j. 17-9-2007, P, DJ de 31-10-2007.]</w:t>
      </w:r>
    </w:p>
    <w:p>
      <w:pPr>
        <w:ind w:left="288"/>
      </w:pPr>
      <w:r>
        <w:rPr>
          <w:color w:val="8C8C8C"/>
          <w:sz w:val="12"/>
        </w:rPr>
        <w:t>cf-art-81-par-1</w:t>
      </w:r>
      <w:r>
        <w:rPr>
          <w:color w:val="003CA0"/>
          <w:sz w:val="12"/>
        </w:rPr>
        <w:t xml:space="preserve"> | ADI 2.709</w:t>
      </w:r>
      <w:r>
        <w:rPr>
          <w:color w:val="003CA0"/>
          <w:sz w:val="12"/>
        </w:rPr>
        <w:t xml:space="preserve"> | rel. Gilmar Mendes</w:t>
      </w:r>
    </w:p>
    <w:p>
      <w:pPr>
        <w:ind w:left="288"/>
      </w:pPr>
      <w:r>
        <w:rPr>
          <w:color w:val="1E1E1E"/>
          <w:sz w:val="18"/>
        </w:rPr>
        <w:t xml:space="preserve">EC 28, que alterou o § 2º do art. 79 da Constituição do Estado de Sergipe, estabelecendo que, no caso de vacância dos cargos de governador e vice-governador do Estado, no último ano do período governamental, serão sucessivamente chamados o presidente da Assembleia Legislativa e o presidente do Tribunal de Justiça, para exercer o cargo de governador. A norma impugnada suprimiu a eleição indireta para governador e vice-governador do Estado, realizada pela Assembleia Legislativa em caso de dupla vacância desses cargos no último biênio do período de governo. Afronta aos parâmetros constitucionais </w:t>
      </w:r>
    </w:p>
    <w:p>
      <w:pPr>
        <w:ind w:left="288"/>
      </w:pPr>
      <w:r>
        <w:rPr>
          <w:b/>
          <w:color w:val="003CA0"/>
          <w:sz w:val="16"/>
        </w:rPr>
        <w:t>[ADI 2.709, rel. min. Gilmar Mendes, j. 1º-8-2006, P, DJE de 16-5-2008.]</w:t>
      </w:r>
    </w:p>
    <w:p>
      <w:pPr>
        <w:ind w:left="288"/>
      </w:pPr>
      <w:r>
        <w:rPr>
          <w:color w:val="8C8C8C"/>
          <w:sz w:val="12"/>
        </w:rPr>
        <w:t>cf-art-81-par-1</w:t>
      </w:r>
      <w:r>
        <w:rPr>
          <w:color w:val="003CA0"/>
          <w:sz w:val="12"/>
        </w:rPr>
        <w:t xml:space="preserve"> | RCL 7.759</w:t>
      </w:r>
      <w:r>
        <w:rPr>
          <w:color w:val="003CA0"/>
          <w:sz w:val="12"/>
        </w:rPr>
        <w:t xml:space="preserve"> | rel. Celso de Mello</w:t>
      </w:r>
    </w:p>
    <w:p>
      <w:pPr>
        <w:ind w:left="288"/>
      </w:pPr>
      <w:r>
        <w:rPr>
          <w:color w:val="1E1E1E"/>
          <w:sz w:val="18"/>
        </w:rPr>
        <w:t xml:space="preserve">Vide Rcl 7.759 MC, rel. min. Celso de Mello, j. 26-2-2009, dec. monocrática, DJE de 4-3-2009 O Estado-membro dispõe de competência para disciplinar o processo de escolha, por sua assembleia legislativa, do governador e do vice-governador do Estado, nas hipóteses em que se verificar a dupla vacância desses cargos nos últimos dois anos do período governamental. Essa competência legislativa do Estado-membro decorre da capacidade de autogoverno que lhe outorgou a própria Constituição da República. As condições de elegibilidade (CF, art. 14, § 4º a § 8º) e as hipóteses de inelegibilidade (CF, art. </w:t>
      </w:r>
    </w:p>
    <w:p>
      <w:pPr>
        <w:ind w:left="288"/>
      </w:pPr>
      <w:r>
        <w:rPr>
          <w:b/>
          <w:color w:val="003CA0"/>
          <w:sz w:val="16"/>
        </w:rPr>
        <w:t>[ADI 1.057 MC, rel. min. Celso de Mello, j. 20-4-1994, P, DJ de 6-4-2001.]</w:t>
      </w:r>
    </w:p>
    <w:p>
      <w:pPr>
        <w:ind w:left="288"/>
      </w:pPr>
      <w:r>
        <w:rPr>
          <w:color w:val="8C8C8C"/>
          <w:sz w:val="12"/>
        </w:rPr>
        <w:t>cf-art-81-par-1</w:t>
      </w:r>
      <w:r>
        <w:rPr>
          <w:color w:val="003CA0"/>
          <w:sz w:val="12"/>
        </w:rPr>
        <w:t xml:space="preserve"> | RCL 7.759</w:t>
      </w:r>
      <w:r>
        <w:rPr>
          <w:color w:val="003CA0"/>
          <w:sz w:val="12"/>
        </w:rPr>
        <w:t xml:space="preserve"> | rel. Celso de Mello</w:t>
      </w:r>
    </w:p>
    <w:p>
      <w:pPr>
        <w:ind w:left="288"/>
      </w:pPr>
      <w:r>
        <w:rPr>
          <w:color w:val="1E1E1E"/>
          <w:sz w:val="18"/>
        </w:rPr>
        <w:t>= Rcl 7.759 MC, rel. min. Celso de Mello, j. 26-2-2009, dec. monocrática, DJE de 4-3-2009</w:t>
      </w:r>
    </w:p>
    <w:p>
      <w:pPr>
        <w:ind w:left="432"/>
      </w:pPr>
      <w:r>
        <w:rPr>
          <w:color w:val="003366"/>
          <w:sz w:val="18"/>
        </w:rPr>
        <w:t>§ 1 Caso o montante anual previsto nos rendimentos transferidos ao Fundo de Comb</w:t>
      </w:r>
    </w:p>
    <w:p>
      <w:pPr>
        <w:ind w:left="432"/>
      </w:pPr>
      <w:r>
        <w:rPr>
          <w:color w:val="003366"/>
          <w:sz w:val="18"/>
        </w:rPr>
        <w:t>§ 2 Sem prejuízo do disposto no § 1º, o Poder Executivo poderá destinar ao Fundo</w:t>
      </w:r>
    </w:p>
    <w:p>
      <w:pPr>
        <w:ind w:left="432"/>
      </w:pPr>
      <w:r>
        <w:rPr>
          <w:color w:val="003366"/>
          <w:sz w:val="18"/>
        </w:rPr>
        <w:t>§ 3 A constituição do Fundo a que se refere o caput, a transferência de recursos</w:t>
      </w:r>
    </w:p>
    <w:p>
      <w:r>
        <w:rPr>
          <w:b/>
          <w:color w:val="003366"/>
          <w:sz w:val="20"/>
        </w:rPr>
        <w:t>Art. 82 Os Estados, o Distrito Federal e os Municípios devem instituir Fundos de</w:t>
      </w:r>
    </w:p>
    <w:p>
      <w:pPr>
        <w:ind w:left="432"/>
      </w:pPr>
      <w:r>
        <w:rPr>
          <w:color w:val="003366"/>
          <w:sz w:val="18"/>
        </w:rPr>
        <w:t>§ 1 Para o financiamento dos Fundos Estaduais e Distrital, poderá ser criado adi</w:t>
      </w:r>
    </w:p>
    <w:p>
      <w:pPr>
        <w:ind w:left="432"/>
      </w:pPr>
      <w:r>
        <w:rPr>
          <w:color w:val="003366"/>
          <w:sz w:val="18"/>
        </w:rPr>
        <w:t>§ 2 Para o financiamento dos Fundos Municipais, poderá ser criado adicional de a</w:t>
      </w:r>
    </w:p>
    <w:p>
      <w:r>
        <w:rPr>
          <w:b/>
          <w:color w:val="003366"/>
          <w:sz w:val="20"/>
        </w:rPr>
        <w:t xml:space="preserve">Art. 83 Lei federal definirá os produtos e serviços supérfluos a que se referem </w:t>
      </w:r>
      <w:r>
        <w:rPr>
          <w:color w:val="8C8C8C"/>
          <w:sz w:val="14"/>
        </w:rPr>
        <w:t xml:space="preserve">  [3 decisoes]</w:t>
      </w:r>
    </w:p>
    <w:p>
      <w:pPr>
        <w:ind w:left="144"/>
      </w:pPr>
      <w:r>
        <w:rPr>
          <w:b/>
          <w:color w:val="B45A00"/>
          <w:sz w:val="16"/>
        </w:rPr>
        <w:t>CONTROLE CONCENTRADO</w:t>
      </w:r>
    </w:p>
    <w:p>
      <w:pPr>
        <w:ind w:left="288"/>
      </w:pPr>
      <w:r>
        <w:rPr>
          <w:color w:val="8C8C8C"/>
          <w:sz w:val="12"/>
        </w:rPr>
        <w:t>cf-art-83</w:t>
      </w:r>
      <w:r>
        <w:rPr>
          <w:color w:val="003CA0"/>
          <w:sz w:val="12"/>
        </w:rPr>
        <w:t xml:space="preserve"> | ADI 3.647</w:t>
      </w:r>
      <w:r>
        <w:rPr>
          <w:color w:val="003CA0"/>
          <w:sz w:val="12"/>
        </w:rPr>
        <w:t xml:space="preserve"> | rel. Joaquim Barbosa</w:t>
      </w:r>
    </w:p>
    <w:p>
      <w:pPr>
        <w:ind w:left="288"/>
      </w:pPr>
      <w:r>
        <w:rPr>
          <w:color w:val="1E1E1E"/>
          <w:sz w:val="18"/>
        </w:rPr>
        <w:t xml:space="preserve">A ausência do presidente da República do país ou a ausência do governador do Estado do território estadual ou do país é uma causa temporária que impossibilita o cumprimento, pelo chefe do Poder Executivo, dos deveres e responsabilidades inerentes ao cargo. Desse modo, para que não haja acefalia no âmbito do Poder Executivo, o presidente da República ou o governador do Estado deve ser devidamente substituído pelo vice-presidente ou vice-governador, respectivamente. (...) Em decorrência do princípio da simetria, a Constituição estadual deve estabelecer sanção para o afastamento do governador ou </w:t>
      </w:r>
    </w:p>
    <w:p>
      <w:pPr>
        <w:ind w:left="288"/>
      </w:pPr>
      <w:r>
        <w:rPr>
          <w:b/>
          <w:color w:val="003CA0"/>
          <w:sz w:val="16"/>
        </w:rPr>
        <w:t>[ADI 3.647, rel. min. Joaquim Barbosa, j. 17-9-2007, P, DJE de 16-5-2008.]</w:t>
      </w:r>
    </w:p>
    <w:p>
      <w:pPr>
        <w:ind w:left="288"/>
      </w:pPr>
      <w:r>
        <w:rPr>
          <w:color w:val="8C8C8C"/>
          <w:sz w:val="12"/>
        </w:rPr>
        <w:t>cf-art-83</w:t>
      </w:r>
      <w:r>
        <w:rPr>
          <w:color w:val="003CA0"/>
          <w:sz w:val="12"/>
        </w:rPr>
        <w:t xml:space="preserve"> | ADI 738</w:t>
      </w:r>
      <w:r>
        <w:rPr>
          <w:color w:val="003CA0"/>
          <w:sz w:val="12"/>
        </w:rPr>
        <w:t xml:space="preserve"> | rel. Maurício Corrêa</w:t>
      </w:r>
    </w:p>
    <w:p>
      <w:pPr>
        <w:ind w:left="288"/>
      </w:pPr>
      <w:r>
        <w:rPr>
          <w:color w:val="1E1E1E"/>
          <w:sz w:val="18"/>
        </w:rPr>
        <w:t>Afronta os princípios constitucionais da harmonia e independência entre os Poderes e da liberdade de locomoção norma estadual que exige prévia licença da assembleia legislativa para que o governador e o vice-governador possam ausentar-se do País por qualquer prazo. Espécie de autorização que, segundo o modelo federal, somente se justifica quando o afastamento exceder a quinze dias. Aplicação do princípio da simetria.</w:t>
      </w:r>
    </w:p>
    <w:p>
      <w:pPr>
        <w:ind w:left="288"/>
      </w:pPr>
      <w:r>
        <w:rPr>
          <w:b/>
          <w:color w:val="003CA0"/>
          <w:sz w:val="16"/>
        </w:rPr>
        <w:t>[ADI 738, rel. min. Maurício Corrêa, j. 13-11-2002, P, DJ de 7-2-2003.]</w:t>
      </w:r>
    </w:p>
    <w:p>
      <w:pPr>
        <w:ind w:left="288"/>
      </w:pPr>
      <w:r>
        <w:rPr>
          <w:color w:val="8C8C8C"/>
          <w:sz w:val="12"/>
        </w:rPr>
        <w:t>cf-art-83</w:t>
      </w:r>
      <w:r>
        <w:rPr>
          <w:color w:val="003CA0"/>
          <w:sz w:val="12"/>
        </w:rPr>
        <w:t xml:space="preserve"> | RE 317.574</w:t>
      </w:r>
      <w:r>
        <w:rPr>
          <w:color w:val="003CA0"/>
          <w:sz w:val="12"/>
        </w:rPr>
        <w:t xml:space="preserve"> | rel. Cezar Peluso</w:t>
      </w:r>
    </w:p>
    <w:p>
      <w:pPr>
        <w:ind w:left="288"/>
      </w:pPr>
      <w:r>
        <w:rPr>
          <w:color w:val="1E1E1E"/>
          <w:sz w:val="18"/>
        </w:rPr>
        <w:t>= RE 317.574, rel. min. Cezar Peluso, j. 1º-12-2010, P, DJE de 1º-2-2011 Seção II Das Atribuições do Presidente da República SUMÁRIO</w:t>
      </w:r>
    </w:p>
    <w:p>
      <w:r>
        <w:rPr>
          <w:b/>
          <w:color w:val="003366"/>
          <w:sz w:val="20"/>
        </w:rPr>
        <w:t>Art. 84 A contribuição provisória sobre movimentação ou transmissão de valores e</w:t>
      </w:r>
      <w:r>
        <w:rPr>
          <w:color w:val="8C8C8C"/>
          <w:sz w:val="14"/>
        </w:rPr>
        <w:t xml:space="preserve">  [66 decisoes]</w:t>
      </w:r>
    </w:p>
    <w:p>
      <w:pPr>
        <w:ind w:left="144"/>
      </w:pPr>
      <w:r>
        <w:rPr>
          <w:b/>
          <w:color w:val="B45A00"/>
          <w:sz w:val="16"/>
        </w:rPr>
        <w:t>REPERCUSSAO GERAL</w:t>
      </w:r>
    </w:p>
    <w:p>
      <w:pPr>
        <w:ind w:left="288"/>
      </w:pPr>
      <w:r>
        <w:rPr>
          <w:color w:val="8C8C8C"/>
          <w:sz w:val="12"/>
        </w:rPr>
        <w:t>cf-art-84</w:t>
      </w:r>
      <w:r>
        <w:rPr>
          <w:color w:val="003CA0"/>
          <w:sz w:val="12"/>
        </w:rPr>
        <w:t xml:space="preserve"> | RE 570.680</w:t>
      </w:r>
      <w:r>
        <w:rPr>
          <w:color w:val="003CA0"/>
          <w:sz w:val="12"/>
        </w:rPr>
        <w:t xml:space="preserve"> | rel. Ricardo Lewandowski</w:t>
      </w:r>
    </w:p>
    <w:p>
      <w:pPr>
        <w:ind w:left="288"/>
      </w:pPr>
      <w:r>
        <w:rPr>
          <w:color w:val="1E1E1E"/>
          <w:sz w:val="18"/>
        </w:rPr>
        <w:t>É compatível com a Carta Magna a norma infraconstitucional que atribui a órgão integrante do Poder Executivo da União a faculdade de estabelecer as alíquotas do Imposto de Exportação. Competência que não é privativa do presidente da República. Inocorrência de ofensa aos arts. 84, caput, IV, e parágrafo único, e 153, § 1º, da CF ou ao princípio de reserva legal. (...) Faculdade discricionária atribuída à Câmara de Comércio Exterior (CAMEX), que se circunscreve ao disposto no DL 1.578/1977 e às demais normas regulamentares.</w:t>
        <w:br/>
        <w:t>[RE 570.680, rel. min. Ricardo Lewandowski, j. 28-10-2009, P, DJE de 4-1</w:t>
      </w:r>
    </w:p>
    <w:p>
      <w:pPr>
        <w:ind w:left="144"/>
      </w:pPr>
      <w:r>
        <w:rPr>
          <w:b/>
          <w:color w:val="B45A00"/>
          <w:sz w:val="16"/>
        </w:rPr>
        <w:t>JULGADOS CORRELATOS</w:t>
      </w:r>
    </w:p>
    <w:p>
      <w:pPr>
        <w:ind w:left="288"/>
      </w:pPr>
      <w:r>
        <w:rPr>
          <w:color w:val="8C8C8C"/>
          <w:sz w:val="12"/>
        </w:rPr>
        <w:t>cf-art-84</w:t>
      </w:r>
      <w:r>
        <w:rPr>
          <w:color w:val="003CA0"/>
          <w:sz w:val="12"/>
        </w:rPr>
        <w:t xml:space="preserve"> | HC 101.528</w:t>
      </w:r>
      <w:r>
        <w:rPr>
          <w:color w:val="003CA0"/>
          <w:sz w:val="12"/>
        </w:rPr>
        <w:t xml:space="preserve"> | rel. Dias Toffoli</w:t>
      </w:r>
    </w:p>
    <w:p>
      <w:pPr>
        <w:ind w:left="288"/>
      </w:pPr>
      <w:r>
        <w:rPr>
          <w:color w:val="1E1E1E"/>
          <w:sz w:val="18"/>
        </w:rPr>
        <w:t>(...) competência desta Suprema Corte para julgamento do presente habeas corpus. Isso porque a competência da expulsão é exclusiva do presidente da República (Lei 6.815/1980, art. 66), com delegação desses poderes ao ministro de Estado da Justiça, a partir do Decreto 3.447/2000 (art. 1º). O fato de o presidente da República delegar ao ministro de Estado da Justiça, mediante ato administrativo por ele próprio assinado, o exercício da competência legal de expulsão de estrangeiro não implica disposição da própria competência.</w:t>
      </w:r>
    </w:p>
    <w:p>
      <w:pPr>
        <w:ind w:left="288"/>
      </w:pPr>
      <w:r>
        <w:rPr>
          <w:b/>
          <w:color w:val="003CA0"/>
          <w:sz w:val="16"/>
        </w:rPr>
        <w:t>[HC 101.528, voto do rel. min. Dias Toffoli, j. 9-12-2010, P, DJE de 22-3-2011.]</w:t>
      </w:r>
    </w:p>
    <w:p>
      <w:pPr>
        <w:ind w:left="288"/>
      </w:pPr>
      <w:r>
        <w:rPr>
          <w:color w:val="8C8C8C"/>
          <w:sz w:val="12"/>
        </w:rPr>
        <w:t>cf-art-84</w:t>
      </w:r>
      <w:r>
        <w:rPr>
          <w:color w:val="003CA0"/>
          <w:sz w:val="12"/>
        </w:rPr>
        <w:t xml:space="preserve"> | HC 101.269</w:t>
      </w:r>
      <w:r>
        <w:rPr>
          <w:color w:val="003CA0"/>
          <w:sz w:val="12"/>
        </w:rPr>
        <w:t xml:space="preserve"> | rel. Cármen Lúcia</w:t>
      </w:r>
    </w:p>
    <w:p>
      <w:pPr>
        <w:ind w:left="288"/>
      </w:pPr>
      <w:r>
        <w:rPr>
          <w:color w:val="1E1E1E"/>
          <w:sz w:val="18"/>
        </w:rPr>
        <w:t>Vide HC 101.269, rel. min. Cármen Lúcia, j. 3-8-2010, 1ª T, DJE de 20-8-2010 Não implica disposição de competência legal a delegação pelo presidente da República do ato de expulsão de estrangeiro. O STF sempre reputou válido o decreto de expulsão de estrangeiro subscrito pelo ministro de Estado da Justiça por delegação do presidente da República.</w:t>
      </w:r>
    </w:p>
    <w:p>
      <w:pPr>
        <w:ind w:left="288"/>
      </w:pPr>
      <w:r>
        <w:rPr>
          <w:b/>
          <w:color w:val="003CA0"/>
          <w:sz w:val="16"/>
        </w:rPr>
        <w:t>[HC 101.269, rel. min. Cármen Lúcia, j. 3-8-2010, 1ª T, DJE de 20-8-2010.]</w:t>
      </w:r>
    </w:p>
    <w:p>
      <w:pPr>
        <w:ind w:left="288"/>
      </w:pPr>
      <w:r>
        <w:rPr>
          <w:color w:val="8C8C8C"/>
          <w:sz w:val="12"/>
        </w:rPr>
        <w:t>cf-art-84</w:t>
      </w:r>
      <w:r>
        <w:rPr>
          <w:color w:val="003CA0"/>
          <w:sz w:val="12"/>
        </w:rPr>
        <w:t xml:space="preserve"> | HC 101.528</w:t>
      </w:r>
      <w:r>
        <w:rPr>
          <w:color w:val="003CA0"/>
          <w:sz w:val="12"/>
        </w:rPr>
        <w:t xml:space="preserve"> | rel. Dias Toffoli</w:t>
      </w:r>
    </w:p>
    <w:p>
      <w:pPr>
        <w:ind w:left="288"/>
      </w:pPr>
      <w:r>
        <w:rPr>
          <w:color w:val="1E1E1E"/>
          <w:sz w:val="18"/>
        </w:rPr>
        <w:t>Vide HC 101.528, rel. min. Dias Toffoli, j. 9-12-2010, P, DJE de 22-3-2011 Vide HC 72.851, rel. min. Celso de Mello, j. 25-10-1995, P, DJE de 28-11-2008 A existência de filha brasileira só constitui causa impeditiva da expulsão de estrangeiro, quando sempre a teve sob sua guarda e dependência econômica, mas desde que a tenha reconhecido antes do fato que haja motivado a expedição do decreto expulsório.</w:t>
      </w:r>
    </w:p>
    <w:p>
      <w:pPr>
        <w:ind w:left="288"/>
      </w:pPr>
      <w:r>
        <w:rPr>
          <w:b/>
          <w:color w:val="003CA0"/>
          <w:sz w:val="16"/>
        </w:rPr>
        <w:t>[HC 82.893, rel. min. Cezar Peluso, j. 17-12-2004, P, DJ de 8-4-2005.]</w:t>
      </w:r>
    </w:p>
    <w:p>
      <w:pPr>
        <w:ind w:left="288"/>
      </w:pPr>
      <w:r>
        <w:rPr>
          <w:color w:val="8C8C8C"/>
          <w:sz w:val="12"/>
        </w:rPr>
        <w:t>cf-art-84</w:t>
      </w:r>
      <w:r>
        <w:rPr>
          <w:color w:val="003CA0"/>
          <w:sz w:val="12"/>
        </w:rPr>
        <w:t xml:space="preserve"> | HC 110.849</w:t>
      </w:r>
      <w:r>
        <w:rPr>
          <w:color w:val="003CA0"/>
          <w:sz w:val="12"/>
        </w:rPr>
        <w:t xml:space="preserve"> | rel. Ricardo Lewandowski</w:t>
      </w:r>
    </w:p>
    <w:p>
      <w:pPr>
        <w:ind w:left="288"/>
      </w:pPr>
      <w:r>
        <w:rPr>
          <w:color w:val="1E1E1E"/>
          <w:sz w:val="18"/>
        </w:rPr>
        <w:t xml:space="preserve">= HC 110.849, rel. min. Ricardo Lewandowski, j. 10-4-2012, 2ª T, DJE de 30-5-2012 A expulsão de estrangeiros – que constitui manifestação da soberania do Estado brasileiro – qualifica-se como típica medida de caráter político-administrativo, da competência exclusiva do presidente da República, a quem incumbe avaliar, discricionariamente, a conveniência, a necessidade, a utilidade e a oportunidade de sua efetivação. (...) O julgamento da nocividade da permanência do súdito estrangeiro em território nacional inclui-se na esfera de exclusiva atribuição do chefe do Poder Executivo da União. (...) </w:t>
      </w:r>
    </w:p>
    <w:p>
      <w:pPr>
        <w:ind w:left="288"/>
      </w:pPr>
      <w:r>
        <w:rPr>
          <w:b/>
          <w:color w:val="003CA0"/>
          <w:sz w:val="16"/>
        </w:rPr>
        <w:t>[HC 72.851, rel. min. Celso de Mello, j. 25-10-1995, P, DJE de 28-11-2008.]</w:t>
      </w:r>
    </w:p>
    <w:p>
      <w:pPr>
        <w:ind w:left="288"/>
      </w:pPr>
      <w:r>
        <w:rPr>
          <w:color w:val="8C8C8C"/>
          <w:sz w:val="12"/>
        </w:rPr>
        <w:t>cf-art-84</w:t>
      </w:r>
      <w:r>
        <w:rPr>
          <w:color w:val="003CA0"/>
          <w:sz w:val="12"/>
        </w:rPr>
        <w:t xml:space="preserve"> | HC 85.203</w:t>
      </w:r>
      <w:r>
        <w:rPr>
          <w:color w:val="003CA0"/>
          <w:sz w:val="12"/>
        </w:rPr>
        <w:t xml:space="preserve"> | rel. Eros Grau</w:t>
      </w:r>
    </w:p>
    <w:p>
      <w:pPr>
        <w:ind w:left="288"/>
      </w:pPr>
      <w:r>
        <w:rPr>
          <w:color w:val="1E1E1E"/>
          <w:sz w:val="18"/>
        </w:rPr>
        <w:t>=  HC 85.203, rel. min. Eros Grau, j. 6-8-2009, P, DJE de 16-12-2010 Vide HC 101.269, rel. min. Cármen Lúcia, j. 3-8-2010, 1ª T, DJE de 20-8-2010</w:t>
      </w:r>
    </w:p>
    <w:p>
      <w:pPr>
        <w:ind w:left="144"/>
      </w:pPr>
      <w:r>
        <w:rPr>
          <w:b/>
          <w:color w:val="B45A00"/>
          <w:sz w:val="16"/>
        </w:rPr>
        <w:t>CONTROLE CONCENTRADO</w:t>
      </w:r>
    </w:p>
    <w:p>
      <w:pPr>
        <w:ind w:left="288"/>
      </w:pPr>
      <w:r>
        <w:rPr>
          <w:color w:val="8C8C8C"/>
          <w:sz w:val="12"/>
        </w:rPr>
        <w:t>cf-art-84-inc-II</w:t>
      </w:r>
      <w:r>
        <w:rPr>
          <w:color w:val="003CA0"/>
          <w:sz w:val="12"/>
        </w:rPr>
        <w:t xml:space="preserve"> | ADI 2.095</w:t>
      </w:r>
      <w:r>
        <w:rPr>
          <w:color w:val="003CA0"/>
          <w:sz w:val="12"/>
        </w:rPr>
        <w:t xml:space="preserve"> | rel. Cármen Lúcia</w:t>
      </w:r>
    </w:p>
    <w:p>
      <w:pPr>
        <w:ind w:left="288"/>
      </w:pPr>
      <w:r>
        <w:rPr>
          <w:color w:val="1E1E1E"/>
          <w:sz w:val="18"/>
        </w:rPr>
        <w:t>A atuação da Agência Estadual de Regulação dos Serviços Públicos do Rio Grande do Sul – AGERGS não se opõe à autonomia do Chefe do Poder Executivo (inc. II do art. 84 da Constituição da República). Não lhe incumbe atuar na conformação de políticas de governo, mas prevenir e arbitrar, conforme a lei e os contratos, os conflitos de interesses entre concessionários e usuários ou entre aqueles e o Poder concedente.</w:t>
      </w:r>
    </w:p>
    <w:p>
      <w:pPr>
        <w:ind w:left="288"/>
      </w:pPr>
      <w:r>
        <w:rPr>
          <w:b/>
          <w:color w:val="003CA0"/>
          <w:sz w:val="16"/>
        </w:rPr>
        <w:t>[ADI 2.095, rel. min. Cármen Lúcia, j. 11-10-2019, P, DJE de 26-11-2019.]</w:t>
      </w:r>
    </w:p>
    <w:p>
      <w:pPr>
        <w:ind w:left="288"/>
      </w:pPr>
      <w:r>
        <w:rPr>
          <w:color w:val="8C8C8C"/>
          <w:sz w:val="12"/>
        </w:rPr>
        <w:t>cf-art-84-inc-II</w:t>
      </w:r>
      <w:r>
        <w:rPr>
          <w:color w:val="003CA0"/>
          <w:sz w:val="12"/>
        </w:rPr>
        <w:t xml:space="preserve"> | ADI 179</w:t>
      </w:r>
      <w:r>
        <w:rPr>
          <w:color w:val="003CA0"/>
          <w:sz w:val="12"/>
        </w:rPr>
        <w:t xml:space="preserve"> | rel. Dias Toffoli</w:t>
      </w:r>
    </w:p>
    <w:p>
      <w:pPr>
        <w:ind w:left="288"/>
      </w:pPr>
      <w:r>
        <w:rPr>
          <w:color w:val="1E1E1E"/>
          <w:sz w:val="18"/>
        </w:rPr>
        <w:t>É inconstitucional qualquer tentativa do Poder Legislativo de definir previamente conteúdos ou estabelecer prazos para que o Poder Executivo, em relação às matérias afetas a sua iniciativa, apresente proposições legislativas, mesmo em sede da Constituição estadual, porquanto ofende, na seara administrativa, a garantia de gestão superior dada ao chefe daquele Poder.</w:t>
      </w:r>
    </w:p>
    <w:p>
      <w:pPr>
        <w:ind w:left="288"/>
      </w:pPr>
      <w:r>
        <w:rPr>
          <w:b/>
          <w:color w:val="003CA0"/>
          <w:sz w:val="16"/>
        </w:rPr>
        <w:t>[ADI 179, rel. min. Dias Toffoli, j. 19-2-2014, P, DJE de 28-3-2014.]</w:t>
      </w:r>
    </w:p>
    <w:p>
      <w:pPr>
        <w:ind w:left="288"/>
      </w:pPr>
      <w:r>
        <w:rPr>
          <w:color w:val="8C8C8C"/>
          <w:sz w:val="12"/>
        </w:rPr>
        <w:t>cf-art-84-inc-II</w:t>
      </w:r>
      <w:r>
        <w:rPr>
          <w:color w:val="003CA0"/>
          <w:sz w:val="12"/>
        </w:rPr>
        <w:t xml:space="preserve"> | ADI 1.901</w:t>
      </w:r>
      <w:r>
        <w:rPr>
          <w:color w:val="003CA0"/>
          <w:sz w:val="12"/>
        </w:rPr>
        <w:t xml:space="preserve"> | rel. Ilmar Galvão</w:t>
      </w:r>
    </w:p>
    <w:p>
      <w:pPr>
        <w:ind w:left="288"/>
      </w:pPr>
      <w:r>
        <w:rPr>
          <w:color w:val="1E1E1E"/>
          <w:sz w:val="18"/>
        </w:rPr>
        <w:t>O dispositivo impugnado, ao atribuir à instituição financeira depositária dos recursos do Estado a iniciativa de repassar, automaticamente, às contas dos órgãos dos Poderes Legislativo e Judiciário, do Ministério Público e do Tribunal de Contas as dotações orçamentárias a eles destinadas, caracteriza ofensa ao art. 84, II, da CF/1988 (de observância obrigatória pelas unidades federadas), que confere, privativamente, ao chefe do Poder Executivo, a direção superior da administração estadual.</w:t>
      </w:r>
    </w:p>
    <w:p>
      <w:pPr>
        <w:ind w:left="288"/>
      </w:pPr>
      <w:r>
        <w:rPr>
          <w:b/>
          <w:color w:val="003CA0"/>
          <w:sz w:val="16"/>
        </w:rPr>
        <w:t>[ADI 1.901, rel. min. Ilmar Galvão, j. 3-2-2003, P, DJ de 9-5-2003.]</w:t>
      </w:r>
    </w:p>
    <w:p>
      <w:pPr>
        <w:ind w:left="288"/>
      </w:pPr>
      <w:r>
        <w:rPr>
          <w:color w:val="8C8C8C"/>
          <w:sz w:val="12"/>
        </w:rPr>
        <w:t>cf-art-84-inc-II</w:t>
      </w:r>
      <w:r>
        <w:rPr>
          <w:color w:val="003CA0"/>
          <w:sz w:val="12"/>
        </w:rPr>
        <w:t xml:space="preserve"> | ADI 1.914</w:t>
      </w:r>
      <w:r>
        <w:rPr>
          <w:color w:val="003CA0"/>
          <w:sz w:val="12"/>
        </w:rPr>
        <w:t xml:space="preserve"> | rel. Cezar Peluso</w:t>
      </w:r>
    </w:p>
    <w:p>
      <w:pPr>
        <w:ind w:left="288"/>
      </w:pPr>
      <w:r>
        <w:rPr>
          <w:color w:val="1E1E1E"/>
          <w:sz w:val="18"/>
        </w:rPr>
        <w:t>= ADI 1.914, rel. min. Cezar Peluso, j. 15-4-2009, P, DJE de 7-8-2009 Agência Estadual de Regulação dos Serviços Públicos do Estado do Rio Grande do Sul (AGERGS). Insuficiência de relevo jurídico da oposição que se faz à sua autonomia perante o chefe do Poder Executivo (CF, art. 84, II), dado que não se inclui na competência da autarquia função política decisória ou planejadora sobre até onde e a que serviços estender a delegação do Estado, mas o encargo de prevenir e arbitrar segundo a lei os conflitos de interesses entre concessionários e usuários ou entre aqueles e o poder concedente. Servi</w:t>
      </w:r>
    </w:p>
    <w:p>
      <w:pPr>
        <w:ind w:left="288"/>
      </w:pPr>
      <w:r>
        <w:rPr>
          <w:b/>
          <w:color w:val="003CA0"/>
          <w:sz w:val="16"/>
        </w:rPr>
        <w:t>[ADI 2.095 MC, rel. min. Octavio Gallotti, j. 22-3-2000, P, DJ de 19-9-2003.]</w:t>
      </w:r>
    </w:p>
    <w:p>
      <w:pPr>
        <w:ind w:left="288"/>
      </w:pPr>
      <w:r>
        <w:rPr>
          <w:color w:val="8C8C8C"/>
          <w:sz w:val="12"/>
        </w:rPr>
        <w:t>cf-art-84-inc-II</w:t>
      </w:r>
      <w:r>
        <w:rPr>
          <w:color w:val="003CA0"/>
          <w:sz w:val="12"/>
        </w:rPr>
        <w:t xml:space="preserve"> | AI 763.559</w:t>
      </w:r>
      <w:r>
        <w:rPr>
          <w:color w:val="003CA0"/>
          <w:sz w:val="12"/>
        </w:rPr>
        <w:t xml:space="preserve"> | rel. Eros Grau</w:t>
      </w:r>
    </w:p>
    <w:p>
      <w:pPr>
        <w:ind w:left="288"/>
      </w:pPr>
      <w:r>
        <w:rPr>
          <w:color w:val="1E1E1E"/>
          <w:sz w:val="18"/>
        </w:rPr>
        <w:t>= AI 763.559 AgR, rel. min. Eros Grau, j. 2-2-2010, 2ª T, DJE de 26-2-2010</w:t>
      </w:r>
    </w:p>
    <w:p>
      <w:pPr>
        <w:ind w:left="144"/>
      </w:pPr>
      <w:r>
        <w:rPr>
          <w:b/>
          <w:color w:val="B45A00"/>
          <w:sz w:val="16"/>
        </w:rPr>
        <w:t>JULGADOS CORRELATOS</w:t>
      </w:r>
    </w:p>
    <w:p>
      <w:pPr>
        <w:ind w:left="288"/>
      </w:pPr>
      <w:r>
        <w:rPr>
          <w:color w:val="8C8C8C"/>
          <w:sz w:val="12"/>
        </w:rPr>
        <w:t>cf-art-84-inc-II</w:t>
      </w:r>
      <w:r>
        <w:rPr>
          <w:color w:val="003CA0"/>
          <w:sz w:val="12"/>
        </w:rPr>
        <w:t xml:space="preserve"> | RMS 28.487</w:t>
      </w:r>
      <w:r>
        <w:rPr>
          <w:color w:val="003CA0"/>
          <w:sz w:val="12"/>
        </w:rPr>
        <w:t xml:space="preserve"> | rel. Dias Toffoli</w:t>
      </w:r>
    </w:p>
    <w:p>
      <w:pPr>
        <w:ind w:left="288"/>
      </w:pPr>
      <w:r>
        <w:rPr>
          <w:color w:val="1E1E1E"/>
          <w:sz w:val="18"/>
        </w:rPr>
        <w:t>A Câmara de Regulação do Mercado de Medicamentos (CMED) está prevista na Lei 10.742/2003 como órgão técnico necessário à regulação do setor farmacêutico, justificando-se, especialmente, pelas complexidades do mercado de medicamentos. A amplitude da delegação normativa consiste no fundamento fático-jurídico do exercício do poder regulamentar pela administração pública, que deve atuar em consonância com a lei, atendendo à necessidade de regulação do setor farmacêutico e em respeito à dinâmica e às peculiaridades técnicas do mercado de medicamentos.</w:t>
      </w:r>
    </w:p>
    <w:p>
      <w:pPr>
        <w:ind w:left="288"/>
      </w:pPr>
      <w:r>
        <w:rPr>
          <w:b/>
          <w:color w:val="003CA0"/>
          <w:sz w:val="16"/>
        </w:rPr>
        <w:t>[RMS 28.487, rel. min. Dias Toffoli, j. 26-2-2013, 1ª T, DJE de 15-3-2013.]</w:t>
      </w:r>
    </w:p>
    <w:p>
      <w:pPr>
        <w:ind w:left="288"/>
      </w:pPr>
      <w:r>
        <w:rPr>
          <w:color w:val="8C8C8C"/>
          <w:sz w:val="12"/>
        </w:rPr>
        <w:t>cf-art-84-inc-III</w:t>
      </w:r>
      <w:r>
        <w:rPr>
          <w:color w:val="003CA0"/>
          <w:sz w:val="12"/>
        </w:rPr>
        <w:t xml:space="preserve"> | AI 754.613</w:t>
      </w:r>
      <w:r>
        <w:rPr>
          <w:color w:val="003CA0"/>
          <w:sz w:val="12"/>
        </w:rPr>
        <w:t xml:space="preserve"> | rel. Ellen Gracie</w:t>
      </w:r>
    </w:p>
    <w:p>
      <w:pPr>
        <w:ind w:left="288"/>
      </w:pPr>
      <w:r>
        <w:rPr>
          <w:color w:val="1E1E1E"/>
          <w:sz w:val="18"/>
        </w:rPr>
        <w:t>A Portaria MEC 474/1987 não configura usurpação de competência legislativa do chefe do Poder Executivo.</w:t>
      </w:r>
    </w:p>
    <w:p>
      <w:pPr>
        <w:ind w:left="288"/>
      </w:pPr>
      <w:r>
        <w:rPr>
          <w:b/>
          <w:color w:val="003CA0"/>
          <w:sz w:val="16"/>
        </w:rPr>
        <w:t>[AI 754.613 AgR, rel. min. Ellen Gracie, j. 20-10-2009, 2ª T, DJE de 13-11-2009.]</w:t>
      </w:r>
    </w:p>
    <w:p>
      <w:pPr>
        <w:ind w:left="288"/>
      </w:pPr>
      <w:r>
        <w:rPr>
          <w:color w:val="8C8C8C"/>
          <w:sz w:val="12"/>
        </w:rPr>
        <w:t>cf-art-84-inc-IV</w:t>
      </w:r>
      <w:r>
        <w:rPr>
          <w:color w:val="003CA0"/>
          <w:sz w:val="12"/>
        </w:rPr>
        <w:t xml:space="preserve"> | ADC 85</w:t>
      </w:r>
      <w:r>
        <w:rPr>
          <w:color w:val="003CA0"/>
          <w:sz w:val="12"/>
        </w:rPr>
        <w:t xml:space="preserve"> | rel. Gilmar Mendes</w:t>
      </w:r>
    </w:p>
    <w:p>
      <w:pPr>
        <w:ind w:left="288"/>
      </w:pPr>
      <w:r>
        <w:rPr>
          <w:color w:val="1E1E1E"/>
          <w:sz w:val="18"/>
        </w:rPr>
        <w:t>Decretos 11.366/2023 e 11.615/2023. Atos normativos que promoveram a regulamentação do Estatuto do Desarmamento (Lei 10.823/2003). (...) Os Decretos 11.366/2023 e 11.615/2023 visam reverter a vertiginosa tendência de proliferação de armas de fogo em circulação no Brasil e promover a reconstrução das políticas públicas de efetivo controle dessa circulação. Os atos normativos inserem-se no poder regulamentar privativo do Presidente da República (CF, art. 84, IV) e não extrapolam a margem de conformação regulamentar estabelecida pelo Estatuto do Desarmamento (10.826/2003). As determinações regula</w:t>
      </w:r>
    </w:p>
    <w:p>
      <w:pPr>
        <w:ind w:left="288"/>
      </w:pPr>
      <w:r>
        <w:rPr>
          <w:b/>
          <w:color w:val="003CA0"/>
          <w:sz w:val="16"/>
        </w:rPr>
        <w:t>[ADC 85, rel. min. Gilmar Mendes, j. 25.06.2025, P, DJE de 23.07.2025.]</w:t>
      </w:r>
    </w:p>
    <w:p>
      <w:pPr>
        <w:ind w:left="144"/>
      </w:pPr>
      <w:r>
        <w:rPr>
          <w:b/>
          <w:color w:val="B45A00"/>
          <w:sz w:val="16"/>
        </w:rPr>
        <w:t>CONTROLE CONCENTRADO</w:t>
      </w:r>
    </w:p>
    <w:p>
      <w:pPr>
        <w:ind w:left="288"/>
      </w:pPr>
      <w:r>
        <w:rPr>
          <w:color w:val="8C8C8C"/>
          <w:sz w:val="12"/>
        </w:rPr>
        <w:t>cf-art-84-inc-IV</w:t>
      </w:r>
      <w:r>
        <w:rPr>
          <w:color w:val="003CA0"/>
          <w:sz w:val="12"/>
        </w:rPr>
        <w:t xml:space="preserve"> | ADI 6.680</w:t>
      </w:r>
      <w:r>
        <w:rPr>
          <w:color w:val="003CA0"/>
          <w:sz w:val="12"/>
        </w:rPr>
        <w:t xml:space="preserve"> | rel. Rosa Weber</w:t>
      </w:r>
    </w:p>
    <w:p>
      <w:pPr>
        <w:ind w:left="288"/>
      </w:pPr>
      <w:r>
        <w:rPr>
          <w:color w:val="1E1E1E"/>
          <w:sz w:val="18"/>
        </w:rPr>
        <w:t>Decretos Presidenciais que dispõem sobre aquisição, cadastro, registro, posse e porte de armas de fogo, acessórios e munições (Decretos nºs 10.627, 10.628, 10.629 e 10.630, de 12 de fevereiro de 2021). Atos normativos editados com o propósito de promover a chamada “flexibilização das armas” no Brasil. (...) Os regulamentos estão subordinados às leis que lhes dão fundamento, devendo observância ao espaço restrito de delegação normativa. O respeito a este limite de conformação regulamentar adquire relevância constitucional, na medida em que configura corolário do postulado da separação dos Poder</w:t>
      </w:r>
    </w:p>
    <w:p>
      <w:pPr>
        <w:ind w:left="288"/>
      </w:pPr>
      <w:r>
        <w:rPr>
          <w:b/>
          <w:color w:val="003CA0"/>
          <w:sz w:val="16"/>
        </w:rPr>
        <w:t>[ADI 4.568, rel. min. Cármen Lúcia, j. 3-11-2011, P, DJE de 30-3-2012.]</w:t>
      </w:r>
    </w:p>
    <w:p>
      <w:pPr>
        <w:ind w:left="288"/>
      </w:pPr>
      <w:r>
        <w:rPr>
          <w:color w:val="8C8C8C"/>
          <w:sz w:val="12"/>
        </w:rPr>
        <w:t>cf-art-84-inc-IV</w:t>
      </w:r>
      <w:r>
        <w:rPr>
          <w:color w:val="003CA0"/>
          <w:sz w:val="12"/>
        </w:rPr>
        <w:t xml:space="preserve"> | ADI 3.394</w:t>
      </w:r>
      <w:r>
        <w:rPr>
          <w:color w:val="003CA0"/>
          <w:sz w:val="12"/>
        </w:rPr>
        <w:t xml:space="preserve"> | rel. Eros Grau</w:t>
      </w:r>
    </w:p>
    <w:p>
      <w:pPr>
        <w:ind w:left="288"/>
      </w:pPr>
      <w:r>
        <w:rPr>
          <w:color w:val="1E1E1E"/>
          <w:sz w:val="18"/>
        </w:rPr>
        <w:t>(...) o preceito legal marca prazo para que o Executivo exerça função regulamentar de sua atribuição, o que ocorre amiúde, mas não deixa de afrontar o princípio da interdependência e harmonia entre os poderes. A determinação de prazo para que o chefe do Executivo exerça função que lhe incumbe originariamente, sem que expressiva de dever de regulamentar, tenho-a por inconstitucional.</w:t>
      </w:r>
    </w:p>
    <w:p>
      <w:pPr>
        <w:ind w:left="288"/>
      </w:pPr>
      <w:r>
        <w:rPr>
          <w:b/>
          <w:color w:val="003CA0"/>
          <w:sz w:val="16"/>
        </w:rPr>
        <w:t>[ADI 3.394, voto do rel. min. Eros Grau, j. 2-4-2007, P, DJE de 15-8-2008.]</w:t>
      </w:r>
    </w:p>
    <w:p>
      <w:pPr>
        <w:ind w:left="288"/>
      </w:pPr>
      <w:r>
        <w:rPr>
          <w:color w:val="8C8C8C"/>
          <w:sz w:val="12"/>
        </w:rPr>
        <w:t>cf-art-84-inc-IV</w:t>
      </w:r>
      <w:r>
        <w:rPr>
          <w:color w:val="003CA0"/>
          <w:sz w:val="12"/>
        </w:rPr>
        <w:t xml:space="preserve"> | ADI 996</w:t>
      </w:r>
      <w:r>
        <w:rPr>
          <w:color w:val="003CA0"/>
          <w:sz w:val="12"/>
        </w:rPr>
        <w:t xml:space="preserve"> | rel. Celso de Mello</w:t>
      </w:r>
    </w:p>
    <w:p>
      <w:pPr>
        <w:ind w:left="288"/>
      </w:pPr>
      <w:r>
        <w:rPr>
          <w:color w:val="1E1E1E"/>
          <w:sz w:val="18"/>
        </w:rPr>
        <w:t>Se a interpretação administrativa da lei, que vier a consubstanciar-se em decreto executivo, divergir do sentido e do conteúdo da norma legal que o ato secundário pretendeu regulamentar, quer porque tenha este se projetado ultra legem, quer porque tenha permanecido citra legem, quer, ainda, porque tenha investido contra legem, a questão caracterizará, sempre, típica crise de legalidade, e não de inconstitucionalidade, a inviabilizar, em consequência, a utilização do mecanismo processual da fiscalização normativa abstrata. O eventual extravasamento, pelo ato regulamentar, dos limites a que mate</w:t>
      </w:r>
    </w:p>
    <w:p>
      <w:pPr>
        <w:ind w:left="288"/>
      </w:pPr>
      <w:r>
        <w:rPr>
          <w:b/>
          <w:color w:val="003CA0"/>
          <w:sz w:val="16"/>
        </w:rPr>
        <w:t>[ADI 996 MC, rel. min. Celso de Mello, j. 11-3-1994, P, DJ de 6-5-1994.]</w:t>
      </w:r>
    </w:p>
    <w:p>
      <w:pPr>
        <w:ind w:left="288"/>
      </w:pPr>
      <w:r>
        <w:rPr>
          <w:color w:val="8C8C8C"/>
          <w:sz w:val="12"/>
        </w:rPr>
        <w:t>cf-art-84-inc-IV</w:t>
      </w:r>
      <w:r>
        <w:rPr>
          <w:color w:val="003CA0"/>
          <w:sz w:val="12"/>
        </w:rPr>
        <w:t xml:space="preserve"> | ADI 4.176</w:t>
      </w:r>
      <w:r>
        <w:rPr>
          <w:color w:val="003CA0"/>
          <w:sz w:val="12"/>
        </w:rPr>
        <w:t xml:space="preserve"> | rel. Cármen Lúcia</w:t>
      </w:r>
    </w:p>
    <w:p>
      <w:pPr>
        <w:ind w:left="288"/>
      </w:pPr>
      <w:r>
        <w:rPr>
          <w:color w:val="1E1E1E"/>
          <w:sz w:val="18"/>
        </w:rPr>
        <w:t>= ADI 4.176 AgR, rel. min. Cármen Lúcia, j. 20-6-2012, P, DJE de 1º-8-2012 “É infraconstitucional a controvérsia sobre o excesso de poder regulamentar de ato do Poder Executivo que regulamenta lei sobre o regime de servidor público”.</w:t>
      </w:r>
    </w:p>
    <w:p>
      <w:pPr>
        <w:ind w:left="288"/>
      </w:pPr>
      <w:r>
        <w:rPr>
          <w:b/>
          <w:color w:val="003CA0"/>
          <w:sz w:val="16"/>
        </w:rPr>
        <w:t>[RE 1.500.797 RG, rel. min. Luís Roberto Barroso, j. 18.11.2024, P, DJE de 22.11.2024, Tema 1.356, com repercussão geral negada.]</w:t>
      </w:r>
    </w:p>
    <w:p>
      <w:pPr>
        <w:ind w:left="288"/>
      </w:pPr>
      <w:r>
        <w:rPr>
          <w:color w:val="8C8C8C"/>
          <w:sz w:val="12"/>
        </w:rPr>
        <w:t>cf-art-84-inc-IV</w:t>
      </w:r>
      <w:r>
        <w:rPr>
          <w:color w:val="003CA0"/>
          <w:sz w:val="12"/>
        </w:rPr>
        <w:t xml:space="preserve"> | ARE 1.520.300</w:t>
      </w:r>
      <w:r>
        <w:rPr>
          <w:color w:val="003CA0"/>
          <w:sz w:val="12"/>
        </w:rPr>
        <w:t xml:space="preserve"> | rel. Luís Roberto Barroso</w:t>
      </w:r>
    </w:p>
    <w:p>
      <w:pPr>
        <w:ind w:left="288"/>
      </w:pPr>
      <w:r>
        <w:rPr>
          <w:color w:val="1E1E1E"/>
          <w:sz w:val="18"/>
        </w:rPr>
        <w:t>“É infraconstitucional a controvérsia sobre o excesso de poder regulamentar no estabelecimento de limitação ao pagamento de ajuda de custo/auxílio a determinadas categorias de servidores públicos”.</w:t>
      </w:r>
    </w:p>
    <w:p>
      <w:pPr>
        <w:ind w:left="288"/>
      </w:pPr>
      <w:r>
        <w:rPr>
          <w:b/>
          <w:color w:val="003CA0"/>
          <w:sz w:val="16"/>
        </w:rPr>
        <w:t>[ARE 1.520.300 RG, rel. min. Luís Roberto Barroso, j. 05.11.2024, P, DJE de 08.11.2024, Tema 1.350, com repercussão geral negada.]</w:t>
      </w:r>
    </w:p>
    <w:p>
      <w:pPr>
        <w:ind w:left="144"/>
      </w:pPr>
      <w:r>
        <w:rPr>
          <w:b/>
          <w:color w:val="B45A00"/>
          <w:sz w:val="16"/>
        </w:rPr>
        <w:t>REPERCUSSAO GERAL</w:t>
      </w:r>
    </w:p>
    <w:p>
      <w:pPr>
        <w:ind w:left="288"/>
      </w:pPr>
      <w:r>
        <w:rPr>
          <w:color w:val="8C8C8C"/>
          <w:sz w:val="12"/>
        </w:rPr>
        <w:t>cf-art-84-inc-IV</w:t>
      </w:r>
      <w:r>
        <w:rPr>
          <w:color w:val="003CA0"/>
          <w:sz w:val="12"/>
        </w:rPr>
        <w:t xml:space="preserve"> | RE 577.025</w:t>
      </w:r>
      <w:r>
        <w:rPr>
          <w:color w:val="003CA0"/>
          <w:sz w:val="12"/>
        </w:rPr>
        <w:t xml:space="preserve"> | rel. Ricardo Lewandowski</w:t>
      </w:r>
    </w:p>
    <w:p>
      <w:pPr>
        <w:ind w:left="288"/>
      </w:pPr>
      <w:r>
        <w:rPr>
          <w:color w:val="1E1E1E"/>
          <w:sz w:val="18"/>
        </w:rPr>
        <w:t xml:space="preserve">A Constituição da República não oferece guarida à possibilidade de o governador do Distrito Federal criar cargos e reestruturar órgãos públicos por meio de simples decreto. </w:t>
        <w:br/>
        <w:t>[RE 577.025, rel. min. Ricardo Lewandowski, j. 11-12-2008, P, DJE de 6-3-2009, Tema 48, com mérito julgado.]</w:t>
      </w:r>
    </w:p>
    <w:p>
      <w:pPr>
        <w:ind w:left="144"/>
      </w:pPr>
      <w:r>
        <w:rPr>
          <w:b/>
          <w:color w:val="B45A00"/>
          <w:sz w:val="16"/>
        </w:rPr>
        <w:t>JULGADOS CORRELATOS</w:t>
      </w:r>
    </w:p>
    <w:p>
      <w:pPr>
        <w:ind w:left="288"/>
      </w:pPr>
      <w:r>
        <w:rPr>
          <w:color w:val="8C8C8C"/>
          <w:sz w:val="12"/>
        </w:rPr>
        <w:t>cf-art-84-inc-IV</w:t>
      </w:r>
      <w:r>
        <w:rPr>
          <w:color w:val="003CA0"/>
          <w:sz w:val="12"/>
        </w:rPr>
        <w:t xml:space="preserve"> | MS 35.959</w:t>
      </w:r>
      <w:r>
        <w:rPr>
          <w:color w:val="003CA0"/>
          <w:sz w:val="12"/>
        </w:rPr>
        <w:t xml:space="preserve"> | rel. Luiz Fux</w:t>
      </w:r>
    </w:p>
    <w:p>
      <w:pPr>
        <w:ind w:left="288"/>
      </w:pPr>
      <w:r>
        <w:rPr>
          <w:color w:val="1E1E1E"/>
          <w:sz w:val="18"/>
        </w:rPr>
        <w:t>O art. 34 da Lei 13.639/2018 prevê a prerrogativa da Confederação Nacional das Profissões Liberais – CNPL de coordenar o primeiro processo eleitoral para a criação dos conselhos federais, em cooperação com outras entidades sindicais, não havendo qualquer imposição legal identificada no sentido da atribuição exclusiva da CNPL para estabelecer todos os procedimentos do processo eletivo. O Decreto 9.461/2018, ora impugnado, editado pelo Presidente da República no afã de regulamentar o dispositivo legal, detalhou a forma como deve ocorrer o primeiro processo eleitoral da Diretoria Executiva do Con</w:t>
      </w:r>
    </w:p>
    <w:p>
      <w:pPr>
        <w:ind w:left="288"/>
      </w:pPr>
      <w:r>
        <w:rPr>
          <w:b/>
          <w:color w:val="003CA0"/>
          <w:sz w:val="16"/>
        </w:rPr>
        <w:t>[MS 35.959-AgR, rel. min. Luiz Fux, j. 14-12-2018, P, DJE de 7-2-2019.]</w:t>
      </w:r>
    </w:p>
    <w:p>
      <w:pPr>
        <w:ind w:left="288"/>
      </w:pPr>
      <w:r>
        <w:rPr>
          <w:color w:val="8C8C8C"/>
          <w:sz w:val="12"/>
        </w:rPr>
        <w:t>cf-art-84-inc-IV</w:t>
      </w:r>
      <w:r>
        <w:rPr>
          <w:color w:val="003CA0"/>
          <w:sz w:val="12"/>
        </w:rPr>
        <w:t xml:space="preserve"> | RE 582.487</w:t>
      </w:r>
      <w:r>
        <w:rPr>
          <w:color w:val="003CA0"/>
          <w:sz w:val="12"/>
        </w:rPr>
        <w:t xml:space="preserve"> | rel. Cármen Lúcia</w:t>
      </w:r>
    </w:p>
    <w:p>
      <w:pPr>
        <w:ind w:left="288"/>
      </w:pPr>
      <w:r>
        <w:rPr>
          <w:color w:val="1E1E1E"/>
          <w:sz w:val="18"/>
        </w:rPr>
        <w:t>(...) o STF assentou que é vedado ao chefe do Poder Executivo expedir decreto a fim de suspender a eficácia de ato normativo hierarquicamente superior.</w:t>
      </w:r>
    </w:p>
    <w:p>
      <w:pPr>
        <w:ind w:left="288"/>
      </w:pPr>
      <w:r>
        <w:rPr>
          <w:b/>
          <w:color w:val="003CA0"/>
          <w:sz w:val="16"/>
        </w:rPr>
        <w:t>[RE 582.487 AgR, voto da rel. min. Cármen Lúcia, j. 25-9-2012, 2ª T, DJE de 25-9-2012.]</w:t>
      </w:r>
    </w:p>
    <w:p>
      <w:pPr>
        <w:ind w:left="288"/>
      </w:pPr>
      <w:r>
        <w:rPr>
          <w:color w:val="8C8C8C"/>
          <w:sz w:val="12"/>
        </w:rPr>
        <w:t>cf-art-84-inc-V</w:t>
      </w:r>
    </w:p>
    <w:p>
      <w:pPr>
        <w:ind w:left="288"/>
      </w:pPr>
      <w:r>
        <w:rPr>
          <w:color w:val="1E1E1E"/>
          <w:sz w:val="18"/>
        </w:rPr>
        <w:t>VI - dispor, mediante decreto, sobre: (Redação da EC 32/2001)</w:t>
      </w:r>
    </w:p>
    <w:p>
      <w:pPr>
        <w:ind w:left="288"/>
      </w:pPr>
      <w:r>
        <w:rPr>
          <w:color w:val="8C8C8C"/>
          <w:sz w:val="12"/>
        </w:rPr>
        <w:t>cf-art-84-inc-V-ali-a</w:t>
      </w:r>
      <w:r>
        <w:rPr>
          <w:color w:val="003CA0"/>
          <w:sz w:val="12"/>
        </w:rPr>
        <w:t xml:space="preserve"> | ADI 3.901</w:t>
      </w:r>
      <w:r>
        <w:rPr>
          <w:color w:val="003CA0"/>
          <w:sz w:val="12"/>
        </w:rPr>
        <w:t xml:space="preserve"> | rel. Edson Fachin</w:t>
      </w:r>
    </w:p>
    <w:p>
      <w:pPr>
        <w:ind w:left="288"/>
      </w:pPr>
      <w:r>
        <w:rPr>
          <w:color w:val="1E1E1E"/>
          <w:sz w:val="18"/>
        </w:rPr>
        <w:t>Lei 6.140/1998 do estado do Pará que dispõe acerca do período de realização de provas de concursos públicos e exames vestibulares. (...) O abono de falta de alunos e a reposição da carga horária dos estudantes que, por motivo religioso comprovado, não possam frequentar aulas e atividades acadêmicas não ofendem o art. 84, VI, a, da Constituição Federal, visto que não se está diante de legislação que organize ou remodele o funcionamento e as atribuições de órgão pertencente à estrutura administrativa do Estado do Pará.</w:t>
      </w:r>
    </w:p>
    <w:p>
      <w:pPr>
        <w:ind w:left="288"/>
      </w:pPr>
      <w:r>
        <w:rPr>
          <w:b/>
          <w:color w:val="003CA0"/>
          <w:sz w:val="16"/>
        </w:rPr>
        <w:t>[ADI 3.901, rel. min. Edson Fachin, j. 22.09.2025, P, DJE de 26.11.2025.]</w:t>
      </w:r>
    </w:p>
    <w:p>
      <w:pPr>
        <w:ind w:left="144"/>
      </w:pPr>
      <w:r>
        <w:rPr>
          <w:b/>
          <w:color w:val="B45A00"/>
          <w:sz w:val="16"/>
        </w:rPr>
        <w:t>CONTROLE CONCENTRADO</w:t>
      </w:r>
    </w:p>
    <w:p>
      <w:pPr>
        <w:ind w:left="288"/>
      </w:pPr>
      <w:r>
        <w:rPr>
          <w:color w:val="8C8C8C"/>
          <w:sz w:val="12"/>
        </w:rPr>
        <w:t>cf-art-84-inc-V-ali-a</w:t>
      </w:r>
      <w:r>
        <w:rPr>
          <w:color w:val="003CA0"/>
          <w:sz w:val="12"/>
        </w:rPr>
        <w:t xml:space="preserve"> | ADI 6.180</w:t>
      </w:r>
      <w:r>
        <w:rPr>
          <w:color w:val="003CA0"/>
          <w:sz w:val="12"/>
        </w:rPr>
        <w:t xml:space="preserve"> | rel. Dias Toffoli</w:t>
      </w:r>
    </w:p>
    <w:p>
      <w:pPr>
        <w:ind w:left="288"/>
      </w:pPr>
      <w:r>
        <w:rPr>
          <w:color w:val="1E1E1E"/>
          <w:sz w:val="18"/>
        </w:rPr>
        <w:t>Há autorização constitucional para que o chefe do Executivo disponha, em certas situações, mediante decreto, sobre organização e funcionamento da Administração Pública, desde que observadas as condições previstas no art. 84, inciso VI, alíneas a e b, da Constituição. Todavia, para fins de mera reorganização interna da Administração Pública, não é cabível a transformação, mediante decreto ou outro ato normativo infralegal, de funções de confiança em cargos em comissão e vice-versa, uma vez que tais postos funcionais possuem naturezas e formas de provimento distintas, por expressa disposição con</w:t>
      </w:r>
    </w:p>
    <w:p>
      <w:pPr>
        <w:ind w:left="288"/>
      </w:pPr>
      <w:r>
        <w:rPr>
          <w:b/>
          <w:color w:val="003CA0"/>
          <w:sz w:val="16"/>
        </w:rPr>
        <w:t>[ADI 2.601, rel. min. Ricardo Lewandowski, j. 19-8-2021, P, DJE de 4-2-2022.]</w:t>
      </w:r>
    </w:p>
    <w:p>
      <w:pPr>
        <w:ind w:left="288"/>
      </w:pPr>
      <w:r>
        <w:rPr>
          <w:color w:val="8C8C8C"/>
          <w:sz w:val="12"/>
        </w:rPr>
        <w:t>cf-art-84-inc-V-ali-a</w:t>
      </w:r>
      <w:r>
        <w:rPr>
          <w:color w:val="003CA0"/>
          <w:sz w:val="12"/>
        </w:rPr>
        <w:t xml:space="preserve"> | ADI 6.121</w:t>
      </w:r>
      <w:r>
        <w:rPr>
          <w:color w:val="003CA0"/>
          <w:sz w:val="12"/>
        </w:rPr>
        <w:t xml:space="preserve"> | rel. Marco Aurélio</w:t>
      </w:r>
    </w:p>
    <w:p>
      <w:pPr>
        <w:ind w:left="288"/>
      </w:pPr>
      <w:r>
        <w:rPr>
          <w:color w:val="1E1E1E"/>
          <w:sz w:val="18"/>
        </w:rPr>
        <w:t>Competência normativa. Administração pública. Órgãos colegiados. Previsão legal. Extinção. Chancela parlamentar. Considerado o princípio da separação dos poderes, conflita com a Constituição Federal a extinção, por ato unilateralmente editado pelo Chefe do Executivo, de órgãos colegiados que, contando com menção em lei em sentido formal, viabilizem a participação popular na condução das políticas públicas – mesmo quando ausente expressa ‘indicação de suas competências ou dos membros que o compõem’.</w:t>
      </w:r>
    </w:p>
    <w:p>
      <w:pPr>
        <w:ind w:left="288"/>
      </w:pPr>
      <w:r>
        <w:rPr>
          <w:b/>
          <w:color w:val="003CA0"/>
          <w:sz w:val="16"/>
        </w:rPr>
        <w:t>[ADI 6.121 MC, rel. min. Marco Aurélio, j. 13-6-2019, P, DJE de 28-11-2019.]</w:t>
      </w:r>
    </w:p>
    <w:p>
      <w:pPr>
        <w:ind w:left="288"/>
      </w:pPr>
      <w:r>
        <w:rPr>
          <w:color w:val="8C8C8C"/>
          <w:sz w:val="12"/>
        </w:rPr>
        <w:t>cf-art-84-inc-V-ali-a</w:t>
      </w:r>
      <w:r>
        <w:rPr>
          <w:color w:val="003CA0"/>
          <w:sz w:val="12"/>
        </w:rPr>
        <w:t xml:space="preserve"> | ADI 3.232</w:t>
      </w:r>
      <w:r>
        <w:rPr>
          <w:color w:val="003CA0"/>
          <w:sz w:val="12"/>
        </w:rPr>
        <w:t xml:space="preserve"> | rel. Cezar Peluso</w:t>
      </w:r>
    </w:p>
    <w:p>
      <w:pPr>
        <w:ind w:left="288"/>
      </w:pPr>
      <w:r>
        <w:rPr>
          <w:color w:val="1E1E1E"/>
          <w:sz w:val="18"/>
        </w:rPr>
        <w:t>É admissível controle concentrado de constitucionalidade de decreto que, dando execução a lei inconstitucional, crie cargos públicos remunerados e estabeleça as respectivas denominações, competências, atribuições e remunerações. (...) Art. 5º da Lei 1.124/2000 do Estado do Tocantins. Administração pública. Criação de cargos e funções. Fixação de atribuições e remuneração dos servidores. Efeitos jurídicos delegados a decretos do chefe do Executivo. Aumento de despesas. Inadmissibilidade. Necessidade de lei em sentido formal, de iniciativa privativa daquele. Ofensa aos arts. 61, § 1º, II, a, e 8</w:t>
      </w:r>
    </w:p>
    <w:p>
      <w:pPr>
        <w:ind w:left="288"/>
      </w:pPr>
      <w:r>
        <w:rPr>
          <w:b/>
          <w:color w:val="003CA0"/>
          <w:sz w:val="16"/>
        </w:rPr>
        <w:t>[ADI 3.232, rel. min. Cezar Peluso, j. 14-8-2008, P, DJE de 3-10-2008.]</w:t>
      </w:r>
    </w:p>
    <w:p>
      <w:pPr>
        <w:ind w:left="288"/>
      </w:pPr>
      <w:r>
        <w:rPr>
          <w:color w:val="8C8C8C"/>
          <w:sz w:val="12"/>
        </w:rPr>
        <w:t>cf-art-84-inc-V-ali-a</w:t>
      </w:r>
      <w:r>
        <w:rPr>
          <w:color w:val="003CA0"/>
          <w:sz w:val="12"/>
        </w:rPr>
        <w:t xml:space="preserve"> | ADI 4.125</w:t>
      </w:r>
      <w:r>
        <w:rPr>
          <w:color w:val="003CA0"/>
          <w:sz w:val="12"/>
        </w:rPr>
        <w:t xml:space="preserve"> | rel. Cármen Lúcia</w:t>
      </w:r>
    </w:p>
    <w:p>
      <w:pPr>
        <w:ind w:left="288"/>
      </w:pPr>
      <w:r>
        <w:rPr>
          <w:color w:val="1E1E1E"/>
          <w:sz w:val="18"/>
        </w:rPr>
        <w:t xml:space="preserve">= ADI 4.125, rel. min. Cármen Lúcia, j. 10-6-2010, P, DJE de 15-2-2011 A Lei 6.835/2001, de iniciativa da Mesa da Assembleia Legislativa do Estado do Espírito Santo, cria nova atribuição à Secretaria de Fazenda Estadual, órgão integrante do Poder Executivo daquele Estado. À luz do princípio da simetria, são de iniciativa do chefe do Poder Executivo estadual as leis que versem sobre a organização administrativa do Estado, podendo a questão referente à organização e funcionamento da administração estadual, quando não importar aumento de despesa, ser regulamentada por meio de decreto do chefe do </w:t>
      </w:r>
    </w:p>
    <w:p>
      <w:pPr>
        <w:ind w:left="288"/>
      </w:pPr>
      <w:r>
        <w:rPr>
          <w:b/>
          <w:color w:val="003CA0"/>
          <w:sz w:val="16"/>
        </w:rPr>
        <w:t>[ADI 2.857, rel. min. Joaquim Barbosa, j. 30-8-2007, P, DJ de 30-11-2007.]</w:t>
      </w:r>
    </w:p>
    <w:p>
      <w:pPr>
        <w:ind w:left="288"/>
      </w:pPr>
      <w:r>
        <w:rPr>
          <w:color w:val="8C8C8C"/>
          <w:sz w:val="12"/>
        </w:rPr>
        <w:t>cf-art-84-inc-V-ali-a</w:t>
      </w:r>
      <w:r>
        <w:rPr>
          <w:color w:val="003CA0"/>
          <w:sz w:val="12"/>
        </w:rPr>
        <w:t xml:space="preserve"> | ADI 3.254</w:t>
      </w:r>
      <w:r>
        <w:rPr>
          <w:color w:val="003CA0"/>
          <w:sz w:val="12"/>
        </w:rPr>
        <w:t xml:space="preserve"> | rel. Ellen Gracie</w:t>
      </w:r>
    </w:p>
    <w:p>
      <w:pPr>
        <w:ind w:left="288"/>
      </w:pPr>
      <w:r>
        <w:rPr>
          <w:color w:val="1E1E1E"/>
          <w:sz w:val="18"/>
        </w:rPr>
        <w:t>É indispensável a iniciativa do chefe do Poder Executivo (mediante projeto de lei ou mesmo, após a EC 32/2001, por meio de decreto) na elaboração de normas que de alguma forma remodelem as atribuições de órgão pertencente à estrutura administrativa de determinada unidade da Federação.</w:t>
      </w:r>
    </w:p>
    <w:p>
      <w:pPr>
        <w:ind w:left="288"/>
      </w:pPr>
      <w:r>
        <w:rPr>
          <w:b/>
          <w:color w:val="003CA0"/>
          <w:sz w:val="16"/>
        </w:rPr>
        <w:t>[ADI 3.254, rel. min. Ellen Gracie, j. 16-11-2005, P, DJ de 2-12-2005.]</w:t>
      </w:r>
    </w:p>
    <w:p>
      <w:pPr>
        <w:ind w:left="288"/>
      </w:pPr>
      <w:r>
        <w:rPr>
          <w:color w:val="8C8C8C"/>
          <w:sz w:val="12"/>
        </w:rPr>
        <w:t>cf-art-84-inc-V-ali-a</w:t>
      </w:r>
      <w:r>
        <w:rPr>
          <w:color w:val="003CA0"/>
          <w:sz w:val="12"/>
        </w:rPr>
        <w:t xml:space="preserve"> | ADI 2.564</w:t>
      </w:r>
      <w:r>
        <w:rPr>
          <w:color w:val="003CA0"/>
          <w:sz w:val="12"/>
        </w:rPr>
        <w:t xml:space="preserve"> | rel. Ellen Gracie</w:t>
      </w:r>
    </w:p>
    <w:p>
      <w:pPr>
        <w:ind w:left="288"/>
      </w:pPr>
      <w:r>
        <w:rPr>
          <w:color w:val="1E1E1E"/>
          <w:sz w:val="18"/>
        </w:rPr>
        <w:t>Decreto 4.010, de 12-11-2001. Pagamento de servidores públicos da administração federal. Liberação de recursos. Exigência de prévia autorização do presidente da República. Os arts. 76 e 84, I, II e VI, a, todos da CF, atribuem ao presidente da República a posição de chefe supremo da administração pública federal, ao qual estão subordinados os ministros de Estado. Ausência de ofensa ao princípio da reserva legal, diante da nova redação atribuída ao inciso VI do art. 84 pela EC 32/2001, que permite expressamente ao presidente da República dispor, por decreto, sobre a organização e o funcionament</w:t>
      </w:r>
    </w:p>
    <w:p>
      <w:pPr>
        <w:ind w:left="288"/>
      </w:pPr>
      <w:r>
        <w:rPr>
          <w:b/>
          <w:color w:val="003CA0"/>
          <w:sz w:val="16"/>
        </w:rPr>
        <w:t>[ADI 2.564, rel. min. Ellen Gracie, j. 8-10-2003, P, DJ de 6-2-2004.]</w:t>
      </w:r>
    </w:p>
    <w:p>
      <w:pPr>
        <w:ind w:left="288"/>
      </w:pPr>
      <w:r>
        <w:rPr>
          <w:color w:val="8C8C8C"/>
          <w:sz w:val="12"/>
        </w:rPr>
        <w:t>cf-art-84-inc-V-ali-b</w:t>
      </w:r>
      <w:r>
        <w:rPr>
          <w:color w:val="003CA0"/>
          <w:sz w:val="12"/>
        </w:rPr>
        <w:t xml:space="preserve"> | ADI 6.180</w:t>
      </w:r>
      <w:r>
        <w:rPr>
          <w:color w:val="003CA0"/>
          <w:sz w:val="12"/>
        </w:rPr>
        <w:t xml:space="preserve"> | rel. Dias Toffoli</w:t>
      </w:r>
    </w:p>
    <w:p>
      <w:pPr>
        <w:ind w:left="288"/>
      </w:pPr>
      <w:r>
        <w:rPr>
          <w:color w:val="1E1E1E"/>
          <w:sz w:val="18"/>
        </w:rPr>
        <w:t>Há autorização constitucional para que o chefe do Executivo disponha, em certas situações, mediante decreto, sobre organização e funcionamento da Administração Pública, desde que observadas as condições previstas no art. 84, inciso VI, alíneas a e b, da Constituição. Todavia, para fins de mera reorganização interna da Administração Pública, não é cabível a transformação, mediante decreto ou outro ato normativo infralegal, de funções de confiança em cargos em comissão e vice-versa, uma vez que tais postos funcionais possuem naturezas e formas de provimento distintas, por expressa disposição con</w:t>
      </w:r>
    </w:p>
    <w:p>
      <w:pPr>
        <w:ind w:left="144"/>
      </w:pPr>
      <w:r>
        <w:rPr>
          <w:b/>
          <w:color w:val="B45A00"/>
          <w:sz w:val="16"/>
        </w:rPr>
        <w:t>JULGADOS CORRELATOS</w:t>
      </w:r>
    </w:p>
    <w:p>
      <w:pPr>
        <w:ind w:left="288"/>
      </w:pPr>
      <w:r>
        <w:rPr>
          <w:color w:val="8C8C8C"/>
          <w:sz w:val="12"/>
        </w:rPr>
        <w:t>cf-art-84-inc-VII</w:t>
      </w:r>
      <w:r>
        <w:rPr>
          <w:color w:val="003CA0"/>
          <w:sz w:val="12"/>
        </w:rPr>
        <w:t xml:space="preserve"> | EXT 1.085.</w:t>
      </w:r>
      <w:r>
        <w:rPr>
          <w:color w:val="003CA0"/>
          <w:sz w:val="12"/>
        </w:rPr>
        <w:t xml:space="preserve"> | rel. Celso de Mello</w:t>
      </w:r>
    </w:p>
    <w:p>
      <w:pPr>
        <w:ind w:left="288"/>
      </w:pPr>
      <w:r>
        <w:rPr>
          <w:color w:val="1E1E1E"/>
          <w:sz w:val="18"/>
        </w:rPr>
        <w:t>A soberania nacional no plano transnacional funda-se no princípio da independência nacional, efetivada pelo presidente da República, consoante suas atribuições previstas no art. 84, VII e VIII, da Lei Maior. A soberania, dicotomizada em interna e externa, tem na primeira a exteriorização da vontade popular (art. 14 da CRFB) através dos representantes do povo no parlamento e no governo; na segunda, a sua expressão no plano internacional, por meio do presidente da República. No campo da soberania, relativamente à extradição, é assente que o ato de entrega do extraditando é exclusivo, da competên</w:t>
      </w:r>
    </w:p>
    <w:p>
      <w:pPr>
        <w:ind w:left="288"/>
      </w:pPr>
      <w:r>
        <w:rPr>
          <w:b/>
          <w:color w:val="003CA0"/>
          <w:sz w:val="16"/>
        </w:rPr>
        <w:t>[Rcl 11.243, red. do ac. min. Luiz Fux, j. 8-6-2011, P, DJE de 5-10-2011.]</w:t>
      </w:r>
    </w:p>
    <w:p>
      <w:pPr>
        <w:ind w:left="288"/>
      </w:pPr>
      <w:r>
        <w:rPr>
          <w:color w:val="8C8C8C"/>
          <w:sz w:val="12"/>
        </w:rPr>
        <w:t>cf-art-84-inc-VII</w:t>
      </w:r>
      <w:r>
        <w:rPr>
          <w:color w:val="003CA0"/>
          <w:sz w:val="12"/>
        </w:rPr>
        <w:t xml:space="preserve"> | EXT 493</w:t>
      </w:r>
    </w:p>
    <w:p>
      <w:pPr>
        <w:ind w:left="288"/>
      </w:pPr>
      <w:r>
        <w:rPr>
          <w:color w:val="1E1E1E"/>
          <w:sz w:val="18"/>
        </w:rPr>
        <w:t>É válida a lei que reserva ao Poder Executivo – a quem incumbe, por atribuição constitucional, a competência para tomar decisões que tenham reflexos no plano das relações internacionais do Estado – o poder privativo de conceder asilo ou refúgio. (...) (Ext 493).</w:t>
      </w:r>
    </w:p>
    <w:p>
      <w:pPr>
        <w:ind w:left="288"/>
      </w:pPr>
      <w:r>
        <w:rPr>
          <w:b/>
          <w:color w:val="003CA0"/>
          <w:sz w:val="16"/>
        </w:rPr>
        <w:t>[Ext 1.008, red. do ac. min. Sepúlveda Pertence, j. 21-3-2007, P, DJ de 17-8-2007.]</w:t>
      </w:r>
    </w:p>
    <w:p>
      <w:pPr>
        <w:ind w:left="144"/>
      </w:pPr>
      <w:r>
        <w:rPr>
          <w:b/>
          <w:color w:val="B45A00"/>
          <w:sz w:val="16"/>
        </w:rPr>
        <w:t>CONTROLE CONCENTRADO</w:t>
      </w:r>
    </w:p>
    <w:p>
      <w:pPr>
        <w:ind w:left="288"/>
      </w:pPr>
      <w:r>
        <w:rPr>
          <w:color w:val="8C8C8C"/>
          <w:sz w:val="12"/>
        </w:rPr>
        <w:t>cf-art-84-inc-VIII</w:t>
      </w:r>
      <w:r>
        <w:rPr>
          <w:color w:val="003CA0"/>
          <w:sz w:val="12"/>
        </w:rPr>
        <w:t xml:space="preserve"> | ADC 39</w:t>
      </w:r>
      <w:r>
        <w:rPr>
          <w:color w:val="003CA0"/>
          <w:sz w:val="12"/>
        </w:rPr>
        <w:t xml:space="preserve"> | rel. Dias Toffoli</w:t>
      </w:r>
    </w:p>
    <w:p>
      <w:pPr>
        <w:ind w:left="288"/>
      </w:pPr>
      <w:r>
        <w:rPr>
          <w:color w:val="1E1E1E"/>
          <w:sz w:val="18"/>
        </w:rPr>
        <w:t>(...) a denúncia pelo Presidente da República de tratados internacionais aprovados pelo Congresso Nacional, para que produza efeitos no ordenamento jurídico interno, não prescinde da sua aprovação pelo Congresso”. Aplicação desse entendimento a partir da publicação da ata do julgamento, mantendo-se a eficácia das denúncias realizadas até esse marco temporal.</w:t>
        <w:br/>
        <w:t>[ADC 39, rel. min. Dias Toffoli, j. 19-6-2023, P, DJE de 18-8-2023.] O exame da vigente CF permite constatar que a execução dos tratados internacionais e a sua incorporação à ordem jurídica interna decorrem, no sistema adotado pelo Brasil,</w:t>
      </w:r>
    </w:p>
    <w:p>
      <w:pPr>
        <w:ind w:left="144"/>
      </w:pPr>
      <w:r>
        <w:rPr>
          <w:b/>
          <w:color w:val="B45A00"/>
          <w:sz w:val="16"/>
        </w:rPr>
        <w:t>JULGADOS CORRELATOS</w:t>
      </w:r>
    </w:p>
    <w:p>
      <w:pPr>
        <w:ind w:left="288"/>
      </w:pPr>
      <w:r>
        <w:rPr>
          <w:color w:val="8C8C8C"/>
          <w:sz w:val="12"/>
        </w:rPr>
        <w:t>cf-art-84-inc-VIII</w:t>
      </w:r>
      <w:r>
        <w:rPr>
          <w:color w:val="003CA0"/>
          <w:sz w:val="12"/>
        </w:rPr>
        <w:t xml:space="preserve"> | HC 67.635</w:t>
      </w:r>
      <w:r>
        <w:rPr>
          <w:color w:val="003CA0"/>
          <w:sz w:val="12"/>
        </w:rPr>
        <w:t xml:space="preserve"> | rel. Paulo Brossard</w:t>
      </w:r>
    </w:p>
    <w:p>
      <w:pPr>
        <w:ind w:left="288"/>
      </w:pPr>
      <w:r>
        <w:rPr>
          <w:color w:val="1E1E1E"/>
          <w:sz w:val="18"/>
        </w:rPr>
        <w:t>Tratado de extradição. Acolhimento pela Constituição dos atos a ela anteriores, desde que compatíveis. Desnecessidade de novo referendo pelo Congresso Nacional (CF, art. 84, VIII).</w:t>
      </w:r>
    </w:p>
    <w:p>
      <w:pPr>
        <w:ind w:left="288"/>
      </w:pPr>
      <w:r>
        <w:rPr>
          <w:b/>
          <w:color w:val="003CA0"/>
          <w:sz w:val="16"/>
        </w:rPr>
        <w:t>[HC 67.635, rel. min. Paulo Brossard, j. 30-8-1989, P, DJ de 29-9-1989.]</w:t>
      </w:r>
    </w:p>
    <w:p>
      <w:pPr>
        <w:ind w:left="144"/>
      </w:pPr>
      <w:r>
        <w:rPr>
          <w:b/>
          <w:color w:val="B45A00"/>
          <w:sz w:val="16"/>
        </w:rPr>
        <w:t>CONTROLE CONCENTRADO</w:t>
      </w:r>
    </w:p>
    <w:p>
      <w:pPr>
        <w:ind w:left="288"/>
      </w:pPr>
      <w:r>
        <w:rPr>
          <w:color w:val="8C8C8C"/>
          <w:sz w:val="12"/>
        </w:rPr>
        <w:t>cf-art-84-inc-XII</w:t>
      </w:r>
      <w:r>
        <w:rPr>
          <w:color w:val="003CA0"/>
          <w:sz w:val="12"/>
        </w:rPr>
        <w:t xml:space="preserve"> | ADPF 964</w:t>
      </w:r>
      <w:r>
        <w:rPr>
          <w:color w:val="003CA0"/>
          <w:sz w:val="12"/>
        </w:rPr>
        <w:t xml:space="preserve"> | rel. Rosa Weber</w:t>
      </w:r>
    </w:p>
    <w:p>
      <w:pPr>
        <w:ind w:left="288"/>
      </w:pPr>
      <w:r>
        <w:rPr>
          <w:color w:val="1E1E1E"/>
          <w:sz w:val="18"/>
        </w:rPr>
        <w:t>O perdão presidencial é um importante instrumento, à disposição do Poder Executivo, de contrapeso ao Poder Judiciário, revelando-se, pois, legítima, em tese, quando devidamente prevista no texto constitucional, a interferência de um Poder no outro. (...) A existência de vício em quaisquer dos elementos constitutivos do ato administrativo permite a sua legítima invalidação pelo Poder Judiciário. O ato de governo ou ato político, espécie do gênero ato administrativo, reveste-se de espectro mais amplo de discricionariedade. Disso não resulta, contudo, sua insindicabilidade absoluta perante o Pode</w:t>
      </w:r>
    </w:p>
    <w:p>
      <w:pPr>
        <w:ind w:left="288"/>
      </w:pPr>
      <w:r>
        <w:rPr>
          <w:b/>
          <w:color w:val="003CA0"/>
          <w:sz w:val="16"/>
        </w:rPr>
        <w:t>[ADI 1.231, rel. min. Carlos Velloso, j. 15-12-2005, P, DJ de 28-4-2006.]</w:t>
      </w:r>
    </w:p>
    <w:p>
      <w:pPr>
        <w:ind w:left="288"/>
      </w:pPr>
      <w:r>
        <w:rPr>
          <w:color w:val="8C8C8C"/>
          <w:sz w:val="12"/>
        </w:rPr>
        <w:t>cf-art-84-inc-XII</w:t>
      </w:r>
      <w:r>
        <w:rPr>
          <w:color w:val="003CA0"/>
          <w:sz w:val="12"/>
        </w:rPr>
        <w:t xml:space="preserve"> | RE 1.450.100</w:t>
      </w:r>
      <w:r>
        <w:rPr>
          <w:color w:val="003CA0"/>
          <w:sz w:val="12"/>
        </w:rPr>
        <w:t xml:space="preserve"> | rel. Flávio Dino</w:t>
      </w:r>
    </w:p>
    <w:p>
      <w:pPr>
        <w:ind w:left="288"/>
      </w:pPr>
      <w:r>
        <w:rPr>
          <w:color w:val="1E1E1E"/>
          <w:sz w:val="18"/>
        </w:rPr>
        <w:t>“É constitucional o indulto natalino do art. 5º, caput e parágrafo único, do Decreto Presidencial nº 11.302, de 22/12/2022”.</w:t>
      </w:r>
    </w:p>
    <w:p>
      <w:pPr>
        <w:ind w:left="288"/>
      </w:pPr>
      <w:r>
        <w:rPr>
          <w:b/>
          <w:color w:val="003CA0"/>
          <w:sz w:val="16"/>
        </w:rPr>
        <w:t>[RE 1.450.100, rel. min. Flávio Dino, j. 19.05.2025, P, DJE de 23.05.2025, Tema 1.267, com mérito julgado.]</w:t>
      </w:r>
    </w:p>
    <w:p>
      <w:pPr>
        <w:ind w:left="144"/>
      </w:pPr>
      <w:r>
        <w:rPr>
          <w:b/>
          <w:color w:val="B45A00"/>
          <w:sz w:val="16"/>
        </w:rPr>
        <w:t>REPERCUSSAO GERAL</w:t>
      </w:r>
    </w:p>
    <w:p>
      <w:pPr>
        <w:ind w:left="288"/>
      </w:pPr>
      <w:r>
        <w:rPr>
          <w:color w:val="8C8C8C"/>
          <w:sz w:val="12"/>
        </w:rPr>
        <w:t>cf-art-84-inc-XII</w:t>
      </w:r>
      <w:r>
        <w:rPr>
          <w:color w:val="003CA0"/>
          <w:sz w:val="12"/>
        </w:rPr>
        <w:t xml:space="preserve"> | RE 628.658</w:t>
      </w:r>
      <w:r>
        <w:rPr>
          <w:color w:val="003CA0"/>
          <w:sz w:val="12"/>
        </w:rPr>
        <w:t xml:space="preserve"> | rel. Marco Aurélio</w:t>
      </w:r>
    </w:p>
    <w:p>
      <w:pPr>
        <w:ind w:left="288"/>
      </w:pPr>
      <w:r>
        <w:rPr>
          <w:color w:val="1E1E1E"/>
          <w:sz w:val="18"/>
        </w:rPr>
        <w:t>Sendo a medida de segurança sanção penal, o período de cumprimento repercute no tempo exigido para o indulto.</w:t>
        <w:br/>
        <w:t>[RE 628.658, rel. min. Marco Aurélio, j. 5-11-2015, P, DJE de 1º-4-2016, Tema 371.]</w:t>
      </w:r>
    </w:p>
    <w:p>
      <w:pPr>
        <w:ind w:left="144"/>
      </w:pPr>
      <w:r>
        <w:rPr>
          <w:b/>
          <w:color w:val="B45A00"/>
          <w:sz w:val="16"/>
        </w:rPr>
        <w:t>JULGADOS CORRELATOS</w:t>
      </w:r>
    </w:p>
    <w:p>
      <w:pPr>
        <w:ind w:left="288"/>
      </w:pPr>
      <w:r>
        <w:rPr>
          <w:color w:val="8C8C8C"/>
          <w:sz w:val="12"/>
        </w:rPr>
        <w:t>cf-art-84-inc-XII</w:t>
      </w:r>
      <w:r>
        <w:rPr>
          <w:color w:val="003CA0"/>
          <w:sz w:val="12"/>
        </w:rPr>
        <w:t xml:space="preserve"> | AI 701.673</w:t>
      </w:r>
      <w:r>
        <w:rPr>
          <w:color w:val="003CA0"/>
          <w:sz w:val="12"/>
        </w:rPr>
        <w:t xml:space="preserve"> | rel. Ricardo Lewandowski</w:t>
      </w:r>
    </w:p>
    <w:p>
      <w:pPr>
        <w:ind w:left="288"/>
      </w:pPr>
      <w:r>
        <w:rPr>
          <w:color w:val="1E1E1E"/>
          <w:sz w:val="18"/>
        </w:rPr>
        <w:t>A concessão do benefício do indulto é uma faculdade atribuída ao presidente da República. Assim, é possível a imposição de condições para tê-lo como aperfeiçoado, desde que em conformidade com a CF.</w:t>
      </w:r>
    </w:p>
    <w:p>
      <w:pPr>
        <w:ind w:left="288"/>
      </w:pPr>
      <w:r>
        <w:rPr>
          <w:b/>
          <w:color w:val="003CA0"/>
          <w:sz w:val="16"/>
        </w:rPr>
        <w:t>[AI 701.673 AgR, rel. min. Ricardo Lewandowski, j. 5-5-2009, 1ª T, DJE de 5-6-2009.]</w:t>
      </w:r>
    </w:p>
    <w:p>
      <w:pPr>
        <w:ind w:left="288"/>
      </w:pPr>
      <w:r>
        <w:rPr>
          <w:color w:val="8C8C8C"/>
          <w:sz w:val="12"/>
        </w:rPr>
        <w:t>cf-art-84-inc-XII</w:t>
      </w:r>
      <w:r>
        <w:rPr>
          <w:color w:val="003CA0"/>
          <w:sz w:val="12"/>
        </w:rPr>
        <w:t xml:space="preserve"> | HC 90.364</w:t>
      </w:r>
      <w:r>
        <w:rPr>
          <w:color w:val="003CA0"/>
          <w:sz w:val="12"/>
        </w:rPr>
        <w:t xml:space="preserve"> | rel. Ricardo Lewandowski</w:t>
      </w:r>
    </w:p>
    <w:p>
      <w:pPr>
        <w:ind w:left="288"/>
      </w:pPr>
      <w:r>
        <w:rPr>
          <w:color w:val="1E1E1E"/>
          <w:sz w:val="18"/>
        </w:rPr>
        <w:t>O art. 5º, XLIII, da Constituição, que proíbe a graça, gênero do qual o indulto é espécie, nos crimes hediondos definidos em lei, não conflita com o art. 84, XII, da Lei Maior. O decreto presidencial que concede o indulto configura ato de governo, caracterizado pela ampla discricionariedade.</w:t>
      </w:r>
    </w:p>
    <w:p>
      <w:pPr>
        <w:ind w:left="288"/>
      </w:pPr>
      <w:r>
        <w:rPr>
          <w:b/>
          <w:color w:val="003CA0"/>
          <w:sz w:val="16"/>
        </w:rPr>
        <w:t>[HC 90.364, rel. min. Ricardo Lewandowski, j. 31-10-2007, P, DJ de 30-11-2007.]</w:t>
      </w:r>
    </w:p>
    <w:p>
      <w:pPr>
        <w:ind w:left="288"/>
      </w:pPr>
      <w:r>
        <w:rPr>
          <w:color w:val="8C8C8C"/>
          <w:sz w:val="12"/>
        </w:rPr>
        <w:t>cf-art-84-inc-XII</w:t>
      </w:r>
      <w:r>
        <w:rPr>
          <w:color w:val="003CA0"/>
          <w:sz w:val="12"/>
        </w:rPr>
        <w:t xml:space="preserve"> | HC 81.810</w:t>
      </w:r>
      <w:r>
        <w:rPr>
          <w:color w:val="003CA0"/>
          <w:sz w:val="12"/>
        </w:rPr>
        <w:t xml:space="preserve"> | rel. Cezar Peluso</w:t>
      </w:r>
    </w:p>
    <w:p>
      <w:pPr>
        <w:ind w:left="288"/>
      </w:pPr>
      <w:r>
        <w:rPr>
          <w:color w:val="1E1E1E"/>
          <w:sz w:val="18"/>
        </w:rPr>
        <w:t>= HC 81.810, rel. min. Cezar Peluso, j. 16-4-2009, P, DJE de 7-8-2009 Não pode, em tese, a lei ordinária restringir o poder constitucional do presidente da República de "conceder indulto e comutar penas, com audiência, se necessário, dos órgãos instituídos em lei" (CF, art. 84, XII), opondo-lhe vedações materiais não decorrentes da Constituição. Não obstante, é constitucional o art. 2º, I, da Lei 8.072/1990, porque nele a menção ao indulto é meramente expletiva da proibição de graça aos condenados por crimes hediondos ditada pelo art. 5º, XLIII, da Constituição. Na Constituição, a graça indivi</w:t>
      </w:r>
    </w:p>
    <w:p>
      <w:pPr>
        <w:ind w:left="288"/>
      </w:pPr>
      <w:r>
        <w:rPr>
          <w:b/>
          <w:color w:val="003CA0"/>
          <w:sz w:val="16"/>
        </w:rPr>
        <w:t>[HC 81.565, rel. min. Sepúlveda Pertence, j. 19-2-2002, 1ª T, DJ de 22-3-2002.]</w:t>
      </w:r>
    </w:p>
    <w:p>
      <w:pPr>
        <w:ind w:left="288"/>
      </w:pPr>
      <w:r>
        <w:rPr>
          <w:color w:val="8C8C8C"/>
          <w:sz w:val="12"/>
        </w:rPr>
        <w:t>cf-art-84-inc-XII</w:t>
      </w:r>
      <w:r>
        <w:rPr>
          <w:color w:val="003CA0"/>
          <w:sz w:val="12"/>
        </w:rPr>
        <w:t xml:space="preserve"> | RHC 71.400</w:t>
      </w:r>
      <w:r>
        <w:rPr>
          <w:color w:val="003CA0"/>
          <w:sz w:val="12"/>
        </w:rPr>
        <w:t xml:space="preserve"> | rel. Ilmar Galvão</w:t>
      </w:r>
    </w:p>
    <w:p>
      <w:pPr>
        <w:ind w:left="288"/>
      </w:pPr>
      <w:r>
        <w:rPr>
          <w:color w:val="1E1E1E"/>
          <w:sz w:val="18"/>
        </w:rPr>
        <w:t>A fixação do ressarcimento do dano como condição para o indulto não destoa da lógica de nosso sistema legal, que estimula a composição dos prejuízos causados pelo delito, mesmo antes do seu julgamento definitivo (v.g., arts. 16 e 312, § 2º, do CP), sem conferir-lhe, no entanto, caráter de obrigatoriedade, mas apenas de pressuposto para o gozo de determinado benefício. O sequestro de bens não tem o condão de tornar insolvente o réu para efeito de eximi-lo da satisfação do dano, erigida como condição para o indulto. Se o beneficiário não cumpre todos os requisitos do indulto, seu indeferimento n</w:t>
      </w:r>
    </w:p>
    <w:p>
      <w:pPr>
        <w:ind w:left="288"/>
      </w:pPr>
      <w:r>
        <w:rPr>
          <w:b/>
          <w:color w:val="003CA0"/>
          <w:sz w:val="16"/>
        </w:rPr>
        <w:t>[RHC 71.400, rel. min. Ilmar Galvão, j. 7-6-1994, 1ª T, DJ de 30-9-1994.]</w:t>
      </w:r>
    </w:p>
    <w:p>
      <w:pPr>
        <w:ind w:left="288"/>
      </w:pPr>
      <w:r>
        <w:rPr>
          <w:color w:val="8C8C8C"/>
          <w:sz w:val="12"/>
        </w:rPr>
        <w:t>cf-art-84-inc-XII</w:t>
      </w:r>
    </w:p>
    <w:p>
      <w:pPr>
        <w:ind w:left="288"/>
      </w:pPr>
      <w:r>
        <w:rPr>
          <w:color w:val="1E1E1E"/>
          <w:sz w:val="18"/>
        </w:rPr>
        <w:t>XIII - exercer o comando supremo das Forças Armadas, nomear os Comandantes da Marinha, do Exército e da Aeronáutica, promover seus oficiais-generais e nomeá-los para os cargos que lhes são privativos; (Redação da EC 23/1999)</w:t>
      </w:r>
    </w:p>
    <w:p>
      <w:pPr>
        <w:ind w:left="144"/>
      </w:pPr>
      <w:r>
        <w:rPr>
          <w:b/>
          <w:color w:val="B45A00"/>
          <w:sz w:val="16"/>
        </w:rPr>
        <w:t>CONTROLE CONCENTRADO</w:t>
      </w:r>
    </w:p>
    <w:p>
      <w:pPr>
        <w:ind w:left="288"/>
      </w:pPr>
      <w:r>
        <w:rPr>
          <w:color w:val="8C8C8C"/>
          <w:sz w:val="12"/>
        </w:rPr>
        <w:t>cf-art-84-inc-XII</w:t>
      </w:r>
      <w:r>
        <w:rPr>
          <w:color w:val="003CA0"/>
          <w:sz w:val="12"/>
        </w:rPr>
        <w:t xml:space="preserve"> | ADI 6.457</w:t>
      </w:r>
      <w:r>
        <w:rPr>
          <w:color w:val="003CA0"/>
          <w:sz w:val="12"/>
        </w:rPr>
        <w:t xml:space="preserve"> | rel. Luiz Fux</w:t>
      </w:r>
    </w:p>
    <w:p>
      <w:pPr>
        <w:ind w:left="288"/>
      </w:pPr>
      <w:r>
        <w:rPr>
          <w:color w:val="1E1E1E"/>
          <w:sz w:val="18"/>
        </w:rPr>
        <w:t>A chefia das Forças Armadas é poder limitado, excluindo-se de seu âmbito qualquer interpretação que permita sua utilização para indevidas intromissões no independente funcionamento dos outros Poderes, relacionando-se a autoridade sobre as Forças Armadas às competências materiais atribuídas pela Constituição ao Presidente da República. A prerrogativa do Presidente da República de autorizar o emprego das Forças Armadas, por iniciativa própria ou em atendimento a pedido manifestado por quaisquer dos outros poderes constitucionais – por intermédio dos Presidentes do Supremo Tribunal Federal, do Se</w:t>
      </w:r>
    </w:p>
    <w:p>
      <w:pPr>
        <w:ind w:left="144"/>
      </w:pPr>
      <w:r>
        <w:rPr>
          <w:b/>
          <w:color w:val="B45A00"/>
          <w:sz w:val="16"/>
        </w:rPr>
        <w:t>JULGADOS CORRELATOS</w:t>
      </w:r>
    </w:p>
    <w:p>
      <w:pPr>
        <w:ind w:left="288"/>
      </w:pPr>
      <w:r>
        <w:rPr>
          <w:color w:val="8C8C8C"/>
          <w:sz w:val="12"/>
        </w:rPr>
        <w:t>cf-art-84-inc-XII</w:t>
      </w:r>
      <w:r>
        <w:rPr>
          <w:color w:val="003CA0"/>
          <w:sz w:val="12"/>
        </w:rPr>
        <w:t xml:space="preserve"> | MS 25.549</w:t>
      </w:r>
      <w:r>
        <w:rPr>
          <w:color w:val="003CA0"/>
          <w:sz w:val="12"/>
        </w:rPr>
        <w:t xml:space="preserve"> | rel. Marco Aurélio</w:t>
      </w:r>
    </w:p>
    <w:p>
      <w:pPr>
        <w:ind w:left="288"/>
      </w:pPr>
      <w:r>
        <w:rPr>
          <w:color w:val="1E1E1E"/>
          <w:sz w:val="18"/>
        </w:rPr>
        <w:t>Forças Armadas. Desligamento de soldado-cabo. Mandado de segurança (...). Surge a impropriedade da impetração quando apontada como autoridade coatora, ante o fato de ser o chefe supremo das Forças Armadas, o presidente da República.</w:t>
      </w:r>
    </w:p>
    <w:p>
      <w:pPr>
        <w:ind w:left="288"/>
      </w:pPr>
      <w:r>
        <w:rPr>
          <w:b/>
          <w:color w:val="003CA0"/>
          <w:sz w:val="16"/>
        </w:rPr>
        <w:t>[MS 25.549 AgR, rel. min. Marco Aurélio, j. 2-4-2009, P, DJE de 8-5-2009.]</w:t>
      </w:r>
    </w:p>
    <w:p>
      <w:pPr>
        <w:ind w:left="288"/>
      </w:pPr>
      <w:r>
        <w:rPr>
          <w:color w:val="8C8C8C"/>
          <w:sz w:val="12"/>
        </w:rPr>
        <w:t>cf-art-84-inc-XII</w:t>
      </w:r>
    </w:p>
    <w:p>
      <w:pPr>
        <w:ind w:left="288"/>
      </w:pPr>
      <w:r>
        <w:rPr>
          <w:color w:val="1E1E1E"/>
          <w:sz w:val="18"/>
        </w:rPr>
        <w:t>XIV - nomear, após aprovação pelo Senado Federal, os Ministros do Supremo Tribunal Federal e dos Tribunais Superiores, os Governadores de Territórios, o Procurador-Geral da República, o presidente e os diretores do Banco Central e outros servidores, quando determinado em lei; XV - nomear, observado o disposto no art. 73, os Ministros do Tribunal de Contas da União;</w:t>
      </w:r>
    </w:p>
    <w:p>
      <w:pPr>
        <w:ind w:left="144"/>
      </w:pPr>
      <w:r>
        <w:rPr>
          <w:b/>
          <w:color w:val="B45A00"/>
          <w:sz w:val="16"/>
        </w:rPr>
        <w:t>CONTROLE CONCENTRADO</w:t>
      </w:r>
    </w:p>
    <w:p>
      <w:pPr>
        <w:ind w:left="288"/>
      </w:pPr>
      <w:r>
        <w:rPr>
          <w:color w:val="8C8C8C"/>
          <w:sz w:val="12"/>
        </w:rPr>
        <w:t>cf-art-84-inc-XII</w:t>
      </w:r>
      <w:r>
        <w:rPr>
          <w:color w:val="003CA0"/>
          <w:sz w:val="12"/>
        </w:rPr>
        <w:t xml:space="preserve"> | ADI 5.079</w:t>
      </w:r>
      <w:r>
        <w:rPr>
          <w:color w:val="003CA0"/>
          <w:sz w:val="12"/>
        </w:rPr>
        <w:t xml:space="preserve"> | rel. André Mendonça</w:t>
      </w:r>
    </w:p>
    <w:p>
      <w:pPr>
        <w:ind w:left="288"/>
      </w:pPr>
      <w:r>
        <w:rPr>
          <w:color w:val="1E1E1E"/>
          <w:sz w:val="18"/>
        </w:rPr>
        <w:t>Ofende a ordem constitucional interpretação de dispositivos regimentais que levem à conclusão de que o decreto legislativo, por si só, basta à nomeação dos Conselheiros do TCE/ES. A partir do emprego da técnica decisória referente à declaração parcial de inconstitucionalidade, sem redução de texto, exclui-se norma no sentido de que é possível a nomeação de Conselheiro do Tribunal de Contas estadual por meio de decreto legislativo editado por Assembleia Legislativa de Estado-membro, e não mediante decreto do Chefe do Poder Executivo, conforme reza o art. 84, inc. XV, da Constituição da Repúblic</w:t>
      </w:r>
    </w:p>
    <w:p>
      <w:pPr>
        <w:ind w:left="288"/>
      </w:pPr>
      <w:r>
        <w:rPr>
          <w:b/>
          <w:color w:val="003CA0"/>
          <w:sz w:val="16"/>
        </w:rPr>
        <w:t>[ADI 5.079, rel. min. André Mendonça, j. 17-12-2022, P, DJE de 15-2-2023.]</w:t>
      </w:r>
    </w:p>
    <w:p>
      <w:pPr>
        <w:ind w:left="288"/>
      </w:pPr>
      <w:r>
        <w:rPr>
          <w:color w:val="8C8C8C"/>
          <w:sz w:val="12"/>
        </w:rPr>
        <w:t>cf-art-84-inc-XII</w:t>
      </w:r>
    </w:p>
    <w:p>
      <w:pPr>
        <w:ind w:left="288"/>
      </w:pPr>
      <w:r>
        <w:rPr>
          <w:color w:val="1E1E1E"/>
          <w:sz w:val="18"/>
        </w:rPr>
        <w:t>XVI - nomear os magistrados, nos casos previstos nesta Constituição, e o Advogado-Geral da União;</w:t>
      </w:r>
    </w:p>
    <w:p>
      <w:pPr>
        <w:ind w:left="144"/>
      </w:pPr>
      <w:r>
        <w:rPr>
          <w:b/>
          <w:color w:val="B45A00"/>
          <w:sz w:val="16"/>
        </w:rPr>
        <w:t>SUMULA</w:t>
      </w:r>
    </w:p>
    <w:p>
      <w:pPr>
        <w:ind w:left="288"/>
      </w:pPr>
      <w:r>
        <w:rPr>
          <w:color w:val="8C8C8C"/>
          <w:sz w:val="12"/>
        </w:rPr>
        <w:t>cf-art-84-inc-XII</w:t>
      </w:r>
    </w:p>
    <w:p>
      <w:pPr>
        <w:ind w:left="288"/>
      </w:pPr>
      <w:r>
        <w:rPr>
          <w:color w:val="1E1E1E"/>
          <w:sz w:val="18"/>
        </w:rPr>
        <w:t>No mandado de segurança contra a nomeação de magistrado da competência do presidente da República, este é considerado autoridade coatora, ainda que o fundamento da impetração seja nulidade ocorrida em fase anterior ao procedimento.</w:t>
      </w:r>
    </w:p>
    <w:p>
      <w:pPr>
        <w:ind w:left="288"/>
      </w:pPr>
      <w:r>
        <w:rPr>
          <w:b/>
          <w:color w:val="003CA0"/>
          <w:sz w:val="16"/>
        </w:rPr>
        <w:t>[Súmula 627.]</w:t>
      </w:r>
    </w:p>
    <w:p>
      <w:pPr>
        <w:ind w:left="144"/>
      </w:pPr>
      <w:r>
        <w:rPr>
          <w:b/>
          <w:color w:val="B45A00"/>
          <w:sz w:val="16"/>
        </w:rPr>
        <w:t>JULGADOS CORRELATOS</w:t>
      </w:r>
    </w:p>
    <w:p>
      <w:pPr>
        <w:ind w:left="288"/>
      </w:pPr>
      <w:r>
        <w:rPr>
          <w:color w:val="8C8C8C"/>
          <w:sz w:val="12"/>
        </w:rPr>
        <w:t>cf-art-84-inc-XII</w:t>
      </w:r>
      <w:r>
        <w:rPr>
          <w:color w:val="003CA0"/>
          <w:sz w:val="12"/>
        </w:rPr>
        <w:t xml:space="preserve"> | MS 27.244</w:t>
      </w:r>
      <w:r>
        <w:rPr>
          <w:color w:val="003CA0"/>
          <w:sz w:val="12"/>
        </w:rPr>
        <w:t xml:space="preserve"> | rel. Joaquim Barbosa</w:t>
      </w:r>
    </w:p>
    <w:p>
      <w:pPr>
        <w:ind w:left="288"/>
      </w:pPr>
      <w:r>
        <w:rPr>
          <w:color w:val="1E1E1E"/>
          <w:sz w:val="18"/>
        </w:rPr>
        <w:t>Estando o presidente da República de posse de lista tríplice destinada ao preenchimento de vaga de magistrado de TRT, podendo nomear, a qualquer momento, aquele que vai ocupar o cargo vago, configura-se a competência desta Corte para o julgamento do mandado de segurança que impugna o processo de escolha dos integrantes da lista, nos termos da jurisprudência do STF, consolidada na Súmula 627 desta Corte.</w:t>
      </w:r>
    </w:p>
    <w:p>
      <w:pPr>
        <w:ind w:left="288"/>
      </w:pPr>
      <w:r>
        <w:rPr>
          <w:b/>
          <w:color w:val="003CA0"/>
          <w:sz w:val="16"/>
        </w:rPr>
        <w:t>[MS 27.244 QO, rel. min. Joaquim Barbosa, j. 13-5-2009, P, DJE de 19-3-2010.]</w:t>
      </w:r>
    </w:p>
    <w:p>
      <w:pPr>
        <w:ind w:left="288"/>
      </w:pPr>
      <w:r>
        <w:rPr>
          <w:color w:val="8C8C8C"/>
          <w:sz w:val="12"/>
        </w:rPr>
        <w:t>cf-art-84-inc-XII</w:t>
      </w:r>
    </w:p>
    <w:p>
      <w:pPr>
        <w:ind w:left="288"/>
      </w:pPr>
      <w:r>
        <w:rPr>
          <w:color w:val="1E1E1E"/>
          <w:sz w:val="18"/>
        </w:rPr>
        <w:t>XVII - nomear membros do Conselho da República, nos termos do art. 89, VII; XVIII - convocar e presidir o Conselho da República e o Conselho de Defesa Nacional; XIX - declarar guerra, no caso de agressão estrangeira, autorizado pelo Congresso Nacional ou referendado por ele, quando ocorrida no intervalo das sessões legislativas, e, nas mesmas condições, decretar, total ou parcialmente, a mobilização nacional;</w:t>
      </w:r>
    </w:p>
    <w:p>
      <w:pPr>
        <w:ind w:left="288"/>
      </w:pPr>
      <w:r>
        <w:rPr>
          <w:color w:val="8C8C8C"/>
          <w:sz w:val="12"/>
        </w:rPr>
        <w:t>cf-art-84-inc-XXIII</w:t>
      </w:r>
    </w:p>
    <w:p>
      <w:pPr>
        <w:ind w:left="288"/>
      </w:pPr>
      <w:r>
        <w:rPr>
          <w:color w:val="1E1E1E"/>
          <w:sz w:val="18"/>
        </w:rPr>
        <w:t>XXIV - prestar, anualmente, ao Congresso Nacional, dentro de sessenta dias após a abertura da sessão legislativa, as contas referentes ao exercício anterior;</w:t>
      </w:r>
    </w:p>
    <w:p>
      <w:pPr>
        <w:ind w:left="144"/>
      </w:pPr>
      <w:r>
        <w:rPr>
          <w:b/>
          <w:color w:val="B45A00"/>
          <w:sz w:val="16"/>
        </w:rPr>
        <w:t>CONTROLE CONCENTRADO</w:t>
      </w:r>
    </w:p>
    <w:p>
      <w:pPr>
        <w:ind w:left="288"/>
      </w:pPr>
      <w:r>
        <w:rPr>
          <w:color w:val="8C8C8C"/>
          <w:sz w:val="12"/>
        </w:rPr>
        <w:t>cf-art-84-inc-XXIII</w:t>
      </w:r>
      <w:r>
        <w:rPr>
          <w:color w:val="003CA0"/>
          <w:sz w:val="12"/>
        </w:rPr>
        <w:t xml:space="preserve"> | ADI 2.472</w:t>
      </w:r>
      <w:r>
        <w:rPr>
          <w:color w:val="003CA0"/>
          <w:sz w:val="12"/>
        </w:rPr>
        <w:t xml:space="preserve"> | rel. Maurício Corrêa</w:t>
      </w:r>
    </w:p>
    <w:p>
      <w:pPr>
        <w:ind w:left="288"/>
      </w:pPr>
      <w:r>
        <w:rPr>
          <w:color w:val="1E1E1E"/>
          <w:sz w:val="18"/>
        </w:rPr>
        <w:t>Prestação trimestral de contas à assembleia legislativa. Desconformidade com o parâmetro federal (CF, art. 84, XXIV), que prevê prestação anual de contas do presidente da República ao Congresso Nacional.</w:t>
      </w:r>
    </w:p>
    <w:p>
      <w:pPr>
        <w:ind w:left="288"/>
      </w:pPr>
      <w:r>
        <w:rPr>
          <w:b/>
          <w:color w:val="003CA0"/>
          <w:sz w:val="16"/>
        </w:rPr>
        <w:t>[ADI 2.472 MC, rel. min. Maurício Corrêa, j. 13-3-2002, P, DJ de 3-5-2002.]</w:t>
      </w:r>
    </w:p>
    <w:p>
      <w:pPr>
        <w:ind w:left="288"/>
      </w:pPr>
      <w:r>
        <w:rPr>
          <w:color w:val="8C8C8C"/>
          <w:sz w:val="12"/>
        </w:rPr>
        <w:t>cf-art-84-inc-XXIII</w:t>
      </w:r>
    </w:p>
    <w:p>
      <w:pPr>
        <w:ind w:left="288"/>
      </w:pPr>
      <w:r>
        <w:rPr>
          <w:color w:val="1E1E1E"/>
          <w:sz w:val="18"/>
        </w:rPr>
        <w:t>XXV - prover e extinguir os cargos públicos federais, na forma da lei;</w:t>
      </w:r>
    </w:p>
    <w:p>
      <w:pPr>
        <w:ind w:left="288"/>
      </w:pPr>
      <w:r>
        <w:rPr>
          <w:color w:val="8C8C8C"/>
          <w:sz w:val="12"/>
        </w:rPr>
        <w:t>cf-art-84-inc-XXIII</w:t>
      </w:r>
      <w:r>
        <w:rPr>
          <w:color w:val="003CA0"/>
          <w:sz w:val="12"/>
        </w:rPr>
        <w:t xml:space="preserve"> | ADI 2.167</w:t>
      </w:r>
    </w:p>
    <w:p>
      <w:pPr>
        <w:ind w:left="288"/>
      </w:pPr>
      <w:r>
        <w:rPr>
          <w:color w:val="1E1E1E"/>
          <w:sz w:val="18"/>
        </w:rPr>
        <w:t>É vedada à legislação estadual submeter à aprovação prévia da Assembleia Legislativa a nomeação de dirigentes de Autarquias, Fundações Públicas, Presidentes de Empresas de Economia Mista, Interventores de Municípios, bem como de titulares de Defensoria Pública e da Procuradoria-Geral do Estado; por afronta à separação de poderes.</w:t>
      </w:r>
    </w:p>
    <w:p>
      <w:pPr>
        <w:ind w:left="288"/>
      </w:pPr>
      <w:r>
        <w:rPr>
          <w:b/>
          <w:color w:val="003CA0"/>
          <w:sz w:val="16"/>
        </w:rPr>
        <w:t>[ADI 2.167, red. do ac. min. Alexandre de Moraes, j. 3-6-2020, P, DJE de 11-11-2020.]</w:t>
      </w:r>
    </w:p>
    <w:p>
      <w:pPr>
        <w:ind w:left="288"/>
      </w:pPr>
      <w:r>
        <w:rPr>
          <w:color w:val="8C8C8C"/>
          <w:sz w:val="12"/>
        </w:rPr>
        <w:t>cf-art-84-inc-XXIII</w:t>
      </w:r>
      <w:r>
        <w:rPr>
          <w:color w:val="003CA0"/>
          <w:sz w:val="12"/>
        </w:rPr>
        <w:t xml:space="preserve"> | ADI 291</w:t>
      </w:r>
      <w:r>
        <w:rPr>
          <w:color w:val="003CA0"/>
          <w:sz w:val="12"/>
        </w:rPr>
        <w:t xml:space="preserve"> | rel. Joaquim Barbosa</w:t>
      </w:r>
    </w:p>
    <w:p>
      <w:pPr>
        <w:ind w:left="288"/>
      </w:pPr>
      <w:r>
        <w:rPr>
          <w:color w:val="1E1E1E"/>
          <w:sz w:val="18"/>
        </w:rPr>
        <w:t>A Constituição do Estado de Mato Grosso, ao condicionar a destituição do procurador-geral do Estado à autorização da assembleia legislativa, ofende o disposto no art. 84, XXV, e art. 131, § 1º, da CF/1988. Compete ao chefe do Executivo dispor sobre as matérias exclusivas de sua iniciativa, não podendo tal prerrogativa ser estendida ao procurador-geral do Estado.</w:t>
      </w:r>
    </w:p>
    <w:p>
      <w:pPr>
        <w:ind w:left="288"/>
      </w:pPr>
      <w:r>
        <w:rPr>
          <w:b/>
          <w:color w:val="003CA0"/>
          <w:sz w:val="16"/>
        </w:rPr>
        <w:t>[ADI 291, rel. min. Joaquim Barbosa, j. 7-4-2010, P, DJE de 10-9-2010.]</w:t>
      </w:r>
    </w:p>
    <w:p>
      <w:pPr>
        <w:ind w:left="288"/>
      </w:pPr>
      <w:r>
        <w:rPr>
          <w:color w:val="8C8C8C"/>
          <w:sz w:val="12"/>
        </w:rPr>
        <w:t>cf-art-84-inc-XXIII</w:t>
      </w:r>
      <w:r>
        <w:rPr>
          <w:color w:val="003CA0"/>
          <w:sz w:val="12"/>
        </w:rPr>
        <w:t xml:space="preserve"> | ADI 123</w:t>
      </w:r>
      <w:r>
        <w:rPr>
          <w:color w:val="003CA0"/>
          <w:sz w:val="12"/>
        </w:rPr>
        <w:t xml:space="preserve"> | rel. Carlos Velloso</w:t>
      </w:r>
    </w:p>
    <w:p>
      <w:pPr>
        <w:ind w:left="288"/>
      </w:pPr>
      <w:r>
        <w:rPr>
          <w:color w:val="1E1E1E"/>
          <w:sz w:val="18"/>
        </w:rPr>
        <w:t>É inconstitucional o dispositivo da Constituição de Santa Catarina que estabelece o sistema eletivo, mediante voto direto e secreto, para escolha dos dirigentes dos estabelecimentos de ensino. É que os cargos públicos ou são providos mediante concurso público, ou, tratando-se de cargo em comissão, mediante livre nomeação e exoneração do chefe do Poder Executivo, se os cargos estão na órbita deste (CF, art. 37, II, art. 84, XXV).</w:t>
      </w:r>
    </w:p>
    <w:p>
      <w:pPr>
        <w:ind w:left="288"/>
      </w:pPr>
      <w:r>
        <w:rPr>
          <w:b/>
          <w:color w:val="003CA0"/>
          <w:sz w:val="16"/>
        </w:rPr>
        <w:t>[ADI 123, rel. min. Carlos Velloso, j. 3-2-1997, P, DJ de 12-9-1997.]</w:t>
      </w:r>
    </w:p>
    <w:p>
      <w:pPr>
        <w:ind w:left="288"/>
      </w:pPr>
      <w:r>
        <w:rPr>
          <w:color w:val="8C8C8C"/>
          <w:sz w:val="12"/>
        </w:rPr>
        <w:t>cf-art-84-inc-XXIII</w:t>
      </w:r>
      <w:r>
        <w:rPr>
          <w:color w:val="003CA0"/>
          <w:sz w:val="12"/>
        </w:rPr>
        <w:t xml:space="preserve"> | ADI 2.997</w:t>
      </w:r>
      <w:r>
        <w:rPr>
          <w:color w:val="003CA0"/>
          <w:sz w:val="12"/>
        </w:rPr>
        <w:t xml:space="preserve"> | rel. Cezar Peluso</w:t>
      </w:r>
    </w:p>
    <w:p>
      <w:pPr>
        <w:ind w:left="288"/>
      </w:pPr>
      <w:r>
        <w:rPr>
          <w:color w:val="1E1E1E"/>
          <w:sz w:val="18"/>
        </w:rPr>
        <w:t>= ADI 2.997, rel. min. Cezar Peluso, j. 12-8-2009, P, DJE de 12-3-2010</w:t>
      </w:r>
    </w:p>
    <w:p>
      <w:pPr>
        <w:ind w:left="144"/>
      </w:pPr>
      <w:r>
        <w:rPr>
          <w:b/>
          <w:color w:val="B45A00"/>
          <w:sz w:val="16"/>
        </w:rPr>
        <w:t>JULGADOS CORRELATOS</w:t>
      </w:r>
    </w:p>
    <w:p>
      <w:pPr>
        <w:ind w:left="288"/>
      </w:pPr>
      <w:r>
        <w:rPr>
          <w:color w:val="8C8C8C"/>
          <w:sz w:val="12"/>
        </w:rPr>
        <w:t>cf-art-84-inc-XXIII</w:t>
      </w:r>
      <w:r>
        <w:rPr>
          <w:color w:val="003CA0"/>
          <w:sz w:val="12"/>
        </w:rPr>
        <w:t xml:space="preserve"> | RE 633.009</w:t>
      </w:r>
      <w:r>
        <w:rPr>
          <w:color w:val="003CA0"/>
          <w:sz w:val="12"/>
        </w:rPr>
        <w:t xml:space="preserve"> | rel. Ricardo Lewandowski</w:t>
      </w:r>
    </w:p>
    <w:p>
      <w:pPr>
        <w:ind w:left="288"/>
      </w:pPr>
      <w:r>
        <w:rPr>
          <w:color w:val="1E1E1E"/>
          <w:sz w:val="18"/>
        </w:rPr>
        <w:t>Esta Corte firmou orientação no sentido da legitimidade de delegação a ministro de Estado da competência do chefe do Executivo Federal para, nos termos do art. 84, XXV, e parágrafo único, da CF, aplicar pena de demissão a servidores públicos federais. (...) Legitimidade da delegação a secretários estaduais da competência do governador do Estado de Goiás para (...) aplicar penalidade de demissão aos servidores do Executivo, tendo em vista o princípio da simetria.</w:t>
      </w:r>
    </w:p>
    <w:p>
      <w:pPr>
        <w:ind w:left="288"/>
      </w:pPr>
      <w:r>
        <w:rPr>
          <w:b/>
          <w:color w:val="003CA0"/>
          <w:sz w:val="16"/>
        </w:rPr>
        <w:t>[RE 633.009 AgR, rel. min. Ricardo Lewandowski, j. 13-9-2011, 2ª T, DJE de 27-9-2011.]</w:t>
      </w:r>
    </w:p>
    <w:p>
      <w:pPr>
        <w:ind w:left="288"/>
      </w:pPr>
      <w:r>
        <w:rPr>
          <w:color w:val="8C8C8C"/>
          <w:sz w:val="12"/>
        </w:rPr>
        <w:t>cf-art-84-inc-XXIII</w:t>
      </w:r>
      <w:r>
        <w:rPr>
          <w:color w:val="003CA0"/>
          <w:sz w:val="12"/>
        </w:rPr>
        <w:t xml:space="preserve"> | RE 608.848</w:t>
      </w:r>
      <w:r>
        <w:rPr>
          <w:color w:val="003CA0"/>
          <w:sz w:val="12"/>
        </w:rPr>
        <w:t xml:space="preserve"> | rel. Teori Zavascki</w:t>
      </w:r>
    </w:p>
    <w:p>
      <w:pPr>
        <w:ind w:left="288"/>
      </w:pPr>
      <w:r>
        <w:rPr>
          <w:color w:val="1E1E1E"/>
          <w:sz w:val="18"/>
        </w:rPr>
        <w:t>= RE 608.848 AgR, rel. min. Teori Zavascki, j. 17-12-2013, 2ª T, DJE de 11-2-2014 Presidente da República: competência para prover cargos públicos (CF, art. 84, XXV, primeira parte), que abrange a de desprovê-los, a qual, portanto é susceptível de delegação a ministro de Estado (CF, art. 84, parágrafo único): validade da portaria do ministro de Estado que, no uso de competência delegada, aplicou a pena de demissão ao impetrante.</w:t>
      </w:r>
    </w:p>
    <w:p>
      <w:pPr>
        <w:ind w:left="288"/>
      </w:pPr>
      <w:r>
        <w:rPr>
          <w:b/>
          <w:color w:val="003CA0"/>
          <w:sz w:val="16"/>
        </w:rPr>
        <w:t>[MS 25.518, rel. min. Sepúlveda Pertence, j. 14-6-2006, P, DJ de 10-8-2006.]</w:t>
      </w:r>
    </w:p>
    <w:p>
      <w:pPr>
        <w:ind w:left="288"/>
      </w:pPr>
      <w:r>
        <w:rPr>
          <w:color w:val="8C8C8C"/>
          <w:sz w:val="12"/>
        </w:rPr>
        <w:t>cf-art-84-inc-XXIII</w:t>
      </w:r>
    </w:p>
    <w:p>
      <w:pPr>
        <w:ind w:left="288"/>
      </w:pPr>
      <w:r>
        <w:rPr>
          <w:color w:val="1E1E1E"/>
          <w:sz w:val="18"/>
        </w:rPr>
        <w:t>XXVI - editar medidas provisórias com força de lei, nos termos do art. 62;</w:t>
      </w:r>
    </w:p>
    <w:p>
      <w:pPr>
        <w:ind w:left="144"/>
      </w:pPr>
      <w:r>
        <w:rPr>
          <w:b/>
          <w:color w:val="B45A00"/>
          <w:sz w:val="16"/>
        </w:rPr>
        <w:t>CONTROLE CONCENTRADO</w:t>
      </w:r>
    </w:p>
    <w:p>
      <w:pPr>
        <w:ind w:left="288"/>
      </w:pPr>
      <w:r>
        <w:rPr>
          <w:color w:val="8C8C8C"/>
          <w:sz w:val="12"/>
        </w:rPr>
        <w:t>cf-art-84-inc-XXIII</w:t>
      </w:r>
      <w:r>
        <w:rPr>
          <w:color w:val="003CA0"/>
          <w:sz w:val="12"/>
        </w:rPr>
        <w:t xml:space="preserve"> | ADI 425</w:t>
      </w:r>
      <w:r>
        <w:rPr>
          <w:color w:val="003CA0"/>
          <w:sz w:val="12"/>
        </w:rPr>
        <w:t xml:space="preserve"> | rel. Maurício Corrêa</w:t>
      </w:r>
    </w:p>
    <w:p>
      <w:pPr>
        <w:ind w:left="288"/>
      </w:pPr>
      <w:r>
        <w:rPr>
          <w:color w:val="1E1E1E"/>
          <w:sz w:val="18"/>
        </w:rPr>
        <w:t>Adoção de medida provisória por Estado-membro. Possibilidade. Arts. 62 e 84, XXVI, da CF. EC 32, de 11-9-2001, que alterou substancialmente a redação do art. 62. (...) No julgamento da ADI 425, rel. min. Maurício Corrêa, DJ de 19-12-2003, o Plenário desta Corte já havia reconhecido, por ampla maioria, a constitucionalidade da instituição de medida provisória estadual, desde que, primeiro, esse instrumento esteja expressamente previsto na Constituição do Estado e, segundo, sejam observados os princípios e as limitações impostas pelo modelo adotado pela CF, tendo em vista a necessidade da observ</w:t>
      </w:r>
    </w:p>
    <w:p>
      <w:pPr>
        <w:ind w:left="288"/>
      </w:pPr>
      <w:r>
        <w:rPr>
          <w:b/>
          <w:color w:val="003CA0"/>
          <w:sz w:val="16"/>
        </w:rPr>
        <w:t>[ADI 2.391, rel. min. Ellen Gracie, j. 16-8-2006, P, DJ de 16-3-2007.]</w:t>
      </w:r>
    </w:p>
    <w:p>
      <w:pPr>
        <w:ind w:left="288"/>
      </w:pPr>
      <w:r>
        <w:rPr>
          <w:color w:val="8C8C8C"/>
          <w:sz w:val="12"/>
        </w:rPr>
        <w:t>cf-art-84-inc-XXIII</w:t>
      </w:r>
      <w:r>
        <w:rPr>
          <w:color w:val="003CA0"/>
          <w:sz w:val="12"/>
        </w:rPr>
        <w:t xml:space="preserve"> | ARE 1.481.448</w:t>
      </w:r>
      <w:r>
        <w:rPr>
          <w:color w:val="003CA0"/>
          <w:sz w:val="12"/>
        </w:rPr>
        <w:t xml:space="preserve"> | rel. Luiz Fux</w:t>
      </w:r>
    </w:p>
    <w:p>
      <w:pPr>
        <w:ind w:left="288"/>
      </w:pPr>
      <w:r>
        <w:rPr>
          <w:color w:val="1E1E1E"/>
          <w:sz w:val="18"/>
        </w:rPr>
        <w:t>XXVII - exercer outras atribuições previstas nesta Constituição. Parágrafo único. O Presidente da República poderá delegar as atribuições mencionadas nos incisos VI, XII e XXV, primeira parte, aos Ministros de Estado, ao Procurador-Geral da República ou ao Advogado-Geral da União, que observarão os limites traçados nas respectivas delegações. Ministro de Estado atuando por delegação de poder do Presidente da República, nos termos do Decreto 3.035/1999, está exercendo a competência de autoridade máxima, inexistindo razão para admitir-se, em tais hipóteses, recurso hierárquico, sob pena de esvaz</w:t>
      </w:r>
    </w:p>
    <w:p>
      <w:pPr>
        <w:ind w:left="288"/>
      </w:pPr>
      <w:r>
        <w:rPr>
          <w:b/>
          <w:color w:val="003CA0"/>
          <w:sz w:val="16"/>
        </w:rPr>
        <w:t>[ARE 1.481.448 AgR, rel. min. Luiz Fux, red. do ac. min. Alexandre de Moraes, j. 12.03.2025, 1ª T, DJE de 19.03.2025.]</w:t>
      </w:r>
    </w:p>
    <w:p>
      <w:pPr>
        <w:ind w:left="144"/>
      </w:pPr>
      <w:r>
        <w:rPr>
          <w:b/>
          <w:color w:val="B45A00"/>
          <w:sz w:val="16"/>
        </w:rPr>
        <w:t>JULGADOS CORRELATOS</w:t>
      </w:r>
    </w:p>
    <w:p>
      <w:pPr>
        <w:ind w:left="288"/>
      </w:pPr>
      <w:r>
        <w:rPr>
          <w:color w:val="8C8C8C"/>
          <w:sz w:val="12"/>
        </w:rPr>
        <w:t>cf-art-84-inc-XXIII</w:t>
      </w:r>
      <w:r>
        <w:rPr>
          <w:color w:val="003CA0"/>
          <w:sz w:val="12"/>
        </w:rPr>
        <w:t xml:space="preserve"> | RE 633.009</w:t>
      </w:r>
      <w:r>
        <w:rPr>
          <w:color w:val="003CA0"/>
          <w:sz w:val="12"/>
        </w:rPr>
        <w:t xml:space="preserve"> | rel. Ricardo Lewandowski</w:t>
      </w:r>
    </w:p>
    <w:p>
      <w:pPr>
        <w:ind w:left="288"/>
      </w:pPr>
      <w:r>
        <w:rPr>
          <w:color w:val="1E1E1E"/>
          <w:sz w:val="18"/>
        </w:rPr>
        <w:t>Esta Corte firmou orientação no sentido da legitimidade de delegação a ministro de Estado da competência do chefe do Executivo Federal para, nos termos do art. 84, XXV, e parágrafo único, da CF, aplicar pena de demissão a servidores públicos federais. (...) Legitimidade da delegação a secretários estaduais da competência do governador do Estado de Goiás para (...) aplicar penalidade de demissão aos servidores do Executivo, tendo em vista o princípio da simetria.</w:t>
      </w:r>
    </w:p>
    <w:p>
      <w:pPr>
        <w:ind w:left="288"/>
      </w:pPr>
      <w:r>
        <w:rPr>
          <w:b/>
          <w:color w:val="003CA0"/>
          <w:sz w:val="16"/>
        </w:rPr>
        <w:t>[RE 633.009 AgR, rel. min. Ricardo Lewandowski, j. 13-9-2011, 2ª T, DJE de 27-9-2011.]</w:t>
      </w:r>
    </w:p>
    <w:p>
      <w:pPr>
        <w:ind w:left="288"/>
      </w:pPr>
      <w:r>
        <w:rPr>
          <w:color w:val="8C8C8C"/>
          <w:sz w:val="12"/>
        </w:rPr>
        <w:t>cf-art-84-inc-XXIII</w:t>
      </w:r>
      <w:r>
        <w:rPr>
          <w:color w:val="003CA0"/>
          <w:sz w:val="12"/>
        </w:rPr>
        <w:t xml:space="preserve"> | RE 608.848</w:t>
      </w:r>
      <w:r>
        <w:rPr>
          <w:color w:val="003CA0"/>
          <w:sz w:val="12"/>
        </w:rPr>
        <w:t xml:space="preserve"> | rel. Teori Zavascki</w:t>
      </w:r>
    </w:p>
    <w:p>
      <w:pPr>
        <w:ind w:left="288"/>
      </w:pPr>
      <w:r>
        <w:rPr>
          <w:color w:val="1E1E1E"/>
          <w:sz w:val="18"/>
        </w:rPr>
        <w:t>= RE 608.848 AgR, rel. min. Teori Zavascki, j. 17-12-2013, 2ª T, DJE de 11-2-2014 Nos termos do parágrafo único do art. 84 da Magna Carta, o presidente da República pode delegar aos ministros de Estado a competência para julgar processos administrativos e aplicar pena de demissão aos servidores públicos federais. Para esse fim é que foi editado o Decreto 3.035/1999.</w:t>
      </w:r>
    </w:p>
    <w:p>
      <w:pPr>
        <w:ind w:left="288"/>
      </w:pPr>
      <w:r>
        <w:rPr>
          <w:b/>
          <w:color w:val="003CA0"/>
          <w:sz w:val="16"/>
        </w:rPr>
        <w:t>[RMS 25.367, rel. min. Ayres Britto, j. 4-10-2005, 1ª T, DJ de 21-10-2005.]</w:t>
      </w:r>
    </w:p>
    <w:p>
      <w:pPr>
        <w:ind w:left="288"/>
      </w:pPr>
      <w:r>
        <w:rPr>
          <w:color w:val="8C8C8C"/>
          <w:sz w:val="12"/>
        </w:rPr>
        <w:t>cf-art-84-inc-XXIII</w:t>
      </w:r>
      <w:r>
        <w:rPr>
          <w:color w:val="003CA0"/>
          <w:sz w:val="12"/>
        </w:rPr>
        <w:t xml:space="preserve"> | RMS 24.619</w:t>
      </w:r>
      <w:r>
        <w:rPr>
          <w:color w:val="003CA0"/>
          <w:sz w:val="12"/>
        </w:rPr>
        <w:t xml:space="preserve"> | rel. Gilmar Mendes</w:t>
      </w:r>
    </w:p>
    <w:p>
      <w:pPr>
        <w:ind w:left="288"/>
      </w:pPr>
      <w:r>
        <w:rPr>
          <w:color w:val="1E1E1E"/>
          <w:sz w:val="18"/>
        </w:rPr>
        <w:t>= RMS 24.619, rel. min. Gilmar Mendes, j. 11-10-2011, 2ª T, DJE de 22-11-2011 Seção III Da Responsabilidade do Presidente da República SUMÁRIO</w:t>
      </w:r>
    </w:p>
    <w:p>
      <w:pPr>
        <w:ind w:left="432"/>
      </w:pPr>
      <w:r>
        <w:rPr>
          <w:color w:val="003366"/>
          <w:sz w:val="18"/>
        </w:rPr>
        <w:t>§ 1 Fica prorrogada, até a data referida no caput deste artigo, a vigência da Le</w:t>
      </w:r>
    </w:p>
    <w:p>
      <w:pPr>
        <w:ind w:left="432"/>
      </w:pPr>
      <w:r>
        <w:rPr>
          <w:color w:val="003366"/>
          <w:sz w:val="18"/>
        </w:rPr>
        <w:t>§ 2 Do produto da arrecadação da contribuição social de que trata este artigo se</w:t>
      </w:r>
    </w:p>
    <w:p>
      <w:pPr>
        <w:ind w:left="720"/>
      </w:pPr>
      <w:r>
        <w:rPr>
          <w:color w:val="003366"/>
          <w:sz w:val="18"/>
        </w:rPr>
        <w:t>I – vinte centésimos por cento ao Fundo Nacional de Saúde, para financiamento da</w:t>
      </w:r>
    </w:p>
    <w:p>
      <w:pPr>
        <w:ind w:left="720"/>
      </w:pPr>
      <w:r>
        <w:rPr>
          <w:color w:val="003366"/>
          <w:sz w:val="18"/>
        </w:rPr>
        <w:t>II – dez centésimos por cento ao custeio da previdência social; (Incluído pela E</w:t>
      </w:r>
    </w:p>
    <w:p>
      <w:pPr>
        <w:ind w:left="720"/>
      </w:pPr>
      <w:r>
        <w:rPr>
          <w:color w:val="003366"/>
          <w:sz w:val="18"/>
        </w:rPr>
        <w:t>III – oito centésimos por cento ao Fundo de Combate e Erradicação da Pobreza, de</w:t>
      </w:r>
    </w:p>
    <w:p>
      <w:pPr>
        <w:ind w:left="432"/>
      </w:pPr>
      <w:r>
        <w:rPr>
          <w:color w:val="003366"/>
          <w:sz w:val="18"/>
        </w:rPr>
        <w:t xml:space="preserve">§ 3 A alíquota da contribuição de que trata este artigo será de: (Incluído pela </w:t>
      </w:r>
    </w:p>
    <w:p>
      <w:pPr>
        <w:ind w:left="720"/>
      </w:pPr>
      <w:r>
        <w:rPr>
          <w:color w:val="003366"/>
          <w:sz w:val="18"/>
        </w:rPr>
        <w:t>I – trinta e oito centésimos por cento, nos exercícios financeiros de 2002 e 200</w:t>
      </w:r>
    </w:p>
    <w:p>
      <w:pPr>
        <w:ind w:left="720"/>
      </w:pPr>
      <w:r>
        <w:rPr>
          <w:color w:val="003366"/>
          <w:sz w:val="18"/>
        </w:rPr>
        <w:t>II – (Revogado pela Emenda Constitucional nº 42, de 19.12.2003)</w:t>
      </w:r>
    </w:p>
    <w:p>
      <w:r>
        <w:rPr>
          <w:b/>
          <w:color w:val="003366"/>
          <w:sz w:val="20"/>
        </w:rPr>
        <w:t>Art. 85 A contribuição a que se refere o art. 84 deste Ato das Disposições Const</w:t>
      </w:r>
      <w:r>
        <w:rPr>
          <w:color w:val="8C8C8C"/>
          <w:sz w:val="14"/>
        </w:rPr>
        <w:t xml:space="preserve">  [6 decisoes]</w:t>
      </w:r>
    </w:p>
    <w:p>
      <w:pPr>
        <w:ind w:left="288"/>
      </w:pPr>
      <w:r>
        <w:rPr>
          <w:color w:val="8C8C8C"/>
          <w:sz w:val="12"/>
        </w:rPr>
        <w:t>cf-art-85-inc-VII</w:t>
      </w:r>
    </w:p>
    <w:p>
      <w:pPr>
        <w:ind w:left="288"/>
      </w:pPr>
      <w:r>
        <w:rPr>
          <w:color w:val="1E1E1E"/>
          <w:sz w:val="18"/>
        </w:rPr>
        <w:t>Parágrafo único. Esses crimes serão definidos em lei especial, que estabelecerá as normas de processo e julgamento.</w:t>
      </w:r>
    </w:p>
    <w:p>
      <w:pPr>
        <w:ind w:left="144"/>
      </w:pPr>
      <w:r>
        <w:rPr>
          <w:b/>
          <w:color w:val="B45A00"/>
          <w:sz w:val="16"/>
        </w:rPr>
        <w:t>SUMULA VINCULANTE</w:t>
      </w:r>
    </w:p>
    <w:p>
      <w:pPr>
        <w:ind w:left="288"/>
      </w:pPr>
      <w:r>
        <w:rPr>
          <w:color w:val="8C8C8C"/>
          <w:sz w:val="12"/>
        </w:rPr>
        <w:t>cf-art-85-inc-VII</w:t>
      </w:r>
    </w:p>
    <w:p>
      <w:pPr>
        <w:ind w:left="288"/>
      </w:pPr>
      <w:r>
        <w:rPr>
          <w:color w:val="1E1E1E"/>
          <w:sz w:val="18"/>
        </w:rPr>
        <w:t>A definição dos crimes de responsabilidade e o estabelecimento das respectivas normas de processo e julgamento são da competência legislativa privativa da União.</w:t>
      </w:r>
    </w:p>
    <w:p>
      <w:pPr>
        <w:ind w:left="288"/>
      </w:pPr>
      <w:r>
        <w:rPr>
          <w:b/>
          <w:color w:val="003CA0"/>
          <w:sz w:val="16"/>
        </w:rPr>
        <w:t>[Súmula Vinculante 46.]</w:t>
      </w:r>
    </w:p>
    <w:p>
      <w:pPr>
        <w:ind w:left="144"/>
      </w:pPr>
      <w:r>
        <w:rPr>
          <w:b/>
          <w:color w:val="B45A00"/>
          <w:sz w:val="16"/>
        </w:rPr>
        <w:t>CONTROLE CONCENTRADO</w:t>
      </w:r>
    </w:p>
    <w:p>
      <w:pPr>
        <w:ind w:left="288"/>
      </w:pPr>
      <w:r>
        <w:rPr>
          <w:color w:val="8C8C8C"/>
          <w:sz w:val="12"/>
        </w:rPr>
        <w:t>cf-art-85-inc-VII</w:t>
      </w:r>
      <w:r>
        <w:rPr>
          <w:color w:val="003CA0"/>
          <w:sz w:val="12"/>
        </w:rPr>
        <w:t xml:space="preserve"> | ADPF 378</w:t>
      </w:r>
    </w:p>
    <w:p>
      <w:pPr>
        <w:ind w:left="288"/>
      </w:pPr>
      <w:r>
        <w:rPr>
          <w:color w:val="1E1E1E"/>
          <w:sz w:val="18"/>
        </w:rPr>
        <w:t>A aplicação subsidiária do Regimento Interno da Câmara dos Deputados e do Senado ao processamento e julgamento do impeachment não viola a reserva de lei especial imposta pelo art. 85, parágrafo único, da Constituição, desde que as normas regimentais sejam compatíveis com os preceitos legais e constitucionais pertinentes, limitando-se a disciplinar questões interna corporis.</w:t>
      </w:r>
    </w:p>
    <w:p>
      <w:pPr>
        <w:ind w:left="288"/>
      </w:pPr>
      <w:r>
        <w:rPr>
          <w:b/>
          <w:color w:val="003CA0"/>
          <w:sz w:val="16"/>
        </w:rPr>
        <w:t>[ADPF 378 MC, red. do ac. min. Roberto Barroso, j. 16-12-2015, P, DJE de 8-3-2016.]</w:t>
      </w:r>
    </w:p>
    <w:p>
      <w:pPr>
        <w:ind w:left="288"/>
      </w:pPr>
      <w:r>
        <w:rPr>
          <w:color w:val="8C8C8C"/>
          <w:sz w:val="12"/>
        </w:rPr>
        <w:t>cf-art-85-inc-VII</w:t>
      </w:r>
      <w:r>
        <w:rPr>
          <w:color w:val="003CA0"/>
          <w:sz w:val="12"/>
        </w:rPr>
        <w:t xml:space="preserve"> | ADI 2.220</w:t>
      </w:r>
      <w:r>
        <w:rPr>
          <w:color w:val="003CA0"/>
          <w:sz w:val="12"/>
        </w:rPr>
        <w:t xml:space="preserve"> | rel. Cármen Lúcia</w:t>
      </w:r>
    </w:p>
    <w:p>
      <w:pPr>
        <w:ind w:left="288"/>
      </w:pPr>
      <w:r>
        <w:rPr>
          <w:color w:val="1E1E1E"/>
          <w:sz w:val="18"/>
        </w:rPr>
        <w:t>A definição das condutas típicas configuradoras do crime de responsabilidade e o estabelecimento de regras que disciplinem o processo e julgamento dos agentes políticos federais, estaduais ou municipais envolvidos são da competência legislativa privativa da União e devem ser tratados em lei nacional especial (art. 85 da Constituição da República).</w:t>
      </w:r>
    </w:p>
    <w:p>
      <w:pPr>
        <w:ind w:left="288"/>
      </w:pPr>
      <w:r>
        <w:rPr>
          <w:b/>
          <w:color w:val="003CA0"/>
          <w:sz w:val="16"/>
        </w:rPr>
        <w:t>[ADI 2.220, rel. min. Cármen Lúcia, j. 16-11-2011, P, DJE de 7-12-2011.]</w:t>
      </w:r>
    </w:p>
    <w:p>
      <w:pPr>
        <w:ind w:left="144"/>
      </w:pPr>
      <w:r>
        <w:rPr>
          <w:b/>
          <w:color w:val="B45A00"/>
          <w:sz w:val="16"/>
        </w:rPr>
        <w:t>JULGADOS CORRELATOS</w:t>
      </w:r>
    </w:p>
    <w:p>
      <w:pPr>
        <w:ind w:left="288"/>
      </w:pPr>
      <w:r>
        <w:rPr>
          <w:color w:val="8C8C8C"/>
          <w:sz w:val="12"/>
        </w:rPr>
        <w:t>cf-art-85-inc-VII</w:t>
      </w:r>
      <w:r>
        <w:rPr>
          <w:color w:val="003CA0"/>
          <w:sz w:val="12"/>
        </w:rPr>
        <w:t xml:space="preserve"> | MS 37.083</w:t>
      </w:r>
      <w:r>
        <w:rPr>
          <w:color w:val="003CA0"/>
          <w:sz w:val="12"/>
        </w:rPr>
        <w:t xml:space="preserve"> | rel. Nunes Marques</w:t>
      </w:r>
    </w:p>
    <w:p>
      <w:pPr>
        <w:ind w:left="288"/>
      </w:pPr>
      <w:r>
        <w:rPr>
          <w:color w:val="1E1E1E"/>
          <w:sz w:val="18"/>
        </w:rPr>
        <w:t>A Constituição Federal e o Regimento Interno da Câmara dos Deputados não preveem a fixação de prazo para que pedido de impeachment seja analisado pelo Presidente daquela Casa Legislativa. Invocar o uso de prazos da legislação administrativa é descabido, uma vez que o procedimento em discussão é eminentemente constitucional, de teor político e subordinado à discricionariedade dos agentes autorizados pela Carta da República.</w:t>
      </w:r>
    </w:p>
    <w:p>
      <w:pPr>
        <w:ind w:left="288"/>
      </w:pPr>
      <w:r>
        <w:rPr>
          <w:b/>
          <w:color w:val="003CA0"/>
          <w:sz w:val="16"/>
        </w:rPr>
        <w:t>[MS 37.083 AgR, rel. min. Nunes Marques, j. 16-8-2022, P, DJE de 26-8-2022.]</w:t>
      </w:r>
    </w:p>
    <w:p>
      <w:pPr>
        <w:ind w:left="288"/>
      </w:pPr>
      <w:r>
        <w:rPr>
          <w:color w:val="8C8C8C"/>
          <w:sz w:val="12"/>
        </w:rPr>
        <w:t>cf-art-85-inc-VII</w:t>
      </w:r>
      <w:r>
        <w:rPr>
          <w:color w:val="003CA0"/>
          <w:sz w:val="12"/>
        </w:rPr>
        <w:t xml:space="preserve"> | MS 21.564</w:t>
      </w:r>
      <w:r>
        <w:rPr>
          <w:color w:val="003CA0"/>
          <w:sz w:val="12"/>
        </w:rPr>
        <w:t xml:space="preserve"> | rel. Carlos Velloso</w:t>
      </w:r>
    </w:p>
    <w:p>
      <w:pPr>
        <w:ind w:left="288"/>
      </w:pPr>
      <w:r>
        <w:rPr>
          <w:color w:val="1E1E1E"/>
          <w:sz w:val="18"/>
        </w:rPr>
        <w:t>O impeachment na Constituição de 1988, no que concerne ao presidente da República: autorizada pela Câmara dos Deputados, por 2/3 de seus membros, a instauração do processo (CF, art. 51, I), ou admitida a acusação (CF, art. 86), o Senado Federal processará e julgará o presidente da República nos crimes de responsabilidade. É dizer: o impeachment do presidente da República será processado e julgado pelo Senado Federal. O Senado e não mais a Câmara dos Deputados formulará a acusação (juízo de pronúncia) e proferirá o julgamento. CF/1988, art. 51, I; art. 52; art. 86, § 1º, II, § 2º (MS 21.564/DF)</w:t>
      </w:r>
    </w:p>
    <w:p>
      <w:pPr>
        <w:ind w:left="288"/>
      </w:pPr>
      <w:r>
        <w:rPr>
          <w:b/>
          <w:color w:val="003CA0"/>
          <w:sz w:val="16"/>
        </w:rPr>
        <w:t>[MS 21.623, rel. min. Carlos Velloso, j. 17-12-1992, P, DJ de 28-5-1993.]</w:t>
      </w:r>
    </w:p>
    <w:p>
      <w:pPr>
        <w:ind w:left="720"/>
      </w:pPr>
      <w:r>
        <w:rPr>
          <w:color w:val="003366"/>
          <w:sz w:val="18"/>
        </w:rPr>
        <w:t>I – em contas correntes de depósito especialmente abertas e exclusivamente utili</w:t>
      </w:r>
    </w:p>
    <w:p>
      <w:pPr>
        <w:ind w:left="1008"/>
      </w:pPr>
      <w:r>
        <w:rPr>
          <w:color w:val="003366"/>
          <w:sz w:val="18"/>
        </w:rPr>
        <w:t>a) câmaras e prestadoras de serviços de compensação e de liquidação de que trata</w:t>
      </w:r>
    </w:p>
    <w:p>
      <w:pPr>
        <w:ind w:left="1008"/>
      </w:pPr>
      <w:r>
        <w:rPr>
          <w:color w:val="003366"/>
          <w:sz w:val="18"/>
        </w:rPr>
        <w:t xml:space="preserve">b) companhias securitizadoras de que trata a Lei nº 9.514, de 20 de novembro de </w:t>
      </w:r>
    </w:p>
    <w:p>
      <w:pPr>
        <w:ind w:left="1008"/>
      </w:pPr>
      <w:r>
        <w:rPr>
          <w:color w:val="003366"/>
          <w:sz w:val="18"/>
        </w:rPr>
        <w:t>c) sociedades anônimas que tenham por objeto exclusivo a aquisição de créditos o</w:t>
      </w:r>
    </w:p>
    <w:p>
      <w:pPr>
        <w:ind w:left="720"/>
      </w:pPr>
      <w:r>
        <w:rPr>
          <w:color w:val="003366"/>
          <w:sz w:val="18"/>
        </w:rPr>
        <w:t>II – em contas correntes de depósito, relativos a: (Incluído pela Emenda Constit</w:t>
      </w:r>
    </w:p>
    <w:p>
      <w:pPr>
        <w:ind w:left="1008"/>
      </w:pPr>
      <w:r>
        <w:rPr>
          <w:color w:val="003366"/>
          <w:sz w:val="18"/>
        </w:rPr>
        <w:t>a) operações de compra e venda de ações, realizadas em recintos ou sistemas de n</w:t>
      </w:r>
    </w:p>
    <w:p>
      <w:pPr>
        <w:ind w:left="1008"/>
      </w:pPr>
      <w:r>
        <w:rPr>
          <w:color w:val="003366"/>
          <w:sz w:val="18"/>
        </w:rPr>
        <w:t>b) contratos referenciados em ações ou índices de ações, em suas diversas modali</w:t>
      </w:r>
    </w:p>
    <w:p>
      <w:pPr>
        <w:ind w:left="720"/>
      </w:pPr>
      <w:r>
        <w:rPr>
          <w:color w:val="003366"/>
          <w:sz w:val="18"/>
        </w:rPr>
        <w:t>III – em contas de investidores estrangeiros, relativos a entradas no País e a r</w:t>
      </w:r>
    </w:p>
    <w:p>
      <w:pPr>
        <w:ind w:left="432"/>
      </w:pPr>
      <w:r>
        <w:rPr>
          <w:color w:val="003366"/>
          <w:sz w:val="18"/>
        </w:rPr>
        <w:t>§ 1 O Poder Executivo disciplinará o disposto neste artigo no prazo de trinta di</w:t>
      </w:r>
    </w:p>
    <w:p>
      <w:pPr>
        <w:ind w:left="432"/>
      </w:pPr>
      <w:r>
        <w:rPr>
          <w:color w:val="003366"/>
          <w:sz w:val="18"/>
        </w:rPr>
        <w:t>§ 2 O disposto no inciso I deste artigo aplica-se somente às operações relaciona</w:t>
      </w:r>
    </w:p>
    <w:p>
      <w:pPr>
        <w:ind w:left="432"/>
      </w:pPr>
      <w:r>
        <w:rPr>
          <w:color w:val="003366"/>
          <w:sz w:val="18"/>
        </w:rPr>
        <w:t>§ 3 O disposto no inciso II deste artigo aplica-se somente a operações e contrat</w:t>
      </w:r>
    </w:p>
    <w:p>
      <w:r>
        <w:rPr>
          <w:b/>
          <w:color w:val="003366"/>
          <w:sz w:val="20"/>
        </w:rPr>
        <w:t>Art. 86 Serão pagos conforme disposto no art. 100 da Constituição Federal, não s</w:t>
      </w:r>
      <w:r>
        <w:rPr>
          <w:color w:val="8C8C8C"/>
          <w:sz w:val="14"/>
        </w:rPr>
        <w:t xml:space="preserve">  [18 decisoes]</w:t>
      </w:r>
    </w:p>
    <w:p>
      <w:pPr>
        <w:ind w:left="144"/>
      </w:pPr>
      <w:r>
        <w:rPr>
          <w:b/>
          <w:color w:val="B45A00"/>
          <w:sz w:val="16"/>
        </w:rPr>
        <w:t>CONTROLE CONCENTRADO</w:t>
      </w:r>
    </w:p>
    <w:p>
      <w:pPr>
        <w:ind w:left="288"/>
      </w:pPr>
      <w:r>
        <w:rPr>
          <w:color w:val="8C8C8C"/>
          <w:sz w:val="12"/>
        </w:rPr>
        <w:t>cf-art-86</w:t>
      </w:r>
      <w:r>
        <w:rPr>
          <w:color w:val="003CA0"/>
          <w:sz w:val="12"/>
        </w:rPr>
        <w:t xml:space="preserve"> | ADI 3.466</w:t>
      </w:r>
      <w:r>
        <w:rPr>
          <w:color w:val="003CA0"/>
          <w:sz w:val="12"/>
        </w:rPr>
        <w:t xml:space="preserve"> | rel. Dias Toffoli</w:t>
      </w:r>
    </w:p>
    <w:p>
      <w:pPr>
        <w:ind w:left="288"/>
      </w:pPr>
      <w:r>
        <w:rPr>
          <w:color w:val="1E1E1E"/>
          <w:sz w:val="18"/>
        </w:rPr>
        <w:t>A concentração do juízo de admissibilidade da acusação e do julgamento dos crimes de responsabilidade do Governador na Assembleia Legislativa do Estado ou na Câmara Legislativa do Distrito Federal ofende a lógica do juízo institucional bifásico, prevista no art. 86 da Constituição. (...) É inconstitucional disposição de Constituição estadual ou Lei Orgânica distrital que, em desacordo com o previsto no art. 78, § 3º, da Lei nº 1.079/1950, atribuam à Assembleia ou Câmara Legislativa o julgamento do Governador por crime de responsabilidade”.</w:t>
        <w:br/>
        <w:t>[ADI 3.466, rel. min. Dias Toffoli, red. do ac. min. R</w:t>
      </w:r>
    </w:p>
    <w:p>
      <w:pPr>
        <w:ind w:left="144"/>
      </w:pPr>
      <w:r>
        <w:rPr>
          <w:b/>
          <w:color w:val="B45A00"/>
          <w:sz w:val="16"/>
        </w:rPr>
        <w:t>JULGADOS CORRELATOS</w:t>
      </w:r>
    </w:p>
    <w:p>
      <w:pPr>
        <w:ind w:left="288"/>
      </w:pPr>
      <w:r>
        <w:rPr>
          <w:color w:val="8C8C8C"/>
          <w:sz w:val="12"/>
        </w:rPr>
        <w:t>cf-art-86</w:t>
      </w:r>
      <w:r>
        <w:rPr>
          <w:color w:val="003CA0"/>
          <w:sz w:val="12"/>
        </w:rPr>
        <w:t xml:space="preserve"> | INQ 4.483</w:t>
      </w:r>
      <w:r>
        <w:rPr>
          <w:color w:val="003CA0"/>
          <w:sz w:val="12"/>
        </w:rPr>
        <w:t xml:space="preserve"> | rel. Edson Fachin</w:t>
      </w:r>
    </w:p>
    <w:p>
      <w:pPr>
        <w:ind w:left="288"/>
      </w:pPr>
      <w:r>
        <w:rPr>
          <w:color w:val="1E1E1E"/>
          <w:sz w:val="18"/>
        </w:rPr>
        <w:t>A imunidade formal prevista nos arts. 86, caput e 51, I, da Constituição Federal tem por finalidade tutelar o regular exercício dos cargos de Presidente da República e de Ministro de Estado, razão pela qual não é extensível a codenunciados que não se encontram investidos em tais funções. Incidência da Súmula 245 do Supremo Tribunal Federal.</w:t>
      </w:r>
    </w:p>
    <w:p>
      <w:pPr>
        <w:ind w:left="288"/>
      </w:pPr>
      <w:r>
        <w:rPr>
          <w:b/>
          <w:color w:val="003CA0"/>
          <w:sz w:val="16"/>
        </w:rPr>
        <w:t>[Inq 4.483 AgR e Inq 4.327 AgR-segundo, rel. min. Edson Fachin, j. 19-12-2017, P, DJE de 9-8-2018.]</w:t>
      </w:r>
    </w:p>
    <w:p>
      <w:pPr>
        <w:ind w:left="288"/>
      </w:pPr>
      <w:r>
        <w:rPr>
          <w:color w:val="8C8C8C"/>
          <w:sz w:val="12"/>
        </w:rPr>
        <w:t>cf-art-86</w:t>
      </w:r>
      <w:r>
        <w:rPr>
          <w:color w:val="003CA0"/>
          <w:sz w:val="12"/>
        </w:rPr>
        <w:t xml:space="preserve"> | AP 595</w:t>
      </w:r>
      <w:r>
        <w:rPr>
          <w:color w:val="003CA0"/>
          <w:sz w:val="12"/>
        </w:rPr>
        <w:t xml:space="preserve"> | rel. Luiz Fux</w:t>
      </w:r>
    </w:p>
    <w:p>
      <w:pPr>
        <w:ind w:left="288"/>
      </w:pPr>
      <w:r>
        <w:rPr>
          <w:color w:val="1E1E1E"/>
          <w:sz w:val="18"/>
        </w:rPr>
        <w:t>O art. 86, caput, da CF, na sua exegese, impõe não seja exigida a admissão, pelo Legislativo, da acusação criminal contra o chefe do Executivo, quando já encerrado o mandato do acusado.</w:t>
        <w:br/>
        <w:t>[AP 595, rel. min. Luiz Fux, j. 25-11-2014, 1ª T, DJE de 10-2-2015.] O STF possui competência originária para processar pedido de explicações formulado com apoio no art. 144 do CP, quando deduzido contra a presidente da República, que dispõe de prerrogativa de foro, ratione muneris, perante esta Corte Suprema, nas infrações penais comuns (CF, art. 86, caput, c/c art. 102, I, b).</w:t>
      </w:r>
    </w:p>
    <w:p>
      <w:pPr>
        <w:ind w:left="288"/>
      </w:pPr>
      <w:r>
        <w:rPr>
          <w:b/>
          <w:color w:val="003CA0"/>
          <w:sz w:val="16"/>
        </w:rPr>
        <w:t>[Pet 5.146, rel. min. Celso de Mello, j. 21-2-2014, dec. monocrática, DJE de 27-2-2014.]</w:t>
      </w:r>
    </w:p>
    <w:p>
      <w:pPr>
        <w:ind w:left="288"/>
      </w:pPr>
      <w:r>
        <w:rPr>
          <w:color w:val="8C8C8C"/>
          <w:sz w:val="12"/>
        </w:rPr>
        <w:t>cf-art-86</w:t>
      </w:r>
      <w:r>
        <w:rPr>
          <w:color w:val="003CA0"/>
          <w:sz w:val="12"/>
        </w:rPr>
        <w:t xml:space="preserve"> | MS 26.062</w:t>
      </w:r>
      <w:r>
        <w:rPr>
          <w:color w:val="003CA0"/>
          <w:sz w:val="12"/>
        </w:rPr>
        <w:t xml:space="preserve"> | rel. Gilmar Mendes</w:t>
      </w:r>
    </w:p>
    <w:p>
      <w:pPr>
        <w:ind w:left="288"/>
      </w:pPr>
      <w:r>
        <w:rPr>
          <w:color w:val="1E1E1E"/>
          <w:sz w:val="18"/>
        </w:rPr>
        <w:t>Oferecimento de denúncia por qualquer cidadão imputando crime de responsabilidade ao presidente da República (...). Impossibilidade de interposição de recurso contra decisão que negou seguimento à denúncia. Ausência de previsão legal (Lei 1.079/1950). A interpretação e a aplicação do Regimento Interno da Câmara dos Deputados constituem matéria interna corporis, insuscetível de apreciação pelo Poder Judiciário.</w:t>
      </w:r>
    </w:p>
    <w:p>
      <w:pPr>
        <w:ind w:left="288"/>
      </w:pPr>
      <w:r>
        <w:rPr>
          <w:b/>
          <w:color w:val="003CA0"/>
          <w:sz w:val="16"/>
        </w:rPr>
        <w:t>[MS 26.062 AgR, rel. min. Gilmar Mendes, j. 10-3-2008, P, DJE de 4-4-2008.]</w:t>
      </w:r>
    </w:p>
    <w:p>
      <w:pPr>
        <w:ind w:left="288"/>
      </w:pPr>
      <w:r>
        <w:rPr>
          <w:color w:val="8C8C8C"/>
          <w:sz w:val="12"/>
        </w:rPr>
        <w:t>cf-art-86</w:t>
      </w:r>
      <w:r>
        <w:rPr>
          <w:color w:val="003CA0"/>
          <w:sz w:val="12"/>
        </w:rPr>
        <w:t xml:space="preserve"> | MS 25.588</w:t>
      </w:r>
      <w:r>
        <w:rPr>
          <w:color w:val="003CA0"/>
          <w:sz w:val="12"/>
        </w:rPr>
        <w:t xml:space="preserve"> | rel. Menezes Direito</w:t>
      </w:r>
    </w:p>
    <w:p>
      <w:pPr>
        <w:ind w:left="288"/>
      </w:pPr>
      <w:r>
        <w:rPr>
          <w:color w:val="1E1E1E"/>
          <w:sz w:val="18"/>
        </w:rPr>
        <w:t>= MS 25.588 AgR, rel. min. Menezes Direito, j. 2-4-2009, P, DJE de 8-5-2009 Impeachment do presidente da República: apresentação da denúncia à Câmara dos Deputados: competência do presidente desta para o exame liminar da idoneidade da denúncia popular, "que não se reduz à verificação das formalidades extrínsecas e da legitimidade de denunciantes e denunciados, mas se pode estender (...) à rejeição imediata da acusação patentemente inepta ou despida de justa causa, sujeitando-se ao controle do Plenário da Casa, mediante recurso (...)". MS 20.941/DF, Sepúlveda Pertence, DJ de 31-8-1992.</w:t>
      </w:r>
    </w:p>
    <w:p>
      <w:pPr>
        <w:ind w:left="288"/>
      </w:pPr>
      <w:r>
        <w:rPr>
          <w:b/>
          <w:color w:val="003CA0"/>
          <w:sz w:val="16"/>
        </w:rPr>
        <w:t>[MS 23.885, rel. min. Carlos Velloso, j. 28-8-2002, P, DJ de 20-9-2002.]</w:t>
      </w:r>
    </w:p>
    <w:p>
      <w:pPr>
        <w:ind w:left="288"/>
      </w:pPr>
      <w:r>
        <w:rPr>
          <w:color w:val="8C8C8C"/>
          <w:sz w:val="12"/>
        </w:rPr>
        <w:t>cf-art-86</w:t>
      </w:r>
      <w:r>
        <w:rPr>
          <w:color w:val="003CA0"/>
          <w:sz w:val="12"/>
        </w:rPr>
        <w:t xml:space="preserve"> | MS 30.672</w:t>
      </w:r>
      <w:r>
        <w:rPr>
          <w:color w:val="003CA0"/>
          <w:sz w:val="12"/>
        </w:rPr>
        <w:t xml:space="preserve"> | rel. Ricardo Lewandowski</w:t>
      </w:r>
    </w:p>
    <w:p>
      <w:pPr>
        <w:ind w:left="288"/>
      </w:pPr>
      <w:r>
        <w:rPr>
          <w:color w:val="1E1E1E"/>
          <w:sz w:val="18"/>
        </w:rPr>
        <w:t>Vide MS 30.672 AgR, rel. min. Ricardo Lewandowski, j. 15-9-2011, P, DJE de 18-10-2011 O impeachment, no Brasil, a partir da Constituição de 1891, segundo o modelo americano, mas com características que o distinguem deste: no Brasil, ao contrário do que ocorre nos Estados Unidos, lei ordinária definirá os crimes de responsabilidade, disciplinará a acusação e estabelecerá o processo e o julgamento. Alteração do direito positivo brasileiro: a Lei 27, de 1892, art. 3º, estabelecia: a) o processo de impeachment somente poderia ser intentado durante o período presidencial; b) intentado, cessaria qua</w:t>
      </w:r>
    </w:p>
    <w:p>
      <w:pPr>
        <w:ind w:left="288"/>
      </w:pPr>
      <w:r>
        <w:rPr>
          <w:b/>
          <w:color w:val="003CA0"/>
          <w:sz w:val="16"/>
        </w:rPr>
        <w:t>[MS 21.689, rel. min. Carlos Velloso, j. 16-12-1993, P, DJ de 7-4-1995.]</w:t>
      </w:r>
    </w:p>
    <w:p>
      <w:pPr>
        <w:ind w:left="288"/>
      </w:pPr>
      <w:r>
        <w:rPr>
          <w:color w:val="8C8C8C"/>
          <w:sz w:val="12"/>
        </w:rPr>
        <w:t>cf-art-86</w:t>
      </w:r>
      <w:r>
        <w:rPr>
          <w:color w:val="003CA0"/>
          <w:sz w:val="12"/>
        </w:rPr>
        <w:t xml:space="preserve"> | MS 21.564</w:t>
      </w:r>
    </w:p>
    <w:p>
      <w:pPr>
        <w:ind w:left="288"/>
      </w:pPr>
      <w:r>
        <w:rPr>
          <w:color w:val="1E1E1E"/>
          <w:sz w:val="18"/>
        </w:rPr>
        <w:t>No regime da Carta de 1988, a Câmara dos Deputados, diante da denúncia oferecida contra o presidente da República, examina a admissibilidade da acusação (CF, art. 86, caput), podendo, portanto, rejeitar a denúncia oferecida na forma do art. 14 da Lei 1.079/1950. No procedimento de admissibilidade da denúncia, a Câmara dos Deputados profere juízo político. Deve ser concedido ao acusado prazo para defesa, defesa que decorre do princípio inscrito no art. 5º, LV, da Constituição, observadas, entretanto, as limitações do fato de a acusação somente materializar-se com a instauração do processo, no S</w:t>
      </w:r>
    </w:p>
    <w:p>
      <w:pPr>
        <w:ind w:left="288"/>
      </w:pPr>
      <w:r>
        <w:rPr>
          <w:b/>
          <w:color w:val="003CA0"/>
          <w:sz w:val="16"/>
        </w:rPr>
        <w:t>[MS 21.564, red. do ac. min. Carlos Velloso, j. 23-9-1992, P, DJ de 27-8-1993.]</w:t>
      </w:r>
    </w:p>
    <w:p>
      <w:pPr>
        <w:ind w:left="144"/>
      </w:pPr>
      <w:r>
        <w:rPr>
          <w:b/>
          <w:color w:val="B45A00"/>
          <w:sz w:val="16"/>
        </w:rPr>
        <w:t>CONTROLE CONCENTRADO</w:t>
      </w:r>
    </w:p>
    <w:p>
      <w:pPr>
        <w:ind w:left="288"/>
      </w:pPr>
      <w:r>
        <w:rPr>
          <w:color w:val="8C8C8C"/>
          <w:sz w:val="12"/>
        </w:rPr>
        <w:t>cf-art-86-par-1-inc-I</w:t>
      </w:r>
      <w:r>
        <w:rPr>
          <w:color w:val="003CA0"/>
          <w:sz w:val="12"/>
        </w:rPr>
        <w:t xml:space="preserve"> | ADPF 402</w:t>
      </w:r>
    </w:p>
    <w:p>
      <w:pPr>
        <w:ind w:left="288"/>
      </w:pPr>
      <w:r>
        <w:rPr>
          <w:color w:val="1E1E1E"/>
          <w:sz w:val="18"/>
        </w:rPr>
        <w:t>Os substitutos eventuais do presidente da República – o presidente da Câmara dos Deputados, o presidente do Senado Federal e o presidente do STF (CF, art. 80) – ficarão unicamente impossibilitados de exercer, em caráter interino, a chefia do Poder Executivo da União, caso ostentem a posição de réus criminais, condição que assumem somente após o recebimento judicial da denúncia ou da queixa-crime (CF, art. 86, § 1º, I). Essa interdição, contudo – por unicamente incidir na hipótese estrita de convocação para o exercício, por substituição, da Presidência da República (CF, art. 80) –, não os imped</w:t>
      </w:r>
    </w:p>
    <w:p>
      <w:pPr>
        <w:ind w:left="288"/>
      </w:pPr>
      <w:r>
        <w:rPr>
          <w:b/>
          <w:color w:val="003CA0"/>
          <w:sz w:val="16"/>
        </w:rPr>
        <w:t>[ADPF 402 MC-REF, red. do ac. min. Celso de Mello, j. 7-12-2016, P, DJE de 29-8-2018.]</w:t>
      </w:r>
    </w:p>
    <w:p>
      <w:pPr>
        <w:ind w:left="144"/>
      </w:pPr>
      <w:r>
        <w:rPr>
          <w:b/>
          <w:color w:val="B45A00"/>
          <w:sz w:val="16"/>
        </w:rPr>
        <w:t>JULGADOS CORRELATOS</w:t>
      </w:r>
    </w:p>
    <w:p>
      <w:pPr>
        <w:ind w:left="288"/>
      </w:pPr>
      <w:r>
        <w:rPr>
          <w:color w:val="8C8C8C"/>
          <w:sz w:val="12"/>
        </w:rPr>
        <w:t>cf-art-86-par-1-inc-I</w:t>
      </w:r>
      <w:r>
        <w:rPr>
          <w:color w:val="003CA0"/>
          <w:sz w:val="12"/>
        </w:rPr>
        <w:t xml:space="preserve"> | INQ 4.483</w:t>
      </w:r>
      <w:r>
        <w:rPr>
          <w:color w:val="003CA0"/>
          <w:sz w:val="12"/>
        </w:rPr>
        <w:t xml:space="preserve"> | rel. Edson Fachin</w:t>
      </w:r>
    </w:p>
    <w:p>
      <w:pPr>
        <w:ind w:left="288"/>
      </w:pPr>
      <w:r>
        <w:rPr>
          <w:color w:val="1E1E1E"/>
          <w:sz w:val="18"/>
        </w:rPr>
        <w:t>O juízo político de admissibilidade por dois terços da Câmara dos Deputados em face de acusação contra o Presidente da República, nos termos da norma constitucional aplicável (CRFB, art. 86, caput), precede a análise jurídica pelo Supremo Tribunal Federal, se assim autorizado for a examinar o recebimento da denúncia, para conhecer e julgar qualquer questão ou matéria defensiva suscitada pelo denunciado.</w:t>
      </w:r>
    </w:p>
    <w:p>
      <w:pPr>
        <w:ind w:left="288"/>
      </w:pPr>
      <w:r>
        <w:rPr>
          <w:b/>
          <w:color w:val="003CA0"/>
          <w:sz w:val="16"/>
        </w:rPr>
        <w:t>[Inq 4.483 QO, rel. min. Edson Fachin, j. 21-9-2017, P, DJE de 13-6-2018.]</w:t>
      </w:r>
    </w:p>
    <w:p>
      <w:pPr>
        <w:ind w:left="144"/>
      </w:pPr>
      <w:r>
        <w:rPr>
          <w:b/>
          <w:color w:val="B45A00"/>
          <w:sz w:val="16"/>
        </w:rPr>
        <w:t>CONTROLE CONCENTRADO</w:t>
      </w:r>
    </w:p>
    <w:p>
      <w:pPr>
        <w:ind w:left="288"/>
      </w:pPr>
      <w:r>
        <w:rPr>
          <w:color w:val="8C8C8C"/>
          <w:sz w:val="12"/>
        </w:rPr>
        <w:t>cf-art-86-par-3</w:t>
      </w:r>
      <w:r>
        <w:rPr>
          <w:color w:val="003CA0"/>
          <w:sz w:val="12"/>
        </w:rPr>
        <w:t xml:space="preserve"> | ADI 1.028</w:t>
      </w:r>
      <w:r>
        <w:rPr>
          <w:color w:val="003CA0"/>
          <w:sz w:val="12"/>
        </w:rPr>
        <w:t xml:space="preserve"> | rel. Néri da Silveira</w:t>
      </w:r>
    </w:p>
    <w:p>
      <w:pPr>
        <w:ind w:left="288"/>
      </w:pPr>
      <w:r>
        <w:rPr>
          <w:color w:val="1E1E1E"/>
          <w:sz w:val="18"/>
        </w:rPr>
        <w:t>Orientação desta Corte, no que concerne ao art. 86, §§ 3º e 4º, da Constituição, na ADI 1.028, de referência à imunidade à prisão cautelar como prerrogativa exclusiva do presidente da República, insuscetível de estender-se aos governadores dos Estados, que institucionalmente não a possuem.</w:t>
      </w:r>
    </w:p>
    <w:p>
      <w:pPr>
        <w:ind w:left="288"/>
      </w:pPr>
      <w:r>
        <w:rPr>
          <w:b/>
          <w:color w:val="003CA0"/>
          <w:sz w:val="16"/>
        </w:rPr>
        <w:t>[ADI 1.634 MC, rel. min. Néri da Silveira, j. 17-9-1997, P, DJ de 8-9-2000.]</w:t>
      </w:r>
    </w:p>
    <w:p>
      <w:pPr>
        <w:ind w:left="288"/>
      </w:pPr>
      <w:r>
        <w:rPr>
          <w:color w:val="8C8C8C"/>
          <w:sz w:val="12"/>
        </w:rPr>
        <w:t>cf-art-86-par-3</w:t>
      </w:r>
      <w:r>
        <w:rPr>
          <w:color w:val="003CA0"/>
          <w:sz w:val="12"/>
        </w:rPr>
        <w:t xml:space="preserve"> | ADI 978</w:t>
      </w:r>
    </w:p>
    <w:p>
      <w:pPr>
        <w:ind w:left="288"/>
      </w:pPr>
      <w:r>
        <w:rPr>
          <w:color w:val="1E1E1E"/>
          <w:sz w:val="18"/>
        </w:rPr>
        <w:t>O Estado-membro, ainda que em norma constante de sua própria Constituição, não dispõe de competência para outorgar ao governador a prerrogativa extraordinária da imunidade à prisão em flagrante, à prisão preventiva e à prisão temporária, pois a disciplinação dessas modalidades de prisão cautelar submete-se, com exclusividade, ao poder normativo da União Federal, por efeito de expressa reserva constitucional de competência definida pela Carta da República. A norma constante da Constituição estadual – que impede a prisão do governador de Estado antes de sua condenação penal definitiva – não se r</w:t>
      </w:r>
    </w:p>
    <w:p>
      <w:pPr>
        <w:ind w:left="288"/>
      </w:pPr>
      <w:r>
        <w:rPr>
          <w:b/>
          <w:color w:val="003CA0"/>
          <w:sz w:val="16"/>
        </w:rPr>
        <w:t>[ADI 978, red. do ac. min. Celso de Mello, j. 19-10-1995, P, DJ de 24-11-1995.]</w:t>
      </w:r>
    </w:p>
    <w:p>
      <w:pPr>
        <w:ind w:left="288"/>
      </w:pPr>
      <w:r>
        <w:rPr>
          <w:color w:val="8C8C8C"/>
          <w:sz w:val="12"/>
        </w:rPr>
        <w:t>cf-art-86-par-3</w:t>
      </w:r>
      <w:r>
        <w:rPr>
          <w:color w:val="003CA0"/>
          <w:sz w:val="12"/>
        </w:rPr>
        <w:t xml:space="preserve"> | HC 102.732</w:t>
      </w:r>
      <w:r>
        <w:rPr>
          <w:color w:val="003CA0"/>
          <w:sz w:val="12"/>
        </w:rPr>
        <w:t xml:space="preserve"> | rel. Marco Aurélio</w:t>
      </w:r>
    </w:p>
    <w:p>
      <w:pPr>
        <w:ind w:left="288"/>
      </w:pPr>
      <w:r>
        <w:rPr>
          <w:color w:val="1E1E1E"/>
          <w:sz w:val="18"/>
        </w:rPr>
        <w:t>= HC 102.732, rel. min. Marco Aurélio, j. 4-3-2010, P, DJE de 7-5-2010</w:t>
      </w:r>
    </w:p>
    <w:p>
      <w:pPr>
        <w:ind w:left="288"/>
      </w:pPr>
      <w:r>
        <w:rPr>
          <w:color w:val="8C8C8C"/>
          <w:sz w:val="12"/>
        </w:rPr>
        <w:t>cf-art-86-par-4</w:t>
      </w:r>
      <w:r>
        <w:rPr>
          <w:color w:val="003CA0"/>
          <w:sz w:val="12"/>
        </w:rPr>
        <w:t xml:space="preserve"> | ADI 1.021</w:t>
      </w:r>
      <w:r>
        <w:rPr>
          <w:color w:val="003CA0"/>
          <w:sz w:val="12"/>
        </w:rPr>
        <w:t xml:space="preserve"> | rel. Celso de Mello</w:t>
      </w:r>
    </w:p>
    <w:p>
      <w:pPr>
        <w:ind w:left="288"/>
      </w:pPr>
      <w:r>
        <w:rPr>
          <w:color w:val="1E1E1E"/>
          <w:sz w:val="18"/>
        </w:rPr>
        <w:t>A imunidade do chefe de Estado à persecução penal deriva de cláusula constitucional exorbitante do direito comum e, por traduzir consequência derrogatória do postulado republicano, só pode ser outorgada pela própria CF.</w:t>
      </w:r>
    </w:p>
    <w:p>
      <w:pPr>
        <w:ind w:left="288"/>
      </w:pPr>
      <w:r>
        <w:rPr>
          <w:b/>
          <w:color w:val="003CA0"/>
          <w:sz w:val="16"/>
        </w:rPr>
        <w:t>[ADI 1.021, rel. min. Celso de Mello, j. 19-10-1995, P, DJ de 24-11-1995.]</w:t>
      </w:r>
    </w:p>
    <w:p>
      <w:pPr>
        <w:ind w:left="288"/>
      </w:pPr>
      <w:r>
        <w:rPr>
          <w:color w:val="8C8C8C"/>
          <w:sz w:val="12"/>
        </w:rPr>
        <w:t>cf-art-86-par-4</w:t>
      </w:r>
      <w:r>
        <w:rPr>
          <w:color w:val="003CA0"/>
          <w:sz w:val="12"/>
        </w:rPr>
        <w:t xml:space="preserve"> | ADI 978</w:t>
      </w:r>
    </w:p>
    <w:p>
      <w:pPr>
        <w:ind w:left="288"/>
      </w:pPr>
      <w:r>
        <w:rPr>
          <w:color w:val="1E1E1E"/>
          <w:sz w:val="18"/>
        </w:rPr>
        <w:t>Os Estados-membros não podem reproduzir em suas próprias constituições o conteúdo normativo dos preceitos inscritos no art. 86, §§ 3º e 4º, da Carta Federal, pois as prerrogativas contempladas nesses preceitos da Lei Fundamental – por serem unicamente compatíveis com a condição institucional de chefe de Estado – são apenas extensíveis ao presidente da República.</w:t>
      </w:r>
    </w:p>
    <w:p>
      <w:pPr>
        <w:ind w:left="288"/>
      </w:pPr>
      <w:r>
        <w:rPr>
          <w:b/>
          <w:color w:val="003CA0"/>
          <w:sz w:val="16"/>
        </w:rPr>
        <w:t>[ADI 978, red. do ac. min. Celso de Mello, j. 19-10-1995, P, DJ de 24-11-1995.]</w:t>
      </w:r>
    </w:p>
    <w:p>
      <w:pPr>
        <w:ind w:left="144"/>
      </w:pPr>
      <w:r>
        <w:rPr>
          <w:b/>
          <w:color w:val="B45A00"/>
          <w:sz w:val="16"/>
        </w:rPr>
        <w:t>JULGADOS CORRELATOS</w:t>
      </w:r>
    </w:p>
    <w:p>
      <w:pPr>
        <w:ind w:left="288"/>
      </w:pPr>
      <w:r>
        <w:rPr>
          <w:color w:val="8C8C8C"/>
          <w:sz w:val="12"/>
        </w:rPr>
        <w:t>cf-art-86-par-4</w:t>
      </w:r>
      <w:r>
        <w:rPr>
          <w:color w:val="003CA0"/>
          <w:sz w:val="12"/>
        </w:rPr>
        <w:t xml:space="preserve"> | INQ 3.983</w:t>
      </w:r>
      <w:r>
        <w:rPr>
          <w:color w:val="003CA0"/>
          <w:sz w:val="12"/>
        </w:rPr>
        <w:t xml:space="preserve"> | rel. Teori Zavascki</w:t>
      </w:r>
    </w:p>
    <w:p>
      <w:pPr>
        <w:ind w:left="288"/>
      </w:pPr>
      <w:r>
        <w:rPr>
          <w:color w:val="1E1E1E"/>
          <w:sz w:val="18"/>
        </w:rPr>
        <w:t>A previsão constitucional do art. 86, § 4º, da Constituição da República se destina expressamente ao chefe do Poder Executivo da União, não autorizando, por sua natureza restritiva, qualquer interpretação que amplie sua incidência a outras autoridades, nomeadamente do Poder Legislativo.</w:t>
      </w:r>
    </w:p>
    <w:p>
      <w:pPr>
        <w:ind w:left="288"/>
      </w:pPr>
      <w:r>
        <w:rPr>
          <w:b/>
          <w:color w:val="003CA0"/>
          <w:sz w:val="16"/>
        </w:rPr>
        <w:t>[Inq 3.983, rel. min. Teori Zavascki, j. 3-3-2016, P, DJE de 12-5-2016.]</w:t>
      </w:r>
    </w:p>
    <w:p>
      <w:pPr>
        <w:ind w:left="288"/>
      </w:pPr>
      <w:r>
        <w:rPr>
          <w:color w:val="8C8C8C"/>
          <w:sz w:val="12"/>
        </w:rPr>
        <w:t>cf-art-86-par-4</w:t>
      </w:r>
      <w:r>
        <w:rPr>
          <w:color w:val="003CA0"/>
          <w:sz w:val="12"/>
        </w:rPr>
        <w:t xml:space="preserve"> | HC 83.154</w:t>
      </w:r>
      <w:r>
        <w:rPr>
          <w:color w:val="003CA0"/>
          <w:sz w:val="12"/>
        </w:rPr>
        <w:t xml:space="preserve"> | rel. Sepúlveda Pertence</w:t>
      </w:r>
    </w:p>
    <w:p>
      <w:pPr>
        <w:ind w:left="288"/>
      </w:pPr>
      <w:r>
        <w:rPr>
          <w:color w:val="1E1E1E"/>
          <w:sz w:val="18"/>
        </w:rPr>
        <w:t>O que o art. 86, § 4º, confere ao presidente da República não é imunidade penal, mas imunidade temporária à persecução penal: nele não se prescreve que o presidente é irresponsável por crimes não funcionais praticados no curso do mandato, mas apenas que, por tais crimes, não poderá ser responsabilizado, enquanto não cesse a investidura na presidência. Da impossibilidade, segundo o art. 86, § 4º, de que, enquanto dure o mandato, tenha curso ou se instaure processo penal contra o presidente da República por crimes não funcionais, decorre que, se o fato é anterior à sua investidura, o Supremo Tri</w:t>
      </w:r>
    </w:p>
    <w:p>
      <w:pPr>
        <w:ind w:left="288"/>
      </w:pPr>
      <w:r>
        <w:rPr>
          <w:b/>
          <w:color w:val="003CA0"/>
          <w:sz w:val="16"/>
        </w:rPr>
        <w:t>[HC 83.154, rel. min. Sepúlveda Pertence, j. 11-9-2003, P, DJ de 21-11-2003.]</w:t>
      </w:r>
    </w:p>
    <w:p>
      <w:pPr>
        <w:ind w:left="288"/>
      </w:pPr>
      <w:r>
        <w:rPr>
          <w:color w:val="8C8C8C"/>
          <w:sz w:val="12"/>
        </w:rPr>
        <w:t>cf-art-86-par-4</w:t>
      </w:r>
      <w:r>
        <w:rPr>
          <w:color w:val="003CA0"/>
          <w:sz w:val="12"/>
        </w:rPr>
        <w:t xml:space="preserve"> | INQ 672</w:t>
      </w:r>
      <w:r>
        <w:rPr>
          <w:color w:val="003CA0"/>
          <w:sz w:val="12"/>
        </w:rPr>
        <w:t xml:space="preserve"> | rel. Celso de Mello</w:t>
      </w:r>
    </w:p>
    <w:p>
      <w:pPr>
        <w:ind w:left="288"/>
      </w:pPr>
      <w:r>
        <w:rPr>
          <w:color w:val="1E1E1E"/>
          <w:sz w:val="18"/>
        </w:rPr>
        <w:t>O art. 86, § 4º, da Constituição, ao outorgar privilégio de ordem político-funcional ao presidente da República, excluiu-o, durante a vigência de seu mandato – e por atos estranhos ao seu exercício –, da possibilidade de ser ele submetido, no plano judicial, a qualquer ação persecutória do Estado. A cláusula de exclusão inscrita nesse preceito da Carta Federal, ao inibir a atividade do poder público, em sede judicial, alcança as infrações penais comuns praticadas em momento anterior ao da investidura no cargo de chefe do Poder Executivo da União, bem assim aquelas praticadas na vigência do man</w:t>
      </w:r>
    </w:p>
    <w:p>
      <w:pPr>
        <w:ind w:left="288"/>
      </w:pPr>
      <w:r>
        <w:rPr>
          <w:b/>
          <w:color w:val="003CA0"/>
          <w:sz w:val="16"/>
        </w:rPr>
        <w:t>[Inq 672 QO, rel. min. Celso de Mello, j. 16-9-1992, P, DJ de 16-4-1993.]</w:t>
      </w:r>
    </w:p>
    <w:p>
      <w:pPr>
        <w:ind w:left="288"/>
      </w:pPr>
      <w:r>
        <w:rPr>
          <w:color w:val="8C8C8C"/>
          <w:sz w:val="12"/>
        </w:rPr>
        <w:t>cf-art-86-par-4</w:t>
      </w:r>
    </w:p>
    <w:p>
      <w:pPr>
        <w:ind w:left="288"/>
      </w:pPr>
      <w:r>
        <w:rPr>
          <w:color w:val="1E1E1E"/>
          <w:sz w:val="18"/>
        </w:rPr>
        <w:t>Seção IV Dos Ministros de Estado SUMÁRIO</w:t>
      </w:r>
    </w:p>
    <w:p>
      <w:pPr>
        <w:ind w:left="720"/>
      </w:pPr>
      <w:r>
        <w:rPr>
          <w:color w:val="003366"/>
          <w:sz w:val="18"/>
        </w:rPr>
        <w:t>I – ter sido objeto de emissão de precatórios judiciários; (Incluído pela Emenda</w:t>
      </w:r>
    </w:p>
    <w:p>
      <w:pPr>
        <w:ind w:left="720"/>
      </w:pPr>
      <w:r>
        <w:rPr>
          <w:color w:val="003366"/>
          <w:sz w:val="18"/>
        </w:rPr>
        <w:t>II – ter sido definidos como de pequeno valor pela lei de que trata o § 3º do ar</w:t>
      </w:r>
    </w:p>
    <w:p>
      <w:pPr>
        <w:ind w:left="720"/>
      </w:pPr>
      <w:r>
        <w:rPr>
          <w:color w:val="003366"/>
          <w:sz w:val="18"/>
        </w:rPr>
        <w:t>III – estar, total ou parcialmente, pendentes de pagamento na data da publicação</w:t>
      </w:r>
    </w:p>
    <w:p>
      <w:pPr>
        <w:ind w:left="432"/>
      </w:pPr>
      <w:r>
        <w:rPr>
          <w:color w:val="003366"/>
          <w:sz w:val="18"/>
        </w:rPr>
        <w:t>§ 1 Os débitos a que se refere o caput deste artigo, ou os respectivos saldos, s</w:t>
      </w:r>
    </w:p>
    <w:p>
      <w:pPr>
        <w:ind w:left="432"/>
      </w:pPr>
      <w:r>
        <w:rPr>
          <w:color w:val="003366"/>
          <w:sz w:val="18"/>
        </w:rPr>
        <w:t>§ 2 Os débitos a que se refere o caput deste artigo, se ainda não tiverem sido o</w:t>
      </w:r>
    </w:p>
    <w:p>
      <w:pPr>
        <w:ind w:left="432"/>
      </w:pPr>
      <w:r>
        <w:rPr>
          <w:color w:val="003366"/>
          <w:sz w:val="18"/>
        </w:rPr>
        <w:t>§ 3 Observada a ordem cronológica de sua apresentação, os débitos de natureza al</w:t>
      </w:r>
    </w:p>
    <w:p>
      <w:r>
        <w:rPr>
          <w:b/>
          <w:color w:val="003366"/>
          <w:sz w:val="20"/>
        </w:rPr>
        <w:t xml:space="preserve">Art. 87 Para efeito do que dispõem o § 3º do art. 100 da Constituição Federal e </w:t>
      </w:r>
      <w:r>
        <w:rPr>
          <w:color w:val="8C8C8C"/>
          <w:sz w:val="14"/>
        </w:rPr>
        <w:t xml:space="preserve">  [11 decisoes]</w:t>
      </w:r>
    </w:p>
    <w:p>
      <w:pPr>
        <w:ind w:left="144"/>
      </w:pPr>
      <w:r>
        <w:rPr>
          <w:b/>
          <w:color w:val="B45A00"/>
          <w:sz w:val="16"/>
        </w:rPr>
        <w:t>JULGADOS CORRELATOS</w:t>
      </w:r>
    </w:p>
    <w:p>
      <w:pPr>
        <w:ind w:left="288"/>
      </w:pPr>
      <w:r>
        <w:rPr>
          <w:color w:val="8C8C8C"/>
          <w:sz w:val="12"/>
        </w:rPr>
        <w:t>cf-art-87</w:t>
      </w:r>
      <w:r>
        <w:rPr>
          <w:color w:val="003CA0"/>
          <w:sz w:val="12"/>
        </w:rPr>
        <w:t xml:space="preserve"> | PET 1.199</w:t>
      </w:r>
      <w:r>
        <w:rPr>
          <w:color w:val="003CA0"/>
          <w:sz w:val="12"/>
        </w:rPr>
        <w:t xml:space="preserve"> | rel. Sepúlveda Pertence</w:t>
      </w:r>
    </w:p>
    <w:p>
      <w:pPr>
        <w:ind w:left="288"/>
      </w:pPr>
      <w:r>
        <w:rPr>
          <w:color w:val="1E1E1E"/>
          <w:sz w:val="18"/>
        </w:rPr>
        <w:t>Para efeito de definição da competência penal originária do STF, não se consideram ministros de Estado os titulares de cargos de natureza especial da estrutura orgânica da Presidência da República, malgrado lhes confira a lei prerrogativas, garantias, vantagens e direitos equivalentes aos dos titulares de ministérios: é o caso do secretário de Comunicação Social da Presidência da República.</w:t>
      </w:r>
    </w:p>
    <w:p>
      <w:pPr>
        <w:ind w:left="288"/>
      </w:pPr>
      <w:r>
        <w:rPr>
          <w:b/>
          <w:color w:val="003CA0"/>
          <w:sz w:val="16"/>
        </w:rPr>
        <w:t>[Pet 1.199 AgR, rel. min. Sepúlveda Pertence, j. 5-5-1999, P, DJ de 25-6-1999.]</w:t>
      </w:r>
    </w:p>
    <w:p>
      <w:pPr>
        <w:ind w:left="144"/>
      </w:pPr>
      <w:r>
        <w:rPr>
          <w:b/>
          <w:color w:val="B45A00"/>
          <w:sz w:val="16"/>
        </w:rPr>
        <w:t>CONTROLE CONCENTRADO</w:t>
      </w:r>
    </w:p>
    <w:p>
      <w:pPr>
        <w:ind w:left="288"/>
      </w:pPr>
      <w:r>
        <w:rPr>
          <w:color w:val="8C8C8C"/>
          <w:sz w:val="12"/>
        </w:rPr>
        <w:t>cf-art-87-par-unico</w:t>
      </w:r>
      <w:r>
        <w:rPr>
          <w:color w:val="003CA0"/>
          <w:sz w:val="12"/>
        </w:rPr>
        <w:t xml:space="preserve"> | ADI 1.397</w:t>
      </w:r>
      <w:r>
        <w:rPr>
          <w:color w:val="003CA0"/>
          <w:sz w:val="12"/>
        </w:rPr>
        <w:t xml:space="preserve"> | rel. Nunes Marques</w:t>
      </w:r>
    </w:p>
    <w:p>
      <w:pPr>
        <w:ind w:left="288"/>
      </w:pPr>
      <w:r>
        <w:rPr>
          <w:color w:val="1E1E1E"/>
          <w:sz w:val="18"/>
        </w:rPr>
        <w:t>A competência dos ministérios é definida primariamente por lei e secundariamente mediante atos do Presidente da República, o qual pode delegar atribuições aos ministros mesmo inexistindo lei expressa a esse respeito (CF, art. 87). Não há garantia constitucional acerca da competência de ministério em face do Presidente da República, visto caber a esse último o exercício superior da administração federal, aí incluído o juízo sobre a melhor forma de disciplinar a atuação dos órgãos e agentes do Poder Executivo (concentração/desconcentração administrativa).</w:t>
      </w:r>
    </w:p>
    <w:p>
      <w:pPr>
        <w:ind w:left="288"/>
      </w:pPr>
      <w:r>
        <w:rPr>
          <w:b/>
          <w:color w:val="003CA0"/>
          <w:sz w:val="16"/>
        </w:rPr>
        <w:t>[ADI 1.397, rel. min. Nunes Marques, j. 16-8-2022, P, DJE de 15-9-2022.]</w:t>
      </w:r>
    </w:p>
    <w:p>
      <w:pPr>
        <w:ind w:left="144"/>
      </w:pPr>
      <w:r>
        <w:rPr>
          <w:b/>
          <w:color w:val="B45A00"/>
          <w:sz w:val="16"/>
        </w:rPr>
        <w:t>JULGADOS CORRELATOS</w:t>
      </w:r>
    </w:p>
    <w:p>
      <w:pPr>
        <w:ind w:left="288"/>
      </w:pPr>
      <w:r>
        <w:rPr>
          <w:color w:val="8C8C8C"/>
          <w:sz w:val="12"/>
        </w:rPr>
        <w:t>cf-art-87-par-unico</w:t>
      </w:r>
      <w:r>
        <w:rPr>
          <w:color w:val="003CA0"/>
          <w:sz w:val="12"/>
        </w:rPr>
        <w:t xml:space="preserve"> | HC 101.528</w:t>
      </w:r>
      <w:r>
        <w:rPr>
          <w:color w:val="003CA0"/>
          <w:sz w:val="12"/>
        </w:rPr>
        <w:t xml:space="preserve"> | rel. Dias Toffoli</w:t>
      </w:r>
    </w:p>
    <w:p>
      <w:pPr>
        <w:ind w:left="288"/>
      </w:pPr>
      <w:r>
        <w:rPr>
          <w:color w:val="1E1E1E"/>
          <w:sz w:val="18"/>
        </w:rPr>
        <w:t>(...) competência desta Suprema Corte para julgamento do presente habeas corpus. Isso porque a competência da expulsão é exclusiva do presidente da República (Lei 6.815/1980, art. 66), com delegação desses poderes ao ministro de Estado da Justiça, a partir do Decreto 3.447/2000 (art. 1º). O fato de o presidente da República delegar ao ministro de Estado da Justiça, mediante ato administrativo por ele próprio assinado, o exercício da competência legal de expulsão de estrangeiro não implica disposição da própria competência.</w:t>
      </w:r>
    </w:p>
    <w:p>
      <w:pPr>
        <w:ind w:left="288"/>
      </w:pPr>
      <w:r>
        <w:rPr>
          <w:b/>
          <w:color w:val="003CA0"/>
          <w:sz w:val="16"/>
        </w:rPr>
        <w:t>[HC 101.528, voto do rel. min. Dias Toffoli, j. 9-12-2010, P, DJE de 22-3-2011.]</w:t>
      </w:r>
    </w:p>
    <w:p>
      <w:pPr>
        <w:ind w:left="288"/>
      </w:pPr>
      <w:r>
        <w:rPr>
          <w:color w:val="8C8C8C"/>
          <w:sz w:val="12"/>
        </w:rPr>
        <w:t>cf-art-87-par-unico</w:t>
      </w:r>
      <w:r>
        <w:rPr>
          <w:color w:val="003CA0"/>
          <w:sz w:val="12"/>
        </w:rPr>
        <w:t xml:space="preserve"> | HC 101.269</w:t>
      </w:r>
      <w:r>
        <w:rPr>
          <w:color w:val="003CA0"/>
          <w:sz w:val="12"/>
        </w:rPr>
        <w:t xml:space="preserve"> | rel. Cármen Lúcia</w:t>
      </w:r>
    </w:p>
    <w:p>
      <w:pPr>
        <w:ind w:left="288"/>
      </w:pPr>
      <w:r>
        <w:rPr>
          <w:color w:val="1E1E1E"/>
          <w:sz w:val="18"/>
        </w:rPr>
        <w:t>Vide HC 101.269, rel. min. Cármen Lúcia, j. 3-8-2010, 1ª T, DJE de 20-8-2010</w:t>
      </w:r>
    </w:p>
    <w:p>
      <w:pPr>
        <w:ind w:left="288"/>
      </w:pPr>
      <w:r>
        <w:rPr>
          <w:color w:val="8C8C8C"/>
          <w:sz w:val="12"/>
        </w:rPr>
        <w:t>cf-art-87-par-unico-inc-I</w:t>
      </w:r>
      <w:r>
        <w:rPr>
          <w:color w:val="003CA0"/>
          <w:sz w:val="12"/>
        </w:rPr>
        <w:t xml:space="preserve"> | MS 23.201</w:t>
      </w:r>
      <w:r>
        <w:rPr>
          <w:color w:val="003CA0"/>
          <w:sz w:val="12"/>
        </w:rPr>
        <w:t xml:space="preserve"> | rel. Ellen Gracie</w:t>
      </w:r>
    </w:p>
    <w:p>
      <w:pPr>
        <w:ind w:left="288"/>
      </w:pPr>
      <w:r>
        <w:rPr>
          <w:color w:val="1E1E1E"/>
          <w:sz w:val="18"/>
        </w:rPr>
        <w:t>O ministro, em decorrência do que dispõe o art. 87, I, da CF, no âmbito do seu ministério, é a autoridade maior. A decisão final a ele pertence. Ademais, os pareceres previstos nos arts. 1º, XIII, 17 e 29, do Regimento Interno da Consultoria Jurídica do Ministério da Justiça (...), por mais abalizados que sejam ou por mais ilustres que sejam seus subscritores, servem, apenas, para orientar o ministro. Se, da análise de todo o processado, o ministro, a quem compete decidir, deles vier a discordar, pode proferir a decisão que reflita sua convicção pessoal.</w:t>
      </w:r>
    </w:p>
    <w:p>
      <w:pPr>
        <w:ind w:left="288"/>
      </w:pPr>
      <w:r>
        <w:rPr>
          <w:b/>
          <w:color w:val="003CA0"/>
          <w:sz w:val="16"/>
        </w:rPr>
        <w:t>[MS 23.201, voto da rel. min. Ellen Gracie, j. 30-6-2005, P, DJ de 19-8-2005.]</w:t>
      </w:r>
    </w:p>
    <w:p>
      <w:pPr>
        <w:ind w:left="288"/>
      </w:pPr>
      <w:r>
        <w:rPr>
          <w:color w:val="8C8C8C"/>
          <w:sz w:val="12"/>
        </w:rPr>
        <w:t>cf-art-87-par-unico-inc-I</w:t>
      </w:r>
      <w:r>
        <w:rPr>
          <w:color w:val="003CA0"/>
          <w:sz w:val="12"/>
        </w:rPr>
        <w:t xml:space="preserve"> | RMS 25.296</w:t>
      </w:r>
      <w:r>
        <w:rPr>
          <w:color w:val="003CA0"/>
          <w:sz w:val="12"/>
        </w:rPr>
        <w:t xml:space="preserve"> | rel. Eros Grau</w:t>
      </w:r>
    </w:p>
    <w:p>
      <w:pPr>
        <w:ind w:left="288"/>
      </w:pPr>
      <w:r>
        <w:rPr>
          <w:color w:val="1E1E1E"/>
          <w:sz w:val="18"/>
        </w:rPr>
        <w:t>= RMS 25.296, rel. min. Eros Grau, j. 9-3-2010, 2ª T, DJE de 14-5-2010 A referenda ministerial, que não se reveste de consequências de ordem processual, projeta-se, quanto aos seus efeitos, numa dimensão estritamente institucional, qualificando-se, sob tal perspectiva, como causa geradora de corresponsabilidade político-administrativa dos ministros de Estado (...). Cumpre ter presente, por isso mesmo, no que concerne à função da referenda ministerial, que esta não se qualifica com requisito indispensável de validade dos decretos presidenciais.</w:t>
      </w:r>
    </w:p>
    <w:p>
      <w:pPr>
        <w:ind w:left="288"/>
      </w:pPr>
      <w:r>
        <w:rPr>
          <w:b/>
          <w:color w:val="003CA0"/>
          <w:sz w:val="16"/>
        </w:rPr>
        <w:t>[MS 22.706 MC, rel. min. Celso de Mello, j. 23-1-1997, dec. monocrática, DJ de 5-2-1997.]</w:t>
      </w:r>
    </w:p>
    <w:p>
      <w:pPr>
        <w:ind w:left="144"/>
      </w:pPr>
      <w:r>
        <w:rPr>
          <w:b/>
          <w:color w:val="B45A00"/>
          <w:sz w:val="16"/>
        </w:rPr>
        <w:t>CONTROLE CONCENTRADO</w:t>
      </w:r>
    </w:p>
    <w:p>
      <w:pPr>
        <w:ind w:left="288"/>
      </w:pPr>
      <w:r>
        <w:rPr>
          <w:color w:val="8C8C8C"/>
          <w:sz w:val="12"/>
        </w:rPr>
        <w:t>cf-art-87-par-unico-inc-II</w:t>
      </w:r>
      <w:r>
        <w:rPr>
          <w:color w:val="003CA0"/>
          <w:sz w:val="12"/>
        </w:rPr>
        <w:t xml:space="preserve"> | ADI 1.075</w:t>
      </w:r>
      <w:r>
        <w:rPr>
          <w:color w:val="003CA0"/>
          <w:sz w:val="12"/>
        </w:rPr>
        <w:t xml:space="preserve"> | rel. Celso de Mello</w:t>
      </w:r>
    </w:p>
    <w:p>
      <w:pPr>
        <w:ind w:left="288"/>
      </w:pPr>
      <w:r>
        <w:rPr>
          <w:color w:val="1E1E1E"/>
          <w:sz w:val="18"/>
        </w:rPr>
        <w:t>A competência regulamentar deferida aos Ministros de Estado, mesmo sendo de segundo grau, possui inquestionável extração constitucional (CF, art. 87, parágrafo único, II), de tal modo que o poder jurídico de expedir instruções para a fiel execução das leis compõe, no quadro do sistema normativo vigente no Brasil, uma prerrogativa que também assiste, “ope constitutionis”, a esses qualificados agentes auxiliares do Chefe do Poder Executivo da União. As instruções regulamentares, quando emanarem de Ministro de Estado, qualificar-se-ão como regulamentos executivos, necessariamente subordinados aos</w:t>
      </w:r>
    </w:p>
    <w:p>
      <w:pPr>
        <w:ind w:left="288"/>
      </w:pPr>
      <w:r>
        <w:rPr>
          <w:b/>
          <w:color w:val="003CA0"/>
          <w:sz w:val="16"/>
        </w:rPr>
        <w:t>[ADI 1.075, rel. min. Celso de Mello, j. 5-10-2020, P, DJE de 19-10-2020.]</w:t>
      </w:r>
    </w:p>
    <w:p>
      <w:pPr>
        <w:ind w:left="288"/>
      </w:pPr>
      <w:r>
        <w:rPr>
          <w:color w:val="8C8C8C"/>
          <w:sz w:val="12"/>
        </w:rPr>
        <w:t>cf-art-87-par-unico-inc-II</w:t>
      </w:r>
      <w:r>
        <w:rPr>
          <w:color w:val="003CA0"/>
          <w:sz w:val="12"/>
        </w:rPr>
        <w:t xml:space="preserve"> | ADPF 509</w:t>
      </w:r>
      <w:r>
        <w:rPr>
          <w:color w:val="003CA0"/>
          <w:sz w:val="12"/>
        </w:rPr>
        <w:t xml:space="preserve"> | rel. Marco Aurélio</w:t>
      </w:r>
    </w:p>
    <w:p>
      <w:pPr>
        <w:ind w:left="288"/>
      </w:pPr>
      <w:r>
        <w:rPr>
          <w:color w:val="1E1E1E"/>
          <w:sz w:val="18"/>
        </w:rPr>
        <w:t>Encerrando portaria, fundamentada na legislação de regência, divulgação de cadastro de empregadores que tenham submetido trabalhadores a condição análoga à de escravo, sem extravasamento das atribuições previstas na Lei Maior, tem-se a higidez constitucional.</w:t>
      </w:r>
    </w:p>
    <w:p>
      <w:pPr>
        <w:ind w:left="288"/>
      </w:pPr>
      <w:r>
        <w:rPr>
          <w:b/>
          <w:color w:val="003CA0"/>
          <w:sz w:val="16"/>
        </w:rPr>
        <w:t>[ADPF 509, rel. min. Marco Aurélio, j. 16-9-2020, P, DJE de 5-10-2020.]</w:t>
      </w:r>
    </w:p>
    <w:p>
      <w:pPr>
        <w:ind w:left="288"/>
      </w:pPr>
      <w:r>
        <w:rPr>
          <w:color w:val="8C8C8C"/>
          <w:sz w:val="12"/>
        </w:rPr>
        <w:t>cf-art-87-par-unico-inc-II</w:t>
      </w:r>
      <w:r>
        <w:rPr>
          <w:color w:val="003CA0"/>
          <w:sz w:val="12"/>
        </w:rPr>
        <w:t xml:space="preserve"> | ADI 3.206</w:t>
      </w:r>
      <w:r>
        <w:rPr>
          <w:color w:val="003CA0"/>
          <w:sz w:val="12"/>
        </w:rPr>
        <w:t xml:space="preserve"> | rel. Marco Aurélio</w:t>
      </w:r>
    </w:p>
    <w:p>
      <w:pPr>
        <w:ind w:left="288"/>
      </w:pPr>
      <w:r>
        <w:rPr>
          <w:color w:val="1E1E1E"/>
          <w:sz w:val="18"/>
        </w:rPr>
        <w:t>A regência das contribuições sindicais há de se fazer mediante lei no sentido formal e material, conflitando com a Carta da República, considerada a forma, portaria do ministro de Estado do Trabalho e Emprego, disciplinando o tema.</w:t>
      </w:r>
    </w:p>
    <w:p>
      <w:pPr>
        <w:ind w:left="288"/>
      </w:pPr>
      <w:r>
        <w:rPr>
          <w:b/>
          <w:color w:val="003CA0"/>
          <w:sz w:val="16"/>
        </w:rPr>
        <w:t>[ADI 3.206, rel. min. Marco Aurélio, j. 14-4-2005, P, DJ de 26-8-2005.]</w:t>
      </w:r>
    </w:p>
    <w:p>
      <w:pPr>
        <w:ind w:left="144"/>
      </w:pPr>
      <w:r>
        <w:rPr>
          <w:b/>
          <w:color w:val="B45A00"/>
          <w:sz w:val="16"/>
        </w:rPr>
        <w:t>JULGADOS CORRELATOS</w:t>
      </w:r>
    </w:p>
    <w:p>
      <w:pPr>
        <w:ind w:left="288"/>
      </w:pPr>
      <w:r>
        <w:rPr>
          <w:color w:val="8C8C8C"/>
          <w:sz w:val="12"/>
        </w:rPr>
        <w:t>cf-art-87-par-unico-inc-II</w:t>
      </w:r>
      <w:r>
        <w:rPr>
          <w:color w:val="003CA0"/>
          <w:sz w:val="12"/>
        </w:rPr>
        <w:t xml:space="preserve"> | RMS 28.487</w:t>
      </w:r>
      <w:r>
        <w:rPr>
          <w:color w:val="003CA0"/>
          <w:sz w:val="12"/>
        </w:rPr>
        <w:t xml:space="preserve"> | rel. Dias Toffoli</w:t>
      </w:r>
    </w:p>
    <w:p>
      <w:pPr>
        <w:ind w:left="288"/>
      </w:pPr>
      <w:r>
        <w:rPr>
          <w:color w:val="1E1E1E"/>
          <w:sz w:val="18"/>
        </w:rPr>
        <w:t>A Câmara de Regulação do Mercado de Medicamentos (CMED) está prevista na Lei 10.742/2003 como órgão técnico necessário à regulação do setor farmacêutico, justificando-se, especialmente, pelas complexidades do mercado de medicamentos. A amplitude da delegação normativa consiste no fundamento fático-jurídico do exercício do poder regulamentar pela administração pública, que deve atuar em consonância com a lei, atendendo à necessidade de regulação do setor farmacêutico e em respeito à dinâmica e às peculiaridades técnicas do mercado de medicamentos.</w:t>
      </w:r>
    </w:p>
    <w:p>
      <w:pPr>
        <w:ind w:left="288"/>
      </w:pPr>
      <w:r>
        <w:rPr>
          <w:b/>
          <w:color w:val="003CA0"/>
          <w:sz w:val="16"/>
        </w:rPr>
        <w:t>[RMS 28.487, rel. min. Dias Toffoli, j. 26-2-2013, 1ª T, DJE de 15-3-2013.]</w:t>
      </w:r>
    </w:p>
    <w:p>
      <w:pPr>
        <w:ind w:left="288"/>
      </w:pPr>
      <w:r>
        <w:rPr>
          <w:color w:val="8C8C8C"/>
          <w:sz w:val="12"/>
        </w:rPr>
        <w:t>cf-art-87-par-unico-inc-II</w:t>
      </w:r>
      <w:r>
        <w:rPr>
          <w:color w:val="003CA0"/>
          <w:sz w:val="12"/>
        </w:rPr>
        <w:t xml:space="preserve"> | PET 4.074</w:t>
      </w:r>
      <w:r>
        <w:rPr>
          <w:color w:val="003CA0"/>
          <w:sz w:val="12"/>
        </w:rPr>
        <w:t xml:space="preserve"> | rel. Cezar Peluso</w:t>
      </w:r>
    </w:p>
    <w:p>
      <w:pPr>
        <w:ind w:left="288"/>
      </w:pPr>
      <w:r>
        <w:rPr>
          <w:color w:val="1E1E1E"/>
          <w:sz w:val="18"/>
        </w:rPr>
        <w:t>Não se conhece de pedido de notificação dirigido a ministro de Estado para cumprimento de lei. Precedentes (Pet 4.074 AgR, 4.081, 4.094, 4.098, 4.103 e 4.105, rel. min. Cezar Peluso, DJE de 27-6-2008).</w:t>
      </w:r>
    </w:p>
    <w:p>
      <w:pPr>
        <w:ind w:left="288"/>
      </w:pPr>
      <w:r>
        <w:rPr>
          <w:b/>
          <w:color w:val="003CA0"/>
          <w:sz w:val="16"/>
        </w:rPr>
        <w:t>[Pet 4.100 AgR, rel. min. Eros Grau, j. 24-4-2008, P, DJE de 27-6-2008.]</w:t>
      </w:r>
    </w:p>
    <w:p>
      <w:pPr>
        <w:ind w:left="720"/>
      </w:pPr>
      <w:r>
        <w:rPr>
          <w:color w:val="003366"/>
          <w:sz w:val="18"/>
        </w:rPr>
        <w:t>I – quarenta salários-mínimos, perante a Fazenda dos Estados e do Distrito Feder</w:t>
      </w:r>
    </w:p>
    <w:p>
      <w:pPr>
        <w:ind w:left="720"/>
      </w:pPr>
      <w:r>
        <w:rPr>
          <w:color w:val="003366"/>
          <w:sz w:val="18"/>
        </w:rPr>
        <w:t>II – trinta salários-mínimos, perante a Fazenda dos Municípios. (Incluído pela E</w:t>
      </w:r>
    </w:p>
    <w:p>
      <w:r>
        <w:rPr>
          <w:b/>
          <w:color w:val="003366"/>
          <w:sz w:val="20"/>
        </w:rPr>
        <w:t>Art. 88 Enquanto lei complementar não disciplinar o disposto nos incisos I e III</w:t>
      </w:r>
      <w:r>
        <w:rPr>
          <w:color w:val="8C8C8C"/>
          <w:sz w:val="14"/>
        </w:rPr>
        <w:t xml:space="preserve">  [1 decisoes]</w:t>
      </w:r>
    </w:p>
    <w:p>
      <w:pPr>
        <w:ind w:left="288"/>
      </w:pPr>
      <w:r>
        <w:rPr>
          <w:color w:val="8C8C8C"/>
          <w:sz w:val="12"/>
        </w:rPr>
        <w:t>cf-art-88</w:t>
      </w:r>
    </w:p>
    <w:p>
      <w:pPr>
        <w:ind w:left="288"/>
      </w:pPr>
      <w:r>
        <w:rPr>
          <w:color w:val="1E1E1E"/>
          <w:sz w:val="18"/>
        </w:rPr>
        <w:t>Seção V Do Conselho da República e do Conselho de Defesa Nacional SUMÁRIO Subseção I - Do Conselho da República</w:t>
      </w:r>
    </w:p>
    <w:p>
      <w:r>
        <w:rPr>
          <w:b/>
          <w:color w:val="003366"/>
          <w:sz w:val="20"/>
        </w:rPr>
        <w:t>Art. 89 Os integrantes da carreira policial militar e os servidores municipais d</w:t>
      </w:r>
      <w:r>
        <w:rPr>
          <w:color w:val="8C8C8C"/>
          <w:sz w:val="14"/>
        </w:rPr>
        <w:t xml:space="preserve">  [2 decisoes]</w:t>
      </w:r>
    </w:p>
    <w:p>
      <w:pPr>
        <w:ind w:left="144"/>
      </w:pPr>
      <w:r>
        <w:rPr>
          <w:b/>
          <w:color w:val="B45A00"/>
          <w:sz w:val="16"/>
        </w:rPr>
        <w:t>CONTROLE CONCENTRADO</w:t>
      </w:r>
    </w:p>
    <w:p>
      <w:pPr>
        <w:ind w:left="288"/>
      </w:pPr>
      <w:r>
        <w:rPr>
          <w:color w:val="8C8C8C"/>
          <w:sz w:val="12"/>
        </w:rPr>
        <w:t>cf-art-89</w:t>
      </w:r>
      <w:r>
        <w:rPr>
          <w:color w:val="003CA0"/>
          <w:sz w:val="12"/>
        </w:rPr>
        <w:t xml:space="preserve"> | ADI 106</w:t>
      </w:r>
    </w:p>
    <w:p>
      <w:pPr>
        <w:ind w:left="288"/>
      </w:pPr>
      <w:r>
        <w:rPr>
          <w:color w:val="1E1E1E"/>
          <w:sz w:val="18"/>
        </w:rPr>
        <w:t>Criação e atribuições de Conselho de Governo em conformidade com a CF. Inconstitucionalidade da inclusão do procurador-geral de Justiça e dos presidentes dos tribunais de justiça e de contas na composição do Conselho de Governo.</w:t>
      </w:r>
    </w:p>
    <w:p>
      <w:pPr>
        <w:ind w:left="288"/>
      </w:pPr>
      <w:r>
        <w:rPr>
          <w:b/>
          <w:color w:val="003CA0"/>
          <w:sz w:val="16"/>
        </w:rPr>
        <w:t>[ADI 106, red. do ac. min. Gilmar Mendes, j. 10-10-2002, P, DJ de 25-11-2005.]</w:t>
      </w:r>
    </w:p>
    <w:p>
      <w:pPr>
        <w:ind w:left="288"/>
      </w:pPr>
      <w:r>
        <w:rPr>
          <w:color w:val="8C8C8C"/>
          <w:sz w:val="12"/>
        </w:rPr>
        <w:t>cf-art-89-inc-VI</w:t>
      </w:r>
    </w:p>
    <w:p>
      <w:pPr>
        <w:ind w:left="288"/>
      </w:pPr>
      <w:r>
        <w:rPr>
          <w:color w:val="1E1E1E"/>
          <w:sz w:val="18"/>
        </w:rPr>
        <w:t>VII - seis cidadãos brasileiros natos, com mais de trinta e cinco anos de idade, sendo dois nomeados pelo Presidente da República, dois eleitos pelo Senado Federal e dois eleitos pela Câmara dos Deputados, todos com mandato de três anos, vedada a recondução.</w:t>
      </w:r>
    </w:p>
    <w:p>
      <w:pPr>
        <w:ind w:left="432"/>
      </w:pPr>
      <w:r>
        <w:rPr>
          <w:color w:val="003366"/>
          <w:sz w:val="18"/>
        </w:rPr>
        <w:t>§ 1 Os membros da Polícia Militar continuarão prestando serviços ao Estado de Ro</w:t>
      </w:r>
    </w:p>
    <w:p>
      <w:pPr>
        <w:ind w:left="432"/>
      </w:pPr>
      <w:r>
        <w:rPr>
          <w:color w:val="003366"/>
          <w:sz w:val="18"/>
        </w:rPr>
        <w:t>§ 2 Os servidores a que se refere o caput continuarão prestando serviços ao Esta</w:t>
      </w:r>
    </w:p>
    <w:p>
      <w:r>
        <w:rPr>
          <w:b/>
          <w:color w:val="003366"/>
          <w:sz w:val="20"/>
        </w:rPr>
        <w:t>Art. 90 O prazo previsto no caput do art. 84 deste Ato das Disposições Constituc</w:t>
      </w:r>
      <w:r>
        <w:rPr>
          <w:color w:val="8C8C8C"/>
          <w:sz w:val="14"/>
        </w:rPr>
        <w:t xml:space="preserve">  [1 decisoes]</w:t>
      </w:r>
    </w:p>
    <w:p>
      <w:pPr>
        <w:ind w:left="288"/>
      </w:pPr>
      <w:r>
        <w:rPr>
          <w:color w:val="8C8C8C"/>
          <w:sz w:val="12"/>
        </w:rPr>
        <w:t>cf-art-90-par-2</w:t>
      </w:r>
    </w:p>
    <w:p>
      <w:pPr>
        <w:ind w:left="288"/>
      </w:pPr>
      <w:r>
        <w:rPr>
          <w:color w:val="1E1E1E"/>
          <w:sz w:val="18"/>
        </w:rPr>
        <w:t>Subseção II - Do Conselho de Defesa Nacional</w:t>
      </w:r>
    </w:p>
    <w:p>
      <w:pPr>
        <w:ind w:left="432"/>
      </w:pPr>
      <w:r>
        <w:rPr>
          <w:color w:val="003366"/>
          <w:sz w:val="18"/>
        </w:rPr>
        <w:t>§ 1 Fica prorrogada, até a data referida no caput deste artigo, a vigência da Le</w:t>
      </w:r>
    </w:p>
    <w:p>
      <w:pPr>
        <w:ind w:left="432"/>
      </w:pPr>
      <w:r>
        <w:rPr>
          <w:color w:val="003366"/>
          <w:sz w:val="18"/>
        </w:rPr>
        <w:t>§ 2 Até a data referida no caput deste artigo, a alíquota da contribuição de que</w:t>
      </w:r>
    </w:p>
    <w:p>
      <w:r>
        <w:rPr>
          <w:b/>
          <w:color w:val="003366"/>
          <w:sz w:val="20"/>
        </w:rPr>
        <w:t>Art. 91 (Revogado pela Emenda Constitucional nº 109, de 2021)</w:t>
      </w:r>
      <w:r>
        <w:rPr>
          <w:color w:val="8C8C8C"/>
          <w:sz w:val="14"/>
        </w:rPr>
        <w:t xml:space="preserve">  [5 decisoes]</w:t>
      </w:r>
    </w:p>
    <w:p>
      <w:pPr>
        <w:ind w:left="144"/>
      </w:pPr>
      <w:r>
        <w:rPr>
          <w:b/>
          <w:color w:val="B45A00"/>
          <w:sz w:val="16"/>
        </w:rPr>
        <w:t>JULGADOS CORRELATOS</w:t>
      </w:r>
    </w:p>
    <w:p>
      <w:pPr>
        <w:ind w:left="288"/>
      </w:pPr>
      <w:r>
        <w:rPr>
          <w:color w:val="8C8C8C"/>
          <w:sz w:val="12"/>
        </w:rPr>
        <w:t>cf-art-91-inc-III</w:t>
      </w:r>
      <w:r>
        <w:rPr>
          <w:color w:val="003CA0"/>
          <w:sz w:val="12"/>
        </w:rPr>
        <w:t xml:space="preserve"> | RE 659.661</w:t>
      </w:r>
      <w:r>
        <w:rPr>
          <w:color w:val="003CA0"/>
          <w:sz w:val="12"/>
        </w:rPr>
        <w:t xml:space="preserve"> | rel. Roberto Barroso</w:t>
      </w:r>
    </w:p>
    <w:p>
      <w:pPr>
        <w:ind w:left="288"/>
      </w:pPr>
      <w:r>
        <w:rPr>
          <w:color w:val="1E1E1E"/>
          <w:sz w:val="18"/>
        </w:rPr>
        <w:t>A questão a ser resolvida consiste na forma de contagem do período de “três anos de atividade jurídica”, exigido no art. 93, I, da Constituição, para o ingresso na magistratura. Por um imperativo de isonomia, nos termos dos arts. 5º e 37 da Constituição, o mesmo critério adotado no art. 5º do Regulamento Geral do Estatuto da Advocacia e da OAB deve ser aplicado à hipótese.</w:t>
      </w:r>
    </w:p>
    <w:p>
      <w:pPr>
        <w:ind w:left="288"/>
      </w:pPr>
      <w:r>
        <w:rPr>
          <w:b/>
          <w:color w:val="003CA0"/>
          <w:sz w:val="16"/>
        </w:rPr>
        <w:t>[RE 659.661 AgR, rel. min. Roberto Barroso, j. 3-10-2022, 1ª T, DJE de 13-10-2022.]</w:t>
      </w:r>
    </w:p>
    <w:p>
      <w:pPr>
        <w:ind w:left="288"/>
      </w:pPr>
      <w:r>
        <w:rPr>
          <w:color w:val="8C8C8C"/>
          <w:sz w:val="12"/>
        </w:rPr>
        <w:t>cf-art-91-par-1-inc-II</w:t>
      </w:r>
    </w:p>
    <w:p>
      <w:pPr>
        <w:ind w:left="288"/>
      </w:pPr>
      <w:r>
        <w:rPr>
          <w:color w:val="1E1E1E"/>
          <w:sz w:val="18"/>
        </w:rPr>
        <w:t>III - propor os critérios e condições de utilização de áreas indispensáveis à segurança do território nacional e opinar sobre seu efetivo uso, especialmente na faixa de fronteira e nas relacionadas com a preservação e a exploração dos recursos naturais de qualquer tipo;</w:t>
      </w:r>
    </w:p>
    <w:p>
      <w:pPr>
        <w:ind w:left="288"/>
      </w:pPr>
      <w:r>
        <w:rPr>
          <w:color w:val="8C8C8C"/>
          <w:sz w:val="12"/>
        </w:rPr>
        <w:t>cf-art-91-par-1-inc-II</w:t>
      </w:r>
      <w:r>
        <w:rPr>
          <w:color w:val="003CA0"/>
          <w:sz w:val="12"/>
        </w:rPr>
        <w:t xml:space="preserve"> | MS 25.483</w:t>
      </w:r>
      <w:r>
        <w:rPr>
          <w:color w:val="003CA0"/>
          <w:sz w:val="12"/>
        </w:rPr>
        <w:t xml:space="preserve"> | rel. Ayres Britto</w:t>
      </w:r>
    </w:p>
    <w:p>
      <w:pPr>
        <w:ind w:left="288"/>
      </w:pPr>
      <w:r>
        <w:rPr>
          <w:color w:val="1E1E1E"/>
          <w:sz w:val="18"/>
        </w:rPr>
        <w:t>Cabe à União demarcar as terras tradicionalmente ocupadas pelos índios (caput do art. 231 da CF). Donde competir ao presidente da República homologar tal demarcação administrativa. A manifestação do Conselho de Defesa Nacional não é requisito de validade da demarcação de terras indígenas, mesmo daquelas situadas em região de fronteira.</w:t>
      </w:r>
    </w:p>
    <w:p>
      <w:pPr>
        <w:ind w:left="288"/>
      </w:pPr>
      <w:r>
        <w:rPr>
          <w:b/>
          <w:color w:val="003CA0"/>
          <w:sz w:val="16"/>
        </w:rPr>
        <w:t>[MS 25.483, rel. min. Ayres Britto, j. 4-6-2007, P, DJ de 14-9-2007.]</w:t>
      </w:r>
    </w:p>
    <w:p>
      <w:pPr>
        <w:ind w:left="288"/>
      </w:pPr>
      <w:r>
        <w:rPr>
          <w:color w:val="8C8C8C"/>
          <w:sz w:val="12"/>
        </w:rPr>
        <w:t>cf-art-91-par-1-inc-II</w:t>
      </w:r>
      <w:r>
        <w:rPr>
          <w:color w:val="003CA0"/>
          <w:sz w:val="12"/>
        </w:rPr>
        <w:t xml:space="preserve"> | MS 24.045</w:t>
      </w:r>
      <w:r>
        <w:rPr>
          <w:color w:val="003CA0"/>
          <w:sz w:val="12"/>
        </w:rPr>
        <w:t xml:space="preserve"> | rel. Joaquim Barbosa</w:t>
      </w:r>
    </w:p>
    <w:p>
      <w:pPr>
        <w:ind w:left="288"/>
      </w:pPr>
      <w:r>
        <w:rPr>
          <w:color w:val="1E1E1E"/>
          <w:sz w:val="18"/>
        </w:rPr>
        <w:t>Vide MS 24.045, rel. min. Joaquim Barbosa, j. 7-4-2005, P, DJ de 14-10-2005</w:t>
      </w:r>
    </w:p>
    <w:p>
      <w:pPr>
        <w:ind w:left="288"/>
      </w:pPr>
      <w:r>
        <w:rPr>
          <w:color w:val="8C8C8C"/>
          <w:sz w:val="12"/>
        </w:rPr>
        <w:t>cf-art-91-par-2</w:t>
      </w:r>
    </w:p>
    <w:p>
      <w:pPr>
        <w:ind w:left="288"/>
      </w:pPr>
      <w:r>
        <w:rPr>
          <w:color w:val="1E1E1E"/>
          <w:sz w:val="18"/>
        </w:rPr>
        <w:t>CAPÍTULO III Do Poder Judiciário SUMÁRIO Seção I Disposições Gerais SUMÁRIO</w:t>
      </w:r>
    </w:p>
    <w:p>
      <w:r>
        <w:rPr>
          <w:b/>
          <w:color w:val="003366"/>
          <w:sz w:val="20"/>
        </w:rPr>
        <w:t>Art. 92 São acrescidos dez anos ao prazo fixado no art. 40 deste Ato das Disposi</w:t>
      </w:r>
      <w:r>
        <w:rPr>
          <w:color w:val="8C8C8C"/>
          <w:sz w:val="14"/>
        </w:rPr>
        <w:t xml:space="preserve">  [7 decisoes]</w:t>
      </w:r>
    </w:p>
    <w:p>
      <w:pPr>
        <w:ind w:left="144"/>
      </w:pPr>
      <w:r>
        <w:rPr>
          <w:b/>
          <w:color w:val="B45A00"/>
          <w:sz w:val="16"/>
        </w:rPr>
        <w:t>CONTROLE CONCENTRADO</w:t>
      </w:r>
    </w:p>
    <w:p>
      <w:pPr>
        <w:ind w:left="288"/>
      </w:pPr>
      <w:r>
        <w:rPr>
          <w:color w:val="8C8C8C"/>
          <w:sz w:val="12"/>
        </w:rPr>
        <w:t>cf-art-92</w:t>
      </w:r>
      <w:r>
        <w:rPr>
          <w:color w:val="003CA0"/>
          <w:sz w:val="12"/>
        </w:rPr>
        <w:t xml:space="preserve"> | ADI 5.415</w:t>
      </w:r>
      <w:r>
        <w:rPr>
          <w:color w:val="003CA0"/>
          <w:sz w:val="12"/>
        </w:rPr>
        <w:t xml:space="preserve"> | rel. Dias Toffoli</w:t>
      </w:r>
    </w:p>
    <w:p>
      <w:pPr>
        <w:ind w:left="288"/>
      </w:pPr>
      <w:r>
        <w:rPr>
          <w:color w:val="1E1E1E"/>
          <w:sz w:val="18"/>
        </w:rPr>
        <w:t>A Lei 13.188/15 estabelece um rito especial para o exercício do direito de resposta. O art. 10 da lei, ao exigir deliberação colegiada para a concessão de efeito suspensivo a decisão de primeiro grau em que se concede ou nega direito de resposta, importa em inobservância ao poder geral de cautela do juiz, contraria a organicidade do Judiciário e subverte a hierarquia que inspira a estrutura desse Poder no texto constitucional, conforme indicado no art. 92 da Constituição Federal.</w:t>
      </w:r>
    </w:p>
    <w:p>
      <w:pPr>
        <w:ind w:left="288"/>
      </w:pPr>
      <w:r>
        <w:rPr>
          <w:b/>
          <w:color w:val="003CA0"/>
          <w:sz w:val="16"/>
        </w:rPr>
        <w:t>[ADI 5.415, rel. min. Dias Toffoli, j. 11-3-2021, P, DJE de 25-5-2021.]</w:t>
      </w:r>
    </w:p>
    <w:p>
      <w:pPr>
        <w:ind w:left="144"/>
      </w:pPr>
      <w:r>
        <w:rPr>
          <w:b/>
          <w:color w:val="B45A00"/>
          <w:sz w:val="16"/>
        </w:rPr>
        <w:t>REPERCUSSAO GERAL</w:t>
      </w:r>
    </w:p>
    <w:p>
      <w:pPr>
        <w:ind w:left="288"/>
      </w:pPr>
      <w:r>
        <w:rPr>
          <w:color w:val="8C8C8C"/>
          <w:sz w:val="12"/>
        </w:rPr>
        <w:t>cf-art-92</w:t>
      </w:r>
      <w:r>
        <w:rPr>
          <w:color w:val="003CA0"/>
          <w:sz w:val="12"/>
        </w:rPr>
        <w:t xml:space="preserve"> | RE 590.409</w:t>
      </w:r>
      <w:r>
        <w:rPr>
          <w:color w:val="003CA0"/>
          <w:sz w:val="12"/>
        </w:rPr>
        <w:t xml:space="preserve"> | rel. Ricardo Lewandowski</w:t>
      </w:r>
    </w:p>
    <w:p>
      <w:pPr>
        <w:ind w:left="288"/>
      </w:pPr>
      <w:r>
        <w:rPr>
          <w:color w:val="1E1E1E"/>
          <w:sz w:val="18"/>
        </w:rPr>
        <w:t>(...) a Constituição não arrola as turmas recursais entre os órgãos do Poder Judiciário, (...) É por essa razão que, contra suas decisões, não cabe recurso especial ao STJ, a teor da Súmula 203 daquela Corte, mas tão somente recurso extraordinário ao STF, nos termos de sua Súmula 640. Isso ocorre, insisto, porque elas constituem órgãos recursais ordinários de última instância relativamente às decisões dos juizados especiais, mas não tribunais, requisito essencial para que se instaure a competência especial do STJ.</w:t>
        <w:br/>
        <w:t>[RE 590.409, voto do rel. min. Ricardo Lewandowski, j. 26-8-2009, P, DJE de 29-1</w:t>
      </w:r>
    </w:p>
    <w:p>
      <w:pPr>
        <w:ind w:left="144"/>
      </w:pPr>
      <w:r>
        <w:rPr>
          <w:b/>
          <w:color w:val="B45A00"/>
          <w:sz w:val="16"/>
        </w:rPr>
        <w:t>CONTROLE CONCENTRADO</w:t>
      </w:r>
    </w:p>
    <w:p>
      <w:pPr>
        <w:ind w:left="288"/>
      </w:pPr>
      <w:r>
        <w:rPr>
          <w:color w:val="8C8C8C"/>
          <w:sz w:val="12"/>
        </w:rPr>
        <w:t>cf-art-92-inc-I</w:t>
      </w:r>
      <w:r>
        <w:rPr>
          <w:color w:val="003CA0"/>
          <w:sz w:val="12"/>
        </w:rPr>
        <w:t xml:space="preserve"> | ADI 4.638</w:t>
      </w:r>
      <w:r>
        <w:rPr>
          <w:color w:val="003CA0"/>
          <w:sz w:val="12"/>
        </w:rPr>
        <w:t xml:space="preserve"> | rel. Marco Aurélio</w:t>
      </w:r>
    </w:p>
    <w:p>
      <w:pPr>
        <w:ind w:left="288"/>
      </w:pPr>
      <w:r>
        <w:rPr>
          <w:color w:val="1E1E1E"/>
          <w:sz w:val="18"/>
        </w:rPr>
        <w:t>(...) esta Suprema Corte em distintas ocasiões já afirmou que o CNJ não é dotado de competência jurisdicional, sendo mero órgão administrativo. Assim sendo, a Resolução 135, ao classificar o CNJ e o CJF de "tribunal", (...) simplesmente disse – até porque mais não poderia dizer – que as normas que nela se contêm aplicam-se também aos referidos órgãos.</w:t>
      </w:r>
    </w:p>
    <w:p>
      <w:pPr>
        <w:ind w:left="288"/>
      </w:pPr>
      <w:r>
        <w:rPr>
          <w:b/>
          <w:color w:val="003CA0"/>
          <w:sz w:val="16"/>
        </w:rPr>
        <w:t>[ADI 4.638 MC-REF, rel. min. Marco Aurélio, voto do min. Ricardo Lewandowski, j. 8-2-2012, P, DJE de 30-10-2014.]</w:t>
      </w:r>
    </w:p>
    <w:p>
      <w:pPr>
        <w:ind w:left="288"/>
      </w:pPr>
      <w:r>
        <w:rPr>
          <w:color w:val="8C8C8C"/>
          <w:sz w:val="12"/>
        </w:rPr>
        <w:t>cf-art-92-inc-I</w:t>
      </w:r>
      <w:r>
        <w:rPr>
          <w:color w:val="003CA0"/>
          <w:sz w:val="12"/>
        </w:rPr>
        <w:t xml:space="preserve"> | ADC 12</w:t>
      </w:r>
      <w:r>
        <w:rPr>
          <w:color w:val="003CA0"/>
          <w:sz w:val="12"/>
        </w:rPr>
        <w:t xml:space="preserve"> | rel. Ayres Britto</w:t>
      </w:r>
    </w:p>
    <w:p>
      <w:pPr>
        <w:ind w:left="288"/>
      </w:pPr>
      <w:r>
        <w:rPr>
          <w:color w:val="1E1E1E"/>
          <w:sz w:val="18"/>
        </w:rPr>
        <w:t xml:space="preserve">Os condicionamentos impostos pela Resolução 7/2000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 estranho ao Poder Judiciário (art. 92, CF) e não está a submeter esse Poder à autoridade de nenhum </w:t>
      </w:r>
    </w:p>
    <w:p>
      <w:pPr>
        <w:ind w:left="288"/>
      </w:pPr>
      <w:r>
        <w:rPr>
          <w:b/>
          <w:color w:val="003CA0"/>
          <w:sz w:val="16"/>
        </w:rPr>
        <w:t>[ADC 12, rel. min. Ayres Britto, j. 20-8-2008, P, DJE de 18-12-2009.]</w:t>
      </w:r>
    </w:p>
    <w:p>
      <w:pPr>
        <w:ind w:left="288"/>
      </w:pPr>
      <w:r>
        <w:rPr>
          <w:color w:val="8C8C8C"/>
          <w:sz w:val="12"/>
        </w:rPr>
        <w:t>cf-art-92-inc-I</w:t>
      </w:r>
      <w:r>
        <w:rPr>
          <w:color w:val="003CA0"/>
          <w:sz w:val="12"/>
        </w:rPr>
        <w:t xml:space="preserve"> | ADI 3.367</w:t>
      </w:r>
      <w:r>
        <w:rPr>
          <w:color w:val="003CA0"/>
          <w:sz w:val="12"/>
        </w:rPr>
        <w:t xml:space="preserve"> | rel. Cezar Peluso</w:t>
      </w:r>
    </w:p>
    <w:p>
      <w:pPr>
        <w:ind w:left="288"/>
      </w:pPr>
      <w:r>
        <w:rPr>
          <w:color w:val="1E1E1E"/>
          <w:sz w:val="18"/>
        </w:rPr>
        <w:t>São constitucionais as normas que, introduzidas pela EC 45, de 8-12-2004, instituem e disciplinam o CNJ, como órgão administrativo do Poder Judiciário nacional. Poder Judiciário. Caráter nacional. Regime orgânico unitário. Controle administrativo, financeiro e disciplinar. Órgão interno ou externo. Conselho de Justiça. Criação por Estado-membro. Inadmissibilidade. Falta de competência constitucional. Os Estados-membros carecem de competência constitucional para instituir, como órgão interno ou externo do Judiciário, conselho destinado ao controle da atividade administrativa, financeira ou disc</w:t>
      </w:r>
    </w:p>
    <w:p>
      <w:pPr>
        <w:ind w:left="288"/>
      </w:pPr>
      <w:r>
        <w:rPr>
          <w:b/>
          <w:color w:val="003CA0"/>
          <w:sz w:val="16"/>
        </w:rPr>
        <w:t>[ADI 3.367, rel. min. Cezar Peluso, j. 13-4-2005, P, DJ de 22-9-2006.]</w:t>
      </w:r>
    </w:p>
    <w:p>
      <w:pPr>
        <w:ind w:left="144"/>
      </w:pPr>
      <w:r>
        <w:rPr>
          <w:b/>
          <w:color w:val="B45A00"/>
          <w:sz w:val="16"/>
        </w:rPr>
        <w:t>JULGADOS CORRELATOS</w:t>
      </w:r>
    </w:p>
    <w:p>
      <w:pPr>
        <w:ind w:left="288"/>
      </w:pPr>
      <w:r>
        <w:rPr>
          <w:color w:val="8C8C8C"/>
          <w:sz w:val="12"/>
        </w:rPr>
        <w:t>cf-art-92-inc-I</w:t>
      </w:r>
      <w:r>
        <w:rPr>
          <w:color w:val="003CA0"/>
          <w:sz w:val="12"/>
        </w:rPr>
        <w:t xml:space="preserve"> | MS 31.631</w:t>
      </w:r>
      <w:r>
        <w:rPr>
          <w:color w:val="003CA0"/>
          <w:sz w:val="12"/>
        </w:rPr>
        <w:t xml:space="preserve"> | rel. Marco Aurélio</w:t>
      </w:r>
    </w:p>
    <w:p>
      <w:pPr>
        <w:ind w:left="288"/>
      </w:pPr>
      <w:r>
        <w:rPr>
          <w:color w:val="1E1E1E"/>
          <w:sz w:val="18"/>
        </w:rPr>
        <w:t>Consoante se extrai do sítio eletrônico do CNJ, o programa Justiça Plena “monitora e dá transparência ao andamento de processos de grande repercussão social”. Considerados coordenadores e participantes, atuam no plano de monitoramento o Ministério da Justiça, o CNJ, a AGU, a Secretaria de Direitos Humanos, o Conselho Nacional do Ministério Público, a OAB, as Defensorias Públicas da União e dos Estados e a Procuradoria Federal dos Direitos do Cidadão. O acesso às informações acontece por meio do Sistema de Acompanhamento de Processos de Relevância Social (SAPRS) e é permitido apenas aos represe</w:t>
      </w:r>
    </w:p>
    <w:p>
      <w:pPr>
        <w:ind w:left="288"/>
      </w:pPr>
      <w:r>
        <w:rPr>
          <w:color w:val="8C8C8C"/>
          <w:sz w:val="12"/>
        </w:rPr>
        <w:t>cf-art-92-par-2</w:t>
      </w:r>
      <w:r>
        <w:rPr>
          <w:color w:val="003CA0"/>
          <w:sz w:val="12"/>
        </w:rPr>
        <w:t xml:space="preserve"> | HC 102.041</w:t>
      </w:r>
      <w:r>
        <w:rPr>
          <w:color w:val="003CA0"/>
          <w:sz w:val="12"/>
        </w:rPr>
        <w:t xml:space="preserve"> | rel. Celso de Mello</w:t>
      </w:r>
    </w:p>
    <w:p>
      <w:pPr>
        <w:ind w:left="288"/>
      </w:pPr>
      <w:r>
        <w:rPr>
          <w:color w:val="1E1E1E"/>
          <w:sz w:val="18"/>
        </w:rPr>
        <w:t>Ressalvadas as hipóteses previstas em tratados, convenções e regras de direito internacional, os órgãos integrantes do Poder Judiciário brasileiro acham-se delimitados, quanto ao exercício da atividade jurisdicional, pelo conceito – que é eminentemente jurídico – de território. É que a prática da jurisdição, por efeito de autolimitação imposta pelo próprio legislador doméstico de cada Estado nacional, submete-se, em regra, ao âmbito de validade espacial do ordenamento positivo interno. O conceito de jurisdição encerra não só a ideia de potestas, mas supõe, também, a noção de imperium, a eviden</w:t>
      </w:r>
    </w:p>
    <w:p>
      <w:pPr>
        <w:ind w:left="288"/>
      </w:pPr>
      <w:r>
        <w:rPr>
          <w:b/>
          <w:color w:val="003CA0"/>
          <w:sz w:val="16"/>
        </w:rPr>
        <w:t>[HC 102.041, rel. min. Celso de Mello, j. 20-4-2010, 2ª T, DJE de 20-8-2010.]</w:t>
      </w:r>
    </w:p>
    <w:p>
      <w:r>
        <w:rPr>
          <w:b/>
          <w:color w:val="003366"/>
          <w:sz w:val="20"/>
        </w:rPr>
        <w:t>Art. 92 A. São acrescidos 50 (cinquenta) anos ao prazo fixado pelo art. 92 deste</w:t>
      </w:r>
      <w:r>
        <w:rPr>
          <w:color w:val="8C8C8C"/>
          <w:sz w:val="14"/>
        </w:rPr>
        <w:t xml:space="preserve">  [7 decisoes]</w:t>
      </w:r>
    </w:p>
    <w:p>
      <w:pPr>
        <w:ind w:left="144"/>
      </w:pPr>
      <w:r>
        <w:rPr>
          <w:b/>
          <w:color w:val="B45A00"/>
          <w:sz w:val="16"/>
        </w:rPr>
        <w:t>CONTROLE CONCENTRADO</w:t>
      </w:r>
    </w:p>
    <w:p>
      <w:pPr>
        <w:ind w:left="288"/>
      </w:pPr>
      <w:r>
        <w:rPr>
          <w:color w:val="8C8C8C"/>
          <w:sz w:val="12"/>
        </w:rPr>
        <w:t>cf-art-92</w:t>
      </w:r>
      <w:r>
        <w:rPr>
          <w:color w:val="003CA0"/>
          <w:sz w:val="12"/>
        </w:rPr>
        <w:t xml:space="preserve"> | ADI 5.415</w:t>
      </w:r>
      <w:r>
        <w:rPr>
          <w:color w:val="003CA0"/>
          <w:sz w:val="12"/>
        </w:rPr>
        <w:t xml:space="preserve"> | rel. Dias Toffoli</w:t>
      </w:r>
    </w:p>
    <w:p>
      <w:pPr>
        <w:ind w:left="288"/>
      </w:pPr>
      <w:r>
        <w:rPr>
          <w:color w:val="1E1E1E"/>
          <w:sz w:val="18"/>
        </w:rPr>
        <w:t>A Lei 13.188/15 estabelece um rito especial para o exercício do direito de resposta. O art. 10 da lei, ao exigir deliberação colegiada para a concessão de efeito suspensivo a decisão de primeiro grau em que se concede ou nega direito de resposta, importa em inobservância ao poder geral de cautela do juiz, contraria a organicidade do Judiciário e subverte a hierarquia que inspira a estrutura desse Poder no texto constitucional, conforme indicado no art. 92 da Constituição Federal.</w:t>
      </w:r>
    </w:p>
    <w:p>
      <w:pPr>
        <w:ind w:left="288"/>
      </w:pPr>
      <w:r>
        <w:rPr>
          <w:b/>
          <w:color w:val="003CA0"/>
          <w:sz w:val="16"/>
        </w:rPr>
        <w:t>[ADI 5.415, rel. min. Dias Toffoli, j. 11-3-2021, P, DJE de 25-5-2021.]</w:t>
      </w:r>
    </w:p>
    <w:p>
      <w:pPr>
        <w:ind w:left="144"/>
      </w:pPr>
      <w:r>
        <w:rPr>
          <w:b/>
          <w:color w:val="B45A00"/>
          <w:sz w:val="16"/>
        </w:rPr>
        <w:t>REPERCUSSAO GERAL</w:t>
      </w:r>
    </w:p>
    <w:p>
      <w:pPr>
        <w:ind w:left="288"/>
      </w:pPr>
      <w:r>
        <w:rPr>
          <w:color w:val="8C8C8C"/>
          <w:sz w:val="12"/>
        </w:rPr>
        <w:t>cf-art-92</w:t>
      </w:r>
      <w:r>
        <w:rPr>
          <w:color w:val="003CA0"/>
          <w:sz w:val="12"/>
        </w:rPr>
        <w:t xml:space="preserve"> | RE 590.409</w:t>
      </w:r>
      <w:r>
        <w:rPr>
          <w:color w:val="003CA0"/>
          <w:sz w:val="12"/>
        </w:rPr>
        <w:t xml:space="preserve"> | rel. Ricardo Lewandowski</w:t>
      </w:r>
    </w:p>
    <w:p>
      <w:pPr>
        <w:ind w:left="288"/>
      </w:pPr>
      <w:r>
        <w:rPr>
          <w:color w:val="1E1E1E"/>
          <w:sz w:val="18"/>
        </w:rPr>
        <w:t>(...) a Constituição não arrola as turmas recursais entre os órgãos do Poder Judiciário, (...) É por essa razão que, contra suas decisões, não cabe recurso especial ao STJ, a teor da Súmula 203 daquela Corte, mas tão somente recurso extraordinário ao STF, nos termos de sua Súmula 640. Isso ocorre, insisto, porque elas constituem órgãos recursais ordinários de última instância relativamente às decisões dos juizados especiais, mas não tribunais, requisito essencial para que se instaure a competência especial do STJ.</w:t>
        <w:br/>
        <w:t>[RE 590.409, voto do rel. min. Ricardo Lewandowski, j. 26-8-2009, P, DJE de 29-1</w:t>
      </w:r>
    </w:p>
    <w:p>
      <w:pPr>
        <w:ind w:left="144"/>
      </w:pPr>
      <w:r>
        <w:rPr>
          <w:b/>
          <w:color w:val="B45A00"/>
          <w:sz w:val="16"/>
        </w:rPr>
        <w:t>CONTROLE CONCENTRADO</w:t>
      </w:r>
    </w:p>
    <w:p>
      <w:pPr>
        <w:ind w:left="288"/>
      </w:pPr>
      <w:r>
        <w:rPr>
          <w:color w:val="8C8C8C"/>
          <w:sz w:val="12"/>
        </w:rPr>
        <w:t>cf-art-92-inc-I</w:t>
      </w:r>
      <w:r>
        <w:rPr>
          <w:color w:val="003CA0"/>
          <w:sz w:val="12"/>
        </w:rPr>
        <w:t xml:space="preserve"> | ADI 4.638</w:t>
      </w:r>
      <w:r>
        <w:rPr>
          <w:color w:val="003CA0"/>
          <w:sz w:val="12"/>
        </w:rPr>
        <w:t xml:space="preserve"> | rel. Marco Aurélio</w:t>
      </w:r>
    </w:p>
    <w:p>
      <w:pPr>
        <w:ind w:left="288"/>
      </w:pPr>
      <w:r>
        <w:rPr>
          <w:color w:val="1E1E1E"/>
          <w:sz w:val="18"/>
        </w:rPr>
        <w:t>(...) esta Suprema Corte em distintas ocasiões já afirmou que o CNJ não é dotado de competência jurisdicional, sendo mero órgão administrativo. Assim sendo, a Resolução 135, ao classificar o CNJ e o CJF de "tribunal", (...) simplesmente disse – até porque mais não poderia dizer – que as normas que nela se contêm aplicam-se também aos referidos órgãos.</w:t>
      </w:r>
    </w:p>
    <w:p>
      <w:pPr>
        <w:ind w:left="288"/>
      </w:pPr>
      <w:r>
        <w:rPr>
          <w:b/>
          <w:color w:val="003CA0"/>
          <w:sz w:val="16"/>
        </w:rPr>
        <w:t>[ADI 4.638 MC-REF, rel. min. Marco Aurélio, voto do min. Ricardo Lewandowski, j. 8-2-2012, P, DJE de 30-10-2014.]</w:t>
      </w:r>
    </w:p>
    <w:p>
      <w:pPr>
        <w:ind w:left="288"/>
      </w:pPr>
      <w:r>
        <w:rPr>
          <w:color w:val="8C8C8C"/>
          <w:sz w:val="12"/>
        </w:rPr>
        <w:t>cf-art-92-inc-I</w:t>
      </w:r>
      <w:r>
        <w:rPr>
          <w:color w:val="003CA0"/>
          <w:sz w:val="12"/>
        </w:rPr>
        <w:t xml:space="preserve"> | ADC 12</w:t>
      </w:r>
      <w:r>
        <w:rPr>
          <w:color w:val="003CA0"/>
          <w:sz w:val="12"/>
        </w:rPr>
        <w:t xml:space="preserve"> | rel. Ayres Britto</w:t>
      </w:r>
    </w:p>
    <w:p>
      <w:pPr>
        <w:ind w:left="288"/>
      </w:pPr>
      <w:r>
        <w:rPr>
          <w:color w:val="1E1E1E"/>
          <w:sz w:val="18"/>
        </w:rPr>
        <w:t xml:space="preserve">Os condicionamentos impostos pela Resolução 7/2000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 estranho ao Poder Judiciário (art. 92, CF) e não está a submeter esse Poder à autoridade de nenhum </w:t>
      </w:r>
    </w:p>
    <w:p>
      <w:pPr>
        <w:ind w:left="288"/>
      </w:pPr>
      <w:r>
        <w:rPr>
          <w:b/>
          <w:color w:val="003CA0"/>
          <w:sz w:val="16"/>
        </w:rPr>
        <w:t>[ADC 12, rel. min. Ayres Britto, j. 20-8-2008, P, DJE de 18-12-2009.]</w:t>
      </w:r>
    </w:p>
    <w:p>
      <w:pPr>
        <w:ind w:left="288"/>
      </w:pPr>
      <w:r>
        <w:rPr>
          <w:color w:val="8C8C8C"/>
          <w:sz w:val="12"/>
        </w:rPr>
        <w:t>cf-art-92-inc-I</w:t>
      </w:r>
      <w:r>
        <w:rPr>
          <w:color w:val="003CA0"/>
          <w:sz w:val="12"/>
        </w:rPr>
        <w:t xml:space="preserve"> | ADI 3.367</w:t>
      </w:r>
      <w:r>
        <w:rPr>
          <w:color w:val="003CA0"/>
          <w:sz w:val="12"/>
        </w:rPr>
        <w:t xml:space="preserve"> | rel. Cezar Peluso</w:t>
      </w:r>
    </w:p>
    <w:p>
      <w:pPr>
        <w:ind w:left="288"/>
      </w:pPr>
      <w:r>
        <w:rPr>
          <w:color w:val="1E1E1E"/>
          <w:sz w:val="18"/>
        </w:rPr>
        <w:t>São constitucionais as normas que, introduzidas pela EC 45, de 8-12-2004, instituem e disciplinam o CNJ, como órgão administrativo do Poder Judiciário nacional. Poder Judiciário. Caráter nacional. Regime orgânico unitário. Controle administrativo, financeiro e disciplinar. Órgão interno ou externo. Conselho de Justiça. Criação por Estado-membro. Inadmissibilidade. Falta de competência constitucional. Os Estados-membros carecem de competência constitucional para instituir, como órgão interno ou externo do Judiciário, conselho destinado ao controle da atividade administrativa, financeira ou disc</w:t>
      </w:r>
    </w:p>
    <w:p>
      <w:pPr>
        <w:ind w:left="288"/>
      </w:pPr>
      <w:r>
        <w:rPr>
          <w:b/>
          <w:color w:val="003CA0"/>
          <w:sz w:val="16"/>
        </w:rPr>
        <w:t>[ADI 3.367, rel. min. Cezar Peluso, j. 13-4-2005, P, DJ de 22-9-2006.]</w:t>
      </w:r>
    </w:p>
    <w:p>
      <w:pPr>
        <w:ind w:left="144"/>
      </w:pPr>
      <w:r>
        <w:rPr>
          <w:b/>
          <w:color w:val="B45A00"/>
          <w:sz w:val="16"/>
        </w:rPr>
        <w:t>JULGADOS CORRELATOS</w:t>
      </w:r>
    </w:p>
    <w:p>
      <w:pPr>
        <w:ind w:left="288"/>
      </w:pPr>
      <w:r>
        <w:rPr>
          <w:color w:val="8C8C8C"/>
          <w:sz w:val="12"/>
        </w:rPr>
        <w:t>cf-art-92-inc-I</w:t>
      </w:r>
      <w:r>
        <w:rPr>
          <w:color w:val="003CA0"/>
          <w:sz w:val="12"/>
        </w:rPr>
        <w:t xml:space="preserve"> | MS 31.631</w:t>
      </w:r>
      <w:r>
        <w:rPr>
          <w:color w:val="003CA0"/>
          <w:sz w:val="12"/>
        </w:rPr>
        <w:t xml:space="preserve"> | rel. Marco Aurélio</w:t>
      </w:r>
    </w:p>
    <w:p>
      <w:pPr>
        <w:ind w:left="288"/>
      </w:pPr>
      <w:r>
        <w:rPr>
          <w:color w:val="1E1E1E"/>
          <w:sz w:val="18"/>
        </w:rPr>
        <w:t>Consoante se extrai do sítio eletrônico do CNJ, o programa Justiça Plena “monitora e dá transparência ao andamento de processos de grande repercussão social”. Considerados coordenadores e participantes, atuam no plano de monitoramento o Ministério da Justiça, o CNJ, a AGU, a Secretaria de Direitos Humanos, o Conselho Nacional do Ministério Público, a OAB, as Defensorias Públicas da União e dos Estados e a Procuradoria Federal dos Direitos do Cidadão. O acesso às informações acontece por meio do Sistema de Acompanhamento de Processos de Relevância Social (SAPRS) e é permitido apenas aos represe</w:t>
      </w:r>
    </w:p>
    <w:p>
      <w:pPr>
        <w:ind w:left="288"/>
      </w:pPr>
      <w:r>
        <w:rPr>
          <w:color w:val="8C8C8C"/>
          <w:sz w:val="12"/>
        </w:rPr>
        <w:t>cf-art-92-par-2</w:t>
      </w:r>
      <w:r>
        <w:rPr>
          <w:color w:val="003CA0"/>
          <w:sz w:val="12"/>
        </w:rPr>
        <w:t xml:space="preserve"> | HC 102.041</w:t>
      </w:r>
      <w:r>
        <w:rPr>
          <w:color w:val="003CA0"/>
          <w:sz w:val="12"/>
        </w:rPr>
        <w:t xml:space="preserve"> | rel. Celso de Mello</w:t>
      </w:r>
    </w:p>
    <w:p>
      <w:pPr>
        <w:ind w:left="288"/>
      </w:pPr>
      <w:r>
        <w:rPr>
          <w:color w:val="1E1E1E"/>
          <w:sz w:val="18"/>
        </w:rPr>
        <w:t>Ressalvadas as hipóteses previstas em tratados, convenções e regras de direito internacional, os órgãos integrantes do Poder Judiciário brasileiro acham-se delimitados, quanto ao exercício da atividade jurisdicional, pelo conceito – que é eminentemente jurídico – de território. É que a prática da jurisdição, por efeito de autolimitação imposta pelo próprio legislador doméstico de cada Estado nacional, submete-se, em regra, ao âmbito de validade espacial do ordenamento positivo interno. O conceito de jurisdição encerra não só a ideia de potestas, mas supõe, também, a noção de imperium, a eviden</w:t>
      </w:r>
    </w:p>
    <w:p>
      <w:pPr>
        <w:ind w:left="288"/>
      </w:pPr>
      <w:r>
        <w:rPr>
          <w:b/>
          <w:color w:val="003CA0"/>
          <w:sz w:val="16"/>
        </w:rPr>
        <w:t>[HC 102.041, rel. min. Celso de Mello, j. 20-4-2010, 2ª T, DJE de 20-8-2010.]</w:t>
      </w:r>
    </w:p>
    <w:p>
      <w:r>
        <w:rPr>
          <w:b/>
          <w:color w:val="003366"/>
          <w:sz w:val="20"/>
        </w:rPr>
        <w:t>Art. 92 B. As leis instituidoras dos tributos previstos nos arts. 156-A e 195, V</w:t>
      </w:r>
      <w:r>
        <w:rPr>
          <w:color w:val="8C8C8C"/>
          <w:sz w:val="14"/>
        </w:rPr>
        <w:t xml:space="preserve">  [7 decisoes]</w:t>
      </w:r>
    </w:p>
    <w:p>
      <w:pPr>
        <w:ind w:left="144"/>
      </w:pPr>
      <w:r>
        <w:rPr>
          <w:b/>
          <w:color w:val="B45A00"/>
          <w:sz w:val="16"/>
        </w:rPr>
        <w:t>CONTROLE CONCENTRADO</w:t>
      </w:r>
    </w:p>
    <w:p>
      <w:pPr>
        <w:ind w:left="288"/>
      </w:pPr>
      <w:r>
        <w:rPr>
          <w:color w:val="8C8C8C"/>
          <w:sz w:val="12"/>
        </w:rPr>
        <w:t>cf-art-92</w:t>
      </w:r>
      <w:r>
        <w:rPr>
          <w:color w:val="003CA0"/>
          <w:sz w:val="12"/>
        </w:rPr>
        <w:t xml:space="preserve"> | ADI 5.415</w:t>
      </w:r>
      <w:r>
        <w:rPr>
          <w:color w:val="003CA0"/>
          <w:sz w:val="12"/>
        </w:rPr>
        <w:t xml:space="preserve"> | rel. Dias Toffoli</w:t>
      </w:r>
    </w:p>
    <w:p>
      <w:pPr>
        <w:ind w:left="288"/>
      </w:pPr>
      <w:r>
        <w:rPr>
          <w:color w:val="1E1E1E"/>
          <w:sz w:val="18"/>
        </w:rPr>
        <w:t>A Lei 13.188/15 estabelece um rito especial para o exercício do direito de resposta. O art. 10 da lei, ao exigir deliberação colegiada para a concessão de efeito suspensivo a decisão de primeiro grau em que se concede ou nega direito de resposta, importa em inobservância ao poder geral de cautela do juiz, contraria a organicidade do Judiciário e subverte a hierarquia que inspira a estrutura desse Poder no texto constitucional, conforme indicado no art. 92 da Constituição Federal.</w:t>
      </w:r>
    </w:p>
    <w:p>
      <w:pPr>
        <w:ind w:left="288"/>
      </w:pPr>
      <w:r>
        <w:rPr>
          <w:b/>
          <w:color w:val="003CA0"/>
          <w:sz w:val="16"/>
        </w:rPr>
        <w:t>[ADI 5.415, rel. min. Dias Toffoli, j. 11-3-2021, P, DJE de 25-5-2021.]</w:t>
      </w:r>
    </w:p>
    <w:p>
      <w:pPr>
        <w:ind w:left="144"/>
      </w:pPr>
      <w:r>
        <w:rPr>
          <w:b/>
          <w:color w:val="B45A00"/>
          <w:sz w:val="16"/>
        </w:rPr>
        <w:t>REPERCUSSAO GERAL</w:t>
      </w:r>
    </w:p>
    <w:p>
      <w:pPr>
        <w:ind w:left="288"/>
      </w:pPr>
      <w:r>
        <w:rPr>
          <w:color w:val="8C8C8C"/>
          <w:sz w:val="12"/>
        </w:rPr>
        <w:t>cf-art-92</w:t>
      </w:r>
      <w:r>
        <w:rPr>
          <w:color w:val="003CA0"/>
          <w:sz w:val="12"/>
        </w:rPr>
        <w:t xml:space="preserve"> | RE 590.409</w:t>
      </w:r>
      <w:r>
        <w:rPr>
          <w:color w:val="003CA0"/>
          <w:sz w:val="12"/>
        </w:rPr>
        <w:t xml:space="preserve"> | rel. Ricardo Lewandowski</w:t>
      </w:r>
    </w:p>
    <w:p>
      <w:pPr>
        <w:ind w:left="288"/>
      </w:pPr>
      <w:r>
        <w:rPr>
          <w:color w:val="1E1E1E"/>
          <w:sz w:val="18"/>
        </w:rPr>
        <w:t>(...) a Constituição não arrola as turmas recursais entre os órgãos do Poder Judiciário, (...) É por essa razão que, contra suas decisões, não cabe recurso especial ao STJ, a teor da Súmula 203 daquela Corte, mas tão somente recurso extraordinário ao STF, nos termos de sua Súmula 640. Isso ocorre, insisto, porque elas constituem órgãos recursais ordinários de última instância relativamente às decisões dos juizados especiais, mas não tribunais, requisito essencial para que se instaure a competência especial do STJ.</w:t>
        <w:br/>
        <w:t>[RE 590.409, voto do rel. min. Ricardo Lewandowski, j. 26-8-2009, P, DJE de 29-1</w:t>
      </w:r>
    </w:p>
    <w:p>
      <w:pPr>
        <w:ind w:left="144"/>
      </w:pPr>
      <w:r>
        <w:rPr>
          <w:b/>
          <w:color w:val="B45A00"/>
          <w:sz w:val="16"/>
        </w:rPr>
        <w:t>CONTROLE CONCENTRADO</w:t>
      </w:r>
    </w:p>
    <w:p>
      <w:pPr>
        <w:ind w:left="288"/>
      </w:pPr>
      <w:r>
        <w:rPr>
          <w:color w:val="8C8C8C"/>
          <w:sz w:val="12"/>
        </w:rPr>
        <w:t>cf-art-92-inc-I</w:t>
      </w:r>
      <w:r>
        <w:rPr>
          <w:color w:val="003CA0"/>
          <w:sz w:val="12"/>
        </w:rPr>
        <w:t xml:space="preserve"> | ADI 4.638</w:t>
      </w:r>
      <w:r>
        <w:rPr>
          <w:color w:val="003CA0"/>
          <w:sz w:val="12"/>
        </w:rPr>
        <w:t xml:space="preserve"> | rel. Marco Aurélio</w:t>
      </w:r>
    </w:p>
    <w:p>
      <w:pPr>
        <w:ind w:left="288"/>
      </w:pPr>
      <w:r>
        <w:rPr>
          <w:color w:val="1E1E1E"/>
          <w:sz w:val="18"/>
        </w:rPr>
        <w:t>(...) esta Suprema Corte em distintas ocasiões já afirmou que o CNJ não é dotado de competência jurisdicional, sendo mero órgão administrativo. Assim sendo, a Resolução 135, ao classificar o CNJ e o CJF de "tribunal", (...) simplesmente disse – até porque mais não poderia dizer – que as normas que nela se contêm aplicam-se também aos referidos órgãos.</w:t>
      </w:r>
    </w:p>
    <w:p>
      <w:pPr>
        <w:ind w:left="288"/>
      </w:pPr>
      <w:r>
        <w:rPr>
          <w:b/>
          <w:color w:val="003CA0"/>
          <w:sz w:val="16"/>
        </w:rPr>
        <w:t>[ADI 4.638 MC-REF, rel. min. Marco Aurélio, voto do min. Ricardo Lewandowski, j. 8-2-2012, P, DJE de 30-10-2014.]</w:t>
      </w:r>
    </w:p>
    <w:p>
      <w:pPr>
        <w:ind w:left="288"/>
      </w:pPr>
      <w:r>
        <w:rPr>
          <w:color w:val="8C8C8C"/>
          <w:sz w:val="12"/>
        </w:rPr>
        <w:t>cf-art-92-inc-I</w:t>
      </w:r>
      <w:r>
        <w:rPr>
          <w:color w:val="003CA0"/>
          <w:sz w:val="12"/>
        </w:rPr>
        <w:t xml:space="preserve"> | ADC 12</w:t>
      </w:r>
      <w:r>
        <w:rPr>
          <w:color w:val="003CA0"/>
          <w:sz w:val="12"/>
        </w:rPr>
        <w:t xml:space="preserve"> | rel. Ayres Britto</w:t>
      </w:r>
    </w:p>
    <w:p>
      <w:pPr>
        <w:ind w:left="288"/>
      </w:pPr>
      <w:r>
        <w:rPr>
          <w:color w:val="1E1E1E"/>
          <w:sz w:val="18"/>
        </w:rPr>
        <w:t xml:space="preserve">Os condicionamentos impostos pela Resolução 7/2000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 estranho ao Poder Judiciário (art. 92, CF) e não está a submeter esse Poder à autoridade de nenhum </w:t>
      </w:r>
    </w:p>
    <w:p>
      <w:pPr>
        <w:ind w:left="288"/>
      </w:pPr>
      <w:r>
        <w:rPr>
          <w:b/>
          <w:color w:val="003CA0"/>
          <w:sz w:val="16"/>
        </w:rPr>
        <w:t>[ADC 12, rel. min. Ayres Britto, j. 20-8-2008, P, DJE de 18-12-2009.]</w:t>
      </w:r>
    </w:p>
    <w:p>
      <w:pPr>
        <w:ind w:left="288"/>
      </w:pPr>
      <w:r>
        <w:rPr>
          <w:color w:val="8C8C8C"/>
          <w:sz w:val="12"/>
        </w:rPr>
        <w:t>cf-art-92-inc-I</w:t>
      </w:r>
      <w:r>
        <w:rPr>
          <w:color w:val="003CA0"/>
          <w:sz w:val="12"/>
        </w:rPr>
        <w:t xml:space="preserve"> | ADI 3.367</w:t>
      </w:r>
      <w:r>
        <w:rPr>
          <w:color w:val="003CA0"/>
          <w:sz w:val="12"/>
        </w:rPr>
        <w:t xml:space="preserve"> | rel. Cezar Peluso</w:t>
      </w:r>
    </w:p>
    <w:p>
      <w:pPr>
        <w:ind w:left="288"/>
      </w:pPr>
      <w:r>
        <w:rPr>
          <w:color w:val="1E1E1E"/>
          <w:sz w:val="18"/>
        </w:rPr>
        <w:t>São constitucionais as normas que, introduzidas pela EC 45, de 8-12-2004, instituem e disciplinam o CNJ, como órgão administrativo do Poder Judiciário nacional. Poder Judiciário. Caráter nacional. Regime orgânico unitário. Controle administrativo, financeiro e disciplinar. Órgão interno ou externo. Conselho de Justiça. Criação por Estado-membro. Inadmissibilidade. Falta de competência constitucional. Os Estados-membros carecem de competência constitucional para instituir, como órgão interno ou externo do Judiciário, conselho destinado ao controle da atividade administrativa, financeira ou disc</w:t>
      </w:r>
    </w:p>
    <w:p>
      <w:pPr>
        <w:ind w:left="288"/>
      </w:pPr>
      <w:r>
        <w:rPr>
          <w:b/>
          <w:color w:val="003CA0"/>
          <w:sz w:val="16"/>
        </w:rPr>
        <w:t>[ADI 3.367, rel. min. Cezar Peluso, j. 13-4-2005, P, DJ de 22-9-2006.]</w:t>
      </w:r>
    </w:p>
    <w:p>
      <w:pPr>
        <w:ind w:left="144"/>
      </w:pPr>
      <w:r>
        <w:rPr>
          <w:b/>
          <w:color w:val="B45A00"/>
          <w:sz w:val="16"/>
        </w:rPr>
        <w:t>JULGADOS CORRELATOS</w:t>
      </w:r>
    </w:p>
    <w:p>
      <w:pPr>
        <w:ind w:left="288"/>
      </w:pPr>
      <w:r>
        <w:rPr>
          <w:color w:val="8C8C8C"/>
          <w:sz w:val="12"/>
        </w:rPr>
        <w:t>cf-art-92-inc-I</w:t>
      </w:r>
      <w:r>
        <w:rPr>
          <w:color w:val="003CA0"/>
          <w:sz w:val="12"/>
        </w:rPr>
        <w:t xml:space="preserve"> | MS 31.631</w:t>
      </w:r>
      <w:r>
        <w:rPr>
          <w:color w:val="003CA0"/>
          <w:sz w:val="12"/>
        </w:rPr>
        <w:t xml:space="preserve"> | rel. Marco Aurélio</w:t>
      </w:r>
    </w:p>
    <w:p>
      <w:pPr>
        <w:ind w:left="288"/>
      </w:pPr>
      <w:r>
        <w:rPr>
          <w:color w:val="1E1E1E"/>
          <w:sz w:val="18"/>
        </w:rPr>
        <w:t>Consoante se extrai do sítio eletrônico do CNJ, o programa Justiça Plena “monitora e dá transparência ao andamento de processos de grande repercussão social”. Considerados coordenadores e participantes, atuam no plano de monitoramento o Ministério da Justiça, o CNJ, a AGU, a Secretaria de Direitos Humanos, o Conselho Nacional do Ministério Público, a OAB, as Defensorias Públicas da União e dos Estados e a Procuradoria Federal dos Direitos do Cidadão. O acesso às informações acontece por meio do Sistema de Acompanhamento de Processos de Relevância Social (SAPRS) e é permitido apenas aos represe</w:t>
      </w:r>
    </w:p>
    <w:p>
      <w:pPr>
        <w:ind w:left="288"/>
      </w:pPr>
      <w:r>
        <w:rPr>
          <w:color w:val="8C8C8C"/>
          <w:sz w:val="12"/>
        </w:rPr>
        <w:t>cf-art-92-par-2</w:t>
      </w:r>
      <w:r>
        <w:rPr>
          <w:color w:val="003CA0"/>
          <w:sz w:val="12"/>
        </w:rPr>
        <w:t xml:space="preserve"> | HC 102.041</w:t>
      </w:r>
      <w:r>
        <w:rPr>
          <w:color w:val="003CA0"/>
          <w:sz w:val="12"/>
        </w:rPr>
        <w:t xml:space="preserve"> | rel. Celso de Mello</w:t>
      </w:r>
    </w:p>
    <w:p>
      <w:pPr>
        <w:ind w:left="288"/>
      </w:pPr>
      <w:r>
        <w:rPr>
          <w:color w:val="1E1E1E"/>
          <w:sz w:val="18"/>
        </w:rPr>
        <w:t>Ressalvadas as hipóteses previstas em tratados, convenções e regras de direito internacional, os órgãos integrantes do Poder Judiciário brasileiro acham-se delimitados, quanto ao exercício da atividade jurisdicional, pelo conceito – que é eminentemente jurídico – de território. É que a prática da jurisdição, por efeito de autolimitação imposta pelo próprio legislador doméstico de cada Estado nacional, submete-se, em regra, ao âmbito de validade espacial do ordenamento positivo interno. O conceito de jurisdição encerra não só a ideia de potestas, mas supõe, também, a noção de imperium, a eviden</w:t>
      </w:r>
    </w:p>
    <w:p>
      <w:pPr>
        <w:ind w:left="288"/>
      </w:pPr>
      <w:r>
        <w:rPr>
          <w:b/>
          <w:color w:val="003CA0"/>
          <w:sz w:val="16"/>
        </w:rPr>
        <w:t>[HC 102.041, rel. min. Celso de Mello, j. 20-4-2010, 2ª T, DJE de 20-8-2010.]</w:t>
      </w:r>
    </w:p>
    <w:p>
      <w:pPr>
        <w:ind w:left="432"/>
      </w:pPr>
      <w:r>
        <w:rPr>
          <w:color w:val="003366"/>
          <w:sz w:val="18"/>
        </w:rPr>
        <w:t>§ 1 Para assegurar o disposto no caput, serão utilizados, isolada ou cumulativam</w:t>
      </w:r>
    </w:p>
    <w:p>
      <w:pPr>
        <w:ind w:left="432"/>
      </w:pPr>
      <w:r>
        <w:rPr>
          <w:color w:val="003366"/>
          <w:sz w:val="18"/>
        </w:rPr>
        <w:t>§ 2 Lei complementar instituirá Fundo de Sustentabilidade e Diversificação Econô</w:t>
      </w:r>
    </w:p>
    <w:p>
      <w:pPr>
        <w:ind w:left="432"/>
      </w:pPr>
      <w:r>
        <w:rPr>
          <w:color w:val="003366"/>
          <w:sz w:val="18"/>
        </w:rPr>
        <w:t>§ 3 A lei complementar de que trata o § 2º: (Incluído pela Emenda Constitucional</w:t>
      </w:r>
    </w:p>
    <w:p>
      <w:pPr>
        <w:ind w:left="720"/>
      </w:pPr>
      <w:r>
        <w:rPr>
          <w:color w:val="003366"/>
          <w:sz w:val="18"/>
        </w:rPr>
        <w:t>I – estabelecerá o montante mínimo de aporte anual de recursos ao Fundo, bem com</w:t>
      </w:r>
    </w:p>
    <w:p>
      <w:pPr>
        <w:ind w:left="720"/>
      </w:pPr>
      <w:r>
        <w:rPr>
          <w:color w:val="003366"/>
          <w:sz w:val="18"/>
        </w:rPr>
        <w:t xml:space="preserve">II – preverá a possibilidade de utilização dos recursos do Fundo para compensar </w:t>
      </w:r>
    </w:p>
    <w:p>
      <w:pPr>
        <w:ind w:left="432"/>
      </w:pPr>
      <w:r>
        <w:rPr>
          <w:color w:val="003366"/>
          <w:sz w:val="18"/>
        </w:rPr>
        <w:t xml:space="preserve">§ 4 A União, mediante acordo com o Estado do Amazonas, poderá reduzir o alcance </w:t>
      </w:r>
    </w:p>
    <w:p>
      <w:pPr>
        <w:ind w:left="432"/>
      </w:pPr>
      <w:r>
        <w:rPr>
          <w:color w:val="003366"/>
          <w:sz w:val="18"/>
        </w:rPr>
        <w:t>§ 5 Não se aplica aos mecanismos previstos no caput o disposto nos incisos III e</w:t>
      </w:r>
    </w:p>
    <w:p>
      <w:pPr>
        <w:ind w:left="432"/>
      </w:pPr>
      <w:r>
        <w:rPr>
          <w:color w:val="003366"/>
          <w:sz w:val="18"/>
        </w:rPr>
        <w:t>§ 6 Lei complementar instituirá Fundo de Desenvolvimento Sustentável dos Estados</w:t>
      </w:r>
    </w:p>
    <w:p>
      <w:pPr>
        <w:ind w:left="432"/>
      </w:pPr>
      <w:r>
        <w:rPr>
          <w:color w:val="003366"/>
          <w:sz w:val="18"/>
        </w:rPr>
        <w:t>§ 7 O Fundo de que trata o § 6º será integrado pelos Estados onde estão localiza</w:t>
      </w:r>
    </w:p>
    <w:p>
      <w:r>
        <w:rPr>
          <w:b/>
          <w:color w:val="003366"/>
          <w:sz w:val="20"/>
        </w:rPr>
        <w:t>Art. 93 A vigência do disposto no art. 159, III, e § 4º, iniciará somente após a</w:t>
      </w:r>
      <w:r>
        <w:rPr>
          <w:color w:val="8C8C8C"/>
          <w:sz w:val="14"/>
        </w:rPr>
        <w:t xml:space="preserve">  [153 decisoes]</w:t>
      </w:r>
    </w:p>
    <w:p>
      <w:pPr>
        <w:ind w:left="144"/>
      </w:pPr>
      <w:r>
        <w:rPr>
          <w:b/>
          <w:color w:val="B45A00"/>
          <w:sz w:val="16"/>
        </w:rPr>
        <w:t>CONTROLE CONCENTRADO</w:t>
      </w:r>
    </w:p>
    <w:p>
      <w:pPr>
        <w:ind w:left="288"/>
      </w:pPr>
      <w:r>
        <w:rPr>
          <w:color w:val="8C8C8C"/>
          <w:sz w:val="12"/>
        </w:rPr>
        <w:t>cf-art-93</w:t>
      </w:r>
      <w:r>
        <w:rPr>
          <w:color w:val="003CA0"/>
          <w:sz w:val="12"/>
        </w:rPr>
        <w:t xml:space="preserve"> | ADI 2.952</w:t>
      </w:r>
      <w:r>
        <w:rPr>
          <w:color w:val="003CA0"/>
          <w:sz w:val="12"/>
        </w:rPr>
        <w:t xml:space="preserve"> | rel. Gilmar Mendes</w:t>
      </w:r>
    </w:p>
    <w:p>
      <w:pPr>
        <w:ind w:left="288"/>
      </w:pPr>
      <w:r>
        <w:rPr>
          <w:color w:val="1E1E1E"/>
          <w:sz w:val="18"/>
        </w:rPr>
        <w:t>Lei 1.856/91, do Estado do Rio de Janeiro. Benefício de permanência em atividade para os magistrados. Vantagem remuneratória não prevista na LOMAN (art. 65). Violação ao art. 93, caput, da constituição.</w:t>
        <w:br/>
        <w:t>[ADI 2.952, rel. min. Gilmar Mendes, j. 3-4-2023, P, DJE de 11-5-2023.] É inconstitucional norma estadual de acordo com a qual compete a órgão colegiado do tribunal autorizar o prosseguimento de investigações contra magistrados, por criar prerrogativa não prevista na Lei Orgânica da Magistratura Nacional e não extensível a outras autoridades com foro por prerrogativa de função.</w:t>
        <w:br/>
        <w:t>[ADI 5.331, rel.</w:t>
      </w:r>
    </w:p>
    <w:p>
      <w:pPr>
        <w:ind w:left="288"/>
      </w:pPr>
      <w:r>
        <w:rPr>
          <w:b/>
          <w:color w:val="003CA0"/>
          <w:sz w:val="16"/>
        </w:rPr>
        <w:t>[ADI 4.243, rel. min. Roberto Barroso, j. 19-12-2018, P, DJE de 6-3-2019.]</w:t>
      </w:r>
    </w:p>
    <w:p>
      <w:pPr>
        <w:ind w:left="288"/>
      </w:pPr>
      <w:r>
        <w:rPr>
          <w:color w:val="8C8C8C"/>
          <w:sz w:val="12"/>
        </w:rPr>
        <w:t>cf-art-93</w:t>
      </w:r>
      <w:r>
        <w:rPr>
          <w:color w:val="003CA0"/>
          <w:sz w:val="12"/>
        </w:rPr>
        <w:t xml:space="preserve"> | ADI 5.310</w:t>
      </w:r>
      <w:r>
        <w:rPr>
          <w:color w:val="003CA0"/>
          <w:sz w:val="12"/>
        </w:rPr>
        <w:t xml:space="preserve"> | rel. Cármen Lúcia</w:t>
      </w:r>
    </w:p>
    <w:p>
      <w:pPr>
        <w:ind w:left="288"/>
      </w:pPr>
      <w:r>
        <w:rPr>
          <w:color w:val="1E1E1E"/>
          <w:sz w:val="18"/>
        </w:rPr>
        <w:t>Na espécie vertente, ao estabelecer a possibilidade de “o Desembargador ser novamente eleito para o mesmo cargo, desde que observado o intervalo de dois mandatos”, o Plenário do Tribunal de Justiça do Rio de Janeiro contrariou as balizas estabelecidas no art. 102 da LC 35/1979, recepcionado pela Constituição da República nos termos do seu art. 93. (...) Houve inobservância do art. 93, caput, da Constituição da República, segundo o qual está reservada a lei complementar, de iniciativa do STF, a regulamentação da matéria afeta à elegibilidade para os órgãos diretivos dos tribunais.[</w:t>
      </w:r>
    </w:p>
    <w:p>
      <w:pPr>
        <w:ind w:left="288"/>
      </w:pPr>
      <w:r>
        <w:rPr>
          <w:b/>
          <w:color w:val="003CA0"/>
          <w:sz w:val="16"/>
        </w:rPr>
        <w:t>ADI 5.310, voto da rel. min. Cármen Lúcia, j.14-12-2016, P, DJE de 9-10-2017.]</w:t>
      </w:r>
    </w:p>
    <w:p>
      <w:pPr>
        <w:ind w:left="288"/>
      </w:pPr>
      <w:r>
        <w:rPr>
          <w:color w:val="8C8C8C"/>
          <w:sz w:val="12"/>
        </w:rPr>
        <w:t>cf-art-93</w:t>
      </w:r>
      <w:r>
        <w:rPr>
          <w:color w:val="003CA0"/>
          <w:sz w:val="12"/>
        </w:rPr>
        <w:t xml:space="preserve"> | ADI 4.462</w:t>
      </w:r>
      <w:r>
        <w:rPr>
          <w:color w:val="003CA0"/>
          <w:sz w:val="12"/>
        </w:rPr>
        <w:t xml:space="preserve"> | rel. Cármen Lúcia</w:t>
      </w:r>
    </w:p>
    <w:p>
      <w:pPr>
        <w:ind w:left="288"/>
      </w:pPr>
      <w:r>
        <w:rPr>
          <w:color w:val="1E1E1E"/>
          <w:sz w:val="18"/>
        </w:rPr>
        <w:t>Promoção por antiguidade na magistratura tocantinense. Inobservância dos critérios estabelecidos na Loman. Impossibilidade de reconhecimento de tempo de serviço público no Estado ou de tempo de serviço público. Contrariedade ao art. 93 da Constituição da República. Validade da adoção do critério de idade para desempate: precedente. Confirmação da medida cautelar deferida parcialmente a unanimidade. Ação direta julgada parcialmente procedente para declarar a inconstitucionalidade do art. 78, § 1º, III e IV, da LC tocantinense 10/1996.</w:t>
      </w:r>
    </w:p>
    <w:p>
      <w:pPr>
        <w:ind w:left="288"/>
      </w:pPr>
      <w:r>
        <w:rPr>
          <w:b/>
          <w:color w:val="003CA0"/>
          <w:sz w:val="16"/>
        </w:rPr>
        <w:t>[ADI 4.462, rel. min. Cármen Lúcia, j. 18-8-2016, P, DJE de 14-9-2016.]</w:t>
      </w:r>
    </w:p>
    <w:p>
      <w:pPr>
        <w:ind w:left="288"/>
      </w:pPr>
      <w:r>
        <w:rPr>
          <w:color w:val="8C8C8C"/>
          <w:sz w:val="12"/>
        </w:rPr>
        <w:t>cf-art-93</w:t>
      </w:r>
      <w:r>
        <w:rPr>
          <w:color w:val="003CA0"/>
          <w:sz w:val="12"/>
        </w:rPr>
        <w:t xml:space="preserve"> | ADI 4.108</w:t>
      </w:r>
      <w:r>
        <w:rPr>
          <w:color w:val="003CA0"/>
          <w:sz w:val="12"/>
        </w:rPr>
        <w:t xml:space="preserve"> | rel. Ellen Gracie</w:t>
      </w:r>
    </w:p>
    <w:p>
      <w:pPr>
        <w:ind w:left="288"/>
      </w:pPr>
      <w:r>
        <w:rPr>
          <w:color w:val="1E1E1E"/>
          <w:sz w:val="18"/>
        </w:rPr>
        <w:t>Esta Suprema Corte tem admitido o controle concentrado de constitucionalidade de preceitos oriundos da atividade administrativa dos tribunais, desde que presente, de forma inequívoca, o caráter normativo e autônomo do ato impugnado (...). O Tribunal de Justiça do Estado de Minas Gerais, ao adotar, em seu regimento interno, um critério próprio de especificação do número de membros aptos a concorrerem aos seus cargos de direção, destoou do modelo previsto no art. 102 da legislação nacional vigente, a LC 35/1979 (Loman). O Plenário do STF já fixou entendimento no sentido de que o regramento relat</w:t>
      </w:r>
    </w:p>
    <w:p>
      <w:pPr>
        <w:ind w:left="288"/>
      </w:pPr>
      <w:r>
        <w:rPr>
          <w:b/>
          <w:color w:val="003CA0"/>
          <w:sz w:val="16"/>
        </w:rPr>
        <w:t>[ADI 4.108 MC-REF, rel. min. Ellen Gracie, j. 2-2-2009, P, DJE de 6-3-2009.]</w:t>
      </w:r>
    </w:p>
    <w:p>
      <w:pPr>
        <w:ind w:left="288"/>
      </w:pPr>
      <w:r>
        <w:rPr>
          <w:color w:val="8C8C8C"/>
          <w:sz w:val="12"/>
        </w:rPr>
        <w:t>cf-art-93</w:t>
      </w:r>
      <w:r>
        <w:rPr>
          <w:color w:val="003CA0"/>
          <w:sz w:val="12"/>
        </w:rPr>
        <w:t xml:space="preserve"> | ADI 4.042</w:t>
      </w:r>
      <w:r>
        <w:rPr>
          <w:color w:val="003CA0"/>
          <w:sz w:val="12"/>
        </w:rPr>
        <w:t xml:space="preserve"> | rel. Gilmar Mendes</w:t>
      </w:r>
    </w:p>
    <w:p>
      <w:pPr>
        <w:ind w:left="288"/>
      </w:pPr>
      <w:r>
        <w:rPr>
          <w:color w:val="1E1E1E"/>
          <w:sz w:val="18"/>
        </w:rPr>
        <w:t>Consideração do tempo de exercício da advocacia privada para fins de classificação pelo critério de antiguidade na carreira da magistratura, da mesma forma em que se considera o tempo de serviço público. Alegada violação ao art. 93 da CF. Até a edição da lei complementar prevista no art. 93, caput, da CF, compete exclusivamente à Loman dispor sobre a promoção, a remoção e o acesso de magistrados aos cargos. (...) Medida cautelar deferida para suspender, com eficácia ex tunc, a vigência do art. 92, III, e, da Constituição do Estado de Mato Grosso, com a redação determinada pela EC 46/2006.</w:t>
      </w:r>
    </w:p>
    <w:p>
      <w:pPr>
        <w:ind w:left="288"/>
      </w:pPr>
      <w:r>
        <w:rPr>
          <w:b/>
          <w:color w:val="003CA0"/>
          <w:sz w:val="16"/>
        </w:rPr>
        <w:t>[ADI 4.042 MC, rel. min. Gilmar Mendes, j. 26-6-2008, P, DJE de 30-4-2009.]</w:t>
      </w:r>
    </w:p>
    <w:p>
      <w:pPr>
        <w:ind w:left="288"/>
      </w:pPr>
      <w:r>
        <w:rPr>
          <w:color w:val="8C8C8C"/>
          <w:sz w:val="12"/>
        </w:rPr>
        <w:t>cf-art-93</w:t>
      </w:r>
      <w:r>
        <w:rPr>
          <w:color w:val="003CA0"/>
          <w:sz w:val="12"/>
        </w:rPr>
        <w:t xml:space="preserve"> | MS 30.647</w:t>
      </w:r>
      <w:r>
        <w:rPr>
          <w:color w:val="003CA0"/>
          <w:sz w:val="12"/>
        </w:rPr>
        <w:t xml:space="preserve"> | rel. Celso de Mello</w:t>
      </w:r>
    </w:p>
    <w:p>
      <w:pPr>
        <w:ind w:left="288"/>
      </w:pPr>
      <w:r>
        <w:rPr>
          <w:color w:val="1E1E1E"/>
          <w:sz w:val="18"/>
        </w:rPr>
        <w:t xml:space="preserve">= MS 30.647 MC-AgR, rel. min. Celso de Mello, j. 22-6-2011, P, DJE de 6-8-2013 Vide ADI 4.462, rel. min. Cármen Lúcia, j. 18-8-2016, P, DJE de 14-9-2016 Provimento 4, de 25-2-2005, da Corregedoria-Geral de Justiça do Tribunal de Justiça de Mato Grosso do Sul, que dispõe sobre o horário em que o magistrado pode exercer o magistério. (...) Inconstitucionalidade formal (...) do seu art. 2º, que, ao vedar ao magistrado estadual o exercício de docência em horário coincidente com o do expediente do foro, dispõe sobre matéria de competência reservada à lei complementar, nos termos do art. 93, da CF, </w:t>
      </w:r>
    </w:p>
    <w:p>
      <w:pPr>
        <w:ind w:left="288"/>
      </w:pPr>
      <w:r>
        <w:rPr>
          <w:b/>
          <w:color w:val="003CA0"/>
          <w:sz w:val="16"/>
        </w:rPr>
        <w:t>[ADI 3.508, rel. min. Sepúlveda Pertence, j. 27-6-2007, P, DJ de 31-8-2007.]</w:t>
      </w:r>
    </w:p>
    <w:p>
      <w:pPr>
        <w:ind w:left="288"/>
      </w:pPr>
      <w:r>
        <w:rPr>
          <w:color w:val="8C8C8C"/>
          <w:sz w:val="12"/>
        </w:rPr>
        <w:t>cf-art-93</w:t>
      </w:r>
      <w:r>
        <w:rPr>
          <w:color w:val="003CA0"/>
          <w:sz w:val="12"/>
        </w:rPr>
        <w:t xml:space="preserve"> | ADI 3.566</w:t>
      </w:r>
    </w:p>
    <w:p>
      <w:pPr>
        <w:ind w:left="288"/>
      </w:pPr>
      <w:r>
        <w:rPr>
          <w:color w:val="1E1E1E"/>
          <w:sz w:val="18"/>
        </w:rPr>
        <w:t>Previsão regimental de elegibilidade de todos os integrantes do Órgão Especial. Inadmissibilidade. Temática institucional. Matéria de competência legislativa reservada à Loman e ao Estatuto da Magistratura. Ofensa ao art. 93, caput, da CF. (...) São inconstitucionais as normas de regimento interno de tribunal que disponham sobre o universo dos magistrados elegíveis para seus órgãos de direção.</w:t>
      </w:r>
    </w:p>
    <w:p>
      <w:pPr>
        <w:ind w:left="288"/>
      </w:pPr>
      <w:r>
        <w:rPr>
          <w:b/>
          <w:color w:val="003CA0"/>
          <w:sz w:val="16"/>
        </w:rPr>
        <w:t>[ADI 3.566, red. do ac. min. Cezar Peluso, j. 15-2-2007, P, DJ de 15-6-2007.]</w:t>
      </w:r>
    </w:p>
    <w:p>
      <w:pPr>
        <w:ind w:left="288"/>
      </w:pPr>
      <w:r>
        <w:rPr>
          <w:color w:val="8C8C8C"/>
          <w:sz w:val="12"/>
        </w:rPr>
        <w:t>cf-art-93</w:t>
      </w:r>
      <w:r>
        <w:rPr>
          <w:color w:val="003CA0"/>
          <w:sz w:val="12"/>
        </w:rPr>
        <w:t xml:space="preserve"> | RCL 8.025</w:t>
      </w:r>
      <w:r>
        <w:rPr>
          <w:color w:val="003CA0"/>
          <w:sz w:val="12"/>
        </w:rPr>
        <w:t xml:space="preserve"> | rel. Eros Grau</w:t>
      </w:r>
    </w:p>
    <w:p>
      <w:pPr>
        <w:ind w:left="288"/>
      </w:pPr>
      <w:r>
        <w:rPr>
          <w:color w:val="1E1E1E"/>
          <w:sz w:val="18"/>
        </w:rPr>
        <w:t xml:space="preserve">Vide Rcl 8.025, rel. min. Eros Grau, j. 9-12-2009, P, DJE de 6-8-2010 A decisão do tribunal que dá provimento ao recurso para anular a decisão impugnada não substitui o ato recorrido, mas se restringe a cassá-lo, por ilegalidade, após reconhecer a existência de vício de atividade ou error in procedendo. Se, por um lado, o magistrado é livre para reapreciar o mérito da causa, podendo, até mesmo, chegar a veredicto coincidente àquele emitido anteriormente (momento em que se estará dando plena aplicabilidade ao princípio da independência do magistrado na apreciação da lide), por outro, de acordo </w:t>
      </w:r>
    </w:p>
    <w:p>
      <w:pPr>
        <w:ind w:left="288"/>
      </w:pPr>
      <w:r>
        <w:rPr>
          <w:b/>
          <w:color w:val="003CA0"/>
          <w:sz w:val="16"/>
        </w:rPr>
        <w:t>[ADI 2.885, rel. min. Ellen Gracie, j. 18-10-2006, P, DJ de 23-2-2006.]</w:t>
      </w:r>
    </w:p>
    <w:p>
      <w:pPr>
        <w:ind w:left="288"/>
      </w:pPr>
      <w:r>
        <w:rPr>
          <w:color w:val="8C8C8C"/>
          <w:sz w:val="12"/>
        </w:rPr>
        <w:t>cf-art-93</w:t>
      </w:r>
      <w:r>
        <w:rPr>
          <w:color w:val="003CA0"/>
          <w:sz w:val="12"/>
        </w:rPr>
        <w:t xml:space="preserve"> | ADI 2.880</w:t>
      </w:r>
      <w:r>
        <w:rPr>
          <w:color w:val="003CA0"/>
          <w:sz w:val="12"/>
        </w:rPr>
        <w:t xml:space="preserve"> | rel. Gilmar Mendes</w:t>
      </w:r>
    </w:p>
    <w:p>
      <w:pPr>
        <w:ind w:left="288"/>
      </w:pPr>
      <w:r>
        <w:rPr>
          <w:color w:val="1E1E1E"/>
          <w:sz w:val="18"/>
        </w:rPr>
        <w:t>Art. 154, VI, da LC 59, de 18-1-2001, do Estado de Minas Gerais, que prevê hipótese de pena de demissão a magistrado em razão de procedimento incompatível com a dignidade, a honra e o decoro de suas funções, por decisão da maioria de votos dos membros da Corte Superior do Tribunal de Justiça, além dos casos previstos no art. 26 da Loman; e art. 156, da mesma lei complementar estadual, que prevê procedimentos a serem estabelecidos no Regimento Interno do Tribunal de Justiça do Estado de Minas Gerais (RITJMG) para apuração de faltas e aplicação de penalidades, bem como para a decretação de remoç</w:t>
      </w:r>
    </w:p>
    <w:p>
      <w:pPr>
        <w:ind w:left="288"/>
      </w:pPr>
      <w:r>
        <w:rPr>
          <w:b/>
          <w:color w:val="003CA0"/>
          <w:sz w:val="16"/>
        </w:rPr>
        <w:t>[ADI 3.227, rel. min. Gilmar Mendes, j. 26-4-2006, P, DJ de 1º-9-2006.]</w:t>
      </w:r>
    </w:p>
    <w:p>
      <w:pPr>
        <w:ind w:left="288"/>
      </w:pPr>
      <w:r>
        <w:rPr>
          <w:color w:val="8C8C8C"/>
          <w:sz w:val="12"/>
        </w:rPr>
        <w:t>cf-art-93</w:t>
      </w:r>
      <w:r>
        <w:rPr>
          <w:color w:val="003CA0"/>
          <w:sz w:val="12"/>
        </w:rPr>
        <w:t xml:space="preserve"> | ADI 1.985</w:t>
      </w:r>
      <w:r>
        <w:rPr>
          <w:color w:val="003CA0"/>
          <w:sz w:val="12"/>
        </w:rPr>
        <w:t xml:space="preserve"> | rel. Eros Grau</w:t>
      </w:r>
    </w:p>
    <w:p>
      <w:pPr>
        <w:ind w:left="288"/>
      </w:pPr>
      <w:r>
        <w:rPr>
          <w:color w:val="1E1E1E"/>
          <w:sz w:val="18"/>
        </w:rPr>
        <w:t>Até o advento da lei complementar prevista no art. 93, caput, da Constituição de 1988, o Estatuto da Magistratura será disciplinado pelo texto da LC  35/1979, que foi recebida pela Constituição.</w:t>
      </w:r>
    </w:p>
    <w:p>
      <w:pPr>
        <w:ind w:left="288"/>
      </w:pPr>
      <w:r>
        <w:rPr>
          <w:b/>
          <w:color w:val="003CA0"/>
          <w:sz w:val="16"/>
        </w:rPr>
        <w:t>[ADI 1.985, rel. min. Eros Grau, j. 3-3-2005, P, DJ de 13-5-2005.]</w:t>
      </w:r>
    </w:p>
    <w:p>
      <w:pPr>
        <w:ind w:left="288"/>
      </w:pPr>
      <w:r>
        <w:rPr>
          <w:color w:val="8C8C8C"/>
          <w:sz w:val="12"/>
        </w:rPr>
        <w:t>cf-art-93</w:t>
      </w:r>
      <w:r>
        <w:rPr>
          <w:color w:val="003CA0"/>
          <w:sz w:val="12"/>
        </w:rPr>
        <w:t xml:space="preserve"> | ADI 1.422</w:t>
      </w:r>
      <w:r>
        <w:rPr>
          <w:color w:val="003CA0"/>
          <w:sz w:val="12"/>
        </w:rPr>
        <w:t xml:space="preserve"> | rel. Ilmar Galvão</w:t>
      </w:r>
    </w:p>
    <w:p>
      <w:pPr>
        <w:ind w:left="288"/>
      </w:pPr>
      <w:r>
        <w:rPr>
          <w:color w:val="1E1E1E"/>
          <w:sz w:val="18"/>
        </w:rPr>
        <w:t>Lei 2.432, de 6-9-1995, do Estado do Rio de Janeiro, que deu nova redação aos §§ 1º e 2º do art. 18 do Código de Organização e Divisão Judiciárias do mesmo Estado. Incompatibilidade com a norma do art. 93 da CF, por regular matéria própria do Estatuto da Magistratura, reservada, no dispositivo constitucional mencionado, à lei complementar federal.</w:t>
      </w:r>
    </w:p>
    <w:p>
      <w:pPr>
        <w:ind w:left="288"/>
      </w:pPr>
      <w:r>
        <w:rPr>
          <w:b/>
          <w:color w:val="003CA0"/>
          <w:sz w:val="16"/>
        </w:rPr>
        <w:t>[ADI 1.422, rel. min. Ilmar Galvão, j. 9-9-1999, P, DJ de 12-11-1999.]</w:t>
      </w:r>
    </w:p>
    <w:p>
      <w:pPr>
        <w:ind w:left="288"/>
      </w:pPr>
      <w:r>
        <w:rPr>
          <w:color w:val="8C8C8C"/>
          <w:sz w:val="12"/>
        </w:rPr>
        <w:t>cf-art-93</w:t>
      </w:r>
      <w:r>
        <w:rPr>
          <w:color w:val="003CA0"/>
          <w:sz w:val="12"/>
        </w:rPr>
        <w:t xml:space="preserve"> | ADI 575</w:t>
      </w:r>
      <w:r>
        <w:rPr>
          <w:color w:val="003CA0"/>
          <w:sz w:val="12"/>
        </w:rPr>
        <w:t xml:space="preserve"> | rel. Sepúlveda Pertence</w:t>
      </w:r>
    </w:p>
    <w:p>
      <w:pPr>
        <w:ind w:left="288"/>
      </w:pPr>
      <w:r>
        <w:rPr>
          <w:color w:val="1E1E1E"/>
          <w:sz w:val="18"/>
        </w:rPr>
        <w:t>Defensor público: inconstitucionalidade de norma local que lhe estende normas do Estatuto Constitucional da Magistratura (CF, art. 93, II, IV, VI e VIII).</w:t>
      </w:r>
    </w:p>
    <w:p>
      <w:pPr>
        <w:ind w:left="288"/>
      </w:pPr>
      <w:r>
        <w:rPr>
          <w:b/>
          <w:color w:val="003CA0"/>
          <w:sz w:val="16"/>
        </w:rPr>
        <w:t>[ADI 575, rel. min. Sepúlveda Pertence, j. 25-3-1999, P, DJ de 25-6-1999.]</w:t>
      </w:r>
    </w:p>
    <w:p>
      <w:pPr>
        <w:ind w:left="288"/>
      </w:pPr>
      <w:r>
        <w:rPr>
          <w:color w:val="8C8C8C"/>
          <w:sz w:val="12"/>
        </w:rPr>
        <w:t>cf-art-93</w:t>
      </w:r>
      <w:r>
        <w:rPr>
          <w:color w:val="003CA0"/>
          <w:sz w:val="12"/>
        </w:rPr>
        <w:t xml:space="preserve"> | MS 20.911</w:t>
      </w:r>
      <w:r>
        <w:rPr>
          <w:color w:val="003CA0"/>
          <w:sz w:val="12"/>
        </w:rPr>
        <w:t xml:space="preserve"> | rel. Octavio Gallotti</w:t>
      </w:r>
    </w:p>
    <w:p>
      <w:pPr>
        <w:ind w:left="288"/>
      </w:pPr>
      <w:r>
        <w:rPr>
          <w:color w:val="1E1E1E"/>
          <w:sz w:val="18"/>
        </w:rPr>
        <w:t>O art. 102 da Loman, que disciplina a eleição dos cargos de direção dos tribunais e fixa o período do mandato em dois anos, foi recebido pela Constituição de 1988. Precedente do STF: MS 20.911/PA, rel. min. Octavio Gallotti, RTJ 128/1141. A matéria é, portanto, própria do Estatuto da Magistratura. CF, art. 93.</w:t>
      </w:r>
    </w:p>
    <w:p>
      <w:pPr>
        <w:ind w:left="288"/>
      </w:pPr>
      <w:r>
        <w:rPr>
          <w:b/>
          <w:color w:val="003CA0"/>
          <w:sz w:val="16"/>
        </w:rPr>
        <w:t xml:space="preserve">[ADI 841 QO, rel. min. Carlos Velloso, j. 21-9-1994, P, DJ de 21-10-1994.] </w:t>
        <w:br/>
        <w:t>Vide ADI 5.310, rel. min. Cármen Lúcia, j. 14-12-2016, P, DJE de 9-10-2017</w:t>
      </w:r>
    </w:p>
    <w:p>
      <w:pPr>
        <w:ind w:left="288"/>
      </w:pPr>
      <w:r>
        <w:rPr>
          <w:color w:val="8C8C8C"/>
          <w:sz w:val="12"/>
        </w:rPr>
        <w:t>cf-art-93</w:t>
      </w:r>
      <w:r>
        <w:rPr>
          <w:color w:val="003CA0"/>
          <w:sz w:val="12"/>
        </w:rPr>
        <w:t xml:space="preserve"> | ADI 189</w:t>
      </w:r>
      <w:r>
        <w:rPr>
          <w:color w:val="003CA0"/>
          <w:sz w:val="12"/>
        </w:rPr>
        <w:t xml:space="preserve"> | rel. Celso de Mello</w:t>
      </w:r>
    </w:p>
    <w:p>
      <w:pPr>
        <w:ind w:left="288"/>
      </w:pPr>
      <w:r>
        <w:rPr>
          <w:color w:val="1E1E1E"/>
          <w:sz w:val="18"/>
        </w:rPr>
        <w:t>A aplicabilidade das normas e princípios inscritos no art. 93 da CF independe da promulgação do Estatuto da Magistratura, em face do caráter de plena e integral eficácia de que se revestem aqueles preceitos.</w:t>
      </w:r>
    </w:p>
    <w:p>
      <w:pPr>
        <w:ind w:left="288"/>
      </w:pPr>
      <w:r>
        <w:rPr>
          <w:b/>
          <w:color w:val="003CA0"/>
          <w:sz w:val="16"/>
        </w:rPr>
        <w:t>[ADI 189, rel. min. Celso de Mello, j. 9-10-1991, P, DJ de 22-5-1992.]</w:t>
      </w:r>
    </w:p>
    <w:p>
      <w:pPr>
        <w:ind w:left="144"/>
      </w:pPr>
      <w:r>
        <w:rPr>
          <w:b/>
          <w:color w:val="B45A00"/>
          <w:sz w:val="16"/>
        </w:rPr>
        <w:t>JULGADOS CORRELATOS</w:t>
      </w:r>
    </w:p>
    <w:p>
      <w:pPr>
        <w:ind w:left="288"/>
      </w:pPr>
      <w:r>
        <w:rPr>
          <w:color w:val="8C8C8C"/>
          <w:sz w:val="12"/>
        </w:rPr>
        <w:t>cf-art-93</w:t>
      </w:r>
      <w:r>
        <w:rPr>
          <w:color w:val="003CA0"/>
          <w:sz w:val="12"/>
        </w:rPr>
        <w:t xml:space="preserve"> | AO 2.234</w:t>
      </w:r>
      <w:r>
        <w:rPr>
          <w:color w:val="003CA0"/>
          <w:sz w:val="12"/>
        </w:rPr>
        <w:t xml:space="preserve"> | rel. Gilmar Mendes</w:t>
      </w:r>
    </w:p>
    <w:p>
      <w:pPr>
        <w:ind w:left="288"/>
      </w:pPr>
      <w:r>
        <w:rPr>
          <w:color w:val="1E1E1E"/>
          <w:sz w:val="18"/>
        </w:rPr>
        <w:t>Percepção de verba não prevista na Loman. Art. 65, § 2º. Vedação. Extensão genérica aos magistrados de rubrica concedida aos servidores em geral. Impossibilidade.</w:t>
      </w:r>
    </w:p>
    <w:p>
      <w:pPr>
        <w:ind w:left="288"/>
      </w:pPr>
      <w:r>
        <w:rPr>
          <w:b/>
          <w:color w:val="003CA0"/>
          <w:sz w:val="16"/>
        </w:rPr>
        <w:t>[AO 2.234-ED, rel. min. Gilmar Mendes, j. 19-3-2019, 2ª T, DJE de 13-8-2019.]</w:t>
      </w:r>
    </w:p>
    <w:p>
      <w:pPr>
        <w:ind w:left="288"/>
      </w:pPr>
      <w:r>
        <w:rPr>
          <w:color w:val="8C8C8C"/>
          <w:sz w:val="12"/>
        </w:rPr>
        <w:t>cf-art-93</w:t>
      </w:r>
      <w:r>
        <w:rPr>
          <w:color w:val="003CA0"/>
          <w:sz w:val="12"/>
        </w:rPr>
        <w:t xml:space="preserve"> | AO 2.259</w:t>
      </w:r>
      <w:r>
        <w:rPr>
          <w:color w:val="003CA0"/>
          <w:sz w:val="12"/>
        </w:rPr>
        <w:t xml:space="preserve"> | rel. Ricardo Lewandowski</w:t>
      </w:r>
    </w:p>
    <w:p>
      <w:pPr>
        <w:ind w:left="288"/>
      </w:pPr>
      <w:r>
        <w:rPr>
          <w:color w:val="1E1E1E"/>
          <w:sz w:val="18"/>
        </w:rPr>
        <w:t>Ação originária consiste em meio processual adequado para delimitar a abrangência subjetiva dos Estatutos da Magistratura e do Desarmamento sem, necessariamente, declarar a inconstitucionalidade de nenhum deles. Autora não pretende o exercício de controle concentrado da constitucionalidade do Estatuto do Desarmamento, mas apenas a declaração de que determinadas exigências da Lei 10.826/2003 não se aplicam aos Magistrados filiados à Associação, por força da prerrogativa de portar arma que lhes garante a Loman.</w:t>
        <w:br/>
        <w:t>[AO 2.259 AgR, rel. min. Ricardo Lewandowski, j. 28-8-2018, 2ª T, DJE de 17-10-2018.]</w:t>
      </w:r>
    </w:p>
    <w:p>
      <w:pPr>
        <w:ind w:left="288"/>
      </w:pPr>
      <w:r>
        <w:rPr>
          <w:b/>
          <w:color w:val="003CA0"/>
          <w:sz w:val="16"/>
        </w:rPr>
        <w:t>[MS 32.979 AGR, rel. min. Edson Fachin, j. 29-6-2018, 2ª T, DJE de 1º-8-2018.]</w:t>
      </w:r>
    </w:p>
    <w:p>
      <w:pPr>
        <w:ind w:left="288"/>
      </w:pPr>
      <w:r>
        <w:rPr>
          <w:color w:val="8C8C8C"/>
          <w:sz w:val="12"/>
        </w:rPr>
        <w:t>cf-art-93</w:t>
      </w:r>
      <w:r>
        <w:rPr>
          <w:color w:val="003CA0"/>
          <w:sz w:val="12"/>
        </w:rPr>
        <w:t xml:space="preserve"> | ARE 956.734</w:t>
      </w:r>
      <w:r>
        <w:rPr>
          <w:color w:val="003CA0"/>
          <w:sz w:val="12"/>
        </w:rPr>
        <w:t xml:space="preserve"> | rel. Gilmar Mendes</w:t>
      </w:r>
    </w:p>
    <w:p>
      <w:pPr>
        <w:ind w:left="288"/>
      </w:pPr>
      <w:r>
        <w:rPr>
          <w:color w:val="1E1E1E"/>
          <w:sz w:val="18"/>
        </w:rPr>
        <w:t>(...) inexistindo respaldo legal e confrontando o entendimento pacífico da jurisprudência desta Corte, de que o rol de direitos e vantagens previsto no art. 69 da Loman é taxativo, não é possível a extensão de vantagens previstas em legislação de outra carreira a magistrados com fundamento na simetria constitucional entre a magistratura e o Ministério Público.</w:t>
      </w:r>
    </w:p>
    <w:p>
      <w:pPr>
        <w:ind w:left="288"/>
      </w:pPr>
      <w:r>
        <w:rPr>
          <w:b/>
          <w:color w:val="003CA0"/>
          <w:sz w:val="16"/>
        </w:rPr>
        <w:t>[ARE 956.734 AgR, rel. min. Gilmar Mendes, j. 25-8-2017, P, DJE de 5-9-2017.]</w:t>
      </w:r>
    </w:p>
    <w:p>
      <w:pPr>
        <w:ind w:left="288"/>
      </w:pPr>
      <w:r>
        <w:rPr>
          <w:color w:val="8C8C8C"/>
          <w:sz w:val="12"/>
        </w:rPr>
        <w:t>cf-art-93</w:t>
      </w:r>
      <w:r>
        <w:rPr>
          <w:color w:val="003CA0"/>
          <w:sz w:val="12"/>
        </w:rPr>
        <w:t xml:space="preserve"> | MS 20.479</w:t>
      </w:r>
      <w:r>
        <w:rPr>
          <w:color w:val="003CA0"/>
          <w:sz w:val="12"/>
        </w:rPr>
        <w:t xml:space="preserve"> | rel. Sydney Sanches</w:t>
      </w:r>
    </w:p>
    <w:p>
      <w:pPr>
        <w:ind w:left="288"/>
      </w:pPr>
      <w:r>
        <w:rPr>
          <w:color w:val="1E1E1E"/>
          <w:sz w:val="18"/>
        </w:rPr>
        <w:t>Norma de aplicação de critério de desempate entre magistrados para aferição de antiguidade na carreira. Segurança jurídica. A norma vigente ao tempo da posse dos interessados acerca do critério de antiguidade deve prevalecer para todos os fins; posto gerar insegurança jurídica subordinar a lista de antiguidade a critério introduzido pelas alterações supervenientes ao Regimento Interno sempre que se fizer necessário apurar-se a antiguidade dos magistrados. A novel alteração do regimento aplica-se aos empossados em período ulterior à reforma da norma secundária. A republicação da lista a cada an</w:t>
      </w:r>
    </w:p>
    <w:p>
      <w:pPr>
        <w:ind w:left="288"/>
      </w:pPr>
      <w:r>
        <w:rPr>
          <w:b/>
          <w:color w:val="003CA0"/>
          <w:sz w:val="16"/>
        </w:rPr>
        <w:t>[MS 28.447, rel. min. Dias Toffoli, j. 25-8-2011, P, DJE de 23-11-2011.]</w:t>
      </w:r>
    </w:p>
    <w:p>
      <w:pPr>
        <w:ind w:left="288"/>
      </w:pPr>
      <w:r>
        <w:rPr>
          <w:color w:val="8C8C8C"/>
          <w:sz w:val="12"/>
        </w:rPr>
        <w:t>cf-art-93</w:t>
      </w:r>
      <w:r>
        <w:rPr>
          <w:color w:val="003CA0"/>
          <w:sz w:val="12"/>
        </w:rPr>
        <w:t xml:space="preserve"> | MS 27.593</w:t>
      </w:r>
      <w:r>
        <w:rPr>
          <w:color w:val="003CA0"/>
          <w:sz w:val="12"/>
        </w:rPr>
        <w:t xml:space="preserve"> | rel. Ricardo Lewandowski</w:t>
      </w:r>
    </w:p>
    <w:p>
      <w:pPr>
        <w:ind w:left="288"/>
      </w:pPr>
      <w:r>
        <w:rPr>
          <w:color w:val="1E1E1E"/>
          <w:sz w:val="18"/>
        </w:rPr>
        <w:t>Art. 102 da Loman. Condições de elegibilidade para cargo de direção em tribunal. Inelegibilidade configurada com exercício de dois mandatos, ainda que incompletos. (...) O art. 102 da Loman, ao se referir à inelegibilidade daqueles que exerceram cargos de direção "por quatro anos", deve ser entendido como "por dois mandatos". Assim, o exercício de dois mandatos em cargo de direção no tribunal torna o desembargador inelegível, salvo se não houver outros desembargadores elegíveis ou que aceitem o cargo.</w:t>
      </w:r>
    </w:p>
    <w:p>
      <w:pPr>
        <w:ind w:left="288"/>
      </w:pPr>
      <w:r>
        <w:rPr>
          <w:b/>
          <w:color w:val="003CA0"/>
          <w:sz w:val="16"/>
        </w:rPr>
        <w:t>[MS 27.593, rel. min. Ricardo Lewandowski, j. 1º-7-2010, P, DJE de 8-10-2010.]</w:t>
      </w:r>
    </w:p>
    <w:p>
      <w:pPr>
        <w:ind w:left="288"/>
      </w:pPr>
      <w:r>
        <w:rPr>
          <w:color w:val="8C8C8C"/>
          <w:sz w:val="12"/>
        </w:rPr>
        <w:t>cf-art-93</w:t>
      </w:r>
      <w:r>
        <w:rPr>
          <w:color w:val="003CA0"/>
          <w:sz w:val="12"/>
        </w:rPr>
        <w:t xml:space="preserve"> | ADI 3.566</w:t>
      </w:r>
      <w:r>
        <w:rPr>
          <w:color w:val="003CA0"/>
          <w:sz w:val="12"/>
        </w:rPr>
        <w:t xml:space="preserve"> | rel. Eros Grau</w:t>
      </w:r>
    </w:p>
    <w:p>
      <w:pPr>
        <w:ind w:left="288"/>
      </w:pPr>
      <w:r>
        <w:rPr>
          <w:color w:val="1E1E1E"/>
          <w:sz w:val="18"/>
        </w:rPr>
        <w:t>Impugnação de ato do TRF 3ª Região concernente à eleição para o cargo de presidente daquele Tribunal. Discussão a propósito da possibilidade de desembargador que anteriormente ocupou cargo diretivo por dois biênios no TRF 3ª Região ser eleito presidente. Afronta à decisão proferida na ADI 3.566 – recepção e vigência do art. 102 da LC 35 (Loman). (...) Situação de inelegibilidade decorrente da vedação do art. 102 da Loman, segunda parte. A incidência do preceito da Loman resulta frustrada. A fraude à lei importa, fundamentalmente, frustração da lei. Mais grave se é à Constituição, frustração da</w:t>
      </w:r>
    </w:p>
    <w:p>
      <w:pPr>
        <w:ind w:left="288"/>
      </w:pPr>
      <w:r>
        <w:rPr>
          <w:b/>
          <w:color w:val="003CA0"/>
          <w:sz w:val="16"/>
        </w:rPr>
        <w:t>[Rcl 8.025, rel. min. Eros Grau, j. 9-12-2009, P, DJE de 6-8-2010.]</w:t>
      </w:r>
    </w:p>
    <w:p>
      <w:pPr>
        <w:ind w:left="288"/>
      </w:pPr>
      <w:r>
        <w:rPr>
          <w:color w:val="8C8C8C"/>
          <w:sz w:val="12"/>
        </w:rPr>
        <w:t>cf-art-93</w:t>
      </w:r>
      <w:r>
        <w:rPr>
          <w:color w:val="003CA0"/>
          <w:sz w:val="12"/>
        </w:rPr>
        <w:t xml:space="preserve"> | ADI 3.566</w:t>
      </w:r>
      <w:r>
        <w:rPr>
          <w:color w:val="003CA0"/>
          <w:sz w:val="12"/>
        </w:rPr>
        <w:t xml:space="preserve"> | rel. Celso de Mello</w:t>
      </w:r>
    </w:p>
    <w:p>
      <w:pPr>
        <w:ind w:left="288"/>
      </w:pPr>
      <w:r>
        <w:rPr>
          <w:color w:val="1E1E1E"/>
          <w:sz w:val="18"/>
        </w:rPr>
        <w:t>Vide ADI 3.566, red. do ac. min. Cezar Peluso, j. 15-2-2007, P, DJ de 15-6-2007 O magistrado é inviolável pelas opiniões que expressar ou pelo conteúdo das decisões que proferir, não podendo ser punido nem prejudicado em razão de tais pronunciamentos. É necessário, contudo, que esse discurso judiciário, manifestado no julgamento da causa, seja compatível com o usus fori e que, desprovido de intuito ofensivo, guarde, ainda, com o objeto do litígio, indissociável nexo de causalidade e de pertinência. A ratio subjacente à norma inscrita no art. 41 da Loman decorre da necessidade de proteger os ma</w:t>
      </w:r>
    </w:p>
    <w:p>
      <w:pPr>
        <w:ind w:left="288"/>
      </w:pPr>
      <w:r>
        <w:rPr>
          <w:b/>
          <w:color w:val="003CA0"/>
          <w:sz w:val="16"/>
        </w:rPr>
        <w:t>[Inq 2.699 QO, rel. min. Celso de Mello, j. 12-3-2009, P, DJE de 8-5-2009.]</w:t>
      </w:r>
    </w:p>
    <w:p>
      <w:pPr>
        <w:ind w:left="288"/>
      </w:pPr>
      <w:r>
        <w:rPr>
          <w:color w:val="8C8C8C"/>
          <w:sz w:val="12"/>
        </w:rPr>
        <w:t>cf-art-93</w:t>
      </w:r>
      <w:r>
        <w:rPr>
          <w:color w:val="003CA0"/>
          <w:sz w:val="12"/>
        </w:rPr>
        <w:t xml:space="preserve"> | AO 155</w:t>
      </w:r>
      <w:r>
        <w:rPr>
          <w:color w:val="003CA0"/>
          <w:sz w:val="12"/>
        </w:rPr>
        <w:t xml:space="preserve"> | rel. Octavio Gallotti</w:t>
      </w:r>
    </w:p>
    <w:p>
      <w:pPr>
        <w:ind w:left="288"/>
      </w:pPr>
      <w:r>
        <w:rPr>
          <w:color w:val="1E1E1E"/>
          <w:sz w:val="18"/>
        </w:rPr>
        <w:t>Perante a enumeração exaustiva do art. 69 da Loman (LC 35/1979), ficaram revogadas as leis estaduais concessivas do direito de licença-prêmio ou especial aos magistrados, aos quais, igualmente, não se aplicam as normas que confiram esse mesmo direito aos servidores públicos em geral.</w:t>
      </w:r>
    </w:p>
    <w:p>
      <w:pPr>
        <w:ind w:left="288"/>
      </w:pPr>
      <w:r>
        <w:rPr>
          <w:b/>
          <w:color w:val="003CA0"/>
          <w:sz w:val="16"/>
        </w:rPr>
        <w:t>[AO 155, rel. min. Octavio Gallotti, j. 23-8-1995, P, DJ de 10-11-1995.]</w:t>
      </w:r>
    </w:p>
    <w:p>
      <w:pPr>
        <w:ind w:left="288"/>
      </w:pPr>
      <w:r>
        <w:rPr>
          <w:color w:val="8C8C8C"/>
          <w:sz w:val="12"/>
        </w:rPr>
        <w:t>cf-art-93</w:t>
      </w:r>
      <w:r>
        <w:rPr>
          <w:color w:val="003CA0"/>
          <w:sz w:val="12"/>
        </w:rPr>
        <w:t xml:space="preserve"> | AO 482</w:t>
      </w:r>
      <w:r>
        <w:rPr>
          <w:color w:val="003CA0"/>
          <w:sz w:val="12"/>
        </w:rPr>
        <w:t xml:space="preserve"> | rel. Cármen Lúcia</w:t>
      </w:r>
    </w:p>
    <w:p>
      <w:pPr>
        <w:ind w:left="288"/>
      </w:pPr>
      <w:r>
        <w:rPr>
          <w:color w:val="1E1E1E"/>
          <w:sz w:val="18"/>
        </w:rPr>
        <w:t>= AO 482, rel. min. Cármen Lúcia, j. 14-4-2011, P, DJE de 25-5-2011 O âmbito normativo do Estatuto da Magistratura, previsto no art. 93/CF, não se reduz à disciplina dos direitos e deveres funcionais dos magistrados: nele cabem normas fundamentais de um verdadeiro estatuto orgânico do Poder Judiciário, incluídas as que dizem respeito aos critérios para a substituição dos membros dos tribunais, em seus impedimentos: consequente recepção, pela ordem constitucional vigente, das regras pertinentes da Loman.</w:t>
      </w:r>
    </w:p>
    <w:p>
      <w:pPr>
        <w:ind w:left="288"/>
      </w:pPr>
      <w:r>
        <w:rPr>
          <w:b/>
          <w:color w:val="003CA0"/>
          <w:sz w:val="16"/>
        </w:rPr>
        <w:t>[HC 68.210, rel. min. Sepúlveda Pertence, j. 18-12-1991, P, DJ de 21-8-1992.]</w:t>
      </w:r>
    </w:p>
    <w:p>
      <w:pPr>
        <w:ind w:left="288"/>
      </w:pPr>
      <w:r>
        <w:rPr>
          <w:color w:val="8C8C8C"/>
          <w:sz w:val="12"/>
        </w:rPr>
        <w:t>cf-art-93</w:t>
      </w:r>
    </w:p>
    <w:p>
      <w:pPr>
        <w:ind w:left="288"/>
      </w:pPr>
      <w:r>
        <w:rPr>
          <w:color w:val="1E1E1E"/>
          <w:sz w:val="18"/>
        </w:rPr>
        <w:t>I - ingresso na carreira, cujo cargo inicial será o de juiz substituto, mediante concurso público de provas e títulos, com a participação da Ordem dos Advogados do Brasil em todas as fases, exigindo-se do bacharel em direito, no mínimo, três anos de atividade jurídica e obedecendo-se, nas nomeações, à ordem de classificação; (Redação da EC 45/2004)</w:t>
      </w:r>
    </w:p>
    <w:p>
      <w:pPr>
        <w:ind w:left="144"/>
      </w:pPr>
      <w:r>
        <w:rPr>
          <w:b/>
          <w:color w:val="B45A00"/>
          <w:sz w:val="16"/>
        </w:rPr>
        <w:t>CONTROLE CONCENTRADO</w:t>
      </w:r>
    </w:p>
    <w:p>
      <w:pPr>
        <w:ind w:left="288"/>
      </w:pPr>
      <w:r>
        <w:rPr>
          <w:color w:val="8C8C8C"/>
          <w:sz w:val="12"/>
        </w:rPr>
        <w:t>cf-art-93</w:t>
      </w:r>
      <w:r>
        <w:rPr>
          <w:color w:val="003CA0"/>
          <w:sz w:val="12"/>
        </w:rPr>
        <w:t xml:space="preserve"> | ADI 6.782</w:t>
      </w:r>
      <w:r>
        <w:rPr>
          <w:color w:val="003CA0"/>
          <w:sz w:val="12"/>
        </w:rPr>
        <w:t xml:space="preserve"> | rel. Gilmar Mendes</w:t>
      </w:r>
    </w:p>
    <w:p>
      <w:pPr>
        <w:ind w:left="288"/>
      </w:pPr>
      <w:r>
        <w:rPr>
          <w:color w:val="1E1E1E"/>
          <w:sz w:val="18"/>
        </w:rPr>
        <w:t>O Poder Judiciário é um Poder Nacional e seus membros devem estar submetidos a regras uniformes. (...) Inconstitucionalidade da previsão de permuta entre magistrados vinculados a diferentes Tribunais de Justiça.</w:t>
        <w:br/>
        <w:t xml:space="preserve">[ADI 6.782, rel. min. Gilmar Mendes, j. 06-03-2023, P, DJE de 22-3-2023.] O art. 52, V, da Lei 11.697/2008, ao estabelecer como requisito para ingresso na carreira da magistratura do Distrito Federal ou dos Territórios a idade mínima de 25 anos e máxima de 50, viola o disposto no art. 93, I, da Constituição Federal. Em assuntos diretamente relacionados à magistratura nacional, como as </w:t>
      </w:r>
    </w:p>
    <w:p>
      <w:pPr>
        <w:ind w:left="288"/>
      </w:pPr>
      <w:r>
        <w:rPr>
          <w:b/>
          <w:color w:val="003CA0"/>
          <w:sz w:val="16"/>
        </w:rPr>
        <w:t>[ADI 2.983, voto do rel. min. Carlos Velloso, j. 23-2-2005, P, DJ de 15-4-2005.]</w:t>
      </w:r>
    </w:p>
    <w:p>
      <w:pPr>
        <w:ind w:left="288"/>
      </w:pPr>
      <w:r>
        <w:rPr>
          <w:color w:val="8C8C8C"/>
          <w:sz w:val="12"/>
        </w:rPr>
        <w:t>cf-art-93</w:t>
      </w:r>
      <w:r>
        <w:rPr>
          <w:color w:val="003CA0"/>
          <w:sz w:val="12"/>
        </w:rPr>
        <w:t xml:space="preserve"> | ADI 2.210</w:t>
      </w:r>
      <w:r>
        <w:rPr>
          <w:color w:val="003CA0"/>
          <w:sz w:val="12"/>
        </w:rPr>
        <w:t xml:space="preserve"> | rel. Sepúlveda Pertence</w:t>
      </w:r>
    </w:p>
    <w:p>
      <w:pPr>
        <w:ind w:left="288"/>
      </w:pPr>
      <w:r>
        <w:rPr>
          <w:color w:val="1E1E1E"/>
          <w:sz w:val="18"/>
        </w:rPr>
        <w:t>Concurso para a magistratura: exigência constitucional de participação da OAB "em todas as suas fases": consequente plausibilidade da arguição de inconstitucionalidade das normas regulamentares do certame que: (a) confiaram exclusivamente ao presidente do tribunal de justiça, com recurso para o Plenário deste, decidir sobre os requerimentos de inscrição; (b) predeterminaram as notas a conferir a cada categoria de títulos: usurpação de atribuições da comissão, da qual há de participar a Ordem.</w:t>
      </w:r>
    </w:p>
    <w:p>
      <w:pPr>
        <w:ind w:left="288"/>
      </w:pPr>
      <w:r>
        <w:rPr>
          <w:b/>
          <w:color w:val="003CA0"/>
          <w:sz w:val="16"/>
        </w:rPr>
        <w:t>[ADI 2.210 MC, rel. min. Sepúlveda Pertence, j. 28-9-2000, P, DJ de 24-5-2002.]</w:t>
      </w:r>
    </w:p>
    <w:p>
      <w:pPr>
        <w:ind w:left="288"/>
      </w:pPr>
      <w:r>
        <w:rPr>
          <w:color w:val="8C8C8C"/>
          <w:sz w:val="12"/>
        </w:rPr>
        <w:t>cf-art-93</w:t>
      </w:r>
      <w:r>
        <w:rPr>
          <w:color w:val="003CA0"/>
          <w:sz w:val="12"/>
        </w:rPr>
        <w:t xml:space="preserve"> | ADI 2.204</w:t>
      </w:r>
      <w:r>
        <w:rPr>
          <w:color w:val="003CA0"/>
          <w:sz w:val="12"/>
        </w:rPr>
        <w:t xml:space="preserve"> | rel. Sydney Sanches</w:t>
      </w:r>
    </w:p>
    <w:p>
      <w:pPr>
        <w:ind w:left="288"/>
      </w:pPr>
      <w:r>
        <w:rPr>
          <w:color w:val="1E1E1E"/>
          <w:sz w:val="18"/>
        </w:rPr>
        <w:t>= ADI 2.204 MC, rel. min. Sydney Sanches, j. 8-11-2000, P, DJ de 2-2-2001</w:t>
      </w:r>
    </w:p>
    <w:p>
      <w:pPr>
        <w:ind w:left="144"/>
      </w:pPr>
      <w:r>
        <w:rPr>
          <w:b/>
          <w:color w:val="B45A00"/>
          <w:sz w:val="16"/>
        </w:rPr>
        <w:t>REPERCUSSAO GERAL</w:t>
      </w:r>
    </w:p>
    <w:p>
      <w:pPr>
        <w:ind w:left="288"/>
      </w:pPr>
      <w:r>
        <w:rPr>
          <w:color w:val="8C8C8C"/>
          <w:sz w:val="12"/>
        </w:rPr>
        <w:t>cf-art-93</w:t>
      </w:r>
      <w:r>
        <w:rPr>
          <w:color w:val="003CA0"/>
          <w:sz w:val="12"/>
        </w:rPr>
        <w:t xml:space="preserve"> | ADI 3.460.</w:t>
      </w:r>
      <w:r>
        <w:rPr>
          <w:color w:val="003CA0"/>
          <w:sz w:val="12"/>
        </w:rPr>
        <w:t xml:space="preserve"> | rel. Ayres Britto</w:t>
      </w:r>
    </w:p>
    <w:p>
      <w:pPr>
        <w:ind w:left="288"/>
      </w:pPr>
      <w:r>
        <w:rPr>
          <w:color w:val="1E1E1E"/>
          <w:sz w:val="18"/>
        </w:rPr>
        <w:t xml:space="preserve">Ingresso na carreira da magistratura. Art. 93, I, CRFB. EC 45/2004. Triênio de atividade jurídica privativa de bacharel em direito. Requisito de experimentação profissional. Momento da comprovação. Inscrição definitiva. Constitucionalidade da exigência. ADI 3.460. Reafirmação do precedente pela Suprema Corte. </w:t>
        <w:br/>
        <w:t>[RE 655.265, red. do ac. min. Edson Fachin, j. 13-4-2016, P, DJE de 5-8-2016, Tema 509.]</w:t>
        <w:br/>
        <w:t>Vide ADI 3.460, rel. min. Ayres Britto, j. 31-8-2006, P, DJ de 15-6-2007</w:t>
      </w:r>
    </w:p>
    <w:p>
      <w:pPr>
        <w:ind w:left="144"/>
      </w:pPr>
      <w:r>
        <w:rPr>
          <w:b/>
          <w:color w:val="B45A00"/>
          <w:sz w:val="16"/>
        </w:rPr>
        <w:t>JULGADOS CORRELATOS</w:t>
      </w:r>
    </w:p>
    <w:p>
      <w:pPr>
        <w:ind w:left="288"/>
      </w:pPr>
      <w:r>
        <w:rPr>
          <w:color w:val="8C8C8C"/>
          <w:sz w:val="12"/>
        </w:rPr>
        <w:t>cf-art-93</w:t>
      </w:r>
      <w:r>
        <w:rPr>
          <w:color w:val="003CA0"/>
          <w:sz w:val="12"/>
        </w:rPr>
        <w:t xml:space="preserve"> | MS 28.226</w:t>
      </w:r>
      <w:r>
        <w:rPr>
          <w:color w:val="003CA0"/>
          <w:sz w:val="12"/>
        </w:rPr>
        <w:t xml:space="preserve"> | rel. Luiz Fux</w:t>
      </w:r>
    </w:p>
    <w:p>
      <w:pPr>
        <w:ind w:left="288"/>
      </w:pPr>
      <w:r>
        <w:rPr>
          <w:color w:val="1E1E1E"/>
          <w:sz w:val="18"/>
        </w:rPr>
        <w:t>A comprovação de atividade jurídica, pode considerar o tempo de exercício em cargo não privativo de bacharel em Direito, desde que, ausentes dúvidas acerca da natureza eminentemente jurídica das funções desempenhadas.</w:t>
      </w:r>
    </w:p>
    <w:p>
      <w:pPr>
        <w:ind w:left="288"/>
      </w:pPr>
      <w:r>
        <w:rPr>
          <w:b/>
          <w:color w:val="003CA0"/>
          <w:sz w:val="16"/>
        </w:rPr>
        <w:t>[MS 28.226 AgR, rel. min. Luiz Fux, j. 4-8-2015, 1ª T, DJE de 26-8-2015.]</w:t>
      </w:r>
    </w:p>
    <w:p>
      <w:pPr>
        <w:ind w:left="288"/>
      </w:pPr>
      <w:r>
        <w:rPr>
          <w:color w:val="8C8C8C"/>
          <w:sz w:val="12"/>
        </w:rPr>
        <w:t>cf-art-93</w:t>
      </w:r>
      <w:r>
        <w:rPr>
          <w:color w:val="003CA0"/>
          <w:sz w:val="12"/>
        </w:rPr>
        <w:t xml:space="preserve"> | MS 32.042</w:t>
      </w:r>
      <w:r>
        <w:rPr>
          <w:color w:val="003CA0"/>
          <w:sz w:val="12"/>
        </w:rPr>
        <w:t xml:space="preserve"> | rel. Cármen Lúcia</w:t>
      </w:r>
    </w:p>
    <w:p>
      <w:pPr>
        <w:ind w:left="288"/>
      </w:pPr>
      <w:r>
        <w:rPr>
          <w:color w:val="1E1E1E"/>
          <w:sz w:val="18"/>
        </w:rPr>
        <w:t>Concurso público para ingresso na magistratura. Prova oral. Formulação de questões sobre temas não contemplados no ponto jurídico sorteado. Interposição de recurso administrativo. Alegada inviabilidade de revisar a nota obtida pelo candidato (art. 70, § 1º, da Resolução/CNJ 75/2009). Determinação de exclusão do certame. Impossibilidade. Distinção entre a irretratabilidade da nota atribuída ao candidato em prova oral e o exercício do controle administrativo da legalidade. Vinculação da administração às normas estabelecidas no edital de concurso público.</w:t>
      </w:r>
    </w:p>
    <w:p>
      <w:pPr>
        <w:ind w:left="288"/>
      </w:pPr>
      <w:r>
        <w:rPr>
          <w:b/>
          <w:color w:val="003CA0"/>
          <w:sz w:val="16"/>
        </w:rPr>
        <w:t>[MS 32.042, rel. min. Cármen Lúcia, j. 26-8-2014, 2ª T, DJE de 4-9-2014.]</w:t>
      </w:r>
    </w:p>
    <w:p>
      <w:pPr>
        <w:ind w:left="288"/>
      </w:pPr>
      <w:r>
        <w:rPr>
          <w:color w:val="8C8C8C"/>
          <w:sz w:val="12"/>
        </w:rPr>
        <w:t>cf-art-93</w:t>
      </w:r>
      <w:r>
        <w:rPr>
          <w:color w:val="003CA0"/>
          <w:sz w:val="12"/>
        </w:rPr>
        <w:t xml:space="preserve"> | MS 27.165</w:t>
      </w:r>
      <w:r>
        <w:rPr>
          <w:color w:val="003CA0"/>
          <w:sz w:val="12"/>
        </w:rPr>
        <w:t xml:space="preserve"> | rel. Joaquim Barbosa</w:t>
      </w:r>
    </w:p>
    <w:p>
      <w:pPr>
        <w:ind w:left="288"/>
      </w:pPr>
      <w:r>
        <w:rPr>
          <w:color w:val="1E1E1E"/>
          <w:sz w:val="18"/>
        </w:rPr>
        <w:t>Após a publicação do edital e no curso do certame, só se admite a alteração das regras do concurso se houver modificação na legislação que disciplina a respectiva carreira.</w:t>
      </w:r>
    </w:p>
    <w:p>
      <w:pPr>
        <w:ind w:left="288"/>
      </w:pPr>
      <w:r>
        <w:rPr>
          <w:b/>
          <w:color w:val="003CA0"/>
          <w:sz w:val="16"/>
        </w:rPr>
        <w:t>[MS 27.165, rel. min. Joaquim Barbosa, j. 18-12-2008, P, DJE de 6-3-2009.]</w:t>
      </w:r>
    </w:p>
    <w:p>
      <w:pPr>
        <w:ind w:left="288"/>
      </w:pPr>
      <w:r>
        <w:rPr>
          <w:color w:val="8C8C8C"/>
          <w:sz w:val="12"/>
        </w:rPr>
        <w:t>cf-art-93</w:t>
      </w:r>
      <w:r>
        <w:rPr>
          <w:color w:val="003CA0"/>
          <w:sz w:val="12"/>
        </w:rPr>
        <w:t xml:space="preserve"> | MS 26.700</w:t>
      </w:r>
      <w:r>
        <w:rPr>
          <w:color w:val="003CA0"/>
          <w:sz w:val="12"/>
        </w:rPr>
        <w:t xml:space="preserve"> | rel. Ricardo Lewandowski</w:t>
      </w:r>
    </w:p>
    <w:p>
      <w:pPr>
        <w:ind w:left="288"/>
      </w:pPr>
      <w:r>
        <w:rPr>
          <w:color w:val="1E1E1E"/>
          <w:sz w:val="18"/>
        </w:rPr>
        <w:t>CNJ. Anulação do XVIII concurso para ingresso na magistratura do Estado de Rondônia. Ofensa aos princípios da moralidade e impessoalidade. Inocorrência. (...) Não é possível presumir a existência de má-fé ou a ocorrência de irregularidades pelo simples fato de duas das candidatas aprovadas terem sido assessoras de desembargadores integrantes da banca examinadora.</w:t>
      </w:r>
    </w:p>
    <w:p>
      <w:pPr>
        <w:ind w:left="288"/>
      </w:pPr>
      <w:r>
        <w:rPr>
          <w:b/>
          <w:color w:val="003CA0"/>
          <w:sz w:val="16"/>
        </w:rPr>
        <w:t>[MS 26.700, rel. min. Ricardo Lewandowski, j. 21-5-2008, P, DJE de 27-6-2008.]</w:t>
        <w:br/>
        <w:t>Vide MS 28.775, red. do ac. min. Ricardo Lewandowski, j. 17-10-2017, 2ª T, DJE de 7-8-2018</w:t>
      </w:r>
    </w:p>
    <w:p>
      <w:pPr>
        <w:ind w:left="144"/>
      </w:pPr>
      <w:r>
        <w:rPr>
          <w:b/>
          <w:color w:val="B45A00"/>
          <w:sz w:val="16"/>
        </w:rPr>
        <w:t>SUMULA</w:t>
      </w:r>
    </w:p>
    <w:p>
      <w:pPr>
        <w:ind w:left="288"/>
      </w:pPr>
      <w:r>
        <w:rPr>
          <w:color w:val="8C8C8C"/>
          <w:sz w:val="12"/>
        </w:rPr>
        <w:t>cf-art-93-inc-II</w:t>
      </w:r>
    </w:p>
    <w:p>
      <w:pPr>
        <w:ind w:left="288"/>
      </w:pPr>
      <w:r>
        <w:rPr>
          <w:color w:val="1E1E1E"/>
          <w:sz w:val="18"/>
        </w:rPr>
        <w:t>A elevação da entrância da comarca não promove automaticamente o Juiz, mas não interrompe o exercício de suas funções na mesma comarca.</w:t>
      </w:r>
    </w:p>
    <w:p>
      <w:pPr>
        <w:ind w:left="288"/>
      </w:pPr>
      <w:r>
        <w:rPr>
          <w:b/>
          <w:color w:val="003CA0"/>
          <w:sz w:val="16"/>
        </w:rPr>
        <w:t>[Súmula 40.]</w:t>
      </w:r>
    </w:p>
    <w:p>
      <w:pPr>
        <w:ind w:left="288"/>
      </w:pPr>
      <w:r>
        <w:rPr>
          <w:color w:val="8C8C8C"/>
          <w:sz w:val="12"/>
        </w:rPr>
        <w:t>cf-art-93-inc-II</w:t>
      </w:r>
      <w:r>
        <w:rPr>
          <w:color w:val="003CA0"/>
          <w:sz w:val="12"/>
        </w:rPr>
        <w:t xml:space="preserve"> | ADI 6.757</w:t>
      </w:r>
      <w:r>
        <w:rPr>
          <w:color w:val="003CA0"/>
          <w:sz w:val="12"/>
        </w:rPr>
        <w:t xml:space="preserve"> | rel. Nunes Marques</w:t>
      </w:r>
    </w:p>
    <w:p>
      <w:pPr>
        <w:ind w:left="288"/>
      </w:pPr>
      <w:r>
        <w:rPr>
          <w:color w:val="1E1E1E"/>
          <w:sz w:val="18"/>
        </w:rPr>
        <w:t>Levando em conta o regime instituído pela Emenda Constitucional n. 45/2004, nas carreiras das magistraturas federal e estadual a remoção precede a promoção por antiguidade ou por merecimento (CF, art. 93, VIII-A) Cancelamento do Tema 964/RG. Modulação de efeitos prospectivos, com a concessão do prazo de 12 meses, contados da publicação da ata deste julgamento, para implementação pelos tribunais da sistemática aqui estabelecida, ressalvados os concursos de remoção ou promoção já finalizados, e mantidas, nesse período, as regras até então estipuladas pelos tribunais.</w:t>
      </w:r>
    </w:p>
    <w:p>
      <w:pPr>
        <w:ind w:left="288"/>
      </w:pPr>
      <w:r>
        <w:rPr>
          <w:b/>
          <w:color w:val="003CA0"/>
          <w:sz w:val="16"/>
        </w:rPr>
        <w:t>[ADI 6.757, rel. min. Nunes Marques, j. 20.02.2025, P, DJE de 24.04.2025.]</w:t>
      </w:r>
    </w:p>
    <w:p>
      <w:pPr>
        <w:ind w:left="144"/>
      </w:pPr>
      <w:r>
        <w:rPr>
          <w:b/>
          <w:color w:val="B45A00"/>
          <w:sz w:val="16"/>
        </w:rPr>
        <w:t>CONTROLE CONCENTRADO</w:t>
      </w:r>
    </w:p>
    <w:p>
      <w:pPr>
        <w:ind w:left="288"/>
      </w:pPr>
      <w:r>
        <w:rPr>
          <w:color w:val="8C8C8C"/>
          <w:sz w:val="12"/>
        </w:rPr>
        <w:t>cf-art-93-inc-II</w:t>
      </w:r>
      <w:r>
        <w:rPr>
          <w:color w:val="003CA0"/>
          <w:sz w:val="12"/>
        </w:rPr>
        <w:t xml:space="preserve"> | ADI 3.698</w:t>
      </w:r>
      <w:r>
        <w:rPr>
          <w:color w:val="003CA0"/>
          <w:sz w:val="12"/>
        </w:rPr>
        <w:t xml:space="preserve"> | rel. Gilmar Mendes</w:t>
      </w:r>
    </w:p>
    <w:p>
      <w:pPr>
        <w:ind w:left="288"/>
      </w:pPr>
      <w:r>
        <w:rPr>
          <w:color w:val="1E1E1E"/>
          <w:sz w:val="18"/>
        </w:rPr>
        <w:t>O Supremo Tribunal Federal tem jurisprudência assentada no sentido da inconstitucionalidade, por violação ao art. 93 da Constituição Federal, de normas estaduais, legais ou constitucionais, que disciplinem matérias próprias do Estatuto da Magistratura, em desacordo com ele ou em caráter inovador. Neste contexto, a LOMAN não consagrou o disposto no artigo 164 da Lei 12.342, de 28 de julho de 1994, do Estado do Ceará, que estabelece condições estranhas à função jurisdicional para determinar o desempate entre aqueles que estejam concorrendo à promoção por antiguidade.</w:t>
      </w:r>
    </w:p>
    <w:p>
      <w:pPr>
        <w:ind w:left="288"/>
      </w:pPr>
      <w:r>
        <w:rPr>
          <w:b/>
          <w:color w:val="003CA0"/>
          <w:sz w:val="16"/>
        </w:rPr>
        <w:t>[ADI 3.698, rel. min. Gilmar Mendes, j. 9-5-2019, P, DJE de 15-8-2019.]</w:t>
      </w:r>
    </w:p>
    <w:p>
      <w:pPr>
        <w:ind w:left="288"/>
      </w:pPr>
      <w:r>
        <w:rPr>
          <w:color w:val="8C8C8C"/>
          <w:sz w:val="12"/>
        </w:rPr>
        <w:t>cf-art-93-inc-II</w:t>
      </w:r>
      <w:r>
        <w:rPr>
          <w:color w:val="003CA0"/>
          <w:sz w:val="12"/>
        </w:rPr>
        <w:t xml:space="preserve"> | ADI 4.414</w:t>
      </w:r>
      <w:r>
        <w:rPr>
          <w:color w:val="003CA0"/>
          <w:sz w:val="12"/>
        </w:rPr>
        <w:t xml:space="preserve"> | rel. Luiz Fux</w:t>
      </w:r>
    </w:p>
    <w:p>
      <w:pPr>
        <w:ind w:left="288"/>
      </w:pPr>
      <w:r>
        <w:rPr>
          <w:color w:val="1E1E1E"/>
          <w:sz w:val="18"/>
        </w:rPr>
        <w:t xml:space="preserve">Criação, por lei estadual, de varas especializadas em delitos praticados por organizações criminosas. (...) Os juízes integrantes de vara especializada criada por lei estadual devem ser designados com observância dos parâmetros constitucionais de antiguidade e merecimento previstos no art. 93, II e VIII-A, da Constituição da República, sendo inconstitucional, em vista da necessidade de preservação da independência do julgador, previsão normativa segundo a qual a indicação e nomeação dos magistrados que ocuparão a referida vara será feita pelo presidente do tribunal de justiça, com a aprovação </w:t>
      </w:r>
    </w:p>
    <w:p>
      <w:pPr>
        <w:ind w:left="288"/>
      </w:pPr>
      <w:r>
        <w:rPr>
          <w:b/>
          <w:color w:val="003CA0"/>
          <w:sz w:val="16"/>
        </w:rPr>
        <w:t>[ADI 4.414, rel. min. Luiz Fux, j. 31-5-2012, P, DJE de 17-6-2013.]</w:t>
      </w:r>
    </w:p>
    <w:p>
      <w:pPr>
        <w:ind w:left="288"/>
      </w:pPr>
      <w:r>
        <w:rPr>
          <w:color w:val="8C8C8C"/>
          <w:sz w:val="12"/>
        </w:rPr>
        <w:t>cf-art-93-inc-II</w:t>
      </w:r>
      <w:r>
        <w:rPr>
          <w:color w:val="003CA0"/>
          <w:sz w:val="12"/>
        </w:rPr>
        <w:t xml:space="preserve"> | ADI 2.494</w:t>
      </w:r>
      <w:r>
        <w:rPr>
          <w:color w:val="003CA0"/>
          <w:sz w:val="12"/>
        </w:rPr>
        <w:t xml:space="preserve"> | rel. Eros Grau</w:t>
      </w:r>
    </w:p>
    <w:p>
      <w:pPr>
        <w:ind w:left="288"/>
      </w:pPr>
      <w:r>
        <w:rPr>
          <w:color w:val="1E1E1E"/>
          <w:sz w:val="18"/>
        </w:rPr>
        <w:t xml:space="preserve">LC 212 do Estado de Santa Catarina, que conferiu nova redação ao art. 192 da Lei 5.624/1979. Preceito que determina a precedência da remoção de juízes às promoções por antiguidade ou merecimento. (...) Até o advento da lei complementar prevista no art. 93, caput, da Constituição do Brasil, a matéria própria ao Estatuto da Magistratura será disciplinada pelo texto da LC 35/1979, recebida pela Constituição. (...) A lei atacada dispôs sobre matéria constitucionalmente reservada a lei complementar de iniciativa do STF, violando o disposto no art. 93 da Constituição. Ressalvada a validade dos atos </w:t>
      </w:r>
    </w:p>
    <w:p>
      <w:pPr>
        <w:ind w:left="288"/>
      </w:pPr>
      <w:r>
        <w:rPr>
          <w:b/>
          <w:color w:val="003CA0"/>
          <w:sz w:val="16"/>
        </w:rPr>
        <w:t>[ADI 2.494, rel. min. Eros Grau, j. 26-4-2006, P, DJ de 13-10-2006.]</w:t>
      </w:r>
    </w:p>
    <w:p>
      <w:pPr>
        <w:ind w:left="288"/>
      </w:pPr>
      <w:r>
        <w:rPr>
          <w:color w:val="8C8C8C"/>
          <w:sz w:val="12"/>
        </w:rPr>
        <w:t>cf-art-93-inc-II</w:t>
      </w:r>
      <w:r>
        <w:rPr>
          <w:color w:val="003CA0"/>
          <w:sz w:val="12"/>
        </w:rPr>
        <w:t xml:space="preserve"> | ADI 1.837</w:t>
      </w:r>
      <w:r>
        <w:rPr>
          <w:color w:val="003CA0"/>
          <w:sz w:val="12"/>
        </w:rPr>
        <w:t xml:space="preserve"> | rel. Sydney Sanches</w:t>
      </w:r>
    </w:p>
    <w:p>
      <w:pPr>
        <w:ind w:left="288"/>
      </w:pPr>
      <w:r>
        <w:rPr>
          <w:color w:val="1E1E1E"/>
          <w:sz w:val="18"/>
        </w:rPr>
        <w:t>O dispositivo impugnado promove, automaticamente, à entrância especial os juízes em exercício nas varas do Juizado Especial da Comarca de Fortaleza, sem observar o princípio da alternância, na promoção, por antiguidade e merecimento (art. 93, II, da CF). Ação direta julgada procedente.</w:t>
      </w:r>
    </w:p>
    <w:p>
      <w:pPr>
        <w:ind w:left="288"/>
      </w:pPr>
      <w:r>
        <w:rPr>
          <w:b/>
          <w:color w:val="003CA0"/>
          <w:sz w:val="16"/>
        </w:rPr>
        <w:t>[ADI 1.837, rel. min. Sydney Sanches, j. 19-3-2003, P, DJ de 2-5-2003.]</w:t>
      </w:r>
    </w:p>
    <w:p>
      <w:pPr>
        <w:ind w:left="288"/>
      </w:pPr>
      <w:r>
        <w:rPr>
          <w:color w:val="8C8C8C"/>
          <w:sz w:val="12"/>
        </w:rPr>
        <w:t>cf-art-93-inc-II</w:t>
      </w:r>
      <w:r>
        <w:rPr>
          <w:color w:val="003CA0"/>
          <w:sz w:val="12"/>
        </w:rPr>
        <w:t xml:space="preserve"> | ADI 581</w:t>
      </w:r>
      <w:r>
        <w:rPr>
          <w:color w:val="003CA0"/>
          <w:sz w:val="12"/>
        </w:rPr>
        <w:t xml:space="preserve"> | rel. Marco Aurélio</w:t>
      </w:r>
    </w:p>
    <w:p>
      <w:pPr>
        <w:ind w:left="288"/>
      </w:pPr>
      <w:r>
        <w:rPr>
          <w:color w:val="1E1E1E"/>
          <w:sz w:val="18"/>
        </w:rPr>
        <w:t>Lista de merecimento. TRT 21ª Região. Rio Grande do Norte. Lei 8.215/1991. Constitucionalidade. A Lei 8.215/1991 mostra-se constitucional no que se lhe empreste interpretação harmônica com as seguintes premissas: a) a consideração do exercício por mais de dois anos e da quinta parte da lista de antiguidade ocorre vaga a vaga, descabendo fixá-la, de início e de forma global, para preenchimento das diversas existentes; b) confeccionada a lista de merecimento para a primeira vaga, apuram-se, para a vaga subsequente, os nomes dos juízes que, afastados os já selecionados, componham a referida quint</w:t>
      </w:r>
    </w:p>
    <w:p>
      <w:pPr>
        <w:ind w:left="288"/>
      </w:pPr>
      <w:r>
        <w:rPr>
          <w:b/>
          <w:color w:val="003CA0"/>
          <w:sz w:val="16"/>
        </w:rPr>
        <w:t>[ADI 581, rel. min. Marco Aurélio, j. 12-8-1992, P, DJ de 6-11-1992.]</w:t>
      </w:r>
    </w:p>
    <w:p>
      <w:pPr>
        <w:ind w:left="288"/>
      </w:pPr>
      <w:r>
        <w:rPr>
          <w:color w:val="8C8C8C"/>
          <w:sz w:val="12"/>
        </w:rPr>
        <w:t>cf-art-93-inc-II</w:t>
      </w:r>
      <w:r>
        <w:rPr>
          <w:color w:val="003CA0"/>
          <w:sz w:val="12"/>
        </w:rPr>
        <w:t xml:space="preserve"> | ADI 189</w:t>
      </w:r>
      <w:r>
        <w:rPr>
          <w:color w:val="003CA0"/>
          <w:sz w:val="12"/>
        </w:rPr>
        <w:t xml:space="preserve"> | rel. Celso de Mello</w:t>
      </w:r>
    </w:p>
    <w:p>
      <w:pPr>
        <w:ind w:left="288"/>
      </w:pPr>
      <w:r>
        <w:rPr>
          <w:color w:val="1E1E1E"/>
          <w:sz w:val="18"/>
        </w:rPr>
        <w:t>É inconstitucional a cláusula constante de ato regimental, editado por tribunal de justiça, que estabelece, como elemento de desempate nas promoções por merecimento, o fator de ordem temporal – a antiguidade na entrância –, desestruturando, desse modo, a dualidade de critérios para acesso aos tribunais de segundo grau, consagrada no art. 93 da Lei Fundamental da República.</w:t>
      </w:r>
    </w:p>
    <w:p>
      <w:pPr>
        <w:ind w:left="288"/>
      </w:pPr>
      <w:r>
        <w:rPr>
          <w:b/>
          <w:color w:val="003CA0"/>
          <w:sz w:val="16"/>
        </w:rPr>
        <w:t>[ADI 189, rel. min. Celso de Mello, j. 9-10-1991, P, DJ de 22-5-1992.]</w:t>
      </w:r>
    </w:p>
    <w:p>
      <w:pPr>
        <w:ind w:left="144"/>
      </w:pPr>
      <w:r>
        <w:rPr>
          <w:b/>
          <w:color w:val="B45A00"/>
          <w:sz w:val="16"/>
        </w:rPr>
        <w:t>JULGADOS CORRELATOS</w:t>
      </w:r>
    </w:p>
    <w:p>
      <w:pPr>
        <w:ind w:left="288"/>
      </w:pPr>
      <w:r>
        <w:rPr>
          <w:color w:val="8C8C8C"/>
          <w:sz w:val="12"/>
        </w:rPr>
        <w:t>cf-art-93-inc-II</w:t>
      </w:r>
      <w:r>
        <w:rPr>
          <w:color w:val="003CA0"/>
          <w:sz w:val="12"/>
        </w:rPr>
        <w:t xml:space="preserve"> | MS 35.957</w:t>
      </w:r>
      <w:r>
        <w:rPr>
          <w:color w:val="003CA0"/>
          <w:sz w:val="12"/>
        </w:rPr>
        <w:t xml:space="preserve"> | rel. Alexandre de Moraes</w:t>
      </w:r>
    </w:p>
    <w:p>
      <w:pPr>
        <w:ind w:left="288"/>
      </w:pPr>
      <w:r>
        <w:rPr>
          <w:color w:val="1E1E1E"/>
          <w:sz w:val="18"/>
        </w:rPr>
        <w:t>(...) a circunstância de oportunizar aos juízes advindos do critério de antiguidade a preferência na escolha de uma dentre as sete varas vagas, acaba por ignorar completamente a necessária vinculação de cada unidade vaga ao seu respectivo critério de merecimento ou antiguidade, cuja alternância deve seguir conforme a ordem cronológica das vacâncias. Ou seja, a desvinculação da vara vaga do seu respectivo critério de merecimento ou antiguidade – previamente estabelecido no momento da vacância – distorce a exigência constitucional de alternância entre merecimento e antiguidade, em completo desre</w:t>
      </w:r>
    </w:p>
    <w:p>
      <w:pPr>
        <w:ind w:left="288"/>
      </w:pPr>
      <w:r>
        <w:rPr>
          <w:b/>
          <w:color w:val="003CA0"/>
          <w:sz w:val="16"/>
        </w:rPr>
        <w:t>[MS 35.957 AgR, voto do rel. min. Alexandre de Moraes, j. 14-12-2018, 1ª T, DJE de 6-2-2019.]</w:t>
      </w:r>
    </w:p>
    <w:p>
      <w:pPr>
        <w:ind w:left="288"/>
      </w:pPr>
      <w:r>
        <w:rPr>
          <w:color w:val="8C8C8C"/>
          <w:sz w:val="12"/>
        </w:rPr>
        <w:t>cf-art-93-inc-II</w:t>
      </w:r>
      <w:r>
        <w:rPr>
          <w:color w:val="003CA0"/>
          <w:sz w:val="12"/>
        </w:rPr>
        <w:t xml:space="preserve"> | MS 26.366</w:t>
      </w:r>
      <w:r>
        <w:rPr>
          <w:color w:val="003CA0"/>
          <w:sz w:val="12"/>
        </w:rPr>
        <w:t xml:space="preserve"> | rel. Marco Aurélio</w:t>
      </w:r>
    </w:p>
    <w:p>
      <w:pPr>
        <w:ind w:left="288"/>
      </w:pPr>
      <w:r>
        <w:rPr>
          <w:color w:val="1E1E1E"/>
          <w:sz w:val="18"/>
        </w:rPr>
        <w:t>O concurso de remoção pressupõe encontrar-se vago o cargo envolvido. (...) Ocorrendo a modificação da natureza do juízo, passando este a ser de entrância de maior envergadura, cumpre preservar a situação do magistrado que o exerce.</w:t>
      </w:r>
    </w:p>
    <w:p>
      <w:pPr>
        <w:ind w:left="288"/>
      </w:pPr>
      <w:r>
        <w:rPr>
          <w:b/>
          <w:color w:val="003CA0"/>
          <w:sz w:val="16"/>
        </w:rPr>
        <w:t>[MS 26.366, rel. min. Marco Aurélio, j. 24-6-2014, 1ª T, DJE de 23-9-2014.]</w:t>
      </w:r>
    </w:p>
    <w:p>
      <w:pPr>
        <w:ind w:left="288"/>
      </w:pPr>
      <w:r>
        <w:rPr>
          <w:color w:val="8C8C8C"/>
          <w:sz w:val="12"/>
        </w:rPr>
        <w:t>cf-art-93-inc-II</w:t>
      </w:r>
      <w:r>
        <w:rPr>
          <w:color w:val="003CA0"/>
          <w:sz w:val="12"/>
        </w:rPr>
        <w:t xml:space="preserve"> | MS 28.254</w:t>
      </w:r>
      <w:r>
        <w:rPr>
          <w:color w:val="003CA0"/>
          <w:sz w:val="12"/>
        </w:rPr>
        <w:t xml:space="preserve"> | rel. Ricardo Lewandowski</w:t>
      </w:r>
    </w:p>
    <w:p>
      <w:pPr>
        <w:ind w:left="288"/>
      </w:pPr>
      <w:r>
        <w:rPr>
          <w:color w:val="1E1E1E"/>
          <w:sz w:val="18"/>
        </w:rPr>
        <w:t>(...) o ato de composição das turmas recursais não caracteriza promoção de magistrado para outra entrância ou mesmo de remoção, porém de mera designação para integrar órgão de primeiro grau, não se impondo, portanto, a observância dos critérios de merecimento ou antiguidade. Nessa linha, a definição dos critérios para composição da turma recursal é ato interna corporis do respectivo tribunal.</w:t>
      </w:r>
    </w:p>
    <w:p>
      <w:pPr>
        <w:ind w:left="288"/>
      </w:pPr>
      <w:r>
        <w:rPr>
          <w:b/>
          <w:color w:val="003CA0"/>
          <w:sz w:val="16"/>
        </w:rPr>
        <w:t>[MS 28.254 AgR, rel. min. Ricardo Lewandowski, j. 24-3-2011, P, DJE de 12-4-2011.]</w:t>
      </w:r>
    </w:p>
    <w:p>
      <w:pPr>
        <w:ind w:left="288"/>
      </w:pPr>
      <w:r>
        <w:rPr>
          <w:color w:val="8C8C8C"/>
          <w:sz w:val="12"/>
        </w:rPr>
        <w:t>cf-art-93-inc-II</w:t>
      </w:r>
      <w:r>
        <w:rPr>
          <w:color w:val="003CA0"/>
          <w:sz w:val="12"/>
        </w:rPr>
        <w:t xml:space="preserve"> | RCL 2.772</w:t>
      </w:r>
      <w:r>
        <w:rPr>
          <w:color w:val="003CA0"/>
          <w:sz w:val="12"/>
        </w:rPr>
        <w:t xml:space="preserve"> | rel. Cezar Peluso</w:t>
      </w:r>
    </w:p>
    <w:p>
      <w:pPr>
        <w:ind w:left="288"/>
      </w:pPr>
      <w:r>
        <w:rPr>
          <w:color w:val="1E1E1E"/>
          <w:sz w:val="18"/>
        </w:rPr>
        <w:t>Magistrado. Promoção por merecimento. Vaga única em TRT. Lista tríplice. Composição. Mandado de segurança concedido a juíza que era um dos três únicos magistrados que, à data da confecção, cumpriam todos os requisitos constitucionais. Trânsito em julgado. Recomposição necessária da lista com o nome daqueles três magistrados. Sessenta e cinco anos completados por um deles no curso do processo. Irrelevância. Atuação da lei no momento em que incidiu. Impossibilidade de a duração do processo reverter em dano de quem tem razão.</w:t>
      </w:r>
    </w:p>
    <w:p>
      <w:pPr>
        <w:ind w:left="288"/>
      </w:pPr>
      <w:r>
        <w:rPr>
          <w:b/>
          <w:color w:val="003CA0"/>
          <w:sz w:val="16"/>
        </w:rPr>
        <w:t>[Rcl 2.772 ED, rel. min. Cezar Peluso, j. 23-8-2006, P, DJ de 23-2-2007.]</w:t>
      </w:r>
    </w:p>
    <w:p>
      <w:pPr>
        <w:ind w:left="288"/>
      </w:pPr>
      <w:r>
        <w:rPr>
          <w:color w:val="8C8C8C"/>
          <w:sz w:val="12"/>
        </w:rPr>
        <w:t>cf-art-93-inc-II-ali-a</w:t>
      </w:r>
      <w:r>
        <w:rPr>
          <w:color w:val="003CA0"/>
          <w:sz w:val="12"/>
        </w:rPr>
        <w:t xml:space="preserve"> | MS 30.585</w:t>
      </w:r>
      <w:r>
        <w:rPr>
          <w:color w:val="003CA0"/>
          <w:sz w:val="12"/>
        </w:rPr>
        <w:t xml:space="preserve"> | rel. Ricardo Lewandowski</w:t>
      </w:r>
    </w:p>
    <w:p>
      <w:pPr>
        <w:ind w:left="288"/>
      </w:pPr>
      <w:r>
        <w:rPr>
          <w:color w:val="1E1E1E"/>
          <w:sz w:val="18"/>
        </w:rPr>
        <w:t>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inciso III do mencionado dispositivo que não altera tal entendimento.</w:t>
      </w:r>
    </w:p>
    <w:p>
      <w:pPr>
        <w:ind w:left="288"/>
      </w:pPr>
      <w:r>
        <w:rPr>
          <w:b/>
          <w:color w:val="003CA0"/>
          <w:sz w:val="16"/>
        </w:rPr>
        <w:t>[MS 30.585, rel. min. Ricardo Lewandowski, j. 12-9-2012, P, DJE de 28-11-2012.]</w:t>
      </w:r>
    </w:p>
    <w:p>
      <w:pPr>
        <w:ind w:left="288"/>
      </w:pPr>
      <w:r>
        <w:rPr>
          <w:color w:val="8C8C8C"/>
          <w:sz w:val="12"/>
        </w:rPr>
        <w:t>cf-art-93-inc-II-ali-a</w:t>
      </w:r>
      <w:r>
        <w:rPr>
          <w:color w:val="003CA0"/>
          <w:sz w:val="12"/>
        </w:rPr>
        <w:t xml:space="preserve"> | MS 31.375</w:t>
      </w:r>
      <w:r>
        <w:rPr>
          <w:color w:val="003CA0"/>
          <w:sz w:val="12"/>
        </w:rPr>
        <w:t xml:space="preserve"> | rel. Cármen Lúcia</w:t>
      </w:r>
    </w:p>
    <w:p>
      <w:pPr>
        <w:ind w:left="288"/>
      </w:pPr>
      <w:r>
        <w:rPr>
          <w:color w:val="1E1E1E"/>
          <w:sz w:val="18"/>
        </w:rPr>
        <w:t>= MS 31.375, rel. min. Cármen Lúcia, j. 26-6-2013, P, DJE de 8-8-2013 No que diz respeito ao mérito, entendo que, da conjugação dos arts. 93, II, b, e III; 107, II, da CF com os arts. 80, 82, 84 e 88 da LC 35 de 14-6-1979 – Loman – a confecção de lista quádrupla, ao invés de duas listas tríplices, corresponde à prática legítima. Primeiro, porque o critério da lista quádrupla, no caso de existência de duas vagas a serem preenchidas, equivale ao de duas listas triplas, já que, escolhido inicialmente um dos nomes entre quatro, ainda restam três nomes para a segunda escolha, como bem ponderou o mi</w:t>
      </w:r>
    </w:p>
    <w:p>
      <w:pPr>
        <w:ind w:left="288"/>
      </w:pPr>
      <w:r>
        <w:rPr>
          <w:b/>
          <w:color w:val="003CA0"/>
          <w:sz w:val="16"/>
        </w:rPr>
        <w:t>[MS 23.789, voto da rel. min. Ellen Gracie, j. 30-6-2005, P, DJ de 23-9-2005.]</w:t>
      </w:r>
    </w:p>
    <w:p>
      <w:pPr>
        <w:ind w:left="288"/>
      </w:pPr>
      <w:r>
        <w:rPr>
          <w:color w:val="8C8C8C"/>
          <w:sz w:val="12"/>
        </w:rPr>
        <w:t>cf-art-93-inc-II-ali-a</w:t>
      </w:r>
      <w:r>
        <w:rPr>
          <w:color w:val="003CA0"/>
          <w:sz w:val="12"/>
        </w:rPr>
        <w:t xml:space="preserve"> | MS 21.571</w:t>
      </w:r>
      <w:r>
        <w:rPr>
          <w:color w:val="003CA0"/>
          <w:sz w:val="12"/>
        </w:rPr>
        <w:t xml:space="preserve"> | rel. Sepúlveda Pertence</w:t>
      </w:r>
    </w:p>
    <w:p>
      <w:pPr>
        <w:ind w:left="288"/>
      </w:pPr>
      <w:r>
        <w:rPr>
          <w:color w:val="1E1E1E"/>
          <w:sz w:val="18"/>
        </w:rPr>
        <w:t>Poder Judiciário: promoção compulsória do magistrado incluído por três vezes consecutivas em lista de merecimento (CF, art. 93, II, a): não incidência, quando as duas listas anteriores se destinaram à composição de TRT diverso, criado por desmembramento da área territorial de jurisdição daquele a que se destina a terceira.</w:t>
      </w:r>
    </w:p>
    <w:p>
      <w:pPr>
        <w:ind w:left="288"/>
      </w:pPr>
      <w:r>
        <w:rPr>
          <w:b/>
          <w:color w:val="003CA0"/>
          <w:sz w:val="16"/>
        </w:rPr>
        <w:t>[MS 21.571, rel. min. Sepúlveda Pertence, j. 29-4-1993, P, DJ de 13-6-1997.]</w:t>
      </w:r>
    </w:p>
    <w:p>
      <w:pPr>
        <w:ind w:left="288"/>
      </w:pPr>
      <w:r>
        <w:rPr>
          <w:color w:val="8C8C8C"/>
          <w:sz w:val="12"/>
        </w:rPr>
        <w:t>cf-art-93-inc-II-ali-a</w:t>
      </w:r>
    </w:p>
    <w:p>
      <w:pPr>
        <w:ind w:left="288"/>
      </w:pPr>
      <w:r>
        <w:rPr>
          <w:color w:val="1E1E1E"/>
          <w:sz w:val="18"/>
        </w:rPr>
        <w:t>b) a promoção por merecimento pressupõe dois anos de exercício na respectiva entrância e integrar o juiz a primeira quinta parte da lista de antiguidade desta, salvo se não houver com tais requisitos quem aceite o lugar vago;</w:t>
      </w:r>
    </w:p>
    <w:p>
      <w:pPr>
        <w:ind w:left="288"/>
      </w:pPr>
      <w:r>
        <w:rPr>
          <w:color w:val="8C8C8C"/>
          <w:sz w:val="12"/>
        </w:rPr>
        <w:t>cf-art-93-inc-II-ali-a</w:t>
      </w:r>
      <w:r>
        <w:rPr>
          <w:color w:val="003CA0"/>
          <w:sz w:val="12"/>
        </w:rPr>
        <w:t xml:space="preserve"> | MS 23.789</w:t>
      </w:r>
      <w:r>
        <w:rPr>
          <w:color w:val="003CA0"/>
          <w:sz w:val="12"/>
        </w:rPr>
        <w:t xml:space="preserve"> | rel. Ellen Gracie</w:t>
      </w:r>
    </w:p>
    <w:p>
      <w:pPr>
        <w:ind w:left="288"/>
      </w:pPr>
      <w:r>
        <w:rPr>
          <w:color w:val="1E1E1E"/>
          <w:sz w:val="18"/>
        </w:rPr>
        <w:t>A teor dos arts. 93, II, b, e III; 107, II, da CF e 80, 82, 84 e 88 da Loman, a confecção de lista quádrupla, ao invés de duas listas tríplices, é legítima.</w:t>
      </w:r>
    </w:p>
    <w:p>
      <w:pPr>
        <w:ind w:left="288"/>
      </w:pPr>
      <w:r>
        <w:rPr>
          <w:b/>
          <w:color w:val="003CA0"/>
          <w:sz w:val="16"/>
        </w:rPr>
        <w:t>[MS 23.789, rel. min. Ellen Gracie, j. 30-6-2005, P, DJ de 23-9-2005.]</w:t>
      </w:r>
    </w:p>
    <w:p>
      <w:pPr>
        <w:ind w:left="288"/>
      </w:pPr>
      <w:r>
        <w:rPr>
          <w:color w:val="8C8C8C"/>
          <w:sz w:val="12"/>
        </w:rPr>
        <w:t>cf-art-93-inc-II-ali-a</w:t>
      </w:r>
      <w:r>
        <w:rPr>
          <w:color w:val="003CA0"/>
          <w:sz w:val="12"/>
        </w:rPr>
        <w:t xml:space="preserve"> | ADI 281</w:t>
      </w:r>
      <w:r>
        <w:rPr>
          <w:color w:val="003CA0"/>
          <w:sz w:val="12"/>
        </w:rPr>
        <w:t xml:space="preserve"> | rel. Marco Aurélio</w:t>
      </w:r>
    </w:p>
    <w:p>
      <w:pPr>
        <w:ind w:left="288"/>
      </w:pPr>
      <w:r>
        <w:rPr>
          <w:color w:val="1E1E1E"/>
          <w:sz w:val="18"/>
        </w:rPr>
        <w:t>A lista tríplice elaborada pelo tribunal deve obedecer aos dois requisitos previstos no art. 93, II, b, da Constituição do Brasil (redação anterior à EC 45/2004), levando-se em conta as seguintes premissas, assentadas pela jurisprudência desta Corte: a) Para os lugares remanescentes na lista tríplice, na ausência de juízes que atendam cumulativamente às condições ali estabelecidas, apura-se novamente a primeira quinta parte dos mais antigos, incluídos todos os magistrados. Precedentes (ADI 281, rel. min. Marco Aurélio, RE 239.595, rel. min. Sepúlveda Pertence); b) A quinta parte da lista de an</w:t>
      </w:r>
    </w:p>
    <w:p>
      <w:pPr>
        <w:ind w:left="288"/>
      </w:pPr>
      <w:r>
        <w:rPr>
          <w:b/>
          <w:color w:val="003CA0"/>
          <w:sz w:val="16"/>
        </w:rPr>
        <w:t>[MS 24.575, rel. min. Eros Grau, j. 15-12-2004, P, DJ de 4-3-2005.]</w:t>
      </w:r>
    </w:p>
    <w:p>
      <w:pPr>
        <w:ind w:left="288"/>
      </w:pPr>
      <w:r>
        <w:rPr>
          <w:color w:val="8C8C8C"/>
          <w:sz w:val="12"/>
        </w:rPr>
        <w:t>cf-art-93-inc-II-ali-a</w:t>
      </w:r>
      <w:r>
        <w:rPr>
          <w:color w:val="003CA0"/>
          <w:sz w:val="12"/>
        </w:rPr>
        <w:t xml:space="preserve"> | ADI 581</w:t>
      </w:r>
      <w:r>
        <w:rPr>
          <w:color w:val="003CA0"/>
          <w:sz w:val="12"/>
        </w:rPr>
        <w:t xml:space="preserve"> | rel. Cezar Peluso</w:t>
      </w:r>
    </w:p>
    <w:p>
      <w:pPr>
        <w:ind w:left="288"/>
      </w:pPr>
      <w:r>
        <w:rPr>
          <w:color w:val="1E1E1E"/>
          <w:sz w:val="18"/>
        </w:rPr>
        <w:t>Inteligência do art. 93, II, b e d, da CF e da interpretação fixada na ADI 581/DF. Ofende direito líquido e certo de magistrado que, sendo um dos três únicos juízes com plenas condições constitucionais de promoção por merecimento, é preterido, sem recusa em procedimento próprio e específico, por outros dois que não pertencem à primeira quinta parte da lista de antiguidade, na composição de lista tríplice para o preenchimento de uma única vaga.</w:t>
      </w:r>
    </w:p>
    <w:p>
      <w:pPr>
        <w:ind w:left="288"/>
      </w:pPr>
      <w:r>
        <w:rPr>
          <w:b/>
          <w:color w:val="003CA0"/>
          <w:sz w:val="16"/>
        </w:rPr>
        <w:t>[MS 24.414, rel. min. Cezar Peluso, j. 3-9-2003, P, DJ de 21-11-2003.]</w:t>
      </w:r>
    </w:p>
    <w:p>
      <w:pPr>
        <w:ind w:left="288"/>
      </w:pPr>
      <w:r>
        <w:rPr>
          <w:color w:val="8C8C8C"/>
          <w:sz w:val="12"/>
        </w:rPr>
        <w:t>cf-art-93-inc-II-ali-a</w:t>
      </w:r>
      <w:r>
        <w:rPr>
          <w:color w:val="003CA0"/>
          <w:sz w:val="12"/>
        </w:rPr>
        <w:t xml:space="preserve"> | ADI 581</w:t>
      </w:r>
      <w:r>
        <w:rPr>
          <w:color w:val="003CA0"/>
          <w:sz w:val="12"/>
        </w:rPr>
        <w:t xml:space="preserve"> | rel. Sepúlveda Pertence</w:t>
      </w:r>
    </w:p>
    <w:p>
      <w:pPr>
        <w:ind w:left="288"/>
      </w:pPr>
      <w:r>
        <w:rPr>
          <w:color w:val="1E1E1E"/>
          <w:sz w:val="18"/>
        </w:rPr>
        <w:t>Magistratura: promoção por merecimento: satisfação dos pressupostos do art. 93, II, b, CF, por um único juiz de direito: reconhecimento do seu direito a integrar a lista tríplice, só admitida à inclusão dos que não satisfaçam os pressupostos constitucionais para preencher os lugares nela remanescentes (STF, ADI 581): interesse na inclusão em lista tríplice, não obstante a compulsoriedade da escolha do mais votado (STF, AO 70 e ADI 189), dada a ressalva da promoção obrigatória do que nele figure por três vezes consecutivas ou cinco alternadas (CF, art. 93, II, a).</w:t>
      </w:r>
    </w:p>
    <w:p>
      <w:pPr>
        <w:ind w:left="288"/>
      </w:pPr>
      <w:r>
        <w:rPr>
          <w:b/>
          <w:color w:val="003CA0"/>
          <w:sz w:val="16"/>
        </w:rPr>
        <w:t>[RE 239.595, rel. min. Sepúlveda Pertence, j. 30-3-1999, 1ª T, DJ de 21-5-1999.]</w:t>
      </w:r>
    </w:p>
    <w:p>
      <w:pPr>
        <w:ind w:left="288"/>
      </w:pPr>
      <w:r>
        <w:rPr>
          <w:color w:val="8C8C8C"/>
          <w:sz w:val="12"/>
        </w:rPr>
        <w:t>cf-art-93-inc-II-ali-a</w:t>
      </w:r>
      <w:r>
        <w:rPr>
          <w:color w:val="003CA0"/>
          <w:sz w:val="12"/>
        </w:rPr>
        <w:t xml:space="preserve"> | MS 21.759</w:t>
      </w:r>
      <w:r>
        <w:rPr>
          <w:color w:val="003CA0"/>
          <w:sz w:val="12"/>
        </w:rPr>
        <w:t xml:space="preserve"> | rel. Sydney Sanches</w:t>
      </w:r>
    </w:p>
    <w:p>
      <w:pPr>
        <w:ind w:left="288"/>
      </w:pPr>
      <w:r>
        <w:rPr>
          <w:color w:val="1E1E1E"/>
          <w:sz w:val="18"/>
        </w:rPr>
        <w:t>(...) o TRT 2ª Região, com sede em São Paulo, teve de indicar doze juízes togados vitalícios, seis por antiguidade e seis por merecimento. Excluídos os indicados por antiguidade, e os que precederam aos demais, na lista de merecimento, sobejaram, dentre outros, além dos impetrantes, os que vieram a ser escolhidos e nomeados, todos os quais se encontravam, com aquelas exclusões, na primeira quinta parte da lista de antiguidade na entrância e com exercício nela havia mais de dois anos, satisfeitos, assim, os requisitos do art. 115, parágrafo único, I, c/c o art. 93, II, b, da CF. Em se tratando,</w:t>
      </w:r>
    </w:p>
    <w:p>
      <w:pPr>
        <w:ind w:left="288"/>
      </w:pPr>
      <w:r>
        <w:rPr>
          <w:b/>
          <w:color w:val="003CA0"/>
          <w:sz w:val="16"/>
        </w:rPr>
        <w:t>[MS 21.759, rel. min. Sydney Sanches, j. 14-3-1996, P, DJ de 10-5-1996.]</w:t>
      </w:r>
    </w:p>
    <w:p>
      <w:pPr>
        <w:ind w:left="288"/>
      </w:pPr>
      <w:r>
        <w:rPr>
          <w:color w:val="8C8C8C"/>
          <w:sz w:val="12"/>
        </w:rPr>
        <w:t>cf-art-93-inc-II-ali-a</w:t>
      </w:r>
      <w:r>
        <w:rPr>
          <w:color w:val="003CA0"/>
          <w:sz w:val="12"/>
        </w:rPr>
        <w:t xml:space="preserve"> | MS 21.631</w:t>
      </w:r>
      <w:r>
        <w:rPr>
          <w:color w:val="003CA0"/>
          <w:sz w:val="12"/>
        </w:rPr>
        <w:t xml:space="preserve"> | rel. Ilmar Galvão</w:t>
      </w:r>
    </w:p>
    <w:p>
      <w:pPr>
        <w:ind w:left="288"/>
      </w:pPr>
      <w:r>
        <w:rPr>
          <w:color w:val="1E1E1E"/>
          <w:sz w:val="18"/>
        </w:rPr>
        <w:t>Inaplicabilidade da regra do art. 93, II, b, da CF à promoção de juízes federais, sujeita que está ela a um único requisito, implemento de cinco anos de exercício, conforme disposto no art. 107, II, da mesma Carta, norma especial em cujo favor, por isso mesmo, se resolve o aparente conflito existente entre os dois dispositivos. Mesmo porque, havendo a Justiça Federal sido organizada sem entrâncias, considerados de um mesmo grau todas as seções judiciárias distribuídas pelas unidades federadas, não resta espaço para falar-se na exigência de dois anos de exercício na mesma entrância, nem, conseq</w:t>
      </w:r>
    </w:p>
    <w:p>
      <w:pPr>
        <w:ind w:left="288"/>
      </w:pPr>
      <w:r>
        <w:rPr>
          <w:b/>
          <w:color w:val="003CA0"/>
          <w:sz w:val="16"/>
        </w:rPr>
        <w:t>[MS 21.631, rel. min. Ilmar Galvão, j. 9-6-1993, P, DJ de 4-8-2000.]</w:t>
      </w:r>
    </w:p>
    <w:p>
      <w:pPr>
        <w:ind w:left="288"/>
      </w:pPr>
      <w:r>
        <w:rPr>
          <w:color w:val="8C8C8C"/>
          <w:sz w:val="12"/>
        </w:rPr>
        <w:t>cf-art-93-inc-II-ali-a</w:t>
      </w:r>
      <w:r>
        <w:rPr>
          <w:color w:val="003CA0"/>
          <w:sz w:val="12"/>
        </w:rPr>
        <w:t xml:space="preserve"> | MS 27.164</w:t>
      </w:r>
      <w:r>
        <w:rPr>
          <w:color w:val="003CA0"/>
          <w:sz w:val="12"/>
        </w:rPr>
        <w:t xml:space="preserve"> | rel. Ayres Britto</w:t>
      </w:r>
    </w:p>
    <w:p>
      <w:pPr>
        <w:ind w:left="288"/>
      </w:pPr>
      <w:r>
        <w:rPr>
          <w:color w:val="1E1E1E"/>
          <w:sz w:val="18"/>
        </w:rPr>
        <w:t>= MS 27.164 AgR, rel. min. Ayres Britto, j. 16-12-2010, P, DJE de 2-3-2011 c) aferição do merecimento conforme o desempenho e pelos critérios objetivos de produtividade e presteza no exercício da jurisdição e pela freqüência e aproveitamento em cursos oficiais ou reconhecidos de aperfeiçoamento; (Redação da EC 45/2004)</w:t>
      </w:r>
    </w:p>
    <w:p>
      <w:pPr>
        <w:ind w:left="288"/>
      </w:pPr>
      <w:r>
        <w:rPr>
          <w:color w:val="8C8C8C"/>
          <w:sz w:val="12"/>
        </w:rPr>
        <w:t>cf-art-93-inc-II-ali-a</w:t>
      </w:r>
      <w:r>
        <w:rPr>
          <w:color w:val="003CA0"/>
          <w:sz w:val="12"/>
        </w:rPr>
        <w:t xml:space="preserve"> | MS 27.960</w:t>
      </w:r>
      <w:r>
        <w:rPr>
          <w:color w:val="003CA0"/>
          <w:sz w:val="12"/>
        </w:rPr>
        <w:t xml:space="preserve"> | rel. Ricardo Lewandowski</w:t>
      </w:r>
    </w:p>
    <w:p>
      <w:pPr>
        <w:ind w:left="288"/>
      </w:pPr>
      <w:r>
        <w:rPr>
          <w:color w:val="1E1E1E"/>
          <w:sz w:val="18"/>
        </w:rPr>
        <w:t>A aferição do merecimento é feita levando-se em conta diversos critérios, não apenas dados objetivos, mas também outros relativos à produtividade e presteza no exercício da jurisdição.</w:t>
      </w:r>
    </w:p>
    <w:p>
      <w:pPr>
        <w:ind w:left="288"/>
      </w:pPr>
      <w:r>
        <w:rPr>
          <w:b/>
          <w:color w:val="003CA0"/>
          <w:sz w:val="16"/>
        </w:rPr>
        <w:t>[MS 27.960 AgR, rel. min. Ricardo Lewandowski, j. 27-10-2011, P, DJE de 11-11-2011.]</w:t>
      </w:r>
    </w:p>
    <w:p>
      <w:pPr>
        <w:ind w:left="288"/>
      </w:pPr>
      <w:r>
        <w:rPr>
          <w:color w:val="8C8C8C"/>
          <w:sz w:val="12"/>
        </w:rPr>
        <w:t>cf-art-93-inc-II-ali-a</w:t>
      </w:r>
    </w:p>
    <w:p>
      <w:pPr>
        <w:ind w:left="288"/>
      </w:pPr>
      <w:r>
        <w:rPr>
          <w:color w:val="1E1E1E"/>
          <w:sz w:val="18"/>
        </w:rPr>
        <w:t>d) na apuração de antiguidade, o tribunal somente poderá recusar o juiz mais antigo pelo voto fundamentado de dois terços de seus membros, conforme procedimento próprio, e assegurada ampla defesa, repetindo-se a votação até fixar-se a indicação; (Redação da EC 45/2004)</w:t>
      </w:r>
    </w:p>
    <w:p>
      <w:pPr>
        <w:ind w:left="144"/>
      </w:pPr>
      <w:r>
        <w:rPr>
          <w:b/>
          <w:color w:val="B45A00"/>
          <w:sz w:val="16"/>
        </w:rPr>
        <w:t>CONTROLE CONCENTRADO</w:t>
      </w:r>
    </w:p>
    <w:p>
      <w:pPr>
        <w:ind w:left="288"/>
      </w:pPr>
      <w:r>
        <w:rPr>
          <w:color w:val="8C8C8C"/>
          <w:sz w:val="12"/>
        </w:rPr>
        <w:t>cf-art-93-inc-II-ali-a</w:t>
      </w:r>
      <w:r>
        <w:rPr>
          <w:color w:val="003CA0"/>
          <w:sz w:val="12"/>
        </w:rPr>
        <w:t xml:space="preserve"> | ADI 1.303</w:t>
      </w:r>
      <w:r>
        <w:rPr>
          <w:color w:val="003CA0"/>
          <w:sz w:val="12"/>
        </w:rPr>
        <w:t xml:space="preserve"> | rel. Maurício Corrêa</w:t>
      </w:r>
    </w:p>
    <w:p>
      <w:pPr>
        <w:ind w:left="288"/>
      </w:pPr>
      <w:r>
        <w:rPr>
          <w:color w:val="1E1E1E"/>
          <w:sz w:val="18"/>
        </w:rPr>
        <w:t>(...) a resolução administrativa que alterou a redação do § 2º do art. 45 do Regimento Interno do TRT/SC manteve o critério da escolha pelo voto secreto; se é certo que a CF, em seu art. 93, II, d, faculta a recusa do juiz mais antigo para a promoção, impondo o quorum de 2/3, também não é menos certo que, em se tratando de um dos tipos de decisão administrativa, venha ela desacompanhada da respectiva motivação, a teor do enunciado do mesmo art. 93, em seu inciso X (...).</w:t>
      </w:r>
    </w:p>
    <w:p>
      <w:pPr>
        <w:ind w:left="288"/>
      </w:pPr>
      <w:r>
        <w:rPr>
          <w:b/>
          <w:color w:val="003CA0"/>
          <w:sz w:val="16"/>
        </w:rPr>
        <w:t>[ADI 1.303 MC, rel. min. Maurício Corrêa, j. 14-12-1995, P, DJ de 1º-9-2000.]</w:t>
      </w:r>
    </w:p>
    <w:p>
      <w:pPr>
        <w:ind w:left="144"/>
      </w:pPr>
      <w:r>
        <w:rPr>
          <w:b/>
          <w:color w:val="B45A00"/>
          <w:sz w:val="16"/>
        </w:rPr>
        <w:t>JULGADOS CORRELATOS</w:t>
      </w:r>
    </w:p>
    <w:p>
      <w:pPr>
        <w:ind w:left="288"/>
      </w:pPr>
      <w:r>
        <w:rPr>
          <w:color w:val="8C8C8C"/>
          <w:sz w:val="12"/>
        </w:rPr>
        <w:t>cf-art-93-inc-II-ali-a</w:t>
      </w:r>
      <w:r>
        <w:rPr>
          <w:color w:val="003CA0"/>
          <w:sz w:val="12"/>
        </w:rPr>
        <w:t xml:space="preserve"> | MS 31.361</w:t>
      </w:r>
      <w:r>
        <w:rPr>
          <w:color w:val="003CA0"/>
          <w:sz w:val="12"/>
        </w:rPr>
        <w:t xml:space="preserve"> | rel. Marco Aurélio</w:t>
      </w:r>
    </w:p>
    <w:p>
      <w:pPr>
        <w:ind w:left="288"/>
      </w:pPr>
      <w:r>
        <w:rPr>
          <w:color w:val="1E1E1E"/>
          <w:sz w:val="18"/>
        </w:rPr>
        <w:t>O quórum de 2/3 de membros efetivos do tribunal ou de seu órgão especial, para o fim de rejeição de juiz relativamente à promoção por antiguidade, há de ser computado consideradas as cadeiras preenchidas e aqueles em condições legais de votar, observadas ausências eventuais.</w:t>
      </w:r>
    </w:p>
    <w:p>
      <w:pPr>
        <w:ind w:left="288"/>
      </w:pPr>
      <w:r>
        <w:rPr>
          <w:b/>
          <w:color w:val="003CA0"/>
          <w:sz w:val="16"/>
        </w:rPr>
        <w:t>[MS 31.361, rel. min. Marco Aurélio, j. 11-6-2014, 1ª T, DJE de 16-10-2014.]</w:t>
      </w:r>
    </w:p>
    <w:p>
      <w:pPr>
        <w:ind w:left="288"/>
      </w:pPr>
      <w:r>
        <w:rPr>
          <w:color w:val="8C8C8C"/>
          <w:sz w:val="12"/>
        </w:rPr>
        <w:t>cf-art-93-inc-II-ali-a</w:t>
      </w:r>
      <w:r>
        <w:rPr>
          <w:color w:val="003CA0"/>
          <w:sz w:val="12"/>
        </w:rPr>
        <w:t xml:space="preserve"> | MS 24.499</w:t>
      </w:r>
      <w:r>
        <w:rPr>
          <w:color w:val="003CA0"/>
          <w:sz w:val="12"/>
        </w:rPr>
        <w:t xml:space="preserve"> | rel. Eros Grau</w:t>
      </w:r>
    </w:p>
    <w:p>
      <w:pPr>
        <w:ind w:left="288"/>
      </w:pPr>
      <w:r>
        <w:rPr>
          <w:color w:val="1E1E1E"/>
          <w:sz w:val="18"/>
        </w:rPr>
        <w:t>A impetração de mandado de segurança por desembargadores federais que, espontaneamente, deixaram de comparecer a sessão administrativa para deliberação de promoção de juízes reclama a existência de algum prejuízo a direito subjetivo, decorrente da nomeação e posse dos novos magistrados. Os agravantes deram causa à nulidade que ora vêm impugnar, em clara ofensa ao princípio de que ninguém pode alegar a própria torpeza (nemo auditur propriam turpitudinem allegans). A posse dos juízes federais promovidos por antiguidade implica a perda de objeto do writ. Em se tratando de promoção pelo critério o</w:t>
      </w:r>
    </w:p>
    <w:p>
      <w:pPr>
        <w:ind w:left="288"/>
      </w:pPr>
      <w:r>
        <w:rPr>
          <w:b/>
          <w:color w:val="003CA0"/>
          <w:sz w:val="16"/>
        </w:rPr>
        <w:t>[MS 24.499 AgR, rel. min. Eros Grau, j. 6-4-2005, P, DJ de 6-5-2005.]</w:t>
      </w:r>
    </w:p>
    <w:p>
      <w:pPr>
        <w:ind w:left="288"/>
      </w:pPr>
      <w:r>
        <w:rPr>
          <w:color w:val="8C8C8C"/>
          <w:sz w:val="12"/>
        </w:rPr>
        <w:t>cf-art-93-inc-II-ali-a</w:t>
      </w:r>
      <w:r>
        <w:rPr>
          <w:color w:val="003CA0"/>
          <w:sz w:val="12"/>
        </w:rPr>
        <w:t xml:space="preserve"> | MS 24.501</w:t>
      </w:r>
      <w:r>
        <w:rPr>
          <w:color w:val="003CA0"/>
          <w:sz w:val="12"/>
        </w:rPr>
        <w:t xml:space="preserve"> | rel. Carlos Velloso</w:t>
      </w:r>
    </w:p>
    <w:p>
      <w:pPr>
        <w:ind w:left="288"/>
      </w:pPr>
      <w:r>
        <w:rPr>
          <w:color w:val="1E1E1E"/>
          <w:sz w:val="18"/>
        </w:rPr>
        <w:t>A recusa do juiz mais antigo – CF, art. 93, II, d – exige processo de votação em que seja examinado, exclusivamente, o nome deste. A decisão há de ser motivada – CF, art. 93, X. Essa motivação, entretanto, poderá constar da ata de julgamento, ou ficar em apenso a esta, para conhecimento do juiz recusado, a fim de que possa ele, se for o caso, insurgir-se, pelos meios processuais regulares, contra a decisão.</w:t>
      </w:r>
    </w:p>
    <w:p>
      <w:pPr>
        <w:ind w:left="288"/>
      </w:pPr>
      <w:r>
        <w:rPr>
          <w:b/>
          <w:color w:val="003CA0"/>
          <w:sz w:val="16"/>
        </w:rPr>
        <w:t>[MS 24.501, rel. min. Carlos Velloso, j. 18-2-2004, P, DJ de 6-8-2004.]</w:t>
      </w:r>
    </w:p>
    <w:p>
      <w:pPr>
        <w:ind w:left="288"/>
      </w:pPr>
      <w:r>
        <w:rPr>
          <w:color w:val="8C8C8C"/>
          <w:sz w:val="12"/>
        </w:rPr>
        <w:t>cf-art-93-inc-II-ali-a</w:t>
      </w:r>
      <w:r>
        <w:rPr>
          <w:color w:val="003CA0"/>
          <w:sz w:val="12"/>
        </w:rPr>
        <w:t xml:space="preserve"> | MS 24.305</w:t>
      </w:r>
      <w:r>
        <w:rPr>
          <w:color w:val="003CA0"/>
          <w:sz w:val="12"/>
        </w:rPr>
        <w:t xml:space="preserve"> | rel. Gilmar Mendes</w:t>
      </w:r>
    </w:p>
    <w:p>
      <w:pPr>
        <w:ind w:left="288"/>
      </w:pPr>
      <w:r>
        <w:rPr>
          <w:color w:val="1E1E1E"/>
          <w:sz w:val="18"/>
        </w:rPr>
        <w:t>= MS 24.305, rel. min. Gilmar Mendes, j. 11-12-2002, P, DJ de 19-12-2003</w:t>
      </w:r>
    </w:p>
    <w:p>
      <w:pPr>
        <w:ind w:left="288"/>
      </w:pPr>
      <w:r>
        <w:rPr>
          <w:color w:val="8C8C8C"/>
          <w:sz w:val="12"/>
        </w:rPr>
        <w:t>cf-art-93-inc-II-ali-e</w:t>
      </w:r>
    </w:p>
    <w:p>
      <w:pPr>
        <w:ind w:left="288"/>
      </w:pPr>
      <w:r>
        <w:rPr>
          <w:color w:val="1E1E1E"/>
          <w:sz w:val="18"/>
        </w:rPr>
        <w:t>III - o acesso aos tribunais de segundo grau far-se-á por antiguidade e merecimento, alternadamente, apurados na última ou única entrância; (Redação da EC 45/2004)</w:t>
      </w:r>
    </w:p>
    <w:p>
      <w:pPr>
        <w:ind w:left="144"/>
      </w:pPr>
      <w:r>
        <w:rPr>
          <w:b/>
          <w:color w:val="B45A00"/>
          <w:sz w:val="16"/>
        </w:rPr>
        <w:t>CONTROLE CONCENTRADO</w:t>
      </w:r>
    </w:p>
    <w:p>
      <w:pPr>
        <w:ind w:left="288"/>
      </w:pPr>
      <w:r>
        <w:rPr>
          <w:color w:val="8C8C8C"/>
          <w:sz w:val="12"/>
        </w:rPr>
        <w:t>cf-art-93-inc-II-ali-e</w:t>
      </w:r>
      <w:r>
        <w:rPr>
          <w:color w:val="003CA0"/>
          <w:sz w:val="12"/>
        </w:rPr>
        <w:t xml:space="preserve"> | ADI 654</w:t>
      </w:r>
      <w:r>
        <w:rPr>
          <w:color w:val="003CA0"/>
          <w:sz w:val="12"/>
        </w:rPr>
        <w:t xml:space="preserve"> | rel. Carlos Velloso</w:t>
      </w:r>
    </w:p>
    <w:p>
      <w:pPr>
        <w:ind w:left="288"/>
      </w:pPr>
      <w:r>
        <w:rPr>
          <w:color w:val="1E1E1E"/>
          <w:sz w:val="18"/>
        </w:rPr>
        <w:t>A aferição do merecimento deve ser feita segundo os critérios fixados na alínea c do inciso II do art. 93 da Constituição. A obrigatoriedade da promoção do juiz somente ocorre na hipótese inscrita na alínea a do inciso II do art. 93 da Constituição. Não pode o ato normativo primário ou secundário privilegiar a antiguidade, na promoção por merecimento do magistrado, mais do que faz a Constituição.</w:t>
      </w:r>
    </w:p>
    <w:p>
      <w:pPr>
        <w:ind w:left="288"/>
      </w:pPr>
      <w:r>
        <w:rPr>
          <w:b/>
          <w:color w:val="003CA0"/>
          <w:sz w:val="16"/>
        </w:rPr>
        <w:t>[ADI 654, rel. min. Carlos Velloso, j. 2-6-1993, P, DJ de 6-8-1993.]</w:t>
      </w:r>
    </w:p>
    <w:p>
      <w:pPr>
        <w:ind w:left="288"/>
      </w:pPr>
      <w:r>
        <w:rPr>
          <w:color w:val="8C8C8C"/>
          <w:sz w:val="12"/>
        </w:rPr>
        <w:t>cf-art-93-inc-II-ali-e</w:t>
      </w:r>
      <w:r>
        <w:rPr>
          <w:color w:val="003CA0"/>
          <w:sz w:val="12"/>
        </w:rPr>
        <w:t xml:space="preserve"> | ADI 189</w:t>
      </w:r>
      <w:r>
        <w:rPr>
          <w:color w:val="003CA0"/>
          <w:sz w:val="12"/>
        </w:rPr>
        <w:t xml:space="preserve"> | rel. Celso de Mello</w:t>
      </w:r>
    </w:p>
    <w:p>
      <w:pPr>
        <w:ind w:left="288"/>
      </w:pPr>
      <w:r>
        <w:rPr>
          <w:color w:val="1E1E1E"/>
          <w:sz w:val="18"/>
        </w:rPr>
        <w:t>O provimento dos cargos judiciários nos tribunais de segundo grau, em vagas reservadas à magistratura de carreira, insere-se na competência institucional do próprio tribunal de justiça, constituindo específica projeção concretizadora do postulado do autogoverno do Poder Judiciário. Não ofende a Constituição, em consequência, o ato regimental que, subordinando o exercício dessa competência à deliberação do órgão especial do tribunal de justiça, vincula o presidente dessa corte judiciária na promoção do juiz mais votado dentre os que constarem da lista tríplice.</w:t>
      </w:r>
    </w:p>
    <w:p>
      <w:pPr>
        <w:ind w:left="288"/>
      </w:pPr>
      <w:r>
        <w:rPr>
          <w:b/>
          <w:color w:val="003CA0"/>
          <w:sz w:val="16"/>
        </w:rPr>
        <w:t>[ADI 189, rel. min. Celso de Mello, j. 9-10-1991, P, DJ de 22-5-1992.]</w:t>
      </w:r>
    </w:p>
    <w:p>
      <w:pPr>
        <w:ind w:left="144"/>
      </w:pPr>
      <w:r>
        <w:rPr>
          <w:b/>
          <w:color w:val="B45A00"/>
          <w:sz w:val="16"/>
        </w:rPr>
        <w:t>JULGADOS CORRELATOS</w:t>
      </w:r>
    </w:p>
    <w:p>
      <w:pPr>
        <w:ind w:left="288"/>
      </w:pPr>
      <w:r>
        <w:rPr>
          <w:color w:val="8C8C8C"/>
          <w:sz w:val="12"/>
        </w:rPr>
        <w:t>cf-art-93-inc-II-ali-e</w:t>
      </w:r>
      <w:r>
        <w:rPr>
          <w:color w:val="003CA0"/>
          <w:sz w:val="12"/>
        </w:rPr>
        <w:t xml:space="preserve"> | MS 30.585</w:t>
      </w:r>
      <w:r>
        <w:rPr>
          <w:color w:val="003CA0"/>
          <w:sz w:val="12"/>
        </w:rPr>
        <w:t xml:space="preserve"> | rel. Ricardo Lewandowski</w:t>
      </w:r>
    </w:p>
    <w:p>
      <w:pPr>
        <w:ind w:left="288"/>
      </w:pPr>
      <w:r>
        <w:rPr>
          <w:color w:val="1E1E1E"/>
          <w:sz w:val="18"/>
        </w:rPr>
        <w:t>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inciso III do mencionado dispositivo que não altera tal entendimento.</w:t>
      </w:r>
    </w:p>
    <w:p>
      <w:pPr>
        <w:ind w:left="288"/>
      </w:pPr>
      <w:r>
        <w:rPr>
          <w:b/>
          <w:color w:val="003CA0"/>
          <w:sz w:val="16"/>
        </w:rPr>
        <w:t>[MS 30.585, rel. min. Ricardo Lewandowski, j. 12-9-2012, P, DJE de 28-11-2012.]</w:t>
      </w:r>
    </w:p>
    <w:p>
      <w:pPr>
        <w:ind w:left="288"/>
      </w:pPr>
      <w:r>
        <w:rPr>
          <w:color w:val="8C8C8C"/>
          <w:sz w:val="12"/>
        </w:rPr>
        <w:t>cf-art-93-inc-II-ali-e</w:t>
      </w:r>
      <w:r>
        <w:rPr>
          <w:color w:val="003CA0"/>
          <w:sz w:val="12"/>
        </w:rPr>
        <w:t xml:space="preserve"> | MS 31.375</w:t>
      </w:r>
      <w:r>
        <w:rPr>
          <w:color w:val="003CA0"/>
          <w:sz w:val="12"/>
        </w:rPr>
        <w:t xml:space="preserve"> | rel. Cármen Lúcia</w:t>
      </w:r>
    </w:p>
    <w:p>
      <w:pPr>
        <w:ind w:left="288"/>
      </w:pPr>
      <w:r>
        <w:rPr>
          <w:color w:val="1E1E1E"/>
          <w:sz w:val="18"/>
        </w:rPr>
        <w:t>= MS 31.375, rel. min. Cármen Lúcia, j. 26-6-2013, P, DJE de 8-8-2013 (...) o ato de composição das turmas recursais não caracteriza promoção de magistrado para outra entrância ou mesmo de remoção, porém de mera designação para integrar órgão de primeiro grau, não se impondo, portanto, a observância dos critérios de merecimento ou antiguidade. Nessa linha, a definição dos critérios para composição da turma recursal é ato interna corporis do respectivo tribunal.</w:t>
      </w:r>
    </w:p>
    <w:p>
      <w:pPr>
        <w:ind w:left="288"/>
      </w:pPr>
      <w:r>
        <w:rPr>
          <w:b/>
          <w:color w:val="003CA0"/>
          <w:sz w:val="16"/>
        </w:rPr>
        <w:t>[MS 28.254 AgR, rel. min. Ricardo Lewandowski, j. 24-3-2011, P, DJE de 12-4-2011.]</w:t>
      </w:r>
    </w:p>
    <w:p>
      <w:pPr>
        <w:ind w:left="288"/>
      </w:pPr>
      <w:r>
        <w:rPr>
          <w:color w:val="8C8C8C"/>
          <w:sz w:val="12"/>
        </w:rPr>
        <w:t>cf-art-93-inc-II-ali-e</w:t>
      </w:r>
      <w:r>
        <w:rPr>
          <w:color w:val="003CA0"/>
          <w:sz w:val="12"/>
        </w:rPr>
        <w:t xml:space="preserve"> | AO 1.499</w:t>
      </w:r>
      <w:r>
        <w:rPr>
          <w:color w:val="003CA0"/>
          <w:sz w:val="12"/>
        </w:rPr>
        <w:t xml:space="preserve"> | rel. Eros Grau</w:t>
      </w:r>
    </w:p>
    <w:p>
      <w:pPr>
        <w:ind w:left="288"/>
      </w:pPr>
      <w:r>
        <w:rPr>
          <w:color w:val="1E1E1E"/>
          <w:sz w:val="18"/>
        </w:rPr>
        <w:t xml:space="preserve">O art. 93, III, da Constituição determina que "o acesso aos tribunais de segundo grau far-se-á por antiguidade e merecimento, alternadamente, apurados na última ou única entrância". A promoção de juízes para o tribunal de justiça local ocorre de acordo com o surgimento das vagas, alternando-se os critérios de antiguidade e merecimento para provimento dos cargos. Esse sistema não se confunde com a promoção de entrância, em que há uma lista das varas a serem providas por merecimento e outra destinada ao provimento por antiguidade. A combinação dos sistemas, aplicando-se os preceitos da promoção </w:t>
      </w:r>
    </w:p>
    <w:p>
      <w:pPr>
        <w:ind w:left="288"/>
      </w:pPr>
      <w:r>
        <w:rPr>
          <w:b/>
          <w:color w:val="003CA0"/>
          <w:sz w:val="16"/>
        </w:rPr>
        <w:t>[AO 1.499, rel. min. Eros Grau, j. 26-5-2010, P, DJE de 6-8-2010.]</w:t>
      </w:r>
    </w:p>
    <w:p>
      <w:pPr>
        <w:ind w:left="288"/>
      </w:pPr>
      <w:r>
        <w:rPr>
          <w:color w:val="8C8C8C"/>
          <w:sz w:val="12"/>
        </w:rPr>
        <w:t>cf-art-93-inc-II-ali-e</w:t>
      </w:r>
      <w:r>
        <w:rPr>
          <w:color w:val="003CA0"/>
          <w:sz w:val="12"/>
        </w:rPr>
        <w:t xml:space="preserve"> | MS 23.445</w:t>
      </w:r>
      <w:r>
        <w:rPr>
          <w:color w:val="003CA0"/>
          <w:sz w:val="12"/>
        </w:rPr>
        <w:t xml:space="preserve"> | rel. Néri da Silveira</w:t>
      </w:r>
    </w:p>
    <w:p>
      <w:pPr>
        <w:ind w:left="288"/>
      </w:pPr>
      <w:r>
        <w:rPr>
          <w:color w:val="1E1E1E"/>
          <w:sz w:val="18"/>
        </w:rPr>
        <w:t>Não é o STJ corte de segundo grau, em termos a invocar-se a aplicação do art. 93, III, da Lei Magna. A regra expressa da Constituição dispõe sobre a composição e forma de preenchimento dos cargos de ministro no STJ, a teor de seu art. 104, parágrafo único, I e II.</w:t>
      </w:r>
    </w:p>
    <w:p>
      <w:pPr>
        <w:ind w:left="288"/>
      </w:pPr>
      <w:r>
        <w:rPr>
          <w:b/>
          <w:color w:val="003CA0"/>
          <w:sz w:val="16"/>
        </w:rPr>
        <w:t>[MS 23.445, rel. min. Néri da Silveira, j. 18-11-1999, P, DJ de 17-3-2000.]</w:t>
      </w:r>
    </w:p>
    <w:p>
      <w:pPr>
        <w:ind w:left="288"/>
      </w:pPr>
      <w:r>
        <w:rPr>
          <w:color w:val="8C8C8C"/>
          <w:sz w:val="12"/>
        </w:rPr>
        <w:t>cf-art-93-inc-II-ali-e</w:t>
      </w:r>
      <w:r>
        <w:rPr>
          <w:color w:val="003CA0"/>
          <w:sz w:val="12"/>
        </w:rPr>
        <w:t xml:space="preserve"> | HC 69.601</w:t>
      </w:r>
      <w:r>
        <w:rPr>
          <w:color w:val="003CA0"/>
          <w:sz w:val="12"/>
        </w:rPr>
        <w:t xml:space="preserve"> | rel. Celso de Mello</w:t>
      </w:r>
    </w:p>
    <w:p>
      <w:pPr>
        <w:ind w:left="288"/>
      </w:pPr>
      <w:r>
        <w:rPr>
          <w:color w:val="1E1E1E"/>
          <w:sz w:val="18"/>
        </w:rPr>
        <w:t>A regra consubstanciada no art. 93, III, da Constituição da República – que apenas dispõe sobre o acesso de magistrados aos tribunais de segundo grau, mediante promoção – não atua, especialmente ante a impertinência temática de seu conteúdo material e em face da absoluta ausência de norma restritiva, como aquela inscrita no art. 144, VII, da revogada Carta Federal de 1969, como causa impeditiva do exercício, pelos Estados-membros, de seu poder de instituir, mediante legislação própria concernente à organização judiciária local, sistema de convocação de juízes para efeito de substituição eventu</w:t>
      </w:r>
    </w:p>
    <w:p>
      <w:pPr>
        <w:ind w:left="288"/>
      </w:pPr>
      <w:r>
        <w:rPr>
          <w:b/>
          <w:color w:val="003CA0"/>
          <w:sz w:val="16"/>
        </w:rPr>
        <w:t>[HC 69.601, rel. min. Celso de Mello, j. 24-11-1992, 1ª T, DJ de 18-12-1992.]</w:t>
      </w:r>
    </w:p>
    <w:p>
      <w:pPr>
        <w:ind w:left="288"/>
      </w:pPr>
      <w:r>
        <w:rPr>
          <w:color w:val="8C8C8C"/>
          <w:sz w:val="12"/>
        </w:rPr>
        <w:t>cf-art-93-inc-II-ali-e</w:t>
      </w:r>
    </w:p>
    <w:p>
      <w:pPr>
        <w:ind w:left="288"/>
      </w:pPr>
      <w:r>
        <w:rPr>
          <w:color w:val="1E1E1E"/>
          <w:sz w:val="18"/>
        </w:rPr>
        <w:t>IV - previsão de cursos oficiais de preparação, aperfeiçoamento e promoção de magistrados, constituindo etapa obrigatória do processo de vitaliciamento a participação em curso oficial ou reconhecido por escola nacional de formação e aperfeiçoamento de magistrados; (Redação da EC 45/2004) V - o subsídio dos Ministros dos Tribunais Superiores corresponderá a noventa e cinco por cento do subsídio mensal fixado para os Ministros do Supremo Tribunal Federal e os subsídios dos demais magistrados serão fixados em lei e escalonados, em nível federal e estadual, conforme as respectivas categorias da es</w:t>
      </w:r>
    </w:p>
    <w:p>
      <w:pPr>
        <w:ind w:left="144"/>
      </w:pPr>
      <w:r>
        <w:rPr>
          <w:b/>
          <w:color w:val="B45A00"/>
          <w:sz w:val="16"/>
        </w:rPr>
        <w:t>CONTROLE CONCENTRADO</w:t>
      </w:r>
    </w:p>
    <w:p>
      <w:pPr>
        <w:ind w:left="288"/>
      </w:pPr>
      <w:r>
        <w:rPr>
          <w:color w:val="8C8C8C"/>
          <w:sz w:val="12"/>
        </w:rPr>
        <w:t>cf-art-93-inc-II-ali-e</w:t>
      </w:r>
      <w:r>
        <w:rPr>
          <w:color w:val="003CA0"/>
          <w:sz w:val="12"/>
        </w:rPr>
        <w:t xml:space="preserve"> | ADI 4.216</w:t>
      </w:r>
      <w:r>
        <w:rPr>
          <w:color w:val="003CA0"/>
          <w:sz w:val="12"/>
        </w:rPr>
        <w:t xml:space="preserve"> | rel. Luís Roberto Barroso</w:t>
      </w:r>
    </w:p>
    <w:p>
      <w:pPr>
        <w:ind w:left="288"/>
      </w:pPr>
      <w:r>
        <w:rPr>
          <w:color w:val="1E1E1E"/>
          <w:sz w:val="18"/>
        </w:rPr>
        <w:t xml:space="preserve">A expressão “categorias da estrutura judiciária nacional” (art. 93, V, da CF) veda o estabelecimento de tetos remuneratórios distintos para magistrados federais e estaduais, mas não impede que seus subsídios sejam fixados em valores diferentes de acordo com o número de entrâncias. Interpretação que prestigia a autonomia dos Estados, aos quais compete fixar os subsídios de seus magistrados e organizar o Poder Judiciário local. (...) Definir que a promoção para entrância superior seja acompanhada da elevação do valor do subsídio é medida que concretiza o princípio da eficiência, já que serve de </w:t>
      </w:r>
    </w:p>
    <w:p>
      <w:pPr>
        <w:ind w:left="288"/>
      </w:pPr>
      <w:r>
        <w:rPr>
          <w:b/>
          <w:color w:val="003CA0"/>
          <w:sz w:val="16"/>
        </w:rPr>
        <w:t>[ADI 3.072, rel. min. Gilmar Mendes, j. 9-5-2019, P, DJE de 15-8-2019.]</w:t>
      </w:r>
    </w:p>
    <w:p>
      <w:pPr>
        <w:ind w:left="288"/>
      </w:pPr>
      <w:r>
        <w:rPr>
          <w:color w:val="8C8C8C"/>
          <w:sz w:val="12"/>
        </w:rPr>
        <w:t>cf-art-93-inc-II-ali-e</w:t>
      </w:r>
      <w:r>
        <w:rPr>
          <w:color w:val="003CA0"/>
          <w:sz w:val="12"/>
        </w:rPr>
        <w:t xml:space="preserve"> | ADI 509</w:t>
      </w:r>
      <w:r>
        <w:rPr>
          <w:color w:val="003CA0"/>
          <w:sz w:val="12"/>
        </w:rPr>
        <w:t xml:space="preserve"> | rel. Ricardo Lewandowski</w:t>
      </w:r>
    </w:p>
    <w:p>
      <w:pPr>
        <w:ind w:left="288"/>
      </w:pPr>
      <w:r>
        <w:rPr>
          <w:color w:val="1E1E1E"/>
          <w:sz w:val="18"/>
        </w:rPr>
        <w:t xml:space="preserve">Composição e limite da remuneração de magistrados e servidores públicos. Loman. EC 19/1998. (...) O art. 145 da Constituição do Estado de Mato Grosso contrapõe-se, na parte em que se refere à remuneração total dos cargos do Poder Judiciário, ao estabelecido no art. 93, V, da CF, em sua redação original. Enquanto não encaminhada por esta Corte proposta de lei complementar a regulamentar o tema, os vencimentos dos magistrados encontram regência na LC 35, de 14-3-1979, recepcionada pela nova ordem constitucional. Dessa forma, a Constituição estadual de Mato Grosso não poderia regrar a composição </w:t>
      </w:r>
    </w:p>
    <w:p>
      <w:pPr>
        <w:ind w:left="288"/>
      </w:pPr>
      <w:r>
        <w:rPr>
          <w:b/>
          <w:color w:val="003CA0"/>
          <w:sz w:val="16"/>
        </w:rPr>
        <w:t>[ADI 509, rel. min. Ricardo Lewandowski, j. 19-2-2014, P, DJE de 16-9-2014.]</w:t>
      </w:r>
    </w:p>
    <w:p>
      <w:pPr>
        <w:ind w:left="288"/>
      </w:pPr>
      <w:r>
        <w:rPr>
          <w:color w:val="8C8C8C"/>
          <w:sz w:val="12"/>
        </w:rPr>
        <w:t>cf-art-93-inc-II-ali-e</w:t>
      </w:r>
      <w:r>
        <w:rPr>
          <w:color w:val="003CA0"/>
          <w:sz w:val="12"/>
        </w:rPr>
        <w:t xml:space="preserve"> | ADI 2.075</w:t>
      </w:r>
      <w:r>
        <w:rPr>
          <w:color w:val="003CA0"/>
          <w:sz w:val="12"/>
        </w:rPr>
        <w:t xml:space="preserve"> | rel. Celso de Mello</w:t>
      </w:r>
    </w:p>
    <w:p>
      <w:pPr>
        <w:ind w:left="288"/>
      </w:pPr>
      <w:r>
        <w:rPr>
          <w:color w:val="1E1E1E"/>
          <w:sz w:val="18"/>
        </w:rPr>
        <w:t>A questão do subteto no âmbito do Poder Executivo dos Estados-membros e dos Municípios – hipótese em que se revela constitucionalmente possível a fixação desse limite em valor inferior ao previsto no art. 37, XI, da Constituição – ressalva quanto às hipóteses em que a própria Constituição estipula tetos específicos (CF, art. 27, § 2º, e art. 93, V).</w:t>
      </w:r>
    </w:p>
    <w:p>
      <w:pPr>
        <w:ind w:left="288"/>
      </w:pPr>
      <w:r>
        <w:rPr>
          <w:b/>
          <w:color w:val="003CA0"/>
          <w:sz w:val="16"/>
        </w:rPr>
        <w:t>[ADI 2.075 MC, rel. min. Celso de Mello, j. 7-2-2001, P, DJ de 27-6-2003.]</w:t>
      </w:r>
    </w:p>
    <w:p>
      <w:pPr>
        <w:ind w:left="288"/>
      </w:pPr>
      <w:r>
        <w:rPr>
          <w:color w:val="8C8C8C"/>
          <w:sz w:val="12"/>
        </w:rPr>
        <w:t>cf-art-93-inc-II-ali-e</w:t>
      </w:r>
      <w:r>
        <w:rPr>
          <w:color w:val="003CA0"/>
          <w:sz w:val="12"/>
        </w:rPr>
        <w:t xml:space="preserve"> | ADI 2.087</w:t>
      </w:r>
      <w:r>
        <w:rPr>
          <w:color w:val="003CA0"/>
          <w:sz w:val="12"/>
        </w:rPr>
        <w:t xml:space="preserve"> | rel. Sepúlveda Pertence</w:t>
      </w:r>
    </w:p>
    <w:p>
      <w:pPr>
        <w:ind w:left="288"/>
      </w:pPr>
      <w:r>
        <w:rPr>
          <w:color w:val="1E1E1E"/>
          <w:sz w:val="18"/>
        </w:rPr>
        <w:t>A admissibilidade de subtetos, de qualquer sorte, sofrerá, contudo, as exceções ditadas pela própria CF, nas hipóteses por ela subtraídas do campo normativo da regra geral do art. 37, XI, para submetê-las a mecanismo diverso de limitação mais estrita da autonomia das entidades da Federação: é o caso do escalonamento vertical de subsídios de magistrado, de âmbito nacional (CF, art. 93, V, cf. EC 19/1998) e, em termos, o dos deputados estaduais.</w:t>
      </w:r>
    </w:p>
    <w:p>
      <w:pPr>
        <w:ind w:left="288"/>
      </w:pPr>
      <w:r>
        <w:rPr>
          <w:b/>
          <w:color w:val="003CA0"/>
          <w:sz w:val="16"/>
        </w:rPr>
        <w:t>[ADI 2.087-MC, rel. min. Sepúlveda Pertence, j. 3-11-1999, P, DJ de 19-9-2003.]</w:t>
      </w:r>
    </w:p>
    <w:p>
      <w:pPr>
        <w:ind w:left="144"/>
      </w:pPr>
      <w:r>
        <w:rPr>
          <w:b/>
          <w:color w:val="B45A00"/>
          <w:sz w:val="16"/>
        </w:rPr>
        <w:t>JULGADOS CORRELATOS</w:t>
      </w:r>
    </w:p>
    <w:p>
      <w:pPr>
        <w:ind w:left="288"/>
      </w:pPr>
      <w:r>
        <w:rPr>
          <w:color w:val="8C8C8C"/>
          <w:sz w:val="12"/>
        </w:rPr>
        <w:t>cf-art-93-inc-II-ali-e</w:t>
      </w:r>
      <w:r>
        <w:rPr>
          <w:color w:val="003CA0"/>
          <w:sz w:val="12"/>
        </w:rPr>
        <w:t xml:space="preserve"> | AO 1.157</w:t>
      </w:r>
      <w:r>
        <w:rPr>
          <w:color w:val="003CA0"/>
          <w:sz w:val="12"/>
        </w:rPr>
        <w:t xml:space="preserve"> | rel. Gilmar Mendes</w:t>
      </w:r>
    </w:p>
    <w:p>
      <w:pPr>
        <w:ind w:left="288"/>
      </w:pPr>
      <w:r>
        <w:rPr>
          <w:color w:val="1E1E1E"/>
          <w:sz w:val="18"/>
        </w:rPr>
        <w:t>Como já decidiu esta Suprema Corte, no "período de 1º-1-1998 até o advento da Lei 10.474/2002 não havia qualquer débito da União em relação ao abono variável criado pela Lei 9.655/1998 – dependente à época, da fixação do subsídio dos ministros do STF. Com a edição da Lei 10.474, de junho de 2002, fixando definitivamente os valores devidos e a forma de pagamento do abono, assim como com a posterior regulamentação da matéria pela Resolução 245 do STF, de dezembro de 2002, também não há que se falar em correção monetária ou qualquer valor não estipulado por essa regulamentação legal. Eventuais co</w:t>
      </w:r>
    </w:p>
    <w:p>
      <w:pPr>
        <w:ind w:left="288"/>
      </w:pPr>
      <w:r>
        <w:rPr>
          <w:b/>
          <w:color w:val="003CA0"/>
          <w:sz w:val="16"/>
        </w:rPr>
        <w:t>[AO 1.412, rel. min. Menezes Direito, j. 23-10-2008, P, DJE de 13-2-2009.]</w:t>
      </w:r>
    </w:p>
    <w:p>
      <w:pPr>
        <w:ind w:left="288"/>
      </w:pPr>
      <w:r>
        <w:rPr>
          <w:color w:val="8C8C8C"/>
          <w:sz w:val="12"/>
        </w:rPr>
        <w:t>cf-art-93-inc-II-ali-e</w:t>
      </w:r>
      <w:r>
        <w:rPr>
          <w:color w:val="003CA0"/>
          <w:sz w:val="12"/>
        </w:rPr>
        <w:t xml:space="preserve"> | AO 1.510</w:t>
      </w:r>
      <w:r>
        <w:rPr>
          <w:color w:val="003CA0"/>
          <w:sz w:val="12"/>
        </w:rPr>
        <w:t xml:space="preserve"> | rel. Ellen Gracie</w:t>
      </w:r>
    </w:p>
    <w:p>
      <w:pPr>
        <w:ind w:left="288"/>
      </w:pPr>
      <w:r>
        <w:rPr>
          <w:color w:val="1E1E1E"/>
          <w:sz w:val="18"/>
        </w:rPr>
        <w:t>= AO 1.510, rel. min. Ellen Gracie, j. 16-3-2011, P, DJE de 30-5-2011</w:t>
      </w:r>
    </w:p>
    <w:p>
      <w:pPr>
        <w:ind w:left="288"/>
      </w:pPr>
      <w:r>
        <w:rPr>
          <w:color w:val="8C8C8C"/>
          <w:sz w:val="12"/>
        </w:rPr>
        <w:t>cf-art-93-inc-VI</w:t>
      </w:r>
      <w:r>
        <w:rPr>
          <w:color w:val="003CA0"/>
          <w:sz w:val="12"/>
        </w:rPr>
        <w:t xml:space="preserve"> | ADI 4.863</w:t>
      </w:r>
      <w:r>
        <w:rPr>
          <w:color w:val="003CA0"/>
          <w:sz w:val="12"/>
        </w:rPr>
        <w:t xml:space="preserve"> | rel. André Mendonça</w:t>
      </w:r>
    </w:p>
    <w:p>
      <w:pPr>
        <w:ind w:left="288"/>
      </w:pPr>
      <w:r>
        <w:rPr>
          <w:color w:val="1E1E1E"/>
          <w:sz w:val="18"/>
        </w:rPr>
        <w:t xml:space="preserve">Da constitucionalidade da incidência do regime complementar de previdência aos magistrados. O art. 93, caput e inciso VI, da Constituição - invocado como parâmetro de controle - não estabelece a necessidade de lei complementar e iniciativa do Supremo Tribunal Federal para regular o regime de previdência complementar dos magistrados. Na verdade, o dispositivo constitucional, após a Emenda Constitucional nº 20, de 1998, prevê que “a aposentadoria dos magistrados e a pensão de seus dependentes observarão o disposto no art. 40”. Ademais, em precedentes desta Corte, fixou-se o entendimento de que: </w:t>
      </w:r>
    </w:p>
    <w:p>
      <w:pPr>
        <w:ind w:left="288"/>
      </w:pPr>
      <w:r>
        <w:rPr>
          <w:b/>
          <w:color w:val="003CA0"/>
          <w:sz w:val="16"/>
        </w:rPr>
        <w:t>[ADI 4.863, rel. min. André Mendonça, j. 11.11.2025, P, DJE de 04.12.2025.]</w:t>
      </w:r>
    </w:p>
    <w:p>
      <w:pPr>
        <w:ind w:left="144"/>
      </w:pPr>
      <w:r>
        <w:rPr>
          <w:b/>
          <w:color w:val="B45A00"/>
          <w:sz w:val="16"/>
        </w:rPr>
        <w:t>CONTROLE CONCENTRADO</w:t>
      </w:r>
    </w:p>
    <w:p>
      <w:pPr>
        <w:ind w:left="288"/>
      </w:pPr>
      <w:r>
        <w:rPr>
          <w:color w:val="8C8C8C"/>
          <w:sz w:val="12"/>
        </w:rPr>
        <w:t>cf-art-93-inc-VI</w:t>
      </w:r>
      <w:r>
        <w:rPr>
          <w:color w:val="003CA0"/>
          <w:sz w:val="12"/>
        </w:rPr>
        <w:t xml:space="preserve"> | ADI 3.308</w:t>
      </w:r>
      <w:r>
        <w:rPr>
          <w:color w:val="003CA0"/>
          <w:sz w:val="12"/>
        </w:rPr>
        <w:t xml:space="preserve"> | rel. Gilmar Mendes</w:t>
      </w:r>
    </w:p>
    <w:p>
      <w:pPr>
        <w:ind w:left="288"/>
      </w:pPr>
      <w:r>
        <w:rPr>
          <w:color w:val="1E1E1E"/>
          <w:sz w:val="18"/>
        </w:rPr>
        <w:t>Submissão dos magistrados ao regime de previdência social comum aos servidores públicos. Emendas constitucionais 20/1998 e 41/2003. Inexistência de ofensa ao princípio da separação de poderes. A garantia da vitaliciedade está adstrita à taxatividade das hipóteses de aposentadoria compulsória.</w:t>
        <w:br/>
        <w:t>[ADI 3.308, ADI 3.363, ADI 3.998, ADI 4.802 e ADI 4.803, rel. min. Gilmar Mendes, j. 15-5-2023, P, DJE de 31-5-2023.] A Lei Complementar 152/2015 regulamentou o inc. II do § 1º do art. 40 da Constituição e dispôs sobre a aposentadoria compulsória por idade dos servidores públicos ocupantes de cargos efeti</w:t>
      </w:r>
    </w:p>
    <w:p>
      <w:pPr>
        <w:ind w:left="288"/>
      </w:pPr>
      <w:r>
        <w:rPr>
          <w:b/>
          <w:color w:val="003CA0"/>
          <w:sz w:val="16"/>
        </w:rPr>
        <w:t>[ADI 5.490, rel. min. Cármen Lúcia, j. 20-11-2019, P, DJE de 9-12-2019.]</w:t>
      </w:r>
    </w:p>
    <w:p>
      <w:pPr>
        <w:ind w:left="288"/>
      </w:pPr>
      <w:r>
        <w:rPr>
          <w:color w:val="8C8C8C"/>
          <w:sz w:val="12"/>
        </w:rPr>
        <w:t>cf-art-93-inc-VI</w:t>
      </w:r>
      <w:r>
        <w:rPr>
          <w:color w:val="003CA0"/>
          <w:sz w:val="12"/>
        </w:rPr>
        <w:t xml:space="preserve"> | ADI 1.878</w:t>
      </w:r>
      <w:r>
        <w:rPr>
          <w:color w:val="003CA0"/>
          <w:sz w:val="12"/>
        </w:rPr>
        <w:t xml:space="preserve"> | rel. Ilmar Galvão</w:t>
      </w:r>
    </w:p>
    <w:p>
      <w:pPr>
        <w:ind w:left="288"/>
      </w:pPr>
      <w:r>
        <w:rPr>
          <w:color w:val="1E1E1E"/>
          <w:sz w:val="18"/>
        </w:rPr>
        <w:t>Embora a CF/1988 tenha conferido, até o advento da EC 24/1999, tratamento de magistrado aos representantes classistas da Justiça do Trabalho, a estes não se aplica o regime jurídico constitucional próprio dos magistrados togados, disposto no art. 93 da Carta Magna. A aposentadoria dos juízes temporários assim como os demais benefícios e vantagens que a estes tenham sido outorgados devem estar expressamente previstos em legislação específica.</w:t>
      </w:r>
    </w:p>
    <w:p>
      <w:pPr>
        <w:ind w:left="288"/>
      </w:pPr>
      <w:r>
        <w:rPr>
          <w:b/>
          <w:color w:val="003CA0"/>
          <w:sz w:val="16"/>
        </w:rPr>
        <w:t>[ADI 1.878, rel. min. Ilmar Galvão, j. 23-10-2002, P, DJ de 7-11-2003.]</w:t>
      </w:r>
    </w:p>
    <w:p>
      <w:pPr>
        <w:ind w:left="288"/>
      </w:pPr>
      <w:r>
        <w:rPr>
          <w:color w:val="8C8C8C"/>
          <w:sz w:val="12"/>
        </w:rPr>
        <w:t>cf-art-93-inc-VI</w:t>
      </w:r>
      <w:r>
        <w:rPr>
          <w:color w:val="003CA0"/>
          <w:sz w:val="12"/>
        </w:rPr>
        <w:t xml:space="preserve"> | AI 474.675</w:t>
      </w:r>
      <w:r>
        <w:rPr>
          <w:color w:val="003CA0"/>
          <w:sz w:val="12"/>
        </w:rPr>
        <w:t xml:space="preserve"> | rel. Ayres Britto</w:t>
      </w:r>
    </w:p>
    <w:p>
      <w:pPr>
        <w:ind w:left="288"/>
      </w:pPr>
      <w:r>
        <w:rPr>
          <w:color w:val="1E1E1E"/>
          <w:sz w:val="18"/>
        </w:rPr>
        <w:t>= AI 474.675 AgR, rel. min. Ayres Britto, j. 26-10-2010, 2ª T, DJE de 2-3-2011 = AR 2.127 AgR, rel. min. Dias Toffoli, j. 24-6-2010, P, DJE de 22-10-2010 Vide RMS 25.841, red. do ac. min. Marco Aurélio, j. 20-3-2013, P, DJE de 20-5-2013</w:t>
      </w:r>
    </w:p>
    <w:p>
      <w:pPr>
        <w:ind w:left="144"/>
      </w:pPr>
      <w:r>
        <w:rPr>
          <w:b/>
          <w:color w:val="B45A00"/>
          <w:sz w:val="16"/>
        </w:rPr>
        <w:t>JULGADOS CORRELATOS</w:t>
      </w:r>
    </w:p>
    <w:p>
      <w:pPr>
        <w:ind w:left="288"/>
      </w:pPr>
      <w:r>
        <w:rPr>
          <w:color w:val="8C8C8C"/>
          <w:sz w:val="12"/>
        </w:rPr>
        <w:t>cf-art-93-inc-VI</w:t>
      </w:r>
      <w:r>
        <w:rPr>
          <w:color w:val="003CA0"/>
          <w:sz w:val="12"/>
        </w:rPr>
        <w:t xml:space="preserve"> | AO 2.330</w:t>
      </w:r>
      <w:r>
        <w:rPr>
          <w:color w:val="003CA0"/>
          <w:sz w:val="12"/>
        </w:rPr>
        <w:t xml:space="preserve"> | rel. Gilmar Mendes</w:t>
      </w:r>
    </w:p>
    <w:p>
      <w:pPr>
        <w:ind w:left="288"/>
      </w:pPr>
      <w:r>
        <w:rPr>
          <w:color w:val="1E1E1E"/>
          <w:sz w:val="18"/>
        </w:rPr>
        <w:t>A Emenda Constitucional nº 20/1998 alterou o regime de aposentadoria dos magistrados, ao conferir nova redação ao art. 93, VI, CF/88, determinando a aplicação, aos juízes, das normas gerais do regime próprio, incidentes sobre os servidores ocupantes de cargos efetivos (CF/88, art. 40). A magistratura não constitui atividade inerentemente perigosa, consoante entendimento firmado pelo Plenário do Supremo Tribunal Federal no julgamento da AO 2.330, Rel. Min. Gilmar Mendes, havendo somente direito à aposentadoria especial nos casos em que a periculosidade for inequivocamente inerente à atividade p</w:t>
      </w:r>
    </w:p>
    <w:p>
      <w:pPr>
        <w:ind w:left="144"/>
      </w:pPr>
      <w:r>
        <w:rPr>
          <w:b/>
          <w:color w:val="B45A00"/>
          <w:sz w:val="16"/>
        </w:rPr>
        <w:t>CONTROLE CONCENTRADO</w:t>
      </w:r>
    </w:p>
    <w:p>
      <w:pPr>
        <w:ind w:left="288"/>
      </w:pPr>
      <w:r>
        <w:rPr>
          <w:color w:val="8C8C8C"/>
          <w:sz w:val="12"/>
        </w:rPr>
        <w:t>cf-art-93-inc-VI</w:t>
      </w:r>
      <w:r>
        <w:rPr>
          <w:color w:val="003CA0"/>
          <w:sz w:val="12"/>
        </w:rPr>
        <w:t xml:space="preserve"> | ADI 3.053</w:t>
      </w:r>
      <w:r>
        <w:rPr>
          <w:color w:val="003CA0"/>
          <w:sz w:val="12"/>
        </w:rPr>
        <w:t xml:space="preserve"> | rel. Sepúlveda Pertence</w:t>
      </w:r>
    </w:p>
    <w:p>
      <w:pPr>
        <w:ind w:left="288"/>
      </w:pPr>
      <w:r>
        <w:rPr>
          <w:color w:val="1E1E1E"/>
          <w:sz w:val="18"/>
        </w:rPr>
        <w:t>Provimento de tribunal de justiça que proíbe os juízes de se ausentarem das comarcas, sob pena de perda de subsídios: matéria reservada à lei complementar. Procedência da ação direta para declarar a inconstitucionalidade formal do provimento impugnado.</w:t>
      </w:r>
    </w:p>
    <w:p>
      <w:pPr>
        <w:ind w:left="288"/>
      </w:pPr>
      <w:r>
        <w:rPr>
          <w:b/>
          <w:color w:val="003CA0"/>
          <w:sz w:val="16"/>
        </w:rPr>
        <w:t>[ADI 3.053, rel. min. Sepúlveda Pertence, j. 11-11-2004, P, DJ de 17-12-2004.]</w:t>
      </w:r>
    </w:p>
    <w:p>
      <w:pPr>
        <w:ind w:left="144"/>
      </w:pPr>
      <w:r>
        <w:rPr>
          <w:b/>
          <w:color w:val="B45A00"/>
          <w:sz w:val="16"/>
        </w:rPr>
        <w:t>JULGADOS CORRELATOS</w:t>
      </w:r>
    </w:p>
    <w:p>
      <w:pPr>
        <w:ind w:left="288"/>
      </w:pPr>
      <w:r>
        <w:rPr>
          <w:color w:val="8C8C8C"/>
          <w:sz w:val="12"/>
        </w:rPr>
        <w:t>cf-art-93-inc-VI</w:t>
      </w:r>
      <w:r>
        <w:rPr>
          <w:color w:val="003CA0"/>
          <w:sz w:val="12"/>
        </w:rPr>
        <w:t xml:space="preserve"> | AO 1.773</w:t>
      </w:r>
      <w:r>
        <w:rPr>
          <w:color w:val="003CA0"/>
          <w:sz w:val="12"/>
        </w:rPr>
        <w:t xml:space="preserve"> | rel. Luiz Fux</w:t>
      </w:r>
    </w:p>
    <w:p>
      <w:pPr>
        <w:ind w:left="288"/>
      </w:pPr>
      <w:r>
        <w:rPr>
          <w:color w:val="1E1E1E"/>
          <w:sz w:val="18"/>
        </w:rPr>
        <w:t>Magistratura e Ministério Público. Simetria constitucional entre carreiras. Ajuda de custo para fins de moradia. Art. 65, II, da LOMAN (LC nº 35/79). Art. 227, VII, da Lei Complementar nº 75/1993 e art. 50, II, da Lei nº 8.625/1993. Extensão aos membros do MP. Necessidade de garantia de um padrão simétrico entre as carreiras de Estado. Modificações no contexto fático-jurídico. Novo cenário orçamentário. Promulgação de leis que garantem a recomposição parcial da inflação de 16,38% nos subsídios dos membros do STF e do Procurador-geral da República. Lei n.º 13.752/2018 e Lei n.º 13.753/2018. Nov</w:t>
      </w:r>
    </w:p>
    <w:p>
      <w:pPr>
        <w:ind w:left="288"/>
      </w:pPr>
      <w:r>
        <w:rPr>
          <w:b/>
          <w:color w:val="003CA0"/>
          <w:sz w:val="16"/>
        </w:rPr>
        <w:t>[AO 1.773, rel. min. Luiz Fux, j. 26-11-2018, dec. monocrática, DJE de 28-11-2018.]</w:t>
      </w:r>
    </w:p>
    <w:p>
      <w:pPr>
        <w:ind w:left="288"/>
      </w:pPr>
      <w:r>
        <w:rPr>
          <w:color w:val="8C8C8C"/>
          <w:sz w:val="12"/>
        </w:rPr>
        <w:t>cf-art-93-inc-VI</w:t>
      </w:r>
      <w:r>
        <w:rPr>
          <w:color w:val="003CA0"/>
          <w:sz w:val="12"/>
        </w:rPr>
        <w:t xml:space="preserve"> | MS 28.135</w:t>
      </w:r>
      <w:r>
        <w:rPr>
          <w:color w:val="003CA0"/>
          <w:sz w:val="12"/>
        </w:rPr>
        <w:t xml:space="preserve"> | rel. Ellen Gracie</w:t>
      </w:r>
    </w:p>
    <w:p>
      <w:pPr>
        <w:ind w:left="288"/>
      </w:pPr>
      <w:r>
        <w:rPr>
          <w:color w:val="1E1E1E"/>
          <w:sz w:val="18"/>
        </w:rPr>
        <w:t>A ratio subjacente ao art. 65, II, da Loman, que também está presente na própria deliberação emanada do E. CNJ, apoia-se na circunstância de que a ajuda de custo, para moradia, destina-se a indenizar, de modo estrito, o magistrado que não dispõe, na localidade em que exerce a jurisdição, de casa própria ou de residência oficial ou, ainda, de imóvel posto à sua disposição pelo poder público. O que não parece razoável, contudo, é deferir-se auxílio-moradia a juízes que já se achem aposentados, não mais estando, em consequência, no efetivo exercício da função jurisdicional, pois a situação de ina</w:t>
      </w:r>
    </w:p>
    <w:p>
      <w:pPr>
        <w:ind w:left="288"/>
      </w:pPr>
      <w:r>
        <w:rPr>
          <w:b/>
          <w:color w:val="003CA0"/>
          <w:sz w:val="16"/>
        </w:rPr>
        <w:t>[MS 28.135 MC, rel. min. Ellen Gracie, dec. monocrática proferida pelo min. Celso de Mello no exercício da Presidência, j. 17-7-2009, DJE de 5-8-2009.]</w:t>
      </w:r>
    </w:p>
    <w:p>
      <w:pPr>
        <w:ind w:left="288"/>
      </w:pPr>
      <w:r>
        <w:rPr>
          <w:color w:val="8C8C8C"/>
          <w:sz w:val="12"/>
        </w:rPr>
        <w:t>cf-art-93-inc-VI</w:t>
      </w:r>
      <w:r>
        <w:rPr>
          <w:color w:val="003CA0"/>
          <w:sz w:val="12"/>
        </w:rPr>
        <w:t xml:space="preserve"> | RE 629.851</w:t>
      </w:r>
      <w:r>
        <w:rPr>
          <w:color w:val="003CA0"/>
          <w:sz w:val="12"/>
        </w:rPr>
        <w:t xml:space="preserve"> | rel. Cármen Lúcia</w:t>
      </w:r>
    </w:p>
    <w:p>
      <w:pPr>
        <w:ind w:left="288"/>
      </w:pPr>
      <w:r>
        <w:rPr>
          <w:color w:val="1E1E1E"/>
          <w:sz w:val="18"/>
        </w:rPr>
        <w:t>= RE 629.851 AgR, rel. min. Cármen Lúcia, j. 23-6-2015, 2ª T, DJE de 3-8-2015 Vide ADI 3.783, rel. min. Gilmar Mendes, j. 17-3-2011, P, DJE de 6-6-2011 VIII - o ato de remoção ou de disponibilidade do magistrado, por interesse público, fundar-se-á em decisão por voto da maioria absoluta do respectivo tribunal ou do Conselho Nacional de Justiça, assegurada ampla defesa; (Redação da EC 103/2019) Art. 57, caput e parágrafos 1º e 2º, da Lei Complementar nº 35/1.979. Pena de disponibilidade. (...) A pena de disponibilidade é sanção administrativa sui generis, que concilia o aspecto punitivo com a p</w:t>
      </w:r>
    </w:p>
    <w:p>
      <w:pPr>
        <w:ind w:left="288"/>
      </w:pPr>
      <w:r>
        <w:rPr>
          <w:b/>
          <w:color w:val="003CA0"/>
          <w:sz w:val="16"/>
        </w:rPr>
        <w:t>[ADPF 677, rel. min. Cristiano Zanin, j. 16-12-2025, P, DJE de 8-1-2026.]</w:t>
      </w:r>
    </w:p>
    <w:p>
      <w:pPr>
        <w:ind w:left="288"/>
      </w:pPr>
      <w:r>
        <w:rPr>
          <w:color w:val="8C8C8C"/>
          <w:sz w:val="12"/>
        </w:rPr>
        <w:t>cf-art-93-inc-VI</w:t>
      </w:r>
      <w:r>
        <w:rPr>
          <w:color w:val="003CA0"/>
          <w:sz w:val="12"/>
        </w:rPr>
        <w:t xml:space="preserve"> | ADI 6.757</w:t>
      </w:r>
      <w:r>
        <w:rPr>
          <w:color w:val="003CA0"/>
          <w:sz w:val="12"/>
        </w:rPr>
        <w:t xml:space="preserve"> | rel. Nunes Marques</w:t>
      </w:r>
    </w:p>
    <w:p>
      <w:pPr>
        <w:ind w:left="288"/>
      </w:pPr>
      <w:r>
        <w:rPr>
          <w:color w:val="1E1E1E"/>
          <w:sz w:val="18"/>
        </w:rPr>
        <w:t>VIII-A - a remoção a pedido de magistrados de comarca de igual entrância atenderá, no que couber, ao disposto nas alíneas "a", "b", "c" e "e" do inciso II do caput deste artigo e no art. 94 desta Constituição; (Redação dada pela EC n.130/2023) Levando em conta o regime instituído pela Emenda Constitucional n. 45/2004, nas carreiras das magistraturas federal e estadual a remoção precede a promoção por antiguidade ou por merecimento (CF, art. 93, VIII-A) Cancelamento do Tema 964/RG. Modulação de efeitos prospectivos, com a concessão do prazo de 12 meses, contados da publicação da ata deste julga</w:t>
      </w:r>
    </w:p>
    <w:p>
      <w:pPr>
        <w:ind w:left="288"/>
      </w:pPr>
      <w:r>
        <w:rPr>
          <w:b/>
          <w:color w:val="003CA0"/>
          <w:sz w:val="16"/>
        </w:rPr>
        <w:t>[ADI 6.757, rel. min. Nunes Marques, j. 20.02.2025, P, DJE de 24.04.2025.]</w:t>
      </w:r>
    </w:p>
    <w:p>
      <w:pPr>
        <w:ind w:left="288"/>
      </w:pPr>
      <w:r>
        <w:rPr>
          <w:color w:val="8C8C8C"/>
          <w:sz w:val="12"/>
        </w:rPr>
        <w:t>cf-art-93-inc-VI</w:t>
      </w:r>
    </w:p>
    <w:p>
      <w:pPr>
        <w:ind w:left="288"/>
      </w:pPr>
      <w:r>
        <w:rPr>
          <w:color w:val="1E1E1E"/>
          <w:sz w:val="18"/>
        </w:rPr>
        <w:t>IX - todos os julgamentos dos órgãos do Poder Judiciário serão públicos, e fundamentadas todas as decisões, sob pena de nulidade, podendo a lei limitar a presença, em determinados atos, às próprias partes e a seus advogados, ou somente a estes, em casos nos quais a preservação do direito à intimidade do interessado no sigilo não prejudique o interesse público à informação; (Redação da EC 45/2004)</w:t>
      </w:r>
    </w:p>
    <w:p>
      <w:pPr>
        <w:ind w:left="144"/>
      </w:pPr>
      <w:r>
        <w:rPr>
          <w:b/>
          <w:color w:val="B45A00"/>
          <w:sz w:val="16"/>
        </w:rPr>
        <w:t>SUMULA VINCULANTE</w:t>
      </w:r>
    </w:p>
    <w:p>
      <w:pPr>
        <w:ind w:left="288"/>
      </w:pPr>
      <w:r>
        <w:rPr>
          <w:color w:val="8C8C8C"/>
          <w:sz w:val="12"/>
        </w:rPr>
        <w:t>cf-art-93-inc-VI</w:t>
      </w:r>
    </w:p>
    <w:p>
      <w:pPr>
        <w:ind w:left="288"/>
      </w:pPr>
      <w:r>
        <w:rPr>
          <w:color w:val="1E1E1E"/>
          <w:sz w:val="18"/>
        </w:rPr>
        <w:t>Para efeito de progressão de regime no cumprimento de pena por crime hediondo, ou equiparado, o juízo da execução observará a inconstitucionalidade do art. 2º da Lei 8.072, de 25-7-1990, sem prejuízo de avaliar se o condenado preenche, ou não, os requisitos objetivos e subjetivos do benefício, podendo determinar, para tal fim, de modo fundamentado, a realização de exame criminológico.</w:t>
      </w:r>
    </w:p>
    <w:p>
      <w:pPr>
        <w:ind w:left="288"/>
      </w:pPr>
      <w:r>
        <w:rPr>
          <w:b/>
          <w:color w:val="003CA0"/>
          <w:sz w:val="16"/>
        </w:rPr>
        <w:t>[Súmula Vinculante 26.]</w:t>
      </w:r>
    </w:p>
    <w:p>
      <w:pPr>
        <w:ind w:left="288"/>
      </w:pPr>
      <w:r>
        <w:rPr>
          <w:color w:val="8C8C8C"/>
          <w:sz w:val="12"/>
        </w:rPr>
        <w:t>cf-art-93-inc-VI</w:t>
      </w:r>
      <w:r>
        <w:rPr>
          <w:color w:val="003CA0"/>
          <w:sz w:val="12"/>
        </w:rPr>
        <w:t xml:space="preserve"> | ADPF 1.174</w:t>
      </w:r>
      <w:r>
        <w:rPr>
          <w:color w:val="003CA0"/>
          <w:sz w:val="12"/>
        </w:rPr>
        <w:t xml:space="preserve"> | rel. Alexandre de Moraes</w:t>
      </w:r>
    </w:p>
    <w:p>
      <w:pPr>
        <w:ind w:left="288"/>
      </w:pPr>
      <w:r>
        <w:rPr>
          <w:color w:val="1E1E1E"/>
          <w:sz w:val="18"/>
        </w:rPr>
        <w:t>As decisões judiciais impugnadas afastam a aplicação da norma estadual sem declarar sua inconstitucionalidade, o que configura controle difuso implícito. A ausência de fundamentação explícita sobre a constitucionalidade da norma estadual viola o dever de motivação previsto no art. 93, IX, da CF/1988.</w:t>
      </w:r>
    </w:p>
    <w:p>
      <w:pPr>
        <w:ind w:left="288"/>
      </w:pPr>
      <w:r>
        <w:rPr>
          <w:b/>
          <w:color w:val="003CA0"/>
          <w:sz w:val="16"/>
        </w:rPr>
        <w:t>[ADPF 1.174 MC-REF, rel. min. Alexandre de Moraes, j. 17.03.2025, P, DJE de 21.03.2025.]</w:t>
      </w:r>
    </w:p>
    <w:p>
      <w:pPr>
        <w:ind w:left="144"/>
      </w:pPr>
      <w:r>
        <w:rPr>
          <w:b/>
          <w:color w:val="B45A00"/>
          <w:sz w:val="16"/>
        </w:rPr>
        <w:t>CONTROLE CONCENTRADO</w:t>
      </w:r>
    </w:p>
    <w:p>
      <w:pPr>
        <w:ind w:left="288"/>
      </w:pPr>
      <w:r>
        <w:rPr>
          <w:color w:val="8C8C8C"/>
          <w:sz w:val="12"/>
        </w:rPr>
        <w:t>cf-art-93-inc-VI</w:t>
      </w:r>
      <w:r>
        <w:rPr>
          <w:color w:val="003CA0"/>
          <w:sz w:val="12"/>
        </w:rPr>
        <w:t xml:space="preserve"> | ADI 4.414</w:t>
      </w:r>
      <w:r>
        <w:rPr>
          <w:color w:val="003CA0"/>
          <w:sz w:val="12"/>
        </w:rPr>
        <w:t xml:space="preserve"> | rel. Luiz Fux</w:t>
      </w:r>
    </w:p>
    <w:p>
      <w:pPr>
        <w:ind w:left="288"/>
      </w:pPr>
      <w:r>
        <w:rPr>
          <w:color w:val="1E1E1E"/>
          <w:sz w:val="18"/>
        </w:rPr>
        <w:t>A publicidade assegurada constitucionalmente (art. 5º, LX, e 93, IX, da CRFB) alcança os autos do processo, e não somente as sessões e audiências, razão pela qual padece de inconstitucionalidade disposição normativa que determine abstratamente segredo de justiça em todos os processos em curso perante vara criminal.</w:t>
      </w:r>
    </w:p>
    <w:p>
      <w:pPr>
        <w:ind w:left="288"/>
      </w:pPr>
      <w:r>
        <w:rPr>
          <w:b/>
          <w:color w:val="003CA0"/>
          <w:sz w:val="16"/>
        </w:rPr>
        <w:t>[ADI 4.414, rel. min. Luiz Fux, j. 31-5-2012, P, DJE de 17-6-2013.]</w:t>
      </w:r>
    </w:p>
    <w:p>
      <w:pPr>
        <w:ind w:left="288"/>
      </w:pPr>
      <w:r>
        <w:rPr>
          <w:color w:val="8C8C8C"/>
          <w:sz w:val="12"/>
        </w:rPr>
        <w:t>cf-art-93-inc-VI</w:t>
      </w:r>
      <w:r>
        <w:rPr>
          <w:color w:val="003CA0"/>
          <w:sz w:val="12"/>
        </w:rPr>
        <w:t xml:space="preserve"> | ADI 3.463</w:t>
      </w:r>
      <w:r>
        <w:rPr>
          <w:color w:val="003CA0"/>
          <w:sz w:val="12"/>
        </w:rPr>
        <w:t xml:space="preserve"> | rel. Ayres Britto</w:t>
      </w:r>
    </w:p>
    <w:p>
      <w:pPr>
        <w:ind w:left="288"/>
      </w:pPr>
      <w:r>
        <w:rPr>
          <w:color w:val="1E1E1E"/>
          <w:sz w:val="18"/>
        </w:rPr>
        <w:t>O art. 51 do Ato das Disposições Transitórias da Constituição do Estado do Rio de Janeiro não confere competência ao Ministério Público fluminense, mas apenas cria o Conselho Estadual de Defesa da Criança e do Adolescente, garantindo a possibilidade de participação do Ministério Público. (...) Inconstitucionalidade da expressão "Poder Judiciário", porquanto a participação de membro do Poder Judicante em conselho administrativo tem a potencialidade de quebrantar a necessária garantia de imparcialidade do julgador. (...) Ação que se julga parcialmente procedente para: (...) declarar a inconstitu</w:t>
      </w:r>
    </w:p>
    <w:p>
      <w:pPr>
        <w:ind w:left="288"/>
      </w:pPr>
      <w:r>
        <w:rPr>
          <w:b/>
          <w:color w:val="003CA0"/>
          <w:sz w:val="16"/>
        </w:rPr>
        <w:t>[ADI 3.463, rel. min. Ayres Britto, j. 27-10-2011, P, DJE de 6-6-2012.]</w:t>
      </w:r>
    </w:p>
    <w:p>
      <w:pPr>
        <w:ind w:left="144"/>
      </w:pPr>
      <w:r>
        <w:rPr>
          <w:b/>
          <w:color w:val="B45A00"/>
          <w:sz w:val="16"/>
        </w:rPr>
        <w:t>REPERCUSSAO GERAL</w:t>
      </w:r>
    </w:p>
    <w:p>
      <w:pPr>
        <w:ind w:left="288"/>
      </w:pPr>
      <w:r>
        <w:rPr>
          <w:color w:val="8C8C8C"/>
          <w:sz w:val="12"/>
        </w:rPr>
        <w:t>cf-art-93-inc-VI</w:t>
      </w:r>
      <w:r>
        <w:rPr>
          <w:color w:val="003CA0"/>
          <w:sz w:val="12"/>
        </w:rPr>
        <w:t xml:space="preserve"> | RE 635.729</w:t>
      </w:r>
      <w:r>
        <w:rPr>
          <w:color w:val="003CA0"/>
          <w:sz w:val="12"/>
        </w:rPr>
        <w:t xml:space="preserve"> | rel. Dias Toffoli</w:t>
      </w:r>
    </w:p>
    <w:p>
      <w:pPr>
        <w:ind w:left="288"/>
      </w:pPr>
      <w:r>
        <w:rPr>
          <w:color w:val="1E1E1E"/>
          <w:sz w:val="18"/>
        </w:rPr>
        <w:t>(...) não afronta a exigência constitucional de motivação dos atos decisórios a decisão de turma recursal de juizados especiais que, em consonância com a Lei 9.099/1995, adota como razões de decidir os fundamentos contidos na sentença recorrida.</w:t>
        <w:br/>
        <w:t>[RE 635.729 RG, voto do rel. min. Dias Toffoli, j. 30-6-2011, P, DJE de 24-8-2011, Tema 451, com mérito julgado.]</w:t>
        <w:br/>
        <w:t>Vide MS 25.936 ED, rel. min. Celso de Mello, j. 13-6-2007, P, DJE de 18-9-2009 O art. 93, IX, da CF exige que o acórdão ou decisão sejam fundamentados, ainda que sucintamente, sem determinar, contudo, o exame pormenorizado de cada uma das a</w:t>
      </w:r>
    </w:p>
    <w:p>
      <w:pPr>
        <w:ind w:left="288"/>
      </w:pPr>
      <w:r>
        <w:rPr>
          <w:b/>
          <w:color w:val="003CA0"/>
          <w:sz w:val="16"/>
        </w:rPr>
        <w:t>[AI 791.292 QO-RG, rel. min. Gilmar Mendes, j. 23-6-2010, P, DJE de 13-8-2010, Tema 339, com mérito julgado.]</w:t>
      </w:r>
    </w:p>
    <w:p>
      <w:pPr>
        <w:ind w:left="288"/>
      </w:pPr>
      <w:r>
        <w:rPr>
          <w:color w:val="8C8C8C"/>
          <w:sz w:val="12"/>
        </w:rPr>
        <w:t>cf-art-93-inc-VI</w:t>
      </w:r>
      <w:r>
        <w:rPr>
          <w:color w:val="003CA0"/>
          <w:sz w:val="12"/>
        </w:rPr>
        <w:t xml:space="preserve"> | RE 575.144</w:t>
      </w:r>
      <w:r>
        <w:rPr>
          <w:color w:val="003CA0"/>
          <w:sz w:val="12"/>
        </w:rPr>
        <w:t xml:space="preserve"> | rel. Ricardo Lewandowski</w:t>
      </w:r>
    </w:p>
    <w:p>
      <w:pPr>
        <w:ind w:left="288"/>
      </w:pPr>
      <w:r>
        <w:rPr>
          <w:color w:val="1E1E1E"/>
          <w:sz w:val="18"/>
        </w:rPr>
        <w:t>(...) constitui direito fundamental do cidadão, em especial na qualidade de jurisdicionado, o de conhecer a motivação das decisões judiciais, sob pena de retornar-se ao voluntarismo dos agentes estatais, expresso na conhecida frase dos monarcas absolutistas franceses, que justificavam seus atos assentando: "ler oi le veut." (...) a expedição de mera certidão em que se contém apenas o resultado do julgamento não permite que se conheça as razões que emprestam suporte às decisões dos ministros do STM, revelando-se tal proceder incompatível com o ordenamento constitucional vigente.</w:t>
        <w:br/>
        <w:t>[RE 575.144, vo</w:t>
      </w:r>
    </w:p>
    <w:p>
      <w:pPr>
        <w:ind w:left="144"/>
      </w:pPr>
      <w:r>
        <w:rPr>
          <w:b/>
          <w:color w:val="B45A00"/>
          <w:sz w:val="16"/>
        </w:rPr>
        <w:t>JULGADOS CORRELATOS</w:t>
      </w:r>
    </w:p>
    <w:p>
      <w:pPr>
        <w:ind w:left="288"/>
      </w:pPr>
      <w:r>
        <w:rPr>
          <w:color w:val="8C8C8C"/>
          <w:sz w:val="12"/>
        </w:rPr>
        <w:t>cf-art-93-inc-VI</w:t>
      </w:r>
      <w:r>
        <w:rPr>
          <w:color w:val="003CA0"/>
          <w:sz w:val="12"/>
        </w:rPr>
        <w:t xml:space="preserve"> | HC 128.763</w:t>
      </w:r>
      <w:r>
        <w:rPr>
          <w:color w:val="003CA0"/>
          <w:sz w:val="12"/>
        </w:rPr>
        <w:t xml:space="preserve"> | rel. Gilmar Mendes</w:t>
      </w:r>
    </w:p>
    <w:p>
      <w:pPr>
        <w:ind w:left="288"/>
      </w:pPr>
      <w:r>
        <w:rPr>
          <w:color w:val="1E1E1E"/>
          <w:sz w:val="18"/>
        </w:rPr>
        <w:t>Execução penal. Saída temporária. Visita periódica à família. Um único ato judicial que analisa o histórico do sentenciado e estabelece um calendário de saídas temporárias, com a expressa ressalva de que as autorizações poderão ser revistas em caso de cometimento de falta, é suficiente para fundamentar a saída mais próxima e as futuras. A decisão única permite participação suficiente do Ministério Público, que poderá falar sobre seu cabimento e, caso alterada a situação fática, pugnar por sua revisão. Ameaça concreta de lesão ao direito do paciente. Dificuldades operacionais na Vara de Execuçõ</w:t>
      </w:r>
    </w:p>
    <w:p>
      <w:pPr>
        <w:ind w:left="288"/>
      </w:pPr>
      <w:r>
        <w:rPr>
          <w:b/>
          <w:color w:val="003CA0"/>
          <w:sz w:val="16"/>
        </w:rPr>
        <w:t>[HC 128.763, rel. min. Gilmar Mendes, j. 4-8-2015, 2ª T, DJE de 1º-2-2016.]</w:t>
      </w:r>
    </w:p>
    <w:p>
      <w:pPr>
        <w:ind w:left="288"/>
      </w:pPr>
      <w:r>
        <w:rPr>
          <w:color w:val="8C8C8C"/>
          <w:sz w:val="12"/>
        </w:rPr>
        <w:t>cf-art-93-inc-VI</w:t>
      </w:r>
      <w:r>
        <w:rPr>
          <w:color w:val="003CA0"/>
          <w:sz w:val="12"/>
        </w:rPr>
        <w:t xml:space="preserve"> | HC 96.056</w:t>
      </w:r>
      <w:r>
        <w:rPr>
          <w:color w:val="003CA0"/>
          <w:sz w:val="12"/>
        </w:rPr>
        <w:t xml:space="preserve"> | rel. Gilmar Mendes</w:t>
      </w:r>
    </w:p>
    <w:p>
      <w:pPr>
        <w:ind w:left="288"/>
      </w:pPr>
      <w:r>
        <w:rPr>
          <w:color w:val="1E1E1E"/>
          <w:sz w:val="18"/>
        </w:rPr>
        <w:t>(...) tenho que uma excepcional situação de restrição de um direito ou garantia constitucional só deve ocorrer em situações pontuais, em que restem evidenciadas de forma flagrante a sua real necessidade. No caso dos autos, a envolver o sigilo dos dados bancários, fiscais e das comunicações telefônicas, a regra é a inviolabilidade, a exceção, a sua violação, a qual somente se justifica quando devidamente fundamentada por autoridade judicial competente, consoante o disposto no art. 93, IX, da CF. Daí por que imperioso concluir que a mera alusão ao "requerimento" do Parquet e/ou da autoridade pol</w:t>
      </w:r>
    </w:p>
    <w:p>
      <w:pPr>
        <w:ind w:left="288"/>
      </w:pPr>
      <w:r>
        <w:rPr>
          <w:b/>
          <w:color w:val="003CA0"/>
          <w:sz w:val="16"/>
        </w:rPr>
        <w:t>[HC 96.056, voto do rel. min. Gilmar Mendes, j. 28-6-2011, 2ª T, DJE de 8-5-2012.]</w:t>
      </w:r>
    </w:p>
    <w:p>
      <w:pPr>
        <w:ind w:left="288"/>
      </w:pPr>
      <w:r>
        <w:rPr>
          <w:color w:val="8C8C8C"/>
          <w:sz w:val="12"/>
        </w:rPr>
        <w:t>cf-art-93-inc-VI</w:t>
      </w:r>
      <w:r>
        <w:rPr>
          <w:color w:val="003CA0"/>
          <w:sz w:val="12"/>
        </w:rPr>
        <w:t xml:space="preserve"> | MS 28.306</w:t>
      </w:r>
      <w:r>
        <w:rPr>
          <w:color w:val="003CA0"/>
          <w:sz w:val="12"/>
        </w:rPr>
        <w:t xml:space="preserve"> | rel. Ricardo Lewandowski</w:t>
      </w:r>
    </w:p>
    <w:p>
      <w:pPr>
        <w:ind w:left="288"/>
      </w:pPr>
      <w:r>
        <w:rPr>
          <w:color w:val="1E1E1E"/>
          <w:sz w:val="18"/>
        </w:rPr>
        <w:t>CNJ. Instauração de processo disciplinar contra magistrado. (...) A exigência de motivação para instauração do processo disciplinar é a presença de indícios de materialidade dos fatos e de autoria das infrações administrativas praticadas, o que foi atendido pela decisão combatida.</w:t>
      </w:r>
    </w:p>
    <w:p>
      <w:pPr>
        <w:ind w:left="288"/>
      </w:pPr>
      <w:r>
        <w:rPr>
          <w:b/>
          <w:color w:val="003CA0"/>
          <w:sz w:val="16"/>
        </w:rPr>
        <w:t>[MS 28.306, rel. min. Ricardo Lewandowski, j. 2-3-2011, P, DJE de 28-3-2011.]</w:t>
      </w:r>
    </w:p>
    <w:p>
      <w:pPr>
        <w:ind w:left="288"/>
      </w:pPr>
      <w:r>
        <w:rPr>
          <w:color w:val="8C8C8C"/>
          <w:sz w:val="12"/>
        </w:rPr>
        <w:t>cf-art-93-inc-VI</w:t>
      </w:r>
      <w:r>
        <w:rPr>
          <w:color w:val="003CA0"/>
          <w:sz w:val="12"/>
        </w:rPr>
        <w:t xml:space="preserve"> | HC 105.349</w:t>
      </w:r>
      <w:r>
        <w:rPr>
          <w:color w:val="003CA0"/>
          <w:sz w:val="12"/>
        </w:rPr>
        <w:t xml:space="preserve"> | rel. Ayres Britto</w:t>
      </w:r>
    </w:p>
    <w:p>
      <w:pPr>
        <w:ind w:left="288"/>
      </w:pPr>
      <w:r>
        <w:rPr>
          <w:color w:val="1E1E1E"/>
          <w:sz w:val="18"/>
        </w:rPr>
        <w:t>A falta de fundamentação não se confunde com fundamentação sucinta. Interpretação que se extrai do inciso IX do art. 93 da CF/1988.</w:t>
      </w:r>
    </w:p>
    <w:p>
      <w:pPr>
        <w:ind w:left="288"/>
      </w:pPr>
      <w:r>
        <w:rPr>
          <w:b/>
          <w:color w:val="003CA0"/>
          <w:sz w:val="16"/>
        </w:rPr>
        <w:t>[HC 105.349 AgR, rel. min. Ayres Britto, j. 23-11-2010, 2ª T, DJE de 17-2-2011.]</w:t>
      </w:r>
    </w:p>
    <w:p>
      <w:pPr>
        <w:ind w:left="288"/>
      </w:pPr>
      <w:r>
        <w:rPr>
          <w:color w:val="8C8C8C"/>
          <w:sz w:val="12"/>
        </w:rPr>
        <w:t>cf-art-93-inc-VI</w:t>
      </w:r>
      <w:r>
        <w:rPr>
          <w:color w:val="003CA0"/>
          <w:sz w:val="12"/>
        </w:rPr>
        <w:t xml:space="preserve"> | HC 94.274</w:t>
      </w:r>
      <w:r>
        <w:rPr>
          <w:color w:val="003CA0"/>
          <w:sz w:val="12"/>
        </w:rPr>
        <w:t xml:space="preserve"> | rel. Ayres Britto</w:t>
      </w:r>
    </w:p>
    <w:p>
      <w:pPr>
        <w:ind w:left="288"/>
      </w:pPr>
      <w:r>
        <w:rPr>
          <w:color w:val="1E1E1E"/>
          <w:sz w:val="18"/>
        </w:rPr>
        <w:t>Na pronúncia, o dever de fundamentação imposto ao magistrado é de ser cumprido dentro de limites estreitos. Fundamentação que é de se restringir à comprovação da materialidade do fato criminoso e à indicação dos indícios da autoria delitiva. Tudo o mais, todas as teses defensivas, todos os elementos de prova já coligidos hão de ser sopesados pelo próprio conselho de sentença, que é soberano em tema de crimes dolosos contra a vida. É vedado ao juízo de pronúncia o exame conclusivo dos elementos probatórios constantes dos autos. Além de se esperar que esse juízo pronunciante seja externado em li</w:t>
      </w:r>
    </w:p>
    <w:p>
      <w:pPr>
        <w:ind w:left="288"/>
      </w:pPr>
      <w:r>
        <w:rPr>
          <w:b/>
          <w:color w:val="003CA0"/>
          <w:sz w:val="16"/>
        </w:rPr>
        <w:t>[HC 94.274, rel. min. Ayres Britto, j. 1º-12-2009, 1ª T, DJE de 5-2-2010.]</w:t>
      </w:r>
    </w:p>
    <w:p>
      <w:pPr>
        <w:ind w:left="288"/>
      </w:pPr>
      <w:r>
        <w:rPr>
          <w:color w:val="8C8C8C"/>
          <w:sz w:val="12"/>
        </w:rPr>
        <w:t>cf-art-93-inc-VI</w:t>
      </w:r>
      <w:r>
        <w:rPr>
          <w:color w:val="003CA0"/>
          <w:sz w:val="12"/>
        </w:rPr>
        <w:t xml:space="preserve"> | AI 744.897</w:t>
      </w:r>
      <w:r>
        <w:rPr>
          <w:color w:val="003CA0"/>
          <w:sz w:val="12"/>
        </w:rPr>
        <w:t xml:space="preserve"> | rel. Cármen Lúcia</w:t>
      </w:r>
    </w:p>
    <w:p>
      <w:pPr>
        <w:ind w:left="288"/>
      </w:pPr>
      <w:r>
        <w:rPr>
          <w:color w:val="1E1E1E"/>
          <w:sz w:val="18"/>
        </w:rPr>
        <w:t xml:space="preserve">= AI 744.897 AgR, rel. min. Cármen Lúcia, j. 9-6-2009, 1ª T, DJE de 7-8-2009 = HC 89.833, rel. min. Ricardo Lewandowski, j. 27-3-2007, 1ª T, DJ de 4-5-2007 No caso, tenho por desatendido o dever jurisdicional de fundamentação real das decisões. É que a ordem constritiva está assentada, tão somente, na reprodução de algumas das expressões do art. 312 do CPP. Pelo que não se enxerga no decreto de prisão o conteúdo mínimo da garantia da fundamentação real das decisões judiciais. Garantia constitucional que se lê na segunda parte do inciso LXI do art. 5º e na parte inicial do inciso IX do art. 93 </w:t>
      </w:r>
    </w:p>
    <w:p>
      <w:pPr>
        <w:ind w:left="288"/>
      </w:pPr>
      <w:r>
        <w:rPr>
          <w:b/>
          <w:color w:val="003CA0"/>
          <w:sz w:val="16"/>
        </w:rPr>
        <w:t>[HC 98.006, rel. min. Ayres Britto, j. 24-11-2009, 1ª T, DJE de 5-2-2010.]</w:t>
      </w:r>
    </w:p>
    <w:p>
      <w:pPr>
        <w:ind w:left="288"/>
      </w:pPr>
      <w:r>
        <w:rPr>
          <w:color w:val="8C8C8C"/>
          <w:sz w:val="12"/>
        </w:rPr>
        <w:t>cf-art-93-inc-VI</w:t>
      </w:r>
      <w:r>
        <w:rPr>
          <w:color w:val="003CA0"/>
          <w:sz w:val="12"/>
        </w:rPr>
        <w:t xml:space="preserve"> | RHC 97.473</w:t>
      </w:r>
    </w:p>
    <w:p>
      <w:pPr>
        <w:ind w:left="288"/>
      </w:pPr>
      <w:r>
        <w:rPr>
          <w:color w:val="1E1E1E"/>
          <w:sz w:val="18"/>
        </w:rPr>
        <w:t>A apelação do Ministério Público devolve ao tribunal de justiça local a análise dos fatos e de seu enquadramento. Valorar os mesmos fatos anteriormente considerados pelo juízo de primeiro grau para aplicar uma pena maior e modificar o regime prisional para um mais gravoso está no âmbito da competência do tribunal de justiça, sem que isso configure ofensa ao art. 93, IX, da CF.</w:t>
      </w:r>
    </w:p>
    <w:p>
      <w:pPr>
        <w:ind w:left="288"/>
      </w:pPr>
      <w:r>
        <w:rPr>
          <w:b/>
          <w:color w:val="003CA0"/>
          <w:sz w:val="16"/>
        </w:rPr>
        <w:t>[RHC 97.473, red. do ac. min. Dias Toffoli, j. 10-11-2009, 1ª T, DJE de 18-12-2009.]</w:t>
      </w:r>
    </w:p>
    <w:p>
      <w:pPr>
        <w:ind w:left="288"/>
      </w:pPr>
      <w:r>
        <w:rPr>
          <w:color w:val="8C8C8C"/>
          <w:sz w:val="12"/>
        </w:rPr>
        <w:t>cf-art-93-inc-VI</w:t>
      </w:r>
      <w:r>
        <w:rPr>
          <w:color w:val="003CA0"/>
          <w:sz w:val="12"/>
        </w:rPr>
        <w:t xml:space="preserve"> | AI 650.375</w:t>
      </w:r>
      <w:r>
        <w:rPr>
          <w:color w:val="003CA0"/>
          <w:sz w:val="12"/>
        </w:rPr>
        <w:t xml:space="preserve"> | rel. Sepúlveda Pertence</w:t>
      </w:r>
    </w:p>
    <w:p>
      <w:pPr>
        <w:ind w:left="288"/>
      </w:pPr>
      <w:r>
        <w:rPr>
          <w:color w:val="1E1E1E"/>
          <w:sz w:val="18"/>
        </w:rPr>
        <w:t>Não há falar em negativa de prestação jurisdicional quando, como ocorre na espécie vertente, "a parte teve acesso aos recursos cabíveis na espécie e a jurisdição foi prestada (...) mediante decisão suficientemente motivada, não obstante contrária à pretensão do recorrente" (AI 650.375 AgR, rel. min. Sepúlveda Pertence, DJ de 10-8-2007), e "o órgão judicante não é obrigado a se manifestar sobre todas as teses apresentadas pela defesa, bastando que aponte fundamentadamente as razões de seu convencimento" (AI 690.504 AgR, rel. min. Joaquim Barbosa, DJE de 23-5-2008).</w:t>
      </w:r>
    </w:p>
    <w:p>
      <w:pPr>
        <w:ind w:left="288"/>
      </w:pPr>
      <w:r>
        <w:rPr>
          <w:b/>
          <w:color w:val="003CA0"/>
          <w:sz w:val="16"/>
        </w:rPr>
        <w:t>[AI 747.611 AgR, rel. min. Cármen Lúcia, j. 13-10-2009, 1ª T, DJE de 13-11-2009.]</w:t>
      </w:r>
    </w:p>
    <w:p>
      <w:pPr>
        <w:ind w:left="288"/>
      </w:pPr>
      <w:r>
        <w:rPr>
          <w:color w:val="8C8C8C"/>
          <w:sz w:val="12"/>
        </w:rPr>
        <w:t>cf-art-93-inc-VI</w:t>
      </w:r>
      <w:r>
        <w:rPr>
          <w:color w:val="003CA0"/>
          <w:sz w:val="12"/>
        </w:rPr>
        <w:t xml:space="preserve"> | AI 811.144</w:t>
      </w:r>
      <w:r>
        <w:rPr>
          <w:color w:val="003CA0"/>
          <w:sz w:val="12"/>
        </w:rPr>
        <w:t xml:space="preserve"> | rel. Rosa Weber</w:t>
      </w:r>
    </w:p>
    <w:p>
      <w:pPr>
        <w:ind w:left="288"/>
      </w:pPr>
      <w:r>
        <w:rPr>
          <w:color w:val="1E1E1E"/>
          <w:sz w:val="18"/>
        </w:rPr>
        <w:t>= AI 811.144 AgR, rel. min. Rosa Weber, j. 28-2-2012, 1ª T, DJE de 15-3-2012 = AI 791.149 ED, rel. min. Ricardo Lewandowski, j. 17-8-2010, 1ª T, DJE de 24-9-2010 O quadro empírico da causa impede o imediato estabelecimento da pena-base em quatro anos (mínimo legal). Inexistência de afronta às garantias constitucionais da individualização da pena e da fundamentação das decisões judiciais (inciso XLVI do art. 5º e inciso IX do art. 93, ambos da CF de 1988). Se o juízo processante justificou corretamente a fixação da pena-base em patamar superior ao mínimo legal, não cabe falar em regime prisiona</w:t>
      </w:r>
    </w:p>
    <w:p>
      <w:pPr>
        <w:ind w:left="288"/>
      </w:pPr>
      <w:r>
        <w:rPr>
          <w:b/>
          <w:color w:val="003CA0"/>
          <w:sz w:val="16"/>
        </w:rPr>
        <w:t>[HC 95.614, rel. min. Ayres Britto, j. 13-10-2009, 1ª T, DJE de 13-11-2009.]</w:t>
      </w:r>
    </w:p>
    <w:p>
      <w:pPr>
        <w:ind w:left="288"/>
      </w:pPr>
      <w:r>
        <w:rPr>
          <w:color w:val="8C8C8C"/>
          <w:sz w:val="12"/>
        </w:rPr>
        <w:t>cf-art-93-inc-VI</w:t>
      </w:r>
      <w:r>
        <w:rPr>
          <w:color w:val="003CA0"/>
          <w:sz w:val="12"/>
        </w:rPr>
        <w:t xml:space="preserve"> | HC 96.590</w:t>
      </w:r>
      <w:r>
        <w:rPr>
          <w:color w:val="003CA0"/>
          <w:sz w:val="12"/>
        </w:rPr>
        <w:t xml:space="preserve"> | rel. Celso de Mello</w:t>
      </w:r>
    </w:p>
    <w:p>
      <w:pPr>
        <w:ind w:left="288"/>
      </w:pPr>
      <w:r>
        <w:rPr>
          <w:color w:val="1E1E1E"/>
          <w:sz w:val="18"/>
        </w:rPr>
        <w:t>Vide HC 96.590, rel. min. Celso de Mello, j. 9-6-2009, 2ª T, DJE de 4-12-2009 Vide HC 71.952, voto do rel. min. Celso de Mello, j. 4-4-1995, 1ª T, DJE de 11-12-2009 A dosimetria da pena exige do julgador uma cuidadosa ponderação dos efeitos ético-sociais da sanção e das garantias constitucionais, especialmente a garantia da individualização do castigo. Em matéria penal, a necessidade de fundamentação das decisões judiciais tem na fixação da pena um dos seus momentos culminantes. Não há ilegalidade ou abuso de poder se, no trajeto da aplicação da pena, o julgador explicita os motivos de sua dec</w:t>
      </w:r>
    </w:p>
    <w:p>
      <w:pPr>
        <w:ind w:left="288"/>
      </w:pPr>
      <w:r>
        <w:rPr>
          <w:b/>
          <w:color w:val="003CA0"/>
          <w:sz w:val="16"/>
        </w:rPr>
        <w:t>[RHC 95.778, rel. min. Ayres Britto, j. 15-9-2009, 1ª T, DJE de 16-10-2009.]</w:t>
      </w:r>
    </w:p>
    <w:p>
      <w:pPr>
        <w:ind w:left="288"/>
      </w:pPr>
      <w:r>
        <w:rPr>
          <w:color w:val="8C8C8C"/>
          <w:sz w:val="12"/>
        </w:rPr>
        <w:t>cf-art-93-inc-VI</w:t>
      </w:r>
      <w:r>
        <w:rPr>
          <w:color w:val="003CA0"/>
          <w:sz w:val="12"/>
        </w:rPr>
        <w:t xml:space="preserve"> | HC 68.742</w:t>
      </w:r>
      <w:r>
        <w:rPr>
          <w:color w:val="003CA0"/>
          <w:sz w:val="12"/>
        </w:rPr>
        <w:t xml:space="preserve"> | rel. Eros Grau</w:t>
      </w:r>
    </w:p>
    <w:p>
      <w:pPr>
        <w:ind w:left="288"/>
      </w:pPr>
      <w:r>
        <w:rPr>
          <w:color w:val="1E1E1E"/>
          <w:sz w:val="18"/>
        </w:rPr>
        <w:t>Vide HC 68.742, red. do ac. min. Ilmar Galvão, j. 28-6-1991, P, DJ de 2-4-1993 Não cabe falar em excesso de linguagem na sentença de pronúncia se evidenciado que o juiz-presidente do tribunal do júri limitou-se a explicitar os fundamentos de sua convicção, na forma do disposto nos arts. 413 do CPP, na redação conferida pela Lei 11.689/2008, e 93, IX, da CF/1988.</w:t>
      </w:r>
    </w:p>
    <w:p>
      <w:pPr>
        <w:ind w:left="288"/>
      </w:pPr>
      <w:r>
        <w:rPr>
          <w:b/>
          <w:color w:val="003CA0"/>
          <w:sz w:val="16"/>
        </w:rPr>
        <w:t>[HC 93.191, rel. min. Eros Grau, j. 8-9-2009, 2ª T, DJE de 23-10-2009.]</w:t>
      </w:r>
    </w:p>
    <w:p>
      <w:pPr>
        <w:ind w:left="288"/>
      </w:pPr>
      <w:r>
        <w:rPr>
          <w:color w:val="8C8C8C"/>
          <w:sz w:val="12"/>
        </w:rPr>
        <w:t>cf-art-93-inc-VI</w:t>
      </w:r>
      <w:r>
        <w:rPr>
          <w:color w:val="003CA0"/>
          <w:sz w:val="12"/>
        </w:rPr>
        <w:t xml:space="preserve"> | HC 98.814</w:t>
      </w:r>
      <w:r>
        <w:rPr>
          <w:color w:val="003CA0"/>
          <w:sz w:val="12"/>
        </w:rPr>
        <w:t xml:space="preserve"> | rel. Ellen Gracie</w:t>
      </w:r>
    </w:p>
    <w:p>
      <w:pPr>
        <w:ind w:left="288"/>
      </w:pPr>
      <w:r>
        <w:rPr>
          <w:color w:val="1E1E1E"/>
          <w:sz w:val="18"/>
        </w:rPr>
        <w:t>Não viola o art. 93, IX, da CF o acórdão que adota os fundamentos da sentença de primeiro grau como razão de decidir.</w:t>
      </w:r>
    </w:p>
    <w:p>
      <w:pPr>
        <w:ind w:left="288"/>
      </w:pPr>
      <w:r>
        <w:rPr>
          <w:b/>
          <w:color w:val="003CA0"/>
          <w:sz w:val="16"/>
        </w:rPr>
        <w:t>[HC 98.814, rel. min. Ellen Gracie, j. 23-6-2009, 2ª T, DJE de 4-9-2009.]</w:t>
      </w:r>
    </w:p>
    <w:p>
      <w:pPr>
        <w:ind w:left="288"/>
      </w:pPr>
      <w:r>
        <w:rPr>
          <w:color w:val="8C8C8C"/>
          <w:sz w:val="12"/>
        </w:rPr>
        <w:t>cf-art-93-inc-VI</w:t>
      </w:r>
      <w:r>
        <w:rPr>
          <w:color w:val="003CA0"/>
          <w:sz w:val="12"/>
        </w:rPr>
        <w:t xml:space="preserve"> | HC 94.384</w:t>
      </w:r>
      <w:r>
        <w:rPr>
          <w:color w:val="003CA0"/>
          <w:sz w:val="12"/>
        </w:rPr>
        <w:t xml:space="preserve"> | rel. Dias Toffoli</w:t>
      </w:r>
    </w:p>
    <w:p>
      <w:pPr>
        <w:ind w:left="288"/>
      </w:pPr>
      <w:r>
        <w:rPr>
          <w:color w:val="1E1E1E"/>
          <w:sz w:val="18"/>
        </w:rPr>
        <w:t>= HC 94.384, rel. min. Dias Toffoli, j. 2-3-2010, 1ª T, DJE de 26-3-2010 Vide AI 789.441 AgR, rel. min. Ricardo Lewandowski, j. 9-11-2010, 1ª T, DJE de 25-11-2010 Vide AI 664.641 ED, rel. min. Cármen Lúcia, j. 16-9-2008, 1ª T, DJE de 20-2-2009 Vide MS 25.936 ED, rel. min. Celso de Mello, j. 13-6-2007, P, DJE de 18-9-2009 Vide HC 86.533, rel. min. Eros Grau, j. 8-11-2005, 1ª T, DJ de 2-12-2005 Nada impede que o magistrado das execuções criminais, facultativamente, requisite o exame criminológico e o utilize como fundamento da decisão que julga o pedido de progressão.</w:t>
      </w:r>
    </w:p>
    <w:p>
      <w:pPr>
        <w:ind w:left="288"/>
      </w:pPr>
      <w:r>
        <w:rPr>
          <w:b/>
          <w:color w:val="003CA0"/>
          <w:sz w:val="16"/>
        </w:rPr>
        <w:t>[HC 96.660, rel. min. Ricardo Lewandowski, j. 23-6-2009, 1ª T, DJE de 21-8-2009.]</w:t>
      </w:r>
    </w:p>
    <w:p>
      <w:pPr>
        <w:ind w:left="288"/>
      </w:pPr>
      <w:r>
        <w:rPr>
          <w:color w:val="8C8C8C"/>
          <w:sz w:val="12"/>
        </w:rPr>
        <w:t>cf-art-93-inc-VI</w:t>
      </w:r>
      <w:r>
        <w:rPr>
          <w:color w:val="003CA0"/>
          <w:sz w:val="12"/>
        </w:rPr>
        <w:t xml:space="preserve"> | HC 105.185</w:t>
      </w:r>
      <w:r>
        <w:rPr>
          <w:color w:val="003CA0"/>
          <w:sz w:val="12"/>
        </w:rPr>
        <w:t xml:space="preserve"> | rel. Gilmar Mendes</w:t>
      </w:r>
    </w:p>
    <w:p>
      <w:pPr>
        <w:ind w:left="288"/>
      </w:pPr>
      <w:r>
        <w:rPr>
          <w:color w:val="1E1E1E"/>
          <w:sz w:val="18"/>
        </w:rPr>
        <w:t>= HC 105.185, rel. min. Gilmar Mendes, j. 23-11-2010, 2ª T, DJE de 9-12-2010 Vide HC 92.378, red. do ac. min. Cármen Lúcia, j. 9-9-2008, 1ª T, DJE de 8-5-2009 Se é certo, de um lado, que nenhum condenado tem direito público subjetivo à estipulação da pena-base em seu grau mínimo, não é menos exato, de outro, que não se mostra lícito, ao magistrado sentenciante, proceder a uma especial exacerbação da pena-base, exceto se o fizer em ato decisório adequadamente motivado, que satisfaça, de modo pleno, a exigência de fundamentação substancial evidenciadora da necessária relação de proporcionalidade</w:t>
      </w:r>
    </w:p>
    <w:p>
      <w:pPr>
        <w:ind w:left="288"/>
      </w:pPr>
      <w:r>
        <w:rPr>
          <w:b/>
          <w:color w:val="003CA0"/>
          <w:sz w:val="16"/>
        </w:rPr>
        <w:t>[HC 96.590, rel. min. Celso de Mello, j. 9-6-2009, 2ª T, DJE de 4-12-2009.]</w:t>
      </w:r>
    </w:p>
    <w:p>
      <w:pPr>
        <w:ind w:left="288"/>
      </w:pPr>
      <w:r>
        <w:rPr>
          <w:color w:val="8C8C8C"/>
          <w:sz w:val="12"/>
        </w:rPr>
        <w:t>cf-art-93-inc-VI</w:t>
      </w:r>
      <w:r>
        <w:rPr>
          <w:color w:val="003CA0"/>
          <w:sz w:val="12"/>
        </w:rPr>
        <w:t xml:space="preserve"> | HC 98.729</w:t>
      </w:r>
      <w:r>
        <w:rPr>
          <w:color w:val="003CA0"/>
          <w:sz w:val="12"/>
        </w:rPr>
        <w:t xml:space="preserve"> | rel. Ayres Britto</w:t>
      </w:r>
    </w:p>
    <w:p>
      <w:pPr>
        <w:ind w:left="288"/>
      </w:pPr>
      <w:r>
        <w:rPr>
          <w:color w:val="1E1E1E"/>
          <w:sz w:val="18"/>
        </w:rPr>
        <w:t>= HC 98.729, rel. min. Ayres Britto, j. 25-5-2010, 1ª T, DJE de 25-6-2010 Vide HC 95.614, rel. min. Ayres Britto, j. 13-10-2009, 1ª T, DJE de 13-11-2009 A decisão, como ato de inteligência, há de ser a mais completa e convincente possível. Incumbe ao Estado-juiz observar a estrutura imposta por lei, formalizando o relatório, a fundamentação e o dispositivo. Transgride comezinha noção do devido processo legal, desafiando os recursos de revista, especial e extraordinário pronunciamento que, inexistente incompatibilidade com o já assentado, implique recusa em apreciar causa de pedir veiculada por</w:t>
      </w:r>
    </w:p>
    <w:p>
      <w:pPr>
        <w:ind w:left="288"/>
      </w:pPr>
      <w:r>
        <w:rPr>
          <w:b/>
          <w:color w:val="003CA0"/>
          <w:sz w:val="16"/>
        </w:rPr>
        <w:t>[RE 435.256, rel. min. Marco Aurélio, j. 26-5-2009, 1ª T, DJE de 21-8-2009.]</w:t>
      </w:r>
    </w:p>
    <w:p>
      <w:pPr>
        <w:ind w:left="288"/>
      </w:pPr>
      <w:r>
        <w:rPr>
          <w:color w:val="8C8C8C"/>
          <w:sz w:val="12"/>
        </w:rPr>
        <w:t>cf-art-93-inc-VI</w:t>
      </w:r>
      <w:r>
        <w:rPr>
          <w:color w:val="003CA0"/>
          <w:sz w:val="12"/>
        </w:rPr>
        <w:t xml:space="preserve"> | HC 94.243</w:t>
      </w:r>
      <w:r>
        <w:rPr>
          <w:color w:val="003CA0"/>
          <w:sz w:val="12"/>
        </w:rPr>
        <w:t xml:space="preserve"> | rel. Eros Grau</w:t>
      </w:r>
    </w:p>
    <w:p>
      <w:pPr>
        <w:ind w:left="288"/>
      </w:pPr>
      <w:r>
        <w:rPr>
          <w:color w:val="1E1E1E"/>
          <w:sz w:val="18"/>
        </w:rPr>
        <w:t>Transcrição e adoção, como razões de decidir, de depoimentos de testemunhas. Ausência de afronta ao disposto no art. 93, IX, da Constituição do Brasil/1988.</w:t>
      </w:r>
    </w:p>
    <w:p>
      <w:pPr>
        <w:ind w:left="288"/>
      </w:pPr>
      <w:r>
        <w:rPr>
          <w:b/>
          <w:color w:val="003CA0"/>
          <w:sz w:val="16"/>
        </w:rPr>
        <w:t>[HC 94.243, rel. min. Eros Grau, j. 31-3-2009, 2ª T, DJE de 14-8-2009.]</w:t>
      </w:r>
    </w:p>
    <w:p>
      <w:pPr>
        <w:ind w:left="288"/>
      </w:pPr>
      <w:r>
        <w:rPr>
          <w:color w:val="8C8C8C"/>
          <w:sz w:val="12"/>
        </w:rPr>
        <w:t>cf-art-93-inc-VI</w:t>
      </w:r>
      <w:r>
        <w:rPr>
          <w:color w:val="003CA0"/>
          <w:sz w:val="12"/>
        </w:rPr>
        <w:t xml:space="preserve"> | RE 456.673</w:t>
      </w:r>
      <w:r>
        <w:rPr>
          <w:color w:val="003CA0"/>
          <w:sz w:val="12"/>
        </w:rPr>
        <w:t xml:space="preserve"> | rel. Cezar Peluso</w:t>
      </w:r>
    </w:p>
    <w:p>
      <w:pPr>
        <w:ind w:left="288"/>
      </w:pPr>
      <w:r>
        <w:rPr>
          <w:color w:val="1E1E1E"/>
          <w:sz w:val="18"/>
        </w:rPr>
        <w:t>É nula a decisão que recebe denúncia sem fundamentação suficiente sobre a admissibilidade da ação penal.</w:t>
      </w:r>
    </w:p>
    <w:p>
      <w:pPr>
        <w:ind w:left="288"/>
      </w:pPr>
      <w:r>
        <w:rPr>
          <w:b/>
          <w:color w:val="003CA0"/>
          <w:sz w:val="16"/>
        </w:rPr>
        <w:t>[RE 456.673, rel. min. Cezar Peluso, j. 31-3-2009, 2ª T, DJE de 22-5-2009.]</w:t>
      </w:r>
    </w:p>
    <w:p>
      <w:pPr>
        <w:ind w:left="288"/>
      </w:pPr>
      <w:r>
        <w:rPr>
          <w:color w:val="8C8C8C"/>
          <w:sz w:val="12"/>
        </w:rPr>
        <w:t>cf-art-93-inc-VI</w:t>
      </w:r>
      <w:r>
        <w:rPr>
          <w:color w:val="003CA0"/>
          <w:sz w:val="12"/>
        </w:rPr>
        <w:t xml:space="preserve"> | HC 95.009</w:t>
      </w:r>
      <w:r>
        <w:rPr>
          <w:color w:val="003CA0"/>
          <w:sz w:val="12"/>
        </w:rPr>
        <w:t xml:space="preserve"> | rel. Eros Grau</w:t>
      </w:r>
    </w:p>
    <w:p>
      <w:pPr>
        <w:ind w:left="288"/>
      </w:pPr>
      <w:r>
        <w:rPr>
          <w:color w:val="1E1E1E"/>
          <w:sz w:val="18"/>
        </w:rPr>
        <w:t>A neutralidade impõe que o juiz se mantenha em situação exterior ao conflito objeto da lide a ser solucionada. O juiz há de ser estranho ao conflito. A independência é expressão da atitude do juiz em face de influências provenientes do sistema e do governo. Permite-lhe tomar não apenas decisões contrárias a interesses do governo – quando o exijam a Constituição e a lei – mas também impopulares, que a imprensa e a opinião pública não gostariam que fossem adotadas. A imparcialidade é expressão da atitude do juiz em face de influências provenientes das partes nos processos judiciais a ele submeti</w:t>
      </w:r>
    </w:p>
    <w:p>
      <w:pPr>
        <w:ind w:left="288"/>
      </w:pPr>
      <w:r>
        <w:rPr>
          <w:b/>
          <w:color w:val="003CA0"/>
          <w:sz w:val="16"/>
        </w:rPr>
        <w:t>[HC 95.009, rel. min. Eros Grau, j. 6-11-2008, P, DJE de 19-12-2008.]</w:t>
      </w:r>
    </w:p>
    <w:p>
      <w:pPr>
        <w:ind w:left="288"/>
      </w:pPr>
      <w:r>
        <w:rPr>
          <w:color w:val="8C8C8C"/>
          <w:sz w:val="12"/>
        </w:rPr>
        <w:t>cf-art-93-inc-VI</w:t>
      </w:r>
      <w:r>
        <w:rPr>
          <w:color w:val="003CA0"/>
          <w:sz w:val="12"/>
        </w:rPr>
        <w:t xml:space="preserve"> | HC 92.378</w:t>
      </w:r>
    </w:p>
    <w:p>
      <w:pPr>
        <w:ind w:left="288"/>
      </w:pPr>
      <w:r>
        <w:rPr>
          <w:color w:val="1E1E1E"/>
          <w:sz w:val="18"/>
        </w:rPr>
        <w:t>Na linha dos precedentes do Supremo Tribunal posteriores à Lei 10.792/2003, o exame criminológico, embora facultativo, deve ser feito por decisão devidamente fundamentada, com a indicação dos motivos e considerando-se as circunstâncias do caso concreto, o que, neste caso, não se apresenta.</w:t>
      </w:r>
    </w:p>
    <w:p>
      <w:pPr>
        <w:ind w:left="288"/>
      </w:pPr>
      <w:r>
        <w:rPr>
          <w:b/>
          <w:color w:val="003CA0"/>
          <w:sz w:val="16"/>
        </w:rPr>
        <w:t>[HC 92.378, red. do ac. min. Cármen Lúcia, j. 9-9-2008, 1ª T, DJE de 8-5-2009.]</w:t>
      </w:r>
    </w:p>
    <w:p>
      <w:pPr>
        <w:ind w:left="288"/>
      </w:pPr>
      <w:r>
        <w:rPr>
          <w:color w:val="8C8C8C"/>
          <w:sz w:val="12"/>
        </w:rPr>
        <w:t>cf-art-93-inc-VI</w:t>
      </w:r>
      <w:r>
        <w:rPr>
          <w:color w:val="003CA0"/>
          <w:sz w:val="12"/>
        </w:rPr>
        <w:t xml:space="preserve"> | HC 103.070</w:t>
      </w:r>
      <w:r>
        <w:rPr>
          <w:color w:val="003CA0"/>
          <w:sz w:val="12"/>
        </w:rPr>
        <w:t xml:space="preserve"> | rel. Luiz Fux</w:t>
      </w:r>
    </w:p>
    <w:p>
      <w:pPr>
        <w:ind w:left="288"/>
      </w:pPr>
      <w:r>
        <w:rPr>
          <w:color w:val="1E1E1E"/>
          <w:sz w:val="18"/>
        </w:rPr>
        <w:t>= HC 103.070, rel. min. Luiz Fux, j. 14-6-2011, 1ª T, DJE de 1º-8-2011 Vide HC 96.660, rel. min. Ricardo Lewandowski, j. 23-6-2009,  1ª T, DJE de 21-8-2009 O STF já assentou entendimento de que não há afronta ao art. 93, IX e X, da Constituição da República quando a decisão for motivada, sendo desnecessária a análise de todos os argumentos apresentados e certo que a contrariedade ao interesse da parte não configura negativa de prestação jurisdicional.</w:t>
      </w:r>
    </w:p>
    <w:p>
      <w:pPr>
        <w:ind w:left="288"/>
      </w:pPr>
      <w:r>
        <w:rPr>
          <w:b/>
          <w:color w:val="003CA0"/>
          <w:sz w:val="16"/>
        </w:rPr>
        <w:t>[MS 26.163, rel. min. Cármen Lúcia, j. 24-4-2008, P, DJE de 5-9-2008.]</w:t>
      </w:r>
    </w:p>
    <w:p>
      <w:pPr>
        <w:ind w:left="288"/>
      </w:pPr>
      <w:r>
        <w:rPr>
          <w:color w:val="8C8C8C"/>
          <w:sz w:val="12"/>
        </w:rPr>
        <w:t>cf-art-93-inc-VI</w:t>
      </w:r>
      <w:r>
        <w:rPr>
          <w:color w:val="003CA0"/>
          <w:sz w:val="12"/>
        </w:rPr>
        <w:t xml:space="preserve"> | HC 91.514</w:t>
      </w:r>
      <w:r>
        <w:rPr>
          <w:color w:val="003CA0"/>
          <w:sz w:val="12"/>
        </w:rPr>
        <w:t xml:space="preserve"> | rel. Gilmar Mendes</w:t>
      </w:r>
    </w:p>
    <w:p>
      <w:pPr>
        <w:ind w:left="288"/>
      </w:pPr>
      <w:r>
        <w:rPr>
          <w:color w:val="1E1E1E"/>
          <w:sz w:val="18"/>
        </w:rPr>
        <w:t>Segundo a jurisprudência do STF, não basta a mera explicitação textual dos requisitos previstos pelo art. 312 do CPP, mas é indispensável a indicação de elementos concretos que demonstrem a necessidade da segregação preventiva. (...) A prisão preventiva é medida excepcional que demanda a explicitação de fundamentos consistentes e individualizados com relação a cada um dos cidadãos investigados (CF, arts. 93, IX, e 5º, XLVI).</w:t>
      </w:r>
    </w:p>
    <w:p>
      <w:pPr>
        <w:ind w:left="288"/>
      </w:pPr>
      <w:r>
        <w:rPr>
          <w:b/>
          <w:color w:val="003CA0"/>
          <w:sz w:val="16"/>
        </w:rPr>
        <w:t>[HC 91.514, rel. min. Gilmar Mendes, j. 11-3-2008, 2ª T, DJE de 16-5-2008.]</w:t>
      </w:r>
    </w:p>
    <w:p>
      <w:pPr>
        <w:ind w:left="288"/>
      </w:pPr>
      <w:r>
        <w:rPr>
          <w:color w:val="8C8C8C"/>
          <w:sz w:val="12"/>
        </w:rPr>
        <w:t>cf-art-93-inc-VI</w:t>
      </w:r>
      <w:r>
        <w:rPr>
          <w:color w:val="003CA0"/>
          <w:sz w:val="12"/>
        </w:rPr>
        <w:t xml:space="preserve"> | HC 91.641</w:t>
      </w:r>
      <w:r>
        <w:rPr>
          <w:color w:val="003CA0"/>
          <w:sz w:val="12"/>
        </w:rPr>
        <w:t xml:space="preserve"> | rel. Ayres Britto</w:t>
      </w:r>
    </w:p>
    <w:p>
      <w:pPr>
        <w:ind w:left="288"/>
      </w:pPr>
      <w:r>
        <w:rPr>
          <w:color w:val="1E1E1E"/>
          <w:sz w:val="18"/>
        </w:rPr>
        <w:t>O inconformismo da defesa com a tese encampada no acórdão do tribunal estadual não evidencia a falta de fundamentação da decisão. Não há que se falar em falta de apreciação de tese defensiva, se o tribunal estadual emitiu juízo sobre a questão suscitada pelos advogados dos pacientes.</w:t>
      </w:r>
    </w:p>
    <w:p>
      <w:pPr>
        <w:ind w:left="288"/>
      </w:pPr>
      <w:r>
        <w:rPr>
          <w:b/>
          <w:color w:val="003CA0"/>
          <w:sz w:val="16"/>
        </w:rPr>
        <w:t>[HC 91.641, rel. min. Ayres Britto, j. 30-10-2007, 1ª T, DJE de 18-4-2008.]</w:t>
      </w:r>
    </w:p>
    <w:p>
      <w:pPr>
        <w:ind w:left="288"/>
      </w:pPr>
      <w:r>
        <w:rPr>
          <w:color w:val="8C8C8C"/>
          <w:sz w:val="12"/>
        </w:rPr>
        <w:t>cf-art-93-inc-VI</w:t>
      </w:r>
      <w:r>
        <w:rPr>
          <w:color w:val="003CA0"/>
          <w:sz w:val="12"/>
        </w:rPr>
        <w:t xml:space="preserve"> | RHC 92.886</w:t>
      </w:r>
      <w:r>
        <w:rPr>
          <w:color w:val="003CA0"/>
          <w:sz w:val="12"/>
        </w:rPr>
        <w:t xml:space="preserve"> | rel. Joaquim Barbosa</w:t>
      </w:r>
    </w:p>
    <w:p>
      <w:pPr>
        <w:ind w:left="288"/>
      </w:pPr>
      <w:r>
        <w:rPr>
          <w:color w:val="1E1E1E"/>
          <w:sz w:val="18"/>
        </w:rPr>
        <w:t>= RHC 92.886 AgR, rel. min. Joaquim Barbosa, j. 21-9-2010, 2ª T, DJE de 22-10-2010 Revela-se legítima e plenamente compatível com a exigência imposta pelo art. 93, IX, da Constituição da República, a utilização, por magistrados, da técnica da motivação per relationem, que se caracteriza pela remissão que o ato judicial expressamente faz a outras manifestações ou peças processuais existentes nos autos, mesmo as produzidas pelas partes, pelo Ministério Público ou por autoridades públicas, cujo teor indique os fundamentos de fato e/ou de direito que justifiquem a decisão emanada do Poder Judiciár</w:t>
      </w:r>
    </w:p>
    <w:p>
      <w:pPr>
        <w:ind w:left="288"/>
      </w:pPr>
      <w:r>
        <w:rPr>
          <w:b/>
          <w:color w:val="003CA0"/>
          <w:sz w:val="16"/>
        </w:rPr>
        <w:t>[MS 25.936 ED, rel. min. Celso de Mello, j. 13-6-2007, P, DJE de 18-9-2009.]</w:t>
      </w:r>
    </w:p>
    <w:p>
      <w:pPr>
        <w:ind w:left="288"/>
      </w:pPr>
      <w:r>
        <w:rPr>
          <w:color w:val="8C8C8C"/>
          <w:sz w:val="12"/>
        </w:rPr>
        <w:t>cf-art-93-inc-VI</w:t>
      </w:r>
      <w:r>
        <w:rPr>
          <w:color w:val="003CA0"/>
          <w:sz w:val="12"/>
        </w:rPr>
        <w:t xml:space="preserve"> | AI 814.640</w:t>
      </w:r>
      <w:r>
        <w:rPr>
          <w:color w:val="003CA0"/>
          <w:sz w:val="12"/>
        </w:rPr>
        <w:t xml:space="preserve"> | rel. Ricardo Lewandowski</w:t>
      </w:r>
    </w:p>
    <w:p>
      <w:pPr>
        <w:ind w:left="288"/>
      </w:pPr>
      <w:r>
        <w:rPr>
          <w:color w:val="1E1E1E"/>
          <w:sz w:val="18"/>
        </w:rPr>
        <w:t>= AI 814.640 AgR, rel. min. Ricardo Lewandowski, j. 2-12-2010, 1ª T, DJE de 1º-2-2011 = HC 92.020, rel. min. Joaquim Barbosa, j. 21-9-2010, 2ª T, DJE de 8-11-2010 Não há falar em nulidade, por ofensa ao dever de fundamentação ou de prestação jurisdicional, quando a decisão que julga prejudicado conflito negativo de competência faz expressa referência a outro conflito de competência, que analisou os mesmos fatos, envolvendo as mesmas partes e que concluiu pela identidade das situações jurídicas.</w:t>
      </w:r>
    </w:p>
    <w:p>
      <w:pPr>
        <w:ind w:left="288"/>
      </w:pPr>
      <w:r>
        <w:rPr>
          <w:b/>
          <w:color w:val="003CA0"/>
          <w:sz w:val="16"/>
        </w:rPr>
        <w:t>[HC 89.437, rel. min. Ricardo Lewandowski, j. 5-6-2007, 1ª T, DJ de 22-6-2007.]</w:t>
      </w:r>
    </w:p>
    <w:p>
      <w:pPr>
        <w:ind w:left="288"/>
      </w:pPr>
      <w:r>
        <w:rPr>
          <w:color w:val="8C8C8C"/>
          <w:sz w:val="12"/>
        </w:rPr>
        <w:t>cf-art-93-inc-VI</w:t>
      </w:r>
      <w:r>
        <w:rPr>
          <w:color w:val="003CA0"/>
          <w:sz w:val="12"/>
        </w:rPr>
        <w:t xml:space="preserve"> | MS 25.936</w:t>
      </w:r>
      <w:r>
        <w:rPr>
          <w:color w:val="003CA0"/>
          <w:sz w:val="12"/>
        </w:rPr>
        <w:t xml:space="preserve"> | rel. Celso de Mello</w:t>
      </w:r>
    </w:p>
    <w:p>
      <w:pPr>
        <w:ind w:left="288"/>
      </w:pPr>
      <w:r>
        <w:rPr>
          <w:color w:val="1E1E1E"/>
          <w:sz w:val="18"/>
        </w:rPr>
        <w:t>Vide MS 25.936 ED, rel. min. Celso de Mello, j. 13-6-2007, P, DJE de 18-9-2009 As circunstâncias e consequências do crime permitem mensurar o grau de culpabilidade e reprovabilidade da conduta. Inexigibilidade de fundamentação exaustiva das circunstâncias judiciais consideradas, uma vez que a sentença deve ser lida como um todo.</w:t>
      </w:r>
    </w:p>
    <w:p>
      <w:pPr>
        <w:ind w:left="288"/>
      </w:pPr>
      <w:r>
        <w:rPr>
          <w:b/>
          <w:color w:val="003CA0"/>
          <w:sz w:val="16"/>
        </w:rPr>
        <w:t>[RHC 90.531, rel. min. Ricardo Lewandowski, j. 10-4-2007, 1ª T, DJ de 27-4-2007.]</w:t>
      </w:r>
    </w:p>
    <w:p>
      <w:pPr>
        <w:ind w:left="288"/>
      </w:pPr>
      <w:r>
        <w:rPr>
          <w:color w:val="8C8C8C"/>
          <w:sz w:val="12"/>
        </w:rPr>
        <w:t>cf-art-93-inc-VI</w:t>
      </w:r>
      <w:r>
        <w:rPr>
          <w:color w:val="003CA0"/>
          <w:sz w:val="12"/>
        </w:rPr>
        <w:t xml:space="preserve"> | HC 94.691</w:t>
      </w:r>
      <w:r>
        <w:rPr>
          <w:color w:val="003CA0"/>
          <w:sz w:val="12"/>
        </w:rPr>
        <w:t xml:space="preserve"> | rel. Eros Grau</w:t>
      </w:r>
    </w:p>
    <w:p>
      <w:pPr>
        <w:ind w:left="288"/>
      </w:pPr>
      <w:r>
        <w:rPr>
          <w:color w:val="1E1E1E"/>
          <w:sz w:val="18"/>
        </w:rPr>
        <w:t>= HC 94.691, rel. min. Eros Grau, j. 12-8-2008, 2ª T, DJE de 19-12-2008 Ofensa ao art. 93, IX, da CF. (...) É nula a decisão que decreta prisão preventiva com base em razões abstratas.</w:t>
      </w:r>
    </w:p>
    <w:p>
      <w:pPr>
        <w:ind w:left="288"/>
      </w:pPr>
      <w:r>
        <w:rPr>
          <w:b/>
          <w:color w:val="003CA0"/>
          <w:sz w:val="16"/>
        </w:rPr>
        <w:t>[HC 84.311, rel. min. Cezar Peluso, j. 3-4-2007, 2ª T, DJ de 8-6-2007.]</w:t>
      </w:r>
    </w:p>
    <w:p>
      <w:pPr>
        <w:ind w:left="288"/>
      </w:pPr>
      <w:r>
        <w:rPr>
          <w:color w:val="8C8C8C"/>
          <w:sz w:val="12"/>
        </w:rPr>
        <w:t>cf-art-93-inc-VI</w:t>
      </w:r>
      <w:r>
        <w:rPr>
          <w:color w:val="003CA0"/>
          <w:sz w:val="12"/>
        </w:rPr>
        <w:t xml:space="preserve"> | RE 335.302</w:t>
      </w:r>
      <w:r>
        <w:rPr>
          <w:color w:val="003CA0"/>
          <w:sz w:val="12"/>
        </w:rPr>
        <w:t xml:space="preserve"> | rel. Ellen Gracie</w:t>
      </w:r>
    </w:p>
    <w:p>
      <w:pPr>
        <w:ind w:left="288"/>
      </w:pPr>
      <w:r>
        <w:rPr>
          <w:color w:val="1E1E1E"/>
          <w:sz w:val="18"/>
        </w:rPr>
        <w:t>Não há violação ao art. 93, IX, da CF, quando é fixada a pena-base acima do mínimo legal e adota-se, para tanto, a fundamentação desenvolvida pelo juiz sentenciante acerca das circunstâncias judiciais.</w:t>
      </w:r>
    </w:p>
    <w:p>
      <w:pPr>
        <w:ind w:left="288"/>
      </w:pPr>
      <w:r>
        <w:rPr>
          <w:b/>
          <w:color w:val="003CA0"/>
          <w:sz w:val="16"/>
        </w:rPr>
        <w:t>[RE 335.302, rel. min. Ellen Gracie, j. 19-8-2003, 2ª T, DJ de 12-9-2003.]</w:t>
      </w:r>
    </w:p>
    <w:p>
      <w:pPr>
        <w:ind w:left="288"/>
      </w:pPr>
      <w:r>
        <w:rPr>
          <w:color w:val="8C8C8C"/>
          <w:sz w:val="12"/>
        </w:rPr>
        <w:t>cf-art-93-inc-VI</w:t>
      </w:r>
      <w:r>
        <w:rPr>
          <w:color w:val="003CA0"/>
          <w:sz w:val="12"/>
        </w:rPr>
        <w:t xml:space="preserve"> | HC 103.833</w:t>
      </w:r>
      <w:r>
        <w:rPr>
          <w:color w:val="003CA0"/>
          <w:sz w:val="12"/>
        </w:rPr>
        <w:t xml:space="preserve"> | rel. Gilmar Mendes</w:t>
      </w:r>
    </w:p>
    <w:p>
      <w:pPr>
        <w:ind w:left="288"/>
      </w:pPr>
      <w:r>
        <w:rPr>
          <w:color w:val="1E1E1E"/>
          <w:sz w:val="18"/>
        </w:rPr>
        <w:t>= HC 103.833, rel. min. Gilmar Mendes, j. 23-11-2010, 2ª T, DJE de 14-12-2010 Quanto à fundamentação, atenta-se contra o art. 93, IX, da Constituição, quando o decisum não é fundamentado; tal não sucede, se a fundamentação, existente, for mais ou menos completa. Mesmo se deficiente, não há ver, desde logo, ofensa direta ao art. 93, IX, da Lei Maior.</w:t>
      </w:r>
    </w:p>
    <w:p>
      <w:pPr>
        <w:ind w:left="288"/>
      </w:pPr>
      <w:r>
        <w:rPr>
          <w:b/>
          <w:color w:val="003CA0"/>
          <w:sz w:val="16"/>
        </w:rPr>
        <w:t>[AI 351.384 AgR, rel. min. Néri da Silveira, j. 26-2-2002, 2ª T, DJ de 22-3-2002.]</w:t>
      </w:r>
    </w:p>
    <w:p>
      <w:pPr>
        <w:ind w:left="288"/>
      </w:pPr>
      <w:r>
        <w:rPr>
          <w:color w:val="8C8C8C"/>
          <w:sz w:val="12"/>
        </w:rPr>
        <w:t>cf-art-93-inc-VI</w:t>
      </w:r>
      <w:r>
        <w:rPr>
          <w:color w:val="003CA0"/>
          <w:sz w:val="12"/>
        </w:rPr>
        <w:t xml:space="preserve"> | HC 80.892</w:t>
      </w:r>
      <w:r>
        <w:rPr>
          <w:color w:val="003CA0"/>
          <w:sz w:val="12"/>
        </w:rPr>
        <w:t xml:space="preserve"> | rel. Celso de Mello</w:t>
      </w:r>
    </w:p>
    <w:p>
      <w:pPr>
        <w:ind w:left="288"/>
      </w:pPr>
      <w:r>
        <w:rPr>
          <w:color w:val="1E1E1E"/>
          <w:sz w:val="18"/>
        </w:rPr>
        <w:t>A fundamentação constitui pressuposto de legitimidade das decisões judiciais. A fundamentação dos atos decisórios qualifica-se como pressuposto constitucional de validade e eficácia das decisões emanadas do Poder Judiciário. A inobservância do dever imposto pelo art. 93, IX, da Carta Política, precisamente por traduzir grave transgressão de natureza constitucional, afeta a legitimidade jurídica da decisão e gera, de maneira irremissível, a consequente nulidade do pronunciamento judicial.</w:t>
      </w:r>
    </w:p>
    <w:p>
      <w:pPr>
        <w:ind w:left="288"/>
      </w:pPr>
      <w:r>
        <w:rPr>
          <w:b/>
          <w:color w:val="003CA0"/>
          <w:sz w:val="16"/>
        </w:rPr>
        <w:t>[HC 80.892, rel. min. Celso de Mello, j. 16-10-2001, 2ª T, DJ de 23-11-2007.]</w:t>
      </w:r>
    </w:p>
    <w:p>
      <w:pPr>
        <w:ind w:left="288"/>
      </w:pPr>
      <w:r>
        <w:rPr>
          <w:color w:val="8C8C8C"/>
          <w:sz w:val="12"/>
        </w:rPr>
        <w:t>cf-art-93-inc-VI</w:t>
      </w:r>
      <w:r>
        <w:rPr>
          <w:color w:val="003CA0"/>
          <w:sz w:val="12"/>
        </w:rPr>
        <w:t xml:space="preserve"> | HC 90.045</w:t>
      </w:r>
      <w:r>
        <w:rPr>
          <w:color w:val="003CA0"/>
          <w:sz w:val="12"/>
        </w:rPr>
        <w:t xml:space="preserve"> | rel. Joaquim Barbosa</w:t>
      </w:r>
    </w:p>
    <w:p>
      <w:pPr>
        <w:ind w:left="288"/>
      </w:pPr>
      <w:r>
        <w:rPr>
          <w:color w:val="1E1E1E"/>
          <w:sz w:val="18"/>
        </w:rPr>
        <w:t>= HC 90.045, rel. min. Joaquim Barbosa, j. 10-2-2009, 2ª T, DJE de 20-3-2009 A sentença que não enfrenta pedido de desclassificação formulado pela defesa ofende a CF, art. 93, IX. É citra petita.</w:t>
      </w:r>
    </w:p>
    <w:p>
      <w:pPr>
        <w:ind w:left="288"/>
      </w:pPr>
      <w:r>
        <w:rPr>
          <w:b/>
          <w:color w:val="003CA0"/>
          <w:sz w:val="16"/>
        </w:rPr>
        <w:t>[HC 77.824, rel. min. Nelson Jobim, j. 11-12-1998, 2ª T, DJ de 27-4-2001.]</w:t>
      </w:r>
    </w:p>
    <w:p>
      <w:pPr>
        <w:ind w:left="288"/>
      </w:pPr>
      <w:r>
        <w:rPr>
          <w:color w:val="8C8C8C"/>
          <w:sz w:val="12"/>
        </w:rPr>
        <w:t>cf-art-93-inc-VI</w:t>
      </w:r>
      <w:r>
        <w:rPr>
          <w:color w:val="003CA0"/>
          <w:sz w:val="12"/>
        </w:rPr>
        <w:t xml:space="preserve"> | RE 217.631</w:t>
      </w:r>
      <w:r>
        <w:rPr>
          <w:color w:val="003CA0"/>
          <w:sz w:val="12"/>
        </w:rPr>
        <w:t xml:space="preserve"> | rel. Sepúlveda Pertence</w:t>
      </w:r>
    </w:p>
    <w:p>
      <w:pPr>
        <w:ind w:left="288"/>
      </w:pPr>
      <w:r>
        <w:rPr>
          <w:color w:val="1E1E1E"/>
          <w:sz w:val="18"/>
        </w:rPr>
        <w:t>Não satisfaz a exigência constitucional de que sejam fundamentadas todas as decisões do Poder Judiciário (CF, art. 93, IX) a afirmação de que a alegação deduzida pela parte é "inviável juridicamente, uma vez que não retrata a verdade dos compêndios legais": não servem à motivação de uma decisão judicial afirmações que, a rigor, se prestariam a justificar qualquer outra.</w:t>
      </w:r>
    </w:p>
    <w:p>
      <w:pPr>
        <w:ind w:left="288"/>
      </w:pPr>
      <w:r>
        <w:rPr>
          <w:b/>
          <w:color w:val="003CA0"/>
          <w:sz w:val="16"/>
        </w:rPr>
        <w:t>[RE 217.631, rel. min. Sepúlveda Pertence, j. 9-9-1997, 1ª T, DJ de 24-10-1997.]</w:t>
      </w:r>
    </w:p>
    <w:p>
      <w:pPr>
        <w:ind w:left="288"/>
      </w:pPr>
      <w:r>
        <w:rPr>
          <w:color w:val="8C8C8C"/>
          <w:sz w:val="12"/>
        </w:rPr>
        <w:t>cf-art-93-inc-VI</w:t>
      </w:r>
      <w:r>
        <w:rPr>
          <w:color w:val="003CA0"/>
          <w:sz w:val="12"/>
        </w:rPr>
        <w:t xml:space="preserve"> | HC 74.073</w:t>
      </w:r>
      <w:r>
        <w:rPr>
          <w:color w:val="003CA0"/>
          <w:sz w:val="12"/>
        </w:rPr>
        <w:t xml:space="preserve"> | rel. Celso de Mello</w:t>
      </w:r>
    </w:p>
    <w:p>
      <w:pPr>
        <w:ind w:left="288"/>
      </w:pPr>
      <w:r>
        <w:rPr>
          <w:color w:val="1E1E1E"/>
          <w:sz w:val="18"/>
        </w:rPr>
        <w:t>A decisão judicial deve analisar todas as questões suscitadas pela defesa do réu. Reveste-se de nulidade o ato decisório, que, descumprindo o mandamento constitucional que impõe a qualquer juiz ou tribunal o dever de motivar a sentença ou o acórdão, deixa de examinar, com sensível prejuízo para o réu, fundamento relevante em que se apoia a defesa técnica do acusado.</w:t>
      </w:r>
    </w:p>
    <w:p>
      <w:pPr>
        <w:ind w:left="288"/>
      </w:pPr>
      <w:r>
        <w:rPr>
          <w:b/>
          <w:color w:val="003CA0"/>
          <w:sz w:val="16"/>
        </w:rPr>
        <w:t>[HC 74.073, rel. min. Celso de Mello, j. 20-5-1997, 1ª T, DJ de 27-6-1997.]</w:t>
      </w:r>
    </w:p>
    <w:p>
      <w:pPr>
        <w:ind w:left="288"/>
      </w:pPr>
      <w:r>
        <w:rPr>
          <w:color w:val="8C8C8C"/>
          <w:sz w:val="12"/>
        </w:rPr>
        <w:t>cf-art-93-inc-VI</w:t>
      </w:r>
      <w:r>
        <w:rPr>
          <w:color w:val="003CA0"/>
          <w:sz w:val="12"/>
        </w:rPr>
        <w:t xml:space="preserve"> | HC 72.286</w:t>
      </w:r>
      <w:r>
        <w:rPr>
          <w:color w:val="003CA0"/>
          <w:sz w:val="12"/>
        </w:rPr>
        <w:t xml:space="preserve"> | rel. Maurício Corrêa</w:t>
      </w:r>
    </w:p>
    <w:p>
      <w:pPr>
        <w:ind w:left="288"/>
      </w:pPr>
      <w:r>
        <w:rPr>
          <w:color w:val="1E1E1E"/>
          <w:sz w:val="18"/>
        </w:rPr>
        <w:t>O despacho que recebe a denúncia ou a queixa, embora tenha também conteúdo decisório, não se encarta no conceito de "decisão", como previsto no art. 93, IX, da Constituição, não sendo exigida a sua fundamentação (art. 394 do CPP); a fundamentação é exigida, apenas, quando o juiz rejeita a denúncia ou a queixa (art. 516 do CPP), aliás, único caso em que cabe recurso (art. 581, I, do CPP).</w:t>
      </w:r>
    </w:p>
    <w:p>
      <w:pPr>
        <w:ind w:left="288"/>
      </w:pPr>
      <w:r>
        <w:rPr>
          <w:b/>
          <w:color w:val="003CA0"/>
          <w:sz w:val="16"/>
        </w:rPr>
        <w:t>[HC 72.286, rel. min. Maurício Corrêa, j. 28-11-1995, 2ª T, DJ de 16-2-1996.]</w:t>
      </w:r>
    </w:p>
    <w:p>
      <w:pPr>
        <w:ind w:left="288"/>
      </w:pPr>
      <w:r>
        <w:rPr>
          <w:color w:val="8C8C8C"/>
          <w:sz w:val="12"/>
        </w:rPr>
        <w:t>cf-art-93-inc-VI</w:t>
      </w:r>
      <w:r>
        <w:rPr>
          <w:color w:val="003CA0"/>
          <w:sz w:val="12"/>
        </w:rPr>
        <w:t xml:space="preserve"> | HC 101.971</w:t>
      </w:r>
      <w:r>
        <w:rPr>
          <w:color w:val="003CA0"/>
          <w:sz w:val="12"/>
        </w:rPr>
        <w:t xml:space="preserve"> | rel. Cármen Lúcia</w:t>
      </w:r>
    </w:p>
    <w:p>
      <w:pPr>
        <w:ind w:left="288"/>
      </w:pPr>
      <w:r>
        <w:rPr>
          <w:color w:val="1E1E1E"/>
          <w:sz w:val="18"/>
        </w:rPr>
        <w:t>= HC 101.971, rel. min. Cármen Lúcia, j. 21-6-2011, 1ª T, DJE de 5-9-2011 = HC 95.354, rel. min. Gilmar Mendes, j. 14-6-2010, 2ª T, DJE de 27-8-2010 Satisfaz integralmente a exigência constitucional de motivação dos atos decisórios a condenação penal, que, ao optar pelo limite máximo das penas impostas, expõe os elementos de fato em que se apoiou o juízo de especial exacerbação da pena, explicitando dados da realidade objetiva aos quais se conferiu, com extrema adequação, a pertinente valoração judicial procedida com estrita observância dos parâmetros fixados pelo ordenamento positivo.</w:t>
      </w:r>
    </w:p>
    <w:p>
      <w:pPr>
        <w:ind w:left="288"/>
      </w:pPr>
      <w:r>
        <w:rPr>
          <w:b/>
          <w:color w:val="003CA0"/>
          <w:sz w:val="16"/>
        </w:rPr>
        <w:t>[HC 72.992, rel. min. Celso de Mello, j. 21-11-1995, 1ª T, DJ de 14-11-1996.]</w:t>
      </w:r>
    </w:p>
    <w:p>
      <w:pPr>
        <w:ind w:left="288"/>
      </w:pPr>
      <w:r>
        <w:rPr>
          <w:color w:val="8C8C8C"/>
          <w:sz w:val="12"/>
        </w:rPr>
        <w:t>cf-art-93-inc-VI</w:t>
      </w:r>
      <w:r>
        <w:rPr>
          <w:color w:val="003CA0"/>
          <w:sz w:val="12"/>
        </w:rPr>
        <w:t xml:space="preserve"> | HC 101.478</w:t>
      </w:r>
      <w:r>
        <w:rPr>
          <w:color w:val="003CA0"/>
          <w:sz w:val="12"/>
        </w:rPr>
        <w:t xml:space="preserve"> | rel. Cármen Lúcia</w:t>
      </w:r>
    </w:p>
    <w:p>
      <w:pPr>
        <w:ind w:left="288"/>
      </w:pPr>
      <w:r>
        <w:rPr>
          <w:color w:val="1E1E1E"/>
          <w:sz w:val="18"/>
        </w:rPr>
        <w:t>= HC 101.478, rel. min. Cármen Lúcia, j. 11-5-2010, 1ª T, DJE de 1º-7-2010 A realização dos julgamentos pelo Poder Judiciário, além da exigência constitucional de sua publicidade (CF, art. 93, IX), supõe, para efeito de sua válida efetivação, a observância do postulado que assegura ao réu a garantia da ampla defesa.</w:t>
      </w:r>
    </w:p>
    <w:p>
      <w:pPr>
        <w:ind w:left="288"/>
      </w:pPr>
      <w:r>
        <w:rPr>
          <w:b/>
          <w:color w:val="003CA0"/>
          <w:sz w:val="16"/>
        </w:rPr>
        <w:t>[HC 71.551, rel. min. Celso de Mello, j. 6-12-1994, 1ª T, DJ de 6-12-1996.]</w:t>
      </w:r>
    </w:p>
    <w:p>
      <w:pPr>
        <w:ind w:left="288"/>
      </w:pPr>
      <w:r>
        <w:rPr>
          <w:color w:val="8C8C8C"/>
          <w:sz w:val="12"/>
        </w:rPr>
        <w:t>cf-art-93-inc-VI</w:t>
      </w:r>
      <w:r>
        <w:rPr>
          <w:color w:val="003CA0"/>
          <w:sz w:val="12"/>
        </w:rPr>
        <w:t xml:space="preserve"> | RHC 67.494</w:t>
      </w:r>
      <w:r>
        <w:rPr>
          <w:color w:val="003CA0"/>
          <w:sz w:val="12"/>
        </w:rPr>
        <w:t xml:space="preserve"> | rel. Ilmar Galvão</w:t>
      </w:r>
    </w:p>
    <w:p>
      <w:pPr>
        <w:ind w:left="288"/>
      </w:pPr>
      <w:r>
        <w:rPr>
          <w:color w:val="1E1E1E"/>
          <w:sz w:val="18"/>
        </w:rPr>
        <w:t>Convivência, reconhecida por esta Corte, com a CF (art. 93, IX), da norma do art. 434 do CPPM, que prevê sessão secreta para os julgamentos do Conselho de Justiça, desde que assegurada a presença das partes e de seus advogados (RHC 67.494 – ministro Passarinho).</w:t>
      </w:r>
    </w:p>
    <w:p>
      <w:pPr>
        <w:ind w:left="288"/>
      </w:pPr>
      <w:r>
        <w:rPr>
          <w:b/>
          <w:color w:val="003CA0"/>
          <w:sz w:val="16"/>
        </w:rPr>
        <w:t>[HC 69.968, rel. min. Ilmar Galvão, j. 18-5-1993, 1ª T, DJ de 1º-7-1993.]</w:t>
      </w:r>
    </w:p>
    <w:p>
      <w:pPr>
        <w:ind w:left="288"/>
      </w:pPr>
      <w:r>
        <w:rPr>
          <w:color w:val="8C8C8C"/>
          <w:sz w:val="12"/>
        </w:rPr>
        <w:t>cf-art-93-inc-VI</w:t>
      </w:r>
      <w:r>
        <w:rPr>
          <w:color w:val="003CA0"/>
          <w:sz w:val="12"/>
        </w:rPr>
        <w:t xml:space="preserve"> | HC 70.177</w:t>
      </w:r>
      <w:r>
        <w:rPr>
          <w:color w:val="003CA0"/>
          <w:sz w:val="12"/>
        </w:rPr>
        <w:t xml:space="preserve"> | rel. Celso de Mello</w:t>
      </w:r>
    </w:p>
    <w:p>
      <w:pPr>
        <w:ind w:left="288"/>
      </w:pPr>
      <w:r>
        <w:rPr>
          <w:color w:val="1E1E1E"/>
          <w:sz w:val="18"/>
        </w:rPr>
        <w:t>O exercício desse poder cautelar submete-se à avaliação discricionária dos juízes e tribunais que deverão, no entanto, em obséquio à exigência constitucional inscrita no art. 93, IX, da Carta Política, motivar, sempre, as decisões em que apreciem o pedido de liminar a eles dirigido.</w:t>
      </w:r>
    </w:p>
    <w:p>
      <w:pPr>
        <w:ind w:left="288"/>
      </w:pPr>
      <w:r>
        <w:rPr>
          <w:b/>
          <w:color w:val="003CA0"/>
          <w:sz w:val="16"/>
        </w:rPr>
        <w:t>[HC 70.177 MC, rel. min. Celso de Mello, j. 6-4-1993, 1ª T, DJ de 7-5-1993.]</w:t>
      </w:r>
    </w:p>
    <w:p>
      <w:pPr>
        <w:ind w:left="288"/>
      </w:pPr>
      <w:r>
        <w:rPr>
          <w:color w:val="8C8C8C"/>
          <w:sz w:val="12"/>
        </w:rPr>
        <w:t>cf-art-93-inc-VI</w:t>
      </w:r>
      <w:r>
        <w:rPr>
          <w:color w:val="003CA0"/>
          <w:sz w:val="12"/>
        </w:rPr>
        <w:t xml:space="preserve"> | HC 69.419</w:t>
      </w:r>
      <w:r>
        <w:rPr>
          <w:color w:val="003CA0"/>
          <w:sz w:val="12"/>
        </w:rPr>
        <w:t xml:space="preserve"> | rel. Sepúlveda Pertence</w:t>
      </w:r>
    </w:p>
    <w:p>
      <w:pPr>
        <w:ind w:left="288"/>
      </w:pPr>
      <w:r>
        <w:rPr>
          <w:color w:val="1E1E1E"/>
          <w:sz w:val="18"/>
        </w:rPr>
        <w:t xml:space="preserve">Sentença condenatória: individualização da pena: coerência lógico-jurídica entre a fundamentação e o dispositivo. A exigência de motivação da individualização da pena – hoje, garantia constitucional do condenado (CF, arts. 5º, XLVI, e 93, IX) – não se satisfaz com a existência na sentença de frases ou palavras quaisquer, a pretexto de cumpri-la: a fundamentação há de explicitar a sua base empírica e essa, de sua vez, há de guardar relação de pertinência, legalmente adequada, com a exasperação da sanção penal, que visou a justificar. É nula, no ponto, a sentença na qual o juiz, explicitando os </w:t>
      </w:r>
    </w:p>
    <w:p>
      <w:pPr>
        <w:ind w:left="288"/>
      </w:pPr>
      <w:r>
        <w:rPr>
          <w:b/>
          <w:color w:val="003CA0"/>
          <w:sz w:val="16"/>
        </w:rPr>
        <w:t>[HC 69.419, rel. min. Sepúlveda Pertence, j. 23-6-1992, 1ª T, DJ de 28-8-1992.]</w:t>
      </w:r>
    </w:p>
    <w:p>
      <w:pPr>
        <w:ind w:left="288"/>
      </w:pPr>
      <w:r>
        <w:rPr>
          <w:color w:val="8C8C8C"/>
          <w:sz w:val="12"/>
        </w:rPr>
        <w:t>cf-art-93-inc-VI</w:t>
      </w:r>
      <w:r>
        <w:rPr>
          <w:color w:val="003CA0"/>
          <w:sz w:val="12"/>
        </w:rPr>
        <w:t xml:space="preserve"> | HC 93.857</w:t>
      </w:r>
      <w:r>
        <w:rPr>
          <w:color w:val="003CA0"/>
          <w:sz w:val="12"/>
        </w:rPr>
        <w:t xml:space="preserve"> | rel. Cezar Peluso</w:t>
      </w:r>
    </w:p>
    <w:p>
      <w:pPr>
        <w:ind w:left="288"/>
      </w:pPr>
      <w:r>
        <w:rPr>
          <w:color w:val="1E1E1E"/>
          <w:sz w:val="18"/>
        </w:rPr>
        <w:t>= HC 93.857, rel. min. Cezar Peluso, j. 25-8-2009, 2ª T, DJE de 16-10-2009 Tribunal do júri. Sigilo das votações (art. 5º, XXXVIII, CF) e publicidade dos julgamentos (art. 93, IX, CF). Conflito aparente de normas. Distinção entre julgamento do tribunal do júri e decisão do conselho de jurados. Manutenção pelo sistema constitucional vigente do sigilo das votações, através de disposição específica.</w:t>
      </w:r>
    </w:p>
    <w:p>
      <w:pPr>
        <w:ind w:left="288"/>
      </w:pPr>
      <w:r>
        <w:rPr>
          <w:b/>
          <w:color w:val="003CA0"/>
          <w:sz w:val="16"/>
        </w:rPr>
        <w:t>[RE 140.975 AgR, rel. min. Paulo Brossard, j. 23-6-1992, 2ª T, DJ de 21-8-1992.]</w:t>
      </w:r>
    </w:p>
    <w:p>
      <w:pPr>
        <w:ind w:left="288"/>
      </w:pPr>
      <w:r>
        <w:rPr>
          <w:color w:val="8C8C8C"/>
          <w:sz w:val="12"/>
        </w:rPr>
        <w:t>cf-art-93-inc-VI</w:t>
      </w:r>
      <w:r>
        <w:rPr>
          <w:color w:val="003CA0"/>
          <w:sz w:val="12"/>
        </w:rPr>
        <w:t xml:space="preserve"> | HC 68.422</w:t>
      </w:r>
      <w:r>
        <w:rPr>
          <w:color w:val="003CA0"/>
          <w:sz w:val="12"/>
        </w:rPr>
        <w:t xml:space="preserve"> | rel. Celso de Mello</w:t>
      </w:r>
    </w:p>
    <w:p>
      <w:pPr>
        <w:ind w:left="288"/>
      </w:pPr>
      <w:r>
        <w:rPr>
          <w:color w:val="1E1E1E"/>
          <w:sz w:val="18"/>
        </w:rPr>
        <w:t>O órgão judiciário sentenciante tem o dever de motivar o seu pronunciamento quanto à concessão ou denegação do benefício da suspensão condicional da pena. A exigência de motivação dos atos jurisdicionais constitui, hoje, postulado constitucional inafastável que traduz, em sua concepção básica, poderoso fator de limitação do próprio poder estatal, além de constituir instrumento essencial de respeito e proteção às liberdades públicas. Atos jurisdicionais, que descumpram a obrigação constitucional de adequada motivação decisória, são atos estatais nulos.</w:t>
      </w:r>
    </w:p>
    <w:p>
      <w:pPr>
        <w:ind w:left="288"/>
      </w:pPr>
      <w:r>
        <w:rPr>
          <w:b/>
          <w:color w:val="003CA0"/>
          <w:sz w:val="16"/>
        </w:rPr>
        <w:t>[HC 68.422, rel. min. Celso de Mello, j. 19-2-1991, 1ª T, DJ de 15-3-1991.]</w:t>
      </w:r>
    </w:p>
    <w:p>
      <w:pPr>
        <w:ind w:left="288"/>
      </w:pPr>
      <w:r>
        <w:rPr>
          <w:color w:val="8C8C8C"/>
          <w:sz w:val="12"/>
        </w:rPr>
        <w:t>cf-art-93-inc-VI</w:t>
      </w:r>
      <w:r>
        <w:rPr>
          <w:color w:val="003CA0"/>
          <w:sz w:val="12"/>
        </w:rPr>
        <w:t xml:space="preserve"> | HC 68.202</w:t>
      </w:r>
      <w:r>
        <w:rPr>
          <w:color w:val="003CA0"/>
          <w:sz w:val="12"/>
        </w:rPr>
        <w:t xml:space="preserve"> | rel. Celso de Mello</w:t>
      </w:r>
    </w:p>
    <w:p>
      <w:pPr>
        <w:ind w:left="288"/>
      </w:pPr>
      <w:r>
        <w:rPr>
          <w:color w:val="1E1E1E"/>
          <w:sz w:val="18"/>
        </w:rPr>
        <w:t>É inquestionável que a exigência de fundamentação das decisões judiciais, mais do que expressiva imposição consagrada e positivada pela nova ordem constitucional (art. 93, IX), reflete uma poderosa garantia contra eventuais excessos do Estado-juiz, pois, ao torná-la elemento imprescindível e essencial dos atos sentenciais, quis o ordenamento jurídico erigi-la como fator de limitação dos poderes deferidos aos magistrados e tribunais.</w:t>
      </w:r>
    </w:p>
    <w:p>
      <w:pPr>
        <w:ind w:left="288"/>
      </w:pPr>
      <w:r>
        <w:rPr>
          <w:b/>
          <w:color w:val="003CA0"/>
          <w:sz w:val="16"/>
        </w:rPr>
        <w:t>[HC 68.202, rel. min. Celso de Mello, j. 6-11-1990, 1ª T, DJ de 15-3-1991.]</w:t>
      </w:r>
    </w:p>
    <w:p>
      <w:pPr>
        <w:ind w:left="288"/>
      </w:pPr>
      <w:r>
        <w:rPr>
          <w:color w:val="8C8C8C"/>
          <w:sz w:val="12"/>
        </w:rPr>
        <w:t>cf-art-93-inc-VI</w:t>
      </w:r>
    </w:p>
    <w:p>
      <w:pPr>
        <w:ind w:left="288"/>
      </w:pPr>
      <w:r>
        <w:rPr>
          <w:color w:val="1E1E1E"/>
          <w:sz w:val="18"/>
        </w:rPr>
        <w:t>X - as decisões administrativas dos tribunais serão motivadas e em sessão pública, sendo as disciplinares tomadas pelo voto da maioria absoluta de seus membros; (Redação da EC 45/2004)</w:t>
      </w:r>
    </w:p>
    <w:p>
      <w:pPr>
        <w:ind w:left="144"/>
      </w:pPr>
      <w:r>
        <w:rPr>
          <w:b/>
          <w:color w:val="B45A00"/>
          <w:sz w:val="16"/>
        </w:rPr>
        <w:t>CONTROLE CONCENTRADO</w:t>
      </w:r>
    </w:p>
    <w:p>
      <w:pPr>
        <w:ind w:left="288"/>
      </w:pPr>
      <w:r>
        <w:rPr>
          <w:color w:val="8C8C8C"/>
          <w:sz w:val="12"/>
        </w:rPr>
        <w:t>cf-art-93-inc-VI</w:t>
      </w:r>
      <w:r>
        <w:rPr>
          <w:color w:val="003CA0"/>
          <w:sz w:val="12"/>
        </w:rPr>
        <w:t xml:space="preserve"> | ADI 2.580</w:t>
      </w:r>
      <w:r>
        <w:rPr>
          <w:color w:val="003CA0"/>
          <w:sz w:val="12"/>
        </w:rPr>
        <w:t xml:space="preserve"> | rel. Carlos Velloso</w:t>
      </w:r>
    </w:p>
    <w:p>
      <w:pPr>
        <w:ind w:left="288"/>
      </w:pPr>
      <w:r>
        <w:rPr>
          <w:color w:val="1E1E1E"/>
          <w:sz w:val="18"/>
        </w:rPr>
        <w:t>As penas de advertência e de censura são aplicáveis aos juízes de primeiro grau, pelo tribunal, pelo voto da maioria absoluta de seus membros.</w:t>
      </w:r>
    </w:p>
    <w:p>
      <w:pPr>
        <w:ind w:left="288"/>
      </w:pPr>
      <w:r>
        <w:rPr>
          <w:b/>
          <w:color w:val="003CA0"/>
          <w:sz w:val="16"/>
        </w:rPr>
        <w:t>[ADI 2.580, rel. min. Carlos Velloso, j. 26-9-2002, P, DJ de 21-2-2003.]</w:t>
      </w:r>
    </w:p>
    <w:p>
      <w:pPr>
        <w:ind w:left="144"/>
      </w:pPr>
      <w:r>
        <w:rPr>
          <w:b/>
          <w:color w:val="B45A00"/>
          <w:sz w:val="16"/>
        </w:rPr>
        <w:t>JULGADOS CORRELATOS</w:t>
      </w:r>
    </w:p>
    <w:p>
      <w:pPr>
        <w:ind w:left="288"/>
      </w:pPr>
      <w:r>
        <w:rPr>
          <w:color w:val="8C8C8C"/>
          <w:sz w:val="12"/>
        </w:rPr>
        <w:t>cf-art-93-inc-VI</w:t>
      </w:r>
      <w:r>
        <w:rPr>
          <w:color w:val="003CA0"/>
          <w:sz w:val="12"/>
        </w:rPr>
        <w:t xml:space="preserve"> | MS 25.747</w:t>
      </w:r>
      <w:r>
        <w:rPr>
          <w:color w:val="003CA0"/>
          <w:sz w:val="12"/>
        </w:rPr>
        <w:t xml:space="preserve"> | rel. Gilmar Mendes</w:t>
      </w:r>
    </w:p>
    <w:p>
      <w:pPr>
        <w:ind w:left="288"/>
      </w:pPr>
      <w:r>
        <w:rPr>
          <w:color w:val="1E1E1E"/>
          <w:sz w:val="18"/>
        </w:rPr>
        <w:t xml:space="preserve">Acórdão do CNJ que julgou procedente o PCA [Procedimento de Controle Administrativo] para desconstituir a decisão administrativa do Tribunal de Justiça do Estado de Santa Catarina que realizou votação de atos de remoção voluntária de magistrados por meio de escrutínio secreto. Alegação de que a decisão impugnada fundamentou-se na Resolução 6/2005 do CNJ, inaplicável à espécie, inexistindo obrigação legal de votação aberta e fundamentação expressa e pública no caso. Improcedência das alegações da impetração. Necessidade de motivação expressa, pública e fundamentada das decisões administrativas </w:t>
      </w:r>
    </w:p>
    <w:p>
      <w:pPr>
        <w:ind w:left="288"/>
      </w:pPr>
      <w:r>
        <w:rPr>
          <w:b/>
          <w:color w:val="003CA0"/>
          <w:sz w:val="16"/>
        </w:rPr>
        <w:t>[MS 25.747, rel. min. Gilmar Mendes, j. 17-5-2012, P, DJE de 18-6-2012.]</w:t>
      </w:r>
    </w:p>
    <w:p>
      <w:pPr>
        <w:ind w:left="288"/>
      </w:pPr>
      <w:r>
        <w:rPr>
          <w:color w:val="8C8C8C"/>
          <w:sz w:val="12"/>
        </w:rPr>
        <w:t>cf-art-93-inc-VI</w:t>
      </w:r>
      <w:r>
        <w:rPr>
          <w:color w:val="003CA0"/>
          <w:sz w:val="12"/>
        </w:rPr>
        <w:t xml:space="preserve"> | MS 28.306</w:t>
      </w:r>
      <w:r>
        <w:rPr>
          <w:color w:val="003CA0"/>
          <w:sz w:val="12"/>
        </w:rPr>
        <w:t xml:space="preserve"> | rel. Ricardo Lewandowski</w:t>
      </w:r>
    </w:p>
    <w:p>
      <w:pPr>
        <w:ind w:left="288"/>
      </w:pPr>
      <w:r>
        <w:rPr>
          <w:color w:val="1E1E1E"/>
          <w:sz w:val="18"/>
        </w:rPr>
        <w:t>CNJ. Instauração de processo disciplinar contra magistrado. (...) A exigência de motivação para instauração do processo disciplinar é a presença de indícios de materialidade dos fatos e de autoria das infrações administrativas praticadas, o que foi atendido pela decisão combatida.</w:t>
      </w:r>
    </w:p>
    <w:p>
      <w:pPr>
        <w:ind w:left="288"/>
      </w:pPr>
      <w:r>
        <w:rPr>
          <w:b/>
          <w:color w:val="003CA0"/>
          <w:sz w:val="16"/>
        </w:rPr>
        <w:t>[MS 28.306, rel. min. Ricardo Lewandowski, j. 2-3-2011, P, DJE de 28-3-2011.]</w:t>
      </w:r>
    </w:p>
    <w:p>
      <w:pPr>
        <w:ind w:left="288"/>
      </w:pPr>
      <w:r>
        <w:rPr>
          <w:color w:val="8C8C8C"/>
          <w:sz w:val="12"/>
        </w:rPr>
        <w:t>cf-art-93-inc-VI</w:t>
      </w:r>
      <w:r>
        <w:rPr>
          <w:color w:val="003CA0"/>
          <w:sz w:val="12"/>
        </w:rPr>
        <w:t xml:space="preserve"> | RE 235.487</w:t>
      </w:r>
      <w:r>
        <w:rPr>
          <w:color w:val="003CA0"/>
          <w:sz w:val="12"/>
        </w:rPr>
        <w:t xml:space="preserve"> | rel. Ilmar Galvão</w:t>
      </w:r>
    </w:p>
    <w:p>
      <w:pPr>
        <w:ind w:left="288"/>
      </w:pPr>
      <w:r>
        <w:rPr>
          <w:color w:val="1E1E1E"/>
          <w:sz w:val="18"/>
        </w:rPr>
        <w:t>Magistrado. Promoção por antiguidade. Recusa. Indispensabilidade de fundamentação. Art. 93, X, da CF. Nulidade irremediável do ato, por não haver sido indicada, nem mesmo na ata do julgamento, a razão pela qual o recorrente teve o seu nome preterido no concurso para promoção por antiguidade.</w:t>
      </w:r>
    </w:p>
    <w:p>
      <w:pPr>
        <w:ind w:left="288"/>
      </w:pPr>
      <w:r>
        <w:rPr>
          <w:b/>
          <w:color w:val="003CA0"/>
          <w:sz w:val="16"/>
        </w:rPr>
        <w:t>[RE 235.487, rel. min. Ilmar Galvão, j. 15-6-2000, P, DJ de 21-6-2002.]</w:t>
      </w:r>
    </w:p>
    <w:p>
      <w:pPr>
        <w:ind w:left="288"/>
      </w:pPr>
      <w:r>
        <w:rPr>
          <w:color w:val="8C8C8C"/>
          <w:sz w:val="12"/>
        </w:rPr>
        <w:t>cf-art-93-inc-VI</w:t>
      </w:r>
      <w:r>
        <w:rPr>
          <w:color w:val="003CA0"/>
          <w:sz w:val="12"/>
        </w:rPr>
        <w:t xml:space="preserve"> | RCL 3.626</w:t>
      </w:r>
      <w:r>
        <w:rPr>
          <w:color w:val="003CA0"/>
          <w:sz w:val="12"/>
        </w:rPr>
        <w:t xml:space="preserve"> | rel. Cezar Peluso</w:t>
      </w:r>
    </w:p>
    <w:p>
      <w:pPr>
        <w:ind w:left="288"/>
      </w:pPr>
      <w:r>
        <w:rPr>
          <w:color w:val="1E1E1E"/>
          <w:sz w:val="18"/>
        </w:rPr>
        <w:t>Inteligência do art. 93, X e XI, da CF. É da competência do Órgão Especial de Tribunal de Justiça instaurar, conduzir e julgar processo administrativo-disciplinar contra magistrado.</w:t>
      </w:r>
    </w:p>
    <w:p>
      <w:pPr>
        <w:ind w:left="288"/>
      </w:pPr>
      <w:r>
        <w:rPr>
          <w:b/>
          <w:color w:val="003CA0"/>
          <w:sz w:val="16"/>
        </w:rPr>
        <w:t>[Rcl 3.626 AgR, rel. min. Cezar Peluso, j. 12-6-2006, P, DJ de 30-6-2006.]</w:t>
      </w:r>
    </w:p>
    <w:p>
      <w:pPr>
        <w:ind w:left="288"/>
      </w:pPr>
      <w:r>
        <w:rPr>
          <w:color w:val="8C8C8C"/>
          <w:sz w:val="12"/>
        </w:rPr>
        <w:t>cf-art-93-inc-VI</w:t>
      </w:r>
    </w:p>
    <w:p>
      <w:pPr>
        <w:ind w:left="288"/>
      </w:pPr>
      <w:r>
        <w:rPr>
          <w:color w:val="1E1E1E"/>
          <w:sz w:val="18"/>
        </w:rPr>
        <w:t>XI - nos tribunais com número superior a vinte e cinco julgadores, poderá ser constituído órgão especial, com o mínimo de onze e o máximo de vinte e cinco membros, para o exercício das atribuições administrativas e jurisdicionais delegadas da competência do tribunal pleno, provendo-se metade das vagas por antiguidade e a outra metade por eleição pelo tribunal pleno; (Redação da EC 45/2004)</w:t>
      </w:r>
    </w:p>
    <w:p>
      <w:pPr>
        <w:ind w:left="144"/>
      </w:pPr>
      <w:r>
        <w:rPr>
          <w:b/>
          <w:color w:val="B45A00"/>
          <w:sz w:val="16"/>
        </w:rPr>
        <w:t>CONTROLE CONCENTRADO</w:t>
      </w:r>
    </w:p>
    <w:p>
      <w:pPr>
        <w:ind w:left="288"/>
      </w:pPr>
      <w:r>
        <w:rPr>
          <w:color w:val="8C8C8C"/>
          <w:sz w:val="12"/>
        </w:rPr>
        <w:t>cf-art-93-inc-VI</w:t>
      </w:r>
      <w:r>
        <w:rPr>
          <w:color w:val="003CA0"/>
          <w:sz w:val="12"/>
        </w:rPr>
        <w:t xml:space="preserve"> | ADI 4.320</w:t>
      </w:r>
      <w:r>
        <w:rPr>
          <w:color w:val="003CA0"/>
          <w:sz w:val="12"/>
        </w:rPr>
        <w:t xml:space="preserve"> | rel. Marco Aurélio</w:t>
      </w:r>
    </w:p>
    <w:p>
      <w:pPr>
        <w:ind w:left="288"/>
      </w:pPr>
      <w:r>
        <w:rPr>
          <w:color w:val="1E1E1E"/>
          <w:sz w:val="18"/>
        </w:rPr>
        <w:t>Surge harmônica, com a Constituição Federal, disciplina na escolha dos integrantes do Órgão Especial que, levando em conta antiguidade e merecimento, contempla o quinto constitucional.</w:t>
      </w:r>
    </w:p>
    <w:p>
      <w:pPr>
        <w:ind w:left="288"/>
      </w:pPr>
      <w:r>
        <w:rPr>
          <w:b/>
          <w:color w:val="003CA0"/>
          <w:sz w:val="16"/>
        </w:rPr>
        <w:t>[ADI 4.320, rel. min. Marco Aurélio, j. 20-10-2020, P, DJE de 25-2-2021.]</w:t>
      </w:r>
    </w:p>
    <w:p>
      <w:pPr>
        <w:ind w:left="144"/>
      </w:pPr>
      <w:r>
        <w:rPr>
          <w:b/>
          <w:color w:val="B45A00"/>
          <w:sz w:val="16"/>
        </w:rPr>
        <w:t>JULGADOS CORRELATOS</w:t>
      </w:r>
    </w:p>
    <w:p>
      <w:pPr>
        <w:ind w:left="288"/>
      </w:pPr>
      <w:r>
        <w:rPr>
          <w:color w:val="8C8C8C"/>
          <w:sz w:val="12"/>
        </w:rPr>
        <w:t>cf-art-93-inc-VI</w:t>
      </w:r>
      <w:r>
        <w:rPr>
          <w:color w:val="003CA0"/>
          <w:sz w:val="12"/>
        </w:rPr>
        <w:t xml:space="preserve"> | MS 26.411</w:t>
      </w:r>
    </w:p>
    <w:p>
      <w:pPr>
        <w:ind w:left="288"/>
      </w:pPr>
      <w:r>
        <w:rPr>
          <w:color w:val="1E1E1E"/>
          <w:sz w:val="18"/>
        </w:rPr>
        <w:t>O órgão especial age por delegação do plenário, que é o órgão maior dos tribunais, conforme prevê o art. 93, XI, da CF, na redação conferida pela EC 45/2004 (...). Incumbindo ao plenário, de modo facultativo, a criação do órgão especial, compete somente a ele definir quais são as atribuições que delega ao referido órgão, que, por expressa disciplina do art. 93, XI, da Constituição, exerce as atribuições administrativas e jurisdicionais da competência do pleno que lhes sejam por esse delegadas.</w:t>
      </w:r>
    </w:p>
    <w:p>
      <w:pPr>
        <w:ind w:left="288"/>
      </w:pPr>
      <w:r>
        <w:rPr>
          <w:b/>
          <w:color w:val="003CA0"/>
          <w:sz w:val="16"/>
        </w:rPr>
        <w:t>[MS 26.411 QO, red. do ac. min. Teori Zavascki, j. 26-11-2015, P, DJE de 16-5-2016.]</w:t>
      </w:r>
    </w:p>
    <w:p>
      <w:pPr>
        <w:ind w:left="288"/>
      </w:pPr>
      <w:r>
        <w:rPr>
          <w:color w:val="8C8C8C"/>
          <w:sz w:val="12"/>
        </w:rPr>
        <w:t>cf-art-93-inc-VI</w:t>
      </w:r>
      <w:r>
        <w:rPr>
          <w:color w:val="003CA0"/>
          <w:sz w:val="12"/>
        </w:rPr>
        <w:t xml:space="preserve"> | HC 94.134</w:t>
      </w:r>
      <w:r>
        <w:rPr>
          <w:color w:val="003CA0"/>
          <w:sz w:val="12"/>
        </w:rPr>
        <w:t xml:space="preserve"> | rel. Ayres Britto</w:t>
      </w:r>
    </w:p>
    <w:p>
      <w:pPr>
        <w:ind w:left="288"/>
      </w:pPr>
      <w:r>
        <w:rPr>
          <w:color w:val="1E1E1E"/>
          <w:sz w:val="18"/>
        </w:rPr>
        <w:t>Em linha de princípio, e sem avançar qualquer juízo de mérito, a nova forma de composição dos órgãos especiais de que trata o inciso XI do art. 93 da CF/1988 (com a redação dada pela EC 45/2004) não me parece capaz de anular, de forma automática ou mecânica, todos os julgamentos proferidos sob a égide da disciplina anterior. Até porque os critérios para a composição e eleição dos respectivos órgãos especiais dos tribunais foram estabelecidos pelo CNJ mediante a Resolução 16, de 30-5-2006.</w:t>
      </w:r>
    </w:p>
    <w:p>
      <w:pPr>
        <w:ind w:left="288"/>
      </w:pPr>
      <w:r>
        <w:rPr>
          <w:b/>
          <w:color w:val="003CA0"/>
          <w:sz w:val="16"/>
        </w:rPr>
        <w:t>[HC 94.134 AgR, rel. min. Ayres Britto, j. 21-10-2008, 1ª T, DJE de 13-3-2009.]</w:t>
      </w:r>
    </w:p>
    <w:p>
      <w:pPr>
        <w:ind w:left="288"/>
      </w:pPr>
      <w:r>
        <w:rPr>
          <w:color w:val="8C8C8C"/>
          <w:sz w:val="12"/>
        </w:rPr>
        <w:t>cf-art-93-inc-VI</w:t>
      </w:r>
      <w:r>
        <w:rPr>
          <w:color w:val="003CA0"/>
          <w:sz w:val="12"/>
        </w:rPr>
        <w:t xml:space="preserve"> | AO 232</w:t>
      </w:r>
      <w:r>
        <w:rPr>
          <w:color w:val="003CA0"/>
          <w:sz w:val="12"/>
        </w:rPr>
        <w:t xml:space="preserve"> | rel. Sepúlveda Pertence</w:t>
      </w:r>
    </w:p>
    <w:p>
      <w:pPr>
        <w:ind w:left="288"/>
      </w:pPr>
      <w:r>
        <w:rPr>
          <w:color w:val="1E1E1E"/>
          <w:sz w:val="18"/>
        </w:rPr>
        <w:t>Só pode criar órgão especial o tribunal integrado por mais de 25 juízes (CF, art. 93, XI): para esse fim, considera-se a composição já implementada da corte, não bastando a existência de vagas recém-criadas, mas ainda não preenchidas.</w:t>
      </w:r>
    </w:p>
    <w:p>
      <w:pPr>
        <w:ind w:left="288"/>
      </w:pPr>
      <w:r>
        <w:rPr>
          <w:b/>
          <w:color w:val="003CA0"/>
          <w:sz w:val="16"/>
        </w:rPr>
        <w:t>[AO 232, rel. min. Sepúlveda Pertence, j. 3-5-1995, P, DJ de 20-4-2001.]</w:t>
      </w:r>
    </w:p>
    <w:p>
      <w:pPr>
        <w:ind w:left="288"/>
      </w:pPr>
      <w:r>
        <w:rPr>
          <w:color w:val="8C8C8C"/>
          <w:sz w:val="12"/>
        </w:rPr>
        <w:t>cf-art-93-inc-VI</w:t>
      </w:r>
    </w:p>
    <w:p>
      <w:pPr>
        <w:ind w:left="288"/>
      </w:pPr>
      <w:r>
        <w:rPr>
          <w:color w:val="1E1E1E"/>
          <w:sz w:val="18"/>
        </w:rPr>
        <w:t>XII - a atividade jurisdicional será ininterrupta, sendo vedado férias coletivas nos juízos e tribunais de segundo grau, funcionando, nos dias em que não houver expediente forense normal, juízes em plantão permanente; (Incluído pela EC 45/2004)</w:t>
      </w:r>
    </w:p>
    <w:p>
      <w:pPr>
        <w:ind w:left="144"/>
      </w:pPr>
      <w:r>
        <w:rPr>
          <w:b/>
          <w:color w:val="B45A00"/>
          <w:sz w:val="16"/>
        </w:rPr>
        <w:t>CONTROLE CONCENTRADO</w:t>
      </w:r>
    </w:p>
    <w:p>
      <w:pPr>
        <w:ind w:left="288"/>
      </w:pPr>
      <w:r>
        <w:rPr>
          <w:color w:val="8C8C8C"/>
          <w:sz w:val="12"/>
        </w:rPr>
        <w:t>cf-art-93-inc-VI</w:t>
      </w:r>
      <w:r>
        <w:rPr>
          <w:color w:val="003CA0"/>
          <w:sz w:val="12"/>
        </w:rPr>
        <w:t xml:space="preserve"> | ADI 5.142</w:t>
      </w:r>
      <w:r>
        <w:rPr>
          <w:color w:val="003CA0"/>
          <w:sz w:val="12"/>
        </w:rPr>
        <w:t xml:space="preserve"> | rel. Alexandre de Moraes</w:t>
      </w:r>
    </w:p>
    <w:p>
      <w:pPr>
        <w:ind w:left="288"/>
      </w:pPr>
      <w:r>
        <w:rPr>
          <w:color w:val="1E1E1E"/>
          <w:sz w:val="18"/>
        </w:rPr>
        <w:t xml:space="preserve">Lei 13.145/2014 do Estado da Bahia. Lei de Organização Judiciária do Estado da Bahia. Criação da câmara especial do extremo oeste baiano. Criação e extinção de cargos de magistrados estaduais. Afronta ao art. 93, XII e XIII, da Constituição Federal. Inocorrência. (...) O fato de o Tribunal de Justiça da Bahia extinguir 34 cargos de juiz de direito das varas de substituição, à medida que vagarem, para criação de outros 34 cargos de juiz substituto de segundo grau, não acarreta prejuízo à prestação jurisdicional ininterrupta, uma vez que o próprio Tribunal se encarregou de organizar o regime de </w:t>
      </w:r>
    </w:p>
    <w:p>
      <w:pPr>
        <w:ind w:left="288"/>
      </w:pPr>
      <w:r>
        <w:rPr>
          <w:b/>
          <w:color w:val="003CA0"/>
          <w:sz w:val="16"/>
        </w:rPr>
        <w:t>[ADI 5.142, rel. min. Alexandre de Moraes, j. 23-8-2019, P, DJE de 9-9-2019.]</w:t>
      </w:r>
    </w:p>
    <w:p>
      <w:pPr>
        <w:ind w:left="288"/>
      </w:pPr>
      <w:r>
        <w:rPr>
          <w:color w:val="8C8C8C"/>
          <w:sz w:val="12"/>
        </w:rPr>
        <w:t>cf-art-93-inc-VI</w:t>
      </w:r>
      <w:r>
        <w:rPr>
          <w:color w:val="003CA0"/>
          <w:sz w:val="12"/>
        </w:rPr>
        <w:t xml:space="preserve"> | ADI 3.823</w:t>
      </w:r>
      <w:r>
        <w:rPr>
          <w:color w:val="003CA0"/>
          <w:sz w:val="12"/>
        </w:rPr>
        <w:t xml:space="preserve"> | rel. Cármen Lúcia</w:t>
      </w:r>
    </w:p>
    <w:p>
      <w:pPr>
        <w:ind w:left="288"/>
      </w:pPr>
      <w:r>
        <w:rPr>
          <w:color w:val="1E1E1E"/>
          <w:sz w:val="18"/>
        </w:rPr>
        <w:t>Princípio da ininterruptabilidade da jurisdição. As regras legais que estabeleciam que os magistrados gozariam de férias coletivas perderam seu fundamento de validade pela promulgação da EC 45/2004. A nova norma constitucional plasmou paradigma para a matéria, contra a qual nada pode prevalecer. Enquanto vigente a norma constitucional, pelo menos em exame cautelar, cumpre fazer prevalecer a vedação de férias coletivas de juízes e membros dos tribunais de segundo grau, suspendendo-se a eficácia de atos que ponham em risco a efetividade daquela proibição.</w:t>
      </w:r>
    </w:p>
    <w:p>
      <w:pPr>
        <w:ind w:left="288"/>
      </w:pPr>
      <w:r>
        <w:rPr>
          <w:b/>
          <w:color w:val="003CA0"/>
          <w:sz w:val="16"/>
        </w:rPr>
        <w:t>[ADI 3.823 MC, rel. min. Cármen Lúcia, j. 6-12-2006, P, DJ de 23-11-2007.]</w:t>
      </w:r>
    </w:p>
    <w:p>
      <w:pPr>
        <w:ind w:left="288"/>
      </w:pPr>
      <w:r>
        <w:rPr>
          <w:color w:val="8C8C8C"/>
          <w:sz w:val="12"/>
        </w:rPr>
        <w:t>cf-art-93-inc-VI</w:t>
      </w:r>
      <w:r>
        <w:rPr>
          <w:color w:val="003CA0"/>
          <w:sz w:val="12"/>
        </w:rPr>
        <w:t xml:space="preserve"> | ADI 3.085</w:t>
      </w:r>
      <w:r>
        <w:rPr>
          <w:color w:val="003CA0"/>
          <w:sz w:val="12"/>
        </w:rPr>
        <w:t xml:space="preserve"> | rel. Eros Grau</w:t>
      </w:r>
    </w:p>
    <w:p>
      <w:pPr>
        <w:ind w:left="288"/>
      </w:pPr>
      <w:r>
        <w:rPr>
          <w:color w:val="1E1E1E"/>
          <w:sz w:val="18"/>
        </w:rPr>
        <w:t>A EC 45/2004, ao vedar as férias coletivas nos juízos e tribunais de segundo grau, revogou os atos normativos inferiores que a elas se referiam, sendo pacífico o entendimento desta Corte no sentido de não ser cabível a ação direta contra ato revogado.</w:t>
      </w:r>
    </w:p>
    <w:p>
      <w:pPr>
        <w:ind w:left="288"/>
      </w:pPr>
      <w:r>
        <w:rPr>
          <w:b/>
          <w:color w:val="003CA0"/>
          <w:sz w:val="16"/>
        </w:rPr>
        <w:t>[ADI 3.085, rel. min. Eros Grau, j. 17-2-2005, P, DJ de 28-4-2006.]</w:t>
      </w:r>
    </w:p>
    <w:p>
      <w:pPr>
        <w:ind w:left="288"/>
      </w:pPr>
      <w:r>
        <w:rPr>
          <w:color w:val="8C8C8C"/>
          <w:sz w:val="12"/>
        </w:rPr>
        <w:t>cf-art-93-inc-VI</w:t>
      </w:r>
      <w:r>
        <w:rPr>
          <w:color w:val="003CA0"/>
          <w:sz w:val="12"/>
        </w:rPr>
        <w:t xml:space="preserve"> | MS 26.739</w:t>
      </w:r>
      <w:r>
        <w:rPr>
          <w:color w:val="003CA0"/>
          <w:sz w:val="12"/>
        </w:rPr>
        <w:t xml:space="preserve"> | rel. Dias Toffoli</w:t>
      </w:r>
    </w:p>
    <w:p>
      <w:pPr>
        <w:ind w:left="288"/>
      </w:pPr>
      <w:r>
        <w:rPr>
          <w:color w:val="1E1E1E"/>
          <w:sz w:val="18"/>
        </w:rPr>
        <w:t>Vide MS 26.739, rel. min. Dias Toffoli, j. 1º-3-2016, 1ª T, DJE de 14-6-2016 XIII - o número de juízes na unidade jurisdicional será proporcional à efetiva demanda judicial e à respectiva população; (Incluído pela EC 45/2004)</w:t>
      </w:r>
    </w:p>
    <w:p>
      <w:pPr>
        <w:ind w:left="288"/>
      </w:pPr>
      <w:r>
        <w:rPr>
          <w:color w:val="8C8C8C"/>
          <w:sz w:val="12"/>
        </w:rPr>
        <w:t>cf-art-93-inc-VI</w:t>
      </w:r>
      <w:r>
        <w:rPr>
          <w:color w:val="003CA0"/>
          <w:sz w:val="12"/>
        </w:rPr>
        <w:t xml:space="preserve"> | ADI 5.142</w:t>
      </w:r>
      <w:r>
        <w:rPr>
          <w:color w:val="003CA0"/>
          <w:sz w:val="12"/>
        </w:rPr>
        <w:t xml:space="preserve"> | rel. Alexandre de Moraes</w:t>
      </w:r>
    </w:p>
    <w:p>
      <w:pPr>
        <w:ind w:left="288"/>
      </w:pPr>
      <w:r>
        <w:rPr>
          <w:color w:val="1E1E1E"/>
          <w:sz w:val="18"/>
        </w:rPr>
        <w:t xml:space="preserve">Lei 13.145/2014 do Estado da Bahia. Lei de Organização Judiciária do Estado da Bahia. Criação da câmara especial do extremo oeste baiano. Criação e extinção de cargos de magistrados estaduais. Afronta ao art. 93, XII e XIII, da Constituição Federal. Inocorrência. (...) O fato de o Tribunal de Justiça da Bahia extinguir 34 cargos de juiz de direito das varas de substituição, à medida que vagarem, para criação de outros 34 cargos de juiz substituto de segundo grau, não acarreta prejuízo à prestação jurisdicional ininterrupta, uma vez que o próprio Tribunal se encarregou de organizar o regime de </w:t>
      </w:r>
    </w:p>
    <w:p>
      <w:pPr>
        <w:ind w:left="288"/>
      </w:pPr>
      <w:r>
        <w:rPr>
          <w:b/>
          <w:color w:val="003CA0"/>
          <w:sz w:val="16"/>
        </w:rPr>
        <w:t>[ADI 5.142, rel. min. Alexandre de Moraes, j. 23-8-2019, P, DJE de 9-9-2019.]</w:t>
      </w:r>
    </w:p>
    <w:p>
      <w:pPr>
        <w:ind w:left="288"/>
      </w:pPr>
      <w:r>
        <w:rPr>
          <w:color w:val="8C8C8C"/>
          <w:sz w:val="12"/>
        </w:rPr>
        <w:t>cf-art-93-inc-VI</w:t>
      </w:r>
    </w:p>
    <w:p>
      <w:pPr>
        <w:ind w:left="288"/>
      </w:pPr>
      <w:r>
        <w:rPr>
          <w:color w:val="1E1E1E"/>
          <w:sz w:val="18"/>
        </w:rPr>
        <w:t>XIV - os servidores receberão delegação para a prática de atos de administração e atos de mero expediente sem caráter decisório; (Incluído pela EC 45/2004) XV - a distribuição de processos será imediata, em todos os graus de jurisdição. (Incluído pela EC 45/2004)</w:t>
      </w:r>
    </w:p>
    <w:p>
      <w:r>
        <w:rPr>
          <w:b/>
          <w:color w:val="003366"/>
          <w:sz w:val="20"/>
        </w:rPr>
        <w:t>Art. 94 Os regimes especiais de tributação para microempresas e empresas de pequ</w:t>
      </w:r>
      <w:r>
        <w:rPr>
          <w:color w:val="8C8C8C"/>
          <w:sz w:val="14"/>
        </w:rPr>
        <w:t xml:space="preserve">  [21 decisoes]</w:t>
      </w:r>
    </w:p>
    <w:p>
      <w:pPr>
        <w:ind w:left="288"/>
      </w:pPr>
      <w:r>
        <w:rPr>
          <w:color w:val="8C8C8C"/>
          <w:sz w:val="12"/>
        </w:rPr>
        <w:t>cf-art-94</w:t>
      </w:r>
      <w:r>
        <w:rPr>
          <w:color w:val="003CA0"/>
          <w:sz w:val="12"/>
        </w:rPr>
        <w:t xml:space="preserve"> | ADI 7.667</w:t>
      </w:r>
      <w:r>
        <w:rPr>
          <w:color w:val="003CA0"/>
          <w:sz w:val="12"/>
        </w:rPr>
        <w:t xml:space="preserve"> | rel. Dias Toffoli</w:t>
      </w:r>
    </w:p>
    <w:p>
      <w:pPr>
        <w:ind w:left="288"/>
      </w:pPr>
      <w:r>
        <w:rPr>
          <w:color w:val="1E1E1E"/>
          <w:sz w:val="18"/>
        </w:rPr>
        <w:t>O primeiro provimento de assento ímpar relativo ao quinto constitucional não se submete aos critérios da alternância e da sucessividade previstos no art. 100, § 2º, da Lei Complementar nº 35/79. 2. O tribunal respectivo poderá decidir acerca do primeiro provimento de assento ímpar relativo ao quinto constitucional, devendo ter como baliza o equilíbrio de oportunidades entre advocacia e ministério público.</w:t>
      </w:r>
    </w:p>
    <w:p>
      <w:pPr>
        <w:ind w:left="288"/>
      </w:pPr>
      <w:r>
        <w:rPr>
          <w:b/>
          <w:color w:val="003CA0"/>
          <w:sz w:val="16"/>
        </w:rPr>
        <w:t>[ADI 7.667, rel. min. Dias Toffoli, j. 25.06.2025, P, DJE de 08.09.2025.]</w:t>
      </w:r>
    </w:p>
    <w:p>
      <w:pPr>
        <w:ind w:left="288"/>
      </w:pPr>
      <w:r>
        <w:rPr>
          <w:color w:val="8C8C8C"/>
          <w:sz w:val="12"/>
        </w:rPr>
        <w:t>cf-art-94</w:t>
      </w:r>
      <w:r>
        <w:rPr>
          <w:color w:val="003CA0"/>
          <w:sz w:val="12"/>
        </w:rPr>
        <w:t xml:space="preserve"> | ADI 6.810</w:t>
      </w:r>
      <w:r>
        <w:rPr>
          <w:color w:val="003CA0"/>
          <w:sz w:val="12"/>
        </w:rPr>
        <w:t xml:space="preserve"> | rel. Dias Toffoli</w:t>
      </w:r>
    </w:p>
    <w:p>
      <w:pPr>
        <w:ind w:left="288"/>
      </w:pPr>
      <w:r>
        <w:rPr>
          <w:color w:val="1E1E1E"/>
          <w:sz w:val="18"/>
        </w:rPr>
        <w:t>A Constituição Federal outorgou à Ordem dos Advogados do Brasil a atribuição de indicar, em lista sêxtupla, os advogados integrantes do quinto constitucional (CF, art. 94). A definição dos critérios de escolha a serem observados pela própria Instituição constitui derivação lógica do poder decisório da qual se acha investida. (...) A definição de critérios objetivos e previamente conhecidos de todos os interessados fortalece o primado da transparência, da impessoalidade e da moralidade no processo de escolha dos integrantes do quinto constitucional. (...) A adoção do critério da aderência ao Es</w:t>
      </w:r>
    </w:p>
    <w:p>
      <w:pPr>
        <w:ind w:left="288"/>
      </w:pPr>
      <w:r>
        <w:rPr>
          <w:b/>
          <w:color w:val="003CA0"/>
          <w:sz w:val="16"/>
        </w:rPr>
        <w:t>[ADI 6.810, rel. min. Dias Toffoli, red. do ac. min. Flávio Dino, j. 19.04.2025, P, DJE de 28.05.2025.]</w:t>
      </w:r>
    </w:p>
    <w:p>
      <w:pPr>
        <w:ind w:left="144"/>
      </w:pPr>
      <w:r>
        <w:rPr>
          <w:b/>
          <w:color w:val="B45A00"/>
          <w:sz w:val="16"/>
        </w:rPr>
        <w:t>CONTROLE CONCENTRADO</w:t>
      </w:r>
    </w:p>
    <w:p>
      <w:pPr>
        <w:ind w:left="288"/>
      </w:pPr>
      <w:r>
        <w:rPr>
          <w:color w:val="8C8C8C"/>
          <w:sz w:val="12"/>
        </w:rPr>
        <w:t>cf-art-94</w:t>
      </w:r>
      <w:r>
        <w:rPr>
          <w:color w:val="003CA0"/>
          <w:sz w:val="12"/>
        </w:rPr>
        <w:t xml:space="preserve"> | ADI 5.588</w:t>
      </w:r>
      <w:r>
        <w:rPr>
          <w:color w:val="003CA0"/>
          <w:sz w:val="12"/>
        </w:rPr>
        <w:t xml:space="preserve"> | rel. Ricardo Lewandowski</w:t>
      </w:r>
    </w:p>
    <w:p>
      <w:pPr>
        <w:ind w:left="288"/>
      </w:pPr>
      <w:r>
        <w:rPr>
          <w:color w:val="1E1E1E"/>
          <w:sz w:val="18"/>
        </w:rPr>
        <w:t xml:space="preserve">O processo de escolha da lista sêxtupla para composição de tribunais pelo chamado quinto constitucional é tema de índole institucional que interessa a todo o Ministério Público e, por conseguinte, deve ser disciplinado pela Lei 8.625, de 12 de fevereiro de 1993 (Lei de Organização Nacional do Ministério Público – LONMP). Não há lacuna neste regramento a ser suprida por lei estadual acerca do procedimento de escolha do membro do Parquet para compor os tribunais de justiça, nos termos do art. 94, caput, da Carta da República. É inconstitucional lei estadual que disponha contrariamente às normas </w:t>
      </w:r>
    </w:p>
    <w:p>
      <w:pPr>
        <w:ind w:left="288"/>
      </w:pPr>
      <w:r>
        <w:rPr>
          <w:b/>
          <w:color w:val="003CA0"/>
          <w:sz w:val="16"/>
        </w:rPr>
        <w:t>[ADI 5.588, rel. min. Ricardo Lewandowski, j. 5-9-2022, P, DJE de 8-11-2022.]</w:t>
      </w:r>
    </w:p>
    <w:p>
      <w:pPr>
        <w:ind w:left="288"/>
      </w:pPr>
      <w:r>
        <w:rPr>
          <w:color w:val="8C8C8C"/>
          <w:sz w:val="12"/>
        </w:rPr>
        <w:t>cf-art-94</w:t>
      </w:r>
      <w:r>
        <w:rPr>
          <w:color w:val="003CA0"/>
          <w:sz w:val="12"/>
        </w:rPr>
        <w:t xml:space="preserve"> | ADI 4.134</w:t>
      </w:r>
      <w:r>
        <w:rPr>
          <w:color w:val="003CA0"/>
          <w:sz w:val="12"/>
        </w:rPr>
        <w:t xml:space="preserve"> | rel. Edson Fachin</w:t>
      </w:r>
    </w:p>
    <w:p>
      <w:pPr>
        <w:ind w:left="288"/>
      </w:pPr>
      <w:r>
        <w:rPr>
          <w:color w:val="1E1E1E"/>
          <w:sz w:val="18"/>
        </w:rPr>
        <w:t>Competência do Conselho Superior do Ministério Público para elaboração das listas sêxtuplas. (...) Embora sejam elegíveis para integrar o Conselho Superior do Ministério Público, nos termos do art. 14 da Lei 8.625/1993, apenas os Procuradores de Justiça, a escolha é realizada por meio de eleição em que votam membros de toda a classe, o que evidencia a representatividade do órgão.</w:t>
      </w:r>
    </w:p>
    <w:p>
      <w:pPr>
        <w:ind w:left="288"/>
      </w:pPr>
      <w:r>
        <w:rPr>
          <w:b/>
          <w:color w:val="003CA0"/>
          <w:sz w:val="16"/>
        </w:rPr>
        <w:t>[ADI 4.134, rel. min. Edson Fachin, j. 18-10-2019, P, DJE de 2-12-2019.]</w:t>
      </w:r>
    </w:p>
    <w:p>
      <w:pPr>
        <w:ind w:left="288"/>
      </w:pPr>
      <w:r>
        <w:rPr>
          <w:color w:val="8C8C8C"/>
          <w:sz w:val="12"/>
        </w:rPr>
        <w:t>cf-art-94</w:t>
      </w:r>
      <w:r>
        <w:rPr>
          <w:color w:val="003CA0"/>
          <w:sz w:val="12"/>
        </w:rPr>
        <w:t xml:space="preserve"> | ADI 3.490</w:t>
      </w:r>
      <w:r>
        <w:rPr>
          <w:color w:val="003CA0"/>
          <w:sz w:val="12"/>
        </w:rPr>
        <w:t xml:space="preserve"> | rel. Marco Aurélio</w:t>
      </w:r>
    </w:p>
    <w:p>
      <w:pPr>
        <w:ind w:left="288"/>
      </w:pPr>
      <w:r>
        <w:rPr>
          <w:color w:val="1E1E1E"/>
          <w:sz w:val="18"/>
        </w:rPr>
        <w:t>Com a promulgação da EC 45/2004, deu-se a extensão, aos tribunais do trabalho, da regra do "quinto" constante do art. 94 da Carta Federal.</w:t>
      </w:r>
    </w:p>
    <w:p>
      <w:pPr>
        <w:ind w:left="288"/>
      </w:pPr>
      <w:r>
        <w:rPr>
          <w:b/>
          <w:color w:val="003CA0"/>
          <w:sz w:val="16"/>
        </w:rPr>
        <w:t>[ADI 3.490, rel. min. Marco Aurélio, j. 19-12-2005, P, DJ de 7-4-2006.]</w:t>
      </w:r>
    </w:p>
    <w:p>
      <w:pPr>
        <w:ind w:left="288"/>
      </w:pPr>
      <w:r>
        <w:rPr>
          <w:color w:val="8C8C8C"/>
          <w:sz w:val="12"/>
        </w:rPr>
        <w:t>cf-art-94</w:t>
      </w:r>
      <w:r>
        <w:rPr>
          <w:color w:val="003CA0"/>
          <w:sz w:val="12"/>
        </w:rPr>
        <w:t xml:space="preserve"> | ADI 160</w:t>
      </w:r>
      <w:r>
        <w:rPr>
          <w:color w:val="003CA0"/>
          <w:sz w:val="12"/>
        </w:rPr>
        <w:t xml:space="preserve"> | rel. Octavio Gallotti</w:t>
      </w:r>
    </w:p>
    <w:p>
      <w:pPr>
        <w:ind w:left="288"/>
      </w:pPr>
      <w:r>
        <w:rPr>
          <w:color w:val="1E1E1E"/>
          <w:sz w:val="18"/>
        </w:rPr>
        <w:t>Inconstitucionalidade da previsão, pela Carta estadual, de percentual fixo (4/5), para o preenchimento das vagas destinadas aos oriundos da magistratura, pela possibilidade de choque com a garantia do provimento, do quinto restante, quando não for múltiplo de cinco o número de membros do tribunal.</w:t>
      </w:r>
    </w:p>
    <w:p>
      <w:pPr>
        <w:ind w:left="288"/>
      </w:pPr>
      <w:r>
        <w:rPr>
          <w:b/>
          <w:color w:val="003CA0"/>
          <w:sz w:val="16"/>
        </w:rPr>
        <w:t>[ADI 160, rel. min. Octavio Gallotti, j. 23-4-1998, 1ª T, DJ de 20-11-1998.]</w:t>
      </w:r>
    </w:p>
    <w:p>
      <w:pPr>
        <w:ind w:left="288"/>
      </w:pPr>
      <w:r>
        <w:rPr>
          <w:color w:val="8C8C8C"/>
          <w:sz w:val="12"/>
        </w:rPr>
        <w:t>cf-art-94</w:t>
      </w:r>
      <w:r>
        <w:rPr>
          <w:color w:val="003CA0"/>
          <w:sz w:val="12"/>
        </w:rPr>
        <w:t xml:space="preserve"> | ADI 759</w:t>
      </w:r>
      <w:r>
        <w:rPr>
          <w:color w:val="003CA0"/>
          <w:sz w:val="12"/>
        </w:rPr>
        <w:t xml:space="preserve"> | rel. Carlos Velloso</w:t>
      </w:r>
    </w:p>
    <w:p>
      <w:pPr>
        <w:ind w:left="288"/>
      </w:pPr>
      <w:r>
        <w:rPr>
          <w:color w:val="1E1E1E"/>
          <w:sz w:val="18"/>
        </w:rPr>
        <w:t>Constitucional. Advogados. Lista sêxtupla. Incompatibilidade e impedimento. Provimento 73, de 13-4-1992, do Conselho Federal da OAB, parágrafo único do art. 5º e § 3º do art. 7º. Constituição, art. 94. Suspensão da eficácia, no parágrafo único do art. 5º, do Provimento 73, do Conselho Federal da OAB. Vencido, em parte, o ministro relator, que suspendia, apenas, a locução "há mais de seis meses da abertura da vaga".</w:t>
      </w:r>
    </w:p>
    <w:p>
      <w:pPr>
        <w:ind w:left="288"/>
      </w:pPr>
      <w:r>
        <w:rPr>
          <w:b/>
          <w:color w:val="003CA0"/>
          <w:sz w:val="16"/>
        </w:rPr>
        <w:t>[ADI 759 MC, rel. min. Carlos Velloso, j. 20-8-1992, P, DJ de 16-4-1993.]</w:t>
      </w:r>
    </w:p>
    <w:p>
      <w:pPr>
        <w:ind w:left="288"/>
      </w:pPr>
      <w:r>
        <w:rPr>
          <w:color w:val="8C8C8C"/>
          <w:sz w:val="12"/>
        </w:rPr>
        <w:t>cf-art-94</w:t>
      </w:r>
      <w:r>
        <w:rPr>
          <w:color w:val="003CA0"/>
          <w:sz w:val="12"/>
        </w:rPr>
        <w:t xml:space="preserve"> | ADI 27</w:t>
      </w:r>
      <w:r>
        <w:rPr>
          <w:color w:val="003CA0"/>
          <w:sz w:val="12"/>
        </w:rPr>
        <w:t xml:space="preserve"> | rel. Célio Borja</w:t>
      </w:r>
    </w:p>
    <w:p>
      <w:pPr>
        <w:ind w:left="288"/>
      </w:pPr>
      <w:r>
        <w:rPr>
          <w:color w:val="1E1E1E"/>
          <w:sz w:val="18"/>
        </w:rPr>
        <w:t>Os campos de incidência dos arts. 93 e 94 da Constituição são autônomos e o que um manda não desautoriza o que o outro impõe. Assim, enquanto os dispositivos do citado art. 93, II e III, aplicam-se exclusivamente a magistrados, o art. 94 regula o ingresso de advogados e membros do Ministério Público no quinto da composição dos tribunais.</w:t>
      </w:r>
    </w:p>
    <w:p>
      <w:pPr>
        <w:ind w:left="288"/>
      </w:pPr>
      <w:r>
        <w:rPr>
          <w:b/>
          <w:color w:val="003CA0"/>
          <w:sz w:val="16"/>
        </w:rPr>
        <w:t>[ADI 27, rel. min. Célio Borja, j. 21-2-1990, P, DJ de 22-6-1990.]</w:t>
      </w:r>
    </w:p>
    <w:p>
      <w:pPr>
        <w:ind w:left="144"/>
      </w:pPr>
      <w:r>
        <w:rPr>
          <w:b/>
          <w:color w:val="B45A00"/>
          <w:sz w:val="16"/>
        </w:rPr>
        <w:t>JULGADOS CORRELATOS</w:t>
      </w:r>
    </w:p>
    <w:p>
      <w:pPr>
        <w:ind w:left="288"/>
      </w:pPr>
      <w:r>
        <w:rPr>
          <w:color w:val="8C8C8C"/>
          <w:sz w:val="12"/>
        </w:rPr>
        <w:t>cf-art-94</w:t>
      </w:r>
      <w:r>
        <w:rPr>
          <w:color w:val="003CA0"/>
          <w:sz w:val="12"/>
        </w:rPr>
        <w:t xml:space="preserve"> | MS 32.491</w:t>
      </w:r>
      <w:r>
        <w:rPr>
          <w:color w:val="003CA0"/>
          <w:sz w:val="12"/>
        </w:rPr>
        <w:t xml:space="preserve"> | rel. Ricardo Lewandowski</w:t>
      </w:r>
    </w:p>
    <w:p>
      <w:pPr>
        <w:ind w:left="288"/>
      </w:pPr>
      <w:r>
        <w:rPr>
          <w:color w:val="1E1E1E"/>
          <w:sz w:val="18"/>
        </w:rPr>
        <w:t>Advogado nomeado ao cargo de desembargador pelo quinto constitucional. (...) A qualidade de ex-juiz do TRE/BA ostentada pelo impetrante indica que é detentor dos requisitos necessários para ocupar o cargo de desembargador do Tribunal de Justiça do mesmo Estado, a despeito de possuir um inquérito policial instaurado contra ele. Os cargos de juiz do TRE, assim como o de desembargador do Tribunal de Justiça, possuem os mesmos requisitos para o respectivo preenchimento, a saber: notório saber jurídico e idoneidade moral. Dessa forma, se o impetrante preenchia o requisito para atuar no TRE, nada im</w:t>
      </w:r>
    </w:p>
    <w:p>
      <w:pPr>
        <w:ind w:left="288"/>
      </w:pPr>
      <w:r>
        <w:rPr>
          <w:b/>
          <w:color w:val="003CA0"/>
          <w:sz w:val="16"/>
        </w:rPr>
        <w:t>[MS 32.491, rel. min. Ricardo Lewandowski, j. 19-8-2014, 2ª T, DJE de 10-10-2014.]</w:t>
      </w:r>
    </w:p>
    <w:p>
      <w:pPr>
        <w:ind w:left="288"/>
      </w:pPr>
      <w:r>
        <w:rPr>
          <w:color w:val="8C8C8C"/>
          <w:sz w:val="12"/>
        </w:rPr>
        <w:t>cf-art-94</w:t>
      </w:r>
      <w:r>
        <w:rPr>
          <w:color w:val="003CA0"/>
          <w:sz w:val="12"/>
        </w:rPr>
        <w:t xml:space="preserve"> | RE 484.388</w:t>
      </w:r>
    </w:p>
    <w:p>
      <w:pPr>
        <w:ind w:left="288"/>
      </w:pPr>
      <w:r>
        <w:rPr>
          <w:color w:val="1E1E1E"/>
          <w:sz w:val="18"/>
        </w:rPr>
        <w:t>O quinto constitucional previsto para o provimento de lugares em Tribunal, quando eventualmente não observado, não gera nulidade do julgado, máxime em razão da ilegitimidade da parte para questionar os critérios de preenchimento das vagas nos órgãos do Judiciário, mercê da incidência do princípio pas de nullité sans grief, consagrado no art. 499 do CPPM (...).</w:t>
      </w:r>
    </w:p>
    <w:p>
      <w:pPr>
        <w:ind w:left="288"/>
      </w:pPr>
      <w:r>
        <w:rPr>
          <w:b/>
          <w:color w:val="003CA0"/>
          <w:sz w:val="16"/>
        </w:rPr>
        <w:t>[RE 484.388, red. do ac. min. Luiz Fux, j. 13-10-2011, P, DJE de 13-3-2012.]</w:t>
      </w:r>
    </w:p>
    <w:p>
      <w:pPr>
        <w:ind w:left="288"/>
      </w:pPr>
      <w:r>
        <w:rPr>
          <w:color w:val="8C8C8C"/>
          <w:sz w:val="12"/>
        </w:rPr>
        <w:t>cf-art-94</w:t>
      </w:r>
      <w:r>
        <w:rPr>
          <w:color w:val="003CA0"/>
          <w:sz w:val="12"/>
        </w:rPr>
        <w:t xml:space="preserve"> | MS 25.624</w:t>
      </w:r>
      <w:r>
        <w:rPr>
          <w:color w:val="003CA0"/>
          <w:sz w:val="12"/>
        </w:rPr>
        <w:t xml:space="preserve"> | rel. Sepúlveda Pertence</w:t>
      </w:r>
    </w:p>
    <w:p>
      <w:pPr>
        <w:ind w:left="288"/>
      </w:pPr>
      <w:r>
        <w:rPr>
          <w:color w:val="1E1E1E"/>
          <w:sz w:val="18"/>
        </w:rPr>
        <w:t>Composição do Tribunal de Justiça do Estado de São Paulo. (...) A devolução da lista apresentada pela OAB com clara indicação dos motivos que a suportaram não viola decisão desta Suprema Corte que, expressamente, ressalvou essa possibilidade "à falta de requisito constitucional para a investidura, desde que fundada a recusa em razões objetivas, declinadas na motivação da deliberação do órgão competente do colegiado judiciário" (MS 25.624/SP, rel. min. Sepúlveda Pertence, DJ de 19-12-2006).</w:t>
      </w:r>
    </w:p>
    <w:p>
      <w:pPr>
        <w:ind w:left="288"/>
      </w:pPr>
      <w:r>
        <w:rPr>
          <w:b/>
          <w:color w:val="003CA0"/>
          <w:sz w:val="16"/>
        </w:rPr>
        <w:t>[Rcl 5.413, rel. min. Menezes Direito, j. 10-4-2008, P, DJE de 23-5-2008.]</w:t>
      </w:r>
    </w:p>
    <w:p>
      <w:pPr>
        <w:ind w:left="288"/>
      </w:pPr>
      <w:r>
        <w:rPr>
          <w:color w:val="8C8C8C"/>
          <w:sz w:val="12"/>
        </w:rPr>
        <w:t>cf-art-94</w:t>
      </w:r>
      <w:r>
        <w:rPr>
          <w:color w:val="003CA0"/>
          <w:sz w:val="12"/>
        </w:rPr>
        <w:t xml:space="preserve"> | MS 25.624</w:t>
      </w:r>
      <w:r>
        <w:rPr>
          <w:color w:val="003CA0"/>
          <w:sz w:val="12"/>
        </w:rPr>
        <w:t xml:space="preserve"> | rel. Sepúlveda Pertence</w:t>
      </w:r>
    </w:p>
    <w:p>
      <w:pPr>
        <w:ind w:left="288"/>
      </w:pPr>
      <w:r>
        <w:rPr>
          <w:color w:val="1E1E1E"/>
          <w:sz w:val="18"/>
        </w:rPr>
        <w:t>Mandado de segurança: processo de escolha de candidatos a cinco vagas de desembargador do Tribunal de Justiça de São Paulo, correspondente à cota no "quinto constitucional" da advocacia: composição de lista sêxtupla pelo Tribunal de Justiça que, desprezando a lista sêxtupla específica organizada pelo Conselho Seccional da OAB para a primeira das vagas, substituiu os seus integrantes por nomes remanescentes das listas indicadas para as vagas subsequentes e, dentre eles, elaborou a lista tríplice: contrariedade ao art. 94 e seu parágrafo único da CF: declaração de nulidade de ambas as listas, se</w:t>
      </w:r>
    </w:p>
    <w:p>
      <w:pPr>
        <w:ind w:left="288"/>
      </w:pPr>
      <w:r>
        <w:rPr>
          <w:b/>
          <w:color w:val="003CA0"/>
          <w:sz w:val="16"/>
        </w:rPr>
        <w:t>[MS 25.624, rel. min. Sepúlveda Pertence, j. 6-9-2006, P, DJ de 19-12-2006.]</w:t>
      </w:r>
    </w:p>
    <w:p>
      <w:pPr>
        <w:ind w:left="288"/>
      </w:pPr>
      <w:r>
        <w:rPr>
          <w:color w:val="8C8C8C"/>
          <w:sz w:val="12"/>
        </w:rPr>
        <w:t>cf-art-94</w:t>
      </w:r>
      <w:r>
        <w:rPr>
          <w:color w:val="003CA0"/>
          <w:sz w:val="12"/>
        </w:rPr>
        <w:t xml:space="preserve"> | MS 23.769</w:t>
      </w:r>
      <w:r>
        <w:rPr>
          <w:color w:val="003CA0"/>
          <w:sz w:val="12"/>
        </w:rPr>
        <w:t xml:space="preserve"> | rel. Ellen Gracie</w:t>
      </w:r>
    </w:p>
    <w:p>
      <w:pPr>
        <w:ind w:left="288"/>
      </w:pPr>
      <w:r>
        <w:rPr>
          <w:color w:val="1E1E1E"/>
          <w:sz w:val="18"/>
        </w:rPr>
        <w:t>Composição dos TRT em decorrência da extinção da representação classista na justiça laboral. EC 24/1999. Vagas destinadas a advogados e membros do MPT. Critério de proporcionalidade. Por simetria com os TRF e todos os demais tribunais de grau de apelação, as listas tríplices haverão de ser extraídas das listas sêxtuplas encaminhadas pelos órgãos representativos de ambas as categorias, a teor do disposto no art. 94, in fine. A regra de escolha da lista tríplice, independentemente de indicação pelos órgãos de representação das respectivas classes, é restrita aos tribunais superiores (TST e STJ).</w:t>
      </w:r>
    </w:p>
    <w:p>
      <w:pPr>
        <w:ind w:left="288"/>
      </w:pPr>
      <w:r>
        <w:rPr>
          <w:b/>
          <w:color w:val="003CA0"/>
          <w:sz w:val="16"/>
        </w:rPr>
        <w:t>[MS 23.769, rel. min. Ellen Gracie, j. 3-4-2002, P, DJ de 30-4-2004.]</w:t>
      </w:r>
    </w:p>
    <w:p>
      <w:pPr>
        <w:ind w:left="288"/>
      </w:pPr>
      <w:r>
        <w:rPr>
          <w:color w:val="8C8C8C"/>
          <w:sz w:val="12"/>
        </w:rPr>
        <w:t>cf-art-94</w:t>
      </w:r>
      <w:r>
        <w:rPr>
          <w:color w:val="003CA0"/>
          <w:sz w:val="12"/>
        </w:rPr>
        <w:t xml:space="preserve"> | MS 20.597</w:t>
      </w:r>
      <w:r>
        <w:rPr>
          <w:color w:val="003CA0"/>
          <w:sz w:val="12"/>
        </w:rPr>
        <w:t xml:space="preserve"> | rel. Carlos Velloso</w:t>
      </w:r>
    </w:p>
    <w:p>
      <w:pPr>
        <w:ind w:left="288"/>
      </w:pPr>
      <w:r>
        <w:rPr>
          <w:color w:val="1E1E1E"/>
          <w:sz w:val="18"/>
        </w:rPr>
        <w:t>A norma do § 2º do art. 100 da Loman, LC 35/1979, é aplicável quando, ocorrendo vaga a ser preenchida pelo quinto constitucional, uma das classes se acha em inferioridade na composição do tribunal. No preenchimento, então, dessa vaga, inverter-se-á a situação: a classe que se achava em inferioridade passa a ter situação de superioridade, atendendo-se, destarte, ao princípio constitucional da paridade entre as duas classes, Ministério Público e advocacia. Precedente do STF: MS 20.597/DF, Octavio Gallotti, Plenário, RTJ 120/1975.</w:t>
      </w:r>
    </w:p>
    <w:p>
      <w:pPr>
        <w:ind w:left="288"/>
      </w:pPr>
      <w:r>
        <w:rPr>
          <w:b/>
          <w:color w:val="003CA0"/>
          <w:sz w:val="16"/>
        </w:rPr>
        <w:t>[MS 23.972, rel. min. Carlos Velloso, j. 12-9-2001, P, DJ de 29-8-2003.]</w:t>
      </w:r>
    </w:p>
    <w:p>
      <w:pPr>
        <w:ind w:left="288"/>
      </w:pPr>
      <w:r>
        <w:rPr>
          <w:color w:val="8C8C8C"/>
          <w:sz w:val="12"/>
        </w:rPr>
        <w:t>cf-art-94</w:t>
      </w:r>
      <w:r>
        <w:rPr>
          <w:color w:val="003CA0"/>
          <w:sz w:val="12"/>
        </w:rPr>
        <w:t xml:space="preserve"> | AO 493</w:t>
      </w:r>
      <w:r>
        <w:rPr>
          <w:color w:val="003CA0"/>
          <w:sz w:val="12"/>
        </w:rPr>
        <w:t xml:space="preserve"> | rel. Octavio Gallotti</w:t>
      </w:r>
    </w:p>
    <w:p>
      <w:pPr>
        <w:ind w:left="288"/>
      </w:pPr>
      <w:r>
        <w:rPr>
          <w:color w:val="1E1E1E"/>
          <w:sz w:val="18"/>
        </w:rPr>
        <w:t>Tribunal de justiça. Se o número total de sua composição não for divisível por cinco, arredonda-se a fração restante (seja superior ou inferior à metade) para o número inteiro seguinte, a fim de alcançar-se a quantidade de vagas destinadas ao quinto constitucional destinado ao provimento por advogados e membros do Ministério Público.</w:t>
      </w:r>
    </w:p>
    <w:p>
      <w:pPr>
        <w:ind w:left="288"/>
      </w:pPr>
      <w:r>
        <w:rPr>
          <w:b/>
          <w:color w:val="003CA0"/>
          <w:sz w:val="16"/>
        </w:rPr>
        <w:t>[AO 493, rel. min. Octavio Gallotti, j. 6-6-2000, 1ª T, DJ de 10-11-2000.]</w:t>
      </w:r>
    </w:p>
    <w:p>
      <w:pPr>
        <w:ind w:left="288"/>
      </w:pPr>
      <w:r>
        <w:rPr>
          <w:color w:val="8C8C8C"/>
          <w:sz w:val="12"/>
        </w:rPr>
        <w:t>cf-art-94</w:t>
      </w:r>
      <w:r>
        <w:rPr>
          <w:color w:val="003CA0"/>
          <w:sz w:val="12"/>
        </w:rPr>
        <w:t xml:space="preserve"> | RE 678.957</w:t>
      </w:r>
      <w:r>
        <w:rPr>
          <w:color w:val="003CA0"/>
          <w:sz w:val="12"/>
        </w:rPr>
        <w:t xml:space="preserve"> | rel. Cármen Lúcia</w:t>
      </w:r>
    </w:p>
    <w:p>
      <w:pPr>
        <w:ind w:left="288"/>
      </w:pPr>
      <w:r>
        <w:rPr>
          <w:color w:val="1E1E1E"/>
          <w:sz w:val="18"/>
        </w:rPr>
        <w:t>=  RE 678.957 AgR, rel. min. Cármen Lúcia, j. 19-11-2013, 2ª T, DJE de 27-11-2013 Um quinto da composição dos TRF será de juízes oriundos da advocacia e do MPF. Esta é uma norma constitucional expressa, que há de prevalecer sobre a norma implícita, que decorre da norma expressa, no sentido de que, se 1/5 é dos advogados e membros do MPF, 4/5 serão dos juízes de carreira. Observada a regra de hermenêutica – a norma expressa prevalece sobre a norma implícita – força é convir que, se o número total da composição for múltiplo de cinco, arredonda-se a fração – superior ou inferior a meio – para cim</w:t>
      </w:r>
    </w:p>
    <w:p>
      <w:pPr>
        <w:ind w:left="288"/>
      </w:pPr>
      <w:r>
        <w:rPr>
          <w:b/>
          <w:color w:val="003CA0"/>
          <w:sz w:val="16"/>
        </w:rPr>
        <w:t>[MS 22.323, rel. min. Carlos Velloso, j. 28-9-1995, P, DJ de 19-4-1996.]</w:t>
      </w:r>
    </w:p>
    <w:p>
      <w:pPr>
        <w:ind w:left="288"/>
      </w:pPr>
      <w:r>
        <w:rPr>
          <w:color w:val="8C8C8C"/>
          <w:sz w:val="12"/>
        </w:rPr>
        <w:t>cf-art-94</w:t>
      </w:r>
      <w:r>
        <w:rPr>
          <w:color w:val="003CA0"/>
          <w:sz w:val="12"/>
        </w:rPr>
        <w:t xml:space="preserve"> | MS 21.168</w:t>
      </w:r>
      <w:r>
        <w:rPr>
          <w:color w:val="003CA0"/>
          <w:sz w:val="12"/>
        </w:rPr>
        <w:t xml:space="preserve"> | rel. Sepúlveda Pertence</w:t>
      </w:r>
    </w:p>
    <w:p>
      <w:pPr>
        <w:ind w:left="288"/>
      </w:pPr>
      <w:r>
        <w:rPr>
          <w:color w:val="1E1E1E"/>
          <w:sz w:val="18"/>
        </w:rPr>
        <w:t>MPT: substitutos de procurador: antiguidade na carreira a partir da vigência do art. 29, § 4º, ADCT/1988 – que os integrou na carreira –, para o efeito de concorrerem à eleição da lista sêxtupla de candidatos à respectiva cota dos tribunais do trabalho, nos termos do art. 94 da Constituição.</w:t>
      </w:r>
    </w:p>
    <w:p>
      <w:pPr>
        <w:ind w:left="288"/>
      </w:pPr>
      <w:r>
        <w:rPr>
          <w:b/>
          <w:color w:val="003CA0"/>
          <w:sz w:val="16"/>
        </w:rPr>
        <w:t>[MS 21.168, rel. min. Sepúlveda Pertence, j. 23-6-1994, P, DJ de 16-9-1994.]</w:t>
      </w:r>
    </w:p>
    <w:p>
      <w:pPr>
        <w:ind w:left="144"/>
      </w:pPr>
      <w:r>
        <w:rPr>
          <w:b/>
          <w:color w:val="B45A00"/>
          <w:sz w:val="16"/>
        </w:rPr>
        <w:t>CONTROLE CONCENTRADO</w:t>
      </w:r>
    </w:p>
    <w:p>
      <w:pPr>
        <w:ind w:left="288"/>
      </w:pPr>
      <w:r>
        <w:rPr>
          <w:color w:val="8C8C8C"/>
          <w:sz w:val="12"/>
        </w:rPr>
        <w:t>cf-art-94-par-unico</w:t>
      </w:r>
      <w:r>
        <w:rPr>
          <w:color w:val="003CA0"/>
          <w:sz w:val="12"/>
        </w:rPr>
        <w:t xml:space="preserve"> | ADI 4.150</w:t>
      </w:r>
      <w:r>
        <w:rPr>
          <w:color w:val="003CA0"/>
          <w:sz w:val="12"/>
        </w:rPr>
        <w:t xml:space="preserve"> | rel. Marco Aurélio</w:t>
      </w:r>
    </w:p>
    <w:p>
      <w:pPr>
        <w:ind w:left="288"/>
      </w:pPr>
      <w:r>
        <w:rPr>
          <w:color w:val="1E1E1E"/>
          <w:sz w:val="18"/>
        </w:rPr>
        <w:t>Conflita com a CF norma da Carta do Estado que junge à aprovação da assembleia legislativa a escolha de candidato à vaga do quinto em tribunal.</w:t>
      </w:r>
    </w:p>
    <w:p>
      <w:pPr>
        <w:ind w:left="288"/>
      </w:pPr>
      <w:r>
        <w:rPr>
          <w:b/>
          <w:color w:val="003CA0"/>
          <w:sz w:val="16"/>
        </w:rPr>
        <w:t>[ADI 4.150, rel. min. Marco Aurélio, j. 25-2-2015, P, DJE de 19-3-2015.]</w:t>
      </w:r>
    </w:p>
    <w:p>
      <w:pPr>
        <w:ind w:left="144"/>
      </w:pPr>
      <w:r>
        <w:rPr>
          <w:b/>
          <w:color w:val="B45A00"/>
          <w:sz w:val="16"/>
        </w:rPr>
        <w:t>JULGADOS CORRELATOS</w:t>
      </w:r>
    </w:p>
    <w:p>
      <w:pPr>
        <w:ind w:left="288"/>
      </w:pPr>
      <w:r>
        <w:rPr>
          <w:color w:val="8C8C8C"/>
          <w:sz w:val="12"/>
        </w:rPr>
        <w:t>cf-art-94-par-unico</w:t>
      </w:r>
      <w:r>
        <w:rPr>
          <w:color w:val="003CA0"/>
          <w:sz w:val="12"/>
        </w:rPr>
        <w:t xml:space="preserve"> | MS 27.033</w:t>
      </w:r>
      <w:r>
        <w:rPr>
          <w:color w:val="003CA0"/>
          <w:sz w:val="12"/>
        </w:rPr>
        <w:t xml:space="preserve"> | rel. Celso de Mello</w:t>
      </w:r>
    </w:p>
    <w:p>
      <w:pPr>
        <w:ind w:left="288"/>
      </w:pPr>
      <w:r>
        <w:rPr>
          <w:color w:val="1E1E1E"/>
          <w:sz w:val="18"/>
        </w:rPr>
        <w:t>O CNJ não dispõe, constitucionalmente, de competência para deliberar sobre situações que alcancem ou que atinjam resoluções e manifestações volitivas emanadas de órgãos e autoridades vinculados a outros Poderes do Estado e, por isso mesmo, absolutamente estranhos ao âmbito de atribuições institucionais daquele órgão de controle meramente administrativo do Poder Judiciário, ainda que se trate de provimento de cargo de desembargador pela regra do quinto constitucional (CF, art. 94), pois, em tal hipótese, cuidando-se de procedimento subjetivamente complexo (RTJ 178/220 – RTJ 187/233-234 – RTJ 18</w:t>
      </w:r>
    </w:p>
    <w:p>
      <w:pPr>
        <w:ind w:left="288"/>
      </w:pPr>
      <w:r>
        <w:rPr>
          <w:b/>
          <w:color w:val="003CA0"/>
          <w:sz w:val="16"/>
        </w:rPr>
        <w:t>[MS 27.033 AgR, rel. min. Celso de Mello, j. 30-6-2015, 2ª T, DJE de 27-10-2015.]</w:t>
      </w:r>
    </w:p>
    <w:p>
      <w:pPr>
        <w:ind w:left="288"/>
      </w:pPr>
      <w:r>
        <w:rPr>
          <w:color w:val="8C8C8C"/>
          <w:sz w:val="12"/>
        </w:rPr>
        <w:t>cf-art-94-par-unico</w:t>
      </w:r>
      <w:r>
        <w:rPr>
          <w:color w:val="003CA0"/>
          <w:sz w:val="12"/>
        </w:rPr>
        <w:t xml:space="preserve"> | MS 31.923</w:t>
      </w:r>
      <w:r>
        <w:rPr>
          <w:color w:val="003CA0"/>
          <w:sz w:val="12"/>
        </w:rPr>
        <w:t xml:space="preserve"> | rel. Celso de Mello</w:t>
      </w:r>
    </w:p>
    <w:p>
      <w:pPr>
        <w:ind w:left="288"/>
      </w:pPr>
      <w:r>
        <w:rPr>
          <w:color w:val="1E1E1E"/>
          <w:sz w:val="18"/>
        </w:rPr>
        <w:t xml:space="preserve">"Quinto constitucional" (CF, art. 94). Elaboração de lista tríplice por tribunal de justiça. Observância do princípio da publicidade, em oposição à prática dos arcana imperii, como fator de legitimação constitucional das deliberações dos órgãos do Poder Judiciário. Aparente validade da resolução do CNJ que consagrou, em tal hipótese, a necessidade de "votação aberta, nominal e fundamentada". Importância da transparência dos atos estatais como elemento viabilizador do escrutínio público. A ruptura dos círculos de indevassabilidade das deliberações do poder. Instituição do regime de sigilo fora </w:t>
      </w:r>
    </w:p>
    <w:p>
      <w:pPr>
        <w:ind w:left="288"/>
      </w:pPr>
      <w:r>
        <w:rPr>
          <w:b/>
          <w:color w:val="003CA0"/>
          <w:sz w:val="16"/>
        </w:rPr>
        <w:t>[MS 31.923 MC, rel. min. Celso de Mello, j. 17-4-2013, dec. monocrática, DJE de 22-4-2013.]</w:t>
      </w:r>
    </w:p>
    <w:p>
      <w:pPr>
        <w:ind w:left="288"/>
      </w:pPr>
      <w:r>
        <w:rPr>
          <w:color w:val="8C8C8C"/>
          <w:sz w:val="12"/>
        </w:rPr>
        <w:t>cf-art-94-par-unico</w:t>
      </w:r>
      <w:r>
        <w:rPr>
          <w:color w:val="003CA0"/>
          <w:sz w:val="12"/>
        </w:rPr>
        <w:t xml:space="preserve"> | MS 22.323</w:t>
      </w:r>
      <w:r>
        <w:rPr>
          <w:color w:val="003CA0"/>
          <w:sz w:val="12"/>
        </w:rPr>
        <w:t xml:space="preserve"> | rel. Carlos Velloso</w:t>
      </w:r>
    </w:p>
    <w:p>
      <w:pPr>
        <w:ind w:left="288"/>
      </w:pPr>
      <w:r>
        <w:rPr>
          <w:color w:val="1E1E1E"/>
          <w:sz w:val="18"/>
        </w:rPr>
        <w:t>Decadência do direito à impetração: inocorrência, tendo em vista que o ato de nomeação de juiz do TRF é ato complexo, que somente se completa com o decreto do presidente da República, que, acolhendo a lista tríplice, nomeia o magistrado.</w:t>
      </w:r>
    </w:p>
    <w:p>
      <w:pPr>
        <w:ind w:left="288"/>
      </w:pPr>
      <w:r>
        <w:rPr>
          <w:b/>
          <w:color w:val="003CA0"/>
          <w:sz w:val="16"/>
        </w:rPr>
        <w:t>[MS 22.323, rel. min. Carlos Velloso, j. 28-9-1995, P, DJ de 19-4-1996.]</w:t>
      </w:r>
    </w:p>
    <w:p>
      <w:r>
        <w:rPr>
          <w:b/>
          <w:color w:val="003366"/>
          <w:sz w:val="20"/>
        </w:rPr>
        <w:t>Art. 95 Os nascidos no estrangeiro entre 7 de junho de 1994 e a data da promulga</w:t>
      </w:r>
      <w:r>
        <w:rPr>
          <w:color w:val="8C8C8C"/>
          <w:sz w:val="14"/>
        </w:rPr>
        <w:t xml:space="preserve">  [18 decisoes]</w:t>
      </w:r>
    </w:p>
    <w:p>
      <w:pPr>
        <w:ind w:left="144"/>
      </w:pPr>
      <w:r>
        <w:rPr>
          <w:b/>
          <w:color w:val="B45A00"/>
          <w:sz w:val="16"/>
        </w:rPr>
        <w:t>JULGADOS CORRELATOS</w:t>
      </w:r>
    </w:p>
    <w:p>
      <w:pPr>
        <w:ind w:left="288"/>
      </w:pPr>
      <w:r>
        <w:rPr>
          <w:color w:val="8C8C8C"/>
          <w:sz w:val="12"/>
        </w:rPr>
        <w:t>cf-art-95</w:t>
      </w:r>
      <w:r>
        <w:rPr>
          <w:color w:val="003CA0"/>
          <w:sz w:val="12"/>
        </w:rPr>
        <w:t xml:space="preserve"> | AI 471.215</w:t>
      </w:r>
      <w:r>
        <w:rPr>
          <w:color w:val="003CA0"/>
          <w:sz w:val="12"/>
        </w:rPr>
        <w:t xml:space="preserve"> | rel. Cezar Peluso</w:t>
      </w:r>
    </w:p>
    <w:p>
      <w:pPr>
        <w:ind w:left="288"/>
      </w:pPr>
      <w:r>
        <w:rPr>
          <w:color w:val="1E1E1E"/>
          <w:sz w:val="18"/>
        </w:rPr>
        <w:t>Adicional por tempo de serviço. (...) É computável, para fins de gratificação adicional dos magistrados da União, o tempo de serviço prestado a pessoas de direito público integrantes da administração pública, ainda que despidas de natureza autárquica.</w:t>
      </w:r>
    </w:p>
    <w:p>
      <w:pPr>
        <w:ind w:left="288"/>
      </w:pPr>
      <w:r>
        <w:rPr>
          <w:b/>
          <w:color w:val="003CA0"/>
          <w:sz w:val="16"/>
        </w:rPr>
        <w:t>[AI 471.215 AgR-ED-ED, rel. min. Cezar Peluso, j. 14-12-2006, 1ª T, DJ de 16-2-2007.]</w:t>
      </w:r>
    </w:p>
    <w:p>
      <w:pPr>
        <w:ind w:left="288"/>
      </w:pPr>
      <w:r>
        <w:rPr>
          <w:color w:val="8C8C8C"/>
          <w:sz w:val="12"/>
        </w:rPr>
        <w:t>cf-art-95</w:t>
      </w:r>
      <w:r>
        <w:rPr>
          <w:color w:val="003CA0"/>
          <w:sz w:val="12"/>
        </w:rPr>
        <w:t xml:space="preserve"> | RE 228.977</w:t>
      </w:r>
      <w:r>
        <w:rPr>
          <w:color w:val="003CA0"/>
          <w:sz w:val="12"/>
        </w:rPr>
        <w:t xml:space="preserve"> | rel. Néri da Silveira</w:t>
      </w:r>
    </w:p>
    <w:p>
      <w:pPr>
        <w:ind w:left="288"/>
      </w:pPr>
      <w:r>
        <w:rPr>
          <w:color w:val="1E1E1E"/>
          <w:sz w:val="18"/>
        </w:rPr>
        <w:t>A autoridade judiciária não tem responsabilidade civil pelos atos jurisdicionais praticados. Os magistrados enquadram-se na espécie agente político, investidos para o exercício de atribuições constitucionais, sendo dotados de plena liberdade funcional no desempenho de suas funções, com prerrogativas próprias e legislação específica. Ação que deveria  ter sido ajuizada contra a Fazenda Estadual – responsável eventual pelos alegados danos causados pela autoridade judicial, ao exercer suas atribuições –, a qual, posteriormente, terá assegurado o direito de regresso contra o magistrado responsável</w:t>
      </w:r>
    </w:p>
    <w:p>
      <w:pPr>
        <w:ind w:left="288"/>
      </w:pPr>
      <w:r>
        <w:rPr>
          <w:b/>
          <w:color w:val="003CA0"/>
          <w:sz w:val="16"/>
        </w:rPr>
        <w:t>[RE 228.977, rel. min. Néri da Silveira, j. 5-3-2002, 2ª T, DJ de 12-4-2002.]</w:t>
      </w:r>
    </w:p>
    <w:p>
      <w:pPr>
        <w:ind w:left="288"/>
      </w:pPr>
      <w:r>
        <w:rPr>
          <w:color w:val="8C8C8C"/>
          <w:sz w:val="12"/>
        </w:rPr>
        <w:t>cf-art-95</w:t>
      </w:r>
      <w:r>
        <w:rPr>
          <w:color w:val="003CA0"/>
          <w:sz w:val="12"/>
        </w:rPr>
        <w:t xml:space="preserve"> | RE 553.637</w:t>
      </w:r>
      <w:r>
        <w:rPr>
          <w:color w:val="003CA0"/>
          <w:sz w:val="12"/>
        </w:rPr>
        <w:t xml:space="preserve"> | rel. Ellen Gracie</w:t>
      </w:r>
    </w:p>
    <w:p>
      <w:pPr>
        <w:ind w:left="288"/>
      </w:pPr>
      <w:r>
        <w:rPr>
          <w:color w:val="1E1E1E"/>
          <w:sz w:val="18"/>
        </w:rPr>
        <w:t>= RE 553.637 ED, rel. min. Ellen Gracie, j. 4-8-2009, 2ª T, DJE de 25-9-2009 I - vitaliciedade, que, no primeiro grau, só será adquirida após dois anos de exercício, dependendo a perda do cargo, nesse período, de deliberação do tribunal a que o juiz estiver vinculado, e, nos demais casos, de sentença judicial transitada em julgado;</w:t>
      </w:r>
    </w:p>
    <w:p>
      <w:pPr>
        <w:ind w:left="144"/>
      </w:pPr>
      <w:r>
        <w:rPr>
          <w:b/>
          <w:color w:val="B45A00"/>
          <w:sz w:val="16"/>
        </w:rPr>
        <w:t>CONTROLE CONCENTRADO</w:t>
      </w:r>
    </w:p>
    <w:p>
      <w:pPr>
        <w:ind w:left="288"/>
      </w:pPr>
      <w:r>
        <w:rPr>
          <w:color w:val="8C8C8C"/>
          <w:sz w:val="12"/>
        </w:rPr>
        <w:t>cf-art-95</w:t>
      </w:r>
      <w:r>
        <w:rPr>
          <w:color w:val="003CA0"/>
          <w:sz w:val="12"/>
        </w:rPr>
        <w:t xml:space="preserve"> | ADI 4.638</w:t>
      </w:r>
      <w:r>
        <w:rPr>
          <w:color w:val="003CA0"/>
          <w:sz w:val="12"/>
        </w:rPr>
        <w:t xml:space="preserve"> | rel. Marco Aurélio</w:t>
      </w:r>
    </w:p>
    <w:p>
      <w:pPr>
        <w:ind w:left="288"/>
      </w:pPr>
      <w:r>
        <w:rPr>
          <w:color w:val="1E1E1E"/>
          <w:sz w:val="18"/>
        </w:rPr>
        <w:t>No que toca ao § 1º do art. 15, convém salientar que tal dispositivo está em flagrante descompasso com a Carta Magna, visto que o CNJ, ao arrepio desta, cria, mediante mero ato normativo, nova hipótese cautelar de afastamento de magistrado. Qualquer restrição às garantias da inamovibilidade e da vitaliciedade exige a promulgação de lei em sentido formal e material, sob pena de flagrante ofensa ao princípio da legalidade e ao devido processo legal.</w:t>
      </w:r>
    </w:p>
    <w:p>
      <w:pPr>
        <w:ind w:left="288"/>
      </w:pPr>
      <w:r>
        <w:rPr>
          <w:b/>
          <w:color w:val="003CA0"/>
          <w:sz w:val="16"/>
        </w:rPr>
        <w:t>[ADI 4.638 MC-REF, rel. min. Marco Aurélio, voto do min. Ricardo Lewandowski, j. 8-2-2012, P, DJE de 30-10-2014.]</w:t>
      </w:r>
    </w:p>
    <w:p>
      <w:pPr>
        <w:ind w:left="144"/>
      </w:pPr>
      <w:r>
        <w:rPr>
          <w:b/>
          <w:color w:val="B45A00"/>
          <w:sz w:val="16"/>
        </w:rPr>
        <w:t>REPERCUSSAO GERAL</w:t>
      </w:r>
    </w:p>
    <w:p>
      <w:pPr>
        <w:ind w:left="288"/>
      </w:pPr>
      <w:r>
        <w:rPr>
          <w:color w:val="8C8C8C"/>
          <w:sz w:val="12"/>
        </w:rPr>
        <w:t>cf-art-95</w:t>
      </w:r>
      <w:r>
        <w:rPr>
          <w:color w:val="003CA0"/>
          <w:sz w:val="12"/>
        </w:rPr>
        <w:t xml:space="preserve"> | RE 549.560</w:t>
      </w:r>
      <w:r>
        <w:rPr>
          <w:color w:val="003CA0"/>
          <w:sz w:val="12"/>
        </w:rPr>
        <w:t xml:space="preserve"> | rel. Ricardo Lewandowski</w:t>
      </w:r>
    </w:p>
    <w:p>
      <w:pPr>
        <w:ind w:left="288"/>
      </w:pPr>
      <w:r>
        <w:rPr>
          <w:color w:val="1E1E1E"/>
          <w:sz w:val="18"/>
        </w:rPr>
        <w:t>A aposentadoria do magistrado, ainda que voluntária, transfere a competência para processamento e julgamento de eventual ilícito penal para o primeiro grau de jurisdição.</w:t>
        <w:br/>
        <w:t>[RE 549.560, rel. min. Ricardo Lewandowski, j. 22-3-2012, P, DJE de 30-5-2014, Tema 453.]</w:t>
      </w:r>
    </w:p>
    <w:p>
      <w:pPr>
        <w:ind w:left="288"/>
      </w:pPr>
      <w:r>
        <w:rPr>
          <w:color w:val="8C8C8C"/>
          <w:sz w:val="12"/>
        </w:rPr>
        <w:t>cf-art-95-inc-II</w:t>
      </w:r>
      <w:r>
        <w:rPr>
          <w:color w:val="003CA0"/>
          <w:sz w:val="12"/>
        </w:rPr>
        <w:t xml:space="preserve"> | ADI 5.070</w:t>
      </w:r>
      <w:r>
        <w:rPr>
          <w:color w:val="003CA0"/>
          <w:sz w:val="12"/>
        </w:rPr>
        <w:t xml:space="preserve"> | rel. Dias Toffoli</w:t>
      </w:r>
    </w:p>
    <w:p>
      <w:pPr>
        <w:ind w:left="288"/>
      </w:pPr>
      <w:r>
        <w:rPr>
          <w:color w:val="1E1E1E"/>
          <w:sz w:val="18"/>
        </w:rPr>
        <w:t>Lei Complementar Estadual nº 1.208/2013/SP, com a redação conferida pela Lei Complementar Estadual nº 1.214/2013/SP. Resolução nº 617/13 do TJSP. Organização judiciária. Criação do Departamento Estadual de Execuções Criminais e do Departamento Estadual de Inquéritos Policiais no Judiciário Paulista. (...) É vedada a indicação de juízes para atuarem nos órgãos judiciais objeto da demanda pelo Conselho Superior da Magistratura Paulista, mediante inscrição e observados seus históricos profissionais (art. 1º, § 3º, parte final), uma vez que está em desacordo com as regras constitucionais que regem</w:t>
      </w:r>
    </w:p>
    <w:p>
      <w:pPr>
        <w:ind w:left="288"/>
      </w:pPr>
      <w:r>
        <w:rPr>
          <w:b/>
          <w:color w:val="003CA0"/>
          <w:sz w:val="16"/>
        </w:rPr>
        <w:t>[ADI 5.070, rel. min. Dias Toffoli, j. 07.11.2024, P, DJE de 03.10.2025.]</w:t>
      </w:r>
    </w:p>
    <w:p>
      <w:pPr>
        <w:ind w:left="144"/>
      </w:pPr>
      <w:r>
        <w:rPr>
          <w:b/>
          <w:color w:val="B45A00"/>
          <w:sz w:val="16"/>
        </w:rPr>
        <w:t>CONTROLE CONCENTRADO</w:t>
      </w:r>
    </w:p>
    <w:p>
      <w:pPr>
        <w:ind w:left="288"/>
      </w:pPr>
      <w:r>
        <w:rPr>
          <w:color w:val="8C8C8C"/>
          <w:sz w:val="12"/>
        </w:rPr>
        <w:t>cf-art-95-inc-II</w:t>
      </w:r>
      <w:r>
        <w:rPr>
          <w:color w:val="003CA0"/>
          <w:sz w:val="12"/>
        </w:rPr>
        <w:t xml:space="preserve"> | ADI 4.638</w:t>
      </w:r>
      <w:r>
        <w:rPr>
          <w:color w:val="003CA0"/>
          <w:sz w:val="12"/>
        </w:rPr>
        <w:t xml:space="preserve"> | rel. Marco Aurélio</w:t>
      </w:r>
    </w:p>
    <w:p>
      <w:pPr>
        <w:ind w:left="288"/>
      </w:pPr>
      <w:r>
        <w:rPr>
          <w:color w:val="1E1E1E"/>
          <w:sz w:val="18"/>
        </w:rPr>
        <w:t>No que toca ao § 1º do art. 15, convém salientar que tal dispositivo está em flagrante descompasso com a Carta Magna, visto que o CNJ, ao arrepio desta, cria, mediante mero ato normativo, nova hipótese cautelar de afastamento de magistrado. Qualquer restrição às garantias da inamovibilidade e da vitaliciedade exige a promulgação de lei em sentido formal e material, sob pena de flagrante ofensa ao princípio da legalidade e ao devido processo legal.</w:t>
      </w:r>
    </w:p>
    <w:p>
      <w:pPr>
        <w:ind w:left="288"/>
      </w:pPr>
      <w:r>
        <w:rPr>
          <w:b/>
          <w:color w:val="003CA0"/>
          <w:sz w:val="16"/>
        </w:rPr>
        <w:t>[ADI 4.638 MC-REF, rel. min. Marco Aurélio, voto do min. Ricardo Lewandowski, j. 8-2-2012, P, DJE de 30-10-2014.]</w:t>
      </w:r>
    </w:p>
    <w:p>
      <w:pPr>
        <w:ind w:left="144"/>
      </w:pPr>
      <w:r>
        <w:rPr>
          <w:b/>
          <w:color w:val="B45A00"/>
          <w:sz w:val="16"/>
        </w:rPr>
        <w:t>JULGADOS CORRELATOS</w:t>
      </w:r>
    </w:p>
    <w:p>
      <w:pPr>
        <w:ind w:left="288"/>
      </w:pPr>
      <w:r>
        <w:rPr>
          <w:color w:val="8C8C8C"/>
          <w:sz w:val="12"/>
        </w:rPr>
        <w:t>cf-art-95-inc-II</w:t>
      </w:r>
      <w:r>
        <w:rPr>
          <w:color w:val="003CA0"/>
          <w:sz w:val="12"/>
        </w:rPr>
        <w:t xml:space="preserve"> | MS 27.958</w:t>
      </w:r>
      <w:r>
        <w:rPr>
          <w:color w:val="003CA0"/>
          <w:sz w:val="12"/>
        </w:rPr>
        <w:t xml:space="preserve"> | rel. Ricardo Lewandowski</w:t>
      </w:r>
    </w:p>
    <w:p>
      <w:pPr>
        <w:ind w:left="288"/>
      </w:pPr>
      <w:r>
        <w:rPr>
          <w:color w:val="1E1E1E"/>
          <w:sz w:val="18"/>
        </w:rPr>
        <w:t>A inamovibilidade é, nos termos do art. 95, II, da CF, garantia de toda a magistratura, alcançando não apenas o juiz titular como também o substituto. O magistrado só poderá ser removido por designação, para responder por determinada vara ou comarca ou para prestar auxílio, com o seu consentimento, ou, ainda, se o interesse público o exigir, nos termos do inciso VIII do art. 93 do Texto Constitucional.</w:t>
      </w:r>
    </w:p>
    <w:p>
      <w:pPr>
        <w:ind w:left="288"/>
      </w:pPr>
      <w:r>
        <w:rPr>
          <w:b/>
          <w:color w:val="003CA0"/>
          <w:sz w:val="16"/>
        </w:rPr>
        <w:t>[MS 27.958, rel. min. Ricardo Lewandowski, j. 17-5-2012, P, DJE de 29-8-2012.]</w:t>
      </w:r>
    </w:p>
    <w:p>
      <w:pPr>
        <w:ind w:left="144"/>
      </w:pPr>
      <w:r>
        <w:rPr>
          <w:b/>
          <w:color w:val="B45A00"/>
          <w:sz w:val="16"/>
        </w:rPr>
        <w:t>CONTROLE CONCENTRADO</w:t>
      </w:r>
    </w:p>
    <w:p>
      <w:pPr>
        <w:ind w:left="288"/>
      </w:pPr>
      <w:r>
        <w:rPr>
          <w:color w:val="8C8C8C"/>
          <w:sz w:val="12"/>
        </w:rPr>
        <w:t>cf-art-95-inc-III</w:t>
      </w:r>
      <w:r>
        <w:rPr>
          <w:color w:val="003CA0"/>
          <w:sz w:val="12"/>
        </w:rPr>
        <w:t xml:space="preserve"> | ADI 1.550</w:t>
      </w:r>
      <w:r>
        <w:rPr>
          <w:color w:val="003CA0"/>
          <w:sz w:val="12"/>
        </w:rPr>
        <w:t xml:space="preserve"> | rel. Maurício Corrêa</w:t>
      </w:r>
    </w:p>
    <w:p>
      <w:pPr>
        <w:ind w:left="288"/>
      </w:pPr>
      <w:r>
        <w:rPr>
          <w:color w:val="1E1E1E"/>
          <w:sz w:val="18"/>
        </w:rPr>
        <w:t>A CF consagra o princípio da irredutibilidade dos vencimentos dos magistrados (art. 95, III), e bem assim os dos funcionários públicos em geral (arts. 7º, VI, e 39, § 2º).</w:t>
      </w:r>
    </w:p>
    <w:p>
      <w:pPr>
        <w:ind w:left="288"/>
      </w:pPr>
      <w:r>
        <w:rPr>
          <w:b/>
          <w:color w:val="003CA0"/>
          <w:sz w:val="16"/>
        </w:rPr>
        <w:t>[ADI 1.550 MC, rel. min. Maurício Corrêa, j. 16-12-1996, P, DJ de 4-4-1997.]</w:t>
      </w:r>
    </w:p>
    <w:p>
      <w:pPr>
        <w:ind w:left="144"/>
      </w:pPr>
      <w:r>
        <w:rPr>
          <w:b/>
          <w:color w:val="B45A00"/>
          <w:sz w:val="16"/>
        </w:rPr>
        <w:t>JULGADOS CORRELATOS</w:t>
      </w:r>
    </w:p>
    <w:p>
      <w:pPr>
        <w:ind w:left="288"/>
      </w:pPr>
      <w:r>
        <w:rPr>
          <w:color w:val="8C8C8C"/>
          <w:sz w:val="12"/>
        </w:rPr>
        <w:t>cf-art-95-inc-III</w:t>
      </w:r>
      <w:r>
        <w:rPr>
          <w:color w:val="003CA0"/>
          <w:sz w:val="12"/>
        </w:rPr>
        <w:t xml:space="preserve"> | RE 137.797</w:t>
      </w:r>
      <w:r>
        <w:rPr>
          <w:color w:val="003CA0"/>
          <w:sz w:val="12"/>
        </w:rPr>
        <w:t xml:space="preserve"> | rel. Menezes Direito</w:t>
      </w:r>
    </w:p>
    <w:p>
      <w:pPr>
        <w:ind w:left="288"/>
      </w:pPr>
      <w:r>
        <w:rPr>
          <w:color w:val="1E1E1E"/>
          <w:sz w:val="18"/>
        </w:rPr>
        <w:t>Vencimentos de magistrados. Não há direito líquido e certo à percepção de vencimentos constantes de tabela vinculada a dispositivo legal alcançado por declaração de inconstitucionalidade proferida pela Suprema Corte.</w:t>
      </w:r>
    </w:p>
    <w:p>
      <w:pPr>
        <w:ind w:left="288"/>
      </w:pPr>
      <w:r>
        <w:rPr>
          <w:b/>
          <w:color w:val="003CA0"/>
          <w:sz w:val="16"/>
        </w:rPr>
        <w:t>[RE 137.797, rel. min. Menezes Direito, j. 8-4-2008, 1ª T, DJE de 23-5-2008.]</w:t>
      </w:r>
    </w:p>
    <w:p>
      <w:pPr>
        <w:ind w:left="144"/>
      </w:pPr>
      <w:r>
        <w:rPr>
          <w:b/>
          <w:color w:val="B45A00"/>
          <w:sz w:val="16"/>
        </w:rPr>
        <w:t>CONTROLE CONCENTRADO</w:t>
      </w:r>
    </w:p>
    <w:p>
      <w:pPr>
        <w:ind w:left="288"/>
      </w:pPr>
      <w:r>
        <w:rPr>
          <w:color w:val="8C8C8C"/>
          <w:sz w:val="12"/>
        </w:rPr>
        <w:t>cf-art-95-par-unico-inc-I</w:t>
      </w:r>
      <w:r>
        <w:rPr>
          <w:color w:val="003CA0"/>
          <w:sz w:val="12"/>
        </w:rPr>
        <w:t xml:space="preserve"> | ADI 3.508</w:t>
      </w:r>
      <w:r>
        <w:rPr>
          <w:color w:val="003CA0"/>
          <w:sz w:val="12"/>
        </w:rPr>
        <w:t xml:space="preserve"> | rel. Sepúlveda Pertence</w:t>
      </w:r>
    </w:p>
    <w:p>
      <w:pPr>
        <w:ind w:left="288"/>
      </w:pPr>
      <w:r>
        <w:rPr>
          <w:color w:val="1E1E1E"/>
          <w:sz w:val="18"/>
        </w:rPr>
        <w:t>Provimento 4, de 25-2-2005, da Corregedoria-Geral de Justiça do Tribunal de Justiça de Mato Grosso do Sul, que dispõe sobre o horário em que o magistrado pode exercer o magistério. Procedência, em parte. Constitucionalidade do art. 1º, que apenas reproduz o disposto no art. 95, parágrafo único, I, da CF. Inconstitucionalidade formal, contudo, do seu art. 2º, que, ao vedar ao magistrado estadual o exercício de docência em horário coincidente com o do expediente do foro, dispõe sobre matéria de competência reservada à lei complementar, nos termos do art. 93, da CF, e já prevista no art. 26, § 1º</w:t>
      </w:r>
    </w:p>
    <w:p>
      <w:pPr>
        <w:ind w:left="288"/>
      </w:pPr>
      <w:r>
        <w:rPr>
          <w:b/>
          <w:color w:val="003CA0"/>
          <w:sz w:val="16"/>
        </w:rPr>
        <w:t>[ADI 3.508, rel. min. Sepúlveda Pertence, j. 27-6-2007, P, DJ de 31-8-2007.]</w:t>
      </w:r>
    </w:p>
    <w:p>
      <w:pPr>
        <w:ind w:left="288"/>
      </w:pPr>
      <w:r>
        <w:rPr>
          <w:color w:val="8C8C8C"/>
          <w:sz w:val="12"/>
        </w:rPr>
        <w:t>cf-art-95-par-unico-inc-I</w:t>
      </w:r>
      <w:r>
        <w:rPr>
          <w:color w:val="003CA0"/>
          <w:sz w:val="12"/>
        </w:rPr>
        <w:t xml:space="preserve"> | ADI 3.126</w:t>
      </w:r>
      <w:r>
        <w:rPr>
          <w:color w:val="003CA0"/>
          <w:sz w:val="12"/>
        </w:rPr>
        <w:t xml:space="preserve"> | rel. Gilmar Mendes</w:t>
      </w:r>
    </w:p>
    <w:p>
      <w:pPr>
        <w:ind w:left="288"/>
      </w:pPr>
      <w:r>
        <w:rPr>
          <w:color w:val="1E1E1E"/>
          <w:sz w:val="18"/>
        </w:rPr>
        <w:t>Ação direta de inconstitucionalidade ajuizada contra a Resolução 336, de 2003, do presidente do CJF, que dispõe sobre o acúmulo do exercício da magistratura com o exercício do magistério, no âmbito da Justiça Federal de primeiro e segundo graus. Alegação no sentido de que a matéria em análise já encontra tratamento na CF (art. 95, parágrafo único, I), e caso comportasse regulamentação, esta deveria vir sob a forma de lei complementar, no próprio Estatuto da Magistratura. Suposta incompetência do CJF para editar o referido ato, porquanto fora de suas atribuições definidas no art. 105, parágrafo</w:t>
      </w:r>
    </w:p>
    <w:p>
      <w:pPr>
        <w:ind w:left="288"/>
      </w:pPr>
      <w:r>
        <w:rPr>
          <w:b/>
          <w:color w:val="003CA0"/>
          <w:sz w:val="16"/>
        </w:rPr>
        <w:t>[ADI 3.126 MC, rel. min. Gilmar Mendes, j. 17-2-2005, P, DJ de 6-5-2005.]</w:t>
      </w:r>
    </w:p>
    <w:p>
      <w:pPr>
        <w:ind w:left="144"/>
      </w:pPr>
      <w:r>
        <w:rPr>
          <w:b/>
          <w:color w:val="B45A00"/>
          <w:sz w:val="16"/>
        </w:rPr>
        <w:t>JULGADOS CORRELATOS</w:t>
      </w:r>
    </w:p>
    <w:p>
      <w:pPr>
        <w:ind w:left="288"/>
      </w:pPr>
      <w:r>
        <w:rPr>
          <w:color w:val="8C8C8C"/>
          <w:sz w:val="12"/>
        </w:rPr>
        <w:t>cf-art-95-par-unico-inc-I</w:t>
      </w:r>
      <w:r>
        <w:rPr>
          <w:color w:val="003CA0"/>
          <w:sz w:val="12"/>
        </w:rPr>
        <w:t xml:space="preserve"> | MS 29.883</w:t>
      </w:r>
      <w:r>
        <w:rPr>
          <w:color w:val="003CA0"/>
          <w:sz w:val="12"/>
        </w:rPr>
        <w:t xml:space="preserve"> | rel. Marco Aurélio</w:t>
      </w:r>
    </w:p>
    <w:p>
      <w:pPr>
        <w:ind w:left="288"/>
      </w:pPr>
      <w:r>
        <w:rPr>
          <w:color w:val="1E1E1E"/>
          <w:sz w:val="18"/>
        </w:rPr>
        <w:t>A atuação do magistrado no campo do ensino há de ficar limitada ao magistério, não alcançando participação em deliberações da entidade que o implemente.</w:t>
      </w:r>
    </w:p>
    <w:p>
      <w:pPr>
        <w:ind w:left="288"/>
      </w:pPr>
      <w:r>
        <w:rPr>
          <w:b/>
          <w:color w:val="003CA0"/>
          <w:sz w:val="16"/>
        </w:rPr>
        <w:t>[MS 29.883, rel. min. Marco Aurélio, j. 24-2-2021, 1ª T, DJE de 8-3-2021.]</w:t>
      </w:r>
    </w:p>
    <w:p>
      <w:pPr>
        <w:ind w:left="288"/>
      </w:pPr>
      <w:r>
        <w:rPr>
          <w:color w:val="8C8C8C"/>
          <w:sz w:val="12"/>
        </w:rPr>
        <w:t>cf-art-95-par-unico-inc-I</w:t>
      </w:r>
      <w:r>
        <w:rPr>
          <w:color w:val="003CA0"/>
          <w:sz w:val="12"/>
        </w:rPr>
        <w:t xml:space="preserve"> | MS 25.938</w:t>
      </w:r>
      <w:r>
        <w:rPr>
          <w:color w:val="003CA0"/>
          <w:sz w:val="12"/>
        </w:rPr>
        <w:t xml:space="preserve"> | rel. Cármen Lúcia</w:t>
      </w:r>
    </w:p>
    <w:p>
      <w:pPr>
        <w:ind w:left="288"/>
      </w:pPr>
      <w:r>
        <w:rPr>
          <w:color w:val="1E1E1E"/>
          <w:sz w:val="18"/>
        </w:rPr>
        <w:t>As vedações formais impostas constitucionalmente aos magistrados objetivam, de um lado, proteger o próprio Poder Judiciário, de modo que seus integrantes sejam dotados de condições de total independência e, de outra parte, garantir que os juízes dediquem-se, integralmente, às funções inerentes ao cargo, proibindo que a dispersão com outras atividades deixe em menor valia e cuidado o desempenho da atividade jurisdicional, que é função essencial do Estado e direito fundamental do jurisdicionado. O art. 95, parágrafo único, I, da Constituição da República vinculou-se a uma proibição geral de acum</w:t>
      </w:r>
    </w:p>
    <w:p>
      <w:pPr>
        <w:ind w:left="288"/>
      </w:pPr>
      <w:r>
        <w:rPr>
          <w:b/>
          <w:color w:val="003CA0"/>
          <w:sz w:val="16"/>
        </w:rPr>
        <w:t>[MS 25.938, rel. min. Cármen Lúcia, j. 24-4-2008, P, DJE de 12-9-2008.]</w:t>
      </w:r>
    </w:p>
    <w:p>
      <w:pPr>
        <w:ind w:left="144"/>
      </w:pPr>
      <w:r>
        <w:rPr>
          <w:b/>
          <w:color w:val="B45A00"/>
          <w:sz w:val="16"/>
        </w:rPr>
        <w:t>CONTROLE CONCENTRADO</w:t>
      </w:r>
    </w:p>
    <w:p>
      <w:pPr>
        <w:ind w:left="288"/>
      </w:pPr>
      <w:r>
        <w:rPr>
          <w:color w:val="8C8C8C"/>
          <w:sz w:val="12"/>
        </w:rPr>
        <w:t>cf-art-95-par-unico-inc-II</w:t>
      </w:r>
      <w:r>
        <w:rPr>
          <w:color w:val="003CA0"/>
          <w:sz w:val="12"/>
        </w:rPr>
        <w:t xml:space="preserve"> | ADI 954</w:t>
      </w:r>
      <w:r>
        <w:rPr>
          <w:color w:val="003CA0"/>
          <w:sz w:val="12"/>
        </w:rPr>
        <w:t xml:space="preserve"> | rel. Gilmar Mendes</w:t>
      </w:r>
    </w:p>
    <w:p>
      <w:pPr>
        <w:ind w:left="288"/>
      </w:pPr>
      <w:r>
        <w:rPr>
          <w:color w:val="1E1E1E"/>
          <w:sz w:val="18"/>
        </w:rPr>
        <w:t>(...) os juízes de paz integram o Poder Judiciário e a eles se impõe a vedação prevista no art. 95, parágrafo único, II, da Constituição, a qual proíbe a percepção, a qualquer título ou pretexto, de custas ou participação em processo pelos membros do Judiciário.</w:t>
      </w:r>
    </w:p>
    <w:p>
      <w:pPr>
        <w:ind w:left="288"/>
      </w:pPr>
      <w:r>
        <w:rPr>
          <w:b/>
          <w:color w:val="003CA0"/>
          <w:sz w:val="16"/>
        </w:rPr>
        <w:t>[ADI 954, rel. min. Gilmar Mendes, j. 24-2-2011, P, DJE de 26-5-2011.]</w:t>
      </w:r>
    </w:p>
    <w:p>
      <w:pPr>
        <w:ind w:left="144"/>
      </w:pPr>
      <w:r>
        <w:rPr>
          <w:b/>
          <w:color w:val="B45A00"/>
          <w:sz w:val="16"/>
        </w:rPr>
        <w:t>JULGADOS CORRELATOS</w:t>
      </w:r>
    </w:p>
    <w:p>
      <w:pPr>
        <w:ind w:left="288"/>
      </w:pPr>
      <w:r>
        <w:rPr>
          <w:color w:val="8C8C8C"/>
          <w:sz w:val="12"/>
        </w:rPr>
        <w:t>cf-art-95-par-unico-inc-III</w:t>
      </w:r>
      <w:r>
        <w:rPr>
          <w:color w:val="003CA0"/>
          <w:sz w:val="12"/>
        </w:rPr>
        <w:t xml:space="preserve"> | AO 2.236</w:t>
      </w:r>
      <w:r>
        <w:rPr>
          <w:color w:val="003CA0"/>
          <w:sz w:val="12"/>
        </w:rPr>
        <w:t xml:space="preserve"> | rel. Gilmar Mendes</w:t>
      </w:r>
    </w:p>
    <w:p>
      <w:pPr>
        <w:ind w:left="288"/>
      </w:pPr>
      <w:r>
        <w:rPr>
          <w:color w:val="1E1E1E"/>
          <w:sz w:val="18"/>
        </w:rPr>
        <w:t>(...) no Brasil, os juízes e promotores exercem as atribuições de autoridade eleitoral. Perfeitamente natural que os magistrados, sendo os fiscais e árbitros das eleições, sejam impedidos de se candidatar aos pleitos.</w:t>
        <w:br/>
        <w:t>[AO 2.236 ED, voto do rel. min. Gilmar Mendes, j. 22-9-2017, 2ª T, DJE de 4-10-2017.] IV - receber, a qualquer título ou pretexto, auxílios ou contribuições de pessoas físicas, entidades públicas ou privadas, ressalvadas as exceções previstas em lei; (Incluído pela EC 45/2004)</w:t>
      </w:r>
    </w:p>
    <w:p>
      <w:pPr>
        <w:ind w:left="288"/>
      </w:pPr>
      <w:r>
        <w:rPr>
          <w:color w:val="8C8C8C"/>
          <w:sz w:val="12"/>
        </w:rPr>
        <w:t>cf-art-95-par-unico-inc-III</w:t>
      </w:r>
      <w:r>
        <w:rPr>
          <w:color w:val="003CA0"/>
          <w:sz w:val="12"/>
        </w:rPr>
        <w:t xml:space="preserve"> | MS 32.040</w:t>
      </w:r>
      <w:r>
        <w:rPr>
          <w:color w:val="003CA0"/>
          <w:sz w:val="12"/>
        </w:rPr>
        <w:t xml:space="preserve"> | rel. Celso de Mello</w:t>
      </w:r>
    </w:p>
    <w:p>
      <w:pPr>
        <w:ind w:left="288"/>
      </w:pPr>
      <w:r>
        <w:rPr>
          <w:color w:val="1E1E1E"/>
          <w:sz w:val="18"/>
        </w:rPr>
        <w:t>(...) Resolução 170/2013 do CNJ. (...) Ato do CNJ que objetivou regulamentar a participação de magistrados em congressos, seminários, simpósios, encontros jurídicos e culturais e eventos similares. Competência do CNJ, que traduz direta emanação do texto da Constituição da República e que lhe outorga poder para, legitimamente, praticar atos e expedir regulações normativas destinados a viabilizar o cumprimento, por parte dos magistrados, de seus deveres funcionais, notadamente os de probidade e de respeito aos princípios da legalidade, da moralidade e da impessoalidade no desempenho do ofício ju</w:t>
      </w:r>
    </w:p>
    <w:p>
      <w:pPr>
        <w:ind w:left="288"/>
      </w:pPr>
      <w:r>
        <w:rPr>
          <w:b/>
          <w:color w:val="003CA0"/>
          <w:sz w:val="16"/>
        </w:rPr>
        <w:t>[MS 32.040 MC, rel. min. Celso de Mello, j. 8-7-2013, dec. monocrática, DJE de 5-8-2013.]</w:t>
      </w:r>
    </w:p>
    <w:p>
      <w:pPr>
        <w:ind w:left="288"/>
      </w:pPr>
      <w:r>
        <w:rPr>
          <w:color w:val="8C8C8C"/>
          <w:sz w:val="12"/>
        </w:rPr>
        <w:t>cf-art-95-par-unico-inc-III</w:t>
      </w:r>
    </w:p>
    <w:p>
      <w:pPr>
        <w:ind w:left="288"/>
      </w:pPr>
      <w:r>
        <w:rPr>
          <w:color w:val="1E1E1E"/>
          <w:sz w:val="18"/>
        </w:rPr>
        <w:t>V - exercer a advocacia no juízo ou tribunal do qual se afastou, antes de decorridos três anos do afastamento do cargo por aposentadoria ou exoneração. (Incluído pela EC 45/2004)</w:t>
      </w:r>
    </w:p>
    <w:p>
      <w:r>
        <w:rPr>
          <w:b/>
          <w:color w:val="003366"/>
          <w:sz w:val="20"/>
        </w:rPr>
        <w:t>Art. 96 Ficam convalidados os atos de criação, fusão, incorporação e desmembrame</w:t>
      </w:r>
      <w:r>
        <w:rPr>
          <w:color w:val="8C8C8C"/>
          <w:sz w:val="14"/>
        </w:rPr>
        <w:t xml:space="preserve">  [67 decisoes]</w:t>
      </w:r>
    </w:p>
    <w:p>
      <w:pPr>
        <w:ind w:left="288"/>
      </w:pPr>
      <w:r>
        <w:rPr>
          <w:color w:val="8C8C8C"/>
          <w:sz w:val="12"/>
        </w:rPr>
        <w:t>cf-art-96-inc-I</w:t>
      </w:r>
      <w:r>
        <w:rPr>
          <w:color w:val="003CA0"/>
          <w:sz w:val="12"/>
        </w:rPr>
        <w:t xml:space="preserve"> | AO 3</w:t>
      </w:r>
      <w:r>
        <w:rPr>
          <w:color w:val="003CA0"/>
          <w:sz w:val="12"/>
        </w:rPr>
        <w:t xml:space="preserve"> | rel. Luiz Fux</w:t>
      </w:r>
    </w:p>
    <w:p>
      <w:pPr>
        <w:ind w:left="288"/>
      </w:pPr>
      <w:r>
        <w:rPr>
          <w:color w:val="1E1E1E"/>
          <w:sz w:val="18"/>
        </w:rPr>
        <w:t>O juiz das garantias, embora formalmente concebido pela lei como norma processual geral, altera materialmente a divisão e a organização de serviços judiciários em nível tal que enseja completa reorganização da justiça criminal do país, de sorte que inafastável considerar que os artigos 3º-A ao 3º-F demandam compatibilização das diversas normas de organização judiciária locais. O juízo das garantias e sua implementação causam impacto financeiro relevante ao Poder Judiciário, especialmente com as necessárias reestruturações e redistribuições de recursos humanos e materiais, bem como com o increm</w:t>
      </w:r>
    </w:p>
    <w:p>
      <w:pPr>
        <w:ind w:left="288"/>
      </w:pPr>
      <w:r>
        <w:rPr>
          <w:b/>
          <w:color w:val="003CA0"/>
          <w:sz w:val="16"/>
        </w:rPr>
        <w:t>[ADI 6.298, ADI 6.299, ADI 6.300 e ADI 6.305, rel. min. Luiz Fux, j. 24.8.2023, P, DJE de 19.12.2023.]</w:t>
      </w:r>
    </w:p>
    <w:p>
      <w:pPr>
        <w:ind w:left="288"/>
      </w:pPr>
      <w:r>
        <w:rPr>
          <w:color w:val="8C8C8C"/>
          <w:sz w:val="12"/>
        </w:rPr>
        <w:t>cf-art-96-inc-I</w:t>
      </w:r>
      <w:r>
        <w:rPr>
          <w:color w:val="003CA0"/>
          <w:sz w:val="12"/>
        </w:rPr>
        <w:t xml:space="preserve"> | ADI 7.756</w:t>
      </w:r>
      <w:r>
        <w:rPr>
          <w:color w:val="003CA0"/>
          <w:sz w:val="12"/>
        </w:rPr>
        <w:t xml:space="preserve"> | rel. Cármen Lúcia</w:t>
      </w:r>
    </w:p>
    <w:p>
      <w:pPr>
        <w:ind w:left="288"/>
      </w:pPr>
      <w:r>
        <w:rPr>
          <w:color w:val="1E1E1E"/>
          <w:sz w:val="18"/>
        </w:rPr>
        <w:t>a) eleger seus órgãos diretivos e elaborar seus regimentos internos, com observância das normas de processo e das garantias processuais das partes, dispondo sobre a competência e o funcionamento dos respectivos órgãos jurisdicionais e administrativos; “A criação de órgão regionalizado com competência para o processamento de execuções cíveis por ato normativo de Tribunal de Justiça, com fundamento em previsão da Lei de Organização Judiciária, insere-se no âmbito de competência do ente federativo quanto à sua organização judiciária”.</w:t>
      </w:r>
    </w:p>
    <w:p>
      <w:pPr>
        <w:ind w:left="288"/>
      </w:pPr>
      <w:r>
        <w:rPr>
          <w:b/>
          <w:color w:val="003CA0"/>
          <w:sz w:val="16"/>
        </w:rPr>
        <w:t>[ADI 7.756, voto da rel. min. Cármen Lúcia, j. 26-11-2025, P, DJE de 12-2-2026.]</w:t>
      </w:r>
    </w:p>
    <w:p>
      <w:pPr>
        <w:ind w:left="144"/>
      </w:pPr>
      <w:r>
        <w:rPr>
          <w:b/>
          <w:color w:val="B45A00"/>
          <w:sz w:val="16"/>
        </w:rPr>
        <w:t>CONTROLE CONCENTRADO</w:t>
      </w:r>
    </w:p>
    <w:p>
      <w:pPr>
        <w:ind w:left="288"/>
      </w:pPr>
      <w:r>
        <w:rPr>
          <w:color w:val="8C8C8C"/>
          <w:sz w:val="12"/>
        </w:rPr>
        <w:t>cf-art-96-inc-I</w:t>
      </w:r>
      <w:r>
        <w:rPr>
          <w:color w:val="003CA0"/>
          <w:sz w:val="12"/>
        </w:rPr>
        <w:t xml:space="preserve"> | ADI 6.188</w:t>
      </w:r>
      <w:r>
        <w:rPr>
          <w:color w:val="003CA0"/>
          <w:sz w:val="12"/>
        </w:rPr>
        <w:t xml:space="preserve"> | rel. Ricardo Lewandowski</w:t>
      </w:r>
    </w:p>
    <w:p>
      <w:pPr>
        <w:ind w:left="288"/>
      </w:pPr>
      <w:r>
        <w:rPr>
          <w:color w:val="1E1E1E"/>
          <w:sz w:val="18"/>
        </w:rPr>
        <w:t>Redação do art. 702, I, f e §§ 3º e 4º, da Consolidação das Leis do Trabalho (Decreto-lei 5.452/1943), conferida pela Lei 13.467/2017. Estabelecimento de parâmetros para edição, revisão ou cancelamento de súmulas dos Tribunais Regionais do Trabalho e Tribunal Superior do Trabalho. Função atípica legislativa do Poder Judiciário. Ofensa aos princípios da separação dos poderes e da autonomia dos tribunais.</w:t>
        <w:br/>
        <w:t>[ADI 6.188, rel. min. Ricardo Lewandowski, red. do ac. min. Edson Fachin, j. 22-8-2023, P, DJE de 24-10-2023.] A escolha dos órgãos diretivos compete privativamente ao próprio tribunal, nos ter</w:t>
      </w:r>
    </w:p>
    <w:p>
      <w:pPr>
        <w:ind w:left="288"/>
      </w:pPr>
      <w:r>
        <w:rPr>
          <w:b/>
          <w:color w:val="003CA0"/>
          <w:sz w:val="16"/>
        </w:rPr>
        <w:t>[ADI 4.243, rel. min. Roberto Barroso, j. 19-12-2018, P, DJE de 6-3-2019.]</w:t>
      </w:r>
    </w:p>
    <w:p>
      <w:pPr>
        <w:ind w:left="288"/>
      </w:pPr>
      <w:r>
        <w:rPr>
          <w:color w:val="8C8C8C"/>
          <w:sz w:val="12"/>
        </w:rPr>
        <w:t>cf-art-96-inc-I</w:t>
      </w:r>
      <w:r>
        <w:rPr>
          <w:color w:val="003CA0"/>
          <w:sz w:val="12"/>
        </w:rPr>
        <w:t xml:space="preserve"> | ADI 5.240</w:t>
      </w:r>
      <w:r>
        <w:rPr>
          <w:color w:val="003CA0"/>
          <w:sz w:val="12"/>
        </w:rPr>
        <w:t xml:space="preserve"> | rel. Luiz Fux</w:t>
      </w:r>
    </w:p>
    <w:p>
      <w:pPr>
        <w:ind w:left="288"/>
      </w:pPr>
      <w:r>
        <w:rPr>
          <w:color w:val="1E1E1E"/>
          <w:sz w:val="18"/>
        </w:rPr>
        <w:t xml:space="preserve">O ato normativo sob o crivo da fiscalização abstrata de constitucionalidade contempla, em seus arts. 1º, 3º, 5º, 6º e 7º, normas estritamente regulamentadoras do procedimento legal de habeas corpus instaurado perante o juiz de primeira instância, em nada exorbitando ou contrariando a lei processual vigente, restando, assim, inexistência de conflito com a lei, o que torna inadmissível o ajuizamento de ação direta de inconstitucionalidade para a sua impugnação, porquanto o status do CPP não gera violação constitucional, posto legislação infraconstitucional. As disposições administrativas do ato </w:t>
      </w:r>
    </w:p>
    <w:p>
      <w:pPr>
        <w:ind w:left="288"/>
      </w:pPr>
      <w:r>
        <w:rPr>
          <w:b/>
          <w:color w:val="003CA0"/>
          <w:sz w:val="16"/>
        </w:rPr>
        <w:t>[ADI 5.240, rel. min. Luiz Fux, j. 20-8-2015, P, DJE de 1º-2-2016.]</w:t>
      </w:r>
    </w:p>
    <w:p>
      <w:pPr>
        <w:ind w:left="288"/>
      </w:pPr>
      <w:r>
        <w:rPr>
          <w:color w:val="8C8C8C"/>
          <w:sz w:val="12"/>
        </w:rPr>
        <w:t>cf-art-96-inc-I</w:t>
      </w:r>
      <w:r>
        <w:rPr>
          <w:color w:val="003CA0"/>
          <w:sz w:val="12"/>
        </w:rPr>
        <w:t xml:space="preserve"> | ADC 19</w:t>
      </w:r>
      <w:r>
        <w:rPr>
          <w:color w:val="003CA0"/>
          <w:sz w:val="12"/>
        </w:rPr>
        <w:t xml:space="preserve"> | rel. Marco Aurélio</w:t>
      </w:r>
    </w:p>
    <w:p>
      <w:pPr>
        <w:ind w:left="288"/>
      </w:pPr>
      <w:r>
        <w:rPr>
          <w:color w:val="1E1E1E"/>
          <w:sz w:val="18"/>
        </w:rPr>
        <w:t>O art. 33 da Lei 11.340/2006, no que revela a conveniência de criação dos juizados de violência doméstica e familiar contra a mulher, não implica usurpação da competência normativa dos Estados quanto à própria organização judiciária.</w:t>
      </w:r>
    </w:p>
    <w:p>
      <w:pPr>
        <w:ind w:left="288"/>
      </w:pPr>
      <w:r>
        <w:rPr>
          <w:b/>
          <w:color w:val="003CA0"/>
          <w:sz w:val="16"/>
        </w:rPr>
        <w:t>[ADC 19, rel. min. Marco Aurélio, j. 9-2-2012, P, DJE de 29-4-2014.]</w:t>
      </w:r>
    </w:p>
    <w:p>
      <w:pPr>
        <w:ind w:left="288"/>
      </w:pPr>
      <w:r>
        <w:rPr>
          <w:color w:val="8C8C8C"/>
          <w:sz w:val="12"/>
        </w:rPr>
        <w:t>cf-art-96-inc-I</w:t>
      </w:r>
      <w:r>
        <w:rPr>
          <w:color w:val="003CA0"/>
          <w:sz w:val="12"/>
        </w:rPr>
        <w:t xml:space="preserve"> | ADI 2.012</w:t>
      </w:r>
      <w:r>
        <w:rPr>
          <w:color w:val="003CA0"/>
          <w:sz w:val="12"/>
        </w:rPr>
        <w:t xml:space="preserve"> | rel. Ricardo Lewandowski</w:t>
      </w:r>
    </w:p>
    <w:p>
      <w:pPr>
        <w:ind w:left="288"/>
      </w:pPr>
      <w:r>
        <w:rPr>
          <w:color w:val="1E1E1E"/>
          <w:sz w:val="18"/>
        </w:rPr>
        <w:t>A escolha dos órgãos diretivos compete privativamente ao próprio tribunal, nos termos do art. 96, I, a, da Carta Magna. Tribunal, na dicção constitucional, é o órgão colegiado, sendo inconstitucional, portanto, a norma estadual possibilitar que juízes vitalícios, que não apenas os desembargadores, participem da escolha da direção do tribunal (...).</w:t>
      </w:r>
    </w:p>
    <w:p>
      <w:pPr>
        <w:ind w:left="288"/>
      </w:pPr>
      <w:r>
        <w:rPr>
          <w:b/>
          <w:color w:val="003CA0"/>
          <w:sz w:val="16"/>
        </w:rPr>
        <w:t>[ADI 2.012, rel. min. Ricardo Lewandowski, j. 27-10-2011, P, DJE de 28-11-2011.]</w:t>
      </w:r>
    </w:p>
    <w:p>
      <w:pPr>
        <w:ind w:left="288"/>
      </w:pPr>
      <w:r>
        <w:rPr>
          <w:color w:val="8C8C8C"/>
          <w:sz w:val="12"/>
        </w:rPr>
        <w:t>cf-art-96-inc-I</w:t>
      </w:r>
      <w:r>
        <w:rPr>
          <w:color w:val="003CA0"/>
          <w:sz w:val="12"/>
        </w:rPr>
        <w:t xml:space="preserve"> | ADI 2.907</w:t>
      </w:r>
      <w:r>
        <w:rPr>
          <w:color w:val="003CA0"/>
          <w:sz w:val="12"/>
        </w:rPr>
        <w:t xml:space="preserve"> | rel. Ricardo Lewandowski</w:t>
      </w:r>
    </w:p>
    <w:p>
      <w:pPr>
        <w:ind w:left="288"/>
      </w:pPr>
      <w:r>
        <w:rPr>
          <w:color w:val="1E1E1E"/>
          <w:sz w:val="18"/>
        </w:rPr>
        <w:t>Ato normativo que disciplina o horário de trabalho dos servidores do Judiciário. Vício de natureza formal. (...) Embora não haja ofensa ao princípio da separação dos poderes, visto que a portaria em questão não altera a jornada de trabalho dos servidores e, portanto, não interfere com o seu regime jurídico, constata-se, na espécie, vício de natureza formal. Como assentou o Plenário do STF, nada impede que a matéria seja regulada pelo tribunal, no exercício da autonomia administrativa que a Carta Magna garante ao Judiciário. Mas a forma com que o tema foi tratado, ou seja, por portaria ao invés</w:t>
      </w:r>
    </w:p>
    <w:p>
      <w:pPr>
        <w:ind w:left="288"/>
      </w:pPr>
      <w:r>
        <w:rPr>
          <w:b/>
          <w:color w:val="003CA0"/>
          <w:sz w:val="16"/>
        </w:rPr>
        <w:t>[ADI 2.907, rel. min. Ricardo Lewandowski, j. 4-6-2008, P, DJE de 29-8-2008.]</w:t>
      </w:r>
    </w:p>
    <w:p>
      <w:pPr>
        <w:ind w:left="288"/>
      </w:pPr>
      <w:r>
        <w:rPr>
          <w:color w:val="8C8C8C"/>
          <w:sz w:val="12"/>
        </w:rPr>
        <w:t>cf-art-96-inc-I</w:t>
      </w:r>
      <w:r>
        <w:rPr>
          <w:color w:val="003CA0"/>
          <w:sz w:val="12"/>
        </w:rPr>
        <w:t xml:space="preserve"> | ADI 2.480</w:t>
      </w:r>
      <w:r>
        <w:rPr>
          <w:color w:val="003CA0"/>
          <w:sz w:val="12"/>
        </w:rPr>
        <w:t xml:space="preserve"> | rel. Sepúlveda Pertence</w:t>
      </w:r>
    </w:p>
    <w:p>
      <w:pPr>
        <w:ind w:left="288"/>
      </w:pPr>
      <w:r>
        <w:rPr>
          <w:color w:val="1E1E1E"/>
          <w:sz w:val="18"/>
        </w:rPr>
        <w:t>Ação direta de inconstitucionalidade: dispositivo do Regimento Interno do Tribunal de Justiça do Estado da Paraíba (art. 357), que admite e disciplina o processo e julgamento de reclamação para preservação da sua competência ou da autoridade de seus julgados (...). Questionada a constitucionalidade de norma regimental, é desnecessário indagar se a colocação do instrumento na seara do direito de petição dispensa, ou não, a sua previsão na Constituição estadual, dado que consta do texto da Constituição do Estado da Paraíba a existência de cláusulas de poderes implícitos atribuídos ao Tribunal de</w:t>
      </w:r>
    </w:p>
    <w:p>
      <w:pPr>
        <w:ind w:left="288"/>
      </w:pPr>
      <w:r>
        <w:rPr>
          <w:b/>
          <w:color w:val="003CA0"/>
          <w:sz w:val="16"/>
        </w:rPr>
        <w:t>[ADI 2.480, rel. min. Sepúlveda Pertence, j. 2-4-2007, P, DJ de 15-6-2007.]</w:t>
      </w:r>
    </w:p>
    <w:p>
      <w:pPr>
        <w:ind w:left="288"/>
      </w:pPr>
      <w:r>
        <w:rPr>
          <w:color w:val="8C8C8C"/>
          <w:sz w:val="12"/>
        </w:rPr>
        <w:t>cf-art-96-inc-I</w:t>
      </w:r>
      <w:r>
        <w:rPr>
          <w:color w:val="003CA0"/>
          <w:sz w:val="12"/>
        </w:rPr>
        <w:t xml:space="preserve"> | ADI 3.566</w:t>
      </w:r>
    </w:p>
    <w:p>
      <w:pPr>
        <w:ind w:left="288"/>
      </w:pPr>
      <w:r>
        <w:rPr>
          <w:color w:val="1E1E1E"/>
          <w:sz w:val="18"/>
        </w:rPr>
        <w:t>Previsão regimental de elegibilidade de todos os integrantes do órgão especial. Inadmissibilidade. Temática institucional. Matéria de competência legislativa reservada à Loman e ao Estatuto da Magistratura. Ofensa ao art. 93, caput, da CF. Inteligência do art. 96, I, a, da CF. (...) São inconstitucionais as normas de regimento interno de tribunal que disponham sobre o universo dos magistrados elegíveis para seus órgãos de direção.</w:t>
      </w:r>
    </w:p>
    <w:p>
      <w:pPr>
        <w:ind w:left="288"/>
      </w:pPr>
      <w:r>
        <w:rPr>
          <w:b/>
          <w:color w:val="003CA0"/>
          <w:sz w:val="16"/>
        </w:rPr>
        <w:t>[ADI 3.566, red. do ac. min. Cezar Peluso, j. 15-2-2007, P, DJ de 15-6-2007.]</w:t>
      </w:r>
    </w:p>
    <w:p>
      <w:pPr>
        <w:ind w:left="288"/>
      </w:pPr>
      <w:r>
        <w:rPr>
          <w:color w:val="8C8C8C"/>
          <w:sz w:val="12"/>
        </w:rPr>
        <w:t>cf-art-96-inc-I</w:t>
      </w:r>
      <w:r>
        <w:rPr>
          <w:color w:val="003CA0"/>
          <w:sz w:val="12"/>
        </w:rPr>
        <w:t xml:space="preserve"> | RCL 13.115</w:t>
      </w:r>
      <w:r>
        <w:rPr>
          <w:color w:val="003CA0"/>
          <w:sz w:val="12"/>
        </w:rPr>
        <w:t xml:space="preserve"> | rel. Eros Grau</w:t>
      </w:r>
    </w:p>
    <w:p>
      <w:pPr>
        <w:ind w:left="288"/>
      </w:pPr>
      <w:r>
        <w:rPr>
          <w:color w:val="1E1E1E"/>
          <w:sz w:val="18"/>
        </w:rPr>
        <w:t xml:space="preserve">Vide Rcl 13.115 MC-AgR, red. do ac. min. Marco Aurélio, j. 12-12-2012, P, DJE de 5-6-2013 Vide Rcl 8.025, rel. min. Eros Grau, j. 9-12-2009, P, DJE de 6-8-2010 Com o advento da CF de 1988, delimitou-se, de forma mais criteriosa, o campo de regulamentação das leis e o dos regimentos internos dos tribunais, cabendo a estes últimos o respeito à reserva de lei federal para a edição de regras de natureza processual (CF, art. 22, I), bem como às garantias processuais das partes, "dispondo sobre a competência e o funcionamento dos respectivos órgãos jurisdicionais e administrativos" (CF, art. 96, I, </w:t>
      </w:r>
    </w:p>
    <w:p>
      <w:pPr>
        <w:ind w:left="288"/>
      </w:pPr>
      <w:r>
        <w:rPr>
          <w:b/>
          <w:color w:val="003CA0"/>
          <w:sz w:val="16"/>
        </w:rPr>
        <w:t>[ADI 2.970, rel. min. Ellen Gracie, j. 20-4-2006, P, DJ de 12-5-2006.]</w:t>
      </w:r>
    </w:p>
    <w:p>
      <w:pPr>
        <w:ind w:left="288"/>
      </w:pPr>
      <w:r>
        <w:rPr>
          <w:color w:val="8C8C8C"/>
          <w:sz w:val="12"/>
        </w:rPr>
        <w:t>cf-art-96-inc-I</w:t>
      </w:r>
      <w:r>
        <w:rPr>
          <w:color w:val="003CA0"/>
          <w:sz w:val="12"/>
        </w:rPr>
        <w:t xml:space="preserve"> | ADI 2.700</w:t>
      </w:r>
      <w:r>
        <w:rPr>
          <w:color w:val="003CA0"/>
          <w:sz w:val="12"/>
        </w:rPr>
        <w:t xml:space="preserve"> | rel. Sydney Sanches</w:t>
      </w:r>
    </w:p>
    <w:p>
      <w:pPr>
        <w:ind w:left="288"/>
      </w:pPr>
      <w:r>
        <w:rPr>
          <w:color w:val="1E1E1E"/>
          <w:sz w:val="18"/>
        </w:rPr>
        <w:t>Ação direta de inconstitucionalidade da EC 28, de 25-6-2002, do Estado do Rio de Janeiro, que deu nova redação ao art. 156 da Constituição estadual, estabelecendo normas sobre forma de votação na recusa de promoção do juiz mais antigo, providências a serem tomadas, após a recusa, publicidade das sessões administrativas do Tribunal de Justiça, motivação dos votos neles proferidos, e publicação do inteiro teor no órgão oficial de imprensa. Alegação de que a nova redação implica violação aos arts. 93, caput, e incisos II, d, e X, da CF, conflitando, ainda, com normas, por esta recebidas, da Loman</w:t>
      </w:r>
    </w:p>
    <w:p>
      <w:pPr>
        <w:ind w:left="288"/>
      </w:pPr>
      <w:r>
        <w:rPr>
          <w:b/>
          <w:color w:val="003CA0"/>
          <w:sz w:val="16"/>
        </w:rPr>
        <w:t>[ADI 2.700 MC, rel. min. Sydney Sanches, j. 17-10-2002, P, DJ de 7-3-2003.]</w:t>
      </w:r>
    </w:p>
    <w:p>
      <w:pPr>
        <w:ind w:left="288"/>
      </w:pPr>
      <w:r>
        <w:rPr>
          <w:color w:val="8C8C8C"/>
          <w:sz w:val="12"/>
        </w:rPr>
        <w:t>cf-art-96-inc-I</w:t>
      </w:r>
      <w:r>
        <w:rPr>
          <w:color w:val="003CA0"/>
          <w:sz w:val="12"/>
        </w:rPr>
        <w:t xml:space="preserve"> | ADI 1.503</w:t>
      </w:r>
      <w:r>
        <w:rPr>
          <w:color w:val="003CA0"/>
          <w:sz w:val="12"/>
        </w:rPr>
        <w:t xml:space="preserve"> | rel. Maurício Corrêa</w:t>
      </w:r>
    </w:p>
    <w:p>
      <w:pPr>
        <w:ind w:left="288"/>
      </w:pPr>
      <w:r>
        <w:rPr>
          <w:color w:val="1E1E1E"/>
          <w:sz w:val="18"/>
        </w:rPr>
        <w:t>A eleição para o preenchimento dos cargos de direção dos tribunais de justiça dos Estados é disciplinada pelo art. 102 da LC 35/1979 (Loman), recebida pela atual ordem constitucional (CF, art. 93). Os regimentos internos dos tribunais podem explicitar os meios para a sua realização, desde que obedecidos os limites e parâmetros estabelecidos na lei. Neles é vedada, contudo, a inclusão de instruções sobre o processo eleitoral interno que ultrapassem as regras básicas da lei complementar.</w:t>
      </w:r>
    </w:p>
    <w:p>
      <w:pPr>
        <w:ind w:left="288"/>
      </w:pPr>
      <w:r>
        <w:rPr>
          <w:b/>
          <w:color w:val="003CA0"/>
          <w:sz w:val="16"/>
        </w:rPr>
        <w:t>[ADI 1.503, rel. min. Maurício Corrêa, j. 29-3-2001, P, DJ de 18-5-2001.]</w:t>
      </w:r>
    </w:p>
    <w:p>
      <w:pPr>
        <w:ind w:left="288"/>
      </w:pPr>
      <w:r>
        <w:rPr>
          <w:color w:val="8C8C8C"/>
          <w:sz w:val="12"/>
        </w:rPr>
        <w:t>cf-art-96-inc-I</w:t>
      </w:r>
      <w:r>
        <w:rPr>
          <w:color w:val="003CA0"/>
          <w:sz w:val="12"/>
        </w:rPr>
        <w:t xml:space="preserve"> | RCL 13.115</w:t>
      </w:r>
      <w:r>
        <w:rPr>
          <w:color w:val="003CA0"/>
          <w:sz w:val="12"/>
        </w:rPr>
        <w:t xml:space="preserve"> | rel. Paulo Brossard</w:t>
      </w:r>
    </w:p>
    <w:p>
      <w:pPr>
        <w:ind w:left="288"/>
      </w:pPr>
      <w:r>
        <w:rPr>
          <w:color w:val="1E1E1E"/>
          <w:sz w:val="18"/>
        </w:rPr>
        <w:t>Vide Rcl 13.115 MC-AgR, red. do ac. min. Marco Aurélio, j. 12-12-2012, P, DJE de 5-6-2013 Os antigos regimentos lusitanos se não confundem com os regimentos internos dos tribunais; de comum eles têm apenas o nome. Aqueles eram variantes legislativas da monarquia absoluta, enquanto estes resultam do fato da elevação do Judiciário a Poder do Estado e encontram no direito constitucional seu fundamento e previsão expressa. O ato do julgamento é o momento culminante da ação jurisdicional do Poder Judiciário e há de ser regulado em seu regimento interno, com exclusão de interferência dos demais pode</w:t>
      </w:r>
    </w:p>
    <w:p>
      <w:pPr>
        <w:ind w:left="288"/>
      </w:pPr>
      <w:r>
        <w:rPr>
          <w:b/>
          <w:color w:val="003CA0"/>
          <w:sz w:val="16"/>
        </w:rPr>
        <w:t>[ADI 1.105 MC, rel. min. Paulo Brossard, j. 3-8-1994, P, DJ de 27-4-2001.]</w:t>
      </w:r>
    </w:p>
    <w:p>
      <w:pPr>
        <w:ind w:left="144"/>
      </w:pPr>
      <w:r>
        <w:rPr>
          <w:b/>
          <w:color w:val="B45A00"/>
          <w:sz w:val="16"/>
        </w:rPr>
        <w:t>JULGADOS CORRELATOS</w:t>
      </w:r>
    </w:p>
    <w:p>
      <w:pPr>
        <w:ind w:left="288"/>
      </w:pPr>
      <w:r>
        <w:rPr>
          <w:color w:val="8C8C8C"/>
          <w:sz w:val="12"/>
        </w:rPr>
        <w:t>cf-art-96-inc-I</w:t>
      </w:r>
      <w:r>
        <w:rPr>
          <w:color w:val="003CA0"/>
          <w:sz w:val="12"/>
        </w:rPr>
        <w:t xml:space="preserve"> | MS 37.887</w:t>
      </w:r>
      <w:r>
        <w:rPr>
          <w:color w:val="003CA0"/>
          <w:sz w:val="12"/>
        </w:rPr>
        <w:t xml:space="preserve"> | rel. Alexandre de Moraes</w:t>
      </w:r>
    </w:p>
    <w:p>
      <w:pPr>
        <w:ind w:left="288"/>
      </w:pPr>
      <w:r>
        <w:rPr>
          <w:color w:val="1E1E1E"/>
          <w:sz w:val="18"/>
        </w:rPr>
        <w:t>A previsão e eleição dos dirigentes dos Tribunais é função governativa, na medida em que tais dirigentes comandam um dos segmentos do Poder Público, devendo ser realizada pelos membros do Tribunal, sem ingerência externa.</w:t>
      </w:r>
    </w:p>
    <w:p>
      <w:pPr>
        <w:ind w:left="288"/>
      </w:pPr>
      <w:r>
        <w:rPr>
          <w:b/>
          <w:color w:val="003CA0"/>
          <w:sz w:val="16"/>
        </w:rPr>
        <w:t>[MS 37.887 AgR, rel. min. Alexandre de Moraes, j. 13-6-2022, 1ª T, DJE de 26-8-2022.]</w:t>
      </w:r>
    </w:p>
    <w:p>
      <w:pPr>
        <w:ind w:left="288"/>
      </w:pPr>
      <w:r>
        <w:rPr>
          <w:color w:val="8C8C8C"/>
          <w:sz w:val="12"/>
        </w:rPr>
        <w:t>cf-art-96-inc-I</w:t>
      </w:r>
      <w:r>
        <w:rPr>
          <w:color w:val="003CA0"/>
          <w:sz w:val="12"/>
        </w:rPr>
        <w:t xml:space="preserve"> | MS 26.411</w:t>
      </w:r>
      <w:r>
        <w:rPr>
          <w:color w:val="003CA0"/>
          <w:sz w:val="12"/>
        </w:rPr>
        <w:t xml:space="preserve"> | rel. Dias Toffoli</w:t>
      </w:r>
    </w:p>
    <w:p>
      <w:pPr>
        <w:ind w:left="288"/>
      </w:pPr>
      <w:r>
        <w:rPr>
          <w:color w:val="1E1E1E"/>
          <w:sz w:val="18"/>
        </w:rPr>
        <w:t>É competência do próprio tribunal pleno a criação de órgão especial do tribunal e a definição de suas atribuições (a medida da delegação). (...) Não usurpa, desse modo, a competência privativa do órgão especial determinação do plenário de que aquele órgão especializado elabore o regimento interno do tribunal de justiça e o submeta à aprovação plenária; tratando-se, ao contrário, de decisão que se coaduna com a figura da delegação administrativa sobre matéria de competência do tribunal pleno (art. 96, I, a, da CF/1988).</w:t>
      </w:r>
    </w:p>
    <w:p>
      <w:pPr>
        <w:ind w:left="288"/>
      </w:pPr>
      <w:r>
        <w:rPr>
          <w:b/>
          <w:color w:val="003CA0"/>
          <w:sz w:val="16"/>
        </w:rPr>
        <w:t>[MS 26.411 AgR, rel. min. Dias Toffoli, j. 4-6-2018, 2ª T, DJE de 14-6-2018.]</w:t>
      </w:r>
    </w:p>
    <w:p>
      <w:pPr>
        <w:ind w:left="288"/>
      </w:pPr>
      <w:r>
        <w:rPr>
          <w:color w:val="8C8C8C"/>
          <w:sz w:val="12"/>
        </w:rPr>
        <w:t>cf-art-96-inc-I</w:t>
      </w:r>
      <w:r>
        <w:rPr>
          <w:color w:val="003CA0"/>
          <w:sz w:val="12"/>
        </w:rPr>
        <w:t xml:space="preserve"> | HC 143.333</w:t>
      </w:r>
      <w:r>
        <w:rPr>
          <w:color w:val="003CA0"/>
          <w:sz w:val="12"/>
        </w:rPr>
        <w:t xml:space="preserve"> | rel. Edson Fachin</w:t>
      </w:r>
    </w:p>
    <w:p>
      <w:pPr>
        <w:ind w:left="288"/>
      </w:pPr>
      <w:r>
        <w:rPr>
          <w:color w:val="1E1E1E"/>
          <w:sz w:val="18"/>
        </w:rPr>
        <w:t>Os regimentos internos dos Tribunais, editados com base no art. 96, I, a, da Constituição Federal, consubstanciam normas primárias de idêntica categoria às leis, solucionando-se eventual antinomia não por critérios hierárquicos mas, sim, pela substância regulada, sendo que, no que tange ao funcionamento e organização dos afazeres do Estado-Juiz, prepondera o dispositivo regimental.</w:t>
      </w:r>
    </w:p>
    <w:p>
      <w:pPr>
        <w:ind w:left="288"/>
      </w:pPr>
      <w:r>
        <w:rPr>
          <w:b/>
          <w:color w:val="003CA0"/>
          <w:sz w:val="16"/>
        </w:rPr>
        <w:t>[HC 143.333, rel. min. Edson Fachin, j. 12-4-2018, P, DJE de 21-3-2019.]</w:t>
      </w:r>
    </w:p>
    <w:p>
      <w:pPr>
        <w:ind w:left="288"/>
      </w:pPr>
      <w:r>
        <w:rPr>
          <w:color w:val="8C8C8C"/>
          <w:sz w:val="12"/>
        </w:rPr>
        <w:t>cf-art-96-inc-I</w:t>
      </w:r>
      <w:r>
        <w:rPr>
          <w:color w:val="003CA0"/>
          <w:sz w:val="12"/>
        </w:rPr>
        <w:t xml:space="preserve"> | EXT 1.234</w:t>
      </w:r>
      <w:r>
        <w:rPr>
          <w:color w:val="003CA0"/>
          <w:sz w:val="12"/>
        </w:rPr>
        <w:t xml:space="preserve"> | rel. Dias Toffoli</w:t>
      </w:r>
    </w:p>
    <w:p>
      <w:pPr>
        <w:ind w:left="288"/>
      </w:pPr>
      <w:r>
        <w:rPr>
          <w:color w:val="1E1E1E"/>
          <w:sz w:val="18"/>
        </w:rPr>
        <w:t xml:space="preserve">Preliminar de incompetência de órgão fracionário da Corte para julgar pedido de extradição, frente ao comando do art. 83 da Lei 6.815/1980. Não ocorrência. Alteração da competência por edição de emenda regimental que atendeu aos ditames do art. 102, I, g, c/c o art. 96, I, a, da CF. (...) A Emenda Regimental 45/2011 não representa ofensa ao art. 83 da Lei 6.815/1980, uma vez que atendeu aos ditames constitucionais do art. 102, I, g – que fixou, sem qualquer distinção dos seus órgãos de julgamento, a competência do STF para a análise de extradição solicitada por Estado estrangeiro – c/c o art. </w:t>
      </w:r>
    </w:p>
    <w:p>
      <w:pPr>
        <w:ind w:left="288"/>
      </w:pPr>
      <w:r>
        <w:rPr>
          <w:b/>
          <w:color w:val="003CA0"/>
          <w:sz w:val="16"/>
        </w:rPr>
        <w:t>[Ext 1.234 Extn-segunda, rel. min. Dias Toffoli, j. 30-9-2014, 1ª T, DJE de 17-11-2014.]</w:t>
      </w:r>
    </w:p>
    <w:p>
      <w:pPr>
        <w:ind w:left="288"/>
      </w:pPr>
      <w:r>
        <w:rPr>
          <w:color w:val="8C8C8C"/>
          <w:sz w:val="12"/>
        </w:rPr>
        <w:t>cf-art-96-inc-I</w:t>
      </w:r>
      <w:r>
        <w:rPr>
          <w:color w:val="003CA0"/>
          <w:sz w:val="12"/>
        </w:rPr>
        <w:t xml:space="preserve"> | MS 30.793</w:t>
      </w:r>
      <w:r>
        <w:rPr>
          <w:color w:val="003CA0"/>
          <w:sz w:val="12"/>
        </w:rPr>
        <w:t xml:space="preserve"> | rel. Cármen Lúcia</w:t>
      </w:r>
    </w:p>
    <w:p>
      <w:pPr>
        <w:ind w:left="288"/>
      </w:pPr>
      <w:r>
        <w:rPr>
          <w:color w:val="1E1E1E"/>
          <w:sz w:val="18"/>
        </w:rPr>
        <w:t>Ato do Conselho de Justiça. Procedimento de controle administrativo. Alteração do Regimento Interno do Tribunal de Justiça do Rio de Janeiro. Regra de competência jurisdicional. Alegação de incompetência do CNJ. Segurança concedida.</w:t>
      </w:r>
    </w:p>
    <w:p>
      <w:pPr>
        <w:ind w:left="288"/>
      </w:pPr>
      <w:r>
        <w:rPr>
          <w:b/>
          <w:color w:val="003CA0"/>
          <w:sz w:val="16"/>
        </w:rPr>
        <w:t>[MS 30.793, rel. min. Cármen Lúcia, j. 5-8-2014, 2ª T, DJE de 25-9-2014.]</w:t>
      </w:r>
    </w:p>
    <w:p>
      <w:pPr>
        <w:ind w:left="288"/>
      </w:pPr>
      <w:r>
        <w:rPr>
          <w:color w:val="8C8C8C"/>
          <w:sz w:val="12"/>
        </w:rPr>
        <w:t>cf-art-96-inc-I</w:t>
      </w:r>
      <w:r>
        <w:rPr>
          <w:color w:val="003CA0"/>
          <w:sz w:val="12"/>
        </w:rPr>
        <w:t xml:space="preserve"> | RCL 13.115</w:t>
      </w:r>
    </w:p>
    <w:p>
      <w:pPr>
        <w:ind w:left="288"/>
      </w:pPr>
      <w:r>
        <w:rPr>
          <w:color w:val="1E1E1E"/>
          <w:sz w:val="18"/>
        </w:rPr>
        <w:t>Ao contrário do versado no art. 112 do Diploma Maior anterior – EC 1, de 1969 –, o atual não remete mais à Lei Orgânica da Magistratura a regência da direção dos tribunais, ficando a disciplina a cargo do regimento interno.</w:t>
      </w:r>
    </w:p>
    <w:p>
      <w:pPr>
        <w:ind w:left="288"/>
      </w:pPr>
      <w:r>
        <w:rPr>
          <w:b/>
          <w:color w:val="003CA0"/>
          <w:sz w:val="16"/>
        </w:rPr>
        <w:t>[Rcl 13.115 MC-AgR, red. do ac. min. Marco Aurélio, j. 12-12-2012, P, DJE de 5-6-2013.]</w:t>
      </w:r>
    </w:p>
    <w:p>
      <w:pPr>
        <w:ind w:left="288"/>
      </w:pPr>
      <w:r>
        <w:rPr>
          <w:color w:val="8C8C8C"/>
          <w:sz w:val="12"/>
        </w:rPr>
        <w:t>cf-art-96-inc-I</w:t>
      </w:r>
      <w:r>
        <w:rPr>
          <w:color w:val="003CA0"/>
          <w:sz w:val="12"/>
        </w:rPr>
        <w:t xml:space="preserve"> | ADI 4.108</w:t>
      </w:r>
      <w:r>
        <w:rPr>
          <w:color w:val="003CA0"/>
          <w:sz w:val="12"/>
        </w:rPr>
        <w:t xml:space="preserve"> | rel. Ellen Gracie</w:t>
      </w:r>
    </w:p>
    <w:p>
      <w:pPr>
        <w:ind w:left="288"/>
      </w:pPr>
      <w:r>
        <w:rPr>
          <w:color w:val="1E1E1E"/>
          <w:sz w:val="18"/>
        </w:rPr>
        <w:t>Vide  ADI 4.108 MC-REF, rel. min. Ellen Gracie, j. 2-2-2009, P, DJE de 6-3-2009 Vide ADI 3.566, red. do ac. min. Cezar Peluso, j. 15-2-2007, P, DJ de 15-6-2007 Vide ADI 1.503, rel. min. Maurício Corrêa, j. 29-3-2001, P, DJ de 18-5-2001 O STF, sob a égide da Carta Política de 1969 (art. 119, § 3º, c), dispunha de competência normativa primária para, em sede meramente regimental, formular normas de direito processual concernentes ao processo e ao julgamento dos feitos de sua competência originária ou recursal. Com a superveniência da Constituição de 1988, operou-se a recepção de tais preceitos r</w:t>
      </w:r>
    </w:p>
    <w:p>
      <w:pPr>
        <w:ind w:left="288"/>
      </w:pPr>
      <w:r>
        <w:rPr>
          <w:b/>
          <w:color w:val="003CA0"/>
          <w:sz w:val="16"/>
        </w:rPr>
        <w:t>[AI 727.503 AgR-ED-EDv-AgR-ED, rel. min. Celso de Mello, j. 10-11-2011, P, DJE de 6-12-2011.]</w:t>
      </w:r>
    </w:p>
    <w:p>
      <w:pPr>
        <w:ind w:left="288"/>
      </w:pPr>
      <w:r>
        <w:rPr>
          <w:color w:val="8C8C8C"/>
          <w:sz w:val="12"/>
        </w:rPr>
        <w:t>cf-art-96-inc-I</w:t>
      </w:r>
      <w:r>
        <w:rPr>
          <w:color w:val="003CA0"/>
          <w:sz w:val="12"/>
        </w:rPr>
        <w:t xml:space="preserve"> | MS 28.447</w:t>
      </w:r>
      <w:r>
        <w:rPr>
          <w:color w:val="003CA0"/>
          <w:sz w:val="12"/>
        </w:rPr>
        <w:t xml:space="preserve"> | rel. Dias Toffoli</w:t>
      </w:r>
    </w:p>
    <w:p>
      <w:pPr>
        <w:ind w:left="288"/>
      </w:pPr>
      <w:r>
        <w:rPr>
          <w:color w:val="1E1E1E"/>
          <w:sz w:val="18"/>
        </w:rPr>
        <w:t>O objeto da impetração é apreciar os limites dos poderes normativos (ou nomogenéticos, para ser mais preciso) dos tribunais – o que se radica no papel dos regimentos internos –, é interpretar o art. 102 da Loman, à luz do Texto Constitucional. O espaço normativo dos regimentos internos dos tribunais é expressão da garantia constitucional de sua autonomia orgânico-administrativa (art. 96, I, a, CF/1988), compreensiva da "independência na estruturação e funcionamento de seus órgãos”.</w:t>
      </w:r>
    </w:p>
    <w:p>
      <w:pPr>
        <w:ind w:left="288"/>
      </w:pPr>
      <w:r>
        <w:rPr>
          <w:b/>
          <w:color w:val="003CA0"/>
          <w:sz w:val="16"/>
        </w:rPr>
        <w:t>[MS 28.447, rel. min. Dias Toffoli, j. 25-8-2011, P, DJE de 23-11-2011.]</w:t>
      </w:r>
    </w:p>
    <w:p>
      <w:pPr>
        <w:ind w:left="288"/>
      </w:pPr>
      <w:r>
        <w:rPr>
          <w:color w:val="8C8C8C"/>
          <w:sz w:val="12"/>
        </w:rPr>
        <w:t>cf-art-96-inc-I</w:t>
      </w:r>
      <w:r>
        <w:rPr>
          <w:color w:val="003CA0"/>
          <w:sz w:val="12"/>
        </w:rPr>
        <w:t xml:space="preserve"> | ADI 1.152</w:t>
      </w:r>
      <w:r>
        <w:rPr>
          <w:color w:val="003CA0"/>
          <w:sz w:val="12"/>
        </w:rPr>
        <w:t xml:space="preserve"> | rel. Celso de Mello</w:t>
      </w:r>
    </w:p>
    <w:p>
      <w:pPr>
        <w:ind w:left="288"/>
      </w:pPr>
      <w:r>
        <w:rPr>
          <w:color w:val="1E1E1E"/>
          <w:sz w:val="18"/>
        </w:rPr>
        <w:t>Vide  ADI 1.152 MC, rel. min. Celso de Mello, j. 10-11-1994, P, DJ de 3-2-1995 Art. 102 da Loman. Condições de elegibilidade para cargo de direção em tribunal. Inelegibilidade configurada com exercício de dois mandatos, ainda que incompletos. (...) O art. 102 da Loman, ao se referir à inelegibilidade daqueles que exerceram cargos de direção "por quatro anos", deve ser entendido como "por dois mandatos". Assim, o exercício de dois mandatos em cargo de direção no tribunal torna o desembargador inelegível, salvo se não houver outros desembargadores elegíveis ou que aceitem o cargo.</w:t>
      </w:r>
    </w:p>
    <w:p>
      <w:pPr>
        <w:ind w:left="288"/>
      </w:pPr>
      <w:r>
        <w:rPr>
          <w:b/>
          <w:color w:val="003CA0"/>
          <w:sz w:val="16"/>
        </w:rPr>
        <w:t>[MS 27.593, rel. min. Ricardo Lewandowski, j. 1º-7-2010, P, DJE de 8-10-2010.]</w:t>
      </w:r>
    </w:p>
    <w:p>
      <w:pPr>
        <w:ind w:left="288"/>
      </w:pPr>
      <w:r>
        <w:rPr>
          <w:color w:val="8C8C8C"/>
          <w:sz w:val="12"/>
        </w:rPr>
        <w:t>cf-art-96-inc-I</w:t>
      </w:r>
      <w:r>
        <w:rPr>
          <w:color w:val="003CA0"/>
          <w:sz w:val="12"/>
        </w:rPr>
        <w:t xml:space="preserve"> | ADI 3.566</w:t>
      </w:r>
      <w:r>
        <w:rPr>
          <w:color w:val="003CA0"/>
          <w:sz w:val="12"/>
        </w:rPr>
        <w:t xml:space="preserve"> | rel. Eros Grau</w:t>
      </w:r>
    </w:p>
    <w:p>
      <w:pPr>
        <w:ind w:left="288"/>
      </w:pPr>
      <w:r>
        <w:rPr>
          <w:color w:val="1E1E1E"/>
          <w:sz w:val="18"/>
        </w:rPr>
        <w:t xml:space="preserve">Impugnação de ato do TRF 3ª Região concernente à eleição para o cargo de presidente daquele Tribunal. Discussão a propósito da possibilidade de desembargador que anteriormente ocupou cargo diretivo por dois biênios no TRF 3ª Região ser eleito presidente. Afronta à decisão proferida na ADI 3.566 – recepção e vigência do art. 102 da LC 35 (Loman). (...) Situação de inelegibilidade decorrente da vedação do art. 102 da Loman, segunda parte. A incidência do preceito da Loman resulta frustrada. A fraude à lei importa, fundamentalmente, frustração da lei. Mais grave se é à Constituição frustração da </w:t>
      </w:r>
    </w:p>
    <w:p>
      <w:pPr>
        <w:ind w:left="288"/>
      </w:pPr>
      <w:r>
        <w:rPr>
          <w:b/>
          <w:color w:val="003CA0"/>
          <w:sz w:val="16"/>
        </w:rPr>
        <w:t>[Rcl 8.025, rel. min. Eros Grau, j. 9-12-2009, P, DJE de 6-8-2010.]</w:t>
      </w:r>
    </w:p>
    <w:p>
      <w:pPr>
        <w:ind w:left="288"/>
      </w:pPr>
      <w:r>
        <w:rPr>
          <w:color w:val="8C8C8C"/>
          <w:sz w:val="12"/>
        </w:rPr>
        <w:t>cf-art-96-inc-I</w:t>
      </w:r>
      <w:r>
        <w:rPr>
          <w:color w:val="003CA0"/>
          <w:sz w:val="12"/>
        </w:rPr>
        <w:t xml:space="preserve"> | ADI 3.566</w:t>
      </w:r>
      <w:r>
        <w:rPr>
          <w:color w:val="003CA0"/>
          <w:sz w:val="12"/>
        </w:rPr>
        <w:t xml:space="preserve"> | rel. Ellen Gracie</w:t>
      </w:r>
    </w:p>
    <w:p>
      <w:pPr>
        <w:ind w:left="288"/>
      </w:pPr>
      <w:r>
        <w:rPr>
          <w:color w:val="1E1E1E"/>
          <w:sz w:val="18"/>
        </w:rPr>
        <w:t>Vide ADI 3.566, red. do ac. min. Cezar Peluso, j. 15-2-2007, P, DJ de 15-6-2007 O Provimento 275, de 11-10-2005, do CJF 3ª Região especializou a 3ª Vara Federal de Campo Grande/MS, atribuindo-lhe competência exclusiva para processar e julgar os crimes contra o sistema financeiro nacional e os crimes de "lavagem" ou ocultação de bens, direitos e valores. Não há que se falar em violação aos princípios constitucionais do devido processo legal, do juiz natural e da perpetuatio jurisdictionis, visto que a leitura interpretativa do art. 96, I, a, da CF, admite que haja alteração da competência dos ó</w:t>
      </w:r>
    </w:p>
    <w:p>
      <w:pPr>
        <w:ind w:left="288"/>
      </w:pPr>
      <w:r>
        <w:rPr>
          <w:b/>
          <w:color w:val="003CA0"/>
          <w:sz w:val="16"/>
        </w:rPr>
        <w:t>[HC 94.146, rel. min. Ellen Gracie, j. 21-10-2008, 2ª T, DJE de 7-11-2008.]</w:t>
      </w:r>
    </w:p>
    <w:p>
      <w:pPr>
        <w:ind w:left="288"/>
      </w:pPr>
      <w:r>
        <w:rPr>
          <w:color w:val="8C8C8C"/>
          <w:sz w:val="12"/>
        </w:rPr>
        <w:t>cf-art-96-inc-I</w:t>
      </w:r>
      <w:r>
        <w:rPr>
          <w:color w:val="003CA0"/>
          <w:sz w:val="12"/>
        </w:rPr>
        <w:t xml:space="preserve"> | HC 96.104</w:t>
      </w:r>
      <w:r>
        <w:rPr>
          <w:color w:val="003CA0"/>
          <w:sz w:val="12"/>
        </w:rPr>
        <w:t xml:space="preserve"> | rel. Ricardo Lewandowski</w:t>
      </w:r>
    </w:p>
    <w:p>
      <w:pPr>
        <w:ind w:left="288"/>
      </w:pPr>
      <w:r>
        <w:rPr>
          <w:color w:val="1E1E1E"/>
          <w:sz w:val="18"/>
        </w:rPr>
        <w:t>= HC 96.104, rel. min. Ricardo Lewandowski, j. 16-6-2010, 1ª T, DJE de 6-8-2010 = HC 88.660, rel. min. Cármen Lúcia, j. 15-5-2008, P, DJE de 6-8-2014 Especialização, por Resolução do Tribunal Regional da 4ª Região, da Segunda Vara Federal de Curitiba/PR para o julgamento de crimes financeiros. (...) Especializar varas e atribuir competência por natureza de feitos não é matéria alcançada pela reserva da lei em sentido estrito, porém apenas pelo princípio da legalidade afirmado no art. 5º, II, da Constituição do Brasil, ou seja, pela reserva da norma. (...) No caso concreto, o princípio da legal</w:t>
      </w:r>
    </w:p>
    <w:p>
      <w:pPr>
        <w:ind w:left="288"/>
      </w:pPr>
      <w:r>
        <w:rPr>
          <w:b/>
          <w:color w:val="003CA0"/>
          <w:sz w:val="16"/>
        </w:rPr>
        <w:t>[HC 85.060, rel. min. Eros Grau, j. 23-9-2008, 1ª T, DJE de 13-2-2009.]</w:t>
      </w:r>
    </w:p>
    <w:p>
      <w:pPr>
        <w:ind w:left="288"/>
      </w:pPr>
      <w:r>
        <w:rPr>
          <w:color w:val="8C8C8C"/>
          <w:sz w:val="12"/>
        </w:rPr>
        <w:t>cf-art-96-inc-I</w:t>
      </w:r>
      <w:r>
        <w:rPr>
          <w:color w:val="003CA0"/>
          <w:sz w:val="12"/>
        </w:rPr>
        <w:t xml:space="preserve"> | RE 304.641</w:t>
      </w:r>
      <w:r>
        <w:rPr>
          <w:color w:val="003CA0"/>
          <w:sz w:val="12"/>
        </w:rPr>
        <w:t xml:space="preserve"> | rel. Néri da Silveira</w:t>
      </w:r>
    </w:p>
    <w:p>
      <w:pPr>
        <w:ind w:left="288"/>
      </w:pPr>
      <w:r>
        <w:rPr>
          <w:color w:val="1E1E1E"/>
          <w:sz w:val="18"/>
        </w:rPr>
        <w:t>Alegação de violação ao art. 125, § 4º, da CF/1988, aduzindo-se incompetência de órgão fracionário da Corte para decidir sobre perda de graduação de praças. (...) Inexistência de restrição, no art. 125, § 4º, da Lei Maior, no sentido de a competência conferida ao Tribunal poder ser exercida por uma de suas Câmaras, com base no regimento interno.</w:t>
      </w:r>
    </w:p>
    <w:p>
      <w:pPr>
        <w:ind w:left="288"/>
      </w:pPr>
      <w:r>
        <w:rPr>
          <w:b/>
          <w:color w:val="003CA0"/>
          <w:sz w:val="16"/>
        </w:rPr>
        <w:t>[RE 304.641, rel. min. Néri da Silveira, j. 25-9-2001, 2ª T, DJ de 26-10-2001.]</w:t>
      </w:r>
    </w:p>
    <w:p>
      <w:pPr>
        <w:ind w:left="288"/>
      </w:pPr>
      <w:r>
        <w:rPr>
          <w:color w:val="8C8C8C"/>
          <w:sz w:val="12"/>
        </w:rPr>
        <w:t>cf-art-96-inc-I</w:t>
      </w:r>
      <w:r>
        <w:rPr>
          <w:color w:val="003CA0"/>
          <w:sz w:val="12"/>
        </w:rPr>
        <w:t xml:space="preserve"> | HC 74.190</w:t>
      </w:r>
      <w:r>
        <w:rPr>
          <w:color w:val="003CA0"/>
          <w:sz w:val="12"/>
        </w:rPr>
        <w:t xml:space="preserve"> | rel. Moreira Alves</w:t>
      </w:r>
    </w:p>
    <w:p>
      <w:pPr>
        <w:ind w:left="288"/>
      </w:pPr>
      <w:r>
        <w:rPr>
          <w:color w:val="1E1E1E"/>
          <w:sz w:val="18"/>
        </w:rPr>
        <w:t>O art. 101, § 3º, c, da LC 35/1979, que atribui às seções especializadas e não aos grupos de câmaras criminais dos tribunais a competência para processar e julgar as revisões criminais dos julgamentos de primeiro grau, da própria seção ou das respectivas turmas, não foi recebido pela atual Constituição, que, no art. 96, I, a, preceitua que compete privativamente aos tribunais elaborar seus regimentos internos, com observância das normas de processo e das garantias processuais das partes, dispondo sobre a competência e o financiamento dos respectivos órgãos jurisdicionais e administrativos. Por</w:t>
      </w:r>
    </w:p>
    <w:p>
      <w:pPr>
        <w:ind w:left="288"/>
      </w:pPr>
      <w:r>
        <w:rPr>
          <w:b/>
          <w:color w:val="003CA0"/>
          <w:sz w:val="16"/>
        </w:rPr>
        <w:t>[HC 74.190, rel. min. Moreira Alves, j. 15-10-1996, 1ª T, DJ de 7-3-1997.]</w:t>
      </w:r>
    </w:p>
    <w:p>
      <w:pPr>
        <w:ind w:left="288"/>
      </w:pPr>
      <w:r>
        <w:rPr>
          <w:color w:val="8C8C8C"/>
          <w:sz w:val="12"/>
        </w:rPr>
        <w:t>cf-art-96-inc-I</w:t>
      </w:r>
      <w:r>
        <w:rPr>
          <w:color w:val="003CA0"/>
          <w:sz w:val="12"/>
        </w:rPr>
        <w:t xml:space="preserve"> | AI 177.313</w:t>
      </w:r>
      <w:r>
        <w:rPr>
          <w:color w:val="003CA0"/>
          <w:sz w:val="12"/>
        </w:rPr>
        <w:t xml:space="preserve"> | rel. Celso de Mello</w:t>
      </w:r>
    </w:p>
    <w:p>
      <w:pPr>
        <w:ind w:left="288"/>
      </w:pPr>
      <w:r>
        <w:rPr>
          <w:color w:val="1E1E1E"/>
          <w:sz w:val="18"/>
        </w:rPr>
        <w:t>A competência penal originária do tribunal de justiça, para processar e julgar prefeitos municipais, não se limita nem se restringe ao plenário ou, onde houver, ao respectivo órgão especial, podendo ser atribuída – inclusive por ato dessa própria corte judiciária, fundado no art. 96, I, a, da CF – a qualquer de seus órgãos fracionários (câmaras, turmas, seções, v.g.), eis que os pronunciamentos de tais órgãos qualificam-se como decisões juridicamente imputáveis ao próprio tribunal de justiça. (...) Compete ao tribunal de justiça, mediante exercício do poder de regulação normativa interna que l</w:t>
      </w:r>
    </w:p>
    <w:p>
      <w:pPr>
        <w:ind w:left="288"/>
      </w:pPr>
      <w:r>
        <w:rPr>
          <w:b/>
          <w:color w:val="003CA0"/>
          <w:sz w:val="16"/>
        </w:rPr>
        <w:t>[AI 177.313 AgR, rel. min. Celso de Mello, j. 23-4-1996, 1ª T, DJ de 17-5-1996.]</w:t>
      </w:r>
    </w:p>
    <w:p>
      <w:pPr>
        <w:ind w:left="288"/>
      </w:pPr>
      <w:r>
        <w:rPr>
          <w:color w:val="8C8C8C"/>
          <w:sz w:val="12"/>
        </w:rPr>
        <w:t>cf-art-96-inc-I</w:t>
      </w:r>
      <w:r>
        <w:rPr>
          <w:color w:val="003CA0"/>
          <w:sz w:val="12"/>
        </w:rPr>
        <w:t xml:space="preserve"> | ADI 410</w:t>
      </w:r>
      <w:r>
        <w:rPr>
          <w:color w:val="003CA0"/>
          <w:sz w:val="12"/>
        </w:rPr>
        <w:t xml:space="preserve"> | rel. Sepúlveda Pertence</w:t>
      </w:r>
    </w:p>
    <w:p>
      <w:pPr>
        <w:ind w:left="288"/>
      </w:pPr>
      <w:r>
        <w:rPr>
          <w:color w:val="1E1E1E"/>
          <w:sz w:val="18"/>
        </w:rPr>
        <w:t>A competência para criar o órgão especial se contém no poder dos tribunais – segundo o art. 96, I, a, CF – para dispor, no regimento interno, "sobre a competência e o funcionamento dos respectivos órgãos jurisdicionais e administrativos" (ADI 410/SC, MC, Lex 191/166). Só pode criar órgão especial o tribunal integrado por mais de 25 juízes (CF, art. 93, XI): para esse fim, considera-se a composição já implementada da corte, não bastando a existência de vagas recém-criadas, mas ainda não preenchidas.</w:t>
      </w:r>
    </w:p>
    <w:p>
      <w:pPr>
        <w:ind w:left="288"/>
      </w:pPr>
      <w:r>
        <w:rPr>
          <w:b/>
          <w:color w:val="003CA0"/>
          <w:sz w:val="16"/>
        </w:rPr>
        <w:t>[AO 232, rel. min. Sepúlveda Pertence, j. 3-5-1995, P, DJ de 20-4-2001.]</w:t>
      </w:r>
    </w:p>
    <w:p>
      <w:pPr>
        <w:ind w:left="144"/>
      </w:pPr>
      <w:r>
        <w:rPr>
          <w:b/>
          <w:color w:val="B45A00"/>
          <w:sz w:val="16"/>
        </w:rPr>
        <w:t>CONTROLE CONCENTRADO</w:t>
      </w:r>
    </w:p>
    <w:p>
      <w:pPr>
        <w:ind w:left="288"/>
      </w:pPr>
      <w:r>
        <w:rPr>
          <w:color w:val="8C8C8C"/>
          <w:sz w:val="12"/>
        </w:rPr>
        <w:t>cf-art-96-inc-I-ali-b</w:t>
      </w:r>
      <w:r>
        <w:rPr>
          <w:color w:val="003CA0"/>
          <w:sz w:val="12"/>
        </w:rPr>
        <w:t xml:space="preserve"> | ADI 4.796</w:t>
      </w:r>
      <w:r>
        <w:rPr>
          <w:color w:val="003CA0"/>
          <w:sz w:val="12"/>
        </w:rPr>
        <w:t xml:space="preserve"> | rel. Gilmar Mendes</w:t>
      </w:r>
    </w:p>
    <w:p>
      <w:pPr>
        <w:ind w:left="288"/>
      </w:pPr>
      <w:r>
        <w:rPr>
          <w:color w:val="1E1E1E"/>
          <w:sz w:val="18"/>
        </w:rPr>
        <w:t>Autogoverno dos tribunais deve atender ao bem comum. Ministério Público e Defensoria Pública podem ter gabinetes para desempenho de suas funções nas instalações físicas dos tribunais.</w:t>
      </w:r>
    </w:p>
    <w:p>
      <w:pPr>
        <w:ind w:left="288"/>
      </w:pPr>
      <w:r>
        <w:rPr>
          <w:b/>
          <w:color w:val="003CA0"/>
          <w:sz w:val="16"/>
        </w:rPr>
        <w:t>[ADI 4.796, rel. min. Gilmar Mendes, j. 16-9-2020, P, DJE de 5-10-2020.]</w:t>
      </w:r>
    </w:p>
    <w:p>
      <w:pPr>
        <w:ind w:left="288"/>
      </w:pPr>
      <w:r>
        <w:rPr>
          <w:color w:val="8C8C8C"/>
          <w:sz w:val="12"/>
        </w:rPr>
        <w:t>cf-art-96-inc-I-ali-b</w:t>
      </w:r>
      <w:r>
        <w:rPr>
          <w:color w:val="003CA0"/>
          <w:sz w:val="12"/>
        </w:rPr>
        <w:t xml:space="preserve"> | ADI 3.250</w:t>
      </w:r>
      <w:r>
        <w:rPr>
          <w:color w:val="003CA0"/>
          <w:sz w:val="12"/>
        </w:rPr>
        <w:t xml:space="preserve"> | rel. Marco Aurélio</w:t>
      </w:r>
    </w:p>
    <w:p>
      <w:pPr>
        <w:ind w:left="288"/>
      </w:pPr>
      <w:r>
        <w:rPr>
          <w:color w:val="1E1E1E"/>
          <w:sz w:val="18"/>
        </w:rPr>
        <w:t>Surge constitucional lei a prever a coordenação de serviços na Justiça do Trabalho, presentes os Tribunais Regionais, pelo Tribunal Superior do Trabalho – artigos 2º e 3º da Lei 10.873/2004.</w:t>
      </w:r>
    </w:p>
    <w:p>
      <w:pPr>
        <w:ind w:left="288"/>
      </w:pPr>
      <w:r>
        <w:rPr>
          <w:b/>
          <w:color w:val="003CA0"/>
          <w:sz w:val="16"/>
        </w:rPr>
        <w:t>[ADI 3.250, rel. min. Marco Aurélio, j. 19-12-2019, P, DJE de 6-7-2020.]</w:t>
      </w:r>
    </w:p>
    <w:p>
      <w:pPr>
        <w:ind w:left="288"/>
      </w:pPr>
      <w:r>
        <w:rPr>
          <w:color w:val="8C8C8C"/>
          <w:sz w:val="12"/>
        </w:rPr>
        <w:t>cf-art-96-inc-I-ali-b</w:t>
      </w:r>
      <w:r>
        <w:rPr>
          <w:color w:val="003CA0"/>
          <w:sz w:val="12"/>
        </w:rPr>
        <w:t xml:space="preserve"> | ADI 4.140</w:t>
      </w:r>
      <w:r>
        <w:rPr>
          <w:color w:val="003CA0"/>
          <w:sz w:val="12"/>
        </w:rPr>
        <w:t xml:space="preserve"> | rel. Ellen Gracie</w:t>
      </w:r>
    </w:p>
    <w:p>
      <w:pPr>
        <w:ind w:left="288"/>
      </w:pPr>
      <w:r>
        <w:rPr>
          <w:color w:val="1E1E1E"/>
          <w:sz w:val="18"/>
        </w:rPr>
        <w:t>Os serviços auxiliares dos tribunais e dos juízos de direito que lhes são vinculados, organizados privativamente por aqueles (arts. 96, I, b, e 99, caput, da CF), são formados, exclusivamente, pelo conjunto de unidades e atividades de apoio que viabilizam a realização de suas finalidades institucionais. As serventias judiciais e extrajudiciais não compõem, portanto, os serviços auxiliares ou administrativos dos tribunais.</w:t>
      </w:r>
    </w:p>
    <w:p>
      <w:pPr>
        <w:ind w:left="288"/>
      </w:pPr>
      <w:r>
        <w:rPr>
          <w:b/>
          <w:color w:val="003CA0"/>
          <w:sz w:val="16"/>
        </w:rPr>
        <w:t>[ADI 4.140, rel. min. Ellen Gracie, j. 29-6-2011, P, DJE de 20-9-2011.]</w:t>
      </w:r>
    </w:p>
    <w:p>
      <w:pPr>
        <w:ind w:left="288"/>
      </w:pPr>
      <w:r>
        <w:rPr>
          <w:color w:val="8C8C8C"/>
          <w:sz w:val="12"/>
        </w:rPr>
        <w:t>cf-art-96-inc-I-ali-b</w:t>
      </w:r>
      <w:r>
        <w:rPr>
          <w:color w:val="003CA0"/>
          <w:sz w:val="12"/>
        </w:rPr>
        <w:t xml:space="preserve"> | ADI 2.907</w:t>
      </w:r>
      <w:r>
        <w:rPr>
          <w:color w:val="003CA0"/>
          <w:sz w:val="12"/>
        </w:rPr>
        <w:t xml:space="preserve"> | rel. Ricardo Lewandowski</w:t>
      </w:r>
    </w:p>
    <w:p>
      <w:pPr>
        <w:ind w:left="288"/>
      </w:pPr>
      <w:r>
        <w:rPr>
          <w:color w:val="1E1E1E"/>
          <w:sz w:val="18"/>
        </w:rPr>
        <w:t>Ato normativo que disciplina o horário de trabalho dos servidores do Judiciário. Vício de natureza formal. (...) Embora não haja ofensa ao princípio da separação dos Poderes, visto que a portaria em questão não altera a jornada de trabalho dos servidores e, portanto, não interfere com o seu regime jurídico, constata-se, na espécie, vício de natureza formal. Como assentou o Plenário do STF, nada impede que a matéria seja regulada pelo tribunal, no exercício da autonomia administrativa que a Carta Magna garante ao Judiciário. Mas a forma com que o tema foi tratado, ou seja, por portaria ao invés</w:t>
      </w:r>
    </w:p>
    <w:p>
      <w:pPr>
        <w:ind w:left="288"/>
      </w:pPr>
      <w:r>
        <w:rPr>
          <w:b/>
          <w:color w:val="003CA0"/>
          <w:sz w:val="16"/>
        </w:rPr>
        <w:t>[ADI 2.907, rel. min. Ricardo Lewandowski, j. 4-6-2008, P, DJE de 29-8-2008.]</w:t>
      </w:r>
    </w:p>
    <w:p>
      <w:pPr>
        <w:ind w:left="288"/>
      </w:pPr>
      <w:r>
        <w:rPr>
          <w:color w:val="8C8C8C"/>
          <w:sz w:val="12"/>
        </w:rPr>
        <w:t>cf-art-96-inc-I-ali-b</w:t>
      </w:r>
      <w:r>
        <w:rPr>
          <w:color w:val="003CA0"/>
          <w:sz w:val="12"/>
        </w:rPr>
        <w:t xml:space="preserve"> | ADI 2.308</w:t>
      </w:r>
      <w:r>
        <w:rPr>
          <w:color w:val="003CA0"/>
          <w:sz w:val="12"/>
        </w:rPr>
        <w:t xml:space="preserve"> | rel. Moreira Alves</w:t>
      </w:r>
    </w:p>
    <w:p>
      <w:pPr>
        <w:ind w:left="288"/>
      </w:pPr>
      <w:r>
        <w:rPr>
          <w:color w:val="1E1E1E"/>
          <w:sz w:val="18"/>
        </w:rPr>
        <w:t>Não há dúvida de que a resolução em causa, que altera o horário de expediente da Secretaria do Tribunal de Justiça e da Justiça de primeiro grau do Estado de Santa Catarina, e que consequentemente reduz para seis horas, em turno único, a jornada de trabalho de todos os servidores de ambas, é ato normativo e tem caráter autônomo, porquanto dá como fundamento, para justificar a competência para tanto do Órgão Especial do Tribunal de Justiça, o disposto no art. 96, I, a e b, da CF e no art. 83, III, da Constituição estadual. Em exame sumário como é o compatível com pedido de concessão de liminar,</w:t>
      </w:r>
    </w:p>
    <w:p>
      <w:pPr>
        <w:ind w:left="288"/>
      </w:pPr>
      <w:r>
        <w:rPr>
          <w:b/>
          <w:color w:val="003CA0"/>
          <w:sz w:val="16"/>
        </w:rPr>
        <w:t>[ADI 2.308 MC, rel. min. Moreira Alves, j. 25-4-2001, P, DJ de 5-10-2001.]</w:t>
      </w:r>
    </w:p>
    <w:p>
      <w:pPr>
        <w:ind w:left="288"/>
      </w:pPr>
      <w:r>
        <w:rPr>
          <w:color w:val="8C8C8C"/>
          <w:sz w:val="12"/>
        </w:rPr>
        <w:t>cf-art-96-inc-I-ali-c</w:t>
      </w:r>
      <w:r>
        <w:rPr>
          <w:color w:val="003CA0"/>
          <w:sz w:val="12"/>
        </w:rPr>
        <w:t xml:space="preserve"> | ADI 314</w:t>
      </w:r>
      <w:r>
        <w:rPr>
          <w:color w:val="003CA0"/>
          <w:sz w:val="12"/>
        </w:rPr>
        <w:t xml:space="preserve"> | rel. Carlos Velloso</w:t>
      </w:r>
    </w:p>
    <w:p>
      <w:pPr>
        <w:ind w:left="288"/>
      </w:pPr>
      <w:r>
        <w:rPr>
          <w:color w:val="1E1E1E"/>
          <w:sz w:val="18"/>
        </w:rPr>
        <w:t>O provimento do cargo de desembargador, mediante promoção de juiz de carreira, é ato privativo do tribunal de justiça (CF, art. 96, I, c). Inconstitucionalidade de disposição constante da Constituição de Pernambuco, art. 58, § 2º, que diz caber ao governador o ato de provimento desse cargo.</w:t>
      </w:r>
    </w:p>
    <w:p>
      <w:pPr>
        <w:ind w:left="288"/>
      </w:pPr>
      <w:r>
        <w:rPr>
          <w:b/>
          <w:color w:val="003CA0"/>
          <w:sz w:val="16"/>
        </w:rPr>
        <w:t>[ADI 314, rel. min. Carlos Velloso, j. 4-9-1991, P, DJ de 20-4-2001.]</w:t>
      </w:r>
    </w:p>
    <w:p>
      <w:pPr>
        <w:ind w:left="288"/>
      </w:pPr>
      <w:r>
        <w:rPr>
          <w:color w:val="8C8C8C"/>
          <w:sz w:val="12"/>
        </w:rPr>
        <w:t>cf-art-96-inc-I-ali-d</w:t>
      </w:r>
      <w:r>
        <w:rPr>
          <w:color w:val="003CA0"/>
          <w:sz w:val="12"/>
        </w:rPr>
        <w:t xml:space="preserve"> | ADI 3.131</w:t>
      </w:r>
      <w:r>
        <w:rPr>
          <w:color w:val="003CA0"/>
          <w:sz w:val="12"/>
        </w:rPr>
        <w:t xml:space="preserve"> | rel. Carlos Velloso</w:t>
      </w:r>
    </w:p>
    <w:p>
      <w:pPr>
        <w:ind w:left="288"/>
      </w:pPr>
      <w:r>
        <w:rPr>
          <w:color w:val="1E1E1E"/>
          <w:sz w:val="18"/>
        </w:rPr>
        <w:t>Lei de Organização Judiciária do Estado. Inobservância da iniciativa legislativa do tribunal de justiça: CF, art. 96, II, d. Supressão do processo legislativo: inconstitucionalidade.</w:t>
      </w:r>
    </w:p>
    <w:p>
      <w:pPr>
        <w:ind w:left="288"/>
      </w:pPr>
      <w:r>
        <w:rPr>
          <w:b/>
          <w:color w:val="003CA0"/>
          <w:sz w:val="16"/>
        </w:rPr>
        <w:t>[ADI 3.131, rel. min. Carlos Velloso, j. 19-5-2004, P, DJ de 18-6-2004.]</w:t>
      </w:r>
    </w:p>
    <w:p>
      <w:pPr>
        <w:ind w:left="288"/>
      </w:pPr>
      <w:r>
        <w:rPr>
          <w:color w:val="8C8C8C"/>
          <w:sz w:val="12"/>
        </w:rPr>
        <w:t>cf-art-96-inc-I-ali-d</w:t>
      </w:r>
    </w:p>
    <w:p>
      <w:pPr>
        <w:ind w:left="288"/>
      </w:pPr>
      <w:r>
        <w:rPr>
          <w:color w:val="1E1E1E"/>
          <w:sz w:val="18"/>
        </w:rPr>
        <w:t>e) prover, por concurso público de provas, ou de provas e títulos, obedecido o disposto no art. 169, parágrafo único, os cargos necessários à administração da Justiça, exceto os de confiança assim definidos em lei;</w:t>
      </w:r>
    </w:p>
    <w:p>
      <w:pPr>
        <w:ind w:left="288"/>
      </w:pPr>
      <w:r>
        <w:rPr>
          <w:color w:val="8C8C8C"/>
          <w:sz w:val="12"/>
        </w:rPr>
        <w:t>cf-art-96-inc-II</w:t>
      </w:r>
      <w:r>
        <w:rPr>
          <w:color w:val="003CA0"/>
          <w:sz w:val="12"/>
        </w:rPr>
        <w:t xml:space="preserve"> | ADI 7.709</w:t>
      </w:r>
      <w:r>
        <w:rPr>
          <w:color w:val="003CA0"/>
          <w:sz w:val="12"/>
        </w:rPr>
        <w:t xml:space="preserve"> | rel. Cristiano Zanin</w:t>
      </w:r>
    </w:p>
    <w:p>
      <w:pPr>
        <w:ind w:left="288"/>
      </w:pPr>
      <w:r>
        <w:rPr>
          <w:color w:val="1E1E1E"/>
          <w:sz w:val="18"/>
        </w:rPr>
        <w:t>Dispositivos da Lei Federal n. 14.456/2022 introduzidos por emenda parlamentar no curso do processo legislativo. Alteração de requisito de ingresso no cargo de Técnico Judiciário do Poder Judiciário da União para nível superior. Alegação de inconstitucionalidade formal por ofensa à iniciativa reservada do Supremo Tribunal Federal. Art. 96, II, da Constituição. Inexistência de vício de inconstitucionalidade. (...) O poder de apresentar emendas a projetos de lei em curso no Congresso Nacional constitui prerrogativa parlamentar, inerente à atividade legislativa e incide inclusive sobre proposiçõe</w:t>
      </w:r>
    </w:p>
    <w:p>
      <w:pPr>
        <w:ind w:left="288"/>
      </w:pPr>
      <w:r>
        <w:rPr>
          <w:b/>
          <w:color w:val="003CA0"/>
          <w:sz w:val="16"/>
        </w:rPr>
        <w:t>[ADI 7.709, rel. min. Cristiano Zanin, j. 24.02.2025, P, DJE de 07.04.2025.]</w:t>
      </w:r>
    </w:p>
    <w:p>
      <w:pPr>
        <w:ind w:left="288"/>
      </w:pPr>
      <w:r>
        <w:rPr>
          <w:color w:val="8C8C8C"/>
          <w:sz w:val="12"/>
        </w:rPr>
        <w:t>cf-art-96-inc-II</w:t>
      </w:r>
      <w:r>
        <w:rPr>
          <w:color w:val="003CA0"/>
          <w:sz w:val="12"/>
        </w:rPr>
        <w:t xml:space="preserve"> | ADI 2.909</w:t>
      </w:r>
      <w:r>
        <w:rPr>
          <w:color w:val="003CA0"/>
          <w:sz w:val="12"/>
        </w:rPr>
        <w:t xml:space="preserve"> | rel. Ayres Britto</w:t>
      </w:r>
    </w:p>
    <w:p>
      <w:pPr>
        <w:ind w:left="288"/>
      </w:pPr>
      <w:r>
        <w:rPr>
          <w:color w:val="1E1E1E"/>
          <w:sz w:val="18"/>
        </w:rPr>
        <w:t>É inconstitucional, por extravasar os limites do inciso II do art. 96 da CF, lei que institui Sistema de Gerenciamento dos Depósitos Judiciais, fixa a destinação dos rendimentos líquidos decorrentes da aplicação dos depósitos no mercado financeiro e atribui ao Fundo de Reaparelhamento do Poder Judiciário a coordenação e o controle das atividades inerentes à administração financeira de tal sistema. Matéria que não se encontra entre aquelas reservadas à iniciativa legislativa do Poder Judiciário.</w:t>
      </w:r>
    </w:p>
    <w:p>
      <w:pPr>
        <w:ind w:left="288"/>
      </w:pPr>
      <w:r>
        <w:rPr>
          <w:b/>
          <w:color w:val="003CA0"/>
          <w:sz w:val="16"/>
        </w:rPr>
        <w:t>[ADI 2.909, rel. min. Ayres Britto, j. 12-5-2010, P, DJE de 11-6-2010.]</w:t>
      </w:r>
    </w:p>
    <w:p>
      <w:pPr>
        <w:ind w:left="288"/>
      </w:pPr>
      <w:r>
        <w:rPr>
          <w:color w:val="8C8C8C"/>
          <w:sz w:val="12"/>
        </w:rPr>
        <w:t>cf-art-96-inc-II</w:t>
      </w:r>
      <w:r>
        <w:rPr>
          <w:color w:val="003CA0"/>
          <w:sz w:val="12"/>
        </w:rPr>
        <w:t xml:space="preserve"> | ADI 2.855</w:t>
      </w:r>
      <w:r>
        <w:rPr>
          <w:color w:val="003CA0"/>
          <w:sz w:val="12"/>
        </w:rPr>
        <w:t xml:space="preserve"> | rel. Marco Aurélio</w:t>
      </w:r>
    </w:p>
    <w:p>
      <w:pPr>
        <w:ind w:left="288"/>
      </w:pPr>
      <w:r>
        <w:rPr>
          <w:color w:val="1E1E1E"/>
          <w:sz w:val="18"/>
        </w:rPr>
        <w:t>Vide  ADI 2.855, rel. min. Marco Aurélio, j. 12-5-2010, P, DJE de 17-9-2010</w:t>
      </w:r>
    </w:p>
    <w:p>
      <w:pPr>
        <w:ind w:left="288"/>
      </w:pPr>
      <w:r>
        <w:rPr>
          <w:color w:val="8C8C8C"/>
          <w:sz w:val="12"/>
        </w:rPr>
        <w:t>cf-art-96-inc-II-ali-a</w:t>
      </w:r>
      <w:r>
        <w:rPr>
          <w:color w:val="003CA0"/>
          <w:sz w:val="12"/>
        </w:rPr>
        <w:t xml:space="preserve"> | ADI 3.362</w:t>
      </w:r>
    </w:p>
    <w:p>
      <w:pPr>
        <w:ind w:left="288"/>
      </w:pPr>
      <w:r>
        <w:rPr>
          <w:color w:val="1E1E1E"/>
          <w:sz w:val="18"/>
        </w:rPr>
        <w:t>Vulnera a CF norma de Carta estadual que preveja limite de cadeiras no tribunal de justiça, afastando a iniciativa deste quanto a projeto de lei visando à alteração.</w:t>
      </w:r>
    </w:p>
    <w:p>
      <w:pPr>
        <w:ind w:left="288"/>
      </w:pPr>
      <w:r>
        <w:rPr>
          <w:b/>
          <w:color w:val="003CA0"/>
          <w:sz w:val="16"/>
        </w:rPr>
        <w:t>[ADI 3.362, red. do ac. min. Marco Aurélio, j. 30-8-2007, P, DJE de 28-3-2008.]</w:t>
      </w:r>
    </w:p>
    <w:p>
      <w:pPr>
        <w:ind w:left="288"/>
      </w:pPr>
      <w:r>
        <w:rPr>
          <w:color w:val="8C8C8C"/>
          <w:sz w:val="12"/>
        </w:rPr>
        <w:t>cf-art-96-inc-II-ali-a</w:t>
      </w:r>
      <w:r>
        <w:rPr>
          <w:color w:val="003CA0"/>
          <w:sz w:val="12"/>
        </w:rPr>
        <w:t xml:space="preserve"> | ADI 142</w:t>
      </w:r>
      <w:r>
        <w:rPr>
          <w:color w:val="003CA0"/>
          <w:sz w:val="12"/>
        </w:rPr>
        <w:t xml:space="preserve"> | rel. Ilmar Galvão</w:t>
      </w:r>
    </w:p>
    <w:p>
      <w:pPr>
        <w:ind w:left="288"/>
      </w:pPr>
      <w:r>
        <w:rPr>
          <w:color w:val="1E1E1E"/>
          <w:sz w:val="18"/>
        </w:rPr>
        <w:t>Art. 85 da Constituição do Estado de Rondônia, que elevou para treze o número de desembargadores do Tribunal de Justiça. Ofensa manifesta ao princípio da iniciativa privativa, para o assunto, do Tribunal de Justiça, consagrada no art. 96, II, b, da CF, de observância imperiosa pelo poder constituinte derivado estadual, como previsto no art. 11 do ADCT/1988.</w:t>
      </w:r>
    </w:p>
    <w:p>
      <w:pPr>
        <w:ind w:left="288"/>
      </w:pPr>
      <w:r>
        <w:rPr>
          <w:b/>
          <w:color w:val="003CA0"/>
          <w:sz w:val="16"/>
        </w:rPr>
        <w:t>[ADI 142, rel. min. Ilmar Galvão, j. 19-6-1996, P, DJ de 6-9-1996.]</w:t>
      </w:r>
    </w:p>
    <w:p>
      <w:pPr>
        <w:ind w:left="288"/>
      </w:pPr>
      <w:r>
        <w:rPr>
          <w:color w:val="8C8C8C"/>
          <w:sz w:val="12"/>
        </w:rPr>
        <w:t>cf-art-96-inc-II-ali-a</w:t>
      </w:r>
    </w:p>
    <w:p>
      <w:pPr>
        <w:ind w:left="288"/>
      </w:pPr>
      <w:r>
        <w:rPr>
          <w:color w:val="1E1E1E"/>
          <w:sz w:val="18"/>
        </w:rPr>
        <w:t>b) a criação e a extinção de cargos e a remuneração dos seus serviços auxiliares e dos juízos que lhes forem vinculados, bem como a fixação do subsídio de seus membros e dos juízes, inclusive dos tribunais inferiores, onde houver; (Redação da EC 41/2003)</w:t>
      </w:r>
    </w:p>
    <w:p>
      <w:pPr>
        <w:ind w:left="288"/>
      </w:pPr>
      <w:r>
        <w:rPr>
          <w:color w:val="8C8C8C"/>
          <w:sz w:val="12"/>
        </w:rPr>
        <w:t>cf-art-96-inc-II-ali-a</w:t>
      </w:r>
      <w:r>
        <w:rPr>
          <w:color w:val="003CA0"/>
          <w:sz w:val="12"/>
        </w:rPr>
        <w:t xml:space="preserve"> | ADI 1.835</w:t>
      </w:r>
      <w:r>
        <w:rPr>
          <w:color w:val="003CA0"/>
          <w:sz w:val="12"/>
        </w:rPr>
        <w:t xml:space="preserve"> | rel. Dias Toffoli</w:t>
      </w:r>
    </w:p>
    <w:p>
      <w:pPr>
        <w:ind w:left="288"/>
      </w:pPr>
      <w:r>
        <w:rPr>
          <w:color w:val="1E1E1E"/>
          <w:sz w:val="18"/>
        </w:rPr>
        <w:t xml:space="preserve">Art. 1º, parágrafo único, da LC estadual 164/1998 do Estado de Santa Catarina. Extensão aos servidores inativos e extrajudiciais de aumento remuneratório dado aos servidores do Poder Judiciário do Estado. Emenda aditiva parlamentar a projeto de iniciativa do Poder Judiciário local. Vício de iniciativa. (...) Inconstitucionalidade da extensão do aumento aos serventuários extrajudiciais, por ofensa ao art. 96, II, b, da CF. Os serventuários extrajudiciais que, a teor do disposto no art. 32 do ADCT, são remunerados pelos cofres públicos, à conta do Poder Judiciário, dependem de projeto de lei de </w:t>
      </w:r>
    </w:p>
    <w:p>
      <w:pPr>
        <w:ind w:left="288"/>
      </w:pPr>
      <w:r>
        <w:rPr>
          <w:b/>
          <w:color w:val="003CA0"/>
          <w:sz w:val="16"/>
        </w:rPr>
        <w:t>[ADI 1.835, rel. min. Dias Toffoli, j. 17-9-2014, P, DJE de 17-10-2014.]</w:t>
      </w:r>
    </w:p>
    <w:p>
      <w:pPr>
        <w:ind w:left="288"/>
      </w:pPr>
      <w:r>
        <w:rPr>
          <w:color w:val="8C8C8C"/>
          <w:sz w:val="12"/>
        </w:rPr>
        <w:t>cf-art-96-inc-II-ali-a</w:t>
      </w:r>
      <w:r>
        <w:rPr>
          <w:color w:val="003CA0"/>
          <w:sz w:val="12"/>
        </w:rPr>
        <w:t xml:space="preserve"> | ADI 1.935</w:t>
      </w:r>
      <w:r>
        <w:rPr>
          <w:color w:val="003CA0"/>
          <w:sz w:val="12"/>
        </w:rPr>
        <w:t xml:space="preserve"> | rel. Carlos Velloso</w:t>
      </w:r>
    </w:p>
    <w:p>
      <w:pPr>
        <w:ind w:left="288"/>
      </w:pPr>
      <w:r>
        <w:rPr>
          <w:color w:val="1E1E1E"/>
          <w:sz w:val="18"/>
        </w:rPr>
        <w:t>É pacífica a jurisprudência do STF no sentido de que as leis que disponham sobre serventias judiciais e extrajudiciais são de iniciativa privativa dos tribunais de justiça, a teor do que dispõem as alíneas b e d do inciso II do art. 96 da Constituição da República. Precedentes: ADI 1.935/RO, rel. min. Carlos Velloso, DJ de 4-10-2002; ADI 865 MC/MA, rel. min. Celso de Mello, DJ de 8-4-1994.</w:t>
      </w:r>
    </w:p>
    <w:p>
      <w:pPr>
        <w:ind w:left="288"/>
      </w:pPr>
      <w:r>
        <w:rPr>
          <w:b/>
          <w:color w:val="003CA0"/>
          <w:sz w:val="16"/>
        </w:rPr>
        <w:t>[ADI 3.773, rel. min. Menezes Direito, j. 4-3-2009, P, DJE de 4-9-2009.]</w:t>
      </w:r>
    </w:p>
    <w:p>
      <w:pPr>
        <w:ind w:left="288"/>
      </w:pPr>
      <w:r>
        <w:rPr>
          <w:color w:val="8C8C8C"/>
          <w:sz w:val="12"/>
        </w:rPr>
        <w:t>cf-art-96-inc-II-ali-a</w:t>
      </w:r>
      <w:r>
        <w:rPr>
          <w:color w:val="003CA0"/>
          <w:sz w:val="12"/>
        </w:rPr>
        <w:t xml:space="preserve"> | ADI 2.104</w:t>
      </w:r>
      <w:r>
        <w:rPr>
          <w:color w:val="003CA0"/>
          <w:sz w:val="12"/>
        </w:rPr>
        <w:t xml:space="preserve"> | rel. Eros Grau</w:t>
      </w:r>
    </w:p>
    <w:p>
      <w:pPr>
        <w:ind w:left="288"/>
      </w:pPr>
      <w:r>
        <w:rPr>
          <w:color w:val="1E1E1E"/>
          <w:sz w:val="18"/>
        </w:rPr>
        <w:t>Ato que determina que a verba de representação instituída pelo DL 2.371/1987 seja calculada com a incidência do vencimento básico e da parcela de equivalência. (...) Inconstitucionalidade do ato normativo que configura aumento de remuneração dos magistrados de forma diversa da prevista no art. 96, II, b, da Constituição do Brasil. Jurisprudência do Supremo.</w:t>
      </w:r>
    </w:p>
    <w:p>
      <w:pPr>
        <w:ind w:left="288"/>
      </w:pPr>
      <w:r>
        <w:rPr>
          <w:b/>
          <w:color w:val="003CA0"/>
          <w:sz w:val="16"/>
        </w:rPr>
        <w:t>[ADI 2.104, rel. min. Eros Grau, j. 21-11-2007, P, DJE de 22-2-2008.]</w:t>
      </w:r>
    </w:p>
    <w:p>
      <w:pPr>
        <w:ind w:left="288"/>
      </w:pPr>
      <w:r>
        <w:rPr>
          <w:color w:val="8C8C8C"/>
          <w:sz w:val="12"/>
        </w:rPr>
        <w:t>cf-art-96-inc-II-ali-a</w:t>
      </w:r>
      <w:r>
        <w:rPr>
          <w:color w:val="003CA0"/>
          <w:sz w:val="12"/>
        </w:rPr>
        <w:t xml:space="preserve"> | ADI 2.103</w:t>
      </w:r>
      <w:r>
        <w:rPr>
          <w:color w:val="003CA0"/>
          <w:sz w:val="12"/>
        </w:rPr>
        <w:t xml:space="preserve"> | rel. Ellen Gracie</w:t>
      </w:r>
    </w:p>
    <w:p>
      <w:pPr>
        <w:ind w:left="288"/>
      </w:pPr>
      <w:r>
        <w:rPr>
          <w:color w:val="1E1E1E"/>
          <w:sz w:val="18"/>
        </w:rPr>
        <w:t>No cálculo da remuneração dos magistrados, consoante diretriz estabelecida por esta Suprema Corte em sessão administrativa, deveria a verba de representação incidir tão somente sobre o vencimento básico. Por meio da decisão administrativa ora impugnada, em manifesta divergência com a orientação desta Suprema Corte, o TRT 6ª Região ampliou a base de cálculo da verba de representação, na medida em que nela inseriu a parcela de equivalência. Trata-se, portanto, de indisfarçável aumento salarial concedido aos membros do Poder Judiciário Trabalhista de Pernambuco sem a previsão legal exigida pelo a</w:t>
      </w:r>
    </w:p>
    <w:p>
      <w:pPr>
        <w:ind w:left="288"/>
      </w:pPr>
      <w:r>
        <w:rPr>
          <w:b/>
          <w:color w:val="003CA0"/>
          <w:sz w:val="16"/>
        </w:rPr>
        <w:t>[ADI 2.103, rel. min. Ellen Gracie, j. 9-9-2004, P, DJ de 8-10-2004.]</w:t>
      </w:r>
    </w:p>
    <w:p>
      <w:pPr>
        <w:ind w:left="288"/>
      </w:pPr>
      <w:r>
        <w:rPr>
          <w:color w:val="8C8C8C"/>
          <w:sz w:val="12"/>
        </w:rPr>
        <w:t>cf-art-96-inc-II-ali-a</w:t>
      </w:r>
      <w:r>
        <w:rPr>
          <w:color w:val="003CA0"/>
          <w:sz w:val="12"/>
        </w:rPr>
        <w:t xml:space="preserve"> | AO 764</w:t>
      </w:r>
      <w:r>
        <w:rPr>
          <w:color w:val="003CA0"/>
          <w:sz w:val="12"/>
        </w:rPr>
        <w:t xml:space="preserve"> | rel. Marco Aurélio</w:t>
      </w:r>
    </w:p>
    <w:p>
      <w:pPr>
        <w:ind w:left="288"/>
      </w:pPr>
      <w:r>
        <w:rPr>
          <w:color w:val="1E1E1E"/>
          <w:sz w:val="18"/>
        </w:rPr>
        <w:t>= AO 764 AgR, rel. min. Marco Aurélio, j. 25-2-2014, 1ª T, DJE de 20-3-2014 Competência do tribunal de justiça para criar e disciplinar seus serviços auxiliares. Inconstitucionalidade da estipulação de prazo para que o tribunal de justiça envie projeto de lei dispondo sobre matéria que lhe é privativa.</w:t>
      </w:r>
    </w:p>
    <w:p>
      <w:pPr>
        <w:ind w:left="288"/>
      </w:pPr>
      <w:r>
        <w:rPr>
          <w:b/>
          <w:color w:val="003CA0"/>
          <w:sz w:val="16"/>
        </w:rPr>
        <w:t>[ADI 106, red. do ac. min. Gilmar Mendes, j. 10-10-2002, P, DJ de 25-11-2005.]</w:t>
      </w:r>
    </w:p>
    <w:p>
      <w:pPr>
        <w:ind w:left="288"/>
      </w:pPr>
      <w:r>
        <w:rPr>
          <w:color w:val="8C8C8C"/>
          <w:sz w:val="12"/>
        </w:rPr>
        <w:t>cf-art-96-inc-II-ali-a</w:t>
      </w:r>
      <w:r>
        <w:rPr>
          <w:color w:val="003CA0"/>
          <w:sz w:val="12"/>
        </w:rPr>
        <w:t xml:space="preserve"> | ADI 965</w:t>
      </w:r>
      <w:r>
        <w:rPr>
          <w:color w:val="003CA0"/>
          <w:sz w:val="12"/>
        </w:rPr>
        <w:t xml:space="preserve"> | rel. Maurício Corrêa</w:t>
      </w:r>
    </w:p>
    <w:p>
      <w:pPr>
        <w:ind w:left="288"/>
      </w:pPr>
      <w:r>
        <w:rPr>
          <w:color w:val="1E1E1E"/>
          <w:sz w:val="18"/>
        </w:rPr>
        <w:t>Reajuste de vencimentos decorrente de atualização monetária. Extensão aos membros da magistratura. A exigência de lei formal, de iniciativa do Poder Judiciário, aplica-se às hipóteses de aumento real de vencimentos e não às de extensão, aos magistrados, dos reajustes gerais de vencimentos do funcionalismo estadual.</w:t>
      </w:r>
    </w:p>
    <w:p>
      <w:pPr>
        <w:ind w:left="288"/>
      </w:pPr>
      <w:r>
        <w:rPr>
          <w:b/>
          <w:color w:val="003CA0"/>
          <w:sz w:val="16"/>
        </w:rPr>
        <w:t>[ADI 965, rel. min. Maurício Corrêa, j. 3-8-1998, P, DJ de 8-9-2000.]</w:t>
      </w:r>
    </w:p>
    <w:p>
      <w:pPr>
        <w:ind w:left="144"/>
      </w:pPr>
      <w:r>
        <w:rPr>
          <w:b/>
          <w:color w:val="B45A00"/>
          <w:sz w:val="16"/>
        </w:rPr>
        <w:t>JULGADOS CORRELATOS</w:t>
      </w:r>
    </w:p>
    <w:p>
      <w:pPr>
        <w:ind w:left="288"/>
      </w:pPr>
      <w:r>
        <w:rPr>
          <w:color w:val="8C8C8C"/>
          <w:sz w:val="12"/>
        </w:rPr>
        <w:t>cf-art-96-inc-II-ali-a</w:t>
      </w:r>
      <w:r>
        <w:rPr>
          <w:color w:val="003CA0"/>
          <w:sz w:val="12"/>
        </w:rPr>
        <w:t xml:space="preserve"> | AO 1.710</w:t>
      </w:r>
      <w:r>
        <w:rPr>
          <w:color w:val="003CA0"/>
          <w:sz w:val="12"/>
        </w:rPr>
        <w:t xml:space="preserve"> | rel. Marco Aurélio</w:t>
      </w:r>
    </w:p>
    <w:p>
      <w:pPr>
        <w:ind w:left="288"/>
      </w:pPr>
      <w:r>
        <w:rPr>
          <w:color w:val="1E1E1E"/>
          <w:sz w:val="18"/>
        </w:rPr>
        <w:t>A magistratura foi beneficiada pela equivalência prevista no art. 1º, parágrafo único, da Lei 8.448/1992, presente o disposto no art. 93, V, da CF, surgindo, ante o escalonamento, valores absolutos a serem atualizados segundo os percentuais próprios, mostrando-se desinfluente legislação que veio a versar diferenças inferiores.</w:t>
      </w:r>
    </w:p>
    <w:p>
      <w:pPr>
        <w:ind w:left="288"/>
      </w:pPr>
      <w:r>
        <w:rPr>
          <w:b/>
          <w:color w:val="003CA0"/>
          <w:sz w:val="16"/>
        </w:rPr>
        <w:t>[AO 1.710, rel. min. Marco Aurélio, j. 3-12-2013, 1ª T, DJE de 18-12-2013.]</w:t>
      </w:r>
    </w:p>
    <w:p>
      <w:pPr>
        <w:ind w:left="288"/>
      </w:pPr>
      <w:r>
        <w:rPr>
          <w:color w:val="8C8C8C"/>
          <w:sz w:val="12"/>
        </w:rPr>
        <w:t>cf-art-96-inc-II-ali-a</w:t>
      </w:r>
      <w:r>
        <w:rPr>
          <w:color w:val="003CA0"/>
          <w:sz w:val="12"/>
        </w:rPr>
        <w:t xml:space="preserve"> | AO 1.609</w:t>
      </w:r>
      <w:r>
        <w:rPr>
          <w:color w:val="003CA0"/>
          <w:sz w:val="12"/>
        </w:rPr>
        <w:t xml:space="preserve"> | rel. Cármen Lúcia</w:t>
      </w:r>
    </w:p>
    <w:p>
      <w:pPr>
        <w:ind w:left="288"/>
      </w:pPr>
      <w:r>
        <w:rPr>
          <w:color w:val="1E1E1E"/>
          <w:sz w:val="18"/>
        </w:rPr>
        <w:t>Vide AO 1.609 AgR, rel. min. Cármen Lúcia, j. 8-11-2011, 1ª T, DJE de 30-11-2011 Incorporação de diferença da parcela autônoma de equivalência por juízes do trabalho, no mesmo percentual conferido aos ministros do STF. Pretensão amparada em decisão administrativa do TST que teve sua eficácia suspensa por este Supremo Tribunal na ADI 1.899/DF. Necessidade de lei formal para majoração dos vencimentos de magistrado.</w:t>
      </w:r>
    </w:p>
    <w:p>
      <w:pPr>
        <w:ind w:left="288"/>
      </w:pPr>
      <w:r>
        <w:rPr>
          <w:b/>
          <w:color w:val="003CA0"/>
          <w:sz w:val="16"/>
        </w:rPr>
        <w:t>[AO 1.609 AgR, rel. min. Cármen Lúcia, j. 8-11-2011, 1ª T, DJE de 30-11-2011.]</w:t>
      </w:r>
    </w:p>
    <w:p>
      <w:pPr>
        <w:ind w:left="288"/>
      </w:pPr>
      <w:r>
        <w:rPr>
          <w:color w:val="8C8C8C"/>
          <w:sz w:val="12"/>
        </w:rPr>
        <w:t>cf-art-96-inc-II-ali-a</w:t>
      </w:r>
      <w:r>
        <w:rPr>
          <w:color w:val="003CA0"/>
          <w:sz w:val="12"/>
        </w:rPr>
        <w:t xml:space="preserve"> | RE 218.874</w:t>
      </w:r>
      <w:r>
        <w:rPr>
          <w:color w:val="003CA0"/>
          <w:sz w:val="12"/>
        </w:rPr>
        <w:t xml:space="preserve"> | rel. Eros Grau</w:t>
      </w:r>
    </w:p>
    <w:p>
      <w:pPr>
        <w:ind w:left="288"/>
      </w:pPr>
      <w:r>
        <w:rPr>
          <w:color w:val="1E1E1E"/>
          <w:sz w:val="18"/>
        </w:rPr>
        <w:t>Reajuste automático de vencimentos dos servidores do Estado-membro, vinculado ao incremento da arrecadação do ICMS e a índice de correção monetária. Ofensa ao disposto nos arts. 37, XIII; 96, II, b; e 167, IV, da Constituição do Brasil.</w:t>
      </w:r>
    </w:p>
    <w:p>
      <w:pPr>
        <w:ind w:left="288"/>
      </w:pPr>
      <w:r>
        <w:rPr>
          <w:b/>
          <w:color w:val="003CA0"/>
          <w:sz w:val="16"/>
        </w:rPr>
        <w:t>[RE 218.874, rel. min. Eros Grau, j. 7-11-2007, P, DJ de 1º-2-2008.]</w:t>
      </w:r>
    </w:p>
    <w:p>
      <w:pPr>
        <w:ind w:left="288"/>
      </w:pPr>
      <w:r>
        <w:rPr>
          <w:color w:val="8C8C8C"/>
          <w:sz w:val="12"/>
        </w:rPr>
        <w:t>cf-art-96-inc-II-ali-a</w:t>
      </w:r>
      <w:r>
        <w:rPr>
          <w:color w:val="003CA0"/>
          <w:sz w:val="12"/>
        </w:rPr>
        <w:t xml:space="preserve"> | RMS 22.875</w:t>
      </w:r>
      <w:r>
        <w:rPr>
          <w:color w:val="003CA0"/>
          <w:sz w:val="12"/>
        </w:rPr>
        <w:t xml:space="preserve"> | rel. Maurício Corrêa</w:t>
      </w:r>
    </w:p>
    <w:p>
      <w:pPr>
        <w:ind w:left="288"/>
      </w:pPr>
      <w:r>
        <w:rPr>
          <w:color w:val="1E1E1E"/>
          <w:sz w:val="18"/>
        </w:rPr>
        <w:t>Função pública exercida por servidores do STJ, em virtude do disposto no art. 61, § 1º, a, c/c o art. 96, II, b, da Carta Magna, deve ser instituída por lei de iniciativa do próprio Tribunal, sendo considerada inexistente aquela criada por ato administrativo. Em consequência, se as funções correlatas foram criadas por resolução do Tribunal, os servidores não fazem jus à gratificação de gabinete.</w:t>
      </w:r>
    </w:p>
    <w:p>
      <w:pPr>
        <w:ind w:left="288"/>
      </w:pPr>
      <w:r>
        <w:rPr>
          <w:b/>
          <w:color w:val="003CA0"/>
          <w:sz w:val="16"/>
        </w:rPr>
        <w:t>[RMS 22.875, rel. min. Maurício Corrêa, j. 30-6-1998, 2ª T, DJ de 11-9-1998.]</w:t>
      </w:r>
    </w:p>
    <w:p>
      <w:pPr>
        <w:ind w:left="288"/>
      </w:pPr>
      <w:r>
        <w:rPr>
          <w:color w:val="8C8C8C"/>
          <w:sz w:val="12"/>
        </w:rPr>
        <w:t>cf-art-96-inc-II-ali-a</w:t>
      </w:r>
      <w:r>
        <w:rPr>
          <w:color w:val="003CA0"/>
          <w:sz w:val="12"/>
        </w:rPr>
        <w:t xml:space="preserve"> | ADI 1.776</w:t>
      </w:r>
      <w:r>
        <w:rPr>
          <w:color w:val="003CA0"/>
          <w:sz w:val="12"/>
        </w:rPr>
        <w:t xml:space="preserve"> | rel. Dias Toffoli</w:t>
      </w:r>
    </w:p>
    <w:p>
      <w:pPr>
        <w:ind w:left="288"/>
      </w:pPr>
      <w:r>
        <w:rPr>
          <w:color w:val="1E1E1E"/>
          <w:sz w:val="18"/>
        </w:rPr>
        <w:t>= ADI 1.776, rel. min. Dias Toffoli, j. 4-9-2014, P, DJE de 8-10-2014</w:t>
      </w:r>
    </w:p>
    <w:p>
      <w:pPr>
        <w:ind w:left="144"/>
      </w:pPr>
      <w:r>
        <w:rPr>
          <w:b/>
          <w:color w:val="B45A00"/>
          <w:sz w:val="16"/>
        </w:rPr>
        <w:t>CONTROLE CONCENTRADO</w:t>
      </w:r>
    </w:p>
    <w:p>
      <w:pPr>
        <w:ind w:left="288"/>
      </w:pPr>
      <w:r>
        <w:rPr>
          <w:color w:val="8C8C8C"/>
          <w:sz w:val="12"/>
        </w:rPr>
        <w:t>cf-art-96-inc-II-ali-c</w:t>
      </w:r>
      <w:r>
        <w:rPr>
          <w:color w:val="003CA0"/>
          <w:sz w:val="12"/>
        </w:rPr>
        <w:t xml:space="preserve"> | ADI 2.011</w:t>
      </w:r>
      <w:r>
        <w:rPr>
          <w:color w:val="003CA0"/>
          <w:sz w:val="12"/>
        </w:rPr>
        <w:t xml:space="preserve"> | rel. Ilmar Galvão</w:t>
      </w:r>
    </w:p>
    <w:p>
      <w:pPr>
        <w:ind w:left="288"/>
      </w:pPr>
      <w:r>
        <w:rPr>
          <w:color w:val="1E1E1E"/>
          <w:sz w:val="18"/>
        </w:rPr>
        <w:t>A CF reservou aos tribunais de justiça a iniciativa legislativa relacionada à auto-organização da magistratura, não restando ao constituinte ou ao legislador estadual senão reproduzir os respectivos textos na Carta estadual, sem qualquer margem para obviar a exigência da Carta Federal.</w:t>
      </w:r>
    </w:p>
    <w:p>
      <w:pPr>
        <w:ind w:left="288"/>
      </w:pPr>
      <w:r>
        <w:rPr>
          <w:b/>
          <w:color w:val="003CA0"/>
          <w:sz w:val="16"/>
        </w:rPr>
        <w:t>[ADI 2.011 MC, rel. min. Ilmar Galvão, j. 30-6-1999, P, DJ de 4-4-2003.]</w:t>
      </w:r>
    </w:p>
    <w:p>
      <w:pPr>
        <w:ind w:left="288"/>
      </w:pPr>
      <w:r>
        <w:rPr>
          <w:color w:val="8C8C8C"/>
          <w:sz w:val="12"/>
        </w:rPr>
        <w:t>cf-art-96-inc-II-ali-d</w:t>
      </w:r>
      <w:r>
        <w:rPr>
          <w:color w:val="003CA0"/>
          <w:sz w:val="12"/>
        </w:rPr>
        <w:t xml:space="preserve"> | ADI 5.681</w:t>
      </w:r>
      <w:r>
        <w:rPr>
          <w:color w:val="003CA0"/>
          <w:sz w:val="12"/>
        </w:rPr>
        <w:t xml:space="preserve"> | rel. Cármen Lúcia</w:t>
      </w:r>
    </w:p>
    <w:p>
      <w:pPr>
        <w:ind w:left="288"/>
      </w:pPr>
      <w:r>
        <w:rPr>
          <w:color w:val="1E1E1E"/>
          <w:sz w:val="18"/>
        </w:rPr>
        <w:t>Ação direta de inconstitucionalidade. Resolução n. 14/2008 do Tribunal de Justiça do Espírito Santo. Desanexação de serventias extrajudiciais por resolução do tribunal de justiça. Descumprimento da exigência constitucional de lei formal. Disciplina sobre organização judiciária. Al d do inc. II do art. 96 e § 1º do art. 125 da constituição da república. Ação julgada procedente. Modulação dos efeitos do julgado.</w:t>
      </w:r>
    </w:p>
    <w:p>
      <w:pPr>
        <w:ind w:left="288"/>
      </w:pPr>
      <w:r>
        <w:rPr>
          <w:b/>
          <w:color w:val="003CA0"/>
          <w:sz w:val="16"/>
        </w:rPr>
        <w:t>[ADI 5.681, rel.  min. Cármen Lúcia, j. 23-11-2020, P, DJE de 3-12-2020.]</w:t>
      </w:r>
    </w:p>
    <w:p>
      <w:pPr>
        <w:ind w:left="288"/>
      </w:pPr>
      <w:r>
        <w:rPr>
          <w:color w:val="8C8C8C"/>
          <w:sz w:val="12"/>
        </w:rPr>
        <w:t>cf-art-96-inc-II-ali-d</w:t>
      </w:r>
      <w:r>
        <w:rPr>
          <w:color w:val="003CA0"/>
          <w:sz w:val="12"/>
        </w:rPr>
        <w:t xml:space="preserve"> | ADI 3.915</w:t>
      </w:r>
      <w:r>
        <w:rPr>
          <w:color w:val="003CA0"/>
          <w:sz w:val="12"/>
        </w:rPr>
        <w:t xml:space="preserve"> | rel. Alexandre de Moraes</w:t>
      </w:r>
    </w:p>
    <w:p>
      <w:pPr>
        <w:ind w:left="288"/>
      </w:pPr>
      <w:r>
        <w:rPr>
          <w:color w:val="1E1E1E"/>
          <w:sz w:val="18"/>
        </w:rPr>
        <w:t>É inválida a inclusão de norma com conteúdo próprio à disciplina dos regimentos internos dos tribunais, por emenda parlamentar, ao projeto de lei apresentado pelo tribunal de justiça com o propósito de dispor sobre a organização judiciária do Estado, uma vez que violada a reserva de iniciativa disposta no art. 96, II, d, da CF, prevalecendo a previsão do Regimento Interno que comete aos órgãos fracionários do tribunal (câmaras criminais) a competência para julgamento dos prefeitos.</w:t>
      </w:r>
    </w:p>
    <w:p>
      <w:pPr>
        <w:ind w:left="288"/>
      </w:pPr>
      <w:r>
        <w:rPr>
          <w:b/>
          <w:color w:val="003CA0"/>
          <w:sz w:val="16"/>
        </w:rPr>
        <w:t>[ADI 3.915, rel. min. Alexandre de Moraes, j. 20-6-2018, P, DJE de 28-6-2018.]</w:t>
      </w:r>
    </w:p>
    <w:p>
      <w:pPr>
        <w:ind w:left="288"/>
      </w:pPr>
      <w:r>
        <w:rPr>
          <w:color w:val="8C8C8C"/>
          <w:sz w:val="12"/>
        </w:rPr>
        <w:t>cf-art-96-inc-II-ali-d</w:t>
      </w:r>
      <w:r>
        <w:rPr>
          <w:color w:val="003CA0"/>
          <w:sz w:val="12"/>
        </w:rPr>
        <w:t xml:space="preserve"> | ADI 4.140</w:t>
      </w:r>
      <w:r>
        <w:rPr>
          <w:color w:val="003CA0"/>
          <w:sz w:val="12"/>
        </w:rPr>
        <w:t xml:space="preserve"> | rel. Ellen Gracie</w:t>
      </w:r>
    </w:p>
    <w:p>
      <w:pPr>
        <w:ind w:left="288"/>
      </w:pPr>
      <w:r>
        <w:rPr>
          <w:color w:val="1E1E1E"/>
          <w:sz w:val="18"/>
        </w:rPr>
        <w:t>A despeito da manutenção do número absoluto de cartórios existentes nas comarcas envolvidas, todos previamente criados por lei estadual, a recombinação de serviços notariais e de registro levada a efeito pela Resolução 2/2008 do Conselho Superior da Magistratura do Estado de Goiás importou não só em novas e excessivas acumulações, como também na multiplicação de determinados serviços extrajudiciais e no inequívoco surgimento de serventias até então inexistentes. A substancial modificação da organização judiciária do Estado de Goiás sem a respectiva edição da legislação estadual pertinente viol</w:t>
      </w:r>
    </w:p>
    <w:p>
      <w:pPr>
        <w:ind w:left="288"/>
      </w:pPr>
      <w:r>
        <w:rPr>
          <w:b/>
          <w:color w:val="003CA0"/>
          <w:sz w:val="16"/>
        </w:rPr>
        <w:t>[ADI 4.140, rel. min. Ellen Gracie, j. 29-6-2011, P, DJE de 20-9-2011.]</w:t>
      </w:r>
    </w:p>
    <w:p>
      <w:pPr>
        <w:ind w:left="288"/>
      </w:pPr>
      <w:r>
        <w:rPr>
          <w:color w:val="8C8C8C"/>
          <w:sz w:val="12"/>
        </w:rPr>
        <w:t>cf-art-96-inc-II-ali-d</w:t>
      </w:r>
      <w:r>
        <w:rPr>
          <w:color w:val="003CA0"/>
          <w:sz w:val="12"/>
        </w:rPr>
        <w:t xml:space="preserve"> | ADI 1.935</w:t>
      </w:r>
      <w:r>
        <w:rPr>
          <w:color w:val="003CA0"/>
          <w:sz w:val="12"/>
        </w:rPr>
        <w:t xml:space="preserve"> | rel. Carlos Velloso</w:t>
      </w:r>
    </w:p>
    <w:p>
      <w:pPr>
        <w:ind w:left="288"/>
      </w:pPr>
      <w:r>
        <w:rPr>
          <w:color w:val="1E1E1E"/>
          <w:sz w:val="18"/>
        </w:rPr>
        <w:t>É pacífica a jurisprudência do STF no sentido de que as leis que disponham sobre serventias judiciais e extrajudiciais são de iniciativa privativa dos tribunais de justiça, a teor do que dispõem as alíneas b e d do inciso II do art. 96 da Constituição da República. Precedentes: ADI 1.935/RO, rel. min. Carlos Velloso, DJ de 4-10-2002; ADI 865 MC/MA, rel. min. Celso de Mello, DJ de 8-4-1994.</w:t>
      </w:r>
    </w:p>
    <w:p>
      <w:pPr>
        <w:ind w:left="288"/>
      </w:pPr>
      <w:r>
        <w:rPr>
          <w:b/>
          <w:color w:val="003CA0"/>
          <w:sz w:val="16"/>
        </w:rPr>
        <w:t>[ADI 3.773, rel. min. Menezes Direito, j. 4-3-2009, P, DJE de 4-9-2009.]</w:t>
      </w:r>
    </w:p>
    <w:p>
      <w:pPr>
        <w:ind w:left="288"/>
      </w:pPr>
      <w:r>
        <w:rPr>
          <w:color w:val="8C8C8C"/>
          <w:sz w:val="12"/>
        </w:rPr>
        <w:t>cf-art-96-inc-II-ali-d</w:t>
      </w:r>
      <w:r>
        <w:rPr>
          <w:color w:val="003CA0"/>
          <w:sz w:val="12"/>
        </w:rPr>
        <w:t xml:space="preserve"> | ADI 4.140</w:t>
      </w:r>
      <w:r>
        <w:rPr>
          <w:color w:val="003CA0"/>
          <w:sz w:val="12"/>
        </w:rPr>
        <w:t xml:space="preserve"> | rel. Ellen Gracie</w:t>
      </w:r>
    </w:p>
    <w:p>
      <w:pPr>
        <w:ind w:left="288"/>
      </w:pPr>
      <w:r>
        <w:rPr>
          <w:color w:val="1E1E1E"/>
          <w:sz w:val="18"/>
        </w:rPr>
        <w:t>= ADI 4.140, rel. min. Ellen Gracie, j. 29-6-2011, P, DJE de 20-9-2011 Iniciativa: embora não privativamente, compete ao tribunal de justiça deflagrar o processo de elaboração de leis que disponham sobre a instituição do selo de controle administrativo dos atos dos serviços notariais e de registro (alínea d do inciso II do art. 96 c/c o § 1º do art. 236 da Carta Federal).</w:t>
      </w:r>
    </w:p>
    <w:p>
      <w:pPr>
        <w:ind w:left="288"/>
      </w:pPr>
      <w:r>
        <w:rPr>
          <w:b/>
          <w:color w:val="003CA0"/>
          <w:sz w:val="16"/>
        </w:rPr>
        <w:t>[ADI 3.151, rel. min. Ayres Britto, j. 8-6-2005, 2ª T, DJ de 28-4-2006.]</w:t>
      </w:r>
    </w:p>
    <w:p>
      <w:pPr>
        <w:ind w:left="144"/>
      </w:pPr>
      <w:r>
        <w:rPr>
          <w:b/>
          <w:color w:val="B45A00"/>
          <w:sz w:val="16"/>
        </w:rPr>
        <w:t>JULGADOS CORRELATOS</w:t>
      </w:r>
    </w:p>
    <w:p>
      <w:pPr>
        <w:ind w:left="288"/>
      </w:pPr>
      <w:r>
        <w:rPr>
          <w:color w:val="8C8C8C"/>
          <w:sz w:val="12"/>
        </w:rPr>
        <w:t>cf-art-96-inc-II-ali-d</w:t>
      </w:r>
      <w:r>
        <w:rPr>
          <w:color w:val="003CA0"/>
          <w:sz w:val="12"/>
        </w:rPr>
        <w:t xml:space="preserve"> | HC 91.024</w:t>
      </w:r>
      <w:r>
        <w:rPr>
          <w:color w:val="003CA0"/>
          <w:sz w:val="12"/>
        </w:rPr>
        <w:t xml:space="preserve"> | rel. Ellen Gracie</w:t>
      </w:r>
    </w:p>
    <w:p>
      <w:pPr>
        <w:ind w:left="288"/>
      </w:pPr>
      <w:r>
        <w:rPr>
          <w:color w:val="1E1E1E"/>
          <w:sz w:val="18"/>
        </w:rPr>
        <w:t>O mérito envolve a interpretação da norma constitucional que atribui aos tribunais de justiça propor ao Poder Legislativo respectivo, em consonância com os limites orçamentários, a alteração da organização e divisão judiciárias (...). O Poder Judiciário tem competência para dispor sobre especialização de varas, porque é matéria que se insere no âmbito da organização judiciária dos tribunais. O tema referente à organização judiciária não se encontra restrito ao campo de incidência exclusiva da lei, eis que depende da integração dos critérios preestabelecidos na Constituição, nas leis e nos regi</w:t>
      </w:r>
    </w:p>
    <w:p>
      <w:pPr>
        <w:ind w:left="288"/>
      </w:pPr>
      <w:r>
        <w:rPr>
          <w:b/>
          <w:color w:val="003CA0"/>
          <w:sz w:val="16"/>
        </w:rPr>
        <w:t>[HC 91.024, rel. min. Ellen Gracie, j. 5-8-2008, 2ª T, DJE de 22-8-2008.]</w:t>
      </w:r>
    </w:p>
    <w:p>
      <w:pPr>
        <w:ind w:left="288"/>
      </w:pPr>
      <w:r>
        <w:rPr>
          <w:color w:val="8C8C8C"/>
          <w:sz w:val="12"/>
        </w:rPr>
        <w:t>cf-art-96-inc-II-ali-d</w:t>
      </w:r>
      <w:r>
        <w:rPr>
          <w:color w:val="003CA0"/>
          <w:sz w:val="12"/>
        </w:rPr>
        <w:t xml:space="preserve"> | RE 377.356</w:t>
      </w:r>
      <w:r>
        <w:rPr>
          <w:color w:val="003CA0"/>
          <w:sz w:val="12"/>
        </w:rPr>
        <w:t xml:space="preserve"> | rel. Cezar Peluso</w:t>
      </w:r>
    </w:p>
    <w:p>
      <w:pPr>
        <w:ind w:left="288"/>
      </w:pPr>
      <w:r>
        <w:rPr>
          <w:color w:val="1E1E1E"/>
          <w:sz w:val="18"/>
        </w:rPr>
        <w:t>III - aos Tribunais de Justiça julgar os juízes estaduais e do Distrito Federal e Territórios, bem como os membros do Ministério Público, nos crimes comuns e de responsabilidade, ressalvada a competência da Justiça Eleitoral. Não cabe a juízo da Justiça estadual, mas a TRF, conhecer de pedido de habeas corpus contra ato de membro do MPF.</w:t>
      </w:r>
    </w:p>
    <w:p>
      <w:pPr>
        <w:ind w:left="288"/>
      </w:pPr>
      <w:r>
        <w:rPr>
          <w:b/>
          <w:color w:val="003CA0"/>
          <w:sz w:val="16"/>
        </w:rPr>
        <w:t>[RE 377.356, rel. min. Cezar Peluso, j. 7-10-2008, 2ª T, DJE de 28-11-2008.]</w:t>
      </w:r>
    </w:p>
    <w:p>
      <w:pPr>
        <w:ind w:left="288"/>
      </w:pPr>
      <w:r>
        <w:rPr>
          <w:color w:val="8C8C8C"/>
          <w:sz w:val="12"/>
        </w:rPr>
        <w:t>cf-art-96-inc-II-ali-d</w:t>
      </w:r>
      <w:r>
        <w:rPr>
          <w:color w:val="003CA0"/>
          <w:sz w:val="12"/>
        </w:rPr>
        <w:t xml:space="preserve"> | HC 86.009</w:t>
      </w:r>
      <w:r>
        <w:rPr>
          <w:color w:val="003CA0"/>
          <w:sz w:val="12"/>
        </w:rPr>
        <w:t xml:space="preserve"> | rel. Ayres Britto</w:t>
      </w:r>
    </w:p>
    <w:p>
      <w:pPr>
        <w:ind w:left="288"/>
      </w:pPr>
      <w:r>
        <w:rPr>
          <w:color w:val="1E1E1E"/>
          <w:sz w:val="18"/>
        </w:rPr>
        <w:t>Tendo em vista que o STF, modificando sua jurisprudência, assentou a competência dos tribunais de justiça estaduais para julgar habeas corpus contra ato de turmas recursais dos juizados especiais, impõe-se a imediata remessa dos autos à respectiva corte local para reinício do julgamento da causa, ficando sem efeito os votos já proferidos. Mesmo tratando-se de alteração de competência por efeito de mutação constitucional (nova interpretação à CF), e não propriamente de alteração no texto da Lei Fundamental, o fato é que se tem, na espécie, hipótese de competência absoluta (em razão do grau de j</w:t>
      </w:r>
    </w:p>
    <w:p>
      <w:pPr>
        <w:ind w:left="288"/>
      </w:pPr>
      <w:r>
        <w:rPr>
          <w:b/>
          <w:color w:val="003CA0"/>
          <w:sz w:val="16"/>
        </w:rPr>
        <w:t>[HC 86.009 QO, rel. min. Ayres Britto, j. 29-8-2006, 1ª T, DJ de 27-4-2007.]</w:t>
      </w:r>
    </w:p>
    <w:p>
      <w:pPr>
        <w:ind w:left="288"/>
      </w:pPr>
      <w:r>
        <w:rPr>
          <w:color w:val="8C8C8C"/>
          <w:sz w:val="12"/>
        </w:rPr>
        <w:t>cf-art-96-inc-II-ali-d</w:t>
      </w:r>
      <w:r>
        <w:rPr>
          <w:color w:val="003CA0"/>
          <w:sz w:val="12"/>
        </w:rPr>
        <w:t xml:space="preserve"> | HC 86.834</w:t>
      </w:r>
      <w:r>
        <w:rPr>
          <w:color w:val="003CA0"/>
          <w:sz w:val="12"/>
        </w:rPr>
        <w:t xml:space="preserve"> | rel. Marco Aurélio</w:t>
      </w:r>
    </w:p>
    <w:p>
      <w:pPr>
        <w:ind w:left="288"/>
      </w:pPr>
      <w:r>
        <w:rPr>
          <w:color w:val="1E1E1E"/>
          <w:sz w:val="18"/>
        </w:rPr>
        <w:t>Competência. Habeas corpus. Definição. A competência para o julgamento do habeas corpus é definida pelos envolvidos – paciente e impetrante. Competência. Habeas corpus. Ato de turma recursal. Estando os integrantes das turmas recursais dos juizados especiais submetidos, nos crimes comuns e nos de responsabilidade, à jurisdição do Tribunal de Justiça ou do TRF, incumbe a cada qual, conforme o caso, julgar os habeas impetrados contra ato que tenham praticado. Competência. Habeas corpus. Liminar. Uma vez ocorrida a declinação da competência, cumpre preservar o quadro decisório decorrente do defer</w:t>
      </w:r>
    </w:p>
    <w:p>
      <w:pPr>
        <w:ind w:left="288"/>
      </w:pPr>
      <w:r>
        <w:rPr>
          <w:b/>
          <w:color w:val="003CA0"/>
          <w:sz w:val="16"/>
        </w:rPr>
        <w:t>[HC 86.834, rel. min. Marco Aurélio, j. 23-8-2006, P, DJ de 9-3-2007.]</w:t>
      </w:r>
    </w:p>
    <w:p>
      <w:pPr>
        <w:ind w:left="288"/>
      </w:pPr>
      <w:r>
        <w:rPr>
          <w:color w:val="8C8C8C"/>
          <w:sz w:val="12"/>
        </w:rPr>
        <w:t>cf-art-96-inc-II-ali-d</w:t>
      </w:r>
      <w:r>
        <w:rPr>
          <w:color w:val="003CA0"/>
          <w:sz w:val="12"/>
        </w:rPr>
        <w:t xml:space="preserve"> | HC 85.240</w:t>
      </w:r>
      <w:r>
        <w:rPr>
          <w:color w:val="003CA0"/>
          <w:sz w:val="12"/>
        </w:rPr>
        <w:t xml:space="preserve"> | rel. Ayres Britto</w:t>
      </w:r>
    </w:p>
    <w:p>
      <w:pPr>
        <w:ind w:left="288"/>
      </w:pPr>
      <w:r>
        <w:rPr>
          <w:color w:val="1E1E1E"/>
          <w:sz w:val="18"/>
        </w:rPr>
        <w:t>= HC 85.240, rel. min. Ayres Britto, j. 14-2-2008, P, DJE de 19-9-2008 Competência por prerrogativa de função do tribunal de justiça para julgar crime contra a honra de magistrado estadual em função eleitoral, praticado por juiz de direito (CF, art. 96, III). Firme a jurisprudência do Supremo Tribunal no sentido de que a única ressalva à competência por prerrogativa de função do tribunal de justiça para julgar juízes estaduais, nos crimes comuns e de responsabilidade, é a competência da Justiça Eleitoral: precedentes.</w:t>
      </w:r>
    </w:p>
    <w:p>
      <w:pPr>
        <w:ind w:left="288"/>
      </w:pPr>
      <w:r>
        <w:rPr>
          <w:b/>
          <w:color w:val="003CA0"/>
          <w:sz w:val="16"/>
        </w:rPr>
        <w:t>[RE 398.042, rel. min. Sepúlveda Pertence, j. 2-12-2003, 1ª T, DJ de 6-2-2004.]</w:t>
      </w:r>
    </w:p>
    <w:p>
      <w:pPr>
        <w:ind w:left="288"/>
      </w:pPr>
      <w:r>
        <w:rPr>
          <w:color w:val="8C8C8C"/>
          <w:sz w:val="12"/>
        </w:rPr>
        <w:t>cf-art-96-inc-II-ali-d</w:t>
      </w:r>
      <w:r>
        <w:rPr>
          <w:color w:val="003CA0"/>
          <w:sz w:val="12"/>
        </w:rPr>
        <w:t xml:space="preserve"> | HC 77.558</w:t>
      </w:r>
      <w:r>
        <w:rPr>
          <w:color w:val="003CA0"/>
          <w:sz w:val="12"/>
        </w:rPr>
        <w:t xml:space="preserve"> | rel. Carlos Velloso</w:t>
      </w:r>
    </w:p>
    <w:p>
      <w:pPr>
        <w:ind w:left="288"/>
      </w:pPr>
      <w:r>
        <w:rPr>
          <w:color w:val="1E1E1E"/>
          <w:sz w:val="18"/>
        </w:rPr>
        <w:t>Nos termos do art. 96, III, da Constituição, compete aos tribunais de justiça julgar os juízes estaduais, mesmo quando acusados de crimes de competência da Justiça Federal.</w:t>
      </w:r>
    </w:p>
    <w:p>
      <w:pPr>
        <w:ind w:left="288"/>
      </w:pPr>
      <w:r>
        <w:rPr>
          <w:b/>
          <w:color w:val="003CA0"/>
          <w:sz w:val="16"/>
        </w:rPr>
        <w:t>[HC 77.558, rel. min. Carlos Velloso, j. 16-3-1999, 2ª T, DJ de 7-5-1999.]</w:t>
      </w:r>
    </w:p>
    <w:p>
      <w:pPr>
        <w:ind w:left="288"/>
      </w:pPr>
      <w:r>
        <w:rPr>
          <w:color w:val="8C8C8C"/>
          <w:sz w:val="12"/>
        </w:rPr>
        <w:t>cf-art-96-inc-II-ali-d</w:t>
      </w:r>
      <w:r>
        <w:rPr>
          <w:color w:val="003CA0"/>
          <w:sz w:val="12"/>
        </w:rPr>
        <w:t xml:space="preserve"> | RE 141.209</w:t>
      </w:r>
      <w:r>
        <w:rPr>
          <w:color w:val="003CA0"/>
          <w:sz w:val="12"/>
        </w:rPr>
        <w:t xml:space="preserve"> | rel. Sepúlveda Pertence</w:t>
      </w:r>
    </w:p>
    <w:p>
      <w:pPr>
        <w:ind w:left="288"/>
      </w:pPr>
      <w:r>
        <w:rPr>
          <w:color w:val="1E1E1E"/>
          <w:sz w:val="18"/>
        </w:rPr>
        <w:t>Não é exaustivo o rol dos casos de habeas corpus de competência originária dos tribunais de justiça, constante do art. 650 do CPP, porque a competência originária por prerrogativa de função, dita ratione personae ou ratione muneris, quando conferida pela Constituição da República ou por lei federal, na órbita da jurisdição dos Estados, impõe-se como mínimo a ser observado pelo ordenamento local: a este, no entanto, é que incumbe, respeitado o raio mínimo imposto pela ordem central, fixar-lhe a área total.</w:t>
      </w:r>
    </w:p>
    <w:p>
      <w:pPr>
        <w:ind w:left="288"/>
      </w:pPr>
      <w:r>
        <w:rPr>
          <w:b/>
          <w:color w:val="003CA0"/>
          <w:sz w:val="16"/>
        </w:rPr>
        <w:t>[RE 141.209, rel. min. Sepúlveda Pertence, j. 4-2-1992, 1ª T, DJ de 20-3-1992.]</w:t>
      </w:r>
    </w:p>
    <w:p>
      <w:r>
        <w:rPr>
          <w:b/>
          <w:color w:val="003366"/>
          <w:sz w:val="20"/>
        </w:rPr>
        <w:t xml:space="preserve">Art. 97 Até que seja editada a lei complementar de que trata o § 15 do art. 100 </w:t>
      </w:r>
      <w:r>
        <w:rPr>
          <w:color w:val="8C8C8C"/>
          <w:sz w:val="14"/>
        </w:rPr>
        <w:t xml:space="preserve">  [29 decisoes]</w:t>
      </w:r>
    </w:p>
    <w:p>
      <w:pPr>
        <w:ind w:left="144"/>
      </w:pPr>
      <w:r>
        <w:rPr>
          <w:b/>
          <w:color w:val="B45A00"/>
          <w:sz w:val="16"/>
        </w:rPr>
        <w:t>SUMULA VINCULANTE</w:t>
      </w:r>
    </w:p>
    <w:p>
      <w:pPr>
        <w:ind w:left="288"/>
      </w:pPr>
      <w:r>
        <w:rPr>
          <w:color w:val="8C8C8C"/>
          <w:sz w:val="12"/>
        </w:rPr>
        <w:t>cf-art-97</w:t>
      </w:r>
    </w:p>
    <w:p>
      <w:pPr>
        <w:ind w:left="288"/>
      </w:pPr>
      <w:r>
        <w:rPr>
          <w:color w:val="1E1E1E"/>
          <w:sz w:val="18"/>
        </w:rPr>
        <w:t>Viola a cláusula de reserva de plenário (CF, art. 97) a decisão de órgão fracionário de tribunal que, embora não declare expressamente a inconstitucionalidade de lei ou ato normativo do poder público, afasta sua incidência, no todo ou em parte.</w:t>
      </w:r>
    </w:p>
    <w:p>
      <w:pPr>
        <w:ind w:left="288"/>
      </w:pPr>
      <w:r>
        <w:rPr>
          <w:b/>
          <w:color w:val="003CA0"/>
          <w:sz w:val="16"/>
        </w:rPr>
        <w:t>[Súmula Vinculante 10.]</w:t>
      </w:r>
    </w:p>
    <w:p>
      <w:pPr>
        <w:ind w:left="288"/>
      </w:pPr>
      <w:r>
        <w:rPr>
          <w:color w:val="8C8C8C"/>
          <w:sz w:val="12"/>
        </w:rPr>
        <w:t>cf-art-97</w:t>
      </w:r>
      <w:r>
        <w:rPr>
          <w:color w:val="003CA0"/>
          <w:sz w:val="12"/>
        </w:rPr>
        <w:t xml:space="preserve"> | ADPF 1.174</w:t>
      </w:r>
      <w:r>
        <w:rPr>
          <w:color w:val="003CA0"/>
          <w:sz w:val="12"/>
        </w:rPr>
        <w:t xml:space="preserve"> | rel. Alexandre de Moraes</w:t>
      </w:r>
    </w:p>
    <w:p>
      <w:pPr>
        <w:ind w:left="288"/>
      </w:pPr>
      <w:r>
        <w:rPr>
          <w:color w:val="1E1E1E"/>
          <w:sz w:val="18"/>
        </w:rPr>
        <w:t>A ausência de órgão especial, no âmbito dos Juizados, não pode acarretar a possibilidade de que cada Turma Recursal decida sobre a aplicabilidade de legislação local, ou mesmo sobre sua constitucionalidade, sem a concorrência de mecanismos de uniformização de jurisprudência, que garantam a igualdade e uniformidade na aplicação da lei.</w:t>
      </w:r>
    </w:p>
    <w:p>
      <w:pPr>
        <w:ind w:left="288"/>
      </w:pPr>
      <w:r>
        <w:rPr>
          <w:b/>
          <w:color w:val="003CA0"/>
          <w:sz w:val="16"/>
        </w:rPr>
        <w:t>[ADPF 1.174 MC-REF, rel. min. Alexandre de Moraes, j. 17.03.2025, P, DJE de 21.03.2025.]</w:t>
      </w:r>
    </w:p>
    <w:p>
      <w:pPr>
        <w:ind w:left="144"/>
      </w:pPr>
      <w:r>
        <w:rPr>
          <w:b/>
          <w:color w:val="B45A00"/>
          <w:sz w:val="16"/>
        </w:rPr>
        <w:t>CONTROLE CONCENTRADO</w:t>
      </w:r>
    </w:p>
    <w:p>
      <w:pPr>
        <w:ind w:left="288"/>
      </w:pPr>
      <w:r>
        <w:rPr>
          <w:color w:val="8C8C8C"/>
          <w:sz w:val="12"/>
        </w:rPr>
        <w:t>cf-art-97</w:t>
      </w:r>
      <w:r>
        <w:rPr>
          <w:color w:val="003CA0"/>
          <w:sz w:val="12"/>
        </w:rPr>
        <w:t xml:space="preserve"> | ADI 4.066</w:t>
      </w:r>
      <w:r>
        <w:rPr>
          <w:color w:val="003CA0"/>
          <w:sz w:val="12"/>
        </w:rPr>
        <w:t xml:space="preserve"> | rel. Rosa Weber</w:t>
      </w:r>
    </w:p>
    <w:p>
      <w:pPr>
        <w:ind w:left="288"/>
      </w:pPr>
      <w:r>
        <w:rPr>
          <w:color w:val="1E1E1E"/>
          <w:sz w:val="18"/>
        </w:rPr>
        <w:t>Quórum de julgamento constituído por nove ministros, considerados os impedimentos. Cinco votos pela procedência da ação direta, a fim de declarar a inconstitucionalidade, por proteção deficiente, da tolerância ao uso do amianto crisotila, da forma como encartada no art. 2º da Lei 9.055/1995, em face dos arts. 7º, XXII, 196 e 225 da Constituição da República. Quatro votos pela improcedência. Não atingido o quórum de seis votos (art. 23 da Lei 9.868/1999), maioria absoluta (art. 97 da Constituição da República), para proclamação da constitucionalidade ou inconstitucionalidade do dispositivo impu</w:t>
      </w:r>
    </w:p>
    <w:p>
      <w:pPr>
        <w:ind w:left="288"/>
      </w:pPr>
      <w:r>
        <w:rPr>
          <w:b/>
          <w:color w:val="003CA0"/>
          <w:sz w:val="16"/>
        </w:rPr>
        <w:t>[ARE 791.932, rel. min. Alexandre de Moraes, j. 11-10-2018, P, DJE de 6-3-2019, Tema 739, com mérito julgado.]</w:t>
      </w:r>
    </w:p>
    <w:p>
      <w:pPr>
        <w:ind w:left="288"/>
      </w:pPr>
      <w:r>
        <w:rPr>
          <w:color w:val="8C8C8C"/>
          <w:sz w:val="12"/>
        </w:rPr>
        <w:t>cf-art-97</w:t>
      </w:r>
      <w:r>
        <w:rPr>
          <w:color w:val="003CA0"/>
          <w:sz w:val="12"/>
        </w:rPr>
        <w:t xml:space="preserve"> | ARE 914.045</w:t>
      </w:r>
      <w:r>
        <w:rPr>
          <w:color w:val="003CA0"/>
          <w:sz w:val="12"/>
        </w:rPr>
        <w:t xml:space="preserve"> | rel. Edson Fachin</w:t>
      </w:r>
    </w:p>
    <w:p>
      <w:pPr>
        <w:ind w:left="288"/>
      </w:pPr>
      <w:r>
        <w:rPr>
          <w:color w:val="1E1E1E"/>
          <w:sz w:val="18"/>
        </w:rPr>
        <w:t>A jurisprudência pacífica desta Corte, agora reafirmada em sede de repercussão geral, entende que é desnecessária a submissão de demanda judicial à regra da reserva de plenário na hipótese em que a decisão judicial estiver fundada em jurisprudência do Plenário do STF ou em súmula deste Tribunal, nos termos dos arts. 97 da CF e 481, parágrafo único, do CPC.</w:t>
      </w:r>
    </w:p>
    <w:p>
      <w:pPr>
        <w:ind w:left="288"/>
      </w:pPr>
      <w:r>
        <w:rPr>
          <w:b/>
          <w:color w:val="003CA0"/>
          <w:sz w:val="16"/>
        </w:rPr>
        <w:t>[ARE 914.045 RG, rel. min. Edson Fachin, j. 15-10-2015, P, DJE de 19-11-2015, Tema 856, com mérito julgado.]</w:t>
      </w:r>
    </w:p>
    <w:p>
      <w:pPr>
        <w:ind w:left="288"/>
      </w:pPr>
      <w:r>
        <w:rPr>
          <w:color w:val="8C8C8C"/>
          <w:sz w:val="12"/>
        </w:rPr>
        <w:t>cf-art-97</w:t>
      </w:r>
      <w:r>
        <w:rPr>
          <w:color w:val="003CA0"/>
          <w:sz w:val="12"/>
        </w:rPr>
        <w:t xml:space="preserve"> | RE 580.108</w:t>
      </w:r>
      <w:r>
        <w:rPr>
          <w:color w:val="003CA0"/>
          <w:sz w:val="12"/>
        </w:rPr>
        <w:t xml:space="preserve"> | rel. Ellen Gracie</w:t>
      </w:r>
    </w:p>
    <w:p>
      <w:pPr>
        <w:ind w:left="288"/>
      </w:pPr>
      <w:r>
        <w:rPr>
          <w:color w:val="1E1E1E"/>
          <w:sz w:val="18"/>
        </w:rPr>
        <w:t>Afastamento, pelos órgãos judiciários a quo, de lei ou ato normativo do poder público sem a expressa declaração de inconstitucionalidade. Ofensa à cláusula de reserva de plenário (CF, art. 97).</w:t>
        <w:br/>
        <w:t xml:space="preserve">[RE 580.108 QO-RG, rel. min. Ellen Gracie, j. 11-6-2008, P, DJE de 19-12-2008, Tema 93, com mérito julgado.] (...) a controvérsia relativa à existência, no caso, de termo de compromisso firmado e homologado no juizado especial, fundamento utilizado pelo STJ, com apoio no princípio tempus regit actum, para afastar a aplicabilidade retroativa do novo Código Florestal. Para caracterizar afronta à cláusula </w:t>
      </w:r>
    </w:p>
    <w:p>
      <w:pPr>
        <w:ind w:left="288"/>
      </w:pPr>
      <w:r>
        <w:rPr>
          <w:b/>
          <w:color w:val="003CA0"/>
          <w:sz w:val="16"/>
        </w:rPr>
        <w:t>[ARE 1.287.076 AgR, rel. min. Edson Fachin, j. 20.6.2023, P, DJE de 24.8.2023.]</w:t>
      </w:r>
    </w:p>
    <w:p>
      <w:pPr>
        <w:ind w:left="288"/>
      </w:pPr>
      <w:r>
        <w:rPr>
          <w:color w:val="8C8C8C"/>
          <w:sz w:val="12"/>
        </w:rPr>
        <w:t>cf-art-97</w:t>
      </w:r>
      <w:r>
        <w:rPr>
          <w:color w:val="003CA0"/>
          <w:sz w:val="12"/>
        </w:rPr>
        <w:t xml:space="preserve"> | RCL 18.165</w:t>
      </w:r>
      <w:r>
        <w:rPr>
          <w:color w:val="003CA0"/>
          <w:sz w:val="12"/>
        </w:rPr>
        <w:t xml:space="preserve"> | rel. Teori Zavascki</w:t>
      </w:r>
    </w:p>
    <w:p>
      <w:pPr>
        <w:ind w:left="288"/>
      </w:pPr>
      <w:r>
        <w:rPr>
          <w:color w:val="1E1E1E"/>
          <w:sz w:val="18"/>
        </w:rPr>
        <w:t>O princípio da reserva de plenário previsto no art. 97 da Constituição (e a que se refere a Súmula Vinculante 10) diz respeito à declaração de "inconstitucionalidade de lei ou ato normativo do poder público". Atos normativos têm como características essenciais a abstração, a generalidade e a impessoalidade dos comandos neles contidos. São, portanto, expedidos sem destinatários determinados e com finalidade normativa, alcançando todos os sujeitos que se encontram na mesma situação de fato abrangida por seus preceitos. O decreto legislativo que estabelece a suspensão do andamento de uma certa aç</w:t>
      </w:r>
    </w:p>
    <w:p>
      <w:pPr>
        <w:ind w:left="288"/>
      </w:pPr>
      <w:r>
        <w:rPr>
          <w:b/>
          <w:color w:val="003CA0"/>
          <w:sz w:val="16"/>
        </w:rPr>
        <w:t>[Rcl 12.275 AgR, rel. min. Ricardo Lewandowski, j. 22-5-2014, P, DJE de 18-6-2014.]</w:t>
      </w:r>
    </w:p>
    <w:p>
      <w:pPr>
        <w:ind w:left="288"/>
      </w:pPr>
      <w:r>
        <w:rPr>
          <w:color w:val="8C8C8C"/>
          <w:sz w:val="12"/>
        </w:rPr>
        <w:t>cf-art-97</w:t>
      </w:r>
      <w:r>
        <w:rPr>
          <w:color w:val="003CA0"/>
          <w:sz w:val="12"/>
        </w:rPr>
        <w:t xml:space="preserve"> | ARE 792.562</w:t>
      </w:r>
      <w:r>
        <w:rPr>
          <w:color w:val="003CA0"/>
          <w:sz w:val="12"/>
        </w:rPr>
        <w:t xml:space="preserve"> | rel. Teori Zavascki</w:t>
      </w:r>
    </w:p>
    <w:p>
      <w:pPr>
        <w:ind w:left="288"/>
      </w:pPr>
      <w:r>
        <w:rPr>
          <w:color w:val="1E1E1E"/>
          <w:sz w:val="18"/>
        </w:rPr>
        <w:t>O art. 97 da Constituição, ao subordinar o reconhecimento da inconstitucionalidade de preceito normativo a decisão nesse sentido da "maioria absoluta de seus membros ou dos membros dos respectivos órgãos especiais", está se dirigindo aos tribunais indicados no art. 92 e aos respectivos órgãos especiais de que trata o art. 93, XI. A referência, portanto, não atinge juizados de pequenas causas (art. 24, X) e juizados especiais (art. 98, I), os quais, pela configuração atribuída pelo legislador, não funcionam, na esfera recursal, sob regime de plenário ou de órgão especial.</w:t>
      </w:r>
    </w:p>
    <w:p>
      <w:pPr>
        <w:ind w:left="288"/>
      </w:pPr>
      <w:r>
        <w:rPr>
          <w:b/>
          <w:color w:val="003CA0"/>
          <w:sz w:val="16"/>
        </w:rPr>
        <w:t>[ARE 792.562 AgR, rel. min. Teori Zavascki, j. 18-3-2014, 2ª T, DJE de 2-4-2014.]</w:t>
      </w:r>
    </w:p>
    <w:p>
      <w:pPr>
        <w:ind w:left="288"/>
      </w:pPr>
      <w:r>
        <w:rPr>
          <w:color w:val="8C8C8C"/>
          <w:sz w:val="12"/>
        </w:rPr>
        <w:t>cf-art-97</w:t>
      </w:r>
      <w:r>
        <w:rPr>
          <w:color w:val="003CA0"/>
          <w:sz w:val="12"/>
        </w:rPr>
        <w:t xml:space="preserve"> | RCL 10.865</w:t>
      </w:r>
      <w:r>
        <w:rPr>
          <w:color w:val="003CA0"/>
          <w:sz w:val="12"/>
        </w:rPr>
        <w:t xml:space="preserve"> | rel. Marco Aurélio</w:t>
      </w:r>
    </w:p>
    <w:p>
      <w:pPr>
        <w:ind w:left="288"/>
      </w:pPr>
      <w:r>
        <w:rPr>
          <w:color w:val="1E1E1E"/>
          <w:sz w:val="18"/>
        </w:rPr>
        <w:t>O verbete vinculante 10 da Súmula do Supremo não alcança situações jurídicas em que o órgão julgador tenha dirimido conflito de interesses a partir de interpretação de norma legal.</w:t>
      </w:r>
    </w:p>
    <w:p>
      <w:pPr>
        <w:ind w:left="288"/>
      </w:pPr>
      <w:r>
        <w:rPr>
          <w:b/>
          <w:color w:val="003CA0"/>
          <w:sz w:val="16"/>
        </w:rPr>
        <w:t>[Rcl 10.865 AgR, rel. min. Marco Aurélio, j. 27-2-2014, P, DJE de 31-3-2014.]</w:t>
      </w:r>
    </w:p>
    <w:p>
      <w:pPr>
        <w:ind w:left="288"/>
      </w:pPr>
      <w:r>
        <w:rPr>
          <w:color w:val="8C8C8C"/>
          <w:sz w:val="12"/>
        </w:rPr>
        <w:t>cf-art-97</w:t>
      </w:r>
      <w:r>
        <w:rPr>
          <w:color w:val="003CA0"/>
          <w:sz w:val="12"/>
        </w:rPr>
        <w:t xml:space="preserve"> | RCL 10.114</w:t>
      </w:r>
      <w:r>
        <w:rPr>
          <w:color w:val="003CA0"/>
          <w:sz w:val="12"/>
        </w:rPr>
        <w:t xml:space="preserve"> | rel. Teori Zavascki</w:t>
      </w:r>
    </w:p>
    <w:p>
      <w:pPr>
        <w:ind w:left="288"/>
      </w:pPr>
      <w:r>
        <w:rPr>
          <w:color w:val="1E1E1E"/>
          <w:sz w:val="18"/>
        </w:rPr>
        <w:t>Não caracteriza ofensa aos termos da Súmula Vinculante 10, mas tão somente ao art. 10 da Lei 9.868/1999, o deferimento de medida liminar, em sede de controle concentrado de constitucionalidade, por maioria simples dos membros de órgão especial de tribunal de justiça.</w:t>
      </w:r>
    </w:p>
    <w:p>
      <w:pPr>
        <w:ind w:left="288"/>
      </w:pPr>
      <w:r>
        <w:rPr>
          <w:b/>
          <w:color w:val="003CA0"/>
          <w:sz w:val="16"/>
        </w:rPr>
        <w:t>[Rcl 10.114 AgR, rel. min. Teori Zavascki, j. 18-12-2013, P, DJE de 19-2-2014.]</w:t>
      </w:r>
    </w:p>
    <w:p>
      <w:pPr>
        <w:ind w:left="288"/>
      </w:pPr>
      <w:r>
        <w:rPr>
          <w:color w:val="8C8C8C"/>
          <w:sz w:val="12"/>
        </w:rPr>
        <w:t>cf-art-97</w:t>
      </w:r>
      <w:r>
        <w:rPr>
          <w:color w:val="003CA0"/>
          <w:sz w:val="12"/>
        </w:rPr>
        <w:t xml:space="preserve"> | RE 432.884</w:t>
      </w:r>
      <w:r>
        <w:rPr>
          <w:color w:val="003CA0"/>
          <w:sz w:val="12"/>
        </w:rPr>
        <w:t xml:space="preserve"> | rel. Joaquim Barbosa</w:t>
      </w:r>
    </w:p>
    <w:p>
      <w:pPr>
        <w:ind w:left="288"/>
      </w:pPr>
      <w:r>
        <w:rPr>
          <w:color w:val="1E1E1E"/>
          <w:sz w:val="18"/>
        </w:rPr>
        <w:t>Da decisão que declara a inconstitucionalidade de lei federal, sem observância da reserva de plenário, é cabível o recurso extraordinário fundado na violação do art. 97 da Constituição (art. 102, III, a, da Constituição). Descabe sobrepor as hipóteses de cabimento do recurso extraordinário para viabilizar o julgamento de mérito de demanda cujas razões recursais são deficientes (interposição exclusivamente nos termos do art. 102, III, b, da Constituição).</w:t>
      </w:r>
    </w:p>
    <w:p>
      <w:pPr>
        <w:ind w:left="288"/>
      </w:pPr>
      <w:r>
        <w:rPr>
          <w:b/>
          <w:color w:val="003CA0"/>
          <w:sz w:val="16"/>
        </w:rPr>
        <w:t>[RE 432.884 AgR, rel. min. Joaquim Barbosa, j. 26-6-2012, 2ª T, DJE de 13-8-2012.]</w:t>
      </w:r>
    </w:p>
    <w:p>
      <w:pPr>
        <w:ind w:left="288"/>
      </w:pPr>
      <w:r>
        <w:rPr>
          <w:color w:val="8C8C8C"/>
          <w:sz w:val="12"/>
        </w:rPr>
        <w:t>cf-art-97</w:t>
      </w:r>
      <w:r>
        <w:rPr>
          <w:color w:val="003CA0"/>
          <w:sz w:val="12"/>
        </w:rPr>
        <w:t xml:space="preserve"> | AI 749.030</w:t>
      </w:r>
      <w:r>
        <w:rPr>
          <w:color w:val="003CA0"/>
          <w:sz w:val="12"/>
        </w:rPr>
        <w:t xml:space="preserve"> | rel. Dias Toffoli</w:t>
      </w:r>
    </w:p>
    <w:p>
      <w:pPr>
        <w:ind w:left="288"/>
      </w:pPr>
      <w:r>
        <w:rPr>
          <w:color w:val="1E1E1E"/>
          <w:sz w:val="18"/>
        </w:rPr>
        <w:t>= AI 749.030 AgR, rel. min. Dias Toffoli, j. 10-9-2013, 1ª T, DJE de 7-11-2013 Alegação de violação da Súmula Vinculante 10. (...) Decisões reiteradas desta Corte têm respaldado a prerrogativa de conferir determinada interpretação à lei como atributo inerente à própria atividade jurisdicional, o que, em consequência, afasta a equiparação proposta pela parte vencida entre as hipóteses de interpretação desfavorável a seus interesses e de declaração de inconstitucionalidade do dispositivo analisado.</w:t>
      </w:r>
    </w:p>
    <w:p>
      <w:pPr>
        <w:ind w:left="288"/>
      </w:pPr>
      <w:r>
        <w:rPr>
          <w:b/>
          <w:color w:val="003CA0"/>
          <w:sz w:val="16"/>
        </w:rPr>
        <w:t>[Rcl 12.107 AgR, rel. min. Rosa Weber, j. 13-6-2012, P, DJE de 1º-8-2012.]</w:t>
      </w:r>
    </w:p>
    <w:p>
      <w:pPr>
        <w:ind w:left="288"/>
      </w:pPr>
      <w:r>
        <w:rPr>
          <w:color w:val="8C8C8C"/>
          <w:sz w:val="12"/>
        </w:rPr>
        <w:t>cf-art-97</w:t>
      </w:r>
      <w:r>
        <w:rPr>
          <w:color w:val="003CA0"/>
          <w:sz w:val="12"/>
        </w:rPr>
        <w:t xml:space="preserve"> | RCL 15.717</w:t>
      </w:r>
      <w:r>
        <w:rPr>
          <w:color w:val="003CA0"/>
          <w:sz w:val="12"/>
        </w:rPr>
        <w:t xml:space="preserve"> | rel. Marco Aurélio</w:t>
      </w:r>
    </w:p>
    <w:p>
      <w:pPr>
        <w:ind w:left="288"/>
      </w:pPr>
      <w:r>
        <w:rPr>
          <w:color w:val="1E1E1E"/>
          <w:sz w:val="18"/>
        </w:rPr>
        <w:t>= Rcl 15.717 AgR, rel. min. Marco Aurélio, j. 25-2-2014, 1ª T, DJE de 20-3-2014 A cláusula constitucional de reserva de plenário, insculpida no art. 97 da CF, fundada na presunção de constitucionalidade das leis, não impede que os órgãos fracionários ou os membros julgadores dos tribunais, quando atuem monocraticamente, rejeitem a arguição de invalidade dos atos normativos, conforme consagrada lição da doutrina (MOREIRA, José Carlos Barbosa. Comentários ao Código de Processo Civil, vol. V – Arts. 476 a 565, Rio de Janeiro: Forense, 2009. p. 40).</w:t>
      </w:r>
    </w:p>
    <w:p>
      <w:pPr>
        <w:ind w:left="288"/>
      </w:pPr>
      <w:r>
        <w:rPr>
          <w:b/>
          <w:color w:val="003CA0"/>
          <w:sz w:val="16"/>
        </w:rPr>
        <w:t>[RE 636.359 AgR-segundo, rel. min. Luiz Fux, j. 3-11-2011, P, DJE de 25-11-2011.]</w:t>
      </w:r>
    </w:p>
    <w:p>
      <w:pPr>
        <w:ind w:left="288"/>
      </w:pPr>
      <w:r>
        <w:rPr>
          <w:color w:val="8C8C8C"/>
          <w:sz w:val="12"/>
        </w:rPr>
        <w:t>cf-art-97</w:t>
      </w:r>
      <w:r>
        <w:rPr>
          <w:color w:val="003CA0"/>
          <w:sz w:val="12"/>
        </w:rPr>
        <w:t xml:space="preserve"> | AI 631.400</w:t>
      </w:r>
      <w:r>
        <w:rPr>
          <w:color w:val="003CA0"/>
          <w:sz w:val="12"/>
        </w:rPr>
        <w:t xml:space="preserve"> | rel. Joaquim Barbosa</w:t>
      </w:r>
    </w:p>
    <w:p>
      <w:pPr>
        <w:ind w:left="288"/>
      </w:pPr>
      <w:r>
        <w:rPr>
          <w:color w:val="1E1E1E"/>
          <w:sz w:val="18"/>
        </w:rPr>
        <w:t>A orientação do STF admite, em situações extremas, o reconhecimento de efeitos meramente prospectivos à declaração incidental de inconstitucionalidade.</w:t>
      </w:r>
    </w:p>
    <w:p>
      <w:pPr>
        <w:ind w:left="288"/>
      </w:pPr>
      <w:r>
        <w:rPr>
          <w:b/>
          <w:color w:val="003CA0"/>
          <w:sz w:val="16"/>
        </w:rPr>
        <w:t>[AI 631.400 AgR, rel. min. Joaquim Barbosa, j. 4-10-2011, 2ª T, DJE de 2-3-2012.]</w:t>
      </w:r>
    </w:p>
    <w:p>
      <w:pPr>
        <w:ind w:left="288"/>
      </w:pPr>
      <w:r>
        <w:rPr>
          <w:color w:val="8C8C8C"/>
          <w:sz w:val="12"/>
        </w:rPr>
        <w:t>cf-art-97</w:t>
      </w:r>
      <w:r>
        <w:rPr>
          <w:color w:val="003CA0"/>
          <w:sz w:val="12"/>
        </w:rPr>
        <w:t xml:space="preserve"> | RE 601.088</w:t>
      </w:r>
      <w:r>
        <w:rPr>
          <w:color w:val="003CA0"/>
          <w:sz w:val="12"/>
        </w:rPr>
        <w:t xml:space="preserve"> | rel. Joaquim Barbosa</w:t>
      </w:r>
    </w:p>
    <w:p>
      <w:pPr>
        <w:ind w:left="288"/>
      </w:pPr>
      <w:r>
        <w:rPr>
          <w:color w:val="1E1E1E"/>
          <w:sz w:val="18"/>
        </w:rPr>
        <w:t>O acórdão recorrido afastou a aplicação da multa moratória, na medida em que foi reconhecida a instabilidade da jurisprudência (...). Esse afastamento foi justificado com singelo apelo à segurança jurídica. Em relação às multas, a aplicação da segurança jurídica pode decorrer diretamente tanto da Constituição como do CTN (art. 112). A proteção conferida pelo CTN não é absorvida pelo princípio constitucional, de modo a tornar ocioso o art. 112 do CTN. Os parâmetros de controle se somam, de forma que o acolhimento de qualquer deles pelo Judiciário é suficiente em si para justificar a conclusão p</w:t>
      </w:r>
    </w:p>
    <w:p>
      <w:pPr>
        <w:ind w:left="288"/>
      </w:pPr>
      <w:r>
        <w:rPr>
          <w:b/>
          <w:color w:val="003CA0"/>
          <w:sz w:val="16"/>
        </w:rPr>
        <w:t>[RE 601.088 AgR, rel. min. Joaquim Barbosa, j. 4-10-2011, 2ª T, DJE de 21-10-2011.]</w:t>
      </w:r>
    </w:p>
    <w:p>
      <w:pPr>
        <w:ind w:left="288"/>
      </w:pPr>
      <w:r>
        <w:rPr>
          <w:color w:val="8C8C8C"/>
          <w:sz w:val="12"/>
        </w:rPr>
        <w:t>cf-art-97</w:t>
      </w:r>
      <w:r>
        <w:rPr>
          <w:color w:val="003CA0"/>
          <w:sz w:val="12"/>
        </w:rPr>
        <w:t xml:space="preserve"> | RCL 10.864</w:t>
      </w:r>
      <w:r>
        <w:rPr>
          <w:color w:val="003CA0"/>
          <w:sz w:val="12"/>
        </w:rPr>
        <w:t xml:space="preserve"> | rel. Cármen Lúcia</w:t>
      </w:r>
    </w:p>
    <w:p>
      <w:pPr>
        <w:ind w:left="288"/>
      </w:pPr>
      <w:r>
        <w:rPr>
          <w:color w:val="1E1E1E"/>
          <w:sz w:val="18"/>
        </w:rPr>
        <w:t>Alegação de contrariedade à Súmula Vinculante 10 do STF. (...) Indeferimento de medida cautelar não afasta a incidência ou declara a inconstitucionalidade de lei ou ato normativo. Decisão proferida em sede cautelar: desnecessidade de aplicação da cláusula de reserva de plenário estabelecida no art. 97 da Constituição da República.</w:t>
      </w:r>
    </w:p>
    <w:p>
      <w:pPr>
        <w:ind w:left="288"/>
      </w:pPr>
      <w:r>
        <w:rPr>
          <w:b/>
          <w:color w:val="003CA0"/>
          <w:sz w:val="16"/>
        </w:rPr>
        <w:t>[Rcl 10.864 AgR, rel. min. Cármen Lúcia, j. 24-3-2011, P, DJE de 13-4-2011.]</w:t>
      </w:r>
    </w:p>
    <w:p>
      <w:pPr>
        <w:ind w:left="288"/>
      </w:pPr>
      <w:r>
        <w:rPr>
          <w:color w:val="8C8C8C"/>
          <w:sz w:val="12"/>
        </w:rPr>
        <w:t>cf-art-97</w:t>
      </w:r>
      <w:r>
        <w:rPr>
          <w:color w:val="003CA0"/>
          <w:sz w:val="12"/>
        </w:rPr>
        <w:t xml:space="preserve"> | RE 575.895</w:t>
      </w:r>
      <w:r>
        <w:rPr>
          <w:color w:val="003CA0"/>
          <w:sz w:val="12"/>
        </w:rPr>
        <w:t xml:space="preserve"> | rel. Ellen Gracie</w:t>
      </w:r>
    </w:p>
    <w:p>
      <w:pPr>
        <w:ind w:left="288"/>
      </w:pPr>
      <w:r>
        <w:rPr>
          <w:color w:val="1E1E1E"/>
          <w:sz w:val="18"/>
        </w:rPr>
        <w:t>(...) resta evidente que não ocorreu violação à reserva de plenário, pois o embasamento da decisão em princípios constitucionais não resulta, necessariamente, em juízo de inconstitucionalidade.</w:t>
      </w:r>
    </w:p>
    <w:p>
      <w:pPr>
        <w:ind w:left="288"/>
      </w:pPr>
      <w:r>
        <w:rPr>
          <w:b/>
          <w:color w:val="003CA0"/>
          <w:sz w:val="16"/>
        </w:rPr>
        <w:t>[RE 575.895 AgR, voto da rel. min. Ellen Gracie, j. 15-3-2011, 2ª T, DJE de 5-4-2011.]</w:t>
      </w:r>
    </w:p>
    <w:p>
      <w:pPr>
        <w:ind w:left="288"/>
      </w:pPr>
      <w:r>
        <w:rPr>
          <w:color w:val="8C8C8C"/>
          <w:sz w:val="12"/>
        </w:rPr>
        <w:t>cf-art-97</w:t>
      </w:r>
      <w:r>
        <w:rPr>
          <w:color w:val="003CA0"/>
          <w:sz w:val="12"/>
        </w:rPr>
        <w:t xml:space="preserve"> | RE 516.814</w:t>
      </w:r>
      <w:r>
        <w:rPr>
          <w:color w:val="003CA0"/>
          <w:sz w:val="12"/>
        </w:rPr>
        <w:t xml:space="preserve"> | rel. Joaquim Barbosa</w:t>
      </w:r>
    </w:p>
    <w:p>
      <w:pPr>
        <w:ind w:left="288"/>
      </w:pPr>
      <w:r>
        <w:rPr>
          <w:color w:val="1E1E1E"/>
          <w:sz w:val="18"/>
        </w:rPr>
        <w:t>Reconhecida a violação do art. 97 da Constituição, anulado o acórdão e determinado novo julgamento, com observância da reserva de Plenário, compete ao STJ dar o encaminhamento processual que entender adequado ao caso. Se, supervenientemente, o STJ firmou precedente sobre a matéria, observando o quanto disposto no art. 97 da Constituição, poderá ele aplicá-lo por seus órgãos fracionários, se a legislação assim o permitir no caso concreto.</w:t>
      </w:r>
    </w:p>
    <w:p>
      <w:pPr>
        <w:ind w:left="288"/>
      </w:pPr>
      <w:r>
        <w:rPr>
          <w:b/>
          <w:color w:val="003CA0"/>
          <w:sz w:val="16"/>
        </w:rPr>
        <w:t>[RE 516.814 ED, rel. min. Joaquim Barbosa, j. 14-9-2010, 2ª T, DJE de 8-10-2010.]</w:t>
      </w:r>
    </w:p>
    <w:p>
      <w:pPr>
        <w:ind w:left="288"/>
      </w:pPr>
      <w:r>
        <w:rPr>
          <w:color w:val="8C8C8C"/>
          <w:sz w:val="12"/>
        </w:rPr>
        <w:t>cf-art-97</w:t>
      </w:r>
      <w:r>
        <w:rPr>
          <w:color w:val="003CA0"/>
          <w:sz w:val="12"/>
        </w:rPr>
        <w:t xml:space="preserve"> | AI 607.616</w:t>
      </w:r>
      <w:r>
        <w:rPr>
          <w:color w:val="003CA0"/>
          <w:sz w:val="12"/>
        </w:rPr>
        <w:t xml:space="preserve"> | rel. Joaquim Barbosa</w:t>
      </w:r>
    </w:p>
    <w:p>
      <w:pPr>
        <w:ind w:left="288"/>
      </w:pPr>
      <w:r>
        <w:rPr>
          <w:color w:val="1E1E1E"/>
          <w:sz w:val="18"/>
        </w:rPr>
        <w:t>Não há reserva de plenário (art. 97 da Constituição) à aplicação de jurisprudência firmada pelo Pleno ou por ambas as Turmas desta Corte. Ademais, não é necessária identidade absoluta para aplicação dos precedentes dos quais resultem a declaração de inconstitucionalidade ou de constitucionalidade. Requer-se, sim, que as matérias examinadas sejam equivalentes. Assim, cabe à parte que se entende prejudicada discutir a simetria entre as questões fáticas e jurídicas que lhe são peculiares e a orientação firmada por esta Corte. De forma semelhante, não se aplica a reserva de plenário à constante re</w:t>
      </w:r>
    </w:p>
    <w:p>
      <w:pPr>
        <w:ind w:left="288"/>
      </w:pPr>
      <w:r>
        <w:rPr>
          <w:b/>
          <w:color w:val="003CA0"/>
          <w:sz w:val="16"/>
        </w:rPr>
        <w:t>[AI 607.616 AgR, rel. min. Joaquim Barbosa, j. 31-8-2010, 2ª T, DJE de 1º-10-2010.]</w:t>
      </w:r>
    </w:p>
    <w:p>
      <w:pPr>
        <w:ind w:left="288"/>
      </w:pPr>
      <w:r>
        <w:rPr>
          <w:color w:val="8C8C8C"/>
          <w:sz w:val="12"/>
        </w:rPr>
        <w:t>cf-art-97</w:t>
      </w:r>
      <w:r>
        <w:rPr>
          <w:color w:val="003CA0"/>
          <w:sz w:val="12"/>
        </w:rPr>
        <w:t xml:space="preserve"> | RE 578.582</w:t>
      </w:r>
      <w:r>
        <w:rPr>
          <w:color w:val="003CA0"/>
          <w:sz w:val="12"/>
        </w:rPr>
        <w:t xml:space="preserve"> | rel. Dias Toffoli</w:t>
      </w:r>
    </w:p>
    <w:p>
      <w:pPr>
        <w:ind w:left="288"/>
      </w:pPr>
      <w:r>
        <w:rPr>
          <w:color w:val="1E1E1E"/>
          <w:sz w:val="18"/>
        </w:rPr>
        <w:t>= RE 578.582 AgR, rel. min. Dias Toffoli, j. 27-11-2012, 1ª T, DJE de 19-12-2012 Vide RE 361.829 ED, rel. min. Ellen Gracie, j. 2-3-2010, 2ª T, DJE de 19-3-2010 A simples ausência de aplicação de uma dada norma jurídica ao caso sob exame não caracteriza, apenas por isso, violação da orientação firmada pelo STF. Para caracterização da contrariedade à Súmula Vinculante 10, do STF, é necessário que a decisão fundamente-se na incompatibilidade entre a norma legal tomada como base dos argumentos expostos na ação e a Constituição.</w:t>
      </w:r>
    </w:p>
    <w:p>
      <w:pPr>
        <w:ind w:left="288"/>
      </w:pPr>
      <w:r>
        <w:rPr>
          <w:b/>
          <w:color w:val="003CA0"/>
          <w:sz w:val="16"/>
        </w:rPr>
        <w:t>[Rcl 6.944, rel. min. Cármen Lúcia, j. 23-6-2010, P, DJE de 13-8-2010.]</w:t>
      </w:r>
    </w:p>
    <w:p>
      <w:pPr>
        <w:ind w:left="288"/>
      </w:pPr>
      <w:r>
        <w:rPr>
          <w:color w:val="8C8C8C"/>
          <w:sz w:val="12"/>
        </w:rPr>
        <w:t>cf-art-97</w:t>
      </w:r>
      <w:r>
        <w:rPr>
          <w:color w:val="003CA0"/>
          <w:sz w:val="12"/>
        </w:rPr>
        <w:t xml:space="preserve"> | RCL 14.953</w:t>
      </w:r>
      <w:r>
        <w:rPr>
          <w:color w:val="003CA0"/>
          <w:sz w:val="12"/>
        </w:rPr>
        <w:t xml:space="preserve"> | rel. Marco Aurélio</w:t>
      </w:r>
    </w:p>
    <w:p>
      <w:pPr>
        <w:ind w:left="288"/>
      </w:pPr>
      <w:r>
        <w:rPr>
          <w:color w:val="1E1E1E"/>
          <w:sz w:val="18"/>
        </w:rPr>
        <w:t>= Rcl 14.953 AgR, rel. min. Marco Aurélio, j. 24-10-2013, P, DJE de 14-11-2013 = ARE 683.572 AgR, rel. min. Luiz Fux, j. 11-9-2012, 1ª T, DJE de 27-9-2012 O STF exerce, por excelência, o controle difuso de constitucionalidade quando do julgamento do recurso extraordinário, tendo os seus colegiados fracionários competência regimental para fazê-lo sem ofensa ao art. 97 da CF.</w:t>
      </w:r>
    </w:p>
    <w:p>
      <w:pPr>
        <w:ind w:left="288"/>
      </w:pPr>
      <w:r>
        <w:rPr>
          <w:b/>
          <w:color w:val="003CA0"/>
          <w:sz w:val="16"/>
        </w:rPr>
        <w:t>[RE 361.829 ED, rel. min. Ellen Gracie, j. 2-3-2010, 2ª T, DJE de 19-3-2010.]</w:t>
      </w:r>
    </w:p>
    <w:p>
      <w:pPr>
        <w:ind w:left="288"/>
      </w:pPr>
      <w:r>
        <w:rPr>
          <w:color w:val="8C8C8C"/>
          <w:sz w:val="12"/>
        </w:rPr>
        <w:t>cf-art-97</w:t>
      </w:r>
      <w:r>
        <w:rPr>
          <w:color w:val="003CA0"/>
          <w:sz w:val="12"/>
        </w:rPr>
        <w:t xml:space="preserve"> | RE 348.468</w:t>
      </w:r>
      <w:r>
        <w:rPr>
          <w:color w:val="003CA0"/>
          <w:sz w:val="12"/>
        </w:rPr>
        <w:t xml:space="preserve"> | rel. Gilmar Mendes</w:t>
      </w:r>
    </w:p>
    <w:p>
      <w:pPr>
        <w:ind w:left="288"/>
      </w:pPr>
      <w:r>
        <w:rPr>
          <w:color w:val="1E1E1E"/>
          <w:sz w:val="18"/>
        </w:rPr>
        <w:t>Tanto o poder do juiz de negar aplicação à lei inconstitucional quanto a faculdade assegurada ao indivíduo de negar observância à lei inconstitucional (mediante interposição de recurso extraordinário) demonstram que o constituinte pressupôs a nulidade da lei inconstitucional. Em certos casos, o efeito necessário e imediato da declaração de nulidade de uma norma, na declaração de inconstitucionalidade pelo STF ou pelos tribunais de justiça dos Estados, há de ser a exclusão de toda ultra-atividade da lei inconstitucional. A eventual eliminação dos atos praticados com fundamento na lei inconstitu</w:t>
      </w:r>
    </w:p>
    <w:p>
      <w:pPr>
        <w:ind w:left="288"/>
      </w:pPr>
      <w:r>
        <w:rPr>
          <w:b/>
          <w:color w:val="003CA0"/>
          <w:sz w:val="16"/>
        </w:rPr>
        <w:t>[RE 348.468, voto do rel. min. Gilmar Mendes, j. 15-12-2009, 2ª T, DJE de 19-2-2010.]</w:t>
      </w:r>
    </w:p>
    <w:p>
      <w:pPr>
        <w:ind w:left="288"/>
      </w:pPr>
      <w:r>
        <w:rPr>
          <w:color w:val="8C8C8C"/>
          <w:sz w:val="12"/>
        </w:rPr>
        <w:t>cf-art-97</w:t>
      </w:r>
      <w:r>
        <w:rPr>
          <w:color w:val="003CA0"/>
          <w:sz w:val="12"/>
        </w:rPr>
        <w:t xml:space="preserve"> | RE 436.155</w:t>
      </w:r>
      <w:r>
        <w:rPr>
          <w:color w:val="003CA0"/>
          <w:sz w:val="12"/>
        </w:rPr>
        <w:t xml:space="preserve"> | rel. Ellen Gracie</w:t>
      </w:r>
    </w:p>
    <w:p>
      <w:pPr>
        <w:ind w:left="288"/>
      </w:pPr>
      <w:r>
        <w:rPr>
          <w:color w:val="1E1E1E"/>
          <w:sz w:val="18"/>
        </w:rPr>
        <w:t>Inexistência de ofensa ao princípio da reserva de plenário, pois o acórdão recorrido analisou normas legais sem julgar inconstitucional lei ou ato normativo federal.</w:t>
      </w:r>
    </w:p>
    <w:p>
      <w:pPr>
        <w:ind w:left="288"/>
      </w:pPr>
      <w:r>
        <w:rPr>
          <w:b/>
          <w:color w:val="003CA0"/>
          <w:sz w:val="16"/>
        </w:rPr>
        <w:t>[RE 436.155 AgR, rel. min. Ellen Gracie, j. 24-3-2009, 2ª T, DJE de 24-4-2009.]</w:t>
      </w:r>
    </w:p>
    <w:p>
      <w:pPr>
        <w:ind w:left="288"/>
      </w:pPr>
      <w:r>
        <w:rPr>
          <w:color w:val="8C8C8C"/>
          <w:sz w:val="12"/>
        </w:rPr>
        <w:t>cf-art-97</w:t>
      </w:r>
      <w:r>
        <w:rPr>
          <w:color w:val="003CA0"/>
          <w:sz w:val="12"/>
        </w:rPr>
        <w:t xml:space="preserve"> | AI 463.220</w:t>
      </w:r>
      <w:r>
        <w:rPr>
          <w:color w:val="003CA0"/>
          <w:sz w:val="12"/>
        </w:rPr>
        <w:t xml:space="preserve"> | rel. Ricardo Lewandowski</w:t>
      </w:r>
    </w:p>
    <w:p>
      <w:pPr>
        <w:ind w:left="288"/>
      </w:pPr>
      <w:r>
        <w:rPr>
          <w:color w:val="1E1E1E"/>
          <w:sz w:val="18"/>
        </w:rPr>
        <w:t>= AI 463.220 AgR, rel. min. Ricardo Lewandowski, j. 15-2-2011, 1ª T, DJE de 4-3-2011 Descabe cogitar, no caso, de reserva de plenário – art. 97 do referido diploma –, especialmente quando a matéria de fundo se encontra sumulada.</w:t>
      </w:r>
    </w:p>
    <w:p>
      <w:pPr>
        <w:ind w:left="288"/>
      </w:pPr>
      <w:r>
        <w:rPr>
          <w:b/>
          <w:color w:val="003CA0"/>
          <w:sz w:val="16"/>
        </w:rPr>
        <w:t>[AI 555.254 AgR, rel. min. Marco Aurélio, j. 11-3-2008, 1ª T, DJE de 2-5-2008.]</w:t>
      </w:r>
    </w:p>
    <w:p>
      <w:pPr>
        <w:ind w:left="288"/>
      </w:pPr>
      <w:r>
        <w:rPr>
          <w:color w:val="8C8C8C"/>
          <w:sz w:val="12"/>
        </w:rPr>
        <w:t>cf-art-97</w:t>
      </w:r>
      <w:r>
        <w:rPr>
          <w:color w:val="003CA0"/>
          <w:sz w:val="12"/>
        </w:rPr>
        <w:t xml:space="preserve"> | AI 413.118</w:t>
      </w:r>
      <w:r>
        <w:rPr>
          <w:color w:val="003CA0"/>
          <w:sz w:val="12"/>
        </w:rPr>
        <w:t xml:space="preserve"> | rel. Joaquim Barbosa</w:t>
      </w:r>
    </w:p>
    <w:p>
      <w:pPr>
        <w:ind w:left="288"/>
      </w:pPr>
      <w:r>
        <w:rPr>
          <w:color w:val="1E1E1E"/>
          <w:sz w:val="18"/>
        </w:rPr>
        <w:t>= AI 413.118 AgR, rel. min. Joaquim Barbosa, j. 23-3-2010, 2ª T, DJE de 7-5-2010 Controle incidente de constitucionalidade de normas: reserva de plenário (CF, art. 97): viola o dispositivo constitucional o acórdão proferido por órgão fracionário, que declara a inconstitucionalidade de lei, ainda que parcial, sem que haja declaração anterior proferida por órgão especial ou plenário.</w:t>
      </w:r>
    </w:p>
    <w:p>
      <w:pPr>
        <w:ind w:left="288"/>
      </w:pPr>
      <w:r>
        <w:rPr>
          <w:b/>
          <w:color w:val="003CA0"/>
          <w:sz w:val="16"/>
        </w:rPr>
        <w:t>[RE 544.246, rel. min. Sepúlveda Pertence, j. 15-5-2007, 1ª T, DJ de 8-6-2007.]</w:t>
      </w:r>
    </w:p>
    <w:p>
      <w:pPr>
        <w:ind w:left="288"/>
      </w:pPr>
      <w:r>
        <w:rPr>
          <w:color w:val="8C8C8C"/>
          <w:sz w:val="12"/>
        </w:rPr>
        <w:t>cf-art-97</w:t>
      </w:r>
      <w:r>
        <w:rPr>
          <w:color w:val="003CA0"/>
          <w:sz w:val="12"/>
        </w:rPr>
        <w:t xml:space="preserve"> | RE 486.168</w:t>
      </w:r>
      <w:r>
        <w:rPr>
          <w:color w:val="003CA0"/>
          <w:sz w:val="12"/>
        </w:rPr>
        <w:t xml:space="preserve"> | rel. Marco Aurélio</w:t>
      </w:r>
    </w:p>
    <w:p>
      <w:pPr>
        <w:ind w:left="288"/>
      </w:pPr>
      <w:r>
        <w:rPr>
          <w:color w:val="1E1E1E"/>
          <w:sz w:val="18"/>
        </w:rPr>
        <w:t>= RE 486.168 AgR, rel. min. Marco Aurélio, j. 23-9-2008, 1ª T, DJE de 27-2-2009 Controle incidente de inconstitucionalidade: reserva de plenário (CF, art. 97). "Interpretação que restringe a aplicação de uma norma a alguns casos, mantendo-a com relação a outros, não se identifica com a declaração de inconstitucionalidade da norma que é a que se refere o art. 97 da Constituição." (cf. RE 184.093, Moreira Alves, DJ de 5-9-1997).</w:t>
      </w:r>
    </w:p>
    <w:p>
      <w:pPr>
        <w:ind w:left="288"/>
      </w:pPr>
      <w:r>
        <w:rPr>
          <w:b/>
          <w:color w:val="003CA0"/>
          <w:sz w:val="16"/>
        </w:rPr>
        <w:t>[RE 460.971, rel. min. Sepúlveda Pertence, j. 13-2-2007, 1ª T, DJ de 30-3-2007.]</w:t>
      </w:r>
    </w:p>
    <w:p>
      <w:pPr>
        <w:ind w:left="288"/>
      </w:pPr>
      <w:r>
        <w:rPr>
          <w:color w:val="8C8C8C"/>
          <w:sz w:val="12"/>
        </w:rPr>
        <w:t>cf-art-97</w:t>
      </w:r>
      <w:r>
        <w:rPr>
          <w:color w:val="003CA0"/>
          <w:sz w:val="12"/>
        </w:rPr>
        <w:t xml:space="preserve"> | ARE 676.006</w:t>
      </w:r>
      <w:r>
        <w:rPr>
          <w:color w:val="003CA0"/>
          <w:sz w:val="12"/>
        </w:rPr>
        <w:t xml:space="preserve"> | rel. Luiz Fux</w:t>
      </w:r>
    </w:p>
    <w:p>
      <w:pPr>
        <w:ind w:left="288"/>
      </w:pPr>
      <w:r>
        <w:rPr>
          <w:color w:val="1E1E1E"/>
          <w:sz w:val="18"/>
        </w:rPr>
        <w:t>= ARE 676.006 AgR, rel. min. Luiz Fux, j. 22-5-2012, 1ª T, DJE de 6-6-2012 IPTU. Progressividade. Taxas. Pretendida modulação, no tempo, dos efeitos da declaração de inconstitucionalidade. Não incidência, no caso em exame. Utilização dessa técnica no plano da fiscalização incidental. Necessária observância do postulado da reserva de plenário. Consequente incompetência dos órgãos fracionários do Tribunal (Turmas).</w:t>
      </w:r>
    </w:p>
    <w:p>
      <w:pPr>
        <w:ind w:left="288"/>
      </w:pPr>
      <w:r>
        <w:rPr>
          <w:b/>
          <w:color w:val="003CA0"/>
          <w:sz w:val="16"/>
        </w:rPr>
        <w:t>[AI 417.014 AgR-ED, rel. min. Celso de Mello, j. 18-12-2006, 2ª T, DJ de 16-2-2007.]</w:t>
      </w:r>
    </w:p>
    <w:p>
      <w:pPr>
        <w:ind w:left="288"/>
      </w:pPr>
      <w:r>
        <w:rPr>
          <w:color w:val="8C8C8C"/>
          <w:sz w:val="12"/>
        </w:rPr>
        <w:t>cf-art-97</w:t>
      </w:r>
      <w:r>
        <w:rPr>
          <w:color w:val="003CA0"/>
          <w:sz w:val="12"/>
        </w:rPr>
        <w:t xml:space="preserve"> | AI 527.297</w:t>
      </w:r>
      <w:r>
        <w:rPr>
          <w:color w:val="003CA0"/>
          <w:sz w:val="12"/>
        </w:rPr>
        <w:t xml:space="preserve"> | rel. Ricardo Lewandowski</w:t>
      </w:r>
    </w:p>
    <w:p>
      <w:pPr>
        <w:ind w:left="288"/>
      </w:pPr>
      <w:r>
        <w:rPr>
          <w:color w:val="1E1E1E"/>
          <w:sz w:val="18"/>
        </w:rPr>
        <w:t>= AI 527.297 AgR-ED, rel. min. Ricardo Lewandowski, j. 15-12-2009, 1ª T, DJE de 26-2-2010 (...) a discussão em torno da incidência, ou não, do postulado da recepção – precisamente por não envolver qualquer juízo de inconstitucionalidade (mas, sim, quando for o caso, o de simples revogação de diploma pré-constitucional) – dispensa, por tal motivo, a aplicação do princípio da reserva de plenário (CF, art. 97), legitimando, por isso mesmo, a possibilidade de reconhecimento, por órgão fracionário do Tribunal, de que determinado ato estatal não foi recebido pela nova ordem constitucional (RTJ 191/3</w:t>
      </w:r>
    </w:p>
    <w:p>
      <w:pPr>
        <w:ind w:left="288"/>
      </w:pPr>
      <w:r>
        <w:rPr>
          <w:b/>
          <w:color w:val="003CA0"/>
          <w:sz w:val="16"/>
        </w:rPr>
        <w:t>[AI 582.280 AgR, voto do rel. min. Celso de Mello, j. 12-9-2006, 2ª T, DJ de 6-11-2006.]</w:t>
      </w:r>
    </w:p>
    <w:p>
      <w:pPr>
        <w:ind w:left="288"/>
      </w:pPr>
      <w:r>
        <w:rPr>
          <w:color w:val="8C8C8C"/>
          <w:sz w:val="12"/>
        </w:rPr>
        <w:t>cf-art-97</w:t>
      </w:r>
      <w:r>
        <w:rPr>
          <w:color w:val="003CA0"/>
          <w:sz w:val="12"/>
        </w:rPr>
        <w:t xml:space="preserve"> | RCL 10.114</w:t>
      </w:r>
      <w:r>
        <w:rPr>
          <w:color w:val="003CA0"/>
          <w:sz w:val="12"/>
        </w:rPr>
        <w:t xml:space="preserve"> | rel. Ricardo Lewandowski</w:t>
      </w:r>
    </w:p>
    <w:p>
      <w:pPr>
        <w:ind w:left="288"/>
      </w:pPr>
      <w:r>
        <w:rPr>
          <w:color w:val="1E1E1E"/>
          <w:sz w:val="18"/>
        </w:rPr>
        <w:t>= Rcl 10.114 AgR, rel. min. Ricardo Lewandowski, j. 18-12-2013, P, DJE de 19-2-2014 = AI 669.872 AgR, rel. min. Luiz Fux, j. 11-12-2012, 1ª T, DJE de 14-2-2013 A regra da chamada reserva do plenário para declaração de inconstitucionalidade (art. 97 da CF) não se aplica, deveras, às turmas recursais de juizado especial. Mas tal circunstância em nada atenua nem desnatura a rigorosa exigência de juntada de cópia integral do precedente que tenha, ali, pronunciado inconstitucionalidade de norma objeto de recurso extraordinário fundado no art. 102, III, b, da Constituição da República, pela mesmíssi</w:t>
      </w:r>
    </w:p>
    <w:p>
      <w:pPr>
        <w:ind w:left="288"/>
      </w:pPr>
      <w:r>
        <w:rPr>
          <w:b/>
          <w:color w:val="003CA0"/>
          <w:sz w:val="16"/>
        </w:rPr>
        <w:t>[RE 453.744 AgR, voto do rel. min. Cezar Peluso, j. 13-6-2006, 1ª T, DJ de 25-8-2006.]</w:t>
      </w:r>
    </w:p>
    <w:p>
      <w:pPr>
        <w:ind w:left="288"/>
      </w:pPr>
      <w:r>
        <w:rPr>
          <w:color w:val="8C8C8C"/>
          <w:sz w:val="12"/>
        </w:rPr>
        <w:t>cf-art-97</w:t>
      </w:r>
      <w:r>
        <w:rPr>
          <w:color w:val="003CA0"/>
          <w:sz w:val="12"/>
        </w:rPr>
        <w:t xml:space="preserve"> | HC 69.921</w:t>
      </w:r>
      <w:r>
        <w:rPr>
          <w:color w:val="003CA0"/>
          <w:sz w:val="12"/>
        </w:rPr>
        <w:t xml:space="preserve"> | rel. Celso de Mello</w:t>
      </w:r>
    </w:p>
    <w:p>
      <w:pPr>
        <w:ind w:left="288"/>
      </w:pPr>
      <w:r>
        <w:rPr>
          <w:color w:val="1E1E1E"/>
          <w:sz w:val="18"/>
        </w:rPr>
        <w:t>A norma inscrita no art. 97 da Carta Federal, porque exclusivamente dirigida aos órgãos colegiados do Poder Judiciário, não se aplica aos magistrados singulares quando no exercício da jurisdição constitucional (RT 554/253).</w:t>
      </w:r>
    </w:p>
    <w:p>
      <w:pPr>
        <w:ind w:left="288"/>
      </w:pPr>
      <w:r>
        <w:rPr>
          <w:b/>
          <w:color w:val="003CA0"/>
          <w:sz w:val="16"/>
        </w:rPr>
        <w:t>[HC 69.921, rel. min. Celso de Mello, j. 9-2-1993, 1ª T, DJ de 26-3-1993.]</w:t>
      </w:r>
    </w:p>
    <w:p>
      <w:pPr>
        <w:ind w:left="432"/>
      </w:pPr>
      <w:r>
        <w:rPr>
          <w:color w:val="003366"/>
          <w:sz w:val="18"/>
        </w:rPr>
        <w:t>§ 1 Os Estados, o Distrito Federal e os Municípios sujeitos ao regime especial d</w:t>
      </w:r>
    </w:p>
    <w:p>
      <w:pPr>
        <w:ind w:left="720"/>
      </w:pPr>
      <w:r>
        <w:rPr>
          <w:color w:val="003366"/>
          <w:sz w:val="18"/>
        </w:rPr>
        <w:t>I – pelo depósito em conta especial do valor referido pelo § 2º deste artigo; ou</w:t>
      </w:r>
    </w:p>
    <w:p>
      <w:pPr>
        <w:ind w:left="720"/>
      </w:pPr>
      <w:r>
        <w:rPr>
          <w:color w:val="003366"/>
          <w:sz w:val="18"/>
        </w:rPr>
        <w:t xml:space="preserve">II – pela adoção do regime especial pelo prazo de até 15 (quinze) anos, caso em </w:t>
      </w:r>
    </w:p>
    <w:p>
      <w:pPr>
        <w:ind w:left="432"/>
      </w:pPr>
      <w:r>
        <w:rPr>
          <w:color w:val="003366"/>
          <w:sz w:val="18"/>
        </w:rPr>
        <w:t>§ 2 Para saldar os precatórios, vencidos e a vencer, pelo regime especial, os Es</w:t>
      </w:r>
    </w:p>
    <w:p>
      <w:pPr>
        <w:ind w:left="720"/>
      </w:pPr>
      <w:r>
        <w:rPr>
          <w:color w:val="003366"/>
          <w:sz w:val="18"/>
        </w:rPr>
        <w:t>I – para os Estados e para o Distrito Federal: (Incluído pela Emenda Constitucio</w:t>
      </w:r>
    </w:p>
    <w:p>
      <w:pPr>
        <w:ind w:left="1008"/>
      </w:pPr>
      <w:r>
        <w:rPr>
          <w:color w:val="003366"/>
          <w:sz w:val="18"/>
        </w:rPr>
        <w:t>a) de, no mínimo, 1,5% (um inteiro e cinco décimos por cento), para os Estados d</w:t>
      </w:r>
    </w:p>
    <w:p>
      <w:pPr>
        <w:ind w:left="1008"/>
      </w:pPr>
      <w:r>
        <w:rPr>
          <w:color w:val="003366"/>
          <w:sz w:val="18"/>
        </w:rPr>
        <w:t>b) de, no mínimo, 2% (dois por cento), para os Estados das regiões Sul e Sudeste</w:t>
      </w:r>
    </w:p>
    <w:p>
      <w:pPr>
        <w:ind w:left="720"/>
      </w:pPr>
      <w:r>
        <w:rPr>
          <w:color w:val="003366"/>
          <w:sz w:val="18"/>
        </w:rPr>
        <w:t>II – para Municípios: (Incluído pela Emenda Constitucional nº 62, de 2009)</w:t>
      </w:r>
    </w:p>
    <w:p>
      <w:pPr>
        <w:ind w:left="1008"/>
      </w:pPr>
      <w:r>
        <w:rPr>
          <w:color w:val="003366"/>
          <w:sz w:val="18"/>
        </w:rPr>
        <w:t>a) de, no mínimo, 1% (um por cento), para Municípios das regiões Norte, Nordeste</w:t>
      </w:r>
    </w:p>
    <w:p>
      <w:pPr>
        <w:ind w:left="1008"/>
      </w:pPr>
      <w:r>
        <w:rPr>
          <w:color w:val="003366"/>
          <w:sz w:val="18"/>
        </w:rPr>
        <w:t>b) de, no mínimo, 1,5% (um inteiro e cinco décimos por cento), para Municípios d</w:t>
      </w:r>
    </w:p>
    <w:p>
      <w:pPr>
        <w:ind w:left="432"/>
      </w:pPr>
      <w:r>
        <w:rPr>
          <w:color w:val="003366"/>
          <w:sz w:val="18"/>
        </w:rPr>
        <w:t>§ 3 Entende-se como receita corrente líquida, para os fins de que trata este art</w:t>
      </w:r>
    </w:p>
    <w:p>
      <w:pPr>
        <w:ind w:left="720"/>
      </w:pPr>
      <w:r>
        <w:rPr>
          <w:color w:val="003366"/>
          <w:sz w:val="18"/>
        </w:rPr>
        <w:t>I – nos Estados, as parcelas entregues aos Municípios por determinação constituc</w:t>
      </w:r>
    </w:p>
    <w:p>
      <w:pPr>
        <w:ind w:left="720"/>
      </w:pPr>
      <w:r>
        <w:rPr>
          <w:color w:val="003366"/>
          <w:sz w:val="18"/>
        </w:rPr>
        <w:t>II – nos Estados, no Distrito Federal e nos Municípios, a contribuição dos servi</w:t>
      </w:r>
    </w:p>
    <w:p>
      <w:pPr>
        <w:ind w:left="432"/>
      </w:pPr>
      <w:r>
        <w:rPr>
          <w:color w:val="003366"/>
          <w:sz w:val="18"/>
        </w:rPr>
        <w:t>§ 4 As contas especiais de que tratam os §§ 1º e 2º serão administradas pelo Tri</w:t>
      </w:r>
    </w:p>
    <w:p>
      <w:pPr>
        <w:ind w:left="432"/>
      </w:pPr>
      <w:r>
        <w:rPr>
          <w:color w:val="003366"/>
          <w:sz w:val="18"/>
        </w:rPr>
        <w:t>§ 5 Os recursos depositados nas contas especiais de que tratam os §§ 1º e 2º des</w:t>
      </w:r>
    </w:p>
    <w:p>
      <w:pPr>
        <w:ind w:left="432"/>
      </w:pPr>
      <w:r>
        <w:rPr>
          <w:color w:val="003366"/>
          <w:sz w:val="18"/>
        </w:rPr>
        <w:t>§ 6 Pelo menos 50% (cinquenta por cento) dos recursos de que tratam os §§ 1º e 2</w:t>
      </w:r>
    </w:p>
    <w:p>
      <w:pPr>
        <w:ind w:left="432"/>
      </w:pPr>
      <w:r>
        <w:rPr>
          <w:color w:val="003366"/>
          <w:sz w:val="18"/>
        </w:rPr>
        <w:t xml:space="preserve">§ 7 Nos casos em que não se possa estabelecer a precedência cronológica entre 2 </w:t>
      </w:r>
    </w:p>
    <w:p>
      <w:pPr>
        <w:ind w:left="432"/>
      </w:pPr>
      <w:r>
        <w:rPr>
          <w:color w:val="003366"/>
          <w:sz w:val="18"/>
        </w:rPr>
        <w:t>§ 8 A aplicação dos recursos restantes dependerá de opção a ser exercida por Est</w:t>
      </w:r>
    </w:p>
    <w:p>
      <w:pPr>
        <w:ind w:left="720"/>
      </w:pPr>
      <w:r>
        <w:rPr>
          <w:color w:val="003366"/>
          <w:sz w:val="18"/>
        </w:rPr>
        <w:t>I – destinados ao pagamento dos precatórios por meio do leilão; (Incluído pela E</w:t>
      </w:r>
    </w:p>
    <w:p>
      <w:pPr>
        <w:ind w:left="720"/>
      </w:pPr>
      <w:r>
        <w:rPr>
          <w:color w:val="003366"/>
          <w:sz w:val="18"/>
        </w:rPr>
        <w:t>II – destinados a pagamento a vista de precatórios não quitados na forma do § 6°</w:t>
      </w:r>
    </w:p>
    <w:p>
      <w:pPr>
        <w:ind w:left="720"/>
      </w:pPr>
      <w:r>
        <w:rPr>
          <w:color w:val="003366"/>
          <w:sz w:val="18"/>
        </w:rPr>
        <w:t>III – destinados a pagamento por acordo direto com os credores, na forma estabel</w:t>
      </w:r>
    </w:p>
    <w:p>
      <w:pPr>
        <w:ind w:left="432"/>
      </w:pPr>
      <w:r>
        <w:rPr>
          <w:color w:val="003366"/>
          <w:sz w:val="18"/>
        </w:rPr>
        <w:t>§ 9 Os leilões de que trata o inciso I do § 8º deste artigo: (Incluído pela Emen</w:t>
      </w:r>
    </w:p>
    <w:p>
      <w:pPr>
        <w:ind w:left="720"/>
      </w:pPr>
      <w:r>
        <w:rPr>
          <w:color w:val="003366"/>
          <w:sz w:val="18"/>
        </w:rPr>
        <w:t>I – serão realizados por meio de sistema eletrônico administrado por entidade au</w:t>
      </w:r>
    </w:p>
    <w:p>
      <w:pPr>
        <w:ind w:left="720"/>
      </w:pPr>
      <w:r>
        <w:rPr>
          <w:color w:val="003366"/>
          <w:sz w:val="18"/>
        </w:rPr>
        <w:t>II – admitirão a habilitação de precatórios, ou parcela de cada precatório indic</w:t>
      </w:r>
    </w:p>
    <w:p>
      <w:pPr>
        <w:ind w:left="720"/>
      </w:pPr>
      <w:r>
        <w:rPr>
          <w:color w:val="003366"/>
          <w:sz w:val="18"/>
        </w:rPr>
        <w:t xml:space="preserve">III – ocorrerão por meio de oferta pública a todos os credores habilitados pelo </w:t>
      </w:r>
    </w:p>
    <w:p>
      <w:pPr>
        <w:ind w:left="720"/>
      </w:pPr>
      <w:r>
        <w:rPr>
          <w:color w:val="003366"/>
          <w:sz w:val="18"/>
        </w:rPr>
        <w:t>IV – considerarão automaticamente habilitado o credor que satisfaça o que consta</w:t>
      </w:r>
    </w:p>
    <w:p>
      <w:pPr>
        <w:ind w:left="720"/>
      </w:pPr>
      <w:r>
        <w:rPr>
          <w:color w:val="003366"/>
          <w:sz w:val="18"/>
        </w:rPr>
        <w:t>V – serão realizados tantas vezes quanto necessário em função do valor disponíve</w:t>
      </w:r>
    </w:p>
    <w:p>
      <w:pPr>
        <w:ind w:left="720"/>
      </w:pPr>
      <w:r>
        <w:rPr>
          <w:color w:val="003366"/>
          <w:sz w:val="18"/>
        </w:rPr>
        <w:t xml:space="preserve">VI – a competição por parcela do valor total ocorrerá a critério do credor, com </w:t>
      </w:r>
    </w:p>
    <w:p>
      <w:pPr>
        <w:ind w:left="720"/>
      </w:pPr>
      <w:r>
        <w:rPr>
          <w:color w:val="003366"/>
          <w:sz w:val="18"/>
        </w:rPr>
        <w:t>VII – ocorrerão na modalidade deságio, associado ao maior volume ofertado cumula</w:t>
      </w:r>
    </w:p>
    <w:p>
      <w:pPr>
        <w:ind w:left="720"/>
      </w:pPr>
      <w:r>
        <w:rPr>
          <w:color w:val="003366"/>
          <w:sz w:val="18"/>
        </w:rPr>
        <w:t>VIII – o mecanismo de formação de preço constará nos editais publicados para cad</w:t>
      </w:r>
    </w:p>
    <w:p>
      <w:pPr>
        <w:ind w:left="720"/>
      </w:pPr>
      <w:r>
        <w:rPr>
          <w:color w:val="003366"/>
          <w:sz w:val="18"/>
        </w:rPr>
        <w:t>IX – a quitação parcial dos precatórios será homologada pelo respectivo Tribunal</w:t>
      </w:r>
    </w:p>
    <w:p>
      <w:pPr>
        <w:ind w:left="432"/>
      </w:pPr>
      <w:r>
        <w:rPr>
          <w:color w:val="003366"/>
          <w:sz w:val="18"/>
        </w:rPr>
        <w:t xml:space="preserve">§ 10 No caso de não liberação tempestiva dos recursos de que tratam o inciso II </w:t>
      </w:r>
    </w:p>
    <w:p>
      <w:pPr>
        <w:ind w:left="720"/>
      </w:pPr>
      <w:r>
        <w:rPr>
          <w:color w:val="003366"/>
          <w:sz w:val="18"/>
        </w:rPr>
        <w:t>I – haverá o sequestro de quantia nas contas de Estados, Distrito Federal e Muni</w:t>
      </w:r>
    </w:p>
    <w:p>
      <w:pPr>
        <w:ind w:left="720"/>
      </w:pPr>
      <w:r>
        <w:rPr>
          <w:color w:val="003366"/>
          <w:sz w:val="18"/>
        </w:rPr>
        <w:t>II – constituir-se-á, alternativamente, por ordem do Presidente do Tribunal requ</w:t>
      </w:r>
    </w:p>
    <w:p>
      <w:pPr>
        <w:ind w:left="720"/>
      </w:pPr>
      <w:r>
        <w:rPr>
          <w:color w:val="003366"/>
          <w:sz w:val="18"/>
        </w:rPr>
        <w:t>III – o chefe do Poder Executivo responderá na forma da legislação de responsabi</w:t>
      </w:r>
    </w:p>
    <w:p>
      <w:pPr>
        <w:ind w:left="720"/>
      </w:pPr>
      <w:r>
        <w:rPr>
          <w:color w:val="003366"/>
          <w:sz w:val="18"/>
        </w:rPr>
        <w:t>IV – enquanto perdurar a omissão, a entidade devedora: (Incluído pela Emenda Con</w:t>
      </w:r>
    </w:p>
    <w:p>
      <w:pPr>
        <w:ind w:left="1008"/>
      </w:pPr>
      <w:r>
        <w:rPr>
          <w:color w:val="003366"/>
          <w:sz w:val="18"/>
        </w:rPr>
        <w:t>a) não poderá contrair empréstimo externo ou interno; (Incluído pela Emenda Cons</w:t>
      </w:r>
    </w:p>
    <w:p>
      <w:pPr>
        <w:ind w:left="1008"/>
      </w:pPr>
      <w:r>
        <w:rPr>
          <w:color w:val="003366"/>
          <w:sz w:val="18"/>
        </w:rPr>
        <w:t xml:space="preserve">b) ficará impedida de receber transferências voluntárias; (Incluído pela Emenda </w:t>
      </w:r>
    </w:p>
    <w:p>
      <w:pPr>
        <w:ind w:left="720"/>
      </w:pPr>
      <w:r>
        <w:rPr>
          <w:color w:val="003366"/>
          <w:sz w:val="18"/>
        </w:rPr>
        <w:t xml:space="preserve">V – a União reterá os repasses relativos ao Fundo de Participação dos Estados e </w:t>
      </w:r>
    </w:p>
    <w:p>
      <w:pPr>
        <w:ind w:left="432"/>
      </w:pPr>
      <w:r>
        <w:rPr>
          <w:color w:val="003366"/>
          <w:sz w:val="18"/>
        </w:rPr>
        <w:t>§ 11 No caso de precatórios relativos a diversos credores, em litisconsórcio, ad</w:t>
      </w:r>
    </w:p>
    <w:p>
      <w:pPr>
        <w:ind w:left="432"/>
      </w:pPr>
      <w:r>
        <w:rPr>
          <w:color w:val="003366"/>
          <w:sz w:val="18"/>
        </w:rPr>
        <w:t>§ 12 Se a lei a que se refere o § 4º do art. 100 não estiver publicada em até 18</w:t>
      </w:r>
    </w:p>
    <w:p>
      <w:pPr>
        <w:ind w:left="720"/>
      </w:pPr>
      <w:r>
        <w:rPr>
          <w:color w:val="003366"/>
          <w:sz w:val="18"/>
        </w:rPr>
        <w:t>I – 40 (quarenta) salários mínimos para Estados e para o Distrito Federal; (Incl</w:t>
      </w:r>
    </w:p>
    <w:p>
      <w:pPr>
        <w:ind w:left="720"/>
      </w:pPr>
      <w:r>
        <w:rPr>
          <w:color w:val="003366"/>
          <w:sz w:val="18"/>
        </w:rPr>
        <w:t>II – 30 (trinta) salários mínimos para Municípios. (Incluído pela Emenda Constit</w:t>
      </w:r>
    </w:p>
    <w:p>
      <w:pPr>
        <w:ind w:left="432"/>
      </w:pPr>
      <w:r>
        <w:rPr>
          <w:color w:val="003366"/>
          <w:sz w:val="18"/>
        </w:rPr>
        <w:t>§ 13 Enquanto Estados, Distrito Federal e Municípios devedores estiverem realiza</w:t>
      </w:r>
    </w:p>
    <w:p>
      <w:pPr>
        <w:ind w:left="432"/>
      </w:pPr>
      <w:r>
        <w:rPr>
          <w:color w:val="003366"/>
          <w:sz w:val="18"/>
        </w:rPr>
        <w:t>§ 14 O regime especial de pagamento de precatório previsto no inciso I do § 1º v</w:t>
      </w:r>
    </w:p>
    <w:p>
      <w:pPr>
        <w:ind w:left="432"/>
      </w:pPr>
      <w:r>
        <w:rPr>
          <w:color w:val="003366"/>
          <w:sz w:val="18"/>
        </w:rPr>
        <w:t>§ 15 Os precatórios parcelados na forma do art. 33 ou do art. 78 deste Ato das D</w:t>
      </w:r>
    </w:p>
    <w:p>
      <w:pPr>
        <w:ind w:left="432"/>
      </w:pPr>
      <w:r>
        <w:rPr>
          <w:color w:val="003366"/>
          <w:sz w:val="18"/>
        </w:rPr>
        <w:t>§ 16 A partir de 1º de agosto de 2025, a atualização de valores de requisitórios</w:t>
      </w:r>
    </w:p>
    <w:p>
      <w:pPr>
        <w:ind w:left="432"/>
      </w:pPr>
      <w:r>
        <w:rPr>
          <w:color w:val="003366"/>
          <w:sz w:val="18"/>
        </w:rPr>
        <w:t xml:space="preserve">§ 16 A. Caso o índice de atualização e juros calculado nos termos do § 16 deste </w:t>
      </w:r>
    </w:p>
    <w:p>
      <w:pPr>
        <w:ind w:left="432"/>
      </w:pPr>
      <w:r>
        <w:rPr>
          <w:color w:val="003366"/>
          <w:sz w:val="18"/>
        </w:rPr>
        <w:t>§ 17 O valor que exceder o limite previsto no § 2º do art. 100 da Constituição F</w:t>
      </w:r>
    </w:p>
    <w:p>
      <w:pPr>
        <w:ind w:left="432"/>
      </w:pPr>
      <w:r>
        <w:rPr>
          <w:color w:val="003366"/>
          <w:sz w:val="18"/>
        </w:rPr>
        <w:t xml:space="preserve">§ 18 Durante a vigência do regime especial a que se refere este artigo, gozarão </w:t>
      </w:r>
    </w:p>
    <w:p>
      <w:r>
        <w:rPr>
          <w:b/>
          <w:color w:val="003366"/>
          <w:sz w:val="20"/>
        </w:rPr>
        <w:t>Art. 98 O número de defensores públicos na unidade jurisdicional será proporcion</w:t>
      </w:r>
      <w:r>
        <w:rPr>
          <w:color w:val="8C8C8C"/>
          <w:sz w:val="14"/>
        </w:rPr>
        <w:t xml:space="preserve">  [23 decisoes]</w:t>
      </w:r>
    </w:p>
    <w:p>
      <w:pPr>
        <w:ind w:left="288"/>
      </w:pPr>
      <w:r>
        <w:rPr>
          <w:color w:val="8C8C8C"/>
          <w:sz w:val="12"/>
        </w:rPr>
        <w:t>cf-art-98</w:t>
      </w:r>
    </w:p>
    <w:p>
      <w:pPr>
        <w:ind w:left="288"/>
      </w:pPr>
      <w:r>
        <w:rPr>
          <w:color w:val="1E1E1E"/>
          <w:sz w:val="18"/>
        </w:rPr>
        <w:t>I - juizados especiais, providos por juízes togados, ou togados e leigos, competentes para a conciliação, o julgamento e a execução de causas cíveis de menor complexidade e infrações penais de menor potencial ofensivo, mediante os procedimentos oral e sumariíssimo, permitidos, nas hipóteses previstas em lei, a transação e o julgamento de recursos por turmas de juízes de primeiro grau;</w:t>
      </w:r>
    </w:p>
    <w:p>
      <w:pPr>
        <w:ind w:left="144"/>
      </w:pPr>
      <w:r>
        <w:rPr>
          <w:b/>
          <w:color w:val="B45A00"/>
          <w:sz w:val="16"/>
        </w:rPr>
        <w:t>SUMULA VINCULANTE</w:t>
      </w:r>
    </w:p>
    <w:p>
      <w:pPr>
        <w:ind w:left="288"/>
      </w:pPr>
      <w:r>
        <w:rPr>
          <w:color w:val="8C8C8C"/>
          <w:sz w:val="12"/>
        </w:rPr>
        <w:t>cf-art-98</w:t>
      </w:r>
    </w:p>
    <w:p>
      <w:pPr>
        <w:ind w:left="288"/>
      </w:pPr>
      <w:r>
        <w:rPr>
          <w:color w:val="1E1E1E"/>
          <w:sz w:val="18"/>
        </w:rPr>
        <w:t>Compete à Justiça estadual julgar causas entre consumidor e concessionária de serviço público de telefonia, quando a Anatel não seja litisconsorte passiva necessária, assistente, nem opoente.</w:t>
      </w:r>
    </w:p>
    <w:p>
      <w:pPr>
        <w:ind w:left="288"/>
      </w:pPr>
      <w:r>
        <w:rPr>
          <w:b/>
          <w:color w:val="003CA0"/>
          <w:sz w:val="16"/>
        </w:rPr>
        <w:t>[Súmula Vinculante 27.]</w:t>
      </w:r>
    </w:p>
    <w:p>
      <w:pPr>
        <w:ind w:left="144"/>
      </w:pPr>
      <w:r>
        <w:rPr>
          <w:b/>
          <w:color w:val="B45A00"/>
          <w:sz w:val="16"/>
        </w:rPr>
        <w:t>CONTROLE CONCENTRADO</w:t>
      </w:r>
    </w:p>
    <w:p>
      <w:pPr>
        <w:ind w:left="288"/>
      </w:pPr>
      <w:r>
        <w:rPr>
          <w:color w:val="8C8C8C"/>
          <w:sz w:val="12"/>
        </w:rPr>
        <w:t>cf-art-98</w:t>
      </w:r>
      <w:r>
        <w:rPr>
          <w:color w:val="003CA0"/>
          <w:sz w:val="12"/>
        </w:rPr>
        <w:t xml:space="preserve"> | ADI 4.161</w:t>
      </w:r>
      <w:r>
        <w:rPr>
          <w:color w:val="003CA0"/>
          <w:sz w:val="12"/>
        </w:rPr>
        <w:t xml:space="preserve"> | rel. Cármen Lúcia</w:t>
      </w:r>
    </w:p>
    <w:p>
      <w:pPr>
        <w:ind w:left="288"/>
      </w:pPr>
      <w:r>
        <w:rPr>
          <w:color w:val="1E1E1E"/>
          <w:sz w:val="18"/>
        </w:rPr>
        <w:t>Lei 6.816/2007 de Alagoas, instituindo depósito prévio de 100% do valor da condenação para a interposição de recurso nos juizados especiais cíveis do Estado. Inconstitucionalidade formal: competência privativa da União para legislar sobre matéria processual. Art. 22, I, da Constituição da República.</w:t>
      </w:r>
    </w:p>
    <w:p>
      <w:pPr>
        <w:ind w:left="288"/>
      </w:pPr>
      <w:r>
        <w:rPr>
          <w:b/>
          <w:color w:val="003CA0"/>
          <w:sz w:val="16"/>
        </w:rPr>
        <w:t>[ADI 4.161, rel. min. Cármen Lúcia, j. 30-10-2014, P, DJE de 10-2-2015.]</w:t>
      </w:r>
    </w:p>
    <w:p>
      <w:pPr>
        <w:ind w:left="144"/>
      </w:pPr>
      <w:r>
        <w:rPr>
          <w:b/>
          <w:color w:val="B45A00"/>
          <w:sz w:val="16"/>
        </w:rPr>
        <w:t>REPERCUSSAO GERAL</w:t>
      </w:r>
    </w:p>
    <w:p>
      <w:pPr>
        <w:ind w:left="288"/>
      </w:pPr>
      <w:r>
        <w:rPr>
          <w:color w:val="8C8C8C"/>
          <w:sz w:val="12"/>
        </w:rPr>
        <w:t>cf-art-98</w:t>
      </w:r>
      <w:r>
        <w:rPr>
          <w:color w:val="003CA0"/>
          <w:sz w:val="12"/>
        </w:rPr>
        <w:t xml:space="preserve"> | RE 586.789</w:t>
      </w:r>
      <w:r>
        <w:rPr>
          <w:color w:val="003CA0"/>
          <w:sz w:val="12"/>
        </w:rPr>
        <w:t xml:space="preserve"> | rel. Ricardo Lewandowski</w:t>
      </w:r>
    </w:p>
    <w:p>
      <w:pPr>
        <w:ind w:left="288"/>
      </w:pPr>
      <w:r>
        <w:rPr>
          <w:color w:val="1E1E1E"/>
          <w:sz w:val="18"/>
        </w:rPr>
        <w:t>As turmas recursais são órgãos recursais ordinários de última instância relativamente às decisões dos juizados especiais, de forma que os juízes dos juizados especiais estão a elas vinculados no que concerne ao reexame de seus julgados. Competente a turma recursal para processar e julgar recursos contra decisões de primeiro grau, também o é para processar e julgar o mandado de segurança substitutivo de recurso. Primazia da simplificação do processo judicial e do princípio da razoável duração do processo.</w:t>
        <w:br/>
        <w:t xml:space="preserve">[RE 586.789, rel. min. Ricardo Lewandowski, j. 16-11-2011, P, DJE de 27-2-2012, Tema 159, </w:t>
      </w:r>
    </w:p>
    <w:p>
      <w:pPr>
        <w:ind w:left="144"/>
      </w:pPr>
      <w:r>
        <w:rPr>
          <w:b/>
          <w:color w:val="B45A00"/>
          <w:sz w:val="16"/>
        </w:rPr>
        <w:t>JULGADOS CORRELATOS</w:t>
      </w:r>
    </w:p>
    <w:p>
      <w:pPr>
        <w:ind w:left="288"/>
      </w:pPr>
      <w:r>
        <w:rPr>
          <w:color w:val="8C8C8C"/>
          <w:sz w:val="12"/>
        </w:rPr>
        <w:t>cf-art-98</w:t>
      </w:r>
      <w:r>
        <w:rPr>
          <w:color w:val="003CA0"/>
          <w:sz w:val="12"/>
        </w:rPr>
        <w:t xml:space="preserve"> | HC 109.277</w:t>
      </w:r>
      <w:r>
        <w:rPr>
          <w:color w:val="003CA0"/>
          <w:sz w:val="12"/>
        </w:rPr>
        <w:t xml:space="preserve"> | rel. Ayres Britto</w:t>
      </w:r>
    </w:p>
    <w:p>
      <w:pPr>
        <w:ind w:left="288"/>
      </w:pPr>
      <w:r>
        <w:rPr>
          <w:color w:val="1E1E1E"/>
          <w:sz w:val="18"/>
        </w:rPr>
        <w:t>Significância penal. Conceito constitucional. (...) Ao prever, por exemplo, a categoria de infrações de menor potencial ofensivo (inciso I do art. 98), a CF logicamente nega a significância penal de tudo que ficar aquém desse potencial, de logo rotulado de "menor"; ou seja, quando a CF concebe a categoria das infrações de menor potencial ofensivo, parece mesmo que o faz na perspectiva de uma conduta atenuadamente danosa para a vítima e a sociedade, é certo, mas ainda assim em grau suficiente de lesividade para justificar uma reação estatal punitiva. Pelo que estabelece um vínculo operacional d</w:t>
      </w:r>
    </w:p>
    <w:p>
      <w:pPr>
        <w:ind w:left="288"/>
      </w:pPr>
      <w:r>
        <w:rPr>
          <w:b/>
          <w:color w:val="003CA0"/>
          <w:sz w:val="16"/>
        </w:rPr>
        <w:t>[HC 109.277, rel. min. Ayres Britto, j. 13-12-2011, 2ª T, DJE de 22-2-2012.]</w:t>
      </w:r>
    </w:p>
    <w:p>
      <w:pPr>
        <w:ind w:left="288"/>
      </w:pPr>
      <w:r>
        <w:rPr>
          <w:color w:val="8C8C8C"/>
          <w:sz w:val="12"/>
        </w:rPr>
        <w:t>cf-art-98</w:t>
      </w:r>
      <w:r>
        <w:rPr>
          <w:color w:val="003CA0"/>
          <w:sz w:val="12"/>
        </w:rPr>
        <w:t xml:space="preserve"> | RE 537.427</w:t>
      </w:r>
      <w:r>
        <w:rPr>
          <w:color w:val="003CA0"/>
          <w:sz w:val="12"/>
        </w:rPr>
        <w:t xml:space="preserve"> | rel. Marco Aurélio</w:t>
      </w:r>
    </w:p>
    <w:p>
      <w:pPr>
        <w:ind w:left="288"/>
      </w:pPr>
      <w:r>
        <w:rPr>
          <w:color w:val="1E1E1E"/>
          <w:sz w:val="18"/>
        </w:rPr>
        <w:t>A excludente da competência dos juizados especiais – complexidade da controvérsia (art. 98 da CF) – há de ser sopesada em face das causas de pedir constantes da inicial, observando-se, em passo seguinte, a defesa apresentada pela parte acionada. Competência. Ação indenizatória. Fumo. Dependência. Tratamento. Ante as balizas objetivas do conflito de interesses, a direcionarem a indagação técnico-pericial, surge complexidade a afastar a competência dos juizados especiais.</w:t>
      </w:r>
    </w:p>
    <w:p>
      <w:pPr>
        <w:ind w:left="288"/>
      </w:pPr>
      <w:r>
        <w:rPr>
          <w:b/>
          <w:color w:val="003CA0"/>
          <w:sz w:val="16"/>
        </w:rPr>
        <w:t>[RE 537.427, rel. min. Marco Aurélio, j. 14-4-2011, P, DJE de 17-8-2011.]</w:t>
      </w:r>
    </w:p>
    <w:p>
      <w:pPr>
        <w:ind w:left="288"/>
      </w:pPr>
      <w:r>
        <w:rPr>
          <w:color w:val="8C8C8C"/>
          <w:sz w:val="12"/>
        </w:rPr>
        <w:t>cf-art-98</w:t>
      </w:r>
      <w:r>
        <w:rPr>
          <w:color w:val="003CA0"/>
          <w:sz w:val="12"/>
        </w:rPr>
        <w:t xml:space="preserve"> | HC 106.212</w:t>
      </w:r>
      <w:r>
        <w:rPr>
          <w:color w:val="003CA0"/>
          <w:sz w:val="12"/>
        </w:rPr>
        <w:t xml:space="preserve"> | rel. Marco Aurélio</w:t>
      </w:r>
    </w:p>
    <w:p>
      <w:pPr>
        <w:ind w:left="288"/>
      </w:pPr>
      <w:r>
        <w:rPr>
          <w:color w:val="1E1E1E"/>
          <w:sz w:val="18"/>
        </w:rPr>
        <w:t>Violência doméstica (...). O preceito do art. 41 da Lei 11.340/2006 alcança toda e qualquer prática delituosa contra a mulher, até mesmo quando consubstancia contravenção penal, como é a relativa a vias de fato. (...) Ante a opção político-normativa prevista no art. 98, I, e a proteção versada no art. 226, § 8º, ambos da CF, surge harmônico com esta última o afastamento peremptório da Lei 9.099/1995 – mediante o art. 41 da Lei 11.340/2006 – no processo-crime a revelar violência contra a mulher.</w:t>
      </w:r>
    </w:p>
    <w:p>
      <w:pPr>
        <w:ind w:left="288"/>
      </w:pPr>
      <w:r>
        <w:rPr>
          <w:b/>
          <w:color w:val="003CA0"/>
          <w:sz w:val="16"/>
        </w:rPr>
        <w:t>[HC 106.212, rel. min. Marco Aurélio, j. 24-3-2011, P, DJE de 13-6-2011.]</w:t>
      </w:r>
    </w:p>
    <w:p>
      <w:pPr>
        <w:ind w:left="288"/>
      </w:pPr>
      <w:r>
        <w:rPr>
          <w:color w:val="8C8C8C"/>
          <w:sz w:val="12"/>
        </w:rPr>
        <w:t>cf-art-98</w:t>
      </w:r>
      <w:r>
        <w:rPr>
          <w:color w:val="003CA0"/>
          <w:sz w:val="12"/>
        </w:rPr>
        <w:t xml:space="preserve"> | HC 110.113</w:t>
      </w:r>
      <w:r>
        <w:rPr>
          <w:color w:val="003CA0"/>
          <w:sz w:val="12"/>
        </w:rPr>
        <w:t xml:space="preserve"> | rel. Cármen Lúcia</w:t>
      </w:r>
    </w:p>
    <w:p>
      <w:pPr>
        <w:ind w:left="288"/>
      </w:pPr>
      <w:r>
        <w:rPr>
          <w:color w:val="1E1E1E"/>
          <w:sz w:val="18"/>
        </w:rPr>
        <w:t>= HC 110.113, rel. min. Cármen Lúcia, j. 20-3-2012, 1ª T, DJE de 9-4-2012 Vide ADI 3.096, rel. min. Cármen Lúcia, j. 16-6-2010, P, DJE de 3-9-2010 Consoante dispõe o art. 9º da Lei 10.259/2001, em se tratando de processo originário de juizado especial, não há a contagem de prazo em dobro prevista no art. 188 do CPC. Descabe distinguir onde a lei não distingue, para, com isso, dar origem à dualidade de prazos.</w:t>
      </w:r>
    </w:p>
    <w:p>
      <w:pPr>
        <w:ind w:left="288"/>
      </w:pPr>
      <w:r>
        <w:rPr>
          <w:b/>
          <w:color w:val="003CA0"/>
          <w:sz w:val="16"/>
        </w:rPr>
        <w:t>[RE 475.920 AgR, rel. min. Marco Aurélio, j. 25-8-2009, 1ª T, DJE de 23-10-2009.]</w:t>
      </w:r>
    </w:p>
    <w:p>
      <w:pPr>
        <w:ind w:left="288"/>
      </w:pPr>
      <w:r>
        <w:rPr>
          <w:color w:val="8C8C8C"/>
          <w:sz w:val="12"/>
        </w:rPr>
        <w:t>cf-art-98</w:t>
      </w:r>
      <w:r>
        <w:rPr>
          <w:color w:val="003CA0"/>
          <w:sz w:val="12"/>
        </w:rPr>
        <w:t xml:space="preserve"> | AI 633.998</w:t>
      </w:r>
      <w:r>
        <w:rPr>
          <w:color w:val="003CA0"/>
          <w:sz w:val="12"/>
        </w:rPr>
        <w:t xml:space="preserve"> | rel. Cármen Lúcia</w:t>
      </w:r>
    </w:p>
    <w:p>
      <w:pPr>
        <w:ind w:left="288"/>
      </w:pPr>
      <w:r>
        <w:rPr>
          <w:color w:val="1E1E1E"/>
          <w:sz w:val="18"/>
        </w:rPr>
        <w:t>Vide AI 633.998 AgR, rel. min. Cármen Lúcia, j. 25-8-2009, 1ª T, DJE de 23-10-2009 A jurisprudência do STF é pacífica quanto à impossibilidade de conhecimento de mandado de segurança impetrado contra ato pretensamente coator praticado por juiz de direito integrante de juizado especial, em face de sua absoluta incompetência. A teor do que dispõe o art. 102, I, d, da Constituição da República, dúvidas não remanescem de que a autoridade tida como coatora não está elencada naquele rol, que é taxativo, sendo, portanto, incompetente o STF para processar e julgar o presente mandado de segurança.</w:t>
      </w:r>
    </w:p>
    <w:p>
      <w:pPr>
        <w:ind w:left="288"/>
      </w:pPr>
      <w:r>
        <w:rPr>
          <w:b/>
          <w:color w:val="003CA0"/>
          <w:sz w:val="16"/>
        </w:rPr>
        <w:t>[MS 26.836 AgR, voto da rel. min. Cármen Lúcia, j. 25-6-2008, P, DJE de 13-3-2009.]</w:t>
      </w:r>
    </w:p>
    <w:p>
      <w:pPr>
        <w:ind w:left="288"/>
      </w:pPr>
      <w:r>
        <w:rPr>
          <w:color w:val="8C8C8C"/>
          <w:sz w:val="12"/>
        </w:rPr>
        <w:t>cf-art-98</w:t>
      </w:r>
      <w:r>
        <w:rPr>
          <w:color w:val="003CA0"/>
          <w:sz w:val="12"/>
        </w:rPr>
        <w:t xml:space="preserve"> | RE 463.560</w:t>
      </w:r>
      <w:r>
        <w:rPr>
          <w:color w:val="003CA0"/>
          <w:sz w:val="12"/>
        </w:rPr>
        <w:t xml:space="preserve"> | rel. Joaquim Barbosa</w:t>
      </w:r>
    </w:p>
    <w:p>
      <w:pPr>
        <w:ind w:left="288"/>
      </w:pPr>
      <w:r>
        <w:rPr>
          <w:color w:val="1E1E1E"/>
          <w:sz w:val="18"/>
        </w:rPr>
        <w:t>Os juizados especiais e as turmas recursais foram instituídos, no Estado de Santa Catarina, por lei complementar estadual, anteriormente à edição da Lei  9.099/1995. Assim, a posterior exigência, por este último diploma legal, de lei estadual para a criação de juizados e turmas recursais nos Estados já estava atendida no Estado de Santa Catarina. O fato de a lei complementar estadual prever apenas competência cível para as turmas de recursos não torna ilegítima a resolução do Tribunal de Justiça que declara a existência da competência também em matéria criminal. Observância dos princípios nort</w:t>
      </w:r>
    </w:p>
    <w:p>
      <w:pPr>
        <w:ind w:left="288"/>
      </w:pPr>
      <w:r>
        <w:rPr>
          <w:b/>
          <w:color w:val="003CA0"/>
          <w:sz w:val="16"/>
        </w:rPr>
        <w:t>[RE 463.560, rel. min. Joaquim Barbosa, j. 29-4-2008, 2ª T, DJE de 20-6-2008.]</w:t>
      </w:r>
    </w:p>
    <w:p>
      <w:pPr>
        <w:ind w:left="288"/>
      </w:pPr>
      <w:r>
        <w:rPr>
          <w:color w:val="8C8C8C"/>
          <w:sz w:val="12"/>
        </w:rPr>
        <w:t>cf-art-98</w:t>
      </w:r>
      <w:r>
        <w:rPr>
          <w:color w:val="003CA0"/>
          <w:sz w:val="12"/>
        </w:rPr>
        <w:t xml:space="preserve"> | RE 721.967</w:t>
      </w:r>
      <w:r>
        <w:rPr>
          <w:color w:val="003CA0"/>
          <w:sz w:val="12"/>
        </w:rPr>
        <w:t xml:space="preserve"> | rel. Gilmar Mendes</w:t>
      </w:r>
    </w:p>
    <w:p>
      <w:pPr>
        <w:ind w:left="288"/>
      </w:pPr>
      <w:r>
        <w:rPr>
          <w:color w:val="1E1E1E"/>
          <w:sz w:val="18"/>
        </w:rPr>
        <w:t>= RE 721.967 AgR, rel. min. Gilmar Mendes, j. 19-11-2013, 2ª T, DJE de 5-12-2013 Competência recursal: crime de menor potencial ofensivo: se o réu foi processado e condenado pela Justiça comum, compete ao tribunal de justiça e não à turma recursal a apreciação do mérito da apelação criminal.</w:t>
      </w:r>
    </w:p>
    <w:p>
      <w:pPr>
        <w:ind w:left="288"/>
      </w:pPr>
      <w:r>
        <w:rPr>
          <w:b/>
          <w:color w:val="003CA0"/>
          <w:sz w:val="16"/>
        </w:rPr>
        <w:t>[HC 88.428, rel. min. Sepúlveda Pertence, j. 30-5-2006, 1ª T, DJ de 10-8-2006.]</w:t>
      </w:r>
    </w:p>
    <w:p>
      <w:pPr>
        <w:ind w:left="288"/>
      </w:pPr>
      <w:r>
        <w:rPr>
          <w:color w:val="8C8C8C"/>
          <w:sz w:val="12"/>
        </w:rPr>
        <w:t>cf-art-98</w:t>
      </w:r>
      <w:r>
        <w:rPr>
          <w:color w:val="003CA0"/>
          <w:sz w:val="12"/>
        </w:rPr>
        <w:t xml:space="preserve"> | RE 273.899</w:t>
      </w:r>
      <w:r>
        <w:rPr>
          <w:color w:val="003CA0"/>
          <w:sz w:val="12"/>
        </w:rPr>
        <w:t xml:space="preserve"> | rel. Sepúlveda Pertence</w:t>
      </w:r>
    </w:p>
    <w:p>
      <w:pPr>
        <w:ind w:left="288"/>
      </w:pPr>
      <w:r>
        <w:rPr>
          <w:color w:val="1E1E1E"/>
          <w:sz w:val="18"/>
        </w:rPr>
        <w:t>Juizados especiais (CF, art. 98, I): matéria de processo (criação de recursos): competência legislativa privativa da União (Lei 9.099/1995): consequente inadmissibilidade de embargos de divergência para o tribunal de justiça, criados por lei estadual.</w:t>
      </w:r>
    </w:p>
    <w:p>
      <w:pPr>
        <w:ind w:left="288"/>
      </w:pPr>
      <w:r>
        <w:rPr>
          <w:b/>
          <w:color w:val="003CA0"/>
          <w:sz w:val="16"/>
        </w:rPr>
        <w:t>[RE 273.899, rel. min. Sepúlveda Pertence, j. 29-3-2001, P, DJ de 25-5-2001.]</w:t>
      </w:r>
    </w:p>
    <w:p>
      <w:pPr>
        <w:ind w:left="288"/>
      </w:pPr>
      <w:r>
        <w:rPr>
          <w:color w:val="8C8C8C"/>
          <w:sz w:val="12"/>
        </w:rPr>
        <w:t>cf-art-98</w:t>
      </w:r>
      <w:r>
        <w:rPr>
          <w:color w:val="003CA0"/>
          <w:sz w:val="12"/>
        </w:rPr>
        <w:t xml:space="preserve"> | ADO 40</w:t>
      </w:r>
      <w:r>
        <w:rPr>
          <w:color w:val="003CA0"/>
          <w:sz w:val="12"/>
        </w:rPr>
        <w:t xml:space="preserve"> | rel. Cristiano Zanin</w:t>
      </w:r>
    </w:p>
    <w:p>
      <w:pPr>
        <w:ind w:left="288"/>
      </w:pPr>
      <w:r>
        <w:rPr>
          <w:color w:val="1E1E1E"/>
          <w:sz w:val="18"/>
        </w:rPr>
        <w:t>II - justiça de paz, remunerada, composta de cidadãos eleitos pelo voto direto, universal e secreto, com mandato de quatro anos e competência para, na forma da lei, celebrar casamentos, verificar, de ofício ou em face de impugnação apresentada, o processo de habilitação e exercer atribuições conciliatórias, sem caráter jurisdicional, além de outras previstas na legislação. Disciplina constitucional do art. 98, II, da Constituição Federal, que versa sobre a criação da justiça de paz. Suposta omissão inconstitucional atribuída à união e aos estados federativos apontados na petição inicial quanto</w:t>
      </w:r>
    </w:p>
    <w:p>
      <w:pPr>
        <w:ind w:left="288"/>
      </w:pPr>
      <w:r>
        <w:rPr>
          <w:b/>
          <w:color w:val="003CA0"/>
          <w:sz w:val="16"/>
        </w:rPr>
        <w:t>[ADO 40, rel. min. Cristiano Zanin, j.18-2-2026, P, DJE de 2-3-2026.]</w:t>
      </w:r>
    </w:p>
    <w:p>
      <w:pPr>
        <w:ind w:left="144"/>
      </w:pPr>
      <w:r>
        <w:rPr>
          <w:b/>
          <w:color w:val="B45A00"/>
          <w:sz w:val="16"/>
        </w:rPr>
        <w:t>CONTROLE CONCENTRADO</w:t>
      </w:r>
    </w:p>
    <w:p>
      <w:pPr>
        <w:ind w:left="288"/>
      </w:pPr>
      <w:r>
        <w:rPr>
          <w:color w:val="8C8C8C"/>
          <w:sz w:val="12"/>
        </w:rPr>
        <w:t>cf-art-98</w:t>
      </w:r>
      <w:r>
        <w:rPr>
          <w:color w:val="003CA0"/>
          <w:sz w:val="12"/>
        </w:rPr>
        <w:t xml:space="preserve"> | ADI 954</w:t>
      </w:r>
      <w:r>
        <w:rPr>
          <w:color w:val="003CA0"/>
          <w:sz w:val="12"/>
        </w:rPr>
        <w:t xml:space="preserve"> | rel. Gilmar Mendes</w:t>
      </w:r>
    </w:p>
    <w:p>
      <w:pPr>
        <w:ind w:left="288"/>
      </w:pPr>
      <w:r>
        <w:rPr>
          <w:color w:val="1E1E1E"/>
          <w:sz w:val="18"/>
        </w:rPr>
        <w:t>Os juízes de paz, na qualidade de agentes públicos, ocupam cargo cuja remuneração deve ocorrer com base em valor fixo e predeterminado, e não por participação no que é recolhido aos cofres públicos. Além disso, os juízes de paz integram o Poder Judiciário e a eles se impõe a vedação prevista no art. 95, parágrafo único, II, da Constituição, a qual proíbe a percepção, a qualquer título ou pretexto, de custas ou participação em processo pelos membros do Judiciário.</w:t>
      </w:r>
    </w:p>
    <w:p>
      <w:pPr>
        <w:ind w:left="288"/>
      </w:pPr>
      <w:r>
        <w:rPr>
          <w:b/>
          <w:color w:val="003CA0"/>
          <w:sz w:val="16"/>
        </w:rPr>
        <w:t>[ADI 954, rel. min. Gilmar Mendes, j. 24-2-2011, P, DJE de 26-5-2011.]</w:t>
      </w:r>
    </w:p>
    <w:p>
      <w:pPr>
        <w:ind w:left="288"/>
      </w:pPr>
      <w:r>
        <w:rPr>
          <w:color w:val="8C8C8C"/>
          <w:sz w:val="12"/>
        </w:rPr>
        <w:t>cf-art-98</w:t>
      </w:r>
      <w:r>
        <w:rPr>
          <w:color w:val="003CA0"/>
          <w:sz w:val="12"/>
        </w:rPr>
        <w:t xml:space="preserve"> | ADI 1.051</w:t>
      </w:r>
      <w:r>
        <w:rPr>
          <w:color w:val="003CA0"/>
          <w:sz w:val="12"/>
        </w:rPr>
        <w:t xml:space="preserve"> | rel. Maurício Corrêa</w:t>
      </w:r>
    </w:p>
    <w:p>
      <w:pPr>
        <w:ind w:left="288"/>
      </w:pPr>
      <w:r>
        <w:rPr>
          <w:color w:val="1E1E1E"/>
          <w:sz w:val="18"/>
        </w:rPr>
        <w:t>Vide ADI 1.051, rel. min. Maurício Corrêa, j. 2-8-1995, P, DJ de 13-10-1995 A obrigatoriedade de filiação partidária para os candidatos a juiz de paz (art. 14, § 3º, da Constituição do Brasil/1988) decorre do sistema eleitoral constitucionalmente definido. (...) A fixação por lei estadual de condições de elegibilidade em relação aos candidatos a juiz de paz, além das constitucionalmente previstas no art. 14, § 3º, invade a competência da União para legislar sobre direito eleitoral, definida no art. 22, I, da Constituição do Brasil. (...) Lei estadual que define como competência funcional do ju</w:t>
      </w:r>
    </w:p>
    <w:p>
      <w:pPr>
        <w:ind w:left="288"/>
      </w:pPr>
      <w:r>
        <w:rPr>
          <w:b/>
          <w:color w:val="003CA0"/>
          <w:sz w:val="16"/>
        </w:rPr>
        <w:t>[ADI 2.938, rel. min. Eros Grau, j. 9-6-2005, P, DJ de 9-12-2005.]</w:t>
      </w:r>
    </w:p>
    <w:p>
      <w:pPr>
        <w:ind w:left="288"/>
      </w:pPr>
      <w:r>
        <w:rPr>
          <w:color w:val="8C8C8C"/>
          <w:sz w:val="12"/>
        </w:rPr>
        <w:t>cf-art-98</w:t>
      </w:r>
      <w:r>
        <w:rPr>
          <w:color w:val="003CA0"/>
          <w:sz w:val="12"/>
        </w:rPr>
        <w:t xml:space="preserve"> | ADI 1.051</w:t>
      </w:r>
      <w:r>
        <w:rPr>
          <w:color w:val="003CA0"/>
          <w:sz w:val="12"/>
        </w:rPr>
        <w:t xml:space="preserve"> | rel. Maurício Corrêa</w:t>
      </w:r>
    </w:p>
    <w:p>
      <w:pPr>
        <w:ind w:left="288"/>
      </w:pPr>
      <w:r>
        <w:rPr>
          <w:color w:val="1E1E1E"/>
          <w:sz w:val="18"/>
        </w:rPr>
        <w:t xml:space="preserve">A remuneração dos juízes de paz somente pode ser fixada em lei de iniciativa exclusiva do tribunal de justiça do Estado. A regra constitucional insculpida no art. 98 e seu inciso II, segundo a qual a União, no Distrito Federal e nos Territórios, e os Estados criarão a Justiça de Paz, remunerada, não prescinde do ditame relativo à competência exclusiva enunciada no mencionado art. 96, II, b. As disposições que atribuem remuneração aos juízes de paz, decorrentes de emenda parlamentar ao projeto original, de iniciativa do tribunal de justiça estadual, são incompatíveis com as regras dos arts. 2º </w:t>
      </w:r>
    </w:p>
    <w:p>
      <w:pPr>
        <w:ind w:left="288"/>
      </w:pPr>
      <w:r>
        <w:rPr>
          <w:b/>
          <w:color w:val="003CA0"/>
          <w:sz w:val="16"/>
        </w:rPr>
        <w:t>[ADI 1.051, rel. min. Maurício Corrêa, j. 2-8-1995, P, DJ de 13-10-1995.]</w:t>
      </w:r>
    </w:p>
    <w:p>
      <w:pPr>
        <w:ind w:left="288"/>
      </w:pPr>
      <w:r>
        <w:rPr>
          <w:color w:val="8C8C8C"/>
          <w:sz w:val="12"/>
        </w:rPr>
        <w:t>cf-art-98</w:t>
      </w:r>
      <w:r>
        <w:rPr>
          <w:color w:val="003CA0"/>
          <w:sz w:val="12"/>
        </w:rPr>
        <w:t xml:space="preserve"> | RE 480.328</w:t>
      </w:r>
      <w:r>
        <w:rPr>
          <w:color w:val="003CA0"/>
          <w:sz w:val="12"/>
        </w:rPr>
        <w:t xml:space="preserve"> | rel. Marco Aurélio</w:t>
      </w:r>
    </w:p>
    <w:p>
      <w:pPr>
        <w:ind w:left="288"/>
      </w:pPr>
      <w:r>
        <w:rPr>
          <w:color w:val="1E1E1E"/>
          <w:sz w:val="18"/>
        </w:rPr>
        <w:t>= RE 480.328, rel. min. Marco Aurélio, j. 2-6-2009, 1ª T, DJE de 28-8-2009 Vide ADI 954, rel. min. Gilmar Mendes, j. 24-2-2011, P, DJE de 26-5-2011</w:t>
      </w:r>
    </w:p>
    <w:p>
      <w:pPr>
        <w:ind w:left="144"/>
      </w:pPr>
      <w:r>
        <w:rPr>
          <w:b/>
          <w:color w:val="B45A00"/>
          <w:sz w:val="16"/>
        </w:rPr>
        <w:t>REPERCUSSAO GERAL</w:t>
      </w:r>
    </w:p>
    <w:p>
      <w:pPr>
        <w:ind w:left="288"/>
      </w:pPr>
      <w:r>
        <w:rPr>
          <w:color w:val="8C8C8C"/>
          <w:sz w:val="12"/>
        </w:rPr>
        <w:t>cf-art-98-par-1</w:t>
      </w:r>
      <w:r>
        <w:rPr>
          <w:color w:val="003CA0"/>
          <w:sz w:val="12"/>
        </w:rPr>
        <w:t xml:space="preserve"> | ARE 648.629</w:t>
      </w:r>
      <w:r>
        <w:rPr>
          <w:color w:val="003CA0"/>
          <w:sz w:val="12"/>
        </w:rPr>
        <w:t xml:space="preserve"> | rel. Luiz Fux</w:t>
      </w:r>
    </w:p>
    <w:p>
      <w:pPr>
        <w:ind w:left="288"/>
      </w:pPr>
      <w:r>
        <w:rPr>
          <w:color w:val="1E1E1E"/>
          <w:sz w:val="18"/>
        </w:rPr>
        <w:t>Não se aplica aos juizados especiais federais a prerrogativa de intimação pessoal dos ocupantes de cargo de procurador federal, prevista no art. 17 da Lei 10.910/2004, na medida em que nesse rito especial, ante a simplicidade das causas nele julgadas, particular e Fazenda Pública apresentam semelhante, se não idêntica, dificuldade para o adequado exercício do direito de informação dos atos do processo, de modo que não se revela razoável a incidência de norma que restringe a paridade de armas, além de comprometer a informalidade e a celeridade do procedimento.</w:t>
      </w:r>
    </w:p>
    <w:p>
      <w:pPr>
        <w:ind w:left="288"/>
      </w:pPr>
      <w:r>
        <w:rPr>
          <w:b/>
          <w:color w:val="003CA0"/>
          <w:sz w:val="16"/>
        </w:rPr>
        <w:t>[ARE 648.629, rel. min. Luiz Fux, j. 24-4-2013, P, DJE de 8-4-2014, Tema 549, com mérito julgado.]</w:t>
      </w:r>
    </w:p>
    <w:p>
      <w:pPr>
        <w:ind w:left="288"/>
      </w:pPr>
      <w:r>
        <w:rPr>
          <w:color w:val="8C8C8C"/>
          <w:sz w:val="12"/>
        </w:rPr>
        <w:t>cf-art-98-par-2</w:t>
      </w:r>
      <w:r>
        <w:rPr>
          <w:color w:val="003CA0"/>
          <w:sz w:val="12"/>
        </w:rPr>
        <w:t xml:space="preserve"> | ADI 7.641</w:t>
      </w:r>
      <w:r>
        <w:rPr>
          <w:color w:val="003CA0"/>
          <w:sz w:val="12"/>
        </w:rPr>
        <w:t xml:space="preserve"> | rel. Alexandre de Moraes</w:t>
      </w:r>
    </w:p>
    <w:p>
      <w:pPr>
        <w:ind w:left="288"/>
      </w:pPr>
      <w:r>
        <w:rPr>
          <w:color w:val="1E1E1E"/>
          <w:sz w:val="18"/>
        </w:rPr>
        <w:t>A LC 200/2023 reforça a responsabilidade fiscal e estabelece limites individualizados para despesas primárias, com exceções específicas para entidades com receitas próprias, como universidades, empresas públicas e instituições científicas. O não enquadramento das receitas próprias dos tribunais federais nas exceções previstas na lei compromete a autonomia desses órgãos, assim como impede a destinação exclusiva de parte destas verbas ao custeio das atividades judiciais, prevista no art. 98, § 2º, da Constituição Federal. No âmbito do Poder Judiciário, fundos especiais e receitas próprias vincul</w:t>
      </w:r>
    </w:p>
    <w:p>
      <w:pPr>
        <w:ind w:left="288"/>
      </w:pPr>
      <w:r>
        <w:rPr>
          <w:b/>
          <w:color w:val="003CA0"/>
          <w:sz w:val="16"/>
        </w:rPr>
        <w:t>[ADI 7.641, rel. min. Alexandre de Moraes, j. 14.04.2025, P, DJE de 23.04.2025.]</w:t>
      </w:r>
    </w:p>
    <w:p>
      <w:pPr>
        <w:ind w:left="288"/>
      </w:pPr>
      <w:r>
        <w:rPr>
          <w:color w:val="8C8C8C"/>
          <w:sz w:val="12"/>
        </w:rPr>
        <w:t>cf-art-98-par-2</w:t>
      </w:r>
      <w:r>
        <w:rPr>
          <w:color w:val="003CA0"/>
          <w:sz w:val="12"/>
        </w:rPr>
        <w:t xml:space="preserve"> | ADI 7.641</w:t>
      </w:r>
      <w:r>
        <w:rPr>
          <w:color w:val="003CA0"/>
          <w:sz w:val="12"/>
        </w:rPr>
        <w:t xml:space="preserve"> | rel. Alexandre de Moraes</w:t>
      </w:r>
    </w:p>
    <w:p>
      <w:pPr>
        <w:ind w:left="288"/>
      </w:pPr>
      <w:r>
        <w:rPr>
          <w:b/>
          <w:color w:val="003CA0"/>
          <w:sz w:val="16"/>
        </w:rPr>
        <w:t>[ADI 7.641 ED, rel. min. Alexandre de Moraes, j. 28.08.2025, P, DJE de 20.10.2025.]</w:t>
      </w:r>
    </w:p>
    <w:p>
      <w:pPr>
        <w:ind w:left="144"/>
      </w:pPr>
      <w:r>
        <w:rPr>
          <w:b/>
          <w:color w:val="B45A00"/>
          <w:sz w:val="16"/>
        </w:rPr>
        <w:t>CONTROLE CONCENTRADO</w:t>
      </w:r>
    </w:p>
    <w:p>
      <w:pPr>
        <w:ind w:left="288"/>
      </w:pPr>
      <w:r>
        <w:rPr>
          <w:color w:val="8C8C8C"/>
          <w:sz w:val="12"/>
        </w:rPr>
        <w:t>cf-art-98-par-2</w:t>
      </w:r>
      <w:r>
        <w:rPr>
          <w:color w:val="003CA0"/>
          <w:sz w:val="12"/>
        </w:rPr>
        <w:t xml:space="preserve"> | ADI 6.145</w:t>
      </w:r>
      <w:r>
        <w:rPr>
          <w:color w:val="003CA0"/>
          <w:sz w:val="12"/>
        </w:rPr>
        <w:t xml:space="preserve"> | rel. Rosa Weber</w:t>
      </w:r>
    </w:p>
    <w:p>
      <w:pPr>
        <w:ind w:left="288"/>
      </w:pPr>
      <w:r>
        <w:rPr>
          <w:color w:val="1E1E1E"/>
          <w:sz w:val="18"/>
        </w:rPr>
        <w:t>A taxa, embora tributo vinculado quanto ao fato gerador, não possui destinação vinculada. A Constituição da República determina a arrecadação de taxa com destinação vinculada apenas na hipótese do art. 98, § 2º.</w:t>
      </w:r>
    </w:p>
    <w:p>
      <w:pPr>
        <w:ind w:left="288"/>
      </w:pPr>
      <w:r>
        <w:rPr>
          <w:b/>
          <w:color w:val="003CA0"/>
          <w:sz w:val="16"/>
        </w:rPr>
        <w:t>[ADI 6.145, rel. min. Rosa Weber, j. 14-9-2022, P, DJE de 24-10-2022.]</w:t>
      </w:r>
    </w:p>
    <w:p>
      <w:pPr>
        <w:ind w:left="288"/>
      </w:pPr>
      <w:r>
        <w:rPr>
          <w:color w:val="8C8C8C"/>
          <w:sz w:val="12"/>
        </w:rPr>
        <w:t>cf-art-98-par-2</w:t>
      </w:r>
      <w:r>
        <w:rPr>
          <w:color w:val="003CA0"/>
          <w:sz w:val="12"/>
        </w:rPr>
        <w:t xml:space="preserve"> | ADI 3.419</w:t>
      </w:r>
      <w:r>
        <w:rPr>
          <w:color w:val="003CA0"/>
          <w:sz w:val="12"/>
        </w:rPr>
        <w:t xml:space="preserve"> | rel. Gilmar Mendes</w:t>
      </w:r>
    </w:p>
    <w:p>
      <w:pPr>
        <w:ind w:left="288"/>
      </w:pPr>
      <w:r>
        <w:rPr>
          <w:color w:val="1E1E1E"/>
          <w:sz w:val="18"/>
        </w:rPr>
        <w:t>Artigos 20, 21 e 30 da Lei 7.088/1997 do Estado do Rio Grande do Norte. Destinação de percentual da arrecadação da taxa judiciária para Escola da Magistratura estadual. (...) O funcionamento de Escola da Magistratura como órgão integrante do Poder Judiciário visa a aprimorar a prestação jurisdicional, o que lhe permite ser financiada também por recursos decorrentes da utilização de tal serviço público.</w:t>
      </w:r>
    </w:p>
    <w:p>
      <w:pPr>
        <w:ind w:left="288"/>
      </w:pPr>
      <w:r>
        <w:rPr>
          <w:b/>
          <w:color w:val="003CA0"/>
          <w:sz w:val="16"/>
        </w:rPr>
        <w:t>[ADI 3.419, rel. min. Gilmar Mendes, j. 6-12-2019, P, DJE de 17-12-2019.]</w:t>
      </w:r>
    </w:p>
    <w:p>
      <w:pPr>
        <w:ind w:left="288"/>
      </w:pPr>
      <w:r>
        <w:rPr>
          <w:color w:val="8C8C8C"/>
          <w:sz w:val="12"/>
        </w:rPr>
        <w:t>cf-art-98-par-2</w:t>
      </w:r>
      <w:r>
        <w:rPr>
          <w:color w:val="003CA0"/>
          <w:sz w:val="12"/>
        </w:rPr>
        <w:t xml:space="preserve"> | ADI 3.401</w:t>
      </w:r>
      <w:r>
        <w:rPr>
          <w:color w:val="003CA0"/>
          <w:sz w:val="12"/>
        </w:rPr>
        <w:t xml:space="preserve"> | rel. Gilmar Mendes</w:t>
      </w:r>
    </w:p>
    <w:p>
      <w:pPr>
        <w:ind w:left="288"/>
      </w:pPr>
      <w:r>
        <w:rPr>
          <w:color w:val="1E1E1E"/>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w:t>
      </w:r>
    </w:p>
    <w:p>
      <w:pPr>
        <w:ind w:left="288"/>
      </w:pPr>
      <w:r>
        <w:rPr>
          <w:b/>
          <w:color w:val="003CA0"/>
          <w:sz w:val="16"/>
        </w:rPr>
        <w:t>[ADI 3.401, rel. min. Gilmar Mendes, j. 26-4-2006, P, DJ de 23-2-2007.]</w:t>
      </w:r>
    </w:p>
    <w:p>
      <w:pPr>
        <w:ind w:left="432"/>
      </w:pPr>
      <w:r>
        <w:rPr>
          <w:color w:val="003366"/>
          <w:sz w:val="18"/>
        </w:rPr>
        <w:t xml:space="preserve">§ 1 No prazo de 8 (oito) anos, a União, os Estados e o Distrito Federal deverão </w:t>
      </w:r>
    </w:p>
    <w:p>
      <w:pPr>
        <w:ind w:left="432"/>
      </w:pPr>
      <w:r>
        <w:rPr>
          <w:color w:val="003366"/>
          <w:sz w:val="18"/>
        </w:rPr>
        <w:t>§ 2 Durante o decurso do prazo previsto no § 1º deste artigo, a lotação dos defe</w:t>
      </w:r>
    </w:p>
    <w:p>
      <w:r>
        <w:rPr>
          <w:b/>
          <w:color w:val="003366"/>
          <w:sz w:val="20"/>
        </w:rPr>
        <w:t>Art. 99 Para efeito do disposto no inciso VII do § 2º do art. 155, no caso de op</w:t>
      </w:r>
      <w:r>
        <w:rPr>
          <w:color w:val="8C8C8C"/>
          <w:sz w:val="14"/>
        </w:rPr>
        <w:t xml:space="preserve">  [15 decisoes]</w:t>
      </w:r>
    </w:p>
    <w:p>
      <w:pPr>
        <w:ind w:left="144"/>
      </w:pPr>
      <w:r>
        <w:rPr>
          <w:b/>
          <w:color w:val="B45A00"/>
          <w:sz w:val="16"/>
        </w:rPr>
        <w:t>CONTROLE CONCENTRADO</w:t>
      </w:r>
    </w:p>
    <w:p>
      <w:pPr>
        <w:ind w:left="288"/>
      </w:pPr>
      <w:r>
        <w:rPr>
          <w:color w:val="8C8C8C"/>
          <w:sz w:val="12"/>
        </w:rPr>
        <w:t>cf-art-99</w:t>
      </w:r>
      <w:r>
        <w:rPr>
          <w:color w:val="003CA0"/>
          <w:sz w:val="12"/>
        </w:rPr>
        <w:t xml:space="preserve"> | ADI 3.976</w:t>
      </w:r>
      <w:r>
        <w:rPr>
          <w:color w:val="003CA0"/>
          <w:sz w:val="12"/>
        </w:rPr>
        <w:t xml:space="preserve"> | rel. Edson Fachin</w:t>
      </w:r>
    </w:p>
    <w:p>
      <w:pPr>
        <w:ind w:left="288"/>
      </w:pPr>
      <w:r>
        <w:rPr>
          <w:color w:val="1E1E1E"/>
          <w:sz w:val="18"/>
        </w:rPr>
        <w:t>A escolha dos órgãos diretivos compete privativamente ao próprio tribunal, nos termos do artigo 96, I, a, e artigo 99, da Carta Magna, em homenagem à autonomia administrativa. Matéria sujeita à disciplina por normas regimentais, não recepcionado o artigo 102, da Lei Orgânica da Magistratura Nacional (LCp 35/1979), na parte em que restringe aos Juízes mais antigos o universo daqueles aptos a concorrer aos cargos de direção.</w:t>
      </w:r>
    </w:p>
    <w:p>
      <w:pPr>
        <w:ind w:left="288"/>
      </w:pPr>
      <w:r>
        <w:rPr>
          <w:b/>
          <w:color w:val="003CA0"/>
          <w:sz w:val="16"/>
        </w:rPr>
        <w:t>[ADI 3.976, rel. min. Edson Fachin, j. 25-6-2020, P, DJE de 21-9-2020.]</w:t>
      </w:r>
    </w:p>
    <w:p>
      <w:pPr>
        <w:ind w:left="288"/>
      </w:pPr>
      <w:r>
        <w:rPr>
          <w:color w:val="8C8C8C"/>
          <w:sz w:val="12"/>
        </w:rPr>
        <w:t>cf-art-99</w:t>
      </w:r>
      <w:r>
        <w:rPr>
          <w:color w:val="003CA0"/>
          <w:sz w:val="12"/>
        </w:rPr>
        <w:t xml:space="preserve"> | ADI 1.933</w:t>
      </w:r>
      <w:r>
        <w:rPr>
          <w:color w:val="003CA0"/>
          <w:sz w:val="12"/>
        </w:rPr>
        <w:t xml:space="preserve"> | rel. Eros Grau</w:t>
      </w:r>
    </w:p>
    <w:p>
      <w:pPr>
        <w:ind w:left="288"/>
      </w:pPr>
      <w:r>
        <w:rPr>
          <w:color w:val="1E1E1E"/>
          <w:sz w:val="18"/>
        </w:rPr>
        <w:t>(...) a transferência dos recursos depositados em juízo para a conta única do Tesouro Nacional em nada afeta a autonomia do Poder Judiciário, até porque esses valores não integram os recursos orçamentários de administração exclusiva desse Poder (art. 168 da CF). Enquanto não houver ordem judicial para levantamento (e a lei não opõe nenhum óbice à emissão dessa ordem), os valores terão a aplicação determinada em lei.</w:t>
      </w:r>
    </w:p>
    <w:p>
      <w:pPr>
        <w:ind w:left="288"/>
      </w:pPr>
      <w:r>
        <w:rPr>
          <w:b/>
          <w:color w:val="003CA0"/>
          <w:sz w:val="16"/>
        </w:rPr>
        <w:t>[ADI 1.933, rel. min. Eros Grau, voto do min. Ayres Britto, j. 14-4-2010, P, DJE de 3-9-2010.]</w:t>
      </w:r>
    </w:p>
    <w:p>
      <w:pPr>
        <w:ind w:left="288"/>
      </w:pPr>
      <w:r>
        <w:rPr>
          <w:color w:val="8C8C8C"/>
          <w:sz w:val="12"/>
        </w:rPr>
        <w:t>cf-art-99</w:t>
      </w:r>
      <w:r>
        <w:rPr>
          <w:color w:val="003CA0"/>
          <w:sz w:val="12"/>
        </w:rPr>
        <w:t xml:space="preserve"> | ADI 1.578</w:t>
      </w:r>
      <w:r>
        <w:rPr>
          <w:color w:val="003CA0"/>
          <w:sz w:val="12"/>
        </w:rPr>
        <w:t xml:space="preserve"> | rel. Cármen Lúcia</w:t>
      </w:r>
    </w:p>
    <w:p>
      <w:pPr>
        <w:ind w:left="288"/>
      </w:pPr>
      <w:r>
        <w:rPr>
          <w:color w:val="1E1E1E"/>
          <w:sz w:val="18"/>
        </w:rPr>
        <w:t>Lei 5.913/1997 do Estado de Alagoas. Criação da Central de Pagamentos de Salários do Estado. Órgão externo. Princípio da separação de poderes. Autonomia financeira e administrativa do Poder Judiciário. (...) A Associação dos Magistrados Brasileiros (AMB) tem legitimidade para o ajuizamento de ação direta de inconstitucionalidade em que se discute afronta ao princípio constitucional da autonomia do Poder Judiciário. A ingerência de órgão externo nos processos decisórios relativos à organização e ao funcionamento do Poder Judiciário afronta sua autonomia financeira e administrativa. A presença d</w:t>
      </w:r>
    </w:p>
    <w:p>
      <w:pPr>
        <w:ind w:left="288"/>
      </w:pPr>
      <w:r>
        <w:rPr>
          <w:b/>
          <w:color w:val="003CA0"/>
          <w:sz w:val="16"/>
        </w:rPr>
        <w:t>[ADI 1.578, rel. min. Cármen Lúcia, j. 4-3-2009, P, DJE de 3-4-2009.]</w:t>
      </w:r>
    </w:p>
    <w:p>
      <w:pPr>
        <w:ind w:left="288"/>
      </w:pPr>
      <w:r>
        <w:rPr>
          <w:color w:val="8C8C8C"/>
          <w:sz w:val="12"/>
        </w:rPr>
        <w:t>cf-art-99</w:t>
      </w:r>
      <w:r>
        <w:rPr>
          <w:color w:val="003CA0"/>
          <w:sz w:val="12"/>
        </w:rPr>
        <w:t xml:space="preserve"> | ADI 3.458</w:t>
      </w:r>
      <w:r>
        <w:rPr>
          <w:color w:val="003CA0"/>
          <w:sz w:val="12"/>
        </w:rPr>
        <w:t xml:space="preserve"> | rel. Eros Grau</w:t>
      </w:r>
    </w:p>
    <w:p>
      <w:pPr>
        <w:ind w:left="288"/>
      </w:pPr>
      <w:r>
        <w:rPr>
          <w:color w:val="1E1E1E"/>
          <w:sz w:val="18"/>
        </w:rPr>
        <w:t>Tesouro estadual definido como administrador da conta de depósitos judiciais. Inconstitucionalidade material. (...) Cumpre ao Poder Judiciário a administração e os rendimentos referentes à conta única de depósitos judiciais e extrajudiciais.</w:t>
      </w:r>
    </w:p>
    <w:p>
      <w:pPr>
        <w:ind w:left="288"/>
      </w:pPr>
      <w:r>
        <w:rPr>
          <w:b/>
          <w:color w:val="003CA0"/>
          <w:sz w:val="16"/>
        </w:rPr>
        <w:t>[ADI 3.458, rel. min. Eros Grau, j. 21-2-2008, P, DJE de 16-5-2008.]</w:t>
      </w:r>
    </w:p>
    <w:p>
      <w:pPr>
        <w:ind w:left="288"/>
      </w:pPr>
      <w:r>
        <w:rPr>
          <w:color w:val="8C8C8C"/>
          <w:sz w:val="12"/>
        </w:rPr>
        <w:t>cf-art-99</w:t>
      </w:r>
      <w:r>
        <w:rPr>
          <w:color w:val="003CA0"/>
          <w:sz w:val="12"/>
        </w:rPr>
        <w:t xml:space="preserve"> | ADI 1.933</w:t>
      </w:r>
      <w:r>
        <w:rPr>
          <w:color w:val="003CA0"/>
          <w:sz w:val="12"/>
        </w:rPr>
        <w:t xml:space="preserve"> | rel. Eros Grau</w:t>
      </w:r>
    </w:p>
    <w:p>
      <w:pPr>
        <w:ind w:left="288"/>
      </w:pPr>
      <w:r>
        <w:rPr>
          <w:color w:val="1E1E1E"/>
          <w:sz w:val="18"/>
        </w:rPr>
        <w:t>Vide ADI 1.933, rel. min. Eros Grau, j. 14-4-2010, P, DJE de 3-9-2010 Vide ADI 2.214 MC, rel. min. Maurício Corrêa, j. 6-2-2002, P, DJ de 19-4-2002</w:t>
      </w:r>
    </w:p>
    <w:p>
      <w:pPr>
        <w:ind w:left="144"/>
      </w:pPr>
      <w:r>
        <w:rPr>
          <w:b/>
          <w:color w:val="B45A00"/>
          <w:sz w:val="16"/>
        </w:rPr>
        <w:t>JULGADOS CORRELATOS</w:t>
      </w:r>
    </w:p>
    <w:p>
      <w:pPr>
        <w:ind w:left="288"/>
      </w:pPr>
      <w:r>
        <w:rPr>
          <w:color w:val="8C8C8C"/>
          <w:sz w:val="12"/>
        </w:rPr>
        <w:t>cf-art-99</w:t>
      </w:r>
      <w:r>
        <w:rPr>
          <w:color w:val="003CA0"/>
          <w:sz w:val="12"/>
        </w:rPr>
        <w:t xml:space="preserve"> | MS 39.821</w:t>
      </w:r>
      <w:r>
        <w:rPr>
          <w:color w:val="003CA0"/>
          <w:sz w:val="12"/>
        </w:rPr>
        <w:t xml:space="preserve"> | rel. Nunes Marques</w:t>
      </w:r>
    </w:p>
    <w:p>
      <w:pPr>
        <w:ind w:left="288"/>
      </w:pPr>
      <w:r>
        <w:rPr>
          <w:color w:val="1E1E1E"/>
          <w:sz w:val="18"/>
        </w:rPr>
        <w:t>Prestações pecuniárias pagas em decorrência de processos criminais. Fiscalização da destinação dos recursos. Tribunal de Contas da União. Incompetência. (...) O Tribunal de Contas da União, ao avançar na fiscalização da destinação de recursos oriundos de prestações pecuniárias pagas em virtude de condenações criminais, surgidas da atuação jurisdicional, viola as garantias de autonomia administrativa e financeira do Poder Judiciário (CF, arts. 96 e 99), que possui normas legais regulamentadoras da matéria em discussão.</w:t>
        <w:br/>
        <w:t>[MS 39.821 MC-REF, rel. min. Nunes Marques, j. 26.08.2024, 2ª T, DJE de 02.1</w:t>
      </w:r>
    </w:p>
    <w:p>
      <w:pPr>
        <w:ind w:left="288"/>
      </w:pPr>
      <w:r>
        <w:rPr>
          <w:color w:val="8C8C8C"/>
          <w:sz w:val="12"/>
        </w:rPr>
        <w:t>cf-art-99-par-1</w:t>
      </w:r>
      <w:r>
        <w:rPr>
          <w:color w:val="003CA0"/>
          <w:sz w:val="12"/>
        </w:rPr>
        <w:t xml:space="preserve"> | ADI 7.641</w:t>
      </w:r>
      <w:r>
        <w:rPr>
          <w:color w:val="003CA0"/>
          <w:sz w:val="12"/>
        </w:rPr>
        <w:t xml:space="preserve"> | rel. Alexandre de Moraes</w:t>
      </w:r>
    </w:p>
    <w:p>
      <w:pPr>
        <w:ind w:left="288"/>
      </w:pPr>
      <w:r>
        <w:rPr>
          <w:color w:val="1E1E1E"/>
          <w:sz w:val="18"/>
        </w:rPr>
        <w:t>As receitas próprias dos Tribunais e órgãos do Poder Judiciário da União que foram excluídas do teto de gastos instituído pela Lei Complementar 200/2023 por força do acórdão embargado abrangem: (i) despesas custeadas com receitas próprias, ou de convênios, contratos ou instrumentos congêneres, celebrados com os demais entes federativos ou entidades privadas; e (ii) custas e emolumentos. Não se afiguraria legítimo modificar retroativamente a base de cálculo originalmente utilizada na apuração do limite de despesas primárias para os órgãos Poder Judiciário federal, diminuindo-lhe o valor para, e</w:t>
      </w:r>
    </w:p>
    <w:p>
      <w:pPr>
        <w:ind w:left="288"/>
      </w:pPr>
      <w:r>
        <w:rPr>
          <w:b/>
          <w:color w:val="003CA0"/>
          <w:sz w:val="16"/>
        </w:rPr>
        <w:t>[ADI 7.641 ED, rel. min. Alexandre de Moraes, j. 28.08.2025, P, DJE de 20.10.2025.]</w:t>
      </w:r>
    </w:p>
    <w:p>
      <w:pPr>
        <w:ind w:left="288"/>
      </w:pPr>
      <w:r>
        <w:rPr>
          <w:color w:val="8C8C8C"/>
          <w:sz w:val="12"/>
        </w:rPr>
        <w:t>cf-art-99-par-1</w:t>
      </w:r>
      <w:r>
        <w:rPr>
          <w:color w:val="003CA0"/>
          <w:sz w:val="12"/>
        </w:rPr>
        <w:t xml:space="preserve"> | ADI 7.641</w:t>
      </w:r>
      <w:r>
        <w:rPr>
          <w:color w:val="003CA0"/>
          <w:sz w:val="12"/>
        </w:rPr>
        <w:t xml:space="preserve"> | rel. Alexandre de Moraes</w:t>
      </w:r>
    </w:p>
    <w:p>
      <w:pPr>
        <w:ind w:left="288"/>
      </w:pPr>
      <w:r>
        <w:rPr>
          <w:color w:val="1E1E1E"/>
          <w:sz w:val="18"/>
        </w:rPr>
        <w:t xml:space="preserve">Vide ADI 7.641, rel. min. Alexandre de Moraes, j. 14.04.2025, P, DJE de 23.04.2025 A LC 200/2023 reforça a responsabilidade fiscal e estabelece limites individualizados para despesas primárias, com exceções específicas para entidades com receitas próprias, como universidades, empresas públicas e instituições científicas. O não enquadramento das receitas próprias dos tribunais federais nas exceções previstas na lei compromete a autonomia desses órgãos, assim como impede a destinação exclusiva de parte destas verbas ao custeio das atividades judiciais, prevista no art. 98, § 2º, da Constituição </w:t>
      </w:r>
    </w:p>
    <w:p>
      <w:pPr>
        <w:ind w:left="288"/>
      </w:pPr>
      <w:r>
        <w:rPr>
          <w:b/>
          <w:color w:val="003CA0"/>
          <w:sz w:val="16"/>
        </w:rPr>
        <w:t>[ADI 7.641, rel. min. Alexandre de Moraes, j. 14.04.2025, P, DJE de 23.04.2025.]</w:t>
      </w:r>
    </w:p>
    <w:p>
      <w:pPr>
        <w:ind w:left="288"/>
      </w:pPr>
      <w:r>
        <w:rPr>
          <w:color w:val="8C8C8C"/>
          <w:sz w:val="12"/>
        </w:rPr>
        <w:t>cf-art-99-par-1</w:t>
      </w:r>
      <w:r>
        <w:rPr>
          <w:color w:val="003CA0"/>
          <w:sz w:val="12"/>
        </w:rPr>
        <w:t xml:space="preserve"> | ADI 7.641</w:t>
      </w:r>
      <w:r>
        <w:rPr>
          <w:color w:val="003CA0"/>
          <w:sz w:val="12"/>
        </w:rPr>
        <w:t xml:space="preserve"> | rel. Alexandre de Moraes</w:t>
      </w:r>
    </w:p>
    <w:p>
      <w:pPr>
        <w:ind w:left="288"/>
      </w:pPr>
      <w:r>
        <w:rPr>
          <w:b/>
          <w:color w:val="003CA0"/>
          <w:sz w:val="16"/>
        </w:rPr>
        <w:t>[ADI 7.641 ED, rel. min. Alexandre de Moraes, j. 28.08.2025, P, DJE de 20.10.2025.]</w:t>
      </w:r>
    </w:p>
    <w:p>
      <w:pPr>
        <w:ind w:left="144"/>
      </w:pPr>
      <w:r>
        <w:rPr>
          <w:b/>
          <w:color w:val="B45A00"/>
          <w:sz w:val="16"/>
        </w:rPr>
        <w:t>CONTROLE CONCENTRADO</w:t>
      </w:r>
    </w:p>
    <w:p>
      <w:pPr>
        <w:ind w:left="288"/>
      </w:pPr>
      <w:r>
        <w:rPr>
          <w:color w:val="8C8C8C"/>
          <w:sz w:val="12"/>
        </w:rPr>
        <w:t>cf-art-99-par-1</w:t>
      </w:r>
      <w:r>
        <w:rPr>
          <w:color w:val="003CA0"/>
          <w:sz w:val="12"/>
        </w:rPr>
        <w:t xml:space="preserve"> | ADI 4.426</w:t>
      </w:r>
      <w:r>
        <w:rPr>
          <w:color w:val="003CA0"/>
          <w:sz w:val="12"/>
        </w:rPr>
        <w:t xml:space="preserve"> | rel. Dias Toffoli</w:t>
      </w:r>
    </w:p>
    <w:p>
      <w:pPr>
        <w:ind w:left="288"/>
      </w:pPr>
      <w:r>
        <w:rPr>
          <w:color w:val="1E1E1E"/>
          <w:sz w:val="18"/>
        </w:rPr>
        <w:t>O diploma normativo versa sobre execução orçamentária, impondo limites especialmente às despesas não previstas na folha normal de pessoal. Tais limites, conquanto não estejam disciplinados na LDO e na LOA, buscam controlar a forma de gestão dos recursos orçamentários já aprovados. A participação necessária do Poder Judiciário na construção do pertinente diploma orçamentário diretivo, em conjugação com os outros Poderes instituídos, é reflexo do status constitucional da autonomia e da independência que lhe são atribuídas no art. 2º do Diploma Maior. Esse é o entendimento que decorre diretamente</w:t>
      </w:r>
    </w:p>
    <w:p>
      <w:pPr>
        <w:ind w:left="288"/>
      </w:pPr>
      <w:r>
        <w:rPr>
          <w:b/>
          <w:color w:val="003CA0"/>
          <w:sz w:val="16"/>
        </w:rPr>
        <w:t>[ADI 4.426, rel. min. Dias Toffoli, j. 9-2-2011, P, DJE de 18-5-2011.]</w:t>
      </w:r>
    </w:p>
    <w:p>
      <w:pPr>
        <w:ind w:left="288"/>
      </w:pPr>
      <w:r>
        <w:rPr>
          <w:color w:val="8C8C8C"/>
          <w:sz w:val="12"/>
        </w:rPr>
        <w:t>cf-art-99-par-1</w:t>
      </w:r>
      <w:r>
        <w:rPr>
          <w:color w:val="003CA0"/>
          <w:sz w:val="12"/>
        </w:rPr>
        <w:t xml:space="preserve"> | ADI 4.356</w:t>
      </w:r>
      <w:r>
        <w:rPr>
          <w:color w:val="003CA0"/>
          <w:sz w:val="12"/>
        </w:rPr>
        <w:t xml:space="preserve"> | rel. Dias Toffoli</w:t>
      </w:r>
    </w:p>
    <w:p>
      <w:pPr>
        <w:ind w:left="288"/>
      </w:pPr>
      <w:r>
        <w:rPr>
          <w:color w:val="1E1E1E"/>
          <w:sz w:val="18"/>
        </w:rPr>
        <w:t>Vide ADI 4.356, rel. min. Dias Toffoli, j. 9-2-2011, P, DJE de 12-5-2011 Ação direta julgada procedente em relação aos seguintes preceitos da Constituição sergipana: (...) Art. 95, § 1º: o preceito estipula limites referentes à proposta orçamentária do Poder Judiciário estadual. Não há, na Constituição do Brasil/1988, preceito que fundamente a limitação.</w:t>
      </w:r>
    </w:p>
    <w:p>
      <w:pPr>
        <w:ind w:left="288"/>
      </w:pPr>
      <w:r>
        <w:rPr>
          <w:b/>
          <w:color w:val="003CA0"/>
          <w:sz w:val="16"/>
        </w:rPr>
        <w:t>[ADI 336, rel. min. Eros Grau, j. 10-2-2010, P, DJE de 17-9-2010.]</w:t>
      </w:r>
    </w:p>
    <w:p>
      <w:pPr>
        <w:ind w:left="288"/>
      </w:pPr>
      <w:r>
        <w:rPr>
          <w:color w:val="8C8C8C"/>
          <w:sz w:val="12"/>
        </w:rPr>
        <w:t>cf-art-99-par-1</w:t>
      </w:r>
      <w:r>
        <w:rPr>
          <w:color w:val="003CA0"/>
          <w:sz w:val="12"/>
        </w:rPr>
        <w:t xml:space="preserve"> | ADI 848</w:t>
      </w:r>
      <w:r>
        <w:rPr>
          <w:color w:val="003CA0"/>
          <w:sz w:val="12"/>
        </w:rPr>
        <w:t xml:space="preserve"> | rel. Sepúlveda Pertence</w:t>
      </w:r>
    </w:p>
    <w:p>
      <w:pPr>
        <w:ind w:left="288"/>
      </w:pPr>
      <w:r>
        <w:rPr>
          <w:color w:val="1E1E1E"/>
          <w:sz w:val="18"/>
        </w:rPr>
        <w:t>LDO: participação necessária do Poder Judiciário na fixação do limite de sua proposta orçamentária (CF, art. 99, § 1º).</w:t>
      </w:r>
    </w:p>
    <w:p>
      <w:pPr>
        <w:ind w:left="288"/>
      </w:pPr>
      <w:r>
        <w:rPr>
          <w:b/>
          <w:color w:val="003CA0"/>
          <w:sz w:val="16"/>
        </w:rPr>
        <w:t>[ADI 848 MC, rel. min. Sepúlveda Pertence, j. 18-3-1993, P, DJ de 16-4-1993.]</w:t>
      </w:r>
    </w:p>
    <w:p>
      <w:pPr>
        <w:ind w:left="288"/>
      </w:pPr>
      <w:r>
        <w:rPr>
          <w:color w:val="8C8C8C"/>
          <w:sz w:val="12"/>
        </w:rPr>
        <w:t>cf-art-99-par-1</w:t>
      </w:r>
      <w:r>
        <w:rPr>
          <w:color w:val="003CA0"/>
          <w:sz w:val="12"/>
        </w:rPr>
        <w:t xml:space="preserve"> | ADI 691</w:t>
      </w:r>
      <w:r>
        <w:rPr>
          <w:color w:val="003CA0"/>
          <w:sz w:val="12"/>
        </w:rPr>
        <w:t xml:space="preserve"> | rel. Sepúlveda Pertence</w:t>
      </w:r>
    </w:p>
    <w:p>
      <w:pPr>
        <w:ind w:left="288"/>
      </w:pPr>
      <w:r>
        <w:rPr>
          <w:color w:val="1E1E1E"/>
          <w:sz w:val="18"/>
        </w:rPr>
        <w:t xml:space="preserve">Poder Judiciário: independência, autogoverno e controle. A administração financeira do Judiciário não está imune ao controle, na forma da Constituição, da legalidade dos dispêndios dos recursos públicos; sujeita-se, não apenas à fiscalização do Tribunal de Contas e do Legislativo, mas também às vias judiciais de prevenção e repressão de abusos, abertas não só aos governantes, mas a qualquer do povo, incluídas as que dão acesso à jurisdição do Supremo Tribunal (CF, art. 102, I, n). O que não admite transigências é a defesa da independência de cada um dos Poderes do Estado, na área que lhe seja </w:t>
      </w:r>
    </w:p>
    <w:p>
      <w:pPr>
        <w:ind w:left="288"/>
      </w:pPr>
      <w:r>
        <w:rPr>
          <w:b/>
          <w:color w:val="003CA0"/>
          <w:sz w:val="16"/>
        </w:rPr>
        <w:t>[ADI 691 MC, rel. min. Sepúlveda Pertence, j. 22-4-1992, P, DJ de 19-6-1992.]</w:t>
      </w:r>
    </w:p>
    <w:p>
      <w:pPr>
        <w:ind w:left="288"/>
      </w:pPr>
      <w:r>
        <w:rPr>
          <w:color w:val="8C8C8C"/>
          <w:sz w:val="12"/>
        </w:rPr>
        <w:t>cf-art-99-par-2-inc-II</w:t>
      </w:r>
    </w:p>
    <w:p>
      <w:pPr>
        <w:ind w:left="288"/>
      </w:pPr>
      <w:r>
        <w:rPr>
          <w:color w:val="1E1E1E"/>
          <w:sz w:val="18"/>
        </w:rPr>
        <w:t>§ 3º Se os órgãos referidos no § 2º não encaminharem as respectivas propostas orçamentárias dentro do prazo estabelecido na lei de diretrizes orçamentárias, o Poder Executivo considerará, para fins de consolidação da proposta orçamentária anual, os valores aprovados na lei orçamentária vigente, ajustados de acordo com os limites estipulados na forma do § 1º deste artigo. (Incluído pela EC 45/2004)</w:t>
      </w:r>
    </w:p>
    <w:p>
      <w:pPr>
        <w:ind w:left="288"/>
      </w:pPr>
      <w:r>
        <w:rPr>
          <w:color w:val="8C8C8C"/>
          <w:sz w:val="12"/>
        </w:rPr>
        <w:t>cf-art-99-par-4</w:t>
      </w:r>
    </w:p>
    <w:p>
      <w:pPr>
        <w:ind w:left="288"/>
      </w:pPr>
      <w:r>
        <w:rPr>
          <w:color w:val="1E1E1E"/>
          <w:sz w:val="18"/>
        </w:rPr>
        <w:t>§ 5º Durante a execução orçamentária do exercício, não poderá haver a realização de despesas ou a assunção de obrigações que extrapolem os limites estabelecidos na lei de diretrizes orçamentárias, exceto se previamente autorizadas, mediante a abertura de créditos suplementares ou especiais. (Incluído pela EC 45/2004)</w:t>
      </w:r>
    </w:p>
    <w:p>
      <w:pPr>
        <w:ind w:left="720"/>
      </w:pPr>
      <w:r>
        <w:rPr>
          <w:color w:val="003366"/>
          <w:sz w:val="18"/>
        </w:rPr>
        <w:t>I – para o ano de 2015: 20% (vinte por cento) para o Estado de destino e 80% (oi</w:t>
      </w:r>
    </w:p>
    <w:p>
      <w:pPr>
        <w:ind w:left="720"/>
      </w:pPr>
      <w:r>
        <w:rPr>
          <w:color w:val="003366"/>
          <w:sz w:val="18"/>
        </w:rPr>
        <w:t>II – para o ano de 2016: 40% (quarenta por cento) para o Estado de destino e 60%</w:t>
      </w:r>
    </w:p>
    <w:p>
      <w:pPr>
        <w:ind w:left="720"/>
      </w:pPr>
      <w:r>
        <w:rPr>
          <w:color w:val="003366"/>
          <w:sz w:val="18"/>
        </w:rPr>
        <w:t>III – para o ano de 2017: 60% (sessenta por cento) para o Estado de destino e 40</w:t>
      </w:r>
    </w:p>
    <w:p>
      <w:pPr>
        <w:ind w:left="720"/>
      </w:pPr>
      <w:r>
        <w:rPr>
          <w:color w:val="003366"/>
          <w:sz w:val="18"/>
        </w:rPr>
        <w:t xml:space="preserve">IV – para o ano de 2018: 80% (oitenta por cento) para o Estado de destino e 20% </w:t>
      </w:r>
    </w:p>
    <w:p>
      <w:pPr>
        <w:ind w:left="720"/>
      </w:pPr>
      <w:r>
        <w:rPr>
          <w:color w:val="003366"/>
          <w:sz w:val="18"/>
        </w:rPr>
        <w:t>V – a partir do ano de 2019: 100% (cem por cento) para o Estado de destino. (Inc</w:t>
      </w:r>
    </w:p>
    <w:p>
      <w:r>
        <w:rPr>
          <w:b/>
          <w:color w:val="003366"/>
          <w:sz w:val="20"/>
        </w:rPr>
        <w:t>Art. 100 Até que entre em vigor a lei complementar de que trata o inciso II do §</w:t>
      </w:r>
      <w:r>
        <w:rPr>
          <w:color w:val="8C8C8C"/>
          <w:sz w:val="14"/>
        </w:rPr>
        <w:t xml:space="preserve">  [39 decisoes]</w:t>
      </w:r>
    </w:p>
    <w:p>
      <w:pPr>
        <w:ind w:left="144"/>
      </w:pPr>
      <w:r>
        <w:rPr>
          <w:b/>
          <w:color w:val="B45A00"/>
          <w:sz w:val="16"/>
        </w:rPr>
        <w:t>SUMULA</w:t>
      </w:r>
    </w:p>
    <w:p>
      <w:pPr>
        <w:ind w:left="288"/>
      </w:pPr>
      <w:r>
        <w:rPr>
          <w:color w:val="8C8C8C"/>
          <w:sz w:val="12"/>
        </w:rPr>
        <w:t>cf-art-100</w:t>
      </w:r>
      <w:r>
        <w:rPr>
          <w:color w:val="003CA0"/>
          <w:sz w:val="12"/>
        </w:rPr>
        <w:t xml:space="preserve"> | ADC 4</w:t>
      </w:r>
    </w:p>
    <w:p>
      <w:pPr>
        <w:ind w:left="288"/>
      </w:pPr>
      <w:r>
        <w:rPr>
          <w:color w:val="1E1E1E"/>
          <w:sz w:val="18"/>
        </w:rPr>
        <w:t>A decisão na ADC 4 não se aplica à antecipação de tutela em causa de natureza previdenciária.</w:t>
      </w:r>
    </w:p>
    <w:p>
      <w:pPr>
        <w:ind w:left="288"/>
      </w:pPr>
      <w:r>
        <w:rPr>
          <w:b/>
          <w:color w:val="003CA0"/>
          <w:sz w:val="16"/>
        </w:rPr>
        <w:t>[Súmula 729.]</w:t>
      </w:r>
    </w:p>
    <w:p>
      <w:pPr>
        <w:ind w:left="144"/>
      </w:pPr>
      <w:r>
        <w:rPr>
          <w:b/>
          <w:color w:val="B45A00"/>
          <w:sz w:val="16"/>
        </w:rPr>
        <w:t>CONTROLE CONCENTRADO</w:t>
      </w:r>
    </w:p>
    <w:p>
      <w:pPr>
        <w:ind w:left="288"/>
      </w:pPr>
      <w:r>
        <w:rPr>
          <w:color w:val="8C8C8C"/>
          <w:sz w:val="12"/>
        </w:rPr>
        <w:t>cf-art-100</w:t>
      </w:r>
      <w:r>
        <w:rPr>
          <w:color w:val="003CA0"/>
          <w:sz w:val="12"/>
        </w:rPr>
        <w:t xml:space="preserve"> | ADPF 1.088</w:t>
      </w:r>
      <w:r>
        <w:rPr>
          <w:color w:val="003CA0"/>
          <w:sz w:val="12"/>
        </w:rPr>
        <w:t xml:space="preserve"> | rel. Luiz Fux</w:t>
      </w:r>
    </w:p>
    <w:p>
      <w:pPr>
        <w:ind w:left="288"/>
      </w:pPr>
      <w:r>
        <w:rPr>
          <w:color w:val="1E1E1E"/>
          <w:sz w:val="18"/>
        </w:rPr>
        <w:t>O Plenário deste Supremo Tribunal têm uma série de decisões em que se afirma a submissão de empresas estatais prestadoras de serviços públicos essenciais e natureza não concorrencial ao regime de precatórios. Em sendo referidas empresas estatais instrumentos do Estado para a prestação de serviços públicos essenciais, o bloqueio indevido de seus recursos para a satisfação de créditos individuais pode comprometer a prestação destes serviços, em detrimento da coletividade em geral e em ofensa aos princípios da separação dos poderes, da legalidade orçamentária e da continuidade da prestação dos se</w:t>
      </w:r>
    </w:p>
    <w:p>
      <w:pPr>
        <w:ind w:left="288"/>
      </w:pPr>
      <w:r>
        <w:rPr>
          <w:b/>
          <w:color w:val="003CA0"/>
          <w:sz w:val="16"/>
        </w:rPr>
        <w:t>[ADI 5.755, rel. min. Rosa Weber, j. 30-6-2022, P, DJE de 4-10-2022.]</w:t>
      </w:r>
    </w:p>
    <w:p>
      <w:pPr>
        <w:ind w:left="288"/>
      </w:pPr>
      <w:r>
        <w:rPr>
          <w:color w:val="8C8C8C"/>
          <w:sz w:val="12"/>
        </w:rPr>
        <w:t>cf-art-100</w:t>
      </w:r>
      <w:r>
        <w:rPr>
          <w:color w:val="003CA0"/>
          <w:sz w:val="12"/>
        </w:rPr>
        <w:t xml:space="preserve"> | ADPF 890</w:t>
      </w:r>
      <w:r>
        <w:rPr>
          <w:color w:val="003CA0"/>
          <w:sz w:val="12"/>
        </w:rPr>
        <w:t xml:space="preserve"> | rel. Dias Toffoli</w:t>
      </w:r>
    </w:p>
    <w:p>
      <w:pPr>
        <w:ind w:left="288"/>
      </w:pPr>
      <w:r>
        <w:rPr>
          <w:color w:val="1E1E1E"/>
          <w:sz w:val="18"/>
        </w:rPr>
        <w:t>A CAESB é uma sociedade de economia mista cujo objetivo primordial e a prestação do serviço público essencial de saneamento básico no âmbito do Distrito Federal, onde atua com caráter de exclusividade. A lógica aplicada aos precatórios visa proteger a organização financeira dos órgãos da Administração Pública, de forma a garantir a fiel execução do orçamento e, consequentemente, a efetiva implementação das políticas públicas ali previstas, bem como estabelecer isonomia entre os credores do Estado, promovendo a racionalização do pagamento das condenações judiciais da Fazenda Pública. O reconhec</w:t>
      </w:r>
    </w:p>
    <w:p>
      <w:pPr>
        <w:ind w:left="288"/>
      </w:pPr>
      <w:r>
        <w:rPr>
          <w:b/>
          <w:color w:val="003CA0"/>
          <w:sz w:val="16"/>
        </w:rPr>
        <w:t>[ADPF 484, rel. min. Luiz Fux, j. 4-6-2020, P, DJE de 10-11-2020.]</w:t>
      </w:r>
    </w:p>
    <w:p>
      <w:pPr>
        <w:ind w:left="288"/>
      </w:pPr>
      <w:r>
        <w:rPr>
          <w:color w:val="8C8C8C"/>
          <w:sz w:val="12"/>
        </w:rPr>
        <w:t>cf-art-100</w:t>
      </w:r>
      <w:r>
        <w:rPr>
          <w:color w:val="003CA0"/>
          <w:sz w:val="12"/>
        </w:rPr>
        <w:t xml:space="preserve"> | ADI 5.409</w:t>
      </w:r>
      <w:r>
        <w:rPr>
          <w:color w:val="003CA0"/>
          <w:sz w:val="12"/>
        </w:rPr>
        <w:t xml:space="preserve"> | rel. Edson Fachin</w:t>
      </w:r>
    </w:p>
    <w:p>
      <w:pPr>
        <w:ind w:left="288"/>
      </w:pPr>
      <w:r>
        <w:rPr>
          <w:color w:val="1E1E1E"/>
          <w:sz w:val="18"/>
        </w:rPr>
        <w:t>O tratamento orçamentário preconizado aos recursos provenientes dos depósitos judiciais não-tributários diverge da sistemática especial de pagamento de débitos judiciais da Fazenda Pública, porquanto não é dado ao Poder Público realizar gastos públicos com ingressos meramente transitórios. Logo, financiam-se despesas correntes e de capital com entradas provisórias as quais, por dever legal, devem ser restituídas aos seus legítimos titulares ao fim de demanda jurisdicional.</w:t>
      </w:r>
    </w:p>
    <w:p>
      <w:pPr>
        <w:ind w:left="288"/>
      </w:pPr>
      <w:r>
        <w:rPr>
          <w:b/>
          <w:color w:val="003CA0"/>
          <w:sz w:val="16"/>
        </w:rPr>
        <w:t>[ADI 5.409, rel. min. Edson Fachin, j. 13-12-2019, P, DJE de 12-2-2020.]</w:t>
      </w:r>
    </w:p>
    <w:p>
      <w:pPr>
        <w:ind w:left="288"/>
      </w:pPr>
      <w:r>
        <w:rPr>
          <w:color w:val="8C8C8C"/>
          <w:sz w:val="12"/>
        </w:rPr>
        <w:t>cf-art-100</w:t>
      </w:r>
      <w:r>
        <w:rPr>
          <w:color w:val="003CA0"/>
          <w:sz w:val="12"/>
        </w:rPr>
        <w:t xml:space="preserve"> | ADI 584</w:t>
      </w:r>
      <w:r>
        <w:rPr>
          <w:color w:val="003CA0"/>
          <w:sz w:val="12"/>
        </w:rPr>
        <w:t xml:space="preserve"> | rel. Dias Toffoli</w:t>
      </w:r>
    </w:p>
    <w:p>
      <w:pPr>
        <w:ind w:left="288"/>
      </w:pPr>
      <w:r>
        <w:rPr>
          <w:color w:val="1E1E1E"/>
          <w:sz w:val="18"/>
        </w:rPr>
        <w:t>Ação direta de inconstitucionalidade. Art. 245 da Constituição do Estado do Paraná. (...) O preceito atacado cria forma transversa de quebra da ordem de precedência dos precatórios ao efetivar a vinculação das receitas obtidas com indenizações ou créditos pagos ao Estado pela União ao pagamento de débitos de idêntica natureza. Não encontra amparo constitucional a previsão, porquanto seria instalada, inevitavelmente, uma ordem paralela de satisfação dos créditos, em detrimento da ordem cronológica. Impossibilidade de regramento da matéria por norma de hierarquia inferior.</w:t>
      </w:r>
    </w:p>
    <w:p>
      <w:pPr>
        <w:ind w:left="288"/>
      </w:pPr>
      <w:r>
        <w:rPr>
          <w:b/>
          <w:color w:val="003CA0"/>
          <w:sz w:val="16"/>
        </w:rPr>
        <w:t>[ADI 584, rel. min. Dias Toffoli, j. 19-3-2014, P, DJE de 9-4-2014.]</w:t>
      </w:r>
    </w:p>
    <w:p>
      <w:pPr>
        <w:ind w:left="288"/>
      </w:pPr>
      <w:r>
        <w:rPr>
          <w:color w:val="8C8C8C"/>
          <w:sz w:val="12"/>
        </w:rPr>
        <w:t>cf-art-100</w:t>
      </w:r>
      <w:r>
        <w:rPr>
          <w:color w:val="003CA0"/>
          <w:sz w:val="12"/>
        </w:rPr>
        <w:t xml:space="preserve"> | ADI 3.453</w:t>
      </w:r>
      <w:r>
        <w:rPr>
          <w:color w:val="003CA0"/>
          <w:sz w:val="12"/>
        </w:rPr>
        <w:t xml:space="preserve"> | rel. Cármen Lúcia</w:t>
      </w:r>
    </w:p>
    <w:p>
      <w:pPr>
        <w:ind w:left="288"/>
      </w:pPr>
      <w:r>
        <w:rPr>
          <w:color w:val="1E1E1E"/>
          <w:sz w:val="18"/>
        </w:rPr>
        <w:t>Precatórios. Art. 19 da Lei nacional 11.033, de 21-12-2004.(...) A determinação de condicionantes e requisitos para o levantamento ou a autorização para depósito em conta bancária de valores decorrentes de precatórios judiciais, que não aqueles constantes de norma constitucional, ofende os princípios da garantia da jurisdição efetiva (art. 5º, XXXVI) e o art. 100 e seus incisos, não podendo ser tida como válida a norma que, ao fixar novos requisitos, embaraça o levantamento dos precatórios.</w:t>
      </w:r>
    </w:p>
    <w:p>
      <w:pPr>
        <w:ind w:left="288"/>
      </w:pPr>
      <w:r>
        <w:rPr>
          <w:b/>
          <w:color w:val="003CA0"/>
          <w:sz w:val="16"/>
        </w:rPr>
        <w:t>[ADI 3.453, rel. min. Cármen Lúcia, j. 30-11-2006, P, DJ de 16-3-2007.]</w:t>
      </w:r>
    </w:p>
    <w:p>
      <w:pPr>
        <w:ind w:left="288"/>
      </w:pPr>
      <w:r>
        <w:rPr>
          <w:color w:val="8C8C8C"/>
          <w:sz w:val="12"/>
        </w:rPr>
        <w:t>cf-art-100</w:t>
      </w:r>
      <w:r>
        <w:rPr>
          <w:color w:val="003CA0"/>
          <w:sz w:val="12"/>
        </w:rPr>
        <w:t xml:space="preserve"> | ADC 4</w:t>
      </w:r>
      <w:r>
        <w:rPr>
          <w:color w:val="003CA0"/>
          <w:sz w:val="12"/>
        </w:rPr>
        <w:t xml:space="preserve"> | rel. Sydney Sanches</w:t>
      </w:r>
    </w:p>
    <w:p>
      <w:pPr>
        <w:ind w:left="288"/>
      </w:pPr>
      <w:r>
        <w:rPr>
          <w:color w:val="1E1E1E"/>
          <w:sz w:val="18"/>
        </w:rPr>
        <w:t>Ação declaratória de constitucionalidade do art. 1º da Lei 9.494, de 10-9-1997, que disciplina a aplicação da tutela antecipada contra a Fazenda Pública. Medida cautelar: cabimento e espécie, na ação declaratória de constitucionalidade. Requisitos para sua concessão. (...) Está igualmente atendido o requisito do periculum in mora, em face da alta conveniência da administração pública, pressionada por liminares que, apesar do disposto na norma impugnada, determinam a incorporação imediata de acréscimos de vencimentos, na folha de pagamento de grande número de servidores e até o pagamento imedia</w:t>
      </w:r>
    </w:p>
    <w:p>
      <w:pPr>
        <w:ind w:left="288"/>
      </w:pPr>
      <w:r>
        <w:rPr>
          <w:b/>
          <w:color w:val="003CA0"/>
          <w:sz w:val="16"/>
        </w:rPr>
        <w:t>[ADC 4 MC, rel. min. Sydney Sanches, j. 11-2-1998, P, DJ de 21-5-1999.]</w:t>
      </w:r>
    </w:p>
    <w:p>
      <w:pPr>
        <w:ind w:left="288"/>
      </w:pPr>
      <w:r>
        <w:rPr>
          <w:color w:val="8C8C8C"/>
          <w:sz w:val="12"/>
        </w:rPr>
        <w:t>cf-art-100</w:t>
      </w:r>
      <w:r>
        <w:rPr>
          <w:color w:val="003CA0"/>
          <w:sz w:val="12"/>
        </w:rPr>
        <w:t xml:space="preserve"> | RCL 6.258</w:t>
      </w:r>
      <w:r>
        <w:rPr>
          <w:color w:val="003CA0"/>
          <w:sz w:val="12"/>
        </w:rPr>
        <w:t xml:space="preserve"> | rel. Eros Grau</w:t>
      </w:r>
    </w:p>
    <w:p>
      <w:pPr>
        <w:ind w:left="288"/>
      </w:pPr>
      <w:r>
        <w:rPr>
          <w:color w:val="1E1E1E"/>
          <w:sz w:val="18"/>
        </w:rPr>
        <w:t>Vide  Rcl 6.258 AgR, rel. min. Eros Grau, j. 23-9-2009, P, DJE de 29-10-2009 . Saber se o art. 3º da EC nº 113/2021 determina a incidência da taxa SELIC sobre o valor do débito corrigido acrescido de juros.</w:t>
      </w:r>
    </w:p>
    <w:p>
      <w:pPr>
        <w:ind w:left="288"/>
      </w:pPr>
      <w:r>
        <w:rPr>
          <w:b/>
          <w:color w:val="003CA0"/>
          <w:sz w:val="16"/>
        </w:rPr>
        <w:t>[RE 1.516.074 RG, rel. min. Luís Roberto Barroso, j. 05.11.2024, P, DJE de 08.11.2024, Tema 1.349, com mérito pendente.]</w:t>
      </w:r>
    </w:p>
    <w:p>
      <w:pPr>
        <w:ind w:left="144"/>
      </w:pPr>
      <w:r>
        <w:rPr>
          <w:b/>
          <w:color w:val="B45A00"/>
          <w:sz w:val="16"/>
        </w:rPr>
        <w:t>REPERCUSSAO GERAL</w:t>
      </w:r>
    </w:p>
    <w:p>
      <w:pPr>
        <w:ind w:left="288"/>
      </w:pPr>
      <w:r>
        <w:rPr>
          <w:color w:val="8C8C8C"/>
          <w:sz w:val="12"/>
        </w:rPr>
        <w:t>cf-art-100</w:t>
      </w:r>
      <w:r>
        <w:rPr>
          <w:color w:val="003CA0"/>
          <w:sz w:val="12"/>
        </w:rPr>
        <w:t xml:space="preserve"> | RE 922.144</w:t>
      </w:r>
      <w:r>
        <w:rPr>
          <w:color w:val="003CA0"/>
          <w:sz w:val="12"/>
        </w:rPr>
        <w:t xml:space="preserve"> | rel. Luís Roberto Barroso</w:t>
      </w:r>
    </w:p>
    <w:p>
      <w:pPr>
        <w:ind w:left="288"/>
      </w:pPr>
      <w:r>
        <w:rPr>
          <w:color w:val="1E1E1E"/>
          <w:sz w:val="18"/>
        </w:rPr>
        <w:t>“No caso de necessidade de complementação da indenização, ao final do processo expropriatório, deverá o pagamento ser feito mediante depósito judicial direto se o Poder Público não estiver em dia com os precatórios”.</w:t>
        <w:br/>
        <w:t>[RE 922.144, rel. min. Luís Roberto Barroso, j. 19-10-2023, P, DJE de 7-2-2024, Tema 865, com mérito julgado.] Regime especial de precatórios da EC nº 62/2009. Artigo 97 do ADCT. Inconstitucionalidade reconhecida pelo STF. Questão de ordem. Efeitos prospectivos. Aplicação a precatórios já expedidos na vigência da EC nº 30/2000 (art. 78 do ADCT). (...) “O regime especial de precató</w:t>
      </w:r>
    </w:p>
    <w:p>
      <w:pPr>
        <w:ind w:left="288"/>
      </w:pPr>
      <w:r>
        <w:rPr>
          <w:b/>
          <w:color w:val="003CA0"/>
          <w:sz w:val="16"/>
        </w:rPr>
        <w:t>[RE 659.172, rel. min. Dias Toffoli, j. 25-9-2023, P, DJE de 30-10-2023, Tema 1.224, com mérito julgado.]</w:t>
      </w:r>
    </w:p>
    <w:p>
      <w:pPr>
        <w:ind w:left="288"/>
      </w:pPr>
      <w:r>
        <w:rPr>
          <w:color w:val="8C8C8C"/>
          <w:sz w:val="12"/>
        </w:rPr>
        <w:t>cf-art-100</w:t>
      </w:r>
      <w:r>
        <w:rPr>
          <w:color w:val="003CA0"/>
          <w:sz w:val="12"/>
        </w:rPr>
        <w:t xml:space="preserve"> | RE 840.435</w:t>
      </w:r>
      <w:r>
        <w:rPr>
          <w:color w:val="003CA0"/>
          <w:sz w:val="12"/>
        </w:rPr>
        <w:t xml:space="preserve"> | rel. Dias Toffoli</w:t>
      </w:r>
    </w:p>
    <w:p>
      <w:pPr>
        <w:ind w:left="288"/>
      </w:pPr>
      <w:r>
        <w:rPr>
          <w:color w:val="1E1E1E"/>
          <w:sz w:val="18"/>
        </w:rPr>
        <w:t>"O deferimento de sequestro de rendas públicas para pagamento de precatório deve se restringir às hipóteses enumeradas taxativamente na Constituição Federal de 1988.”</w:t>
        <w:br/>
        <w:t>[RE 840.435, rel. min. Dias Toffoli, j. 25-9-2023, P, DJE de 31-10-2023, Tema 598, com mérito julgado.] “1. A complementação ao FUNDEF realizada a partir do valor mínimo anual por aluno fixada em desacordo com a média nacional impõe à União o dever de suplementação de recursos. 2. Sendo tal obrigação imposta por título executivo judicial, aplica-se a sistemática dos precatórios, nos termos do art. 100 da Constituição Federal”.</w:t>
        <w:br/>
        <w:t>[R</w:t>
      </w:r>
    </w:p>
    <w:p>
      <w:pPr>
        <w:ind w:left="288"/>
      </w:pPr>
      <w:r>
        <w:rPr>
          <w:b/>
          <w:color w:val="003CA0"/>
          <w:sz w:val="16"/>
        </w:rPr>
        <w:t>[AI 841.548 RG, rel. min. Cezar Peluso, j. 9-6-2011, P, DJE de 31-8-2011, Tema 411, com mérito julgado.]</w:t>
      </w:r>
    </w:p>
    <w:p>
      <w:pPr>
        <w:ind w:left="288"/>
      </w:pPr>
      <w:r>
        <w:rPr>
          <w:color w:val="8C8C8C"/>
          <w:sz w:val="12"/>
        </w:rPr>
        <w:t>cf-art-100</w:t>
      </w:r>
      <w:r>
        <w:rPr>
          <w:color w:val="003CA0"/>
          <w:sz w:val="12"/>
        </w:rPr>
        <w:t xml:space="preserve"> | AI 349.477</w:t>
      </w:r>
      <w:r>
        <w:rPr>
          <w:color w:val="003CA0"/>
          <w:sz w:val="12"/>
        </w:rPr>
        <w:t xml:space="preserve"> | rel. Celso de Mello</w:t>
      </w:r>
    </w:p>
    <w:p>
      <w:pPr>
        <w:ind w:left="288"/>
      </w:pPr>
      <w:r>
        <w:rPr>
          <w:color w:val="1E1E1E"/>
          <w:sz w:val="18"/>
        </w:rPr>
        <w:t>Vide AI 349.477 AgR, rel. min. Celso de Mello, j. 11-2-2003, 2ª T, DJ de 28-2-2003 Os privilégios da Fazenda Pública são inextensíveis às sociedades de economia mista que executam atividades em regime de concorrência ou que tenham como objetivo distribuir lucros aos seus acionistas.</w:t>
        <w:br/>
        <w:t>[RE 599.628, red. do ac. min. Joaquim Barbosa, j. 25-5-2011, P, DJE de 17-10-2011, Tema 253, com mérito julgado.]</w:t>
      </w:r>
    </w:p>
    <w:p>
      <w:pPr>
        <w:ind w:left="144"/>
      </w:pPr>
      <w:r>
        <w:rPr>
          <w:b/>
          <w:color w:val="B45A00"/>
          <w:sz w:val="16"/>
        </w:rPr>
        <w:t>JULGADOS CORRELATOS</w:t>
      </w:r>
    </w:p>
    <w:p>
      <w:pPr>
        <w:ind w:left="288"/>
      </w:pPr>
      <w:r>
        <w:rPr>
          <w:color w:val="8C8C8C"/>
          <w:sz w:val="12"/>
        </w:rPr>
        <w:t>cf-art-100</w:t>
      </w:r>
      <w:r>
        <w:rPr>
          <w:color w:val="003CA0"/>
          <w:sz w:val="12"/>
        </w:rPr>
        <w:t xml:space="preserve"> | RCL 66.323</w:t>
      </w:r>
      <w:r>
        <w:rPr>
          <w:color w:val="003CA0"/>
          <w:sz w:val="12"/>
        </w:rPr>
        <w:t xml:space="preserve"> | rel. Flávio Dino</w:t>
      </w:r>
    </w:p>
    <w:p>
      <w:pPr>
        <w:ind w:left="288"/>
      </w:pPr>
      <w:r>
        <w:rPr>
          <w:color w:val="1E1E1E"/>
          <w:sz w:val="18"/>
        </w:rPr>
        <w:t>É vedado ao Poder Judiciário determinar medidas constritivas de recursos públicos, a exemplo do arresto ou do sequestro, para pagamento de dívida de natureza contratual, sem submissão ao regime de precatório, uma vez que esta situação não está prevista entre as exceções constitucionais. O deferimento de sequestro de rendas públicas para pagamento de precatório deve se restringir às hipóteses enumeradas taxativamente na Constituição Federal de 1998.</w:t>
        <w:br/>
        <w:t>[Rcl 66.323 MC-REF, rel. min. Flávio Dino, j. 04.04.2024, 1ª T, DJE de 23.04.2024.] Ordem judicial de cumprimento imediato de obrigação de pagar qu</w:t>
      </w:r>
    </w:p>
    <w:p>
      <w:pPr>
        <w:ind w:left="288"/>
      </w:pPr>
      <w:r>
        <w:rPr>
          <w:b/>
          <w:color w:val="003CA0"/>
          <w:sz w:val="16"/>
        </w:rPr>
        <w:t>[SL 1.609 MC-REF, rel. min. Rosa Weber, j. 8-8-2023, P, DJE de 17-8-2023.]</w:t>
      </w:r>
    </w:p>
    <w:p>
      <w:pPr>
        <w:ind w:left="288"/>
      </w:pPr>
      <w:r>
        <w:rPr>
          <w:color w:val="8C8C8C"/>
          <w:sz w:val="12"/>
        </w:rPr>
        <w:t>cf-art-100</w:t>
      </w:r>
      <w:r>
        <w:rPr>
          <w:color w:val="003CA0"/>
          <w:sz w:val="12"/>
        </w:rPr>
        <w:t xml:space="preserve"> | RE 1.009.828</w:t>
      </w:r>
      <w:r>
        <w:rPr>
          <w:color w:val="003CA0"/>
          <w:sz w:val="12"/>
        </w:rPr>
        <w:t xml:space="preserve"> | rel. Rosa Weber</w:t>
      </w:r>
    </w:p>
    <w:p>
      <w:pPr>
        <w:ind w:left="288"/>
      </w:pPr>
      <w:r>
        <w:rPr>
          <w:color w:val="1E1E1E"/>
          <w:sz w:val="18"/>
        </w:rPr>
        <w:t>Além de proteger a Administração Pública contra a obstrução judicial inesperada do acesso a recursos indispensáveis à manutenção de serviços públicos essenciais e à preservação da ordem administrativa, o regime constitucional dos precatórios atende, ainda, ao propósito de dar concretude aos princípios da moralidade, da impessoalidade e da igualdade no pagamento das dívidas da Fazenda Pública.</w:t>
        <w:br/>
        <w:t>[STP 924 REF-MC, rel. min. Rosa Weber, j. 13-4-2023, P, DJE de 19-4-2023.] Casa da Moeda do Brasil. Empresa pública que presta serviço público em regime de monopólio. Prerrogativas de fazenda pública. Exe</w:t>
      </w:r>
    </w:p>
    <w:p>
      <w:pPr>
        <w:ind w:left="288"/>
      </w:pPr>
      <w:r>
        <w:rPr>
          <w:b/>
          <w:color w:val="003CA0"/>
          <w:sz w:val="16"/>
        </w:rPr>
        <w:t>[RE 1.028.771 AgR, rel. min. Gilmar Mendes, j. 1º-12-2017, 2ª T, DJE de 14-12-2017.]</w:t>
      </w:r>
    </w:p>
    <w:p>
      <w:pPr>
        <w:ind w:left="288"/>
      </w:pPr>
      <w:r>
        <w:rPr>
          <w:color w:val="8C8C8C"/>
          <w:sz w:val="12"/>
        </w:rPr>
        <w:t>cf-art-100</w:t>
      </w:r>
      <w:r>
        <w:rPr>
          <w:color w:val="003CA0"/>
          <w:sz w:val="12"/>
        </w:rPr>
        <w:t xml:space="preserve"> | RE 851.711</w:t>
      </w:r>
      <w:r>
        <w:rPr>
          <w:color w:val="003CA0"/>
          <w:sz w:val="12"/>
        </w:rPr>
        <w:t xml:space="preserve"> | rel. Marco Aurélio</w:t>
      </w:r>
    </w:p>
    <w:p>
      <w:pPr>
        <w:ind w:left="288"/>
      </w:pPr>
      <w:r>
        <w:rPr>
          <w:color w:val="1E1E1E"/>
          <w:sz w:val="18"/>
        </w:rPr>
        <w:t>= RE 851.711 ED-AgR-AgR, rel. min. Marco Aurélio, j. 12-12-2017, 1ª T, DJE de 10-4-2018 Exaurido o período vintenário para resgate dos títulos da dívida agrária, o pagamento complementar da indenização fixada na decisão final da ação expropriatória deve ser efetuado na forma do art. 100 da Constituição, e não em títulos da dívida agrária complementares, em atenção ao princípio da prévia e justa indenização nas desapropriações por interesse social e em observância ao sistema de pagamento das condenações judiciais impostas à Fazenda Pública.</w:t>
      </w:r>
    </w:p>
    <w:p>
      <w:pPr>
        <w:ind w:left="288"/>
      </w:pPr>
      <w:r>
        <w:rPr>
          <w:b/>
          <w:color w:val="003CA0"/>
          <w:sz w:val="16"/>
        </w:rPr>
        <w:t>[RE 595.168, rel. min. Ricardo Lewandowski, j. 6-8-2013, 2ª T, DJE de 25-3-2014.]</w:t>
      </w:r>
    </w:p>
    <w:p>
      <w:pPr>
        <w:ind w:left="288"/>
      </w:pPr>
      <w:r>
        <w:rPr>
          <w:color w:val="8C8C8C"/>
          <w:sz w:val="12"/>
        </w:rPr>
        <w:t>cf-art-100</w:t>
      </w:r>
      <w:r>
        <w:rPr>
          <w:color w:val="003CA0"/>
          <w:sz w:val="12"/>
        </w:rPr>
        <w:t xml:space="preserve"> | RE 420.816</w:t>
      </w:r>
      <w:r>
        <w:rPr>
          <w:color w:val="003CA0"/>
          <w:sz w:val="12"/>
        </w:rPr>
        <w:t xml:space="preserve"> | rel. Celso de Mello</w:t>
      </w:r>
    </w:p>
    <w:p>
      <w:pPr>
        <w:ind w:left="288"/>
      </w:pPr>
      <w:r>
        <w:rPr>
          <w:color w:val="1E1E1E"/>
          <w:sz w:val="18"/>
        </w:rPr>
        <w:t>(...) o exame dos presentes autos evidencia que houve, no caso ora em análise, a oposição de embargos à execução manifestada pela União, circunstância essa que impede a aplicação, na espécie, da diretriz firmada no julgamento plenário do RE 420.816/PR. (...) Como precedentemente assinalado, o acórdão questionado nesta sede recursal diverge da orientação jurisprudencial prevalecente nesta Corte, eis que, tratando-se de execução aparelhada contra a Fazenda Pública, e desde que por esta embargada, torna-se devida a verba honorária, por inaplicável o art. 1º-D da Lei 9.494/1997.</w:t>
      </w:r>
    </w:p>
    <w:p>
      <w:pPr>
        <w:ind w:left="288"/>
      </w:pPr>
      <w:r>
        <w:rPr>
          <w:b/>
          <w:color w:val="003CA0"/>
          <w:sz w:val="16"/>
        </w:rPr>
        <w:t>[RE 491.851 AgR-ED, voto do rel. min. Celso de Mello, j. 6-9-2011, 2ª T, DJE de 27-9-2011.]</w:t>
      </w:r>
    </w:p>
    <w:p>
      <w:pPr>
        <w:ind w:left="288"/>
      </w:pPr>
      <w:r>
        <w:rPr>
          <w:color w:val="8C8C8C"/>
          <w:sz w:val="12"/>
        </w:rPr>
        <w:t>cf-art-100</w:t>
      </w:r>
      <w:r>
        <w:rPr>
          <w:color w:val="003CA0"/>
          <w:sz w:val="12"/>
        </w:rPr>
        <w:t xml:space="preserve"> | AI 740.555</w:t>
      </w:r>
      <w:r>
        <w:rPr>
          <w:color w:val="003CA0"/>
          <w:sz w:val="12"/>
        </w:rPr>
        <w:t xml:space="preserve"> | rel. Marco Aurélio</w:t>
      </w:r>
    </w:p>
    <w:p>
      <w:pPr>
        <w:ind w:left="288"/>
      </w:pPr>
      <w:r>
        <w:rPr>
          <w:color w:val="1E1E1E"/>
          <w:sz w:val="18"/>
        </w:rPr>
        <w:t>Longe fica de vulnerar o preceito decisão no sentido de autorizar a penhora de precatório, configurando a hipótese mera transmissão do direito de receber o valor nele consignado.</w:t>
      </w:r>
    </w:p>
    <w:p>
      <w:pPr>
        <w:ind w:left="288"/>
      </w:pPr>
      <w:r>
        <w:rPr>
          <w:b/>
          <w:color w:val="003CA0"/>
          <w:sz w:val="16"/>
        </w:rPr>
        <w:t>[AI 740.555 AgR, rel. min. Marco Aurélio, j. 28-6-2011, 1ª T, DJE de 24-8-2011.]</w:t>
      </w:r>
    </w:p>
    <w:p>
      <w:pPr>
        <w:ind w:left="288"/>
      </w:pPr>
      <w:r>
        <w:rPr>
          <w:color w:val="8C8C8C"/>
          <w:sz w:val="12"/>
        </w:rPr>
        <w:t>cf-art-100</w:t>
      </w:r>
      <w:r>
        <w:rPr>
          <w:color w:val="003CA0"/>
          <w:sz w:val="12"/>
        </w:rPr>
        <w:t xml:space="preserve"> | AI 589.584</w:t>
      </w:r>
      <w:r>
        <w:rPr>
          <w:color w:val="003CA0"/>
          <w:sz w:val="12"/>
        </w:rPr>
        <w:t xml:space="preserve"> | rel. Ellen Gracie</w:t>
      </w:r>
    </w:p>
    <w:p>
      <w:pPr>
        <w:ind w:left="288"/>
      </w:pPr>
      <w:r>
        <w:rPr>
          <w:color w:val="1E1E1E"/>
          <w:sz w:val="18"/>
        </w:rPr>
        <w:t>O sistema de precatório instituído pela CF não exclui o pagamento realizado pela Fazenda Pública decorrente de descumprimento de sentença de natureza mandamental. Incabível no caso, portanto, o bloqueio de renda pública.</w:t>
      </w:r>
    </w:p>
    <w:p>
      <w:pPr>
        <w:ind w:left="288"/>
      </w:pPr>
      <w:r>
        <w:rPr>
          <w:b/>
          <w:color w:val="003CA0"/>
          <w:sz w:val="16"/>
        </w:rPr>
        <w:t>[AI 589.584 AgR, rel. min. Ellen Gracie, j. 31-8-2010, 2ª T, DJE de 24-9-2010.]</w:t>
      </w:r>
    </w:p>
    <w:p>
      <w:pPr>
        <w:ind w:left="288"/>
      </w:pPr>
      <w:r>
        <w:rPr>
          <w:color w:val="8C8C8C"/>
          <w:sz w:val="12"/>
        </w:rPr>
        <w:t>cf-art-100</w:t>
      </w:r>
      <w:r>
        <w:rPr>
          <w:color w:val="003CA0"/>
          <w:sz w:val="12"/>
        </w:rPr>
        <w:t xml:space="preserve"> | RCL 14.505</w:t>
      </w:r>
      <w:r>
        <w:rPr>
          <w:color w:val="003CA0"/>
          <w:sz w:val="12"/>
        </w:rPr>
        <w:t xml:space="preserve"> | rel. Teori Zavascki</w:t>
      </w:r>
    </w:p>
    <w:p>
      <w:pPr>
        <w:ind w:left="288"/>
      </w:pPr>
      <w:r>
        <w:rPr>
          <w:color w:val="1E1E1E"/>
          <w:sz w:val="18"/>
        </w:rPr>
        <w:t>= Rcl 14.505 AgR, rel. min. Teori Zavascki, j. 19-6-2013, P, DJE de 1º-7-2013 O art. 14 da LC 76/1993, ao dispor que o valor da indenização estabelecido por sentença em processo de desapropriação para fins de reforma agrária deverá ser depositado pelo expropriante em dinheiro, para as benfeitorias úteis e necessárias, inclusive culturas e pastagens artificiais, contraria o sistema de pagamento das condenações judiciais, pela Fazenda Pública, determinado pela CF no art. 100 e parágrafos. Os arts. 15 e 16 da referida lei complementar, por sua vez, referem-se, exclusivamente, às indenizações a se</w:t>
      </w:r>
    </w:p>
    <w:p>
      <w:pPr>
        <w:ind w:left="288"/>
      </w:pPr>
      <w:r>
        <w:rPr>
          <w:b/>
          <w:color w:val="003CA0"/>
          <w:sz w:val="16"/>
        </w:rPr>
        <w:t>[RE 247.866, rel. min. Ilmar Galvão, j. 9-8-2000, DJ de 24-11-2000.]</w:t>
      </w:r>
    </w:p>
    <w:p>
      <w:pPr>
        <w:ind w:left="288"/>
      </w:pPr>
      <w:r>
        <w:rPr>
          <w:color w:val="8C8C8C"/>
          <w:sz w:val="12"/>
        </w:rPr>
        <w:t>cf-art-100</w:t>
      </w:r>
      <w:r>
        <w:rPr>
          <w:color w:val="003CA0"/>
          <w:sz w:val="12"/>
        </w:rPr>
        <w:t xml:space="preserve"> | RE 504.210</w:t>
      </w:r>
      <w:r>
        <w:rPr>
          <w:color w:val="003CA0"/>
          <w:sz w:val="12"/>
        </w:rPr>
        <w:t xml:space="preserve"> | rel. Cármen Lúcia</w:t>
      </w:r>
    </w:p>
    <w:p>
      <w:pPr>
        <w:ind w:left="288"/>
      </w:pPr>
      <w:r>
        <w:rPr>
          <w:color w:val="1E1E1E"/>
          <w:sz w:val="18"/>
        </w:rPr>
        <w:t>= RE 504.210 AgR, rel. min. Cármen Lúcia, j. 9-11-2010, 1ª T, DJE de 2-12-2010 O processo de execução por quantia certa contra a Fazenda Pública rege-se, nos termos do que prescreve a própria Lei Fundamental, por normas especiais, que, ao instituírem o regime constitucional dos precatórios, estendem-se a todas as pessoas jurídicas de direito público interno, inclusive às entidades autárquicas. A disciplina constitucional desse processo de execução, na redação anterior à promulgação das EC 30/2000, 37/2002 e 62/2009, tornava imprescindível a expedição do requisitório, independentemente da natur</w:t>
      </w:r>
    </w:p>
    <w:p>
      <w:pPr>
        <w:ind w:left="288"/>
      </w:pPr>
      <w:r>
        <w:rPr>
          <w:b/>
          <w:color w:val="003CA0"/>
          <w:sz w:val="16"/>
        </w:rPr>
        <w:t>[AP 503, rel. min. Celso de Mello, j. 20-5-2010, P, DJE de 1º-2-2013.]</w:t>
      </w:r>
    </w:p>
    <w:p>
      <w:pPr>
        <w:ind w:left="288"/>
      </w:pPr>
      <w:r>
        <w:rPr>
          <w:color w:val="8C8C8C"/>
          <w:sz w:val="12"/>
        </w:rPr>
        <w:t>cf-art-100</w:t>
      </w:r>
      <w:r>
        <w:rPr>
          <w:color w:val="003CA0"/>
          <w:sz w:val="12"/>
        </w:rPr>
        <w:t xml:space="preserve"> | RE 598.678</w:t>
      </w:r>
      <w:r>
        <w:rPr>
          <w:color w:val="003CA0"/>
          <w:sz w:val="12"/>
        </w:rPr>
        <w:t xml:space="preserve"> | rel. Eros Grau</w:t>
      </w:r>
    </w:p>
    <w:p>
      <w:pPr>
        <w:ind w:left="288"/>
      </w:pPr>
      <w:r>
        <w:rPr>
          <w:color w:val="1E1E1E"/>
          <w:sz w:val="18"/>
        </w:rPr>
        <w:t>Verificada a insuficiência do depósito prévio na desapropriação por utilidade pública, a diferença do valor depositado para imissão na posse deve ser feito por meio de precatório, na forma do art. 100 da Constituição do Brasil/1988.</w:t>
      </w:r>
    </w:p>
    <w:p>
      <w:pPr>
        <w:ind w:left="288"/>
      </w:pPr>
      <w:r>
        <w:rPr>
          <w:b/>
          <w:color w:val="003CA0"/>
          <w:sz w:val="16"/>
        </w:rPr>
        <w:t>[RE 598.678 AgR, rel. min. Eros Grau, j. 1º-12-2009, 2ª T, DJE de 18-12-2009.]</w:t>
      </w:r>
    </w:p>
    <w:p>
      <w:pPr>
        <w:ind w:left="288"/>
      </w:pPr>
      <w:r>
        <w:rPr>
          <w:color w:val="8C8C8C"/>
          <w:sz w:val="12"/>
        </w:rPr>
        <w:t>cf-art-100</w:t>
      </w:r>
      <w:r>
        <w:rPr>
          <w:color w:val="003CA0"/>
          <w:sz w:val="12"/>
        </w:rPr>
        <w:t xml:space="preserve"> | RE 739.454</w:t>
      </w:r>
      <w:r>
        <w:rPr>
          <w:color w:val="003CA0"/>
          <w:sz w:val="12"/>
        </w:rPr>
        <w:t xml:space="preserve"> | rel. Cármen Lúcia</w:t>
      </w:r>
    </w:p>
    <w:p>
      <w:pPr>
        <w:ind w:left="288"/>
      </w:pPr>
      <w:r>
        <w:rPr>
          <w:color w:val="1E1E1E"/>
          <w:sz w:val="18"/>
        </w:rPr>
        <w:t>= RE 739.454 AgR, rel. min. Cármen Lúcia, j. 12-11-2013, 2ª T, DJE de 20-11-2013 À empresa Brasileira de Correios e Telégrafos, pessoa jurídica equiparada à Fazenda Pública, é aplicável o privilégio da impenhorabilidade de seus bens, rendas e serviços. Recepção do art. 12 do DL 509/1969 e não incidência da restrição contida no art. 173, § 1º, da CF, que submete a empresa pública, a sociedade de economia mista e outras entidades que explorem atividade econômica ao regime próprio das empresas privadas, inclusive quanto às obrigações trabalhistas e tributárias. Empresa pública que não exerce ativ</w:t>
      </w:r>
    </w:p>
    <w:p>
      <w:pPr>
        <w:ind w:left="288"/>
      </w:pPr>
      <w:r>
        <w:rPr>
          <w:b/>
          <w:color w:val="003CA0"/>
          <w:sz w:val="16"/>
        </w:rPr>
        <w:t>[RE 230.051 ED, rel. min. Maurício Corrêa, j. 11-6-2003, P, DJ de 8-8-2003.]</w:t>
      </w:r>
    </w:p>
    <w:p>
      <w:pPr>
        <w:ind w:left="288"/>
      </w:pPr>
      <w:r>
        <w:rPr>
          <w:color w:val="8C8C8C"/>
          <w:sz w:val="12"/>
        </w:rPr>
        <w:t>cf-art-100</w:t>
      </w:r>
      <w:r>
        <w:rPr>
          <w:color w:val="003CA0"/>
          <w:sz w:val="12"/>
        </w:rPr>
        <w:t xml:space="preserve"> | RE 393.032</w:t>
      </w:r>
      <w:r>
        <w:rPr>
          <w:color w:val="003CA0"/>
          <w:sz w:val="12"/>
        </w:rPr>
        <w:t xml:space="preserve"> | rel. Cármen Lúcia</w:t>
      </w:r>
    </w:p>
    <w:p>
      <w:pPr>
        <w:ind w:left="288"/>
      </w:pPr>
      <w:r>
        <w:rPr>
          <w:color w:val="1E1E1E"/>
          <w:sz w:val="18"/>
        </w:rPr>
        <w:t>= RE 393.032 AgR, rel. min. Cármen Lúcia, j. 27-10-2009, 1ª T, DJE de 18-12-2009 § 1º Os débitos de natureza alimentícia compreendem aqueles decorrentes da relação laboral ou previdenciária, independentemente da sua natureza tributária, inclusive os oriundos de repetição de indébito incidente sobre remuneração ou proventos de aposentadoria, bem como indenizações por morte ou por invalidez, fundadas em responsabilidade civil, em virtude de sentença judicial transitada em julgado, e serão pagos com preferência sobre todos os demais débitos, exceto sobre aqueles referidos no § 2º deste artigo. (R</w:t>
      </w:r>
    </w:p>
    <w:p>
      <w:pPr>
        <w:ind w:left="144"/>
      </w:pPr>
      <w:r>
        <w:rPr>
          <w:b/>
          <w:color w:val="B45A00"/>
          <w:sz w:val="16"/>
        </w:rPr>
        <w:t>CONTROLE CONCENTRADO</w:t>
      </w:r>
    </w:p>
    <w:p>
      <w:pPr>
        <w:ind w:left="288"/>
      </w:pPr>
      <w:r>
        <w:rPr>
          <w:color w:val="8C8C8C"/>
          <w:sz w:val="12"/>
        </w:rPr>
        <w:t>cf-art-100</w:t>
      </w:r>
      <w:r>
        <w:rPr>
          <w:color w:val="003CA0"/>
          <w:sz w:val="12"/>
        </w:rPr>
        <w:t xml:space="preserve"> | ADI 4.425</w:t>
      </w:r>
      <w:r>
        <w:rPr>
          <w:color w:val="003CA0"/>
          <w:sz w:val="12"/>
        </w:rPr>
        <w:t xml:space="preserve"> | rel. Cristiano Zanin</w:t>
      </w:r>
    </w:p>
    <w:p>
      <w:pPr>
        <w:ind w:left="288"/>
      </w:pPr>
      <w:r>
        <w:rPr>
          <w:color w:val="1E1E1E"/>
          <w:sz w:val="18"/>
        </w:rPr>
        <w:t>O pagamento prioritário, até certo limite, de precatórios devidos a titulares idosos ou que sejam portadores de doença grave promove, com razoabilidade, a dignidade da pessoa humana (CF, art. 1º, III) e a proporcionalidade (CF, art. 5º, LIV), situando-se dentro da margem de conformação do legislador constituinte para operacionalização da novel preferência subjetiva criada pela EC 62/2009. A expressão "na data de expedição do precatório", contida no art. 100, § 2º, da CF, com redação dada pela EC 62/2009, enquanto baliza temporal para a aplicação da preferência no pagamento de idosos, ultraja a</w:t>
      </w:r>
    </w:p>
    <w:p>
      <w:pPr>
        <w:ind w:left="288"/>
      </w:pPr>
      <w:r>
        <w:rPr>
          <w:b/>
          <w:color w:val="003CA0"/>
          <w:sz w:val="16"/>
        </w:rPr>
        <w:t>[RE 1.326.178, rel. min. Cristiano Zanin, j. 26.05.2025, P, DJE de 04.06.2025, Tema 1.156, com mérito julgado.]</w:t>
      </w:r>
    </w:p>
    <w:p>
      <w:pPr>
        <w:ind w:left="144"/>
      </w:pPr>
      <w:r>
        <w:rPr>
          <w:b/>
          <w:color w:val="B45A00"/>
          <w:sz w:val="16"/>
        </w:rPr>
        <w:t>JULGADOS CORRELATOS</w:t>
      </w:r>
    </w:p>
    <w:p>
      <w:pPr>
        <w:ind w:left="288"/>
      </w:pPr>
      <w:r>
        <w:rPr>
          <w:color w:val="8C8C8C"/>
          <w:sz w:val="12"/>
        </w:rPr>
        <w:t>cf-art-100</w:t>
      </w:r>
      <w:r>
        <w:rPr>
          <w:color w:val="003CA0"/>
          <w:sz w:val="12"/>
        </w:rPr>
        <w:t xml:space="preserve"> | RE 964.577</w:t>
      </w:r>
      <w:r>
        <w:rPr>
          <w:color w:val="003CA0"/>
          <w:sz w:val="12"/>
        </w:rPr>
        <w:t xml:space="preserve"> | rel. Luiz Fux</w:t>
      </w:r>
    </w:p>
    <w:p>
      <w:pPr>
        <w:ind w:left="288"/>
      </w:pPr>
      <w:r>
        <w:rPr>
          <w:color w:val="1E1E1E"/>
          <w:sz w:val="18"/>
        </w:rPr>
        <w:t>(...) não contraria o disposto no art. 100, § 2º, da Constituição o pagamento de mais de um precatório dentro da sistemática da "superpreferência" estabelecida no referido dispositivo, a um só credor e no mesmo exercício orçamentário (...).</w:t>
        <w:br/>
        <w:t>[RE 964.577 AgR, voto do rel. min. Luiz Fux, j. 11-12-2017, 1ª T, DJE de 19-12-2017.]</w:t>
      </w:r>
    </w:p>
    <w:p>
      <w:pPr>
        <w:ind w:left="144"/>
      </w:pPr>
      <w:r>
        <w:rPr>
          <w:b/>
          <w:color w:val="B45A00"/>
          <w:sz w:val="16"/>
        </w:rPr>
        <w:t>CONTROLE CONCENTRADO</w:t>
      </w:r>
    </w:p>
    <w:p>
      <w:pPr>
        <w:ind w:left="288"/>
      </w:pPr>
      <w:r>
        <w:rPr>
          <w:color w:val="8C8C8C"/>
          <w:sz w:val="12"/>
        </w:rPr>
        <w:t>cf-art-100-par-3</w:t>
      </w:r>
      <w:r>
        <w:rPr>
          <w:color w:val="003CA0"/>
          <w:sz w:val="12"/>
        </w:rPr>
        <w:t xml:space="preserve"> | ADI 5.706</w:t>
      </w:r>
      <w:r>
        <w:rPr>
          <w:color w:val="003CA0"/>
          <w:sz w:val="12"/>
        </w:rPr>
        <w:t xml:space="preserve"> | rel. Luiz Fux</w:t>
      </w:r>
    </w:p>
    <w:p>
      <w:pPr>
        <w:ind w:left="288"/>
      </w:pPr>
      <w:r>
        <w:rPr>
          <w:color w:val="1E1E1E"/>
          <w:sz w:val="18"/>
        </w:rPr>
        <w:t>O pagamento das obrigações de pequeno valor mediante requisição deve observância estrita às balizas estabelecidas no texto maior, competindo aos legisladores ordinários de cada ente federativo tão somente fixar os valores-teto das referidas obrigações, sendo-lhes vedado ampliar a dispensa de precatórios para outras hipóteses, sob pena, inclusive, de ofensa ao princípio da isonomia, consideradas as situações não abarcadas pelo privilégio.</w:t>
        <w:br/>
        <w:t>[ADI 5.706, rel. min. Luiz Fux, j. 26.02.2024, P, DJE de 13.03.2024.] A autonomia expressamente reconhecida na Constituição de 1988 e na jurisprudência do Sup</w:t>
      </w:r>
    </w:p>
    <w:p>
      <w:pPr>
        <w:ind w:left="288"/>
      </w:pPr>
      <w:r>
        <w:rPr>
          <w:b/>
          <w:color w:val="003CA0"/>
          <w:sz w:val="16"/>
        </w:rPr>
        <w:t>[ADI 4.015 MC, rel. min. Celso de Mello, j. 16-4-2008, 2ª T, DJE de 6-2-2014.]</w:t>
      </w:r>
    </w:p>
    <w:p>
      <w:pPr>
        <w:ind w:left="288"/>
      </w:pPr>
      <w:r>
        <w:rPr>
          <w:color w:val="8C8C8C"/>
          <w:sz w:val="12"/>
        </w:rPr>
        <w:t>cf-art-100-par-3</w:t>
      </w:r>
      <w:r>
        <w:rPr>
          <w:color w:val="003CA0"/>
          <w:sz w:val="12"/>
        </w:rPr>
        <w:t xml:space="preserve"> | ADI 3.057</w:t>
      </w:r>
      <w:r>
        <w:rPr>
          <w:color w:val="003CA0"/>
          <w:sz w:val="12"/>
        </w:rPr>
        <w:t xml:space="preserve"> | rel. Cezar Peluso</w:t>
      </w:r>
    </w:p>
    <w:p>
      <w:pPr>
        <w:ind w:left="288"/>
      </w:pPr>
      <w:r>
        <w:rPr>
          <w:color w:val="1E1E1E"/>
          <w:sz w:val="18"/>
        </w:rPr>
        <w:t>= ADI 3.057 MC, rel. min. Cezar Peluso, j. 19-2-2004, P, DJ de 19-3-2004</w:t>
      </w:r>
    </w:p>
    <w:p>
      <w:pPr>
        <w:ind w:left="144"/>
      </w:pPr>
      <w:r>
        <w:rPr>
          <w:b/>
          <w:color w:val="B45A00"/>
          <w:sz w:val="16"/>
        </w:rPr>
        <w:t>JULGADOS CORRELATOS</w:t>
      </w:r>
    </w:p>
    <w:p>
      <w:pPr>
        <w:ind w:left="288"/>
      </w:pPr>
      <w:r>
        <w:rPr>
          <w:color w:val="8C8C8C"/>
          <w:sz w:val="12"/>
        </w:rPr>
        <w:t>cf-art-100-par-3</w:t>
      </w:r>
      <w:r>
        <w:rPr>
          <w:color w:val="003CA0"/>
          <w:sz w:val="12"/>
        </w:rPr>
        <w:t xml:space="preserve"> | RE 1.462.285</w:t>
      </w:r>
      <w:r>
        <w:rPr>
          <w:color w:val="003CA0"/>
          <w:sz w:val="12"/>
        </w:rPr>
        <w:t xml:space="preserve"> | rel. Gilmar Mendes</w:t>
      </w:r>
    </w:p>
    <w:p>
      <w:pPr>
        <w:ind w:left="288"/>
      </w:pPr>
      <w:r>
        <w:rPr>
          <w:color w:val="1E1E1E"/>
          <w:sz w:val="18"/>
        </w:rPr>
        <w:t>Tema nº 792 da Sistemática da Repercussão Geral. Aplicação indevida da tese firmada. (...) A tese fixada no Tema nº 792 distingue-se da presente hipótese, cuja controvérsia se instaura quanto à aplicação da Lei Distrital nº 6.618/20, a qual aumentou o teto para a expedição de Requisição de Pequeno Valor de 10 (dez) para 20 (vinte) salários mínimos, de modo que o crédito inscrito em precatório que passe a se enquadrar, pelos critérios da nova lei, como de pequeno valor, seja excepcionado da ordem cronológica de apresentação de precatórios e obrigatoriedade de crédito previsto em orçamento (regr</w:t>
      </w:r>
    </w:p>
    <w:p>
      <w:pPr>
        <w:ind w:left="288"/>
      </w:pPr>
      <w:r>
        <w:rPr>
          <w:b/>
          <w:color w:val="003CA0"/>
          <w:sz w:val="16"/>
        </w:rPr>
        <w:t>[RE 601.914 AgR, rel. min. Celso de Mello, j. 6-3-2012, 2ª T, DJE de 25-2-2013.]</w:t>
      </w:r>
    </w:p>
    <w:p>
      <w:pPr>
        <w:ind w:left="288"/>
      </w:pPr>
      <w:r>
        <w:rPr>
          <w:color w:val="8C8C8C"/>
          <w:sz w:val="12"/>
        </w:rPr>
        <w:t>cf-art-100-par-3</w:t>
      </w:r>
      <w:r>
        <w:rPr>
          <w:color w:val="003CA0"/>
          <w:sz w:val="12"/>
        </w:rPr>
        <w:t xml:space="preserve"> | AI 641.431</w:t>
      </w:r>
      <w:r>
        <w:rPr>
          <w:color w:val="003CA0"/>
          <w:sz w:val="12"/>
        </w:rPr>
        <w:t xml:space="preserve"> | rel. Ellen Gracie</w:t>
      </w:r>
    </w:p>
    <w:p>
      <w:pPr>
        <w:ind w:left="288"/>
      </w:pPr>
      <w:r>
        <w:rPr>
          <w:color w:val="1E1E1E"/>
          <w:sz w:val="18"/>
        </w:rPr>
        <w:t>A expedição de precatório não se aplica aos créditos alimentícios de pequeno valor.</w:t>
      </w:r>
    </w:p>
    <w:p>
      <w:pPr>
        <w:ind w:left="288"/>
      </w:pPr>
      <w:r>
        <w:rPr>
          <w:b/>
          <w:color w:val="003CA0"/>
          <w:sz w:val="16"/>
        </w:rPr>
        <w:t>[AI 641.431 AgR, rel. min. Ellen Gracie, j. 8-6-2010, 2ª T, DJE de 25-6-2010.]</w:t>
      </w:r>
    </w:p>
    <w:p>
      <w:pPr>
        <w:ind w:left="288"/>
      </w:pPr>
      <w:r>
        <w:rPr>
          <w:color w:val="8C8C8C"/>
          <w:sz w:val="12"/>
        </w:rPr>
        <w:t>cf-art-100-par-3</w:t>
      </w:r>
      <w:r>
        <w:rPr>
          <w:color w:val="003CA0"/>
          <w:sz w:val="12"/>
        </w:rPr>
        <w:t xml:space="preserve"> | AI 618.770</w:t>
      </w:r>
      <w:r>
        <w:rPr>
          <w:color w:val="003CA0"/>
          <w:sz w:val="12"/>
        </w:rPr>
        <w:t xml:space="preserve"> | rel. Gilmar Mendes</w:t>
      </w:r>
    </w:p>
    <w:p>
      <w:pPr>
        <w:ind w:left="288"/>
      </w:pPr>
      <w:r>
        <w:rPr>
          <w:color w:val="1E1E1E"/>
          <w:sz w:val="18"/>
        </w:rPr>
        <w:t>Por possuírem a mesma natureza, não há diferenciação entre precatório e requisição de pequeno valor, quanto à incidência de juros de mora.</w:t>
      </w:r>
    </w:p>
    <w:p>
      <w:pPr>
        <w:ind w:left="288"/>
      </w:pPr>
      <w:r>
        <w:rPr>
          <w:b/>
          <w:color w:val="003CA0"/>
          <w:sz w:val="16"/>
        </w:rPr>
        <w:t>[AI 618.770 AgR, rel. min. Gilmar Mendes, j. 12-2-2008, 2ª T, DJE de 7-3-2008.]</w:t>
      </w:r>
    </w:p>
    <w:p>
      <w:pPr>
        <w:ind w:left="288"/>
      </w:pPr>
      <w:r>
        <w:rPr>
          <w:color w:val="8C8C8C"/>
          <w:sz w:val="12"/>
        </w:rPr>
        <w:t>cf-art-100-par-3</w:t>
      </w:r>
      <w:r>
        <w:rPr>
          <w:color w:val="003CA0"/>
          <w:sz w:val="12"/>
        </w:rPr>
        <w:t xml:space="preserve"> | RE 415.932</w:t>
      </w:r>
    </w:p>
    <w:p>
      <w:pPr>
        <w:ind w:left="288"/>
      </w:pPr>
      <w:r>
        <w:rPr>
          <w:color w:val="1E1E1E"/>
          <w:sz w:val="18"/>
        </w:rPr>
        <w:t>Fazenda Pública: execução não embargada: honorários de advogado: constitucionalidade declarada pelo Supremo Tribunal, com interpretação conforme ao art. 1º-D da Lei 9.494/1997, na redação que lhe foi dada pela MP 2.180-35/2001, de modo a reduzir-lhe a aplicação à hipótese de execução por quantia certa contra a Fazenda Pública (CPC, art. 730), excluídos os casos de pagamento de obrigações definidos em lei como de pequeno valor (CF/1988, art. 100, § 3º).</w:t>
      </w:r>
    </w:p>
    <w:p>
      <w:pPr>
        <w:ind w:left="288"/>
      </w:pPr>
      <w:r>
        <w:rPr>
          <w:b/>
          <w:color w:val="003CA0"/>
          <w:sz w:val="16"/>
        </w:rPr>
        <w:t>[RE 415.932, red. do ac. min. Sepúlveda Pertence, j. 29-9-2004, P, DJ de 10-11-2006.]</w:t>
      </w:r>
    </w:p>
    <w:p>
      <w:pPr>
        <w:ind w:left="288"/>
      </w:pPr>
      <w:r>
        <w:rPr>
          <w:color w:val="8C8C8C"/>
          <w:sz w:val="12"/>
        </w:rPr>
        <w:t>cf-art-100-par-3</w:t>
      </w:r>
      <w:r>
        <w:rPr>
          <w:color w:val="003CA0"/>
          <w:sz w:val="12"/>
        </w:rPr>
        <w:t xml:space="preserve"> | RE 481.089</w:t>
      </w:r>
      <w:r>
        <w:rPr>
          <w:color w:val="003CA0"/>
          <w:sz w:val="12"/>
        </w:rPr>
        <w:t xml:space="preserve"> | rel. Gilmar Mendes</w:t>
      </w:r>
    </w:p>
    <w:p>
      <w:pPr>
        <w:ind w:left="288"/>
      </w:pPr>
      <w:r>
        <w:rPr>
          <w:color w:val="1E1E1E"/>
          <w:sz w:val="18"/>
        </w:rPr>
        <w:t>= RE 481.089 AgR, rel. min. Gilmar Mendes, j. 22-2-2011, 2ª T, DJE de 22-3-2011 Vide RE 526.186 AgR-segundo, rel. min. Cármen Lúcia, j. 2-12-2010, 1ª T, DJE de 24-2-2011 Vide RE 435.757 AgR, rel. min. Joaquim Barbosa, j. 4-12-2009, 2ª T, DJE de 5-2-2010</w:t>
      </w:r>
    </w:p>
    <w:p>
      <w:pPr>
        <w:ind w:left="144"/>
      </w:pPr>
      <w:r>
        <w:rPr>
          <w:b/>
          <w:color w:val="B45A00"/>
          <w:sz w:val="16"/>
        </w:rPr>
        <w:t>CONTROLE CONCENTRADO</w:t>
      </w:r>
    </w:p>
    <w:p>
      <w:pPr>
        <w:ind w:left="288"/>
      </w:pPr>
      <w:r>
        <w:rPr>
          <w:color w:val="8C8C8C"/>
          <w:sz w:val="12"/>
        </w:rPr>
        <w:t>cf-art-100-par-4</w:t>
      </w:r>
      <w:r>
        <w:rPr>
          <w:color w:val="003CA0"/>
          <w:sz w:val="12"/>
        </w:rPr>
        <w:t xml:space="preserve"> | ADI 5.534</w:t>
      </w:r>
      <w:r>
        <w:rPr>
          <w:color w:val="003CA0"/>
          <w:sz w:val="12"/>
        </w:rPr>
        <w:t xml:space="preserve"> | rel. Dias Toffoli</w:t>
      </w:r>
    </w:p>
    <w:p>
      <w:pPr>
        <w:ind w:left="288"/>
      </w:pPr>
      <w:r>
        <w:rPr>
          <w:color w:val="1E1E1E"/>
          <w:sz w:val="18"/>
        </w:rPr>
        <w:t>A autonomia expressamente reconhecida na Constituição de 1988 e na jurisprudência do Supremo Tribunal Federal aos estados-membros para dispor sobre obrigações de pequeno valor restringe-se à fixação do valor referencial. Pretender ampliar o sentido da jurisprudência e do que está posto nos §§ 3º e 4º do art. 100 da Constituição, de modo a afirmar a competência legislativa do estado-membro para estabelecer também o prazo para pagamento das RPV, é passo demasiadamente largo.</w:t>
      </w:r>
    </w:p>
    <w:p>
      <w:pPr>
        <w:ind w:left="288"/>
      </w:pPr>
      <w:r>
        <w:rPr>
          <w:b/>
          <w:color w:val="003CA0"/>
          <w:sz w:val="16"/>
        </w:rPr>
        <w:t>[ADI 5.534, rel. min. Dias Toffoli, j. 21-12-2020, P, DJE de 12-2-2021.]</w:t>
      </w:r>
    </w:p>
    <w:p>
      <w:pPr>
        <w:ind w:left="288"/>
      </w:pPr>
      <w:r>
        <w:rPr>
          <w:color w:val="8C8C8C"/>
          <w:sz w:val="12"/>
        </w:rPr>
        <w:t>cf-art-100-par-4</w:t>
      </w:r>
      <w:r>
        <w:rPr>
          <w:color w:val="003CA0"/>
          <w:sz w:val="12"/>
        </w:rPr>
        <w:t xml:space="preserve"> | ADI 5.100</w:t>
      </w:r>
      <w:r>
        <w:rPr>
          <w:color w:val="003CA0"/>
          <w:sz w:val="12"/>
        </w:rPr>
        <w:t xml:space="preserve"> | rel. Luiz Fux</w:t>
      </w:r>
    </w:p>
    <w:p>
      <w:pPr>
        <w:ind w:left="288"/>
      </w:pPr>
      <w:r>
        <w:rPr>
          <w:color w:val="1E1E1E"/>
          <w:sz w:val="18"/>
        </w:rPr>
        <w:t xml:space="preserve">Os entes federados são competentes para estabelecer, por meio de leis próprias e segundo a sua capacidade econômica, o valor máximo das respectivas obrigações de pequeno valor, não podendo tal valor ser inferior àquele do maior benefício do regime geral de previdência social (artigo 100, §§ 3º e 4º, da Constituição Federal, na redação da Emenda Constitucional 62/2009). (...) A aferição da capacidade econômica do ente federado, para fins de delimitação do teto para o pagamento de seus débitos por meio de requisição de pequeno valor, não se esgota na verificação do quantum da receita do Estado, </w:t>
      </w:r>
    </w:p>
    <w:p>
      <w:pPr>
        <w:ind w:left="288"/>
      </w:pPr>
      <w:r>
        <w:rPr>
          <w:b/>
          <w:color w:val="003CA0"/>
          <w:sz w:val="16"/>
        </w:rPr>
        <w:t>[ADI 5.100, rel. min. Luiz Fux, j. 27-4-2020, P, DJE de 14-5-2020.]</w:t>
      </w:r>
    </w:p>
    <w:p>
      <w:pPr>
        <w:ind w:left="288"/>
      </w:pPr>
      <w:r>
        <w:rPr>
          <w:color w:val="8C8C8C"/>
          <w:sz w:val="12"/>
        </w:rPr>
        <w:t>cf-art-100-par-4</w:t>
      </w:r>
      <w:r>
        <w:rPr>
          <w:color w:val="003CA0"/>
          <w:sz w:val="12"/>
        </w:rPr>
        <w:t xml:space="preserve"> | ADI 2.868</w:t>
      </w:r>
      <w:r>
        <w:rPr>
          <w:color w:val="003CA0"/>
          <w:sz w:val="12"/>
        </w:rPr>
        <w:t xml:space="preserve"> | rel. Joaquim Barbosa</w:t>
      </w:r>
    </w:p>
    <w:p>
      <w:pPr>
        <w:ind w:left="288"/>
      </w:pPr>
      <w:r>
        <w:rPr>
          <w:color w:val="1E1E1E"/>
          <w:sz w:val="18"/>
        </w:rPr>
        <w:t>Precatórios. Obrigações de pequeno valor. CF, art. 100, § 3º. ADCT, art. 87. Possibilidade de fixação, pelos Estados-membros, de valor referencial inferior ao do art. 87 do ADCT, com a redação dada pela EC 37/2002.</w:t>
      </w:r>
    </w:p>
    <w:p>
      <w:pPr>
        <w:ind w:left="288"/>
      </w:pPr>
      <w:r>
        <w:rPr>
          <w:b/>
          <w:color w:val="003CA0"/>
          <w:sz w:val="16"/>
        </w:rPr>
        <w:t>[ADI 2.868, rel. p/ o ac. min. Joaquim Barbosa, j. 2-6-2004, P, DJ de 12-11-2004.]</w:t>
      </w:r>
    </w:p>
    <w:p>
      <w:pPr>
        <w:ind w:left="288"/>
      </w:pPr>
      <w:r>
        <w:rPr>
          <w:color w:val="8C8C8C"/>
          <w:sz w:val="12"/>
        </w:rPr>
        <w:t>cf-art-100-par-4</w:t>
      </w:r>
      <w:r>
        <w:rPr>
          <w:color w:val="003CA0"/>
          <w:sz w:val="12"/>
        </w:rPr>
        <w:t xml:space="preserve"> | AI 761.701</w:t>
      </w:r>
      <w:r>
        <w:rPr>
          <w:color w:val="003CA0"/>
          <w:sz w:val="12"/>
        </w:rPr>
        <w:t xml:space="preserve"> | rel. Dias Toffoli</w:t>
      </w:r>
    </w:p>
    <w:p>
      <w:pPr>
        <w:ind w:left="288"/>
      </w:pPr>
      <w:r>
        <w:rPr>
          <w:color w:val="1E1E1E"/>
          <w:sz w:val="18"/>
        </w:rPr>
        <w:t>Vide AI 761.701 ED, rel. min. Dias Toffoli, j. 15-10-2013, 1ª T, DJE de 27-11-2013</w:t>
      </w:r>
    </w:p>
    <w:p>
      <w:pPr>
        <w:ind w:left="144"/>
      </w:pPr>
      <w:r>
        <w:rPr>
          <w:b/>
          <w:color w:val="B45A00"/>
          <w:sz w:val="16"/>
        </w:rPr>
        <w:t>REPERCUSSAO GERAL</w:t>
      </w:r>
    </w:p>
    <w:p>
      <w:pPr>
        <w:ind w:left="288"/>
      </w:pPr>
      <w:r>
        <w:rPr>
          <w:color w:val="8C8C8C"/>
          <w:sz w:val="12"/>
        </w:rPr>
        <w:t>cf-art-100-par-4</w:t>
      </w:r>
      <w:r>
        <w:rPr>
          <w:color w:val="003CA0"/>
          <w:sz w:val="12"/>
        </w:rPr>
        <w:t xml:space="preserve"> | RE 1.359.139</w:t>
      </w:r>
      <w:r>
        <w:rPr>
          <w:color w:val="003CA0"/>
          <w:sz w:val="12"/>
        </w:rPr>
        <w:t xml:space="preserve"> | rel. Luiz Fux</w:t>
      </w:r>
    </w:p>
    <w:p>
      <w:pPr>
        <w:ind w:left="288"/>
      </w:pPr>
      <w:r>
        <w:rPr>
          <w:color w:val="1E1E1E"/>
          <w:sz w:val="18"/>
        </w:rPr>
        <w:t>I – As unidades federadas podem fixar os limites das respectivas requisições de pequeno valor em patamares inferiores aos previstos no art. 87 do ADCT, desde que o façam em consonância com sua capacidade econômica; II – A aferição da capacidade econômica, para este fim, deve refletir não somente a receita, mas igualmente os graus de endividamento e de litigiosidade do ente federado; III – A ausência de demonstração concreta da desproporcionalidade na fixação do teto das requisições de pequeno valor impõe a deferência do Poder Judiciário ao juízo politicoadministrativo externado pela legislação</w:t>
      </w:r>
    </w:p>
    <w:p>
      <w:pPr>
        <w:ind w:left="288"/>
      </w:pPr>
      <w:r>
        <w:rPr>
          <w:b/>
          <w:color w:val="003CA0"/>
          <w:sz w:val="16"/>
        </w:rPr>
        <w:t>[RE 1.359.139, rel. min. Luiz Fux, j. 1-9-2022, P, DJE de 8-9-2022, Tema 1.231, com mérito julgado e reafirmação de jurisprudência.]</w:t>
      </w:r>
    </w:p>
    <w:p>
      <w:pPr>
        <w:ind w:left="288"/>
      </w:pPr>
      <w:r>
        <w:rPr>
          <w:color w:val="8C8C8C"/>
          <w:sz w:val="12"/>
        </w:rPr>
        <w:t>cf-art-100-par-4</w:t>
      </w:r>
      <w:r>
        <w:rPr>
          <w:color w:val="003CA0"/>
          <w:sz w:val="12"/>
        </w:rPr>
        <w:t xml:space="preserve"> | ADI 4.357</w:t>
      </w:r>
      <w:r>
        <w:rPr>
          <w:color w:val="003CA0"/>
          <w:sz w:val="12"/>
        </w:rPr>
        <w:t xml:space="preserve"> | rel. Luís Roberto Barroso</w:t>
      </w:r>
    </w:p>
    <w:p>
      <w:pPr>
        <w:ind w:left="288"/>
      </w:pPr>
      <w:r>
        <w:rPr>
          <w:color w:val="1E1E1E"/>
          <w:sz w:val="18"/>
        </w:rPr>
        <w:t>§ 5º É obrigatória a inclusão no orçamento das entidades de direito público de verba necessária ao pagamento de seus débitos oriundos de sentenças transitadas em julgado constantes de precatórios judiciários apresentados até 1º de fevereiro, fazendo-se o pagamento até o final do exercício seguinte, quando terão seus valores atualizados monetariamente. (Redação dada pela EC n. 136/2025) “1. Não incide a taxa SELIC, prevista no art. 3º da EC nº 113/2021, no prazo constitucional de pagamento de precatórios do § 5º do art. 100 da Constituição. 2. Durante o denominado ‘período de graça’, os valores</w:t>
      </w:r>
    </w:p>
    <w:p>
      <w:pPr>
        <w:ind w:left="288"/>
      </w:pPr>
      <w:r>
        <w:rPr>
          <w:b/>
          <w:color w:val="003CA0"/>
          <w:sz w:val="16"/>
        </w:rPr>
        <w:t>[RE 1.515.163 RG, rel. min. Luís Roberto Barroso, j. 11.10.2024, P, DJE de 21.10.2024, Tema 1.335, com mérito julgado.]</w:t>
      </w:r>
    </w:p>
    <w:p>
      <w:pPr>
        <w:ind w:left="288"/>
      </w:pPr>
      <w:r>
        <w:rPr>
          <w:color w:val="8C8C8C"/>
          <w:sz w:val="12"/>
        </w:rPr>
        <w:t>cf-art-100-par-4</w:t>
      </w:r>
    </w:p>
    <w:p>
      <w:pPr>
        <w:ind w:left="288"/>
      </w:pPr>
      <w:r>
        <w:rPr>
          <w:color w:val="1E1E1E"/>
          <w:sz w:val="18"/>
        </w:rPr>
        <w:t>§ 6º As dotações orçamentárias e os créditos abertos serão consignados diretamente ao Poder Judiciário, cabendo ao Presidente do Tribunal que proferir a decisão exequenda determinar o pagamento integral e autorizar, a requerimento do credor e exclusivamente para os casos de preterimento de seu direito de precedência ou de não alocação orçamentária do valor necessário à satisfação do seu débito, o sequestro da quantia respectiva. (Redação da EC 62/2009)</w:t>
      </w:r>
    </w:p>
    <w:p>
      <w:pPr>
        <w:ind w:left="288"/>
      </w:pPr>
      <w:r>
        <w:rPr>
          <w:color w:val="8C8C8C"/>
          <w:sz w:val="12"/>
        </w:rPr>
        <w:t>cf-art-100-par-4</w:t>
      </w:r>
      <w:r>
        <w:rPr>
          <w:color w:val="003CA0"/>
          <w:sz w:val="12"/>
        </w:rPr>
        <w:t xml:space="preserve"> | RE 840.435</w:t>
      </w:r>
      <w:r>
        <w:rPr>
          <w:color w:val="003CA0"/>
          <w:sz w:val="12"/>
        </w:rPr>
        <w:t xml:space="preserve"> | rel. Dias Toffoli</w:t>
      </w:r>
    </w:p>
    <w:p>
      <w:pPr>
        <w:ind w:left="288"/>
      </w:pPr>
      <w:r>
        <w:rPr>
          <w:color w:val="1E1E1E"/>
          <w:sz w:val="18"/>
        </w:rPr>
        <w:t>“O deferimento de sequestro de rendas públicas para pagamento de precatório deve se restringir às hipóteses enumeradas taxativamente na Constituição Federal de 1988.”</w:t>
        <w:br/>
        <w:t>[RE 840.435, rel. min. Dias Toffoli, j. 25-9-2023, P, DJE de 31-10-2023, Tema 598, com mérito julgado.] Seção II Do Supremo Tribunal Federal SUMÁRIO</w:t>
      </w:r>
    </w:p>
    <w:p>
      <w:r>
        <w:rPr>
          <w:b/>
          <w:color w:val="003366"/>
          <w:sz w:val="20"/>
        </w:rPr>
        <w:t>Art. 101 Os Estados, o Distrito Federal e os Municípios que, em 25 de março de 2</w:t>
      </w:r>
      <w:r>
        <w:rPr>
          <w:color w:val="8C8C8C"/>
          <w:sz w:val="14"/>
        </w:rPr>
        <w:t xml:space="preserve">  [1 decisoes]</w:t>
      </w:r>
    </w:p>
    <w:p>
      <w:pPr>
        <w:ind w:left="288"/>
      </w:pPr>
      <w:r>
        <w:rPr>
          <w:color w:val="8C8C8C"/>
          <w:sz w:val="12"/>
        </w:rPr>
        <w:t>cf-art-101</w:t>
      </w:r>
    </w:p>
    <w:p>
      <w:pPr>
        <w:ind w:left="288"/>
      </w:pPr>
      <w:r>
        <w:rPr>
          <w:color w:val="1E1E1E"/>
          <w:sz w:val="18"/>
        </w:rPr>
        <w:t>Parágrafo único. Os Ministros do Supremo Tribunal Federal serão nomeados pelo Presidente da República, depois de aprovada a escolha pela maioria absoluta do Senado Federal.</w:t>
      </w:r>
    </w:p>
    <w:p>
      <w:pPr>
        <w:ind w:left="432"/>
      </w:pPr>
      <w:r>
        <w:rPr>
          <w:color w:val="003366"/>
          <w:sz w:val="18"/>
        </w:rPr>
        <w:t>§ 1 Entende-se como receita corrente líquida, para os fins de que trata este art</w:t>
      </w:r>
    </w:p>
    <w:p>
      <w:pPr>
        <w:ind w:left="720"/>
      </w:pPr>
      <w:r>
        <w:rPr>
          <w:color w:val="003366"/>
          <w:sz w:val="18"/>
        </w:rPr>
        <w:t>I – nos Estados, as parcelas entregues aos Municípios por determinação constituc</w:t>
      </w:r>
    </w:p>
    <w:p>
      <w:pPr>
        <w:ind w:left="720"/>
      </w:pPr>
      <w:r>
        <w:rPr>
          <w:color w:val="003366"/>
          <w:sz w:val="18"/>
        </w:rPr>
        <w:t>II – nos Estados, no Distrito Federal e nos Municípios, a contribuição dos servi</w:t>
      </w:r>
    </w:p>
    <w:p>
      <w:pPr>
        <w:ind w:left="432"/>
      </w:pPr>
      <w:r>
        <w:rPr>
          <w:color w:val="003366"/>
          <w:sz w:val="18"/>
        </w:rPr>
        <w:t>§ 2 O débito de precatórios será pago com recursos orçamentários próprios proven</w:t>
      </w:r>
    </w:p>
    <w:p>
      <w:pPr>
        <w:ind w:left="720"/>
      </w:pPr>
      <w:r>
        <w:rPr>
          <w:color w:val="003366"/>
          <w:sz w:val="18"/>
        </w:rPr>
        <w:t xml:space="preserve">I – até 75% (setenta e cinco por cento) dos depósitos judiciais e dos depósitos </w:t>
      </w:r>
    </w:p>
    <w:p>
      <w:pPr>
        <w:ind w:left="720"/>
      </w:pPr>
      <w:r>
        <w:rPr>
          <w:color w:val="003366"/>
          <w:sz w:val="18"/>
        </w:rPr>
        <w:t>II – até 30% (trinta por cento) dos demais depósitos judiciais da localidade sob</w:t>
      </w:r>
    </w:p>
    <w:p>
      <w:pPr>
        <w:ind w:left="1008"/>
      </w:pPr>
      <w:r>
        <w:rPr>
          <w:color w:val="003366"/>
          <w:sz w:val="18"/>
        </w:rPr>
        <w:t xml:space="preserve">a) no caso do Distrito Federal, 100% (cem por cento) desses recursos ao próprio </w:t>
      </w:r>
    </w:p>
    <w:p>
      <w:pPr>
        <w:ind w:left="1008"/>
      </w:pPr>
      <w:r>
        <w:rPr>
          <w:color w:val="003366"/>
          <w:sz w:val="18"/>
        </w:rPr>
        <w:t>b) no caso dos Estados, 50% (cinquenta por cento) desses recursos ao próprio Est</w:t>
      </w:r>
    </w:p>
    <w:p>
      <w:pPr>
        <w:ind w:left="720"/>
      </w:pPr>
      <w:r>
        <w:rPr>
          <w:color w:val="003366"/>
          <w:sz w:val="18"/>
        </w:rPr>
        <w:t>III – empréstimos, excetuados para esse fim os limites de endividamento de que t</w:t>
      </w:r>
    </w:p>
    <w:p>
      <w:pPr>
        <w:ind w:left="720"/>
      </w:pPr>
      <w:r>
        <w:rPr>
          <w:color w:val="003366"/>
          <w:sz w:val="18"/>
        </w:rPr>
        <w:t>IV – a totalidade dos depósitos em precatórios e requisições diretas de pagament</w:t>
      </w:r>
    </w:p>
    <w:p>
      <w:pPr>
        <w:ind w:left="432"/>
      </w:pPr>
      <w:r>
        <w:rPr>
          <w:color w:val="003366"/>
          <w:sz w:val="18"/>
        </w:rPr>
        <w:t>§ 3 Os recursos adicionais previstos nos incisos I, II e IV do § 2º deste artigo</w:t>
      </w:r>
    </w:p>
    <w:p>
      <w:pPr>
        <w:ind w:left="432"/>
      </w:pPr>
      <w:r>
        <w:rPr>
          <w:color w:val="003366"/>
          <w:sz w:val="18"/>
        </w:rPr>
        <w:t>§ 4 (Revogado). (Redação dada pela Emenda Constitucional nº 109, de 2021)</w:t>
      </w:r>
    </w:p>
    <w:p>
      <w:pPr>
        <w:ind w:left="720"/>
      </w:pPr>
      <w:r>
        <w:rPr>
          <w:color w:val="003366"/>
          <w:sz w:val="18"/>
        </w:rPr>
        <w:t>I – (revogado); (Redação dada pela Emenda Constitucional nº 109, de 2021)</w:t>
      </w:r>
    </w:p>
    <w:p>
      <w:pPr>
        <w:ind w:left="720"/>
      </w:pPr>
      <w:r>
        <w:rPr>
          <w:color w:val="003366"/>
          <w:sz w:val="18"/>
        </w:rPr>
        <w:t>II – (revogado); (Redação dada pela Emenda Constitucional nº 109, de 2021)</w:t>
      </w:r>
    </w:p>
    <w:p>
      <w:pPr>
        <w:ind w:left="720"/>
      </w:pPr>
      <w:r>
        <w:rPr>
          <w:color w:val="003366"/>
          <w:sz w:val="18"/>
        </w:rPr>
        <w:t>III – (revogado); (Redação dada pela Emenda Constitucional nº 109, de 2021)</w:t>
      </w:r>
    </w:p>
    <w:p>
      <w:pPr>
        <w:ind w:left="720"/>
      </w:pPr>
      <w:r>
        <w:rPr>
          <w:color w:val="003366"/>
          <w:sz w:val="18"/>
        </w:rPr>
        <w:t>IV – (revogado). (Redação dada pela Emenda Constitucional nº 109, de 2021)</w:t>
      </w:r>
    </w:p>
    <w:p>
      <w:pPr>
        <w:ind w:left="432"/>
      </w:pPr>
      <w:r>
        <w:rPr>
          <w:color w:val="003366"/>
          <w:sz w:val="18"/>
        </w:rPr>
        <w:t>§ 5 Os empréstimos de que trata o inciso III do § 2º deste artigo poderão ser de</w:t>
      </w:r>
    </w:p>
    <w:p>
      <w:pPr>
        <w:ind w:left="432"/>
      </w:pPr>
      <w:r>
        <w:rPr>
          <w:color w:val="003366"/>
          <w:sz w:val="18"/>
        </w:rPr>
        <w:t>§ 6 Aplica-se ao regime de pagamento de precatórios descrito no caput deste arti</w:t>
      </w:r>
    </w:p>
    <w:p>
      <w:r>
        <w:rPr>
          <w:b/>
          <w:color w:val="003366"/>
          <w:sz w:val="20"/>
        </w:rPr>
        <w:t xml:space="preserve">Art. 102 Enquanto viger o regime especial previsto nesta Emenda Constitucional, </w:t>
      </w:r>
      <w:r>
        <w:rPr>
          <w:color w:val="8C8C8C"/>
          <w:sz w:val="14"/>
        </w:rPr>
        <w:t xml:space="preserve">  [644 decisoes]</w:t>
      </w:r>
    </w:p>
    <w:p>
      <w:pPr>
        <w:ind w:left="144"/>
      </w:pPr>
      <w:r>
        <w:rPr>
          <w:b/>
          <w:color w:val="B45A00"/>
          <w:sz w:val="16"/>
        </w:rPr>
        <w:t>CONTROLE CONCENTRADO</w:t>
      </w:r>
    </w:p>
    <w:p>
      <w:pPr>
        <w:ind w:left="288"/>
      </w:pPr>
      <w:r>
        <w:rPr>
          <w:color w:val="8C8C8C"/>
          <w:sz w:val="12"/>
        </w:rPr>
        <w:t>cf-art-102</w:t>
      </w:r>
      <w:r>
        <w:rPr>
          <w:color w:val="003CA0"/>
          <w:sz w:val="12"/>
        </w:rPr>
        <w:t xml:space="preserve"> | ADI 3.345</w:t>
      </w:r>
      <w:r>
        <w:rPr>
          <w:color w:val="003CA0"/>
          <w:sz w:val="12"/>
        </w:rPr>
        <w:t xml:space="preserve"> | rel. Celso de Mello</w:t>
      </w:r>
    </w:p>
    <w:p>
      <w:pPr>
        <w:ind w:left="288"/>
      </w:pPr>
      <w:r>
        <w:rPr>
          <w:color w:val="1E1E1E"/>
          <w:sz w:val="18"/>
        </w:rPr>
        <w:t>A interpretação constitucional derivada das decisões proferidas pelo STF – a quem se atribuiu a função eminente de "guarda da Constituição" (CF, art. 102, caput) – assume papel de essencial importância na organização institucional do Estado brasileiro, a justificar o reconhecimento de que o modelo político-jurídico vigente em nosso país confere, à Suprema Corte, a singular prerrogativa de dispor do monopólio da última palavra em tema de exegese das normas inscritas no texto da Lei Fundamental.</w:t>
      </w:r>
    </w:p>
    <w:p>
      <w:pPr>
        <w:ind w:left="288"/>
      </w:pPr>
      <w:r>
        <w:rPr>
          <w:b/>
          <w:color w:val="003CA0"/>
          <w:sz w:val="16"/>
        </w:rPr>
        <w:t>[ADI 3.345, rel. min. Celso de Mello, j. 25-8-2005, P, DJE de 20-8-2010.]</w:t>
      </w:r>
    </w:p>
    <w:p>
      <w:pPr>
        <w:ind w:left="288"/>
      </w:pPr>
      <w:r>
        <w:rPr>
          <w:color w:val="8C8C8C"/>
          <w:sz w:val="12"/>
        </w:rPr>
        <w:t>cf-art-102</w:t>
      </w:r>
      <w:r>
        <w:rPr>
          <w:color w:val="003CA0"/>
          <w:sz w:val="12"/>
        </w:rPr>
        <w:t xml:space="preserve"> | AI 733.387</w:t>
      </w:r>
      <w:r>
        <w:rPr>
          <w:color w:val="003CA0"/>
          <w:sz w:val="12"/>
        </w:rPr>
        <w:t xml:space="preserve"> | rel. Celso de Mello</w:t>
      </w:r>
    </w:p>
    <w:p>
      <w:pPr>
        <w:ind w:left="288"/>
      </w:pPr>
      <w:r>
        <w:rPr>
          <w:color w:val="1E1E1E"/>
          <w:sz w:val="18"/>
        </w:rPr>
        <w:t>= AI 733.387, rel. min. Celso de Mello, j. 16-12-2008, 2ª T, DJE de 1º-2-2013 Vide HC 91.361, rel. min. Celso de Mello, j. 23-9-2008, 2ª T, DJE de 6-2-2009 Vide RE 227.001 ED, rel. min. Gilmar Mendes, j. 18-9-2007, 2ª T, DJ de 5-10-2007 A invocação das razões de Estado – além de deslegitimar-se como fundamento idôneo de justificação de medidas legislativas – representa, por efeito das gravíssimas consequências provocadas por seu eventual acolhimento, uma ameaça inadmissível às liberdades públicas, à supremacia da ordem constitucional e aos valores democráticos que a informam, culminando por in</w:t>
      </w:r>
    </w:p>
    <w:p>
      <w:pPr>
        <w:ind w:left="288"/>
      </w:pPr>
      <w:r>
        <w:rPr>
          <w:b/>
          <w:color w:val="003CA0"/>
          <w:sz w:val="16"/>
        </w:rPr>
        <w:t>[ADI 2.010 MC, rel. min. Celso de Mello, j. 30-9-1999, P, DJ de 12-4-2002.]</w:t>
      </w:r>
    </w:p>
    <w:p>
      <w:pPr>
        <w:ind w:left="288"/>
      </w:pPr>
      <w:r>
        <w:rPr>
          <w:color w:val="8C8C8C"/>
          <w:sz w:val="12"/>
        </w:rPr>
        <w:t>cf-art-102</w:t>
      </w:r>
      <w:r>
        <w:rPr>
          <w:color w:val="003CA0"/>
          <w:sz w:val="12"/>
        </w:rPr>
        <w:t xml:space="preserve"> | RCL 73.295</w:t>
      </w:r>
      <w:r>
        <w:rPr>
          <w:color w:val="003CA0"/>
          <w:sz w:val="12"/>
        </w:rPr>
        <w:t xml:space="preserve"> | rel. Gilmar Mendes</w:t>
      </w:r>
    </w:p>
    <w:p>
      <w:pPr>
        <w:ind w:left="288"/>
      </w:pPr>
      <w:r>
        <w:rPr>
          <w:color w:val="1E1E1E"/>
          <w:sz w:val="18"/>
        </w:rPr>
        <w:t xml:space="preserve">Instauração do incidente de assunção de competência perante o Supremo Tribunal Federal. Possibilidade. O Código de Processo Civil criou institutos que, além de valorizarem os pronunciamentos jurisdicionais, estão orientados à promoção de mais segurança jurídica, à garantia de maior isonomia e à salvaguarda da tutela judicial efetiva, com observância à duração razoável do processo. O incidente de assunção de competência, que consubstancia instrumento de maximização de princípios constitucionais, pode ser instaurado, perante o Supremo Tribunal Federal, quando se tratar de competência originária </w:t>
      </w:r>
    </w:p>
    <w:p>
      <w:pPr>
        <w:ind w:left="288"/>
      </w:pPr>
      <w:r>
        <w:rPr>
          <w:b/>
          <w:color w:val="003CA0"/>
          <w:sz w:val="16"/>
        </w:rPr>
        <w:t>[Rcl 73.295, rel. min. Gilmar Mendes, j. 19-11-2025, P, DJE de 4-3-2026.]</w:t>
      </w:r>
    </w:p>
    <w:p>
      <w:pPr>
        <w:ind w:left="144"/>
      </w:pPr>
      <w:r>
        <w:rPr>
          <w:b/>
          <w:color w:val="B45A00"/>
          <w:sz w:val="16"/>
        </w:rPr>
        <w:t>JULGADOS CORRELATOS</w:t>
      </w:r>
    </w:p>
    <w:p>
      <w:pPr>
        <w:ind w:left="288"/>
      </w:pPr>
      <w:r>
        <w:rPr>
          <w:color w:val="8C8C8C"/>
          <w:sz w:val="12"/>
        </w:rPr>
        <w:t>cf-art-102</w:t>
      </w:r>
      <w:r>
        <w:rPr>
          <w:color w:val="003CA0"/>
          <w:sz w:val="12"/>
        </w:rPr>
        <w:t xml:space="preserve"> | AC 2.404</w:t>
      </w:r>
      <w:r>
        <w:rPr>
          <w:color w:val="003CA0"/>
          <w:sz w:val="12"/>
        </w:rPr>
        <w:t xml:space="preserve"> | rel. Roberto Barroso</w:t>
      </w:r>
    </w:p>
    <w:p>
      <w:pPr>
        <w:ind w:left="288"/>
      </w:pPr>
      <w:r>
        <w:rPr>
          <w:color w:val="1E1E1E"/>
          <w:sz w:val="18"/>
        </w:rPr>
        <w:t>O STF não tem competência para julgar ações ordinárias que impugnem atos do TCU. Como o acessório segue o principal, o mesmo se passa com as ações cautelares preparatórias dessas demandas.</w:t>
      </w:r>
    </w:p>
    <w:p>
      <w:pPr>
        <w:ind w:left="288"/>
      </w:pPr>
      <w:r>
        <w:rPr>
          <w:b/>
          <w:color w:val="003CA0"/>
          <w:sz w:val="16"/>
        </w:rPr>
        <w:t>[AC 2.404 ED, rel. min. Roberto Barroso, j. 25-2-2014, 1ª T, DJE de 19-3-2014.]</w:t>
      </w:r>
    </w:p>
    <w:p>
      <w:pPr>
        <w:ind w:left="288"/>
      </w:pPr>
      <w:r>
        <w:rPr>
          <w:color w:val="8C8C8C"/>
          <w:sz w:val="12"/>
        </w:rPr>
        <w:t>cf-art-102</w:t>
      </w:r>
      <w:r>
        <w:rPr>
          <w:color w:val="003CA0"/>
          <w:sz w:val="12"/>
        </w:rPr>
        <w:t xml:space="preserve"> | ARE 729.643</w:t>
      </w:r>
      <w:r>
        <w:rPr>
          <w:color w:val="003CA0"/>
          <w:sz w:val="12"/>
        </w:rPr>
        <w:t xml:space="preserve"> | rel. Marco Aurélio</w:t>
      </w:r>
    </w:p>
    <w:p>
      <w:pPr>
        <w:ind w:left="288"/>
      </w:pPr>
      <w:r>
        <w:rPr>
          <w:color w:val="1E1E1E"/>
          <w:sz w:val="18"/>
        </w:rPr>
        <w:t>É inadequado recurso extraordinário contra acórdão de turma do Supremo.</w:t>
      </w:r>
    </w:p>
    <w:p>
      <w:pPr>
        <w:ind w:left="288"/>
      </w:pPr>
      <w:r>
        <w:rPr>
          <w:b/>
          <w:color w:val="003CA0"/>
          <w:sz w:val="16"/>
        </w:rPr>
        <w:t>[ARE 729.643 AgR-ED-AgR, rel. min. Marco Aurélio, j. 26-11-2013, 1ª T, DJE de 11-12-2013.]</w:t>
      </w:r>
    </w:p>
    <w:p>
      <w:pPr>
        <w:ind w:left="288"/>
      </w:pPr>
      <w:r>
        <w:rPr>
          <w:color w:val="8C8C8C"/>
          <w:sz w:val="12"/>
        </w:rPr>
        <w:t>cf-art-102</w:t>
      </w:r>
      <w:r>
        <w:rPr>
          <w:color w:val="003CA0"/>
          <w:sz w:val="12"/>
        </w:rPr>
        <w:t xml:space="preserve"> | RCL 5.444</w:t>
      </w:r>
      <w:r>
        <w:rPr>
          <w:color w:val="003CA0"/>
          <w:sz w:val="12"/>
        </w:rPr>
        <w:t xml:space="preserve"> | rel. Marco Aurélio</w:t>
      </w:r>
    </w:p>
    <w:p>
      <w:pPr>
        <w:ind w:left="288"/>
      </w:pPr>
      <w:r>
        <w:rPr>
          <w:color w:val="1E1E1E"/>
          <w:sz w:val="18"/>
        </w:rPr>
        <w:t>O fato de o processo de desapropriação ser precedido de decreto do presidente da República, por meio do qual se declara o imóvel de interesse social e se autoriza a União a intentar a ação respectiva, não atrai a competência do Supremo.</w:t>
      </w:r>
    </w:p>
    <w:p>
      <w:pPr>
        <w:ind w:left="288"/>
      </w:pPr>
      <w:r>
        <w:rPr>
          <w:b/>
          <w:color w:val="003CA0"/>
          <w:sz w:val="16"/>
        </w:rPr>
        <w:t>[Rcl 5.444 MC-AgR, rel. min. Marco Aurélio, j. 9-12-2010, P, DJE de 12-4-2011.]</w:t>
      </w:r>
    </w:p>
    <w:p>
      <w:pPr>
        <w:ind w:left="288"/>
      </w:pPr>
      <w:r>
        <w:rPr>
          <w:color w:val="8C8C8C"/>
          <w:sz w:val="12"/>
        </w:rPr>
        <w:t>cf-art-102</w:t>
      </w:r>
      <w:r>
        <w:rPr>
          <w:color w:val="003CA0"/>
          <w:sz w:val="12"/>
        </w:rPr>
        <w:t xml:space="preserve"> | SS 4.265</w:t>
      </w:r>
      <w:r>
        <w:rPr>
          <w:color w:val="003CA0"/>
          <w:sz w:val="12"/>
        </w:rPr>
        <w:t xml:space="preserve"> | rel. Cezar Peluso</w:t>
      </w:r>
    </w:p>
    <w:p>
      <w:pPr>
        <w:ind w:left="288"/>
      </w:pPr>
      <w:r>
        <w:rPr>
          <w:color w:val="1E1E1E"/>
          <w:sz w:val="18"/>
        </w:rPr>
        <w:t>Liminar concedida em agravo de instrumento inaugura competência do presidente do STF para julgamento de suspensão de segurança relativa às questões constitucionais.</w:t>
      </w:r>
    </w:p>
    <w:p>
      <w:pPr>
        <w:ind w:left="288"/>
      </w:pPr>
      <w:r>
        <w:rPr>
          <w:b/>
          <w:color w:val="003CA0"/>
          <w:sz w:val="16"/>
        </w:rPr>
        <w:t>[SS 4.265 AgR, rel. min. Cezar Peluso, j. 9-12-2010, P, DJE de 11-2-2011.]</w:t>
      </w:r>
    </w:p>
    <w:p>
      <w:pPr>
        <w:ind w:left="288"/>
      </w:pPr>
      <w:r>
        <w:rPr>
          <w:color w:val="8C8C8C"/>
          <w:sz w:val="12"/>
        </w:rPr>
        <w:t>cf-art-102</w:t>
      </w:r>
      <w:r>
        <w:rPr>
          <w:color w:val="003CA0"/>
          <w:sz w:val="12"/>
        </w:rPr>
        <w:t xml:space="preserve"> | SS 4.188</w:t>
      </w:r>
      <w:r>
        <w:rPr>
          <w:color w:val="003CA0"/>
          <w:sz w:val="12"/>
        </w:rPr>
        <w:t xml:space="preserve"> | rel. Cezar Peluso</w:t>
      </w:r>
    </w:p>
    <w:p>
      <w:pPr>
        <w:ind w:left="288"/>
      </w:pPr>
      <w:r>
        <w:rPr>
          <w:color w:val="1E1E1E"/>
          <w:sz w:val="18"/>
        </w:rPr>
        <w:t>Não pode o STF conhecer de renovação de pedido de suspensão formulado ao tribunal de origem, quando não foi ainda julgado o agravo regimental contra seu indeferimento.</w:t>
      </w:r>
    </w:p>
    <w:p>
      <w:pPr>
        <w:ind w:left="288"/>
      </w:pPr>
      <w:r>
        <w:rPr>
          <w:b/>
          <w:color w:val="003CA0"/>
          <w:sz w:val="16"/>
        </w:rPr>
        <w:t>[SS 4.188 AgR, rel. min. Cezar Peluso, j. 16-9-2010, P, DJE de 1º-10-2010.]</w:t>
      </w:r>
    </w:p>
    <w:p>
      <w:pPr>
        <w:ind w:left="288"/>
      </w:pPr>
      <w:r>
        <w:rPr>
          <w:color w:val="8C8C8C"/>
          <w:sz w:val="12"/>
        </w:rPr>
        <w:t>cf-art-102</w:t>
      </w:r>
      <w:r>
        <w:rPr>
          <w:color w:val="003CA0"/>
          <w:sz w:val="12"/>
        </w:rPr>
        <w:t xml:space="preserve"> | RMS 27.920</w:t>
      </w:r>
      <w:r>
        <w:rPr>
          <w:color w:val="003CA0"/>
          <w:sz w:val="12"/>
        </w:rPr>
        <w:t xml:space="preserve"> | rel. Eros Grau</w:t>
      </w:r>
    </w:p>
    <w:p>
      <w:pPr>
        <w:ind w:left="288"/>
      </w:pPr>
      <w:r>
        <w:rPr>
          <w:color w:val="1E1E1E"/>
          <w:sz w:val="18"/>
        </w:rPr>
        <w:t>Os arts. 11 e 22 do Regimento Interno desta Corte dispõem sobre a remessa ao Plenário dos feitos de competência de suas Turmas. É possível às partes solicitar, com fundamento nas hipóteses desses preceitos, a remessa do feito para julgamento do Plenário. O pedido, que será apreciado pela Turma, deve contudo ser formulado antes do início do julgamento.</w:t>
      </w:r>
    </w:p>
    <w:p>
      <w:pPr>
        <w:ind w:left="288"/>
      </w:pPr>
      <w:r>
        <w:rPr>
          <w:b/>
          <w:color w:val="003CA0"/>
          <w:sz w:val="16"/>
        </w:rPr>
        <w:t>[RMS 27.920 QO, rel. min. Eros Grau, j. 6-10-2009, 2ª T, DJE de 4-12-2009.]</w:t>
      </w:r>
    </w:p>
    <w:p>
      <w:pPr>
        <w:ind w:left="288"/>
      </w:pPr>
      <w:r>
        <w:rPr>
          <w:color w:val="8C8C8C"/>
          <w:sz w:val="12"/>
        </w:rPr>
        <w:t>cf-art-102</w:t>
      </w:r>
      <w:r>
        <w:rPr>
          <w:color w:val="003CA0"/>
          <w:sz w:val="12"/>
        </w:rPr>
        <w:t xml:space="preserve"> | HC 91.361</w:t>
      </w:r>
      <w:r>
        <w:rPr>
          <w:color w:val="003CA0"/>
          <w:sz w:val="12"/>
        </w:rPr>
        <w:t xml:space="preserve"> | rel. Celso de Mello</w:t>
      </w:r>
    </w:p>
    <w:p>
      <w:pPr>
        <w:ind w:left="288"/>
      </w:pPr>
      <w:r>
        <w:rPr>
          <w:color w:val="1E1E1E"/>
          <w:sz w:val="18"/>
        </w:rPr>
        <w:t>A interpretação judicial como instrumento de mutação informal da Constituição. A questão dos processos informais de mutação constitucional e o papel do Poder Judiciário: a interpretação judicial como instrumento juridicamente idôneo de mudança informal da Constituição. A legitimidade da adequação, mediante interpretação do Poder Judiciário, da própria Constituição da República, se e quando imperioso compatibilizá-la, mediante exegese atualizadora, com as novas exigências, necessidades e transformações resultantes dos processos sociais, econômicos e políticos que caracterizam, em seus múltiplos</w:t>
      </w:r>
    </w:p>
    <w:p>
      <w:pPr>
        <w:ind w:left="288"/>
      </w:pPr>
      <w:r>
        <w:rPr>
          <w:b/>
          <w:color w:val="003CA0"/>
          <w:sz w:val="16"/>
        </w:rPr>
        <w:t>[HC 91.361, rel. min. Celso de Mello, j. 23-9-2008, 2ª T, DJE de 6-2-2009.]</w:t>
      </w:r>
    </w:p>
    <w:p>
      <w:pPr>
        <w:ind w:left="288"/>
      </w:pPr>
      <w:r>
        <w:rPr>
          <w:color w:val="8C8C8C"/>
          <w:sz w:val="12"/>
        </w:rPr>
        <w:t>cf-art-102</w:t>
      </w:r>
      <w:r>
        <w:rPr>
          <w:color w:val="003CA0"/>
          <w:sz w:val="12"/>
        </w:rPr>
        <w:t xml:space="preserve"> | ADI 3.345</w:t>
      </w:r>
      <w:r>
        <w:rPr>
          <w:color w:val="003CA0"/>
          <w:sz w:val="12"/>
        </w:rPr>
        <w:t xml:space="preserve"> | rel. Celso de Mello</w:t>
      </w:r>
    </w:p>
    <w:p>
      <w:pPr>
        <w:ind w:left="288"/>
      </w:pPr>
      <w:r>
        <w:rPr>
          <w:color w:val="1E1E1E"/>
          <w:sz w:val="18"/>
        </w:rPr>
        <w:t>Vide ADI 3.345, rel. min. Celso de Mello, j. 25-8-2005, P, DJE de 20-8-2010 Petição. Ação civil pública contra decisão do CNJ. Incompetência, em sede originária, do STF. Nos termos do art. 102 e incisos da Magna Carta, esta Suprema Corte não detém competência originária para processar e julgar ações civis públicas.</w:t>
      </w:r>
    </w:p>
    <w:p>
      <w:pPr>
        <w:ind w:left="288"/>
      </w:pPr>
      <w:r>
        <w:rPr>
          <w:b/>
          <w:color w:val="003CA0"/>
          <w:sz w:val="16"/>
        </w:rPr>
        <w:t>[Pet 3.986 AgR, rel. min. Ricardo Lewandowski, j. 25-6-2008, P, DJE de 5-9-2008.]</w:t>
      </w:r>
    </w:p>
    <w:p>
      <w:pPr>
        <w:ind w:left="288"/>
      </w:pPr>
      <w:r>
        <w:rPr>
          <w:color w:val="8C8C8C"/>
          <w:sz w:val="12"/>
        </w:rPr>
        <w:t>cf-art-102</w:t>
      </w:r>
      <w:r>
        <w:rPr>
          <w:color w:val="003CA0"/>
          <w:sz w:val="12"/>
        </w:rPr>
        <w:t xml:space="preserve"> | SS 2.504</w:t>
      </w:r>
      <w:r>
        <w:rPr>
          <w:color w:val="003CA0"/>
          <w:sz w:val="12"/>
        </w:rPr>
        <w:t xml:space="preserve"> | rel. Ellen Gracie</w:t>
      </w:r>
    </w:p>
    <w:p>
      <w:pPr>
        <w:ind w:left="288"/>
      </w:pPr>
      <w:r>
        <w:rPr>
          <w:color w:val="1E1E1E"/>
          <w:sz w:val="18"/>
        </w:rPr>
        <w:t>A determinação da competência do STF para o exame de pedido de suspensão dá-se em face da existência, ou não, de tema de índole constitucional na causa principal, a ensejar, em tese, a futura interposição de recurso extraordinário. (...) Na suspensão de segurança não se aprecia o mérito do processo principal, mas tão somente a ocorrência dos aspectos relacionados à potencialidade lesiva do ato decisório em face dos interesses públicos relevantes consagrados em lei, quais sejam, a ordem, a saúde, a segurança e a economia públicas.</w:t>
      </w:r>
    </w:p>
    <w:p>
      <w:pPr>
        <w:ind w:left="288"/>
      </w:pPr>
      <w:r>
        <w:rPr>
          <w:b/>
          <w:color w:val="003CA0"/>
          <w:sz w:val="16"/>
        </w:rPr>
        <w:t>[SS 2.504 AgR, rel. min. Ellen Gracie, j. 17-3-2008, P, DJE de 2-5-2008.]</w:t>
      </w:r>
    </w:p>
    <w:p>
      <w:pPr>
        <w:ind w:left="288"/>
      </w:pPr>
      <w:r>
        <w:rPr>
          <w:color w:val="8C8C8C"/>
          <w:sz w:val="12"/>
        </w:rPr>
        <w:t>cf-art-102</w:t>
      </w:r>
      <w:r>
        <w:rPr>
          <w:color w:val="003CA0"/>
          <w:sz w:val="12"/>
        </w:rPr>
        <w:t xml:space="preserve"> | SS 4.380</w:t>
      </w:r>
      <w:r>
        <w:rPr>
          <w:color w:val="003CA0"/>
          <w:sz w:val="12"/>
        </w:rPr>
        <w:t xml:space="preserve"> | rel. Joaquim Barbosa</w:t>
      </w:r>
    </w:p>
    <w:p>
      <w:pPr>
        <w:ind w:left="288"/>
      </w:pPr>
      <w:r>
        <w:rPr>
          <w:color w:val="1E1E1E"/>
          <w:sz w:val="18"/>
        </w:rPr>
        <w:t>= SS 4.380 MC-AgR, rel. min. Joaquim Barbosa, j. 18-12-2013, P, DJE de 7-3-2014 Vide SS 3.449 AgR, rel. min. Gilmar Mendes, j. 17-9-2009, P, DJE de 9-10-2009 Julgamento remetido ao Plenário pela Segunda Turma. Conhecimento. É possível ao Plenário apreciar embargos de declaração opostos contra acórdão prolatado por órgão fracionário, quando o processo foi remetido pela turma originalmente competente.</w:t>
      </w:r>
    </w:p>
    <w:p>
      <w:pPr>
        <w:ind w:left="288"/>
      </w:pPr>
      <w:r>
        <w:rPr>
          <w:b/>
          <w:color w:val="003CA0"/>
          <w:sz w:val="16"/>
        </w:rPr>
        <w:t>[RE 328.812 ED, rel. min. Gilmar Mendes, j. 6-3-2008, P, DJE de 2-5-2008.]</w:t>
      </w:r>
    </w:p>
    <w:p>
      <w:pPr>
        <w:ind w:left="288"/>
      </w:pPr>
      <w:r>
        <w:rPr>
          <w:color w:val="8C8C8C"/>
          <w:sz w:val="12"/>
        </w:rPr>
        <w:t>cf-art-102</w:t>
      </w:r>
      <w:r>
        <w:rPr>
          <w:color w:val="003CA0"/>
          <w:sz w:val="12"/>
        </w:rPr>
        <w:t xml:space="preserve"> | SL 129</w:t>
      </w:r>
      <w:r>
        <w:rPr>
          <w:color w:val="003CA0"/>
          <w:sz w:val="12"/>
        </w:rPr>
        <w:t xml:space="preserve"> | rel. Ellen Gracie</w:t>
      </w:r>
    </w:p>
    <w:p>
      <w:pPr>
        <w:ind w:left="288"/>
      </w:pPr>
      <w:r>
        <w:rPr>
          <w:color w:val="1E1E1E"/>
          <w:sz w:val="18"/>
        </w:rPr>
        <w:t>É cabível o pedido de suspensão de liminar deferida por relator, no âmbito dos tribunais, ainda que o poder público não tenha interposto agravo regimental.</w:t>
      </w:r>
    </w:p>
    <w:p>
      <w:pPr>
        <w:ind w:left="288"/>
      </w:pPr>
      <w:r>
        <w:rPr>
          <w:b/>
          <w:color w:val="003CA0"/>
          <w:sz w:val="16"/>
        </w:rPr>
        <w:t>[SL 129 AgR, rel. min. Ellen Gracie, j. 15-12-2006, P, DJ de 4-5-2007.]</w:t>
      </w:r>
    </w:p>
    <w:p>
      <w:pPr>
        <w:ind w:left="288"/>
      </w:pPr>
      <w:r>
        <w:rPr>
          <w:color w:val="8C8C8C"/>
          <w:sz w:val="12"/>
        </w:rPr>
        <w:t>cf-art-102</w:t>
      </w:r>
      <w:r>
        <w:rPr>
          <w:color w:val="003CA0"/>
          <w:sz w:val="12"/>
        </w:rPr>
        <w:t xml:space="preserve"> | SS 2.504</w:t>
      </w:r>
      <w:r>
        <w:rPr>
          <w:color w:val="003CA0"/>
          <w:sz w:val="12"/>
        </w:rPr>
        <w:t xml:space="preserve"> | rel. Ellen Gracie</w:t>
      </w:r>
    </w:p>
    <w:p>
      <w:pPr>
        <w:ind w:left="288"/>
      </w:pPr>
      <w:r>
        <w:rPr>
          <w:color w:val="1E1E1E"/>
          <w:sz w:val="18"/>
        </w:rPr>
        <w:t>= SS 2.504 AgR, rel. min. Ellen Gracie, j. 17-3-2008, P, DJE de 2-5-2008 Tramitação e processamento de representação por quebra de decoro parlamentar. Deputado federal licenciado e investido no cargo de ministro de Estado. Liminar indeferida. (...) Na qualidade de guarda da Constituição, o STF tem a elevada responsabilidade de decidir acerca da juridicidade da ação dos demais Poderes do Estado. No exercício desse mister, deve esta Corte ter sempre em perspectiva a regra de autocontenção que lhe impede de invadir a esfera reservada à decisão política dos dois outros Poderes, bem como o dever de</w:t>
      </w:r>
    </w:p>
    <w:p>
      <w:pPr>
        <w:ind w:left="288"/>
      </w:pPr>
      <w:r>
        <w:rPr>
          <w:b/>
          <w:color w:val="003CA0"/>
          <w:sz w:val="16"/>
        </w:rPr>
        <w:t>[MS 25.579 MC, red do ac. min. Joaquim Barbosa, j. 19-10-2005, P, DJ de 24-8-2007.]</w:t>
      </w:r>
    </w:p>
    <w:p>
      <w:pPr>
        <w:ind w:left="288"/>
      </w:pPr>
      <w:r>
        <w:rPr>
          <w:color w:val="8C8C8C"/>
          <w:sz w:val="12"/>
        </w:rPr>
        <w:t>cf-art-102</w:t>
      </w:r>
      <w:r>
        <w:rPr>
          <w:color w:val="003CA0"/>
          <w:sz w:val="12"/>
        </w:rPr>
        <w:t xml:space="preserve"> | MS 23.920</w:t>
      </w:r>
      <w:r>
        <w:rPr>
          <w:color w:val="003CA0"/>
          <w:sz w:val="12"/>
        </w:rPr>
        <w:t xml:space="preserve"> | rel. Celso de Mello</w:t>
      </w:r>
    </w:p>
    <w:p>
      <w:pPr>
        <w:ind w:left="288"/>
      </w:pPr>
      <w:r>
        <w:rPr>
          <w:color w:val="1E1E1E"/>
          <w:sz w:val="18"/>
        </w:rPr>
        <w:t>Vide MS 23.920 MC, rel. min. Celso de Mello, j. 28-3-2001, dec. monocrática, DJ de 3-4-2001 (...) o Plenário do STF tem reiteradamente advertido que atos emanados dos órgãos de direção das Casas do Congresso Nacional, quando praticados nos estritos limites da competência da autoridade apontada como coatora e desde que apoiados em fundamentos exclusivamente regimentais, sem qualquer conotação de índole jurídico-constitucional, revelam-se imunes ao judicial review, pois – não custa enfatizar – a interpretação incidente sobre normas de índole meramente regimental, por qualificar-se como típica ma</w:t>
      </w:r>
    </w:p>
    <w:p>
      <w:pPr>
        <w:ind w:left="288"/>
      </w:pPr>
      <w:r>
        <w:rPr>
          <w:b/>
          <w:color w:val="003CA0"/>
          <w:sz w:val="16"/>
        </w:rPr>
        <w:t>[MS 23.920 MC, rel. min. Celso de Mello, j. 28-3-2001, dec. monocrática, DJ de 3-4-2001.]</w:t>
      </w:r>
    </w:p>
    <w:p>
      <w:pPr>
        <w:ind w:left="288"/>
      </w:pPr>
      <w:r>
        <w:rPr>
          <w:color w:val="8C8C8C"/>
          <w:sz w:val="12"/>
        </w:rPr>
        <w:t>cf-art-102</w:t>
      </w:r>
      <w:r>
        <w:rPr>
          <w:color w:val="003CA0"/>
          <w:sz w:val="12"/>
        </w:rPr>
        <w:t xml:space="preserve"> | MS 25.579</w:t>
      </w:r>
      <w:r>
        <w:rPr>
          <w:color w:val="003CA0"/>
          <w:sz w:val="12"/>
        </w:rPr>
        <w:t xml:space="preserve"> | rel. Celso de Mello</w:t>
      </w:r>
    </w:p>
    <w:p>
      <w:pPr>
        <w:ind w:left="288"/>
      </w:pPr>
      <w:r>
        <w:rPr>
          <w:color w:val="1E1E1E"/>
          <w:sz w:val="18"/>
        </w:rPr>
        <w:t>Vide MS 25.579 MC, red. do ac. min. Joaquim Barbosa, j. 19-10-2005, P, DJ de 24-8-2007 Não cabem embargos infringentes contra decisão majoritária do Plenário do STF, se tal decisão – embora consubstanciando declaração incidental de inconstitucionalidade – veio a ser proferida em causa diversa daquelas enunciadas, taxativamente, em rol exaustivo (numerus clausus), no art. 333 do RISTF.</w:t>
      </w:r>
    </w:p>
    <w:p>
      <w:pPr>
        <w:ind w:left="288"/>
      </w:pPr>
      <w:r>
        <w:rPr>
          <w:b/>
          <w:color w:val="003CA0"/>
          <w:sz w:val="16"/>
        </w:rPr>
        <w:t>[RE 172.004 EI-AgR, rel. min. Celso de Mello, j. 27-5-1998, P, DJ de 7-8-1998.]</w:t>
      </w:r>
    </w:p>
    <w:p>
      <w:pPr>
        <w:ind w:left="288"/>
      </w:pPr>
      <w:r>
        <w:rPr>
          <w:color w:val="8C8C8C"/>
          <w:sz w:val="12"/>
        </w:rPr>
        <w:t>cf-art-102</w:t>
      </w:r>
      <w:r>
        <w:rPr>
          <w:color w:val="003CA0"/>
          <w:sz w:val="12"/>
        </w:rPr>
        <w:t xml:space="preserve"> | HC 70.274</w:t>
      </w:r>
      <w:r>
        <w:rPr>
          <w:color w:val="003CA0"/>
          <w:sz w:val="12"/>
        </w:rPr>
        <w:t xml:space="preserve"> | rel. Celso de Mello</w:t>
      </w:r>
    </w:p>
    <w:p>
      <w:pPr>
        <w:ind w:left="288"/>
      </w:pPr>
      <w:r>
        <w:rPr>
          <w:color w:val="1E1E1E"/>
          <w:sz w:val="18"/>
        </w:rPr>
        <w:t>Não cabem embargos de divergência contra decisão proferida por turma do STF em habeas corpus, seja em sede de impetração originária (CF, art. 102, I, d e i), seja em sede de recurso ordinário (CF, art. 102, II, a).</w:t>
      </w:r>
    </w:p>
    <w:p>
      <w:pPr>
        <w:ind w:left="288"/>
      </w:pPr>
      <w:r>
        <w:rPr>
          <w:b/>
          <w:color w:val="003CA0"/>
          <w:sz w:val="16"/>
        </w:rPr>
        <w:t>[HC 70.274 ED-EDv-AgR, rel. min. Celso de Mello, j. 25-8-1994, P, DJ de 9-12-1994.]</w:t>
      </w:r>
    </w:p>
    <w:p>
      <w:pPr>
        <w:ind w:left="288"/>
      </w:pPr>
      <w:r>
        <w:rPr>
          <w:color w:val="8C8C8C"/>
          <w:sz w:val="12"/>
        </w:rPr>
        <w:t>cf-art-102</w:t>
      </w:r>
      <w:r>
        <w:rPr>
          <w:color w:val="003CA0"/>
          <w:sz w:val="12"/>
        </w:rPr>
        <w:t xml:space="preserve"> | HC 88.247</w:t>
      </w:r>
      <w:r>
        <w:rPr>
          <w:color w:val="003CA0"/>
          <w:sz w:val="12"/>
        </w:rPr>
        <w:t xml:space="preserve"> | rel. Ellen Gracie</w:t>
      </w:r>
    </w:p>
    <w:p>
      <w:pPr>
        <w:ind w:left="288"/>
      </w:pPr>
      <w:r>
        <w:rPr>
          <w:color w:val="1E1E1E"/>
          <w:sz w:val="18"/>
        </w:rPr>
        <w:t>= HC 88.247 AgR-AgR-EDv-AgR, rel. min. Ellen Gracie, j. 19-8-2010, P, DJE de 22-10-2010</w:t>
      </w:r>
    </w:p>
    <w:p>
      <w:pPr>
        <w:ind w:left="288"/>
      </w:pPr>
      <w:r>
        <w:rPr>
          <w:color w:val="8C8C8C"/>
          <w:sz w:val="12"/>
        </w:rPr>
        <w:t>cf-art-102-inc-I</w:t>
      </w:r>
      <w:r>
        <w:rPr>
          <w:color w:val="003CA0"/>
          <w:sz w:val="12"/>
        </w:rPr>
        <w:t xml:space="preserve"> | AP 1.060</w:t>
      </w:r>
      <w:r>
        <w:rPr>
          <w:color w:val="003CA0"/>
          <w:sz w:val="12"/>
        </w:rPr>
        <w:t xml:space="preserve"> | rel. Alexandre de Moraes</w:t>
      </w:r>
    </w:p>
    <w:p>
      <w:pPr>
        <w:ind w:left="288"/>
      </w:pPr>
      <w:r>
        <w:rPr>
          <w:color w:val="1E1E1E"/>
          <w:sz w:val="18"/>
        </w:rPr>
        <w:t>Competência deste Supremo Tribunal Federal para processamento e julgamento da presente ação penal, em face de evidente conexão entre as condutas denunciadas e aquelas investigadas no âmbito mais abrangente dos procedimentos envolvendo investigados com prerrogativa de foro.</w:t>
      </w:r>
    </w:p>
    <w:p>
      <w:pPr>
        <w:ind w:left="288"/>
      </w:pPr>
      <w:r>
        <w:rPr>
          <w:b/>
          <w:color w:val="003CA0"/>
          <w:sz w:val="16"/>
        </w:rPr>
        <w:t>[AP 1.060, rel. min. Alexandre de Moraes, j. 14.9.2023, P, DJE de 19.2.2024.]</w:t>
      </w:r>
    </w:p>
    <w:p>
      <w:pPr>
        <w:ind w:left="288"/>
      </w:pPr>
      <w:r>
        <w:rPr>
          <w:color w:val="8C8C8C"/>
          <w:sz w:val="12"/>
        </w:rPr>
        <w:t>cf-art-102-inc-I</w:t>
      </w:r>
      <w:r>
        <w:rPr>
          <w:color w:val="003CA0"/>
          <w:sz w:val="12"/>
        </w:rPr>
        <w:t xml:space="preserve"> | RCL 24.686</w:t>
      </w:r>
      <w:r>
        <w:rPr>
          <w:color w:val="003CA0"/>
          <w:sz w:val="12"/>
        </w:rPr>
        <w:t xml:space="preserve"> | rel. Teori Zavascki</w:t>
      </w:r>
    </w:p>
    <w:p>
      <w:pPr>
        <w:ind w:left="288"/>
      </w:pPr>
      <w:r>
        <w:rPr>
          <w:color w:val="1E1E1E"/>
          <w:sz w:val="18"/>
        </w:rPr>
        <w:t>Em se tratando de reclamação para o STF, a interpretação do art. 988, § 5º, II, do CPC/2015 deve ser fundamentalmente teleológica, e não estritamente literal. O esgotamento da instância ordinária, em tais casos, significa o percurso de todo o íter recursal cabível antes do acesso à Suprema Corte. Ou seja, se a decisão reclamada ainda comportar reforma por via de recurso a algum tribunal, inclusive a tribunal superior, não se permitirá acesso à Suprema Corte por via de reclamação.</w:t>
        <w:br/>
        <w:t>[Rcl 24.686 ED-AgR, rel. min. Teori Zavascki, j. 28-10-2016, 2ª T, DJE de 11-4-2017.] De igual forma, não há vulner</w:t>
      </w:r>
    </w:p>
    <w:p>
      <w:pPr>
        <w:ind w:left="288"/>
      </w:pPr>
      <w:r>
        <w:rPr>
          <w:b/>
          <w:color w:val="003CA0"/>
          <w:sz w:val="16"/>
        </w:rPr>
        <w:t>[Inq 3.412 ED, voto da rel. min. Rosa Weber, j. 11-9-2014, P, DJE de 8-10-2014.]</w:t>
      </w:r>
    </w:p>
    <w:p>
      <w:pPr>
        <w:ind w:left="288"/>
      </w:pPr>
      <w:r>
        <w:rPr>
          <w:color w:val="8C8C8C"/>
          <w:sz w:val="12"/>
        </w:rPr>
        <w:t>cf-art-102-inc-I</w:t>
      </w:r>
      <w:r>
        <w:rPr>
          <w:color w:val="003CA0"/>
          <w:sz w:val="12"/>
        </w:rPr>
        <w:t xml:space="preserve"> | AP 470</w:t>
      </w:r>
      <w:r>
        <w:rPr>
          <w:color w:val="003CA0"/>
          <w:sz w:val="12"/>
        </w:rPr>
        <w:t xml:space="preserve"> | rel. Sepúlveda Pertence</w:t>
      </w:r>
    </w:p>
    <w:p>
      <w:pPr>
        <w:ind w:left="288"/>
      </w:pPr>
      <w:r>
        <w:rPr>
          <w:color w:val="1E1E1E"/>
          <w:sz w:val="18"/>
        </w:rPr>
        <w:t>= AP 470 AgR-vigésimo quinto, red do ac. min. Teori Zavascki, j. 18-9-2013, P, DJE de 17-2-2014 = RHC 79.785, rel. min. Sepúlveda Pertence, j. 29-3-2000, P, DJ de 22-11-2002 A competência do Supremo, presente a prerrogativa de função, é de direito estrito. Não a alteram normas processuais comuns, como são as da continência e da conexão.</w:t>
      </w:r>
    </w:p>
    <w:p>
      <w:pPr>
        <w:ind w:left="288"/>
      </w:pPr>
      <w:r>
        <w:rPr>
          <w:b/>
          <w:color w:val="003CA0"/>
          <w:sz w:val="16"/>
        </w:rPr>
        <w:t>[AP 666 AgR, rel. min. Marco Aurélio, j. 13-12-2012, P, DJE de 7-6-2013.]</w:t>
      </w:r>
    </w:p>
    <w:p>
      <w:pPr>
        <w:ind w:left="288"/>
      </w:pPr>
      <w:r>
        <w:rPr>
          <w:color w:val="8C8C8C"/>
          <w:sz w:val="12"/>
        </w:rPr>
        <w:t>cf-art-102-inc-I</w:t>
      </w:r>
      <w:r>
        <w:rPr>
          <w:color w:val="003CA0"/>
          <w:sz w:val="12"/>
        </w:rPr>
        <w:t xml:space="preserve"> | AC 2.473</w:t>
      </w:r>
      <w:r>
        <w:rPr>
          <w:color w:val="003CA0"/>
          <w:sz w:val="12"/>
        </w:rPr>
        <w:t xml:space="preserve"> | rel. Celso de Mello</w:t>
      </w:r>
    </w:p>
    <w:p>
      <w:pPr>
        <w:ind w:left="288"/>
      </w:pPr>
      <w:r>
        <w:rPr>
          <w:color w:val="1E1E1E"/>
          <w:sz w:val="18"/>
        </w:rPr>
        <w:t>Não cabe, ao STF, por absoluta falta de competência originária, outorgar eficácia suspensiva a embargos de declaração, que, opostos a acórdão proferido em sede de recurso especial eleitoral, sequer foram julgados pelo próprio TSE.</w:t>
      </w:r>
    </w:p>
    <w:p>
      <w:pPr>
        <w:ind w:left="288"/>
      </w:pPr>
      <w:r>
        <w:rPr>
          <w:b/>
          <w:color w:val="003CA0"/>
          <w:sz w:val="16"/>
        </w:rPr>
        <w:t>[AC 2.473 MC-QO, rel. min. Celso de Mello, j. 20-10-2009, 2ª T, DJE de 27-11-2009.]</w:t>
      </w:r>
    </w:p>
    <w:p>
      <w:pPr>
        <w:ind w:left="288"/>
      </w:pPr>
      <w:r>
        <w:rPr>
          <w:color w:val="8C8C8C"/>
          <w:sz w:val="12"/>
        </w:rPr>
        <w:t>cf-art-102-inc-I</w:t>
      </w:r>
      <w:r>
        <w:rPr>
          <w:color w:val="003CA0"/>
          <w:sz w:val="12"/>
        </w:rPr>
        <w:t xml:space="preserve"> | HC 100.231</w:t>
      </w:r>
      <w:r>
        <w:rPr>
          <w:color w:val="003CA0"/>
          <w:sz w:val="12"/>
        </w:rPr>
        <w:t xml:space="preserve"> | rel. Celso de Mello</w:t>
      </w:r>
    </w:p>
    <w:p>
      <w:pPr>
        <w:ind w:left="288"/>
      </w:pPr>
      <w:r>
        <w:rPr>
          <w:color w:val="1E1E1E"/>
          <w:sz w:val="18"/>
        </w:rPr>
        <w:t>Inadmissível, também, converter-se esta ação de habeas corpus em ação popular constitucional, como pretende, alternativamente, o ora impetrante. É que, mesmo que viável tal conversão (como sustentado pelo ora impetrante), subsistiria, ainda assim, a falta de competência originária do STF para apreciar a presente causa. Como se sabe, a CF de 1988 – observando uma tradição que se inaugurou com a Carta Política de 1934 – não incluiu o julgamento da ação popular na esfera das atribuições jurisdicionais originárias da Suprema Corte. Na realidade, a previsão de ação popular não se subsume a qualquer</w:t>
      </w:r>
    </w:p>
    <w:p>
      <w:pPr>
        <w:ind w:left="288"/>
      </w:pPr>
      <w:r>
        <w:rPr>
          <w:b/>
          <w:color w:val="003CA0"/>
          <w:sz w:val="16"/>
        </w:rPr>
        <w:t>[HC 100.231 MC, rel. min. Celso de Mello, j. 7-8-2009, dec. monocrática, DJE de 4-9-2009.]</w:t>
      </w:r>
    </w:p>
    <w:p>
      <w:pPr>
        <w:ind w:left="288"/>
      </w:pPr>
      <w:r>
        <w:rPr>
          <w:color w:val="8C8C8C"/>
          <w:sz w:val="12"/>
        </w:rPr>
        <w:t>cf-art-102-inc-I</w:t>
      </w:r>
      <w:r>
        <w:rPr>
          <w:color w:val="003CA0"/>
          <w:sz w:val="12"/>
        </w:rPr>
        <w:t xml:space="preserve"> | HC 91.595</w:t>
      </w:r>
      <w:r>
        <w:rPr>
          <w:color w:val="003CA0"/>
          <w:sz w:val="12"/>
        </w:rPr>
        <w:t xml:space="preserve"> | rel. Marco Aurélio</w:t>
      </w:r>
    </w:p>
    <w:p>
      <w:pPr>
        <w:ind w:left="288"/>
      </w:pPr>
      <w:r>
        <w:rPr>
          <w:color w:val="1E1E1E"/>
          <w:sz w:val="18"/>
        </w:rPr>
        <w:t>Habeas corpus. Liminar. Impugnação a ato de integrante do Supremo. Atribuição. Ombreando, no ofício judicante, o relator do habeas e o autor do ato atacado, cumpre ao Plenário do Supremo examinar o pedido de concessão de medida acauteladora.</w:t>
      </w:r>
    </w:p>
    <w:p>
      <w:pPr>
        <w:ind w:left="288"/>
      </w:pPr>
      <w:r>
        <w:rPr>
          <w:b/>
          <w:color w:val="003CA0"/>
          <w:sz w:val="16"/>
        </w:rPr>
        <w:t>[HC 91.595 MC, rel. min. Marco Aurélio, j. 21-6-2007, P, DJ de 11-10-2007.]</w:t>
      </w:r>
    </w:p>
    <w:p>
      <w:pPr>
        <w:ind w:left="288"/>
      </w:pPr>
      <w:r>
        <w:rPr>
          <w:color w:val="8C8C8C"/>
          <w:sz w:val="12"/>
        </w:rPr>
        <w:t>cf-art-102-inc-I</w:t>
      </w:r>
      <w:r>
        <w:rPr>
          <w:color w:val="003CA0"/>
          <w:sz w:val="12"/>
        </w:rPr>
        <w:t xml:space="preserve"> | PET 1.738</w:t>
      </w:r>
      <w:r>
        <w:rPr>
          <w:color w:val="003CA0"/>
          <w:sz w:val="12"/>
        </w:rPr>
        <w:t xml:space="preserve"> | rel. Celso de Mello</w:t>
      </w:r>
    </w:p>
    <w:p>
      <w:pPr>
        <w:ind w:left="288"/>
      </w:pPr>
      <w:r>
        <w:rPr>
          <w:color w:val="1E1E1E"/>
          <w:sz w:val="18"/>
        </w:rPr>
        <w:t xml:space="preserve">O regime de direito estrito, a que se submete a definição dessa competência institucional, tem levado o STF, por efeito da taxatividade do rol constante da Carta Política, a afastar, do âmbito de suas atribuições jurisdicionais originárias, o processo e o julgamento de causas de natureza civil que não se acham inscritas no texto constitucional (ações populares, ações civis públicas, ações cautelares, ações ordinárias, ações declaratórias e medidas cautelares), mesmo que instauradas contra o presidente da República ou contra qualquer das autoridades, que, em matéria penal (CF, art. 102, I, b e </w:t>
      </w:r>
    </w:p>
    <w:p>
      <w:pPr>
        <w:ind w:left="288"/>
      </w:pPr>
      <w:r>
        <w:rPr>
          <w:b/>
          <w:color w:val="003CA0"/>
          <w:sz w:val="16"/>
        </w:rPr>
        <w:t>[Pet 1.738 AgR, rel. min. Celso de Mello, j. 1º-9-1999, P, DJ de 1º-10-1999.]</w:t>
      </w:r>
    </w:p>
    <w:p>
      <w:pPr>
        <w:ind w:left="288"/>
      </w:pPr>
      <w:r>
        <w:rPr>
          <w:color w:val="8C8C8C"/>
          <w:sz w:val="12"/>
        </w:rPr>
        <w:t>cf-art-102-inc-I</w:t>
      </w:r>
      <w:r>
        <w:rPr>
          <w:color w:val="003CA0"/>
          <w:sz w:val="12"/>
        </w:rPr>
        <w:t xml:space="preserve"> | PET 4.223</w:t>
      </w:r>
      <w:r>
        <w:rPr>
          <w:color w:val="003CA0"/>
          <w:sz w:val="12"/>
        </w:rPr>
        <w:t xml:space="preserve"> | rel. Cezar Peluso</w:t>
      </w:r>
    </w:p>
    <w:p>
      <w:pPr>
        <w:ind w:left="288"/>
      </w:pPr>
      <w:r>
        <w:rPr>
          <w:color w:val="1E1E1E"/>
          <w:sz w:val="18"/>
        </w:rPr>
        <w:t>= Pet 4.223 AgR, rel. min. Cezar Peluso, j. 18-8-2010, P, DJE de 2-2-2011</w:t>
      </w:r>
    </w:p>
    <w:p>
      <w:pPr>
        <w:ind w:left="144"/>
      </w:pPr>
      <w:r>
        <w:rPr>
          <w:b/>
          <w:color w:val="B45A00"/>
          <w:sz w:val="16"/>
        </w:rPr>
        <w:t>SUMULA</w:t>
      </w:r>
    </w:p>
    <w:p>
      <w:pPr>
        <w:ind w:left="288"/>
      </w:pPr>
      <w:r>
        <w:rPr>
          <w:color w:val="8C8C8C"/>
          <w:sz w:val="12"/>
        </w:rPr>
        <w:t>cf-art-102-inc-I-ali-a</w:t>
      </w:r>
    </w:p>
    <w:p>
      <w:pPr>
        <w:ind w:left="288"/>
      </w:pPr>
      <w:r>
        <w:rPr>
          <w:color w:val="1E1E1E"/>
          <w:sz w:val="18"/>
        </w:rPr>
        <w:t>Não cabe ação direta de inconstitucionalidade de lei do Distrito Federal derivada da sua competência legislativa municipal.</w:t>
      </w:r>
    </w:p>
    <w:p>
      <w:pPr>
        <w:ind w:left="288"/>
      </w:pPr>
      <w:r>
        <w:rPr>
          <w:b/>
          <w:color w:val="003CA0"/>
          <w:sz w:val="16"/>
        </w:rPr>
        <w:t>[Súmula 642.]</w:t>
      </w:r>
    </w:p>
    <w:p>
      <w:pPr>
        <w:ind w:left="144"/>
      </w:pPr>
      <w:r>
        <w:rPr>
          <w:b/>
          <w:color w:val="B45A00"/>
          <w:sz w:val="16"/>
        </w:rPr>
        <w:t>CONTROLE CONCENTRADO</w:t>
      </w:r>
    </w:p>
    <w:p>
      <w:pPr>
        <w:ind w:left="288"/>
      </w:pPr>
      <w:r>
        <w:rPr>
          <w:color w:val="8C8C8C"/>
          <w:sz w:val="12"/>
        </w:rPr>
        <w:t>cf-art-102-inc-I-ali-a</w:t>
      </w:r>
      <w:r>
        <w:rPr>
          <w:color w:val="003CA0"/>
          <w:sz w:val="12"/>
        </w:rPr>
        <w:t xml:space="preserve"> | ADI 6.362</w:t>
      </w:r>
      <w:r>
        <w:rPr>
          <w:color w:val="003CA0"/>
          <w:sz w:val="12"/>
        </w:rPr>
        <w:t xml:space="preserve"> | rel. Ricardo Lewandowski</w:t>
      </w:r>
    </w:p>
    <w:p>
      <w:pPr>
        <w:ind w:left="288"/>
      </w:pPr>
      <w:r>
        <w:rPr>
          <w:color w:val="1E1E1E"/>
          <w:sz w:val="18"/>
        </w:rPr>
        <w:t>(...) não há impedimento nem suspeição no julgamento de ações de controle concentrado de normas, exceto se o próprio ministro indicar razões de foro íntimo.</w:t>
        <w:br/>
        <w:t xml:space="preserve">[ADI 6.362, rel. min. Ricardo Lewandowski, j. 2-9-2020, P, DJE de 9-12-2020] </w:t>
        <w:br/>
        <w:t>Vide: ADI 2.321 MC, rel. min. Celso de Mello, j. 25-10-2000, P, DJ de 10-6-2005 Ausente alteração substancial no conteúdo do ato normativo questionado, superveniente alteração meramente redacional não implica prejuízo ao exame do mérito.</w:t>
      </w:r>
    </w:p>
    <w:p>
      <w:pPr>
        <w:ind w:left="288"/>
      </w:pPr>
      <w:r>
        <w:rPr>
          <w:b/>
          <w:color w:val="003CA0"/>
          <w:sz w:val="16"/>
        </w:rPr>
        <w:t>[ADI 3.534, rel. min. Marco Aurélio, j. 10-10-2019, P, DJE de 24-10-2019.]</w:t>
      </w:r>
    </w:p>
    <w:p>
      <w:pPr>
        <w:ind w:left="288"/>
      </w:pPr>
      <w:r>
        <w:rPr>
          <w:color w:val="8C8C8C"/>
          <w:sz w:val="12"/>
        </w:rPr>
        <w:t>cf-art-102-inc-I-ali-a</w:t>
      </w:r>
      <w:r>
        <w:rPr>
          <w:color w:val="003CA0"/>
          <w:sz w:val="12"/>
        </w:rPr>
        <w:t xml:space="preserve"> | ADI 3.659</w:t>
      </w:r>
      <w:r>
        <w:rPr>
          <w:color w:val="003CA0"/>
          <w:sz w:val="12"/>
        </w:rPr>
        <w:t xml:space="preserve"> | rel. Alexandre de Moraes</w:t>
      </w:r>
    </w:p>
    <w:p>
      <w:pPr>
        <w:ind w:left="288"/>
      </w:pPr>
      <w:r>
        <w:rPr>
          <w:color w:val="1E1E1E"/>
          <w:sz w:val="18"/>
        </w:rPr>
        <w:t>Coexistindo ações diretas de inconstitucionalidade de um mesmo preceito normativo estadual, a decisão proferida pelo Tribunal de Justiça somente prejudicará a que está em curso perante o STF se for pela procedência e desde que a inconstitucionalidade seja por incompatibilidade com dispositivo constitucional estadual tipicamente estadual (= sem similar na Constituição Federal). Havendo declaração de inconstitucionalidade de preceito normativo estadual pelo Tribunal de Justiça com base em norma constitucional estadual que constitua reprodução (obrigatória ou não) de dispositivo da Constituição F</w:t>
      </w:r>
    </w:p>
    <w:p>
      <w:pPr>
        <w:ind w:left="288"/>
      </w:pPr>
      <w:r>
        <w:rPr>
          <w:b/>
          <w:color w:val="003CA0"/>
          <w:sz w:val="16"/>
        </w:rPr>
        <w:t>[ADI 3.659, rel. min. Alexandre de Moraes, j. 13-12-2018, P, DJE de 8-5-2019.]</w:t>
      </w:r>
    </w:p>
    <w:p>
      <w:pPr>
        <w:ind w:left="288"/>
      </w:pPr>
      <w:r>
        <w:rPr>
          <w:color w:val="8C8C8C"/>
          <w:sz w:val="12"/>
        </w:rPr>
        <w:t>cf-art-102-inc-I-ali-a</w:t>
      </w:r>
      <w:r>
        <w:rPr>
          <w:color w:val="003CA0"/>
          <w:sz w:val="12"/>
        </w:rPr>
        <w:t xml:space="preserve"> | ADI 2.087</w:t>
      </w:r>
      <w:r>
        <w:rPr>
          <w:color w:val="003CA0"/>
          <w:sz w:val="12"/>
        </w:rPr>
        <w:t xml:space="preserve"> | rel. Dias Toffoli</w:t>
      </w:r>
    </w:p>
    <w:p>
      <w:pPr>
        <w:ind w:left="288"/>
      </w:pPr>
      <w:r>
        <w:rPr>
          <w:color w:val="1E1E1E"/>
          <w:sz w:val="18"/>
        </w:rPr>
        <w:t>Substancial alteração do parâmetro de controle. Posicionamento da Corte no sentido de aceitar, em casos excepcionais, o conhecimento da ação, com vistas à máxima efetividade da jurisdição constitucional, ante a constatação de que a inconstitucionalidade persiste e é atual</w:t>
        <w:br/>
        <w:t>[ADI 2.087, rel. min. Dias Toffoli, j. 12-4-2018, P, DJE de 8-5-2018.] A causa de pedir aberta das ações do controle concentrado de constitucionalidade torna desnecessário o ajuizamento de nova ação direta para a impugnação de norma cuja constitucionalidade já é discutida em ação direta em trâmite perante o STF, proposta pela</w:t>
      </w:r>
    </w:p>
    <w:p>
      <w:pPr>
        <w:ind w:left="288"/>
      </w:pPr>
      <w:r>
        <w:rPr>
          <w:b/>
          <w:color w:val="003CA0"/>
          <w:sz w:val="16"/>
        </w:rPr>
        <w:t>[ADI 5.749 AgR, rel. min. Alexandre de Moraes, j. 9-2-2018, P, DJE de 26-2-2018.]</w:t>
      </w:r>
    </w:p>
    <w:p>
      <w:pPr>
        <w:ind w:left="288"/>
      </w:pPr>
      <w:r>
        <w:rPr>
          <w:color w:val="8C8C8C"/>
          <w:sz w:val="12"/>
        </w:rPr>
        <w:t>cf-art-102-inc-I-ali-a</w:t>
      </w:r>
      <w:r>
        <w:rPr>
          <w:color w:val="003CA0"/>
          <w:sz w:val="12"/>
        </w:rPr>
        <w:t xml:space="preserve"> | ADI 3.111</w:t>
      </w:r>
      <w:r>
        <w:rPr>
          <w:color w:val="003CA0"/>
          <w:sz w:val="12"/>
        </w:rPr>
        <w:t xml:space="preserve"> | rel. Alexandre de Moraes</w:t>
      </w:r>
    </w:p>
    <w:p>
      <w:pPr>
        <w:ind w:left="288"/>
      </w:pPr>
      <w:r>
        <w:rPr>
          <w:color w:val="1E1E1E"/>
          <w:sz w:val="18"/>
        </w:rPr>
        <w:t>O efeito repristinatório da declaração de inconstitucionalidade não revigora a vigência de normas pré-constitucionais, não havendo óbice ao conhecimento de ação direta que se limita a impugnar parte de cadeia normativa editada após a CF/1988 (...).</w:t>
      </w:r>
    </w:p>
    <w:p>
      <w:pPr>
        <w:ind w:left="288"/>
      </w:pPr>
      <w:r>
        <w:rPr>
          <w:b/>
          <w:color w:val="003CA0"/>
          <w:sz w:val="16"/>
        </w:rPr>
        <w:t>[ADI 3.111, rel. min. Alexandre de Moraes, j. 30-6-2017, P, DJE de 8-8-2017.]</w:t>
      </w:r>
    </w:p>
    <w:p>
      <w:pPr>
        <w:ind w:left="288"/>
      </w:pPr>
      <w:r>
        <w:rPr>
          <w:color w:val="8C8C8C"/>
          <w:sz w:val="12"/>
        </w:rPr>
        <w:t>cf-art-102-inc-I-ali-a</w:t>
      </w:r>
      <w:r>
        <w:rPr>
          <w:color w:val="003CA0"/>
          <w:sz w:val="12"/>
        </w:rPr>
        <w:t xml:space="preserve"> | ADI 2.361</w:t>
      </w:r>
      <w:r>
        <w:rPr>
          <w:color w:val="003CA0"/>
          <w:sz w:val="12"/>
        </w:rPr>
        <w:t xml:space="preserve"> | rel. Marco Aurélio</w:t>
      </w:r>
    </w:p>
    <w:p>
      <w:pPr>
        <w:ind w:left="288"/>
      </w:pPr>
      <w:r>
        <w:rPr>
          <w:color w:val="1E1E1E"/>
          <w:sz w:val="18"/>
        </w:rPr>
        <w:t>Uma vez constatada a instauração simultânea de processos nas jurisdições constitucionais estadual e federal, a solução é a suspensão da representação de inconstitucionalidade em curso no tribunal de justiça local, que, após a decisão do Supremo na ação direta, poderá ter prosseguimento, se não ficar prejudicada.</w:t>
        <w:br/>
        <w:t>[ADI 2.361, voto do rel. min. Marco Aurélio, j. 24-9-2014, P, DJE de 23-10-2014.] (...) mostra-se inviável a arguição de preceito fundamental, quando se tratar (...) de decisões transitadas em julgado ou quando se cuidar de efeitos decorrentes da coisa julgada (...). (...) a arguição d</w:t>
      </w:r>
    </w:p>
    <w:p>
      <w:pPr>
        <w:ind w:left="288"/>
      </w:pPr>
      <w:r>
        <w:rPr>
          <w:b/>
          <w:color w:val="003CA0"/>
          <w:sz w:val="16"/>
        </w:rPr>
        <w:t>[ADPF 249 AgR, voto do rel. min. Celso de Mello, j. 13-8-2014, P, DJE de 1º-9-2014.]</w:t>
      </w:r>
    </w:p>
    <w:p>
      <w:pPr>
        <w:ind w:left="288"/>
      </w:pPr>
      <w:r>
        <w:rPr>
          <w:color w:val="8C8C8C"/>
          <w:sz w:val="12"/>
        </w:rPr>
        <w:t>cf-art-102-inc-I-ali-a</w:t>
      </w:r>
      <w:r>
        <w:rPr>
          <w:color w:val="003CA0"/>
          <w:sz w:val="12"/>
        </w:rPr>
        <w:t xml:space="preserve"> | ADI 3.341</w:t>
      </w:r>
      <w:r>
        <w:rPr>
          <w:color w:val="003CA0"/>
          <w:sz w:val="12"/>
        </w:rPr>
        <w:t xml:space="preserve"> | rel. Ricardo Lewandowski</w:t>
      </w:r>
    </w:p>
    <w:p>
      <w:pPr>
        <w:ind w:left="288"/>
      </w:pPr>
      <w:r>
        <w:rPr>
          <w:color w:val="1E1E1E"/>
          <w:sz w:val="18"/>
        </w:rPr>
        <w:t>A natureza híbrida do Distrito Federal não afasta a competência desta Corte para exercer o controle concentrado de normas que tratam sobre a organização de pessoal, pois nesta seara é impossível distinguir se sua natureza é municipal ou estadual.</w:t>
      </w:r>
    </w:p>
    <w:p>
      <w:pPr>
        <w:ind w:left="288"/>
      </w:pPr>
      <w:r>
        <w:rPr>
          <w:b/>
          <w:color w:val="003CA0"/>
          <w:sz w:val="16"/>
        </w:rPr>
        <w:t>[ADI 3.341, rel. min. Ricardo Lewandowski, j. 29-5-2014, P, DJE de 1º-7-2014.]</w:t>
      </w:r>
    </w:p>
    <w:p>
      <w:pPr>
        <w:ind w:left="288"/>
      </w:pPr>
      <w:r>
        <w:rPr>
          <w:color w:val="8C8C8C"/>
          <w:sz w:val="12"/>
        </w:rPr>
        <w:t>cf-art-102-inc-I-ali-a</w:t>
      </w:r>
      <w:r>
        <w:rPr>
          <w:color w:val="003CA0"/>
          <w:sz w:val="12"/>
        </w:rPr>
        <w:t xml:space="preserve"> | ADI 3.147</w:t>
      </w:r>
      <w:r>
        <w:rPr>
          <w:color w:val="003CA0"/>
          <w:sz w:val="12"/>
        </w:rPr>
        <w:t xml:space="preserve"> | rel. Teori Zavascki</w:t>
      </w:r>
    </w:p>
    <w:p>
      <w:pPr>
        <w:ind w:left="288"/>
      </w:pPr>
      <w:r>
        <w:rPr>
          <w:color w:val="1E1E1E"/>
          <w:sz w:val="18"/>
        </w:rPr>
        <w:t>A derrogação do ato normativo originalmente atacado (Decreto 11.435/2004 do Estado do Piauí) não impede a formulação de juízo de inconstitucionalidade do ato superveniente com semelhante conteúdo (Decreto 11.248/2006) (...).</w:t>
      </w:r>
    </w:p>
    <w:p>
      <w:pPr>
        <w:ind w:left="288"/>
      </w:pPr>
      <w:r>
        <w:rPr>
          <w:b/>
          <w:color w:val="003CA0"/>
          <w:sz w:val="16"/>
        </w:rPr>
        <w:t>[ADI 3.147 ED, rel. min. Teori Zavascki, j. 28-5-2014, P, DJE de 13-6-2014.]</w:t>
      </w:r>
    </w:p>
    <w:p>
      <w:pPr>
        <w:ind w:left="288"/>
      </w:pPr>
      <w:r>
        <w:rPr>
          <w:color w:val="8C8C8C"/>
          <w:sz w:val="12"/>
        </w:rPr>
        <w:t>cf-art-102-inc-I-ali-a</w:t>
      </w:r>
      <w:r>
        <w:rPr>
          <w:color w:val="003CA0"/>
          <w:sz w:val="12"/>
        </w:rPr>
        <w:t xml:space="preserve"> | ADI 4.430</w:t>
      </w:r>
      <w:r>
        <w:rPr>
          <w:color w:val="003CA0"/>
          <w:sz w:val="12"/>
        </w:rPr>
        <w:t xml:space="preserve"> | rel. Dias Toffoli</w:t>
      </w:r>
    </w:p>
    <w:p>
      <w:pPr>
        <w:ind w:left="288"/>
      </w:pPr>
      <w:r>
        <w:rPr>
          <w:color w:val="1E1E1E"/>
          <w:sz w:val="18"/>
        </w:rPr>
        <w:t>O STF está autorizado a apreciar a inconstitucionalidade de dada norma, ainda que seja para dela extrair interpretação conforme à CF, com a finalidade de fazer incidir conteúdo normativo constitucional dotado de carga cogente cuja produção de efeitos independa de intermediação legislativa.</w:t>
      </w:r>
    </w:p>
    <w:p>
      <w:pPr>
        <w:ind w:left="288"/>
      </w:pPr>
      <w:r>
        <w:rPr>
          <w:b/>
          <w:color w:val="003CA0"/>
          <w:sz w:val="16"/>
        </w:rPr>
        <w:t>[ADI 4.430, rel. min. Dias Toffoli, j. 29-6-2012, P, DJE de 19-9-2013.]</w:t>
      </w:r>
    </w:p>
    <w:p>
      <w:pPr>
        <w:ind w:left="288"/>
      </w:pPr>
      <w:r>
        <w:rPr>
          <w:color w:val="8C8C8C"/>
          <w:sz w:val="12"/>
        </w:rPr>
        <w:t>cf-art-102-inc-I-ali-a</w:t>
      </w:r>
      <w:r>
        <w:rPr>
          <w:color w:val="003CA0"/>
          <w:sz w:val="12"/>
        </w:rPr>
        <w:t xml:space="preserve"> | ADI 1.822</w:t>
      </w:r>
      <w:r>
        <w:rPr>
          <w:color w:val="003CA0"/>
          <w:sz w:val="12"/>
        </w:rPr>
        <w:t xml:space="preserve"> | rel. Moreira Alves</w:t>
      </w:r>
    </w:p>
    <w:p>
      <w:pPr>
        <w:ind w:left="288"/>
      </w:pPr>
      <w:r>
        <w:rPr>
          <w:color w:val="1E1E1E"/>
          <w:sz w:val="18"/>
        </w:rPr>
        <w:t>Vide ADI 1.822, rel. min. Moreira Alves, j. 26-6-1998, P, DJ de 10-12-1999 Vide ADI 956, rel. min. Francisco Rezek, j. 1º-7-2004, P, DJ de 20-4-2001 Quando, no julgamento de mérito desta ou daquela controvérsia, o STF deixa de se pronunciar acerca da eficácia temporal do julgado, é de se presumir que o Tribunal deu pela ausência de razões de segurança jurídica ou de interesse social. Presunção, porém, que apenas se torna absoluta com o trânsito em julgado da ação direta. O STF, ao tomar conhecimento, em sede de embargos de declaração (antes, portanto, do trânsito em julgado de sua decisão), de</w:t>
      </w:r>
    </w:p>
    <w:p>
      <w:pPr>
        <w:ind w:left="288"/>
      </w:pPr>
      <w:r>
        <w:rPr>
          <w:b/>
          <w:color w:val="003CA0"/>
          <w:sz w:val="16"/>
        </w:rPr>
        <w:t>[ADI 2.797 ED, red. do ac. min. Ayres Britto, j. 16-5-2012, P, DJE de 28-2-2013.]</w:t>
      </w:r>
    </w:p>
    <w:p>
      <w:pPr>
        <w:ind w:left="288"/>
      </w:pPr>
      <w:r>
        <w:rPr>
          <w:color w:val="8C8C8C"/>
          <w:sz w:val="12"/>
        </w:rPr>
        <w:t>cf-art-102-inc-I-ali-a</w:t>
      </w:r>
      <w:r>
        <w:rPr>
          <w:color w:val="003CA0"/>
          <w:sz w:val="12"/>
        </w:rPr>
        <w:t xml:space="preserve"> | ADI 4.163</w:t>
      </w:r>
      <w:r>
        <w:rPr>
          <w:color w:val="003CA0"/>
          <w:sz w:val="12"/>
        </w:rPr>
        <w:t xml:space="preserve"> | rel. Cezar Peluso</w:t>
      </w:r>
    </w:p>
    <w:p>
      <w:pPr>
        <w:ind w:left="288"/>
      </w:pPr>
      <w:r>
        <w:rPr>
          <w:color w:val="1E1E1E"/>
          <w:sz w:val="18"/>
        </w:rPr>
        <w:t>Embora adotado o rito previsto no art. 10 da Lei 9.868, de 10 de novembro de 1999, ao processo de ação direta de inconstitucionalidade ou de descumprimento de preceito fundamental, pode o STF julgar a causa, desde logo, em termos definitivos, se, nessa fase processual, já tiverem sido exaustivas as manifestações de todos os intervenientes, necessários e facultativos admitidos.</w:t>
      </w:r>
    </w:p>
    <w:p>
      <w:pPr>
        <w:ind w:left="288"/>
      </w:pPr>
      <w:r>
        <w:rPr>
          <w:b/>
          <w:color w:val="003CA0"/>
          <w:sz w:val="16"/>
        </w:rPr>
        <w:t>[ADI 4.163, rel. min. Cezar Peluso, j. 29-2-2012, P, DJE de 1º-3-2013.]</w:t>
      </w:r>
    </w:p>
    <w:p>
      <w:pPr>
        <w:ind w:left="288"/>
      </w:pPr>
      <w:r>
        <w:rPr>
          <w:color w:val="8C8C8C"/>
          <w:sz w:val="12"/>
        </w:rPr>
        <w:t>cf-art-102-inc-I-ali-a</w:t>
      </w:r>
      <w:r>
        <w:rPr>
          <w:color w:val="003CA0"/>
          <w:sz w:val="12"/>
        </w:rPr>
        <w:t xml:space="preserve"> | ADI 3.306</w:t>
      </w:r>
      <w:r>
        <w:rPr>
          <w:color w:val="003CA0"/>
          <w:sz w:val="12"/>
        </w:rPr>
        <w:t xml:space="preserve"> | rel. Gilmar Mendes</w:t>
      </w:r>
    </w:p>
    <w:p>
      <w:pPr>
        <w:ind w:left="288"/>
      </w:pPr>
      <w:r>
        <w:rPr>
          <w:color w:val="1E1E1E"/>
          <w:sz w:val="18"/>
        </w:rPr>
        <w:t>Configurada a fraude processual com a revogação dos atos normativos impugnados na ação direta, o curso procedimental e o julgamento final da ação não ficam prejudicados.</w:t>
      </w:r>
    </w:p>
    <w:p>
      <w:pPr>
        <w:ind w:left="288"/>
      </w:pPr>
      <w:r>
        <w:rPr>
          <w:b/>
          <w:color w:val="003CA0"/>
          <w:sz w:val="16"/>
        </w:rPr>
        <w:t>[ADI 3.306, rel. min. Gilmar Mendes, j. 17-3-2011, P, DJE de 7-6-2011.]</w:t>
      </w:r>
    </w:p>
    <w:p>
      <w:pPr>
        <w:ind w:left="288"/>
      </w:pPr>
      <w:r>
        <w:rPr>
          <w:color w:val="8C8C8C"/>
          <w:sz w:val="12"/>
        </w:rPr>
        <w:t>cf-art-102-inc-I-ali-a</w:t>
      </w:r>
      <w:r>
        <w:rPr>
          <w:color w:val="003CA0"/>
          <w:sz w:val="12"/>
        </w:rPr>
        <w:t xml:space="preserve"> | ADI 4.364</w:t>
      </w:r>
      <w:r>
        <w:rPr>
          <w:color w:val="003CA0"/>
          <w:sz w:val="12"/>
        </w:rPr>
        <w:t xml:space="preserve"> | rel. Dias Toffoli</w:t>
      </w:r>
    </w:p>
    <w:p>
      <w:pPr>
        <w:ind w:left="288"/>
      </w:pPr>
      <w:r>
        <w:rPr>
          <w:color w:val="1E1E1E"/>
          <w:sz w:val="18"/>
        </w:rPr>
        <w:t>A exigência de pertinência temática não impede, quando o vício de inconstitucionalidade for idêntico para todos os seus destinatários, o amplo conhecimento da ação nem a declaração de inconstitucionalidade da norma para além do âmbito dos indivíduos representados pela entidade requerente.</w:t>
      </w:r>
    </w:p>
    <w:p>
      <w:pPr>
        <w:ind w:left="288"/>
      </w:pPr>
      <w:r>
        <w:rPr>
          <w:b/>
          <w:color w:val="003CA0"/>
          <w:sz w:val="16"/>
        </w:rPr>
        <w:t>[ADI 4.364, rel. min. Dias Toffoli, j. 2-3-2011, P, DJE de 16-5-2011.]</w:t>
      </w:r>
    </w:p>
    <w:p>
      <w:pPr>
        <w:ind w:left="288"/>
      </w:pPr>
      <w:r>
        <w:rPr>
          <w:color w:val="8C8C8C"/>
          <w:sz w:val="12"/>
        </w:rPr>
        <w:t>cf-art-102-inc-I-ali-a</w:t>
      </w:r>
      <w:r>
        <w:rPr>
          <w:color w:val="003CA0"/>
          <w:sz w:val="12"/>
        </w:rPr>
        <w:t xml:space="preserve"> | ADI 3.710</w:t>
      </w:r>
      <w:r>
        <w:rPr>
          <w:color w:val="003CA0"/>
          <w:sz w:val="12"/>
        </w:rPr>
        <w:t xml:space="preserve"> | rel. Joaquim Barbosa</w:t>
      </w:r>
    </w:p>
    <w:p>
      <w:pPr>
        <w:ind w:left="288"/>
      </w:pPr>
      <w:r>
        <w:rPr>
          <w:color w:val="1E1E1E"/>
          <w:sz w:val="18"/>
        </w:rPr>
        <w:t>= ADI 3.710, rel. min. Joaquim Barbosa, j. 9-2-2007, P, DJ de 27-4-2007 Em nosso ordenamento jurídico, não se admite a figura da constitucionalidade superveniente. Mais relevante do que a atualidade do parâmetro de controle é a constatação de que a inconstitucionalidade persiste e é atual, ainda que se refira a dispositivos da CF que não se encontram mais em vigor. Caso contrário, ficaria sensivelmente enfraquecida a própria regra que proíbe a convalidação. A jurisdição constitucional brasileira não deve deixar às instâncias ordinárias a solução de problemas que podem, de maneira mais eficient</w:t>
      </w:r>
    </w:p>
    <w:p>
      <w:pPr>
        <w:ind w:left="288"/>
      </w:pPr>
      <w:r>
        <w:rPr>
          <w:b/>
          <w:color w:val="003CA0"/>
          <w:sz w:val="16"/>
        </w:rPr>
        <w:t>[ADI 2.158 e ADI 2.189, rel. min. Dias Toffoli, j. 15-9-2010, P, DJE de 16-12-2010.]</w:t>
      </w:r>
    </w:p>
    <w:p>
      <w:pPr>
        <w:ind w:left="288"/>
      </w:pPr>
      <w:r>
        <w:rPr>
          <w:color w:val="8C8C8C"/>
          <w:sz w:val="12"/>
        </w:rPr>
        <w:t>cf-art-102-inc-I-ali-a</w:t>
      </w:r>
      <w:r>
        <w:rPr>
          <w:color w:val="003CA0"/>
          <w:sz w:val="12"/>
        </w:rPr>
        <w:t xml:space="preserve"> | ADI 94</w:t>
      </w:r>
      <w:r>
        <w:rPr>
          <w:color w:val="003CA0"/>
          <w:sz w:val="12"/>
        </w:rPr>
        <w:t xml:space="preserve"> | rel. Gilmar Mendes</w:t>
      </w:r>
    </w:p>
    <w:p>
      <w:pPr>
        <w:ind w:left="288"/>
      </w:pPr>
      <w:r>
        <w:rPr>
          <w:color w:val="1E1E1E"/>
          <w:sz w:val="18"/>
        </w:rPr>
        <w:t>= ADI 94, rel. min. Gilmar Mendes, j. 7-12-2011, P, DJE de 16-12-2011 Vide ADI 2.159, red. do ac. min. Eros Grau, j. 12-8-2004, P, DJ de 7-12-2007 Não cabe ao órgão fiscalizador da inconstitucionalidade valorar se a lei cumpre bem ou mal os fins por ela estabelecidos. A fundamentação da decisão judicial não pode assentar em "vícios" produzidos no âmbito da liberdade de conformação ou no exercício do poder discricionário do poder constituinte. (...) Como observou o min. Marco Aurélio na ementa do RE 140.265, cogitando do ofício judicante e da postura do juiz, "[a]o examinar a lide, o magistrado</w:t>
      </w:r>
    </w:p>
    <w:p>
      <w:pPr>
        <w:ind w:left="288"/>
      </w:pPr>
      <w:r>
        <w:rPr>
          <w:b/>
          <w:color w:val="003CA0"/>
          <w:sz w:val="16"/>
        </w:rPr>
        <w:t>[ADI 3.826, rel. min. Eros Grau, j. 12-5-2010, P, DJE de 20-8-2010.]</w:t>
      </w:r>
    </w:p>
    <w:p>
      <w:pPr>
        <w:ind w:left="288"/>
      </w:pPr>
      <w:r>
        <w:rPr>
          <w:color w:val="8C8C8C"/>
          <w:sz w:val="12"/>
        </w:rPr>
        <w:t>cf-art-102-inc-I-ali-a</w:t>
      </w:r>
      <w:r>
        <w:rPr>
          <w:color w:val="003CA0"/>
          <w:sz w:val="12"/>
        </w:rPr>
        <w:t xml:space="preserve"> | ADI 4.180</w:t>
      </w:r>
      <w:r>
        <w:rPr>
          <w:color w:val="003CA0"/>
          <w:sz w:val="12"/>
        </w:rPr>
        <w:t xml:space="preserve"> | rel. Cezar Peluso</w:t>
      </w:r>
    </w:p>
    <w:p>
      <w:pPr>
        <w:ind w:left="288"/>
      </w:pPr>
      <w:r>
        <w:rPr>
          <w:color w:val="1E1E1E"/>
          <w:sz w:val="18"/>
        </w:rPr>
        <w:t>Aplicação do princípio da fungibilidade. (...) É lícito conhecer de ação direta de inconstitucionalidade como arguição de descumprimento de preceito fundamental, quando coexistentes todos os requisitos de admissibilidade desta, em caso de inadmissibilidade daquela.</w:t>
      </w:r>
    </w:p>
    <w:p>
      <w:pPr>
        <w:ind w:left="288"/>
      </w:pPr>
      <w:r>
        <w:rPr>
          <w:b/>
          <w:color w:val="003CA0"/>
          <w:sz w:val="16"/>
        </w:rPr>
        <w:t>[ADI 4.180 MC-REF, rel. min. Cezar Peluso, j. 10-3-2010, P, DJE de 27-8-2010.]</w:t>
      </w:r>
    </w:p>
    <w:p>
      <w:pPr>
        <w:ind w:left="288"/>
      </w:pPr>
      <w:r>
        <w:rPr>
          <w:color w:val="8C8C8C"/>
          <w:sz w:val="12"/>
        </w:rPr>
        <w:t>cf-art-102-inc-I-ali-a</w:t>
      </w:r>
      <w:r>
        <w:rPr>
          <w:color w:val="003CA0"/>
          <w:sz w:val="12"/>
        </w:rPr>
        <w:t xml:space="preserve"> | ADPF 178</w:t>
      </w:r>
      <w:r>
        <w:rPr>
          <w:color w:val="003CA0"/>
          <w:sz w:val="12"/>
        </w:rPr>
        <w:t xml:space="preserve"> | rel. Gilmar Mendes</w:t>
      </w:r>
    </w:p>
    <w:p>
      <w:pPr>
        <w:ind w:left="288"/>
      </w:pPr>
      <w:r>
        <w:rPr>
          <w:color w:val="1E1E1E"/>
          <w:sz w:val="18"/>
        </w:rPr>
        <w:t>Vide ADPF 178, rel. min. Gilmar Mendes, j. 21-7-2009, dec. monocrática, DJE de 5-8-2009 Vide ADPF 72 QO, rel. min. Ellen Gracie, j. 1º-6-2005, P, DJ de 2-12-2005 Lei ou norma de caráter ou efeito concreto já exaurido não pode ser objeto de controle abstrato de constitucionalidade, em ação direta de inconstitucionalidade.</w:t>
      </w:r>
    </w:p>
    <w:p>
      <w:pPr>
        <w:ind w:left="288"/>
      </w:pPr>
      <w:r>
        <w:rPr>
          <w:b/>
          <w:color w:val="003CA0"/>
          <w:sz w:val="16"/>
        </w:rPr>
        <w:t>[ADI 2.980, red. do ac. min. Cezar Peluso, j. 5-2-2009, P, DJE de 7-8-2009.]</w:t>
      </w:r>
    </w:p>
    <w:p>
      <w:pPr>
        <w:ind w:left="288"/>
      </w:pPr>
      <w:r>
        <w:rPr>
          <w:color w:val="8C8C8C"/>
          <w:sz w:val="12"/>
        </w:rPr>
        <w:t>cf-art-102-inc-I-ali-a</w:t>
      </w:r>
      <w:r>
        <w:rPr>
          <w:color w:val="003CA0"/>
          <w:sz w:val="12"/>
        </w:rPr>
        <w:t xml:space="preserve"> | ADI 2.549</w:t>
      </w:r>
      <w:r>
        <w:rPr>
          <w:color w:val="003CA0"/>
          <w:sz w:val="12"/>
        </w:rPr>
        <w:t xml:space="preserve"> | rel. Ricardo Lewandowski</w:t>
      </w:r>
    </w:p>
    <w:p>
      <w:pPr>
        <w:ind w:left="288"/>
      </w:pPr>
      <w:r>
        <w:rPr>
          <w:color w:val="1E1E1E"/>
          <w:sz w:val="18"/>
        </w:rPr>
        <w:t>= ADI 2.549, rel. min. Ricardo Lewandowski, j. 1º-6-2011, P, DJE de 3-11-2011 (...) o fato de a lei objeto da impugnação ter sido revogada, não diria, no curso dos processos, mas já quase ao cabo deles, não subtrai à Corte a jurisdição nem a competência para examinar a constitucionalidade da lei até então vigente e suas consequências jurídicas, que, uma vez julgadas procedentes as três ações, não seriam, no caso, de pouca monta.</w:t>
      </w:r>
    </w:p>
    <w:p>
      <w:pPr>
        <w:ind w:left="288"/>
      </w:pPr>
      <w:r>
        <w:rPr>
          <w:b/>
          <w:color w:val="003CA0"/>
          <w:sz w:val="16"/>
        </w:rPr>
        <w:t>[ADI 3.232, voto do rel. min. Cezar Peluso, j. 14-8-2008, P, DJE de 3-10-2008.]</w:t>
      </w:r>
    </w:p>
    <w:p>
      <w:pPr>
        <w:ind w:left="288"/>
      </w:pPr>
      <w:r>
        <w:rPr>
          <w:color w:val="8C8C8C"/>
          <w:sz w:val="12"/>
        </w:rPr>
        <w:t>cf-art-102-inc-I-ali-a</w:t>
      </w:r>
      <w:r>
        <w:rPr>
          <w:color w:val="003CA0"/>
          <w:sz w:val="12"/>
        </w:rPr>
        <w:t xml:space="preserve"> | ADI 1.835</w:t>
      </w:r>
      <w:r>
        <w:rPr>
          <w:color w:val="003CA0"/>
          <w:sz w:val="12"/>
        </w:rPr>
        <w:t xml:space="preserve"> | rel. Dias Toffoli</w:t>
      </w:r>
    </w:p>
    <w:p>
      <w:pPr>
        <w:ind w:left="288"/>
      </w:pPr>
      <w:r>
        <w:rPr>
          <w:color w:val="1E1E1E"/>
          <w:sz w:val="18"/>
        </w:rPr>
        <w:t>= ADI 1.835, rel. min. Dias Toffoli, j. 17-9-2014, P, DJE de 17-10-2014 Afasta-se o uso da técnica de "interpretação conforme" para a feitura de sentença de caráter aditivo que tencione conferir à Lei de Biossegurança exuberância regratória, ou restrições tendentes a inviabilizar as pesquisas com células-tronco embrionárias. Inexistência dos pressupostos para a aplicação da técnica da "interpretação conforme a Constituição", porquanto a norma impugnada não padece de polissemia ou de plurissignificatividade.</w:t>
      </w:r>
    </w:p>
    <w:p>
      <w:pPr>
        <w:ind w:left="288"/>
      </w:pPr>
      <w:r>
        <w:rPr>
          <w:b/>
          <w:color w:val="003CA0"/>
          <w:sz w:val="16"/>
        </w:rPr>
        <w:t>[ADI 3.510, rel. min. Ayres Britto, j. 29-5-2008, P, DJE de 28-5-2010.]</w:t>
      </w:r>
    </w:p>
    <w:p>
      <w:pPr>
        <w:ind w:left="288"/>
      </w:pPr>
      <w:r>
        <w:rPr>
          <w:color w:val="8C8C8C"/>
          <w:sz w:val="12"/>
        </w:rPr>
        <w:t>cf-art-102-inc-I-ali-a</w:t>
      </w:r>
      <w:r>
        <w:rPr>
          <w:color w:val="003CA0"/>
          <w:sz w:val="12"/>
        </w:rPr>
        <w:t xml:space="preserve"> | ADI 4.048</w:t>
      </w:r>
      <w:r>
        <w:rPr>
          <w:color w:val="003CA0"/>
          <w:sz w:val="12"/>
        </w:rPr>
        <w:t xml:space="preserve"> | rel. Gilmar Mendes</w:t>
      </w:r>
    </w:p>
    <w:p>
      <w:pPr>
        <w:ind w:left="288"/>
      </w:pPr>
      <w:r>
        <w:rPr>
          <w:color w:val="1E1E1E"/>
          <w:sz w:val="18"/>
        </w:rPr>
        <w:t>A extensão da jurisprudência, desenvolvida para afastar do controle abstrato de normas os atos administrativos de efeito concreto, às chamadas leis formais suscita, sem dúvida, alguma insegurança, porque coloca a salvo do controle de constitucionalidade um sem-número de leis. (...) Outra há de ser, todavia, a interpretação, se se cuida de atos editados sob a forma de lei. Nesse caso, houve por bem o constituinte não distinguir entre leis dotadas de generalidade e aqueloutras, conformadas sem o atributo da generalidade e abstração. Essas leis formais decorrem ou da vontade do legislador ou do d</w:t>
      </w:r>
    </w:p>
    <w:p>
      <w:pPr>
        <w:ind w:left="288"/>
      </w:pPr>
      <w:r>
        <w:rPr>
          <w:b/>
          <w:color w:val="003CA0"/>
          <w:sz w:val="16"/>
        </w:rPr>
        <w:t>[ADI 4.048 MC, voto do rel. min. Gilmar Mendes, j. 14-5-2008, P, DJE de 22-8-2008.]</w:t>
      </w:r>
    </w:p>
    <w:p>
      <w:pPr>
        <w:ind w:left="288"/>
      </w:pPr>
      <w:r>
        <w:rPr>
          <w:color w:val="8C8C8C"/>
          <w:sz w:val="12"/>
        </w:rPr>
        <w:t>cf-art-102-inc-I-ali-a</w:t>
      </w:r>
      <w:r>
        <w:rPr>
          <w:color w:val="003CA0"/>
          <w:sz w:val="12"/>
        </w:rPr>
        <w:t xml:space="preserve"> | RE 412.921</w:t>
      </w:r>
      <w:r>
        <w:rPr>
          <w:color w:val="003CA0"/>
          <w:sz w:val="12"/>
        </w:rPr>
        <w:t xml:space="preserve"> | rel. Ricardo Lewandowski</w:t>
      </w:r>
    </w:p>
    <w:p>
      <w:pPr>
        <w:ind w:left="288"/>
      </w:pPr>
      <w:r>
        <w:rPr>
          <w:color w:val="1E1E1E"/>
          <w:sz w:val="18"/>
        </w:rPr>
        <w:t>= RE 412.921 AgR, rel. min. Ricardo Lewandowski, j. 22-2-2011, 1ª T, DJE de 15-3-2011 Esta Corte deferiu o pedido de medida cautelar para sustar os efeitos da Resolução Administrativa 50/1991 do TST, que determinou o pagamento de vantagens a magistrados e servidores. Impossibilidade de cumprimento da medida cautelar. A eficácia da resolução exauriu-se no momento em que o pagamento foi efetuado. A via da ação direta é inadequada para a aferição de constitucionalidade de ato normativo desprovido de efeitos.</w:t>
      </w:r>
    </w:p>
    <w:p>
      <w:pPr>
        <w:ind w:left="288"/>
      </w:pPr>
      <w:r>
        <w:rPr>
          <w:b/>
          <w:color w:val="003CA0"/>
          <w:sz w:val="16"/>
        </w:rPr>
        <w:t>[ADI 695 QO, rel. min. Eros Grau, j. 21-11-2007, P, DJ de 14-12-2007.]</w:t>
      </w:r>
    </w:p>
    <w:p>
      <w:pPr>
        <w:ind w:left="288"/>
      </w:pPr>
      <w:r>
        <w:rPr>
          <w:color w:val="8C8C8C"/>
          <w:sz w:val="12"/>
        </w:rPr>
        <w:t>cf-art-102-inc-I-ali-a</w:t>
      </w:r>
      <w:r>
        <w:rPr>
          <w:color w:val="003CA0"/>
          <w:sz w:val="12"/>
        </w:rPr>
        <w:t xml:space="preserve"> | ADI 3.731</w:t>
      </w:r>
      <w:r>
        <w:rPr>
          <w:color w:val="003CA0"/>
          <w:sz w:val="12"/>
        </w:rPr>
        <w:t xml:space="preserve"> | rel. Cezar Peluso</w:t>
      </w:r>
    </w:p>
    <w:p>
      <w:pPr>
        <w:ind w:left="288"/>
      </w:pPr>
      <w:r>
        <w:rPr>
          <w:color w:val="1E1E1E"/>
          <w:sz w:val="18"/>
        </w:rPr>
        <w:t>Pode ser objeto de ação direta de inconstitucionalidade o ato normativo subalterno cujo conteúdo seja de lei ordinária em sentido material e, como tal, goze de autonomia nomológica.</w:t>
      </w:r>
    </w:p>
    <w:p>
      <w:pPr>
        <w:ind w:left="288"/>
      </w:pPr>
      <w:r>
        <w:rPr>
          <w:b/>
          <w:color w:val="003CA0"/>
          <w:sz w:val="16"/>
        </w:rPr>
        <w:t>[ADI 3.731 MC, rel. min. Cezar Peluso, j. 29-8-2007, P, DJ de 11-10-2007.]</w:t>
      </w:r>
    </w:p>
    <w:p>
      <w:pPr>
        <w:ind w:left="288"/>
      </w:pPr>
      <w:r>
        <w:rPr>
          <w:color w:val="8C8C8C"/>
          <w:sz w:val="12"/>
        </w:rPr>
        <w:t>cf-art-102-inc-I-ali-a</w:t>
      </w:r>
      <w:r>
        <w:rPr>
          <w:color w:val="003CA0"/>
          <w:sz w:val="12"/>
        </w:rPr>
        <w:t xml:space="preserve"> | ADI 2.398</w:t>
      </w:r>
      <w:r>
        <w:rPr>
          <w:color w:val="003CA0"/>
          <w:sz w:val="12"/>
        </w:rPr>
        <w:t xml:space="preserve"> | rel. Cezar Peluso</w:t>
      </w:r>
    </w:p>
    <w:p>
      <w:pPr>
        <w:ind w:left="288"/>
      </w:pPr>
      <w:r>
        <w:rPr>
          <w:color w:val="1E1E1E"/>
          <w:sz w:val="18"/>
        </w:rPr>
        <w:t>Ação direta. Portaria 796/2000 do ministro de Estado da Justiça. Ato de caráter regulamentar. Diversões e espetáculos públicos. Regulamentação do disposto no art. 74 da Lei federal  8.069/1990 – ECA. Ato normativo não autônomo ou secundário. Inadmissibilidade da ação. Inexistência de ofensa constitucional direta. Eventual excesso que se resolve no campo da legalidade. (...) Não se admite ação direta de inconstitucionalidade que tenha por objeto ato normativo não autônomo ou secundário, que regulamenta disposições de lei.</w:t>
      </w:r>
    </w:p>
    <w:p>
      <w:pPr>
        <w:ind w:left="288"/>
      </w:pPr>
      <w:r>
        <w:rPr>
          <w:b/>
          <w:color w:val="003CA0"/>
          <w:sz w:val="16"/>
        </w:rPr>
        <w:t>[ADI 2.398 AgR, rel. min. Cezar Peluso, j. 25-6-2007, P, DJ de 31-8-2007.]</w:t>
      </w:r>
    </w:p>
    <w:p>
      <w:pPr>
        <w:ind w:left="288"/>
      </w:pPr>
      <w:r>
        <w:rPr>
          <w:color w:val="8C8C8C"/>
          <w:sz w:val="12"/>
        </w:rPr>
        <w:t>cf-art-102-inc-I-ali-a</w:t>
      </w:r>
      <w:r>
        <w:rPr>
          <w:color w:val="003CA0"/>
          <w:sz w:val="12"/>
        </w:rPr>
        <w:t xml:space="preserve"> | RCL 8.273</w:t>
      </w:r>
      <w:r>
        <w:rPr>
          <w:color w:val="003CA0"/>
          <w:sz w:val="12"/>
        </w:rPr>
        <w:t xml:space="preserve"> | rel. Teori Zavascki</w:t>
      </w:r>
    </w:p>
    <w:p>
      <w:pPr>
        <w:ind w:left="288"/>
      </w:pPr>
      <w:r>
        <w:rPr>
          <w:color w:val="1E1E1E"/>
          <w:sz w:val="18"/>
        </w:rPr>
        <w:t>= Rcl 8.273 AgR, rel. min. Teori Zavascki, j. 17-10-2013, P, DJE de 12-11-2013 (...) a decisão que afirma a constitucionalidade da norma ou que indefere o pedido de declaração de sua inconstitucionalidade também não será objeto de reexame em outra ação direta de inconstitucionalidade em que se discute norma de idêntico teor.</w:t>
      </w:r>
    </w:p>
    <w:p>
      <w:pPr>
        <w:ind w:left="288"/>
      </w:pPr>
      <w:r>
        <w:rPr>
          <w:b/>
          <w:color w:val="003CA0"/>
          <w:sz w:val="16"/>
        </w:rPr>
        <w:t>[ADI 1.633, voto da rel. min. Cármen Lúcia, j. 17-5-2007, P, DJ de 30-11-2007.]</w:t>
      </w:r>
    </w:p>
    <w:p>
      <w:pPr>
        <w:ind w:left="288"/>
      </w:pPr>
      <w:r>
        <w:rPr>
          <w:color w:val="8C8C8C"/>
          <w:sz w:val="12"/>
        </w:rPr>
        <w:t>cf-art-102-inc-I-ali-a</w:t>
      </w:r>
      <w:r>
        <w:rPr>
          <w:color w:val="003CA0"/>
          <w:sz w:val="12"/>
        </w:rPr>
        <w:t xml:space="preserve"> | ADI 575</w:t>
      </w:r>
      <w:r>
        <w:rPr>
          <w:color w:val="003CA0"/>
          <w:sz w:val="12"/>
        </w:rPr>
        <w:t xml:space="preserve"> | rel. Sepúlveda Pertence</w:t>
      </w:r>
    </w:p>
    <w:p>
      <w:pPr>
        <w:ind w:left="288"/>
      </w:pPr>
      <w:r>
        <w:rPr>
          <w:color w:val="1E1E1E"/>
          <w:sz w:val="18"/>
        </w:rPr>
        <w:t>= ADI 575, rel. min. Sepúlveda Pertence, j. 25-03-1999, P, DJ de 25-6-1999 Admissibilidade de aditamento do pedido na ação direta de inconstitucionalidade para declarar inconstitucional norma editada durante o curso da ação. Circunstância em que se constata a alteração da norma impugnada por outra apenas para alterar a denominação de cargos na administração judicial estadual; alteração legislativa que não torna prejudicado o pedido na ação direta.</w:t>
      </w:r>
    </w:p>
    <w:p>
      <w:pPr>
        <w:ind w:left="288"/>
      </w:pPr>
      <w:r>
        <w:rPr>
          <w:b/>
          <w:color w:val="003CA0"/>
          <w:sz w:val="16"/>
        </w:rPr>
        <w:t>[ADI 3.233, rel. min. Joaquim Barbosa, j. 10-5-2007, P, DJ de 14-9-2007.]</w:t>
      </w:r>
    </w:p>
    <w:p>
      <w:pPr>
        <w:ind w:left="288"/>
      </w:pPr>
      <w:r>
        <w:rPr>
          <w:color w:val="8C8C8C"/>
          <w:sz w:val="12"/>
        </w:rPr>
        <w:t>cf-art-102-inc-I-ali-a</w:t>
      </w:r>
      <w:r>
        <w:rPr>
          <w:color w:val="003CA0"/>
          <w:sz w:val="12"/>
        </w:rPr>
        <w:t xml:space="preserve"> | ADI 2.867</w:t>
      </w:r>
      <w:r>
        <w:rPr>
          <w:color w:val="003CA0"/>
          <w:sz w:val="12"/>
        </w:rPr>
        <w:t xml:space="preserve"> | rel. Celso de Mello</w:t>
      </w:r>
    </w:p>
    <w:p>
      <w:pPr>
        <w:ind w:left="288"/>
      </w:pPr>
      <w:r>
        <w:rPr>
          <w:color w:val="1E1E1E"/>
          <w:sz w:val="18"/>
        </w:rPr>
        <w:t>Fiscalização normativa abstrata. Declaração de inconstitucionalidade em tese e efeito repristinatório. A declaração de inconstitucionalidade in abstracto, considerado o efeito repristinatório que lhe é inerente (RTJ 120/64 – RTJ 194/504-505 – ADI 2.867/ES, v.g.), importa em restauração das normas estatais revogadas pelo diploma objeto do processo de controle normativo abstrato. É que a lei declarada inconstitucional, por incidir em absoluta desvalia jurídica (RTJ 146/461-462), não pode gerar quaisquer efeitos no plano do direito, nem mesmo o de provocar a própria revogação dos diplomas normati</w:t>
      </w:r>
    </w:p>
    <w:p>
      <w:pPr>
        <w:ind w:left="288"/>
      </w:pPr>
      <w:r>
        <w:rPr>
          <w:b/>
          <w:color w:val="003CA0"/>
          <w:sz w:val="16"/>
        </w:rPr>
        <w:t>[ADI 3.148, rel. min. Celso de Mello, j. 13-12-2006, P, DJ de 28-9-2007.]</w:t>
      </w:r>
    </w:p>
    <w:p>
      <w:pPr>
        <w:ind w:left="288"/>
      </w:pPr>
      <w:r>
        <w:rPr>
          <w:color w:val="8C8C8C"/>
          <w:sz w:val="12"/>
        </w:rPr>
        <w:t>cf-art-102-inc-I-ali-a</w:t>
      </w:r>
      <w:r>
        <w:rPr>
          <w:color w:val="003CA0"/>
          <w:sz w:val="12"/>
        </w:rPr>
        <w:t xml:space="preserve"> | ADI 2.728</w:t>
      </w:r>
      <w:r>
        <w:rPr>
          <w:color w:val="003CA0"/>
          <w:sz w:val="12"/>
        </w:rPr>
        <w:t xml:space="preserve"> | rel. Marco Aurélio</w:t>
      </w:r>
    </w:p>
    <w:p>
      <w:pPr>
        <w:ind w:left="288"/>
      </w:pPr>
      <w:r>
        <w:rPr>
          <w:b/>
          <w:color w:val="003CA0"/>
          <w:sz w:val="16"/>
        </w:rPr>
        <w:t>[ADI 2.728 ED, rel. min. Marco Aurélio, j. 19-10-2006, P, DJ de 5-10-2007.]</w:t>
      </w:r>
    </w:p>
    <w:p>
      <w:pPr>
        <w:ind w:left="288"/>
      </w:pPr>
      <w:r>
        <w:rPr>
          <w:color w:val="8C8C8C"/>
          <w:sz w:val="12"/>
        </w:rPr>
        <w:t>cf-art-102-inc-I-ali-a</w:t>
      </w:r>
      <w:r>
        <w:rPr>
          <w:color w:val="003CA0"/>
          <w:sz w:val="12"/>
        </w:rPr>
        <w:t xml:space="preserve"> | ADI 2.132</w:t>
      </w:r>
      <w:r>
        <w:rPr>
          <w:color w:val="003CA0"/>
          <w:sz w:val="12"/>
        </w:rPr>
        <w:t xml:space="preserve"> | rel. Moreira Alves</w:t>
      </w:r>
    </w:p>
    <w:p>
      <w:pPr>
        <w:ind w:left="288"/>
      </w:pPr>
      <w:r>
        <w:rPr>
          <w:color w:val="1E1E1E"/>
          <w:sz w:val="18"/>
        </w:rPr>
        <w:t>(...) há que se aplicar a jurisprudência consolidada desta Corte no sentido de que não é de se conhecer da ação direta de inconstitucionalidade, se, declarada a inconstitucionalidade de um dispositivo normativo, dessa declaração resultar a restauração imediata do dispositivo por ele revogado, que apresenta o mesmo vício de inconstitucionalidade e que não foi objeto da referida ação (ADI 2.132 MC/RJ, rel. min. Moreira Alves, Tribunal Pleno, DJ de 5-4-2002). No caso dos autos, a impossibilidade de declaração de inconstitucionalidade das normas constitucionais originárias (cf. precedente desta Co</w:t>
      </w:r>
    </w:p>
    <w:p>
      <w:pPr>
        <w:ind w:left="288"/>
      </w:pPr>
      <w:r>
        <w:rPr>
          <w:b/>
          <w:color w:val="003CA0"/>
          <w:sz w:val="16"/>
        </w:rPr>
        <w:t>[ADI 2.883, voto do rel. min. Gilmar Mendes, j. 30-8-2006, P, DJ de 9-3-2007.]</w:t>
      </w:r>
    </w:p>
    <w:p>
      <w:pPr>
        <w:ind w:left="288"/>
      </w:pPr>
      <w:r>
        <w:rPr>
          <w:color w:val="8C8C8C"/>
          <w:sz w:val="12"/>
        </w:rPr>
        <w:t>cf-art-102-inc-I-ali-a</w:t>
      </w:r>
      <w:r>
        <w:rPr>
          <w:color w:val="003CA0"/>
          <w:sz w:val="12"/>
        </w:rPr>
        <w:t xml:space="preserve"> | ADI 3.573</w:t>
      </w:r>
    </w:p>
    <w:p>
      <w:pPr>
        <w:ind w:left="288"/>
      </w:pPr>
      <w:r>
        <w:rPr>
          <w:color w:val="1E1E1E"/>
          <w:sz w:val="18"/>
        </w:rPr>
        <w:t>Não cabe ação direta como via de impugnação de lei-medida. A lei-medida é lei apenas em sentido formal, é lei que não é norma jurídica dotada de generalidade e abstração.</w:t>
      </w:r>
    </w:p>
    <w:p>
      <w:pPr>
        <w:ind w:left="288"/>
      </w:pPr>
      <w:r>
        <w:rPr>
          <w:b/>
          <w:color w:val="003CA0"/>
          <w:sz w:val="16"/>
        </w:rPr>
        <w:t>[ADI 3.573, red. do ac. min. Eros Grau, j. 1º-12-2005, P, DJ de 19-12-2006.]</w:t>
      </w:r>
    </w:p>
    <w:p>
      <w:pPr>
        <w:ind w:left="288"/>
      </w:pPr>
      <w:r>
        <w:rPr>
          <w:color w:val="8C8C8C"/>
          <w:sz w:val="12"/>
        </w:rPr>
        <w:t>cf-art-102-inc-I-ali-a</w:t>
      </w:r>
      <w:r>
        <w:rPr>
          <w:color w:val="003CA0"/>
          <w:sz w:val="12"/>
        </w:rPr>
        <w:t xml:space="preserve"> | ADI 2.895</w:t>
      </w:r>
      <w:r>
        <w:rPr>
          <w:color w:val="003CA0"/>
          <w:sz w:val="12"/>
        </w:rPr>
        <w:t xml:space="preserve"> | rel. Carlos Velloso</w:t>
      </w:r>
    </w:p>
    <w:p>
      <w:pPr>
        <w:ind w:left="288"/>
      </w:pPr>
      <w:r>
        <w:rPr>
          <w:color w:val="1E1E1E"/>
          <w:sz w:val="18"/>
        </w:rPr>
        <w:t>Não obstante de constitucionalidade duvidosa a primeira parte do mencionado art. 74, ocorre, no caso, a impossibilidade de sua apreciação, em obséquio ao "princípio do pedido" e por não ocorrer, na hipótese, o fenômeno da inconstitucionalidade por "arrastamento" ou "atração", já que o citado dispositivo legal não é dependente da norma declarada inconstitucional.</w:t>
      </w:r>
    </w:p>
    <w:p>
      <w:pPr>
        <w:ind w:left="288"/>
      </w:pPr>
      <w:r>
        <w:rPr>
          <w:b/>
          <w:color w:val="003CA0"/>
          <w:sz w:val="16"/>
        </w:rPr>
        <w:t>[ADI 2.895, rel. min. Carlos Velloso, j. 2-2-2005, P, DJ de 20-5-2005.]</w:t>
      </w:r>
    </w:p>
    <w:p>
      <w:pPr>
        <w:ind w:left="288"/>
      </w:pPr>
      <w:r>
        <w:rPr>
          <w:color w:val="8C8C8C"/>
          <w:sz w:val="12"/>
        </w:rPr>
        <w:t>cf-art-102-inc-I-ali-a</w:t>
      </w:r>
      <w:r>
        <w:rPr>
          <w:color w:val="003CA0"/>
          <w:sz w:val="12"/>
        </w:rPr>
        <w:t xml:space="preserve"> | ADI 3.324</w:t>
      </w:r>
      <w:r>
        <w:rPr>
          <w:color w:val="003CA0"/>
          <w:sz w:val="12"/>
        </w:rPr>
        <w:t xml:space="preserve"> | rel. Marco Aurélio</w:t>
      </w:r>
    </w:p>
    <w:p>
      <w:pPr>
        <w:ind w:left="288"/>
      </w:pPr>
      <w:r>
        <w:rPr>
          <w:color w:val="1E1E1E"/>
          <w:sz w:val="18"/>
        </w:rPr>
        <w:t>É possível, juridicamente, formular-se, em inicial de ação direta de inconstitucionalidade, pedido de interpretação conforme, ante enfoque diverso que se mostre conflitante com a Carta Federal. Envolvimento, no caso, de reconhecimento de inconstitucionalidade.</w:t>
      </w:r>
    </w:p>
    <w:p>
      <w:pPr>
        <w:ind w:left="288"/>
      </w:pPr>
      <w:r>
        <w:rPr>
          <w:b/>
          <w:color w:val="003CA0"/>
          <w:sz w:val="16"/>
        </w:rPr>
        <w:t>[ADI 3.324, rel. min. Marco Aurélio, j. 16-12-2004, P, DJ de 5-8-2005.]</w:t>
      </w:r>
    </w:p>
    <w:p>
      <w:pPr>
        <w:ind w:left="288"/>
      </w:pPr>
      <w:r>
        <w:rPr>
          <w:color w:val="8C8C8C"/>
          <w:sz w:val="12"/>
        </w:rPr>
        <w:t>cf-art-102-inc-I-ali-a</w:t>
      </w:r>
      <w:r>
        <w:rPr>
          <w:color w:val="003CA0"/>
          <w:sz w:val="12"/>
        </w:rPr>
        <w:t xml:space="preserve"> | ADI 1.874</w:t>
      </w:r>
      <w:r>
        <w:rPr>
          <w:color w:val="003CA0"/>
          <w:sz w:val="12"/>
        </w:rPr>
        <w:t xml:space="preserve"> | rel. Maurício Corrêa</w:t>
      </w:r>
    </w:p>
    <w:p>
      <w:pPr>
        <w:ind w:left="288"/>
      </w:pPr>
      <w:r>
        <w:rPr>
          <w:color w:val="1E1E1E"/>
          <w:sz w:val="18"/>
        </w:rPr>
        <w:t>A renumeração do preceito constitucional estadual impugnado, mantido na íntegra o texto original, não implica a prejudicialidade da ação direta, desde que promovido o aditamento à petição inicial. (...) (ADI 1.874, rel. min. Maurício Corrêa, DJ de 7-2-2003).</w:t>
      </w:r>
    </w:p>
    <w:p>
      <w:pPr>
        <w:ind w:left="288"/>
      </w:pPr>
      <w:r>
        <w:rPr>
          <w:b/>
          <w:color w:val="003CA0"/>
          <w:sz w:val="16"/>
        </w:rPr>
        <w:t>[ADI 246, rel. min. Eros Grau, j. 16-12-2004, P, DJ de 29-4-2005.]</w:t>
      </w:r>
    </w:p>
    <w:p>
      <w:pPr>
        <w:ind w:left="288"/>
      </w:pPr>
      <w:r>
        <w:rPr>
          <w:color w:val="8C8C8C"/>
          <w:sz w:val="12"/>
        </w:rPr>
        <w:t>cf-art-102-inc-I-ali-a</w:t>
      </w:r>
      <w:r>
        <w:rPr>
          <w:color w:val="003CA0"/>
          <w:sz w:val="12"/>
        </w:rPr>
        <w:t xml:space="preserve"> | ADI 2.238</w:t>
      </w:r>
      <w:r>
        <w:rPr>
          <w:color w:val="003CA0"/>
          <w:sz w:val="12"/>
        </w:rPr>
        <w:t xml:space="preserve"> | rel. Alexandre de Moraes</w:t>
      </w:r>
    </w:p>
    <w:p>
      <w:pPr>
        <w:ind w:left="288"/>
      </w:pPr>
      <w:r>
        <w:rPr>
          <w:color w:val="1E1E1E"/>
          <w:sz w:val="18"/>
        </w:rPr>
        <w:t>= ADI 2.238, rel. min. Alexandre de Moraes, j. 24-6-2020, P, DJE de 15-9-2020 A revogação superveniente do ato estatal impugnado faz instaurar situação de prejudicialidade que provoca a extinção anômala do processo de fiscalização abstrata de constitucionalidade, eis que a ab-rogação do diploma normativo questionado opera, quanto a este, a sua exclusão do sistema de direito positivo, causando, desse modo, a perda ulterior de objeto da própria ação direta, independentemente da ocorrência, ou não, de efeitos residuais concretos. Precedentes.</w:t>
      </w:r>
    </w:p>
    <w:p>
      <w:pPr>
        <w:ind w:left="288"/>
      </w:pPr>
      <w:r>
        <w:rPr>
          <w:b/>
          <w:color w:val="003CA0"/>
          <w:sz w:val="16"/>
        </w:rPr>
        <w:t>[ADI 1.445 QO, rel. min. Celso de Mello, j. 3-11-2004, P, DJ de 29-4-2005.]</w:t>
      </w:r>
    </w:p>
    <w:p>
      <w:pPr>
        <w:ind w:left="288"/>
      </w:pPr>
      <w:r>
        <w:rPr>
          <w:color w:val="8C8C8C"/>
          <w:sz w:val="12"/>
        </w:rPr>
        <w:t>cf-art-102-inc-I-ali-a</w:t>
      </w:r>
      <w:r>
        <w:rPr>
          <w:color w:val="003CA0"/>
          <w:sz w:val="12"/>
        </w:rPr>
        <w:t xml:space="preserve"> | ADI 4.620</w:t>
      </w:r>
      <w:r>
        <w:rPr>
          <w:color w:val="003CA0"/>
          <w:sz w:val="12"/>
        </w:rPr>
        <w:t xml:space="preserve"> | rel. Dias Toffoli</w:t>
      </w:r>
    </w:p>
    <w:p>
      <w:pPr>
        <w:ind w:left="288"/>
      </w:pPr>
      <w:r>
        <w:rPr>
          <w:color w:val="1E1E1E"/>
          <w:sz w:val="18"/>
        </w:rPr>
        <w:t>= ADI 4.620 AgR, rel. min. Dias Toffoli, j. 20-6-2012, P, DJE de 1º-8-2012 Estão sujeitos ao controle de constitucionalidade concentrado os atos normativos, expressões da função normativa, cujas espécies compreendem a função regulamentar (do Executivo), a função regimental (do Judiciário) e a função legislativa (do Legislativo). Os decretos que veiculam ato normativo também devem sujeitar-se ao controle de constitucionalidade exercido pelo STF. O Poder Legislativo não detém o monopólio da função normativa, mas apenas de uma parcela dela, a função legislativa.</w:t>
      </w:r>
    </w:p>
    <w:p>
      <w:pPr>
        <w:ind w:left="288"/>
      </w:pPr>
      <w:r>
        <w:rPr>
          <w:b/>
          <w:color w:val="003CA0"/>
          <w:sz w:val="16"/>
        </w:rPr>
        <w:t>[ADI 2.950 AgR, red. do ac. min. Eros Grau, j. 6-10-2004, P, DJ de 9-2-2007.]</w:t>
      </w:r>
    </w:p>
    <w:p>
      <w:pPr>
        <w:ind w:left="288"/>
      </w:pPr>
      <w:r>
        <w:rPr>
          <w:color w:val="8C8C8C"/>
          <w:sz w:val="12"/>
        </w:rPr>
        <w:t>cf-art-102-inc-I-ali-a</w:t>
      </w:r>
      <w:r>
        <w:rPr>
          <w:color w:val="003CA0"/>
          <w:sz w:val="12"/>
        </w:rPr>
        <w:t xml:space="preserve"> | ADI 2.159</w:t>
      </w:r>
    </w:p>
    <w:p>
      <w:pPr>
        <w:ind w:left="288"/>
      </w:pPr>
      <w:r>
        <w:rPr>
          <w:color w:val="1E1E1E"/>
          <w:sz w:val="18"/>
        </w:rPr>
        <w:t>A alteração substancial do texto constitucional em razão de emenda superveniente prejudica a análise da ação direta de inconstitucionalidade. O controle concentrado de constitucionalidade é feito com base no texto constitucional em vigor. A modificação do texto constitucional paradigma inviabiliza o prosseguimento da ação direta. Precedentes. Ação direta de inconstitucionalidade julgada prejudicada.</w:t>
      </w:r>
    </w:p>
    <w:p>
      <w:pPr>
        <w:ind w:left="288"/>
      </w:pPr>
      <w:r>
        <w:rPr>
          <w:b/>
          <w:color w:val="003CA0"/>
          <w:sz w:val="16"/>
        </w:rPr>
        <w:t>[ADI 2.159, red. do ac. min. Eros Grau, j. 12-8-2004, P, DJ de 7-12-2007.]</w:t>
      </w:r>
    </w:p>
    <w:p>
      <w:pPr>
        <w:ind w:left="288"/>
      </w:pPr>
      <w:r>
        <w:rPr>
          <w:color w:val="8C8C8C"/>
          <w:sz w:val="12"/>
        </w:rPr>
        <w:t>cf-art-102-inc-I-ali-a</w:t>
      </w:r>
      <w:r>
        <w:rPr>
          <w:color w:val="003CA0"/>
          <w:sz w:val="12"/>
        </w:rPr>
        <w:t xml:space="preserve"> | ADI 2.813</w:t>
      </w:r>
      <w:r>
        <w:rPr>
          <w:color w:val="003CA0"/>
          <w:sz w:val="12"/>
        </w:rPr>
        <w:t xml:space="preserve"> | rel. Cármen Lúcia</w:t>
      </w:r>
    </w:p>
    <w:p>
      <w:pPr>
        <w:ind w:left="288"/>
      </w:pPr>
      <w:r>
        <w:rPr>
          <w:color w:val="1E1E1E"/>
          <w:sz w:val="18"/>
        </w:rPr>
        <w:t>= ADI 2.813, rel. min. Cármen Lúcia, j. 1º-8-2011, P, DJE de 26-8-2011 Vide ADI 2.158 e ADI 2.189, rel. min. Dias Toffoli, j. 15-9-2010, P, DJE de 16-12-2010 Mostra-se adequado o controle concentrado de constitucionalidade quando a lei orçamentária revela contornos abstratos e autônomos, em abandono ao campo da eficácia concreta.</w:t>
      </w:r>
    </w:p>
    <w:p>
      <w:pPr>
        <w:ind w:left="288"/>
      </w:pPr>
      <w:r>
        <w:rPr>
          <w:b/>
          <w:color w:val="003CA0"/>
          <w:sz w:val="16"/>
        </w:rPr>
        <w:t>[ADI 2.925, red. do ac. min. Marco Aurélio, j. 19-12-2003, P, DJ de 4-3-2005.]</w:t>
      </w:r>
    </w:p>
    <w:p>
      <w:pPr>
        <w:ind w:left="288"/>
      </w:pPr>
      <w:r>
        <w:rPr>
          <w:color w:val="8C8C8C"/>
          <w:sz w:val="12"/>
        </w:rPr>
        <w:t>cf-art-102-inc-I-ali-a</w:t>
      </w:r>
      <w:r>
        <w:rPr>
          <w:color w:val="003CA0"/>
          <w:sz w:val="12"/>
        </w:rPr>
        <w:t xml:space="preserve"> | ADI 2.844</w:t>
      </w:r>
      <w:r>
        <w:rPr>
          <w:color w:val="003CA0"/>
          <w:sz w:val="12"/>
        </w:rPr>
        <w:t xml:space="preserve"> | rel. Sepúlveda Pertence</w:t>
      </w:r>
    </w:p>
    <w:p>
      <w:pPr>
        <w:ind w:left="288"/>
      </w:pPr>
      <w:r>
        <w:rPr>
          <w:color w:val="1E1E1E"/>
          <w:sz w:val="18"/>
        </w:rPr>
        <w:t>Ação direta de inconstitucionalidade: cumulação objetiva de arguições de inconstitucionalidade de atos normativos de entidades estatais diversas: hipóteses excepcionais de admissibilidade: aditamento recebido. Em princípio, não é de admitir, no mesmo processo de ação direta, a cumulação de arguições de inconstitucionalidade de atos normativos emanados de diferentes entes da Federação, ainda quando lhes seja comum o fundamento jurídico invocado. Há, no entanto, duas hipóteses pelo menos em que a cumulação objetiva considerada, mais que facultada, é necessária: a) a primeira é aquela em que, dad</w:t>
      </w:r>
    </w:p>
    <w:p>
      <w:pPr>
        <w:ind w:left="288"/>
      </w:pPr>
      <w:r>
        <w:rPr>
          <w:b/>
          <w:color w:val="003CA0"/>
          <w:sz w:val="16"/>
        </w:rPr>
        <w:t>[ADI 2.844 QO, rel. min. Sepúlveda Pertence, j. 24-4-2003, P, DJ de 27-6-2003.]</w:t>
      </w:r>
    </w:p>
    <w:p>
      <w:pPr>
        <w:ind w:left="288"/>
      </w:pPr>
      <w:r>
        <w:rPr>
          <w:color w:val="8C8C8C"/>
          <w:sz w:val="12"/>
        </w:rPr>
        <w:t>cf-art-102-inc-I-ali-a</w:t>
      </w:r>
      <w:r>
        <w:rPr>
          <w:color w:val="003CA0"/>
          <w:sz w:val="12"/>
        </w:rPr>
        <w:t xml:space="preserve"> | ADI 2.695</w:t>
      </w:r>
      <w:r>
        <w:rPr>
          <w:color w:val="003CA0"/>
          <w:sz w:val="12"/>
        </w:rPr>
        <w:t xml:space="preserve"> | rel. Moreira Alves</w:t>
      </w:r>
    </w:p>
    <w:p>
      <w:pPr>
        <w:ind w:left="288"/>
      </w:pPr>
      <w:r>
        <w:rPr>
          <w:color w:val="1E1E1E"/>
          <w:sz w:val="18"/>
        </w:rPr>
        <w:t>Arguição de inconstitucionalidade das alterações introduzidas pela MP 45, de 25-6-2002, nos §§ 6º, 7º e 8º do art. 21 da Lei 9.650, de 27-5-1998. Aquilo a que visa a presente ação direta de inconstitucionalidade é resolver, em abstrato, questões que podem dar margem a discussão, em casos concretos, sobre eventual violação, pelos dispositivos legais atacados, de decisão judicial que foi proferida pela Justiça do Trabalho e depois rescindida em ação rescisória julgada procedente, rescisão essa cujo alcance o requerente pretende restringir às parcelas vincendas que não foram pagas espontaneamente</w:t>
      </w:r>
    </w:p>
    <w:p>
      <w:pPr>
        <w:ind w:left="288"/>
      </w:pPr>
      <w:r>
        <w:rPr>
          <w:b/>
          <w:color w:val="003CA0"/>
          <w:sz w:val="16"/>
        </w:rPr>
        <w:t>[ADI 2.695, rel. min. Moreira Alves, j. 3-4-2003, P, DJ de 1º-8-2003.]</w:t>
      </w:r>
    </w:p>
    <w:p>
      <w:pPr>
        <w:ind w:left="288"/>
      </w:pPr>
      <w:r>
        <w:rPr>
          <w:color w:val="8C8C8C"/>
          <w:sz w:val="12"/>
        </w:rPr>
        <w:t>cf-art-102-inc-I-ali-a</w:t>
      </w:r>
      <w:r>
        <w:rPr>
          <w:color w:val="003CA0"/>
          <w:sz w:val="12"/>
        </w:rPr>
        <w:t xml:space="preserve"> | ADI 2.551</w:t>
      </w:r>
      <w:r>
        <w:rPr>
          <w:color w:val="003CA0"/>
          <w:sz w:val="12"/>
        </w:rPr>
        <w:t xml:space="preserve"> | rel. Celso de Mello</w:t>
      </w:r>
    </w:p>
    <w:p>
      <w:pPr>
        <w:ind w:left="288"/>
      </w:pPr>
      <w:r>
        <w:rPr>
          <w:color w:val="1E1E1E"/>
          <w:sz w:val="18"/>
        </w:rPr>
        <w:t>O controle normativo de constitucionalidade qualifica-se como típico processo de caráter objetivo, vocacionado, exclusivamente, à defesa, em tese, da harmonia do sistema constitucional. A instauração desse processo objetivo tem por função instrumental viabilizar o julgamento da validade abstrata do ato estatal em face da Constituição da República. O exame de relações jurídicas concretas e individuais constitui matéria juridicamente estranha ao domínio do processo de controle concentrado de constitucionalidade. A tutela jurisdicional de situações individuais, uma vez suscitada a controvérsia de</w:t>
      </w:r>
    </w:p>
    <w:p>
      <w:pPr>
        <w:ind w:left="288"/>
      </w:pPr>
      <w:r>
        <w:rPr>
          <w:b/>
          <w:color w:val="003CA0"/>
          <w:sz w:val="16"/>
        </w:rPr>
        <w:t>[ADI 2.551 MC-QO, rel. min. Celso de Mello, j. 2-4-2003, P, DJ de 20-4-2006.]</w:t>
      </w:r>
    </w:p>
    <w:p>
      <w:pPr>
        <w:ind w:left="288"/>
      </w:pPr>
      <w:r>
        <w:rPr>
          <w:color w:val="8C8C8C"/>
          <w:sz w:val="12"/>
        </w:rPr>
        <w:t>cf-art-102-inc-I-ali-a</w:t>
      </w:r>
      <w:r>
        <w:rPr>
          <w:color w:val="003CA0"/>
          <w:sz w:val="12"/>
        </w:rPr>
        <w:t xml:space="preserve"> | ADI 2.574</w:t>
      </w:r>
      <w:r>
        <w:rPr>
          <w:color w:val="003CA0"/>
          <w:sz w:val="12"/>
        </w:rPr>
        <w:t xml:space="preserve"> | rel. Carlos Velloso</w:t>
      </w:r>
    </w:p>
    <w:p>
      <w:pPr>
        <w:ind w:left="288"/>
      </w:pPr>
      <w:r>
        <w:rPr>
          <w:color w:val="1E1E1E"/>
          <w:sz w:val="18"/>
        </w:rPr>
        <w:t>Ação direta de inconstitucionalidade: efeito repristinatório: norma anterior com o mesmo vício de inconstitucionalidade. No caso de ser declarada a inconstitucionalidade da norma objeto da causa, ter-se-ia a repristinação de preceito anterior com o mesmo vício de inconstitucionalidade. Neste caso, e não impugnada a norma anterior, não é de se conhecer da ação direta de inconstitucionalidade.</w:t>
      </w:r>
    </w:p>
    <w:p>
      <w:pPr>
        <w:ind w:left="288"/>
      </w:pPr>
      <w:r>
        <w:rPr>
          <w:b/>
          <w:color w:val="003CA0"/>
          <w:sz w:val="16"/>
        </w:rPr>
        <w:t>[ADI 2.574, rel. min. Carlos Velloso, j. 2-10-2002, P, DJ de 29-8-2003.]</w:t>
      </w:r>
    </w:p>
    <w:p>
      <w:pPr>
        <w:ind w:left="288"/>
      </w:pPr>
      <w:r>
        <w:rPr>
          <w:color w:val="8C8C8C"/>
          <w:sz w:val="12"/>
        </w:rPr>
        <w:t>cf-art-102-inc-I-ali-a</w:t>
      </w:r>
      <w:r>
        <w:rPr>
          <w:color w:val="003CA0"/>
          <w:sz w:val="12"/>
        </w:rPr>
        <w:t xml:space="preserve"> | ADI 1.000</w:t>
      </w:r>
      <w:r>
        <w:rPr>
          <w:color w:val="003CA0"/>
          <w:sz w:val="12"/>
        </w:rPr>
        <w:t xml:space="preserve"> | rel. Moreira Alves</w:t>
      </w:r>
    </w:p>
    <w:p>
      <w:pPr>
        <w:ind w:left="288"/>
      </w:pPr>
      <w:r>
        <w:rPr>
          <w:color w:val="1E1E1E"/>
          <w:sz w:val="18"/>
        </w:rPr>
        <w:t>(...) não cabe ação direta de inconstitucionalidade que tenha por objeto norma já ab-rogada ou derrogada, independentemente de ter, ou não, produzido efeitos concretos.</w:t>
      </w:r>
    </w:p>
    <w:p>
      <w:pPr>
        <w:ind w:left="288"/>
      </w:pPr>
      <w:r>
        <w:rPr>
          <w:b/>
          <w:color w:val="003CA0"/>
          <w:sz w:val="16"/>
        </w:rPr>
        <w:t>[ADI 1.000 QO, rel. min. Moreira Alves, j. 5-6-2002, P, DJ de 9-8-2002.]</w:t>
      </w:r>
    </w:p>
    <w:p>
      <w:pPr>
        <w:ind w:left="288"/>
      </w:pPr>
      <w:r>
        <w:rPr>
          <w:color w:val="8C8C8C"/>
          <w:sz w:val="12"/>
        </w:rPr>
        <w:t>cf-art-102-inc-I-ali-a</w:t>
      </w:r>
      <w:r>
        <w:rPr>
          <w:color w:val="003CA0"/>
          <w:sz w:val="12"/>
        </w:rPr>
        <w:t xml:space="preserve"> | ADI 1.503</w:t>
      </w:r>
      <w:r>
        <w:rPr>
          <w:color w:val="003CA0"/>
          <w:sz w:val="12"/>
        </w:rPr>
        <w:t xml:space="preserve"> | rel. Maurício Corrêa</w:t>
      </w:r>
    </w:p>
    <w:p>
      <w:pPr>
        <w:ind w:left="288"/>
      </w:pPr>
      <w:r>
        <w:rPr>
          <w:color w:val="1E1E1E"/>
          <w:sz w:val="18"/>
        </w:rPr>
        <w:t>À primeira vista, poderia parecer que o inevitável confronto da norma regimental com a Loman obstaria o controle concentrado do dispositivo impugnado por implicar exame de legalidade e não de constitucionalidade. Contudo, o problema é focalizado sob prisma diferente. Cuida-se de examinar se o Tribunal de Justiça, ao dispor em seu Regimento Interno sobre eleição de seu presidente e dos demais titulares de cargos de direção, teria usurpado competência do Poder Legislativo de disciplinar a matéria em lei complementar.</w:t>
      </w:r>
    </w:p>
    <w:p>
      <w:pPr>
        <w:ind w:left="288"/>
      </w:pPr>
      <w:r>
        <w:rPr>
          <w:b/>
          <w:color w:val="003CA0"/>
          <w:sz w:val="16"/>
        </w:rPr>
        <w:t>[ADI 1.503, voto do rel. min. Maurício Corrêa, j. 29-3-2001, P, DJ de 18-5-2001.]</w:t>
      </w:r>
    </w:p>
    <w:p>
      <w:pPr>
        <w:ind w:left="288"/>
      </w:pPr>
      <w:r>
        <w:rPr>
          <w:color w:val="8C8C8C"/>
          <w:sz w:val="12"/>
        </w:rPr>
        <w:t>cf-art-102-inc-I-ali-a</w:t>
      </w:r>
      <w:r>
        <w:rPr>
          <w:color w:val="003CA0"/>
          <w:sz w:val="12"/>
        </w:rPr>
        <w:t xml:space="preserve"> | ADI 2.321</w:t>
      </w:r>
      <w:r>
        <w:rPr>
          <w:color w:val="003CA0"/>
          <w:sz w:val="12"/>
        </w:rPr>
        <w:t xml:space="preserve"> | rel. Celso de Mello</w:t>
      </w:r>
    </w:p>
    <w:p>
      <w:pPr>
        <w:ind w:left="288"/>
      </w:pPr>
      <w:r>
        <w:rPr>
          <w:color w:val="1E1E1E"/>
          <w:sz w:val="18"/>
        </w:rPr>
        <w:t>O presidente do TSE, embora prestando informações no processo, não está impedido de participar do julgamento de ação direta na qual tenha sido questionada a constitucionalidade, in abstracto, de atos ou de resoluções emanados daquela egrégia Corte judiciária. Também não incidem nessa situação de incompatibilidade processual, considerado o perfil objetivo que tipifica o controle normativo abstrato, os ministros do STF que hajam participado, como integrantes do TSE, da formulação e edição, por este, de atos ou resoluções que tenham sido contestados, quanto à sua validade jurídica, em sede de fis</w:t>
      </w:r>
    </w:p>
    <w:p>
      <w:pPr>
        <w:ind w:left="288"/>
      </w:pPr>
      <w:r>
        <w:rPr>
          <w:b/>
          <w:color w:val="003CA0"/>
          <w:sz w:val="16"/>
        </w:rPr>
        <w:t>[ADI 2.321 MC, rel. min. Celso de Mello, j. 25-10-2000, P, DJ de 10-6-2005.]</w:t>
      </w:r>
    </w:p>
    <w:p>
      <w:pPr>
        <w:ind w:left="288"/>
      </w:pPr>
      <w:r>
        <w:rPr>
          <w:color w:val="8C8C8C"/>
          <w:sz w:val="12"/>
        </w:rPr>
        <w:t>cf-art-102-inc-I-ali-a</w:t>
      </w:r>
      <w:r>
        <w:rPr>
          <w:color w:val="003CA0"/>
          <w:sz w:val="12"/>
        </w:rPr>
        <w:t xml:space="preserve"> | ADI 3.345</w:t>
      </w:r>
      <w:r>
        <w:rPr>
          <w:color w:val="003CA0"/>
          <w:sz w:val="12"/>
        </w:rPr>
        <w:t xml:space="preserve"> | rel. Celso de Mello</w:t>
      </w:r>
    </w:p>
    <w:p>
      <w:pPr>
        <w:ind w:left="288"/>
      </w:pPr>
      <w:r>
        <w:rPr>
          <w:color w:val="1E1E1E"/>
          <w:sz w:val="18"/>
        </w:rPr>
        <w:t>= ADI 3.345, rel. min. Celso de Mello, j. 25-8-2005, P, DJE de 20-8-2010 Ação direta de inconstitucionalidade e emenda constitucional de vigência protraída: prejuízo inexistente. Proposta e ação direta contra emenda de vigência imediata à Constituição de Estado, relativa a limites da remuneração dos vereadores, não a prejudica por ora a superveniência da EC 25/2000 à Constituição da República, que, embora cuide da matéria, só entrará em vigor em 2001, quando do início da nova legislatura nos Municípios.</w:t>
      </w:r>
    </w:p>
    <w:p>
      <w:pPr>
        <w:ind w:left="288"/>
      </w:pPr>
      <w:r>
        <w:rPr>
          <w:b/>
          <w:color w:val="003CA0"/>
          <w:sz w:val="16"/>
        </w:rPr>
        <w:t>[ADI 2.112 MC, rel. min. Sepúlveda Pertence, j. 11-5-2000, P, DJ de 18-5-2001.]</w:t>
      </w:r>
    </w:p>
    <w:p>
      <w:pPr>
        <w:ind w:left="288"/>
      </w:pPr>
      <w:r>
        <w:rPr>
          <w:color w:val="8C8C8C"/>
          <w:sz w:val="12"/>
        </w:rPr>
        <w:t>cf-art-102-inc-I-ali-a</w:t>
      </w:r>
      <w:r>
        <w:rPr>
          <w:color w:val="003CA0"/>
          <w:sz w:val="12"/>
        </w:rPr>
        <w:t xml:space="preserve"> | ADI 2.174</w:t>
      </w:r>
      <w:r>
        <w:rPr>
          <w:color w:val="003CA0"/>
          <w:sz w:val="12"/>
        </w:rPr>
        <w:t xml:space="preserve"> | rel. Maurício Corrêa</w:t>
      </w:r>
    </w:p>
    <w:p>
      <w:pPr>
        <w:ind w:left="288"/>
      </w:pPr>
      <w:r>
        <w:rPr>
          <w:color w:val="1E1E1E"/>
          <w:sz w:val="18"/>
        </w:rPr>
        <w:t>Impugnação isolada apenas de partes de um sistema legal, interligadas ao seu conjunto, torna inviável o conhecimento da ação direta de inconstitucionalidade, dado que, reconhecida a inconstitucionalidade parcial de alguns preceitos, os outros perdem o seu sentido. Não se conhece da ação direta de inconstitucionalidade, se a inicial deixa de proceder ao cotejo analítico de todas as suas disposições, tendo em vista os dispositivos constitucionais apontados como violados.</w:t>
      </w:r>
    </w:p>
    <w:p>
      <w:pPr>
        <w:ind w:left="288"/>
      </w:pPr>
      <w:r>
        <w:rPr>
          <w:b/>
          <w:color w:val="003CA0"/>
          <w:sz w:val="16"/>
        </w:rPr>
        <w:t>[ADI 2.174, rel. min. Maurício Corrêa, j. 14-4-2000, P, DJ de 7-3-2003.]</w:t>
      </w:r>
    </w:p>
    <w:p>
      <w:pPr>
        <w:ind w:left="288"/>
      </w:pPr>
      <w:r>
        <w:rPr>
          <w:color w:val="8C8C8C"/>
          <w:sz w:val="12"/>
        </w:rPr>
        <w:t>cf-art-102-inc-I-ali-a</w:t>
      </w:r>
      <w:r>
        <w:rPr>
          <w:color w:val="003CA0"/>
          <w:sz w:val="12"/>
        </w:rPr>
        <w:t xml:space="preserve"> | ADI 2.105</w:t>
      </w:r>
      <w:r>
        <w:rPr>
          <w:color w:val="003CA0"/>
          <w:sz w:val="12"/>
        </w:rPr>
        <w:t xml:space="preserve"> | rel. Celso de Mello</w:t>
      </w:r>
    </w:p>
    <w:p>
      <w:pPr>
        <w:ind w:left="288"/>
      </w:pPr>
      <w:r>
        <w:rPr>
          <w:color w:val="1E1E1E"/>
          <w:sz w:val="18"/>
        </w:rPr>
        <w:t>A eficácia ex tunc da medida cautelar não se presume, pois depende de expressa determinação constante da decisão que a defere, em sede de ação direta de inconstitucionalidade. A medida cautelar, em ação direta de inconstitucionalidade, reveste-se, ordinariamente, de eficácia ex nunc, operando, portanto, a partir do momento em que o STF a defere (RTJ 124/80). Excepcionalmente, no entanto, e para que não se frustrem os seus objetivos, a medida cautelar poderá projetar-se com eficácia ex tunc, em caráter retroativo, com repercussão sobre situações pretéritas (RTJ 138/86). Para que se outorgue efi</w:t>
      </w:r>
    </w:p>
    <w:p>
      <w:pPr>
        <w:ind w:left="288"/>
      </w:pPr>
      <w:r>
        <w:rPr>
          <w:b/>
          <w:color w:val="003CA0"/>
          <w:sz w:val="16"/>
        </w:rPr>
        <w:t>[ADI 2.105 MC, rel. min. Celso de Mello, j. 23-3-2000, P, DJ de 28-4-2000.]</w:t>
      </w:r>
    </w:p>
    <w:p>
      <w:pPr>
        <w:ind w:left="288"/>
      </w:pPr>
      <w:r>
        <w:rPr>
          <w:color w:val="8C8C8C"/>
          <w:sz w:val="12"/>
        </w:rPr>
        <w:t>cf-art-102-inc-I-ali-a</w:t>
      </w:r>
      <w:r>
        <w:rPr>
          <w:color w:val="003CA0"/>
          <w:sz w:val="12"/>
        </w:rPr>
        <w:t xml:space="preserve"> | ADI 1.749</w:t>
      </w:r>
    </w:p>
    <w:p>
      <w:pPr>
        <w:ind w:left="288"/>
      </w:pPr>
      <w:r>
        <w:rPr>
          <w:color w:val="1E1E1E"/>
          <w:sz w:val="18"/>
        </w:rPr>
        <w:t>Declaração de inconstitucionalidade que não se mostra possível, porque se atacaria o acessório e não o principal.</w:t>
      </w:r>
    </w:p>
    <w:p>
      <w:pPr>
        <w:ind w:left="288"/>
      </w:pPr>
      <w:r>
        <w:rPr>
          <w:b/>
          <w:color w:val="003CA0"/>
          <w:sz w:val="16"/>
        </w:rPr>
        <w:t>[ADI 1.749, red. do ac. min. Nelson Jobim, j. 25-11-1999, P, DJ de 15-4-2005.]</w:t>
      </w:r>
    </w:p>
    <w:p>
      <w:pPr>
        <w:ind w:left="288"/>
      </w:pPr>
      <w:r>
        <w:rPr>
          <w:color w:val="8C8C8C"/>
          <w:sz w:val="12"/>
        </w:rPr>
        <w:t>cf-art-102-inc-I-ali-a</w:t>
      </w:r>
      <w:r>
        <w:rPr>
          <w:color w:val="003CA0"/>
          <w:sz w:val="12"/>
        </w:rPr>
        <w:t xml:space="preserve"> | ADI 1.949</w:t>
      </w:r>
      <w:r>
        <w:rPr>
          <w:color w:val="003CA0"/>
          <w:sz w:val="12"/>
        </w:rPr>
        <w:t xml:space="preserve"> | rel. Sepúlveda Pertence</w:t>
      </w:r>
    </w:p>
    <w:p>
      <w:pPr>
        <w:ind w:left="288"/>
      </w:pPr>
      <w:r>
        <w:rPr>
          <w:color w:val="1E1E1E"/>
          <w:sz w:val="18"/>
        </w:rPr>
        <w:t>Ação direta de inconstitucionalidade: eficácia da suspensão cautelar da norma arguida de inconstitucional, que alcança, no caso, o dispositivo da lei primitiva, substancialmente idêntico. Ação direta de inconstitucionalidade e impossibilidade jurídica do pedido: não se declara a inconstitucionalidade parcial quando haja inversão clara do sentido da lei, dado que não é permitido ao Poder Judiciário agir como legislador positivo: hipótese excepcional, contudo, em que se faculta a emenda da inicial para ampliar o objeto do pedido.</w:t>
      </w:r>
    </w:p>
    <w:p>
      <w:pPr>
        <w:ind w:left="288"/>
      </w:pPr>
      <w:r>
        <w:rPr>
          <w:b/>
          <w:color w:val="003CA0"/>
          <w:sz w:val="16"/>
        </w:rPr>
        <w:t>[ADI 1.949 MC, rel. min. Sepúlveda Pertence, j. 18-11-1999, P, DJ de 25-11-2005.]</w:t>
      </w:r>
    </w:p>
    <w:p>
      <w:pPr>
        <w:ind w:left="288"/>
      </w:pPr>
      <w:r>
        <w:rPr>
          <w:color w:val="8C8C8C"/>
          <w:sz w:val="12"/>
        </w:rPr>
        <w:t>cf-art-102-inc-I-ali-a</w:t>
      </w:r>
      <w:r>
        <w:rPr>
          <w:color w:val="003CA0"/>
          <w:sz w:val="12"/>
        </w:rPr>
        <w:t xml:space="preserve"> | ADI 939</w:t>
      </w:r>
      <w:r>
        <w:rPr>
          <w:color w:val="003CA0"/>
          <w:sz w:val="12"/>
        </w:rPr>
        <w:t xml:space="preserve"> | rel. Sydney Sanches</w:t>
      </w:r>
    </w:p>
    <w:p>
      <w:pPr>
        <w:ind w:left="288"/>
      </w:pPr>
      <w:r>
        <w:rPr>
          <w:color w:val="1E1E1E"/>
          <w:sz w:val="18"/>
        </w:rPr>
        <w:t>O STF já assentou o entendimento de que é admissível a ação direta de inconstitucionalidade de emenda constitucional, quando se alega, na inicial, que esta contraria princípios imutáveis ou as chamadas cláusulas pétreas da Constituição originária (art. 60, § 4º, da CF). Precedente: ADI  939 (RTJ 151/755).</w:t>
      </w:r>
    </w:p>
    <w:p>
      <w:pPr>
        <w:ind w:left="288"/>
      </w:pPr>
      <w:r>
        <w:rPr>
          <w:b/>
          <w:color w:val="003CA0"/>
          <w:sz w:val="16"/>
        </w:rPr>
        <w:t>[ADI 1.946 MC, rel. min. Sydney Sanches, j. 29-4-1999, P, DJ de 14-9-2001.]</w:t>
      </w:r>
    </w:p>
    <w:p>
      <w:pPr>
        <w:ind w:left="288"/>
      </w:pPr>
      <w:r>
        <w:rPr>
          <w:color w:val="8C8C8C"/>
          <w:sz w:val="12"/>
        </w:rPr>
        <w:t>cf-art-102-inc-I-ali-a</w:t>
      </w:r>
      <w:r>
        <w:rPr>
          <w:color w:val="003CA0"/>
          <w:sz w:val="12"/>
        </w:rPr>
        <w:t xml:space="preserve"> | ADI 4.307</w:t>
      </w:r>
      <w:r>
        <w:rPr>
          <w:color w:val="003CA0"/>
          <w:sz w:val="12"/>
        </w:rPr>
        <w:t xml:space="preserve"> | rel. Cármen Lúcia</w:t>
      </w:r>
    </w:p>
    <w:p>
      <w:pPr>
        <w:ind w:left="288"/>
      </w:pPr>
      <w:r>
        <w:rPr>
          <w:color w:val="1E1E1E"/>
          <w:sz w:val="18"/>
        </w:rPr>
        <w:t>= ADI 4.307, rel. min. Cármen Lúcia, j. 11-4-2013, P, DJE de 1º-10-2013 Possuindo o decreto característica de ato autônomo abstrato, adequado é o ataque da medida na via da ação direta de inconstitucionalidade. Isso ocorre relativamente a ato do Poder Executivo que, a pretexto de compatibilizar a liberdade de reunião e de expressão com o direito ao trabalho em ambiente de tranquilidade, acaba por emprestar à Carta regulamentação imprópria, sob os ângulos formal e material.</w:t>
      </w:r>
    </w:p>
    <w:p>
      <w:pPr>
        <w:ind w:left="288"/>
      </w:pPr>
      <w:r>
        <w:rPr>
          <w:b/>
          <w:color w:val="003CA0"/>
          <w:sz w:val="16"/>
        </w:rPr>
        <w:t>[ADI 1.969 MC, rel. min. Marco Aurélio, j. 24-3-1999, P, DJ de 5-3-2004.]</w:t>
      </w:r>
    </w:p>
    <w:p>
      <w:pPr>
        <w:ind w:left="288"/>
      </w:pPr>
      <w:r>
        <w:rPr>
          <w:color w:val="8C8C8C"/>
          <w:sz w:val="12"/>
        </w:rPr>
        <w:t>cf-art-102-inc-I-ali-a</w:t>
      </w:r>
      <w:r>
        <w:rPr>
          <w:color w:val="003CA0"/>
          <w:sz w:val="12"/>
        </w:rPr>
        <w:t xml:space="preserve"> | ADI 1.614</w:t>
      </w:r>
    </w:p>
    <w:p>
      <w:pPr>
        <w:ind w:left="288"/>
      </w:pPr>
      <w:r>
        <w:rPr>
          <w:color w:val="1E1E1E"/>
          <w:sz w:val="18"/>
        </w:rPr>
        <w:t>Resolução administrativa do TRT 3ª Região. Natureza normativa da resolução. Atribuição do Congresso Nacional para ato normativo que aumenta vencimentos de servidor. Inconstitucionalidade da resolução configurada. Precedentes do STF.</w:t>
      </w:r>
    </w:p>
    <w:p>
      <w:pPr>
        <w:ind w:left="288"/>
      </w:pPr>
      <w:r>
        <w:rPr>
          <w:b/>
          <w:color w:val="003CA0"/>
          <w:sz w:val="16"/>
        </w:rPr>
        <w:t>[ADI 1.614, red. do ac. min. Nelson Jobim, j. 18-12-1998, P, DJ de 6-8-1999.]</w:t>
      </w:r>
    </w:p>
    <w:p>
      <w:pPr>
        <w:ind w:left="288"/>
      </w:pPr>
      <w:r>
        <w:rPr>
          <w:color w:val="8C8C8C"/>
          <w:sz w:val="12"/>
        </w:rPr>
        <w:t>cf-art-102-inc-I-ali-a</w:t>
      </w:r>
      <w:r>
        <w:rPr>
          <w:color w:val="003CA0"/>
          <w:sz w:val="12"/>
        </w:rPr>
        <w:t xml:space="preserve"> | ADI 2.104</w:t>
      </w:r>
      <w:r>
        <w:rPr>
          <w:color w:val="003CA0"/>
          <w:sz w:val="12"/>
        </w:rPr>
        <w:t xml:space="preserve"> | rel. Eros Grau</w:t>
      </w:r>
    </w:p>
    <w:p>
      <w:pPr>
        <w:ind w:left="288"/>
      </w:pPr>
      <w:r>
        <w:rPr>
          <w:color w:val="1E1E1E"/>
          <w:sz w:val="18"/>
        </w:rPr>
        <w:t>= ADI 2.104, rel. min. Eros Grau, j. 21-11-2007, P, DJE de 22-2-2008 Em se tratando de lei municipal, o controle de constitucionalidade se faz, pelo sistema difuso – e não concentrado – ou seja, apenas no julgamento de casos concretos, com eficácia inter partes e não erga omnes, quando confrontado o ato normativo local com a CF. O controle de constitucionalidade concentrado, nesse caso, somente será possível, em face da Constituição dos Estados, se ocorrente a hipótese prevista no § 2º do art. 125 da CF.</w:t>
      </w:r>
    </w:p>
    <w:p>
      <w:pPr>
        <w:ind w:left="288"/>
      </w:pPr>
      <w:r>
        <w:rPr>
          <w:b/>
          <w:color w:val="003CA0"/>
          <w:sz w:val="16"/>
        </w:rPr>
        <w:t>[ADI 209, rel. min. Sydney Sanches, j. 20-5-1998, P, DJ de 11-9-1998.]</w:t>
      </w:r>
    </w:p>
    <w:p>
      <w:pPr>
        <w:ind w:left="288"/>
      </w:pPr>
      <w:r>
        <w:rPr>
          <w:color w:val="8C8C8C"/>
          <w:sz w:val="12"/>
        </w:rPr>
        <w:t>cf-art-102-inc-I-ali-a</w:t>
      </w:r>
      <w:r>
        <w:rPr>
          <w:color w:val="003CA0"/>
          <w:sz w:val="12"/>
        </w:rPr>
        <w:t xml:space="preserve"> | ADI 5.089</w:t>
      </w:r>
      <w:r>
        <w:rPr>
          <w:color w:val="003CA0"/>
          <w:sz w:val="12"/>
        </w:rPr>
        <w:t xml:space="preserve"> | rel. Celso de Mello</w:t>
      </w:r>
    </w:p>
    <w:p>
      <w:pPr>
        <w:ind w:left="288"/>
      </w:pPr>
      <w:r>
        <w:rPr>
          <w:color w:val="1E1E1E"/>
          <w:sz w:val="18"/>
        </w:rPr>
        <w:t>= ADI 5.089 AgR, rel. min. Celso de Mello, j. 16-10-2014, P, DJE de 6-2-2015 (...) não cabe ação direta de inconstitucionalidade para se examinar a ocorrência, ou não, de invasão de competência entre a União Federal e os Estados-membros, porquanto, nesse caso, para a análise da inconstitucionalidade arguida, há necessidade do confronto entre leis infraconstitucionais.</w:t>
      </w:r>
    </w:p>
    <w:p>
      <w:pPr>
        <w:ind w:left="288"/>
      </w:pPr>
      <w:r>
        <w:rPr>
          <w:b/>
          <w:color w:val="003CA0"/>
          <w:sz w:val="16"/>
        </w:rPr>
        <w:t>[ADI 384, rel. min. Moreira Alves, j. 20-11-1997, P, DJ de 21-2-2003.]</w:t>
      </w:r>
    </w:p>
    <w:p>
      <w:pPr>
        <w:ind w:left="288"/>
      </w:pPr>
      <w:r>
        <w:rPr>
          <w:color w:val="8C8C8C"/>
          <w:sz w:val="12"/>
        </w:rPr>
        <w:t>cf-art-102-inc-I-ali-a</w:t>
      </w:r>
      <w:r>
        <w:rPr>
          <w:color w:val="003CA0"/>
          <w:sz w:val="12"/>
        </w:rPr>
        <w:t xml:space="preserve"> | ADI 128</w:t>
      </w:r>
      <w:r>
        <w:rPr>
          <w:color w:val="003CA0"/>
          <w:sz w:val="12"/>
        </w:rPr>
        <w:t xml:space="preserve"> | rel. Cármen Lúcia</w:t>
      </w:r>
    </w:p>
    <w:p>
      <w:pPr>
        <w:ind w:left="288"/>
      </w:pPr>
      <w:r>
        <w:rPr>
          <w:color w:val="1E1E1E"/>
          <w:sz w:val="18"/>
        </w:rPr>
        <w:t>= ADI 128, rel. min. Cármen Lúcia, j. 2-6-2010, P, DJE de 15-9-2011 (...) O Poder Judiciário – fundado na supremacia da Constituição da República – dispõe de competência, para, quer em sede de fiscalização abstrata, quer no âmbito do controle difuso, efetuar o exame de constitucionalidade dos tratados ou convenções internacionais já incorporados ao sistema de direito positivo interno.</w:t>
      </w:r>
    </w:p>
    <w:p>
      <w:pPr>
        <w:ind w:left="288"/>
      </w:pPr>
      <w:r>
        <w:rPr>
          <w:b/>
          <w:color w:val="003CA0"/>
          <w:sz w:val="16"/>
        </w:rPr>
        <w:t>[ADI 1.480 MC, rel. min. Celso de Mello, j. 4-9-1997, P, DJ de 18-5-2001.]</w:t>
      </w:r>
    </w:p>
    <w:p>
      <w:pPr>
        <w:ind w:left="288"/>
      </w:pPr>
      <w:r>
        <w:rPr>
          <w:color w:val="8C8C8C"/>
          <w:sz w:val="12"/>
        </w:rPr>
        <w:t>cf-art-102-inc-I-ali-a</w:t>
      </w:r>
      <w:r>
        <w:rPr>
          <w:color w:val="003CA0"/>
          <w:sz w:val="12"/>
        </w:rPr>
        <w:t xml:space="preserve"> | ADI 1.507</w:t>
      </w:r>
      <w:r>
        <w:rPr>
          <w:color w:val="003CA0"/>
          <w:sz w:val="12"/>
        </w:rPr>
        <w:t xml:space="preserve"> | rel. Carlos Velloso</w:t>
      </w:r>
    </w:p>
    <w:p>
      <w:pPr>
        <w:ind w:left="288"/>
      </w:pPr>
      <w:r>
        <w:rPr>
          <w:color w:val="1E1E1E"/>
          <w:sz w:val="18"/>
        </w:rPr>
        <w:t>Tem legitimidade constitucional a atribuição conferida ao relator para arquivar ou negar seguimento a pedido ou recurso intempestivo, incabível ou improcedente e, ainda, quando contrariar a jurisprudência predominante do Tribunal ou for evidente a sua incompetência (RISTF, art. 21, § 1º; Lei 8.038/1990, art. 38), desde que, mediante recurso – agravo regimental, por exemplo – possam as decisões ser submetidas ao controle do colegiado.</w:t>
      </w:r>
    </w:p>
    <w:p>
      <w:pPr>
        <w:ind w:left="288"/>
      </w:pPr>
      <w:r>
        <w:rPr>
          <w:b/>
          <w:color w:val="003CA0"/>
          <w:sz w:val="16"/>
        </w:rPr>
        <w:t>[ADI 1.507 MC-AgR, rel. min. Carlos Velloso, j. 3-2-1997, P, DJ de 6-6-1997.]</w:t>
      </w:r>
    </w:p>
    <w:p>
      <w:pPr>
        <w:ind w:left="288"/>
      </w:pPr>
      <w:r>
        <w:rPr>
          <w:color w:val="8C8C8C"/>
          <w:sz w:val="12"/>
        </w:rPr>
        <w:t>cf-art-102-inc-I-ali-a</w:t>
      </w:r>
      <w:r>
        <w:rPr>
          <w:color w:val="003CA0"/>
          <w:sz w:val="12"/>
        </w:rPr>
        <w:t xml:space="preserve"> | RCL 425.</w:t>
      </w:r>
      <w:r>
        <w:rPr>
          <w:color w:val="003CA0"/>
          <w:sz w:val="12"/>
        </w:rPr>
        <w:t xml:space="preserve"> | rel. Moreira Alves</w:t>
      </w:r>
    </w:p>
    <w:p>
      <w:pPr>
        <w:ind w:left="288"/>
      </w:pPr>
      <w:r>
        <w:rPr>
          <w:color w:val="1E1E1E"/>
          <w:sz w:val="18"/>
        </w:rPr>
        <w:t>Rejeição das preliminares de litispendência e de continência, porquanto, quando tramitam paralelamente duas ações diretas de inconstitucionalidade, uma no tribunal de justiça local e outra no STF, contra a mesma lei estadual impugnada em face de princípios constitucionais estaduais que são reprodução de princípios da CF, suspende-se o curso da ação direta proposta perante o tribunal estadual até o julgamento final da ação direta proposta perante o STF, conforme sustentou o relator da presente ação direta de inconstitucionalidade em voto que proferiu, em pedido de vista, na Rcl 425.</w:t>
      </w:r>
    </w:p>
    <w:p>
      <w:pPr>
        <w:ind w:left="288"/>
      </w:pPr>
      <w:r>
        <w:rPr>
          <w:b/>
          <w:color w:val="003CA0"/>
          <w:sz w:val="16"/>
        </w:rPr>
        <w:t>[ADI 1.423 MC, rel. min. Moreira Alves, j. 20-6-1996, P, DJ de 22-11-1996.]</w:t>
      </w:r>
    </w:p>
    <w:p>
      <w:pPr>
        <w:ind w:left="288"/>
      </w:pPr>
      <w:r>
        <w:rPr>
          <w:color w:val="8C8C8C"/>
          <w:sz w:val="12"/>
        </w:rPr>
        <w:t>cf-art-102-inc-I-ali-a</w:t>
      </w:r>
      <w:r>
        <w:rPr>
          <w:color w:val="003CA0"/>
          <w:sz w:val="12"/>
        </w:rPr>
        <w:t xml:space="preserve"> | ADI 3.773</w:t>
      </w:r>
      <w:r>
        <w:rPr>
          <w:color w:val="003CA0"/>
          <w:sz w:val="12"/>
        </w:rPr>
        <w:t xml:space="preserve"> | rel. Menezes Direito</w:t>
      </w:r>
    </w:p>
    <w:p>
      <w:pPr>
        <w:ind w:left="288"/>
      </w:pPr>
      <w:r>
        <w:rPr>
          <w:color w:val="1E1E1E"/>
          <w:sz w:val="18"/>
        </w:rPr>
        <w:t>= ADI 3.773, rel. min. Menezes Direito, j. 4-3-2009, P, DJE de 4-9-2009 Desrespeito à Constituição. Modalidades de comportamentos inconstitucionais do poder público. O desrespeito à Constituição tanto pode ocorrer mediante ação estatal quanto mediante inércia governamental. A situação de inconstitucionalidade pode derivar de um comportamento ativo do poder público, que age ou edita normas em desacordo com o que dispõe a Constituição, ofendendo-lhe, assim, os preceitos e os princípios que nela se acham consignados. Essa conduta estatal, que importa em um facere (atuação positiva), gera a incons</w:t>
      </w:r>
    </w:p>
    <w:p>
      <w:pPr>
        <w:ind w:left="288"/>
      </w:pPr>
      <w:r>
        <w:rPr>
          <w:b/>
          <w:color w:val="003CA0"/>
          <w:sz w:val="16"/>
        </w:rPr>
        <w:t>[ADI 1.458 MC, rel. min. Celso de Mello, j. 23-5-1996, P, DJ de 20-9-1996.]</w:t>
      </w:r>
    </w:p>
    <w:p>
      <w:pPr>
        <w:ind w:left="288"/>
      </w:pPr>
      <w:r>
        <w:rPr>
          <w:color w:val="8C8C8C"/>
          <w:sz w:val="12"/>
        </w:rPr>
        <w:t>cf-art-102-inc-I-ali-a</w:t>
      </w:r>
      <w:r>
        <w:rPr>
          <w:color w:val="003CA0"/>
          <w:sz w:val="12"/>
        </w:rPr>
        <w:t xml:space="preserve"> | ADI 815</w:t>
      </w:r>
      <w:r>
        <w:rPr>
          <w:color w:val="003CA0"/>
          <w:sz w:val="12"/>
        </w:rPr>
        <w:t xml:space="preserve"> | rel. Moreira Alves</w:t>
      </w:r>
    </w:p>
    <w:p>
      <w:pPr>
        <w:ind w:left="288"/>
      </w:pPr>
      <w:r>
        <w:rPr>
          <w:color w:val="1E1E1E"/>
          <w:sz w:val="18"/>
        </w:rPr>
        <w:t>Parágrafos 1º e 2º do art. 45 da CF. A tese de que há hierarquia entre normas constitucionais originárias dando azo à declaração de inconstitucionalidade de umas em face de outras é incompossível com o sistema de Constituição rígida. Na atual Carta Magna "compete ao STF, precipuamente, a guarda da Constituição" (art. 102, caput), o que implica dizer que essa jurisdição lhe é atribuída para impedir que se desrespeite a Constituição como um todo, e não para, com relação a ela, exercer o papel de fiscal do poder constituinte originário, a fim de verificar se este teria, ou não, violado os princíp</w:t>
      </w:r>
    </w:p>
    <w:p>
      <w:pPr>
        <w:ind w:left="288"/>
      </w:pPr>
      <w:r>
        <w:rPr>
          <w:b/>
          <w:color w:val="003CA0"/>
          <w:sz w:val="16"/>
        </w:rPr>
        <w:t>[ADI 815, rel. min. Moreira Alves, j. 28-3-1996, P, DJ de 10-5-1996.]</w:t>
      </w:r>
    </w:p>
    <w:p>
      <w:pPr>
        <w:ind w:left="288"/>
      </w:pPr>
      <w:r>
        <w:rPr>
          <w:color w:val="8C8C8C"/>
          <w:sz w:val="12"/>
        </w:rPr>
        <w:t>cf-art-102-inc-I-ali-a</w:t>
      </w:r>
      <w:r>
        <w:rPr>
          <w:color w:val="003CA0"/>
          <w:sz w:val="12"/>
        </w:rPr>
        <w:t xml:space="preserve"> | ADI 1.344</w:t>
      </w:r>
      <w:r>
        <w:rPr>
          <w:color w:val="003CA0"/>
          <w:sz w:val="12"/>
        </w:rPr>
        <w:t xml:space="preserve"> | rel. Moreira Alves</w:t>
      </w:r>
    </w:p>
    <w:p>
      <w:pPr>
        <w:ind w:left="288"/>
      </w:pPr>
      <w:r>
        <w:rPr>
          <w:color w:val="1E1E1E"/>
          <w:sz w:val="18"/>
        </w:rPr>
        <w:t xml:space="preserve">Impossibilidade, na espécie, de se dar interpretação conforme à Constituição, pois essa técnica só é utilizável quando a norma impugnada admite, dentre as várias interpretações possíveis, uma que a compatibilize com a Carta Magna, e não quando o sentido da norma é unívoco, como sucede no caso presente. Quando, pela redação do texto no qual se inclui a parte da norma que é atacada como inconstitucional, não é possível suprimir dele qualquer expressão para alcançar essa parte, impõe-se a utilização da técnica de concessão da liminar "para a suspensão da eficácia parcial do texto impugnado sem a </w:t>
      </w:r>
    </w:p>
    <w:p>
      <w:pPr>
        <w:ind w:left="288"/>
      </w:pPr>
      <w:r>
        <w:rPr>
          <w:b/>
          <w:color w:val="003CA0"/>
          <w:sz w:val="16"/>
        </w:rPr>
        <w:t>[ADI 1.344 MC, rel. min. Moreira Alves, j. 18-12-1995, P, DJ de 19-4-1996.]</w:t>
      </w:r>
    </w:p>
    <w:p>
      <w:pPr>
        <w:ind w:left="288"/>
      </w:pPr>
      <w:r>
        <w:rPr>
          <w:color w:val="8C8C8C"/>
          <w:sz w:val="12"/>
        </w:rPr>
        <w:t>cf-art-102-inc-I-ali-a</w:t>
      </w:r>
      <w:r>
        <w:rPr>
          <w:color w:val="003CA0"/>
          <w:sz w:val="12"/>
        </w:rPr>
        <w:t xml:space="preserve"> | ADI 3.046</w:t>
      </w:r>
      <w:r>
        <w:rPr>
          <w:color w:val="003CA0"/>
          <w:sz w:val="12"/>
        </w:rPr>
        <w:t xml:space="preserve"> | rel. Sepúlveda Pertence</w:t>
      </w:r>
    </w:p>
    <w:p>
      <w:pPr>
        <w:ind w:left="288"/>
      </w:pPr>
      <w:r>
        <w:rPr>
          <w:color w:val="1E1E1E"/>
          <w:sz w:val="18"/>
        </w:rPr>
        <w:t xml:space="preserve">= ADI 3.046, rel. min. Sepúlveda Pertence, j. 15-4-2004, P, DJ de 28-5-2004 Vide ADI 3.510, rel. min. Ayres Britto, j. 29-5-2008, P, DJE de 28-5-2010 Vide ADPF 130, rel. min. Ayres Britto, j. 30-4-2009, P, DJE de 6-11-2009 A Constituição da República, em tema de ação direta, qualifica-se como o único instrumento normativo revestido de parametricidade, para efeito de fiscalização abstrata de constitucionalidade perante o STF. (...) O controle normativo abstrato, para efeito de sua válida instauração, supõe a ocorrência de situação de litigiosidade constitucional que reclama a existência de uma </w:t>
      </w:r>
    </w:p>
    <w:p>
      <w:pPr>
        <w:ind w:left="288"/>
      </w:pPr>
      <w:r>
        <w:rPr>
          <w:b/>
          <w:color w:val="003CA0"/>
          <w:sz w:val="16"/>
        </w:rPr>
        <w:t>[ADI 1.347 MC, rel. min. Celso de Mello, j. 5-10-1995, P, DJ de 1º-12-1995.]</w:t>
      </w:r>
    </w:p>
    <w:p>
      <w:pPr>
        <w:ind w:left="288"/>
      </w:pPr>
      <w:r>
        <w:rPr>
          <w:color w:val="8C8C8C"/>
          <w:sz w:val="12"/>
        </w:rPr>
        <w:t>cf-art-102-inc-I-ali-a</w:t>
      </w:r>
      <w:r>
        <w:rPr>
          <w:color w:val="003CA0"/>
          <w:sz w:val="12"/>
        </w:rPr>
        <w:t xml:space="preserve"> | ADPF 93</w:t>
      </w:r>
      <w:r>
        <w:rPr>
          <w:color w:val="003CA0"/>
          <w:sz w:val="12"/>
        </w:rPr>
        <w:t xml:space="preserve"> | rel. Ricardo Lewandowski</w:t>
      </w:r>
    </w:p>
    <w:p>
      <w:pPr>
        <w:ind w:left="288"/>
      </w:pPr>
      <w:r>
        <w:rPr>
          <w:color w:val="1E1E1E"/>
          <w:sz w:val="18"/>
        </w:rPr>
        <w:t xml:space="preserve">= ADPF 93 AgR, rel. min. Ricardo Lewandowski, j. 20-5-2009, P, DJE de 7-8-2009 = ADI 3.376, rel. min. Eros Grau, j. 16-6-2005, P, DJ de 23-6-2006 (...) o STF, em processo objetivo, como é o da ação direta de inconstitucionalidade, que impugna dispositivo de uma lei, em tese, não pode reconhecer, incidentalmente, a inconstitucionalidade de outra lei, que nem está sendo impugnada. Até porque a declaração incidental só é possível no controle difuso de constitucionalidade, com eficácia inter partes, sujeita, ainda, à deliberação do Senado no sentido da suspensão definitiva da vigência do diploma, </w:t>
      </w:r>
    </w:p>
    <w:p>
      <w:pPr>
        <w:ind w:left="288"/>
      </w:pPr>
      <w:r>
        <w:rPr>
          <w:b/>
          <w:color w:val="003CA0"/>
          <w:sz w:val="16"/>
        </w:rPr>
        <w:t>[ADI 91, rel. min. Sydney Sanches, j. 21-9-1995, P, DJ de 23-3-2001.]</w:t>
      </w:r>
    </w:p>
    <w:p>
      <w:pPr>
        <w:ind w:left="288"/>
      </w:pPr>
      <w:r>
        <w:rPr>
          <w:color w:val="8C8C8C"/>
          <w:sz w:val="12"/>
        </w:rPr>
        <w:t>cf-art-102-inc-I-ali-a</w:t>
      </w:r>
      <w:r>
        <w:rPr>
          <w:color w:val="003CA0"/>
          <w:sz w:val="12"/>
        </w:rPr>
        <w:t xml:space="preserve"> | ADI 561</w:t>
      </w:r>
      <w:r>
        <w:rPr>
          <w:color w:val="003CA0"/>
          <w:sz w:val="12"/>
        </w:rPr>
        <w:t xml:space="preserve"> | rel. Celso de Mello</w:t>
      </w:r>
    </w:p>
    <w:p>
      <w:pPr>
        <w:ind w:left="288"/>
      </w:pPr>
      <w:r>
        <w:rPr>
          <w:color w:val="1E1E1E"/>
          <w:sz w:val="18"/>
        </w:rPr>
        <w:t>O STF não está condicionado, no desempenho de sua atividade jurisdicional, pelas razões de ordem jurídica invocadas como suporte da pretensão de inconstitucionalidade deduzida pelo autor da ação direta. Tal circunstância, no entanto, não suprime à parte o dever processual de motivar o pedido e de identificar, na Constituição, em obséquio ao princípio da especificação das normas, os dispositivos alegadamente violados pelo ato normativo que pretende impugnar. Impõe-se ao autor, no processo de controle concentrado de constitucionalidade, sob pena de não conhecimento da ação direta, indicar as nor</w:t>
      </w:r>
    </w:p>
    <w:p>
      <w:pPr>
        <w:ind w:left="288"/>
      </w:pPr>
      <w:r>
        <w:rPr>
          <w:b/>
          <w:color w:val="003CA0"/>
          <w:sz w:val="16"/>
        </w:rPr>
        <w:t>[ADI 561 MC, rel. min. Celso de Mello, j. 23-8-1995, P, DJ de 23-3-2001.]</w:t>
      </w:r>
    </w:p>
    <w:p>
      <w:pPr>
        <w:ind w:left="288"/>
      </w:pPr>
      <w:r>
        <w:rPr>
          <w:color w:val="8C8C8C"/>
          <w:sz w:val="12"/>
        </w:rPr>
        <w:t>cf-art-102-inc-I-ali-a</w:t>
      </w:r>
      <w:r>
        <w:rPr>
          <w:color w:val="003CA0"/>
          <w:sz w:val="12"/>
        </w:rPr>
        <w:t xml:space="preserve"> | ADI 1.063</w:t>
      </w:r>
      <w:r>
        <w:rPr>
          <w:color w:val="003CA0"/>
          <w:sz w:val="12"/>
        </w:rPr>
        <w:t xml:space="preserve"> | rel. Celso de Mello</w:t>
      </w:r>
    </w:p>
    <w:p>
      <w:pPr>
        <w:ind w:left="288"/>
      </w:pPr>
      <w:r>
        <w:rPr>
          <w:color w:val="1E1E1E"/>
          <w:sz w:val="18"/>
        </w:rPr>
        <w:t>O STF como legislador negativo. A ação direta de inconstitucionalidade não pode ser utilizada com o objetivo de transformar o STF, indevidamente, em legislador positivo, eis que o poder de inovar o sistema normativo, em caráter inaugural, constitui função típica da instituição parlamentar. Não se revela lícito pretender, em sede de controle normativo abstrato, que o STF, a partir da supressão seletiva de fragmentos do discurso normativo inscrito no ato estatal impugnado, proceda à virtual criação de outra regra legal, substancialmente divorciada do conteúdo material que lhe deu o próprio legis</w:t>
      </w:r>
    </w:p>
    <w:p>
      <w:pPr>
        <w:ind w:left="288"/>
      </w:pPr>
      <w:r>
        <w:rPr>
          <w:b/>
          <w:color w:val="003CA0"/>
          <w:sz w:val="16"/>
        </w:rPr>
        <w:t>[ADI 1.063 MC, rel. min. Celso de Mello, j. 18-5-1994, P, DJ de 27-4-2001.]</w:t>
      </w:r>
    </w:p>
    <w:p>
      <w:pPr>
        <w:ind w:left="288"/>
      </w:pPr>
      <w:r>
        <w:rPr>
          <w:color w:val="8C8C8C"/>
          <w:sz w:val="12"/>
        </w:rPr>
        <w:t>cf-art-102-inc-I-ali-a</w:t>
      </w:r>
      <w:r>
        <w:rPr>
          <w:color w:val="003CA0"/>
          <w:sz w:val="12"/>
        </w:rPr>
        <w:t xml:space="preserve"> | ADI 996</w:t>
      </w:r>
      <w:r>
        <w:rPr>
          <w:color w:val="003CA0"/>
          <w:sz w:val="12"/>
        </w:rPr>
        <w:t xml:space="preserve"> | rel. Celso de Mello</w:t>
      </w:r>
    </w:p>
    <w:p>
      <w:pPr>
        <w:ind w:left="288"/>
      </w:pPr>
      <w:r>
        <w:rPr>
          <w:color w:val="1E1E1E"/>
          <w:sz w:val="18"/>
        </w:rPr>
        <w:t>Se a interpretação administrativa da lei, que vier a consubstanciar-se em decreto executivo, divergir do sentido e do conteúdo da norma legal que o ato secundário pretendeu regulamentar, quer porque tenha este se projetado ultra legem, quer porque tenha permanecido citra legem, quer, ainda, porque tenha investido contra legem, a questão caracterizará, sempre, típica crise de legalidade, e não de inconstitucionalidade, a inviabilizar, em consequência, a utilização do mecanismo processual da fiscalização normativa abstrata. O eventual extravasamento, pelo ato regulamentar, dos limites a que mate</w:t>
      </w:r>
    </w:p>
    <w:p>
      <w:pPr>
        <w:ind w:left="288"/>
      </w:pPr>
      <w:r>
        <w:rPr>
          <w:b/>
          <w:color w:val="003CA0"/>
          <w:sz w:val="16"/>
        </w:rPr>
        <w:t>[ADI 996 MC, rel. min. Celso de Mello, j. 11-3-1994, P, DJ de 6-5-1994.]</w:t>
      </w:r>
    </w:p>
    <w:p>
      <w:pPr>
        <w:ind w:left="288"/>
      </w:pPr>
      <w:r>
        <w:rPr>
          <w:color w:val="8C8C8C"/>
          <w:sz w:val="12"/>
        </w:rPr>
        <w:t>cf-art-102-inc-I-ali-a</w:t>
      </w:r>
      <w:r>
        <w:rPr>
          <w:color w:val="003CA0"/>
          <w:sz w:val="12"/>
        </w:rPr>
        <w:t xml:space="preserve"> | ADI 4.176</w:t>
      </w:r>
      <w:r>
        <w:rPr>
          <w:color w:val="003CA0"/>
          <w:sz w:val="12"/>
        </w:rPr>
        <w:t xml:space="preserve"> | rel. Cármen Lúcia</w:t>
      </w:r>
    </w:p>
    <w:p>
      <w:pPr>
        <w:ind w:left="288"/>
      </w:pPr>
      <w:r>
        <w:rPr>
          <w:color w:val="1E1E1E"/>
          <w:sz w:val="18"/>
        </w:rPr>
        <w:t>= ADI 4.176 AgR, rel. min. Cármen Lúcia, j. 20-6-2012, P, DJE de 1º-8-2012 Tramitação da ação declaratória de constitucionalidade. Incidente que se julga no sentido da constitucionalidade da EC 3, de 1993, no tocante à ação declaratória de constitucionalidade.</w:t>
      </w:r>
    </w:p>
    <w:p>
      <w:pPr>
        <w:ind w:left="288"/>
      </w:pPr>
      <w:r>
        <w:rPr>
          <w:b/>
          <w:color w:val="003CA0"/>
          <w:sz w:val="16"/>
        </w:rPr>
        <w:t>[ADC 1 QO, rel. min. Moreira Alves, j. 27-10-1993, P, DJ de 16-6-1995.]</w:t>
      </w:r>
    </w:p>
    <w:p>
      <w:pPr>
        <w:ind w:left="288"/>
      </w:pPr>
      <w:r>
        <w:rPr>
          <w:color w:val="8C8C8C"/>
          <w:sz w:val="12"/>
        </w:rPr>
        <w:t>cf-art-102-inc-I-ali-a</w:t>
      </w:r>
      <w:r>
        <w:rPr>
          <w:color w:val="003CA0"/>
          <w:sz w:val="12"/>
        </w:rPr>
        <w:t xml:space="preserve"> | ADI 669.</w:t>
      </w:r>
      <w:r>
        <w:rPr>
          <w:color w:val="003CA0"/>
          <w:sz w:val="12"/>
        </w:rPr>
        <w:t xml:space="preserve"> | rel. Moreira Alves)</w:t>
      </w:r>
    </w:p>
    <w:p>
      <w:pPr>
        <w:ind w:left="288"/>
      </w:pPr>
      <w:r>
        <w:rPr>
          <w:color w:val="1E1E1E"/>
          <w:sz w:val="18"/>
        </w:rPr>
        <w:t>Pedido de suspensão de sua eficácia manifestado por meio de reclamação, sob alegação de tratar-se de reprodução de lei anterior (n. 1.914, de 1991), da mesma unidade federada, cujos efeitos foram suspensos pelo STF, na ADI 669. Reclamação convertida em ação direta de inconstitucionalidade, na forma de precedentes do STF (ADI  864, rel.  min. Moreira Alves), com deferimento de nova cautelar, face à subsistência das razões determinantes da provisória privação dos efeitos da lei reproduzida.</w:t>
      </w:r>
    </w:p>
    <w:p>
      <w:pPr>
        <w:ind w:left="288"/>
      </w:pPr>
      <w:r>
        <w:rPr>
          <w:b/>
          <w:color w:val="003CA0"/>
          <w:sz w:val="16"/>
        </w:rPr>
        <w:t>[ADI 907 MC, rel. min. Ilmar Galvão, j. 8-10-1993, P, DJ de 3-12-1993.]</w:t>
      </w:r>
    </w:p>
    <w:p>
      <w:pPr>
        <w:ind w:left="288"/>
      </w:pPr>
      <w:r>
        <w:rPr>
          <w:color w:val="8C8C8C"/>
          <w:sz w:val="12"/>
        </w:rPr>
        <w:t>cf-art-102-inc-I-ali-a</w:t>
      </w:r>
      <w:r>
        <w:rPr>
          <w:color w:val="003CA0"/>
          <w:sz w:val="12"/>
        </w:rPr>
        <w:t xml:space="preserve"> | ADI 794</w:t>
      </w:r>
      <w:r>
        <w:rPr>
          <w:color w:val="003CA0"/>
          <w:sz w:val="12"/>
        </w:rPr>
        <w:t xml:space="preserve"> | rel. Sepúlveda Pertence</w:t>
      </w:r>
    </w:p>
    <w:p>
      <w:pPr>
        <w:ind w:left="288"/>
      </w:pPr>
      <w:r>
        <w:rPr>
          <w:color w:val="1E1E1E"/>
          <w:sz w:val="18"/>
        </w:rPr>
        <w:t>Ação direta de inconstitucionalidade: inidoneidade, se dependente da prévia solução de questões controvertidas de fato e de direito local. O controle direto de constitucionalidade das leis pressupõe a exata compreensão do sentido e do alcance das normas questionadas, a qual há de ser possível de obter-se no procedimento sumário e documental da ação direta. Se, ao contrário, a pré-compreensão do significado da lei impugnada pende da solução de intrincada controvérsia acerca da antecedente situação de fato e de direito sobre a qual pretende incidir, não é a ação direta de inconstitucionalidade a</w:t>
      </w:r>
    </w:p>
    <w:p>
      <w:pPr>
        <w:ind w:left="288"/>
      </w:pPr>
      <w:r>
        <w:rPr>
          <w:b/>
          <w:color w:val="003CA0"/>
          <w:sz w:val="16"/>
        </w:rPr>
        <w:t>[ADI 794, rel. min. Sepúlveda Pertence, j. 9-12-1992, P, DJ de 21-5-1993.]</w:t>
      </w:r>
    </w:p>
    <w:p>
      <w:pPr>
        <w:ind w:left="288"/>
      </w:pPr>
      <w:r>
        <w:rPr>
          <w:color w:val="8C8C8C"/>
          <w:sz w:val="12"/>
        </w:rPr>
        <w:t>cf-art-102-inc-I-ali-a</w:t>
      </w:r>
      <w:r>
        <w:rPr>
          <w:color w:val="003CA0"/>
          <w:sz w:val="12"/>
        </w:rPr>
        <w:t xml:space="preserve"> | ADI 4.303</w:t>
      </w:r>
      <w:r>
        <w:rPr>
          <w:color w:val="003CA0"/>
          <w:sz w:val="12"/>
        </w:rPr>
        <w:t xml:space="preserve"> | rel. Cármen Lúcia</w:t>
      </w:r>
    </w:p>
    <w:p>
      <w:pPr>
        <w:ind w:left="288"/>
      </w:pPr>
      <w:r>
        <w:rPr>
          <w:color w:val="1E1E1E"/>
          <w:sz w:val="18"/>
        </w:rPr>
        <w:t>= ADI 4.303, rel. min. Cármen Lúcia, j. 5-2-2014, P, DJE de 28-8-2014 A súmula, porque não apresenta as características de ato normativo, não está sujeita a jurisdição constitucional concentrada.</w:t>
      </w:r>
    </w:p>
    <w:p>
      <w:pPr>
        <w:ind w:left="288"/>
      </w:pPr>
      <w:r>
        <w:rPr>
          <w:b/>
          <w:color w:val="003CA0"/>
          <w:sz w:val="16"/>
        </w:rPr>
        <w:t>[ADI 594, rel. min. Carlos Velloso, j. 19-2-1992, P, DJ de 15-4-1994.]</w:t>
      </w:r>
    </w:p>
    <w:p>
      <w:pPr>
        <w:ind w:left="288"/>
      </w:pPr>
      <w:r>
        <w:rPr>
          <w:color w:val="8C8C8C"/>
          <w:sz w:val="12"/>
        </w:rPr>
        <w:t>cf-art-102-inc-I-ali-a</w:t>
      </w:r>
      <w:r>
        <w:rPr>
          <w:color w:val="003CA0"/>
          <w:sz w:val="12"/>
        </w:rPr>
        <w:t xml:space="preserve"> | RE 584.188</w:t>
      </w:r>
      <w:r>
        <w:rPr>
          <w:color w:val="003CA0"/>
          <w:sz w:val="12"/>
        </w:rPr>
        <w:t xml:space="preserve"> | rel. Ayres Britto</w:t>
      </w:r>
    </w:p>
    <w:p>
      <w:pPr>
        <w:ind w:left="288"/>
      </w:pPr>
      <w:r>
        <w:rPr>
          <w:color w:val="1E1E1E"/>
          <w:sz w:val="18"/>
        </w:rPr>
        <w:t>= RE 584.188 AgR, rel. min. Ayres Britto, j. 28-9-2010, 2ª T, DJE de 3-12-2010 Constituição. Lei anterior que a contrarie. Revogação. Inconstitucionalidade superveniente. Impossibilidade. A lei ou é constitucional ou não é lei. Lei inconstitucional é uma contradição em si. A lei é constitucional quando fiel à Constituição; inconstitucional na medida em que a desrespeita, dispondo sobre o que lhe era vedado. O vício da inconstitucionalidade é congênito à lei e há de ser apurado em face da Constituição vigente ao tempo de sua elaboração. Lei anterior não pode ser inconstitucional em relação à Co</w:t>
      </w:r>
    </w:p>
    <w:p>
      <w:pPr>
        <w:ind w:left="288"/>
      </w:pPr>
      <w:r>
        <w:rPr>
          <w:b/>
          <w:color w:val="003CA0"/>
          <w:sz w:val="16"/>
        </w:rPr>
        <w:t>[ADI 2, rel. min. Paulo Brossard, j. 6-2-1992, P, DJ de 21-11-1997.]</w:t>
      </w:r>
    </w:p>
    <w:p>
      <w:pPr>
        <w:ind w:left="288"/>
      </w:pPr>
      <w:r>
        <w:rPr>
          <w:color w:val="8C8C8C"/>
          <w:sz w:val="12"/>
        </w:rPr>
        <w:t>cf-art-102-inc-I-ali-a</w:t>
      </w:r>
      <w:r>
        <w:rPr>
          <w:color w:val="003CA0"/>
          <w:sz w:val="12"/>
        </w:rPr>
        <w:t xml:space="preserve"> | RE 343.801</w:t>
      </w:r>
      <w:r>
        <w:rPr>
          <w:color w:val="003CA0"/>
          <w:sz w:val="12"/>
        </w:rPr>
        <w:t xml:space="preserve"> | rel. Ayres Britto</w:t>
      </w:r>
    </w:p>
    <w:p>
      <w:pPr>
        <w:ind w:left="288"/>
      </w:pPr>
      <w:r>
        <w:rPr>
          <w:color w:val="1E1E1E"/>
          <w:sz w:val="18"/>
        </w:rPr>
        <w:t>= RE 343.801 AgR, rel. min. Ayres Britto, j. 20-3-2012, 2ª T, DJE de 26-6-2012 Vide ADI 2.158 e ADI 2.189, rel. min. Dias Toffoli, j. 15-9-2010, P, DJE de 16-12-2010 A ocorrência dos pressupostos de relevância e urgência para a edição de medidas provisórias não está de todo imune ao controle jurisdicional, restrito, porém, aos casos de abuso manifesto, dado caráter discricionário do juízo político que envolve, confiado ao Poder Executivo, sob censura do Congresso Nacional (ADI 162, de 14-12-1989).</w:t>
      </w:r>
    </w:p>
    <w:p>
      <w:pPr>
        <w:ind w:left="288"/>
      </w:pPr>
      <w:r>
        <w:rPr>
          <w:b/>
          <w:color w:val="003CA0"/>
          <w:sz w:val="16"/>
        </w:rPr>
        <w:t>[ADI 525 MC, rel. min. Sepúlveda Pertence, j. 12-6-1991, P, DJ de 2-4-2004.]</w:t>
      </w:r>
    </w:p>
    <w:p>
      <w:pPr>
        <w:ind w:left="288"/>
      </w:pPr>
      <w:r>
        <w:rPr>
          <w:color w:val="8C8C8C"/>
          <w:sz w:val="12"/>
        </w:rPr>
        <w:t>cf-art-102-inc-I-ali-a</w:t>
      </w:r>
      <w:r>
        <w:rPr>
          <w:color w:val="003CA0"/>
          <w:sz w:val="12"/>
        </w:rPr>
        <w:t xml:space="preserve"> | ADI 466</w:t>
      </w:r>
      <w:r>
        <w:rPr>
          <w:color w:val="003CA0"/>
          <w:sz w:val="12"/>
        </w:rPr>
        <w:t xml:space="preserve"> | rel. Celso de Mello</w:t>
      </w:r>
    </w:p>
    <w:p>
      <w:pPr>
        <w:ind w:left="288"/>
      </w:pPr>
      <w:r>
        <w:rPr>
          <w:color w:val="1E1E1E"/>
          <w:sz w:val="18"/>
        </w:rPr>
        <w:t>O direito constitucional positivo brasileiro, ao longo de sua evolução histórica, jamais autorizou – como a nova Constituição promulgada em 1988 também não o admite – o sistema de controle jurisdicional preventivo de constitucionalidade, em abstrato. Inexiste, desse modo, em nosso sistema jurídico, a possibilidade de fiscalização abstrata preventiva da legitimidade constitucional de meras proposições normativas pelo STF.</w:t>
      </w:r>
    </w:p>
    <w:p>
      <w:pPr>
        <w:ind w:left="288"/>
      </w:pPr>
      <w:r>
        <w:rPr>
          <w:b/>
          <w:color w:val="003CA0"/>
          <w:sz w:val="16"/>
        </w:rPr>
        <w:t>[ADI 466, rel. min. Celso de Mello, j. 3-4-1991, P, DJ de 10-5-1991.]</w:t>
      </w:r>
    </w:p>
    <w:p>
      <w:pPr>
        <w:ind w:left="288"/>
      </w:pPr>
      <w:r>
        <w:rPr>
          <w:color w:val="8C8C8C"/>
          <w:sz w:val="12"/>
        </w:rPr>
        <w:t>cf-art-102-inc-I-ali-a</w:t>
      </w:r>
      <w:r>
        <w:rPr>
          <w:color w:val="003CA0"/>
          <w:sz w:val="12"/>
        </w:rPr>
        <w:t xml:space="preserve"> | MS 32.033</w:t>
      </w:r>
      <w:r>
        <w:rPr>
          <w:color w:val="003CA0"/>
          <w:sz w:val="12"/>
        </w:rPr>
        <w:t xml:space="preserve"> | rel. Sydney Sanches</w:t>
      </w:r>
    </w:p>
    <w:p>
      <w:pPr>
        <w:ind w:left="288"/>
      </w:pPr>
      <w:r>
        <w:rPr>
          <w:color w:val="1E1E1E"/>
          <w:sz w:val="18"/>
        </w:rPr>
        <w:t>= MS 32.033, red. do ac. min. Teori Zavascki, j. 20-6-2013, P, DJE de 18-2-2014 Ministro que oficiou nos autos do processo da ação direta de inconstitucionalidade, como procurador-geral da República, emitindo parecer sobre medida cautelar, está impedido de participar, como membro da Corte, do julgamento final da ação. Ministro que participou, como membro do Poder Executivo, da discussão de questões que levaram à elaboração do ato impugnado na ação direta de inconstitucionalidade não está, só por isso, impedido de participar do julgamento.</w:t>
      </w:r>
    </w:p>
    <w:p>
      <w:pPr>
        <w:ind w:left="288"/>
      </w:pPr>
      <w:r>
        <w:rPr>
          <w:b/>
          <w:color w:val="003CA0"/>
          <w:sz w:val="16"/>
        </w:rPr>
        <w:t>[ADI 4, rel. min. Sydney Sanches, j. 7-3-1991, P, DJ de 25-6-1993.]</w:t>
      </w:r>
    </w:p>
    <w:p>
      <w:pPr>
        <w:ind w:left="288"/>
      </w:pPr>
      <w:r>
        <w:rPr>
          <w:color w:val="8C8C8C"/>
          <w:sz w:val="12"/>
        </w:rPr>
        <w:t>cf-art-102-inc-I-ali-a</w:t>
      </w:r>
      <w:r>
        <w:rPr>
          <w:color w:val="003CA0"/>
          <w:sz w:val="12"/>
        </w:rPr>
        <w:t xml:space="preserve"> | ADI 221</w:t>
      </w:r>
      <w:r>
        <w:rPr>
          <w:color w:val="003CA0"/>
          <w:sz w:val="12"/>
        </w:rPr>
        <w:t xml:space="preserve"> | rel. Moreira Alves</w:t>
      </w:r>
    </w:p>
    <w:p>
      <w:pPr>
        <w:ind w:left="288"/>
      </w:pPr>
      <w:r>
        <w:rPr>
          <w:color w:val="1E1E1E"/>
          <w:sz w:val="18"/>
        </w:rPr>
        <w:t>Em nosso sistema jurídico, não se admite declaração de inconstitucionalidade de lei ou de ato normativo com força de lei por lei ou por ato normativo com força de lei posteriores. O controle de constitucionalidade da lei ou dos atos normativos é da competência exclusiva do Poder Judiciário. Os Poderes Executivo e Legislativo, por sua chefia – e isso mesmo tem sido questionado com o alargamento da legitimação ativa na ação direta de inconstitucionalidade –, podem tão só determinar aos seus órgãos subordinados que deixem de aplicar administrativamente as leis ou atos com força de lei que conside</w:t>
      </w:r>
    </w:p>
    <w:p>
      <w:pPr>
        <w:ind w:left="288"/>
      </w:pPr>
      <w:r>
        <w:rPr>
          <w:b/>
          <w:color w:val="003CA0"/>
          <w:sz w:val="16"/>
        </w:rPr>
        <w:t>[ADI 221 MC, rel. min. Moreira Alves, j. 29-3-1990, P, DJ de 22-10-1993.]</w:t>
      </w:r>
    </w:p>
    <w:p>
      <w:pPr>
        <w:ind w:left="144"/>
      </w:pPr>
      <w:r>
        <w:rPr>
          <w:b/>
          <w:color w:val="B45A00"/>
          <w:sz w:val="16"/>
        </w:rPr>
        <w:t>REPERCUSSAO GERAL</w:t>
      </w:r>
    </w:p>
    <w:p>
      <w:pPr>
        <w:ind w:left="288"/>
      </w:pPr>
      <w:r>
        <w:rPr>
          <w:color w:val="8C8C8C"/>
          <w:sz w:val="12"/>
        </w:rPr>
        <w:t>cf-art-102-inc-I-ali-a</w:t>
      </w:r>
      <w:r>
        <w:rPr>
          <w:color w:val="003CA0"/>
          <w:sz w:val="12"/>
        </w:rPr>
        <w:t xml:space="preserve"> | RE 730.462</w:t>
      </w:r>
      <w:r>
        <w:rPr>
          <w:color w:val="003CA0"/>
          <w:sz w:val="12"/>
        </w:rPr>
        <w:t xml:space="preserve"> | rel. Teori Zavascki</w:t>
      </w:r>
    </w:p>
    <w:p>
      <w:pPr>
        <w:ind w:left="288"/>
      </w:pPr>
      <w:r>
        <w:rPr>
          <w:color w:val="1E1E1E"/>
          <w:sz w:val="18"/>
        </w:rPr>
        <w:t>(...) a decisão do STF declarando a constitucionalidade ou a inconstitucionalidade de preceito normativo não produz a automática reforma ou rescisão das sentenças anteriores que tenham adotado entendimento diferente; para que tal ocorra, será indispensável a interposição do recurso próprio ou, se for o caso, a propositura da ação rescisória própria, nos termos do art. 485, V, do CPC, observado o respectivo prazo decadencial (CPC, art. 495). Ressalva-se desse entendimento, quanto à indispensabilidade da ação rescisória, a questão relacionada à execução de efeitos futuros da sentença proferida e</w:t>
      </w:r>
    </w:p>
    <w:p>
      <w:pPr>
        <w:ind w:left="288"/>
      </w:pPr>
      <w:r>
        <w:rPr>
          <w:b/>
          <w:color w:val="003CA0"/>
          <w:sz w:val="16"/>
        </w:rPr>
        <w:t>[RE 730.462, rel. min. Teori Zavascki, j. 28-5-2015, P, DJE de 9-9-2015, Tema 733, com mérito julgado.]</w:t>
      </w:r>
    </w:p>
    <w:p>
      <w:pPr>
        <w:ind w:left="144"/>
      </w:pPr>
      <w:r>
        <w:rPr>
          <w:b/>
          <w:color w:val="B45A00"/>
          <w:sz w:val="16"/>
        </w:rPr>
        <w:t>JULGADOS CORRELATOS</w:t>
      </w:r>
    </w:p>
    <w:p>
      <w:pPr>
        <w:ind w:left="288"/>
      </w:pPr>
      <w:r>
        <w:rPr>
          <w:color w:val="8C8C8C"/>
          <w:sz w:val="12"/>
        </w:rPr>
        <w:t>cf-art-102-inc-I-ali-a</w:t>
      </w:r>
      <w:r>
        <w:rPr>
          <w:color w:val="003CA0"/>
          <w:sz w:val="12"/>
        </w:rPr>
        <w:t xml:space="preserve"> | MS 32.582</w:t>
      </w:r>
      <w:r>
        <w:rPr>
          <w:color w:val="003CA0"/>
          <w:sz w:val="12"/>
        </w:rPr>
        <w:t xml:space="preserve"> | rel. Celso de Mello</w:t>
      </w:r>
    </w:p>
    <w:p>
      <w:pPr>
        <w:ind w:left="288"/>
      </w:pPr>
      <w:r>
        <w:rPr>
          <w:color w:val="1E1E1E"/>
          <w:sz w:val="18"/>
        </w:rPr>
        <w:t>Não é possível a utilização do procedimento de controle administrativo como sucedâneo da ação direta de inconstitucionalidade, inclusive com usurpação da função jurisdicional deste egrégio STF (...).</w:t>
      </w:r>
    </w:p>
    <w:p>
      <w:pPr>
        <w:ind w:left="288"/>
      </w:pPr>
      <w:r>
        <w:rPr>
          <w:b/>
          <w:color w:val="003CA0"/>
          <w:sz w:val="16"/>
        </w:rPr>
        <w:t>[MS 32.582 MC, rel. min. Celso de Mello, j. 3-2-2014, dec. monocrática, DJE de 11-2-2014.]</w:t>
      </w:r>
    </w:p>
    <w:p>
      <w:pPr>
        <w:ind w:left="288"/>
      </w:pPr>
      <w:r>
        <w:rPr>
          <w:color w:val="8C8C8C"/>
          <w:sz w:val="12"/>
        </w:rPr>
        <w:t>cf-art-102-inc-I-ali-a</w:t>
      </w:r>
      <w:r>
        <w:rPr>
          <w:color w:val="003CA0"/>
          <w:sz w:val="12"/>
        </w:rPr>
        <w:t xml:space="preserve"> | ACO 1.062</w:t>
      </w:r>
      <w:r>
        <w:rPr>
          <w:color w:val="003CA0"/>
          <w:sz w:val="12"/>
        </w:rPr>
        <w:t xml:space="preserve"> | rel. Ricardo Lewandowski</w:t>
      </w:r>
    </w:p>
    <w:p>
      <w:pPr>
        <w:ind w:left="288"/>
      </w:pPr>
      <w:r>
        <w:rPr>
          <w:color w:val="1E1E1E"/>
          <w:sz w:val="18"/>
        </w:rPr>
        <w:t>= ACO 1.062 AgR, rel. min. Ricardo Lewandowski, j. 13-8-2014, P, DJE de 25-8-2014 As decisões proferidas em sede de controle concentrado de constitucionalidade, em regra, passam a produzir efeitos a partir da publicação, no veículo oficial, da ata de julgamento.</w:t>
      </w:r>
    </w:p>
    <w:p>
      <w:pPr>
        <w:ind w:left="288"/>
      </w:pPr>
      <w:r>
        <w:rPr>
          <w:b/>
          <w:color w:val="003CA0"/>
          <w:sz w:val="16"/>
        </w:rPr>
        <w:t>[Rcl 6.999 AgR, rel. min. Teori Zavascki, j. 17-10-2013, P, DJE de 7-11-2013.]</w:t>
      </w:r>
    </w:p>
    <w:p>
      <w:pPr>
        <w:ind w:left="288"/>
      </w:pPr>
      <w:r>
        <w:rPr>
          <w:color w:val="8C8C8C"/>
          <w:sz w:val="12"/>
        </w:rPr>
        <w:t>cf-art-102-inc-I-ali-a</w:t>
      </w:r>
      <w:r>
        <w:rPr>
          <w:color w:val="003CA0"/>
          <w:sz w:val="12"/>
        </w:rPr>
        <w:t xml:space="preserve"> | RE 432.884</w:t>
      </w:r>
      <w:r>
        <w:rPr>
          <w:color w:val="003CA0"/>
          <w:sz w:val="12"/>
        </w:rPr>
        <w:t xml:space="preserve"> | rel. Joaquim Barbosa</w:t>
      </w:r>
    </w:p>
    <w:p>
      <w:pPr>
        <w:ind w:left="288"/>
      </w:pPr>
      <w:r>
        <w:rPr>
          <w:color w:val="1E1E1E"/>
          <w:sz w:val="18"/>
        </w:rPr>
        <w:t>Da decisão que declara a inconstitucionalidade de lei federal, sem observância da reserva de plenário, é cabível o recurso extraordinário fundado na violação do art. 97 da Constituição (art. 102, III, a, da Constituição). Descabe sobrepor as hipóteses de cabimento do recurso extraordinário para viabilizar o julgamento de mérito de demanda cujas razões recursais são deficientes (interposição exclusivamente nos termos do art. 102, III, b, da Constituição).</w:t>
      </w:r>
    </w:p>
    <w:p>
      <w:pPr>
        <w:ind w:left="288"/>
      </w:pPr>
      <w:r>
        <w:rPr>
          <w:b/>
          <w:color w:val="003CA0"/>
          <w:sz w:val="16"/>
        </w:rPr>
        <w:t>[RE 432.884 AgR, rel. min. Joaquim Barbosa, j. 26-6-2012, 2ª T, DJE de 13-8-2012.]</w:t>
      </w:r>
    </w:p>
    <w:p>
      <w:pPr>
        <w:ind w:left="288"/>
      </w:pPr>
      <w:r>
        <w:rPr>
          <w:color w:val="8C8C8C"/>
          <w:sz w:val="12"/>
        </w:rPr>
        <w:t>cf-art-102-inc-I-ali-a</w:t>
      </w:r>
      <w:r>
        <w:rPr>
          <w:color w:val="003CA0"/>
          <w:sz w:val="12"/>
        </w:rPr>
        <w:t xml:space="preserve"> | AI 749.030</w:t>
      </w:r>
      <w:r>
        <w:rPr>
          <w:color w:val="003CA0"/>
          <w:sz w:val="12"/>
        </w:rPr>
        <w:t xml:space="preserve"> | rel. Dias Toffoli</w:t>
      </w:r>
    </w:p>
    <w:p>
      <w:pPr>
        <w:ind w:left="288"/>
      </w:pPr>
      <w:r>
        <w:rPr>
          <w:color w:val="1E1E1E"/>
          <w:sz w:val="18"/>
        </w:rPr>
        <w:t>= AI 749.030 AgR, rel. min. Dias Toffoli, j. 10-9-2013, 1ª T, DJE de 7-11-2013 Modelo exigente de controle de constitucionalidade das leis em matéria penal, baseado em níveis de intensidade. Podem ser distinguidos três níveis ou graus de intensidade do controle de constitucionalidade de leis penais, consoante as diretrizes elaboradas pela doutrina e jurisprudência constitucional alemã: a) controle de evidência (Evidenzkontrolle); b) controle de sustentabilidade ou justificabilidade (Vertretbarkeitskontrolle); c) controle material de intensidade (intensivierten inhaltlichen Kontrolle). O Tribun</w:t>
      </w:r>
    </w:p>
    <w:p>
      <w:pPr>
        <w:ind w:left="288"/>
      </w:pPr>
      <w:r>
        <w:rPr>
          <w:b/>
          <w:color w:val="003CA0"/>
          <w:sz w:val="16"/>
        </w:rPr>
        <w:t>[HC 104.410, rel. min. Gilmar Mendes, j. 6-3-2012, 2ª T, DJE de 27-3-2012.]</w:t>
      </w:r>
    </w:p>
    <w:p>
      <w:pPr>
        <w:ind w:left="288"/>
      </w:pPr>
      <w:r>
        <w:rPr>
          <w:color w:val="8C8C8C"/>
          <w:sz w:val="12"/>
        </w:rPr>
        <w:t>cf-art-102-inc-I-ali-a</w:t>
      </w:r>
      <w:r>
        <w:rPr>
          <w:color w:val="003CA0"/>
          <w:sz w:val="12"/>
        </w:rPr>
        <w:t xml:space="preserve"> | RCL 4.329</w:t>
      </w:r>
      <w:r>
        <w:rPr>
          <w:color w:val="003CA0"/>
          <w:sz w:val="12"/>
        </w:rPr>
        <w:t xml:space="preserve"> | rel. Ayres Britto</w:t>
      </w:r>
    </w:p>
    <w:p>
      <w:pPr>
        <w:ind w:left="288"/>
      </w:pPr>
      <w:r>
        <w:rPr>
          <w:color w:val="1E1E1E"/>
          <w:sz w:val="18"/>
        </w:rPr>
        <w:t>O Tribunal de Justiça do Estado de Minas Gerais, em sede de representação de inconstitucionalidade, suspendeu a eficácia da Lei 9.148/2004 do Município de Uberaba/MG, com fundamento no art. 2º da CF, bem como pelo fato de o Município haver usurpado a competência legislativa e material da União em tema de serviço de radiodifusão (inciso IV do art. 22 e inciso XII do art. 21 e art. 223, todos da Carta Magna). Situação configuradora de usurpação da competência originária do STF, dado que os parâmetros constitucionais de que lançou mão a Casa de Justiça reclamada não são de absorção obrigatória pe</w:t>
      </w:r>
    </w:p>
    <w:p>
      <w:pPr>
        <w:ind w:left="288"/>
      </w:pPr>
      <w:r>
        <w:rPr>
          <w:b/>
          <w:color w:val="003CA0"/>
          <w:sz w:val="16"/>
        </w:rPr>
        <w:t>[Rcl 4.329, rel. min. Ayres Britto, j. 17-11-2011, P, DJE de 12-12-2011.]</w:t>
      </w:r>
    </w:p>
    <w:p>
      <w:pPr>
        <w:ind w:left="288"/>
      </w:pPr>
      <w:r>
        <w:rPr>
          <w:color w:val="8C8C8C"/>
          <w:sz w:val="12"/>
        </w:rPr>
        <w:t>cf-art-102-inc-I-ali-a</w:t>
      </w:r>
      <w:r>
        <w:rPr>
          <w:color w:val="003CA0"/>
          <w:sz w:val="12"/>
        </w:rPr>
        <w:t xml:space="preserve"> | RCL 383</w:t>
      </w:r>
      <w:r>
        <w:rPr>
          <w:color w:val="003CA0"/>
          <w:sz w:val="12"/>
        </w:rPr>
        <w:t xml:space="preserve"> | rel. Moreira Alves</w:t>
      </w:r>
    </w:p>
    <w:p>
      <w:pPr>
        <w:ind w:left="288"/>
      </w:pPr>
      <w:r>
        <w:rPr>
          <w:color w:val="1E1E1E"/>
          <w:sz w:val="18"/>
        </w:rPr>
        <w:t>Vide Rcl 383, rel. min. Moreira Alves, j. 11-6-1992, P, DJ de 21-5-1993 A Lei 8.223/2007, decretada e sancionada pelos Poderes Legislativo e Executivo do Estado da Paraíba, não pode ter o controle de constitucionalidade realizado pelo CNJ, pois a Constituição da República confere essa competência, com exclusividade, ao STF.</w:t>
      </w:r>
    </w:p>
    <w:p>
      <w:pPr>
        <w:ind w:left="288"/>
      </w:pPr>
      <w:r>
        <w:rPr>
          <w:b/>
          <w:color w:val="003CA0"/>
          <w:sz w:val="16"/>
        </w:rPr>
        <w:t>[AC 2.390 MC-REF, rel. min. Cármen Lúcia, j. 19-8-2010, P, DJE de 2-5-2011.]</w:t>
      </w:r>
    </w:p>
    <w:p>
      <w:pPr>
        <w:ind w:left="288"/>
      </w:pPr>
      <w:r>
        <w:rPr>
          <w:color w:val="8C8C8C"/>
          <w:sz w:val="12"/>
        </w:rPr>
        <w:t>cf-art-102-inc-I-ali-a</w:t>
      </w:r>
      <w:r>
        <w:rPr>
          <w:color w:val="003CA0"/>
          <w:sz w:val="12"/>
        </w:rPr>
        <w:t xml:space="preserve"> | RE 582.258</w:t>
      </w:r>
      <w:r>
        <w:rPr>
          <w:color w:val="003CA0"/>
          <w:sz w:val="12"/>
        </w:rPr>
        <w:t xml:space="preserve"> | rel. Ricardo Lewandowski</w:t>
      </w:r>
    </w:p>
    <w:p>
      <w:pPr>
        <w:ind w:left="288"/>
      </w:pPr>
      <w:r>
        <w:rPr>
          <w:color w:val="1E1E1E"/>
          <w:sz w:val="18"/>
        </w:rPr>
        <w:t>O STF não tem competência para determinar, de imediato, a aplicação de eventual comando legal em substituição de lei ou ato normativo considerado inconstitucional.</w:t>
      </w:r>
    </w:p>
    <w:p>
      <w:pPr>
        <w:ind w:left="288"/>
      </w:pPr>
      <w:r>
        <w:rPr>
          <w:b/>
          <w:color w:val="003CA0"/>
          <w:sz w:val="16"/>
        </w:rPr>
        <w:t>[RE 582.258 AgR-AgR, rel. min. Ricardo Lewandowski, j. 6-4-2010, 1ª T, DJE de 14-5-2010.]</w:t>
      </w:r>
    </w:p>
    <w:p>
      <w:pPr>
        <w:ind w:left="288"/>
      </w:pPr>
      <w:r>
        <w:rPr>
          <w:color w:val="8C8C8C"/>
          <w:sz w:val="12"/>
        </w:rPr>
        <w:t>cf-art-102-inc-I-ali-a</w:t>
      </w:r>
      <w:r>
        <w:rPr>
          <w:color w:val="003CA0"/>
          <w:sz w:val="12"/>
        </w:rPr>
        <w:t xml:space="preserve"> | RE 579.760</w:t>
      </w:r>
      <w:r>
        <w:rPr>
          <w:color w:val="003CA0"/>
          <w:sz w:val="12"/>
        </w:rPr>
        <w:t xml:space="preserve"> | rel. Cezar Peluso</w:t>
      </w:r>
    </w:p>
    <w:p>
      <w:pPr>
        <w:ind w:left="288"/>
      </w:pPr>
      <w:r>
        <w:rPr>
          <w:color w:val="1E1E1E"/>
          <w:sz w:val="18"/>
        </w:rPr>
        <w:t>São singulares os prazos recursais das ações de controle abstrato de constitucionalidade, em razão de seu reconhecido caráter objetivo.</w:t>
      </w:r>
    </w:p>
    <w:p>
      <w:pPr>
        <w:ind w:left="288"/>
      </w:pPr>
      <w:r>
        <w:rPr>
          <w:b/>
          <w:color w:val="003CA0"/>
          <w:sz w:val="16"/>
        </w:rPr>
        <w:t>[RE 579.760 ED, rel. min. Cezar Peluso, j. 27-10-2009, 2ª T, DJE de 20-11-2009.]</w:t>
      </w:r>
    </w:p>
    <w:p>
      <w:pPr>
        <w:ind w:left="288"/>
      </w:pPr>
      <w:r>
        <w:rPr>
          <w:color w:val="8C8C8C"/>
          <w:sz w:val="12"/>
        </w:rPr>
        <w:t>cf-art-102-inc-I-ali-a</w:t>
      </w:r>
      <w:r>
        <w:rPr>
          <w:color w:val="003CA0"/>
          <w:sz w:val="12"/>
        </w:rPr>
        <w:t xml:space="preserve"> | AI 788.453</w:t>
      </w:r>
      <w:r>
        <w:rPr>
          <w:color w:val="003CA0"/>
          <w:sz w:val="12"/>
        </w:rPr>
        <w:t xml:space="preserve"> | rel. Ricardo Lewandowski</w:t>
      </w:r>
    </w:p>
    <w:p>
      <w:pPr>
        <w:ind w:left="288"/>
      </w:pPr>
      <w:r>
        <w:rPr>
          <w:color w:val="1E1E1E"/>
          <w:sz w:val="18"/>
        </w:rPr>
        <w:t>= AI 788.453 AgR, rel. min. Ricardo Lewandowski, j. 28-6-2011, 1ª T, DJE de 15-8-2011 Não há falar em declaração de constitucionalidade incidenter tantum quando o Tribunal, à unanimidade, não conheceu da ação por falta de pertinência temática em relação ao art. 23 da Lei 8.096/1994. O não conhecimento da ação direta quanto ao item impugnado não gera, em nenhuma hipótese, a declaração de sua constitucionalidade.</w:t>
      </w:r>
    </w:p>
    <w:p>
      <w:pPr>
        <w:ind w:left="288"/>
      </w:pPr>
      <w:r>
        <w:rPr>
          <w:b/>
          <w:color w:val="003CA0"/>
          <w:sz w:val="16"/>
        </w:rPr>
        <w:t>[Rcl 5.914 AgR, rel. min. Ricardo Lewandowski, j. 25-6-2008, P, DJE de 15-8-2008.]</w:t>
      </w:r>
    </w:p>
    <w:p>
      <w:pPr>
        <w:ind w:left="288"/>
      </w:pPr>
      <w:r>
        <w:rPr>
          <w:color w:val="8C8C8C"/>
          <w:sz w:val="12"/>
        </w:rPr>
        <w:t>cf-art-102-inc-I-ali-a</w:t>
      </w:r>
      <w:r>
        <w:rPr>
          <w:color w:val="003CA0"/>
          <w:sz w:val="12"/>
        </w:rPr>
        <w:t xml:space="preserve"> | RE 424.993</w:t>
      </w:r>
      <w:r>
        <w:rPr>
          <w:color w:val="003CA0"/>
          <w:sz w:val="12"/>
        </w:rPr>
        <w:t xml:space="preserve"> | rel. Joaquim Barbosa</w:t>
      </w:r>
    </w:p>
    <w:p>
      <w:pPr>
        <w:ind w:left="288"/>
      </w:pPr>
      <w:r>
        <w:rPr>
          <w:color w:val="1E1E1E"/>
          <w:sz w:val="18"/>
        </w:rPr>
        <w:t>A jurisprudência do STF tem reconhecido que se pode pleitear a inconstitucionalidade de determinado ato normativo na ação civil pública, desde que incidenter tantum. Veda-se, no entanto, o uso da ação civil pública para alcançar a declaração de inconstitucionalidade com efeitos erga omnes.</w:t>
      </w:r>
    </w:p>
    <w:p>
      <w:pPr>
        <w:ind w:left="288"/>
      </w:pPr>
      <w:r>
        <w:rPr>
          <w:b/>
          <w:color w:val="003CA0"/>
          <w:sz w:val="16"/>
        </w:rPr>
        <w:t>[RE 424.993, rel. min. Joaquim Barbosa, j. 12-9-2007, P, DJ de 19-10-2007.]</w:t>
      </w:r>
    </w:p>
    <w:p>
      <w:pPr>
        <w:ind w:left="288"/>
      </w:pPr>
      <w:r>
        <w:rPr>
          <w:color w:val="8C8C8C"/>
          <w:sz w:val="12"/>
        </w:rPr>
        <w:t>cf-art-102-inc-I-ali-a</w:t>
      </w:r>
      <w:r>
        <w:rPr>
          <w:color w:val="003CA0"/>
          <w:sz w:val="12"/>
        </w:rPr>
        <w:t xml:space="preserve"> | RCL 8.605</w:t>
      </w:r>
      <w:r>
        <w:rPr>
          <w:color w:val="003CA0"/>
          <w:sz w:val="12"/>
        </w:rPr>
        <w:t xml:space="preserve"> | rel. Marco Aurélio</w:t>
      </w:r>
    </w:p>
    <w:p>
      <w:pPr>
        <w:ind w:left="288"/>
      </w:pPr>
      <w:r>
        <w:rPr>
          <w:color w:val="1E1E1E"/>
          <w:sz w:val="18"/>
        </w:rPr>
        <w:t>= Rcl 8.605 AgR, rel. min. Marco Aurélio, j. 17-10-2013, P, DJE de 7-11-2013 Aplicação, pelo Tribunal de Justiça do Espírito Santo, da interpretação conferida pelo STF no julgamento das ADI 3.105/DF e ADI 3.128/DF. Desnecessidade de "retificação"/"correção" pelo órgão legislativo competente em tese. Legitimidade do STF na jurisdição constitucional brasileira.</w:t>
      </w:r>
    </w:p>
    <w:p>
      <w:pPr>
        <w:ind w:left="288"/>
      </w:pPr>
      <w:r>
        <w:rPr>
          <w:b/>
          <w:color w:val="003CA0"/>
          <w:sz w:val="16"/>
        </w:rPr>
        <w:t>[Pet 3.476 AgR, rel. min. Gilmar Mendes, j. 3-5-2006, P, DJ de 9-6-2006.]</w:t>
      </w:r>
    </w:p>
    <w:p>
      <w:pPr>
        <w:ind w:left="288"/>
      </w:pPr>
      <w:r>
        <w:rPr>
          <w:color w:val="8C8C8C"/>
          <w:sz w:val="12"/>
        </w:rPr>
        <w:t>cf-art-102-inc-I-ali-a</w:t>
      </w:r>
      <w:r>
        <w:rPr>
          <w:color w:val="003CA0"/>
          <w:sz w:val="12"/>
        </w:rPr>
        <w:t xml:space="preserve"> | RE 313.768</w:t>
      </w:r>
      <w:r>
        <w:rPr>
          <w:color w:val="003CA0"/>
          <w:sz w:val="12"/>
        </w:rPr>
        <w:t xml:space="preserve"> | rel. Sepúlveda Pertence</w:t>
      </w:r>
    </w:p>
    <w:p>
      <w:pPr>
        <w:ind w:left="288"/>
      </w:pPr>
      <w:r>
        <w:rPr>
          <w:color w:val="1E1E1E"/>
          <w:sz w:val="18"/>
        </w:rPr>
        <w:t>Controle incidente de constitucionalidade: vínculo das Turmas do STF à precedente declaração plenária da constitucionalidade ou inconstitucionalidade de lei ou ato normativo, salvo proposta de revisão de qualquer dos ministros (RISTF, arts. 101 e 103, c/c art. 557, CPC.</w:t>
      </w:r>
    </w:p>
    <w:p>
      <w:pPr>
        <w:ind w:left="288"/>
      </w:pPr>
      <w:r>
        <w:rPr>
          <w:b/>
          <w:color w:val="003CA0"/>
          <w:sz w:val="16"/>
        </w:rPr>
        <w:t>[RE 313.768 AgR, rel. min. Sepúlveda Pertence, j. 26-11-2002, 1ª T, DJ de 19-12-2002.]</w:t>
      </w:r>
    </w:p>
    <w:p>
      <w:pPr>
        <w:ind w:left="144"/>
      </w:pPr>
      <w:r>
        <w:rPr>
          <w:b/>
          <w:color w:val="B45A00"/>
          <w:sz w:val="16"/>
        </w:rPr>
        <w:t>CONTROLE CONCENTRADO</w:t>
      </w:r>
    </w:p>
    <w:p>
      <w:pPr>
        <w:ind w:left="288"/>
      </w:pPr>
      <w:r>
        <w:rPr>
          <w:color w:val="8C8C8C"/>
          <w:sz w:val="12"/>
        </w:rPr>
        <w:t>cf-art-102-inc-I-ali-a</w:t>
      </w:r>
      <w:r>
        <w:rPr>
          <w:color w:val="003CA0"/>
          <w:sz w:val="12"/>
        </w:rPr>
        <w:t xml:space="preserve"> | PET 1.543</w:t>
      </w:r>
      <w:r>
        <w:rPr>
          <w:color w:val="003CA0"/>
          <w:sz w:val="12"/>
        </w:rPr>
        <w:t xml:space="preserve"> | rel. Marco Aurélio</w:t>
      </w:r>
    </w:p>
    <w:p>
      <w:pPr>
        <w:ind w:left="288"/>
      </w:pPr>
      <w:r>
        <w:rPr>
          <w:b/>
          <w:color w:val="003CA0"/>
          <w:sz w:val="16"/>
        </w:rPr>
        <w:t>[Pet 1.543 AgR, rel. min. Marco Aurélio, j. 10-10-2001, P, DJ de 9-11-2001.]</w:t>
      </w:r>
    </w:p>
    <w:p>
      <w:pPr>
        <w:ind w:left="288"/>
      </w:pPr>
      <w:r>
        <w:rPr>
          <w:color w:val="8C8C8C"/>
          <w:sz w:val="12"/>
        </w:rPr>
        <w:t>cf-art-102-inc-I-ali-a</w:t>
      </w:r>
      <w:r>
        <w:rPr>
          <w:color w:val="003CA0"/>
          <w:sz w:val="12"/>
        </w:rPr>
        <w:t xml:space="preserve"> | PET 2.066</w:t>
      </w:r>
      <w:r>
        <w:rPr>
          <w:color w:val="003CA0"/>
          <w:sz w:val="12"/>
        </w:rPr>
        <w:t xml:space="preserve"> | rel. Sepúlveda Pertence</w:t>
      </w:r>
    </w:p>
    <w:p>
      <w:pPr>
        <w:ind w:left="288"/>
      </w:pPr>
      <w:r>
        <w:rPr>
          <w:color w:val="1E1E1E"/>
          <w:sz w:val="18"/>
        </w:rPr>
        <w:t>Controle de constitucionalidade de lei: convivência dos sistemas no STF. No STF – que acumula o monopólio do controle concentrado e direto da constitucionalidade de normas federais e estaduais com a função de órgão de cúpula do sistema paralelo de controle difuso –, é de sustar-se a decisão da arguição incidente de ilegitimidade constitucional do mesmo ato normativo pendente da decisão do pedido de medida cautelar em ação direta.</w:t>
      </w:r>
    </w:p>
    <w:p>
      <w:pPr>
        <w:ind w:left="288"/>
      </w:pPr>
      <w:r>
        <w:rPr>
          <w:b/>
          <w:color w:val="003CA0"/>
          <w:sz w:val="16"/>
        </w:rPr>
        <w:t>[Pet 2.066 AgR-QO, rel. min. Sepúlveda Pertence, j. 2-8-2000, P, DJ de 28-2-2003.]</w:t>
      </w:r>
    </w:p>
    <w:p>
      <w:pPr>
        <w:ind w:left="288"/>
      </w:pPr>
      <w:r>
        <w:rPr>
          <w:color w:val="8C8C8C"/>
          <w:sz w:val="12"/>
        </w:rPr>
        <w:t>cf-art-102-inc-I-ali-a</w:t>
      </w:r>
      <w:r>
        <w:rPr>
          <w:color w:val="003CA0"/>
          <w:sz w:val="12"/>
        </w:rPr>
        <w:t xml:space="preserve"> | RHC 76.946</w:t>
      </w:r>
      <w:r>
        <w:rPr>
          <w:color w:val="003CA0"/>
          <w:sz w:val="12"/>
        </w:rPr>
        <w:t xml:space="preserve"> | rel. Carlos Velloso</w:t>
      </w:r>
    </w:p>
    <w:p>
      <w:pPr>
        <w:ind w:left="288"/>
      </w:pPr>
      <w:r>
        <w:rPr>
          <w:color w:val="1E1E1E"/>
          <w:sz w:val="18"/>
        </w:rPr>
        <w:t>Possibilidade da discussão da constitucionalidade de norma legal no processo do habeas corpus.</w:t>
      </w:r>
    </w:p>
    <w:p>
      <w:pPr>
        <w:ind w:left="288"/>
      </w:pPr>
      <w:r>
        <w:rPr>
          <w:b/>
          <w:color w:val="003CA0"/>
          <w:sz w:val="16"/>
        </w:rPr>
        <w:t>[RHC 76.946, rel. min. Carlos Velloso, j. 27-4-1999, 2ª T, DJ de 11-6-1999.]</w:t>
      </w:r>
    </w:p>
    <w:p>
      <w:pPr>
        <w:ind w:left="288"/>
      </w:pPr>
      <w:r>
        <w:rPr>
          <w:color w:val="8C8C8C"/>
          <w:sz w:val="12"/>
        </w:rPr>
        <w:t>cf-art-102-inc-I-ali-a</w:t>
      </w:r>
      <w:r>
        <w:rPr>
          <w:color w:val="003CA0"/>
          <w:sz w:val="12"/>
        </w:rPr>
        <w:t xml:space="preserve"> | RE 168.277</w:t>
      </w:r>
      <w:r>
        <w:rPr>
          <w:color w:val="003CA0"/>
          <w:sz w:val="12"/>
        </w:rPr>
        <w:t xml:space="preserve"> | rel. Sepúlveda Pertence</w:t>
      </w:r>
    </w:p>
    <w:p>
      <w:pPr>
        <w:ind w:left="288"/>
      </w:pPr>
      <w:r>
        <w:rPr>
          <w:color w:val="1E1E1E"/>
          <w:sz w:val="18"/>
        </w:rPr>
        <w:t>Medida cautelar em ação direta de inconstitucionalidade: indeferida – ao contrário do que sucede na hipótese de concessão (cf. RE 168.277 QO, Galvão, 4-2-1998) – não se suspende, em princípio, o julgamento dos processos em que incidentemente se haja de decidir a mesma questão de inconstitucionalidade.</w:t>
      </w:r>
    </w:p>
    <w:p>
      <w:pPr>
        <w:ind w:left="288"/>
      </w:pPr>
      <w:r>
        <w:rPr>
          <w:b/>
          <w:color w:val="003CA0"/>
          <w:sz w:val="16"/>
        </w:rPr>
        <w:t>[RE 220.271, rel. min. Sepúlveda Pertence, j. 10-3-1998, 1ª T, DJ de 3-4-1998.]</w:t>
      </w:r>
    </w:p>
    <w:p>
      <w:pPr>
        <w:ind w:left="288"/>
      </w:pPr>
      <w:r>
        <w:rPr>
          <w:color w:val="8C8C8C"/>
          <w:sz w:val="12"/>
        </w:rPr>
        <w:t>cf-art-102-inc-I-ali-b</w:t>
      </w:r>
      <w:r>
        <w:rPr>
          <w:color w:val="003CA0"/>
          <w:sz w:val="12"/>
        </w:rPr>
        <w:t xml:space="preserve"> | ADPF 424</w:t>
      </w:r>
      <w:r>
        <w:rPr>
          <w:color w:val="003CA0"/>
          <w:sz w:val="12"/>
        </w:rPr>
        <w:t xml:space="preserve"> | rel. Cristiano Zanin</w:t>
      </w:r>
    </w:p>
    <w:p>
      <w:pPr>
        <w:ind w:left="288"/>
      </w:pPr>
      <w:r>
        <w:rPr>
          <w:color w:val="1E1E1E"/>
          <w:sz w:val="18"/>
        </w:rPr>
        <w:t>Busca e apreensão nas dependências do Congresso Nacional e em imóveis funcionais de parlamentares. (...) Ainda que a investigação não tenha como alvo direto o parlamentar, a apreensão nesses locais de objetos, como documentos e dispositivos informáticos, repercute, ainda que indiretamente, sobre o desempenho da atividade parlamentar e o próprio exercício do mandato, atraindo a competência do Supremo Tribunal Federal (CF/1988, art. 53, § 1º, c/c art. 102, I, “b”). O art. 13, II, do Código de Processo Penal foi recepcionado pela Constituição de 1988, sendo que a legalidade do dever nele instituí</w:t>
      </w:r>
    </w:p>
    <w:p>
      <w:pPr>
        <w:ind w:left="288"/>
      </w:pPr>
      <w:r>
        <w:rPr>
          <w:b/>
          <w:color w:val="003CA0"/>
          <w:sz w:val="16"/>
        </w:rPr>
        <w:t>[ADPF 424, rel. min. Cristiano Zanin, j. 29.09.2025, P, DJE de 13.10.2025.]</w:t>
      </w:r>
    </w:p>
    <w:p>
      <w:pPr>
        <w:ind w:left="288"/>
      </w:pPr>
      <w:r>
        <w:rPr>
          <w:color w:val="8C8C8C"/>
          <w:sz w:val="12"/>
        </w:rPr>
        <w:t>cf-art-102-inc-I-ali-b</w:t>
      </w:r>
      <w:r>
        <w:rPr>
          <w:color w:val="003CA0"/>
          <w:sz w:val="12"/>
        </w:rPr>
        <w:t xml:space="preserve"> | AP 2.668</w:t>
      </w:r>
      <w:r>
        <w:rPr>
          <w:color w:val="003CA0"/>
          <w:sz w:val="12"/>
        </w:rPr>
        <w:t xml:space="preserve"> | rel. Alexandre Moraes</w:t>
      </w:r>
    </w:p>
    <w:p>
      <w:pPr>
        <w:ind w:left="288"/>
      </w:pPr>
      <w:r>
        <w:rPr>
          <w:color w:val="1E1E1E"/>
          <w:sz w:val="18"/>
        </w:rPr>
        <w:t>O STF, por meio de sua Primeira Turma — a partir de 18 de dezembro de 2023 (RISTF, art. 9º, I, l) — é competente para processar e julgar todas as investigações, inquéritos e ações penais referentes aos atos antidemocráticos, milícias digitais, tentativa de golpe e atentado contra os Poderes e instituições, inclusive aqueles ocorridos no dia 8 de janeiro de 2023.</w:t>
      </w:r>
    </w:p>
    <w:p>
      <w:pPr>
        <w:ind w:left="288"/>
      </w:pPr>
      <w:r>
        <w:rPr>
          <w:b/>
          <w:color w:val="003CA0"/>
          <w:sz w:val="16"/>
        </w:rPr>
        <w:t>[AP 2.668, rel. min. Alexandre Moraes, j. 11.09.2025, 1ª T, Informativo STF 1.190, DJE de 22-10-2025]</w:t>
      </w:r>
    </w:p>
    <w:p>
      <w:pPr>
        <w:ind w:left="288"/>
      </w:pPr>
      <w:r>
        <w:rPr>
          <w:color w:val="8C8C8C"/>
          <w:sz w:val="12"/>
        </w:rPr>
        <w:t>cf-art-102-inc-I-ali-b</w:t>
      </w:r>
      <w:r>
        <w:rPr>
          <w:color w:val="003CA0"/>
          <w:sz w:val="12"/>
        </w:rPr>
        <w:t xml:space="preserve"> | ADI 7.083</w:t>
      </w:r>
      <w:r>
        <w:rPr>
          <w:color w:val="003CA0"/>
          <w:sz w:val="12"/>
        </w:rPr>
        <w:t xml:space="preserve"> | rel. Cármen Lúcia</w:t>
      </w:r>
    </w:p>
    <w:p>
      <w:pPr>
        <w:ind w:left="288"/>
      </w:pPr>
      <w:r>
        <w:rPr>
          <w:color w:val="1E1E1E"/>
          <w:sz w:val="18"/>
        </w:rPr>
        <w:t>Em interpretação sistemática da Constituição da República, a mesma razão jurídica apontada para justificar a necessidade de supervisão judicial dos atos investigatórios de autoridades com prerrogativa de foro neste Supremo Tribunal Federal aplica-se às autoridades com prerrogativa de foro em outros Tribunais.</w:t>
      </w:r>
    </w:p>
    <w:p>
      <w:pPr>
        <w:ind w:left="288"/>
      </w:pPr>
      <w:r>
        <w:rPr>
          <w:b/>
          <w:color w:val="003CA0"/>
          <w:sz w:val="16"/>
        </w:rPr>
        <w:t>[ADI 7.083, rel. min. Cármen Lúcia, j. 16-5-2022, P, DJE de 24-5-2022.]</w:t>
      </w:r>
    </w:p>
    <w:p>
      <w:pPr>
        <w:ind w:left="288"/>
      </w:pPr>
      <w:r>
        <w:rPr>
          <w:color w:val="8C8C8C"/>
          <w:sz w:val="12"/>
        </w:rPr>
        <w:t>cf-art-102-inc-I-ali-b</w:t>
      </w:r>
      <w:r>
        <w:rPr>
          <w:color w:val="003CA0"/>
          <w:sz w:val="12"/>
        </w:rPr>
        <w:t xml:space="preserve"> | ADI 5.175</w:t>
      </w:r>
      <w:r>
        <w:rPr>
          <w:color w:val="003CA0"/>
          <w:sz w:val="12"/>
        </w:rPr>
        <w:t xml:space="preserve"> | rel. Gilmar Mendes</w:t>
      </w:r>
    </w:p>
    <w:p>
      <w:pPr>
        <w:ind w:left="288"/>
      </w:pPr>
      <w:r>
        <w:rPr>
          <w:color w:val="1E1E1E"/>
          <w:sz w:val="18"/>
        </w:rPr>
        <w:t xml:space="preserve">Emenda 49/2014 do Regimento Interno do Supremo Tribunal Federal. Transferência da competência do Plenário para as Turmas para processar e julgar, nos crimes comuns, Deputados e Senadores. Manutenção da competência do Tribunal Pleno para julgar o Presidente da República, o Vice-Presidente da República, o Presidente do Senado Federal, o Presidente da Câmara dos Deputados, os Ministros do Supremo Tribunal Federal e o Procurador-Geral da República. (...) O Supremo Tribunal Federal exerce sua competência pelo Plenário, pelas Turmas, pelo Presidente e por meio de cada Ministro. Ausência de violação </w:t>
      </w:r>
    </w:p>
    <w:p>
      <w:pPr>
        <w:ind w:left="288"/>
      </w:pPr>
      <w:r>
        <w:rPr>
          <w:b/>
          <w:color w:val="003CA0"/>
          <w:sz w:val="16"/>
        </w:rPr>
        <w:t>[ADI 5.175, rel. min. Gilmar Mendes, j. 22-6-2020, P, DJE de 6-8-2020.]</w:t>
      </w:r>
    </w:p>
    <w:p>
      <w:pPr>
        <w:ind w:left="288"/>
      </w:pPr>
      <w:r>
        <w:rPr>
          <w:color w:val="8C8C8C"/>
          <w:sz w:val="12"/>
        </w:rPr>
        <w:t>cf-art-102-inc-I-ali-b</w:t>
      </w:r>
      <w:r>
        <w:rPr>
          <w:color w:val="003CA0"/>
          <w:sz w:val="12"/>
        </w:rPr>
        <w:t xml:space="preserve"> | ADI 4.381</w:t>
      </w:r>
      <w:r>
        <w:rPr>
          <w:color w:val="003CA0"/>
          <w:sz w:val="12"/>
        </w:rPr>
        <w:t xml:space="preserve"> | rel. Roberto Barroso</w:t>
      </w:r>
    </w:p>
    <w:p>
      <w:pPr>
        <w:ind w:left="288"/>
      </w:pPr>
      <w:r>
        <w:rPr>
          <w:color w:val="1E1E1E"/>
          <w:sz w:val="18"/>
        </w:rPr>
        <w:t>Vedação à imposição de uniformes que ponham em evidência o corpo das funcionárias e funcionários. (...) Usurpa a competência legislativa da União o diploma estadual que regula aspecto da relação jurídico-trabalhista, criando direitos e deveres às partes do contrato de trabalho (CF/88, art. 22, I). Em que pese a relevância social da matéria e a inegável reprovabilidade da conduta que se pretendia coibir, não é possível ignorar a inconstitucionalidade formal do diploma.</w:t>
      </w:r>
    </w:p>
    <w:p>
      <w:pPr>
        <w:ind w:left="288"/>
      </w:pPr>
      <w:r>
        <w:rPr>
          <w:b/>
          <w:color w:val="003CA0"/>
          <w:sz w:val="16"/>
        </w:rPr>
        <w:t>[ADI 4.381, rel. min. Roberto Barroso, j. 22-6-2020, P, DJE de 7-8-2020.]</w:t>
      </w:r>
    </w:p>
    <w:p>
      <w:pPr>
        <w:ind w:left="288"/>
      </w:pPr>
      <w:r>
        <w:rPr>
          <w:color w:val="8C8C8C"/>
          <w:sz w:val="12"/>
        </w:rPr>
        <w:t>cf-art-102-inc-I-ali-b</w:t>
      </w:r>
      <w:r>
        <w:rPr>
          <w:color w:val="003CA0"/>
          <w:sz w:val="12"/>
        </w:rPr>
        <w:t xml:space="preserve"> | ADI 2.797</w:t>
      </w:r>
      <w:r>
        <w:rPr>
          <w:color w:val="003CA0"/>
          <w:sz w:val="12"/>
        </w:rPr>
        <w:t xml:space="preserve"> | rel. Ayres Britto</w:t>
      </w:r>
    </w:p>
    <w:p>
      <w:pPr>
        <w:ind w:left="288"/>
      </w:pPr>
      <w:r>
        <w:rPr>
          <w:color w:val="1E1E1E"/>
          <w:sz w:val="18"/>
        </w:rPr>
        <w:t>Durante quase três anos os tribunais brasileiros processaram e julgaram ações penais e de improbidade administrativa contra ocupantes e ex-ocupantes de cargos com prerrogativa de foro, com fundamento nos §§ 1º e 2º do art. 84 do CPP. Como esses dispositivos legais cuidavam de competência dos órgãos do Poder Judiciário, todos os processos por eles alcançados retornariam à estaca zero, com evidentes impactos negativos à segurança jurídica e à efetividade da prestação jurisdicional. Embargos de declaração conhecidos e acolhidos para fixar a data de 15 de setembro de 2005 como termo inicial dos ef</w:t>
      </w:r>
    </w:p>
    <w:p>
      <w:pPr>
        <w:ind w:left="288"/>
      </w:pPr>
      <w:r>
        <w:rPr>
          <w:b/>
          <w:color w:val="003CA0"/>
          <w:sz w:val="16"/>
        </w:rPr>
        <w:t>[ADI 2.797 ED, rel. p/ o ac. min. Ayres Britto, j. 17-5-2012, P, DJE de 28-2-2013.]</w:t>
      </w:r>
    </w:p>
    <w:p>
      <w:pPr>
        <w:ind w:left="288"/>
      </w:pPr>
      <w:r>
        <w:rPr>
          <w:color w:val="8C8C8C"/>
          <w:sz w:val="12"/>
        </w:rPr>
        <w:t>cf-art-102-inc-I-ali-b</w:t>
      </w:r>
      <w:r>
        <w:rPr>
          <w:color w:val="003CA0"/>
          <w:sz w:val="12"/>
        </w:rPr>
        <w:t xml:space="preserve"> | ADI 2.797</w:t>
      </w:r>
      <w:r>
        <w:rPr>
          <w:color w:val="003CA0"/>
          <w:sz w:val="12"/>
        </w:rPr>
        <w:t xml:space="preserve"> | rel. Sepúlveda Pertence</w:t>
      </w:r>
    </w:p>
    <w:p>
      <w:pPr>
        <w:ind w:left="288"/>
      </w:pPr>
      <w:r>
        <w:rPr>
          <w:color w:val="1E1E1E"/>
          <w:sz w:val="18"/>
        </w:rPr>
        <w:t>Vide ADI 2.797 e ADI 2.860, rel. min. Sepúlveda Pertence, j. 15-9-2005, P, DJ de 19-12-2006 (...) por se tratar de prerrogativa do cargo, e não de privilégio pessoal, o foro privativo para atos cometidos no exercício das funções deve subsistir mesmo após a cessão do exercício funcional. Afinal, a saída do cargo não ofusca as razões que fomentam a outorga de competência originária aos Tribunais. O que ocorre é justamente o contrário. É nesse instante que adversários do ex-titular da posição política possuem mais condições de exercer influências em seu desfavor, e a prerrogativa de foro se torna</w:t>
      </w:r>
    </w:p>
    <w:p>
      <w:pPr>
        <w:ind w:left="288"/>
      </w:pPr>
      <w:r>
        <w:rPr>
          <w:b/>
          <w:color w:val="003CA0"/>
          <w:sz w:val="16"/>
        </w:rPr>
        <w:t>[Inq 4.787 AgR-QO, rel. min. Gilmar Mendes, j. 12.03.2025, P, DJE de 27.05.2025.]</w:t>
      </w:r>
    </w:p>
    <w:p>
      <w:pPr>
        <w:ind w:left="288"/>
      </w:pPr>
      <w:r>
        <w:rPr>
          <w:color w:val="8C8C8C"/>
          <w:sz w:val="12"/>
        </w:rPr>
        <w:t>cf-art-102-inc-I-ali-b</w:t>
      </w:r>
      <w:r>
        <w:rPr>
          <w:color w:val="003CA0"/>
          <w:sz w:val="12"/>
        </w:rPr>
        <w:t xml:space="preserve"> | RE 696.533</w:t>
      </w:r>
      <w:r>
        <w:rPr>
          <w:color w:val="003CA0"/>
          <w:sz w:val="12"/>
        </w:rPr>
        <w:t xml:space="preserve"> | rel. Luiz Fux</w:t>
      </w:r>
    </w:p>
    <w:p>
      <w:pPr>
        <w:ind w:left="288"/>
      </w:pPr>
      <w:r>
        <w:rPr>
          <w:color w:val="1E1E1E"/>
          <w:sz w:val="18"/>
        </w:rPr>
        <w:t>O STF é competente para julgamento do recurso especial interposto contra o acórdão condenatório proferido pelo TRF 4ª Região, quando, após a interposição do recurso especial, o recorrente foi diplomado no cargo de deputado federal, o que atrai a competência desta Suprema Corte para julgamento das ações penais contra os membros do Congresso Nacional.</w:t>
      </w:r>
    </w:p>
    <w:p>
      <w:pPr>
        <w:ind w:left="288"/>
      </w:pPr>
      <w:r>
        <w:rPr>
          <w:b/>
          <w:color w:val="003CA0"/>
          <w:sz w:val="16"/>
        </w:rPr>
        <w:t>[RE 696.533 AgR-ED, rel. min. Luiz Fux, j. 31-3-2017, 1ª T, DJE de 20-4-2017.]</w:t>
      </w:r>
    </w:p>
    <w:p>
      <w:pPr>
        <w:ind w:left="288"/>
      </w:pPr>
      <w:r>
        <w:rPr>
          <w:color w:val="8C8C8C"/>
          <w:sz w:val="12"/>
        </w:rPr>
        <w:t>cf-art-102-inc-I-ali-b</w:t>
      </w:r>
      <w:r>
        <w:rPr>
          <w:color w:val="003CA0"/>
          <w:sz w:val="12"/>
        </w:rPr>
        <w:t xml:space="preserve"> | RHC 135.683</w:t>
      </w:r>
      <w:r>
        <w:rPr>
          <w:color w:val="003CA0"/>
          <w:sz w:val="12"/>
        </w:rPr>
        <w:t xml:space="preserve"> | rel. Dias Toffoli</w:t>
      </w:r>
    </w:p>
    <w:p>
      <w:pPr>
        <w:ind w:left="288"/>
      </w:pPr>
      <w:r>
        <w:rPr>
          <w:color w:val="1E1E1E"/>
          <w:sz w:val="18"/>
        </w:rPr>
        <w:t>Interceptações telefônicas realizadas em primeiro grau de jurisdição. Operação Vegas. Surgimento de indícios do envolvimento de senador da República, detentor de prerrogativa de foro, em fatos criminosos em apuração. Competência do STF para processar e julgar originariamente a causa (...). Necessidade de imediata remessa dos autos à Corte. Não ocorrência. Usurpação de sua competência constitucional configurada. Prosseguimento das investigações em primeiro grau. Tentativa de arrecadar maiores elementos de informação por via oblíqua sem a autorização do STF. Violação do princípio do juiz natural</w:t>
      </w:r>
    </w:p>
    <w:p>
      <w:pPr>
        <w:ind w:left="288"/>
      </w:pPr>
      <w:r>
        <w:rPr>
          <w:b/>
          <w:color w:val="003CA0"/>
          <w:sz w:val="16"/>
        </w:rPr>
        <w:t>[Inq 3.732, rel. min. Cármen Lúcia, j. 8-3-2016, 2ª T, DJE de 22-3-2016.]</w:t>
      </w:r>
    </w:p>
    <w:p>
      <w:pPr>
        <w:ind w:left="288"/>
      </w:pPr>
      <w:r>
        <w:rPr>
          <w:color w:val="8C8C8C"/>
          <w:sz w:val="12"/>
        </w:rPr>
        <w:t>cf-art-102-inc-I-ali-b</w:t>
      </w:r>
      <w:r>
        <w:rPr>
          <w:color w:val="003CA0"/>
          <w:sz w:val="12"/>
        </w:rPr>
        <w:t xml:space="preserve"> | INQ 3.515</w:t>
      </w:r>
      <w:r>
        <w:rPr>
          <w:color w:val="003CA0"/>
          <w:sz w:val="12"/>
        </w:rPr>
        <w:t xml:space="preserve"> | rel. Marco Aurélio</w:t>
      </w:r>
    </w:p>
    <w:p>
      <w:pPr>
        <w:ind w:left="288"/>
      </w:pPr>
      <w:r>
        <w:rPr>
          <w:color w:val="1E1E1E"/>
          <w:sz w:val="18"/>
        </w:rPr>
        <w:t>Segundo entendimento afirmado por seu Plenário, cabe ao STF, ao exercer sua prerrogativa exclusiva de decidir sobre a cisão de processos envolvendo agentes com prerrogativa de foro, promover, em regra, o seu desmembramento, a fim de manter sob sua jurisdição apenas o que envolva especificamente essas autoridades, segundo as circunstâncias de cada caso (Inq 3.515 AgR, rel. min. Marco Aurélio, Tribunal Pleno, julgado em 13-2-2014, DJE de 14-3-2014). Ressalvam-se, todavia, situações em que os fatos se revelem "de tal forma imbricados que a cisão por si só implique prejuízo a seu esclarecimento" (</w:t>
      </w:r>
    </w:p>
    <w:p>
      <w:pPr>
        <w:ind w:left="288"/>
      </w:pPr>
      <w:r>
        <w:rPr>
          <w:b/>
          <w:color w:val="003CA0"/>
          <w:sz w:val="16"/>
        </w:rPr>
        <w:t>[Inq 3.983, rel. min. Teori Zavascki, j. 3-3-2016, P, DJE de 12-5-2016.]</w:t>
      </w:r>
    </w:p>
    <w:p>
      <w:pPr>
        <w:ind w:left="288"/>
      </w:pPr>
      <w:r>
        <w:rPr>
          <w:color w:val="8C8C8C"/>
          <w:sz w:val="12"/>
        </w:rPr>
        <w:t>cf-art-102-inc-I-ali-b</w:t>
      </w:r>
      <w:r>
        <w:rPr>
          <w:color w:val="003CA0"/>
          <w:sz w:val="12"/>
        </w:rPr>
        <w:t xml:space="preserve"> | INQ 3.734</w:t>
      </w:r>
      <w:r>
        <w:rPr>
          <w:color w:val="003CA0"/>
          <w:sz w:val="12"/>
        </w:rPr>
        <w:t xml:space="preserve"> | rel. Roberto Barroso</w:t>
      </w:r>
    </w:p>
    <w:p>
      <w:pPr>
        <w:ind w:left="288"/>
      </w:pPr>
      <w:r>
        <w:rPr>
          <w:color w:val="1E1E1E"/>
          <w:sz w:val="18"/>
        </w:rPr>
        <w:t>A Turma, por maioria de votos, já decidiu que a renúncia de parlamentar, após o final da instrução, não acarreta a perda de competência do STF. (...) No Inq 3.734, a Turma entendeu, por ocasião do recebimento da denúncia, que na hipótese de não reeleição não se aplica o mesmo critério de fixação de competência. O caso presente, que envolve julgamento de ação penal, é análogo a este último. No entanto, a instrução foi concluída e o voto do relator preparado quando o denunciado ainda era titular de mandato. Diante disso, o relator propôs a concessão de habeas corpus de ofício, já que seu voto er</w:t>
      </w:r>
    </w:p>
    <w:p>
      <w:pPr>
        <w:ind w:left="288"/>
      </w:pPr>
      <w:r>
        <w:rPr>
          <w:b/>
          <w:color w:val="003CA0"/>
          <w:sz w:val="16"/>
        </w:rPr>
        <w:t>[AP 568, rel. min. Roberto Barroso, j. 14-4-2015, 1ª T, DJE de 18-5-2015.]</w:t>
      </w:r>
    </w:p>
    <w:p>
      <w:pPr>
        <w:ind w:left="288"/>
      </w:pPr>
      <w:r>
        <w:rPr>
          <w:color w:val="8C8C8C"/>
          <w:sz w:val="12"/>
        </w:rPr>
        <w:t>cf-art-102-inc-I-ali-b</w:t>
      </w:r>
      <w:r>
        <w:rPr>
          <w:color w:val="003CA0"/>
          <w:sz w:val="12"/>
        </w:rPr>
        <w:t xml:space="preserve"> | AP 563</w:t>
      </w:r>
      <w:r>
        <w:rPr>
          <w:color w:val="003CA0"/>
          <w:sz w:val="12"/>
        </w:rPr>
        <w:t xml:space="preserve"> | rel. Teori Zavascki</w:t>
      </w:r>
    </w:p>
    <w:p>
      <w:pPr>
        <w:ind w:left="288"/>
      </w:pPr>
      <w:r>
        <w:rPr>
          <w:color w:val="1E1E1E"/>
          <w:sz w:val="18"/>
        </w:rPr>
        <w:t>Incumbe ao STF, nos termos do art. 102, I, b, da Constituição, processar e julgar originariamente, nas infrações penais comuns (como no caso), os membros do Congresso Nacional desde o momento em que passam a ter direito a assento na cadeira parlamentar, com a expedição do diploma (art. 53, § 1º, da Constituição). Manifestando-se a prerrogativa de foro após a sentença proferida pelo juízo de primeiro grau e pendente de julgamento a apelação, passa a causa à jurisdição do STF, para aqui ter seu prosseguimento a partir do estado em que se encontra, legítimos os atos anteriormente nela praticados.</w:t>
      </w:r>
    </w:p>
    <w:p>
      <w:pPr>
        <w:ind w:left="288"/>
      </w:pPr>
      <w:r>
        <w:rPr>
          <w:b/>
          <w:color w:val="003CA0"/>
          <w:sz w:val="16"/>
        </w:rPr>
        <w:t>[AP 563, rel. min. Teori Zavascki, j. 21-10-2014, 2ª T, DJE de 28-11-2014.]</w:t>
      </w:r>
    </w:p>
    <w:p>
      <w:pPr>
        <w:ind w:left="288"/>
      </w:pPr>
      <w:r>
        <w:rPr>
          <w:color w:val="8C8C8C"/>
          <w:sz w:val="12"/>
        </w:rPr>
        <w:t>cf-art-102-inc-I-ali-b</w:t>
      </w:r>
      <w:r>
        <w:rPr>
          <w:color w:val="003CA0"/>
          <w:sz w:val="12"/>
        </w:rPr>
        <w:t xml:space="preserve"> | AP 606</w:t>
      </w:r>
      <w:r>
        <w:rPr>
          <w:color w:val="003CA0"/>
          <w:sz w:val="12"/>
        </w:rPr>
        <w:t xml:space="preserve"> | rel. Roberto Barroso</w:t>
      </w:r>
    </w:p>
    <w:p>
      <w:pPr>
        <w:ind w:left="288"/>
      </w:pPr>
      <w:r>
        <w:rPr>
          <w:color w:val="1E1E1E"/>
          <w:sz w:val="18"/>
        </w:rPr>
        <w:t>A renúncia de parlamentar, após o final da instrução, não acarreta a perda de competência do STF. Superação da jurisprudência anterior. Havendo a renúncia ocorrido anteriormente ao final da instrução, declina-se da competência para o juízo de primeiro grau.</w:t>
      </w:r>
    </w:p>
    <w:p>
      <w:pPr>
        <w:ind w:left="288"/>
      </w:pPr>
      <w:r>
        <w:rPr>
          <w:b/>
          <w:color w:val="003CA0"/>
          <w:sz w:val="16"/>
        </w:rPr>
        <w:t>[AP 606 QO, rel. min. Roberto Barroso, j. 12-8-2014, 1ª T, DJE de 18-9-2014.]</w:t>
      </w:r>
    </w:p>
    <w:p>
      <w:pPr>
        <w:ind w:left="288"/>
      </w:pPr>
      <w:r>
        <w:rPr>
          <w:color w:val="8C8C8C"/>
          <w:sz w:val="12"/>
        </w:rPr>
        <w:t>cf-art-102-inc-I-ali-b</w:t>
      </w:r>
      <w:r>
        <w:rPr>
          <w:color w:val="003CA0"/>
          <w:sz w:val="12"/>
        </w:rPr>
        <w:t xml:space="preserve"> | AP 396</w:t>
      </w:r>
      <w:r>
        <w:rPr>
          <w:color w:val="003CA0"/>
          <w:sz w:val="12"/>
        </w:rPr>
        <w:t xml:space="preserve"> | rel. Cármen Lúcia</w:t>
      </w:r>
    </w:p>
    <w:p>
      <w:pPr>
        <w:ind w:left="288"/>
      </w:pPr>
      <w:r>
        <w:rPr>
          <w:color w:val="1E1E1E"/>
          <w:sz w:val="18"/>
        </w:rPr>
        <w:t>Vide AP 396, rel. min. Cármen Lúcia, j. 28-10-2010, P, DJE de 28-4-2011 Desmembrado o processo-crime para que seja julgado o recurso de apelação interposto pelo réu detentor da prerrogativa de foro de que trata o art. 102, I, b, da Constituição da República, não mais persiste a competência deste STF para decidir sobre os demais pedidos do agravante.</w:t>
      </w:r>
    </w:p>
    <w:p>
      <w:pPr>
        <w:ind w:left="288"/>
      </w:pPr>
      <w:r>
        <w:rPr>
          <w:b/>
          <w:color w:val="003CA0"/>
          <w:sz w:val="16"/>
        </w:rPr>
        <w:t>[AP 639 AgR, rel. min. Cármen Lúcia, j. 5-6-2014, P, DJE de 13-6-2014.]</w:t>
      </w:r>
    </w:p>
    <w:p>
      <w:pPr>
        <w:ind w:left="288"/>
      </w:pPr>
      <w:r>
        <w:rPr>
          <w:color w:val="8C8C8C"/>
          <w:sz w:val="12"/>
        </w:rPr>
        <w:t>cf-art-102-inc-I-ali-b</w:t>
      </w:r>
      <w:r>
        <w:rPr>
          <w:color w:val="003CA0"/>
          <w:sz w:val="12"/>
        </w:rPr>
        <w:t xml:space="preserve"> | AP 634</w:t>
      </w:r>
      <w:r>
        <w:rPr>
          <w:color w:val="003CA0"/>
          <w:sz w:val="12"/>
        </w:rPr>
        <w:t xml:space="preserve"> | rel. Roberto Barroso</w:t>
      </w:r>
    </w:p>
    <w:p>
      <w:pPr>
        <w:ind w:left="288"/>
      </w:pPr>
      <w:r>
        <w:rPr>
          <w:color w:val="1E1E1E"/>
          <w:sz w:val="18"/>
        </w:rPr>
        <w:t>Processual penal. Questão de ordem em apelação criminal. Competência de tribunal de justiça. Proferido o primeiro voto em julgamento de apelação criminal por tribunal de justiça, o exercício superveniente de mandato parlamentar pelo réu, antes da conclusão do julgamento, não tem o condão de deslocar a competência para o STF. Ademais, no caso, o réu foi diplomado suplente e assumiu o mandato, em razão do afastamento do titular, dois dias antes de o revisor devolver o processo para a continuação do julgamento, havendo comunicado esse fato apenas no dia da sessão. Mais que isso, atualmente, confo</w:t>
      </w:r>
    </w:p>
    <w:p>
      <w:pPr>
        <w:ind w:left="288"/>
      </w:pPr>
      <w:r>
        <w:rPr>
          <w:b/>
          <w:color w:val="003CA0"/>
          <w:sz w:val="16"/>
        </w:rPr>
        <w:t>[AP 634 QO, rel. min. Roberto Barroso, j. 6-2-2014, P, DJE de 30-10-2014.]</w:t>
      </w:r>
    </w:p>
    <w:p>
      <w:pPr>
        <w:ind w:left="288"/>
      </w:pPr>
      <w:r>
        <w:rPr>
          <w:color w:val="8C8C8C"/>
          <w:sz w:val="12"/>
        </w:rPr>
        <w:t>cf-art-102-inc-I-ali-b</w:t>
      </w:r>
      <w:r>
        <w:rPr>
          <w:color w:val="003CA0"/>
          <w:sz w:val="12"/>
        </w:rPr>
        <w:t xml:space="preserve"> | HC 70.620</w:t>
      </w:r>
      <w:r>
        <w:rPr>
          <w:color w:val="003CA0"/>
          <w:sz w:val="12"/>
        </w:rPr>
        <w:t xml:space="preserve"> | rel. Celso de Mello</w:t>
      </w:r>
    </w:p>
    <w:p>
      <w:pPr>
        <w:ind w:left="288"/>
      </w:pPr>
      <w:r>
        <w:rPr>
          <w:color w:val="1E1E1E"/>
          <w:sz w:val="18"/>
        </w:rPr>
        <w:t>Vide HC 70.620, rel. min. Celso de Mello, j. 16-12-1993, P, DJ de 24-11-2006 A instauração do procedimento a que se refere o art. 22 da LC 64/1990 – pertinente ao suposto envolvimento de membro do Congresso Nacional em alegado abuso de poder econômico, considerada a natureza jurídica das sanções de direito eleitoral nele imponíveis – não torna invocável, por isso mesmo, para efeito de seu processamento, a prerrogativa de foro perante o STF, eis que esse procedimento, disciplinado pela LC 64/1990 (art. 22), objetiva, em última análise, viabilizar a imposição de sanção de direito eleitoral, desv</w:t>
      </w:r>
    </w:p>
    <w:p>
      <w:pPr>
        <w:ind w:left="288"/>
      </w:pPr>
      <w:r>
        <w:rPr>
          <w:b/>
          <w:color w:val="003CA0"/>
          <w:sz w:val="16"/>
        </w:rPr>
        <w:t>[Rcl 13.286 MC, rel. min. Celso de Mello, j. 17-2-2012, dec. monocrática, DJE de 29-2-2012.]</w:t>
      </w:r>
    </w:p>
    <w:p>
      <w:pPr>
        <w:ind w:left="288"/>
      </w:pPr>
      <w:r>
        <w:rPr>
          <w:color w:val="8C8C8C"/>
          <w:sz w:val="12"/>
        </w:rPr>
        <w:t>cf-art-102-inc-I-ali-b</w:t>
      </w:r>
      <w:r>
        <w:rPr>
          <w:color w:val="003CA0"/>
          <w:sz w:val="12"/>
        </w:rPr>
        <w:t xml:space="preserve"> | RCL 514</w:t>
      </w:r>
      <w:r>
        <w:rPr>
          <w:color w:val="003CA0"/>
          <w:sz w:val="12"/>
        </w:rPr>
        <w:t xml:space="preserve"> | rel. Octavio Gallotti</w:t>
      </w:r>
    </w:p>
    <w:p>
      <w:pPr>
        <w:ind w:left="288"/>
      </w:pPr>
      <w:r>
        <w:rPr>
          <w:color w:val="1E1E1E"/>
          <w:sz w:val="18"/>
        </w:rPr>
        <w:t>Vide Rcl 514, rel. min. Octavio Gallotti, j. 21-6-2000, P, DJ de 29-9-2000 A simples convicção da indiciada, sem o aval do titular da ação penal, de que o deputado federal (...) tenha praticado crimes relacionados aos fatos investigados não é apta a ensejar a permanência dos autos nesta Suprema Corte.</w:t>
      </w:r>
    </w:p>
    <w:p>
      <w:pPr>
        <w:ind w:left="288"/>
      </w:pPr>
      <w:r>
        <w:rPr>
          <w:b/>
          <w:color w:val="003CA0"/>
          <w:sz w:val="16"/>
        </w:rPr>
        <w:t>[Inq 2.890 AgR, rel. min. Dias Toffoli, j. 15-9-2011, P, DJE de 10-10-2011.]</w:t>
      </w:r>
    </w:p>
    <w:p>
      <w:pPr>
        <w:ind w:left="288"/>
      </w:pPr>
      <w:r>
        <w:rPr>
          <w:color w:val="8C8C8C"/>
          <w:sz w:val="12"/>
        </w:rPr>
        <w:t>cf-art-102-inc-I-ali-b</w:t>
      </w:r>
      <w:r>
        <w:rPr>
          <w:color w:val="003CA0"/>
          <w:sz w:val="12"/>
        </w:rPr>
        <w:t xml:space="preserve"> | INQ 1.645</w:t>
      </w:r>
      <w:r>
        <w:rPr>
          <w:color w:val="003CA0"/>
          <w:sz w:val="12"/>
        </w:rPr>
        <w:t xml:space="preserve"> | rel. Luiz Fux</w:t>
      </w:r>
    </w:p>
    <w:p>
      <w:pPr>
        <w:ind w:left="288"/>
      </w:pPr>
      <w:r>
        <w:rPr>
          <w:color w:val="1E1E1E"/>
          <w:sz w:val="18"/>
        </w:rPr>
        <w:t>A competência do Supremo cessa ante o exaurimento do mandato de parlamentar federal do investigado, mas o julgamento dos embargos declaratórios contra o acórdão do tribunal pleno mediante o qual recebida a denúncia compete a esta Corte.</w:t>
      </w:r>
    </w:p>
    <w:p>
      <w:pPr>
        <w:ind w:left="288"/>
      </w:pPr>
      <w:r>
        <w:rPr>
          <w:b/>
          <w:color w:val="003CA0"/>
          <w:sz w:val="16"/>
        </w:rPr>
        <w:t>[Inq 1.645 ED, rel. min. Luiz Fux, j. 19-5-2011, P, DJE de 17-6-2011.]</w:t>
      </w:r>
    </w:p>
    <w:p>
      <w:pPr>
        <w:ind w:left="288"/>
      </w:pPr>
      <w:r>
        <w:rPr>
          <w:color w:val="8C8C8C"/>
          <w:sz w:val="12"/>
        </w:rPr>
        <w:t>cf-art-102-inc-I-ali-b</w:t>
      </w:r>
      <w:r>
        <w:rPr>
          <w:color w:val="003CA0"/>
          <w:sz w:val="12"/>
        </w:rPr>
        <w:t xml:space="preserve"> | AP 527</w:t>
      </w:r>
      <w:r>
        <w:rPr>
          <w:color w:val="003CA0"/>
          <w:sz w:val="12"/>
        </w:rPr>
        <w:t xml:space="preserve"> | rel. Dias Toffoli</w:t>
      </w:r>
    </w:p>
    <w:p>
      <w:pPr>
        <w:ind w:left="288"/>
      </w:pPr>
      <w:r>
        <w:rPr>
          <w:color w:val="1E1E1E"/>
          <w:sz w:val="18"/>
        </w:rPr>
        <w:t>Consoante posicionamento jurisprudencial desta Colenda Corte Constitucional, a competência penal originária do STF por prerrogativa de função advinda da investidura de sujeito ativo de um delito, no curso do processo, em uma das funções descritas no art. 102, I, b e c, da CF/1988 não acarreta a nulidade da denúncia oferecida nem dos atos processuais praticados anteriormente perante a justiça competente à época dos fatos.</w:t>
      </w:r>
    </w:p>
    <w:p>
      <w:pPr>
        <w:ind w:left="288"/>
      </w:pPr>
      <w:r>
        <w:rPr>
          <w:b/>
          <w:color w:val="003CA0"/>
          <w:sz w:val="16"/>
        </w:rPr>
        <w:t>[AP 527, rel. min. Dias Toffoli, j. 16-12-2010, P, DJE de 4-4-2011.]</w:t>
      </w:r>
    </w:p>
    <w:p>
      <w:pPr>
        <w:ind w:left="288"/>
      </w:pPr>
      <w:r>
        <w:rPr>
          <w:color w:val="8C8C8C"/>
          <w:sz w:val="12"/>
        </w:rPr>
        <w:t>cf-art-102-inc-I-ali-b</w:t>
      </w:r>
      <w:r>
        <w:rPr>
          <w:color w:val="003CA0"/>
          <w:sz w:val="12"/>
        </w:rPr>
        <w:t xml:space="preserve"> | INQ 2.648</w:t>
      </w:r>
      <w:r>
        <w:rPr>
          <w:color w:val="003CA0"/>
          <w:sz w:val="12"/>
        </w:rPr>
        <w:t xml:space="preserve"> | rel. Cármen Lúcia</w:t>
      </w:r>
    </w:p>
    <w:p>
      <w:pPr>
        <w:ind w:left="288"/>
      </w:pPr>
      <w:r>
        <w:rPr>
          <w:color w:val="1E1E1E"/>
          <w:sz w:val="18"/>
        </w:rPr>
        <w:t>= Inq 2.648, rel. min. Cármen Lúcia, j. 12-6-2008, P, DJE de 22-8-2008 Deputado federal. Renúncia ao mandato. Abuso de direito: reconhecimento da competência do STF para a continuidade do julgamento da presente ação penal. (...) Renúncia de mandato: ato legítimo. Não se presta, porém, a ser utilizada como subterfúgio para deslocamento de competências constitucionalmente definidas, que não podem ser objeto de escolha pessoal. Impossibilidade de ser aproveitada como expediente para impedir o julgamento em tempo à absolvição ou à condenação e, neste caso, à definição de penas. No caso, a renúncia</w:t>
      </w:r>
    </w:p>
    <w:p>
      <w:pPr>
        <w:ind w:left="288"/>
      </w:pPr>
      <w:r>
        <w:rPr>
          <w:b/>
          <w:color w:val="003CA0"/>
          <w:sz w:val="16"/>
        </w:rPr>
        <w:t>[AP 396, rel. min. Cármen Lúcia, j. 28-10-2010, P, DJE de 28-4-2011.]</w:t>
      </w:r>
    </w:p>
    <w:p>
      <w:pPr>
        <w:ind w:left="288"/>
      </w:pPr>
      <w:r>
        <w:rPr>
          <w:color w:val="8C8C8C"/>
          <w:sz w:val="12"/>
        </w:rPr>
        <w:t>cf-art-102-inc-I-ali-b</w:t>
      </w:r>
      <w:r>
        <w:rPr>
          <w:color w:val="003CA0"/>
          <w:sz w:val="12"/>
        </w:rPr>
        <w:t xml:space="preserve"> | AP 606</w:t>
      </w:r>
      <w:r>
        <w:rPr>
          <w:color w:val="003CA0"/>
          <w:sz w:val="12"/>
        </w:rPr>
        <w:t xml:space="preserve"> | rel. Roberto Barroso</w:t>
      </w:r>
    </w:p>
    <w:p>
      <w:pPr>
        <w:ind w:left="288"/>
      </w:pPr>
      <w:r>
        <w:rPr>
          <w:color w:val="1E1E1E"/>
          <w:sz w:val="18"/>
        </w:rPr>
        <w:t>Vide AP 606 QO, rel. min. Roberto Barroso, j. 12-8-2014, 1ª T, DJE de 18-9-2014 Vide AP 333, rel. min. Joaquim Barbosa, j. 5-12-2007, P, DJE de 11-4-2008 Desmembramento indeferido. Prejuízo à exata compreensão do feito. (...) Embora apenas um dos réus detenha prerrogativa de foro no STF, o desmembramento da ação penal comprometeria a prestação jurisdicional, tornando inaplicáveis os precedentes da Corte no sentido do desmembramento. O julgamento do réu com foro privilegiado depende da análise das condutas imputadas aos corréus, tendo em vista a formação coletiva da vontade no sentido da prátic</w:t>
      </w:r>
    </w:p>
    <w:p>
      <w:pPr>
        <w:ind w:left="288"/>
      </w:pPr>
      <w:r>
        <w:rPr>
          <w:b/>
          <w:color w:val="003CA0"/>
          <w:sz w:val="16"/>
        </w:rPr>
        <w:t>[AP 420 AgR, rel. min. Joaquim Barbosa, j. 9-9-2010, P, DJE de 14-3-2012.]</w:t>
      </w:r>
    </w:p>
    <w:p>
      <w:pPr>
        <w:ind w:left="288"/>
      </w:pPr>
      <w:r>
        <w:rPr>
          <w:color w:val="8C8C8C"/>
          <w:sz w:val="12"/>
        </w:rPr>
        <w:t>cf-art-102-inc-I-ali-b</w:t>
      </w:r>
      <w:r>
        <w:rPr>
          <w:color w:val="003CA0"/>
          <w:sz w:val="12"/>
        </w:rPr>
        <w:t xml:space="preserve"> | INQ 2.718</w:t>
      </w:r>
      <w:r>
        <w:rPr>
          <w:color w:val="003CA0"/>
          <w:sz w:val="12"/>
        </w:rPr>
        <w:t xml:space="preserve"> | rel. Ricardo Lewandowski</w:t>
      </w:r>
    </w:p>
    <w:p>
      <w:pPr>
        <w:ind w:left="288"/>
      </w:pPr>
      <w:r>
        <w:rPr>
          <w:color w:val="1E1E1E"/>
          <w:sz w:val="18"/>
        </w:rPr>
        <w:t>Vide Inq 2.718 QO, rel. min. Ricardo Lewandowski, j. 20-8-2009, P, DJE de 27-11-2009 Vide AP 351, rel. min. Marco Aurélio, j. 12-8-2004, P, DJ de 17-9-2004 Senador e governador de Estado. (...) Conforme precedentes do STF, salvo casos excepcionais, é de ser desmembrado o inquérito policial de modo a que o feito, nesta Corte, prossiga apenas em relação àqueles que possuem o foro constitucional. Desmembrado o feito, resta prejudicada questão de ordem que aventava acerca da necessidade de prévia manifestação da assembleia legislativa para o recebimento da denúncia em face de governador de Estado.</w:t>
      </w:r>
    </w:p>
    <w:p>
      <w:pPr>
        <w:ind w:left="288"/>
      </w:pPr>
      <w:r>
        <w:rPr>
          <w:b/>
          <w:color w:val="003CA0"/>
          <w:sz w:val="16"/>
        </w:rPr>
        <w:t>[Inq 2.718 QO, rel. min. Ricardo Lewandowski, j. 20-8-2009, P, DJE de 27-11-2009.]</w:t>
      </w:r>
    </w:p>
    <w:p>
      <w:pPr>
        <w:ind w:left="288"/>
      </w:pPr>
      <w:r>
        <w:rPr>
          <w:color w:val="8C8C8C"/>
          <w:sz w:val="12"/>
        </w:rPr>
        <w:t>cf-art-102-inc-I-ali-b</w:t>
      </w:r>
      <w:r>
        <w:rPr>
          <w:color w:val="003CA0"/>
          <w:sz w:val="12"/>
        </w:rPr>
        <w:t xml:space="preserve"> | AP 420</w:t>
      </w:r>
      <w:r>
        <w:rPr>
          <w:color w:val="003CA0"/>
          <w:sz w:val="12"/>
        </w:rPr>
        <w:t xml:space="preserve"> | rel. Joaquim Barbosa</w:t>
      </w:r>
    </w:p>
    <w:p>
      <w:pPr>
        <w:ind w:left="288"/>
      </w:pPr>
      <w:r>
        <w:rPr>
          <w:color w:val="1E1E1E"/>
          <w:sz w:val="18"/>
        </w:rPr>
        <w:t>Vide AP 420 AgR, rel. min. Joaquim Barbosa, j. 9-9-2010, P, DJE de 14-3-2012 Ex-deputado não tem direito a foro especial por prerrogativa de função, em ação civil pública por improbidade administrativa.</w:t>
      </w:r>
    </w:p>
    <w:p>
      <w:pPr>
        <w:ind w:left="288"/>
      </w:pPr>
      <w:r>
        <w:rPr>
          <w:b/>
          <w:color w:val="003CA0"/>
          <w:sz w:val="16"/>
        </w:rPr>
        <w:t>[Pet 3.421 AgR, rel. min. Cezar Peluso, j. 25-6-2009, P, DJE de 4-6-2010.]</w:t>
      </w:r>
    </w:p>
    <w:p>
      <w:pPr>
        <w:ind w:left="288"/>
      </w:pPr>
      <w:r>
        <w:rPr>
          <w:color w:val="8C8C8C"/>
          <w:sz w:val="12"/>
        </w:rPr>
        <w:t>cf-art-102-inc-I-ali-b</w:t>
      </w:r>
      <w:r>
        <w:rPr>
          <w:color w:val="003CA0"/>
          <w:sz w:val="12"/>
        </w:rPr>
        <w:t xml:space="preserve"> | INQ 2.421</w:t>
      </w:r>
      <w:r>
        <w:rPr>
          <w:color w:val="003CA0"/>
          <w:sz w:val="12"/>
        </w:rPr>
        <w:t xml:space="preserve"> | rel. Menezes Direito</w:t>
      </w:r>
    </w:p>
    <w:p>
      <w:pPr>
        <w:ind w:left="288"/>
      </w:pPr>
      <w:r>
        <w:rPr>
          <w:color w:val="1E1E1E"/>
          <w:sz w:val="18"/>
        </w:rPr>
        <w:t>Vide Inq 2.421 AgR, rel. min. Menezes Direito, j. 14-2-2008, P, DJE de 4-4-2008 Vide Inq 2.429 AgR, rel. min. Joaquim Barbosa, j. 27-6-2007, P, DJE de 17-8-2007 Vide Inq 2.453 AgR, rel. min. Ricardo Lewandowski, j. 17-5-2007, P, DJ de 29-6-2007 Uma vez iniciado o julgamento de parlamentar nesta Suprema Corte, a superveniência do término do mandato eletivo não desloca a competência para outra instância.</w:t>
      </w:r>
    </w:p>
    <w:p>
      <w:pPr>
        <w:ind w:left="288"/>
      </w:pPr>
      <w:r>
        <w:rPr>
          <w:b/>
          <w:color w:val="003CA0"/>
          <w:sz w:val="16"/>
        </w:rPr>
        <w:t>[Inq 2.295, red. do ac. min. Menezes Direito, j. 23-10-2008, P, DJE de 5-6-2009.]</w:t>
      </w:r>
    </w:p>
    <w:p>
      <w:pPr>
        <w:ind w:left="288"/>
      </w:pPr>
      <w:r>
        <w:rPr>
          <w:color w:val="8C8C8C"/>
          <w:sz w:val="12"/>
        </w:rPr>
        <w:t>cf-art-102-inc-I-ali-b</w:t>
      </w:r>
      <w:r>
        <w:rPr>
          <w:color w:val="003CA0"/>
          <w:sz w:val="12"/>
        </w:rPr>
        <w:t xml:space="preserve"> | AP 606</w:t>
      </w:r>
      <w:r>
        <w:rPr>
          <w:color w:val="003CA0"/>
          <w:sz w:val="12"/>
        </w:rPr>
        <w:t xml:space="preserve"> | rel. Roberto Barroso</w:t>
      </w:r>
    </w:p>
    <w:p>
      <w:pPr>
        <w:ind w:left="288"/>
      </w:pPr>
      <w:r>
        <w:rPr>
          <w:color w:val="1E1E1E"/>
          <w:sz w:val="18"/>
        </w:rPr>
        <w:t>Vide  AP 606 QO, rel. min. Roberto Barroso, j. 12-8-2014, 1ª T, DJE de 18-9-2014 Vide AP 396, rel. min. Cármen Lúcia, j. 28-10-2010, P, DJE de 28-4-2011 O agravante teve encerrado o prazo do mandato eletivo de senador da República, como foi destacado na segunda decisão agravada e, por isso, o STF deixou de ser competente para processá-lo e julgá-lo (CF, art. 102, I, b). Trata-se de clara hipótese de incompetência superveniente do STF e, por isso, a determinação da remessa dos autos do inquérito ao juízo competente para conhecer e julgar a causa (Inq 2.207/PA, rel. min. Gilmar Mendes, de 19-3-2</w:t>
      </w:r>
    </w:p>
    <w:p>
      <w:pPr>
        <w:ind w:left="288"/>
      </w:pPr>
      <w:r>
        <w:rPr>
          <w:b/>
          <w:color w:val="003CA0"/>
          <w:sz w:val="16"/>
        </w:rPr>
        <w:t>[Pet 3.466 AgR, rel. min. Ellen Gracie, j. 23-10-2008, P, DJE de 21-11-2008.]</w:t>
      </w:r>
    </w:p>
    <w:p>
      <w:pPr>
        <w:ind w:left="288"/>
      </w:pPr>
      <w:r>
        <w:rPr>
          <w:color w:val="8C8C8C"/>
          <w:sz w:val="12"/>
        </w:rPr>
        <w:t>cf-art-102-inc-I-ali-b</w:t>
      </w:r>
      <w:r>
        <w:rPr>
          <w:color w:val="003CA0"/>
          <w:sz w:val="12"/>
        </w:rPr>
        <w:t xml:space="preserve"> | INQ 2.706</w:t>
      </w:r>
      <w:r>
        <w:rPr>
          <w:color w:val="003CA0"/>
          <w:sz w:val="12"/>
        </w:rPr>
        <w:t xml:space="preserve"> | rel. Menezes Direito</w:t>
      </w:r>
    </w:p>
    <w:p>
      <w:pPr>
        <w:ind w:left="288"/>
      </w:pPr>
      <w:r>
        <w:rPr>
          <w:color w:val="1E1E1E"/>
          <w:sz w:val="18"/>
        </w:rPr>
        <w:t>Na forma de inúmeros precedentes da Suprema Corte, o elevado número de agentes e de condutas demandam complexa dilação probatória a justificar o desmembramento do feito requerido pelo MPF, ressaltando-se que apenas um dos 23 indiciados detém prerrogativa de foro por ser deputado federal (art. 80 do CPP).</w:t>
      </w:r>
    </w:p>
    <w:p>
      <w:pPr>
        <w:ind w:left="288"/>
      </w:pPr>
      <w:r>
        <w:rPr>
          <w:b/>
          <w:color w:val="003CA0"/>
          <w:sz w:val="16"/>
        </w:rPr>
        <w:t>[Inq 2.706 AgR, rel. min. Menezes Direito, j. 14-8-2008, P, DJE de 25-9-2008.]</w:t>
      </w:r>
    </w:p>
    <w:p>
      <w:pPr>
        <w:ind w:left="288"/>
      </w:pPr>
      <w:r>
        <w:rPr>
          <w:color w:val="8C8C8C"/>
          <w:sz w:val="12"/>
        </w:rPr>
        <w:t>cf-art-102-inc-I-ali-b</w:t>
      </w:r>
      <w:r>
        <w:rPr>
          <w:color w:val="003CA0"/>
          <w:sz w:val="12"/>
        </w:rPr>
        <w:t xml:space="preserve"> | INQ 2.578</w:t>
      </w:r>
      <w:r>
        <w:rPr>
          <w:color w:val="003CA0"/>
          <w:sz w:val="12"/>
        </w:rPr>
        <w:t xml:space="preserve"> | rel. Ricardo Lewandowski</w:t>
      </w:r>
    </w:p>
    <w:p>
      <w:pPr>
        <w:ind w:left="288"/>
      </w:pPr>
      <w:r>
        <w:rPr>
          <w:color w:val="1E1E1E"/>
          <w:sz w:val="18"/>
        </w:rPr>
        <w:t>= Inq 2.578, rel. min. Ricardo Lewandowski, j. 6-8-2009, P, DJE de 18-9-2009 O réu, na qualidade de detentor do mandato de parlamentar federal, detém prerrogativa de foro perante o STF, onde deve ser julgado pela imputação da prática de crime doloso contra a vida. A norma contida no art. 5º, XXXVIII, da Constituição da República, que garante a instituição do júri, cede diante do disposto no art. 102, I, b, da Lei Maior, definidor da competência do STF, dada a especialidade deste último. Os crimes dolosos contra a vida estão abarcados pelo conceito de crimes comuns. Precedentes da Corte. A renú</w:t>
      </w:r>
    </w:p>
    <w:p>
      <w:pPr>
        <w:ind w:left="288"/>
      </w:pPr>
      <w:r>
        <w:rPr>
          <w:b/>
          <w:color w:val="003CA0"/>
          <w:sz w:val="16"/>
        </w:rPr>
        <w:t>[AP 333, rel. min. Joaquim Barbosa, j. 5-12-2007, P, DJE de 11-4-2008.]</w:t>
      </w:r>
    </w:p>
    <w:p>
      <w:pPr>
        <w:ind w:left="288"/>
      </w:pPr>
      <w:r>
        <w:rPr>
          <w:color w:val="8C8C8C"/>
          <w:sz w:val="12"/>
        </w:rPr>
        <w:t>cf-art-102-inc-I-ali-b</w:t>
      </w:r>
      <w:r>
        <w:rPr>
          <w:color w:val="003CA0"/>
          <w:sz w:val="12"/>
        </w:rPr>
        <w:t xml:space="preserve"> | AP 396</w:t>
      </w:r>
      <w:r>
        <w:rPr>
          <w:color w:val="003CA0"/>
          <w:sz w:val="12"/>
        </w:rPr>
        <w:t xml:space="preserve"> | rel. Cármen Lúcia</w:t>
      </w:r>
    </w:p>
    <w:p>
      <w:pPr>
        <w:ind w:left="288"/>
      </w:pPr>
      <w:r>
        <w:rPr>
          <w:color w:val="1E1E1E"/>
          <w:sz w:val="18"/>
        </w:rPr>
        <w:t>Vide AP 396, rel. min. Cármen Lúcia, j. 28-10-2010, P, DJE de 28-4-2011 Jurisprudência desta Corte é no sentido de que o pedido de explicações somente deve ser processado perante este Tribunal quando a autoridade apresentar prerrogativa de foro ratione muneris. A medida em causa não assume natureza de interpelação criminal judicial, o que a qualificaria como típica medida preparatória de futura ação penal referente a delitos contra a honra.</w:t>
      </w:r>
    </w:p>
    <w:p>
      <w:pPr>
        <w:ind w:left="288"/>
      </w:pPr>
      <w:r>
        <w:rPr>
          <w:b/>
          <w:color w:val="003CA0"/>
          <w:sz w:val="16"/>
        </w:rPr>
        <w:t>[Pet 4.076 AgR, rel. min. Ricardo Lewandowski, j. 29-11-2007, P, DJ de 14-12-2007.]</w:t>
      </w:r>
    </w:p>
    <w:p>
      <w:pPr>
        <w:ind w:left="288"/>
      </w:pPr>
      <w:r>
        <w:rPr>
          <w:color w:val="8C8C8C"/>
          <w:sz w:val="12"/>
        </w:rPr>
        <w:t>cf-art-102-inc-I-ali-b</w:t>
      </w:r>
      <w:r>
        <w:rPr>
          <w:color w:val="003CA0"/>
          <w:sz w:val="12"/>
        </w:rPr>
        <w:t xml:space="preserve"> | PET 5.187</w:t>
      </w:r>
      <w:r>
        <w:rPr>
          <w:color w:val="003CA0"/>
          <w:sz w:val="12"/>
        </w:rPr>
        <w:t xml:space="preserve"> | rel. Celso de Mello</w:t>
      </w:r>
    </w:p>
    <w:p>
      <w:pPr>
        <w:ind w:left="288"/>
      </w:pPr>
      <w:r>
        <w:rPr>
          <w:color w:val="1E1E1E"/>
          <w:sz w:val="18"/>
        </w:rPr>
        <w:t>= Pet 5.187, rel. min. Celso de Mello, j. 8-9-2014, dec. monocrática, DJE de 11-9-2014 Agravo regimental em inquérito. Recurso interposto contra decisão monocrática que, em face da perda do mandato de deputado federal, reconheceu a incompetência superveniente deste STF para processar e julgar o investigado nos termos do art. 102 da CF. A agravante sustenta a competência do STF para processar e julgar o feito, em face de o art. 84 do CPP e seus parágrafos assinalarem que a ex-autoridade, por ato praticado no ofício, mantém a prerrogativa de foro. Afirma, ainda, que o investigado aposentou-se an</w:t>
      </w:r>
    </w:p>
    <w:p>
      <w:pPr>
        <w:ind w:left="288"/>
      </w:pPr>
      <w:r>
        <w:rPr>
          <w:b/>
          <w:color w:val="003CA0"/>
          <w:sz w:val="16"/>
        </w:rPr>
        <w:t>[Inq 2.105 AgR, rel. min. Gilmar Mendes, j. 31-10-2007, P, DJ de 14-11-2007.]</w:t>
      </w:r>
    </w:p>
    <w:p>
      <w:pPr>
        <w:ind w:left="288"/>
      </w:pPr>
      <w:r>
        <w:rPr>
          <w:color w:val="8C8C8C"/>
          <w:sz w:val="12"/>
        </w:rPr>
        <w:t>cf-art-102-inc-I-ali-b</w:t>
      </w:r>
      <w:r>
        <w:rPr>
          <w:color w:val="003CA0"/>
          <w:sz w:val="12"/>
        </w:rPr>
        <w:t xml:space="preserve"> | PET 3.825</w:t>
      </w:r>
    </w:p>
    <w:p>
      <w:pPr>
        <w:ind w:left="288"/>
      </w:pPr>
      <w:r>
        <w:rPr>
          <w:color w:val="1E1E1E"/>
          <w:sz w:val="18"/>
        </w:rPr>
        <w:t>O voto do ministro Gilmar Mendes, por sua vez, abriu divergência do relator para apreciar se caberia, ou não, à autoridade policial investigar e indiciar autoridade dotada de predicamento de foro perante o STF. Considerações doutrinárias e jurisprudenciais acerca do tema da instauração de inquéritos em geral e dos inquéritos originários de competência do STF: i) a jurisprudência do STF é pacífica no sentido de que, nos inquéritos policiais em geral, não cabe a juiz ou a tribunal investigar, de ofício, o titular de prerrogativa de foro; ii) qualquer pessoa que, na condição exclusiva de cidadão,</w:t>
      </w:r>
    </w:p>
    <w:p>
      <w:pPr>
        <w:ind w:left="288"/>
      </w:pPr>
      <w:r>
        <w:rPr>
          <w:b/>
          <w:color w:val="003CA0"/>
          <w:sz w:val="16"/>
        </w:rPr>
        <w:t>[Pet 3.825 QO, red. do ac. min. Gilmar Mendes, j. 10-10-2007, P, DJE de 4-4-2008.]</w:t>
      </w:r>
    </w:p>
    <w:p>
      <w:pPr>
        <w:ind w:left="288"/>
      </w:pPr>
      <w:r>
        <w:rPr>
          <w:color w:val="8C8C8C"/>
          <w:sz w:val="12"/>
        </w:rPr>
        <w:t>cf-art-102-inc-I-ali-b</w:t>
      </w:r>
      <w:r>
        <w:rPr>
          <w:color w:val="003CA0"/>
          <w:sz w:val="12"/>
        </w:rPr>
        <w:t xml:space="preserve"> | INQ 2.411</w:t>
      </w:r>
      <w:r>
        <w:rPr>
          <w:color w:val="003CA0"/>
          <w:sz w:val="12"/>
        </w:rPr>
        <w:t xml:space="preserve"> | rel. Gilmar Mendes</w:t>
      </w:r>
    </w:p>
    <w:p>
      <w:pPr>
        <w:ind w:left="288"/>
      </w:pPr>
      <w:r>
        <w:rPr>
          <w:color w:val="1E1E1E"/>
          <w:sz w:val="18"/>
        </w:rPr>
        <w:t>= Inq 2.411 QO, rel. min. Gilmar Mendes, j. 10-10-2007, P, DJE de 25-4-2008 Primeira preliminar. Incompetência. Foro por prerrogativa de função. Desmembramento indeferido pelo pleno. Preclusão. Rejeitada a preliminar de incompetência do STF para julgar a acusação formulada contra os 34 acusados que não gozam de prerrogativa de foro. Matéria preclusa, tendo em vista que na sessão plenária realizada no dia 6-12-2006 decidiu-se, por votação majoritária, pela necessidade de manter-se um processo único, a tramitar perante o STF. (...) Terceira preliminar. Quebra de sigilo bancário decretada pelo ma</w:t>
      </w:r>
    </w:p>
    <w:p>
      <w:pPr>
        <w:ind w:left="288"/>
      </w:pPr>
      <w:r>
        <w:rPr>
          <w:b/>
          <w:color w:val="003CA0"/>
          <w:sz w:val="16"/>
        </w:rPr>
        <w:t>[Inq 2.245, rel. min. Joaquim Barbosa, j. 28-8-2007, P, DJ de 9-11-2007.]</w:t>
      </w:r>
    </w:p>
    <w:p>
      <w:pPr>
        <w:ind w:left="288"/>
      </w:pPr>
      <w:r>
        <w:rPr>
          <w:color w:val="8C8C8C"/>
          <w:sz w:val="12"/>
        </w:rPr>
        <w:t>cf-art-102-inc-I-ali-b</w:t>
      </w:r>
      <w:r>
        <w:rPr>
          <w:color w:val="003CA0"/>
          <w:sz w:val="12"/>
        </w:rPr>
        <w:t xml:space="preserve"> | HC 91.347</w:t>
      </w:r>
      <w:r>
        <w:rPr>
          <w:color w:val="003CA0"/>
          <w:sz w:val="12"/>
        </w:rPr>
        <w:t xml:space="preserve"> | rel. Marco Aurélio</w:t>
      </w:r>
    </w:p>
    <w:p>
      <w:pPr>
        <w:ind w:left="288"/>
      </w:pPr>
      <w:r>
        <w:rPr>
          <w:color w:val="1E1E1E"/>
          <w:sz w:val="18"/>
        </w:rPr>
        <w:t>Inquérito. Remembramento. Acusados sem prerrogativa de foro. Conexão. Continência. Supremo. Não concorre a indispensável relevância da causa de pedir do remembramento de inquérito, presente a competência do Supremo definida na CF, considerada a disciplina legal da conexão e da continência.</w:t>
      </w:r>
    </w:p>
    <w:p>
      <w:pPr>
        <w:ind w:left="288"/>
      </w:pPr>
      <w:r>
        <w:rPr>
          <w:b/>
          <w:color w:val="003CA0"/>
          <w:sz w:val="16"/>
        </w:rPr>
        <w:t>[HC 91.347 MC, rel. min. Marco Aurélio, j. 20-6-2007, P, DJ de 14-9-2007.]</w:t>
      </w:r>
    </w:p>
    <w:p>
      <w:pPr>
        <w:ind w:left="288"/>
      </w:pPr>
      <w:r>
        <w:rPr>
          <w:color w:val="8C8C8C"/>
          <w:sz w:val="12"/>
        </w:rPr>
        <w:t>cf-art-102-inc-I-ali-b</w:t>
      </w:r>
      <w:r>
        <w:rPr>
          <w:color w:val="003CA0"/>
          <w:sz w:val="12"/>
        </w:rPr>
        <w:t xml:space="preserve"> | RCL 2.138</w:t>
      </w:r>
      <w:r>
        <w:rPr>
          <w:color w:val="003CA0"/>
          <w:sz w:val="12"/>
        </w:rPr>
        <w:t xml:space="preserve"> | rel. Nelson Jobim. O pedido foi indeferido sob os seguintes fundamentos: 1) A Lei 8.429/1992 regulamenta o art. 37</w:t>
      </w:r>
    </w:p>
    <w:p>
      <w:pPr>
        <w:ind w:left="288"/>
      </w:pPr>
      <w:r>
        <w:rPr>
          <w:color w:val="1E1E1E"/>
          <w:sz w:val="18"/>
        </w:rPr>
        <w:t>Deputado federal, condenado em ação de improbidade administrativa, em razão de atos praticados à época em que era prefeito municipal, pleiteia que a execução da respectiva sentença condenatória tramite perante o STF, sob a alegação de que: a) os agentes políticos que respondem pelos crimes de responsabilidade tipificados no DL 201/1967 não se submetem à Lei de Improbidade (Lei 8.429/1992), sob pena de ocorrência de bis in idem; b) a ação de improbidade administrativa tem natureza penal e c) encontrava-se pendente de julgamento, nesta Corte, a Rcl 2.138, rel.  min.  Nelson Jobim. O pedido foi i</w:t>
      </w:r>
    </w:p>
    <w:p>
      <w:pPr>
        <w:ind w:left="288"/>
      </w:pPr>
      <w:r>
        <w:rPr>
          <w:b/>
          <w:color w:val="003CA0"/>
          <w:sz w:val="16"/>
        </w:rPr>
        <w:t>[Pet 3.923 QO, rel. min. Joaquim Barbosa, j. 13-6-2007, P, DJE de 26-9-2008.]</w:t>
      </w:r>
    </w:p>
    <w:p>
      <w:pPr>
        <w:ind w:left="288"/>
      </w:pPr>
      <w:r>
        <w:rPr>
          <w:color w:val="8C8C8C"/>
          <w:sz w:val="12"/>
        </w:rPr>
        <w:t>cf-art-102-inc-I-ali-b</w:t>
      </w:r>
      <w:r>
        <w:rPr>
          <w:color w:val="003CA0"/>
          <w:sz w:val="12"/>
        </w:rPr>
        <w:t xml:space="preserve"> | INQ 2.453</w:t>
      </w:r>
      <w:r>
        <w:rPr>
          <w:color w:val="003CA0"/>
          <w:sz w:val="12"/>
        </w:rPr>
        <w:t xml:space="preserve"> | rel. Ricardo Lewandowski</w:t>
      </w:r>
    </w:p>
    <w:p>
      <w:pPr>
        <w:ind w:left="288"/>
      </w:pPr>
      <w:r>
        <w:rPr>
          <w:color w:val="1E1E1E"/>
          <w:sz w:val="18"/>
        </w:rPr>
        <w:t>Os membros do Congresso Nacional, pela condição peculiar de representantes do povo ou dos Estados que ostentam, atraem a competência jurisdicional do STF. O foro especial possui natureza intuitu funcionae, ligando-se ao cargo de senador ou deputado e não à pessoa do parlamentar. Não se cuida de prerrogativa intuitu personae, vinculando-se ao cargo, ainda que ocupado interinamente, razão pela qual se admite a sua perda ante o retorno do titular ao exercício daquele. A diplomação do suplente não lhe estende automaticamente o regime político-jurídico dos congressistas, por constituir mera formali</w:t>
      </w:r>
    </w:p>
    <w:p>
      <w:pPr>
        <w:ind w:left="288"/>
      </w:pPr>
      <w:r>
        <w:rPr>
          <w:b/>
          <w:color w:val="003CA0"/>
          <w:sz w:val="16"/>
        </w:rPr>
        <w:t>[Inq 2.453 AgR, rel. min. Ricardo Lewandowski, j. 17-5-2007, P, DJ de 29-6-2007.]</w:t>
      </w:r>
    </w:p>
    <w:p>
      <w:pPr>
        <w:ind w:left="288"/>
      </w:pPr>
      <w:r>
        <w:rPr>
          <w:color w:val="8C8C8C"/>
          <w:sz w:val="12"/>
        </w:rPr>
        <w:t>cf-art-102-inc-I-ali-b</w:t>
      </w:r>
      <w:r>
        <w:rPr>
          <w:color w:val="003CA0"/>
          <w:sz w:val="12"/>
        </w:rPr>
        <w:t xml:space="preserve"> | INQ 2.421</w:t>
      </w:r>
      <w:r>
        <w:rPr>
          <w:color w:val="003CA0"/>
          <w:sz w:val="12"/>
        </w:rPr>
        <w:t xml:space="preserve"> | rel. Menezes Direito</w:t>
      </w:r>
    </w:p>
    <w:p>
      <w:pPr>
        <w:ind w:left="288"/>
      </w:pPr>
      <w:r>
        <w:rPr>
          <w:color w:val="1E1E1E"/>
          <w:sz w:val="18"/>
        </w:rPr>
        <w:t>= Inq 2.421 AgR, rel. min. Menezes Direito, j. 14-2-2008, P, DJE de 4-4-2008 Cancelamento da Súmula 394/STF (RTJ 179/912-913). Nada pode autorizar o desequilíbrio entre os cidadãos da República. O reconhecimento da prerrogativa de foro, perante o STF, nos ilícitos penais comuns, em favor de ex-ocupantes de cargos públicos ou de ex-titulares de mandatos eletivos transgride valor fundamental à própria configuração da ideia republicana, que se orienta pelo vetor axiológico da igualdade. A prerrogativa de foro é outorgada, constitucionalmente, ratione muneris, a significar, portanto, que é deferid</w:t>
      </w:r>
    </w:p>
    <w:p>
      <w:pPr>
        <w:ind w:left="288"/>
      </w:pPr>
      <w:r>
        <w:rPr>
          <w:b/>
          <w:color w:val="003CA0"/>
          <w:sz w:val="16"/>
        </w:rPr>
        <w:t>[Inq 1.376 AgR, rel. min. Celso de Mello, j. 15-2-2007, P, DJ de 16-3-2007.]</w:t>
      </w:r>
    </w:p>
    <w:p>
      <w:pPr>
        <w:ind w:left="288"/>
      </w:pPr>
      <w:r>
        <w:rPr>
          <w:color w:val="8C8C8C"/>
          <w:sz w:val="12"/>
        </w:rPr>
        <w:t>cf-art-102-inc-I-ali-b</w:t>
      </w:r>
      <w:r>
        <w:rPr>
          <w:color w:val="003CA0"/>
          <w:sz w:val="12"/>
        </w:rPr>
        <w:t xml:space="preserve"> | RE 599.650</w:t>
      </w:r>
      <w:r>
        <w:rPr>
          <w:color w:val="003CA0"/>
          <w:sz w:val="12"/>
        </w:rPr>
        <w:t xml:space="preserve"> | rel. Cezar Peluso</w:t>
      </w:r>
    </w:p>
    <w:p>
      <w:pPr>
        <w:ind w:left="288"/>
      </w:pPr>
      <w:r>
        <w:rPr>
          <w:color w:val="1E1E1E"/>
          <w:sz w:val="18"/>
        </w:rPr>
        <w:t>= RE 599.650, rel. min. Cezar Peluso, j. 29-9-2009, 2ª T, DJE de 23-10-2009 A racionalidade dos trabalhos do Judiciário direciona ao desmembramento do processo para remessa à primeira instância, objetivando a sequência no tocante aos que não gozem de prerrogativa de foro, preservando-se com isso o princípio constitucional do juiz natural.</w:t>
      </w:r>
    </w:p>
    <w:p>
      <w:pPr>
        <w:ind w:left="288"/>
      </w:pPr>
      <w:r>
        <w:rPr>
          <w:b/>
          <w:color w:val="003CA0"/>
          <w:sz w:val="16"/>
        </w:rPr>
        <w:t>[AP 351, rel. min. Marco Aurélio, j. 12-8-2004, P, DJ de 17-9-2004.]</w:t>
      </w:r>
    </w:p>
    <w:p>
      <w:pPr>
        <w:ind w:left="288"/>
      </w:pPr>
      <w:r>
        <w:rPr>
          <w:color w:val="8C8C8C"/>
          <w:sz w:val="12"/>
        </w:rPr>
        <w:t>cf-art-102-inc-I-ali-b</w:t>
      </w:r>
      <w:r>
        <w:rPr>
          <w:color w:val="003CA0"/>
          <w:sz w:val="12"/>
        </w:rPr>
        <w:t xml:space="preserve"> | AP 420</w:t>
      </w:r>
      <w:r>
        <w:rPr>
          <w:color w:val="003CA0"/>
          <w:sz w:val="12"/>
        </w:rPr>
        <w:t xml:space="preserve"> | rel. Joaquim Barbosa</w:t>
      </w:r>
    </w:p>
    <w:p>
      <w:pPr>
        <w:ind w:left="288"/>
      </w:pPr>
      <w:r>
        <w:rPr>
          <w:color w:val="1E1E1E"/>
          <w:sz w:val="18"/>
        </w:rPr>
        <w:t>Vide AP 420 AgR, rel. min. Joaquim Barbosa, j. 9-9-2010, P, DJE de 14-3-2012 Vide Inq 2.718 QO, rel. min. Ricardo Lewandowski, j. 20-8-2009, P, DJE de 27-11-2009 Competência penal. Ato praticado quando do exercício do mandato e sem relação com o mandato. Inaplicabilidade da Lei 10.628/2002. Ato praticado em decorrência do exercício do mandato e relativo a tal exercício. Nessa última hipótese a competência do STF, por força da lei, independe do acusado se encontrar, ou não, quando da denúncia, no exercício do mandato. O critério para a competência está em que o ato tenha relação com o exercício</w:t>
      </w:r>
    </w:p>
    <w:p>
      <w:pPr>
        <w:ind w:left="288"/>
      </w:pPr>
      <w:r>
        <w:rPr>
          <w:b/>
          <w:color w:val="003CA0"/>
          <w:sz w:val="16"/>
        </w:rPr>
        <w:t>[Rcl 2.538 AgR, rel. min. Ellen Gracie, j. 19-2-2004, P, DJ de 12-3-2004.]</w:t>
      </w:r>
    </w:p>
    <w:p>
      <w:pPr>
        <w:ind w:left="288"/>
      </w:pPr>
      <w:r>
        <w:rPr>
          <w:color w:val="8C8C8C"/>
          <w:sz w:val="12"/>
        </w:rPr>
        <w:t>cf-art-102-inc-I-ali-b</w:t>
      </w:r>
      <w:r>
        <w:rPr>
          <w:color w:val="003CA0"/>
          <w:sz w:val="12"/>
        </w:rPr>
        <w:t xml:space="preserve"> | HC 70.140</w:t>
      </w:r>
      <w:r>
        <w:rPr>
          <w:color w:val="003CA0"/>
          <w:sz w:val="12"/>
        </w:rPr>
        <w:t xml:space="preserve"> | rel. Octavio Gallotti</w:t>
      </w:r>
    </w:p>
    <w:p>
      <w:pPr>
        <w:ind w:left="288"/>
      </w:pPr>
      <w:r>
        <w:rPr>
          <w:color w:val="1E1E1E"/>
          <w:sz w:val="18"/>
        </w:rPr>
        <w:t>Quebra de sigilo de deputada federal, autorizada por decisão de juiz-corregedor regional eleitoral, em processo de inelegibilidade. Não se caracteriza, em tal hipótese, a usurpação de competência originária conferida ao Supremo Tribunal pelo art. 101, I, b, da Constituição, que se restringe ao julgamento de matéria criminal. Precedentes do STF: HC 70.140, RTJ 151/95; Rcl 511, RTJ 166/787.</w:t>
      </w:r>
    </w:p>
    <w:p>
      <w:pPr>
        <w:ind w:left="288"/>
      </w:pPr>
      <w:r>
        <w:rPr>
          <w:b/>
          <w:color w:val="003CA0"/>
          <w:sz w:val="16"/>
        </w:rPr>
        <w:t>[Rcl 514, rel. min. Octavio Gallotti, j. 21-6-2000, P, DJ de 29-9-2000.]</w:t>
      </w:r>
    </w:p>
    <w:p>
      <w:pPr>
        <w:ind w:left="288"/>
      </w:pPr>
      <w:r>
        <w:rPr>
          <w:color w:val="8C8C8C"/>
          <w:sz w:val="12"/>
        </w:rPr>
        <w:t>cf-art-102-inc-I-ali-b</w:t>
      </w:r>
      <w:r>
        <w:rPr>
          <w:color w:val="003CA0"/>
          <w:sz w:val="12"/>
        </w:rPr>
        <w:t xml:space="preserve"> | RCL 13.286</w:t>
      </w:r>
      <w:r>
        <w:rPr>
          <w:color w:val="003CA0"/>
          <w:sz w:val="12"/>
        </w:rPr>
        <w:t xml:space="preserve"> | rel. Celso de Mello</w:t>
      </w:r>
    </w:p>
    <w:p>
      <w:pPr>
        <w:ind w:left="288"/>
      </w:pPr>
      <w:r>
        <w:rPr>
          <w:color w:val="1E1E1E"/>
          <w:sz w:val="18"/>
        </w:rPr>
        <w:t>Vide Rcl 13.286 MC, rel. min. Celso de Mello, j. 17-2-2012, dec. monocrática, DJE de 29-2-2012 A jurisprudência do STF firmou-se no sentido de definir a locução constitucional "crimes comuns" como expressão abrangente a todas as modalidades de infrações penais, estendendo-se aos delitos eleitorais e alcançando, até mesmo, as próprias contravenções penais.</w:t>
      </w:r>
    </w:p>
    <w:p>
      <w:pPr>
        <w:ind w:left="288"/>
      </w:pPr>
      <w:r>
        <w:rPr>
          <w:b/>
          <w:color w:val="003CA0"/>
          <w:sz w:val="16"/>
        </w:rPr>
        <w:t>[Rcl 511, rel. min. Celso de Mello, j. 9-2-1995, P, DJ de 15-9-1995.]</w:t>
      </w:r>
    </w:p>
    <w:p>
      <w:pPr>
        <w:ind w:left="288"/>
      </w:pPr>
      <w:r>
        <w:rPr>
          <w:color w:val="8C8C8C"/>
          <w:sz w:val="12"/>
        </w:rPr>
        <w:t>cf-art-102-inc-I-ali-b</w:t>
      </w:r>
      <w:r>
        <w:rPr>
          <w:color w:val="003CA0"/>
          <w:sz w:val="12"/>
        </w:rPr>
        <w:t xml:space="preserve"> | INQ 1.872</w:t>
      </w:r>
      <w:r>
        <w:rPr>
          <w:color w:val="003CA0"/>
          <w:sz w:val="12"/>
        </w:rPr>
        <w:t xml:space="preserve"> | rel. Ricardo Lewandowski</w:t>
      </w:r>
    </w:p>
    <w:p>
      <w:pPr>
        <w:ind w:left="288"/>
      </w:pPr>
      <w:r>
        <w:rPr>
          <w:color w:val="1E1E1E"/>
          <w:sz w:val="18"/>
        </w:rPr>
        <w:t>= Inq 1.872, rel. min. Ricardo Lewandowski, j. 4-10-2006, P, DJ de 20-4-2007 A diplomação do réu como deputado federal opera o deslocamento, para o STF, da competência penal para a persecutio criminis, não tendo o condão de afetar a integridade jurídica dos atos processuais, inclusive os de caráter decisório, já praticados, com base no ordenamento positivo vigente à época de sua efetivação, por órgão judiciário até então competente.</w:t>
      </w:r>
    </w:p>
    <w:p>
      <w:pPr>
        <w:ind w:left="288"/>
      </w:pPr>
      <w:r>
        <w:rPr>
          <w:b/>
          <w:color w:val="003CA0"/>
          <w:sz w:val="16"/>
        </w:rPr>
        <w:t>[HC 70.620, rel. min. Celso de Mello, j. 16-12-1993, P, DJ de 24-11-2006.]</w:t>
      </w:r>
    </w:p>
    <w:p>
      <w:pPr>
        <w:ind w:left="288"/>
      </w:pPr>
      <w:r>
        <w:rPr>
          <w:color w:val="8C8C8C"/>
          <w:sz w:val="12"/>
        </w:rPr>
        <w:t>cf-art-102-inc-I-ali-b</w:t>
      </w:r>
      <w:r>
        <w:rPr>
          <w:color w:val="003CA0"/>
          <w:sz w:val="12"/>
        </w:rPr>
        <w:t xml:space="preserve"> | INQ 2.767</w:t>
      </w:r>
      <w:r>
        <w:rPr>
          <w:color w:val="003CA0"/>
          <w:sz w:val="12"/>
        </w:rPr>
        <w:t xml:space="preserve"> | rel. Joaquim Barbosa</w:t>
      </w:r>
    </w:p>
    <w:p>
      <w:pPr>
        <w:ind w:left="288"/>
      </w:pPr>
      <w:r>
        <w:rPr>
          <w:color w:val="1E1E1E"/>
          <w:sz w:val="18"/>
        </w:rPr>
        <w:t>= Inq 2.767, rel. min. Joaquim Barbosa, j. 18-6-2009, P, DJE de 4-9-2009 Vide AP 634 QO, rel. min. Roberto Barroso, j. 6-2-2014, P, DJE de 30-10-2014 No sistema da CF, a proteção especial à pessoa do parlamentar, independentemente do exercício do mandato, reside no foro por prerrogativa de função que lhe assegura o art. 53, § 4º, da Carta Magna, ainda quando afastado da função legislativa para exercer cargo público constitucionalmente permitido.</w:t>
      </w:r>
    </w:p>
    <w:p>
      <w:pPr>
        <w:ind w:left="288"/>
      </w:pPr>
      <w:r>
        <w:rPr>
          <w:b/>
          <w:color w:val="003CA0"/>
          <w:sz w:val="16"/>
        </w:rPr>
        <w:t>[Inq 777 QO, rel. min. Moreira Alves, j. 2-9-1993, P, DJ de 1º-10-1993.]</w:t>
      </w:r>
    </w:p>
    <w:p>
      <w:pPr>
        <w:ind w:left="288"/>
      </w:pPr>
      <w:r>
        <w:rPr>
          <w:color w:val="8C8C8C"/>
          <w:sz w:val="12"/>
        </w:rPr>
        <w:t>cf-art-102-inc-I-ali-b</w:t>
      </w:r>
    </w:p>
    <w:p>
      <w:pPr>
        <w:ind w:left="288"/>
      </w:pPr>
      <w:r>
        <w:rPr>
          <w:color w:val="1E1E1E"/>
          <w:sz w:val="18"/>
        </w:rPr>
        <w:t>c) nas infrações penais comuns e nos crimes de responsabilidade, os Ministros de Estado e os Comandantes da Marinha, do Exército e da Aeronáutica, ressalvado o disposto no art. 52, I, os membros dos Tribunais Superiores, os do Tribunal de Contas da União e os chefes de missão diplomática de caráter permanente; (Redação da EC 23/1999)</w:t>
      </w:r>
    </w:p>
    <w:p>
      <w:pPr>
        <w:ind w:left="288"/>
      </w:pPr>
      <w:r>
        <w:rPr>
          <w:color w:val="8C8C8C"/>
          <w:sz w:val="12"/>
        </w:rPr>
        <w:t>cf-art-102-inc-I-ali-b</w:t>
      </w:r>
      <w:r>
        <w:rPr>
          <w:color w:val="003CA0"/>
          <w:sz w:val="12"/>
        </w:rPr>
        <w:t xml:space="preserve"> | ADI 3.289</w:t>
      </w:r>
      <w:r>
        <w:rPr>
          <w:color w:val="003CA0"/>
          <w:sz w:val="12"/>
        </w:rPr>
        <w:t xml:space="preserve"> | rel. Gilmar Mendes</w:t>
      </w:r>
    </w:p>
    <w:p>
      <w:pPr>
        <w:ind w:left="288"/>
      </w:pPr>
      <w:r>
        <w:rPr>
          <w:color w:val="1E1E1E"/>
          <w:sz w:val="18"/>
        </w:rPr>
        <w:t>Ação direta de inconstitucionalidade contra a MP 207, de 13-8-2004 (convertida na Lei 11.036/2004), que alterou disposições das Leis 10.683/2003 e 9.650/1998, para equiparar o cargo de natureza especial de presidente do Banco Central ao cargo de ministro de Estado. Prerrogativa de foro para o presidente do Banco Central. Ofensa aos arts. 2º; 52, III, d; 62, § 1º, I, b, § 9º; 69 e 192; todos da CF. Natureza política da função de presidente do Banco Central que autoriza a transferência de competência. (...) Não caracterização de modelo linear ou simétrico de competências por prerrogativa de foro</w:t>
      </w:r>
    </w:p>
    <w:p>
      <w:pPr>
        <w:ind w:left="288"/>
      </w:pPr>
      <w:r>
        <w:rPr>
          <w:b/>
          <w:color w:val="003CA0"/>
          <w:sz w:val="16"/>
        </w:rPr>
        <w:t>[ADI 3.289 e ADI 3.290, rel. min. Gilmar Mendes, j. 5-5-2005, P, DJ de 24-2-2006.]</w:t>
      </w:r>
    </w:p>
    <w:p>
      <w:pPr>
        <w:ind w:left="144"/>
      </w:pPr>
      <w:r>
        <w:rPr>
          <w:b/>
          <w:color w:val="B45A00"/>
          <w:sz w:val="16"/>
        </w:rPr>
        <w:t>JULGADOS CORRELATOS</w:t>
      </w:r>
    </w:p>
    <w:p>
      <w:pPr>
        <w:ind w:left="288"/>
      </w:pPr>
      <w:r>
        <w:rPr>
          <w:color w:val="8C8C8C"/>
          <w:sz w:val="12"/>
        </w:rPr>
        <w:t>cf-art-102-inc-I-ali-b</w:t>
      </w:r>
      <w:r>
        <w:rPr>
          <w:color w:val="003CA0"/>
          <w:sz w:val="12"/>
        </w:rPr>
        <w:t xml:space="preserve"> | PET 3.230</w:t>
      </w:r>
      <w:r>
        <w:rPr>
          <w:color w:val="003CA0"/>
          <w:sz w:val="12"/>
        </w:rPr>
        <w:t xml:space="preserve"> | rel. Celso de Mello</w:t>
      </w:r>
    </w:p>
    <w:p>
      <w:pPr>
        <w:ind w:left="288"/>
      </w:pPr>
      <w:r>
        <w:rPr>
          <w:color w:val="1E1E1E"/>
          <w:sz w:val="18"/>
        </w:rPr>
        <w:t xml:space="preserve">O foro especial por prerrogativa de função previsto na CF em relação às infrações penais comuns não é extensível às ações de improbidade administrativa, de natureza civil. (...) não há lacuna constitucional, mas legítima opção do poder constituinte originário em não instituir foro privilegiado para o processo e julgamento de agentes políticos pela prática de atos de improbidade na esfera civil. </w:t>
        <w:br/>
        <w:t>[Pet 3.230 AgR, red. do ac. min. Roberto Barroso, j. 10-5-2018, P, DJE de 22-8-2018.] Diplomata. Prerrogativa de foro. Infrações penais comuns. Tratamento normativo do tema no constitucionalismo brasil</w:t>
      </w:r>
    </w:p>
    <w:p>
      <w:pPr>
        <w:ind w:left="288"/>
      </w:pPr>
      <w:r>
        <w:rPr>
          <w:b/>
          <w:color w:val="003CA0"/>
          <w:sz w:val="16"/>
        </w:rPr>
        <w:t>[AP 570, rel. min. Celso de Mello, j. 24-10-2013, dec. monocrática, DJE de 29-10-2013.]</w:t>
      </w:r>
    </w:p>
    <w:p>
      <w:pPr>
        <w:ind w:left="288"/>
      </w:pPr>
      <w:r>
        <w:rPr>
          <w:color w:val="8C8C8C"/>
          <w:sz w:val="12"/>
        </w:rPr>
        <w:t>cf-art-102-inc-I-ali-b</w:t>
      </w:r>
      <w:r>
        <w:rPr>
          <w:color w:val="003CA0"/>
          <w:sz w:val="12"/>
        </w:rPr>
        <w:t xml:space="preserve"> | rel. Celso de Mello</w:t>
      </w:r>
    </w:p>
    <w:p>
      <w:pPr>
        <w:ind w:left="288"/>
      </w:pPr>
      <w:r>
        <w:rPr>
          <w:color w:val="1E1E1E"/>
          <w:sz w:val="18"/>
        </w:rPr>
        <w:t>O STF possui competência originária para processar pedido de explicações formulado com apoio no art. 144 do CP, quando deduzido contra ministro integrante de tribunal superior da União, por se tratar de autoridade que dispõe de prerrogativa de foro ratione muneris.</w:t>
      </w:r>
    </w:p>
    <w:p>
      <w:pPr>
        <w:ind w:left="288"/>
      </w:pPr>
      <w:r>
        <w:rPr>
          <w:b/>
          <w:color w:val="003CA0"/>
          <w:sz w:val="16"/>
        </w:rPr>
        <w:t>[Pet. 4.892, rel. min. Celso de Mello, j. 26-4-2011, dec. monocrática, DJE de 29-4-2011.]</w:t>
      </w:r>
    </w:p>
    <w:p>
      <w:pPr>
        <w:ind w:left="288"/>
      </w:pPr>
      <w:r>
        <w:rPr>
          <w:color w:val="8C8C8C"/>
          <w:sz w:val="12"/>
        </w:rPr>
        <w:t>cf-art-102-inc-I-ali-b</w:t>
      </w:r>
      <w:r>
        <w:rPr>
          <w:color w:val="003CA0"/>
          <w:sz w:val="12"/>
        </w:rPr>
        <w:t xml:space="preserve"> | AP 527</w:t>
      </w:r>
      <w:r>
        <w:rPr>
          <w:color w:val="003CA0"/>
          <w:sz w:val="12"/>
        </w:rPr>
        <w:t xml:space="preserve"> | rel. Dias Toffoli</w:t>
      </w:r>
    </w:p>
    <w:p>
      <w:pPr>
        <w:ind w:left="288"/>
      </w:pPr>
      <w:r>
        <w:rPr>
          <w:color w:val="1E1E1E"/>
          <w:sz w:val="18"/>
        </w:rPr>
        <w:t>Consoante posicionamento jurisprudencial desta Colenda Corte Constitucional, a competência penal originária do STF por prerrogativa de função advinda da investidura de sujeito ativo de um delito, no curso do processo, em uma das funções descritas no art. 102, I, b e c, da CF/1988 não acarreta a nulidade da denúncia oferecida nem dos atos processuais praticados anteriormente perante a justiça competente à época dos fatos.</w:t>
      </w:r>
    </w:p>
    <w:p>
      <w:pPr>
        <w:ind w:left="288"/>
      </w:pPr>
      <w:r>
        <w:rPr>
          <w:b/>
          <w:color w:val="003CA0"/>
          <w:sz w:val="16"/>
        </w:rPr>
        <w:t>[AP 527, rel. min. Dias Toffoli, j. 16-12-2010, P, DJE de 4-4-2011.]</w:t>
      </w:r>
    </w:p>
    <w:p>
      <w:pPr>
        <w:ind w:left="288"/>
      </w:pPr>
      <w:r>
        <w:rPr>
          <w:color w:val="8C8C8C"/>
          <w:sz w:val="12"/>
        </w:rPr>
        <w:t>cf-art-102-inc-I-ali-b</w:t>
      </w:r>
      <w:r>
        <w:rPr>
          <w:color w:val="003CA0"/>
          <w:sz w:val="12"/>
        </w:rPr>
        <w:t xml:space="preserve"> | INQ 2.648</w:t>
      </w:r>
      <w:r>
        <w:rPr>
          <w:color w:val="003CA0"/>
          <w:sz w:val="12"/>
        </w:rPr>
        <w:t xml:space="preserve"> | rel. Cármen Lúcia</w:t>
      </w:r>
    </w:p>
    <w:p>
      <w:pPr>
        <w:ind w:left="288"/>
      </w:pPr>
      <w:r>
        <w:rPr>
          <w:color w:val="1E1E1E"/>
          <w:sz w:val="18"/>
        </w:rPr>
        <w:t>= Inq 2.648, rel. min. Cármen Lúcia, j. 12-6-2008, P, DJE de 22-8-2008 O cerne da questão em debate neste writ consiste em saber se está ou não impedido o magistrado que, tendo presidido o inquérito, tornou-se, posteriormente, prevento para atuar como relator da ação penal. (...) Em se tratando de processos penais originários, que tramitam no STJ e no STF, regulados pela Lei 8.038/1990, de acordo com o seu art. 2º, parágrafo único, "o relator escolhido, na forma regimental (...) terá as atribuições que a legislação processual confere aos juízes singulares". Entre essas atribuições encontra-se,</w:t>
      </w:r>
    </w:p>
    <w:p>
      <w:pPr>
        <w:ind w:left="288"/>
      </w:pPr>
      <w:r>
        <w:rPr>
          <w:b/>
          <w:color w:val="003CA0"/>
          <w:sz w:val="16"/>
        </w:rPr>
        <w:t>[HC 92.893, voto do rel. min. Ricardo Lewandowski, j. 2-10-2008, P, DJE de 12-12-2008.]</w:t>
      </w:r>
    </w:p>
    <w:p>
      <w:pPr>
        <w:ind w:left="288"/>
      </w:pPr>
      <w:r>
        <w:rPr>
          <w:color w:val="8C8C8C"/>
          <w:sz w:val="12"/>
        </w:rPr>
        <w:t>cf-art-102-inc-I-ali-b</w:t>
      </w:r>
      <w:r>
        <w:rPr>
          <w:color w:val="003CA0"/>
          <w:sz w:val="12"/>
        </w:rPr>
        <w:t xml:space="preserve"> | PET 4.313</w:t>
      </w:r>
      <w:r>
        <w:rPr>
          <w:color w:val="003CA0"/>
          <w:sz w:val="12"/>
        </w:rPr>
        <w:t xml:space="preserve"> | rel. Cezar Peluso</w:t>
      </w:r>
    </w:p>
    <w:p>
      <w:pPr>
        <w:ind w:left="288"/>
      </w:pPr>
      <w:r>
        <w:rPr>
          <w:color w:val="1E1E1E"/>
          <w:sz w:val="18"/>
        </w:rPr>
        <w:t>Competência. Originária. Magistratura. Magistrado. Ministro do STJ. Representação. Alegação de ofensa aos princípios da legalidade e da imparcialidade. Não conhecimento. Inteligência do art. 102, I, e, da CF. Remessa dos autos ao STJ. Agravo improvido. O Supremo não é competente para conhecer de representação contra ministro do STJ.</w:t>
      </w:r>
    </w:p>
    <w:p>
      <w:pPr>
        <w:ind w:left="288"/>
      </w:pPr>
      <w:r>
        <w:rPr>
          <w:b/>
          <w:color w:val="003CA0"/>
          <w:sz w:val="16"/>
        </w:rPr>
        <w:t>[Pet 4.313 AgR, rel. min. Cezar Peluso, j. 16-9-2008, P, DJE de 7-11-2008.]</w:t>
      </w:r>
    </w:p>
    <w:p>
      <w:pPr>
        <w:ind w:left="288"/>
      </w:pPr>
      <w:r>
        <w:rPr>
          <w:color w:val="8C8C8C"/>
          <w:sz w:val="12"/>
        </w:rPr>
        <w:t>cf-art-102-inc-I-ali-b</w:t>
      </w:r>
      <w:r>
        <w:rPr>
          <w:color w:val="003CA0"/>
          <w:sz w:val="12"/>
        </w:rPr>
        <w:t xml:space="preserve"> | PET 3.211</w:t>
      </w:r>
    </w:p>
    <w:p>
      <w:pPr>
        <w:ind w:left="288"/>
      </w:pPr>
      <w:r>
        <w:rPr>
          <w:color w:val="1E1E1E"/>
          <w:sz w:val="18"/>
        </w:rPr>
        <w:t>Questão de ordem. Ação civil pública. Ato de improbidade administrativa. Ministro do STF. Impossibilidade. Competência da Corte para processar e julgar seus membros apenas nas infrações penais comuns. Compete ao STF julgar ação de improbidade contra seus membros. Arquivamento da ação quanto ao ministro da Suprema Corte e remessa dos autos ao juízo de primeiro grau de jurisdição no tocante aos demais.</w:t>
      </w:r>
    </w:p>
    <w:p>
      <w:pPr>
        <w:ind w:left="288"/>
      </w:pPr>
      <w:r>
        <w:rPr>
          <w:b/>
          <w:color w:val="003CA0"/>
          <w:sz w:val="16"/>
        </w:rPr>
        <w:t>[Pet 3.211 QO, red do ac. min. Menezes Direito, j. 13-3-2008, P, DJE de 27-6-2008.]</w:t>
      </w:r>
    </w:p>
    <w:p>
      <w:pPr>
        <w:ind w:left="288"/>
      </w:pPr>
      <w:r>
        <w:rPr>
          <w:color w:val="8C8C8C"/>
          <w:sz w:val="12"/>
        </w:rPr>
        <w:t>cf-art-102-inc-I-ali-b</w:t>
      </w:r>
      <w:r>
        <w:rPr>
          <w:color w:val="003CA0"/>
          <w:sz w:val="12"/>
        </w:rPr>
        <w:t xml:space="preserve"> | PET 4.089</w:t>
      </w:r>
      <w:r>
        <w:rPr>
          <w:color w:val="003CA0"/>
          <w:sz w:val="12"/>
        </w:rPr>
        <w:t xml:space="preserve"> | rel. Celso de Mello</w:t>
      </w:r>
    </w:p>
    <w:p>
      <w:pPr>
        <w:ind w:left="288"/>
      </w:pPr>
      <w:r>
        <w:rPr>
          <w:color w:val="1E1E1E"/>
          <w:sz w:val="18"/>
        </w:rPr>
        <w:t>As medidas cautelares a que se refere o art. 867 do CPC (protesto, notificação ou interpelação), quando promovidas contra ministro de Estado, não se incluem na esfera de competência originária do STF, precisamente porque destituídas de caráter penal.</w:t>
      </w:r>
    </w:p>
    <w:p>
      <w:pPr>
        <w:ind w:left="288"/>
      </w:pPr>
      <w:r>
        <w:rPr>
          <w:b/>
          <w:color w:val="003CA0"/>
          <w:sz w:val="16"/>
        </w:rPr>
        <w:t>[Pet 4.089 AgR, rel. min. Celso de Mello, j. 24-10-2007, P, DJE de 1º-2-2013.]</w:t>
      </w:r>
    </w:p>
    <w:p>
      <w:pPr>
        <w:ind w:left="288"/>
      </w:pPr>
      <w:r>
        <w:rPr>
          <w:color w:val="8C8C8C"/>
          <w:sz w:val="12"/>
        </w:rPr>
        <w:t>cf-art-102-inc-I-ali-b</w:t>
      </w:r>
      <w:r>
        <w:rPr>
          <w:color w:val="003CA0"/>
          <w:sz w:val="12"/>
        </w:rPr>
        <w:t xml:space="preserve"> | PET 4.075</w:t>
      </w:r>
      <w:r>
        <w:rPr>
          <w:color w:val="003CA0"/>
          <w:sz w:val="12"/>
        </w:rPr>
        <w:t xml:space="preserve"> | rel. Teori Zavascki</w:t>
      </w:r>
    </w:p>
    <w:p>
      <w:pPr>
        <w:ind w:left="288"/>
      </w:pPr>
      <w:r>
        <w:rPr>
          <w:color w:val="1E1E1E"/>
          <w:sz w:val="18"/>
        </w:rPr>
        <w:t>= Pet 4.075 AgR, rel. min. Teori Zavascki, j. 19-9-2013, P, DJE de 11-10-2013 Foro especial. Impetração contra decisão de desmembramento de inquérito que manteve o paciente sob a jurisdição do STF por conexão. Inexistência de afronta ao princípio do juiz natural: Súmula 704/STF. Falta de interesse de agir: não ocorrência.</w:t>
      </w:r>
    </w:p>
    <w:p>
      <w:pPr>
        <w:ind w:left="288"/>
      </w:pPr>
      <w:r>
        <w:rPr>
          <w:b/>
          <w:color w:val="003CA0"/>
          <w:sz w:val="16"/>
        </w:rPr>
        <w:t>[HC 91.224, red do ac. min. Cármen Lúcia, j. 15-10-2007, P, DJE de 16-5-2008.]</w:t>
      </w:r>
    </w:p>
    <w:p>
      <w:pPr>
        <w:ind w:left="288"/>
      </w:pPr>
      <w:r>
        <w:rPr>
          <w:color w:val="8C8C8C"/>
          <w:sz w:val="12"/>
        </w:rPr>
        <w:t>cf-art-102-inc-I-ali-b</w:t>
      </w:r>
      <w:r>
        <w:rPr>
          <w:color w:val="003CA0"/>
          <w:sz w:val="12"/>
        </w:rPr>
        <w:t xml:space="preserve"> | INQ 2.424</w:t>
      </w:r>
      <w:r>
        <w:rPr>
          <w:color w:val="003CA0"/>
          <w:sz w:val="12"/>
        </w:rPr>
        <w:t xml:space="preserve"> | rel. Cezar Peluso</w:t>
      </w:r>
    </w:p>
    <w:p>
      <w:pPr>
        <w:ind w:left="288"/>
      </w:pPr>
      <w:r>
        <w:rPr>
          <w:color w:val="1E1E1E"/>
          <w:sz w:val="18"/>
        </w:rPr>
        <w:t>= Inq 2.424, rel. min. Cezar Peluso, j. 26-11-2008, P, DJE de 26-3-2010 Vide Inq 2.718 QO, rel. min. Ricardo Lewandowski, j. 20-8-2009, P, DJE de 27-11-2009 Somente o STF pode processar e julgar ministro de Estado no caso de crime de responsabilidade e, assim, eventualmente, determinar a perda do cargo ou a suspensão de direitos políticos.</w:t>
      </w:r>
    </w:p>
    <w:p>
      <w:pPr>
        <w:ind w:left="288"/>
      </w:pPr>
      <w:r>
        <w:rPr>
          <w:b/>
          <w:color w:val="003CA0"/>
          <w:sz w:val="16"/>
        </w:rPr>
        <w:t>[Rcl 2.138, red do ac. min. Gilmar Mendes, j. 13-6-2007, P, DJE de 18-4-2008.]</w:t>
      </w:r>
    </w:p>
    <w:p>
      <w:pPr>
        <w:ind w:left="288"/>
      </w:pPr>
      <w:r>
        <w:rPr>
          <w:color w:val="8C8C8C"/>
          <w:sz w:val="12"/>
        </w:rPr>
        <w:t>cf-art-102-inc-I-ali-b</w:t>
      </w:r>
      <w:r>
        <w:rPr>
          <w:color w:val="003CA0"/>
          <w:sz w:val="12"/>
        </w:rPr>
        <w:t xml:space="preserve"> | RE 579.799</w:t>
      </w:r>
      <w:r>
        <w:rPr>
          <w:color w:val="003CA0"/>
          <w:sz w:val="12"/>
        </w:rPr>
        <w:t xml:space="preserve"> | rel. Eros Grau</w:t>
      </w:r>
    </w:p>
    <w:p>
      <w:pPr>
        <w:ind w:left="288"/>
      </w:pPr>
      <w:r>
        <w:rPr>
          <w:color w:val="1E1E1E"/>
          <w:sz w:val="18"/>
        </w:rPr>
        <w:t>= RE 579.799 AgR, rel. min. Eros Grau, j. 2-12-2008, 2ª T, DJE de 19-12-2008 O membro do Congresso Nacional que se licencia do mandato para investir-se no cargo de ministro de Estado não perde os laços que o unem, organicamente, ao Parlamento (CF, art. 56, I). (...) ainda que licenciado, cumpre-lhe guardar estrita observância às vedações e incompatibilidades inerentes ao estatuto constitucional do congressista, assim como às exigências ético-jurídicas que a Constituição (CF, art. 55, § 1º) e os regimentos internos das Casas Legislativas estabelecem como elementos caracterizadores do decoro par</w:t>
      </w:r>
    </w:p>
    <w:p>
      <w:pPr>
        <w:ind w:left="288"/>
      </w:pPr>
      <w:r>
        <w:rPr>
          <w:b/>
          <w:color w:val="003CA0"/>
          <w:sz w:val="16"/>
        </w:rPr>
        <w:t>[MS 25.579 MC, red do ac. min. Joaquim Barbosa, j. 19-10-2005, P, DJ de 24-8-2007.]</w:t>
      </w:r>
    </w:p>
    <w:p>
      <w:pPr>
        <w:ind w:left="288"/>
      </w:pPr>
      <w:r>
        <w:rPr>
          <w:color w:val="8C8C8C"/>
          <w:sz w:val="12"/>
        </w:rPr>
        <w:t>cf-art-102-inc-I-ali-b</w:t>
      </w:r>
      <w:r>
        <w:rPr>
          <w:color w:val="003CA0"/>
          <w:sz w:val="12"/>
        </w:rPr>
        <w:t xml:space="preserve"> | INQ 2.044</w:t>
      </w:r>
      <w:r>
        <w:rPr>
          <w:color w:val="003CA0"/>
          <w:sz w:val="12"/>
        </w:rPr>
        <w:t xml:space="preserve"> | rel. Sepúlveda Pertence</w:t>
      </w:r>
    </w:p>
    <w:p>
      <w:pPr>
        <w:ind w:left="288"/>
      </w:pPr>
      <w:r>
        <w:rPr>
          <w:color w:val="1E1E1E"/>
          <w:sz w:val="18"/>
        </w:rPr>
        <w:t>Para efeito de definição da competência penal originária do STF, não se consideram ministros de Estado os titulares de cargos de natureza especial da estrutura orgânica da Presidência da República, malgrado lhes confira a lei prerrogativas, garantias, vantagens e direitos equivalentes aos dos titulares dos Ministérios: é o caso do secretário especial de Aquicultura e Pesca da Presidência da República. Precedente: Inq 2.044 QO, Pleno, Pertence, 17-12-2004.</w:t>
      </w:r>
    </w:p>
    <w:p>
      <w:pPr>
        <w:ind w:left="288"/>
      </w:pPr>
      <w:r>
        <w:rPr>
          <w:b/>
          <w:color w:val="003CA0"/>
          <w:sz w:val="16"/>
        </w:rPr>
        <w:t>[Rcl 2.356 AgR, rel. min. Sepúlveda Pertence, j. 7-4-2005, P, DJ de 10-6-2005.]</w:t>
      </w:r>
    </w:p>
    <w:p>
      <w:pPr>
        <w:ind w:left="288"/>
      </w:pPr>
      <w:r>
        <w:rPr>
          <w:color w:val="8C8C8C"/>
          <w:sz w:val="12"/>
        </w:rPr>
        <w:t>cf-art-102-inc-I-ali-b</w:t>
      </w:r>
      <w:r>
        <w:rPr>
          <w:color w:val="003CA0"/>
          <w:sz w:val="12"/>
        </w:rPr>
        <w:t xml:space="preserve"> | PET 1.954</w:t>
      </w:r>
      <w:r>
        <w:rPr>
          <w:color w:val="003CA0"/>
          <w:sz w:val="12"/>
        </w:rPr>
        <w:t xml:space="preserve"> | rel. Maurício Corrêa</w:t>
      </w:r>
    </w:p>
    <w:p>
      <w:pPr>
        <w:ind w:left="288"/>
      </w:pPr>
      <w:r>
        <w:rPr>
          <w:color w:val="1E1E1E"/>
          <w:sz w:val="18"/>
        </w:rPr>
        <w:t>O processo de impeachment dos ministros de Estado, por crimes de responsabilidade autônomos, não conexos com infrações da mesma natureza do presidente da República, ostenta caráter jurisdicional, devendo ser instruído e julgado pelo STF. Inaplicabilidade do disposto nos arts. 51, I, e 52, I, da Carta de 1988 e 14 da Lei 1.079/1950, dado que é prescindível autorização política da Câmara dos Deputados para a sua instauração. Prevalência, na espécie, da natureza criminal desses processos, cuja apuração judicial está sujeita à ação penal pública da competência exclusiva do MPF (CF, art. 129, I). I</w:t>
      </w:r>
    </w:p>
    <w:p>
      <w:pPr>
        <w:ind w:left="288"/>
      </w:pPr>
      <w:r>
        <w:rPr>
          <w:b/>
          <w:color w:val="003CA0"/>
          <w:sz w:val="16"/>
        </w:rPr>
        <w:t>[Pet 1.954, rel. min. Maurício Corrêa, j. 11-9-2002, P, DJ de 1º-8-2003.]</w:t>
      </w:r>
    </w:p>
    <w:p>
      <w:pPr>
        <w:ind w:left="288"/>
      </w:pPr>
      <w:r>
        <w:rPr>
          <w:color w:val="8C8C8C"/>
          <w:sz w:val="12"/>
        </w:rPr>
        <w:t>cf-art-102-inc-I-ali-b</w:t>
      </w:r>
    </w:p>
    <w:p>
      <w:pPr>
        <w:ind w:left="288"/>
      </w:pPr>
      <w:r>
        <w:rPr>
          <w:color w:val="1E1E1E"/>
          <w:sz w:val="18"/>
        </w:rPr>
        <w:t>d) o habeas corpus, sendo paciente qualquer das pessoas referidas nas alíneas anteriores; o mandado de segurança e o habeas data contra atos do Presidente da República, das Mesas da Câmara dos Deputados e do Senado Federal, do Tribunal de Contas da União, do Procurador-Geral da República e do próprio Supremo Tribunal Federal;</w:t>
      </w:r>
    </w:p>
    <w:p>
      <w:pPr>
        <w:ind w:left="144"/>
      </w:pPr>
      <w:r>
        <w:rPr>
          <w:b/>
          <w:color w:val="B45A00"/>
          <w:sz w:val="16"/>
        </w:rPr>
        <w:t>SUMULA</w:t>
      </w:r>
    </w:p>
    <w:p>
      <w:pPr>
        <w:ind w:left="288"/>
      </w:pPr>
      <w:r>
        <w:rPr>
          <w:color w:val="8C8C8C"/>
          <w:sz w:val="12"/>
        </w:rPr>
        <w:t>cf-art-102-inc-I-ali-b</w:t>
      </w:r>
    </w:p>
    <w:p>
      <w:pPr>
        <w:ind w:left="288"/>
      </w:pPr>
      <w:r>
        <w:rPr>
          <w:color w:val="1E1E1E"/>
          <w:sz w:val="18"/>
        </w:rPr>
        <w:t>No mandado de segurança contra a nomeação de magistrado da competência do presidente da república, este é considerado autoridade coatora, ainda que o fundamento da impetração seja nulidade ocorrida em fase anterior do procedimento.</w:t>
      </w:r>
    </w:p>
    <w:p>
      <w:pPr>
        <w:ind w:left="288"/>
      </w:pPr>
      <w:r>
        <w:rPr>
          <w:b/>
          <w:color w:val="003CA0"/>
          <w:sz w:val="16"/>
        </w:rPr>
        <w:t>[Súmula 627.]</w:t>
      </w:r>
    </w:p>
    <w:p>
      <w:pPr>
        <w:ind w:left="288"/>
      </w:pPr>
      <w:r>
        <w:rPr>
          <w:color w:val="8C8C8C"/>
          <w:sz w:val="12"/>
        </w:rPr>
        <w:t>cf-art-102-inc-I-ali-b</w:t>
      </w:r>
    </w:p>
    <w:p>
      <w:pPr>
        <w:ind w:left="288"/>
      </w:pPr>
      <w:r>
        <w:rPr>
          <w:color w:val="1E1E1E"/>
          <w:sz w:val="18"/>
        </w:rPr>
        <w:t>Não compete ao STF conhecer originariamente de mandado de segurança contra atos de outros tribunais.</w:t>
      </w:r>
    </w:p>
    <w:p>
      <w:pPr>
        <w:ind w:left="288"/>
      </w:pPr>
      <w:r>
        <w:rPr>
          <w:b/>
          <w:color w:val="003CA0"/>
          <w:sz w:val="16"/>
        </w:rPr>
        <w:t>[Súmula 624.]</w:t>
      </w:r>
    </w:p>
    <w:p>
      <w:pPr>
        <w:ind w:left="288"/>
      </w:pPr>
      <w:r>
        <w:rPr>
          <w:color w:val="8C8C8C"/>
          <w:sz w:val="12"/>
        </w:rPr>
        <w:t>cf-art-102-inc-I-ali-b</w:t>
      </w:r>
    </w:p>
    <w:p>
      <w:pPr>
        <w:ind w:left="288"/>
      </w:pPr>
      <w:r>
        <w:rPr>
          <w:color w:val="1E1E1E"/>
          <w:sz w:val="18"/>
        </w:rPr>
        <w:t>Praticado o ato por autoridade, no exercício de competência delegada, contra ela cabe o mandado de segurança ou a medida judicial.</w:t>
      </w:r>
    </w:p>
    <w:p>
      <w:pPr>
        <w:ind w:left="288"/>
      </w:pPr>
      <w:r>
        <w:rPr>
          <w:b/>
          <w:color w:val="003CA0"/>
          <w:sz w:val="16"/>
        </w:rPr>
        <w:t>[Súmula 510.]</w:t>
      </w:r>
    </w:p>
    <w:p>
      <w:pPr>
        <w:ind w:left="144"/>
      </w:pPr>
      <w:r>
        <w:rPr>
          <w:b/>
          <w:color w:val="B45A00"/>
          <w:sz w:val="16"/>
        </w:rPr>
        <w:t>JULGADOS CORRELATOS</w:t>
      </w:r>
    </w:p>
    <w:p>
      <w:pPr>
        <w:ind w:left="288"/>
      </w:pPr>
      <w:r>
        <w:rPr>
          <w:color w:val="8C8C8C"/>
          <w:sz w:val="12"/>
        </w:rPr>
        <w:t>cf-art-102-inc-I-ali-b</w:t>
      </w:r>
      <w:r>
        <w:rPr>
          <w:color w:val="003CA0"/>
          <w:sz w:val="12"/>
        </w:rPr>
        <w:t xml:space="preserve"> | MS 34.418</w:t>
      </w:r>
      <w:r>
        <w:rPr>
          <w:color w:val="003CA0"/>
          <w:sz w:val="12"/>
        </w:rPr>
        <w:t xml:space="preserve"> | rel. Rosa Weber</w:t>
      </w:r>
    </w:p>
    <w:p>
      <w:pPr>
        <w:ind w:left="288"/>
      </w:pPr>
      <w:r>
        <w:rPr>
          <w:color w:val="1E1E1E"/>
          <w:sz w:val="18"/>
        </w:rPr>
        <w:t>O exercício da jurisdição do Supremo Tribunal Federal em mandados de segurança originários envolve, necessariamente, ponderação delicada e complexa a respeito das próprias relações entre os Poderes da República – exigindo, em contrapartida, razões de convencimento incontornáveis para fundamentar intervenção judicial nos trabalhos legislativos.</w:t>
        <w:br/>
        <w:t>[MS 34.418, rel. min. Rosa Weber, j. 25-9-2023, P, DJE de 6-10-2023.] Discurso do Presidente da República de ‘aceitação ou facilitação’ da Copa América 2021 no País. Realização eventual dependente da aquiescência e administração de espaços dos Governador</w:t>
      </w:r>
    </w:p>
    <w:p>
      <w:pPr>
        <w:ind w:left="288"/>
      </w:pPr>
      <w:r>
        <w:rPr>
          <w:b/>
          <w:color w:val="003CA0"/>
          <w:sz w:val="16"/>
        </w:rPr>
        <w:t>[MS 28.538, rel. min. Marco Aurélio, j. 23-4-2014, P, DJE de 4-8-2014.]</w:t>
      </w:r>
    </w:p>
    <w:p>
      <w:pPr>
        <w:ind w:left="288"/>
      </w:pPr>
      <w:r>
        <w:rPr>
          <w:color w:val="8C8C8C"/>
          <w:sz w:val="12"/>
        </w:rPr>
        <w:t>cf-art-102-inc-I-ali-b</w:t>
      </w:r>
      <w:r>
        <w:rPr>
          <w:color w:val="003CA0"/>
          <w:sz w:val="12"/>
        </w:rPr>
        <w:t xml:space="preserve"> | MS 30.492</w:t>
      </w:r>
      <w:r>
        <w:rPr>
          <w:color w:val="003CA0"/>
          <w:sz w:val="12"/>
        </w:rPr>
        <w:t xml:space="preserve"> | rel. Celso de Mello</w:t>
      </w:r>
    </w:p>
    <w:p>
      <w:pPr>
        <w:ind w:left="288"/>
      </w:pPr>
      <w:r>
        <w:rPr>
          <w:color w:val="1E1E1E"/>
          <w:sz w:val="18"/>
        </w:rPr>
        <w:t>O STF não dispõe de competência originária para processar e julgar mandado de segurança quando impetrado contra decisão administrativa proferida pelo diretor da Coordenação de Secretariado Parlamentar, no desempenho de competência que lhe foi delegada pela Mesa Diretora da Câmara dos Deputados. Incidência da Súmula 510/STF.</w:t>
      </w:r>
    </w:p>
    <w:p>
      <w:pPr>
        <w:ind w:left="288"/>
      </w:pPr>
      <w:r>
        <w:rPr>
          <w:b/>
          <w:color w:val="003CA0"/>
          <w:sz w:val="16"/>
        </w:rPr>
        <w:t>[MS 30.492 AgR, rel. min. Celso de Mello, j. 27-2-2014, P, DJE de 25-3-2014.]</w:t>
      </w:r>
    </w:p>
    <w:p>
      <w:pPr>
        <w:ind w:left="288"/>
      </w:pPr>
      <w:r>
        <w:rPr>
          <w:color w:val="8C8C8C"/>
          <w:sz w:val="12"/>
        </w:rPr>
        <w:t>cf-art-102-inc-I-ali-b</w:t>
      </w:r>
      <w:r>
        <w:rPr>
          <w:color w:val="003CA0"/>
          <w:sz w:val="12"/>
        </w:rPr>
        <w:t xml:space="preserve"> | MS 28.177</w:t>
      </w:r>
      <w:r>
        <w:rPr>
          <w:color w:val="003CA0"/>
          <w:sz w:val="12"/>
        </w:rPr>
        <w:t xml:space="preserve"> | rel. Marco Aurélio</w:t>
      </w:r>
    </w:p>
    <w:p>
      <w:pPr>
        <w:ind w:left="288"/>
      </w:pPr>
      <w:r>
        <w:rPr>
          <w:color w:val="1E1E1E"/>
          <w:sz w:val="18"/>
        </w:rPr>
        <w:t>Ante a nova lei do mandado de segurança, explicitou-se o cabimento de recurso contra decisão monocrática que implique o deferimento ou o indeferimento da liminar, havendo o Plenário declarado, na apreciação do MS 28.177 MC-AgR/DF, a insubsistência do Verbete 622.</w:t>
      </w:r>
    </w:p>
    <w:p>
      <w:pPr>
        <w:ind w:left="288"/>
      </w:pPr>
      <w:r>
        <w:rPr>
          <w:b/>
          <w:color w:val="003CA0"/>
          <w:sz w:val="16"/>
        </w:rPr>
        <w:t>[MS 25.563 AgR, rel. min. Marco Aurélio, j. 9-12-2010, P, DJE de 10-2-2011.]</w:t>
      </w:r>
    </w:p>
    <w:p>
      <w:pPr>
        <w:ind w:left="288"/>
      </w:pPr>
      <w:r>
        <w:rPr>
          <w:color w:val="8C8C8C"/>
          <w:sz w:val="12"/>
        </w:rPr>
        <w:t>cf-art-102-inc-I-ali-b</w:t>
      </w:r>
      <w:r>
        <w:rPr>
          <w:color w:val="003CA0"/>
          <w:sz w:val="12"/>
        </w:rPr>
        <w:t xml:space="preserve"> | rel. Ricardo Lewandowski</w:t>
      </w:r>
    </w:p>
    <w:p>
      <w:pPr>
        <w:ind w:left="288"/>
      </w:pPr>
      <w:r>
        <w:rPr>
          <w:color w:val="1E1E1E"/>
          <w:sz w:val="18"/>
        </w:rPr>
        <w:t>As informações solicitadas pelo impetrante dizem respeito à remessa, ou não, de ação popular pelo Tribunal de Justiça do Estado de Rondônia e pelo Juízo da Fazenda Pública local a este STF. Não se trata da hipótese que se enquadra nas exigências previstas na alínea d do inciso I do art. 102 da CF (...).</w:t>
      </w:r>
    </w:p>
    <w:p>
      <w:pPr>
        <w:ind w:left="288"/>
      </w:pPr>
      <w:r>
        <w:rPr>
          <w:b/>
          <w:color w:val="003CA0"/>
          <w:sz w:val="16"/>
        </w:rPr>
        <w:t>[HD 82 AgR, rel. min. Ricardo Lewandowski, j. 9-12-2010, P, DJE de 9-2-2011.]</w:t>
      </w:r>
    </w:p>
    <w:p>
      <w:pPr>
        <w:ind w:left="288"/>
      </w:pPr>
      <w:r>
        <w:rPr>
          <w:color w:val="8C8C8C"/>
          <w:sz w:val="12"/>
        </w:rPr>
        <w:t>cf-art-102-inc-I-ali-b</w:t>
      </w:r>
      <w:r>
        <w:rPr>
          <w:color w:val="003CA0"/>
          <w:sz w:val="12"/>
        </w:rPr>
        <w:t xml:space="preserve"> | MS 27.026</w:t>
      </w:r>
      <w:r>
        <w:rPr>
          <w:color w:val="003CA0"/>
          <w:sz w:val="12"/>
        </w:rPr>
        <w:t xml:space="preserve"> | rel. Cármen Lúcia</w:t>
      </w:r>
    </w:p>
    <w:p>
      <w:pPr>
        <w:ind w:left="288"/>
      </w:pPr>
      <w:r>
        <w:rPr>
          <w:color w:val="1E1E1E"/>
          <w:sz w:val="18"/>
        </w:rPr>
        <w:t>No pedido de revisão administrativa da pontuação de títulos obtida pelo impetrante, o CNJ entendeu que nada havia a decidir, porque a questão fora apreciada pelo Tribunal de Justiça de São Paulo. Deliberação negativa do CNJ que não substituiu o ato originalmente questionado. Ausência de abuso ou ilegalidade na decisão do CNJ. Não conhecimento desse pedido por incompetência do STF (...). Impossibilidade de se transformar o STF em instância revisora das decisões administrativas do CNJ. Ausência de direito líquido e certo do impetrante para a oferta de serventias vagas, não constantes no edital.</w:t>
      </w:r>
    </w:p>
    <w:p>
      <w:pPr>
        <w:ind w:left="288"/>
      </w:pPr>
      <w:r>
        <w:rPr>
          <w:b/>
          <w:color w:val="003CA0"/>
          <w:sz w:val="16"/>
        </w:rPr>
        <w:t>[MS 27.026, rel. min. Cármen Lúcia, j. 3-11-2010, P, DJE de 21-2-2011.]</w:t>
      </w:r>
    </w:p>
    <w:p>
      <w:pPr>
        <w:ind w:left="288"/>
      </w:pPr>
      <w:r>
        <w:rPr>
          <w:color w:val="8C8C8C"/>
          <w:sz w:val="12"/>
        </w:rPr>
        <w:t>cf-art-102-inc-I-ali-b</w:t>
      </w:r>
      <w:r>
        <w:rPr>
          <w:color w:val="003CA0"/>
          <w:sz w:val="12"/>
        </w:rPr>
        <w:t xml:space="preserve"> | AP 305</w:t>
      </w:r>
      <w:r>
        <w:rPr>
          <w:color w:val="003CA0"/>
          <w:sz w:val="12"/>
        </w:rPr>
        <w:t xml:space="preserve"> | rel. Celso de Mello</w:t>
      </w:r>
    </w:p>
    <w:p>
      <w:pPr>
        <w:ind w:left="288"/>
      </w:pPr>
      <w:r>
        <w:rPr>
          <w:color w:val="1E1E1E"/>
          <w:sz w:val="18"/>
        </w:rPr>
        <w:t>A questão tratada no presente writ diz respeito ao possível constrangimento ilegal que estaria sofrendo o paciente, que, na condição de deputado federal, teve recebida a exceção da verdade oferecida nos autos da ação penal que tramita perante o Juízo da 2ª Vara Criminal da Comarca de Marília/SP. Inicialmente, entendo pela competência desta Suprema Corte para apreciar e julgar este habeas corpus, considerando o mandato de deputado federal exercido pelo paciente, bem como o fato da exceção da verdade que lhe foi oposta ter sido admitida pelo juízo de origem. Como já decidiu esta Corte, "resultan</w:t>
      </w:r>
    </w:p>
    <w:p>
      <w:pPr>
        <w:ind w:left="288"/>
      </w:pPr>
      <w:r>
        <w:rPr>
          <w:b/>
          <w:color w:val="003CA0"/>
          <w:sz w:val="16"/>
        </w:rPr>
        <w:t>[HC 92.618, rel. min. Ellen Gracie, j. 24-11-2009, 2ª T, DJE de 18-12-2009.]</w:t>
      </w:r>
    </w:p>
    <w:p>
      <w:pPr>
        <w:ind w:left="288"/>
      </w:pPr>
      <w:r>
        <w:rPr>
          <w:color w:val="8C8C8C"/>
          <w:sz w:val="12"/>
        </w:rPr>
        <w:t>cf-art-102-inc-I-ali-b</w:t>
      </w:r>
      <w:r>
        <w:rPr>
          <w:color w:val="003CA0"/>
          <w:sz w:val="12"/>
        </w:rPr>
        <w:t xml:space="preserve"> | MS 26.065</w:t>
      </w:r>
      <w:r>
        <w:rPr>
          <w:color w:val="003CA0"/>
          <w:sz w:val="12"/>
        </w:rPr>
        <w:t xml:space="preserve"> | rel. Ayres Britto</w:t>
      </w:r>
    </w:p>
    <w:p>
      <w:pPr>
        <w:ind w:left="288"/>
      </w:pPr>
      <w:r>
        <w:rPr>
          <w:color w:val="1E1E1E"/>
          <w:sz w:val="18"/>
        </w:rPr>
        <w:t>O STF não tem competência para discutir "denúncias" sobre comportamento de magistrados. Devolução do pedido por ato da presidente da Corte. Inexistência de violação a direito líquido e certo.</w:t>
      </w:r>
    </w:p>
    <w:p>
      <w:pPr>
        <w:ind w:left="288"/>
      </w:pPr>
      <w:r>
        <w:rPr>
          <w:b/>
          <w:color w:val="003CA0"/>
          <w:sz w:val="16"/>
        </w:rPr>
        <w:t>[MS 26.065 ED, rel. min. Ayres Britto, j. 1º-7-2009, P, DJE de 28-8-2009.]</w:t>
      </w:r>
    </w:p>
    <w:p>
      <w:pPr>
        <w:ind w:left="288"/>
      </w:pPr>
      <w:r>
        <w:rPr>
          <w:color w:val="8C8C8C"/>
          <w:sz w:val="12"/>
        </w:rPr>
        <w:t>cf-art-102-inc-I-ali-b</w:t>
      </w:r>
      <w:r>
        <w:rPr>
          <w:color w:val="003CA0"/>
          <w:sz w:val="12"/>
        </w:rPr>
        <w:t xml:space="preserve"> | HC 88.673</w:t>
      </w:r>
      <w:r>
        <w:rPr>
          <w:color w:val="003CA0"/>
          <w:sz w:val="12"/>
        </w:rPr>
        <w:t xml:space="preserve"> | rel. Menezes Direito</w:t>
      </w:r>
    </w:p>
    <w:p>
      <w:pPr>
        <w:ind w:left="288"/>
      </w:pPr>
      <w:r>
        <w:rPr>
          <w:color w:val="1E1E1E"/>
          <w:sz w:val="18"/>
        </w:rPr>
        <w:t>Se o corréu não foi nomeado presidente do Banco Central, embora tenha sido sabatinado e aprovado pelo Senado Federal, apenas respondendo em diversas oportunidades pela presidência, não goza ele de foro por prerrogativa de função previsto na Lei 11.036/2004.</w:t>
      </w:r>
    </w:p>
    <w:p>
      <w:pPr>
        <w:ind w:left="288"/>
      </w:pPr>
      <w:r>
        <w:rPr>
          <w:b/>
          <w:color w:val="003CA0"/>
          <w:sz w:val="16"/>
        </w:rPr>
        <w:t>[HC 88.673, rel. min. Menezes Direito, j. 31-10-2007, P, DJE de 14-3-2007.]</w:t>
      </w:r>
    </w:p>
    <w:p>
      <w:pPr>
        <w:ind w:left="288"/>
      </w:pPr>
      <w:r>
        <w:rPr>
          <w:color w:val="8C8C8C"/>
          <w:sz w:val="12"/>
        </w:rPr>
        <w:t>cf-art-102-inc-I-ali-b</w:t>
      </w:r>
      <w:r>
        <w:rPr>
          <w:color w:val="003CA0"/>
          <w:sz w:val="12"/>
        </w:rPr>
        <w:t xml:space="preserve"> | MS 26.438</w:t>
      </w:r>
      <w:r>
        <w:rPr>
          <w:color w:val="003CA0"/>
          <w:sz w:val="12"/>
        </w:rPr>
        <w:t xml:space="preserve"> | rel. Joaquim Barbosa</w:t>
      </w:r>
    </w:p>
    <w:p>
      <w:pPr>
        <w:ind w:left="288"/>
      </w:pPr>
      <w:r>
        <w:rPr>
          <w:color w:val="1E1E1E"/>
          <w:sz w:val="18"/>
        </w:rPr>
        <w:t>Mandado de segurança. Questão de ordem. Competência originária do STF. Nomeação para vaga em TRT. Lista sêxtupla da seccional da OAB. Precedente do STF em que se constata a existência de conflito federativo resultante de controvérsia entre tribunal de justiça estadual e a OAB sobre formação de lista para nomeação de magistrado pelo quinto constitucional. Inaplicabilidade do precedente ao caso: controvérsia entre órgão e entidade federais. Ainda que a nomeação de magistrados pelo quinto constitucional seja ato complexo, a impetração é dirigida contra ato do TRT. Ilegitimidade passiva do preside</w:t>
      </w:r>
    </w:p>
    <w:p>
      <w:pPr>
        <w:ind w:left="288"/>
      </w:pPr>
      <w:r>
        <w:rPr>
          <w:b/>
          <w:color w:val="003CA0"/>
          <w:sz w:val="16"/>
        </w:rPr>
        <w:t>[MS 26.438 QO, rel. min. Joaquim Barbosa, j. 29-10-2007, P, DJE de 28-3-2008.]</w:t>
      </w:r>
    </w:p>
    <w:p>
      <w:pPr>
        <w:ind w:left="288"/>
      </w:pPr>
      <w:r>
        <w:rPr>
          <w:color w:val="8C8C8C"/>
          <w:sz w:val="12"/>
        </w:rPr>
        <w:t>cf-art-102-inc-I-ali-b</w:t>
      </w:r>
      <w:r>
        <w:rPr>
          <w:color w:val="003CA0"/>
          <w:sz w:val="12"/>
        </w:rPr>
        <w:t xml:space="preserve"> | HC 86.005</w:t>
      </w:r>
      <w:r>
        <w:rPr>
          <w:color w:val="003CA0"/>
          <w:sz w:val="12"/>
        </w:rPr>
        <w:t xml:space="preserve"> | rel. Ellen Gracie</w:t>
      </w:r>
    </w:p>
    <w:p>
      <w:pPr>
        <w:ind w:left="288"/>
      </w:pPr>
      <w:r>
        <w:rPr>
          <w:color w:val="1E1E1E"/>
          <w:sz w:val="18"/>
        </w:rPr>
        <w:t>A competência por prevenção é relativa, estando sujeita à prorrogação, caso precluída a oportunidade de arguição da incompetência. Precedentes. Na hipótese, reconhecida a incidência de preclusão lógica e consumativa, mantém-se a relatoria previamente estabelecida. Agravo regimental improvido.</w:t>
      </w:r>
    </w:p>
    <w:p>
      <w:pPr>
        <w:ind w:left="288"/>
      </w:pPr>
      <w:r>
        <w:rPr>
          <w:b/>
          <w:color w:val="003CA0"/>
          <w:sz w:val="16"/>
        </w:rPr>
        <w:t>[HC 86.005 AgR, rel. min. Ellen Gracie, j. 20-9-2007, P, DJ de 9-11-2007.]</w:t>
      </w:r>
    </w:p>
    <w:p>
      <w:pPr>
        <w:ind w:left="288"/>
      </w:pPr>
      <w:r>
        <w:rPr>
          <w:color w:val="8C8C8C"/>
          <w:sz w:val="12"/>
        </w:rPr>
        <w:t>cf-art-102-inc-I-ali-b</w:t>
      </w:r>
      <w:r>
        <w:rPr>
          <w:color w:val="003CA0"/>
          <w:sz w:val="12"/>
        </w:rPr>
        <w:t xml:space="preserve"> | HC 84.444</w:t>
      </w:r>
      <w:r>
        <w:rPr>
          <w:color w:val="003CA0"/>
          <w:sz w:val="12"/>
        </w:rPr>
        <w:t xml:space="preserve"> | rel. Celso de Mello</w:t>
      </w:r>
    </w:p>
    <w:p>
      <w:pPr>
        <w:ind w:left="288"/>
      </w:pPr>
      <w:r>
        <w:rPr>
          <w:color w:val="1E1E1E"/>
          <w:sz w:val="18"/>
        </w:rPr>
        <w:t>Não cabe, para o Plenário, impetração de habeas corpus contra decisão colegiada de qualquer das Turmas do STF, ainda que resultante do julgamento de outros processos de habeas corpus (Súmula 606/STF) ou proferida em sede de recursos em geral, inclusive aqueles de natureza penal (RTJ 88/108 – RTJ 95/1053 – RTJ 126/175). Precedentes. A jurisprudência prevalecente no STF reconhece possível, no entanto, a impetração de habeas corpus, quando deduzida em face de decisões monocráticas proferidas pelo relator da causa. Precedentes.</w:t>
      </w:r>
    </w:p>
    <w:p>
      <w:pPr>
        <w:ind w:left="288"/>
      </w:pPr>
      <w:r>
        <w:rPr>
          <w:b/>
          <w:color w:val="003CA0"/>
          <w:sz w:val="16"/>
        </w:rPr>
        <w:t>[HC 84.444 AgR, rel. min. Celso de Mello, j. 9-8-2007, P, DJ de 14-9-2007.]</w:t>
      </w:r>
    </w:p>
    <w:p>
      <w:pPr>
        <w:ind w:left="288"/>
      </w:pPr>
      <w:r>
        <w:rPr>
          <w:color w:val="8C8C8C"/>
          <w:sz w:val="12"/>
        </w:rPr>
        <w:t>cf-art-102-inc-I-ali-b</w:t>
      </w:r>
      <w:r>
        <w:rPr>
          <w:color w:val="003CA0"/>
          <w:sz w:val="12"/>
        </w:rPr>
        <w:t xml:space="preserve"> | RCL 6.366</w:t>
      </w:r>
      <w:r>
        <w:rPr>
          <w:color w:val="003CA0"/>
          <w:sz w:val="12"/>
        </w:rPr>
        <w:t xml:space="preserve"> | rel. Cármen Lúcia</w:t>
      </w:r>
    </w:p>
    <w:p>
      <w:pPr>
        <w:ind w:left="288"/>
      </w:pPr>
      <w:r>
        <w:rPr>
          <w:color w:val="1E1E1E"/>
          <w:sz w:val="18"/>
        </w:rPr>
        <w:t>= Rcl 6.366 AgR, rel. min. Cármen Lúcia, j. 5-11-2008, P, DJE de 8-5-2009 Cabimento de mandado de segurança contra ato jurisdicional deste STF passível de recurso. Aplicação da Súmula 267/STF.</w:t>
      </w:r>
    </w:p>
    <w:p>
      <w:pPr>
        <w:ind w:left="288"/>
      </w:pPr>
      <w:r>
        <w:rPr>
          <w:b/>
          <w:color w:val="003CA0"/>
          <w:sz w:val="16"/>
        </w:rPr>
        <w:t>[MS 25.413 AgR, rel. min. Gilmar Mendes, j. 14-6-2007, P, DJ de 14-9-2007.]</w:t>
      </w:r>
    </w:p>
    <w:p>
      <w:pPr>
        <w:ind w:left="288"/>
      </w:pPr>
      <w:r>
        <w:rPr>
          <w:color w:val="8C8C8C"/>
          <w:sz w:val="12"/>
        </w:rPr>
        <w:t>cf-art-102-inc-I-ali-b</w:t>
      </w:r>
      <w:r>
        <w:rPr>
          <w:color w:val="003CA0"/>
          <w:sz w:val="12"/>
        </w:rPr>
        <w:t xml:space="preserve"> | MS 27.371</w:t>
      </w:r>
      <w:r>
        <w:rPr>
          <w:color w:val="003CA0"/>
          <w:sz w:val="12"/>
        </w:rPr>
        <w:t xml:space="preserve"> | rel. Joaquim Barbosa</w:t>
      </w:r>
    </w:p>
    <w:p>
      <w:pPr>
        <w:ind w:left="288"/>
      </w:pPr>
      <w:r>
        <w:rPr>
          <w:color w:val="1E1E1E"/>
          <w:sz w:val="18"/>
        </w:rPr>
        <w:t>Vide MS 27.371 AgR, rel. min. Joaquim Barbosa, j. 1º-7-2009, P, DJE de 21-8-2009 O STF não dispõe de competência originária para processar e julgar mandado de segurança impetrado contra outros tribunais judiciários, ainda que se trate dos Tribunais Superiores da União (TSE, STJ, STM e TST). (...). O ajuizamento do mandado de segurança, ainda que perante órgão judiciário absolutamente incompetente, e desde que impetrado dentro do prazo de 120 dias a que alude o art. 18 da Lei 1.533/1951, impede que se consume a decadência do direito de requerer o writ mandamental. É que este, bem ou mal, consoa</w:t>
      </w:r>
    </w:p>
    <w:p>
      <w:pPr>
        <w:ind w:left="288"/>
      </w:pPr>
      <w:r>
        <w:rPr>
          <w:b/>
          <w:color w:val="003CA0"/>
          <w:sz w:val="16"/>
        </w:rPr>
        <w:t>[MS 26.006 AgR, rel. min. Celso de Mello, j. 2-4-2007, P, DJE de 15-2-2008.]</w:t>
      </w:r>
    </w:p>
    <w:p>
      <w:pPr>
        <w:ind w:left="288"/>
      </w:pPr>
      <w:r>
        <w:rPr>
          <w:color w:val="8C8C8C"/>
          <w:sz w:val="12"/>
        </w:rPr>
        <w:t>cf-art-102-inc-I-ali-b</w:t>
      </w:r>
      <w:r>
        <w:rPr>
          <w:color w:val="003CA0"/>
          <w:sz w:val="12"/>
        </w:rPr>
        <w:t xml:space="preserve"> | MS 27.026</w:t>
      </w:r>
      <w:r>
        <w:rPr>
          <w:color w:val="003CA0"/>
          <w:sz w:val="12"/>
        </w:rPr>
        <w:t xml:space="preserve"> | rel. Cármen Lúcia</w:t>
      </w:r>
    </w:p>
    <w:p>
      <w:pPr>
        <w:ind w:left="288"/>
      </w:pPr>
      <w:r>
        <w:rPr>
          <w:color w:val="1E1E1E"/>
          <w:sz w:val="18"/>
        </w:rPr>
        <w:t>= MS 27.026, rel. min. Cármen Lúcia, j. 3-11-2010, P, DJE de 21-2-2011 Em razão da taxatividade da competência deste Supremo Tribunal em sede de mandado de segurança (alínea d do inciso I do art. 102), é da própria turma recursal a competência para julgar ações mandamentais impetradas contra seus atos. Precedentes. O risco de perecimento do direito justifica a remessa dos autos à Corte competente para o feito.</w:t>
      </w:r>
    </w:p>
    <w:p>
      <w:pPr>
        <w:ind w:left="288"/>
      </w:pPr>
      <w:r>
        <w:rPr>
          <w:b/>
          <w:color w:val="003CA0"/>
          <w:sz w:val="16"/>
        </w:rPr>
        <w:t>[MS 25.087 ED, rel. min. Ayres Britto, j. 21-9-2006, P, DJ de 11-5-2007.]</w:t>
      </w:r>
    </w:p>
    <w:p>
      <w:pPr>
        <w:ind w:left="288"/>
      </w:pPr>
      <w:r>
        <w:rPr>
          <w:color w:val="8C8C8C"/>
          <w:sz w:val="12"/>
        </w:rPr>
        <w:t>cf-art-102-inc-I-ali-b</w:t>
      </w:r>
      <w:r>
        <w:rPr>
          <w:color w:val="003CA0"/>
          <w:sz w:val="12"/>
        </w:rPr>
        <w:t xml:space="preserve"> | AI 666.523</w:t>
      </w:r>
    </w:p>
    <w:p>
      <w:pPr>
        <w:ind w:left="288"/>
      </w:pPr>
      <w:r>
        <w:rPr>
          <w:color w:val="1E1E1E"/>
          <w:sz w:val="18"/>
        </w:rPr>
        <w:t>= AI 666.523 AgR, red. do ac. min. Marco Aurélio, j. 26-10-2010, 1ª T, DJE de 3-12-2010 Mandado de segurança contra ato de ministro do Supremo Tribunal: singularidade do caso concreto, que leva à afirmação de competência, por prevenção, do relator dos MS 25.846 e MS 25.853.</w:t>
      </w:r>
    </w:p>
    <w:p>
      <w:pPr>
        <w:ind w:left="288"/>
      </w:pPr>
      <w:r>
        <w:rPr>
          <w:b/>
          <w:color w:val="003CA0"/>
          <w:sz w:val="16"/>
        </w:rPr>
        <w:t>[MS 25.846 QO, red. do ac. min. Sepúlveda Pertence, j. 8-3-2006, P, DJ de 14-9-2007.]</w:t>
      </w:r>
    </w:p>
    <w:p>
      <w:pPr>
        <w:ind w:left="288"/>
      </w:pPr>
      <w:r>
        <w:rPr>
          <w:color w:val="8C8C8C"/>
          <w:sz w:val="12"/>
        </w:rPr>
        <w:t>cf-art-102-inc-I-ali-b</w:t>
      </w:r>
      <w:r>
        <w:rPr>
          <w:color w:val="003CA0"/>
          <w:sz w:val="12"/>
        </w:rPr>
        <w:t xml:space="preserve"> | MS 24.001</w:t>
      </w:r>
      <w:r>
        <w:rPr>
          <w:color w:val="003CA0"/>
          <w:sz w:val="12"/>
        </w:rPr>
        <w:t xml:space="preserve"> | rel. Eros Grau</w:t>
      </w:r>
    </w:p>
    <w:p>
      <w:pPr>
        <w:ind w:left="288"/>
      </w:pPr>
      <w:r>
        <w:rPr>
          <w:color w:val="1E1E1E"/>
          <w:sz w:val="18"/>
        </w:rPr>
        <w:t>O presidente da 1ª Câmara do TCU é parte legítima para figurar no polo passivo de mandado de segurança quando o ato impugnado reveste-se de caráter impositivo. Precedente (MS 24.001, relator Maurício Corrêa, DJ de 20-5-02).</w:t>
      </w:r>
    </w:p>
    <w:p>
      <w:pPr>
        <w:ind w:left="288"/>
      </w:pPr>
      <w:r>
        <w:rPr>
          <w:b/>
          <w:color w:val="003CA0"/>
          <w:sz w:val="16"/>
        </w:rPr>
        <w:t>[MS 24.997, rel. min. Eros Grau, j. 2-2-2005, P, DJ de 1º-4-2005.]</w:t>
      </w:r>
    </w:p>
    <w:p>
      <w:pPr>
        <w:ind w:left="288"/>
      </w:pPr>
      <w:r>
        <w:rPr>
          <w:color w:val="8C8C8C"/>
          <w:sz w:val="12"/>
        </w:rPr>
        <w:t>cf-art-102-inc-I-ali-b</w:t>
      </w:r>
      <w:r>
        <w:rPr>
          <w:color w:val="003CA0"/>
          <w:sz w:val="12"/>
        </w:rPr>
        <w:t xml:space="preserve"> | MS 25.149</w:t>
      </w:r>
      <w:r>
        <w:rPr>
          <w:color w:val="003CA0"/>
          <w:sz w:val="12"/>
        </w:rPr>
        <w:t xml:space="preserve"> | rel. Celso de Mello</w:t>
      </w:r>
    </w:p>
    <w:p>
      <w:pPr>
        <w:ind w:left="288"/>
      </w:pPr>
      <w:r>
        <w:rPr>
          <w:color w:val="1E1E1E"/>
          <w:sz w:val="18"/>
        </w:rPr>
        <w:t>= MS 25.149, rel. min. Celso de Mello, j. 9-6-2005, P, DJE de 18-9-2009 A atuação do TCU limitou-se à fiscalização de acompanhamento de um procedimento licitatório que já havia sido nulificado pelas autoridades fazendárias. Em outras palavras, o ato do órgão impetrado tão somente ratificou declaração de nulidade previamente emitida. Ainda que se eliminasse o ato do TCU, permaneceria incólume a decretação de nulidade proferida pela unidade gestora e chancelada pela Secretaria da Receita Federal. Inaceitável, sob pena de descaracterização da natureza instrumental do processo, a provocação da ati</w:t>
      </w:r>
    </w:p>
    <w:p>
      <w:pPr>
        <w:ind w:left="288"/>
      </w:pPr>
      <w:r>
        <w:rPr>
          <w:b/>
          <w:color w:val="003CA0"/>
          <w:sz w:val="16"/>
        </w:rPr>
        <w:t>[MS 24.421, red. do ac. min. Ellen Gracie, j. 25-3-2004, P, DJ de 11-10-2007.]</w:t>
      </w:r>
    </w:p>
    <w:p>
      <w:pPr>
        <w:ind w:left="288"/>
      </w:pPr>
      <w:r>
        <w:rPr>
          <w:color w:val="8C8C8C"/>
          <w:sz w:val="12"/>
        </w:rPr>
        <w:t>cf-art-102-inc-I-ali-b</w:t>
      </w:r>
      <w:r>
        <w:rPr>
          <w:color w:val="003CA0"/>
          <w:sz w:val="12"/>
        </w:rPr>
        <w:t xml:space="preserve"> | MS 24.547</w:t>
      </w:r>
      <w:r>
        <w:rPr>
          <w:color w:val="003CA0"/>
          <w:sz w:val="12"/>
        </w:rPr>
        <w:t xml:space="preserve"> | rel. Ellen Gracie</w:t>
      </w:r>
    </w:p>
    <w:p>
      <w:pPr>
        <w:ind w:left="288"/>
      </w:pPr>
      <w:r>
        <w:rPr>
          <w:color w:val="1E1E1E"/>
          <w:sz w:val="18"/>
        </w:rPr>
        <w:t>Inocorrência de litispendência ou conexão entre mandado de segurança impetrado contra ato do sr. presidente da República e outras demandas que atacam defeitos do procedimento administrativo em que se embasou o decreto que declarou a utilidade pública de área rural, para fins de reforma agrária.</w:t>
      </w:r>
    </w:p>
    <w:p>
      <w:pPr>
        <w:ind w:left="288"/>
      </w:pPr>
      <w:r>
        <w:rPr>
          <w:b/>
          <w:color w:val="003CA0"/>
          <w:sz w:val="16"/>
        </w:rPr>
        <w:t>[MS 24.547, rel. min. Ellen Gracie, j. 14-8-2003, P, DJ de 23-4-2004.]</w:t>
      </w:r>
    </w:p>
    <w:p>
      <w:pPr>
        <w:ind w:left="288"/>
      </w:pPr>
      <w:r>
        <w:rPr>
          <w:color w:val="8C8C8C"/>
          <w:sz w:val="12"/>
        </w:rPr>
        <w:t>cf-art-102-inc-I-ali-b</w:t>
      </w:r>
      <w:r>
        <w:rPr>
          <w:color w:val="003CA0"/>
          <w:sz w:val="12"/>
        </w:rPr>
        <w:t xml:space="preserve"> | PET 3.244</w:t>
      </w:r>
      <w:r>
        <w:rPr>
          <w:color w:val="003CA0"/>
          <w:sz w:val="12"/>
        </w:rPr>
        <w:t xml:space="preserve"> | rel. Gilmar Mendes</w:t>
      </w:r>
    </w:p>
    <w:p>
      <w:pPr>
        <w:ind w:left="288"/>
      </w:pPr>
      <w:r>
        <w:rPr>
          <w:color w:val="1E1E1E"/>
          <w:sz w:val="18"/>
        </w:rPr>
        <w:t>= Pet 3.244 AgR, rel. min. Gilmar Mendes, j. 16-9-2009, P, DJE de 19-2-2010 Extradição deferida pelo STF. Processo suspenso, dado que os extraditandos requereram, na forma da Lei 9.474/1997, a condição de refugiados (...). Processando-se, administrativamente, o pedido, impetraram os extraditandos mandado de segurança perante o juízo de primeiro grau. Competência do STF para o processo e julgamento desse mandado de segurança, dado que as questões relacionadas com a extradição são de sua competência, independentemente da qualidade da autoridade apontada coatora, tratando-se de habeas corpus e de</w:t>
      </w:r>
    </w:p>
    <w:p>
      <w:pPr>
        <w:ind w:left="288"/>
      </w:pPr>
      <w:r>
        <w:rPr>
          <w:b/>
          <w:color w:val="003CA0"/>
          <w:sz w:val="16"/>
        </w:rPr>
        <w:t>[Rcl 2.069, rel. min. Carlos Velloso, j. 27-6-2002, P, DJ de 1º-8-2003.]</w:t>
      </w:r>
    </w:p>
    <w:p>
      <w:pPr>
        <w:ind w:left="288"/>
      </w:pPr>
      <w:r>
        <w:rPr>
          <w:color w:val="8C8C8C"/>
          <w:sz w:val="12"/>
        </w:rPr>
        <w:t>cf-art-102-inc-I-ali-b</w:t>
      </w:r>
      <w:r>
        <w:rPr>
          <w:color w:val="003CA0"/>
          <w:sz w:val="12"/>
        </w:rPr>
        <w:t xml:space="preserve"> | MS 24.274</w:t>
      </w:r>
      <w:r>
        <w:rPr>
          <w:color w:val="003CA0"/>
          <w:sz w:val="12"/>
        </w:rPr>
        <w:t xml:space="preserve"> | rel. Celso de Mello</w:t>
      </w:r>
    </w:p>
    <w:p>
      <w:pPr>
        <w:ind w:left="288"/>
      </w:pPr>
      <w:r>
        <w:rPr>
          <w:color w:val="1E1E1E"/>
          <w:sz w:val="18"/>
        </w:rPr>
        <w:t>A jurisprudência do STF – que já proclamou a plena recepção do art. 21, VI, da Loman, pela Constituição de 1988 (RTJ 133/633) – tem enfatizado assistir, aos próprios tribunais, competência, para, em sede originária, processar e julgar os mandados de segurança impetrados contra seus atos ou omissões ou, ainda, contra aqueles emanados de seus respectivos presidentes.</w:t>
      </w:r>
    </w:p>
    <w:p>
      <w:pPr>
        <w:ind w:left="288"/>
      </w:pPr>
      <w:r>
        <w:rPr>
          <w:b/>
          <w:color w:val="003CA0"/>
          <w:sz w:val="16"/>
        </w:rPr>
        <w:t>[MS 24.274 AgR, rel. min. Celso de Mello, j. 25-6-2002, 2ª T, DJ de 11-5-2007.]</w:t>
      </w:r>
    </w:p>
    <w:p>
      <w:pPr>
        <w:ind w:left="288"/>
      </w:pPr>
      <w:r>
        <w:rPr>
          <w:color w:val="8C8C8C"/>
          <w:sz w:val="12"/>
        </w:rPr>
        <w:t>cf-art-102-inc-I-ali-b</w:t>
      </w:r>
      <w:r>
        <w:rPr>
          <w:color w:val="003CA0"/>
          <w:sz w:val="12"/>
        </w:rPr>
        <w:t xml:space="preserve"> | MS 28.857</w:t>
      </w:r>
      <w:r>
        <w:rPr>
          <w:color w:val="003CA0"/>
          <w:sz w:val="12"/>
        </w:rPr>
        <w:t xml:space="preserve"> | rel. Celso de Mello</w:t>
      </w:r>
    </w:p>
    <w:p>
      <w:pPr>
        <w:ind w:left="288"/>
      </w:pPr>
      <w:r>
        <w:rPr>
          <w:color w:val="1E1E1E"/>
          <w:sz w:val="18"/>
        </w:rPr>
        <w:t>= MS 28.857 AgR, rel. min. Celso de Mello, j. 15-12-2010, P, DJE de 15-4-2011 Competência do STF para processar e julgar mandado de segurança contra ato do primeiro secretário da Câmara dos Deputados. Ausência de prova pré-constituída do ato coator. Se o ato do primeiro secretário da Câmara dos Deputados decorre de sua função na Mesa Diretora da Casa Legislativa, deve ser analisado pelo STF, em virtude do disposto no art. 102, I, d, da CF.</w:t>
      </w:r>
    </w:p>
    <w:p>
      <w:pPr>
        <w:ind w:left="288"/>
      </w:pPr>
      <w:r>
        <w:rPr>
          <w:b/>
          <w:color w:val="003CA0"/>
          <w:sz w:val="16"/>
        </w:rPr>
        <w:t>[MS 24.099 AgR, rel. min. Maurício Corrêa, j. 7-3-2002, P, DJ de 2-8-2002.]</w:t>
      </w:r>
    </w:p>
    <w:p>
      <w:pPr>
        <w:ind w:left="288"/>
      </w:pPr>
      <w:r>
        <w:rPr>
          <w:color w:val="8C8C8C"/>
          <w:sz w:val="12"/>
        </w:rPr>
        <w:t>cf-art-102-inc-I-ali-b</w:t>
      </w:r>
      <w:r>
        <w:rPr>
          <w:color w:val="003CA0"/>
          <w:sz w:val="12"/>
        </w:rPr>
        <w:t xml:space="preserve"> | MS 23.977</w:t>
      </w:r>
      <w:r>
        <w:rPr>
          <w:color w:val="003CA0"/>
          <w:sz w:val="12"/>
        </w:rPr>
        <w:t xml:space="preserve"> | rel. Cezar Peluso</w:t>
      </w:r>
    </w:p>
    <w:p>
      <w:pPr>
        <w:ind w:left="288"/>
      </w:pPr>
      <w:r>
        <w:rPr>
          <w:color w:val="1E1E1E"/>
          <w:sz w:val="18"/>
        </w:rPr>
        <w:t>Vide MS 23.977, rel. min. Cezar Peluso, j. 12-5-2010, P, DJE de 27-8-2010 Habeas corpus: cabimento contra decisões colegiadas do próprio STF, restrito àquelas relacionadas a crimes de sua competência originária: inteligência conjugada das alíneas d, parte final, e i, parte final, do art. 102, I, da Constituição: análise e reafirmação da jurisprudência do STF, já enunciada na Súmula 606, que se mantém sob o regime constitucional vigente.</w:t>
      </w:r>
    </w:p>
    <w:p>
      <w:pPr>
        <w:ind w:left="288"/>
      </w:pPr>
      <w:r>
        <w:rPr>
          <w:b/>
          <w:color w:val="003CA0"/>
          <w:sz w:val="16"/>
        </w:rPr>
        <w:t>[HC 80.082 QO, rel. min. Sepúlveda Pertence, j. 16-8-2001, P, DJ de 1º-8-2003.]</w:t>
      </w:r>
    </w:p>
    <w:p>
      <w:pPr>
        <w:ind w:left="288"/>
      </w:pPr>
      <w:r>
        <w:rPr>
          <w:color w:val="8C8C8C"/>
          <w:sz w:val="12"/>
        </w:rPr>
        <w:t>cf-art-102-inc-I-ali-b</w:t>
      </w:r>
      <w:r>
        <w:rPr>
          <w:color w:val="003CA0"/>
          <w:sz w:val="12"/>
        </w:rPr>
        <w:t xml:space="preserve"> | HC 89.672</w:t>
      </w:r>
      <w:r>
        <w:rPr>
          <w:color w:val="003CA0"/>
          <w:sz w:val="12"/>
        </w:rPr>
        <w:t xml:space="preserve"> | rel. Ayres Britto</w:t>
      </w:r>
    </w:p>
    <w:p>
      <w:pPr>
        <w:ind w:left="288"/>
      </w:pPr>
      <w:r>
        <w:rPr>
          <w:color w:val="1E1E1E"/>
          <w:sz w:val="18"/>
        </w:rPr>
        <w:t>= HC 89.672 AgR, rel. min. Ayres Britto, j. 27-6-2007, P, DJ de 26-10-2007 Compete ao STF processar e julgar, em sede originária, mandados de segurança e habeas corpus impetrados contra CPIs constituídas no âmbito do Congresso Nacional ou no de qualquer de suas Casas. É que a CPI, enquanto projeção orgânica do Poder Legislativo da União, nada mais é senão a longa manus do próprio Congresso Nacional ou das Casas que o compõem, sujeitando-se, em consequência, em tema de mandado de segurança ou de habeas corpus, ao controle jurisdicional originário do STF (CF, art. 102, I, d e i).</w:t>
      </w:r>
    </w:p>
    <w:p>
      <w:pPr>
        <w:ind w:left="288"/>
      </w:pPr>
      <w:r>
        <w:rPr>
          <w:b/>
          <w:color w:val="003CA0"/>
          <w:sz w:val="16"/>
        </w:rPr>
        <w:t>[MS 23.452, rel. min. Celso de Mello, j. 16-9-1999, P, DJ de 12-5-2000.]</w:t>
      </w:r>
    </w:p>
    <w:p>
      <w:pPr>
        <w:ind w:left="288"/>
      </w:pPr>
      <w:r>
        <w:rPr>
          <w:color w:val="8C8C8C"/>
          <w:sz w:val="12"/>
        </w:rPr>
        <w:t>cf-art-102-inc-I-ali-b</w:t>
      </w:r>
      <w:r>
        <w:rPr>
          <w:color w:val="003CA0"/>
          <w:sz w:val="12"/>
        </w:rPr>
        <w:t xml:space="preserve"> | MS 22.626</w:t>
      </w:r>
      <w:r>
        <w:rPr>
          <w:color w:val="003CA0"/>
          <w:sz w:val="12"/>
        </w:rPr>
        <w:t xml:space="preserve"> | rel. Celso de Mello</w:t>
      </w:r>
    </w:p>
    <w:p>
      <w:pPr>
        <w:ind w:left="288"/>
      </w:pPr>
      <w:r>
        <w:rPr>
          <w:color w:val="1E1E1E"/>
          <w:sz w:val="18"/>
        </w:rPr>
        <w:t>A jurisprudência do STF – mesmo sob a égide da vigente Constituição – firmou-se no sentido de não admitir, por incabível, mandado de segurança contra atos decisórios de índole jurisdicional proferidos pela Suprema Corte, eis que tais decisões, ainda quando emanadas de ministro relator, somente são suscetíveis de desconstituição mediante utilização dos recursos pertinentes, ou, tratando-se de pronunciamentos de mérito já transitados em julgado, mediante ajuizamento originário da ação rescisória.</w:t>
      </w:r>
    </w:p>
    <w:p>
      <w:pPr>
        <w:ind w:left="288"/>
      </w:pPr>
      <w:r>
        <w:rPr>
          <w:b/>
          <w:color w:val="003CA0"/>
          <w:sz w:val="16"/>
        </w:rPr>
        <w:t>[MS 22.626 AgR, rel. min. Celso de Mello, j. 31-10-1996, P, DJ de 22-11-1996.]</w:t>
      </w:r>
    </w:p>
    <w:p>
      <w:pPr>
        <w:ind w:left="288"/>
      </w:pPr>
      <w:r>
        <w:rPr>
          <w:color w:val="8C8C8C"/>
          <w:sz w:val="12"/>
        </w:rPr>
        <w:t>cf-art-102-inc-I-ali-b</w:t>
      </w:r>
      <w:r>
        <w:rPr>
          <w:color w:val="003CA0"/>
          <w:sz w:val="12"/>
        </w:rPr>
        <w:t xml:space="preserve"> | MS 28.982</w:t>
      </w:r>
      <w:r>
        <w:rPr>
          <w:color w:val="003CA0"/>
          <w:sz w:val="12"/>
        </w:rPr>
        <w:t xml:space="preserve"> | rel. Gilmar Mendes</w:t>
      </w:r>
    </w:p>
    <w:p>
      <w:pPr>
        <w:ind w:left="288"/>
      </w:pPr>
      <w:r>
        <w:rPr>
          <w:color w:val="1E1E1E"/>
          <w:sz w:val="18"/>
        </w:rPr>
        <w:t>= MS 28.982 AgR, rel. min. Gilmar Mendes, j. 16-9-2010, P, DJE de 15-10-2010 O remédio de habeas corpus não constitui instrumento processual adequado à invalidação do procedimento administrativo de expulsão regularmente instaurado e promovido pelo Departamento de Polícia Federal, especialmente se o súdito estrangeiro interessado – a quem se estendeu, de modo pleno, a garantia constitucional do direito de defesa – não invocou, em momento algum, por inocorrentes, quaisquer das causas de inexpulsabilidade previstas em lei. Precedentes.</w:t>
      </w:r>
    </w:p>
    <w:p>
      <w:pPr>
        <w:ind w:left="288"/>
      </w:pPr>
      <w:r>
        <w:rPr>
          <w:b/>
          <w:color w:val="003CA0"/>
          <w:sz w:val="16"/>
        </w:rPr>
        <w:t>[HC 72.851, rel. min. Celso de Mello, j. 25-10-1995, P, DJE de 28-11-2008.]</w:t>
      </w:r>
    </w:p>
    <w:p>
      <w:pPr>
        <w:ind w:left="288"/>
      </w:pPr>
      <w:r>
        <w:rPr>
          <w:color w:val="8C8C8C"/>
          <w:sz w:val="12"/>
        </w:rPr>
        <w:t>cf-art-102-inc-I-ali-b</w:t>
      </w:r>
      <w:r>
        <w:rPr>
          <w:color w:val="003CA0"/>
          <w:sz w:val="12"/>
        </w:rPr>
        <w:t xml:space="preserve"> | HC 92.769</w:t>
      </w:r>
      <w:r>
        <w:rPr>
          <w:color w:val="003CA0"/>
          <w:sz w:val="12"/>
        </w:rPr>
        <w:t xml:space="preserve"> | rel. Celso de Mello</w:t>
      </w:r>
    </w:p>
    <w:p>
      <w:pPr>
        <w:ind w:left="288"/>
      </w:pPr>
      <w:r>
        <w:rPr>
          <w:color w:val="1E1E1E"/>
          <w:sz w:val="18"/>
        </w:rPr>
        <w:t>= HC 92.769, rel. min. Celso de Mello, j. 19-5-2014, dec. monocrática, DJE de 22-5-2014. Competência do STF. Ação civil pública contra presidente da República. Lei 7.347/1985. A competência do STF é de direito estrito e decorre da Constituição, que a restringe aos casos enumerados no art. 102 e incisos. A circunstância de o presidente da República estar sujeito à jurisdição da Corte, para os feitos criminais e mandados de segurança, não desloca para esta o exercício da competência originária em relação às demais ações propostas contra ato da referida autoridade.</w:t>
      </w:r>
    </w:p>
    <w:p>
      <w:pPr>
        <w:ind w:left="288"/>
      </w:pPr>
      <w:r>
        <w:rPr>
          <w:b/>
          <w:color w:val="003CA0"/>
          <w:sz w:val="16"/>
        </w:rPr>
        <w:t>[Pet 693 AgR, rel. min. Ilmar Galvão, j. 12-8-1993, P, DJ de 1º-3-1996.]</w:t>
      </w:r>
    </w:p>
    <w:p>
      <w:pPr>
        <w:ind w:left="288"/>
      </w:pPr>
      <w:r>
        <w:rPr>
          <w:color w:val="8C8C8C"/>
          <w:sz w:val="12"/>
        </w:rPr>
        <w:t>cf-art-102-inc-I-ali-e</w:t>
      </w:r>
      <w:r>
        <w:rPr>
          <w:color w:val="003CA0"/>
          <w:sz w:val="12"/>
        </w:rPr>
        <w:t xml:space="preserve"> | ACO 3.194</w:t>
      </w:r>
      <w:r>
        <w:rPr>
          <w:color w:val="003CA0"/>
          <w:sz w:val="12"/>
        </w:rPr>
        <w:t xml:space="preserve"> | rel. Gilmar Mendes</w:t>
      </w:r>
    </w:p>
    <w:p>
      <w:pPr>
        <w:ind w:left="288"/>
      </w:pPr>
      <w:r>
        <w:rPr>
          <w:color w:val="1E1E1E"/>
          <w:sz w:val="18"/>
        </w:rPr>
        <w:t>(...) as hipóteses de reconhecimento da competência do Supremo Tribunal Federal ostentam interpretação estrita, não abrangendo conflitos entre pessoa física, ainda que na condição de cônsul honorário de Moçambique, e Estados e Municípios, os quais não estão inseridos no rol taxativo da alínea e do inciso I do art. 102 da CF. Em outras palavras, além de o texto constitucional não mencionar os municípios entre as entidades cujos litígios com Estados estrangeiros ou Organismos Internacionais deteriam competência originária nesta Corte, o requerente atua em juízo defendendo direito próprio, o qual</w:t>
      </w:r>
    </w:p>
    <w:p>
      <w:pPr>
        <w:ind w:left="288"/>
      </w:pPr>
      <w:r>
        <w:rPr>
          <w:b/>
          <w:color w:val="003CA0"/>
          <w:sz w:val="16"/>
        </w:rPr>
        <w:t>[ACO 3.194, rel. min. Gilmar Mendes, j. 28-11-2018, dec. monocrática, DJE de 30-11-2018.]</w:t>
      </w:r>
    </w:p>
    <w:p>
      <w:pPr>
        <w:ind w:left="288"/>
      </w:pPr>
      <w:r>
        <w:rPr>
          <w:color w:val="8C8C8C"/>
          <w:sz w:val="12"/>
        </w:rPr>
        <w:t>cf-art-102-inc-I-ali-e</w:t>
      </w:r>
      <w:r>
        <w:rPr>
          <w:color w:val="003CA0"/>
          <w:sz w:val="12"/>
        </w:rPr>
        <w:t xml:space="preserve"> | ACO 709</w:t>
      </w:r>
      <w:r>
        <w:rPr>
          <w:color w:val="003CA0"/>
          <w:sz w:val="12"/>
        </w:rPr>
        <w:t xml:space="preserve"> | rel. Celso de Mello</w:t>
      </w:r>
    </w:p>
    <w:p>
      <w:pPr>
        <w:ind w:left="288"/>
      </w:pPr>
      <w:r>
        <w:rPr>
          <w:color w:val="1E1E1E"/>
          <w:sz w:val="18"/>
        </w:rPr>
        <w:t>Execução judicial contra Estado estrangeiro. Competência originária do STF (CF, art. 102, I, e). Imunidade de jurisdição (imunidade à jurisdição cognitiva) e imunidade de execução (imunidade à jurisdição executiva). O status quaestionis na jurisprudência do STF. (...) Prevalência do entendimento no sentido da impossibilidade jurídica de execução judicial contra Estados estrangeiros, exceto na hipótese de expressa renúncia, por eles, a essa prerrogativa de ordem jurídica.</w:t>
      </w:r>
    </w:p>
    <w:p>
      <w:pPr>
        <w:ind w:left="288"/>
      </w:pPr>
      <w:r>
        <w:rPr>
          <w:b/>
          <w:color w:val="003CA0"/>
          <w:sz w:val="16"/>
        </w:rPr>
        <w:t>[ACO 709, rel. min. Celso de Mello, j. 26-8-2013, dec. monocrática, DJE de 30-8-2013.]</w:t>
      </w:r>
    </w:p>
    <w:p>
      <w:pPr>
        <w:ind w:left="288"/>
      </w:pPr>
      <w:r>
        <w:rPr>
          <w:color w:val="8C8C8C"/>
          <w:sz w:val="12"/>
        </w:rPr>
        <w:t>cf-art-102-inc-I-ali-e</w:t>
      </w:r>
      <w:r>
        <w:rPr>
          <w:color w:val="003CA0"/>
          <w:sz w:val="12"/>
        </w:rPr>
        <w:t xml:space="preserve"> | RCL 2.937</w:t>
      </w:r>
      <w:r>
        <w:rPr>
          <w:color w:val="003CA0"/>
          <w:sz w:val="12"/>
        </w:rPr>
        <w:t xml:space="preserve"> | rel. Marco Aurélio</w:t>
      </w:r>
    </w:p>
    <w:p>
      <w:pPr>
        <w:ind w:left="288"/>
      </w:pPr>
      <w:r>
        <w:rPr>
          <w:color w:val="1E1E1E"/>
          <w:sz w:val="18"/>
        </w:rPr>
        <w:t>Ante o disposto na alínea e do inciso I do art. 102 da CF, cabe ao Supremo processar e julgar originariamente ação civil pública proposta pelo MPF contra a Itaipu Binacional.</w:t>
      </w:r>
    </w:p>
    <w:p>
      <w:pPr>
        <w:ind w:left="288"/>
      </w:pPr>
      <w:r>
        <w:rPr>
          <w:b/>
          <w:color w:val="003CA0"/>
          <w:sz w:val="16"/>
        </w:rPr>
        <w:t>[Rcl 2.937, rel. min. Marco Aurélio, j. 15-12-2011, P, DJE de 16-4-2012.]</w:t>
      </w:r>
    </w:p>
    <w:p>
      <w:pPr>
        <w:ind w:left="288"/>
      </w:pPr>
      <w:r>
        <w:rPr>
          <w:color w:val="8C8C8C"/>
          <w:sz w:val="12"/>
        </w:rPr>
        <w:t>cf-art-102-inc-I-ali-e</w:t>
      </w:r>
      <w:r>
        <w:rPr>
          <w:color w:val="003CA0"/>
          <w:sz w:val="12"/>
        </w:rPr>
        <w:t xml:space="preserve"> | RCL 10.920</w:t>
      </w:r>
      <w:r>
        <w:rPr>
          <w:color w:val="003CA0"/>
          <w:sz w:val="12"/>
        </w:rPr>
        <w:t xml:space="preserve"> | rel. Celso de Mello</w:t>
      </w:r>
    </w:p>
    <w:p>
      <w:pPr>
        <w:ind w:left="288"/>
      </w:pPr>
      <w:r>
        <w:rPr>
          <w:color w:val="1E1E1E"/>
          <w:sz w:val="18"/>
        </w:rPr>
        <w:t>(...) não se pode sustentar que incidiria, na espécie, para efeito de utilização do instrumento processual da reclamação, a regra consubstanciada no art. 102, I, e, da Carta Política, pois (...) a norma constitucional em questão somente terá aplicabilidade, se e quando se tratar de litígio que envolva Estado estrangeiro ou organismo internacional, de um lado, e "a União, o Estado, o Distrito Federal ou Território", de outro. Embora o Município integre a organização político-administrativa da República Federativa do Brasil (CF, art. 1º, c/c art. 18), a mera existência de litígio entre municipal</w:t>
      </w:r>
    </w:p>
    <w:p>
      <w:pPr>
        <w:ind w:left="288"/>
      </w:pPr>
      <w:r>
        <w:rPr>
          <w:b/>
          <w:color w:val="003CA0"/>
          <w:sz w:val="16"/>
        </w:rPr>
        <w:t>[Rcl 10.920 MC, rel. min. Celso de Mello, j. 1º-9-2011, dec. monocrática, DJE de 8-9-2011.]</w:t>
      </w:r>
    </w:p>
    <w:p>
      <w:pPr>
        <w:ind w:left="288"/>
      </w:pPr>
      <w:r>
        <w:rPr>
          <w:color w:val="8C8C8C"/>
          <w:sz w:val="12"/>
        </w:rPr>
        <w:t>cf-art-102-inc-I-ali-e</w:t>
      </w:r>
      <w:r>
        <w:rPr>
          <w:color w:val="003CA0"/>
          <w:sz w:val="12"/>
        </w:rPr>
        <w:t xml:space="preserve"> | ACO 3.194</w:t>
      </w:r>
      <w:r>
        <w:rPr>
          <w:color w:val="003CA0"/>
          <w:sz w:val="12"/>
        </w:rPr>
        <w:t xml:space="preserve"> | rel. Gilmar Mendes</w:t>
      </w:r>
    </w:p>
    <w:p>
      <w:pPr>
        <w:ind w:left="288"/>
      </w:pPr>
      <w:r>
        <w:rPr>
          <w:color w:val="1E1E1E"/>
          <w:sz w:val="18"/>
        </w:rPr>
        <w:t>Vide ACO 3.194, rel. min. Gilmar Mendes, j. 28-11-2018, dec. monocrática, DJE de 30-11-2018 A ação cível originária é procedimento no qual o STF atua como instância originária prestando não só a tutela de conhecimento inicial como a própria prestação jurisdicional executiva, se for o caso, nos termos dos arts. 102, I, e, f e m, da CF e 247 e seguintes do RISTF.</w:t>
      </w:r>
    </w:p>
    <w:p>
      <w:pPr>
        <w:ind w:left="288"/>
      </w:pPr>
      <w:r>
        <w:rPr>
          <w:b/>
          <w:color w:val="003CA0"/>
          <w:sz w:val="16"/>
        </w:rPr>
        <w:t>[RE 626.369 ED-ED, voto da rel. min. Ellen Gracie, j. 1º-3-2011, 2ª T, DJE de 24-3-2011.]</w:t>
      </w:r>
    </w:p>
    <w:p>
      <w:pPr>
        <w:ind w:left="144"/>
      </w:pPr>
      <w:r>
        <w:rPr>
          <w:b/>
          <w:color w:val="B45A00"/>
          <w:sz w:val="16"/>
        </w:rPr>
        <w:t>SUMULA</w:t>
      </w:r>
    </w:p>
    <w:p>
      <w:pPr>
        <w:ind w:left="288"/>
      </w:pPr>
      <w:r>
        <w:rPr>
          <w:color w:val="8C8C8C"/>
          <w:sz w:val="12"/>
        </w:rPr>
        <w:t>cf-art-102-inc-I-ali-f</w:t>
      </w:r>
    </w:p>
    <w:p>
      <w:pPr>
        <w:ind w:left="288"/>
      </w:pPr>
      <w:r>
        <w:rPr>
          <w:color w:val="1E1E1E"/>
          <w:sz w:val="18"/>
        </w:rPr>
        <w:t>As sociedades de economia mista só têm foro na Justiça Federal, quando a União intervém como assistente ou opoente.</w:t>
      </w:r>
    </w:p>
    <w:p>
      <w:pPr>
        <w:ind w:left="288"/>
      </w:pPr>
      <w:r>
        <w:rPr>
          <w:b/>
          <w:color w:val="003CA0"/>
          <w:sz w:val="16"/>
        </w:rPr>
        <w:t>[Súmula 517.]</w:t>
      </w:r>
    </w:p>
    <w:p>
      <w:pPr>
        <w:ind w:left="288"/>
      </w:pPr>
      <w:r>
        <w:rPr>
          <w:color w:val="8C8C8C"/>
          <w:sz w:val="12"/>
        </w:rPr>
        <w:t>cf-art-102-inc-I-ali-f</w:t>
      </w:r>
    </w:p>
    <w:p>
      <w:pPr>
        <w:ind w:left="288"/>
      </w:pPr>
      <w:r>
        <w:rPr>
          <w:color w:val="1E1E1E"/>
          <w:sz w:val="18"/>
        </w:rPr>
        <w:t>A dúvida, suscitada por particular, sobre o direito de tributar, manifestado por dois Estados, não configura litígio da competência originária do STF.</w:t>
      </w:r>
    </w:p>
    <w:p>
      <w:pPr>
        <w:ind w:left="288"/>
      </w:pPr>
      <w:r>
        <w:rPr>
          <w:b/>
          <w:color w:val="003CA0"/>
          <w:sz w:val="16"/>
        </w:rPr>
        <w:t>[Súmula 503.]</w:t>
      </w:r>
    </w:p>
    <w:p>
      <w:pPr>
        <w:ind w:left="288"/>
      </w:pPr>
      <w:r>
        <w:rPr>
          <w:color w:val="8C8C8C"/>
          <w:sz w:val="12"/>
        </w:rPr>
        <w:t>cf-art-102-inc-I-ali-f</w:t>
      </w:r>
      <w:r>
        <w:rPr>
          <w:color w:val="003CA0"/>
          <w:sz w:val="12"/>
        </w:rPr>
        <w:t xml:space="preserve"> | ACO 3.713</w:t>
      </w:r>
      <w:r>
        <w:rPr>
          <w:color w:val="003CA0"/>
          <w:sz w:val="12"/>
        </w:rPr>
        <w:t xml:space="preserve"> | rel. Luiz Fux</w:t>
      </w:r>
    </w:p>
    <w:p>
      <w:pPr>
        <w:ind w:left="288"/>
      </w:pPr>
      <w:r>
        <w:rPr>
          <w:color w:val="1E1E1E"/>
          <w:sz w:val="18"/>
        </w:rPr>
        <w:t>Compete ao Supremo Tribunal Federal, ex vi artigo 102, inciso I, alínea “f”, da Constituição Federal, dirimir controvérsia acerca do alcance da imunidade tributária recíproca do artigo 150, inciso VI, alínea “a”, da Constituição Federal, máxime quanto à sua extensão a empresas públicas e sociedades de economia mista, segundo precedentes plurais da Corte.</w:t>
      </w:r>
    </w:p>
    <w:p>
      <w:pPr>
        <w:ind w:left="288"/>
      </w:pPr>
      <w:r>
        <w:rPr>
          <w:b/>
          <w:color w:val="003CA0"/>
          <w:sz w:val="16"/>
        </w:rPr>
        <w:t>[ACO 3.713 AgR, rel. min. Luiz Fux, j. 17.11.2025, P, DJE de 24.11.2025.]</w:t>
      </w:r>
    </w:p>
    <w:p>
      <w:pPr>
        <w:ind w:left="144"/>
      </w:pPr>
      <w:r>
        <w:rPr>
          <w:b/>
          <w:color w:val="B45A00"/>
          <w:sz w:val="16"/>
        </w:rPr>
        <w:t>JULGADOS CORRELATOS</w:t>
      </w:r>
    </w:p>
    <w:p>
      <w:pPr>
        <w:ind w:left="288"/>
      </w:pPr>
      <w:r>
        <w:rPr>
          <w:color w:val="8C8C8C"/>
          <w:sz w:val="12"/>
        </w:rPr>
        <w:t>cf-art-102-inc-I-ali-f</w:t>
      </w:r>
      <w:r>
        <w:rPr>
          <w:color w:val="003CA0"/>
          <w:sz w:val="12"/>
        </w:rPr>
        <w:t xml:space="preserve"> | ACO 787</w:t>
      </w:r>
      <w:r>
        <w:rPr>
          <w:color w:val="003CA0"/>
          <w:sz w:val="12"/>
        </w:rPr>
        <w:t xml:space="preserve"> | rel. Edson Fachin</w:t>
      </w:r>
    </w:p>
    <w:p>
      <w:pPr>
        <w:ind w:left="288"/>
      </w:pPr>
      <w:r>
        <w:rPr>
          <w:color w:val="1E1E1E"/>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w:t>
      </w:r>
    </w:p>
    <w:p>
      <w:pPr>
        <w:ind w:left="288"/>
      </w:pPr>
      <w:r>
        <w:rPr>
          <w:b/>
          <w:color w:val="003CA0"/>
          <w:sz w:val="16"/>
        </w:rPr>
        <w:t>[ACO 787-AgR, rel. min. Edson Fachin, j. 19-12-2022, P, DJE de 31-1-2023.]</w:t>
      </w:r>
    </w:p>
    <w:p>
      <w:pPr>
        <w:ind w:left="288"/>
      </w:pPr>
      <w:r>
        <w:rPr>
          <w:color w:val="8C8C8C"/>
          <w:sz w:val="12"/>
        </w:rPr>
        <w:t>cf-art-102-inc-I-ali-f</w:t>
      </w:r>
      <w:r>
        <w:rPr>
          <w:color w:val="003CA0"/>
          <w:sz w:val="12"/>
        </w:rPr>
        <w:t xml:space="preserve"> | ACO 3508</w:t>
      </w:r>
    </w:p>
    <w:p>
      <w:pPr>
        <w:ind w:left="288"/>
      </w:pPr>
      <w:r>
        <w:rPr>
          <w:color w:val="1E1E1E"/>
          <w:sz w:val="18"/>
        </w:rPr>
        <w:t xml:space="preserve">Legitimidade do Poder Judiciário para avaliar a alocação de recursos públicos no que diz respeito a ações estatais que servem de anteparo para fruição de direitos constitucionais. Determinação para que a União adote as medidas necessárias à realização do censo demográfico do exercício financeiro seguinte ao da concessão da tutela de urgência (2022). Reconhecimento de que a inércia da Administração Pública no que toca à organização, ao planejamento e à execução do Censo Demográfico do IBGE produzirá graves consequências para a formulação, atualização e acompanhamento de políticas sociais, além </w:t>
      </w:r>
    </w:p>
    <w:p>
      <w:pPr>
        <w:ind w:left="288"/>
      </w:pPr>
      <w:r>
        <w:rPr>
          <w:b/>
          <w:color w:val="003CA0"/>
          <w:sz w:val="16"/>
        </w:rPr>
        <w:t>[ACO 843, redator do acórdão min. Alexandre de Moraes, j. 8-6-2020, P, DJE de 4-11-2020.]</w:t>
      </w:r>
    </w:p>
    <w:p>
      <w:pPr>
        <w:ind w:left="288"/>
      </w:pPr>
      <w:r>
        <w:rPr>
          <w:color w:val="8C8C8C"/>
          <w:sz w:val="12"/>
        </w:rPr>
        <w:t>cf-art-102-inc-I-ali-f</w:t>
      </w:r>
      <w:r>
        <w:rPr>
          <w:color w:val="003CA0"/>
          <w:sz w:val="12"/>
        </w:rPr>
        <w:t xml:space="preserve"> | RCL 4.210</w:t>
      </w:r>
      <w:r>
        <w:rPr>
          <w:color w:val="003CA0"/>
          <w:sz w:val="12"/>
        </w:rPr>
        <w:t xml:space="preserve"> | rel. Ricardo Lewandowski</w:t>
      </w:r>
    </w:p>
    <w:p>
      <w:pPr>
        <w:ind w:left="288"/>
      </w:pPr>
      <w:r>
        <w:rPr>
          <w:color w:val="1E1E1E"/>
          <w:sz w:val="18"/>
        </w:rPr>
        <w:t>Reclamação. Constitucional. Ação Ordinária. Usurpação de competência. Distribuição de gás natural canalizado. Conflito federativo estabelecido entre a União e Estado-membro. Art. 102, I,”f”, da Constituição Federal. Exploração de serviços locais de gás canalizado. Reclamação julgada procedente. Ação ordinária em que se discute a legalidade da Portaria 397/05, editada pela Comissão de Serviços Públicos de Energia – CSPE, agência reguladora do Estado de São Paulo, para disciplinar a distribuição de gás canalizado, incluído o seu fornecimento direto, a partir de gasodutos de transporte, de maneir</w:t>
      </w:r>
    </w:p>
    <w:p>
      <w:pPr>
        <w:ind w:left="288"/>
      </w:pPr>
      <w:r>
        <w:rPr>
          <w:b/>
          <w:color w:val="003CA0"/>
          <w:sz w:val="16"/>
        </w:rPr>
        <w:t>[Rcl 4.210, rel. min. Ricardo Lewandowski, j. em 26-3-2019, 2ª T, DJE de24-5-2019.]</w:t>
      </w:r>
    </w:p>
    <w:p>
      <w:pPr>
        <w:ind w:left="288"/>
      </w:pPr>
      <w:r>
        <w:rPr>
          <w:color w:val="8C8C8C"/>
          <w:sz w:val="12"/>
        </w:rPr>
        <w:t>cf-art-102-inc-I-ali-f</w:t>
      </w:r>
      <w:r>
        <w:rPr>
          <w:color w:val="003CA0"/>
          <w:sz w:val="12"/>
        </w:rPr>
        <w:t xml:space="preserve"> | ACO 2.713</w:t>
      </w:r>
      <w:r>
        <w:rPr>
          <w:color w:val="003CA0"/>
          <w:sz w:val="12"/>
        </w:rPr>
        <w:t xml:space="preserve"> | rel. Celso de Mello</w:t>
      </w:r>
    </w:p>
    <w:p>
      <w:pPr>
        <w:ind w:left="288"/>
      </w:pPr>
      <w:r>
        <w:rPr>
          <w:color w:val="1E1E1E"/>
          <w:sz w:val="18"/>
        </w:rPr>
        <w:t>Litígio referente a bloqueio, realizado por comunidade indígena, em rodovia federal construída em área limítrofe entre os Estados de Roraima e Amazonas. Inocorrência de situação apta a gerar conflito federativo capaz de romper a harmonia e de afetar o convívio institucional no âmbito da federação brasileira. Incompetência do Supremo Tribunal Federal para, originariamente, julgar o processo. Inaplicabilidade, ao caso, da regra inscrita no art. 102, I, f, da Constituição da República. (...) A Constituição da República confere ao Supremo Tribunal Federal a posição eminente de Tribunal da Federaçã</w:t>
      </w:r>
    </w:p>
    <w:p>
      <w:pPr>
        <w:ind w:left="288"/>
      </w:pPr>
      <w:r>
        <w:rPr>
          <w:b/>
          <w:color w:val="003CA0"/>
          <w:sz w:val="16"/>
        </w:rPr>
        <w:t>[ACO 2.713-AgR, rel. min. Celso de Mello, j. 19-11-2018, P, DJE de 27-11-2018.]</w:t>
      </w:r>
    </w:p>
    <w:p>
      <w:pPr>
        <w:ind w:left="288"/>
      </w:pPr>
      <w:r>
        <w:rPr>
          <w:color w:val="8C8C8C"/>
          <w:sz w:val="12"/>
        </w:rPr>
        <w:t>cf-art-102-inc-I-ali-f</w:t>
      </w:r>
      <w:r>
        <w:rPr>
          <w:color w:val="003CA0"/>
          <w:sz w:val="12"/>
        </w:rPr>
        <w:t xml:space="preserve"> | ACO 2.991</w:t>
      </w:r>
      <w:r>
        <w:rPr>
          <w:color w:val="003CA0"/>
          <w:sz w:val="12"/>
        </w:rPr>
        <w:t xml:space="preserve"> | rel. Rosa Weber</w:t>
      </w:r>
    </w:p>
    <w:p>
      <w:pPr>
        <w:ind w:left="288"/>
      </w:pPr>
      <w:r>
        <w:rPr>
          <w:color w:val="1E1E1E"/>
          <w:sz w:val="18"/>
        </w:rPr>
        <w:t>A discussão acerca de ilicitude ou desatendimento a exigências legais ou regulamentares por parte dos órgãos que expediram licenças ambientais para determinado projeto de exploração mineral não traz risco de abalo ao pacto federativo, inapta à configuração do conflito federativo atrativo da competência originária prevista no art. 102, I, f, da CF.</w:t>
      </w:r>
    </w:p>
    <w:p>
      <w:pPr>
        <w:ind w:left="288"/>
      </w:pPr>
      <w:r>
        <w:rPr>
          <w:b/>
          <w:color w:val="003CA0"/>
          <w:sz w:val="16"/>
        </w:rPr>
        <w:t>[ACO 2.991 AgR, rel. min. Rosa Weber, j. 6-10-2017, 1ª T, DJE de 7-11-2017.]</w:t>
      </w:r>
    </w:p>
    <w:p>
      <w:pPr>
        <w:ind w:left="288"/>
      </w:pPr>
      <w:r>
        <w:rPr>
          <w:color w:val="8C8C8C"/>
          <w:sz w:val="12"/>
        </w:rPr>
        <w:t>cf-art-102-inc-I-ali-f</w:t>
      </w:r>
      <w:r>
        <w:rPr>
          <w:color w:val="003CA0"/>
          <w:sz w:val="12"/>
        </w:rPr>
        <w:t xml:space="preserve"> | ACO 2.023</w:t>
      </w:r>
      <w:r>
        <w:rPr>
          <w:color w:val="003CA0"/>
          <w:sz w:val="12"/>
        </w:rPr>
        <w:t xml:space="preserve"> | rel. Rosa Weber</w:t>
      </w:r>
    </w:p>
    <w:p>
      <w:pPr>
        <w:ind w:left="288"/>
      </w:pPr>
      <w:r>
        <w:rPr>
          <w:color w:val="1E1E1E"/>
          <w:sz w:val="18"/>
        </w:rPr>
        <w:t>A discussão acerca de autuação fiscal isolada revela pretensão de natureza meramente patrimonial, inapta à configuração do conflito federativo qualificado atrativo da competência originária prevista no art. 102, I, f, da CF. (...) A possibilidade de inscrição do autor nos cadastros de inadimplentes do governo federal em razão do não pagamento do crédito tributário discutido mostra-se igualmente insuficiente para configurar o conflito federativo qualificado, uma vez que a competência originária desta Suprema Corte se fixa a partir do pedido principal deduzido no feito, e não do pedido acessório</w:t>
      </w:r>
    </w:p>
    <w:p>
      <w:pPr>
        <w:ind w:left="288"/>
      </w:pPr>
      <w:r>
        <w:rPr>
          <w:b/>
          <w:color w:val="003CA0"/>
          <w:sz w:val="16"/>
        </w:rPr>
        <w:t>[ACO 1.062 AgR, rel. min. Ricardo Lewandowski, j. 13-8-2014, P, DJE de 25-8-2014.]</w:t>
      </w:r>
    </w:p>
    <w:p>
      <w:pPr>
        <w:ind w:left="288"/>
      </w:pPr>
      <w:r>
        <w:rPr>
          <w:color w:val="8C8C8C"/>
          <w:sz w:val="12"/>
        </w:rPr>
        <w:t>cf-art-102-inc-I-ali-f</w:t>
      </w:r>
      <w:r>
        <w:rPr>
          <w:color w:val="003CA0"/>
          <w:sz w:val="12"/>
        </w:rPr>
        <w:t xml:space="preserve"> | AC 2.200</w:t>
      </w:r>
      <w:r>
        <w:rPr>
          <w:color w:val="003CA0"/>
          <w:sz w:val="12"/>
        </w:rPr>
        <w:t xml:space="preserve"> | rel. Cármen Lúcia</w:t>
      </w:r>
    </w:p>
    <w:p>
      <w:pPr>
        <w:ind w:left="288"/>
      </w:pPr>
      <w:r>
        <w:rPr>
          <w:color w:val="1E1E1E"/>
          <w:sz w:val="18"/>
        </w:rPr>
        <w:t>Vide AC 2.200 MC-REF, rel. min. Cármen Lúcia, j. 2-2-2009, P, DJE de 27-2-2009 Descabe vislumbrar, em descompasso entre seccional da OAB e presidente de tribunal de justiça, conflito federativo. Impugnado ato administrativo do presidente do tribunal, surge a competência deste último para julgar a impetração.</w:t>
      </w:r>
    </w:p>
    <w:p>
      <w:pPr>
        <w:ind w:left="288"/>
      </w:pPr>
      <w:r>
        <w:rPr>
          <w:b/>
          <w:color w:val="003CA0"/>
          <w:sz w:val="16"/>
        </w:rPr>
        <w:t>[MS 31.396 AgR, rel. min. Marco Aurélio, j. 26-2-2013, 1ª T, DJE de 14-5-2013.]</w:t>
      </w:r>
    </w:p>
    <w:p>
      <w:pPr>
        <w:ind w:left="288"/>
      </w:pPr>
      <w:r>
        <w:rPr>
          <w:color w:val="8C8C8C"/>
          <w:sz w:val="12"/>
        </w:rPr>
        <w:t>cf-art-102-inc-I-ali-f</w:t>
      </w:r>
      <w:r>
        <w:rPr>
          <w:color w:val="003CA0"/>
          <w:sz w:val="12"/>
        </w:rPr>
        <w:t xml:space="preserve"> | RE 626.369</w:t>
      </w:r>
      <w:r>
        <w:rPr>
          <w:color w:val="003CA0"/>
          <w:sz w:val="12"/>
        </w:rPr>
        <w:t xml:space="preserve"> | rel. Ellen Gracie</w:t>
      </w:r>
    </w:p>
    <w:p>
      <w:pPr>
        <w:ind w:left="288"/>
      </w:pPr>
      <w:r>
        <w:rPr>
          <w:color w:val="1E1E1E"/>
          <w:sz w:val="18"/>
        </w:rPr>
        <w:t>A ação cível originária é procedimento no qual o STF atua como instância originária prestando não só a tutela de conhecimento inicial como a própria prestação jurisdicional executiva, se for o caso, nos termos dos arts. 102, I, e, f e m, da CF e 247 e seguintes do RISTF.</w:t>
      </w:r>
    </w:p>
    <w:p>
      <w:pPr>
        <w:ind w:left="288"/>
      </w:pPr>
      <w:r>
        <w:rPr>
          <w:b/>
          <w:color w:val="003CA0"/>
          <w:sz w:val="16"/>
        </w:rPr>
        <w:t>[RE 626.369 ED-ED, voto da rel. min. Ellen Gracie, j. 1º-3-2011, 2ª T, DJE de 24-3-2011.]</w:t>
      </w:r>
    </w:p>
    <w:p>
      <w:pPr>
        <w:ind w:left="288"/>
      </w:pPr>
      <w:r>
        <w:rPr>
          <w:color w:val="8C8C8C"/>
          <w:sz w:val="12"/>
        </w:rPr>
        <w:t>cf-art-102-inc-I-ali-f</w:t>
      </w:r>
      <w:r>
        <w:rPr>
          <w:color w:val="003CA0"/>
          <w:sz w:val="12"/>
        </w:rPr>
        <w:t xml:space="preserve"> | ACO 1.295</w:t>
      </w:r>
      <w:r>
        <w:rPr>
          <w:color w:val="003CA0"/>
          <w:sz w:val="12"/>
        </w:rPr>
        <w:t xml:space="preserve"> | rel. Dias Toffoli</w:t>
      </w:r>
    </w:p>
    <w:p>
      <w:pPr>
        <w:ind w:left="288"/>
      </w:pPr>
      <w:r>
        <w:rPr>
          <w:color w:val="1E1E1E"/>
          <w:sz w:val="18"/>
        </w:rPr>
        <w:t>Diferença entre conflito entre entes federados e conflito federativo: enquanto no primeiro, pelo prisma subjetivo, observa-se a litigância judicial promovida pelos membros da Federação, no segundo, para além da participação desses na lide, a conflituosidade da causa importa em potencial desestabilização do próprio pacto federativo. Há, portanto, distinção de magnitude nas hipóteses aventadas, sendo que o legislador constitucional restringiu a atuação da Corte à última delas, nos moldes fixados no Texto Magno, e não incluiu os litígios e as causas envolvendo Municípios como ensejadores de confl</w:t>
      </w:r>
    </w:p>
    <w:p>
      <w:pPr>
        <w:ind w:left="288"/>
      </w:pPr>
      <w:r>
        <w:rPr>
          <w:b/>
          <w:color w:val="003CA0"/>
          <w:sz w:val="16"/>
        </w:rPr>
        <w:t>[ACO 1.295 AgR-segundo, rel. min. Dias Toffoli, j. 14-10-2010, P, DJE de 2-12-2010.]</w:t>
      </w:r>
    </w:p>
    <w:p>
      <w:pPr>
        <w:ind w:left="288"/>
      </w:pPr>
      <w:r>
        <w:rPr>
          <w:color w:val="8C8C8C"/>
          <w:sz w:val="12"/>
        </w:rPr>
        <w:t>cf-art-102-inc-I-ali-f</w:t>
      </w:r>
      <w:r>
        <w:rPr>
          <w:color w:val="003CA0"/>
          <w:sz w:val="12"/>
        </w:rPr>
        <w:t xml:space="preserve"> | ACO 1.846</w:t>
      </w:r>
      <w:r>
        <w:rPr>
          <w:color w:val="003CA0"/>
          <w:sz w:val="12"/>
        </w:rPr>
        <w:t xml:space="preserve"> | rel. Marco Aurélio</w:t>
      </w:r>
    </w:p>
    <w:p>
      <w:pPr>
        <w:ind w:left="288"/>
      </w:pPr>
      <w:r>
        <w:rPr>
          <w:color w:val="1E1E1E"/>
          <w:sz w:val="18"/>
        </w:rPr>
        <w:t>= ACO 1.846 AgR, rel. min. Marco Aurélio, j. 25-2-2014, 1ª T, DJE de 19-3-2014 O STF, em face da regra de direito estrito consubstanciada no art. 102, I, da Constituição da República (RTJ 171/101-102), não dispõe, por ausência de previsão normativa, de competência para processar e julgar, em sede originária, causas instauradas entre Municípios, de um lado, e a União, autarquias federais e/ou empresas públicas federais, de outro. Em tal hipótese, a competência para apreciar esse litígio pertence à Justiça Federal de primeira instância. Precedentes.</w:t>
      </w:r>
    </w:p>
    <w:p>
      <w:pPr>
        <w:ind w:left="288"/>
      </w:pPr>
      <w:r>
        <w:rPr>
          <w:b/>
          <w:color w:val="003CA0"/>
          <w:sz w:val="16"/>
        </w:rPr>
        <w:t>[ACO 1.364 AgR, rel. min. Celso de Mello, j. 16-9-2009, P, DJE de 6-8-2010.]</w:t>
      </w:r>
    </w:p>
    <w:p>
      <w:pPr>
        <w:ind w:left="288"/>
      </w:pPr>
      <w:r>
        <w:rPr>
          <w:color w:val="8C8C8C"/>
          <w:sz w:val="12"/>
        </w:rPr>
        <w:t>cf-art-102-inc-I-ali-f</w:t>
      </w:r>
      <w:r>
        <w:rPr>
          <w:color w:val="003CA0"/>
          <w:sz w:val="12"/>
        </w:rPr>
        <w:t xml:space="preserve"> | ACO 1.882</w:t>
      </w:r>
      <w:r>
        <w:rPr>
          <w:color w:val="003CA0"/>
          <w:sz w:val="12"/>
        </w:rPr>
        <w:t xml:space="preserve"> | rel. Cármen Lúcia</w:t>
      </w:r>
    </w:p>
    <w:p>
      <w:pPr>
        <w:ind w:left="288"/>
      </w:pPr>
      <w:r>
        <w:rPr>
          <w:color w:val="1E1E1E"/>
          <w:sz w:val="18"/>
        </w:rPr>
        <w:t>= ACO 1.882, rel. min. Cármen Lúcia, j. 7-2-2012, dec. monocrática, DJE de 15-3-2012 = ACO 1.295 AgR-segundo, rel. min. Dias Toffoli, j. 14-10-2010, P, DJE de 2-12-2010 = ACO 1.342 AgR, rel. min. Marco Aurélio, j. 16-6-2010, P, DJE de 8-8-2011 É atribuição do Ministério Público estadual atuar em ação de reparação de dano ao erário, por improbidade administrativa concernente a desvio de recursos do Fundef [Fundo de Manutenção e Desenvolvimento do Ensino Fundamental e de Valorização do Magistério], quando não tenha havido complementação de verbas federais.</w:t>
      </w:r>
    </w:p>
    <w:p>
      <w:pPr>
        <w:ind w:left="288"/>
      </w:pPr>
      <w:r>
        <w:rPr>
          <w:b/>
          <w:color w:val="003CA0"/>
          <w:sz w:val="16"/>
        </w:rPr>
        <w:t>[ACO 1.156, rel. min. Cezar Peluso, j. 1º-7-2009, P, DJE de 12-3-2010.]</w:t>
      </w:r>
    </w:p>
    <w:p>
      <w:pPr>
        <w:ind w:left="288"/>
      </w:pPr>
      <w:r>
        <w:rPr>
          <w:color w:val="8C8C8C"/>
          <w:sz w:val="12"/>
        </w:rPr>
        <w:t>cf-art-102-inc-I-ali-f</w:t>
      </w:r>
      <w:r>
        <w:rPr>
          <w:color w:val="003CA0"/>
          <w:sz w:val="12"/>
        </w:rPr>
        <w:t xml:space="preserve"> | AC 2.200</w:t>
      </w:r>
      <w:r>
        <w:rPr>
          <w:color w:val="003CA0"/>
          <w:sz w:val="12"/>
        </w:rPr>
        <w:t xml:space="preserve"> | rel. Cármen Lúcia</w:t>
      </w:r>
    </w:p>
    <w:p>
      <w:pPr>
        <w:ind w:left="288"/>
      </w:pPr>
      <w:r>
        <w:rPr>
          <w:color w:val="1E1E1E"/>
          <w:sz w:val="18"/>
        </w:rPr>
        <w:t>O STF tem reconhecido a ocorrência de conflito federativo em situações nas quais a União, valendo-se de registros de supostas inadimplências dos Estados no Siafi e no Cadastro de Créditos não quitados do setor público federal (CADIN), impossibilita sejam firmados acordos de cooperação, convênios e operações de crédito entre Estados e entidades federais. O registro da entidade federada por suposta inadimplência nesses cadastros federais pode sujeitá-la a efeitos gravosos, com desdobramentos para a transferência de recursos. Em sede de cognição primária e precária, estão presentes o fumus boni j</w:t>
      </w:r>
    </w:p>
    <w:p>
      <w:pPr>
        <w:ind w:left="288"/>
      </w:pPr>
      <w:r>
        <w:rPr>
          <w:b/>
          <w:color w:val="003CA0"/>
          <w:sz w:val="16"/>
        </w:rPr>
        <w:t>[AC 2.200 MC-REF, rel. min. Cármen Lúcia, j. 2-2-2009, P, DJE de 27-2-2009.]</w:t>
      </w:r>
    </w:p>
    <w:p>
      <w:pPr>
        <w:ind w:left="288"/>
      </w:pPr>
      <w:r>
        <w:rPr>
          <w:color w:val="8C8C8C"/>
          <w:sz w:val="12"/>
        </w:rPr>
        <w:t>cf-art-102-inc-I-ali-f</w:t>
      </w:r>
      <w:r>
        <w:rPr>
          <w:color w:val="003CA0"/>
          <w:sz w:val="12"/>
        </w:rPr>
        <w:t xml:space="preserve"> | AC 2.032</w:t>
      </w:r>
      <w:r>
        <w:rPr>
          <w:color w:val="003CA0"/>
          <w:sz w:val="12"/>
        </w:rPr>
        <w:t xml:space="preserve"> | rel. Celso de Mello</w:t>
      </w:r>
    </w:p>
    <w:p>
      <w:pPr>
        <w:ind w:left="288"/>
      </w:pPr>
      <w:r>
        <w:rPr>
          <w:color w:val="1E1E1E"/>
          <w:sz w:val="18"/>
        </w:rPr>
        <w:t>= AC 2.032 QO, rel. min. Celso de Mello, j. 15-5-2008, P, DJE de 20-3-2009 Vide ACO 1.062 AgR, rel. min. Ricardo Lewandowski, j. 13-8-2014, P, DJE de 25-8-2014 Projeto de integração do rio São Francisco com as bacias hidrográficas do Nordeste Setentrional. Periculum in mora não evidenciado. Como assentado na decisão agravada, a OAB – Seção da Bahia, a Associação de Advogados de Trabalhadores Rurais no Estado da Bahia (AATR), o Grupo Ambientalista da Bahia (GAMBA), o Instituto de Ação Ambiental da Bahia (IAMBA), a Associação Movimento Paulo Jackson – Ética, Justiça e Cidadania, o Centro de Estu</w:t>
      </w:r>
    </w:p>
    <w:p>
      <w:pPr>
        <w:ind w:left="288"/>
      </w:pPr>
      <w:r>
        <w:rPr>
          <w:b/>
          <w:color w:val="003CA0"/>
          <w:sz w:val="16"/>
        </w:rPr>
        <w:t>[ACO 876 MC-AgR, rel. min. Menezes Direito, j. 19-12-2007, P, DJE de 1º-8-2008.]</w:t>
      </w:r>
    </w:p>
    <w:p>
      <w:pPr>
        <w:ind w:left="288"/>
      </w:pPr>
      <w:r>
        <w:rPr>
          <w:color w:val="8C8C8C"/>
          <w:sz w:val="12"/>
        </w:rPr>
        <w:t>cf-art-102-inc-I-ali-f</w:t>
      </w:r>
      <w:r>
        <w:rPr>
          <w:color w:val="003CA0"/>
          <w:sz w:val="12"/>
        </w:rPr>
        <w:t xml:space="preserve"> | ACO 622</w:t>
      </w:r>
    </w:p>
    <w:p>
      <w:pPr>
        <w:ind w:left="288"/>
      </w:pPr>
      <w:r>
        <w:rPr>
          <w:color w:val="1E1E1E"/>
          <w:sz w:val="18"/>
        </w:rPr>
        <w:t>Ação popular. Deslocamento da competência para o STF. Conflito federativo estabelecido entre a União e Estado-membro. (...) Considerando a potencialidade do conflito federativo estabelecido entre a União e Estado-membro, emerge a competência do STF para processar e julgar a ação popular, a teor do que dispõe o art. 102, I, f, da Constituição.</w:t>
      </w:r>
    </w:p>
    <w:p>
      <w:pPr>
        <w:ind w:left="288"/>
      </w:pPr>
      <w:r>
        <w:rPr>
          <w:b/>
          <w:color w:val="003CA0"/>
          <w:sz w:val="16"/>
        </w:rPr>
        <w:t>[ACO 622 QO, red. do ac. min. Ricardo Lewandowski, j. 7-11-2007, P, DJE de 15-2-2008.]</w:t>
      </w:r>
    </w:p>
    <w:p>
      <w:pPr>
        <w:ind w:left="288"/>
      </w:pPr>
      <w:r>
        <w:rPr>
          <w:color w:val="8C8C8C"/>
          <w:sz w:val="12"/>
        </w:rPr>
        <w:t>cf-art-102-inc-I-ali-f</w:t>
      </w:r>
      <w:r>
        <w:rPr>
          <w:color w:val="003CA0"/>
          <w:sz w:val="12"/>
        </w:rPr>
        <w:t xml:space="preserve"> | ACO 1.048</w:t>
      </w:r>
      <w:r>
        <w:rPr>
          <w:color w:val="003CA0"/>
          <w:sz w:val="12"/>
        </w:rPr>
        <w:t xml:space="preserve"> | rel. Celso de Mello</w:t>
      </w:r>
    </w:p>
    <w:p>
      <w:pPr>
        <w:ind w:left="288"/>
      </w:pPr>
      <w:r>
        <w:rPr>
          <w:color w:val="1E1E1E"/>
          <w:sz w:val="18"/>
        </w:rPr>
        <w:t>A Constituição da República confere ao STF  a posição eminente de Tribunal da Federação (CF, art. 102, I, f ), atribuindo, a esta Corte, em tal condição institucional, o poder de dirimir as controvérsias, que, ao irromperem no seio do Estado Federal, culminam, perigosamente, por antagonizar as unidades que compõem a Federação. Essa magna função jurídico-institucional da Suprema Corte impõe-lhe o gravíssimo dever de velar pela intangibilidade do vínculo federativo e de zelar pelo equilíbrio harmonioso das relações políticas entre as pessoas estatais que integram a Federação brasileira. A aplica</w:t>
      </w:r>
    </w:p>
    <w:p>
      <w:pPr>
        <w:ind w:left="288"/>
      </w:pPr>
      <w:r>
        <w:rPr>
          <w:b/>
          <w:color w:val="003CA0"/>
          <w:sz w:val="16"/>
        </w:rPr>
        <w:t>[ACO 1.048 QO, rel. min. Celso de Mello, j. 30-8-2007, P, DJ de 31-10-2007.]</w:t>
      </w:r>
    </w:p>
    <w:p>
      <w:pPr>
        <w:ind w:left="288"/>
      </w:pPr>
      <w:r>
        <w:rPr>
          <w:color w:val="8C8C8C"/>
          <w:sz w:val="12"/>
        </w:rPr>
        <w:t>cf-art-102-inc-I-ali-f</w:t>
      </w:r>
      <w:r>
        <w:rPr>
          <w:color w:val="003CA0"/>
          <w:sz w:val="12"/>
        </w:rPr>
        <w:t xml:space="preserve"> | RE 664.206</w:t>
      </w:r>
      <w:r>
        <w:rPr>
          <w:color w:val="003CA0"/>
          <w:sz w:val="12"/>
        </w:rPr>
        <w:t xml:space="preserve"> | rel. Marco Aurélio</w:t>
      </w:r>
    </w:p>
    <w:p>
      <w:pPr>
        <w:ind w:left="288"/>
      </w:pPr>
      <w:r>
        <w:rPr>
          <w:color w:val="1E1E1E"/>
          <w:sz w:val="18"/>
        </w:rPr>
        <w:t>= RE 664.206 AgR, rel. min. Marco Aurélio, j. 11-12-2012, 1ª T, DJE de 6-2-2012 STF: mandado de segurança: competência originária (CF, art. 102, I, f): inexistência. Não compete ao Supremo Tribunal julgar o mandado de segurança impetrado por entidade privada, que atua em defesa de interesses de membros do Ministério Público estadual contra decisão do Tribunal de Justiça, pela qual se reservou vaga criada naquele Tribunal a representante da classe dos advogados. No caso a OAB figura como litisconsorte passivo, atuando ao lado da autoridade coatora e não contra ela – única hipótese em que se pod</w:t>
      </w:r>
    </w:p>
    <w:p>
      <w:pPr>
        <w:ind w:left="288"/>
      </w:pPr>
      <w:r>
        <w:rPr>
          <w:b/>
          <w:color w:val="003CA0"/>
          <w:sz w:val="16"/>
        </w:rPr>
        <w:t>[MS 26.179 AgR, rel. min. Sepúlveda Pertence, j. 28-3-2007, P, DJ de 13-4-2007.]</w:t>
      </w:r>
    </w:p>
    <w:p>
      <w:pPr>
        <w:ind w:left="288"/>
      </w:pPr>
      <w:r>
        <w:rPr>
          <w:color w:val="8C8C8C"/>
          <w:sz w:val="12"/>
        </w:rPr>
        <w:t>cf-art-102-inc-I-ali-f</w:t>
      </w:r>
      <w:r>
        <w:rPr>
          <w:color w:val="003CA0"/>
          <w:sz w:val="12"/>
        </w:rPr>
        <w:t xml:space="preserve"> | ACO 251</w:t>
      </w:r>
      <w:r>
        <w:rPr>
          <w:color w:val="003CA0"/>
          <w:sz w:val="12"/>
        </w:rPr>
        <w:t xml:space="preserve"> | rel. Marco Aurélio</w:t>
      </w:r>
    </w:p>
    <w:p>
      <w:pPr>
        <w:ind w:left="288"/>
      </w:pPr>
      <w:r>
        <w:rPr>
          <w:color w:val="1E1E1E"/>
          <w:sz w:val="18"/>
        </w:rPr>
        <w:t>A competência prevista na alínea f do inciso I do art. 102 da CF alcança conflito a envolver repetição de indébito pretendida por Estado ante o INSS.</w:t>
      </w:r>
    </w:p>
    <w:p>
      <w:pPr>
        <w:ind w:left="288"/>
      </w:pPr>
      <w:r>
        <w:rPr>
          <w:b/>
          <w:color w:val="003CA0"/>
          <w:sz w:val="16"/>
        </w:rPr>
        <w:t>[ACO 251, rel. min. Marco Aurélio, j. 9-6-2006, P, DJ de 9-6-2006.]</w:t>
      </w:r>
    </w:p>
    <w:p>
      <w:pPr>
        <w:ind w:left="288"/>
      </w:pPr>
      <w:r>
        <w:rPr>
          <w:color w:val="8C8C8C"/>
          <w:sz w:val="12"/>
        </w:rPr>
        <w:t>cf-art-102-inc-I-ali-f</w:t>
      </w:r>
      <w:r>
        <w:rPr>
          <w:color w:val="003CA0"/>
          <w:sz w:val="12"/>
        </w:rPr>
        <w:t xml:space="preserve"> | RCL 2.549</w:t>
      </w:r>
      <w:r>
        <w:rPr>
          <w:color w:val="003CA0"/>
          <w:sz w:val="12"/>
        </w:rPr>
        <w:t xml:space="preserve"> | rel. Joaquim Barbosa</w:t>
      </w:r>
    </w:p>
    <w:p>
      <w:pPr>
        <w:ind w:left="288"/>
      </w:pPr>
      <w:r>
        <w:rPr>
          <w:color w:val="1E1E1E"/>
          <w:sz w:val="18"/>
        </w:rPr>
        <w:t xml:space="preserve">Ação movida por empresa pública estadual (SUAPE – Complexo Industrial Portuário Governador Eraldo Gueiros) contra autarquia federal (Agência Nacional de Transportes Aquaviários – ANTAQ). Pretensão da empresa pública estadual à imediata revisão de outorga para exploração de serviço portuário concedido pela União. Caracterizado o potencial conflito federativo, tendo em vista: (i) o significativo impacto patrimonial a ser suportado pela União ou pelo Estado de Pernambuco, conforme o desfecho da controvérsia; (ii) a relevância federativa da controvérsia, por opor-se à pretensão do Estado-membro a </w:t>
      </w:r>
    </w:p>
    <w:p>
      <w:pPr>
        <w:ind w:left="288"/>
      </w:pPr>
      <w:r>
        <w:rPr>
          <w:b/>
          <w:color w:val="003CA0"/>
          <w:sz w:val="16"/>
        </w:rPr>
        <w:t>[Rcl 2.549, rel. min. Joaquim Barbosa, j. 30-3-2006, P, DJ de 10-8-2006.]</w:t>
      </w:r>
    </w:p>
    <w:p>
      <w:pPr>
        <w:ind w:left="288"/>
      </w:pPr>
      <w:r>
        <w:rPr>
          <w:color w:val="8C8C8C"/>
          <w:sz w:val="12"/>
        </w:rPr>
        <w:t>cf-art-102-inc-I-ali-f</w:t>
      </w:r>
      <w:r>
        <w:rPr>
          <w:color w:val="003CA0"/>
          <w:sz w:val="12"/>
        </w:rPr>
        <w:t xml:space="preserve"> | ACO 593</w:t>
      </w:r>
      <w:r>
        <w:rPr>
          <w:color w:val="003CA0"/>
          <w:sz w:val="12"/>
        </w:rPr>
        <w:t xml:space="preserve"> | rel. Sepúlveda Pertence</w:t>
      </w:r>
    </w:p>
    <w:p>
      <w:pPr>
        <w:ind w:left="288"/>
      </w:pPr>
      <w:r>
        <w:rPr>
          <w:color w:val="1E1E1E"/>
          <w:sz w:val="18"/>
        </w:rPr>
        <w:t xml:space="preserve">Reclamação: procedência: usurpação de competência originária do Supremo Tribunal (CF, art. 102, I, f). Ação civil pública em que o Estado de Minas Gerais, no interesse da proteção ambiental do seu território, pretende impor exigências à atuação do Ibama no licenciamento de obra federal. Projeto de Integração do Rio São Francisco com Bacias Hidrográficas do Nordeste Setentrional: caso típico de existência de "conflito federativo", em que o eventual acolhimento da demanda acarretará reflexos diretos sobre o tempo de implementação ou a própria viabilidade de um projeto de grande vulto do governo </w:t>
      </w:r>
    </w:p>
    <w:p>
      <w:pPr>
        <w:ind w:left="288"/>
      </w:pPr>
      <w:r>
        <w:rPr>
          <w:b/>
          <w:color w:val="003CA0"/>
          <w:sz w:val="16"/>
        </w:rPr>
        <w:t>[Rcl 3.074, rel. min. Sepúlveda Pertence, j. 4-8-2005, P, DJ de 30-9-2005.]</w:t>
      </w:r>
    </w:p>
    <w:p>
      <w:pPr>
        <w:ind w:left="288"/>
      </w:pPr>
      <w:r>
        <w:rPr>
          <w:color w:val="8C8C8C"/>
          <w:sz w:val="12"/>
        </w:rPr>
        <w:t>cf-art-102-inc-I-ali-f</w:t>
      </w:r>
      <w:r>
        <w:rPr>
          <w:color w:val="003CA0"/>
          <w:sz w:val="12"/>
        </w:rPr>
        <w:t xml:space="preserve"> | ACO 684</w:t>
      </w:r>
      <w:r>
        <w:rPr>
          <w:color w:val="003CA0"/>
          <w:sz w:val="12"/>
        </w:rPr>
        <w:t xml:space="preserve"> | rel. Sepúlveda Pertence</w:t>
      </w:r>
    </w:p>
    <w:p>
      <w:pPr>
        <w:ind w:left="288"/>
      </w:pPr>
      <w:r>
        <w:rPr>
          <w:color w:val="1E1E1E"/>
          <w:sz w:val="18"/>
        </w:rPr>
        <w:t>= ACO 684 QO, rel. min. Sepúlveda Pertence, j. 4-8-2005, P, DJ de 30-9-2005 Configurado conflito federativo entre empresa pública que presta serviço público de competência da União e Estado-membro, é competente o STF para o julgamento da ação cível originária, nos termos do disposto no art. 102, I, f, da Constituição.</w:t>
      </w:r>
    </w:p>
    <w:p>
      <w:pPr>
        <w:ind w:left="288"/>
      </w:pPr>
      <w:r>
        <w:rPr>
          <w:b/>
          <w:color w:val="003CA0"/>
          <w:sz w:val="16"/>
        </w:rPr>
        <w:t>[ACO 765 QO, red. do ac. min. Eros Grau, j. 1º-6-2005, P, DJE de 7-11-2008.]</w:t>
      </w:r>
    </w:p>
    <w:p>
      <w:pPr>
        <w:ind w:left="288"/>
      </w:pPr>
      <w:r>
        <w:rPr>
          <w:color w:val="8C8C8C"/>
          <w:sz w:val="12"/>
        </w:rPr>
        <w:t>cf-art-102-inc-I-ali-f</w:t>
      </w:r>
      <w:r>
        <w:rPr>
          <w:color w:val="003CA0"/>
          <w:sz w:val="12"/>
        </w:rPr>
        <w:t xml:space="preserve"> | ACO 803</w:t>
      </w:r>
      <w:r>
        <w:rPr>
          <w:color w:val="003CA0"/>
          <w:sz w:val="12"/>
        </w:rPr>
        <w:t xml:space="preserve"> | rel. Celso de Mello</w:t>
      </w:r>
    </w:p>
    <w:p>
      <w:pPr>
        <w:ind w:left="288"/>
      </w:pPr>
      <w:r>
        <w:rPr>
          <w:color w:val="1E1E1E"/>
          <w:sz w:val="18"/>
        </w:rPr>
        <w:t>= ACO 803 AgR, rel. min. Celso de Mello, j. 26-11-2014, P, DJE de 12-2-2015 Usurpação da competência. Processos judiciais que impugnam a Portaria 820/1998 do Ministério da Justiça. Ato normativo que demarcou a reserva indígena denominada Raposa Serra do Sol, no Estado de Roraima. Caso em que resta evidenciada a existência de litígio federativo em gravidade suficiente para atrair a competência desta Corte de Justiça (alínea f do inciso I do art. 102 da Lei Maior). Cabe ao STF processar e julgar ação popular em que os respectivos autores, com pretensão de resguardar o patrimônio público roraimen</w:t>
      </w:r>
    </w:p>
    <w:p>
      <w:pPr>
        <w:ind w:left="288"/>
      </w:pPr>
      <w:r>
        <w:rPr>
          <w:b/>
          <w:color w:val="003CA0"/>
          <w:sz w:val="16"/>
        </w:rPr>
        <w:t>[Rcl 2.833, rel. min. Ayres Britto, j. 14-4-2005, P, DJ de 5-8-2005.]</w:t>
      </w:r>
    </w:p>
    <w:p>
      <w:pPr>
        <w:ind w:left="288"/>
      </w:pPr>
      <w:r>
        <w:rPr>
          <w:color w:val="8C8C8C"/>
          <w:sz w:val="12"/>
        </w:rPr>
        <w:t>cf-art-102-inc-I-ali-f</w:t>
      </w:r>
      <w:r>
        <w:rPr>
          <w:color w:val="003CA0"/>
          <w:sz w:val="12"/>
        </w:rPr>
        <w:t xml:space="preserve"> | RCL 3.331</w:t>
      </w:r>
      <w:r>
        <w:rPr>
          <w:color w:val="003CA0"/>
          <w:sz w:val="12"/>
        </w:rPr>
        <w:t xml:space="preserve"> | rel. Ayres  Britto</w:t>
      </w:r>
    </w:p>
    <w:p>
      <w:pPr>
        <w:ind w:left="288"/>
      </w:pPr>
      <w:r>
        <w:rPr>
          <w:color w:val="1E1E1E"/>
          <w:sz w:val="18"/>
        </w:rPr>
        <w:t>= Rcl 3.331 e Rcl 3.813, rel. min. Ayres  Britto, j. 28-6-2006, P, DJ de 17-11-2006 Ação cível originária. Competência do STF. Conflito federativo. CPI da Assembleia Legislativa do Estado do Rio de Janeiro. Mandado de segurança impetrado pela Assembleia Legislativa do Estado do Rio de Janeiro contra a recusa, pelo Banco Central do Brasil, em atender pedido de dados protegidos por sigilo bancário. Impetração dirigida ao STF e autuada como ação cível originária, com fundamento no art. 102, f, da CF. Questão de ordem resolvida para declarar competente o STF para julgar a impetração.</w:t>
      </w:r>
    </w:p>
    <w:p>
      <w:pPr>
        <w:ind w:left="288"/>
      </w:pPr>
      <w:r>
        <w:rPr>
          <w:b/>
          <w:color w:val="003CA0"/>
          <w:sz w:val="16"/>
        </w:rPr>
        <w:t>[ACO 730 QO, rel. min. Joaquim Barbosa, j. 26-8-2004, P, DJ de 1º-10-2004.]</w:t>
      </w:r>
    </w:p>
    <w:p>
      <w:pPr>
        <w:ind w:left="288"/>
      </w:pPr>
      <w:r>
        <w:rPr>
          <w:color w:val="8C8C8C"/>
          <w:sz w:val="12"/>
        </w:rPr>
        <w:t>cf-art-102-inc-I-ali-f</w:t>
      </w:r>
      <w:r>
        <w:rPr>
          <w:color w:val="003CA0"/>
          <w:sz w:val="12"/>
        </w:rPr>
        <w:t xml:space="preserve"> | ACO 641</w:t>
      </w:r>
      <w:r>
        <w:rPr>
          <w:color w:val="003CA0"/>
          <w:sz w:val="12"/>
        </w:rPr>
        <w:t xml:space="preserve"> | rel. Celso de Mello</w:t>
      </w:r>
    </w:p>
    <w:p>
      <w:pPr>
        <w:ind w:left="288"/>
      </w:pPr>
      <w:r>
        <w:rPr>
          <w:color w:val="1E1E1E"/>
          <w:sz w:val="18"/>
        </w:rPr>
        <w:t>O STF não dispõe de competência originária para processar e julgar causas instauradas, contra Estado-membro, por iniciativa de autarquia federal, especialmente se esta dispuser de "estrutura regional de representação no território estadual respectivo" (RTJ 133/1059), pois, em tal hipótese, revela-se inaplicável a norma inscrita no art. 102, I, f, da CF, eis que ausente qualquer situação capaz de introduzir instabilidade no equilíbrio federativo ou de ocasionar ruptura da necessária harmonia entre as entidades integrantes do Estado Federal.</w:t>
      </w:r>
    </w:p>
    <w:p>
      <w:pPr>
        <w:ind w:left="288"/>
      </w:pPr>
      <w:r>
        <w:rPr>
          <w:b/>
          <w:color w:val="003CA0"/>
          <w:sz w:val="16"/>
        </w:rPr>
        <w:t>[ACO 641 AgR, rel. min. Celso de Mello, j. 24-4-2003, P, DJ de 3-6-2005.]</w:t>
      </w:r>
    </w:p>
    <w:p>
      <w:pPr>
        <w:ind w:left="288"/>
      </w:pPr>
      <w:r>
        <w:rPr>
          <w:color w:val="8C8C8C"/>
          <w:sz w:val="12"/>
        </w:rPr>
        <w:t>cf-art-102-inc-I-ali-f</w:t>
      </w:r>
      <w:r>
        <w:rPr>
          <w:color w:val="003CA0"/>
          <w:sz w:val="12"/>
        </w:rPr>
        <w:t xml:space="preserve"> | ACO 1.508</w:t>
      </w:r>
      <w:r>
        <w:rPr>
          <w:color w:val="003CA0"/>
          <w:sz w:val="12"/>
        </w:rPr>
        <w:t xml:space="preserve"> | rel. Marco Aurélio</w:t>
      </w:r>
    </w:p>
    <w:p>
      <w:pPr>
        <w:ind w:left="288"/>
      </w:pPr>
      <w:r>
        <w:rPr>
          <w:color w:val="1E1E1E"/>
          <w:sz w:val="18"/>
        </w:rPr>
        <w:t>= ACO 1.508, rel. min. Marco Aurélio, j. 23-3-2012, dec. monocrática, DJE de 30-3-2012 O STF não dispõe de competência originária para processar e julgar causas instauradas, contra Estado-membro, por iniciativa de sociedade de economia mista cujo acionista controlador seja o Distrito Federal, pois, em tal hipótese, revela-se inaplicável a norma inscrita no art. 102, I, f, da CF, eis que ausente qualquer situação capaz de introduzir instabilidade no equilíbrio federativo ou de ocasionar ruptura da necessária harmonia entre as entidades integrantes do Estado Federal. Precedentes.</w:t>
      </w:r>
    </w:p>
    <w:p>
      <w:pPr>
        <w:ind w:left="288"/>
      </w:pPr>
      <w:r>
        <w:rPr>
          <w:b/>
          <w:color w:val="003CA0"/>
          <w:sz w:val="16"/>
        </w:rPr>
        <w:t>[ACO 597 AgR, rel. min. Celso de Mello, j. 3-10-2002, P, DJ de 10-8-2006.]</w:t>
      </w:r>
    </w:p>
    <w:p>
      <w:pPr>
        <w:ind w:left="288"/>
      </w:pPr>
      <w:r>
        <w:rPr>
          <w:color w:val="8C8C8C"/>
          <w:sz w:val="12"/>
        </w:rPr>
        <w:t>cf-art-102-inc-I-ali-f</w:t>
      </w:r>
      <w:r>
        <w:rPr>
          <w:color w:val="003CA0"/>
          <w:sz w:val="12"/>
        </w:rPr>
        <w:t xml:space="preserve"> | MS 23.482</w:t>
      </w:r>
      <w:r>
        <w:rPr>
          <w:color w:val="003CA0"/>
          <w:sz w:val="12"/>
        </w:rPr>
        <w:t xml:space="preserve"> | rel. Ilmar Galvão</w:t>
      </w:r>
    </w:p>
    <w:p>
      <w:pPr>
        <w:ind w:left="288"/>
      </w:pPr>
      <w:r>
        <w:rPr>
          <w:color w:val="1E1E1E"/>
          <w:sz w:val="18"/>
        </w:rPr>
        <w:t>Competência originária do STF. Conflito federativo (art. 102, I, f, da CF). Hipótese excepcional de competência originária do STF, relativa a causas que envolvam possíveis violações ao princípio federativo, o que não ocorre no caso dos autos, em que assembleia legislativa estadual contende com autarquia federal.</w:t>
      </w:r>
    </w:p>
    <w:p>
      <w:pPr>
        <w:ind w:left="288"/>
      </w:pPr>
      <w:r>
        <w:rPr>
          <w:b/>
          <w:color w:val="003CA0"/>
          <w:sz w:val="16"/>
        </w:rPr>
        <w:t>[MS 23.482 QO, rel. min. Ilmar Galvão, j. 20-2-2002, P, DJ de 5-4-2002.]</w:t>
      </w:r>
    </w:p>
    <w:p>
      <w:pPr>
        <w:ind w:left="288"/>
      </w:pPr>
      <w:r>
        <w:rPr>
          <w:color w:val="8C8C8C"/>
          <w:sz w:val="12"/>
        </w:rPr>
        <w:t>cf-art-102-inc-I-ali-f</w:t>
      </w:r>
      <w:r>
        <w:rPr>
          <w:color w:val="003CA0"/>
          <w:sz w:val="12"/>
        </w:rPr>
        <w:t xml:space="preserve"> | ACO 521-1</w:t>
      </w:r>
      <w:r>
        <w:rPr>
          <w:color w:val="003CA0"/>
          <w:sz w:val="12"/>
        </w:rPr>
        <w:t xml:space="preserve"> | rel. Marco Aurélio</w:t>
      </w:r>
    </w:p>
    <w:p>
      <w:pPr>
        <w:ind w:left="288"/>
      </w:pPr>
      <w:r>
        <w:rPr>
          <w:color w:val="1E1E1E"/>
          <w:sz w:val="18"/>
        </w:rPr>
        <w:t>Competência. Causas e conflitos entre a União e os Estados, a União e o Distrito Federal, ou entre uns e outros. Assistência simples. Revelando-se a hipótese como configuradora de assistência simples, descabe cogitar da incidência do disposto na alínea f do inciso I do art. 102 da CF. Precedente: ACO 521-1/PA, relatada pelo ministro Sydney Sanches, DJ de 16-8-1999.</w:t>
      </w:r>
    </w:p>
    <w:p>
      <w:pPr>
        <w:ind w:left="288"/>
      </w:pPr>
      <w:r>
        <w:rPr>
          <w:b/>
          <w:color w:val="003CA0"/>
          <w:sz w:val="16"/>
        </w:rPr>
        <w:t>[ACO 487 QO, rel. min. Marco Aurélio, j. 18-10-2001, P, DJ de 1º-3-2002.]</w:t>
      </w:r>
    </w:p>
    <w:p>
      <w:pPr>
        <w:ind w:left="288"/>
      </w:pPr>
      <w:r>
        <w:rPr>
          <w:color w:val="8C8C8C"/>
          <w:sz w:val="12"/>
        </w:rPr>
        <w:t>cf-art-102-inc-I-ali-f</w:t>
      </w:r>
      <w:r>
        <w:rPr>
          <w:color w:val="003CA0"/>
          <w:sz w:val="12"/>
        </w:rPr>
        <w:t xml:space="preserve"> | ACO 1.405</w:t>
      </w:r>
      <w:r>
        <w:rPr>
          <w:color w:val="003CA0"/>
          <w:sz w:val="12"/>
        </w:rPr>
        <w:t xml:space="preserve"> | rel. Ellen Gracie</w:t>
      </w:r>
    </w:p>
    <w:p>
      <w:pPr>
        <w:ind w:left="288"/>
      </w:pPr>
      <w:r>
        <w:rPr>
          <w:color w:val="1E1E1E"/>
          <w:sz w:val="18"/>
        </w:rPr>
        <w:t>= ACO 1.405 AgR, rel. min. Ellen Gracie, j. 18-8-2010, P, DJE de 3-9-2010 Litígio entre autarquia federal e Estado-membro sobre propriedade de terras devolutas. Questão de ordem. Litígio dessa natureza envolve questão que diz respeito diretamente ao equilíbrio federativo, sendo, portanto, causa que inequivocamente é da competência originária desta Corte na posição de Tribunal da Federação que lhe outorga o art. 102, I, f, da CF.</w:t>
      </w:r>
    </w:p>
    <w:p>
      <w:pPr>
        <w:ind w:left="288"/>
      </w:pPr>
      <w:r>
        <w:rPr>
          <w:b/>
          <w:color w:val="003CA0"/>
          <w:sz w:val="16"/>
        </w:rPr>
        <w:t>[ACO 477 QO, rel. min. Moreira Alves, j. 18-10-1995, P, DJ de 24-11-1995.]</w:t>
      </w:r>
    </w:p>
    <w:p>
      <w:pPr>
        <w:ind w:left="288"/>
      </w:pPr>
      <w:r>
        <w:rPr>
          <w:color w:val="8C8C8C"/>
          <w:sz w:val="12"/>
        </w:rPr>
        <w:t>cf-art-102-inc-I-ali-f</w:t>
      </w:r>
      <w:r>
        <w:rPr>
          <w:color w:val="003CA0"/>
          <w:sz w:val="12"/>
        </w:rPr>
        <w:t xml:space="preserve"> | MS 22.042</w:t>
      </w:r>
      <w:r>
        <w:rPr>
          <w:color w:val="003CA0"/>
          <w:sz w:val="12"/>
        </w:rPr>
        <w:t xml:space="preserve"> | rel. Moreira Alves</w:t>
      </w:r>
    </w:p>
    <w:p>
      <w:pPr>
        <w:ind w:left="288"/>
      </w:pPr>
      <w:r>
        <w:rPr>
          <w:color w:val="1E1E1E"/>
          <w:sz w:val="18"/>
        </w:rPr>
        <w:t>Tendo sido o presente mandado de segurança impetrado, por se tratar de ato complexo, contra o governador e o Tribunal do Estado de Roraima, bem como contra o MPDFT, e versando ele a questão de saber se a competência para a constituição da lista sêxtupla é do impetrante – o Ministério Público desse Estado – ou de um dos impetrados – o MPDFT–, não há dúvida de que, nos termos da impetração da segurança, há causa entre órgão de um Estado-membro e órgão do Distrito Federal, configurando-se, assim, hipótese prevista na competência originária desta Corte (art. 102, I, f, da CF), uma vez que o litígi</w:t>
      </w:r>
    </w:p>
    <w:p>
      <w:pPr>
        <w:ind w:left="288"/>
      </w:pPr>
      <w:r>
        <w:rPr>
          <w:b/>
          <w:color w:val="003CA0"/>
          <w:sz w:val="16"/>
        </w:rPr>
        <w:t>[MS 22.042 QO, rel. min. Moreira Alves, j. 22-2-1995, P, DJ de 24-3-1995.]</w:t>
      </w:r>
    </w:p>
    <w:p>
      <w:pPr>
        <w:ind w:left="288"/>
      </w:pPr>
      <w:r>
        <w:rPr>
          <w:color w:val="8C8C8C"/>
          <w:sz w:val="12"/>
        </w:rPr>
        <w:t>cf-art-102-inc-I-ali-f</w:t>
      </w:r>
      <w:r>
        <w:rPr>
          <w:color w:val="003CA0"/>
          <w:sz w:val="12"/>
        </w:rPr>
        <w:t xml:space="preserve"> | ACO 359</w:t>
      </w:r>
      <w:r>
        <w:rPr>
          <w:color w:val="003CA0"/>
          <w:sz w:val="12"/>
        </w:rPr>
        <w:t xml:space="preserve"> | rel. Celso de Mello</w:t>
      </w:r>
    </w:p>
    <w:p>
      <w:pPr>
        <w:ind w:left="288"/>
      </w:pPr>
      <w:r>
        <w:rPr>
          <w:color w:val="1E1E1E"/>
          <w:sz w:val="18"/>
        </w:rPr>
        <w:t>A jurisprudência do STF, na definição do alcance dessa regra de competência originária da Corte, tem enfatizado o seu caráter de absoluta excepcionalidade, restringindo a sua incidência às hipóteses de litígios cuja potencialidade ofensiva revele-se apta a vulnerar os valores que informam o princípio fundamental que rege, em nosso ordenamento jurídico, o pacto da Federação. Ausente qualquer situação que introduza a instabilidade no equilíbrio federativo ou que ocasione a ruptura da harmonia que deve prevalecer nas relações entre as entidades integrantes do Estado Federal, deixa de incidir, ant</w:t>
      </w:r>
    </w:p>
    <w:p>
      <w:pPr>
        <w:ind w:left="288"/>
      </w:pPr>
      <w:r>
        <w:rPr>
          <w:b/>
          <w:color w:val="003CA0"/>
          <w:sz w:val="16"/>
        </w:rPr>
        <w:t>[ACO 359 QO, rel. min. Celso de Mello, j. 4-8-1993, P, DJ de 11-3-1994.]</w:t>
      </w:r>
    </w:p>
    <w:p>
      <w:pPr>
        <w:ind w:left="288"/>
      </w:pPr>
      <w:r>
        <w:rPr>
          <w:color w:val="8C8C8C"/>
          <w:sz w:val="12"/>
        </w:rPr>
        <w:t>cf-art-102-inc-I-ali-f</w:t>
      </w:r>
      <w:r>
        <w:rPr>
          <w:color w:val="003CA0"/>
          <w:sz w:val="12"/>
        </w:rPr>
        <w:t xml:space="preserve"> | ACO 1.551</w:t>
      </w:r>
      <w:r>
        <w:rPr>
          <w:color w:val="003CA0"/>
          <w:sz w:val="12"/>
        </w:rPr>
        <w:t xml:space="preserve"> | rel. Luiz Fux</w:t>
      </w:r>
    </w:p>
    <w:p>
      <w:pPr>
        <w:ind w:left="288"/>
      </w:pPr>
      <w:r>
        <w:rPr>
          <w:color w:val="1E1E1E"/>
          <w:sz w:val="18"/>
        </w:rPr>
        <w:t>= ACO 1.551 AgR, rel. min. Luiz Fux, j. 29-2-2012, P, DJE de 20-3-2012 Vide ACO 622 QO, red. do ac. min. Ricardo Lewandowski, j. 7-11-2007, P, DJE de 15-2-2008 Ação cívil originária. CF, art. 102, I, f. Competência. Questão de ordem. Segundo inúmeros precedentes da Corte, mantidos no regime constitucional vigente, não compete ao STF processar e julgar, originariamente, ação proposta por autarquia federal contra o Distrito Federal, quando neste, aquela tiver a sua sede. Incompetência do STF. Remessa dos autos ao juízo de origem, que procederá como entender de direito.</w:t>
      </w:r>
    </w:p>
    <w:p>
      <w:pPr>
        <w:ind w:left="288"/>
      </w:pPr>
      <w:r>
        <w:rPr>
          <w:b/>
          <w:color w:val="003CA0"/>
          <w:sz w:val="16"/>
        </w:rPr>
        <w:t>[ACO 406 QO, rel. min. Célio Borja, j. 17-5-1990, P, DJ de 8-6-1990.]</w:t>
      </w:r>
    </w:p>
    <w:p>
      <w:pPr>
        <w:ind w:left="144"/>
      </w:pPr>
      <w:r>
        <w:rPr>
          <w:b/>
          <w:color w:val="B45A00"/>
          <w:sz w:val="16"/>
        </w:rPr>
        <w:t>SUMULA</w:t>
      </w:r>
    </w:p>
    <w:p>
      <w:pPr>
        <w:ind w:left="288"/>
      </w:pPr>
      <w:r>
        <w:rPr>
          <w:color w:val="8C8C8C"/>
          <w:sz w:val="12"/>
        </w:rPr>
        <w:t>cf-art-102-inc-I-ali-g</w:t>
      </w:r>
    </w:p>
    <w:p>
      <w:pPr>
        <w:ind w:left="288"/>
      </w:pPr>
      <w:r>
        <w:rPr>
          <w:color w:val="1E1E1E"/>
          <w:sz w:val="18"/>
        </w:rPr>
        <w:t>Não se conhece de habeas corpus contra omissão de relator de extradição, se fundado em fato ou direito estrangeiro cuja prova não constava dos autos, nem foi ele provocado a respeito.</w:t>
      </w:r>
    </w:p>
    <w:p>
      <w:pPr>
        <w:ind w:left="288"/>
      </w:pPr>
      <w:r>
        <w:rPr>
          <w:b/>
          <w:color w:val="003CA0"/>
          <w:sz w:val="16"/>
        </w:rPr>
        <w:t>[Súmula 692.]</w:t>
      </w:r>
    </w:p>
    <w:p>
      <w:pPr>
        <w:ind w:left="288"/>
      </w:pPr>
      <w:r>
        <w:rPr>
          <w:color w:val="8C8C8C"/>
          <w:sz w:val="12"/>
        </w:rPr>
        <w:t>cf-art-102-inc-I-ali-g</w:t>
      </w:r>
    </w:p>
    <w:p>
      <w:pPr>
        <w:ind w:left="288"/>
      </w:pPr>
      <w:r>
        <w:rPr>
          <w:color w:val="1E1E1E"/>
          <w:sz w:val="18"/>
        </w:rPr>
        <w:t>Não impede a extradição a circunstância de ser o extraditando casado com brasileira ou ter filho brasileiro.</w:t>
      </w:r>
    </w:p>
    <w:p>
      <w:pPr>
        <w:ind w:left="288"/>
      </w:pPr>
      <w:r>
        <w:rPr>
          <w:b/>
          <w:color w:val="003CA0"/>
          <w:sz w:val="16"/>
        </w:rPr>
        <w:t>[Súmula 421.]</w:t>
      </w:r>
    </w:p>
    <w:p>
      <w:pPr>
        <w:ind w:left="288"/>
      </w:pPr>
      <w:r>
        <w:rPr>
          <w:color w:val="8C8C8C"/>
          <w:sz w:val="12"/>
        </w:rPr>
        <w:t>cf-art-102-inc-I-ali-g</w:t>
      </w:r>
    </w:p>
    <w:p>
      <w:pPr>
        <w:ind w:left="288"/>
      </w:pPr>
      <w:r>
        <w:rPr>
          <w:color w:val="1E1E1E"/>
          <w:sz w:val="18"/>
        </w:rPr>
        <w:t>Concede-se liberdade ao extraditando que não for retirado do país no prazo do art. 16 do DL 394, de 28-4-1938.</w:t>
      </w:r>
    </w:p>
    <w:p>
      <w:pPr>
        <w:ind w:left="288"/>
      </w:pPr>
      <w:r>
        <w:rPr>
          <w:b/>
          <w:color w:val="003CA0"/>
          <w:sz w:val="16"/>
        </w:rPr>
        <w:t>[Súmula 367.]</w:t>
      </w:r>
    </w:p>
    <w:p>
      <w:pPr>
        <w:ind w:left="144"/>
      </w:pPr>
      <w:r>
        <w:rPr>
          <w:b/>
          <w:color w:val="B45A00"/>
          <w:sz w:val="16"/>
        </w:rPr>
        <w:t>JULGADOS CORRELATOS</w:t>
      </w:r>
    </w:p>
    <w:p>
      <w:pPr>
        <w:ind w:left="288"/>
      </w:pPr>
      <w:r>
        <w:rPr>
          <w:color w:val="8C8C8C"/>
          <w:sz w:val="12"/>
        </w:rPr>
        <w:t>cf-art-102-inc-I-ali-g</w:t>
      </w:r>
      <w:r>
        <w:rPr>
          <w:color w:val="003CA0"/>
          <w:sz w:val="12"/>
        </w:rPr>
        <w:t xml:space="preserve"> | rel. Celso de Mello</w:t>
      </w:r>
    </w:p>
    <w:p>
      <w:pPr>
        <w:ind w:left="288"/>
      </w:pPr>
      <w:r>
        <w:rPr>
          <w:color w:val="1E1E1E"/>
          <w:sz w:val="18"/>
        </w:rPr>
        <w:t>Possibilidade jurídica da aplicação retroativa dos tratados de extradição (pelo fato de que tais convenções internacionais não tipificam crimes nem cominam penas) a eventos delituosos perpetrados antes de sua celebração ou promulgação. Reconhecimento da legitimidade dessa eficácia retroativa, desde que excepcionalmente prevista no próprio tratado de extradição.</w:t>
      </w:r>
    </w:p>
    <w:p>
      <w:pPr>
        <w:ind w:left="288"/>
      </w:pPr>
      <w:r>
        <w:rPr>
          <w:b/>
          <w:color w:val="003CA0"/>
          <w:sz w:val="16"/>
        </w:rPr>
        <w:t>[PPE 769, rel. min. Celso de Mello, j. 18-2-2016, dec. monocrática, DJE de 24-2-2016.]</w:t>
      </w:r>
    </w:p>
    <w:p>
      <w:pPr>
        <w:ind w:left="288"/>
      </w:pPr>
      <w:r>
        <w:rPr>
          <w:color w:val="8C8C8C"/>
          <w:sz w:val="12"/>
        </w:rPr>
        <w:t>cf-art-102-inc-I-ali-g</w:t>
      </w:r>
      <w:r>
        <w:rPr>
          <w:color w:val="003CA0"/>
          <w:sz w:val="12"/>
        </w:rPr>
        <w:t xml:space="preserve"> | EXT 1.234</w:t>
      </w:r>
      <w:r>
        <w:rPr>
          <w:color w:val="003CA0"/>
          <w:sz w:val="12"/>
        </w:rPr>
        <w:t xml:space="preserve"> | rel. Dias Toffoli</w:t>
      </w:r>
    </w:p>
    <w:p>
      <w:pPr>
        <w:ind w:left="288"/>
      </w:pPr>
      <w:r>
        <w:rPr>
          <w:color w:val="1E1E1E"/>
          <w:sz w:val="18"/>
        </w:rPr>
        <w:t xml:space="preserve">Preliminar de incompetência de órgão fracionário da Corte para julgar pedido de extradição, frente ao comando do art. 83 da Lei 6.815/1980. Não ocorrência. Alteração da competência por edição de emenda regimental que atendeu aos ditames do art. 102, I, g, c/c o art. 96, I, a, da CF. (...) A Emenda Regimental 45/2011 não representa ofensa ao art. 83 da Lei 6.815/1980, uma vez que atendeu aos ditames constitucionais do art. 102, I, g – que fixou, sem qualquer distinção dos seus órgãos de julgamento, a competência do STF para a análise de extradição solicitada por Estado estrangeiro – c/c o art. </w:t>
      </w:r>
    </w:p>
    <w:p>
      <w:pPr>
        <w:ind w:left="288"/>
      </w:pPr>
      <w:r>
        <w:rPr>
          <w:b/>
          <w:color w:val="003CA0"/>
          <w:sz w:val="16"/>
        </w:rPr>
        <w:t>[Ext 1.234 Extn-segunda, rel. min. Dias Toffoli, j. 30-9-2014, 1ª T, DJE de 17-11-2014.]</w:t>
      </w:r>
    </w:p>
    <w:p>
      <w:pPr>
        <w:ind w:left="288"/>
      </w:pPr>
      <w:r>
        <w:rPr>
          <w:color w:val="8C8C8C"/>
          <w:sz w:val="12"/>
        </w:rPr>
        <w:t>cf-art-102-inc-I-ali-g</w:t>
      </w:r>
      <w:r>
        <w:rPr>
          <w:color w:val="003CA0"/>
          <w:sz w:val="12"/>
        </w:rPr>
        <w:t xml:space="preserve"> | RCL 11.243</w:t>
      </w:r>
    </w:p>
    <w:p>
      <w:pPr>
        <w:ind w:left="288"/>
      </w:pPr>
      <w:r>
        <w:rPr>
          <w:color w:val="1E1E1E"/>
          <w:sz w:val="18"/>
        </w:rPr>
        <w:t>O descumprimento do tratado, em tese, gera uma lide entre Estados soberanos, cuja resolução não compete ao STF, que não exerce soberania internacional, máxime para impor a vontade da República italiana ao chefe de Estado brasileiro, cogitando-se de mediação da Corte Internacional de Haia, nos termos do art. 92 da Carta das Nações Unidas de 1945. O sistema "belga" ou "da contenciosidade limitada", adotado pelo Brasil, investe o STF na categoria de órgão juridicamente existente apenas no âmbito do direito interno, devendo, portanto, adstringir-se a examinar a legalidade da extradição; é dizer, s</w:t>
      </w:r>
    </w:p>
    <w:p>
      <w:pPr>
        <w:ind w:left="288"/>
      </w:pPr>
      <w:r>
        <w:rPr>
          <w:b/>
          <w:color w:val="003CA0"/>
          <w:sz w:val="16"/>
        </w:rPr>
        <w:t>[Rcl 11.243, red. do ac. min. Luiz Fux, j. 8-6-2011, P, DJE de 5-10-2011.]</w:t>
      </w:r>
    </w:p>
    <w:p>
      <w:pPr>
        <w:ind w:left="288"/>
      </w:pPr>
      <w:r>
        <w:rPr>
          <w:color w:val="8C8C8C"/>
          <w:sz w:val="12"/>
        </w:rPr>
        <w:t>cf-art-102-inc-I-ali-g</w:t>
      </w:r>
      <w:r>
        <w:rPr>
          <w:color w:val="003CA0"/>
          <w:sz w:val="12"/>
        </w:rPr>
        <w:t xml:space="preserve"> | EXT 1.085</w:t>
      </w:r>
      <w:r>
        <w:rPr>
          <w:color w:val="003CA0"/>
          <w:sz w:val="12"/>
        </w:rPr>
        <w:t xml:space="preserve"> | rel. Cezar Peluso</w:t>
      </w:r>
    </w:p>
    <w:p>
      <w:pPr>
        <w:ind w:left="288"/>
      </w:pPr>
      <w:r>
        <w:rPr>
          <w:color w:val="1E1E1E"/>
          <w:sz w:val="18"/>
        </w:rPr>
        <w:t xml:space="preserve">Como já acentuei, da atribuição prevista no art. 102, I, g, da Constituição da República, deflui, logo, que, enquanto objeto necessário da cognição imanente à competência constitucional reservada à jurisdição desta Corte, lhe toca apreciar, com inteira exclusividade, todas as questões relativas à existência de fatos configuradores de causas intrínsecas de não extradição, assim consideradas as que, não correspondendo a nenhuma das taxativas hipóteses legais de concessão de refúgio, submissas todas a juízo administrativo privativo, mas vinculado, impedem deferimento da extradição solicitada por </w:t>
      </w:r>
    </w:p>
    <w:p>
      <w:pPr>
        <w:ind w:left="288"/>
      </w:pPr>
      <w:r>
        <w:rPr>
          <w:b/>
          <w:color w:val="003CA0"/>
          <w:sz w:val="16"/>
        </w:rPr>
        <w:t>[Ext 1.085, voto do rel. min. Cezar Peluso, j. 16-12-2009, P, DJE de 16-4-2010.]</w:t>
      </w:r>
    </w:p>
    <w:p>
      <w:pPr>
        <w:ind w:left="288"/>
      </w:pPr>
      <w:r>
        <w:rPr>
          <w:color w:val="8C8C8C"/>
          <w:sz w:val="12"/>
        </w:rPr>
        <w:t>cf-art-102-inc-I-ali-g</w:t>
      </w:r>
      <w:r>
        <w:rPr>
          <w:color w:val="003CA0"/>
          <w:sz w:val="12"/>
        </w:rPr>
        <w:t xml:space="preserve"> | EXT 1.121</w:t>
      </w:r>
      <w:r>
        <w:rPr>
          <w:color w:val="003CA0"/>
          <w:sz w:val="12"/>
        </w:rPr>
        <w:t xml:space="preserve"> | rel. Celso de Mello</w:t>
      </w:r>
    </w:p>
    <w:p>
      <w:pPr>
        <w:ind w:left="288"/>
      </w:pPr>
      <w:r>
        <w:rPr>
          <w:color w:val="1E1E1E"/>
          <w:sz w:val="18"/>
        </w:rPr>
        <w:t>A prisão do súdito estrangeiro constitui pressuposto indispensável ao regular processamento da ação de extradição passiva, sendo-lhe inaplicáveis, para efeito de sua válida decretação, os pressupostos e os fundamentos referidos no art. 312 do CPP. A privação cautelar da liberdade individual do extraditando deve perdurar até o julgamento final, pelo STF, do pedido de extradição, vedada, em regra, a adoção de meios alternativos que a substituam, como a prisão domiciliar, a prisão-albergue ou a liberdade vigiada (Lei 6.815/1980, art. 84, parágrafo único). (...) A prisão cautelar, para efeitos ext</w:t>
      </w:r>
    </w:p>
    <w:p>
      <w:pPr>
        <w:ind w:left="288"/>
      </w:pPr>
      <w:r>
        <w:rPr>
          <w:b/>
          <w:color w:val="003CA0"/>
          <w:sz w:val="16"/>
        </w:rPr>
        <w:t>[Ext 1.121 AgR, rel. min. Celso de Mello, j. 4-9-2008, P, DJE de 17-4-2009.]</w:t>
      </w:r>
    </w:p>
    <w:p>
      <w:pPr>
        <w:ind w:left="288"/>
      </w:pPr>
      <w:r>
        <w:rPr>
          <w:color w:val="8C8C8C"/>
          <w:sz w:val="12"/>
        </w:rPr>
        <w:t>cf-art-102-inc-I-ali-g</w:t>
      </w:r>
      <w:r>
        <w:rPr>
          <w:color w:val="003CA0"/>
          <w:sz w:val="12"/>
        </w:rPr>
        <w:t xml:space="preserve"> | EXT 1.035</w:t>
      </w:r>
      <w:r>
        <w:rPr>
          <w:color w:val="003CA0"/>
          <w:sz w:val="12"/>
        </w:rPr>
        <w:t xml:space="preserve"> | rel. Ellen Gracie</w:t>
      </w:r>
    </w:p>
    <w:p>
      <w:pPr>
        <w:ind w:left="288"/>
      </w:pPr>
      <w:r>
        <w:rPr>
          <w:color w:val="1E1E1E"/>
          <w:sz w:val="18"/>
        </w:rPr>
        <w:t>= Ext 1.035 AgR, rel. min. Ellen Gracie, j. 17-12-2009, P, DJE de 26-2-2010 A ação de extradição passiva não confere, ordinariamente, ao STF, qualquer poder de indagação sobre o mérito da pretensão deduzida pelo Estado requerente ou sobre o contexto probatório em que a postulação extradicional se apoia, não cabendo, ainda, a esta Corte Suprema, o exame da negativa de autoria invocada pelo extraditando em sua defesa. Precedentes. Doutrina. O sistema de contenciosidade limitada, que caracteriza o regime jurídico da extradição passiva no direito positivo brasileiro, não permite qualquer indagação</w:t>
      </w:r>
    </w:p>
    <w:p>
      <w:pPr>
        <w:ind w:left="288"/>
      </w:pPr>
      <w:r>
        <w:rPr>
          <w:b/>
          <w:color w:val="003CA0"/>
          <w:sz w:val="16"/>
        </w:rPr>
        <w:t>[Ext 1.082, rel. min. Celso de Mello, j. 19-6-2008, P, DJE de 8-8-2008.]</w:t>
      </w:r>
    </w:p>
    <w:p>
      <w:pPr>
        <w:ind w:left="288"/>
      </w:pPr>
      <w:r>
        <w:rPr>
          <w:color w:val="8C8C8C"/>
          <w:sz w:val="12"/>
        </w:rPr>
        <w:t>cf-art-102-inc-I-ali-g</w:t>
      </w:r>
      <w:r>
        <w:rPr>
          <w:color w:val="003CA0"/>
          <w:sz w:val="12"/>
        </w:rPr>
        <w:t xml:space="preserve"> | EXT 1.121</w:t>
      </w:r>
      <w:r>
        <w:rPr>
          <w:color w:val="003CA0"/>
          <w:sz w:val="12"/>
        </w:rPr>
        <w:t xml:space="preserve"> | rel. Celso de Mello</w:t>
      </w:r>
    </w:p>
    <w:p>
      <w:pPr>
        <w:ind w:left="288"/>
      </w:pPr>
      <w:r>
        <w:rPr>
          <w:color w:val="1E1E1E"/>
          <w:sz w:val="18"/>
        </w:rPr>
        <w:t>= Ext 1.121, rel. min. Celso de Mello, j. 18-12-2009, P, DJE de 25-6-2010 A inexistência de tratado de extradição não impede a formulação e o eventual atendimento do pleito extradicional, desde que o Estado requerente prometa reciprocidade de tratamento ao Brasil, mediante expediente (Nota Verbal) formalmente transmitido por via diplomática. (...) A essencialidade da cooperação internacional na repressão penal aos delitos comuns não exonera o Estado brasileiro – e, em particular, o STF – de velar pelo respeito aos direitos fundamentais do súdito estrangeiro que venha a sofrer, em nosso país, p</w:t>
      </w:r>
    </w:p>
    <w:p>
      <w:pPr>
        <w:ind w:left="288"/>
      </w:pPr>
      <w:r>
        <w:rPr>
          <w:b/>
          <w:color w:val="003CA0"/>
          <w:sz w:val="16"/>
        </w:rPr>
        <w:t>[Ext 1.074, rel. min. Celso de Mello, j. 27-3-2008, P, DJE de 13-6-2008.]</w:t>
      </w:r>
    </w:p>
    <w:p>
      <w:pPr>
        <w:ind w:left="288"/>
      </w:pPr>
      <w:r>
        <w:rPr>
          <w:color w:val="8C8C8C"/>
          <w:sz w:val="12"/>
        </w:rPr>
        <w:t>cf-art-102-inc-I-ali-g</w:t>
      </w:r>
      <w:r>
        <w:rPr>
          <w:color w:val="003CA0"/>
          <w:sz w:val="12"/>
        </w:rPr>
        <w:t xml:space="preserve"> | HC 76.628</w:t>
      </w:r>
      <w:r>
        <w:rPr>
          <w:color w:val="003CA0"/>
          <w:sz w:val="12"/>
        </w:rPr>
        <w:t xml:space="preserve"> | rel. Moreira Alves</w:t>
      </w:r>
    </w:p>
    <w:p>
      <w:pPr>
        <w:ind w:left="288"/>
      </w:pPr>
      <w:r>
        <w:rPr>
          <w:color w:val="1E1E1E"/>
          <w:sz w:val="18"/>
        </w:rPr>
        <w:t>Habeas corpus. Não conhecimento. Precedente da Corte. A Corte assentou que não se conhece de habeas corpus quando se trate de extradição, "que é processo sujeito à jurisdição única desta Corte, mas que não tem por objeto crime sujeito à jurisdição dela em uma única instância" (HC 76.628 QO/DF, Tribunal Pleno, rel. min. Moreira Alves, DJ de 12-6-1998).</w:t>
      </w:r>
    </w:p>
    <w:p>
      <w:pPr>
        <w:ind w:left="288"/>
      </w:pPr>
      <w:r>
        <w:rPr>
          <w:b/>
          <w:color w:val="003CA0"/>
          <w:sz w:val="16"/>
        </w:rPr>
        <w:t>[HC 92.598, red. do ac. min. Menezes Direito, j. 13-12-2007, P, DJE de 1º-8-2008.]</w:t>
      </w:r>
    </w:p>
    <w:p>
      <w:pPr>
        <w:ind w:left="288"/>
      </w:pPr>
      <w:r>
        <w:rPr>
          <w:color w:val="8C8C8C"/>
          <w:sz w:val="12"/>
        </w:rPr>
        <w:t>cf-art-102-inc-I-ali-g</w:t>
      </w:r>
      <w:r>
        <w:rPr>
          <w:color w:val="003CA0"/>
          <w:sz w:val="12"/>
        </w:rPr>
        <w:t xml:space="preserve"> | EXT 932</w:t>
      </w:r>
      <w:r>
        <w:rPr>
          <w:color w:val="003CA0"/>
          <w:sz w:val="12"/>
        </w:rPr>
        <w:t xml:space="preserve"> | rel. Joaquim Barbosa</w:t>
      </w:r>
    </w:p>
    <w:p>
      <w:pPr>
        <w:ind w:left="288"/>
      </w:pPr>
      <w:r>
        <w:rPr>
          <w:color w:val="1E1E1E"/>
          <w:sz w:val="18"/>
        </w:rPr>
        <w:t>Não cabe a esta Corte examinar matéria atinente à eventual inimputabilidade do extraditando, pois no Brasil o processo extradicional se pauta pelo princípio da contenciosidade limitada. Cabe ao Estado requerente a análise sobre aplicação de pena ou medida de segurança ao extraditando.</w:t>
      </w:r>
    </w:p>
    <w:p>
      <w:pPr>
        <w:ind w:left="288"/>
      </w:pPr>
      <w:r>
        <w:rPr>
          <w:b/>
          <w:color w:val="003CA0"/>
          <w:sz w:val="16"/>
        </w:rPr>
        <w:t>[Ext 932, rel. min. Joaquim Barbosa, j. 10-10-2007, P, DJE de 28-3-2008.]</w:t>
      </w:r>
    </w:p>
    <w:p>
      <w:pPr>
        <w:ind w:left="288"/>
      </w:pPr>
      <w:r>
        <w:rPr>
          <w:color w:val="8C8C8C"/>
          <w:sz w:val="12"/>
        </w:rPr>
        <w:t>cf-art-102-inc-I-ali-g</w:t>
      </w:r>
      <w:r>
        <w:rPr>
          <w:color w:val="003CA0"/>
          <w:sz w:val="12"/>
        </w:rPr>
        <w:t xml:space="preserve"> | EXT 1.196</w:t>
      </w:r>
      <w:r>
        <w:rPr>
          <w:color w:val="003CA0"/>
          <w:sz w:val="12"/>
        </w:rPr>
        <w:t xml:space="preserve"> | rel. Dias Toffoli</w:t>
      </w:r>
    </w:p>
    <w:p>
      <w:pPr>
        <w:ind w:left="288"/>
      </w:pPr>
      <w:r>
        <w:rPr>
          <w:color w:val="1E1E1E"/>
          <w:sz w:val="18"/>
        </w:rPr>
        <w:t xml:space="preserve">= Ext 1.196, rel. min. Dias Toffoli, j. 16-6-2011, P, DJE de 26-9-2011 Extradição fundada na promessa de reciprocidade, ante a inexistência de tratado entre o Brasil e o Líbano. Incerteza, quanto ao cumprimento da promessa, gerada pelo texto do art. 30 do Código Penal libanês, segundo o qual "(n)inguém pode ser entregue a um Estado estrangeiro fora dos casos estabelecidos pelas disposições do presente código, se não é por aplicação de um tratado tendo força de lei". Hipótese em que a Missão Diplomática Libanesa, instada a esclarecer o alcance do preceito, permaneceu inerte. Sendo a extradição </w:t>
      </w:r>
    </w:p>
    <w:p>
      <w:pPr>
        <w:ind w:left="288"/>
      </w:pPr>
      <w:r>
        <w:rPr>
          <w:b/>
          <w:color w:val="003CA0"/>
          <w:sz w:val="16"/>
        </w:rPr>
        <w:t>[Ext 1.047, rel. min. Eros Grau, j. 10-10-2007, P, DJ de 14-11-2007.]</w:t>
      </w:r>
    </w:p>
    <w:p>
      <w:pPr>
        <w:ind w:left="288"/>
      </w:pPr>
      <w:r>
        <w:rPr>
          <w:color w:val="8C8C8C"/>
          <w:sz w:val="12"/>
        </w:rPr>
        <w:t>cf-art-102-inc-I-ali-g</w:t>
      </w:r>
      <w:r>
        <w:rPr>
          <w:color w:val="003CA0"/>
          <w:sz w:val="12"/>
        </w:rPr>
        <w:t xml:space="preserve"> | EXT 804</w:t>
      </w:r>
      <w:r>
        <w:rPr>
          <w:color w:val="003CA0"/>
          <w:sz w:val="12"/>
        </w:rPr>
        <w:t xml:space="preserve"> | rel. Celso de Mello</w:t>
      </w:r>
    </w:p>
    <w:p>
      <w:pPr>
        <w:ind w:left="288"/>
      </w:pPr>
      <w:r>
        <w:rPr>
          <w:color w:val="1E1E1E"/>
          <w:sz w:val="18"/>
        </w:rPr>
        <w:t>O Estado estrangeiro pode requerer a desistência da ação de extradição passiva, enquanto ainda não julgada, cabendo, em tal hipótese, ao Plenário do STF ou ao próprio relator da causa, a prática do ato de homologação dessa unilateral declaração de vontade. Se, no entanto, o pedido de extradição já houver sido apreciado e deferido, tornar-se-á lícito, ao Estado estrangeiro, desistir da execução da ordem extradicional, independentemente da existência, ou não, do trânsito em julgado da decisão plenária proferida pelo STF.</w:t>
      </w:r>
    </w:p>
    <w:p>
      <w:pPr>
        <w:ind w:left="288"/>
      </w:pPr>
      <w:r>
        <w:rPr>
          <w:b/>
          <w:color w:val="003CA0"/>
          <w:sz w:val="16"/>
        </w:rPr>
        <w:t>[Ext 804 QO, rel. min. Celso de Mello, j. 5-9-2002, P, DJ de 27-9-2002.]</w:t>
      </w:r>
    </w:p>
    <w:p>
      <w:pPr>
        <w:ind w:left="288"/>
      </w:pPr>
      <w:r>
        <w:rPr>
          <w:color w:val="8C8C8C"/>
          <w:sz w:val="12"/>
        </w:rPr>
        <w:t>cf-art-102-inc-I-ali-g</w:t>
      </w:r>
      <w:r>
        <w:rPr>
          <w:color w:val="003CA0"/>
          <w:sz w:val="12"/>
        </w:rPr>
        <w:t xml:space="preserve"> | EXT 1.098</w:t>
      </w:r>
      <w:r>
        <w:rPr>
          <w:color w:val="003CA0"/>
          <w:sz w:val="12"/>
        </w:rPr>
        <w:t xml:space="preserve"> | rel. Cezar Peluso</w:t>
      </w:r>
    </w:p>
    <w:p>
      <w:pPr>
        <w:ind w:left="288"/>
      </w:pPr>
      <w:r>
        <w:rPr>
          <w:color w:val="1E1E1E"/>
          <w:sz w:val="18"/>
        </w:rPr>
        <w:t>= Ext 1.098 QO, rel. min. Cezar Peluso, j. 24-4-2008, P, DJE de 27-6-2008 Extradição. Impossibilidade da renúncia ao benefício da lei. A concordância do extraditando em retornar ao seu país não dispensa o controle da legalidade do pedido pelo STF.</w:t>
      </w:r>
    </w:p>
    <w:p>
      <w:pPr>
        <w:ind w:left="288"/>
      </w:pPr>
      <w:r>
        <w:rPr>
          <w:b/>
          <w:color w:val="003CA0"/>
          <w:sz w:val="16"/>
        </w:rPr>
        <w:t>[Ext 643, rel. min. Francisco Rezek, j. 19-12-1994, P, DJ de 10-8-1995.]</w:t>
      </w:r>
    </w:p>
    <w:p>
      <w:pPr>
        <w:ind w:left="288"/>
      </w:pPr>
      <w:r>
        <w:rPr>
          <w:color w:val="8C8C8C"/>
          <w:sz w:val="12"/>
        </w:rPr>
        <w:t>cf-art-102-inc-I-ali-g</w:t>
      </w:r>
      <w:r>
        <w:rPr>
          <w:color w:val="003CA0"/>
          <w:sz w:val="12"/>
        </w:rPr>
        <w:t xml:space="preserve"> | EXT 568</w:t>
      </w:r>
      <w:r>
        <w:rPr>
          <w:color w:val="003CA0"/>
          <w:sz w:val="12"/>
        </w:rPr>
        <w:t xml:space="preserve"> | rel. Celso de Mello</w:t>
      </w:r>
    </w:p>
    <w:p>
      <w:pPr>
        <w:ind w:left="288"/>
      </w:pPr>
      <w:r>
        <w:rPr>
          <w:color w:val="1E1E1E"/>
          <w:sz w:val="18"/>
        </w:rPr>
        <w:t>O pedido extradicional, deduzido perante o Estado Brasileiro, constitui – quando instaurada a fase judicial de seu procedimento – ação de índole especial, de caráter constitutivo, que objetiva a formação de título jurídico apto a legitimar o Poder Executivo da União a efetivar, com fundamento em tratado internacional ou em compromisso de reciprocidade, a entrega do súdito reclamado.</w:t>
      </w:r>
    </w:p>
    <w:p>
      <w:pPr>
        <w:ind w:left="288"/>
      </w:pPr>
      <w:r>
        <w:rPr>
          <w:b/>
          <w:color w:val="003CA0"/>
          <w:sz w:val="16"/>
        </w:rPr>
        <w:t>[Ext 568 QO, rel. min. Celso de Mello, j. 22-4-1993, P, DJ de 7-5-1993.]</w:t>
      </w:r>
    </w:p>
    <w:p>
      <w:pPr>
        <w:ind w:left="288"/>
      </w:pPr>
      <w:r>
        <w:rPr>
          <w:color w:val="8C8C8C"/>
          <w:sz w:val="12"/>
        </w:rPr>
        <w:t>cf-art-102-inc-I-ali-h</w:t>
      </w:r>
    </w:p>
    <w:p>
      <w:pPr>
        <w:ind w:left="288"/>
      </w:pPr>
      <w:r>
        <w:rPr>
          <w:color w:val="1E1E1E"/>
          <w:sz w:val="18"/>
        </w:rPr>
        <w:t>i) o habeas corpus, quando o coator for Tribunal Superior ou quando o coator ou o paciente for autoridade ou funcionário cujos atos estejam sujeitos diretamente à jurisdição do Supremo Tribunal Federal, ou se trate de crime sujeito à mesma jurisdição em uma única instância; (Redação da EC 22/1999)</w:t>
      </w:r>
    </w:p>
    <w:p>
      <w:pPr>
        <w:ind w:left="144"/>
      </w:pPr>
      <w:r>
        <w:rPr>
          <w:b/>
          <w:color w:val="B45A00"/>
          <w:sz w:val="16"/>
        </w:rPr>
        <w:t>SUMULA</w:t>
      </w:r>
    </w:p>
    <w:p>
      <w:pPr>
        <w:ind w:left="288"/>
      </w:pPr>
      <w:r>
        <w:rPr>
          <w:color w:val="8C8C8C"/>
          <w:sz w:val="12"/>
        </w:rPr>
        <w:t>cf-art-102-inc-I-ali-h</w:t>
      </w:r>
    </w:p>
    <w:p>
      <w:pPr>
        <w:ind w:left="288"/>
      </w:pPr>
      <w:r>
        <w:rPr>
          <w:color w:val="1E1E1E"/>
          <w:sz w:val="18"/>
        </w:rPr>
        <w:t>Não cabe habeas corpus quando já extinta a pena privativa de liberdade.</w:t>
      </w:r>
    </w:p>
    <w:p>
      <w:pPr>
        <w:ind w:left="288"/>
      </w:pPr>
      <w:r>
        <w:rPr>
          <w:b/>
          <w:color w:val="003CA0"/>
          <w:sz w:val="16"/>
        </w:rPr>
        <w:t>[Súmula 695.]</w:t>
      </w:r>
    </w:p>
    <w:p>
      <w:pPr>
        <w:ind w:left="288"/>
      </w:pPr>
      <w:r>
        <w:rPr>
          <w:color w:val="8C8C8C"/>
          <w:sz w:val="12"/>
        </w:rPr>
        <w:t>cf-art-102-inc-I-ali-h</w:t>
      </w:r>
    </w:p>
    <w:p>
      <w:pPr>
        <w:ind w:left="288"/>
      </w:pPr>
      <w:r>
        <w:rPr>
          <w:color w:val="1E1E1E"/>
          <w:sz w:val="18"/>
        </w:rPr>
        <w:t>Não cabe habeas corpus contra a imposição da pena de exclusão de militar ou de perda de patente ou de função pública.</w:t>
      </w:r>
    </w:p>
    <w:p>
      <w:pPr>
        <w:ind w:left="288"/>
      </w:pPr>
      <w:r>
        <w:rPr>
          <w:b/>
          <w:color w:val="003CA0"/>
          <w:sz w:val="16"/>
        </w:rPr>
        <w:t>[Súmula 694.]</w:t>
      </w:r>
    </w:p>
    <w:p>
      <w:pPr>
        <w:ind w:left="288"/>
      </w:pPr>
      <w:r>
        <w:rPr>
          <w:color w:val="8C8C8C"/>
          <w:sz w:val="12"/>
        </w:rPr>
        <w:t>cf-art-102-inc-I-ali-h</w:t>
      </w:r>
    </w:p>
    <w:p>
      <w:pPr>
        <w:ind w:left="288"/>
      </w:pPr>
      <w:r>
        <w:rPr>
          <w:color w:val="1E1E1E"/>
          <w:sz w:val="18"/>
        </w:rPr>
        <w:t>Não cabe habeas corpus contra decisão condenatória a pena de multa, ou relativo a processo em curso por infração penal a que a pena pecuniária seja a única cominada.</w:t>
      </w:r>
    </w:p>
    <w:p>
      <w:pPr>
        <w:ind w:left="288"/>
      </w:pPr>
      <w:r>
        <w:rPr>
          <w:b/>
          <w:color w:val="003CA0"/>
          <w:sz w:val="16"/>
        </w:rPr>
        <w:t>[Súmula 693.]</w:t>
      </w:r>
    </w:p>
    <w:p>
      <w:pPr>
        <w:ind w:left="288"/>
      </w:pPr>
      <w:r>
        <w:rPr>
          <w:color w:val="8C8C8C"/>
          <w:sz w:val="12"/>
        </w:rPr>
        <w:t>cf-art-102-inc-I-ali-h</w:t>
      </w:r>
    </w:p>
    <w:p>
      <w:pPr>
        <w:ind w:left="288"/>
      </w:pPr>
      <w:r>
        <w:rPr>
          <w:color w:val="1E1E1E"/>
          <w:sz w:val="18"/>
        </w:rPr>
        <w:t>Não compete ao STF conhecer de habeas corpus impetrado contra decisão do relator que, em habeas corpus requerido a tribunal superior, indefere a liminar.</w:t>
      </w:r>
    </w:p>
    <w:p>
      <w:pPr>
        <w:ind w:left="288"/>
      </w:pPr>
      <w:r>
        <w:rPr>
          <w:b/>
          <w:color w:val="003CA0"/>
          <w:sz w:val="16"/>
        </w:rPr>
        <w:t>[Súmula 691.]</w:t>
      </w:r>
    </w:p>
    <w:p>
      <w:pPr>
        <w:ind w:left="288"/>
      </w:pPr>
      <w:r>
        <w:rPr>
          <w:color w:val="8C8C8C"/>
          <w:sz w:val="12"/>
        </w:rPr>
        <w:t>cf-art-102-inc-I-ali-h</w:t>
      </w:r>
    </w:p>
    <w:p>
      <w:pPr>
        <w:ind w:left="288"/>
      </w:pPr>
      <w:r>
        <w:rPr>
          <w:color w:val="1E1E1E"/>
          <w:sz w:val="18"/>
        </w:rPr>
        <w:t>Compete originariamente ao STF o julgamento de habeas corpus contra decisão de turma recursal de juizados especiais criminais.</w:t>
      </w:r>
    </w:p>
    <w:p>
      <w:pPr>
        <w:ind w:left="288"/>
      </w:pPr>
      <w:r>
        <w:rPr>
          <w:b/>
          <w:color w:val="003CA0"/>
          <w:sz w:val="16"/>
        </w:rPr>
        <w:t>[Súmula 690.]</w:t>
      </w:r>
    </w:p>
    <w:p>
      <w:pPr>
        <w:ind w:left="288"/>
      </w:pPr>
      <w:r>
        <w:rPr>
          <w:color w:val="8C8C8C"/>
          <w:sz w:val="12"/>
        </w:rPr>
        <w:t>cf-art-102-inc-I-ali-h</w:t>
      </w:r>
    </w:p>
    <w:p>
      <w:pPr>
        <w:ind w:left="288"/>
      </w:pPr>
      <w:r>
        <w:rPr>
          <w:color w:val="1E1E1E"/>
          <w:sz w:val="18"/>
        </w:rPr>
        <w:t>Não cabe habeas corpus originário para o Tribunal Pleno de decisão de Turma, ou do Plenário, proferida em habeas corpus ou no respectivo recurso.</w:t>
      </w:r>
    </w:p>
    <w:p>
      <w:pPr>
        <w:ind w:left="288"/>
      </w:pPr>
      <w:r>
        <w:rPr>
          <w:b/>
          <w:color w:val="003CA0"/>
          <w:sz w:val="16"/>
        </w:rPr>
        <w:t>[Súmula 606.]</w:t>
      </w:r>
    </w:p>
    <w:p>
      <w:pPr>
        <w:ind w:left="288"/>
      </w:pPr>
      <w:r>
        <w:rPr>
          <w:color w:val="8C8C8C"/>
          <w:sz w:val="12"/>
        </w:rPr>
        <w:t>cf-art-102-inc-I-ali-h</w:t>
      </w:r>
    </w:p>
    <w:p>
      <w:pPr>
        <w:ind w:left="288"/>
      </w:pPr>
      <w:r>
        <w:rPr>
          <w:color w:val="1E1E1E"/>
          <w:sz w:val="18"/>
        </w:rPr>
        <w:t>Não se conhece de recurso de habeas corpus cujo objeto seja resolver sobre o ônus das custas, por não estar mais em causa a liberdade de locomoção.</w:t>
      </w:r>
    </w:p>
    <w:p>
      <w:pPr>
        <w:ind w:left="288"/>
      </w:pPr>
      <w:r>
        <w:rPr>
          <w:b/>
          <w:color w:val="003CA0"/>
          <w:sz w:val="16"/>
        </w:rPr>
        <w:t>[Súmula 395.]</w:t>
      </w:r>
    </w:p>
    <w:p>
      <w:pPr>
        <w:ind w:left="288"/>
      </w:pPr>
      <w:r>
        <w:rPr>
          <w:color w:val="8C8C8C"/>
          <w:sz w:val="12"/>
        </w:rPr>
        <w:t>cf-art-102-inc-I-ali-h</w:t>
      </w:r>
    </w:p>
    <w:p>
      <w:pPr>
        <w:ind w:left="288"/>
      </w:pPr>
      <w:r>
        <w:rPr>
          <w:color w:val="1E1E1E"/>
          <w:sz w:val="18"/>
        </w:rPr>
        <w:t>O assistente do Ministério Público não pode recorrer, extraordinariamente, de decisão concessiva de habeas corpus.</w:t>
      </w:r>
    </w:p>
    <w:p>
      <w:pPr>
        <w:ind w:left="288"/>
      </w:pPr>
      <w:r>
        <w:rPr>
          <w:b/>
          <w:color w:val="003CA0"/>
          <w:sz w:val="16"/>
        </w:rPr>
        <w:t>[Súmula 208.]</w:t>
      </w:r>
    </w:p>
    <w:p>
      <w:pPr>
        <w:ind w:left="144"/>
      </w:pPr>
      <w:r>
        <w:rPr>
          <w:b/>
          <w:color w:val="B45A00"/>
          <w:sz w:val="16"/>
        </w:rPr>
        <w:t>JULGADOS CORRELATOS</w:t>
      </w:r>
    </w:p>
    <w:p>
      <w:pPr>
        <w:ind w:left="288"/>
      </w:pPr>
      <w:r>
        <w:rPr>
          <w:color w:val="8C8C8C"/>
          <w:sz w:val="12"/>
        </w:rPr>
        <w:t>cf-art-102-inc-I-ali-h</w:t>
      </w:r>
      <w:r>
        <w:rPr>
          <w:color w:val="003CA0"/>
          <w:sz w:val="12"/>
        </w:rPr>
        <w:t xml:space="preserve"> | RCL 24.162</w:t>
      </w:r>
      <w:r>
        <w:rPr>
          <w:color w:val="003CA0"/>
          <w:sz w:val="12"/>
        </w:rPr>
        <w:t xml:space="preserve"> | rel. Dias Toffoli</w:t>
      </w:r>
    </w:p>
    <w:p>
      <w:pPr>
        <w:ind w:left="288"/>
      </w:pPr>
      <w:r>
        <w:rPr>
          <w:color w:val="1E1E1E"/>
          <w:sz w:val="18"/>
        </w:rPr>
        <w:t>Ministério Público junto ao Tribunal de Contas. Ilegitimidade ativa. (...) O Parquet especial não detém legitimidade para propor reclamação, uma vez que não se encontra no rol de legitimados do caput do art. 988 do CPC/2015.</w:t>
      </w:r>
    </w:p>
    <w:p>
      <w:pPr>
        <w:ind w:left="288"/>
      </w:pPr>
      <w:r>
        <w:rPr>
          <w:b/>
          <w:color w:val="003CA0"/>
          <w:sz w:val="16"/>
        </w:rPr>
        <w:t>[Rcl 24.162 AgR, rel. min. Dias Toffoli, j. 22-11-2016, 2ª T, DJE de 7-12-2016.]</w:t>
      </w:r>
    </w:p>
    <w:p>
      <w:pPr>
        <w:ind w:left="288"/>
      </w:pPr>
      <w:r>
        <w:rPr>
          <w:color w:val="8C8C8C"/>
          <w:sz w:val="12"/>
        </w:rPr>
        <w:t>cf-art-102-inc-I-ali-h</w:t>
      </w:r>
      <w:r>
        <w:rPr>
          <w:color w:val="003CA0"/>
          <w:sz w:val="12"/>
        </w:rPr>
        <w:t xml:space="preserve"> | HC 115.168</w:t>
      </w:r>
      <w:r>
        <w:rPr>
          <w:color w:val="003CA0"/>
          <w:sz w:val="12"/>
        </w:rPr>
        <w:t xml:space="preserve"> | rel. Marco Aurélio</w:t>
      </w:r>
    </w:p>
    <w:p>
      <w:pPr>
        <w:ind w:left="288"/>
      </w:pPr>
      <w:r>
        <w:rPr>
          <w:color w:val="1E1E1E"/>
          <w:sz w:val="18"/>
        </w:rPr>
        <w:t>Habeas corpus. Substitutivo do recurso ordinário constitucional. Liberdade de locomoção atingida na via direta. Adequação. Sendo objeto do habeas corpus a preservação da liberdade de ir e vir atingida diretamente, porquanto expedido mandado de prisão ou porque, com maior razão, esta já ocorreu, mostra-se adequada a impetração, dando-se alcance maior à garantia versada no art. 5º, LXVIII, da Carta de 1988. Evolução em óptica linear assentada anteriormente.</w:t>
      </w:r>
    </w:p>
    <w:p>
      <w:pPr>
        <w:ind w:left="288"/>
      </w:pPr>
      <w:r>
        <w:rPr>
          <w:b/>
          <w:color w:val="003CA0"/>
          <w:sz w:val="16"/>
        </w:rPr>
        <w:t>[HC 115.168, rel. min. Marco Aurélio, j. 21-5-2013, 1ª T, DJE de 17-6-2013.]</w:t>
      </w:r>
    </w:p>
    <w:p>
      <w:pPr>
        <w:ind w:left="288"/>
      </w:pPr>
      <w:r>
        <w:rPr>
          <w:color w:val="8C8C8C"/>
          <w:sz w:val="12"/>
        </w:rPr>
        <w:t>cf-art-102-inc-I-ali-h</w:t>
      </w:r>
      <w:r>
        <w:rPr>
          <w:color w:val="003CA0"/>
          <w:sz w:val="12"/>
        </w:rPr>
        <w:t xml:space="preserve"> | HC 109.956</w:t>
      </w:r>
      <w:r>
        <w:rPr>
          <w:color w:val="003CA0"/>
          <w:sz w:val="12"/>
        </w:rPr>
        <w:t xml:space="preserve"> | rel. Marco Aurélio</w:t>
      </w:r>
    </w:p>
    <w:p>
      <w:pPr>
        <w:ind w:left="288"/>
      </w:pPr>
      <w:r>
        <w:rPr>
          <w:color w:val="1E1E1E"/>
          <w:sz w:val="18"/>
        </w:rPr>
        <w:t>Vide HC 109.956, rel. min. Marco Aurélio, j. 7-8-2012, 1ª T, DJE de 11-9-2012 Habeas corpus. Julgamento por tribunal superior. Impugnação. A teor do disposto no art. 102, II, a, da CF, contra decisão proferida em processo revelador de habeas corpus, a implicar a não concessão da ordem, cabível é o recurso ordinário. Evolução quanto à admissibilidade do substitutivo do habeas corpus.</w:t>
      </w:r>
    </w:p>
    <w:p>
      <w:pPr>
        <w:ind w:left="288"/>
      </w:pPr>
      <w:r>
        <w:rPr>
          <w:b/>
          <w:color w:val="003CA0"/>
          <w:sz w:val="16"/>
        </w:rPr>
        <w:t>[HC 109.956, rel. min. Marco Aurélio, j. 7-8-2012, 1ª T, DJE de 11-9-2012.]</w:t>
      </w:r>
    </w:p>
    <w:p>
      <w:pPr>
        <w:ind w:left="288"/>
      </w:pPr>
      <w:r>
        <w:rPr>
          <w:color w:val="8C8C8C"/>
          <w:sz w:val="12"/>
        </w:rPr>
        <w:t>cf-art-102-inc-I-ali-h</w:t>
      </w:r>
      <w:r>
        <w:rPr>
          <w:color w:val="003CA0"/>
          <w:sz w:val="12"/>
        </w:rPr>
        <w:t xml:space="preserve"> | HC 110.270</w:t>
      </w:r>
      <w:r>
        <w:rPr>
          <w:color w:val="003CA0"/>
          <w:sz w:val="12"/>
        </w:rPr>
        <w:t xml:space="preserve"> | rel. Gilmar Mendes</w:t>
      </w:r>
    </w:p>
    <w:p>
      <w:pPr>
        <w:ind w:left="288"/>
      </w:pPr>
      <w:r>
        <w:rPr>
          <w:color w:val="1E1E1E"/>
          <w:sz w:val="18"/>
        </w:rPr>
        <w:t>≠ HC 110.270, rel. min. Gilmar Mendes, j. 6-12-2011, 2ª T, DJE de 19-12-2011 Vide HC 119.492 AgR, rel. min. Roberto Barroso, j. 11-3-2014, 1ª T, DJE de 26-3-2014 Vide HC 115.168, rel. min. Marco Aurélio, j. 21-5-2013, 1ª T, DJE de 17-6-2013 O fato de o habeas corpus ser substituto de recurso ordinário não é fundamento suficiente para o não conhecimento do writ. Ordem deferida para que o STJ conheça e julgue o habeas lá impetrado.</w:t>
      </w:r>
    </w:p>
    <w:p>
      <w:pPr>
        <w:ind w:left="288"/>
      </w:pPr>
      <w:r>
        <w:rPr>
          <w:b/>
          <w:color w:val="003CA0"/>
          <w:sz w:val="16"/>
        </w:rPr>
        <w:t>[HC 110.270, rel. min. Gilmar Mendes, j. 6-12-2011, 2ª T, DJE de 19-12-2011.]</w:t>
      </w:r>
    </w:p>
    <w:p>
      <w:pPr>
        <w:ind w:left="288"/>
      </w:pPr>
      <w:r>
        <w:rPr>
          <w:color w:val="8C8C8C"/>
          <w:sz w:val="12"/>
        </w:rPr>
        <w:t>cf-art-102-inc-I-ali-h</w:t>
      </w:r>
      <w:r>
        <w:rPr>
          <w:color w:val="003CA0"/>
          <w:sz w:val="12"/>
        </w:rPr>
        <w:t xml:space="preserve"> | HC 109.956</w:t>
      </w:r>
      <w:r>
        <w:rPr>
          <w:color w:val="003CA0"/>
          <w:sz w:val="12"/>
        </w:rPr>
        <w:t xml:space="preserve"> | rel. Marco Aurélio</w:t>
      </w:r>
    </w:p>
    <w:p>
      <w:pPr>
        <w:ind w:left="288"/>
      </w:pPr>
      <w:r>
        <w:rPr>
          <w:color w:val="1E1E1E"/>
          <w:sz w:val="18"/>
        </w:rPr>
        <w:t>≠ HC 109.956, rel. min. Marco Aurélio, j. 7-8-2012, 1ª T, DJE de 11-9-2012 (...) competência desta Suprema Corte para julgamento do presente habeas corpus. Isso porque a competência da expulsão é exclusiva do presidente da República (Lei 6.815/1980, art. 66), com delegação desses poderes ao ministro de Estado da Justiça, a partir do Decreto 3.447/2000 (art. 1º). O fato de o presidente da República delegar ao ministro de Estado da Justiça, mediante ato administrativo por ele próprio assinado, o exercício da competência legal de expulsão de estrangeiro não implica disposição da própria competênc</w:t>
      </w:r>
    </w:p>
    <w:p>
      <w:pPr>
        <w:ind w:left="288"/>
      </w:pPr>
      <w:r>
        <w:rPr>
          <w:b/>
          <w:color w:val="003CA0"/>
          <w:sz w:val="16"/>
        </w:rPr>
        <w:t>[HC 101.528, voto do rel. min. Dias Toffoli, j. 9-12-2010, P, DJE de 22-3-2011.]</w:t>
      </w:r>
    </w:p>
    <w:p>
      <w:pPr>
        <w:ind w:left="288"/>
      </w:pPr>
      <w:r>
        <w:rPr>
          <w:color w:val="8C8C8C"/>
          <w:sz w:val="12"/>
        </w:rPr>
        <w:t>cf-art-102-inc-I-ali-h</w:t>
      </w:r>
      <w:r>
        <w:rPr>
          <w:color w:val="003CA0"/>
          <w:sz w:val="12"/>
        </w:rPr>
        <w:t xml:space="preserve"> | HC 101.269</w:t>
      </w:r>
      <w:r>
        <w:rPr>
          <w:color w:val="003CA0"/>
          <w:sz w:val="12"/>
        </w:rPr>
        <w:t xml:space="preserve"> | rel. Cármen Lúcia</w:t>
      </w:r>
    </w:p>
    <w:p>
      <w:pPr>
        <w:ind w:left="288"/>
      </w:pPr>
      <w:r>
        <w:rPr>
          <w:color w:val="1E1E1E"/>
          <w:sz w:val="18"/>
        </w:rPr>
        <w:t>Vide HC 101.269, rel. min. Cármen Lúcia, j. 3-8-2010, 1ª T, DJE de 20-8-2010 A competência do STF para julgamento de habeas corpus pressupõe ato de órgão ou autoridade submetida à respectiva jurisdição. Descabe adentrar tema não apreciado no pronunciamento atacado, correndo a concessão de ordem de ofício ao sabor de quadro a revelar ilegalidade a atingir o direito de ir e vir do cidadão.</w:t>
      </w:r>
    </w:p>
    <w:p>
      <w:pPr>
        <w:ind w:left="288"/>
      </w:pPr>
      <w:r>
        <w:rPr>
          <w:b/>
          <w:color w:val="003CA0"/>
          <w:sz w:val="16"/>
        </w:rPr>
        <w:t>[HC 97.101, rel. min. Marco Aurélio, j. 22-6-2010, 1ª T, DJE de 13-8-2010.]</w:t>
      </w:r>
    </w:p>
    <w:p>
      <w:pPr>
        <w:ind w:left="288"/>
      </w:pPr>
      <w:r>
        <w:rPr>
          <w:color w:val="8C8C8C"/>
          <w:sz w:val="12"/>
        </w:rPr>
        <w:t>cf-art-102-inc-I-ali-h</w:t>
      </w:r>
      <w:r>
        <w:rPr>
          <w:color w:val="003CA0"/>
          <w:sz w:val="12"/>
        </w:rPr>
        <w:t xml:space="preserve"> | HC 100.460</w:t>
      </w:r>
      <w:r>
        <w:rPr>
          <w:color w:val="003CA0"/>
          <w:sz w:val="12"/>
        </w:rPr>
        <w:t xml:space="preserve"> | rel. Marco Aurélio</w:t>
      </w:r>
    </w:p>
    <w:p>
      <w:pPr>
        <w:ind w:left="288"/>
      </w:pPr>
      <w:r>
        <w:rPr>
          <w:color w:val="1E1E1E"/>
          <w:sz w:val="18"/>
        </w:rPr>
        <w:t>= HC 100.460, rel. min. Marco Aurélio, j. 3-8-2010, 1ª T, DJE de 20-8-2010 A competência do STF para julgar habeas corpus é determinada constitucionalmente em razão do paciente ou da autoridade coatora (art. 102, I, i, da Constituição da República). No rol constitucionalmente afirmado não se inclui a atribuição do Supremo Tribunal para processar e julgar, originariamente, ação de habeas corpus na qual figurem como autoridades coatoras juiz federal e TRF.</w:t>
      </w:r>
    </w:p>
    <w:p>
      <w:pPr>
        <w:ind w:left="288"/>
      </w:pPr>
      <w:r>
        <w:rPr>
          <w:b/>
          <w:color w:val="003CA0"/>
          <w:sz w:val="16"/>
        </w:rPr>
        <w:t>[HC 102.304, rel. min. Cármen Lúcia, j. 25-5-2010, 1ª T, DJE de 25-5-2011.]</w:t>
      </w:r>
    </w:p>
    <w:p>
      <w:pPr>
        <w:ind w:left="288"/>
      </w:pPr>
      <w:r>
        <w:rPr>
          <w:color w:val="8C8C8C"/>
          <w:sz w:val="12"/>
        </w:rPr>
        <w:t>cf-art-102-inc-I-ali-h</w:t>
      </w:r>
      <w:r>
        <w:rPr>
          <w:color w:val="003CA0"/>
          <w:sz w:val="12"/>
        </w:rPr>
        <w:t xml:space="preserve"> | HC 119.321</w:t>
      </w:r>
      <w:r>
        <w:rPr>
          <w:color w:val="003CA0"/>
          <w:sz w:val="12"/>
        </w:rPr>
        <w:t xml:space="preserve"> | rel. Luiz Fux</w:t>
      </w:r>
    </w:p>
    <w:p>
      <w:pPr>
        <w:ind w:left="288"/>
      </w:pPr>
      <w:r>
        <w:rPr>
          <w:color w:val="1E1E1E"/>
          <w:sz w:val="18"/>
        </w:rPr>
        <w:t>= HC 119.321, rel. min. Luiz Fux, j. 11-3-2014, 1ª T, DJE de 26-3-2014 É firme a jurisprudência deste Supremo Tribunal no sentido de que a mera possibilidade de concessão de habeas corpus de ofício pelo STJ não faz dele autoridade coatora.</w:t>
      </w:r>
    </w:p>
    <w:p>
      <w:pPr>
        <w:ind w:left="288"/>
      </w:pPr>
      <w:r>
        <w:rPr>
          <w:b/>
          <w:color w:val="003CA0"/>
          <w:sz w:val="16"/>
        </w:rPr>
        <w:t>[HC 95.978 AgR, rel. min. Cármen Lúcia, j. 13-10-2009, 1ª T, DJE de 28-5-2010.]</w:t>
      </w:r>
    </w:p>
    <w:p>
      <w:pPr>
        <w:ind w:left="288"/>
      </w:pPr>
      <w:r>
        <w:rPr>
          <w:color w:val="8C8C8C"/>
          <w:sz w:val="12"/>
        </w:rPr>
        <w:t>cf-art-102-inc-I-ali-h</w:t>
      </w:r>
      <w:r>
        <w:rPr>
          <w:color w:val="003CA0"/>
          <w:sz w:val="12"/>
        </w:rPr>
        <w:t xml:space="preserve"> | HC 85.212</w:t>
      </w:r>
      <w:r>
        <w:rPr>
          <w:color w:val="003CA0"/>
          <w:sz w:val="12"/>
        </w:rPr>
        <w:t xml:space="preserve"> | rel. Marco Aurélio</w:t>
      </w:r>
    </w:p>
    <w:p>
      <w:pPr>
        <w:ind w:left="288"/>
      </w:pPr>
      <w:r>
        <w:rPr>
          <w:color w:val="1E1E1E"/>
          <w:sz w:val="18"/>
        </w:rPr>
        <w:t>Vide HC 85.212, rel. min. Marco Aurélio, j. 15-2-2005, 1ª T, DJ de 18-3-2005 Não se admite pedido de habeas corpus idêntico a outro julgado manifestamente improcedente, por decisão monocrática fundada em jurisprudência assente da Corte.</w:t>
      </w:r>
    </w:p>
    <w:p>
      <w:pPr>
        <w:ind w:left="288"/>
      </w:pPr>
      <w:r>
        <w:rPr>
          <w:b/>
          <w:color w:val="003CA0"/>
          <w:sz w:val="16"/>
        </w:rPr>
        <w:t>[HC 100.279 AgR, rel. min. Cezar Peluso, j. 6-10-2009, 2ª T, DJE de 27-11-2009.]</w:t>
      </w:r>
    </w:p>
    <w:p>
      <w:pPr>
        <w:ind w:left="288"/>
      </w:pPr>
      <w:r>
        <w:rPr>
          <w:color w:val="8C8C8C"/>
          <w:sz w:val="12"/>
        </w:rPr>
        <w:t>cf-art-102-inc-I-ali-h</w:t>
      </w:r>
      <w:r>
        <w:rPr>
          <w:color w:val="003CA0"/>
          <w:sz w:val="12"/>
        </w:rPr>
        <w:t xml:space="preserve"> | HC 94.353</w:t>
      </w:r>
      <w:r>
        <w:rPr>
          <w:color w:val="003CA0"/>
          <w:sz w:val="12"/>
        </w:rPr>
        <w:t xml:space="preserve"> | rel. Joaquim Barbosa</w:t>
      </w:r>
    </w:p>
    <w:p>
      <w:pPr>
        <w:ind w:left="288"/>
      </w:pPr>
      <w:r>
        <w:rPr>
          <w:color w:val="1E1E1E"/>
          <w:sz w:val="18"/>
        </w:rPr>
        <w:t>O fato de o habeas corpus impetrado ao TST ter sido extinto sem resolução do mérito impede o conhecimento da presente demanda, a fim de evitar supressão de instância. Por outro lado, estando em vigor o ato judicial apontado como violador da liberdade de locomoção do paciente, e tendo o Tribunal de segundo grau mantido esse ato, impõe-se ao TST o exame da matéria. Assim, como o recurso ordinário interposto à Corte Superior trabalhista não foi admitido na origem, só resta ao paciente o direito de ver apreciado o mérito do habeas corpus impetrado em seu favor ao TST.</w:t>
      </w:r>
    </w:p>
    <w:p>
      <w:pPr>
        <w:ind w:left="288"/>
      </w:pPr>
      <w:r>
        <w:rPr>
          <w:b/>
          <w:color w:val="003CA0"/>
          <w:sz w:val="16"/>
        </w:rPr>
        <w:t>[HC 94.353, rel. min. Joaquim Barbosa, j. 4-8-2009, 2ª T, DJE de 18-9-2009.]</w:t>
      </w:r>
    </w:p>
    <w:p>
      <w:pPr>
        <w:ind w:left="288"/>
      </w:pPr>
      <w:r>
        <w:rPr>
          <w:color w:val="8C8C8C"/>
          <w:sz w:val="12"/>
        </w:rPr>
        <w:t>cf-art-102-inc-I-ali-h</w:t>
      </w:r>
      <w:r>
        <w:rPr>
          <w:color w:val="003CA0"/>
          <w:sz w:val="12"/>
        </w:rPr>
        <w:t xml:space="preserve"> | HC 98.655</w:t>
      </w:r>
      <w:r>
        <w:rPr>
          <w:color w:val="003CA0"/>
          <w:sz w:val="12"/>
        </w:rPr>
        <w:t xml:space="preserve"> | rel. Cármen Lúcia</w:t>
      </w:r>
    </w:p>
    <w:p>
      <w:pPr>
        <w:ind w:left="288"/>
      </w:pPr>
      <w:r>
        <w:rPr>
          <w:color w:val="1E1E1E"/>
          <w:sz w:val="18"/>
        </w:rPr>
        <w:t>A competência do Supremo Tribunal para julgar habeas corpus é determinada constitucionalmente em razão do paciente ou da autoridade coatora (art. 102, I, i, da CF). Nesse rol constitucionalmente afirmado não se inclui a atribuição deste Supremo Tribunal para processar e julgar, originariamente, ação de habeas corpus na qual figurem como autoridades coatoras juiz de direito e tribunal de justiça estadual (...).</w:t>
      </w:r>
    </w:p>
    <w:p>
      <w:pPr>
        <w:ind w:left="288"/>
      </w:pPr>
      <w:r>
        <w:rPr>
          <w:b/>
          <w:color w:val="003CA0"/>
          <w:sz w:val="16"/>
        </w:rPr>
        <w:t>[HC 98.655 AgR, rel. min. Cármen Lúcia, j. 30-6-2009, 1ª T, DJE de 21-8-2009.]</w:t>
      </w:r>
    </w:p>
    <w:p>
      <w:pPr>
        <w:ind w:left="288"/>
      </w:pPr>
      <w:r>
        <w:rPr>
          <w:color w:val="8C8C8C"/>
          <w:sz w:val="12"/>
        </w:rPr>
        <w:t>cf-art-102-inc-I-ali-h</w:t>
      </w:r>
      <w:r>
        <w:rPr>
          <w:color w:val="003CA0"/>
          <w:sz w:val="12"/>
        </w:rPr>
        <w:t xml:space="preserve"> | AI 821.147</w:t>
      </w:r>
      <w:r>
        <w:rPr>
          <w:color w:val="003CA0"/>
          <w:sz w:val="12"/>
        </w:rPr>
        <w:t xml:space="preserve"> | rel. Ricardo Lewandowski</w:t>
      </w:r>
    </w:p>
    <w:p>
      <w:pPr>
        <w:ind w:left="288"/>
      </w:pPr>
      <w:r>
        <w:rPr>
          <w:color w:val="1E1E1E"/>
          <w:sz w:val="18"/>
        </w:rPr>
        <w:t>= AI 821.147 AgR, rel. min. Ricardo Lewandowski, j. 2-12-2010, 1ª T, DJE de 1º-2-2011 A alteração do enquadramento jurídico dos fatos pelo STJ no julgamento de recurso especial não constitui ilegalidade a ensejar a concessão da ordem de ofício.</w:t>
      </w:r>
    </w:p>
    <w:p>
      <w:pPr>
        <w:ind w:left="288"/>
      </w:pPr>
      <w:r>
        <w:rPr>
          <w:b/>
          <w:color w:val="003CA0"/>
          <w:sz w:val="16"/>
        </w:rPr>
        <w:t>[HC 92.922, red. do ac. min. Cármen Lúcia, j. 19-5-2009, 1ª T, DJE de 12-3-2010.]</w:t>
      </w:r>
    </w:p>
    <w:p>
      <w:pPr>
        <w:ind w:left="288"/>
      </w:pPr>
      <w:r>
        <w:rPr>
          <w:color w:val="8C8C8C"/>
          <w:sz w:val="12"/>
        </w:rPr>
        <w:t>cf-art-102-inc-I-ali-h</w:t>
      </w:r>
      <w:r>
        <w:rPr>
          <w:color w:val="003CA0"/>
          <w:sz w:val="12"/>
        </w:rPr>
        <w:t xml:space="preserve"> | HC 96.471</w:t>
      </w:r>
      <w:r>
        <w:rPr>
          <w:color w:val="003CA0"/>
          <w:sz w:val="12"/>
        </w:rPr>
        <w:t xml:space="preserve"> | rel. Ellen Gracie</w:t>
      </w:r>
    </w:p>
    <w:p>
      <w:pPr>
        <w:ind w:left="288"/>
      </w:pPr>
      <w:r>
        <w:rPr>
          <w:color w:val="1E1E1E"/>
          <w:sz w:val="18"/>
        </w:rPr>
        <w:t>A tese jurídica apresentada neste habeas corpus diz respeito a possível constrangimento ilegal praticado pelo STJ na decisão que negou seguimento ao agravo de instrumento interposto pelo Ministério Público do Estado do Rio Grande do Sul contra decisão da Corte estadual que negou seguimento a recurso especial (...). Inicialmente verifico que, no caso em tela, há obstáculo ao conhecimento do presente habeas corpus, pois não houve esgotamento da jurisdição do STJ, eis que o ato impugnado é mera decisão monocrática, e não julgamento colegiado do STJ. Não há notícia acerca da interposição de agravo</w:t>
      </w:r>
    </w:p>
    <w:p>
      <w:pPr>
        <w:ind w:left="288"/>
      </w:pPr>
      <w:r>
        <w:rPr>
          <w:b/>
          <w:color w:val="003CA0"/>
          <w:sz w:val="16"/>
        </w:rPr>
        <w:t>[HC 96.471, rel. min. Ellen Gracie, j. 10-3-2009, 2ª T, DJE de 3-4-2009.]</w:t>
      </w:r>
    </w:p>
    <w:p>
      <w:pPr>
        <w:ind w:left="288"/>
      </w:pPr>
      <w:r>
        <w:rPr>
          <w:color w:val="8C8C8C"/>
          <w:sz w:val="12"/>
        </w:rPr>
        <w:t>cf-art-102-inc-I-ali-h</w:t>
      </w:r>
      <w:r>
        <w:rPr>
          <w:color w:val="003CA0"/>
          <w:sz w:val="12"/>
        </w:rPr>
        <w:t xml:space="preserve"> | HC 121.379</w:t>
      </w:r>
      <w:r>
        <w:rPr>
          <w:color w:val="003CA0"/>
          <w:sz w:val="12"/>
        </w:rPr>
        <w:t xml:space="preserve"> | rel. Luiz Fux</w:t>
      </w:r>
    </w:p>
    <w:p>
      <w:pPr>
        <w:ind w:left="288"/>
      </w:pPr>
      <w:r>
        <w:rPr>
          <w:color w:val="1E1E1E"/>
          <w:sz w:val="18"/>
        </w:rPr>
        <w:t>= HC 121.379, rel. min. Luiz Fux, j. 3-6-2014, 1ª T, DJE de 1º-7-2014 Aplicação analógica da Súmula 606. Precedentes. (...) Não cabe pedido de habeas corpus originário para o Tribunal Pleno, contra ato de ministro ou outro órgão fracionário da Corte.</w:t>
      </w:r>
    </w:p>
    <w:p>
      <w:pPr>
        <w:ind w:left="288"/>
      </w:pPr>
      <w:r>
        <w:rPr>
          <w:b/>
          <w:color w:val="003CA0"/>
          <w:sz w:val="16"/>
        </w:rPr>
        <w:t>[HC 86.548, rel. min. Cezar Peluso, j. 16-10-2008, P, DJE de 19-12-2008.]</w:t>
      </w:r>
    </w:p>
    <w:p>
      <w:pPr>
        <w:ind w:left="288"/>
      </w:pPr>
      <w:r>
        <w:rPr>
          <w:color w:val="8C8C8C"/>
          <w:sz w:val="12"/>
        </w:rPr>
        <w:t>cf-art-102-inc-I-ali-h</w:t>
      </w:r>
      <w:r>
        <w:rPr>
          <w:color w:val="003CA0"/>
          <w:sz w:val="12"/>
        </w:rPr>
        <w:t xml:space="preserve"> | HC 103.193</w:t>
      </w:r>
      <w:r>
        <w:rPr>
          <w:color w:val="003CA0"/>
          <w:sz w:val="12"/>
        </w:rPr>
        <w:t xml:space="preserve"> | rel. Ayres Britto</w:t>
      </w:r>
    </w:p>
    <w:p>
      <w:pPr>
        <w:ind w:left="288"/>
      </w:pPr>
      <w:r>
        <w:rPr>
          <w:color w:val="1E1E1E"/>
          <w:sz w:val="18"/>
        </w:rPr>
        <w:t>= HC 103.193 AgR, rel. min. Ayres Britto, j. 2-3-2011, P, DJE de 11-4-2011 Vide HC 91.352, rel. min. Menezes Direito, j. 28-2-2008, P, DJE de 18-4-2008 Vide HC 84.444 AgR, rel. min. Celso de Mello, j. 9-8-2007, P, DJ de 14-9-2007 Vide HC 80.082 QO, rel. min. Sepúlveda Pertence, j. 16-8-2001, P, DJ de 1º-8-2003 Não cabe habeas corpus quando inexiste ato consubstanciador de constrangimento ilegal imputável a relator de inquérito nesta Corte.</w:t>
      </w:r>
    </w:p>
    <w:p>
      <w:pPr>
        <w:ind w:left="288"/>
      </w:pPr>
      <w:r>
        <w:rPr>
          <w:b/>
          <w:color w:val="003CA0"/>
          <w:sz w:val="16"/>
        </w:rPr>
        <w:t>[HC 93.846, rel. min. Eros Grau, j. 15-5-2008, P, DJE de 29-8-2008.]</w:t>
      </w:r>
    </w:p>
    <w:p>
      <w:pPr>
        <w:ind w:left="288"/>
      </w:pPr>
      <w:r>
        <w:rPr>
          <w:color w:val="8C8C8C"/>
          <w:sz w:val="12"/>
        </w:rPr>
        <w:t>cf-art-102-inc-I-ali-h</w:t>
      </w:r>
      <w:r>
        <w:rPr>
          <w:color w:val="003CA0"/>
          <w:sz w:val="12"/>
        </w:rPr>
        <w:t xml:space="preserve"> | HC 92.664</w:t>
      </w:r>
      <w:r>
        <w:rPr>
          <w:color w:val="003CA0"/>
          <w:sz w:val="12"/>
        </w:rPr>
        <w:t xml:space="preserve"> | rel. Cezar Peluso</w:t>
      </w:r>
    </w:p>
    <w:p>
      <w:pPr>
        <w:ind w:left="288"/>
      </w:pPr>
      <w:r>
        <w:rPr>
          <w:color w:val="1E1E1E"/>
          <w:sz w:val="18"/>
        </w:rPr>
        <w:t>Não se conhece de pedido de habeas corpus que, tendente a anular o processo e cassar prisão preventiva, em extradição, se fundamenta em alegações e teses não submetidas antes ao relator do mesmo processo.</w:t>
      </w:r>
    </w:p>
    <w:p>
      <w:pPr>
        <w:ind w:left="288"/>
      </w:pPr>
      <w:r>
        <w:rPr>
          <w:b/>
          <w:color w:val="003CA0"/>
          <w:sz w:val="16"/>
        </w:rPr>
        <w:t>[HC 92.664 AgR, rel. min. Cezar Peluso, j. 13-12-2007, P, DJE de 15-2-2008.]</w:t>
      </w:r>
    </w:p>
    <w:p>
      <w:pPr>
        <w:ind w:left="288"/>
      </w:pPr>
      <w:r>
        <w:rPr>
          <w:color w:val="8C8C8C"/>
          <w:sz w:val="12"/>
        </w:rPr>
        <w:t>cf-art-102-inc-I-ali-h</w:t>
      </w:r>
      <w:r>
        <w:rPr>
          <w:color w:val="003CA0"/>
          <w:sz w:val="12"/>
        </w:rPr>
        <w:t xml:space="preserve"> | HC 100.397</w:t>
      </w:r>
      <w:r>
        <w:rPr>
          <w:color w:val="003CA0"/>
          <w:sz w:val="12"/>
        </w:rPr>
        <w:t xml:space="preserve"> | rel. Cármen Lúcia</w:t>
      </w:r>
    </w:p>
    <w:p>
      <w:pPr>
        <w:ind w:left="288"/>
      </w:pPr>
      <w:r>
        <w:rPr>
          <w:color w:val="1E1E1E"/>
          <w:sz w:val="18"/>
        </w:rPr>
        <w:t>= HC 100.397, rel. p/ o ac. min. Cármen Lúcia, j. 1º-10-2009, P, DJE de 1º-7-2010 Vide HC 86.548, rel. min. Cezar Peluso, j. 16-10-2008, P, DJE de 19-12-2008 A jurisprudência prevalecente no STF reconhece possível, no entanto, a impetração de habeas corpus, quando deduzida em face de decisões monocráticas proferidas pelo relator da causa. Precedentes.</w:t>
      </w:r>
    </w:p>
    <w:p>
      <w:pPr>
        <w:ind w:left="288"/>
      </w:pPr>
      <w:r>
        <w:rPr>
          <w:b/>
          <w:color w:val="003CA0"/>
          <w:sz w:val="16"/>
        </w:rPr>
        <w:t>[HC 84.444 AgR, rel. min. Celso de Mello, j. 9-8-2007, P, DJ de 14-9-2007.]</w:t>
      </w:r>
    </w:p>
    <w:p>
      <w:pPr>
        <w:ind w:left="288"/>
      </w:pPr>
      <w:r>
        <w:rPr>
          <w:color w:val="8C8C8C"/>
          <w:sz w:val="12"/>
        </w:rPr>
        <w:t>cf-art-102-inc-I-ali-h</w:t>
      </w:r>
      <w:r>
        <w:rPr>
          <w:color w:val="003CA0"/>
          <w:sz w:val="12"/>
        </w:rPr>
        <w:t xml:space="preserve"> | HC 97.229</w:t>
      </w:r>
      <w:r>
        <w:rPr>
          <w:color w:val="003CA0"/>
          <w:sz w:val="12"/>
        </w:rPr>
        <w:t xml:space="preserve"> | rel. Cezar Peluso</w:t>
      </w:r>
    </w:p>
    <w:p>
      <w:pPr>
        <w:ind w:left="288"/>
      </w:pPr>
      <w:r>
        <w:rPr>
          <w:color w:val="1E1E1E"/>
          <w:sz w:val="18"/>
        </w:rPr>
        <w:t>= HC 97.229 AgR, rel. min. Cezar Peluso, j. 19-2-2009, P, DJE de 8-5-2009 Habeas corpus. Tribunal de justiça. Supressão de instância (...). Embora não seja da competência desta Corte o conhecimento de habeas corpus impetrado contra a autoridade apontada como coatora, a gravidade e a urgência da situação, trazida ao STF às vésperas do recesso judiciário, autorizam o conhecimento, de ofício, do constrangimento alegado.</w:t>
      </w:r>
    </w:p>
    <w:p>
      <w:pPr>
        <w:ind w:left="288"/>
      </w:pPr>
      <w:r>
        <w:rPr>
          <w:b/>
          <w:color w:val="003CA0"/>
          <w:sz w:val="16"/>
        </w:rPr>
        <w:t>[HC 90.306, rel. min. Joaquim Barbosa, j. 20-3-2007, 2ª T, DJ de 8-6-2007.]</w:t>
      </w:r>
    </w:p>
    <w:p>
      <w:pPr>
        <w:ind w:left="288"/>
      </w:pPr>
      <w:r>
        <w:rPr>
          <w:color w:val="8C8C8C"/>
          <w:sz w:val="12"/>
        </w:rPr>
        <w:t>cf-art-102-inc-I-ali-h</w:t>
      </w:r>
      <w:r>
        <w:rPr>
          <w:color w:val="003CA0"/>
          <w:sz w:val="12"/>
        </w:rPr>
        <w:t xml:space="preserve"> | HC 86.834</w:t>
      </w:r>
      <w:r>
        <w:rPr>
          <w:color w:val="003CA0"/>
          <w:sz w:val="12"/>
        </w:rPr>
        <w:t xml:space="preserve"> | rel. Marco Aurélio</w:t>
      </w:r>
    </w:p>
    <w:p>
      <w:pPr>
        <w:ind w:left="288"/>
      </w:pPr>
      <w:r>
        <w:rPr>
          <w:color w:val="1E1E1E"/>
          <w:sz w:val="18"/>
        </w:rPr>
        <w:t>Competência. Habeas corpus. Definição. A competência para o julgamento do habeas corpus é definida pelos envolvidos – paciente e impetrante. Competência. Habeas corpus. Ato de turma recursal. Estando os integrantes das turmas recursais dos juizados especiais submetidos, nos crimes comuns e nos de responsabilidade, à jurisdição do tribunal de justiça ou do TRF, incumbe a cada qual, conforme o caso, julgar os habeas impetrados contra ato que tenham praticado. Competência. Habeas corpus. Liminar. Uma vez ocorrida a declinação da competência, cumpre preservar o quadro decisório decorrente do defer</w:t>
      </w:r>
    </w:p>
    <w:p>
      <w:pPr>
        <w:ind w:left="288"/>
      </w:pPr>
      <w:r>
        <w:rPr>
          <w:b/>
          <w:color w:val="003CA0"/>
          <w:sz w:val="16"/>
        </w:rPr>
        <w:t>[HC 86.834, rel. min. Marco Aurélio, j. 23-8-2006, P, DJ de 9-3-2007.]</w:t>
      </w:r>
    </w:p>
    <w:p>
      <w:pPr>
        <w:ind w:left="288"/>
      </w:pPr>
      <w:r>
        <w:rPr>
          <w:color w:val="8C8C8C"/>
          <w:sz w:val="12"/>
        </w:rPr>
        <w:t>cf-art-102-inc-I-ali-h</w:t>
      </w:r>
      <w:r>
        <w:rPr>
          <w:color w:val="003CA0"/>
          <w:sz w:val="12"/>
        </w:rPr>
        <w:t xml:space="preserve"> | HC 85.240</w:t>
      </w:r>
      <w:r>
        <w:rPr>
          <w:color w:val="003CA0"/>
          <w:sz w:val="12"/>
        </w:rPr>
        <w:t xml:space="preserve"> | rel. Ayres Britto</w:t>
      </w:r>
    </w:p>
    <w:p>
      <w:pPr>
        <w:ind w:left="288"/>
      </w:pPr>
      <w:r>
        <w:rPr>
          <w:color w:val="1E1E1E"/>
          <w:sz w:val="18"/>
        </w:rPr>
        <w:t>= HC 85.240, rel. min. Ayres Britto, j. 14-2-2008, P, DJE de 19-9-2008 Habeas corpus. Impetração contra decisão de ministro relator do STJ. Indeferimento de liminar em habeas corpus. Rejeição de proposta de cancelamento da Súmula 691 do Supremo. Conhecimento admitido no caso, com atenuação do alcance do enunciado da súmula. O enunciado da Súmula 691 do Supremo não o impede de, tal seja a hipótese, conhecer de habeas corpus contra decisão do relator que, em habeas corpus requerido ao STJ, indefere liminar.</w:t>
      </w:r>
    </w:p>
    <w:p>
      <w:pPr>
        <w:ind w:left="288"/>
      </w:pPr>
      <w:r>
        <w:rPr>
          <w:b/>
          <w:color w:val="003CA0"/>
          <w:sz w:val="16"/>
        </w:rPr>
        <w:t>[HC 85.185, rel. min. Cezar Peluso, j. 10-8-2005, P, DJ de 1º-9-2006.]</w:t>
      </w:r>
    </w:p>
    <w:p>
      <w:pPr>
        <w:ind w:left="288"/>
      </w:pPr>
      <w:r>
        <w:rPr>
          <w:color w:val="8C8C8C"/>
          <w:sz w:val="12"/>
        </w:rPr>
        <w:t>cf-art-102-inc-I-ali-h</w:t>
      </w:r>
      <w:r>
        <w:rPr>
          <w:color w:val="003CA0"/>
          <w:sz w:val="12"/>
        </w:rPr>
        <w:t xml:space="preserve"> | HC 85.212</w:t>
      </w:r>
      <w:r>
        <w:rPr>
          <w:color w:val="003CA0"/>
          <w:sz w:val="12"/>
        </w:rPr>
        <w:t xml:space="preserve"> | rel. Marco Aurélio</w:t>
      </w:r>
    </w:p>
    <w:p>
      <w:pPr>
        <w:ind w:left="288"/>
      </w:pPr>
      <w:r>
        <w:rPr>
          <w:color w:val="1E1E1E"/>
          <w:sz w:val="18"/>
        </w:rPr>
        <w:t>A competência do STF para julgar habeas corpus, considerado ato do STJ, pressupõe adoção de entendimento por este último, excepcionado o caso de concessão de ofício.</w:t>
      </w:r>
    </w:p>
    <w:p>
      <w:pPr>
        <w:ind w:left="288"/>
      </w:pPr>
      <w:r>
        <w:rPr>
          <w:b/>
          <w:color w:val="003CA0"/>
          <w:sz w:val="16"/>
        </w:rPr>
        <w:t>[HC 85.212, rel. min. Marco Aurélio, j. 15-2-2005, 1ª T, DJ de 18-3-2005.]</w:t>
      </w:r>
    </w:p>
    <w:p>
      <w:pPr>
        <w:ind w:left="288"/>
      </w:pPr>
      <w:r>
        <w:rPr>
          <w:color w:val="8C8C8C"/>
          <w:sz w:val="12"/>
        </w:rPr>
        <w:t>cf-art-102-inc-I-ali-h</w:t>
      </w:r>
      <w:r>
        <w:rPr>
          <w:color w:val="003CA0"/>
          <w:sz w:val="12"/>
        </w:rPr>
        <w:t xml:space="preserve"> | HC 99.212</w:t>
      </w:r>
      <w:r>
        <w:rPr>
          <w:color w:val="003CA0"/>
          <w:sz w:val="12"/>
        </w:rPr>
        <w:t xml:space="preserve"> | rel. Cezar Peluso</w:t>
      </w:r>
    </w:p>
    <w:p>
      <w:pPr>
        <w:ind w:left="288"/>
      </w:pPr>
      <w:r>
        <w:rPr>
          <w:color w:val="1E1E1E"/>
          <w:sz w:val="18"/>
        </w:rPr>
        <w:t>= HC 99.212 AgR, rel. min. Cezar Peluso, j. 25-8-2009, 2ª T, DJE de 16-10-2009 Compete ao STF processar e julgar, originariamente, pedido de habeas corpus, quando impetrado contra o ministro da Justiça, se o writ tiver por objetivo impedir a instauração de processo extradicional contra súdito estrangeiro. É que, em tal hipótese, a eventual concessão da ordem de habeas corpus poderá restringir (ou obstar) o exercício, pelo STF, dos poderes que lhe foram outorgados, com exclusividade, em sede de extradição passiva, pela Carta Política (CF, art. 102, I, g). Consequente inaplicabilidade, à espécie</w:t>
      </w:r>
    </w:p>
    <w:p>
      <w:pPr>
        <w:ind w:left="288"/>
      </w:pPr>
      <w:r>
        <w:rPr>
          <w:b/>
          <w:color w:val="003CA0"/>
          <w:sz w:val="16"/>
        </w:rPr>
        <w:t>[HC 83.113 QO, rel. min. Celso de Mello, j. 26-6-2003, P, DJ de 29-8-2003.]</w:t>
      </w:r>
    </w:p>
    <w:p>
      <w:pPr>
        <w:ind w:left="288"/>
      </w:pPr>
      <w:r>
        <w:rPr>
          <w:color w:val="8C8C8C"/>
          <w:sz w:val="12"/>
        </w:rPr>
        <w:t>cf-art-102-inc-I-ali-h</w:t>
      </w:r>
      <w:r>
        <w:rPr>
          <w:color w:val="003CA0"/>
          <w:sz w:val="12"/>
        </w:rPr>
        <w:t xml:space="preserve"> | HC 80.082</w:t>
      </w:r>
      <w:r>
        <w:rPr>
          <w:color w:val="003CA0"/>
          <w:sz w:val="12"/>
        </w:rPr>
        <w:t xml:space="preserve"> | rel. Sepúlveda Pertence</w:t>
      </w:r>
    </w:p>
    <w:p>
      <w:pPr>
        <w:ind w:left="288"/>
      </w:pPr>
      <w:r>
        <w:rPr>
          <w:color w:val="1E1E1E"/>
          <w:sz w:val="18"/>
        </w:rPr>
        <w:t>Habeas corpus: cabimento contra decisões colegiadas do próprio STF, restrito àquelas relacionadas a crimes de sua competência originária: inteligência conjugada das alíneas d, parte final, e i, parte final, do art. 102, I, da Constituição: análise e reafirmação da jurisprudência do STF, já enunciada na Súmula 606, que se mantém sob o regime constitucional vigente.</w:t>
      </w:r>
    </w:p>
    <w:p>
      <w:pPr>
        <w:ind w:left="288"/>
      </w:pPr>
      <w:r>
        <w:rPr>
          <w:b/>
          <w:color w:val="003CA0"/>
          <w:sz w:val="16"/>
        </w:rPr>
        <w:t>[HC 80.082 QO, rel. min. Sepúlveda Pertence, j. 16-8-2001, P, DJ de 1º-8-2003.]</w:t>
      </w:r>
    </w:p>
    <w:p>
      <w:pPr>
        <w:ind w:left="288"/>
      </w:pPr>
      <w:r>
        <w:rPr>
          <w:color w:val="8C8C8C"/>
          <w:sz w:val="12"/>
        </w:rPr>
        <w:t>cf-art-102-inc-I-ali-h</w:t>
      </w:r>
      <w:r>
        <w:rPr>
          <w:color w:val="003CA0"/>
          <w:sz w:val="12"/>
        </w:rPr>
        <w:t xml:space="preserve"> | HC 89.672</w:t>
      </w:r>
      <w:r>
        <w:rPr>
          <w:color w:val="003CA0"/>
          <w:sz w:val="12"/>
        </w:rPr>
        <w:t xml:space="preserve"> | rel. Ayres Britto</w:t>
      </w:r>
    </w:p>
    <w:p>
      <w:pPr>
        <w:ind w:left="288"/>
      </w:pPr>
      <w:r>
        <w:rPr>
          <w:color w:val="1E1E1E"/>
          <w:sz w:val="18"/>
        </w:rPr>
        <w:t>= HC 89.672 AgR, rel. min. Ayres Britto, j. 27-6-2007, P, DJ de 26-10-2007 Habeas corpus: cabimento, em caráter preventivo, contra ameaça de constrangimento a liberdade de locomoção, materializada na intimação do paciente para depor em CPI, que contém em si a possibilidade de condução coercitiva da testemunha que se recuse a comparecer, como, no caso, se pretende ser direito seu. STF: competência originária: habeas corpus contra ameaça imputada a senador ou deputado federal (CF, art. 102, I, i e c), incluída a que decorra de ato praticado pelo congressista na qualidade de presidente de CPI.</w:t>
      </w:r>
    </w:p>
    <w:p>
      <w:pPr>
        <w:ind w:left="288"/>
      </w:pPr>
      <w:r>
        <w:rPr>
          <w:b/>
          <w:color w:val="003CA0"/>
          <w:sz w:val="16"/>
        </w:rPr>
        <w:t>[HC 71.261, rel. min. Sepúlveda Pertence, j. 11-5-1994, P, DJ de 24-6-1994.]</w:t>
      </w:r>
    </w:p>
    <w:p>
      <w:pPr>
        <w:ind w:left="288"/>
      </w:pPr>
      <w:r>
        <w:rPr>
          <w:color w:val="8C8C8C"/>
          <w:sz w:val="12"/>
        </w:rPr>
        <w:t>cf-art-102-inc-I-ali-h</w:t>
      </w:r>
      <w:r>
        <w:rPr>
          <w:color w:val="003CA0"/>
          <w:sz w:val="12"/>
        </w:rPr>
        <w:t xml:space="preserve"> | MS 1.959</w:t>
      </w:r>
      <w:r>
        <w:rPr>
          <w:color w:val="003CA0"/>
          <w:sz w:val="12"/>
        </w:rPr>
        <w:t xml:space="preserve"> | rel. Paulo Brossard</w:t>
      </w:r>
    </w:p>
    <w:p>
      <w:pPr>
        <w:ind w:left="288"/>
      </w:pPr>
      <w:r>
        <w:rPr>
          <w:color w:val="1E1E1E"/>
          <w:sz w:val="18"/>
        </w:rPr>
        <w:t>Ao Supremo Federal compete exercer, originariamente, o controle jurisdicional sobre atos de CPI que envolvam ilegalidade ou ofensa a direito individual, dado que a ele compete processar e julgar habeas corpus e mandado de segurança contra atos das Mesas da Câmara dos Deputados e do Senado Federal, art. 102, I, i, da CF, e a CPI procede como se fora a Câmara dos Deputados ou o Senado Federal ou o Congresso Nacional. Construção constitucional consagrada, MS 1.959, de 1953, e HC 92.678, de 1953.</w:t>
      </w:r>
    </w:p>
    <w:p>
      <w:pPr>
        <w:ind w:left="288"/>
      </w:pPr>
      <w:r>
        <w:rPr>
          <w:b/>
          <w:color w:val="003CA0"/>
          <w:sz w:val="16"/>
        </w:rPr>
        <w:t>[HC 71.039, rel. min. Paulo Brossard, j. 7-4-1994, P, DJ de 6-12-1996.]</w:t>
      </w:r>
    </w:p>
    <w:p>
      <w:pPr>
        <w:ind w:left="144"/>
      </w:pPr>
      <w:r>
        <w:rPr>
          <w:b/>
          <w:color w:val="B45A00"/>
          <w:sz w:val="16"/>
        </w:rPr>
        <w:t>SUMULA</w:t>
      </w:r>
    </w:p>
    <w:p>
      <w:pPr>
        <w:ind w:left="288"/>
      </w:pPr>
      <w:r>
        <w:rPr>
          <w:color w:val="8C8C8C"/>
          <w:sz w:val="12"/>
        </w:rPr>
        <w:t>cf-art-102-inc-I-ali-j</w:t>
      </w:r>
    </w:p>
    <w:p>
      <w:pPr>
        <w:ind w:left="288"/>
      </w:pPr>
      <w:r>
        <w:rPr>
          <w:color w:val="1E1E1E"/>
          <w:sz w:val="18"/>
        </w:rPr>
        <w:t>Admite-se ação rescisória contra sentença transitada em julgado, ainda que contra ela não se tenham esgotado todos os recursos.</w:t>
        <w:br/>
        <w:t>[Súmula 514.] A competência para a ação rescisória não é do STF, quando a questão federal, apreciada no recurso extraordinário ou no agravo de instrumento, seja diversa da que foi suscitada no pedido rescisório.</w:t>
      </w:r>
    </w:p>
    <w:p>
      <w:pPr>
        <w:ind w:left="288"/>
      </w:pPr>
      <w:r>
        <w:rPr>
          <w:b/>
          <w:color w:val="003CA0"/>
          <w:sz w:val="16"/>
        </w:rPr>
        <w:t>[Súmula 515.]</w:t>
      </w:r>
    </w:p>
    <w:p>
      <w:pPr>
        <w:ind w:left="288"/>
      </w:pPr>
      <w:r>
        <w:rPr>
          <w:color w:val="8C8C8C"/>
          <w:sz w:val="12"/>
        </w:rPr>
        <w:t>cf-art-102-inc-I-ali-j</w:t>
      </w:r>
    </w:p>
    <w:p>
      <w:pPr>
        <w:ind w:left="288"/>
      </w:pPr>
      <w:r>
        <w:rPr>
          <w:color w:val="1E1E1E"/>
          <w:sz w:val="18"/>
        </w:rPr>
        <w:t>Não cabe ação rescisória por ofensa a literal disposição de lei, quando a decisão rescindenda se tiver baseado em texto legal de interpretação controvertida nos tribunais.</w:t>
      </w:r>
    </w:p>
    <w:p>
      <w:pPr>
        <w:ind w:left="288"/>
      </w:pPr>
      <w:r>
        <w:rPr>
          <w:b/>
          <w:color w:val="003CA0"/>
          <w:sz w:val="16"/>
        </w:rPr>
        <w:t>[Súmula 343.]</w:t>
      </w:r>
    </w:p>
    <w:p>
      <w:pPr>
        <w:ind w:left="288"/>
      </w:pPr>
      <w:r>
        <w:rPr>
          <w:color w:val="8C8C8C"/>
          <w:sz w:val="12"/>
        </w:rPr>
        <w:t>cf-art-102-inc-I-ali-j</w:t>
      </w:r>
    </w:p>
    <w:p>
      <w:pPr>
        <w:ind w:left="288"/>
      </w:pPr>
      <w:r>
        <w:rPr>
          <w:color w:val="1E1E1E"/>
          <w:sz w:val="18"/>
        </w:rPr>
        <w:t>É competente o STF para a ação rescisória, quando, embora não tendo conhecido do recurso extraordinário, ou havendo negado provimento ao agravo, tiver apreciado a questão federal controvertida.</w:t>
      </w:r>
    </w:p>
    <w:p>
      <w:pPr>
        <w:ind w:left="288"/>
      </w:pPr>
      <w:r>
        <w:rPr>
          <w:b/>
          <w:color w:val="003CA0"/>
          <w:sz w:val="16"/>
        </w:rPr>
        <w:t>[Súmula 249.]</w:t>
      </w:r>
    </w:p>
    <w:p>
      <w:pPr>
        <w:ind w:left="144"/>
      </w:pPr>
      <w:r>
        <w:rPr>
          <w:b/>
          <w:color w:val="B45A00"/>
          <w:sz w:val="16"/>
        </w:rPr>
        <w:t>REPERCUSSAO GERAL</w:t>
      </w:r>
    </w:p>
    <w:p>
      <w:pPr>
        <w:ind w:left="288"/>
      </w:pPr>
      <w:r>
        <w:rPr>
          <w:color w:val="8C8C8C"/>
          <w:sz w:val="12"/>
        </w:rPr>
        <w:t>cf-art-102-inc-I-ali-j</w:t>
      </w:r>
      <w:r>
        <w:rPr>
          <w:color w:val="003CA0"/>
          <w:sz w:val="12"/>
        </w:rPr>
        <w:t xml:space="preserve"> | RE 574.706</w:t>
      </w:r>
      <w:r>
        <w:rPr>
          <w:color w:val="003CA0"/>
          <w:sz w:val="12"/>
        </w:rPr>
        <w:t xml:space="preserve"> | rel. Luís Roberto Barroso</w:t>
      </w:r>
    </w:p>
    <w:p>
      <w:pPr>
        <w:ind w:left="288"/>
      </w:pPr>
      <w:r>
        <w:rPr>
          <w:color w:val="1E1E1E"/>
          <w:sz w:val="18"/>
        </w:rPr>
        <w:t>“Cabe ação rescisória para adequação de julgado à modulação temporal dos efeitos da tese de repercussão geral fixada no julgamento do RE 574.706 (Tema 69/RG)”.</w:t>
        <w:br/>
        <w:t>[RE 1.489.562 RG, rel. min. Luís Roberto Barroso, j. 18.10.2024, P, DJE de 23.10.2024, Tema 1.338, com mérito julgado.]</w:t>
        <w:br/>
        <w:t xml:space="preserve">Vide RE 574.706, rel. min. Cármen Lúcia, j. 15.03.2017, P, DJE de 02.10.2017, Tema 69, com mérito julgado A jurisprudência do STF tem admitido o cabimento de ação rescisória contra julgados em contrariedade com posterior modulação dos efeitos de tese de repercussão geral em oposição à tese de que haveria incidência da </w:t>
      </w:r>
    </w:p>
    <w:p>
      <w:pPr>
        <w:ind w:left="288"/>
      </w:pPr>
      <w:r>
        <w:rPr>
          <w:b/>
          <w:color w:val="003CA0"/>
          <w:sz w:val="16"/>
        </w:rPr>
        <w:t>[AR 3.096 TP-REF, rel. min. Gilmar Mendes, j. 07.05.2025, P, DJE de 12.06.2025.]</w:t>
      </w:r>
    </w:p>
    <w:p>
      <w:pPr>
        <w:ind w:left="288"/>
      </w:pPr>
      <w:r>
        <w:rPr>
          <w:color w:val="8C8C8C"/>
          <w:sz w:val="12"/>
        </w:rPr>
        <w:t>cf-art-102-inc-I-ali-j</w:t>
      </w:r>
      <w:r>
        <w:rPr>
          <w:color w:val="003CA0"/>
          <w:sz w:val="12"/>
        </w:rPr>
        <w:t xml:space="preserve"> | AR 2.876</w:t>
      </w:r>
      <w:r>
        <w:rPr>
          <w:color w:val="003CA0"/>
          <w:sz w:val="12"/>
        </w:rPr>
        <w:t xml:space="preserve"> | rel. Gilmar Mendes</w:t>
      </w:r>
    </w:p>
    <w:p>
      <w:pPr>
        <w:ind w:left="288"/>
      </w:pPr>
      <w:r>
        <w:rPr>
          <w:color w:val="1E1E1E"/>
          <w:sz w:val="18"/>
        </w:rPr>
        <w:t>“O § 15 do art. 525 e o § 8º do art. 535 do Código de Processo Civil devem ser interpretados conforme à Constituição, com efeitos ex nunc, no seguinte sentido, com a declaração incidental de inconstitucionalidade do § 14 do art. 525 e do § 7º do art. 535: 1. Em cada caso, o Supremo Tribunal Federal poderá definir os efeitos temporais de seus precedentes vinculantes e sua repercussão sobre a coisa julgada, estabelecendo inclusive a extensão da retroação para fins da ação rescisória ou mesmo o seu não cabimento diante do grave risco de lesão à segurança jurídica ou ao interesse social. 2. Na aus</w:t>
      </w:r>
    </w:p>
    <w:p>
      <w:pPr>
        <w:ind w:left="288"/>
      </w:pPr>
      <w:r>
        <w:rPr>
          <w:b/>
          <w:color w:val="003CA0"/>
          <w:sz w:val="16"/>
        </w:rPr>
        <w:t>[AR 2.876 QO, rel. min. Gilmar Mendes, j. 23.04.2025, P, Informativo STF 1.177.]</w:t>
      </w:r>
    </w:p>
    <w:p>
      <w:pPr>
        <w:ind w:left="144"/>
      </w:pPr>
      <w:r>
        <w:rPr>
          <w:b/>
          <w:color w:val="B45A00"/>
          <w:sz w:val="16"/>
        </w:rPr>
        <w:t>JULGADOS CORRELATOS</w:t>
      </w:r>
    </w:p>
    <w:p>
      <w:pPr>
        <w:ind w:left="288"/>
      </w:pPr>
      <w:r>
        <w:rPr>
          <w:color w:val="8C8C8C"/>
          <w:sz w:val="12"/>
        </w:rPr>
        <w:t>cf-art-102-inc-I-ali-j</w:t>
      </w:r>
      <w:r>
        <w:rPr>
          <w:color w:val="003CA0"/>
          <w:sz w:val="12"/>
        </w:rPr>
        <w:t xml:space="preserve"> | AR 2.921</w:t>
      </w:r>
      <w:r>
        <w:rPr>
          <w:color w:val="003CA0"/>
          <w:sz w:val="12"/>
        </w:rPr>
        <w:t xml:space="preserve"> | rel. Alexandre de Moraes</w:t>
      </w:r>
    </w:p>
    <w:p>
      <w:pPr>
        <w:ind w:left="288"/>
      </w:pPr>
      <w:r>
        <w:rPr>
          <w:color w:val="1E1E1E"/>
          <w:sz w:val="18"/>
        </w:rPr>
        <w:t>Ação rescisória em face de decisão proferida em extradição. Cabimento (102, I, “j”, da CF).</w:t>
        <w:br/>
        <w:t>[AR 2.921, rel. min. Alexandre de Moraes, red. do ac. min. Nunes Marques, j. 30-3-2023, P, DJE de 7-6-2023.] O erro de fato que autoriza a ação rescisória é aquele que se verifica quando a decisão leva em consideração fato inexistente nos autos ou desconsidera fato inconteste. Ou seja, o erro de fato ocorre quando existem nos autos elementos que são, por si só, capazes de modificar o resultado do julgamento, mas que não foram considerados, ou quando se leva em consideração fato não constante do processo</w:t>
      </w:r>
    </w:p>
    <w:p>
      <w:pPr>
        <w:ind w:left="288"/>
      </w:pPr>
      <w:r>
        <w:rPr>
          <w:b/>
          <w:color w:val="003CA0"/>
          <w:sz w:val="16"/>
        </w:rPr>
        <w:t>[AR 2.503 AgR, rel. min. Rosa Weber, j. 8-9-2021, P, DJE de 14-9-2021.]</w:t>
      </w:r>
    </w:p>
    <w:p>
      <w:pPr>
        <w:ind w:left="288"/>
      </w:pPr>
      <w:r>
        <w:rPr>
          <w:color w:val="8C8C8C"/>
          <w:sz w:val="12"/>
        </w:rPr>
        <w:t>cf-art-102-inc-I-ali-j</w:t>
      </w:r>
      <w:r>
        <w:rPr>
          <w:color w:val="003CA0"/>
          <w:sz w:val="12"/>
        </w:rPr>
        <w:t xml:space="preserve"> | AR 2.509</w:t>
      </w:r>
      <w:r>
        <w:rPr>
          <w:color w:val="003CA0"/>
          <w:sz w:val="12"/>
        </w:rPr>
        <w:t xml:space="preserve"> | rel. Marco Aurélio</w:t>
      </w:r>
    </w:p>
    <w:p>
      <w:pPr>
        <w:ind w:left="288"/>
      </w:pPr>
      <w:r>
        <w:rPr>
          <w:color w:val="1E1E1E"/>
          <w:sz w:val="18"/>
        </w:rPr>
        <w:t>O termo inicial de prazo de decadência para a propositura da ação rescisória coincide com a data do trânsito em julgado do título rescindendo. Recurso inadequado não tem o efeito de impedir a preclusão.</w:t>
      </w:r>
    </w:p>
    <w:p>
      <w:pPr>
        <w:ind w:left="288"/>
      </w:pPr>
      <w:r>
        <w:rPr>
          <w:b/>
          <w:color w:val="003CA0"/>
          <w:sz w:val="16"/>
        </w:rPr>
        <w:t>[AR 2.509-AgR, rel. min. Marco Aurélio, j. 11-9-2019, P, DJE de 27-9-2019.]</w:t>
      </w:r>
    </w:p>
    <w:p>
      <w:pPr>
        <w:ind w:left="288"/>
      </w:pPr>
      <w:r>
        <w:rPr>
          <w:color w:val="8C8C8C"/>
          <w:sz w:val="12"/>
        </w:rPr>
        <w:t>cf-art-102-inc-I-ali-j</w:t>
      </w:r>
      <w:r>
        <w:rPr>
          <w:color w:val="003CA0"/>
          <w:sz w:val="12"/>
        </w:rPr>
        <w:t xml:space="preserve"> | MS 31.686</w:t>
      </w:r>
      <w:r>
        <w:rPr>
          <w:color w:val="003CA0"/>
          <w:sz w:val="12"/>
        </w:rPr>
        <w:t xml:space="preserve"> | rel. Celso de Mello. Entretanto</w:t>
      </w:r>
    </w:p>
    <w:p>
      <w:pPr>
        <w:ind w:left="288"/>
      </w:pPr>
      <w:r>
        <w:rPr>
          <w:color w:val="1E1E1E"/>
          <w:sz w:val="18"/>
        </w:rPr>
        <w:t xml:space="preserve">A ação rescisória por ofensa a literal dispositivo de lei é inadmissível nas hipóteses em que a decisão rescindenda tiver por fundamento texto legal de interpretação controvertida nos tribunais (Súmula 343/STF). (...) In casu, o que pretende a União é desconstituir decisão proferida pela Segunda Turma deste Tribunal, nos autos do MS 31.686, rel. Min. Celso de Mello. Entretanto, a alegação de que a decisão rescindenda incorreu em manifesta violação a dispositivo de lei não restou demonstrada, notadamente em razão de, à época de sua prolação, ser controvertida a interpretação do Tribunal quanto </w:t>
      </w:r>
    </w:p>
    <w:p>
      <w:pPr>
        <w:ind w:left="288"/>
      </w:pPr>
      <w:r>
        <w:rPr>
          <w:b/>
          <w:color w:val="003CA0"/>
          <w:sz w:val="16"/>
        </w:rPr>
        <w:t>[AR 2.440-AgR, rel. min. Ricardo Lewandowski, j. 19-9-2018, P, DJE de 9-9-2019.]</w:t>
      </w:r>
    </w:p>
    <w:p>
      <w:pPr>
        <w:ind w:left="288"/>
      </w:pPr>
      <w:r>
        <w:rPr>
          <w:color w:val="8C8C8C"/>
          <w:sz w:val="12"/>
        </w:rPr>
        <w:t>cf-art-102-inc-I-ali-j</w:t>
      </w:r>
      <w:r>
        <w:rPr>
          <w:color w:val="003CA0"/>
          <w:sz w:val="12"/>
        </w:rPr>
        <w:t xml:space="preserve"> | AR 1.950</w:t>
      </w:r>
      <w:r>
        <w:rPr>
          <w:color w:val="003CA0"/>
          <w:sz w:val="12"/>
        </w:rPr>
        <w:t xml:space="preserve"> | rel. Cármen Lúcia</w:t>
      </w:r>
    </w:p>
    <w:p>
      <w:pPr>
        <w:ind w:left="288"/>
      </w:pPr>
      <w:r>
        <w:rPr>
          <w:color w:val="1E1E1E"/>
          <w:sz w:val="18"/>
        </w:rPr>
        <w:t>O STF é competente apenas para processar e julgar revisão criminal quando a condenação tiver sido por ele proferida ou mantida no julgamento de ação penal originária, em recurso criminal ordinário ou em recurso extraordinário com conhecimento de mérito.</w:t>
        <w:br/>
        <w:t xml:space="preserve">[RvC 5.448 AgR, rel. min. Cármen Lúcia, j. 17-3-2016, P, DJE de 8-4-2016.] Agravo regimental em ação rescisória. (...) A configuração de ocorrência de erro de fato deve surgir de elementos já constantes dos autos primordiais, cuja falsa percepção pelo magistrado leva à confirmação de realidade inexistente ou à negação de realidade efetivamente </w:t>
      </w:r>
    </w:p>
    <w:p>
      <w:pPr>
        <w:ind w:left="288"/>
      </w:pPr>
      <w:r>
        <w:rPr>
          <w:b/>
          <w:color w:val="003CA0"/>
          <w:sz w:val="16"/>
        </w:rPr>
        <w:t>[AR 1.950 AgR, rel. min. Dias Toffoli, j. 30-4-2014, P, DJE de 20-6-2014.]</w:t>
      </w:r>
    </w:p>
    <w:p>
      <w:pPr>
        <w:ind w:left="288"/>
      </w:pPr>
      <w:r>
        <w:rPr>
          <w:color w:val="8C8C8C"/>
          <w:sz w:val="12"/>
        </w:rPr>
        <w:t>cf-art-102-inc-I-ali-j</w:t>
      </w:r>
      <w:r>
        <w:rPr>
          <w:color w:val="003CA0"/>
          <w:sz w:val="12"/>
        </w:rPr>
        <w:t xml:space="preserve"> | AR 1.561</w:t>
      </w:r>
      <w:r>
        <w:rPr>
          <w:color w:val="003CA0"/>
          <w:sz w:val="12"/>
        </w:rPr>
        <w:t xml:space="preserve"> | rel. Dias Toffoli</w:t>
      </w:r>
    </w:p>
    <w:p>
      <w:pPr>
        <w:ind w:left="288"/>
      </w:pPr>
      <w:r>
        <w:rPr>
          <w:color w:val="1E1E1E"/>
          <w:sz w:val="18"/>
        </w:rPr>
        <w:t>A jurisprudência da Corte tem reconhecido a decadência para a propositura da demanda rescisória quando a demora na efetivação das citações não tenha decorrido da simples movimentação da máquina judiciária.</w:t>
      </w:r>
    </w:p>
    <w:p>
      <w:pPr>
        <w:ind w:left="288"/>
      </w:pPr>
      <w:r>
        <w:rPr>
          <w:b/>
          <w:color w:val="003CA0"/>
          <w:sz w:val="16"/>
        </w:rPr>
        <w:t>[AR 1.561 AgR, rel. min. Dias Toffoli, j. 10-4-2014, P, DJE de 30-5-2014.]</w:t>
      </w:r>
    </w:p>
    <w:p>
      <w:pPr>
        <w:ind w:left="288"/>
      </w:pPr>
      <w:r>
        <w:rPr>
          <w:color w:val="8C8C8C"/>
          <w:sz w:val="12"/>
        </w:rPr>
        <w:t>cf-art-102-inc-I-ali-j</w:t>
      </w:r>
      <w:r>
        <w:rPr>
          <w:color w:val="003CA0"/>
          <w:sz w:val="12"/>
        </w:rPr>
        <w:t xml:space="preserve"> | RE 666.589</w:t>
      </w:r>
      <w:r>
        <w:rPr>
          <w:color w:val="003CA0"/>
          <w:sz w:val="12"/>
        </w:rPr>
        <w:t xml:space="preserve"> | rel. Marco Aurélio</w:t>
      </w:r>
    </w:p>
    <w:p>
      <w:pPr>
        <w:ind w:left="288"/>
      </w:pPr>
      <w:r>
        <w:rPr>
          <w:color w:val="1E1E1E"/>
          <w:sz w:val="18"/>
        </w:rPr>
        <w:t>Coisa julgada. Pronunciamento judicial. Capítulos autônomos. Os capítulos autônomos do pronunciamento judicial precluem no que não atacados por meio de recurso, surgindo, ante o fenômeno, o termo inicial do biênio decadencial para a propositura da rescisória.</w:t>
      </w:r>
    </w:p>
    <w:p>
      <w:pPr>
        <w:ind w:left="288"/>
      </w:pPr>
      <w:r>
        <w:rPr>
          <w:b/>
          <w:color w:val="003CA0"/>
          <w:sz w:val="16"/>
        </w:rPr>
        <w:t>[RE 666.589, rel. min. Marco Aurélio, j. 25-3-2014, 1ª T, DJE de 3-6-2014.]</w:t>
      </w:r>
    </w:p>
    <w:p>
      <w:pPr>
        <w:ind w:left="288"/>
      </w:pPr>
      <w:r>
        <w:rPr>
          <w:color w:val="8C8C8C"/>
          <w:sz w:val="12"/>
        </w:rPr>
        <w:t>cf-art-102-inc-I-ali-j</w:t>
      </w:r>
      <w:r>
        <w:rPr>
          <w:color w:val="003CA0"/>
          <w:sz w:val="12"/>
        </w:rPr>
        <w:t xml:space="preserve"> | AR 1.485</w:t>
      </w:r>
      <w:r>
        <w:rPr>
          <w:color w:val="003CA0"/>
          <w:sz w:val="12"/>
        </w:rPr>
        <w:t xml:space="preserve"> | rel. Dias Toffoli</w:t>
      </w:r>
    </w:p>
    <w:p>
      <w:pPr>
        <w:ind w:left="288"/>
      </w:pPr>
      <w:r>
        <w:rPr>
          <w:color w:val="1E1E1E"/>
          <w:sz w:val="18"/>
        </w:rPr>
        <w:t>Para a formação de capítulos distintos no acórdão rescindendo, relativamente aos litigantes, é imprescindível que se tenha estabelecido naqueles autos originários diferenciação entre os litisconsortes, de modo a restar julgada tal distinção. Não tendo havido delimitação na própria demanda, o acórdão nela proferido atingirá a todos, indistintamente e, por tal razão, a via rescisória exigirá a formação de litisconsórcio passivo entre todos os impetrantes da ação originária.</w:t>
      </w:r>
    </w:p>
    <w:p>
      <w:pPr>
        <w:ind w:left="288"/>
      </w:pPr>
      <w:r>
        <w:rPr>
          <w:b/>
          <w:color w:val="003CA0"/>
          <w:sz w:val="16"/>
        </w:rPr>
        <w:t>[AR 1.485 AgR, rel. min. Dias Toffoli, j. 19-9-2013, P, DJE de 29-10-2013.]</w:t>
      </w:r>
    </w:p>
    <w:p>
      <w:pPr>
        <w:ind w:left="288"/>
      </w:pPr>
      <w:r>
        <w:rPr>
          <w:color w:val="8C8C8C"/>
          <w:sz w:val="12"/>
        </w:rPr>
        <w:t>cf-art-102-inc-I-ali-j</w:t>
      </w:r>
      <w:r>
        <w:rPr>
          <w:color w:val="003CA0"/>
          <w:sz w:val="12"/>
        </w:rPr>
        <w:t xml:space="preserve"> | AR 1.699</w:t>
      </w:r>
      <w:r>
        <w:rPr>
          <w:color w:val="003CA0"/>
          <w:sz w:val="12"/>
        </w:rPr>
        <w:t xml:space="preserve"> | rel. Marco Aurélio</w:t>
      </w:r>
    </w:p>
    <w:p>
      <w:pPr>
        <w:ind w:left="288"/>
      </w:pPr>
      <w:r>
        <w:rPr>
          <w:color w:val="1E1E1E"/>
          <w:sz w:val="18"/>
        </w:rPr>
        <w:t>Vide AR 1.699 AgR, rel. min. Marco Aurélio, j. 23-6-2005, P, DJ de 9-9-2005 (...) a última decisão proferida (...) transitou em julgado em 5-8-2003 (fl. 405) (terça-feira). Iniciou-se, portanto, nesse mesmo dia, o prazo bienal de decadência da ação rescisória, cujo término ocorreu no dia 5-8-2005 (sexta-feira), nos termos do art. 132, § 3º, do CC/2002, segundo o qual "Os prazos de meses e anos expiram no dia de igual número do de início, ou no imediato, se faltar exata correspondência”.</w:t>
      </w:r>
    </w:p>
    <w:p>
      <w:pPr>
        <w:ind w:left="288"/>
      </w:pPr>
      <w:r>
        <w:rPr>
          <w:b/>
          <w:color w:val="003CA0"/>
          <w:sz w:val="16"/>
        </w:rPr>
        <w:t>[AR 1.944 AgR, voto do rel. min. Dias Toffoli, j. 18-11-2010, P, DJE de 14-3-2011.]</w:t>
      </w:r>
    </w:p>
    <w:p>
      <w:pPr>
        <w:ind w:left="288"/>
      </w:pPr>
      <w:r>
        <w:rPr>
          <w:color w:val="8C8C8C"/>
          <w:sz w:val="12"/>
        </w:rPr>
        <w:t>cf-art-102-inc-I-ali-j</w:t>
      </w:r>
      <w:r>
        <w:rPr>
          <w:color w:val="003CA0"/>
          <w:sz w:val="12"/>
        </w:rPr>
        <w:t xml:space="preserve"> | AR 1.412</w:t>
      </w:r>
      <w:r>
        <w:rPr>
          <w:color w:val="003CA0"/>
          <w:sz w:val="12"/>
        </w:rPr>
        <w:t xml:space="preserve"> | rel. Cezar Peluso</w:t>
      </w:r>
    </w:p>
    <w:p>
      <w:pPr>
        <w:ind w:left="288"/>
      </w:pPr>
      <w:r>
        <w:rPr>
          <w:color w:val="1E1E1E"/>
          <w:sz w:val="18"/>
        </w:rPr>
        <w:t>Vide AR 1.412, rel. min. Cezar Peluso, j. 26-3-2009, P, DJE de 26-6-2009 A ação rescisória, por se tratar de demanda de caráter excepcional (uma vez que tem por escopo a desconstituição de decisão já acobertada pelo manto da coisa julgada), há de ser postulada por representante processual devidamente amparado por mandato judicial que lhe confira poderes específicos para tanto. Em se tratando de ação autônoma, o mandato originário não se estende à proposição de ação rescisória. Os efeitos das procurações outorgadas se exaurem com o encerramento definitivo daquele processo. Exigência que não con</w:t>
      </w:r>
    </w:p>
    <w:p>
      <w:pPr>
        <w:ind w:left="288"/>
      </w:pPr>
      <w:r>
        <w:rPr>
          <w:b/>
          <w:color w:val="003CA0"/>
          <w:sz w:val="16"/>
        </w:rPr>
        <w:t>[AR 2.236 ED e AR 2.239 ED, rel. min. Dias Toffoli, j. 23-6-2010, P, DJE de 3-9-2010.]</w:t>
      </w:r>
    </w:p>
    <w:p>
      <w:pPr>
        <w:ind w:left="288"/>
      </w:pPr>
      <w:r>
        <w:rPr>
          <w:color w:val="8C8C8C"/>
          <w:sz w:val="12"/>
        </w:rPr>
        <w:t>cf-art-102-inc-I-ali-j</w:t>
      </w:r>
      <w:r>
        <w:rPr>
          <w:color w:val="003CA0"/>
          <w:sz w:val="12"/>
        </w:rPr>
        <w:t xml:space="preserve"> | AR 2.156</w:t>
      </w:r>
      <w:r>
        <w:rPr>
          <w:color w:val="003CA0"/>
          <w:sz w:val="12"/>
        </w:rPr>
        <w:t xml:space="preserve"> | rel. Ellen Gracie</w:t>
      </w:r>
    </w:p>
    <w:p>
      <w:pPr>
        <w:ind w:left="288"/>
      </w:pPr>
      <w:r>
        <w:rPr>
          <w:color w:val="1E1E1E"/>
          <w:sz w:val="18"/>
        </w:rPr>
        <w:t>= AR 2.156 ED e AR 2.202 ED, rel. min. Ellen Gracie, j. 18-8-2010, P, DJE de 25-10-2010 Deve ser afastada (...) a afirmação de que a análise de violação literal a preceito infraconstitucional implica usurpação da competência do STJ. A ação rescisória possui pressupostos próprios, que não se confundem com os requisitos de admissibilidade dos recursos especial e extraordinário. A competência do Supremo para rescindir seus próprios julgados, por sua vez, decorre expressamente do disposto no art. 102, I, j, da Constituição. Não existe, no caso, óbice processual ao conhecimento do pedido.</w:t>
      </w:r>
    </w:p>
    <w:p>
      <w:pPr>
        <w:ind w:left="288"/>
      </w:pPr>
      <w:r>
        <w:rPr>
          <w:b/>
          <w:color w:val="003CA0"/>
          <w:sz w:val="16"/>
        </w:rPr>
        <w:t>[AR 1.408, voto do rel. min. Eros Grau, j. 16-6-2010, P, DJE de 20-8-2010.]</w:t>
      </w:r>
    </w:p>
    <w:p>
      <w:pPr>
        <w:ind w:left="288"/>
      </w:pPr>
      <w:r>
        <w:rPr>
          <w:color w:val="8C8C8C"/>
          <w:sz w:val="12"/>
        </w:rPr>
        <w:t>cf-art-102-inc-I-ali-j</w:t>
      </w:r>
      <w:r>
        <w:rPr>
          <w:color w:val="003CA0"/>
          <w:sz w:val="12"/>
        </w:rPr>
        <w:t xml:space="preserve"> | RE 463.624</w:t>
      </w:r>
      <w:r>
        <w:rPr>
          <w:color w:val="003CA0"/>
          <w:sz w:val="12"/>
        </w:rPr>
        <w:t xml:space="preserve"> | rel. Joaquim Barbosa</w:t>
      </w:r>
    </w:p>
    <w:p>
      <w:pPr>
        <w:ind w:left="288"/>
      </w:pPr>
      <w:r>
        <w:rPr>
          <w:color w:val="1E1E1E"/>
          <w:sz w:val="18"/>
        </w:rPr>
        <w:t>(...) a indicação expressa do artigo da Constituição, na petição inicial da ação rescisória, é dispensável quando é evidente a invocação do princípio constitucional que fundamenta a pretensão, afastando-se o óbice da Súmula 343 desta Corte.</w:t>
      </w:r>
    </w:p>
    <w:p>
      <w:pPr>
        <w:ind w:left="288"/>
      </w:pPr>
      <w:r>
        <w:rPr>
          <w:b/>
          <w:color w:val="003CA0"/>
          <w:sz w:val="16"/>
        </w:rPr>
        <w:t>[RE 463.624 AgR-ED-ED, rel. min. Joaquim Barbosa, j. 4-8-2009, 2ª T, DJE de 28-8-2009.]</w:t>
      </w:r>
    </w:p>
    <w:p>
      <w:pPr>
        <w:ind w:left="288"/>
      </w:pPr>
      <w:r>
        <w:rPr>
          <w:color w:val="8C8C8C"/>
          <w:sz w:val="12"/>
        </w:rPr>
        <w:t>cf-art-102-inc-I-ali-j</w:t>
      </w:r>
      <w:r>
        <w:rPr>
          <w:color w:val="003CA0"/>
          <w:sz w:val="12"/>
        </w:rPr>
        <w:t xml:space="preserve"> | RE 328.812</w:t>
      </w:r>
      <w:r>
        <w:rPr>
          <w:color w:val="003CA0"/>
          <w:sz w:val="12"/>
        </w:rPr>
        <w:t xml:space="preserve"> | rel. Gilmar Mendes</w:t>
      </w:r>
    </w:p>
    <w:p>
      <w:pPr>
        <w:ind w:left="288"/>
      </w:pPr>
      <w:r>
        <w:rPr>
          <w:color w:val="1E1E1E"/>
          <w:sz w:val="18"/>
        </w:rPr>
        <w:t>= RE 328.812 AgR, rel. min. Gilmar Mendes, j. 10-12-2002, 2ª T, DJ de 11-4-2003 Vide AI 357.834 AgR, rel. min. Celso de Mello, j. 26-6-2002, 2ª T, DJ de 12-4-2002 Há dolo na conduta daquele que, em pedido de homologação de sentença estrangeira, indica para citação do réu endereço no Brasil, tendo conhecimento inequívoco da residência deste no exterior. Hipótese que determina a rescisão do julgado, nos termos do disposto no art. 485, III, do CPC. A autora da rescisória comprovou que não residia no Brasil no período em que julgado o pedido de homologação (1980-1982). As provas juntadas aos autos</w:t>
      </w:r>
    </w:p>
    <w:p>
      <w:pPr>
        <w:ind w:left="288"/>
      </w:pPr>
      <w:r>
        <w:rPr>
          <w:b/>
          <w:color w:val="003CA0"/>
          <w:sz w:val="16"/>
        </w:rPr>
        <w:t>[AR 1.169, rel. min. Eros Grau, j. 3-8-2009, P, DJE de 2-10-2009.]</w:t>
      </w:r>
    </w:p>
    <w:p>
      <w:pPr>
        <w:ind w:left="288"/>
      </w:pPr>
      <w:r>
        <w:rPr>
          <w:color w:val="8C8C8C"/>
          <w:sz w:val="12"/>
        </w:rPr>
        <w:t>cf-art-102-inc-I-ali-j</w:t>
      </w:r>
      <w:r>
        <w:rPr>
          <w:color w:val="003CA0"/>
          <w:sz w:val="12"/>
        </w:rPr>
        <w:t xml:space="preserve"> | AR 1.412</w:t>
      </w:r>
      <w:r>
        <w:rPr>
          <w:color w:val="003CA0"/>
          <w:sz w:val="12"/>
        </w:rPr>
        <w:t xml:space="preserve"> | rel. Cezar Peluso</w:t>
      </w:r>
    </w:p>
    <w:p>
      <w:pPr>
        <w:ind w:left="288"/>
      </w:pPr>
      <w:r>
        <w:rPr>
          <w:color w:val="1E1E1E"/>
          <w:sz w:val="18"/>
        </w:rPr>
        <w:t>O prazo decadencial para propositura de ação rescisória começa a correr da data do trânsito em julgado da sentença rescindenda, incluindo-se-lhe no cômputo o dia do começo, e sua consumação deve ser pronunciada de ofício a qualquer tempo, ainda quando a tenha afastado, sem recurso, decisão anterior.</w:t>
      </w:r>
    </w:p>
    <w:p>
      <w:pPr>
        <w:ind w:left="288"/>
      </w:pPr>
      <w:r>
        <w:rPr>
          <w:b/>
          <w:color w:val="003CA0"/>
          <w:sz w:val="16"/>
        </w:rPr>
        <w:t>[AR 1.412, rel. min. Cezar Peluso, j. 26-3-2009, P, DJE de 26-6-2009.]</w:t>
      </w:r>
    </w:p>
    <w:p>
      <w:pPr>
        <w:ind w:left="288"/>
      </w:pPr>
      <w:r>
        <w:rPr>
          <w:color w:val="8C8C8C"/>
          <w:sz w:val="12"/>
        </w:rPr>
        <w:t>cf-art-102-inc-I-ali-j</w:t>
      </w:r>
      <w:r>
        <w:rPr>
          <w:color w:val="003CA0"/>
          <w:sz w:val="12"/>
        </w:rPr>
        <w:t xml:space="preserve"> | AR 1.472</w:t>
      </w:r>
      <w:r>
        <w:rPr>
          <w:color w:val="003CA0"/>
          <w:sz w:val="12"/>
        </w:rPr>
        <w:t xml:space="preserve"> | rel. Marco Aurélio</w:t>
      </w:r>
    </w:p>
    <w:p>
      <w:pPr>
        <w:ind w:left="288"/>
      </w:pPr>
      <w:r>
        <w:rPr>
          <w:color w:val="1E1E1E"/>
          <w:sz w:val="18"/>
        </w:rPr>
        <w:t>= AR 1.472, rel. min. Marco Aurélio, j. 17-9-2007, P, DJ de 7-12-2007 Vide AR 1.944 AgR, rel. min. Dias Toffoli, j. 18-11-2010, P, DJE de 14-3-2011 A competência originária desta Corte para processar e julgar ações rescisórias cinge-se às ações que impugnam julgados proferidos por órgãos do STF. Inaplicável à espécie a Súmula 505, anotando-se que a ação rescisória não possui natureza de recurso.</w:t>
      </w:r>
    </w:p>
    <w:p>
      <w:pPr>
        <w:ind w:left="288"/>
      </w:pPr>
      <w:r>
        <w:rPr>
          <w:b/>
          <w:color w:val="003CA0"/>
          <w:sz w:val="16"/>
        </w:rPr>
        <w:t>[AR 1.853 AgR, rel. min. Ricardo Lewandowski, j. 25-6-2008, P, DJE de 8-8-2008.]</w:t>
      </w:r>
    </w:p>
    <w:p>
      <w:pPr>
        <w:ind w:left="288"/>
      </w:pPr>
      <w:r>
        <w:rPr>
          <w:color w:val="8C8C8C"/>
          <w:sz w:val="12"/>
        </w:rPr>
        <w:t>cf-art-102-inc-I-ali-j</w:t>
      </w:r>
      <w:r>
        <w:rPr>
          <w:color w:val="003CA0"/>
          <w:sz w:val="12"/>
        </w:rPr>
        <w:t xml:space="preserve"> | PET 3.090</w:t>
      </w:r>
      <w:r>
        <w:rPr>
          <w:color w:val="003CA0"/>
          <w:sz w:val="12"/>
        </w:rPr>
        <w:t xml:space="preserve"> | rel. Cezar Peluso</w:t>
      </w:r>
    </w:p>
    <w:p>
      <w:pPr>
        <w:ind w:left="288"/>
      </w:pPr>
      <w:r>
        <w:rPr>
          <w:color w:val="1E1E1E"/>
          <w:sz w:val="18"/>
        </w:rPr>
        <w:t>= Pet 3.090 AgR, rel. min. Cezar Peluso, j. 4-2-2010, P, DJE de 9-4-2010 Ação rescisória. Matéria constitucional. Inaplicabilidade da Súmula 343/STF. A manutenção de decisões das instâncias ordinárias divergentes da interpretação adotada pelo STF revela-se afrontosa à força normativa da Constituição e ao princípio da máxima efetividade da norma constitucional. Cabe ação rescisória por ofensa à literal disposição constitucional, ainda que a decisão rescindenda tenha-se baseado em interpretação controvertida ou seja anterior à orientação fixada pelo STF.</w:t>
      </w:r>
    </w:p>
    <w:p>
      <w:pPr>
        <w:ind w:left="288"/>
      </w:pPr>
      <w:r>
        <w:rPr>
          <w:b/>
          <w:color w:val="003CA0"/>
          <w:sz w:val="16"/>
        </w:rPr>
        <w:t>[RE 328.812 ED, rel. min. Gilmar Mendes, j. 6-3-2008, P, DJE de 2-5-2008.]</w:t>
      </w:r>
    </w:p>
    <w:p>
      <w:pPr>
        <w:ind w:left="288"/>
      </w:pPr>
      <w:r>
        <w:rPr>
          <w:color w:val="8C8C8C"/>
          <w:sz w:val="12"/>
        </w:rPr>
        <w:t>cf-art-102-inc-I-ali-j</w:t>
      </w:r>
      <w:r>
        <w:rPr>
          <w:color w:val="003CA0"/>
          <w:sz w:val="12"/>
        </w:rPr>
        <w:t xml:space="preserve"> | AI 703.485</w:t>
      </w:r>
      <w:r>
        <w:rPr>
          <w:color w:val="003CA0"/>
          <w:sz w:val="12"/>
        </w:rPr>
        <w:t xml:space="preserve"> | rel. Dias Toffoli</w:t>
      </w:r>
    </w:p>
    <w:p>
      <w:pPr>
        <w:ind w:left="288"/>
      </w:pPr>
      <w:r>
        <w:rPr>
          <w:color w:val="1E1E1E"/>
          <w:sz w:val="18"/>
        </w:rPr>
        <w:t>= AI 703.485 AgR, rel. min. Dias Toffoli, j. 11-12-2012, 1ª T, DJE de 8-2-2012 Vide AI 460.439 AgR, red. do ac. min. Sepúlveda Pertence, j. 17-8-2006, P, DJ de 9-3-2007 Ação rescisória, com fundamento em violação de literal disposição de lei (CPC, art. 485), para rescindir decisão que condenara a autora a recompor perdas do FGTS com os denominados "expurgos inflacionários", liminarmente indeferida, por impossibilidade jurídica do pedido, com fundamento na Súmula 343 (...). Recurso extraordinário fundado na contrariedade aos arts. 5º, II, XXXV e XXXVI; 7º, III; e 22, VI, da CF, nenhum dos quais</w:t>
      </w:r>
    </w:p>
    <w:p>
      <w:pPr>
        <w:ind w:left="288"/>
      </w:pPr>
      <w:r>
        <w:rPr>
          <w:b/>
          <w:color w:val="003CA0"/>
          <w:sz w:val="16"/>
        </w:rPr>
        <w:t>[AI 460.439 AgR, red. do ac. min. Sepúlveda Pertence, j. 17-8-2006, P, DJ de 9-3-2007.]</w:t>
      </w:r>
    </w:p>
    <w:p>
      <w:pPr>
        <w:ind w:left="288"/>
      </w:pPr>
      <w:r>
        <w:rPr>
          <w:color w:val="8C8C8C"/>
          <w:sz w:val="12"/>
        </w:rPr>
        <w:t>cf-art-102-inc-I-ali-j</w:t>
      </w:r>
      <w:r>
        <w:rPr>
          <w:color w:val="003CA0"/>
          <w:sz w:val="12"/>
        </w:rPr>
        <w:t xml:space="preserve"> | RE 328.812</w:t>
      </w:r>
      <w:r>
        <w:rPr>
          <w:color w:val="003CA0"/>
          <w:sz w:val="12"/>
        </w:rPr>
        <w:t xml:space="preserve"> | rel. Gilmar Mendes</w:t>
      </w:r>
    </w:p>
    <w:p>
      <w:pPr>
        <w:ind w:left="288"/>
      </w:pPr>
      <w:r>
        <w:rPr>
          <w:color w:val="1E1E1E"/>
          <w:sz w:val="18"/>
        </w:rPr>
        <w:t>Vide RE 328.812 ED, rel. min. Gilmar Mendes, j. 6-3-2008, P, DJE de 2-5-2008 Não cabe ação rescisória por violação a literal preceito de lei quando a decisão rescindenda está fundada em precedente do Plenário do Tribunal. Precedentes AR 1.761 AgR, rel. min. Sepúlveda Pertence, DJ de 6-5-2005, e AR 1.756 AgR, rel. min. Marco Aurélio, DJ de 10-9-2004.</w:t>
      </w:r>
    </w:p>
    <w:p>
      <w:pPr>
        <w:ind w:left="288"/>
      </w:pPr>
      <w:r>
        <w:rPr>
          <w:b/>
          <w:color w:val="003CA0"/>
          <w:sz w:val="16"/>
        </w:rPr>
        <w:t>[AR 1.686 AgR, rel. min. Eros Grau, j. 23-3-2006, P, DJ de 28-4-2006.]</w:t>
      </w:r>
    </w:p>
    <w:p>
      <w:pPr>
        <w:ind w:left="288"/>
      </w:pPr>
      <w:r>
        <w:rPr>
          <w:color w:val="8C8C8C"/>
          <w:sz w:val="12"/>
        </w:rPr>
        <w:t>cf-art-102-inc-I-ali-j</w:t>
      </w:r>
      <w:r>
        <w:rPr>
          <w:color w:val="003CA0"/>
          <w:sz w:val="12"/>
        </w:rPr>
        <w:t xml:space="preserve"> | AR 1.938</w:t>
      </w:r>
      <w:r>
        <w:rPr>
          <w:color w:val="003CA0"/>
          <w:sz w:val="12"/>
        </w:rPr>
        <w:t xml:space="preserve"> | rel. Cármen Lúcia</w:t>
      </w:r>
    </w:p>
    <w:p>
      <w:pPr>
        <w:ind w:left="288"/>
      </w:pPr>
      <w:r>
        <w:rPr>
          <w:color w:val="1E1E1E"/>
          <w:sz w:val="18"/>
        </w:rPr>
        <w:t>= AR 1.938 AgR, rel. min. Cármen Lúcia, j. 6-2-2013, P, DJE de 27-2-2013 Descabe colar à ação rescisória conceito linear de indivisibilidade. Contando o acórdão rescindendo, sob o ângulo subjetivo, com capítulos distintos, possível é o ajuizamento limitado, desde que não se tenha o envolvimento, no processo que desaguou na decisão, de litisconsórcio necessário.</w:t>
      </w:r>
    </w:p>
    <w:p>
      <w:pPr>
        <w:ind w:left="288"/>
      </w:pPr>
      <w:r>
        <w:rPr>
          <w:b/>
          <w:color w:val="003CA0"/>
          <w:sz w:val="16"/>
        </w:rPr>
        <w:t>[AR 1.699 AgR, rel. min. Marco Aurélio, j. 23-6-2005, P, DJ de 9-9-2005.]</w:t>
      </w:r>
    </w:p>
    <w:p>
      <w:pPr>
        <w:ind w:left="288"/>
      </w:pPr>
      <w:r>
        <w:rPr>
          <w:color w:val="8C8C8C"/>
          <w:sz w:val="12"/>
        </w:rPr>
        <w:t>cf-art-102-inc-I-ali-j</w:t>
      </w:r>
      <w:r>
        <w:rPr>
          <w:color w:val="003CA0"/>
          <w:sz w:val="12"/>
        </w:rPr>
        <w:t xml:space="preserve"> | AR 1.485</w:t>
      </w:r>
      <w:r>
        <w:rPr>
          <w:color w:val="003CA0"/>
          <w:sz w:val="12"/>
        </w:rPr>
        <w:t xml:space="preserve"> | rel. Dias Toffoli</w:t>
      </w:r>
    </w:p>
    <w:p>
      <w:pPr>
        <w:ind w:left="288"/>
      </w:pPr>
      <w:r>
        <w:rPr>
          <w:color w:val="1E1E1E"/>
          <w:sz w:val="18"/>
        </w:rPr>
        <w:t>Vide AR 1.485 AgR, rel. min. Dias Toffoli, j. 19-9-2013, P, DJE de 29-10-2013 Inviável a ação rescisória que se funda em violação literal de lei, se a decisão rescindenda não se pronunciou sobre a norma legal tida por violada por falta de alegação oportuna.</w:t>
      </w:r>
    </w:p>
    <w:p>
      <w:pPr>
        <w:ind w:left="288"/>
      </w:pPr>
      <w:r>
        <w:rPr>
          <w:b/>
          <w:color w:val="003CA0"/>
          <w:sz w:val="16"/>
        </w:rPr>
        <w:t>[AR 1.752 AgR, rel. min. Sepúlveda Pertence, j. 7-4-2005, P, DJ de 20-5-2005.]</w:t>
      </w:r>
    </w:p>
    <w:p>
      <w:pPr>
        <w:ind w:left="288"/>
      </w:pPr>
      <w:r>
        <w:rPr>
          <w:color w:val="8C8C8C"/>
          <w:sz w:val="12"/>
        </w:rPr>
        <w:t>cf-art-102-inc-I-ali-j</w:t>
      </w:r>
      <w:r>
        <w:rPr>
          <w:color w:val="003CA0"/>
          <w:sz w:val="12"/>
        </w:rPr>
        <w:t xml:space="preserve"> | AR 1.668</w:t>
      </w:r>
      <w:r>
        <w:rPr>
          <w:color w:val="003CA0"/>
          <w:sz w:val="12"/>
        </w:rPr>
        <w:t xml:space="preserve"> | rel. Ellen Gracie</w:t>
      </w:r>
    </w:p>
    <w:p>
      <w:pPr>
        <w:ind w:left="288"/>
      </w:pPr>
      <w:r>
        <w:rPr>
          <w:color w:val="1E1E1E"/>
          <w:sz w:val="18"/>
        </w:rPr>
        <w:t>= AR 1.668, rel. min. Ellen Gracie, j. 14-10-2009, P, DJE de 11-12-2009 Por não atacar decisão de mérito, não cabe rescisória (art. 485, caput, do CPC), contra sentença que se limitou a extinguir o processo, pelo reconhecimento da ocorrência de coisa julgada.</w:t>
      </w:r>
    </w:p>
    <w:p>
      <w:pPr>
        <w:ind w:left="288"/>
      </w:pPr>
      <w:r>
        <w:rPr>
          <w:b/>
          <w:color w:val="003CA0"/>
          <w:sz w:val="16"/>
        </w:rPr>
        <w:t>[AR 1.056, rel. min. Octavio Gallotti, j. 26-11-1997, P, DJ de 25-5-2001.]</w:t>
      </w:r>
    </w:p>
    <w:p>
      <w:pPr>
        <w:ind w:left="288"/>
      </w:pPr>
      <w:r>
        <w:rPr>
          <w:color w:val="8C8C8C"/>
          <w:sz w:val="12"/>
        </w:rPr>
        <w:t>cf-art-102-inc-I-ali-j</w:t>
      </w:r>
      <w:r>
        <w:rPr>
          <w:color w:val="003CA0"/>
          <w:sz w:val="12"/>
        </w:rPr>
        <w:t xml:space="preserve"> | AR 1.979</w:t>
      </w:r>
      <w:r>
        <w:rPr>
          <w:color w:val="003CA0"/>
          <w:sz w:val="12"/>
        </w:rPr>
        <w:t xml:space="preserve"> | rel. Dias Toffoli</w:t>
      </w:r>
    </w:p>
    <w:p>
      <w:pPr>
        <w:ind w:left="288"/>
      </w:pPr>
      <w:r>
        <w:rPr>
          <w:color w:val="1E1E1E"/>
          <w:sz w:val="18"/>
        </w:rPr>
        <w:t>= AR 1.979 AgR, rel. min. Dias Toffoli, j. 18-11-2010, P, DJE de 17-3-2011 É cabível ação rescisória contra despacho de relator que nega provimento a agravo de instrumento, desde que tenha sido apreciado o mérito da controvérsia, a despeito do art. 259 do RISTF.</w:t>
      </w:r>
    </w:p>
    <w:p>
      <w:pPr>
        <w:ind w:left="288"/>
      </w:pPr>
      <w:r>
        <w:rPr>
          <w:b/>
          <w:color w:val="003CA0"/>
          <w:sz w:val="16"/>
        </w:rPr>
        <w:t>[AR 1.352 AgR, rel. min. Paulo Brossard, j. 1º-4-1993, P, DJ de 7-5-1993.]</w:t>
      </w:r>
    </w:p>
    <w:p>
      <w:pPr>
        <w:ind w:left="288"/>
      </w:pPr>
      <w:r>
        <w:rPr>
          <w:color w:val="8C8C8C"/>
          <w:sz w:val="12"/>
        </w:rPr>
        <w:t>cf-art-102-inc-I-ali-j</w:t>
      </w:r>
      <w:r>
        <w:rPr>
          <w:color w:val="003CA0"/>
          <w:sz w:val="12"/>
        </w:rPr>
        <w:t xml:space="preserve"> | AR 1.151</w:t>
      </w:r>
      <w:r>
        <w:rPr>
          <w:color w:val="003CA0"/>
          <w:sz w:val="12"/>
        </w:rPr>
        <w:t xml:space="preserve"> | rel. Alfredo Buzaid (RTJ 112/74 e seguintes). Nesse julgamento firmou-se o princípio de que "o STF não pode julgar a ação rescisória</w:t>
      </w:r>
    </w:p>
    <w:p>
      <w:pPr>
        <w:ind w:left="288"/>
      </w:pPr>
      <w:r>
        <w:rPr>
          <w:color w:val="1E1E1E"/>
          <w:sz w:val="18"/>
        </w:rPr>
        <w:t xml:space="preserve">O tribunal local é o único que é competente para julgar ação rescisória cujo objeto é exclusivamente a rescisão de julgado seu. Já o afirmou o Plenário desta Corte, ao julgar a AR 1.151, rel. min. Alfredo Buzaid (RTJ 112/74 e seguintes). Nesse julgamento firmou-se o princípio de que "o STF não pode julgar a ação rescisória, porque o seu objeto não é acórdão da Corte, mas acórdão proferido nos embargos infringentes em segundo grau de jurisdição". No caso, o Tribunal de Justiça do Estado do Paraná, em verdade, se deu por competente, não porque o único acórdão atacado na rescisória seja seu, mas </w:t>
      </w:r>
    </w:p>
    <w:p>
      <w:pPr>
        <w:ind w:left="288"/>
      </w:pPr>
      <w:r>
        <w:rPr>
          <w:b/>
          <w:color w:val="003CA0"/>
          <w:sz w:val="16"/>
        </w:rPr>
        <w:t>[Rcl 366, rel. min. Moreira Alves, j. 20-5-1992, P, DJ de 14-8-1992.]</w:t>
      </w:r>
    </w:p>
    <w:p>
      <w:pPr>
        <w:ind w:left="144"/>
      </w:pPr>
      <w:r>
        <w:rPr>
          <w:b/>
          <w:color w:val="B45A00"/>
          <w:sz w:val="16"/>
        </w:rPr>
        <w:t>SUMULA</w:t>
      </w:r>
    </w:p>
    <w:p>
      <w:pPr>
        <w:ind w:left="288"/>
      </w:pPr>
      <w:r>
        <w:rPr>
          <w:color w:val="8C8C8C"/>
          <w:sz w:val="12"/>
        </w:rPr>
        <w:t>cf-art-102-inc-I-ali-l</w:t>
      </w:r>
    </w:p>
    <w:p>
      <w:pPr>
        <w:ind w:left="288"/>
      </w:pPr>
      <w:r>
        <w:rPr>
          <w:color w:val="1E1E1E"/>
          <w:sz w:val="18"/>
        </w:rPr>
        <w:t>Não cabe reclamação quando já houver transitado em julgado o ato judicial que se alega tenha desrespeitado decisão do STF.</w:t>
      </w:r>
    </w:p>
    <w:p>
      <w:pPr>
        <w:ind w:left="288"/>
      </w:pPr>
      <w:r>
        <w:rPr>
          <w:b/>
          <w:color w:val="003CA0"/>
          <w:sz w:val="16"/>
        </w:rPr>
        <w:t>[Súmula 734.]</w:t>
      </w:r>
    </w:p>
    <w:p>
      <w:pPr>
        <w:ind w:left="288"/>
      </w:pPr>
      <w:r>
        <w:rPr>
          <w:color w:val="8C8C8C"/>
          <w:sz w:val="12"/>
        </w:rPr>
        <w:t>cf-art-102-inc-I-ali-l</w:t>
      </w:r>
    </w:p>
    <w:p>
      <w:pPr>
        <w:ind w:left="288"/>
      </w:pPr>
      <w:r>
        <w:rPr>
          <w:color w:val="1E1E1E"/>
          <w:sz w:val="18"/>
        </w:rPr>
        <w:t>Não há embargos infringentes no processo de reclamação.</w:t>
      </w:r>
    </w:p>
    <w:p>
      <w:pPr>
        <w:ind w:left="288"/>
      </w:pPr>
      <w:r>
        <w:rPr>
          <w:b/>
          <w:color w:val="003CA0"/>
          <w:sz w:val="16"/>
        </w:rPr>
        <w:t>[Súmula 368.]</w:t>
      </w:r>
    </w:p>
    <w:p>
      <w:pPr>
        <w:ind w:left="144"/>
      </w:pPr>
      <w:r>
        <w:rPr>
          <w:b/>
          <w:color w:val="B45A00"/>
          <w:sz w:val="16"/>
        </w:rPr>
        <w:t>CONTROLE CONCENTRADO</w:t>
      </w:r>
    </w:p>
    <w:p>
      <w:pPr>
        <w:ind w:left="288"/>
      </w:pPr>
      <w:r>
        <w:rPr>
          <w:color w:val="8C8C8C"/>
          <w:sz w:val="12"/>
        </w:rPr>
        <w:t>cf-art-102-inc-I-ali-l</w:t>
      </w:r>
      <w:r>
        <w:rPr>
          <w:color w:val="003CA0"/>
          <w:sz w:val="12"/>
        </w:rPr>
        <w:t xml:space="preserve"> | ADI 2.212</w:t>
      </w:r>
      <w:r>
        <w:rPr>
          <w:color w:val="003CA0"/>
          <w:sz w:val="12"/>
        </w:rPr>
        <w:t xml:space="preserve"> | rel. Sepúlveda Pertence</w:t>
      </w:r>
    </w:p>
    <w:p>
      <w:pPr>
        <w:ind w:left="288"/>
      </w:pPr>
      <w:r>
        <w:rPr>
          <w:color w:val="1E1E1E"/>
          <w:sz w:val="18"/>
        </w:rPr>
        <w:t>O STF, ao julgar a ADI 2.212 (...), alterou o entendimento – firmado em período anterior à ordem constitucional vigente (v.g., Rp 1.092, Pleno, Djaci Falcão, RTJ 112/504) – do monopólio da reclamação pelo STF e assentou a adequação do instituto com os preceitos da Constituição de 1988: de acordo com a sua natureza jurídica (situada no âmbito do direito de petição previsto no art. 5º, XXIV, da CF) e com os princípios da simetria (art. 125, caput e § 1º) e da efetividade das decisões judiciais, é permitida a previsão da reclamação na Constituição estadual.</w:t>
      </w:r>
    </w:p>
    <w:p>
      <w:pPr>
        <w:ind w:left="288"/>
      </w:pPr>
      <w:r>
        <w:rPr>
          <w:b/>
          <w:color w:val="003CA0"/>
          <w:sz w:val="16"/>
        </w:rPr>
        <w:t>[ADI 2.480, rel. min. Sepúlveda Pertence, j. 2-4-2007, P, DJ de 15-6-2007.]</w:t>
      </w:r>
    </w:p>
    <w:p>
      <w:pPr>
        <w:ind w:left="144"/>
      </w:pPr>
      <w:r>
        <w:rPr>
          <w:b/>
          <w:color w:val="B45A00"/>
          <w:sz w:val="16"/>
        </w:rPr>
        <w:t>JULGADOS CORRELATOS</w:t>
      </w:r>
    </w:p>
    <w:p>
      <w:pPr>
        <w:ind w:left="288"/>
      </w:pPr>
      <w:r>
        <w:rPr>
          <w:color w:val="8C8C8C"/>
          <w:sz w:val="12"/>
        </w:rPr>
        <w:t>cf-art-102-inc-I-ali-l</w:t>
      </w:r>
      <w:r>
        <w:rPr>
          <w:color w:val="003CA0"/>
          <w:sz w:val="12"/>
        </w:rPr>
        <w:t xml:space="preserve"> | RCL 57.368</w:t>
      </w:r>
      <w:r>
        <w:rPr>
          <w:color w:val="003CA0"/>
          <w:sz w:val="12"/>
        </w:rPr>
        <w:t xml:space="preserve"> | rel. Dias Toffoli</w:t>
      </w:r>
    </w:p>
    <w:p>
      <w:pPr>
        <w:ind w:left="288"/>
      </w:pPr>
      <w:r>
        <w:rPr>
          <w:color w:val="1E1E1E"/>
          <w:sz w:val="18"/>
        </w:rPr>
        <w:t>É inadmissível reclamatória quando “a determinação que se aponta como desrespeitada - despacho proveniente (...) de devolução dos autos em atenção à sistemática da repercussão geral - não possui caráter decisório que legitime o acesso a este Supremo Tribunal pela via augusta da reclamação constitucional” (Rcl nº 35.138/SP).</w:t>
        <w:br/>
        <w:t>[Rcl 57.368 AgR, rel. min. Dias Toffoli, j. 27-3-2023, 1ª T, DJE de 13-4-2023.] O STF tem sido mais flexível na admissão de reclamação em matéria de liberdade de expressão, em razão da persistente vulneração desse direito na cultura brasileira, inclusive por via judicial. A</w:t>
      </w:r>
    </w:p>
    <w:p>
      <w:pPr>
        <w:ind w:left="288"/>
      </w:pPr>
      <w:r>
        <w:rPr>
          <w:b/>
          <w:color w:val="003CA0"/>
          <w:sz w:val="16"/>
        </w:rPr>
        <w:t>[Rcl 26.374 AgR, rel. min. Edson Fachin, j. 30-10-2018, 2ª T, DJE de 9-11-2018.]</w:t>
      </w:r>
    </w:p>
    <w:p>
      <w:pPr>
        <w:ind w:left="288"/>
      </w:pPr>
      <w:r>
        <w:rPr>
          <w:color w:val="8C8C8C"/>
          <w:sz w:val="12"/>
        </w:rPr>
        <w:t>cf-art-102-inc-I-ali-l</w:t>
      </w:r>
      <w:r>
        <w:rPr>
          <w:color w:val="003CA0"/>
          <w:sz w:val="12"/>
        </w:rPr>
        <w:t xml:space="preserve"> | RE 760.931</w:t>
      </w:r>
      <w:r>
        <w:rPr>
          <w:color w:val="003CA0"/>
          <w:sz w:val="12"/>
        </w:rPr>
        <w:t xml:space="preserve"> | rel. Roberto Barroso</w:t>
      </w:r>
    </w:p>
    <w:p>
      <w:pPr>
        <w:ind w:left="288"/>
      </w:pPr>
      <w:r>
        <w:rPr>
          <w:color w:val="1E1E1E"/>
          <w:sz w:val="18"/>
        </w:rPr>
        <w:t>O Supremo Tribunal Federal firmou, no julgamento do RE 760.931, redator para acórdão Min. Luiz Fux, a seguinte tese: “O inadimplemento dos encargos trabalhistas dos empregados do contratado não transfere automaticamente ao Poder Público contratante a responsabilidade pelo seu pagamento, seja em caráter solidário ou subsidiário, nos termos do art. 71, § 1º, da Lei nº 8.666/93" (tema nº 246 da repercussão geral). Em 02.05.2017, data em que publicada a ata do julgamento do RE 760.931, ocorreu a substituição do parâmetro sobre a matéria. A partir de então, tornou-se inviável a propositura de recla</w:t>
      </w:r>
    </w:p>
    <w:p>
      <w:pPr>
        <w:ind w:left="288"/>
      </w:pPr>
      <w:r>
        <w:rPr>
          <w:b/>
          <w:color w:val="003CA0"/>
          <w:sz w:val="16"/>
        </w:rPr>
        <w:t>[Rcl 16.619 AgR, rel. min. Edson Fachin, j. 6-10-2015, 1ª T, DJE de 20-10-2015.]</w:t>
      </w:r>
    </w:p>
    <w:p>
      <w:pPr>
        <w:ind w:left="288"/>
      </w:pPr>
      <w:r>
        <w:rPr>
          <w:color w:val="8C8C8C"/>
          <w:sz w:val="12"/>
        </w:rPr>
        <w:t>cf-art-102-inc-I-ali-l</w:t>
      </w:r>
      <w:r>
        <w:rPr>
          <w:color w:val="003CA0"/>
          <w:sz w:val="12"/>
        </w:rPr>
        <w:t xml:space="preserve"> | RCL 16.418</w:t>
      </w:r>
      <w:r>
        <w:rPr>
          <w:color w:val="003CA0"/>
          <w:sz w:val="12"/>
        </w:rPr>
        <w:t xml:space="preserve"> | rel. Teori Zavascki</w:t>
      </w:r>
    </w:p>
    <w:p>
      <w:pPr>
        <w:ind w:left="288"/>
      </w:pPr>
      <w:r>
        <w:rPr>
          <w:color w:val="1E1E1E"/>
          <w:sz w:val="18"/>
        </w:rPr>
        <w:t>Está consagrada em nosso sistema normativo a orientação no sentido de que, salvo em caso de comprovada má-fé, não é cabível a condenação em honorários em ações de natureza constitucional, que visam tutelar relevantes interesses sociais. Com mais razão esse entendimento se aplica à reclamação, que é ação de natureza constitucional destinada a preservar a competência do próprio STF e para garantia da autoridade de suas decisões.</w:t>
      </w:r>
    </w:p>
    <w:p>
      <w:pPr>
        <w:ind w:left="288"/>
      </w:pPr>
      <w:r>
        <w:rPr>
          <w:b/>
          <w:color w:val="003CA0"/>
          <w:sz w:val="16"/>
        </w:rPr>
        <w:t>[Rcl 16.418 AgR-ED, rel. min. Teori Zavascki, j. 28-5-2014, P, DJE de 18-6-2014.]</w:t>
      </w:r>
    </w:p>
    <w:p>
      <w:pPr>
        <w:ind w:left="288"/>
      </w:pPr>
      <w:r>
        <w:rPr>
          <w:color w:val="8C8C8C"/>
          <w:sz w:val="12"/>
        </w:rPr>
        <w:t>cf-art-102-inc-I-ali-l</w:t>
      </w:r>
      <w:r>
        <w:rPr>
          <w:color w:val="003CA0"/>
          <w:sz w:val="12"/>
        </w:rPr>
        <w:t xml:space="preserve"> | RCL 7.013</w:t>
      </w:r>
      <w:r>
        <w:rPr>
          <w:color w:val="003CA0"/>
          <w:sz w:val="12"/>
        </w:rPr>
        <w:t xml:space="preserve"> | rel. Teori Zavascki</w:t>
      </w:r>
    </w:p>
    <w:p>
      <w:pPr>
        <w:ind w:left="288"/>
      </w:pPr>
      <w:r>
        <w:rPr>
          <w:color w:val="1E1E1E"/>
          <w:sz w:val="18"/>
        </w:rPr>
        <w:t>Não cabe reclamação para impugnar ato de governador que convalida resultado de concurso para progressão funcional, quando editado antes do trânsito em julgado de recurso extraordinário que cassa a segurança anteriormente concedida.</w:t>
      </w:r>
    </w:p>
    <w:p>
      <w:pPr>
        <w:ind w:left="288"/>
      </w:pPr>
      <w:r>
        <w:rPr>
          <w:b/>
          <w:color w:val="003CA0"/>
          <w:sz w:val="16"/>
        </w:rPr>
        <w:t>[Rcl 7.013 AgR, rel. min. Teori Zavascki, j. 14-5-2014, P, DJE de 9-6-2014.]</w:t>
      </w:r>
    </w:p>
    <w:p>
      <w:pPr>
        <w:ind w:left="288"/>
      </w:pPr>
      <w:r>
        <w:rPr>
          <w:color w:val="8C8C8C"/>
          <w:sz w:val="12"/>
        </w:rPr>
        <w:t>cf-art-102-inc-I-ali-l</w:t>
      </w:r>
      <w:r>
        <w:rPr>
          <w:color w:val="003CA0"/>
          <w:sz w:val="12"/>
        </w:rPr>
        <w:t xml:space="preserve"> | RCL 15.316</w:t>
      </w:r>
      <w:r>
        <w:rPr>
          <w:color w:val="003CA0"/>
          <w:sz w:val="12"/>
        </w:rPr>
        <w:t xml:space="preserve"> | rel. Marco Aurélio</w:t>
      </w:r>
    </w:p>
    <w:p>
      <w:pPr>
        <w:ind w:left="288"/>
      </w:pPr>
      <w:r>
        <w:rPr>
          <w:color w:val="1E1E1E"/>
          <w:sz w:val="18"/>
        </w:rPr>
        <w:t>Inicial. Reclamação. Documentos. A inicial deve vir acompanhada de documento essencial, no que indispensável à compreensão da controvérsia.</w:t>
      </w:r>
    </w:p>
    <w:p>
      <w:pPr>
        <w:ind w:left="288"/>
      </w:pPr>
      <w:r>
        <w:rPr>
          <w:b/>
          <w:color w:val="003CA0"/>
          <w:sz w:val="16"/>
        </w:rPr>
        <w:t>[Rcl 15.316 AgR, rel. min. Marco Aurélio, j. 25-2-2014, 1ª T, DJE de 27-3-2014.]</w:t>
      </w:r>
    </w:p>
    <w:p>
      <w:pPr>
        <w:ind w:left="288"/>
      </w:pPr>
      <w:r>
        <w:rPr>
          <w:color w:val="8C8C8C"/>
          <w:sz w:val="12"/>
        </w:rPr>
        <w:t>cf-art-102-inc-I-ali-l</w:t>
      </w:r>
      <w:r>
        <w:rPr>
          <w:color w:val="003CA0"/>
          <w:sz w:val="12"/>
        </w:rPr>
        <w:t xml:space="preserve"> | RCL 15.028</w:t>
      </w:r>
      <w:r>
        <w:rPr>
          <w:color w:val="003CA0"/>
          <w:sz w:val="12"/>
        </w:rPr>
        <w:t xml:space="preserve"> | rel. Celso de Mello</w:t>
      </w:r>
    </w:p>
    <w:p>
      <w:pPr>
        <w:ind w:left="288"/>
      </w:pPr>
      <w:r>
        <w:rPr>
          <w:color w:val="1E1E1E"/>
          <w:sz w:val="18"/>
        </w:rPr>
        <w:t>Entendo (...) que o Ministério Público estadual, quando atua no desempenho de suas prerrogativas institucionais e no âmbito de processos cuja natureza justifique a sua formal participação (quer como órgão agente, quer como órgão interveniente), dispõe, ele próprio, de legitimidade para ajuizar reclamação, em sede originária, perante o STF.</w:t>
      </w:r>
    </w:p>
    <w:p>
      <w:pPr>
        <w:ind w:left="288"/>
      </w:pPr>
      <w:r>
        <w:rPr>
          <w:b/>
          <w:color w:val="003CA0"/>
          <w:sz w:val="16"/>
        </w:rPr>
        <w:t>[Rcl 15.028, rel. min. Celso de Mello, j. 13-2-2014, dec. monocrática, DJE de 18-2-2014.]</w:t>
      </w:r>
    </w:p>
    <w:p>
      <w:pPr>
        <w:ind w:left="288"/>
      </w:pPr>
      <w:r>
        <w:rPr>
          <w:color w:val="8C8C8C"/>
          <w:sz w:val="12"/>
        </w:rPr>
        <w:t>cf-art-102-inc-I-ali-l</w:t>
      </w:r>
      <w:r>
        <w:rPr>
          <w:color w:val="003CA0"/>
          <w:sz w:val="12"/>
        </w:rPr>
        <w:t xml:space="preserve"> | RCL 4.008</w:t>
      </w:r>
      <w:r>
        <w:rPr>
          <w:color w:val="003CA0"/>
          <w:sz w:val="12"/>
        </w:rPr>
        <w:t xml:space="preserve"> | rel. Marco Aurélio</w:t>
      </w:r>
    </w:p>
    <w:p>
      <w:pPr>
        <w:ind w:left="288"/>
      </w:pPr>
      <w:r>
        <w:rPr>
          <w:color w:val="1E1E1E"/>
          <w:sz w:val="18"/>
        </w:rPr>
        <w:t>A reclamação não é meio próprio a fulminar acordo homologado em ação civil pública.</w:t>
      </w:r>
    </w:p>
    <w:p>
      <w:pPr>
        <w:ind w:left="288"/>
      </w:pPr>
      <w:r>
        <w:rPr>
          <w:b/>
          <w:color w:val="003CA0"/>
          <w:sz w:val="16"/>
        </w:rPr>
        <w:t>[Rcl 4.008 AgR, rel. min. Marco Aurélio, j. 17-10-2013, P, DJE de 7-11-2013.]</w:t>
      </w:r>
    </w:p>
    <w:p>
      <w:pPr>
        <w:ind w:left="288"/>
      </w:pPr>
      <w:r>
        <w:rPr>
          <w:color w:val="8C8C8C"/>
          <w:sz w:val="12"/>
        </w:rPr>
        <w:t>cf-art-102-inc-I-ali-l</w:t>
      </w:r>
      <w:r>
        <w:rPr>
          <w:color w:val="003CA0"/>
          <w:sz w:val="12"/>
        </w:rPr>
        <w:t xml:space="preserve"> | RCL 10.090</w:t>
      </w:r>
      <w:r>
        <w:rPr>
          <w:color w:val="003CA0"/>
          <w:sz w:val="12"/>
        </w:rPr>
        <w:t xml:space="preserve"> | rel. Dias Toffoli</w:t>
      </w:r>
    </w:p>
    <w:p>
      <w:pPr>
        <w:ind w:left="288"/>
      </w:pPr>
      <w:r>
        <w:rPr>
          <w:color w:val="1E1E1E"/>
          <w:sz w:val="18"/>
        </w:rPr>
        <w:t>Não é a reclamação constitucional a via adequada para a parte questionar eventual demora na apreciação de recursos interpostos pela via ordinária.</w:t>
      </w:r>
    </w:p>
    <w:p>
      <w:pPr>
        <w:ind w:left="288"/>
      </w:pPr>
      <w:r>
        <w:rPr>
          <w:b/>
          <w:color w:val="003CA0"/>
          <w:sz w:val="16"/>
        </w:rPr>
        <w:t>[Rcl 10.090 AgR, rel. min. Dias Toffoli, j. 19-6-2013, P, DJE de 24-9-2013.]</w:t>
      </w:r>
    </w:p>
    <w:p>
      <w:pPr>
        <w:ind w:left="288"/>
      </w:pPr>
      <w:r>
        <w:rPr>
          <w:color w:val="8C8C8C"/>
          <w:sz w:val="12"/>
        </w:rPr>
        <w:t>cf-art-102-inc-I-ali-l</w:t>
      </w:r>
      <w:r>
        <w:rPr>
          <w:color w:val="003CA0"/>
          <w:sz w:val="12"/>
        </w:rPr>
        <w:t xml:space="preserve"> | RCL 4.374</w:t>
      </w:r>
      <w:r>
        <w:rPr>
          <w:color w:val="003CA0"/>
          <w:sz w:val="12"/>
        </w:rPr>
        <w:t xml:space="preserve"> | rel. Gilmar Mendes</w:t>
      </w:r>
    </w:p>
    <w:p>
      <w:pPr>
        <w:ind w:left="288"/>
      </w:pPr>
      <w:r>
        <w:rPr>
          <w:color w:val="1E1E1E"/>
          <w:sz w:val="18"/>
        </w:rPr>
        <w:t>O STF, no exercício da competência geral de fiscalizar a compatibilidade formal e material de qualquer ato normativo com a Constituição, pode declarar a inconstitucionalidade, incidentalmente, de normas tidas como fundamento da decisão ou do ato que é impugnado na reclamação. Isso decorre da própria competência atribuída ao STF para exercer o denominado controle difuso da constitucionalidade das leis e dos atos normativos. A oportunidade de reapreciação das decisões tomadas em sede de controle abstrato de normas tende a surgir com mais naturalidade e de forma mais recorrente no âmbito das recl</w:t>
      </w:r>
    </w:p>
    <w:p>
      <w:pPr>
        <w:ind w:left="288"/>
      </w:pPr>
      <w:r>
        <w:rPr>
          <w:b/>
          <w:color w:val="003CA0"/>
          <w:sz w:val="16"/>
        </w:rPr>
        <w:t>[Rcl 4.374, rel. min. Gilmar Mendes, j. 18-4-2013, P, DJE de 4-9-2013.]</w:t>
      </w:r>
    </w:p>
    <w:p>
      <w:pPr>
        <w:ind w:left="288"/>
      </w:pPr>
      <w:r>
        <w:rPr>
          <w:color w:val="8C8C8C"/>
          <w:sz w:val="12"/>
        </w:rPr>
        <w:t>cf-art-102-inc-I-ali-l</w:t>
      </w:r>
      <w:r>
        <w:rPr>
          <w:color w:val="003CA0"/>
          <w:sz w:val="12"/>
        </w:rPr>
        <w:t xml:space="preserve"> | RCL 6.360</w:t>
      </w:r>
      <w:r>
        <w:rPr>
          <w:color w:val="003CA0"/>
          <w:sz w:val="12"/>
        </w:rPr>
        <w:t xml:space="preserve"> | rel. Dias Toffoli</w:t>
      </w:r>
    </w:p>
    <w:p>
      <w:pPr>
        <w:ind w:left="288"/>
      </w:pPr>
      <w:r>
        <w:rPr>
          <w:color w:val="1E1E1E"/>
          <w:sz w:val="18"/>
        </w:rPr>
        <w:t>Tendo como objeto o desrespeito a entendimento do STF firmado em sede de controle concentrado de constitucionalidade, portanto dotado de eficácia erga omnes, a reclamação constitucional é submetida a livre distribuição, nos termos do § 1º do art. 70 do RISTF.</w:t>
      </w:r>
    </w:p>
    <w:p>
      <w:pPr>
        <w:ind w:left="288"/>
      </w:pPr>
      <w:r>
        <w:rPr>
          <w:b/>
          <w:color w:val="003CA0"/>
          <w:sz w:val="16"/>
        </w:rPr>
        <w:t>[Rcl 6.360 AgR, rel. min. Dias Toffoli, j. 6-2-2013, P, DJE de 6-3-2013.]</w:t>
      </w:r>
    </w:p>
    <w:p>
      <w:pPr>
        <w:ind w:left="288"/>
      </w:pPr>
      <w:r>
        <w:rPr>
          <w:color w:val="8C8C8C"/>
          <w:sz w:val="12"/>
        </w:rPr>
        <w:t>cf-art-102-inc-I-ali-l</w:t>
      </w:r>
      <w:r>
        <w:rPr>
          <w:color w:val="003CA0"/>
          <w:sz w:val="12"/>
        </w:rPr>
        <w:t xml:space="preserve"> | RCL 4.310</w:t>
      </w:r>
      <w:r>
        <w:rPr>
          <w:color w:val="003CA0"/>
          <w:sz w:val="12"/>
        </w:rPr>
        <w:t xml:space="preserve"> | rel. Dias Toffoli</w:t>
      </w:r>
    </w:p>
    <w:p>
      <w:pPr>
        <w:ind w:left="288"/>
      </w:pPr>
      <w:r>
        <w:rPr>
          <w:color w:val="1E1E1E"/>
          <w:sz w:val="18"/>
        </w:rPr>
        <w:t>Reclamação constitucional ajuizada a fim de resguardar a competência originária desta Suprema Corte para julgar "as causas e os conflitos entre a União e os Estados, a União e o Distrito Federal, ou entre uns e outros, inclusive as respectivas entidades da administração indireta" (art. 102, I, f, da CF/1988). Impossibilidade de transmudar a reclamação constitucional em espécie processual diversa a fim de permitir a análise da existência de fumus boni iuris e do periculum in mora nos autos em que se discute matéria de fundo referente à inscrição do ente federado em cadastros federais de inadimp</w:t>
      </w:r>
    </w:p>
    <w:p>
      <w:pPr>
        <w:ind w:left="288"/>
      </w:pPr>
      <w:r>
        <w:rPr>
          <w:b/>
          <w:color w:val="003CA0"/>
          <w:sz w:val="16"/>
        </w:rPr>
        <w:t>[Rcl 4.310 AgR, rel. min. Dias Toffoli, j. 6-2-2013, P, DJE de 6-3-2013.]</w:t>
      </w:r>
    </w:p>
    <w:p>
      <w:pPr>
        <w:ind w:left="288"/>
      </w:pPr>
      <w:r>
        <w:rPr>
          <w:color w:val="8C8C8C"/>
          <w:sz w:val="12"/>
        </w:rPr>
        <w:t>cf-art-102-inc-I-ali-l</w:t>
      </w:r>
      <w:r>
        <w:rPr>
          <w:color w:val="003CA0"/>
          <w:sz w:val="12"/>
        </w:rPr>
        <w:t xml:space="preserve"> | RCL 6.193</w:t>
      </w:r>
      <w:r>
        <w:rPr>
          <w:color w:val="003CA0"/>
          <w:sz w:val="12"/>
        </w:rPr>
        <w:t xml:space="preserve"> | rel. Dias Toffoli</w:t>
      </w:r>
    </w:p>
    <w:p>
      <w:pPr>
        <w:ind w:left="288"/>
      </w:pPr>
      <w:r>
        <w:rPr>
          <w:color w:val="1E1E1E"/>
          <w:sz w:val="18"/>
        </w:rPr>
        <w:t>= Rcl 6.193 ED, rel. min. Dias Toffoli, j. 6-2-2013, P, DJE de 15-3-2013 É inepta a petição inicial de reclamação que não identifica com precisão quais seriam os atos contrários à autoridade do STF, nem que indique analiticamente como os atos reclamados poderiam violar a autoridade dos precedentes invocados.</w:t>
      </w:r>
    </w:p>
    <w:p>
      <w:pPr>
        <w:ind w:left="288"/>
      </w:pPr>
      <w:r>
        <w:rPr>
          <w:b/>
          <w:color w:val="003CA0"/>
          <w:sz w:val="16"/>
        </w:rPr>
        <w:t>[Rcl 9.732 AgR, rel. min. Joaquim Barbosa, j. 20-6-2012, P, DJE de 8-3-2013.]</w:t>
      </w:r>
    </w:p>
    <w:p>
      <w:pPr>
        <w:ind w:left="288"/>
      </w:pPr>
      <w:r>
        <w:rPr>
          <w:color w:val="8C8C8C"/>
          <w:sz w:val="12"/>
        </w:rPr>
        <w:t>cf-art-102-inc-I-ali-l</w:t>
      </w:r>
      <w:r>
        <w:rPr>
          <w:color w:val="003CA0"/>
          <w:sz w:val="12"/>
        </w:rPr>
        <w:t xml:space="preserve"> | ADI 3.395</w:t>
      </w:r>
      <w:r>
        <w:rPr>
          <w:color w:val="003CA0"/>
          <w:sz w:val="12"/>
        </w:rPr>
        <w:t xml:space="preserve"> | rel. Joaquim Barbosa</w:t>
      </w:r>
    </w:p>
    <w:p>
      <w:pPr>
        <w:ind w:left="288"/>
      </w:pPr>
      <w:r>
        <w:rPr>
          <w:color w:val="1E1E1E"/>
          <w:sz w:val="18"/>
        </w:rPr>
        <w:t>Decisão da Justiça do Trabalho que supostamente desrespeita a decisão deste STF na ADI 3.395 MC. (...) Ante a irrecorribilidade da decisão no âmbito da Justiça do Trabalho, deveria o agravante ter se utilizado da reclamação constitucional quando proferido o primeiro acórdão que tratou do tema relativo à competência para julgar a ação.</w:t>
      </w:r>
    </w:p>
    <w:p>
      <w:pPr>
        <w:ind w:left="288"/>
      </w:pPr>
      <w:r>
        <w:rPr>
          <w:b/>
          <w:color w:val="003CA0"/>
          <w:sz w:val="16"/>
        </w:rPr>
        <w:t>[Rcl 9.892 AgR, rel. min. Joaquim Barbosa, j. 16-5-2012, P, DJE de 4-6-2012.]</w:t>
      </w:r>
    </w:p>
    <w:p>
      <w:pPr>
        <w:ind w:left="288"/>
      </w:pPr>
      <w:r>
        <w:rPr>
          <w:color w:val="8C8C8C"/>
          <w:sz w:val="12"/>
        </w:rPr>
        <w:t>cf-art-102-inc-I-ali-l</w:t>
      </w:r>
      <w:r>
        <w:rPr>
          <w:color w:val="003CA0"/>
          <w:sz w:val="12"/>
        </w:rPr>
        <w:t xml:space="preserve"> | RCL 5.540</w:t>
      </w:r>
      <w:r>
        <w:rPr>
          <w:color w:val="003CA0"/>
          <w:sz w:val="12"/>
        </w:rPr>
        <w:t xml:space="preserve"> | rel. Marco Aurélio</w:t>
      </w:r>
    </w:p>
    <w:p>
      <w:pPr>
        <w:ind w:left="288"/>
      </w:pPr>
      <w:r>
        <w:rPr>
          <w:color w:val="1E1E1E"/>
          <w:sz w:val="18"/>
        </w:rPr>
        <w:t>O implemento de medida acauteladora em reclamação pressupõe a relevância do pedido e o risco de manter-se com plena eficácia o ato atacado.</w:t>
      </w:r>
    </w:p>
    <w:p>
      <w:pPr>
        <w:ind w:left="288"/>
      </w:pPr>
      <w:r>
        <w:rPr>
          <w:b/>
          <w:color w:val="003CA0"/>
          <w:sz w:val="16"/>
        </w:rPr>
        <w:t>[Rcl 5.540 MC-AgR, rel. min. Marco Aurélio, j. 1º-12-2011, P, DJE de 15-2-2012.]</w:t>
      </w:r>
    </w:p>
    <w:p>
      <w:pPr>
        <w:ind w:left="288"/>
      </w:pPr>
      <w:r>
        <w:rPr>
          <w:color w:val="8C8C8C"/>
          <w:sz w:val="12"/>
        </w:rPr>
        <w:t>cf-art-102-inc-I-ali-l</w:t>
      </w:r>
      <w:r>
        <w:rPr>
          <w:color w:val="003CA0"/>
          <w:sz w:val="12"/>
        </w:rPr>
        <w:t xml:space="preserve"> | RCL 10.110</w:t>
      </w:r>
      <w:r>
        <w:rPr>
          <w:color w:val="003CA0"/>
          <w:sz w:val="12"/>
        </w:rPr>
        <w:t xml:space="preserve"> | rel. Ricardo Lewandowski</w:t>
      </w:r>
    </w:p>
    <w:p>
      <w:pPr>
        <w:ind w:left="288"/>
      </w:pPr>
      <w:r>
        <w:rPr>
          <w:color w:val="1E1E1E"/>
          <w:sz w:val="18"/>
        </w:rPr>
        <w:t>A reclamação só pode ser utilizada para as hipóteses constitucionalmente previstas, não sendo meio idôneo para discutir procedimentos ou eventuais nulidades do inquérito policial.</w:t>
      </w:r>
    </w:p>
    <w:p>
      <w:pPr>
        <w:ind w:left="288"/>
      </w:pPr>
      <w:r>
        <w:rPr>
          <w:b/>
          <w:color w:val="003CA0"/>
          <w:sz w:val="16"/>
        </w:rPr>
        <w:t>[Rcl 10.110, rel. min. Ricardo Lewandowski, j. 20-10-2011, P, DJE de 8-11-2011.]</w:t>
      </w:r>
    </w:p>
    <w:p>
      <w:pPr>
        <w:ind w:left="288"/>
      </w:pPr>
      <w:r>
        <w:rPr>
          <w:color w:val="8C8C8C"/>
          <w:sz w:val="12"/>
        </w:rPr>
        <w:t>cf-art-102-inc-I-ali-l</w:t>
      </w:r>
      <w:r>
        <w:rPr>
          <w:color w:val="003CA0"/>
          <w:sz w:val="12"/>
        </w:rPr>
        <w:t xml:space="preserve"> | RCL 2.138</w:t>
      </w:r>
      <w:r>
        <w:rPr>
          <w:color w:val="003CA0"/>
          <w:sz w:val="12"/>
        </w:rPr>
        <w:t xml:space="preserve"> | rel. Cármen Lúcia</w:t>
      </w:r>
    </w:p>
    <w:p>
      <w:pPr>
        <w:ind w:left="288"/>
      </w:pPr>
      <w:r>
        <w:rPr>
          <w:color w:val="1E1E1E"/>
          <w:sz w:val="18"/>
        </w:rPr>
        <w:t>Agravo regimental na reclamação. Prefeito. Ação de improbidade. Alegado descumprimento de decisão que, à época, ainda não havia sido proferida nos autos da Rcl 2.138/DF. Processo subjetivo. Efeitos inter partes. Não cabe reclamação com fundamento em descumprimento de decisão do STF em processo cujo julgamento não foi concluído, ainda que haja maioria de votos proferidos em determinado sentido.</w:t>
      </w:r>
    </w:p>
    <w:p>
      <w:pPr>
        <w:ind w:left="288"/>
      </w:pPr>
      <w:r>
        <w:rPr>
          <w:b/>
          <w:color w:val="003CA0"/>
          <w:sz w:val="16"/>
        </w:rPr>
        <w:t>[Rcl 4.119 AgR, rel. min. Cármen Lúcia, j. 6-10-2011, P, DJE de 28-10-2011.]</w:t>
      </w:r>
    </w:p>
    <w:p>
      <w:pPr>
        <w:ind w:left="288"/>
      </w:pPr>
      <w:r>
        <w:rPr>
          <w:color w:val="8C8C8C"/>
          <w:sz w:val="12"/>
        </w:rPr>
        <w:t>cf-art-102-inc-I-ali-l</w:t>
      </w:r>
      <w:r>
        <w:rPr>
          <w:color w:val="003CA0"/>
          <w:sz w:val="12"/>
        </w:rPr>
        <w:t xml:space="preserve"> | RCL 4.381</w:t>
      </w:r>
      <w:r>
        <w:rPr>
          <w:color w:val="003CA0"/>
          <w:sz w:val="12"/>
        </w:rPr>
        <w:t xml:space="preserve"> | rel. Celso de Mello</w:t>
      </w:r>
    </w:p>
    <w:p>
      <w:pPr>
        <w:ind w:left="288"/>
      </w:pPr>
      <w:r>
        <w:rPr>
          <w:color w:val="1E1E1E"/>
          <w:sz w:val="18"/>
        </w:rPr>
        <w:t>Não cabe reclamação quando utilizada com o objetivo de fazer prevalecer a jurisprudência desta Suprema Corte, em situações nas quais os julgamentos do STF não se revistam de eficácia vinculante, exceto se se tratar de decisão que o STF tenha proferido em processo subjetivo no qual haja intervindo, como sujeito processual, a própria parte reclamante.</w:t>
      </w:r>
    </w:p>
    <w:p>
      <w:pPr>
        <w:ind w:left="288"/>
      </w:pPr>
      <w:r>
        <w:rPr>
          <w:b/>
          <w:color w:val="003CA0"/>
          <w:sz w:val="16"/>
        </w:rPr>
        <w:t>[Rcl 4.381 AgR, rel. min. Celso de Mello, j. 22-6-2011, P, DJE de 5-8-2011.]</w:t>
      </w:r>
    </w:p>
    <w:p>
      <w:pPr>
        <w:ind w:left="288"/>
      </w:pPr>
      <w:r>
        <w:rPr>
          <w:color w:val="8C8C8C"/>
          <w:sz w:val="12"/>
        </w:rPr>
        <w:t>cf-art-102-inc-I-ali-l</w:t>
      </w:r>
      <w:r>
        <w:rPr>
          <w:color w:val="003CA0"/>
          <w:sz w:val="12"/>
        </w:rPr>
        <w:t xml:space="preserve"> | RCL 11.235</w:t>
      </w:r>
      <w:r>
        <w:rPr>
          <w:color w:val="003CA0"/>
          <w:sz w:val="12"/>
        </w:rPr>
        <w:t xml:space="preserve"> | rel. Teori Zavascki</w:t>
      </w:r>
    </w:p>
    <w:p>
      <w:pPr>
        <w:ind w:left="288"/>
      </w:pPr>
      <w:r>
        <w:rPr>
          <w:color w:val="1E1E1E"/>
          <w:sz w:val="18"/>
        </w:rPr>
        <w:t>= Rcl 11.235 AgR, rel. min. Teori Zavascki, j. 18-12-2013, P, DJE de 19-2-2014 A reclamação não é sucedâneo ou substitutivo de recurso próprio para conferir eficácia à jurisdição invocada nos autos de recursos interpostos da decisão de mérito e da decisão em execução provisória.</w:t>
      </w:r>
    </w:p>
    <w:p>
      <w:pPr>
        <w:ind w:left="288"/>
      </w:pPr>
      <w:r>
        <w:rPr>
          <w:b/>
          <w:color w:val="003CA0"/>
          <w:sz w:val="16"/>
        </w:rPr>
        <w:t>[Rcl 6.327 AgR, rel. min. Ricardo Lewandowski, j. 2-3-2011, P, DJE de 1º-4-2011.]</w:t>
      </w:r>
    </w:p>
    <w:p>
      <w:pPr>
        <w:ind w:left="288"/>
      </w:pPr>
      <w:r>
        <w:rPr>
          <w:color w:val="8C8C8C"/>
          <w:sz w:val="12"/>
        </w:rPr>
        <w:t>cf-art-102-inc-I-ali-l</w:t>
      </w:r>
      <w:r>
        <w:rPr>
          <w:color w:val="003CA0"/>
          <w:sz w:val="12"/>
        </w:rPr>
        <w:t xml:space="preserve"> | RCL 7.101</w:t>
      </w:r>
      <w:r>
        <w:rPr>
          <w:color w:val="003CA0"/>
          <w:sz w:val="12"/>
        </w:rPr>
        <w:t xml:space="preserve"> | rel. Cármen Lúcia</w:t>
      </w:r>
    </w:p>
    <w:p>
      <w:pPr>
        <w:ind w:left="288"/>
      </w:pPr>
      <w:r>
        <w:rPr>
          <w:color w:val="1E1E1E"/>
          <w:sz w:val="18"/>
        </w:rPr>
        <w:t>O Supremo Tribunal reconheceu a legitimidade ativa autônoma do Ministério Público estadual para ajuizar reclamação no Supremo Tribunal, sem que se exija a ratificação da inicial pelo PGR.</w:t>
      </w:r>
    </w:p>
    <w:p>
      <w:pPr>
        <w:ind w:left="288"/>
      </w:pPr>
      <w:r>
        <w:rPr>
          <w:b/>
          <w:color w:val="003CA0"/>
          <w:sz w:val="16"/>
        </w:rPr>
        <w:t>[Rcl 7.101, rel. min. Cármen Lúcia, j. 24-2-2011, P, DJE de 9-8-2011.]</w:t>
      </w:r>
    </w:p>
    <w:p>
      <w:pPr>
        <w:ind w:left="288"/>
      </w:pPr>
      <w:r>
        <w:rPr>
          <w:color w:val="8C8C8C"/>
          <w:sz w:val="12"/>
        </w:rPr>
        <w:t>cf-art-102-inc-I-ali-l</w:t>
      </w:r>
      <w:r>
        <w:rPr>
          <w:color w:val="003CA0"/>
          <w:sz w:val="12"/>
        </w:rPr>
        <w:t xml:space="preserve"> | RCL 9.327</w:t>
      </w:r>
      <w:r>
        <w:rPr>
          <w:color w:val="003CA0"/>
          <w:sz w:val="12"/>
        </w:rPr>
        <w:t xml:space="preserve"> | rel. Dias Toffoli</w:t>
      </w:r>
    </w:p>
    <w:p>
      <w:pPr>
        <w:ind w:left="288"/>
      </w:pPr>
      <w:r>
        <w:rPr>
          <w:color w:val="1E1E1E"/>
          <w:sz w:val="18"/>
        </w:rPr>
        <w:t>= Rcl 9.327 AgR, rel. min. Dias Toffoli, j. 23-5-2013, P, DJE de 1º-8-2013 O conhecimento da reclamação constitucional não está condicionado à juntada aos autos de cópia integral da decisão paradigmática desta Suprema Corte tida por desrespeitada.</w:t>
      </w:r>
    </w:p>
    <w:p>
      <w:pPr>
        <w:ind w:left="288"/>
      </w:pPr>
      <w:r>
        <w:rPr>
          <w:b/>
          <w:color w:val="003CA0"/>
          <w:sz w:val="16"/>
        </w:rPr>
        <w:t>[Rcl 10.202 AgR, rel. p/ o ac. min. Dias Toffoli, j. 18-11-2010, P, DJE de 17-5-2011.]</w:t>
      </w:r>
    </w:p>
    <w:p>
      <w:pPr>
        <w:ind w:left="288"/>
      </w:pPr>
      <w:r>
        <w:rPr>
          <w:color w:val="8C8C8C"/>
          <w:sz w:val="12"/>
        </w:rPr>
        <w:t>cf-art-102-inc-I-ali-l</w:t>
      </w:r>
      <w:r>
        <w:rPr>
          <w:color w:val="003CA0"/>
          <w:sz w:val="12"/>
        </w:rPr>
        <w:t xml:space="preserve"> | RCL 9.471</w:t>
      </w:r>
      <w:r>
        <w:rPr>
          <w:color w:val="003CA0"/>
          <w:sz w:val="12"/>
        </w:rPr>
        <w:t xml:space="preserve"> | rel. Gilmar Mendes</w:t>
      </w:r>
    </w:p>
    <w:p>
      <w:pPr>
        <w:ind w:left="288"/>
      </w:pPr>
      <w:r>
        <w:rPr>
          <w:color w:val="1E1E1E"/>
          <w:sz w:val="18"/>
        </w:rPr>
        <w:t>Reclamação em que se impugna decisão do Tribunal de origem que, nos termos do art. 328-A, § 1º, do RISTF, aplica a orientação que o STF adotou em processo paradigma da repercussão geral (...). Inadmissibilidade.</w:t>
      </w:r>
    </w:p>
    <w:p>
      <w:pPr>
        <w:ind w:left="288"/>
      </w:pPr>
      <w:r>
        <w:rPr>
          <w:b/>
          <w:color w:val="003CA0"/>
          <w:sz w:val="16"/>
        </w:rPr>
        <w:t>[Rcl 9.471 AgR, rel. min. Gilmar Mendes, j. 29-6-2010, 2ª T, DJE de 13-8-2010.]</w:t>
      </w:r>
    </w:p>
    <w:p>
      <w:pPr>
        <w:ind w:left="288"/>
      </w:pPr>
      <w:r>
        <w:rPr>
          <w:color w:val="8C8C8C"/>
          <w:sz w:val="12"/>
        </w:rPr>
        <w:t>cf-art-102-inc-I-ali-l</w:t>
      </w:r>
      <w:r>
        <w:rPr>
          <w:color w:val="003CA0"/>
          <w:sz w:val="12"/>
        </w:rPr>
        <w:t xml:space="preserve"> | RCL 9.391</w:t>
      </w:r>
      <w:r>
        <w:rPr>
          <w:color w:val="003CA0"/>
          <w:sz w:val="12"/>
        </w:rPr>
        <w:t xml:space="preserve"> | rel. Ricardo Lewandowski</w:t>
      </w:r>
    </w:p>
    <w:p>
      <w:pPr>
        <w:ind w:left="288"/>
      </w:pPr>
      <w:r>
        <w:rPr>
          <w:color w:val="1E1E1E"/>
          <w:sz w:val="18"/>
        </w:rPr>
        <w:t>= Rcl 9.391 AgR, rel. min. Ricardo Lewandowski, j. 24-3-2011, P, DJE de 11-4-2011 O STF decidiu no sentido do não conhecimento da reclamação que visa a desconstituir, em fase de execução, decisões da Justiça do Trabalho transitadas em julgado.</w:t>
      </w:r>
    </w:p>
    <w:p>
      <w:pPr>
        <w:ind w:left="288"/>
      </w:pPr>
      <w:r>
        <w:rPr>
          <w:b/>
          <w:color w:val="003CA0"/>
          <w:sz w:val="16"/>
        </w:rPr>
        <w:t>[Rcl 671 AgR-ED, rel. min. Eros Grau, j. 17-6-2010, P, DJE de 6-8-2010.]</w:t>
      </w:r>
    </w:p>
    <w:p>
      <w:pPr>
        <w:ind w:left="288"/>
      </w:pPr>
      <w:r>
        <w:rPr>
          <w:color w:val="8C8C8C"/>
          <w:sz w:val="12"/>
        </w:rPr>
        <w:t>cf-art-102-inc-I-ali-l</w:t>
      </w:r>
      <w:r>
        <w:rPr>
          <w:color w:val="003CA0"/>
          <w:sz w:val="12"/>
        </w:rPr>
        <w:t xml:space="preserve"> | RCL 11.306</w:t>
      </w:r>
      <w:r>
        <w:rPr>
          <w:color w:val="003CA0"/>
          <w:sz w:val="12"/>
        </w:rPr>
        <w:t xml:space="preserve"> | rel. Dias Toffoli</w:t>
      </w:r>
    </w:p>
    <w:p>
      <w:pPr>
        <w:ind w:left="288"/>
      </w:pPr>
      <w:r>
        <w:rPr>
          <w:color w:val="1E1E1E"/>
          <w:sz w:val="18"/>
        </w:rPr>
        <w:t>= Rcl 11.306 AgR, rel. min. Dias Toffoli, j. 29-5-2013, P, DJE de 11-9-2013 Reclamação. Desrespeito a acórdão do Supremo. Indispensável é que a parte dispositiva do pronunciamento do Supremo tenha sido inobservada mediante a prática do ato impugnado. Isso não ocorre quando em jogo eleição em Tribunal de Justiça e o que decidido diz respeito a Regimento Interno de TRF.</w:t>
      </w:r>
    </w:p>
    <w:p>
      <w:pPr>
        <w:ind w:left="288"/>
      </w:pPr>
      <w:r>
        <w:rPr>
          <w:b/>
          <w:color w:val="003CA0"/>
          <w:sz w:val="16"/>
        </w:rPr>
        <w:t>[Rcl 9.591 MC-AgR, rel. min. Marco Aurélio, j. 8-4-2010, P, DJE de 14-5-2010.]</w:t>
      </w:r>
    </w:p>
    <w:p>
      <w:pPr>
        <w:ind w:left="288"/>
      </w:pPr>
      <w:r>
        <w:rPr>
          <w:color w:val="8C8C8C"/>
          <w:sz w:val="12"/>
        </w:rPr>
        <w:t>cf-art-102-inc-I-ali-l</w:t>
      </w:r>
      <w:r>
        <w:rPr>
          <w:color w:val="003CA0"/>
          <w:sz w:val="12"/>
        </w:rPr>
        <w:t xml:space="preserve"> | RCL 6.078</w:t>
      </w:r>
      <w:r>
        <w:rPr>
          <w:color w:val="003CA0"/>
          <w:sz w:val="12"/>
        </w:rPr>
        <w:t xml:space="preserve"> | rel. Joaquim Barbosa</w:t>
      </w:r>
    </w:p>
    <w:p>
      <w:pPr>
        <w:ind w:left="288"/>
      </w:pPr>
      <w:r>
        <w:rPr>
          <w:color w:val="1E1E1E"/>
          <w:sz w:val="18"/>
        </w:rPr>
        <w:t>Se o precedente tido por violado foi tomado em julgamento de alcance subjetivo, como se dá no controle difuso e incidental de constitucionalidade, somente é legitimado ao manejo da reclamação as partes que compuseram a relação processual do aresto.</w:t>
      </w:r>
    </w:p>
    <w:p>
      <w:pPr>
        <w:ind w:left="288"/>
      </w:pPr>
      <w:r>
        <w:rPr>
          <w:b/>
          <w:color w:val="003CA0"/>
          <w:sz w:val="16"/>
        </w:rPr>
        <w:t>[Rcl 6.078 AgR, rel. min. Joaquim Barbosa, j. 8-4-2010, P, DJE de 30-4-2010.]</w:t>
      </w:r>
    </w:p>
    <w:p>
      <w:pPr>
        <w:ind w:left="288"/>
      </w:pPr>
      <w:r>
        <w:rPr>
          <w:color w:val="8C8C8C"/>
          <w:sz w:val="12"/>
        </w:rPr>
        <w:t>cf-art-102-inc-I-ali-l</w:t>
      </w:r>
      <w:r>
        <w:rPr>
          <w:color w:val="003CA0"/>
          <w:sz w:val="12"/>
        </w:rPr>
        <w:t xml:space="preserve"> | RCL 4.381</w:t>
      </w:r>
      <w:r>
        <w:rPr>
          <w:color w:val="003CA0"/>
          <w:sz w:val="12"/>
        </w:rPr>
        <w:t xml:space="preserve"> | rel. Celso de Mello</w:t>
      </w:r>
    </w:p>
    <w:p>
      <w:pPr>
        <w:ind w:left="288"/>
      </w:pPr>
      <w:r>
        <w:rPr>
          <w:color w:val="1E1E1E"/>
          <w:sz w:val="18"/>
        </w:rPr>
        <w:t>= Rcl 4.381 AgR, rel. min. Celso de Mello, j. 22-6-2011, P, DJE de 5-8-2011 Vide Rcl 6.079 AgR, rel. min. Cármen Lúcia, j. 16-9-2009, P, DJE de 9-10-2009 A ação constitucional da reclamação não admite pedido de caráter preventivo.</w:t>
      </w:r>
    </w:p>
    <w:p>
      <w:pPr>
        <w:ind w:left="288"/>
      </w:pPr>
      <w:r>
        <w:rPr>
          <w:b/>
          <w:color w:val="003CA0"/>
          <w:sz w:val="16"/>
        </w:rPr>
        <w:t>[Rcl 4.058 AgR, rel. min. Cezar Peluso, j. 17-2-2010, P, DJE de 9-4-2010.]</w:t>
      </w:r>
    </w:p>
    <w:p>
      <w:pPr>
        <w:ind w:left="288"/>
      </w:pPr>
      <w:r>
        <w:rPr>
          <w:color w:val="8C8C8C"/>
          <w:sz w:val="12"/>
        </w:rPr>
        <w:t>cf-art-102-inc-I-ali-l</w:t>
      </w:r>
      <w:r>
        <w:rPr>
          <w:color w:val="003CA0"/>
          <w:sz w:val="12"/>
        </w:rPr>
        <w:t xml:space="preserve"> | RCL 6.449</w:t>
      </w:r>
      <w:r>
        <w:rPr>
          <w:color w:val="003CA0"/>
          <w:sz w:val="12"/>
        </w:rPr>
        <w:t xml:space="preserve"> | rel. Eros Grau</w:t>
      </w:r>
    </w:p>
    <w:p>
      <w:pPr>
        <w:ind w:left="288"/>
      </w:pPr>
      <w:r>
        <w:rPr>
          <w:color w:val="1E1E1E"/>
          <w:sz w:val="18"/>
        </w:rPr>
        <w:t>Inexiste ofensa à autoridade de súmula vinculante quando o ato de que se reclama é anterior à decisão emanada da Corte Suprema.</w:t>
      </w:r>
    </w:p>
    <w:p>
      <w:pPr>
        <w:ind w:left="288"/>
      </w:pPr>
      <w:r>
        <w:rPr>
          <w:b/>
          <w:color w:val="003CA0"/>
          <w:sz w:val="16"/>
        </w:rPr>
        <w:t>[Rcl 6.449 AgR, rel. min. Eros Grau, j. 25-11-2009, P, DJE de 11-12-2009.]</w:t>
      </w:r>
    </w:p>
    <w:p>
      <w:pPr>
        <w:ind w:left="288"/>
      </w:pPr>
      <w:r>
        <w:rPr>
          <w:color w:val="8C8C8C"/>
          <w:sz w:val="12"/>
        </w:rPr>
        <w:t>cf-art-102-inc-I-ali-l</w:t>
      </w:r>
      <w:r>
        <w:rPr>
          <w:color w:val="003CA0"/>
          <w:sz w:val="12"/>
        </w:rPr>
        <w:t xml:space="preserve"> | RCL 8.111</w:t>
      </w:r>
      <w:r>
        <w:rPr>
          <w:color w:val="003CA0"/>
          <w:sz w:val="12"/>
        </w:rPr>
        <w:t xml:space="preserve"> | rel. Cármen Lúcia</w:t>
      </w:r>
    </w:p>
    <w:p>
      <w:pPr>
        <w:ind w:left="288"/>
      </w:pPr>
      <w:r>
        <w:rPr>
          <w:color w:val="1E1E1E"/>
          <w:sz w:val="18"/>
        </w:rPr>
        <w:t>= Rcl 8.111 AgR, rel. min. Cármen Lúcia, j. 2-3-2011, P, DJE de 28-3-2011 Trânsito em julgado no curso do processo da reclamação. Inaplicabilidade da Súmula 734. (...) Admite-se reclamação contra decisão que só transitou em julgado após seu ajuizamento.</w:t>
      </w:r>
    </w:p>
    <w:p>
      <w:pPr>
        <w:ind w:left="288"/>
      </w:pPr>
      <w:r>
        <w:rPr>
          <w:b/>
          <w:color w:val="003CA0"/>
          <w:sz w:val="16"/>
        </w:rPr>
        <w:t>[Rcl 5.821 ED, rel. min. Cezar Peluso, j. 14-10-2009, P, DJE de 26-3-2010.]</w:t>
      </w:r>
    </w:p>
    <w:p>
      <w:pPr>
        <w:ind w:left="288"/>
      </w:pPr>
      <w:r>
        <w:rPr>
          <w:color w:val="8C8C8C"/>
          <w:sz w:val="12"/>
        </w:rPr>
        <w:t>cf-art-102-inc-I-ali-l</w:t>
      </w:r>
      <w:r>
        <w:rPr>
          <w:color w:val="003CA0"/>
          <w:sz w:val="12"/>
        </w:rPr>
        <w:t xml:space="preserve"> | RCL 8.934</w:t>
      </w:r>
      <w:r>
        <w:rPr>
          <w:color w:val="003CA0"/>
          <w:sz w:val="12"/>
        </w:rPr>
        <w:t xml:space="preserve"> | rel. Ricardo Lewandowski</w:t>
      </w:r>
    </w:p>
    <w:p>
      <w:pPr>
        <w:ind w:left="288"/>
      </w:pPr>
      <w:r>
        <w:rPr>
          <w:color w:val="1E1E1E"/>
          <w:sz w:val="18"/>
        </w:rPr>
        <w:t>= Rcl 8.934 ED, rel. min. Ricardo Lewandowski, j. 1º-12-2011, P, DJE de 1º-2-2012 Não cabe reclamação constitucional para questionar violação a súmula do STF destituída de efeito vinculante. Precedentes. As atuais súmulas singelas do STF somente produzirão efeito vinculante após sua confirmação por 2/3 dos ministros da Corte e publicação na imprensa oficial (art. 8º da EC  45/2004).</w:t>
      </w:r>
    </w:p>
    <w:p>
      <w:pPr>
        <w:ind w:left="288"/>
      </w:pPr>
      <w:r>
        <w:rPr>
          <w:b/>
          <w:color w:val="003CA0"/>
          <w:sz w:val="16"/>
        </w:rPr>
        <w:t>[Rcl 3.284 AgR, rel. min. Ayres Britto, j. 1º-7-2009, P, DJE de 28-8-2009.]</w:t>
      </w:r>
    </w:p>
    <w:p>
      <w:pPr>
        <w:ind w:left="288"/>
      </w:pPr>
      <w:r>
        <w:rPr>
          <w:color w:val="8C8C8C"/>
          <w:sz w:val="12"/>
        </w:rPr>
        <w:t>cf-art-102-inc-I-ali-l</w:t>
      </w:r>
      <w:r>
        <w:rPr>
          <w:color w:val="003CA0"/>
          <w:sz w:val="12"/>
        </w:rPr>
        <w:t xml:space="preserve"> | RCL 21.214</w:t>
      </w:r>
      <w:r>
        <w:rPr>
          <w:color w:val="003CA0"/>
          <w:sz w:val="12"/>
        </w:rPr>
        <w:t xml:space="preserve"> | rel. Celso de Mello</w:t>
      </w:r>
    </w:p>
    <w:p>
      <w:pPr>
        <w:ind w:left="288"/>
      </w:pPr>
      <w:r>
        <w:rPr>
          <w:color w:val="1E1E1E"/>
          <w:sz w:val="18"/>
        </w:rPr>
        <w:t>= Rcl 21.214, rel. min. Celso de Mello, j. 18-12-2015, dec. monocrática, DJE de 1º-2-2016 = Rcl 9.344 AgR, rel. min. Dias Toffoli, j. 2-6-2010, P, DJE de 22-10-2010 Vide Rcl 3.084, voto do rel. min. Ricardo Lewandowski, j. 29-4-2009, P, DJE de 1º-7-2009 Questão de ordem. Reclamação. Pedido de desistência. Processo de julgamento colegiado iniciado. Competência do Plenário. Homologação indeferida. Não é admissível o pedido de desistência de feitos cujo julgamento já tenha sido iniciado. Preservação da unicidade do julgamento.</w:t>
      </w:r>
    </w:p>
    <w:p>
      <w:pPr>
        <w:ind w:left="288"/>
      </w:pPr>
      <w:r>
        <w:rPr>
          <w:b/>
          <w:color w:val="003CA0"/>
          <w:sz w:val="16"/>
        </w:rPr>
        <w:t>[Rcl 1.503 QO e Rcl 1.519 QO, rel. min. Ricardo Lewandowski, j. 26-3-2009, P, DJE de 5-6-2009.]</w:t>
      </w:r>
    </w:p>
    <w:p>
      <w:pPr>
        <w:ind w:left="288"/>
      </w:pPr>
      <w:r>
        <w:rPr>
          <w:color w:val="8C8C8C"/>
          <w:sz w:val="12"/>
        </w:rPr>
        <w:t>cf-art-102-inc-I-ali-l</w:t>
      </w:r>
      <w:r>
        <w:rPr>
          <w:color w:val="003CA0"/>
          <w:sz w:val="12"/>
        </w:rPr>
        <w:t xml:space="preserve"> | RCL 5.017</w:t>
      </w:r>
      <w:r>
        <w:rPr>
          <w:color w:val="003CA0"/>
          <w:sz w:val="12"/>
        </w:rPr>
        <w:t xml:space="preserve"> | rel. Cezar Peluso</w:t>
      </w:r>
    </w:p>
    <w:p>
      <w:pPr>
        <w:ind w:left="288"/>
      </w:pPr>
      <w:r>
        <w:rPr>
          <w:color w:val="1E1E1E"/>
          <w:sz w:val="18"/>
        </w:rPr>
        <w:t>Julgado, sem exame do mérito, o processo onde se praticou ato contra o qual foi ajuizada reclamação constitucional, esta considera-se prejudicada, sem subsistência de interesse em recurso nela interposto.</w:t>
      </w:r>
    </w:p>
    <w:p>
      <w:pPr>
        <w:ind w:left="288"/>
      </w:pPr>
      <w:r>
        <w:rPr>
          <w:b/>
          <w:color w:val="003CA0"/>
          <w:sz w:val="16"/>
        </w:rPr>
        <w:t>[Rcl 5.017 AgR, rel. min. Cezar Peluso, j. 27-11-2008, P, DJE de 6-2-2009.]</w:t>
      </w:r>
    </w:p>
    <w:p>
      <w:pPr>
        <w:ind w:left="288"/>
      </w:pPr>
      <w:r>
        <w:rPr>
          <w:color w:val="8C8C8C"/>
          <w:sz w:val="12"/>
        </w:rPr>
        <w:t>cf-art-102-inc-I-ali-l</w:t>
      </w:r>
      <w:r>
        <w:rPr>
          <w:color w:val="003CA0"/>
          <w:sz w:val="12"/>
        </w:rPr>
        <w:t xml:space="preserve"> | RCL 9.450</w:t>
      </w:r>
      <w:r>
        <w:rPr>
          <w:color w:val="003CA0"/>
          <w:sz w:val="12"/>
        </w:rPr>
        <w:t xml:space="preserve"> | rel. Cármen Lúcia</w:t>
      </w:r>
    </w:p>
    <w:p>
      <w:pPr>
        <w:ind w:left="288"/>
      </w:pPr>
      <w:r>
        <w:rPr>
          <w:color w:val="1E1E1E"/>
          <w:sz w:val="18"/>
        </w:rPr>
        <w:t>= Rcl 9.450 AgR, rel. min. Cármen Lúcia, j. 14-10-2010, P, DJE de 3-11-2010 Não cabe reclamação contra demora na cognição de recurso que invoque ofensa a súmula vinculante.</w:t>
      </w:r>
    </w:p>
    <w:p>
      <w:pPr>
        <w:ind w:left="288"/>
      </w:pPr>
      <w:r>
        <w:rPr>
          <w:b/>
          <w:color w:val="003CA0"/>
          <w:sz w:val="16"/>
        </w:rPr>
        <w:t>[Rcl 6.638 AgR, rel. min. Cezar Peluso, j. 18-11-2008, 2ª T, DJE de 5-12-2008.]</w:t>
      </w:r>
    </w:p>
    <w:p>
      <w:pPr>
        <w:ind w:left="288"/>
      </w:pPr>
      <w:r>
        <w:rPr>
          <w:color w:val="8C8C8C"/>
          <w:sz w:val="12"/>
        </w:rPr>
        <w:t>cf-art-102-inc-I-ali-l</w:t>
      </w:r>
      <w:r>
        <w:rPr>
          <w:color w:val="003CA0"/>
          <w:sz w:val="12"/>
        </w:rPr>
        <w:t xml:space="preserve"> | RCL 4.743</w:t>
      </w:r>
      <w:r>
        <w:rPr>
          <w:color w:val="003CA0"/>
          <w:sz w:val="12"/>
        </w:rPr>
        <w:t xml:space="preserve"> | rel. Ellen Gracie</w:t>
      </w:r>
    </w:p>
    <w:p>
      <w:pPr>
        <w:ind w:left="288"/>
      </w:pPr>
      <w:r>
        <w:rPr>
          <w:color w:val="1E1E1E"/>
          <w:sz w:val="18"/>
        </w:rPr>
        <w:t>Agravo regimental foi interposto contra decisão monocrática que considerou não haver interesse processual na reclamação. Ausência de interesse processual diante da prévia declaração de extinção da pena privativa de liberdade cumprida pelo condenado.</w:t>
      </w:r>
    </w:p>
    <w:p>
      <w:pPr>
        <w:ind w:left="288"/>
      </w:pPr>
      <w:r>
        <w:rPr>
          <w:b/>
          <w:color w:val="003CA0"/>
          <w:sz w:val="16"/>
        </w:rPr>
        <w:t>[Rcl 4.743 AgR, rel. min. Ellen Gracie, j. 2-9-2008, 2ª T, DJE de 26-9-2008.]</w:t>
      </w:r>
    </w:p>
    <w:p>
      <w:pPr>
        <w:ind w:left="288"/>
      </w:pPr>
      <w:r>
        <w:rPr>
          <w:color w:val="8C8C8C"/>
          <w:sz w:val="12"/>
        </w:rPr>
        <w:t>cf-art-102-inc-I-ali-l</w:t>
      </w:r>
      <w:r>
        <w:rPr>
          <w:color w:val="003CA0"/>
          <w:sz w:val="12"/>
        </w:rPr>
        <w:t xml:space="preserve"> | RCL 5.411</w:t>
      </w:r>
      <w:r>
        <w:rPr>
          <w:color w:val="003CA0"/>
          <w:sz w:val="12"/>
        </w:rPr>
        <w:t xml:space="preserve"> | rel. Ricardo Lewandowski</w:t>
      </w:r>
    </w:p>
    <w:p>
      <w:pPr>
        <w:ind w:left="288"/>
      </w:pPr>
      <w:r>
        <w:rPr>
          <w:color w:val="1E1E1E"/>
          <w:sz w:val="18"/>
        </w:rPr>
        <w:t>A competência originária do STF não comporta a possibilidade de ser estendida a situações que extravasem os limites fixados pelo rol exaustivo inscrito no art. 102, I, da Constituição.</w:t>
      </w:r>
    </w:p>
    <w:p>
      <w:pPr>
        <w:ind w:left="288"/>
      </w:pPr>
      <w:r>
        <w:rPr>
          <w:b/>
          <w:color w:val="003CA0"/>
          <w:sz w:val="16"/>
        </w:rPr>
        <w:t>[Rcl 5.411 AgR, rel. min. Ricardo Lewandowski, j. 25-6-2008, P, DJE de 15-8-2008.]</w:t>
      </w:r>
    </w:p>
    <w:p>
      <w:pPr>
        <w:ind w:left="288"/>
      </w:pPr>
      <w:r>
        <w:rPr>
          <w:color w:val="8C8C8C"/>
          <w:sz w:val="12"/>
        </w:rPr>
        <w:t>cf-art-102-inc-I-ali-l</w:t>
      </w:r>
      <w:r>
        <w:rPr>
          <w:color w:val="003CA0"/>
          <w:sz w:val="12"/>
        </w:rPr>
        <w:t xml:space="preserve"> | RCL 6.579</w:t>
      </w:r>
      <w:r>
        <w:rPr>
          <w:color w:val="003CA0"/>
          <w:sz w:val="12"/>
        </w:rPr>
        <w:t xml:space="preserve"> | rel. Cármen Lúcia</w:t>
      </w:r>
    </w:p>
    <w:p>
      <w:pPr>
        <w:ind w:left="288"/>
      </w:pPr>
      <w:r>
        <w:rPr>
          <w:color w:val="1E1E1E"/>
          <w:sz w:val="18"/>
        </w:rPr>
        <w:t>= Rcl 6.579 AgR, rel. min. Cármen Lúcia, j. 13-11-2008, P, DJE de 4-12-2009 Não perde objeto a liminar concedida em reclamação que suspendeu os efeitos de decisão monocrática que afrontava o decidido pelo STF se a decisão for ratificada em acórdão.</w:t>
      </w:r>
    </w:p>
    <w:p>
      <w:pPr>
        <w:ind w:left="288"/>
      </w:pPr>
      <w:r>
        <w:rPr>
          <w:b/>
          <w:color w:val="003CA0"/>
          <w:sz w:val="16"/>
        </w:rPr>
        <w:t>[Rcl 4.920 MC-AgR, rel. min. Ricardo Lewandowski, j. 25-6-2008, P, DJE de 15-8-2008.]</w:t>
      </w:r>
    </w:p>
    <w:p>
      <w:pPr>
        <w:ind w:left="288"/>
      </w:pPr>
      <w:r>
        <w:rPr>
          <w:color w:val="8C8C8C"/>
          <w:sz w:val="12"/>
        </w:rPr>
        <w:t>cf-art-102-inc-I-ali-l</w:t>
      </w:r>
      <w:r>
        <w:rPr>
          <w:color w:val="003CA0"/>
          <w:sz w:val="12"/>
        </w:rPr>
        <w:t xml:space="preserve"> | RCL 3.704</w:t>
      </w:r>
      <w:r>
        <w:rPr>
          <w:color w:val="003CA0"/>
          <w:sz w:val="12"/>
        </w:rPr>
        <w:t xml:space="preserve"> | rel. Ricardo Lewandowski</w:t>
      </w:r>
    </w:p>
    <w:p>
      <w:pPr>
        <w:ind w:left="288"/>
      </w:pPr>
      <w:r>
        <w:rPr>
          <w:color w:val="1E1E1E"/>
          <w:sz w:val="18"/>
        </w:rPr>
        <w:t>A prescrição age na ação, enquanto a limitação dos efeitos da declaração de inconstitucionalidade age no próprio direito. Não há usurpação da competência desta Corte pela aplicação da prescrição.</w:t>
      </w:r>
    </w:p>
    <w:p>
      <w:pPr>
        <w:ind w:left="288"/>
      </w:pPr>
      <w:r>
        <w:rPr>
          <w:b/>
          <w:color w:val="003CA0"/>
          <w:sz w:val="16"/>
        </w:rPr>
        <w:t>[Rcl 3.704 AgR, rel. min. Ricardo Lewandowski, j. 25-6-2008, P, DJE de 8-8-2008.]</w:t>
      </w:r>
    </w:p>
    <w:p>
      <w:pPr>
        <w:ind w:left="288"/>
      </w:pPr>
      <w:r>
        <w:rPr>
          <w:color w:val="8C8C8C"/>
          <w:sz w:val="12"/>
        </w:rPr>
        <w:t>cf-art-102-inc-I-ali-l</w:t>
      </w:r>
      <w:r>
        <w:rPr>
          <w:color w:val="003CA0"/>
          <w:sz w:val="12"/>
        </w:rPr>
        <w:t xml:space="preserve"> | RCL 4.364</w:t>
      </w:r>
      <w:r>
        <w:rPr>
          <w:color w:val="003CA0"/>
          <w:sz w:val="12"/>
        </w:rPr>
        <w:t xml:space="preserve"> | rel. Marco Aurélio</w:t>
      </w:r>
    </w:p>
    <w:p>
      <w:pPr>
        <w:ind w:left="288"/>
      </w:pPr>
      <w:r>
        <w:rPr>
          <w:color w:val="1E1E1E"/>
          <w:sz w:val="18"/>
        </w:rPr>
        <w:t>Constando do ato atacado fundamento não versado no acórdão do Supremo, descabe assentar a adequação do pedido.</w:t>
      </w:r>
    </w:p>
    <w:p>
      <w:pPr>
        <w:ind w:left="288"/>
      </w:pPr>
      <w:r>
        <w:rPr>
          <w:b/>
          <w:color w:val="003CA0"/>
          <w:sz w:val="16"/>
        </w:rPr>
        <w:t>[Rcl 4.364 AgR, rel. min. Marco Aurélio, j. 14-5-2008, P, DJE de 20-6-2008.]</w:t>
      </w:r>
    </w:p>
    <w:p>
      <w:pPr>
        <w:ind w:left="288"/>
      </w:pPr>
      <w:r>
        <w:rPr>
          <w:color w:val="8C8C8C"/>
          <w:sz w:val="12"/>
        </w:rPr>
        <w:t>cf-art-102-inc-I-ali-l</w:t>
      </w:r>
      <w:r>
        <w:rPr>
          <w:color w:val="003CA0"/>
          <w:sz w:val="12"/>
        </w:rPr>
        <w:t xml:space="preserve"> | RCL 3.234</w:t>
      </w:r>
      <w:r>
        <w:rPr>
          <w:color w:val="003CA0"/>
          <w:sz w:val="12"/>
        </w:rPr>
        <w:t xml:space="preserve"> | rel. Marco Aurélio</w:t>
      </w:r>
    </w:p>
    <w:p>
      <w:pPr>
        <w:ind w:left="288"/>
      </w:pPr>
      <w:r>
        <w:rPr>
          <w:color w:val="1E1E1E"/>
          <w:sz w:val="18"/>
        </w:rPr>
        <w:t>O pronunciamento formalizado em reclamação beneficia os envolvidos. Descabe sobrepor medidas idênticas, ou seja, formalizar nova reclamação para ter-se a observância do que decidido em reclamação anterior.</w:t>
      </w:r>
    </w:p>
    <w:p>
      <w:pPr>
        <w:ind w:left="288"/>
      </w:pPr>
      <w:r>
        <w:rPr>
          <w:b/>
          <w:color w:val="003CA0"/>
          <w:sz w:val="16"/>
        </w:rPr>
        <w:t>[Rcl 3.234 AgR, rel. min. Marco Aurélio, j. 14-4-2008, P, DJE de 13-6-2008.]</w:t>
      </w:r>
    </w:p>
    <w:p>
      <w:pPr>
        <w:ind w:left="288"/>
      </w:pPr>
      <w:r>
        <w:rPr>
          <w:color w:val="8C8C8C"/>
          <w:sz w:val="12"/>
        </w:rPr>
        <w:t>cf-art-102-inc-I-ali-l</w:t>
      </w:r>
      <w:r>
        <w:rPr>
          <w:color w:val="003CA0"/>
          <w:sz w:val="12"/>
        </w:rPr>
        <w:t xml:space="preserve"> | RCL 6.079</w:t>
      </w:r>
      <w:r>
        <w:rPr>
          <w:color w:val="003CA0"/>
          <w:sz w:val="12"/>
        </w:rPr>
        <w:t xml:space="preserve"> | rel. Cármen Lúcia</w:t>
      </w:r>
    </w:p>
    <w:p>
      <w:pPr>
        <w:ind w:left="288"/>
      </w:pPr>
      <w:r>
        <w:rPr>
          <w:color w:val="1E1E1E"/>
          <w:sz w:val="18"/>
        </w:rPr>
        <w:t>= Rcl 6.079 AgR, rel. min. Cármen Lúcia, j. 16-9-2009, P, DJE de 9-10-2009 A reclamação é instrumento constitucional processual posto no sistema como dupla garantia formal da jurisdição: primeiro, para o jurisdicionado que tenha recebido resposta a pleito formulado judicialmente e que vê a decisão proferida afrontada, fragilizada e despojada de seu vigor e de sua eficácia; segundo, para o STF (art. 102, I,  l, da CF) ou para o STJ (art. 105, I,  f, da CF), que podem ter as suas respectivas competências enfrentadas e menosprezadas por outros órgãos do Poder Judiciário e a autoridade de suas dec</w:t>
      </w:r>
    </w:p>
    <w:p>
      <w:pPr>
        <w:ind w:left="288"/>
      </w:pPr>
      <w:r>
        <w:rPr>
          <w:b/>
          <w:color w:val="003CA0"/>
          <w:sz w:val="16"/>
        </w:rPr>
        <w:t>[Rcl 5.310, voto da rel. min. Cármen Lúcia, j. 3-4-2008, P, DJE de 16-5-2008.]</w:t>
      </w:r>
    </w:p>
    <w:p>
      <w:pPr>
        <w:ind w:left="288"/>
      </w:pPr>
      <w:r>
        <w:rPr>
          <w:color w:val="8C8C8C"/>
          <w:sz w:val="12"/>
        </w:rPr>
        <w:t>cf-art-102-inc-I-ali-l</w:t>
      </w:r>
      <w:r>
        <w:rPr>
          <w:color w:val="003CA0"/>
          <w:sz w:val="12"/>
        </w:rPr>
        <w:t xml:space="preserve"> | RCL 2.121</w:t>
      </w:r>
      <w:r>
        <w:rPr>
          <w:color w:val="003CA0"/>
          <w:sz w:val="12"/>
        </w:rPr>
        <w:t xml:space="preserve"> | rel. Eros Grau</w:t>
      </w:r>
    </w:p>
    <w:p>
      <w:pPr>
        <w:ind w:left="288"/>
      </w:pPr>
      <w:r>
        <w:rPr>
          <w:color w:val="1E1E1E"/>
          <w:sz w:val="18"/>
        </w:rPr>
        <w:t>Tendo sido extinta a ação direta de inconstitucionalidade, dá-se a perda de objeto também da reclamação e, logo, dos agravos regimentais.</w:t>
      </w:r>
    </w:p>
    <w:p>
      <w:pPr>
        <w:ind w:left="288"/>
      </w:pPr>
      <w:r>
        <w:rPr>
          <w:b/>
          <w:color w:val="003CA0"/>
          <w:sz w:val="16"/>
        </w:rPr>
        <w:t>[Rcl 2.121 AgR-AgR, rel. min. Eros Grau, j. 13-2-2008, P, DJE de 19-9-2008.]</w:t>
      </w:r>
    </w:p>
    <w:p>
      <w:pPr>
        <w:ind w:left="288"/>
      </w:pPr>
      <w:r>
        <w:rPr>
          <w:color w:val="8C8C8C"/>
          <w:sz w:val="12"/>
        </w:rPr>
        <w:t>cf-art-102-inc-I-ali-l</w:t>
      </w:r>
      <w:r>
        <w:rPr>
          <w:color w:val="003CA0"/>
          <w:sz w:val="12"/>
        </w:rPr>
        <w:t xml:space="preserve"> | RCL 2.912</w:t>
      </w:r>
      <w:r>
        <w:rPr>
          <w:color w:val="003CA0"/>
          <w:sz w:val="12"/>
        </w:rPr>
        <w:t xml:space="preserve"> | rel. Joaquim Barbosa</w:t>
      </w:r>
    </w:p>
    <w:p>
      <w:pPr>
        <w:ind w:left="288"/>
      </w:pPr>
      <w:r>
        <w:rPr>
          <w:color w:val="1E1E1E"/>
          <w:sz w:val="18"/>
        </w:rPr>
        <w:t>= Rcl 2.912 AgR, rel. min. Joaquim Barbosa, j. 23-9-2009, P, DJE de 6-11-2009 Reclamação. Decisão proferida em sede de agravo de instrumento contra decisão que não admitiu o extraordinário. Existência de decisões contraditórias, ambas com trânsito em julgado, sendo que a proferida nesta Suprema Corte é posterior. Não cabe à autoridade executiva descumprir julgado da Corte Suprema com apoio em interpretação sobre o alcance da coisa julgada envolvendo decisões conflitantes. A existência de tema constitucional relevante deverá ser objeto, se o caso, de atividade jurisdicional de iniciativa na Uni</w:t>
      </w:r>
    </w:p>
    <w:p>
      <w:pPr>
        <w:ind w:left="288"/>
      </w:pPr>
      <w:r>
        <w:rPr>
          <w:b/>
          <w:color w:val="003CA0"/>
          <w:sz w:val="16"/>
        </w:rPr>
        <w:t>[Rcl 5.151, rel. min. Menezes Direito, j. 12-2-2008, 1ª T, DJE de 28-3-2008.]</w:t>
      </w:r>
    </w:p>
    <w:p>
      <w:pPr>
        <w:ind w:left="288"/>
      </w:pPr>
      <w:r>
        <w:rPr>
          <w:color w:val="8C8C8C"/>
          <w:sz w:val="12"/>
        </w:rPr>
        <w:t>cf-art-102-inc-I-ali-l</w:t>
      </w:r>
      <w:r>
        <w:rPr>
          <w:color w:val="003CA0"/>
          <w:sz w:val="12"/>
        </w:rPr>
        <w:t xml:space="preserve"> | RCL 4.785</w:t>
      </w:r>
      <w:r>
        <w:rPr>
          <w:color w:val="003CA0"/>
          <w:sz w:val="12"/>
        </w:rPr>
        <w:t xml:space="preserve"> | rel. Gilmar Mendes</w:t>
      </w:r>
    </w:p>
    <w:p>
      <w:pPr>
        <w:ind w:left="288"/>
      </w:pPr>
      <w:r>
        <w:rPr>
          <w:color w:val="1E1E1E"/>
          <w:sz w:val="18"/>
        </w:rPr>
        <w:t>Não compete ao STF, no âmbito estreito de cognição próprio da reclamação constitucional, analisar a regularidade constitucional e legal das investiduras em cargos efetivos ou comissionados ou das contratações temporárias realizadas pelo poder público.</w:t>
      </w:r>
    </w:p>
    <w:p>
      <w:pPr>
        <w:ind w:left="288"/>
      </w:pPr>
      <w:r>
        <w:rPr>
          <w:b/>
          <w:color w:val="003CA0"/>
          <w:sz w:val="16"/>
        </w:rPr>
        <w:t>[Rcl 4.785 MC-AgR, rel. min. Gilmar Mendes, j. 17-12-2007, P, DJE de 14-3-2008.]</w:t>
      </w:r>
    </w:p>
    <w:p>
      <w:pPr>
        <w:ind w:left="288"/>
      </w:pPr>
      <w:r>
        <w:rPr>
          <w:color w:val="8C8C8C"/>
          <w:sz w:val="12"/>
        </w:rPr>
        <w:t>cf-art-102-inc-I-ali-l</w:t>
      </w:r>
      <w:r>
        <w:rPr>
          <w:color w:val="003CA0"/>
          <w:sz w:val="12"/>
        </w:rPr>
        <w:t xml:space="preserve"> | RCL 5.381</w:t>
      </w:r>
      <w:r>
        <w:rPr>
          <w:color w:val="003CA0"/>
          <w:sz w:val="12"/>
        </w:rPr>
        <w:t xml:space="preserve"> | rel. Ayres Britto</w:t>
      </w:r>
    </w:p>
    <w:p>
      <w:pPr>
        <w:ind w:left="288"/>
      </w:pPr>
      <w:r>
        <w:rPr>
          <w:color w:val="1E1E1E"/>
          <w:sz w:val="18"/>
        </w:rPr>
        <w:t>= Rcl 5.381 ED, rel. min. Ayres Britto, j. 20-5-2009, P, DJE de 21-8-2009 Concurso público para provimento de vagas nos serviços notariais e de registro do Estado de Minas Gerais. Alegação de desrespeito ao julgado desta corte na ADI 3.580/MG, rel. min. Gilmar Mendes. (...) O reclamante que não participou do concurso questionado não tem legitimidade para propor a reclamação (...).</w:t>
      </w:r>
    </w:p>
    <w:p>
      <w:pPr>
        <w:ind w:left="288"/>
      </w:pPr>
      <w:r>
        <w:rPr>
          <w:b/>
          <w:color w:val="003CA0"/>
          <w:sz w:val="16"/>
        </w:rPr>
        <w:t>[Rcl 4.344 AgR, rel. min. Ricardo Lewandowski, j. 22-11-2007, P, DJ de 7-12-2007.]</w:t>
      </w:r>
    </w:p>
    <w:p>
      <w:pPr>
        <w:ind w:left="288"/>
      </w:pPr>
      <w:r>
        <w:rPr>
          <w:color w:val="8C8C8C"/>
          <w:sz w:val="12"/>
        </w:rPr>
        <w:t>cf-art-102-inc-I-ali-l</w:t>
      </w:r>
      <w:r>
        <w:rPr>
          <w:color w:val="003CA0"/>
          <w:sz w:val="12"/>
        </w:rPr>
        <w:t xml:space="preserve"> | RCL 3.458</w:t>
      </w:r>
      <w:r>
        <w:rPr>
          <w:color w:val="003CA0"/>
          <w:sz w:val="12"/>
        </w:rPr>
        <w:t xml:space="preserve"> | rel. Cezar Peluso</w:t>
      </w:r>
    </w:p>
    <w:p>
      <w:pPr>
        <w:ind w:left="288"/>
      </w:pPr>
      <w:r>
        <w:rPr>
          <w:color w:val="1E1E1E"/>
          <w:sz w:val="18"/>
        </w:rPr>
        <w:t>Não se admite reclamação contra decisão que, em ação direta de inconstitucionalidade, indefere, sob qualquer que seja o fundamento, pedido de liminar.</w:t>
      </w:r>
    </w:p>
    <w:p>
      <w:pPr>
        <w:ind w:left="288"/>
      </w:pPr>
      <w:r>
        <w:rPr>
          <w:b/>
          <w:color w:val="003CA0"/>
          <w:sz w:val="16"/>
        </w:rPr>
        <w:t>[Rcl 3.458 AgR, rel. min. Cezar Peluso, j. 29-10-2007, P, DJ de 23-11-2007.]</w:t>
      </w:r>
    </w:p>
    <w:p>
      <w:pPr>
        <w:ind w:left="288"/>
      </w:pPr>
      <w:r>
        <w:rPr>
          <w:color w:val="8C8C8C"/>
          <w:sz w:val="12"/>
        </w:rPr>
        <w:t>cf-art-102-inc-I-ali-l</w:t>
      </w:r>
      <w:r>
        <w:rPr>
          <w:color w:val="003CA0"/>
          <w:sz w:val="12"/>
        </w:rPr>
        <w:t xml:space="preserve"> | RCL 3.267</w:t>
      </w:r>
      <w:r>
        <w:rPr>
          <w:color w:val="003CA0"/>
          <w:sz w:val="12"/>
        </w:rPr>
        <w:t xml:space="preserve"> | rel. Cármen Lúcia</w:t>
      </w:r>
    </w:p>
    <w:p>
      <w:pPr>
        <w:ind w:left="288"/>
      </w:pPr>
      <w:r>
        <w:rPr>
          <w:color w:val="1E1E1E"/>
          <w:sz w:val="18"/>
        </w:rPr>
        <w:t>= Rcl 3.267 AgR, rel. min. Cármen Lúcia, j. 21-10-2009, P, DJE de 20-11-2009 Não é lícito julgar, em reclamação contra decisão ofensiva a liminar concedida em ação direta de inconstitucionalidade, o prejuízo desta, ainda que sob fundamento de revogação ulterior da lei em que se baseou tal antecipação de tutela.</w:t>
      </w:r>
    </w:p>
    <w:p>
      <w:pPr>
        <w:ind w:left="288"/>
      </w:pPr>
      <w:r>
        <w:rPr>
          <w:b/>
          <w:color w:val="003CA0"/>
          <w:sz w:val="16"/>
        </w:rPr>
        <w:t>[Rcl 4.414 MC-AgR, rel. min. Cezar Peluso, j. 6-6-2007, P, DJ de 29-6-2007.]</w:t>
      </w:r>
    </w:p>
    <w:p>
      <w:pPr>
        <w:ind w:left="288"/>
      </w:pPr>
      <w:r>
        <w:rPr>
          <w:color w:val="8C8C8C"/>
          <w:sz w:val="12"/>
        </w:rPr>
        <w:t>cf-art-102-inc-I-ali-l</w:t>
      </w:r>
      <w:r>
        <w:rPr>
          <w:color w:val="003CA0"/>
          <w:sz w:val="12"/>
        </w:rPr>
        <w:t xml:space="preserve"> | RCL 4.733</w:t>
      </w:r>
      <w:r>
        <w:rPr>
          <w:color w:val="003CA0"/>
          <w:sz w:val="12"/>
        </w:rPr>
        <w:t xml:space="preserve"> | rel. Cezar Peluso</w:t>
      </w:r>
    </w:p>
    <w:p>
      <w:pPr>
        <w:ind w:left="288"/>
      </w:pPr>
      <w:r>
        <w:rPr>
          <w:color w:val="1E1E1E"/>
          <w:sz w:val="18"/>
        </w:rPr>
        <w:t>Reclamação não é via própria para avaliar, mediante cognição plena, o acerto, ou não, de decisão judicial que reputa unidade prisional reservada como adequada para recolhimento de advogado com direito a prisão especial.</w:t>
      </w:r>
    </w:p>
    <w:p>
      <w:pPr>
        <w:ind w:left="288"/>
      </w:pPr>
      <w:r>
        <w:rPr>
          <w:b/>
          <w:color w:val="003CA0"/>
          <w:sz w:val="16"/>
        </w:rPr>
        <w:t>[Rcl 4.733, rel. min. Cezar Peluso, j. 7-5-2007, P, DJ de 8-6-2007.]</w:t>
      </w:r>
    </w:p>
    <w:p>
      <w:pPr>
        <w:ind w:left="288"/>
      </w:pPr>
      <w:r>
        <w:rPr>
          <w:color w:val="8C8C8C"/>
          <w:sz w:val="12"/>
        </w:rPr>
        <w:t>cf-art-102-inc-I-ali-l</w:t>
      </w:r>
      <w:r>
        <w:rPr>
          <w:color w:val="003CA0"/>
          <w:sz w:val="12"/>
        </w:rPr>
        <w:t xml:space="preserve"> | RCL 2.600</w:t>
      </w:r>
      <w:r>
        <w:rPr>
          <w:color w:val="003CA0"/>
          <w:sz w:val="12"/>
        </w:rPr>
        <w:t xml:space="preserve"> | rel. Cezar Peluso</w:t>
      </w:r>
    </w:p>
    <w:p>
      <w:pPr>
        <w:ind w:left="288"/>
      </w:pPr>
      <w:r>
        <w:rPr>
          <w:color w:val="1E1E1E"/>
          <w:sz w:val="18"/>
        </w:rPr>
        <w:t>Reputa-se ofensivo à autoridade de sentença de mérito proferida em ação direta de inconstitucionalidade, com efeito ex tunc, o acórdão que, julgando improcedente ação rescisória, adotou entendimento contrário, ainda que na vigência e nos termos de liminar concedida na mesma ação direta de inconstitucionalidade.</w:t>
      </w:r>
    </w:p>
    <w:p>
      <w:pPr>
        <w:ind w:left="288"/>
      </w:pPr>
      <w:r>
        <w:rPr>
          <w:b/>
          <w:color w:val="003CA0"/>
          <w:sz w:val="16"/>
        </w:rPr>
        <w:t>[Rcl 2.600 AgR, rel. min. Cezar Peluso, j. 14-9-2006, P, DJ de 3-8-2007.]</w:t>
      </w:r>
    </w:p>
    <w:p>
      <w:pPr>
        <w:ind w:left="288"/>
      </w:pPr>
      <w:r>
        <w:rPr>
          <w:color w:val="8C8C8C"/>
          <w:sz w:val="12"/>
        </w:rPr>
        <w:t>cf-art-102-inc-I-ali-l</w:t>
      </w:r>
      <w:r>
        <w:rPr>
          <w:color w:val="003CA0"/>
          <w:sz w:val="12"/>
        </w:rPr>
        <w:t xml:space="preserve"> | RCL 3.916</w:t>
      </w:r>
      <w:r>
        <w:rPr>
          <w:color w:val="003CA0"/>
          <w:sz w:val="12"/>
        </w:rPr>
        <w:t xml:space="preserve"> | rel. Ayres Britto</w:t>
      </w:r>
    </w:p>
    <w:p>
      <w:pPr>
        <w:ind w:left="288"/>
      </w:pPr>
      <w:r>
        <w:rPr>
          <w:color w:val="1E1E1E"/>
          <w:sz w:val="18"/>
        </w:rPr>
        <w:t>Não cabe reclamação contra atos decisórios dos ministros ou das Turmas que integram esta Corte Suprema, dado que tais decisões são juridicamente imputados à autoria do próprio Tribunal em sua inteireza.</w:t>
      </w:r>
    </w:p>
    <w:p>
      <w:pPr>
        <w:ind w:left="288"/>
      </w:pPr>
      <w:r>
        <w:rPr>
          <w:b/>
          <w:color w:val="003CA0"/>
          <w:sz w:val="16"/>
        </w:rPr>
        <w:t>[Rcl 3.916 AgR, rel. min. Ayres Britto, j. 12-6-2006, P, DJ de 25-8-2006.]</w:t>
      </w:r>
    </w:p>
    <w:p>
      <w:pPr>
        <w:ind w:left="288"/>
      </w:pPr>
      <w:r>
        <w:rPr>
          <w:color w:val="8C8C8C"/>
          <w:sz w:val="12"/>
        </w:rPr>
        <w:t>cf-art-102-inc-I-ali-l</w:t>
      </w:r>
      <w:r>
        <w:rPr>
          <w:color w:val="003CA0"/>
          <w:sz w:val="12"/>
        </w:rPr>
        <w:t xml:space="preserve"> | RCL 13.996</w:t>
      </w:r>
      <w:r>
        <w:rPr>
          <w:color w:val="003CA0"/>
          <w:sz w:val="12"/>
        </w:rPr>
        <w:t xml:space="preserve"> | rel. Teori Zavascki</w:t>
      </w:r>
    </w:p>
    <w:p>
      <w:pPr>
        <w:ind w:left="288"/>
      </w:pPr>
      <w:r>
        <w:rPr>
          <w:color w:val="1E1E1E"/>
          <w:sz w:val="18"/>
        </w:rPr>
        <w:t>= Rcl 13.996 AgR, rel. min. Teori Zavascki, j. 26-5-2013, P, DJE de 11-6-2013 Não há desrespeito à decisão vinculante do Supremo Tribunal se o paradigma normativo invalidado é diverso do dispositivo legal aplicado ao caso pela autoridade reclamada.</w:t>
      </w:r>
    </w:p>
    <w:p>
      <w:pPr>
        <w:ind w:left="288"/>
      </w:pPr>
      <w:r>
        <w:rPr>
          <w:b/>
          <w:color w:val="003CA0"/>
          <w:sz w:val="16"/>
        </w:rPr>
        <w:t>[Rcl 3.940 AgR, rel. min. Sepúlveda Pertence, j. 23-2-2006, P, DJ de 24-3-2006.]</w:t>
      </w:r>
    </w:p>
    <w:p>
      <w:pPr>
        <w:ind w:left="288"/>
      </w:pPr>
      <w:r>
        <w:rPr>
          <w:color w:val="8C8C8C"/>
          <w:sz w:val="12"/>
        </w:rPr>
        <w:t>cf-art-102-inc-I-ali-l</w:t>
      </w:r>
      <w:r>
        <w:rPr>
          <w:color w:val="003CA0"/>
          <w:sz w:val="12"/>
        </w:rPr>
        <w:t xml:space="preserve"> | RCL 4.129</w:t>
      </w:r>
      <w:r>
        <w:rPr>
          <w:color w:val="003CA0"/>
          <w:sz w:val="12"/>
        </w:rPr>
        <w:t xml:space="preserve"> | rel. Gilmar Mendes</w:t>
      </w:r>
    </w:p>
    <w:p>
      <w:pPr>
        <w:ind w:left="288"/>
      </w:pPr>
      <w:r>
        <w:rPr>
          <w:color w:val="1E1E1E"/>
          <w:sz w:val="18"/>
        </w:rPr>
        <w:t>= Rcl 4.129 AgR, rel. min. Gilmar Mendes, j. 3-6-2009, P, DJE de 7-8-2009 A obrigatoriedade de observância da decisão de liminar, em controle abstrato realizado pelo STF, impõe-se com a publicação da ata da sessão de julgamento no Diário da Justiça. O ajuizamento de reclamação independe tanto da publicação do acórdão cuja autoridade se quer garantir (ADC 4 MC) como de sua juntada.</w:t>
      </w:r>
    </w:p>
    <w:p>
      <w:pPr>
        <w:ind w:left="288"/>
      </w:pPr>
      <w:r>
        <w:rPr>
          <w:b/>
          <w:color w:val="003CA0"/>
          <w:sz w:val="16"/>
        </w:rPr>
        <w:t>[Rcl 1.190 AgR e Rcl 1.197 AgR, rel. p/ o ac. min. Joaquim Barbosa, j. 8-9-2005, P, DJ de 3-2-2006.]</w:t>
      </w:r>
    </w:p>
    <w:p>
      <w:pPr>
        <w:ind w:left="288"/>
      </w:pPr>
      <w:r>
        <w:rPr>
          <w:color w:val="8C8C8C"/>
          <w:sz w:val="12"/>
        </w:rPr>
        <w:t>cf-art-102-inc-I-ali-l</w:t>
      </w:r>
      <w:r>
        <w:rPr>
          <w:color w:val="003CA0"/>
          <w:sz w:val="12"/>
        </w:rPr>
        <w:t xml:space="preserve"> | RCL 3.113</w:t>
      </w:r>
      <w:r>
        <w:rPr>
          <w:color w:val="003CA0"/>
          <w:sz w:val="12"/>
        </w:rPr>
        <w:t xml:space="preserve"> | rel. Dias Toffoli</w:t>
      </w:r>
    </w:p>
    <w:p>
      <w:pPr>
        <w:ind w:left="288"/>
      </w:pPr>
      <w:r>
        <w:rPr>
          <w:color w:val="1E1E1E"/>
          <w:sz w:val="18"/>
        </w:rPr>
        <w:t>= Rcl 3.113 AgR, rel. p/ o ac. min. Dias Toffoli, j. 18-8-2010, P, DJE de 12-11-2010 A reclamação visa preservar a competência do STF e garantir a autoridade de suas decisões, motivo pelo qual a decisão proferida em reclamação não substitui a decisão recorrida como nos recursos, mas apenas cassa o ato atacado. A reclamação tem natureza de remédio processual correcional, de função corregedora.</w:t>
      </w:r>
    </w:p>
    <w:p>
      <w:pPr>
        <w:ind w:left="288"/>
      </w:pPr>
      <w:r>
        <w:rPr>
          <w:b/>
          <w:color w:val="003CA0"/>
          <w:sz w:val="16"/>
        </w:rPr>
        <w:t>[Rcl 872 AgR, rel. p/ o ac. min. Nelson Jobim, j. 9-9-2004, P, DJ de 20-5-2005.]</w:t>
      </w:r>
    </w:p>
    <w:p>
      <w:pPr>
        <w:ind w:left="288"/>
      </w:pPr>
      <w:r>
        <w:rPr>
          <w:color w:val="8C8C8C"/>
          <w:sz w:val="12"/>
        </w:rPr>
        <w:t>cf-art-102-inc-I-ali-l</w:t>
      </w:r>
      <w:r>
        <w:rPr>
          <w:color w:val="003CA0"/>
          <w:sz w:val="12"/>
        </w:rPr>
        <w:t xml:space="preserve"> | RCL 1.880</w:t>
      </w:r>
      <w:r>
        <w:rPr>
          <w:color w:val="003CA0"/>
          <w:sz w:val="12"/>
        </w:rPr>
        <w:t xml:space="preserve"> | rel. Maurício Corrêa</w:t>
      </w:r>
    </w:p>
    <w:p>
      <w:pPr>
        <w:ind w:left="288"/>
      </w:pPr>
      <w:r>
        <w:rPr>
          <w:color w:val="1E1E1E"/>
          <w:sz w:val="18"/>
        </w:rPr>
        <w:t>Reclamação. Reconhecimento de legitimidade ativa ad causam de todos que comprovem prejuízo oriundo de decisões dos órgãos do Poder Judiciário, bem como da administração pública de todos os níveis, contrárias ao julgado do Tribunal. Ampliação do conceito de parte interessada (Lei 8.038/1990, art. 13). Reflexos processuais da eficácia vinculante do acórdão a ser preservado.</w:t>
      </w:r>
    </w:p>
    <w:p>
      <w:pPr>
        <w:ind w:left="288"/>
      </w:pPr>
      <w:r>
        <w:rPr>
          <w:b/>
          <w:color w:val="003CA0"/>
          <w:sz w:val="16"/>
        </w:rPr>
        <w:t>[Rcl 1.880 AgR, rel. min. Maurício Corrêa, j. 7-11-2002, P, DJ de 19-3-2004.]</w:t>
      </w:r>
    </w:p>
    <w:p>
      <w:pPr>
        <w:ind w:left="288"/>
      </w:pPr>
      <w:r>
        <w:rPr>
          <w:color w:val="8C8C8C"/>
          <w:sz w:val="12"/>
        </w:rPr>
        <w:t>cf-art-102-inc-I-ali-l</w:t>
      </w:r>
      <w:r>
        <w:rPr>
          <w:color w:val="003CA0"/>
          <w:sz w:val="12"/>
        </w:rPr>
        <w:t xml:space="preserve"> | RCL 707</w:t>
      </w:r>
      <w:r>
        <w:rPr>
          <w:color w:val="003CA0"/>
          <w:sz w:val="12"/>
        </w:rPr>
        <w:t xml:space="preserve"> | rel. Dias Toffoli</w:t>
      </w:r>
    </w:p>
    <w:p>
      <w:pPr>
        <w:ind w:left="288"/>
      </w:pPr>
      <w:r>
        <w:rPr>
          <w:color w:val="1E1E1E"/>
          <w:sz w:val="18"/>
        </w:rPr>
        <w:t>= Rcl 707 AgR-ED, rel. min. Dias Toffoli, j. 6-2-2013, P, DJE de 6-3-2013 O interessado, uma vez admitido ao processo de reclamação – e observada a fase procedimental em que este se acha –, tem o direito de ser intimado dos atos e termos processuais, assistindo-lhes, ainda, a prerrogativa de fazer sustentação oral, quando do julgamento final da causa.</w:t>
      </w:r>
    </w:p>
    <w:p>
      <w:pPr>
        <w:ind w:left="288"/>
      </w:pPr>
      <w:r>
        <w:rPr>
          <w:b/>
          <w:color w:val="003CA0"/>
          <w:sz w:val="16"/>
        </w:rPr>
        <w:t>[Rcl 449 AgR, rel. min. Celso de Mello, j. 12-12-1996, P, DJ de 21-2-1997.]</w:t>
      </w:r>
    </w:p>
    <w:p>
      <w:pPr>
        <w:ind w:left="288"/>
      </w:pPr>
      <w:r>
        <w:rPr>
          <w:color w:val="8C8C8C"/>
          <w:sz w:val="12"/>
        </w:rPr>
        <w:t>cf-art-102-inc-I-ali-l</w:t>
      </w:r>
      <w:r>
        <w:rPr>
          <w:color w:val="003CA0"/>
          <w:sz w:val="12"/>
        </w:rPr>
        <w:t xml:space="preserve"> | RCL 8.478</w:t>
      </w:r>
      <w:r>
        <w:rPr>
          <w:color w:val="003CA0"/>
          <w:sz w:val="12"/>
        </w:rPr>
        <w:t xml:space="preserve"> | rel. Cármen Lúcia</w:t>
      </w:r>
    </w:p>
    <w:p>
      <w:pPr>
        <w:ind w:left="288"/>
      </w:pPr>
      <w:r>
        <w:rPr>
          <w:color w:val="1E1E1E"/>
          <w:sz w:val="18"/>
        </w:rPr>
        <w:t>= Rcl 8.478 AgR, rel. min. Cármen Lúcia, j. 1º-8-2011, P, DJE de 22-8-2011</w:t>
      </w:r>
    </w:p>
    <w:p>
      <w:pPr>
        <w:ind w:left="288"/>
      </w:pPr>
      <w:r>
        <w:rPr>
          <w:color w:val="8C8C8C"/>
          <w:sz w:val="12"/>
        </w:rPr>
        <w:t>cf-art-102-inc-I-ali-m</w:t>
      </w:r>
      <w:r>
        <w:rPr>
          <w:color w:val="003CA0"/>
          <w:sz w:val="12"/>
        </w:rPr>
        <w:t xml:space="preserve"> | PET 6.076</w:t>
      </w:r>
      <w:r>
        <w:rPr>
          <w:color w:val="003CA0"/>
          <w:sz w:val="12"/>
        </w:rPr>
        <w:t xml:space="preserve"> | rel. Dias Toffoli</w:t>
      </w:r>
    </w:p>
    <w:p>
      <w:pPr>
        <w:ind w:left="288"/>
      </w:pPr>
      <w:r>
        <w:rPr>
          <w:color w:val="1E1E1E"/>
          <w:sz w:val="18"/>
        </w:rPr>
        <w:t>Art. 102, I, m, da CF/1988. Interpretação teleológica. (...) Questão de ordem resolvida no sentido de que não compete originariamente ao STF a execução individual de sentenças genéricas de perfil coletivo, inclusive aquelas proferidas em sede mandamental coletiva, cabendo essa atribuição aos órgãos competentes de primeira instância.</w:t>
        <w:br/>
        <w:t>[Pet 6.076 QO, rel. min. Dias Toffoli, j. 25-4-2017, 2ª T, DJE de 26-5-2017.] A ação cível originária é procedimento no qual o STF atua como instância originária, prestando não só a tutela de conhecimento inicial como a própria prestação jurisdicional executiva, se</w:t>
      </w:r>
    </w:p>
    <w:p>
      <w:pPr>
        <w:ind w:left="288"/>
      </w:pPr>
      <w:r>
        <w:rPr>
          <w:b/>
          <w:color w:val="003CA0"/>
          <w:sz w:val="16"/>
        </w:rPr>
        <w:t>[RE 626.369 ED-ED, voto da rel. min. Ellen Gracie, j. 1º-3-2011, 2ª T, DJE de 24-3-2011.]</w:t>
      </w:r>
    </w:p>
    <w:p>
      <w:pPr>
        <w:ind w:left="288"/>
      </w:pPr>
      <w:r>
        <w:rPr>
          <w:color w:val="8C8C8C"/>
          <w:sz w:val="12"/>
        </w:rPr>
        <w:t>cf-art-102-inc-I-ali-m</w:t>
      </w:r>
    </w:p>
    <w:p>
      <w:pPr>
        <w:ind w:left="288"/>
      </w:pPr>
      <w:r>
        <w:rPr>
          <w:color w:val="1E1E1E"/>
          <w:sz w:val="18"/>
        </w:rPr>
        <w:t>n) a ação em que todos os membros da magistratura sejam direta ou indiretamente interessados, e aquela em que mais da metade dos membros do tribunal de origem estejam impedidos ou sejam direta ou indiretamente interessados;</w:t>
      </w:r>
    </w:p>
    <w:p>
      <w:pPr>
        <w:ind w:left="144"/>
      </w:pPr>
      <w:r>
        <w:rPr>
          <w:b/>
          <w:color w:val="B45A00"/>
          <w:sz w:val="16"/>
        </w:rPr>
        <w:t>SUMULA</w:t>
      </w:r>
    </w:p>
    <w:p>
      <w:pPr>
        <w:ind w:left="288"/>
      </w:pPr>
      <w:r>
        <w:rPr>
          <w:color w:val="8C8C8C"/>
          <w:sz w:val="12"/>
        </w:rPr>
        <w:t>cf-art-102-inc-I-ali-m</w:t>
      </w:r>
    </w:p>
    <w:p>
      <w:pPr>
        <w:ind w:left="288"/>
      </w:pPr>
      <w:r>
        <w:rPr>
          <w:color w:val="1E1E1E"/>
          <w:sz w:val="18"/>
        </w:rPr>
        <w:t>Para fim da competência originária do STF, é de interesse geral da magistratura a questão de saber se, em face da Loman, os juízes têm direito à licença-prêmio.</w:t>
      </w:r>
    </w:p>
    <w:p>
      <w:pPr>
        <w:ind w:left="288"/>
      </w:pPr>
      <w:r>
        <w:rPr>
          <w:b/>
          <w:color w:val="003CA0"/>
          <w:sz w:val="16"/>
        </w:rPr>
        <w:t>[Súmula 731.]</w:t>
      </w:r>
    </w:p>
    <w:p>
      <w:pPr>
        <w:ind w:left="288"/>
      </w:pPr>
      <w:r>
        <w:rPr>
          <w:color w:val="8C8C8C"/>
          <w:sz w:val="12"/>
        </w:rPr>
        <w:t>cf-art-102-inc-I-ali-m</w:t>
      </w:r>
    </w:p>
    <w:p>
      <w:pPr>
        <w:ind w:left="288"/>
      </w:pPr>
      <w:r>
        <w:rPr>
          <w:color w:val="1E1E1E"/>
          <w:sz w:val="18"/>
        </w:rPr>
        <w:t>Não gera por si só a competência originária do STF para conhecer do mandado de segurança com base no art. 102, I, n, da Constituição, dirigir-se o pedido contra deliberação administrativa do tribunal de origem, da qual haja participado a maioria ou a totalidade de seus membros.</w:t>
      </w:r>
    </w:p>
    <w:p>
      <w:pPr>
        <w:ind w:left="288"/>
      </w:pPr>
      <w:r>
        <w:rPr>
          <w:b/>
          <w:color w:val="003CA0"/>
          <w:sz w:val="16"/>
        </w:rPr>
        <w:t>[Súmula 623.]</w:t>
      </w:r>
    </w:p>
    <w:p>
      <w:pPr>
        <w:ind w:left="144"/>
      </w:pPr>
      <w:r>
        <w:rPr>
          <w:b/>
          <w:color w:val="B45A00"/>
          <w:sz w:val="16"/>
        </w:rPr>
        <w:t>REPERCUSSAO GERAL</w:t>
      </w:r>
    </w:p>
    <w:p>
      <w:pPr>
        <w:ind w:left="288"/>
      </w:pPr>
      <w:r>
        <w:rPr>
          <w:color w:val="8C8C8C"/>
          <w:sz w:val="12"/>
        </w:rPr>
        <w:t>cf-art-102-inc-I-ali-m</w:t>
      </w:r>
      <w:r>
        <w:rPr>
          <w:color w:val="003CA0"/>
          <w:sz w:val="12"/>
        </w:rPr>
        <w:t xml:space="preserve"> | RE 1.301.504</w:t>
      </w:r>
      <w:r>
        <w:rPr>
          <w:color w:val="003CA0"/>
          <w:sz w:val="12"/>
        </w:rPr>
        <w:t xml:space="preserve"> | rel. Luiz Fux</w:t>
      </w:r>
    </w:p>
    <w:p>
      <w:pPr>
        <w:ind w:left="288"/>
      </w:pPr>
      <w:r>
        <w:rPr>
          <w:color w:val="1E1E1E"/>
          <w:sz w:val="18"/>
        </w:rPr>
        <w:t>Assentada a incompetência originária do Supremo Tribunal Federal para julgar causa que verse sobre direito, interesse ou vantagem que não sejam exclusivos da magistratura, é infraconstitucional, a ela se aplicando os efeitos da ausência de repercussão geral, a controvérsia relativa ao preenchimento dos requisitos legais para percepção de diárias por magistrados, assim como ao valor efetivamente devido.</w:t>
        <w:br/>
        <w:t>[RE 1.301.504 RG, rel. min. Luiz Fux, j. 30-9-2021, P, DJE de 7-10-2021, Tema 1.173, com repercussão geral negada.]</w:t>
      </w:r>
    </w:p>
    <w:p>
      <w:pPr>
        <w:ind w:left="144"/>
      </w:pPr>
      <w:r>
        <w:rPr>
          <w:b/>
          <w:color w:val="B45A00"/>
          <w:sz w:val="16"/>
        </w:rPr>
        <w:t>JULGADOS CORRELATOS</w:t>
      </w:r>
    </w:p>
    <w:p>
      <w:pPr>
        <w:ind w:left="288"/>
      </w:pPr>
      <w:r>
        <w:rPr>
          <w:color w:val="8C8C8C"/>
          <w:sz w:val="12"/>
        </w:rPr>
        <w:t>cf-art-102-inc-I-ali-m</w:t>
      </w:r>
      <w:r>
        <w:rPr>
          <w:color w:val="003CA0"/>
          <w:sz w:val="12"/>
        </w:rPr>
        <w:t xml:space="preserve"> | AO 2.275</w:t>
      </w:r>
      <w:r>
        <w:rPr>
          <w:color w:val="003CA0"/>
          <w:sz w:val="12"/>
        </w:rPr>
        <w:t xml:space="preserve"> | rel. Luiz Fux</w:t>
      </w:r>
    </w:p>
    <w:p>
      <w:pPr>
        <w:ind w:left="288"/>
      </w:pPr>
      <w:r>
        <w:rPr>
          <w:color w:val="1E1E1E"/>
          <w:sz w:val="18"/>
        </w:rPr>
        <w:t>Denúncia de peculato, lavagem de dinheiro e organização criminosa em face de deputado estadual. Mais da metade dos membros do Tribunal de Justiça do Estado do Rio Grande do Norte impedidos. Competência do STF. CF, art. 102, I, n. (...) O art. 102, I, n, da CF expressa que compete ao STF processar e julgar, originariamente, a ação em que mais da metade dos membros do tribunal de origem estejam impedidos ou sejam direta ou indiretamente interessados.</w:t>
      </w:r>
    </w:p>
    <w:p>
      <w:pPr>
        <w:ind w:left="288"/>
      </w:pPr>
      <w:r>
        <w:rPr>
          <w:b/>
          <w:color w:val="003CA0"/>
          <w:sz w:val="16"/>
        </w:rPr>
        <w:t>[AO 2.275, rel. min. Luiz Fux, j. 23-10-2018, 1ª T, DJE de 28-2-2019.]</w:t>
      </w:r>
    </w:p>
    <w:p>
      <w:pPr>
        <w:ind w:left="288"/>
      </w:pPr>
      <w:r>
        <w:rPr>
          <w:color w:val="8C8C8C"/>
          <w:sz w:val="12"/>
        </w:rPr>
        <w:t>cf-art-102-inc-I-ali-m</w:t>
      </w:r>
      <w:r>
        <w:rPr>
          <w:color w:val="003CA0"/>
          <w:sz w:val="12"/>
        </w:rPr>
        <w:t xml:space="preserve"> | AO 1.569</w:t>
      </w:r>
      <w:r>
        <w:rPr>
          <w:color w:val="003CA0"/>
          <w:sz w:val="12"/>
        </w:rPr>
        <w:t xml:space="preserve"> | rel. Marco Aurélio</w:t>
      </w:r>
    </w:p>
    <w:p>
      <w:pPr>
        <w:ind w:left="288"/>
      </w:pPr>
      <w:r>
        <w:rPr>
          <w:color w:val="1E1E1E"/>
          <w:sz w:val="18"/>
        </w:rPr>
        <w:t>Não é relevante, para a definição da competência para processar e julgar esta ação, que tenha ela sido ajuizada por magistrado estadual, e não federal. Conquanto interpretação literal do art. 102, I, n, da Carta Magna dê a entender "a necessidade de envolvimento de ‘todos os membros da magistratura’ de forma direta ou indireta" para a aplicação da competência originária do STF, deve-se ter em conta que essa disposição normativa constitucional "não possui outro objetivo senão o de deslocar a competência para evitar-se, embora de forma geral, o julgamento da causa por interessados" (AO 1.569 QO,</w:t>
      </w:r>
    </w:p>
    <w:p>
      <w:pPr>
        <w:ind w:left="288"/>
      </w:pPr>
      <w:r>
        <w:rPr>
          <w:b/>
          <w:color w:val="003CA0"/>
          <w:sz w:val="16"/>
        </w:rPr>
        <w:t>[RE 608.847 AgR, red. do ac. min. Teori Zavascki, j. 1º-12-2015, 2ª T, DJE de 18-4-2016.]</w:t>
      </w:r>
    </w:p>
    <w:p>
      <w:pPr>
        <w:ind w:left="288"/>
      </w:pPr>
      <w:r>
        <w:rPr>
          <w:color w:val="8C8C8C"/>
          <w:sz w:val="12"/>
        </w:rPr>
        <w:t>cf-art-102-inc-I-ali-m</w:t>
      </w:r>
      <w:r>
        <w:rPr>
          <w:color w:val="003CA0"/>
          <w:sz w:val="12"/>
        </w:rPr>
        <w:t xml:space="preserve"> | RCL 11.323</w:t>
      </w:r>
    </w:p>
    <w:p>
      <w:pPr>
        <w:ind w:left="288"/>
      </w:pPr>
      <w:r>
        <w:rPr>
          <w:color w:val="1E1E1E"/>
          <w:sz w:val="18"/>
        </w:rPr>
        <w:t>Insere-se na competência do STF (art. 102, I, n, da CF) a ação de mandado de segurança coletivo, impetrado por entidades associativas de magistrados, visando a assegurar alegada prerrogativa da magistratura (art. 33, V, da Loman) de obter a renovação simplificada dos registros de propriedade de armas de defesa pessoal, com dispensa de teste psicológico e de capacidade técnica e da revisão periódica do registro.</w:t>
      </w:r>
    </w:p>
    <w:p>
      <w:pPr>
        <w:ind w:left="288"/>
      </w:pPr>
      <w:r>
        <w:rPr>
          <w:b/>
          <w:color w:val="003CA0"/>
          <w:sz w:val="16"/>
        </w:rPr>
        <w:t>[Rcl 11.323 AgR, red. do ac. min. Teori Zavascki, j. 22-4-2015, P, DJE de 3-8-2015.]</w:t>
      </w:r>
    </w:p>
    <w:p>
      <w:pPr>
        <w:ind w:left="288"/>
      </w:pPr>
      <w:r>
        <w:rPr>
          <w:color w:val="8C8C8C"/>
          <w:sz w:val="12"/>
        </w:rPr>
        <w:t>cf-art-102-inc-I-ali-m</w:t>
      </w:r>
      <w:r>
        <w:rPr>
          <w:color w:val="003CA0"/>
          <w:sz w:val="12"/>
        </w:rPr>
        <w:t xml:space="preserve"> | RCL 16.061</w:t>
      </w:r>
      <w:r>
        <w:rPr>
          <w:color w:val="003CA0"/>
          <w:sz w:val="12"/>
        </w:rPr>
        <w:t xml:space="preserve"> | rel. Teori Zavascki</w:t>
      </w:r>
    </w:p>
    <w:p>
      <w:pPr>
        <w:ind w:left="288"/>
      </w:pPr>
      <w:r>
        <w:rPr>
          <w:color w:val="1E1E1E"/>
          <w:sz w:val="18"/>
        </w:rPr>
        <w:t>"Não fixa competência originária do STF a propositura de ação com peculiaridades que dizem respeito a número restrito de magistrados alegadamente interessados na solução da causa" (Rcl 16.061, Segunda Turma, de minha relatoria, DJE de 6-3-2014). Essa orientação se aplica a demanda em que se pleiteia o pagamento de ajuda de custo a juiz federal em razão de sua posse em domicílio diverso daquele em que residia antes do ingresso na magistratura.</w:t>
      </w:r>
    </w:p>
    <w:p>
      <w:pPr>
        <w:ind w:left="288"/>
      </w:pPr>
      <w:r>
        <w:rPr>
          <w:b/>
          <w:color w:val="003CA0"/>
          <w:sz w:val="16"/>
        </w:rPr>
        <w:t>[ARE 743.103 AgR, rel. min. Teori Zavascki, j. 22-4-2014, 2ª T, DJE de 7-5-2014.]</w:t>
      </w:r>
    </w:p>
    <w:p>
      <w:pPr>
        <w:ind w:left="288"/>
      </w:pPr>
      <w:r>
        <w:rPr>
          <w:color w:val="8C8C8C"/>
          <w:sz w:val="12"/>
        </w:rPr>
        <w:t>cf-art-102-inc-I-ali-m</w:t>
      </w:r>
      <w:r>
        <w:rPr>
          <w:color w:val="003CA0"/>
          <w:sz w:val="12"/>
        </w:rPr>
        <w:t xml:space="preserve"> | ARE 865.138</w:t>
      </w:r>
      <w:r>
        <w:rPr>
          <w:color w:val="003CA0"/>
          <w:sz w:val="12"/>
        </w:rPr>
        <w:t xml:space="preserve"> | rel. Luiz Fux</w:t>
      </w:r>
    </w:p>
    <w:p>
      <w:pPr>
        <w:ind w:left="288"/>
      </w:pPr>
      <w:r>
        <w:rPr>
          <w:color w:val="1E1E1E"/>
          <w:sz w:val="18"/>
        </w:rPr>
        <w:t>= ARE 865.138 AgR, rel. min. Luiz Fux, j. 12-5-2015, 1ª T, DJE de 27-5-2015 Vide AO 467, rel. min. Néri da Silveira, j. 25-6-1997, P, DJ de 3-10-1997 Não fixa competência originária do STF a propositura de ação com peculiaridades que dizem respeito a número restrito de magistrados alegadamente interessados na solução da causa ou que veicula pretensão passível de ser repetida por outras carreiras do serviço público.</w:t>
        <w:br/>
        <w:t>[Rcl 16.597 AgR, rel. min. Teori Zavascki, j. 18-12-2013, P, DJE de 19-2-2014.]</w:t>
        <w:br/>
        <w:t>= AO 2.126, red. do ac. min. Edson Fachin, j. 21-2-2017, 2ª T, DJE de 15-12-2017 O preceito da alínea</w:t>
      </w:r>
    </w:p>
    <w:p>
      <w:pPr>
        <w:ind w:left="288"/>
      </w:pPr>
      <w:r>
        <w:rPr>
          <w:b/>
          <w:color w:val="003CA0"/>
          <w:sz w:val="16"/>
        </w:rPr>
        <w:t>[MS 28.435 AgR, rel. min. Marco Aurélio, j. 13-4-2011, P, DJE de 4-5-2011.]</w:t>
      </w:r>
    </w:p>
    <w:p>
      <w:pPr>
        <w:ind w:left="288"/>
      </w:pPr>
      <w:r>
        <w:rPr>
          <w:color w:val="8C8C8C"/>
          <w:sz w:val="12"/>
        </w:rPr>
        <w:t>cf-art-102-inc-I-ali-m</w:t>
      </w:r>
      <w:r>
        <w:rPr>
          <w:color w:val="003CA0"/>
          <w:sz w:val="12"/>
        </w:rPr>
        <w:t xml:space="preserve"> | AO 1.569</w:t>
      </w:r>
      <w:r>
        <w:rPr>
          <w:color w:val="003CA0"/>
          <w:sz w:val="12"/>
        </w:rPr>
        <w:t xml:space="preserve"> | rel. Marco Aurélio</w:t>
      </w:r>
    </w:p>
    <w:p>
      <w:pPr>
        <w:ind w:left="288"/>
      </w:pPr>
      <w:r>
        <w:rPr>
          <w:color w:val="1E1E1E"/>
          <w:sz w:val="18"/>
        </w:rPr>
        <w:t>A interpretação gramatical do preceito direciona a ter-se a necessidade de envolvimento de "todos os membros da magistratura" de forma direta ou indireta. (...) Dois aspectos (...) devem ser levados em conta na definição da competência. O primeiro deles diz respeito ao fato de, não assentada a competência do Supremo, vir o conflito a ser julgado por igual, na primeira instância, considerados os beneficiários, isso sem perquirir que o próprio titular da vara poderá ser alcançado pela decisão presentes parcelas anteriores e futuras no que venha a requerer permuta. O segundo aspecto refere-se à c</w:t>
      </w:r>
    </w:p>
    <w:p>
      <w:pPr>
        <w:ind w:left="288"/>
      </w:pPr>
      <w:r>
        <w:rPr>
          <w:b/>
          <w:color w:val="003CA0"/>
          <w:sz w:val="16"/>
        </w:rPr>
        <w:t>[AO 1.569 QO, voto do rel. min. Marco Aurélio, j. 24-6-2010, P, DJE de 27-8-2010.]</w:t>
      </w:r>
    </w:p>
    <w:p>
      <w:pPr>
        <w:ind w:left="288"/>
      </w:pPr>
      <w:r>
        <w:rPr>
          <w:color w:val="8C8C8C"/>
          <w:sz w:val="12"/>
        </w:rPr>
        <w:t>cf-art-102-inc-I-ali-m</w:t>
      </w:r>
      <w:r>
        <w:rPr>
          <w:color w:val="003CA0"/>
          <w:sz w:val="12"/>
        </w:rPr>
        <w:t xml:space="preserve"> | RCL 15.858</w:t>
      </w:r>
      <w:r>
        <w:rPr>
          <w:color w:val="003CA0"/>
          <w:sz w:val="12"/>
        </w:rPr>
        <w:t xml:space="preserve"> | rel. Gilmar Mendes</w:t>
      </w:r>
    </w:p>
    <w:p>
      <w:pPr>
        <w:ind w:left="288"/>
      </w:pPr>
      <w:r>
        <w:rPr>
          <w:color w:val="1E1E1E"/>
          <w:sz w:val="18"/>
        </w:rPr>
        <w:t>= Rcl 15.858 AgR, rel. min. Gilmar Mendes, j. 19-11-2013, 2ª T, DJE de 3-12-2013 Mera alegação de imparcialidade de magistrado não é suficiente para deslocar a competência para o STF.</w:t>
      </w:r>
    </w:p>
    <w:p>
      <w:pPr>
        <w:ind w:left="288"/>
      </w:pPr>
      <w:r>
        <w:rPr>
          <w:b/>
          <w:color w:val="003CA0"/>
          <w:sz w:val="16"/>
        </w:rPr>
        <w:t>[AO 1.531 AgR, rel. min. Cármen Lúcia, j. 3-6-2009, P, DJE de 1º-7-2009.]</w:t>
      </w:r>
    </w:p>
    <w:p>
      <w:pPr>
        <w:ind w:left="288"/>
      </w:pPr>
      <w:r>
        <w:rPr>
          <w:color w:val="8C8C8C"/>
          <w:sz w:val="12"/>
        </w:rPr>
        <w:t>cf-art-102-inc-I-ali-m</w:t>
      </w:r>
      <w:r>
        <w:rPr>
          <w:color w:val="003CA0"/>
          <w:sz w:val="12"/>
        </w:rPr>
        <w:t xml:space="preserve"> | AO 1.498</w:t>
      </w:r>
      <w:r>
        <w:rPr>
          <w:color w:val="003CA0"/>
          <w:sz w:val="12"/>
        </w:rPr>
        <w:t xml:space="preserve"> | rel. Eros Grau</w:t>
      </w:r>
    </w:p>
    <w:p>
      <w:pPr>
        <w:ind w:left="288"/>
      </w:pPr>
      <w:r>
        <w:rPr>
          <w:color w:val="1E1E1E"/>
          <w:sz w:val="18"/>
        </w:rPr>
        <w:t>O impedimento e a suspeição que autorizam o julgamento de ação originária pelo STF, nos termos do disposto no art. 102, I, n, in fine, da CF/1988, pressupõem a manifestação expressa dos membros do Tribunal competente, em princípio, para o julgamento da causa.(...) A competência para rever decisão de órgão colegiado atinente à instauração de processo disciplinar contra magistrado é do tribunal cujos membros o compõem, pena de supressão de instância e violação do disposto no art. 21, VI, da Loman (LC 35/1979). A mera alegação de interesse da magistratura na questão, do que decorreria a atribuiçã</w:t>
      </w:r>
    </w:p>
    <w:p>
      <w:pPr>
        <w:ind w:left="288"/>
      </w:pPr>
      <w:r>
        <w:rPr>
          <w:b/>
          <w:color w:val="003CA0"/>
          <w:sz w:val="16"/>
        </w:rPr>
        <w:t>[AO 1.498 AgR, rel. min. Eros Grau, j. 27-11-2008, P, DJE de 6-2-2009.]</w:t>
      </w:r>
    </w:p>
    <w:p>
      <w:pPr>
        <w:ind w:left="288"/>
      </w:pPr>
      <w:r>
        <w:rPr>
          <w:color w:val="8C8C8C"/>
          <w:sz w:val="12"/>
        </w:rPr>
        <w:t>cf-art-102-inc-I-ali-m</w:t>
      </w:r>
      <w:r>
        <w:rPr>
          <w:color w:val="003CA0"/>
          <w:sz w:val="12"/>
        </w:rPr>
        <w:t xml:space="preserve"> | MS 29.342</w:t>
      </w:r>
      <w:r>
        <w:rPr>
          <w:color w:val="003CA0"/>
          <w:sz w:val="12"/>
        </w:rPr>
        <w:t xml:space="preserve"> | rel. Cármen Lúcia</w:t>
      </w:r>
    </w:p>
    <w:p>
      <w:pPr>
        <w:ind w:left="288"/>
      </w:pPr>
      <w:r>
        <w:rPr>
          <w:color w:val="1E1E1E"/>
          <w:sz w:val="18"/>
        </w:rPr>
        <w:t>= MS 29.342 AgR, rel. min. Cármen Lúcia, j. 15-9-2011, P, DJE de 4-10-2011 Vide AO 1.517, rel. min. Ellen Gracie, j. 8-10-2008, P, DJE de 28-11-2008 Ação originária (CF, art. 102, I, n). Competência das Turmas do STF para o exame da causa e de seus incidentes, eis que ausentes, do polo passivo, autoridades diretamente sujeitas à jurisdição da Suprema Corte. Precedentes. Exceção de impedimento/suspeição. Jurisprudência do STF sobre o alcance do art. 102, I, n, da Constituição. Caráter excepcional dessa regra de competência originária. Ampliação da composição do e. Tribunal de Justiça local. Ins</w:t>
      </w:r>
    </w:p>
    <w:p>
      <w:pPr>
        <w:ind w:left="288"/>
      </w:pPr>
      <w:r>
        <w:rPr>
          <w:b/>
          <w:color w:val="003CA0"/>
          <w:sz w:val="16"/>
        </w:rPr>
        <w:t>[AO 1.231 QO, rel. min. Celso de Mello, j. 11-11-2008, 2ª T, DJE de 20-2-2009.]</w:t>
      </w:r>
    </w:p>
    <w:p>
      <w:pPr>
        <w:ind w:left="288"/>
      </w:pPr>
      <w:r>
        <w:rPr>
          <w:color w:val="8C8C8C"/>
          <w:sz w:val="12"/>
        </w:rPr>
        <w:t>cf-art-102-inc-I-ali-m</w:t>
      </w:r>
      <w:r>
        <w:rPr>
          <w:color w:val="003CA0"/>
          <w:sz w:val="12"/>
        </w:rPr>
        <w:t xml:space="preserve"> | AO 1.517</w:t>
      </w:r>
      <w:r>
        <w:rPr>
          <w:color w:val="003CA0"/>
          <w:sz w:val="12"/>
        </w:rPr>
        <w:t xml:space="preserve"> | rel. Ellen Gracie</w:t>
      </w:r>
    </w:p>
    <w:p>
      <w:pPr>
        <w:ind w:left="288"/>
      </w:pPr>
      <w:r>
        <w:rPr>
          <w:color w:val="1E1E1E"/>
          <w:sz w:val="18"/>
        </w:rPr>
        <w:t>A competência prevista no art. 102, I, n, da CF se firma, apenas e tão somente, quando os impedimentos ou as suspeições dos membros do tribunal de origem tenham sido reconhecidos, expressamente, nas exceções correspondentes, pelos próprios magistrados em relação aos quais são invocados; ou quando o STF, ao julgar as exceções, após esses magistrados as terem rejeitado, reconhecer situação configuradora de impedimento ou de suspeição, hipótese em que competirá à Suprema Corte julgar, originariamente, o processo principal. Alegação de impedimento e suspeição dos magistrados que participaram do ju</w:t>
      </w:r>
    </w:p>
    <w:p>
      <w:pPr>
        <w:ind w:left="288"/>
      </w:pPr>
      <w:r>
        <w:rPr>
          <w:b/>
          <w:color w:val="003CA0"/>
          <w:sz w:val="16"/>
        </w:rPr>
        <w:t>[AO 1.517, rel. min. Ellen Gracie, j. 8-10-2008, P, DJE de 28-11-2008.]</w:t>
      </w:r>
    </w:p>
    <w:p>
      <w:pPr>
        <w:ind w:left="288"/>
      </w:pPr>
      <w:r>
        <w:rPr>
          <w:color w:val="8C8C8C"/>
          <w:sz w:val="12"/>
        </w:rPr>
        <w:t>cf-art-102-inc-I-ali-m</w:t>
      </w:r>
      <w:r>
        <w:rPr>
          <w:color w:val="003CA0"/>
          <w:sz w:val="12"/>
        </w:rPr>
        <w:t xml:space="preserve"> | AO 1.498</w:t>
      </w:r>
      <w:r>
        <w:rPr>
          <w:color w:val="003CA0"/>
          <w:sz w:val="12"/>
        </w:rPr>
        <w:t xml:space="preserve"> | rel. Eros Grau</w:t>
      </w:r>
    </w:p>
    <w:p>
      <w:pPr>
        <w:ind w:left="288"/>
      </w:pPr>
      <w:r>
        <w:rPr>
          <w:color w:val="1E1E1E"/>
          <w:sz w:val="18"/>
        </w:rPr>
        <w:t>Vide  AO 1.498 AgR, rel. min. Eros Grau, j. 27-11-2008, P, DJE de 6-2-2009 STF: competência originária: CF, art. 102, I, n: reconhecimento: hipótese em que dos sete desembargadores que integram o Tribunal de Justiça, três deles se declaram impedidos por terem sido arrolados como testemunhas do querelado e outro juiz  afirmou suspeição por motivo de foro íntimo.</w:t>
      </w:r>
    </w:p>
    <w:p>
      <w:pPr>
        <w:ind w:left="288"/>
      </w:pPr>
      <w:r>
        <w:rPr>
          <w:b/>
          <w:color w:val="003CA0"/>
          <w:sz w:val="16"/>
        </w:rPr>
        <w:t>[AO 1.402, rel. min. Sepúlveda Pertence, j. 19-9-2006, 1ª T, DJ de 6-10-2006.]</w:t>
      </w:r>
    </w:p>
    <w:p>
      <w:pPr>
        <w:ind w:left="288"/>
      </w:pPr>
      <w:r>
        <w:rPr>
          <w:color w:val="8C8C8C"/>
          <w:sz w:val="12"/>
        </w:rPr>
        <w:t>cf-art-102-inc-I-ali-m</w:t>
      </w:r>
      <w:r>
        <w:rPr>
          <w:color w:val="003CA0"/>
          <w:sz w:val="12"/>
        </w:rPr>
        <w:t xml:space="preserve"> | AO 587</w:t>
      </w:r>
      <w:r>
        <w:rPr>
          <w:color w:val="003CA0"/>
          <w:sz w:val="12"/>
        </w:rPr>
        <w:t xml:space="preserve"> | rel. Ellen Gracie</w:t>
      </w:r>
    </w:p>
    <w:p>
      <w:pPr>
        <w:ind w:left="288"/>
      </w:pPr>
      <w:r>
        <w:rPr>
          <w:color w:val="1E1E1E"/>
          <w:sz w:val="18"/>
        </w:rPr>
        <w:t>Magistratura. Revisão de vencimentos para equiparação de benefícios. Auxílio-moradia. Inclusão. Questão de ordem. Competência para processar e julgar originariamente "a ação em que todos os membros da magistratura sejam direta ou indiretamente interessados". Art. 102, I, n, da CF. Regra explícita de conformação entre os princípios constitucionais do juízo natural e da imparcialidade. Indispensável garantia de imparcialidade do julgador da causa e, consequentemente, de lisura da decisão judicial a ser proferida. Requisitos para competência originária do STF. O interesse direto ou indireto dever</w:t>
      </w:r>
    </w:p>
    <w:p>
      <w:pPr>
        <w:ind w:left="288"/>
      </w:pPr>
      <w:r>
        <w:rPr>
          <w:b/>
          <w:color w:val="003CA0"/>
          <w:sz w:val="16"/>
        </w:rPr>
        <w:t>[AO 587, rel. min. Ellen Gracie, j. 6-4-2006, P, DJ de 30-6-2006.]</w:t>
      </w:r>
    </w:p>
    <w:p>
      <w:pPr>
        <w:ind w:left="288"/>
      </w:pPr>
      <w:r>
        <w:rPr>
          <w:color w:val="8C8C8C"/>
          <w:sz w:val="12"/>
        </w:rPr>
        <w:t>cf-art-102-inc-I-ali-m</w:t>
      </w:r>
      <w:r>
        <w:rPr>
          <w:color w:val="003CA0"/>
          <w:sz w:val="12"/>
        </w:rPr>
        <w:t xml:space="preserve"> | AO 1.419</w:t>
      </w:r>
      <w:r>
        <w:rPr>
          <w:color w:val="003CA0"/>
          <w:sz w:val="12"/>
        </w:rPr>
        <w:t xml:space="preserve"> | rel. Dias Toffoli</w:t>
      </w:r>
    </w:p>
    <w:p>
      <w:pPr>
        <w:ind w:left="288"/>
      </w:pPr>
      <w:r>
        <w:rPr>
          <w:color w:val="1E1E1E"/>
          <w:sz w:val="18"/>
        </w:rPr>
        <w:t>= AO 1.419 AgR, rel. min. Dias Toffoli, j. 2-6-2010, P, DJE de 22-10-2010 Mandado de segurança impetrado com o objetivo de assegurar, a suplentes de vereador, a investidura no mandato de vereador – "writ mandamental" deduzido em face de ministros do TSE, porque subscritores das Resoluções TSE  21.702/2004 e  21.803/2004. Aplicação do art. 102, I, n, da Constituição. Inadmissibilidade. Possibilidade de julgamento da causa, pelo próprio TSE, em razão da existência, nessa alta Corte, de mecanismo de substituição dos ministros suspeitos ou impedidos. Excepcionalidade da competência originária do S</w:t>
      </w:r>
    </w:p>
    <w:p>
      <w:pPr>
        <w:ind w:left="288"/>
      </w:pPr>
      <w:r>
        <w:rPr>
          <w:b/>
          <w:color w:val="003CA0"/>
          <w:sz w:val="16"/>
        </w:rPr>
        <w:t>[AO 1.135 AgR, rel. min. Celso de Mello, j. 16-6-2005, P, DJ de 24-11-2006.]</w:t>
      </w:r>
    </w:p>
    <w:p>
      <w:pPr>
        <w:ind w:left="288"/>
      </w:pPr>
      <w:r>
        <w:rPr>
          <w:color w:val="8C8C8C"/>
          <w:sz w:val="12"/>
        </w:rPr>
        <w:t>cf-art-102-inc-I-ali-m</w:t>
      </w:r>
      <w:r>
        <w:rPr>
          <w:color w:val="003CA0"/>
          <w:sz w:val="12"/>
        </w:rPr>
        <w:t xml:space="preserve"> | RCL 1.004</w:t>
      </w:r>
      <w:r>
        <w:rPr>
          <w:color w:val="003CA0"/>
          <w:sz w:val="12"/>
        </w:rPr>
        <w:t xml:space="preserve"> | rel. Ilmar Galvão</w:t>
      </w:r>
    </w:p>
    <w:p>
      <w:pPr>
        <w:ind w:left="288"/>
      </w:pPr>
      <w:r>
        <w:rPr>
          <w:color w:val="1E1E1E"/>
          <w:sz w:val="18"/>
        </w:rPr>
        <w:t>Reclamação. Alegada usurpação da competência do STF prevista na alínea n do inciso I do art. 102 da CF. Impedimento da maioria dos membros do tribunal de origem. Impossibilidade da convocação de juízes de direito. Não havendo maioria desimpedida dos membros do tribunal de origem para julgar o mandado de segurança, não é de se admitir a substituição dos suspeitos ou impedidos mediante convocação de juízes de direito de segunda entrância, mas, sim, de deslocar-se a competência para o STF, na forma da alínea n do inciso  I do art. 102 da CF.</w:t>
      </w:r>
    </w:p>
    <w:p>
      <w:pPr>
        <w:ind w:left="288"/>
      </w:pPr>
      <w:r>
        <w:rPr>
          <w:b/>
          <w:color w:val="003CA0"/>
          <w:sz w:val="16"/>
        </w:rPr>
        <w:t>[Rcl 1.004, rel. min. Ilmar Galvão, j. 25-11-1999, P, DJ de 4-2-2000.]</w:t>
      </w:r>
    </w:p>
    <w:p>
      <w:pPr>
        <w:ind w:left="288"/>
      </w:pPr>
      <w:r>
        <w:rPr>
          <w:color w:val="8C8C8C"/>
          <w:sz w:val="12"/>
        </w:rPr>
        <w:t>cf-art-102-inc-I-ali-m</w:t>
      </w:r>
      <w:r>
        <w:rPr>
          <w:color w:val="003CA0"/>
          <w:sz w:val="12"/>
        </w:rPr>
        <w:t xml:space="preserve"> | RCL 1.933</w:t>
      </w:r>
      <w:r>
        <w:rPr>
          <w:color w:val="003CA0"/>
          <w:sz w:val="12"/>
        </w:rPr>
        <w:t xml:space="preserve"> | rel. Celso de Mello</w:t>
      </w:r>
    </w:p>
    <w:p>
      <w:pPr>
        <w:ind w:left="288"/>
      </w:pPr>
      <w:r>
        <w:rPr>
          <w:color w:val="1E1E1E"/>
          <w:sz w:val="18"/>
        </w:rPr>
        <w:t>= Rcl 1.933, rel. min. Celso de Mello, j. 16-5-2002, P, DJ de 28-2-2003 A jurisprudência do STF tem-se orientado no sentido de que a letra n do inciso I do art. 102 da CF, a firmar competência originária do STF para a causa, só se aplica quando a matéria versada na demanda respeita a privativo interesse da magistratura enquanto tal e não quando também interessa a outros servidores.</w:t>
      </w:r>
    </w:p>
    <w:p>
      <w:pPr>
        <w:ind w:left="288"/>
      </w:pPr>
      <w:r>
        <w:rPr>
          <w:b/>
          <w:color w:val="003CA0"/>
          <w:sz w:val="16"/>
        </w:rPr>
        <w:t>[AO 467, rel. min. Néri da Silveira, j. 25-6-1997, P, DJ de 3-10-1997.]</w:t>
      </w:r>
    </w:p>
    <w:p>
      <w:pPr>
        <w:ind w:left="288"/>
      </w:pPr>
      <w:r>
        <w:rPr>
          <w:color w:val="8C8C8C"/>
          <w:sz w:val="12"/>
        </w:rPr>
        <w:t>cf-art-102-inc-I-ali-m</w:t>
      </w:r>
      <w:r>
        <w:rPr>
          <w:color w:val="003CA0"/>
          <w:sz w:val="12"/>
        </w:rPr>
        <w:t xml:space="preserve"> | AI 829.714</w:t>
      </w:r>
      <w:r>
        <w:rPr>
          <w:color w:val="003CA0"/>
          <w:sz w:val="12"/>
        </w:rPr>
        <w:t xml:space="preserve"> | rel. Roberto Barroso</w:t>
      </w:r>
    </w:p>
    <w:p>
      <w:pPr>
        <w:ind w:left="288"/>
      </w:pPr>
      <w:r>
        <w:rPr>
          <w:color w:val="1E1E1E"/>
          <w:sz w:val="18"/>
        </w:rPr>
        <w:t>= AI 829.714 AgR, rel. min. Roberto Barroso, j. 26-11-2013, 1ª T, DJE de 3-2-2014 Vide ARE 743.103 AgR, rel. min. Teori Zavascki, j. 22-4-2014, 2ª T, DJE de 7-5-2014 A competência excepcional conferida pelo art. 102, I, n, da CF a esta Corte não abrange hipóteses – como a presente – de paralisação total dos órgãos de primeiro e de segundo grau do Poder Judiciário de um Estado-membro (...).</w:t>
      </w:r>
    </w:p>
    <w:p>
      <w:pPr>
        <w:ind w:left="288"/>
      </w:pPr>
      <w:r>
        <w:rPr>
          <w:b/>
          <w:color w:val="003CA0"/>
          <w:sz w:val="16"/>
        </w:rPr>
        <w:t>[MS 22.472 QO, rel. min. Moreira Alves, j. 21-3-1996, P, DJ de 23-3-2001.]</w:t>
      </w:r>
    </w:p>
    <w:p>
      <w:pPr>
        <w:ind w:left="288"/>
      </w:pPr>
      <w:r>
        <w:rPr>
          <w:color w:val="8C8C8C"/>
          <w:sz w:val="12"/>
        </w:rPr>
        <w:t>cf-art-102-inc-I-ali-m</w:t>
      </w:r>
      <w:r>
        <w:rPr>
          <w:color w:val="003CA0"/>
          <w:sz w:val="12"/>
        </w:rPr>
        <w:t xml:space="preserve"> | RCL 473</w:t>
      </w:r>
      <w:r>
        <w:rPr>
          <w:color w:val="003CA0"/>
          <w:sz w:val="12"/>
        </w:rPr>
        <w:t xml:space="preserve"> | rel. Néri da Silveira</w:t>
      </w:r>
    </w:p>
    <w:p>
      <w:pPr>
        <w:ind w:left="288"/>
      </w:pPr>
      <w:r>
        <w:rPr>
          <w:color w:val="1E1E1E"/>
          <w:sz w:val="18"/>
        </w:rPr>
        <w:t>Exceção de suspeição de todos ou da maioria dos membros do tribunal não basta para deslocar a competência para o STF, mas apenas para conhecer e julgar da exceção.</w:t>
      </w:r>
    </w:p>
    <w:p>
      <w:pPr>
        <w:ind w:left="288"/>
      </w:pPr>
      <w:r>
        <w:rPr>
          <w:b/>
          <w:color w:val="003CA0"/>
          <w:sz w:val="16"/>
        </w:rPr>
        <w:t>[Rcl 473 AgR, rel. min. Néri da Silveira, j. 16-8-1995, P, DJ de 24-8-2001.]</w:t>
      </w:r>
    </w:p>
    <w:p>
      <w:pPr>
        <w:ind w:left="288"/>
      </w:pPr>
      <w:r>
        <w:rPr>
          <w:color w:val="8C8C8C"/>
          <w:sz w:val="12"/>
        </w:rPr>
        <w:t>cf-art-102-inc-I-ali-m</w:t>
      </w:r>
      <w:r>
        <w:rPr>
          <w:color w:val="003CA0"/>
          <w:sz w:val="12"/>
        </w:rPr>
        <w:t xml:space="preserve"> | AO 1.303</w:t>
      </w:r>
      <w:r>
        <w:rPr>
          <w:color w:val="003CA0"/>
          <w:sz w:val="12"/>
        </w:rPr>
        <w:t xml:space="preserve"> | rel. Joaquim Barbosa</w:t>
      </w:r>
    </w:p>
    <w:p>
      <w:pPr>
        <w:ind w:left="288"/>
      </w:pPr>
      <w:r>
        <w:rPr>
          <w:color w:val="1E1E1E"/>
          <w:sz w:val="18"/>
        </w:rPr>
        <w:t>= AO 1.303 QO, rel. min. Joaquim Barbosa, j. 13-9-2005, 2ª T, DJ de 28-10-2005 Reclamação. Mandado de segurança impetrado por magistrados e funcionários do Judiciário aposentados e pensionistas do mesmo Poder contra atos do Poder Executivo, referentes ao pagamento de proventos e pensões. Inaplicabilidade à espécie do art. 102, I, n, da CF. Não resulta dos pedidos configurada qualquer das hipóteses previstas na alínea n do dispositivo citado, em ordem a determinar-se a competência do STF. "Despesas de Custeio" e "Transferências Correntes". Saber se as despesas com inativos e pensionistas hão de</w:t>
      </w:r>
    </w:p>
    <w:p>
      <w:pPr>
        <w:ind w:left="288"/>
      </w:pPr>
      <w:r>
        <w:rPr>
          <w:b/>
          <w:color w:val="003CA0"/>
          <w:sz w:val="16"/>
        </w:rPr>
        <w:t>[Rcl 446, rel. min. Néri da Silveira, j. 18-5-1995, P, DJ de 4-4-1997.]</w:t>
      </w:r>
    </w:p>
    <w:p>
      <w:pPr>
        <w:ind w:left="288"/>
      </w:pPr>
      <w:r>
        <w:rPr>
          <w:color w:val="8C8C8C"/>
          <w:sz w:val="12"/>
        </w:rPr>
        <w:t>cf-art-102-inc-I-ali-m</w:t>
      </w:r>
      <w:r>
        <w:rPr>
          <w:color w:val="003CA0"/>
          <w:sz w:val="12"/>
        </w:rPr>
        <w:t xml:space="preserve"> | AO 80</w:t>
      </w:r>
    </w:p>
    <w:p>
      <w:pPr>
        <w:ind w:left="288"/>
      </w:pPr>
      <w:r>
        <w:rPr>
          <w:color w:val="1E1E1E"/>
          <w:sz w:val="18"/>
        </w:rPr>
        <w:t>Competência. Prescrição da pretensão punitiva. Verificada a prescrição da pretensão punitiva quanto à ação penal motivadora do deslocamento da competência – alínea n do inciso I do art. 102 da CF –, impõe-se a baixa dos autos à Corte que dela declinou, para que processe e julgue a ação remanescente, no que estranha ao campo de atuação do STF.</w:t>
      </w:r>
    </w:p>
    <w:p>
      <w:pPr>
        <w:ind w:left="288"/>
      </w:pPr>
      <w:r>
        <w:rPr>
          <w:b/>
          <w:color w:val="003CA0"/>
          <w:sz w:val="16"/>
        </w:rPr>
        <w:t>[AO 80, red. do ac. min. Marco Aurélio, j. 4-3-1993, P, DJ de 28-4-1995.]</w:t>
      </w:r>
    </w:p>
    <w:p>
      <w:pPr>
        <w:ind w:left="288"/>
      </w:pPr>
      <w:r>
        <w:rPr>
          <w:color w:val="8C8C8C"/>
          <w:sz w:val="12"/>
        </w:rPr>
        <w:t>cf-art-102-inc-I-ali-m</w:t>
      </w:r>
      <w:r>
        <w:rPr>
          <w:color w:val="003CA0"/>
          <w:sz w:val="12"/>
        </w:rPr>
        <w:t xml:space="preserve"> | AO 58</w:t>
      </w:r>
      <w:r>
        <w:rPr>
          <w:color w:val="003CA0"/>
          <w:sz w:val="12"/>
        </w:rPr>
        <w:t xml:space="preserve"> | rel. Sepúlveda Pertence</w:t>
      </w:r>
    </w:p>
    <w:p>
      <w:pPr>
        <w:ind w:left="288"/>
      </w:pPr>
      <w:r>
        <w:rPr>
          <w:color w:val="1E1E1E"/>
          <w:sz w:val="18"/>
        </w:rPr>
        <w:t>Supremo Tribunal: competência originária: arguição de suspeição de todos os integrantes de TRE, para todo o processo eleitoral: deslocamento da competência originária para o STF, à vista do impedimento da totalidade dos componentes do tribunal regional competente (CF, art. 102, I, n); votos vencidos, incluído o do relator, pela competência do TSE.</w:t>
      </w:r>
    </w:p>
    <w:p>
      <w:pPr>
        <w:ind w:left="288"/>
      </w:pPr>
      <w:r>
        <w:rPr>
          <w:b/>
          <w:color w:val="003CA0"/>
          <w:sz w:val="16"/>
        </w:rPr>
        <w:t>[AO 58 QO, rel. min. Sepúlveda Pertence, j. 5-12-1990, P, DJ de 8-5-1992.]</w:t>
      </w:r>
    </w:p>
    <w:p>
      <w:pPr>
        <w:ind w:left="288"/>
      </w:pPr>
      <w:r>
        <w:rPr>
          <w:color w:val="8C8C8C"/>
          <w:sz w:val="12"/>
        </w:rPr>
        <w:t>cf-art-102-inc-I-ali-o</w:t>
      </w:r>
      <w:r>
        <w:rPr>
          <w:color w:val="003CA0"/>
          <w:sz w:val="12"/>
        </w:rPr>
        <w:t xml:space="preserve"> | rel. Marco Aurélio</w:t>
      </w:r>
    </w:p>
    <w:p>
      <w:pPr>
        <w:ind w:left="288"/>
      </w:pPr>
      <w:r>
        <w:rPr>
          <w:color w:val="1E1E1E"/>
          <w:sz w:val="18"/>
        </w:rPr>
        <w:t>Envolvendo o conflito de competência o TST e tribunal de justiça, incumbe ao Supremo apreciá-lo.</w:t>
        <w:br/>
        <w:t>[CC 7.950, rel. min. Marco Aurélio, j. 14-9-2016, P, DJE de 1º-8-2017.] Em regra, a admissão do conflito de competência com base no art. 115, III, do CPC exige que haja divergência entre juízos diversos quanto à reunião ou separação dos feitos, consoante expressa previsão do dispositivo. Cabível, todavia, por meio de interpretação extensiva do art. 115 do CPC, o acolhimento do incidente, mesmo ausente a apontada divergência, quando se tratar de ações conexas (com possibilidade, portanto, de prolaçã</w:t>
      </w:r>
    </w:p>
    <w:p>
      <w:pPr>
        <w:ind w:left="288"/>
      </w:pPr>
      <w:r>
        <w:rPr>
          <w:b/>
          <w:color w:val="003CA0"/>
          <w:sz w:val="16"/>
        </w:rPr>
        <w:t>[CC 7.575 AgR, rel. min. Cármen Lúcia, j. 6-10-2011, P, DJE de 28-10-2011.]</w:t>
      </w:r>
    </w:p>
    <w:p>
      <w:pPr>
        <w:ind w:left="288"/>
      </w:pPr>
      <w:r>
        <w:rPr>
          <w:color w:val="8C8C8C"/>
          <w:sz w:val="12"/>
        </w:rPr>
        <w:t>cf-art-102-inc-I-ali-o</w:t>
      </w:r>
      <w:r>
        <w:rPr>
          <w:color w:val="003CA0"/>
          <w:sz w:val="12"/>
        </w:rPr>
        <w:t xml:space="preserve"> | rel. Celso de Mello</w:t>
      </w:r>
    </w:p>
    <w:p>
      <w:pPr>
        <w:ind w:left="288"/>
      </w:pPr>
      <w:r>
        <w:rPr>
          <w:color w:val="1E1E1E"/>
          <w:sz w:val="18"/>
        </w:rPr>
        <w:t>Não se revela processualmente possível a instauração de conflito de competência entre o STJ, de um lado, e os tribunais de justiça, de outro, pelo fato – juridicamente relevante – de que o STJ qualifica-se, constitucionalmente, como instância de superposição em relação a tais Cortes judiciárias, exercendo, em face destas, irrecusável competência de derrogação (CF, art. 105, III). (...) A posição de eminência do STJ, no plano da organização constitucional do Poder Judiciário, impede que se configure, entre essa Alta Corte e os tribunais de justiça, qualquer conflito, positivo ou negativo, de co</w:t>
      </w:r>
    </w:p>
    <w:p>
      <w:pPr>
        <w:ind w:left="288"/>
      </w:pPr>
      <w:r>
        <w:rPr>
          <w:b/>
          <w:color w:val="003CA0"/>
          <w:sz w:val="16"/>
        </w:rPr>
        <w:t>[CC 7.594 AgR, rel. min. Celso de Mello, j. 22-6-2011, P, DJE de 29-9-2011.]</w:t>
      </w:r>
    </w:p>
    <w:p>
      <w:pPr>
        <w:ind w:left="288"/>
      </w:pPr>
      <w:r>
        <w:rPr>
          <w:color w:val="8C8C8C"/>
          <w:sz w:val="12"/>
        </w:rPr>
        <w:t>cf-art-102-inc-I-ali-o</w:t>
      </w:r>
      <w:r>
        <w:rPr>
          <w:color w:val="003CA0"/>
          <w:sz w:val="12"/>
        </w:rPr>
        <w:t xml:space="preserve"> | rel. Gilmar Mendes</w:t>
      </w:r>
    </w:p>
    <w:p>
      <w:pPr>
        <w:ind w:left="288"/>
      </w:pPr>
      <w:r>
        <w:rPr>
          <w:color w:val="1E1E1E"/>
          <w:sz w:val="18"/>
        </w:rPr>
        <w:t>Para verificar o conflito positivo suscitado, previsto no inciso I do art. 115 do CPC, pressupõe-se que haja, no mínimo, duas decisões de juízos distintos a invocar competência para apreciar o caso. A autora não se desincumbiu do ônus de apresentá-las, desse modo não restou demonstrado o conflito positivo de competência.</w:t>
      </w:r>
    </w:p>
    <w:p>
      <w:pPr>
        <w:ind w:left="288"/>
      </w:pPr>
      <w:r>
        <w:rPr>
          <w:b/>
          <w:color w:val="003CA0"/>
          <w:sz w:val="16"/>
        </w:rPr>
        <w:t>[CC 7.699 AgR, rel. min. Gilmar Mendes, j. 24-2-2011, P, DJE de 18-3-2011.]</w:t>
      </w:r>
    </w:p>
    <w:p>
      <w:pPr>
        <w:ind w:left="288"/>
      </w:pPr>
      <w:r>
        <w:rPr>
          <w:color w:val="8C8C8C"/>
          <w:sz w:val="12"/>
        </w:rPr>
        <w:t>cf-art-102-inc-I-ali-o</w:t>
      </w:r>
      <w:r>
        <w:rPr>
          <w:color w:val="003CA0"/>
          <w:sz w:val="12"/>
        </w:rPr>
        <w:t xml:space="preserve"> | rel. Eros Grau</w:t>
      </w:r>
    </w:p>
    <w:p>
      <w:pPr>
        <w:ind w:left="288"/>
      </w:pPr>
      <w:r>
        <w:rPr>
          <w:color w:val="1E1E1E"/>
          <w:sz w:val="18"/>
        </w:rPr>
        <w:t>O STF é titular de competência originária para dirimir o conflito entre juízo estadual de primeira instância e o TST, nos termos dispostos no art. 102, I, o, da CF. Apesar de a Constituição não afirmar expressamente a competência do STF para julgar os conflitos de competência entre tribunais superiores e juízes a ele não vinculados, a matéria não deve escapar à análise desta Corte.</w:t>
      </w:r>
    </w:p>
    <w:p>
      <w:pPr>
        <w:ind w:left="288"/>
      </w:pPr>
      <w:r>
        <w:rPr>
          <w:b/>
          <w:color w:val="003CA0"/>
          <w:sz w:val="16"/>
        </w:rPr>
        <w:t>[CC 7.242, voto do rel. min. Eros Grau, j. 18-9-2008, P, DJE de 19-12-2008.]</w:t>
      </w:r>
    </w:p>
    <w:p>
      <w:pPr>
        <w:ind w:left="288"/>
      </w:pPr>
      <w:r>
        <w:rPr>
          <w:color w:val="8C8C8C"/>
          <w:sz w:val="12"/>
        </w:rPr>
        <w:t>cf-art-102-inc-I-ali-o</w:t>
      </w:r>
      <w:r>
        <w:rPr>
          <w:color w:val="003CA0"/>
          <w:sz w:val="12"/>
        </w:rPr>
        <w:t xml:space="preserve"> | rel. Celso de Mello</w:t>
      </w:r>
    </w:p>
    <w:p>
      <w:pPr>
        <w:ind w:left="288"/>
      </w:pPr>
      <w:r>
        <w:rPr>
          <w:color w:val="1E1E1E"/>
          <w:sz w:val="18"/>
        </w:rPr>
        <w:t>Conflito de competência. TST e juiz  federal de primeira instância. Competência originária do STF para dirimir o conflito.</w:t>
      </w:r>
    </w:p>
    <w:p>
      <w:pPr>
        <w:ind w:left="288"/>
      </w:pPr>
      <w:r>
        <w:rPr>
          <w:b/>
          <w:color w:val="003CA0"/>
          <w:sz w:val="16"/>
        </w:rPr>
        <w:t>[CC 7.027, rel. min. Celso de Mello, j. 16-8-1995, P, DJ de 1º-9-1995.]</w:t>
      </w:r>
    </w:p>
    <w:p>
      <w:pPr>
        <w:ind w:left="288"/>
      </w:pPr>
      <w:r>
        <w:rPr>
          <w:color w:val="8C8C8C"/>
          <w:sz w:val="12"/>
        </w:rPr>
        <w:t>cf-art-102-inc-I-ali-o</w:t>
      </w:r>
      <w:r>
        <w:rPr>
          <w:color w:val="003CA0"/>
          <w:sz w:val="12"/>
        </w:rPr>
        <w:t xml:space="preserve"> | rel. Eros Grau</w:t>
      </w:r>
    </w:p>
    <w:p>
      <w:pPr>
        <w:ind w:left="288"/>
      </w:pPr>
      <w:r>
        <w:rPr>
          <w:color w:val="1E1E1E"/>
          <w:sz w:val="18"/>
        </w:rPr>
        <w:t>=  CC 7.545, rel. min. Eros Grau, j. 3-6-2009, P, DJE de 14-8-2009 Conflito de jurisdição ou de atribuição inexistente: dissídio entre TRT e TCU acerca da composição dos proventos de juiz classista: não conhecimento. A divergência sobre a legalidade da inclusão de determinada verba nos proventos de juiz classista – negada pelo ato do TRT, que o aposentou, mas considerada devida pelo TCU – não substantiva conflito de jurisdição, dado que nem o TRT, único órgão judiciário envolvido, pretende exercer jurisdição no procedimento administrativo de aposentadoria de quo; nem conflito de atribuições, c</w:t>
      </w:r>
    </w:p>
    <w:p>
      <w:pPr>
        <w:ind w:left="288"/>
      </w:pPr>
      <w:r>
        <w:rPr>
          <w:b/>
          <w:color w:val="003CA0"/>
          <w:sz w:val="16"/>
        </w:rPr>
        <w:t>[CJ 6.987, rel. min. Sepúlveda Pertence, j. 27-3-1992, P, DJ de 30-4-1992.]</w:t>
      </w:r>
    </w:p>
    <w:p>
      <w:pPr>
        <w:ind w:left="288"/>
      </w:pPr>
      <w:r>
        <w:rPr>
          <w:color w:val="8C8C8C"/>
          <w:sz w:val="12"/>
        </w:rPr>
        <w:t>cf-art-102-inc-I-ali-o</w:t>
      </w:r>
      <w:r>
        <w:rPr>
          <w:color w:val="003CA0"/>
          <w:sz w:val="12"/>
        </w:rPr>
        <w:t xml:space="preserve"> | rel. Marco Aurélio</w:t>
      </w:r>
    </w:p>
    <w:p>
      <w:pPr>
        <w:ind w:left="288"/>
      </w:pPr>
      <w:r>
        <w:rPr>
          <w:color w:val="1E1E1E"/>
          <w:sz w:val="18"/>
        </w:rPr>
        <w:t>= CA 40, rel. min. Marco Aurélio, j. 3-6-1993, P, DJ de 20-8-1993</w:t>
      </w:r>
    </w:p>
    <w:p>
      <w:pPr>
        <w:ind w:left="144"/>
      </w:pPr>
      <w:r>
        <w:rPr>
          <w:b/>
          <w:color w:val="B45A00"/>
          <w:sz w:val="16"/>
        </w:rPr>
        <w:t>CONTROLE CONCENTRADO</w:t>
      </w:r>
    </w:p>
    <w:p>
      <w:pPr>
        <w:ind w:left="288"/>
      </w:pPr>
      <w:r>
        <w:rPr>
          <w:color w:val="8C8C8C"/>
          <w:sz w:val="12"/>
        </w:rPr>
        <w:t>cf-art-102-inc-I-ali-p</w:t>
      </w:r>
      <w:r>
        <w:rPr>
          <w:color w:val="003CA0"/>
          <w:sz w:val="12"/>
        </w:rPr>
        <w:t xml:space="preserve"> | ADI 711</w:t>
      </w:r>
      <w:r>
        <w:rPr>
          <w:color w:val="003CA0"/>
          <w:sz w:val="12"/>
        </w:rPr>
        <w:t xml:space="preserve"> | rel. Néri da Silveira). A declaração de inconstitucionalidade</w:t>
      </w:r>
    </w:p>
    <w:p>
      <w:pPr>
        <w:ind w:left="288"/>
      </w:pPr>
      <w:r>
        <w:rPr>
          <w:color w:val="1E1E1E"/>
          <w:sz w:val="18"/>
        </w:rPr>
        <w:t>Eficácia da medida cautelar deferida em ação direta de inconstitucionalidade. A medida cautelar, em ação direta de inconstitucionalidade, reveste-se, ordinariamente, de eficácia ex nunc, "operando, portanto, a partir do momento em que o STF a defere" (RTJ 124/80). Excepcionalmente, no entanto, a medida cautelar poderá projetar-se com eficácia ex tunc, com repercussão sobre situações pretéritas (RTJ 138/86). A excepcionalidade da eficácia ex tunc impõe que o STF expressamente a determine no acórdão concessivo da medida cautelar. A ausência de determinação expressa importa em outorga de eficácia</w:t>
      </w:r>
    </w:p>
    <w:p>
      <w:pPr>
        <w:ind w:left="288"/>
      </w:pPr>
      <w:r>
        <w:rPr>
          <w:b/>
          <w:color w:val="003CA0"/>
          <w:sz w:val="16"/>
        </w:rPr>
        <w:t>[ADI 1.434 MC, rel. min. Celso de Mello, j. 20-8-1996, P, DJ de 22-11-1996.]</w:t>
      </w:r>
    </w:p>
    <w:p>
      <w:pPr>
        <w:ind w:left="288"/>
      </w:pPr>
      <w:r>
        <w:rPr>
          <w:color w:val="8C8C8C"/>
          <w:sz w:val="12"/>
        </w:rPr>
        <w:t>cf-art-102-inc-I-ali-p</w:t>
      </w:r>
      <w:r>
        <w:rPr>
          <w:color w:val="003CA0"/>
          <w:sz w:val="12"/>
        </w:rPr>
        <w:t xml:space="preserve"> | ADC 18</w:t>
      </w:r>
      <w:r>
        <w:rPr>
          <w:color w:val="003CA0"/>
          <w:sz w:val="12"/>
        </w:rPr>
        <w:t xml:space="preserve"> | rel. Celso de Mello</w:t>
      </w:r>
    </w:p>
    <w:p>
      <w:pPr>
        <w:ind w:left="288"/>
      </w:pPr>
      <w:r>
        <w:rPr>
          <w:color w:val="1E1E1E"/>
          <w:sz w:val="18"/>
        </w:rPr>
        <w:t>= ADC 18 QO3-MC, rel. min. Celso de Mello, j. 25-3-2010, P, DJE de 18-6-2010</w:t>
      </w:r>
    </w:p>
    <w:p>
      <w:pPr>
        <w:ind w:left="144"/>
      </w:pPr>
      <w:r>
        <w:rPr>
          <w:b/>
          <w:color w:val="B45A00"/>
          <w:sz w:val="16"/>
        </w:rPr>
        <w:t>JULGADOS CORRELATOS</w:t>
      </w:r>
    </w:p>
    <w:p>
      <w:pPr>
        <w:ind w:left="288"/>
      </w:pPr>
      <w:r>
        <w:rPr>
          <w:color w:val="8C8C8C"/>
          <w:sz w:val="12"/>
        </w:rPr>
        <w:t>cf-art-102-inc-I-ali-p</w:t>
      </w:r>
      <w:r>
        <w:rPr>
          <w:color w:val="003CA0"/>
          <w:sz w:val="12"/>
        </w:rPr>
        <w:t xml:space="preserve"> | RE 491.152</w:t>
      </w:r>
      <w:r>
        <w:rPr>
          <w:color w:val="003CA0"/>
          <w:sz w:val="12"/>
        </w:rPr>
        <w:t xml:space="preserve"> | rel. Cármen Lúcia</w:t>
      </w:r>
    </w:p>
    <w:p>
      <w:pPr>
        <w:ind w:left="288"/>
      </w:pPr>
      <w:r>
        <w:rPr>
          <w:color w:val="1E1E1E"/>
          <w:sz w:val="18"/>
        </w:rPr>
        <w:t>O julgamento de medida cautelar em ação direta de inconstitucionalidade autoriza o exame dos recursos sobre a controvérsia nela debatida.</w:t>
      </w:r>
    </w:p>
    <w:p>
      <w:pPr>
        <w:ind w:left="288"/>
      </w:pPr>
      <w:r>
        <w:rPr>
          <w:b/>
          <w:color w:val="003CA0"/>
          <w:sz w:val="16"/>
        </w:rPr>
        <w:t>[RE 491.152 AgR, rel. min. Cármen Lúcia, j. 8-9-2009, 1ª T, DJE de 16-10-2009.]</w:t>
      </w:r>
    </w:p>
    <w:p>
      <w:pPr>
        <w:ind w:left="288"/>
      </w:pPr>
      <w:r>
        <w:rPr>
          <w:color w:val="8C8C8C"/>
          <w:sz w:val="12"/>
        </w:rPr>
        <w:t>cf-art-102-inc-I-ali-p</w:t>
      </w:r>
      <w:r>
        <w:rPr>
          <w:color w:val="003CA0"/>
          <w:sz w:val="12"/>
        </w:rPr>
        <w:t xml:space="preserve"> | RE 590.448</w:t>
      </w:r>
      <w:r>
        <w:rPr>
          <w:color w:val="003CA0"/>
          <w:sz w:val="12"/>
        </w:rPr>
        <w:t xml:space="preserve"> | rel. Ayres Britto</w:t>
      </w:r>
    </w:p>
    <w:p>
      <w:pPr>
        <w:ind w:left="288"/>
      </w:pPr>
      <w:r>
        <w:rPr>
          <w:color w:val="1E1E1E"/>
          <w:sz w:val="18"/>
        </w:rPr>
        <w:t>= RE 590.448 AgR, rel. min. Ayres Britto, j. 13-9-2011, 2ª T, DJE de 14-11-2011 A existência de decisão plenária, proferida em sede de controle normativo abstrato, de que tenha resultado o indeferimento do pedido de medida cautelar, não impede que se proceda, desde logo, por meio do controle difuso, ao julgamento de causas em que se deva resolver, incidenter tantum, litígio instaurado em torno de idêntica controvérsia constitucional.</w:t>
      </w:r>
    </w:p>
    <w:p>
      <w:pPr>
        <w:ind w:left="288"/>
      </w:pPr>
      <w:r>
        <w:rPr>
          <w:b/>
          <w:color w:val="003CA0"/>
          <w:sz w:val="16"/>
        </w:rPr>
        <w:t>[AI 687.660 AgR, rel. min. Celso de Mello, j. 19-5-2009, 2ª T, DJE de 26-6-2009.]</w:t>
      </w:r>
    </w:p>
    <w:p>
      <w:pPr>
        <w:ind w:left="288"/>
      </w:pPr>
      <w:r>
        <w:rPr>
          <w:color w:val="8C8C8C"/>
          <w:sz w:val="12"/>
        </w:rPr>
        <w:t>cf-art-102-inc-I-ali-p</w:t>
      </w:r>
      <w:r>
        <w:rPr>
          <w:color w:val="003CA0"/>
          <w:sz w:val="12"/>
        </w:rPr>
        <w:t xml:space="preserve"> | AI 589.182</w:t>
      </w:r>
      <w:r>
        <w:rPr>
          <w:color w:val="003CA0"/>
          <w:sz w:val="12"/>
        </w:rPr>
        <w:t xml:space="preserve"> | rel. Ricardo Lewandowski</w:t>
      </w:r>
    </w:p>
    <w:p>
      <w:pPr>
        <w:ind w:left="288"/>
      </w:pPr>
      <w:r>
        <w:rPr>
          <w:color w:val="1E1E1E"/>
          <w:sz w:val="18"/>
        </w:rPr>
        <w:t>= AI 589.182 AgR, rel. min. Ricardo Lewandowski, j. 15-12-2009, 1ª T, DJE de 5-2-2010 q) o mandado de injunção, quando a elaboração da norma regulamentadora for atribuição do Presidente da República, do Congresso Nacional, da Câmara dos Deputados, do Senado Federal, das Mesas de uma dessas Casas Legislativas, do Tribunal de Contas da União, de um dos Tribunais Superiores, ou do próprio Supremo Tribunal Federal; Nota: As matérias cuja repercussão geral já foi reconhecida ou afastada pelo Plenário do STF estão disponíveis para consulta no sítio do Tribunal (portal.stf.jus.br/jurisprudenciaReperc</w:t>
      </w:r>
    </w:p>
    <w:p>
      <w:pPr>
        <w:ind w:left="144"/>
      </w:pPr>
      <w:r>
        <w:rPr>
          <w:b/>
          <w:color w:val="B45A00"/>
          <w:sz w:val="16"/>
        </w:rPr>
        <w:t>REPERCUSSAO GERAL</w:t>
      </w:r>
    </w:p>
    <w:p>
      <w:pPr>
        <w:ind w:left="288"/>
      </w:pPr>
      <w:r>
        <w:rPr>
          <w:color w:val="8C8C8C"/>
          <w:sz w:val="12"/>
        </w:rPr>
        <w:t>cf-art-102-inc-I-ali-p</w:t>
      </w:r>
      <w:r>
        <w:rPr>
          <w:color w:val="003CA0"/>
          <w:sz w:val="12"/>
        </w:rPr>
        <w:t xml:space="preserve"> | RE 797.905</w:t>
      </w:r>
      <w:r>
        <w:rPr>
          <w:color w:val="003CA0"/>
          <w:sz w:val="12"/>
        </w:rPr>
        <w:t xml:space="preserve"> | rel. Gilmar Mendes</w:t>
      </w:r>
    </w:p>
    <w:p>
      <w:pPr>
        <w:ind w:left="288"/>
      </w:pPr>
      <w:r>
        <w:rPr>
          <w:color w:val="1E1E1E"/>
          <w:sz w:val="18"/>
        </w:rPr>
        <w:t>A omissão referente à edição da lei complementar a que se refere o art. 40, § 4º, da CF/1988 deve ser imputada ao presidente da República e ao Congresso Nacional. Competência para julgar mandado de injunção sobre a referida questão é do STF.</w:t>
      </w:r>
    </w:p>
    <w:p>
      <w:pPr>
        <w:ind w:left="288"/>
      </w:pPr>
      <w:r>
        <w:rPr>
          <w:b/>
          <w:color w:val="003CA0"/>
          <w:sz w:val="16"/>
        </w:rPr>
        <w:t>[RE 797.905 RG, rel. min. Gilmar Mendes, j. 15-5-2014, P, DJE de 29-5-2014, Tema 727, com mérito julgado.]</w:t>
      </w:r>
    </w:p>
    <w:p>
      <w:pPr>
        <w:ind w:left="144"/>
      </w:pPr>
      <w:r>
        <w:rPr>
          <w:b/>
          <w:color w:val="B45A00"/>
          <w:sz w:val="16"/>
        </w:rPr>
        <w:t>JULGADOS CORRELATOS</w:t>
      </w:r>
    </w:p>
    <w:p>
      <w:pPr>
        <w:ind w:left="288"/>
      </w:pPr>
      <w:r>
        <w:rPr>
          <w:color w:val="8C8C8C"/>
          <w:sz w:val="12"/>
        </w:rPr>
        <w:t>cf-art-102-inc-I-ali-p</w:t>
      </w:r>
      <w:r>
        <w:rPr>
          <w:color w:val="003CA0"/>
          <w:sz w:val="12"/>
        </w:rPr>
        <w:t xml:space="preserve"> | MI 6.067</w:t>
      </w:r>
      <w:r>
        <w:rPr>
          <w:color w:val="003CA0"/>
          <w:sz w:val="12"/>
        </w:rPr>
        <w:t xml:space="preserve"> | rel. Gilmar Mendes</w:t>
      </w:r>
    </w:p>
    <w:p>
      <w:pPr>
        <w:ind w:left="288"/>
      </w:pPr>
      <w:r>
        <w:rPr>
          <w:color w:val="1E1E1E"/>
          <w:sz w:val="18"/>
        </w:rPr>
        <w:t>Não cabe mandado de injunção perante o STF cujo objeto seja ausência de norma regulamentadora estadual.</w:t>
      </w:r>
    </w:p>
    <w:p>
      <w:pPr>
        <w:ind w:left="288"/>
      </w:pPr>
      <w:r>
        <w:rPr>
          <w:b/>
          <w:color w:val="003CA0"/>
          <w:sz w:val="16"/>
        </w:rPr>
        <w:t>[MI 6.067 AgR, rel. min. Gilmar Mendes, j. 30-4-2014, P, DJE de 19-5-2014.]</w:t>
      </w:r>
    </w:p>
    <w:p>
      <w:pPr>
        <w:ind w:left="288"/>
      </w:pPr>
      <w:r>
        <w:rPr>
          <w:color w:val="8C8C8C"/>
          <w:sz w:val="12"/>
        </w:rPr>
        <w:t>cf-art-102-inc-I-ali-p</w:t>
      </w:r>
      <w:r>
        <w:rPr>
          <w:color w:val="003CA0"/>
          <w:sz w:val="12"/>
        </w:rPr>
        <w:t xml:space="preserve"> | MI 3.569</w:t>
      </w:r>
      <w:r>
        <w:rPr>
          <w:color w:val="003CA0"/>
          <w:sz w:val="12"/>
        </w:rPr>
        <w:t xml:space="preserve"> | rel. Marco Aurélio</w:t>
      </w:r>
    </w:p>
    <w:p>
      <w:pPr>
        <w:ind w:left="288"/>
      </w:pPr>
      <w:r>
        <w:rPr>
          <w:color w:val="1E1E1E"/>
          <w:sz w:val="18"/>
        </w:rPr>
        <w:t>Versando o mandado de injunção matéria própria a inúmeros pronunciamentos do Plenário, cabe ao relator a atuação direta, julgando-o.</w:t>
      </w:r>
    </w:p>
    <w:p>
      <w:pPr>
        <w:ind w:left="288"/>
      </w:pPr>
      <w:r>
        <w:rPr>
          <w:b/>
          <w:color w:val="003CA0"/>
          <w:sz w:val="16"/>
        </w:rPr>
        <w:t>[MI 3.569 AgR, rel. min. Marco Aurélio, j. 27-2-2014, P, DJE de 21-3-2014.]</w:t>
      </w:r>
    </w:p>
    <w:p>
      <w:pPr>
        <w:ind w:left="288"/>
      </w:pPr>
      <w:r>
        <w:rPr>
          <w:color w:val="8C8C8C"/>
          <w:sz w:val="12"/>
        </w:rPr>
        <w:t>cf-art-102-inc-I-ali-p</w:t>
      </w:r>
      <w:r>
        <w:rPr>
          <w:color w:val="003CA0"/>
          <w:sz w:val="12"/>
        </w:rPr>
        <w:t xml:space="preserve"> | MI 3.983</w:t>
      </w:r>
      <w:r>
        <w:rPr>
          <w:color w:val="003CA0"/>
          <w:sz w:val="12"/>
        </w:rPr>
        <w:t xml:space="preserve"> | rel. Dias Toffoli</w:t>
      </w:r>
    </w:p>
    <w:p>
      <w:pPr>
        <w:ind w:left="288"/>
      </w:pPr>
      <w:r>
        <w:rPr>
          <w:color w:val="1E1E1E"/>
          <w:sz w:val="18"/>
        </w:rPr>
        <w:t>Em sede injuncional, o STF exerce a função de garantir a eficácia da CF, reconhecendo um direito nela previamente definido (...), sem se substituir ao Poder Legislativo, o qual, no momento de edição da norma in abstrato, terá em conta a administração financeira do Estado e as políticas públicas adequadas para uma melhor realização do orçamento, fixando a fonte de custeio e restabelecendo o equilíbrio atuarial do sistema.</w:t>
      </w:r>
    </w:p>
    <w:p>
      <w:pPr>
        <w:ind w:left="288"/>
      </w:pPr>
      <w:r>
        <w:rPr>
          <w:b/>
          <w:color w:val="003CA0"/>
          <w:sz w:val="16"/>
        </w:rPr>
        <w:t>[MI 3.983 AgR, rel. min. Dias Toffoli, j. 19-9-2013, P, DJE de 24-10-2013.]</w:t>
      </w:r>
    </w:p>
    <w:p>
      <w:pPr>
        <w:ind w:left="288"/>
      </w:pPr>
      <w:r>
        <w:rPr>
          <w:color w:val="8C8C8C"/>
          <w:sz w:val="12"/>
        </w:rPr>
        <w:t>cf-art-102-inc-I-ali-p</w:t>
      </w:r>
      <w:r>
        <w:rPr>
          <w:color w:val="003CA0"/>
          <w:sz w:val="12"/>
        </w:rPr>
        <w:t xml:space="preserve"> | MI 624</w:t>
      </w:r>
      <w:r>
        <w:rPr>
          <w:color w:val="003CA0"/>
          <w:sz w:val="12"/>
        </w:rPr>
        <w:t xml:space="preserve"> | rel. Menezes Direito</w:t>
      </w:r>
    </w:p>
    <w:p>
      <w:pPr>
        <w:ind w:left="288"/>
      </w:pPr>
      <w:r>
        <w:rPr>
          <w:color w:val="1E1E1E"/>
          <w:sz w:val="18"/>
        </w:rPr>
        <w:t>Mandado de injunção. Falta de norma tipificando crime de responsabilidade dos magistrados. Inadequação da via eleita. O mandado de injunção exige para sua impetração a falta de norma regulamentadora que torne inviável o exercício de direito subjetivo do impetrante.</w:t>
      </w:r>
    </w:p>
    <w:p>
      <w:pPr>
        <w:ind w:left="288"/>
      </w:pPr>
      <w:r>
        <w:rPr>
          <w:b/>
          <w:color w:val="003CA0"/>
          <w:sz w:val="16"/>
        </w:rPr>
        <w:t>[MI 624, rel. min. Menezes Direito, j. 21-11-2007, P, DJE de 28-3-2008.]</w:t>
      </w:r>
    </w:p>
    <w:p>
      <w:pPr>
        <w:ind w:left="288"/>
      </w:pPr>
      <w:r>
        <w:rPr>
          <w:color w:val="8C8C8C"/>
          <w:sz w:val="12"/>
        </w:rPr>
        <w:t>cf-art-102-inc-I-ali-p</w:t>
      </w:r>
      <w:r>
        <w:rPr>
          <w:color w:val="003CA0"/>
          <w:sz w:val="12"/>
        </w:rPr>
        <w:t xml:space="preserve"> | MI 107</w:t>
      </w:r>
      <w:r>
        <w:rPr>
          <w:color w:val="003CA0"/>
          <w:sz w:val="12"/>
        </w:rPr>
        <w:t xml:space="preserve"> | rel. Moreira Alves</w:t>
      </w:r>
    </w:p>
    <w:p>
      <w:pPr>
        <w:ind w:left="288"/>
      </w:pPr>
      <w:r>
        <w:rPr>
          <w:color w:val="1E1E1E"/>
          <w:sz w:val="18"/>
        </w:rPr>
        <w:t>No julgamento do MI 107/DF, rel. min. Moreira Alves, DJ de 21-9-1990, o Plenário do STF consolidou entendimento que conferiu ao mandado de injunção os seguintes elementos operacionais: i) os direitos constitucionalmente garantidos por meio de mandado de injunção apresentam-se como direitos à expedição de um ato normativo, os quais, via de regra, não poderiam ser diretamente satisfeitos por meio de provimento jurisdicional do STF; ii) a decisão judicial que declara a existência de uma omissão inconstitucional constata, igualmente, a mora do órgão ou poder legiferante, insta-o a editar a norma r</w:t>
      </w:r>
    </w:p>
    <w:p>
      <w:pPr>
        <w:ind w:left="288"/>
      </w:pPr>
      <w:r>
        <w:rPr>
          <w:b/>
          <w:color w:val="003CA0"/>
          <w:sz w:val="16"/>
        </w:rPr>
        <w:t>[MI 708, rel. min. Gilmar Mendes, j. 25-10-2007, P, DJE de 31-10-2008.]</w:t>
      </w:r>
    </w:p>
    <w:p>
      <w:pPr>
        <w:ind w:left="288"/>
      </w:pPr>
      <w:r>
        <w:rPr>
          <w:color w:val="8C8C8C"/>
          <w:sz w:val="12"/>
        </w:rPr>
        <w:t>cf-art-102-inc-I-ali-p</w:t>
      </w:r>
      <w:r>
        <w:rPr>
          <w:color w:val="003CA0"/>
          <w:sz w:val="12"/>
        </w:rPr>
        <w:t xml:space="preserve"> | MI 153</w:t>
      </w:r>
      <w:r>
        <w:rPr>
          <w:color w:val="003CA0"/>
          <w:sz w:val="12"/>
        </w:rPr>
        <w:t xml:space="preserve"> | rel. Paulo Brossard</w:t>
      </w:r>
    </w:p>
    <w:p>
      <w:pPr>
        <w:ind w:left="288"/>
      </w:pPr>
      <w:r>
        <w:rPr>
          <w:color w:val="1E1E1E"/>
          <w:sz w:val="18"/>
        </w:rPr>
        <w:t>Mandado de injunção. Ilegitimidade passiva do presidente do Senado Federal se a iniciativa da lei é da alçada privativa do presidente da República (CF, arts. 37, VIII, e 61, § 1º, II, c).</w:t>
      </w:r>
    </w:p>
    <w:p>
      <w:pPr>
        <w:ind w:left="288"/>
      </w:pPr>
      <w:r>
        <w:rPr>
          <w:b/>
          <w:color w:val="003CA0"/>
          <w:sz w:val="16"/>
        </w:rPr>
        <w:t>[MI 153 AgR, rel. min. Paulo Brossard, j. 14-3-1990, P, DJ de 30-3-1990.]</w:t>
      </w:r>
    </w:p>
    <w:p>
      <w:pPr>
        <w:ind w:left="288"/>
      </w:pPr>
      <w:r>
        <w:rPr>
          <w:color w:val="8C8C8C"/>
          <w:sz w:val="12"/>
        </w:rPr>
        <w:t>cf-art-102-inc-I-ali-p</w:t>
      </w:r>
      <w:r>
        <w:rPr>
          <w:color w:val="003CA0"/>
          <w:sz w:val="12"/>
        </w:rPr>
        <w:t xml:space="preserve"> | MI 157</w:t>
      </w:r>
      <w:r>
        <w:rPr>
          <w:color w:val="003CA0"/>
          <w:sz w:val="12"/>
        </w:rPr>
        <w:t xml:space="preserve"> | rel. Aldir Passarinho</w:t>
      </w:r>
    </w:p>
    <w:p>
      <w:pPr>
        <w:ind w:left="288"/>
      </w:pPr>
      <w:r>
        <w:rPr>
          <w:color w:val="1E1E1E"/>
          <w:sz w:val="18"/>
        </w:rPr>
        <w:t>Mandado de injunção contra o Ministério do Trabalho. Competência. Sendo o mandado de injunção dirigido contra o Ministério do Trabalho, com o objetivo de que o impetrante obtenha registro como entidade sindical, evidencia-se não ser competente o STF para processá-lo e julgá-lo, ante o disposto no art. 102, I,  q, da CF, não lhe cabendo, por isso mesmo, sequer apreciar-se, para o fim em vista, o meio processual utilizado e o adequado. Remessa dos autos ao STJ  para processar e apreciar o pedido, como for de direito.</w:t>
      </w:r>
    </w:p>
    <w:p>
      <w:pPr>
        <w:ind w:left="288"/>
      </w:pPr>
      <w:r>
        <w:rPr>
          <w:b/>
          <w:color w:val="003CA0"/>
          <w:sz w:val="16"/>
        </w:rPr>
        <w:t>[MI 157 QO, rel. min. Aldir Passarinho, j. 21-2-1990, P, DJ  de 20-4-1990.]</w:t>
      </w:r>
    </w:p>
    <w:p>
      <w:pPr>
        <w:ind w:left="144"/>
      </w:pPr>
      <w:r>
        <w:rPr>
          <w:b/>
          <w:color w:val="B45A00"/>
          <w:sz w:val="16"/>
        </w:rPr>
        <w:t>CONTROLE CONCENTRADO</w:t>
      </w:r>
    </w:p>
    <w:p>
      <w:pPr>
        <w:ind w:left="288"/>
      </w:pPr>
      <w:r>
        <w:rPr>
          <w:color w:val="8C8C8C"/>
          <w:sz w:val="12"/>
        </w:rPr>
        <w:t>cf-art-102-inc-I-ali-r</w:t>
      </w:r>
      <w:r>
        <w:rPr>
          <w:color w:val="003CA0"/>
          <w:sz w:val="12"/>
        </w:rPr>
        <w:t xml:space="preserve"> | ADI 4.412</w:t>
      </w:r>
      <w:r>
        <w:rPr>
          <w:color w:val="003CA0"/>
          <w:sz w:val="12"/>
        </w:rPr>
        <w:t xml:space="preserve"> | rel. Gilmar Mendes</w:t>
      </w:r>
    </w:p>
    <w:p>
      <w:pPr>
        <w:ind w:left="288"/>
      </w:pPr>
      <w:r>
        <w:rPr>
          <w:color w:val="1E1E1E"/>
          <w:sz w:val="18"/>
        </w:rPr>
        <w:t>Competência exclusiva do Supremo Tribunal Federal para julgar ações ajuizadas contra atos do CNJ praticados no exercício de suas competências constitucionais.</w:t>
      </w:r>
    </w:p>
    <w:p>
      <w:pPr>
        <w:ind w:left="288"/>
      </w:pPr>
      <w:r>
        <w:rPr>
          <w:b/>
          <w:color w:val="003CA0"/>
          <w:sz w:val="16"/>
        </w:rPr>
        <w:t>[ADI 4.412, rel. min. Gilmar Mendes, j. 18-11-2020, P, DJE de 15-3-2021.]</w:t>
      </w:r>
    </w:p>
    <w:p>
      <w:pPr>
        <w:ind w:left="144"/>
      </w:pPr>
      <w:r>
        <w:rPr>
          <w:b/>
          <w:color w:val="B45A00"/>
          <w:sz w:val="16"/>
        </w:rPr>
        <w:t>JULGADOS CORRELATOS</w:t>
      </w:r>
    </w:p>
    <w:p>
      <w:pPr>
        <w:ind w:left="288"/>
      </w:pPr>
      <w:r>
        <w:rPr>
          <w:color w:val="8C8C8C"/>
          <w:sz w:val="12"/>
        </w:rPr>
        <w:t>cf-art-102-inc-I-ali-r</w:t>
      </w:r>
      <w:r>
        <w:rPr>
          <w:color w:val="003CA0"/>
          <w:sz w:val="12"/>
        </w:rPr>
        <w:t xml:space="preserve"> | MS 37.162</w:t>
      </w:r>
      <w:r>
        <w:rPr>
          <w:color w:val="003CA0"/>
          <w:sz w:val="12"/>
        </w:rPr>
        <w:t xml:space="preserve"> | rel. Rosa Weber</w:t>
      </w:r>
    </w:p>
    <w:p>
      <w:pPr>
        <w:ind w:left="288"/>
      </w:pPr>
      <w:r>
        <w:rPr>
          <w:color w:val="1E1E1E"/>
          <w:sz w:val="18"/>
        </w:rPr>
        <w:t>A jurisprudência do Supremo Tribunal Federal é pacífica no sentido de que a previsão constitucional estabelecida no art. 102, I, r, da Constituição Federal exclui os casos em que a deliberação proferida pelo CNJ ou CNMP, dentro das competências de tais órgãos, resulta na manutenção dos provimentos administrativos oriundos das instâncias fiscalizadas pelos Conselhos.</w:t>
      </w:r>
    </w:p>
    <w:p>
      <w:pPr>
        <w:ind w:left="288"/>
      </w:pPr>
      <w:r>
        <w:rPr>
          <w:b/>
          <w:color w:val="003CA0"/>
          <w:sz w:val="16"/>
        </w:rPr>
        <w:t>[MS 37.162 AgR, rel. min. Rosa Weber, j. 9-11-2021, 1ª T, DJE de 21-2-2022.]</w:t>
      </w:r>
    </w:p>
    <w:p>
      <w:pPr>
        <w:ind w:left="288"/>
      </w:pPr>
      <w:r>
        <w:rPr>
          <w:color w:val="8C8C8C"/>
          <w:sz w:val="12"/>
        </w:rPr>
        <w:t>cf-art-102-inc-I-ali-r</w:t>
      </w:r>
      <w:r>
        <w:rPr>
          <w:color w:val="003CA0"/>
          <w:sz w:val="12"/>
        </w:rPr>
        <w:t xml:space="preserve"> | PET 4.770</w:t>
      </w:r>
      <w:r>
        <w:rPr>
          <w:color w:val="003CA0"/>
          <w:sz w:val="12"/>
        </w:rPr>
        <w:t xml:space="preserve"> | rel. Roberto Barroso</w:t>
      </w:r>
    </w:p>
    <w:p>
      <w:pPr>
        <w:ind w:left="288"/>
      </w:pPr>
      <w:r>
        <w:rPr>
          <w:color w:val="1E1E1E"/>
          <w:sz w:val="18"/>
        </w:rPr>
        <w:t>O art. 102, I, r, CF estabelece a competência do STF para julgar originariamente ‘as ações contra o Conselho Nacional de Justiça e contra o Conselho Nacional do Ministério Público’. A Constituição não discriminou as espécies de ação que seriam da alçada desta Corte, do que se extrai que procurou fixar uma atribuição mais ampla para a análise de tais demandas. Essa leitura é corroborada pelo fato de que, quando pretendeu restringir a competência do Tribunal apenas às ações mandamentais, o constituinte o fez de forma expressa (art. 102, I, d, i e q, CF). Isso não significa, porém, que a Corte de</w:t>
      </w:r>
    </w:p>
    <w:p>
      <w:pPr>
        <w:ind w:left="288"/>
      </w:pPr>
      <w:r>
        <w:rPr>
          <w:b/>
          <w:color w:val="003CA0"/>
          <w:sz w:val="16"/>
        </w:rPr>
        <w:t>[Pet 4.770 AgR, rel. min. Roberto Barroso, j. 18-11-2020, P, DJE de 15-3-2021.]</w:t>
      </w:r>
    </w:p>
    <w:p>
      <w:pPr>
        <w:ind w:left="288"/>
      </w:pPr>
      <w:r>
        <w:rPr>
          <w:color w:val="8C8C8C"/>
          <w:sz w:val="12"/>
        </w:rPr>
        <w:t>cf-art-102-inc-I-ali-r</w:t>
      </w:r>
      <w:r>
        <w:rPr>
          <w:color w:val="003CA0"/>
          <w:sz w:val="12"/>
        </w:rPr>
        <w:t xml:space="preserve"> | RCL 24.563</w:t>
      </w:r>
      <w:r>
        <w:rPr>
          <w:color w:val="003CA0"/>
          <w:sz w:val="12"/>
        </w:rPr>
        <w:t xml:space="preserve"> | rel. Dias Toffoli</w:t>
      </w:r>
    </w:p>
    <w:p>
      <w:pPr>
        <w:ind w:left="288"/>
      </w:pPr>
      <w:r>
        <w:rPr>
          <w:color w:val="1E1E1E"/>
          <w:sz w:val="18"/>
        </w:rPr>
        <w:t>Ausência de competência originária do STF para julgar ação ordinária em que se discutam deliberações do CNJ que atinjam tão somente serventia extrajudicial, porquanto não se referem à atuação-fim do Conselho, incidente, direta e especialmente, sobre membros e órgãos a ele diretamente subordinados.</w:t>
      </w:r>
    </w:p>
    <w:p>
      <w:pPr>
        <w:ind w:left="288"/>
      </w:pPr>
      <w:r>
        <w:rPr>
          <w:b/>
          <w:color w:val="003CA0"/>
          <w:sz w:val="16"/>
        </w:rPr>
        <w:t>[Rcl 24.563 AgR, rel. min. Dias Toffoli, j. 13-12-2016, 2ª T, DJE de 21-2-2017.]</w:t>
      </w:r>
    </w:p>
    <w:p>
      <w:pPr>
        <w:ind w:left="288"/>
      </w:pPr>
      <w:r>
        <w:rPr>
          <w:color w:val="8C8C8C"/>
          <w:sz w:val="12"/>
        </w:rPr>
        <w:t>cf-art-102-inc-I-ali-r</w:t>
      </w:r>
      <w:r>
        <w:rPr>
          <w:color w:val="003CA0"/>
          <w:sz w:val="12"/>
        </w:rPr>
        <w:t xml:space="preserve"> | AO 1.883</w:t>
      </w:r>
      <w:r>
        <w:rPr>
          <w:color w:val="003CA0"/>
          <w:sz w:val="12"/>
        </w:rPr>
        <w:t xml:space="preserve"> | rel. Dias Toffoli</w:t>
      </w:r>
    </w:p>
    <w:p>
      <w:pPr>
        <w:ind w:left="288"/>
      </w:pPr>
      <w:r>
        <w:rPr>
          <w:color w:val="1E1E1E"/>
          <w:sz w:val="18"/>
        </w:rPr>
        <w:t>O CNJ é parte ilegítima para compor o polo passivo de demanda cuja fundamentação questiona apenas ato de tribunal local.</w:t>
      </w:r>
    </w:p>
    <w:p>
      <w:pPr>
        <w:ind w:left="288"/>
      </w:pPr>
      <w:r>
        <w:rPr>
          <w:b/>
          <w:color w:val="003CA0"/>
          <w:sz w:val="16"/>
        </w:rPr>
        <w:t>[AO 1.883 AgR, rel. min. Dias Toffoli, j. 30-4-2014, P, DJE de 3-6-2014.]</w:t>
      </w:r>
    </w:p>
    <w:p>
      <w:pPr>
        <w:ind w:left="288"/>
      </w:pPr>
      <w:r>
        <w:rPr>
          <w:color w:val="8C8C8C"/>
          <w:sz w:val="12"/>
        </w:rPr>
        <w:t>cf-art-102-inc-I-ali-r</w:t>
      </w:r>
      <w:r>
        <w:rPr>
          <w:color w:val="003CA0"/>
          <w:sz w:val="12"/>
        </w:rPr>
        <w:t xml:space="preserve"> | MS 28.133</w:t>
      </w:r>
      <w:r>
        <w:rPr>
          <w:color w:val="003CA0"/>
          <w:sz w:val="12"/>
        </w:rPr>
        <w:t xml:space="preserve"> | rel. Joaquim Barbosa</w:t>
      </w:r>
    </w:p>
    <w:p>
      <w:pPr>
        <w:ind w:left="288"/>
      </w:pPr>
      <w:r>
        <w:rPr>
          <w:color w:val="1E1E1E"/>
          <w:sz w:val="18"/>
        </w:rPr>
        <w:t>O STF não se reduz à singela instância revisora das decisões proferidas pelo CNJ. Em especial, descabe compelir o CNJ a adotar a providência de fundo entendida pela parte interessada como correta, se a decisão impugnada não tiver alterado relações jurídicas ou, de modo ativo, agravado a situação de jurisdicionado. Cabe à parte interessada, que não teve sua pretensão atendida no campo administrativo com uma decisão positiva-ativa, buscar a tutela jurisdicional que, no caso, é alheia à competência originária do STF.</w:t>
      </w:r>
    </w:p>
    <w:p>
      <w:pPr>
        <w:ind w:left="288"/>
      </w:pPr>
      <w:r>
        <w:rPr>
          <w:b/>
          <w:color w:val="003CA0"/>
          <w:sz w:val="16"/>
        </w:rPr>
        <w:t>[MS 28.133 AgR, rel. min. Joaquim Barbosa, j. 24-3-2011, P, DJE de 11-4-2011.]</w:t>
      </w:r>
    </w:p>
    <w:p>
      <w:pPr>
        <w:ind w:left="288"/>
      </w:pPr>
      <w:r>
        <w:rPr>
          <w:color w:val="8C8C8C"/>
          <w:sz w:val="12"/>
        </w:rPr>
        <w:t>cf-art-102-inc-I-ali-r</w:t>
      </w:r>
      <w:r>
        <w:rPr>
          <w:color w:val="003CA0"/>
          <w:sz w:val="12"/>
        </w:rPr>
        <w:t xml:space="preserve"> | MS 28.549</w:t>
      </w:r>
      <w:r>
        <w:rPr>
          <w:color w:val="003CA0"/>
          <w:sz w:val="12"/>
        </w:rPr>
        <w:t xml:space="preserve"> | rel. Dias Toffoli</w:t>
      </w:r>
    </w:p>
    <w:p>
      <w:pPr>
        <w:ind w:left="288"/>
      </w:pPr>
      <w:r>
        <w:rPr>
          <w:color w:val="1E1E1E"/>
          <w:sz w:val="18"/>
        </w:rPr>
        <w:t>= MS 28.549 AgR, rel. min. Dias Toffoli, j. 6-3-2013, P, DJE de 8-4-2013 As decisões do CNJ que não interferem nas esferas de competência dos tribunais ou dos juízes não substituem aquelas decisões por eles proferidas, pelo que não atraem a competência do Supremo Tribunal.</w:t>
      </w:r>
    </w:p>
    <w:p>
      <w:pPr>
        <w:ind w:left="288"/>
      </w:pPr>
      <w:r>
        <w:rPr>
          <w:b/>
          <w:color w:val="003CA0"/>
          <w:sz w:val="16"/>
        </w:rPr>
        <w:t>[MS 29.118 AgR, rel. min. Cármen Lúcia, j. 2-3-2011, P, DJE de 14-4-2011.]</w:t>
      </w:r>
    </w:p>
    <w:p>
      <w:pPr>
        <w:ind w:left="288"/>
      </w:pPr>
      <w:r>
        <w:rPr>
          <w:color w:val="8C8C8C"/>
          <w:sz w:val="12"/>
        </w:rPr>
        <w:t>cf-art-102-inc-I-ali-r</w:t>
      </w:r>
      <w:r>
        <w:rPr>
          <w:color w:val="003CA0"/>
          <w:sz w:val="12"/>
        </w:rPr>
        <w:t xml:space="preserve"> | PET 3.674</w:t>
      </w:r>
      <w:r>
        <w:rPr>
          <w:color w:val="003CA0"/>
          <w:sz w:val="12"/>
        </w:rPr>
        <w:t xml:space="preserve"> | rel. Sepúlveda Pertence</w:t>
      </w:r>
    </w:p>
    <w:p>
      <w:pPr>
        <w:ind w:left="288"/>
      </w:pPr>
      <w:r>
        <w:rPr>
          <w:color w:val="1E1E1E"/>
          <w:sz w:val="18"/>
        </w:rPr>
        <w:t>Competência originária do Supremo Tribunal para as ações contra o CNJ e contra o CNMP (CF, art. 102, I, r, com a redação da EC 45/2004): inteligência: não inclusão da ação popular, ainda quando nela se vise à declaração de nulidade do ato de qualquer um dos conselhos nela referidos. Tratando-se de ação popular, o STF – com as únicas ressalvas da incidência da alínea n  do art. 102, I, da Constituição ou de a lide substantivar conflito entre a União e Estado-membro – jamais admitiu a própria competência originária: ao contrário, a incompetência do Tribunal para processar e julgar a ação popular</w:t>
      </w:r>
    </w:p>
    <w:p>
      <w:pPr>
        <w:ind w:left="288"/>
      </w:pPr>
      <w:r>
        <w:rPr>
          <w:b/>
          <w:color w:val="003CA0"/>
          <w:sz w:val="16"/>
        </w:rPr>
        <w:t>[Pet 3.674 QO, rel. min. Sepúlveda Pertence, j. 4-10-2006, P, DJ de 19-12-2006.]</w:t>
      </w:r>
    </w:p>
    <w:p>
      <w:pPr>
        <w:ind w:left="144"/>
      </w:pPr>
      <w:r>
        <w:rPr>
          <w:b/>
          <w:color w:val="B45A00"/>
          <w:sz w:val="16"/>
        </w:rPr>
        <w:t>SUMULA</w:t>
      </w:r>
    </w:p>
    <w:p>
      <w:pPr>
        <w:ind w:left="288"/>
      </w:pPr>
      <w:r>
        <w:rPr>
          <w:color w:val="8C8C8C"/>
          <w:sz w:val="12"/>
        </w:rPr>
        <w:t>cf-art-102-inc-II-ali-a</w:t>
      </w:r>
    </w:p>
    <w:p>
      <w:pPr>
        <w:ind w:left="288"/>
      </w:pPr>
      <w:r>
        <w:rPr>
          <w:color w:val="1E1E1E"/>
          <w:sz w:val="18"/>
        </w:rPr>
        <w:t>Não compete ao STF conhecer de habeas corpus impetrado contra decisão do relator que, em habeas corpus requerido a tribunal superior, indefere a liminar.</w:t>
      </w:r>
    </w:p>
    <w:p>
      <w:pPr>
        <w:ind w:left="288"/>
      </w:pPr>
      <w:r>
        <w:rPr>
          <w:b/>
          <w:color w:val="003CA0"/>
          <w:sz w:val="16"/>
        </w:rPr>
        <w:t>[Súmula 691.]</w:t>
      </w:r>
    </w:p>
    <w:p>
      <w:pPr>
        <w:ind w:left="144"/>
      </w:pPr>
      <w:r>
        <w:rPr>
          <w:b/>
          <w:color w:val="B45A00"/>
          <w:sz w:val="16"/>
        </w:rPr>
        <w:t>JULGADOS CORRELATOS</w:t>
      </w:r>
    </w:p>
    <w:p>
      <w:pPr>
        <w:ind w:left="288"/>
      </w:pPr>
      <w:r>
        <w:rPr>
          <w:color w:val="8C8C8C"/>
          <w:sz w:val="12"/>
        </w:rPr>
        <w:t>cf-art-102-inc-II-ali-a</w:t>
      </w:r>
      <w:r>
        <w:rPr>
          <w:color w:val="003CA0"/>
          <w:sz w:val="12"/>
        </w:rPr>
        <w:t xml:space="preserve"> | PET 5.297</w:t>
      </w:r>
      <w:r>
        <w:rPr>
          <w:color w:val="003CA0"/>
          <w:sz w:val="12"/>
        </w:rPr>
        <w:t xml:space="preserve"> | rel. Gilmar Mendes</w:t>
      </w:r>
    </w:p>
    <w:p>
      <w:pPr>
        <w:ind w:left="288"/>
      </w:pPr>
      <w:r>
        <w:rPr>
          <w:color w:val="1E1E1E"/>
          <w:sz w:val="18"/>
        </w:rPr>
        <w:t>Não cabimento de recurso ordinário constitucional em sede de execução em mandado de segurança. Rol de hipóteses de cabimento do recurso ordinário, do art. 102, II, a, CF, é taxativo.</w:t>
      </w:r>
    </w:p>
    <w:p>
      <w:pPr>
        <w:ind w:left="288"/>
      </w:pPr>
      <w:r>
        <w:rPr>
          <w:b/>
          <w:color w:val="003CA0"/>
          <w:sz w:val="16"/>
        </w:rPr>
        <w:t>[Pet 5.297 AgR, rel. min. Gilmar Mendes, j. 24-2-2015, 2ª T, DJE de 9-3-2015.]</w:t>
      </w:r>
    </w:p>
    <w:p>
      <w:pPr>
        <w:ind w:left="288"/>
      </w:pPr>
      <w:r>
        <w:rPr>
          <w:color w:val="8C8C8C"/>
          <w:sz w:val="12"/>
        </w:rPr>
        <w:t>cf-art-102-inc-II-ali-a</w:t>
      </w:r>
      <w:r>
        <w:rPr>
          <w:color w:val="003CA0"/>
          <w:sz w:val="12"/>
        </w:rPr>
        <w:t xml:space="preserve"> | HC 109.956</w:t>
      </w:r>
      <w:r>
        <w:rPr>
          <w:color w:val="003CA0"/>
          <w:sz w:val="12"/>
        </w:rPr>
        <w:t xml:space="preserve"> | rel. Marco Aurélio</w:t>
      </w:r>
    </w:p>
    <w:p>
      <w:pPr>
        <w:ind w:left="288"/>
      </w:pPr>
      <w:r>
        <w:rPr>
          <w:color w:val="1E1E1E"/>
          <w:sz w:val="18"/>
        </w:rPr>
        <w:t>Habeas corpus. Julgamento por tribunal superior. Impugnação. A teor do disposto no art. 102, II, a, da CF, contra decisão, proferida em processo revelador de habeas corpus, a implicar a não concessão da ordem, cabível é o recurso ordinário. Evolução quanto à admissibilidade do substitutivo do habeas corpus.</w:t>
      </w:r>
    </w:p>
    <w:p>
      <w:pPr>
        <w:ind w:left="288"/>
      </w:pPr>
      <w:r>
        <w:rPr>
          <w:b/>
          <w:color w:val="003CA0"/>
          <w:sz w:val="16"/>
        </w:rPr>
        <w:t>[HC 109.956, rel. min. Marco Aurélio, j. 7-8-2012, 1ª T, DJE de 11-9-2012.]</w:t>
      </w:r>
    </w:p>
    <w:p>
      <w:pPr>
        <w:ind w:left="288"/>
      </w:pPr>
      <w:r>
        <w:rPr>
          <w:color w:val="8C8C8C"/>
          <w:sz w:val="12"/>
        </w:rPr>
        <w:t>cf-art-102-inc-II-ali-a</w:t>
      </w:r>
      <w:r>
        <w:rPr>
          <w:color w:val="003CA0"/>
          <w:sz w:val="12"/>
        </w:rPr>
        <w:t xml:space="preserve"> | HC 113.281</w:t>
      </w:r>
      <w:r>
        <w:rPr>
          <w:color w:val="003CA0"/>
          <w:sz w:val="12"/>
        </w:rPr>
        <w:t xml:space="preserve"> | rel. Dias Toffoli</w:t>
      </w:r>
    </w:p>
    <w:p>
      <w:pPr>
        <w:ind w:left="288"/>
      </w:pPr>
      <w:r>
        <w:rPr>
          <w:color w:val="1E1E1E"/>
          <w:sz w:val="18"/>
        </w:rPr>
        <w:t>= HC 113.281, rel. min. Dias Toffoli, j. 11-9-2012, 1ª T, DJE de 10-10-2012 Vide HC 115.168, rel. min. Marco Aurélio, j. 21-5-2013, 1ª T, DJE de 17-6-2013 Não se revela admissível, porque inexistente, "recurso ordinário" contra julgamentos emanados do STF. Incidência, na espécie, do princípio da legalidade ou da tipicidade dos recursos. Inaplicabilidade, ao caso, por tratar-se de erro grosseiro, do postulado da fungibilidade recursal.</w:t>
      </w:r>
    </w:p>
    <w:p>
      <w:pPr>
        <w:ind w:left="288"/>
      </w:pPr>
      <w:r>
        <w:rPr>
          <w:b/>
          <w:color w:val="003CA0"/>
          <w:sz w:val="16"/>
        </w:rPr>
        <w:t>[MS 28.857 QO, rel. min. Celso de Mello, j. 14-9-2011, P, DJE de 20-3-2013.]</w:t>
      </w:r>
    </w:p>
    <w:p>
      <w:pPr>
        <w:ind w:left="288"/>
      </w:pPr>
      <w:r>
        <w:rPr>
          <w:color w:val="8C8C8C"/>
          <w:sz w:val="12"/>
        </w:rPr>
        <w:t>cf-art-102-inc-II-ali-a</w:t>
      </w:r>
      <w:r>
        <w:rPr>
          <w:color w:val="003CA0"/>
          <w:sz w:val="12"/>
        </w:rPr>
        <w:t xml:space="preserve"> | MI 2.693</w:t>
      </w:r>
      <w:r>
        <w:rPr>
          <w:color w:val="003CA0"/>
          <w:sz w:val="12"/>
        </w:rPr>
        <w:t xml:space="preserve"> | rel. Teori Zavascki</w:t>
      </w:r>
    </w:p>
    <w:p>
      <w:pPr>
        <w:ind w:left="288"/>
      </w:pPr>
      <w:r>
        <w:rPr>
          <w:color w:val="1E1E1E"/>
          <w:sz w:val="18"/>
        </w:rPr>
        <w:t>= MI 2.693, rel. min. Teori Zavascki, j. 19-6-2013, P, DJE de 13-2-2014. Recurso. Ordinário. Admissibilidade. Interposição contra acórdão que não conheceu de pedido de mandado de segurança. Recurso conhecido. Precedentes. É admissível recurso ordinário contra decisão que não conhece de pedido de mandado de segurança. Mandado de segurança. Impetração contra acórdão do STM. Pedido não conhecido. Motivação de oponibilidade de embargos declaratórios. Inadmissibilidade. Impugnação que argui  ilegalidade da decisão. Inexistência de alegação de vício remediável por embargos. Recurso provido. Se manda</w:t>
      </w:r>
    </w:p>
    <w:p>
      <w:pPr>
        <w:ind w:left="288"/>
      </w:pPr>
      <w:r>
        <w:rPr>
          <w:b/>
          <w:color w:val="003CA0"/>
          <w:sz w:val="16"/>
        </w:rPr>
        <w:t>[RMS 25.424, rel. min. Cezar Peluso, j. 12-8-2008, 2ª T, DJE de 7-11-2008.]</w:t>
      </w:r>
    </w:p>
    <w:p>
      <w:pPr>
        <w:ind w:left="288"/>
      </w:pPr>
      <w:r>
        <w:rPr>
          <w:color w:val="8C8C8C"/>
          <w:sz w:val="12"/>
        </w:rPr>
        <w:t>cf-art-102-inc-II-ali-a</w:t>
      </w:r>
      <w:r>
        <w:rPr>
          <w:color w:val="003CA0"/>
          <w:sz w:val="12"/>
        </w:rPr>
        <w:t xml:space="preserve"> | RMS 26.058</w:t>
      </w:r>
      <w:r>
        <w:rPr>
          <w:color w:val="003CA0"/>
          <w:sz w:val="12"/>
        </w:rPr>
        <w:t xml:space="preserve"> | rel. Sepúlveda Pertence</w:t>
      </w:r>
    </w:p>
    <w:p>
      <w:pPr>
        <w:ind w:left="288"/>
      </w:pPr>
      <w:r>
        <w:rPr>
          <w:color w:val="1E1E1E"/>
          <w:sz w:val="18"/>
        </w:rPr>
        <w:t>Mandado de segurança: recurso ordinário contra decisão de turma recursal: descabimento. A teor do art. 102, II, a, da Constituição, compete ao Supremo Tribunal julgar, em recurso ordinário, o mandado de segurança, quando decidido em única ou última instância pelos tribunais superiores, se denegatória a decisão.</w:t>
      </w:r>
    </w:p>
    <w:p>
      <w:pPr>
        <w:ind w:left="288"/>
      </w:pPr>
      <w:r>
        <w:rPr>
          <w:b/>
          <w:color w:val="003CA0"/>
          <w:sz w:val="16"/>
        </w:rPr>
        <w:t>[RMS 26.058 AgR, rel. min. Sepúlveda Pertence, j. 2-3-2007, 1ª T, DJ de 16-3-2007.]</w:t>
      </w:r>
    </w:p>
    <w:p>
      <w:pPr>
        <w:ind w:left="288"/>
      </w:pPr>
      <w:r>
        <w:rPr>
          <w:color w:val="8C8C8C"/>
          <w:sz w:val="12"/>
        </w:rPr>
        <w:t>cf-art-102-inc-II-ali-a</w:t>
      </w:r>
      <w:r>
        <w:rPr>
          <w:color w:val="003CA0"/>
          <w:sz w:val="12"/>
        </w:rPr>
        <w:t xml:space="preserve"> | HC 87.639</w:t>
      </w:r>
      <w:r>
        <w:rPr>
          <w:color w:val="003CA0"/>
          <w:sz w:val="12"/>
        </w:rPr>
        <w:t xml:space="preserve"> | rel. Sepúlveda Pertence</w:t>
      </w:r>
    </w:p>
    <w:p>
      <w:pPr>
        <w:ind w:left="288"/>
      </w:pPr>
      <w:r>
        <w:rPr>
          <w:color w:val="1E1E1E"/>
          <w:sz w:val="18"/>
        </w:rPr>
        <w:t>Não se sujeita o recurso ordinário de habeas corpus  nem a petição substitutiva dele ao requisito do prequestionamento na decisão impugnada: para o conhecimento deste, basta que a coação seja imputável ao órgão de gradação jurisdicional inferior, o que tanto ocorre quando esse haja examinado e repelido a ilegalidade aventada, quanto se se omite de decidir sobre a alegação do impetrante ou sobre matéria sobre a qual, no âmbito de conhecimento da causa a ele devolvida, se devesse pronunciar de ofício. Precedentes. A omissão sobre um fundamento posto é, em si mesmo, uma coação, e o tribunal super</w:t>
      </w:r>
    </w:p>
    <w:p>
      <w:pPr>
        <w:ind w:left="288"/>
      </w:pPr>
      <w:r>
        <w:rPr>
          <w:b/>
          <w:color w:val="003CA0"/>
          <w:sz w:val="16"/>
        </w:rPr>
        <w:t>[HC 87.639, rel. min. Sepúlveda Pertence, j. 11-4-2006, 1ª T, DJ de 5-5-2006.]</w:t>
      </w:r>
    </w:p>
    <w:p>
      <w:pPr>
        <w:ind w:left="288"/>
      </w:pPr>
      <w:r>
        <w:rPr>
          <w:color w:val="8C8C8C"/>
          <w:sz w:val="12"/>
        </w:rPr>
        <w:t>cf-art-102-inc-II-ali-a</w:t>
      </w:r>
      <w:r>
        <w:rPr>
          <w:color w:val="003CA0"/>
          <w:sz w:val="12"/>
        </w:rPr>
        <w:t xml:space="preserve"> | RHC 87.449</w:t>
      </w:r>
      <w:r>
        <w:rPr>
          <w:color w:val="003CA0"/>
          <w:sz w:val="12"/>
        </w:rPr>
        <w:t xml:space="preserve"> | rel. Celso de Mello</w:t>
      </w:r>
    </w:p>
    <w:p>
      <w:pPr>
        <w:ind w:left="288"/>
      </w:pPr>
      <w:r>
        <w:rPr>
          <w:color w:val="1E1E1E"/>
          <w:sz w:val="18"/>
        </w:rPr>
        <w:t>Não cabe, para o STF, recurso ordinário contra decisão denegatória de habeas corpus proferida por turma recursal vinculada ao sistema dos juizados especiais criminais, eis que tal órgão judiciário não se subsume à noção constitucional de tribunal superior (CF, art. 102, II, a).</w:t>
      </w:r>
    </w:p>
    <w:p>
      <w:pPr>
        <w:ind w:left="288"/>
      </w:pPr>
      <w:r>
        <w:rPr>
          <w:b/>
          <w:color w:val="003CA0"/>
          <w:sz w:val="16"/>
        </w:rPr>
        <w:t>[RHC 87.449, rel. min. Celso de Mello, j. 7-3-2006, 2ª T, DJ de 3-8-2007.]</w:t>
      </w:r>
    </w:p>
    <w:p>
      <w:pPr>
        <w:ind w:left="288"/>
      </w:pPr>
      <w:r>
        <w:rPr>
          <w:color w:val="8C8C8C"/>
          <w:sz w:val="12"/>
        </w:rPr>
        <w:t>cf-art-102-inc-II-ali-a</w:t>
      </w:r>
      <w:r>
        <w:rPr>
          <w:color w:val="003CA0"/>
          <w:sz w:val="12"/>
        </w:rPr>
        <w:t xml:space="preserve"> | HC 85.185</w:t>
      </w:r>
      <w:r>
        <w:rPr>
          <w:color w:val="003CA0"/>
          <w:sz w:val="12"/>
        </w:rPr>
        <w:t xml:space="preserve"> | rel. Cezar Peluso</w:t>
      </w:r>
    </w:p>
    <w:p>
      <w:pPr>
        <w:ind w:left="288"/>
      </w:pPr>
      <w:r>
        <w:rPr>
          <w:color w:val="1E1E1E"/>
          <w:sz w:val="18"/>
        </w:rPr>
        <w:t>A Súmula 691/STF, que não admite habeas corpus impetrado contra decisão do relator que, em habeas corpus  requerido a tribunal superior, indefere liminar, admite, entretanto, abrandamento: diante de flagrante violação à liberdade de locomoção, não pode a Corte Suprema, guardiã maior da Constituição, guardiã maior, portanto, dos direitos e garantias constitucionais, quedar-se inerte. Precedente do STF: HC 85.185/SP, rel. min. Cezar Peluso, Plenário, 10-8-2005. Exame de precedentes da Súmula/STF.</w:t>
      </w:r>
    </w:p>
    <w:p>
      <w:pPr>
        <w:ind w:left="288"/>
      </w:pPr>
      <w:r>
        <w:rPr>
          <w:b/>
          <w:color w:val="003CA0"/>
          <w:sz w:val="16"/>
        </w:rPr>
        <w:t>[HC 86.864 MC, rel. min. Carlos Velloso, j. 20-10-2005, P, DJ de 16-12-2005.]</w:t>
      </w:r>
    </w:p>
    <w:p>
      <w:pPr>
        <w:ind w:left="288"/>
      </w:pPr>
      <w:r>
        <w:rPr>
          <w:color w:val="8C8C8C"/>
          <w:sz w:val="12"/>
        </w:rPr>
        <w:t>cf-art-102-inc-II-ali-a</w:t>
      </w:r>
      <w:r>
        <w:rPr>
          <w:color w:val="003CA0"/>
          <w:sz w:val="12"/>
        </w:rPr>
        <w:t xml:space="preserve"> | HC 84.936</w:t>
      </w:r>
      <w:r>
        <w:rPr>
          <w:color w:val="003CA0"/>
          <w:sz w:val="12"/>
        </w:rPr>
        <w:t xml:space="preserve"> | rel. Cezar Peluso</w:t>
      </w:r>
    </w:p>
    <w:p>
      <w:pPr>
        <w:ind w:left="288"/>
      </w:pPr>
      <w:r>
        <w:rPr>
          <w:color w:val="1E1E1E"/>
          <w:sz w:val="18"/>
        </w:rPr>
        <w:t>Habeas corpus. Inadmissibilidade. Decisão do STJ. Acórdão proferido em agravo regimental contra indeferimento de liminar em habeas corpus. Pedido não conhecido. Aplicação analógica da Súmula 691. Agravo regimental improvido. Não compete ao STF conhecer de pedido de habeas corpus  contra acórdão do STJ  que, em agravo regimental, manteve decisão do relator que indeferiu liminar em habeas corpus.</w:t>
      </w:r>
    </w:p>
    <w:p>
      <w:pPr>
        <w:ind w:left="288"/>
      </w:pPr>
      <w:r>
        <w:rPr>
          <w:b/>
          <w:color w:val="003CA0"/>
          <w:sz w:val="16"/>
        </w:rPr>
        <w:t>[HC 84.936 AgR, rel. min. Cezar Peluso, j. 30-11-2004, 1ª T, DJ de 8-4-2005.]</w:t>
      </w:r>
    </w:p>
    <w:p>
      <w:pPr>
        <w:ind w:left="288"/>
      </w:pPr>
      <w:r>
        <w:rPr>
          <w:color w:val="8C8C8C"/>
          <w:sz w:val="12"/>
        </w:rPr>
        <w:t>cf-art-102-inc-II-ali-a</w:t>
      </w:r>
      <w:r>
        <w:rPr>
          <w:color w:val="003CA0"/>
          <w:sz w:val="12"/>
        </w:rPr>
        <w:t xml:space="preserve"> | RMS 24.309</w:t>
      </w:r>
      <w:r>
        <w:rPr>
          <w:color w:val="003CA0"/>
          <w:sz w:val="12"/>
        </w:rPr>
        <w:t xml:space="preserve"> | rel. Marco Aurélio</w:t>
      </w:r>
    </w:p>
    <w:p>
      <w:pPr>
        <w:ind w:left="288"/>
      </w:pPr>
      <w:r>
        <w:rPr>
          <w:color w:val="1E1E1E"/>
          <w:sz w:val="18"/>
        </w:rPr>
        <w:t>(...) O disposto no § 3º do art. 515 do CPC não se aplica ao recurso ordinário em mandado de segurança, cuja previsão, no tocante à competência, decorre de texto da CF.</w:t>
      </w:r>
    </w:p>
    <w:p>
      <w:pPr>
        <w:ind w:left="288"/>
      </w:pPr>
      <w:r>
        <w:rPr>
          <w:b/>
          <w:color w:val="003CA0"/>
          <w:sz w:val="16"/>
        </w:rPr>
        <w:t>[RMS 24.309 ED, rel. min. Marco Aurélio, j. 17-2-2004, 1ª T, DJ de 30-4-2004.]</w:t>
      </w:r>
    </w:p>
    <w:p>
      <w:pPr>
        <w:ind w:left="288"/>
      </w:pPr>
      <w:r>
        <w:rPr>
          <w:color w:val="8C8C8C"/>
          <w:sz w:val="12"/>
        </w:rPr>
        <w:t>cf-art-102-inc-II-ali-a</w:t>
      </w:r>
      <w:r>
        <w:rPr>
          <w:color w:val="003CA0"/>
          <w:sz w:val="12"/>
        </w:rPr>
        <w:t xml:space="preserve"> | RMS 24.789</w:t>
      </w:r>
      <w:r>
        <w:rPr>
          <w:color w:val="003CA0"/>
          <w:sz w:val="12"/>
        </w:rPr>
        <w:t xml:space="preserve"> | rel. Eros Grau</w:t>
      </w:r>
    </w:p>
    <w:p>
      <w:pPr>
        <w:ind w:left="288"/>
      </w:pPr>
      <w:r>
        <w:rPr>
          <w:color w:val="1E1E1E"/>
          <w:sz w:val="18"/>
        </w:rPr>
        <w:t>= RMS 24.789, rel. min. Eros Grau, j. 26-10-2004, 1ª T, DJ de 26-11-2004 Vide RE 638.057 AgR, rel. min. Ricardo Lewandowski, j. 28-2-2012, 2ª T, DJE de 12-3-2012 Para instaurar-se a competência recursal ordinária do STF (CF, art. 102, II, a), impõe-se que a decisão denegatória do mandado de segurança resulte de julgamento colegiado, proferido, em sede originária, por tribunal superior da União (TSE, STM, TST e STJ). Tratando-se de decisão monocrática, emanada de relator da causa mandamental, torna-se indispensável – para que se viabilize a interposição do recurso ordinário para a Suprema Corte</w:t>
      </w:r>
    </w:p>
    <w:p>
      <w:pPr>
        <w:ind w:left="288"/>
      </w:pPr>
      <w:r>
        <w:rPr>
          <w:b/>
          <w:color w:val="003CA0"/>
          <w:sz w:val="16"/>
        </w:rPr>
        <w:t>[RMS 24.237 QO, rel. min. Celso de Mello, j. 16-4-2002, 2ª T, DJ de 3-5-2002.]</w:t>
      </w:r>
    </w:p>
    <w:p>
      <w:pPr>
        <w:ind w:left="288"/>
      </w:pPr>
      <w:r>
        <w:rPr>
          <w:color w:val="8C8C8C"/>
          <w:sz w:val="12"/>
        </w:rPr>
        <w:t>cf-art-102-inc-II-ali-a</w:t>
      </w:r>
      <w:r>
        <w:rPr>
          <w:color w:val="003CA0"/>
          <w:sz w:val="12"/>
        </w:rPr>
        <w:t xml:space="preserve"> | RMS 30.580</w:t>
      </w:r>
      <w:r>
        <w:rPr>
          <w:color w:val="003CA0"/>
          <w:sz w:val="12"/>
        </w:rPr>
        <w:t xml:space="preserve"> | rel. Joaquim Barbosa</w:t>
      </w:r>
    </w:p>
    <w:p>
      <w:pPr>
        <w:ind w:left="288"/>
      </w:pPr>
      <w:r>
        <w:rPr>
          <w:color w:val="1E1E1E"/>
          <w:sz w:val="18"/>
        </w:rPr>
        <w:t>= RMS 30.580 AgR, rel. min. Joaquim Barbosa, j. 14-2-2012, 2ª T, DJE de 6-3-2012 Recurso. Fungibilidade. CF, art. 102, II, a. Constitucional. Estabilidade provisória. Gravidez. CF, art. 7º, I; ADCT, art. 10, II, b. Conversão do recurso extraordinário em ordinário, tendo em vista a ocorrência da hipótese inscrita no art. 102, II, a, da Constituição.</w:t>
      </w:r>
    </w:p>
    <w:p>
      <w:pPr>
        <w:ind w:left="288"/>
      </w:pPr>
      <w:r>
        <w:rPr>
          <w:b/>
          <w:color w:val="003CA0"/>
          <w:sz w:val="16"/>
        </w:rPr>
        <w:t>[RMS 21.328, rel. min. Carlos Velloso, j. 11-12-2001, 2ª T, DJ de 3-5-2002.]</w:t>
      </w:r>
    </w:p>
    <w:p>
      <w:pPr>
        <w:ind w:left="288"/>
      </w:pPr>
      <w:r>
        <w:rPr>
          <w:color w:val="8C8C8C"/>
          <w:sz w:val="12"/>
        </w:rPr>
        <w:t>cf-art-102-inc-II-ali-a</w:t>
      </w:r>
      <w:r>
        <w:rPr>
          <w:color w:val="003CA0"/>
          <w:sz w:val="12"/>
        </w:rPr>
        <w:t xml:space="preserve"> | RHC 80.429</w:t>
      </w:r>
      <w:r>
        <w:rPr>
          <w:color w:val="003CA0"/>
          <w:sz w:val="12"/>
        </w:rPr>
        <w:t xml:space="preserve"> | rel. Marco Aurélio</w:t>
      </w:r>
    </w:p>
    <w:p>
      <w:pPr>
        <w:ind w:left="288"/>
      </w:pPr>
      <w:r>
        <w:rPr>
          <w:color w:val="1E1E1E"/>
          <w:sz w:val="18"/>
        </w:rPr>
        <w:t>Habeas corpus. Recursos ordinário e constitucional. Envolvendo a espécie acórdão prolatado pelo STJ no julgamento de recurso ordinário constitucional, a medida, rotulada também de recurso ordinário e recurso extraordinário, deve ser tomada como reveladora de habeas corpus originário.</w:t>
      </w:r>
    </w:p>
    <w:p>
      <w:pPr>
        <w:ind w:left="288"/>
      </w:pPr>
      <w:r>
        <w:rPr>
          <w:b/>
          <w:color w:val="003CA0"/>
          <w:sz w:val="16"/>
        </w:rPr>
        <w:t>[RHC 80.429, rel. min. Marco Aurélio, j. 31-10-2000, 2ª T, DJ de 29-8-2003.]</w:t>
      </w:r>
    </w:p>
    <w:p>
      <w:pPr>
        <w:ind w:left="288"/>
      </w:pPr>
      <w:r>
        <w:rPr>
          <w:color w:val="8C8C8C"/>
          <w:sz w:val="12"/>
        </w:rPr>
        <w:t>cf-art-102-inc-II-ali-a</w:t>
      </w:r>
      <w:r>
        <w:rPr>
          <w:color w:val="003CA0"/>
          <w:sz w:val="12"/>
        </w:rPr>
        <w:t xml:space="preserve"> | RMS 21.476</w:t>
      </w:r>
      <w:r>
        <w:rPr>
          <w:color w:val="003CA0"/>
          <w:sz w:val="12"/>
        </w:rPr>
        <w:t xml:space="preserve"> | rel. Celso de Mello</w:t>
      </w:r>
    </w:p>
    <w:p>
      <w:pPr>
        <w:ind w:left="288"/>
      </w:pPr>
      <w:r>
        <w:rPr>
          <w:color w:val="1E1E1E"/>
          <w:sz w:val="18"/>
        </w:rPr>
        <w:t>O prazo de interposição do recurso ordinário constitucional suspende-se ante a superveniência das férias forenses. Findas estas num sábado, o que sobejar desse prazo recursal recomeçará a correr a partir do primeiro dia útil imediatamente subsequente ao termo final das férias (CPC, art. 179).</w:t>
      </w:r>
    </w:p>
    <w:p>
      <w:pPr>
        <w:ind w:left="288"/>
      </w:pPr>
      <w:r>
        <w:rPr>
          <w:b/>
          <w:color w:val="003CA0"/>
          <w:sz w:val="16"/>
        </w:rPr>
        <w:t>[RMS 21.476, rel. min. Celso de Mello, j. 16-6-1992, 2ª T, DJ de 4-9-1992.]</w:t>
      </w:r>
    </w:p>
    <w:p>
      <w:pPr>
        <w:ind w:left="288"/>
      </w:pPr>
      <w:r>
        <w:rPr>
          <w:color w:val="8C8C8C"/>
          <w:sz w:val="12"/>
        </w:rPr>
        <w:t>cf-art-102-inc-II-ali-a</w:t>
      </w:r>
      <w:r>
        <w:rPr>
          <w:color w:val="003CA0"/>
          <w:sz w:val="12"/>
        </w:rPr>
        <w:t xml:space="preserve"> | HC 100.344</w:t>
      </w:r>
      <w:r>
        <w:rPr>
          <w:color w:val="003CA0"/>
          <w:sz w:val="12"/>
        </w:rPr>
        <w:t xml:space="preserve"> | rel. Eros Grau</w:t>
      </w:r>
    </w:p>
    <w:p>
      <w:pPr>
        <w:ind w:left="288"/>
      </w:pPr>
      <w:r>
        <w:rPr>
          <w:color w:val="1E1E1E"/>
          <w:sz w:val="18"/>
        </w:rPr>
        <w:t>Vide HC 100.344, rel. min. Eros Grau, j. 8-9-2009, 2ª T, DJE de 6-11-2009 Mandado de segurança: recurso ordinário constitucional (CF, art. 102, II, a): devolução ao STF, a exemplo da apelação (CPC, 515 e parágrafos), do conhecimento de toda a matéria impugnada, que pode abranger todas as questões suscitadas e discutidas no processo de natureza constitucional ou não e ainda que a sentença não as tenha julgado por inteiro.</w:t>
      </w:r>
    </w:p>
    <w:p>
      <w:pPr>
        <w:ind w:left="288"/>
      </w:pPr>
      <w:r>
        <w:rPr>
          <w:b/>
          <w:color w:val="003CA0"/>
          <w:sz w:val="16"/>
        </w:rPr>
        <w:t>[RMS 20.976, rel. min. Sepúlveda Pertence, j. 7-12-1989, P, DJ de 16-2-1990.]</w:t>
      </w:r>
    </w:p>
    <w:p>
      <w:pPr>
        <w:ind w:left="288"/>
      </w:pPr>
      <w:r>
        <w:rPr>
          <w:color w:val="8C8C8C"/>
          <w:sz w:val="12"/>
        </w:rPr>
        <w:t>cf-art-102-inc-II-ali-b</w:t>
      </w:r>
      <w:r>
        <w:rPr>
          <w:color w:val="003CA0"/>
          <w:sz w:val="12"/>
        </w:rPr>
        <w:t xml:space="preserve"> | EXT 794</w:t>
      </w:r>
      <w:r>
        <w:rPr>
          <w:color w:val="003CA0"/>
          <w:sz w:val="12"/>
        </w:rPr>
        <w:t xml:space="preserve"> | rel. Luiz Fux</w:t>
      </w:r>
    </w:p>
    <w:p>
      <w:pPr>
        <w:ind w:left="288"/>
      </w:pPr>
      <w:r>
        <w:rPr>
          <w:color w:val="1E1E1E"/>
          <w:sz w:val="18"/>
        </w:rPr>
        <w:t>Crimes políticos, para os fins do art. 102, II, b, da CF, são aqueles dirigidos, subjetiva e objetivamente, de modo imediato, contra o Estado como unidade orgânica das instituições políticas e sociais e, por conseguinte, definidos na Lei de Segurança Nacional, presentes as disposições gerais estabelecidas nos arts. 1º e 2º do mesmo diploma legal.</w:t>
        <w:br/>
        <w:t>[RC 1.473, rel. min. Luiz Fux, j. 14-11-2017, 1ª T, DJE de 18-12-2017.] O Plenário do STF decidiu que, para configuração do crime político, previsto no parágrafo único do art. 12 da Lei  7.170/1983, é necessário, além da motivação e os objetivos polít</w:t>
      </w:r>
    </w:p>
    <w:p>
      <w:pPr>
        <w:ind w:left="288"/>
      </w:pPr>
      <w:r>
        <w:rPr>
          <w:b/>
          <w:color w:val="003CA0"/>
          <w:sz w:val="16"/>
        </w:rPr>
        <w:t>[Ext 794, rel. min. Maurício Corrêa, j. 17-12-2001, P, DJ de 24-5-2002.]</w:t>
      </w:r>
    </w:p>
    <w:p>
      <w:pPr>
        <w:ind w:left="288"/>
      </w:pPr>
      <w:r>
        <w:rPr>
          <w:color w:val="8C8C8C"/>
          <w:sz w:val="12"/>
        </w:rPr>
        <w:t>cf-art-102-inc-II-ali-b</w:t>
      </w:r>
      <w:r>
        <w:rPr>
          <w:color w:val="003CA0"/>
          <w:sz w:val="12"/>
        </w:rPr>
        <w:t xml:space="preserve"> | EXT 700</w:t>
      </w:r>
      <w:r>
        <w:rPr>
          <w:color w:val="003CA0"/>
          <w:sz w:val="12"/>
        </w:rPr>
        <w:t xml:space="preserve"> | rel. Octavio Gallotti</w:t>
      </w:r>
    </w:p>
    <w:p>
      <w:pPr>
        <w:ind w:left="288"/>
      </w:pPr>
      <w:r>
        <w:rPr>
          <w:color w:val="1E1E1E"/>
          <w:sz w:val="18"/>
        </w:rPr>
        <w:t>Extraditando acusado de transmitir ao Iraque segredo de Estado do Governo requerente (República Federal da Alemanha), utilizável em projeto de desenvolvimento de armamento nuclear. Crime político puro, cujo conceito compreende não só o cometido contra a segurança interna, como o praticado contra a segurança externa do Estado, a caracterizarem, ambas as hipóteses, a excludente de concessão de extradição.</w:t>
      </w:r>
    </w:p>
    <w:p>
      <w:pPr>
        <w:ind w:left="288"/>
      </w:pPr>
      <w:r>
        <w:rPr>
          <w:b/>
          <w:color w:val="003CA0"/>
          <w:sz w:val="16"/>
        </w:rPr>
        <w:t>[Ext 700, rel. min. Octavio Gallotti, j. 4-3-1998, P, DJ de 5-11-1999.]</w:t>
      </w:r>
    </w:p>
    <w:p>
      <w:pPr>
        <w:ind w:left="144"/>
      </w:pPr>
      <w:r>
        <w:rPr>
          <w:b/>
          <w:color w:val="B45A00"/>
          <w:sz w:val="16"/>
        </w:rPr>
        <w:t>SUMULA</w:t>
      </w:r>
    </w:p>
    <w:p>
      <w:pPr>
        <w:ind w:left="288"/>
      </w:pPr>
      <w:r>
        <w:rPr>
          <w:color w:val="8C8C8C"/>
          <w:sz w:val="12"/>
        </w:rPr>
        <w:t>cf-art-102-inc-III</w:t>
      </w:r>
    </w:p>
    <w:p>
      <w:pPr>
        <w:ind w:left="288"/>
      </w:pPr>
      <w:r>
        <w:rPr>
          <w:color w:val="1E1E1E"/>
          <w:sz w:val="18"/>
        </w:rPr>
        <w:t>Não cabe recurso extraordinário contra acórdão que defere medida liminar.</w:t>
      </w:r>
    </w:p>
    <w:p>
      <w:pPr>
        <w:ind w:left="288"/>
      </w:pPr>
      <w:r>
        <w:rPr>
          <w:b/>
          <w:color w:val="003CA0"/>
          <w:sz w:val="16"/>
        </w:rPr>
        <w:t>[Súmula 735.]</w:t>
      </w:r>
    </w:p>
    <w:p>
      <w:pPr>
        <w:ind w:left="288"/>
      </w:pPr>
      <w:r>
        <w:rPr>
          <w:color w:val="8C8C8C"/>
          <w:sz w:val="12"/>
        </w:rPr>
        <w:t>cf-art-102-inc-III</w:t>
      </w:r>
    </w:p>
    <w:p>
      <w:pPr>
        <w:ind w:left="288"/>
      </w:pPr>
      <w:r>
        <w:rPr>
          <w:color w:val="1E1E1E"/>
          <w:sz w:val="18"/>
        </w:rPr>
        <w:t>Não cabe recurso extraordinário contra decisão proferida no processamento de precatórios.</w:t>
      </w:r>
    </w:p>
    <w:p>
      <w:pPr>
        <w:ind w:left="288"/>
      </w:pPr>
      <w:r>
        <w:rPr>
          <w:b/>
          <w:color w:val="003CA0"/>
          <w:sz w:val="16"/>
        </w:rPr>
        <w:t>[Súmula 733.]</w:t>
      </w:r>
    </w:p>
    <w:p>
      <w:pPr>
        <w:ind w:left="288"/>
      </w:pPr>
      <w:r>
        <w:rPr>
          <w:color w:val="8C8C8C"/>
          <w:sz w:val="12"/>
        </w:rPr>
        <w:t>cf-art-102-inc-III</w:t>
      </w:r>
    </w:p>
    <w:p>
      <w:pPr>
        <w:ind w:left="288"/>
      </w:pPr>
      <w:r>
        <w:rPr>
          <w:color w:val="1E1E1E"/>
          <w:sz w:val="18"/>
        </w:rPr>
        <w:t>É de três dias o prazo para a interposição de recurso extraordinário contra decisão do TSE, contado, quando for o caso, a partir da publicação do acórdão, na própria sessão de julgamento, nos termos do art. 12 da Lei 6.055/1974, que não foi revogado pela Lei 8.950/1994.</w:t>
      </w:r>
    </w:p>
    <w:p>
      <w:pPr>
        <w:ind w:left="288"/>
      </w:pPr>
      <w:r>
        <w:rPr>
          <w:b/>
          <w:color w:val="003CA0"/>
          <w:sz w:val="16"/>
        </w:rPr>
        <w:t>[Súmula 728.]</w:t>
      </w:r>
    </w:p>
    <w:p>
      <w:pPr>
        <w:ind w:left="288"/>
      </w:pPr>
      <w:r>
        <w:rPr>
          <w:color w:val="8C8C8C"/>
          <w:sz w:val="12"/>
        </w:rPr>
        <w:t>cf-art-102-inc-III</w:t>
      </w:r>
    </w:p>
    <w:p>
      <w:pPr>
        <w:ind w:left="288"/>
      </w:pPr>
      <w:r>
        <w:rPr>
          <w:color w:val="1E1E1E"/>
          <w:sz w:val="18"/>
        </w:rPr>
        <w:t>Não pode o magistrado deixar de encaminhar ao STF o agravo de instrumento interposto da decisão que não admite recurso extraordinário, ainda que referente a causa instaurada no âmbito dos juizados especiais.</w:t>
      </w:r>
    </w:p>
    <w:p>
      <w:pPr>
        <w:ind w:left="288"/>
      </w:pPr>
      <w:r>
        <w:rPr>
          <w:b/>
          <w:color w:val="003CA0"/>
          <w:sz w:val="16"/>
        </w:rPr>
        <w:t>[Súmula 727.]</w:t>
      </w:r>
    </w:p>
    <w:p>
      <w:pPr>
        <w:ind w:left="288"/>
      </w:pPr>
      <w:r>
        <w:rPr>
          <w:color w:val="8C8C8C"/>
          <w:sz w:val="12"/>
        </w:rPr>
        <w:t>cf-art-102-inc-III</w:t>
      </w:r>
    </w:p>
    <w:p>
      <w:pPr>
        <w:ind w:left="288"/>
      </w:pPr>
      <w:r>
        <w:rPr>
          <w:color w:val="1E1E1E"/>
          <w:sz w:val="18"/>
        </w:rPr>
        <w:t>É cabível recurso extraordinário contra decisão proferida por juiz de primeiro grau nas causas de alçada, ou por turma recursal de juizado especial cível e criminal.</w:t>
      </w:r>
    </w:p>
    <w:p>
      <w:pPr>
        <w:ind w:left="288"/>
      </w:pPr>
      <w:r>
        <w:rPr>
          <w:b/>
          <w:color w:val="003CA0"/>
          <w:sz w:val="16"/>
        </w:rPr>
        <w:t>[Súmula 640.]</w:t>
      </w:r>
    </w:p>
    <w:p>
      <w:pPr>
        <w:ind w:left="288"/>
      </w:pPr>
      <w:r>
        <w:rPr>
          <w:color w:val="8C8C8C"/>
          <w:sz w:val="12"/>
        </w:rPr>
        <w:t>cf-art-102-inc-III</w:t>
      </w:r>
    </w:p>
    <w:p>
      <w:pPr>
        <w:ind w:left="288"/>
      </w:pPr>
      <w:r>
        <w:rPr>
          <w:color w:val="1E1E1E"/>
          <w:sz w:val="18"/>
        </w:rPr>
        <w:t>Aplica-se a Súmula 288 quando não constarem do traslado do agravo de instrumento as cópias das peças necessárias à verificação da tempestividade do recurso extraordinário não admitido pela decisão agravada.</w:t>
      </w:r>
    </w:p>
    <w:p>
      <w:pPr>
        <w:ind w:left="288"/>
      </w:pPr>
      <w:r>
        <w:rPr>
          <w:b/>
          <w:color w:val="003CA0"/>
          <w:sz w:val="16"/>
        </w:rPr>
        <w:t>[Súmula 639.]</w:t>
      </w:r>
    </w:p>
    <w:p>
      <w:pPr>
        <w:ind w:left="288"/>
      </w:pPr>
      <w:r>
        <w:rPr>
          <w:color w:val="8C8C8C"/>
          <w:sz w:val="12"/>
        </w:rPr>
        <w:t>cf-art-102-inc-III</w:t>
      </w:r>
    </w:p>
    <w:p>
      <w:pPr>
        <w:ind w:left="288"/>
      </w:pPr>
      <w:r>
        <w:rPr>
          <w:color w:val="1E1E1E"/>
          <w:sz w:val="18"/>
        </w:rPr>
        <w:t>A controvérsia sobre a incidência, ou não, de correção monetária em operações de crédito rural é de natureza infraconstitucional, não viabilizando recurso extraordinário.</w:t>
      </w:r>
    </w:p>
    <w:p>
      <w:pPr>
        <w:ind w:left="288"/>
      </w:pPr>
      <w:r>
        <w:rPr>
          <w:b/>
          <w:color w:val="003CA0"/>
          <w:sz w:val="16"/>
        </w:rPr>
        <w:t>[Súmula 638.]</w:t>
      </w:r>
    </w:p>
    <w:p>
      <w:pPr>
        <w:ind w:left="288"/>
      </w:pPr>
      <w:r>
        <w:rPr>
          <w:color w:val="8C8C8C"/>
          <w:sz w:val="12"/>
        </w:rPr>
        <w:t>cf-art-102-inc-III</w:t>
      </w:r>
    </w:p>
    <w:p>
      <w:pPr>
        <w:ind w:left="288"/>
      </w:pPr>
      <w:r>
        <w:rPr>
          <w:color w:val="1E1E1E"/>
          <w:sz w:val="18"/>
        </w:rPr>
        <w:t>Não cabe recurso extraordinário contra acórdão de tribunal de justiça que defere pedido de intervenção estadual em Município.</w:t>
      </w:r>
    </w:p>
    <w:p>
      <w:pPr>
        <w:ind w:left="288"/>
      </w:pPr>
      <w:r>
        <w:rPr>
          <w:b/>
          <w:color w:val="003CA0"/>
          <w:sz w:val="16"/>
        </w:rPr>
        <w:t>[Súmula 637.]</w:t>
      </w:r>
    </w:p>
    <w:p>
      <w:pPr>
        <w:ind w:left="288"/>
      </w:pPr>
      <w:r>
        <w:rPr>
          <w:color w:val="8C8C8C"/>
          <w:sz w:val="12"/>
        </w:rPr>
        <w:t>cf-art-102-inc-III</w:t>
      </w:r>
    </w:p>
    <w:p>
      <w:pPr>
        <w:ind w:left="288"/>
      </w:pPr>
      <w:r>
        <w:rPr>
          <w:color w:val="1E1E1E"/>
          <w:sz w:val="18"/>
        </w:rPr>
        <w:t>Não cabe recurso extraordinário por contrariedade ao princípio constitucional da legalidade, quando a sua verificação pressuponha rever a interpretação dada a normas infraconstitucionais pela decisão recorrida.</w:t>
      </w:r>
    </w:p>
    <w:p>
      <w:pPr>
        <w:ind w:left="288"/>
      </w:pPr>
      <w:r>
        <w:rPr>
          <w:b/>
          <w:color w:val="003CA0"/>
          <w:sz w:val="16"/>
        </w:rPr>
        <w:t>[Súmula 636.]</w:t>
      </w:r>
    </w:p>
    <w:p>
      <w:pPr>
        <w:ind w:left="288"/>
      </w:pPr>
      <w:r>
        <w:rPr>
          <w:color w:val="8C8C8C"/>
          <w:sz w:val="12"/>
        </w:rPr>
        <w:t>cf-art-102-inc-III</w:t>
      </w:r>
    </w:p>
    <w:p>
      <w:pPr>
        <w:ind w:left="288"/>
      </w:pPr>
      <w:r>
        <w:rPr>
          <w:color w:val="1E1E1E"/>
          <w:sz w:val="18"/>
        </w:rPr>
        <w:t>Cabe ao presidente do tribunal de origem decidir o pedido de medida cautelar em recurso extraordinário ainda pendente do seu juízo de admissibilidade.</w:t>
      </w:r>
    </w:p>
    <w:p>
      <w:pPr>
        <w:ind w:left="288"/>
      </w:pPr>
      <w:r>
        <w:rPr>
          <w:b/>
          <w:color w:val="003CA0"/>
          <w:sz w:val="16"/>
        </w:rPr>
        <w:t>[Súmula 635.]</w:t>
      </w:r>
    </w:p>
    <w:p>
      <w:pPr>
        <w:ind w:left="288"/>
      </w:pPr>
      <w:r>
        <w:rPr>
          <w:color w:val="8C8C8C"/>
          <w:sz w:val="12"/>
        </w:rPr>
        <w:t>cf-art-102-inc-III</w:t>
      </w:r>
    </w:p>
    <w:p>
      <w:pPr>
        <w:ind w:left="288"/>
      </w:pPr>
      <w:r>
        <w:rPr>
          <w:color w:val="1E1E1E"/>
          <w:sz w:val="18"/>
        </w:rPr>
        <w:t>Não compete ao STF conceder medida cautelar para dar efeito suspensivo a recurso extraordinário que ainda não foi objeto de juízo de admissibilidade na origem.</w:t>
      </w:r>
    </w:p>
    <w:p>
      <w:pPr>
        <w:ind w:left="288"/>
      </w:pPr>
      <w:r>
        <w:rPr>
          <w:b/>
          <w:color w:val="003CA0"/>
          <w:sz w:val="16"/>
        </w:rPr>
        <w:t>[Súmula 634.]</w:t>
      </w:r>
    </w:p>
    <w:p>
      <w:pPr>
        <w:ind w:left="288"/>
      </w:pPr>
      <w:r>
        <w:rPr>
          <w:color w:val="8C8C8C"/>
          <w:sz w:val="12"/>
        </w:rPr>
        <w:t>cf-art-102-inc-III</w:t>
      </w:r>
    </w:p>
    <w:p>
      <w:pPr>
        <w:ind w:left="288"/>
      </w:pPr>
      <w:r>
        <w:rPr>
          <w:color w:val="1E1E1E"/>
          <w:sz w:val="18"/>
        </w:rPr>
        <w:t>Se a decisão contiver partes autônomas, a admissão parcial, pelo presidente do tribunal a quo, de recurso extraordinário que, sobre qualquer delas se manifestar, não limitará a apreciação de todas pelo STF, independentemente de interposição de agravo de instrumento.</w:t>
      </w:r>
    </w:p>
    <w:p>
      <w:pPr>
        <w:ind w:left="288"/>
      </w:pPr>
      <w:r>
        <w:rPr>
          <w:b/>
          <w:color w:val="003CA0"/>
          <w:sz w:val="16"/>
        </w:rPr>
        <w:t>[Súmula 528.]</w:t>
      </w:r>
    </w:p>
    <w:p>
      <w:pPr>
        <w:ind w:left="288"/>
      </w:pPr>
      <w:r>
        <w:rPr>
          <w:color w:val="8C8C8C"/>
          <w:sz w:val="12"/>
        </w:rPr>
        <w:t>cf-art-102-inc-III</w:t>
      </w:r>
    </w:p>
    <w:p>
      <w:pPr>
        <w:ind w:left="288"/>
      </w:pPr>
      <w:r>
        <w:rPr>
          <w:color w:val="1E1E1E"/>
          <w:sz w:val="18"/>
        </w:rPr>
        <w:t>A decisão que enseja a interposição de recurso ordinário ou extraordinário não é a do plenário, que resolve o incidente de inconstitucionalidade, mas a do órgão (câmaras, grupos ou turmas) que completa o julgamento do feito.</w:t>
      </w:r>
    </w:p>
    <w:p>
      <w:pPr>
        <w:ind w:left="288"/>
      </w:pPr>
      <w:r>
        <w:rPr>
          <w:b/>
          <w:color w:val="003CA0"/>
          <w:sz w:val="16"/>
        </w:rPr>
        <w:t>[Súmula 513.]</w:t>
      </w:r>
    </w:p>
    <w:p>
      <w:pPr>
        <w:ind w:left="288"/>
      </w:pPr>
      <w:r>
        <w:rPr>
          <w:color w:val="8C8C8C"/>
          <w:sz w:val="12"/>
        </w:rPr>
        <w:t>cf-art-102-inc-III</w:t>
      </w:r>
    </w:p>
    <w:p>
      <w:pPr>
        <w:ind w:left="288"/>
      </w:pPr>
      <w:r>
        <w:rPr>
          <w:color w:val="1E1E1E"/>
          <w:sz w:val="18"/>
        </w:rPr>
        <w:t>O STF, conhecendo do recurso extraordinário, julgará a causa, aplicando o direito à espécie.</w:t>
      </w:r>
    </w:p>
    <w:p>
      <w:pPr>
        <w:ind w:left="288"/>
      </w:pPr>
      <w:r>
        <w:rPr>
          <w:b/>
          <w:color w:val="003CA0"/>
          <w:sz w:val="16"/>
        </w:rPr>
        <w:t>[Súmula 456.]</w:t>
      </w:r>
    </w:p>
    <w:p>
      <w:pPr>
        <w:ind w:left="288"/>
      </w:pPr>
      <w:r>
        <w:rPr>
          <w:color w:val="8C8C8C"/>
          <w:sz w:val="12"/>
        </w:rPr>
        <w:t>cf-art-102-inc-III</w:t>
      </w:r>
    </w:p>
    <w:p>
      <w:pPr>
        <w:ind w:left="288"/>
      </w:pPr>
      <w:r>
        <w:rPr>
          <w:color w:val="1E1E1E"/>
          <w:sz w:val="18"/>
        </w:rPr>
        <w:t>Simples interpretação de cláusulas contratuais não dá lugar a recurso extraordinário.</w:t>
      </w:r>
    </w:p>
    <w:p>
      <w:pPr>
        <w:ind w:left="288"/>
      </w:pPr>
      <w:r>
        <w:rPr>
          <w:b/>
          <w:color w:val="003CA0"/>
          <w:sz w:val="16"/>
        </w:rPr>
        <w:t>[Súmula 454.]</w:t>
      </w:r>
    </w:p>
    <w:p>
      <w:pPr>
        <w:ind w:left="288"/>
      </w:pPr>
      <w:r>
        <w:rPr>
          <w:color w:val="8C8C8C"/>
          <w:sz w:val="12"/>
        </w:rPr>
        <w:t>cf-art-102-inc-III</w:t>
      </w:r>
    </w:p>
    <w:p>
      <w:pPr>
        <w:ind w:left="288"/>
      </w:pPr>
      <w:r>
        <w:rPr>
          <w:color w:val="1E1E1E"/>
          <w:sz w:val="18"/>
        </w:rPr>
        <w:t>O ponto omisso da decisão, sobre o qual não foram opostos embargos declaratórios, não pode ser objeto de recurso extraordinário, por faltar o requisito do prequestionamento.</w:t>
      </w:r>
    </w:p>
    <w:p>
      <w:pPr>
        <w:ind w:left="288"/>
      </w:pPr>
      <w:r>
        <w:rPr>
          <w:b/>
          <w:color w:val="003CA0"/>
          <w:sz w:val="16"/>
        </w:rPr>
        <w:t>[Súmula 356.]</w:t>
      </w:r>
    </w:p>
    <w:p>
      <w:pPr>
        <w:ind w:left="288"/>
      </w:pPr>
      <w:r>
        <w:rPr>
          <w:color w:val="8C8C8C"/>
          <w:sz w:val="12"/>
        </w:rPr>
        <w:t>cf-art-102-inc-III</w:t>
      </w:r>
    </w:p>
    <w:p>
      <w:pPr>
        <w:ind w:left="288"/>
      </w:pPr>
      <w:r>
        <w:rPr>
          <w:color w:val="1E1E1E"/>
          <w:sz w:val="18"/>
        </w:rPr>
        <w:t>O provimento do agravo por uma das Turmas do STF, ainda que sem ressalva, não prejudica a questão do cabimento do recurso extraordinário.</w:t>
      </w:r>
    </w:p>
    <w:p>
      <w:pPr>
        <w:ind w:left="288"/>
      </w:pPr>
      <w:r>
        <w:rPr>
          <w:b/>
          <w:color w:val="003CA0"/>
          <w:sz w:val="16"/>
        </w:rPr>
        <w:t>[Súmula 289.]</w:t>
      </w:r>
    </w:p>
    <w:p>
      <w:pPr>
        <w:ind w:left="288"/>
      </w:pPr>
      <w:r>
        <w:rPr>
          <w:color w:val="8C8C8C"/>
          <w:sz w:val="12"/>
        </w:rPr>
        <w:t>cf-art-102-inc-III</w:t>
      </w:r>
    </w:p>
    <w:p>
      <w:pPr>
        <w:ind w:left="288"/>
      </w:pPr>
      <w:r>
        <w:rPr>
          <w:color w:val="1E1E1E"/>
          <w:sz w:val="18"/>
        </w:rPr>
        <w:t>Nega-se provimento ao agravo, quando a deficiência na sua fundamentação, ou na do recurso extraordinário, não permitir a exata compreensão da controvérsia.</w:t>
      </w:r>
    </w:p>
    <w:p>
      <w:pPr>
        <w:ind w:left="288"/>
      </w:pPr>
      <w:r>
        <w:rPr>
          <w:b/>
          <w:color w:val="003CA0"/>
          <w:sz w:val="16"/>
        </w:rPr>
        <w:t>[Súmula 287.]</w:t>
      </w:r>
    </w:p>
    <w:p>
      <w:pPr>
        <w:ind w:left="288"/>
      </w:pPr>
      <w:r>
        <w:rPr>
          <w:color w:val="8C8C8C"/>
          <w:sz w:val="12"/>
        </w:rPr>
        <w:t>cf-art-102-inc-III</w:t>
      </w:r>
    </w:p>
    <w:p>
      <w:pPr>
        <w:ind w:left="288"/>
      </w:pPr>
      <w:r>
        <w:rPr>
          <w:color w:val="1E1E1E"/>
          <w:sz w:val="18"/>
        </w:rPr>
        <w:t>Não se conhece do recurso extraordinário fundado em divergência jurisprudencial, quando a orientação do Plenário do STF já se firmou no mesmo sentido da decisão recorrida.</w:t>
      </w:r>
    </w:p>
    <w:p>
      <w:pPr>
        <w:ind w:left="288"/>
      </w:pPr>
      <w:r>
        <w:rPr>
          <w:b/>
          <w:color w:val="003CA0"/>
          <w:sz w:val="16"/>
        </w:rPr>
        <w:t>[Súmula 286.]</w:t>
      </w:r>
    </w:p>
    <w:p>
      <w:pPr>
        <w:ind w:left="288"/>
      </w:pPr>
      <w:r>
        <w:rPr>
          <w:color w:val="8C8C8C"/>
          <w:sz w:val="12"/>
        </w:rPr>
        <w:t>cf-art-102-inc-III</w:t>
      </w:r>
    </w:p>
    <w:p>
      <w:pPr>
        <w:ind w:left="288"/>
      </w:pPr>
      <w:r>
        <w:rPr>
          <w:color w:val="1E1E1E"/>
          <w:sz w:val="18"/>
        </w:rPr>
        <w:t>É inadmissível o recurso extraordinário, quando a deficiência na sua fundamentação não permitir a exata compreensão da controvérsia.</w:t>
      </w:r>
    </w:p>
    <w:p>
      <w:pPr>
        <w:ind w:left="288"/>
      </w:pPr>
      <w:r>
        <w:rPr>
          <w:b/>
          <w:color w:val="003CA0"/>
          <w:sz w:val="16"/>
        </w:rPr>
        <w:t>[Súmula 284.]</w:t>
      </w:r>
    </w:p>
    <w:p>
      <w:pPr>
        <w:ind w:left="288"/>
      </w:pPr>
      <w:r>
        <w:rPr>
          <w:color w:val="8C8C8C"/>
          <w:sz w:val="12"/>
        </w:rPr>
        <w:t>cf-art-102-inc-III</w:t>
      </w:r>
    </w:p>
    <w:p>
      <w:pPr>
        <w:ind w:left="288"/>
      </w:pPr>
      <w:r>
        <w:rPr>
          <w:color w:val="1E1E1E"/>
          <w:sz w:val="18"/>
        </w:rPr>
        <w:t>É inadmissível o recurso extraordinário, quando a decisão recorrida assenta em mais de um fundamento suficiente e o recurso não abrange todos eles.</w:t>
      </w:r>
    </w:p>
    <w:p>
      <w:pPr>
        <w:ind w:left="288"/>
      </w:pPr>
      <w:r>
        <w:rPr>
          <w:b/>
          <w:color w:val="003CA0"/>
          <w:sz w:val="16"/>
        </w:rPr>
        <w:t>[Súmula 283.]</w:t>
      </w:r>
    </w:p>
    <w:p>
      <w:pPr>
        <w:ind w:left="288"/>
      </w:pPr>
      <w:r>
        <w:rPr>
          <w:color w:val="8C8C8C"/>
          <w:sz w:val="12"/>
        </w:rPr>
        <w:t>cf-art-102-inc-III</w:t>
      </w:r>
    </w:p>
    <w:p>
      <w:pPr>
        <w:ind w:left="288"/>
      </w:pPr>
      <w:r>
        <w:rPr>
          <w:color w:val="1E1E1E"/>
          <w:sz w:val="18"/>
        </w:rPr>
        <w:t>É inadmissível o recurso extraordinário, quando não ventilada, na decisão recorrida, a questão federal suscitada.</w:t>
      </w:r>
    </w:p>
    <w:p>
      <w:pPr>
        <w:ind w:left="288"/>
      </w:pPr>
      <w:r>
        <w:rPr>
          <w:b/>
          <w:color w:val="003CA0"/>
          <w:sz w:val="16"/>
        </w:rPr>
        <w:t>[Súmula 282.]</w:t>
      </w:r>
    </w:p>
    <w:p>
      <w:pPr>
        <w:ind w:left="288"/>
      </w:pPr>
      <w:r>
        <w:rPr>
          <w:color w:val="8C8C8C"/>
          <w:sz w:val="12"/>
        </w:rPr>
        <w:t>cf-art-102-inc-III</w:t>
      </w:r>
    </w:p>
    <w:p>
      <w:pPr>
        <w:ind w:left="288"/>
      </w:pPr>
      <w:r>
        <w:rPr>
          <w:color w:val="1E1E1E"/>
          <w:sz w:val="18"/>
        </w:rPr>
        <w:t>É inadmissível o recurso extraordinário, quando couber na justiça de origem, recurso ordinário da decisão impugnada.</w:t>
      </w:r>
    </w:p>
    <w:p>
      <w:pPr>
        <w:ind w:left="288"/>
      </w:pPr>
      <w:r>
        <w:rPr>
          <w:b/>
          <w:color w:val="003CA0"/>
          <w:sz w:val="16"/>
        </w:rPr>
        <w:t>[Súmula 281.]</w:t>
      </w:r>
    </w:p>
    <w:p>
      <w:pPr>
        <w:ind w:left="288"/>
      </w:pPr>
      <w:r>
        <w:rPr>
          <w:color w:val="8C8C8C"/>
          <w:sz w:val="12"/>
        </w:rPr>
        <w:t>cf-art-102-inc-III</w:t>
      </w:r>
    </w:p>
    <w:p>
      <w:pPr>
        <w:ind w:left="288"/>
      </w:pPr>
      <w:r>
        <w:rPr>
          <w:color w:val="1E1E1E"/>
          <w:sz w:val="18"/>
        </w:rPr>
        <w:t>Por ofensa a direito local não cabe recurso extraordinário.</w:t>
      </w:r>
    </w:p>
    <w:p>
      <w:pPr>
        <w:ind w:left="288"/>
      </w:pPr>
      <w:r>
        <w:rPr>
          <w:b/>
          <w:color w:val="003CA0"/>
          <w:sz w:val="16"/>
        </w:rPr>
        <w:t>[Súmula 280.]</w:t>
      </w:r>
    </w:p>
    <w:p>
      <w:pPr>
        <w:ind w:left="288"/>
      </w:pPr>
      <w:r>
        <w:rPr>
          <w:color w:val="8C8C8C"/>
          <w:sz w:val="12"/>
        </w:rPr>
        <w:t>cf-art-102-inc-III</w:t>
      </w:r>
    </w:p>
    <w:p>
      <w:pPr>
        <w:ind w:left="288"/>
      </w:pPr>
      <w:r>
        <w:rPr>
          <w:color w:val="1E1E1E"/>
          <w:sz w:val="18"/>
        </w:rPr>
        <w:t>Para simples reexame de prova não cabe recurso extraordinário.</w:t>
      </w:r>
    </w:p>
    <w:p>
      <w:pPr>
        <w:ind w:left="288"/>
      </w:pPr>
      <w:r>
        <w:rPr>
          <w:b/>
          <w:color w:val="003CA0"/>
          <w:sz w:val="16"/>
        </w:rPr>
        <w:t>[Súmula 279.]</w:t>
      </w:r>
    </w:p>
    <w:p>
      <w:pPr>
        <w:ind w:left="144"/>
      </w:pPr>
      <w:r>
        <w:rPr>
          <w:b/>
          <w:color w:val="B45A00"/>
          <w:sz w:val="16"/>
        </w:rPr>
        <w:t>REPERCUSSAO GERAL</w:t>
      </w:r>
    </w:p>
    <w:p>
      <w:pPr>
        <w:ind w:left="288"/>
      </w:pPr>
      <w:r>
        <w:rPr>
          <w:color w:val="8C8C8C"/>
          <w:sz w:val="12"/>
        </w:rPr>
        <w:t>cf-art-102-inc-III</w:t>
      </w:r>
      <w:r>
        <w:rPr>
          <w:color w:val="003CA0"/>
          <w:sz w:val="12"/>
        </w:rPr>
        <w:t xml:space="preserve"> | RE 607.447</w:t>
      </w:r>
      <w:r>
        <w:rPr>
          <w:color w:val="003CA0"/>
          <w:sz w:val="12"/>
        </w:rPr>
        <w:t xml:space="preserve"> | rel. Marco Aurélio</w:t>
      </w:r>
    </w:p>
    <w:p>
      <w:pPr>
        <w:ind w:left="288"/>
      </w:pPr>
      <w:r>
        <w:rPr>
          <w:color w:val="1E1E1E"/>
          <w:sz w:val="18"/>
        </w:rPr>
        <w:t>Surge incompatível com a Constituição Federal exigência de depósito prévio como condição de admissibilidade do recurso extraordinário, no que não recepcionada a previsão constante do § 1º do artigo 899 da Consolidação das Leis do Trabalho, sendo inconstitucional a contida na cabeça do artigo 40 da Lei 8.177 e, por arrastamento, no inciso II da Instrução Normativa 3/1993 do Tribunal Superior do Trabalho.</w:t>
      </w:r>
    </w:p>
    <w:p>
      <w:pPr>
        <w:ind w:left="288"/>
      </w:pPr>
      <w:r>
        <w:rPr>
          <w:b/>
          <w:color w:val="003CA0"/>
          <w:sz w:val="16"/>
        </w:rPr>
        <w:t>[RE 607.447, rel. min. Marco Aurélio, j. 22-5-2020, P, DJE de 3-6-2020, Tema 679, com mérito julgado.]</w:t>
      </w:r>
    </w:p>
    <w:p>
      <w:pPr>
        <w:ind w:left="144"/>
      </w:pPr>
      <w:r>
        <w:rPr>
          <w:b/>
          <w:color w:val="B45A00"/>
          <w:sz w:val="16"/>
        </w:rPr>
        <w:t>JULGADOS CORRELATOS</w:t>
      </w:r>
    </w:p>
    <w:p>
      <w:pPr>
        <w:ind w:left="288"/>
      </w:pPr>
      <w:r>
        <w:rPr>
          <w:color w:val="8C8C8C"/>
          <w:sz w:val="12"/>
        </w:rPr>
        <w:t>cf-art-102-inc-III</w:t>
      </w:r>
      <w:r>
        <w:rPr>
          <w:color w:val="003CA0"/>
          <w:sz w:val="12"/>
        </w:rPr>
        <w:t xml:space="preserve"> | AC 4.020</w:t>
      </w:r>
      <w:r>
        <w:rPr>
          <w:color w:val="003CA0"/>
          <w:sz w:val="12"/>
        </w:rPr>
        <w:t xml:space="preserve"> | rel. Edson Fachin</w:t>
      </w:r>
    </w:p>
    <w:p>
      <w:pPr>
        <w:ind w:left="288"/>
      </w:pPr>
      <w:r>
        <w:rPr>
          <w:color w:val="1E1E1E"/>
          <w:sz w:val="18"/>
        </w:rPr>
        <w:t>Em juízo preambular, verifica-se que a hipótese dos autos da ação principal guarda similitude com recurso-paradigma da sistemática da repercussão geral. Logo, há plausibilidade jurídica nas alegações da parte autora da ação cautelar. Constata-se excepcionalidade no presente feito com aptidão para propiciar o deferimento da medida acauteladora pleiteada.</w:t>
      </w:r>
    </w:p>
    <w:p>
      <w:pPr>
        <w:ind w:left="288"/>
      </w:pPr>
      <w:r>
        <w:rPr>
          <w:b/>
          <w:color w:val="003CA0"/>
          <w:sz w:val="16"/>
        </w:rPr>
        <w:t>[AC 4.020 MC-AgR, rel. min. Edson Fachin, j. 23-9-2016, 1ª T, DJE de 6-10-2016.]</w:t>
      </w:r>
    </w:p>
    <w:p>
      <w:pPr>
        <w:ind w:left="288"/>
      </w:pPr>
      <w:r>
        <w:rPr>
          <w:color w:val="8C8C8C"/>
          <w:sz w:val="12"/>
        </w:rPr>
        <w:t>cf-art-102-inc-III</w:t>
      </w:r>
      <w:r>
        <w:rPr>
          <w:color w:val="003CA0"/>
          <w:sz w:val="12"/>
        </w:rPr>
        <w:t xml:space="preserve"> | RE 882.025</w:t>
      </w:r>
      <w:r>
        <w:rPr>
          <w:color w:val="003CA0"/>
          <w:sz w:val="12"/>
        </w:rPr>
        <w:t xml:space="preserve"> | rel. Ricardo Lewandowski</w:t>
      </w:r>
    </w:p>
    <w:p>
      <w:pPr>
        <w:ind w:left="288"/>
      </w:pPr>
      <w:r>
        <w:rPr>
          <w:color w:val="1E1E1E"/>
          <w:sz w:val="18"/>
        </w:rPr>
        <w:t>A jurisprudência desta Corte considera inadmissível o recurso extraordinário interposto contra decisão proferida por turma recursal dos juizados especiais federais antes do julgamento de pedido de uniformização interposto concomitantemente contra essa mesma decisão.</w:t>
      </w:r>
    </w:p>
    <w:p>
      <w:pPr>
        <w:ind w:left="288"/>
      </w:pPr>
      <w:r>
        <w:rPr>
          <w:b/>
          <w:color w:val="003CA0"/>
          <w:sz w:val="16"/>
        </w:rPr>
        <w:t>[RE 882.025 AgR, rel. min. Ricardo Lewandowski, j. 17-6-2015, P, DJE de 10-8-2015.]</w:t>
      </w:r>
    </w:p>
    <w:p>
      <w:pPr>
        <w:ind w:left="288"/>
      </w:pPr>
      <w:r>
        <w:rPr>
          <w:color w:val="8C8C8C"/>
          <w:sz w:val="12"/>
        </w:rPr>
        <w:t>cf-art-102-inc-III</w:t>
      </w:r>
      <w:r>
        <w:rPr>
          <w:color w:val="003CA0"/>
          <w:sz w:val="12"/>
        </w:rPr>
        <w:t xml:space="preserve"> | ARE 739.851</w:t>
      </w:r>
      <w:r>
        <w:rPr>
          <w:color w:val="003CA0"/>
          <w:sz w:val="12"/>
        </w:rPr>
        <w:t xml:space="preserve"> | rel. Teori Zavascki</w:t>
      </w:r>
    </w:p>
    <w:p>
      <w:pPr>
        <w:ind w:left="288"/>
      </w:pPr>
      <w:r>
        <w:rPr>
          <w:color w:val="1E1E1E"/>
          <w:sz w:val="18"/>
        </w:rPr>
        <w:t>A jurisprudência do STF é firme no sentido de que a regra da retenção do recurso extraordinário disposta no art. 542, § 3º, do CPC só pode ser afastada em hipóteses excepcionais, nas quais se mostra irrecusável o processamento do apelo para evitar que o julgamento postergado acarrete o prejuízo do próprio recurso ou a ineficácia do futuro julgamento do mesmo (...).</w:t>
      </w:r>
    </w:p>
    <w:p>
      <w:pPr>
        <w:ind w:left="288"/>
      </w:pPr>
      <w:r>
        <w:rPr>
          <w:b/>
          <w:color w:val="003CA0"/>
          <w:sz w:val="16"/>
        </w:rPr>
        <w:t>[ARE 739.851 AgR, rel. min. Teori Zavascki, j. 29-4-2014, 2ª T, DJE de 13-5-2014.]</w:t>
      </w:r>
    </w:p>
    <w:p>
      <w:pPr>
        <w:ind w:left="288"/>
      </w:pPr>
      <w:r>
        <w:rPr>
          <w:color w:val="8C8C8C"/>
          <w:sz w:val="12"/>
        </w:rPr>
        <w:t>cf-art-102-inc-III</w:t>
      </w:r>
      <w:r>
        <w:rPr>
          <w:color w:val="003CA0"/>
          <w:sz w:val="12"/>
        </w:rPr>
        <w:t xml:space="preserve"> | AC 1.801</w:t>
      </w:r>
      <w:r>
        <w:rPr>
          <w:color w:val="003CA0"/>
          <w:sz w:val="12"/>
        </w:rPr>
        <w:t xml:space="preserve"> | rel. Celso de Mello</w:t>
      </w:r>
    </w:p>
    <w:p>
      <w:pPr>
        <w:ind w:left="288"/>
      </w:pPr>
      <w:r>
        <w:rPr>
          <w:color w:val="1E1E1E"/>
          <w:sz w:val="18"/>
        </w:rPr>
        <w:t>Vide AC 1.801 QO, rel. min. Celso de Mello, j. 16-10-2007, 2ª T, DJE de 13-5-2013 São autônomos os acórdãos proferidos em agravo de instrumento e em recurso de revista, ainda que formalizados em um mesmo documento. A interposição de recurso de embargos (CLT, art. 894) contra o acórdão do recurso de revista não impede a impugnação imediata, por recurso extraordinário, do acórdão relativo ao agravo de instrumento. O julgamento dos embargos pode dar ensejo à interposição de outro extraordinário, sem que disso resulte, por si só, a inviabilidade de qualquer um deles.</w:t>
      </w:r>
    </w:p>
    <w:p>
      <w:pPr>
        <w:ind w:left="288"/>
      </w:pPr>
      <w:r>
        <w:rPr>
          <w:b/>
          <w:color w:val="003CA0"/>
          <w:sz w:val="16"/>
        </w:rPr>
        <w:t>[RE 562.900 AgR, rel. p/ o ac. min. Roberto Barroso, j. 26-11-2013, 1ª T, DJE de 6-2-2014.]</w:t>
      </w:r>
    </w:p>
    <w:p>
      <w:pPr>
        <w:ind w:left="288"/>
      </w:pPr>
      <w:r>
        <w:rPr>
          <w:color w:val="8C8C8C"/>
          <w:sz w:val="12"/>
        </w:rPr>
        <w:t>cf-art-102-inc-III</w:t>
      </w:r>
      <w:r>
        <w:rPr>
          <w:color w:val="003CA0"/>
          <w:sz w:val="12"/>
        </w:rPr>
        <w:t xml:space="preserve"> | RE 740.263</w:t>
      </w:r>
      <w:r>
        <w:rPr>
          <w:color w:val="003CA0"/>
          <w:sz w:val="12"/>
        </w:rPr>
        <w:t xml:space="preserve"> | rel. Marco Aurélio</w:t>
      </w:r>
    </w:p>
    <w:p>
      <w:pPr>
        <w:ind w:left="288"/>
      </w:pPr>
      <w:r>
        <w:rPr>
          <w:color w:val="1E1E1E"/>
          <w:sz w:val="18"/>
        </w:rPr>
        <w:t>O pronunciamento da turma recursal no incidente de uniformização não é impugnável mediante o extraordinário. Este somente se mostra cabível contra a decisão que aprecia o recurso por meio do qual se ataca o ato do juízo.</w:t>
      </w:r>
    </w:p>
    <w:p>
      <w:pPr>
        <w:ind w:left="288"/>
      </w:pPr>
      <w:r>
        <w:rPr>
          <w:b/>
          <w:color w:val="003CA0"/>
          <w:sz w:val="16"/>
        </w:rPr>
        <w:t>[RE 740.263 AgR, rel. min. Marco Aurélio, j. 8-10-2013, 1ª T, DJE de 25-10-2013.]</w:t>
      </w:r>
    </w:p>
    <w:p>
      <w:pPr>
        <w:ind w:left="288"/>
      </w:pPr>
      <w:r>
        <w:rPr>
          <w:color w:val="8C8C8C"/>
          <w:sz w:val="12"/>
        </w:rPr>
        <w:t>cf-art-102-inc-III</w:t>
      </w:r>
      <w:r>
        <w:rPr>
          <w:color w:val="003CA0"/>
          <w:sz w:val="12"/>
        </w:rPr>
        <w:t xml:space="preserve"> | AI 694.299</w:t>
      </w:r>
      <w:r>
        <w:rPr>
          <w:color w:val="003CA0"/>
          <w:sz w:val="12"/>
        </w:rPr>
        <w:t xml:space="preserve"> | rel. Dias Toffoli</w:t>
      </w:r>
    </w:p>
    <w:p>
      <w:pPr>
        <w:ind w:left="288"/>
      </w:pPr>
      <w:r>
        <w:rPr>
          <w:color w:val="1E1E1E"/>
          <w:sz w:val="18"/>
        </w:rPr>
        <w:t>Para que seja admissível recurso extraordinário de ação direta de inconstitucionalidade processada no âmbito do tribunal local, é imprescindível que o parâmetro de controle normativo local corresponda à norma de repetição obrigatória da CF. Inadmissível, em recurso extraordinário, a análise da legislação local. Incidência da Súmula 280 do STF.</w:t>
      </w:r>
    </w:p>
    <w:p>
      <w:pPr>
        <w:ind w:left="288"/>
      </w:pPr>
      <w:r>
        <w:rPr>
          <w:b/>
          <w:color w:val="003CA0"/>
          <w:sz w:val="16"/>
        </w:rPr>
        <w:t>[AI 694.299 AgR, rel. min. Dias Toffoli, j. 13-8-2013, 1ª T, DJE de 17-2-2014.]</w:t>
      </w:r>
    </w:p>
    <w:p>
      <w:pPr>
        <w:ind w:left="288"/>
      </w:pPr>
      <w:r>
        <w:rPr>
          <w:color w:val="8C8C8C"/>
          <w:sz w:val="12"/>
        </w:rPr>
        <w:t>cf-art-102-inc-III</w:t>
      </w:r>
      <w:r>
        <w:rPr>
          <w:color w:val="003CA0"/>
          <w:sz w:val="12"/>
        </w:rPr>
        <w:t xml:space="preserve"> | RCL 383</w:t>
      </w:r>
      <w:r>
        <w:rPr>
          <w:color w:val="003CA0"/>
          <w:sz w:val="12"/>
        </w:rPr>
        <w:t xml:space="preserve"> | rel. Moreira Alves</w:t>
      </w:r>
    </w:p>
    <w:p>
      <w:pPr>
        <w:ind w:left="288"/>
      </w:pPr>
      <w:r>
        <w:rPr>
          <w:color w:val="1E1E1E"/>
          <w:sz w:val="18"/>
        </w:rPr>
        <w:t>Vide Rcl 383, rel. min. Moreira Alves, j. 11-6-1992, P, DJ de 21-5-1993 A jurisprudência do STF firmou-se no sentido de que é incabível recurso extraordinário em face de decisão proferida em procedimento de representação pela perda de graduação de praça, tendo em vista seu caráter meramente administrativo. Com efeito, nos termos do art. 102, III, a, da CF, o recurso extraordinário tem cabimento em face de "causas decididas em única ou última instância" e, portanto, demanda que encerre conteúdo tipicamente jurisdicional, isto é, seja oriundo do exercício de típica função jurisdicional.</w:t>
      </w:r>
    </w:p>
    <w:p>
      <w:pPr>
        <w:ind w:left="288"/>
      </w:pPr>
      <w:r>
        <w:rPr>
          <w:b/>
          <w:color w:val="003CA0"/>
          <w:sz w:val="16"/>
        </w:rPr>
        <w:t>[AI 856.313, rel. min. Luiz Fux, j. 6-8-2012, dec. monocrática, DJE de 13-8-2012.]</w:t>
      </w:r>
    </w:p>
    <w:p>
      <w:pPr>
        <w:ind w:left="288"/>
      </w:pPr>
      <w:r>
        <w:rPr>
          <w:color w:val="8C8C8C"/>
          <w:sz w:val="12"/>
        </w:rPr>
        <w:t>cf-art-102-inc-III</w:t>
      </w:r>
      <w:r>
        <w:rPr>
          <w:color w:val="003CA0"/>
          <w:sz w:val="12"/>
        </w:rPr>
        <w:t xml:space="preserve"> | RE 626.358</w:t>
      </w:r>
      <w:r>
        <w:rPr>
          <w:color w:val="003CA0"/>
          <w:sz w:val="12"/>
        </w:rPr>
        <w:t xml:space="preserve"> | rel. Cezar Peluso</w:t>
      </w:r>
    </w:p>
    <w:p>
      <w:pPr>
        <w:ind w:left="288"/>
      </w:pPr>
      <w:r>
        <w:rPr>
          <w:color w:val="1E1E1E"/>
          <w:sz w:val="18"/>
        </w:rPr>
        <w:t>Recurso. Extraordinário. Prazo. Cômputo. Intercorrência de causa legal de prorrogação. Termo final diferido. Suspensão legal do expediente forense no juízo de origem. Interposição do recurso no termo prorrogado. Prova da causa de prorrogação só juntada em agravo regimental. Admissibilidade. Presunção de boa-fé do recorrente. Tempestividade reconhecida. Mudança de entendimento do Plenário da Corte. (...) Pode a parte fazer eficazmente, perante o Supremo, em agravo regimental, prova de causa local de prorrogação do prazo de interposição e da consequente tempestividade de recurso extraordinário.</w:t>
      </w:r>
    </w:p>
    <w:p>
      <w:pPr>
        <w:ind w:left="288"/>
      </w:pPr>
      <w:r>
        <w:rPr>
          <w:b/>
          <w:color w:val="003CA0"/>
          <w:sz w:val="16"/>
        </w:rPr>
        <w:t>[RE 626.358 AgR, rel. min. Cezar Peluso, j. 22-3-2012, P, DJE de 23-8-2012.]</w:t>
      </w:r>
    </w:p>
    <w:p>
      <w:pPr>
        <w:ind w:left="288"/>
      </w:pPr>
      <w:r>
        <w:rPr>
          <w:color w:val="8C8C8C"/>
          <w:sz w:val="12"/>
        </w:rPr>
        <w:t>cf-art-102-inc-III</w:t>
      </w:r>
      <w:r>
        <w:rPr>
          <w:color w:val="003CA0"/>
          <w:sz w:val="12"/>
        </w:rPr>
        <w:t xml:space="preserve"> | RE 700.529</w:t>
      </w:r>
      <w:r>
        <w:rPr>
          <w:color w:val="003CA0"/>
          <w:sz w:val="12"/>
        </w:rPr>
        <w:t xml:space="preserve"> | rel. Teori Zavascki</w:t>
      </w:r>
    </w:p>
    <w:p>
      <w:pPr>
        <w:ind w:left="288"/>
      </w:pPr>
      <w:r>
        <w:rPr>
          <w:color w:val="1E1E1E"/>
          <w:sz w:val="18"/>
        </w:rPr>
        <w:t>= RE 700.529 AgR-ED, rel. min. Teori Zavascki, j. 10-3-2015, 2ª T, DJE de 24-3-2015 (...) descabe a arguição de inadmissibilidade do recurso extraordinário se a ausência nos autos do acórdão recorrido, ou das respectivas notas taquigráficas, é imputável exclusivamente aos próprios órgãos do Poder Judiciário, como se passa com a figura da "publicação em sessão" em vigor no direito processual eleitoral, segundo o art. 11, § 2º, da LC 64/1990 em conjugação com o art. 8º, caput e parágrafo único, da Resolução/TSE 23.172/2009.</w:t>
      </w:r>
    </w:p>
    <w:p>
      <w:pPr>
        <w:ind w:left="288"/>
      </w:pPr>
      <w:r>
        <w:rPr>
          <w:b/>
          <w:color w:val="003CA0"/>
          <w:sz w:val="16"/>
        </w:rPr>
        <w:t>[RE 636.359 AgR-segundo, rel. min. Luiz Fux, j. 3-11-2011, P, DJE de 25-11-2011.]</w:t>
      </w:r>
    </w:p>
    <w:p>
      <w:pPr>
        <w:ind w:left="288"/>
      </w:pPr>
      <w:r>
        <w:rPr>
          <w:color w:val="8C8C8C"/>
          <w:sz w:val="12"/>
        </w:rPr>
        <w:t>cf-art-102-inc-III</w:t>
      </w:r>
      <w:r>
        <w:rPr>
          <w:color w:val="003CA0"/>
          <w:sz w:val="12"/>
        </w:rPr>
        <w:t xml:space="preserve"> | AI 497.477</w:t>
      </w:r>
      <w:r>
        <w:rPr>
          <w:color w:val="003CA0"/>
          <w:sz w:val="12"/>
        </w:rPr>
        <w:t xml:space="preserve"> | rel. Cezar Peluso). [AI 658.519 AgR-ED</w:t>
      </w:r>
    </w:p>
    <w:p>
      <w:pPr>
        <w:ind w:left="288"/>
      </w:pPr>
      <w:r>
        <w:rPr>
          <w:color w:val="1E1E1E"/>
          <w:sz w:val="18"/>
        </w:rPr>
        <w:t>Conforme entendimento predominante nesta nossa Casa de Justiça, o prazo para recorrer só começa a fluir com a publicação da decisão no órgão oficial, sendo prematuro o recurso que a antecede. Entendimento quebrantado, tão somente, naquelas hipóteses em que a decisão recorrida já está materializada nos autos do processo no momento da interposição do recurso, dela tendo tomado ciência a parte recorrente (AI 497.477 AgR, rel. min. Cezar Peluso).</w:t>
      </w:r>
    </w:p>
    <w:p>
      <w:pPr>
        <w:ind w:left="288"/>
      </w:pPr>
      <w:r>
        <w:rPr>
          <w:b/>
          <w:color w:val="003CA0"/>
          <w:sz w:val="16"/>
        </w:rPr>
        <w:t>[AI 658.519 AgR-ED, rel. min. Ayres Britto, j. 7-6-2011, 2ª T, DJE de 9-9-2011.]</w:t>
      </w:r>
    </w:p>
    <w:p>
      <w:pPr>
        <w:ind w:left="288"/>
      </w:pPr>
      <w:r>
        <w:rPr>
          <w:color w:val="8C8C8C"/>
          <w:sz w:val="12"/>
        </w:rPr>
        <w:t>cf-art-102-inc-III</w:t>
      </w:r>
      <w:r>
        <w:rPr>
          <w:color w:val="003CA0"/>
          <w:sz w:val="12"/>
        </w:rPr>
        <w:t xml:space="preserve"> | RE 510.633</w:t>
      </w:r>
      <w:r>
        <w:rPr>
          <w:color w:val="003CA0"/>
          <w:sz w:val="12"/>
        </w:rPr>
        <w:t xml:space="preserve"> | rel. Marco Aurélio</w:t>
      </w:r>
    </w:p>
    <w:p>
      <w:pPr>
        <w:ind w:left="288"/>
      </w:pPr>
      <w:r>
        <w:rPr>
          <w:color w:val="1E1E1E"/>
          <w:sz w:val="18"/>
        </w:rPr>
        <w:t>Os embargos declaratórios visam ao esclarecimento ou à integração da decisão embargada. A eficácia interruptiva do prazo para interposição de qualquer outro recurso é bilateral. Beneficia quer o embargante, quer o litisconsorte respectivo, quer a parte contrária. Então, de início, surgem dois aspectos relevantes. Em primeiro lugar, há de se perquirir se o extraordinário protocolado tinha, à época, objeto. Em segundo lugar, deve-se considerar o desfecho dos declaratórios, ou seja, o provimento ou o desprovimento ocorrido. No caso, foram desprovidos. Vale dizer: a situação jurídica impugnada med</w:t>
      </w:r>
    </w:p>
    <w:p>
      <w:pPr>
        <w:ind w:left="288"/>
      </w:pPr>
      <w:r>
        <w:rPr>
          <w:b/>
          <w:color w:val="003CA0"/>
          <w:sz w:val="16"/>
        </w:rPr>
        <w:t>[RE 510.633 AgR, voto do rel. min. Marco Aurélio, j. 13-4-2011, 1ª T, DJE de 18-5-2011.]</w:t>
      </w:r>
    </w:p>
    <w:p>
      <w:pPr>
        <w:ind w:left="288"/>
      </w:pPr>
      <w:r>
        <w:rPr>
          <w:color w:val="8C8C8C"/>
          <w:sz w:val="12"/>
        </w:rPr>
        <w:t>cf-art-102-inc-III</w:t>
      </w:r>
      <w:r>
        <w:rPr>
          <w:color w:val="003CA0"/>
          <w:sz w:val="12"/>
        </w:rPr>
        <w:t xml:space="preserve"> | AI 618.232</w:t>
      </w:r>
      <w:r>
        <w:rPr>
          <w:color w:val="003CA0"/>
          <w:sz w:val="12"/>
        </w:rPr>
        <w:t xml:space="preserve"> | rel. Cezar Peluso</w:t>
      </w:r>
    </w:p>
    <w:p>
      <w:pPr>
        <w:ind w:left="288"/>
      </w:pPr>
      <w:r>
        <w:rPr>
          <w:color w:val="1E1E1E"/>
          <w:sz w:val="18"/>
        </w:rPr>
        <w:t>≠ AI 618.232 AgR, rel. min. Cezar Peluso, j. 3-11-2009, 2ª T, DJE de 27-11-2009 Princípio da unicidade recursal. Afastamento. Interposição simultânea dos recursos extraordinário e especial. Preferência no julgamento. Preclusão da decisão do STJ. Ausência de prejuízo ao extraordinário. O fato de o STJ, julgando o recurso especial ou o agravo que tenha sido protocolado visando a imprimir-lhe trânsito, haver decidido sob o ângulo estritamente legal não implica preclusão presente o extraordinário simultaneamente interposto contra o dispositivo do acórdão alicerçado em preceitos constitucionais.</w:t>
      </w:r>
    </w:p>
    <w:p>
      <w:pPr>
        <w:ind w:left="288"/>
      </w:pPr>
      <w:r>
        <w:rPr>
          <w:b/>
          <w:color w:val="003CA0"/>
          <w:sz w:val="16"/>
        </w:rPr>
        <w:t>[RE 505.921 AgR, rel. min. Marco Aurélio, j. 13-4-2011, 1ª T, DJE de 18-5-2011.]</w:t>
      </w:r>
    </w:p>
    <w:p>
      <w:pPr>
        <w:ind w:left="288"/>
      </w:pPr>
      <w:r>
        <w:rPr>
          <w:color w:val="8C8C8C"/>
          <w:sz w:val="12"/>
        </w:rPr>
        <w:t>cf-art-102-inc-III</w:t>
      </w:r>
      <w:r>
        <w:rPr>
          <w:color w:val="003CA0"/>
          <w:sz w:val="12"/>
        </w:rPr>
        <w:t xml:space="preserve"> | RE 495.560</w:t>
      </w:r>
      <w:r>
        <w:rPr>
          <w:color w:val="003CA0"/>
          <w:sz w:val="12"/>
        </w:rPr>
        <w:t xml:space="preserve"> | rel. Marco Aurélio</w:t>
      </w:r>
    </w:p>
    <w:p>
      <w:pPr>
        <w:ind w:left="288"/>
      </w:pPr>
      <w:r>
        <w:rPr>
          <w:color w:val="1E1E1E"/>
          <w:sz w:val="18"/>
        </w:rPr>
        <w:t>Vide RE 495.560 AgR, rel. min. Marco Aurélio, j. 17-3-2009, 1ª T, DJE de 24-4-2009 Impossibilidade de homologação de pedido de desistência da ação ou de renúncia ao direito sobre o qual se funda a ação apresentado após o julgamento do recurso extraordinário, ainda que a decisão não tenha sido publicada.</w:t>
      </w:r>
    </w:p>
    <w:p>
      <w:pPr>
        <w:ind w:left="288"/>
      </w:pPr>
      <w:r>
        <w:rPr>
          <w:b/>
          <w:color w:val="003CA0"/>
          <w:sz w:val="16"/>
        </w:rPr>
        <w:t>[RE 451.289 AgR-AgR, rel. min. Ricardo Lewandowski, j. 22-2-2011, 1ª T, DJE de 15-3-2011.]</w:t>
      </w:r>
    </w:p>
    <w:p>
      <w:pPr>
        <w:ind w:left="288"/>
      </w:pPr>
      <w:r>
        <w:rPr>
          <w:color w:val="8C8C8C"/>
          <w:sz w:val="12"/>
        </w:rPr>
        <w:t>cf-art-102-inc-III</w:t>
      </w:r>
      <w:r>
        <w:rPr>
          <w:color w:val="003CA0"/>
          <w:sz w:val="12"/>
        </w:rPr>
        <w:t xml:space="preserve"> | RE 144.972</w:t>
      </w:r>
      <w:r>
        <w:rPr>
          <w:color w:val="003CA0"/>
          <w:sz w:val="12"/>
        </w:rPr>
        <w:t xml:space="preserve"> | rel. Ilmar Galvão</w:t>
      </w:r>
    </w:p>
    <w:p>
      <w:pPr>
        <w:ind w:left="288"/>
      </w:pPr>
      <w:r>
        <w:rPr>
          <w:color w:val="1E1E1E"/>
          <w:sz w:val="18"/>
        </w:rPr>
        <w:t>Vide RE 144.972 QO, rel. min. Ilmar Galvão, j. 9-5-1995, 1ª T, DJ de 22-9-1995 Inaplicabilidade da Lei 12.322/2010 ao agravo de instrumento formado antes de sua publicação. Irretroatividade da lei processual.</w:t>
      </w:r>
    </w:p>
    <w:p>
      <w:pPr>
        <w:ind w:left="288"/>
      </w:pPr>
      <w:r>
        <w:rPr>
          <w:b/>
          <w:color w:val="003CA0"/>
          <w:sz w:val="16"/>
        </w:rPr>
        <w:t>[AI 828.091 AgR, rel. min. Cármen Lúcia, j. 8-2-2011, 1ª T, DJE de 2-3-2011.]</w:t>
      </w:r>
    </w:p>
    <w:p>
      <w:pPr>
        <w:ind w:left="288"/>
      </w:pPr>
      <w:r>
        <w:rPr>
          <w:color w:val="8C8C8C"/>
          <w:sz w:val="12"/>
        </w:rPr>
        <w:t>cf-art-102-inc-III</w:t>
      </w:r>
      <w:r>
        <w:rPr>
          <w:color w:val="003CA0"/>
          <w:sz w:val="12"/>
        </w:rPr>
        <w:t xml:space="preserve"> | AI 796.721</w:t>
      </w:r>
      <w:r>
        <w:rPr>
          <w:color w:val="003CA0"/>
          <w:sz w:val="12"/>
        </w:rPr>
        <w:t xml:space="preserve"> | rel. Joaquim Barbosa</w:t>
      </w:r>
    </w:p>
    <w:p>
      <w:pPr>
        <w:ind w:left="288"/>
      </w:pPr>
      <w:r>
        <w:rPr>
          <w:color w:val="1E1E1E"/>
          <w:sz w:val="18"/>
        </w:rPr>
        <w:t>= AI 796.721 AgR-ED, rel. min. Joaquim Barbosa, j. 22-11-2011, 2ª T, DJE de 12-12-2011 Nos casos em que foram interpostos simultaneamente recursos especial e extraordinário, ambos inadmitidos, e interpostos agravos de instrumento a fim de processá-los, a corte a quo deve reter o agravo de instrumento no recurso extraordinário e somente enviá-lo ao STF após a decisão definitiva do STJ pelo não provimento do agravo de instrumento ou posteriormente à decisão definitiva do próprio recurso especial.</w:t>
      </w:r>
    </w:p>
    <w:p>
      <w:pPr>
        <w:ind w:left="288"/>
      </w:pPr>
      <w:r>
        <w:rPr>
          <w:b/>
          <w:color w:val="003CA0"/>
          <w:sz w:val="16"/>
        </w:rPr>
        <w:t>[Rcl 9.645 AgR, rel. min. Ricardo Lewandowski, j. 9-12-2010, P, DJE de 9-2-2011.]</w:t>
      </w:r>
    </w:p>
    <w:p>
      <w:pPr>
        <w:ind w:left="288"/>
      </w:pPr>
      <w:r>
        <w:rPr>
          <w:color w:val="8C8C8C"/>
          <w:sz w:val="12"/>
        </w:rPr>
        <w:t>cf-art-102-inc-III</w:t>
      </w:r>
      <w:r>
        <w:rPr>
          <w:color w:val="003CA0"/>
          <w:sz w:val="12"/>
        </w:rPr>
        <w:t xml:space="preserve"> | AI 584.364</w:t>
      </w:r>
      <w:r>
        <w:rPr>
          <w:color w:val="003CA0"/>
          <w:sz w:val="12"/>
        </w:rPr>
        <w:t xml:space="preserve"> | rel. Cármen Lúcia</w:t>
      </w:r>
    </w:p>
    <w:p>
      <w:pPr>
        <w:ind w:left="288"/>
      </w:pPr>
      <w:r>
        <w:rPr>
          <w:color w:val="1E1E1E"/>
          <w:sz w:val="18"/>
        </w:rPr>
        <w:t>Vide AI 584.364 ED, rel. min. Cármen Lúcia, j. 7-4-2009, 1ª T, DJE de 15-5-2009 A concessão de tutela de urgência ao recurso extraordinário pressupõe a verossimilhança da alegação e o risco do transcurso do tempo normalmente necessário ao processamento do recurso e ao julgamento dos pedidos. Isoladamente considerado, o ajuizamento de ação direta de inconstitucionalidade sobre o tema é insuficiente para justificar a concessão de tutela de urgência a todo e qualquer caso.</w:t>
      </w:r>
    </w:p>
    <w:p>
      <w:pPr>
        <w:ind w:left="288"/>
      </w:pPr>
      <w:r>
        <w:rPr>
          <w:b/>
          <w:color w:val="003CA0"/>
          <w:sz w:val="16"/>
        </w:rPr>
        <w:t>[AC 33 MC, rel. min. Marco Aurélio, j. 24-11-2010, P, DJE de 10-2-2011.]</w:t>
      </w:r>
    </w:p>
    <w:p>
      <w:pPr>
        <w:ind w:left="288"/>
      </w:pPr>
      <w:r>
        <w:rPr>
          <w:color w:val="8C8C8C"/>
          <w:sz w:val="12"/>
        </w:rPr>
        <w:t>cf-art-102-inc-III</w:t>
      </w:r>
      <w:r>
        <w:rPr>
          <w:color w:val="003CA0"/>
          <w:sz w:val="12"/>
        </w:rPr>
        <w:t xml:space="preserve"> | AI 564.973</w:t>
      </w:r>
      <w:r>
        <w:rPr>
          <w:color w:val="003CA0"/>
          <w:sz w:val="12"/>
        </w:rPr>
        <w:t xml:space="preserve"> | rel. Dias Toffoli</w:t>
      </w:r>
    </w:p>
    <w:p>
      <w:pPr>
        <w:ind w:left="288"/>
      </w:pPr>
      <w:r>
        <w:rPr>
          <w:color w:val="1E1E1E"/>
          <w:sz w:val="18"/>
        </w:rPr>
        <w:t>Agravo regimental em agravo de instrumento. Matéria criminal. (...) A jurisprudência do STF considera inexistente o agravo regimental subscrito por advogado sem procuração nos autos.</w:t>
      </w:r>
    </w:p>
    <w:p>
      <w:pPr>
        <w:ind w:left="288"/>
      </w:pPr>
      <w:r>
        <w:rPr>
          <w:b/>
          <w:color w:val="003CA0"/>
          <w:sz w:val="16"/>
        </w:rPr>
        <w:t>[AI 564.973 AgR, rel. min Dias Toffoli, j. 9-11-2010, 1ª T, DJE de 22-3-2011.]</w:t>
      </w:r>
    </w:p>
    <w:p>
      <w:pPr>
        <w:ind w:left="288"/>
      </w:pPr>
      <w:r>
        <w:rPr>
          <w:color w:val="8C8C8C"/>
          <w:sz w:val="12"/>
        </w:rPr>
        <w:t>cf-art-102-inc-III</w:t>
      </w:r>
      <w:r>
        <w:rPr>
          <w:color w:val="003CA0"/>
          <w:sz w:val="12"/>
        </w:rPr>
        <w:t xml:space="preserve"> | AI 504.704</w:t>
      </w:r>
      <w:r>
        <w:rPr>
          <w:color w:val="003CA0"/>
          <w:sz w:val="12"/>
        </w:rPr>
        <w:t xml:space="preserve"> | rel. Sepúlveda Pertence</w:t>
      </w:r>
    </w:p>
    <w:p>
      <w:pPr>
        <w:ind w:left="288"/>
      </w:pPr>
      <w:r>
        <w:rPr>
          <w:color w:val="1E1E1E"/>
          <w:sz w:val="18"/>
        </w:rPr>
        <w:t>Vide AI 504.704 AgR, rel. min. Sepúlveda Pertence, j. 22-6-2004, 1ª T, DJ de 25-6-2004 Proferida sentença no processo principal, perdeu o objeto o recurso extraordinário interposto de decisão interlocutória.</w:t>
      </w:r>
    </w:p>
    <w:p>
      <w:pPr>
        <w:ind w:left="288"/>
      </w:pPr>
      <w:r>
        <w:rPr>
          <w:b/>
          <w:color w:val="003CA0"/>
          <w:sz w:val="16"/>
        </w:rPr>
        <w:t>[RE 533.834 AgR, rel. min. Ricardo Lewandowski, j. 9-11-2010, 1ª T, DJE de 30-11-2010.]</w:t>
      </w:r>
    </w:p>
    <w:p>
      <w:pPr>
        <w:ind w:left="288"/>
      </w:pPr>
      <w:r>
        <w:rPr>
          <w:color w:val="8C8C8C"/>
          <w:sz w:val="12"/>
        </w:rPr>
        <w:t>cf-art-102-inc-III</w:t>
      </w:r>
      <w:r>
        <w:rPr>
          <w:color w:val="003CA0"/>
          <w:sz w:val="12"/>
        </w:rPr>
        <w:t xml:space="preserve"> | RE 333.942</w:t>
      </w:r>
      <w:r>
        <w:rPr>
          <w:color w:val="003CA0"/>
          <w:sz w:val="12"/>
        </w:rPr>
        <w:t xml:space="preserve"> | rel. Joaquim Barbosa</w:t>
      </w:r>
    </w:p>
    <w:p>
      <w:pPr>
        <w:ind w:left="288"/>
      </w:pPr>
      <w:r>
        <w:rPr>
          <w:color w:val="1E1E1E"/>
          <w:sz w:val="18"/>
        </w:rPr>
        <w:t>Pendente exame de agravo de instrumento destinado a assegurar o julgamento de recurso especial, interposto simultaneamente ao extraordinário, tudo recomenda que o julgamento do segundo recurso aguarde o julgamento do primeiro (art. 543 do CPC).</w:t>
      </w:r>
    </w:p>
    <w:p>
      <w:pPr>
        <w:ind w:left="288"/>
      </w:pPr>
      <w:r>
        <w:rPr>
          <w:b/>
          <w:color w:val="003CA0"/>
          <w:sz w:val="16"/>
        </w:rPr>
        <w:t>[RE 333.942 ED, rel. min. Joaquim Barbosa, j. 9-11-2010, 1ª T, DJE de 30-11-2010.]</w:t>
      </w:r>
    </w:p>
    <w:p>
      <w:pPr>
        <w:ind w:left="288"/>
      </w:pPr>
      <w:r>
        <w:rPr>
          <w:color w:val="8C8C8C"/>
          <w:sz w:val="12"/>
        </w:rPr>
        <w:t>cf-art-102-inc-III</w:t>
      </w:r>
      <w:r>
        <w:rPr>
          <w:color w:val="003CA0"/>
          <w:sz w:val="12"/>
        </w:rPr>
        <w:t xml:space="preserve"> | AI 550.244</w:t>
      </w:r>
      <w:r>
        <w:rPr>
          <w:color w:val="003CA0"/>
          <w:sz w:val="12"/>
        </w:rPr>
        <w:t xml:space="preserve"> | rel. Marco Aurélio</w:t>
      </w:r>
    </w:p>
    <w:p>
      <w:pPr>
        <w:ind w:left="288"/>
      </w:pPr>
      <w:r>
        <w:rPr>
          <w:color w:val="1E1E1E"/>
          <w:sz w:val="18"/>
        </w:rPr>
        <w:t>Visando os embargos de declaração ao esclarecimento ou à integração da decisão proferida, descabe, a partir do que assentado, exigir o depósito da multa prevista no art. 557, § 2º, do CPC.</w:t>
      </w:r>
    </w:p>
    <w:p>
      <w:pPr>
        <w:ind w:left="288"/>
      </w:pPr>
      <w:r>
        <w:rPr>
          <w:b/>
          <w:color w:val="003CA0"/>
          <w:sz w:val="16"/>
        </w:rPr>
        <w:t>[AI 550.244 AgR-ED, rel. min. Marco Aurélio, j. 9-11-2010, 1ª T, DJE de 29-11-2010.]</w:t>
      </w:r>
    </w:p>
    <w:p>
      <w:pPr>
        <w:ind w:left="288"/>
      </w:pPr>
      <w:r>
        <w:rPr>
          <w:color w:val="8C8C8C"/>
          <w:sz w:val="12"/>
        </w:rPr>
        <w:t>cf-art-102-inc-III</w:t>
      </w:r>
      <w:r>
        <w:rPr>
          <w:color w:val="003CA0"/>
          <w:sz w:val="12"/>
        </w:rPr>
        <w:t xml:space="preserve"> | AI 400.465</w:t>
      </w:r>
      <w:r>
        <w:rPr>
          <w:color w:val="003CA0"/>
          <w:sz w:val="12"/>
        </w:rPr>
        <w:t xml:space="preserve"> | rel. Menezes Direito</w:t>
      </w:r>
    </w:p>
    <w:p>
      <w:pPr>
        <w:ind w:left="288"/>
      </w:pPr>
      <w:r>
        <w:rPr>
          <w:color w:val="1E1E1E"/>
          <w:sz w:val="18"/>
        </w:rPr>
        <w:t>≠  AI 400.465 AgR-ED, rel. min. Menezes Direito, j. 30-10-2007, 1ª T, DJE de 25-4-2008 É inaplicável o princípio da fungibilidade recursal, porquanto o que ficou caracterizado, no caso, foi a deficiência na fundamentação do agravo de instrumento, o qual deveria ter impugnado a decisão que inadmitiu o recurso extraordinário. Em outras palavras, o recorrente interpôs o recurso cabível, porém refutou fundamentos diversos daqueles que lhe incumbia afastar.</w:t>
      </w:r>
    </w:p>
    <w:p>
      <w:pPr>
        <w:ind w:left="288"/>
      </w:pPr>
      <w:r>
        <w:rPr>
          <w:b/>
          <w:color w:val="003CA0"/>
          <w:sz w:val="16"/>
        </w:rPr>
        <w:t>[AI 612.322 AgR, rel. min. Ricardo Lewandowski, j. 19-10-2010, 1ª T, DJE de 10-11-2010.]</w:t>
      </w:r>
    </w:p>
    <w:p>
      <w:pPr>
        <w:ind w:left="288"/>
      </w:pPr>
      <w:r>
        <w:rPr>
          <w:color w:val="8C8C8C"/>
          <w:sz w:val="12"/>
        </w:rPr>
        <w:t>cf-art-102-inc-III</w:t>
      </w:r>
      <w:r>
        <w:rPr>
          <w:color w:val="003CA0"/>
          <w:sz w:val="12"/>
        </w:rPr>
        <w:t xml:space="preserve"> | AI 491.003</w:t>
      </w:r>
      <w:r>
        <w:rPr>
          <w:color w:val="003CA0"/>
          <w:sz w:val="12"/>
        </w:rPr>
        <w:t xml:space="preserve"> | rel. Marco Aurélio</w:t>
      </w:r>
    </w:p>
    <w:p>
      <w:pPr>
        <w:ind w:left="288"/>
      </w:pPr>
      <w:r>
        <w:rPr>
          <w:color w:val="1E1E1E"/>
          <w:sz w:val="18"/>
        </w:rPr>
        <w:t>O Plenário veio a evoluir para interpretar o art. 546 do CPC alcançando situações em que, no agravo regimental, há pronunciamento de mérito quanto a recurso extraordinário julgado pelo relator. O caso agora é diverso. O agravo regimental foi interposto contra ato do relator no exame de agravo de instrumento. Mostra-se, então, inadequado o recurso protocolado.</w:t>
      </w:r>
    </w:p>
    <w:p>
      <w:pPr>
        <w:ind w:left="288"/>
      </w:pPr>
      <w:r>
        <w:rPr>
          <w:b/>
          <w:color w:val="003CA0"/>
          <w:sz w:val="16"/>
        </w:rPr>
        <w:t>[AI 491.003 AgR-ED-EDv-AgR, voto do rel. min. Marco Aurélio, j. 14-10-2010, P, DJE de 3-12-2010.]</w:t>
      </w:r>
    </w:p>
    <w:p>
      <w:pPr>
        <w:ind w:left="288"/>
      </w:pPr>
      <w:r>
        <w:rPr>
          <w:color w:val="8C8C8C"/>
          <w:sz w:val="12"/>
        </w:rPr>
        <w:t>cf-art-102-inc-III</w:t>
      </w:r>
      <w:r>
        <w:rPr>
          <w:color w:val="003CA0"/>
          <w:sz w:val="12"/>
        </w:rPr>
        <w:t xml:space="preserve"> | RE 285.093</w:t>
      </w:r>
      <w:r>
        <w:rPr>
          <w:color w:val="003CA0"/>
          <w:sz w:val="12"/>
        </w:rPr>
        <w:t xml:space="preserve"> | rel. Marco Aurélio</w:t>
      </w:r>
    </w:p>
    <w:p>
      <w:pPr>
        <w:ind w:left="288"/>
      </w:pPr>
      <w:r>
        <w:rPr>
          <w:color w:val="1E1E1E"/>
          <w:sz w:val="18"/>
        </w:rPr>
        <w:t>Vide RE 285.093 AgR-ED-EDv-AgR, rel. p/ o ac. min. Marco Aurélio, j. 26-4-2007, P, DJE de 28-3-2008 A intempestividade dos embargos de declaração opostos a acórdão proferido na origem importa na intempestividade do próprio recurso extraordinário posteriormente interposto. A ausência de manifestação sobre a intempestividade do recurso extraordinário nas contrarrazões não caracteriza preclusão argumentativa, por se tratar de questão de cabimento do recurso, cujo exame é feito de ofício pelo STF.</w:t>
      </w:r>
    </w:p>
    <w:p>
      <w:pPr>
        <w:ind w:left="288"/>
      </w:pPr>
      <w:r>
        <w:rPr>
          <w:b/>
          <w:color w:val="003CA0"/>
          <w:sz w:val="16"/>
        </w:rPr>
        <w:t>[RE 189.619 ED-EDv, rel. min. Cármen Lúcia, j. 15-9-2010, P, DJE de 3-12-2010.]</w:t>
      </w:r>
    </w:p>
    <w:p>
      <w:pPr>
        <w:ind w:left="288"/>
      </w:pPr>
      <w:r>
        <w:rPr>
          <w:color w:val="8C8C8C"/>
          <w:sz w:val="12"/>
        </w:rPr>
        <w:t>cf-art-102-inc-III</w:t>
      </w:r>
      <w:r>
        <w:rPr>
          <w:color w:val="003CA0"/>
          <w:sz w:val="12"/>
        </w:rPr>
        <w:t xml:space="preserve"> | RE 456.689</w:t>
      </w:r>
      <w:r>
        <w:rPr>
          <w:color w:val="003CA0"/>
          <w:sz w:val="12"/>
        </w:rPr>
        <w:t xml:space="preserve"> | rel. Joaquim Barbosa</w:t>
      </w:r>
    </w:p>
    <w:p>
      <w:pPr>
        <w:ind w:left="288"/>
      </w:pPr>
      <w:r>
        <w:rPr>
          <w:color w:val="1E1E1E"/>
          <w:sz w:val="18"/>
        </w:rPr>
        <w:t>Quando se alega error in judicando, ofende a competência recursal extraordinária a devolução dos autos à origem para que ultime o julgamento, mediante apreciação da matéria legal. Primeiramente, porque compete ao STJ dar a última palavra nessa hipótese (art. 105, III, CF/1988). Se não o faz, preclui a matéria ordinária, inviabilizando o conhecimento do recurso extraordinário (Enunciado 283 da Súmula/STF). Em segundo lugar, quando tem por escopo a reforma de julgado inferior, o remédio extraordinário não constitui "recurso de cassação". Por isso, se não houvesse óbices preliminares, seria desta</w:t>
      </w:r>
    </w:p>
    <w:p>
      <w:pPr>
        <w:ind w:left="288"/>
      </w:pPr>
      <w:r>
        <w:rPr>
          <w:b/>
          <w:color w:val="003CA0"/>
          <w:sz w:val="16"/>
        </w:rPr>
        <w:t>RE 456.689 AgR, rel. min. Joaquim Barbosa, j. 31-8-2010, 2ª T, DJE de 1º-10-2010.]</w:t>
      </w:r>
    </w:p>
    <w:p>
      <w:pPr>
        <w:ind w:left="288"/>
      </w:pPr>
      <w:r>
        <w:rPr>
          <w:color w:val="8C8C8C"/>
          <w:sz w:val="12"/>
        </w:rPr>
        <w:t>cf-art-102-inc-III</w:t>
      </w:r>
      <w:r>
        <w:rPr>
          <w:color w:val="003CA0"/>
          <w:sz w:val="12"/>
        </w:rPr>
        <w:t xml:space="preserve"> | PET 4.751</w:t>
      </w:r>
      <w:r>
        <w:rPr>
          <w:color w:val="003CA0"/>
          <w:sz w:val="12"/>
        </w:rPr>
        <w:t xml:space="preserve"> | rel. Marco Aurélio</w:t>
      </w:r>
    </w:p>
    <w:p>
      <w:pPr>
        <w:ind w:left="288"/>
      </w:pPr>
      <w:r>
        <w:rPr>
          <w:color w:val="1E1E1E"/>
          <w:sz w:val="18"/>
        </w:rPr>
        <w:t>O agravo visando à subida de certo recurso que se diz da competência do Supremo há de ser interposto junto ao órgão prolator da decisão atacada, não cabendo, ante erronia, flexibilizar a organicidade do Direito.</w:t>
      </w:r>
    </w:p>
    <w:p>
      <w:pPr>
        <w:ind w:left="288"/>
      </w:pPr>
      <w:r>
        <w:rPr>
          <w:b/>
          <w:color w:val="003CA0"/>
          <w:sz w:val="16"/>
        </w:rPr>
        <w:t>[Pet 4.751 AgR, rel. min. Marco Aurélio, j. 18-8-2010, P, DJE de 24-9-2010.]</w:t>
      </w:r>
    </w:p>
    <w:p>
      <w:pPr>
        <w:ind w:left="288"/>
      </w:pPr>
      <w:r>
        <w:rPr>
          <w:color w:val="8C8C8C"/>
          <w:sz w:val="12"/>
        </w:rPr>
        <w:t>cf-art-102-inc-III</w:t>
      </w:r>
      <w:r>
        <w:rPr>
          <w:color w:val="003CA0"/>
          <w:sz w:val="12"/>
        </w:rPr>
        <w:t xml:space="preserve"> | AI 772.518</w:t>
      </w:r>
      <w:r>
        <w:rPr>
          <w:color w:val="003CA0"/>
          <w:sz w:val="12"/>
        </w:rPr>
        <w:t xml:space="preserve"> | rel. Ricardo Lewandowski</w:t>
      </w:r>
    </w:p>
    <w:p>
      <w:pPr>
        <w:ind w:left="288"/>
      </w:pPr>
      <w:r>
        <w:rPr>
          <w:color w:val="1E1E1E"/>
          <w:sz w:val="18"/>
        </w:rPr>
        <w:t>O exame definitivo da admissibilidade do recurso extraordinário compete ao STF, independente da análise feita na origem.</w:t>
      </w:r>
    </w:p>
    <w:p>
      <w:pPr>
        <w:ind w:left="288"/>
      </w:pPr>
      <w:r>
        <w:rPr>
          <w:b/>
          <w:color w:val="003CA0"/>
          <w:sz w:val="16"/>
        </w:rPr>
        <w:t>[AI 772.518 AgR, rel. min. Ricardo Lewandowski, j. 18-5-2010, 1ª T, DJE de 4-6-2010.]</w:t>
      </w:r>
    </w:p>
    <w:p>
      <w:pPr>
        <w:ind w:left="288"/>
      </w:pPr>
      <w:r>
        <w:rPr>
          <w:color w:val="8C8C8C"/>
          <w:sz w:val="12"/>
        </w:rPr>
        <w:t>cf-art-102-inc-III</w:t>
      </w:r>
      <w:r>
        <w:rPr>
          <w:color w:val="003CA0"/>
          <w:sz w:val="12"/>
        </w:rPr>
        <w:t xml:space="preserve"> | RE 593.156</w:t>
      </w:r>
      <w:r>
        <w:rPr>
          <w:color w:val="003CA0"/>
          <w:sz w:val="12"/>
        </w:rPr>
        <w:t xml:space="preserve"> | rel. Joaquim Barbosa</w:t>
      </w:r>
    </w:p>
    <w:p>
      <w:pPr>
        <w:ind w:left="288"/>
      </w:pPr>
      <w:r>
        <w:rPr>
          <w:color w:val="1E1E1E"/>
          <w:sz w:val="18"/>
        </w:rPr>
        <w:t>= RE 593.156 AgR, rel. min. Joaquim Barbosa, j. 5-10-2010, 2ª T, DJE de 25-10-2010 É indevida a utilização de protocolo integrado nos recursos dirigidos às Cortes Superiores. (...) O sistema de protocolo integrado não se confunde com a entrega de recurso em tribunal diverso, por equívoco do recorrente.</w:t>
      </w:r>
    </w:p>
    <w:p>
      <w:pPr>
        <w:ind w:left="288"/>
      </w:pPr>
      <w:r>
        <w:rPr>
          <w:b/>
          <w:color w:val="003CA0"/>
          <w:sz w:val="16"/>
        </w:rPr>
        <w:t>[RE 217.561 AgR-AgR-ED-ED, rel. min. Eros Grau, j. 20-4-2010, 2ª T, DJE de 14-5-2010.]</w:t>
      </w:r>
    </w:p>
    <w:p>
      <w:pPr>
        <w:ind w:left="288"/>
      </w:pPr>
      <w:r>
        <w:rPr>
          <w:color w:val="8C8C8C"/>
          <w:sz w:val="12"/>
        </w:rPr>
        <w:t>cf-art-102-inc-III</w:t>
      </w:r>
      <w:r>
        <w:rPr>
          <w:color w:val="003CA0"/>
          <w:sz w:val="12"/>
        </w:rPr>
        <w:t xml:space="preserve"> | RE 579.554</w:t>
      </w:r>
      <w:r>
        <w:rPr>
          <w:color w:val="003CA0"/>
          <w:sz w:val="12"/>
        </w:rPr>
        <w:t xml:space="preserve"> | rel. Cármen Lúcia</w:t>
      </w:r>
    </w:p>
    <w:p>
      <w:pPr>
        <w:ind w:left="288"/>
      </w:pPr>
      <w:r>
        <w:rPr>
          <w:color w:val="1E1E1E"/>
          <w:sz w:val="18"/>
        </w:rPr>
        <w:t>A jurisprudência do STF firmou entendimento no sentido da preclusão das questões constitucionais surgidas na decisão de segundo grau que não foram objeto de recurso extraordinário. Assim, somente é possível a interposição de recurso extraordinário contra decisão do STJ quando o tema em questão for novo, surgido na instância superior.</w:t>
      </w:r>
    </w:p>
    <w:p>
      <w:pPr>
        <w:ind w:left="288"/>
      </w:pPr>
      <w:r>
        <w:rPr>
          <w:b/>
          <w:color w:val="003CA0"/>
          <w:sz w:val="16"/>
        </w:rPr>
        <w:t>[RE 579.554 AgR, rel. min. Cármen Lúcia, j. 6-4-2010, 1ª T, DJE de 7-5-2010.]</w:t>
      </w:r>
    </w:p>
    <w:p>
      <w:pPr>
        <w:ind w:left="288"/>
      </w:pPr>
      <w:r>
        <w:rPr>
          <w:color w:val="8C8C8C"/>
          <w:sz w:val="12"/>
        </w:rPr>
        <w:t>cf-art-102-inc-III</w:t>
      </w:r>
      <w:r>
        <w:rPr>
          <w:color w:val="003CA0"/>
          <w:sz w:val="12"/>
        </w:rPr>
        <w:t xml:space="preserve"> | AI 716.397</w:t>
      </w:r>
      <w:r>
        <w:rPr>
          <w:color w:val="003CA0"/>
          <w:sz w:val="12"/>
        </w:rPr>
        <w:t xml:space="preserve"> | rel. Joaquim Barbosa</w:t>
      </w:r>
    </w:p>
    <w:p>
      <w:pPr>
        <w:ind w:left="288"/>
      </w:pPr>
      <w:r>
        <w:rPr>
          <w:color w:val="1E1E1E"/>
          <w:sz w:val="18"/>
        </w:rPr>
        <w:t>= AI 716.397 AgR, rel. min. Joaquim Barbosa, j. 5-10-2010, 2ª T, DJE de 11-11-2010 Somente se justifica o sobrestamento do recurso extraordinário nos casos em que houver a possibilidade de discussão do mérito.</w:t>
      </w:r>
    </w:p>
    <w:p>
      <w:pPr>
        <w:ind w:left="288"/>
      </w:pPr>
      <w:r>
        <w:rPr>
          <w:b/>
          <w:color w:val="003CA0"/>
          <w:sz w:val="16"/>
        </w:rPr>
        <w:t>[AI 680.446 AgR, rel. min. Ellen Gracie, j. 6-4-2010, 2ª T, DJE de 30-4-2010.]</w:t>
      </w:r>
    </w:p>
    <w:p>
      <w:pPr>
        <w:ind w:left="288"/>
      </w:pPr>
      <w:r>
        <w:rPr>
          <w:color w:val="8C8C8C"/>
          <w:sz w:val="12"/>
        </w:rPr>
        <w:t>cf-art-102-inc-III</w:t>
      </w:r>
      <w:r>
        <w:rPr>
          <w:color w:val="003CA0"/>
          <w:sz w:val="12"/>
        </w:rPr>
        <w:t xml:space="preserve"> | AC 2.209</w:t>
      </w:r>
      <w:r>
        <w:rPr>
          <w:color w:val="003CA0"/>
          <w:sz w:val="12"/>
        </w:rPr>
        <w:t xml:space="preserve"> | rel. Joaquim Barbosa</w:t>
      </w:r>
    </w:p>
    <w:p>
      <w:pPr>
        <w:ind w:left="288"/>
      </w:pPr>
      <w:r>
        <w:rPr>
          <w:color w:val="1E1E1E"/>
          <w:sz w:val="18"/>
        </w:rPr>
        <w:t>Em razão da preclusão e da força do trânsito em julgado, somente cabe a propositura e o exame de novos pleitos cautelares se houver substancial modificação do quadro fático-jurídico que justifique a densa probabilidade de conhecimento e provimento do recurso extraordinário. Situação descaracterizada, dada a reiteração dos argumentos apresentados por ocasião do exame da primeira medida liminar pleiteada, cujo resultado parcialmente favorável ao contribuinte não foi objeto de recurso.</w:t>
      </w:r>
    </w:p>
    <w:p>
      <w:pPr>
        <w:ind w:left="288"/>
      </w:pPr>
      <w:r>
        <w:rPr>
          <w:b/>
          <w:color w:val="003CA0"/>
          <w:sz w:val="16"/>
        </w:rPr>
        <w:t>[AC 2.209 AgR, rel. min. Joaquim Barbosa, j. 2-3-2010, 2ª T, DJE de 26-3-2010.]</w:t>
      </w:r>
    </w:p>
    <w:p>
      <w:pPr>
        <w:ind w:left="288"/>
      </w:pPr>
      <w:r>
        <w:rPr>
          <w:color w:val="8C8C8C"/>
          <w:sz w:val="12"/>
        </w:rPr>
        <w:t>cf-art-102-inc-III</w:t>
      </w:r>
      <w:r>
        <w:rPr>
          <w:color w:val="003CA0"/>
          <w:sz w:val="12"/>
        </w:rPr>
        <w:t xml:space="preserve"> | AI 764.914</w:t>
      </w:r>
      <w:r>
        <w:rPr>
          <w:color w:val="003CA0"/>
          <w:sz w:val="12"/>
        </w:rPr>
        <w:t xml:space="preserve"> | rel. Cezar Peluso</w:t>
      </w:r>
    </w:p>
    <w:p>
      <w:pPr>
        <w:ind w:left="288"/>
      </w:pPr>
      <w:r>
        <w:rPr>
          <w:color w:val="1E1E1E"/>
          <w:sz w:val="18"/>
        </w:rPr>
        <w:t>É desnecessária a ratificação de recurso extraordinário interposto em momento anterior à apresentação de embargos declaratórios, pela parte contrária ou por litisconsorte, ao mesmo acórdão.</w:t>
      </w:r>
    </w:p>
    <w:p>
      <w:pPr>
        <w:ind w:left="288"/>
      </w:pPr>
      <w:r>
        <w:rPr>
          <w:b/>
          <w:color w:val="003CA0"/>
          <w:sz w:val="16"/>
        </w:rPr>
        <w:t>[AI 764.914 AgR, rel. min. Cezar Peluso, j. 2-2-2010, 2ª T, DJE de 17-9-2010.]</w:t>
      </w:r>
    </w:p>
    <w:p>
      <w:pPr>
        <w:ind w:left="288"/>
      </w:pPr>
      <w:r>
        <w:rPr>
          <w:color w:val="8C8C8C"/>
          <w:sz w:val="12"/>
        </w:rPr>
        <w:t>cf-art-102-inc-III</w:t>
      </w:r>
      <w:r>
        <w:rPr>
          <w:color w:val="003CA0"/>
          <w:sz w:val="12"/>
        </w:rPr>
        <w:t xml:space="preserve"> | AI 618.232</w:t>
      </w:r>
      <w:r>
        <w:rPr>
          <w:color w:val="003CA0"/>
          <w:sz w:val="12"/>
        </w:rPr>
        <w:t xml:space="preserve"> | rel. Cezar Peluso</w:t>
      </w:r>
    </w:p>
    <w:p>
      <w:pPr>
        <w:ind w:left="288"/>
      </w:pPr>
      <w:r>
        <w:rPr>
          <w:color w:val="1E1E1E"/>
          <w:sz w:val="18"/>
        </w:rPr>
        <w:t>Vide AI 618.232 AgR, rel. min. Cezar Peluso, j. 3-11-2009, 2ª T, DJE de 27-11-2009 Vide AI 748.414 AgR, rel. min. Joaquim Barbosa, j. 6-10-2009, 2ª T, DJE de 29-10-2009 Vide AI 723.265 AgR, rel. min. Eros Grau, j. 11-11-2008, 2ª T, DJE de 28-11-2008 Trata-se de agravo regimental interposto contra decisão que julgou prejudicado o recurso extraordinário, tendo em vista o provimento de recurso especial pelo STJ. O INSS alega que não interpôs recurso especial, mas somente recurso extraordinário, não sendo possível falar em prejudicialidade do recurso. Na origem, a União e o INSS são litisconsortes</w:t>
      </w:r>
    </w:p>
    <w:p>
      <w:pPr>
        <w:ind w:left="288"/>
      </w:pPr>
      <w:r>
        <w:rPr>
          <w:b/>
          <w:color w:val="003CA0"/>
          <w:sz w:val="16"/>
        </w:rPr>
        <w:t>[AI 736.320 ED, voto do rel. min. Gilmar Mendes, j. 16-12-2009, P, DJE de 12-2-2010.]</w:t>
      </w:r>
    </w:p>
    <w:p>
      <w:pPr>
        <w:ind w:left="288"/>
      </w:pPr>
      <w:r>
        <w:rPr>
          <w:color w:val="8C8C8C"/>
          <w:sz w:val="12"/>
        </w:rPr>
        <w:t>cf-art-102-inc-III</w:t>
      </w:r>
      <w:r>
        <w:rPr>
          <w:color w:val="003CA0"/>
          <w:sz w:val="12"/>
        </w:rPr>
        <w:t xml:space="preserve"> | RE 495.560</w:t>
      </w:r>
      <w:r>
        <w:rPr>
          <w:color w:val="003CA0"/>
          <w:sz w:val="12"/>
        </w:rPr>
        <w:t xml:space="preserve"> | rel. Marco Aurélio</w:t>
      </w:r>
    </w:p>
    <w:p>
      <w:pPr>
        <w:ind w:left="288"/>
      </w:pPr>
      <w:r>
        <w:rPr>
          <w:color w:val="1E1E1E"/>
          <w:sz w:val="18"/>
        </w:rPr>
        <w:t>Vide RE 495.560 AgR, rel. min. Marco Aurélio, j. 17-3-2009, 1ª T, DJE de 24-4-2009 Na apreciação do enquadramento do recurso extraordinário em um dos permissivos constitucionais, parte-se da moldura fática delineada pela Corte de origem. Impossível é pretender substituí-la para, a partir de fundamentos diversos, chegar-se a conclusão sobre a ofensa a dispositivo da Lei Básica Federal.</w:t>
      </w:r>
    </w:p>
    <w:p>
      <w:pPr>
        <w:ind w:left="288"/>
      </w:pPr>
      <w:r>
        <w:rPr>
          <w:b/>
          <w:color w:val="003CA0"/>
          <w:sz w:val="16"/>
        </w:rPr>
        <w:t>[AI 582.579 AgR, rel. min. Marco Aurélio, j. 15-12-2009, 1ª T, DJE de 19-3-2010.]</w:t>
      </w:r>
    </w:p>
    <w:p>
      <w:pPr>
        <w:ind w:left="288"/>
      </w:pPr>
      <w:r>
        <w:rPr>
          <w:color w:val="8C8C8C"/>
          <w:sz w:val="12"/>
        </w:rPr>
        <w:t>cf-art-102-inc-III</w:t>
      </w:r>
      <w:r>
        <w:rPr>
          <w:color w:val="003CA0"/>
          <w:sz w:val="12"/>
        </w:rPr>
        <w:t xml:space="preserve"> | RE 348.468</w:t>
      </w:r>
      <w:r>
        <w:rPr>
          <w:color w:val="003CA0"/>
          <w:sz w:val="12"/>
        </w:rPr>
        <w:t xml:space="preserve"> | rel. Gilmar Mendes</w:t>
      </w:r>
    </w:p>
    <w:p>
      <w:pPr>
        <w:ind w:left="288"/>
      </w:pPr>
      <w:r>
        <w:rPr>
          <w:color w:val="1E1E1E"/>
          <w:sz w:val="18"/>
        </w:rPr>
        <w:t>O poder de que dispõe qualquer juiz ou tribunal para deixar de aplicar a lei inconstitucional a determinado processo (...) pressupõe a invalidade da lei e, com isso, a sua nulidade. A faculdade de negar aplicação à lei inconstitucional corresponde ao direito do indivíduo de recusar-se a cumprir a lei inconstitucional, assegurando-se-lhe, em última instância, a possibilidade de interpor recurso extraordinário ao STF contra decisão judicial que se apresente, de alguma forma, em contradição com a Constituição (...). Tanto o poder do juiz de negar aplicação à lei inconstitucional  quanto a faculda</w:t>
      </w:r>
    </w:p>
    <w:p>
      <w:pPr>
        <w:ind w:left="288"/>
      </w:pPr>
      <w:r>
        <w:rPr>
          <w:b/>
          <w:color w:val="003CA0"/>
          <w:sz w:val="16"/>
        </w:rPr>
        <w:t>[RE 348.468, voto do rel. min. Gilmar Mendes, j. 15-12-2009, 2ª T, DJE de 19-2-2010.]</w:t>
      </w:r>
    </w:p>
    <w:p>
      <w:pPr>
        <w:ind w:left="288"/>
      </w:pPr>
      <w:r>
        <w:rPr>
          <w:color w:val="8C8C8C"/>
          <w:sz w:val="12"/>
        </w:rPr>
        <w:t>cf-art-102-inc-III</w:t>
      </w:r>
      <w:r>
        <w:rPr>
          <w:color w:val="003CA0"/>
          <w:sz w:val="12"/>
        </w:rPr>
        <w:t xml:space="preserve"> | AI 731.613</w:t>
      </w:r>
      <w:r>
        <w:rPr>
          <w:color w:val="003CA0"/>
          <w:sz w:val="12"/>
        </w:rPr>
        <w:t xml:space="preserve"> | rel. Celso de Mello</w:t>
      </w:r>
    </w:p>
    <w:p>
      <w:pPr>
        <w:ind w:left="288"/>
      </w:pPr>
      <w:r>
        <w:rPr>
          <w:color w:val="1E1E1E"/>
          <w:sz w:val="18"/>
        </w:rPr>
        <w:t>O princípio da unirrecorribilidade, ressalvadas as hipóteses legais, impede a cumulativa interposição, contra o mesmo ato decisório, de mais de um recurso. O desrespeito ao postulado da singularidade dos recursos torna insuscetíveis de conhecimento os demais recursos, quando interpostos contra a mesma decisão.</w:t>
      </w:r>
    </w:p>
    <w:p>
      <w:pPr>
        <w:ind w:left="288"/>
      </w:pPr>
      <w:r>
        <w:rPr>
          <w:b/>
          <w:color w:val="003CA0"/>
          <w:sz w:val="16"/>
        </w:rPr>
        <w:t>[AI 731.613 AgR, rel. min. Celso de Mello, j. 10-11-2009, 2ª T, DJE de 4-12-2009.]</w:t>
      </w:r>
    </w:p>
    <w:p>
      <w:pPr>
        <w:ind w:left="288"/>
      </w:pPr>
      <w:r>
        <w:rPr>
          <w:color w:val="8C8C8C"/>
          <w:sz w:val="12"/>
        </w:rPr>
        <w:t>cf-art-102-inc-III</w:t>
      </w:r>
      <w:r>
        <w:rPr>
          <w:color w:val="003CA0"/>
          <w:sz w:val="12"/>
        </w:rPr>
        <w:t xml:space="preserve"> | AI 715.215</w:t>
      </w:r>
      <w:r>
        <w:rPr>
          <w:color w:val="003CA0"/>
          <w:sz w:val="12"/>
        </w:rPr>
        <w:t xml:space="preserve"> | rel. Ricardo Lewandowski</w:t>
      </w:r>
    </w:p>
    <w:p>
      <w:pPr>
        <w:ind w:left="288"/>
      </w:pPr>
      <w:r>
        <w:rPr>
          <w:color w:val="1E1E1E"/>
          <w:sz w:val="18"/>
        </w:rPr>
        <w:t>= AI 715.215 AgR, rel. min. Ricardo Lewandowski, j. 24-8-2010, 1ª T, DJE de 24-9-2010 Vide RE 547.244 AgR, rel. min. Eros Grau, j. 3-3-2009, 2ª T, DJE de 27-3-2009 Salvo posterior ratificação, é extemporâneo o recurso extraordinário interposto antes da publicação do acórdão dos embargos de declaração, ainda que o julgamento destes não tenha implicado modificação substancial do teor do julgamento original.</w:t>
      </w:r>
    </w:p>
    <w:p>
      <w:pPr>
        <w:ind w:left="288"/>
      </w:pPr>
      <w:r>
        <w:rPr>
          <w:b/>
          <w:color w:val="003CA0"/>
          <w:sz w:val="16"/>
        </w:rPr>
        <w:t>[AI 618.232 AgR, rel. min. Cezar Peluso, j. 3-11-2009, 2ª T, DJE de 27-11-2009.]</w:t>
      </w:r>
    </w:p>
    <w:p>
      <w:pPr>
        <w:ind w:left="288"/>
      </w:pPr>
      <w:r>
        <w:rPr>
          <w:color w:val="8C8C8C"/>
          <w:sz w:val="12"/>
        </w:rPr>
        <w:t>cf-art-102-inc-III</w:t>
      </w:r>
      <w:r>
        <w:rPr>
          <w:color w:val="003CA0"/>
          <w:sz w:val="12"/>
        </w:rPr>
        <w:t xml:space="preserve"> | AI 761.754</w:t>
      </w:r>
      <w:r>
        <w:rPr>
          <w:color w:val="003CA0"/>
          <w:sz w:val="12"/>
        </w:rPr>
        <w:t xml:space="preserve"> | rel. Ricardo Lewandowski</w:t>
      </w:r>
    </w:p>
    <w:p>
      <w:pPr>
        <w:ind w:left="288"/>
      </w:pPr>
      <w:r>
        <w:rPr>
          <w:color w:val="1E1E1E"/>
          <w:sz w:val="18"/>
        </w:rPr>
        <w:t>= AI 761.754 AgR, rel. min. Ricardo Lewandowski, j. 24-8-2010, 1ª T, DJE de 10-9-2010 Vide AI 764.914 AgR, rel. min. Cezar Peluso, j. 2-2-2010, 2ª T, DJE de 17-9-2010 Vide AI 748.414 AgR, rel. min. Joaquim Barbosa, j. 6-10-2009, 2ª T, DJE de 29-10-2009 Vide AI 723.265 AgR, rel. min. Eros Grau, j. 11-11-2008, 2ª T, DJE de 28-11-2008 O recurso extraordinário é intempestivo, porquanto interposto simultaneamente aos embargos de declaração, sem que se tenha notícia nos autos de sua posterior ratificação. O entendimento desta Corte é no sentido de que o prazo para interposição de recurso se inicia c</w:t>
      </w:r>
    </w:p>
    <w:p>
      <w:pPr>
        <w:ind w:left="288"/>
      </w:pPr>
      <w:r>
        <w:rPr>
          <w:b/>
          <w:color w:val="003CA0"/>
          <w:sz w:val="16"/>
        </w:rPr>
        <w:t>[AI 748.414 AgR, rel. min. Joaquim Barbosa, j. 6-10-2009, 2ª T, DJE de 29-10-2009.]</w:t>
      </w:r>
    </w:p>
    <w:p>
      <w:pPr>
        <w:ind w:left="288"/>
      </w:pPr>
      <w:r>
        <w:rPr>
          <w:color w:val="8C8C8C"/>
          <w:sz w:val="12"/>
        </w:rPr>
        <w:t>cf-art-102-inc-III</w:t>
      </w:r>
      <w:r>
        <w:rPr>
          <w:color w:val="003CA0"/>
          <w:sz w:val="12"/>
        </w:rPr>
        <w:t xml:space="preserve"> | RE 510.633</w:t>
      </w:r>
      <w:r>
        <w:rPr>
          <w:color w:val="003CA0"/>
          <w:sz w:val="12"/>
        </w:rPr>
        <w:t xml:space="preserve"> | rel. Marco Aurélio</w:t>
      </w:r>
    </w:p>
    <w:p>
      <w:pPr>
        <w:ind w:left="288"/>
      </w:pPr>
      <w:r>
        <w:rPr>
          <w:color w:val="1E1E1E"/>
          <w:sz w:val="18"/>
        </w:rPr>
        <w:t xml:space="preserve">≠ RE 510.633 AgR, voto do rel. min. Marco Aurélio, j. 13-4-2011, 1ª T, DJE de 18-5-2011 Vide AI 658.519 AgR-ED, rel. min. Ayres Britto, j. 7-6-2011, 2ª T, DJE de 9-9-2011 Vide AI 764.914 AgR, rel. min. Cezar Peluso, j. 2-2-2010, 2ª T, DJE de 17-9-2010 Vide AI 618.232 AgR, rel. min. Cezar Peluso, j. 3-11-2009, 2ª T, DJE de 27-11-2009 Vide AI 723.265 AgR, rel. min. Eros Grau, j. 11-11-2008, 2ª T, DJE de 28-11-2008 A competência deferida ao relator para, monocraticamente, julgar recurso manifestamente inadmissível, improcedente ou contrário à jurisprudência desta Corte não derroga o princípio da </w:t>
      </w:r>
    </w:p>
    <w:p>
      <w:pPr>
        <w:ind w:left="288"/>
      </w:pPr>
      <w:r>
        <w:rPr>
          <w:b/>
          <w:color w:val="003CA0"/>
          <w:sz w:val="16"/>
        </w:rPr>
        <w:t>[AI 684.893 AgR, rel. min. Ellen Gracie, j. 6-10-2009, 2ª T, DJE de 29-10-2009.]</w:t>
      </w:r>
    </w:p>
    <w:p>
      <w:pPr>
        <w:ind w:left="288"/>
      </w:pPr>
      <w:r>
        <w:rPr>
          <w:color w:val="8C8C8C"/>
          <w:sz w:val="12"/>
        </w:rPr>
        <w:t>cf-art-102-inc-III</w:t>
      </w:r>
      <w:r>
        <w:rPr>
          <w:color w:val="003CA0"/>
          <w:sz w:val="12"/>
        </w:rPr>
        <w:t xml:space="preserve"> | HC 84.486</w:t>
      </w:r>
      <w:r>
        <w:rPr>
          <w:color w:val="003CA0"/>
          <w:sz w:val="12"/>
        </w:rPr>
        <w:t xml:space="preserve"> | rel. Celso de Mello</w:t>
      </w:r>
    </w:p>
    <w:p>
      <w:pPr>
        <w:ind w:left="288"/>
      </w:pPr>
      <w:r>
        <w:rPr>
          <w:color w:val="1E1E1E"/>
          <w:sz w:val="18"/>
        </w:rPr>
        <w:t>Vide HC 84.486 AgR, rel. min. Celso de Mello, j. 1º-6-2010, 2ª T, DJE de 6-8-2010 Vide HC 93.401, rel. min. Ayres Britto, j. 16-9-2008, 1ª T, DJE de 31-10-2008 Ação cautelar. Recurso extraordinário. Empréstimo de eficácia suspensiva. Estando submetido ao Plenário o tema versado no extraordinário, com voto favorável à tese sustentada pela autora, cumpre concluir pela relevância do pedido de empréstimo suspensivo ao extraordinário e do risco de manter-se com eficácia quadro decisório.</w:t>
      </w:r>
    </w:p>
    <w:p>
      <w:pPr>
        <w:ind w:left="288"/>
      </w:pPr>
      <w:r>
        <w:rPr>
          <w:b/>
          <w:color w:val="003CA0"/>
          <w:sz w:val="16"/>
        </w:rPr>
        <w:t>[AC 2.338 MC-REF, rel. min. Marco Aurélio, j. 16-9-2009, P, DJE de 16-10-2009.]</w:t>
      </w:r>
    </w:p>
    <w:p>
      <w:pPr>
        <w:ind w:left="288"/>
      </w:pPr>
      <w:r>
        <w:rPr>
          <w:color w:val="8C8C8C"/>
          <w:sz w:val="12"/>
        </w:rPr>
        <w:t>cf-art-102-inc-III</w:t>
      </w:r>
      <w:r>
        <w:rPr>
          <w:color w:val="003CA0"/>
          <w:sz w:val="12"/>
        </w:rPr>
        <w:t xml:space="preserve"> | AC 1.693</w:t>
      </w:r>
      <w:r>
        <w:rPr>
          <w:color w:val="003CA0"/>
          <w:sz w:val="12"/>
        </w:rPr>
        <w:t xml:space="preserve"> | rel. Gilmar Mendes</w:t>
      </w:r>
    </w:p>
    <w:p>
      <w:pPr>
        <w:ind w:left="288"/>
      </w:pPr>
      <w:r>
        <w:rPr>
          <w:color w:val="1E1E1E"/>
          <w:sz w:val="18"/>
        </w:rPr>
        <w:t>= AC 1.693 QO, rel. min. Gilmar Mendes, j. 26-6-2007, 2ª T, DJ de 24-8-2007 Vide AC 2.277 MC-AgR, rel. min. Joaquim Barbosa, j. 19-5-2009, 2ª T, DJE de 1º-7-2009 A jurisprudência do STF firmou-se no sentido de que o ajuizamento de recurso manifestamente incabível não suspende o prazo para a interposição do recurso extraordinário.</w:t>
      </w:r>
    </w:p>
    <w:p>
      <w:pPr>
        <w:ind w:left="288"/>
      </w:pPr>
      <w:r>
        <w:rPr>
          <w:b/>
          <w:color w:val="003CA0"/>
          <w:sz w:val="16"/>
        </w:rPr>
        <w:t>[AI 749.031 AgR, rel. min. Cármen Lúcia, j. 25-8-2009, 1ª T, DJE de 29-10-2009.]</w:t>
      </w:r>
    </w:p>
    <w:p>
      <w:pPr>
        <w:ind w:left="288"/>
      </w:pPr>
      <w:r>
        <w:rPr>
          <w:color w:val="8C8C8C"/>
          <w:sz w:val="12"/>
        </w:rPr>
        <w:t>cf-art-102-inc-III</w:t>
      </w:r>
      <w:r>
        <w:rPr>
          <w:color w:val="003CA0"/>
          <w:sz w:val="12"/>
        </w:rPr>
        <w:t xml:space="preserve"> | AI 768.560</w:t>
      </w:r>
      <w:r>
        <w:rPr>
          <w:color w:val="003CA0"/>
          <w:sz w:val="12"/>
        </w:rPr>
        <w:t xml:space="preserve"> | rel. Cezar Peluso</w:t>
      </w:r>
    </w:p>
    <w:p>
      <w:pPr>
        <w:ind w:left="288"/>
      </w:pPr>
      <w:r>
        <w:rPr>
          <w:color w:val="1E1E1E"/>
          <w:sz w:val="18"/>
        </w:rPr>
        <w:t>= AI 768.560, rel. min. Cezar Peluso, j. 1º-12-2009, 2ª T, DJE de 18-12-2009 O estado de sucumbência – que reflete situação de maior ou de menor lesividade gerada pela decisão judicial – qualifica-se como pressuposto recursal genérico e comum a todos os recursos, ordinários ou extraordinários, de tal modo que, inocorrendo qualquer gravame causado pelo ato decisório, deixa de existir o interesse de recorrer, cujo reconhecimento, para legitimar a interposição recursal, impõe a cumulativa satisfação, pela parte que recorre, dos requisitos da necessidade e da utilidade do recurso deduzido.</w:t>
      </w:r>
    </w:p>
    <w:p>
      <w:pPr>
        <w:ind w:left="288"/>
      </w:pPr>
      <w:r>
        <w:rPr>
          <w:b/>
          <w:color w:val="003CA0"/>
          <w:sz w:val="16"/>
        </w:rPr>
        <w:t>[RE 599.714 AgR, rel. min. Celso de Mello, j. 25-8-2009, 2ª T, DJE de 18-9-2009.]</w:t>
      </w:r>
    </w:p>
    <w:p>
      <w:pPr>
        <w:ind w:left="288"/>
      </w:pPr>
      <w:r>
        <w:rPr>
          <w:color w:val="8C8C8C"/>
          <w:sz w:val="12"/>
        </w:rPr>
        <w:t>cf-art-102-inc-III</w:t>
      </w:r>
      <w:r>
        <w:rPr>
          <w:color w:val="003CA0"/>
          <w:sz w:val="12"/>
        </w:rPr>
        <w:t xml:space="preserve"> | AI 750.943</w:t>
      </w:r>
      <w:r>
        <w:rPr>
          <w:color w:val="003CA0"/>
          <w:sz w:val="12"/>
        </w:rPr>
        <w:t xml:space="preserve"> | rel. Celso de Mello</w:t>
      </w:r>
    </w:p>
    <w:p>
      <w:pPr>
        <w:ind w:left="288"/>
      </w:pPr>
      <w:r>
        <w:rPr>
          <w:color w:val="1E1E1E"/>
          <w:sz w:val="18"/>
        </w:rPr>
        <w:t>Os prazos recursais são peremptórios e preclusivos (RT 473/200 – RT 504/217 – RT 611/155 – RT 698/209 – RF 251/244). Com o decurso, in albis, do prazo legal, extingue-se, de pleno direito, quanto à parte sucumbente, a faculdade processual de interpor, em tempo legalmente oportuno, o recurso pertinente. A tempestividade – que se qualifica como pressuposto objetivo inerente a qualquer modalidade recursal – constitui matéria de ordem pública, passível, por isso mesmo, de conhecimento ex officio pelos juízes e tribunais. A inobservância desse requisito de ordem temporal, pela parte recorrente, pro</w:t>
      </w:r>
    </w:p>
    <w:p>
      <w:pPr>
        <w:ind w:left="288"/>
      </w:pPr>
      <w:r>
        <w:rPr>
          <w:b/>
          <w:color w:val="003CA0"/>
          <w:sz w:val="16"/>
        </w:rPr>
        <w:t>[AI 750.943 AgR, rel. min. Celso de Mello, j. 25-8-2009, 2ª T, DJE de 18-9-2009.]</w:t>
      </w:r>
    </w:p>
    <w:p>
      <w:pPr>
        <w:ind w:left="288"/>
      </w:pPr>
      <w:r>
        <w:rPr>
          <w:color w:val="8C8C8C"/>
          <w:sz w:val="12"/>
        </w:rPr>
        <w:t>cf-art-102-inc-III</w:t>
      </w:r>
      <w:r>
        <w:rPr>
          <w:color w:val="003CA0"/>
          <w:sz w:val="12"/>
        </w:rPr>
        <w:t xml:space="preserve"> | AI 483.783</w:t>
      </w:r>
      <w:r>
        <w:rPr>
          <w:color w:val="003CA0"/>
          <w:sz w:val="12"/>
        </w:rPr>
        <w:t xml:space="preserve"> | rel. Ellen Gracie</w:t>
      </w:r>
    </w:p>
    <w:p>
      <w:pPr>
        <w:ind w:left="288"/>
      </w:pPr>
      <w:r>
        <w:rPr>
          <w:color w:val="1E1E1E"/>
          <w:sz w:val="18"/>
        </w:rPr>
        <w:t>O processamento do extraordinário é inviável para debater matéria processual relativa a pressuposto de admissibilidade de ação rescisória.</w:t>
      </w:r>
    </w:p>
    <w:p>
      <w:pPr>
        <w:ind w:left="288"/>
      </w:pPr>
      <w:r>
        <w:rPr>
          <w:b/>
          <w:color w:val="003CA0"/>
          <w:sz w:val="16"/>
        </w:rPr>
        <w:t>[AI 483.783 AgR, rel. min. Ellen Gracie, j. 4-8-2009, 2ª T, DJE de 28-8-2009.]</w:t>
      </w:r>
    </w:p>
    <w:p>
      <w:pPr>
        <w:ind w:left="288"/>
      </w:pPr>
      <w:r>
        <w:rPr>
          <w:color w:val="8C8C8C"/>
          <w:sz w:val="12"/>
        </w:rPr>
        <w:t>cf-art-102-inc-III</w:t>
      </w:r>
      <w:r>
        <w:rPr>
          <w:color w:val="003CA0"/>
          <w:sz w:val="12"/>
        </w:rPr>
        <w:t xml:space="preserve"> | AI 825.094</w:t>
      </w:r>
      <w:r>
        <w:rPr>
          <w:color w:val="003CA0"/>
          <w:sz w:val="12"/>
        </w:rPr>
        <w:t xml:space="preserve"> | rel. Ricardo Lewandowski</w:t>
      </w:r>
    </w:p>
    <w:p>
      <w:pPr>
        <w:ind w:left="288"/>
      </w:pPr>
      <w:r>
        <w:rPr>
          <w:color w:val="1E1E1E"/>
          <w:sz w:val="18"/>
        </w:rPr>
        <w:t>= AI 825.094 AgR, rel. min. Ricardo Lewandowski, j. 15-2-2011, 1ª T, DJE de 4-3-2011 Aplicação das Súmulas 634 e 635. Enquanto não admitido o recurso extraordinário, ou provido agravo contra decisão que o não admite, não se instaura a competência do STF para apreciar pedido de tutela cautelar tendente a atribuir efeito suspensivo ao extraordinário.</w:t>
      </w:r>
    </w:p>
    <w:p>
      <w:pPr>
        <w:ind w:left="288"/>
      </w:pPr>
      <w:r>
        <w:rPr>
          <w:b/>
          <w:color w:val="003CA0"/>
          <w:sz w:val="16"/>
        </w:rPr>
        <w:t>[AC 2.240 AgR, rel. min. Cezar Peluso, j. 1º-7-2009, P, DJE de 9-4-2010.]</w:t>
      </w:r>
    </w:p>
    <w:p>
      <w:pPr>
        <w:ind w:left="288"/>
      </w:pPr>
      <w:r>
        <w:rPr>
          <w:color w:val="8C8C8C"/>
          <w:sz w:val="12"/>
        </w:rPr>
        <w:t>cf-art-102-inc-III</w:t>
      </w:r>
      <w:r>
        <w:rPr>
          <w:color w:val="003CA0"/>
          <w:sz w:val="12"/>
        </w:rPr>
        <w:t xml:space="preserve"> | AC 2.751</w:t>
      </w:r>
      <w:r>
        <w:rPr>
          <w:color w:val="003CA0"/>
          <w:sz w:val="12"/>
        </w:rPr>
        <w:t xml:space="preserve"> | rel. Ayres Britto</w:t>
      </w:r>
    </w:p>
    <w:p>
      <w:pPr>
        <w:ind w:left="288"/>
      </w:pPr>
      <w:r>
        <w:rPr>
          <w:color w:val="1E1E1E"/>
          <w:sz w:val="18"/>
        </w:rPr>
        <w:t>= AC 2.751 AgR, rel. min. Ayres Britto, j. 15-2-2011, 2ª T, DJE de 2-3-2011 Vide AC 1.872 AgR, rel. min. Dias Toffoli, j. 6-4-2010, 1ª T, DJE de 30-4-2010 Vide AC 2.177 QO-MC, rel. min. Ellen Gracie, j. 12-11-2008, P, DJE de 20-2-2009 Vide AC 2.168 MC-REF, rel. min. Celso de Mello, j. 4-11-2008, 2ª T, DJE de 19-9-2013 Vide AC 1.810 QO, rel. min. Celso de Mello, j. 16-10-2007, 2ª T, DJ de 31-10-2007 Vide AC 1.770 QO, rel. min. Gilmar Mendes, j. 18-9-2007, 2ª T, DJ de 19-10-2007 Vide AC 1.641 QO, rel. min. Celso de Mello, j. 7-8-2007, 2ª T, DJE de 12-12-2008 Vide AC 510 AgR, rel. min. Cezar Pelu</w:t>
      </w:r>
    </w:p>
    <w:p>
      <w:pPr>
        <w:ind w:left="288"/>
      </w:pPr>
      <w:r>
        <w:rPr>
          <w:b/>
          <w:color w:val="003CA0"/>
          <w:sz w:val="16"/>
        </w:rPr>
        <w:t>[SS 3.652 AgR, SS 3.659 AgR, SS 3.660 AgR, SS 3.696 AgR e SS 3.697 AgR, voto do rel. min. Gilmar Mendes, j. 1º-7-2009, P, DJE de 21-8-2009.]</w:t>
      </w:r>
    </w:p>
    <w:p>
      <w:pPr>
        <w:ind w:left="288"/>
      </w:pPr>
      <w:r>
        <w:rPr>
          <w:color w:val="8C8C8C"/>
          <w:sz w:val="12"/>
        </w:rPr>
        <w:t>cf-art-102-inc-III</w:t>
      </w:r>
      <w:r>
        <w:rPr>
          <w:color w:val="003CA0"/>
          <w:sz w:val="12"/>
        </w:rPr>
        <w:t xml:space="preserve"> | AC 2.277</w:t>
      </w:r>
      <w:r>
        <w:rPr>
          <w:color w:val="003CA0"/>
          <w:sz w:val="12"/>
        </w:rPr>
        <w:t xml:space="preserve"> | rel. Joaquim Barbosa</w:t>
      </w:r>
    </w:p>
    <w:p>
      <w:pPr>
        <w:ind w:left="288"/>
      </w:pPr>
      <w:r>
        <w:rPr>
          <w:color w:val="1E1E1E"/>
          <w:sz w:val="18"/>
        </w:rPr>
        <w:t>A concessão de efeito suspensivo ao recurso extraordinário é medida excepcional, que se justifica pelo risco de ineficácia da prestação jurisdicional e pela densa plausibilidade das teses arregimentadas no recurso.</w:t>
      </w:r>
    </w:p>
    <w:p>
      <w:pPr>
        <w:ind w:left="288"/>
      </w:pPr>
      <w:r>
        <w:rPr>
          <w:b/>
          <w:color w:val="003CA0"/>
          <w:sz w:val="16"/>
        </w:rPr>
        <w:t>[AC 2.277 MC-AgR, rel. min. Joaquim Barbosa, j. 19-5-2009, 2ª T, DJE de 1º-7-2009.]</w:t>
      </w:r>
    </w:p>
    <w:p>
      <w:pPr>
        <w:ind w:left="288"/>
      </w:pPr>
      <w:r>
        <w:rPr>
          <w:color w:val="8C8C8C"/>
          <w:sz w:val="12"/>
        </w:rPr>
        <w:t>cf-art-102-inc-III</w:t>
      </w:r>
      <w:r>
        <w:rPr>
          <w:color w:val="003CA0"/>
          <w:sz w:val="12"/>
        </w:rPr>
        <w:t xml:space="preserve"> | AC 2.902</w:t>
      </w:r>
      <w:r>
        <w:rPr>
          <w:color w:val="003CA0"/>
          <w:sz w:val="12"/>
        </w:rPr>
        <w:t xml:space="preserve"> | rel. Cármen Lúcia</w:t>
      </w:r>
    </w:p>
    <w:p>
      <w:pPr>
        <w:ind w:left="288"/>
      </w:pPr>
      <w:r>
        <w:rPr>
          <w:color w:val="1E1E1E"/>
          <w:sz w:val="18"/>
        </w:rPr>
        <w:t>= AC 2.902 AgR, rel. min. Cármen Lúcia, j. 2-8-2011, 1ª T, DJE de 22-8-2011 Vide AC 1.693 QO, rel. min. Gilmar Mendes, j. 26-6-2007, 2ª T, DJ de 24-8-2007 Compete ao STF o exame da tempestividade do recurso extraordinário.</w:t>
      </w:r>
    </w:p>
    <w:p>
      <w:pPr>
        <w:ind w:left="288"/>
      </w:pPr>
      <w:r>
        <w:rPr>
          <w:b/>
          <w:color w:val="003CA0"/>
          <w:sz w:val="16"/>
        </w:rPr>
        <w:t>[AI 742.754 AgR, rel. min. Cármen Lúcia, j. 19-5-2009, 1ª T, DJE de 26-6-2009.]</w:t>
      </w:r>
    </w:p>
    <w:p>
      <w:pPr>
        <w:ind w:left="288"/>
      </w:pPr>
      <w:r>
        <w:rPr>
          <w:color w:val="8C8C8C"/>
          <w:sz w:val="12"/>
        </w:rPr>
        <w:t>cf-art-102-inc-III</w:t>
      </w:r>
      <w:r>
        <w:rPr>
          <w:color w:val="003CA0"/>
          <w:sz w:val="12"/>
        </w:rPr>
        <w:t xml:space="preserve"> | AI 731.638</w:t>
      </w:r>
      <w:r>
        <w:rPr>
          <w:color w:val="003CA0"/>
          <w:sz w:val="12"/>
        </w:rPr>
        <w:t xml:space="preserve"> | rel. Gilmar Mendes</w:t>
      </w:r>
    </w:p>
    <w:p>
      <w:pPr>
        <w:ind w:left="288"/>
      </w:pPr>
      <w:r>
        <w:rPr>
          <w:color w:val="1E1E1E"/>
          <w:sz w:val="18"/>
        </w:rPr>
        <w:t>= AI 731.638 AgR, rel. min. Gilmar Mendes, j. 2-4-2009, P, DJE de 15-5-2009 Vide AI 778.432 AgR, rel. min. Dias Toffoli, j. 17-8-2010, 1ª T, DJE de 9-11-2010 Interposição simultânea de recurso especial e extraordinário: desnecessidade de aguardar o julgamento do recurso especial quando não são admitidos ambos os recursos.</w:t>
      </w:r>
    </w:p>
    <w:p>
      <w:pPr>
        <w:ind w:left="288"/>
      </w:pPr>
      <w:r>
        <w:rPr>
          <w:b/>
          <w:color w:val="003CA0"/>
          <w:sz w:val="16"/>
        </w:rPr>
        <w:t>[AI 584.364 ED, rel. min. Cármen Lúcia, j. 7-4-2009, 1ª T, DJE de 15-5-2009.]</w:t>
      </w:r>
    </w:p>
    <w:p>
      <w:pPr>
        <w:ind w:left="288"/>
      </w:pPr>
      <w:r>
        <w:rPr>
          <w:color w:val="8C8C8C"/>
          <w:sz w:val="12"/>
        </w:rPr>
        <w:t>cf-art-102-inc-III</w:t>
      </w:r>
      <w:r>
        <w:rPr>
          <w:color w:val="003CA0"/>
          <w:sz w:val="12"/>
        </w:rPr>
        <w:t xml:space="preserve"> | RCL 9.645</w:t>
      </w:r>
      <w:r>
        <w:rPr>
          <w:color w:val="003CA0"/>
          <w:sz w:val="12"/>
        </w:rPr>
        <w:t xml:space="preserve"> | rel. Ricardo Lewandowski</w:t>
      </w:r>
    </w:p>
    <w:p>
      <w:pPr>
        <w:ind w:left="288"/>
      </w:pPr>
      <w:r>
        <w:rPr>
          <w:color w:val="1E1E1E"/>
          <w:sz w:val="18"/>
        </w:rPr>
        <w:t>Vide Rcl 9.645 AgR, rel. min. Ricardo Lewandowski, j. 9-12-2010, P, DJE de 9-2-2011 Vide AI 785.236 AgR, rel. min. Ricardo Lewandowski, j. 1º-6-2010, 1ª T, DJE de 13-8-2010 Recurso. Interposição simultânea do especial e do extraordinário. Prejuízo. Ocorre o prejuízo do extraordinário quando o recorrente haja logrado êxito no julgamento do especial. O Direito é orgânico e dinâmico, sendo certo que, à luz do disposto no art. 512 do CPC, o julgamento proferido pelo Tribunal substituiria a sentença ou a decisão recorrida objeto do recurso.</w:t>
      </w:r>
    </w:p>
    <w:p>
      <w:pPr>
        <w:ind w:left="288"/>
      </w:pPr>
      <w:r>
        <w:rPr>
          <w:b/>
          <w:color w:val="003CA0"/>
          <w:sz w:val="16"/>
        </w:rPr>
        <w:t>[RE 495.560 AgR, rel. min. Marco Aurélio, j. 17-3-2009, 1ª T, DJE de 24-4-2009.]</w:t>
      </w:r>
    </w:p>
    <w:p>
      <w:pPr>
        <w:ind w:left="288"/>
      </w:pPr>
      <w:r>
        <w:rPr>
          <w:color w:val="8C8C8C"/>
          <w:sz w:val="12"/>
        </w:rPr>
        <w:t>cf-art-102-inc-III</w:t>
      </w:r>
      <w:r>
        <w:rPr>
          <w:color w:val="003CA0"/>
          <w:sz w:val="12"/>
        </w:rPr>
        <w:t xml:space="preserve"> | AI 262.581</w:t>
      </w:r>
      <w:r>
        <w:rPr>
          <w:color w:val="003CA0"/>
          <w:sz w:val="12"/>
        </w:rPr>
        <w:t xml:space="preserve"> | rel. Ayres Britto</w:t>
      </w:r>
    </w:p>
    <w:p>
      <w:pPr>
        <w:ind w:left="288"/>
      </w:pPr>
      <w:r>
        <w:rPr>
          <w:color w:val="1E1E1E"/>
          <w:sz w:val="18"/>
        </w:rPr>
        <w:t>= AI 262.581 AgR, rel. min. Ayres Britto, j. 17-8-2010, 2ª T, DJE de 17-9-2010 Vide RE 505.921 AgR, rel. min. Marco Aurélio, j. 13-4-2011, 1ª T, DJE de 18-5-2011 Vide AI 736.320 ED, rel. min. Gilmar Mendes, j. 16-12-2009, P, DJE de 12-2-2010 Vide RE 458.129 AgR, rel. min. Eros Grau, j. 14-8-2007, 2ª T, DJE de 19-10-2007 É intempestivo o recurso extraordinário cuja petição de ratificação foi apresentada fora do prazo recursal.</w:t>
      </w:r>
    </w:p>
    <w:p>
      <w:pPr>
        <w:ind w:left="288"/>
      </w:pPr>
      <w:r>
        <w:rPr>
          <w:b/>
          <w:color w:val="003CA0"/>
          <w:sz w:val="16"/>
        </w:rPr>
        <w:t>[AI 715.299 AgR, rel. min. Menezes Direito, j. 3-3-2009, 1ª T, DJE de 24-4-2009.]</w:t>
      </w:r>
    </w:p>
    <w:p>
      <w:pPr>
        <w:ind w:left="288"/>
      </w:pPr>
      <w:r>
        <w:rPr>
          <w:color w:val="8C8C8C"/>
          <w:sz w:val="12"/>
        </w:rPr>
        <w:t>cf-art-102-inc-III</w:t>
      </w:r>
      <w:r>
        <w:rPr>
          <w:color w:val="003CA0"/>
          <w:sz w:val="12"/>
        </w:rPr>
        <w:t xml:space="preserve"> | RE 343.041</w:t>
      </w:r>
      <w:r>
        <w:rPr>
          <w:color w:val="003CA0"/>
          <w:sz w:val="12"/>
        </w:rPr>
        <w:t xml:space="preserve"> | rel. Dias Toffoli</w:t>
      </w:r>
    </w:p>
    <w:p>
      <w:pPr>
        <w:ind w:left="288"/>
      </w:pPr>
      <w:r>
        <w:rPr>
          <w:color w:val="1E1E1E"/>
          <w:sz w:val="18"/>
        </w:rPr>
        <w:t>= RE 343.041 AgR, rel. min. Dias Toffoli, j. 19-10-2010, 1ª T, DJE de 14-3-2011 Interposição de recurso extraordinário simultaneamente à dos embargos de divergência. Impossibilidade. O princípio da unirrecorribilidade estava expressamente previsto no CPC de 1939 e foi implicitamente acolhido pela legislação processual vigente, em razão da sistemática por ela inaugurada e da cogente observância da regra da adequação dos recursos. Embargos de divergência e recurso extraordinário. Interposição simultânea contra uma mesma decisão. Impossibilidade. Enquanto não apreciados os embargos opostos pela p</w:t>
      </w:r>
    </w:p>
    <w:p>
      <w:pPr>
        <w:ind w:left="288"/>
      </w:pPr>
      <w:r>
        <w:rPr>
          <w:b/>
          <w:color w:val="003CA0"/>
          <w:sz w:val="16"/>
        </w:rPr>
        <w:t>[RE 547.244 AgR, rel. min. Eros Grau, j. 3-3-2009, 2ª T, DJE de 27-3-2009.]</w:t>
      </w:r>
    </w:p>
    <w:p>
      <w:pPr>
        <w:ind w:left="288"/>
      </w:pPr>
      <w:r>
        <w:rPr>
          <w:color w:val="8C8C8C"/>
          <w:sz w:val="12"/>
        </w:rPr>
        <w:t>cf-art-102-inc-III</w:t>
      </w:r>
      <w:r>
        <w:rPr>
          <w:color w:val="003CA0"/>
          <w:sz w:val="12"/>
        </w:rPr>
        <w:t xml:space="preserve"> | ARE 638.106</w:t>
      </w:r>
      <w:r>
        <w:rPr>
          <w:color w:val="003CA0"/>
          <w:sz w:val="12"/>
        </w:rPr>
        <w:t xml:space="preserve"> | rel. Celso de Mello</w:t>
      </w:r>
    </w:p>
    <w:p>
      <w:pPr>
        <w:ind w:left="288"/>
      </w:pPr>
      <w:r>
        <w:rPr>
          <w:color w:val="1E1E1E"/>
          <w:sz w:val="18"/>
        </w:rPr>
        <w:t>= ARE 638.106, rel. min. Celso de Mello, j. 10-3-2014, dec. monocrática, DJE de 18-3-2014 Recurso. Extraordinário. Retido. Inadmissibilidade. Interposição contra decisão que defere medida liminar. (...) Interpretação do art. 542, § 3º, do CPC. Aplicação da Súmula 735. Precedentes. O disposto no art. 542, § 3º, do CPC não pode ser interpretado de modo absoluto, mas não autoriza interposição de recurso extraordinário contra decisão que defere medida liminar.</w:t>
      </w:r>
    </w:p>
    <w:p>
      <w:pPr>
        <w:ind w:left="288"/>
      </w:pPr>
      <w:r>
        <w:rPr>
          <w:b/>
          <w:color w:val="003CA0"/>
          <w:sz w:val="16"/>
        </w:rPr>
        <w:t>[AC 1.745 AgR, rel. min. Cezar Peluso, j. 2-12-2008, 2ª T, DJE de 6-2-2009.]</w:t>
      </w:r>
    </w:p>
    <w:p>
      <w:pPr>
        <w:ind w:left="288"/>
      </w:pPr>
      <w:r>
        <w:rPr>
          <w:color w:val="8C8C8C"/>
          <w:sz w:val="12"/>
        </w:rPr>
        <w:t>cf-art-102-inc-III</w:t>
      </w:r>
      <w:r>
        <w:rPr>
          <w:color w:val="003CA0"/>
          <w:sz w:val="12"/>
        </w:rPr>
        <w:t xml:space="preserve"> | AC 1.843</w:t>
      </w:r>
      <w:r>
        <w:rPr>
          <w:color w:val="003CA0"/>
          <w:sz w:val="12"/>
        </w:rPr>
        <w:t xml:space="preserve"> | rel. Cármen Lúcia</w:t>
      </w:r>
    </w:p>
    <w:p>
      <w:pPr>
        <w:ind w:left="288"/>
      </w:pPr>
      <w:r>
        <w:rPr>
          <w:color w:val="1E1E1E"/>
          <w:sz w:val="18"/>
        </w:rPr>
        <w:t>= AC 1.843 AgR, rel. min. Cármen Lúcia, j. 24-6-2010, P, DJE de 13-8-2010 Vide AI 252.382 AgR, rel. min. Moreira Alves, j. 15-2-2000, 1ª T, DJ de 24-3-2000 Este Tribunal fixou entendimento no sentido de que é extemporâneo o recurso protocolado antes da publicação da decisão agravada, sem posterior ratificação.</w:t>
      </w:r>
    </w:p>
    <w:p>
      <w:pPr>
        <w:ind w:left="288"/>
      </w:pPr>
      <w:r>
        <w:rPr>
          <w:b/>
          <w:color w:val="003CA0"/>
          <w:sz w:val="16"/>
        </w:rPr>
        <w:t>[AI 723.265 AgR, rel. min. Eros Grau, j. 11-11-2008, 2ª T, DJE de 28-11-2008.]</w:t>
      </w:r>
    </w:p>
    <w:p>
      <w:pPr>
        <w:ind w:left="288"/>
      </w:pPr>
      <w:r>
        <w:rPr>
          <w:color w:val="8C8C8C"/>
          <w:sz w:val="12"/>
        </w:rPr>
        <w:t>cf-art-102-inc-III</w:t>
      </w:r>
      <w:r>
        <w:rPr>
          <w:color w:val="003CA0"/>
          <w:sz w:val="12"/>
        </w:rPr>
        <w:t xml:space="preserve"> | AI 764.914</w:t>
      </w:r>
      <w:r>
        <w:rPr>
          <w:color w:val="003CA0"/>
          <w:sz w:val="12"/>
        </w:rPr>
        <w:t xml:space="preserve"> | rel. Cezar Peluso</w:t>
      </w:r>
    </w:p>
    <w:p>
      <w:pPr>
        <w:ind w:left="288"/>
      </w:pPr>
      <w:r>
        <w:rPr>
          <w:color w:val="1E1E1E"/>
          <w:sz w:val="18"/>
        </w:rPr>
        <w:t>Vide AI 764.914 AgR, rel. min. Cezar Peluso, j. 2-2-2010, 2ª T, DJE de 17-9-2010 Vide AI 618.232 AgR, rel. min. Cezar Peluso, j. 3-11-2009, 2ª T, DJE de 27-11-2009 Vide AI 748.414 AgR, rel. min. Joaquim Barbosa, j. 6-10-2009, 2ª T, DJE de 29-10-2009 Quando em questão controvérsia sobre cabimento de recurso da competência de corte diversa, a via excepcional do recurso extraordinário apenas é aberta se no acórdão prolatado constar premissa contrária à CF.</w:t>
      </w:r>
    </w:p>
    <w:p>
      <w:pPr>
        <w:ind w:left="288"/>
      </w:pPr>
      <w:r>
        <w:rPr>
          <w:b/>
          <w:color w:val="003CA0"/>
          <w:sz w:val="16"/>
        </w:rPr>
        <w:t>[AI 678.026 AgR, rel. min. Marco Aurélio, j. 21-10-2008, 1ª T, DJE de 20-2-2009.]</w:t>
      </w:r>
    </w:p>
    <w:p>
      <w:pPr>
        <w:ind w:left="288"/>
      </w:pPr>
      <w:r>
        <w:rPr>
          <w:color w:val="8C8C8C"/>
          <w:sz w:val="12"/>
        </w:rPr>
        <w:t>cf-art-102-inc-III</w:t>
      </w:r>
      <w:r>
        <w:rPr>
          <w:color w:val="003CA0"/>
          <w:sz w:val="12"/>
        </w:rPr>
        <w:t xml:space="preserve"> | RE 557.310</w:t>
      </w:r>
      <w:r>
        <w:rPr>
          <w:color w:val="003CA0"/>
          <w:sz w:val="12"/>
        </w:rPr>
        <w:t xml:space="preserve"> | rel. Ellen Gracie</w:t>
      </w:r>
    </w:p>
    <w:p>
      <w:pPr>
        <w:ind w:left="288"/>
      </w:pPr>
      <w:r>
        <w:rPr>
          <w:color w:val="1E1E1E"/>
          <w:sz w:val="18"/>
        </w:rPr>
        <w:t>= RE 557.310 AgR, rel. min. Ellen Gracie, j. 17-3-2009, 2ª T, DJE de 17-4-2009 A existência de decisões de ministros que determinaram a subida de recursos extraordinários para melhor exame dos feitos sob sua relatoria, que versem sobre a matéria tratada no presente recurso, não vincula outros ministros deste STF nem respalda o sobrestamento deste recurso.</w:t>
      </w:r>
    </w:p>
    <w:p>
      <w:pPr>
        <w:ind w:left="288"/>
      </w:pPr>
      <w:r>
        <w:rPr>
          <w:b/>
          <w:color w:val="003CA0"/>
          <w:sz w:val="16"/>
        </w:rPr>
        <w:t>[AI 664.641 ED, voto da rel. min. Cármen Lúcia, j. 16-9-2008, 1ª T, DJE de 20-2-2009.]</w:t>
      </w:r>
    </w:p>
    <w:p>
      <w:pPr>
        <w:ind w:left="288"/>
      </w:pPr>
      <w:r>
        <w:rPr>
          <w:color w:val="8C8C8C"/>
          <w:sz w:val="12"/>
        </w:rPr>
        <w:t>cf-art-102-inc-III</w:t>
      </w:r>
      <w:r>
        <w:rPr>
          <w:color w:val="003CA0"/>
          <w:sz w:val="12"/>
        </w:rPr>
        <w:t xml:space="preserve"> | RE 499.823</w:t>
      </w:r>
      <w:r>
        <w:rPr>
          <w:color w:val="003CA0"/>
          <w:sz w:val="12"/>
        </w:rPr>
        <w:t xml:space="preserve"> | rel. Eros Grau</w:t>
      </w:r>
    </w:p>
    <w:p>
      <w:pPr>
        <w:ind w:left="288"/>
      </w:pPr>
      <w:r>
        <w:rPr>
          <w:color w:val="1E1E1E"/>
          <w:sz w:val="18"/>
        </w:rPr>
        <w:t>O recurso extraordinário não é via adequada para desconstituir-se a coisa julgada.</w:t>
      </w:r>
    </w:p>
    <w:p>
      <w:pPr>
        <w:ind w:left="288"/>
      </w:pPr>
      <w:r>
        <w:rPr>
          <w:b/>
          <w:color w:val="003CA0"/>
          <w:sz w:val="16"/>
        </w:rPr>
        <w:t>[RE 499.823 AgR, rel. min. Eros Grau, j. 12-8-2008, 2ª T, DJE de 29-8-2008.]</w:t>
      </w:r>
    </w:p>
    <w:p>
      <w:pPr>
        <w:ind w:left="288"/>
      </w:pPr>
      <w:r>
        <w:rPr>
          <w:color w:val="8C8C8C"/>
          <w:sz w:val="12"/>
        </w:rPr>
        <w:t>cf-art-102-inc-III</w:t>
      </w:r>
      <w:r>
        <w:rPr>
          <w:color w:val="003CA0"/>
          <w:sz w:val="12"/>
        </w:rPr>
        <w:t xml:space="preserve"> | AI 589.958</w:t>
      </w:r>
      <w:r>
        <w:rPr>
          <w:color w:val="003CA0"/>
          <w:sz w:val="12"/>
        </w:rPr>
        <w:t xml:space="preserve"> | rel. Cezar Peluso</w:t>
      </w:r>
    </w:p>
    <w:p>
      <w:pPr>
        <w:ind w:left="288"/>
      </w:pPr>
      <w:r>
        <w:rPr>
          <w:color w:val="1E1E1E"/>
          <w:sz w:val="18"/>
        </w:rPr>
        <w:t>Efeito ex nunc. Impossibilidade. Não se aplica o efeito ex nunc a declaração de inconstitucionalidade em processo de controle difuso.</w:t>
      </w:r>
    </w:p>
    <w:p>
      <w:pPr>
        <w:ind w:left="288"/>
      </w:pPr>
      <w:r>
        <w:rPr>
          <w:b/>
          <w:color w:val="003CA0"/>
          <w:sz w:val="16"/>
        </w:rPr>
        <w:t>[AI 589.958 AgR, rel. min. Cezar Peluso, j. 11-12-2007, 2ª T, DJE de 22-2-2008.]</w:t>
      </w:r>
    </w:p>
    <w:p>
      <w:pPr>
        <w:ind w:left="288"/>
      </w:pPr>
      <w:r>
        <w:rPr>
          <w:color w:val="8C8C8C"/>
          <w:sz w:val="12"/>
        </w:rPr>
        <w:t>cf-art-102-inc-III</w:t>
      </w:r>
      <w:r>
        <w:rPr>
          <w:color w:val="003CA0"/>
          <w:sz w:val="12"/>
        </w:rPr>
        <w:t xml:space="preserve"> | AI 748.786</w:t>
      </w:r>
      <w:r>
        <w:rPr>
          <w:color w:val="003CA0"/>
          <w:sz w:val="12"/>
        </w:rPr>
        <w:t xml:space="preserve"> | rel. Eros Grau</w:t>
      </w:r>
    </w:p>
    <w:p>
      <w:pPr>
        <w:ind w:left="288"/>
      </w:pPr>
      <w:r>
        <w:rPr>
          <w:color w:val="1E1E1E"/>
          <w:sz w:val="18"/>
        </w:rPr>
        <w:t xml:space="preserve">= AI 748.786 AgR, rel. min. Eros Grau, j. 18-8-2009, 2ª T, DJE de 11-9-2009 Ação cautelar. Questão de ordem. Pedido de contracautela para revogar o efeito suspensivo concedido pelo Tribunal de origem a recurso extraordinário. Instaurada a jurisdição cautelar deste STF, após a decisão do Tribunal de origem que admite o processamento do recurso extraordinário, cabe a esta Corte reexaminar os pressupostos para a concessão de medidas acautelatórias que visem a assegurar a eficácia de sua decisão final. O STF não fica vinculado à apreciação do fumus boni iuris e do periculum in mora realizada pelo </w:t>
      </w:r>
    </w:p>
    <w:p>
      <w:pPr>
        <w:ind w:left="288"/>
      </w:pPr>
      <w:r>
        <w:rPr>
          <w:b/>
          <w:color w:val="003CA0"/>
          <w:sz w:val="16"/>
        </w:rPr>
        <w:t>[AC 1.775 QO, rel. min. Gilmar Mendes, j. 23-10-2007, 2ª T, DJ de 23-11-2007.]</w:t>
      </w:r>
    </w:p>
    <w:p>
      <w:pPr>
        <w:ind w:left="288"/>
      </w:pPr>
      <w:r>
        <w:rPr>
          <w:color w:val="8C8C8C"/>
          <w:sz w:val="12"/>
        </w:rPr>
        <w:t>cf-art-102-inc-III</w:t>
      </w:r>
      <w:r>
        <w:rPr>
          <w:color w:val="003CA0"/>
          <w:sz w:val="12"/>
        </w:rPr>
        <w:t xml:space="preserve"> | AC 1.801</w:t>
      </w:r>
      <w:r>
        <w:rPr>
          <w:color w:val="003CA0"/>
          <w:sz w:val="12"/>
        </w:rPr>
        <w:t xml:space="preserve"> | rel. Celso de Mello</w:t>
      </w:r>
    </w:p>
    <w:p>
      <w:pPr>
        <w:ind w:left="288"/>
      </w:pPr>
      <w:r>
        <w:rPr>
          <w:color w:val="1E1E1E"/>
          <w:sz w:val="18"/>
        </w:rPr>
        <w:t>Ação cautelar. Recurso extraordinário. Retenção (CPC, art. 542, § 3º, na redação dada pela Lei 9.756/1998). Apelo extremo interposto contra decisão interlocutória. Medida cautelar. Excepcionalidade. Existência de plausibilidade jurídica. Ocorrência, na espécie, de situação configuradora de periculum in mora. Contexto que enseja a outorga excepcional de provimento cautelar. Medida cautelar deferida. Decisão do relator referendada pela Turma.</w:t>
      </w:r>
    </w:p>
    <w:p>
      <w:pPr>
        <w:ind w:left="288"/>
      </w:pPr>
      <w:r>
        <w:rPr>
          <w:b/>
          <w:color w:val="003CA0"/>
          <w:sz w:val="16"/>
        </w:rPr>
        <w:t>[AC 1.801 QO, rel. min. Celso de Mello, j. 16-10-2007, 2ª T, DJE de 13-5-2013.]</w:t>
      </w:r>
    </w:p>
    <w:p>
      <w:pPr>
        <w:ind w:left="288"/>
      </w:pPr>
      <w:r>
        <w:rPr>
          <w:color w:val="8C8C8C"/>
          <w:sz w:val="12"/>
        </w:rPr>
        <w:t>cf-art-102-inc-III</w:t>
      </w:r>
      <w:r>
        <w:rPr>
          <w:color w:val="003CA0"/>
          <w:sz w:val="12"/>
        </w:rPr>
        <w:t xml:space="preserve"> | ARE 739.851</w:t>
      </w:r>
      <w:r>
        <w:rPr>
          <w:color w:val="003CA0"/>
          <w:sz w:val="12"/>
        </w:rPr>
        <w:t xml:space="preserve"> | rel. Teori Zavascki</w:t>
      </w:r>
    </w:p>
    <w:p>
      <w:pPr>
        <w:ind w:left="288"/>
      </w:pPr>
      <w:r>
        <w:rPr>
          <w:color w:val="1E1E1E"/>
          <w:sz w:val="18"/>
        </w:rPr>
        <w:t>Vide ARE 739.851 AgR, rel. min. Teori Zavascki, j. 29-4-2014, 2ª T, DJE de 13-5-2014 Recurso extraordinário que ainda não sofreu juízo de admissibilidade. Acórdão do Tribunal recorrido que versa matéria idêntica à veiculada em causas já preparadas para serem julgadas pelo Plenário do STF. Retardamento, pela Presidência do Tribunal recorrido, da formulação do juízo (positivo ou negativo) de admissibilidade do apelo extremo. Potencialidade danosa resultante dessa omissão processual, agravada pela inércia no exame do pedido de tutela de urgência. Caracterização de dano potencial apto a compromete</w:t>
      </w:r>
    </w:p>
    <w:p>
      <w:pPr>
        <w:ind w:left="288"/>
      </w:pPr>
      <w:r>
        <w:rPr>
          <w:b/>
          <w:color w:val="003CA0"/>
          <w:sz w:val="16"/>
        </w:rPr>
        <w:t>[AC 1.810 QO, rel. min. Celso de Mello, j. 16-10-2007, 2ª T, DJ de 31-10-2007.]</w:t>
      </w:r>
    </w:p>
    <w:p>
      <w:pPr>
        <w:ind w:left="288"/>
      </w:pPr>
      <w:r>
        <w:rPr>
          <w:color w:val="8C8C8C"/>
          <w:sz w:val="12"/>
        </w:rPr>
        <w:t>cf-art-102-inc-III</w:t>
      </w:r>
      <w:r>
        <w:rPr>
          <w:color w:val="003CA0"/>
          <w:sz w:val="12"/>
        </w:rPr>
        <w:t xml:space="preserve"> | AC 2.240</w:t>
      </w:r>
      <w:r>
        <w:rPr>
          <w:color w:val="003CA0"/>
          <w:sz w:val="12"/>
        </w:rPr>
        <w:t xml:space="preserve"> | rel. Cezar Peluso</w:t>
      </w:r>
    </w:p>
    <w:p>
      <w:pPr>
        <w:ind w:left="288"/>
      </w:pPr>
      <w:r>
        <w:rPr>
          <w:color w:val="1E1E1E"/>
          <w:sz w:val="18"/>
        </w:rPr>
        <w:t>Vide AC 2.240 AgR, rel. min. Cezar Peluso, j. 1º-7-2009, P, DJE de 9-4-2010 Questão de ordem em ação cautelar. Efeito suspensivo a recurso extraordinário não admitido pelo tribunal de origem. Agravo de instrumento pendente de julgamento. Medida cautelar concedida para suspender os efeitos do acórdão recorrido. Em situações excepcionais, em que estão patentes a plausibilidade jurídica do pedido – decorrente do fato de a decisão recorrida contrariar jurisprudência ou súmula do STF – e o perigo de dano irreparável ou de difícil reparação a ser consubstanciado pela execução do acórdão recorrido, o</w:t>
      </w:r>
    </w:p>
    <w:p>
      <w:pPr>
        <w:ind w:left="288"/>
      </w:pPr>
      <w:r>
        <w:rPr>
          <w:b/>
          <w:color w:val="003CA0"/>
          <w:sz w:val="16"/>
        </w:rPr>
        <w:t>[AC 1.770 QO, rel. min. Gilmar Mendes, j. 18-9-2007, 2ª T, DJ de 19-10-2007.]</w:t>
      </w:r>
    </w:p>
    <w:p>
      <w:pPr>
        <w:ind w:left="288"/>
      </w:pPr>
      <w:r>
        <w:rPr>
          <w:color w:val="8C8C8C"/>
          <w:sz w:val="12"/>
        </w:rPr>
        <w:t>cf-art-102-inc-III</w:t>
      </w:r>
      <w:r>
        <w:rPr>
          <w:color w:val="003CA0"/>
          <w:sz w:val="12"/>
        </w:rPr>
        <w:t xml:space="preserve"> | AC 2.011</w:t>
      </w:r>
      <w:r>
        <w:rPr>
          <w:color w:val="003CA0"/>
          <w:sz w:val="12"/>
        </w:rPr>
        <w:t xml:space="preserve"> | rel. Ricardo Lewandowski</w:t>
      </w:r>
    </w:p>
    <w:p>
      <w:pPr>
        <w:ind w:left="288"/>
      </w:pPr>
      <w:r>
        <w:rPr>
          <w:color w:val="1E1E1E"/>
          <w:sz w:val="18"/>
        </w:rPr>
        <w:t>=  AC 2.011 MC, rel. min. Ricardo Lewandowski, j. 15-4-2008, 2ª T, DJE de 16-5-2008 Vide AC 1.872 AgR, rel. min. Dias Toffoli, j. 6-4-2010, 1ª T, DJE de 30-4-2010 É possível dar-se provimento a recurso extraordinário, quando a tese constitucional é tratada na peça recursal, ainda que não haja indicação expressa do dispositivo constitucional violado.</w:t>
      </w:r>
    </w:p>
    <w:p>
      <w:pPr>
        <w:ind w:left="288"/>
      </w:pPr>
      <w:r>
        <w:rPr>
          <w:b/>
          <w:color w:val="003CA0"/>
          <w:sz w:val="16"/>
        </w:rPr>
        <w:t>[AI 513.262 AgR-AgR, rel. min. Cezar Peluso, j. 18-9-2007, 2ª T, DJ de 11-10-2007.]</w:t>
      </w:r>
    </w:p>
    <w:p>
      <w:pPr>
        <w:ind w:left="288"/>
      </w:pPr>
      <w:r>
        <w:rPr>
          <w:color w:val="8C8C8C"/>
          <w:sz w:val="12"/>
        </w:rPr>
        <w:t>cf-art-102-inc-III</w:t>
      </w:r>
      <w:r>
        <w:rPr>
          <w:color w:val="003CA0"/>
          <w:sz w:val="12"/>
        </w:rPr>
        <w:t xml:space="preserve"> | RE 570.084</w:t>
      </w:r>
      <w:r>
        <w:rPr>
          <w:color w:val="003CA0"/>
          <w:sz w:val="12"/>
        </w:rPr>
        <w:t xml:space="preserve"> | rel. Cármen Lúcia</w:t>
      </w:r>
    </w:p>
    <w:p>
      <w:pPr>
        <w:ind w:left="288"/>
      </w:pPr>
      <w:r>
        <w:rPr>
          <w:color w:val="1E1E1E"/>
          <w:sz w:val="18"/>
        </w:rPr>
        <w:t>= RE 570.084, rel. min. Cármen Lúcia, j. 26-5-2009, 1ª T, DJE de 1º-7-2009 Ação popular. Contrato de risco entre a Petrobras e a Paulipetro (consórcio "Cesp" e "IPT"). Nulidade reconhecida pelo STJ, em sede de recurso especial. Fundamento central: ofensa ao art. 2º da Lei 4.717/1965. Alegada incompetência absoluta do STJ para apreciar litígio entre a União e o Estado de São Paulo, assim como para julgar matéria constitucional sob reserva do STF. Ausência de prequestionamento; descabimento da alegação. Suposta aplicação do inciso LXXIII do art. 5º da Constituição Republicana de 1988. Inexistênc</w:t>
      </w:r>
    </w:p>
    <w:p>
      <w:pPr>
        <w:ind w:left="288"/>
      </w:pPr>
      <w:r>
        <w:rPr>
          <w:b/>
          <w:color w:val="003CA0"/>
          <w:sz w:val="16"/>
        </w:rPr>
        <w:t>[RE 479.887, rel. min. Ayres Britto, j. 7-8-2007, 1ª T, DJ de 31-10-2007.]</w:t>
      </w:r>
    </w:p>
    <w:p>
      <w:pPr>
        <w:ind w:left="288"/>
      </w:pPr>
      <w:r>
        <w:rPr>
          <w:color w:val="8C8C8C"/>
          <w:sz w:val="12"/>
        </w:rPr>
        <w:t>cf-art-102-inc-III</w:t>
      </w:r>
      <w:r>
        <w:rPr>
          <w:color w:val="003CA0"/>
          <w:sz w:val="12"/>
        </w:rPr>
        <w:t xml:space="preserve"> | RE 509.500</w:t>
      </w:r>
      <w:r>
        <w:rPr>
          <w:color w:val="003CA0"/>
          <w:sz w:val="12"/>
        </w:rPr>
        <w:t xml:space="preserve"> | rel. Sepúlveda Pertence</w:t>
      </w:r>
    </w:p>
    <w:p>
      <w:pPr>
        <w:ind w:left="288"/>
      </w:pPr>
      <w:r>
        <w:rPr>
          <w:color w:val="1E1E1E"/>
          <w:sz w:val="18"/>
        </w:rPr>
        <w:t>Se o STJ, ao julgar o recurso especial, apreciou matéria constitucional e, supostamente, usurpou a competência do Supremo Tribunal, cabia à instituição financeira a interposição de recurso extraordinário contra a decisão.</w:t>
      </w:r>
    </w:p>
    <w:p>
      <w:pPr>
        <w:ind w:left="288"/>
      </w:pPr>
      <w:r>
        <w:rPr>
          <w:b/>
          <w:color w:val="003CA0"/>
          <w:sz w:val="16"/>
        </w:rPr>
        <w:t>[RE 509.500 AgR, rel. min. Sepúlveda Pertence, j. 26-6-2007, 1ª T, DJ de 17-8-2007.]</w:t>
      </w:r>
    </w:p>
    <w:p>
      <w:pPr>
        <w:ind w:left="288"/>
      </w:pPr>
      <w:r>
        <w:rPr>
          <w:color w:val="8C8C8C"/>
          <w:sz w:val="12"/>
        </w:rPr>
        <w:t>cf-art-102-inc-III</w:t>
      </w:r>
      <w:r>
        <w:rPr>
          <w:color w:val="003CA0"/>
          <w:sz w:val="12"/>
        </w:rPr>
        <w:t xml:space="preserve"> | RE 257.834</w:t>
      </w:r>
      <w:r>
        <w:rPr>
          <w:color w:val="003CA0"/>
          <w:sz w:val="12"/>
        </w:rPr>
        <w:t xml:space="preserve"> | rel. Sepúlveda Pertence</w:t>
      </w:r>
    </w:p>
    <w:p>
      <w:pPr>
        <w:ind w:left="288"/>
      </w:pPr>
      <w:r>
        <w:rPr>
          <w:color w:val="1E1E1E"/>
          <w:sz w:val="18"/>
        </w:rPr>
        <w:t>É da jurisprudência do STF que o recurso extraordinário interposto em processo de ação rescisória há de voltar-se contra a fundamentação do acórdão nela proferido e não a da decisão rescindenda.</w:t>
      </w:r>
    </w:p>
    <w:p>
      <w:pPr>
        <w:ind w:left="288"/>
      </w:pPr>
      <w:r>
        <w:rPr>
          <w:b/>
          <w:color w:val="003CA0"/>
          <w:sz w:val="16"/>
        </w:rPr>
        <w:t>[RE 257.834 AgR, rel. min. Sepúlveda Pertence, j. 26-6-2007, 1ª T, DJ de 17-8-2007.]</w:t>
      </w:r>
    </w:p>
    <w:p>
      <w:pPr>
        <w:ind w:left="288"/>
      </w:pPr>
      <w:r>
        <w:rPr>
          <w:color w:val="8C8C8C"/>
          <w:sz w:val="12"/>
        </w:rPr>
        <w:t>cf-art-102-inc-III</w:t>
      </w:r>
      <w:r>
        <w:rPr>
          <w:color w:val="003CA0"/>
          <w:sz w:val="12"/>
        </w:rPr>
        <w:t xml:space="preserve"> | AI 756.135</w:t>
      </w:r>
      <w:r>
        <w:rPr>
          <w:color w:val="003CA0"/>
          <w:sz w:val="12"/>
        </w:rPr>
        <w:t xml:space="preserve"> | rel. Ricardo Lewandowski</w:t>
      </w:r>
    </w:p>
    <w:p>
      <w:pPr>
        <w:ind w:left="288"/>
      </w:pPr>
      <w:r>
        <w:rPr>
          <w:color w:val="1E1E1E"/>
          <w:sz w:val="18"/>
        </w:rPr>
        <w:t>= AI 756.135 AgR, rel. min. Ricardo Lewandowski, j. 19-10-2010, 1ª T, DJE de 16-11-2010 Recurso extraordinário: descabimento: decisão recorrida proferida em ação cautelar inominada, de natureza não definitiva (...) (RE 263.038, Primeira Turma, Pertence, DJ de 28-4-2000).</w:t>
      </w:r>
    </w:p>
    <w:p>
      <w:pPr>
        <w:ind w:left="288"/>
      </w:pPr>
      <w:r>
        <w:rPr>
          <w:b/>
          <w:color w:val="003CA0"/>
          <w:sz w:val="16"/>
        </w:rPr>
        <w:t>[AI 586.906 AgR, rel. min. Sepúlveda Pertence, j. 19-6-2007, 1ª T, DJ de 3-8-2007.]</w:t>
      </w:r>
    </w:p>
    <w:p>
      <w:pPr>
        <w:ind w:left="288"/>
      </w:pPr>
      <w:r>
        <w:rPr>
          <w:color w:val="8C8C8C"/>
          <w:sz w:val="12"/>
        </w:rPr>
        <w:t>cf-art-102-inc-III</w:t>
      </w:r>
      <w:r>
        <w:rPr>
          <w:color w:val="003CA0"/>
          <w:sz w:val="12"/>
        </w:rPr>
        <w:t xml:space="preserve"> | AC 1.114</w:t>
      </w:r>
      <w:r>
        <w:rPr>
          <w:color w:val="003CA0"/>
          <w:sz w:val="12"/>
        </w:rPr>
        <w:t xml:space="preserve"> | rel. Gilmar Mendes</w:t>
      </w:r>
    </w:p>
    <w:p>
      <w:pPr>
        <w:ind w:left="288"/>
      </w:pPr>
      <w:r>
        <w:rPr>
          <w:color w:val="1E1E1E"/>
          <w:sz w:val="18"/>
        </w:rPr>
        <w:t>Consoante precedentes da Corte, a atribuição de efeito suspensivo ou tutela recursal a recurso extraordinário pressupõe a inauguração da jurisdição cautelar da Corte, com o juízo de admissibilidade positivo pelo tribunal de origem ou o provimento do respectivo agravo de instrumento de despacho denegatório. Excepcionalmente, o Tribunal admite a concessão de medidas cautelares em situações extraordinárias, marcadas por inequívoco risco de perecimento, irreversível, do direito alegado (cf., v.g., AC 1.114 AgR, rel. min. Gilmar Mendes, Segunda Turma, DJ de 23-6-2006).</w:t>
      </w:r>
    </w:p>
    <w:p>
      <w:pPr>
        <w:ind w:left="288"/>
      </w:pPr>
      <w:r>
        <w:rPr>
          <w:b/>
          <w:color w:val="003CA0"/>
          <w:sz w:val="16"/>
        </w:rPr>
        <w:t>[AC 1.338 MC-AgR, rel. min. Joaquim Barbosa, j. 12-6-2007, 2ª T, DJE de 20-6-2008.]</w:t>
      </w:r>
    </w:p>
    <w:p>
      <w:pPr>
        <w:ind w:left="288"/>
      </w:pPr>
      <w:r>
        <w:rPr>
          <w:color w:val="8C8C8C"/>
          <w:sz w:val="12"/>
        </w:rPr>
        <w:t>cf-art-102-inc-III</w:t>
      </w:r>
      <w:r>
        <w:rPr>
          <w:color w:val="003CA0"/>
          <w:sz w:val="12"/>
        </w:rPr>
        <w:t xml:space="preserve"> | AC 1.420</w:t>
      </w:r>
      <w:r>
        <w:rPr>
          <w:color w:val="003CA0"/>
          <w:sz w:val="12"/>
        </w:rPr>
        <w:t xml:space="preserve"> | rel. Ellen Gracie</w:t>
      </w:r>
    </w:p>
    <w:p>
      <w:pPr>
        <w:ind w:left="288"/>
      </w:pPr>
      <w:r>
        <w:rPr>
          <w:color w:val="1E1E1E"/>
          <w:sz w:val="18"/>
        </w:rPr>
        <w:t>= AC 1.420 MC-AgR, rel. min. Ellen Gracie, j. 24-6-2008, 2ª T, DJE de 22-8-2008 = AC 2.347 AgR, rel. min. Ricardo Lewandowski, j. 9-6-2009, 1ª T, DJE de 21-8-2009 Preceito constitucional autorizador. Ausência. É de se conhecer do recurso, mesmo havendo erro ou omissão do preceito, da Constituição, em que se fundou o recurso extraordinário – entre os casos previstos no art. 102, III, a, b, c e d, da CF. Isso se dos fundamentos do acórdão recorrido e das razões recursais for possível identificá-lo.</w:t>
      </w:r>
    </w:p>
    <w:p>
      <w:pPr>
        <w:ind w:left="288"/>
      </w:pPr>
      <w:r>
        <w:rPr>
          <w:b/>
          <w:color w:val="003CA0"/>
          <w:sz w:val="16"/>
        </w:rPr>
        <w:t>[AI 630.471 AgR, rel. min. Eros Grau, j. 5-6-2007, 2ª T, DJE de 17-8-2007.]</w:t>
      </w:r>
    </w:p>
    <w:p>
      <w:pPr>
        <w:ind w:left="288"/>
      </w:pPr>
      <w:r>
        <w:rPr>
          <w:color w:val="8C8C8C"/>
          <w:sz w:val="12"/>
        </w:rPr>
        <w:t>cf-art-102-inc-III</w:t>
      </w:r>
      <w:r>
        <w:rPr>
          <w:color w:val="003CA0"/>
          <w:sz w:val="12"/>
        </w:rPr>
        <w:t xml:space="preserve"> | RE 388.846</w:t>
      </w:r>
      <w:r>
        <w:rPr>
          <w:color w:val="003CA0"/>
          <w:sz w:val="12"/>
        </w:rPr>
        <w:t xml:space="preserve"> | rel. Sepúlveda Pertence</w:t>
      </w:r>
    </w:p>
    <w:p>
      <w:pPr>
        <w:ind w:left="288"/>
      </w:pPr>
      <w:r>
        <w:rPr>
          <w:color w:val="1E1E1E"/>
          <w:sz w:val="18"/>
        </w:rPr>
        <w:t>Recurso extraordinário. Juízo de admissibilidade: competência. No recurso extraordinário interposto de decisão de turma recursal dos juizados especiais, compete ao seu próprio presidente – e não ao do tribunal de justiça – o juízo inicial de admissibilidade (cf. RE 388.846 QO, 9-9-2004, Plenário, Marco Aurélio).</w:t>
      </w:r>
    </w:p>
    <w:p>
      <w:pPr>
        <w:ind w:left="288"/>
      </w:pPr>
      <w:r>
        <w:rPr>
          <w:b/>
          <w:color w:val="003CA0"/>
          <w:sz w:val="16"/>
        </w:rPr>
        <w:t>[AI 631.319 ED-AgR, rel. min. Sepúlveda Pertence, j. 15-5-2007, 1ª T, DJ de 8-6-2007.]</w:t>
      </w:r>
    </w:p>
    <w:p>
      <w:pPr>
        <w:ind w:left="288"/>
      </w:pPr>
      <w:r>
        <w:rPr>
          <w:color w:val="8C8C8C"/>
          <w:sz w:val="12"/>
        </w:rPr>
        <w:t>cf-art-102-inc-III</w:t>
      </w:r>
      <w:r>
        <w:rPr>
          <w:color w:val="003CA0"/>
          <w:sz w:val="12"/>
        </w:rPr>
        <w:t xml:space="preserve"> | AI 604.198</w:t>
      </w:r>
      <w:r>
        <w:rPr>
          <w:color w:val="003CA0"/>
          <w:sz w:val="12"/>
        </w:rPr>
        <w:t xml:space="preserve"> | rel. Ayres Britto</w:t>
      </w:r>
    </w:p>
    <w:p>
      <w:pPr>
        <w:ind w:left="288"/>
      </w:pPr>
      <w:r>
        <w:rPr>
          <w:color w:val="1E1E1E"/>
          <w:sz w:val="18"/>
        </w:rPr>
        <w:t>= AI 604.198 AgR, rel. min. Ayres Britto, j. 6-4-2010, 1ª T, DJE de 7-5-2010 Conforme o disposto no art. 546 do CPC, interpretado presente o objetivo da norma, mostram-se cabíveis os embargos de divergência quando o acórdão atacado por meio deles implica pronunciamento quanto a recurso extraordinário. (...) Ante o novo entendimento sobre o alcance do art. 546 do CPC, não subsiste, sendo cancelado, o Verbete 599 da Súmula do Supremo – "São incabíveis embargos de divergência de decisão de Turma, em agravo regimental". (...) Incumbe ao órgão julgador evoluir no entendimento inicialmente adotado t</w:t>
      </w:r>
    </w:p>
    <w:p>
      <w:pPr>
        <w:ind w:left="288"/>
      </w:pPr>
      <w:r>
        <w:rPr>
          <w:b/>
          <w:color w:val="003CA0"/>
          <w:sz w:val="16"/>
        </w:rPr>
        <w:t>[RE 285.093 AgR-ED-EDv-AgR, rel. p/ o ac. min. Marco Aurélio, j. 26-4-2007, P, DJE de 28-3-2008.]</w:t>
      </w:r>
    </w:p>
    <w:p>
      <w:pPr>
        <w:ind w:left="288"/>
      </w:pPr>
      <w:r>
        <w:rPr>
          <w:color w:val="8C8C8C"/>
          <w:sz w:val="12"/>
        </w:rPr>
        <w:t>cf-art-102-inc-III</w:t>
      </w:r>
      <w:r>
        <w:rPr>
          <w:color w:val="003CA0"/>
          <w:sz w:val="12"/>
        </w:rPr>
        <w:t xml:space="preserve"> | AI 491.003</w:t>
      </w:r>
      <w:r>
        <w:rPr>
          <w:color w:val="003CA0"/>
          <w:sz w:val="12"/>
        </w:rPr>
        <w:t xml:space="preserve"> | rel. Marco Aurélio</w:t>
      </w:r>
    </w:p>
    <w:p>
      <w:pPr>
        <w:ind w:left="288"/>
      </w:pPr>
      <w:r>
        <w:rPr>
          <w:color w:val="1E1E1E"/>
          <w:sz w:val="18"/>
        </w:rPr>
        <w:t>Vide AI 491.003 AgR-ED-EDv-AgR, rel. min. Marco Aurélio, j. 14-10-2010, P, DJE de 3-12-2010 Direito. Organicidade e dinâmica. O Direito, especialmente o instrumental, é orgânico e dinâmico, não se podendo voltar a fase ultrapassada. Em sede extraordinária, não se julga matéria pela vez primeira.</w:t>
      </w:r>
    </w:p>
    <w:p>
      <w:pPr>
        <w:ind w:left="288"/>
      </w:pPr>
      <w:r>
        <w:rPr>
          <w:b/>
          <w:color w:val="003CA0"/>
          <w:sz w:val="16"/>
        </w:rPr>
        <w:t>[RE 391.852 AgR, rel. min. Marco Aurélio, j. 3-4-2007, 1ª T, DJ de 18-5-2007.]</w:t>
      </w:r>
    </w:p>
    <w:p>
      <w:pPr>
        <w:ind w:left="288"/>
      </w:pPr>
      <w:r>
        <w:rPr>
          <w:color w:val="8C8C8C"/>
          <w:sz w:val="12"/>
        </w:rPr>
        <w:t>cf-art-102-inc-III</w:t>
      </w:r>
      <w:r>
        <w:rPr>
          <w:color w:val="003CA0"/>
          <w:sz w:val="12"/>
        </w:rPr>
        <w:t xml:space="preserve"> | RE 490.076</w:t>
      </w:r>
      <w:r>
        <w:rPr>
          <w:color w:val="003CA0"/>
          <w:sz w:val="12"/>
        </w:rPr>
        <w:t xml:space="preserve"> | rel. Eros Grau</w:t>
      </w:r>
    </w:p>
    <w:p>
      <w:pPr>
        <w:ind w:left="288"/>
      </w:pPr>
      <w:r>
        <w:rPr>
          <w:color w:val="1E1E1E"/>
          <w:sz w:val="18"/>
        </w:rPr>
        <w:t>Vide RE 490.076 AgR, rel. min. Eros Grau, j. 5-6-2007, 2ª T, DJE de 29-6-2007 A intempestividade dos recursos tanto pode derivar de impugnações prematuras (que se antecipam à publicação dos acórdãos) quanto decorrer de oposições tardias (que se registram após o decurso dos prazos recursais). Em qualquer das duas situações – impugnação prematura ou oposição tardia –, a consequência de ordem processual é uma só: o não conhecimento do recurso, por efeito de sua extemporânea interposição. A jurisprudência do STF tem advertido que a simples notícia do julgamento, além de não dar início à fluência d</w:t>
      </w:r>
    </w:p>
    <w:p>
      <w:pPr>
        <w:ind w:left="288"/>
      </w:pPr>
      <w:r>
        <w:rPr>
          <w:b/>
          <w:color w:val="003CA0"/>
          <w:sz w:val="16"/>
        </w:rPr>
        <w:t>[RE 492.957 AgR, rel. min. Celso de Mello, j. 13-3-2007, 2ª T, DJ de 22-6-2007.]</w:t>
      </w:r>
    </w:p>
    <w:p>
      <w:pPr>
        <w:ind w:left="288"/>
      </w:pPr>
      <w:r>
        <w:rPr>
          <w:color w:val="8C8C8C"/>
          <w:sz w:val="12"/>
        </w:rPr>
        <w:t>cf-art-102-inc-III</w:t>
      </w:r>
      <w:r>
        <w:rPr>
          <w:color w:val="003CA0"/>
          <w:sz w:val="12"/>
        </w:rPr>
        <w:t xml:space="preserve"> | AI 776.095</w:t>
      </w:r>
      <w:r>
        <w:rPr>
          <w:color w:val="003CA0"/>
          <w:sz w:val="12"/>
        </w:rPr>
        <w:t xml:space="preserve"> | rel. Cezar Peluso</w:t>
      </w:r>
    </w:p>
    <w:p>
      <w:pPr>
        <w:ind w:left="288"/>
      </w:pPr>
      <w:r>
        <w:rPr>
          <w:color w:val="1E1E1E"/>
          <w:sz w:val="18"/>
        </w:rPr>
        <w:t>= AI 776.095 AgR, rel. min. Cezar Peluso, j. 1º-12-2010, P, DJE de 1º-2-2011 Vide AI 658.519 AgR-ED, rel. min. Ayres Britto, j. 7-6-2011, 2ª T, DJE de 9-9-2011 A adoção explícita, pelo Tribunal de origem, de tese afastada pelo STF em sede de controle concentrado de constitucionalidade evidencia o debate da matéria constitucional deduzida no extraordinário, atendendo, a mancheias, o requisito do prequestionamento. Não incidência das Súmulas 282 e 356/STF.</w:t>
      </w:r>
    </w:p>
    <w:p>
      <w:pPr>
        <w:ind w:left="288"/>
      </w:pPr>
      <w:r>
        <w:rPr>
          <w:b/>
          <w:color w:val="003CA0"/>
          <w:sz w:val="16"/>
        </w:rPr>
        <w:t>[RE 466.518 AgR, rel. min. Ayres Britto, j. 27-2-2007, 1ª T, DJ de 11-5-2007.]</w:t>
      </w:r>
    </w:p>
    <w:p>
      <w:pPr>
        <w:ind w:left="288"/>
      </w:pPr>
      <w:r>
        <w:rPr>
          <w:color w:val="8C8C8C"/>
          <w:sz w:val="12"/>
        </w:rPr>
        <w:t>cf-art-102-inc-III</w:t>
      </w:r>
      <w:r>
        <w:rPr>
          <w:color w:val="003CA0"/>
          <w:sz w:val="12"/>
        </w:rPr>
        <w:t xml:space="preserve"> | RE 463.948</w:t>
      </w:r>
      <w:r>
        <w:rPr>
          <w:color w:val="003CA0"/>
          <w:sz w:val="12"/>
        </w:rPr>
        <w:t xml:space="preserve"> | rel. Ayres Britto</w:t>
      </w:r>
    </w:p>
    <w:p>
      <w:pPr>
        <w:ind w:left="288"/>
      </w:pPr>
      <w:r>
        <w:rPr>
          <w:color w:val="1E1E1E"/>
          <w:sz w:val="18"/>
        </w:rPr>
        <w:t>A simples referência a um determinado verbete, integrante da jurisprudência sumulada da Corte de origem, não configura o prequestionamento da matéria deduzida em sede de recurso extraordinário. Sobretudo se do aresto recorrido não consta sequer o teor daquele enunciado. Aplicação das Súmulas 282 e 356/STF.</w:t>
      </w:r>
    </w:p>
    <w:p>
      <w:pPr>
        <w:ind w:left="288"/>
      </w:pPr>
      <w:r>
        <w:rPr>
          <w:b/>
          <w:color w:val="003CA0"/>
          <w:sz w:val="16"/>
        </w:rPr>
        <w:t>[RE 463.948 AgR-ED, rel. min. Ayres Britto, j. 6-2-2007, 1ª T, DJ de 11-5-2007.]</w:t>
      </w:r>
    </w:p>
    <w:p>
      <w:pPr>
        <w:ind w:left="288"/>
      </w:pPr>
      <w:r>
        <w:rPr>
          <w:color w:val="8C8C8C"/>
          <w:sz w:val="12"/>
        </w:rPr>
        <w:t>cf-art-102-inc-III</w:t>
      </w:r>
      <w:r>
        <w:rPr>
          <w:color w:val="003CA0"/>
          <w:sz w:val="12"/>
        </w:rPr>
        <w:t xml:space="preserve"> | RE 462.242</w:t>
      </w:r>
      <w:r>
        <w:rPr>
          <w:color w:val="003CA0"/>
          <w:sz w:val="12"/>
        </w:rPr>
        <w:t xml:space="preserve"> | rel. Ayres Britto</w:t>
      </w:r>
    </w:p>
    <w:p>
      <w:pPr>
        <w:ind w:left="288"/>
      </w:pPr>
      <w:r>
        <w:rPr>
          <w:color w:val="1E1E1E"/>
          <w:sz w:val="18"/>
        </w:rPr>
        <w:t>Se o aresto recorrido está assentado em dispositivo de lei declarado inconstitucional pelo STF em ação direta, o julgamento do recurso extraordinário se limita ao afastamento da respectiva premissa e à devolução dos autos à corte de origem, para regular prosseguimento do feito. Isto a fim de que a lide ganhe os contornos legais e fáticos que lhe forem peculiares e para os quais é competente a instância ordinária. Impede-se, assim, eventual supressão de instância, ao tempo em que se resguardam as garantias do devido processo legal e da ampla defesa. Donde a inaplicabilidade da Súmula 456/STF, e</w:t>
      </w:r>
    </w:p>
    <w:p>
      <w:pPr>
        <w:ind w:left="288"/>
      </w:pPr>
      <w:r>
        <w:rPr>
          <w:b/>
          <w:color w:val="003CA0"/>
          <w:sz w:val="16"/>
        </w:rPr>
        <w:t>[RE 462.242 AgR, rel. min. Ayres Britto, j. 14-12-2006, 1ª T, DJ de 13-4-2007.]</w:t>
      </w:r>
    </w:p>
    <w:p>
      <w:pPr>
        <w:ind w:left="288"/>
      </w:pPr>
      <w:r>
        <w:rPr>
          <w:color w:val="8C8C8C"/>
          <w:sz w:val="12"/>
        </w:rPr>
        <w:t>cf-art-102-inc-III</w:t>
      </w:r>
      <w:r>
        <w:rPr>
          <w:color w:val="003CA0"/>
          <w:sz w:val="12"/>
        </w:rPr>
        <w:t xml:space="preserve"> | RCL 3.907</w:t>
      </w:r>
      <w:r>
        <w:rPr>
          <w:color w:val="003CA0"/>
          <w:sz w:val="12"/>
        </w:rPr>
        <w:t xml:space="preserve"> | rel. Marco Aurélio</w:t>
      </w:r>
    </w:p>
    <w:p>
      <w:pPr>
        <w:ind w:left="288"/>
      </w:pPr>
      <w:r>
        <w:rPr>
          <w:color w:val="1E1E1E"/>
          <w:sz w:val="18"/>
        </w:rPr>
        <w:t>A regra é a concentração do ato recursal por meio do extraordinário, correndo à conta da exceção o processamento imediato do recurso interposto, visando ao exame da matéria pelo Supremo, contra decisão interlocutória.</w:t>
      </w:r>
    </w:p>
    <w:p>
      <w:pPr>
        <w:ind w:left="288"/>
      </w:pPr>
      <w:r>
        <w:rPr>
          <w:b/>
          <w:color w:val="003CA0"/>
          <w:sz w:val="16"/>
        </w:rPr>
        <w:t>[Rcl 3.907, rel. min. Marco Aurélio, j. 14-9-2006, P, DJ de 2-2-2007.]</w:t>
      </w:r>
    </w:p>
    <w:p>
      <w:pPr>
        <w:ind w:left="288"/>
      </w:pPr>
      <w:r>
        <w:rPr>
          <w:color w:val="8C8C8C"/>
          <w:sz w:val="12"/>
        </w:rPr>
        <w:t>cf-art-102-inc-III</w:t>
      </w:r>
      <w:r>
        <w:rPr>
          <w:color w:val="003CA0"/>
          <w:sz w:val="12"/>
        </w:rPr>
        <w:t xml:space="preserve"> | RE 454.421</w:t>
      </w:r>
      <w:r>
        <w:rPr>
          <w:color w:val="003CA0"/>
          <w:sz w:val="12"/>
        </w:rPr>
        <w:t xml:space="preserve"> | rel. Ayres Britto</w:t>
      </w:r>
    </w:p>
    <w:p>
      <w:pPr>
        <w:ind w:left="288"/>
      </w:pPr>
      <w:r>
        <w:rPr>
          <w:color w:val="1E1E1E"/>
          <w:sz w:val="18"/>
        </w:rPr>
        <w:t>O recurso extraordinário é cabível contra decisão judicial em sentido material, isto é, contra decisão proferida por órgão do Poder Judiciário no exercício de sua função propriamente jurisdicional. Daí o pressuposto constitucional de cabimento do apelo extremo, expresso na palavra "causa" (inciso III do art. 102 da Lei Maior). Não se conhece, pois, de apelo extremo manejado nos autos de procedimento de natureza administrativa (...). Os sistemas recursais próprios do processo judicial e do processo administrativo não se mesclam e é exatamente esta separação que resguarda os princípios do due pr</w:t>
      </w:r>
    </w:p>
    <w:p>
      <w:pPr>
        <w:ind w:left="288"/>
      </w:pPr>
      <w:r>
        <w:rPr>
          <w:b/>
          <w:color w:val="003CA0"/>
          <w:sz w:val="16"/>
        </w:rPr>
        <w:t>[RE 454.421 AgR, rel. min. Ayres Britto, j. 23-5-2006, 1ª T, DJ de 8-9-2006.]</w:t>
      </w:r>
    </w:p>
    <w:p>
      <w:pPr>
        <w:ind w:left="288"/>
      </w:pPr>
      <w:r>
        <w:rPr>
          <w:color w:val="8C8C8C"/>
          <w:sz w:val="12"/>
        </w:rPr>
        <w:t>cf-art-102-inc-III</w:t>
      </w:r>
      <w:r>
        <w:rPr>
          <w:color w:val="003CA0"/>
          <w:sz w:val="12"/>
        </w:rPr>
        <w:t xml:space="preserve"> | AI 811.709</w:t>
      </w:r>
      <w:r>
        <w:rPr>
          <w:color w:val="003CA0"/>
          <w:sz w:val="12"/>
        </w:rPr>
        <w:t xml:space="preserve"> | rel. Gilmar Mendes</w:t>
      </w:r>
    </w:p>
    <w:p>
      <w:pPr>
        <w:ind w:left="288"/>
      </w:pPr>
      <w:r>
        <w:rPr>
          <w:color w:val="1E1E1E"/>
          <w:sz w:val="18"/>
        </w:rPr>
        <w:t>= AI 811.709 AgR, rel. min. Gilmar Mendes, j. 16-11-2010, 2ª T, DJE de 6-12-2010 = ARE 958.311-AGR, rel. p/ o ac. min. Gilmar Mendes, j. 27-2-2018, 2ª T, 10-10-2018 Fixação de multa por litigância de má-fé pelo STJ ao exercer o juízo de admissibilidade do recurso extraordinário. A multa por litigância de má-fé deve ser imposta por aquele que detém o juízo definitivo de admissibilidade do recurso. O exame da admissibilidade levado a efeito pelos tribunais inferiores tem natureza provisória e deve cingir-se à análise dos pressupostos genéricos e específicos de recorribilidade do extraordinário.</w:t>
      </w:r>
    </w:p>
    <w:p>
      <w:pPr>
        <w:ind w:left="288"/>
      </w:pPr>
      <w:r>
        <w:rPr>
          <w:b/>
          <w:color w:val="003CA0"/>
          <w:sz w:val="16"/>
        </w:rPr>
        <w:t>[AI 414.648 ED-AgR, rel. min. Joaquim Barbosa, j. 21-2-2006, 2ª T, DJ de 23-2-2006.]</w:t>
      </w:r>
    </w:p>
    <w:p>
      <w:pPr>
        <w:ind w:left="288"/>
      </w:pPr>
      <w:r>
        <w:rPr>
          <w:color w:val="8C8C8C"/>
          <w:sz w:val="12"/>
        </w:rPr>
        <w:t>cf-art-102-inc-III</w:t>
      </w:r>
      <w:r>
        <w:rPr>
          <w:color w:val="003CA0"/>
          <w:sz w:val="12"/>
        </w:rPr>
        <w:t xml:space="preserve"> | AI 417.007</w:t>
      </w:r>
      <w:r>
        <w:rPr>
          <w:color w:val="003CA0"/>
          <w:sz w:val="12"/>
        </w:rPr>
        <w:t xml:space="preserve"> | rel. Joaquim Barbosa</w:t>
      </w:r>
    </w:p>
    <w:p>
      <w:pPr>
        <w:ind w:left="288"/>
      </w:pPr>
      <w:r>
        <w:rPr>
          <w:color w:val="1E1E1E"/>
          <w:sz w:val="18"/>
        </w:rPr>
        <w:t>= AI 417.007 ED-AgR, rel. min. Joaquim Barbosa, j. 13-12-2006, 1ª T, DJE de 1º-2-2008 Enquanto se não instaure, mediante provimento ao agravo contra decisão de inadmissibilidade de recurso extraordinário, a competência do STF, a esse não lhe cabe conhecer de ação cautelar para depósito judicial nos autos do mesmo agravo.</w:t>
      </w:r>
    </w:p>
    <w:p>
      <w:pPr>
        <w:ind w:left="288"/>
      </w:pPr>
      <w:r>
        <w:rPr>
          <w:b/>
          <w:color w:val="003CA0"/>
          <w:sz w:val="16"/>
        </w:rPr>
        <w:t>[AC 510 AgR, rel. min. Cezar Peluso, j. 14-2-2006, 1ª T, DJ de 5-5-2006.]</w:t>
      </w:r>
    </w:p>
    <w:p>
      <w:pPr>
        <w:ind w:left="288"/>
      </w:pPr>
      <w:r>
        <w:rPr>
          <w:color w:val="8C8C8C"/>
          <w:sz w:val="12"/>
        </w:rPr>
        <w:t>cf-art-102-inc-III</w:t>
      </w:r>
      <w:r>
        <w:rPr>
          <w:color w:val="003CA0"/>
          <w:sz w:val="12"/>
        </w:rPr>
        <w:t xml:space="preserve"> | AC 2.240</w:t>
      </w:r>
      <w:r>
        <w:rPr>
          <w:color w:val="003CA0"/>
          <w:sz w:val="12"/>
        </w:rPr>
        <w:t xml:space="preserve"> | rel. Cezar Peluso</w:t>
      </w:r>
    </w:p>
    <w:p>
      <w:pPr>
        <w:ind w:left="288"/>
      </w:pPr>
      <w:r>
        <w:rPr>
          <w:color w:val="1E1E1E"/>
          <w:sz w:val="18"/>
        </w:rPr>
        <w:t>Vide AC 2.240 AgR, rel. min. Cezar Peluso, j. 1º-7-2009, P, DJE de 9-4-2010 Recurso extraordinário. Prequestionamento. Configuração. Razão de ser. O prequestionamento não resulta da circunstância de a matéria haver sido arguida pela parte recorrente. A configuração do instituto pressupõe debate e decisão prévios pelo colegiado, ou seja, emissão de juízo sobre o tema. O procedimento tem como escopo o cotejo indispensável a que se diga do enquadramento do recurso extraordinário no permissivo constitucional. Se o Tribunal de origem não adotou entendimento explícito a respeito do fato jurígeno vei</w:t>
      </w:r>
    </w:p>
    <w:p>
      <w:pPr>
        <w:ind w:left="288"/>
      </w:pPr>
      <w:r>
        <w:rPr>
          <w:b/>
          <w:color w:val="003CA0"/>
          <w:sz w:val="16"/>
        </w:rPr>
        <w:t>[RE 262.673, rel. min. Marco Aurélio, j. 11-10-2005, 1ª T, DJ de 24-2-2006.]</w:t>
      </w:r>
    </w:p>
    <w:p>
      <w:pPr>
        <w:ind w:left="288"/>
      </w:pPr>
      <w:r>
        <w:rPr>
          <w:color w:val="8C8C8C"/>
          <w:sz w:val="12"/>
        </w:rPr>
        <w:t>cf-art-102-inc-III</w:t>
      </w:r>
      <w:r>
        <w:rPr>
          <w:color w:val="003CA0"/>
          <w:sz w:val="12"/>
        </w:rPr>
        <w:t xml:space="preserve"> | RE 349.160</w:t>
      </w:r>
      <w:r>
        <w:rPr>
          <w:color w:val="003CA0"/>
          <w:sz w:val="12"/>
        </w:rPr>
        <w:t xml:space="preserve"> | rel. Sepúlveda Pertence</w:t>
      </w:r>
    </w:p>
    <w:p>
      <w:pPr>
        <w:ind w:left="288"/>
      </w:pPr>
      <w:r>
        <w:rPr>
          <w:color w:val="1E1E1E"/>
          <w:sz w:val="18"/>
        </w:rPr>
        <w:t>Recurso extraordinário: prequestionamento: Súmula 356. O que, a teor da Súmula 356, se reputa carente de prequestionamento é o ponto que, indevidamente omitido pelo acórdão, não foi objeto de embargos de declaração; mas, opostos esses, se, não obstante, se recusa o Tribunal a suprir a omissão, por entendê-la inexistente, nada mais se pode exigir da parte, permitindo-se-lhe, de logo, interpor recurso extraordinário sobre a matéria dos embargos de declaração e não sobre a recusa, no julgamento deles, de manifestação sobre ela.</w:t>
      </w:r>
    </w:p>
    <w:p>
      <w:pPr>
        <w:ind w:left="288"/>
      </w:pPr>
      <w:r>
        <w:rPr>
          <w:b/>
          <w:color w:val="003CA0"/>
          <w:sz w:val="16"/>
        </w:rPr>
        <w:t>[RE 349.160, rel. min. Sepúlveda Pertence, j. 11-2-2003, 1ª T, DJ de 14-3-2003.]</w:t>
      </w:r>
    </w:p>
    <w:p>
      <w:pPr>
        <w:ind w:left="288"/>
      </w:pPr>
      <w:r>
        <w:rPr>
          <w:color w:val="8C8C8C"/>
          <w:sz w:val="12"/>
        </w:rPr>
        <w:t>cf-art-102-inc-III</w:t>
      </w:r>
      <w:r>
        <w:rPr>
          <w:color w:val="003CA0"/>
          <w:sz w:val="12"/>
        </w:rPr>
        <w:t xml:space="preserve"> | RE 153.831</w:t>
      </w:r>
      <w:r>
        <w:rPr>
          <w:color w:val="003CA0"/>
          <w:sz w:val="12"/>
        </w:rPr>
        <w:t xml:space="preserve"> | rel. Ellen Gracie</w:t>
      </w:r>
    </w:p>
    <w:p>
      <w:pPr>
        <w:ind w:left="288"/>
      </w:pPr>
      <w:r>
        <w:rPr>
          <w:color w:val="1E1E1E"/>
          <w:sz w:val="18"/>
        </w:rPr>
        <w:t>Recurso extraordinário. Decisão do STJ que inadmite recurso especial. Cabimento. Hipótese excepcional. Admite-se recurso extraordinário contra decisão do STJ que, no exame do cabimento de recurso especial, assenta proposição contrária em tese ao disposto no art. 105, III e alíneas, da CF. Acórdão do STJ que entendeu não caber recurso especial contra acórdão de tribunal de justiça proferido em agravo de instrumento. O termo "causa" empregado no art. 105, III, da Constituição compreende qualquer questão federal resolvida em única ou última instância, pelos tribunais regionais federais ou pelos t</w:t>
      </w:r>
    </w:p>
    <w:p>
      <w:pPr>
        <w:ind w:left="288"/>
      </w:pPr>
      <w:r>
        <w:rPr>
          <w:b/>
          <w:color w:val="003CA0"/>
          <w:sz w:val="16"/>
        </w:rPr>
        <w:t>[RE 153.831, rel. min. Ellen Gracie, j. 3-12-2002, 1ª T, DJ de 14-3-2003.]</w:t>
      </w:r>
    </w:p>
    <w:p>
      <w:pPr>
        <w:ind w:left="288"/>
      </w:pPr>
      <w:r>
        <w:rPr>
          <w:color w:val="8C8C8C"/>
          <w:sz w:val="12"/>
        </w:rPr>
        <w:t>cf-art-102-inc-III</w:t>
      </w:r>
      <w:r>
        <w:rPr>
          <w:color w:val="003CA0"/>
          <w:sz w:val="12"/>
        </w:rPr>
        <w:t xml:space="preserve"> | RE 798.740</w:t>
      </w:r>
      <w:r>
        <w:rPr>
          <w:color w:val="003CA0"/>
          <w:sz w:val="12"/>
        </w:rPr>
        <w:t xml:space="preserve"> | rel. Marco Aurélio</w:t>
      </w:r>
    </w:p>
    <w:p>
      <w:pPr>
        <w:ind w:left="288"/>
      </w:pPr>
      <w:r>
        <w:rPr>
          <w:color w:val="1E1E1E"/>
          <w:sz w:val="18"/>
        </w:rPr>
        <w:t>= RE 798.740 AgR, rel. p/ o ac. min. Marco Aurélio, j. 1º-9-2015, 1ª T, DJE de 17-11-2015 Vide AI 256.382 AgR, rel. min. Celso de Mello, j. 18-6-2002, 2ª T, DJ de 14-2-2003 Mostra-se incabível o recurso extraordinário que tiver por objeto o reexame das premissas concretas em que se assentou o julgamento de recurso especial, efetuado pelo STJ, notadamente naquelas hipóteses em que o acórdão emanado dessa alta Corte judiciária revelar-se plenamente compatível com os pressupostos abstratos de admissibilidade referidos no art. 105, III, da Carta Política. Precedentes. Essa diretriz jurisprudencial</w:t>
      </w:r>
    </w:p>
    <w:p>
      <w:pPr>
        <w:ind w:left="288"/>
      </w:pPr>
      <w:r>
        <w:rPr>
          <w:b/>
          <w:color w:val="003CA0"/>
          <w:sz w:val="16"/>
        </w:rPr>
        <w:t>[AI 256.382 AgR, rel. min. Celso de Mello, j. 18-6-2002, 2ª T, DJ de 14-2-2003.]</w:t>
      </w:r>
    </w:p>
    <w:p>
      <w:pPr>
        <w:ind w:left="288"/>
      </w:pPr>
      <w:r>
        <w:rPr>
          <w:color w:val="8C8C8C"/>
          <w:sz w:val="12"/>
        </w:rPr>
        <w:t>cf-art-102-inc-III</w:t>
      </w:r>
      <w:r>
        <w:rPr>
          <w:color w:val="003CA0"/>
          <w:sz w:val="12"/>
        </w:rPr>
        <w:t xml:space="preserve"> | AI 788.579</w:t>
      </w:r>
      <w:r>
        <w:rPr>
          <w:color w:val="003CA0"/>
          <w:sz w:val="12"/>
        </w:rPr>
        <w:t xml:space="preserve"> | rel. Eros Grau</w:t>
      </w:r>
    </w:p>
    <w:p>
      <w:pPr>
        <w:ind w:left="288"/>
      </w:pPr>
      <w:r>
        <w:rPr>
          <w:color w:val="1E1E1E"/>
          <w:sz w:val="18"/>
        </w:rPr>
        <w:t>= AI 788.579 AgR, rel. min. Eros Grau, j. 4-5-2010, 2ª T, DJE de 28-5-2010 Vide RE 590.099 AgR, rel. min. Cezar Peluso, j. 9-6-2009, 2ª T, DJE de 1º-7-2009 Vide RE 153.831, rel. min. Ellen Gracie, j. 3-12-2002, 1ª T, DJ de 14-3-2003 Em matéria eleitoral, o prazo de interposição do recurso extraordinário é de três dias. A norma legal que define esse prazo recursal (Lei 6.055/1974, art. 12) – por qualificar-se como lex specialis – não foi derrogada pelo art. 508 do CPC, na redação que lhe deu a Lei 8.950/1994. (...) É também de três dias, consoante prescreve o Código Eleitoral (art. 282), o praz</w:t>
      </w:r>
    </w:p>
    <w:p>
      <w:pPr>
        <w:ind w:left="288"/>
      </w:pPr>
      <w:r>
        <w:rPr>
          <w:b/>
          <w:color w:val="003CA0"/>
          <w:sz w:val="16"/>
        </w:rPr>
        <w:t>[AI 371.643 AgR, rel. min. Celso de Mello, j. 18-6-2002, 2ª T, DJ de 11-10-2002.]</w:t>
      </w:r>
    </w:p>
    <w:p>
      <w:pPr>
        <w:ind w:left="288"/>
      </w:pPr>
      <w:r>
        <w:rPr>
          <w:color w:val="8C8C8C"/>
          <w:sz w:val="12"/>
        </w:rPr>
        <w:t>cf-art-102-inc-III</w:t>
      </w:r>
      <w:r>
        <w:rPr>
          <w:color w:val="003CA0"/>
          <w:sz w:val="12"/>
        </w:rPr>
        <w:t xml:space="preserve"> | AI 768.364</w:t>
      </w:r>
      <w:r>
        <w:rPr>
          <w:color w:val="003CA0"/>
          <w:sz w:val="12"/>
        </w:rPr>
        <w:t xml:space="preserve"> | rel. Gilmar Mendes</w:t>
      </w:r>
    </w:p>
    <w:p>
      <w:pPr>
        <w:ind w:left="288"/>
      </w:pPr>
      <w:r>
        <w:rPr>
          <w:color w:val="1E1E1E"/>
          <w:sz w:val="18"/>
        </w:rPr>
        <w:t>= AI 768.364 AgR, rel. min. Gilmar Mendes, j. 16-12-2009, P, DJE de 12-2-2010 Recurso extraordinário. Tempestividade. Autarquia federal. O termo inicial do prazo é a publicação da decisão recorrida na imprensa oficial, e não a intimação pessoal do seu procurador, prerrogativa conferida apenas aos advogados da União e procuradores da Fazenda Nacional.</w:t>
      </w:r>
    </w:p>
    <w:p>
      <w:pPr>
        <w:ind w:left="288"/>
      </w:pPr>
      <w:r>
        <w:rPr>
          <w:b/>
          <w:color w:val="003CA0"/>
          <w:sz w:val="16"/>
        </w:rPr>
        <w:t>[RE 308.282 AgR, rel. min. Ellen Gracie, j. 26-3-2002, 1ª T, DJ de 26-4-2002.]</w:t>
      </w:r>
    </w:p>
    <w:p>
      <w:pPr>
        <w:ind w:left="288"/>
      </w:pPr>
      <w:r>
        <w:rPr>
          <w:color w:val="8C8C8C"/>
          <w:sz w:val="12"/>
        </w:rPr>
        <w:t>cf-art-102-inc-III</w:t>
      </w:r>
      <w:r>
        <w:rPr>
          <w:color w:val="003CA0"/>
          <w:sz w:val="12"/>
        </w:rPr>
        <w:t xml:space="preserve"> | AI 275.637</w:t>
      </w:r>
      <w:r>
        <w:rPr>
          <w:color w:val="003CA0"/>
          <w:sz w:val="12"/>
        </w:rPr>
        <w:t xml:space="preserve"> | rel. Ellen Gracie</w:t>
      </w:r>
    </w:p>
    <w:p>
      <w:pPr>
        <w:ind w:left="288"/>
      </w:pPr>
      <w:r>
        <w:rPr>
          <w:color w:val="1E1E1E"/>
          <w:sz w:val="18"/>
        </w:rPr>
        <w:t>Recurso extraordinário: interposição simultânea com embargos de divergência, contra o mesmo acórdão de Turma do STJ: inexigibilidade de sua ratificação após a decisão do Tribunal a quo que não conheceu dos embargos de divergência: transplante da solução legislativa, do art. 802, § 2º, do CPC de 1939, para a hipótese similar de interposição simultânea do recurso extraordinário e do extinto recurso de revista.</w:t>
      </w:r>
    </w:p>
    <w:p>
      <w:pPr>
        <w:ind w:left="288"/>
      </w:pPr>
      <w:r>
        <w:rPr>
          <w:b/>
          <w:color w:val="003CA0"/>
          <w:sz w:val="16"/>
        </w:rPr>
        <w:t>[AI 275.637 AgR, rel. min. Ellen Gracie, j. 26-6-2001, 1ª T, DJ de 19-12-2001.]</w:t>
      </w:r>
    </w:p>
    <w:p>
      <w:pPr>
        <w:ind w:left="288"/>
      </w:pPr>
      <w:r>
        <w:rPr>
          <w:color w:val="8C8C8C"/>
          <w:sz w:val="12"/>
        </w:rPr>
        <w:t>cf-art-102-inc-III</w:t>
      </w:r>
      <w:r>
        <w:rPr>
          <w:color w:val="003CA0"/>
          <w:sz w:val="12"/>
        </w:rPr>
        <w:t xml:space="preserve"> | RE 205.455</w:t>
      </w:r>
      <w:r>
        <w:rPr>
          <w:color w:val="003CA0"/>
          <w:sz w:val="12"/>
        </w:rPr>
        <w:t xml:space="preserve"> | rel. Sepúlveda Pertence</w:t>
      </w:r>
    </w:p>
    <w:p>
      <w:pPr>
        <w:ind w:left="288"/>
      </w:pPr>
      <w:r>
        <w:rPr>
          <w:color w:val="1E1E1E"/>
          <w:sz w:val="18"/>
        </w:rPr>
        <w:t>Ao atribuir implicitamente aos embargos declaratórios o condão de suprir a falta de prequestionamento, a Súmula 356 pressupõe que a decisão embargada tenha sido omissa a respeito, não cabendo falar em omissão se, como ocorre na espécie no que tange à alegação de cerceamento de defesa, a matéria não houver sido posta anteriormente ao exame do tribunal a quo.</w:t>
      </w:r>
    </w:p>
    <w:p>
      <w:pPr>
        <w:ind w:left="288"/>
      </w:pPr>
      <w:r>
        <w:rPr>
          <w:b/>
          <w:color w:val="003CA0"/>
          <w:sz w:val="16"/>
        </w:rPr>
        <w:t>[RE 205.455, rel. min. Sepúlveda Pertence, j. 18-12-2000, 1ª T, DJ de 6-4-2001.]</w:t>
      </w:r>
    </w:p>
    <w:p>
      <w:pPr>
        <w:ind w:left="288"/>
      </w:pPr>
      <w:r>
        <w:rPr>
          <w:color w:val="8C8C8C"/>
          <w:sz w:val="12"/>
        </w:rPr>
        <w:t>cf-art-102-inc-III</w:t>
      </w:r>
      <w:r>
        <w:rPr>
          <w:color w:val="003CA0"/>
          <w:sz w:val="12"/>
        </w:rPr>
        <w:t xml:space="preserve"> | RE 558.182</w:t>
      </w:r>
      <w:r>
        <w:rPr>
          <w:color w:val="003CA0"/>
          <w:sz w:val="12"/>
        </w:rPr>
        <w:t xml:space="preserve"> | rel. Ellen Gracie</w:t>
      </w:r>
    </w:p>
    <w:p>
      <w:pPr>
        <w:ind w:left="288"/>
      </w:pPr>
      <w:r>
        <w:rPr>
          <w:color w:val="1E1E1E"/>
          <w:sz w:val="18"/>
        </w:rPr>
        <w:t xml:space="preserve">= RE 558.182 AgR, rel. min. Ellen Gracie, j. 20-10-2009, 2ª T, DJE de 13-11-2009 Em se tratando de acórdão que deu provimento a agravo para deferir a liminar pleiteada por entender que havia o fumus boni iuris e o periculum in mora, o que o aresto afirmou, com referência ao primeiro desses requisitos, foi que os fundamentos jurídicos (no caso, constitucionais) do mandado de segurança eram relevantes, o que, evidentemente, não é manifestação conclusiva da procedência deles para ocorrer a hipótese de cabimento do recurso extraordinário pela letra a do inciso I do art. 102 da Constituição (que é </w:t>
      </w:r>
    </w:p>
    <w:p>
      <w:pPr>
        <w:ind w:left="288"/>
      </w:pPr>
      <w:r>
        <w:rPr>
          <w:b/>
          <w:color w:val="003CA0"/>
          <w:sz w:val="16"/>
        </w:rPr>
        <w:t>[AI 252.382 AgR, rel. min. Moreira Alves, j. 15-2-2000, 1ª T, DJ de 24-3-2000.]</w:t>
      </w:r>
    </w:p>
    <w:p>
      <w:pPr>
        <w:ind w:left="288"/>
      </w:pPr>
      <w:r>
        <w:rPr>
          <w:color w:val="8C8C8C"/>
          <w:sz w:val="12"/>
        </w:rPr>
        <w:t>cf-art-102-inc-III</w:t>
      </w:r>
      <w:r>
        <w:rPr>
          <w:color w:val="003CA0"/>
          <w:sz w:val="12"/>
        </w:rPr>
        <w:t xml:space="preserve"> | RE 409.755</w:t>
      </w:r>
      <w:r>
        <w:rPr>
          <w:color w:val="003CA0"/>
          <w:sz w:val="12"/>
        </w:rPr>
        <w:t xml:space="preserve"> | rel. Joaquim Barbosa</w:t>
      </w:r>
    </w:p>
    <w:p>
      <w:pPr>
        <w:ind w:left="288"/>
      </w:pPr>
      <w:r>
        <w:rPr>
          <w:color w:val="1E1E1E"/>
          <w:sz w:val="18"/>
        </w:rPr>
        <w:t>= RE 409.755 AgR, rel. min. Joaquim Barbosa, j. 10-8-2010, 2ª T, DJE de 1º-10-2010 Vide AC 1.745 AgR, rel. min. Cezar Peluso, j. 2-12-2008, 2ª T, DJE de 6-2-2009 Não é lícito à parte recorrente inovar em sua postulação recursal para nela fazer incluir pedido diverso daquele que foi originariamente deduzido quando do ajuizamento da ação perante as instâncias ordinárias. Se o recorrente deixou de formular, em ordem sucessiva, mais de um pedido, como lhe era lícito fazer (CPC, art. 289), a fim de que o juiz conhecesse do posterior (pedido subsidiário), na eventualidade de não poder acolher o ante</w:t>
      </w:r>
    </w:p>
    <w:p>
      <w:pPr>
        <w:ind w:left="288"/>
      </w:pPr>
      <w:r>
        <w:rPr>
          <w:b/>
          <w:color w:val="003CA0"/>
          <w:sz w:val="16"/>
        </w:rPr>
        <w:t>[RE 170.385 AgR, rel. min. Celso de Mello, j. 16-5-1995, 1ª T, DJ de 23-6-1995.]</w:t>
      </w:r>
    </w:p>
    <w:p>
      <w:pPr>
        <w:ind w:left="288"/>
      </w:pPr>
      <w:r>
        <w:rPr>
          <w:color w:val="8C8C8C"/>
          <w:sz w:val="12"/>
        </w:rPr>
        <w:t>cf-art-102-inc-III</w:t>
      </w:r>
      <w:r>
        <w:rPr>
          <w:color w:val="003CA0"/>
          <w:sz w:val="12"/>
        </w:rPr>
        <w:t xml:space="preserve"> | RE 452.294</w:t>
      </w:r>
      <w:r>
        <w:rPr>
          <w:color w:val="003CA0"/>
          <w:sz w:val="12"/>
        </w:rPr>
        <w:t xml:space="preserve"> | rel. Ricardo Lewandowski</w:t>
      </w:r>
    </w:p>
    <w:p>
      <w:pPr>
        <w:ind w:left="288"/>
      </w:pPr>
      <w:r>
        <w:rPr>
          <w:color w:val="1E1E1E"/>
          <w:sz w:val="18"/>
        </w:rPr>
        <w:t>= RE 452.294 AgR, rel. min. Ricardo Lewandowski, j. 1º-6-2010, 1ª T, DJE de 6-8-2010 Desistência parcial do recurso extraordinário manifestada após concluído o julgamento. Desacolhimento. Uma vez proferido o julgamento, a parte não pode alterar o objeto do recurso, desistindo de parte dele e modificando a decisão alcançada. A regra do art. 501 do CPC não pode ser interpretada de forma absoluta, afastando-se qualquer possibilidade de desistência do recurso depois de concluído o julgamento.</w:t>
      </w:r>
    </w:p>
    <w:p>
      <w:pPr>
        <w:ind w:left="288"/>
      </w:pPr>
      <w:r>
        <w:rPr>
          <w:b/>
          <w:color w:val="003CA0"/>
          <w:sz w:val="16"/>
        </w:rPr>
        <w:t>[RE 144.972 QO, rel. min. Ilmar Galvão, j. 9-5-1995, 1ª T, DJ de 22-9-1995.]</w:t>
      </w:r>
    </w:p>
    <w:p>
      <w:pPr>
        <w:ind w:left="288"/>
      </w:pPr>
      <w:r>
        <w:rPr>
          <w:color w:val="8C8C8C"/>
          <w:sz w:val="12"/>
        </w:rPr>
        <w:t>cf-art-102-inc-III</w:t>
      </w:r>
      <w:r>
        <w:rPr>
          <w:color w:val="003CA0"/>
          <w:sz w:val="12"/>
        </w:rPr>
        <w:t xml:space="preserve"> | RE 451.289</w:t>
      </w:r>
      <w:r>
        <w:rPr>
          <w:color w:val="003CA0"/>
          <w:sz w:val="12"/>
        </w:rPr>
        <w:t xml:space="preserve"> | rel. Ricardo Lewandowski</w:t>
      </w:r>
    </w:p>
    <w:p>
      <w:pPr>
        <w:ind w:left="288"/>
      </w:pPr>
      <w:r>
        <w:rPr>
          <w:color w:val="1E1E1E"/>
          <w:sz w:val="18"/>
        </w:rPr>
        <w:t>Vide RE 451.289 AgR-AgR, rel. min. Ricardo Lewandowski, j. 22-2-2011, 1ª T, DJE de 15-3-2011 O recurso extraordinário e o recurso especial são institutos de direito processual constitucional. Essas duas modalidades extraordinárias de impugnação recursal possuem domínios temáticos próprios que lhes foram constitucionalmente reservados. Reservou-se, ao recurso extraordinário, em sua precípua função jurídico-processual, a defesa objetiva da norma constitucional, cabendo, ao STF, nesse contexto, a guarda e a proteção da intangibilidade da ordem jurídica formalmente positivada na CF. O recurso espe</w:t>
      </w:r>
    </w:p>
    <w:p>
      <w:pPr>
        <w:ind w:left="288"/>
      </w:pPr>
      <w:r>
        <w:rPr>
          <w:b/>
          <w:color w:val="003CA0"/>
          <w:sz w:val="16"/>
        </w:rPr>
        <w:t>[AI 162.245 AgR, rel. min. Celso de Mello, j. 30-8-1994, 1ª T, DJ de 24-11-2000.]</w:t>
      </w:r>
    </w:p>
    <w:p>
      <w:pPr>
        <w:ind w:left="288"/>
      </w:pPr>
      <w:r>
        <w:rPr>
          <w:color w:val="8C8C8C"/>
          <w:sz w:val="12"/>
        </w:rPr>
        <w:t>cf-art-102-inc-III</w:t>
      </w:r>
      <w:r>
        <w:rPr>
          <w:color w:val="003CA0"/>
          <w:sz w:val="12"/>
        </w:rPr>
        <w:t xml:space="preserve"> | AI 603.866</w:t>
      </w:r>
      <w:r>
        <w:rPr>
          <w:color w:val="003CA0"/>
          <w:sz w:val="12"/>
        </w:rPr>
        <w:t xml:space="preserve"> | rel. Marco Aurélio</w:t>
      </w:r>
    </w:p>
    <w:p>
      <w:pPr>
        <w:ind w:left="288"/>
      </w:pPr>
      <w:r>
        <w:rPr>
          <w:color w:val="1E1E1E"/>
          <w:sz w:val="18"/>
        </w:rPr>
        <w:t>= AI 603.866 AgR, rel. min. Marco Aurélio, j. 9-6-2009, 1ª T, DJE de 21-8-2009 Vide HC 94.337, rel. min. Cármen Lúcia, j. 3-6-2008, 1ª T, DJE de 31-10-2008 Recurso extraordinário: interposição de decisão do STJ em recurso especial: inadmissibilidade, se a questão constitucional de que se ocupou o acórdão recorrido já fora suscitada e resolvida na decisão de segundo grau e, ademais, constitui fundamento suficiente da decisão da causa. Do sistema constitucional vigente, que prevê o cabimento simultâneo de recurso extraordinário e de recurso especial contra o mesmo acórdão dos tribunais de segund</w:t>
      </w:r>
    </w:p>
    <w:p>
      <w:pPr>
        <w:ind w:left="288"/>
      </w:pPr>
      <w:r>
        <w:rPr>
          <w:b/>
          <w:color w:val="003CA0"/>
          <w:sz w:val="16"/>
        </w:rPr>
        <w:t>[AI 145.589 AgR, rel. min. Sepúlveda Pertence, j. 2-9-1993, P, DJ de 24-6-1994.]</w:t>
      </w:r>
    </w:p>
    <w:p>
      <w:pPr>
        <w:ind w:left="288"/>
      </w:pPr>
      <w:r>
        <w:rPr>
          <w:color w:val="8C8C8C"/>
          <w:sz w:val="12"/>
        </w:rPr>
        <w:t>cf-art-102-inc-III</w:t>
      </w:r>
      <w:r>
        <w:rPr>
          <w:color w:val="003CA0"/>
          <w:sz w:val="12"/>
        </w:rPr>
        <w:t xml:space="preserve"> | AI 463.220</w:t>
      </w:r>
      <w:r>
        <w:rPr>
          <w:color w:val="003CA0"/>
          <w:sz w:val="12"/>
        </w:rPr>
        <w:t xml:space="preserve"> | rel. Ricardo Lewandowski</w:t>
      </w:r>
    </w:p>
    <w:p>
      <w:pPr>
        <w:ind w:left="288"/>
      </w:pPr>
      <w:r>
        <w:rPr>
          <w:color w:val="1E1E1E"/>
          <w:sz w:val="18"/>
        </w:rPr>
        <w:t>= AI 463.220 AgR, rel. min. Ricardo Lewandowski, j. 15-2-2011, 1ª T, DJE de 4-3-2011 Não se aplica ao julgamento do recurso extraordinário, pelo STF, o princípio jura novit curia.</w:t>
      </w:r>
    </w:p>
    <w:p>
      <w:pPr>
        <w:ind w:left="288"/>
      </w:pPr>
      <w:r>
        <w:rPr>
          <w:b/>
          <w:color w:val="003CA0"/>
          <w:sz w:val="16"/>
        </w:rPr>
        <w:t>[AI 141.873 AgR, rel. min. Celso de Mello, j. 6-4-1993, 1ª T, DJ de 7-5-1993.]</w:t>
      </w:r>
    </w:p>
    <w:p>
      <w:pPr>
        <w:ind w:left="288"/>
      </w:pPr>
      <w:r>
        <w:rPr>
          <w:color w:val="8C8C8C"/>
          <w:sz w:val="12"/>
        </w:rPr>
        <w:t>cf-art-102-inc-III</w:t>
      </w:r>
      <w:r>
        <w:rPr>
          <w:color w:val="003CA0"/>
          <w:sz w:val="12"/>
        </w:rPr>
        <w:t xml:space="preserve"> | AI 253.566</w:t>
      </w:r>
      <w:r>
        <w:rPr>
          <w:color w:val="003CA0"/>
          <w:sz w:val="12"/>
        </w:rPr>
        <w:t xml:space="preserve"> | rel. Sepúlveda Pertence</w:t>
      </w:r>
    </w:p>
    <w:p>
      <w:pPr>
        <w:ind w:left="288"/>
      </w:pPr>
      <w:r>
        <w:rPr>
          <w:color w:val="1E1E1E"/>
          <w:sz w:val="18"/>
        </w:rPr>
        <w:t>= AI 253.566 AgR, rel. min. Sepúlveda Pertence, j. 15-2-2000, 1ª T, DJ de 3-3-2000</w:t>
      </w:r>
    </w:p>
    <w:p>
      <w:pPr>
        <w:ind w:left="144"/>
      </w:pPr>
      <w:r>
        <w:rPr>
          <w:b/>
          <w:color w:val="B45A00"/>
          <w:sz w:val="16"/>
        </w:rPr>
        <w:t>SUMULA</w:t>
      </w:r>
    </w:p>
    <w:p>
      <w:pPr>
        <w:ind w:left="288"/>
      </w:pPr>
      <w:r>
        <w:rPr>
          <w:color w:val="8C8C8C"/>
          <w:sz w:val="12"/>
        </w:rPr>
        <w:t>cf-art-102-inc-III-ali-a</w:t>
      </w:r>
    </w:p>
    <w:p>
      <w:pPr>
        <w:ind w:left="288"/>
      </w:pPr>
      <w:r>
        <w:rPr>
          <w:color w:val="1E1E1E"/>
          <w:sz w:val="18"/>
        </w:rPr>
        <w:t>Decisão que deu razoável interpretação à lei, ainda que não seja a melhor, não autoriza recurso extraordinário pela letra a do art. 101, III, da CF.</w:t>
      </w:r>
    </w:p>
    <w:p>
      <w:pPr>
        <w:ind w:left="288"/>
      </w:pPr>
      <w:r>
        <w:rPr>
          <w:b/>
          <w:color w:val="003CA0"/>
          <w:sz w:val="16"/>
        </w:rPr>
        <w:t>[Súmula 400.]</w:t>
      </w:r>
    </w:p>
    <w:p>
      <w:pPr>
        <w:ind w:left="144"/>
      </w:pPr>
      <w:r>
        <w:rPr>
          <w:b/>
          <w:color w:val="B45A00"/>
          <w:sz w:val="16"/>
        </w:rPr>
        <w:t>JULGADOS CORRELATOS</w:t>
      </w:r>
    </w:p>
    <w:p>
      <w:pPr>
        <w:ind w:left="288"/>
      </w:pPr>
      <w:r>
        <w:rPr>
          <w:color w:val="8C8C8C"/>
          <w:sz w:val="12"/>
        </w:rPr>
        <w:t>cf-art-102-inc-III-ali-a</w:t>
      </w:r>
      <w:r>
        <w:rPr>
          <w:color w:val="003CA0"/>
          <w:sz w:val="12"/>
        </w:rPr>
        <w:t xml:space="preserve"> | ARE 688.776</w:t>
      </w:r>
      <w:r>
        <w:rPr>
          <w:color w:val="003CA0"/>
          <w:sz w:val="12"/>
        </w:rPr>
        <w:t xml:space="preserve"> | rel. Dias Toffoli</w:t>
      </w:r>
    </w:p>
    <w:p>
      <w:pPr>
        <w:ind w:left="288"/>
      </w:pPr>
      <w:r>
        <w:rPr>
          <w:color w:val="1E1E1E"/>
          <w:sz w:val="18"/>
        </w:rPr>
        <w:t>A jurisprudência desta Corte é pacífica no sentido de que os embargos de declaração opostos contra decisão em que o Presidente do Tribunal de origem não admite o recurso extraordinário, por serem incabíveis, não suspendem ou interrompem o prazo para a interposição do agravo.</w:t>
        <w:br/>
        <w:t xml:space="preserve">[ARE 688.776-ED e ARE 685.997-ED, rel. min. Dias Toffoli, j. 28-11-2017, 1ª T, DJE de 27-4-2018.] O recurso extraordinário não é mero instrumento de uniformização jurisprudencial. A simples existência de precedente alegadamente favorável à tese da parte interessada é insuficiente, por si, para justificar a interposição do </w:t>
      </w:r>
    </w:p>
    <w:p>
      <w:pPr>
        <w:ind w:left="288"/>
      </w:pPr>
      <w:r>
        <w:rPr>
          <w:b/>
          <w:color w:val="003CA0"/>
          <w:sz w:val="16"/>
        </w:rPr>
        <w:t>[AI 465.014 AgR, rel. min. Marco Aurélio, j. 8-4-2008, 1ª T, DJE de 29-8-2008.]</w:t>
      </w:r>
    </w:p>
    <w:p>
      <w:pPr>
        <w:ind w:left="288"/>
      </w:pPr>
      <w:r>
        <w:rPr>
          <w:color w:val="8C8C8C"/>
          <w:sz w:val="12"/>
        </w:rPr>
        <w:t>cf-art-102-inc-III-ali-a</w:t>
      </w:r>
      <w:r>
        <w:rPr>
          <w:color w:val="003CA0"/>
          <w:sz w:val="12"/>
        </w:rPr>
        <w:t xml:space="preserve"> | RE 200.972</w:t>
      </w:r>
      <w:r>
        <w:rPr>
          <w:color w:val="003CA0"/>
          <w:sz w:val="12"/>
        </w:rPr>
        <w:t xml:space="preserve"> | rel. Marco Aurélio. O pronunciamento explícito do Tribunal de origem</w:t>
      </w:r>
    </w:p>
    <w:p>
      <w:pPr>
        <w:ind w:left="288"/>
      </w:pPr>
      <w:r>
        <w:rPr>
          <w:color w:val="1E1E1E"/>
          <w:sz w:val="18"/>
        </w:rPr>
        <w:t>Acórdão recorrido assentado em dispositivo de lei declarado inconstitucional em sede de controle concentrado. Julgamento imediato da lide. Impossibilidade. Súmula 456/STF. Não aplicabilidade. Matéria devidamente prequestionada. Súmulas 282/STF e 356/STF. Não incidência. Se o aresto recorrido está assentado em dispositivo de lei declarado inconstitucional pelo STF em ação direta, o julgamento do recurso extraordinário se limita ao afastamento da respectiva premissa e à devolução dos autos à Corte de origem, para regular prosseguimento do feito. Isso a fim de que a lide ganhe os contornos legais</w:t>
      </w:r>
    </w:p>
    <w:p>
      <w:pPr>
        <w:ind w:left="288"/>
      </w:pPr>
      <w:r>
        <w:rPr>
          <w:b/>
          <w:color w:val="003CA0"/>
          <w:sz w:val="16"/>
        </w:rPr>
        <w:t>[RE 462.069 AgR, rel. min. Ayres Britto, j. 14-12-2006, 1ª T, DJE de 1º-8-2008.]</w:t>
      </w:r>
    </w:p>
    <w:p>
      <w:pPr>
        <w:ind w:left="288"/>
      </w:pPr>
      <w:r>
        <w:rPr>
          <w:color w:val="8C8C8C"/>
          <w:sz w:val="12"/>
        </w:rPr>
        <w:t>cf-art-102-inc-III-ali-a</w:t>
      </w:r>
      <w:r>
        <w:rPr>
          <w:color w:val="003CA0"/>
          <w:sz w:val="12"/>
        </w:rPr>
        <w:t xml:space="preserve"> | RE 197.917</w:t>
      </w:r>
      <w:r>
        <w:rPr>
          <w:color w:val="003CA0"/>
          <w:sz w:val="12"/>
        </w:rPr>
        <w:t xml:space="preserve"> | rel. Maurício Corrêa (Pleno). Revela-se inaplicável</w:t>
      </w:r>
    </w:p>
    <w:p>
      <w:pPr>
        <w:ind w:left="288"/>
      </w:pPr>
      <w:r>
        <w:rPr>
          <w:color w:val="1E1E1E"/>
          <w:sz w:val="18"/>
        </w:rPr>
        <w:t>Considerações sobre o valor do ato inconstitucional. Os diversos graus de invalidade do ato em conflito com a Constituição: ato inexistente? Ato nulo? Ato anulável (com eficácia ex tunc ou com eficácia ex nunc)? Formulações teóricas. O status quaestionis na jurisprudência do STF. Modulação temporal dos efeitos da decisão de inconstitucionalidade: técnica inaplicável quando se tratar de juízo negativo de recepção de atos pré-constitucionais. A declaração de inconstitucionalidade reveste-se, ordinariamente, de eficácia ex tunc (RTJ 146/461-462 – RTJ 164/506-509), retroagindo ao momento em que ed</w:t>
      </w:r>
    </w:p>
    <w:p>
      <w:pPr>
        <w:ind w:left="288"/>
      </w:pPr>
      <w:r>
        <w:rPr>
          <w:b/>
          <w:color w:val="003CA0"/>
          <w:sz w:val="16"/>
        </w:rPr>
        <w:t>[AI 589.281 AgR, rel. min. Celso de Mello, j. 5-9-2006, 2ª T, DJE de 10-11-2006.]</w:t>
      </w:r>
    </w:p>
    <w:p>
      <w:pPr>
        <w:ind w:left="288"/>
      </w:pPr>
      <w:r>
        <w:rPr>
          <w:color w:val="8C8C8C"/>
          <w:sz w:val="12"/>
        </w:rPr>
        <w:t>cf-art-102-inc-III-ali-a</w:t>
      </w:r>
      <w:r>
        <w:rPr>
          <w:color w:val="003CA0"/>
          <w:sz w:val="12"/>
        </w:rPr>
        <w:t xml:space="preserve"> | AI 532.232</w:t>
      </w:r>
      <w:r>
        <w:rPr>
          <w:color w:val="003CA0"/>
          <w:sz w:val="12"/>
        </w:rPr>
        <w:t xml:space="preserve"> | rel. Joaquim Barbosa</w:t>
      </w:r>
    </w:p>
    <w:p>
      <w:pPr>
        <w:ind w:left="288"/>
      </w:pPr>
      <w:r>
        <w:rPr>
          <w:color w:val="1E1E1E"/>
          <w:sz w:val="18"/>
        </w:rPr>
        <w:t>= AI 532.232 AgR, rel. min. Joaquim Barbosa, j. 30-6-2009, 2ª T, DJE de 14-8-2009 Controle incidente de inconstitucionalidade e o papel do STF. Ainda que não seja essencial à solução do caso concreto, não pode o Tribunal – dado o seu papel de "guarda da Constituição" – se furtar a enfrentar o problema de constitucionalidade suscitado incidentemente (v.g., SE 5.206 AgR; MS 20.505).</w:t>
      </w:r>
    </w:p>
    <w:p>
      <w:pPr>
        <w:ind w:left="288"/>
      </w:pPr>
      <w:r>
        <w:rPr>
          <w:b/>
          <w:color w:val="003CA0"/>
          <w:sz w:val="16"/>
        </w:rPr>
        <w:t>[RE 415.932, rel. min. Sepúlveda Pertence, j. 29-9-2004, P, DJ de 10-11-2006.]</w:t>
      </w:r>
    </w:p>
    <w:p>
      <w:pPr>
        <w:ind w:left="288"/>
      </w:pPr>
      <w:r>
        <w:rPr>
          <w:color w:val="8C8C8C"/>
          <w:sz w:val="12"/>
        </w:rPr>
        <w:t>cf-art-102-inc-III-ali-a</w:t>
      </w:r>
      <w:r>
        <w:rPr>
          <w:color w:val="003CA0"/>
          <w:sz w:val="12"/>
        </w:rPr>
        <w:t xml:space="preserve"> | RE 298.695</w:t>
      </w:r>
      <w:r>
        <w:rPr>
          <w:color w:val="003CA0"/>
          <w:sz w:val="12"/>
        </w:rPr>
        <w:t xml:space="preserve"> | rel. Sepúlveda Pertence</w:t>
      </w:r>
    </w:p>
    <w:p>
      <w:pPr>
        <w:ind w:left="288"/>
      </w:pPr>
      <w:r>
        <w:rPr>
          <w:color w:val="1E1E1E"/>
          <w:sz w:val="18"/>
        </w:rPr>
        <w:t>Recurso extraordinário: letra a: possibilidade de confirmação da decisão recorrida por fundamento constitucional diverso daquele em que se alicerçou o acórdão recorrido e em cuja inaplicabilidade ao caso se baseia o recuso extraordinário: manutenção, lastreada na garantia da irredutibilidade de vencimentos, da conclusão do acórdão recorrido, não obstante fundamentado este na violação do direito adquirido. Recurso extraordinário: letra a: alteração da tradicional orientação jurisprudencial do STF, segundo a qual só se conhece do recurso extraordinário, a, se for para dar-lhe provimento: distinç</w:t>
      </w:r>
    </w:p>
    <w:p>
      <w:pPr>
        <w:ind w:left="288"/>
      </w:pPr>
      <w:r>
        <w:rPr>
          <w:b/>
          <w:color w:val="003CA0"/>
          <w:sz w:val="16"/>
        </w:rPr>
        <w:t>[RE 298.695, rel. min. Sepúlveda Pertence, j. 6-8-2003, P, DJ de 24-10-2003.]</w:t>
      </w:r>
    </w:p>
    <w:p>
      <w:pPr>
        <w:ind w:left="288"/>
      </w:pPr>
      <w:r>
        <w:rPr>
          <w:color w:val="8C8C8C"/>
          <w:sz w:val="12"/>
        </w:rPr>
        <w:t>cf-art-102-inc-III-ali-a</w:t>
      </w:r>
      <w:r>
        <w:rPr>
          <w:color w:val="003CA0"/>
          <w:sz w:val="12"/>
        </w:rPr>
        <w:t xml:space="preserve"> | RCL 438</w:t>
      </w:r>
      <w:r>
        <w:rPr>
          <w:color w:val="003CA0"/>
          <w:sz w:val="12"/>
        </w:rPr>
        <w:t xml:space="preserve"> | rel. Sepúlveda Pertence</w:t>
      </w:r>
    </w:p>
    <w:p>
      <w:pPr>
        <w:ind w:left="288"/>
      </w:pPr>
      <w:r>
        <w:rPr>
          <w:color w:val="1E1E1E"/>
          <w:sz w:val="18"/>
        </w:rPr>
        <w:t>Reclamação: cabimento e procedência contra decisão de juiz presidente de colégio recursal de juizado de pequenas causas, que – a título de dele "não conhecer", porque não previsto na legislação específica de tais juizados – negou processamento e consequente remessa de agravo de instrumento que, interposto da denegação de recurso extraordinário no juízo a quo, é da competência privativa do Supremo Tribunal.</w:t>
      </w:r>
    </w:p>
    <w:p>
      <w:pPr>
        <w:ind w:left="288"/>
      </w:pPr>
      <w:r>
        <w:rPr>
          <w:b/>
          <w:color w:val="003CA0"/>
          <w:sz w:val="16"/>
        </w:rPr>
        <w:t>[Rcl 438, rel. min. Sepúlveda Pertence, j. 26-8-1993, P, DJ de 1º-10-1993.]</w:t>
      </w:r>
    </w:p>
    <w:p>
      <w:pPr>
        <w:ind w:left="288"/>
      </w:pPr>
      <w:r>
        <w:rPr>
          <w:color w:val="8C8C8C"/>
          <w:sz w:val="12"/>
        </w:rPr>
        <w:t>cf-art-102-inc-III-ali-a</w:t>
      </w:r>
      <w:r>
        <w:rPr>
          <w:color w:val="003CA0"/>
          <w:sz w:val="12"/>
        </w:rPr>
        <w:t xml:space="preserve"> | AI 145.680</w:t>
      </w:r>
      <w:r>
        <w:rPr>
          <w:color w:val="003CA0"/>
          <w:sz w:val="12"/>
        </w:rPr>
        <w:t xml:space="preserve"> | rel. Celso de Mello</w:t>
      </w:r>
    </w:p>
    <w:p>
      <w:pPr>
        <w:ind w:left="288"/>
      </w:pPr>
      <w:r>
        <w:rPr>
          <w:color w:val="1E1E1E"/>
          <w:sz w:val="18"/>
        </w:rPr>
        <w:t>Temas de índole constitucional não se expõem, em função da própria natureza de que se revestem, à incidência do enunciado 400 da Súmula do STF. Essa formulação sumular não tem qualquer pertinência e aplicabilidade às causas que veiculem, perante o STF, em sede recursal extraordinária, questões de direito constitucional positivo.</w:t>
      </w:r>
    </w:p>
    <w:p>
      <w:pPr>
        <w:ind w:left="288"/>
      </w:pPr>
      <w:r>
        <w:rPr>
          <w:b/>
          <w:color w:val="003CA0"/>
          <w:sz w:val="16"/>
        </w:rPr>
        <w:t>[AI 145.680 AgR, rel. min. Celso de Mello, j. 13-4-1993, 1ª T, DJ de 30-4-1993.]</w:t>
      </w:r>
    </w:p>
    <w:p>
      <w:pPr>
        <w:ind w:left="288"/>
      </w:pPr>
      <w:r>
        <w:rPr>
          <w:color w:val="8C8C8C"/>
          <w:sz w:val="12"/>
        </w:rPr>
        <w:t>cf-art-102-inc-III-ali-a</w:t>
      </w:r>
      <w:r>
        <w:rPr>
          <w:color w:val="003CA0"/>
          <w:sz w:val="12"/>
        </w:rPr>
        <w:t xml:space="preserve"> | RE 149.478</w:t>
      </w:r>
      <w:r>
        <w:rPr>
          <w:color w:val="003CA0"/>
          <w:sz w:val="12"/>
        </w:rPr>
        <w:t xml:space="preserve"> | rel. Sepúlveda Pertence</w:t>
      </w:r>
    </w:p>
    <w:p>
      <w:pPr>
        <w:ind w:left="288"/>
      </w:pPr>
      <w:r>
        <w:rPr>
          <w:color w:val="1E1E1E"/>
          <w:sz w:val="18"/>
        </w:rPr>
        <w:t>Recurso extraordinário, a: acórdão recorrido de órgão fracionário do tribunal a quo, fundado na afirmação incidente de constitucionalidade da lei discutida, já antes declarada pelo Plenário, em outro processo: hipótese em que, se o acórdão recorrido tem motivação própria, se dispensa a documentação do teor da decisão plenária no mesmo sentido: revisão da jurisprudência anterior. Cuidando-se de declaração incidente de constitucionalidade – e não de inconstitucionalidade – da lei, a competência, quando for o caso, será do órgão parcial a quem couber, segundo as normas gerais aplicáveis, julgar o</w:t>
      </w:r>
    </w:p>
    <w:p>
      <w:pPr>
        <w:ind w:left="288"/>
      </w:pPr>
      <w:r>
        <w:rPr>
          <w:b/>
          <w:color w:val="003CA0"/>
          <w:sz w:val="16"/>
        </w:rPr>
        <w:t>[RE 149.478 AgR, rel. min. Sepúlveda Pertence, j. 24-3-1993, P, DJ de 23-4-1993.]</w:t>
      </w:r>
    </w:p>
    <w:p>
      <w:pPr>
        <w:ind w:left="288"/>
      </w:pPr>
      <w:r>
        <w:rPr>
          <w:color w:val="8C8C8C"/>
          <w:sz w:val="12"/>
        </w:rPr>
        <w:t>cf-art-102-inc-III-ali-a</w:t>
      </w:r>
      <w:r>
        <w:rPr>
          <w:color w:val="003CA0"/>
          <w:sz w:val="12"/>
        </w:rPr>
        <w:t xml:space="preserve"> | RE 142.240</w:t>
      </w:r>
      <w:r>
        <w:rPr>
          <w:color w:val="003CA0"/>
          <w:sz w:val="12"/>
        </w:rPr>
        <w:t xml:space="preserve"> | rel. Marco Aurélio</w:t>
      </w:r>
    </w:p>
    <w:p>
      <w:pPr>
        <w:ind w:left="288"/>
      </w:pPr>
      <w:r>
        <w:rPr>
          <w:color w:val="1E1E1E"/>
          <w:sz w:val="18"/>
        </w:rPr>
        <w:t>Vide RE 142.240 AgR, rel. min. Marco Aurélio, j. 2-6-1992, 2ª T, DJ de 19-6-1992</w:t>
      </w:r>
    </w:p>
    <w:p>
      <w:pPr>
        <w:ind w:left="288"/>
      </w:pPr>
      <w:r>
        <w:rPr>
          <w:color w:val="8C8C8C"/>
          <w:sz w:val="12"/>
        </w:rPr>
        <w:t>cf-art-102-inc-III-ali-b</w:t>
      </w:r>
      <w:r>
        <w:rPr>
          <w:color w:val="003CA0"/>
          <w:sz w:val="12"/>
        </w:rPr>
        <w:t xml:space="preserve"> | AI 744.870</w:t>
      </w:r>
      <w:r>
        <w:rPr>
          <w:color w:val="003CA0"/>
          <w:sz w:val="12"/>
        </w:rPr>
        <w:t xml:space="preserve"> | rel. Marco Aurélio</w:t>
      </w:r>
    </w:p>
    <w:p>
      <w:pPr>
        <w:ind w:left="288"/>
      </w:pPr>
      <w:r>
        <w:rPr>
          <w:color w:val="1E1E1E"/>
          <w:sz w:val="18"/>
        </w:rPr>
        <w:t>Uma vez constatado o descompasso do recurso extraordinário com acórdão impugnado, impõe-se óbice ao respectivo processamento. Isso ocorre quando interposto o recurso pela alínea b do inciso III do art. 102 da Carta Federal e não conste do pronunciamento questionado declaração de inconstitucionalidade de ato normativo abstrato autônomo.</w:t>
      </w:r>
    </w:p>
    <w:p>
      <w:pPr>
        <w:ind w:left="288"/>
      </w:pPr>
      <w:r>
        <w:rPr>
          <w:b/>
          <w:color w:val="003CA0"/>
          <w:sz w:val="16"/>
        </w:rPr>
        <w:t>[AI 744.870 AgR, rel. min. Marco Aurélio, j. 17-8-2010, 1ª T, DJE de 8-10-2010.]</w:t>
      </w:r>
    </w:p>
    <w:p>
      <w:pPr>
        <w:ind w:left="288"/>
      </w:pPr>
      <w:r>
        <w:rPr>
          <w:color w:val="8C8C8C"/>
          <w:sz w:val="12"/>
        </w:rPr>
        <w:t>cf-art-102-inc-III-ali-b</w:t>
      </w:r>
      <w:r>
        <w:rPr>
          <w:color w:val="003CA0"/>
          <w:sz w:val="12"/>
        </w:rPr>
        <w:t xml:space="preserve"> | AI 637.858</w:t>
      </w:r>
      <w:r>
        <w:rPr>
          <w:color w:val="003CA0"/>
          <w:sz w:val="12"/>
        </w:rPr>
        <w:t xml:space="preserve"> | rel. Ayres Britto</w:t>
      </w:r>
    </w:p>
    <w:p>
      <w:pPr>
        <w:ind w:left="288"/>
      </w:pPr>
      <w:r>
        <w:rPr>
          <w:color w:val="1E1E1E"/>
          <w:sz w:val="18"/>
        </w:rPr>
        <w:t>= AI 637.858 AgR, rel. min. Ayres Britto, j. 19-10-2010, 2ª T, DJE de 17-12-2010 Ambas as Turmas deste STF têm firmado orientação no sentido de que não é cabível recurso extraordinário interposto na forma da alínea b, III, do art. 102, da Magna Carta, contra acórdão que decide pela não recepção de lei em face da Constituição em vigor, ante a inocorrência de declaração de inconstitucionalidade. Precedentes: RE 402.287 AgR, rel. min. Carlos Velloso; RE 210.912, rel. min. Sepúlveda Pertence; e RE 250.545 AgR, rel. min. Maurício Corrêa.</w:t>
      </w:r>
    </w:p>
    <w:p>
      <w:pPr>
        <w:ind w:left="288"/>
      </w:pPr>
      <w:r>
        <w:rPr>
          <w:b/>
          <w:color w:val="003CA0"/>
          <w:sz w:val="16"/>
        </w:rPr>
        <w:t>[RE 289.533 AgR, rel. min. Ayres Britto, j. 26-10-2004, 1ª T, DJ de 11-2-2005.]</w:t>
      </w:r>
    </w:p>
    <w:p>
      <w:pPr>
        <w:ind w:left="288"/>
      </w:pPr>
      <w:r>
        <w:rPr>
          <w:color w:val="8C8C8C"/>
          <w:sz w:val="12"/>
        </w:rPr>
        <w:t>cf-art-102-inc-III-ali-b</w:t>
      </w:r>
      <w:r>
        <w:rPr>
          <w:color w:val="003CA0"/>
          <w:sz w:val="12"/>
        </w:rPr>
        <w:t xml:space="preserve"> | RE 231.462</w:t>
      </w:r>
      <w:r>
        <w:rPr>
          <w:color w:val="003CA0"/>
          <w:sz w:val="12"/>
        </w:rPr>
        <w:t xml:space="preserve"> | rel. Sepúlveda Pertence</w:t>
      </w:r>
    </w:p>
    <w:p>
      <w:pPr>
        <w:ind w:left="288"/>
      </w:pPr>
      <w:r>
        <w:rPr>
          <w:color w:val="1E1E1E"/>
          <w:sz w:val="18"/>
        </w:rPr>
        <w:t>O recurso extraordinário, na hipótese do art. 102, III, b, da Constituição, devolve integralmente ao Supremo Tribunal a questão da constitucionalidade da lei federal, negada na decisão recorrida, que pode decidir com base em parâmetro constitucional diverso do invocado nas razões do recorrente.</w:t>
      </w:r>
    </w:p>
    <w:p>
      <w:pPr>
        <w:ind w:left="288"/>
      </w:pPr>
      <w:r>
        <w:rPr>
          <w:b/>
          <w:color w:val="003CA0"/>
          <w:sz w:val="16"/>
        </w:rPr>
        <w:t>[RE 231.462, rel. min. Sepúlveda Pertence, j. 30-3-1999, 1ª T, DJ de 14-5-1999.]</w:t>
      </w:r>
    </w:p>
    <w:p>
      <w:pPr>
        <w:ind w:left="288"/>
      </w:pPr>
      <w:r>
        <w:rPr>
          <w:color w:val="8C8C8C"/>
          <w:sz w:val="12"/>
        </w:rPr>
        <w:t>cf-art-102-inc-III-ali-b</w:t>
      </w:r>
      <w:r>
        <w:rPr>
          <w:color w:val="003CA0"/>
          <w:sz w:val="12"/>
        </w:rPr>
        <w:t xml:space="preserve"> | RE 142.240</w:t>
      </w:r>
      <w:r>
        <w:rPr>
          <w:color w:val="003CA0"/>
          <w:sz w:val="12"/>
        </w:rPr>
        <w:t xml:space="preserve"> | rel. Marco Aurélio</w:t>
      </w:r>
    </w:p>
    <w:p>
      <w:pPr>
        <w:ind w:left="288"/>
      </w:pPr>
      <w:r>
        <w:rPr>
          <w:color w:val="1E1E1E"/>
          <w:sz w:val="18"/>
        </w:rPr>
        <w:t>Recurso extraordinário. Alínea b do inciso III do art. 102 da CF. Formalidade essencial. A admissibilidade no Tribunal a quo e o seguimento no STF de recurso extraordinário que veicule inconformismo contra declaração de inconstitucionalidade de ato normativo pressupõe o conhecimento das razões da declaração da pecha pela Corte de origem. Tratando-se de acórdão prolatado por órgão fracionado, indispensável é que contenha a transcrição do que decidido pelo Plenário ou órgão especial, únicos competentes para o exame e a decisão da matéria. Art. 97 da Lei Básica Federal. A deficiência em tal campo</w:t>
      </w:r>
    </w:p>
    <w:p>
      <w:pPr>
        <w:ind w:left="288"/>
      </w:pPr>
      <w:r>
        <w:rPr>
          <w:b/>
          <w:color w:val="003CA0"/>
          <w:sz w:val="16"/>
        </w:rPr>
        <w:t>[RE 142.240 AgR, rel. min. Marco Aurélio, j. 2-6-1992, 2ª T, DJ de 19-6-1992.]</w:t>
      </w:r>
    </w:p>
    <w:p>
      <w:pPr>
        <w:ind w:left="288"/>
      </w:pPr>
      <w:r>
        <w:rPr>
          <w:color w:val="8C8C8C"/>
          <w:sz w:val="12"/>
        </w:rPr>
        <w:t>cf-art-102-inc-III-ali-b</w:t>
      </w:r>
      <w:r>
        <w:rPr>
          <w:color w:val="003CA0"/>
          <w:sz w:val="12"/>
        </w:rPr>
        <w:t xml:space="preserve"> | RE 453.744</w:t>
      </w:r>
      <w:r>
        <w:rPr>
          <w:color w:val="003CA0"/>
          <w:sz w:val="12"/>
        </w:rPr>
        <w:t xml:space="preserve"> | rel. Cezar Peluso</w:t>
      </w:r>
    </w:p>
    <w:p>
      <w:pPr>
        <w:ind w:left="288"/>
      </w:pPr>
      <w:r>
        <w:rPr>
          <w:color w:val="1E1E1E"/>
          <w:sz w:val="18"/>
        </w:rPr>
        <w:t>= RE 453.744 AgR, rel. min. Cezar Peluso, j. 13-6-2006, 1ª T, DJ de 25-8-2006 Vide RE 149.478 AgR, rel. min. Sepúlveda Pertence, j. 24-3-1993, P, DJ de 23-4-1993 Recurso extraordinário (CF, art. 102, III, b) e recurso especial (art. 105, III, b): distinção. Estado federal: repartição horizontal e repartição vertical de competência (Raul Machado Horta): consequências processuais na distinção entre hipóteses similares, mas distintas, de recurso extraordinário e do recurso especial (CF, arts. 102, III, b e 105, III, b). Questão de ordem: competência para julgar recurso extraordinário, admitido pe</w:t>
      </w:r>
    </w:p>
    <w:p>
      <w:pPr>
        <w:ind w:left="288"/>
      </w:pPr>
      <w:r>
        <w:rPr>
          <w:b/>
          <w:color w:val="003CA0"/>
          <w:sz w:val="16"/>
        </w:rPr>
        <w:t>[RE 117.809 QO, rel. min. Sepúlveda Pertence, j. 14-6-1989, P, DJ de 4-8-1989.]</w:t>
      </w:r>
    </w:p>
    <w:p>
      <w:pPr>
        <w:ind w:left="288"/>
      </w:pPr>
      <w:r>
        <w:rPr>
          <w:color w:val="8C8C8C"/>
          <w:sz w:val="12"/>
        </w:rPr>
        <w:t>cf-art-102-inc-III-ali-c</w:t>
      </w:r>
      <w:r>
        <w:rPr>
          <w:color w:val="003CA0"/>
          <w:sz w:val="12"/>
        </w:rPr>
        <w:t xml:space="preserve"> | RE 569.139</w:t>
      </w:r>
      <w:r>
        <w:rPr>
          <w:color w:val="003CA0"/>
          <w:sz w:val="12"/>
        </w:rPr>
        <w:t xml:space="preserve"> | rel. Ayres Britto</w:t>
      </w:r>
    </w:p>
    <w:p>
      <w:pPr>
        <w:ind w:left="288"/>
      </w:pPr>
      <w:r>
        <w:rPr>
          <w:color w:val="1E1E1E"/>
          <w:sz w:val="18"/>
        </w:rPr>
        <w:t>O TST não julgou válida lei ou ato de governo local contestados ante a Constituição, o que inviabiliza o recurso extraordinário fundamentado na alínea c do inciso III do art. 102 da Carta Magna.</w:t>
      </w:r>
    </w:p>
    <w:p>
      <w:pPr>
        <w:ind w:left="288"/>
      </w:pPr>
      <w:r>
        <w:rPr>
          <w:b/>
          <w:color w:val="003CA0"/>
          <w:sz w:val="16"/>
        </w:rPr>
        <w:t>[RE 569.139 AgR, rel. min. Ayres Britto, j. 19-10-2010, 2ª T, DJE de 14-2-2011.]</w:t>
      </w:r>
    </w:p>
    <w:p>
      <w:pPr>
        <w:ind w:left="288"/>
      </w:pPr>
      <w:r>
        <w:rPr>
          <w:color w:val="8C8C8C"/>
          <w:sz w:val="12"/>
        </w:rPr>
        <w:t>cf-art-102-inc-III-ali-c</w:t>
      </w:r>
      <w:r>
        <w:rPr>
          <w:color w:val="003CA0"/>
          <w:sz w:val="12"/>
        </w:rPr>
        <w:t xml:space="preserve"> | AI 792.964</w:t>
      </w:r>
      <w:r>
        <w:rPr>
          <w:color w:val="003CA0"/>
          <w:sz w:val="12"/>
        </w:rPr>
        <w:t xml:space="preserve"> | rel. Cármen Lúcia</w:t>
      </w:r>
    </w:p>
    <w:p>
      <w:pPr>
        <w:ind w:left="288"/>
      </w:pPr>
      <w:r>
        <w:rPr>
          <w:color w:val="1E1E1E"/>
          <w:sz w:val="18"/>
        </w:rPr>
        <w:t>= AI 792.964 ED, rel. min. Cármen Lúcia, j. 22-2-2011, 1ª T, DJE de 25-3-2011 Reclamação com fundamento na preservação da competência do STF. Ação direta de inconstitucionalidade proposta perante tribunal de justiça na qual se impugna lei municipal sob a alegação de ofensa a dispositivos constitucionais estaduais que reproduzem dispositivos constitucionais federais de observância obrigatória pelos Estados. Eficácia jurídica desses dispositivos constitucionais estaduais. Jurisdição constitucional dos Estados-membros. Admissão da propositura da ação direta de inconstitucionalidade perante o trib</w:t>
      </w:r>
    </w:p>
    <w:p>
      <w:pPr>
        <w:ind w:left="288"/>
      </w:pPr>
      <w:r>
        <w:rPr>
          <w:b/>
          <w:color w:val="003CA0"/>
          <w:sz w:val="16"/>
        </w:rPr>
        <w:t>[Rcl 383, rel. min. Moreira Alves, j. 11-6-1992, P, DJ de 21-5-1993.]</w:t>
      </w:r>
    </w:p>
    <w:p>
      <w:pPr>
        <w:ind w:left="288"/>
      </w:pPr>
      <w:r>
        <w:rPr>
          <w:color w:val="8C8C8C"/>
          <w:sz w:val="12"/>
        </w:rPr>
        <w:t>cf-art-102-inc-III-ali-c</w:t>
      </w:r>
      <w:r>
        <w:rPr>
          <w:color w:val="003CA0"/>
          <w:sz w:val="12"/>
        </w:rPr>
        <w:t xml:space="preserve"> | RCL 12.653</w:t>
      </w:r>
      <w:r>
        <w:rPr>
          <w:color w:val="003CA0"/>
          <w:sz w:val="12"/>
        </w:rPr>
        <w:t xml:space="preserve"> | rel. Gilmar Mendes</w:t>
      </w:r>
    </w:p>
    <w:p>
      <w:pPr>
        <w:ind w:left="288"/>
      </w:pPr>
      <w:r>
        <w:rPr>
          <w:color w:val="1E1E1E"/>
          <w:sz w:val="18"/>
        </w:rPr>
        <w:t>= Rcl 12.653 AgR, rel. min. Gilmar Mendes, j. 20-6-2012, P, DJE de 15-10-2012 Vide AI 694.299 AgR, rel. min. Dias Toffoli, j. 13-8-2013, 1ª T, DJE de 17-2-2014 Vide Rcl 4.329, rel. min. Ayres Britto, j. 17-11-2011, P, DJE de 12-12-2011</w:t>
      </w:r>
    </w:p>
    <w:p>
      <w:pPr>
        <w:ind w:left="288"/>
      </w:pPr>
      <w:r>
        <w:rPr>
          <w:color w:val="8C8C8C"/>
          <w:sz w:val="12"/>
        </w:rPr>
        <w:t>cf-art-102-inc-III-ali-d</w:t>
      </w:r>
      <w:r>
        <w:rPr>
          <w:color w:val="003CA0"/>
          <w:sz w:val="12"/>
        </w:rPr>
        <w:t xml:space="preserve"> | AI 774.514</w:t>
      </w:r>
      <w:r>
        <w:rPr>
          <w:color w:val="003CA0"/>
          <w:sz w:val="12"/>
        </w:rPr>
        <w:t xml:space="preserve"> | rel. Joaquim Barbosa</w:t>
      </w:r>
    </w:p>
    <w:p>
      <w:pPr>
        <w:ind w:left="288"/>
      </w:pPr>
      <w:r>
        <w:rPr>
          <w:color w:val="1E1E1E"/>
          <w:sz w:val="18"/>
        </w:rPr>
        <w:t>(...) o enquadramento do recurso extraordinário na hipótese de cabimento inscrita no art. 102, III, d, exige a demonstração, pelo recorrente, de que a corte de origem, ao julgar válida lei local contestada em face de lei federal, ofendeu o sistema de repartição de competências legislativas estatuído na Constituição.</w:t>
      </w:r>
    </w:p>
    <w:p>
      <w:pPr>
        <w:ind w:left="288"/>
      </w:pPr>
      <w:r>
        <w:rPr>
          <w:b/>
          <w:color w:val="003CA0"/>
          <w:sz w:val="16"/>
        </w:rPr>
        <w:t>[AI 774.514 AgR, rel. min. Joaquim Barbosa, j. 31-8-2010, 2ª T, DJE de 1º-10-2010.]</w:t>
      </w:r>
    </w:p>
    <w:p>
      <w:pPr>
        <w:ind w:left="288"/>
      </w:pPr>
      <w:r>
        <w:rPr>
          <w:color w:val="8C8C8C"/>
          <w:sz w:val="12"/>
        </w:rPr>
        <w:t>cf-art-102-inc-III-ali-d</w:t>
      </w:r>
      <w:r>
        <w:rPr>
          <w:color w:val="003CA0"/>
          <w:sz w:val="12"/>
        </w:rPr>
        <w:t xml:space="preserve"> | RCL 9.702</w:t>
      </w:r>
      <w:r>
        <w:rPr>
          <w:color w:val="003CA0"/>
          <w:sz w:val="12"/>
        </w:rPr>
        <w:t xml:space="preserve"> | rel. Luiz Fux</w:t>
      </w:r>
    </w:p>
    <w:p>
      <w:pPr>
        <w:ind w:left="288"/>
      </w:pPr>
      <w:r>
        <w:rPr>
          <w:color w:val="1E1E1E"/>
          <w:sz w:val="18"/>
        </w:rPr>
        <w:t>= Rcl 9.702 AgR, rel. min. Luiz Fux, j. 3-3-2015, 1ª T, DJE de 18-3-2015 = AI 769.919 AgR-segundo, rel. min. Ricardo Lewandowski, j. 13-9-2011, 2ª T, DJE de 27-9-2011 Competência para análise de recurso em que se discute validade de lei local em face de lei federal. Tanto na época da interposição – CF/1969, como com a alteração constitucional introduzida pela EC 45, compete ao STF a análise da matéria, conforme redação atual do art. 102, III, d, da CF.</w:t>
      </w:r>
    </w:p>
    <w:p>
      <w:pPr>
        <w:ind w:left="288"/>
      </w:pPr>
      <w:r>
        <w:rPr>
          <w:b/>
          <w:color w:val="003CA0"/>
          <w:sz w:val="16"/>
        </w:rPr>
        <w:t>[AI 132.755 QO, red. do ac. min. Dias Toffoli, j. 19-11-2009, P, DJE de 11-6-2010.]</w:t>
      </w:r>
    </w:p>
    <w:p>
      <w:pPr>
        <w:ind w:left="288"/>
      </w:pPr>
      <w:r>
        <w:rPr>
          <w:color w:val="8C8C8C"/>
          <w:sz w:val="12"/>
        </w:rPr>
        <w:t>cf-art-102-inc-III-ali-d</w:t>
      </w:r>
      <w:r>
        <w:rPr>
          <w:color w:val="003CA0"/>
          <w:sz w:val="12"/>
        </w:rPr>
        <w:t xml:space="preserve"> | AI 612.842</w:t>
      </w:r>
      <w:r>
        <w:rPr>
          <w:color w:val="003CA0"/>
          <w:sz w:val="12"/>
        </w:rPr>
        <w:t xml:space="preserve"> | rel. Sepúlveda Pertence</w:t>
      </w:r>
    </w:p>
    <w:p>
      <w:pPr>
        <w:ind w:left="288"/>
      </w:pPr>
      <w:r>
        <w:rPr>
          <w:color w:val="1E1E1E"/>
          <w:sz w:val="18"/>
        </w:rPr>
        <w:t>Servidor público do Estado do Rio Grande do Sul: questão relativa à compatibilidade – ou não – da Lei estadual 10.395/1995 – que concedeu reajuste de vencimentos aos servidores públicos estaduais – com a LC 82/1995 (Lei Camata), que não alcança o plano constitucional: incidência da Súmula 280. Caso anterior à EC 45/2004, que inseriu a alínea d no art. 102, III, da CF.</w:t>
      </w:r>
    </w:p>
    <w:p>
      <w:pPr>
        <w:ind w:left="288"/>
      </w:pPr>
      <w:r>
        <w:rPr>
          <w:b/>
          <w:color w:val="003CA0"/>
          <w:sz w:val="16"/>
        </w:rPr>
        <w:t>[AI 612.842 AgR, rel. min. Sepúlveda Pertence, j. 26-6-2007, 1ª T, DJ de 17-8-2007.]</w:t>
      </w:r>
    </w:p>
    <w:p>
      <w:pPr>
        <w:ind w:left="144"/>
      </w:pPr>
      <w:r>
        <w:rPr>
          <w:b/>
          <w:color w:val="B45A00"/>
          <w:sz w:val="16"/>
        </w:rPr>
        <w:t>CONTROLE CONCENTRADO</w:t>
      </w:r>
    </w:p>
    <w:p>
      <w:pPr>
        <w:ind w:left="288"/>
      </w:pPr>
      <w:r>
        <w:rPr>
          <w:color w:val="8C8C8C"/>
          <w:sz w:val="12"/>
        </w:rPr>
        <w:t>cf-art-102-par-1</w:t>
      </w:r>
      <w:r>
        <w:rPr>
          <w:color w:val="003CA0"/>
          <w:sz w:val="12"/>
        </w:rPr>
        <w:t xml:space="preserve"> | ADPF 378</w:t>
      </w:r>
    </w:p>
    <w:p>
      <w:pPr>
        <w:ind w:left="288"/>
      </w:pPr>
      <w:r>
        <w:rPr>
          <w:color w:val="1E1E1E"/>
          <w:sz w:val="18"/>
        </w:rPr>
        <w:t>A presente ação tem por objeto central analisar a compatibilidade do rito de impeachment de presidente da República previsto na Lei 1.079/1950 com a Constituição de 1988. A ação é cabível, mesmo se considerarmos que requer, indiretamente, a declaração de inconstitucionalidade de norma posterior à Constituição e que pretende superar omissão parcial inconstitucional. Fungibilidade das ações diretas que se prestam a viabilizar o controle de constitucionalidade abstrato e em tese. Atendimento ao requisito da subsidiariedade, tendo em vista que somente a apreciação cumulativa de tais pedidos é capa</w:t>
      </w:r>
    </w:p>
    <w:p>
      <w:pPr>
        <w:ind w:left="288"/>
      </w:pPr>
      <w:r>
        <w:rPr>
          <w:b/>
          <w:color w:val="003CA0"/>
          <w:sz w:val="16"/>
        </w:rPr>
        <w:t>[ADPF 378 MC, red. do ac. min. Roberto Barroso, j. 16-12-2015, P, DJE de 8-3-2016.]</w:t>
      </w:r>
    </w:p>
    <w:p>
      <w:pPr>
        <w:ind w:left="288"/>
      </w:pPr>
      <w:r>
        <w:rPr>
          <w:color w:val="8C8C8C"/>
          <w:sz w:val="12"/>
        </w:rPr>
        <w:t>cf-art-102-par-1</w:t>
      </w:r>
      <w:r>
        <w:rPr>
          <w:color w:val="003CA0"/>
          <w:sz w:val="12"/>
        </w:rPr>
        <w:t xml:space="preserve"> | ADPF 288</w:t>
      </w:r>
      <w:r>
        <w:rPr>
          <w:color w:val="003CA0"/>
          <w:sz w:val="12"/>
        </w:rPr>
        <w:t xml:space="preserve"> | rel. Celso de Mello</w:t>
      </w:r>
    </w:p>
    <w:p>
      <w:pPr>
        <w:ind w:left="288"/>
      </w:pPr>
      <w:r>
        <w:rPr>
          <w:color w:val="1E1E1E"/>
          <w:sz w:val="18"/>
        </w:rPr>
        <w:t>O Plenário do STF (...), ao acentuar que não é função constitucional da arguição de descumprimento de preceito fundamental atuar como instrumento de desconstituição da autoridade da coisa julgada em sentido material, claramente delimitou o âmbito de incidência dessa ação constitucional, pré-excluindo, de seu campo de abrangência, atos jurisdicionais, como o ora referido na petição inicial, desde que impregnados dos atributos que qualificam a res judicata.</w:t>
      </w:r>
    </w:p>
    <w:p>
      <w:pPr>
        <w:ind w:left="288"/>
      </w:pPr>
      <w:r>
        <w:rPr>
          <w:b/>
          <w:color w:val="003CA0"/>
          <w:sz w:val="16"/>
        </w:rPr>
        <w:t>[ADPF 288 MC, rel. min. Celso de Mello, j. 21-10-2013, dec. monocrática, DJE de 25-10-2013.]</w:t>
      </w:r>
    </w:p>
    <w:p>
      <w:pPr>
        <w:ind w:left="288"/>
      </w:pPr>
      <w:r>
        <w:rPr>
          <w:color w:val="8C8C8C"/>
          <w:sz w:val="12"/>
        </w:rPr>
        <w:t>cf-art-102-par-1</w:t>
      </w:r>
      <w:r>
        <w:rPr>
          <w:color w:val="003CA0"/>
          <w:sz w:val="12"/>
        </w:rPr>
        <w:t xml:space="preserve"> | ADPF 81</w:t>
      </w:r>
      <w:r>
        <w:rPr>
          <w:color w:val="003CA0"/>
          <w:sz w:val="12"/>
        </w:rPr>
        <w:t xml:space="preserve"> | rel. Celso de Mello</w:t>
      </w:r>
    </w:p>
    <w:p>
      <w:pPr>
        <w:ind w:left="288"/>
      </w:pPr>
      <w:r>
        <w:rPr>
          <w:color w:val="1E1E1E"/>
          <w:sz w:val="18"/>
        </w:rPr>
        <w:t>= ADPF 81 MC, rel. min. Celso de Mello, j. 27-10-2015, dec. monocrática, DJE de 4-11-2015 A jurisprudência do STF firmou-se no sentido de que a arguição de descumprimento de preceito fundamental é, via de regra, meio inidôneo para processar questões controvertidas derivadas de normas secundárias e de caráter tipicamente regulamentar.</w:t>
      </w:r>
    </w:p>
    <w:p>
      <w:pPr>
        <w:ind w:left="288"/>
      </w:pPr>
      <w:r>
        <w:rPr>
          <w:b/>
          <w:color w:val="003CA0"/>
          <w:sz w:val="16"/>
        </w:rPr>
        <w:t>[ADPF 210 AgR, rel. min. Teori Zavascki, j. 6-6-2013, P, DJE de 21-6-2013.]</w:t>
      </w:r>
    </w:p>
    <w:p>
      <w:pPr>
        <w:ind w:left="288"/>
      </w:pPr>
      <w:r>
        <w:rPr>
          <w:color w:val="8C8C8C"/>
          <w:sz w:val="12"/>
        </w:rPr>
        <w:t>cf-art-102-par-1</w:t>
      </w:r>
      <w:r>
        <w:rPr>
          <w:color w:val="003CA0"/>
          <w:sz w:val="12"/>
        </w:rPr>
        <w:t xml:space="preserve"> | ADPF 181</w:t>
      </w:r>
      <w:r>
        <w:rPr>
          <w:color w:val="003CA0"/>
          <w:sz w:val="12"/>
        </w:rPr>
        <w:t xml:space="preserve"> | rel. Marco Aurélio</w:t>
      </w:r>
    </w:p>
    <w:p>
      <w:pPr>
        <w:ind w:left="288"/>
      </w:pPr>
      <w:r>
        <w:rPr>
          <w:color w:val="1E1E1E"/>
          <w:sz w:val="18"/>
        </w:rPr>
        <w:t>Arguição de descumprimento de preceito fundamental. Pedido liminar. Analogia. Art. 12 da Lei 9.868/1999. (...) Tem-se admitido que algumas regras versadas na Lei 9.868, de 1999, a qual dispõe sobre o processo e julgamento da ação direta de inconstitucionalidade e da ação declaratória de constitucionalidade perante o STF, sejam aplicadas analogicamente ao procedimento previsto para a arguição de descumprimento fundamental. Na espécie, a racionalidade e a organicidade próprias ao Direito direcionam ao julgamento definitivo, no que se homenageia a economia processual.</w:t>
      </w:r>
    </w:p>
    <w:p>
      <w:pPr>
        <w:ind w:left="288"/>
      </w:pPr>
      <w:r>
        <w:rPr>
          <w:b/>
          <w:color w:val="003CA0"/>
          <w:sz w:val="16"/>
        </w:rPr>
        <w:t>[ADPF 181, rel. min. Marco Aurélio, j. 11-6-2012, dec. monocrática, DJE de 22-6-2012.]</w:t>
      </w:r>
    </w:p>
    <w:p>
      <w:pPr>
        <w:ind w:left="288"/>
      </w:pPr>
      <w:r>
        <w:rPr>
          <w:color w:val="8C8C8C"/>
          <w:sz w:val="12"/>
        </w:rPr>
        <w:t>cf-art-102-par-1</w:t>
      </w:r>
      <w:r>
        <w:rPr>
          <w:color w:val="003CA0"/>
          <w:sz w:val="12"/>
        </w:rPr>
        <w:t xml:space="preserve"> | ADI 3.197</w:t>
      </w:r>
      <w:r>
        <w:rPr>
          <w:color w:val="003CA0"/>
          <w:sz w:val="12"/>
        </w:rPr>
        <w:t xml:space="preserve"> | rel. Dias Toffoli</w:t>
      </w:r>
    </w:p>
    <w:p>
      <w:pPr>
        <w:ind w:left="288"/>
      </w:pPr>
      <w:r>
        <w:rPr>
          <w:color w:val="1E1E1E"/>
          <w:sz w:val="18"/>
        </w:rPr>
        <w:t>(...) assento o cabimento desta ação, uma vez que não há outro meio hábil de sanar a lesividade (...). (...) Afasto, igualmente, o argumento de que haveria conexão entre esta arguição de descumprimento de preceito fundamental e a ADI 3.197/RJ, rel. min. Dias Toffoli, por ostentarem ambos os feitos a mesma causa de pedir, qual seja, a inconstitucionalidade do sistema de cotas para negros nas universidades públicas. É que, conforme remansosa jurisprudência desta Corte, as ações de índole abstrata, por definição, não tratam de fatos concretos, razão pela qual nelas não se deve, como regra, cogita</w:t>
      </w:r>
    </w:p>
    <w:p>
      <w:pPr>
        <w:ind w:left="288"/>
      </w:pPr>
      <w:r>
        <w:rPr>
          <w:b/>
          <w:color w:val="003CA0"/>
          <w:sz w:val="16"/>
        </w:rPr>
        <w:t>[ADPF 186, rel. min. Ricardo Lewandowski, j. 26-4-2012, P, DJE de 20-10-2014.]</w:t>
      </w:r>
    </w:p>
    <w:p>
      <w:pPr>
        <w:ind w:left="288"/>
      </w:pPr>
      <w:r>
        <w:rPr>
          <w:color w:val="8C8C8C"/>
          <w:sz w:val="12"/>
        </w:rPr>
        <w:t>cf-art-102-par-1</w:t>
      </w:r>
      <w:r>
        <w:rPr>
          <w:color w:val="003CA0"/>
          <w:sz w:val="12"/>
        </w:rPr>
        <w:t xml:space="preserve"> | ADI 4.180</w:t>
      </w:r>
      <w:r>
        <w:rPr>
          <w:color w:val="003CA0"/>
          <w:sz w:val="12"/>
        </w:rPr>
        <w:t xml:space="preserve"> | rel. Cezar Peluso</w:t>
      </w:r>
    </w:p>
    <w:p>
      <w:pPr>
        <w:ind w:left="288"/>
      </w:pPr>
      <w:r>
        <w:rPr>
          <w:color w:val="1E1E1E"/>
          <w:sz w:val="18"/>
        </w:rPr>
        <w:t>Aplicação do princípio da fungibilidade. (...) É lícito conhecer de ação direta de inconstitucionalidade como arguição de descumprimento de preceito fundamental, quando coexistentes todos os requisitos de admissibilidade desta, em caso de inadmissibilidade daquela.</w:t>
      </w:r>
    </w:p>
    <w:p>
      <w:pPr>
        <w:ind w:left="288"/>
      </w:pPr>
      <w:r>
        <w:rPr>
          <w:b/>
          <w:color w:val="003CA0"/>
          <w:sz w:val="16"/>
        </w:rPr>
        <w:t>[ADI 4.180 MC-REF, rel. min. Cezar Peluso, j. 10-3-2010, P, DJE de 27-8-2010.]</w:t>
      </w:r>
    </w:p>
    <w:p>
      <w:pPr>
        <w:ind w:left="288"/>
      </w:pPr>
      <w:r>
        <w:rPr>
          <w:color w:val="8C8C8C"/>
          <w:sz w:val="12"/>
        </w:rPr>
        <w:t>cf-art-102-par-1</w:t>
      </w:r>
      <w:r>
        <w:rPr>
          <w:color w:val="003CA0"/>
          <w:sz w:val="12"/>
        </w:rPr>
        <w:t xml:space="preserve"> | ADPF 178</w:t>
      </w:r>
      <w:r>
        <w:rPr>
          <w:color w:val="003CA0"/>
          <w:sz w:val="12"/>
        </w:rPr>
        <w:t xml:space="preserve"> | rel. Gilmar Mendes</w:t>
      </w:r>
    </w:p>
    <w:p>
      <w:pPr>
        <w:ind w:left="288"/>
      </w:pPr>
      <w:r>
        <w:rPr>
          <w:color w:val="1E1E1E"/>
          <w:sz w:val="18"/>
        </w:rPr>
        <w:t>Vide ADPF 178, rel. min. Gilmar Mendes, j. 21-7-2009, dec. monocrática, DJE de 5-8-2009 Vide ADPF 72 QO, rel. min. Ellen Gracie, j. 1º-6-2005, P, DJ de 2-12-2005 Constitucionalidade de atos normativos proibitivos da importação de pneus usados. (...) Adequação da arguição pela correta indicação de preceitos fundamentais atingidos, a saber, o direito à saúde, direito ao meio ambiente ecologicamente equilibrado (arts. 196 e 225 da Constituição brasileira) e a busca de desenvolvimento econômico sustentável: princípios constitucionais da livre iniciativa e da liberdade de comércio interpretados e a</w:t>
      </w:r>
    </w:p>
    <w:p>
      <w:pPr>
        <w:ind w:left="288"/>
      </w:pPr>
      <w:r>
        <w:rPr>
          <w:b/>
          <w:color w:val="003CA0"/>
          <w:sz w:val="16"/>
        </w:rPr>
        <w:t>[ADPF 101, rel. min. Cármen Lúcia, j. 24-6-2009, P, DJE de 4-6-2012.]</w:t>
      </w:r>
    </w:p>
    <w:p>
      <w:pPr>
        <w:ind w:left="288"/>
      </w:pPr>
      <w:r>
        <w:rPr>
          <w:color w:val="8C8C8C"/>
          <w:sz w:val="12"/>
        </w:rPr>
        <w:t>cf-art-102-par-1</w:t>
      </w:r>
      <w:r>
        <w:rPr>
          <w:color w:val="003CA0"/>
          <w:sz w:val="12"/>
        </w:rPr>
        <w:t xml:space="preserve"> | ADPF 130</w:t>
      </w:r>
      <w:r>
        <w:rPr>
          <w:color w:val="003CA0"/>
          <w:sz w:val="12"/>
        </w:rPr>
        <w:t xml:space="preserve"> | rel. Ayres Britto</w:t>
      </w:r>
    </w:p>
    <w:p>
      <w:pPr>
        <w:ind w:left="288"/>
      </w:pPr>
      <w:r>
        <w:rPr>
          <w:color w:val="1E1E1E"/>
          <w:sz w:val="18"/>
        </w:rPr>
        <w:t>Não recepção em bloco da Lei 5.250 pela nova ordem constitucional. (...) São de todo imprestáveis as tentativas de conciliação hermenêutica da Lei 5.250/1967 com a Constituição, seja mediante expurgo puro e simples de destacados dispositivos da lei, seja mediante o emprego dessa refinada técnica de controle de constitucionalidade que atende pelo nome de "interpretação conforme a Constituição". A técnica da "interpretação conforme" não pode artificializar ou "forçar a descontaminação" da parte restante do diploma legal interpretado, pena de descabido incursionamento do intérprete em legiferação</w:t>
      </w:r>
    </w:p>
    <w:p>
      <w:pPr>
        <w:ind w:left="288"/>
      </w:pPr>
      <w:r>
        <w:rPr>
          <w:b/>
          <w:color w:val="003CA0"/>
          <w:sz w:val="16"/>
        </w:rPr>
        <w:t>[ADPF 130, rel. min. Ayres Britto, j. 30-4-2009, P, DJE de 6-11-2009.]</w:t>
      </w:r>
    </w:p>
    <w:p>
      <w:pPr>
        <w:ind w:left="288"/>
      </w:pPr>
      <w:r>
        <w:rPr>
          <w:color w:val="8C8C8C"/>
          <w:sz w:val="12"/>
        </w:rPr>
        <w:t>cf-art-102-par-1</w:t>
      </w:r>
      <w:r>
        <w:rPr>
          <w:color w:val="003CA0"/>
          <w:sz w:val="12"/>
        </w:rPr>
        <w:t xml:space="preserve"> | ADPF 144</w:t>
      </w:r>
      <w:r>
        <w:rPr>
          <w:color w:val="003CA0"/>
          <w:sz w:val="12"/>
        </w:rPr>
        <w:t xml:space="preserve"> | rel. Celso de Mello</w:t>
      </w:r>
    </w:p>
    <w:p>
      <w:pPr>
        <w:ind w:left="288"/>
      </w:pPr>
      <w:r>
        <w:rPr>
          <w:color w:val="1E1E1E"/>
          <w:sz w:val="18"/>
        </w:rPr>
        <w:t>Possibilidade de ministros do STF, com assento no TSE, participarem do julgamento da arguição de descumprimento de preceito fundamental. Inocorrência de incompatibilidade processual, ainda que o presidente do TSE haja prestado informações na causa.</w:t>
      </w:r>
    </w:p>
    <w:p>
      <w:pPr>
        <w:ind w:left="288"/>
      </w:pPr>
      <w:r>
        <w:rPr>
          <w:b/>
          <w:color w:val="003CA0"/>
          <w:sz w:val="16"/>
        </w:rPr>
        <w:t>[ADPF 144, rel. min. Celso de Mello, j. 6-8-2008, P, DJE de 26-2-2010.]</w:t>
      </w:r>
    </w:p>
    <w:p>
      <w:pPr>
        <w:ind w:left="288"/>
      </w:pPr>
      <w:r>
        <w:rPr>
          <w:color w:val="8C8C8C"/>
          <w:sz w:val="12"/>
        </w:rPr>
        <w:t>cf-art-102-par-1</w:t>
      </w:r>
      <w:r>
        <w:rPr>
          <w:color w:val="003CA0"/>
          <w:sz w:val="12"/>
        </w:rPr>
        <w:t xml:space="preserve"> | ADPF 83</w:t>
      </w:r>
      <w:r>
        <w:rPr>
          <w:color w:val="003CA0"/>
          <w:sz w:val="12"/>
        </w:rPr>
        <w:t xml:space="preserve"> | rel. Ayres Britto</w:t>
      </w:r>
    </w:p>
    <w:p>
      <w:pPr>
        <w:ind w:left="288"/>
      </w:pPr>
      <w:r>
        <w:rPr>
          <w:color w:val="1E1E1E"/>
          <w:sz w:val="18"/>
        </w:rPr>
        <w:t>Arguição de descumprimento de preceito fundamental. Lei 3.624/1989, do Município de Vitória, que impõe ao poder público municipal a obrigação de cumprir acordo coletivo celebrado com diversas entidades representativas dos servidores públicos municipais. Não conhecimento. O acordo coletivo de trabalho se constituiu em ato jurídico uno para todas as categorias de servidores estatutários do Município de Vitória. Exauridas todas as instâncias, inclusive com manejo de ação rescisória extinta sem resolução do mérito, não cabe à arguição de descumprimento de preceito fundamental cumprir uma função su</w:t>
      </w:r>
    </w:p>
    <w:p>
      <w:pPr>
        <w:ind w:left="288"/>
      </w:pPr>
      <w:r>
        <w:rPr>
          <w:b/>
          <w:color w:val="003CA0"/>
          <w:sz w:val="16"/>
        </w:rPr>
        <w:t>[ADPF 83, rel. min. Ayres Britto, j. 24-4-2008, P, DJE de 1º-8-2008.]</w:t>
      </w:r>
    </w:p>
    <w:p>
      <w:pPr>
        <w:ind w:left="288"/>
      </w:pPr>
      <w:r>
        <w:rPr>
          <w:color w:val="8C8C8C"/>
          <w:sz w:val="12"/>
        </w:rPr>
        <w:t>cf-art-102-par-1</w:t>
      </w:r>
      <w:r>
        <w:rPr>
          <w:color w:val="003CA0"/>
          <w:sz w:val="12"/>
        </w:rPr>
        <w:t xml:space="preserve"> | ADPF 79</w:t>
      </w:r>
      <w:r>
        <w:rPr>
          <w:color w:val="003CA0"/>
          <w:sz w:val="12"/>
        </w:rPr>
        <w:t xml:space="preserve"> | rel. Cezar Peluso</w:t>
      </w:r>
    </w:p>
    <w:p>
      <w:pPr>
        <w:ind w:left="288"/>
      </w:pPr>
      <w:r>
        <w:rPr>
          <w:color w:val="1E1E1E"/>
          <w:sz w:val="18"/>
        </w:rPr>
        <w:t>Liminar concedida. Suspensão de processos e efeitos de sentenças. Servidor público. Professores do Estado de Pernambuco. Elevação de vencimentos com base no princípio da isonomia. Casos recobertos por coisa julgada material ou convalidados por lei superveniente. Exclusão da eficácia da liminar. Agravo provido em parte e referendo parcial, para esse fim. Aplicação do art. 5º, § 3º, in fine, da Lei federal 9.882/1999. Não podem ser alcançados pela eficácia suspensiva de liminar concedida em arguição de descumprimento de preceito fundamental os efeitos de sentenças transitadas em julgado ou conva</w:t>
      </w:r>
    </w:p>
    <w:p>
      <w:pPr>
        <w:ind w:left="288"/>
      </w:pPr>
      <w:r>
        <w:rPr>
          <w:b/>
          <w:color w:val="003CA0"/>
          <w:sz w:val="16"/>
        </w:rPr>
        <w:t>[ADPF 79 AgR, rel. min. Cezar Peluso, j. 18-6-2007, P, DJ de 17-8-2007.]</w:t>
      </w:r>
    </w:p>
    <w:p>
      <w:pPr>
        <w:ind w:left="288"/>
      </w:pPr>
      <w:r>
        <w:rPr>
          <w:color w:val="8C8C8C"/>
          <w:sz w:val="12"/>
        </w:rPr>
        <w:t>cf-art-102-par-1</w:t>
      </w:r>
      <w:r>
        <w:rPr>
          <w:color w:val="003CA0"/>
          <w:sz w:val="12"/>
        </w:rPr>
        <w:t xml:space="preserve"> | ADI 349</w:t>
      </w:r>
      <w:r>
        <w:rPr>
          <w:color w:val="003CA0"/>
          <w:sz w:val="12"/>
        </w:rPr>
        <w:t xml:space="preserve"> | rel. Marco Aurélio. Incidência</w:t>
      </w:r>
    </w:p>
    <w:p>
      <w:pPr>
        <w:ind w:left="288"/>
      </w:pPr>
      <w:r>
        <w:rPr>
          <w:color w:val="1E1E1E"/>
          <w:sz w:val="18"/>
        </w:rPr>
        <w:t>O ato normativo impugnado é passível de controle concentrado de constitucionalidade pela via da ação direta. Precedente: ADI 349, rel. min. Marco Aurélio. Incidência, no caso, do disposto no art. 4º, § 1º, da Lei 9.882/1999; questão de ordem resolvida com o aproveitamento do feito como ação direta de inconstitucionalidade, ante a perfeita satisfação dos requisitos exigidos à sua propositura (legitimidade ativa, objeto, fundamentação e pedido), bem como a relevância da situação trazida aos autos, relativa a conflito entre dois Estados da Federação.</w:t>
      </w:r>
    </w:p>
    <w:p>
      <w:pPr>
        <w:ind w:left="288"/>
      </w:pPr>
      <w:r>
        <w:rPr>
          <w:b/>
          <w:color w:val="003CA0"/>
          <w:sz w:val="16"/>
        </w:rPr>
        <w:t>[ADPF 72 QO, rel. min. Ellen Gracie, j. 1º-6-2005, P, DJ de 2-12-2005.]</w:t>
      </w:r>
    </w:p>
    <w:p>
      <w:pPr>
        <w:ind w:left="288"/>
      </w:pPr>
      <w:r>
        <w:rPr>
          <w:color w:val="8C8C8C"/>
          <w:sz w:val="12"/>
        </w:rPr>
        <w:t>cf-art-102-par-1</w:t>
      </w:r>
      <w:r>
        <w:rPr>
          <w:color w:val="003CA0"/>
          <w:sz w:val="12"/>
        </w:rPr>
        <w:t xml:space="preserve"> | ADPF 11</w:t>
      </w:r>
    </w:p>
    <w:p>
      <w:pPr>
        <w:ind w:left="288"/>
      </w:pPr>
      <w:r>
        <w:rPr>
          <w:color w:val="1E1E1E"/>
          <w:sz w:val="18"/>
        </w:rPr>
        <w:t>Ação proposta por particular. Ausência de legitimidade. Somente podem propor arguição de descumprimento de preceito fundamental os legitimados para a ação direta de inconstitucionalidade (art. 2º, I, da Lei 9.882/1999).</w:t>
      </w:r>
    </w:p>
    <w:p>
      <w:pPr>
        <w:ind w:left="288"/>
      </w:pPr>
      <w:r>
        <w:rPr>
          <w:b/>
          <w:color w:val="003CA0"/>
          <w:sz w:val="16"/>
        </w:rPr>
        <w:t>[ADPF 11 AgR, reld. do ac. min. Gilmar Mendes, j. 18-11-2004, P, DJ de 5-8-2005.]</w:t>
      </w:r>
    </w:p>
    <w:p>
      <w:pPr>
        <w:ind w:left="288"/>
      </w:pPr>
      <w:r>
        <w:rPr>
          <w:color w:val="8C8C8C"/>
          <w:sz w:val="12"/>
        </w:rPr>
        <w:t>cf-art-102-par-1</w:t>
      </w:r>
      <w:r>
        <w:rPr>
          <w:color w:val="003CA0"/>
          <w:sz w:val="12"/>
        </w:rPr>
        <w:t xml:space="preserve"> | ADPF 226</w:t>
      </w:r>
      <w:r>
        <w:rPr>
          <w:color w:val="003CA0"/>
          <w:sz w:val="12"/>
        </w:rPr>
        <w:t xml:space="preserve"> | rel. Marco Aurélio</w:t>
      </w:r>
    </w:p>
    <w:p>
      <w:pPr>
        <w:ind w:left="288"/>
      </w:pPr>
      <w:r>
        <w:rPr>
          <w:color w:val="1E1E1E"/>
          <w:sz w:val="18"/>
        </w:rPr>
        <w:t>= ADPF 226 AgR, rel. min. Marco Aurélio, j. 9-6-2011, P, DJE de 27-6-2011 Arguição de descumprimento de preceito fundamental (ADPF). Medida cautelar. Ato regulamentar. Autarquia estadual. Instituto de Desenvolvimento Econômico-Social do Pará (IDESP). Remuneração de pessoal. Vinculação do quadro de salários ao salário mínimo. Norma não recepcionada pela Constituição de 1988. Afronta ao princípio federativo e ao direito social fundamental ao salário mínimo digno (arts. 7º, IV; 1º; e 18 da Constituição). Medida liminar para impedir o comprometimento da ordem jurídica e das finanças do Estado. Pre</w:t>
      </w:r>
    </w:p>
    <w:p>
      <w:pPr>
        <w:ind w:left="288"/>
      </w:pPr>
      <w:r>
        <w:rPr>
          <w:b/>
          <w:color w:val="003CA0"/>
          <w:sz w:val="16"/>
        </w:rPr>
        <w:t>[ADPF 33 MC, rel. min. Gilmar Mendes, j. 29-10-2003, P, DJ de 6-8-2004.]</w:t>
      </w:r>
    </w:p>
    <w:p>
      <w:pPr>
        <w:ind w:left="288"/>
      </w:pPr>
      <w:r>
        <w:rPr>
          <w:color w:val="8C8C8C"/>
          <w:sz w:val="12"/>
        </w:rPr>
        <w:t>cf-art-102-par-1</w:t>
      </w:r>
      <w:r>
        <w:rPr>
          <w:color w:val="003CA0"/>
          <w:sz w:val="12"/>
        </w:rPr>
        <w:t xml:space="preserve"> | ADPF 210</w:t>
      </w:r>
      <w:r>
        <w:rPr>
          <w:color w:val="003CA0"/>
          <w:sz w:val="12"/>
        </w:rPr>
        <w:t xml:space="preserve"> | rel. Teori Zavascki</w:t>
      </w:r>
    </w:p>
    <w:p>
      <w:pPr>
        <w:ind w:left="288"/>
      </w:pPr>
      <w:r>
        <w:rPr>
          <w:color w:val="1E1E1E"/>
          <w:sz w:val="18"/>
        </w:rPr>
        <w:t>= ADPF 210 AgR, rel. min. Teori Zavascki, j. 6-6-2013, P, DJE de 21-6-2013 Arguição de descumprimento de preceito fundamental: distinção da ação direta de inconstitucionalidade e da ação declaratória de constitucionalidade. O objeto da arguição de descumprimento de preceito fundamental há de ser "ato do poder público" federal, estadual, distrital ou municipal, normativo ou não, sendo, também, cabível a medida judicial "quando for relevante o fundamento da controvérsia sobre lei ou ato normativo federal, estadual ou municipal, incluídos os anteriores à Constituição”.</w:t>
      </w:r>
    </w:p>
    <w:p>
      <w:pPr>
        <w:ind w:left="288"/>
      </w:pPr>
      <w:r>
        <w:rPr>
          <w:b/>
          <w:color w:val="003CA0"/>
          <w:sz w:val="16"/>
        </w:rPr>
        <w:t>[ADPF 1 QO, rel. min. Néri da Silveira, j. 3-2-2000, P, DJ de 7-11-2003.]</w:t>
      </w:r>
    </w:p>
    <w:p>
      <w:pPr>
        <w:ind w:left="288"/>
      </w:pPr>
      <w:r>
        <w:rPr>
          <w:color w:val="8C8C8C"/>
          <w:sz w:val="12"/>
        </w:rPr>
        <w:t>cf-art-102-par-1</w:t>
      </w:r>
    </w:p>
    <w:p>
      <w:pPr>
        <w:ind w:left="288"/>
      </w:pPr>
      <w:r>
        <w:rPr>
          <w:color w:val="1E1E1E"/>
          <w:sz w:val="18"/>
        </w:rPr>
        <w:t>§ 2º As decisões definitivas de mérito, proferidas pelo Supremo Tribunal Federal, nas ações diretas de inconstitucionalidade e nas ações declaratórias de constitucionalidade produzirão eficácia contra todos e efeito vinculante, relativamente aos demais órgãos do Poder Judiciário e à administração pública direta e indireta, nas esferas federal, estadual e municipal. (Redação da EC 45/2004)</w:t>
      </w:r>
    </w:p>
    <w:p>
      <w:pPr>
        <w:ind w:left="288"/>
      </w:pPr>
      <w:r>
        <w:rPr>
          <w:color w:val="8C8C8C"/>
          <w:sz w:val="12"/>
        </w:rPr>
        <w:t>cf-art-102-par-1</w:t>
      </w:r>
      <w:r>
        <w:rPr>
          <w:color w:val="003CA0"/>
          <w:sz w:val="12"/>
        </w:rPr>
        <w:t xml:space="preserve"> | ADI 3.791</w:t>
      </w:r>
      <w:r>
        <w:rPr>
          <w:color w:val="003CA0"/>
          <w:sz w:val="12"/>
        </w:rPr>
        <w:t xml:space="preserve"> | rel. Ayres Britto</w:t>
      </w:r>
    </w:p>
    <w:p>
      <w:pPr>
        <w:ind w:left="288"/>
      </w:pPr>
      <w:r>
        <w:rPr>
          <w:color w:val="1E1E1E"/>
          <w:sz w:val="18"/>
        </w:rPr>
        <w:t>Tendo em conta a natureza alimentar da gratificação e a presunção de boa-fé, a operar em favor dos militares do Distrito Federal, atribui-se à declaração de inconstitucionalidade efeitos prospectivos (ex nunc).</w:t>
      </w:r>
    </w:p>
    <w:p>
      <w:pPr>
        <w:ind w:left="288"/>
      </w:pPr>
      <w:r>
        <w:rPr>
          <w:b/>
          <w:color w:val="003CA0"/>
          <w:sz w:val="16"/>
        </w:rPr>
        <w:t>[ADI 3.791, rel. min. Ayres Britto, j. 16-6-2010, P, DJE de 27-8-2010.]</w:t>
      </w:r>
    </w:p>
    <w:p>
      <w:pPr>
        <w:ind w:left="288"/>
      </w:pPr>
      <w:r>
        <w:rPr>
          <w:color w:val="8C8C8C"/>
          <w:sz w:val="12"/>
        </w:rPr>
        <w:t>cf-art-102-par-1</w:t>
      </w:r>
      <w:r>
        <w:rPr>
          <w:color w:val="003CA0"/>
          <w:sz w:val="12"/>
        </w:rPr>
        <w:t xml:space="preserve"> | ADI 2.903</w:t>
      </w:r>
      <w:r>
        <w:rPr>
          <w:color w:val="003CA0"/>
          <w:sz w:val="12"/>
        </w:rPr>
        <w:t xml:space="preserve"> | rel. Celso de Mello</w:t>
      </w:r>
    </w:p>
    <w:p>
      <w:pPr>
        <w:ind w:left="288"/>
      </w:pPr>
      <w:r>
        <w:rPr>
          <w:color w:val="1E1E1E"/>
          <w:sz w:val="18"/>
        </w:rPr>
        <w:t>A mera instauração do processo de controle normativo abstrato não se reveste, só por si, de efeitos inibitórios das atividades normativas do Poder Legislativo, que não fica impossibilitado, por isso mesmo, de revogar, enquanto pendente a respectiva ação direta, a própria lei objeto de impugnação perante o Supremo Tribunal, podendo, até mesmo, reeditar o diploma anteriormente pronunciado inconstitucional, eis que não se estende, ao Parlamento, a eficácia vinculante que resulta, naturalmente, da própria declaração de inconstitucionalidade proferida em sede concentrada.</w:t>
      </w:r>
    </w:p>
    <w:p>
      <w:pPr>
        <w:ind w:left="288"/>
      </w:pPr>
      <w:r>
        <w:rPr>
          <w:b/>
          <w:color w:val="003CA0"/>
          <w:sz w:val="16"/>
        </w:rPr>
        <w:t>[ADI 2.903, rel. min. Celso de Mello, j. 1º-12-2005, P, DJE de 19-9-2008.]</w:t>
      </w:r>
    </w:p>
    <w:p>
      <w:pPr>
        <w:ind w:left="288"/>
      </w:pPr>
      <w:r>
        <w:rPr>
          <w:color w:val="8C8C8C"/>
          <w:sz w:val="12"/>
        </w:rPr>
        <w:t>cf-art-102-par-1</w:t>
      </w:r>
      <w:r>
        <w:rPr>
          <w:color w:val="003CA0"/>
          <w:sz w:val="12"/>
        </w:rPr>
        <w:t xml:space="preserve"> | ADC 8</w:t>
      </w:r>
      <w:r>
        <w:rPr>
          <w:color w:val="003CA0"/>
          <w:sz w:val="12"/>
        </w:rPr>
        <w:t xml:space="preserve"> | rel. Celso de Mello</w:t>
      </w:r>
    </w:p>
    <w:p>
      <w:pPr>
        <w:ind w:left="288"/>
      </w:pPr>
      <w:r>
        <w:rPr>
          <w:color w:val="1E1E1E"/>
          <w:sz w:val="18"/>
        </w:rPr>
        <w:t>O ajuizamento da ação declaratória de constitucionalidade, que faz instaurar processo objetivo de controle normativo abstrato, supõe a existência de efetiva controvérsia judicial em torno da legitimidade constitucional de determinada lei ou ato normativo federal. Sem a observância desse pressuposto de admissibilidade, torna-se inviável a instauração do processo de fiscalização normativa in abstracto, pois a inexistência de pronunciamentos judiciais antagônicos culminaria por converter a ação declaratória de constitucionalidade em um inadmissível instrumento de consulta sobre a validade constit</w:t>
      </w:r>
    </w:p>
    <w:p>
      <w:pPr>
        <w:ind w:left="288"/>
      </w:pPr>
      <w:r>
        <w:rPr>
          <w:b/>
          <w:color w:val="003CA0"/>
          <w:sz w:val="16"/>
        </w:rPr>
        <w:t>[ADC 8 MC, rel. min. Celso de Mello, j. 13-10-1999, P, DJ de 4-4-2003.]</w:t>
      </w:r>
    </w:p>
    <w:p>
      <w:pPr>
        <w:ind w:left="288"/>
      </w:pPr>
      <w:r>
        <w:rPr>
          <w:color w:val="8C8C8C"/>
          <w:sz w:val="12"/>
        </w:rPr>
        <w:t>cf-art-102-par-1</w:t>
      </w:r>
      <w:r>
        <w:rPr>
          <w:color w:val="003CA0"/>
          <w:sz w:val="12"/>
        </w:rPr>
        <w:t xml:space="preserve"> | ADC 4</w:t>
      </w:r>
      <w:r>
        <w:rPr>
          <w:color w:val="003CA0"/>
          <w:sz w:val="12"/>
        </w:rPr>
        <w:t xml:space="preserve"> | rel. Sydney Sanches</w:t>
      </w:r>
    </w:p>
    <w:p>
      <w:pPr>
        <w:ind w:left="288"/>
      </w:pPr>
      <w:r>
        <w:rPr>
          <w:color w:val="1E1E1E"/>
          <w:sz w:val="18"/>
        </w:rPr>
        <w:t>Ação declaratória de constitucionalidade do art. 1º da Lei 9.494, de 10-9-1997, que disciplina a aplicação da tutela antecipada contra a Fazenda Pública. Medida cautelar: cabimento e espécie, na ação declaratória de constitucionalidade. Requisitos para sua concessão. (...) As decisões definitivas de mérito, proferidas pelo STF, nas ações declaratórias de constitucionalidade de lei ou ato normativo federal, produzem eficácia contra todos e até efeito vinculante, relativamente aos demais órgãos do Poder Judiciário e ao Poder Executivo, nos termos do art. 102, § 2º, da CF. Em ação dessa natureza,</w:t>
      </w:r>
    </w:p>
    <w:p>
      <w:pPr>
        <w:ind w:left="288"/>
      </w:pPr>
      <w:r>
        <w:rPr>
          <w:b/>
          <w:color w:val="003CA0"/>
          <w:sz w:val="16"/>
        </w:rPr>
        <w:t>[ADC 4 MC, rel. min. Sydney Sanches, j. 11-2-1998, P, DJ de 21-5-1999.]</w:t>
      </w:r>
    </w:p>
    <w:p>
      <w:pPr>
        <w:ind w:left="288"/>
      </w:pPr>
      <w:r>
        <w:rPr>
          <w:color w:val="8C8C8C"/>
          <w:sz w:val="12"/>
        </w:rPr>
        <w:t>cf-art-102-par-1</w:t>
      </w:r>
      <w:r>
        <w:rPr>
          <w:color w:val="003CA0"/>
          <w:sz w:val="12"/>
        </w:rPr>
        <w:t xml:space="preserve"> | ADC 1</w:t>
      </w:r>
      <w:r>
        <w:rPr>
          <w:color w:val="003CA0"/>
          <w:sz w:val="12"/>
        </w:rPr>
        <w:t xml:space="preserve"> | rel. Moreira Alves</w:t>
      </w:r>
    </w:p>
    <w:p>
      <w:pPr>
        <w:ind w:left="288"/>
      </w:pPr>
      <w:r>
        <w:rPr>
          <w:color w:val="1E1E1E"/>
          <w:sz w:val="18"/>
        </w:rPr>
        <w:t>A delimitação do objeto da ação declaratória de constitucionalidade não se adstringe aos limites do objeto fixado pelo autor, mas estes estão sujeitos aos lindes da controvérsia judicial que o autor tem que demonstrar.</w:t>
      </w:r>
    </w:p>
    <w:p>
      <w:pPr>
        <w:ind w:left="288"/>
      </w:pPr>
      <w:r>
        <w:rPr>
          <w:b/>
          <w:color w:val="003CA0"/>
          <w:sz w:val="16"/>
        </w:rPr>
        <w:t>[ADC 1, rel. min. Moreira Alves, j. 1º-12-1993, P, DJ de 16-6-1995.]</w:t>
      </w:r>
    </w:p>
    <w:p>
      <w:pPr>
        <w:ind w:left="288"/>
      </w:pPr>
      <w:r>
        <w:rPr>
          <w:color w:val="8C8C8C"/>
          <w:sz w:val="12"/>
        </w:rPr>
        <w:t>cf-art-102-par-1</w:t>
      </w:r>
      <w:r>
        <w:rPr>
          <w:color w:val="003CA0"/>
          <w:sz w:val="12"/>
        </w:rPr>
        <w:t xml:space="preserve"> | ADC 1</w:t>
      </w:r>
      <w:r>
        <w:rPr>
          <w:color w:val="003CA0"/>
          <w:sz w:val="12"/>
        </w:rPr>
        <w:t xml:space="preserve"> | rel. Moreira Alves</w:t>
      </w:r>
    </w:p>
    <w:p>
      <w:pPr>
        <w:ind w:left="288"/>
      </w:pPr>
      <w:r>
        <w:rPr>
          <w:color w:val="1E1E1E"/>
          <w:sz w:val="18"/>
        </w:rPr>
        <w:t>Ação declaratória de constitucionalidade. Incidente de inconstitucionalidade da EC 3/1993, no tocante à instituição dessa ação. Questão de ordem. Tramitação da ação declaratória de constitucionalidade. Incidente que se julga no sentido da constitucionalidade da EC 3, de 1993, no tocante à ação declaratória de constitucionalidade.</w:t>
      </w:r>
    </w:p>
    <w:p>
      <w:pPr>
        <w:ind w:left="288"/>
      </w:pPr>
      <w:r>
        <w:rPr>
          <w:b/>
          <w:color w:val="003CA0"/>
          <w:sz w:val="16"/>
        </w:rPr>
        <w:t>[ADC 1 QO, rel. min. Moreira Alves, j. 27-10-1993, P, DJ de 16-6-1995.]</w:t>
      </w:r>
    </w:p>
    <w:p>
      <w:pPr>
        <w:ind w:left="288"/>
      </w:pPr>
      <w:r>
        <w:rPr>
          <w:color w:val="8C8C8C"/>
          <w:sz w:val="12"/>
        </w:rPr>
        <w:t>cf-art-102-par-1</w:t>
      </w:r>
      <w:r>
        <w:rPr>
          <w:color w:val="003CA0"/>
          <w:sz w:val="12"/>
        </w:rPr>
        <w:t xml:space="preserve"> | RE 1.276.977</w:t>
      </w:r>
      <w:r>
        <w:rPr>
          <w:color w:val="003CA0"/>
          <w:sz w:val="12"/>
        </w:rPr>
        <w:t xml:space="preserve"> | rel. Marco Aurélio</w:t>
      </w:r>
    </w:p>
    <w:p>
      <w:pPr>
        <w:ind w:left="288"/>
      </w:pPr>
      <w:r>
        <w:rPr>
          <w:color w:val="1E1E1E"/>
          <w:sz w:val="18"/>
        </w:rPr>
        <w:t>“1. A declaração de constitucionalidade do art. 3º da Lei n. 9.876/1999 impõe que o dispositivo legal seja observado de forma cogente pelos demais órgãos do Poder Judiciário e pela Administração Pública, em sua interpretação textual, que não permite exceção. O segurado do INSS que se enquadre no dispositivo não pode optar pela regra definitiva prevista no art. 29, I e II, da Lei n. 8.213/1991, independentemente de lhe ser mais favorável. 2. Ficam modulados os efeitos dessa decisão para determinar: a) a irrepetibilidade dos valores percebidos pelos segurados em virtude de decisões judiciais, de</w:t>
      </w:r>
    </w:p>
    <w:p>
      <w:pPr>
        <w:ind w:left="288"/>
      </w:pPr>
      <w:r>
        <w:rPr>
          <w:b/>
          <w:color w:val="003CA0"/>
          <w:sz w:val="16"/>
        </w:rPr>
        <w:t>[RE 1.276.977 ED, rel. min. Marco Aurélio, red. do ac. min. Alexandre de Moraes, j. 25-11-2025, P, Informativo STF 1.200, Tema 1.102, com mérito julgado.]</w:t>
      </w:r>
    </w:p>
    <w:p>
      <w:pPr>
        <w:ind w:left="288"/>
      </w:pPr>
      <w:r>
        <w:rPr>
          <w:color w:val="8C8C8C"/>
          <w:sz w:val="12"/>
        </w:rPr>
        <w:t>cf-art-102-par-1</w:t>
      </w:r>
      <w:r>
        <w:rPr>
          <w:color w:val="003CA0"/>
          <w:sz w:val="12"/>
        </w:rPr>
        <w:t xml:space="preserve"> | ADPF 219</w:t>
      </w:r>
      <w:r>
        <w:rPr>
          <w:color w:val="003CA0"/>
          <w:sz w:val="12"/>
        </w:rPr>
        <w:t xml:space="preserve"> | rel. Luís Roberto Barroso</w:t>
      </w:r>
    </w:p>
    <w:p>
      <w:pPr>
        <w:ind w:left="288"/>
      </w:pPr>
      <w:r>
        <w:rPr>
          <w:color w:val="1E1E1E"/>
          <w:sz w:val="18"/>
        </w:rPr>
        <w:t>“1. É possível exigir da Fazenda Pública a apresentação de documentos e cálculos para o início de cumprimento de sentença nos juizados especiais, nos termos da ADPF 219; 2. É fática a controvérsia sobre a hipossuficiência da parte credora para atribuição à Fazenda Pública do ônus de apresentação de documentos para início de execução de sentença em Juizados Especiais”.</w:t>
      </w:r>
    </w:p>
    <w:p>
      <w:pPr>
        <w:ind w:left="288"/>
      </w:pPr>
      <w:r>
        <w:rPr>
          <w:b/>
          <w:color w:val="003CA0"/>
          <w:sz w:val="16"/>
        </w:rPr>
        <w:t>[RE 1.528.097 RG, rel. min. Luís Roberto Barroso, j. 16.05.2025, P, DJE de 23.05.2025, Tema 1.396, com mérito julgado.]</w:t>
      </w:r>
    </w:p>
    <w:p>
      <w:pPr>
        <w:ind w:left="144"/>
      </w:pPr>
      <w:r>
        <w:rPr>
          <w:b/>
          <w:color w:val="B45A00"/>
          <w:sz w:val="16"/>
        </w:rPr>
        <w:t>JULGADOS CORRELATOS</w:t>
      </w:r>
    </w:p>
    <w:p>
      <w:pPr>
        <w:ind w:left="288"/>
      </w:pPr>
      <w:r>
        <w:rPr>
          <w:color w:val="8C8C8C"/>
          <w:sz w:val="12"/>
        </w:rPr>
        <w:t>cf-art-102-par-1</w:t>
      </w:r>
      <w:r>
        <w:rPr>
          <w:color w:val="003CA0"/>
          <w:sz w:val="12"/>
        </w:rPr>
        <w:t xml:space="preserve"> | RCL 14.156</w:t>
      </w:r>
      <w:r>
        <w:rPr>
          <w:color w:val="003CA0"/>
          <w:sz w:val="12"/>
        </w:rPr>
        <w:t xml:space="preserve"> | rel. Celso de Mello</w:t>
      </w:r>
    </w:p>
    <w:p>
      <w:pPr>
        <w:ind w:left="288"/>
      </w:pPr>
      <w:r>
        <w:rPr>
          <w:color w:val="1E1E1E"/>
          <w:sz w:val="18"/>
        </w:rPr>
        <w:t>Pretendida submissão do processo legislativo ao efeito vinculante que resulta do julgamento, pelo STF, das causas de fiscalização abstrata de constitucionalidade. Inadmissibilidade. Consequente possibilidade de o chefe do Poder Executivo, por meio de sanção (ato impregnado de qualificação constitucional e integrante do próprio processo de formação das leis), converter, em lei, projeto cujo conteúdo estaria em conflito com decisão confirmatória da constitucionalidade de certo diploma legislativo, proferida, em sede de controle abstrato, pela Suprema Corte.</w:t>
      </w:r>
    </w:p>
    <w:p>
      <w:pPr>
        <w:ind w:left="288"/>
      </w:pPr>
      <w:r>
        <w:rPr>
          <w:b/>
          <w:color w:val="003CA0"/>
          <w:sz w:val="16"/>
        </w:rPr>
        <w:t>[Rcl 14.156 AgR, rel. min. Celso de Mello, j. 19-2-2014, P, DJE de 13-5-2014.]</w:t>
      </w:r>
    </w:p>
    <w:p>
      <w:pPr>
        <w:ind w:left="288"/>
      </w:pPr>
      <w:r>
        <w:rPr>
          <w:color w:val="8C8C8C"/>
          <w:sz w:val="12"/>
        </w:rPr>
        <w:t>cf-art-102-par-1</w:t>
      </w:r>
      <w:r>
        <w:rPr>
          <w:color w:val="003CA0"/>
          <w:sz w:val="12"/>
        </w:rPr>
        <w:t xml:space="preserve"> | RCL 13.019</w:t>
      </w:r>
      <w:r>
        <w:rPr>
          <w:color w:val="003CA0"/>
          <w:sz w:val="12"/>
        </w:rPr>
        <w:t xml:space="preserve"> | rel. Celso de Mello</w:t>
      </w:r>
    </w:p>
    <w:p>
      <w:pPr>
        <w:ind w:left="288"/>
      </w:pPr>
      <w:r>
        <w:rPr>
          <w:color w:val="1E1E1E"/>
          <w:sz w:val="18"/>
        </w:rPr>
        <w:t>Vide Rcl 13.019 MC, rel. min. Celso de Mello, j. 8-5-2012, dec. monocrática, DJE de 15-5-2012 Pretendida submissão do Poder Legislativo ao efeito vinculante que resulta do julgamento, pelo STF, dos processos de fiscalização abstrata de constitucionalidade. Inadmissibilidade. Consequente possibilidade de o legislador editar lei de conteúdo idêntico ao de outro diploma legislativo declarado inconstitucional, em sede de controle abstrato, pela Suprema Corte.</w:t>
      </w:r>
    </w:p>
    <w:p>
      <w:pPr>
        <w:ind w:left="288"/>
      </w:pPr>
      <w:r>
        <w:rPr>
          <w:b/>
          <w:color w:val="003CA0"/>
          <w:sz w:val="16"/>
        </w:rPr>
        <w:t>[Rcl 13.019 MC, rel. min. Celso de Mello, j. 8-5-2012, dec. monocrática, DJE de 15-5-2012.]</w:t>
      </w:r>
    </w:p>
    <w:p>
      <w:pPr>
        <w:ind w:left="288"/>
      </w:pPr>
      <w:r>
        <w:rPr>
          <w:color w:val="8C8C8C"/>
          <w:sz w:val="12"/>
        </w:rPr>
        <w:t>cf-art-102-par-1</w:t>
      </w:r>
      <w:r>
        <w:rPr>
          <w:color w:val="003CA0"/>
          <w:sz w:val="12"/>
        </w:rPr>
        <w:t xml:space="preserve"> | RCL 14.156</w:t>
      </w:r>
      <w:r>
        <w:rPr>
          <w:color w:val="003CA0"/>
          <w:sz w:val="12"/>
        </w:rPr>
        <w:t xml:space="preserve"> | rel. Celso de Mello</w:t>
      </w:r>
    </w:p>
    <w:p>
      <w:pPr>
        <w:ind w:left="288"/>
      </w:pPr>
      <w:r>
        <w:rPr>
          <w:color w:val="1E1E1E"/>
          <w:sz w:val="18"/>
        </w:rPr>
        <w:t>Vide Rcl 14.156 AgR, rel. min. Celso de Mello, j. 19-2-2014, P, DJE de 13-5-2014 Em recente julgamento, o Plenário do STF rejeitou a tese da eficácia vinculante dos motivos determinantes das decisões de ações de controle abstrato de constitucionalidade (Rcl 2.475 AgR, julgamento em 2-8-2007).</w:t>
      </w:r>
    </w:p>
    <w:p>
      <w:pPr>
        <w:ind w:left="288"/>
      </w:pPr>
      <w:r>
        <w:rPr>
          <w:b/>
          <w:color w:val="003CA0"/>
          <w:sz w:val="16"/>
        </w:rPr>
        <w:t>[Rcl 2.990 AgR, rel. min. Sepúlveda Pertence, j. 16-8-2007, P, DJ de 14-9-2007.]</w:t>
      </w:r>
    </w:p>
    <w:p>
      <w:pPr>
        <w:ind w:left="288"/>
      </w:pPr>
      <w:r>
        <w:rPr>
          <w:color w:val="8C8C8C"/>
          <w:sz w:val="12"/>
        </w:rPr>
        <w:t>cf-art-102-par-1</w:t>
      </w:r>
      <w:r>
        <w:rPr>
          <w:color w:val="003CA0"/>
          <w:sz w:val="12"/>
        </w:rPr>
        <w:t xml:space="preserve"> | RCL 7.956</w:t>
      </w:r>
      <w:r>
        <w:rPr>
          <w:color w:val="003CA0"/>
          <w:sz w:val="12"/>
        </w:rPr>
        <w:t xml:space="preserve"> | rel. Dias Toffoli</w:t>
      </w:r>
    </w:p>
    <w:p>
      <w:pPr>
        <w:ind w:left="288"/>
      </w:pPr>
      <w:r>
        <w:rPr>
          <w:color w:val="1E1E1E"/>
          <w:sz w:val="18"/>
        </w:rPr>
        <w:t>= Rcl 7.956 AgR, rel. min. Dias Toffoli, j. 19-9-2013, P, DJE de 12-11-2013 Vide RE 203.498 AgR, rel. min. Gilmar Mendes, j. 8-4-2003, 2ª T, DJ de 22-8-2003 A eficácia geral e o efeito vinculante de decisão, proferida pelo STF, em ação direta de constitucionalidade ou de inconstitucionalidade de lei ou ato normativo federal, só atingem os demais órgãos do Poder Judiciário e todos os do Poder Executivo, não alcançando o legislador, que pode editar nova lei com idêntico conteúdo normativo, sem ofender a autoridade daquela decisão.</w:t>
      </w:r>
    </w:p>
    <w:p>
      <w:pPr>
        <w:ind w:left="288"/>
      </w:pPr>
      <w:r>
        <w:rPr>
          <w:b/>
          <w:color w:val="003CA0"/>
          <w:sz w:val="16"/>
        </w:rPr>
        <w:t>[Rcl 2.617 AgR, rel. min. Cezar Peluso, j. 23-2-2005, P, DJ de 20-5-2005.]</w:t>
      </w:r>
    </w:p>
    <w:p>
      <w:pPr>
        <w:ind w:left="288"/>
      </w:pPr>
      <w:r>
        <w:rPr>
          <w:color w:val="8C8C8C"/>
          <w:sz w:val="12"/>
        </w:rPr>
        <w:t>cf-art-102-par-1</w:t>
      </w:r>
      <w:r>
        <w:rPr>
          <w:color w:val="003CA0"/>
          <w:sz w:val="12"/>
        </w:rPr>
        <w:t xml:space="preserve"> | RCL 13.019</w:t>
      </w:r>
      <w:r>
        <w:rPr>
          <w:color w:val="003CA0"/>
          <w:sz w:val="12"/>
        </w:rPr>
        <w:t xml:space="preserve"> | rel. Celso de Mello</w:t>
      </w:r>
    </w:p>
    <w:p>
      <w:pPr>
        <w:ind w:left="288"/>
      </w:pPr>
      <w:r>
        <w:rPr>
          <w:color w:val="1E1E1E"/>
          <w:sz w:val="18"/>
        </w:rPr>
        <w:t xml:space="preserve">= Rcl 13.019 AgR, rel. min. Celso de Mello, j. 19-2-2014, P, DJE de 12-3-2014 As decisões consubstanciadoras de declaração de constitucionalidade ou de inconstitucionalidade, inclusive aquelas que importem em interpretação conforme à Constituição e em declaração parcial de inconstitucionalidade sem redução de texto, quando proferidas pelo STF, em sede de fiscalização normativa abstrata, revestem-se de eficácia contra todos (erga omnes) e possuem efeito vinculante em relação a todos os magistrados e tribunais, bem assim em face da administração pública federal, estadual, distrital e municipal, </w:t>
      </w:r>
    </w:p>
    <w:p>
      <w:pPr>
        <w:ind w:left="288"/>
      </w:pPr>
      <w:r>
        <w:rPr>
          <w:b/>
          <w:color w:val="003CA0"/>
          <w:sz w:val="16"/>
        </w:rPr>
        <w:t>[Rcl 2.143 AgR, rel. min. Celso de Mello, j. 12-3-2003, P, DJ de 6-6-2003.]</w:t>
      </w:r>
    </w:p>
    <w:p>
      <w:pPr>
        <w:ind w:left="288"/>
      </w:pPr>
      <w:r>
        <w:rPr>
          <w:color w:val="8C8C8C"/>
          <w:sz w:val="12"/>
        </w:rPr>
        <w:t>cf-art-102-par-1</w:t>
      </w:r>
      <w:r>
        <w:rPr>
          <w:color w:val="003CA0"/>
          <w:sz w:val="12"/>
        </w:rPr>
        <w:t xml:space="preserve"> | RE 216.259</w:t>
      </w:r>
      <w:r>
        <w:rPr>
          <w:color w:val="003CA0"/>
          <w:sz w:val="12"/>
        </w:rPr>
        <w:t xml:space="preserve"> | rel. Celso de Mello</w:t>
      </w:r>
    </w:p>
    <w:p>
      <w:pPr>
        <w:ind w:left="288"/>
      </w:pPr>
      <w:r>
        <w:rPr>
          <w:color w:val="1E1E1E"/>
          <w:sz w:val="18"/>
        </w:rPr>
        <w:t>A existência de precedente firmado pelo Plenário do STF autoriza o julgamento imediato de causas que versem o mesmo tema (RISTF, art. 101). A declaração de constitucionalidade ou de inconstitucionalidade de lei ou ato normativo, emanada do Plenário do STF, em decisão proferida por maioria qualificada, aplica-se aos novos processos submetidos à apreciação das Turmas ou à deliberação dos juízes que integram a Corte, viabilizando, em consequência, o julgamento imediato de causas que versem o mesmo tema, ainda que o acórdão plenário – que firmou o precedente no leading case – não tenha sido public</w:t>
      </w:r>
    </w:p>
    <w:p>
      <w:pPr>
        <w:ind w:left="288"/>
      </w:pPr>
      <w:r>
        <w:rPr>
          <w:b/>
          <w:color w:val="003CA0"/>
          <w:sz w:val="16"/>
        </w:rPr>
        <w:t>[RE 216.259 AgR, rel. min. Celso de Mello, j. 9-5-2000, 2ª T, DJ de 19-5-2000.]</w:t>
      </w:r>
    </w:p>
    <w:p>
      <w:pPr>
        <w:ind w:left="288"/>
      </w:pPr>
      <w:r>
        <w:rPr>
          <w:color w:val="8C8C8C"/>
          <w:sz w:val="12"/>
        </w:rPr>
        <w:t>cf-art-102-par-1</w:t>
      </w:r>
      <w:r>
        <w:rPr>
          <w:color w:val="003CA0"/>
          <w:sz w:val="12"/>
        </w:rPr>
        <w:t xml:space="preserve"> | RE 524.380</w:t>
      </w:r>
      <w:r>
        <w:rPr>
          <w:color w:val="003CA0"/>
          <w:sz w:val="12"/>
        </w:rPr>
        <w:t xml:space="preserve"> | rel. Dias Toffoli</w:t>
      </w:r>
    </w:p>
    <w:p>
      <w:pPr>
        <w:ind w:left="288"/>
      </w:pPr>
      <w:r>
        <w:rPr>
          <w:color w:val="1E1E1E"/>
          <w:sz w:val="18"/>
        </w:rPr>
        <w:t>= RE 524.380 AgR, rel. min. Dias Toffoli, j. 15-12-2009, 1ª T, DJE de 5-2-2010 O Tribunal, por votação unânime, conheceu do recurso extraordinário e lhe deu provimento para declarar a inconstitucionalidade dos arts. 25, 27 e parágrafos, do Ato das Disposições Transitórias da Lei Orgânica do Município do Rio de Janeiro, de 5-4-1990. (...) E, em questão de ordem levantada pelo presidente (min. Moreira Alves), decidiu que a decisão tomada, como a presente, em recurso extraordinário interposto em ação direta de inconstitucionalidade estadual, tem eficácia erga omnes, por se tratar de controle conc</w:t>
      </w:r>
    </w:p>
    <w:p>
      <w:pPr>
        <w:ind w:left="288"/>
      </w:pPr>
      <w:r>
        <w:rPr>
          <w:b/>
          <w:color w:val="003CA0"/>
          <w:sz w:val="16"/>
        </w:rPr>
        <w:t>[RE 187.142, rel. min. Ilmar Galvão, j. 13-8-1998, P, DJ de 2-10-1998.]</w:t>
      </w:r>
    </w:p>
    <w:p>
      <w:pPr>
        <w:ind w:left="288"/>
      </w:pPr>
      <w:r>
        <w:rPr>
          <w:color w:val="8C8C8C"/>
          <w:sz w:val="12"/>
        </w:rPr>
        <w:t>cf-art-102-par-1</w:t>
      </w:r>
    </w:p>
    <w:p>
      <w:pPr>
        <w:ind w:left="288"/>
      </w:pPr>
      <w:r>
        <w:rPr>
          <w:color w:val="1E1E1E"/>
          <w:sz w:val="18"/>
        </w:rPr>
        <w:t>§ 3º No recurso extraordinário o recorrente deverá demonstrar a repercussão geral das questões constitucionais discutidas no caso, nos termos da lei, a fim de que o Tribunal examine a admissão do recurso, somente podendo recusá-lo pela manifestação de dois terços de seus membros. (Incluído pela EC 45/2004) Nota: As matérias cuja repercussão geral já foi reconhecida ou afastada pelo Plenário do STF estão disponíveis para consulta no sítio do Tribunal (http://www.stf.jus.br/portal/jurisprudenciaRepercussao/pesquisarProcesso.asp)</w:t>
      </w:r>
    </w:p>
    <w:p>
      <w:pPr>
        <w:ind w:left="288"/>
      </w:pPr>
      <w:r>
        <w:rPr>
          <w:color w:val="8C8C8C"/>
          <w:sz w:val="12"/>
        </w:rPr>
        <w:t>cf-art-102-par-1</w:t>
      </w:r>
      <w:r>
        <w:rPr>
          <w:color w:val="003CA0"/>
          <w:sz w:val="12"/>
        </w:rPr>
        <w:t xml:space="preserve"> | RE 1.017.365</w:t>
      </w:r>
      <w:r>
        <w:rPr>
          <w:color w:val="003CA0"/>
          <w:sz w:val="12"/>
        </w:rPr>
        <w:t xml:space="preserve"> | rel. André Mendonça</w:t>
      </w:r>
    </w:p>
    <w:p>
      <w:pPr>
        <w:ind w:left="288"/>
      </w:pPr>
      <w:r>
        <w:rPr>
          <w:color w:val="1E1E1E"/>
          <w:sz w:val="18"/>
        </w:rPr>
        <w:t>“Nos recursos extraordinários apreciados sob a sistemática da repercussão geral, o impedimento restringe-se à etapa da votação referente ao processo subjetivo e à conclusão de julgamento aplicada às partes, porém, não se aplica à fixação e votação da tese constitucional, pois nesta não se discutem situações individuais nem interesses concretos. Ou seja, deve-se participar da integralidade do julgamento concernente ao tema de repercussão geral (incluindo voto, debates e sessões correspondentes), apenas deixando de apresentar voto sobre a causa-piloto (caso concreto)”.</w:t>
        <w:br/>
        <w:t>[RE 1.017.365 QO, rel. min</w:t>
      </w:r>
    </w:p>
    <w:p>
      <w:pPr>
        <w:ind w:left="288"/>
      </w:pPr>
      <w:r>
        <w:rPr>
          <w:b/>
          <w:color w:val="003CA0"/>
          <w:sz w:val="16"/>
        </w:rPr>
        <w:t>[RE 584.247 QO, rel. min. Roberto Barroso, j. 27-10-2016, P, DJE de 2-5-2017.]</w:t>
      </w:r>
    </w:p>
    <w:p>
      <w:pPr>
        <w:ind w:left="288"/>
      </w:pPr>
      <w:r>
        <w:rPr>
          <w:color w:val="8C8C8C"/>
          <w:sz w:val="12"/>
        </w:rPr>
        <w:t>cf-art-102-par-1</w:t>
      </w:r>
      <w:r>
        <w:rPr>
          <w:color w:val="003CA0"/>
          <w:sz w:val="12"/>
        </w:rPr>
        <w:t xml:space="preserve"> | RCL 9.655</w:t>
      </w:r>
      <w:r>
        <w:rPr>
          <w:color w:val="003CA0"/>
          <w:sz w:val="12"/>
        </w:rPr>
        <w:t xml:space="preserve"> | rel. Teori Zavascki</w:t>
      </w:r>
    </w:p>
    <w:p>
      <w:pPr>
        <w:ind w:left="288"/>
      </w:pPr>
      <w:r>
        <w:rPr>
          <w:color w:val="1E1E1E"/>
          <w:sz w:val="18"/>
        </w:rPr>
        <w:t>A conversão de reclamação em agravo regimental, para julgamento na origem, contra decisão que não admite recurso extraordinário por incidência da sistemática da repercussão geral, é admissível apenas para os casos propostos no STF antes de 19-11-2009.</w:t>
      </w:r>
    </w:p>
    <w:p>
      <w:pPr>
        <w:ind w:left="288"/>
      </w:pPr>
      <w:r>
        <w:rPr>
          <w:b/>
          <w:color w:val="003CA0"/>
          <w:sz w:val="16"/>
        </w:rPr>
        <w:t>[Rcl 9.655 AgR, rel. min. Teori Zavascki, j. 27-2-2014, P, DJE de 7-4-2014.]</w:t>
      </w:r>
    </w:p>
    <w:p>
      <w:pPr>
        <w:ind w:left="288"/>
      </w:pPr>
      <w:r>
        <w:rPr>
          <w:color w:val="8C8C8C"/>
          <w:sz w:val="12"/>
        </w:rPr>
        <w:t>cf-art-102-par-1</w:t>
      </w:r>
      <w:r>
        <w:rPr>
          <w:color w:val="003CA0"/>
          <w:sz w:val="12"/>
        </w:rPr>
        <w:t xml:space="preserve"> | RE 659.424</w:t>
      </w:r>
      <w:r>
        <w:rPr>
          <w:color w:val="003CA0"/>
          <w:sz w:val="12"/>
        </w:rPr>
        <w:t xml:space="preserve"> | rel. Celso de Mello</w:t>
      </w:r>
    </w:p>
    <w:p>
      <w:pPr>
        <w:ind w:left="288"/>
      </w:pPr>
      <w:r>
        <w:rPr>
          <w:color w:val="1E1E1E"/>
          <w:sz w:val="18"/>
        </w:rPr>
        <w:t>Amicus curiae. Jurisdição constitucional e legitimidade democrática. O STF como "mediador entre as diferentes forças com legitimação no processo constitucional" (Gilmar Mendes). Possibilidade da intervenção de terceiros, na condição de amicus curiae, em sede de recurso extraordinário com repercussão geral reconhecida. Necessidade, contudo, de preenchimento, pela entidade interessada, do pré-requisito concernente à representatividade adequada. Doutrina. Condição não ostentada por pessoa física ou natural. Consequente inadmissibilidade de seu ingresso, na qualidade de amicus curiae, em recurso e</w:t>
      </w:r>
    </w:p>
    <w:p>
      <w:pPr>
        <w:ind w:left="288"/>
      </w:pPr>
      <w:r>
        <w:rPr>
          <w:b/>
          <w:color w:val="003CA0"/>
          <w:sz w:val="16"/>
        </w:rPr>
        <w:t>[RE 659.424, rel. min. Celso de Mello, j. 9-12-2013, dec. monocrática, DJE de 13-12-2013.]</w:t>
      </w:r>
    </w:p>
    <w:p>
      <w:pPr>
        <w:ind w:left="288"/>
      </w:pPr>
      <w:r>
        <w:rPr>
          <w:color w:val="8C8C8C"/>
          <w:sz w:val="12"/>
        </w:rPr>
        <w:t>cf-art-102-par-1</w:t>
      </w:r>
      <w:r>
        <w:rPr>
          <w:color w:val="003CA0"/>
          <w:sz w:val="12"/>
        </w:rPr>
        <w:t xml:space="preserve"> | RCL 9.540</w:t>
      </w:r>
      <w:r>
        <w:rPr>
          <w:color w:val="003CA0"/>
          <w:sz w:val="12"/>
        </w:rPr>
        <w:t xml:space="preserve"> | rel. Dias Toffoli</w:t>
      </w:r>
    </w:p>
    <w:p>
      <w:pPr>
        <w:ind w:left="288"/>
      </w:pPr>
      <w:r>
        <w:rPr>
          <w:color w:val="1E1E1E"/>
          <w:sz w:val="18"/>
        </w:rPr>
        <w:t>O entendimento da Súmula do STF 727 restou superado com o advento da novel legislação – decorrente da EC 45/2004 – editada com o escopo de disciplinar a exigência de repercussão geral da matéria constitucional suscitada no âmbito do recurso extraordinário, especialmente os arts. 543-A e 543-B do CPC, com a redação dada pela Lei 11.418/2006.</w:t>
      </w:r>
    </w:p>
    <w:p>
      <w:pPr>
        <w:ind w:left="288"/>
      </w:pPr>
      <w:r>
        <w:rPr>
          <w:b/>
          <w:color w:val="003CA0"/>
          <w:sz w:val="16"/>
        </w:rPr>
        <w:t>[Rcl 9.540 AgR, rel. min. Dias Toffoli, j. 19-9-2013, P, DJE de 8-11-2013.]</w:t>
      </w:r>
    </w:p>
    <w:p>
      <w:pPr>
        <w:ind w:left="288"/>
      </w:pPr>
      <w:r>
        <w:rPr>
          <w:color w:val="8C8C8C"/>
          <w:sz w:val="12"/>
        </w:rPr>
        <w:t>cf-art-102-par-1</w:t>
      </w:r>
      <w:r>
        <w:rPr>
          <w:color w:val="003CA0"/>
          <w:sz w:val="12"/>
        </w:rPr>
        <w:t xml:space="preserve"> | RE 676.924</w:t>
      </w:r>
      <w:r>
        <w:rPr>
          <w:color w:val="003CA0"/>
          <w:sz w:val="12"/>
        </w:rPr>
        <w:t xml:space="preserve"> | rel. Ricardo Lewandowski</w:t>
      </w:r>
    </w:p>
    <w:p>
      <w:pPr>
        <w:ind w:left="288"/>
      </w:pPr>
      <w:r>
        <w:rPr>
          <w:color w:val="1E1E1E"/>
          <w:sz w:val="18"/>
        </w:rPr>
        <w:t>Nos termos do art. 324, § 2º, do RISTF, na hipótese em que o relator, ao se manifestar sobre a repercussão geral do tema versado no extraordinário, declare que a matéria tratada no recurso possui caráter infraconstitucional, a ausência de pronunciamento expresso dos ministros desta Corte no Plenário Virtual implica a presunção de manifestação pela ausência de repercussão geral.</w:t>
      </w:r>
    </w:p>
    <w:p>
      <w:pPr>
        <w:ind w:left="288"/>
      </w:pPr>
      <w:r>
        <w:rPr>
          <w:b/>
          <w:color w:val="003CA0"/>
          <w:sz w:val="16"/>
        </w:rPr>
        <w:t>[RE 676.924 RG-ED, rel. min. Ricardo Lewandowski, j. 19-6-2013, P, DJE de 1º-7-2013.]</w:t>
      </w:r>
    </w:p>
    <w:p>
      <w:pPr>
        <w:ind w:left="288"/>
      </w:pPr>
      <w:r>
        <w:rPr>
          <w:color w:val="8C8C8C"/>
          <w:sz w:val="12"/>
        </w:rPr>
        <w:t>cf-art-102-par-1</w:t>
      </w:r>
      <w:r>
        <w:rPr>
          <w:color w:val="003CA0"/>
          <w:sz w:val="12"/>
        </w:rPr>
        <w:t xml:space="preserve"> | RE 593.443</w:t>
      </w:r>
      <w:r>
        <w:rPr>
          <w:color w:val="003CA0"/>
          <w:sz w:val="12"/>
        </w:rPr>
        <w:t xml:space="preserve"> | rel. Dias Toffoli</w:t>
      </w:r>
    </w:p>
    <w:p>
      <w:pPr>
        <w:ind w:left="288"/>
      </w:pPr>
      <w:r>
        <w:rPr>
          <w:color w:val="1E1E1E"/>
          <w:sz w:val="18"/>
        </w:rPr>
        <w:t>Nota: O recurso extraordinário abaixo é o processo paradigma do Tema 154 de repercussão geral. O trecho com o mérito do recurso extraordinário foi inserido no art. 5º, XXXVIII, d, e 129, I, da CF/1988. O trecho selecionado abaixo foi inserido entre os julgados correlatos por não compor o mérito da repercussão geral. Havendo a Corte, por meio de seu Plenário Virtual, reconhecido a repercussão geral do tema constitucional debatido nos autos, deve prosseguir no julgamento de mérito da causa.</w:t>
        <w:br/>
        <w:t>[RE 593.443, red do ac. min. Ricardo Lewandowski, j. 6-6-2013, P, DJE de 22-5-2014.] Não há que se falar n</w:t>
      </w:r>
    </w:p>
    <w:p>
      <w:pPr>
        <w:ind w:left="288"/>
      </w:pPr>
      <w:r>
        <w:rPr>
          <w:b/>
          <w:color w:val="003CA0"/>
          <w:sz w:val="16"/>
        </w:rPr>
        <w:t>[EI 4 AgR, rel. min. Dias Toffoli, j. 23-5-2013, P, DJE de 1º-8-2013.]</w:t>
      </w:r>
    </w:p>
    <w:p>
      <w:pPr>
        <w:ind w:left="288"/>
      </w:pPr>
      <w:r>
        <w:rPr>
          <w:color w:val="8C8C8C"/>
          <w:sz w:val="12"/>
        </w:rPr>
        <w:t>cf-art-102-par-1</w:t>
      </w:r>
      <w:r>
        <w:rPr>
          <w:color w:val="003CA0"/>
          <w:sz w:val="12"/>
        </w:rPr>
        <w:t xml:space="preserve"> | RE 645.057</w:t>
      </w:r>
      <w:r>
        <w:rPr>
          <w:color w:val="003CA0"/>
          <w:sz w:val="12"/>
        </w:rPr>
        <w:t xml:space="preserve"> | rel. Luiz Fux</w:t>
      </w:r>
    </w:p>
    <w:p>
      <w:pPr>
        <w:ind w:left="288"/>
      </w:pPr>
      <w:r>
        <w:rPr>
          <w:color w:val="1E1E1E"/>
          <w:sz w:val="18"/>
        </w:rPr>
        <w:t>A repercussão geral é presumida quando o recurso versar questão cuja repercussão já houver sido reconhecida pelo Tribunal, ou quando impugnar decisão contrária a súmula ou a jurisprudência dominante desta Corte.</w:t>
      </w:r>
    </w:p>
    <w:p>
      <w:pPr>
        <w:ind w:left="288"/>
      </w:pPr>
      <w:r>
        <w:rPr>
          <w:b/>
          <w:color w:val="003CA0"/>
          <w:sz w:val="16"/>
        </w:rPr>
        <w:t>[RE 645.057 AgR, rel. min. Luiz Fux, j. 25-10-2012, 1ª T, DJE de 31-10-2012.]</w:t>
      </w:r>
    </w:p>
    <w:p>
      <w:pPr>
        <w:ind w:left="288"/>
      </w:pPr>
      <w:r>
        <w:rPr>
          <w:color w:val="8C8C8C"/>
          <w:sz w:val="12"/>
        </w:rPr>
        <w:t>cf-art-102-par-1</w:t>
      </w:r>
      <w:r>
        <w:rPr>
          <w:color w:val="003CA0"/>
          <w:sz w:val="12"/>
        </w:rPr>
        <w:t xml:space="preserve"> | ARE 663.637</w:t>
      </w:r>
      <w:r>
        <w:rPr>
          <w:color w:val="003CA0"/>
          <w:sz w:val="12"/>
        </w:rPr>
        <w:t xml:space="preserve"> | rel. Ayres Britto</w:t>
      </w:r>
    </w:p>
    <w:p>
      <w:pPr>
        <w:ind w:left="288"/>
      </w:pPr>
      <w:r>
        <w:rPr>
          <w:color w:val="1E1E1E"/>
          <w:sz w:val="18"/>
        </w:rPr>
        <w:t>Questão de ordem resolvida no sentido de que o reconhecimento, pelo STF, da presença da repercussão geral da questão constitucional em determinado processo não exime os demais recorrentes do dever constitucional e processual de apresentar a preliminar devidamente fundamentada sobre a presença da repercussão geral (§ 3º do art. 102 da Constituição da República e § 2º do art. 543-A do CPC).</w:t>
      </w:r>
    </w:p>
    <w:p>
      <w:pPr>
        <w:ind w:left="288"/>
      </w:pPr>
      <w:r>
        <w:rPr>
          <w:b/>
          <w:color w:val="003CA0"/>
          <w:sz w:val="16"/>
        </w:rPr>
        <w:t>[ARE 663.637 AgR-QO, rel. min. Ayres Britto, j. 12-9-2012, P, DJE de 6-5-2013.]</w:t>
      </w:r>
    </w:p>
    <w:p>
      <w:pPr>
        <w:ind w:left="288"/>
      </w:pPr>
      <w:r>
        <w:rPr>
          <w:color w:val="8C8C8C"/>
          <w:sz w:val="12"/>
        </w:rPr>
        <w:t>cf-art-102-par-1</w:t>
      </w:r>
      <w:r>
        <w:rPr>
          <w:color w:val="003CA0"/>
          <w:sz w:val="12"/>
        </w:rPr>
        <w:t xml:space="preserve"> | RE 569.476</w:t>
      </w:r>
      <w:r>
        <w:rPr>
          <w:color w:val="003CA0"/>
          <w:sz w:val="12"/>
        </w:rPr>
        <w:t xml:space="preserve"> | rel. Ellen Gracie</w:t>
      </w:r>
    </w:p>
    <w:p>
      <w:pPr>
        <w:ind w:left="288"/>
      </w:pPr>
      <w:r>
        <w:rPr>
          <w:color w:val="1E1E1E"/>
          <w:sz w:val="18"/>
        </w:rPr>
        <w:t>Vide RE 569.476 AgR, voto da rel. min. Ellen Gracie, j. 2-4-2008, P, DJE de 25-4-2008 A jurisprudência do STF tem recusado, ordinariamente, a outorga de provimento cautelar pertinente a recurso extraordinário que sofreu, na origem, juízo negativo de admissibilidade. Precedentes. Caberá, no entanto, excepcionalmente, a suspensão cautelar de eficácia do acórdão objeto do recurso extraordinário não admitido, se o agravo de instrumento, deduzido contra a decisão denegatória, insurgir-se em contexto que se revele incompatível com a jurisprudência prevalecente no STF ou, então, se a Corte Suprema ho</w:t>
      </w:r>
    </w:p>
    <w:p>
      <w:pPr>
        <w:ind w:left="288"/>
      </w:pPr>
      <w:r>
        <w:rPr>
          <w:b/>
          <w:color w:val="003CA0"/>
          <w:sz w:val="16"/>
        </w:rPr>
        <w:t>[AC 3.024 MC-REF, rel. min. Celso de Mello, j. 8-11-2011, 2ª T, DJE de 29-11-2011.]</w:t>
      </w:r>
    </w:p>
    <w:p>
      <w:pPr>
        <w:ind w:left="288"/>
      </w:pPr>
      <w:r>
        <w:rPr>
          <w:color w:val="8C8C8C"/>
          <w:sz w:val="12"/>
        </w:rPr>
        <w:t>cf-art-102-par-1</w:t>
      </w:r>
      <w:r>
        <w:rPr>
          <w:color w:val="003CA0"/>
          <w:sz w:val="12"/>
        </w:rPr>
        <w:t xml:space="preserve"> | AC 2.177</w:t>
      </w:r>
      <w:r>
        <w:rPr>
          <w:color w:val="003CA0"/>
          <w:sz w:val="12"/>
        </w:rPr>
        <w:t xml:space="preserve"> | rel. Ellen Gracie</w:t>
      </w:r>
    </w:p>
    <w:p>
      <w:pPr>
        <w:ind w:left="288"/>
      </w:pPr>
      <w:r>
        <w:rPr>
          <w:color w:val="1E1E1E"/>
          <w:sz w:val="18"/>
        </w:rPr>
        <w:t>Vide AC 2.177 QO-MC, rel. min. Ellen Gracie, j. 12-11-2008, P, DJE de 20-2-2009 Vide AC 1.641 QO, rel. min. Celso de Mello, j. 7-8-2007, 2ª T, DJE de 12-12-2008 Vide AC 2.168 MC-REF, rel. min. Celso de Mello, j. 4-11-2008, 2ª T, DJE de 19-9-2013 Incide, na espécie, a norma inscrita no art. 535 do CPC, a viabilizar, em consequência, o acolhimento dos presentes embargos de declaração, na linha de julgamentos sobre tema a cujo respeito sobreveio o reconhecimento da repercussão geral da controvérsia constitucional (...), tal como sucedeu no caso ora em exame. Com efeito, quando proferido o julgame</w:t>
      </w:r>
    </w:p>
    <w:p>
      <w:pPr>
        <w:ind w:left="288"/>
      </w:pPr>
      <w:r>
        <w:rPr>
          <w:b/>
          <w:color w:val="003CA0"/>
          <w:sz w:val="16"/>
        </w:rPr>
        <w:t>[ARE 642.921 AgR-ED, voto do rel. min. Celso de Mello, j. 18-10-2011, 2ª T, DJE de 14-11-2011.]</w:t>
      </w:r>
    </w:p>
    <w:p>
      <w:pPr>
        <w:ind w:left="288"/>
      </w:pPr>
      <w:r>
        <w:rPr>
          <w:color w:val="8C8C8C"/>
          <w:sz w:val="12"/>
        </w:rPr>
        <w:t>cf-art-102-par-1</w:t>
      </w:r>
      <w:r>
        <w:rPr>
          <w:color w:val="003CA0"/>
          <w:sz w:val="12"/>
        </w:rPr>
        <w:t xml:space="preserve"> | RCL 10.793</w:t>
      </w:r>
      <w:r>
        <w:rPr>
          <w:color w:val="003CA0"/>
          <w:sz w:val="12"/>
        </w:rPr>
        <w:t xml:space="preserve"> | rel. Ellen Gracie</w:t>
      </w:r>
    </w:p>
    <w:p>
      <w:pPr>
        <w:ind w:left="288"/>
      </w:pPr>
      <w:r>
        <w:rPr>
          <w:color w:val="1E1E1E"/>
          <w:sz w:val="18"/>
        </w:rPr>
        <w:t>As decisões proferidas pelo Plenário do STF quando do julgamento de recursos extraordinários com repercussão geral vinculam os demais órgãos do Poder Judiciário na solução, por estes, de outros feitos sobre idêntica controvérsia. Cabe aos juízes e desembargadores respeitar a autoridade da decisão do STF tomada em sede de repercussão geral, assegurando racionalidade e eficiência ao Sistema Judiciário e concretizando a certeza jurídica sobre o tema. O legislador não atribuiu ao STF o ônus de fazer aplicar diretamente a cada caso concreto seu entendimento. A Lei 11.418/2006 evita que o STF seja s</w:t>
      </w:r>
    </w:p>
    <w:p>
      <w:pPr>
        <w:ind w:left="288"/>
      </w:pPr>
      <w:r>
        <w:rPr>
          <w:b/>
          <w:color w:val="003CA0"/>
          <w:sz w:val="16"/>
        </w:rPr>
        <w:t>[Rcl 10.793, rel. min. Ellen Gracie, j. 13-4-2011, P, DJE de 6-6-2011.]</w:t>
      </w:r>
    </w:p>
    <w:p>
      <w:pPr>
        <w:ind w:left="288"/>
      </w:pPr>
      <w:r>
        <w:rPr>
          <w:color w:val="8C8C8C"/>
          <w:sz w:val="12"/>
        </w:rPr>
        <w:t>cf-art-102-par-1</w:t>
      </w:r>
      <w:r>
        <w:rPr>
          <w:color w:val="003CA0"/>
          <w:sz w:val="12"/>
        </w:rPr>
        <w:t xml:space="preserve"> | RCL 9.302</w:t>
      </w:r>
      <w:r>
        <w:rPr>
          <w:color w:val="003CA0"/>
          <w:sz w:val="12"/>
        </w:rPr>
        <w:t xml:space="preserve"> | rel. Dias Toffoli</w:t>
      </w:r>
    </w:p>
    <w:p>
      <w:pPr>
        <w:ind w:left="288"/>
      </w:pPr>
      <w:r>
        <w:rPr>
          <w:color w:val="1E1E1E"/>
          <w:sz w:val="18"/>
        </w:rPr>
        <w:t>= Rcl 9.302 AgR, rel. min. Dias Toffoli, j. 11-4-2013, P, DJE de 1º-7-2013 (...) cediça a jurisprudência desta Corte quanto ao não cabimento de quaisquer recursos contra a aplicação da sistemática da repercussão geral por ministro deste Tribunal, diante da inexistência de conteúdo decisório.</w:t>
      </w:r>
    </w:p>
    <w:p>
      <w:pPr>
        <w:ind w:left="288"/>
      </w:pPr>
      <w:r>
        <w:rPr>
          <w:b/>
          <w:color w:val="003CA0"/>
          <w:sz w:val="16"/>
        </w:rPr>
        <w:t>[MS 28.982 AgR, voto do rel. min. Gilmar Mendes, j. 16-9-2010, P, DJE de 15-10-2010.]</w:t>
      </w:r>
    </w:p>
    <w:p>
      <w:pPr>
        <w:ind w:left="288"/>
      </w:pPr>
      <w:r>
        <w:rPr>
          <w:color w:val="8C8C8C"/>
          <w:sz w:val="12"/>
        </w:rPr>
        <w:t>cf-art-102-par-1</w:t>
      </w:r>
      <w:r>
        <w:rPr>
          <w:color w:val="003CA0"/>
          <w:sz w:val="12"/>
        </w:rPr>
        <w:t xml:space="preserve"> | AI 760.358</w:t>
      </w:r>
      <w:r>
        <w:rPr>
          <w:color w:val="003CA0"/>
          <w:sz w:val="12"/>
        </w:rPr>
        <w:t xml:space="preserve"> | rel. Gilmar Mendes</w:t>
      </w:r>
    </w:p>
    <w:p>
      <w:pPr>
        <w:ind w:left="288"/>
      </w:pPr>
      <w:r>
        <w:rPr>
          <w:color w:val="1E1E1E"/>
          <w:sz w:val="18"/>
        </w:rPr>
        <w:t>Vide AI 760.358 QO, rel. min. Gilmar Mendes, j. 19-11-2009, P, DJE de 19-2-2010 (...) o reconhecimento da repercussão geral da matéria de fundo não se estende, pura e simplesmente, a todos os recursos. Se houver fundamento autônomo suficiente para manutenção da decisão recorrida e o recurso não puder revertê-lo, seja por deficiência processual ou por contrariar jurisprudência da Corte, o reconhecimento da repercussão geral da matéria de fundo será irrelevante, por ausência de utilidade (interesse processual – moot judgment).</w:t>
      </w:r>
    </w:p>
    <w:p>
      <w:pPr>
        <w:ind w:left="288"/>
      </w:pPr>
      <w:r>
        <w:rPr>
          <w:b/>
          <w:color w:val="003CA0"/>
          <w:sz w:val="16"/>
        </w:rPr>
        <w:t>[AI 597.912 AgR-ED, rel. min. Joaquim Barbosa, j. 31-8-2010, 2ª T, DJE de 1º-10-2010.]</w:t>
      </w:r>
    </w:p>
    <w:p>
      <w:pPr>
        <w:ind w:left="288"/>
      </w:pPr>
      <w:r>
        <w:rPr>
          <w:color w:val="8C8C8C"/>
          <w:sz w:val="12"/>
        </w:rPr>
        <w:t>cf-art-102-par-1</w:t>
      </w:r>
      <w:r>
        <w:rPr>
          <w:color w:val="003CA0"/>
          <w:sz w:val="12"/>
        </w:rPr>
        <w:t xml:space="preserve"> | AI 770.000</w:t>
      </w:r>
      <w:r>
        <w:rPr>
          <w:color w:val="003CA0"/>
          <w:sz w:val="12"/>
        </w:rPr>
        <w:t xml:space="preserve"> | rel. Marco Aurélio</w:t>
      </w:r>
    </w:p>
    <w:p>
      <w:pPr>
        <w:ind w:left="288"/>
      </w:pPr>
      <w:r>
        <w:rPr>
          <w:color w:val="1E1E1E"/>
          <w:sz w:val="18"/>
        </w:rPr>
        <w:t>Deixando-se de aludir, em capítulo próprio, à repercussão geral do tema controvertido, a teor do § 2º do art. 543-A do CPC, introduzido mediante o art. 2º da Lei 11.418/2006, a sequência do recurso deve ser obstaculizada.</w:t>
      </w:r>
    </w:p>
    <w:p>
      <w:pPr>
        <w:ind w:left="288"/>
      </w:pPr>
      <w:r>
        <w:rPr>
          <w:b/>
          <w:color w:val="003CA0"/>
          <w:sz w:val="16"/>
        </w:rPr>
        <w:t>[AI 770.000 AgR, rel. min. Marco Aurélio, j. 17-8-2010, 1ª T, DJE de 1º-10-2010.]</w:t>
      </w:r>
    </w:p>
    <w:p>
      <w:pPr>
        <w:ind w:left="288"/>
      </w:pPr>
      <w:r>
        <w:rPr>
          <w:color w:val="8C8C8C"/>
          <w:sz w:val="12"/>
        </w:rPr>
        <w:t>cf-art-102-par-1</w:t>
      </w:r>
      <w:r>
        <w:rPr>
          <w:color w:val="003CA0"/>
          <w:sz w:val="12"/>
        </w:rPr>
        <w:t xml:space="preserve"> | AI 728.180</w:t>
      </w:r>
      <w:r>
        <w:rPr>
          <w:color w:val="003CA0"/>
          <w:sz w:val="12"/>
        </w:rPr>
        <w:t xml:space="preserve"> | rel. Joaquim Barbosa</w:t>
      </w:r>
    </w:p>
    <w:p>
      <w:pPr>
        <w:ind w:left="288"/>
      </w:pPr>
      <w:r>
        <w:rPr>
          <w:color w:val="1E1E1E"/>
          <w:sz w:val="18"/>
        </w:rPr>
        <w:t>Nos termos do art. 543-A, § 5º, do CPC e dos arts. 326 e 327 do RISTF, a decisão do STF relativa à inexistência de repercussão geral valerá para todos os casos que versem sobre questão idêntica.</w:t>
      </w:r>
    </w:p>
    <w:p>
      <w:pPr>
        <w:ind w:left="288"/>
      </w:pPr>
      <w:r>
        <w:rPr>
          <w:b/>
          <w:color w:val="003CA0"/>
          <w:sz w:val="16"/>
        </w:rPr>
        <w:t>[AI 728.180 AgR, rel. min. Joaquim Barbosa, j. 10-8-2010, 2ª T, DJE de 1º-10-2010.]</w:t>
      </w:r>
    </w:p>
    <w:p>
      <w:pPr>
        <w:ind w:left="288"/>
      </w:pPr>
      <w:r>
        <w:rPr>
          <w:color w:val="8C8C8C"/>
          <w:sz w:val="12"/>
        </w:rPr>
        <w:t>cf-art-102-par-1</w:t>
      </w:r>
      <w:r>
        <w:rPr>
          <w:color w:val="003CA0"/>
          <w:sz w:val="12"/>
        </w:rPr>
        <w:t xml:space="preserve"> | RE 568.645</w:t>
      </w:r>
      <w:r>
        <w:rPr>
          <w:color w:val="003CA0"/>
          <w:sz w:val="12"/>
        </w:rPr>
        <w:t xml:space="preserve"> | rel. Celso de Mello</w:t>
      </w:r>
    </w:p>
    <w:p>
      <w:pPr>
        <w:ind w:left="288"/>
      </w:pPr>
      <w:r>
        <w:rPr>
          <w:color w:val="1E1E1E"/>
          <w:sz w:val="18"/>
        </w:rPr>
        <w:t>Achando-se a controvérsia submetida ao Plenário do STF e reconhecida, em sede recursal extraordinária (RE 568.645 RG/SP), a existência de questão impregnada de transcendência ou repercussão geral, impõe-se deferir, por identidade de razões, a suspensão cautelar de eficácia de acórdão objeto de apelo extremo em cujo âmbito tenha sido suscitado o mesmo litígio jurídico-constitucional ainda pendente de definição pela Corte Suprema.</w:t>
      </w:r>
    </w:p>
    <w:p>
      <w:pPr>
        <w:ind w:left="288"/>
      </w:pPr>
      <w:r>
        <w:rPr>
          <w:b/>
          <w:color w:val="003CA0"/>
          <w:sz w:val="16"/>
        </w:rPr>
        <w:t>[AC 2.639 MC-REF, rel. min. Celso de Mello, j. 10-8-2010, 2ª T, DJE de 17-9-2010.]</w:t>
      </w:r>
    </w:p>
    <w:p>
      <w:pPr>
        <w:ind w:left="288"/>
      </w:pPr>
      <w:r>
        <w:rPr>
          <w:color w:val="8C8C8C"/>
          <w:sz w:val="12"/>
        </w:rPr>
        <w:t>cf-art-102-par-1</w:t>
      </w:r>
      <w:r>
        <w:rPr>
          <w:color w:val="003CA0"/>
          <w:sz w:val="12"/>
        </w:rPr>
        <w:t xml:space="preserve"> | AC 2.168</w:t>
      </w:r>
      <w:r>
        <w:rPr>
          <w:color w:val="003CA0"/>
          <w:sz w:val="12"/>
        </w:rPr>
        <w:t xml:space="preserve"> | rel. Celso de Mello</w:t>
      </w:r>
    </w:p>
    <w:p>
      <w:pPr>
        <w:ind w:left="288"/>
      </w:pPr>
      <w:r>
        <w:rPr>
          <w:color w:val="1E1E1E"/>
          <w:sz w:val="18"/>
        </w:rPr>
        <w:t>Vide AC 2.168 MC-REF, rel. min. Celso de Mello, j. 4-11-2008, 2ª T, DJE de 19-9-2013 Não é cabível agravo de instrumento da decisão do tribunal de origem que, em cumprimento do disposto no § 3º do art. 543-B do CPC, aplica decisão de mérito do STF em questão de repercussão geral. Ao decretar o prejuízo de recurso ou exercer o juízo de retratação, no processo em que interposto o recurso extraordinário, o tribunal de origem não está exercendo competência do STF, mas atribuição própria, de forma que a remessa dos autos individualmente ao STF apenas se justificará, nos termos da lei, na hipótese e</w:t>
      </w:r>
    </w:p>
    <w:p>
      <w:pPr>
        <w:ind w:left="288"/>
      </w:pPr>
      <w:r>
        <w:rPr>
          <w:b/>
          <w:color w:val="003CA0"/>
          <w:sz w:val="16"/>
        </w:rPr>
        <w:t>[AI 760.358 QO, rel. min. Gilmar Mendes, j. 19-11-2009, P, DJE de 19-2-2010.]</w:t>
      </w:r>
    </w:p>
    <w:p>
      <w:pPr>
        <w:ind w:left="288"/>
      </w:pPr>
      <w:r>
        <w:rPr>
          <w:color w:val="8C8C8C"/>
          <w:sz w:val="12"/>
        </w:rPr>
        <w:t>cf-art-102-par-1</w:t>
      </w:r>
      <w:r>
        <w:rPr>
          <w:color w:val="003CA0"/>
          <w:sz w:val="12"/>
        </w:rPr>
        <w:t xml:space="preserve"> | RCL 15.165</w:t>
      </w:r>
      <w:r>
        <w:rPr>
          <w:color w:val="003CA0"/>
          <w:sz w:val="12"/>
        </w:rPr>
        <w:t xml:space="preserve"> | rel. Teori Zavascki</w:t>
      </w:r>
    </w:p>
    <w:p>
      <w:pPr>
        <w:ind w:left="288"/>
      </w:pPr>
      <w:r>
        <w:rPr>
          <w:color w:val="1E1E1E"/>
          <w:sz w:val="18"/>
        </w:rPr>
        <w:t>= Rcl 15.165 AgR, rel. min. Teori Zavascki, j. 20-3-2013, P, DJE de 26-8-2013 Vide MS 28.982 AgR, voto do rel. min. Gilmar Mendes, j. 16-9-2010, P, DJE de 15-10-2010 (...) ausentes os requisitos de admissibilidade do recurso extraordinário, (...) caberá ao relator negar-lhe seguimento, com evidente prejuízo da existência de repercussão geral, nos termos do art. 323 do RISTF c/c o art. 557 do CPC, pois a repercussão geral é qualidade só concebível em recurso a que não falte condição prévia de admissibilidade.</w:t>
      </w:r>
    </w:p>
    <w:p>
      <w:pPr>
        <w:ind w:left="288"/>
      </w:pPr>
      <w:r>
        <w:rPr>
          <w:b/>
          <w:color w:val="003CA0"/>
          <w:sz w:val="16"/>
        </w:rPr>
        <w:t>[RE 577.838 AgR, voto do rel. min. Cezar Peluso, j. 8-9-2009, 2ª T, DJE de 9-10-2009.]</w:t>
      </w:r>
    </w:p>
    <w:p>
      <w:pPr>
        <w:ind w:left="288"/>
      </w:pPr>
      <w:r>
        <w:rPr>
          <w:color w:val="8C8C8C"/>
          <w:sz w:val="12"/>
        </w:rPr>
        <w:t>cf-art-102-par-1</w:t>
      </w:r>
      <w:r>
        <w:rPr>
          <w:color w:val="003CA0"/>
          <w:sz w:val="12"/>
        </w:rPr>
        <w:t xml:space="preserve"> | AI 755.104</w:t>
      </w:r>
      <w:r>
        <w:rPr>
          <w:color w:val="003CA0"/>
          <w:sz w:val="12"/>
        </w:rPr>
        <w:t xml:space="preserve"> | rel. Joaquim Barbosa</w:t>
      </w:r>
    </w:p>
    <w:p>
      <w:pPr>
        <w:ind w:left="288"/>
      </w:pPr>
      <w:r>
        <w:rPr>
          <w:color w:val="1E1E1E"/>
          <w:sz w:val="18"/>
        </w:rPr>
        <w:t>= AI 755.104 AgR, rel. min. Joaquim Barbosa, j. 31-8-2010, 2ª T, DJE de 1º-10-2010 A interposição de petição em apartado para suprir a exigência de preliminar formal e fundamentada da repercussão geral não é acatada por esta Corte, cumprindo à recorrente apresentá-la na petição de recurso extraordinário. Operou-se, no caso, preclusão consumativa.</w:t>
      </w:r>
    </w:p>
    <w:p>
      <w:pPr>
        <w:ind w:left="288"/>
      </w:pPr>
      <w:r>
        <w:rPr>
          <w:b/>
          <w:color w:val="003CA0"/>
          <w:sz w:val="16"/>
        </w:rPr>
        <w:t>[AI 726.795 AgR, rel. min. Eros Grau, j. 28-4-2009, 2ª T, DJE de 29-5-2009.]</w:t>
      </w:r>
    </w:p>
    <w:p>
      <w:pPr>
        <w:ind w:left="288"/>
      </w:pPr>
      <w:r>
        <w:rPr>
          <w:color w:val="8C8C8C"/>
          <w:sz w:val="12"/>
        </w:rPr>
        <w:t>cf-art-102-par-1</w:t>
      </w:r>
      <w:r>
        <w:rPr>
          <w:color w:val="003CA0"/>
          <w:sz w:val="12"/>
        </w:rPr>
        <w:t xml:space="preserve"> | AI 724.545</w:t>
      </w:r>
      <w:r>
        <w:rPr>
          <w:color w:val="003CA0"/>
          <w:sz w:val="12"/>
        </w:rPr>
        <w:t xml:space="preserve"> | rel. Ricardo Lewandowski</w:t>
      </w:r>
    </w:p>
    <w:p>
      <w:pPr>
        <w:ind w:left="288"/>
      </w:pPr>
      <w:r>
        <w:rPr>
          <w:color w:val="1E1E1E"/>
          <w:sz w:val="18"/>
        </w:rPr>
        <w:t>= AI 724.545 AgR-segundo, rel. min. Ricardo Lewandowski, j. 2-12-2010, 1ª T, DJE de 1º-2-2011 Pedido de concessão de efeito suspensivo e o sobrestamento, na origem, em face do reconhecimento de repercussão geral pelo STF. Arts. 543-B, § 1º, do CPC, e 328-A, do RISTF. Súmulas 634 e 635/STF. Jurisdição cautelar que deve ser prestada pelos tribunais e turmas recursais a quo, inclusive quanto aos recursos admitidos, porém sobrestados na origem. Para a concessão do excepcional efeito suspensivo a recurso extraordinário é necessário o juízo positivo de sua admissibilidade no tribunal de origem, a su</w:t>
      </w:r>
    </w:p>
    <w:p>
      <w:pPr>
        <w:ind w:left="288"/>
      </w:pPr>
      <w:r>
        <w:rPr>
          <w:b/>
          <w:color w:val="003CA0"/>
          <w:sz w:val="16"/>
        </w:rPr>
        <w:t>[AC 2.177 QO-MC, rel. min. Ellen Gracie, j. 12-11-2008, P, DJE de 20-2-2009.]</w:t>
      </w:r>
    </w:p>
    <w:p>
      <w:pPr>
        <w:ind w:left="288"/>
      </w:pPr>
      <w:r>
        <w:rPr>
          <w:color w:val="8C8C8C"/>
          <w:sz w:val="12"/>
        </w:rPr>
        <w:t>cf-art-102-par-1</w:t>
      </w:r>
      <w:r>
        <w:rPr>
          <w:color w:val="003CA0"/>
          <w:sz w:val="12"/>
        </w:rPr>
        <w:t xml:space="preserve"> | AI 764.273</w:t>
      </w:r>
      <w:r>
        <w:rPr>
          <w:color w:val="003CA0"/>
          <w:sz w:val="12"/>
        </w:rPr>
        <w:t xml:space="preserve"> | rel. Cármen Lúcia</w:t>
      </w:r>
    </w:p>
    <w:p>
      <w:pPr>
        <w:ind w:left="288"/>
      </w:pPr>
      <w:r>
        <w:rPr>
          <w:color w:val="1E1E1E"/>
          <w:sz w:val="18"/>
        </w:rPr>
        <w:t>= AI 764.273 AgR, rel. min. Cármen Lúcia, j. 31-8-2010, 1ª T, DJE de 24-9-2010 Vide AC 3.024 MC-REF, rel. min. Celso de Mello, j. 8-11-2011, 2ª T, DJE de 29-11-2011 Vide AC 2.168 MC-REF, rel. min. Celso de Mello, j. 4-11-2008, 2ª T, DJE de 19-9-2013 Ação cautelar. Recurso extraordinário. Sobrestado em decorrência do reconhecimento da existência de repercussão geral de questão constitucional, sem formulação de juízo (positivo ou negativo) de admissibilidade. Indeferimento, pelo Tribunal de origem, do pedido de tutela de urgência. Dano iminente e grave, capaz de comprometer o direito material vi</w:t>
      </w:r>
    </w:p>
    <w:p>
      <w:pPr>
        <w:ind w:left="288"/>
      </w:pPr>
      <w:r>
        <w:rPr>
          <w:b/>
          <w:color w:val="003CA0"/>
          <w:sz w:val="16"/>
        </w:rPr>
        <w:t>[AC 2.168 MC-REF, rel. min. Celso de Mello, j. 4-11-2008, 2ª T, DJE de 19-8-2013.]</w:t>
      </w:r>
    </w:p>
    <w:p>
      <w:pPr>
        <w:ind w:left="288"/>
      </w:pPr>
      <w:r>
        <w:rPr>
          <w:color w:val="8C8C8C"/>
          <w:sz w:val="12"/>
        </w:rPr>
        <w:t>cf-art-102-par-1</w:t>
      </w:r>
      <w:r>
        <w:rPr>
          <w:color w:val="003CA0"/>
          <w:sz w:val="12"/>
        </w:rPr>
        <w:t xml:space="preserve"> | AC 3.024</w:t>
      </w:r>
      <w:r>
        <w:rPr>
          <w:color w:val="003CA0"/>
          <w:sz w:val="12"/>
        </w:rPr>
        <w:t xml:space="preserve"> | rel. Celso de Mello</w:t>
      </w:r>
    </w:p>
    <w:p>
      <w:pPr>
        <w:ind w:left="288"/>
      </w:pPr>
      <w:r>
        <w:rPr>
          <w:color w:val="1E1E1E"/>
          <w:sz w:val="18"/>
        </w:rPr>
        <w:t xml:space="preserve">Vide AC 3.024 MC-REF, rel. min. Celso de Mello, j. 8-11-2011, 2ª T, DJE de 29-11-2011 Vide AC 2.639 MC-REF, rel. min. Celso de Mello, j. 10-8-2010, 2ª T, DJE de 17-9-2010 Vide AC 2.177 QO-MC, rel. min. Ellen Gracie, j. 12-11-2008, P, DJE de 20-2-2009 Nota: O recurso extraordinário abaixo é o processo paradigma do Tema 96 de repercussão geral. O trecho com o mérito do recurso extraordinário foi inserido no art. 100, caput e § 12, da CF/1988. O trecho selecionado abaixo foi inserido entre os julgados correlatos por não compor o mérito da repercussão geral. Procedimentos de implantação do regime </w:t>
      </w:r>
    </w:p>
    <w:p>
      <w:pPr>
        <w:ind w:left="288"/>
      </w:pPr>
      <w:r>
        <w:rPr>
          <w:b/>
          <w:color w:val="003CA0"/>
          <w:sz w:val="16"/>
        </w:rPr>
        <w:t>[RE 579.431 QO, rel. min. Ellen Gracie, j. 11-6-2008, P, DJE de 24-10-2008.]</w:t>
      </w:r>
    </w:p>
    <w:p>
      <w:pPr>
        <w:ind w:left="288"/>
      </w:pPr>
      <w:r>
        <w:rPr>
          <w:color w:val="8C8C8C"/>
          <w:sz w:val="12"/>
        </w:rPr>
        <w:t>cf-art-102-par-1</w:t>
      </w:r>
      <w:r>
        <w:rPr>
          <w:color w:val="003CA0"/>
          <w:sz w:val="12"/>
        </w:rPr>
        <w:t xml:space="preserve"> | AI 715.423</w:t>
      </w:r>
      <w:r>
        <w:rPr>
          <w:color w:val="003CA0"/>
          <w:sz w:val="12"/>
        </w:rPr>
        <w:t xml:space="preserve"> | rel. Ellen Gracie</w:t>
      </w:r>
    </w:p>
    <w:p>
      <w:pPr>
        <w:ind w:left="288"/>
      </w:pPr>
      <w:r>
        <w:rPr>
          <w:color w:val="1E1E1E"/>
          <w:sz w:val="18"/>
        </w:rPr>
        <w:t>Reconhecida, pelo STF, a relevância de determinada controvérsia constitucional, aplicam-se, igualmente, aos recursos extraordinários anteriores à adoção da sistemática da repercussão geral, os mecanismos previstos nos §§ 1º e 3º do art. 543-B do CPC. Expressa ressalva, nessa hipótese, quanto à inaplicabilidade do teor do § 2º desse mesmo artigo (previsão legal da automática inadmissão de recursos), por não ser possível exigir a presença de requisitos de admissibilidade implantados em momento posterior à interposição do recurso. Segunda questão de ordem resolvida no sentido de autorizar os trib</w:t>
      </w:r>
    </w:p>
    <w:p>
      <w:pPr>
        <w:ind w:left="288"/>
      </w:pPr>
      <w:r>
        <w:rPr>
          <w:b/>
          <w:color w:val="003CA0"/>
          <w:sz w:val="16"/>
        </w:rPr>
        <w:t>[AI 715.423 QO, rel. min. Ellen Gracie, j. 11-6-2008, P, DJE de 5-9-2008.]</w:t>
      </w:r>
    </w:p>
    <w:p>
      <w:pPr>
        <w:ind w:left="288"/>
      </w:pPr>
      <w:r>
        <w:rPr>
          <w:color w:val="8C8C8C"/>
          <w:sz w:val="12"/>
        </w:rPr>
        <w:t>cf-art-102-par-1</w:t>
      </w:r>
      <w:r>
        <w:rPr>
          <w:color w:val="003CA0"/>
          <w:sz w:val="12"/>
        </w:rPr>
        <w:t xml:space="preserve"> | AI 812.645</w:t>
      </w:r>
      <w:r>
        <w:rPr>
          <w:color w:val="003CA0"/>
          <w:sz w:val="12"/>
        </w:rPr>
        <w:t xml:space="preserve"> | rel. Cármen Lúcia</w:t>
      </w:r>
    </w:p>
    <w:p>
      <w:pPr>
        <w:ind w:left="288"/>
      </w:pPr>
      <w:r>
        <w:rPr>
          <w:color w:val="1E1E1E"/>
          <w:sz w:val="18"/>
        </w:rPr>
        <w:t>= AI 812.645 AgR, rel. min. Cármen Lúcia, j. 15-2-2011, 1ª T, DJE de 9-3-2011 A recorrente não apresentou preliminar formal e fundamentada, no recurso extraordinário, da repercussão geral das questões constitucionais debatidas no caso, não tendo sido observado o disposto no art. 543-A, § 2º, do CPC, introduzido pela Lei 11.418/2006. O STF fixou entendimento no sentido da exigência da demonstração formal e fundamentada no recurso extraordinário da repercussão geral das questões constitucionais discutidas quando a intimação do acórdão recorrido tenha ocorrido a partir de 3-5-2007, data da public</w:t>
      </w:r>
    </w:p>
    <w:p>
      <w:pPr>
        <w:ind w:left="288"/>
      </w:pPr>
      <w:r>
        <w:rPr>
          <w:b/>
          <w:color w:val="003CA0"/>
          <w:sz w:val="16"/>
        </w:rPr>
        <w:t>[AI 672.738 AgR, rel. min. Eros Grau, j. 26-2-2008, 2ª T, DJE de 28-3-2008.]</w:t>
      </w:r>
    </w:p>
    <w:p>
      <w:pPr>
        <w:ind w:left="288"/>
      </w:pPr>
      <w:r>
        <w:rPr>
          <w:color w:val="8C8C8C"/>
          <w:sz w:val="12"/>
        </w:rPr>
        <w:t>cf-art-102-par-1</w:t>
      </w:r>
      <w:r>
        <w:rPr>
          <w:color w:val="003CA0"/>
          <w:sz w:val="12"/>
        </w:rPr>
        <w:t xml:space="preserve"> | AI 766.054</w:t>
      </w:r>
      <w:r>
        <w:rPr>
          <w:color w:val="003CA0"/>
          <w:sz w:val="12"/>
        </w:rPr>
        <w:t xml:space="preserve"> | rel. Dias Toffoli</w:t>
      </w:r>
    </w:p>
    <w:p>
      <w:pPr>
        <w:ind w:left="288"/>
      </w:pPr>
      <w:r>
        <w:rPr>
          <w:color w:val="1E1E1E"/>
          <w:sz w:val="18"/>
        </w:rPr>
        <w:t>= AI 766.054 AgR-segundo, rel. min. Dias Toffoli, j. 24-8-2010, 1ª T, DJE de 22-11-2010 Vide ARE 663.637 QO-AgR, rel. min. Ayres Britto, j. 12-9-2012, P, DJE de 6-5-2013 Vide AI 770.000 AgR, rel. min. Marco Aurélio, j. 17-8-2010, 1ª T, DJE de 1º-10-2010 Vide ARE 996.895-ED-ED-AgR, red. p o acórdão min. Dias Toffoli, j. em 27-3-2018, 2a.T, DJE de 14-8-2019 A jurisprudência do STF, ordinariamente, tem recusado concessão de medida cautelar pertinente a recurso extraordinário que sofreu, na origem, juízo negativo de admissibilidade. Precedentes. Cabe, no entanto, excepcionalmente, a suspensão caut</w:t>
      </w:r>
    </w:p>
    <w:p>
      <w:pPr>
        <w:ind w:left="288"/>
      </w:pPr>
      <w:r>
        <w:rPr>
          <w:b/>
          <w:color w:val="003CA0"/>
          <w:sz w:val="16"/>
        </w:rPr>
        <w:t>[AC 1.641 QO, rel. min. Celso de Mello, j. 7-8-2007, 2ª T, DJE de 12-12-2008.]</w:t>
      </w:r>
    </w:p>
    <w:p>
      <w:pPr>
        <w:ind w:left="288"/>
      </w:pPr>
      <w:r>
        <w:rPr>
          <w:color w:val="8C8C8C"/>
          <w:sz w:val="12"/>
        </w:rPr>
        <w:t>cf-art-102-par-1</w:t>
      </w:r>
      <w:r>
        <w:rPr>
          <w:color w:val="003CA0"/>
          <w:sz w:val="12"/>
        </w:rPr>
        <w:t xml:space="preserve"> | AC 3.024</w:t>
      </w:r>
      <w:r>
        <w:rPr>
          <w:color w:val="003CA0"/>
          <w:sz w:val="12"/>
        </w:rPr>
        <w:t xml:space="preserve"> | rel. Celso de Mello</w:t>
      </w:r>
    </w:p>
    <w:p>
      <w:pPr>
        <w:ind w:left="288"/>
      </w:pPr>
      <w:r>
        <w:rPr>
          <w:color w:val="1E1E1E"/>
          <w:sz w:val="18"/>
        </w:rPr>
        <w:t>Vide AC 3.024 MC-REF, rel. min. Celso de Mello, j. 8-11-2011, 2ª T, DJE de 29-11-2011 O requisito constitucional da repercussão geral (CF, art. 102, § 3º, red. EC 45/2004), com a regulamentação da Lei 11.418/2006 e as normas regimentais necessárias à sua execução, aplica-se aos recursos extraordinários em geral, e, em consequência, às causas criminais.</w:t>
      </w:r>
    </w:p>
    <w:p>
      <w:pPr>
        <w:ind w:left="288"/>
      </w:pPr>
      <w:r>
        <w:rPr>
          <w:b/>
          <w:color w:val="003CA0"/>
          <w:sz w:val="16"/>
        </w:rPr>
        <w:t>[AI 664.567 QO, rel. min. Sepúlveda Pertence, j. 18-6-2007, P, DJ de 6-9-2007.]</w:t>
      </w:r>
    </w:p>
    <w:p>
      <w:pPr>
        <w:ind w:left="288"/>
      </w:pPr>
      <w:r>
        <w:rPr>
          <w:color w:val="8C8C8C"/>
          <w:sz w:val="12"/>
        </w:rPr>
        <w:t>cf-art-102-par-1</w:t>
      </w:r>
      <w:r>
        <w:rPr>
          <w:color w:val="003CA0"/>
          <w:sz w:val="12"/>
        </w:rPr>
        <w:t xml:space="preserve"> | AI 761.081</w:t>
      </w:r>
      <w:r>
        <w:rPr>
          <w:color w:val="003CA0"/>
          <w:sz w:val="12"/>
        </w:rPr>
        <w:t xml:space="preserve"> | rel. Dias Toffoli</w:t>
      </w:r>
    </w:p>
    <w:p>
      <w:pPr>
        <w:ind w:left="288"/>
      </w:pPr>
      <w:r>
        <w:rPr>
          <w:color w:val="1E1E1E"/>
          <w:sz w:val="18"/>
        </w:rPr>
        <w:t>= AI 761.081 AgR, rel. min. Dias Toffoli, j. 8-2-2011, 1ª T, DJE de 29-3-2011</w:t>
      </w:r>
    </w:p>
    <w:p>
      <w:pPr>
        <w:ind w:left="432"/>
      </w:pPr>
      <w:r>
        <w:rPr>
          <w:color w:val="003366"/>
          <w:sz w:val="18"/>
        </w:rPr>
        <w:t>§ 1 A aplicação dos recursos remanescentes, por opção a ser exercida por Estados</w:t>
      </w:r>
    </w:p>
    <w:p>
      <w:pPr>
        <w:ind w:left="432"/>
      </w:pPr>
      <w:r>
        <w:rPr>
          <w:color w:val="003366"/>
          <w:sz w:val="18"/>
        </w:rPr>
        <w:t>§ 2 Na vigência do regime especial previsto no art. 101 deste Ato das Disposiçõe</w:t>
      </w:r>
    </w:p>
    <w:p>
      <w:r>
        <w:rPr>
          <w:b/>
          <w:color w:val="003366"/>
          <w:sz w:val="20"/>
        </w:rPr>
        <w:t>Art. 103 Enquanto os Estados, o Distrito Federal e os Municípios estiverem efetu</w:t>
      </w:r>
      <w:r>
        <w:rPr>
          <w:color w:val="8C8C8C"/>
          <w:sz w:val="14"/>
        </w:rPr>
        <w:t xml:space="preserve">  [114 decisoes]</w:t>
      </w:r>
    </w:p>
    <w:p>
      <w:pPr>
        <w:ind w:left="144"/>
      </w:pPr>
      <w:r>
        <w:rPr>
          <w:b/>
          <w:color w:val="B45A00"/>
          <w:sz w:val="16"/>
        </w:rPr>
        <w:t>CONTROLE CONCENTRADO</w:t>
      </w:r>
    </w:p>
    <w:p>
      <w:pPr>
        <w:ind w:left="288"/>
      </w:pPr>
      <w:r>
        <w:rPr>
          <w:color w:val="8C8C8C"/>
          <w:sz w:val="12"/>
        </w:rPr>
        <w:t>cf-art-103</w:t>
      </w:r>
      <w:r>
        <w:rPr>
          <w:color w:val="003CA0"/>
          <w:sz w:val="12"/>
        </w:rPr>
        <w:t xml:space="preserve"> | ADI 4.654</w:t>
      </w:r>
      <w:r>
        <w:rPr>
          <w:color w:val="003CA0"/>
          <w:sz w:val="12"/>
        </w:rPr>
        <w:t xml:space="preserve"> | rel. Gilmar Mendes</w:t>
      </w:r>
    </w:p>
    <w:p>
      <w:pPr>
        <w:ind w:left="288"/>
      </w:pPr>
      <w:r>
        <w:rPr>
          <w:color w:val="1E1E1E"/>
          <w:sz w:val="18"/>
        </w:rPr>
        <w:t>(...) os Municípios não figuram no rol de entidades legitimadas para a propositura de ação direta de inconstitucionalidade perante esta Corte previsto nos arts. 103 da Constituição e 2º da Lei 9.868/1999.</w:t>
      </w:r>
    </w:p>
    <w:p>
      <w:pPr>
        <w:ind w:left="288"/>
      </w:pPr>
      <w:r>
        <w:rPr>
          <w:b/>
          <w:color w:val="003CA0"/>
          <w:sz w:val="16"/>
        </w:rPr>
        <w:t>[ADI 4.654, rel. min. Gilmar Mendes, j. 28-11-2011, dec. monocrática, DJE de 2-12-2011.]</w:t>
      </w:r>
    </w:p>
    <w:p>
      <w:pPr>
        <w:ind w:left="288"/>
      </w:pPr>
      <w:r>
        <w:rPr>
          <w:color w:val="8C8C8C"/>
          <w:sz w:val="12"/>
        </w:rPr>
        <w:t>cf-art-103</w:t>
      </w:r>
      <w:r>
        <w:rPr>
          <w:color w:val="003CA0"/>
          <w:sz w:val="12"/>
        </w:rPr>
        <w:t xml:space="preserve"> | ADPF 148</w:t>
      </w:r>
      <w:r>
        <w:rPr>
          <w:color w:val="003CA0"/>
          <w:sz w:val="12"/>
        </w:rPr>
        <w:t xml:space="preserve"> | rel. Cezar Peluso</w:t>
      </w:r>
    </w:p>
    <w:p>
      <w:pPr>
        <w:ind w:left="288"/>
      </w:pPr>
      <w:r>
        <w:rPr>
          <w:color w:val="1E1E1E"/>
          <w:sz w:val="18"/>
        </w:rPr>
        <w:t>Legitimidade. Ativa. Inexistência. Arguição por descumprimento de preceito fundamental (ADPF). Prefeito municipal. Autor não legitimado para ação direta de inconstitucionalidade. Ilegitimidade reconhecida. Negativa de seguimento ao pedido. Recurso, ademais, impertinente. Agravo improvido. Aplicação do art. 2º, I, da Lei federal 9.882/1999. Precedentes. Quem não tem legitimidade para propor ação direta de inconstitucionalidade não a tem para arguição de descumprimento de preceito fundamental.</w:t>
      </w:r>
    </w:p>
    <w:p>
      <w:pPr>
        <w:ind w:left="288"/>
      </w:pPr>
      <w:r>
        <w:rPr>
          <w:b/>
          <w:color w:val="003CA0"/>
          <w:sz w:val="16"/>
        </w:rPr>
        <w:t>[ADPF 148 AgR, rel. min. Cezar Peluso, j. 3-12-2008, P, DJE de 6-2-2009.]</w:t>
      </w:r>
    </w:p>
    <w:p>
      <w:pPr>
        <w:ind w:left="288"/>
      </w:pPr>
      <w:r>
        <w:rPr>
          <w:color w:val="8C8C8C"/>
          <w:sz w:val="12"/>
        </w:rPr>
        <w:t>cf-art-103</w:t>
      </w:r>
      <w:r>
        <w:rPr>
          <w:color w:val="003CA0"/>
          <w:sz w:val="12"/>
        </w:rPr>
        <w:t xml:space="preserve"> | ADPF 75</w:t>
      </w:r>
      <w:r>
        <w:rPr>
          <w:color w:val="003CA0"/>
          <w:sz w:val="12"/>
        </w:rPr>
        <w:t xml:space="preserve"> | rel. Ricardo Lewandowski</w:t>
      </w:r>
    </w:p>
    <w:p>
      <w:pPr>
        <w:ind w:left="288"/>
      </w:pPr>
      <w:r>
        <w:rPr>
          <w:color w:val="1E1E1E"/>
          <w:sz w:val="18"/>
        </w:rPr>
        <w:t>Os legitimados para propor arguição de descumprimento de preceito fundamental se encontram definidos, em numerus clausus, no art. 103 da Constituição da República, nos termos do disposto no art. 2º, I, da Lei 9.882/1999. Impossibilidade de ampliação do rol exaustivo inscrito na CF. Idoneidade da decisão de não conhecimento da arguição de descumprimento de preceito fundamental.</w:t>
      </w:r>
    </w:p>
    <w:p>
      <w:pPr>
        <w:ind w:left="288"/>
      </w:pPr>
      <w:r>
        <w:rPr>
          <w:b/>
          <w:color w:val="003CA0"/>
          <w:sz w:val="16"/>
        </w:rPr>
        <w:t>[ADPF 75 AgR, rel. min. Ricardo Lewandowski, j. 3-5-2006, P, DJ de 2-6-2006.]</w:t>
      </w:r>
    </w:p>
    <w:p>
      <w:pPr>
        <w:ind w:left="288"/>
      </w:pPr>
      <w:r>
        <w:rPr>
          <w:color w:val="8C8C8C"/>
          <w:sz w:val="12"/>
        </w:rPr>
        <w:t>cf-art-103</w:t>
      </w:r>
      <w:r>
        <w:rPr>
          <w:color w:val="003CA0"/>
          <w:sz w:val="12"/>
        </w:rPr>
        <w:t xml:space="preserve"> | ADI 1.105</w:t>
      </w:r>
      <w:r>
        <w:rPr>
          <w:color w:val="003CA0"/>
          <w:sz w:val="12"/>
        </w:rPr>
        <w:t xml:space="preserve"> | rel. Maurício Corrêa</w:t>
      </w:r>
    </w:p>
    <w:p>
      <w:pPr>
        <w:ind w:left="288"/>
      </w:pPr>
      <w:r>
        <w:rPr>
          <w:color w:val="1E1E1E"/>
          <w:sz w:val="18"/>
        </w:rPr>
        <w:t>Recurso interposto por terceiro prejudicado. Não cabimento. Precedentes. Embargos de declaração opostos pela OAB. Legitimidade. Questão de ordem resolvida no sentido de que é incabível a interposição de qualquer espécie de recurso por quem, embora legitimado para a propositura da ação direta, nela não figure como requerente ou requerido.</w:t>
      </w:r>
    </w:p>
    <w:p>
      <w:pPr>
        <w:ind w:left="288"/>
      </w:pPr>
      <w:r>
        <w:rPr>
          <w:b/>
          <w:color w:val="003CA0"/>
          <w:sz w:val="16"/>
        </w:rPr>
        <w:t>[ADI 1.105 MC-ED-QO, rel. min. Maurício Corrêa, j. 23-8-2001, P, DJ de 16-11-2001.]</w:t>
      </w:r>
    </w:p>
    <w:p>
      <w:pPr>
        <w:ind w:left="288"/>
      </w:pPr>
      <w:r>
        <w:rPr>
          <w:color w:val="8C8C8C"/>
          <w:sz w:val="12"/>
        </w:rPr>
        <w:t>cf-art-103</w:t>
      </w:r>
      <w:r>
        <w:rPr>
          <w:color w:val="003CA0"/>
          <w:sz w:val="12"/>
        </w:rPr>
        <w:t xml:space="preserve"> | ADI 1.105</w:t>
      </w:r>
      <w:r>
        <w:rPr>
          <w:color w:val="003CA0"/>
          <w:sz w:val="12"/>
        </w:rPr>
        <w:t xml:space="preserve"> | rel. Ricardo Lewandowski</w:t>
      </w:r>
    </w:p>
    <w:p>
      <w:pPr>
        <w:ind w:left="288"/>
      </w:pPr>
      <w:r>
        <w:rPr>
          <w:color w:val="1E1E1E"/>
          <w:sz w:val="18"/>
        </w:rPr>
        <w:t>= ADI 1.105 ED-segundos, rel. min. Ricardo Lewandowski, j. 1º-8-2011, P, DJE de 30-8-2011 Ação direta de inconstitucionalidade. Processo de caráter objetivo. Inclusão de entidade privada no polo passivo da relação processual. Inadmissibilidade. (...) Não se discutem situações individuais no âmbito do controle abstrato de normas, precisamente em face do caráter objetivo de que se reveste o processo de fiscalização concentrada de constitucionalidade. O círculo de sujeitos processuais legitimados a intervir na ação direta de inconstitucionalidade revela-se extremamente limitado, pois nela só pode</w:t>
      </w:r>
    </w:p>
    <w:p>
      <w:pPr>
        <w:ind w:left="288"/>
      </w:pPr>
      <w:r>
        <w:rPr>
          <w:b/>
          <w:color w:val="003CA0"/>
          <w:sz w:val="16"/>
        </w:rPr>
        <w:t>[ADI 1.254 AgR, rel. min. Celso de Mello, j. 14-8-1996, P, DJ de 19-9-1997.]</w:t>
      </w:r>
    </w:p>
    <w:p>
      <w:pPr>
        <w:ind w:left="288"/>
      </w:pPr>
      <w:r>
        <w:rPr>
          <w:color w:val="8C8C8C"/>
          <w:sz w:val="12"/>
        </w:rPr>
        <w:t>cf-art-103</w:t>
      </w:r>
      <w:r>
        <w:rPr>
          <w:color w:val="003CA0"/>
          <w:sz w:val="12"/>
        </w:rPr>
        <w:t xml:space="preserve"> | ADI 387</w:t>
      </w:r>
      <w:r>
        <w:rPr>
          <w:color w:val="003CA0"/>
          <w:sz w:val="12"/>
        </w:rPr>
        <w:t xml:space="preserve"> | rel. Celso de Mello</w:t>
      </w:r>
    </w:p>
    <w:p>
      <w:pPr>
        <w:ind w:left="288"/>
      </w:pPr>
      <w:r>
        <w:rPr>
          <w:color w:val="1E1E1E"/>
          <w:sz w:val="18"/>
        </w:rPr>
        <w:t>O princípio da indisponibilidade, que rege o processo de controle concentrado de constitucionalidade, impede a desistência da ação direta já ajuizada. O art. 169, § 1º, do RISTF-80, que veda ao PGR essa desistência, aplica-se, extensivamente, a todas as autoridades e órgãos legitimados pela Constituição de 1988 para a instauração do controle concentrado de constitucionalidade (art. 103).</w:t>
      </w:r>
    </w:p>
    <w:p>
      <w:pPr>
        <w:ind w:left="288"/>
      </w:pPr>
      <w:r>
        <w:rPr>
          <w:b/>
          <w:color w:val="003CA0"/>
          <w:sz w:val="16"/>
        </w:rPr>
        <w:t>[ADI 387 MC, rel. min. Celso de Mello, j. 1º-3-1991, P, DJ de 11-10-1991.]</w:t>
      </w:r>
    </w:p>
    <w:p>
      <w:pPr>
        <w:ind w:left="144"/>
      </w:pPr>
      <w:r>
        <w:rPr>
          <w:b/>
          <w:color w:val="B45A00"/>
          <w:sz w:val="16"/>
        </w:rPr>
        <w:t>JULGADOS CORRELATOS</w:t>
      </w:r>
    </w:p>
    <w:p>
      <w:pPr>
        <w:ind w:left="288"/>
      </w:pPr>
      <w:r>
        <w:rPr>
          <w:color w:val="8C8C8C"/>
          <w:sz w:val="12"/>
        </w:rPr>
        <w:t>cf-art-103</w:t>
      </w:r>
      <w:r>
        <w:rPr>
          <w:color w:val="003CA0"/>
          <w:sz w:val="12"/>
        </w:rPr>
        <w:t xml:space="preserve"> | ACO 3.061</w:t>
      </w:r>
      <w:r>
        <w:rPr>
          <w:color w:val="003CA0"/>
          <w:sz w:val="12"/>
        </w:rPr>
        <w:t xml:space="preserve"> | rel. Roberto Barroso</w:t>
      </w:r>
    </w:p>
    <w:p>
      <w:pPr>
        <w:ind w:left="288"/>
      </w:pPr>
      <w:r>
        <w:rPr>
          <w:color w:val="1E1E1E"/>
          <w:sz w:val="18"/>
        </w:rPr>
        <w:t xml:space="preserve">Ação cível originária. Ilegitimidade ativa da DPU. (...) Ação cível originária ajuizada pela Defensoria Pública em face da União e dos Estados-membros, objetivando a extensão, a todos os servidores civis e militares mortos no exercício da função, de indenização por morte/acidente em serviço prevista na Lei 11.473/2007. O pedido de extensão da indenização assegurada apenas aos vitimados em ações da Força Nacional de Segurança Pública, com fundamento no princípio da isonomia, caracteriza alegação de inconstitucionalidade por omissão parcial da norma. A Defensoria Pública, no entanto, nos termos </w:t>
      </w:r>
    </w:p>
    <w:p>
      <w:pPr>
        <w:ind w:left="288"/>
      </w:pPr>
      <w:r>
        <w:rPr>
          <w:b/>
          <w:color w:val="003CA0"/>
          <w:sz w:val="16"/>
        </w:rPr>
        <w:t>[ACO 3.061 AgR, rel. min. Roberto Barroso, j. 11-9-2018, 1ª T, DJE de 10-12-2018.]</w:t>
      </w:r>
    </w:p>
    <w:p>
      <w:pPr>
        <w:ind w:left="144"/>
      </w:pPr>
      <w:r>
        <w:rPr>
          <w:b/>
          <w:color w:val="B45A00"/>
          <w:sz w:val="16"/>
        </w:rPr>
        <w:t>CONTROLE CONCENTRADO</w:t>
      </w:r>
    </w:p>
    <w:p>
      <w:pPr>
        <w:ind w:left="288"/>
      </w:pPr>
      <w:r>
        <w:rPr>
          <w:color w:val="8C8C8C"/>
          <w:sz w:val="12"/>
        </w:rPr>
        <w:t>cf-art-103-inc-IV</w:t>
      </w:r>
      <w:r>
        <w:rPr>
          <w:color w:val="003CA0"/>
          <w:sz w:val="12"/>
        </w:rPr>
        <w:t xml:space="preserve"> | ADI 3.756</w:t>
      </w:r>
      <w:r>
        <w:rPr>
          <w:color w:val="003CA0"/>
          <w:sz w:val="12"/>
        </w:rPr>
        <w:t xml:space="preserve"> | rel. Ayres Britto</w:t>
      </w:r>
    </w:p>
    <w:p>
      <w:pPr>
        <w:ind w:left="288"/>
      </w:pPr>
      <w:r>
        <w:rPr>
          <w:color w:val="1E1E1E"/>
          <w:sz w:val="18"/>
        </w:rPr>
        <w:t>É de se reconhecer a legitimidade ativa ad causam da Câmara Legislativa do Distrito Federal, dado que a presente impugnação tem por alvo dispositivos da LC 101/2000. Dispositivos que versam, justamente, sobre a aplicação dos limites globais das despesas com pessoal do Poder Legislativo distrital.</w:t>
      </w:r>
    </w:p>
    <w:p>
      <w:pPr>
        <w:ind w:left="288"/>
      </w:pPr>
      <w:r>
        <w:rPr>
          <w:b/>
          <w:color w:val="003CA0"/>
          <w:sz w:val="16"/>
        </w:rPr>
        <w:t>[ADI 3.756, rel. min. Ayres Britto, j. 21-6-2007, P, DJ de 19-10-2007.]</w:t>
      </w:r>
    </w:p>
    <w:p>
      <w:pPr>
        <w:ind w:left="288"/>
      </w:pPr>
      <w:r>
        <w:rPr>
          <w:color w:val="8C8C8C"/>
          <w:sz w:val="12"/>
        </w:rPr>
        <w:t>cf-art-103-inc-IV</w:t>
      </w:r>
      <w:r>
        <w:rPr>
          <w:color w:val="003CA0"/>
          <w:sz w:val="12"/>
        </w:rPr>
        <w:t xml:space="preserve"> | ADI 3.682</w:t>
      </w:r>
      <w:r>
        <w:rPr>
          <w:color w:val="003CA0"/>
          <w:sz w:val="12"/>
        </w:rPr>
        <w:t xml:space="preserve"> | rel. Gilmar Mendes</w:t>
      </w:r>
    </w:p>
    <w:p>
      <w:pPr>
        <w:ind w:left="288"/>
      </w:pPr>
      <w:r>
        <w:rPr>
          <w:color w:val="1E1E1E"/>
          <w:sz w:val="18"/>
        </w:rPr>
        <w:t>O art. 102 da Constituição, que contém o elenco das competências do STF, não contempla a ação direta por omissão, limitando-se a mencionar a ação direta de inconstitucionalidade de lei ou ato normativo federal ou estadual e a ação declaratória de constitucionalidade de lei ou ato normativo federal (art. 102, I, a, com redação da EC 3/1993). No art. 103, caput, fixam-se os entes ou órgãos legitimados a propor a ação direta de inconstitucionalidade. Parece evidente que essa disposição refere-se à ação direta de inconstitucionalidade de lei ou ato normativo estadual ou federal, prevista no art. 1</w:t>
      </w:r>
    </w:p>
    <w:p>
      <w:pPr>
        <w:ind w:left="288"/>
      </w:pPr>
      <w:r>
        <w:rPr>
          <w:b/>
          <w:color w:val="003CA0"/>
          <w:sz w:val="16"/>
        </w:rPr>
        <w:t>[ADI 3.682, voto do rel. min. Gilmar Mendes, j. 9-5-2007, P, DJ de 6-9-2007.]</w:t>
      </w:r>
    </w:p>
    <w:p>
      <w:pPr>
        <w:ind w:left="288"/>
      </w:pPr>
      <w:r>
        <w:rPr>
          <w:color w:val="8C8C8C"/>
          <w:sz w:val="12"/>
        </w:rPr>
        <w:t>cf-art-103-inc-IV</w:t>
      </w:r>
      <w:r>
        <w:rPr>
          <w:color w:val="003CA0"/>
          <w:sz w:val="12"/>
        </w:rPr>
        <w:t xml:space="preserve"> | ADI 1.507</w:t>
      </w:r>
      <w:r>
        <w:rPr>
          <w:color w:val="003CA0"/>
          <w:sz w:val="12"/>
        </w:rPr>
        <w:t xml:space="preserve"> | rel. Carlos Velloso</w:t>
      </w:r>
    </w:p>
    <w:p>
      <w:pPr>
        <w:ind w:left="288"/>
      </w:pPr>
      <w:r>
        <w:rPr>
          <w:color w:val="1E1E1E"/>
          <w:sz w:val="18"/>
        </w:rPr>
        <w:t>A legitimidade ativa da confederação sindical, entidade de classe de âmbito nacional, mesas das assembleias legislativas e governadores, para a ação direta de inconstitucionalidade, vincula-se ao objeto da ação, pelo que deve haver pertinência da norma impugnada com os objetivos do autor da ação. (...) Inocorrência, no caso, de pertinência das normas impugnadas com os objetivos da entidade de classe autora da ação direta).</w:t>
      </w:r>
    </w:p>
    <w:p>
      <w:pPr>
        <w:ind w:left="288"/>
      </w:pPr>
      <w:r>
        <w:rPr>
          <w:b/>
          <w:color w:val="003CA0"/>
          <w:sz w:val="16"/>
        </w:rPr>
        <w:t>[ADI 1.507 MC-AgR, rel. min. Carlos Velloso, j. 3-2-1997, P, DJ de 6-6-1997.]</w:t>
      </w:r>
    </w:p>
    <w:p>
      <w:pPr>
        <w:ind w:left="144"/>
      </w:pPr>
      <w:r>
        <w:rPr>
          <w:b/>
          <w:color w:val="B45A00"/>
          <w:sz w:val="16"/>
        </w:rPr>
        <w:t>JULGADOS CORRELATOS</w:t>
      </w:r>
    </w:p>
    <w:p>
      <w:pPr>
        <w:ind w:left="288"/>
      </w:pPr>
      <w:r>
        <w:rPr>
          <w:color w:val="8C8C8C"/>
          <w:sz w:val="12"/>
        </w:rPr>
        <w:t>cf-art-103-inc-IV</w:t>
      </w:r>
      <w:r>
        <w:rPr>
          <w:color w:val="003CA0"/>
          <w:sz w:val="12"/>
        </w:rPr>
        <w:t xml:space="preserve"> | RE 950.570</w:t>
      </w:r>
      <w:r>
        <w:rPr>
          <w:color w:val="003CA0"/>
          <w:sz w:val="12"/>
        </w:rPr>
        <w:t xml:space="preserve"> | rel. Edson Fachin</w:t>
      </w:r>
    </w:p>
    <w:p>
      <w:pPr>
        <w:ind w:left="288"/>
      </w:pPr>
      <w:r>
        <w:rPr>
          <w:color w:val="1E1E1E"/>
          <w:sz w:val="18"/>
        </w:rPr>
        <w:t>A legitimidade ativa para a propositura da ação direta de inconstitucionalidade, bem como dos recursos dela decorrentes, nos termos da CF (art. 103, III, da CF) e, por simetria, pela Constituição estadual (art. 90, II, da Constituição do Estado de São Paulo), pertence à Mesa da Câmara Municipal.</w:t>
        <w:br/>
        <w:t>[RE 950.570 AgR, rel. min. Edson Fachin, j. 1º-9-2017, 2ª T, DJE de 29-7-2017.]</w:t>
      </w:r>
    </w:p>
    <w:p>
      <w:pPr>
        <w:ind w:left="288"/>
      </w:pPr>
      <w:r>
        <w:rPr>
          <w:color w:val="8C8C8C"/>
          <w:sz w:val="12"/>
        </w:rPr>
        <w:t>cf-art-103-inc-V</w:t>
      </w:r>
      <w:r>
        <w:rPr>
          <w:color w:val="003CA0"/>
          <w:sz w:val="12"/>
        </w:rPr>
        <w:t xml:space="preserve"> | ADI 5.297</w:t>
      </w:r>
      <w:r>
        <w:rPr>
          <w:color w:val="003CA0"/>
          <w:sz w:val="12"/>
        </w:rPr>
        <w:t xml:space="preserve"> | rel. Luiz Fux</w:t>
      </w:r>
    </w:p>
    <w:p>
      <w:pPr>
        <w:ind w:left="288"/>
      </w:pPr>
      <w:r>
        <w:rPr>
          <w:color w:val="1E1E1E"/>
          <w:sz w:val="18"/>
        </w:rPr>
        <w:t>Decreto nº 5.194, de 11 de fevereiro de 2015, do Estado do Tocantins. Suspensão dos efeitos financeiros da Lei Estadual nº 2.853, de 9 de abril de 2014. Vedação ao chefe do poder executivo de expedir decreto para suspender a eficácia de ato normativo hierarquicamente superior. (...) Vigente a lei, é legítimo ao Executivo impugná-la perante o Poder Judiciário estadual ou perante o Supremo Tribunal Federal, no exercício de sua legitimidade para deflagrar o processo de controle concentrado de constitucionalidade (art. 103, V, da CRFB/88), que se dá de forma repressiva e na via judicial.</w:t>
      </w:r>
    </w:p>
    <w:p>
      <w:pPr>
        <w:ind w:left="288"/>
      </w:pPr>
      <w:r>
        <w:rPr>
          <w:b/>
          <w:color w:val="003CA0"/>
          <w:sz w:val="16"/>
        </w:rPr>
        <w:t>[ADI 5.297, rel. min. Luiz Fux, j. 14.08.2025, P, DJE de 04.12.2025.]</w:t>
      </w:r>
    </w:p>
    <w:p>
      <w:pPr>
        <w:ind w:left="144"/>
      </w:pPr>
      <w:r>
        <w:rPr>
          <w:b/>
          <w:color w:val="B45A00"/>
          <w:sz w:val="16"/>
        </w:rPr>
        <w:t>CONTROLE CONCENTRADO</w:t>
      </w:r>
    </w:p>
    <w:p>
      <w:pPr>
        <w:ind w:left="288"/>
      </w:pPr>
      <w:r>
        <w:rPr>
          <w:color w:val="8C8C8C"/>
          <w:sz w:val="12"/>
        </w:rPr>
        <w:t>cf-art-103-inc-V</w:t>
      </w:r>
      <w:r>
        <w:rPr>
          <w:color w:val="003CA0"/>
          <w:sz w:val="12"/>
        </w:rPr>
        <w:t xml:space="preserve"> | ADI 6.728</w:t>
      </w:r>
      <w:r>
        <w:rPr>
          <w:color w:val="003CA0"/>
          <w:sz w:val="12"/>
        </w:rPr>
        <w:t xml:space="preserve"> | rel. Edson Fachin</w:t>
      </w:r>
    </w:p>
    <w:p>
      <w:pPr>
        <w:ind w:left="288"/>
      </w:pPr>
      <w:r>
        <w:rPr>
          <w:color w:val="1E1E1E"/>
          <w:sz w:val="18"/>
        </w:rPr>
        <w:t>O afastamento cautelar de cargo de Governador de Estado, suspendendo o exercício das funções públicas respectivas, implica a ilegitimidade para a propositura de ação direta de inconstitucionalidade, na forma do art. 103, V, da Constituição da República.</w:t>
      </w:r>
    </w:p>
    <w:p>
      <w:pPr>
        <w:ind w:left="288"/>
      </w:pPr>
      <w:r>
        <w:rPr>
          <w:b/>
          <w:color w:val="003CA0"/>
          <w:sz w:val="16"/>
        </w:rPr>
        <w:t>[ADI 6.728 AgR, rel. min. Edson Fachin, j. 3-5-2021, P, DJE de 14-5-2021.]</w:t>
      </w:r>
    </w:p>
    <w:p>
      <w:pPr>
        <w:ind w:left="288"/>
      </w:pPr>
      <w:r>
        <w:rPr>
          <w:color w:val="8C8C8C"/>
          <w:sz w:val="12"/>
        </w:rPr>
        <w:t>cf-art-103-inc-V</w:t>
      </w:r>
      <w:r>
        <w:rPr>
          <w:color w:val="003CA0"/>
          <w:sz w:val="12"/>
        </w:rPr>
        <w:t xml:space="preserve"> | ADI 5.084</w:t>
      </w:r>
      <w:r>
        <w:rPr>
          <w:color w:val="003CA0"/>
          <w:sz w:val="12"/>
        </w:rPr>
        <w:t xml:space="preserve"> | rel. Rosa Weber</w:t>
      </w:r>
    </w:p>
    <w:p>
      <w:pPr>
        <w:ind w:left="288"/>
      </w:pPr>
      <w:r>
        <w:rPr>
          <w:color w:val="1E1E1E"/>
          <w:sz w:val="18"/>
        </w:rPr>
        <w:t>(...) na hipótese de ação direta proposta por autoridade cuja legitimação ativa tem supedâneo no art. 103, V, da Carta Política, cabe ao próprio Governador de Estado ou do Distrito Federal subscrever a petição inicial, sendo-lhe facultado fazê-lo isoladamente ou em conjunto com o Procurador-Geral do Estado ou advogado habilitado.</w:t>
      </w:r>
    </w:p>
    <w:p>
      <w:pPr>
        <w:ind w:left="288"/>
      </w:pPr>
      <w:r>
        <w:rPr>
          <w:b/>
          <w:color w:val="003CA0"/>
          <w:sz w:val="16"/>
        </w:rPr>
        <w:t>[ADI 5.084, rel. min. Rosa Weber, decisão monocrática, j. 20-2-2014, DJE de 25-2-2014.]</w:t>
      </w:r>
    </w:p>
    <w:p>
      <w:pPr>
        <w:ind w:left="288"/>
      </w:pPr>
      <w:r>
        <w:rPr>
          <w:color w:val="8C8C8C"/>
          <w:sz w:val="12"/>
        </w:rPr>
        <w:t>cf-art-103-inc-V</w:t>
      </w:r>
      <w:r>
        <w:rPr>
          <w:color w:val="003CA0"/>
          <w:sz w:val="12"/>
        </w:rPr>
        <w:t xml:space="preserve"> | ADI 2.906</w:t>
      </w:r>
      <w:r>
        <w:rPr>
          <w:color w:val="003CA0"/>
          <w:sz w:val="12"/>
        </w:rPr>
        <w:t xml:space="preserve"> | rel. Marco Aurélio</w:t>
      </w:r>
    </w:p>
    <w:p>
      <w:pPr>
        <w:ind w:left="288"/>
      </w:pPr>
      <w:r>
        <w:rPr>
          <w:color w:val="1E1E1E"/>
          <w:sz w:val="18"/>
        </w:rPr>
        <w:t>Descabe confundir a legitimidade para a propositura da ação direta de inconstitucionalidade com a capacidade postulatória. Quanto ao governador do Estado, cuja assinatura é dispensável na inicial, tem-na o procurador-geral do Estado.</w:t>
      </w:r>
    </w:p>
    <w:p>
      <w:pPr>
        <w:ind w:left="288"/>
      </w:pPr>
      <w:r>
        <w:rPr>
          <w:b/>
          <w:color w:val="003CA0"/>
          <w:sz w:val="16"/>
        </w:rPr>
        <w:t>[ADI 2.906, rel. min. Marco Aurélio, j. 1º-6-2011, P, DJE de 29-6-2011.]</w:t>
      </w:r>
    </w:p>
    <w:p>
      <w:pPr>
        <w:ind w:left="288"/>
      </w:pPr>
      <w:r>
        <w:rPr>
          <w:color w:val="8C8C8C"/>
          <w:sz w:val="12"/>
        </w:rPr>
        <w:t>cf-art-103-inc-V</w:t>
      </w:r>
      <w:r>
        <w:rPr>
          <w:color w:val="003CA0"/>
          <w:sz w:val="12"/>
        </w:rPr>
        <w:t xml:space="preserve"> | ADI 2.728</w:t>
      </w:r>
      <w:r>
        <w:rPr>
          <w:color w:val="003CA0"/>
          <w:sz w:val="12"/>
        </w:rPr>
        <w:t xml:space="preserve"> | rel. Marco Aurélio</w:t>
      </w:r>
    </w:p>
    <w:p>
      <w:pPr>
        <w:ind w:left="288"/>
      </w:pPr>
      <w:r>
        <w:rPr>
          <w:color w:val="1E1E1E"/>
          <w:sz w:val="18"/>
        </w:rPr>
        <w:t>A representação processual do governador do Estado no processo objetivo se faz por meio de credenciamento de advogado, descabendo colar a pessoalidade considerado aquele que, à época, era o chefe do Poder Executivo. Representação processual. Processo objetivo. Governador do Estado. Atua o legitimado para ação direta de inconstitucionalidade quer mediante advogado especialmente credenciado, quer via procurador do Estado, sendo dispensável, neste último caso, a juntada de instrumento de mandato.</w:t>
      </w:r>
    </w:p>
    <w:p>
      <w:pPr>
        <w:ind w:left="288"/>
      </w:pPr>
      <w:r>
        <w:rPr>
          <w:b/>
          <w:color w:val="003CA0"/>
          <w:sz w:val="16"/>
        </w:rPr>
        <w:t>[ADI 2.728 ED, rel. min. Marco Aurélio, j. 19-10-2006, P, DJ de 5-10-2007.]</w:t>
      </w:r>
    </w:p>
    <w:p>
      <w:pPr>
        <w:ind w:left="288"/>
      </w:pPr>
      <w:r>
        <w:rPr>
          <w:color w:val="8C8C8C"/>
          <w:sz w:val="12"/>
        </w:rPr>
        <w:t>cf-art-103-inc-V</w:t>
      </w:r>
      <w:r>
        <w:rPr>
          <w:color w:val="003CA0"/>
          <w:sz w:val="12"/>
        </w:rPr>
        <w:t xml:space="preserve"> | ADI 3.013</w:t>
      </w:r>
      <w:r>
        <w:rPr>
          <w:color w:val="003CA0"/>
          <w:sz w:val="12"/>
        </w:rPr>
        <w:t xml:space="preserve"> | rel. Ellen Gracie</w:t>
      </w:r>
    </w:p>
    <w:p>
      <w:pPr>
        <w:ind w:left="288"/>
      </w:pPr>
      <w:r>
        <w:rPr>
          <w:color w:val="1E1E1E"/>
          <w:sz w:val="18"/>
        </w:rPr>
        <w:t>Os Estados-membros da Federação não estão no rol dos legitimados a agir como sujeitos processuais em sede de controle concentrado de constitucionalidade, sendo indevida, no modelo de processo objetivo, a intervenção de terceiros subjetivamente interessados no feito.</w:t>
      </w:r>
    </w:p>
    <w:p>
      <w:pPr>
        <w:ind w:left="288"/>
      </w:pPr>
      <w:r>
        <w:rPr>
          <w:b/>
          <w:color w:val="003CA0"/>
          <w:sz w:val="16"/>
        </w:rPr>
        <w:t>[ADI 3.013 ED-AgR, rel. min. Ellen Gracie, j. 31-5-2006, P, DJ de 4-8-2006.]</w:t>
      </w:r>
    </w:p>
    <w:p>
      <w:pPr>
        <w:ind w:left="288"/>
      </w:pPr>
      <w:r>
        <w:rPr>
          <w:color w:val="8C8C8C"/>
          <w:sz w:val="12"/>
        </w:rPr>
        <w:t>cf-art-103-inc-V</w:t>
      </w:r>
      <w:r>
        <w:rPr>
          <w:color w:val="003CA0"/>
          <w:sz w:val="12"/>
        </w:rPr>
        <w:t xml:space="preserve"> | ADI 2.656</w:t>
      </w:r>
      <w:r>
        <w:rPr>
          <w:color w:val="003CA0"/>
          <w:sz w:val="12"/>
        </w:rPr>
        <w:t xml:space="preserve"> | rel. Maurício Corrêa</w:t>
      </w:r>
    </w:p>
    <w:p>
      <w:pPr>
        <w:ind w:left="288"/>
      </w:pPr>
      <w:r>
        <w:rPr>
          <w:color w:val="1E1E1E"/>
          <w:sz w:val="18"/>
        </w:rPr>
        <w:t>Lei editada pelo Governo do Estado de São Paulo. Ação direta de inconstitucionalidade proposta pelo governador do Estado de Goiás. Amianto crisotila. Restrições à sua comercialização imposta pela legislação paulista, com evidentes reflexos na economia de Goiás, Estado onde está localizada a maior reserva natural do minério. Legitimidade ativa do governador de Goiás para iniciar o processo de controle concentrado de constitucionalidade e pertinência temática.</w:t>
      </w:r>
    </w:p>
    <w:p>
      <w:pPr>
        <w:ind w:left="288"/>
      </w:pPr>
      <w:r>
        <w:rPr>
          <w:b/>
          <w:color w:val="003CA0"/>
          <w:sz w:val="16"/>
        </w:rPr>
        <w:t>[ADI 2.656, rel. min. Maurício Corrêa, j. 8-5-2003, P, DJ de 1º-8-2003.]</w:t>
      </w:r>
    </w:p>
    <w:p>
      <w:pPr>
        <w:ind w:left="288"/>
      </w:pPr>
      <w:r>
        <w:rPr>
          <w:color w:val="8C8C8C"/>
          <w:sz w:val="12"/>
        </w:rPr>
        <w:t>cf-art-103-inc-V</w:t>
      </w:r>
      <w:r>
        <w:rPr>
          <w:color w:val="003CA0"/>
          <w:sz w:val="12"/>
        </w:rPr>
        <w:t xml:space="preserve"> | ADI 2.130</w:t>
      </w:r>
      <w:r>
        <w:rPr>
          <w:color w:val="003CA0"/>
          <w:sz w:val="12"/>
        </w:rPr>
        <w:t xml:space="preserve"> | rel. Celso de Mello</w:t>
      </w:r>
    </w:p>
    <w:p>
      <w:pPr>
        <w:ind w:left="288"/>
      </w:pPr>
      <w:r>
        <w:rPr>
          <w:color w:val="1E1E1E"/>
          <w:sz w:val="18"/>
        </w:rPr>
        <w:t>O Estado-membro não possui legitimidade para recorrer em sede de controle normativo abstrato. O Estado-membro não dispõe de legitimidade para interpor recurso em sede de controle normativo abstrato, ainda que a ação direta de inconstitucionalidade tenha sido ajuizada pelo respectivo governador, a quem assiste a prerrogativa legal de recorrer contra as decisões proferidas pelo relator da causa (Lei 9.868/1999, art. 4º, parágrafo único) ou, excepcionalmente, contra aquelas emanadas do próprio Plenário do STF (Lei 9.868/1999, art. 26).</w:t>
      </w:r>
    </w:p>
    <w:p>
      <w:pPr>
        <w:ind w:left="288"/>
      </w:pPr>
      <w:r>
        <w:rPr>
          <w:b/>
          <w:color w:val="003CA0"/>
          <w:sz w:val="16"/>
        </w:rPr>
        <w:t>[ADI 2.130 AgR, rel. min. Celso de Mello, j. 3-10-2001, P, DJ de 14-12-2001.]</w:t>
      </w:r>
    </w:p>
    <w:p>
      <w:pPr>
        <w:ind w:left="288"/>
      </w:pPr>
      <w:r>
        <w:rPr>
          <w:color w:val="8C8C8C"/>
          <w:sz w:val="12"/>
        </w:rPr>
        <w:t>cf-art-103-inc-V</w:t>
      </w:r>
      <w:r>
        <w:rPr>
          <w:color w:val="003CA0"/>
          <w:sz w:val="12"/>
        </w:rPr>
        <w:t xml:space="preserve"> | RE 658.375</w:t>
      </w:r>
      <w:r>
        <w:rPr>
          <w:color w:val="003CA0"/>
          <w:sz w:val="12"/>
        </w:rPr>
        <w:t xml:space="preserve"> | rel. Celso de Mello</w:t>
      </w:r>
    </w:p>
    <w:p>
      <w:pPr>
        <w:ind w:left="288"/>
      </w:pPr>
      <w:r>
        <w:rPr>
          <w:color w:val="1E1E1E"/>
          <w:sz w:val="18"/>
        </w:rPr>
        <w:t>= RE 658.375 AgR, rel. min. Celso de Mello, j. 25-3-2014, 2ª T, DJE de 24-4-2014 Ação direta de inconstitucionalidade. Legitimidade ativa. Impossibilidade de o governador do Estado, que já figura como órgão requerido, passar à condição de litisconsorte ativo. Medida cautelar não requerida pelo autor. Pedido ulteriormente formulado pelo sujeito passivo da relação processual. Impossibilidade.</w:t>
      </w:r>
    </w:p>
    <w:p>
      <w:pPr>
        <w:ind w:left="288"/>
      </w:pPr>
      <w:r>
        <w:rPr>
          <w:b/>
          <w:color w:val="003CA0"/>
          <w:sz w:val="16"/>
        </w:rPr>
        <w:t>[ADI 807 QO, rel. min. Celso de Mello, j. 27-5-1993, P, DJ de 11-6-1993.]</w:t>
      </w:r>
    </w:p>
    <w:p>
      <w:pPr>
        <w:ind w:left="288"/>
      </w:pPr>
      <w:r>
        <w:rPr>
          <w:color w:val="8C8C8C"/>
          <w:sz w:val="12"/>
        </w:rPr>
        <w:t>cf-art-103-inc-VIII</w:t>
      </w:r>
      <w:r>
        <w:rPr>
          <w:color w:val="003CA0"/>
          <w:sz w:val="12"/>
        </w:rPr>
        <w:t xml:space="preserve"> | ADI 2.618</w:t>
      </w:r>
      <w:r>
        <w:rPr>
          <w:color w:val="003CA0"/>
          <w:sz w:val="12"/>
        </w:rPr>
        <w:t xml:space="preserve"> | rel. Gilmar Mendes</w:t>
      </w:r>
    </w:p>
    <w:p>
      <w:pPr>
        <w:ind w:left="288"/>
      </w:pPr>
      <w:r>
        <w:rPr>
          <w:color w:val="1E1E1E"/>
          <w:sz w:val="18"/>
        </w:rPr>
        <w:t>Partido político. Legitimidade ativa. Aferição no momento da sua propositura. Perda superveniente de representação parlamentar. Não desqualificação para permanecer no polo ativo da relação processual. Objetividade e indisponibilidade da ação.</w:t>
      </w:r>
    </w:p>
    <w:p>
      <w:pPr>
        <w:ind w:left="288"/>
      </w:pPr>
      <w:r>
        <w:rPr>
          <w:b/>
          <w:color w:val="003CA0"/>
          <w:sz w:val="16"/>
        </w:rPr>
        <w:t>[ADI 2.618 AgR-AgR, rel. min. Gilmar Mendes, j. 12-8-2004, P, DJ de 31-3-2006.]</w:t>
      </w:r>
    </w:p>
    <w:p>
      <w:pPr>
        <w:ind w:left="288"/>
      </w:pPr>
      <w:r>
        <w:rPr>
          <w:color w:val="8C8C8C"/>
          <w:sz w:val="12"/>
        </w:rPr>
        <w:t>cf-art-103-inc-VIII</w:t>
      </w:r>
      <w:r>
        <w:rPr>
          <w:color w:val="003CA0"/>
          <w:sz w:val="12"/>
        </w:rPr>
        <w:t xml:space="preserve"> | ADI 2.427</w:t>
      </w:r>
      <w:r>
        <w:rPr>
          <w:color w:val="003CA0"/>
          <w:sz w:val="12"/>
        </w:rPr>
        <w:t xml:space="preserve"> | rel. Eros Grau</w:t>
      </w:r>
    </w:p>
    <w:p>
      <w:pPr>
        <w:ind w:left="288"/>
      </w:pPr>
      <w:r>
        <w:rPr>
          <w:color w:val="1E1E1E"/>
          <w:sz w:val="18"/>
        </w:rPr>
        <w:t>= ADI 2.427, rel. min. Eros Grau, j. 30-8-2006, P, DJ de 10-11-2006 Legitimidade de agremiação partidária com representação no Congresso Nacional para deflagrar o processo de controle de constitucionalidade em tese. Inteligência do art. 103, VIII, da Magna Lei. Requisito da pertinência temática antecipadamente satisfeito pelo requerente.</w:t>
      </w:r>
    </w:p>
    <w:p>
      <w:pPr>
        <w:ind w:left="288"/>
      </w:pPr>
      <w:r>
        <w:rPr>
          <w:b/>
          <w:color w:val="003CA0"/>
          <w:sz w:val="16"/>
        </w:rPr>
        <w:t>[ADI 3.059 MC, rel. min. Ayres Britto, j. 15-4-2004, P, DJ de 20-8-2004.]</w:t>
      </w:r>
    </w:p>
    <w:p>
      <w:pPr>
        <w:ind w:left="288"/>
      </w:pPr>
      <w:r>
        <w:rPr>
          <w:color w:val="8C8C8C"/>
          <w:sz w:val="12"/>
        </w:rPr>
        <w:t>cf-art-103-inc-VIII</w:t>
      </w:r>
      <w:r>
        <w:rPr>
          <w:color w:val="003CA0"/>
          <w:sz w:val="12"/>
        </w:rPr>
        <w:t xml:space="preserve"> | ADI 1.528</w:t>
      </w:r>
      <w:r>
        <w:rPr>
          <w:color w:val="003CA0"/>
          <w:sz w:val="12"/>
        </w:rPr>
        <w:t xml:space="preserve"> | rel. Ellen Gracie</w:t>
      </w:r>
    </w:p>
    <w:p>
      <w:pPr>
        <w:ind w:left="288"/>
      </w:pPr>
      <w:r>
        <w:rPr>
          <w:color w:val="1E1E1E"/>
          <w:sz w:val="18"/>
        </w:rPr>
        <w:t>Ilegitimidade ativa ad causam de diretório regional ou executiva regional. Firmou a jurisprudência desta Corte o entendimento de que o partido político, para ajuizar ação direta de inconstitucionalidade perante o STF, deve estar representado por seu diretório nacional, ainda que o ato impugnado tenha sua amplitude normativa limitada ao Estado ou Município do qual se originou.</w:t>
      </w:r>
    </w:p>
    <w:p>
      <w:pPr>
        <w:ind w:left="288"/>
      </w:pPr>
      <w:r>
        <w:rPr>
          <w:b/>
          <w:color w:val="003CA0"/>
          <w:sz w:val="16"/>
        </w:rPr>
        <w:t>[ADI 1.528 QO, rel. min. Ellen Gracie, j. 24-5-2000, P, DJ de 23-8-2002.]</w:t>
      </w:r>
    </w:p>
    <w:p>
      <w:pPr>
        <w:ind w:left="288"/>
      </w:pPr>
      <w:r>
        <w:rPr>
          <w:color w:val="8C8C8C"/>
          <w:sz w:val="12"/>
        </w:rPr>
        <w:t>cf-art-103-inc-VIII</w:t>
      </w:r>
      <w:r>
        <w:rPr>
          <w:color w:val="003CA0"/>
          <w:sz w:val="12"/>
        </w:rPr>
        <w:t xml:space="preserve"> | ADI 1.407</w:t>
      </w:r>
      <w:r>
        <w:rPr>
          <w:color w:val="003CA0"/>
          <w:sz w:val="12"/>
        </w:rPr>
        <w:t xml:space="preserve"> | rel. Celso de Mello</w:t>
      </w:r>
    </w:p>
    <w:p>
      <w:pPr>
        <w:ind w:left="288"/>
      </w:pPr>
      <w:r>
        <w:rPr>
          <w:color w:val="1E1E1E"/>
          <w:sz w:val="18"/>
        </w:rPr>
        <w:t>Partido político. Ação direta. Legitimidade ativa. Inexigibilidade do vínculo de pertinência temática. Os partidos políticos, desde que possuam representação no Congresso Nacional, podem, em sede de controle abstrato, arguir, perante o STF, a inconstitucionalidade de atos normativos federais, estaduais ou distritais, independentemente de seu conteúdo material, eis que não incide sobre as agremiações partidárias a restrição jurisprudencial derivada do vínculo de pertinência temática.</w:t>
      </w:r>
    </w:p>
    <w:p>
      <w:pPr>
        <w:ind w:left="288"/>
      </w:pPr>
      <w:r>
        <w:rPr>
          <w:b/>
          <w:color w:val="003CA0"/>
          <w:sz w:val="16"/>
        </w:rPr>
        <w:t>[ADI 1.407 MC, rel. min. Celso de Mello, j. 7-3-1996, P, DJ de 24-11-2000.]</w:t>
      </w:r>
    </w:p>
    <w:p>
      <w:pPr>
        <w:ind w:left="288"/>
      </w:pPr>
      <w:r>
        <w:rPr>
          <w:color w:val="8C8C8C"/>
          <w:sz w:val="12"/>
        </w:rPr>
        <w:t>cf-art-103-inc-VIII</w:t>
      </w:r>
      <w:r>
        <w:rPr>
          <w:color w:val="003CA0"/>
          <w:sz w:val="12"/>
        </w:rPr>
        <w:t xml:space="preserve"> | ADI 779</w:t>
      </w:r>
      <w:r>
        <w:rPr>
          <w:color w:val="003CA0"/>
          <w:sz w:val="12"/>
        </w:rPr>
        <w:t xml:space="preserve"> | rel. Celso de Mello</w:t>
      </w:r>
    </w:p>
    <w:p>
      <w:pPr>
        <w:ind w:left="288"/>
      </w:pPr>
      <w:r>
        <w:rPr>
          <w:color w:val="1E1E1E"/>
          <w:sz w:val="18"/>
        </w:rPr>
        <w:t>A representação partidária perante o STF, nas ações diretas, constitui prerrogativa jurídico-processual do diretório nacional do partido político, que é – ressalvada deliberação em contrário dos estatutos partidários – o órgão de direção e de ação dessas entidades no plano nacional.</w:t>
      </w:r>
    </w:p>
    <w:p>
      <w:pPr>
        <w:ind w:left="288"/>
      </w:pPr>
      <w:r>
        <w:rPr>
          <w:b/>
          <w:color w:val="003CA0"/>
          <w:sz w:val="16"/>
        </w:rPr>
        <w:t>[ADI 779 AgR, rel. min. Celso de Mello, j. 8-10-1992, P, DJ de 11-3-1994.]</w:t>
      </w:r>
    </w:p>
    <w:p>
      <w:pPr>
        <w:ind w:left="288"/>
      </w:pPr>
      <w:r>
        <w:rPr>
          <w:color w:val="8C8C8C"/>
          <w:sz w:val="12"/>
        </w:rPr>
        <w:t>cf-art-103-inc-IX</w:t>
      </w:r>
      <w:r>
        <w:rPr>
          <w:color w:val="003CA0"/>
          <w:sz w:val="12"/>
        </w:rPr>
        <w:t xml:space="preserve"> | ADI 7.761</w:t>
      </w:r>
      <w:r>
        <w:rPr>
          <w:color w:val="003CA0"/>
          <w:sz w:val="12"/>
        </w:rPr>
        <w:t xml:space="preserve"> | rel. Flávio Dino</w:t>
      </w:r>
    </w:p>
    <w:p>
      <w:pPr>
        <w:ind w:left="288"/>
      </w:pPr>
      <w:r>
        <w:rPr>
          <w:color w:val="1E1E1E"/>
          <w:sz w:val="18"/>
        </w:rPr>
        <w:t>Para a satisfação do requisito da espacialidade, não se mostra suficiente a participação da entidade em convenções nacionais, audiências públicas ou fóruns de debate, porquanto é da natureza desses eventos reunir debatedores — nacionais e estrangeiros — oriundos de regiões diversas e de setores distintos, tais como docentes, pesquisadores, educadores, empreendedores e agentes públicos e privados. A presença desses profissionais nas discussões, entretanto, não estabelece, por si só, qualquer vínculo institucional com o Estado em que o evento é realizado. A simples dispersão geográfica de associ</w:t>
      </w:r>
    </w:p>
    <w:p>
      <w:pPr>
        <w:ind w:left="288"/>
      </w:pPr>
      <w:r>
        <w:rPr>
          <w:b/>
          <w:color w:val="003CA0"/>
          <w:sz w:val="16"/>
        </w:rPr>
        <w:t>[ADPF 1.277 AgR, rel. min. Flávio Dino, j. 16-12-2025, P, DJE de 19-1-2026.]</w:t>
      </w:r>
    </w:p>
    <w:p>
      <w:pPr>
        <w:ind w:left="288"/>
      </w:pPr>
      <w:r>
        <w:rPr>
          <w:color w:val="8C8C8C"/>
          <w:sz w:val="12"/>
        </w:rPr>
        <w:t>cf-art-103-inc-IX</w:t>
      </w:r>
      <w:r>
        <w:rPr>
          <w:color w:val="003CA0"/>
          <w:sz w:val="12"/>
        </w:rPr>
        <w:t xml:space="preserve"> | ADPF 264</w:t>
      </w:r>
      <w:r>
        <w:rPr>
          <w:color w:val="003CA0"/>
          <w:sz w:val="12"/>
        </w:rPr>
        <w:t xml:space="preserve"> | rel. Dias Toffoli</w:t>
      </w:r>
    </w:p>
    <w:p>
      <w:pPr>
        <w:ind w:left="288"/>
      </w:pPr>
      <w:r>
        <w:rPr>
          <w:color w:val="1E1E1E"/>
          <w:sz w:val="18"/>
        </w:rPr>
        <w:t>Os conselhos de fiscalização profissional têm como função precípua o controle e a fiscalização do exercício das profissões regulamentadas, exercendo, portanto, poder de polícia, atividade típica de Estado, razão pela qual detêm personalidade jurídica de direito público, na forma de autarquias. Sendo assim, tais conselhos não se ajustam à noção de entidade de classe, expressão que designa tão somente aquelas entidades vocacionadas à defesa dos interesses dos membros da respectiva categoria ou classe de profissionais.</w:t>
      </w:r>
    </w:p>
    <w:p>
      <w:pPr>
        <w:ind w:left="288"/>
      </w:pPr>
      <w:r>
        <w:rPr>
          <w:b/>
          <w:color w:val="003CA0"/>
          <w:sz w:val="16"/>
        </w:rPr>
        <w:t>[ADPF 264 AgR, rel. min. Dias Toffoli, j. 18-12-2014, P, DJE de 25-2-2015.]</w:t>
      </w:r>
    </w:p>
    <w:p>
      <w:pPr>
        <w:ind w:left="288"/>
      </w:pPr>
      <w:r>
        <w:rPr>
          <w:color w:val="8C8C8C"/>
          <w:sz w:val="12"/>
        </w:rPr>
        <w:t>cf-art-103-inc-IX</w:t>
      </w:r>
      <w:r>
        <w:rPr>
          <w:color w:val="003CA0"/>
          <w:sz w:val="12"/>
        </w:rPr>
        <w:t xml:space="preserve"> | ADI 4.701</w:t>
      </w:r>
      <w:r>
        <w:rPr>
          <w:color w:val="003CA0"/>
          <w:sz w:val="12"/>
        </w:rPr>
        <w:t xml:space="preserve"> | rel. Roberto Barroso</w:t>
      </w:r>
    </w:p>
    <w:p>
      <w:pPr>
        <w:ind w:left="288"/>
      </w:pPr>
      <w:r>
        <w:rPr>
          <w:color w:val="1E1E1E"/>
          <w:sz w:val="18"/>
        </w:rPr>
        <w:t>Ação direta de inconstitucionalidade. Lei estadual que fixa prazos máximos, segundo a faixa etária dos usuários, para a autorização de exames pelas operadoras de plano de saúde. Encontra-se caracterizado o direito de propositura. Os associados da requerente estão unidos pela comunhão de interesses em relação a um objeto específico (prestação do serviço de assistência suplementar à saúde na modalidade autogestão). Esse elemento caracteriza a unidade de propósito na representação associativa, afastando a excessiva generalidade que, segundo esta Corte, impediria o conhecimento da ação.</w:t>
      </w:r>
    </w:p>
    <w:p>
      <w:pPr>
        <w:ind w:left="288"/>
      </w:pPr>
      <w:r>
        <w:rPr>
          <w:b/>
          <w:color w:val="003CA0"/>
          <w:sz w:val="16"/>
        </w:rPr>
        <w:t>[ADI 4.701, rel. min. Roberto Barroso, j. 13-8-2014, P, DJE de 25-8-2014.]</w:t>
      </w:r>
    </w:p>
    <w:p>
      <w:pPr>
        <w:ind w:left="288"/>
      </w:pPr>
      <w:r>
        <w:rPr>
          <w:color w:val="8C8C8C"/>
          <w:sz w:val="12"/>
        </w:rPr>
        <w:t>cf-art-103-inc-IX</w:t>
      </w:r>
      <w:r>
        <w:rPr>
          <w:color w:val="003CA0"/>
          <w:sz w:val="12"/>
        </w:rPr>
        <w:t xml:space="preserve"> | ADI 4.029</w:t>
      </w:r>
      <w:r>
        <w:rPr>
          <w:color w:val="003CA0"/>
          <w:sz w:val="12"/>
        </w:rPr>
        <w:t xml:space="preserve"> | rel. Luiz Fux</w:t>
      </w:r>
    </w:p>
    <w:p>
      <w:pPr>
        <w:ind w:left="288"/>
      </w:pPr>
      <w:r>
        <w:rPr>
          <w:color w:val="1E1E1E"/>
          <w:sz w:val="18"/>
        </w:rPr>
        <w:t>Ação direta de inconstitucionalidade. Lei federal 11.516/2007. Criação do Instituto Chico Mendes de Conservação da Biodiversidade. Legitimidade da Associação Nacional dos Servidores do Ibama. (...) A democracia participativa delineada pela Carta de 1988 se baseia na generalização e profusão das vias de participação dos cidadãos nos provimentos estatais, por isso que é de se conjurar uma exegese demasiadamente restritiva do conceito de "entidade de classe de âmbito nacional" previsto no art. 103, IX, da CRFB. A participação da sociedade civil organizada nos processos de controle abstrato de con</w:t>
      </w:r>
    </w:p>
    <w:p>
      <w:pPr>
        <w:ind w:left="288"/>
      </w:pPr>
      <w:r>
        <w:rPr>
          <w:b/>
          <w:color w:val="003CA0"/>
          <w:sz w:val="16"/>
        </w:rPr>
        <w:t>[ADI 4.029, rel. min. Luiz Fux, j. 8-3-2012, P, DJE de 27-6-2012.]</w:t>
      </w:r>
    </w:p>
    <w:p>
      <w:pPr>
        <w:ind w:left="288"/>
      </w:pPr>
      <w:r>
        <w:rPr>
          <w:color w:val="8C8C8C"/>
          <w:sz w:val="12"/>
        </w:rPr>
        <w:t>cf-art-103-inc-IX</w:t>
      </w:r>
      <w:r>
        <w:rPr>
          <w:color w:val="003CA0"/>
          <w:sz w:val="12"/>
        </w:rPr>
        <w:t xml:space="preserve"> | ADI 4.224</w:t>
      </w:r>
      <w:r>
        <w:rPr>
          <w:color w:val="003CA0"/>
          <w:sz w:val="12"/>
        </w:rPr>
        <w:t xml:space="preserve"> | rel. Dias Toffoli</w:t>
      </w:r>
    </w:p>
    <w:p>
      <w:pPr>
        <w:ind w:left="288"/>
      </w:pPr>
      <w:r>
        <w:rPr>
          <w:color w:val="1E1E1E"/>
          <w:sz w:val="18"/>
        </w:rPr>
        <w:t>União Geral dos Trabalhadores (UGT). (...) Mantida a decisão de reconhecimento da inaptidão da agravante para instaurar controle abstrato de normas, visto não se amoldar à hipótese de legitimação prevista no art. 103, IX, "parte inicial", da CF. Muito embora ocorrido o reconhecimento formal das centrais sindicais com a edição da Lei 11.648/2008, a norma não teve o condão de equipará-las às confederações, de modo a sobrelevá-las a um patamar hierárquico superior na estrutura sindical. Ao contrário, criou-se um modelo paralelo de representação, figurando as centrais sindicais como patrocinadoras</w:t>
      </w:r>
    </w:p>
    <w:p>
      <w:pPr>
        <w:ind w:left="288"/>
      </w:pPr>
      <w:r>
        <w:rPr>
          <w:b/>
          <w:color w:val="003CA0"/>
          <w:sz w:val="16"/>
        </w:rPr>
        <w:t>[ADI 4.224 AgR, rel. min. Dias Toffoli, j. 1º-8-2011, P, DJE de 8-9-2011.]</w:t>
      </w:r>
    </w:p>
    <w:p>
      <w:pPr>
        <w:ind w:left="288"/>
      </w:pPr>
      <w:r>
        <w:rPr>
          <w:color w:val="8C8C8C"/>
          <w:sz w:val="12"/>
        </w:rPr>
        <w:t>cf-art-103-inc-IX</w:t>
      </w:r>
      <w:r>
        <w:rPr>
          <w:color w:val="003CA0"/>
          <w:sz w:val="12"/>
        </w:rPr>
        <w:t xml:space="preserve"> | ADI 4.462</w:t>
      </w:r>
      <w:r>
        <w:rPr>
          <w:color w:val="003CA0"/>
          <w:sz w:val="12"/>
        </w:rPr>
        <w:t xml:space="preserve"> | rel. Cármen Lúcia</w:t>
      </w:r>
    </w:p>
    <w:p>
      <w:pPr>
        <w:ind w:left="288"/>
      </w:pPr>
      <w:r>
        <w:rPr>
          <w:color w:val="1E1E1E"/>
          <w:sz w:val="18"/>
        </w:rPr>
        <w:t>A Associação Nacional dos Magistrados Estaduais (ANAMAGES) não tem legitimidade para propor ação direta de inconstitucionalidade contra norma de interesse de toda a magistratura. É legítima, todavia, para a propositura de ação direta contra norma de interesse da magistratura de determinado Estado-membro da Federação.</w:t>
      </w:r>
    </w:p>
    <w:p>
      <w:pPr>
        <w:ind w:left="288"/>
      </w:pPr>
      <w:r>
        <w:rPr>
          <w:b/>
          <w:color w:val="003CA0"/>
          <w:sz w:val="16"/>
        </w:rPr>
        <w:t>[ADI 4.462 MC, rel. min. Cármen Lúcia, j. 29-6-2011, P, DJE de 16-11-2011.]</w:t>
      </w:r>
    </w:p>
    <w:p>
      <w:pPr>
        <w:ind w:left="288"/>
      </w:pPr>
      <w:r>
        <w:rPr>
          <w:color w:val="8C8C8C"/>
          <w:sz w:val="12"/>
        </w:rPr>
        <w:t>cf-art-103-inc-IX</w:t>
      </w:r>
      <w:r>
        <w:rPr>
          <w:color w:val="003CA0"/>
          <w:sz w:val="12"/>
        </w:rPr>
        <w:t xml:space="preserve"> | ADI 1.804</w:t>
      </w:r>
      <w:r>
        <w:rPr>
          <w:color w:val="003CA0"/>
          <w:sz w:val="12"/>
        </w:rPr>
        <w:t xml:space="preserve"> | rel. Dias Toffoli</w:t>
      </w:r>
    </w:p>
    <w:p>
      <w:pPr>
        <w:ind w:left="288"/>
      </w:pPr>
      <w:r>
        <w:rPr>
          <w:color w:val="1E1E1E"/>
          <w:sz w:val="18"/>
        </w:rPr>
        <w:t>Caracterização da Abimaq como entidade de classe de âmbito nacional. O novo estatuto social prevê que a associação é composta apenas por entidades singulares de natureza empresarial, com classe econômica bem definida, não mais restando caracterizada a heterogeneidade de sua composição, que impedira o conhecimento da ADI 1.804/RS. Prova, nos autos, da composição associativa ampla, estando presente a associação em mais de nove Estados da Federação. Cumprimento da exigência da pertinência temática, ante a existência de correlação entre o objeto do pedido de declaração de inconstitucionalidade e o</w:t>
      </w:r>
    </w:p>
    <w:p>
      <w:pPr>
        <w:ind w:left="288"/>
      </w:pPr>
      <w:r>
        <w:rPr>
          <w:b/>
          <w:color w:val="003CA0"/>
          <w:sz w:val="16"/>
        </w:rPr>
        <w:t>[ADI 3.702, rel. min. Dias Toffoli, j. 1º-6-2011, P, DJE de 30-8-2011.]</w:t>
      </w:r>
    </w:p>
    <w:p>
      <w:pPr>
        <w:ind w:left="288"/>
      </w:pPr>
      <w:r>
        <w:rPr>
          <w:color w:val="8C8C8C"/>
          <w:sz w:val="12"/>
        </w:rPr>
        <w:t>cf-art-103-inc-IX</w:t>
      </w:r>
      <w:r>
        <w:rPr>
          <w:color w:val="003CA0"/>
          <w:sz w:val="12"/>
        </w:rPr>
        <w:t xml:space="preserve"> | ADI 3.413</w:t>
      </w:r>
      <w:r>
        <w:rPr>
          <w:color w:val="003CA0"/>
          <w:sz w:val="12"/>
        </w:rPr>
        <w:t xml:space="preserve"> | rel. Marco Aurélio</w:t>
      </w:r>
    </w:p>
    <w:p>
      <w:pPr>
        <w:ind w:left="288"/>
      </w:pPr>
      <w:r>
        <w:rPr>
          <w:color w:val="1E1E1E"/>
          <w:sz w:val="18"/>
        </w:rPr>
        <w:t>O fato de a associação requerente congregar diversos segmentos existentes no mercado não a descredencia para a propositura da ação direta de inconstitucionalidade – evolução da jurisprudência. (...) Surge a pertinência temática, presente ajuizamento de ação direta de inconstitucionalidade por associação, quando esta congrega setor econômico que é alcançado, em termos de tributo, pela norma atacada.</w:t>
      </w:r>
    </w:p>
    <w:p>
      <w:pPr>
        <w:ind w:left="288"/>
      </w:pPr>
      <w:r>
        <w:rPr>
          <w:b/>
          <w:color w:val="003CA0"/>
          <w:sz w:val="16"/>
        </w:rPr>
        <w:t>[ADI 3.413, rel. min. Marco Aurélio, j. 1º-6-2011, P, DJE de 1º-8-2011.]</w:t>
      </w:r>
    </w:p>
    <w:p>
      <w:pPr>
        <w:ind w:left="288"/>
      </w:pPr>
      <w:r>
        <w:rPr>
          <w:color w:val="8C8C8C"/>
          <w:sz w:val="12"/>
        </w:rPr>
        <w:t>cf-art-103-inc-IX</w:t>
      </w:r>
      <w:r>
        <w:rPr>
          <w:color w:val="003CA0"/>
          <w:sz w:val="12"/>
        </w:rPr>
        <w:t xml:space="preserve"> | ADI 3.617</w:t>
      </w:r>
      <w:r>
        <w:rPr>
          <w:color w:val="003CA0"/>
          <w:sz w:val="12"/>
        </w:rPr>
        <w:t xml:space="preserve"> | rel. Cezar Peluso</w:t>
      </w:r>
    </w:p>
    <w:p>
      <w:pPr>
        <w:ind w:left="288"/>
      </w:pPr>
      <w:r>
        <w:rPr>
          <w:color w:val="1E1E1E"/>
          <w:sz w:val="18"/>
        </w:rPr>
        <w:t>Carece de legitimação para propor ação direta de inconstitucionalidade a entidade de classe que, embora de âmbito estatutário nacional, não tenha representação em, pelo menos, nove Estados da Federação, nem represente toda a categoria profissional, cujos interesses pretenda tutelar.</w:t>
      </w:r>
    </w:p>
    <w:p>
      <w:pPr>
        <w:ind w:left="288"/>
      </w:pPr>
      <w:r>
        <w:rPr>
          <w:b/>
          <w:color w:val="003CA0"/>
          <w:sz w:val="16"/>
        </w:rPr>
        <w:t>[ADI 3.617 AgR, rel. min. Cezar Peluso, j. 25-5-2011, P, DJE de 1º-7-2011.]</w:t>
      </w:r>
    </w:p>
    <w:p>
      <w:pPr>
        <w:ind w:left="288"/>
      </w:pPr>
      <w:r>
        <w:rPr>
          <w:color w:val="8C8C8C"/>
          <w:sz w:val="12"/>
        </w:rPr>
        <w:t>cf-art-103-inc-IX</w:t>
      </w:r>
      <w:r>
        <w:rPr>
          <w:color w:val="003CA0"/>
          <w:sz w:val="12"/>
        </w:rPr>
        <w:t xml:space="preserve"> | ADI 4.230</w:t>
      </w:r>
      <w:r>
        <w:rPr>
          <w:color w:val="003CA0"/>
          <w:sz w:val="12"/>
        </w:rPr>
        <w:t xml:space="preserve"> | rel. Dias Toffoli</w:t>
      </w:r>
    </w:p>
    <w:p>
      <w:pPr>
        <w:ind w:left="288"/>
      </w:pPr>
      <w:r>
        <w:rPr>
          <w:color w:val="1E1E1E"/>
          <w:sz w:val="18"/>
        </w:rPr>
        <w:t>= ADI 4.230 AgR, rel. min. Dias Toffoli, j. 1º-8-2011, P, DJE de 14-9-2011 A Associação dos Delegados de Polícia do Brasil tem legitimidade para a propositura da ação direta, pois constitui entidade de classe de âmbito nacional, congregadora de "todos os delegados de polícia de carreira do País, para defesa de suas prerrogativas, direitos e interesses" (inciso IX do art. 103 da CF).</w:t>
      </w:r>
    </w:p>
    <w:p>
      <w:pPr>
        <w:ind w:left="288"/>
      </w:pPr>
      <w:r>
        <w:rPr>
          <w:b/>
          <w:color w:val="003CA0"/>
          <w:sz w:val="16"/>
        </w:rPr>
        <w:t>[ADI 3.288, rel. min. Ayres Britto, j. 13-10-2010, P, DJE de 24-2-2011.]</w:t>
      </w:r>
    </w:p>
    <w:p>
      <w:pPr>
        <w:ind w:left="288"/>
      </w:pPr>
      <w:r>
        <w:rPr>
          <w:color w:val="8C8C8C"/>
          <w:sz w:val="12"/>
        </w:rPr>
        <w:t>cf-art-103-inc-IX</w:t>
      </w:r>
      <w:r>
        <w:rPr>
          <w:color w:val="003CA0"/>
          <w:sz w:val="12"/>
        </w:rPr>
        <w:t xml:space="preserve"> | ADI 3.469</w:t>
      </w:r>
      <w:r>
        <w:rPr>
          <w:color w:val="003CA0"/>
          <w:sz w:val="12"/>
        </w:rPr>
        <w:t xml:space="preserve"> | rel. Gilmar Mendes</w:t>
      </w:r>
    </w:p>
    <w:p>
      <w:pPr>
        <w:ind w:left="288"/>
      </w:pPr>
      <w:r>
        <w:rPr>
          <w:color w:val="1E1E1E"/>
          <w:sz w:val="18"/>
        </w:rPr>
        <w:t>=  ADI 3.469, rel. min. Gilmar Mendes, j. 16-9-2010, P, DJE de 28-2-2011 (...) o âmbito temático da presente arguição de descumprimento de preceito fundamental, que impugna – além da "interpretação judicial dada pelo TSE ao texto do § 9º do art. 14 da CF, com a redação dada pela EC de revisão 4/1994" (...) – também a LC 64/1990, especificamente no ponto em que esta exige, para efeito de reconhecimento de inelegibilidade, trânsito em julgado para determinadas decisões (art. 1º, I, d, e e h, e art. 15), ou, então, que acolhe ressalva alegadamente descaracterizadora da situação de inelegibilidade</w:t>
      </w:r>
    </w:p>
    <w:p>
      <w:pPr>
        <w:ind w:left="288"/>
      </w:pPr>
      <w:r>
        <w:rPr>
          <w:b/>
          <w:color w:val="003CA0"/>
          <w:sz w:val="16"/>
        </w:rPr>
        <w:t>[ADPF 144, voto do rel. min. Celso de Mello, j. 6-8-2008, P, DJE de 26-2-2010.]</w:t>
      </w:r>
    </w:p>
    <w:p>
      <w:pPr>
        <w:ind w:left="288"/>
      </w:pPr>
      <w:r>
        <w:rPr>
          <w:color w:val="8C8C8C"/>
          <w:sz w:val="12"/>
        </w:rPr>
        <w:t>cf-art-103-inc-IX</w:t>
      </w:r>
      <w:r>
        <w:rPr>
          <w:color w:val="003CA0"/>
          <w:sz w:val="12"/>
        </w:rPr>
        <w:t xml:space="preserve"> | ADI 1.336</w:t>
      </w:r>
      <w:r>
        <w:rPr>
          <w:color w:val="003CA0"/>
          <w:sz w:val="12"/>
        </w:rPr>
        <w:t xml:space="preserve"> | rel. Cármen Lúcia</w:t>
      </w:r>
    </w:p>
    <w:p>
      <w:pPr>
        <w:ind w:left="288"/>
      </w:pPr>
      <w:r>
        <w:rPr>
          <w:color w:val="1E1E1E"/>
          <w:sz w:val="18"/>
        </w:rPr>
        <w:t>A associação embargante apresenta, após o julgamento da ação direta de inconstitucionalidade que dela não conheceu em face de sua ilegitimidade ativa, seu novo estatuto social para, diante da nova composição de seu quadro associativo, superar a ilegitimidade originária. Impossibilidade de se apreciar a alegada legitimidade em razão de sua nova configuração em momento posterior ao julgamento da presente ação direta de inconstitucionalidade.</w:t>
      </w:r>
    </w:p>
    <w:p>
      <w:pPr>
        <w:ind w:left="288"/>
      </w:pPr>
      <w:r>
        <w:rPr>
          <w:b/>
          <w:color w:val="003CA0"/>
          <w:sz w:val="16"/>
        </w:rPr>
        <w:t>[ADI 1.336 ED-ED, rel. min. Cármen Lúcia, j. 9-8-2006, P, DJ de 18-5-2007.]</w:t>
      </w:r>
    </w:p>
    <w:p>
      <w:pPr>
        <w:ind w:left="288"/>
      </w:pPr>
      <w:r>
        <w:rPr>
          <w:color w:val="8C8C8C"/>
          <w:sz w:val="12"/>
        </w:rPr>
        <w:t>cf-art-103-inc-IX</w:t>
      </w:r>
      <w:r>
        <w:rPr>
          <w:color w:val="003CA0"/>
          <w:sz w:val="12"/>
        </w:rPr>
        <w:t xml:space="preserve"> | ADI 2.903</w:t>
      </w:r>
      <w:r>
        <w:rPr>
          <w:color w:val="003CA0"/>
          <w:sz w:val="12"/>
        </w:rPr>
        <w:t xml:space="preserve"> | rel. Celso de Mello</w:t>
      </w:r>
    </w:p>
    <w:p>
      <w:pPr>
        <w:ind w:left="288"/>
      </w:pPr>
      <w:r>
        <w:rPr>
          <w:color w:val="1E1E1E"/>
          <w:sz w:val="18"/>
        </w:rPr>
        <w:t>A Associação Nacional dos Defensores Públicos (ANADEP) dispõe de legitimidade ativa ad causam para fazer instaurar processo de controle normativo abstrato em face de atos estatais, como a legislação pertinente à Defensoria Pública, cujo conteúdo guarde relação de pertinência temática com as finalidades institucionais dessa entidade de classe de âmbito nacional.</w:t>
      </w:r>
    </w:p>
    <w:p>
      <w:pPr>
        <w:ind w:left="288"/>
      </w:pPr>
      <w:r>
        <w:rPr>
          <w:b/>
          <w:color w:val="003CA0"/>
          <w:sz w:val="16"/>
        </w:rPr>
        <w:t>[ADI 2.903, rel. min. Celso de Mello, j. 1º-12-2005, P, DJE de 19-9-2008.]</w:t>
      </w:r>
    </w:p>
    <w:p>
      <w:pPr>
        <w:ind w:left="288"/>
      </w:pPr>
      <w:r>
        <w:rPr>
          <w:color w:val="8C8C8C"/>
          <w:sz w:val="12"/>
        </w:rPr>
        <w:t>cf-art-103-inc-IX</w:t>
      </w:r>
      <w:r>
        <w:rPr>
          <w:color w:val="003CA0"/>
          <w:sz w:val="12"/>
        </w:rPr>
        <w:t xml:space="preserve"> | ADI 920</w:t>
      </w:r>
      <w:r>
        <w:rPr>
          <w:color w:val="003CA0"/>
          <w:sz w:val="12"/>
        </w:rPr>
        <w:t xml:space="preserve"> | rel. Francisco Rezek</w:t>
      </w:r>
    </w:p>
    <w:p>
      <w:pPr>
        <w:ind w:left="288"/>
      </w:pPr>
      <w:r>
        <w:rPr>
          <w:color w:val="1E1E1E"/>
          <w:sz w:val="18"/>
        </w:rPr>
        <w:t>A agravante busca demonstrar sua legitimidade ativa mesclando indevidamente duas das hipóteses de legitimação previstas no art. 103 da CF. Porém, sua inequívoca natureza sindical a exclui, peremptoriamente, das demais categorias de associação de âmbito nacional. Precedentes: ADI 920 MC, rel. min. Francisco Rezek, DJ de 11-4-1997, ADI 1.149 AgR, rel. min. Ilmar Galvão, DJ de 6-10-1995, ADI 275, rel. min. Moreira Alves, DJ de 22-2-1991 e ADI 378, rel. min. Sydney Sanches, DJ de 19-2-1993. Não se tratando de confederação sindical organizada na forma da lei, mas de entidade sindical de segundo gra</w:t>
      </w:r>
    </w:p>
    <w:p>
      <w:pPr>
        <w:ind w:left="288"/>
      </w:pPr>
      <w:r>
        <w:rPr>
          <w:b/>
          <w:color w:val="003CA0"/>
          <w:sz w:val="16"/>
        </w:rPr>
        <w:t>[ADI 3.506 AgR, rel. min. Ellen Gracie, j. 8-9-2005, P, DJ de 30-9-2005.]</w:t>
      </w:r>
    </w:p>
    <w:p>
      <w:pPr>
        <w:ind w:left="288"/>
      </w:pPr>
      <w:r>
        <w:rPr>
          <w:color w:val="8C8C8C"/>
          <w:sz w:val="12"/>
        </w:rPr>
        <w:t>cf-art-103-inc-IX</w:t>
      </w:r>
      <w:r>
        <w:rPr>
          <w:color w:val="003CA0"/>
          <w:sz w:val="12"/>
        </w:rPr>
        <w:t xml:space="preserve"> | ADI 4.361</w:t>
      </w:r>
      <w:r>
        <w:rPr>
          <w:color w:val="003CA0"/>
          <w:sz w:val="12"/>
        </w:rPr>
        <w:t xml:space="preserve"> | rel. Luiz Fux</w:t>
      </w:r>
    </w:p>
    <w:p>
      <w:pPr>
        <w:ind w:left="288"/>
      </w:pPr>
      <w:r>
        <w:rPr>
          <w:color w:val="1E1E1E"/>
          <w:sz w:val="18"/>
        </w:rPr>
        <w:t>= ADI 4.361 AgR, rel. min. Luiz Fux, j. 1º-12-2011, P, DJE de 1º-2-2012 Ação direta de inconstitucionalidade. Ausência de legitimidade ativa de central sindical (CUT).</w:t>
      </w:r>
    </w:p>
    <w:p>
      <w:pPr>
        <w:ind w:left="288"/>
      </w:pPr>
      <w:r>
        <w:rPr>
          <w:b/>
          <w:color w:val="003CA0"/>
          <w:sz w:val="16"/>
        </w:rPr>
        <w:t>[ADI 1.442, rel. min. Celso de Mello, j. 3-11-2004, P, DJ de 29-4-2005.]</w:t>
      </w:r>
    </w:p>
    <w:p>
      <w:pPr>
        <w:ind w:left="288"/>
      </w:pPr>
      <w:r>
        <w:rPr>
          <w:color w:val="8C8C8C"/>
          <w:sz w:val="12"/>
        </w:rPr>
        <w:t>cf-art-103-inc-IX</w:t>
      </w:r>
      <w:r>
        <w:rPr>
          <w:color w:val="003CA0"/>
          <w:sz w:val="12"/>
        </w:rPr>
        <w:t xml:space="preserve"> | ADI 3.153</w:t>
      </w:r>
      <w:r>
        <w:rPr>
          <w:color w:val="003CA0"/>
          <w:sz w:val="12"/>
        </w:rPr>
        <w:t xml:space="preserve"> | rel. Sepúlveda Pertence</w:t>
      </w:r>
    </w:p>
    <w:p>
      <w:pPr>
        <w:ind w:left="288"/>
      </w:pPr>
      <w:r>
        <w:rPr>
          <w:color w:val="1E1E1E"/>
          <w:sz w:val="18"/>
        </w:rPr>
        <w:t xml:space="preserve">Ação direta de inconstitucionalidade: legitimação ativa: "entidade de classe de âmbito nacional": compreensão da "associação de associações" de classe: revisão da jurisprudência do Supremo Tribunal. O conceito de entidade de classe é dado pelo objetivo institucional classista, pouco importando que a eles diretamente se filiem os membros da respectiva categoria social ou agremiações que os congreguem, com a mesma finalidade, em âmbito territorial mais restrito. É entidade de classe de âmbito nacional – como tal legitimada à propositura da ação direta de inconstitucionalidade (CF, art. 103, IX) </w:t>
      </w:r>
    </w:p>
    <w:p>
      <w:pPr>
        <w:ind w:left="288"/>
      </w:pPr>
      <w:r>
        <w:rPr>
          <w:b/>
          <w:color w:val="003CA0"/>
          <w:sz w:val="16"/>
        </w:rPr>
        <w:t>[ADI 3.153 AgR, rel. min. Sepúlveda Pertence, j. 12-8-2004, P, DJ de 9-9-2005.]</w:t>
      </w:r>
    </w:p>
    <w:p>
      <w:pPr>
        <w:ind w:left="288"/>
      </w:pPr>
      <w:r>
        <w:rPr>
          <w:color w:val="8C8C8C"/>
          <w:sz w:val="12"/>
        </w:rPr>
        <w:t>cf-art-103-inc-IX</w:t>
      </w:r>
      <w:r>
        <w:rPr>
          <w:color w:val="003CA0"/>
          <w:sz w:val="12"/>
        </w:rPr>
        <w:t xml:space="preserve"> | ADI 2.797</w:t>
      </w:r>
      <w:r>
        <w:rPr>
          <w:color w:val="003CA0"/>
          <w:sz w:val="12"/>
        </w:rPr>
        <w:t xml:space="preserve"> | rel. Sepúlveda Pertence</w:t>
      </w:r>
    </w:p>
    <w:p>
      <w:pPr>
        <w:ind w:left="288"/>
      </w:pPr>
      <w:r>
        <w:rPr>
          <w:color w:val="1E1E1E"/>
          <w:sz w:val="18"/>
        </w:rPr>
        <w:t>= ADI 2.797 e ADI 2.860, rel. min. Sepúlveda Pertence, j. 15-9-2005, P, DJ de 19-12-2006 Transformação de cargos de assistente jurídico da AGU em advogado da união. (...) Preliminar de ilegitimidade ativa ad causam afastada por tratar-se a associação requerente de uma entidade representativa de uma categoria cujas atribuições receberam um tratamento constitucional específico, elevadas à qualidade de essenciais à Justiça.</w:t>
      </w:r>
    </w:p>
    <w:p>
      <w:pPr>
        <w:ind w:left="288"/>
      </w:pPr>
      <w:r>
        <w:rPr>
          <w:b/>
          <w:color w:val="003CA0"/>
          <w:sz w:val="16"/>
        </w:rPr>
        <w:t>[ADI 2.713, rel. min. Ellen Gracie, j. 18-12-2002, P, DJ de 7-3-2003.]</w:t>
      </w:r>
    </w:p>
    <w:p>
      <w:pPr>
        <w:ind w:left="288"/>
      </w:pPr>
      <w:r>
        <w:rPr>
          <w:color w:val="8C8C8C"/>
          <w:sz w:val="12"/>
        </w:rPr>
        <w:t>cf-art-103-inc-IX</w:t>
      </w:r>
      <w:r>
        <w:rPr>
          <w:color w:val="003CA0"/>
          <w:sz w:val="12"/>
        </w:rPr>
        <w:t xml:space="preserve"> | ADI 1.875</w:t>
      </w:r>
      <w:r>
        <w:rPr>
          <w:color w:val="003CA0"/>
          <w:sz w:val="12"/>
        </w:rPr>
        <w:t xml:space="preserve"> | rel. Celso de Mello</w:t>
      </w:r>
    </w:p>
    <w:p>
      <w:pPr>
        <w:ind w:left="288"/>
      </w:pPr>
      <w:r>
        <w:rPr>
          <w:color w:val="1E1E1E"/>
          <w:sz w:val="18"/>
        </w:rPr>
        <w:t>Ação direta de inconstitucionalidade. Legitimidade ativa ad causam. CF/1988, art. 103. Rol taxativo. Entidade de classe. Representação institucional de mera fração de determinada categoria funcional. Descaracterização da autora como entidade de classe. Ação direta não conhecida. (...) A Constituição da República, ao disciplinar o tema concernente a quem pode ativar, mediante ação direta, a jurisdição constitucional concentrada do STF, ampliou, significativamente, o rol – sempre taxativo – dos que dispõem da titularidade de agir em sede de controle normativo abstrato. Não se qualificam como ent</w:t>
      </w:r>
    </w:p>
    <w:p>
      <w:pPr>
        <w:ind w:left="288"/>
      </w:pPr>
      <w:r>
        <w:rPr>
          <w:b/>
          <w:color w:val="003CA0"/>
          <w:sz w:val="16"/>
        </w:rPr>
        <w:t>[ADI 1.875 AgR, rel. min. Celso de Mello, j. 20-6-2001, P, DJE de 12-12-2008.]</w:t>
      </w:r>
    </w:p>
    <w:p>
      <w:pPr>
        <w:ind w:left="288"/>
      </w:pPr>
      <w:r>
        <w:rPr>
          <w:color w:val="8C8C8C"/>
          <w:sz w:val="12"/>
        </w:rPr>
        <w:t>cf-art-103-inc-IX</w:t>
      </w:r>
      <w:r>
        <w:rPr>
          <w:color w:val="003CA0"/>
          <w:sz w:val="12"/>
        </w:rPr>
        <w:t xml:space="preserve"> | ADI 4.473</w:t>
      </w:r>
      <w:r>
        <w:rPr>
          <w:color w:val="003CA0"/>
          <w:sz w:val="12"/>
        </w:rPr>
        <w:t xml:space="preserve"> | rel. Dias Toffoli</w:t>
      </w:r>
    </w:p>
    <w:p>
      <w:pPr>
        <w:ind w:left="288"/>
      </w:pPr>
      <w:r>
        <w:rPr>
          <w:color w:val="1E1E1E"/>
          <w:sz w:val="18"/>
        </w:rPr>
        <w:t>= ADI 4.473 AgR, rel. min. Dias Toffoli, j. 20-6-2012, P, DJE de 1º-8-2012 A associação de classe, de âmbito nacional, há de comprovar a pertinência temática, ou seja, o interesse considerado o respectivo estatuto e a norma que se pretenda fulminada.</w:t>
      </w:r>
    </w:p>
    <w:p>
      <w:pPr>
        <w:ind w:left="288"/>
      </w:pPr>
      <w:r>
        <w:rPr>
          <w:b/>
          <w:color w:val="003CA0"/>
          <w:sz w:val="16"/>
        </w:rPr>
        <w:t>[ADI 1.873, rel. min. Marco Aurélio, j. 2-9-1998, P, DJ de 19-9-2003.]</w:t>
      </w:r>
    </w:p>
    <w:p>
      <w:pPr>
        <w:ind w:left="288"/>
      </w:pPr>
      <w:r>
        <w:rPr>
          <w:color w:val="8C8C8C"/>
          <w:sz w:val="12"/>
        </w:rPr>
        <w:t>cf-art-103-inc-IX</w:t>
      </w:r>
      <w:r>
        <w:rPr>
          <w:color w:val="003CA0"/>
          <w:sz w:val="12"/>
        </w:rPr>
        <w:t xml:space="preserve"> | ADI 1.565</w:t>
      </w:r>
      <w:r>
        <w:rPr>
          <w:color w:val="003CA0"/>
          <w:sz w:val="12"/>
        </w:rPr>
        <w:t xml:space="preserve"> | rel. Néri da Silveira</w:t>
      </w:r>
    </w:p>
    <w:p>
      <w:pPr>
        <w:ind w:left="288"/>
      </w:pPr>
      <w:r>
        <w:rPr>
          <w:color w:val="1E1E1E"/>
          <w:sz w:val="18"/>
        </w:rPr>
        <w:t>Ausência de comprovação do registro do estatuto como entidade sindical superior no Ministério do Trabalho, em data posterior à alteração dos estatutos, conforme determinado por despacho. Ação direta de inconstitucionalidade não conhecida por ausência de legitimidade ativa ad causam da entidade autora.</w:t>
      </w:r>
    </w:p>
    <w:p>
      <w:pPr>
        <w:ind w:left="288"/>
      </w:pPr>
      <w:r>
        <w:rPr>
          <w:b/>
          <w:color w:val="003CA0"/>
          <w:sz w:val="16"/>
        </w:rPr>
        <w:t>[ADI 1.565, rel. min. Néri da Silveira, j. 23-10-1997, P, DJ de 17-12-1999.]</w:t>
      </w:r>
    </w:p>
    <w:p>
      <w:pPr>
        <w:ind w:left="288"/>
      </w:pPr>
      <w:r>
        <w:rPr>
          <w:color w:val="8C8C8C"/>
          <w:sz w:val="12"/>
        </w:rPr>
        <w:t>cf-art-103-inc-IX</w:t>
      </w:r>
      <w:r>
        <w:rPr>
          <w:color w:val="003CA0"/>
          <w:sz w:val="12"/>
        </w:rPr>
        <w:t xml:space="preserve"> | ADI 5.034</w:t>
      </w:r>
      <w:r>
        <w:rPr>
          <w:color w:val="003CA0"/>
          <w:sz w:val="12"/>
        </w:rPr>
        <w:t xml:space="preserve"> | rel. Celso de Mello</w:t>
      </w:r>
    </w:p>
    <w:p>
      <w:pPr>
        <w:ind w:left="288"/>
      </w:pPr>
      <w:r>
        <w:rPr>
          <w:color w:val="1E1E1E"/>
          <w:sz w:val="18"/>
        </w:rPr>
        <w:t>= ADI 5.034 AgR, rel. min. Celso de Mello, j. 1º-8-2014, P, DJE de 3-9-2014 Cumpre reconhecer, desde logo, que a presente ação direta foi ajuizada pela Confederação Nacional do Transporte e pela Confederação Nacional da Indústria, que constituem entidades sindicais de grau superior, com regular existência jurídica desde 1954 (CNT) e 1938 (CNI), respectivamente, satisfazendo, em consequência, a regra inscrita no art. 103, IX, da Carta Política, que atribui legitimidade ativa às confederações sindicais para a instauração do controle abstrato de constitucionalidade.</w:t>
      </w:r>
    </w:p>
    <w:p>
      <w:pPr>
        <w:ind w:left="288"/>
      </w:pPr>
      <w:r>
        <w:rPr>
          <w:b/>
          <w:color w:val="003CA0"/>
          <w:sz w:val="16"/>
        </w:rPr>
        <w:t>[ADI 1.480 MC, rel. min. Celso de Mello, j. 4-9-1997, P, DJ de 18-5-2001.]</w:t>
      </w:r>
    </w:p>
    <w:p>
      <w:pPr>
        <w:ind w:left="288"/>
      </w:pPr>
      <w:r>
        <w:rPr>
          <w:color w:val="8C8C8C"/>
          <w:sz w:val="12"/>
        </w:rPr>
        <w:t>cf-art-103-inc-IX</w:t>
      </w:r>
      <w:r>
        <w:rPr>
          <w:color w:val="003CA0"/>
          <w:sz w:val="12"/>
        </w:rPr>
        <w:t xml:space="preserve"> | ADI 1.114</w:t>
      </w:r>
      <w:r>
        <w:rPr>
          <w:color w:val="003CA0"/>
          <w:sz w:val="12"/>
        </w:rPr>
        <w:t xml:space="preserve"> | rel. Ilmar Galvão) proposta pela mesma Confederação Nacional dos Trabalhadores Metalúrgicos (CNTM)</w:t>
      </w:r>
    </w:p>
    <w:p>
      <w:pPr>
        <w:ind w:left="288"/>
      </w:pPr>
      <w:r>
        <w:rPr>
          <w:color w:val="1E1E1E"/>
          <w:sz w:val="18"/>
        </w:rPr>
        <w:t>Recentemente, em 31-8-1994, o Plenário desta Corte, ao julgar pedido de liminar, na ADI 1.114 (rel. min. Ilmar Galvão) proposta pela mesma Confederação Nacional dos Trabalhadores Metalúrgicos (CNTM), em que essa arguia a inconstitucionalidade do art. 21 da Lei 8.906/1994 ("art. 21. Nas causas em que for parte o empregador, ou pessoa por este representada, os honorários de sucumbência são devidos aos advogados empregados"), não conheceu da ação, por entender que não ocorria o requisito da pertinência objetiva, uma vez que a circunstância de a referida confederação contar eventualmente com advog</w:t>
      </w:r>
    </w:p>
    <w:p>
      <w:pPr>
        <w:ind w:left="288"/>
      </w:pPr>
      <w:r>
        <w:rPr>
          <w:b/>
          <w:color w:val="003CA0"/>
          <w:sz w:val="16"/>
        </w:rPr>
        <w:t>[ADI 1.123 MC, rel. min. Moreira Alves, j. 1º-2-1995, P, DJ de 17-3-1995.]</w:t>
      </w:r>
    </w:p>
    <w:p>
      <w:pPr>
        <w:ind w:left="288"/>
      </w:pPr>
      <w:r>
        <w:rPr>
          <w:color w:val="8C8C8C"/>
          <w:sz w:val="12"/>
        </w:rPr>
        <w:t>cf-art-103-inc-IX</w:t>
      </w:r>
      <w:r>
        <w:rPr>
          <w:color w:val="003CA0"/>
          <w:sz w:val="12"/>
        </w:rPr>
        <w:t xml:space="preserve"> | ADI 1.194</w:t>
      </w:r>
      <w:r>
        <w:rPr>
          <w:color w:val="003CA0"/>
          <w:sz w:val="12"/>
        </w:rPr>
        <w:t xml:space="preserve"> | rel. Celso de Mello</w:t>
      </w:r>
    </w:p>
    <w:p>
      <w:pPr>
        <w:ind w:left="288"/>
      </w:pPr>
      <w:r>
        <w:rPr>
          <w:color w:val="1E1E1E"/>
          <w:sz w:val="18"/>
        </w:rPr>
        <w:t>= ADI 1.194, red. do ac. min. Cármen Lúcia, j. 20-5-2009, P, DJE de 11-9-2009 Ação direta de inconstitucionalidade. Confederação dos Servidores Públicos do Brasil (CSPB). Ausência de legitimidade ativa ad causam por falta de pertinência temática. Insuficiência, para tal efeito, da mera existência de interesse de caráter econômico-financeiro. Hipótese de incognoscibilidade. Ação direta não conhecida.</w:t>
      </w:r>
    </w:p>
    <w:p>
      <w:pPr>
        <w:ind w:left="288"/>
      </w:pPr>
      <w:r>
        <w:rPr>
          <w:b/>
          <w:color w:val="003CA0"/>
          <w:sz w:val="16"/>
        </w:rPr>
        <w:t>[ADI 1.157 MC, rel. min. Celso de Mello, j. 1º-12-1994, P, DJ de 17-11-2006.]</w:t>
      </w:r>
    </w:p>
    <w:p>
      <w:pPr>
        <w:ind w:left="288"/>
      </w:pPr>
      <w:r>
        <w:rPr>
          <w:color w:val="8C8C8C"/>
          <w:sz w:val="12"/>
        </w:rPr>
        <w:t>cf-art-103-inc-IX</w:t>
      </w:r>
      <w:r>
        <w:rPr>
          <w:color w:val="003CA0"/>
          <w:sz w:val="12"/>
        </w:rPr>
        <w:t xml:space="preserve"> | ADI 433</w:t>
      </w:r>
      <w:r>
        <w:rPr>
          <w:color w:val="003CA0"/>
          <w:sz w:val="12"/>
        </w:rPr>
        <w:t xml:space="preserve"> | rel. Néri da Silveira</w:t>
      </w:r>
    </w:p>
    <w:p>
      <w:pPr>
        <w:ind w:left="288"/>
      </w:pPr>
      <w:r>
        <w:rPr>
          <w:color w:val="1E1E1E"/>
          <w:sz w:val="18"/>
        </w:rPr>
        <w:t>Preliminarmente, não tenho como legitimadas à ação as federações sindicais autoras (Federação Nacional dos Estivadores, Federação Nacional do Conferentes e Consertadores de Carga e Descarga Vigias Portuários – Trabalhadores de Bloco e Arrumadores, e Federação dos Portuários). Cuida-se de entidades sindicais que não atendem ao requisito do inciso IX do art. 103 da Constituição, porque seu nível não é de confederação sindical. São entidades sindicais de segundo grau. Nesse sentido, as decisões do Plenário na ADI 433/DF, ADI 853-6/DF e ADI 868-4/DF.</w:t>
      </w:r>
    </w:p>
    <w:p>
      <w:pPr>
        <w:ind w:left="288"/>
      </w:pPr>
      <w:r>
        <w:rPr>
          <w:b/>
          <w:color w:val="003CA0"/>
          <w:sz w:val="16"/>
        </w:rPr>
        <w:t>[ADI 929 MC, voto do rel. min. Néri da Silveira, j. 13-10-1993, P, DJ de 20-6-1997.]</w:t>
      </w:r>
    </w:p>
    <w:p>
      <w:pPr>
        <w:ind w:left="288"/>
      </w:pPr>
      <w:r>
        <w:rPr>
          <w:color w:val="8C8C8C"/>
          <w:sz w:val="12"/>
        </w:rPr>
        <w:t>cf-art-103-inc-IX</w:t>
      </w:r>
      <w:r>
        <w:rPr>
          <w:color w:val="003CA0"/>
          <w:sz w:val="12"/>
        </w:rPr>
        <w:t xml:space="preserve"> | ADI 4.224</w:t>
      </w:r>
      <w:r>
        <w:rPr>
          <w:color w:val="003CA0"/>
          <w:sz w:val="12"/>
        </w:rPr>
        <w:t xml:space="preserve"> | rel. Dias Toffoli</w:t>
      </w:r>
    </w:p>
    <w:p>
      <w:pPr>
        <w:ind w:left="288"/>
      </w:pPr>
      <w:r>
        <w:rPr>
          <w:color w:val="1E1E1E"/>
          <w:sz w:val="18"/>
        </w:rPr>
        <w:t>= ADI 4.224 AgR, rel. min. Dias Toffoli, j. 1º-8-2011, P, DJE de 8-9-2011</w:t>
      </w:r>
    </w:p>
    <w:p>
      <w:pPr>
        <w:ind w:left="288"/>
      </w:pPr>
      <w:r>
        <w:rPr>
          <w:color w:val="8C8C8C"/>
          <w:sz w:val="12"/>
        </w:rPr>
        <w:t>cf-art-103-par-1</w:t>
      </w:r>
      <w:r>
        <w:rPr>
          <w:color w:val="003CA0"/>
          <w:sz w:val="12"/>
        </w:rPr>
        <w:t xml:space="preserve"> | ADI 55</w:t>
      </w:r>
      <w:r>
        <w:rPr>
          <w:color w:val="003CA0"/>
          <w:sz w:val="12"/>
        </w:rPr>
        <w:t xml:space="preserve"> | rel. Octavio Gallotti</w:t>
      </w:r>
    </w:p>
    <w:p>
      <w:pPr>
        <w:ind w:left="288"/>
      </w:pPr>
      <w:r>
        <w:rPr>
          <w:color w:val="1E1E1E"/>
          <w:sz w:val="18"/>
        </w:rPr>
        <w:t>(...) o Tribunal decidiu, por unanimidade, que nos julgamentos das ações diretas de inconstitucionalidade não está impedido o ministro que na condição de ministro de Estado, haja referendado a lei ou o ato normativo objeto da ação. Também por unanimidade o Tribunal decidiu que está impedido nas ações diretas de inconstitucionalidade o ministro que, na condição de PGR, haja recusado representação para ajuizar ação direta de inconstitucionalidade.</w:t>
      </w:r>
    </w:p>
    <w:p>
      <w:pPr>
        <w:ind w:left="288"/>
      </w:pPr>
      <w:r>
        <w:rPr>
          <w:b/>
          <w:color w:val="003CA0"/>
          <w:sz w:val="16"/>
        </w:rPr>
        <w:t>[ADI 55 MC-QO, rel. min. Octavio Gallotti, j. 31-5-1989, P, DJ de 16-3-1990.]</w:t>
      </w:r>
    </w:p>
    <w:p>
      <w:pPr>
        <w:ind w:left="144"/>
      </w:pPr>
      <w:r>
        <w:rPr>
          <w:b/>
          <w:color w:val="B45A00"/>
          <w:sz w:val="16"/>
        </w:rPr>
        <w:t>JULGADOS CORRELATOS</w:t>
      </w:r>
    </w:p>
    <w:p>
      <w:pPr>
        <w:ind w:left="288"/>
      </w:pPr>
      <w:r>
        <w:rPr>
          <w:color w:val="8C8C8C"/>
          <w:sz w:val="12"/>
        </w:rPr>
        <w:t>cf-art-103-par-1</w:t>
      </w:r>
      <w:r>
        <w:rPr>
          <w:color w:val="003CA0"/>
          <w:sz w:val="12"/>
        </w:rPr>
        <w:t xml:space="preserve"> | RCL 4.453</w:t>
      </w:r>
      <w:r>
        <w:rPr>
          <w:color w:val="003CA0"/>
          <w:sz w:val="12"/>
        </w:rPr>
        <w:t xml:space="preserve"> | rel. Ellen Gracie</w:t>
      </w:r>
    </w:p>
    <w:p>
      <w:pPr>
        <w:ind w:left="288"/>
      </w:pPr>
      <w:r>
        <w:rPr>
          <w:color w:val="1E1E1E"/>
          <w:sz w:val="18"/>
        </w:rPr>
        <w:t>Ausência de legitimidade do MPT para atuar perante a Suprema Corte. Atribuição privativa do PGR. (...) Incumbe ao PGR exercer as funções do Ministério Público junto ao STF, nos termos do art. 46 da LC 75/1993. Existência de precedentes do Tribunal em casos análogos. O exercício das atribuições do MPT se circunscreve aos órgãos da Justiça do Trabalho, consoante se infere dos arts. 83, 90, 107 e 110 da LC 75/1993.</w:t>
      </w:r>
    </w:p>
    <w:p>
      <w:pPr>
        <w:ind w:left="288"/>
      </w:pPr>
      <w:r>
        <w:rPr>
          <w:b/>
          <w:color w:val="003CA0"/>
          <w:sz w:val="16"/>
        </w:rPr>
        <w:t>[Rcl 4.453 MC-AgR-AgR e Rcl 4.801 MC-AgR, rel. min. Ellen Gracie, j. 4-3-2009, P, DJE de 27-3-2009.]</w:t>
      </w:r>
    </w:p>
    <w:p>
      <w:pPr>
        <w:ind w:left="288"/>
      </w:pPr>
      <w:r>
        <w:rPr>
          <w:color w:val="8C8C8C"/>
          <w:sz w:val="12"/>
        </w:rPr>
        <w:t>cf-art-103-par-1</w:t>
      </w:r>
      <w:r>
        <w:rPr>
          <w:color w:val="003CA0"/>
          <w:sz w:val="12"/>
        </w:rPr>
        <w:t xml:space="preserve"> | RCL 7.318</w:t>
      </w:r>
      <w:r>
        <w:rPr>
          <w:color w:val="003CA0"/>
          <w:sz w:val="12"/>
        </w:rPr>
        <w:t xml:space="preserve"> | rel. Dias Toffoli</w:t>
      </w:r>
    </w:p>
    <w:p>
      <w:pPr>
        <w:ind w:left="288"/>
      </w:pPr>
      <w:r>
        <w:rPr>
          <w:color w:val="1E1E1E"/>
          <w:sz w:val="18"/>
        </w:rPr>
        <w:t>= Rcl 7.318 AgR, rel. min. Dias Toffoli, j. 23-5-2012, P, DJE de 26-10-2012 Vide Rcl 7.101, rel. min. Cármen Lúcia, j. 24-2-2011, P, DJE de 9-8-2011 PGR. Audição. O preceito inserto no § 1º do art. 103 da CF há de merecer interpretação teleológica. Visa ao conhecimento da matéria pelo Ministério Público, não implicando, necessariamente, seja-lhe enviado automaticamente todo e qualquer processo. O pronunciamento do órgão pode ocorrer na assentada em que apreciado o recurso.</w:t>
      </w:r>
    </w:p>
    <w:p>
      <w:pPr>
        <w:ind w:left="288"/>
      </w:pPr>
      <w:r>
        <w:rPr>
          <w:b/>
          <w:color w:val="003CA0"/>
          <w:sz w:val="16"/>
        </w:rPr>
        <w:t>[AI 158.725 AgR-ED, rel. min. Marco Aurélio, j. 18-12-1995, 2ª T, DJ de 8-3-1996.]</w:t>
      </w:r>
    </w:p>
    <w:p>
      <w:pPr>
        <w:ind w:left="288"/>
      </w:pPr>
      <w:r>
        <w:rPr>
          <w:color w:val="8C8C8C"/>
          <w:sz w:val="12"/>
        </w:rPr>
        <w:t>cf-art-103-par-2</w:t>
      </w:r>
      <w:r>
        <w:rPr>
          <w:color w:val="003CA0"/>
          <w:sz w:val="12"/>
        </w:rPr>
        <w:t xml:space="preserve"> | ADI 1.458</w:t>
      </w:r>
      <w:r>
        <w:rPr>
          <w:color w:val="003CA0"/>
          <w:sz w:val="12"/>
        </w:rPr>
        <w:t xml:space="preserve"> | rel. Celso de Mello</w:t>
      </w:r>
    </w:p>
    <w:p>
      <w:pPr>
        <w:ind w:left="288"/>
      </w:pPr>
      <w:r>
        <w:rPr>
          <w:color w:val="1E1E1E"/>
          <w:sz w:val="18"/>
        </w:rPr>
        <w:t>O desrespeito à Constituição tanto pode ocorrer mediante ação estatal quanto mediante inércia governamental. A situação de inconstitucionalidade pode derivar de um comportamento ativo do poder público, que age ou edita normas em desacordo com o que dispõe a Constituição, ofendendo-lhe, assim, os preceitos e os princípios que nela se acham consignados. Essa conduta estatal, que importa em um facere (atuação positiva), gera a inconstitucionalidade por ação. Se o Estado deixar de adotar as medidas necessárias à realização concreta dos preceitos da Constituição, em ordem a torná-los efetivos, oper</w:t>
      </w:r>
    </w:p>
    <w:p>
      <w:pPr>
        <w:ind w:left="288"/>
      </w:pPr>
      <w:r>
        <w:rPr>
          <w:b/>
          <w:color w:val="003CA0"/>
          <w:sz w:val="16"/>
        </w:rPr>
        <w:t>[ADI 1.458 MC, rel. min. Celso de Mello, j. 23-5-1996, P, DJ de 29-9-1996.]</w:t>
      </w:r>
    </w:p>
    <w:p>
      <w:pPr>
        <w:ind w:left="288"/>
      </w:pPr>
      <w:r>
        <w:rPr>
          <w:color w:val="8C8C8C"/>
          <w:sz w:val="12"/>
        </w:rPr>
        <w:t>cf-art-103-par-2</w:t>
      </w:r>
      <w:r>
        <w:rPr>
          <w:color w:val="003CA0"/>
          <w:sz w:val="12"/>
        </w:rPr>
        <w:t xml:space="preserve"> | ADI 267</w:t>
      </w:r>
      <w:r>
        <w:rPr>
          <w:color w:val="003CA0"/>
          <w:sz w:val="12"/>
        </w:rPr>
        <w:t xml:space="preserve"> | rel. Celso de Mello</w:t>
      </w:r>
    </w:p>
    <w:p>
      <w:pPr>
        <w:ind w:left="288"/>
      </w:pPr>
      <w:r>
        <w:rPr>
          <w:color w:val="1E1E1E"/>
          <w:sz w:val="18"/>
        </w:rPr>
        <w:t>Inconstitucionalidade por omissão. Bancada paulista na Câmara Federal. Elevação imediata para setenta deputados federais. Função do STF no controle concentrado de constitucionalidade. Sua atuação como legislador negativo. CF (art. 45, § 1º). Regra que não é autoaplicável. Mora constitucional. Impossibilidade de elevação automática da representação parlamentar.</w:t>
      </w:r>
    </w:p>
    <w:p>
      <w:pPr>
        <w:ind w:left="288"/>
      </w:pPr>
      <w:r>
        <w:rPr>
          <w:b/>
          <w:color w:val="003CA0"/>
          <w:sz w:val="16"/>
        </w:rPr>
        <w:t>[ADI 267 MC, rel. min. Celso de Mello, j. 25-10-1990, P, DJ de 19-5-1995.]</w:t>
      </w:r>
    </w:p>
    <w:p>
      <w:pPr>
        <w:ind w:left="288"/>
      </w:pPr>
      <w:r>
        <w:rPr>
          <w:color w:val="8C8C8C"/>
          <w:sz w:val="12"/>
        </w:rPr>
        <w:t>cf-art-103-par-2</w:t>
      </w:r>
      <w:r>
        <w:rPr>
          <w:color w:val="003CA0"/>
          <w:sz w:val="12"/>
        </w:rPr>
        <w:t xml:space="preserve"> | ADI 23</w:t>
      </w:r>
      <w:r>
        <w:rPr>
          <w:color w:val="003CA0"/>
          <w:sz w:val="12"/>
        </w:rPr>
        <w:t xml:space="preserve"> | rel. Sydney Sanches</w:t>
      </w:r>
    </w:p>
    <w:p>
      <w:pPr>
        <w:ind w:left="288"/>
      </w:pPr>
      <w:r>
        <w:rPr>
          <w:color w:val="1E1E1E"/>
          <w:sz w:val="18"/>
        </w:rPr>
        <w:t>A audiência do advogado-geral da União, prevista no art. 103, § 3º, da CF de 1988, é necessária na ação direta de inconstitucionalidade, em tese, de norma legal, ou ato normativo (já existentes), para se manifestar sobre o ato ou texto impugnado. Não, porém, na ação direta de inconstitucionalidade por omissão, prevista no § 2º do mesmo dispositivo, pois nesta se pressupõe, exatamente, a inexistência de norma ou ato normativo.</w:t>
      </w:r>
    </w:p>
    <w:p>
      <w:pPr>
        <w:ind w:left="288"/>
      </w:pPr>
      <w:r>
        <w:rPr>
          <w:b/>
          <w:color w:val="003CA0"/>
          <w:sz w:val="16"/>
        </w:rPr>
        <w:t>[ADI 23 QO, rel. min. Sydney Sanches, j. 4-8-1989, P, DJ de 1º-9-1989.]</w:t>
      </w:r>
    </w:p>
    <w:p>
      <w:pPr>
        <w:ind w:left="288"/>
      </w:pPr>
      <w:r>
        <w:rPr>
          <w:color w:val="8C8C8C"/>
          <w:sz w:val="12"/>
        </w:rPr>
        <w:t>cf-art-103-par-2</w:t>
      </w:r>
      <w:r>
        <w:rPr>
          <w:color w:val="003CA0"/>
          <w:sz w:val="12"/>
        </w:rPr>
        <w:t xml:space="preserve"> | RE 485.087</w:t>
      </w:r>
      <w:r>
        <w:rPr>
          <w:color w:val="003CA0"/>
          <w:sz w:val="12"/>
        </w:rPr>
        <w:t xml:space="preserve"> | rel. Cármen Lúcia</w:t>
      </w:r>
    </w:p>
    <w:p>
      <w:pPr>
        <w:ind w:left="288"/>
      </w:pPr>
      <w:r>
        <w:rPr>
          <w:color w:val="1E1E1E"/>
          <w:sz w:val="18"/>
        </w:rPr>
        <w:t>Não sendo possível, pela via do controle abstrato, obrigar o ente público a tomar providências legislativas necessárias para prover omissão declarada inconstitucional – na espécie, o encaminhamento de projeto de lei de revisão geral anual dos vencimentos dos servidores públicos –, com mais razão não poderia fazê-lo o Poder Judiciário, por via oblíqua, no controle concreto de constitucionalidade, deferindo pedido de indenização para recompor perdas salariais em face da inflação.</w:t>
      </w:r>
    </w:p>
    <w:p>
      <w:pPr>
        <w:ind w:left="288"/>
      </w:pPr>
      <w:r>
        <w:rPr>
          <w:b/>
          <w:color w:val="003CA0"/>
          <w:sz w:val="16"/>
        </w:rPr>
        <w:t>[RE 485.087 AgR, rel. min. Cármen Lúcia, j. 21-11-2006, 1ª T, DJ de 7-12-2006.]</w:t>
      </w:r>
    </w:p>
    <w:p>
      <w:pPr>
        <w:ind w:left="288"/>
      </w:pPr>
      <w:r>
        <w:rPr>
          <w:color w:val="8C8C8C"/>
          <w:sz w:val="12"/>
        </w:rPr>
        <w:t>cf-art-103-par-2</w:t>
      </w:r>
      <w:r>
        <w:rPr>
          <w:color w:val="003CA0"/>
          <w:sz w:val="12"/>
        </w:rPr>
        <w:t xml:space="preserve"> | RCL 1.017</w:t>
      </w:r>
      <w:r>
        <w:rPr>
          <w:color w:val="003CA0"/>
          <w:sz w:val="12"/>
        </w:rPr>
        <w:t xml:space="preserve"> | rel. Sepúlveda Pertence</w:t>
      </w:r>
    </w:p>
    <w:p>
      <w:pPr>
        <w:ind w:left="288"/>
      </w:pPr>
      <w:r>
        <w:rPr>
          <w:color w:val="1E1E1E"/>
          <w:sz w:val="18"/>
        </w:rPr>
        <w:t>Reclamação: usurpação da competência do STF (CF, art. 102, I, l): ação popular que, pela causa de pedir e pelo pedido de provimento mandamental formulado, configura hipótese reservada à ação direta de inconstitucionalidade por omissão de medidas administrativas, de privativa competência originária do Supremo Tribunal: procedência.</w:t>
      </w:r>
    </w:p>
    <w:p>
      <w:pPr>
        <w:ind w:left="288"/>
      </w:pPr>
      <w:r>
        <w:rPr>
          <w:b/>
          <w:color w:val="003CA0"/>
          <w:sz w:val="16"/>
        </w:rPr>
        <w:t>[Rcl 1.017, rel. min. Sepúlveda Pertence, j. 7-4-2005, P, DJ de 3-6-2005.]</w:t>
      </w:r>
    </w:p>
    <w:p>
      <w:pPr>
        <w:ind w:left="288"/>
      </w:pPr>
      <w:r>
        <w:rPr>
          <w:color w:val="8C8C8C"/>
          <w:sz w:val="12"/>
        </w:rPr>
        <w:t>cf-art-103-par-2</w:t>
      </w:r>
      <w:r>
        <w:rPr>
          <w:color w:val="003CA0"/>
          <w:sz w:val="12"/>
        </w:rPr>
        <w:t xml:space="preserve"> | AO 1.725</w:t>
      </w:r>
      <w:r>
        <w:rPr>
          <w:color w:val="003CA0"/>
          <w:sz w:val="12"/>
        </w:rPr>
        <w:t xml:space="preserve"> | rel. Luiz Fux</w:t>
      </w:r>
    </w:p>
    <w:p>
      <w:pPr>
        <w:ind w:left="288"/>
      </w:pPr>
      <w:r>
        <w:rPr>
          <w:color w:val="1E1E1E"/>
          <w:sz w:val="18"/>
        </w:rPr>
        <w:t>Vide AO 1.725 AgR, rel. min. Luiz Fux, j. 24-2-2015, 1ª T, DJE de 11-3-2015 Impossibilidade jurídica do pedido de conversão do mandado de injunção em ação direta de inconstitucionalidade por omissão.</w:t>
      </w:r>
    </w:p>
    <w:p>
      <w:pPr>
        <w:ind w:left="288"/>
      </w:pPr>
      <w:r>
        <w:rPr>
          <w:b/>
          <w:color w:val="003CA0"/>
          <w:sz w:val="16"/>
        </w:rPr>
        <w:t>[MI 395 QO, rel. min. Moreira Alves, j. 27-5-1992, P, DJ de 11-9-1992.]</w:t>
      </w:r>
    </w:p>
    <w:p>
      <w:pPr>
        <w:ind w:left="144"/>
      </w:pPr>
      <w:r>
        <w:rPr>
          <w:b/>
          <w:color w:val="B45A00"/>
          <w:sz w:val="16"/>
        </w:rPr>
        <w:t>CONTROLE CONCENTRADO</w:t>
      </w:r>
    </w:p>
    <w:p>
      <w:pPr>
        <w:ind w:left="288"/>
      </w:pPr>
      <w:r>
        <w:rPr>
          <w:color w:val="8C8C8C"/>
          <w:sz w:val="12"/>
        </w:rPr>
        <w:t>cf-art-103-par-3</w:t>
      </w:r>
      <w:r>
        <w:rPr>
          <w:color w:val="003CA0"/>
          <w:sz w:val="12"/>
        </w:rPr>
        <w:t xml:space="preserve"> | ADI 4.983</w:t>
      </w:r>
      <w:r>
        <w:rPr>
          <w:color w:val="003CA0"/>
          <w:sz w:val="12"/>
        </w:rPr>
        <w:t xml:space="preserve"> | rel. Marco Aurélio</w:t>
      </w:r>
    </w:p>
    <w:p>
      <w:pPr>
        <w:ind w:left="288"/>
      </w:pPr>
      <w:r>
        <w:rPr>
          <w:color w:val="1E1E1E"/>
          <w:sz w:val="18"/>
        </w:rPr>
        <w:t>Consoante dispõe a norma imperativa do § 3º do art. 103 do Diploma Maior, incumbe ao advogado-geral da União a defesa do ato ou texto impugnado na ação direta de inconstitucionalidade, não lhe cabendo emissão de simples parecer, a ponto de vir a concluir pela pecha de inconstitucionalidade.</w:t>
        <w:br/>
        <w:t xml:space="preserve">[ADI 4.983, rel. min. Marco Aurélio, j. 6-10-2016, P, DJE de 27-4-2017.] O múnus a que se refere o imperativo constitucional (CF, art. 103, § 3º) deve ser entendido com temperamentos. O advogado-geral da União não está obrigado a defender tese jurídica se sobre ela esta Corte já fixou entendimento pela sua </w:t>
      </w:r>
    </w:p>
    <w:p>
      <w:pPr>
        <w:ind w:left="288"/>
      </w:pPr>
      <w:r>
        <w:rPr>
          <w:b/>
          <w:color w:val="003CA0"/>
          <w:sz w:val="16"/>
        </w:rPr>
        <w:t>[ADI 1.616, rel. min. Maurício Corrêa, j. 24-5-2001, P, DJ de 24-8-2001.]</w:t>
      </w:r>
    </w:p>
    <w:p>
      <w:pPr>
        <w:ind w:left="288"/>
      </w:pPr>
      <w:r>
        <w:rPr>
          <w:color w:val="8C8C8C"/>
          <w:sz w:val="12"/>
        </w:rPr>
        <w:t>cf-art-103-par-3</w:t>
      </w:r>
      <w:r>
        <w:rPr>
          <w:color w:val="003CA0"/>
          <w:sz w:val="12"/>
        </w:rPr>
        <w:t xml:space="preserve"> | ADI 3.916</w:t>
      </w:r>
      <w:r>
        <w:rPr>
          <w:color w:val="003CA0"/>
          <w:sz w:val="12"/>
        </w:rPr>
        <w:t xml:space="preserve"> | rel. Eros Grau</w:t>
      </w:r>
    </w:p>
    <w:p>
      <w:pPr>
        <w:ind w:left="288"/>
      </w:pPr>
      <w:r>
        <w:rPr>
          <w:color w:val="1E1E1E"/>
          <w:sz w:val="18"/>
        </w:rPr>
        <w:t>Vide ADI 3.916, rel. min. Eros Grau, j. 3-2-2010, P, DJE de 14-5-2010 A função processual do advogado-geral da União, nos processos de controle de constitucionalidade por via de ação, é eminentemente defensiva. Ocupa, dentro da estrutura formal desse processo objetivo, a posição de órgão agente, posto que lhe não compete opinar e nem exercer a função fiscalizadora já atribuída ao PGR. Atuando como verdadeiro curador (defensor legis) das normas infraconstitucionais, inclusive daquelas de origem estadual, e velando pela preservação de sua presunção de constitucionalidade e de sua integridade e v</w:t>
      </w:r>
    </w:p>
    <w:p>
      <w:pPr>
        <w:ind w:left="288"/>
      </w:pPr>
      <w:r>
        <w:rPr>
          <w:b/>
          <w:color w:val="003CA0"/>
          <w:sz w:val="16"/>
        </w:rPr>
        <w:t>[ADI 1.254 AgR, rel. min. Celso de Mello, j. 14-8-1996, P, DJ de 19-9-1997.]</w:t>
      </w:r>
    </w:p>
    <w:p>
      <w:pPr>
        <w:ind w:left="288"/>
      </w:pPr>
      <w:r>
        <w:rPr>
          <w:color w:val="8C8C8C"/>
          <w:sz w:val="12"/>
        </w:rPr>
        <w:t>cf-art-103-par-3</w:t>
      </w:r>
      <w:r>
        <w:rPr>
          <w:color w:val="003CA0"/>
          <w:sz w:val="12"/>
        </w:rPr>
        <w:t xml:space="preserve"> | ADI 3.413</w:t>
      </w:r>
      <w:r>
        <w:rPr>
          <w:color w:val="003CA0"/>
          <w:sz w:val="12"/>
        </w:rPr>
        <w:t xml:space="preserve"> | rel. Marco Aurélio</w:t>
      </w:r>
    </w:p>
    <w:p>
      <w:pPr>
        <w:ind w:left="288"/>
      </w:pPr>
      <w:r>
        <w:rPr>
          <w:color w:val="1E1E1E"/>
          <w:sz w:val="18"/>
        </w:rPr>
        <w:t>= ADI 3.413, rel. min. Marco Aurélio, j. 1º-6-2011, P, DJE de 1º-8-2011</w:t>
      </w:r>
    </w:p>
    <w:p>
      <w:pPr>
        <w:ind w:left="288"/>
      </w:pPr>
      <w:r>
        <w:rPr>
          <w:color w:val="8C8C8C"/>
          <w:sz w:val="12"/>
        </w:rPr>
        <w:t>cf-art-103-par-4</w:t>
      </w:r>
    </w:p>
    <w:p>
      <w:pPr>
        <w:ind w:left="288"/>
      </w:pPr>
      <w:r>
        <w:rPr>
          <w:color w:val="1E1E1E"/>
          <w:sz w:val="18"/>
        </w:rPr>
        <w:t>Art. 103-A. O Supremo Tribunal Federal poderá, de ofício ou por provocação, mediante decisão de dois terços dos seus membros, após reiteradas decisões sobre matéria constitucional, aprovar súmula que, a partir de sua publicação na imprensa oficial, terá efeito vinculante em relação aos demais órgãos do Poder Judiciário e à administração pública direta e indireta, nas esferas federal, estadual e municipal, bem como proceder à sua revisão ou cancelamento, na forma estabelecida em lei. (Incluído pela EC 45/2004)</w:t>
      </w:r>
    </w:p>
    <w:p>
      <w:pPr>
        <w:ind w:left="288"/>
      </w:pPr>
      <w:r>
        <w:rPr>
          <w:color w:val="8C8C8C"/>
          <w:sz w:val="12"/>
        </w:rPr>
        <w:t>cf-art-103-par-4</w:t>
      </w:r>
      <w:r>
        <w:rPr>
          <w:color w:val="003CA0"/>
          <w:sz w:val="12"/>
        </w:rPr>
        <w:t xml:space="preserve"> | ADPF 147</w:t>
      </w:r>
      <w:r>
        <w:rPr>
          <w:color w:val="003CA0"/>
          <w:sz w:val="12"/>
        </w:rPr>
        <w:t xml:space="preserve"> | rel. Cármen Lúcia</w:t>
      </w:r>
    </w:p>
    <w:p>
      <w:pPr>
        <w:ind w:left="288"/>
      </w:pPr>
      <w:r>
        <w:rPr>
          <w:color w:val="1E1E1E"/>
          <w:sz w:val="18"/>
        </w:rPr>
        <w:t>A arguição de descumprimento de preceito fundamental não é a via adequada para se obter a interpretação, a revisão ou o cancelamento de súmula vinculante.</w:t>
      </w:r>
    </w:p>
    <w:p>
      <w:pPr>
        <w:ind w:left="288"/>
      </w:pPr>
      <w:r>
        <w:rPr>
          <w:b/>
          <w:color w:val="003CA0"/>
          <w:sz w:val="16"/>
        </w:rPr>
        <w:t>[ADPF 147 AgR, rel. min. Cármen Lúcia, j. 24-3-2011, P, DJE de 8-4-2011.]</w:t>
      </w:r>
    </w:p>
    <w:p>
      <w:pPr>
        <w:ind w:left="288"/>
      </w:pPr>
      <w:r>
        <w:rPr>
          <w:color w:val="8C8C8C"/>
          <w:sz w:val="12"/>
        </w:rPr>
        <w:t>cf-art-103-par-4</w:t>
      </w:r>
      <w:r>
        <w:rPr>
          <w:color w:val="003CA0"/>
          <w:sz w:val="12"/>
        </w:rPr>
        <w:t xml:space="preserve"> | ADPF 80</w:t>
      </w:r>
      <w:r>
        <w:rPr>
          <w:color w:val="003CA0"/>
          <w:sz w:val="12"/>
        </w:rPr>
        <w:t xml:space="preserve"> | rel. Eros Grau</w:t>
      </w:r>
    </w:p>
    <w:p>
      <w:pPr>
        <w:ind w:left="288"/>
      </w:pPr>
      <w:r>
        <w:rPr>
          <w:color w:val="1E1E1E"/>
          <w:sz w:val="18"/>
        </w:rPr>
        <w:t>Vide ADPF 80 AgR, rel. min. Eros Grau, j. 12-6-2006, P, DJ de 10-8-2006</w:t>
      </w:r>
    </w:p>
    <w:p>
      <w:pPr>
        <w:ind w:left="144"/>
      </w:pPr>
      <w:r>
        <w:rPr>
          <w:b/>
          <w:color w:val="B45A00"/>
          <w:sz w:val="16"/>
        </w:rPr>
        <w:t>JULGADOS CORRELATOS</w:t>
      </w:r>
    </w:p>
    <w:p>
      <w:pPr>
        <w:ind w:left="288"/>
      </w:pPr>
      <w:r>
        <w:rPr>
          <w:color w:val="8C8C8C"/>
          <w:sz w:val="12"/>
        </w:rPr>
        <w:t>cf-art-103-par-4</w:t>
      </w:r>
      <w:r>
        <w:rPr>
          <w:color w:val="003CA0"/>
          <w:sz w:val="12"/>
        </w:rPr>
        <w:t xml:space="preserve"> | RCL 10.707</w:t>
      </w:r>
      <w:r>
        <w:rPr>
          <w:color w:val="003CA0"/>
          <w:sz w:val="12"/>
        </w:rPr>
        <w:t xml:space="preserve"> | rel. Celso de Mello</w:t>
      </w:r>
    </w:p>
    <w:p>
      <w:pPr>
        <w:ind w:left="288"/>
      </w:pPr>
      <w:r>
        <w:rPr>
          <w:color w:val="1E1E1E"/>
          <w:sz w:val="18"/>
        </w:rPr>
        <w:t>A súmula (...) (excetuada aquela de perfil vinculante), ao contrário das notas que tipificam o ato normativo, não se reveste de compulsoriedade na sua observância externa nem de cogência na sua aplicação por terceiros. A súmula comum, na realidade, configura mero instrumento formal de exteriorização interpretativa de uma dada orientação jurisprudencial. A súmula comum, portanto, tendo em vista a tese jurisprudencial não vinculante que nela se acha consagrada, encerra, apenas, um resultado paradigmático para decisões futuras. A jurisprudência compendiada na formulação sumular, desse modo, não s</w:t>
      </w:r>
    </w:p>
    <w:p>
      <w:pPr>
        <w:ind w:left="288"/>
      </w:pPr>
      <w:r>
        <w:rPr>
          <w:b/>
          <w:color w:val="003CA0"/>
          <w:sz w:val="16"/>
        </w:rPr>
        <w:t>[Rcl 10.707 AgR, voto do rel. min. Celso de Mello, j. 28-5-2014, P, DJE de 30-10-2014.]</w:t>
      </w:r>
    </w:p>
    <w:p>
      <w:pPr>
        <w:ind w:left="288"/>
      </w:pPr>
      <w:r>
        <w:rPr>
          <w:color w:val="8C8C8C"/>
          <w:sz w:val="12"/>
        </w:rPr>
        <w:t>cf-art-103-par-4</w:t>
      </w:r>
      <w:r>
        <w:rPr>
          <w:color w:val="003CA0"/>
          <w:sz w:val="12"/>
        </w:rPr>
        <w:t xml:space="preserve"> | RCL 21.214</w:t>
      </w:r>
      <w:r>
        <w:rPr>
          <w:color w:val="003CA0"/>
          <w:sz w:val="12"/>
        </w:rPr>
        <w:t xml:space="preserve"> | rel. Celso de Mello</w:t>
      </w:r>
    </w:p>
    <w:p>
      <w:pPr>
        <w:ind w:left="288"/>
      </w:pPr>
      <w:r>
        <w:rPr>
          <w:color w:val="1E1E1E"/>
          <w:sz w:val="18"/>
        </w:rPr>
        <w:t>= Rcl 21.214, rel. min. Celso de Mello, j. 18-12-2015, dec. monocrática, DJE de 1º-2-2016 Com efeito, a tese de que o julgamento dos recursos interpostos contra decisões proferidas antes da edição da súmula não deve obrigatoriamente observar o enunciado sumular (após sua publicação na imprensa oficial), data vênia, não se mostra em consonância com o disposto no art. 103-A, caput, da CF, que impõe o efeito vinculante a todos os órgãos do Poder Judiciário, a partir da publicação da súmula na imprensa oficial.</w:t>
      </w:r>
    </w:p>
    <w:p>
      <w:pPr>
        <w:ind w:left="288"/>
      </w:pPr>
      <w:r>
        <w:rPr>
          <w:b/>
          <w:color w:val="003CA0"/>
          <w:sz w:val="16"/>
        </w:rPr>
        <w:t>[Rcl 6.541 e Rcl 6.856, rel. min. Ellen Gracie, j. 25-6-2009, P, DJE de 4-9-2009.]</w:t>
      </w:r>
    </w:p>
    <w:p>
      <w:pPr>
        <w:ind w:left="288"/>
      </w:pPr>
      <w:r>
        <w:rPr>
          <w:color w:val="8C8C8C"/>
          <w:sz w:val="12"/>
        </w:rPr>
        <w:t>cf-art-103-par-4</w:t>
      </w:r>
      <w:r>
        <w:rPr>
          <w:color w:val="003CA0"/>
          <w:sz w:val="12"/>
        </w:rPr>
        <w:t xml:space="preserve"> | RCL 7.101</w:t>
      </w:r>
      <w:r>
        <w:rPr>
          <w:color w:val="003CA0"/>
          <w:sz w:val="12"/>
        </w:rPr>
        <w:t xml:space="preserve"> | rel. Cármen Lúcia</w:t>
      </w:r>
    </w:p>
    <w:p>
      <w:pPr>
        <w:ind w:left="288"/>
      </w:pPr>
      <w:r>
        <w:rPr>
          <w:color w:val="1E1E1E"/>
          <w:sz w:val="18"/>
        </w:rPr>
        <w:t>= Rcl 7.101, rel. min. Cármen Lúcia, j. 24-2-2011, P, DJE de 9-8-2011 A Lei 11.417/2006 define os legitimados para a edição, revisão e cancelamento de enunciado de súmula vinculante (art. 3º). O rito estabelecido nesse texto normativo não prevê a impugnação dos enunciados mediante recurso extraordinário.</w:t>
      </w:r>
    </w:p>
    <w:p>
      <w:pPr>
        <w:ind w:left="288"/>
      </w:pPr>
      <w:r>
        <w:rPr>
          <w:b/>
          <w:color w:val="003CA0"/>
          <w:sz w:val="16"/>
        </w:rPr>
        <w:t>[Pet 4.556 AgR, rel. min. Eros Grau, j. 25-6-2009, P, DJE de 21-8-2009.]</w:t>
      </w:r>
    </w:p>
    <w:p>
      <w:pPr>
        <w:ind w:left="288"/>
      </w:pPr>
      <w:r>
        <w:rPr>
          <w:color w:val="8C8C8C"/>
          <w:sz w:val="12"/>
        </w:rPr>
        <w:t>cf-art-103-par-4</w:t>
      </w:r>
    </w:p>
    <w:p>
      <w:pPr>
        <w:ind w:left="288"/>
      </w:pPr>
      <w:r>
        <w:rPr>
          <w:color w:val="1E1E1E"/>
          <w:sz w:val="18"/>
        </w:rPr>
        <w:t>§ 1º A súmula terá por objetivo a validade, a interpretação e a eficácia de normas determinadas, acerca das quais haja controvérsia atual entre órgãos judiciários ou entre esses e a administração pública que acarrete grave insegurança jurídica e relevante multiplicação de processos sobre questão idêntica. (Incluído pela EC 45/2004)</w:t>
      </w:r>
    </w:p>
    <w:p>
      <w:pPr>
        <w:ind w:left="288"/>
      </w:pPr>
      <w:r>
        <w:rPr>
          <w:color w:val="8C8C8C"/>
          <w:sz w:val="12"/>
        </w:rPr>
        <w:t>cf-art-103-par-2</w:t>
      </w:r>
      <w:r>
        <w:rPr>
          <w:color w:val="003CA0"/>
          <w:sz w:val="12"/>
        </w:rPr>
        <w:t xml:space="preserve"> | MS 31.697</w:t>
      </w:r>
      <w:r>
        <w:rPr>
          <w:color w:val="003CA0"/>
          <w:sz w:val="12"/>
        </w:rPr>
        <w:t xml:space="preserve"> | rel. Dias Toffoli</w:t>
      </w:r>
    </w:p>
    <w:p>
      <w:pPr>
        <w:ind w:left="288"/>
      </w:pPr>
      <w:r>
        <w:rPr>
          <w:color w:val="1E1E1E"/>
          <w:sz w:val="18"/>
        </w:rPr>
        <w:t>Competência do CNMP para promover a fiscalização dos princípios constitucionais da administração pública, consagrados no art. 37, caput, da CF, entre eles o princípio da moralidade, que rege a vedação ao nepotismo. É inexequível a precisão dos interesses públicos e privados envolvidos, ressalvando-se, ademais, a obrigatoriedade de o poder público pautar seus atos pelo respeito aos princípios da administração pública, em especial, no caso dos autos, aos da legalidade e da impessoalidade (art. 37, caput, da CF/1988). A edição de atos regulamentares ou vinculantes por autoridade competente para a</w:t>
      </w:r>
    </w:p>
    <w:p>
      <w:pPr>
        <w:ind w:left="288"/>
      </w:pPr>
      <w:r>
        <w:rPr>
          <w:b/>
          <w:color w:val="003CA0"/>
          <w:sz w:val="16"/>
        </w:rPr>
        <w:t>[MS 31.697, rel. min. Dias Toffoli, j. 11-3-2014, 1ª T, DJE de 2-4-2014.]</w:t>
      </w:r>
    </w:p>
    <w:p>
      <w:pPr>
        <w:ind w:left="288"/>
      </w:pPr>
      <w:r>
        <w:rPr>
          <w:color w:val="8C8C8C"/>
          <w:sz w:val="12"/>
        </w:rPr>
        <w:t>cf-art-103-par-2</w:t>
      </w:r>
    </w:p>
    <w:p>
      <w:pPr>
        <w:ind w:left="288"/>
      </w:pPr>
      <w:r>
        <w:rPr>
          <w:color w:val="1E1E1E"/>
          <w:sz w:val="18"/>
        </w:rPr>
        <w:t>§ 3º Do ato administrativo ou decisão judicial que contrariar a súmula aplicável ou que indevidamente a aplicar, caberá reclamação ao Supremo Tribunal Federal que, julgando-a procedente, anulará o ato administrativo ou cassará a decisão judicial reclamada, e determinará que outra seja proferida com ou sem a aplicação da súmula, conforme o caso. (Incluído pela EC 45/2004)</w:t>
      </w:r>
    </w:p>
    <w:p>
      <w:pPr>
        <w:ind w:left="144"/>
      </w:pPr>
      <w:r>
        <w:rPr>
          <w:b/>
          <w:color w:val="B45A00"/>
          <w:sz w:val="16"/>
        </w:rPr>
        <w:t>REPERCUSSAO GERAL</w:t>
      </w:r>
    </w:p>
    <w:p>
      <w:pPr>
        <w:ind w:left="288"/>
      </w:pPr>
      <w:r>
        <w:rPr>
          <w:color w:val="8C8C8C"/>
          <w:sz w:val="12"/>
        </w:rPr>
        <w:t>cf-art-103-par-2</w:t>
      </w:r>
      <w:r>
        <w:rPr>
          <w:color w:val="003CA0"/>
          <w:sz w:val="12"/>
        </w:rPr>
        <w:t xml:space="preserve"> | RE 1.116.485</w:t>
      </w:r>
      <w:r>
        <w:rPr>
          <w:color w:val="003CA0"/>
          <w:sz w:val="12"/>
        </w:rPr>
        <w:t xml:space="preserve"> | rel. Luiz Fux</w:t>
      </w:r>
    </w:p>
    <w:p>
      <w:pPr>
        <w:ind w:left="288"/>
      </w:pPr>
      <w:r>
        <w:rPr>
          <w:color w:val="1E1E1E"/>
          <w:sz w:val="18"/>
        </w:rPr>
        <w:t>A revogação ou modificação do ato normativo em que se fundou a edição de enunciado de súmula vinculante acarreta, em regra, a necessidade de sua revisão ou cancelamento pelo Supremo Tribunal Federal, conforme o caso (...).</w:t>
        <w:br/>
        <w:t>[RE 1.116.485, rel. min. Luiz Fux, j. 1º-3-2023, P, DJE de 24-4-2023, Tema 477, com mérito julgado]</w:t>
      </w:r>
    </w:p>
    <w:p>
      <w:pPr>
        <w:ind w:left="144"/>
      </w:pPr>
      <w:r>
        <w:rPr>
          <w:b/>
          <w:color w:val="B45A00"/>
          <w:sz w:val="16"/>
        </w:rPr>
        <w:t>JULGADOS CORRELATOS</w:t>
      </w:r>
    </w:p>
    <w:p>
      <w:pPr>
        <w:ind w:left="288"/>
      </w:pPr>
      <w:r>
        <w:rPr>
          <w:color w:val="8C8C8C"/>
          <w:sz w:val="12"/>
        </w:rPr>
        <w:t>cf-art-103-par-2</w:t>
      </w:r>
      <w:r>
        <w:rPr>
          <w:color w:val="003CA0"/>
          <w:sz w:val="12"/>
        </w:rPr>
        <w:t xml:space="preserve"> | RCL 14.343</w:t>
      </w:r>
      <w:r>
        <w:rPr>
          <w:color w:val="003CA0"/>
          <w:sz w:val="12"/>
        </w:rPr>
        <w:t xml:space="preserve"> | rel. Teori Zavascki</w:t>
      </w:r>
    </w:p>
    <w:p>
      <w:pPr>
        <w:ind w:left="288"/>
      </w:pPr>
      <w:r>
        <w:rPr>
          <w:color w:val="1E1E1E"/>
          <w:sz w:val="18"/>
        </w:rPr>
        <w:t>Não se admite reclamação contra omissão da administração pública, sob fundamento de ofensa a súmula vinculante, quando não demonstrado o esgotamento das vias administrativas, conforme disposto no art. 7º, § 1º, da Lei 11.417/2006.</w:t>
      </w:r>
    </w:p>
    <w:p>
      <w:pPr>
        <w:ind w:left="288"/>
      </w:pPr>
      <w:r>
        <w:rPr>
          <w:b/>
          <w:color w:val="003CA0"/>
          <w:sz w:val="16"/>
        </w:rPr>
        <w:t>[Rcl 14.343 AgR, rel. min. Teori Zavascki, j. 27-2-2014, P, DJE de 28-3-2014.]</w:t>
      </w:r>
    </w:p>
    <w:p>
      <w:pPr>
        <w:ind w:left="288"/>
      </w:pPr>
      <w:r>
        <w:rPr>
          <w:color w:val="8C8C8C"/>
          <w:sz w:val="12"/>
        </w:rPr>
        <w:t>cf-art-103-par-2</w:t>
      </w:r>
      <w:r>
        <w:rPr>
          <w:color w:val="003CA0"/>
          <w:sz w:val="12"/>
        </w:rPr>
        <w:t xml:space="preserve"> | RCL 6.449</w:t>
      </w:r>
      <w:r>
        <w:rPr>
          <w:color w:val="003CA0"/>
          <w:sz w:val="12"/>
        </w:rPr>
        <w:t xml:space="preserve"> | rel. Eros Grau</w:t>
      </w:r>
    </w:p>
    <w:p>
      <w:pPr>
        <w:ind w:left="288"/>
      </w:pPr>
      <w:r>
        <w:rPr>
          <w:color w:val="1E1E1E"/>
          <w:sz w:val="18"/>
        </w:rPr>
        <w:t>Inexiste ofensa à autoridade de súmula vinculante quando o ato de que se reclama é anterior à decisão emanada da Corte Suprema.</w:t>
      </w:r>
    </w:p>
    <w:p>
      <w:pPr>
        <w:ind w:left="288"/>
      </w:pPr>
      <w:r>
        <w:rPr>
          <w:b/>
          <w:color w:val="003CA0"/>
          <w:sz w:val="16"/>
        </w:rPr>
        <w:t>[Rcl 6.449 AgR, rel. min. Eros Grau, j. 25-11-2009, P, DJE de 11-12-2009.]</w:t>
      </w:r>
    </w:p>
    <w:p>
      <w:pPr>
        <w:ind w:left="288"/>
      </w:pPr>
      <w:r>
        <w:rPr>
          <w:color w:val="8C8C8C"/>
          <w:sz w:val="12"/>
        </w:rPr>
        <w:t>cf-art-103-par-2</w:t>
      </w:r>
      <w:r>
        <w:rPr>
          <w:color w:val="003CA0"/>
          <w:sz w:val="12"/>
        </w:rPr>
        <w:t xml:space="preserve"> | RCL 8.111</w:t>
      </w:r>
      <w:r>
        <w:rPr>
          <w:color w:val="003CA0"/>
          <w:sz w:val="12"/>
        </w:rPr>
        <w:t xml:space="preserve"> | rel. Cármen Lúcia</w:t>
      </w:r>
    </w:p>
    <w:p>
      <w:pPr>
        <w:ind w:left="288"/>
      </w:pPr>
      <w:r>
        <w:rPr>
          <w:color w:val="1E1E1E"/>
          <w:sz w:val="18"/>
        </w:rPr>
        <w:t>= Rcl 8.111 AgR, rel. min. Cármen Lúcia, j. 2-3-2011, P, DJE de 28-3-2011 Vide Rcl 3.939, rel. min. Marco Aurélio, j. 14-4-2008, P, DJE de 23-5-2008</w:t>
      </w:r>
    </w:p>
    <w:p>
      <w:pPr>
        <w:ind w:left="144"/>
      </w:pPr>
      <w:r>
        <w:rPr>
          <w:b/>
          <w:color w:val="B45A00"/>
          <w:sz w:val="16"/>
        </w:rPr>
        <w:t>SUMULA VINCULANTE</w:t>
      </w:r>
    </w:p>
    <w:p>
      <w:pPr>
        <w:ind w:left="288"/>
      </w:pPr>
      <w:r>
        <w:rPr>
          <w:color w:val="8C8C8C"/>
          <w:sz w:val="12"/>
        </w:rPr>
        <w:t>cf-art-103-par-2</w:t>
      </w:r>
      <w:r>
        <w:rPr>
          <w:color w:val="003CA0"/>
          <w:sz w:val="12"/>
        </w:rPr>
        <w:t xml:space="preserve"> | RCL 3.979</w:t>
      </w:r>
      <w:r>
        <w:rPr>
          <w:color w:val="003CA0"/>
          <w:sz w:val="12"/>
        </w:rPr>
        <w:t xml:space="preserve"> | rel. Gilmar Mendes</w:t>
      </w:r>
    </w:p>
    <w:p>
      <w:pPr>
        <w:ind w:left="288"/>
      </w:pPr>
      <w:r>
        <w:rPr>
          <w:b/>
          <w:color w:val="003CA0"/>
          <w:sz w:val="16"/>
        </w:rPr>
        <w:t>[Rcl 3.979 AgR, rel. min. Gilmar Mendes, j. 3-5-2006, P, DJ de 2-6-2006.]</w:t>
      </w:r>
    </w:p>
    <w:p>
      <w:pPr>
        <w:ind w:left="288"/>
      </w:pPr>
      <w:r>
        <w:rPr>
          <w:color w:val="8C8C8C"/>
          <w:sz w:val="12"/>
        </w:rPr>
        <w:t>cf-art-103-par-2</w:t>
      </w:r>
      <w:r>
        <w:rPr>
          <w:color w:val="003CA0"/>
          <w:sz w:val="12"/>
        </w:rPr>
        <w:t xml:space="preserve"> | RCL 10.707</w:t>
      </w:r>
      <w:r>
        <w:rPr>
          <w:color w:val="003CA0"/>
          <w:sz w:val="12"/>
        </w:rPr>
        <w:t xml:space="preserve"> | rel. Celso de Mello</w:t>
      </w:r>
    </w:p>
    <w:p>
      <w:pPr>
        <w:ind w:left="288"/>
      </w:pPr>
      <w:r>
        <w:rPr>
          <w:color w:val="1E1E1E"/>
          <w:sz w:val="18"/>
        </w:rPr>
        <w:t>= Rcl 10.707 AgR, rel. min. Celso de Mello, j. 28-5-2014, P, DJE de 30-10-2014 Art. 103-B - O Conselho Nacional de Justiça compõe-se de 15 (quinze) membros com mandato de 2 (dois) anos, admitida 1 (uma) recondução, sendo: (Redação da EC 61/2009)</w:t>
      </w:r>
    </w:p>
    <w:p>
      <w:pPr>
        <w:ind w:left="144"/>
      </w:pPr>
      <w:r>
        <w:rPr>
          <w:b/>
          <w:color w:val="B45A00"/>
          <w:sz w:val="16"/>
        </w:rPr>
        <w:t>CONTROLE CONCENTRADO</w:t>
      </w:r>
    </w:p>
    <w:p>
      <w:pPr>
        <w:ind w:left="288"/>
      </w:pPr>
      <w:r>
        <w:rPr>
          <w:color w:val="8C8C8C"/>
          <w:sz w:val="12"/>
        </w:rPr>
        <w:t>cf-art-103-par-2</w:t>
      </w:r>
      <w:r>
        <w:rPr>
          <w:color w:val="003CA0"/>
          <w:sz w:val="12"/>
        </w:rPr>
        <w:t xml:space="preserve"> | ADI 3.367</w:t>
      </w:r>
      <w:r>
        <w:rPr>
          <w:color w:val="003CA0"/>
          <w:sz w:val="12"/>
        </w:rPr>
        <w:t xml:space="preserve"> | rel. Cezar Peluso</w:t>
      </w:r>
    </w:p>
    <w:p>
      <w:pPr>
        <w:ind w:left="288"/>
      </w:pPr>
      <w:r>
        <w:rPr>
          <w:color w:val="1E1E1E"/>
          <w:sz w:val="18"/>
        </w:rPr>
        <w:t>Ação direta. EC 45/2004. Poder Judiciário. CNJ. Instituição e disciplina. Natureza meramente administrativa. Órgão interno de controle administrativo, financeiro e disciplinar da magistratura. Constitucionalidade reconhecida. Separação e independência dos Poderes. História, significado e alcance concreto do princípio. Ofensa a cláusula constitucional imutável (cláusula pétrea). Inexistência. Subsistência do núcleo político do princípio, mediante preservação da função jurisdicional, típica do Judiciário, e das condições materiais do seu exercício imparcial e independente. Precedentes e Súmula 6</w:t>
      </w:r>
    </w:p>
    <w:p>
      <w:pPr>
        <w:ind w:left="288"/>
      </w:pPr>
      <w:r>
        <w:rPr>
          <w:b/>
          <w:color w:val="003CA0"/>
          <w:sz w:val="16"/>
        </w:rPr>
        <w:t>[ADI 3.367, rel. min. Cezar Peluso, j. 13-4-2005, P, DJ de 22-9-2006.]</w:t>
      </w:r>
    </w:p>
    <w:p>
      <w:pPr>
        <w:ind w:left="144"/>
      </w:pPr>
      <w:r>
        <w:rPr>
          <w:b/>
          <w:color w:val="B45A00"/>
          <w:sz w:val="16"/>
        </w:rPr>
        <w:t>JULGADOS CORRELATOS</w:t>
      </w:r>
    </w:p>
    <w:p>
      <w:pPr>
        <w:ind w:left="288"/>
      </w:pPr>
      <w:r>
        <w:rPr>
          <w:color w:val="8C8C8C"/>
          <w:sz w:val="12"/>
        </w:rPr>
        <w:t>cf-art-103-par-2</w:t>
      </w:r>
      <w:r>
        <w:rPr>
          <w:color w:val="003CA0"/>
          <w:sz w:val="12"/>
        </w:rPr>
        <w:t xml:space="preserve"> | MS 25.962</w:t>
      </w:r>
      <w:r>
        <w:rPr>
          <w:color w:val="003CA0"/>
          <w:sz w:val="12"/>
        </w:rPr>
        <w:t xml:space="preserve"> | rel. Marco Aurélio</w:t>
      </w:r>
    </w:p>
    <w:p>
      <w:pPr>
        <w:ind w:left="288"/>
      </w:pPr>
      <w:r>
        <w:rPr>
          <w:color w:val="1E1E1E"/>
          <w:sz w:val="18"/>
        </w:rPr>
        <w:t>(...) consigno que não procede o inconformismo quanto ao fato de o CNJ ter passado a existir com a EC 45/2004 e o edital do concurso haver sido veiculado em data anterior. É que, na mencionada emenda, somente ficou estabelecido o prazo de instalalção do citado Conselho, e não o termo inicial da ação fiscalizadora no campo administrativo considerados os atos dos tribunais em geral – exceto, evidentemente, os do Supremo no que a esse incumbe o crivo quanto a essa atuação.</w:t>
      </w:r>
    </w:p>
    <w:p>
      <w:pPr>
        <w:ind w:left="288"/>
      </w:pPr>
      <w:r>
        <w:rPr>
          <w:b/>
          <w:color w:val="003CA0"/>
          <w:sz w:val="16"/>
        </w:rPr>
        <w:t>[MS 25.962, voto do rel. min. Marco Aurélio, j. 23-10-2008, P, DJE de 20-3-2009.]</w:t>
      </w:r>
    </w:p>
    <w:p>
      <w:pPr>
        <w:ind w:left="288"/>
      </w:pPr>
      <w:r>
        <w:rPr>
          <w:color w:val="8C8C8C"/>
          <w:sz w:val="12"/>
        </w:rPr>
        <w:t>cf-art-103-par-2-inc-IX</w:t>
      </w:r>
    </w:p>
    <w:p>
      <w:pPr>
        <w:ind w:left="288"/>
      </w:pPr>
      <w:r>
        <w:rPr>
          <w:color w:val="1E1E1E"/>
          <w:sz w:val="18"/>
        </w:rPr>
        <w:t>X - um membro do Ministério Público da União, indicado pelo Procurador-Geral da República; (Incluído pela EC 45/2004) XI - um membro do Ministério Público estadual, escolhido pelo Procurador-Geral da República dentre os nomes indicados pelo órgão competente de cada instituição estadual; (Incluído pela EC 45/2004) XII - dois advogados, indicados pelo Conselho Federal da Ordem dos Advogados do Brasil; (Incluído pela EC 45/2004) XIII - dois cidadãos, de notável saber jurídico e reputação ilibada, indicados um pela Câmara dos Deputados e outro pelo Senado Federal. (Incluído pela EC 45/2004)</w:t>
      </w:r>
    </w:p>
    <w:p>
      <w:pPr>
        <w:ind w:left="288"/>
      </w:pPr>
      <w:r>
        <w:rPr>
          <w:color w:val="8C8C8C"/>
          <w:sz w:val="12"/>
        </w:rPr>
        <w:t>cf-art-103-par-1</w:t>
      </w:r>
      <w:r>
        <w:rPr>
          <w:color w:val="003CA0"/>
          <w:sz w:val="12"/>
        </w:rPr>
        <w:t xml:space="preserve"> | MS 28.003</w:t>
      </w:r>
    </w:p>
    <w:p>
      <w:pPr>
        <w:ind w:left="288"/>
      </w:pPr>
      <w:r>
        <w:rPr>
          <w:color w:val="1E1E1E"/>
          <w:sz w:val="18"/>
        </w:rPr>
        <w:t>A competência exclusiva, indelegável e absoluta para presidir a sessão do CNJ fixou-se, a partir do advento da EC 61/2009, na pessoa do presidente ou, na sua ausência, do vice-presidente do STF, nos termos do disposto no art. 103-B, § 1º, da Constituição de 1988. Ressalva do redator do acórdão que reconheceu a impossibilidade de, mesmo antes do advento da EC 61, uma sessão do CNJ ser presidida por conselheiro não oriundo do STF, decidindo, quanto ao ponto, pela necessidade de modulação temporal. In casu, a sessão do CNJ que determinou a instauração de processo administrativo disciplinar em fac</w:t>
      </w:r>
    </w:p>
    <w:p>
      <w:pPr>
        <w:ind w:left="288"/>
      </w:pPr>
      <w:r>
        <w:rPr>
          <w:b/>
          <w:color w:val="003CA0"/>
          <w:sz w:val="16"/>
        </w:rPr>
        <w:t>[MS 28.003, red. do ac. min. Luiz Fux, j. 8-2-2012, P, DJE de 31-5-2012.]</w:t>
      </w:r>
    </w:p>
    <w:p>
      <w:pPr>
        <w:ind w:left="288"/>
      </w:pPr>
      <w:r>
        <w:rPr>
          <w:color w:val="8C8C8C"/>
          <w:sz w:val="12"/>
        </w:rPr>
        <w:t>cf-art-103-par-1</w:t>
      </w:r>
      <w:r>
        <w:rPr>
          <w:color w:val="003CA0"/>
          <w:sz w:val="12"/>
        </w:rPr>
        <w:t xml:space="preserve"> | MS 25.938</w:t>
      </w:r>
      <w:r>
        <w:rPr>
          <w:color w:val="003CA0"/>
          <w:sz w:val="12"/>
        </w:rPr>
        <w:t xml:space="preserve"> | rel. Cármen Lúcia</w:t>
      </w:r>
    </w:p>
    <w:p>
      <w:pPr>
        <w:ind w:left="288"/>
      </w:pPr>
      <w:r>
        <w:rPr>
          <w:color w:val="1E1E1E"/>
          <w:sz w:val="18"/>
        </w:rPr>
        <w:t>Preliminarmente, o Tribunal assentou que não há impedimento do presidente do CNJ, que fez a publicação da decisão, mesmo que tivesse participado eventualmente da própria sessão que deu ensejo à prática do ato.</w:t>
      </w:r>
    </w:p>
    <w:p>
      <w:pPr>
        <w:ind w:left="288"/>
      </w:pPr>
      <w:r>
        <w:rPr>
          <w:b/>
          <w:color w:val="003CA0"/>
          <w:sz w:val="16"/>
        </w:rPr>
        <w:t>[MS 25.938, rel. min. Cármen Lúcia, j. 24-4-2008, P, DJE de 12-9-2008.]</w:t>
      </w:r>
    </w:p>
    <w:p>
      <w:pPr>
        <w:ind w:left="288"/>
      </w:pPr>
      <w:r>
        <w:rPr>
          <w:color w:val="8C8C8C"/>
          <w:sz w:val="12"/>
        </w:rPr>
        <w:t>cf-art-103-par-2</w:t>
      </w:r>
      <w:r>
        <w:rPr>
          <w:color w:val="003CA0"/>
          <w:sz w:val="12"/>
        </w:rPr>
        <w:t xml:space="preserve"> | MS 25.393</w:t>
      </w:r>
      <w:r>
        <w:rPr>
          <w:color w:val="003CA0"/>
          <w:sz w:val="12"/>
        </w:rPr>
        <w:t xml:space="preserve"> | rel. Marco Aurélio</w:t>
      </w:r>
    </w:p>
    <w:p>
      <w:pPr>
        <w:ind w:left="288"/>
      </w:pPr>
      <w:r>
        <w:rPr>
          <w:color w:val="1E1E1E"/>
          <w:sz w:val="18"/>
        </w:rPr>
        <w:t>Descabe cogitar de direito subjetivo à escolha para compor o CNJ.</w:t>
      </w:r>
    </w:p>
    <w:p>
      <w:pPr>
        <w:ind w:left="288"/>
      </w:pPr>
      <w:r>
        <w:rPr>
          <w:b/>
          <w:color w:val="003CA0"/>
          <w:sz w:val="16"/>
        </w:rPr>
        <w:t>[MS 25.393 AgR, rel. min. Marco Aurélio, j. 2-4-2009, P, DJE de 8-5-2009.]</w:t>
      </w:r>
    </w:p>
    <w:p>
      <w:pPr>
        <w:ind w:left="144"/>
      </w:pPr>
      <w:r>
        <w:rPr>
          <w:b/>
          <w:color w:val="B45A00"/>
          <w:sz w:val="16"/>
        </w:rPr>
        <w:t>CONTROLE CONCENTRADO</w:t>
      </w:r>
    </w:p>
    <w:p>
      <w:pPr>
        <w:ind w:left="288"/>
      </w:pPr>
      <w:r>
        <w:rPr>
          <w:color w:val="8C8C8C"/>
          <w:sz w:val="12"/>
        </w:rPr>
        <w:t>cf-art-103-par-4</w:t>
      </w:r>
      <w:r>
        <w:rPr>
          <w:color w:val="003CA0"/>
          <w:sz w:val="12"/>
        </w:rPr>
        <w:t xml:space="preserve"> | ADI 4.638</w:t>
      </w:r>
      <w:r>
        <w:rPr>
          <w:color w:val="003CA0"/>
          <w:sz w:val="12"/>
        </w:rPr>
        <w:t xml:space="preserve"> | rel. Marco Aurélio</w:t>
      </w:r>
    </w:p>
    <w:p>
      <w:pPr>
        <w:ind w:left="288"/>
      </w:pPr>
      <w:r>
        <w:rPr>
          <w:color w:val="1E1E1E"/>
          <w:sz w:val="18"/>
        </w:rPr>
        <w:t>A previsão de equiparação do Conselho Nacional de Justiça e do Conselho da Justiça Federal aos tribunais não ofende a Constituição, uma vez que representa mera técnica redacional legislativa, não tendo aptidão de emprestar caráter jurisdicional a esses órgãos.</w:t>
        <w:br/>
        <w:t>[ADI 4.638, rel. min. Marco Aurélio, red. do ac. Roberto Barroso, j. 3-7-2023, P, DJE de 15-8-2023.] Ato Regimental 5, de 10-11-2006, do TJDFT, sobre o regime de férias dos membros daquele Tribunal e dos juízes a ele vinculados, pelo qual os magistrados indicados "gozarão as férias do ano de 2007 nos períodos de 2 a 31 de janeiro e 2 a 3</w:t>
      </w:r>
    </w:p>
    <w:p>
      <w:pPr>
        <w:ind w:left="288"/>
      </w:pPr>
      <w:r>
        <w:rPr>
          <w:b/>
          <w:color w:val="003CA0"/>
          <w:sz w:val="16"/>
        </w:rPr>
        <w:t>[ADI 3.823 MC, rel. min. Cármen Lúcia, j. 6-12-2006, P, DJ de 23-11-2007.]</w:t>
      </w:r>
    </w:p>
    <w:p>
      <w:pPr>
        <w:ind w:left="288"/>
      </w:pPr>
      <w:r>
        <w:rPr>
          <w:color w:val="8C8C8C"/>
          <w:sz w:val="12"/>
        </w:rPr>
        <w:t>cf-art-103-par-4</w:t>
      </w:r>
      <w:r>
        <w:rPr>
          <w:color w:val="003CA0"/>
          <w:sz w:val="12"/>
        </w:rPr>
        <w:t xml:space="preserve"> | MS 38.971</w:t>
      </w:r>
      <w:r>
        <w:rPr>
          <w:color w:val="003CA0"/>
          <w:sz w:val="12"/>
        </w:rPr>
        <w:t xml:space="preserve"> | rel. Nunes Marques</w:t>
      </w:r>
    </w:p>
    <w:p>
      <w:pPr>
        <w:ind w:left="288"/>
      </w:pPr>
      <w:r>
        <w:rPr>
          <w:color w:val="1E1E1E"/>
          <w:sz w:val="18"/>
        </w:rPr>
        <w:t>A criação de grupo de heteroidentificação no âmbito de comissão de concurso público para a magistratura, em desacordo com as normas legais vigentes, a validar a inscrição de candidato autodeclarado pardo, pode ser impugnada perante o CNJ. É legítima a decisão do relator do procedimento de controle administrativo no CNJ que implicou a criação de grupo de heteroidentificação e ofereceu ao candidato a possibilidade de se submeter à avaliação, considerada especialmente a proximidade da data da posse. No caso concreto, não houve acréscimo de etapa do concurso, mas estrita observância de normas lega</w:t>
      </w:r>
    </w:p>
    <w:p>
      <w:pPr>
        <w:ind w:left="288"/>
      </w:pPr>
      <w:r>
        <w:rPr>
          <w:b/>
          <w:color w:val="003CA0"/>
          <w:sz w:val="16"/>
        </w:rPr>
        <w:t>[MS 38.971, rel. min. Nunes Marques, j. 03.06.2025, P, DJE de 23.06.2025.]</w:t>
      </w:r>
    </w:p>
    <w:p>
      <w:pPr>
        <w:ind w:left="144"/>
      </w:pPr>
      <w:r>
        <w:rPr>
          <w:b/>
          <w:color w:val="B45A00"/>
          <w:sz w:val="16"/>
        </w:rPr>
        <w:t>JULGADOS CORRELATOS</w:t>
      </w:r>
    </w:p>
    <w:p>
      <w:pPr>
        <w:ind w:left="288"/>
      </w:pPr>
      <w:r>
        <w:rPr>
          <w:color w:val="8C8C8C"/>
          <w:sz w:val="12"/>
        </w:rPr>
        <w:t>cf-art-103-par-4</w:t>
      </w:r>
      <w:r>
        <w:rPr>
          <w:color w:val="003CA0"/>
          <w:sz w:val="12"/>
        </w:rPr>
        <w:t xml:space="preserve"> | MS 31.667</w:t>
      </w:r>
      <w:r>
        <w:rPr>
          <w:color w:val="003CA0"/>
          <w:sz w:val="12"/>
        </w:rPr>
        <w:t xml:space="preserve"> | rel. Dias Toffoli</w:t>
      </w:r>
    </w:p>
    <w:p>
      <w:pPr>
        <w:ind w:left="288"/>
      </w:pPr>
      <w:r>
        <w:rPr>
          <w:color w:val="1E1E1E"/>
          <w:sz w:val="18"/>
        </w:rPr>
        <w:t>Não viola a autonomia dos tribunais locais deliberação do CNJ que determina aos tribunais de justiça (que informaram a existência de legislação estadual com previsão de majoração do percentual de férias referido no art. 7º, XVII, da CF/88) que enviem projeto de lei tendente a adequação da legislação local ao regramento uniforme de âmbito nacional, pois não há no caso reserva de iniciativa da matéria aos tribunais locais; ao contrário, os direitos da magistratura, dentre os quais o direito ao abono de férias, são matéria de regramento nacional uniforme.</w:t>
      </w:r>
    </w:p>
    <w:p>
      <w:pPr>
        <w:ind w:left="288"/>
      </w:pPr>
      <w:r>
        <w:rPr>
          <w:b/>
          <w:color w:val="003CA0"/>
          <w:sz w:val="16"/>
        </w:rPr>
        <w:t>[MS 31.667 AgR, rel. min. Dias Toffoli, j. 11-9-2018, 2ª T, DJE de 23-11-2018.]</w:t>
      </w:r>
    </w:p>
    <w:p>
      <w:pPr>
        <w:ind w:left="288"/>
      </w:pPr>
      <w:r>
        <w:rPr>
          <w:color w:val="8C8C8C"/>
          <w:sz w:val="12"/>
        </w:rPr>
        <w:t>cf-art-103-par-4</w:t>
      </w:r>
      <w:r>
        <w:rPr>
          <w:color w:val="003CA0"/>
          <w:sz w:val="12"/>
        </w:rPr>
        <w:t xml:space="preserve"> | MS 27.935</w:t>
      </w:r>
      <w:r>
        <w:rPr>
          <w:color w:val="003CA0"/>
          <w:sz w:val="12"/>
        </w:rPr>
        <w:t xml:space="preserve"> | rel. Edson Fachin</w:t>
      </w:r>
    </w:p>
    <w:p>
      <w:pPr>
        <w:ind w:left="288"/>
      </w:pPr>
      <w:r>
        <w:rPr>
          <w:color w:val="1E1E1E"/>
          <w:sz w:val="18"/>
        </w:rPr>
        <w:t>Não é vedado ao CNJ controlar a atuação administrativa de tribunal de justiça local que, respaldado em lei estadual, se distancie da interpretação dada pelo STF aos preceitos constitucionais e legais que regem a matéria. (...) A deliberação do CNJ que deixa de aplicar lei estadual anterior à Constituição que conflite com o regime remuneratório da magistratura regulado pelo art. 39, § 4º, da Constituição e com a Loman decorre do exercício direto da competência que lhe foi constitucionalmente atribuída, de zelar pela legalidade da atuação administrativa de membros e órgãos do Poder Judiciário, n</w:t>
      </w:r>
    </w:p>
    <w:p>
      <w:pPr>
        <w:ind w:left="288"/>
      </w:pPr>
      <w:r>
        <w:rPr>
          <w:b/>
          <w:color w:val="003CA0"/>
          <w:sz w:val="16"/>
        </w:rPr>
        <w:t>[MS 27.935 AgR, rel. min. Edson Fachin, j. 21-8-2017, 1ª T, DJE de 20-9-2017.]</w:t>
      </w:r>
    </w:p>
    <w:p>
      <w:pPr>
        <w:ind w:left="288"/>
      </w:pPr>
      <w:r>
        <w:rPr>
          <w:color w:val="8C8C8C"/>
          <w:sz w:val="12"/>
        </w:rPr>
        <w:t>cf-art-103-par-4</w:t>
      </w:r>
      <w:r>
        <w:rPr>
          <w:color w:val="003CA0"/>
          <w:sz w:val="12"/>
        </w:rPr>
        <w:t xml:space="preserve"> | MS 28.513</w:t>
      </w:r>
      <w:r>
        <w:rPr>
          <w:color w:val="003CA0"/>
          <w:sz w:val="12"/>
        </w:rPr>
        <w:t xml:space="preserve"> | rel. Teori Zavascki</w:t>
      </w:r>
    </w:p>
    <w:p>
      <w:pPr>
        <w:ind w:left="288"/>
      </w:pPr>
      <w:r>
        <w:rPr>
          <w:color w:val="1E1E1E"/>
          <w:sz w:val="18"/>
        </w:rPr>
        <w:t>É regular a designação de juiz auxiliar, seja ele originário do Judiciário estadual ou federal, para a condução de sindicância, por delegação do corregedor-nacional de justiça, ainda que o investigado seja magistrado federal.</w:t>
        <w:br/>
        <w:t>[MS 28.513, rel. min. Teori Zavascki, j. 15-9-2015, 2ª T, DJE de 28-9-2015.] O CNJ não dispõe, constitucionalmente, de competência para deliberar sobre situações que alcancem ou que atinjam resoluções e manifestações volitivas emanadas de órgãos e autoridades vinculados a outros Poderes do Estado e, por isso mesmo, absolutamente estranhos ao âmbito de atribuições instituc</w:t>
      </w:r>
    </w:p>
    <w:p>
      <w:pPr>
        <w:ind w:left="288"/>
      </w:pPr>
      <w:r>
        <w:rPr>
          <w:b/>
          <w:color w:val="003CA0"/>
          <w:sz w:val="16"/>
        </w:rPr>
        <w:t>[MS 27.033 AgR, rel. min. Celso de Mello, j. 30-6-2015, 2ª T, DJE de 27-10-2015.]</w:t>
      </w:r>
    </w:p>
    <w:p>
      <w:pPr>
        <w:ind w:left="288"/>
      </w:pPr>
      <w:r>
        <w:rPr>
          <w:color w:val="8C8C8C"/>
          <w:sz w:val="12"/>
        </w:rPr>
        <w:t>cf-art-103-par-4</w:t>
      </w:r>
      <w:r>
        <w:rPr>
          <w:color w:val="003CA0"/>
          <w:sz w:val="12"/>
        </w:rPr>
        <w:t xml:space="preserve"> | MS 30.600</w:t>
      </w:r>
      <w:r>
        <w:rPr>
          <w:color w:val="003CA0"/>
          <w:sz w:val="12"/>
        </w:rPr>
        <w:t xml:space="preserve"> | rel. Marco Aurélio</w:t>
      </w:r>
    </w:p>
    <w:p>
      <w:pPr>
        <w:ind w:left="288"/>
      </w:pPr>
      <w:r>
        <w:rPr>
          <w:color w:val="1E1E1E"/>
          <w:sz w:val="18"/>
        </w:rPr>
        <w:t>O CNJ tem atribuição administrativa, envolvendo esta última a promoção de magistrado. (...) O interregno para a sessão em que apreciado o nome de juiz visando preencher cargo de desembargador, por antiguidade, consubstancia formalidade essencial à valia do ato. O desrespeito enseja a glosa administrativa do CNJ.</w:t>
      </w:r>
    </w:p>
    <w:p>
      <w:pPr>
        <w:ind w:left="288"/>
      </w:pPr>
      <w:r>
        <w:rPr>
          <w:b/>
          <w:color w:val="003CA0"/>
          <w:sz w:val="16"/>
        </w:rPr>
        <w:t>[MS 30.600, rel. min. Marco Aurélio, j. 5-8-2014, 1ª T, DJE de 10-9-2014.]</w:t>
      </w:r>
    </w:p>
    <w:p>
      <w:pPr>
        <w:ind w:left="288"/>
      </w:pPr>
      <w:r>
        <w:rPr>
          <w:color w:val="8C8C8C"/>
          <w:sz w:val="12"/>
        </w:rPr>
        <w:t>cf-art-103-par-4</w:t>
      </w:r>
      <w:r>
        <w:rPr>
          <w:color w:val="003CA0"/>
          <w:sz w:val="12"/>
        </w:rPr>
        <w:t xml:space="preserve"> | MS 32.582</w:t>
      </w:r>
      <w:r>
        <w:rPr>
          <w:color w:val="003CA0"/>
          <w:sz w:val="12"/>
        </w:rPr>
        <w:t xml:space="preserve"> | rel. Celso de Mello</w:t>
      </w:r>
    </w:p>
    <w:p>
      <w:pPr>
        <w:ind w:left="288"/>
      </w:pPr>
      <w:r>
        <w:rPr>
          <w:color w:val="1E1E1E"/>
          <w:sz w:val="18"/>
        </w:rPr>
        <w:t xml:space="preserve">CNJ. Processo legislativo instaurado por iniciativa de tribunal de justiça. Suposta eiva de inconstitucionalidade. Impossibilidade de o CNJ, sob alegação de "aparente vício do projeto original", impor, cautelarmente, ao presidente do tribunal de justiça, que se abstenha de cumprir o diploma legislativo editado. Limitações que incidem sobre a competência do CNJ (CF, art. 103-B, § 4º). (...) A instauração do processo legislativo como ato de caráter eminentemente político e de extração essencialmente constitucional. Doutrina. A questão do controle de constitucionalidade pelo CNJ. Reconhecimento, </w:t>
      </w:r>
    </w:p>
    <w:p>
      <w:pPr>
        <w:ind w:left="288"/>
      </w:pPr>
      <w:r>
        <w:rPr>
          <w:b/>
          <w:color w:val="003CA0"/>
          <w:sz w:val="16"/>
        </w:rPr>
        <w:t>[MS 32.582 MC, rel. min. Celso de Mello, j. 3-2-2014, dec. monocrática, DJE de 11-2-2014.]</w:t>
      </w:r>
    </w:p>
    <w:p>
      <w:pPr>
        <w:ind w:left="288"/>
      </w:pPr>
      <w:r>
        <w:rPr>
          <w:color w:val="8C8C8C"/>
          <w:sz w:val="12"/>
        </w:rPr>
        <w:t>cf-art-103-par-4</w:t>
      </w:r>
      <w:r>
        <w:rPr>
          <w:color w:val="003CA0"/>
          <w:sz w:val="12"/>
        </w:rPr>
        <w:t xml:space="preserve"> | MS 32.865</w:t>
      </w:r>
      <w:r>
        <w:rPr>
          <w:color w:val="003CA0"/>
          <w:sz w:val="12"/>
        </w:rPr>
        <w:t xml:space="preserve"> | rel. Celso de Mello</w:t>
      </w:r>
    </w:p>
    <w:p>
      <w:pPr>
        <w:ind w:left="288"/>
      </w:pPr>
      <w:r>
        <w:rPr>
          <w:color w:val="1E1E1E"/>
          <w:sz w:val="18"/>
        </w:rPr>
        <w:t>= MS 32.865 MC, rel. min. Celso de Mello, j. 2-6-2014, dec. monocrática, DJE de 5-6-2014 As provas obtidas em razão de diligências deflagradas na esfera criminal podem ser utilizadas em Processo Administrativo Disciplinar (PAD), uma vez submetidas ao contraditório, posto estratégia conducente à duração razoável do processo, sem conjuração das cláusulas pétreas dos processos administrativo e judicial. A instauração de um PAD prescinde de prévia sindicância, quando o objeto da apuração encontra-se elucidado à luz de outros elementos lícitos de convicção. A competência originária do CNJ resulta d</w:t>
      </w:r>
    </w:p>
    <w:p>
      <w:pPr>
        <w:ind w:left="288"/>
      </w:pPr>
      <w:r>
        <w:rPr>
          <w:b/>
          <w:color w:val="003CA0"/>
          <w:sz w:val="16"/>
        </w:rPr>
        <w:t>[MS 28.003, red. do ac. min. Luiz Fux, j. 8-2-2012, P, DJE de 31-5-2012.]</w:t>
        <w:br/>
        <w:t>= MS 30.361 AgR, rel. min. Rosa Weber, j. 29-8-2017, 1ª T, 1-2-2018</w:t>
      </w:r>
    </w:p>
    <w:p>
      <w:pPr>
        <w:ind w:left="288"/>
      </w:pPr>
      <w:r>
        <w:rPr>
          <w:color w:val="8C8C8C"/>
          <w:sz w:val="12"/>
        </w:rPr>
        <w:t>cf-art-103-par-4</w:t>
      </w:r>
      <w:r>
        <w:rPr>
          <w:color w:val="003CA0"/>
          <w:sz w:val="12"/>
        </w:rPr>
        <w:t xml:space="preserve"> | ADI 3.367</w:t>
      </w:r>
      <w:r>
        <w:rPr>
          <w:color w:val="003CA0"/>
          <w:sz w:val="12"/>
        </w:rPr>
        <w:t xml:space="preserve"> | rel. Celso de Mello</w:t>
      </w:r>
    </w:p>
    <w:p>
      <w:pPr>
        <w:ind w:left="288"/>
      </w:pPr>
      <w:r>
        <w:rPr>
          <w:color w:val="1E1E1E"/>
          <w:sz w:val="18"/>
        </w:rPr>
        <w:t>O CNJ, embora integrando a estrutura constitucional do Poder Judiciário como órgão interno de controle administrativo, financeiro e disciplinar da magistratura – excluídos, no entanto, do alcance de referida competência, o próprio STF e seus ministros (ADI 3.367/DF) –, qualifica-se como instituição de caráter eminentemente administrativo, não dispondo de atribuições funcionais que lhe permitam, quer colegialmente, quer mediante atuação monocrática de seus conselheiros ou, ainda, do corregedor nacional de justiça, fiscalizar, reexaminar e suspender os efeitos decorrentes de atos de conteúdo jur</w:t>
      </w:r>
    </w:p>
    <w:p>
      <w:pPr>
        <w:ind w:left="288"/>
      </w:pPr>
      <w:r>
        <w:rPr>
          <w:b/>
          <w:color w:val="003CA0"/>
          <w:sz w:val="16"/>
        </w:rPr>
        <w:t>[MS 28.611 MC-AgR, rel. min. Celso de Mello, j. 14-10-2010, P, DJE de 1º-4-2011.]</w:t>
      </w:r>
    </w:p>
    <w:p>
      <w:pPr>
        <w:ind w:left="288"/>
      </w:pPr>
      <w:r>
        <w:rPr>
          <w:color w:val="8C8C8C"/>
          <w:sz w:val="12"/>
        </w:rPr>
        <w:t>cf-art-103-par-4</w:t>
      </w:r>
      <w:r>
        <w:rPr>
          <w:color w:val="003CA0"/>
          <w:sz w:val="12"/>
        </w:rPr>
        <w:t xml:space="preserve"> | MS 29.744</w:t>
      </w:r>
      <w:r>
        <w:rPr>
          <w:color w:val="003CA0"/>
          <w:sz w:val="12"/>
        </w:rPr>
        <w:t xml:space="preserve"> | rel. Gilmar Mendes</w:t>
      </w:r>
    </w:p>
    <w:p>
      <w:pPr>
        <w:ind w:left="288"/>
      </w:pPr>
      <w:r>
        <w:rPr>
          <w:color w:val="1E1E1E"/>
          <w:sz w:val="18"/>
        </w:rPr>
        <w:t>= MS 29.744 AgR, rel. min. Gilmar Mendes, j. 29-6-2011, P, DJE de 4-10-2011 Vide MS 27.708, rel. min. Marco Aurélio, j. 29-10-2009, P, DJE de 21-5-2010 Detendo o CNJ atribuições simplesmente administrativas, revela-se imprópria declaração a alcançar acordo judicial.</w:t>
      </w:r>
    </w:p>
    <w:p>
      <w:pPr>
        <w:ind w:left="288"/>
      </w:pPr>
      <w:r>
        <w:rPr>
          <w:b/>
          <w:color w:val="003CA0"/>
          <w:sz w:val="16"/>
        </w:rPr>
        <w:t>[MS 27.708, rel. min. Marco Aurélio, j. 29-10-2009, P, DJE de 21-5-2010.]</w:t>
      </w:r>
    </w:p>
    <w:p>
      <w:pPr>
        <w:ind w:left="288"/>
      </w:pPr>
      <w:r>
        <w:rPr>
          <w:color w:val="8C8C8C"/>
          <w:sz w:val="12"/>
        </w:rPr>
        <w:t>cf-art-103-par-4</w:t>
      </w:r>
      <w:r>
        <w:rPr>
          <w:color w:val="003CA0"/>
          <w:sz w:val="12"/>
        </w:rPr>
        <w:t xml:space="preserve"> | MS 28.611</w:t>
      </w:r>
      <w:r>
        <w:rPr>
          <w:color w:val="003CA0"/>
          <w:sz w:val="12"/>
        </w:rPr>
        <w:t xml:space="preserve"> | rel. Celso de Mello</w:t>
      </w:r>
    </w:p>
    <w:p>
      <w:pPr>
        <w:ind w:left="288"/>
      </w:pPr>
      <w:r>
        <w:rPr>
          <w:color w:val="1E1E1E"/>
          <w:sz w:val="18"/>
        </w:rPr>
        <w:t>Vide MS 28.611 MC-AgR, rel. min. Celso de Mello, j. 14-10-2010, P, DJE de 1º-4-2011 I - zelar pela autonomia do Poder Judiciário e pelo cumprimento do Estatuto da Magistratura, podendo expedir atos regulamentares, no âmbito de sua competência, ou recomendar providências; (Incluído pela EC 45/2004)</w:t>
      </w:r>
    </w:p>
    <w:p>
      <w:pPr>
        <w:ind w:left="144"/>
      </w:pPr>
      <w:r>
        <w:rPr>
          <w:b/>
          <w:color w:val="B45A00"/>
          <w:sz w:val="16"/>
        </w:rPr>
        <w:t>CONTROLE CONCENTRADO</w:t>
      </w:r>
    </w:p>
    <w:p>
      <w:pPr>
        <w:ind w:left="288"/>
      </w:pPr>
      <w:r>
        <w:rPr>
          <w:color w:val="8C8C8C"/>
          <w:sz w:val="12"/>
        </w:rPr>
        <w:t>cf-art-103-par-4</w:t>
      </w:r>
      <w:r>
        <w:rPr>
          <w:color w:val="003CA0"/>
          <w:sz w:val="12"/>
        </w:rPr>
        <w:t xml:space="preserve"> | ADI 6.324</w:t>
      </w:r>
      <w:r>
        <w:rPr>
          <w:color w:val="003CA0"/>
          <w:sz w:val="12"/>
        </w:rPr>
        <w:t xml:space="preserve"> | rel. Roberto Barroso</w:t>
      </w:r>
    </w:p>
    <w:p>
      <w:pPr>
        <w:ind w:left="288"/>
      </w:pPr>
      <w:r>
        <w:rPr>
          <w:color w:val="1E1E1E"/>
          <w:sz w:val="18"/>
        </w:rPr>
        <w:t>A competência constitucional do Conselho Nacional de Justiça (CF/1988, art. 103-B, § 4º, I) engloba a atuação em políticas públicas dos tribunais para tratamento adequado dos conflitos jurídicos. A conciliação e a mediação são formas efetivas de lidar com litígios e com o acesso a direitos, e sua regulamentação institucional para o Poder Judiciário brasileiro é condizente com o princípio da eficiência (CF/1988, art. 37, caput). (...) “É constitucional a disposição do Conselho Nacional de Justiça que prevê a facultatividade da representação por advogado ou defensor público nos Centros Judiciári</w:t>
      </w:r>
    </w:p>
    <w:p>
      <w:pPr>
        <w:ind w:left="144"/>
      </w:pPr>
      <w:r>
        <w:rPr>
          <w:b/>
          <w:color w:val="B45A00"/>
          <w:sz w:val="16"/>
        </w:rPr>
        <w:t>JULGADOS CORRELATOS</w:t>
      </w:r>
    </w:p>
    <w:p>
      <w:pPr>
        <w:ind w:left="288"/>
      </w:pPr>
      <w:r>
        <w:rPr>
          <w:color w:val="8C8C8C"/>
          <w:sz w:val="12"/>
        </w:rPr>
        <w:t>cf-art-103-par-4</w:t>
      </w:r>
      <w:r>
        <w:rPr>
          <w:color w:val="003CA0"/>
          <w:sz w:val="12"/>
        </w:rPr>
        <w:t xml:space="preserve"> | MS 27.621</w:t>
      </w:r>
    </w:p>
    <w:p>
      <w:pPr>
        <w:ind w:left="288"/>
      </w:pPr>
      <w:r>
        <w:rPr>
          <w:color w:val="1E1E1E"/>
          <w:sz w:val="18"/>
        </w:rPr>
        <w:t>O art. 103-B da Constituição da República, introduzido pela EC 45/2004, dispõe que o CNJ é órgão com atribuições exclusivamente administrativas e correicionais, ainda que, estruturalmente, integre o Poder Judiciário. No exercício de suas atribuições administrativas, encontra-se o poder de "expedir atos regulamentares". Esses, por sua vez, são atos de comando abstrato que dirigem aos seus destinatários comandos e obrigações, desde que inseridos na esfera de competência do órgão. O CNJ pode, no lídimo exercício de suas funções, regulamentar condutas e impor a toda a magistratura nacional o cumpr</w:t>
      </w:r>
    </w:p>
    <w:p>
      <w:pPr>
        <w:ind w:left="288"/>
      </w:pPr>
      <w:r>
        <w:rPr>
          <w:b/>
          <w:color w:val="003CA0"/>
          <w:sz w:val="16"/>
        </w:rPr>
        <w:t>[MS 27.621, red. do ac. min. Ricardo Lewandowski, j. 7-12-2011, P, DJE de 11-5-2012.]</w:t>
      </w:r>
    </w:p>
    <w:p>
      <w:pPr>
        <w:ind w:left="288"/>
      </w:pPr>
      <w:r>
        <w:rPr>
          <w:color w:val="8C8C8C"/>
          <w:sz w:val="12"/>
        </w:rPr>
        <w:t>cf-art-103-par-4</w:t>
      </w:r>
    </w:p>
    <w:p>
      <w:pPr>
        <w:ind w:left="288"/>
      </w:pPr>
      <w:r>
        <w:rPr>
          <w:color w:val="1E1E1E"/>
          <w:sz w:val="18"/>
        </w:rPr>
        <w:t>II - zelar pela observância do art. 37 e apreciar, de ofício ou mediante provocação, a legalidade dos atos administrativos praticados por membros ou órgãos do Poder Judiciário, podendo desconstituí-los, revê-los ou fixar prazo para que se adotem as providências necessárias ao exato cumprimento da lei, sem prejuízo da competência do Tribunal de Contas da União; (Incluído pela EC 45/2004)</w:t>
      </w:r>
    </w:p>
    <w:p>
      <w:pPr>
        <w:ind w:left="144"/>
      </w:pPr>
      <w:r>
        <w:rPr>
          <w:b/>
          <w:color w:val="B45A00"/>
          <w:sz w:val="16"/>
        </w:rPr>
        <w:t>CONTROLE CONCENTRADO</w:t>
      </w:r>
    </w:p>
    <w:p>
      <w:pPr>
        <w:ind w:left="288"/>
      </w:pPr>
      <w:r>
        <w:rPr>
          <w:color w:val="8C8C8C"/>
          <w:sz w:val="12"/>
        </w:rPr>
        <w:t>cf-art-103-par-4</w:t>
      </w:r>
      <w:r>
        <w:rPr>
          <w:color w:val="003CA0"/>
          <w:sz w:val="12"/>
        </w:rPr>
        <w:t xml:space="preserve"> | ADC 12</w:t>
      </w:r>
      <w:r>
        <w:rPr>
          <w:color w:val="003CA0"/>
          <w:sz w:val="12"/>
        </w:rPr>
        <w:t xml:space="preserve"> | rel. Ayres Britto</w:t>
      </w:r>
    </w:p>
    <w:p>
      <w:pPr>
        <w:ind w:left="288"/>
      </w:pPr>
      <w:r>
        <w:rPr>
          <w:color w:val="1E1E1E"/>
          <w:sz w:val="18"/>
        </w:rPr>
        <w:t xml:space="preserve">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 estranho ao Poder Judiciário (art. 92, CF) e não está a submeter esse Poder à autoridade de nenhum </w:t>
      </w:r>
    </w:p>
    <w:p>
      <w:pPr>
        <w:ind w:left="288"/>
      </w:pPr>
      <w:r>
        <w:rPr>
          <w:b/>
          <w:color w:val="003CA0"/>
          <w:sz w:val="16"/>
        </w:rPr>
        <w:t>[ADC 12, rel. min. Ayres Britto, j. 20-8-2008, P, DJE de 18-12-2009.]</w:t>
      </w:r>
    </w:p>
    <w:p>
      <w:pPr>
        <w:ind w:left="144"/>
      </w:pPr>
      <w:r>
        <w:rPr>
          <w:b/>
          <w:color w:val="B45A00"/>
          <w:sz w:val="16"/>
        </w:rPr>
        <w:t>JULGADOS CORRELATOS</w:t>
      </w:r>
    </w:p>
    <w:p>
      <w:pPr>
        <w:ind w:left="288"/>
      </w:pPr>
      <w:r>
        <w:rPr>
          <w:color w:val="8C8C8C"/>
          <w:sz w:val="12"/>
        </w:rPr>
        <w:t>cf-art-103-par-4</w:t>
      </w:r>
      <w:r>
        <w:rPr>
          <w:color w:val="003CA0"/>
          <w:sz w:val="12"/>
        </w:rPr>
        <w:t xml:space="preserve"> | MS 28.112</w:t>
      </w:r>
      <w:r>
        <w:rPr>
          <w:color w:val="003CA0"/>
          <w:sz w:val="12"/>
        </w:rPr>
        <w:t xml:space="preserve"> | rel. Cármen Lúcia</w:t>
      </w:r>
    </w:p>
    <w:p>
      <w:pPr>
        <w:ind w:left="288"/>
      </w:pPr>
      <w:r>
        <w:rPr>
          <w:color w:val="1E1E1E"/>
          <w:sz w:val="18"/>
        </w:rPr>
        <w:t>Lei 8.223/2007 da Paraíba. Criação legal de cargos em comissão no Tribunal de Justiça estadual (...): assistentes administrativos. Ato do CNJ. Exoneração determinada. (...) Atuação do órgão de controle administrativo, financeiro e disciplinar da magistratura nacional nos limites da respectiva competência, afastando a validade dos atos administrativos e a aplicação de lei estadual na qual embasados e reputada pelo CNJ contrária à regra constitucional de ingresso no serviço público por concurso público, pela ausência dos requisitos caracterizadores do cargo comissionado. Insere-se entre as compe</w:t>
      </w:r>
    </w:p>
    <w:p>
      <w:pPr>
        <w:ind w:left="288"/>
      </w:pPr>
      <w:r>
        <w:rPr>
          <w:b/>
          <w:color w:val="003CA0"/>
          <w:sz w:val="16"/>
        </w:rPr>
        <w:t>[MS 33.455, rel. min. Gilmar Mendes, j. 15-9-2015, 2ª T, DJE de 1º-2-2016.]</w:t>
      </w:r>
    </w:p>
    <w:p>
      <w:pPr>
        <w:ind w:left="288"/>
      </w:pPr>
      <w:r>
        <w:rPr>
          <w:color w:val="8C8C8C"/>
          <w:sz w:val="12"/>
        </w:rPr>
        <w:t>cf-art-103-par-4</w:t>
      </w:r>
      <w:r>
        <w:rPr>
          <w:color w:val="003CA0"/>
          <w:sz w:val="12"/>
        </w:rPr>
        <w:t xml:space="preserve"> | MS 27.165</w:t>
      </w:r>
      <w:r>
        <w:rPr>
          <w:color w:val="003CA0"/>
          <w:sz w:val="12"/>
        </w:rPr>
        <w:t xml:space="preserve"> | rel. Joaquim Barbosa</w:t>
      </w:r>
    </w:p>
    <w:p>
      <w:pPr>
        <w:ind w:left="288"/>
      </w:pPr>
      <w:r>
        <w:rPr>
          <w:color w:val="1E1E1E"/>
          <w:sz w:val="18"/>
        </w:rPr>
        <w:t>Vide MS 27.165, rel. min. Joaquim Barbosa, j. 18-12-2008, P, DJE de 6-3-2009 Qualquer pessoa é parte legítima para representar ilegalidades perante o CNJ. Apuração que é de interesse público.</w:t>
        <w:br/>
        <w:t xml:space="preserve">[MS 28.620, rel. min. Dias Toffoli, j. 23-9-2014, 1ª T, DJE de 8-10-2014.] Mandado de segurança cujo objeto é decisão do CNJ em PCA [procedimento de controle administrativo] em que definida a possibilidade de o candidato cumular a pontuação prevista no edital para cada rubrica de títulos, desde que respeitado, no somatório geral, o teto de dois pontos. Em análise um concurso determinado, com seu edital – </w:t>
      </w:r>
    </w:p>
    <w:p>
      <w:pPr>
        <w:ind w:left="288"/>
      </w:pPr>
      <w:r>
        <w:rPr>
          <w:b/>
          <w:color w:val="003CA0"/>
          <w:sz w:val="16"/>
        </w:rPr>
        <w:t>[MS 28.290, MS 28.330, MS 28.375 e MS 28.477, rel. min. Rosa Weber, j. 4-12-2013, P, DJE de 9-5-2014.]</w:t>
      </w:r>
    </w:p>
    <w:p>
      <w:pPr>
        <w:ind w:left="288"/>
      </w:pPr>
      <w:r>
        <w:rPr>
          <w:color w:val="8C8C8C"/>
          <w:sz w:val="12"/>
        </w:rPr>
        <w:t>cf-art-103-par-4</w:t>
      </w:r>
      <w:r>
        <w:rPr>
          <w:color w:val="003CA0"/>
          <w:sz w:val="12"/>
        </w:rPr>
        <w:t xml:space="preserve"> | MS 28.872</w:t>
      </w:r>
      <w:r>
        <w:rPr>
          <w:color w:val="003CA0"/>
          <w:sz w:val="12"/>
        </w:rPr>
        <w:t xml:space="preserve"> | rel. Ricardo Lewandowski</w:t>
      </w:r>
    </w:p>
    <w:p>
      <w:pPr>
        <w:ind w:left="288"/>
      </w:pPr>
      <w:r>
        <w:rPr>
          <w:color w:val="1E1E1E"/>
          <w:sz w:val="18"/>
        </w:rPr>
        <w:t>O CNJ, embora seja órgão do Poder Judiciário, nos termos do art. 103-B, § 4º, II, da CF, possui, tão somente, atribuições de natureza administrativa e, nesse sentido, não lhe é permitido apreciar a constitucionalidade dos atos administrativos, mas somente sua legalidade.</w:t>
      </w:r>
    </w:p>
    <w:p>
      <w:pPr>
        <w:ind w:left="288"/>
      </w:pPr>
      <w:r>
        <w:rPr>
          <w:b/>
          <w:color w:val="003CA0"/>
          <w:sz w:val="16"/>
        </w:rPr>
        <w:t>[MS 28.872 AgR, rel. min. Ricardo Lewandowski, j. 24-2-2011, P, DJE de 18-3-2011.]</w:t>
      </w:r>
    </w:p>
    <w:p>
      <w:pPr>
        <w:ind w:left="288"/>
      </w:pPr>
      <w:r>
        <w:rPr>
          <w:color w:val="8C8C8C"/>
          <w:sz w:val="12"/>
        </w:rPr>
        <w:t>cf-art-103-par-4</w:t>
      </w:r>
      <w:r>
        <w:rPr>
          <w:color w:val="003CA0"/>
          <w:sz w:val="12"/>
        </w:rPr>
        <w:t xml:space="preserve"> | MS 26.163</w:t>
      </w:r>
      <w:r>
        <w:rPr>
          <w:color w:val="003CA0"/>
          <w:sz w:val="12"/>
        </w:rPr>
        <w:t xml:space="preserve"> | rel. Cármen Lúcia</w:t>
      </w:r>
    </w:p>
    <w:p>
      <w:pPr>
        <w:ind w:left="288"/>
      </w:pPr>
      <w:r>
        <w:rPr>
          <w:color w:val="1E1E1E"/>
          <w:sz w:val="18"/>
        </w:rPr>
        <w:t>O CNJ tem legitimidade para fiscalizar, inclusive de ofício, os atos administrativos praticados por órgãos do Poder Judiciário (MS 26.163, rel. min. Cármen Lúcia, DJE de 4-9-2008). Após a publicação do edital e no curso do certame, só se admite a alteração das regras do concurso se houver modificação na legislação que disciplina a respectiva carreira. Precedentes (RE 318.106, rel. min. Ellen Gracie, DJ de 18-11-2005).</w:t>
      </w:r>
    </w:p>
    <w:p>
      <w:pPr>
        <w:ind w:left="288"/>
      </w:pPr>
      <w:r>
        <w:rPr>
          <w:b/>
          <w:color w:val="003CA0"/>
          <w:sz w:val="16"/>
        </w:rPr>
        <w:t>[MS 27.165, rel. min. Joaquim Barbosa, j. 18-12-2008, P, DJE de 6-3-2009.]</w:t>
      </w:r>
    </w:p>
    <w:p>
      <w:pPr>
        <w:ind w:left="288"/>
      </w:pPr>
      <w:r>
        <w:rPr>
          <w:color w:val="8C8C8C"/>
          <w:sz w:val="12"/>
        </w:rPr>
        <w:t>cf-art-103-par-4</w:t>
      </w:r>
      <w:r>
        <w:rPr>
          <w:color w:val="003CA0"/>
          <w:sz w:val="12"/>
        </w:rPr>
        <w:t xml:space="preserve"> | MS 33.455</w:t>
      </w:r>
      <w:r>
        <w:rPr>
          <w:color w:val="003CA0"/>
          <w:sz w:val="12"/>
        </w:rPr>
        <w:t xml:space="preserve"> | rel. Gilmar Mendes</w:t>
      </w:r>
    </w:p>
    <w:p>
      <w:pPr>
        <w:ind w:left="288"/>
      </w:pPr>
      <w:r>
        <w:rPr>
          <w:color w:val="1E1E1E"/>
          <w:sz w:val="18"/>
        </w:rPr>
        <w:t>Vide MS 33.455, rel. min. Gilmar Mendes, j. 15-9-2015, 2ª T, DJE de 1º-2-2016 Mandado de segurança. Concurso público para a magistratura do Estado do Amapá. Anulação. Legitimidade do CNJ para fiscalizar de ofício os atos administrativos praticados por órgãos do Poder Judiciário. (...) Os arts. 95 e 97 do Regimento Interno do CNJ autorizam-lhe instaurar, de ofício, procedimento administrativo para fiscalização de atos praticados por órgãos do Poder Judiciário.</w:t>
      </w:r>
    </w:p>
    <w:p>
      <w:pPr>
        <w:ind w:left="288"/>
      </w:pPr>
      <w:r>
        <w:rPr>
          <w:b/>
          <w:color w:val="003CA0"/>
          <w:sz w:val="16"/>
        </w:rPr>
        <w:t>[MS 26.163, rel. min. Cármen Lúcia, j. 24-4-2008, P, DJE de 5-9-2008.]</w:t>
      </w:r>
    </w:p>
    <w:p>
      <w:pPr>
        <w:ind w:left="288"/>
      </w:pPr>
      <w:r>
        <w:rPr>
          <w:color w:val="8C8C8C"/>
          <w:sz w:val="12"/>
        </w:rPr>
        <w:t>cf-art-103-par-4</w:t>
      </w:r>
      <w:r>
        <w:rPr>
          <w:color w:val="003CA0"/>
          <w:sz w:val="12"/>
        </w:rPr>
        <w:t xml:space="preserve"> | MS 26.284</w:t>
      </w:r>
      <w:r>
        <w:rPr>
          <w:color w:val="003CA0"/>
          <w:sz w:val="12"/>
        </w:rPr>
        <w:t xml:space="preserve"> | rel. Menezes Direito</w:t>
      </w:r>
    </w:p>
    <w:p>
      <w:pPr>
        <w:ind w:left="288"/>
      </w:pPr>
      <w:r>
        <w:rPr>
          <w:color w:val="1E1E1E"/>
          <w:sz w:val="18"/>
        </w:rPr>
        <w:t>Manifestamente impertinente a alegação de que o PCA 143, instaurado no CNJ, teria tratado da anulação de decisão judicial e não de ato com caráter administrativo. O ato impugnado perante o CNJ tem natureza administrativa, relativo à homologação de concurso público, matéria afeta à administração do Tribunal. Trata-se do exercício do controle administrativo dos próprios atos do Judiciário. A decisão do CNJ, devidamente fundamentada, esclareceu que houve a revisão individual das provas e que apenas duas candidatas obtiveram acréscimo em suas notas, concluindo pela ilegalidade no arredondamento fe</w:t>
      </w:r>
    </w:p>
    <w:p>
      <w:pPr>
        <w:ind w:left="288"/>
      </w:pPr>
      <w:r>
        <w:rPr>
          <w:b/>
          <w:color w:val="003CA0"/>
          <w:sz w:val="16"/>
        </w:rPr>
        <w:t>[MS 26.284, rel. min. Menezes Direito, j. 31-3-2008, P, DJE de 13-6-2008.]</w:t>
      </w:r>
    </w:p>
    <w:p>
      <w:pPr>
        <w:ind w:left="288"/>
      </w:pPr>
      <w:r>
        <w:rPr>
          <w:color w:val="8C8C8C"/>
          <w:sz w:val="12"/>
        </w:rPr>
        <w:t>cf-art-103-par-4</w:t>
      </w:r>
      <w:r>
        <w:rPr>
          <w:color w:val="003CA0"/>
          <w:sz w:val="12"/>
        </w:rPr>
        <w:t xml:space="preserve"> | MS 26.302</w:t>
      </w:r>
      <w:r>
        <w:rPr>
          <w:color w:val="003CA0"/>
          <w:sz w:val="12"/>
        </w:rPr>
        <w:t xml:space="preserve"> | rel. Cármen Lúcia</w:t>
      </w:r>
    </w:p>
    <w:p>
      <w:pPr>
        <w:ind w:left="288"/>
      </w:pPr>
      <w:r>
        <w:rPr>
          <w:color w:val="1E1E1E"/>
          <w:sz w:val="18"/>
        </w:rPr>
        <w:t>= MS 26.302 AgR, rel. min. Cármen Lúcia, j. 17-11-2011, P, DJE de 13-12-2011 III - receber e conhecer das reclamações contra membros ou órgãos do Poder Judiciário, inclusive contra seus serviços auxiliares, serventias e órgãos prestadores de serviços notariais e de registro que atuem por delegação do poder público ou oficializados, sem prejuízo da competência disciplinar e correicional dos tribunais, podendo avocar processos disciplinares em curso, determinar a remoção ou a disponibilidade e aplicar outras sanções administrativas, assegurada ampla defesa; (Redação da EC 103/2019)</w:t>
      </w:r>
    </w:p>
    <w:p>
      <w:pPr>
        <w:ind w:left="288"/>
      </w:pPr>
      <w:r>
        <w:rPr>
          <w:color w:val="8C8C8C"/>
          <w:sz w:val="12"/>
        </w:rPr>
        <w:t>cf-art-103-par-4</w:t>
      </w:r>
      <w:r>
        <w:rPr>
          <w:color w:val="003CA0"/>
          <w:sz w:val="12"/>
        </w:rPr>
        <w:t xml:space="preserve"> | AO 2.702</w:t>
      </w:r>
      <w:r>
        <w:rPr>
          <w:color w:val="003CA0"/>
          <w:sz w:val="12"/>
        </w:rPr>
        <w:t xml:space="preserve"> | rel. Alexandre de Moraes</w:t>
      </w:r>
    </w:p>
    <w:p>
      <w:pPr>
        <w:ind w:left="288"/>
      </w:pPr>
      <w:r>
        <w:rPr>
          <w:color w:val="1E1E1E"/>
          <w:sz w:val="18"/>
        </w:rPr>
        <w:t>Serventia extrajudicial. Interinidade. Vedação ao nepotismo. Atuação do CNJ conforme suas prerrogativas constitucionais. (...) O Conselho Nacional de Justiça agiu no estrito âmbito de suas atribuições constitucionais, com destaque para a fiscalização do serviço notarial e de registro (arts. 103-B, § 4º, I e III, e 236, § 1º, da CF/88), ao proibir a prática do nepotismo no desempenho destes serviços em período de interinidade, dando concretude aos princípios constitucionais que informam a administração Pública. (...) A atividade desempenhada em caráter de interinidade, a despeito de iniciada po</w:t>
      </w:r>
    </w:p>
    <w:p>
      <w:pPr>
        <w:ind w:left="288"/>
      </w:pPr>
      <w:r>
        <w:rPr>
          <w:b/>
          <w:color w:val="003CA0"/>
          <w:sz w:val="16"/>
        </w:rPr>
        <w:t>[AO 2.702 AgR, rel. min. Alexandre de Moraes, j. 14-11-2022, 1ª T, DJE de 17-11-2022.]</w:t>
      </w:r>
    </w:p>
    <w:p>
      <w:pPr>
        <w:ind w:left="288"/>
      </w:pPr>
      <w:r>
        <w:rPr>
          <w:color w:val="8C8C8C"/>
          <w:sz w:val="12"/>
        </w:rPr>
        <w:t>cf-art-103-par-4-inc-V</w:t>
      </w:r>
      <w:r>
        <w:rPr>
          <w:color w:val="003CA0"/>
          <w:sz w:val="12"/>
        </w:rPr>
        <w:t xml:space="preserve"> | AO 2.650</w:t>
      </w:r>
      <w:r>
        <w:rPr>
          <w:color w:val="003CA0"/>
          <w:sz w:val="12"/>
        </w:rPr>
        <w:t xml:space="preserve"> | rel. Rosa Weber</w:t>
      </w:r>
    </w:p>
    <w:p>
      <w:pPr>
        <w:ind w:left="288"/>
      </w:pPr>
      <w:r>
        <w:rPr>
          <w:color w:val="1E1E1E"/>
          <w:sz w:val="18"/>
        </w:rPr>
        <w:t>É valida a publicação no DJE para efeito de intimação e ciência inequívoca do resultado do processo administrativo envolvendo magistrado na Corte local, inexistindo regra que exija a dupla intimação (do advogado, via da DJE, e do magistrado, pessoalmente) para iniciar a contagem do prazo de decadência do Pedido de Revisão Disciplinar previsto no art. 103-B, § 4º, V, da CF.</w:t>
      </w:r>
    </w:p>
    <w:p>
      <w:pPr>
        <w:ind w:left="288"/>
      </w:pPr>
      <w:r>
        <w:rPr>
          <w:b/>
          <w:color w:val="003CA0"/>
          <w:sz w:val="16"/>
        </w:rPr>
        <w:t>[AO 2.650, rel. min. Rosa Weber, j. 22-8-2022, 1ª T, DJE de 25-8-2022.]</w:t>
      </w:r>
    </w:p>
    <w:p>
      <w:pPr>
        <w:ind w:left="288"/>
      </w:pPr>
      <w:r>
        <w:rPr>
          <w:color w:val="8C8C8C"/>
          <w:sz w:val="12"/>
        </w:rPr>
        <w:t>cf-art-103-par-4-inc-V</w:t>
      </w:r>
      <w:r>
        <w:rPr>
          <w:color w:val="003CA0"/>
          <w:sz w:val="12"/>
        </w:rPr>
        <w:t xml:space="preserve"> | MS 34.685</w:t>
      </w:r>
      <w:r>
        <w:rPr>
          <w:color w:val="003CA0"/>
          <w:sz w:val="12"/>
        </w:rPr>
        <w:t xml:space="preserve"> | rel. Dias Toffoli</w:t>
      </w:r>
    </w:p>
    <w:p>
      <w:pPr>
        <w:ind w:left="288"/>
      </w:pPr>
      <w:r>
        <w:rPr>
          <w:color w:val="1E1E1E"/>
          <w:sz w:val="18"/>
        </w:rPr>
        <w:t>O STF assentou que o CNJ possui atribuição correicional originária e autônoma, não se tratando de atuação subsidiária frente aos órgãos de correição local, mas sim de competência concorrente, de modo que seu exercício não se submete a condicionantes. (...) A atuação do Conselho Nacional de Justiça, no caso, decorreu do exercício de competência correicional originária, não revisional. Inaplicável, assim, o parâmetro temporal inserto no art. 103-B, § 4º, inciso V, da Constituição Federal (“rever, de ofício ou mediante provocação, os processos disciplinares de juízes e membros de tribunais julgad</w:t>
      </w:r>
    </w:p>
    <w:p>
      <w:pPr>
        <w:ind w:left="288"/>
      </w:pPr>
      <w:r>
        <w:rPr>
          <w:b/>
          <w:color w:val="003CA0"/>
          <w:sz w:val="16"/>
        </w:rPr>
        <w:t>[MS 34.685 AgR, rel. min. Dias Toffoli, j. 28-11-2017, 2ª T, DJE de 23-3-2018.]</w:t>
      </w:r>
    </w:p>
    <w:p>
      <w:pPr>
        <w:ind w:left="288"/>
      </w:pPr>
      <w:r>
        <w:rPr>
          <w:color w:val="8C8C8C"/>
          <w:sz w:val="12"/>
        </w:rPr>
        <w:t>cf-art-103-par-4-inc-V</w:t>
      </w:r>
      <w:r>
        <w:rPr>
          <w:color w:val="003CA0"/>
          <w:sz w:val="12"/>
        </w:rPr>
        <w:t xml:space="preserve"> | MS 28.127</w:t>
      </w:r>
      <w:r>
        <w:rPr>
          <w:color w:val="003CA0"/>
          <w:sz w:val="12"/>
        </w:rPr>
        <w:t xml:space="preserve"> | rel. Dias Toffoli</w:t>
      </w:r>
    </w:p>
    <w:p>
      <w:pPr>
        <w:ind w:left="288"/>
      </w:pPr>
      <w:r>
        <w:rPr>
          <w:color w:val="1E1E1E"/>
          <w:sz w:val="18"/>
        </w:rPr>
        <w:t>Compete ao Plenário do CNJ instaurar, de ofício, processo de revisão disciplinar (art. 86 do RICNJ), consistindo o posterior despacho do corregedor nacional de justiça mera execução material da decisão administrativa. O julgamento pelo Plenário do CNJ ocorreu em data anterior ao decurso do prazo disposto no inciso V do § 4º do art. 103-B da CF, razão pela qual não se configura a decadência do direito do poder público de instaurar o procedimento. A instauração de ofício foi motivada nos elementos do processo disciplinar objeto da revisão, os quais eram de conhecimento do impetrante, uma vez que</w:t>
      </w:r>
    </w:p>
    <w:p>
      <w:pPr>
        <w:ind w:left="288"/>
      </w:pPr>
      <w:r>
        <w:rPr>
          <w:b/>
          <w:color w:val="003CA0"/>
          <w:sz w:val="16"/>
        </w:rPr>
        <w:t>[MS 26.540, rel. min. Cármen Lúcia, j. 24-6-2014, 2ª T, DJE de 1º-8-2014.]</w:t>
      </w:r>
    </w:p>
    <w:p>
      <w:pPr>
        <w:ind w:left="288"/>
      </w:pPr>
      <w:r>
        <w:rPr>
          <w:color w:val="8C8C8C"/>
          <w:sz w:val="12"/>
        </w:rPr>
        <w:t>cf-art-103-par-4-inc-V</w:t>
      </w:r>
      <w:r>
        <w:rPr>
          <w:color w:val="003CA0"/>
          <w:sz w:val="12"/>
        </w:rPr>
        <w:t xml:space="preserve"> | MS 27.767</w:t>
      </w:r>
      <w:r>
        <w:rPr>
          <w:color w:val="003CA0"/>
          <w:sz w:val="12"/>
        </w:rPr>
        <w:t xml:space="preserve"> | rel. Ricardo Lewandowski</w:t>
      </w:r>
    </w:p>
    <w:p>
      <w:pPr>
        <w:ind w:left="288"/>
      </w:pPr>
      <w:r>
        <w:rPr>
          <w:color w:val="1E1E1E"/>
          <w:sz w:val="18"/>
        </w:rPr>
        <w:t>O pedido de revisão disciplinar para o CNJ deve ser feito até um ano após o julgamento do processo disciplinar pelo respectivo tribunal, nos termos do art. 103-B, § 4º, V, da Constituição. Dessa forma, esgotado tal prazo só restará ao interessado socorrer-se da via judicial para discutir a punição que lhe foi aplicada.</w:t>
      </w:r>
    </w:p>
    <w:p>
      <w:pPr>
        <w:ind w:left="288"/>
      </w:pPr>
      <w:r>
        <w:rPr>
          <w:b/>
          <w:color w:val="003CA0"/>
          <w:sz w:val="16"/>
        </w:rPr>
        <w:t>[MS 27.767 AgR, rel. min. Ricardo Lewandowski, j. 23-3-2011, P, DJE de 8-4-2011.]</w:t>
      </w:r>
    </w:p>
    <w:p>
      <w:pPr>
        <w:ind w:left="288"/>
      </w:pPr>
      <w:r>
        <w:rPr>
          <w:color w:val="8C8C8C"/>
          <w:sz w:val="12"/>
        </w:rPr>
        <w:t>cf-art-103-par-4-inc-VI</w:t>
      </w:r>
    </w:p>
    <w:p>
      <w:pPr>
        <w:ind w:left="288"/>
      </w:pPr>
      <w:r>
        <w:rPr>
          <w:color w:val="1E1E1E"/>
          <w:sz w:val="18"/>
        </w:rPr>
        <w:t>VII - elaborar relatório anual, propondo as providências que julgar necessárias, sobre a situação do Poder Judiciário no País e as atividades do Conselho, o qual deve integrar mensagem do Presidente do Supremo Tribunal Federal a ser remetida ao Congresso Nacional, por ocasião da abertura da sessão legislativa. (Incluído pela EC 45/2004)</w:t>
      </w:r>
    </w:p>
    <w:p>
      <w:pPr>
        <w:ind w:left="144"/>
      </w:pPr>
      <w:r>
        <w:rPr>
          <w:b/>
          <w:color w:val="B45A00"/>
          <w:sz w:val="16"/>
        </w:rPr>
        <w:t>CONTROLE CONCENTRADO</w:t>
      </w:r>
    </w:p>
    <w:p>
      <w:pPr>
        <w:ind w:left="288"/>
      </w:pPr>
      <w:r>
        <w:rPr>
          <w:color w:val="8C8C8C"/>
          <w:sz w:val="12"/>
        </w:rPr>
        <w:t>cf-art-103-par-5</w:t>
      </w:r>
      <w:r>
        <w:rPr>
          <w:color w:val="003CA0"/>
          <w:sz w:val="12"/>
        </w:rPr>
        <w:t xml:space="preserve"> | ADI 4.709</w:t>
      </w:r>
      <w:r>
        <w:rPr>
          <w:color w:val="003CA0"/>
          <w:sz w:val="12"/>
        </w:rPr>
        <w:t xml:space="preserve"> | rel. Rosa Weber</w:t>
      </w:r>
    </w:p>
    <w:p>
      <w:pPr>
        <w:ind w:left="288"/>
      </w:pPr>
      <w:r>
        <w:rPr>
          <w:color w:val="1E1E1E"/>
          <w:sz w:val="18"/>
        </w:rPr>
        <w:t xml:space="preserve">Art. 8º, V, do Regimento Interno do Conselho Nacional de Justiça. Atribuições do Corregedor Nacional de Justiça. Requisição de dados sigilosos em processos ou procedimentos administrativos de sua Competência. (...) Corregedoria Nacional de Justiça é órgão destacado, pela Constituição Federal, na arquitetura do CNJ e do controle interno do Poder Judiciário e da magistratura nacional. O arranjo institucional permite perceber atribuições próprias que visam a densificar o papel constitucional de concretização dos valores republicanos, o que afasta a alegação de inconstitucionalidade na atribuição </w:t>
      </w:r>
    </w:p>
    <w:p>
      <w:pPr>
        <w:ind w:left="288"/>
      </w:pPr>
      <w:r>
        <w:rPr>
          <w:b/>
          <w:color w:val="003CA0"/>
          <w:sz w:val="16"/>
        </w:rPr>
        <w:t>[ADI 4.709, rel. min. Rosa Weber, j. 30-5-2022, P, DJE de 9-6-2022.]</w:t>
      </w:r>
    </w:p>
    <w:p>
      <w:pPr>
        <w:ind w:left="144"/>
      </w:pPr>
      <w:r>
        <w:rPr>
          <w:b/>
          <w:color w:val="B45A00"/>
          <w:sz w:val="16"/>
        </w:rPr>
        <w:t>JULGADOS CORRELATOS</w:t>
      </w:r>
    </w:p>
    <w:p>
      <w:pPr>
        <w:ind w:left="288"/>
      </w:pPr>
      <w:r>
        <w:rPr>
          <w:color w:val="8C8C8C"/>
          <w:sz w:val="12"/>
        </w:rPr>
        <w:t>cf-art-103-par-6</w:t>
      </w:r>
      <w:r>
        <w:rPr>
          <w:color w:val="003CA0"/>
          <w:sz w:val="12"/>
        </w:rPr>
        <w:t xml:space="preserve"> | MS 25.879</w:t>
      </w:r>
      <w:r>
        <w:rPr>
          <w:color w:val="003CA0"/>
          <w:sz w:val="12"/>
        </w:rPr>
        <w:t xml:space="preserve"> | rel. Sepúlveda Pertence</w:t>
      </w:r>
    </w:p>
    <w:p>
      <w:pPr>
        <w:ind w:left="288"/>
      </w:pPr>
      <w:r>
        <w:rPr>
          <w:color w:val="1E1E1E"/>
          <w:sz w:val="18"/>
        </w:rPr>
        <w:t>Ainda que disponha o art. 103-B, § 6º, da CF que "junto ao Conselho oficiarão o PGR e o presidente do Conselho Federal da OAB", a ausência destes às sessões do Conselho não importa em nulidade das mesmas.</w:t>
      </w:r>
    </w:p>
    <w:p>
      <w:pPr>
        <w:ind w:left="288"/>
      </w:pPr>
      <w:r>
        <w:rPr>
          <w:b/>
          <w:color w:val="003CA0"/>
          <w:sz w:val="16"/>
        </w:rPr>
        <w:t>[MS 25.879 AgR, rel. min. Sepúlveda Pertence, j. 23-8-2006, P, DJ de 8-9-2006.]</w:t>
      </w:r>
    </w:p>
    <w:p>
      <w:pPr>
        <w:ind w:left="288"/>
      </w:pPr>
      <w:r>
        <w:rPr>
          <w:color w:val="8C8C8C"/>
          <w:sz w:val="12"/>
        </w:rPr>
        <w:t>cf-art-103-par-6</w:t>
      </w:r>
    </w:p>
    <w:p>
      <w:pPr>
        <w:ind w:left="288"/>
      </w:pPr>
      <w:r>
        <w:rPr>
          <w:color w:val="1E1E1E"/>
          <w:sz w:val="18"/>
        </w:rPr>
        <w:t>§ 7º A União, inclusive no Distrito Federal e nos Territórios, criará ouvidorias de justiça, competentes para receber reclamações e denúncias de qualquer interessado contra membros ou órgãos do Poder Judiciário, ou contra seus serviços auxiliares, representando diretamente ao Conselho Nacional de Justiça. (Incluído pela EC 45/2004) Seção III Do Superior Tribunal de Justiça SUMÁRIO</w:t>
      </w:r>
    </w:p>
    <w:p>
      <w:r>
        <w:rPr>
          <w:b/>
          <w:color w:val="003366"/>
          <w:sz w:val="20"/>
        </w:rPr>
        <w:t>Art. 104 Se os recursos referidos no art. 101 deste Ato das Disposições Constitu</w:t>
      </w:r>
      <w:r>
        <w:rPr>
          <w:color w:val="8C8C8C"/>
          <w:sz w:val="14"/>
        </w:rPr>
        <w:t xml:space="preserve">  [4 decisoes]</w:t>
      </w:r>
    </w:p>
    <w:p>
      <w:pPr>
        <w:ind w:left="288"/>
      </w:pPr>
      <w:r>
        <w:rPr>
          <w:color w:val="8C8C8C"/>
          <w:sz w:val="12"/>
        </w:rPr>
        <w:t>cf-art-104</w:t>
      </w:r>
    </w:p>
    <w:p>
      <w:pPr>
        <w:ind w:left="288"/>
      </w:pPr>
      <w:r>
        <w:rPr>
          <w:color w:val="1E1E1E"/>
          <w:sz w:val="18"/>
        </w:rPr>
        <w:t>Os Ministros do Superior Tribunal de Justiça serão nomeados pelo Presidente da República, dentre brasileiros com mais de trinta e cinco e menos de setenta anos de idade, de notável saber jurídico e reputação ilibada, depois de aprovada a escolha pela maioria absoluta do Senado Federal, sendo: (Redação dada pela EC n. 122/22)</w:t>
      </w:r>
    </w:p>
    <w:p>
      <w:pPr>
        <w:ind w:left="144"/>
      </w:pPr>
      <w:r>
        <w:rPr>
          <w:b/>
          <w:color w:val="B45A00"/>
          <w:sz w:val="16"/>
        </w:rPr>
        <w:t>CONTROLE CONCENTRADO</w:t>
      </w:r>
    </w:p>
    <w:p>
      <w:pPr>
        <w:ind w:left="288"/>
      </w:pPr>
      <w:r>
        <w:rPr>
          <w:color w:val="8C8C8C"/>
          <w:sz w:val="12"/>
        </w:rPr>
        <w:t>cf-art-104-inc-I</w:t>
      </w:r>
      <w:r>
        <w:rPr>
          <w:color w:val="003CA0"/>
          <w:sz w:val="12"/>
        </w:rPr>
        <w:t xml:space="preserve"> | ADI 4.078</w:t>
      </w:r>
    </w:p>
    <w:p>
      <w:pPr>
        <w:ind w:left="288"/>
      </w:pPr>
      <w:r>
        <w:rPr>
          <w:color w:val="1E1E1E"/>
          <w:sz w:val="18"/>
        </w:rPr>
        <w:t>O inciso I do art. 1º da Lei 7.746/1989 repete o inciso I do parágrafo único do art. 104 da Constituição da República. Impossibilidade de se declarar a inconstitucionalidade da norma sem correspondente declaração de inconstitucionalidade do dispositivo constitucional. A Constituição da República conferiu ao STJ discricionariedade para, entre os indicados nas listas, escolher magistrados dos tribunais regionais federais e dos tribunais de justiça independentemente da categoria pela qual neles tenha ingressado. A vedação aos magistrados egressos da advocacia ou do Ministério Público de se candid</w:t>
      </w:r>
    </w:p>
    <w:p>
      <w:pPr>
        <w:ind w:left="288"/>
      </w:pPr>
      <w:r>
        <w:rPr>
          <w:b/>
          <w:color w:val="003CA0"/>
          <w:sz w:val="16"/>
        </w:rPr>
        <w:t>[ADI 4.078, red. do ac. min. Cármen Lúcia, j. 10-11-2011, P, DJE de 13-4-2012.]</w:t>
      </w:r>
    </w:p>
    <w:p>
      <w:pPr>
        <w:ind w:left="288"/>
      </w:pPr>
      <w:r>
        <w:rPr>
          <w:color w:val="8C8C8C"/>
          <w:sz w:val="12"/>
        </w:rPr>
        <w:t>cf-art-104-inc-I</w:t>
      </w:r>
      <w:r>
        <w:rPr>
          <w:color w:val="003CA0"/>
          <w:sz w:val="12"/>
        </w:rPr>
        <w:t xml:space="preserve"> | MS 23.445</w:t>
      </w:r>
      <w:r>
        <w:rPr>
          <w:color w:val="003CA0"/>
          <w:sz w:val="12"/>
        </w:rPr>
        <w:t xml:space="preserve"> | rel. Néri da Silveira</w:t>
      </w:r>
    </w:p>
    <w:p>
      <w:pPr>
        <w:ind w:left="288"/>
      </w:pPr>
      <w:r>
        <w:rPr>
          <w:color w:val="1E1E1E"/>
          <w:sz w:val="18"/>
        </w:rPr>
        <w:t>= MS 23.445, rel. min. Néri da Silveira, j. 18-11-1999, P, DJ de 17-3-2000</w:t>
      </w:r>
    </w:p>
    <w:p>
      <w:pPr>
        <w:ind w:left="144"/>
      </w:pPr>
      <w:r>
        <w:rPr>
          <w:b/>
          <w:color w:val="B45A00"/>
          <w:sz w:val="16"/>
        </w:rPr>
        <w:t>JULGADOS CORRELATOS</w:t>
      </w:r>
    </w:p>
    <w:p>
      <w:pPr>
        <w:ind w:left="288"/>
      </w:pPr>
      <w:r>
        <w:rPr>
          <w:color w:val="8C8C8C"/>
          <w:sz w:val="12"/>
        </w:rPr>
        <w:t>cf-art-104-inc-II</w:t>
      </w:r>
      <w:r>
        <w:rPr>
          <w:color w:val="003CA0"/>
          <w:sz w:val="12"/>
        </w:rPr>
        <w:t xml:space="preserve"> | RMS 27.920</w:t>
      </w:r>
      <w:r>
        <w:rPr>
          <w:color w:val="003CA0"/>
          <w:sz w:val="12"/>
        </w:rPr>
        <w:t xml:space="preserve"> | rel. Eros Grau</w:t>
      </w:r>
    </w:p>
    <w:p>
      <w:pPr>
        <w:ind w:left="288"/>
      </w:pPr>
      <w:r>
        <w:rPr>
          <w:color w:val="1E1E1E"/>
          <w:sz w:val="18"/>
        </w:rPr>
        <w:t xml:space="preserve">A Constituição determina que um terço dos ministros do STJ seja nomeado entre "advogados e membros do Ministério Público Federal, Estadual, do Distrito Federal e Territórios, alternadamente, indicados na forma do art. 94". A elaboração da lista tríplice pelo STJ compreende a ponderação de dois requisitos a serem preenchidos pelos advogados incluíveis na terça parte de que se cuida (notório saber jurídico e reputação ilibada) e a verificação de um fato (mais de dez anos de efetiva atividade profissional). Concomitantemente, a escolha de três nomes tirados da lista sêxtupla indicada pela OAB. O </w:t>
      </w:r>
    </w:p>
    <w:p>
      <w:pPr>
        <w:ind w:left="288"/>
      </w:pPr>
      <w:r>
        <w:rPr>
          <w:b/>
          <w:color w:val="003CA0"/>
          <w:sz w:val="16"/>
        </w:rPr>
        <w:t>[RMS 27.920, rel. min. Eros Grau, j. 6-10-2009, 2ª T, DJE de 4-12-2009.]</w:t>
      </w:r>
    </w:p>
    <w:p>
      <w:pPr>
        <w:ind w:left="720"/>
      </w:pPr>
      <w:r>
        <w:rPr>
          <w:color w:val="003366"/>
          <w:sz w:val="18"/>
        </w:rPr>
        <w:t>I – o Presidente do Tribunal de Justiça local determinará o sequestro, até o lim</w:t>
      </w:r>
    </w:p>
    <w:p>
      <w:pPr>
        <w:ind w:left="720"/>
      </w:pPr>
      <w:r>
        <w:rPr>
          <w:color w:val="003366"/>
          <w:sz w:val="18"/>
        </w:rPr>
        <w:t>II – o chefe do Poder Executivo do ente federado inadimplente responderá, na for</w:t>
      </w:r>
    </w:p>
    <w:p>
      <w:pPr>
        <w:ind w:left="720"/>
      </w:pPr>
      <w:r>
        <w:rPr>
          <w:color w:val="003366"/>
          <w:sz w:val="18"/>
        </w:rPr>
        <w:t>III – a União reterá os recursos referentes aos repasses ao Fundo de Participaçã</w:t>
      </w:r>
    </w:p>
    <w:p>
      <w:pPr>
        <w:ind w:left="720"/>
      </w:pPr>
      <w:r>
        <w:rPr>
          <w:color w:val="003366"/>
          <w:sz w:val="18"/>
        </w:rPr>
        <w:t>IV – os Estados e o Comitê Gestor do Imposto sobre Bens e Serviços reterão os re</w:t>
      </w:r>
    </w:p>
    <w:p>
      <w:r>
        <w:rPr>
          <w:b/>
          <w:color w:val="003366"/>
          <w:sz w:val="20"/>
        </w:rPr>
        <w:t>Art. 105 Enquanto viger o regime de pagamento de precatórios previsto no art. 10</w:t>
      </w:r>
      <w:r>
        <w:rPr>
          <w:color w:val="8C8C8C"/>
          <w:sz w:val="14"/>
        </w:rPr>
        <w:t xml:space="preserve">  [85 decisoes]</w:t>
      </w:r>
    </w:p>
    <w:p>
      <w:pPr>
        <w:ind w:left="144"/>
      </w:pPr>
      <w:r>
        <w:rPr>
          <w:b/>
          <w:color w:val="B45A00"/>
          <w:sz w:val="16"/>
        </w:rPr>
        <w:t>REPERCUSSAO GERAL</w:t>
      </w:r>
    </w:p>
    <w:p>
      <w:pPr>
        <w:ind w:left="288"/>
      </w:pPr>
      <w:r>
        <w:rPr>
          <w:color w:val="8C8C8C"/>
          <w:sz w:val="12"/>
        </w:rPr>
        <w:t>cf-art-105</w:t>
      </w:r>
      <w:r>
        <w:rPr>
          <w:color w:val="003CA0"/>
          <w:sz w:val="12"/>
        </w:rPr>
        <w:t xml:space="preserve"> | RE 1.331.654</w:t>
      </w:r>
      <w:r>
        <w:rPr>
          <w:color w:val="003CA0"/>
          <w:sz w:val="12"/>
        </w:rPr>
        <w:t xml:space="preserve"> | rel. Luiz Fux</w:t>
      </w:r>
    </w:p>
    <w:p>
      <w:pPr>
        <w:ind w:left="288"/>
      </w:pPr>
      <w:r>
        <w:rPr>
          <w:color w:val="1E1E1E"/>
          <w:sz w:val="18"/>
        </w:rPr>
        <w:t>É infraconstitucional, a ela se aplicando os efeitos da ausência de repercussão geral, a controvérsia relativa à modulação dos efeitos de decisão proferida pelo Superior Tribunal de Justiça que, em julgamento de sua competência, definiu o termo inicial da contagem de prazo da prescrição intercorrente da pretensão executória.</w:t>
      </w:r>
    </w:p>
    <w:p>
      <w:pPr>
        <w:ind w:left="288"/>
      </w:pPr>
      <w:r>
        <w:rPr>
          <w:b/>
          <w:color w:val="003CA0"/>
          <w:sz w:val="16"/>
        </w:rPr>
        <w:t>[RE 1.331.654 RG, rel. min. Luiz Fux, j. 26-8-2021, P, DJE de 3-9-2021, Tema 1.162, com repercussão geral negada.]</w:t>
      </w:r>
    </w:p>
    <w:p>
      <w:pPr>
        <w:ind w:left="144"/>
      </w:pPr>
      <w:r>
        <w:rPr>
          <w:b/>
          <w:color w:val="B45A00"/>
          <w:sz w:val="16"/>
        </w:rPr>
        <w:t>JULGADOS CORRELATOS</w:t>
      </w:r>
    </w:p>
    <w:p>
      <w:pPr>
        <w:ind w:left="288"/>
      </w:pPr>
      <w:r>
        <w:rPr>
          <w:color w:val="8C8C8C"/>
          <w:sz w:val="12"/>
        </w:rPr>
        <w:t>cf-art-105</w:t>
      </w:r>
      <w:r>
        <w:rPr>
          <w:color w:val="003CA0"/>
          <w:sz w:val="12"/>
        </w:rPr>
        <w:t xml:space="preserve"> | HC 93.652</w:t>
      </w:r>
      <w:r>
        <w:rPr>
          <w:color w:val="003CA0"/>
          <w:sz w:val="12"/>
        </w:rPr>
        <w:t xml:space="preserve"> | rel. Ricardo Lewandowski</w:t>
      </w:r>
    </w:p>
    <w:p>
      <w:pPr>
        <w:ind w:left="288"/>
      </w:pPr>
      <w:r>
        <w:rPr>
          <w:color w:val="1E1E1E"/>
          <w:sz w:val="18"/>
        </w:rPr>
        <w:t>Tribunal do júri. Competência. Alteração de lei estadual por resolução do tribunal de justiça. (...) A ação de habeas corpus é adequada para questionar afronta a quaisquer direitos que tenham a liberdade de locomoção como condição ou suporte de seu exercício. A alteração da competência entre tribunais populares por resolução de tribunal de justiça, em possível afronta ao princípio do juízo natural da causa, deve ser apreciada pelo STJ.</w:t>
      </w:r>
    </w:p>
    <w:p>
      <w:pPr>
        <w:ind w:left="288"/>
      </w:pPr>
      <w:r>
        <w:rPr>
          <w:b/>
          <w:color w:val="003CA0"/>
          <w:sz w:val="16"/>
        </w:rPr>
        <w:t>[HC 93.652, rel. min. Ricardo Lewandowski, j. 22-4-2008, 1ª T, DJE de 6-6-2008.]</w:t>
      </w:r>
    </w:p>
    <w:p>
      <w:pPr>
        <w:ind w:left="288"/>
      </w:pPr>
      <w:r>
        <w:rPr>
          <w:color w:val="8C8C8C"/>
          <w:sz w:val="12"/>
        </w:rPr>
        <w:t>cf-art-105</w:t>
      </w:r>
      <w:r>
        <w:rPr>
          <w:color w:val="003CA0"/>
          <w:sz w:val="12"/>
        </w:rPr>
        <w:t xml:space="preserve"> | RMS 22.111</w:t>
      </w:r>
      <w:r>
        <w:rPr>
          <w:color w:val="003CA0"/>
          <w:sz w:val="12"/>
        </w:rPr>
        <w:t xml:space="preserve"> | rel. Sydney Sanches</w:t>
      </w:r>
    </w:p>
    <w:p>
      <w:pPr>
        <w:ind w:left="288"/>
      </w:pPr>
      <w:r>
        <w:rPr>
          <w:color w:val="1E1E1E"/>
          <w:sz w:val="18"/>
        </w:rPr>
        <w:t>Embora o art. 105 da CF atribua competências originárias e recursais ao STJ, nem todas, necessariamente, hão de ser exercitadas pelo Plenário ou pela Corte Especial, de que trata o inciso XI do art. 93. O mesmo ocorre, aliás, com as competências originais e recursais do STF (art. 102, I, II e III, da CF e RISTF). É que a própria Constituição, no art. 96, I, a, em norma autoaplicável, estabelece caber, exclusivamente, aos tribunais, "elaborar seus regimentos internos, dispondo sobre a competência e o funcionamento dos respectivos órgãos jurisdicionais".</w:t>
      </w:r>
    </w:p>
    <w:p>
      <w:pPr>
        <w:ind w:left="288"/>
      </w:pPr>
      <w:r>
        <w:rPr>
          <w:b/>
          <w:color w:val="003CA0"/>
          <w:sz w:val="16"/>
        </w:rPr>
        <w:t>[RMS 22.111, rel. min. Sydney Sanches, j. 14-11-1996, P, DJ de 13-6-1997.]</w:t>
      </w:r>
    </w:p>
    <w:p>
      <w:pPr>
        <w:ind w:left="288"/>
      </w:pPr>
      <w:r>
        <w:rPr>
          <w:color w:val="8C8C8C"/>
          <w:sz w:val="12"/>
        </w:rPr>
        <w:t>cf-art-105-inc-I</w:t>
      </w:r>
      <w:r>
        <w:rPr>
          <w:color w:val="003CA0"/>
          <w:sz w:val="12"/>
        </w:rPr>
        <w:t xml:space="preserve"> | ADI 4.190</w:t>
      </w:r>
      <w:r>
        <w:rPr>
          <w:color w:val="003CA0"/>
          <w:sz w:val="12"/>
        </w:rPr>
        <w:t xml:space="preserve"> | rel. Nunes Marques</w:t>
      </w:r>
    </w:p>
    <w:p>
      <w:pPr>
        <w:ind w:left="288"/>
      </w:pPr>
      <w:r>
        <w:rPr>
          <w:color w:val="1E1E1E"/>
          <w:sz w:val="18"/>
        </w:rPr>
        <w:t>a) nos crimes comuns, os Governadores dos Estados e do Distrito Federal, e, nestes e nos de responsabilidade, os desembargadores dos Tribunais de Justiça dos Estados e do Distrito Federal, os membros dos Tribunais de Contas dos Estados e do Distrito Federal, os dos Tribunais Regionais Federais, dos Tribunais Regionais Eleitorais e do Trabalho, os membros dos Conselhos ou Tribunais de Contas dos Municípios e os do Ministério Público da União que oficiem perante tribunais; As normas infirmadas, ao submeterem os Conselheiros do TCE-RJ ao julgamento da Assembleia Legislativa, afrontam a competênci</w:t>
      </w:r>
    </w:p>
    <w:p>
      <w:pPr>
        <w:ind w:left="288"/>
      </w:pPr>
      <w:r>
        <w:rPr>
          <w:b/>
          <w:color w:val="003CA0"/>
          <w:sz w:val="16"/>
        </w:rPr>
        <w:t>[ADI 4.190, rel. min. Nunes Marques, j. 24.02.2025, P, DJE de 11.03.2025.]</w:t>
      </w:r>
    </w:p>
    <w:p>
      <w:pPr>
        <w:ind w:left="144"/>
      </w:pPr>
      <w:r>
        <w:rPr>
          <w:b/>
          <w:color w:val="B45A00"/>
          <w:sz w:val="16"/>
        </w:rPr>
        <w:t>CONTROLE CONCENTRADO</w:t>
      </w:r>
    </w:p>
    <w:p>
      <w:pPr>
        <w:ind w:left="288"/>
      </w:pPr>
      <w:r>
        <w:rPr>
          <w:color w:val="8C8C8C"/>
          <w:sz w:val="12"/>
        </w:rPr>
        <w:t>cf-art-105-inc-I</w:t>
      </w:r>
      <w:r>
        <w:rPr>
          <w:color w:val="003CA0"/>
          <w:sz w:val="12"/>
        </w:rPr>
        <w:t xml:space="preserve"> | ADI 5.540</w:t>
      </w:r>
      <w:r>
        <w:rPr>
          <w:color w:val="003CA0"/>
          <w:sz w:val="12"/>
        </w:rPr>
        <w:t xml:space="preserve"> | rel. Edson Fachin</w:t>
      </w:r>
    </w:p>
    <w:p>
      <w:pPr>
        <w:ind w:left="288"/>
      </w:pPr>
      <w:r>
        <w:rPr>
          <w:color w:val="1E1E1E"/>
          <w:sz w:val="18"/>
        </w:rPr>
        <w:t>Não há fundamento normativo-constitucional expresso que faculte aos Estados possuírem em suas Constituições estaduais a exigência de autorização prévia da Assembleia Legislativa para o processamento e julgamento de Governador por crime comum perante o Superior Tribunal de Justiça. A regra do art. 51, I, CRFB, prevista de forma expressa apenas para o Presidente da República, não comporta interpretação extensiva aos Governadores de Estado, visto que excepciona a regra geral que estabelece a ausência de condição de procedibilidade política para o processamento de ação penal pública. A exigência d</w:t>
      </w:r>
    </w:p>
    <w:p>
      <w:pPr>
        <w:ind w:left="144"/>
      </w:pPr>
      <w:r>
        <w:rPr>
          <w:b/>
          <w:color w:val="B45A00"/>
          <w:sz w:val="16"/>
        </w:rPr>
        <w:t>REPERCUSSAO GERAL</w:t>
      </w:r>
    </w:p>
    <w:p>
      <w:pPr>
        <w:ind w:left="288"/>
      </w:pPr>
      <w:r>
        <w:rPr>
          <w:color w:val="8C8C8C"/>
          <w:sz w:val="12"/>
        </w:rPr>
        <w:t>cf-art-105-inc-I</w:t>
      </w:r>
      <w:r>
        <w:rPr>
          <w:color w:val="003CA0"/>
          <w:sz w:val="12"/>
        </w:rPr>
        <w:t xml:space="preserve"> | RE 549.560</w:t>
      </w:r>
      <w:r>
        <w:rPr>
          <w:color w:val="003CA0"/>
          <w:sz w:val="12"/>
        </w:rPr>
        <w:t xml:space="preserve"> | rel. Ricardo Lewandowski</w:t>
      </w:r>
    </w:p>
    <w:p>
      <w:pPr>
        <w:ind w:left="288"/>
      </w:pPr>
      <w:r>
        <w:rPr>
          <w:color w:val="1E1E1E"/>
          <w:sz w:val="18"/>
        </w:rPr>
        <w:t>A aposentadoria do magistrado, ainda que voluntária, transfere a competência para processamento e julgamento de eventual ilícito penal para o primeiro grau de jurisdição.</w:t>
        <w:br/>
        <w:t>[RE 549.560, rel. min. Ricardo Lewandowski, j. 22-3-2012, P, DJE de 30-5-2014, Tema 453.]</w:t>
      </w:r>
    </w:p>
    <w:p>
      <w:pPr>
        <w:ind w:left="144"/>
      </w:pPr>
      <w:r>
        <w:rPr>
          <w:b/>
          <w:color w:val="B45A00"/>
          <w:sz w:val="16"/>
        </w:rPr>
        <w:t>JULGADOS CORRELATOS</w:t>
      </w:r>
    </w:p>
    <w:p>
      <w:pPr>
        <w:ind w:left="288"/>
      </w:pPr>
      <w:r>
        <w:rPr>
          <w:color w:val="8C8C8C"/>
          <w:sz w:val="12"/>
        </w:rPr>
        <w:t>cf-art-105-inc-I</w:t>
      </w:r>
      <w:r>
        <w:rPr>
          <w:color w:val="003CA0"/>
          <w:sz w:val="12"/>
        </w:rPr>
        <w:t xml:space="preserve"> | INQ 2.718</w:t>
      </w:r>
      <w:r>
        <w:rPr>
          <w:color w:val="003CA0"/>
          <w:sz w:val="12"/>
        </w:rPr>
        <w:t xml:space="preserve"> | rel. Ricardo Lewandowski</w:t>
      </w:r>
    </w:p>
    <w:p>
      <w:pPr>
        <w:ind w:left="288"/>
      </w:pPr>
      <w:r>
        <w:rPr>
          <w:color w:val="1E1E1E"/>
          <w:sz w:val="18"/>
        </w:rPr>
        <w:t>Senador e governador de Estado. (...) Conforme precedentes do STF, salvo casos excepcionais, é de ser desmembrado o inquérito policial de modo a que o feito, nesta Corte, prossiga apenas em relação àqueles que possuem o foro constitucional. Desmembrado o feito, resta prejudicada questão de ordem que aventava acerca da necessidade de prévia manifestação da assembleia legislativa para o recebimento da denúncia em face de governador de Estado.</w:t>
      </w:r>
    </w:p>
    <w:p>
      <w:pPr>
        <w:ind w:left="288"/>
      </w:pPr>
      <w:r>
        <w:rPr>
          <w:b/>
          <w:color w:val="003CA0"/>
          <w:sz w:val="16"/>
        </w:rPr>
        <w:t>[Inq 2.718 QO, rel. min. Ricardo Lewandowski, j. 20-8-2009, P, DJE de 27-11-2009.]</w:t>
      </w:r>
    </w:p>
    <w:p>
      <w:pPr>
        <w:ind w:left="288"/>
      </w:pPr>
      <w:r>
        <w:rPr>
          <w:color w:val="8C8C8C"/>
          <w:sz w:val="12"/>
        </w:rPr>
        <w:t>cf-art-105-inc-I</w:t>
      </w:r>
      <w:r>
        <w:rPr>
          <w:color w:val="003CA0"/>
          <w:sz w:val="12"/>
        </w:rPr>
        <w:t xml:space="preserve"> | HC 92.893</w:t>
      </w:r>
      <w:r>
        <w:rPr>
          <w:color w:val="003CA0"/>
          <w:sz w:val="12"/>
        </w:rPr>
        <w:t xml:space="preserve"> | rel. Ricardo Lewandowski</w:t>
      </w:r>
    </w:p>
    <w:p>
      <w:pPr>
        <w:ind w:left="288"/>
      </w:pPr>
      <w:r>
        <w:rPr>
          <w:color w:val="1E1E1E"/>
          <w:sz w:val="18"/>
        </w:rPr>
        <w:t xml:space="preserve">O cerne da questão em debate neste writ consiste em saber se está ou não impedido o magistrado que, tendo presidido o inquérito, tornou-se, posteriormente, prevento para atuar como relator da ação penal. (...) Em se tratando de processos penais originários, que tramitam no STJ e no STF, regulados pela Lei 8.038/1990, de acordo com o seu art. 2º, parágrafo único, "o relator escolhido, na forma regimental (...) terá as atribuições que a legislação processual confere aos juízes singulares". Entre essas atribuições encontra-se, exatamente, a de presidir o andamento do inquérito. (...) Quer dizer, </w:t>
      </w:r>
    </w:p>
    <w:p>
      <w:pPr>
        <w:ind w:left="288"/>
      </w:pPr>
      <w:r>
        <w:rPr>
          <w:b/>
          <w:color w:val="003CA0"/>
          <w:sz w:val="16"/>
        </w:rPr>
        <w:t>[HC 92.893, voto do rel. min. Ricardo Lewandowski, j. 2-10-2008, P, DJE de 12-12-2008.]</w:t>
      </w:r>
    </w:p>
    <w:p>
      <w:pPr>
        <w:ind w:left="288"/>
      </w:pPr>
      <w:r>
        <w:rPr>
          <w:color w:val="8C8C8C"/>
          <w:sz w:val="12"/>
        </w:rPr>
        <w:t>cf-art-105-inc-I</w:t>
      </w:r>
      <w:r>
        <w:rPr>
          <w:color w:val="003CA0"/>
          <w:sz w:val="12"/>
        </w:rPr>
        <w:t xml:space="preserve"> | HC 94.278</w:t>
      </w:r>
      <w:r>
        <w:rPr>
          <w:color w:val="003CA0"/>
          <w:sz w:val="12"/>
        </w:rPr>
        <w:t xml:space="preserve"> | rel. Menezes Direito</w:t>
      </w:r>
    </w:p>
    <w:p>
      <w:pPr>
        <w:ind w:left="288"/>
      </w:pPr>
      <w:r>
        <w:rPr>
          <w:color w:val="1E1E1E"/>
          <w:sz w:val="18"/>
        </w:rPr>
        <w:t>Inquérito judicial. STJ. Investigado com prerrogativa de foro naquela Corte. Interpretação do art. 33, parágrafo único, da Loman. Trancamento. Ausência de constrangimento ilegal. Precedentes. A remessa dos autos do inquérito ao STJ deu-se por estrito cumprimento à regra de competência originária, prevista na CF (art. 105, I, a), em virtude da suposta participação do paciente, juiz federal do TRF 3ª Região, nos fatos investigados, não sendo necessária a deliberação prévia da Corte Especial daquele Superior Tribunal, cabendo ao relator dirigir o inquérito.</w:t>
      </w:r>
    </w:p>
    <w:p>
      <w:pPr>
        <w:ind w:left="288"/>
      </w:pPr>
      <w:r>
        <w:rPr>
          <w:b/>
          <w:color w:val="003CA0"/>
          <w:sz w:val="16"/>
        </w:rPr>
        <w:t>[HC 94.278, rel. min. Menezes Direito, j. 25-9-2008, P, DJE de 28-11-2008.]</w:t>
      </w:r>
    </w:p>
    <w:p>
      <w:pPr>
        <w:ind w:left="288"/>
      </w:pPr>
      <w:r>
        <w:rPr>
          <w:color w:val="8C8C8C"/>
          <w:sz w:val="12"/>
        </w:rPr>
        <w:t>cf-art-105-inc-I</w:t>
      </w:r>
      <w:r>
        <w:rPr>
          <w:color w:val="003CA0"/>
          <w:sz w:val="12"/>
        </w:rPr>
        <w:t xml:space="preserve"> | HC 89.056</w:t>
      </w:r>
      <w:r>
        <w:rPr>
          <w:color w:val="003CA0"/>
          <w:sz w:val="12"/>
        </w:rPr>
        <w:t xml:space="preserve"> | rel. Marco Aurélio</w:t>
      </w:r>
    </w:p>
    <w:p>
      <w:pPr>
        <w:ind w:left="288"/>
      </w:pPr>
      <w:r>
        <w:rPr>
          <w:color w:val="1E1E1E"/>
          <w:sz w:val="18"/>
        </w:rPr>
        <w:t>Competência. Prerrogativa de foro. Natureza da disciplina. A competência por prerrogativa de foro é de Direito estrito, não se podendo, considerada conexão ou continência, estendê-la a ponto de alcançar inquérito ou ação penal relativos a cidadão comum.</w:t>
      </w:r>
    </w:p>
    <w:p>
      <w:pPr>
        <w:ind w:left="288"/>
      </w:pPr>
      <w:r>
        <w:rPr>
          <w:b/>
          <w:color w:val="003CA0"/>
          <w:sz w:val="16"/>
        </w:rPr>
        <w:t>[HC 89.056, rel. min. Marco Aurélio, j. 12-8-2008, 1ª T, DJE de 3-10-2008.]</w:t>
      </w:r>
    </w:p>
    <w:p>
      <w:pPr>
        <w:ind w:left="288"/>
      </w:pPr>
      <w:r>
        <w:rPr>
          <w:color w:val="8C8C8C"/>
          <w:sz w:val="12"/>
        </w:rPr>
        <w:t>cf-art-105-inc-I</w:t>
      </w:r>
      <w:r>
        <w:rPr>
          <w:color w:val="003CA0"/>
          <w:sz w:val="12"/>
        </w:rPr>
        <w:t xml:space="preserve"> | HC 91.224</w:t>
      </w:r>
    </w:p>
    <w:p>
      <w:pPr>
        <w:ind w:left="288"/>
      </w:pPr>
      <w:r>
        <w:rPr>
          <w:color w:val="1E1E1E"/>
          <w:sz w:val="18"/>
        </w:rPr>
        <w:t>Foro especial. Impetração contra decisão de desmembramento de inquérito que manteve o paciente sob a jurisdição do STF por conexão. Inexistência de afronta ao princípio do juiz natural: Súmula 704 do STF. Falta de interesse de agir: não ocorrência.</w:t>
      </w:r>
    </w:p>
    <w:p>
      <w:pPr>
        <w:ind w:left="288"/>
      </w:pPr>
      <w:r>
        <w:rPr>
          <w:b/>
          <w:color w:val="003CA0"/>
          <w:sz w:val="16"/>
        </w:rPr>
        <w:t>[HC 91.224, red. do ac. min. Cármen Lúcia, j. 15-10-2007, P, DJE de 16-5-2008.]</w:t>
      </w:r>
    </w:p>
    <w:p>
      <w:pPr>
        <w:ind w:left="288"/>
      </w:pPr>
      <w:r>
        <w:rPr>
          <w:color w:val="8C8C8C"/>
          <w:sz w:val="12"/>
        </w:rPr>
        <w:t>cf-art-105-inc-I</w:t>
      </w:r>
      <w:r>
        <w:rPr>
          <w:color w:val="003CA0"/>
          <w:sz w:val="12"/>
        </w:rPr>
        <w:t xml:space="preserve"> | INQ 2.718</w:t>
      </w:r>
      <w:r>
        <w:rPr>
          <w:color w:val="003CA0"/>
          <w:sz w:val="12"/>
        </w:rPr>
        <w:t xml:space="preserve"> | rel. Ricardo Lewandowski</w:t>
      </w:r>
    </w:p>
    <w:p>
      <w:pPr>
        <w:ind w:left="288"/>
      </w:pPr>
      <w:r>
        <w:rPr>
          <w:color w:val="1E1E1E"/>
          <w:sz w:val="18"/>
        </w:rPr>
        <w:t>Vide Inq 2.718 QO, rel. min. Ricardo Lewandowski, j. 20-8-2009, P, DJE de 27-11-2009 Vide Inq 2.424, rel. min. Cezar Peluso, j. 26-11-2008, P, DJE de 26-3-2010 Não viola as garantias do juiz natural e da ampla defesa, elementares do devido processo legal, a atração, por conexão ou continência, do processo do corréu ao foro por prerrogativa de função de um dos denunciados, a qual é irrenunciável.</w:t>
      </w:r>
    </w:p>
    <w:p>
      <w:pPr>
        <w:ind w:left="288"/>
      </w:pPr>
      <w:r>
        <w:rPr>
          <w:b/>
          <w:color w:val="003CA0"/>
          <w:sz w:val="16"/>
        </w:rPr>
        <w:t>[HC 91.437, rel. min. Cezar Peluso, j. 4-9-2007, 2ª T, DJ de 19-10-2007.]</w:t>
      </w:r>
    </w:p>
    <w:p>
      <w:pPr>
        <w:ind w:left="288"/>
      </w:pPr>
      <w:r>
        <w:rPr>
          <w:color w:val="8C8C8C"/>
          <w:sz w:val="12"/>
        </w:rPr>
        <w:t>cf-art-105-inc-I</w:t>
      </w:r>
      <w:r>
        <w:rPr>
          <w:color w:val="003CA0"/>
          <w:sz w:val="12"/>
        </w:rPr>
        <w:t xml:space="preserve"> | HC 89.417</w:t>
      </w:r>
      <w:r>
        <w:rPr>
          <w:color w:val="003CA0"/>
          <w:sz w:val="12"/>
        </w:rPr>
        <w:t xml:space="preserve"> | rel. Cármen Lúcia</w:t>
      </w:r>
    </w:p>
    <w:p>
      <w:pPr>
        <w:ind w:left="288"/>
      </w:pPr>
      <w:r>
        <w:rPr>
          <w:color w:val="1E1E1E"/>
          <w:sz w:val="18"/>
        </w:rPr>
        <w:t>= HC 89.417, rel. min. Cármen Lúcia, j. 22-8-2006, 1ª T, DJ de 15-12-2006 Competência. Prerrogativa de foro. Perpetuação. Art. 84, § 1º, do CPP. Alcance. Na dicção da ilustrada maioria, vencido o relator, a previsão do art. 84, § 1º, do CPP não alcança fatos a envolver governador de Estado (...).</w:t>
      </w:r>
    </w:p>
    <w:p>
      <w:pPr>
        <w:ind w:left="288"/>
      </w:pPr>
      <w:r>
        <w:rPr>
          <w:b/>
          <w:color w:val="003CA0"/>
          <w:sz w:val="16"/>
        </w:rPr>
        <w:t>[HC 85.675 QO, rel. min. Marco Aurélio, j. 17-5-2005, 1ª T, DJ de 19-8-2005.]</w:t>
      </w:r>
    </w:p>
    <w:p>
      <w:pPr>
        <w:ind w:left="288"/>
      </w:pPr>
      <w:r>
        <w:rPr>
          <w:color w:val="8C8C8C"/>
          <w:sz w:val="12"/>
        </w:rPr>
        <w:t>cf-art-105-inc-I</w:t>
      </w:r>
      <w:r>
        <w:rPr>
          <w:color w:val="003CA0"/>
          <w:sz w:val="12"/>
        </w:rPr>
        <w:t xml:space="preserve"> | HC 84.301</w:t>
      </w:r>
      <w:r>
        <w:rPr>
          <w:color w:val="003CA0"/>
          <w:sz w:val="12"/>
        </w:rPr>
        <w:t xml:space="preserve"> | rel. Joaquim Barbosa</w:t>
      </w:r>
    </w:p>
    <w:p>
      <w:pPr>
        <w:ind w:left="288"/>
      </w:pPr>
      <w:r>
        <w:rPr>
          <w:color w:val="1E1E1E"/>
          <w:sz w:val="18"/>
        </w:rPr>
        <w:t>Incompetência absoluta do TRF 3ª Região para julgar os fatos imputados ao paciente, dada a suposta participação de subprocurador da República, o que determinaria a competência do STJ (art. 105, I, a, da Constituição). Ainda não houve o oferecimento de denúncia contra o subprocurador da República, de modo que não há como deslocar a competência para o STJ.</w:t>
      </w:r>
    </w:p>
    <w:p>
      <w:pPr>
        <w:ind w:left="288"/>
      </w:pPr>
      <w:r>
        <w:rPr>
          <w:b/>
          <w:color w:val="003CA0"/>
          <w:sz w:val="16"/>
        </w:rPr>
        <w:t>[HC 84.301, rel. min. Joaquim Barbosa, j. 9-11-2004, 2ª T, DJ de 24-3-2006.]</w:t>
      </w:r>
    </w:p>
    <w:p>
      <w:pPr>
        <w:ind w:left="288"/>
      </w:pPr>
      <w:r>
        <w:rPr>
          <w:color w:val="8C8C8C"/>
          <w:sz w:val="12"/>
        </w:rPr>
        <w:t>cf-art-105-inc-I</w:t>
      </w:r>
      <w:r>
        <w:rPr>
          <w:color w:val="003CA0"/>
          <w:sz w:val="12"/>
        </w:rPr>
        <w:t xml:space="preserve"> | MS 23.554</w:t>
      </w:r>
      <w:r>
        <w:rPr>
          <w:color w:val="003CA0"/>
          <w:sz w:val="12"/>
        </w:rPr>
        <w:t xml:space="preserve"> | rel. Ilmar Galvão</w:t>
      </w:r>
    </w:p>
    <w:p>
      <w:pPr>
        <w:ind w:left="288"/>
      </w:pPr>
      <w:r>
        <w:rPr>
          <w:color w:val="1E1E1E"/>
          <w:sz w:val="18"/>
        </w:rPr>
        <w:t>Ato de CPI que determinou a quebra dos sigilos bancário, fiscal e de registro de dados telefônicos do impetrante. Alegada incompetência do órgão para investigar conselheiro de tribunal de contas. Improcedência da preliminar de incompetência, dado não se configurar, no caso, a hipótese prevista no art. 105, I, a, da Constituição, qual seja, de processamento e julgamento de crime comum atribuído a integrante de órgão público da espécie em causa.</w:t>
      </w:r>
    </w:p>
    <w:p>
      <w:pPr>
        <w:ind w:left="288"/>
      </w:pPr>
      <w:r>
        <w:rPr>
          <w:b/>
          <w:color w:val="003CA0"/>
          <w:sz w:val="16"/>
        </w:rPr>
        <w:t>[MS 23.554, rel. min. Ilmar Galvão, j. 29-11-2000, P, DJ de 23-2-2001.]</w:t>
      </w:r>
    </w:p>
    <w:p>
      <w:pPr>
        <w:ind w:left="288"/>
      </w:pPr>
      <w:r>
        <w:rPr>
          <w:color w:val="8C8C8C"/>
          <w:sz w:val="12"/>
        </w:rPr>
        <w:t>cf-art-105-inc-I</w:t>
      </w:r>
      <w:r>
        <w:rPr>
          <w:color w:val="003CA0"/>
          <w:sz w:val="12"/>
        </w:rPr>
        <w:t xml:space="preserve"> | HC 79.212</w:t>
      </w:r>
      <w:r>
        <w:rPr>
          <w:color w:val="003CA0"/>
          <w:sz w:val="12"/>
        </w:rPr>
        <w:t xml:space="preserve"> | rel. Marco Aurélio</w:t>
      </w:r>
    </w:p>
    <w:p>
      <w:pPr>
        <w:ind w:left="288"/>
      </w:pPr>
      <w:r>
        <w:rPr>
          <w:color w:val="1E1E1E"/>
          <w:sz w:val="18"/>
        </w:rPr>
        <w:t>A competência do tribunal do júri para o julgamento dos crimes dolosos contra a vida é mitigada pela própria Carta da República, no que prevista prerrogativa de foro, tendo em conta a dignidade de certos cargos e a relevância destes para o Estado. Simetria a ser observada, visto que o Diploma Maior local rege o tema em harmonia com a Carta Federal, no que esta revela a competência do STJ para julgar, nos crimes comuns, os membros do Ministério Público junto ao TCU.</w:t>
      </w:r>
    </w:p>
    <w:p>
      <w:pPr>
        <w:ind w:left="288"/>
      </w:pPr>
      <w:r>
        <w:rPr>
          <w:b/>
          <w:color w:val="003CA0"/>
          <w:sz w:val="16"/>
        </w:rPr>
        <w:t>[HC 79.212, rel. min. Marco Aurélio, j. 29-6-1999, 2ª T, DJ de 7-9-1999.]</w:t>
      </w:r>
    </w:p>
    <w:p>
      <w:pPr>
        <w:ind w:left="288"/>
      </w:pPr>
      <w:r>
        <w:rPr>
          <w:color w:val="8C8C8C"/>
          <w:sz w:val="12"/>
        </w:rPr>
        <w:t>cf-art-105-inc-I</w:t>
      </w:r>
      <w:r>
        <w:rPr>
          <w:color w:val="003CA0"/>
          <w:sz w:val="12"/>
        </w:rPr>
        <w:t xml:space="preserve"> | HC 73.801</w:t>
      </w:r>
      <w:r>
        <w:rPr>
          <w:color w:val="003CA0"/>
          <w:sz w:val="12"/>
        </w:rPr>
        <w:t xml:space="preserve"> | rel. Celso de Mello</w:t>
      </w:r>
    </w:p>
    <w:p>
      <w:pPr>
        <w:ind w:left="288"/>
      </w:pPr>
      <w:r>
        <w:rPr>
          <w:color w:val="1E1E1E"/>
          <w:sz w:val="18"/>
        </w:rPr>
        <w:t>Os membros do MPU, que atuam perante quaisquer tribunais judiciários, estão sujeitos à jurisdição penal originária do STJ (CF, art. 105, I, a, in fine), a quem compete processá-los e julgá-los nos ilícitos penais comuns, ressalvada a prerrogativa de foro do PGR, que tem, no STF, o seu juiz natural. (CF, art. 102, I, b). A superveniente investidura do membro do MPU, em cargo ou em função por ele efetivamente exercido perante tribunais, tem a virtude de deslocar, ope constitutionis, para o STJ, a competência originária para o respectivo processo penal condenatório, ainda que a suposta prática de</w:t>
      </w:r>
    </w:p>
    <w:p>
      <w:pPr>
        <w:ind w:left="288"/>
      </w:pPr>
      <w:r>
        <w:rPr>
          <w:b/>
          <w:color w:val="003CA0"/>
          <w:sz w:val="16"/>
        </w:rPr>
        <w:t>[HC 73.801, rel. min. Celso de Mello, j. 25-6-1996, 1ª T, DJ de 27-6-1997.]</w:t>
      </w:r>
    </w:p>
    <w:p>
      <w:pPr>
        <w:ind w:left="288"/>
      </w:pPr>
      <w:r>
        <w:rPr>
          <w:color w:val="8C8C8C"/>
          <w:sz w:val="12"/>
        </w:rPr>
        <w:t>cf-art-105-inc-I</w:t>
      </w:r>
      <w:r>
        <w:rPr>
          <w:color w:val="003CA0"/>
          <w:sz w:val="12"/>
        </w:rPr>
        <w:t xml:space="preserve"> | RHC 84.184</w:t>
      </w:r>
      <w:r>
        <w:rPr>
          <w:color w:val="003CA0"/>
          <w:sz w:val="12"/>
        </w:rPr>
        <w:t xml:space="preserve"> | rel. Cezar Peluso</w:t>
      </w:r>
    </w:p>
    <w:p>
      <w:pPr>
        <w:ind w:left="288"/>
      </w:pPr>
      <w:r>
        <w:rPr>
          <w:color w:val="1E1E1E"/>
          <w:sz w:val="18"/>
        </w:rPr>
        <w:t>= RHC 84.184, rel. min. Cezar Peluso, j. 6-6-2006, 1ª T, DJ de 25-8-2006 A expressão "crime comum", na linguagem constitucional, é usada em contraposição aos impropriamente chamados crimes de responsabilidade, cuja sanção é política, e abrange, por conseguinte, todo e qualquer delito, entre outros, os crimes eleitorais. Jurisprudência antiga e harmônica do STF. Competência originária do STJ para processar e julgar governador de Estado acusado da prática de crime comum, Constituição, art. 105, I, a.</w:t>
      </w:r>
    </w:p>
    <w:p>
      <w:pPr>
        <w:ind w:left="288"/>
      </w:pPr>
      <w:r>
        <w:rPr>
          <w:b/>
          <w:color w:val="003CA0"/>
          <w:sz w:val="16"/>
        </w:rPr>
        <w:t>[CJ 6.971, rel. min. Paulo Brossard, j. 30-10-1991, P, DJ de 21-2-1992.]</w:t>
      </w:r>
    </w:p>
    <w:p>
      <w:pPr>
        <w:ind w:left="288"/>
      </w:pPr>
      <w:r>
        <w:rPr>
          <w:color w:val="8C8C8C"/>
          <w:sz w:val="12"/>
        </w:rPr>
        <w:t>cf-art-105-inc-I-ali-b</w:t>
      </w:r>
      <w:r>
        <w:rPr>
          <w:color w:val="003CA0"/>
          <w:sz w:val="12"/>
        </w:rPr>
        <w:t xml:space="preserve"> | RMS 40.429</w:t>
      </w:r>
      <w:r>
        <w:rPr>
          <w:color w:val="003CA0"/>
          <w:sz w:val="12"/>
        </w:rPr>
        <w:t xml:space="preserve"> | rel. Gilmar Mendes</w:t>
      </w:r>
    </w:p>
    <w:p>
      <w:pPr>
        <w:ind w:left="288"/>
      </w:pPr>
      <w:r>
        <w:rPr>
          <w:color w:val="1E1E1E"/>
          <w:sz w:val="18"/>
        </w:rPr>
        <w:t>A Constituição Federal, em seu artigo 105, inciso I, alínea "b", estabelece taxativamente as autoridades cujos atos o Superior Tribunal de Justiça é competente para processar e julgar em mandado de segurança, não incluindo atos do Ministro Corregedor-Geral, no exercício da Presidência da Turma Nacional de Uniformização.</w:t>
      </w:r>
    </w:p>
    <w:p>
      <w:pPr>
        <w:ind w:left="288"/>
      </w:pPr>
      <w:r>
        <w:rPr>
          <w:b/>
          <w:color w:val="003CA0"/>
          <w:sz w:val="16"/>
        </w:rPr>
        <w:t>[RMS 40.429 ED, rel. min. Gilmar Mendes, j. 29.09.2025, 2ª T, DJE de 01.10.2025.]</w:t>
      </w:r>
    </w:p>
    <w:p>
      <w:pPr>
        <w:ind w:left="288"/>
      </w:pPr>
      <w:r>
        <w:rPr>
          <w:color w:val="8C8C8C"/>
          <w:sz w:val="12"/>
        </w:rPr>
        <w:t>cf-art-105-inc-I-ali-b</w:t>
      </w:r>
      <w:r>
        <w:rPr>
          <w:color w:val="003CA0"/>
          <w:sz w:val="12"/>
        </w:rPr>
        <w:t xml:space="preserve"> | RCL 10.707</w:t>
      </w:r>
      <w:r>
        <w:rPr>
          <w:color w:val="003CA0"/>
          <w:sz w:val="12"/>
        </w:rPr>
        <w:t xml:space="preserve"> | rel. Celso de Mello</w:t>
      </w:r>
    </w:p>
    <w:p>
      <w:pPr>
        <w:ind w:left="288"/>
      </w:pPr>
      <w:r>
        <w:rPr>
          <w:color w:val="1E1E1E"/>
          <w:sz w:val="18"/>
        </w:rPr>
        <w:t xml:space="preserve">Mostra-se irrecusável concluir, desse modo, que a Terceira Seção do E. STJ atuou, no processo mandamental em referência, dentro dos estritos limites de sua própria competência, sem que se possa atribuir, portanto, a essa colenda Corte judiciária, ora apontada como reclamada, a prática de ato usurpador da competência do STF. Na realidade, o ora interessado ajuizou ação de mandado de segurança, perante o STJ, porque nela apontado, como autoridade coatora, o ministro da Justiça, em decorrência de ato compreendido em suas atribuições como agente político auxiliar do presidente da República. (...) </w:t>
      </w:r>
    </w:p>
    <w:p>
      <w:pPr>
        <w:ind w:left="288"/>
      </w:pPr>
      <w:r>
        <w:rPr>
          <w:b/>
          <w:color w:val="003CA0"/>
          <w:sz w:val="16"/>
        </w:rPr>
        <w:t>[Rcl 10.707 AgR, voto do rel. min. Celso de Mello, j. 28-5-2014, P, DJE de 30-10-2014.]</w:t>
      </w:r>
    </w:p>
    <w:p>
      <w:pPr>
        <w:ind w:left="288"/>
      </w:pPr>
      <w:r>
        <w:rPr>
          <w:color w:val="8C8C8C"/>
          <w:sz w:val="12"/>
        </w:rPr>
        <w:t>cf-art-105-inc-I-ali-b</w:t>
      </w:r>
      <w:r>
        <w:rPr>
          <w:color w:val="003CA0"/>
          <w:sz w:val="12"/>
        </w:rPr>
        <w:t xml:space="preserve"> | RMS 26.413</w:t>
      </w:r>
      <w:r>
        <w:rPr>
          <w:color w:val="003CA0"/>
          <w:sz w:val="12"/>
        </w:rPr>
        <w:t xml:space="preserve"> | rel. Cármen Lúcia</w:t>
      </w:r>
    </w:p>
    <w:p>
      <w:pPr>
        <w:ind w:left="288"/>
      </w:pPr>
      <w:r>
        <w:rPr>
          <w:color w:val="1E1E1E"/>
          <w:sz w:val="18"/>
        </w:rPr>
        <w:t>Incompetência do STJ para processar e julgar ato dos presidentes do Superior Tribunal de Justiça Desportiva e da Confederação Brasileira de Futebol. O rol do art. 105, I, b, da Constituição da República é taxativo e não admite interpretação extensiva.</w:t>
      </w:r>
    </w:p>
    <w:p>
      <w:pPr>
        <w:ind w:left="288"/>
      </w:pPr>
      <w:r>
        <w:rPr>
          <w:b/>
          <w:color w:val="003CA0"/>
          <w:sz w:val="16"/>
        </w:rPr>
        <w:t>[RMS 26.413 AgR, rel. min. Cármen Lúcia, j. 26-4-2011, 1ª T, DJE de 24-5-2011.]</w:t>
      </w:r>
    </w:p>
    <w:p>
      <w:pPr>
        <w:ind w:left="288"/>
      </w:pPr>
      <w:r>
        <w:rPr>
          <w:color w:val="8C8C8C"/>
          <w:sz w:val="12"/>
        </w:rPr>
        <w:t>cf-art-105-inc-I-ali-b</w:t>
      </w:r>
      <w:r>
        <w:rPr>
          <w:color w:val="003CA0"/>
          <w:sz w:val="12"/>
        </w:rPr>
        <w:t xml:space="preserve"> | HC 99.010</w:t>
      </w:r>
      <w:r>
        <w:rPr>
          <w:color w:val="003CA0"/>
          <w:sz w:val="12"/>
        </w:rPr>
        <w:t xml:space="preserve"> | rel. Eros Grau</w:t>
      </w:r>
    </w:p>
    <w:p>
      <w:pPr>
        <w:ind w:left="288"/>
      </w:pPr>
      <w:r>
        <w:rPr>
          <w:color w:val="1E1E1E"/>
          <w:sz w:val="18"/>
        </w:rPr>
        <w:t>A competência originária do STJ para julgar mandado de segurança está definida, numerus clausus, no art. 105, I, b, da Constituição do Brasil. O STJ não é competente para julgar mandado de segurança impetrado contra atos de outros tribunais ou dos seus respectivos órgãos.</w:t>
      </w:r>
    </w:p>
    <w:p>
      <w:pPr>
        <w:ind w:left="288"/>
      </w:pPr>
      <w:r>
        <w:rPr>
          <w:b/>
          <w:color w:val="003CA0"/>
          <w:sz w:val="16"/>
        </w:rPr>
        <w:t>[HC 99.010, rel. min. Eros Grau, j. 15-9-2009, 2ª T, DJE de 6-11-2009.]</w:t>
      </w:r>
    </w:p>
    <w:p>
      <w:pPr>
        <w:ind w:left="288"/>
      </w:pPr>
      <w:r>
        <w:rPr>
          <w:color w:val="8C8C8C"/>
          <w:sz w:val="12"/>
        </w:rPr>
        <w:t>cf-art-105-inc-I-ali-b</w:t>
      </w:r>
      <w:r>
        <w:rPr>
          <w:color w:val="003CA0"/>
          <w:sz w:val="12"/>
        </w:rPr>
        <w:t xml:space="preserve"> | RMS 26.369</w:t>
      </w:r>
    </w:p>
    <w:p>
      <w:pPr>
        <w:ind w:left="288"/>
      </w:pPr>
      <w:r>
        <w:rPr>
          <w:color w:val="1E1E1E"/>
          <w:sz w:val="18"/>
        </w:rPr>
        <w:t>Ministro de Estado não é autoridade competente para determinar a expedição de diploma, tendo a universidade autonomia específica para a prática desse ato. Desqualificada a autoridade apontada como coatora, ministro de Estado da Educação, determina-se a remessa dos autos ao tribunal competente para julgar o mandado de segurança com relação às outras autoridades apontadas como coatoras.</w:t>
      </w:r>
    </w:p>
    <w:p>
      <w:pPr>
        <w:ind w:left="288"/>
      </w:pPr>
      <w:r>
        <w:rPr>
          <w:b/>
          <w:color w:val="003CA0"/>
          <w:sz w:val="16"/>
        </w:rPr>
        <w:t>[RMS 26.369, red. do ac. min. Menezes Direito, j. 9-9-2008, 1ª T, DJE de 19-12-2008.]</w:t>
      </w:r>
    </w:p>
    <w:p>
      <w:pPr>
        <w:ind w:left="288"/>
      </w:pPr>
      <w:r>
        <w:rPr>
          <w:color w:val="8C8C8C"/>
          <w:sz w:val="12"/>
        </w:rPr>
        <w:t>cf-art-105-inc-I-ali-b</w:t>
      </w:r>
      <w:r>
        <w:rPr>
          <w:color w:val="003CA0"/>
          <w:sz w:val="12"/>
        </w:rPr>
        <w:t xml:space="preserve"> | RMS 25.479</w:t>
      </w:r>
      <w:r>
        <w:rPr>
          <w:color w:val="003CA0"/>
          <w:sz w:val="12"/>
        </w:rPr>
        <w:t xml:space="preserve"> | rel. Joaquim Barbosa</w:t>
      </w:r>
    </w:p>
    <w:p>
      <w:pPr>
        <w:ind w:left="288"/>
      </w:pPr>
      <w:r>
        <w:rPr>
          <w:color w:val="1E1E1E"/>
          <w:sz w:val="18"/>
        </w:rPr>
        <w:t>O STJ é incompetente para julgar ato do Conselho Superior da AGU.</w:t>
      </w:r>
    </w:p>
    <w:p>
      <w:pPr>
        <w:ind w:left="288"/>
      </w:pPr>
      <w:r>
        <w:rPr>
          <w:b/>
          <w:color w:val="003CA0"/>
          <w:sz w:val="16"/>
        </w:rPr>
        <w:t>[RMS 25.479, rel. min. Joaquim Barbosa, j. 20-9-2005, 2ª T, DJ de 25-11-2005.]</w:t>
      </w:r>
    </w:p>
    <w:p>
      <w:pPr>
        <w:ind w:left="288"/>
      </w:pPr>
      <w:r>
        <w:rPr>
          <w:color w:val="8C8C8C"/>
          <w:sz w:val="12"/>
        </w:rPr>
        <w:t>cf-art-105-inc-I-ali-b</w:t>
      </w:r>
      <w:r>
        <w:rPr>
          <w:color w:val="003CA0"/>
          <w:sz w:val="12"/>
        </w:rPr>
        <w:t xml:space="preserve"> | MS 20.969</w:t>
      </w:r>
      <w:r>
        <w:rPr>
          <w:color w:val="003CA0"/>
          <w:sz w:val="12"/>
        </w:rPr>
        <w:t xml:space="preserve"> | rel. Carlos Velloso</w:t>
      </w:r>
    </w:p>
    <w:p>
      <w:pPr>
        <w:ind w:left="288"/>
      </w:pPr>
      <w:r>
        <w:rPr>
          <w:color w:val="1E1E1E"/>
          <w:sz w:val="18"/>
        </w:rPr>
        <w:t>A Constituição e a Loman desejam que os mandados de segurança impetrados contra atos de tribunal sejam resolvidos, originariamente, no âmbito do próprio tribunal, com os recursos cabíveis. (CF, art. 102, I, d; art. 105, I, b; art. 108, I, c; Loman, art. 21, VI).</w:t>
      </w:r>
    </w:p>
    <w:p>
      <w:pPr>
        <w:ind w:left="288"/>
      </w:pPr>
      <w:r>
        <w:rPr>
          <w:b/>
          <w:color w:val="003CA0"/>
          <w:sz w:val="16"/>
        </w:rPr>
        <w:t>[MS 20.969 AgR, rel. min. Carlos Velloso, j. 9-8-1990, P, DJ de 31-8-1990.]</w:t>
      </w:r>
    </w:p>
    <w:p>
      <w:pPr>
        <w:ind w:left="288"/>
      </w:pPr>
      <w:r>
        <w:rPr>
          <w:color w:val="8C8C8C"/>
          <w:sz w:val="12"/>
        </w:rPr>
        <w:t>cf-art-105-inc-I-ali-b</w:t>
      </w:r>
      <w:r>
        <w:rPr>
          <w:color w:val="003CA0"/>
          <w:sz w:val="12"/>
        </w:rPr>
        <w:t xml:space="preserve"> | rel. Aldir Passarinho</w:t>
      </w:r>
    </w:p>
    <w:p>
      <w:pPr>
        <w:ind w:left="288"/>
      </w:pPr>
      <w:r>
        <w:rPr>
          <w:color w:val="1E1E1E"/>
          <w:sz w:val="18"/>
        </w:rPr>
        <w:t>Tendo em vista o disposto no art. 105, I, b, da nova Carta Política, a competência para julgar habeas data requerido contra o Serviço Nacional de Informações, cujo titular possui o status de ministro de Estado e contra o ministro da Marinha e do STJ.</w:t>
      </w:r>
    </w:p>
    <w:p>
      <w:pPr>
        <w:ind w:left="288"/>
      </w:pPr>
      <w:r>
        <w:rPr>
          <w:b/>
          <w:color w:val="003CA0"/>
          <w:sz w:val="16"/>
        </w:rPr>
        <w:t>[HD 18 QO, rel. min. Aldir Passarinho, j. 27-4-1989, P, DJ de 9-6-1989.]</w:t>
      </w:r>
    </w:p>
    <w:p>
      <w:pPr>
        <w:ind w:left="288"/>
      </w:pPr>
      <w:r>
        <w:rPr>
          <w:color w:val="8C8C8C"/>
          <w:sz w:val="12"/>
        </w:rPr>
        <w:t>cf-art-105-inc-I-ali-b</w:t>
      </w:r>
    </w:p>
    <w:p>
      <w:pPr>
        <w:ind w:left="288"/>
      </w:pPr>
      <w:r>
        <w:rPr>
          <w:color w:val="1E1E1E"/>
          <w:sz w:val="18"/>
        </w:rPr>
        <w:t>c) os habeas corpus, quando o coator ou paciente for qualquer das pessoas mencionadas na alínea a, ou quando o coator for tribunal sujeito à sua jurisdição, Ministro de Estado ou Comandante da Marinha, do Exército ou da Aeronáutica, ressalvada a competência da Justiça Eleitoral; (Redação da EC 23/1999)</w:t>
      </w:r>
    </w:p>
    <w:p>
      <w:pPr>
        <w:ind w:left="144"/>
      </w:pPr>
      <w:r>
        <w:rPr>
          <w:b/>
          <w:color w:val="B45A00"/>
          <w:sz w:val="16"/>
        </w:rPr>
        <w:t>CONTROLE CONCENTRADO</w:t>
      </w:r>
    </w:p>
    <w:p>
      <w:pPr>
        <w:ind w:left="288"/>
      </w:pPr>
      <w:r>
        <w:rPr>
          <w:color w:val="8C8C8C"/>
          <w:sz w:val="12"/>
        </w:rPr>
        <w:t>cf-art-105-inc-I-ali-b</w:t>
      </w:r>
      <w:r>
        <w:rPr>
          <w:color w:val="003CA0"/>
          <w:sz w:val="12"/>
        </w:rPr>
        <w:t xml:space="preserve"> | ADI 5.278</w:t>
      </w:r>
      <w:r>
        <w:rPr>
          <w:color w:val="003CA0"/>
          <w:sz w:val="12"/>
        </w:rPr>
        <w:t xml:space="preserve"> | rel. Gilmar Mendes</w:t>
      </w:r>
    </w:p>
    <w:p>
      <w:pPr>
        <w:ind w:left="288"/>
      </w:pPr>
      <w:r>
        <w:rPr>
          <w:color w:val="1E1E1E"/>
          <w:sz w:val="18"/>
        </w:rPr>
        <w:t>A Constituição Federal atribui ao Superior Tribunal de Justiça a competência para processar e julgar a ação de habeas corpus quando o coator for desembargador do Tribunal de Justiça do Distrito Federal, membro do Tribunal de Contas do Distrito Federal e membro do Ministério Público da União que oficie perante tribunais. O dispositivo impugnado atribui ao TJDFT a competência para julgar ações de habeas corpus que, por disposição constitucional, são da competência do STJ. Ação julgada procedente para declarar a inconstitucionalidade parcial, sem redução do texto, ao art. 8º, I, c e d, da Lei 11.</w:t>
      </w:r>
    </w:p>
    <w:p>
      <w:pPr>
        <w:ind w:left="144"/>
      </w:pPr>
      <w:r>
        <w:rPr>
          <w:b/>
          <w:color w:val="B45A00"/>
          <w:sz w:val="16"/>
        </w:rPr>
        <w:t>JULGADOS CORRELATOS</w:t>
      </w:r>
    </w:p>
    <w:p>
      <w:pPr>
        <w:ind w:left="288"/>
      </w:pPr>
      <w:r>
        <w:rPr>
          <w:color w:val="8C8C8C"/>
          <w:sz w:val="12"/>
        </w:rPr>
        <w:t>cf-art-105-inc-I-ali-b</w:t>
      </w:r>
      <w:r>
        <w:rPr>
          <w:color w:val="003CA0"/>
          <w:sz w:val="12"/>
        </w:rPr>
        <w:t xml:space="preserve"> | HC 85.702</w:t>
      </w:r>
      <w:r>
        <w:rPr>
          <w:color w:val="003CA0"/>
          <w:sz w:val="12"/>
        </w:rPr>
        <w:t xml:space="preserve"> | rel. Sepúlveda Pertence). [RHC 110.709</w:t>
      </w:r>
    </w:p>
    <w:p>
      <w:pPr>
        <w:ind w:left="288"/>
      </w:pPr>
      <w:r>
        <w:rPr>
          <w:color w:val="1E1E1E"/>
          <w:sz w:val="18"/>
        </w:rPr>
        <w:t>Não se pode estabelecer, como uma espécie de condição processual para o conhecimento do habeas corpus ajuizado no STJ, a prévia interposição de recurso especial contra o acórdão proferido pelo tribunal de segundo grau, em sede de apelação. Condição processual essa que não ressai do art. 105 da CF de 1988, no sentido de que é da competência da Casa Superior de Justiça processar e julgar, originariamente, "os habeas corpus, quando o coator ou paciente for qualquer das pessoas mencionadas na alínea a, ou quando o coator for tribunal sujeito à sua jurisdição, ministro de Estado ou comandante da Ma</w:t>
      </w:r>
    </w:p>
    <w:p>
      <w:pPr>
        <w:ind w:left="288"/>
      </w:pPr>
      <w:r>
        <w:rPr>
          <w:b/>
          <w:color w:val="003CA0"/>
          <w:sz w:val="16"/>
        </w:rPr>
        <w:t>[RHC 110.709, rel. min. Ayres Britto, j. 6-12-2011, 2ª T, DJE de 18-5-2012.]</w:t>
      </w:r>
    </w:p>
    <w:p>
      <w:pPr>
        <w:ind w:left="288"/>
      </w:pPr>
      <w:r>
        <w:rPr>
          <w:color w:val="8C8C8C"/>
          <w:sz w:val="12"/>
        </w:rPr>
        <w:t>cf-art-105-inc-I-ali-b</w:t>
      </w:r>
      <w:r>
        <w:rPr>
          <w:color w:val="003CA0"/>
          <w:sz w:val="12"/>
        </w:rPr>
        <w:t xml:space="preserve"> | RHC 110.710</w:t>
      </w:r>
      <w:r>
        <w:rPr>
          <w:color w:val="003CA0"/>
          <w:sz w:val="12"/>
        </w:rPr>
        <w:t xml:space="preserve"> | rel. Luiz Fux</w:t>
      </w:r>
    </w:p>
    <w:p>
      <w:pPr>
        <w:ind w:left="288"/>
      </w:pPr>
      <w:r>
        <w:rPr>
          <w:color w:val="1E1E1E"/>
          <w:sz w:val="18"/>
        </w:rPr>
        <w:t>= RHC 110.710, rel. min. Luiz Fux, j. 4-9-2012, 1ª T, DJE de 28-9-2012 A competência do STJ para julgar habeas corpus é determinada constitucionalmente em razão do paciente ou da autoridade coatora (art. 105, I, c, da CF). Nesse rol constitucionalmente afirmado, não se inclui a atribuição daquele Superior Tribunal para processar e julgar, originariamente, ação de habeas corpus na qual figure como autoridade coatora juiz de direito.</w:t>
      </w:r>
    </w:p>
    <w:p>
      <w:pPr>
        <w:ind w:left="288"/>
      </w:pPr>
      <w:r>
        <w:rPr>
          <w:b/>
          <w:color w:val="003CA0"/>
          <w:sz w:val="16"/>
        </w:rPr>
        <w:t>[HC 94.067, rel. min. Cármen Lúcia, j. 28-10-2008, 1ª T, DJE de 13-3-2009.]</w:t>
      </w:r>
    </w:p>
    <w:p>
      <w:pPr>
        <w:ind w:left="288"/>
      </w:pPr>
      <w:r>
        <w:rPr>
          <w:color w:val="8C8C8C"/>
          <w:sz w:val="12"/>
        </w:rPr>
        <w:t>cf-art-105-inc-I-ali-b</w:t>
      </w:r>
      <w:r>
        <w:rPr>
          <w:color w:val="003CA0"/>
          <w:sz w:val="12"/>
        </w:rPr>
        <w:t xml:space="preserve"> | HC 77.626</w:t>
      </w:r>
      <w:r>
        <w:rPr>
          <w:color w:val="003CA0"/>
          <w:sz w:val="12"/>
        </w:rPr>
        <w:t xml:space="preserve"> | rel. Marco Aurélio</w:t>
      </w:r>
    </w:p>
    <w:p>
      <w:pPr>
        <w:ind w:left="288"/>
      </w:pPr>
      <w:r>
        <w:rPr>
          <w:color w:val="1E1E1E"/>
          <w:sz w:val="18"/>
        </w:rPr>
        <w:t>A EC 22/1999 excepcionou a regra segundo a qual define a competência para julgamento de habeas a qualificação dos envolvidos. Embora os integrantes dos tribunais de alçada, como juízes estaduais, estejam submetidos, nos crimes comuns e de responsabilidade, à jurisdição do tribunal de justiça local, cumpre ao STJ processar e julgar os habeas impetrados contra os atos por eles praticados.</w:t>
      </w:r>
    </w:p>
    <w:p>
      <w:pPr>
        <w:ind w:left="288"/>
      </w:pPr>
      <w:r>
        <w:rPr>
          <w:b/>
          <w:color w:val="003CA0"/>
          <w:sz w:val="16"/>
        </w:rPr>
        <w:t>[HC 77.626, rel. min. Marco Aurélio, j. 30-3-1999, 2ª T, DJ de 25-6-1999.]</w:t>
      </w:r>
    </w:p>
    <w:p>
      <w:pPr>
        <w:ind w:left="288"/>
      </w:pPr>
      <w:r>
        <w:rPr>
          <w:color w:val="8C8C8C"/>
          <w:sz w:val="12"/>
        </w:rPr>
        <w:t>cf-art-105-inc-I-ali-b</w:t>
      </w:r>
      <w:r>
        <w:rPr>
          <w:color w:val="003CA0"/>
          <w:sz w:val="12"/>
        </w:rPr>
        <w:t xml:space="preserve"> | HC 78.416</w:t>
      </w:r>
      <w:r>
        <w:rPr>
          <w:color w:val="003CA0"/>
          <w:sz w:val="12"/>
        </w:rPr>
        <w:t xml:space="preserve"> | rel. Maurício Corrêa</w:t>
      </w:r>
    </w:p>
    <w:p>
      <w:pPr>
        <w:ind w:left="288"/>
      </w:pPr>
      <w:r>
        <w:rPr>
          <w:color w:val="1E1E1E"/>
          <w:sz w:val="18"/>
        </w:rPr>
        <w:t>O STJ é competente para processar e julgar, originariamente, o habeas corpus quando o ato de coação emana de decisão colegiada dos demais tribunais do País, ressalvada a competência do TSE (art. 105, I, c, da Constituição, com a redação dada pelo art. 3º da EC 22, de 1999) e a do STM (art. 124, parágrafo único, da Constituição).</w:t>
      </w:r>
    </w:p>
    <w:p>
      <w:pPr>
        <w:ind w:left="288"/>
      </w:pPr>
      <w:r>
        <w:rPr>
          <w:b/>
          <w:color w:val="003CA0"/>
          <w:sz w:val="16"/>
        </w:rPr>
        <w:t>[HC 78.416 QO, rel. min. Maurício Corrêa, j. 22-3-1999, 2ª T, DJ de 18-5-2001.]</w:t>
      </w:r>
    </w:p>
    <w:p>
      <w:pPr>
        <w:ind w:left="288"/>
      </w:pPr>
      <w:r>
        <w:rPr>
          <w:color w:val="8C8C8C"/>
          <w:sz w:val="12"/>
        </w:rPr>
        <w:t>cf-art-105-inc-I-ali-b</w:t>
      </w:r>
    </w:p>
    <w:p>
      <w:pPr>
        <w:ind w:left="288"/>
      </w:pPr>
      <w:r>
        <w:rPr>
          <w:color w:val="1E1E1E"/>
          <w:sz w:val="18"/>
        </w:rPr>
        <w:t>d) os conflitos de competência entre quaisquer tribunais, ressalvado o disposto no art. 102, I, o, bem como entre tribunal e juízes a ele não vinculados e entre juízes vinculados a tribunais diversos;</w:t>
      </w:r>
    </w:p>
    <w:p>
      <w:pPr>
        <w:ind w:left="288"/>
      </w:pPr>
      <w:r>
        <w:rPr>
          <w:color w:val="8C8C8C"/>
          <w:sz w:val="12"/>
        </w:rPr>
        <w:t>cf-art-105-inc-I-ali-b</w:t>
      </w:r>
      <w:r>
        <w:rPr>
          <w:color w:val="003CA0"/>
          <w:sz w:val="12"/>
        </w:rPr>
        <w:t xml:space="preserve"> | rel. Celso de Mello</w:t>
      </w:r>
    </w:p>
    <w:p>
      <w:pPr>
        <w:ind w:left="288"/>
      </w:pPr>
      <w:r>
        <w:rPr>
          <w:color w:val="1E1E1E"/>
          <w:sz w:val="18"/>
        </w:rPr>
        <w:t>Falece, ao STF, atribuição jurisdicional para dirimir, em caráter originário, conflitos de competência, quando instaurados entre turma recursal integrante do sistema de juizados especiais e qualquer dos tribunais locais (quer se cuide do tribunal de justiça, quer se trate dos tribunais de alçada, onde houver). Nessa específica hipótese, assiste, ao STJ, poder para apreciar, originariamente, tais conflitos de competência (CF, art. 105, I, d).</w:t>
      </w:r>
    </w:p>
    <w:p>
      <w:pPr>
        <w:ind w:left="288"/>
      </w:pPr>
      <w:r>
        <w:rPr>
          <w:b/>
          <w:color w:val="003CA0"/>
          <w:sz w:val="16"/>
        </w:rPr>
        <w:t>[CC 7.090, rel. min. Celso de Mello, j. 11-9-2002, P, DJ de 5-9-2003.]</w:t>
      </w:r>
    </w:p>
    <w:p>
      <w:pPr>
        <w:ind w:left="288"/>
      </w:pPr>
      <w:r>
        <w:rPr>
          <w:color w:val="8C8C8C"/>
          <w:sz w:val="12"/>
        </w:rPr>
        <w:t>cf-art-105-inc-I-ali-b</w:t>
      </w:r>
      <w:r>
        <w:rPr>
          <w:color w:val="003CA0"/>
          <w:sz w:val="12"/>
        </w:rPr>
        <w:t xml:space="preserve"> | rel. Marco Aurélio</w:t>
      </w:r>
    </w:p>
    <w:p>
      <w:pPr>
        <w:ind w:left="288"/>
      </w:pPr>
      <w:r>
        <w:rPr>
          <w:color w:val="1E1E1E"/>
          <w:sz w:val="18"/>
        </w:rPr>
        <w:t>Conflito de competência. Justiça Federal Militar de primeira instância e Justiça Federal de primeira instância. Afastamento. Na dicção da ilustrada maioria, (...) compete ao STJ, e não ao STF, dirimir o conflito, enquanto não envolvido o STM.</w:t>
      </w:r>
    </w:p>
    <w:p>
      <w:pPr>
        <w:ind w:left="288"/>
      </w:pPr>
      <w:r>
        <w:rPr>
          <w:b/>
          <w:color w:val="003CA0"/>
          <w:sz w:val="16"/>
        </w:rPr>
        <w:t>[CC 7.087, rel. min. Marco Aurélio, j. 3-5-2000, P, DJ de 31-8-2001.]</w:t>
      </w:r>
    </w:p>
    <w:p>
      <w:pPr>
        <w:ind w:left="288"/>
      </w:pPr>
      <w:r>
        <w:rPr>
          <w:color w:val="8C8C8C"/>
          <w:sz w:val="12"/>
        </w:rPr>
        <w:t>cf-art-105-inc-I-ali-b</w:t>
      </w:r>
      <w:r>
        <w:rPr>
          <w:color w:val="003CA0"/>
          <w:sz w:val="12"/>
        </w:rPr>
        <w:t xml:space="preserve"> | RE 200.695</w:t>
      </w:r>
      <w:r>
        <w:rPr>
          <w:color w:val="003CA0"/>
          <w:sz w:val="12"/>
        </w:rPr>
        <w:t xml:space="preserve"> | rel. Néri da Silveira</w:t>
      </w:r>
    </w:p>
    <w:p>
      <w:pPr>
        <w:ind w:left="288"/>
      </w:pPr>
      <w:r>
        <w:rPr>
          <w:color w:val="1E1E1E"/>
          <w:sz w:val="18"/>
        </w:rPr>
        <w:t>Estado da Federação que possui tribunal de justiça militar. Conflito de jurisdição entre auditor militar e juiz de direito. Compete, nesse caso, ao STJ dirimir o conflito, a teor do art. 105, I, d, da Constituição, porque se trata de dissídio entre juízes sujeitos a tribunais diversos. Somente nos Estados onde não houver tribunal de justiça militar os auditores militares estaduais ficam sujeitos ao tribunal de justiça do Estado, a quem caberá julgar conflito de jurisdição entre esses magistrados e os juízes de direito.</w:t>
      </w:r>
    </w:p>
    <w:p>
      <w:pPr>
        <w:ind w:left="288"/>
      </w:pPr>
      <w:r>
        <w:rPr>
          <w:b/>
          <w:color w:val="003CA0"/>
          <w:sz w:val="16"/>
        </w:rPr>
        <w:t>[RE 200.695, rel. min. Néri da Silveira, j. 17-9-1996, 2ª T, DJ de 21-5-1997.]</w:t>
      </w:r>
    </w:p>
    <w:p>
      <w:pPr>
        <w:ind w:left="288"/>
      </w:pPr>
      <w:r>
        <w:rPr>
          <w:color w:val="8C8C8C"/>
          <w:sz w:val="12"/>
        </w:rPr>
        <w:t>cf-art-105-inc-I-ali-b</w:t>
      </w:r>
      <w:r>
        <w:rPr>
          <w:color w:val="003CA0"/>
          <w:sz w:val="12"/>
        </w:rPr>
        <w:t xml:space="preserve"> | rel. Celso de Mello</w:t>
      </w:r>
    </w:p>
    <w:p>
      <w:pPr>
        <w:ind w:left="288"/>
      </w:pPr>
      <w:r>
        <w:rPr>
          <w:color w:val="1E1E1E"/>
          <w:sz w:val="18"/>
        </w:rPr>
        <w:t>O STF, dentro do sistema normativo consagrado pela Carta da República, não se apresenta investido de atribuição jurisdicional para, em sede originária, dirimir conflito de competência instaurado entre órgãos da Justiça do Trabalho situados no primeiro e no segundo graus de jurisdição (JCJ [juntas de conciliação e julgamento] e TRTs), de um lado, e o tribunal de justiça dos Estados-membros, de outro. A competência para dirimir esse conflito pertence, originariamente, ao STJ (CF, art. 105, I, d).</w:t>
      </w:r>
    </w:p>
    <w:p>
      <w:pPr>
        <w:ind w:left="288"/>
      </w:pPr>
      <w:r>
        <w:rPr>
          <w:b/>
          <w:color w:val="003CA0"/>
          <w:sz w:val="16"/>
        </w:rPr>
        <w:t>[CC 7.035, rel. min. Celso de Mello, j. 20-9-1995, P, DJ de 6-10-1995.]</w:t>
      </w:r>
    </w:p>
    <w:p>
      <w:pPr>
        <w:ind w:left="144"/>
      </w:pPr>
      <w:r>
        <w:rPr>
          <w:b/>
          <w:color w:val="B45A00"/>
          <w:sz w:val="16"/>
        </w:rPr>
        <w:t>REPERCUSSAO GERAL</w:t>
      </w:r>
    </w:p>
    <w:p>
      <w:pPr>
        <w:ind w:left="288"/>
      </w:pPr>
      <w:r>
        <w:rPr>
          <w:color w:val="8C8C8C"/>
          <w:sz w:val="12"/>
        </w:rPr>
        <w:t>cf-art-105-inc-I-ali-f</w:t>
      </w:r>
      <w:r>
        <w:rPr>
          <w:color w:val="003CA0"/>
          <w:sz w:val="12"/>
        </w:rPr>
        <w:t xml:space="preserve"> | RE 571.572</w:t>
      </w:r>
      <w:r>
        <w:rPr>
          <w:color w:val="003CA0"/>
          <w:sz w:val="12"/>
        </w:rPr>
        <w:t xml:space="preserve"> | rel. Ellen Gracie</w:t>
      </w:r>
    </w:p>
    <w:p>
      <w:pPr>
        <w:ind w:left="288"/>
      </w:pPr>
      <w:r>
        <w:rPr>
          <w:color w:val="1E1E1E"/>
          <w:sz w:val="18"/>
        </w:rPr>
        <w:t>(...) cabimento, em caráter excepcional, da reclamação prevista no art. 105, I, f, da CF, para fazer prevalecer, até a criação da turma de uniformização dos juizados especiais estaduais, a jurisprudência do STJ na interpretação da legislação infraconstitucional.</w:t>
        <w:br/>
        <w:t>[RE 571.572 ED, rel. min. Ellen Gracie, j. 26-8-2009, P, DJE de 27-11-2009, Tema 17, com mérito julgado.]</w:t>
      </w:r>
    </w:p>
    <w:p>
      <w:pPr>
        <w:ind w:left="144"/>
      </w:pPr>
      <w:r>
        <w:rPr>
          <w:b/>
          <w:color w:val="B45A00"/>
          <w:sz w:val="16"/>
        </w:rPr>
        <w:t>JULGADOS CORRELATOS</w:t>
      </w:r>
    </w:p>
    <w:p>
      <w:pPr>
        <w:ind w:left="288"/>
      </w:pPr>
      <w:r>
        <w:rPr>
          <w:color w:val="8C8C8C"/>
          <w:sz w:val="12"/>
        </w:rPr>
        <w:t>cf-art-105-inc-I-ali-f</w:t>
      </w:r>
      <w:r>
        <w:rPr>
          <w:color w:val="003CA0"/>
          <w:sz w:val="12"/>
        </w:rPr>
        <w:t xml:space="preserve"> | RE 333.942</w:t>
      </w:r>
      <w:r>
        <w:rPr>
          <w:color w:val="003CA0"/>
          <w:sz w:val="12"/>
        </w:rPr>
        <w:t xml:space="preserve"> | rel. Joaquim Barbosa</w:t>
      </w:r>
    </w:p>
    <w:p>
      <w:pPr>
        <w:ind w:left="288"/>
      </w:pPr>
      <w:r>
        <w:rPr>
          <w:color w:val="1E1E1E"/>
          <w:sz w:val="18"/>
        </w:rPr>
        <w:t>A competência para examinar medida tendente a combater suposta usurpação de competência para julgar o agravo de instrumento ou o recurso especial é do STJ (art. 105, I, f, da Constituição), sem prejuízo de outras medidas legais cabíveis que a parte poderia tomar, perante os juízos competentes, para corrigir a situação que tem por lesiva ao seu direito à jurisdição especial.</w:t>
      </w:r>
    </w:p>
    <w:p>
      <w:pPr>
        <w:ind w:left="288"/>
      </w:pPr>
      <w:r>
        <w:rPr>
          <w:b/>
          <w:color w:val="003CA0"/>
          <w:sz w:val="16"/>
        </w:rPr>
        <w:t>[RE 333.942 ED, rel. min. Joaquim Barbosa, j. 9-11-2010, 1ª T, DJE de 30-11-2010.]</w:t>
      </w:r>
    </w:p>
    <w:p>
      <w:pPr>
        <w:ind w:left="288"/>
      </w:pPr>
      <w:r>
        <w:rPr>
          <w:color w:val="8C8C8C"/>
          <w:sz w:val="12"/>
        </w:rPr>
        <w:t>cf-art-105-inc-I-ali-f</w:t>
      </w:r>
      <w:r>
        <w:rPr>
          <w:color w:val="003CA0"/>
          <w:sz w:val="12"/>
        </w:rPr>
        <w:t xml:space="preserve"> | RHC 7.812</w:t>
      </w:r>
      <w:r>
        <w:rPr>
          <w:color w:val="003CA0"/>
          <w:sz w:val="12"/>
        </w:rPr>
        <w:t xml:space="preserve"> | rel. Sydney Sanches</w:t>
      </w:r>
    </w:p>
    <w:p>
      <w:pPr>
        <w:ind w:left="288"/>
      </w:pPr>
      <w:r>
        <w:rPr>
          <w:color w:val="1E1E1E"/>
          <w:sz w:val="18"/>
        </w:rPr>
        <w:t>O impetrante, entre outras coisas, alega que ainda não foi cumprida a decisão do STJ, que, ao negar provimento ao RHC 7.812, de ofício concedeu habeas corpus ao paciente, para que esse fosse recolhido a quartel ou prisão especial (por ser advogado). Nesse ponto, a impetração não pode ser conhecida, eis que, para o descumprimento de decisão do STJ, cabe reclamação para aquela mesma Corte, e não habeas corpus para o STF (...).</w:t>
      </w:r>
    </w:p>
    <w:p>
      <w:pPr>
        <w:ind w:left="288"/>
      </w:pPr>
      <w:r>
        <w:rPr>
          <w:b/>
          <w:color w:val="003CA0"/>
          <w:sz w:val="16"/>
        </w:rPr>
        <w:t>[HC 78.199, rel. min. Sydney Sanches, j. 1º-6-1999, 1ª T, DJ de 1º-10-1999.]</w:t>
      </w:r>
    </w:p>
    <w:p>
      <w:pPr>
        <w:ind w:left="288"/>
      </w:pPr>
      <w:r>
        <w:rPr>
          <w:color w:val="8C8C8C"/>
          <w:sz w:val="12"/>
        </w:rPr>
        <w:t>cf-art-105-inc-I-ali-f</w:t>
      </w:r>
      <w:r>
        <w:rPr>
          <w:color w:val="003CA0"/>
          <w:sz w:val="12"/>
        </w:rPr>
        <w:t xml:space="preserve"> | RCL 330</w:t>
      </w:r>
      <w:r>
        <w:rPr>
          <w:color w:val="003CA0"/>
          <w:sz w:val="12"/>
        </w:rPr>
        <w:t xml:space="preserve"> | rel. Néri da Silveira</w:t>
      </w:r>
    </w:p>
    <w:p>
      <w:pPr>
        <w:ind w:left="288"/>
      </w:pPr>
      <w:r>
        <w:rPr>
          <w:color w:val="1E1E1E"/>
          <w:sz w:val="18"/>
        </w:rPr>
        <w:t>Suspensão de efeitos de liminar ou mandado de segurança. Fundamentando-se a impetração na matéria infraconstitucional, compete ao presidente do STJ julgar pedido de suspensão de efeitos de liminar ou de decisão concessiva de segurança, proferida, em única ou última instância, pelos tribunais regionais federais ou pelos tribunais dos Estados e Distrito Federal. Lei 8.038/1990, art. 25. Compete, em consequência, também, ao STJ, julgar reclamação, ut art. 105, I, f, da Constituição, contra qualquer das cortes referidas, quando se alega usurpação de competência, que lhe cabe, para suspender limina</w:t>
      </w:r>
    </w:p>
    <w:p>
      <w:pPr>
        <w:ind w:left="288"/>
      </w:pPr>
      <w:r>
        <w:rPr>
          <w:b/>
          <w:color w:val="003CA0"/>
          <w:sz w:val="16"/>
        </w:rPr>
        <w:t>[Rcl 330, rel. min. Néri da Silveira, j. 6-3-1991, P, DJ de 29-11-1991.]</w:t>
      </w:r>
    </w:p>
    <w:p>
      <w:pPr>
        <w:ind w:left="288"/>
      </w:pPr>
      <w:r>
        <w:rPr>
          <w:color w:val="8C8C8C"/>
          <w:sz w:val="12"/>
        </w:rPr>
        <w:t>cf-art-105-inc-I-ali-f</w:t>
      </w:r>
    </w:p>
    <w:p>
      <w:pPr>
        <w:ind w:left="288"/>
      </w:pPr>
      <w:r>
        <w:rPr>
          <w:color w:val="1E1E1E"/>
          <w:sz w:val="18"/>
        </w:rPr>
        <w:t>g) os conflitos de atribuições entre autoridades administrativas e judiciárias da União, ou entre autoridades judiciárias de um Estado e administrativas de outro ou do Distrito Federal, ou entre as deste e da União;</w:t>
      </w:r>
    </w:p>
    <w:p>
      <w:pPr>
        <w:ind w:left="288"/>
      </w:pPr>
      <w:r>
        <w:rPr>
          <w:color w:val="8C8C8C"/>
          <w:sz w:val="12"/>
        </w:rPr>
        <w:t>cf-art-105-inc-I-ali-f</w:t>
      </w:r>
      <w:r>
        <w:rPr>
          <w:color w:val="003CA0"/>
          <w:sz w:val="12"/>
        </w:rPr>
        <w:t xml:space="preserve"> | AI 234.073</w:t>
      </w:r>
      <w:r>
        <w:rPr>
          <w:color w:val="003CA0"/>
          <w:sz w:val="12"/>
        </w:rPr>
        <w:t xml:space="preserve"> | rel. Néri da Silveira</w:t>
      </w:r>
    </w:p>
    <w:p>
      <w:pPr>
        <w:ind w:left="288"/>
      </w:pPr>
      <w:r>
        <w:rPr>
          <w:color w:val="1E1E1E"/>
          <w:sz w:val="18"/>
        </w:rPr>
        <w:t>Compete ao STJ processar e julgar, originariamente, nos termos do art. 105, I, g, da CF: "os conflitos de atribuições entre autoridades administrativas e judiciárias da União, ou entre autoridades judiciárias de um Estado e administrativas de outro ou do Distrito Federal, ou entre as deste e da União". Na hipótese, observa-se que o conflito de atribuições se trava entre autoridades administrativas, em que figuram como suscitantes o superintendente e o corregedor da polícia federal e, como suscitados, representantes do MPF. Não se trata, portanto, de nenhuma das hipóteses mencionadas no referid</w:t>
      </w:r>
    </w:p>
    <w:p>
      <w:pPr>
        <w:ind w:left="288"/>
      </w:pPr>
      <w:r>
        <w:rPr>
          <w:b/>
          <w:color w:val="003CA0"/>
          <w:sz w:val="16"/>
        </w:rPr>
        <w:t>[AI 234.073 AgR, voto do rel. min. Néri da Silveira, j. 28-3-2000, 2ª T, DJ de 28-4-2000.]</w:t>
      </w:r>
    </w:p>
    <w:p>
      <w:pPr>
        <w:ind w:left="288"/>
      </w:pPr>
      <w:r>
        <w:rPr>
          <w:color w:val="8C8C8C"/>
          <w:sz w:val="12"/>
        </w:rPr>
        <w:t>cf-art-105-inc-I-ali-f</w:t>
      </w:r>
    </w:p>
    <w:p>
      <w:pPr>
        <w:ind w:left="288"/>
      </w:pPr>
      <w:r>
        <w:rPr>
          <w:color w:val="1E1E1E"/>
          <w:sz w:val="18"/>
        </w:rPr>
        <w:t>h) o mandado de injunção, quando a elaboração da norma regulamentadora for atribuição de órgão, entidade ou autoridade federal, da administração direta ou indireta, excetuados os casos de competência do Supremo Tribunal Federal e dos órgãos da Justiça Militar, da Justiça Eleitoral, da Justiça do Trabalho e da Justiça Federal;</w:t>
      </w:r>
    </w:p>
    <w:p>
      <w:pPr>
        <w:ind w:left="288"/>
      </w:pPr>
      <w:r>
        <w:rPr>
          <w:color w:val="8C8C8C"/>
          <w:sz w:val="12"/>
        </w:rPr>
        <w:t>cf-art-105-inc-I-ali-f</w:t>
      </w:r>
      <w:r>
        <w:rPr>
          <w:color w:val="003CA0"/>
          <w:sz w:val="12"/>
        </w:rPr>
        <w:t xml:space="preserve"> | MI 571</w:t>
      </w:r>
      <w:r>
        <w:rPr>
          <w:color w:val="003CA0"/>
          <w:sz w:val="12"/>
        </w:rPr>
        <w:t xml:space="preserve"> | rel. Sepúlveda Pertence</w:t>
      </w:r>
    </w:p>
    <w:p>
      <w:pPr>
        <w:ind w:left="288"/>
      </w:pPr>
      <w:r>
        <w:rPr>
          <w:color w:val="1E1E1E"/>
          <w:sz w:val="18"/>
        </w:rPr>
        <w:t>Mandado de injunção: omissão normativa imputada a autarquia federal (Banco Central do Brasil): competência originária do juiz federal e não do Supremo Tribunal nem do STJ: inteligência da ressalva final do art. 105, I, h, da Constituição.</w:t>
      </w:r>
    </w:p>
    <w:p>
      <w:pPr>
        <w:ind w:left="288"/>
      </w:pPr>
      <w:r>
        <w:rPr>
          <w:b/>
          <w:color w:val="003CA0"/>
          <w:sz w:val="16"/>
        </w:rPr>
        <w:t>[MI 571 QO, rel. min. Sepúlveda Pertence, j. 8-10-1998, P, DJ de 20-11-1998.]</w:t>
      </w:r>
    </w:p>
    <w:p>
      <w:pPr>
        <w:ind w:left="288"/>
      </w:pPr>
      <w:r>
        <w:rPr>
          <w:color w:val="8C8C8C"/>
          <w:sz w:val="12"/>
        </w:rPr>
        <w:t>cf-art-105-inc-I-ali-f</w:t>
      </w:r>
      <w:r>
        <w:rPr>
          <w:color w:val="003CA0"/>
          <w:sz w:val="12"/>
        </w:rPr>
        <w:t xml:space="preserve"> | MI 414</w:t>
      </w:r>
      <w:r>
        <w:rPr>
          <w:color w:val="003CA0"/>
          <w:sz w:val="12"/>
        </w:rPr>
        <w:t xml:space="preserve"> | rel. Néri da Silveira</w:t>
      </w:r>
    </w:p>
    <w:p>
      <w:pPr>
        <w:ind w:left="288"/>
      </w:pPr>
      <w:r>
        <w:rPr>
          <w:color w:val="1E1E1E"/>
          <w:sz w:val="18"/>
        </w:rPr>
        <w:t>Mandado de injunção. Ministro de Estado. Competência do STJ (Constituição, art. 105, I, h). É inviável substituir, no polo passivo da relação processual, quer do mandado de injunção, quer do mandado de segurança, a autoridade impetrada que o requerente indicou na inicial. Se se entender a hipótese como mandado de segurança, diante dos termos em que se deduz a inicial, ainda aí, a competência seria do STJ (Constituição, art. 105, I, b). Não conhecimento do pedido pelo STF, determinando-se a remessa dos autos ao STJ.</w:t>
      </w:r>
    </w:p>
    <w:p>
      <w:pPr>
        <w:ind w:left="288"/>
      </w:pPr>
      <w:r>
        <w:rPr>
          <w:b/>
          <w:color w:val="003CA0"/>
          <w:sz w:val="16"/>
        </w:rPr>
        <w:t>[MI 414, rel. min. Néri da Silveira, j. 25-3-1994, P, DJ de 6-5-1994.]</w:t>
      </w:r>
    </w:p>
    <w:p>
      <w:pPr>
        <w:ind w:left="288"/>
      </w:pPr>
      <w:r>
        <w:rPr>
          <w:color w:val="8C8C8C"/>
          <w:sz w:val="12"/>
        </w:rPr>
        <w:t>cf-art-105-inc-I-ali-f</w:t>
      </w:r>
      <w:r>
        <w:rPr>
          <w:color w:val="003CA0"/>
          <w:sz w:val="12"/>
        </w:rPr>
        <w:t xml:space="preserve"> | MI 32</w:t>
      </w:r>
      <w:r>
        <w:rPr>
          <w:color w:val="003CA0"/>
          <w:sz w:val="12"/>
        </w:rPr>
        <w:t xml:space="preserve"> | rel. Octavio Gallotti</w:t>
      </w:r>
    </w:p>
    <w:p>
      <w:pPr>
        <w:ind w:left="288"/>
      </w:pPr>
      <w:r>
        <w:rPr>
          <w:color w:val="1E1E1E"/>
          <w:sz w:val="18"/>
        </w:rPr>
        <w:t>Mandado de injunção por falta de norma regulamentadora que haveria de constar do Regimento do Tribunal de Justiça do Distrito Federal. Sendo esse um órgão ou autoridade federal (Constituição, art. 21, III) compete, originariamente, ao STJ (art. 105, I, h) o julgamento do pedido.</w:t>
      </w:r>
    </w:p>
    <w:p>
      <w:pPr>
        <w:ind w:left="288"/>
      </w:pPr>
      <w:r>
        <w:rPr>
          <w:b/>
          <w:color w:val="003CA0"/>
          <w:sz w:val="16"/>
        </w:rPr>
        <w:t>[MI 32, rel. min. Octavio Gallotti, j. 7-11-1990, P, DJ de 7-12-1990.]</w:t>
      </w:r>
    </w:p>
    <w:p>
      <w:pPr>
        <w:ind w:left="288"/>
      </w:pPr>
      <w:r>
        <w:rPr>
          <w:color w:val="8C8C8C"/>
          <w:sz w:val="12"/>
        </w:rPr>
        <w:t>cf-art-105-inc-I-ali-f</w:t>
      </w:r>
      <w:r>
        <w:rPr>
          <w:color w:val="003CA0"/>
          <w:sz w:val="12"/>
        </w:rPr>
        <w:t xml:space="preserve"> | MI 158</w:t>
      </w:r>
      <w:r>
        <w:rPr>
          <w:color w:val="003CA0"/>
          <w:sz w:val="12"/>
        </w:rPr>
        <w:t xml:space="preserve"> | rel. Aldir Passarinho</w:t>
      </w:r>
    </w:p>
    <w:p>
      <w:pPr>
        <w:ind w:left="288"/>
      </w:pPr>
      <w:r>
        <w:rPr>
          <w:color w:val="1E1E1E"/>
          <w:sz w:val="18"/>
        </w:rPr>
        <w:t>Sendo o mandado de injunção requerido contra o DNOCS [Departamento Nacional de Obras contra as Secas], e não contra qualquer das pessoas ou entidades constantes da letra g do item I do art. 102 da CF, a competência para processá-lo e julgá-lo não é do STF. Encaminhamento dos autos ao STJ, em face do disposto no art. 105, I, a, também da CF, para apreciá-lo, como couber, tendo em vista não haver qualquer norma regulamentadora para definir a competência, quanto a mandados de injunção, da Justiça Militar, da Justiça Eleitoral, da Justiça do Trabalho e da Justiça Federal.</w:t>
      </w:r>
    </w:p>
    <w:p>
      <w:pPr>
        <w:ind w:left="288"/>
      </w:pPr>
      <w:r>
        <w:rPr>
          <w:b/>
          <w:color w:val="003CA0"/>
          <w:sz w:val="16"/>
        </w:rPr>
        <w:t>[MI 158 QO, rel. min. Aldir Passarinho, j. 5-10-1989, P, DJ de 10-11-1989.]</w:t>
      </w:r>
    </w:p>
    <w:p>
      <w:pPr>
        <w:ind w:left="288"/>
      </w:pPr>
      <w:r>
        <w:rPr>
          <w:color w:val="8C8C8C"/>
          <w:sz w:val="12"/>
        </w:rPr>
        <w:t>cf-art-105-inc-I-ali-i</w:t>
      </w:r>
      <w:r>
        <w:rPr>
          <w:color w:val="003CA0"/>
          <w:sz w:val="12"/>
        </w:rPr>
        <w:t xml:space="preserve"> | HC 239.238</w:t>
      </w:r>
      <w:r>
        <w:rPr>
          <w:color w:val="003CA0"/>
          <w:sz w:val="12"/>
        </w:rPr>
        <w:t xml:space="preserve"> | rel. Luiz Fux</w:t>
      </w:r>
    </w:p>
    <w:p>
      <w:pPr>
        <w:ind w:left="288"/>
      </w:pPr>
      <w:r>
        <w:rPr>
          <w:color w:val="1E1E1E"/>
          <w:sz w:val="18"/>
        </w:rPr>
        <w:t>A transferência de execução de pena, instrumento de cooperação internacional em matéria penal, encontra disciplina na Lei de Migração (Lei 13.445/2017), cujo artigo 100 estabelece os seguintes pressupostos: (i) o condenado em território estrangeiro for nacional ou tiver residência habitual ou vínculo pessoal no Brasil; (ii) a sentença tiver transitado em julgado; (iii) a duração da condenação a cumprir ou que restar para cumprir for de, pelo menos, 1 (um) ano, na data de apresentação do pedido ao Estado da condenação; (iv) o fato que originou a condenação constituir infração penal perante a le</w:t>
      </w:r>
    </w:p>
    <w:p>
      <w:pPr>
        <w:ind w:left="288"/>
      </w:pPr>
      <w:r>
        <w:rPr>
          <w:b/>
          <w:color w:val="003CA0"/>
          <w:sz w:val="16"/>
        </w:rPr>
        <w:t>[HC 239.238, rel. min. Luiz Fux, j. 27.11.2024, P, DJE de 30.05.2025.]</w:t>
      </w:r>
    </w:p>
    <w:p>
      <w:pPr>
        <w:ind w:left="288"/>
      </w:pPr>
      <w:r>
        <w:rPr>
          <w:color w:val="8C8C8C"/>
          <w:sz w:val="12"/>
        </w:rPr>
        <w:t>cf-art-105-inc-I-ali-i</w:t>
      </w:r>
      <w:r>
        <w:rPr>
          <w:color w:val="003CA0"/>
          <w:sz w:val="12"/>
        </w:rPr>
        <w:t xml:space="preserve"> | RE 634.595</w:t>
      </w:r>
      <w:r>
        <w:rPr>
          <w:color w:val="003CA0"/>
          <w:sz w:val="12"/>
        </w:rPr>
        <w:t xml:space="preserve"> | rel. Dias Toffoli</w:t>
      </w:r>
    </w:p>
    <w:p>
      <w:pPr>
        <w:ind w:left="288"/>
      </w:pPr>
      <w:r>
        <w:rPr>
          <w:color w:val="1E1E1E"/>
          <w:sz w:val="18"/>
        </w:rPr>
        <w:t>O art. 21, § 1º, do Regimento Interno do Supremo Tribunal Federal é compatível com o disposto no art. 932, inciso VIII, da novel legislação processual civil. 3. Possibilidade de concessão de exequatur de Carta Rogatória, para fins de citação do agravante, por meio de decisão monocrática do relator da causa no Superior Tribunal de Justiça, em homenagem aos princípios da cooperação e da celeridade processual. 4. Decisão oportunamente ratificada pela Corte Especial do Superior Tribunal de Justiça, em observância ao princípio da colegialidade.</w:t>
      </w:r>
    </w:p>
    <w:p>
      <w:pPr>
        <w:ind w:left="288"/>
      </w:pPr>
      <w:r>
        <w:rPr>
          <w:b/>
          <w:color w:val="003CA0"/>
          <w:sz w:val="16"/>
        </w:rPr>
        <w:t>[RE 634.595, rel. min. Dias Toffoli, j. 3-4-2018, P, DJE de 12-6-2019.]</w:t>
      </w:r>
    </w:p>
    <w:p>
      <w:pPr>
        <w:ind w:left="288"/>
      </w:pPr>
      <w:r>
        <w:rPr>
          <w:color w:val="8C8C8C"/>
          <w:sz w:val="12"/>
        </w:rPr>
        <w:t>cf-art-105-inc-I-ali-i</w:t>
      </w:r>
      <w:r>
        <w:rPr>
          <w:color w:val="003CA0"/>
          <w:sz w:val="12"/>
        </w:rPr>
        <w:t xml:space="preserve"> | ARE 1.026.162</w:t>
      </w:r>
      <w:r>
        <w:rPr>
          <w:color w:val="003CA0"/>
          <w:sz w:val="12"/>
        </w:rPr>
        <w:t xml:space="preserve"> | rel. Marco Aurélio</w:t>
      </w:r>
    </w:p>
    <w:p>
      <w:pPr>
        <w:ind w:left="288"/>
      </w:pPr>
      <w:r>
        <w:rPr>
          <w:color w:val="1E1E1E"/>
          <w:sz w:val="18"/>
        </w:rPr>
        <w:t>Uma vez homologada a sentença estrangeira, a conversão do valor dela constante, em moeda estrangeira para a nacional, há de fazer-se na data do pagamento, não se tendo nessa conclusão, pacificada no STJ, maltrato a texto constitucional.</w:t>
      </w:r>
    </w:p>
    <w:p>
      <w:pPr>
        <w:ind w:left="288"/>
      </w:pPr>
      <w:r>
        <w:rPr>
          <w:b/>
          <w:color w:val="003CA0"/>
          <w:sz w:val="16"/>
        </w:rPr>
        <w:t>[ARE 1.026.162 AgR, rel. min. Marco Aurélio, j. 2-5-2017, P, DJE de 7-6-2017.]</w:t>
      </w:r>
    </w:p>
    <w:p>
      <w:pPr>
        <w:ind w:left="288"/>
      </w:pPr>
      <w:r>
        <w:rPr>
          <w:color w:val="8C8C8C"/>
          <w:sz w:val="12"/>
        </w:rPr>
        <w:t>cf-art-105-inc-I-ali-i</w:t>
      </w:r>
      <w:r>
        <w:rPr>
          <w:color w:val="003CA0"/>
          <w:sz w:val="12"/>
        </w:rPr>
        <w:t xml:space="preserve"> | RE 598.770</w:t>
      </w:r>
      <w:r>
        <w:rPr>
          <w:color w:val="003CA0"/>
          <w:sz w:val="12"/>
        </w:rPr>
        <w:t xml:space="preserve"> | rel. Marco Aurélio</w:t>
      </w:r>
    </w:p>
    <w:p>
      <w:pPr>
        <w:ind w:left="288"/>
      </w:pPr>
      <w:r>
        <w:rPr>
          <w:color w:val="1E1E1E"/>
          <w:sz w:val="18"/>
        </w:rPr>
        <w:t xml:space="preserve">A EC 45/2004 transferiu do STF para o STJ a competência para homologar sentenças estrangeiras. Considerando que um dos principais objetivos da reforma do Judiciário foi promover a celeridade processual, seria um contrassenso imaginar que ela teria transformado esta Corte em uma nova instância nessa matéria, tornando ainda mais longo e complexo o processo. Por isso, embora possível em tese, a interposição de recurso extraordinário contra esses acórdãos do STJ deve ser examinada com rigor e cautela. Somente se pode admitir o recurso quando demonstrada, clara e fundamentadamente, a existência de </w:t>
      </w:r>
    </w:p>
    <w:p>
      <w:pPr>
        <w:ind w:left="288"/>
      </w:pPr>
      <w:r>
        <w:rPr>
          <w:b/>
          <w:color w:val="003CA0"/>
          <w:sz w:val="16"/>
        </w:rPr>
        <w:t>[RE 598.770, rel. min. Marco Aurélio, j. 12-2-2014, P, DJE de 12-6-2014.]</w:t>
      </w:r>
    </w:p>
    <w:p>
      <w:pPr>
        <w:ind w:left="288"/>
      </w:pPr>
      <w:r>
        <w:rPr>
          <w:color w:val="8C8C8C"/>
          <w:sz w:val="12"/>
        </w:rPr>
        <w:t>cf-art-105-inc-I-ali-i</w:t>
      </w:r>
      <w:r>
        <w:rPr>
          <w:color w:val="003CA0"/>
          <w:sz w:val="12"/>
        </w:rPr>
        <w:t xml:space="preserve"> | HC 87.759</w:t>
      </w:r>
      <w:r>
        <w:rPr>
          <w:color w:val="003CA0"/>
          <w:sz w:val="12"/>
        </w:rPr>
        <w:t xml:space="preserve"> | rel. Marco Aurélio</w:t>
      </w:r>
    </w:p>
    <w:p>
      <w:pPr>
        <w:ind w:left="288"/>
      </w:pPr>
      <w:r>
        <w:rPr>
          <w:color w:val="1E1E1E"/>
          <w:sz w:val="18"/>
        </w:rPr>
        <w:t>Uma vez constatada omissão no julgamento verificado, presente tratado de cooperação em matéria penal firmado pelo Brasil e pela República Italiana – integrado à ordem jurídica nacional –, impõe-se o provimento dos embargos de declaração, muito embora sem o alcance da eficácia modificativa, reconhecendo-se que o Ministério Público italiano possui legitimidade para expedir carta rogatória.</w:t>
      </w:r>
    </w:p>
    <w:p>
      <w:pPr>
        <w:ind w:left="288"/>
      </w:pPr>
      <w:r>
        <w:rPr>
          <w:b/>
          <w:color w:val="003CA0"/>
          <w:sz w:val="16"/>
        </w:rPr>
        <w:t>[HC 87.759 ED, rel. min. Marco Aurélio, j. 13-12-2011, 1ª T, DJE de 14-3-2012.]</w:t>
      </w:r>
    </w:p>
    <w:p>
      <w:pPr>
        <w:ind w:left="288"/>
      </w:pPr>
      <w:r>
        <w:rPr>
          <w:color w:val="8C8C8C"/>
          <w:sz w:val="12"/>
        </w:rPr>
        <w:t>cf-art-105-inc-I-ali-i</w:t>
      </w:r>
      <w:r>
        <w:rPr>
          <w:color w:val="003CA0"/>
          <w:sz w:val="12"/>
        </w:rPr>
        <w:t xml:space="preserve"> | RE 634.595</w:t>
      </w:r>
      <w:r>
        <w:rPr>
          <w:color w:val="003CA0"/>
          <w:sz w:val="12"/>
        </w:rPr>
        <w:t xml:space="preserve"> | rel. Dias Toffoli</w:t>
      </w:r>
    </w:p>
    <w:p>
      <w:pPr>
        <w:ind w:left="288"/>
      </w:pPr>
      <w:r>
        <w:rPr>
          <w:color w:val="1E1E1E"/>
          <w:sz w:val="18"/>
        </w:rPr>
        <w:t>Vide RE 634.595, rel. min. Dias Toffoli, j. 3-4-2018, P, DJE 20-4-21 Vide HC 87.759, rel. min. Marco Aurélio, j. 26-2-2008, 1ª T, DJE de 18-4-2008 Sentença ou ato de juízo estrangeiro. Bens. Sequestro e expropriação. Execução no território brasileiro. Formalidade essencial. A teor do disposto no art. 105, I, i, da CF e presente o art. 15 da Lei de Introdução ao Código Civil brasileiro, ato de juízo estrangeiro a implicar constrição deve ser examinado pelo STJ. Descabe apresentá-lo diretamente a juízo federal, objetivando o implemento. A atuação deste último, conforme o art. 109, X, da Carta da</w:t>
      </w:r>
    </w:p>
    <w:p>
      <w:pPr>
        <w:ind w:left="288"/>
      </w:pPr>
      <w:r>
        <w:rPr>
          <w:b/>
          <w:color w:val="003CA0"/>
          <w:sz w:val="16"/>
        </w:rPr>
        <w:t>[HC 105.905, rel. min. Marco Aurélio, j. 11-10-2011, 1ª T, DJE de 17-11-2011.]</w:t>
      </w:r>
    </w:p>
    <w:p>
      <w:pPr>
        <w:ind w:left="288"/>
      </w:pPr>
      <w:r>
        <w:rPr>
          <w:color w:val="8C8C8C"/>
          <w:sz w:val="12"/>
        </w:rPr>
        <w:t>cf-art-105-inc-I-ali-i</w:t>
      </w:r>
      <w:r>
        <w:rPr>
          <w:color w:val="003CA0"/>
          <w:sz w:val="12"/>
        </w:rPr>
        <w:t xml:space="preserve"> | AR 1.169</w:t>
      </w:r>
      <w:r>
        <w:rPr>
          <w:color w:val="003CA0"/>
          <w:sz w:val="12"/>
        </w:rPr>
        <w:t xml:space="preserve"> | rel. Eros Grau</w:t>
      </w:r>
    </w:p>
    <w:p>
      <w:pPr>
        <w:ind w:left="288"/>
      </w:pPr>
      <w:r>
        <w:rPr>
          <w:color w:val="1E1E1E"/>
          <w:sz w:val="18"/>
        </w:rPr>
        <w:t>Há dolo na conduta daquele que, em pedido de homologação de sentença estrangeira, indica para citação do réu endereço no Brasil, tendo conhecimento inequívoco da residência deste no exterior. Hipótese que determina a rescisão do julgado, nos termos do disposto no art. 485, III, do CPC. A autora da rescisória comprovou que não residia no Brasil no período em que julgado o pedido de homologação (1980-1982). As provas juntadas aos autos demonstraram que o ora réu tinha conhecimento inequívoco de que a autora residia nos Estados Unidos da América desde 1977. Não obstante, ao requerer homologação d</w:t>
      </w:r>
    </w:p>
    <w:p>
      <w:pPr>
        <w:ind w:left="288"/>
      </w:pPr>
      <w:r>
        <w:rPr>
          <w:b/>
          <w:color w:val="003CA0"/>
          <w:sz w:val="16"/>
        </w:rPr>
        <w:t>[AR 1.169, rel. min. Eros Grau, j. 3-8-2009, P, DJE de 2-10-2009.]</w:t>
      </w:r>
    </w:p>
    <w:p>
      <w:pPr>
        <w:ind w:left="288"/>
      </w:pPr>
      <w:r>
        <w:rPr>
          <w:color w:val="8C8C8C"/>
          <w:sz w:val="12"/>
        </w:rPr>
        <w:t>cf-art-105-inc-I-ali-i</w:t>
      </w:r>
      <w:r>
        <w:rPr>
          <w:color w:val="003CA0"/>
          <w:sz w:val="12"/>
        </w:rPr>
        <w:t xml:space="preserve"> | HC 89.171</w:t>
      </w:r>
    </w:p>
    <w:p>
      <w:pPr>
        <w:ind w:left="288"/>
      </w:pPr>
      <w:r>
        <w:rPr>
          <w:color w:val="1E1E1E"/>
          <w:sz w:val="18"/>
        </w:rPr>
        <w:t>Há precedentes desta Suprema Corte validando a disciplina da Resolução 9 do STJ, em que se assentou ser legítima, em carta rogatória, a realização de diligência sem a prévia audiência e sem a presença do réu da ação penal, quando essas possam frustrar o resultado da diligência, isso sem prejuízo da possibilidade do que se chama de exercício pleno do direito de defesa diferido, através de embargos, cabendo agravo regimental da decisão desses embargos. O deferimento do exequatur com a possibilidade da realização de medidas de investigação que se fizerem necessárias não caracteriza uma cláusula e</w:t>
      </w:r>
    </w:p>
    <w:p>
      <w:pPr>
        <w:ind w:left="288"/>
      </w:pPr>
      <w:r>
        <w:rPr>
          <w:b/>
          <w:color w:val="003CA0"/>
          <w:sz w:val="16"/>
        </w:rPr>
        <w:t>[HC 89.171, red. do ac. min. Menezes Direito, j. 24-3-2009, 1ª T, DJE de 8-5-2009.]</w:t>
      </w:r>
    </w:p>
    <w:p>
      <w:pPr>
        <w:ind w:left="288"/>
      </w:pPr>
      <w:r>
        <w:rPr>
          <w:color w:val="8C8C8C"/>
          <w:sz w:val="12"/>
        </w:rPr>
        <w:t>cf-art-105-inc-I-ali-i</w:t>
      </w:r>
      <w:r>
        <w:rPr>
          <w:color w:val="003CA0"/>
          <w:sz w:val="12"/>
        </w:rPr>
        <w:t xml:space="preserve"> | HC 87.759</w:t>
      </w:r>
      <w:r>
        <w:rPr>
          <w:color w:val="003CA0"/>
          <w:sz w:val="12"/>
        </w:rPr>
        <w:t xml:space="preserve"> | rel. Marco Aurélio</w:t>
      </w:r>
    </w:p>
    <w:p>
      <w:pPr>
        <w:ind w:left="288"/>
      </w:pPr>
      <w:r>
        <w:rPr>
          <w:color w:val="1E1E1E"/>
          <w:sz w:val="18"/>
        </w:rPr>
        <w:t>Carta rogatória. Concessão de exequatur. Reserva de colegiado. Conforme a alínea i do inciso I do art. 105 da CF, cumpre a órgão colegiado do STJ a concessão de exequatur a cartas rogatórias. Carta rogatória. Objeto ilícito. A carta rogatória deve ter objeto lícito considerada a legislação pátria. Descabe a concessão de exequatur quando vise a colher depoimento, como testemunha, de corréu.</w:t>
      </w:r>
    </w:p>
    <w:p>
      <w:pPr>
        <w:ind w:left="288"/>
      </w:pPr>
      <w:r>
        <w:rPr>
          <w:b/>
          <w:color w:val="003CA0"/>
          <w:sz w:val="16"/>
        </w:rPr>
        <w:t>[HC 87.759, rel. min. Marco Aurélio, j. 26-2-2008, 1ª T, DJE de 18-4-2008.]</w:t>
      </w:r>
    </w:p>
    <w:p>
      <w:pPr>
        <w:ind w:left="288"/>
      </w:pPr>
      <w:r>
        <w:rPr>
          <w:color w:val="8C8C8C"/>
          <w:sz w:val="12"/>
        </w:rPr>
        <w:t>cf-art-105-inc-I-ali-i</w:t>
      </w:r>
      <w:r>
        <w:rPr>
          <w:color w:val="003CA0"/>
          <w:sz w:val="12"/>
        </w:rPr>
        <w:t xml:space="preserve"> | HC 87.759</w:t>
      </w:r>
      <w:r>
        <w:rPr>
          <w:color w:val="003CA0"/>
          <w:sz w:val="12"/>
        </w:rPr>
        <w:t xml:space="preserve"> | rel. Marco Aurélio</w:t>
      </w:r>
    </w:p>
    <w:p>
      <w:pPr>
        <w:ind w:left="288"/>
      </w:pPr>
      <w:r>
        <w:rPr>
          <w:color w:val="1E1E1E"/>
          <w:sz w:val="18"/>
        </w:rPr>
        <w:t>Vide HC 87.759 ED, rel. min. Marco Aurélio, j. 13-12-2011, 1ª T, DJE de 14-3-2012</w:t>
      </w:r>
    </w:p>
    <w:p>
      <w:pPr>
        <w:ind w:left="288"/>
      </w:pPr>
      <w:r>
        <w:rPr>
          <w:color w:val="8C8C8C"/>
          <w:sz w:val="12"/>
        </w:rPr>
        <w:t>cf-art-105-inc-II-ali-a</w:t>
      </w:r>
      <w:r>
        <w:rPr>
          <w:color w:val="003CA0"/>
          <w:sz w:val="12"/>
        </w:rPr>
        <w:t xml:space="preserve"> | HC 78.897</w:t>
      </w:r>
      <w:r>
        <w:rPr>
          <w:color w:val="003CA0"/>
          <w:sz w:val="12"/>
        </w:rPr>
        <w:t xml:space="preserve"> | rel. Nelson Jobim</w:t>
      </w:r>
    </w:p>
    <w:p>
      <w:pPr>
        <w:ind w:left="288"/>
      </w:pPr>
      <w:r>
        <w:rPr>
          <w:color w:val="1E1E1E"/>
          <w:sz w:val="18"/>
        </w:rPr>
        <w:t>A distinção feita por este Tribunal entre habeas corpus originário e habeas corpus substitutivo tem a ver, única e exclusivamente, com o exame da competência para processar e julgar o pedido. O uso alternativo de um ou de outro, ainda que permitido, não pode implicar em livre escolha do juízo por parte do impetrante, fraudando a competência recursal atribuída pela Constituição ao STJ (CF, art. 105, II, a) e a competência originária deste Tribunal (CF, art. 102, I, i), na redação original. Tratando-se de habeas corpus, exaurido o seu exame pelo STJ, resta ao impetrante, como última instância, v</w:t>
      </w:r>
    </w:p>
    <w:p>
      <w:pPr>
        <w:ind w:left="288"/>
      </w:pPr>
      <w:r>
        <w:rPr>
          <w:b/>
          <w:color w:val="003CA0"/>
          <w:sz w:val="16"/>
        </w:rPr>
        <w:t>[HC 78.897 QO, rel. min. Nelson Jobim, j. 9-6-1999, P, DJ de 20-2-2004.]</w:t>
      </w:r>
    </w:p>
    <w:p>
      <w:pPr>
        <w:ind w:left="288"/>
      </w:pPr>
      <w:r>
        <w:rPr>
          <w:color w:val="8C8C8C"/>
          <w:sz w:val="12"/>
        </w:rPr>
        <w:t>cf-art-105-inc-II-ali-b</w:t>
      </w:r>
      <w:r>
        <w:rPr>
          <w:color w:val="003CA0"/>
          <w:sz w:val="12"/>
        </w:rPr>
        <w:t xml:space="preserve"> | RE 638.057</w:t>
      </w:r>
      <w:r>
        <w:rPr>
          <w:color w:val="003CA0"/>
          <w:sz w:val="12"/>
        </w:rPr>
        <w:t xml:space="preserve"> | rel. Ricardo Lewandowski</w:t>
      </w:r>
    </w:p>
    <w:p>
      <w:pPr>
        <w:ind w:left="288"/>
      </w:pPr>
      <w:r>
        <w:rPr>
          <w:color w:val="1E1E1E"/>
          <w:sz w:val="18"/>
        </w:rPr>
        <w:t>Nos termos do art. 105, II, b, da Constituição, inviável à instância recursal, no julgamento de recurso ordinário em mandado de segurança, superar preliminar de não cabimento da ação e enfrentar, de imediato, questão de mérito não analisada pela instância competente para o julgamento originário do writ.</w:t>
      </w:r>
    </w:p>
    <w:p>
      <w:pPr>
        <w:ind w:left="288"/>
      </w:pPr>
      <w:r>
        <w:rPr>
          <w:b/>
          <w:color w:val="003CA0"/>
          <w:sz w:val="16"/>
        </w:rPr>
        <w:t>[RE 638.057 AgR, rel. min. Ricardo Lewandowski, j. 28-2-2012, 2ª T, DJE de 12-3-2012.]</w:t>
      </w:r>
    </w:p>
    <w:p>
      <w:pPr>
        <w:ind w:left="288"/>
      </w:pPr>
      <w:r>
        <w:rPr>
          <w:color w:val="8C8C8C"/>
          <w:sz w:val="12"/>
        </w:rPr>
        <w:t>cf-art-105-inc-II-ali-b</w:t>
      </w:r>
      <w:r>
        <w:rPr>
          <w:color w:val="003CA0"/>
          <w:sz w:val="12"/>
        </w:rPr>
        <w:t xml:space="preserve"> | RMS 24.309</w:t>
      </w:r>
      <w:r>
        <w:rPr>
          <w:color w:val="003CA0"/>
          <w:sz w:val="12"/>
        </w:rPr>
        <w:t xml:space="preserve"> | rel. Marco Aurélio</w:t>
      </w:r>
    </w:p>
    <w:p>
      <w:pPr>
        <w:ind w:left="288"/>
      </w:pPr>
      <w:r>
        <w:rPr>
          <w:color w:val="1E1E1E"/>
          <w:sz w:val="18"/>
        </w:rPr>
        <w:t>Vide RMS 24.309 ED, rel. min. Marco Aurélio, j. 17-2-2004, 1ª T, DJ de 30-4-2004 Decisão denegatória de mandado de segurança proferida originariamente por tribunal estadual. Recurso ordinário. (...) Pedido alternativo de conversão do extraordinário. Tendo sido a segurança denegada originariamente pelo Tribunal de Justiça estadual, cabível era o recurso ordinário. A interposição de recurso extraordinário, mesmo que a causa esteja adstrita a questões constitucionais, é inadmissível e configura evidente erro grosseiro. Incabível a postulação alternativa de conversão do recurso extraordinário em o</w:t>
      </w:r>
    </w:p>
    <w:p>
      <w:pPr>
        <w:ind w:left="288"/>
      </w:pPr>
      <w:r>
        <w:rPr>
          <w:b/>
          <w:color w:val="003CA0"/>
          <w:sz w:val="16"/>
        </w:rPr>
        <w:t>[AI 145.553 AgR, rel. min. Ilmar Galvão, j. 9-2-1993, 1ª T, DJ de 26-2-1993.]</w:t>
      </w:r>
    </w:p>
    <w:p>
      <w:pPr>
        <w:ind w:left="288"/>
      </w:pPr>
      <w:r>
        <w:rPr>
          <w:color w:val="8C8C8C"/>
          <w:sz w:val="12"/>
        </w:rPr>
        <w:t>cf-art-105-inc-II-ali-b</w:t>
      </w:r>
      <w:r>
        <w:rPr>
          <w:color w:val="003CA0"/>
          <w:sz w:val="12"/>
        </w:rPr>
        <w:t xml:space="preserve"> | AI 767.657</w:t>
      </w:r>
      <w:r>
        <w:rPr>
          <w:color w:val="003CA0"/>
          <w:sz w:val="12"/>
        </w:rPr>
        <w:t xml:space="preserve"> | rel. Joaquim Barbosa</w:t>
      </w:r>
    </w:p>
    <w:p>
      <w:pPr>
        <w:ind w:left="288"/>
      </w:pPr>
      <w:r>
        <w:rPr>
          <w:color w:val="1E1E1E"/>
          <w:sz w:val="18"/>
        </w:rPr>
        <w:t>= AI 767.657 AgR, rel. min. Joaquim Barbosa, j. 31-8-2010, 2ª T, DJE de 1º-10-2010</w:t>
      </w:r>
    </w:p>
    <w:p>
      <w:pPr>
        <w:ind w:left="288"/>
      </w:pPr>
      <w:r>
        <w:rPr>
          <w:color w:val="8C8C8C"/>
          <w:sz w:val="12"/>
        </w:rPr>
        <w:t>cf-art-105-inc-II-ali-c</w:t>
      </w:r>
    </w:p>
    <w:p>
      <w:pPr>
        <w:ind w:left="288"/>
      </w:pPr>
      <w:r>
        <w:rPr>
          <w:color w:val="1E1E1E"/>
          <w:sz w:val="18"/>
        </w:rPr>
        <w:t>III - julgar, em recurso especial, as causas decididas, em única ou última instância, pelos Tribunais Regionais Federais ou pelos tribunais dos Estados, do Distrito Federal e Territórios, quando a decisão recorrida:</w:t>
      </w:r>
    </w:p>
    <w:p>
      <w:pPr>
        <w:ind w:left="288"/>
      </w:pPr>
      <w:r>
        <w:rPr>
          <w:color w:val="8C8C8C"/>
          <w:sz w:val="12"/>
        </w:rPr>
        <w:t>cf-art-105-inc-II-ali-c</w:t>
      </w:r>
      <w:r>
        <w:rPr>
          <w:color w:val="003CA0"/>
          <w:sz w:val="12"/>
        </w:rPr>
        <w:t xml:space="preserve"> | RCL 8.163</w:t>
      </w:r>
      <w:r>
        <w:rPr>
          <w:color w:val="003CA0"/>
          <w:sz w:val="12"/>
        </w:rPr>
        <w:t xml:space="preserve"> | rel. Ricardo Lewandowski</w:t>
      </w:r>
    </w:p>
    <w:p>
      <w:pPr>
        <w:ind w:left="288"/>
      </w:pPr>
      <w:r>
        <w:rPr>
          <w:color w:val="1E1E1E"/>
          <w:sz w:val="18"/>
        </w:rPr>
        <w:t>O STJ, ao negar seguimento ao recurso especial com fundamento constitucional, exerceu o chamado controle difuso de constitucionalidade, que é possibilitado a todos os órgãos judiciais indistintamente. Em tais casos, só haverá usurpação de competência do STF se da decisão da corte de origem foram interpostos, simultaneamente, recursos especial e extraordinário.</w:t>
      </w:r>
    </w:p>
    <w:p>
      <w:pPr>
        <w:ind w:left="288"/>
      </w:pPr>
      <w:r>
        <w:rPr>
          <w:b/>
          <w:color w:val="003CA0"/>
          <w:sz w:val="16"/>
        </w:rPr>
        <w:t>[Rcl 8.163 AgR, rel. min. Ricardo Lewandowski, j. 3-11-2011, P, DJE de 28-11-2011.]</w:t>
      </w:r>
    </w:p>
    <w:p>
      <w:pPr>
        <w:ind w:left="288"/>
      </w:pPr>
      <w:r>
        <w:rPr>
          <w:color w:val="8C8C8C"/>
          <w:sz w:val="12"/>
        </w:rPr>
        <w:t>cf-art-105-inc-II-ali-c</w:t>
      </w:r>
      <w:r>
        <w:rPr>
          <w:color w:val="003CA0"/>
          <w:sz w:val="12"/>
        </w:rPr>
        <w:t xml:space="preserve"> | RCL 6.882</w:t>
      </w:r>
      <w:r>
        <w:rPr>
          <w:color w:val="003CA0"/>
          <w:sz w:val="12"/>
        </w:rPr>
        <w:t xml:space="preserve"> | rel. Cármen Lúcia</w:t>
      </w:r>
    </w:p>
    <w:p>
      <w:pPr>
        <w:ind w:left="288"/>
      </w:pPr>
      <w:r>
        <w:rPr>
          <w:color w:val="1E1E1E"/>
          <w:sz w:val="18"/>
        </w:rPr>
        <w:t>O reconhecimento de repercussão geral no recurso extraordinário (...) não significa que o STJ está impedido de julgar, observando os limites de sua competência, o recurso especial interposto simultaneamente ao recurso extraordinário.</w:t>
      </w:r>
    </w:p>
    <w:p>
      <w:pPr>
        <w:ind w:left="288"/>
      </w:pPr>
      <w:r>
        <w:rPr>
          <w:b/>
          <w:color w:val="003CA0"/>
          <w:sz w:val="16"/>
        </w:rPr>
        <w:t>[Rcl 6.882 AgR, rel. min. Cármen Lúcia, j. 24-3-2011, P, DJE de 12-4-2011.]</w:t>
      </w:r>
    </w:p>
    <w:p>
      <w:pPr>
        <w:ind w:left="288"/>
      </w:pPr>
      <w:r>
        <w:rPr>
          <w:color w:val="8C8C8C"/>
          <w:sz w:val="12"/>
        </w:rPr>
        <w:t>cf-art-105-inc-II-ali-c</w:t>
      </w:r>
      <w:r>
        <w:rPr>
          <w:color w:val="003CA0"/>
          <w:sz w:val="12"/>
        </w:rPr>
        <w:t xml:space="preserve"> | RE 235.802</w:t>
      </w:r>
      <w:r>
        <w:rPr>
          <w:color w:val="003CA0"/>
          <w:sz w:val="12"/>
        </w:rPr>
        <w:t xml:space="preserve"> | rel. Joaquim Barbosa</w:t>
      </w:r>
    </w:p>
    <w:p>
      <w:pPr>
        <w:ind w:left="288"/>
      </w:pPr>
      <w:r>
        <w:rPr>
          <w:color w:val="1E1E1E"/>
          <w:sz w:val="18"/>
        </w:rPr>
        <w:t>A limitação da questão legal a ser devolvida para análise do STJ decorre exclusivamente do fato de ter havido a desistência do recurso extraordinário interposto pelo ora embargante contra o acórdão do Tribunal de Justiça, não havendo que se falar em usurpação de competência.</w:t>
      </w:r>
    </w:p>
    <w:p>
      <w:pPr>
        <w:ind w:left="288"/>
      </w:pPr>
      <w:r>
        <w:rPr>
          <w:b/>
          <w:color w:val="003CA0"/>
          <w:sz w:val="16"/>
        </w:rPr>
        <w:t>[RE 235.802 ED-ED, rel. min. Joaquim Barbosa, j. 9-11-2010, 1ª T, DJE de 30-11-2010.]</w:t>
      </w:r>
    </w:p>
    <w:p>
      <w:pPr>
        <w:ind w:left="288"/>
      </w:pPr>
      <w:r>
        <w:rPr>
          <w:color w:val="8C8C8C"/>
          <w:sz w:val="12"/>
        </w:rPr>
        <w:t>cf-art-105-inc-II-ali-c</w:t>
      </w:r>
      <w:r>
        <w:rPr>
          <w:color w:val="003CA0"/>
          <w:sz w:val="12"/>
        </w:rPr>
        <w:t xml:space="preserve"> | HC 69.522</w:t>
      </w:r>
      <w:r>
        <w:rPr>
          <w:color w:val="003CA0"/>
          <w:sz w:val="12"/>
        </w:rPr>
        <w:t xml:space="preserve"> | rel. Eros Grau</w:t>
      </w:r>
    </w:p>
    <w:p>
      <w:pPr>
        <w:ind w:left="288"/>
      </w:pPr>
      <w:r>
        <w:rPr>
          <w:color w:val="1E1E1E"/>
          <w:sz w:val="18"/>
        </w:rPr>
        <w:t>Decisão que negou seguimento a recurso especial por intempestivo. Recurso tempestivo porquanto ante a superveniência do recesso forense o último dia do prazo foi prorrogado para o primeiro dia útil subsequente, 7-1-2008. Esta Corte decidiu, no julgamento do HC 69.522/GO, min. Marco Aurélio, que a regra do art. 798 do CPP pressupõe quadro de normalidade, o funcionamento regular da Justiça. Daí afirmar-se que "tratando-se de férias coletivas ocorre o fenômeno da suspensão”.</w:t>
      </w:r>
    </w:p>
    <w:p>
      <w:pPr>
        <w:ind w:left="288"/>
      </w:pPr>
      <w:r>
        <w:rPr>
          <w:b/>
          <w:color w:val="003CA0"/>
          <w:sz w:val="16"/>
        </w:rPr>
        <w:t>[HC 100.344, rel. min. Eros Grau, j. 8-9-2009, 2ª T, DJE de 6-11-2009.]</w:t>
      </w:r>
    </w:p>
    <w:p>
      <w:pPr>
        <w:ind w:left="288"/>
      </w:pPr>
      <w:r>
        <w:rPr>
          <w:color w:val="8C8C8C"/>
          <w:sz w:val="12"/>
        </w:rPr>
        <w:t>cf-art-105-inc-II-ali-c</w:t>
      </w:r>
      <w:r>
        <w:rPr>
          <w:color w:val="003CA0"/>
          <w:sz w:val="12"/>
        </w:rPr>
        <w:t xml:space="preserve"> | HC 99.206</w:t>
      </w:r>
      <w:r>
        <w:rPr>
          <w:color w:val="003CA0"/>
          <w:sz w:val="12"/>
        </w:rPr>
        <w:t xml:space="preserve"> | rel. Cármen Lúcia</w:t>
      </w:r>
    </w:p>
    <w:p>
      <w:pPr>
        <w:ind w:left="288"/>
      </w:pPr>
      <w:r>
        <w:rPr>
          <w:color w:val="1E1E1E"/>
          <w:sz w:val="18"/>
        </w:rPr>
        <w:t>= HC 99.206, rel. min. Cármen Lúcia, j. 10-8-2010, 1ª T, DJE de 11-2-2011 Vide RMS 21.476, rel. min. Celso de Mello, j. 16-6-1992, 1ª T, DJ de 4-9-1992 Ação popular. Contrato de risco entre a Petrobras e a Paulipetro (consórcio "Cesp" e "IPT"). Nulidade reconhecida pelo STJ, em sede de recurso especial. Fundamento central: ofensa ao art. 2º da Lei 4.717/1965. Alegada incompetência absoluta do STJ para apreciar litígio entre a União e o Estado de São Paulo, assim como para julgar matéria constitucional sob reserva do STF. Ausência de prequestionamento; descabimento da alegação. Suposta aplicaçã</w:t>
      </w:r>
    </w:p>
    <w:p>
      <w:pPr>
        <w:ind w:left="288"/>
      </w:pPr>
      <w:r>
        <w:rPr>
          <w:b/>
          <w:color w:val="003CA0"/>
          <w:sz w:val="16"/>
        </w:rPr>
        <w:t>[RE 479.887, rel. min. Ayres Britto, j. 7-8-2007, 1ª T, DJ de 31-10-2007.]</w:t>
      </w:r>
    </w:p>
    <w:p>
      <w:pPr>
        <w:ind w:left="288"/>
      </w:pPr>
      <w:r>
        <w:rPr>
          <w:color w:val="8C8C8C"/>
          <w:sz w:val="12"/>
        </w:rPr>
        <w:t>cf-art-105-inc-II-ali-c</w:t>
      </w:r>
      <w:r>
        <w:rPr>
          <w:color w:val="003CA0"/>
          <w:sz w:val="12"/>
        </w:rPr>
        <w:t xml:space="preserve"> | AI 442.654</w:t>
      </w:r>
      <w:r>
        <w:rPr>
          <w:color w:val="003CA0"/>
          <w:sz w:val="12"/>
        </w:rPr>
        <w:t xml:space="preserve"> | rel. Celso de Mello</w:t>
      </w:r>
    </w:p>
    <w:p>
      <w:pPr>
        <w:ind w:left="288"/>
      </w:pPr>
      <w:r>
        <w:rPr>
          <w:color w:val="1E1E1E"/>
          <w:sz w:val="18"/>
        </w:rPr>
        <w:t>A jurisprudência do STF firmou entendimento no sentido de que a discussão em torno dos requisitos de admissibilidade do recurso especial, dirigido ao STJ, não viabiliza o acesso à via recursal extraordinária, por tratar-se de tema de caráter eminentemente infraconstitucional, exceto se o julgamento emanado dessa Alta Corte judiciária apoiar-se em premissas que conflitem, diretamente, com o que dispõe o art. 105, III, da Carta Política.</w:t>
      </w:r>
    </w:p>
    <w:p>
      <w:pPr>
        <w:ind w:left="288"/>
      </w:pPr>
      <w:r>
        <w:rPr>
          <w:b/>
          <w:color w:val="003CA0"/>
          <w:sz w:val="16"/>
        </w:rPr>
        <w:t>[AI 442.654 AgR, rel. min. Celso de Mello, j. 23-3-2004, 2ª T, DJ de 11-6-2004.]</w:t>
      </w:r>
    </w:p>
    <w:p>
      <w:pPr>
        <w:ind w:left="288"/>
      </w:pPr>
      <w:r>
        <w:rPr>
          <w:color w:val="8C8C8C"/>
          <w:sz w:val="12"/>
        </w:rPr>
        <w:t>cf-art-105-inc-II-ali-c</w:t>
      </w:r>
      <w:r>
        <w:rPr>
          <w:color w:val="003CA0"/>
          <w:sz w:val="12"/>
        </w:rPr>
        <w:t xml:space="preserve"> | AI 741.876</w:t>
      </w:r>
      <w:r>
        <w:rPr>
          <w:color w:val="003CA0"/>
          <w:sz w:val="12"/>
        </w:rPr>
        <w:t xml:space="preserve"> | rel. Joaquim Barbosa</w:t>
      </w:r>
    </w:p>
    <w:p>
      <w:pPr>
        <w:ind w:left="288"/>
      </w:pPr>
      <w:r>
        <w:rPr>
          <w:color w:val="1E1E1E"/>
          <w:sz w:val="18"/>
        </w:rPr>
        <w:t>= AI 741.876 AgR, rel. min. Joaquim Barbosa, j. 14-4-2009, 2ª T, DJE de 5-6-2009 O termo "causa" empregado no art. 105, III, da Constituição compreende qualquer questão federal resolvida em única ou última instância, pelos tribunais regionais federais ou pelos tribunais dos Estados, Distrito Federal e Territórios, ainda que mediante decisão interlocutória.</w:t>
      </w:r>
    </w:p>
    <w:p>
      <w:pPr>
        <w:ind w:left="288"/>
      </w:pPr>
      <w:r>
        <w:rPr>
          <w:b/>
          <w:color w:val="003CA0"/>
          <w:sz w:val="16"/>
        </w:rPr>
        <w:t>[RE 153.831, rel. min. Ellen Gracie, j. 3-12-2002, 1ª T, DJ de 14-3-2003.]</w:t>
      </w:r>
    </w:p>
    <w:p>
      <w:pPr>
        <w:ind w:left="288"/>
      </w:pPr>
      <w:r>
        <w:rPr>
          <w:color w:val="8C8C8C"/>
          <w:sz w:val="12"/>
        </w:rPr>
        <w:t>cf-art-105-inc-II-ali-c</w:t>
      </w:r>
      <w:r>
        <w:rPr>
          <w:color w:val="003CA0"/>
          <w:sz w:val="12"/>
        </w:rPr>
        <w:t xml:space="preserve"> | RE 208.775.</w:t>
      </w:r>
      <w:r>
        <w:rPr>
          <w:color w:val="003CA0"/>
          <w:sz w:val="12"/>
        </w:rPr>
        <w:t xml:space="preserve"> | rel. Ellen Gracie</w:t>
      </w:r>
    </w:p>
    <w:p>
      <w:pPr>
        <w:ind w:left="288"/>
      </w:pPr>
      <w:r>
        <w:rPr>
          <w:color w:val="1E1E1E"/>
          <w:sz w:val="18"/>
        </w:rPr>
        <w:t>Viola o art. 105, III, da Constituição, o acórdão do STJ que mantém a atualização monetária questionada, reduzindo, contudo, o índice de correção, sem que tal questão tenha sido anteriormente ventilada pelas instâncias inferiores. Precedente: RE 208.775.</w:t>
      </w:r>
    </w:p>
    <w:p>
      <w:pPr>
        <w:ind w:left="288"/>
      </w:pPr>
      <w:r>
        <w:rPr>
          <w:b/>
          <w:color w:val="003CA0"/>
          <w:sz w:val="16"/>
        </w:rPr>
        <w:t>[RE 211.685, rel. min. Ellen Gracie, j. 11-9-2001, 1ª T, DJ de 11-10-2001.]</w:t>
      </w:r>
    </w:p>
    <w:p>
      <w:pPr>
        <w:ind w:left="288"/>
      </w:pPr>
      <w:r>
        <w:rPr>
          <w:color w:val="8C8C8C"/>
          <w:sz w:val="12"/>
        </w:rPr>
        <w:t>cf-art-105-inc-II-ali-c</w:t>
      </w:r>
      <w:r>
        <w:rPr>
          <w:color w:val="003CA0"/>
          <w:sz w:val="12"/>
        </w:rPr>
        <w:t xml:space="preserve"> | AI 217.753</w:t>
      </w:r>
      <w:r>
        <w:rPr>
          <w:color w:val="003CA0"/>
          <w:sz w:val="12"/>
        </w:rPr>
        <w:t xml:space="preserve"> | rel. Marco Aurélio</w:t>
      </w:r>
    </w:p>
    <w:p>
      <w:pPr>
        <w:ind w:left="288"/>
      </w:pPr>
      <w:r>
        <w:rPr>
          <w:color w:val="1E1E1E"/>
          <w:sz w:val="18"/>
        </w:rPr>
        <w:t>O STJ, uma vez ultrapassada a barreira de conhecimento do recurso especial, julga a lide, cabendo-lhe, como ocorre em relação a todo e qualquer órgão investido do ofício judicante, o controle difuso de constitucionalidade. (...) Deixando o órgão de examinar questão versada pela parte, isso após conhecido recurso com o qual se defrontou, verifica-se o vício de procedimento e, portanto, a abertura de via à arguição pertinente.</w:t>
      </w:r>
    </w:p>
    <w:p>
      <w:pPr>
        <w:ind w:left="288"/>
      </w:pPr>
      <w:r>
        <w:rPr>
          <w:b/>
          <w:color w:val="003CA0"/>
          <w:sz w:val="16"/>
        </w:rPr>
        <w:t>[AI 217.753 AgR, rel. min. Marco Aurélio, j. 1º-12-1998, 2ª T, DJ de 23-4-1999.]</w:t>
      </w:r>
    </w:p>
    <w:p>
      <w:pPr>
        <w:ind w:left="288"/>
      </w:pPr>
      <w:r>
        <w:rPr>
          <w:color w:val="8C8C8C"/>
          <w:sz w:val="12"/>
        </w:rPr>
        <w:t>cf-art-105-inc-II-ali-c</w:t>
      </w:r>
      <w:r>
        <w:rPr>
          <w:color w:val="003CA0"/>
          <w:sz w:val="12"/>
        </w:rPr>
        <w:t xml:space="preserve"> | RCL 6.882</w:t>
      </w:r>
      <w:r>
        <w:rPr>
          <w:color w:val="003CA0"/>
          <w:sz w:val="12"/>
        </w:rPr>
        <w:t xml:space="preserve"> | rel. Cármen Lúcia</w:t>
      </w:r>
    </w:p>
    <w:p>
      <w:pPr>
        <w:ind w:left="288"/>
      </w:pPr>
      <w:r>
        <w:rPr>
          <w:color w:val="1E1E1E"/>
          <w:sz w:val="18"/>
        </w:rPr>
        <w:t>= Rcl 6.882 AgR, rel. min. Cármen Lúcia, j. 24-3-2011, P, DJE de 12-4-2011 Improcedência das alegações de que não é cabível recurso especial contra decisão de tribunal que, em única instância, julga improcedente a denúncia em face da resposta escrita, não só por ser irrecorrível tal decisão em virtude do disposto no art. 557 c/c o art. 559 do CPP, mas também por não estar, nesse caso, caracterizada a "causa", que é pressuposto de admissibilidade do recurso especial (inciso III do art. 105 da CF).</w:t>
      </w:r>
    </w:p>
    <w:p>
      <w:pPr>
        <w:ind w:left="288"/>
      </w:pPr>
      <w:r>
        <w:rPr>
          <w:b/>
          <w:color w:val="003CA0"/>
          <w:sz w:val="16"/>
        </w:rPr>
        <w:t>[HC 77.404, rel. min. Moreira Alves, j. 1º-9-1998, 1ª T, DJ de 23-10-1998.]</w:t>
      </w:r>
    </w:p>
    <w:p>
      <w:pPr>
        <w:ind w:left="288"/>
      </w:pPr>
      <w:r>
        <w:rPr>
          <w:color w:val="8C8C8C"/>
          <w:sz w:val="12"/>
        </w:rPr>
        <w:t>cf-art-105-inc-II-ali-c</w:t>
      </w:r>
      <w:r>
        <w:rPr>
          <w:color w:val="003CA0"/>
          <w:sz w:val="12"/>
        </w:rPr>
        <w:t xml:space="preserve"> | RE 190.104</w:t>
      </w:r>
      <w:r>
        <w:rPr>
          <w:color w:val="003CA0"/>
          <w:sz w:val="12"/>
        </w:rPr>
        <w:t xml:space="preserve"> | rel. Néri da Silveira</w:t>
      </w:r>
    </w:p>
    <w:p>
      <w:pPr>
        <w:ind w:left="288"/>
      </w:pPr>
      <w:r>
        <w:rPr>
          <w:color w:val="1E1E1E"/>
          <w:sz w:val="18"/>
        </w:rPr>
        <w:t xml:space="preserve">Limites do recurso extraordinário, para o STF, contra acórdão em recurso especial, do STJ, em face do sistema da CF (arts. 102, III, a, b e c, e 105, III, a, b e c). Definida a área de competência de ambas as Cortes, certo está que o STF, pela competência excepcional e incontrastável prevista no caput do art. 102 da Lei Magna, enquanto guarda da Constituição, pode, em princípio, conhecer de recurso extraordinário também de decisão proferida pelo STJ, quer no exercício da competência originária, quer de competência recursal ordinária, quer em recurso especial (CF, art. 105, I, II e III), desde </w:t>
      </w:r>
    </w:p>
    <w:p>
      <w:pPr>
        <w:ind w:left="288"/>
      </w:pPr>
      <w:r>
        <w:rPr>
          <w:b/>
          <w:color w:val="003CA0"/>
          <w:sz w:val="16"/>
        </w:rPr>
        <w:t>[RE 190.104, rel. min. Néri da Silveira, j. 25-6-1996, 2ª T, DJ de 14-11-1997.]</w:t>
      </w:r>
    </w:p>
    <w:p>
      <w:pPr>
        <w:ind w:left="288"/>
      </w:pPr>
      <w:r>
        <w:rPr>
          <w:color w:val="8C8C8C"/>
          <w:sz w:val="12"/>
        </w:rPr>
        <w:t>cf-art-105-inc-II-ali-c</w:t>
      </w:r>
      <w:r>
        <w:rPr>
          <w:color w:val="003CA0"/>
          <w:sz w:val="12"/>
        </w:rPr>
        <w:t xml:space="preserve"> | AI 135.632</w:t>
      </w:r>
      <w:r>
        <w:rPr>
          <w:color w:val="003CA0"/>
          <w:sz w:val="12"/>
        </w:rPr>
        <w:t xml:space="preserve"> | rel. Celso de Mello</w:t>
      </w:r>
    </w:p>
    <w:p>
      <w:pPr>
        <w:ind w:left="288"/>
      </w:pPr>
      <w:r>
        <w:rPr>
          <w:color w:val="1E1E1E"/>
          <w:sz w:val="18"/>
        </w:rPr>
        <w:t>Desdobramento do recurso extraordinário em recurso especial. Impossibilidade. Revela-se inviável o desdobramento de um recurso, que, por perda de objeto motivada pela celebração de acordo na esfera administrativa, tornou-se, ipso facto, prejudicado, circunstância esta que afeta o encaminhamento, ao STJ, de um recurso irremediavelmente desprovido de objeto.</w:t>
      </w:r>
    </w:p>
    <w:p>
      <w:pPr>
        <w:ind w:left="288"/>
      </w:pPr>
      <w:r>
        <w:rPr>
          <w:b/>
          <w:color w:val="003CA0"/>
          <w:sz w:val="16"/>
        </w:rPr>
        <w:t>[AI 135.632 AgR, rel. min. Celso de Mello, j. 10-10-1995, 1ª T, DJ de 3-9-1999.]</w:t>
      </w:r>
    </w:p>
    <w:p>
      <w:pPr>
        <w:ind w:left="288"/>
      </w:pPr>
      <w:r>
        <w:rPr>
          <w:color w:val="8C8C8C"/>
          <w:sz w:val="12"/>
        </w:rPr>
        <w:t>cf-art-105-inc-II-ali-c</w:t>
      </w:r>
      <w:r>
        <w:rPr>
          <w:color w:val="003CA0"/>
          <w:sz w:val="12"/>
        </w:rPr>
        <w:t xml:space="preserve"> | AI 162.245</w:t>
      </w:r>
      <w:r>
        <w:rPr>
          <w:color w:val="003CA0"/>
          <w:sz w:val="12"/>
        </w:rPr>
        <w:t xml:space="preserve"> | rel. Celso de Mello</w:t>
      </w:r>
    </w:p>
    <w:p>
      <w:pPr>
        <w:ind w:left="288"/>
      </w:pPr>
      <w:r>
        <w:rPr>
          <w:color w:val="1E1E1E"/>
          <w:sz w:val="18"/>
        </w:rPr>
        <w:t>O recurso especial, por sua vez, está vocacionado, no campo de sua específica atuação temática, à tutela do direito objetivo infraconstitucional da União. A sua apreciação jurisdicional compete ao STJ, que detém, ope constitutionis, a qualidade de guardião do direito federal comum. O legislador constituinte, ao criar o STJ, atribuiu-lhe, dentre outras eminentes funções de índole jurisdicional, a prerrogativa de uniformizar a interpretação das leis e das normas infraconstitucionais emanadas da União Federal (CF, art. 105, III, c). Refoge, assim, ao domínio temático do recurso especial, o dissíd</w:t>
      </w:r>
    </w:p>
    <w:p>
      <w:pPr>
        <w:ind w:left="288"/>
      </w:pPr>
      <w:r>
        <w:rPr>
          <w:b/>
          <w:color w:val="003CA0"/>
          <w:sz w:val="16"/>
        </w:rPr>
        <w:t>[AI 162.245 AgR, rel. min. Celso de Mello, j. 30-8-1994, 1ª T, DJ de 24-11-2000.]</w:t>
      </w:r>
    </w:p>
    <w:p>
      <w:pPr>
        <w:ind w:left="288"/>
      </w:pPr>
      <w:r>
        <w:rPr>
          <w:color w:val="8C8C8C"/>
          <w:sz w:val="12"/>
        </w:rPr>
        <w:t>cf-art-105-inc-II-ali-c</w:t>
      </w:r>
      <w:r>
        <w:rPr>
          <w:color w:val="003CA0"/>
          <w:sz w:val="12"/>
        </w:rPr>
        <w:t xml:space="preserve"> | AI 603.866</w:t>
      </w:r>
      <w:r>
        <w:rPr>
          <w:color w:val="003CA0"/>
          <w:sz w:val="12"/>
        </w:rPr>
        <w:t xml:space="preserve"> | rel. Marco Aurélio</w:t>
      </w:r>
    </w:p>
    <w:p>
      <w:pPr>
        <w:ind w:left="288"/>
      </w:pPr>
      <w:r>
        <w:rPr>
          <w:color w:val="1E1E1E"/>
          <w:sz w:val="18"/>
        </w:rPr>
        <w:t>= AI 603.866 AgR, rel. min. Marco Aurélio, j. 9-6-2009, 1ª T, DJE de 21-8-2009 Vide HC 94.337, rel. min. Cármen Lúcia, j. 3-6-2008, 1ª T, DJE de 31-10-2008 É inadmissível o recurso especial se a decisão recorrida contém fundamento constitucional suficiente e não tiver sido interposto o recurso extraordinário simultâneo.</w:t>
      </w:r>
    </w:p>
    <w:p>
      <w:pPr>
        <w:ind w:left="288"/>
      </w:pPr>
      <w:r>
        <w:rPr>
          <w:b/>
          <w:color w:val="003CA0"/>
          <w:sz w:val="16"/>
        </w:rPr>
        <w:t>[AI 155.895 AgR, rel. min. Sepúlveda Pertence, j. 30-11-1993, 1ª T, DJ de 20-5-1994.]</w:t>
      </w:r>
    </w:p>
    <w:p>
      <w:pPr>
        <w:ind w:left="288"/>
      </w:pPr>
      <w:r>
        <w:rPr>
          <w:color w:val="8C8C8C"/>
          <w:sz w:val="12"/>
        </w:rPr>
        <w:t>cf-art-105-inc-II-ali-a</w:t>
      </w:r>
      <w:r>
        <w:rPr>
          <w:color w:val="003CA0"/>
          <w:sz w:val="12"/>
        </w:rPr>
        <w:t xml:space="preserve"> | RE 602.422</w:t>
      </w:r>
      <w:r>
        <w:rPr>
          <w:color w:val="003CA0"/>
          <w:sz w:val="12"/>
        </w:rPr>
        <w:t xml:space="preserve"> | rel. Eros Grau</w:t>
      </w:r>
    </w:p>
    <w:p>
      <w:pPr>
        <w:ind w:left="288"/>
      </w:pPr>
      <w:r>
        <w:rPr>
          <w:color w:val="1E1E1E"/>
          <w:sz w:val="18"/>
        </w:rPr>
        <w:t>CPMF. Isenção. Tratado internacional. (...) Competência do STJ para o julgamento da matéria sob exame, princípio da reciprocidade de tratamento prevista em acordo internacional (art. 105, III, a, da Constituição do Brasil).</w:t>
      </w:r>
    </w:p>
    <w:p>
      <w:pPr>
        <w:ind w:left="288"/>
      </w:pPr>
      <w:r>
        <w:rPr>
          <w:b/>
          <w:color w:val="003CA0"/>
          <w:sz w:val="16"/>
        </w:rPr>
        <w:t>[RE 602.422 AgR, rel. min. Eros Grau, j. 9-2-2010, 2ª T, DJE de 12-3-2010.]</w:t>
      </w:r>
    </w:p>
    <w:p>
      <w:pPr>
        <w:ind w:left="288"/>
      </w:pPr>
      <w:r>
        <w:rPr>
          <w:color w:val="8C8C8C"/>
          <w:sz w:val="12"/>
        </w:rPr>
        <w:t>cf-art-105-inc-II-ali-b</w:t>
      </w:r>
      <w:r>
        <w:rPr>
          <w:color w:val="003CA0"/>
          <w:sz w:val="12"/>
        </w:rPr>
        <w:t xml:space="preserve"> | RE 117.809</w:t>
      </w:r>
      <w:r>
        <w:rPr>
          <w:color w:val="003CA0"/>
          <w:sz w:val="12"/>
        </w:rPr>
        <w:t xml:space="preserve"> | rel. Sepúlveda Pertence</w:t>
      </w:r>
    </w:p>
    <w:p>
      <w:pPr>
        <w:ind w:left="288"/>
      </w:pPr>
      <w:r>
        <w:rPr>
          <w:color w:val="1E1E1E"/>
          <w:sz w:val="18"/>
        </w:rPr>
        <w:t>Nem sempre a discussão de validade de lei ou ato de governo local em face de lei federal se resolve numa questão constitucional de invasão de competência, podendo reduzir-se à interpretação da lei federal e da lei ou ato local para saber de sua recíproca compatibilidade. Se, entre uma lei federal e uma lei estadual ou municipal, a decisão optar pela aplicação da última por entender que a norma central regulou matéria de competência local, é evidente que a terá considerado inconstitucional, o que basta à admissão do recurso extraordinário pela letra b do art. 102, III, da Constituição. Ao recur</w:t>
      </w:r>
    </w:p>
    <w:p>
      <w:pPr>
        <w:ind w:left="288"/>
      </w:pPr>
      <w:r>
        <w:rPr>
          <w:b/>
          <w:color w:val="003CA0"/>
          <w:sz w:val="16"/>
        </w:rPr>
        <w:t>[RE 117.809 QO, rel. min. Sepúlveda Pertence, j. 14-6-1989, P, DJ de 4-8-1989.]</w:t>
      </w:r>
    </w:p>
    <w:p>
      <w:pPr>
        <w:ind w:left="288"/>
      </w:pPr>
      <w:r>
        <w:rPr>
          <w:color w:val="8C8C8C"/>
          <w:sz w:val="12"/>
        </w:rPr>
        <w:t>cf-art-105-inc-II-ali-c</w:t>
      </w:r>
      <w:r>
        <w:rPr>
          <w:color w:val="003CA0"/>
          <w:sz w:val="12"/>
        </w:rPr>
        <w:t xml:space="preserve"> | HC 89.958</w:t>
      </w:r>
      <w:r>
        <w:rPr>
          <w:color w:val="003CA0"/>
          <w:sz w:val="12"/>
        </w:rPr>
        <w:t xml:space="preserve"> | rel. Sepúlveda Pertence</w:t>
      </w:r>
    </w:p>
    <w:p>
      <w:pPr>
        <w:ind w:left="288"/>
      </w:pPr>
      <w:r>
        <w:rPr>
          <w:color w:val="1E1E1E"/>
          <w:sz w:val="18"/>
        </w:rPr>
        <w:t>O cabimento ou não, em concreto, do recurso especial é questão que se esgota no âmbito da jurisdição do STJ, sendo inadmissível a sua revisão em recurso extraordinário, que se limita às questões constitucionais decididas em única ou última instância: precedentes. A situação é diversa, contudo, quando se trata de habeas corpus que, tendo âmbito de cognição mais abrangente, permite rever questões jurídicas decididas contra o réu no julgamento do recurso especial, ainda que fundado em dissídio jurisprudencial: precedentes. A jurisprudência do Supremo Tribunal é no sentido de que a "ementa do acór</w:t>
      </w:r>
    </w:p>
    <w:p>
      <w:pPr>
        <w:ind w:left="288"/>
      </w:pPr>
      <w:r>
        <w:rPr>
          <w:b/>
          <w:color w:val="003CA0"/>
          <w:sz w:val="16"/>
        </w:rPr>
        <w:t>[HC 94.337, rel. min. Cármen Lúcia, j. 3-6-2008, 1ª T, DJE de 31-10-2008.]</w:t>
      </w:r>
    </w:p>
    <w:p>
      <w:pPr>
        <w:ind w:left="288"/>
      </w:pPr>
      <w:r>
        <w:rPr>
          <w:color w:val="8C8C8C"/>
          <w:sz w:val="12"/>
        </w:rPr>
        <w:t>cf-art-105-par-1</w:t>
      </w:r>
    </w:p>
    <w:p>
      <w:pPr>
        <w:ind w:left="288"/>
      </w:pPr>
      <w:r>
        <w:rPr>
          <w:color w:val="1E1E1E"/>
          <w:sz w:val="18"/>
        </w:rPr>
        <w:t>I - a Escola Nacional de Formação e Aperfeiçoamento de Magistrados, cabendo-lhe, dentre outras funções, regulamentar os cursos oficiais para o ingresso e promoção na carreira; (Incluído pela EC 45/2004) II - o Conselho da Justiça Federal, cabendo-lhe exercer, na forma da lei, a supervisão administrativa e orçamentária da Justiça Federal de primeiro e segundo graus, como órgão central do sistema e com poderes correicionais, cujas decisões terão caráter vinculante. (Incluído pela EC 45/2004)</w:t>
      </w:r>
    </w:p>
    <w:p>
      <w:pPr>
        <w:ind w:left="144"/>
      </w:pPr>
      <w:r>
        <w:rPr>
          <w:b/>
          <w:color w:val="B45A00"/>
          <w:sz w:val="16"/>
        </w:rPr>
        <w:t>CONTROLE CONCENTRADO</w:t>
      </w:r>
    </w:p>
    <w:p>
      <w:pPr>
        <w:ind w:left="288"/>
      </w:pPr>
      <w:r>
        <w:rPr>
          <w:color w:val="8C8C8C"/>
          <w:sz w:val="12"/>
        </w:rPr>
        <w:t>cf-art-105-par-1</w:t>
      </w:r>
      <w:r>
        <w:rPr>
          <w:color w:val="003CA0"/>
          <w:sz w:val="12"/>
        </w:rPr>
        <w:t xml:space="preserve"> | ADI 4.638</w:t>
      </w:r>
      <w:r>
        <w:rPr>
          <w:color w:val="003CA0"/>
          <w:sz w:val="12"/>
        </w:rPr>
        <w:t xml:space="preserve"> | rel. Marco Aurélio</w:t>
      </w:r>
    </w:p>
    <w:p>
      <w:pPr>
        <w:ind w:left="288"/>
      </w:pPr>
      <w:r>
        <w:rPr>
          <w:color w:val="1E1E1E"/>
          <w:sz w:val="18"/>
        </w:rPr>
        <w:t>A previsão de equiparação do Conselho Nacional de Justiça e do Conselho da Justiça Federal aos tribunais não ofende a Constituição, uma vez que representa mera técnica redacional legislativa, não tendo aptidão de emprestar caráter jurisdicional a esses órgãos.</w:t>
        <w:br/>
        <w:t>[ADI 4.638, rel. min. Marco Aurélio, red. do ac. Roberto Barroso, j. 3-7-2023, P, DJE de 15-8-2023.]</w:t>
      </w:r>
    </w:p>
    <w:p>
      <w:pPr>
        <w:ind w:left="288"/>
      </w:pPr>
      <w:r>
        <w:rPr>
          <w:color w:val="8C8C8C"/>
          <w:sz w:val="12"/>
        </w:rPr>
        <w:t>cf-art-105-par-1</w:t>
      </w:r>
      <w:r>
        <w:rPr>
          <w:color w:val="003CA0"/>
          <w:sz w:val="12"/>
        </w:rPr>
        <w:t xml:space="preserve"> | ADI 4.638</w:t>
      </w:r>
      <w:r>
        <w:rPr>
          <w:color w:val="003CA0"/>
          <w:sz w:val="12"/>
        </w:rPr>
        <w:t xml:space="preserve"> | rel. Marco Aurélio). O texto constitucional estabelece expressamente poderes correcionais a este Conselho</w:t>
      </w:r>
    </w:p>
    <w:p>
      <w:pPr>
        <w:ind w:left="288"/>
      </w:pPr>
      <w:r>
        <w:rPr>
          <w:color w:val="1E1E1E"/>
          <w:sz w:val="18"/>
        </w:rPr>
        <w:t>Não procede a alegação de inconstitucionalidade material, ao argumento de que restaria ao Conselho da Justiça Federal somente competência disciplinar em face dos servidores, e não dos magistrados. Com o advento da EC 45/2004, a competência correcional do Poder Judiciário federal passou a ser compartilhada entre as corregedorias dos tribunais, o CNJ, e o CJF (ADI 4.638-MC-Ref, Rel. Min. Marco Aurélio). O texto constitucional estabelece expressamente poderes correcionais a este Conselho, cujas decisões possuem caráter vinculante (art. 105, parágrafo único, II). Ao assim dispor, a Constituição nã</w:t>
      </w:r>
    </w:p>
    <w:p>
      <w:pPr>
        <w:ind w:left="288"/>
      </w:pPr>
      <w:r>
        <w:rPr>
          <w:b/>
          <w:color w:val="003CA0"/>
          <w:sz w:val="16"/>
        </w:rPr>
        <w:t>[ADI 4.610, rel. min. Roberto Barroso, j. 11-11-2019, P, DJE de 18-12-2019.]</w:t>
      </w:r>
    </w:p>
    <w:p>
      <w:pPr>
        <w:ind w:left="288"/>
      </w:pPr>
      <w:r>
        <w:rPr>
          <w:color w:val="8C8C8C"/>
          <w:sz w:val="12"/>
        </w:rPr>
        <w:t>cf-art-105-par-1</w:t>
      </w:r>
      <w:r>
        <w:rPr>
          <w:color w:val="003CA0"/>
          <w:sz w:val="12"/>
        </w:rPr>
        <w:t xml:space="preserve"> | ADI 3.126</w:t>
      </w:r>
      <w:r>
        <w:rPr>
          <w:color w:val="003CA0"/>
          <w:sz w:val="12"/>
        </w:rPr>
        <w:t xml:space="preserve"> | rel. Gilmar Mendes</w:t>
      </w:r>
    </w:p>
    <w:p>
      <w:pPr>
        <w:ind w:left="288"/>
      </w:pPr>
      <w:r>
        <w:rPr>
          <w:color w:val="1E1E1E"/>
          <w:sz w:val="18"/>
        </w:rPr>
        <w:t>Ação direta de inconstitucionalidade ajuizada contra a Resolução 336, de 2003, do presidente do CJF, que dispõe sobre o acúmulo do exercício da magistratura com o exercício do magistério, no âmbito da Justiça Federal de primeiro e segundo graus. Alegação no sentido de que a matéria em análise já encontra tratamento na CF (art. 95, parágrafo único, I), e caso comportasse regulamentação, esta deveria vir sob a forma de lei complementar, no próprio Estatuto da Magistratura. Suposta incompetência do CJF para editar o referido ato, porquanto fora de suas atribuições definidas no art. 105, parágrafo</w:t>
      </w:r>
    </w:p>
    <w:p>
      <w:pPr>
        <w:ind w:left="288"/>
      </w:pPr>
      <w:r>
        <w:rPr>
          <w:b/>
          <w:color w:val="003CA0"/>
          <w:sz w:val="16"/>
        </w:rPr>
        <w:t>[ADI 3.126 MC, rel. min. Gilmar Mendes, j. 17-2-2005, P, DJ de 6-5-2005.]</w:t>
      </w:r>
    </w:p>
    <w:p>
      <w:pPr>
        <w:ind w:left="288"/>
      </w:pPr>
      <w:r>
        <w:rPr>
          <w:color w:val="8C8C8C"/>
          <w:sz w:val="12"/>
        </w:rPr>
        <w:t>cf-art-105-par-1</w:t>
      </w:r>
    </w:p>
    <w:p>
      <w:pPr>
        <w:ind w:left="288"/>
      </w:pPr>
      <w:r>
        <w:rPr>
          <w:color w:val="1E1E1E"/>
          <w:sz w:val="18"/>
        </w:rPr>
        <w:t>Seção IV Dos Tribunais Regionais Federais e dos juízes Federais SUMÁRIO</w:t>
      </w:r>
    </w:p>
    <w:p>
      <w:pPr>
        <w:ind w:left="432"/>
      </w:pPr>
      <w:r>
        <w:rPr>
          <w:color w:val="003366"/>
          <w:sz w:val="18"/>
        </w:rPr>
        <w:t xml:space="preserve">§ 1 Não se aplica às compensações referidas no caput deste artigo qualquer tipo </w:t>
      </w:r>
    </w:p>
    <w:p>
      <w:pPr>
        <w:ind w:left="432"/>
      </w:pPr>
      <w:r>
        <w:rPr>
          <w:color w:val="003366"/>
          <w:sz w:val="18"/>
        </w:rPr>
        <w:t>§ 2 Os Estados, o Distrito Federal e os Municípios regulamentarão nas respectiva</w:t>
      </w:r>
    </w:p>
    <w:p>
      <w:pPr>
        <w:ind w:left="432"/>
      </w:pPr>
      <w:r>
        <w:rPr>
          <w:color w:val="003366"/>
          <w:sz w:val="18"/>
        </w:rPr>
        <w:t>§ 3 Decorrido o prazo estabelecido no § 2º deste artigo sem a regulamentação nel</w:t>
      </w:r>
    </w:p>
    <w:p>
      <w:r>
        <w:rPr>
          <w:b/>
          <w:color w:val="003366"/>
          <w:sz w:val="20"/>
        </w:rPr>
        <w:t>Art. 106 (Revogado pela Emenda Constitucional nº 126, de 2022)</w:t>
      </w:r>
    </w:p>
    <w:p>
      <w:r>
        <w:rPr>
          <w:b/>
          <w:color w:val="003366"/>
          <w:sz w:val="20"/>
        </w:rPr>
        <w:t>Art. 107 (Revogado pela Emenda Constitucional nº 126, de 2022)</w:t>
      </w:r>
      <w:r>
        <w:rPr>
          <w:color w:val="8C8C8C"/>
          <w:sz w:val="14"/>
        </w:rPr>
        <w:t xml:space="preserve">  [6 decisoes]</w:t>
      </w:r>
    </w:p>
    <w:p>
      <w:pPr>
        <w:ind w:left="144"/>
      </w:pPr>
      <w:r>
        <w:rPr>
          <w:b/>
          <w:color w:val="B45A00"/>
          <w:sz w:val="16"/>
        </w:rPr>
        <w:t>JULGADOS CORRELATOS</w:t>
      </w:r>
    </w:p>
    <w:p>
      <w:pPr>
        <w:ind w:left="288"/>
      </w:pPr>
      <w:r>
        <w:rPr>
          <w:color w:val="8C8C8C"/>
          <w:sz w:val="12"/>
        </w:rPr>
        <w:t>cf-art-107</w:t>
      </w:r>
      <w:r>
        <w:rPr>
          <w:color w:val="003CA0"/>
          <w:sz w:val="12"/>
        </w:rPr>
        <w:t xml:space="preserve"> | MS 33.939</w:t>
      </w:r>
      <w:r>
        <w:rPr>
          <w:color w:val="003CA0"/>
          <w:sz w:val="12"/>
        </w:rPr>
        <w:t xml:space="preserve"> | rel. Luiz Fux</w:t>
      </w:r>
    </w:p>
    <w:p>
      <w:pPr>
        <w:ind w:left="288"/>
      </w:pPr>
      <w:r>
        <w:rPr>
          <w:color w:val="1E1E1E"/>
          <w:sz w:val="18"/>
        </w:rPr>
        <w:t>A interpretação lógico-sistemática dos arts. 93 e 107 da Constituição da República impõe ser inaplicável o limite etário de 65 anos aos magistrados de carreira, restringindo-o, apenas, aos candidatos oriundos do quinto constitucional, mercê de exercerem cargo isolado. Deveras, eventual imposição de idade máxima para eleição à vaga proveniente de aposentadoria por antiguidade de TRF constituiria verdadeira limitação à garantia da progressão na carreira de magistrado.</w:t>
      </w:r>
    </w:p>
    <w:p>
      <w:pPr>
        <w:ind w:left="288"/>
      </w:pPr>
      <w:r>
        <w:rPr>
          <w:b/>
          <w:color w:val="003CA0"/>
          <w:sz w:val="16"/>
        </w:rPr>
        <w:t>[MS 33.939 AgR, rel. min. Luiz Fux, j. 13-4-2018, P, DJE de 21-5-2018.]</w:t>
      </w:r>
    </w:p>
    <w:p>
      <w:pPr>
        <w:ind w:left="288"/>
      </w:pPr>
      <w:r>
        <w:rPr>
          <w:color w:val="8C8C8C"/>
          <w:sz w:val="12"/>
        </w:rPr>
        <w:t>cf-art-107</w:t>
      </w:r>
      <w:r>
        <w:rPr>
          <w:color w:val="003CA0"/>
          <w:sz w:val="12"/>
        </w:rPr>
        <w:t xml:space="preserve"> | MS 30.585</w:t>
      </w:r>
      <w:r>
        <w:rPr>
          <w:color w:val="003CA0"/>
          <w:sz w:val="12"/>
        </w:rPr>
        <w:t xml:space="preserve"> | rel. Ricardo Lewandowski</w:t>
      </w:r>
    </w:p>
    <w:p>
      <w:pPr>
        <w:ind w:left="288"/>
      </w:pPr>
      <w:r>
        <w:rPr>
          <w:color w:val="1E1E1E"/>
          <w:sz w:val="18"/>
        </w:rPr>
        <w:t>Mandado de segurança. 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inciso III do mencionado dispositivo que não altera tal entendimento. (...) O art</w:t>
      </w:r>
    </w:p>
    <w:p>
      <w:pPr>
        <w:ind w:left="288"/>
      </w:pPr>
      <w:r>
        <w:rPr>
          <w:b/>
          <w:color w:val="003CA0"/>
          <w:sz w:val="16"/>
        </w:rPr>
        <w:t>[MS 30.585, rel. min. Ricardo Lewandowski, j. 12-9-2012, P, DJE de 28-11-2012.]</w:t>
      </w:r>
    </w:p>
    <w:p>
      <w:pPr>
        <w:ind w:left="288"/>
      </w:pPr>
      <w:r>
        <w:rPr>
          <w:color w:val="8C8C8C"/>
          <w:sz w:val="12"/>
        </w:rPr>
        <w:t>cf-art-107-inc-I</w:t>
      </w:r>
      <w:r>
        <w:rPr>
          <w:color w:val="003CA0"/>
          <w:sz w:val="12"/>
        </w:rPr>
        <w:t xml:space="preserve"> | MS 20.597</w:t>
      </w:r>
      <w:r>
        <w:rPr>
          <w:color w:val="003CA0"/>
          <w:sz w:val="12"/>
        </w:rPr>
        <w:t xml:space="preserve"> | rel. Carlos Velloso</w:t>
      </w:r>
    </w:p>
    <w:p>
      <w:pPr>
        <w:ind w:left="288"/>
      </w:pPr>
      <w:r>
        <w:rPr>
          <w:color w:val="1E1E1E"/>
          <w:sz w:val="18"/>
        </w:rPr>
        <w:t>TRF. Composição. Quinto constitucional. Número par de juízes. CF, art. 94 e art. 107, I. Loman, LC 35/1979, art. 100, § 2º. Nomeação de juiz do quinto constitucional: ato complexo de cuja formação participam o tribunal e o presidente da República: competência originária do STF. (...) A norma do § 2º do art. 100 da Loman, LC 35/1979, é aplicável quando, ocorrendo vaga a ser preenchida pelo quinto constitucional, uma das classes se acha em inferioridade na composição do tribunal. No preenchimento, então, dessa vaga, inverter-se-á a situação: a classe que se achava em inferioridade passa a ter si</w:t>
      </w:r>
    </w:p>
    <w:p>
      <w:pPr>
        <w:ind w:left="288"/>
      </w:pPr>
      <w:r>
        <w:rPr>
          <w:b/>
          <w:color w:val="003CA0"/>
          <w:sz w:val="16"/>
        </w:rPr>
        <w:t>[MS 23.972, rel. min. Carlos Velloso, j. 12-9-2001, P, DJ de 29-8-2001.]</w:t>
      </w:r>
    </w:p>
    <w:p>
      <w:pPr>
        <w:ind w:left="288"/>
      </w:pPr>
      <w:r>
        <w:rPr>
          <w:color w:val="8C8C8C"/>
          <w:sz w:val="12"/>
        </w:rPr>
        <w:t>cf-art-107-inc-II</w:t>
      </w:r>
      <w:r>
        <w:rPr>
          <w:color w:val="003CA0"/>
          <w:sz w:val="12"/>
        </w:rPr>
        <w:t xml:space="preserve"> | MS 24.575</w:t>
      </w:r>
      <w:r>
        <w:rPr>
          <w:color w:val="003CA0"/>
          <w:sz w:val="12"/>
        </w:rPr>
        <w:t xml:space="preserve"> | rel. Eros Grau</w:t>
      </w:r>
    </w:p>
    <w:p>
      <w:pPr>
        <w:ind w:left="288"/>
      </w:pPr>
      <w:r>
        <w:rPr>
          <w:color w:val="1E1E1E"/>
          <w:sz w:val="18"/>
        </w:rPr>
        <w:t>A nomeação de juiz para os cargos de desembargador dos tribunais federais, pelo critério de merecimento, é ato administrativo complexo, para o qual concorrem atos de vontade dos membros do tribunal de origem, que compõem a lista tríplice a partir da quinta parte dos juízes com dois anos de judicatura na mesma entrância, e do presidente da República, que procede à escolha a partir do rol previamente determinado. A lista tríplice elaborada pelo tribunal deve obedecer aos dois requisitos previstos no art. 93, II, b, da Constituição do Brasil (redação anterior à EC 45/2004).</w:t>
      </w:r>
    </w:p>
    <w:p>
      <w:pPr>
        <w:ind w:left="288"/>
      </w:pPr>
      <w:r>
        <w:rPr>
          <w:b/>
          <w:color w:val="003CA0"/>
          <w:sz w:val="16"/>
        </w:rPr>
        <w:t>[MS 24.575, rel. min. Eros Grau, j. 15-12-2004, P, DJ de 4-3-2005.]</w:t>
      </w:r>
    </w:p>
    <w:p>
      <w:pPr>
        <w:ind w:left="288"/>
      </w:pPr>
      <w:r>
        <w:rPr>
          <w:color w:val="8C8C8C"/>
          <w:sz w:val="12"/>
        </w:rPr>
        <w:t>cf-art-107-inc-II</w:t>
      </w:r>
      <w:r>
        <w:rPr>
          <w:color w:val="003CA0"/>
          <w:sz w:val="12"/>
        </w:rPr>
        <w:t xml:space="preserve"> | MS 21.631</w:t>
      </w:r>
      <w:r>
        <w:rPr>
          <w:color w:val="003CA0"/>
          <w:sz w:val="12"/>
        </w:rPr>
        <w:t xml:space="preserve"> | rel. Ilmar Galvão</w:t>
      </w:r>
    </w:p>
    <w:p>
      <w:pPr>
        <w:ind w:left="288"/>
      </w:pPr>
      <w:r>
        <w:rPr>
          <w:color w:val="1E1E1E"/>
          <w:sz w:val="18"/>
        </w:rPr>
        <w:t>Inaplicabilidade da regra do art. 93, II, b, da CF à promoção de juízes federais, sujeita que está ela a um único requisito – implemento de cinco anos de exercício –, conforme disposto no art. 107, II, da mesma Carta, norma especial em cujo favor, por isso mesmo, se resolve o aparente conflito existente entre os dois dispositivos. Mesmo porque, havendo a Justiça Federal sido organizada sem entrâncias, considerados de um mesmo grau todas as seções judiciárias distribuídas pelas unidades federadas, não resta espaço para falar-se na exigência de dois anos de exercício na mesma entrância, nem, con</w:t>
      </w:r>
    </w:p>
    <w:p>
      <w:pPr>
        <w:ind w:left="288"/>
      </w:pPr>
      <w:r>
        <w:rPr>
          <w:b/>
          <w:color w:val="003CA0"/>
          <w:sz w:val="16"/>
        </w:rPr>
        <w:t>[MS 21.631, rel. min. Ilmar Galvão, j. 9-6-1993, P, DJ de 4-8-2000.]</w:t>
      </w:r>
    </w:p>
    <w:p>
      <w:pPr>
        <w:ind w:left="288"/>
      </w:pPr>
      <w:r>
        <w:rPr>
          <w:color w:val="8C8C8C"/>
          <w:sz w:val="12"/>
        </w:rPr>
        <w:t>cf-art-107-inc-II</w:t>
      </w:r>
      <w:r>
        <w:rPr>
          <w:color w:val="003CA0"/>
          <w:sz w:val="12"/>
        </w:rPr>
        <w:t xml:space="preserve"> | MS 27.164</w:t>
      </w:r>
      <w:r>
        <w:rPr>
          <w:color w:val="003CA0"/>
          <w:sz w:val="12"/>
        </w:rPr>
        <w:t xml:space="preserve"> | rel. Ayres Britto</w:t>
      </w:r>
    </w:p>
    <w:p>
      <w:pPr>
        <w:ind w:left="288"/>
      </w:pPr>
      <w:r>
        <w:rPr>
          <w:color w:val="1E1E1E"/>
          <w:sz w:val="18"/>
        </w:rPr>
        <w:t>= MS 27.164 AgR, rel. min. Ayres Britto, j. 16-12-2010, P, DJE de 2-3-2011</w:t>
      </w:r>
    </w:p>
    <w:p>
      <w:r>
        <w:rPr>
          <w:b/>
          <w:color w:val="003366"/>
          <w:sz w:val="20"/>
        </w:rPr>
        <w:t>Art. 107 A. Até o fim de 2026, fica estabelecido, para cada exercício financeiro</w:t>
      </w:r>
      <w:r>
        <w:rPr>
          <w:color w:val="8C8C8C"/>
          <w:sz w:val="14"/>
        </w:rPr>
        <w:t xml:space="preserve">  [6 decisoes]</w:t>
      </w:r>
    </w:p>
    <w:p>
      <w:pPr>
        <w:ind w:left="144"/>
      </w:pPr>
      <w:r>
        <w:rPr>
          <w:b/>
          <w:color w:val="B45A00"/>
          <w:sz w:val="16"/>
        </w:rPr>
        <w:t>JULGADOS CORRELATOS</w:t>
      </w:r>
    </w:p>
    <w:p>
      <w:pPr>
        <w:ind w:left="288"/>
      </w:pPr>
      <w:r>
        <w:rPr>
          <w:color w:val="8C8C8C"/>
          <w:sz w:val="12"/>
        </w:rPr>
        <w:t>cf-art-107</w:t>
      </w:r>
      <w:r>
        <w:rPr>
          <w:color w:val="003CA0"/>
          <w:sz w:val="12"/>
        </w:rPr>
        <w:t xml:space="preserve"> | MS 33.939</w:t>
      </w:r>
      <w:r>
        <w:rPr>
          <w:color w:val="003CA0"/>
          <w:sz w:val="12"/>
        </w:rPr>
        <w:t xml:space="preserve"> | rel. Luiz Fux</w:t>
      </w:r>
    </w:p>
    <w:p>
      <w:pPr>
        <w:ind w:left="288"/>
      </w:pPr>
      <w:r>
        <w:rPr>
          <w:color w:val="1E1E1E"/>
          <w:sz w:val="18"/>
        </w:rPr>
        <w:t>A interpretação lógico-sistemática dos arts. 93 e 107 da Constituição da República impõe ser inaplicável o limite etário de 65 anos aos magistrados de carreira, restringindo-o, apenas, aos candidatos oriundos do quinto constitucional, mercê de exercerem cargo isolado. Deveras, eventual imposição de idade máxima para eleição à vaga proveniente de aposentadoria por antiguidade de TRF constituiria verdadeira limitação à garantia da progressão na carreira de magistrado.</w:t>
      </w:r>
    </w:p>
    <w:p>
      <w:pPr>
        <w:ind w:left="288"/>
      </w:pPr>
      <w:r>
        <w:rPr>
          <w:b/>
          <w:color w:val="003CA0"/>
          <w:sz w:val="16"/>
        </w:rPr>
        <w:t>[MS 33.939 AgR, rel. min. Luiz Fux, j. 13-4-2018, P, DJE de 21-5-2018.]</w:t>
      </w:r>
    </w:p>
    <w:p>
      <w:pPr>
        <w:ind w:left="288"/>
      </w:pPr>
      <w:r>
        <w:rPr>
          <w:color w:val="8C8C8C"/>
          <w:sz w:val="12"/>
        </w:rPr>
        <w:t>cf-art-107</w:t>
      </w:r>
      <w:r>
        <w:rPr>
          <w:color w:val="003CA0"/>
          <w:sz w:val="12"/>
        </w:rPr>
        <w:t xml:space="preserve"> | MS 30.585</w:t>
      </w:r>
      <w:r>
        <w:rPr>
          <w:color w:val="003CA0"/>
          <w:sz w:val="12"/>
        </w:rPr>
        <w:t xml:space="preserve"> | rel. Ricardo Lewandowski</w:t>
      </w:r>
    </w:p>
    <w:p>
      <w:pPr>
        <w:ind w:left="288"/>
      </w:pPr>
      <w:r>
        <w:rPr>
          <w:color w:val="1E1E1E"/>
          <w:sz w:val="18"/>
        </w:rPr>
        <w:t>Mandado de segurança. 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inciso III do mencionado dispositivo que não altera tal entendimento. (...) O art</w:t>
      </w:r>
    </w:p>
    <w:p>
      <w:pPr>
        <w:ind w:left="288"/>
      </w:pPr>
      <w:r>
        <w:rPr>
          <w:b/>
          <w:color w:val="003CA0"/>
          <w:sz w:val="16"/>
        </w:rPr>
        <w:t>[MS 30.585, rel. min. Ricardo Lewandowski, j. 12-9-2012, P, DJE de 28-11-2012.]</w:t>
      </w:r>
    </w:p>
    <w:p>
      <w:pPr>
        <w:ind w:left="288"/>
      </w:pPr>
      <w:r>
        <w:rPr>
          <w:color w:val="8C8C8C"/>
          <w:sz w:val="12"/>
        </w:rPr>
        <w:t>cf-art-107-inc-I</w:t>
      </w:r>
      <w:r>
        <w:rPr>
          <w:color w:val="003CA0"/>
          <w:sz w:val="12"/>
        </w:rPr>
        <w:t xml:space="preserve"> | MS 20.597</w:t>
      </w:r>
      <w:r>
        <w:rPr>
          <w:color w:val="003CA0"/>
          <w:sz w:val="12"/>
        </w:rPr>
        <w:t xml:space="preserve"> | rel. Carlos Velloso</w:t>
      </w:r>
    </w:p>
    <w:p>
      <w:pPr>
        <w:ind w:left="288"/>
      </w:pPr>
      <w:r>
        <w:rPr>
          <w:color w:val="1E1E1E"/>
          <w:sz w:val="18"/>
        </w:rPr>
        <w:t>TRF. Composição. Quinto constitucional. Número par de juízes. CF, art. 94 e art. 107, I. Loman, LC 35/1979, art. 100, § 2º. Nomeação de juiz do quinto constitucional: ato complexo de cuja formação participam o tribunal e o presidente da República: competência originária do STF. (...) A norma do § 2º do art. 100 da Loman, LC 35/1979, é aplicável quando, ocorrendo vaga a ser preenchida pelo quinto constitucional, uma das classes se acha em inferioridade na composição do tribunal. No preenchimento, então, dessa vaga, inverter-se-á a situação: a classe que se achava em inferioridade passa a ter si</w:t>
      </w:r>
    </w:p>
    <w:p>
      <w:pPr>
        <w:ind w:left="288"/>
      </w:pPr>
      <w:r>
        <w:rPr>
          <w:b/>
          <w:color w:val="003CA0"/>
          <w:sz w:val="16"/>
        </w:rPr>
        <w:t>[MS 23.972, rel. min. Carlos Velloso, j. 12-9-2001, P, DJ de 29-8-2001.]</w:t>
      </w:r>
    </w:p>
    <w:p>
      <w:pPr>
        <w:ind w:left="288"/>
      </w:pPr>
      <w:r>
        <w:rPr>
          <w:color w:val="8C8C8C"/>
          <w:sz w:val="12"/>
        </w:rPr>
        <w:t>cf-art-107-inc-II</w:t>
      </w:r>
      <w:r>
        <w:rPr>
          <w:color w:val="003CA0"/>
          <w:sz w:val="12"/>
        </w:rPr>
        <w:t xml:space="preserve"> | MS 24.575</w:t>
      </w:r>
      <w:r>
        <w:rPr>
          <w:color w:val="003CA0"/>
          <w:sz w:val="12"/>
        </w:rPr>
        <w:t xml:space="preserve"> | rel. Eros Grau</w:t>
      </w:r>
    </w:p>
    <w:p>
      <w:pPr>
        <w:ind w:left="288"/>
      </w:pPr>
      <w:r>
        <w:rPr>
          <w:color w:val="1E1E1E"/>
          <w:sz w:val="18"/>
        </w:rPr>
        <w:t>A nomeação de juiz para os cargos de desembargador dos tribunais federais, pelo critério de merecimento, é ato administrativo complexo, para o qual concorrem atos de vontade dos membros do tribunal de origem, que compõem a lista tríplice a partir da quinta parte dos juízes com dois anos de judicatura na mesma entrância, e do presidente da República, que procede à escolha a partir do rol previamente determinado. A lista tríplice elaborada pelo tribunal deve obedecer aos dois requisitos previstos no art. 93, II, b, da Constituição do Brasil (redação anterior à EC 45/2004).</w:t>
      </w:r>
    </w:p>
    <w:p>
      <w:pPr>
        <w:ind w:left="288"/>
      </w:pPr>
      <w:r>
        <w:rPr>
          <w:b/>
          <w:color w:val="003CA0"/>
          <w:sz w:val="16"/>
        </w:rPr>
        <w:t>[MS 24.575, rel. min. Eros Grau, j. 15-12-2004, P, DJ de 4-3-2005.]</w:t>
      </w:r>
    </w:p>
    <w:p>
      <w:pPr>
        <w:ind w:left="288"/>
      </w:pPr>
      <w:r>
        <w:rPr>
          <w:color w:val="8C8C8C"/>
          <w:sz w:val="12"/>
        </w:rPr>
        <w:t>cf-art-107-inc-II</w:t>
      </w:r>
      <w:r>
        <w:rPr>
          <w:color w:val="003CA0"/>
          <w:sz w:val="12"/>
        </w:rPr>
        <w:t xml:space="preserve"> | MS 21.631</w:t>
      </w:r>
      <w:r>
        <w:rPr>
          <w:color w:val="003CA0"/>
          <w:sz w:val="12"/>
        </w:rPr>
        <w:t xml:space="preserve"> | rel. Ilmar Galvão</w:t>
      </w:r>
    </w:p>
    <w:p>
      <w:pPr>
        <w:ind w:left="288"/>
      </w:pPr>
      <w:r>
        <w:rPr>
          <w:color w:val="1E1E1E"/>
          <w:sz w:val="18"/>
        </w:rPr>
        <w:t>Inaplicabilidade da regra do art. 93, II, b, da CF à promoção de juízes federais, sujeita que está ela a um único requisito – implemento de cinco anos de exercício –, conforme disposto no art. 107, II, da mesma Carta, norma especial em cujo favor, por isso mesmo, se resolve o aparente conflito existente entre os dois dispositivos. Mesmo porque, havendo a Justiça Federal sido organizada sem entrâncias, considerados de um mesmo grau todas as seções judiciárias distribuídas pelas unidades federadas, não resta espaço para falar-se na exigência de dois anos de exercício na mesma entrância, nem, con</w:t>
      </w:r>
    </w:p>
    <w:p>
      <w:pPr>
        <w:ind w:left="288"/>
      </w:pPr>
      <w:r>
        <w:rPr>
          <w:b/>
          <w:color w:val="003CA0"/>
          <w:sz w:val="16"/>
        </w:rPr>
        <w:t>[MS 21.631, rel. min. Ilmar Galvão, j. 9-6-1993, P, DJ de 4-8-2000.]</w:t>
      </w:r>
    </w:p>
    <w:p>
      <w:pPr>
        <w:ind w:left="288"/>
      </w:pPr>
      <w:r>
        <w:rPr>
          <w:color w:val="8C8C8C"/>
          <w:sz w:val="12"/>
        </w:rPr>
        <w:t>cf-art-107-inc-II</w:t>
      </w:r>
      <w:r>
        <w:rPr>
          <w:color w:val="003CA0"/>
          <w:sz w:val="12"/>
        </w:rPr>
        <w:t xml:space="preserve"> | MS 27.164</w:t>
      </w:r>
      <w:r>
        <w:rPr>
          <w:color w:val="003CA0"/>
          <w:sz w:val="12"/>
        </w:rPr>
        <w:t xml:space="preserve"> | rel. Ayres Britto</w:t>
      </w:r>
    </w:p>
    <w:p>
      <w:pPr>
        <w:ind w:left="288"/>
      </w:pPr>
      <w:r>
        <w:rPr>
          <w:color w:val="1E1E1E"/>
          <w:sz w:val="18"/>
        </w:rPr>
        <w:t>= MS 27.164 AgR, rel. min. Ayres Britto, j. 16-12-2010, P, DJE de 2-3-2011</w:t>
      </w:r>
    </w:p>
    <w:p>
      <w:pPr>
        <w:ind w:left="720"/>
      </w:pPr>
      <w:r>
        <w:rPr>
          <w:color w:val="003366"/>
          <w:sz w:val="18"/>
        </w:rPr>
        <w:t xml:space="preserve">I – no exercício de 2022, o espaço fiscal decorrente da diferença entre o valor </w:t>
      </w:r>
    </w:p>
    <w:p>
      <w:pPr>
        <w:ind w:left="720"/>
      </w:pPr>
      <w:r>
        <w:rPr>
          <w:color w:val="003366"/>
          <w:sz w:val="18"/>
        </w:rPr>
        <w:t>II – no exercício de 2023, pela diferença entre o total de precatórios expedidos</w:t>
      </w:r>
    </w:p>
    <w:p>
      <w:pPr>
        <w:ind w:left="720"/>
      </w:pPr>
      <w:r>
        <w:rPr>
          <w:color w:val="003366"/>
          <w:sz w:val="18"/>
        </w:rPr>
        <w:t>III – nos exercícios de 2024 a 2026, pela diferença entre o total de precatórios</w:t>
      </w:r>
    </w:p>
    <w:p>
      <w:pPr>
        <w:ind w:left="432"/>
      </w:pPr>
      <w:r>
        <w:rPr>
          <w:color w:val="003366"/>
          <w:sz w:val="18"/>
        </w:rPr>
        <w:t>§ 1 O limite para o pagamento de precatórios corresponderá, em cada exercício, a</w:t>
      </w:r>
    </w:p>
    <w:p>
      <w:pPr>
        <w:ind w:left="432"/>
      </w:pPr>
      <w:r>
        <w:rPr>
          <w:color w:val="003366"/>
          <w:sz w:val="18"/>
        </w:rPr>
        <w:t>§ 2 Os precatórios que não forem pagos em razão do previsto neste artigo terão p</w:t>
      </w:r>
    </w:p>
    <w:p>
      <w:pPr>
        <w:ind w:left="432"/>
      </w:pPr>
      <w:r>
        <w:rPr>
          <w:color w:val="003366"/>
          <w:sz w:val="18"/>
        </w:rPr>
        <w:t>§ 3 É facultado ao credor de precatório que não tenha sido pago em razão do disp</w:t>
      </w:r>
    </w:p>
    <w:p>
      <w:pPr>
        <w:ind w:left="432"/>
      </w:pPr>
      <w:r>
        <w:rPr>
          <w:color w:val="003366"/>
          <w:sz w:val="18"/>
        </w:rPr>
        <w:t>§ 4 O Conselho Nacional de Justiça regulamentará a atuação dos Presidentes dos T</w:t>
      </w:r>
    </w:p>
    <w:p>
      <w:pPr>
        <w:ind w:left="432"/>
      </w:pPr>
      <w:r>
        <w:rPr>
          <w:color w:val="003366"/>
          <w:sz w:val="18"/>
        </w:rPr>
        <w:t xml:space="preserve">§ 5 Não se incluem no limite estabelecido neste artigo as despesas para fins de </w:t>
      </w:r>
    </w:p>
    <w:p>
      <w:pPr>
        <w:ind w:left="432"/>
      </w:pPr>
      <w:r>
        <w:rPr>
          <w:color w:val="003366"/>
          <w:sz w:val="18"/>
        </w:rPr>
        <w:t>§ 6 Não se incluem nos limites estabelecidos no art. 107 deste Ato das Disposiçõ</w:t>
      </w:r>
    </w:p>
    <w:p>
      <w:pPr>
        <w:ind w:left="432"/>
      </w:pPr>
      <w:r>
        <w:rPr>
          <w:color w:val="003366"/>
          <w:sz w:val="18"/>
        </w:rPr>
        <w:t>§ 7 Na situação prevista no § 3º deste artigo, para os precatórios não incluídos</w:t>
      </w:r>
    </w:p>
    <w:p>
      <w:pPr>
        <w:ind w:left="432"/>
      </w:pPr>
      <w:r>
        <w:rPr>
          <w:color w:val="003366"/>
          <w:sz w:val="18"/>
        </w:rPr>
        <w:t>§ 8 Os pagamentos em virtude de sentença judiciária de que trata o art. 100 da C</w:t>
      </w:r>
    </w:p>
    <w:p>
      <w:pPr>
        <w:ind w:left="720"/>
      </w:pPr>
      <w:r>
        <w:rPr>
          <w:color w:val="003366"/>
          <w:sz w:val="18"/>
        </w:rPr>
        <w:t>I – obrigações definidas em lei como de pequeno valor, previstas no § 3º do art.</w:t>
      </w:r>
    </w:p>
    <w:p>
      <w:pPr>
        <w:ind w:left="720"/>
      </w:pPr>
      <w:r>
        <w:rPr>
          <w:color w:val="003366"/>
          <w:sz w:val="18"/>
        </w:rPr>
        <w:t>II – precatórios de natureza alimentícia cujos titulares, originários ou por suc</w:t>
      </w:r>
    </w:p>
    <w:p>
      <w:pPr>
        <w:ind w:left="720"/>
      </w:pPr>
      <w:r>
        <w:rPr>
          <w:color w:val="003366"/>
          <w:sz w:val="18"/>
        </w:rPr>
        <w:t>III – demais precatórios de natureza alimentícia até o valor equivalente ao trip</w:t>
      </w:r>
    </w:p>
    <w:p>
      <w:pPr>
        <w:ind w:left="720"/>
      </w:pPr>
      <w:r>
        <w:rPr>
          <w:color w:val="003366"/>
          <w:sz w:val="18"/>
        </w:rPr>
        <w:t>IV – demais precatórios de natureza alimentícia além do valor previsto no inciso</w:t>
      </w:r>
    </w:p>
    <w:p>
      <w:pPr>
        <w:ind w:left="720"/>
      </w:pPr>
      <w:r>
        <w:rPr>
          <w:color w:val="003366"/>
          <w:sz w:val="18"/>
        </w:rPr>
        <w:t>V – demais precatórios. (Incluído pela Emenda Constitucional nº 114, de 2021)</w:t>
      </w:r>
    </w:p>
    <w:p>
      <w:r>
        <w:rPr>
          <w:b/>
          <w:color w:val="003366"/>
          <w:sz w:val="20"/>
        </w:rPr>
        <w:t>Art. 108 (Revogado pela Emenda Constitucional nº 113, de 2021)</w:t>
      </w:r>
      <w:r>
        <w:rPr>
          <w:color w:val="8C8C8C"/>
          <w:sz w:val="14"/>
        </w:rPr>
        <w:t xml:space="preserve">  [14 decisoes]</w:t>
      </w:r>
    </w:p>
    <w:p>
      <w:pPr>
        <w:ind w:left="144"/>
      </w:pPr>
      <w:r>
        <w:rPr>
          <w:b/>
          <w:color w:val="B45A00"/>
          <w:sz w:val="16"/>
        </w:rPr>
        <w:t>JULGADOS CORRELATOS</w:t>
      </w:r>
    </w:p>
    <w:p>
      <w:pPr>
        <w:ind w:left="288"/>
      </w:pPr>
      <w:r>
        <w:rPr>
          <w:color w:val="8C8C8C"/>
          <w:sz w:val="12"/>
        </w:rPr>
        <w:t>cf-art-108-inc-I</w:t>
      </w:r>
      <w:r>
        <w:rPr>
          <w:color w:val="003CA0"/>
          <w:sz w:val="12"/>
        </w:rPr>
        <w:t xml:space="preserve"> | HC 91.266</w:t>
      </w:r>
      <w:r>
        <w:rPr>
          <w:color w:val="003CA0"/>
          <w:sz w:val="12"/>
        </w:rPr>
        <w:t xml:space="preserve"> | rel. Cezar Peluso</w:t>
      </w:r>
    </w:p>
    <w:p>
      <w:pPr>
        <w:ind w:left="288"/>
      </w:pPr>
      <w:r>
        <w:rPr>
          <w:color w:val="1E1E1E"/>
          <w:sz w:val="18"/>
        </w:rPr>
        <w:t>O TRF é competente para processar e julgar ação penal em que se imputa a deputado estadual a prática de crimes conexos a delitos de competência da Justiça Federal.</w:t>
      </w:r>
    </w:p>
    <w:p>
      <w:pPr>
        <w:ind w:left="288"/>
      </w:pPr>
      <w:r>
        <w:rPr>
          <w:b/>
          <w:color w:val="003CA0"/>
          <w:sz w:val="16"/>
        </w:rPr>
        <w:t>[HC 91.266, rel. min. Cezar Peluso, j. 2-3-2010, 2ª T, DJE de 23-4-2010.]</w:t>
      </w:r>
    </w:p>
    <w:p>
      <w:pPr>
        <w:ind w:left="288"/>
      </w:pPr>
      <w:r>
        <w:rPr>
          <w:color w:val="8C8C8C"/>
          <w:sz w:val="12"/>
        </w:rPr>
        <w:t>cf-art-108-inc-I</w:t>
      </w:r>
      <w:r>
        <w:rPr>
          <w:color w:val="003CA0"/>
          <w:sz w:val="12"/>
        </w:rPr>
        <w:t xml:space="preserve"> | HC 80.612</w:t>
      </w:r>
      <w:r>
        <w:rPr>
          <w:color w:val="003CA0"/>
          <w:sz w:val="12"/>
        </w:rPr>
        <w:t xml:space="preserve"> | rel. Sydney Sanches</w:t>
      </w:r>
    </w:p>
    <w:p>
      <w:pPr>
        <w:ind w:left="288"/>
      </w:pPr>
      <w:r>
        <w:rPr>
          <w:color w:val="1E1E1E"/>
          <w:sz w:val="18"/>
        </w:rPr>
        <w:t>= HC 80.612, rel. min. Sydney Sanches, j. 13-2-2001, 1ª T, DJ de 4-5-2001 Procedimentos administrativos criminais instaurados para apurar supostos desvios de verbas do SUS. Verbas federais sujeitas à fiscalização do TCU. Nítido interesse da União, a teor do art. 109, IV, da CF. Envolvimento do secretário de Saúde do Estado do Piauí, a atrair a competência do TRF 1ª Região, bem assim a atribuição da Procuradoria Regional da República.</w:t>
      </w:r>
    </w:p>
    <w:p>
      <w:pPr>
        <w:ind w:left="288"/>
      </w:pPr>
      <w:r>
        <w:rPr>
          <w:b/>
          <w:color w:val="003CA0"/>
          <w:sz w:val="16"/>
        </w:rPr>
        <w:t>[RHC 98.564, rel. min. Eros Grau, j. 15-9-2009, 2ª T, DJE de 6-11-2009.]</w:t>
      </w:r>
    </w:p>
    <w:p>
      <w:pPr>
        <w:ind w:left="288"/>
      </w:pPr>
      <w:r>
        <w:rPr>
          <w:color w:val="8C8C8C"/>
          <w:sz w:val="12"/>
        </w:rPr>
        <w:t>cf-art-108-inc-I</w:t>
      </w:r>
    </w:p>
    <w:p>
      <w:pPr>
        <w:ind w:left="288"/>
      </w:pPr>
      <w:r>
        <w:rPr>
          <w:color w:val="1E1E1E"/>
          <w:sz w:val="18"/>
        </w:rPr>
        <w:t>a) os juízes federais da área de sua jurisdição, incluídos os da Justiça Militar e da Justiça do Trabalho, nos crimes comuns e de responsabilidade, e os membros do Ministério Público da União, ressalvada a competência da Justiça Eleitoral;</w:t>
      </w:r>
    </w:p>
    <w:p>
      <w:pPr>
        <w:ind w:left="288"/>
      </w:pPr>
      <w:r>
        <w:rPr>
          <w:color w:val="8C8C8C"/>
          <w:sz w:val="12"/>
        </w:rPr>
        <w:t>cf-art-108-inc-I</w:t>
      </w:r>
      <w:r>
        <w:rPr>
          <w:color w:val="003CA0"/>
          <w:sz w:val="12"/>
        </w:rPr>
        <w:t xml:space="preserve"> | AI 858.269</w:t>
      </w:r>
      <w:r>
        <w:rPr>
          <w:color w:val="003CA0"/>
          <w:sz w:val="12"/>
        </w:rPr>
        <w:t xml:space="preserve"> | rel. Rosa Weber</w:t>
      </w:r>
    </w:p>
    <w:p>
      <w:pPr>
        <w:ind w:left="288"/>
      </w:pPr>
      <w:r>
        <w:rPr>
          <w:color w:val="1E1E1E"/>
          <w:sz w:val="18"/>
        </w:rPr>
        <w:t>Compete aos tribunais regionais federais processar e julgar, originariamente, os juízes federais da área de sua jurisdição (art. 108, I, da CF/1988). O afastamento temporário ou provisório do magistrado não importa a perda do foro por prerrogativa de função.</w:t>
      </w:r>
    </w:p>
    <w:p>
      <w:pPr>
        <w:ind w:left="288"/>
      </w:pPr>
      <w:r>
        <w:rPr>
          <w:b/>
          <w:color w:val="003CA0"/>
          <w:sz w:val="16"/>
        </w:rPr>
        <w:t>[AI 858.269 AgR-segundo, rel. min. Rosa Weber, j. 4-4-2018, 1ª T, DJE de 17-4-2018.]</w:t>
      </w:r>
    </w:p>
    <w:p>
      <w:pPr>
        <w:ind w:left="288"/>
      </w:pPr>
      <w:r>
        <w:rPr>
          <w:color w:val="8C8C8C"/>
          <w:sz w:val="12"/>
        </w:rPr>
        <w:t>cf-art-108-inc-I</w:t>
      </w:r>
      <w:r>
        <w:rPr>
          <w:color w:val="003CA0"/>
          <w:sz w:val="12"/>
        </w:rPr>
        <w:t xml:space="preserve"> | PET 7.063</w:t>
      </w:r>
    </w:p>
    <w:p>
      <w:pPr>
        <w:ind w:left="288"/>
      </w:pPr>
      <w:r>
        <w:rPr>
          <w:color w:val="1E1E1E"/>
          <w:sz w:val="18"/>
        </w:rPr>
        <w:t>Nos termos do art. 108, I, da Constituição, compete aos tribunais regionais federais processar e julgar, originariamente, os membros do Ministério Público da União, ressalvada a competência da Justiça Eleitoral. Com base nesse dispositivo, que traz hipótese de competência por prerrogativa de foro, o relator original, ministro Edson Fachin, determinou a remessa dos autos ao TRF 3. Ocorre que, diversamente dos juízes federais, os procuradores da república não estão vinculados necessariamente a um dos tribunais regionais federais. Na época dos fatos, o requerente (...) atuava como procurador da R</w:t>
      </w:r>
    </w:p>
    <w:p>
      <w:pPr>
        <w:ind w:left="288"/>
      </w:pPr>
      <w:r>
        <w:rPr>
          <w:b/>
          <w:color w:val="003CA0"/>
          <w:sz w:val="16"/>
        </w:rPr>
        <w:t>[Pet 7.063, red. do ac. min. Ricardo Lewandowski, j. 1º-8-2017, 2ª T, DJE de 6-2-2018.]</w:t>
      </w:r>
    </w:p>
    <w:p>
      <w:pPr>
        <w:ind w:left="288"/>
      </w:pPr>
      <w:r>
        <w:rPr>
          <w:color w:val="8C8C8C"/>
          <w:sz w:val="12"/>
        </w:rPr>
        <w:t>cf-art-108-inc-I</w:t>
      </w:r>
      <w:r>
        <w:rPr>
          <w:color w:val="003CA0"/>
          <w:sz w:val="12"/>
        </w:rPr>
        <w:t xml:space="preserve"> | RMS 27.872</w:t>
      </w:r>
      <w:r>
        <w:rPr>
          <w:color w:val="003CA0"/>
          <w:sz w:val="12"/>
        </w:rPr>
        <w:t xml:space="preserve"> | rel. Ellen Gracie</w:t>
      </w:r>
    </w:p>
    <w:p>
      <w:pPr>
        <w:ind w:left="288"/>
      </w:pPr>
      <w:r>
        <w:rPr>
          <w:color w:val="1E1E1E"/>
          <w:sz w:val="18"/>
        </w:rPr>
        <w:t>O presente recurso ordinário em mandado de segurança visa ao reconhecimento da incompetência do STM para determinar o trancamento de inquérito policial militar instaurado por requisição do MPM. O MPM integra o MPU, nos termos do disposto no art. 128, I, c, da CF, sendo que compete ao TRF processar e julgar os membros do MPU (art. 108, I, a, CF). (...) Recurso provido.</w:t>
      </w:r>
    </w:p>
    <w:p>
      <w:pPr>
        <w:ind w:left="288"/>
      </w:pPr>
      <w:r>
        <w:rPr>
          <w:b/>
          <w:color w:val="003CA0"/>
          <w:sz w:val="16"/>
        </w:rPr>
        <w:t>[RMS 27.872, rel. min. Ellen Gracie, j. 2-3-2010, 2ª T, DJE de 19-3-2010.]</w:t>
      </w:r>
    </w:p>
    <w:p>
      <w:pPr>
        <w:ind w:left="288"/>
      </w:pPr>
      <w:r>
        <w:rPr>
          <w:color w:val="8C8C8C"/>
          <w:sz w:val="12"/>
        </w:rPr>
        <w:t>cf-art-108-inc-I</w:t>
      </w:r>
      <w:r>
        <w:rPr>
          <w:color w:val="003CA0"/>
          <w:sz w:val="12"/>
        </w:rPr>
        <w:t xml:space="preserve"> | RE 377.356</w:t>
      </w:r>
      <w:r>
        <w:rPr>
          <w:color w:val="003CA0"/>
          <w:sz w:val="12"/>
        </w:rPr>
        <w:t xml:space="preserve"> | rel. Cezar Peluso</w:t>
      </w:r>
    </w:p>
    <w:p>
      <w:pPr>
        <w:ind w:left="288"/>
      </w:pPr>
      <w:r>
        <w:rPr>
          <w:color w:val="1E1E1E"/>
          <w:sz w:val="18"/>
        </w:rPr>
        <w:t>Habeas corpus. Inquérito policial. Requisição por procurador da República. Membro do MPU. Incompetência do juízo estadual. Feito da competência do TRF 3ª Região. Conflito aparente de normas entre o art. 96, III, e o art. 108, I, a, c/c o art. 128, I, d, todos da CF. Aplicação do princípio da especialidade. Precedentes. Recurso provido. Não cabe a juízo da Justiça estadual, mas a TRF, conhecer de pedido de habeas corpus contra ato de membro do MPF.</w:t>
      </w:r>
    </w:p>
    <w:p>
      <w:pPr>
        <w:ind w:left="288"/>
      </w:pPr>
      <w:r>
        <w:rPr>
          <w:b/>
          <w:color w:val="003CA0"/>
          <w:sz w:val="16"/>
        </w:rPr>
        <w:t>[RE 377.356, rel. min. Cezar Peluso, j. 7-10-2008, 2ª T, DJE de 28-11-2008.]</w:t>
      </w:r>
    </w:p>
    <w:p>
      <w:pPr>
        <w:ind w:left="288"/>
      </w:pPr>
      <w:r>
        <w:rPr>
          <w:color w:val="8C8C8C"/>
          <w:sz w:val="12"/>
        </w:rPr>
        <w:t>cf-art-108-inc-I</w:t>
      </w:r>
      <w:r>
        <w:rPr>
          <w:color w:val="003CA0"/>
          <w:sz w:val="12"/>
        </w:rPr>
        <w:t xml:space="preserve"> | HC 86.834</w:t>
      </w:r>
      <w:r>
        <w:rPr>
          <w:color w:val="003CA0"/>
          <w:sz w:val="12"/>
        </w:rPr>
        <w:t xml:space="preserve"> | rel. Marco Aurélio</w:t>
      </w:r>
    </w:p>
    <w:p>
      <w:pPr>
        <w:ind w:left="288"/>
      </w:pPr>
      <w:r>
        <w:rPr>
          <w:color w:val="1E1E1E"/>
          <w:sz w:val="18"/>
        </w:rPr>
        <w:t>A competência para o julgamento do habeas corpus é definida pelos envolvidos – paciente e impetrante. (...) Estando os integrantes das turmas recursais dos juizados especiais submetidos, nos crimes comuns e nos de responsabilidade, à jurisdição do tribunal de justiça ou do TRF, incumbe a cada qual, conforme o caso, julgar os habeas impetrados contra ato que tenham praticado. (...) Uma vez ocorrida a declinação da competência, cumpre preservar o quadro decisório decorrente do deferimento de medida acauteladora, ficando a manutenção, ou não, a critério do órgão competente.</w:t>
        <w:br/>
        <w:t xml:space="preserve">[HC 86.834, rel. min. </w:t>
      </w:r>
    </w:p>
    <w:p>
      <w:pPr>
        <w:ind w:left="288"/>
      </w:pPr>
      <w:r>
        <w:rPr>
          <w:b/>
          <w:color w:val="003CA0"/>
          <w:sz w:val="16"/>
        </w:rPr>
        <w:t>[RE 315.010, rel. min. Néri da Silveira, j. 8-4-2002, 2ª T, DJ de 31-5-2002.]</w:t>
      </w:r>
    </w:p>
    <w:p>
      <w:pPr>
        <w:ind w:left="288"/>
      </w:pPr>
      <w:r>
        <w:rPr>
          <w:color w:val="8C8C8C"/>
          <w:sz w:val="12"/>
        </w:rPr>
        <w:t>cf-art-108-inc-I</w:t>
      </w:r>
      <w:r>
        <w:rPr>
          <w:color w:val="003CA0"/>
          <w:sz w:val="12"/>
        </w:rPr>
        <w:t xml:space="preserve"> | RE 467.923</w:t>
      </w:r>
      <w:r>
        <w:rPr>
          <w:color w:val="003CA0"/>
          <w:sz w:val="12"/>
        </w:rPr>
        <w:t xml:space="preserve"> | rel. Cezar Peluso</w:t>
      </w:r>
    </w:p>
    <w:p>
      <w:pPr>
        <w:ind w:left="288"/>
      </w:pPr>
      <w:r>
        <w:rPr>
          <w:color w:val="1E1E1E"/>
          <w:sz w:val="18"/>
        </w:rPr>
        <w:t>= RE 467.923, rel. min. Cezar Peluso, j. 18-4-2006, 1ª T, DJ de 4-8-2006</w:t>
      </w:r>
    </w:p>
    <w:p>
      <w:pPr>
        <w:ind w:left="144"/>
      </w:pPr>
      <w:r>
        <w:rPr>
          <w:b/>
          <w:color w:val="B45A00"/>
          <w:sz w:val="16"/>
        </w:rPr>
        <w:t>REPERCUSSAO GERAL</w:t>
      </w:r>
    </w:p>
    <w:p>
      <w:pPr>
        <w:ind w:left="288"/>
      </w:pPr>
      <w:r>
        <w:rPr>
          <w:color w:val="8C8C8C"/>
          <w:sz w:val="12"/>
        </w:rPr>
        <w:t>cf-art-108-inc-I-ali-b</w:t>
      </w:r>
      <w:r>
        <w:rPr>
          <w:color w:val="003CA0"/>
          <w:sz w:val="12"/>
        </w:rPr>
        <w:t xml:space="preserve"> | RE 598.650</w:t>
      </w:r>
      <w:r>
        <w:rPr>
          <w:color w:val="003CA0"/>
          <w:sz w:val="12"/>
        </w:rPr>
        <w:t xml:space="preserve"> | rel. Marco Aurélio</w:t>
      </w:r>
    </w:p>
    <w:p>
      <w:pPr>
        <w:ind w:left="288"/>
      </w:pPr>
      <w:r>
        <w:rPr>
          <w:color w:val="1E1E1E"/>
          <w:sz w:val="18"/>
        </w:rPr>
        <w:t>Compete ao Tribunal Regional Federal processar ação rescisória proposta pela União com o objetivo de desconstituir sentença transitada em julgado proferida por juiz estadual, quando afeta interesses de órgão federal.</w:t>
      </w:r>
    </w:p>
    <w:p>
      <w:pPr>
        <w:ind w:left="288"/>
      </w:pPr>
      <w:r>
        <w:rPr>
          <w:b/>
          <w:color w:val="003CA0"/>
          <w:sz w:val="16"/>
        </w:rPr>
        <w:t>[RE 598.650, rel. min. Marco Aurélio, red. do ac. min. Alexandre de Moraes j. 11-10-2021, P, DJE de 4-11-2021, Tema 775, com mérito julgado.]</w:t>
      </w:r>
    </w:p>
    <w:p>
      <w:pPr>
        <w:ind w:left="144"/>
      </w:pPr>
      <w:r>
        <w:rPr>
          <w:b/>
          <w:color w:val="B45A00"/>
          <w:sz w:val="16"/>
        </w:rPr>
        <w:t>JULGADOS CORRELATOS</w:t>
      </w:r>
    </w:p>
    <w:p>
      <w:pPr>
        <w:ind w:left="288"/>
      </w:pPr>
      <w:r>
        <w:rPr>
          <w:color w:val="8C8C8C"/>
          <w:sz w:val="12"/>
        </w:rPr>
        <w:t>cf-art-108-inc-I-ali-c</w:t>
      </w:r>
      <w:r>
        <w:rPr>
          <w:color w:val="003CA0"/>
          <w:sz w:val="12"/>
        </w:rPr>
        <w:t xml:space="preserve"> | RE 176.881</w:t>
      </w:r>
    </w:p>
    <w:p>
      <w:pPr>
        <w:ind w:left="288"/>
      </w:pPr>
      <w:r>
        <w:rPr>
          <w:color w:val="1E1E1E"/>
          <w:sz w:val="18"/>
        </w:rPr>
        <w:t>Mandado de segurança impetrado por autarquia federal contra ato de juiz de direito. Competência. Em princípio, qualquer ação proposta pelos entes relacionados no inciso I do art. 109 da Constituição é de competência da Justiça Federal. Tratando-se, entretanto, de mandado de segurança, que, em nosso sistema jurídico-processual, se rege também pelo princípio da hierarquia, prevê o inciso VIII do mesmo dispositivo a competência dos tribunais federais, obviamente, em razão do respectivo grau hierárquico. Em relação aos juízes federais, a competência é dos tribunais regionais federais (art. 108, I,</w:t>
      </w:r>
    </w:p>
    <w:p>
      <w:pPr>
        <w:ind w:left="288"/>
      </w:pPr>
      <w:r>
        <w:rPr>
          <w:b/>
          <w:color w:val="003CA0"/>
          <w:sz w:val="16"/>
        </w:rPr>
        <w:t>[RE 176.881, red. do ac. min. Ilmar Galvão, j. 13-3-1997, P, DJE de 6-3-1998.]</w:t>
      </w:r>
    </w:p>
    <w:p>
      <w:pPr>
        <w:ind w:left="288"/>
      </w:pPr>
      <w:r>
        <w:rPr>
          <w:color w:val="8C8C8C"/>
          <w:sz w:val="12"/>
        </w:rPr>
        <w:t>cf-art-108-inc-I-ali-d</w:t>
      </w:r>
      <w:r>
        <w:rPr>
          <w:color w:val="003CA0"/>
          <w:sz w:val="12"/>
        </w:rPr>
        <w:t xml:space="preserve"> | HC 68.687</w:t>
      </w:r>
      <w:r>
        <w:rPr>
          <w:color w:val="003CA0"/>
          <w:sz w:val="12"/>
        </w:rPr>
        <w:t xml:space="preserve"> | rel. Sepúlveda Pertence</w:t>
      </w:r>
    </w:p>
    <w:p>
      <w:pPr>
        <w:ind w:left="288"/>
      </w:pPr>
      <w:r>
        <w:rPr>
          <w:color w:val="1E1E1E"/>
          <w:sz w:val="18"/>
        </w:rPr>
        <w:t>(...) quando se imputa coação a juiz do Trabalho de primeiro grau, compete ao TRF o seu julgamento, dado que a Justiça do Trabalho não possui competência criminal (v.g., CC 6.979, 15-8-1991, Velloso, RTJ 111/794; HC 68.687, Segunda Turma, 20-8-1991, Velloso, DJ de 4-10-1991).</w:t>
      </w:r>
    </w:p>
    <w:p>
      <w:pPr>
        <w:ind w:left="288"/>
      </w:pPr>
      <w:r>
        <w:rPr>
          <w:b/>
          <w:color w:val="003CA0"/>
          <w:sz w:val="16"/>
        </w:rPr>
        <w:t>[HC 85.096, rel. min. Sepúlveda Pertence, j. 28-6-2005, 1ª T, DJ de 14-10-2005.]</w:t>
      </w:r>
    </w:p>
    <w:p>
      <w:pPr>
        <w:ind w:left="144"/>
      </w:pPr>
      <w:r>
        <w:rPr>
          <w:b/>
          <w:color w:val="B45A00"/>
          <w:sz w:val="16"/>
        </w:rPr>
        <w:t>REPERCUSSAO GERAL</w:t>
      </w:r>
    </w:p>
    <w:p>
      <w:pPr>
        <w:ind w:left="288"/>
      </w:pPr>
      <w:r>
        <w:rPr>
          <w:color w:val="8C8C8C"/>
          <w:sz w:val="12"/>
        </w:rPr>
        <w:t>cf-art-108-inc-I-ali-e</w:t>
      </w:r>
      <w:r>
        <w:rPr>
          <w:color w:val="003CA0"/>
          <w:sz w:val="12"/>
        </w:rPr>
        <w:t xml:space="preserve"> | RE 590.409</w:t>
      </w:r>
      <w:r>
        <w:rPr>
          <w:color w:val="003CA0"/>
          <w:sz w:val="12"/>
        </w:rPr>
        <w:t xml:space="preserve"> | rel. Ricardo Lewandowski</w:t>
      </w:r>
    </w:p>
    <w:p>
      <w:pPr>
        <w:ind w:left="288"/>
      </w:pPr>
      <w:r>
        <w:rPr>
          <w:color w:val="1E1E1E"/>
          <w:sz w:val="18"/>
        </w:rPr>
        <w:t>Os juízes de primeira instância, tal como aqueles que integram os juizados especiais, estão vinculados ao respectivo TRF, ao qual cabe dirimir os conflitos de competência que surjam entre eles.</w:t>
        <w:br/>
        <w:t>[RE 590.409, rel. min. Ricardo Lewandowski, j. 26-8-2009, P, DJE de 29-10-2009, Tema 128, com mérito julgado.]</w:t>
      </w:r>
    </w:p>
    <w:p>
      <w:pPr>
        <w:ind w:left="288"/>
      </w:pPr>
      <w:r>
        <w:rPr>
          <w:color w:val="8C8C8C"/>
          <w:sz w:val="12"/>
        </w:rPr>
        <w:t>cf-art-108-inc-II</w:t>
      </w:r>
      <w:r>
        <w:rPr>
          <w:color w:val="003CA0"/>
          <w:sz w:val="12"/>
        </w:rPr>
        <w:t xml:space="preserve"> | RE 598.650</w:t>
      </w:r>
      <w:r>
        <w:rPr>
          <w:color w:val="003CA0"/>
          <w:sz w:val="12"/>
        </w:rPr>
        <w:t xml:space="preserve"> | rel. Marco Aurélio</w:t>
      </w:r>
    </w:p>
    <w:p>
      <w:pPr>
        <w:ind w:left="288"/>
      </w:pPr>
      <w:r>
        <w:rPr>
          <w:color w:val="1E1E1E"/>
          <w:sz w:val="18"/>
        </w:rPr>
        <w:t>Compete ao Tribunal Regional Federal processar ação rescisória proposta pela União com o objetivo de desconstituir sentença transitada em julgado proferida por juiz estadual, quando afeta interesses de órgão federal.</w:t>
      </w:r>
    </w:p>
    <w:p>
      <w:pPr>
        <w:ind w:left="288"/>
      </w:pPr>
      <w:r>
        <w:rPr>
          <w:b/>
          <w:color w:val="003CA0"/>
          <w:sz w:val="16"/>
        </w:rPr>
        <w:t>[RE 598.650, rel. min. Marco Aurélio, red. do ac. min. Alexandre de Moraes j. 11-10-2021, P, DJE de 4-11-2021, Tema 775, com mérito julgado.]</w:t>
      </w:r>
    </w:p>
    <w:p>
      <w:r>
        <w:rPr>
          <w:b/>
          <w:color w:val="003366"/>
          <w:sz w:val="20"/>
        </w:rPr>
        <w:t>Art. 109 (Revogado pela Emenda Constitucional nº 126, de 2022)</w:t>
      </w:r>
      <w:r>
        <w:rPr>
          <w:color w:val="8C8C8C"/>
          <w:sz w:val="14"/>
        </w:rPr>
        <w:t xml:space="preserve">  [122 decisoes]</w:t>
      </w:r>
    </w:p>
    <w:p>
      <w:pPr>
        <w:ind w:left="144"/>
      </w:pPr>
      <w:r>
        <w:rPr>
          <w:b/>
          <w:color w:val="B45A00"/>
          <w:sz w:val="16"/>
        </w:rPr>
        <w:t>CONTROLE CONCENTRADO</w:t>
      </w:r>
    </w:p>
    <w:p>
      <w:pPr>
        <w:ind w:left="288"/>
      </w:pPr>
      <w:r>
        <w:rPr>
          <w:color w:val="8C8C8C"/>
          <w:sz w:val="12"/>
        </w:rPr>
        <w:t>cf-art-109</w:t>
      </w:r>
      <w:r>
        <w:rPr>
          <w:color w:val="003CA0"/>
          <w:sz w:val="12"/>
        </w:rPr>
        <w:t xml:space="preserve"> | ADI 2.473</w:t>
      </w:r>
      <w:r>
        <w:rPr>
          <w:color w:val="003CA0"/>
          <w:sz w:val="12"/>
        </w:rPr>
        <w:t xml:space="preserve"> | rel. Néri da Silveira</w:t>
      </w:r>
    </w:p>
    <w:p>
      <w:pPr>
        <w:ind w:left="288"/>
      </w:pPr>
      <w:r>
        <w:rPr>
          <w:color w:val="1E1E1E"/>
          <w:sz w:val="18"/>
        </w:rPr>
        <w:t>Competência da Justiça Federal definida na Constituição, não cabendo a lei ordinária e, menos ainda, a medida provisória sobre ela dispor.</w:t>
      </w:r>
    </w:p>
    <w:p>
      <w:pPr>
        <w:ind w:left="288"/>
      </w:pPr>
      <w:r>
        <w:rPr>
          <w:b/>
          <w:color w:val="003CA0"/>
          <w:sz w:val="16"/>
        </w:rPr>
        <w:t>[ADI 2.473 MC, rel. min. Néri da Silveira, j. 13-9-2001, P, DJ de 7-11-2003.]</w:t>
      </w:r>
    </w:p>
    <w:p>
      <w:pPr>
        <w:ind w:left="144"/>
      </w:pPr>
      <w:r>
        <w:rPr>
          <w:b/>
          <w:color w:val="B45A00"/>
          <w:sz w:val="16"/>
        </w:rPr>
        <w:t>REPERCUSSAO GERAL</w:t>
      </w:r>
    </w:p>
    <w:p>
      <w:pPr>
        <w:ind w:left="288"/>
      </w:pPr>
      <w:r>
        <w:rPr>
          <w:color w:val="8C8C8C"/>
          <w:sz w:val="12"/>
        </w:rPr>
        <w:t>cf-art-109</w:t>
      </w:r>
      <w:r>
        <w:rPr>
          <w:color w:val="003CA0"/>
          <w:sz w:val="12"/>
        </w:rPr>
        <w:t xml:space="preserve"> | RE 1.265.549</w:t>
      </w:r>
      <w:r>
        <w:rPr>
          <w:color w:val="003CA0"/>
          <w:sz w:val="12"/>
        </w:rPr>
        <w:t xml:space="preserve"> | rel. Dias Toffoli</w:t>
      </w:r>
    </w:p>
    <w:p>
      <w:pPr>
        <w:ind w:left="288"/>
      </w:pPr>
      <w:r>
        <w:rPr>
          <w:color w:val="1E1E1E"/>
          <w:sz w:val="18"/>
        </w:rPr>
        <w:t>Compete à Justiça comum processar e julgar causas sobre complementação de aposentadoria instituída por lei cujo pagamento seja, originariamente ou por sucessão, da responsabilidade da Administração Pública direta ou indireta, por derivar essa responsabilidade de relação jurídico-administrativa.</w:t>
        <w:br/>
        <w:t>[RE 1.265.549, rel. min. Dias Toffoli, j. 4-6-2020, P, DJE de 19-6-2020, Tema 1.092, com mérito julgado e reafirmação de jurisprudência.] Compete à Justiça comum o julgamento de conflito a envolver a incidência de contribuição previdenciária sobre complementação de proventos de aposentadoria.</w:t>
        <w:br/>
        <w:t>[RE 594.43</w:t>
      </w:r>
    </w:p>
    <w:p>
      <w:pPr>
        <w:ind w:left="288"/>
      </w:pPr>
      <w:r>
        <w:rPr>
          <w:b/>
          <w:color w:val="003CA0"/>
          <w:sz w:val="16"/>
        </w:rPr>
        <w:t>[RE 586.453, red. do ac. min. Dias Toffoli, voto da min. Ellen Gracie, j. 20-2-2013, P, DJE de 6-6-2013, Tema 190, com mérito julgado.]</w:t>
      </w:r>
    </w:p>
    <w:p>
      <w:pPr>
        <w:ind w:left="144"/>
      </w:pPr>
      <w:r>
        <w:rPr>
          <w:b/>
          <w:color w:val="B45A00"/>
          <w:sz w:val="16"/>
        </w:rPr>
        <w:t>JULGADOS CORRELATOS</w:t>
      </w:r>
    </w:p>
    <w:p>
      <w:pPr>
        <w:ind w:left="288"/>
      </w:pPr>
      <w:r>
        <w:rPr>
          <w:color w:val="8C8C8C"/>
          <w:sz w:val="12"/>
        </w:rPr>
        <w:t>cf-art-109</w:t>
      </w:r>
      <w:r>
        <w:rPr>
          <w:color w:val="003CA0"/>
          <w:sz w:val="12"/>
        </w:rPr>
        <w:t xml:space="preserve"> | rel. Marco Aurélio</w:t>
      </w:r>
    </w:p>
    <w:p>
      <w:pPr>
        <w:ind w:left="288"/>
      </w:pPr>
      <w:r>
        <w:rPr>
          <w:color w:val="1E1E1E"/>
          <w:sz w:val="18"/>
        </w:rPr>
        <w:t>Cabe ao juízo da vara federal com atuação no domicílio do impetrante julgar mandado de segurança mediante o qual se insurge contra ato do procurador regional eleitoral destituindo-o da função de promotor eleitoral.</w:t>
      </w:r>
    </w:p>
    <w:p>
      <w:pPr>
        <w:ind w:left="288"/>
      </w:pPr>
      <w:r>
        <w:rPr>
          <w:b/>
          <w:color w:val="003CA0"/>
          <w:sz w:val="16"/>
        </w:rPr>
        <w:t>[CC 7.698, rel. min. Marco Aurélio, j. 13-5-2014, 1ª T, DJE de 26-5-2014.]</w:t>
      </w:r>
    </w:p>
    <w:p>
      <w:pPr>
        <w:ind w:left="288"/>
      </w:pPr>
      <w:r>
        <w:rPr>
          <w:color w:val="8C8C8C"/>
          <w:sz w:val="12"/>
        </w:rPr>
        <w:t>cf-art-109</w:t>
      </w:r>
      <w:r>
        <w:rPr>
          <w:color w:val="003CA0"/>
          <w:sz w:val="12"/>
        </w:rPr>
        <w:t xml:space="preserve"> | RHC 97.226</w:t>
      </w:r>
      <w:r>
        <w:rPr>
          <w:color w:val="003CA0"/>
          <w:sz w:val="12"/>
        </w:rPr>
        <w:t xml:space="preserve"> | rel. Luiz Fux</w:t>
      </w:r>
    </w:p>
    <w:p>
      <w:pPr>
        <w:ind w:left="288"/>
      </w:pPr>
      <w:r>
        <w:rPr>
          <w:color w:val="1E1E1E"/>
          <w:sz w:val="18"/>
        </w:rPr>
        <w:t>Inquérito policial. Investigação. Ex-prefeito municipal. Desvio de verbas públicas. Competência da Justiça Federal. Interesse da União. Ausência de comprovação. (...) A competência da Justiça Federal depende, para a sua fixação, de comprovação do interesse da União no feito.</w:t>
      </w:r>
    </w:p>
    <w:p>
      <w:pPr>
        <w:ind w:left="288"/>
      </w:pPr>
      <w:r>
        <w:rPr>
          <w:b/>
          <w:color w:val="003CA0"/>
          <w:sz w:val="16"/>
        </w:rPr>
        <w:t>[RHC 97.226 AgR, rel. min. Luiz Fux, j. 6-9-2011, 1ª T, DJE de 30-9-2011.]</w:t>
      </w:r>
    </w:p>
    <w:p>
      <w:pPr>
        <w:ind w:left="288"/>
      </w:pPr>
      <w:r>
        <w:rPr>
          <w:color w:val="8C8C8C"/>
          <w:sz w:val="12"/>
        </w:rPr>
        <w:t>cf-art-109</w:t>
      </w:r>
      <w:r>
        <w:rPr>
          <w:color w:val="003CA0"/>
          <w:sz w:val="12"/>
        </w:rPr>
        <w:t xml:space="preserve"> | RHC 96.713</w:t>
      </w:r>
      <w:r>
        <w:rPr>
          <w:color w:val="003CA0"/>
          <w:sz w:val="12"/>
        </w:rPr>
        <w:t xml:space="preserve"> | rel. Joaquim Barbosa</w:t>
      </w:r>
    </w:p>
    <w:p>
      <w:pPr>
        <w:ind w:left="288"/>
      </w:pPr>
      <w:r>
        <w:rPr>
          <w:color w:val="1E1E1E"/>
          <w:sz w:val="18"/>
        </w:rPr>
        <w:t>Na hipótese de concurso de infrações penais de jurisdições originárias diversas, a competência da Justiça Federal para uma delas atrai, por conexão ou continência, a competência para o julgamento das demais.</w:t>
      </w:r>
    </w:p>
    <w:p>
      <w:pPr>
        <w:ind w:left="288"/>
      </w:pPr>
      <w:r>
        <w:rPr>
          <w:b/>
          <w:color w:val="003CA0"/>
          <w:sz w:val="16"/>
        </w:rPr>
        <w:t>[RHC 96.713, rel. min. Joaquim Barbosa, j. 7-12-2010, 2ª T, DJE de 1º-2-2011.]</w:t>
      </w:r>
    </w:p>
    <w:p>
      <w:pPr>
        <w:ind w:left="288"/>
      </w:pPr>
      <w:r>
        <w:rPr>
          <w:color w:val="8C8C8C"/>
          <w:sz w:val="12"/>
        </w:rPr>
        <w:t>cf-art-109</w:t>
      </w:r>
      <w:r>
        <w:rPr>
          <w:color w:val="003CA0"/>
          <w:sz w:val="12"/>
        </w:rPr>
        <w:t xml:space="preserve"> | RE 446.908</w:t>
      </w:r>
      <w:r>
        <w:rPr>
          <w:color w:val="003CA0"/>
          <w:sz w:val="12"/>
        </w:rPr>
        <w:t xml:space="preserve"> | rel. Menezes Direito</w:t>
      </w:r>
    </w:p>
    <w:p>
      <w:pPr>
        <w:ind w:left="288"/>
      </w:pPr>
      <w:r>
        <w:rPr>
          <w:color w:val="1E1E1E"/>
          <w:sz w:val="18"/>
        </w:rPr>
        <w:t>Os crimes contra o Sistema Financeiro Nacional, previstos na Lei 7.492/1986, devem ser processados e julgados na Justiça Federal.</w:t>
      </w:r>
    </w:p>
    <w:p>
      <w:pPr>
        <w:ind w:left="288"/>
      </w:pPr>
      <w:r>
        <w:rPr>
          <w:b/>
          <w:color w:val="003CA0"/>
          <w:sz w:val="16"/>
        </w:rPr>
        <w:t>[RE 446.908, rel. min. Menezes Direito, j. 2-9-2008, 1ª T, DJE de 21-11-2008.]</w:t>
      </w:r>
    </w:p>
    <w:p>
      <w:pPr>
        <w:ind w:left="288"/>
      </w:pPr>
      <w:r>
        <w:rPr>
          <w:color w:val="8C8C8C"/>
          <w:sz w:val="12"/>
        </w:rPr>
        <w:t>cf-art-109</w:t>
      </w:r>
      <w:r>
        <w:rPr>
          <w:color w:val="003CA0"/>
          <w:sz w:val="12"/>
        </w:rPr>
        <w:t xml:space="preserve"> | MI 571</w:t>
      </w:r>
      <w:r>
        <w:rPr>
          <w:color w:val="003CA0"/>
          <w:sz w:val="12"/>
        </w:rPr>
        <w:t xml:space="preserve"> | rel. Sepúlveda Pertence</w:t>
      </w:r>
    </w:p>
    <w:p>
      <w:pPr>
        <w:ind w:left="288"/>
      </w:pPr>
      <w:r>
        <w:rPr>
          <w:color w:val="1E1E1E"/>
          <w:sz w:val="18"/>
        </w:rPr>
        <w:t>Mandado de injunção: omissão normativa imputada a autarquia federal (Banco Central do Brasil): competência originária do juiz federal e não do Supremo Tribunal nem do STJ: inteligência da ressalva final do art. 105, I, h, da Constituição.</w:t>
      </w:r>
    </w:p>
    <w:p>
      <w:pPr>
        <w:ind w:left="288"/>
      </w:pPr>
      <w:r>
        <w:rPr>
          <w:b/>
          <w:color w:val="003CA0"/>
          <w:sz w:val="16"/>
        </w:rPr>
        <w:t>[MI 571 QO, rel. min. Sepúlveda Pertence, j. 8-10-1998, P, DJ de 20-11-1998.]</w:t>
      </w:r>
    </w:p>
    <w:p>
      <w:pPr>
        <w:ind w:left="288"/>
      </w:pPr>
      <w:r>
        <w:rPr>
          <w:color w:val="8C8C8C"/>
          <w:sz w:val="12"/>
        </w:rPr>
        <w:t>cf-art-109</w:t>
      </w:r>
    </w:p>
    <w:p>
      <w:pPr>
        <w:ind w:left="288"/>
      </w:pPr>
      <w:r>
        <w:rPr>
          <w:color w:val="1E1E1E"/>
          <w:sz w:val="18"/>
        </w:rPr>
        <w:t>I - as causas em que a União, entidade autárquica ou empresa pública federal forem interessadas na condição de autoras, rés, assistentes ou oponentes, exceto as de falência, as de acidentes de trabalho e as sujeitas à Justiça Eleitoral e à Justiça do Trabalho;</w:t>
      </w:r>
    </w:p>
    <w:p>
      <w:pPr>
        <w:ind w:left="144"/>
      </w:pPr>
      <w:r>
        <w:rPr>
          <w:b/>
          <w:color w:val="B45A00"/>
          <w:sz w:val="16"/>
        </w:rPr>
        <w:t>SUMULA VINCULANTE</w:t>
      </w:r>
    </w:p>
    <w:p>
      <w:pPr>
        <w:ind w:left="288"/>
      </w:pPr>
      <w:r>
        <w:rPr>
          <w:color w:val="8C8C8C"/>
          <w:sz w:val="12"/>
        </w:rPr>
        <w:t>cf-art-109</w:t>
      </w:r>
    </w:p>
    <w:p>
      <w:pPr>
        <w:ind w:left="288"/>
      </w:pPr>
      <w:r>
        <w:rPr>
          <w:color w:val="1E1E1E"/>
          <w:sz w:val="18"/>
        </w:rPr>
        <w:t>Compete à Justiça estadual julgar causas entre consumidor e concessionária de serviço público de telefonia, quando a Anatel [Agência Nacional de Telecomunicações] não seja litisconsorte passiva necessária, assistente, nem opoente.</w:t>
      </w:r>
    </w:p>
    <w:p>
      <w:pPr>
        <w:ind w:left="288"/>
      </w:pPr>
      <w:r>
        <w:rPr>
          <w:b/>
          <w:color w:val="003CA0"/>
          <w:sz w:val="16"/>
        </w:rPr>
        <w:t>[Súmula Vinculante 27.]</w:t>
      </w:r>
    </w:p>
    <w:p>
      <w:pPr>
        <w:ind w:left="288"/>
      </w:pPr>
      <w:r>
        <w:rPr>
          <w:color w:val="8C8C8C"/>
          <w:sz w:val="12"/>
        </w:rPr>
        <w:t>cf-art-109</w:t>
      </w:r>
    </w:p>
    <w:p>
      <w:pPr>
        <w:ind w:left="288"/>
      </w:pPr>
      <w:r>
        <w:rPr>
          <w:color w:val="1E1E1E"/>
          <w:sz w:val="18"/>
        </w:rPr>
        <w:t>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EC 45/2004.</w:t>
      </w:r>
    </w:p>
    <w:p>
      <w:pPr>
        <w:ind w:left="288"/>
      </w:pPr>
      <w:r>
        <w:rPr>
          <w:b/>
          <w:color w:val="003CA0"/>
          <w:sz w:val="16"/>
        </w:rPr>
        <w:t>[Súmula Vinculante 22.]</w:t>
      </w:r>
    </w:p>
    <w:p>
      <w:pPr>
        <w:ind w:left="144"/>
      </w:pPr>
      <w:r>
        <w:rPr>
          <w:b/>
          <w:color w:val="B45A00"/>
          <w:sz w:val="16"/>
        </w:rPr>
        <w:t>SUMULA</w:t>
      </w:r>
    </w:p>
    <w:p>
      <w:pPr>
        <w:ind w:left="288"/>
      </w:pPr>
      <w:r>
        <w:rPr>
          <w:color w:val="8C8C8C"/>
          <w:sz w:val="12"/>
        </w:rPr>
        <w:t>cf-art-109</w:t>
      </w:r>
    </w:p>
    <w:p>
      <w:pPr>
        <w:ind w:left="288"/>
      </w:pPr>
      <w:r>
        <w:rPr>
          <w:color w:val="1E1E1E"/>
          <w:sz w:val="18"/>
        </w:rPr>
        <w:t>É competente a Justiça comum para julgar as causas em que é parte sociedade de economia mista.</w:t>
      </w:r>
    </w:p>
    <w:p>
      <w:pPr>
        <w:ind w:left="288"/>
      </w:pPr>
      <w:r>
        <w:rPr>
          <w:b/>
          <w:color w:val="003CA0"/>
          <w:sz w:val="16"/>
        </w:rPr>
        <w:t>[Súmula 556.]</w:t>
      </w:r>
    </w:p>
    <w:p>
      <w:pPr>
        <w:ind w:left="288"/>
      </w:pPr>
      <w:r>
        <w:rPr>
          <w:color w:val="8C8C8C"/>
          <w:sz w:val="12"/>
        </w:rPr>
        <w:t>cf-art-109</w:t>
      </w:r>
    </w:p>
    <w:p>
      <w:pPr>
        <w:ind w:left="288"/>
      </w:pPr>
      <w:r>
        <w:rPr>
          <w:color w:val="1E1E1E"/>
          <w:sz w:val="18"/>
        </w:rPr>
        <w:t>As sociedades de economia mista só têm foro na Justiça Federal, quando a União intervém como assistente ou opoente.</w:t>
      </w:r>
    </w:p>
    <w:p>
      <w:pPr>
        <w:ind w:left="288"/>
      </w:pPr>
      <w:r>
        <w:rPr>
          <w:b/>
          <w:color w:val="003CA0"/>
          <w:sz w:val="16"/>
        </w:rPr>
        <w:t>[Súmula 517.]</w:t>
      </w:r>
    </w:p>
    <w:p>
      <w:pPr>
        <w:ind w:left="288"/>
      </w:pPr>
      <w:r>
        <w:rPr>
          <w:color w:val="8C8C8C"/>
          <w:sz w:val="12"/>
        </w:rPr>
        <w:t>cf-art-109</w:t>
      </w:r>
    </w:p>
    <w:p>
      <w:pPr>
        <w:ind w:left="288"/>
      </w:pPr>
      <w:r>
        <w:rPr>
          <w:color w:val="1E1E1E"/>
          <w:sz w:val="18"/>
        </w:rPr>
        <w:t>Compete à Justiça Federal, em ambas as instâncias, processar e julgar as causas entre autarquias federais e entidades públicas locais, inclusive mandados de segurança, ressalvada a ação fiscal, nos termos da CF de 1967, art. 119, § 3º.</w:t>
      </w:r>
    </w:p>
    <w:p>
      <w:pPr>
        <w:ind w:left="288"/>
      </w:pPr>
      <w:r>
        <w:rPr>
          <w:b/>
          <w:color w:val="003CA0"/>
          <w:sz w:val="16"/>
        </w:rPr>
        <w:t>[Súmula 511.]</w:t>
      </w:r>
    </w:p>
    <w:p>
      <w:pPr>
        <w:ind w:left="288"/>
      </w:pPr>
      <w:r>
        <w:rPr>
          <w:color w:val="8C8C8C"/>
          <w:sz w:val="12"/>
        </w:rPr>
        <w:t>cf-art-109</w:t>
      </w:r>
    </w:p>
    <w:p>
      <w:pPr>
        <w:ind w:left="288"/>
      </w:pPr>
      <w:r>
        <w:rPr>
          <w:color w:val="1E1E1E"/>
          <w:sz w:val="18"/>
        </w:rPr>
        <w:t>Compete à Justiça estadual, em ambas as instâncias, processar e julgar as causas em que for parte o Banco do Brasil S.A.</w:t>
      </w:r>
    </w:p>
    <w:p>
      <w:pPr>
        <w:ind w:left="288"/>
      </w:pPr>
      <w:r>
        <w:rPr>
          <w:b/>
          <w:color w:val="003CA0"/>
          <w:sz w:val="16"/>
        </w:rPr>
        <w:t>[Súmula 508.]</w:t>
      </w:r>
    </w:p>
    <w:p>
      <w:pPr>
        <w:ind w:left="288"/>
      </w:pPr>
      <w:r>
        <w:rPr>
          <w:color w:val="8C8C8C"/>
          <w:sz w:val="12"/>
        </w:rPr>
        <w:t>cf-art-109</w:t>
      </w:r>
    </w:p>
    <w:p>
      <w:pPr>
        <w:ind w:left="288"/>
      </w:pPr>
      <w:r>
        <w:rPr>
          <w:color w:val="1E1E1E"/>
          <w:sz w:val="18"/>
        </w:rPr>
        <w:t>Compete à Justiça ordinária estadual o processo e o julgamento, em ambas as instâncias, das causas de acidente do trabalho, ainda que promovidas contra a União, suas autarquias, empresas públicas ou sociedades de economia mista.</w:t>
      </w:r>
    </w:p>
    <w:p>
      <w:pPr>
        <w:ind w:left="288"/>
      </w:pPr>
      <w:r>
        <w:rPr>
          <w:b/>
          <w:color w:val="003CA0"/>
          <w:sz w:val="16"/>
        </w:rPr>
        <w:t>[Súmula 501.]</w:t>
      </w:r>
    </w:p>
    <w:p>
      <w:pPr>
        <w:ind w:left="288"/>
      </w:pPr>
      <w:r>
        <w:rPr>
          <w:color w:val="8C8C8C"/>
          <w:sz w:val="12"/>
        </w:rPr>
        <w:t>cf-art-109</w:t>
      </w:r>
    </w:p>
    <w:p>
      <w:pPr>
        <w:ind w:left="288"/>
      </w:pPr>
      <w:r>
        <w:rPr>
          <w:color w:val="1E1E1E"/>
          <w:sz w:val="18"/>
        </w:rPr>
        <w:t>É competente para a ação de acidente do trabalho a Justiça Cível comum, inclusive em segunda instância, ainda que seja parte autarquia seguradora.</w:t>
      </w:r>
    </w:p>
    <w:p>
      <w:pPr>
        <w:ind w:left="288"/>
      </w:pPr>
      <w:r>
        <w:rPr>
          <w:b/>
          <w:color w:val="003CA0"/>
          <w:sz w:val="16"/>
        </w:rPr>
        <w:t>[Súmula 235.]</w:t>
      </w:r>
    </w:p>
    <w:p>
      <w:pPr>
        <w:ind w:left="288"/>
      </w:pPr>
      <w:r>
        <w:rPr>
          <w:color w:val="8C8C8C"/>
          <w:sz w:val="12"/>
        </w:rPr>
        <w:t>cf-art-109</w:t>
      </w:r>
      <w:r>
        <w:rPr>
          <w:color w:val="003CA0"/>
          <w:sz w:val="12"/>
        </w:rPr>
        <w:t xml:space="preserve"> | RE 1.520.468</w:t>
      </w:r>
      <w:r>
        <w:rPr>
          <w:color w:val="003CA0"/>
          <w:sz w:val="12"/>
        </w:rPr>
        <w:t xml:space="preserve"> | rel. Flávio Dino</w:t>
      </w:r>
    </w:p>
    <w:p>
      <w:pPr>
        <w:ind w:left="288"/>
      </w:pPr>
      <w:r>
        <w:rPr>
          <w:color w:val="1E1E1E"/>
          <w:sz w:val="18"/>
        </w:rPr>
        <w:t>“1) Compete ao juízo estadual, no exercício da jurisdição criminal, especialmente aquele responsável pela aplicação da Lei nº 11.340/2006 (Lei Maria da Penha), fixar a medida protetiva prevista no art. 9º, § 2º, II, da referida lei, inclusive quanto à requisição de pagamento de prestação pecuniária em favor da vítima afastada do local de trabalho, ainda que o cumprimento material da decisão fique sob o encargo do INSS e do empregador; 2) Nos termos do que dispõe o art. 109, I, da Constituição Federal, compete à Justiça Federal processar e julgar as ações regressivas que, com fundamento no art.</w:t>
      </w:r>
    </w:p>
    <w:p>
      <w:pPr>
        <w:ind w:left="288"/>
      </w:pPr>
      <w:r>
        <w:rPr>
          <w:b/>
          <w:color w:val="003CA0"/>
          <w:sz w:val="16"/>
        </w:rPr>
        <w:t>[RE 1.520.468, rel. min. Flávio Dino, j. 16-12-2025, P, DJE de 3-2-2026, Tema 1.370, com mérito julgado.]</w:t>
      </w:r>
    </w:p>
    <w:p>
      <w:pPr>
        <w:ind w:left="288"/>
      </w:pPr>
      <w:r>
        <w:rPr>
          <w:color w:val="8C8C8C"/>
          <w:sz w:val="12"/>
        </w:rPr>
        <w:t>cf-art-109</w:t>
      </w:r>
      <w:r>
        <w:rPr>
          <w:color w:val="003CA0"/>
          <w:sz w:val="12"/>
        </w:rPr>
        <w:t xml:space="preserve"> | RE 1.550.234</w:t>
      </w:r>
      <w:r>
        <w:rPr>
          <w:color w:val="003CA0"/>
          <w:sz w:val="12"/>
        </w:rPr>
        <w:t xml:space="preserve"> | rel. Luís Roberto Barroso</w:t>
      </w:r>
    </w:p>
    <w:p>
      <w:pPr>
        <w:ind w:left="288"/>
      </w:pPr>
      <w:r>
        <w:rPr>
          <w:color w:val="1E1E1E"/>
          <w:sz w:val="18"/>
        </w:rPr>
        <w:t>“É infraconstitucional e fática a controvérsia sobre a competência da Justiça Federal para processo e julgamento de ações possessórias ajuizadas por concessionária de serviço público ferroviário, nas quais a União e as suas entidades de administração indireta manifestaram desinteresse no processo”.</w:t>
      </w:r>
    </w:p>
    <w:p>
      <w:pPr>
        <w:ind w:left="288"/>
      </w:pPr>
      <w:r>
        <w:rPr>
          <w:b/>
          <w:color w:val="003CA0"/>
          <w:sz w:val="16"/>
        </w:rPr>
        <w:t>[RE 1.550.234 RG, rel. min. Luís Roberto Barroso, j. 06.06.2025, P, DJE de 24.06.2025, Tema 1.405, com repercussão geral negada.]</w:t>
      </w:r>
    </w:p>
    <w:p>
      <w:pPr>
        <w:ind w:left="288"/>
      </w:pPr>
      <w:r>
        <w:rPr>
          <w:color w:val="8C8C8C"/>
          <w:sz w:val="12"/>
        </w:rPr>
        <w:t>cf-art-109</w:t>
      </w:r>
      <w:r>
        <w:rPr>
          <w:color w:val="003CA0"/>
          <w:sz w:val="12"/>
        </w:rPr>
        <w:t xml:space="preserve"> | STA 175</w:t>
      </w:r>
      <w:r>
        <w:rPr>
          <w:color w:val="003CA0"/>
          <w:sz w:val="12"/>
        </w:rPr>
        <w:t xml:space="preserve"> | rel. Gilmar Mendes</w:t>
      </w:r>
    </w:p>
    <w:p>
      <w:pPr>
        <w:ind w:left="288"/>
      </w:pPr>
      <w:r>
        <w:rPr>
          <w:color w:val="1E1E1E"/>
          <w:sz w:val="18"/>
        </w:rPr>
        <w:t>“I. Competência 1) Para fins de fixação de competência, as demandas relativas a medicamentos não incorporados na política pública do SUS e medicamentos oncológicos, ambos com registro na ANVISA, tramitarão perante a Justiça Federal, nos termos do art. 109, I, da Constituição Federal, quando o valor do tratamento anual específico do fármaco ou do princípio ativo, com base no Preço Máximo de Venda do Governo (PMVG situado na alíquota zero), divulgado pela Câmara de Regulação do Mercado de Medicamentos (CMED - Lei 10.742/2003), for igual ou superior ao valor de 210 salários mínimos, na forma do a</w:t>
      </w:r>
    </w:p>
    <w:p>
      <w:pPr>
        <w:ind w:left="288"/>
      </w:pPr>
      <w:r>
        <w:rPr>
          <w:b/>
          <w:color w:val="003CA0"/>
          <w:sz w:val="16"/>
        </w:rPr>
        <w:t>[RE 1.366.243 ED, rel. min. Gilmar Mendes, j. 16.12.2024, P, DJE de 5.2.2025, Tema 1.234, com mérito julgado.]</w:t>
      </w:r>
    </w:p>
    <w:p>
      <w:pPr>
        <w:ind w:left="288"/>
      </w:pPr>
      <w:r>
        <w:rPr>
          <w:color w:val="8C8C8C"/>
          <w:sz w:val="12"/>
        </w:rPr>
        <w:t>cf-art-109</w:t>
      </w:r>
      <w:r>
        <w:rPr>
          <w:color w:val="003CA0"/>
          <w:sz w:val="12"/>
        </w:rPr>
        <w:t xml:space="preserve"> | RE 598.650</w:t>
      </w:r>
      <w:r>
        <w:rPr>
          <w:color w:val="003CA0"/>
          <w:sz w:val="12"/>
        </w:rPr>
        <w:t xml:space="preserve"> | rel. Marco Aurélio</w:t>
      </w:r>
    </w:p>
    <w:p>
      <w:pPr>
        <w:ind w:left="288"/>
      </w:pPr>
      <w:r>
        <w:rPr>
          <w:color w:val="1E1E1E"/>
          <w:sz w:val="18"/>
        </w:rPr>
        <w:t>Compete ao Tribunal Regional Federal processar ação rescisória proposta pela União com o objetivo de desconstituir sentença transitada em julgado proferida por juiz estadual, quando afeta interesses de órgão federal.</w:t>
      </w:r>
    </w:p>
    <w:p>
      <w:pPr>
        <w:ind w:left="288"/>
      </w:pPr>
      <w:r>
        <w:rPr>
          <w:b/>
          <w:color w:val="003CA0"/>
          <w:sz w:val="16"/>
        </w:rPr>
        <w:t>[RE 598.650, rel. min. Marco Aurélio, red. do ac. min. Alexandre de Moraes j. 11-10-2021, P, DJE de 4-11-2021, Tema 775, com mérito julgado.]</w:t>
      </w:r>
    </w:p>
    <w:p>
      <w:pPr>
        <w:ind w:left="288"/>
      </w:pPr>
      <w:r>
        <w:rPr>
          <w:color w:val="8C8C8C"/>
          <w:sz w:val="12"/>
        </w:rPr>
        <w:t>cf-art-109</w:t>
      </w:r>
      <w:r>
        <w:rPr>
          <w:color w:val="003CA0"/>
          <w:sz w:val="12"/>
        </w:rPr>
        <w:t xml:space="preserve"> | RE 678.162</w:t>
      </w:r>
      <w:r>
        <w:rPr>
          <w:color w:val="003CA0"/>
          <w:sz w:val="12"/>
        </w:rPr>
        <w:t xml:space="preserve"> | rel. Gilmar Mendes</w:t>
      </w:r>
    </w:p>
    <w:p>
      <w:pPr>
        <w:ind w:left="288"/>
      </w:pPr>
      <w:r>
        <w:rPr>
          <w:color w:val="1E1E1E"/>
          <w:sz w:val="18"/>
        </w:rPr>
        <w:t>A insolvência civil está entre as exceções da parte final do artigo 109, I, da Constituição da República, para fins de definição da competência da Justiça Federal.</w:t>
        <w:br/>
        <w:t>[RE 678.162, red. do ac. min. Edson Fachin, j. 29-3-2021, P, DJE de 13-5-2021, Tema 859, com mérito julgado.] 1) Considerando que, a partir da MP 513/2010 (que originou a Lei 12.409/2011 e suas alterações posteriores, MP 633/2013 e Lei 13.000/2014), a CEF passou a ser administradora do FCVS, é aplicável o art. 1º da MP 513/2010 aos processos em trâmite na data de sua entrada em vigor (26-11-2010): 1.1.) sem sentença de mérito (na fa</w:t>
      </w:r>
    </w:p>
    <w:p>
      <w:pPr>
        <w:ind w:left="288"/>
      </w:pPr>
      <w:r>
        <w:rPr>
          <w:b/>
          <w:color w:val="003CA0"/>
          <w:sz w:val="16"/>
        </w:rPr>
        <w:t>[RE 827.996, voto do rel. min. Gilmar Mendes, j. 29-6-2020, P, DJE de 21-8-2020, Tema 1.011, com mérito julgado]</w:t>
      </w:r>
    </w:p>
    <w:p>
      <w:pPr>
        <w:ind w:left="288"/>
      </w:pPr>
      <w:r>
        <w:rPr>
          <w:color w:val="8C8C8C"/>
          <w:sz w:val="12"/>
        </w:rPr>
        <w:t>cf-art-109</w:t>
      </w:r>
      <w:r>
        <w:rPr>
          <w:color w:val="003CA0"/>
          <w:sz w:val="12"/>
        </w:rPr>
        <w:t xml:space="preserve"> | RE 960.429</w:t>
      </w:r>
      <w:r>
        <w:rPr>
          <w:color w:val="003CA0"/>
          <w:sz w:val="12"/>
        </w:rPr>
        <w:t xml:space="preserve"> | rel. Gilmar Mendes</w:t>
      </w:r>
    </w:p>
    <w:p>
      <w:pPr>
        <w:ind w:left="288"/>
      </w:pPr>
      <w:r>
        <w:rPr>
          <w:color w:val="1E1E1E"/>
          <w:sz w:val="18"/>
        </w:rPr>
        <w:t>Compete à Justiça comum processar e julgar controvérsias relacionadas à fase pré-contratual de seleção e de admissão de pessoal e eventual nulidade do certame em face da Administração Pública, direta e indireta, nas hipóteses em que adotado o regime celetista de contratação de pessoal.</w:t>
      </w:r>
    </w:p>
    <w:p>
      <w:pPr>
        <w:ind w:left="288"/>
      </w:pPr>
      <w:r>
        <w:rPr>
          <w:b/>
          <w:color w:val="003CA0"/>
          <w:sz w:val="16"/>
        </w:rPr>
        <w:t>[RE 960.429, rel. min. Gilmar Mendes, j. 5-3-2020, P, DJE de 24-6-2020, Tema 992, com mérito julgado.]</w:t>
      </w:r>
    </w:p>
    <w:p>
      <w:pPr>
        <w:ind w:left="288"/>
      </w:pPr>
      <w:r>
        <w:rPr>
          <w:color w:val="8C8C8C"/>
          <w:sz w:val="12"/>
        </w:rPr>
        <w:t>cf-art-109</w:t>
      </w:r>
      <w:r>
        <w:rPr>
          <w:color w:val="003CA0"/>
          <w:sz w:val="12"/>
        </w:rPr>
        <w:t xml:space="preserve"> | RE 595.332</w:t>
      </w:r>
      <w:r>
        <w:rPr>
          <w:color w:val="003CA0"/>
          <w:sz w:val="12"/>
        </w:rPr>
        <w:t xml:space="preserve"> | rel. Marco Aurélio</w:t>
      </w:r>
    </w:p>
    <w:p>
      <w:pPr>
        <w:ind w:left="288"/>
      </w:pPr>
      <w:r>
        <w:rPr>
          <w:color w:val="1E1E1E"/>
          <w:sz w:val="18"/>
        </w:rPr>
        <w:t>Ante a natureza jurídica de autarquia corporativista, cumpre à Justiça Federal, a teor do disposto no art. 109,  I, da Carta da República, processar e julgar ações em que figure na relação processual quer o Conselho Federal da OAB, quer seccional.</w:t>
      </w:r>
    </w:p>
    <w:p>
      <w:pPr>
        <w:ind w:left="288"/>
      </w:pPr>
      <w:r>
        <w:rPr>
          <w:b/>
          <w:color w:val="003CA0"/>
          <w:sz w:val="16"/>
        </w:rPr>
        <w:t>[RE 595.332, rel. min. Marco Aurélio, j. 31-8-2016, P, DJE de 23-6-2017, Tema 258, com mérito julgado.]</w:t>
      </w:r>
    </w:p>
    <w:p>
      <w:pPr>
        <w:ind w:left="288"/>
      </w:pPr>
      <w:r>
        <w:rPr>
          <w:color w:val="8C8C8C"/>
          <w:sz w:val="12"/>
        </w:rPr>
        <w:t>cf-art-109</w:t>
      </w:r>
      <w:r>
        <w:rPr>
          <w:color w:val="003CA0"/>
          <w:sz w:val="12"/>
        </w:rPr>
        <w:t xml:space="preserve"> | RE 571.572</w:t>
      </w:r>
      <w:r>
        <w:rPr>
          <w:color w:val="003CA0"/>
          <w:sz w:val="12"/>
        </w:rPr>
        <w:t xml:space="preserve"> | rel. Gilmar Mendes</w:t>
      </w:r>
    </w:p>
    <w:p>
      <w:pPr>
        <w:ind w:left="288"/>
      </w:pPr>
      <w:r>
        <w:rPr>
          <w:color w:val="1E1E1E"/>
          <w:sz w:val="18"/>
        </w:rPr>
        <w:t>Telefonia. Cobrança de pulsos além da franquia. (...) Por não figurar na relação jurídica de consumo, a Agência Nacional de Telecomunicações (ANATEL) carece de legitimidade para compor o polo passivo de ação movida pelo particular, usuário do serviço de telefonia móvel, contra a concessionária. Ausente participação da autarquia federal, sob qualquer das hipóteses previstas no art. 109, I, da Constituição, a competência é da Justiça estadual. Em se tratando de demanda que se resolve pela análise de matéria exclusivamente de direito, a dispensar instrução complexa, cabível seu processamento no j</w:t>
      </w:r>
    </w:p>
    <w:p>
      <w:pPr>
        <w:ind w:left="288"/>
      </w:pPr>
      <w:r>
        <w:rPr>
          <w:b/>
          <w:color w:val="003CA0"/>
          <w:sz w:val="16"/>
        </w:rPr>
        <w:t>[ARE 1.549.574 AgR, rel. min. Nunes Marques, j. 25.08.2025, 2ª T, DJE de 03.10.2025.]</w:t>
      </w:r>
    </w:p>
    <w:p>
      <w:pPr>
        <w:ind w:left="144"/>
      </w:pPr>
      <w:r>
        <w:rPr>
          <w:b/>
          <w:color w:val="B45A00"/>
          <w:sz w:val="16"/>
        </w:rPr>
        <w:t>JULGADOS CORRELATOS</w:t>
      </w:r>
    </w:p>
    <w:p>
      <w:pPr>
        <w:ind w:left="288"/>
      </w:pPr>
      <w:r>
        <w:rPr>
          <w:color w:val="8C8C8C"/>
          <w:sz w:val="12"/>
        </w:rPr>
        <w:t>cf-art-109</w:t>
      </w:r>
      <w:r>
        <w:rPr>
          <w:color w:val="003CA0"/>
          <w:sz w:val="12"/>
        </w:rPr>
        <w:t xml:space="preserve"> | RE 874.538</w:t>
      </w:r>
      <w:r>
        <w:rPr>
          <w:color w:val="003CA0"/>
          <w:sz w:val="12"/>
        </w:rPr>
        <w:t xml:space="preserve"> | rel. Marco Aurélio</w:t>
      </w:r>
    </w:p>
    <w:p>
      <w:pPr>
        <w:ind w:left="288"/>
      </w:pPr>
      <w:r>
        <w:rPr>
          <w:color w:val="1E1E1E"/>
          <w:sz w:val="18"/>
        </w:rPr>
        <w:t>A cláusula constitucional reveladora da responsabilidade de manter a polícia do Distrito Federal não implica a obrigatoriedade da União relativamente aos servidores do Distrito Federal. Manter é alocar recursos e não atrai a legitimidade da União para, ante pretensão dos servidores, vir a responder por ações propostas, como disposto no art. 21, XIV, da Carta de 1988.</w:t>
      </w:r>
    </w:p>
    <w:p>
      <w:pPr>
        <w:ind w:left="288"/>
      </w:pPr>
      <w:r>
        <w:rPr>
          <w:b/>
          <w:color w:val="003CA0"/>
          <w:sz w:val="16"/>
        </w:rPr>
        <w:t>[RE 874.538 AgR, rel. min. Marco Aurélio, j. 29-3-2016, 1ª T, DJE de 29-4-2016.]</w:t>
      </w:r>
    </w:p>
    <w:p>
      <w:pPr>
        <w:ind w:left="288"/>
      </w:pPr>
      <w:r>
        <w:rPr>
          <w:color w:val="8C8C8C"/>
          <w:sz w:val="12"/>
        </w:rPr>
        <w:t>cf-art-109</w:t>
      </w:r>
      <w:r>
        <w:rPr>
          <w:color w:val="003CA0"/>
          <w:sz w:val="12"/>
        </w:rPr>
        <w:t xml:space="preserve"> | RE 698.440</w:t>
      </w:r>
      <w:r>
        <w:rPr>
          <w:color w:val="003CA0"/>
          <w:sz w:val="12"/>
        </w:rPr>
        <w:t xml:space="preserve"> | rel. Luiz Fux</w:t>
      </w:r>
    </w:p>
    <w:p>
      <w:pPr>
        <w:ind w:left="288"/>
      </w:pPr>
      <w:r>
        <w:rPr>
          <w:color w:val="1E1E1E"/>
          <w:sz w:val="18"/>
        </w:rPr>
        <w:t>Demora na expedição de diploma de conclusão de curso superior em instituição privada de ensino. Competência da Justiça Federal (art. 109, I, da CF). Existência de interesse da União. (...) As instituições de ensino superior, ainda que privadas, integram o Sistema Federal de Ensino, nos termos do que determina a Lei de Diretrizes e Bases da Educação (Lei 9.394/1996). (...) a Faculdade Vizinhança Vale do Iguaçu integra o Sistema Federal de Educação, patente é a existência de interesse da União, razão pela qual a competência para julgar e processar o feito é da Justiça Federal.</w:t>
      </w:r>
    </w:p>
    <w:p>
      <w:pPr>
        <w:ind w:left="288"/>
      </w:pPr>
      <w:r>
        <w:rPr>
          <w:b/>
          <w:color w:val="003CA0"/>
          <w:sz w:val="16"/>
        </w:rPr>
        <w:t>[RE 698.440 AgR, rel. min. Luiz Fux, j. 18-9-2012, 1ª T, DJE de 2-10-2012.]</w:t>
      </w:r>
    </w:p>
    <w:p>
      <w:pPr>
        <w:ind w:left="288"/>
      </w:pPr>
      <w:r>
        <w:rPr>
          <w:color w:val="8C8C8C"/>
          <w:sz w:val="12"/>
        </w:rPr>
        <w:t>cf-art-109</w:t>
      </w:r>
      <w:r>
        <w:rPr>
          <w:color w:val="003CA0"/>
          <w:sz w:val="12"/>
        </w:rPr>
        <w:t xml:space="preserve"> | ARE 754.849</w:t>
      </w:r>
      <w:r>
        <w:rPr>
          <w:color w:val="003CA0"/>
          <w:sz w:val="12"/>
        </w:rPr>
        <w:t xml:space="preserve"> | rel. Dias Toffoli</w:t>
      </w:r>
    </w:p>
    <w:p>
      <w:pPr>
        <w:ind w:left="288"/>
      </w:pPr>
      <w:r>
        <w:rPr>
          <w:color w:val="1E1E1E"/>
          <w:sz w:val="18"/>
        </w:rPr>
        <w:t>= ARE 754.849 AgR, rel. min. Dias Toffoli, j. 14-4-2015, 2ª T, DJE de 27-5-2015 (...) a jurisprudência desta Casa tem conferido interpretação estrita à competência insculpida na alínea r do inciso I do art. 102 da Carta Política, vinculando-a às hipóteses em que o CNJ, órgão do Poder Judiciário, teria personalidade judiciária para figurar no polo passivo da lide – mandados de segurança, habeas corpus, habeas data. Nas ações ordinárias ajuizadas contra a União – ente dotado de personalidade jurídica –, ainda que envolvendo discussão acerca de ato emanado do CNJ, a competência é da Justiça Feder</w:t>
      </w:r>
    </w:p>
    <w:p>
      <w:pPr>
        <w:ind w:left="288"/>
      </w:pPr>
      <w:r>
        <w:rPr>
          <w:b/>
          <w:color w:val="003CA0"/>
          <w:sz w:val="16"/>
        </w:rPr>
        <w:t>[AO 1.718, rel. min. Rosa Weber, j. 30-3-2012, dec. monocrática, DJE de 23-5-2012.]</w:t>
      </w:r>
    </w:p>
    <w:p>
      <w:pPr>
        <w:ind w:left="288"/>
      </w:pPr>
      <w:r>
        <w:rPr>
          <w:color w:val="8C8C8C"/>
          <w:sz w:val="12"/>
        </w:rPr>
        <w:t>cf-art-109</w:t>
      </w:r>
      <w:r>
        <w:rPr>
          <w:color w:val="003CA0"/>
          <w:sz w:val="12"/>
        </w:rPr>
        <w:t xml:space="preserve"> | RE 385.274</w:t>
      </w:r>
      <w:r>
        <w:rPr>
          <w:color w:val="003CA0"/>
          <w:sz w:val="12"/>
        </w:rPr>
        <w:t xml:space="preserve"> | rel. Marco Aurélio</w:t>
      </w:r>
    </w:p>
    <w:p>
      <w:pPr>
        <w:ind w:left="288"/>
      </w:pPr>
      <w:r>
        <w:rPr>
          <w:color w:val="1E1E1E"/>
          <w:sz w:val="18"/>
        </w:rPr>
        <w:t>(...) A simples possibilidade de ação em curso no juízo federal repercutir no resultado de certa lide em que figuram pessoas naturais e pessoa jurídica de direito privado não incluída no rol exaustivo do preceito constitucional não é suficiente à modificação da competência.</w:t>
      </w:r>
    </w:p>
    <w:p>
      <w:pPr>
        <w:ind w:left="288"/>
      </w:pPr>
      <w:r>
        <w:rPr>
          <w:b/>
          <w:color w:val="003CA0"/>
          <w:sz w:val="16"/>
        </w:rPr>
        <w:t>[RE 385.274, rel. min. Marco Aurélio, j. 10-5-2011, 1ª T, DJE de 8-6-2011.]</w:t>
      </w:r>
    </w:p>
    <w:p>
      <w:pPr>
        <w:ind w:left="288"/>
      </w:pPr>
      <w:r>
        <w:rPr>
          <w:color w:val="8C8C8C"/>
          <w:sz w:val="12"/>
        </w:rPr>
        <w:t>cf-art-109</w:t>
      </w:r>
      <w:r>
        <w:rPr>
          <w:color w:val="003CA0"/>
          <w:sz w:val="12"/>
        </w:rPr>
        <w:t xml:space="preserve"> | RCL 4.803</w:t>
      </w:r>
      <w:r>
        <w:rPr>
          <w:color w:val="003CA0"/>
          <w:sz w:val="12"/>
        </w:rPr>
        <w:t xml:space="preserve"> | rel. Dias Toffoli</w:t>
      </w:r>
    </w:p>
    <w:p>
      <w:pPr>
        <w:ind w:left="288"/>
      </w:pPr>
      <w:r>
        <w:rPr>
          <w:color w:val="1E1E1E"/>
          <w:sz w:val="18"/>
        </w:rPr>
        <w:t>A Ferrovia Paulista S.A. (FEPASA) foi incorporada pela Rede Ferroviária Federal S.A. (RFFSA), a qual, posteriormente, foi extinta, nos termos da Lei 11.483/2007, tendo sido sucedida pela União. Intervindo a União no feito, a teor do art. 109, I, da CF, é de se deslocar a competência para a Justiça Federal.</w:t>
      </w:r>
    </w:p>
    <w:p>
      <w:pPr>
        <w:ind w:left="288"/>
      </w:pPr>
      <w:r>
        <w:rPr>
          <w:b/>
          <w:color w:val="003CA0"/>
          <w:sz w:val="16"/>
        </w:rPr>
        <w:t>[Rcl 4.803 ED, rel. min. Dias Toffoli, j. 24-2-2011, P, DJE de 25-5-2011.]</w:t>
      </w:r>
    </w:p>
    <w:p>
      <w:pPr>
        <w:ind w:left="288"/>
      </w:pPr>
      <w:r>
        <w:rPr>
          <w:color w:val="8C8C8C"/>
          <w:sz w:val="12"/>
        </w:rPr>
        <w:t>cf-art-109</w:t>
      </w:r>
      <w:r>
        <w:rPr>
          <w:color w:val="003CA0"/>
          <w:sz w:val="12"/>
        </w:rPr>
        <w:t xml:space="preserve"> | ACO 1.281</w:t>
      </w:r>
      <w:r>
        <w:rPr>
          <w:color w:val="003CA0"/>
          <w:sz w:val="12"/>
        </w:rPr>
        <w:t xml:space="preserve"> | rel. Cármen Lúcia</w:t>
      </w:r>
    </w:p>
    <w:p>
      <w:pPr>
        <w:ind w:left="288"/>
      </w:pPr>
      <w:r>
        <w:rPr>
          <w:color w:val="1E1E1E"/>
          <w:sz w:val="18"/>
        </w:rPr>
        <w:t>Caracterizado o interesse da União na apuração de eventuais desvirtuamentos na execução do Programa Nacional de Fortalecimento da Agricultura Familiar (PRONAF), nos termos do art. 109, I, da CF, há que se reconhecer competência da Justiça Federal, instância na qual o MPF desempenha suas relevantes atribuições.</w:t>
      </w:r>
    </w:p>
    <w:p>
      <w:pPr>
        <w:ind w:left="288"/>
      </w:pPr>
      <w:r>
        <w:rPr>
          <w:b/>
          <w:color w:val="003CA0"/>
          <w:sz w:val="16"/>
        </w:rPr>
        <w:t>[ACO 1.281, voto da rel. min. Cármen Lúcia, j. 13-10-2010, P, DJE de 14-12-2010.]</w:t>
      </w:r>
    </w:p>
    <w:p>
      <w:pPr>
        <w:ind w:left="288"/>
      </w:pPr>
      <w:r>
        <w:rPr>
          <w:color w:val="8C8C8C"/>
          <w:sz w:val="12"/>
        </w:rPr>
        <w:t>cf-art-109</w:t>
      </w:r>
      <w:r>
        <w:rPr>
          <w:color w:val="003CA0"/>
          <w:sz w:val="12"/>
        </w:rPr>
        <w:t xml:space="preserve"> | RE 545.199</w:t>
      </w:r>
      <w:r>
        <w:rPr>
          <w:color w:val="003CA0"/>
          <w:sz w:val="12"/>
        </w:rPr>
        <w:t xml:space="preserve"> | rel. Ellen Gracie</w:t>
      </w:r>
    </w:p>
    <w:p>
      <w:pPr>
        <w:ind w:left="288"/>
      </w:pPr>
      <w:r>
        <w:rPr>
          <w:color w:val="1E1E1E"/>
          <w:sz w:val="18"/>
        </w:rPr>
        <w:t>O STF firmou sua jurisprudência no sentido de que, quando o INSS figurar como parte ou tiver interesse na matéria, a competência é da Justiça Federal.</w:t>
      </w:r>
    </w:p>
    <w:p>
      <w:pPr>
        <w:ind w:left="288"/>
      </w:pPr>
      <w:r>
        <w:rPr>
          <w:b/>
          <w:color w:val="003CA0"/>
          <w:sz w:val="16"/>
        </w:rPr>
        <w:t>[RE 545.199 AgR, rel. min. Ellen Gracie, j. 24-11-2009, 2ª T, DJE de 18-12-2009.]</w:t>
      </w:r>
    </w:p>
    <w:p>
      <w:pPr>
        <w:ind w:left="288"/>
      </w:pPr>
      <w:r>
        <w:rPr>
          <w:color w:val="8C8C8C"/>
          <w:sz w:val="12"/>
        </w:rPr>
        <w:t>cf-art-109</w:t>
      </w:r>
      <w:r>
        <w:rPr>
          <w:color w:val="003CA0"/>
          <w:sz w:val="12"/>
        </w:rPr>
        <w:t xml:space="preserve"> | RE 461.005</w:t>
      </w:r>
      <w:r>
        <w:rPr>
          <w:color w:val="003CA0"/>
          <w:sz w:val="12"/>
        </w:rPr>
        <w:t xml:space="preserve"> | rel. Ricardo Lewandowski</w:t>
      </w:r>
    </w:p>
    <w:p>
      <w:pPr>
        <w:ind w:left="288"/>
      </w:pPr>
      <w:r>
        <w:rPr>
          <w:color w:val="1E1E1E"/>
          <w:sz w:val="18"/>
        </w:rPr>
        <w:t>Vide RE 461.005, rel. min. Ricardo Lewandowski, j. 8-4-2008, 1ª T, DJE de 9-5-2008 Ação ordinária de reparação de danos. Empresa pública federal. Competência. Art. 109, I, da CF. Competência da Justiça Federal para processar e julgar ação de reparação de danos proposta por mutuário contra a Caixa Econômica Federal.</w:t>
      </w:r>
    </w:p>
    <w:p>
      <w:pPr>
        <w:ind w:left="288"/>
      </w:pPr>
      <w:r>
        <w:rPr>
          <w:b/>
          <w:color w:val="003CA0"/>
          <w:sz w:val="16"/>
        </w:rPr>
        <w:t>[RE 555.395 AgR, rel. min. Eros Grau, j. 10-2-2009, 2ª T, DJE de 13-3-2009.]</w:t>
      </w:r>
    </w:p>
    <w:p>
      <w:pPr>
        <w:ind w:left="288"/>
      </w:pPr>
      <w:r>
        <w:rPr>
          <w:color w:val="8C8C8C"/>
          <w:sz w:val="12"/>
        </w:rPr>
        <w:t>cf-art-109</w:t>
      </w:r>
      <w:r>
        <w:rPr>
          <w:color w:val="003CA0"/>
          <w:sz w:val="12"/>
        </w:rPr>
        <w:t xml:space="preserve"> | AI 577.142</w:t>
      </w:r>
      <w:r>
        <w:rPr>
          <w:color w:val="003CA0"/>
          <w:sz w:val="12"/>
        </w:rPr>
        <w:t xml:space="preserve"> | rel. Gilmar Mendes</w:t>
      </w:r>
    </w:p>
    <w:p>
      <w:pPr>
        <w:ind w:left="288"/>
      </w:pPr>
      <w:r>
        <w:rPr>
          <w:color w:val="1E1E1E"/>
          <w:sz w:val="18"/>
        </w:rPr>
        <w:t>Imposto de renda. União. Interesse na causa. Ausência. Capacidade tributária ativa. Estados-membros.</w:t>
      </w:r>
    </w:p>
    <w:p>
      <w:pPr>
        <w:ind w:left="288"/>
      </w:pPr>
      <w:r>
        <w:rPr>
          <w:b/>
          <w:color w:val="003CA0"/>
          <w:sz w:val="16"/>
        </w:rPr>
        <w:t>[AI 577.142 AgR, rel. min. Gilmar Mendes, j. 30-9-2008, 2ª T, DJE de 21-11-2008.]</w:t>
      </w:r>
    </w:p>
    <w:p>
      <w:pPr>
        <w:ind w:left="288"/>
      </w:pPr>
      <w:r>
        <w:rPr>
          <w:color w:val="8C8C8C"/>
          <w:sz w:val="12"/>
        </w:rPr>
        <w:t>cf-art-109</w:t>
      </w:r>
      <w:r>
        <w:rPr>
          <w:color w:val="003CA0"/>
          <w:sz w:val="12"/>
        </w:rPr>
        <w:t xml:space="preserve"> | RE 344.133</w:t>
      </w:r>
      <w:r>
        <w:rPr>
          <w:color w:val="003CA0"/>
          <w:sz w:val="12"/>
        </w:rPr>
        <w:t xml:space="preserve"> | rel. Marco Aurélio</w:t>
      </w:r>
    </w:p>
    <w:p>
      <w:pPr>
        <w:ind w:left="288"/>
      </w:pPr>
      <w:r>
        <w:rPr>
          <w:color w:val="1E1E1E"/>
          <w:sz w:val="18"/>
        </w:rPr>
        <w:t>Sob o ângulo da incompetência da Justiça comum, não há a alegada ofensa ao inciso I do art. 109 da CF. Define-se a competência pelas balizas da ação proposta. A inicial revela que, em momento algum, foi acionada a Universidade Federal Rural de Pernambuco. O cidadão (...), o recorrido, propôs ação indenizatória por danos morais contra o cidadão (...). Na espécie, pouco importa que o ato praticado por este último o tenha sido considerada certa qualificação profissional, a integração a órgão público federal.</w:t>
      </w:r>
    </w:p>
    <w:p>
      <w:pPr>
        <w:ind w:left="288"/>
      </w:pPr>
      <w:r>
        <w:rPr>
          <w:b/>
          <w:color w:val="003CA0"/>
          <w:sz w:val="16"/>
        </w:rPr>
        <w:t>[RE 344.133, voto do rel. min. Marco Aurélio, j. 9-9-2008, 1ª T, DJE de 14-11-2008.]</w:t>
      </w:r>
    </w:p>
    <w:p>
      <w:pPr>
        <w:ind w:left="288"/>
      </w:pPr>
      <w:r>
        <w:rPr>
          <w:color w:val="8C8C8C"/>
          <w:sz w:val="12"/>
        </w:rPr>
        <w:t>cf-art-109</w:t>
      </w:r>
      <w:r>
        <w:rPr>
          <w:color w:val="003CA0"/>
          <w:sz w:val="12"/>
        </w:rPr>
        <w:t xml:space="preserve"> | ADI 3.395</w:t>
      </w:r>
    </w:p>
    <w:p>
      <w:pPr>
        <w:ind w:left="288"/>
      </w:pPr>
      <w:r>
        <w:rPr>
          <w:color w:val="1E1E1E"/>
          <w:sz w:val="18"/>
        </w:rPr>
        <w:t>Servidores públicos. Regime temporário. Justiça do Trabalho. Incompetência. No julgamento da ADI 3.395 MC/DF, este Supremo Tribunal suspendeu toda e qualquer interpretação do inciso I do art. 114 da CF (na redação da EC 45/2004) que inserisse, na competência da Justiça do Trabalho, a apreciação de causas instauradas entre o poder público e seus servidores, a ele vinculados por típica relação de ordem estatutária ou de caráter jurídico-administrativo. As contratações temporárias para suprir os serviços públicos estão no âmbito de relação jurídico-administrativa, sendo competente para dirimir os</w:t>
      </w:r>
    </w:p>
    <w:p>
      <w:pPr>
        <w:ind w:left="288"/>
      </w:pPr>
      <w:r>
        <w:rPr>
          <w:b/>
          <w:color w:val="003CA0"/>
          <w:sz w:val="16"/>
        </w:rPr>
        <w:t>[Rcl 4.872, red. do ac. min. Menezes Direito, j. 21-8-2008, P, DJE de 7-11-2008.]</w:t>
      </w:r>
    </w:p>
    <w:p>
      <w:pPr>
        <w:ind w:left="288"/>
      </w:pPr>
      <w:r>
        <w:rPr>
          <w:color w:val="8C8C8C"/>
          <w:sz w:val="12"/>
        </w:rPr>
        <w:t>cf-art-109</w:t>
      </w:r>
      <w:r>
        <w:rPr>
          <w:color w:val="003CA0"/>
          <w:sz w:val="12"/>
        </w:rPr>
        <w:t xml:space="preserve"> | RE 461.005</w:t>
      </w:r>
      <w:r>
        <w:rPr>
          <w:color w:val="003CA0"/>
          <w:sz w:val="12"/>
        </w:rPr>
        <w:t xml:space="preserve"> | rel. Ricardo Lewandowski</w:t>
      </w:r>
    </w:p>
    <w:p>
      <w:pPr>
        <w:ind w:left="288"/>
      </w:pPr>
      <w:r>
        <w:rPr>
          <w:color w:val="1E1E1E"/>
          <w:sz w:val="18"/>
        </w:rPr>
        <w:t>Tratando-se de matéria de interesse do INSS, qual seja, a possibilidade ou não de acumulação de proventos da aposentadoria com o auxílio suplementar, a matéria refoge à competência da Justiça comum. Questão que não se enquadra na ressalva do art. 109, I, da CF, visto que não cuida exclusivamente de acidente do trabalho. Reconhecida a competência da Justiça Federal para julgar o feito.</w:t>
      </w:r>
    </w:p>
    <w:p>
      <w:pPr>
        <w:ind w:left="288"/>
      </w:pPr>
      <w:r>
        <w:rPr>
          <w:b/>
          <w:color w:val="003CA0"/>
          <w:sz w:val="16"/>
        </w:rPr>
        <w:t>[RE 461.005, rel. min. Ricardo Lewandowski, j. 8-4-2008, 1ª T, DJE de 9-5-2008.]</w:t>
      </w:r>
    </w:p>
    <w:p>
      <w:pPr>
        <w:ind w:left="288"/>
      </w:pPr>
      <w:r>
        <w:rPr>
          <w:color w:val="8C8C8C"/>
          <w:sz w:val="12"/>
        </w:rPr>
        <w:t>cf-art-109</w:t>
      </w:r>
      <w:r>
        <w:rPr>
          <w:color w:val="003CA0"/>
          <w:sz w:val="12"/>
        </w:rPr>
        <w:t xml:space="preserve"> | AI 609.855</w:t>
      </w:r>
      <w:r>
        <w:rPr>
          <w:color w:val="003CA0"/>
          <w:sz w:val="12"/>
        </w:rPr>
        <w:t xml:space="preserve"> | rel. Sepúlveda Pertence</w:t>
      </w:r>
    </w:p>
    <w:p>
      <w:pPr>
        <w:ind w:left="288"/>
      </w:pPr>
      <w:r>
        <w:rPr>
          <w:color w:val="1E1E1E"/>
          <w:sz w:val="18"/>
        </w:rPr>
        <w:t>Justiça Federal: competência para o exame dos reflexos de decisão trabalhista no período posterior à transformação do regime jurídico celetista para o estatutário. Precedentes. É da jurisprudência do Supremo Tribunal que a mudança do regime jurídico celetista para o estatutário acarreta a extinção do contrato de trabalho. A eventual extensão dos efeitos de decisão proferida pela Justiça do Trabalho – que é referente a questões do regime celetista – para período posterior à vigência do regime estatutário, onde não mais há relação de trabalho regida pela CLT, deve ser examinada pela Justiça Fede</w:t>
      </w:r>
    </w:p>
    <w:p>
      <w:pPr>
        <w:ind w:left="288"/>
      </w:pPr>
      <w:r>
        <w:rPr>
          <w:b/>
          <w:color w:val="003CA0"/>
          <w:sz w:val="16"/>
        </w:rPr>
        <w:t>[AI 609.855 AgR-ED, rel. min. Sepúlveda Pertence, j. 25-6-2007, 1ª T, DJ de 31-8-2007.]</w:t>
        <w:br/>
        <w:t>Vide ARE 1.001.075 RG, rel. min. Gilmar Mendes, j. 8-12-2016, P, DJE de 1º-2-2017, Tema 928</w:t>
      </w:r>
    </w:p>
    <w:p>
      <w:pPr>
        <w:ind w:left="288"/>
      </w:pPr>
      <w:r>
        <w:rPr>
          <w:color w:val="8C8C8C"/>
          <w:sz w:val="12"/>
        </w:rPr>
        <w:t>cf-art-109</w:t>
      </w:r>
      <w:r>
        <w:rPr>
          <w:color w:val="003CA0"/>
          <w:sz w:val="12"/>
        </w:rPr>
        <w:t xml:space="preserve"> | ADI 3.395.</w:t>
      </w:r>
      <w:r>
        <w:rPr>
          <w:color w:val="003CA0"/>
          <w:sz w:val="12"/>
        </w:rPr>
        <w:t xml:space="preserve"> | rel. Cármen Lúcia</w:t>
      </w:r>
    </w:p>
    <w:p>
      <w:pPr>
        <w:ind w:left="288"/>
      </w:pPr>
      <w:r>
        <w:rPr>
          <w:color w:val="1E1E1E"/>
          <w:sz w:val="18"/>
        </w:rPr>
        <w:t>Reclamação. Contrato temporário. Regime jurídico administrativo. Descumprimento da ADI 3.395. Competência da Justiça Federal. Contrato firmado entre a Anatel [Agência Nacional de Telecomunição] e a interessada tem natureza jurídica temporária e submete-se ao regime jurídico administrativo, nos moldes da Lei 8.745/1993; do inciso XXIII do art. 19 da Lei 9.472/1997 e do Decreto 2.424/1997. Incompetência da Justiça Trabalhista para o processamento e o julgamento das causas que envolvam o poder público e servidores que lhe sejam vinculados por relação jurídico-administrativa. Precedentes. Reclamaç</w:t>
      </w:r>
    </w:p>
    <w:p>
      <w:pPr>
        <w:ind w:left="288"/>
      </w:pPr>
      <w:r>
        <w:rPr>
          <w:b/>
          <w:color w:val="003CA0"/>
          <w:sz w:val="16"/>
        </w:rPr>
        <w:t>[Rcl 4.762, rel. min. Cármen Lúcia, j. 2-3-2007, 1ª T, DJ de 23-3-2007.]</w:t>
      </w:r>
    </w:p>
    <w:p>
      <w:pPr>
        <w:ind w:left="288"/>
      </w:pPr>
      <w:r>
        <w:rPr>
          <w:color w:val="8C8C8C"/>
          <w:sz w:val="12"/>
        </w:rPr>
        <w:t>cf-art-109</w:t>
      </w:r>
      <w:r>
        <w:rPr>
          <w:color w:val="003CA0"/>
          <w:sz w:val="12"/>
        </w:rPr>
        <w:t xml:space="preserve"> | RCL 5.171</w:t>
      </w:r>
      <w:r>
        <w:rPr>
          <w:color w:val="003CA0"/>
          <w:sz w:val="12"/>
        </w:rPr>
        <w:t xml:space="preserve"> | rel. Cármen Lúcia</w:t>
      </w:r>
    </w:p>
    <w:p>
      <w:pPr>
        <w:ind w:left="288"/>
      </w:pPr>
      <w:r>
        <w:rPr>
          <w:color w:val="1E1E1E"/>
          <w:sz w:val="18"/>
        </w:rPr>
        <w:t>= Rcl 5.171, rel. min. Cármen Lúcia, j. 21-8-2008, P, DJE de 3-10-2008 Sobre a competência, está pacificado o entendimento de que não havendo interesse jurídico da União Federal no feito, como no presente caso, em se tratando de empresa concessionária de serviço público e particular, a competência é da Justiça estadual, v.g., AI 388.982 AgR, 1º-10-2002, Segunda Turma, Velloso; e RE 210.148, 5-5-1998, Primeira Turma, Gallotti.</w:t>
      </w:r>
    </w:p>
    <w:p>
      <w:pPr>
        <w:ind w:left="288"/>
      </w:pPr>
      <w:r>
        <w:rPr>
          <w:b/>
          <w:color w:val="003CA0"/>
          <w:sz w:val="16"/>
        </w:rPr>
        <w:t>[AI 607.035 AgR, voto do rel. min. Sepúlveda Pertence, j. 12-12-2006, 1ª T, DJ de 9-2-2007.]</w:t>
      </w:r>
    </w:p>
    <w:p>
      <w:pPr>
        <w:ind w:left="288"/>
      </w:pPr>
      <w:r>
        <w:rPr>
          <w:color w:val="8C8C8C"/>
          <w:sz w:val="12"/>
        </w:rPr>
        <w:t>cf-art-109</w:t>
      </w:r>
      <w:r>
        <w:rPr>
          <w:color w:val="003CA0"/>
          <w:sz w:val="12"/>
        </w:rPr>
        <w:t xml:space="preserve"> | AI 775.333</w:t>
      </w:r>
      <w:r>
        <w:rPr>
          <w:color w:val="003CA0"/>
          <w:sz w:val="12"/>
        </w:rPr>
        <w:t xml:space="preserve"> | rel. Ricardo Lewandowski</w:t>
      </w:r>
    </w:p>
    <w:p>
      <w:pPr>
        <w:ind w:left="288"/>
      </w:pPr>
      <w:r>
        <w:rPr>
          <w:color w:val="1E1E1E"/>
          <w:sz w:val="18"/>
        </w:rPr>
        <w:t>= AI 775.333 AgR, rel. min. Ricardo Lewandowski, j. 8-2-2011, 1ª T, DJE de 10-3-2011 Competência da Justiça estadual. Sebrae [Serviço Brasileiro de Apoio às Micro e Pequenas Empresas]. Personalidade de entidade privada. Precedente da Primeira Turma.</w:t>
      </w:r>
    </w:p>
    <w:p>
      <w:pPr>
        <w:ind w:left="288"/>
      </w:pPr>
      <w:r>
        <w:rPr>
          <w:b/>
          <w:color w:val="003CA0"/>
          <w:sz w:val="16"/>
        </w:rPr>
        <w:t>[RE 414.375, rel. min. Gilmar Mendes, j. 31-10-2006, 2ª T, DJ de 1º-12-2006.]</w:t>
      </w:r>
    </w:p>
    <w:p>
      <w:pPr>
        <w:ind w:left="288"/>
      </w:pPr>
      <w:r>
        <w:rPr>
          <w:color w:val="8C8C8C"/>
          <w:sz w:val="12"/>
        </w:rPr>
        <w:t>cf-art-109</w:t>
      </w:r>
      <w:r>
        <w:rPr>
          <w:color w:val="003CA0"/>
          <w:sz w:val="12"/>
        </w:rPr>
        <w:t xml:space="preserve"> | RE 366.168</w:t>
      </w:r>
      <w:r>
        <w:rPr>
          <w:color w:val="003CA0"/>
          <w:sz w:val="12"/>
        </w:rPr>
        <w:t xml:space="preserve"> | rel. Sepúlveda Pertence</w:t>
      </w:r>
    </w:p>
    <w:p>
      <w:pPr>
        <w:ind w:left="288"/>
      </w:pPr>
      <w:r>
        <w:rPr>
          <w:color w:val="1E1E1E"/>
          <w:sz w:val="18"/>
        </w:rPr>
        <w:t>= RE 366.168, rel. min. Sepúlveda Pertence, j. 3-2-2004, 1ª T, DJ de 14-5-2004 A circunstância de o paciente, simples motorista da polícia federal, utilizar-se de apetrechos subtraídos da instituição, para a prática do crime de extorsão mediante sequestro, não atrai a competência da Justiça Federal, porquanto não há ofensa a bens, serviços ou interesse da União. Situação diversa é a que respeita ao delito de peculato, pelo qual, aliás, o paciente foi condenado.</w:t>
      </w:r>
    </w:p>
    <w:p>
      <w:pPr>
        <w:ind w:left="288"/>
      </w:pPr>
      <w:r>
        <w:rPr>
          <w:b/>
          <w:color w:val="003CA0"/>
          <w:sz w:val="16"/>
        </w:rPr>
        <w:t>[HC 87.376, rel. min. Eros Grau, j. 7-3-2006, 1ª T, DJ de 24-3-2006.]</w:t>
      </w:r>
    </w:p>
    <w:p>
      <w:pPr>
        <w:ind w:left="288"/>
      </w:pPr>
      <w:r>
        <w:rPr>
          <w:color w:val="8C8C8C"/>
          <w:sz w:val="12"/>
        </w:rPr>
        <w:t>cf-art-109</w:t>
      </w:r>
      <w:r>
        <w:rPr>
          <w:color w:val="003CA0"/>
          <w:sz w:val="12"/>
        </w:rPr>
        <w:t xml:space="preserve"> | rel. Ayres Britto</w:t>
      </w:r>
    </w:p>
    <w:p>
      <w:pPr>
        <w:ind w:left="288"/>
      </w:pPr>
      <w:r>
        <w:rPr>
          <w:color w:val="1E1E1E"/>
          <w:sz w:val="18"/>
        </w:rPr>
        <w:t xml:space="preserve">Numa primeira interpretação do inciso I do art. 109 da Carta de Outubro, o STF entendeu que as ações de indenização por danos morais e patrimoniais decorrentes de acidente do trabalho, ainda que movidas pelo empregado contra seu (ex-)empregador, eram da competência da Justiça comum dos Estados-membros. Revisando a matéria, porém, o Plenário concluiu que a Lei Republicana de 1988 conferiu tal competência à Justiça do Trabalho. Seja porque o art. 114, já em sua redação originária, assim deixava transparecer, seja porque aquela primeira interpretação do mencionado inciso I do art. 109 estava, em </w:t>
      </w:r>
    </w:p>
    <w:p>
      <w:pPr>
        <w:ind w:left="288"/>
      </w:pPr>
      <w:r>
        <w:rPr>
          <w:b/>
          <w:color w:val="003CA0"/>
          <w:sz w:val="16"/>
        </w:rPr>
        <w:t>[CC 7.204, rel. min. Ayres Britto, j. 29-6-2005, P, DJ de 9-12-2005.]</w:t>
      </w:r>
    </w:p>
    <w:p>
      <w:pPr>
        <w:ind w:left="288"/>
      </w:pPr>
      <w:r>
        <w:rPr>
          <w:color w:val="8C8C8C"/>
          <w:sz w:val="12"/>
        </w:rPr>
        <w:t>cf-art-109</w:t>
      </w:r>
      <w:r>
        <w:rPr>
          <w:color w:val="003CA0"/>
          <w:sz w:val="12"/>
        </w:rPr>
        <w:t xml:space="preserve"> | RE 144.880</w:t>
      </w:r>
      <w:r>
        <w:rPr>
          <w:color w:val="003CA0"/>
          <w:sz w:val="12"/>
        </w:rPr>
        <w:t xml:space="preserve"> | rel. Eros Grau</w:t>
      </w:r>
    </w:p>
    <w:p>
      <w:pPr>
        <w:ind w:left="288"/>
      </w:pPr>
      <w:r>
        <w:rPr>
          <w:color w:val="1E1E1E"/>
          <w:sz w:val="18"/>
        </w:rPr>
        <w:t>= CC 7.545, rel. min. Eros Grau, j. 3-6-2009, P, DJE de 14-8-2009 A competência para processar e julgar recurso interposto pela União Federal, contra decisão de magistrado estadual, no exercício da jurisdição local, que não reconheceu a existência de interesse federal na causa e nem determinou a remessa do respectivo processo à Justiça Federal, pertence ao TRF (órgão judiciário de segundo grau da Justiça Federal comum), a quem incumbe examinar o recurso e, se for o caso, invalidar o ato decisório que se apresenta eivado de nulidade, por incompetência absoluta de seu prolator. Precedentes.</w:t>
      </w:r>
    </w:p>
    <w:p>
      <w:pPr>
        <w:ind w:left="288"/>
      </w:pPr>
      <w:r>
        <w:rPr>
          <w:b/>
          <w:color w:val="003CA0"/>
          <w:sz w:val="16"/>
        </w:rPr>
        <w:t>[RE 144.880, rel. min. Celso de Mello, j. 31-10-2000, 1ª T, DJ de 2-3-2001.]</w:t>
      </w:r>
    </w:p>
    <w:p>
      <w:pPr>
        <w:ind w:left="288"/>
      </w:pPr>
      <w:r>
        <w:rPr>
          <w:color w:val="8C8C8C"/>
          <w:sz w:val="12"/>
        </w:rPr>
        <w:t>cf-art-109</w:t>
      </w:r>
      <w:r>
        <w:rPr>
          <w:color w:val="003CA0"/>
          <w:sz w:val="12"/>
        </w:rPr>
        <w:t xml:space="preserve"> | AI 789.492</w:t>
      </w:r>
      <w:r>
        <w:rPr>
          <w:color w:val="003CA0"/>
          <w:sz w:val="12"/>
        </w:rPr>
        <w:t xml:space="preserve"> | rel. Ellen Gracie</w:t>
      </w:r>
    </w:p>
    <w:p>
      <w:pPr>
        <w:ind w:left="288"/>
      </w:pPr>
      <w:r>
        <w:rPr>
          <w:color w:val="1E1E1E"/>
          <w:sz w:val="18"/>
        </w:rPr>
        <w:t xml:space="preserve">= AI 789.492 AgR, rel. min. Ellen Gracie, j. 17-8-2010, 2ª T, DJE de 3-9-2010 O dispositivo contido na parte final do § 3º do art. 109 da Constituição é dirigido ao legislador ordinário, autorizando-o a atribuir competência (rectius jurisdição) ao juízo estadual do foro do domicílio da outra parte ou do lugar do ato ou fato que deu origem à demanda, desde que não seja sede de varas da Justiça Federal, para causas específicas dentre as previstas no inciso I do referido art. 109. (...) Considerando que o juiz federal também tem competência territorial e funcional sobre o local de qualquer dano, </w:t>
      </w:r>
    </w:p>
    <w:p>
      <w:pPr>
        <w:ind w:left="288"/>
      </w:pPr>
      <w:r>
        <w:rPr>
          <w:b/>
          <w:color w:val="003CA0"/>
          <w:sz w:val="16"/>
        </w:rPr>
        <w:t>[RE 228.955, rel. min. Ilmar Galvão, j. 10-2-2000, P, DJ de 24-3-2000.]</w:t>
      </w:r>
    </w:p>
    <w:p>
      <w:pPr>
        <w:ind w:left="288"/>
      </w:pPr>
      <w:r>
        <w:rPr>
          <w:color w:val="8C8C8C"/>
          <w:sz w:val="12"/>
        </w:rPr>
        <w:t>cf-art-109</w:t>
      </w:r>
      <w:r>
        <w:rPr>
          <w:color w:val="003CA0"/>
          <w:sz w:val="12"/>
        </w:rPr>
        <w:t xml:space="preserve"> | RE 172.708</w:t>
      </w:r>
      <w:r>
        <w:rPr>
          <w:color w:val="003CA0"/>
          <w:sz w:val="12"/>
        </w:rPr>
        <w:t xml:space="preserve"> | rel. Moreira Alves</w:t>
      </w:r>
    </w:p>
    <w:p>
      <w:pPr>
        <w:ind w:left="288"/>
      </w:pPr>
      <w:r>
        <w:rPr>
          <w:color w:val="1E1E1E"/>
          <w:sz w:val="18"/>
        </w:rPr>
        <w:t>Sendo ratione personae a competência prevista no art. 109, I, da Constituição, e não integrando a União a presente vistoria ad perpetuam rei memoriam na qualidade de autora, ré, assistente ou opoente, inexiste ofensa ao citado dispositivo constitucional, porquanto a simples alegação da existência de interesse da União feita pela ora recorrente não desloca, só por isso, a competência para a Justiça Federal.</w:t>
      </w:r>
    </w:p>
    <w:p>
      <w:pPr>
        <w:ind w:left="288"/>
      </w:pPr>
      <w:r>
        <w:rPr>
          <w:b/>
          <w:color w:val="003CA0"/>
          <w:sz w:val="16"/>
        </w:rPr>
        <w:t>[RE 172.708, rel. min. Moreira Alves, j. 28-9-1999, 1ª T, DJ de 12-11-1999.]</w:t>
      </w:r>
    </w:p>
    <w:p>
      <w:pPr>
        <w:ind w:left="288"/>
      </w:pPr>
      <w:r>
        <w:rPr>
          <w:color w:val="8C8C8C"/>
          <w:sz w:val="12"/>
        </w:rPr>
        <w:t>cf-art-109</w:t>
      </w:r>
      <w:r>
        <w:rPr>
          <w:color w:val="003CA0"/>
          <w:sz w:val="12"/>
        </w:rPr>
        <w:t xml:space="preserve"> | AI 814.728</w:t>
      </w:r>
      <w:r>
        <w:rPr>
          <w:color w:val="003CA0"/>
          <w:sz w:val="12"/>
        </w:rPr>
        <w:t xml:space="preserve"> | rel. Ricardo Lewandowski</w:t>
      </w:r>
    </w:p>
    <w:p>
      <w:pPr>
        <w:ind w:left="288"/>
      </w:pPr>
      <w:r>
        <w:rPr>
          <w:color w:val="1E1E1E"/>
          <w:sz w:val="18"/>
        </w:rPr>
        <w:t>= AI 814.728 AgR, rel. min. Ricardo Lewandowski, j. 8-2-2011, 1ª T, DJE de 10-3-2011 A Fundação Nacional do Índio (FUNAI) constitui pessoa jurídica de direito público interno. (...) Tratando-se de entidade autárquica instituída pela União Federal, torna-se evidente que, nas causas contra ela instauradas, incide, de maneira plena, a regra constitucional de competência da Justiça Federal inscrita no art. 109, I, da Carta Política.</w:t>
      </w:r>
    </w:p>
    <w:p>
      <w:pPr>
        <w:ind w:left="288"/>
      </w:pPr>
      <w:r>
        <w:rPr>
          <w:b/>
          <w:color w:val="003CA0"/>
          <w:sz w:val="16"/>
        </w:rPr>
        <w:t>[RE 183.188, rel. min. Celso de Mello, j. 10-12-1996, 1ª T, DJ de 14-2-1997.]</w:t>
      </w:r>
    </w:p>
    <w:p>
      <w:pPr>
        <w:ind w:left="288"/>
      </w:pPr>
      <w:r>
        <w:rPr>
          <w:color w:val="8C8C8C"/>
          <w:sz w:val="12"/>
        </w:rPr>
        <w:t>cf-art-109</w:t>
      </w:r>
      <w:r>
        <w:rPr>
          <w:color w:val="003CA0"/>
          <w:sz w:val="12"/>
        </w:rPr>
        <w:t xml:space="preserve"> | HC 71.247</w:t>
      </w:r>
      <w:r>
        <w:rPr>
          <w:color w:val="003CA0"/>
          <w:sz w:val="12"/>
        </w:rPr>
        <w:t xml:space="preserve"> | rel. Celso de Mello</w:t>
      </w:r>
    </w:p>
    <w:p>
      <w:pPr>
        <w:ind w:left="288"/>
      </w:pPr>
      <w:r>
        <w:rPr>
          <w:color w:val="1E1E1E"/>
          <w:sz w:val="18"/>
        </w:rPr>
        <w:t>Os delitos cometidos contra o patrimônio da Caixa Econômica Federal – que é empresa pública da União – submetem-se à competência penal da Justiça Federal comum ou ordinária. Trata-se de competência estabelecida ratione personae pela Constituição da República. O Poder Judiciário do Estado-membro, em consequência, é absolutamente incompetente para processar e julgar crime de roubo praticado contra a Caixa Econômica Federal.</w:t>
      </w:r>
    </w:p>
    <w:p>
      <w:pPr>
        <w:ind w:left="288"/>
      </w:pPr>
      <w:r>
        <w:rPr>
          <w:b/>
          <w:color w:val="003CA0"/>
          <w:sz w:val="16"/>
        </w:rPr>
        <w:t>[HC 71.247, rel. min. Celso de Mello, j. 29-11-1994, 1ª T, DJE de 23-5-2008.]</w:t>
      </w:r>
    </w:p>
    <w:p>
      <w:pPr>
        <w:ind w:left="288"/>
      </w:pPr>
      <w:r>
        <w:rPr>
          <w:color w:val="8C8C8C"/>
          <w:sz w:val="12"/>
        </w:rPr>
        <w:t>cf-art-109-inc-II</w:t>
      </w:r>
      <w:r>
        <w:rPr>
          <w:color w:val="003CA0"/>
          <w:sz w:val="12"/>
        </w:rPr>
        <w:t xml:space="preserve"> | RCL 10.920</w:t>
      </w:r>
      <w:r>
        <w:rPr>
          <w:color w:val="003CA0"/>
          <w:sz w:val="12"/>
        </w:rPr>
        <w:t xml:space="preserve"> | rel. Celso de Mello</w:t>
      </w:r>
    </w:p>
    <w:p>
      <w:pPr>
        <w:ind w:left="288"/>
      </w:pPr>
      <w:r>
        <w:rPr>
          <w:color w:val="1E1E1E"/>
          <w:sz w:val="18"/>
        </w:rPr>
        <w:t>(...) inocorre, nos processos ora indicados, qualquer situação configuradora de usurpação da competência do STF, eis que as causas instauradas entre Estado estrangeiro, de um lado, e Municípios brasileiros, de outro, não se incluem na esfera de competência originária desta Suprema Corte, subsumindo-se, antes, ao âmbito das atribuições jurisdicionais dos magistrados federais de primeiro grau, consoante prescreve, em regra explícita de competência, a própria Constituição da República (CF, art. 109, II).</w:t>
      </w:r>
    </w:p>
    <w:p>
      <w:pPr>
        <w:ind w:left="288"/>
      </w:pPr>
      <w:r>
        <w:rPr>
          <w:b/>
          <w:color w:val="003CA0"/>
          <w:sz w:val="16"/>
        </w:rPr>
        <w:t>[Rcl 10.920 MC, rel. min. Celso de Mello, j. 1º-9-2011, dec. monocrática, DJE de 8-9-2011.]</w:t>
      </w:r>
    </w:p>
    <w:p>
      <w:pPr>
        <w:ind w:left="288"/>
      </w:pPr>
      <w:r>
        <w:rPr>
          <w:color w:val="8C8C8C"/>
          <w:sz w:val="12"/>
        </w:rPr>
        <w:t>cf-art-109-inc-III</w:t>
      </w:r>
    </w:p>
    <w:p>
      <w:pPr>
        <w:ind w:left="288"/>
      </w:pPr>
      <w:r>
        <w:rPr>
          <w:color w:val="1E1E1E"/>
          <w:sz w:val="18"/>
        </w:rPr>
        <w:t>IV - os crimes políticos e as infrações penais praticadas em detrimento de bens, serviços ou interesse da União ou de suas entidades autárquicas ou empresas públicas, excluídas as contravenções e ressalvada a competência da Justiça Militar e da Justiça Eleitoral;</w:t>
      </w:r>
    </w:p>
    <w:p>
      <w:pPr>
        <w:ind w:left="144"/>
      </w:pPr>
      <w:r>
        <w:rPr>
          <w:b/>
          <w:color w:val="B45A00"/>
          <w:sz w:val="16"/>
        </w:rPr>
        <w:t>REPERCUSSAO GERAL</w:t>
      </w:r>
    </w:p>
    <w:p>
      <w:pPr>
        <w:ind w:left="288"/>
      </w:pPr>
      <w:r>
        <w:rPr>
          <w:color w:val="8C8C8C"/>
          <w:sz w:val="12"/>
        </w:rPr>
        <w:t>cf-art-109-inc-III</w:t>
      </w:r>
      <w:r>
        <w:rPr>
          <w:color w:val="003CA0"/>
          <w:sz w:val="12"/>
        </w:rPr>
        <w:t xml:space="preserve"> | RE 835.558</w:t>
      </w:r>
      <w:r>
        <w:rPr>
          <w:color w:val="003CA0"/>
          <w:sz w:val="12"/>
        </w:rPr>
        <w:t xml:space="preserve"> | rel. Luiz Fux</w:t>
      </w:r>
    </w:p>
    <w:p>
      <w:pPr>
        <w:ind w:left="288"/>
      </w:pPr>
      <w:r>
        <w:rPr>
          <w:color w:val="1E1E1E"/>
          <w:sz w:val="18"/>
        </w:rPr>
        <w:t>Atrai a competência da Justiça Federal a natureza transnacional do delito ambiental de exportação de animais silvestres, nos termos do art. 109, IV, da CF/1988.</w:t>
        <w:br/>
        <w:t>[RE 835.558, rel. min. Luiz Fux, j. 9-2-2017, P, DJE de 8-8-2017, Tema 648, com mérito julgado.] A jurisprudência do STF, firmada no Tema nº 648 da Repercussão Geral (RE nº 835.558/SP), estabelece que a competência da Justiça Federal para julgar crimes ambientais depende da presença de interesse direto e específico da União ou da transnacionalidade da conduta delituosa. A mera inclusão de espécie vegetal em lista oficial de ameaçadas d</w:t>
      </w:r>
    </w:p>
    <w:p>
      <w:pPr>
        <w:ind w:left="288"/>
      </w:pPr>
      <w:r>
        <w:rPr>
          <w:b/>
          <w:color w:val="003CA0"/>
          <w:sz w:val="16"/>
        </w:rPr>
        <w:t>[HC 261.398 AgR, rel. min. André Mendonça, j. 13.10.2025, 2ª T, DJE de 28.10.2025.]</w:t>
      </w:r>
    </w:p>
    <w:p>
      <w:pPr>
        <w:ind w:left="144"/>
      </w:pPr>
      <w:r>
        <w:rPr>
          <w:b/>
          <w:color w:val="B45A00"/>
          <w:sz w:val="16"/>
        </w:rPr>
        <w:t>JULGADOS CORRELATOS</w:t>
      </w:r>
    </w:p>
    <w:p>
      <w:pPr>
        <w:ind w:left="288"/>
      </w:pPr>
      <w:r>
        <w:rPr>
          <w:color w:val="8C8C8C"/>
          <w:sz w:val="12"/>
        </w:rPr>
        <w:t>cf-art-109-inc-III</w:t>
      </w:r>
      <w:r>
        <w:rPr>
          <w:color w:val="003CA0"/>
          <w:sz w:val="12"/>
        </w:rPr>
        <w:t xml:space="preserve"> | HC 105.461</w:t>
      </w:r>
      <w:r>
        <w:rPr>
          <w:color w:val="003CA0"/>
          <w:sz w:val="12"/>
        </w:rPr>
        <w:t xml:space="preserve"> | rel. Marco Aurélio</w:t>
      </w:r>
    </w:p>
    <w:p>
      <w:pPr>
        <w:ind w:left="288"/>
      </w:pPr>
      <w:r>
        <w:rPr>
          <w:color w:val="1E1E1E"/>
          <w:sz w:val="18"/>
        </w:rPr>
        <w:t>O cometimento de crime por brasileiro no exterior, por si só, não atrai a competência da Justiça Federal, sendo neutra, para tal fim, a prática de atos preparatórios no território nacional.</w:t>
      </w:r>
    </w:p>
    <w:p>
      <w:pPr>
        <w:ind w:left="288"/>
      </w:pPr>
      <w:r>
        <w:rPr>
          <w:b/>
          <w:color w:val="003CA0"/>
          <w:sz w:val="16"/>
        </w:rPr>
        <w:t>[HC 105.461, rel. min. Marco Aurélio, j. 29-3-2016, 1ª T, DJE de 2-8-2016.]</w:t>
      </w:r>
    </w:p>
    <w:p>
      <w:pPr>
        <w:ind w:left="288"/>
      </w:pPr>
      <w:r>
        <w:rPr>
          <w:color w:val="8C8C8C"/>
          <w:sz w:val="12"/>
        </w:rPr>
        <w:t>cf-art-109-inc-III</w:t>
      </w:r>
      <w:r>
        <w:rPr>
          <w:color w:val="003CA0"/>
          <w:sz w:val="12"/>
        </w:rPr>
        <w:t xml:space="preserve"> | HC 83.113</w:t>
      </w:r>
      <w:r>
        <w:rPr>
          <w:color w:val="003CA0"/>
          <w:sz w:val="12"/>
        </w:rPr>
        <w:t xml:space="preserve"> | rel. Celso de Mello</w:t>
      </w:r>
    </w:p>
    <w:p>
      <w:pPr>
        <w:ind w:left="288"/>
      </w:pPr>
      <w:r>
        <w:rPr>
          <w:color w:val="1E1E1E"/>
          <w:sz w:val="18"/>
        </w:rPr>
        <w:t>Vide HC 83.113 QO, voto do rel. min. Celso de Mello, j. 26-6-2003, P, DJ de 29-8-2003 Competência. Homicídio qualificado. Formação de quadrilha. Crime praticado para evitar que a vítima prestasse depoimento no Conselho de Defesa dos Direitos da Pessoa Humana. Órgão vinculado ao Ministério da Justiça. Interesse da União comprovado. Competência da Justiça Federal.</w:t>
      </w:r>
    </w:p>
    <w:p>
      <w:pPr>
        <w:ind w:left="288"/>
      </w:pPr>
      <w:r>
        <w:rPr>
          <w:b/>
          <w:color w:val="003CA0"/>
          <w:sz w:val="16"/>
        </w:rPr>
        <w:t>[HC 107.156, rel. min. Cármen Lúcia, j. 8-5-2012, 1ª T, DJE de 1º-8-2012.]</w:t>
      </w:r>
    </w:p>
    <w:p>
      <w:pPr>
        <w:ind w:left="288"/>
      </w:pPr>
      <w:r>
        <w:rPr>
          <w:color w:val="8C8C8C"/>
          <w:sz w:val="12"/>
        </w:rPr>
        <w:t>cf-art-109-inc-III</w:t>
      </w:r>
      <w:r>
        <w:rPr>
          <w:color w:val="003CA0"/>
          <w:sz w:val="12"/>
        </w:rPr>
        <w:t xml:space="preserve"> | HC 93.938</w:t>
      </w:r>
      <w:r>
        <w:rPr>
          <w:color w:val="003CA0"/>
          <w:sz w:val="12"/>
        </w:rPr>
        <w:t xml:space="preserve"> | rel. Luiz Fux</w:t>
      </w:r>
    </w:p>
    <w:p>
      <w:pPr>
        <w:ind w:left="288"/>
      </w:pPr>
      <w:r>
        <w:rPr>
          <w:color w:val="1E1E1E"/>
          <w:sz w:val="18"/>
        </w:rPr>
        <w:t>Falsificação de documento público, falsidade ideológica e uso de documento falso. Diploma e certificado de conclusão de curso superior em instituição privada de ensino falsos. Apresentação para fins de obtenção de registro profissional no Conselho Regional de Administração (CRA). Competência da Justiça Federal. (...) O uso de documento falso de instituição privada de ensino superior, com o fato de apresentá-lo ao órgão de fiscalização profissional federal, é delito cognoscível pela Justiça Federal, que ostenta, para o caso concreto, competência absoluta. (...) Considerando que o diploma falsif</w:t>
      </w:r>
    </w:p>
    <w:p>
      <w:pPr>
        <w:ind w:left="288"/>
      </w:pPr>
      <w:r>
        <w:rPr>
          <w:b/>
          <w:color w:val="003CA0"/>
          <w:sz w:val="16"/>
        </w:rPr>
        <w:t>[HC 93.938, rel. min. Luiz Fux, j. 25-10-2011, 1ª T, DJE de 23-11-2011.]</w:t>
      </w:r>
    </w:p>
    <w:p>
      <w:pPr>
        <w:ind w:left="288"/>
      </w:pPr>
      <w:r>
        <w:rPr>
          <w:color w:val="8C8C8C"/>
          <w:sz w:val="12"/>
        </w:rPr>
        <w:t>cf-art-109-inc-III</w:t>
      </w:r>
      <w:r>
        <w:rPr>
          <w:color w:val="003CA0"/>
          <w:sz w:val="12"/>
        </w:rPr>
        <w:t xml:space="preserve"> | ACO 979</w:t>
      </w:r>
      <w:r>
        <w:rPr>
          <w:color w:val="003CA0"/>
          <w:sz w:val="12"/>
        </w:rPr>
        <w:t xml:space="preserve"> | rel. Ellen Gracie</w:t>
      </w:r>
    </w:p>
    <w:p>
      <w:pPr>
        <w:ind w:left="288"/>
      </w:pPr>
      <w:r>
        <w:rPr>
          <w:color w:val="1E1E1E"/>
          <w:sz w:val="18"/>
        </w:rPr>
        <w:t>A presença de sociedade de economia mista em procedimento investigatório não acarreta, por si só, na presunção de violação de interesse, econômico ou jurídico, da União. Para adequada definição de atribuições entre o MPF e o Ministério Público estadual impõe-se, em conformidade com o art. 109, I e IV, da CF, a adequada delimitação da natureza cível ou criminal da matéria envolvida.</w:t>
      </w:r>
    </w:p>
    <w:p>
      <w:pPr>
        <w:ind w:left="288"/>
      </w:pPr>
      <w:r>
        <w:rPr>
          <w:b/>
          <w:color w:val="003CA0"/>
          <w:sz w:val="16"/>
        </w:rPr>
        <w:t>[ACO 979, rel. min. Ellen Gracie, j. 4-8-2011, P, DJE de 23-8-2011.]</w:t>
      </w:r>
    </w:p>
    <w:p>
      <w:pPr>
        <w:ind w:left="288"/>
      </w:pPr>
      <w:r>
        <w:rPr>
          <w:color w:val="8C8C8C"/>
          <w:sz w:val="12"/>
        </w:rPr>
        <w:t>cf-art-109-inc-III</w:t>
      </w:r>
      <w:r>
        <w:rPr>
          <w:color w:val="003CA0"/>
          <w:sz w:val="12"/>
        </w:rPr>
        <w:t xml:space="preserve"> | RE 605.609</w:t>
      </w:r>
      <w:r>
        <w:rPr>
          <w:color w:val="003CA0"/>
          <w:sz w:val="12"/>
        </w:rPr>
        <w:t xml:space="preserve"> | rel. Cármen Lúcia</w:t>
      </w:r>
    </w:p>
    <w:p>
      <w:pPr>
        <w:ind w:left="288"/>
      </w:pPr>
      <w:r>
        <w:rPr>
          <w:color w:val="1E1E1E"/>
          <w:sz w:val="18"/>
        </w:rPr>
        <w:t>(...) a jurisprudência do STF assentou que compete à Justiça Federal o julgamento de crimes relativos a desvio ou à apropriação de verba federal destinada à realização de serviços de competência privativa da União ou de competência comum da União e do ente beneficiário ou de verba cuja utilização se submeta à fiscalização por órgão federal.</w:t>
      </w:r>
    </w:p>
    <w:p>
      <w:pPr>
        <w:ind w:left="288"/>
      </w:pPr>
      <w:r>
        <w:rPr>
          <w:b/>
          <w:color w:val="003CA0"/>
          <w:sz w:val="16"/>
        </w:rPr>
        <w:t>[RE 605.609 AgR, rel. min. Cármen Lúcia, j. 2-12-2010, 1ª T, DJE de 1º-2-2011.]</w:t>
      </w:r>
    </w:p>
    <w:p>
      <w:pPr>
        <w:ind w:left="288"/>
      </w:pPr>
      <w:r>
        <w:rPr>
          <w:color w:val="8C8C8C"/>
          <w:sz w:val="12"/>
        </w:rPr>
        <w:t>cf-art-109-inc-III</w:t>
      </w:r>
      <w:r>
        <w:rPr>
          <w:color w:val="003CA0"/>
          <w:sz w:val="12"/>
        </w:rPr>
        <w:t xml:space="preserve"> | HC 90.174</w:t>
      </w:r>
      <w:r>
        <w:rPr>
          <w:color w:val="003CA0"/>
          <w:sz w:val="12"/>
        </w:rPr>
        <w:t xml:space="preserve"> | rel. Menezes Direito</w:t>
      </w:r>
    </w:p>
    <w:p>
      <w:pPr>
        <w:ind w:left="288"/>
      </w:pPr>
      <w:r>
        <w:rPr>
          <w:color w:val="1E1E1E"/>
          <w:sz w:val="18"/>
        </w:rPr>
        <w:t>Vide HC 90.174, rel. p/ o ac. min. Menezes Direito, j. 4-12-2007, 1ª T, DJE de 14-3-2008 Vide HC 81.994, rel. min. Ilmar Galvão, j. 6-8-2002, 1ª T, DJ de 27-9-2002 Vide RE 196.982, rel. min. Néri da Silveira, j. 20-2-1997, P, DJ de 27-6-1997 Injúria contra militar da União. (...) Cabe ao juízo competente aferir a existência da manifestação de vontade da ofendida no sentido de autorizar a persecutio criminis. E, sendo a suposta ofendida militar da União, compete ao juízo federal comum o julgamento do feito.</w:t>
      </w:r>
    </w:p>
    <w:p>
      <w:pPr>
        <w:ind w:left="288"/>
      </w:pPr>
      <w:r>
        <w:rPr>
          <w:b/>
          <w:color w:val="003CA0"/>
          <w:sz w:val="16"/>
        </w:rPr>
        <w:t>[HC 100.588, rel. min. Ellen Gracie, j. 14-9-2010, 2ª T, DJE de 1º-10-2010.]</w:t>
      </w:r>
    </w:p>
    <w:p>
      <w:pPr>
        <w:ind w:left="288"/>
      </w:pPr>
      <w:r>
        <w:rPr>
          <w:color w:val="8C8C8C"/>
          <w:sz w:val="12"/>
        </w:rPr>
        <w:t>cf-art-109-inc-III</w:t>
      </w:r>
      <w:r>
        <w:rPr>
          <w:color w:val="003CA0"/>
          <w:sz w:val="12"/>
        </w:rPr>
        <w:t xml:space="preserve"> | RE 454.740</w:t>
      </w:r>
      <w:r>
        <w:rPr>
          <w:color w:val="003CA0"/>
          <w:sz w:val="12"/>
        </w:rPr>
        <w:t xml:space="preserve"> | rel. Marco Aurélio</w:t>
      </w:r>
    </w:p>
    <w:p>
      <w:pPr>
        <w:ind w:left="288"/>
      </w:pPr>
      <w:r>
        <w:rPr>
          <w:color w:val="1E1E1E"/>
          <w:sz w:val="18"/>
        </w:rPr>
        <w:t>Vê-se que veio a ser potencializado o interesse da população local em detrimento do fato de a poluição alcançar bem público federal. Pouco importa que se tenha chegado também ao comprometimento de açude, córregos e riacho. Prevalece a circunstância de o dano apontado haver ocorrido em rio que, pelo teor do inciso III do art. 20 da CF, consubstancia bem da União (...). Esse preceito e a premissa fática constante do acórdão impugnado mediante o extraordinário atraem a incidência do inciso IV do art. 109 da Carta da República (...).</w:t>
      </w:r>
    </w:p>
    <w:p>
      <w:pPr>
        <w:ind w:left="288"/>
      </w:pPr>
      <w:r>
        <w:rPr>
          <w:b/>
          <w:color w:val="003CA0"/>
          <w:sz w:val="16"/>
        </w:rPr>
        <w:t>[RE 454.740, voto do rel. min. Marco Aurélio, j. 28-4-2009, 1ª T, DJE de 7-8-2009.]</w:t>
      </w:r>
    </w:p>
    <w:p>
      <w:pPr>
        <w:ind w:left="288"/>
      </w:pPr>
      <w:r>
        <w:rPr>
          <w:color w:val="8C8C8C"/>
          <w:sz w:val="12"/>
        </w:rPr>
        <w:t>cf-art-109-inc-III</w:t>
      </w:r>
      <w:r>
        <w:rPr>
          <w:color w:val="003CA0"/>
          <w:sz w:val="12"/>
        </w:rPr>
        <w:t xml:space="preserve"> | RE 473.033</w:t>
      </w:r>
      <w:r>
        <w:rPr>
          <w:color w:val="003CA0"/>
          <w:sz w:val="12"/>
        </w:rPr>
        <w:t xml:space="preserve"> | rel. Cezar Peluso</w:t>
      </w:r>
    </w:p>
    <w:p>
      <w:pPr>
        <w:ind w:left="288"/>
      </w:pPr>
      <w:r>
        <w:rPr>
          <w:color w:val="1E1E1E"/>
          <w:sz w:val="18"/>
        </w:rPr>
        <w:t>Crime de roubo. Subtração de bens em poder de carteiro, no exercício de suas funções. Servidor efetivo da Empresa Brasileira de Correios e Telégrafos. Violência contra servidor do quadro de empresa pública federal. Lesão material direta e específica a serviço e a bem da União. Ação penal da competência da Justiça Federal. Revisão criminal julgada procedente. Processo anulado. Recurso extraordinário improvido. Inteligência do art. 157 do CP, c/c o art. 109, IV, da CF. É da competência da Justiça Federal, o processo de ação penal por crime de roubo de objetos em poder de servidor efetivo da Empr</w:t>
      </w:r>
    </w:p>
    <w:p>
      <w:pPr>
        <w:ind w:left="288"/>
      </w:pPr>
      <w:r>
        <w:rPr>
          <w:b/>
          <w:color w:val="003CA0"/>
          <w:sz w:val="16"/>
        </w:rPr>
        <w:t>[RE 473.033, rel. min. Cezar Peluso, j. 11-11-2008, 2ª T, DJE de 5-12-2008.]</w:t>
      </w:r>
    </w:p>
    <w:p>
      <w:pPr>
        <w:ind w:left="288"/>
      </w:pPr>
      <w:r>
        <w:rPr>
          <w:color w:val="8C8C8C"/>
          <w:sz w:val="12"/>
        </w:rPr>
        <w:t>cf-art-109-inc-III</w:t>
      </w:r>
      <w:r>
        <w:rPr>
          <w:color w:val="003CA0"/>
          <w:sz w:val="12"/>
        </w:rPr>
        <w:t xml:space="preserve"> | HC 97.690</w:t>
      </w:r>
      <w:r>
        <w:rPr>
          <w:color w:val="003CA0"/>
          <w:sz w:val="12"/>
        </w:rPr>
        <w:t xml:space="preserve"> | rel. Ricardo Lewandowski</w:t>
      </w:r>
    </w:p>
    <w:p>
      <w:pPr>
        <w:ind w:left="288"/>
      </w:pPr>
      <w:r>
        <w:rPr>
          <w:color w:val="1E1E1E"/>
          <w:sz w:val="18"/>
        </w:rPr>
        <w:t>= HC 97.690, rel. min. Ricardo Lewandowski, j. 6-10-2009, 1ª T, DJE de 23-10-2009 Esta Corte já teve oportunidade de apreciar matéria semelhante, relacionada a possível fraude à licitação envolvendo verbas federais, sujeitas à fiscalização pelo TCU. Tratava-se de possível fraude em licitações com desvio de verbas provenientes do Fundef [Fundo de Manutenção e Desenvolvimento do Ensino Fundamental e de Valorização do Magistério], do FNDE [Fundo Nacional de Desenvolvimento da Educação] e do FPM [Fundo de Participação dos Municípios], em que se reconheceu interesse da União a ser preservado, evide</w:t>
      </w:r>
    </w:p>
    <w:p>
      <w:pPr>
        <w:ind w:left="288"/>
      </w:pPr>
      <w:r>
        <w:rPr>
          <w:b/>
          <w:color w:val="003CA0"/>
          <w:sz w:val="16"/>
        </w:rPr>
        <w:t>[RE 464.621, rel. min. Ellen Gracie, j. 14-10-2008, 2ª T, DJE de 21-11-2008.]</w:t>
      </w:r>
    </w:p>
    <w:p>
      <w:pPr>
        <w:ind w:left="288"/>
      </w:pPr>
      <w:r>
        <w:rPr>
          <w:color w:val="8C8C8C"/>
          <w:sz w:val="12"/>
        </w:rPr>
        <w:t>cf-art-109-inc-III</w:t>
      </w:r>
      <w:r>
        <w:rPr>
          <w:color w:val="003CA0"/>
          <w:sz w:val="12"/>
        </w:rPr>
        <w:t xml:space="preserve"> | HC 100.772</w:t>
      </w:r>
      <w:r>
        <w:rPr>
          <w:color w:val="003CA0"/>
          <w:sz w:val="12"/>
        </w:rPr>
        <w:t xml:space="preserve"> | rel. Gilmar Mendes</w:t>
      </w:r>
    </w:p>
    <w:p>
      <w:pPr>
        <w:ind w:left="288"/>
      </w:pPr>
      <w:r>
        <w:rPr>
          <w:color w:val="1E1E1E"/>
          <w:sz w:val="18"/>
        </w:rPr>
        <w:t>= HC 100.772, rel. min. Gilmar Mendes, j. 22-11-2011, 2ª T, DJE de 6-2-2012 Servidora da Justiça do Trabalho (...) manifestou desprestígio à função pública exercida pelo magistrado, revelando nexo causal entre a conduta e a condição de juiz do trabalho da suposta vítima. Em tese, houve infração penal praticada em detrimento do interesse da União (CF, art. 109, IV), a atrair a competência da Justiça Federal.</w:t>
      </w:r>
    </w:p>
    <w:p>
      <w:pPr>
        <w:ind w:left="288"/>
      </w:pPr>
      <w:r>
        <w:rPr>
          <w:b/>
          <w:color w:val="003CA0"/>
          <w:sz w:val="16"/>
        </w:rPr>
        <w:t>[ACO 1.179, rel. min. Ellen Gracie, j. 11-9-2008, P, DJE de 31-10-2008.]</w:t>
      </w:r>
    </w:p>
    <w:p>
      <w:pPr>
        <w:ind w:left="288"/>
      </w:pPr>
      <w:r>
        <w:rPr>
          <w:color w:val="8C8C8C"/>
          <w:sz w:val="12"/>
        </w:rPr>
        <w:t>cf-art-109-inc-III</w:t>
      </w:r>
      <w:r>
        <w:rPr>
          <w:color w:val="003CA0"/>
          <w:sz w:val="12"/>
        </w:rPr>
        <w:t xml:space="preserve"> | ACO 1.179</w:t>
      </w:r>
      <w:r>
        <w:rPr>
          <w:color w:val="003CA0"/>
          <w:sz w:val="12"/>
        </w:rPr>
        <w:t xml:space="preserve"> | rel. Ellen Gracie</w:t>
      </w:r>
    </w:p>
    <w:p>
      <w:pPr>
        <w:ind w:left="288"/>
      </w:pPr>
      <w:r>
        <w:rPr>
          <w:color w:val="1E1E1E"/>
          <w:sz w:val="18"/>
        </w:rPr>
        <w:t>Vide ACO 1.179 ED, rel. min. Ellen Gracie, j. 4-8-2011, P, DJE de 13-10-2011 É de competência da Justiça estadual processar e julgar agente público estadual acusado de prática de delito de que trata o art. 89 da Lei 8.666/1993, não sendo suficiente para atrair a competência da Justiça Federal a existência de repasse de verbas em decorrência de convênio da União com Estado-membro.</w:t>
      </w:r>
    </w:p>
    <w:p>
      <w:pPr>
        <w:ind w:left="288"/>
      </w:pPr>
      <w:r>
        <w:rPr>
          <w:b/>
          <w:color w:val="003CA0"/>
          <w:sz w:val="16"/>
        </w:rPr>
        <w:t>[HC 90.174, rel. p/ o ac. min. Menezes Direito, j. 4-12-2007, 1ª T, DJE de 14-3-2008.]</w:t>
      </w:r>
    </w:p>
    <w:p>
      <w:pPr>
        <w:ind w:left="288"/>
      </w:pPr>
      <w:r>
        <w:rPr>
          <w:color w:val="8C8C8C"/>
          <w:sz w:val="12"/>
        </w:rPr>
        <w:t>cf-art-109-inc-III</w:t>
      </w:r>
      <w:r>
        <w:rPr>
          <w:color w:val="003CA0"/>
          <w:sz w:val="12"/>
        </w:rPr>
        <w:t xml:space="preserve"> | AI 837.201</w:t>
      </w:r>
      <w:r>
        <w:rPr>
          <w:color w:val="003CA0"/>
          <w:sz w:val="12"/>
        </w:rPr>
        <w:t xml:space="preserve"> | rel. Ricardo Lewandowski</w:t>
      </w:r>
    </w:p>
    <w:p>
      <w:pPr>
        <w:ind w:left="288"/>
      </w:pPr>
      <w:r>
        <w:rPr>
          <w:color w:val="1E1E1E"/>
          <w:sz w:val="18"/>
        </w:rPr>
        <w:t>= AI 837.201 AgR-segundo, rel. min. Ricardo Lewandowski, j. 26-11-2013, 2ª T, DJE de 9-12-2013 Vide RE 605.609 AgR, rel. min. Cármen Lúcia, j. 2-12-2010, 1ª T, DJE de 1º-2-2011 Competência: Justiça estadual: processo por crime contra a ordem econômica previsto no art. 1º da Lei 8.176/1991 (venda de combustível adulterado); inexistência de lesão à atividade de fiscalização atribuída à Agência Nacional do Petróleo (ANP) e, portanto, ausente interesse direto e específico da União: não incidência do art. 109, IV, da CF. Regra geral os crimes contra a ordem econômica são da competência da Justiça c</w:t>
      </w:r>
    </w:p>
    <w:p>
      <w:pPr>
        <w:ind w:left="288"/>
      </w:pPr>
      <w:r>
        <w:rPr>
          <w:b/>
          <w:color w:val="003CA0"/>
          <w:sz w:val="16"/>
        </w:rPr>
        <w:t>[RE 502.915, rel. min. Sepúlveda Pertence, j. 13-2-2007, 1ª T, DJ de 27-4-2007.]</w:t>
      </w:r>
    </w:p>
    <w:p>
      <w:pPr>
        <w:ind w:left="288"/>
      </w:pPr>
      <w:r>
        <w:rPr>
          <w:color w:val="8C8C8C"/>
          <w:sz w:val="12"/>
        </w:rPr>
        <w:t>cf-art-109-inc-III</w:t>
      </w:r>
      <w:r>
        <w:rPr>
          <w:color w:val="003CA0"/>
          <w:sz w:val="12"/>
        </w:rPr>
        <w:t xml:space="preserve"> | RE 454.737</w:t>
      </w:r>
      <w:r>
        <w:rPr>
          <w:color w:val="003CA0"/>
          <w:sz w:val="12"/>
        </w:rPr>
        <w:t xml:space="preserve"> | rel. Cezar Peluso</w:t>
      </w:r>
    </w:p>
    <w:p>
      <w:pPr>
        <w:ind w:left="288"/>
      </w:pPr>
      <w:r>
        <w:rPr>
          <w:color w:val="1E1E1E"/>
          <w:sz w:val="18"/>
        </w:rPr>
        <w:t xml:space="preserve">= RE 454.737, rel. min. Cezar Peluso, j. 18-9-2008, P, DJE de 21-11-2008 Habeas corpus. Falsificação de documento público – certidão negativa de débito do INSS – e uso do mesmo junto a banco privado para renovação de financiamento. Falsificação que, por si só, configura infração penal praticada contra interesse da União. Competência da Justiça Federal. Ordem concedida. A jurisprudência desta Corte, para fixar a competência em casos semelhantes, analisa a questão sob a perspectiva do sujeito passivo do delito. Sendo o sujeito passivo o particular, consequentemente a competência será da Justiça </w:t>
      </w:r>
    </w:p>
    <w:p>
      <w:pPr>
        <w:ind w:left="288"/>
      </w:pPr>
      <w:r>
        <w:rPr>
          <w:b/>
          <w:color w:val="003CA0"/>
          <w:sz w:val="16"/>
        </w:rPr>
        <w:t>[HC 85.773, rel. min. Joaquim Barbosa, j. 17-10-2006, 2ª T, DJ de 27-4-2007.]</w:t>
      </w:r>
    </w:p>
    <w:p>
      <w:pPr>
        <w:ind w:left="288"/>
      </w:pPr>
      <w:r>
        <w:rPr>
          <w:color w:val="8C8C8C"/>
          <w:sz w:val="12"/>
        </w:rPr>
        <w:t>cf-art-109-inc-III</w:t>
      </w:r>
      <w:r>
        <w:rPr>
          <w:color w:val="003CA0"/>
          <w:sz w:val="12"/>
        </w:rPr>
        <w:t xml:space="preserve"> | RE 446.938</w:t>
      </w:r>
      <w:r>
        <w:rPr>
          <w:color w:val="003CA0"/>
          <w:sz w:val="12"/>
        </w:rPr>
        <w:t xml:space="preserve"> | rel. Marco Aurélio</w:t>
      </w:r>
    </w:p>
    <w:p>
      <w:pPr>
        <w:ind w:left="288"/>
      </w:pPr>
      <w:r>
        <w:rPr>
          <w:color w:val="1E1E1E"/>
          <w:sz w:val="18"/>
        </w:rPr>
        <w:t>= RE 446.938, rel. min. Marco Aurélio, j. 26-5-2009, 1ª T, DJE de 19-6-2009 = RE 560.944, rel. min. Ellen Gracie, j. 26-8-2008, 2ª T, DJE de 19-9-2008 Competência criminal. Conflito. Crime praticado por silvícolas, contra outro índio, no interior de reserva indígena. Disputa sobre direitos indígenas como motivação do delito. Inexistência. Feito da competência da Justiça comum. Recurso improvido. Votos vencidos. Precedentes. Exame. Inteligência do art. 109, IV e XI, da CF. A competência penal da Justiça Federal, objeto do alcance do disposto no art. 109, XI, da CF, só se desata quando a acusaçã</w:t>
      </w:r>
    </w:p>
    <w:p>
      <w:pPr>
        <w:ind w:left="288"/>
      </w:pPr>
      <w:r>
        <w:rPr>
          <w:b/>
          <w:color w:val="003CA0"/>
          <w:sz w:val="16"/>
        </w:rPr>
        <w:t>[RE 419.528, red; do ac. min. Cezar Peluso, j. 3-8-2006, P, DJ de 9-3-2007.]</w:t>
      </w:r>
    </w:p>
    <w:p>
      <w:pPr>
        <w:ind w:left="288"/>
      </w:pPr>
      <w:r>
        <w:rPr>
          <w:color w:val="8C8C8C"/>
          <w:sz w:val="12"/>
        </w:rPr>
        <w:t>cf-art-109-inc-III</w:t>
      </w:r>
      <w:r>
        <w:rPr>
          <w:color w:val="003CA0"/>
          <w:sz w:val="12"/>
        </w:rPr>
        <w:t xml:space="preserve"> | AI 794.447</w:t>
      </w:r>
      <w:r>
        <w:rPr>
          <w:color w:val="003CA0"/>
          <w:sz w:val="12"/>
        </w:rPr>
        <w:t xml:space="preserve"> | rel. Marco Aurélio</w:t>
      </w:r>
    </w:p>
    <w:p>
      <w:pPr>
        <w:ind w:left="288"/>
      </w:pPr>
      <w:r>
        <w:rPr>
          <w:color w:val="1E1E1E"/>
          <w:sz w:val="18"/>
        </w:rPr>
        <w:t>= AI 794.447 AgR, rel. min. Marco Aurélio, j. 24-9-2013, 1ª T, DJE de 21-11-2013 Habeas corpus. Impetração originária, perante o STF, por membro de primeira instância do MPDFT. Legitimidade ativa reconhecida. (...) O postulado do juiz natural como direito fundamental oponível ao Estado. Prerrogativa constitucional que assegura ao acusado o direito de ver-se processado e julgado perante órgão judiciário investido de competência para a apreciação do litígio penal. Reconhecimento de que a Justiça Federal é absolutamente competente para processar e julgar as causas que se refiram a práticas alegad</w:t>
      </w:r>
    </w:p>
    <w:p>
      <w:pPr>
        <w:ind w:left="288"/>
      </w:pPr>
      <w:r>
        <w:rPr>
          <w:b/>
          <w:color w:val="003CA0"/>
          <w:sz w:val="16"/>
        </w:rPr>
        <w:t>[HC 84.279, rel. min. Celso de Mello, j. 4-4-2006, 2ª T, DJE de 6-2-2014.]</w:t>
      </w:r>
    </w:p>
    <w:p>
      <w:pPr>
        <w:ind w:left="288"/>
      </w:pPr>
      <w:r>
        <w:rPr>
          <w:color w:val="8C8C8C"/>
          <w:sz w:val="12"/>
        </w:rPr>
        <w:t>cf-art-109-inc-III</w:t>
      </w:r>
      <w:r>
        <w:rPr>
          <w:color w:val="003CA0"/>
          <w:sz w:val="12"/>
        </w:rPr>
        <w:t xml:space="preserve"> | HC 84.103</w:t>
      </w:r>
      <w:r>
        <w:rPr>
          <w:color w:val="003CA0"/>
          <w:sz w:val="12"/>
        </w:rPr>
        <w:t xml:space="preserve"> | rel. Gilmar Mendes</w:t>
      </w:r>
    </w:p>
    <w:p>
      <w:pPr>
        <w:ind w:left="288"/>
      </w:pPr>
      <w:r>
        <w:rPr>
          <w:color w:val="1E1E1E"/>
          <w:sz w:val="18"/>
        </w:rPr>
        <w:t>Parcelamento irregular de terras da União. Competência. Justiça Federal. (...) Comprovado que a gleba pertence ao patrimônio da União, incide a regra prevista no art. 109, IV, da CF, sendo competência da Justiça Federal julgar e processar a ação penal proposta para apurar parcelamento irregular de terras. Precedentes do Pleno (HC 84.103).</w:t>
      </w:r>
    </w:p>
    <w:p>
      <w:pPr>
        <w:ind w:left="288"/>
      </w:pPr>
      <w:r>
        <w:rPr>
          <w:b/>
          <w:color w:val="003CA0"/>
          <w:sz w:val="16"/>
        </w:rPr>
        <w:t>[RHC 86.081, rel. min. Gilmar Mendes, j. 25-10-2005, 2ª T, DJ de 18-11-2005.]</w:t>
      </w:r>
    </w:p>
    <w:p>
      <w:pPr>
        <w:ind w:left="288"/>
      </w:pPr>
      <w:r>
        <w:rPr>
          <w:color w:val="8C8C8C"/>
          <w:sz w:val="12"/>
        </w:rPr>
        <w:t>cf-art-109-inc-III</w:t>
      </w:r>
      <w:r>
        <w:rPr>
          <w:color w:val="003CA0"/>
          <w:sz w:val="12"/>
        </w:rPr>
        <w:t xml:space="preserve"> | HC 84.533</w:t>
      </w:r>
      <w:r>
        <w:rPr>
          <w:color w:val="003CA0"/>
          <w:sz w:val="12"/>
        </w:rPr>
        <w:t xml:space="preserve"> | rel. Celso de Mello</w:t>
      </w:r>
    </w:p>
    <w:p>
      <w:pPr>
        <w:ind w:left="288"/>
      </w:pPr>
      <w:r>
        <w:rPr>
          <w:color w:val="1E1E1E"/>
          <w:sz w:val="18"/>
        </w:rPr>
        <w:t>O uso dos papéis falsificados, quando praticado pelo próprio autor da falsificação, configura post factum não punível, mero exaurimento do crimen falsi, respondendo o falsário, em tal hipótese, pelo delito de falsificação de documento público (CP, art. 297) ou, conforme o caso, pelo crime de falsificação de documento particular (CP, art. 298). Doutrina. Precedentes (STF). Reconhecimento, na espécie, da competência do Poder Judiciário local, eis que inocorrente, quanto ao delito de falsificação documental, qualquer das situações a que se refere o inciso IV do art. 109 da Constituição da Repúbli</w:t>
      </w:r>
    </w:p>
    <w:p>
      <w:pPr>
        <w:ind w:left="288"/>
      </w:pPr>
      <w:r>
        <w:rPr>
          <w:b/>
          <w:color w:val="003CA0"/>
          <w:sz w:val="16"/>
        </w:rPr>
        <w:t>[HC 84.533, rel. min. Celso de Mello, j. 14-9-2004, 2ª T, DJ de 30-6-2006.]</w:t>
      </w:r>
    </w:p>
    <w:p>
      <w:pPr>
        <w:ind w:left="288"/>
      </w:pPr>
      <w:r>
        <w:rPr>
          <w:color w:val="8C8C8C"/>
          <w:sz w:val="12"/>
        </w:rPr>
        <w:t>cf-art-109-inc-III</w:t>
      </w:r>
      <w:r>
        <w:rPr>
          <w:color w:val="003CA0"/>
          <w:sz w:val="12"/>
        </w:rPr>
        <w:t xml:space="preserve"> | HC 68.895</w:t>
      </w:r>
      <w:r>
        <w:rPr>
          <w:color w:val="003CA0"/>
          <w:sz w:val="12"/>
        </w:rPr>
        <w:t xml:space="preserve"> | rel. Sepúlveda Pertence</w:t>
      </w:r>
    </w:p>
    <w:p>
      <w:pPr>
        <w:ind w:left="288"/>
      </w:pPr>
      <w:r>
        <w:rPr>
          <w:color w:val="1E1E1E"/>
          <w:sz w:val="18"/>
        </w:rPr>
        <w:t>É da jurisprudência desta Corte que, em regra, os crimes praticados em detrimento da Caixa Econômica Federal, por ser esta empresa pública federal, devem ser processados e julgados pela Justiça Federal – CF, art. 109, IV (v.g., HC 68.895, Celso de Mello, Primeira Turma, DJ de 21-2-1992; 71.027, Ilmar Galvão, Primeira Turma, DJ de 9-9-1994; HC 70.541, Sydney Sanches, Primeira Turma, DJ de 18-3-1994), regra geral da qual o presente caso não constitui exceção.</w:t>
      </w:r>
    </w:p>
    <w:p>
      <w:pPr>
        <w:ind w:left="288"/>
      </w:pPr>
      <w:r>
        <w:rPr>
          <w:b/>
          <w:color w:val="003CA0"/>
          <w:sz w:val="16"/>
        </w:rPr>
        <w:t>[RE 332.597 AgR, rel. min. Sepúlveda Pertence, j. 20-4-2004, 1ª T, DJ de 28-5-2004.]</w:t>
      </w:r>
    </w:p>
    <w:p>
      <w:pPr>
        <w:ind w:left="288"/>
      </w:pPr>
      <w:r>
        <w:rPr>
          <w:color w:val="8C8C8C"/>
          <w:sz w:val="12"/>
        </w:rPr>
        <w:t>cf-art-109-inc-III</w:t>
      </w:r>
      <w:r>
        <w:rPr>
          <w:color w:val="003CA0"/>
          <w:sz w:val="12"/>
        </w:rPr>
        <w:t xml:space="preserve"> | RE 366.168</w:t>
      </w:r>
      <w:r>
        <w:rPr>
          <w:color w:val="003CA0"/>
          <w:sz w:val="12"/>
        </w:rPr>
        <w:t xml:space="preserve"> | rel. Sepúlveda Pertence</w:t>
      </w:r>
    </w:p>
    <w:p>
      <w:pPr>
        <w:ind w:left="288"/>
      </w:pPr>
      <w:r>
        <w:rPr>
          <w:color w:val="1E1E1E"/>
          <w:sz w:val="18"/>
        </w:rPr>
        <w:t>O Sebrae [Serviço Brasileiro de Apoio às Micro e Pequenas Empresas] não corresponde à noção constitucional de autarquia, que, para começar, há de ser criada por lei específica (CF, art. 37, XIX) e não na forma de sociedade civil, com personalidade de direito privado, como é o caso do recorrido. Por isso, o disposto no art. 20, f, da Lei 4.717/1965, Lei de Ação Popular (LAP), para não se chocar com a Constituição, há de ter o seu alcance reduzido: não transforma em autarquia as entidades de direito privado que recebam e apliquem contribuições parafiscais, mas, simplesmente, as inclui no rol daq</w:t>
      </w:r>
    </w:p>
    <w:p>
      <w:pPr>
        <w:ind w:left="288"/>
      </w:pPr>
      <w:r>
        <w:rPr>
          <w:b/>
          <w:color w:val="003CA0"/>
          <w:sz w:val="16"/>
        </w:rPr>
        <w:t>[RE 366.168, rel. min. Sepúlveda Pertence, j. 3-2-2004, 1ª T, DJ de 14-5-2004.]</w:t>
      </w:r>
    </w:p>
    <w:p>
      <w:pPr>
        <w:ind w:left="288"/>
      </w:pPr>
      <w:r>
        <w:rPr>
          <w:color w:val="8C8C8C"/>
          <w:sz w:val="12"/>
        </w:rPr>
        <w:t>cf-art-109-inc-III</w:t>
      </w:r>
      <w:r>
        <w:rPr>
          <w:color w:val="003CA0"/>
          <w:sz w:val="12"/>
        </w:rPr>
        <w:t xml:space="preserve"> | HC 83.113</w:t>
      </w:r>
      <w:r>
        <w:rPr>
          <w:color w:val="003CA0"/>
          <w:sz w:val="12"/>
        </w:rPr>
        <w:t xml:space="preserve"> | rel. Djaci Falcão</w:t>
      </w:r>
    </w:p>
    <w:p>
      <w:pPr>
        <w:ind w:left="288"/>
      </w:pPr>
      <w:r>
        <w:rPr>
          <w:color w:val="1E1E1E"/>
          <w:sz w:val="18"/>
        </w:rPr>
        <w:t xml:space="preserve">(...) a existência de obstáculo à extradição da ora paciente, por efeito de sua nacionalidade brasileira originária, não compromete a possibilidade, seja com fundamento no art. 7º, II, b, do CP brasileiro, seja com apoio no art. IV, n. 1, do Tratado de Extradição Brasil/Portugal, de aplicar-se, a fatos delituosos alegadamente cometidos no exterior, a cláusula da extraterritorialidade da lei penal brasileira (extraterritorialidade condicionada, no caso, à observância dos requisitos fixados no art. 7º, § 2º, do CP brasileiro), hipótese em que a competência penal, para os fins referidos, será do </w:t>
      </w:r>
    </w:p>
    <w:p>
      <w:pPr>
        <w:ind w:left="288"/>
      </w:pPr>
      <w:r>
        <w:rPr>
          <w:b/>
          <w:color w:val="003CA0"/>
          <w:sz w:val="16"/>
        </w:rPr>
        <w:t>[HC 83.113 QO, voto do rel. min. Celso de Mello, j. 26-6-2003, P, DJ de 29-8-2003.]</w:t>
      </w:r>
    </w:p>
    <w:p>
      <w:pPr>
        <w:ind w:left="288"/>
      </w:pPr>
      <w:r>
        <w:rPr>
          <w:color w:val="8C8C8C"/>
          <w:sz w:val="12"/>
        </w:rPr>
        <w:t>cf-art-109-inc-III</w:t>
      </w:r>
      <w:r>
        <w:rPr>
          <w:color w:val="003CA0"/>
          <w:sz w:val="12"/>
        </w:rPr>
        <w:t xml:space="preserve"> | HC 105.461</w:t>
      </w:r>
      <w:r>
        <w:rPr>
          <w:color w:val="003CA0"/>
          <w:sz w:val="12"/>
        </w:rPr>
        <w:t xml:space="preserve"> | rel. Marco Aurélio</w:t>
      </w:r>
    </w:p>
    <w:p>
      <w:pPr>
        <w:ind w:left="288"/>
      </w:pPr>
      <w:r>
        <w:rPr>
          <w:color w:val="1E1E1E"/>
          <w:sz w:val="18"/>
        </w:rPr>
        <w:t>Vide HC 105.461, rel. min. Marco Aurélio, j. 29-3-2016, 1ª T, DJE de 2-8-2016 Habeas corpus. Crime previsto no art. 46, parágrafo único, da Lei 9.605, de 1998 (Lei de Crimes Ambientais). Competência da Justiça comum. Denúncia oferecida pelo MPF perante a Justiça Federal com base em auto de infração expedido pelo Ibama. A atividade de fiscalização ambiental exercida pelo Ibama, ainda que relativa ao cumprimento do art. 46 da Lei de Crimes Ambientais, configura interesse genérico, mediato ou indireto da União, para os fins do art. 109, IV, da Constituição. A presença de interesse direto e especí</w:t>
      </w:r>
    </w:p>
    <w:p>
      <w:pPr>
        <w:ind w:left="288"/>
      </w:pPr>
      <w:r>
        <w:rPr>
          <w:b/>
          <w:color w:val="003CA0"/>
          <w:sz w:val="16"/>
        </w:rPr>
        <w:t>[HC 81.916, rel. min. Gilmar Mendes, j. 17-9-2002, 2ª T, DJ de 11-10-2002.]</w:t>
      </w:r>
    </w:p>
    <w:p>
      <w:pPr>
        <w:ind w:left="288"/>
      </w:pPr>
      <w:r>
        <w:rPr>
          <w:color w:val="8C8C8C"/>
          <w:sz w:val="12"/>
        </w:rPr>
        <w:t>cf-art-109-inc-III</w:t>
      </w:r>
      <w:r>
        <w:rPr>
          <w:color w:val="003CA0"/>
          <w:sz w:val="12"/>
        </w:rPr>
        <w:t xml:space="preserve"> | RE 598.524</w:t>
      </w:r>
      <w:r>
        <w:rPr>
          <w:color w:val="003CA0"/>
          <w:sz w:val="12"/>
        </w:rPr>
        <w:t xml:space="preserve"> | rel. Marco Aurélio</w:t>
      </w:r>
    </w:p>
    <w:p>
      <w:pPr>
        <w:ind w:left="288"/>
      </w:pPr>
      <w:r>
        <w:rPr>
          <w:color w:val="1E1E1E"/>
          <w:sz w:val="18"/>
        </w:rPr>
        <w:t>= RE 598.524 AgR, rel. min. Marco Aurélio, j. 21-6-2011, 1ª T, DJE de 17-8-2011 O tema relativo à incompetência da Justiça Federal para julgar os crimes de estelionato e falsidade de documentos, em detrimento de empresa pública federal, pode ser examinado de ofício, ante a possibilidade de ocorrer nulidade. O estelionato e a falsidade de documentos quando cometidos em detrimento de empresa pública federal são da competência da Justiça Federal. Precedentes. O silêncio da defesa, ante a declaração de prevenção do juiz federal para julgar referidos crimes, leva à preclusão da matéria.</w:t>
      </w:r>
    </w:p>
    <w:p>
      <w:pPr>
        <w:ind w:left="288"/>
      </w:pPr>
      <w:r>
        <w:rPr>
          <w:b/>
          <w:color w:val="003CA0"/>
          <w:sz w:val="16"/>
        </w:rPr>
        <w:t>[RHC 82.059, rel. min. Nelson Jobim, j. 3-9-2002, 2ª T, DJ de 25-10-2002.]</w:t>
      </w:r>
    </w:p>
    <w:p>
      <w:pPr>
        <w:ind w:left="288"/>
      </w:pPr>
      <w:r>
        <w:rPr>
          <w:color w:val="8C8C8C"/>
          <w:sz w:val="12"/>
        </w:rPr>
        <w:t>cf-art-109-inc-III</w:t>
      </w:r>
      <w:r>
        <w:rPr>
          <w:color w:val="003CA0"/>
          <w:sz w:val="12"/>
        </w:rPr>
        <w:t xml:space="preserve"> | HC 81.994</w:t>
      </w:r>
      <w:r>
        <w:rPr>
          <w:color w:val="003CA0"/>
          <w:sz w:val="12"/>
        </w:rPr>
        <w:t xml:space="preserve"> | rel. Ilmar Galvão</w:t>
      </w:r>
    </w:p>
    <w:p>
      <w:pPr>
        <w:ind w:left="288"/>
      </w:pPr>
      <w:r>
        <w:rPr>
          <w:color w:val="1E1E1E"/>
          <w:sz w:val="18"/>
        </w:rPr>
        <w:t>Hipótese em que a execução do convênio foi submetida à fiscalização do Ministério da Ação Social e do TCU, circunstância suficiente para demonstrar o interesse da União no bom e regular emprego dos recursos objeto do repasse e, consequentemente, o acerto da aplicação, ao caso, da norma constitucional de competência sob enfoque.</w:t>
      </w:r>
    </w:p>
    <w:p>
      <w:pPr>
        <w:ind w:left="288"/>
      </w:pPr>
      <w:r>
        <w:rPr>
          <w:b/>
          <w:color w:val="003CA0"/>
          <w:sz w:val="16"/>
        </w:rPr>
        <w:t>[HC 81.994, rel. min. Ilmar Galvão, j. 6-8-2002, 1ª T, DJ de 27-9-2002.]</w:t>
      </w:r>
    </w:p>
    <w:p>
      <w:pPr>
        <w:ind w:left="288"/>
      </w:pPr>
      <w:r>
        <w:rPr>
          <w:color w:val="8C8C8C"/>
          <w:sz w:val="12"/>
        </w:rPr>
        <w:t>cf-art-109-inc-III</w:t>
      </w:r>
      <w:r>
        <w:rPr>
          <w:color w:val="003CA0"/>
          <w:sz w:val="12"/>
        </w:rPr>
        <w:t xml:space="preserve"> | RHC 79.331</w:t>
      </w:r>
      <w:r>
        <w:rPr>
          <w:color w:val="003CA0"/>
          <w:sz w:val="12"/>
        </w:rPr>
        <w:t xml:space="preserve"> | rel. Celso de Mello</w:t>
      </w:r>
    </w:p>
    <w:p>
      <w:pPr>
        <w:ind w:left="288"/>
      </w:pPr>
      <w:r>
        <w:rPr>
          <w:color w:val="1E1E1E"/>
          <w:sz w:val="18"/>
        </w:rPr>
        <w:t>A competência penal da Justiça Federal comum, que possui extração constitucional, reveste-se de caráter absoluto, está sujeita a regime de direito estrito e apenas deixa de incidir naquelas hipóteses taxativamente indicadas no texto da própria Carta Política: (...) O comportamento delituoso de quem usa documento falso, em qualquer processo judiciário federal, faz instaurar situação de potencialidade danosa, apta a comprometer a integridade, a segurança, a confiabilidade, a regularidade e a legitimidade de um dos serviços essenciais mais importantes prestados pela União Federal: o serviço de ad</w:t>
      </w:r>
    </w:p>
    <w:p>
      <w:pPr>
        <w:ind w:left="288"/>
      </w:pPr>
      <w:r>
        <w:rPr>
          <w:b/>
          <w:color w:val="003CA0"/>
          <w:sz w:val="16"/>
        </w:rPr>
        <w:t>[RHC 79.331, rel. min. Celso de Mello, j. 24-8-1999, 2ª T, DJ de 29-10-1999.]</w:t>
      </w:r>
    </w:p>
    <w:p>
      <w:pPr>
        <w:ind w:left="288"/>
      </w:pPr>
      <w:r>
        <w:rPr>
          <w:color w:val="8C8C8C"/>
          <w:sz w:val="12"/>
        </w:rPr>
        <w:t>cf-art-109-inc-III</w:t>
      </w:r>
      <w:r>
        <w:rPr>
          <w:color w:val="003CA0"/>
          <w:sz w:val="12"/>
        </w:rPr>
        <w:t xml:space="preserve"> | EXT 700</w:t>
      </w:r>
      <w:r>
        <w:rPr>
          <w:color w:val="003CA0"/>
          <w:sz w:val="12"/>
        </w:rPr>
        <w:t xml:space="preserve"> | rel. Octavio Gallotti</w:t>
      </w:r>
    </w:p>
    <w:p>
      <w:pPr>
        <w:ind w:left="288"/>
      </w:pPr>
      <w:r>
        <w:rPr>
          <w:color w:val="1E1E1E"/>
          <w:sz w:val="18"/>
        </w:rPr>
        <w:t>Extraditando acusado de transmitir ao Iraque segredo de Estado do Governo requerente (República Federal da Alemanha), utilizável em projeto de desenvolvimento de armamento nuclear. Crime político puro, cujo conceito compreende não só o cometido contra a segurança interna, como o praticado contra a segurança externa do Estado, a caracterizarem, ambas as hipóteses, a excludente de concessão de extradição.</w:t>
      </w:r>
    </w:p>
    <w:p>
      <w:pPr>
        <w:ind w:left="288"/>
      </w:pPr>
      <w:r>
        <w:rPr>
          <w:b/>
          <w:color w:val="003CA0"/>
          <w:sz w:val="16"/>
        </w:rPr>
        <w:t>[Ext 700, rel. min. Octavio Gallotti, j. 4-3-1998, P, DJ de 5-11-1999.]</w:t>
      </w:r>
    </w:p>
    <w:p>
      <w:pPr>
        <w:ind w:left="288"/>
      </w:pPr>
      <w:r>
        <w:rPr>
          <w:color w:val="8C8C8C"/>
          <w:sz w:val="12"/>
        </w:rPr>
        <w:t>cf-art-109-inc-III</w:t>
      </w:r>
      <w:r>
        <w:rPr>
          <w:color w:val="003CA0"/>
          <w:sz w:val="12"/>
        </w:rPr>
        <w:t xml:space="preserve"> | RE 196.982</w:t>
      </w:r>
      <w:r>
        <w:rPr>
          <w:color w:val="003CA0"/>
          <w:sz w:val="12"/>
        </w:rPr>
        <w:t xml:space="preserve"> | rel. Néri da Silveira</w:t>
      </w:r>
    </w:p>
    <w:p>
      <w:pPr>
        <w:ind w:left="288"/>
      </w:pPr>
      <w:r>
        <w:rPr>
          <w:color w:val="1E1E1E"/>
          <w:sz w:val="18"/>
        </w:rPr>
        <w:t>A competência originária para o processo e julgamento de crime resultante de desvio, em repartição estadual, de recursos oriundos do SUS, é da Justiça Federal, a teor do art. 109, IV, da Constituição. Além do interesse inequívoco da União Federal, na espécie, em se cogitando de recursos repassados ao Estado, os crimes, no caso, são também em detrimento de serviços federais, pois a estes incumbe não só a distribuição dos recursos, mas ainda a supervisão de sua regular aplicação, inclusive com auditorias no plano dos Estados.</w:t>
      </w:r>
    </w:p>
    <w:p>
      <w:pPr>
        <w:ind w:left="288"/>
      </w:pPr>
      <w:r>
        <w:rPr>
          <w:b/>
          <w:color w:val="003CA0"/>
          <w:sz w:val="16"/>
        </w:rPr>
        <w:t>[RE 196.982, rel. min. Néri da Silveira, j. 20-2-1997, P, DJ de 27-6-1997.]</w:t>
      </w:r>
    </w:p>
    <w:p>
      <w:pPr>
        <w:ind w:left="288"/>
      </w:pPr>
      <w:r>
        <w:rPr>
          <w:color w:val="8C8C8C"/>
          <w:sz w:val="12"/>
        </w:rPr>
        <w:t>cf-art-109-inc-III</w:t>
      </w:r>
      <w:r>
        <w:rPr>
          <w:color w:val="003CA0"/>
          <w:sz w:val="12"/>
        </w:rPr>
        <w:t xml:space="preserve"> | RHC 98.564</w:t>
      </w:r>
      <w:r>
        <w:rPr>
          <w:color w:val="003CA0"/>
          <w:sz w:val="12"/>
        </w:rPr>
        <w:t xml:space="preserve"> | rel. Eros Grau</w:t>
      </w:r>
    </w:p>
    <w:p>
      <w:pPr>
        <w:ind w:left="288"/>
      </w:pPr>
      <w:r>
        <w:rPr>
          <w:color w:val="1E1E1E"/>
          <w:sz w:val="18"/>
        </w:rPr>
        <w:t>= RHC 98.564, rel. min. Eros Grau, j. 15-9-2009, 2ª T, DJE de 6-11-2009 Não havendo a Constituição definido o crime político, ao Supremo cabe, em face da conceituação da legislação ordinária vigente, dizer se os delitos pelos quais se pede a extradição, constituem infração de natureza política ou não, tendo em vista o sistema da principalidade ou da preponderância.</w:t>
      </w:r>
    </w:p>
    <w:p>
      <w:pPr>
        <w:ind w:left="288"/>
      </w:pPr>
      <w:r>
        <w:rPr>
          <w:b/>
          <w:color w:val="003CA0"/>
          <w:sz w:val="16"/>
        </w:rPr>
        <w:t>[Ext. 615, rel. min. Paulo Brossard, j. 19-10-1994, P, DJ de 5-12-1994.]</w:t>
      </w:r>
    </w:p>
    <w:p>
      <w:pPr>
        <w:ind w:left="288"/>
      </w:pPr>
      <w:r>
        <w:rPr>
          <w:color w:val="8C8C8C"/>
          <w:sz w:val="12"/>
        </w:rPr>
        <w:t>cf-art-109-inc-III</w:t>
      </w:r>
      <w:r>
        <w:rPr>
          <w:color w:val="003CA0"/>
          <w:sz w:val="12"/>
        </w:rPr>
        <w:t xml:space="preserve"> | RE 159.350</w:t>
      </w:r>
      <w:r>
        <w:rPr>
          <w:color w:val="003CA0"/>
          <w:sz w:val="12"/>
        </w:rPr>
        <w:t xml:space="preserve"> | rel. Paulo Brossard</w:t>
      </w:r>
    </w:p>
    <w:p>
      <w:pPr>
        <w:ind w:left="288"/>
      </w:pPr>
      <w:r>
        <w:rPr>
          <w:color w:val="1E1E1E"/>
          <w:sz w:val="18"/>
        </w:rPr>
        <w:t>Competência da Justiça Federal se cometido perante a Justiça do Trabalho – art. 109, IV, CF. O legislador ao incluir o crime de patrocínio infiel no capítulo dos Crimes Contra a Administração da Justiça deixou caracterizado o funcionamento regular da Justiça como o bem jurídico precipuamente custodiado, sem embargo, do bem particular também agredido. Se a suposta ação delituosa, por ter ocorrido em uma reclamação trabalhista, atingiu a Justiça do Trabalho, que é federal, à Justiça Federal cabe processar e julgar a referida ação penal.</w:t>
      </w:r>
    </w:p>
    <w:p>
      <w:pPr>
        <w:ind w:left="288"/>
      </w:pPr>
      <w:r>
        <w:rPr>
          <w:b/>
          <w:color w:val="003CA0"/>
          <w:sz w:val="16"/>
        </w:rPr>
        <w:t>[RE 159.350, rel. min. Paulo Brossard, j. 24-8-1993, 2ª T, DJ de 12-11-1993.]</w:t>
      </w:r>
    </w:p>
    <w:p>
      <w:pPr>
        <w:ind w:left="144"/>
      </w:pPr>
      <w:r>
        <w:rPr>
          <w:b/>
          <w:color w:val="B45A00"/>
          <w:sz w:val="16"/>
        </w:rPr>
        <w:t>SUMULA</w:t>
      </w:r>
    </w:p>
    <w:p>
      <w:pPr>
        <w:ind w:left="288"/>
      </w:pPr>
      <w:r>
        <w:rPr>
          <w:color w:val="8C8C8C"/>
          <w:sz w:val="12"/>
        </w:rPr>
        <w:t>cf-art-109-inc-V</w:t>
      </w:r>
    </w:p>
    <w:p>
      <w:pPr>
        <w:ind w:left="288"/>
      </w:pPr>
      <w:r>
        <w:rPr>
          <w:color w:val="1E1E1E"/>
          <w:sz w:val="18"/>
        </w:rPr>
        <w:t>Salvo ocorrência de tráfico com o exterior, quando, então, a competência será da Justiça Federal, compete à Justiça dos Estados o processo e o julgamento dos crimes relativos a entorpecentes.</w:t>
      </w:r>
    </w:p>
    <w:p>
      <w:pPr>
        <w:ind w:left="288"/>
      </w:pPr>
      <w:r>
        <w:rPr>
          <w:b/>
          <w:color w:val="003CA0"/>
          <w:sz w:val="16"/>
        </w:rPr>
        <w:t>[Súmula 522.]</w:t>
      </w:r>
    </w:p>
    <w:p>
      <w:pPr>
        <w:ind w:left="144"/>
      </w:pPr>
      <w:r>
        <w:rPr>
          <w:b/>
          <w:color w:val="B45A00"/>
          <w:sz w:val="16"/>
        </w:rPr>
        <w:t>REPERCUSSAO GERAL</w:t>
      </w:r>
    </w:p>
    <w:p>
      <w:pPr>
        <w:ind w:left="288"/>
      </w:pPr>
      <w:r>
        <w:rPr>
          <w:color w:val="8C8C8C"/>
          <w:sz w:val="12"/>
        </w:rPr>
        <w:t>cf-art-109-inc-V</w:t>
      </w:r>
      <w:r>
        <w:rPr>
          <w:color w:val="003CA0"/>
          <w:sz w:val="12"/>
        </w:rPr>
        <w:t xml:space="preserve"> | RE 702.362</w:t>
      </w:r>
      <w:r>
        <w:rPr>
          <w:color w:val="003CA0"/>
          <w:sz w:val="12"/>
        </w:rPr>
        <w:t xml:space="preserve"> | rel. Luiz Fux</w:t>
      </w:r>
    </w:p>
    <w:p>
      <w:pPr>
        <w:ind w:left="288"/>
      </w:pPr>
      <w:r>
        <w:rPr>
          <w:color w:val="1E1E1E"/>
          <w:sz w:val="18"/>
        </w:rPr>
        <w:t>“Compete à Justiça Federal processar e julgar o crime de violação de direito autoral de caráter transnacional”.</w:t>
        <w:br/>
        <w:t>[RE 702.362, rel. min. Luiz Fux, j. 19.12.2023, P, DJE de 15.03.2024, Tema 580, com mérito julgado.] Reconhecida a obscuridade apontada nos embargos, a tese referente ao Tema 393 da repercussão geral passa a ter a seguinte redação: Compete à Justiça Federal processar e julgar os crimes consistentes em disponibilizar ou adquirir material pornográfico, acessível transnacionalmente, envolvendo criança ou adolescente, quando praticados por meio da rede mundial de computadores (arts. 241,</w:t>
      </w:r>
    </w:p>
    <w:p>
      <w:pPr>
        <w:ind w:left="144"/>
      </w:pPr>
      <w:r>
        <w:rPr>
          <w:b/>
          <w:color w:val="B45A00"/>
          <w:sz w:val="16"/>
        </w:rPr>
        <w:t>JULGADOS CORRELATOS</w:t>
      </w:r>
    </w:p>
    <w:p>
      <w:pPr>
        <w:ind w:left="288"/>
      </w:pPr>
      <w:r>
        <w:rPr>
          <w:color w:val="8C8C8C"/>
          <w:sz w:val="12"/>
        </w:rPr>
        <w:t>cf-art-109-inc-V</w:t>
      </w:r>
      <w:r>
        <w:rPr>
          <w:color w:val="003CA0"/>
          <w:sz w:val="12"/>
        </w:rPr>
        <w:t xml:space="preserve"> | RE 626.510</w:t>
      </w:r>
      <w:r>
        <w:rPr>
          <w:color w:val="003CA0"/>
          <w:sz w:val="12"/>
        </w:rPr>
        <w:t xml:space="preserve"> | rel. Dias Toffoli</w:t>
      </w:r>
    </w:p>
    <w:p>
      <w:pPr>
        <w:ind w:left="288"/>
      </w:pPr>
      <w:r>
        <w:rPr>
          <w:color w:val="1E1E1E"/>
          <w:sz w:val="18"/>
        </w:rPr>
        <w:t>Divulgação e publicação de música com suposto conteúdo de preconceito racial por meio da rede mundial de computadores. Competência da Justiça Federal. Artigo 109, inciso V, da CF. (...) Nos crimes cometidos mediante divulgação ou publicação de dados proibidos por meio da rede mundial de computadores, o requisito da transnacionalidade do delito infere-se da própria potencialidade de abrangência de sítios virtuais de amplo acesso.</w:t>
      </w:r>
    </w:p>
    <w:p>
      <w:pPr>
        <w:ind w:left="288"/>
      </w:pPr>
      <w:r>
        <w:rPr>
          <w:b/>
          <w:color w:val="003CA0"/>
          <w:sz w:val="16"/>
        </w:rPr>
        <w:t>[RE 626.510-AgR-ED, rel. min. Dias Toffoli, j. 28-8-2018, 2ª T, DJE de 22-10-2018.]</w:t>
        <w:br/>
        <w:t>Vide RE 628.624, red. do ac. min. Edson Fachin, j. 29-10-2015, P, DJE de 6-4-2016, Tema 393, com mérito julgado</w:t>
        <w:br/>
        <w:t>Vide RE 628.624 ED, rel. min. Edson Fachin, j. 18-8-20</w:t>
      </w:r>
    </w:p>
    <w:p>
      <w:pPr>
        <w:ind w:left="288"/>
      </w:pPr>
      <w:r>
        <w:rPr>
          <w:color w:val="8C8C8C"/>
          <w:sz w:val="12"/>
        </w:rPr>
        <w:t>cf-art-109-inc-V</w:t>
      </w:r>
      <w:r>
        <w:rPr>
          <w:color w:val="003CA0"/>
          <w:sz w:val="12"/>
        </w:rPr>
        <w:t xml:space="preserve"> | HC 103.945</w:t>
      </w:r>
      <w:r>
        <w:rPr>
          <w:color w:val="003CA0"/>
          <w:sz w:val="12"/>
        </w:rPr>
        <w:t xml:space="preserve"> | rel. Dias Toffoli</w:t>
      </w:r>
    </w:p>
    <w:p>
      <w:pPr>
        <w:ind w:left="288"/>
      </w:pPr>
      <w:r>
        <w:rPr>
          <w:color w:val="1E1E1E"/>
          <w:sz w:val="18"/>
        </w:rPr>
        <w:t>Compete à Justiça Federal o julgamento dos crimes de tráfico internacional de drogas. Entretanto, nem o simples fato de alguns corréus serem estrangeiros nem a eventual origem externa da droga são motivos suficientes para o deslocamento da competência para a Justiça Federal.</w:t>
      </w:r>
    </w:p>
    <w:p>
      <w:pPr>
        <w:ind w:left="288"/>
      </w:pPr>
      <w:r>
        <w:rPr>
          <w:b/>
          <w:color w:val="003CA0"/>
          <w:sz w:val="16"/>
        </w:rPr>
        <w:t>[HC 103.945, rel. min. Dias Toffoli, j. 26-4-2011, 1ª T, DJE de 6-6-2011.]</w:t>
      </w:r>
    </w:p>
    <w:p>
      <w:pPr>
        <w:ind w:left="288"/>
      </w:pPr>
      <w:r>
        <w:rPr>
          <w:color w:val="8C8C8C"/>
          <w:sz w:val="12"/>
        </w:rPr>
        <w:t>cf-art-109-inc-V</w:t>
      </w:r>
      <w:r>
        <w:rPr>
          <w:color w:val="003CA0"/>
          <w:sz w:val="12"/>
        </w:rPr>
        <w:t xml:space="preserve"> | HC 102.497</w:t>
      </w:r>
      <w:r>
        <w:rPr>
          <w:color w:val="003CA0"/>
          <w:sz w:val="12"/>
        </w:rPr>
        <w:t xml:space="preserve"> | rel. Ayres Britto</w:t>
      </w:r>
    </w:p>
    <w:p>
      <w:pPr>
        <w:ind w:left="288"/>
      </w:pPr>
      <w:r>
        <w:rPr>
          <w:color w:val="1E1E1E"/>
          <w:sz w:val="18"/>
        </w:rPr>
        <w:t xml:space="preserve">Os autos revelam a presença de fortes indícios quanto à destinação do entorpecente apreendido em poder do paciente. Isso porque as "circunstâncias da abordagem do acusado, o bilhete de passagem aérea emitido em nome de (...), com destino a Lima, no Peru, encontrado em sua mala, juntamente com o entorpecente, bem com as declarações por ele prestadas, no sentido de que estivera recentemente no exterior e que novamente iria viajar para o estrangeiro, constituem indícios da internacionalidade do delito de tráfico de entorpecentes, a fixar a competência da Justiça Federal para processar e julgar o </w:t>
      </w:r>
    </w:p>
    <w:p>
      <w:pPr>
        <w:ind w:left="288"/>
      </w:pPr>
      <w:r>
        <w:rPr>
          <w:b/>
          <w:color w:val="003CA0"/>
          <w:sz w:val="16"/>
        </w:rPr>
        <w:t>[HC 102.497, rel. min. Ayres Britto, j. 10-8-2010, 1ª T, DJE de 10-9-2010.]</w:t>
      </w:r>
    </w:p>
    <w:p>
      <w:pPr>
        <w:ind w:left="288"/>
      </w:pPr>
      <w:r>
        <w:rPr>
          <w:color w:val="8C8C8C"/>
          <w:sz w:val="12"/>
        </w:rPr>
        <w:t>cf-art-109-inc-V</w:t>
      </w:r>
      <w:r>
        <w:rPr>
          <w:color w:val="003CA0"/>
          <w:sz w:val="12"/>
        </w:rPr>
        <w:t xml:space="preserve"> | HC 89.437</w:t>
      </w:r>
      <w:r>
        <w:rPr>
          <w:color w:val="003CA0"/>
          <w:sz w:val="12"/>
        </w:rPr>
        <w:t xml:space="preserve"> | rel. Ricardo Lewandowski</w:t>
      </w:r>
    </w:p>
    <w:p>
      <w:pPr>
        <w:ind w:left="288"/>
      </w:pPr>
      <w:r>
        <w:rPr>
          <w:color w:val="1E1E1E"/>
          <w:sz w:val="18"/>
        </w:rPr>
        <w:t>Evidenciado o caráter internacional do tráfico de drogas e identificada a conexão dos crimes, compete à Justiça Federal o processamento e julgamento dos feitos.</w:t>
      </w:r>
    </w:p>
    <w:p>
      <w:pPr>
        <w:ind w:left="288"/>
      </w:pPr>
      <w:r>
        <w:rPr>
          <w:b/>
          <w:color w:val="003CA0"/>
          <w:sz w:val="16"/>
        </w:rPr>
        <w:t>[HC 89.437, rel. min. Ricardo Lewandowski, j. 5-6-2007, 1ª T, DJ de 22-6-2007.]</w:t>
      </w:r>
    </w:p>
    <w:p>
      <w:pPr>
        <w:ind w:left="288"/>
      </w:pPr>
      <w:r>
        <w:rPr>
          <w:color w:val="8C8C8C"/>
          <w:sz w:val="12"/>
        </w:rPr>
        <w:t>cf-art-109-inc-V</w:t>
      </w:r>
      <w:r>
        <w:rPr>
          <w:color w:val="003CA0"/>
          <w:sz w:val="12"/>
        </w:rPr>
        <w:t xml:space="preserve"> | HC 86.289</w:t>
      </w:r>
      <w:r>
        <w:rPr>
          <w:color w:val="003CA0"/>
          <w:sz w:val="12"/>
        </w:rPr>
        <w:t xml:space="preserve"> | rel. Ricardo Lewandowski</w:t>
      </w:r>
    </w:p>
    <w:p>
      <w:pPr>
        <w:ind w:left="288"/>
      </w:pPr>
      <w:r>
        <w:rPr>
          <w:color w:val="1E1E1E"/>
          <w:sz w:val="18"/>
        </w:rPr>
        <w:t>Compete à Justiça Federal processar e julgar os crimes cuja consumação se deu em território estrangeiro (art. 109, V, CF). O crime tipificado no art. 241 do ECA, consubstanciado na divulgação ou publicação, pela internet, de fotografias pornográficas ou de cenas de sexo explícito envolvendo crianças ou adolescentes, cujo acesso se deu além das fronteiras nacionais, atrai a competência da Justiça Federal para o seu processamento e julgamento.</w:t>
      </w:r>
    </w:p>
    <w:p>
      <w:pPr>
        <w:ind w:left="288"/>
      </w:pPr>
      <w:r>
        <w:rPr>
          <w:b/>
          <w:color w:val="003CA0"/>
          <w:sz w:val="16"/>
        </w:rPr>
        <w:t>[HC 86.289, rel. min. Ricardo Lewandowski, j. 6-6-2006, 1ª T, DJ de 20-10-2006.]</w:t>
      </w:r>
    </w:p>
    <w:p>
      <w:pPr>
        <w:ind w:left="288"/>
      </w:pPr>
      <w:r>
        <w:rPr>
          <w:color w:val="8C8C8C"/>
          <w:sz w:val="12"/>
        </w:rPr>
        <w:t>cf-art-109-inc-V</w:t>
      </w:r>
      <w:r>
        <w:rPr>
          <w:color w:val="003CA0"/>
          <w:sz w:val="12"/>
        </w:rPr>
        <w:t xml:space="preserve"> | rel. Marco Aurélio</w:t>
      </w:r>
    </w:p>
    <w:p>
      <w:pPr>
        <w:ind w:left="288"/>
      </w:pPr>
      <w:r>
        <w:rPr>
          <w:color w:val="1E1E1E"/>
          <w:sz w:val="18"/>
        </w:rPr>
        <w:t>Na dicção da ilustrada maioria, entendimento em relação ao qual divergi, na companhia do ministro Ilmar Galvão, estando ausente, na ocasião, justificadamente, o min. Celso de Mello, compete ao STJ, e não ao STF, dirimir o conflito, enquanto não envolvido o STM. (...) A competência para dirimir o conflito é do STF, ante o fato de, em curso as ações penais alicerçadas nos mesmos dados, o STM haver conhecido e indeferido habeas corpus, versando sobre a custódia, impetrado contra ato do juízo da circunscrição militar. (...) A ressalva constitucional da competência da Jurisdição Especializada Milit</w:t>
      </w:r>
    </w:p>
    <w:p>
      <w:pPr>
        <w:ind w:left="288"/>
      </w:pPr>
      <w:r>
        <w:rPr>
          <w:b/>
          <w:color w:val="003CA0"/>
          <w:sz w:val="16"/>
        </w:rPr>
        <w:t>[CC 7.087, rel. min. Marco Aurélio, j. 3-5-2000, P, DJ de 31-8-2001.]</w:t>
      </w:r>
    </w:p>
    <w:p>
      <w:pPr>
        <w:ind w:left="288"/>
      </w:pPr>
      <w:r>
        <w:rPr>
          <w:color w:val="8C8C8C"/>
          <w:sz w:val="12"/>
        </w:rPr>
        <w:t>cf-art-109-inc-V</w:t>
      </w:r>
      <w:r>
        <w:rPr>
          <w:color w:val="003CA0"/>
          <w:sz w:val="12"/>
        </w:rPr>
        <w:t xml:space="preserve"> | HC 76.288</w:t>
      </w:r>
      <w:r>
        <w:rPr>
          <w:color w:val="003CA0"/>
          <w:sz w:val="12"/>
        </w:rPr>
        <w:t xml:space="preserve"> | rel. Sepúlveda Pertence</w:t>
      </w:r>
    </w:p>
    <w:p>
      <w:pPr>
        <w:ind w:left="288"/>
      </w:pPr>
      <w:r>
        <w:rPr>
          <w:color w:val="1E1E1E"/>
          <w:sz w:val="18"/>
        </w:rPr>
        <w:t>Na linha da orientação firmada no CJ 4.067, da qual proveio a Súmula 522 e o vigente art. 109, V, CF, ao caráter internacional do tráfico de entorpecentes, a ditar a competência da Justiça Federal, não é necessário que à circunstância objetiva de estender-se o fato, na sua prática ou em função dos resultados reais ou pretendidos, a mais de um país, se some a cooperação de agentes situados em territórios nacionais diversos.</w:t>
      </w:r>
    </w:p>
    <w:p>
      <w:pPr>
        <w:ind w:left="288"/>
      </w:pPr>
      <w:r>
        <w:rPr>
          <w:b/>
          <w:color w:val="003CA0"/>
          <w:sz w:val="16"/>
        </w:rPr>
        <w:t>[HC 76.288, rel. min. Sepúlveda Pertence, j. 2-12-1997, 1ª T, DJ de 6-2-1998.]</w:t>
      </w:r>
    </w:p>
    <w:p>
      <w:pPr>
        <w:ind w:left="288"/>
      </w:pPr>
      <w:r>
        <w:rPr>
          <w:color w:val="8C8C8C"/>
          <w:sz w:val="12"/>
        </w:rPr>
        <w:t>cf-art-109-inc-V</w:t>
      </w:r>
      <w:r>
        <w:rPr>
          <w:color w:val="003CA0"/>
          <w:sz w:val="12"/>
        </w:rPr>
        <w:t xml:space="preserve"> | HC 74.479</w:t>
      </w:r>
      <w:r>
        <w:rPr>
          <w:color w:val="003CA0"/>
          <w:sz w:val="12"/>
        </w:rPr>
        <w:t xml:space="preserve"> | rel. Carlos Velloso</w:t>
      </w:r>
    </w:p>
    <w:p>
      <w:pPr>
        <w:ind w:left="288"/>
      </w:pPr>
      <w:r>
        <w:rPr>
          <w:color w:val="1E1E1E"/>
          <w:sz w:val="18"/>
        </w:rPr>
        <w:t>Tráfico de entorpecentes. Tráfico interno. Lei 6.368/1976, art. 12. Competência. Súmula 522/STF. Tráfico interno de entorpecentes: competência da Justiça comum estadual.</w:t>
      </w:r>
    </w:p>
    <w:p>
      <w:pPr>
        <w:ind w:left="288"/>
      </w:pPr>
      <w:r>
        <w:rPr>
          <w:b/>
          <w:color w:val="003CA0"/>
          <w:sz w:val="16"/>
        </w:rPr>
        <w:t>[HC 74.479, rel. min. Carlos Velloso, j. 13-12-1996, 2ª T, DJ de 28-2-1997.]</w:t>
      </w:r>
    </w:p>
    <w:p>
      <w:pPr>
        <w:ind w:left="144"/>
      </w:pPr>
      <w:r>
        <w:rPr>
          <w:b/>
          <w:color w:val="B45A00"/>
          <w:sz w:val="16"/>
        </w:rPr>
        <w:t>CONTROLE CONCENTRADO</w:t>
      </w:r>
    </w:p>
    <w:p>
      <w:pPr>
        <w:ind w:left="288"/>
      </w:pPr>
      <w:r>
        <w:rPr>
          <w:color w:val="8C8C8C"/>
          <w:sz w:val="12"/>
        </w:rPr>
        <w:t>cf-art-109-inc-V</w:t>
      </w:r>
      <w:r>
        <w:rPr>
          <w:color w:val="003CA0"/>
          <w:sz w:val="12"/>
        </w:rPr>
        <w:t xml:space="preserve"> | ADI 3.486</w:t>
      </w:r>
      <w:r>
        <w:rPr>
          <w:color w:val="003CA0"/>
          <w:sz w:val="12"/>
        </w:rPr>
        <w:t xml:space="preserve"> | rel. Dias Toffoli</w:t>
      </w:r>
    </w:p>
    <w:p>
      <w:pPr>
        <w:ind w:left="288"/>
      </w:pPr>
      <w:r>
        <w:rPr>
          <w:color w:val="1E1E1E"/>
          <w:sz w:val="18"/>
        </w:rPr>
        <w:t>Artigo 1º da Emenda Constitucional nº 45/04. Inserção do inciso V-A e do § 5º ao art. 109 da Constituição Federal. Incidente de deslocamento de competência. (...) A fórmula escolhida pelo poder reformador para o transporte à Justiça Federal dos feitos em que haja violação grave dos direitos humanos foi o incidente de deslocamento, e não a previsão de uma competência geral e aberta. A criação do instituto representa a adoção de mecanismo de equacionamento jurídico da problemática da ineficiência do aparato estatal de repressão às graves violações dos direitos humanos, tendo presente, especialme</w:t>
      </w:r>
    </w:p>
    <w:p>
      <w:pPr>
        <w:ind w:left="144"/>
      </w:pPr>
      <w:r>
        <w:rPr>
          <w:b/>
          <w:color w:val="B45A00"/>
          <w:sz w:val="16"/>
        </w:rPr>
        <w:t>JULGADOS CORRELATOS</w:t>
      </w:r>
    </w:p>
    <w:p>
      <w:pPr>
        <w:ind w:left="288"/>
      </w:pPr>
      <w:r>
        <w:rPr>
          <w:color w:val="8C8C8C"/>
          <w:sz w:val="12"/>
        </w:rPr>
        <w:t>cf-art-109-inc-VI</w:t>
      </w:r>
      <w:r>
        <w:rPr>
          <w:color w:val="003CA0"/>
          <w:sz w:val="12"/>
        </w:rPr>
        <w:t xml:space="preserve"> | RE 599.943</w:t>
      </w:r>
      <w:r>
        <w:rPr>
          <w:color w:val="003CA0"/>
          <w:sz w:val="12"/>
        </w:rPr>
        <w:t xml:space="preserve"> | rel. Cármen Lúcia</w:t>
      </w:r>
    </w:p>
    <w:p>
      <w:pPr>
        <w:ind w:left="288"/>
      </w:pPr>
      <w:r>
        <w:rPr>
          <w:color w:val="1E1E1E"/>
          <w:sz w:val="18"/>
        </w:rPr>
        <w:t>Delitos de greve e crimes contra a organização do trabalho (arts. 197 a 207 do CP) que causem prejuízo à ordem pública, econômica ou social e ao trabalho coletivo: competência da Justiça Federal.</w:t>
      </w:r>
    </w:p>
    <w:p>
      <w:pPr>
        <w:ind w:left="288"/>
      </w:pPr>
      <w:r>
        <w:rPr>
          <w:b/>
          <w:color w:val="003CA0"/>
          <w:sz w:val="16"/>
        </w:rPr>
        <w:t>[RE 599.943 AgR, rel. min. Cármen Lúcia, j. 2-12-2010, 2ª T, DJE de 1º-2-2011.]</w:t>
      </w:r>
    </w:p>
    <w:p>
      <w:pPr>
        <w:ind w:left="288"/>
      </w:pPr>
      <w:r>
        <w:rPr>
          <w:color w:val="8C8C8C"/>
          <w:sz w:val="12"/>
        </w:rPr>
        <w:t>cf-art-109-inc-VI</w:t>
      </w:r>
      <w:r>
        <w:rPr>
          <w:color w:val="003CA0"/>
          <w:sz w:val="12"/>
        </w:rPr>
        <w:t xml:space="preserve"> | RE 511.849</w:t>
      </w:r>
      <w:r>
        <w:rPr>
          <w:color w:val="003CA0"/>
          <w:sz w:val="12"/>
        </w:rPr>
        <w:t xml:space="preserve"> | rel. Roberto Barroso</w:t>
      </w:r>
    </w:p>
    <w:p>
      <w:pPr>
        <w:ind w:left="288"/>
      </w:pPr>
      <w:r>
        <w:rPr>
          <w:color w:val="1E1E1E"/>
          <w:sz w:val="18"/>
        </w:rPr>
        <w:t>= RE 511.849 AgR, rel. min. Roberto Barroso, j. 4-2-2014, 1ª T, DJE de 20-2-2014 Crimes contra o Sistema Financeiro Nacional praticados em Curitiba/PR e São Paulo. Definição da competência entre a Justiça Federal de Curitiba/PR e a Justiça Federal de São Paulo. Crime de gestão fraudulenta de instituição financeira (...), praticado em São Paulo, para o qual a pena é maior que as cominadas aos demais delitos. Definição da competência pelo critério qualitativo (...). Competência da Justiça Federal de São Paulo.</w:t>
      </w:r>
    </w:p>
    <w:p>
      <w:pPr>
        <w:ind w:left="288"/>
      </w:pPr>
      <w:r>
        <w:rPr>
          <w:b/>
          <w:color w:val="003CA0"/>
          <w:sz w:val="16"/>
        </w:rPr>
        <w:t>[HC 85.796, rel. min. Eros Grau, j. 4-8-2009, 2ª T, DJE de 29-10-2009.]</w:t>
      </w:r>
    </w:p>
    <w:p>
      <w:pPr>
        <w:ind w:left="288"/>
      </w:pPr>
      <w:r>
        <w:rPr>
          <w:color w:val="8C8C8C"/>
          <w:sz w:val="12"/>
        </w:rPr>
        <w:t>cf-art-109-inc-VI</w:t>
      </w:r>
      <w:r>
        <w:rPr>
          <w:color w:val="003CA0"/>
          <w:sz w:val="12"/>
        </w:rPr>
        <w:t xml:space="preserve"> | RE 588.332</w:t>
      </w:r>
      <w:r>
        <w:rPr>
          <w:color w:val="003CA0"/>
          <w:sz w:val="12"/>
        </w:rPr>
        <w:t xml:space="preserve"> | rel. Ellen Gracie</w:t>
      </w:r>
    </w:p>
    <w:p>
      <w:pPr>
        <w:ind w:left="288"/>
      </w:pPr>
      <w:r>
        <w:rPr>
          <w:color w:val="1E1E1E"/>
          <w:sz w:val="18"/>
        </w:rPr>
        <w:t>O fato, por si só, de a lesão corporal descrita na denúncia ser decorrente de acidente de trabalho não é suficiente para transferir para a Justiça Federal o processamento e julgamento da ação penal. Não se pode considerar o delito descrito na denúncia como sendo crime contra a organização do trabalho, visto que esta espécie delitiva somente se configura quando há ofensa ao sistema de órgãos e instituições destinados a preservar coletivamente o trabalho.</w:t>
      </w:r>
    </w:p>
    <w:p>
      <w:pPr>
        <w:ind w:left="288"/>
      </w:pPr>
      <w:r>
        <w:rPr>
          <w:b/>
          <w:color w:val="003CA0"/>
          <w:sz w:val="16"/>
        </w:rPr>
        <w:t>[RE 588.332, rel. min. Ellen Gracie, j. 31-3-2009, 2ª T, DJE de 24-4-2009.]</w:t>
      </w:r>
    </w:p>
    <w:p>
      <w:pPr>
        <w:ind w:left="144"/>
      </w:pPr>
      <w:r>
        <w:rPr>
          <w:b/>
          <w:color w:val="B45A00"/>
          <w:sz w:val="16"/>
        </w:rPr>
        <w:t>REPERCUSSAO GERAL</w:t>
      </w:r>
    </w:p>
    <w:p>
      <w:pPr>
        <w:ind w:left="288"/>
      </w:pPr>
      <w:r>
        <w:rPr>
          <w:color w:val="8C8C8C"/>
          <w:sz w:val="12"/>
        </w:rPr>
        <w:t>cf-art-109-inc-VI</w:t>
      </w:r>
      <w:r>
        <w:rPr>
          <w:color w:val="003CA0"/>
          <w:sz w:val="12"/>
        </w:rPr>
        <w:t xml:space="preserve"> | RE 511.853</w:t>
      </w:r>
      <w:r>
        <w:rPr>
          <w:color w:val="003CA0"/>
          <w:sz w:val="12"/>
        </w:rPr>
        <w:t xml:space="preserve"> | rel. Ellen Gracie</w:t>
      </w:r>
    </w:p>
    <w:p>
      <w:pPr>
        <w:ind w:left="288"/>
      </w:pPr>
      <w:r>
        <w:rPr>
          <w:b/>
          <w:color w:val="003CA0"/>
          <w:sz w:val="16"/>
        </w:rPr>
        <w:t>[RE 511.853 AgR, rel. min. Ellen Gracie, j. 14-10-2008, 2ª T, DJE de 14-11-2008.]</w:t>
      </w:r>
    </w:p>
    <w:p>
      <w:pPr>
        <w:ind w:left="288"/>
      </w:pPr>
      <w:r>
        <w:rPr>
          <w:color w:val="8C8C8C"/>
          <w:sz w:val="12"/>
        </w:rPr>
        <w:t>cf-art-109-inc-VI</w:t>
      </w:r>
      <w:r>
        <w:rPr>
          <w:color w:val="003CA0"/>
          <w:sz w:val="12"/>
        </w:rPr>
        <w:t xml:space="preserve"> | RHC 90.532</w:t>
      </w:r>
      <w:r>
        <w:rPr>
          <w:color w:val="003CA0"/>
          <w:sz w:val="12"/>
        </w:rPr>
        <w:t xml:space="preserve"> | rel. Joaquim Barbosa</w:t>
      </w:r>
    </w:p>
    <w:p>
      <w:pPr>
        <w:ind w:left="288"/>
      </w:pPr>
      <w:r>
        <w:rPr>
          <w:color w:val="1E1E1E"/>
          <w:sz w:val="18"/>
        </w:rPr>
        <w:t>Entendimento do STF, ademais, no sentido de que os crimes contra a organização do trabalho são da competência da Justiça Federal.</w:t>
      </w:r>
    </w:p>
    <w:p>
      <w:pPr>
        <w:ind w:left="288"/>
      </w:pPr>
      <w:r>
        <w:rPr>
          <w:b/>
          <w:color w:val="003CA0"/>
          <w:sz w:val="16"/>
        </w:rPr>
        <w:t>[RHC 90.532, rel. min. Joaquim Barbosa, j. 1º-7-2008, P, DJE de 15-5-2009.]</w:t>
      </w:r>
    </w:p>
    <w:p>
      <w:pPr>
        <w:ind w:left="288"/>
      </w:pPr>
      <w:r>
        <w:rPr>
          <w:color w:val="8C8C8C"/>
          <w:sz w:val="12"/>
        </w:rPr>
        <w:t>cf-art-109-inc-VI</w:t>
      </w:r>
      <w:r>
        <w:rPr>
          <w:color w:val="003CA0"/>
          <w:sz w:val="12"/>
        </w:rPr>
        <w:t xml:space="preserve"> | RE 166.943</w:t>
      </w:r>
      <w:r>
        <w:rPr>
          <w:color w:val="003CA0"/>
          <w:sz w:val="12"/>
        </w:rPr>
        <w:t xml:space="preserve"> | rel. Sepúlveda Pertence</w:t>
      </w:r>
    </w:p>
    <w:p>
      <w:pPr>
        <w:ind w:left="288"/>
      </w:pPr>
      <w:r>
        <w:rPr>
          <w:color w:val="1E1E1E"/>
          <w:sz w:val="18"/>
        </w:rPr>
        <w:t>Competência: Justiça estadual: processo por crime contra a ordem econômica previsto no art. 1º da Lei 8.176/1991 (venda de combustível adulterado); inexistência de lesão à atividade de fiscalização atribuída à Agência Nacional do Petróleo (ANP) e, portanto, ausente interesse direto e específico da União: não incidência do art. 109, IV, da CF. Regra geral, os crimes contra a ordem econômica são da competência da Justiça comum, e, no caso, como a Lei 8.176/1991 não especifica a competência para o processo e julgamento do fato que o recorrido supostamente teria praticado, não há se cogitar de inc</w:t>
      </w:r>
    </w:p>
    <w:p>
      <w:pPr>
        <w:ind w:left="288"/>
      </w:pPr>
      <w:r>
        <w:rPr>
          <w:b/>
          <w:color w:val="003CA0"/>
          <w:sz w:val="16"/>
        </w:rPr>
        <w:t>[RE 502.915, rel. min. Sepúlveda Pertence, j. 13-2-2007, 1ª T, DJ de 27-4-2007.]</w:t>
      </w:r>
    </w:p>
    <w:p>
      <w:pPr>
        <w:ind w:left="288"/>
      </w:pPr>
      <w:r>
        <w:rPr>
          <w:color w:val="8C8C8C"/>
          <w:sz w:val="12"/>
        </w:rPr>
        <w:t>cf-art-109-inc-VI</w:t>
      </w:r>
      <w:r>
        <w:rPr>
          <w:color w:val="003CA0"/>
          <w:sz w:val="12"/>
        </w:rPr>
        <w:t xml:space="preserve"> | RE 454.737</w:t>
      </w:r>
      <w:r>
        <w:rPr>
          <w:color w:val="003CA0"/>
          <w:sz w:val="12"/>
        </w:rPr>
        <w:t xml:space="preserve"> | rel. Cezar Peluso</w:t>
      </w:r>
    </w:p>
    <w:p>
      <w:pPr>
        <w:ind w:left="288"/>
      </w:pPr>
      <w:r>
        <w:rPr>
          <w:color w:val="1E1E1E"/>
          <w:sz w:val="18"/>
        </w:rPr>
        <w:t>= RE 454.737, rel. min. Cezar Peluso, j. 18-9-2008, P, DJE de 21-11-2008 A existência de trabalhadores a laborar sob escolta, alguns acorrentados, em situação de total violação da liberdade e da autodeterminação de cada um, configura crime contra a organização do trabalho. Quaisquer condutas que possam ser tidas como violadoras não somente do sistema de órgãos e instituições com atribuições para proteger os direitos e deveres dos trabalhadores, mas também dos próprios trabalhadores, atingindo-os em esferas que lhes são mais caras, em que a Constituição lhes confere proteção máxima, são enquadr</w:t>
      </w:r>
    </w:p>
    <w:p>
      <w:pPr>
        <w:ind w:left="288"/>
      </w:pPr>
      <w:r>
        <w:rPr>
          <w:b/>
          <w:color w:val="003CA0"/>
          <w:sz w:val="16"/>
        </w:rPr>
        <w:t>[RE 398.041, rel. min. Joaquim Barbosa, j. 30-11-2006, P, DJE de 19-12-2008.]</w:t>
      </w:r>
    </w:p>
    <w:p>
      <w:pPr>
        <w:ind w:left="288"/>
      </w:pPr>
      <w:r>
        <w:rPr>
          <w:color w:val="8C8C8C"/>
          <w:sz w:val="12"/>
        </w:rPr>
        <w:t>cf-art-109-inc-VI</w:t>
      </w:r>
      <w:r>
        <w:rPr>
          <w:color w:val="003CA0"/>
          <w:sz w:val="12"/>
        </w:rPr>
        <w:t xml:space="preserve"> | RE 459.510</w:t>
      </w:r>
      <w:r>
        <w:rPr>
          <w:color w:val="003CA0"/>
          <w:sz w:val="12"/>
        </w:rPr>
        <w:t xml:space="preserve"> | rel. Marco Aurélio</w:t>
      </w:r>
    </w:p>
    <w:p>
      <w:pPr>
        <w:ind w:left="288"/>
      </w:pPr>
      <w:r>
        <w:rPr>
          <w:color w:val="1E1E1E"/>
          <w:sz w:val="18"/>
        </w:rPr>
        <w:t>= RE 459.510, red. do ac. min. Dias Toffoli, j. 26-11-2015, P, DJE de 12-4-2016 = RE 525.203 AgR, rel. min. Marco Aurélio, j. 18-4-2012, dec. monocrática, DJE de 7-5-2012</w:t>
      </w:r>
    </w:p>
    <w:p>
      <w:pPr>
        <w:ind w:left="288"/>
      </w:pPr>
      <w:r>
        <w:rPr>
          <w:color w:val="8C8C8C"/>
          <w:sz w:val="12"/>
        </w:rPr>
        <w:t>cf-art-109-inc-VII</w:t>
      </w:r>
      <w:r>
        <w:rPr>
          <w:color w:val="003CA0"/>
          <w:sz w:val="12"/>
        </w:rPr>
        <w:t xml:space="preserve"> | ARE 1.547.351</w:t>
      </w:r>
      <w:r>
        <w:rPr>
          <w:color w:val="003CA0"/>
          <w:sz w:val="12"/>
        </w:rPr>
        <w:t xml:space="preserve"> | rel. Alexandre de Moraes</w:t>
      </w:r>
    </w:p>
    <w:p>
      <w:pPr>
        <w:ind w:left="288"/>
      </w:pPr>
      <w:r>
        <w:rPr>
          <w:color w:val="1E1E1E"/>
          <w:sz w:val="18"/>
        </w:rPr>
        <w:t>A competência da Justiça Militar da União limita-se ao processo e julgamento de crimes militares, não abrangendo ações relativas a infrações disciplinares (CF, art. 124), razão pela qual compete à Justiça Federal o controle judicial sobre punições disciplinares de militares federais (CF, art. 109, VII).</w:t>
      </w:r>
    </w:p>
    <w:p>
      <w:pPr>
        <w:ind w:left="288"/>
      </w:pPr>
      <w:r>
        <w:rPr>
          <w:b/>
          <w:color w:val="003CA0"/>
          <w:sz w:val="16"/>
        </w:rPr>
        <w:t>[ARE 1.547.351 AgR, rel. min. Alexandre de Moraes, j. 06.10.2025, 1ª T, DJE de 10.10.2025.]</w:t>
      </w:r>
    </w:p>
    <w:p>
      <w:pPr>
        <w:ind w:left="288"/>
      </w:pPr>
      <w:r>
        <w:rPr>
          <w:color w:val="8C8C8C"/>
          <w:sz w:val="12"/>
        </w:rPr>
        <w:t>cf-art-109-inc-VIII</w:t>
      </w:r>
      <w:r>
        <w:rPr>
          <w:color w:val="003CA0"/>
          <w:sz w:val="12"/>
        </w:rPr>
        <w:t xml:space="preserve"> | RE 726.035</w:t>
      </w:r>
      <w:r>
        <w:rPr>
          <w:color w:val="003CA0"/>
          <w:sz w:val="12"/>
        </w:rPr>
        <w:t xml:space="preserve"> | rel. Luiz Fux</w:t>
      </w:r>
    </w:p>
    <w:p>
      <w:pPr>
        <w:ind w:left="288"/>
      </w:pPr>
      <w:r>
        <w:rPr>
          <w:color w:val="1E1E1E"/>
          <w:sz w:val="18"/>
        </w:rPr>
        <w:t>(...) sendo a sociedade de economia mista pessoa jurídica de direito privado, ela, na execução de atos de delegação por parte da União, se apresenta, inegavelmente, para efeitos de mandado de segurança, como autoridade federal. Sistematicamente, não há como se olvidar não ser competente, em tais casos, a Justiça Federal.</w:t>
        <w:br/>
        <w:t>[RE 726.035 RG, voto do rel. min. Luiz Fux, j. 24-4-2014, P, DJE de 5-5-2014, Tema 722, com mérito julgado.]</w:t>
      </w:r>
    </w:p>
    <w:p>
      <w:pPr>
        <w:ind w:left="144"/>
      </w:pPr>
      <w:r>
        <w:rPr>
          <w:b/>
          <w:color w:val="B45A00"/>
          <w:sz w:val="16"/>
        </w:rPr>
        <w:t>JULGADOS CORRELATOS</w:t>
      </w:r>
    </w:p>
    <w:p>
      <w:pPr>
        <w:ind w:left="288"/>
      </w:pPr>
      <w:r>
        <w:rPr>
          <w:color w:val="8C8C8C"/>
          <w:sz w:val="12"/>
        </w:rPr>
        <w:t>cf-art-109-inc-VIII</w:t>
      </w:r>
      <w:r>
        <w:rPr>
          <w:color w:val="003CA0"/>
          <w:sz w:val="12"/>
        </w:rPr>
        <w:t xml:space="preserve"> | MS 23.977</w:t>
      </w:r>
      <w:r>
        <w:rPr>
          <w:color w:val="003CA0"/>
          <w:sz w:val="12"/>
        </w:rPr>
        <w:t xml:space="preserve"> | rel. Cezar Peluso</w:t>
      </w:r>
    </w:p>
    <w:p>
      <w:pPr>
        <w:ind w:left="288"/>
      </w:pPr>
      <w:r>
        <w:rPr>
          <w:color w:val="1E1E1E"/>
          <w:sz w:val="18"/>
        </w:rPr>
        <w:t>Não compete ao Supremo, mas à Justiça Federal, conhecer de mandado de segurança impetrado contra ato, omissivo ou comissivo, praticado, não pela Mesa, mas pelo presidente da Câmara dos Deputados.</w:t>
      </w:r>
    </w:p>
    <w:p>
      <w:pPr>
        <w:ind w:left="288"/>
      </w:pPr>
      <w:r>
        <w:rPr>
          <w:b/>
          <w:color w:val="003CA0"/>
          <w:sz w:val="16"/>
        </w:rPr>
        <w:t>[MS 23.977, rel. min. Cezar Peluso, j. 12-5-2010, P, DJE de 27-8-2010.]</w:t>
      </w:r>
    </w:p>
    <w:p>
      <w:pPr>
        <w:ind w:left="288"/>
      </w:pPr>
      <w:r>
        <w:rPr>
          <w:color w:val="8C8C8C"/>
          <w:sz w:val="12"/>
        </w:rPr>
        <w:t>cf-art-109-inc-VIII</w:t>
      </w:r>
      <w:r>
        <w:rPr>
          <w:color w:val="003CA0"/>
          <w:sz w:val="12"/>
        </w:rPr>
        <w:t xml:space="preserve"> | MS 24.099</w:t>
      </w:r>
      <w:r>
        <w:rPr>
          <w:color w:val="003CA0"/>
          <w:sz w:val="12"/>
        </w:rPr>
        <w:t xml:space="preserve"> | rel. Maurício Corrêa</w:t>
      </w:r>
    </w:p>
    <w:p>
      <w:pPr>
        <w:ind w:left="288"/>
      </w:pPr>
      <w:r>
        <w:rPr>
          <w:color w:val="1E1E1E"/>
          <w:sz w:val="18"/>
        </w:rPr>
        <w:t>Vide MS 24.099 AgR, rel. min. Maurício Corrêa, j. 7-3-2002, P, DJ de 2-8-2002 Juntas comerciais. Órgãos administrativamente subordinados ao Estado, mas tecnicamente à autoridade federal, como elementos do sistema nacional dos Serviços de Registro do Comércio. Consequente competência da Justiça Federal para o julgamento de mandado de segurança contra ato do presidente da junta, compreendido em sua atividade-fim.</w:t>
      </w:r>
    </w:p>
    <w:p>
      <w:pPr>
        <w:ind w:left="288"/>
      </w:pPr>
      <w:r>
        <w:rPr>
          <w:b/>
          <w:color w:val="003CA0"/>
          <w:sz w:val="16"/>
        </w:rPr>
        <w:t>[RE 199.793, rel. min. Octavio Gallotti, j. 4-4-2000, 1ª T, DJ de 18-8-2000.]</w:t>
      </w:r>
    </w:p>
    <w:p>
      <w:pPr>
        <w:ind w:left="288"/>
      </w:pPr>
      <w:r>
        <w:rPr>
          <w:color w:val="8C8C8C"/>
          <w:sz w:val="12"/>
        </w:rPr>
        <w:t>cf-art-109-inc-IX</w:t>
      </w:r>
      <w:r>
        <w:rPr>
          <w:color w:val="003CA0"/>
          <w:sz w:val="12"/>
        </w:rPr>
        <w:t xml:space="preserve"> | RE 463.500</w:t>
      </w:r>
    </w:p>
    <w:p>
      <w:pPr>
        <w:ind w:left="288"/>
      </w:pPr>
      <w:r>
        <w:rPr>
          <w:color w:val="1E1E1E"/>
          <w:sz w:val="18"/>
        </w:rPr>
        <w:t>Competência. Justiça Federal versus Justiça comum. Droga. Transporte aéreo. Apreensão no solo. O fato de a droga haver sido transportada por via aérea não ocasiona, por si só, a competência da Justiça Federal. Prevalece, sob tal ângulo, o local em que apreendida.</w:t>
      </w:r>
    </w:p>
    <w:p>
      <w:pPr>
        <w:ind w:left="288"/>
      </w:pPr>
      <w:r>
        <w:rPr>
          <w:b/>
          <w:color w:val="003CA0"/>
          <w:sz w:val="16"/>
        </w:rPr>
        <w:t>[RE 463.500, red. do ac. min. Marco Aurélio, j. 4-12-2007, 1ª T, DJE de 23-5-2008.]</w:t>
      </w:r>
    </w:p>
    <w:p>
      <w:pPr>
        <w:ind w:left="288"/>
      </w:pPr>
      <w:r>
        <w:rPr>
          <w:color w:val="8C8C8C"/>
          <w:sz w:val="12"/>
        </w:rPr>
        <w:t>cf-art-109-inc-IX</w:t>
      </w:r>
      <w:r>
        <w:rPr>
          <w:color w:val="003CA0"/>
          <w:sz w:val="12"/>
        </w:rPr>
        <w:t xml:space="preserve"> | RHC 86.998</w:t>
      </w:r>
    </w:p>
    <w:p>
      <w:pPr>
        <w:ind w:left="288"/>
      </w:pPr>
      <w:r>
        <w:rPr>
          <w:color w:val="1E1E1E"/>
          <w:sz w:val="18"/>
        </w:rPr>
        <w:t>É da Justiça Federal a competência para processar e julgar crime praticado a bordo de aeronave (art. 109, IX, da CF), pouco importando se esta encontra-se em ar ou em terra e, ainda, quem seja o sujeito passivo do delito. Precedentes. Onde a Constituição não distingue, não compete ao intérprete distinguir.</w:t>
      </w:r>
    </w:p>
    <w:p>
      <w:pPr>
        <w:ind w:left="288"/>
      </w:pPr>
      <w:r>
        <w:rPr>
          <w:b/>
          <w:color w:val="003CA0"/>
          <w:sz w:val="16"/>
        </w:rPr>
        <w:t>[RHC 86.998, red. do ac. min. Cármen Lúcia, j. 13-2-2007, 1ª T, DJ de 27-4-2007.]</w:t>
      </w:r>
    </w:p>
    <w:p>
      <w:pPr>
        <w:ind w:left="288"/>
      </w:pPr>
      <w:r>
        <w:rPr>
          <w:color w:val="8C8C8C"/>
          <w:sz w:val="12"/>
        </w:rPr>
        <w:t>cf-art-109-inc-IX</w:t>
      </w:r>
      <w:r>
        <w:rPr>
          <w:color w:val="003CA0"/>
          <w:sz w:val="12"/>
        </w:rPr>
        <w:t xml:space="preserve"> | HC 70.627</w:t>
      </w:r>
      <w:r>
        <w:rPr>
          <w:color w:val="003CA0"/>
          <w:sz w:val="12"/>
        </w:rPr>
        <w:t xml:space="preserve"> | rel. Sepúlveda Pertence</w:t>
      </w:r>
    </w:p>
    <w:p>
      <w:pPr>
        <w:ind w:left="288"/>
      </w:pPr>
      <w:r>
        <w:rPr>
          <w:color w:val="1E1E1E"/>
          <w:sz w:val="18"/>
        </w:rPr>
        <w:t>Competência para o processo de crime de tráfico internacional de entorpecente apreendido no interior de aeronave que pousou em Município que não é sede de vara da Justiça Federal: alegada competência da Justiça estadual (art. 27 da Lei 6.368/1976): nulidade relativa: preclusão: precedente. Conforme o decidido no HC 70.627, Primeira Turma, Sydney Sanches, DJ de 18-11-1994, é federal a jurisdição exercida por juiz estadual na hipótese do art. 27 da Lei 6.368/1976. Corrobora a tese o disposto no art. 108, II, da Constituição, segundo o qual cabe aos tribunais regionais federais "julgar, em grau d</w:t>
      </w:r>
    </w:p>
    <w:p>
      <w:pPr>
        <w:ind w:left="288"/>
      </w:pPr>
      <w:r>
        <w:rPr>
          <w:b/>
          <w:color w:val="003CA0"/>
          <w:sz w:val="16"/>
        </w:rPr>
        <w:t>[HC 85.059, rel. min. Sepúlveda Pertence, j. 22-2-2005, 1ª T, DJ de 29-4-2005.]</w:t>
      </w:r>
    </w:p>
    <w:p>
      <w:pPr>
        <w:ind w:left="288"/>
      </w:pPr>
      <w:r>
        <w:rPr>
          <w:color w:val="8C8C8C"/>
          <w:sz w:val="12"/>
        </w:rPr>
        <w:t>cf-art-109-inc-IX</w:t>
      </w:r>
    </w:p>
    <w:p>
      <w:pPr>
        <w:ind w:left="288"/>
      </w:pPr>
      <w:r>
        <w:rPr>
          <w:color w:val="1E1E1E"/>
          <w:sz w:val="18"/>
        </w:rPr>
        <w:t>X - os crimes de ingresso ou permanência irregular de estrangeiro, a execução de carta rogatória, após o exequatur, e de sentença estrangeira, após a homologação, as causas referentes à nacionalidade, inclusive a respectiva opção, e à naturalização;</w:t>
      </w:r>
    </w:p>
    <w:p>
      <w:pPr>
        <w:ind w:left="288"/>
      </w:pPr>
      <w:r>
        <w:rPr>
          <w:color w:val="8C8C8C"/>
          <w:sz w:val="12"/>
        </w:rPr>
        <w:t>cf-art-109-inc-XI</w:t>
      </w:r>
      <w:r>
        <w:rPr>
          <w:color w:val="003CA0"/>
          <w:sz w:val="12"/>
        </w:rPr>
        <w:t xml:space="preserve"> | RE 1.237.128</w:t>
      </w:r>
      <w:r>
        <w:rPr>
          <w:color w:val="003CA0"/>
          <w:sz w:val="12"/>
        </w:rPr>
        <w:t xml:space="preserve"> | rel. Edson Fachin</w:t>
      </w:r>
    </w:p>
    <w:p>
      <w:pPr>
        <w:ind w:left="288"/>
      </w:pPr>
      <w:r>
        <w:rPr>
          <w:color w:val="1E1E1E"/>
          <w:sz w:val="18"/>
        </w:rPr>
        <w:t>Nas ações de destituição de poder familiar que envolvam criança indígena, concernentes, portanto, ao direito à autoidentidade e ao etnodesenvolvimento, sobressai o interesse processual da FUNAI no deslinde da controvérsia, a firmar a competência da Justiça Federal para processar e julgar o feito.</w:t>
      </w:r>
    </w:p>
    <w:p>
      <w:pPr>
        <w:ind w:left="288"/>
      </w:pPr>
      <w:r>
        <w:rPr>
          <w:b/>
          <w:color w:val="003CA0"/>
          <w:sz w:val="16"/>
        </w:rPr>
        <w:t>[RE 1.237.128, rel. min. Edson Fachin, j. 06.10.2025, 2ª T, DJE de 20.10.2025.]</w:t>
      </w:r>
    </w:p>
    <w:p>
      <w:pPr>
        <w:ind w:left="288"/>
      </w:pPr>
      <w:r>
        <w:rPr>
          <w:color w:val="8C8C8C"/>
          <w:sz w:val="12"/>
        </w:rPr>
        <w:t>cf-art-109-inc-XI</w:t>
      </w:r>
      <w:r>
        <w:rPr>
          <w:color w:val="003CA0"/>
          <w:sz w:val="12"/>
        </w:rPr>
        <w:t xml:space="preserve"> | HC 91.313</w:t>
      </w:r>
      <w:r>
        <w:rPr>
          <w:color w:val="003CA0"/>
          <w:sz w:val="12"/>
        </w:rPr>
        <w:t xml:space="preserve"> | rel. Ellen Gracie</w:t>
      </w:r>
    </w:p>
    <w:p>
      <w:pPr>
        <w:ind w:left="288"/>
      </w:pPr>
      <w:r>
        <w:rPr>
          <w:color w:val="1E1E1E"/>
          <w:sz w:val="18"/>
        </w:rPr>
        <w:t>Nulidade do processo. Competência da Justiça Federal. Art. 109, XI, CF. (...) A competência da Justiça Federal em relação aos direitos indígenas não se restringe às hipóteses de disputa de terras, eis que os direitos contemplados no art. 231 da CF são muito mais extensos. O fato de os acusados terem se utilizado da condição étnica das vítimas para a prática das condutas delituosas representa afronta direta à cultura da comunidade indígena.</w:t>
      </w:r>
    </w:p>
    <w:p>
      <w:pPr>
        <w:ind w:left="288"/>
      </w:pPr>
      <w:r>
        <w:rPr>
          <w:b/>
          <w:color w:val="003CA0"/>
          <w:sz w:val="16"/>
        </w:rPr>
        <w:t>[HC 91.313, rel. min. Ellen Gracie, j. 2-9-2008, 2ª T, DJE de 26-9-2008.]</w:t>
      </w:r>
    </w:p>
    <w:p>
      <w:pPr>
        <w:ind w:left="288"/>
      </w:pPr>
      <w:r>
        <w:rPr>
          <w:color w:val="8C8C8C"/>
          <w:sz w:val="12"/>
        </w:rPr>
        <w:t>cf-art-109-inc-XI</w:t>
      </w:r>
      <w:r>
        <w:rPr>
          <w:color w:val="003CA0"/>
          <w:sz w:val="12"/>
        </w:rPr>
        <w:t xml:space="preserve"> | HC 79.530</w:t>
      </w:r>
      <w:r>
        <w:rPr>
          <w:color w:val="003CA0"/>
          <w:sz w:val="12"/>
        </w:rPr>
        <w:t xml:space="preserve"> | rel. Ilmar Galvão</w:t>
      </w:r>
    </w:p>
    <w:p>
      <w:pPr>
        <w:ind w:left="288"/>
      </w:pPr>
      <w:r>
        <w:rPr>
          <w:color w:val="1E1E1E"/>
          <w:sz w:val="18"/>
        </w:rPr>
        <w:t>Quanto à alegação de incompetência da Justiça Federal para processar e julgar a ação penal instaurada na origem, cabe esclarecer que os pacientes foram pronunciados pela suposta participação em crimes cometidos em desfavor de indígenas. Menção à evolução jurisprudencial do STF acerca do tema da competência da Justiça comum estadual ou da Justiça Federal para a apreciação e julgamento de causas envolvendo silvícolas. Precedentes: HC 79.530/PA, rel. min. Ilmar Galvão, Primeira Turma, unânime, DJ de 25-2-2000; HC 81.827/MT, rel. min. Maurício Corrêa, Segunda Turma, unânime, DJ de 23-8-2002; RE 41</w:t>
      </w:r>
    </w:p>
    <w:p>
      <w:pPr>
        <w:ind w:left="288"/>
      </w:pPr>
      <w:r>
        <w:rPr>
          <w:b/>
          <w:color w:val="003CA0"/>
          <w:sz w:val="16"/>
        </w:rPr>
        <w:t>[HC 91.121, rel. min. Gilmar Mendes, j. 6-11-2007, 2ª T, DJE de 28-3-2008.]</w:t>
      </w:r>
    </w:p>
    <w:p>
      <w:pPr>
        <w:ind w:left="288"/>
      </w:pPr>
      <w:r>
        <w:rPr>
          <w:color w:val="8C8C8C"/>
          <w:sz w:val="12"/>
        </w:rPr>
        <w:t>cf-art-109-inc-XI</w:t>
      </w:r>
      <w:r>
        <w:rPr>
          <w:color w:val="003CA0"/>
          <w:sz w:val="12"/>
        </w:rPr>
        <w:t xml:space="preserve"> | RHC 85.737</w:t>
      </w:r>
      <w:r>
        <w:rPr>
          <w:color w:val="003CA0"/>
          <w:sz w:val="12"/>
        </w:rPr>
        <w:t xml:space="preserve"> | rel. Joaquim Barbosa</w:t>
      </w:r>
    </w:p>
    <w:p>
      <w:pPr>
        <w:ind w:left="288"/>
      </w:pPr>
      <w:r>
        <w:rPr>
          <w:color w:val="1E1E1E"/>
          <w:sz w:val="18"/>
        </w:rPr>
        <w:t>Recurso ordinário em habeas corpus. Disputa de terras indígenas. Crime patrimonial. Julgamento. Justiça estadual. Competência. (...) O deslocamento da competência para a Justiça Federal somente ocorre quando o processo versar sobre questões diretamente ligadas à cultura indígena e ao direito sobre suas terras, ou quando envolvidos interesses da União. Tratando-se de suposta ofensa a bens semoventes de propriedade particular, não há ofensa a bem jurídico penal que demande a incidência das regras constitucionais que determinam a competência da Justiça Federal.</w:t>
      </w:r>
    </w:p>
    <w:p>
      <w:pPr>
        <w:ind w:left="288"/>
      </w:pPr>
      <w:r>
        <w:rPr>
          <w:b/>
          <w:color w:val="003CA0"/>
          <w:sz w:val="16"/>
        </w:rPr>
        <w:t>[RHC 85.737, rel. min. Joaquim Barbosa, j. 12-12-2006, 2ª T, DJ de 30-11-2007.]</w:t>
      </w:r>
    </w:p>
    <w:p>
      <w:pPr>
        <w:ind w:left="288"/>
      </w:pPr>
      <w:r>
        <w:rPr>
          <w:color w:val="8C8C8C"/>
          <w:sz w:val="12"/>
        </w:rPr>
        <w:t>cf-art-109-inc-XI</w:t>
      </w:r>
      <w:r>
        <w:rPr>
          <w:color w:val="003CA0"/>
          <w:sz w:val="12"/>
        </w:rPr>
        <w:t xml:space="preserve"> | RE 419.528</w:t>
      </w:r>
    </w:p>
    <w:p>
      <w:pPr>
        <w:ind w:left="288"/>
      </w:pPr>
      <w:r>
        <w:rPr>
          <w:color w:val="1E1E1E"/>
          <w:sz w:val="18"/>
        </w:rPr>
        <w:t>Competência criminal. Conflito. Crime praticado por silvícolas, contra outro índio, no interior de reserva indígena. Disputa sobre direitos indígenas como motivação do delito. Inexistência. Feito da competência da Justiça comum. Recurso improvido. Votos vencidos. Precedentes. Exame. Inteligência do art. 109, IV e XI, da CF. A competência penal da Justiça Federal, objeto do alcance do disposto no art. 109, XI, da CF, só se desata quando a acusação seja de genocídio, ou quando, na ocasião ou motivação de outro delito de que seja índio o agente ou a vítima, tenha havido disputa sobre direitos ind</w:t>
      </w:r>
    </w:p>
    <w:p>
      <w:pPr>
        <w:ind w:left="288"/>
      </w:pPr>
      <w:r>
        <w:rPr>
          <w:b/>
          <w:color w:val="003CA0"/>
          <w:sz w:val="16"/>
        </w:rPr>
        <w:t>[RE 419.528, red. do ac. min. Cezar Peluso, j. 3-8-2006, P, DJ de 9-3-2007.]</w:t>
      </w:r>
    </w:p>
    <w:p>
      <w:pPr>
        <w:ind w:left="288"/>
      </w:pPr>
      <w:r>
        <w:rPr>
          <w:color w:val="8C8C8C"/>
          <w:sz w:val="12"/>
        </w:rPr>
        <w:t>cf-art-109-inc-XI</w:t>
      </w:r>
      <w:r>
        <w:rPr>
          <w:color w:val="003CA0"/>
          <w:sz w:val="12"/>
        </w:rPr>
        <w:t xml:space="preserve"> | AI 794.447</w:t>
      </w:r>
      <w:r>
        <w:rPr>
          <w:color w:val="003CA0"/>
          <w:sz w:val="12"/>
        </w:rPr>
        <w:t xml:space="preserve"> | rel. Marco Aurélio</w:t>
      </w:r>
    </w:p>
    <w:p>
      <w:pPr>
        <w:ind w:left="288"/>
      </w:pPr>
      <w:r>
        <w:rPr>
          <w:color w:val="1E1E1E"/>
          <w:sz w:val="18"/>
        </w:rPr>
        <w:t>= AI 794.447 AgR, rel. min. Marco Aurélio, j. 24-9-2013, 1ª T, DJE de 21-11-2013 Não configurando os crimes praticados por índio, ou contra índio, "disputa sobre direitos indígenas" (art. 109, XI, da CF) nem, tampouco, "infrações penais praticadas em detrimento de bens, serviços ou interesse da União ou de suas entidades autárquicas ou empresas públicas" (inciso IV ib.), é da competência da Justiça estadual o seu processamento e julgamento. É de natureza civil, e não criminal (cf. arts. 7º e 8º da Lei 6.001/1973 e art. 6º, parágrafo único, do CC/1916), a tutela que a Carta Federal, no caput do</w:t>
      </w:r>
    </w:p>
    <w:p>
      <w:pPr>
        <w:ind w:left="288"/>
      </w:pPr>
      <w:r>
        <w:rPr>
          <w:b/>
          <w:color w:val="003CA0"/>
          <w:sz w:val="16"/>
        </w:rPr>
        <w:t>[HC 79.530, rel. min. Ilmar Galvão, j. 16-12-1999, 1ª T, DJ de 25-2-2000.]</w:t>
      </w:r>
    </w:p>
    <w:p>
      <w:pPr>
        <w:ind w:left="144"/>
      </w:pPr>
      <w:r>
        <w:rPr>
          <w:b/>
          <w:color w:val="B45A00"/>
          <w:sz w:val="16"/>
        </w:rPr>
        <w:t>CONTROLE CONCENTRADO</w:t>
      </w:r>
    </w:p>
    <w:p>
      <w:pPr>
        <w:ind w:left="288"/>
      </w:pPr>
      <w:r>
        <w:rPr>
          <w:color w:val="8C8C8C"/>
          <w:sz w:val="12"/>
        </w:rPr>
        <w:t>cf-art-109-par-1</w:t>
      </w:r>
      <w:r>
        <w:rPr>
          <w:color w:val="003CA0"/>
          <w:sz w:val="12"/>
        </w:rPr>
        <w:t xml:space="preserve"> | ADI 1.094</w:t>
      </w:r>
      <w:r>
        <w:rPr>
          <w:color w:val="003CA0"/>
          <w:sz w:val="12"/>
        </w:rPr>
        <w:t xml:space="preserve"> | rel. Carlos Velloso</w:t>
      </w:r>
    </w:p>
    <w:p>
      <w:pPr>
        <w:ind w:left="288"/>
      </w:pPr>
      <w:r>
        <w:rPr>
          <w:color w:val="1E1E1E"/>
          <w:sz w:val="18"/>
        </w:rPr>
        <w:t>Ordem econômica: infrações. Conselho Administrativo da Defesa Econômica (CADE). Abusos do poder econômico: repressão. Lei 8.884, de 11-6-1994. Suspensão cautelar da eficácia dos incisos I e II do art. 24 e as expressões "do Distrito Federal" e "à escolha do Cade", inscritas no art. 64 da Lei 8.884, de 11-6-1994.</w:t>
      </w:r>
    </w:p>
    <w:p>
      <w:pPr>
        <w:ind w:left="288"/>
      </w:pPr>
      <w:r>
        <w:rPr>
          <w:b/>
          <w:color w:val="003CA0"/>
          <w:sz w:val="16"/>
        </w:rPr>
        <w:t>[ADI 1.094 MC, rel. min. Carlos Velloso, j. 21-9-1995, P, DJ de 20-4-2001.]</w:t>
      </w:r>
    </w:p>
    <w:p>
      <w:pPr>
        <w:ind w:left="288"/>
      </w:pPr>
      <w:r>
        <w:rPr>
          <w:color w:val="8C8C8C"/>
          <w:sz w:val="12"/>
        </w:rPr>
        <w:t>cf-art-109-par-2</w:t>
      </w:r>
      <w:r>
        <w:rPr>
          <w:color w:val="003CA0"/>
          <w:sz w:val="12"/>
        </w:rPr>
        <w:t xml:space="preserve"> | RE 1.429.083</w:t>
      </w:r>
      <w:r>
        <w:rPr>
          <w:color w:val="003CA0"/>
          <w:sz w:val="12"/>
        </w:rPr>
        <w:t xml:space="preserve"> | rel. Alexandre de Moraes</w:t>
      </w:r>
    </w:p>
    <w:p>
      <w:pPr>
        <w:ind w:left="288"/>
      </w:pPr>
      <w:r>
        <w:rPr>
          <w:color w:val="1E1E1E"/>
          <w:sz w:val="18"/>
        </w:rPr>
        <w:t>“O art. 3º, § 3º, da Lei 10.259/2001, é compatível com a Constituição Federal, devendo ser interpretado no sentido de que a competência absoluta dos juizados especiais federais se restringe ao valor da causa, havendo a faculdade de escolha do foro pelo demandante na forma do art. 109, §2º, da CF/88”.</w:t>
      </w:r>
    </w:p>
    <w:p>
      <w:pPr>
        <w:ind w:left="288"/>
      </w:pPr>
      <w:r>
        <w:rPr>
          <w:b/>
          <w:color w:val="003CA0"/>
          <w:sz w:val="16"/>
        </w:rPr>
        <w:t>[RE 1.429.083, rel. min. Alexandre de Moraes, j. 25.08.2025, P, DJE de 08.09.2025, Tema 1.277, com mérito julgado.]</w:t>
      </w:r>
    </w:p>
    <w:p>
      <w:pPr>
        <w:ind w:left="144"/>
      </w:pPr>
      <w:r>
        <w:rPr>
          <w:b/>
          <w:color w:val="B45A00"/>
          <w:sz w:val="16"/>
        </w:rPr>
        <w:t>REPERCUSSAO GERAL</w:t>
      </w:r>
    </w:p>
    <w:p>
      <w:pPr>
        <w:ind w:left="288"/>
      </w:pPr>
      <w:r>
        <w:rPr>
          <w:color w:val="8C8C8C"/>
          <w:sz w:val="12"/>
        </w:rPr>
        <w:t>cf-art-109-par-2</w:t>
      </w:r>
      <w:r>
        <w:rPr>
          <w:color w:val="003CA0"/>
          <w:sz w:val="12"/>
        </w:rPr>
        <w:t xml:space="preserve"> | RE 627.709</w:t>
      </w:r>
      <w:r>
        <w:rPr>
          <w:color w:val="003CA0"/>
          <w:sz w:val="12"/>
        </w:rPr>
        <w:t xml:space="preserve"> | rel. Ricardo Lewandowski</w:t>
      </w:r>
    </w:p>
    <w:p>
      <w:pPr>
        <w:ind w:left="288"/>
      </w:pPr>
      <w:r>
        <w:rPr>
          <w:color w:val="1E1E1E"/>
          <w:sz w:val="18"/>
        </w:rPr>
        <w:t>A pretendida fixação do foro competente com base no art. 100, IV, a, do CPC nas ações propostas contra as autarquias federais resultaria na concessão de vantagem processual não estabelecida para a União, ente maior, que possui foro privilegiado limitado pelo referido dispositivo constitucional. A jurisprudência do STF tem decidido pela incidência do disposto no art. 109, § 2º, da CF às autarquias federais.</w:t>
        <w:br/>
        <w:t>[RE 627.709, rel. min. Ricardo Lewandowski, j. 20-8-2014, P, DJE de 30-10-2014, Tema 374, com mérito julgado.]</w:t>
      </w:r>
    </w:p>
    <w:p>
      <w:pPr>
        <w:ind w:left="144"/>
      </w:pPr>
      <w:r>
        <w:rPr>
          <w:b/>
          <w:color w:val="B45A00"/>
          <w:sz w:val="16"/>
        </w:rPr>
        <w:t>JULGADOS CORRELATOS</w:t>
      </w:r>
    </w:p>
    <w:p>
      <w:pPr>
        <w:ind w:left="288"/>
      </w:pPr>
      <w:r>
        <w:rPr>
          <w:color w:val="8C8C8C"/>
          <w:sz w:val="12"/>
        </w:rPr>
        <w:t>cf-art-109-par-2</w:t>
      </w:r>
      <w:r>
        <w:rPr>
          <w:color w:val="003CA0"/>
          <w:sz w:val="12"/>
        </w:rPr>
        <w:t xml:space="preserve"> | RE 676.925</w:t>
      </w:r>
      <w:r>
        <w:rPr>
          <w:color w:val="003CA0"/>
          <w:sz w:val="12"/>
        </w:rPr>
        <w:t xml:space="preserve"> | rel. Luiz Fux</w:t>
      </w:r>
    </w:p>
    <w:p>
      <w:pPr>
        <w:ind w:left="288"/>
      </w:pPr>
      <w:r>
        <w:rPr>
          <w:color w:val="1E1E1E"/>
          <w:sz w:val="18"/>
        </w:rPr>
        <w:t>Nada obstante existir universidade habilitada para o registro do diploma no foro de domicílio da autora, a pretensão foi deduzida em face da ré, sediada em território sob a competência do TRF da 4ª Região. O fato que deu origem à demanda, negativa da universidade estadual em registrar o diploma, ocorreu em Londrina/PR, Seção Judiciária do TRF 4ª Região. Por conseguinte, a regra de competência prevista no art. 109, § 2º, da CF encontra-se preservada (...). Não há falar, portanto, em violação do art. 109, § 2º, da CF, que prevê que as causas contra a União podem ser ajuizadas na Seção Judiciária</w:t>
      </w:r>
    </w:p>
    <w:p>
      <w:pPr>
        <w:ind w:left="288"/>
      </w:pPr>
      <w:r>
        <w:rPr>
          <w:b/>
          <w:color w:val="003CA0"/>
          <w:sz w:val="16"/>
        </w:rPr>
        <w:t>[RE 676.925, voto do rel. min. Luiz Fux, j. 22-6-2012, 1ª T, DJE de 21-6-2012.]</w:t>
      </w:r>
    </w:p>
    <w:p>
      <w:pPr>
        <w:ind w:left="288"/>
      </w:pPr>
      <w:r>
        <w:rPr>
          <w:color w:val="8C8C8C"/>
          <w:sz w:val="12"/>
        </w:rPr>
        <w:t>cf-art-109-par-2</w:t>
      </w:r>
      <w:r>
        <w:rPr>
          <w:color w:val="003CA0"/>
          <w:sz w:val="12"/>
        </w:rPr>
        <w:t xml:space="preserve"> | RE 459.322</w:t>
      </w:r>
      <w:r>
        <w:rPr>
          <w:color w:val="003CA0"/>
          <w:sz w:val="12"/>
        </w:rPr>
        <w:t xml:space="preserve"> | rel. Marco Aurélio</w:t>
      </w:r>
    </w:p>
    <w:p>
      <w:pPr>
        <w:ind w:left="288"/>
      </w:pPr>
      <w:r>
        <w:rPr>
          <w:color w:val="1E1E1E"/>
          <w:sz w:val="18"/>
        </w:rPr>
        <w:t>O rol de situações contempladas no § 2º do art. 109 da Carta Federal, a ensejar a escolha pelo autor de ação contra a União, é exaustivo. Descabe conclusão que não se afine com o que previsto constitucionalmente – por exemplo, a possibilidade de a ação ser ajuizada na capital do Estado.</w:t>
      </w:r>
    </w:p>
    <w:p>
      <w:pPr>
        <w:ind w:left="288"/>
      </w:pPr>
      <w:r>
        <w:rPr>
          <w:b/>
          <w:color w:val="003CA0"/>
          <w:sz w:val="16"/>
        </w:rPr>
        <w:t>[RE 459.322, rel. min. Marco Aurélio, j. 22-9-2009, 1ª T, DJE de 18-12-2009.]</w:t>
      </w:r>
    </w:p>
    <w:p>
      <w:pPr>
        <w:ind w:left="288"/>
      </w:pPr>
      <w:r>
        <w:rPr>
          <w:color w:val="8C8C8C"/>
          <w:sz w:val="12"/>
        </w:rPr>
        <w:t>cf-art-109-par-2</w:t>
      </w:r>
      <w:r>
        <w:rPr>
          <w:color w:val="003CA0"/>
          <w:sz w:val="12"/>
        </w:rPr>
        <w:t xml:space="preserve"> | RE 234.059</w:t>
      </w:r>
      <w:r>
        <w:rPr>
          <w:color w:val="003CA0"/>
          <w:sz w:val="12"/>
        </w:rPr>
        <w:t xml:space="preserve"> | rel. Menezes Direito</w:t>
      </w:r>
    </w:p>
    <w:p>
      <w:pPr>
        <w:ind w:left="288"/>
      </w:pPr>
      <w:r>
        <w:rPr>
          <w:color w:val="1E1E1E"/>
          <w:sz w:val="18"/>
        </w:rPr>
        <w:t>O art. 109, § 2º, da CF não impede a formação de litisconsórcio ativo de autores domiciliados em Estados-membros diversos daquele em que ajuizada a causa. Aos litisconsortes é facultada a opção pela propositura da ação em qualquer das possibilidades previstas no dispositivo constitucional.</w:t>
      </w:r>
    </w:p>
    <w:p>
      <w:pPr>
        <w:ind w:left="288"/>
      </w:pPr>
      <w:r>
        <w:rPr>
          <w:b/>
          <w:color w:val="003CA0"/>
          <w:sz w:val="16"/>
        </w:rPr>
        <w:t>[RE 234.059, rel. min. Menezes Direito, j. 2-9-2008, P, DJE de 21-11-2008.]</w:t>
      </w:r>
    </w:p>
    <w:p>
      <w:pPr>
        <w:ind w:left="288"/>
      </w:pPr>
      <w:r>
        <w:rPr>
          <w:color w:val="8C8C8C"/>
          <w:sz w:val="12"/>
        </w:rPr>
        <w:t>cf-art-109-par-2</w:t>
      </w:r>
      <w:r>
        <w:rPr>
          <w:color w:val="003CA0"/>
          <w:sz w:val="12"/>
        </w:rPr>
        <w:t xml:space="preserve"> | RE 403.622</w:t>
      </w:r>
      <w:r>
        <w:rPr>
          <w:color w:val="003CA0"/>
          <w:sz w:val="12"/>
        </w:rPr>
        <w:t xml:space="preserve"> | rel. Teori Zavascki</w:t>
      </w:r>
    </w:p>
    <w:p>
      <w:pPr>
        <w:ind w:left="288"/>
      </w:pPr>
      <w:r>
        <w:rPr>
          <w:color w:val="1E1E1E"/>
          <w:sz w:val="18"/>
        </w:rPr>
        <w:t>= RE 403.622 AgR, rel. min. Teori Zavascki, j. 11-6-2013, 2ª T, DJE de 26-6-2013 = RE 644.655 AgR, rel. min. Roberto Barroso, j. 16-9-2016, 1ª T, DJE de 6-10-2016 Ação judicial contra a União Federal. Competência. Autor domiciliado em cidade do interior. Possibilidade de sua proposição também na capital do Estado. Faculdade que lhe foi conferida pelo art. 109, § 2º, da Constituição da República. Consequência: remessa dos autos ao juízo da 12ª Vara Federal de Porto Alegre, foro eleito pela recorrente.</w:t>
      </w:r>
    </w:p>
    <w:p>
      <w:pPr>
        <w:ind w:left="288"/>
      </w:pPr>
      <w:r>
        <w:rPr>
          <w:b/>
          <w:color w:val="003CA0"/>
          <w:sz w:val="16"/>
        </w:rPr>
        <w:t>[RE 233.990, rel. min. Maurício Corrêa, j. 23-10-2001, 2ª T, DJ de 1º-3-2002.]</w:t>
      </w:r>
    </w:p>
    <w:p>
      <w:pPr>
        <w:ind w:left="288"/>
      </w:pPr>
      <w:r>
        <w:rPr>
          <w:color w:val="8C8C8C"/>
          <w:sz w:val="12"/>
        </w:rPr>
        <w:t>cf-art-109-par-2</w:t>
      </w:r>
      <w:r>
        <w:rPr>
          <w:color w:val="003CA0"/>
          <w:sz w:val="12"/>
        </w:rPr>
        <w:t xml:space="preserve"> | RE 852.521</w:t>
      </w:r>
      <w:r>
        <w:rPr>
          <w:color w:val="003CA0"/>
          <w:sz w:val="12"/>
        </w:rPr>
        <w:t xml:space="preserve"> | rel. Teori Zavascki</w:t>
      </w:r>
    </w:p>
    <w:p>
      <w:pPr>
        <w:ind w:left="288"/>
      </w:pPr>
      <w:r>
        <w:rPr>
          <w:color w:val="1E1E1E"/>
          <w:sz w:val="18"/>
        </w:rPr>
        <w:t>= RE 852.521 AgR, rel. min. Teori Zavascki, j. 28-4-2015, 2ª T, DJE de 12-5-2015 = RE 641.449 AgR, rel. min. Dias Toffoli, j. 8-5-2012, 1ª T, DJE de 31-5-2012</w:t>
      </w:r>
    </w:p>
    <w:p>
      <w:pPr>
        <w:ind w:left="144"/>
      </w:pPr>
      <w:r>
        <w:rPr>
          <w:b/>
          <w:color w:val="B45A00"/>
          <w:sz w:val="16"/>
        </w:rPr>
        <w:t>REPERCUSSAO GERAL</w:t>
      </w:r>
    </w:p>
    <w:p>
      <w:pPr>
        <w:ind w:left="288"/>
      </w:pPr>
      <w:r>
        <w:rPr>
          <w:color w:val="8C8C8C"/>
          <w:sz w:val="12"/>
        </w:rPr>
        <w:t>cf-art-109-par-3</w:t>
      </w:r>
      <w:r>
        <w:rPr>
          <w:color w:val="003CA0"/>
          <w:sz w:val="12"/>
        </w:rPr>
        <w:t xml:space="preserve"> | RE 860.508</w:t>
      </w:r>
      <w:r>
        <w:rPr>
          <w:color w:val="003CA0"/>
          <w:sz w:val="12"/>
        </w:rPr>
        <w:t xml:space="preserve"> | rel. Marco Aurélio</w:t>
      </w:r>
    </w:p>
    <w:p>
      <w:pPr>
        <w:ind w:left="288"/>
      </w:pPr>
      <w:r>
        <w:rPr>
          <w:color w:val="1E1E1E"/>
          <w:sz w:val="18"/>
        </w:rPr>
        <w:t>A competência prevista no § 3º do artigo 109 da Constituição Federal, da Justiça comum, pressupõe inexistência de Vara Federal na Comarca do domicílio do segurado.</w:t>
      </w:r>
    </w:p>
    <w:p>
      <w:pPr>
        <w:ind w:left="288"/>
      </w:pPr>
      <w:r>
        <w:rPr>
          <w:b/>
          <w:color w:val="003CA0"/>
          <w:sz w:val="16"/>
        </w:rPr>
        <w:t>[RE 860.508, rel. min. Marco Aurélio, j. 8-3-2021, P, DJE de 23-3-2021, Tema 820, com mérito julgado.]</w:t>
      </w:r>
    </w:p>
    <w:p>
      <w:pPr>
        <w:ind w:left="288"/>
      </w:pPr>
      <w:r>
        <w:rPr>
          <w:color w:val="8C8C8C"/>
          <w:sz w:val="12"/>
        </w:rPr>
        <w:t>cf-art-109-par-4</w:t>
      </w:r>
    </w:p>
    <w:p>
      <w:pPr>
        <w:ind w:left="288"/>
      </w:pPr>
      <w:r>
        <w:rPr>
          <w:color w:val="1E1E1E"/>
          <w:sz w:val="18"/>
        </w:rPr>
        <w:t>§ 5º Nas hipóteses de grave violação de direitos humanos, o Procurador-Geral da República, com a finalidade de assegurar o cumprimento de obrigações decorrentes de tratados internacionais de direitos humanos dos quais o Brasil seja parte, poderá suscitar, perante o Superior Tribunal de Justiça, em qualquer fase do inquérito ou processo, incidente de deslocamento de competência para a Justiça Federal. (Incluído pela EC 45/2004)</w:t>
      </w:r>
    </w:p>
    <w:p>
      <w:pPr>
        <w:ind w:left="144"/>
      </w:pPr>
      <w:r>
        <w:rPr>
          <w:b/>
          <w:color w:val="B45A00"/>
          <w:sz w:val="16"/>
        </w:rPr>
        <w:t>CONTROLE CONCENTRADO</w:t>
      </w:r>
    </w:p>
    <w:p>
      <w:pPr>
        <w:ind w:left="288"/>
      </w:pPr>
      <w:r>
        <w:rPr>
          <w:color w:val="8C8C8C"/>
          <w:sz w:val="12"/>
        </w:rPr>
        <w:t>cf-art-109-par-4</w:t>
      </w:r>
      <w:r>
        <w:rPr>
          <w:color w:val="003CA0"/>
          <w:sz w:val="12"/>
        </w:rPr>
        <w:t xml:space="preserve"> | ADI 3.486</w:t>
      </w:r>
      <w:r>
        <w:rPr>
          <w:color w:val="003CA0"/>
          <w:sz w:val="12"/>
        </w:rPr>
        <w:t xml:space="preserve"> | rel. Dias Toffoli</w:t>
      </w:r>
    </w:p>
    <w:p>
      <w:pPr>
        <w:ind w:left="288"/>
      </w:pPr>
      <w:r>
        <w:rPr>
          <w:color w:val="1E1E1E"/>
          <w:sz w:val="18"/>
        </w:rPr>
        <w:t>Artigo 1º da Emenda Constitucional nº 45/04. Inserção do inciso V-A e do § 5º ao art. 109 da Constituição Federal. Incidente de deslocamento de competência. (...) A fórmula escolhida pelo poder reformador para o transporte à Justiça Federal dos feitos em que haja violação grave dos direitos humanos foi o incidente de deslocamento, e não a previsão de uma competência geral e aberta. A criação do instituto representa a adoção de mecanismo de equacionamento jurídico da problemática da ineficiência do aparato estatal de repressão às graves violações dos direitos humanos, tendo presente, especialme</w:t>
      </w:r>
    </w:p>
    <w:p>
      <w:r>
        <w:rPr>
          <w:b/>
          <w:color w:val="003366"/>
          <w:sz w:val="20"/>
        </w:rPr>
        <w:t>Art. 110 (Revogado pela Emenda Constitucional nº 126, de 2022)</w:t>
      </w:r>
      <w:r>
        <w:rPr>
          <w:color w:val="8C8C8C"/>
          <w:sz w:val="14"/>
        </w:rPr>
        <w:t xml:space="preserve">  [1 decisoes]</w:t>
      </w:r>
    </w:p>
    <w:p>
      <w:pPr>
        <w:ind w:left="288"/>
      </w:pPr>
      <w:r>
        <w:rPr>
          <w:color w:val="8C8C8C"/>
          <w:sz w:val="12"/>
        </w:rPr>
        <w:t>cf-art-110-par-unico</w:t>
      </w:r>
    </w:p>
    <w:p>
      <w:pPr>
        <w:ind w:left="288"/>
      </w:pPr>
      <w:r>
        <w:rPr>
          <w:color w:val="1E1E1E"/>
          <w:sz w:val="18"/>
        </w:rPr>
        <w:t>Seção V Do Tribunal Superior do Trabalho, dos Tribunais Regionais do Trabalho e dos Juízes do Trabalho (Redação da EC 92/2016) SUMÁRIO</w:t>
      </w:r>
    </w:p>
    <w:p>
      <w:r>
        <w:rPr>
          <w:b/>
          <w:color w:val="003366"/>
          <w:sz w:val="20"/>
        </w:rPr>
        <w:t>Art. 111 (Revogado pela Emenda Constitucional nº 126, de 2022)</w:t>
      </w:r>
      <w:r>
        <w:rPr>
          <w:color w:val="8C8C8C"/>
          <w:sz w:val="14"/>
        </w:rPr>
        <w:t xml:space="preserve">  [5 decisoes]</w:t>
      </w:r>
    </w:p>
    <w:p>
      <w:pPr>
        <w:ind w:left="288"/>
      </w:pPr>
      <w:r>
        <w:rPr>
          <w:color w:val="8C8C8C"/>
          <w:sz w:val="12"/>
        </w:rPr>
        <w:t>cf-art-111-par-3</w:t>
      </w:r>
    </w:p>
    <w:p>
      <w:pPr>
        <w:ind w:left="288"/>
      </w:pPr>
      <w:r>
        <w:rPr>
          <w:color w:val="1E1E1E"/>
          <w:sz w:val="18"/>
        </w:rPr>
        <w:t>Art. 111-A. O Tribunal Superior do Trabalho compõe-se de vinte e sete Ministros, escolhidos dentre brasileiros com mais de trinta e cinco e menos de setenta anos de idade, de notável saber jurídico e reputação ilibada, nomeados pelo Presidente da República após aprovação pela maioria absoluta do Senado Federal, sendo: (Redação dada pela EC n. 122/22) I - um quinto dentre advogados com mais de dez anos de efetiva atividade profissional e membros do Ministério Público do Trabalho com mais de dez anos de efetivo exercício, observado o disposto no art. 94; (Incluído pela EC 45/2004)</w:t>
      </w:r>
    </w:p>
    <w:p>
      <w:pPr>
        <w:ind w:left="144"/>
      </w:pPr>
      <w:r>
        <w:rPr>
          <w:b/>
          <w:color w:val="B45A00"/>
          <w:sz w:val="16"/>
        </w:rPr>
        <w:t>JULGADOS CORRELATOS</w:t>
      </w:r>
    </w:p>
    <w:p>
      <w:pPr>
        <w:ind w:left="288"/>
      </w:pPr>
      <w:r>
        <w:rPr>
          <w:color w:val="8C8C8C"/>
          <w:sz w:val="12"/>
        </w:rPr>
        <w:t>cf-art-111-par-1</w:t>
      </w:r>
      <w:r>
        <w:rPr>
          <w:color w:val="003CA0"/>
          <w:sz w:val="12"/>
        </w:rPr>
        <w:t xml:space="preserve"> | RE 405.031</w:t>
      </w:r>
      <w:r>
        <w:rPr>
          <w:color w:val="003CA0"/>
          <w:sz w:val="12"/>
        </w:rPr>
        <w:t xml:space="preserve"> | rel. Marco Aurélio</w:t>
      </w:r>
    </w:p>
    <w:p>
      <w:pPr>
        <w:ind w:left="288"/>
      </w:pPr>
      <w:r>
        <w:rPr>
          <w:color w:val="1E1E1E"/>
          <w:sz w:val="18"/>
        </w:rPr>
        <w:t>No tocante ao cabimento da reclamação no processo trabalhista, observem que, de há muito, o Supremo assentou a necessidade de esse instrumento estar previsto em lei no sentido formal e material, não cabendo criá-lo por meio de regimento interno. (...) Realmente, não se pode cogitar de disciplina em regimento interno, porquanto a reclamação ganha contornos de verdadeiro recurso, mostrando-se inserida, portanto, conforme ressaltado pelo Supremo, no direito constitucional de petição. Cumpre, no âmbito federal, ao Congresso Nacional dispor a respeito, ainda que o faça, ante a origem da regência do</w:t>
      </w:r>
    </w:p>
    <w:p>
      <w:pPr>
        <w:ind w:left="288"/>
      </w:pPr>
      <w:r>
        <w:rPr>
          <w:b/>
          <w:color w:val="003CA0"/>
          <w:sz w:val="16"/>
        </w:rPr>
        <w:t>[RE 405.031, voto do rel. min. Marco Aurélio, j. 15-10-2008, P, DJE de 17-4-2009.]</w:t>
      </w:r>
    </w:p>
    <w:p>
      <w:pPr>
        <w:ind w:left="288"/>
      </w:pPr>
      <w:r>
        <w:rPr>
          <w:color w:val="8C8C8C"/>
          <w:sz w:val="12"/>
        </w:rPr>
        <w:t>cf-art-111-par-1</w:t>
      </w:r>
      <w:r>
        <w:rPr>
          <w:color w:val="003CA0"/>
          <w:sz w:val="12"/>
        </w:rPr>
        <w:t xml:space="preserve"> | MS 25.191</w:t>
      </w:r>
      <w:r>
        <w:rPr>
          <w:color w:val="003CA0"/>
          <w:sz w:val="12"/>
        </w:rPr>
        <w:t xml:space="preserve"> | rel. Cármen Lúcia</w:t>
      </w:r>
    </w:p>
    <w:p>
      <w:pPr>
        <w:ind w:left="288"/>
      </w:pPr>
      <w:r>
        <w:rPr>
          <w:color w:val="1E1E1E"/>
          <w:sz w:val="18"/>
        </w:rPr>
        <w:t>Mandado de segurança. Aposentadoria compulsória de magistrado trabalhista. Competência do TST para instaurar processo administrativo disciplinar contra magistrado trabalhista. Inocorrência de prescrição administrativa. Inexistência de nulidade da sindicância e do processo administrativo. Precedentes. Impossibilidade de dilação probatória em mandado de segurança. Segurança denegada. Competência do TST para julgar processo disciplinar do impetrante decorrente da falta de quorum do TRT 14ª Região. Precedentes. A Loman não estabelece regras de prescrição da pretensão punitiva por faltas disciplina</w:t>
      </w:r>
    </w:p>
    <w:p>
      <w:pPr>
        <w:ind w:left="288"/>
      </w:pPr>
      <w:r>
        <w:rPr>
          <w:b/>
          <w:color w:val="003CA0"/>
          <w:sz w:val="16"/>
        </w:rPr>
        <w:t>[MS 25.191, rel. min. Cármen Lúcia, j. 19-11-2007, P, DJ de 14-12-2007.]</w:t>
      </w:r>
    </w:p>
    <w:p>
      <w:pPr>
        <w:ind w:left="288"/>
      </w:pPr>
      <w:r>
        <w:rPr>
          <w:color w:val="8C8C8C"/>
          <w:sz w:val="12"/>
        </w:rPr>
        <w:t>cf-art-111-par-1</w:t>
      </w:r>
      <w:r>
        <w:rPr>
          <w:color w:val="003CA0"/>
          <w:sz w:val="12"/>
        </w:rPr>
        <w:t xml:space="preserve"> | AI 176.277</w:t>
      </w:r>
      <w:r>
        <w:rPr>
          <w:color w:val="003CA0"/>
          <w:sz w:val="12"/>
        </w:rPr>
        <w:t xml:space="preserve"> | rel. Moreira Alves</w:t>
      </w:r>
    </w:p>
    <w:p>
      <w:pPr>
        <w:ind w:left="288"/>
      </w:pPr>
      <w:r>
        <w:rPr>
          <w:color w:val="1E1E1E"/>
          <w:sz w:val="18"/>
        </w:rPr>
        <w:t>A Lei 7.701/1988, ao outorgar competência à Seção de Dissídios Individuais do TST para julgar, em última instância, no âmbito trabalhista, os embargos em que se alegue violação literal a dispositivo da CF, não alçou esse órgão ao mesmo plano do STF, para que se possa sustentar que a atribuição dessa competência é inconstitucional por concorrer com a competência da Suprema Corte.</w:t>
      </w:r>
    </w:p>
    <w:p>
      <w:pPr>
        <w:ind w:left="288"/>
      </w:pPr>
      <w:r>
        <w:rPr>
          <w:b/>
          <w:color w:val="003CA0"/>
          <w:sz w:val="16"/>
        </w:rPr>
        <w:t>[AI 176.277 AgR, rel. min. Moreira Alves, j. 18-12-1995, 1ª T, DJ de 12-4-1996.]</w:t>
      </w:r>
    </w:p>
    <w:p>
      <w:pPr>
        <w:ind w:left="288"/>
      </w:pPr>
      <w:r>
        <w:rPr>
          <w:color w:val="8C8C8C"/>
          <w:sz w:val="12"/>
        </w:rPr>
        <w:t>cf-art-111-par-2</w:t>
      </w:r>
    </w:p>
    <w:p>
      <w:pPr>
        <w:ind w:left="288"/>
      </w:pPr>
      <w:r>
        <w:rPr>
          <w:color w:val="1E1E1E"/>
          <w:sz w:val="18"/>
        </w:rPr>
        <w:t>I - a Escola Nacional de Formação e Aperfeiçoamento de Magistrados do Trabalho, cabendo-lhe, dentre outras funções, regulamentar os cursos oficiais para o ingresso e promoção na carreira; (Incluído pela EC 45/2004) II - o Conselho Superior da Justiça do Trabalho, cabendo-lhe exercer, na forma da lei, a supervisão administrativa, orçamentária, financeira e patrimonial da Justiça do Trabalho de primeiro e segundo graus, como órgão central do sistema, cujas decisões terão efeito vinculante. (Incluído pela EC 45/2004)</w:t>
      </w:r>
    </w:p>
    <w:p>
      <w:r>
        <w:rPr>
          <w:b/>
          <w:color w:val="003366"/>
          <w:sz w:val="20"/>
        </w:rPr>
        <w:t>Art. 111 A. (Revogado pela Emenda Constitucional nº 126, de 2022)</w:t>
      </w:r>
      <w:r>
        <w:rPr>
          <w:color w:val="8C8C8C"/>
          <w:sz w:val="14"/>
        </w:rPr>
        <w:t xml:space="preserve">  [5 decisoes]</w:t>
      </w:r>
    </w:p>
    <w:p>
      <w:pPr>
        <w:ind w:left="288"/>
      </w:pPr>
      <w:r>
        <w:rPr>
          <w:color w:val="8C8C8C"/>
          <w:sz w:val="12"/>
        </w:rPr>
        <w:t>cf-art-111-par-3</w:t>
      </w:r>
    </w:p>
    <w:p>
      <w:pPr>
        <w:ind w:left="288"/>
      </w:pPr>
      <w:r>
        <w:rPr>
          <w:color w:val="1E1E1E"/>
          <w:sz w:val="18"/>
        </w:rPr>
        <w:t>Art. 111-A. O Tribunal Superior do Trabalho compõe-se de vinte e sete Ministros, escolhidos dentre brasileiros com mais de trinta e cinco e menos de setenta anos de idade, de notável saber jurídico e reputação ilibada, nomeados pelo Presidente da República após aprovação pela maioria absoluta do Senado Federal, sendo: (Redação dada pela EC n. 122/22) I - um quinto dentre advogados com mais de dez anos de efetiva atividade profissional e membros do Ministério Público do Trabalho com mais de dez anos de efetivo exercício, observado o disposto no art. 94; (Incluído pela EC 45/2004)</w:t>
      </w:r>
    </w:p>
    <w:p>
      <w:pPr>
        <w:ind w:left="144"/>
      </w:pPr>
      <w:r>
        <w:rPr>
          <w:b/>
          <w:color w:val="B45A00"/>
          <w:sz w:val="16"/>
        </w:rPr>
        <w:t>JULGADOS CORRELATOS</w:t>
      </w:r>
    </w:p>
    <w:p>
      <w:pPr>
        <w:ind w:left="288"/>
      </w:pPr>
      <w:r>
        <w:rPr>
          <w:color w:val="8C8C8C"/>
          <w:sz w:val="12"/>
        </w:rPr>
        <w:t>cf-art-111-par-1</w:t>
      </w:r>
      <w:r>
        <w:rPr>
          <w:color w:val="003CA0"/>
          <w:sz w:val="12"/>
        </w:rPr>
        <w:t xml:space="preserve"> | RE 405.031</w:t>
      </w:r>
      <w:r>
        <w:rPr>
          <w:color w:val="003CA0"/>
          <w:sz w:val="12"/>
        </w:rPr>
        <w:t xml:space="preserve"> | rel. Marco Aurélio</w:t>
      </w:r>
    </w:p>
    <w:p>
      <w:pPr>
        <w:ind w:left="288"/>
      </w:pPr>
      <w:r>
        <w:rPr>
          <w:color w:val="1E1E1E"/>
          <w:sz w:val="18"/>
        </w:rPr>
        <w:t>No tocante ao cabimento da reclamação no processo trabalhista, observem que, de há muito, o Supremo assentou a necessidade de esse instrumento estar previsto em lei no sentido formal e material, não cabendo criá-lo por meio de regimento interno. (...) Realmente, não se pode cogitar de disciplina em regimento interno, porquanto a reclamação ganha contornos de verdadeiro recurso, mostrando-se inserida, portanto, conforme ressaltado pelo Supremo, no direito constitucional de petição. Cumpre, no âmbito federal, ao Congresso Nacional dispor a respeito, ainda que o faça, ante a origem da regência do</w:t>
      </w:r>
    </w:p>
    <w:p>
      <w:pPr>
        <w:ind w:left="288"/>
      </w:pPr>
      <w:r>
        <w:rPr>
          <w:b/>
          <w:color w:val="003CA0"/>
          <w:sz w:val="16"/>
        </w:rPr>
        <w:t>[RE 405.031, voto do rel. min. Marco Aurélio, j. 15-10-2008, P, DJE de 17-4-2009.]</w:t>
      </w:r>
    </w:p>
    <w:p>
      <w:pPr>
        <w:ind w:left="288"/>
      </w:pPr>
      <w:r>
        <w:rPr>
          <w:color w:val="8C8C8C"/>
          <w:sz w:val="12"/>
        </w:rPr>
        <w:t>cf-art-111-par-1</w:t>
      </w:r>
      <w:r>
        <w:rPr>
          <w:color w:val="003CA0"/>
          <w:sz w:val="12"/>
        </w:rPr>
        <w:t xml:space="preserve"> | MS 25.191</w:t>
      </w:r>
      <w:r>
        <w:rPr>
          <w:color w:val="003CA0"/>
          <w:sz w:val="12"/>
        </w:rPr>
        <w:t xml:space="preserve"> | rel. Cármen Lúcia</w:t>
      </w:r>
    </w:p>
    <w:p>
      <w:pPr>
        <w:ind w:left="288"/>
      </w:pPr>
      <w:r>
        <w:rPr>
          <w:color w:val="1E1E1E"/>
          <w:sz w:val="18"/>
        </w:rPr>
        <w:t>Mandado de segurança. Aposentadoria compulsória de magistrado trabalhista. Competência do TST para instaurar processo administrativo disciplinar contra magistrado trabalhista. Inocorrência de prescrição administrativa. Inexistência de nulidade da sindicância e do processo administrativo. Precedentes. Impossibilidade de dilação probatória em mandado de segurança. Segurança denegada. Competência do TST para julgar processo disciplinar do impetrante decorrente da falta de quorum do TRT 14ª Região. Precedentes. A Loman não estabelece regras de prescrição da pretensão punitiva por faltas disciplina</w:t>
      </w:r>
    </w:p>
    <w:p>
      <w:pPr>
        <w:ind w:left="288"/>
      </w:pPr>
      <w:r>
        <w:rPr>
          <w:b/>
          <w:color w:val="003CA0"/>
          <w:sz w:val="16"/>
        </w:rPr>
        <w:t>[MS 25.191, rel. min. Cármen Lúcia, j. 19-11-2007, P, DJ de 14-12-2007.]</w:t>
      </w:r>
    </w:p>
    <w:p>
      <w:pPr>
        <w:ind w:left="288"/>
      </w:pPr>
      <w:r>
        <w:rPr>
          <w:color w:val="8C8C8C"/>
          <w:sz w:val="12"/>
        </w:rPr>
        <w:t>cf-art-111-par-1</w:t>
      </w:r>
      <w:r>
        <w:rPr>
          <w:color w:val="003CA0"/>
          <w:sz w:val="12"/>
        </w:rPr>
        <w:t xml:space="preserve"> | AI 176.277</w:t>
      </w:r>
      <w:r>
        <w:rPr>
          <w:color w:val="003CA0"/>
          <w:sz w:val="12"/>
        </w:rPr>
        <w:t xml:space="preserve"> | rel. Moreira Alves</w:t>
      </w:r>
    </w:p>
    <w:p>
      <w:pPr>
        <w:ind w:left="288"/>
      </w:pPr>
      <w:r>
        <w:rPr>
          <w:color w:val="1E1E1E"/>
          <w:sz w:val="18"/>
        </w:rPr>
        <w:t>A Lei 7.701/1988, ao outorgar competência à Seção de Dissídios Individuais do TST para julgar, em última instância, no âmbito trabalhista, os embargos em que se alegue violação literal a dispositivo da CF, não alçou esse órgão ao mesmo plano do STF, para que se possa sustentar que a atribuição dessa competência é inconstitucional por concorrer com a competência da Suprema Corte.</w:t>
      </w:r>
    </w:p>
    <w:p>
      <w:pPr>
        <w:ind w:left="288"/>
      </w:pPr>
      <w:r>
        <w:rPr>
          <w:b/>
          <w:color w:val="003CA0"/>
          <w:sz w:val="16"/>
        </w:rPr>
        <w:t>[AI 176.277 AgR, rel. min. Moreira Alves, j. 18-12-1995, 1ª T, DJ de 12-4-1996.]</w:t>
      </w:r>
    </w:p>
    <w:p>
      <w:pPr>
        <w:ind w:left="288"/>
      </w:pPr>
      <w:r>
        <w:rPr>
          <w:color w:val="8C8C8C"/>
          <w:sz w:val="12"/>
        </w:rPr>
        <w:t>cf-art-111-par-2</w:t>
      </w:r>
    </w:p>
    <w:p>
      <w:pPr>
        <w:ind w:left="288"/>
      </w:pPr>
      <w:r>
        <w:rPr>
          <w:color w:val="1E1E1E"/>
          <w:sz w:val="18"/>
        </w:rPr>
        <w:t>I - a Escola Nacional de Formação e Aperfeiçoamento de Magistrados do Trabalho, cabendo-lhe, dentre outras funções, regulamentar os cursos oficiais para o ingresso e promoção na carreira; (Incluído pela EC 45/2004) II - o Conselho Superior da Justiça do Trabalho, cabendo-lhe exercer, na forma da lei, a supervisão administrativa, orçamentária, financeira e patrimonial da Justiça do Trabalho de primeiro e segundo graus, como órgão central do sistema, cujas decisões terão efeito vinculante. (Incluído pela EC 45/2004)</w:t>
      </w:r>
    </w:p>
    <w:p>
      <w:r>
        <w:rPr>
          <w:b/>
          <w:color w:val="003366"/>
          <w:sz w:val="20"/>
        </w:rPr>
        <w:t>Art. 112 (Revogado pela Emenda Constitucional nº 126, de 2022)</w:t>
      </w:r>
    </w:p>
    <w:p>
      <w:r>
        <w:rPr>
          <w:b/>
          <w:color w:val="003366"/>
          <w:sz w:val="20"/>
        </w:rPr>
        <w:t>Art. 113 A proposição legislativa que crie ou altere despesa obrigatória ou renú</w:t>
      </w:r>
      <w:r>
        <w:rPr>
          <w:color w:val="8C8C8C"/>
          <w:sz w:val="14"/>
        </w:rPr>
        <w:t xml:space="preserve">  [3 decisoes]</w:t>
      </w:r>
    </w:p>
    <w:p>
      <w:pPr>
        <w:ind w:left="144"/>
      </w:pPr>
      <w:r>
        <w:rPr>
          <w:b/>
          <w:color w:val="B45A00"/>
          <w:sz w:val="16"/>
        </w:rPr>
        <w:t>SUMULA</w:t>
      </w:r>
    </w:p>
    <w:p>
      <w:pPr>
        <w:ind w:left="288"/>
      </w:pPr>
      <w:r>
        <w:rPr>
          <w:color w:val="8C8C8C"/>
          <w:sz w:val="12"/>
        </w:rPr>
        <w:t>cf-art-113</w:t>
      </w:r>
    </w:p>
    <w:p>
      <w:pPr>
        <w:ind w:left="288"/>
      </w:pPr>
      <w:r>
        <w:rPr>
          <w:color w:val="1E1E1E"/>
          <w:sz w:val="18"/>
        </w:rPr>
        <w:t>Integrante de lista de candidatos a determinada vaga da composição de tribunal é parte legítima para impugnar a validade da nomeação de concorrente.</w:t>
      </w:r>
    </w:p>
    <w:p>
      <w:pPr>
        <w:ind w:left="288"/>
      </w:pPr>
      <w:r>
        <w:rPr>
          <w:b/>
          <w:color w:val="003CA0"/>
          <w:sz w:val="16"/>
        </w:rPr>
        <w:t>[Súmula 628.]</w:t>
      </w:r>
    </w:p>
    <w:p>
      <w:pPr>
        <w:ind w:left="144"/>
      </w:pPr>
      <w:r>
        <w:rPr>
          <w:b/>
          <w:color w:val="B45A00"/>
          <w:sz w:val="16"/>
        </w:rPr>
        <w:t>CONTROLE CONCENTRADO</w:t>
      </w:r>
    </w:p>
    <w:p>
      <w:pPr>
        <w:ind w:left="288"/>
      </w:pPr>
      <w:r>
        <w:rPr>
          <w:color w:val="8C8C8C"/>
          <w:sz w:val="12"/>
        </w:rPr>
        <w:t>cf-art-113</w:t>
      </w:r>
      <w:r>
        <w:rPr>
          <w:color w:val="003CA0"/>
          <w:sz w:val="12"/>
        </w:rPr>
        <w:t xml:space="preserve"> | ADI 2.527</w:t>
      </w:r>
      <w:r>
        <w:rPr>
          <w:color w:val="003CA0"/>
          <w:sz w:val="12"/>
        </w:rPr>
        <w:t xml:space="preserve"> | rel. Ellen Gracie</w:t>
      </w:r>
    </w:p>
    <w:p>
      <w:pPr>
        <w:ind w:left="288"/>
      </w:pPr>
      <w:r>
        <w:rPr>
          <w:color w:val="1E1E1E"/>
          <w:sz w:val="18"/>
        </w:rPr>
        <w:t>A introdução, no art. 6º da Lei 9.469/1997, de dispositivo que afasta, no caso de transação ou acordo, a possibilidade do pagamento dos honorários devidos ao advogado da parte contrária, ainda que fruto de condenação transitada em julgado, choca-se, aparentemente, com a garantia insculpida no art. 5º, XXXVI, da Constituição, por desconsiderar a coisa julgada, além de afrontar a garantia de isonomia da parte obrigada a negociar despida de uma parcela significativa de seu poder de barganha, correspondente à verba honorária.</w:t>
      </w:r>
    </w:p>
    <w:p>
      <w:pPr>
        <w:ind w:left="288"/>
      </w:pPr>
      <w:r>
        <w:rPr>
          <w:b/>
          <w:color w:val="003CA0"/>
          <w:sz w:val="16"/>
        </w:rPr>
        <w:t>[ADI 2.527 MC, rel. min. Ellen Gracie, j. 16-8-2007, P, DJ de 23-11-2007.]</w:t>
      </w:r>
    </w:p>
    <w:p>
      <w:pPr>
        <w:ind w:left="144"/>
      </w:pPr>
      <w:r>
        <w:rPr>
          <w:b/>
          <w:color w:val="B45A00"/>
          <w:sz w:val="16"/>
        </w:rPr>
        <w:t>JULGADOS CORRELATOS</w:t>
      </w:r>
    </w:p>
    <w:p>
      <w:pPr>
        <w:ind w:left="288"/>
      </w:pPr>
      <w:r>
        <w:rPr>
          <w:color w:val="8C8C8C"/>
          <w:sz w:val="12"/>
        </w:rPr>
        <w:t>cf-art-113</w:t>
      </w:r>
      <w:r>
        <w:rPr>
          <w:color w:val="003CA0"/>
          <w:sz w:val="12"/>
        </w:rPr>
        <w:t xml:space="preserve"> | RCL 1.993</w:t>
      </w:r>
      <w:r>
        <w:rPr>
          <w:color w:val="003CA0"/>
          <w:sz w:val="12"/>
        </w:rPr>
        <w:t xml:space="preserve"> | rel. Eros Grau</w:t>
      </w:r>
    </w:p>
    <w:p>
      <w:pPr>
        <w:ind w:left="288"/>
      </w:pPr>
      <w:r>
        <w:rPr>
          <w:color w:val="1E1E1E"/>
          <w:sz w:val="18"/>
        </w:rPr>
        <w:t>Agravo regimental. Decisão concernente à perda do objeto da reclamação. Mandato dos juízes classistas expirado. Agravo regimental visando ao cumprimento integral da liminar concedida. Pagamento de proventos devidos. Exercício do mandato classista. Reforma do ato que julgou prejudicado o pedido. Seguimento à reclamação. Processamento da reclamação para resguardar os efeitos da liminar concedida. Decisão liminar que visava a assegurar o exercício dos mandatos de juiz classista temporário do TRT 5ª Região àqueles cuja nomeação e investidura foram anteriores à promulgação da EC 24/1999. Agravo reg</w:t>
      </w:r>
    </w:p>
    <w:p>
      <w:pPr>
        <w:ind w:left="288"/>
      </w:pPr>
      <w:r>
        <w:rPr>
          <w:b/>
          <w:color w:val="003CA0"/>
          <w:sz w:val="16"/>
        </w:rPr>
        <w:t>[Rcl 1.993 AgR, rel. min. Eros Grau, j. 28-3-2007, P, DJ de 8-6-2007.]</w:t>
      </w:r>
    </w:p>
    <w:p>
      <w:r>
        <w:rPr>
          <w:b/>
          <w:color w:val="003366"/>
          <w:sz w:val="20"/>
        </w:rPr>
        <w:t>Art. 114 (Revogado pela Emenda Constitucional nº 126, de 2022)</w:t>
      </w:r>
      <w:r>
        <w:rPr>
          <w:color w:val="8C8C8C"/>
          <w:sz w:val="14"/>
        </w:rPr>
        <w:t xml:space="preserve">  [54 decisoes]</w:t>
      </w:r>
    </w:p>
    <w:p>
      <w:pPr>
        <w:ind w:left="144"/>
      </w:pPr>
      <w:r>
        <w:rPr>
          <w:b/>
          <w:color w:val="B45A00"/>
          <w:sz w:val="16"/>
        </w:rPr>
        <w:t>CONTROLE CONCENTRADO</w:t>
      </w:r>
    </w:p>
    <w:p>
      <w:pPr>
        <w:ind w:left="288"/>
      </w:pPr>
      <w:r>
        <w:rPr>
          <w:color w:val="8C8C8C"/>
          <w:sz w:val="12"/>
        </w:rPr>
        <w:t>cf-art-114</w:t>
      </w:r>
      <w:r>
        <w:rPr>
          <w:color w:val="003CA0"/>
          <w:sz w:val="12"/>
        </w:rPr>
        <w:t xml:space="preserve"> | ADI 3.684</w:t>
      </w:r>
      <w:r>
        <w:rPr>
          <w:color w:val="003CA0"/>
          <w:sz w:val="12"/>
        </w:rPr>
        <w:t xml:space="preserve"> | rel. Gilmar Mendes</w:t>
      </w:r>
    </w:p>
    <w:p>
      <w:pPr>
        <w:ind w:left="288"/>
      </w:pPr>
      <w:r>
        <w:rPr>
          <w:color w:val="1E1E1E"/>
          <w:sz w:val="18"/>
        </w:rPr>
        <w:t>Interpretação conforme ao disposto no art. 114, I, IV e IX, da Constituição da República, de modo a afastar a competência da Justiça do Trabalho para processar e julgar ações penais.</w:t>
      </w:r>
    </w:p>
    <w:p>
      <w:pPr>
        <w:ind w:left="288"/>
      </w:pPr>
      <w:r>
        <w:rPr>
          <w:b/>
          <w:color w:val="003CA0"/>
          <w:sz w:val="16"/>
        </w:rPr>
        <w:t>[ADI 3.684, rel. min. Gilmar Mendes, j. 11-5-2020, P, DJE de 1º-6-2020.]</w:t>
      </w:r>
    </w:p>
    <w:p>
      <w:pPr>
        <w:ind w:left="288"/>
      </w:pPr>
      <w:r>
        <w:rPr>
          <w:color w:val="8C8C8C"/>
          <w:sz w:val="12"/>
        </w:rPr>
        <w:t>cf-art-114</w:t>
      </w:r>
      <w:r>
        <w:rPr>
          <w:color w:val="003CA0"/>
          <w:sz w:val="12"/>
        </w:rPr>
        <w:t xml:space="preserve"> | ARE 1.532.603</w:t>
      </w:r>
      <w:r>
        <w:rPr>
          <w:color w:val="003CA0"/>
          <w:sz w:val="12"/>
        </w:rPr>
        <w:t xml:space="preserve"> | rel. Gilmar Mendes</w:t>
      </w:r>
    </w:p>
    <w:p>
      <w:pPr>
        <w:ind w:left="288"/>
      </w:pPr>
      <w:r>
        <w:rPr>
          <w:color w:val="1E1E1E"/>
          <w:sz w:val="18"/>
        </w:rPr>
        <w:t>Competência e ônus da prova nos processos que discutem a existência de fraude no contrato civil/comercial de prestação de serviços; e a licitude da contratação de pessoa jurídica ou trabalhador autônomo para essa finalidade.</w:t>
      </w:r>
    </w:p>
    <w:p>
      <w:pPr>
        <w:ind w:left="288"/>
      </w:pPr>
      <w:r>
        <w:rPr>
          <w:b/>
          <w:color w:val="003CA0"/>
          <w:sz w:val="16"/>
        </w:rPr>
        <w:t>[ARE 1.532.603 RG, rel. min. Gilmar Mendes, j. 11.04.2025, P, DJE de 24.04.2025, Tema 1.389, com mérito pendente.]</w:t>
      </w:r>
    </w:p>
    <w:p>
      <w:pPr>
        <w:ind w:left="144"/>
      </w:pPr>
      <w:r>
        <w:rPr>
          <w:b/>
          <w:color w:val="B45A00"/>
          <w:sz w:val="16"/>
        </w:rPr>
        <w:t>REPERCUSSAO GERAL</w:t>
      </w:r>
    </w:p>
    <w:p>
      <w:pPr>
        <w:ind w:left="288"/>
      </w:pPr>
      <w:r>
        <w:rPr>
          <w:color w:val="8C8C8C"/>
          <w:sz w:val="12"/>
        </w:rPr>
        <w:t>cf-art-114</w:t>
      </w:r>
      <w:r>
        <w:rPr>
          <w:color w:val="003CA0"/>
          <w:sz w:val="12"/>
        </w:rPr>
        <w:t xml:space="preserve"> | RE 1.034.840</w:t>
      </w:r>
      <w:r>
        <w:rPr>
          <w:color w:val="003CA0"/>
          <w:sz w:val="12"/>
        </w:rPr>
        <w:t xml:space="preserve"> | rel. Luiz Fux</w:t>
      </w:r>
    </w:p>
    <w:p>
      <w:pPr>
        <w:ind w:left="288"/>
      </w:pPr>
      <w:r>
        <w:rPr>
          <w:color w:val="1E1E1E"/>
          <w:sz w:val="18"/>
        </w:rPr>
        <w:t>O organismo internacional que tenha garantida a imunidade de jurisdição em tratado firmado pelo Brasil e internalizado na ordem jurídica brasileira não pode ser demandado em juízo, salvo em caso de renúncia expressa a essa imunidade.</w:t>
        <w:br/>
        <w:t>[RE 1.034.840 RG, rel. min. Luiz Fux, j. 1º-6-2017, P, DJE de 30-6-2017, Tema 947, com mérito julgado.]</w:t>
        <w:br/>
        <w:t>Vide RE 222.368 AgR, rel. min. Celso de Mello, j. 30-4-2002, 2ª T, DJ de 14-2-2003</w:t>
        <w:br/>
        <w:t>Vide ACi 9.696, rel. min. Sydney Sanches, j. 31-5-1989, P, DJ de 12-10-1990</w:t>
      </w:r>
    </w:p>
    <w:p>
      <w:pPr>
        <w:ind w:left="144"/>
      </w:pPr>
      <w:r>
        <w:rPr>
          <w:b/>
          <w:color w:val="B45A00"/>
          <w:sz w:val="16"/>
        </w:rPr>
        <w:t>JULGADOS CORRELATOS</w:t>
      </w:r>
    </w:p>
    <w:p>
      <w:pPr>
        <w:ind w:left="288"/>
      </w:pPr>
      <w:r>
        <w:rPr>
          <w:color w:val="8C8C8C"/>
          <w:sz w:val="12"/>
        </w:rPr>
        <w:t>cf-art-114</w:t>
      </w:r>
      <w:r>
        <w:rPr>
          <w:color w:val="003CA0"/>
          <w:sz w:val="12"/>
        </w:rPr>
        <w:t xml:space="preserve"> | RE 1.090.128</w:t>
      </w:r>
      <w:r>
        <w:rPr>
          <w:color w:val="003CA0"/>
          <w:sz w:val="12"/>
        </w:rPr>
        <w:t xml:space="preserve"> | rel. Celso de Mello</w:t>
      </w:r>
    </w:p>
    <w:p>
      <w:pPr>
        <w:ind w:left="288"/>
      </w:pPr>
      <w:r>
        <w:rPr>
          <w:color w:val="1E1E1E"/>
          <w:sz w:val="18"/>
        </w:rPr>
        <w:t>(...) compete à Justiça do Trabalho julgar ação civil pública na qual se discute questões relativas à saúde, à higiene e à segurança do trabalho.</w:t>
      </w:r>
    </w:p>
    <w:p>
      <w:pPr>
        <w:ind w:left="288"/>
      </w:pPr>
      <w:r>
        <w:rPr>
          <w:b/>
          <w:color w:val="003CA0"/>
          <w:sz w:val="16"/>
        </w:rPr>
        <w:t>[RE 1.090.128 AgR, rel. min. Celso de Mello, j. 23-3-2018, 2ª T, DJE de 18-4-2018.]</w:t>
      </w:r>
    </w:p>
    <w:p>
      <w:pPr>
        <w:ind w:left="288"/>
      </w:pPr>
      <w:r>
        <w:rPr>
          <w:color w:val="8C8C8C"/>
          <w:sz w:val="12"/>
        </w:rPr>
        <w:t>cf-art-114</w:t>
      </w:r>
      <w:r>
        <w:rPr>
          <w:color w:val="003CA0"/>
          <w:sz w:val="12"/>
        </w:rPr>
        <w:t xml:space="preserve"> | rel. Ayres Britto</w:t>
      </w:r>
    </w:p>
    <w:p>
      <w:pPr>
        <w:ind w:left="288"/>
      </w:pPr>
      <w:r>
        <w:rPr>
          <w:color w:val="1E1E1E"/>
          <w:sz w:val="18"/>
        </w:rPr>
        <w:t>(...) o Plenário decidiu, por maioria, que o marco temporal da competência da Justiça Trabalhista é o advento da EC 45/2004. Emenda que explicitou a competência da Justiça Laboral na matéria em apreço. A nova orientação alcança os processos em trâmite pela Justiça comum estadual, desde que pendentes de julgamento de mérito. É dizer: as ações que tramitam perante a Justiça comum dos Estados, com sentença de mérito anterior à promulgação da EC 45/2004, lá continuam até o trânsito em julgado e correspondente execução. Quanto àquelas cujo mérito ainda não foi apreciado, hão de ser remetidas à Just</w:t>
      </w:r>
    </w:p>
    <w:p>
      <w:pPr>
        <w:ind w:left="288"/>
      </w:pPr>
      <w:r>
        <w:rPr>
          <w:b/>
          <w:color w:val="003CA0"/>
          <w:sz w:val="16"/>
        </w:rPr>
        <w:t>[CC 7.204, rel. min. Ayres Britto, j. 29-6-2005, P, DJ de 9-12-2005.]</w:t>
      </w:r>
    </w:p>
    <w:p>
      <w:pPr>
        <w:ind w:left="288"/>
      </w:pPr>
      <w:r>
        <w:rPr>
          <w:color w:val="8C8C8C"/>
          <w:sz w:val="12"/>
        </w:rPr>
        <w:t>cf-art-114</w:t>
      </w:r>
      <w:r>
        <w:rPr>
          <w:color w:val="003CA0"/>
          <w:sz w:val="12"/>
        </w:rPr>
        <w:t xml:space="preserve"> | rel. Gilmar Mendes</w:t>
      </w:r>
    </w:p>
    <w:p>
      <w:pPr>
        <w:ind w:left="288"/>
      </w:pPr>
      <w:r>
        <w:rPr>
          <w:color w:val="1E1E1E"/>
          <w:sz w:val="18"/>
        </w:rPr>
        <w:t>Contrato por tempo determinado para atender a necessidade temporária de excepcional interesse público. Típica demanda trabalhista contra pessoa jurídica de direito público. Competência da Justiça do Trabalho. Art. 114 da Constituição. Precedentes.</w:t>
      </w:r>
    </w:p>
    <w:p>
      <w:pPr>
        <w:ind w:left="288"/>
      </w:pPr>
      <w:r>
        <w:rPr>
          <w:b/>
          <w:color w:val="003CA0"/>
          <w:sz w:val="16"/>
        </w:rPr>
        <w:t>[CC 7.128, rel. min. Gilmar Mendes, j. 2-2-2005, P, DJ de 1º-4-2005.]</w:t>
      </w:r>
    </w:p>
    <w:p>
      <w:pPr>
        <w:ind w:left="288"/>
      </w:pPr>
      <w:r>
        <w:rPr>
          <w:color w:val="8C8C8C"/>
          <w:sz w:val="12"/>
        </w:rPr>
        <w:t>cf-art-114</w:t>
      </w:r>
      <w:r>
        <w:rPr>
          <w:color w:val="003CA0"/>
          <w:sz w:val="12"/>
        </w:rPr>
        <w:t xml:space="preserve"> | RE 222.368</w:t>
      </w:r>
      <w:r>
        <w:rPr>
          <w:color w:val="003CA0"/>
          <w:sz w:val="12"/>
        </w:rPr>
        <w:t xml:space="preserve"> | rel. Celso de Mello</w:t>
      </w:r>
    </w:p>
    <w:p>
      <w:pPr>
        <w:ind w:left="288"/>
      </w:pPr>
      <w:r>
        <w:rPr>
          <w:color w:val="1E1E1E"/>
          <w:sz w:val="18"/>
        </w:rPr>
        <w:t>Os Estados estrangeiros não dispõem de imunidade de jurisdição, perante o Poder Judiciário brasileiro, nas causas de natureza trabalhista, pois essa prerrogativa de direito internacional público tem caráter meramente relativo. Privilégios diplomáticos não podem ser invocados, em processos trabalhistas, para coonestar o enriquecimento sem causa de Estados estrangeiros, em inaceitável detrimento de trabalhadores residentes em território brasileiro, sob pena de essa prática consagrar censurável desvio ético-jurídico, incompatível com o princípio da boa-fé e inconciliável com os grandes postulados</w:t>
      </w:r>
    </w:p>
    <w:p>
      <w:pPr>
        <w:ind w:left="288"/>
      </w:pPr>
      <w:r>
        <w:rPr>
          <w:b/>
          <w:color w:val="003CA0"/>
          <w:sz w:val="16"/>
        </w:rPr>
        <w:t>[RE 222.368 AgR, rel. min. Celso de Mello, j. 30-4-2002, 2ª T, DJ de 14-2-2003.]</w:t>
        <w:br/>
        <w:t>Vide RE 1.034.840 RG, rel. min. Luiz Fux, j. 1º-6-2017, P, DJE de 30-6-2017, Tema 947</w:t>
      </w:r>
    </w:p>
    <w:p>
      <w:pPr>
        <w:ind w:left="288"/>
      </w:pPr>
      <w:r>
        <w:rPr>
          <w:color w:val="8C8C8C"/>
          <w:sz w:val="12"/>
        </w:rPr>
        <w:t>cf-art-114</w:t>
      </w:r>
      <w:r>
        <w:rPr>
          <w:color w:val="003CA0"/>
          <w:sz w:val="12"/>
        </w:rPr>
        <w:t xml:space="preserve"> | RE 206.220</w:t>
      </w:r>
      <w:r>
        <w:rPr>
          <w:color w:val="003CA0"/>
          <w:sz w:val="12"/>
        </w:rPr>
        <w:t xml:space="preserve"> | rel. Marco Aurélio</w:t>
      </w:r>
    </w:p>
    <w:p>
      <w:pPr>
        <w:ind w:left="288"/>
      </w:pPr>
      <w:r>
        <w:rPr>
          <w:color w:val="1E1E1E"/>
          <w:sz w:val="18"/>
        </w:rPr>
        <w:t>Tendo a ação civil pública como causas de pedir disposições trabalhistas e pedidos voltados à preservação do meio ambiente do trabalho e, portanto, aos interesses dos empregados, a competência para julgá-la é da Justiça do Trabalho.</w:t>
      </w:r>
    </w:p>
    <w:p>
      <w:pPr>
        <w:ind w:left="288"/>
      </w:pPr>
      <w:r>
        <w:rPr>
          <w:b/>
          <w:color w:val="003CA0"/>
          <w:sz w:val="16"/>
        </w:rPr>
        <w:t>[RE 206.220, rel. min. Marco Aurélio, j. 16-3-1999, 2ª T, DJ de 17-9-1999.]</w:t>
      </w:r>
    </w:p>
    <w:p>
      <w:pPr>
        <w:ind w:left="288"/>
      </w:pPr>
      <w:r>
        <w:rPr>
          <w:color w:val="8C8C8C"/>
          <w:sz w:val="12"/>
        </w:rPr>
        <w:t>cf-art-114</w:t>
      </w:r>
      <w:r>
        <w:rPr>
          <w:color w:val="003CA0"/>
          <w:sz w:val="12"/>
        </w:rPr>
        <w:t xml:space="preserve"> | RE 234.715</w:t>
      </w:r>
      <w:r>
        <w:rPr>
          <w:color w:val="003CA0"/>
          <w:sz w:val="12"/>
        </w:rPr>
        <w:t xml:space="preserve"> | rel. Ilmar Galvão</w:t>
      </w:r>
    </w:p>
    <w:p>
      <w:pPr>
        <w:ind w:left="288"/>
      </w:pPr>
      <w:r>
        <w:rPr>
          <w:color w:val="1E1E1E"/>
          <w:sz w:val="18"/>
        </w:rPr>
        <w:t>Fixada pelas instâncias trabalhistas, a partir dos elementos fáticos, a premissa de que o contrato celebrado tem natureza trabalhista, regido pela CLT, não há como se ter por afrontada a norma inserta no art. 114 da Carta Magna, que determina ser da competência da Justiça do Trabalho a apreciação de ações decorrentes de relações de trabalho.</w:t>
      </w:r>
    </w:p>
    <w:p>
      <w:pPr>
        <w:ind w:left="288"/>
      </w:pPr>
      <w:r>
        <w:rPr>
          <w:b/>
          <w:color w:val="003CA0"/>
          <w:sz w:val="16"/>
        </w:rPr>
        <w:t>[RE 234.715, rel. min. Ilmar Galvão, j. 15-12-1998, 1ª T, DJ de 25-6-1999.]</w:t>
      </w:r>
    </w:p>
    <w:p>
      <w:pPr>
        <w:ind w:left="288"/>
      </w:pPr>
      <w:r>
        <w:rPr>
          <w:color w:val="8C8C8C"/>
          <w:sz w:val="12"/>
        </w:rPr>
        <w:t>cf-art-114</w:t>
      </w:r>
      <w:r>
        <w:rPr>
          <w:color w:val="003CA0"/>
          <w:sz w:val="12"/>
        </w:rPr>
        <w:t xml:space="preserve"> | rel. Célio Borja</w:t>
      </w:r>
    </w:p>
    <w:p>
      <w:pPr>
        <w:ind w:left="288"/>
      </w:pPr>
      <w:r>
        <w:rPr>
          <w:color w:val="1E1E1E"/>
          <w:sz w:val="18"/>
        </w:rPr>
        <w:t>À determinação da competência da Justiça do Trabalho não importa que dependa a solução da lide de questões de direito civil, mas sim, no caso, que a promessa de contrato, cujo alegado conteúdo é o fundamento do pedido, tenha sido feita em razão da relação de emprego, inserindo-se no contrato de trabalho.</w:t>
      </w:r>
    </w:p>
    <w:p>
      <w:pPr>
        <w:ind w:left="288"/>
      </w:pPr>
      <w:r>
        <w:rPr>
          <w:b/>
          <w:color w:val="003CA0"/>
          <w:sz w:val="16"/>
        </w:rPr>
        <w:t>[CJ 6.959, rel. min. Célio Borja, j. 23-5-1990, P, DJ de 22-2-1991.]</w:t>
      </w:r>
    </w:p>
    <w:p>
      <w:pPr>
        <w:ind w:left="288"/>
      </w:pPr>
      <w:r>
        <w:rPr>
          <w:color w:val="8C8C8C"/>
          <w:sz w:val="12"/>
        </w:rPr>
        <w:t>cf-art-114</w:t>
      </w:r>
      <w:r>
        <w:rPr>
          <w:color w:val="003CA0"/>
          <w:sz w:val="12"/>
        </w:rPr>
        <w:t xml:space="preserve"> | RE 503.278</w:t>
      </w:r>
      <w:r>
        <w:rPr>
          <w:color w:val="003CA0"/>
          <w:sz w:val="12"/>
        </w:rPr>
        <w:t xml:space="preserve"> | rel. Ayres Britto</w:t>
      </w:r>
    </w:p>
    <w:p>
      <w:pPr>
        <w:ind w:left="288"/>
      </w:pPr>
      <w:r>
        <w:rPr>
          <w:color w:val="1E1E1E"/>
          <w:sz w:val="18"/>
        </w:rPr>
        <w:t>= RE 503.278 AgR, rel. min. Ayres Britto, j. 26-4-2007, 1ª T, DJ de 3-8-2007 Estado estrangeiro. Imunidade judiciária. Causa trabalhista. Não há imunidade de jurisdição para o Estado estrangeiro, em causa de natureza trabalhista. Em princípio, esta deve ser processada e julgada pela Justiça do Trabalho, se ajuizada depois do advento da CF/1988 (art. 114). Na hipótese, porém, permanece a competência da Justiça Federal, em face do disposto no § 10 do art. 27 do ADCT da CF/1988, c/c o art. 125, II, da EC 1/1969. Recurso ordinário conhecido e provido pelo STF para se afastar a imunidade de jurisdi</w:t>
      </w:r>
    </w:p>
    <w:p>
      <w:pPr>
        <w:ind w:left="144"/>
      </w:pPr>
      <w:r>
        <w:rPr>
          <w:b/>
          <w:color w:val="B45A00"/>
          <w:sz w:val="16"/>
        </w:rPr>
        <w:t>SUMULA</w:t>
      </w:r>
    </w:p>
    <w:p>
      <w:pPr>
        <w:ind w:left="288"/>
      </w:pPr>
      <w:r>
        <w:rPr>
          <w:color w:val="8C8C8C"/>
          <w:sz w:val="12"/>
        </w:rPr>
        <w:t>cf-art-114</w:t>
      </w:r>
    </w:p>
    <w:p>
      <w:pPr>
        <w:ind w:left="288"/>
      </w:pPr>
      <w:r>
        <w:rPr>
          <w:color w:val="1E1E1E"/>
          <w:sz w:val="18"/>
        </w:rPr>
        <w:t>Compete à Justiça do Trabalho julgar as ações que tenham como causa de pedir o descumprimento de normas trabalhistas relativas à segurança, higiene e saúde dos trabalhadores.</w:t>
      </w:r>
    </w:p>
    <w:p>
      <w:pPr>
        <w:ind w:left="288"/>
      </w:pPr>
      <w:r>
        <w:rPr>
          <w:b/>
          <w:color w:val="003CA0"/>
          <w:sz w:val="16"/>
        </w:rPr>
        <w:t>[Súmula 736.]</w:t>
      </w:r>
    </w:p>
    <w:p>
      <w:pPr>
        <w:ind w:left="144"/>
      </w:pPr>
      <w:r>
        <w:rPr>
          <w:b/>
          <w:color w:val="B45A00"/>
          <w:sz w:val="16"/>
        </w:rPr>
        <w:t>CONTROLE CONCENTRADO</w:t>
      </w:r>
    </w:p>
    <w:p>
      <w:pPr>
        <w:ind w:left="288"/>
      </w:pPr>
      <w:r>
        <w:rPr>
          <w:color w:val="8C8C8C"/>
          <w:sz w:val="12"/>
        </w:rPr>
        <w:t>cf-art-114</w:t>
      </w:r>
      <w:r>
        <w:rPr>
          <w:color w:val="003CA0"/>
          <w:sz w:val="12"/>
        </w:rPr>
        <w:t xml:space="preserve"> | ADI 3.395</w:t>
      </w:r>
      <w:r>
        <w:rPr>
          <w:color w:val="003CA0"/>
          <w:sz w:val="12"/>
        </w:rPr>
        <w:t xml:space="preserve"> | rel. Alexandre de Moraes</w:t>
      </w:r>
    </w:p>
    <w:p>
      <w:pPr>
        <w:ind w:left="288"/>
      </w:pPr>
      <w:r>
        <w:rPr>
          <w:color w:val="1E1E1E"/>
          <w:sz w:val="18"/>
        </w:rPr>
        <w:t>A interpretação adequadamente constitucional da expressão ‘relação do trabalho’ deve excluir os vínculos de natureza jurídico-estatutária, em razão do que a competência da Justiça do Trabalho não alcança as ações judiciais entre o Poder Público e seus servidores.</w:t>
      </w:r>
    </w:p>
    <w:p>
      <w:pPr>
        <w:ind w:left="288"/>
      </w:pPr>
      <w:r>
        <w:rPr>
          <w:b/>
          <w:color w:val="003CA0"/>
          <w:sz w:val="16"/>
        </w:rPr>
        <w:t>[ADI 3.395, rel. min. Alexandre de Moraes, j. 15-4-2020, P, DJE de 1º-7-2020.]</w:t>
      </w:r>
    </w:p>
    <w:p>
      <w:pPr>
        <w:ind w:left="144"/>
      </w:pPr>
      <w:r>
        <w:rPr>
          <w:b/>
          <w:color w:val="B45A00"/>
          <w:sz w:val="16"/>
        </w:rPr>
        <w:t>REPERCUSSAO GERAL</w:t>
      </w:r>
    </w:p>
    <w:p>
      <w:pPr>
        <w:ind w:left="288"/>
      </w:pPr>
      <w:r>
        <w:rPr>
          <w:color w:val="8C8C8C"/>
          <w:sz w:val="12"/>
        </w:rPr>
        <w:t>cf-art-114</w:t>
      </w:r>
      <w:r>
        <w:rPr>
          <w:color w:val="003CA0"/>
          <w:sz w:val="12"/>
        </w:rPr>
        <w:t xml:space="preserve"> | RE 1.288.440</w:t>
      </w:r>
      <w:r>
        <w:rPr>
          <w:color w:val="003CA0"/>
          <w:sz w:val="12"/>
        </w:rPr>
        <w:t xml:space="preserve"> | rel. Roberto Barroso</w:t>
      </w:r>
    </w:p>
    <w:p>
      <w:pPr>
        <w:ind w:left="288"/>
      </w:pPr>
      <w:r>
        <w:rPr>
          <w:color w:val="1E1E1E"/>
          <w:sz w:val="18"/>
        </w:rPr>
        <w:t>Tratando-se de parcela de natureza administrativa, a Justiça Comum é o ramo do Poder Judiciário que tem expertise para apreciar a questão. Nesses casos, embora o vínculo com o Poder Público seja de natureza celetista, a causa de pedir e o pedido da ação não se fundamentam na legislação trabalhista, mas em norma estatutária, cuja apreciação – consoante já decidido por esta Corte ao interpretar o art. 114, I, da Constituição – não compõe a esfera de competência da Justiça do Trabalho. (...) A Justiça Comum é competente para julgar ação ajuizada por servidor celetista contra o Poder Público, em q</w:t>
      </w:r>
    </w:p>
    <w:p>
      <w:pPr>
        <w:ind w:left="288"/>
      </w:pPr>
      <w:r>
        <w:rPr>
          <w:b/>
          <w:color w:val="003CA0"/>
          <w:sz w:val="16"/>
        </w:rPr>
        <w:t>[ARE 1.001.075 RG, rel. min. Gilmar Mendes, j. 8-12-2016, P, DJE de 1º-2-2017, Tema 928, com mérito julgado.]</w:t>
        <w:br/>
        <w:t>Vide AI 609.855 AgR-ED, rel. min. Sepúlveda Pertence, j. 25-6-2007, 1ª T, DJ de 31-8-2007</w:t>
      </w:r>
    </w:p>
    <w:p>
      <w:pPr>
        <w:ind w:left="288"/>
      </w:pPr>
      <w:r>
        <w:rPr>
          <w:color w:val="8C8C8C"/>
          <w:sz w:val="12"/>
        </w:rPr>
        <w:t>cf-art-114</w:t>
      </w:r>
      <w:r>
        <w:rPr>
          <w:color w:val="003CA0"/>
          <w:sz w:val="12"/>
        </w:rPr>
        <w:t xml:space="preserve"> | ARE 906.491</w:t>
      </w:r>
      <w:r>
        <w:rPr>
          <w:color w:val="003CA0"/>
          <w:sz w:val="12"/>
        </w:rPr>
        <w:t xml:space="preserve"> | rel. Teori Zavascki</w:t>
      </w:r>
    </w:p>
    <w:p>
      <w:pPr>
        <w:ind w:left="288"/>
      </w:pPr>
      <w:r>
        <w:rPr>
          <w:color w:val="1E1E1E"/>
          <w:sz w:val="18"/>
        </w:rPr>
        <w:t>Em regime de repercussão geral, fica reafirmada a jurisprudência do STF no sentido de ser da competência da Justiça do Trabalho processar e julgar demandas visando a obter prestações de natureza trabalhista, ajuizadas contra órgãos da administração pública por servidores que ingressaram em seus quadros, sem concurso público, antes do advento da CF/1988, sob regime da CLT.</w:t>
        <w:br/>
        <w:t>[ARE 906.491 RG, rel. min. Teori Zavascki, j. 1º-10-2015, P, DJE de 7-10-2015, Tema 853, com mérito julgado.] Ação de cobrança de honorários advocatícios. Verbas arbitradas em favor da recorrida em razão de sua atuação como d</w:t>
      </w:r>
    </w:p>
    <w:p>
      <w:pPr>
        <w:ind w:left="288"/>
      </w:pPr>
      <w:r>
        <w:rPr>
          <w:b/>
          <w:color w:val="003CA0"/>
          <w:sz w:val="16"/>
        </w:rPr>
        <w:t>[RE 607.520, rel. min. Dias Toffoli, j. 25-5-2011, P, DJE de 21-6-2011, Tema 305, com mérito julgado.]</w:t>
      </w:r>
    </w:p>
    <w:p>
      <w:pPr>
        <w:ind w:left="288"/>
      </w:pPr>
      <w:r>
        <w:rPr>
          <w:color w:val="8C8C8C"/>
          <w:sz w:val="12"/>
        </w:rPr>
        <w:t>cf-art-114</w:t>
      </w:r>
      <w:r>
        <w:rPr>
          <w:color w:val="003CA0"/>
          <w:sz w:val="12"/>
        </w:rPr>
        <w:t xml:space="preserve"> | RE 573.202</w:t>
      </w:r>
      <w:r>
        <w:rPr>
          <w:color w:val="003CA0"/>
          <w:sz w:val="12"/>
        </w:rPr>
        <w:t xml:space="preserve"> | rel. Ricardo Lewandowski</w:t>
      </w:r>
    </w:p>
    <w:p>
      <w:pPr>
        <w:ind w:left="288"/>
      </w:pPr>
      <w:r>
        <w:rPr>
          <w:color w:val="1E1E1E"/>
          <w:sz w:val="18"/>
        </w:rPr>
        <w:t>Compete à Justiça comum processar e julgar causas instauradas entre o poder público e seus servidores submetidos a regime especial disciplinado por lei local editada antes da Constituição Republicana de 1988, com fundamento no art. 106 da Constituição de 1967, na redação que lhe deu a EC 1/1969, ou no art. 37, IX, da Constituição de 1988.</w:t>
        <w:br/>
        <w:t>[RE 573.202, rel. min. Ricardo Lewandowski, j. 21-8-2008, P, DJE de 5-12-2008, Tema 43, com mérito julgado.]</w:t>
      </w:r>
    </w:p>
    <w:p>
      <w:pPr>
        <w:ind w:left="144"/>
      </w:pPr>
      <w:r>
        <w:rPr>
          <w:b/>
          <w:color w:val="B45A00"/>
          <w:sz w:val="16"/>
        </w:rPr>
        <w:t>JULGADOS CORRELATOS</w:t>
      </w:r>
    </w:p>
    <w:p>
      <w:pPr>
        <w:ind w:left="288"/>
      </w:pPr>
      <w:r>
        <w:rPr>
          <w:color w:val="8C8C8C"/>
          <w:sz w:val="12"/>
        </w:rPr>
        <w:t>cf-art-114</w:t>
      </w:r>
      <w:r>
        <w:rPr>
          <w:color w:val="003CA0"/>
          <w:sz w:val="12"/>
        </w:rPr>
        <w:t xml:space="preserve"> | RE 1.015.362</w:t>
      </w:r>
      <w:r>
        <w:rPr>
          <w:color w:val="003CA0"/>
          <w:sz w:val="12"/>
        </w:rPr>
        <w:t xml:space="preserve"> | rel. Edson Fachin</w:t>
      </w:r>
    </w:p>
    <w:p>
      <w:pPr>
        <w:ind w:left="288"/>
      </w:pPr>
      <w:r>
        <w:rPr>
          <w:color w:val="1E1E1E"/>
          <w:sz w:val="18"/>
        </w:rPr>
        <w:t>(...) compete à Justiça do Trabalho dirimir as controvérsias instauradas entre pessoas jurídicas de direito privado integrantes da administração indireta e seus empregados, cuja relação é regida pela CLT, compreendendo, inclusive, a fase pré-contratual.</w:t>
        <w:br/>
        <w:t>[RE 1.015.362 AgR, rel. min. Edson Fachin, j. 12-5-2017, P, DJE de 29-5-2017.] A definição da competência decorre da ação ajuizada. Tendo como causa de pedir relação jurídica regida pela CLT e pleito de reconhecimento do direito a verbas nela previstas, cabe à Justiça do Trabalho julgá-la.</w:t>
        <w:br/>
        <w:t>[CC 7.950, rel. min. Marco Aurélio, j. 14-9-2016, P, DJ</w:t>
      </w:r>
    </w:p>
    <w:p>
      <w:pPr>
        <w:ind w:left="288"/>
      </w:pPr>
      <w:r>
        <w:rPr>
          <w:b/>
          <w:color w:val="003CA0"/>
          <w:sz w:val="16"/>
        </w:rPr>
        <w:t>[Rcl 16.025 AgR, voto do rel. min. Marco Aurélio, j. 10-12-2013, 1ª T, DJE de 3-2-2014.]</w:t>
      </w:r>
    </w:p>
    <w:p>
      <w:pPr>
        <w:ind w:left="288"/>
      </w:pPr>
      <w:r>
        <w:rPr>
          <w:color w:val="8C8C8C"/>
          <w:sz w:val="12"/>
        </w:rPr>
        <w:t>cf-art-114</w:t>
      </w:r>
      <w:r>
        <w:rPr>
          <w:color w:val="003CA0"/>
          <w:sz w:val="12"/>
        </w:rPr>
        <w:t xml:space="preserve"> | RCL 5.248</w:t>
      </w:r>
      <w:r>
        <w:rPr>
          <w:color w:val="003CA0"/>
          <w:sz w:val="12"/>
        </w:rPr>
        <w:t xml:space="preserve"> | rel. Menezes Direito</w:t>
      </w:r>
    </w:p>
    <w:p>
      <w:pPr>
        <w:ind w:left="288"/>
      </w:pPr>
      <w:r>
        <w:rPr>
          <w:color w:val="1E1E1E"/>
          <w:sz w:val="18"/>
        </w:rPr>
        <w:t>Vide Rcl 5.248 MC-AgR, rel. min. Menezes Direito, j. 22-11-2007, P, DJ de 14-12-2007 Vide ADI 3.395 MC, rel. min. Cezar Peluso, j. 5-4-2006, P, DJ de 10-11-2006 A jurisprudência do STF também tem firme entendimento de que as ações de complementação de benefícios previdenciários movidas contra a União por servidores da extinta RFFSA [Rede Ferroviária Federal S.A.] devem ser processadas perante a Justiça comum. Inaplicabilidade ao caso da modulação de efeitos determinada quando do julgamento do 586.453 RG/SE, porque não se cuida de ação ajuizada contra entidade de previdência privada.</w:t>
      </w:r>
    </w:p>
    <w:p>
      <w:pPr>
        <w:ind w:left="288"/>
      </w:pPr>
      <w:r>
        <w:rPr>
          <w:b/>
          <w:color w:val="003CA0"/>
          <w:sz w:val="16"/>
        </w:rPr>
        <w:t>[ARE 665.744 AgR, rel. min. Dias Toffoli, j. 5-11-2013, 1ª T, DJE de 5-11-2013.]</w:t>
      </w:r>
    </w:p>
    <w:p>
      <w:pPr>
        <w:ind w:left="288"/>
      </w:pPr>
      <w:r>
        <w:rPr>
          <w:color w:val="8C8C8C"/>
          <w:sz w:val="12"/>
        </w:rPr>
        <w:t>cf-art-114</w:t>
      </w:r>
      <w:r>
        <w:rPr>
          <w:color w:val="003CA0"/>
          <w:sz w:val="12"/>
        </w:rPr>
        <w:t xml:space="preserve"> | ADI 3.395</w:t>
      </w:r>
      <w:r>
        <w:rPr>
          <w:color w:val="003CA0"/>
          <w:sz w:val="12"/>
        </w:rPr>
        <w:t xml:space="preserve"> | rel. Ayres Britto</w:t>
      </w:r>
    </w:p>
    <w:p>
      <w:pPr>
        <w:ind w:left="288"/>
      </w:pPr>
      <w:r>
        <w:rPr>
          <w:color w:val="1E1E1E"/>
          <w:sz w:val="18"/>
        </w:rPr>
        <w:t>Os interessados são prestadores de serviço, contratados pela administração pública, após processo licitatório. Não são servidores públicos nem pleiteiam verba de natureza trabalhista. Inexistente afronta ao acórdão do STF na ADI 3.395 MC.</w:t>
      </w:r>
    </w:p>
    <w:p>
      <w:pPr>
        <w:ind w:left="288"/>
      </w:pPr>
      <w:r>
        <w:rPr>
          <w:b/>
          <w:color w:val="003CA0"/>
          <w:sz w:val="16"/>
        </w:rPr>
        <w:t>[Rcl 4.761, rel. min. Ayres Britto, j. 20-5-2009, P, DJE de 7-8-2009.]</w:t>
      </w:r>
    </w:p>
    <w:p>
      <w:pPr>
        <w:ind w:left="288"/>
      </w:pPr>
      <w:r>
        <w:rPr>
          <w:color w:val="8C8C8C"/>
          <w:sz w:val="12"/>
        </w:rPr>
        <w:t>cf-art-114</w:t>
      </w:r>
      <w:r>
        <w:rPr>
          <w:color w:val="003CA0"/>
          <w:sz w:val="12"/>
        </w:rPr>
        <w:t xml:space="preserve"> | RCL 4.319</w:t>
      </w:r>
      <w:r>
        <w:rPr>
          <w:color w:val="003CA0"/>
          <w:sz w:val="12"/>
        </w:rPr>
        <w:t xml:space="preserve"> | rel. Dias Toffoli</w:t>
      </w:r>
    </w:p>
    <w:p>
      <w:pPr>
        <w:ind w:left="288"/>
      </w:pPr>
      <w:r>
        <w:rPr>
          <w:color w:val="1E1E1E"/>
          <w:sz w:val="18"/>
        </w:rPr>
        <w:t>= Rcl 4.319 AgR, rel. min. Dias Toffoli, j. 24-6-2010, P, DJE de 25-10-2010 A existência de pedido de condenação do ente local ao pagamento do FGTS não torna a Justiça do Trabalho competente para o exame da ação.</w:t>
      </w:r>
    </w:p>
    <w:p>
      <w:pPr>
        <w:ind w:left="288"/>
      </w:pPr>
      <w:r>
        <w:rPr>
          <w:b/>
          <w:color w:val="003CA0"/>
          <w:sz w:val="16"/>
        </w:rPr>
        <w:t>[Rcl 7.039 AgR, rel. min. Cármen Lúcia, j. 2-4-2009, P, DJE de 8-5-2009.]</w:t>
      </w:r>
    </w:p>
    <w:p>
      <w:pPr>
        <w:ind w:left="288"/>
      </w:pPr>
      <w:r>
        <w:rPr>
          <w:color w:val="8C8C8C"/>
          <w:sz w:val="12"/>
        </w:rPr>
        <w:t>cf-art-114</w:t>
      </w:r>
      <w:r>
        <w:rPr>
          <w:color w:val="003CA0"/>
          <w:sz w:val="12"/>
        </w:rPr>
        <w:t xml:space="preserve"> | RCL 5.954</w:t>
      </w:r>
      <w:r>
        <w:rPr>
          <w:color w:val="003CA0"/>
          <w:sz w:val="12"/>
        </w:rPr>
        <w:t xml:space="preserve"> | rel. Dias Toffoli</w:t>
      </w:r>
    </w:p>
    <w:p>
      <w:pPr>
        <w:ind w:left="288"/>
      </w:pPr>
      <w:r>
        <w:rPr>
          <w:color w:val="1E1E1E"/>
          <w:sz w:val="18"/>
        </w:rPr>
        <w:t>= Rcl 5.954, rel. min. Dias Toffoli, j. 2-6-2010, P, DJE de 22-10-2010 Servidores públicos. Regime temporário. Justiça do Trabalho. Incompetência. No julgamento da ADI 3.395 MC/DF, este Supremo Tribunal suspendeu toda e qualquer interpretação do inciso I do art. 114 da CF (na redação da EC 45/2004) que inserisse, na competência da Justiça do Trabalho, a apreciação de causas instauradas entre o poder público e seus servidores, a ele vinculados por típica relação de ordem estatutária ou de caráter jurídico-administrativo. As contratações temporárias para suprir os serviços públicos estão no âmbi</w:t>
      </w:r>
    </w:p>
    <w:p>
      <w:pPr>
        <w:ind w:left="288"/>
      </w:pPr>
      <w:r>
        <w:rPr>
          <w:b/>
          <w:color w:val="003CA0"/>
          <w:sz w:val="16"/>
        </w:rPr>
        <w:t>[Rcl 4.872, red. do ac. min. Menezes Direito, j. 21-8-2008, P, DJE de 7-11-2008.]</w:t>
      </w:r>
    </w:p>
    <w:p>
      <w:pPr>
        <w:ind w:left="288"/>
      </w:pPr>
      <w:r>
        <w:rPr>
          <w:color w:val="8C8C8C"/>
          <w:sz w:val="12"/>
        </w:rPr>
        <w:t>cf-art-114</w:t>
      </w:r>
      <w:r>
        <w:rPr>
          <w:color w:val="003CA0"/>
          <w:sz w:val="12"/>
        </w:rPr>
        <w:t xml:space="preserve"> | RCL 7.126</w:t>
      </w:r>
      <w:r>
        <w:rPr>
          <w:color w:val="003CA0"/>
          <w:sz w:val="12"/>
        </w:rPr>
        <w:t xml:space="preserve"> | rel. Joaquim Barbosa</w:t>
      </w:r>
    </w:p>
    <w:p>
      <w:pPr>
        <w:ind w:left="288"/>
      </w:pPr>
      <w:r>
        <w:rPr>
          <w:color w:val="1E1E1E"/>
          <w:sz w:val="18"/>
        </w:rPr>
        <w:t>= Rcl 7.126 AgR, rel. min. Joaquim Barbosa, j. 20-6-2012, P, DJE de 1º-8-2012 Vide Rcl 5.954, rel. min. Dias Toffoli, j. 2-6-2010, P, DJE de 22-10-2010 Vide Rcl 7.039 AgR, rel. min. Cármen Lúcia, j. 2-4-2009, P, DJE de 8-5-2009 (...) Justiça comum é competente para julgar a reintegração de servidor público, mesmo que tenha sido regido pela CLT, demitido antes do advento do Regime Jurídico Único.</w:t>
      </w:r>
    </w:p>
    <w:p>
      <w:pPr>
        <w:ind w:left="288"/>
      </w:pPr>
      <w:r>
        <w:rPr>
          <w:b/>
          <w:color w:val="003CA0"/>
          <w:sz w:val="16"/>
        </w:rPr>
        <w:t>[RE 507.153 AgR, rel. min. Eros Grau, j. 3-6-2008, 2ª T, DJE de 20-6-2008.]</w:t>
      </w:r>
    </w:p>
    <w:p>
      <w:pPr>
        <w:ind w:left="288"/>
      </w:pPr>
      <w:r>
        <w:rPr>
          <w:color w:val="8C8C8C"/>
          <w:sz w:val="12"/>
        </w:rPr>
        <w:t>cf-art-114</w:t>
      </w:r>
      <w:r>
        <w:rPr>
          <w:color w:val="003CA0"/>
          <w:sz w:val="12"/>
        </w:rPr>
        <w:t xml:space="preserve"> | ADI 3.395</w:t>
      </w:r>
      <w:r>
        <w:rPr>
          <w:color w:val="003CA0"/>
          <w:sz w:val="12"/>
        </w:rPr>
        <w:t xml:space="preserve"> | rel. Menezes Direito</w:t>
      </w:r>
    </w:p>
    <w:p>
      <w:pPr>
        <w:ind w:left="288"/>
      </w:pPr>
      <w:r>
        <w:rPr>
          <w:color w:val="1E1E1E"/>
          <w:sz w:val="18"/>
        </w:rPr>
        <w:t>(...) decisão proferida na ADI 3.395/DF, em que houve deferimento de liminar para que as ações envolvendo o poder público e seus servidores estatutários fossem processadas perante a Justiça comum, excluída outra interpretação ao art. 114, I, da CF, com a redação da EC 45/2004. A decisão reclamada nestes autos trata de aspecto acerca do qual não houve expresso enfrentamento na referida ação direta de inconstitucionalidade, qual seja, o processamento da execução de sentença trabalhista, considerando-se que a arguição de incompetência afrontaria a coisa julgada.</w:t>
      </w:r>
    </w:p>
    <w:p>
      <w:pPr>
        <w:ind w:left="288"/>
      </w:pPr>
      <w:r>
        <w:rPr>
          <w:b/>
          <w:color w:val="003CA0"/>
          <w:sz w:val="16"/>
        </w:rPr>
        <w:t>[Rcl 5.566 MC-AgR, rel. min. Menezes Direito, j. 10-4-2008, P, DJE de 23-5-2008.]</w:t>
      </w:r>
    </w:p>
    <w:p>
      <w:pPr>
        <w:ind w:left="288"/>
      </w:pPr>
      <w:r>
        <w:rPr>
          <w:color w:val="8C8C8C"/>
          <w:sz w:val="12"/>
        </w:rPr>
        <w:t>cf-art-114</w:t>
      </w:r>
      <w:r>
        <w:rPr>
          <w:color w:val="003CA0"/>
          <w:sz w:val="12"/>
        </w:rPr>
        <w:t xml:space="preserve"> | RCL 5.569</w:t>
      </w:r>
      <w:r>
        <w:rPr>
          <w:color w:val="003CA0"/>
          <w:sz w:val="12"/>
        </w:rPr>
        <w:t xml:space="preserve"> | rel. Eros Grau</w:t>
      </w:r>
    </w:p>
    <w:p>
      <w:pPr>
        <w:ind w:left="288"/>
      </w:pPr>
      <w:r>
        <w:rPr>
          <w:color w:val="1E1E1E"/>
          <w:sz w:val="18"/>
        </w:rPr>
        <w:t>= Rcl 5.569 AgR, rel. min. Eros Grau, j. 25-11-2009, P, DJE de 11-12-2009 O disposto no art. 114, I, da CF não abrange as causas instauradas entre o poder público e servidor que lhe seja vinculado por relação jurídico-estatutária, entendida esta como a relação de cunho jurídico-administrativo originada de investidura em cargo efetivo ou em cargo em comissão. Tais premissas são suficientes para que este STF, em sede de reclamação, verifique se determinado ato judicial confirmador da competência da Justiça do Trabalho afronta sua decisão cautelar proferida na ADI 3.395/DF. A investidura do servi</w:t>
      </w:r>
    </w:p>
    <w:p>
      <w:pPr>
        <w:ind w:left="288"/>
      </w:pPr>
      <w:r>
        <w:rPr>
          <w:b/>
          <w:color w:val="003CA0"/>
          <w:sz w:val="16"/>
        </w:rPr>
        <w:t>[Rcl 4.785 MC-AgR e Rcl 4.990 MC-AgR, rel. min. Gilmar Mendes, j. 17-12-2007, P, DJE de 14-3-2008.]</w:t>
      </w:r>
    </w:p>
    <w:p>
      <w:pPr>
        <w:ind w:left="288"/>
      </w:pPr>
      <w:r>
        <w:rPr>
          <w:color w:val="8C8C8C"/>
          <w:sz w:val="12"/>
        </w:rPr>
        <w:t>cf-art-114</w:t>
      </w:r>
      <w:r>
        <w:rPr>
          <w:color w:val="003CA0"/>
          <w:sz w:val="12"/>
        </w:rPr>
        <w:t xml:space="preserve"> | RCL 8.197</w:t>
      </w:r>
      <w:r>
        <w:rPr>
          <w:color w:val="003CA0"/>
          <w:sz w:val="12"/>
        </w:rPr>
        <w:t xml:space="preserve"> | rel. Dias Toffoli</w:t>
      </w:r>
    </w:p>
    <w:p>
      <w:pPr>
        <w:ind w:left="288"/>
      </w:pPr>
      <w:r>
        <w:rPr>
          <w:color w:val="1E1E1E"/>
          <w:sz w:val="18"/>
        </w:rPr>
        <w:t>= Rcl 8.197 AgR, rel. min. Dias Toffoli, j. 17-2-2010, P, DJE de 16-4-2010 Vide Rcl 5.954, rel. min. Dias Toffoli, j. 2-6-2010, P, DJE de 22-10-2010 Vide Rcl 7.039 AgR, rel. min. Cármen Lúcia, j. 2-4-2009, P, DJE de 8-5-2009 Justiça Federal: competência para o exame dos reflexos de decisão trabalhista no período posterior à transformação do regime jurídico celetista para o estatutário. Precedentes. É da jurisprudência do Supremo Tribunal que a mudança do regime jurídico celetista para o estatutário acarreta a extinção do contrato de trabalho. A eventual extensão dos efeitos de decisão proferid</w:t>
      </w:r>
    </w:p>
    <w:p>
      <w:pPr>
        <w:ind w:left="288"/>
      </w:pPr>
      <w:r>
        <w:rPr>
          <w:b/>
          <w:color w:val="003CA0"/>
          <w:sz w:val="16"/>
        </w:rPr>
        <w:t>[AI 609.855 AgR-ED, rel. min. Sepúlveda Pertence, j. 25-6-2007, 1ª T, DJ de 31-8-2007.]</w:t>
      </w:r>
    </w:p>
    <w:p>
      <w:pPr>
        <w:ind w:left="288"/>
      </w:pPr>
      <w:r>
        <w:rPr>
          <w:color w:val="8C8C8C"/>
          <w:sz w:val="12"/>
        </w:rPr>
        <w:t>cf-art-114</w:t>
      </w:r>
      <w:r>
        <w:rPr>
          <w:color w:val="003CA0"/>
          <w:sz w:val="12"/>
        </w:rPr>
        <w:t xml:space="preserve"> | ARE 1.001.075</w:t>
      </w:r>
      <w:r>
        <w:rPr>
          <w:color w:val="003CA0"/>
          <w:sz w:val="12"/>
        </w:rPr>
        <w:t xml:space="preserve"> | rel. Gilmar Mendes</w:t>
      </w:r>
    </w:p>
    <w:p>
      <w:pPr>
        <w:ind w:left="288"/>
      </w:pPr>
      <w:r>
        <w:rPr>
          <w:color w:val="1E1E1E"/>
          <w:sz w:val="18"/>
        </w:rPr>
        <w:t>Vide ARE 1.001.075 RG, rel. min. Gilmar Mendes, j. 8-12-2016, P, DJE de 1º-2-2017, Tema 928</w:t>
      </w:r>
    </w:p>
    <w:p>
      <w:pPr>
        <w:ind w:left="144"/>
      </w:pPr>
      <w:r>
        <w:rPr>
          <w:b/>
          <w:color w:val="B45A00"/>
          <w:sz w:val="16"/>
        </w:rPr>
        <w:t>SUMULA VINCULANTE</w:t>
      </w:r>
    </w:p>
    <w:p>
      <w:pPr>
        <w:ind w:left="288"/>
      </w:pPr>
      <w:r>
        <w:rPr>
          <w:color w:val="8C8C8C"/>
          <w:sz w:val="12"/>
        </w:rPr>
        <w:t>cf-art-114-inc-II</w:t>
      </w:r>
    </w:p>
    <w:p>
      <w:pPr>
        <w:ind w:left="288"/>
      </w:pPr>
      <w:r>
        <w:rPr>
          <w:color w:val="1E1E1E"/>
          <w:sz w:val="18"/>
        </w:rPr>
        <w:t>A Justiça do Trabalho é competente para processar e julgar ação possessória ajuizada em decorrência do exercício do direito de greve pelos trabalhadores da iniciativa privada.</w:t>
      </w:r>
    </w:p>
    <w:p>
      <w:pPr>
        <w:ind w:left="288"/>
      </w:pPr>
      <w:r>
        <w:rPr>
          <w:b/>
          <w:color w:val="003CA0"/>
          <w:sz w:val="16"/>
        </w:rPr>
        <w:t>[Súmula Vinculante 23.]</w:t>
      </w:r>
    </w:p>
    <w:p>
      <w:pPr>
        <w:ind w:left="144"/>
      </w:pPr>
      <w:r>
        <w:rPr>
          <w:b/>
          <w:color w:val="B45A00"/>
          <w:sz w:val="16"/>
        </w:rPr>
        <w:t>REPERCUSSAO GERAL</w:t>
      </w:r>
    </w:p>
    <w:p>
      <w:pPr>
        <w:ind w:left="288"/>
      </w:pPr>
      <w:r>
        <w:rPr>
          <w:color w:val="8C8C8C"/>
          <w:sz w:val="12"/>
        </w:rPr>
        <w:t>cf-art-114-inc-II</w:t>
      </w:r>
      <w:r>
        <w:rPr>
          <w:color w:val="003CA0"/>
          <w:sz w:val="12"/>
        </w:rPr>
        <w:t xml:space="preserve"> | RE 846.854</w:t>
      </w:r>
    </w:p>
    <w:p>
      <w:pPr>
        <w:ind w:left="288"/>
      </w:pPr>
      <w:r>
        <w:rPr>
          <w:color w:val="1E1E1E"/>
          <w:sz w:val="18"/>
        </w:rPr>
        <w:t>Justiça Comum Federal ou Estadual é competente para julgar a abusividade de greve de servidores públicos celetistas da administração direta, autarquias e fundações de direito público.</w:t>
      </w:r>
    </w:p>
    <w:p>
      <w:pPr>
        <w:ind w:left="288"/>
      </w:pPr>
      <w:r>
        <w:rPr>
          <w:b/>
          <w:color w:val="003CA0"/>
          <w:sz w:val="16"/>
        </w:rPr>
        <w:t>[RE 846.854, red. do ac. min. Alexandre de Moraes, j. 1º-8-2017, P, DJE de 7-2-2018, Tema 544, com mérito julgado.]</w:t>
      </w:r>
    </w:p>
    <w:p>
      <w:pPr>
        <w:ind w:left="288"/>
      </w:pPr>
      <w:r>
        <w:rPr>
          <w:color w:val="8C8C8C"/>
          <w:sz w:val="12"/>
        </w:rPr>
        <w:t>cf-art-114-inc-II</w:t>
      </w:r>
      <w:r>
        <w:rPr>
          <w:color w:val="003CA0"/>
          <w:sz w:val="12"/>
        </w:rPr>
        <w:t xml:space="preserve"> | RE 579.648</w:t>
      </w:r>
    </w:p>
    <w:p>
      <w:pPr>
        <w:ind w:left="288"/>
      </w:pPr>
      <w:r>
        <w:rPr>
          <w:color w:val="1E1E1E"/>
          <w:sz w:val="18"/>
        </w:rPr>
        <w:t>O exercício do direito de greve respeita a relação de emprego, pelo que a EC 45/2003 incluiu, expressamente, na competência da Justiça do Trabalho conhecer e julgar as ações dele decorrentes (art. 114, II, da Constituição da República).</w:t>
      </w:r>
    </w:p>
    <w:p>
      <w:pPr>
        <w:ind w:left="288"/>
      </w:pPr>
      <w:r>
        <w:rPr>
          <w:b/>
          <w:color w:val="003CA0"/>
          <w:sz w:val="16"/>
        </w:rPr>
        <w:t>[RE 579.648, red. do ac. min. Cármen Lúcia, j. 10-9-2008, P, DJE de 6-3-2009, Tema 74, com mérito julgado.]</w:t>
      </w:r>
    </w:p>
    <w:p>
      <w:pPr>
        <w:ind w:left="288"/>
      </w:pPr>
      <w:r>
        <w:rPr>
          <w:color w:val="8C8C8C"/>
          <w:sz w:val="12"/>
        </w:rPr>
        <w:t>cf-art-114-inc-III</w:t>
      </w:r>
      <w:r>
        <w:rPr>
          <w:color w:val="003CA0"/>
          <w:sz w:val="12"/>
        </w:rPr>
        <w:t xml:space="preserve"> | RE 1.089.282</w:t>
      </w:r>
      <w:r>
        <w:rPr>
          <w:color w:val="003CA0"/>
          <w:sz w:val="12"/>
        </w:rPr>
        <w:t xml:space="preserve"> | rel. Gilmar Mendes</w:t>
      </w:r>
    </w:p>
    <w:p>
      <w:pPr>
        <w:ind w:left="288"/>
      </w:pPr>
      <w:r>
        <w:rPr>
          <w:color w:val="1E1E1E"/>
          <w:sz w:val="18"/>
        </w:rPr>
        <w:t>(...) não se inserem na competência da Justiça do Trabalho as ações cujo objeto seja a cobrança de contribuição sindical dos servidores estatutários. (...) ‘Compete à Justiça comum processar e julgar demandas em que se discute o recolhimento e o repasse de contribuição sindical de servidores públicos regidos pelo regime estatutário’.</w:t>
      </w:r>
    </w:p>
    <w:p>
      <w:pPr>
        <w:ind w:left="288"/>
      </w:pPr>
      <w:r>
        <w:rPr>
          <w:b/>
          <w:color w:val="003CA0"/>
          <w:sz w:val="16"/>
        </w:rPr>
        <w:t>[RE 1.089.282, rel. min. Gilmar Mendes, j. 7-12-2020, P, DJE de 4-2-2021, Tema 994, com mérito julgado.]</w:t>
      </w:r>
    </w:p>
    <w:p>
      <w:pPr>
        <w:ind w:left="288"/>
      </w:pPr>
      <w:r>
        <w:rPr>
          <w:color w:val="8C8C8C"/>
          <w:sz w:val="12"/>
        </w:rPr>
        <w:t>cf-art-114-inc-III</w:t>
      </w:r>
      <w:r>
        <w:rPr>
          <w:color w:val="003CA0"/>
          <w:sz w:val="12"/>
        </w:rPr>
        <w:t xml:space="preserve"> | rel. André Mendonça</w:t>
      </w:r>
    </w:p>
    <w:p>
      <w:pPr>
        <w:ind w:left="288"/>
      </w:pPr>
      <w:r>
        <w:rPr>
          <w:color w:val="1E1E1E"/>
          <w:sz w:val="18"/>
        </w:rPr>
        <w:t>A jurisprudência do Supremo Tribunal Federal firmou entendimento no sentido de que compete à Justiça do Trabalho processar e julgar demandas que envolvam representação sindical e a cobrança de valores por sindicatos de seus representados, ainda que a matéria envolva honorários advocatícios.</w:t>
      </w:r>
    </w:p>
    <w:p>
      <w:pPr>
        <w:ind w:left="288"/>
      </w:pPr>
      <w:r>
        <w:rPr>
          <w:b/>
          <w:color w:val="003CA0"/>
          <w:sz w:val="16"/>
        </w:rPr>
        <w:t>[CC 8.211 AgR, rel. min. André Mendonça, j. 2-12-2025, P, DJE de 12-2-2026.]</w:t>
      </w:r>
    </w:p>
    <w:p>
      <w:pPr>
        <w:ind w:left="144"/>
      </w:pPr>
      <w:r>
        <w:rPr>
          <w:b/>
          <w:color w:val="B45A00"/>
          <w:sz w:val="16"/>
        </w:rPr>
        <w:t>JULGADOS CORRELATOS</w:t>
      </w:r>
    </w:p>
    <w:p>
      <w:pPr>
        <w:ind w:left="288"/>
      </w:pPr>
      <w:r>
        <w:rPr>
          <w:color w:val="8C8C8C"/>
          <w:sz w:val="12"/>
        </w:rPr>
        <w:t>cf-art-114-inc-III</w:t>
      </w:r>
      <w:r>
        <w:rPr>
          <w:color w:val="003CA0"/>
          <w:sz w:val="12"/>
        </w:rPr>
        <w:t xml:space="preserve"> | ARE 1.166.932</w:t>
      </w:r>
      <w:r>
        <w:rPr>
          <w:color w:val="003CA0"/>
          <w:sz w:val="12"/>
        </w:rPr>
        <w:t xml:space="preserve"> | rel. Nunes Marques</w:t>
      </w:r>
    </w:p>
    <w:p>
      <w:pPr>
        <w:ind w:left="288"/>
      </w:pPr>
      <w:r>
        <w:rPr>
          <w:color w:val="1E1E1E"/>
          <w:sz w:val="18"/>
        </w:rPr>
        <w:t>A Emenda Constitucional n. 45/2004, ao alterar a redação do art. 114, III, da Constituição Federal, atribuiu à Justiça do Trabalho competência para processar e julgar “as ações sobre representação sindical, entre sindicatos, entre sindicatos e trabalhadores, e entre sindicatos e empregadores”, incluídas as causas que tratam da demora do Ministério do Trabalho em apreciar o pedido de registro sindical.</w:t>
        <w:br/>
        <w:t>[ARE 1.166.932 AgR, rel. min. Nunes Marques, j. 3-7-2023, 2ª T, DJE de 21-8-2023.] Conflito negativo de competência. STJ. TST. Contribuição sindical. EC 45/2004. A discussão relativa à legitimida</w:t>
      </w:r>
    </w:p>
    <w:p>
      <w:pPr>
        <w:ind w:left="288"/>
      </w:pPr>
      <w:r>
        <w:rPr>
          <w:b/>
          <w:color w:val="003CA0"/>
          <w:sz w:val="16"/>
        </w:rPr>
        <w:t>[RE 476.890 AgR, rel. min. Cezar Peluso, j. 30-10-2007, 2ª T, DJ de 30-11-2007.]</w:t>
      </w:r>
    </w:p>
    <w:p>
      <w:pPr>
        <w:ind w:left="288"/>
      </w:pPr>
      <w:r>
        <w:rPr>
          <w:color w:val="8C8C8C"/>
          <w:sz w:val="12"/>
        </w:rPr>
        <w:t>cf-art-114-inc-III</w:t>
      </w:r>
      <w:r>
        <w:rPr>
          <w:color w:val="003CA0"/>
          <w:sz w:val="12"/>
        </w:rPr>
        <w:t xml:space="preserve"> | rel. Marco Aurélio</w:t>
      </w:r>
    </w:p>
    <w:p>
      <w:pPr>
        <w:ind w:left="288"/>
      </w:pPr>
      <w:r>
        <w:rPr>
          <w:color w:val="1E1E1E"/>
          <w:sz w:val="18"/>
        </w:rPr>
        <w:t xml:space="preserve">Ante o disposto no art. 1º da Lei 8.984/1995, à Justiça do Trabalho já competia julgar ação de sindicato de categoria econômica contra empregador, visando à contribuição assistencial estabelecida em contrato coletivo. (...) A competência da Justiça do Trabalho para processar e julgar ações sobre representação sindical, entre sindicatos, entre sindicatos e trabalhadores e entre sindicatos e empregadores – inciso III do art. 114 da CF, com a redação da Emenda 45, de 2004 –, abrange demandas propostas por sindicato de categoria econômica contra empregador, objetivando o reconhecimento do direito </w:t>
      </w:r>
    </w:p>
    <w:p>
      <w:pPr>
        <w:ind w:left="288"/>
      </w:pPr>
      <w:r>
        <w:rPr>
          <w:b/>
          <w:color w:val="003CA0"/>
          <w:sz w:val="16"/>
        </w:rPr>
        <w:t>[CC 7.221, rel. min. Marco Aurélio, j. 1º-7-2006, P, DJ de 25-8-2006.]</w:t>
      </w:r>
    </w:p>
    <w:p>
      <w:pPr>
        <w:ind w:left="288"/>
      </w:pPr>
      <w:r>
        <w:rPr>
          <w:color w:val="8C8C8C"/>
          <w:sz w:val="12"/>
        </w:rPr>
        <w:t>cf-art-114-inc-III</w:t>
      </w:r>
      <w:r>
        <w:rPr>
          <w:color w:val="003CA0"/>
          <w:sz w:val="12"/>
        </w:rPr>
        <w:t xml:space="preserve"> | RE 500.049</w:t>
      </w:r>
      <w:r>
        <w:rPr>
          <w:color w:val="003CA0"/>
          <w:sz w:val="12"/>
        </w:rPr>
        <w:t xml:space="preserve"> | rel. Luiz Fux</w:t>
      </w:r>
    </w:p>
    <w:p>
      <w:pPr>
        <w:ind w:left="288"/>
      </w:pPr>
      <w:r>
        <w:rPr>
          <w:color w:val="1E1E1E"/>
          <w:sz w:val="18"/>
        </w:rPr>
        <w:t>= RE 500.049, rel. min. Luiz Fux, j. 15-3-2012, dec. monocrática, DJE de 23-3-2012</w:t>
      </w:r>
    </w:p>
    <w:p>
      <w:pPr>
        <w:ind w:left="288"/>
      </w:pPr>
      <w:r>
        <w:rPr>
          <w:color w:val="8C8C8C"/>
          <w:sz w:val="12"/>
        </w:rPr>
        <w:t>cf-art-114-inc-V</w:t>
      </w:r>
      <w:r>
        <w:rPr>
          <w:color w:val="003CA0"/>
          <w:sz w:val="12"/>
        </w:rPr>
        <w:t xml:space="preserve"> | rel. Celso de Mello</w:t>
      </w:r>
    </w:p>
    <w:p>
      <w:pPr>
        <w:ind w:left="288"/>
      </w:pPr>
      <w:r>
        <w:rPr>
          <w:color w:val="1E1E1E"/>
          <w:sz w:val="18"/>
        </w:rPr>
        <w:t>Incumbe ao TRT o poder de dirimir conflito de competência que se registre entre vara do trabalho e magistrado estadual investido de jurisdição trabalhista (CF, art. 112, in fine), pois, em tal situação, ambos os órgãos judiciários estão vinculados, em sede recursal, à competência do respectivo TRT.</w:t>
      </w:r>
    </w:p>
    <w:p>
      <w:pPr>
        <w:ind w:left="288"/>
      </w:pPr>
      <w:r>
        <w:rPr>
          <w:b/>
          <w:color w:val="003CA0"/>
          <w:sz w:val="16"/>
        </w:rPr>
        <w:t>[CC 7.080, rel. min. Celso de Mello, j. 4-10-2001, P, DJ de 24-11-2006.]</w:t>
      </w:r>
    </w:p>
    <w:p>
      <w:pPr>
        <w:ind w:left="288"/>
      </w:pPr>
      <w:r>
        <w:rPr>
          <w:color w:val="8C8C8C"/>
          <w:sz w:val="12"/>
        </w:rPr>
        <w:t>cf-art-114-inc-V</w:t>
      </w:r>
      <w:r>
        <w:rPr>
          <w:color w:val="003CA0"/>
          <w:sz w:val="12"/>
        </w:rPr>
        <w:t xml:space="preserve"> | rel. Maurício Corrêa</w:t>
      </w:r>
    </w:p>
    <w:p>
      <w:pPr>
        <w:ind w:left="288"/>
      </w:pPr>
      <w:r>
        <w:rPr>
          <w:color w:val="1E1E1E"/>
          <w:sz w:val="18"/>
        </w:rPr>
        <w:t>Conflito de competência. TRT e STJ. Vara do trabalho e juiz de direito investido na jurisdição trabalhista. Hipótese de conflito entre vara do trabalho e juiz de direito no exercício de funções específicas da Justiça Trabalhista. O STJ, em face da Súmula 180, dele não conheceu, determinando a remessa dos autos ao TRT, que suscitou novo conflito perante esta Corte. Ocorrência de legitimidade do TRT, com fundamento da alínea o do inciso I do art. 102 da CF. Competente o TRT para decidir conflito de competência, verificado na respectiva região, entre vara do trabalho e juiz de direito investido n</w:t>
      </w:r>
    </w:p>
    <w:p>
      <w:pPr>
        <w:ind w:left="288"/>
      </w:pPr>
      <w:r>
        <w:rPr>
          <w:b/>
          <w:color w:val="003CA0"/>
          <w:sz w:val="16"/>
        </w:rPr>
        <w:t>[CC 7.076, rel. min. Maurício Corrêa, j. 3-10-2001, P, DJ de 8-2-2002.]</w:t>
      </w:r>
    </w:p>
    <w:p>
      <w:pPr>
        <w:ind w:left="288"/>
      </w:pPr>
      <w:r>
        <w:rPr>
          <w:color w:val="8C8C8C"/>
          <w:sz w:val="12"/>
        </w:rPr>
        <w:t>cf-art-114-inc-V</w:t>
      </w:r>
      <w:r>
        <w:rPr>
          <w:color w:val="003CA0"/>
          <w:sz w:val="12"/>
        </w:rPr>
        <w:t xml:space="preserve"> | rel. Carlos Velloso</w:t>
      </w:r>
    </w:p>
    <w:p>
      <w:pPr>
        <w:ind w:left="288"/>
      </w:pPr>
      <w:r>
        <w:rPr>
          <w:color w:val="1E1E1E"/>
          <w:sz w:val="18"/>
        </w:rPr>
        <w:t>Conflito de competência. STJ: juiz de direito investido de jurisdição trabalhista versus junta de conciliação e julgamento. Conflito de competência entre juiz de direito investido de jurisdição trabalhista e juiz do trabalho. Competência do TRT para dirimir o conflito.</w:t>
      </w:r>
    </w:p>
    <w:p>
      <w:pPr>
        <w:ind w:left="288"/>
      </w:pPr>
      <w:r>
        <w:rPr>
          <w:b/>
          <w:color w:val="003CA0"/>
          <w:sz w:val="16"/>
        </w:rPr>
        <w:t>[CC 7.061, rel. min. Carlos Velloso, j. 3-10-2001, P, DJ de 31-10-2001.]</w:t>
      </w:r>
    </w:p>
    <w:p>
      <w:pPr>
        <w:ind w:left="144"/>
      </w:pPr>
      <w:r>
        <w:rPr>
          <w:b/>
          <w:color w:val="B45A00"/>
          <w:sz w:val="16"/>
        </w:rPr>
        <w:t>SUMULA VINCULANTE</w:t>
      </w:r>
    </w:p>
    <w:p>
      <w:pPr>
        <w:ind w:left="288"/>
      </w:pPr>
      <w:r>
        <w:rPr>
          <w:color w:val="8C8C8C"/>
          <w:sz w:val="12"/>
        </w:rPr>
        <w:t>cf-art-114-inc-VI</w:t>
      </w:r>
    </w:p>
    <w:p>
      <w:pPr>
        <w:ind w:left="288"/>
      </w:pPr>
      <w:r>
        <w:rPr>
          <w:color w:val="1E1E1E"/>
          <w:sz w:val="18"/>
        </w:rPr>
        <w:t>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EC 45/2004.</w:t>
      </w:r>
    </w:p>
    <w:p>
      <w:pPr>
        <w:ind w:left="288"/>
      </w:pPr>
      <w:r>
        <w:rPr>
          <w:b/>
          <w:color w:val="003CA0"/>
          <w:sz w:val="16"/>
        </w:rPr>
        <w:t>[Súmula Vinculante 22.]</w:t>
      </w:r>
    </w:p>
    <w:p>
      <w:pPr>
        <w:ind w:left="144"/>
      </w:pPr>
      <w:r>
        <w:rPr>
          <w:b/>
          <w:color w:val="B45A00"/>
          <w:sz w:val="16"/>
        </w:rPr>
        <w:t>CONTROLE CONCENTRADO</w:t>
      </w:r>
    </w:p>
    <w:p>
      <w:pPr>
        <w:ind w:left="288"/>
      </w:pPr>
      <w:r>
        <w:rPr>
          <w:color w:val="8C8C8C"/>
          <w:sz w:val="12"/>
        </w:rPr>
        <w:t>cf-art-114-inc-VI</w:t>
      </w:r>
      <w:r>
        <w:rPr>
          <w:color w:val="003CA0"/>
          <w:sz w:val="12"/>
        </w:rPr>
        <w:t xml:space="preserve"> | ADI 6.050</w:t>
      </w:r>
      <w:r>
        <w:rPr>
          <w:color w:val="003CA0"/>
          <w:sz w:val="12"/>
        </w:rPr>
        <w:t xml:space="preserve"> | rel. Gilmar Mendes</w:t>
      </w:r>
    </w:p>
    <w:p>
      <w:pPr>
        <w:ind w:left="288"/>
      </w:pPr>
      <w:r>
        <w:rPr>
          <w:color w:val="1E1E1E"/>
          <w:sz w:val="18"/>
        </w:rPr>
        <w:t>Parâmetros para a fixação do quantum indenizatório dos danos extrapatrimoniais. (...) As redações conferidas aos art. 223-A e 223- B, da CLT, não excluem o direito à reparação por dano moral indireto ou dano em ricochete no âmbito das relações de trabalho, a ser apreciado nos termos da legislação civil; (...) Os critérios de quantificação de reparação por dano extrapatrimonial previstos no art. 223-G, caput e §1º, da CLT deverão ser observados pelo julgador como critérios orientativos de fundamentação da decisão judicial. É constitucional, porém, o arbitramento judicial do dano em valores supe</w:t>
      </w:r>
    </w:p>
    <w:p>
      <w:pPr>
        <w:ind w:left="144"/>
      </w:pPr>
      <w:r>
        <w:rPr>
          <w:b/>
          <w:color w:val="B45A00"/>
          <w:sz w:val="16"/>
        </w:rPr>
        <w:t>REPERCUSSAO GERAL</w:t>
      </w:r>
    </w:p>
    <w:p>
      <w:pPr>
        <w:ind w:left="288"/>
      </w:pPr>
      <w:r>
        <w:rPr>
          <w:color w:val="8C8C8C"/>
          <w:sz w:val="12"/>
        </w:rPr>
        <w:t>cf-art-114-inc-VI</w:t>
      </w:r>
      <w:r>
        <w:rPr>
          <w:color w:val="003CA0"/>
          <w:sz w:val="12"/>
        </w:rPr>
        <w:t xml:space="preserve"> | RE 600.091</w:t>
      </w:r>
      <w:r>
        <w:rPr>
          <w:color w:val="003CA0"/>
          <w:sz w:val="12"/>
        </w:rPr>
        <w:t xml:space="preserve"> | rel. Dias Toffoli</w:t>
      </w:r>
    </w:p>
    <w:p>
      <w:pPr>
        <w:ind w:left="288"/>
      </w:pPr>
      <w:r>
        <w:rPr>
          <w:color w:val="1E1E1E"/>
          <w:sz w:val="18"/>
        </w:rPr>
        <w:t>Ação de indenização decorrente de danos sofridos em acidente de trabalho. Demanda diretamente decorrente de relação de trabalho, sendo irrelevante, para fins de fixação da competência, o fato de ter sido ajuizada por sucessores do trabalhador falecido. Aplicação da norma do art. 114,  VI, da CF, com a redação que a ela foi dada pela EC 45/2004. Reconhecimento da competência da Justiça Federal do Trabalho para o processamento do feito.</w:t>
        <w:br/>
        <w:t>[RE 600.091, rel. min. Dias Toffoli, j. 25-5-2011, P, DJE de 15-8-2011, Tema 242, com mérito julgado.]</w:t>
        <w:br/>
        <w:t>= CC 7.545, rel. min. Eros Grau, j. 3-6-2009, P, DJE de 14</w:t>
      </w:r>
    </w:p>
    <w:p>
      <w:pPr>
        <w:ind w:left="144"/>
      </w:pPr>
      <w:r>
        <w:rPr>
          <w:b/>
          <w:color w:val="B45A00"/>
          <w:sz w:val="16"/>
        </w:rPr>
        <w:t>JULGADOS CORRELATOS</w:t>
      </w:r>
    </w:p>
    <w:p>
      <w:pPr>
        <w:ind w:left="288"/>
      </w:pPr>
      <w:r>
        <w:rPr>
          <w:color w:val="8C8C8C"/>
          <w:sz w:val="12"/>
        </w:rPr>
        <w:t>cf-art-114-inc-VI</w:t>
      </w:r>
      <w:r>
        <w:rPr>
          <w:color w:val="003CA0"/>
          <w:sz w:val="12"/>
        </w:rPr>
        <w:t xml:space="preserve"> | RE 504.374</w:t>
      </w:r>
      <w:r>
        <w:rPr>
          <w:color w:val="003CA0"/>
          <w:sz w:val="12"/>
        </w:rPr>
        <w:t xml:space="preserve"> | rel. Ayres Britto</w:t>
      </w:r>
    </w:p>
    <w:p>
      <w:pPr>
        <w:ind w:left="288"/>
      </w:pPr>
      <w:r>
        <w:rPr>
          <w:color w:val="1E1E1E"/>
          <w:sz w:val="18"/>
        </w:rPr>
        <w:t>Compete à Justiça do Trabalho apreciar e julgar pedido de indenização por danos morais e patrimoniais, decorrentes de acidente do trabalho, nos termos da redação originária do art. 114 c/c o inciso I do art. 109 da Lei Maior. As ações em trâmite na Justiça comum estadual e com sentença de mérito anterior à promulgação da EC 45/2004 lá continuam até o trânsito em julgado e correspondente execução. Quanto àquelas cujo mérito ainda não fora apreciado, devem ser remetidas à Justiça laboral, no estado em que se encontram, com total aproveitamento dos atos já praticados.</w:t>
      </w:r>
    </w:p>
    <w:p>
      <w:pPr>
        <w:ind w:left="288"/>
      </w:pPr>
      <w:r>
        <w:rPr>
          <w:b/>
          <w:color w:val="003CA0"/>
          <w:sz w:val="16"/>
        </w:rPr>
        <w:t>[RE 504.374 AgR, rel. min. Ayres Britto, j. 27-2-2007, 1ª T, DJ de 11-5-2007.]</w:t>
      </w:r>
    </w:p>
    <w:p>
      <w:pPr>
        <w:ind w:left="288"/>
      </w:pPr>
      <w:r>
        <w:rPr>
          <w:color w:val="8C8C8C"/>
          <w:sz w:val="12"/>
        </w:rPr>
        <w:t>cf-art-114-inc-VI</w:t>
      </w:r>
      <w:r>
        <w:rPr>
          <w:color w:val="003CA0"/>
          <w:sz w:val="12"/>
        </w:rPr>
        <w:t xml:space="preserve"> | RE 563.495</w:t>
      </w:r>
      <w:r>
        <w:rPr>
          <w:color w:val="003CA0"/>
          <w:sz w:val="12"/>
        </w:rPr>
        <w:t xml:space="preserve"> | rel. Gilmar Mendes</w:t>
      </w:r>
    </w:p>
    <w:p>
      <w:pPr>
        <w:ind w:left="288"/>
      </w:pPr>
      <w:r>
        <w:rPr>
          <w:color w:val="1E1E1E"/>
          <w:sz w:val="18"/>
        </w:rPr>
        <w:t>= RE 563.495 AgR, rel. min. Gilmar Mendes, j. 1º-2-2011, 2ª T, DJE de 17-2-2011 Competência. Ação de indenização. Dano moral. Acidente do trabalho. Fato histórico único. Unidade de convicção. Feito da competência da Justiça comum. Inteligência do art. 114, VI, da CF (...). É da competência da Justiça comum a ação de indenização por dano moral, quando o fato também qualifique acidente do trabalho.</w:t>
      </w:r>
    </w:p>
    <w:p>
      <w:pPr>
        <w:ind w:left="288"/>
      </w:pPr>
      <w:r>
        <w:rPr>
          <w:b/>
          <w:color w:val="003CA0"/>
          <w:sz w:val="16"/>
        </w:rPr>
        <w:t>[RE 438.639, red. do ac. min. Cezar Peluso, j. 9-3-2005, P, DJE de 6-3-2009.]</w:t>
      </w:r>
    </w:p>
    <w:p>
      <w:pPr>
        <w:ind w:left="288"/>
      </w:pPr>
      <w:r>
        <w:rPr>
          <w:color w:val="8C8C8C"/>
          <w:sz w:val="12"/>
        </w:rPr>
        <w:t>cf-art-114-inc-VI</w:t>
      </w:r>
      <w:r>
        <w:rPr>
          <w:color w:val="003CA0"/>
          <w:sz w:val="12"/>
        </w:rPr>
        <w:t xml:space="preserve"> | RE 394.943</w:t>
      </w:r>
      <w:r>
        <w:rPr>
          <w:color w:val="003CA0"/>
          <w:sz w:val="12"/>
        </w:rPr>
        <w:t xml:space="preserve"> | rel. Eros Grau</w:t>
      </w:r>
    </w:p>
    <w:p>
      <w:pPr>
        <w:ind w:left="288"/>
      </w:pPr>
      <w:r>
        <w:rPr>
          <w:color w:val="1E1E1E"/>
          <w:sz w:val="18"/>
        </w:rPr>
        <w:t>= RE 394.943, rel. min. Eros Grau, j. 1º-2-2005, 1ª T, DJ de 13-5-2005 Ação por dano moral decorrente de relação de emprego. Competência da Justiça Trabalhista.</w:t>
      </w:r>
    </w:p>
    <w:p>
      <w:pPr>
        <w:ind w:left="288"/>
      </w:pPr>
      <w:r>
        <w:rPr>
          <w:b/>
          <w:color w:val="003CA0"/>
          <w:sz w:val="16"/>
        </w:rPr>
        <w:t>[AI 483.710 ED, rel. min. Gilmar Mendes, j. 18-5-2004, 2ª T, DJ de 11-6-2004.]</w:t>
      </w:r>
    </w:p>
    <w:p>
      <w:pPr>
        <w:ind w:left="144"/>
      </w:pPr>
      <w:r>
        <w:rPr>
          <w:b/>
          <w:color w:val="B45A00"/>
          <w:sz w:val="16"/>
        </w:rPr>
        <w:t>SUMULA VINCULANTE</w:t>
      </w:r>
    </w:p>
    <w:p>
      <w:pPr>
        <w:ind w:left="288"/>
      </w:pPr>
      <w:r>
        <w:rPr>
          <w:color w:val="8C8C8C"/>
          <w:sz w:val="12"/>
        </w:rPr>
        <w:t>cf-art-114-inc-VIII</w:t>
      </w:r>
    </w:p>
    <w:p>
      <w:pPr>
        <w:ind w:left="288"/>
      </w:pPr>
      <w:r>
        <w:rPr>
          <w:color w:val="1E1E1E"/>
          <w:sz w:val="18"/>
        </w:rPr>
        <w:t>A competência da Justiça do Trabalho prevista no art. 114, VIII, da CF alcança a execução de ofício das contribuições previdenciárias relativas ao objeto da condenação constante das sentenças que proferir e acordos por ela homologados.</w:t>
      </w:r>
    </w:p>
    <w:p>
      <w:pPr>
        <w:ind w:left="288"/>
      </w:pPr>
      <w:r>
        <w:rPr>
          <w:b/>
          <w:color w:val="003CA0"/>
          <w:sz w:val="16"/>
        </w:rPr>
        <w:t>[Súmula Vinculante 53.]</w:t>
      </w:r>
    </w:p>
    <w:p>
      <w:pPr>
        <w:ind w:left="144"/>
      </w:pPr>
      <w:r>
        <w:rPr>
          <w:b/>
          <w:color w:val="B45A00"/>
          <w:sz w:val="16"/>
        </w:rPr>
        <w:t>REPERCUSSAO GERAL</w:t>
      </w:r>
    </w:p>
    <w:p>
      <w:pPr>
        <w:ind w:left="288"/>
      </w:pPr>
      <w:r>
        <w:rPr>
          <w:color w:val="8C8C8C"/>
          <w:sz w:val="12"/>
        </w:rPr>
        <w:t>cf-art-114-inc-VIII</w:t>
      </w:r>
      <w:r>
        <w:rPr>
          <w:color w:val="003CA0"/>
          <w:sz w:val="12"/>
        </w:rPr>
        <w:t xml:space="preserve"> | RE 595.326</w:t>
      </w:r>
      <w:r>
        <w:rPr>
          <w:color w:val="003CA0"/>
          <w:sz w:val="12"/>
        </w:rPr>
        <w:t xml:space="preserve"> | rel. Marco Aurélio</w:t>
      </w:r>
    </w:p>
    <w:p>
      <w:pPr>
        <w:ind w:left="288"/>
      </w:pPr>
      <w:r>
        <w:rPr>
          <w:color w:val="1E1E1E"/>
          <w:sz w:val="18"/>
        </w:rPr>
        <w:t>A Justiça do Trabalho é competente para executar, de ofício, as contribuições previstas no artigo 195, incisos I, alínea a, e II, da Carta da República, relativamente a títulos executivos judiciais por si formalizados em data anterior à promulgação da Emenda Constitucional 20/1998.</w:t>
      </w:r>
    </w:p>
    <w:p>
      <w:pPr>
        <w:ind w:left="288"/>
      </w:pPr>
      <w:r>
        <w:rPr>
          <w:b/>
          <w:color w:val="003CA0"/>
          <w:sz w:val="16"/>
        </w:rPr>
        <w:t>[RE 595.326, rel. min. Marco Aurélio, j. 24-8-2020, P, DJE de 17-9-2020, Tema 505, com mérito julgado.]</w:t>
      </w:r>
    </w:p>
    <w:p>
      <w:pPr>
        <w:ind w:left="288"/>
      </w:pPr>
      <w:r>
        <w:rPr>
          <w:color w:val="8C8C8C"/>
          <w:sz w:val="12"/>
        </w:rPr>
        <w:t>cf-art-114-inc-VIII</w:t>
      </w:r>
      <w:r>
        <w:rPr>
          <w:color w:val="003CA0"/>
          <w:sz w:val="12"/>
        </w:rPr>
        <w:t xml:space="preserve"> | RE 569.056</w:t>
      </w:r>
      <w:r>
        <w:rPr>
          <w:color w:val="003CA0"/>
          <w:sz w:val="12"/>
        </w:rPr>
        <w:t xml:space="preserve"> | rel. Menezes Direito</w:t>
      </w:r>
    </w:p>
    <w:p>
      <w:pPr>
        <w:ind w:left="288"/>
      </w:pPr>
      <w:r>
        <w:rPr>
          <w:color w:val="1E1E1E"/>
          <w:sz w:val="18"/>
        </w:rPr>
        <w:t>A competência da Justiça do Trabalho prevista no art. 114, VIII, da CF alcança apenas a execução das contribuições previdenciárias relativas ao objeto da condenação constante das sentenças que proferir.</w:t>
      </w:r>
    </w:p>
    <w:p>
      <w:pPr>
        <w:ind w:left="288"/>
      </w:pPr>
      <w:r>
        <w:rPr>
          <w:b/>
          <w:color w:val="003CA0"/>
          <w:sz w:val="16"/>
        </w:rPr>
        <w:t>[RE 569.056, rel. min. Menezes Direito, j. 11-9-2008, P, DJE de 12-12-2008, Tema 36, com mérito julgado.]</w:t>
      </w:r>
    </w:p>
    <w:p>
      <w:pPr>
        <w:ind w:left="144"/>
      </w:pPr>
      <w:r>
        <w:rPr>
          <w:b/>
          <w:color w:val="B45A00"/>
          <w:sz w:val="16"/>
        </w:rPr>
        <w:t>JULGADOS CORRELATOS</w:t>
      </w:r>
    </w:p>
    <w:p>
      <w:pPr>
        <w:ind w:left="288"/>
      </w:pPr>
      <w:r>
        <w:rPr>
          <w:color w:val="8C8C8C"/>
          <w:sz w:val="12"/>
        </w:rPr>
        <w:t>cf-art-114-inc-VIII</w:t>
      </w:r>
      <w:r>
        <w:rPr>
          <w:color w:val="003CA0"/>
          <w:sz w:val="12"/>
        </w:rPr>
        <w:t xml:space="preserve"> | AC 1.109</w:t>
      </w:r>
      <w:r>
        <w:rPr>
          <w:color w:val="003CA0"/>
          <w:sz w:val="12"/>
        </w:rPr>
        <w:t xml:space="preserve"> | rel. Celso de Mello</w:t>
      </w:r>
    </w:p>
    <w:p>
      <w:pPr>
        <w:ind w:left="288"/>
      </w:pPr>
      <w:r>
        <w:rPr>
          <w:color w:val="1E1E1E"/>
          <w:sz w:val="18"/>
        </w:rPr>
        <w:t>Recursos extraordinários. Medida cautelar incidental. Competência da Justiça do Trabalho para declarar a natureza de verbas fixadas em acordo trabalhista. Matéria pendente de julgamento pelo Plenário do STF (AC 1.109/SP). Pretendida suspensão de exigibilidade de débito previdenciário contestado pela instituição financeira interessada. Cumulativa ocorrência dos requisitos concernentes à plausibilidade jurídica e ao periculum in mora. Outorga de eficácia suspensiva a recursos extraordinários, que, interpostos pela parte requerente, já foram admitidos pela Presidência do Tribunal recorrido. Decis</w:t>
      </w:r>
    </w:p>
    <w:p>
      <w:pPr>
        <w:ind w:left="288"/>
      </w:pPr>
      <w:r>
        <w:rPr>
          <w:b/>
          <w:color w:val="003CA0"/>
          <w:sz w:val="16"/>
        </w:rPr>
        <w:t>[AC 1.556 MC-QO, rel. min. Celso de Mello, j. 6-3-2007, 2ª T, DJ de 23-3-2007.]</w:t>
      </w:r>
    </w:p>
    <w:p>
      <w:pPr>
        <w:ind w:left="144"/>
      </w:pPr>
      <w:r>
        <w:rPr>
          <w:b/>
          <w:color w:val="B45A00"/>
          <w:sz w:val="16"/>
        </w:rPr>
        <w:t>REPERCUSSAO GERAL</w:t>
      </w:r>
    </w:p>
    <w:p>
      <w:pPr>
        <w:ind w:left="288"/>
      </w:pPr>
      <w:r>
        <w:rPr>
          <w:color w:val="8C8C8C"/>
          <w:sz w:val="12"/>
        </w:rPr>
        <w:t>cf-art-114-inc-IX</w:t>
      </w:r>
      <w:r>
        <w:rPr>
          <w:color w:val="003CA0"/>
          <w:sz w:val="12"/>
        </w:rPr>
        <w:t xml:space="preserve"> | RE 583.955</w:t>
      </w:r>
      <w:r>
        <w:rPr>
          <w:color w:val="003CA0"/>
          <w:sz w:val="12"/>
        </w:rPr>
        <w:t xml:space="preserve"> | rel. Ricardo Lewandowski</w:t>
      </w:r>
    </w:p>
    <w:p>
      <w:pPr>
        <w:ind w:left="288"/>
      </w:pPr>
      <w:r>
        <w:rPr>
          <w:color w:val="1E1E1E"/>
          <w:sz w:val="18"/>
        </w:rPr>
        <w:t>A questão central debatida no presente recurso consiste em saber qual o juízo competente para processar e julgar a execução dos créditos trabalhistas no caso de empresa em fase de recuperação judicial. (...) A opção do legislador infraconstitucional foi manter o regime anterior de execução dos créditos trabalhistas pelo juízo universal da falência, sem prejuízo da competência da Justiça Laboral quanto ao julgamento do processo de conhecimento.</w:t>
        <w:br/>
        <w:t>[RE 583.955, rel. min. Ricardo Lewandowski, j. 28-5-2009, P, DJE de 28-8-2009, Tema 90, com mérito julgado.]</w:t>
      </w:r>
    </w:p>
    <w:p>
      <w:pPr>
        <w:ind w:left="144"/>
      </w:pPr>
      <w:r>
        <w:rPr>
          <w:b/>
          <w:color w:val="B45A00"/>
          <w:sz w:val="16"/>
        </w:rPr>
        <w:t>JULGADOS CORRELATOS</w:t>
      </w:r>
    </w:p>
    <w:p>
      <w:pPr>
        <w:ind w:left="288"/>
      </w:pPr>
      <w:r>
        <w:rPr>
          <w:color w:val="8C8C8C"/>
          <w:sz w:val="12"/>
        </w:rPr>
        <w:t>cf-art-114-inc-IX</w:t>
      </w:r>
      <w:r>
        <w:rPr>
          <w:color w:val="003CA0"/>
          <w:sz w:val="12"/>
        </w:rPr>
        <w:t xml:space="preserve"> | ARE 696.411</w:t>
      </w:r>
      <w:r>
        <w:rPr>
          <w:color w:val="003CA0"/>
          <w:sz w:val="12"/>
        </w:rPr>
        <w:t xml:space="preserve"> | rel. Dias Toffoli</w:t>
      </w:r>
    </w:p>
    <w:p>
      <w:pPr>
        <w:ind w:left="288"/>
      </w:pPr>
      <w:r>
        <w:rPr>
          <w:color w:val="1E1E1E"/>
          <w:sz w:val="18"/>
        </w:rPr>
        <w:t>A Justiça do Trabalho é competente para determinar o recolhimento dos tributos incidentes sobre as parcelas tributáveis decorrentes da condenação, o que inclui a definição das verbas que compõem a base de cálculo do imposto de renda.</w:t>
      </w:r>
    </w:p>
    <w:p>
      <w:pPr>
        <w:ind w:left="288"/>
      </w:pPr>
      <w:r>
        <w:rPr>
          <w:b/>
          <w:color w:val="003CA0"/>
          <w:sz w:val="16"/>
        </w:rPr>
        <w:t>[ARE 696.411 AgR, rel. min. Dias Toffoli, j. 26-5-2015, 2ª T, DJE de 19-6-2015.]</w:t>
      </w:r>
    </w:p>
    <w:p>
      <w:pPr>
        <w:ind w:left="288"/>
      </w:pPr>
      <w:r>
        <w:rPr>
          <w:color w:val="8C8C8C"/>
          <w:sz w:val="12"/>
        </w:rPr>
        <w:t>cf-art-114-par-1</w:t>
      </w:r>
    </w:p>
    <w:p>
      <w:pPr>
        <w:ind w:left="288"/>
      </w:pPr>
      <w:r>
        <w:rPr>
          <w:color w:val="1E1E1E"/>
          <w:sz w:val="18"/>
        </w:rPr>
        <w:t>§ 2º Recusando-se qualquer das partes à negociação coletiva ou à arbitragem, é facultado às mesmas, de comum acordo, ajuizar dissídio coletivo de natureza econômica, podendo a Justiça do Trabalho decidir o conflito, respeitadas as disposições mínimas legais de proteção ao trabalho, bem como as convencionadas anteriormente. (Redação da EC 45/2004)</w:t>
      </w:r>
    </w:p>
    <w:p>
      <w:pPr>
        <w:ind w:left="144"/>
      </w:pPr>
      <w:r>
        <w:rPr>
          <w:b/>
          <w:color w:val="B45A00"/>
          <w:sz w:val="16"/>
        </w:rPr>
        <w:t>CONTROLE CONCENTRADO</w:t>
      </w:r>
    </w:p>
    <w:p>
      <w:pPr>
        <w:ind w:left="288"/>
      </w:pPr>
      <w:r>
        <w:rPr>
          <w:color w:val="8C8C8C"/>
          <w:sz w:val="12"/>
        </w:rPr>
        <w:t>cf-art-114-par-1</w:t>
      </w:r>
      <w:r>
        <w:rPr>
          <w:color w:val="003CA0"/>
          <w:sz w:val="12"/>
        </w:rPr>
        <w:t xml:space="preserve"> | ADI 4.364</w:t>
      </w:r>
      <w:r>
        <w:rPr>
          <w:color w:val="003CA0"/>
          <w:sz w:val="12"/>
        </w:rPr>
        <w:t xml:space="preserve"> | rel. Dias Toffoli</w:t>
      </w:r>
    </w:p>
    <w:p>
      <w:pPr>
        <w:ind w:left="288"/>
      </w:pPr>
      <w:r>
        <w:rPr>
          <w:color w:val="1E1E1E"/>
          <w:sz w:val="18"/>
        </w:rPr>
        <w:t>Não viola o poder normativo da Justiça do Trabalho (art. 114, § 2º, da Lei Maior) o fato de a lei estadual não ter excluído dos seus efeitos a hipótese de piso salarial determinado em dissídio coletivo. A lei atuou nos exatos contornos da autorização conferida pela delegação legislativa.</w:t>
      </w:r>
    </w:p>
    <w:p>
      <w:pPr>
        <w:ind w:left="288"/>
      </w:pPr>
      <w:r>
        <w:rPr>
          <w:b/>
          <w:color w:val="003CA0"/>
          <w:sz w:val="16"/>
        </w:rPr>
        <w:t>[ADI 4.364, rel. min. Dias Toffoli, j. 2-3-2011, P, DJE de 16-5-2011.]</w:t>
      </w:r>
    </w:p>
    <w:p>
      <w:pPr>
        <w:ind w:left="144"/>
      </w:pPr>
      <w:r>
        <w:rPr>
          <w:b/>
          <w:color w:val="B45A00"/>
          <w:sz w:val="16"/>
        </w:rPr>
        <w:t>REPERCUSSAO GERAL</w:t>
      </w:r>
    </w:p>
    <w:p>
      <w:pPr>
        <w:ind w:left="288"/>
      </w:pPr>
      <w:r>
        <w:rPr>
          <w:color w:val="8C8C8C"/>
          <w:sz w:val="12"/>
        </w:rPr>
        <w:t>cf-art-114-par-1</w:t>
      </w:r>
      <w:r>
        <w:rPr>
          <w:color w:val="003CA0"/>
          <w:sz w:val="12"/>
        </w:rPr>
        <w:t xml:space="preserve"> | RE 1.002.295</w:t>
      </w:r>
    </w:p>
    <w:p>
      <w:pPr>
        <w:ind w:left="288"/>
      </w:pPr>
      <w:r>
        <w:rPr>
          <w:color w:val="1E1E1E"/>
          <w:sz w:val="18"/>
        </w:rPr>
        <w:t>É constitucional a exigência de comum acordo entre as partes para ajuizamento de dissídio coletivo de natureza econômica, conforme o artigo 114, § 2º, da Constituição Federal, na redação dada pela Emenda Constitucional 45/2004.</w:t>
      </w:r>
    </w:p>
    <w:p>
      <w:pPr>
        <w:ind w:left="288"/>
      </w:pPr>
      <w:r>
        <w:rPr>
          <w:b/>
          <w:color w:val="003CA0"/>
          <w:sz w:val="16"/>
        </w:rPr>
        <w:t>[RE 1.002.295, red. do ac. min. Alexandre de Morae , j. 22-9-2020, P, DJE de 13-10-2020, Tema 841, com mérito julgado.]</w:t>
      </w:r>
    </w:p>
    <w:p>
      <w:pPr>
        <w:ind w:left="144"/>
      </w:pPr>
      <w:r>
        <w:rPr>
          <w:b/>
          <w:color w:val="B45A00"/>
          <w:sz w:val="16"/>
        </w:rPr>
        <w:t>JULGADOS CORRELATOS</w:t>
      </w:r>
    </w:p>
    <w:p>
      <w:pPr>
        <w:ind w:left="288"/>
      </w:pPr>
      <w:r>
        <w:rPr>
          <w:color w:val="8C8C8C"/>
          <w:sz w:val="12"/>
        </w:rPr>
        <w:t>cf-art-114-par-1</w:t>
      </w:r>
      <w:r>
        <w:rPr>
          <w:color w:val="003CA0"/>
          <w:sz w:val="12"/>
        </w:rPr>
        <w:t xml:space="preserve"> | RE 114.836</w:t>
      </w:r>
      <w:r>
        <w:rPr>
          <w:color w:val="003CA0"/>
          <w:sz w:val="12"/>
        </w:rPr>
        <w:t xml:space="preserve"> | rel. Maurício Corrêa</w:t>
      </w:r>
    </w:p>
    <w:p>
      <w:pPr>
        <w:ind w:left="288"/>
      </w:pPr>
      <w:r>
        <w:rPr>
          <w:color w:val="1E1E1E"/>
          <w:sz w:val="18"/>
        </w:rPr>
        <w:t>Dissídio coletivo. Ausência de previsão legal para cláusulas deferidas. Poder normativo da Justiça do Trabalho: limites na lei. A jurisprudência da Corte é no sentido de que as cláusulas deferidas em sentença normativa proferida em dissídio coletivo só podem ser impostas se encontrarem suporte na lei.</w:t>
      </w:r>
    </w:p>
    <w:p>
      <w:pPr>
        <w:ind w:left="288"/>
      </w:pPr>
      <w:r>
        <w:rPr>
          <w:b/>
          <w:color w:val="003CA0"/>
          <w:sz w:val="16"/>
        </w:rPr>
        <w:t>[RE 114.836, rel. min. Maurício Corrêa, j. 1º-12-1997, 2ª T, DJ de 6-3-1998.]</w:t>
      </w:r>
    </w:p>
    <w:p>
      <w:pPr>
        <w:ind w:left="144"/>
      </w:pPr>
      <w:r>
        <w:rPr>
          <w:b/>
          <w:color w:val="B45A00"/>
          <w:sz w:val="16"/>
        </w:rPr>
        <w:t>CONTROLE CONCENTRADO</w:t>
      </w:r>
    </w:p>
    <w:p>
      <w:pPr>
        <w:ind w:left="288"/>
      </w:pPr>
      <w:r>
        <w:rPr>
          <w:color w:val="8C8C8C"/>
          <w:sz w:val="12"/>
        </w:rPr>
        <w:t>cf-art-114-par-3</w:t>
      </w:r>
      <w:r>
        <w:rPr>
          <w:color w:val="003CA0"/>
          <w:sz w:val="12"/>
        </w:rPr>
        <w:t xml:space="preserve"> | ADI 3.432</w:t>
      </w:r>
      <w:r>
        <w:rPr>
          <w:color w:val="003CA0"/>
          <w:sz w:val="12"/>
        </w:rPr>
        <w:t xml:space="preserve"> | rel. Gilmar Mendes</w:t>
      </w:r>
    </w:p>
    <w:p>
      <w:pPr>
        <w:ind w:left="288"/>
      </w:pPr>
      <w:r>
        <w:rPr>
          <w:color w:val="1E1E1E"/>
          <w:sz w:val="18"/>
        </w:rPr>
        <w:t>Art. 1º, da Emenda Constitucional 45/2004, na parte em que deu nova redação ao art. 114, §§ 2º e 3º, da Constituição Federal. (...) Legitimidade do MPT para ajuizar Dissídio Coletivo em caso de greve em atividade essencial. Ofensa aos artigos 5º, XXXV, LV e LXXVIII, e 60, § 4º, IV, da Constituição Federal. Inocorrência. Condição da ação estabelecida pela Constituição. Estímulo às formas alternativas de resolução de conflito.</w:t>
      </w:r>
    </w:p>
    <w:p>
      <w:pPr>
        <w:ind w:left="288"/>
      </w:pPr>
      <w:r>
        <w:rPr>
          <w:b/>
          <w:color w:val="003CA0"/>
          <w:sz w:val="16"/>
        </w:rPr>
        <w:t>[ADI 3.432, rel. min. Gilmar Mendes, j. 29-5-2020, P, DJE de 26-6-2020.]</w:t>
      </w:r>
    </w:p>
    <w:p>
      <w:r>
        <w:rPr>
          <w:b/>
          <w:color w:val="003366"/>
          <w:sz w:val="20"/>
        </w:rPr>
        <w:t>Art. 115 Fica excepcionalmente autorizado o parcelamento das contribuições previ</w:t>
      </w:r>
      <w:r>
        <w:rPr>
          <w:color w:val="8C8C8C"/>
          <w:sz w:val="14"/>
        </w:rPr>
        <w:t xml:space="preserve">  [6 decisoes]</w:t>
      </w:r>
    </w:p>
    <w:p>
      <w:pPr>
        <w:ind w:left="144"/>
      </w:pPr>
      <w:r>
        <w:rPr>
          <w:b/>
          <w:color w:val="B45A00"/>
          <w:sz w:val="16"/>
        </w:rPr>
        <w:t>JULGADOS CORRELATOS</w:t>
      </w:r>
    </w:p>
    <w:p>
      <w:pPr>
        <w:ind w:left="288"/>
      </w:pPr>
      <w:r>
        <w:rPr>
          <w:color w:val="8C8C8C"/>
          <w:sz w:val="12"/>
        </w:rPr>
        <w:t>cf-art-115</w:t>
      </w:r>
      <w:r>
        <w:rPr>
          <w:color w:val="003CA0"/>
          <w:sz w:val="12"/>
        </w:rPr>
        <w:t xml:space="preserve"> | RCL 10.707</w:t>
      </w:r>
      <w:r>
        <w:rPr>
          <w:color w:val="003CA0"/>
          <w:sz w:val="12"/>
        </w:rPr>
        <w:t xml:space="preserve"> | rel. Celso de Mello</w:t>
      </w:r>
    </w:p>
    <w:p>
      <w:pPr>
        <w:ind w:left="288"/>
      </w:pPr>
      <w:r>
        <w:rPr>
          <w:color w:val="1E1E1E"/>
          <w:sz w:val="18"/>
        </w:rPr>
        <w:t>Juiz. Investidura em TRT (CF, art. 115). Ato subjetivamente complexo. Ciclo de formação. Possibilidade de controle jurisdicional em cada momento de seu iter formativo.</w:t>
      </w:r>
    </w:p>
    <w:p>
      <w:pPr>
        <w:ind w:left="288"/>
      </w:pPr>
      <w:r>
        <w:rPr>
          <w:b/>
          <w:color w:val="003CA0"/>
          <w:sz w:val="16"/>
        </w:rPr>
        <w:t>[Rcl 10.707 AgR, rel. min. Celso de Mello, j. 28-5-2014, P, DJE de 30-10-2014.]</w:t>
      </w:r>
    </w:p>
    <w:p>
      <w:pPr>
        <w:ind w:left="288"/>
      </w:pPr>
      <w:r>
        <w:rPr>
          <w:color w:val="8C8C8C"/>
          <w:sz w:val="12"/>
        </w:rPr>
        <w:t>cf-art-115</w:t>
      </w:r>
      <w:r>
        <w:rPr>
          <w:color w:val="003CA0"/>
          <w:sz w:val="12"/>
        </w:rPr>
        <w:t xml:space="preserve"> | MS 21.632-8</w:t>
      </w:r>
      <w:r>
        <w:rPr>
          <w:color w:val="003CA0"/>
          <w:sz w:val="12"/>
        </w:rPr>
        <w:t xml:space="preserve"> | rel. Sepúlveda Pertence</w:t>
      </w:r>
    </w:p>
    <w:p>
      <w:pPr>
        <w:ind w:left="288"/>
      </w:pPr>
      <w:r>
        <w:rPr>
          <w:color w:val="1E1E1E"/>
          <w:sz w:val="18"/>
        </w:rPr>
        <w:t>Mandado de segurança: autoridade coatora: legitimação do presidente da República para responder, em caráter preventivo, à impetração fundada na inconstitucionalidade da lista tríplice organizada pelo tribunal para a promoção de juízes. Precedente (MS 21.632-8/DF, Plenário, 12-5-1993, Pertence, DJ de 6-8-1993). Composição de lista tríplice para preenchimento de vaga de juiz do TRT 12ª Região/SC: incontroversa utilização de critérios objetivos, devidamente especificados, que demonstram a não equiparação entre os candidatos; ausência, ademais, de direito da impetrante de fazer prevalecer sua anti</w:t>
      </w:r>
    </w:p>
    <w:p>
      <w:pPr>
        <w:ind w:left="288"/>
      </w:pPr>
      <w:r>
        <w:rPr>
          <w:b/>
          <w:color w:val="003CA0"/>
          <w:sz w:val="16"/>
        </w:rPr>
        <w:t>[MS 25.979 AgR, rel. min. Sepúlveda Pertence, j. 2-8-2006, P, DJ de 18-8-2006.]</w:t>
      </w:r>
    </w:p>
    <w:p>
      <w:pPr>
        <w:ind w:left="288"/>
      </w:pPr>
      <w:r>
        <w:rPr>
          <w:color w:val="8C8C8C"/>
          <w:sz w:val="12"/>
        </w:rPr>
        <w:t>cf-art-115</w:t>
      </w:r>
      <w:r>
        <w:rPr>
          <w:color w:val="003CA0"/>
          <w:sz w:val="12"/>
        </w:rPr>
        <w:t xml:space="preserve"> | MS 23.769</w:t>
      </w:r>
      <w:r>
        <w:rPr>
          <w:color w:val="003CA0"/>
          <w:sz w:val="12"/>
        </w:rPr>
        <w:t xml:space="preserve"> | rel. Ellen Gracie</w:t>
      </w:r>
    </w:p>
    <w:p>
      <w:pPr>
        <w:ind w:left="288"/>
      </w:pPr>
      <w:r>
        <w:rPr>
          <w:color w:val="1E1E1E"/>
          <w:sz w:val="18"/>
        </w:rPr>
        <w:t>Não procede a pretensão da impetrante de aplicar aos tribunais regionais do trabalho a regra especial de proporcionalidade estatuída pelo § 1º do art. 111 da Constituição, alusiva ao TST.</w:t>
      </w:r>
    </w:p>
    <w:p>
      <w:pPr>
        <w:ind w:left="288"/>
      </w:pPr>
      <w:r>
        <w:rPr>
          <w:b/>
          <w:color w:val="003CA0"/>
          <w:sz w:val="16"/>
        </w:rPr>
        <w:t>[MS 23.769, rel. min. Ellen Gracie, j. 3-4-2002, P, DJ de 30-4-2004.]</w:t>
      </w:r>
    </w:p>
    <w:p>
      <w:pPr>
        <w:ind w:left="288"/>
      </w:pPr>
      <w:r>
        <w:rPr>
          <w:color w:val="8C8C8C"/>
          <w:sz w:val="12"/>
        </w:rPr>
        <w:t>cf-art-115</w:t>
      </w:r>
      <w:r>
        <w:rPr>
          <w:color w:val="003CA0"/>
          <w:sz w:val="12"/>
        </w:rPr>
        <w:t xml:space="preserve"> | ADI 1.289</w:t>
      </w:r>
      <w:r>
        <w:rPr>
          <w:color w:val="003CA0"/>
          <w:sz w:val="12"/>
        </w:rPr>
        <w:t xml:space="preserve"> | rel. Gilmar Mendes</w:t>
      </w:r>
    </w:p>
    <w:p>
      <w:pPr>
        <w:ind w:left="288"/>
      </w:pPr>
      <w:r>
        <w:rPr>
          <w:color w:val="1E1E1E"/>
          <w:sz w:val="18"/>
        </w:rPr>
        <w:t xml:space="preserve">I - um quinto dentre advogados com mais de dez anos de efetiva atividade profissional e membros do Ministério Público do Trabalho com mais de dez anos de efetivo exercício, observado o disposto no art. 94; (Redação da EC 45/2004) Embargos infringentes. Cabimento, na hipótese de recurso interposto antes da vigência da Lei 9.868, de 10-11-1999. Cargos vagos de juízes do TRT. Composição de lista. Requisitos dos arts. 94 e 115 da Constituição: quinto constitucional e lista sêxtupla. Ato normativo que menos se distancia do sistema constitucional, ao assegurar aos órgãos participantes do processo a </w:t>
      </w:r>
    </w:p>
    <w:p>
      <w:pPr>
        <w:ind w:left="288"/>
      </w:pPr>
      <w:r>
        <w:rPr>
          <w:b/>
          <w:color w:val="003CA0"/>
          <w:sz w:val="16"/>
        </w:rPr>
        <w:t>[ADI 1.289 EI, rel. min. Gilmar Mendes, j. 3-4-2003, P, DJ de 27-2-2004.]</w:t>
      </w:r>
    </w:p>
    <w:p>
      <w:pPr>
        <w:ind w:left="288"/>
      </w:pPr>
      <w:r>
        <w:rPr>
          <w:color w:val="8C8C8C"/>
          <w:sz w:val="12"/>
        </w:rPr>
        <w:t>cf-art-115</w:t>
      </w:r>
      <w:r>
        <w:rPr>
          <w:color w:val="003CA0"/>
          <w:sz w:val="12"/>
        </w:rPr>
        <w:t xml:space="preserve"> | MS 27.244</w:t>
      </w:r>
      <w:r>
        <w:rPr>
          <w:color w:val="003CA0"/>
          <w:sz w:val="12"/>
        </w:rPr>
        <w:t xml:space="preserve"> | rel. Joaquim Barbosa</w:t>
      </w:r>
    </w:p>
    <w:p>
      <w:pPr>
        <w:ind w:left="288"/>
      </w:pPr>
      <w:r>
        <w:rPr>
          <w:color w:val="1E1E1E"/>
          <w:sz w:val="18"/>
        </w:rPr>
        <w:t>Estando o presidente da República de posse de lista tríplice destinada ao preenchimento de vaga de magistrado de TRT, podendo nomear, a qualquer momento, aquele que vai ocupar o cargo vago, configura-se a competência desta Corte para o julgamento do mandado de segurança que impugna o processo de escolha dos integrantes da lista, nos termos da jurisprudência do STF, consolidada na Súmula 627 desta Corte.</w:t>
      </w:r>
    </w:p>
    <w:p>
      <w:pPr>
        <w:ind w:left="288"/>
      </w:pPr>
      <w:r>
        <w:rPr>
          <w:b/>
          <w:color w:val="003CA0"/>
          <w:sz w:val="16"/>
        </w:rPr>
        <w:t>[MS 27.244 QO, rel. min. Joaquim Barbosa, j. 13-5-2009, P, DJE de 19-3-2010.]</w:t>
      </w:r>
    </w:p>
    <w:p>
      <w:pPr>
        <w:ind w:left="288"/>
      </w:pPr>
      <w:r>
        <w:rPr>
          <w:color w:val="8C8C8C"/>
          <w:sz w:val="12"/>
        </w:rPr>
        <w:t>cf-art-115-inc-II</w:t>
      </w:r>
      <w:r>
        <w:rPr>
          <w:color w:val="003CA0"/>
          <w:sz w:val="12"/>
        </w:rPr>
        <w:t xml:space="preserve"> | MS 24.575</w:t>
      </w:r>
      <w:r>
        <w:rPr>
          <w:color w:val="003CA0"/>
          <w:sz w:val="12"/>
        </w:rPr>
        <w:t xml:space="preserve"> | rel. Eros Grau</w:t>
      </w:r>
    </w:p>
    <w:p>
      <w:pPr>
        <w:ind w:left="288"/>
      </w:pPr>
      <w:r>
        <w:rPr>
          <w:color w:val="1E1E1E"/>
          <w:sz w:val="18"/>
        </w:rPr>
        <w:t>A nomeação de juiz para os cargos de desembargador dos tribunais federais, pelo critério de merecimento, é ato administrativo complexo, para o qual concorrem atos de vontade dos membros do tribunal de origem – que compõem a lista tríplice a partir da quinta parte dos juízes com dois anos de judicatura na mesma entrância – e do presidente da República, que procede à escolha a partir do rol previamente determinado. A lista tríplice elaborada pelo tribunal deve obedecer aos dois requisitos previstos no art. 93, II, b, da Constituição do Brasil (redação anterior à EC 45/2004) (...).</w:t>
      </w:r>
    </w:p>
    <w:p>
      <w:pPr>
        <w:ind w:left="288"/>
      </w:pPr>
      <w:r>
        <w:rPr>
          <w:b/>
          <w:color w:val="003CA0"/>
          <w:sz w:val="16"/>
        </w:rPr>
        <w:t>[MS 24.575, rel. min. Eros Grau, j. 15-12-2004, P, DJ de 4-3-2005.]</w:t>
      </w:r>
    </w:p>
    <w:p>
      <w:pPr>
        <w:ind w:left="720"/>
      </w:pPr>
      <w:r>
        <w:rPr>
          <w:color w:val="003366"/>
          <w:sz w:val="18"/>
        </w:rPr>
        <w:t>I – adoção de regras de elegibilidade, de cálculo e de reajustamento dos benefíc</w:t>
      </w:r>
    </w:p>
    <w:p>
      <w:pPr>
        <w:ind w:left="720"/>
      </w:pPr>
      <w:r>
        <w:rPr>
          <w:color w:val="003366"/>
          <w:sz w:val="18"/>
        </w:rPr>
        <w:t>II – adequação do rol de benefícios ao disposto nos §§ 2º e 3º do art. 9º da Eme</w:t>
      </w:r>
    </w:p>
    <w:p>
      <w:pPr>
        <w:ind w:left="720"/>
      </w:pPr>
      <w:r>
        <w:rPr>
          <w:color w:val="003366"/>
          <w:sz w:val="18"/>
        </w:rPr>
        <w:t xml:space="preserve">III – adequação da alíquota de contribuição devida pelos servidores, nos termos </w:t>
      </w:r>
    </w:p>
    <w:p>
      <w:pPr>
        <w:ind w:left="720"/>
      </w:pPr>
      <w:r>
        <w:rPr>
          <w:color w:val="003366"/>
          <w:sz w:val="18"/>
        </w:rPr>
        <w:t>IV – instituição do regime de previdência complementar e adequação do órgão ou e</w:t>
      </w:r>
    </w:p>
    <w:p>
      <w:pPr>
        <w:ind w:left="432"/>
      </w:pPr>
      <w:r>
        <w:rPr>
          <w:color w:val="003366"/>
          <w:sz w:val="18"/>
        </w:rPr>
        <w:t>§ 1 Ato do Ministério da Previdência Social, no âmbito de suas competências, def</w:t>
      </w:r>
    </w:p>
    <w:p>
      <w:pPr>
        <w:ind w:left="432"/>
      </w:pPr>
      <w:r>
        <w:rPr>
          <w:color w:val="003366"/>
          <w:sz w:val="18"/>
        </w:rPr>
        <w:t xml:space="preserve">§ 2 O ente federativo que não comprovar o atendimento das condições cumulativas </w:t>
      </w:r>
    </w:p>
    <w:p>
      <w:pPr>
        <w:ind w:left="432"/>
      </w:pPr>
      <w:r>
        <w:rPr>
          <w:color w:val="003366"/>
          <w:sz w:val="18"/>
        </w:rPr>
        <w:t>§ 3 O parcelamento será suspenso na hipótese de inadimplência por 3 (três) meses</w:t>
      </w:r>
    </w:p>
    <w:p>
      <w:r>
        <w:rPr>
          <w:b/>
          <w:color w:val="003366"/>
          <w:sz w:val="20"/>
        </w:rPr>
        <w:t>Art. 116 Fica excepcionalmente autorizado o parcelamento dos débitos decorrentes</w:t>
      </w:r>
    </w:p>
    <w:p>
      <w:pPr>
        <w:ind w:left="432"/>
      </w:pPr>
      <w:r>
        <w:rPr>
          <w:color w:val="003366"/>
          <w:sz w:val="18"/>
        </w:rPr>
        <w:t>§ 1 Os Municípios que possuam regime próprio de previdência social deverão compr</w:t>
      </w:r>
    </w:p>
    <w:p>
      <w:pPr>
        <w:ind w:left="432"/>
      </w:pPr>
      <w:r>
        <w:rPr>
          <w:color w:val="003366"/>
          <w:sz w:val="18"/>
        </w:rPr>
        <w:t>§ 2 Os débitos parcelados terão redução de 40% (quarenta por cento) das multas d</w:t>
      </w:r>
    </w:p>
    <w:p>
      <w:pPr>
        <w:ind w:left="432"/>
      </w:pPr>
      <w:r>
        <w:rPr>
          <w:color w:val="003366"/>
          <w:sz w:val="18"/>
        </w:rPr>
        <w:t>§ 3 O valor de cada parcela será acrescido de atualização monetária e juros, acu</w:t>
      </w:r>
    </w:p>
    <w:p>
      <w:pPr>
        <w:ind w:left="720"/>
      </w:pPr>
      <w:r>
        <w:rPr>
          <w:color w:val="003366"/>
          <w:sz w:val="18"/>
        </w:rPr>
        <w:t>I – atualização monetária pela variação do IPCA ou por índice que vier a substit</w:t>
      </w:r>
    </w:p>
    <w:p>
      <w:pPr>
        <w:ind w:left="720"/>
      </w:pPr>
      <w:r>
        <w:rPr>
          <w:color w:val="003366"/>
          <w:sz w:val="18"/>
        </w:rPr>
        <w:t>II – juros reais de 0% a.a. (zero por cento ao ano) para os Municípios que, em a</w:t>
      </w:r>
    </w:p>
    <w:p>
      <w:pPr>
        <w:ind w:left="720"/>
      </w:pPr>
      <w:r>
        <w:rPr>
          <w:color w:val="003366"/>
          <w:sz w:val="18"/>
        </w:rPr>
        <w:t>III – juros reais de 1% a.a. (um por cento ao ano) para os Municípios que, em at</w:t>
      </w:r>
    </w:p>
    <w:p>
      <w:pPr>
        <w:ind w:left="720"/>
      </w:pPr>
      <w:r>
        <w:rPr>
          <w:color w:val="003366"/>
          <w:sz w:val="18"/>
        </w:rPr>
        <w:t>IV – juros reais de 2% a.a. (dois por cento ao ano) para os Municípios que, em a</w:t>
      </w:r>
    </w:p>
    <w:p>
      <w:pPr>
        <w:ind w:left="720"/>
      </w:pPr>
      <w:r>
        <w:rPr>
          <w:color w:val="003366"/>
          <w:sz w:val="18"/>
        </w:rPr>
        <w:t xml:space="preserve">V – juros reais de 4% a.a. (quatro por cento ao ano) para os Municípios que não </w:t>
      </w:r>
    </w:p>
    <w:p>
      <w:pPr>
        <w:ind w:left="432"/>
      </w:pPr>
      <w:r>
        <w:rPr>
          <w:color w:val="003366"/>
          <w:sz w:val="18"/>
        </w:rPr>
        <w:t>§ 4 Não constituem débitos dos Municípios aqueles considerados prescritos ou ati</w:t>
      </w:r>
    </w:p>
    <w:p>
      <w:pPr>
        <w:ind w:left="432"/>
      </w:pPr>
      <w:r>
        <w:rPr>
          <w:color w:val="003366"/>
          <w:sz w:val="18"/>
        </w:rPr>
        <w:t>§ 5 A Secretaria Especial da Receita Federal do Brasil e a Procuradoria-Geral da</w:t>
      </w:r>
    </w:p>
    <w:p>
      <w:pPr>
        <w:ind w:left="432"/>
      </w:pPr>
      <w:r>
        <w:rPr>
          <w:color w:val="003366"/>
          <w:sz w:val="18"/>
        </w:rPr>
        <w:t>§ 6 O parcelamento será excluído na hipótese de inadimplência por 3 (três) meses</w:t>
      </w:r>
    </w:p>
    <w:p>
      <w:pPr>
        <w:ind w:left="432"/>
      </w:pPr>
      <w:r>
        <w:rPr>
          <w:color w:val="003366"/>
          <w:sz w:val="18"/>
        </w:rPr>
        <w:t>§ 7 Em caso de exclusão por inadimplência, o Município ficará impedido de recebe</w:t>
      </w:r>
    </w:p>
    <w:p>
      <w:pPr>
        <w:ind w:left="432"/>
      </w:pPr>
      <w:r>
        <w:rPr>
          <w:color w:val="003366"/>
          <w:sz w:val="18"/>
        </w:rPr>
        <w:t xml:space="preserve">§ 8 O chefe do Poder Executivo do Município inadimplente responderá na forma da </w:t>
      </w:r>
    </w:p>
    <w:p>
      <w:pPr>
        <w:ind w:left="432"/>
      </w:pPr>
      <w:r>
        <w:rPr>
          <w:color w:val="003366"/>
          <w:sz w:val="18"/>
        </w:rPr>
        <w:t>§ 9 Não serão responsabilizados os Municípios e os respectivos chefes do Poder E</w:t>
      </w:r>
    </w:p>
    <w:p>
      <w:pPr>
        <w:ind w:left="432"/>
      </w:pPr>
      <w:r>
        <w:rPr>
          <w:color w:val="003366"/>
          <w:sz w:val="18"/>
        </w:rPr>
        <w:t>§ 10 As parcelas a que se refere o caput deste artigo serão equivalentes ao sald</w:t>
      </w:r>
    </w:p>
    <w:p>
      <w:pPr>
        <w:ind w:left="432"/>
      </w:pPr>
      <w:r>
        <w:rPr>
          <w:color w:val="003366"/>
          <w:sz w:val="18"/>
        </w:rPr>
        <w:t>§ 11 Encerrado o prazo do parcelamento, eventual resíduo da dívida não quitado n</w:t>
      </w:r>
    </w:p>
    <w:p>
      <w:pPr>
        <w:ind w:left="432"/>
      </w:pPr>
      <w:r>
        <w:rPr>
          <w:color w:val="003366"/>
          <w:sz w:val="18"/>
        </w:rPr>
        <w:t>§ 12 A quitação antecipada de parcela da dívida de que trata o § 3º deste artigo</w:t>
      </w:r>
    </w:p>
    <w:p>
      <w:pPr>
        <w:ind w:left="720"/>
      </w:pPr>
      <w:r>
        <w:rPr>
          <w:color w:val="003366"/>
          <w:sz w:val="18"/>
        </w:rPr>
        <w:t>I – transferência de valores em moeda corrente à conta única do Tesouro Nacional</w:t>
      </w:r>
    </w:p>
    <w:p>
      <w:pPr>
        <w:ind w:left="720"/>
      </w:pPr>
      <w:r>
        <w:rPr>
          <w:color w:val="003366"/>
          <w:sz w:val="18"/>
        </w:rPr>
        <w:t>II – transferência, para a União, de participações societárias em empresas de pr</w:t>
      </w:r>
    </w:p>
    <w:p>
      <w:pPr>
        <w:ind w:left="720"/>
      </w:pPr>
      <w:r>
        <w:rPr>
          <w:color w:val="003366"/>
          <w:sz w:val="18"/>
        </w:rPr>
        <w:t>III – transferência de bens móveis ou imóveis do Município para a União, desde q</w:t>
      </w:r>
    </w:p>
    <w:p>
      <w:pPr>
        <w:ind w:left="720"/>
      </w:pPr>
      <w:r>
        <w:rPr>
          <w:color w:val="003366"/>
          <w:sz w:val="18"/>
        </w:rPr>
        <w:t>IV – cessão de créditos líquidos e certos do Município para o setor privado, des</w:t>
      </w:r>
    </w:p>
    <w:p>
      <w:pPr>
        <w:ind w:left="720"/>
      </w:pPr>
      <w:r>
        <w:rPr>
          <w:color w:val="003366"/>
          <w:sz w:val="18"/>
        </w:rPr>
        <w:t>V – transferência de créditos do Município com a União reconhecidos por ambas as</w:t>
      </w:r>
    </w:p>
    <w:p>
      <w:pPr>
        <w:ind w:left="720"/>
      </w:pPr>
      <w:r>
        <w:rPr>
          <w:color w:val="003366"/>
          <w:sz w:val="18"/>
        </w:rPr>
        <w:t>VI – cessão, para a União, dos recebíveis originados de créditos inscritos na dí</w:t>
      </w:r>
    </w:p>
    <w:p>
      <w:pPr>
        <w:ind w:left="1008"/>
      </w:pPr>
      <w:r>
        <w:rPr>
          <w:color w:val="003366"/>
          <w:sz w:val="18"/>
        </w:rPr>
        <w:t>a) o valor considerado para amortização da dívida será o valor atualizado dos cr</w:t>
      </w:r>
    </w:p>
    <w:p>
      <w:pPr>
        <w:ind w:left="1008"/>
      </w:pPr>
      <w:r>
        <w:rPr>
          <w:color w:val="003366"/>
          <w:sz w:val="18"/>
        </w:rPr>
        <w:t xml:space="preserve">b) a cessão do crédito não gerará qualquer alteração na situação do devedor nem </w:t>
      </w:r>
    </w:p>
    <w:p>
      <w:pPr>
        <w:ind w:left="1008"/>
      </w:pPr>
      <w:r>
        <w:rPr>
          <w:color w:val="003366"/>
          <w:sz w:val="18"/>
        </w:rPr>
        <w:t>c) na hipótese de crédito cedido, regulamento disporá sobre as regras às quais s</w:t>
      </w:r>
    </w:p>
    <w:p>
      <w:pPr>
        <w:ind w:left="1008"/>
      </w:pPr>
      <w:r>
        <w:rPr>
          <w:color w:val="003366"/>
          <w:sz w:val="18"/>
        </w:rPr>
        <w:t>d) os valores dos créditos de que trata este inciso, líquidos do deságio a que s</w:t>
      </w:r>
    </w:p>
    <w:p>
      <w:pPr>
        <w:ind w:left="1008"/>
      </w:pPr>
      <w:r>
        <w:rPr>
          <w:color w:val="003366"/>
          <w:sz w:val="18"/>
        </w:rPr>
        <w:t>e) o Município deverá fornecer todas as informações necessárias à avaliação, pel</w:t>
      </w:r>
    </w:p>
    <w:p>
      <w:pPr>
        <w:ind w:left="1008"/>
      </w:pPr>
      <w:r>
        <w:rPr>
          <w:color w:val="003366"/>
          <w:sz w:val="18"/>
        </w:rPr>
        <w:t>f) as Fazendas Públicas municipais e a Procuradoria-Geral da Fazenda Nacional po</w:t>
      </w:r>
    </w:p>
    <w:p>
      <w:pPr>
        <w:ind w:left="1008"/>
      </w:pPr>
      <w:r>
        <w:rPr>
          <w:color w:val="003366"/>
          <w:sz w:val="18"/>
        </w:rPr>
        <w:t>g) a cessão prevista neste inciso preservará a base de cálculo das vinculações c</w:t>
      </w:r>
    </w:p>
    <w:p>
      <w:pPr>
        <w:ind w:left="720"/>
      </w:pPr>
      <w:r>
        <w:rPr>
          <w:color w:val="003366"/>
          <w:sz w:val="18"/>
        </w:rPr>
        <w:t>VII – cessão de outros ativos que, em comum acordo entre as partes, possam ser u</w:t>
      </w:r>
    </w:p>
    <w:p>
      <w:pPr>
        <w:ind w:left="720"/>
      </w:pPr>
      <w:r>
        <w:rPr>
          <w:color w:val="003366"/>
          <w:sz w:val="18"/>
        </w:rPr>
        <w:t>VIII – cessão, para a União, dos recebíveis originados da compensação financeira</w:t>
      </w:r>
    </w:p>
    <w:p>
      <w:r>
        <w:rPr>
          <w:b/>
          <w:color w:val="003366"/>
          <w:sz w:val="20"/>
        </w:rPr>
        <w:t>Art. 116 A. Fica excepcionalmente autorizado o parcelamento dos débitos decorren</w:t>
      </w:r>
    </w:p>
    <w:p>
      <w:r>
        <w:rPr>
          <w:b/>
          <w:color w:val="003366"/>
          <w:sz w:val="20"/>
        </w:rPr>
        <w:t>Art. 117 A formalização dos parcelamentos de que tratam os arts. 115, 116 e 116-</w:t>
      </w:r>
      <w:r>
        <w:rPr>
          <w:color w:val="8C8C8C"/>
          <w:sz w:val="14"/>
        </w:rPr>
        <w:t xml:space="preserve">  [1 decisoes]</w:t>
      </w:r>
    </w:p>
    <w:p>
      <w:pPr>
        <w:ind w:left="288"/>
      </w:pPr>
      <w:r>
        <w:rPr>
          <w:color w:val="8C8C8C"/>
          <w:sz w:val="12"/>
        </w:rPr>
        <w:t>cf-art-117</w:t>
      </w:r>
    </w:p>
    <w:p>
      <w:pPr>
        <w:ind w:left="288"/>
      </w:pPr>
      <w:r>
        <w:rPr>
          <w:color w:val="1E1E1E"/>
          <w:sz w:val="18"/>
        </w:rPr>
        <w:t>Seção VI Dos Tribunais e Juízes Eleitorais SUMÁRIO</w:t>
      </w:r>
    </w:p>
    <w:p>
      <w:pPr>
        <w:ind w:left="720"/>
      </w:pPr>
      <w:r>
        <w:rPr>
          <w:color w:val="003366"/>
          <w:sz w:val="18"/>
        </w:rPr>
        <w:t>I – a prestação de garantia ou de contra garantia à União ou os pagamentos de dé</w:t>
      </w:r>
    </w:p>
    <w:p>
      <w:pPr>
        <w:ind w:left="720"/>
      </w:pPr>
      <w:r>
        <w:rPr>
          <w:color w:val="003366"/>
          <w:sz w:val="18"/>
        </w:rPr>
        <w:t xml:space="preserve">II – as contribuições parceladas devidas ao Regime Geral de Previdência Social; </w:t>
      </w:r>
    </w:p>
    <w:p>
      <w:pPr>
        <w:ind w:left="720"/>
      </w:pPr>
      <w:r>
        <w:rPr>
          <w:color w:val="003366"/>
          <w:sz w:val="18"/>
        </w:rPr>
        <w:t>III – as contribuições parceladas devidas ao respectivo regime próprio de previd</w:t>
      </w:r>
    </w:p>
    <w:p>
      <w:r>
        <w:rPr>
          <w:b/>
          <w:color w:val="003366"/>
          <w:sz w:val="20"/>
        </w:rPr>
        <w:t>Art. 118 Os limites, as condições, as normas de acesso e os demais requisitos pa</w:t>
      </w:r>
    </w:p>
    <w:p>
      <w:r>
        <w:rPr>
          <w:b/>
          <w:color w:val="003366"/>
          <w:sz w:val="20"/>
        </w:rPr>
        <w:t xml:space="preserve">Art. 119 Em decorrência do estado de calamidade pública provocado pela pandemia </w:t>
      </w:r>
    </w:p>
    <w:p>
      <w:r>
        <w:rPr>
          <w:b/>
          <w:color w:val="003366"/>
          <w:sz w:val="20"/>
        </w:rPr>
        <w:t xml:space="preserve">Art. 120 Fica reconhecido, no ano de 2022, o estado de emergência decorrente da </w:t>
      </w:r>
      <w:r>
        <w:rPr>
          <w:color w:val="8C8C8C"/>
          <w:sz w:val="14"/>
        </w:rPr>
        <w:t xml:space="preserve">  [5 decisoes]</w:t>
      </w:r>
    </w:p>
    <w:p>
      <w:pPr>
        <w:ind w:left="288"/>
      </w:pPr>
      <w:r>
        <w:rPr>
          <w:color w:val="8C8C8C"/>
          <w:sz w:val="12"/>
        </w:rPr>
        <w:t>cf-art-120-par-1-inc-I-ali-b</w:t>
      </w:r>
    </w:p>
    <w:p>
      <w:pPr>
        <w:ind w:left="288"/>
      </w:pPr>
      <w:r>
        <w:rPr>
          <w:color w:val="1E1E1E"/>
          <w:sz w:val="18"/>
        </w:rPr>
        <w:t>II - de um juiz do Tribunal Regional Federal com sede na Capital do Estado ou no Distrito Federal, ou, não havendo, de juiz federal, escolhido, em qualquer caso, pelo Tribunal Regional Federal respectivo;</w:t>
      </w:r>
    </w:p>
    <w:p>
      <w:pPr>
        <w:ind w:left="144"/>
      </w:pPr>
      <w:r>
        <w:rPr>
          <w:b/>
          <w:color w:val="B45A00"/>
          <w:sz w:val="16"/>
        </w:rPr>
        <w:t>JULGADOS CORRELATOS</w:t>
      </w:r>
    </w:p>
    <w:p>
      <w:pPr>
        <w:ind w:left="288"/>
      </w:pPr>
      <w:r>
        <w:rPr>
          <w:color w:val="8C8C8C"/>
          <w:sz w:val="12"/>
        </w:rPr>
        <w:t>cf-art-120-par-1-inc-III</w:t>
      </w:r>
      <w:r>
        <w:rPr>
          <w:color w:val="003CA0"/>
          <w:sz w:val="12"/>
        </w:rPr>
        <w:t xml:space="preserve"> | RMS 24.334</w:t>
      </w:r>
      <w:r>
        <w:rPr>
          <w:color w:val="003CA0"/>
          <w:sz w:val="12"/>
        </w:rPr>
        <w:t xml:space="preserve"> | rel. Gilmar Mendes</w:t>
      </w:r>
    </w:p>
    <w:p>
      <w:pPr>
        <w:ind w:left="288"/>
      </w:pPr>
      <w:r>
        <w:rPr>
          <w:color w:val="1E1E1E"/>
          <w:sz w:val="18"/>
        </w:rPr>
        <w:t>Matéria eleitoral. Organização do Poder Judiciário. Preenchimento de vaga de juiz substituto da classe dos advogados. Regra geral. Art. 94, CF. Prazo de dez anos de exercício da atividade profissional. TRE. Art. 120, § 1º, III, CF. Encaminhamento de lista tríplice. A Constituição silenciou-se, tão somente, em relação aos advogados indicados para a Justiça Eleitoral. Nada há, porém, no âmbito dessa Justiça, que possa justificar disciplina diferente na espécie. Omissão constitucional que não se converte em "silêncio eloquente".</w:t>
      </w:r>
    </w:p>
    <w:p>
      <w:pPr>
        <w:ind w:left="288"/>
      </w:pPr>
      <w:r>
        <w:rPr>
          <w:b/>
          <w:color w:val="003CA0"/>
          <w:sz w:val="16"/>
        </w:rPr>
        <w:t>[RMS 24.334, rel. min. Gilmar Mendes, j. 31-5-2005, 2ª T, DJ de 26-8-2005.]</w:t>
      </w:r>
    </w:p>
    <w:p>
      <w:pPr>
        <w:ind w:left="288"/>
      </w:pPr>
      <w:r>
        <w:rPr>
          <w:color w:val="8C8C8C"/>
          <w:sz w:val="12"/>
        </w:rPr>
        <w:t>cf-art-120-par-1-inc-III</w:t>
      </w:r>
      <w:r>
        <w:rPr>
          <w:color w:val="003CA0"/>
          <w:sz w:val="12"/>
        </w:rPr>
        <w:t xml:space="preserve"> | RMS 24.232</w:t>
      </w:r>
      <w:r>
        <w:rPr>
          <w:color w:val="003CA0"/>
          <w:sz w:val="12"/>
        </w:rPr>
        <w:t xml:space="preserve"> | rel. Joaquim Barbosa</w:t>
      </w:r>
    </w:p>
    <w:p>
      <w:pPr>
        <w:ind w:left="288"/>
      </w:pPr>
      <w:r>
        <w:rPr>
          <w:color w:val="1E1E1E"/>
          <w:sz w:val="18"/>
        </w:rPr>
        <w:t>= RMS 24.232, rel. min. Joaquim Barbosa, j. 29-11-2005, 2ª T, DJ de 26-5-2006 Composição de tribunal regional. Lista tríplice que encaminha para vaga de advogado o nome de magistrado aposentado, inscrito na OAB. Exclusão do mesmo pelo TSE – art. 25, § 2º, do Código Eleitoral. A Lei 7.191/1994 não revogou o § 2º do art. 25 do Código Eleitoral, com a redação dada pela Lei 4.961/1966. O dispositivo foi recepcionado pela CF. Impugnação procedente para manter a decisão do tribunal. A análise da instituição, Justiça Eleitoral, parte de um determinado princípio e de um determinado espírito informador</w:t>
      </w:r>
    </w:p>
    <w:p>
      <w:pPr>
        <w:ind w:left="288"/>
      </w:pPr>
      <w:r>
        <w:rPr>
          <w:b/>
          <w:color w:val="003CA0"/>
          <w:sz w:val="16"/>
        </w:rPr>
        <w:t>[RMS 23.123, rel. min. Nelson Jobim, j. 15-12-1999, P, DJ de 12-3-2004.]</w:t>
      </w:r>
    </w:p>
    <w:p>
      <w:pPr>
        <w:ind w:left="288"/>
      </w:pPr>
      <w:r>
        <w:rPr>
          <w:color w:val="8C8C8C"/>
          <w:sz w:val="12"/>
        </w:rPr>
        <w:t>cf-art-120-par-1-inc-III</w:t>
      </w:r>
      <w:r>
        <w:rPr>
          <w:color w:val="003CA0"/>
          <w:sz w:val="12"/>
        </w:rPr>
        <w:t xml:space="preserve"> | MS 21.073</w:t>
      </w:r>
      <w:r>
        <w:rPr>
          <w:color w:val="003CA0"/>
          <w:sz w:val="12"/>
        </w:rPr>
        <w:t xml:space="preserve"> | rel. Paulo Brossard</w:t>
      </w:r>
    </w:p>
    <w:p>
      <w:pPr>
        <w:ind w:left="288"/>
      </w:pPr>
      <w:r>
        <w:rPr>
          <w:color w:val="1E1E1E"/>
          <w:sz w:val="18"/>
        </w:rPr>
        <w:t>TRE. Composição. Vaga reservada à classe dos advogados. Participação da OAB no procedimento de indicação. Direito inexistente. Indicação, em lista tríplice, pelo tribunal de justiça. Art. 120, § 1º, III, CF.</w:t>
      </w:r>
    </w:p>
    <w:p>
      <w:pPr>
        <w:ind w:left="288"/>
      </w:pPr>
      <w:r>
        <w:rPr>
          <w:b/>
          <w:color w:val="003CA0"/>
          <w:sz w:val="16"/>
        </w:rPr>
        <w:t>[MS 21.073, rel. min. Paulo Brossard, j. 24-11-1990, P, DJ de 20-9-1991.]</w:t>
      </w:r>
    </w:p>
    <w:p>
      <w:pPr>
        <w:ind w:left="288"/>
      </w:pPr>
      <w:r>
        <w:rPr>
          <w:color w:val="8C8C8C"/>
          <w:sz w:val="12"/>
        </w:rPr>
        <w:t>cf-art-120-par-1-inc-III</w:t>
      </w:r>
      <w:r>
        <w:rPr>
          <w:color w:val="003CA0"/>
          <w:sz w:val="12"/>
        </w:rPr>
        <w:t xml:space="preserve"> | MS 21.060</w:t>
      </w:r>
      <w:r>
        <w:rPr>
          <w:color w:val="003CA0"/>
          <w:sz w:val="12"/>
        </w:rPr>
        <w:t xml:space="preserve"> | rel. Sydney Sanches</w:t>
      </w:r>
    </w:p>
    <w:p>
      <w:pPr>
        <w:ind w:left="288"/>
      </w:pPr>
      <w:r>
        <w:rPr>
          <w:color w:val="1E1E1E"/>
          <w:sz w:val="18"/>
        </w:rPr>
        <w:t>= MS 21.060, rel. min. Sydney Sanches, j. 19-6-1991, P, DJ de 23-8-1991</w:t>
      </w:r>
    </w:p>
    <w:p>
      <w:pPr>
        <w:ind w:left="720"/>
      </w:pPr>
      <w:r>
        <w:rPr>
          <w:color w:val="003366"/>
          <w:sz w:val="18"/>
        </w:rPr>
        <w:t>I – quanto às despesas: (Incluído pela Emenda Constitucional nº 123, de 2022)</w:t>
      </w:r>
    </w:p>
    <w:p>
      <w:pPr>
        <w:ind w:left="1008"/>
      </w:pPr>
      <w:r>
        <w:rPr>
          <w:color w:val="003366"/>
          <w:sz w:val="18"/>
        </w:rPr>
        <w:t>a) serão atendidas por meio de crédito extraordinário; (Incluída pela Emenda Con</w:t>
      </w:r>
    </w:p>
    <w:p>
      <w:pPr>
        <w:ind w:left="1008"/>
      </w:pPr>
      <w:r>
        <w:rPr>
          <w:color w:val="003366"/>
          <w:sz w:val="18"/>
        </w:rPr>
        <w:t>b) não serão consideradas para fins de apuração da meta de resultado primário es</w:t>
      </w:r>
    </w:p>
    <w:p>
      <w:pPr>
        <w:ind w:left="1008"/>
      </w:pPr>
      <w:r>
        <w:rPr>
          <w:color w:val="003366"/>
          <w:sz w:val="18"/>
        </w:rPr>
        <w:t>c) ficarão ressalvadas do disposto no inciso III do caput do art. 167 da Constit</w:t>
      </w:r>
    </w:p>
    <w:p>
      <w:pPr>
        <w:ind w:left="720"/>
      </w:pPr>
      <w:r>
        <w:rPr>
          <w:color w:val="003366"/>
          <w:sz w:val="18"/>
        </w:rPr>
        <w:t>II – a abertura do crédito extraordinário para seu atendimento dar-se-á independ</w:t>
      </w:r>
    </w:p>
    <w:p>
      <w:pPr>
        <w:ind w:left="720"/>
      </w:pPr>
      <w:r>
        <w:rPr>
          <w:color w:val="003366"/>
          <w:sz w:val="18"/>
        </w:rPr>
        <w:t>III – a dispensa das limitações legais, inclusive quanto à necessidade de compen</w:t>
      </w:r>
    </w:p>
    <w:p>
      <w:pPr>
        <w:ind w:left="1008"/>
      </w:pPr>
      <w:r>
        <w:rPr>
          <w:color w:val="003366"/>
          <w:sz w:val="18"/>
        </w:rPr>
        <w:t>a) à criação, à expansão ou ao aperfeiçoamento de ação governamental que acarret</w:t>
      </w:r>
    </w:p>
    <w:p>
      <w:pPr>
        <w:ind w:left="1008"/>
      </w:pPr>
      <w:r>
        <w:rPr>
          <w:color w:val="003366"/>
          <w:sz w:val="18"/>
        </w:rPr>
        <w:t>b) à renúncia de receita que possa ocorrer. (Incluída pela Emenda Constitucional</w:t>
      </w:r>
    </w:p>
    <w:p>
      <w:r>
        <w:rPr>
          <w:b/>
          <w:color w:val="003366"/>
          <w:sz w:val="20"/>
        </w:rPr>
        <w:t xml:space="preserve">Art. 121 As contas referentes aos patrimônios acumulados de que trata o § 2º do </w:t>
      </w:r>
      <w:r>
        <w:rPr>
          <w:color w:val="8C8C8C"/>
          <w:sz w:val="14"/>
        </w:rPr>
        <w:t xml:space="preserve">  [21 decisoes]</w:t>
      </w:r>
    </w:p>
    <w:p>
      <w:pPr>
        <w:ind w:left="144"/>
      </w:pPr>
      <w:r>
        <w:rPr>
          <w:b/>
          <w:color w:val="B45A00"/>
          <w:sz w:val="16"/>
        </w:rPr>
        <w:t>CONTROLE CONCENTRADO</w:t>
      </w:r>
    </w:p>
    <w:p>
      <w:pPr>
        <w:ind w:left="288"/>
      </w:pPr>
      <w:r>
        <w:rPr>
          <w:color w:val="8C8C8C"/>
          <w:sz w:val="12"/>
        </w:rPr>
        <w:t>cf-art-121</w:t>
      </w:r>
      <w:r>
        <w:rPr>
          <w:color w:val="003CA0"/>
          <w:sz w:val="12"/>
        </w:rPr>
        <w:t xml:space="preserve"> | ADI 5.507</w:t>
      </w:r>
      <w:r>
        <w:rPr>
          <w:color w:val="003CA0"/>
          <w:sz w:val="12"/>
        </w:rPr>
        <w:t xml:space="preserve"> | rel. Dias Toffoli</w:t>
      </w:r>
    </w:p>
    <w:p>
      <w:pPr>
        <w:ind w:left="288"/>
      </w:pPr>
      <w:r>
        <w:rPr>
          <w:color w:val="1E1E1E"/>
          <w:sz w:val="18"/>
        </w:rPr>
        <w:t>A inserção do art. 96-B ao texto da Lei nº 9.504/97 teve como principal objetivo reproduzir entendimento que se consolidou na jurisprudência do Tribunal Superior Eleitoral, a fim de determinar a reunião de ações eleitorais que versem sobre o mesmo fato, confirmando a celeridade da Justiça Eleitoral e reforçando a segurança jurídica, já que evita decisões contraditórias proferidas em juízos diversos. Não se verifica, na espécie, inconstitucionalidade formal por ofensa ao art. 121 do Texto Maior, porquanto o referido dispositivo exige a edição de lei complementar apenas para dispor sobre a organ</w:t>
      </w:r>
    </w:p>
    <w:p>
      <w:pPr>
        <w:ind w:left="288"/>
      </w:pPr>
      <w:r>
        <w:rPr>
          <w:b/>
          <w:color w:val="003CA0"/>
          <w:sz w:val="16"/>
        </w:rPr>
        <w:t>[ADI 5.507, rel. min. Dias Toffoli, j. 5-9-2022, P, DJE de 3-10-2022.]</w:t>
      </w:r>
    </w:p>
    <w:p>
      <w:pPr>
        <w:ind w:left="288"/>
      </w:pPr>
      <w:r>
        <w:rPr>
          <w:color w:val="8C8C8C"/>
          <w:sz w:val="12"/>
        </w:rPr>
        <w:t>cf-art-121</w:t>
      </w:r>
      <w:r>
        <w:rPr>
          <w:color w:val="003CA0"/>
          <w:sz w:val="12"/>
        </w:rPr>
        <w:t xml:space="preserve"> | ADI 4.984</w:t>
      </w:r>
      <w:r>
        <w:rPr>
          <w:color w:val="003CA0"/>
          <w:sz w:val="12"/>
        </w:rPr>
        <w:t xml:space="preserve"> | rel. Alexandre de Moraes</w:t>
      </w:r>
    </w:p>
    <w:p>
      <w:pPr>
        <w:ind w:left="288"/>
      </w:pPr>
      <w:r>
        <w:rPr>
          <w:color w:val="1E1E1E"/>
          <w:sz w:val="18"/>
        </w:rPr>
        <w:t>Os Estados-membros são incompetentes para designar obrigações para a Justiça Eleitoral, que integra a Justiça Federal.</w:t>
        <w:br/>
        <w:t>[ADI 4.984, rel. min. Alexandre de Moraes, j. 12-4-2018, P, DJE de 25-4-2018.] Ação rescisória eleitoral (LC 86, de 14-5-1996, que acrescentou a alínea j ao inciso I do art. 22 do Código Eleitoral). (…) Não ofende a CF a instituição de uma ação rescisória eleitoral, como prevista na alínea j do inciso I do art. 22 do Código Eleitoral (Lei 4.737, de 15-7-1965), acrescentada pelo art. 1º da LC 86, de 14-5-1996. São inconstitucionais, porém, as expressões "possibilitando-se o exe</w:t>
      </w:r>
    </w:p>
    <w:p>
      <w:pPr>
        <w:ind w:left="144"/>
      </w:pPr>
      <w:r>
        <w:rPr>
          <w:b/>
          <w:color w:val="B45A00"/>
          <w:sz w:val="16"/>
        </w:rPr>
        <w:t>JULGADOS CORRELATOS</w:t>
      </w:r>
    </w:p>
    <w:p>
      <w:pPr>
        <w:ind w:left="288"/>
      </w:pPr>
      <w:r>
        <w:rPr>
          <w:color w:val="8C8C8C"/>
          <w:sz w:val="12"/>
        </w:rPr>
        <w:t>cf-art-121</w:t>
      </w:r>
      <w:r>
        <w:rPr>
          <w:color w:val="003CA0"/>
          <w:sz w:val="12"/>
        </w:rPr>
        <w:t xml:space="preserve"> | MS 34.777</w:t>
      </w:r>
      <w:r>
        <w:rPr>
          <w:color w:val="003CA0"/>
          <w:sz w:val="12"/>
        </w:rPr>
        <w:t xml:space="preserve"> | rel. Luiz Fux</w:t>
      </w:r>
    </w:p>
    <w:p>
      <w:pPr>
        <w:ind w:left="288"/>
      </w:pPr>
      <w:r>
        <w:rPr>
          <w:color w:val="1E1E1E"/>
          <w:sz w:val="18"/>
        </w:rPr>
        <w:t>(...) a perda do direito de precedência na hipótese de vagas de suplência reclama a conclusão de processo judicial específico para afastar eventual justa causa e a consequente ilegitimidade do ato, sendo competência exclusiva da Justiça Eleitoral, e não do presidente da Câmara dos Deputados.</w:t>
      </w:r>
    </w:p>
    <w:p>
      <w:pPr>
        <w:ind w:left="288"/>
      </w:pPr>
      <w:r>
        <w:rPr>
          <w:b/>
          <w:color w:val="003CA0"/>
          <w:sz w:val="16"/>
        </w:rPr>
        <w:t>[MS 34.777 AgR, rel. min. Luiz Fux, j. 20-2-2018, P, DJE de 6-3-2018.]</w:t>
      </w:r>
    </w:p>
    <w:p>
      <w:pPr>
        <w:ind w:left="288"/>
      </w:pPr>
      <w:r>
        <w:rPr>
          <w:color w:val="8C8C8C"/>
          <w:sz w:val="12"/>
        </w:rPr>
        <w:t>cf-art-121</w:t>
      </w:r>
      <w:r>
        <w:rPr>
          <w:color w:val="003CA0"/>
          <w:sz w:val="12"/>
        </w:rPr>
        <w:t xml:space="preserve"> | INQ 3.357</w:t>
      </w:r>
      <w:r>
        <w:rPr>
          <w:color w:val="003CA0"/>
          <w:sz w:val="12"/>
        </w:rPr>
        <w:t xml:space="preserve"> | rel. Celso de Mello</w:t>
      </w:r>
    </w:p>
    <w:p>
      <w:pPr>
        <w:ind w:left="288"/>
      </w:pPr>
      <w:r>
        <w:rPr>
          <w:color w:val="1E1E1E"/>
          <w:sz w:val="18"/>
        </w:rPr>
        <w:t>(...) a competência penal originária do TRE para processar e julgar, nos crimes eleitorais, agentes públicos que detêm, em razão de seu ofício, prerrogativa de foro perante o tribunal de justiça estadual (como os deputados estaduais e os prefeitos municipais, p. ex.) tem sido reconhecida por esta Suprema Corte, na linha da diretriz consagrada na Súmula 702/STF.</w:t>
      </w:r>
    </w:p>
    <w:p>
      <w:pPr>
        <w:ind w:left="288"/>
      </w:pPr>
      <w:r>
        <w:rPr>
          <w:b/>
          <w:color w:val="003CA0"/>
          <w:sz w:val="16"/>
        </w:rPr>
        <w:t>[Inq 3.357, rel. min. Celso de Mello, j. 25-3-2014, dec. monocrática, DJE de 22-4-2014.]</w:t>
      </w:r>
    </w:p>
    <w:p>
      <w:pPr>
        <w:ind w:left="288"/>
      </w:pPr>
      <w:r>
        <w:rPr>
          <w:color w:val="8C8C8C"/>
          <w:sz w:val="12"/>
        </w:rPr>
        <w:t>cf-art-121</w:t>
      </w:r>
      <w:r>
        <w:rPr>
          <w:color w:val="003CA0"/>
          <w:sz w:val="12"/>
        </w:rPr>
        <w:t xml:space="preserve"> | MS 26.604</w:t>
      </w:r>
      <w:r>
        <w:rPr>
          <w:color w:val="003CA0"/>
          <w:sz w:val="12"/>
        </w:rPr>
        <w:t xml:space="preserve"> | rel. Cármen Lúcia</w:t>
      </w:r>
    </w:p>
    <w:p>
      <w:pPr>
        <w:ind w:left="288"/>
      </w:pPr>
      <w:r>
        <w:rPr>
          <w:color w:val="1E1E1E"/>
          <w:sz w:val="18"/>
        </w:rPr>
        <w:t>Mandado de segurança contra ato do presidente da Câmara dos Deputados. Vacância dos cargos de deputado federal dos litisconsortes passivos, deputados federais eleitos pelo partido impetrante e transferidos, por vontade própria, para outra agremiação no curso do mandato. (...) Resposta do TSE a consulta eleitoral não tem natureza jurisdicional nem efeito vinculante. Mandado de segurança impetrado contra ato concreto praticado pelo presidente da Câmara dos Deputados, sem relação de dependência necessária com a resposta à Consulta 1.398 do TSE. O Código Eleitoral, recepcionado como lei material c</w:t>
      </w:r>
    </w:p>
    <w:p>
      <w:pPr>
        <w:ind w:left="288"/>
      </w:pPr>
      <w:r>
        <w:rPr>
          <w:b/>
          <w:color w:val="003CA0"/>
          <w:sz w:val="16"/>
        </w:rPr>
        <w:t>[MS 26.604, rel. min. Cármen Lúcia, j. 4-10-2007, P, DJE de 3-10-2008.]</w:t>
      </w:r>
    </w:p>
    <w:p>
      <w:pPr>
        <w:ind w:left="288"/>
      </w:pPr>
      <w:r>
        <w:rPr>
          <w:color w:val="8C8C8C"/>
          <w:sz w:val="12"/>
        </w:rPr>
        <w:t>cf-art-121</w:t>
      </w:r>
      <w:r>
        <w:rPr>
          <w:color w:val="003CA0"/>
          <w:sz w:val="12"/>
        </w:rPr>
        <w:t xml:space="preserve"> | RE 398.042</w:t>
      </w:r>
      <w:r>
        <w:rPr>
          <w:color w:val="003CA0"/>
          <w:sz w:val="12"/>
        </w:rPr>
        <w:t xml:space="preserve"> | rel. Sepúlveda Pertence</w:t>
      </w:r>
    </w:p>
    <w:p>
      <w:pPr>
        <w:ind w:left="288"/>
      </w:pPr>
      <w:r>
        <w:rPr>
          <w:color w:val="1E1E1E"/>
          <w:sz w:val="18"/>
        </w:rPr>
        <w:t>Firme a jurisprudência do Supremo Tribunal no sentido de que a única ressalva à competência por prerrogativa de função do tribunal de justiça para julgar juízes estaduais, nos crimes comuns e de responsabilidade, é a competência da Justiça Eleitoral. Precedentes.</w:t>
      </w:r>
    </w:p>
    <w:p>
      <w:pPr>
        <w:ind w:left="288"/>
      </w:pPr>
      <w:r>
        <w:rPr>
          <w:b/>
          <w:color w:val="003CA0"/>
          <w:sz w:val="16"/>
        </w:rPr>
        <w:t>[RE 398.042, rel. min. Sepúlveda Pertence, j. 2-12-2003, 1ª T, DJ de 6-2-2004.]</w:t>
      </w:r>
    </w:p>
    <w:p>
      <w:pPr>
        <w:ind w:left="288"/>
      </w:pPr>
      <w:r>
        <w:rPr>
          <w:color w:val="8C8C8C"/>
          <w:sz w:val="12"/>
        </w:rPr>
        <w:t>cf-art-121</w:t>
      </w:r>
      <w:r>
        <w:rPr>
          <w:color w:val="003CA0"/>
          <w:sz w:val="12"/>
        </w:rPr>
        <w:t xml:space="preserve"> | RMS 23.244</w:t>
      </w:r>
      <w:r>
        <w:rPr>
          <w:color w:val="003CA0"/>
          <w:sz w:val="12"/>
        </w:rPr>
        <w:t xml:space="preserve"> | rel. Moreira Alves</w:t>
      </w:r>
    </w:p>
    <w:p>
      <w:pPr>
        <w:ind w:left="288"/>
      </w:pPr>
      <w:r>
        <w:rPr>
          <w:color w:val="1E1E1E"/>
          <w:sz w:val="18"/>
        </w:rPr>
        <w:t>Em si mesmo conflito entre órgãos do mesmo partido político não constitui matéria eleitoral para caracterizar a competência da Justiça especializada, a menos que possa configurar hipótese em que ele tenha ingerência direta no processo eleitoral, o que, no caso, não ocorre, não se configurando tal hipótese, como pretende o parecer da PGR, pela simples circunstância de a dissolução do diretório partidário estadual, que, se existente, participa da escolha dos candidatos aos mandatos regionais, se ter verificado em ano eleitoral.</w:t>
      </w:r>
    </w:p>
    <w:p>
      <w:pPr>
        <w:ind w:left="288"/>
      </w:pPr>
      <w:r>
        <w:rPr>
          <w:b/>
          <w:color w:val="003CA0"/>
          <w:sz w:val="16"/>
        </w:rPr>
        <w:t>[RMS 23.244, rel. min. Moreira Alves, j. 6-4-1999, 1ª T, DJ de 28-5-1999.]</w:t>
      </w:r>
    </w:p>
    <w:p>
      <w:pPr>
        <w:ind w:left="288"/>
      </w:pPr>
      <w:r>
        <w:rPr>
          <w:color w:val="8C8C8C"/>
          <w:sz w:val="12"/>
        </w:rPr>
        <w:t>cf-art-121</w:t>
      </w:r>
      <w:r>
        <w:rPr>
          <w:color w:val="003CA0"/>
          <w:sz w:val="12"/>
        </w:rPr>
        <w:t xml:space="preserve"> | MS 22.087</w:t>
      </w:r>
      <w:r>
        <w:rPr>
          <w:color w:val="003CA0"/>
          <w:sz w:val="12"/>
        </w:rPr>
        <w:t xml:space="preserve"> | rel. Carlos Velloso</w:t>
      </w:r>
    </w:p>
    <w:p>
      <w:pPr>
        <w:ind w:left="288"/>
      </w:pPr>
      <w:r>
        <w:rPr>
          <w:color w:val="1E1E1E"/>
          <w:sz w:val="18"/>
        </w:rPr>
        <w:t>Inclusão em lista para remessa ao órgão da Justiça Eleitoral do nome do administrador público que teve suas contas rejeitadas pelo TCU, além de lhe ser aplicada a pena de multa. Inocorrência de dupla punição, dado que a inclusão do nome do administrador público na lista não configura punição. Inelegibilidade não constitui pena. Possibilidade, portanto, de aplicação da lei de inelegibilidade, LC 64/1990, a fatos ocorridos anteriormente a sua vigência. À Justiça Eleitoral compete formular juízo de valor a respeito das irregularidades apontadas pelo Tribunal de Contas, vale dizer, se as irregular</w:t>
      </w:r>
    </w:p>
    <w:p>
      <w:pPr>
        <w:ind w:left="288"/>
      </w:pPr>
      <w:r>
        <w:rPr>
          <w:b/>
          <w:color w:val="003CA0"/>
          <w:sz w:val="16"/>
        </w:rPr>
        <w:t>[MS 22.087, rel. min. Carlos Velloso, j. 28-3-1996, P, DJ de 10-5-1996.]</w:t>
      </w:r>
    </w:p>
    <w:p>
      <w:pPr>
        <w:ind w:left="288"/>
      </w:pPr>
      <w:r>
        <w:rPr>
          <w:color w:val="8C8C8C"/>
          <w:sz w:val="12"/>
        </w:rPr>
        <w:t>cf-art-121</w:t>
      </w:r>
      <w:r>
        <w:rPr>
          <w:color w:val="003CA0"/>
          <w:sz w:val="12"/>
        </w:rPr>
        <w:t xml:space="preserve"> | MS 24.991</w:t>
      </w:r>
      <w:r>
        <w:rPr>
          <w:color w:val="003CA0"/>
          <w:sz w:val="12"/>
        </w:rPr>
        <w:t xml:space="preserve"> | rel. Gilmar Mendes</w:t>
      </w:r>
    </w:p>
    <w:p>
      <w:pPr>
        <w:ind w:left="288"/>
      </w:pPr>
      <w:r>
        <w:rPr>
          <w:color w:val="1E1E1E"/>
          <w:sz w:val="18"/>
        </w:rPr>
        <w:t>= MS 24.991, rel. min. Gilmar Mendes, j. 22-6-2006, P, DJ de 22-6-2006 Dirigida a arguição de suspeição à maioria dos juízes efetivos do TRE, por fundamentos comuns a todos os exceptos, desloca-se para o STF a competência originária para processar e julgar a própria exceção e não apenas o agravo regimental da decisão do relator, na Corte de origem, que liminarmente a rejeitara: incidente, em tal hipótese, o art. 102, I, n, CF, não cabe declinar da competência questionada para o TSE, ainda que, em recurso pendente e de sua competência, se tenha preliminarmente alegado a suspeição objeto da exce</w:t>
      </w:r>
    </w:p>
    <w:p>
      <w:pPr>
        <w:ind w:left="288"/>
      </w:pPr>
      <w:r>
        <w:rPr>
          <w:b/>
          <w:color w:val="003CA0"/>
          <w:sz w:val="16"/>
        </w:rPr>
        <w:t>[AO 202 QO, rel. min. Sepúlveda Pertence, j. 3-11-1993, P, DJ de 11-3-1994.]</w:t>
      </w:r>
    </w:p>
    <w:p>
      <w:pPr>
        <w:ind w:left="144"/>
      </w:pPr>
      <w:r>
        <w:rPr>
          <w:b/>
          <w:color w:val="B45A00"/>
          <w:sz w:val="16"/>
        </w:rPr>
        <w:t>CONTROLE CONCENTRADO</w:t>
      </w:r>
    </w:p>
    <w:p>
      <w:pPr>
        <w:ind w:left="288"/>
      </w:pPr>
      <w:r>
        <w:rPr>
          <w:color w:val="8C8C8C"/>
          <w:sz w:val="12"/>
        </w:rPr>
        <w:t>cf-art-121-par-2</w:t>
      </w:r>
      <w:r>
        <w:rPr>
          <w:color w:val="003CA0"/>
          <w:sz w:val="12"/>
        </w:rPr>
        <w:t xml:space="preserve"> | ADI 2.993</w:t>
      </w:r>
      <w:r>
        <w:rPr>
          <w:color w:val="003CA0"/>
          <w:sz w:val="12"/>
        </w:rPr>
        <w:t xml:space="preserve"> | rel. Carlos Velloso</w:t>
      </w:r>
    </w:p>
    <w:p>
      <w:pPr>
        <w:ind w:left="288"/>
      </w:pPr>
      <w:r>
        <w:rPr>
          <w:color w:val="1E1E1E"/>
          <w:sz w:val="18"/>
        </w:rPr>
        <w:t>O parágrafo único do art. 5º da Resolução 615/2002 do TRE/MG estabelece que nenhum juiz poderá voltar a integrar o Tribunal na mesma classe ou em classe diversa, por dois biênios consecutivos. Inconstitucionalidade: a norma proíbe quando a Constituição faculta ao juiz servir por dois biênios consecutivos. CF, art. 121, § 2º. Ademais, não cabe ao TRE a escolha dos seus juízes. Essa escolha cabe ao tribunal de justiça, mediante eleição, pelo voto secreto: CF, art. 120, § 1º, I, a e b, II e III. A norma regimental do TRE condiciona, pois, ao tribunal incumbido da escolha, certo que a Constituição</w:t>
      </w:r>
    </w:p>
    <w:p>
      <w:pPr>
        <w:ind w:left="288"/>
      </w:pPr>
      <w:r>
        <w:rPr>
          <w:b/>
          <w:color w:val="003CA0"/>
          <w:sz w:val="16"/>
        </w:rPr>
        <w:t>[ADI 2.993, rel. min. Carlos Velloso, j. 10-12-2003, P, DJ de 12-3-2004.]</w:t>
      </w:r>
    </w:p>
    <w:p>
      <w:pPr>
        <w:ind w:left="288"/>
      </w:pPr>
      <w:r>
        <w:rPr>
          <w:color w:val="8C8C8C"/>
          <w:sz w:val="12"/>
        </w:rPr>
        <w:t>cf-art-121-par-2</w:t>
      </w:r>
      <w:r>
        <w:rPr>
          <w:color w:val="003CA0"/>
          <w:sz w:val="12"/>
        </w:rPr>
        <w:t xml:space="preserve"> | RCL 4.587</w:t>
      </w:r>
      <w:r>
        <w:rPr>
          <w:color w:val="003CA0"/>
          <w:sz w:val="12"/>
        </w:rPr>
        <w:t xml:space="preserve"> | rel. Sepúlveda Pertence</w:t>
      </w:r>
    </w:p>
    <w:p>
      <w:pPr>
        <w:ind w:left="288"/>
      </w:pPr>
      <w:r>
        <w:rPr>
          <w:color w:val="1E1E1E"/>
          <w:sz w:val="18"/>
        </w:rPr>
        <w:t>= Rcl 4.587, rel. min. Sepúlveda Pertence, j. 19-12-2006, P, DJ de 23-3-2007</w:t>
      </w:r>
    </w:p>
    <w:p>
      <w:pPr>
        <w:ind w:left="144"/>
      </w:pPr>
      <w:r>
        <w:rPr>
          <w:b/>
          <w:color w:val="B45A00"/>
          <w:sz w:val="16"/>
        </w:rPr>
        <w:t>JULGADOS CORRELATOS</w:t>
      </w:r>
    </w:p>
    <w:p>
      <w:pPr>
        <w:ind w:left="288"/>
      </w:pPr>
      <w:r>
        <w:rPr>
          <w:color w:val="8C8C8C"/>
          <w:sz w:val="12"/>
        </w:rPr>
        <w:t>cf-art-121-par-3</w:t>
      </w:r>
      <w:r>
        <w:rPr>
          <w:color w:val="003CA0"/>
          <w:sz w:val="12"/>
        </w:rPr>
        <w:t xml:space="preserve"> | AI 164.491</w:t>
      </w:r>
      <w:r>
        <w:rPr>
          <w:color w:val="003CA0"/>
          <w:sz w:val="12"/>
        </w:rPr>
        <w:t xml:space="preserve"> | rel. Sydney Sanches</w:t>
      </w:r>
    </w:p>
    <w:p>
      <w:pPr>
        <w:ind w:left="288"/>
      </w:pPr>
      <w:r>
        <w:rPr>
          <w:color w:val="1E1E1E"/>
          <w:sz w:val="18"/>
        </w:rPr>
        <w:t>Contra acórdão de TRE somente cabe recurso para o TSE, mesmo que nele se discuta matéria constitucional. É o que se extrai do disposto no art. 121, caput, e seu § 4º, I, da CF de 1988, e nos arts. 22, II, e 276, I e II, do Código Eleitoral (Lei 4.737, de 15-7-1965). No âmbito da Justiça Eleitoral, somente os acórdãos do TSE é que podem ser impugnados, perante o STF, em recurso extraordinário (arts. 121, § 3º, e 102, III, a, b e c, da CF).</w:t>
      </w:r>
    </w:p>
    <w:p>
      <w:pPr>
        <w:ind w:left="288"/>
      </w:pPr>
      <w:r>
        <w:rPr>
          <w:b/>
          <w:color w:val="003CA0"/>
          <w:sz w:val="16"/>
        </w:rPr>
        <w:t>[AI 164.491 AgR, rel. min. Sydney Sanches, j. 18-12-1995, 1ª T, DJ de 22-3-1996.]</w:t>
      </w:r>
    </w:p>
    <w:p>
      <w:pPr>
        <w:ind w:left="288"/>
      </w:pPr>
      <w:r>
        <w:rPr>
          <w:color w:val="8C8C8C"/>
          <w:sz w:val="12"/>
        </w:rPr>
        <w:t>cf-art-121-par-4</w:t>
      </w:r>
      <w:r>
        <w:rPr>
          <w:color w:val="003CA0"/>
          <w:sz w:val="12"/>
        </w:rPr>
        <w:t xml:space="preserve"> | AI 477.243</w:t>
      </w:r>
      <w:r>
        <w:rPr>
          <w:color w:val="003CA0"/>
          <w:sz w:val="12"/>
        </w:rPr>
        <w:t xml:space="preserve"> | rel. Marco Aurélio</w:t>
      </w:r>
    </w:p>
    <w:p>
      <w:pPr>
        <w:ind w:left="288"/>
      </w:pPr>
      <w:r>
        <w:rPr>
          <w:color w:val="1E1E1E"/>
          <w:sz w:val="18"/>
        </w:rPr>
        <w:t>O acesso a esta Corte, considerada decisão proferida pela jurisdição cível ou penal eleitoral, pressupõe o esgotamento dos recursos em tal âmbito. Pronunciamento de TRE não é passível de impugnação simultânea mediante os recursos especial, para o TSE, e extraordinário, para o Supremo.</w:t>
      </w:r>
    </w:p>
    <w:p>
      <w:pPr>
        <w:ind w:left="288"/>
      </w:pPr>
      <w:r>
        <w:rPr>
          <w:b/>
          <w:color w:val="003CA0"/>
          <w:sz w:val="16"/>
        </w:rPr>
        <w:t>[AI 477.243 AgR, rel. min. Marco Aurélio, j. 30-6-2009, 1ª T, DJE de 28-8-2009.]</w:t>
      </w:r>
    </w:p>
    <w:p>
      <w:pPr>
        <w:ind w:left="288"/>
      </w:pPr>
      <w:r>
        <w:rPr>
          <w:color w:val="8C8C8C"/>
          <w:sz w:val="12"/>
        </w:rPr>
        <w:t>cf-art-121-par-4</w:t>
      </w:r>
      <w:r>
        <w:rPr>
          <w:color w:val="003CA0"/>
          <w:sz w:val="12"/>
        </w:rPr>
        <w:t xml:space="preserve"> | HC 88.769</w:t>
      </w:r>
      <w:r>
        <w:rPr>
          <w:color w:val="003CA0"/>
          <w:sz w:val="12"/>
        </w:rPr>
        <w:t xml:space="preserve"> | rel. Ellen Gracie</w:t>
      </w:r>
    </w:p>
    <w:p>
      <w:pPr>
        <w:ind w:left="288"/>
      </w:pPr>
      <w:r>
        <w:rPr>
          <w:color w:val="1E1E1E"/>
          <w:sz w:val="18"/>
        </w:rPr>
        <w:t>De acordo com a estrutura da Justiça Eleitoral brasileira, é competente o TSE para conhecer e julgar habeas corpus impetrado contra ato supostamente ilegal ou abusivo, perpetrado por qualquer dos órgãos fracionários do TRE, no caso, a Presidência da Corte regional. O STF, em algumas oportunidades, já assentou a orientação acerca da competência do TSE para processar e julgar habeas corpus quando a autoridade apontada como coatora for o presidente do TSE (...) ou quando o ato coator consistir em decisão condenatória do TRE (...), nos termos do art. 121, § 4º, da CF, e art. 22, I, e, do Código El</w:t>
      </w:r>
    </w:p>
    <w:p>
      <w:pPr>
        <w:ind w:left="288"/>
      </w:pPr>
      <w:r>
        <w:rPr>
          <w:b/>
          <w:color w:val="003CA0"/>
          <w:sz w:val="16"/>
        </w:rPr>
        <w:t>[HC 88.769, rel. min. Ellen Gracie, j. 9-9-2008, 2ª T, DJE de 26-9-2008.]</w:t>
      </w:r>
    </w:p>
    <w:p>
      <w:pPr>
        <w:ind w:left="288"/>
      </w:pPr>
      <w:r>
        <w:rPr>
          <w:color w:val="8C8C8C"/>
          <w:sz w:val="12"/>
        </w:rPr>
        <w:t>cf-art-121-par-4</w:t>
      </w:r>
      <w:r>
        <w:rPr>
          <w:color w:val="003CA0"/>
          <w:sz w:val="12"/>
        </w:rPr>
        <w:t xml:space="preserve"> | RE 247.416</w:t>
      </w:r>
      <w:r>
        <w:rPr>
          <w:color w:val="003CA0"/>
          <w:sz w:val="12"/>
        </w:rPr>
        <w:t xml:space="preserve"> | rel. Celso de Mello</w:t>
      </w:r>
    </w:p>
    <w:p>
      <w:pPr>
        <w:ind w:left="288"/>
      </w:pPr>
      <w:r>
        <w:rPr>
          <w:color w:val="1E1E1E"/>
          <w:sz w:val="18"/>
        </w:rPr>
        <w:t>O STF – reputando essencial impedir que a interposição sucessiva de recursos, destituídos de fundamento juridicamente idôneo, culmine por gerar inaceitável procrastinação do encerramento da causa – tem admitido, em caráter excepcional, notadamente quando se tratar de processos eleitorais, que se proceda ao imediato cumprimento da decisão recorrida, independentemente da publicação de acórdão e de eventual oposição ulterior de embargos de declaração. Precedentes.</w:t>
      </w:r>
    </w:p>
    <w:p>
      <w:pPr>
        <w:ind w:left="288"/>
      </w:pPr>
      <w:r>
        <w:rPr>
          <w:b/>
          <w:color w:val="003CA0"/>
          <w:sz w:val="16"/>
        </w:rPr>
        <w:t>[RE 247.416 EDv-ED-AgR, rel. min. Celso de Mello, j. 29-6-2000, P, DJ de 24-11-2000.]</w:t>
      </w:r>
    </w:p>
    <w:p>
      <w:pPr>
        <w:ind w:left="288"/>
      </w:pPr>
      <w:r>
        <w:rPr>
          <w:color w:val="8C8C8C"/>
          <w:sz w:val="12"/>
        </w:rPr>
        <w:t>cf-art-121-par-4</w:t>
      </w:r>
      <w:r>
        <w:rPr>
          <w:color w:val="003CA0"/>
          <w:sz w:val="12"/>
        </w:rPr>
        <w:t xml:space="preserve"> | AI 260.266</w:t>
      </w:r>
      <w:r>
        <w:rPr>
          <w:color w:val="003CA0"/>
          <w:sz w:val="12"/>
        </w:rPr>
        <w:t xml:space="preserve"> | rel. Sepúlveda Pertence</w:t>
      </w:r>
    </w:p>
    <w:p>
      <w:pPr>
        <w:ind w:left="288"/>
      </w:pPr>
      <w:r>
        <w:rPr>
          <w:color w:val="1E1E1E"/>
          <w:sz w:val="18"/>
        </w:rPr>
        <w:t>= AI 260.266 AgR-ED-ED, rel. min. Sepúlveda Pertence, j. 15-5-2000, 1ª T, DJ de 16-6-2000 = RE 179.502 ED-terceiro, rel. min. Moreira Alves, j. 7-12-1995, P, DJ de 8-9-2000</w:t>
      </w:r>
    </w:p>
    <w:p>
      <w:pPr>
        <w:ind w:left="288"/>
      </w:pPr>
      <w:r>
        <w:rPr>
          <w:color w:val="8C8C8C"/>
          <w:sz w:val="12"/>
        </w:rPr>
        <w:t>cf-art-121-par-4-inc-I</w:t>
      </w:r>
      <w:r>
        <w:rPr>
          <w:color w:val="003CA0"/>
          <w:sz w:val="12"/>
        </w:rPr>
        <w:t xml:space="preserve"> | AI 164.491</w:t>
      </w:r>
      <w:r>
        <w:rPr>
          <w:color w:val="003CA0"/>
          <w:sz w:val="12"/>
        </w:rPr>
        <w:t xml:space="preserve"> | rel. Sydney Sanches</w:t>
      </w:r>
    </w:p>
    <w:p>
      <w:pPr>
        <w:ind w:left="288"/>
      </w:pPr>
      <w:r>
        <w:rPr>
          <w:color w:val="1E1E1E"/>
          <w:sz w:val="18"/>
        </w:rPr>
        <w:t>Contra acórdão de TRE somente cabe recurso para o TSE, mesmo que nele se discuta matéria constitucional. É o que se extrai do disposto no art. 121, caput, e seu § 4º, I, da CF de 1988, e nos arts. 22, II, e 276, I e II, do Código Eleitoral (Lei 4.737, de 15-7-1965). No âmbito da Justiça Eleitoral, somente os acórdãos do TSE é que podem ser impugnados, perante o STF, em recurso extraordinário (arts. 121, § 3º, e 102, III, a, b e c, da CF).</w:t>
      </w:r>
    </w:p>
    <w:p>
      <w:pPr>
        <w:ind w:left="288"/>
      </w:pPr>
      <w:r>
        <w:rPr>
          <w:b/>
          <w:color w:val="003CA0"/>
          <w:sz w:val="16"/>
        </w:rPr>
        <w:t>[AI 164.491 AgR, rel. min. Sydney Sanches, j. 18-12-1995, 1ª T, DJ de 22-3-1996.]</w:t>
      </w:r>
    </w:p>
    <w:p>
      <w:pPr>
        <w:ind w:left="144"/>
      </w:pPr>
      <w:r>
        <w:rPr>
          <w:b/>
          <w:color w:val="B45A00"/>
          <w:sz w:val="16"/>
        </w:rPr>
        <w:t>CONTROLE CONCENTRADO</w:t>
      </w:r>
    </w:p>
    <w:p>
      <w:pPr>
        <w:ind w:left="288"/>
      </w:pPr>
      <w:r>
        <w:rPr>
          <w:color w:val="8C8C8C"/>
          <w:sz w:val="12"/>
        </w:rPr>
        <w:t>cf-art-121-par-4-inc-III</w:t>
      </w:r>
      <w:r>
        <w:rPr>
          <w:color w:val="003CA0"/>
          <w:sz w:val="12"/>
        </w:rPr>
        <w:t xml:space="preserve"> | ADPF 167</w:t>
      </w:r>
      <w:r>
        <w:rPr>
          <w:color w:val="003CA0"/>
          <w:sz w:val="12"/>
        </w:rPr>
        <w:t xml:space="preserve"> | rel. Luiz Fux</w:t>
      </w:r>
    </w:p>
    <w:p>
      <w:pPr>
        <w:ind w:left="288"/>
      </w:pPr>
      <w:r>
        <w:rPr>
          <w:color w:val="1E1E1E"/>
          <w:sz w:val="18"/>
        </w:rPr>
        <w:t xml:space="preserve">O Tribunal Superior Eleitoral é o órgão competente para julgar os Recursos Contra a Expedição de Diploma (RCED) nas eleições presidenciais e gerais (federais e estaduais). O Recurso Contra a Expedição de Diploma (RCED) é demanda por meio da qual se objetiva a cassação ou denegação do diploma do eleito ante a alegação de inelegibilidade de cunho infraconstitucional superveniente ao requerimento de registro da candidatura, inelegibilidade de natureza constitucional ou ausência de condições de elegibilidade, ex vi do art. 262 do Código Eleitoral, na redação conferida pela Lei 12.891/2013. O art. </w:t>
      </w:r>
    </w:p>
    <w:p>
      <w:pPr>
        <w:ind w:left="144"/>
      </w:pPr>
      <w:r>
        <w:rPr>
          <w:b/>
          <w:color w:val="B45A00"/>
          <w:sz w:val="16"/>
        </w:rPr>
        <w:t>JULGADOS CORRELATOS</w:t>
      </w:r>
    </w:p>
    <w:p>
      <w:pPr>
        <w:ind w:left="288"/>
      </w:pPr>
      <w:r>
        <w:rPr>
          <w:color w:val="8C8C8C"/>
          <w:sz w:val="12"/>
        </w:rPr>
        <w:t>cf-art-121-par-4-inc-IV</w:t>
      </w:r>
      <w:r>
        <w:rPr>
          <w:color w:val="003CA0"/>
          <w:sz w:val="12"/>
        </w:rPr>
        <w:t xml:space="preserve"> | AP 933</w:t>
      </w:r>
      <w:r>
        <w:rPr>
          <w:color w:val="003CA0"/>
          <w:sz w:val="12"/>
        </w:rPr>
        <w:t xml:space="preserve"> | rel. Dias Toffoli</w:t>
      </w:r>
    </w:p>
    <w:p>
      <w:pPr>
        <w:ind w:left="288"/>
      </w:pPr>
      <w:r>
        <w:rPr>
          <w:color w:val="1E1E1E"/>
          <w:sz w:val="18"/>
        </w:rPr>
        <w:t>Procedimento instituído pela Lei 11.719/2008, que alterou o CPP. Aplicação em matéria eleitoral, em primeiro grau de jurisdição. Admissibilidade. (...) Crime eleitoral. Imputação a prefeito. Foro, por prerrogativa de função, junto ao TRE. Competência dessa Corte para supervisionar as investigações. Súmula 702 do STF. Apuração criminal em primeiro grau de jurisdição, com indiciamento do prefeito. Inadmissibilidade. Usurpação de competência caracterizada. Impossibilidade de os elementos colhidos nesse inquérito servirem de substrato probatório válido para embasar a denúncia contra o titular de p</w:t>
      </w:r>
    </w:p>
    <w:p>
      <w:pPr>
        <w:ind w:left="288"/>
      </w:pPr>
      <w:r>
        <w:rPr>
          <w:b/>
          <w:color w:val="003CA0"/>
          <w:sz w:val="16"/>
        </w:rPr>
        <w:t>[AP 933 QO, rel. min. Dias Toffoli, j. 6-10-2015, 2ª T, DJE de 3-2-2016.]</w:t>
      </w:r>
    </w:p>
    <w:p>
      <w:pPr>
        <w:ind w:left="288"/>
      </w:pPr>
      <w:r>
        <w:rPr>
          <w:color w:val="8C8C8C"/>
          <w:sz w:val="12"/>
        </w:rPr>
        <w:t>cf-art-121-par-4-inc-V</w:t>
      </w:r>
      <w:r>
        <w:rPr>
          <w:color w:val="003CA0"/>
          <w:sz w:val="12"/>
        </w:rPr>
        <w:t xml:space="preserve"> | HC 107.795</w:t>
      </w:r>
      <w:r>
        <w:rPr>
          <w:color w:val="003CA0"/>
          <w:sz w:val="12"/>
        </w:rPr>
        <w:t xml:space="preserve"> | rel. Celso de Mello</w:t>
      </w:r>
    </w:p>
    <w:p>
      <w:pPr>
        <w:ind w:left="288"/>
      </w:pPr>
      <w:r>
        <w:rPr>
          <w:color w:val="1E1E1E"/>
          <w:sz w:val="18"/>
        </w:rPr>
        <w:t>Crime eleitoral. Procedimento penal definido pelo próprio Código Eleitoral (lex specialis). Pretendida observância do novo iter procedimental estabelecido pela reforma processual penal de 2008, que introduziu alterações no CPP (lex generalis). (...) Nova ordem ritual que, por revelar-se mais favorável ao acusado (CPP, arts. 396 e 396-A, na redação dada pela Lei 11.719/2008), deveria reger o procedimento penal, não obstante disciplinado em legislação especial, nos casos de crime eleitoral. Plausibilidade jurídica dessa postulação. (...) a previsão do contraditório prévio a que se referem os art</w:t>
      </w:r>
    </w:p>
    <w:p>
      <w:pPr>
        <w:ind w:left="288"/>
      </w:pPr>
      <w:r>
        <w:rPr>
          <w:b/>
          <w:color w:val="003CA0"/>
          <w:sz w:val="16"/>
        </w:rPr>
        <w:t>[HC 107.795 MC, rel. min. Celso de Mello, j. 28-10-2011, dec. monocrática, DJE de 7-11-2011.]</w:t>
      </w:r>
    </w:p>
    <w:p>
      <w:pPr>
        <w:ind w:left="288"/>
      </w:pPr>
      <w:r>
        <w:rPr>
          <w:color w:val="8C8C8C"/>
          <w:sz w:val="12"/>
        </w:rPr>
        <w:t>cf-art-121-par-4-inc-V</w:t>
      </w:r>
    </w:p>
    <w:p>
      <w:pPr>
        <w:ind w:left="288"/>
      </w:pPr>
      <w:r>
        <w:rPr>
          <w:color w:val="1E1E1E"/>
          <w:sz w:val="18"/>
        </w:rPr>
        <w:t>Seção VII Dos Tribunais e Juízes Militares SUMÁRIO</w:t>
      </w:r>
    </w:p>
    <w:p>
      <w:r>
        <w:rPr>
          <w:b/>
          <w:color w:val="003366"/>
          <w:sz w:val="20"/>
        </w:rPr>
        <w:t>Art. 122 As transferências financeiras realizadas pelo Fundo Nacional de Saúde e</w:t>
      </w:r>
      <w:r>
        <w:rPr>
          <w:color w:val="8C8C8C"/>
          <w:sz w:val="14"/>
        </w:rPr>
        <w:t xml:space="preserve">  [2 decisoes]</w:t>
      </w:r>
    </w:p>
    <w:p>
      <w:pPr>
        <w:ind w:left="144"/>
      </w:pPr>
      <w:r>
        <w:rPr>
          <w:b/>
          <w:color w:val="B45A00"/>
          <w:sz w:val="16"/>
        </w:rPr>
        <w:t>CONTROLE CONCENTRADO</w:t>
      </w:r>
    </w:p>
    <w:p>
      <w:pPr>
        <w:ind w:left="288"/>
      </w:pPr>
      <w:r>
        <w:rPr>
          <w:color w:val="8C8C8C"/>
          <w:sz w:val="12"/>
        </w:rPr>
        <w:t>cf-art-122-inc-II</w:t>
      </w:r>
      <w:r>
        <w:rPr>
          <w:color w:val="003CA0"/>
          <w:sz w:val="12"/>
        </w:rPr>
        <w:t xml:space="preserve"> | ADI 4.360</w:t>
      </w:r>
      <w:r>
        <w:rPr>
          <w:color w:val="003CA0"/>
          <w:sz w:val="12"/>
        </w:rPr>
        <w:t xml:space="preserve"> | rel. Edson Fachin</w:t>
      </w:r>
    </w:p>
    <w:p>
      <w:pPr>
        <w:ind w:left="288"/>
      </w:pPr>
      <w:r>
        <w:rPr>
          <w:color w:val="1E1E1E"/>
          <w:sz w:val="18"/>
        </w:rPr>
        <w:t xml:space="preserve">O art. 122, II, da CRFB, ao condicionar a existência de Tribunais e Juízes Militares à instituição por lei, revela-se como norma constitucional de eficácia jurídica limitada de princípio institutivo facultativa, conforme a clássica classificação de José Afonso da Silva. Embora se trate de norma topologicamente referente à Justiça Militar da União, trata-se também de norma de reprodução obrigatória, de modo que a existência ou não dos Tribunais Militares, ainda que previstos na Constituição Estadual, depende também da instituição (no caso, recepcão) por lei de iniciativa do Tribunal de Justiça </w:t>
      </w:r>
    </w:p>
    <w:p>
      <w:pPr>
        <w:ind w:left="144"/>
      </w:pPr>
      <w:r>
        <w:rPr>
          <w:b/>
          <w:color w:val="B45A00"/>
          <w:sz w:val="16"/>
        </w:rPr>
        <w:t>JULGADOS CORRELATOS</w:t>
      </w:r>
    </w:p>
    <w:p>
      <w:pPr>
        <w:ind w:left="288"/>
      </w:pPr>
      <w:r>
        <w:rPr>
          <w:color w:val="8C8C8C"/>
          <w:sz w:val="12"/>
        </w:rPr>
        <w:t>cf-art-122-inc-II</w:t>
      </w:r>
      <w:r>
        <w:rPr>
          <w:color w:val="003CA0"/>
          <w:sz w:val="12"/>
        </w:rPr>
        <w:t xml:space="preserve"> | HC 67.931</w:t>
      </w:r>
      <w:r>
        <w:rPr>
          <w:color w:val="003CA0"/>
          <w:sz w:val="12"/>
        </w:rPr>
        <w:t xml:space="preserve"> | rel. Moreira Alves</w:t>
      </w:r>
    </w:p>
    <w:p>
      <w:pPr>
        <w:ind w:left="288"/>
      </w:pPr>
      <w:r>
        <w:rPr>
          <w:color w:val="1E1E1E"/>
          <w:sz w:val="18"/>
        </w:rPr>
        <w:t>Não é incompatível com a atual Constituição a composição, por um capitão e por dois oficiais de menor posto, dos conselhos de justiça nos corpos, formações e estabelecimentos militares. A legislação ordinária anterior, portanto, não foi derrogada, nesse ponto, pela Constituição em vigor.</w:t>
      </w:r>
    </w:p>
    <w:p>
      <w:pPr>
        <w:ind w:left="288"/>
      </w:pPr>
      <w:r>
        <w:rPr>
          <w:b/>
          <w:color w:val="003CA0"/>
          <w:sz w:val="16"/>
        </w:rPr>
        <w:t>[HC 67.931, rel. min. Moreira Alves, j. 18-4-1990, P, DJ de 31-8-1990.]</w:t>
      </w:r>
    </w:p>
    <w:p>
      <w:r>
        <w:rPr>
          <w:b/>
          <w:color w:val="003366"/>
          <w:sz w:val="20"/>
        </w:rPr>
        <w:t>Art. 123 Todos os termos de credenciamentos, contratos, aditivos e outras formas</w:t>
      </w:r>
      <w:r>
        <w:rPr>
          <w:color w:val="8C8C8C"/>
          <w:sz w:val="14"/>
        </w:rPr>
        <w:t xml:space="preserve">  [3 decisoes]</w:t>
      </w:r>
    </w:p>
    <w:p>
      <w:pPr>
        <w:ind w:left="144"/>
      </w:pPr>
      <w:r>
        <w:rPr>
          <w:b/>
          <w:color w:val="B45A00"/>
          <w:sz w:val="16"/>
        </w:rPr>
        <w:t>JULGADOS CORRELATOS</w:t>
      </w:r>
    </w:p>
    <w:p>
      <w:pPr>
        <w:ind w:left="288"/>
      </w:pPr>
      <w:r>
        <w:rPr>
          <w:color w:val="8C8C8C"/>
          <w:sz w:val="12"/>
        </w:rPr>
        <w:t>cf-art-123</w:t>
      </w:r>
      <w:r>
        <w:rPr>
          <w:color w:val="003CA0"/>
          <w:sz w:val="12"/>
        </w:rPr>
        <w:t xml:space="preserve"> | MS 20.930</w:t>
      </w:r>
      <w:r>
        <w:rPr>
          <w:color w:val="003CA0"/>
          <w:sz w:val="12"/>
        </w:rPr>
        <w:t xml:space="preserve"> | rel. Carlos Madeira</w:t>
      </w:r>
    </w:p>
    <w:p>
      <w:pPr>
        <w:ind w:left="288"/>
      </w:pPr>
      <w:r>
        <w:rPr>
          <w:color w:val="1E1E1E"/>
          <w:sz w:val="18"/>
        </w:rPr>
        <w:t>Para a investidura no cargo de ministro do STM, não é invocável a norma do art. 93, IV, da Constituição, que limita em 65 anos a idade do nomeado, pois tal norma tem por escopo estabelecer o tempo mínimo do exercício da judicatura para efeito de aposentadoria facultativa aos trinta anos. O art. 123 da Carta não reproduz a norma, em relação ao STM.</w:t>
      </w:r>
    </w:p>
    <w:p>
      <w:pPr>
        <w:ind w:left="288"/>
      </w:pPr>
      <w:r>
        <w:rPr>
          <w:b/>
          <w:color w:val="003CA0"/>
          <w:sz w:val="16"/>
        </w:rPr>
        <w:t>[MS 20.930, rel. min. Carlos Madeira, j. 29-6-1989, P, DJ de 28-6-1991.]</w:t>
      </w:r>
    </w:p>
    <w:p>
      <w:pPr>
        <w:ind w:left="288"/>
      </w:pPr>
      <w:r>
        <w:rPr>
          <w:color w:val="8C8C8C"/>
          <w:sz w:val="12"/>
        </w:rPr>
        <w:t>cf-art-123-par-unico-inc-I</w:t>
      </w:r>
      <w:r>
        <w:rPr>
          <w:color w:val="003CA0"/>
          <w:sz w:val="12"/>
        </w:rPr>
        <w:t xml:space="preserve"> | MS 20.930</w:t>
      </w:r>
      <w:r>
        <w:rPr>
          <w:color w:val="003CA0"/>
          <w:sz w:val="12"/>
        </w:rPr>
        <w:t xml:space="preserve"> | rel. Carlos Madeira</w:t>
      </w:r>
    </w:p>
    <w:p>
      <w:pPr>
        <w:ind w:left="288"/>
      </w:pPr>
      <w:r>
        <w:rPr>
          <w:color w:val="1E1E1E"/>
          <w:sz w:val="18"/>
        </w:rPr>
        <w:t>O art. 123 da Constituição dá ensejo a que se admita como efetiva atividade profissional o exercício da advocacia tal como previsto no art. 71 do Estatuto da Ordem dos Advogados, não cabendo restringi-la à advocacia forense. Por outro lado, a efetiva atividade profissional, de que cuida a Constituição, não pode ser concebida como exercício do qual não seja permitido o afastamento eventual do advogado, ainda que para investir-se em cargo ou função pública temporários.</w:t>
      </w:r>
    </w:p>
    <w:p>
      <w:pPr>
        <w:ind w:left="288"/>
      </w:pPr>
      <w:r>
        <w:rPr>
          <w:b/>
          <w:color w:val="003CA0"/>
          <w:sz w:val="16"/>
        </w:rPr>
        <w:t>[MS 20.930, rel. min. Carlos Madeira, j. 29-6-1989, P, DJ de 28-6-1991.]</w:t>
      </w:r>
    </w:p>
    <w:p>
      <w:pPr>
        <w:ind w:left="288"/>
      </w:pPr>
      <w:r>
        <w:rPr>
          <w:color w:val="8C8C8C"/>
          <w:sz w:val="12"/>
        </w:rPr>
        <w:t>cf-art-123-par-unico-inc-II</w:t>
      </w:r>
      <w:r>
        <w:rPr>
          <w:color w:val="003CA0"/>
          <w:sz w:val="12"/>
        </w:rPr>
        <w:t xml:space="preserve"> | MS 23.138</w:t>
      </w:r>
      <w:r>
        <w:rPr>
          <w:color w:val="003CA0"/>
          <w:sz w:val="12"/>
        </w:rPr>
        <w:t xml:space="preserve"> | rel. Marco Aurélio</w:t>
      </w:r>
    </w:p>
    <w:p>
      <w:pPr>
        <w:ind w:left="288"/>
      </w:pPr>
      <w:r>
        <w:rPr>
          <w:color w:val="1E1E1E"/>
          <w:sz w:val="18"/>
        </w:rPr>
        <w:t>A dualidade de composição prevista no art. 123 da CF – militares oficiais generais da ativa no posto mais elevado e civis – é conducente a ter-se como inconstitucional a indicação de oficial da reserva para ocupar vaga destinada a civil, sendo irrelevante o fato de o escolhido manter dupla qualificação – militar reformado na patente de coronel e advogado.</w:t>
      </w:r>
    </w:p>
    <w:p>
      <w:pPr>
        <w:ind w:left="288"/>
      </w:pPr>
      <w:r>
        <w:rPr>
          <w:b/>
          <w:color w:val="003CA0"/>
          <w:sz w:val="16"/>
        </w:rPr>
        <w:t>[MS 23.138, rel. min. Marco Aurélio, j. 11-11-1999, P, DJ de 19-4-2002.]</w:t>
      </w:r>
    </w:p>
    <w:p>
      <w:r>
        <w:rPr>
          <w:b/>
          <w:color w:val="003366"/>
          <w:sz w:val="20"/>
        </w:rPr>
        <w:t xml:space="preserve">Art. 124 A transição para os tributos previstos no art. 156-A e no art. 195, V, </w:t>
      </w:r>
      <w:r>
        <w:rPr>
          <w:color w:val="8C8C8C"/>
          <w:sz w:val="14"/>
        </w:rPr>
        <w:t xml:space="preserve">  [19 decisoes]</w:t>
      </w:r>
    </w:p>
    <w:p>
      <w:pPr>
        <w:ind w:left="288"/>
      </w:pPr>
      <w:r>
        <w:rPr>
          <w:color w:val="8C8C8C"/>
          <w:sz w:val="12"/>
        </w:rPr>
        <w:t>cf-art-124</w:t>
      </w:r>
      <w:r>
        <w:rPr>
          <w:color w:val="003CA0"/>
          <w:sz w:val="12"/>
        </w:rPr>
        <w:t xml:space="preserve"> | ARE 1.547.351</w:t>
      </w:r>
      <w:r>
        <w:rPr>
          <w:color w:val="003CA0"/>
          <w:sz w:val="12"/>
        </w:rPr>
        <w:t xml:space="preserve"> | rel. Alexandre de Moraes</w:t>
      </w:r>
    </w:p>
    <w:p>
      <w:pPr>
        <w:ind w:left="288"/>
      </w:pPr>
      <w:r>
        <w:rPr>
          <w:color w:val="1E1E1E"/>
          <w:sz w:val="18"/>
        </w:rPr>
        <w:t>A competência da Justiça Militar da União limita-se ao processo e julgamento de crimes militares, não abrangendo ações relativas a infrações disciplinares (CF, art. 124), razão pela qual compete à Justiça Federal o controle judicial sobre punições disciplinares de militares federais (CF, art. 109, VII).</w:t>
      </w:r>
    </w:p>
    <w:p>
      <w:pPr>
        <w:ind w:left="288"/>
      </w:pPr>
      <w:r>
        <w:rPr>
          <w:b/>
          <w:color w:val="003CA0"/>
          <w:sz w:val="16"/>
        </w:rPr>
        <w:t>[ARE 1.547.351 AgR, rel. min. Alexandre de Moraes, j. 06.10.2025, 1ª T, DJE de 10.10.2025.]</w:t>
      </w:r>
    </w:p>
    <w:p>
      <w:pPr>
        <w:ind w:left="144"/>
      </w:pPr>
      <w:r>
        <w:rPr>
          <w:b/>
          <w:color w:val="B45A00"/>
          <w:sz w:val="16"/>
        </w:rPr>
        <w:t>JULGADOS CORRELATOS</w:t>
      </w:r>
    </w:p>
    <w:p>
      <w:pPr>
        <w:ind w:left="288"/>
      </w:pPr>
      <w:r>
        <w:rPr>
          <w:color w:val="8C8C8C"/>
          <w:sz w:val="12"/>
        </w:rPr>
        <w:t>cf-art-124</w:t>
      </w:r>
      <w:r>
        <w:rPr>
          <w:color w:val="003CA0"/>
          <w:sz w:val="12"/>
        </w:rPr>
        <w:t xml:space="preserve"> | AP 528</w:t>
      </w:r>
      <w:r>
        <w:rPr>
          <w:color w:val="003CA0"/>
          <w:sz w:val="12"/>
        </w:rPr>
        <w:t xml:space="preserve"> | rel. Ricardo Lewandowski</w:t>
      </w:r>
    </w:p>
    <w:p>
      <w:pPr>
        <w:ind w:left="288"/>
      </w:pPr>
      <w:r>
        <w:rPr>
          <w:color w:val="1E1E1E"/>
          <w:sz w:val="18"/>
        </w:rPr>
        <w:t xml:space="preserve">O art. 400 do CPP, com a redação dada pela Lei 11.719/2008, fixou o interrogatório do réu como ato derradeiro da instrução penal, prestigiando a máxima efetividade das garantias constitucionais do contraditório e da ampla defesa (CRFB, art. 5º, LV), dimensões elementares do devido processo legal (CRFB, art. 5º, LIV) e cânones essenciais do Estado Democrático de Direito (CRFB, art. 1º, caput), por isso que a nova regra do CPP comum também deve ser observada no processo penal militar, em detrimento da norma específica prevista no art. 302 do DL 1.002/1969, conforme precedente firmado pelo Pleno </w:t>
      </w:r>
    </w:p>
    <w:p>
      <w:pPr>
        <w:ind w:left="288"/>
      </w:pPr>
      <w:r>
        <w:rPr>
          <w:b/>
          <w:color w:val="003CA0"/>
          <w:sz w:val="16"/>
        </w:rPr>
        <w:t>[RHC 119.188, rel. min. Luiz Fux, j. 1º-10-2013, 1ª T, DJE de 23-10-2013.]</w:t>
      </w:r>
    </w:p>
    <w:p>
      <w:pPr>
        <w:ind w:left="288"/>
      </w:pPr>
      <w:r>
        <w:rPr>
          <w:color w:val="8C8C8C"/>
          <w:sz w:val="12"/>
        </w:rPr>
        <w:t>cf-art-124</w:t>
      </w:r>
      <w:r>
        <w:rPr>
          <w:color w:val="003CA0"/>
          <w:sz w:val="12"/>
        </w:rPr>
        <w:t xml:space="preserve"> | AP 528</w:t>
      </w:r>
      <w:r>
        <w:rPr>
          <w:color w:val="003CA0"/>
          <w:sz w:val="12"/>
        </w:rPr>
        <w:t xml:space="preserve"> | rel. Ricardo Lewandowski</w:t>
      </w:r>
    </w:p>
    <w:p>
      <w:pPr>
        <w:ind w:left="288"/>
      </w:pPr>
      <w:r>
        <w:rPr>
          <w:color w:val="1E1E1E"/>
          <w:sz w:val="18"/>
        </w:rPr>
        <w:t>Vide AP 528 AgR, rel. min. Ricardo Lewandowski, j. 24-3-2011, P, DJE de 8-6-2011 O paciente foi denunciado pela prática de delito do art. 315 do CPM, classificado como crime militar em sentido impróprio – aqueles que, embora previstos na legislação penal comum, também estão tipificados no CPM por afetarem diretamente bens jurídicos das Forças Armadas (art. 9º, III, a, do CPM). É competente, portanto, para processar e julgar o paciente a Justiça Castrense, por força do art. 124 da CF.</w:t>
      </w:r>
    </w:p>
    <w:p>
      <w:pPr>
        <w:ind w:left="288"/>
      </w:pPr>
      <w:r>
        <w:rPr>
          <w:b/>
          <w:color w:val="003CA0"/>
          <w:sz w:val="16"/>
        </w:rPr>
        <w:t>[HC 98.526, rel. min. Ricardo Lewandowski, j. 29-6-2010, 1ª T, DJE de 20-8-2010.]</w:t>
      </w:r>
    </w:p>
    <w:p>
      <w:pPr>
        <w:ind w:left="288"/>
      </w:pPr>
      <w:r>
        <w:rPr>
          <w:color w:val="8C8C8C"/>
          <w:sz w:val="12"/>
        </w:rPr>
        <w:t>cf-art-124</w:t>
      </w:r>
      <w:r>
        <w:rPr>
          <w:color w:val="003CA0"/>
          <w:sz w:val="12"/>
        </w:rPr>
        <w:t xml:space="preserve"> | HC 91.505</w:t>
      </w:r>
      <w:r>
        <w:rPr>
          <w:color w:val="003CA0"/>
          <w:sz w:val="12"/>
        </w:rPr>
        <w:t xml:space="preserve"> | rel. Ellen Gracie</w:t>
      </w:r>
    </w:p>
    <w:p>
      <w:pPr>
        <w:ind w:left="288"/>
      </w:pPr>
      <w:r>
        <w:rPr>
          <w:color w:val="1E1E1E"/>
          <w:sz w:val="18"/>
        </w:rPr>
        <w:t>Crime militar. Causa processada perante a Justiça estadual. Suspensão condicional do processo. Aceitação. Benefício não revogado. Instauração de nova ação penal na Justiça Castrense, pelo mesmo fato. Inadmissibilidade. Preclusão consumada. Habeas corpus concedido.</w:t>
      </w:r>
    </w:p>
    <w:p>
      <w:pPr>
        <w:ind w:left="288"/>
      </w:pPr>
      <w:r>
        <w:rPr>
          <w:b/>
          <w:color w:val="003CA0"/>
          <w:sz w:val="16"/>
        </w:rPr>
        <w:t>[HC 91.505, rel. min. Ellen Gracie, j. 24-6-2008, 2ª T, DJE de 22-8-2008.]</w:t>
      </w:r>
    </w:p>
    <w:p>
      <w:pPr>
        <w:ind w:left="288"/>
      </w:pPr>
      <w:r>
        <w:rPr>
          <w:color w:val="8C8C8C"/>
          <w:sz w:val="12"/>
        </w:rPr>
        <w:t>cf-art-124</w:t>
      </w:r>
      <w:r>
        <w:rPr>
          <w:color w:val="003CA0"/>
          <w:sz w:val="12"/>
        </w:rPr>
        <w:t xml:space="preserve"> | RMS 26.975</w:t>
      </w:r>
      <w:r>
        <w:rPr>
          <w:color w:val="003CA0"/>
          <w:sz w:val="12"/>
        </w:rPr>
        <w:t xml:space="preserve"> | rel. Eros Grau</w:t>
      </w:r>
    </w:p>
    <w:p>
      <w:pPr>
        <w:ind w:left="288"/>
      </w:pPr>
      <w:r>
        <w:rPr>
          <w:color w:val="1E1E1E"/>
          <w:sz w:val="18"/>
        </w:rPr>
        <w:t>Penal militar. Estatuto da OAB. (...) Injúria e difamação. (...) Ofensa a autoridades militares federais, proferidas na discussão da causa. Competência da Justiça Militar (...).</w:t>
      </w:r>
    </w:p>
    <w:p>
      <w:pPr>
        <w:ind w:left="288"/>
      </w:pPr>
      <w:r>
        <w:rPr>
          <w:b/>
          <w:color w:val="003CA0"/>
          <w:sz w:val="16"/>
        </w:rPr>
        <w:t>[RMS 26.975, rel. min. Eros Grau, j. 1º-4-2008, 2ª T, DJE de 15-8-2008.]</w:t>
      </w:r>
    </w:p>
    <w:p>
      <w:pPr>
        <w:ind w:left="288"/>
      </w:pPr>
      <w:r>
        <w:rPr>
          <w:color w:val="8C8C8C"/>
          <w:sz w:val="12"/>
        </w:rPr>
        <w:t>cf-art-124</w:t>
      </w:r>
      <w:r>
        <w:rPr>
          <w:color w:val="003CA0"/>
          <w:sz w:val="12"/>
        </w:rPr>
        <w:t xml:space="preserve"> | HC 92.912</w:t>
      </w:r>
      <w:r>
        <w:rPr>
          <w:color w:val="003CA0"/>
          <w:sz w:val="12"/>
        </w:rPr>
        <w:t xml:space="preserve"> | rel. Cármen Lúcia</w:t>
      </w:r>
    </w:p>
    <w:p>
      <w:pPr>
        <w:ind w:left="288"/>
      </w:pPr>
      <w:r>
        <w:rPr>
          <w:color w:val="1E1E1E"/>
          <w:sz w:val="18"/>
        </w:rPr>
        <w:t>A jurisprudência do STF firmou entendimento no sentido de que, por não estar inserido no CPM, o crime de abuso de autoridade seria da competência da Justiça comum (...).</w:t>
      </w:r>
    </w:p>
    <w:p>
      <w:pPr>
        <w:ind w:left="288"/>
      </w:pPr>
      <w:r>
        <w:rPr>
          <w:b/>
          <w:color w:val="003CA0"/>
          <w:sz w:val="16"/>
        </w:rPr>
        <w:t>[HC 92.912, rel. min. Cármen Lúcia, j. 20-11-2007, 1ª T, DJ de 19-12-2007.]</w:t>
      </w:r>
    </w:p>
    <w:p>
      <w:pPr>
        <w:ind w:left="288"/>
      </w:pPr>
      <w:r>
        <w:rPr>
          <w:color w:val="8C8C8C"/>
          <w:sz w:val="12"/>
        </w:rPr>
        <w:t>cf-art-124</w:t>
      </w:r>
      <w:r>
        <w:rPr>
          <w:color w:val="003CA0"/>
          <w:sz w:val="12"/>
        </w:rPr>
        <w:t xml:space="preserve"> | ARE 660.498</w:t>
      </w:r>
      <w:r>
        <w:rPr>
          <w:color w:val="003CA0"/>
          <w:sz w:val="12"/>
        </w:rPr>
        <w:t xml:space="preserve"> | rel. Luiz Fux</w:t>
      </w:r>
    </w:p>
    <w:p>
      <w:pPr>
        <w:ind w:left="288"/>
      </w:pPr>
      <w:r>
        <w:rPr>
          <w:color w:val="1E1E1E"/>
          <w:sz w:val="18"/>
        </w:rPr>
        <w:t>= ARE 660.498, rel. min. Luiz Fux, j. 14-3-2012, dec. monocrática, DJE de 19-3-2012 A tese da incompetência da Justiça Castrense – pelo fato de o agente ser civil – já foi rechaçada pelo STF no julgamento do HC 75.783, com base nas letras a e d do inciso III do art. 9º do CPM.</w:t>
      </w:r>
    </w:p>
    <w:p>
      <w:pPr>
        <w:ind w:left="288"/>
      </w:pPr>
      <w:r>
        <w:rPr>
          <w:b/>
          <w:color w:val="003CA0"/>
          <w:sz w:val="16"/>
        </w:rPr>
        <w:t>[RMS 26.315, rel. min. Ayres Britto, j. 23-10-2007, 1ª T, DJ de 7-12-2007.]</w:t>
      </w:r>
    </w:p>
    <w:p>
      <w:pPr>
        <w:ind w:left="288"/>
      </w:pPr>
      <w:r>
        <w:rPr>
          <w:color w:val="8C8C8C"/>
          <w:sz w:val="12"/>
        </w:rPr>
        <w:t>cf-art-124</w:t>
      </w:r>
      <w:r>
        <w:rPr>
          <w:color w:val="003CA0"/>
          <w:sz w:val="12"/>
        </w:rPr>
        <w:t xml:space="preserve"> | RHC 86.805</w:t>
      </w:r>
      <w:r>
        <w:rPr>
          <w:color w:val="003CA0"/>
          <w:sz w:val="12"/>
        </w:rPr>
        <w:t xml:space="preserve"> | rel. Ayres Britto</w:t>
      </w:r>
    </w:p>
    <w:p>
      <w:pPr>
        <w:ind w:left="288"/>
      </w:pPr>
      <w:r>
        <w:rPr>
          <w:color w:val="1E1E1E"/>
          <w:sz w:val="18"/>
        </w:rPr>
        <w:t>Alegação do MPF de que o processo do paciente pelo crime de estupro, perante a vara da auditoria militar, configura caso de incompetência absoluta do juízo. Instituída a Justiça Militar no Estado de Rondônia, ao juiz auditor militar foi conferida, por lei, ambivalência funcional. Pelo que não há irregularidade no julgamento do feito pelo juiz que atua ora como auditor, integrando o Conselho da Justiça Militar, ora como juiz de direito de uma determinada vara.</w:t>
      </w:r>
    </w:p>
    <w:p>
      <w:pPr>
        <w:ind w:left="288"/>
      </w:pPr>
      <w:r>
        <w:rPr>
          <w:b/>
          <w:color w:val="003CA0"/>
          <w:sz w:val="16"/>
        </w:rPr>
        <w:t>[RHC 86.805, rel. min. Ayres Britto, j. 21-2-2006, 1ª T, DJ de 30-6-2006.]</w:t>
      </w:r>
    </w:p>
    <w:p>
      <w:pPr>
        <w:ind w:left="288"/>
      </w:pPr>
      <w:r>
        <w:rPr>
          <w:color w:val="8C8C8C"/>
          <w:sz w:val="12"/>
        </w:rPr>
        <w:t>cf-art-124</w:t>
      </w:r>
      <w:r>
        <w:rPr>
          <w:color w:val="003CA0"/>
          <w:sz w:val="12"/>
        </w:rPr>
        <w:t xml:space="preserve"> | HC 85.720</w:t>
      </w:r>
      <w:r>
        <w:rPr>
          <w:color w:val="003CA0"/>
          <w:sz w:val="12"/>
        </w:rPr>
        <w:t xml:space="preserve"> | rel. Sepúlveda Pertence</w:t>
      </w:r>
    </w:p>
    <w:p>
      <w:pPr>
        <w:ind w:left="288"/>
      </w:pPr>
      <w:r>
        <w:rPr>
          <w:color w:val="1E1E1E"/>
          <w:sz w:val="18"/>
        </w:rPr>
        <w:t>= HC 85.720, rel. min. Sepúlveda Pertence, j. 14-6-2006, P, DJ de 2-2-2007 Crime militar em sentido impróprio. Infração penal praticada por militar fora de serviço contra policial militar em situação de atividade. Incompetência da Justiça Militar. (...) Os crimes de resistência, lesões corporais leves e desacato qualificam-se como delitos militares em sentido impróprio. (...) A questão da competência penal da Justiça Militar da União e a necessária observância, pelos órgãos judiciários castrenses, do princípio constitucional do juiz natural. (...) O postulado do juiz natural representa garanti</w:t>
      </w:r>
    </w:p>
    <w:p>
      <w:pPr>
        <w:ind w:left="288"/>
      </w:pPr>
      <w:r>
        <w:rPr>
          <w:b/>
          <w:color w:val="003CA0"/>
          <w:sz w:val="16"/>
        </w:rPr>
        <w:t>[HC 83.003, rel. min. Celso de Mello, j. 16-8-2005, 2ª T, DJE de 25-4-2008.]</w:t>
      </w:r>
    </w:p>
    <w:p>
      <w:pPr>
        <w:ind w:left="288"/>
      </w:pPr>
      <w:r>
        <w:rPr>
          <w:color w:val="8C8C8C"/>
          <w:sz w:val="12"/>
        </w:rPr>
        <w:t>cf-art-124</w:t>
      </w:r>
      <w:r>
        <w:rPr>
          <w:color w:val="003CA0"/>
          <w:sz w:val="12"/>
        </w:rPr>
        <w:t xml:space="preserve"> | RHC 96.814</w:t>
      </w:r>
      <w:r>
        <w:rPr>
          <w:color w:val="003CA0"/>
          <w:sz w:val="12"/>
        </w:rPr>
        <w:t xml:space="preserve"> | rel. Eros Grau</w:t>
      </w:r>
    </w:p>
    <w:p>
      <w:pPr>
        <w:ind w:left="288"/>
      </w:pPr>
      <w:r>
        <w:rPr>
          <w:color w:val="1E1E1E"/>
          <w:sz w:val="18"/>
        </w:rPr>
        <w:t>= RHC 96.814, rel. min. Eros Grau, j. 12-5-2009, 2ª T, DJE de 7-8-2009 Arquivamento de inquérito policial militar, por inexistência de crime militar. Correição parcial requerida pelo juiz-auditor corregedor da Justiça Militar da União. Alegação de ocorrência de crime de tortura. Crime comum. Incompetência da Justiça Militar. Inteligência do art. 124 da CF.</w:t>
      </w:r>
    </w:p>
    <w:p>
      <w:pPr>
        <w:ind w:left="288"/>
      </w:pPr>
      <w:r>
        <w:rPr>
          <w:b/>
          <w:color w:val="003CA0"/>
          <w:sz w:val="16"/>
        </w:rPr>
        <w:t>[RE 407.721, rel. min. Gilmar Mendes, j. 16-11-2004, 2ª T, DJ de 3-12-2004.]</w:t>
      </w:r>
    </w:p>
    <w:p>
      <w:pPr>
        <w:ind w:left="288"/>
      </w:pPr>
      <w:r>
        <w:rPr>
          <w:color w:val="8C8C8C"/>
          <w:sz w:val="12"/>
        </w:rPr>
        <w:t>cf-art-124</w:t>
      </w:r>
      <w:r>
        <w:rPr>
          <w:color w:val="003CA0"/>
          <w:sz w:val="12"/>
        </w:rPr>
        <w:t xml:space="preserve"> | rel. Marco Aurélio</w:t>
      </w:r>
    </w:p>
    <w:p>
      <w:pPr>
        <w:ind w:left="288"/>
      </w:pPr>
      <w:r>
        <w:rPr>
          <w:color w:val="1E1E1E"/>
          <w:sz w:val="18"/>
        </w:rPr>
        <w:t>A atividade, desenvolvida por militar, de policiamento naval, exsurge como subsidiária, administrativa, não atraindo a incidência do disposto na alínea d do inciso III do art. 9º do CPM. A competência da Justiça Militar, em face da configuração de crime de idêntica natureza, pressupõe prática contra militar em função que lhe seja própria. Competência da Justiça Federal – stricto sensu.</w:t>
      </w:r>
    </w:p>
    <w:p>
      <w:pPr>
        <w:ind w:left="288"/>
      </w:pPr>
      <w:r>
        <w:rPr>
          <w:b/>
          <w:color w:val="003CA0"/>
          <w:sz w:val="16"/>
        </w:rPr>
        <w:t>[CC 7.030, rel. min. Marco Aurélio, j. 2-5-1996, P, DJ de 31-5-1996.]</w:t>
      </w:r>
    </w:p>
    <w:p>
      <w:pPr>
        <w:ind w:left="288"/>
      </w:pPr>
      <w:r>
        <w:rPr>
          <w:color w:val="8C8C8C"/>
          <w:sz w:val="12"/>
        </w:rPr>
        <w:t>cf-art-124</w:t>
      </w:r>
      <w:r>
        <w:rPr>
          <w:color w:val="003CA0"/>
          <w:sz w:val="12"/>
        </w:rPr>
        <w:t xml:space="preserve"> | HC 72.022</w:t>
      </w:r>
      <w:r>
        <w:rPr>
          <w:color w:val="003CA0"/>
          <w:sz w:val="12"/>
        </w:rPr>
        <w:t xml:space="preserve"> | rel. Néri da Silveira</w:t>
      </w:r>
    </w:p>
    <w:p>
      <w:pPr>
        <w:ind w:left="288"/>
      </w:pPr>
      <w:r>
        <w:rPr>
          <w:color w:val="1E1E1E"/>
          <w:sz w:val="18"/>
        </w:rPr>
        <w:t>Os crimes militares situam-se no campo da exceção. As normas em que previstos são exaustivas. Jungidos ao princípio constitucional da reserva legal – inciso XXXIX do art. 5º da Carta de 1988 –, hão de estar tipificados em dispositivo próprio, a merecer interpretação estrita. Competência. Homicídio. Agente: militar da reserva. Vítima: policial militar em serviço. Ainda que em serviço a vítima – policial militar, e não militar propriamente dito – a competência é da Justiça comum. Interpretação sistemática e teológica dos preceitos constitucionais e legais regedores da espécie.</w:t>
      </w:r>
    </w:p>
    <w:p>
      <w:pPr>
        <w:ind w:left="288"/>
      </w:pPr>
      <w:r>
        <w:rPr>
          <w:b/>
          <w:color w:val="003CA0"/>
          <w:sz w:val="16"/>
        </w:rPr>
        <w:t>[HC 72.022, rel. min. Néri da Silveira, j. 9-2-1995, P, DJ de 28-4-1995.]</w:t>
      </w:r>
    </w:p>
    <w:p>
      <w:pPr>
        <w:ind w:left="288"/>
      </w:pPr>
      <w:r>
        <w:rPr>
          <w:color w:val="8C8C8C"/>
          <w:sz w:val="12"/>
        </w:rPr>
        <w:t>cf-art-124-par-unico</w:t>
      </w:r>
      <w:r>
        <w:rPr>
          <w:color w:val="003CA0"/>
          <w:sz w:val="12"/>
        </w:rPr>
        <w:t xml:space="preserve"> | HC 110.286</w:t>
      </w:r>
    </w:p>
    <w:p>
      <w:pPr>
        <w:ind w:left="288"/>
      </w:pPr>
      <w:r>
        <w:rPr>
          <w:color w:val="1E1E1E"/>
          <w:sz w:val="18"/>
        </w:rPr>
        <w:t>Competência. Homicídio. Agente militar. Inexistente qualquer elemento configurador, a teor do disposto no art. 9º do CPM, de crime militar, a competência é da Justiça comum, do tribunal do júri.</w:t>
      </w:r>
    </w:p>
    <w:p>
      <w:pPr>
        <w:ind w:left="288"/>
      </w:pPr>
      <w:r>
        <w:rPr>
          <w:b/>
          <w:color w:val="003CA0"/>
          <w:sz w:val="16"/>
        </w:rPr>
        <w:t>[HC 110.286, red. do ac. min. Marco Aurélio, j. 14-2-2012, 1ª T, DJE de 29-3-2012.]</w:t>
      </w:r>
    </w:p>
    <w:p>
      <w:pPr>
        <w:ind w:left="288"/>
      </w:pPr>
      <w:r>
        <w:rPr>
          <w:color w:val="8C8C8C"/>
          <w:sz w:val="12"/>
        </w:rPr>
        <w:t>cf-art-124-par-unico</w:t>
      </w:r>
      <w:r>
        <w:rPr>
          <w:color w:val="003CA0"/>
          <w:sz w:val="12"/>
        </w:rPr>
        <w:t xml:space="preserve"> | HC 99.541</w:t>
      </w:r>
      <w:r>
        <w:rPr>
          <w:color w:val="003CA0"/>
          <w:sz w:val="12"/>
        </w:rPr>
        <w:t xml:space="preserve"> | rel. Luiz Fux</w:t>
      </w:r>
    </w:p>
    <w:p>
      <w:pPr>
        <w:ind w:left="288"/>
      </w:pPr>
      <w:r>
        <w:rPr>
          <w:color w:val="1E1E1E"/>
          <w:sz w:val="18"/>
        </w:rPr>
        <w:t>Vide HC 99.541, rel. min. Luiz Fux, j. 10-5-2011, 1ª T, DJE de 25-5-2011 A questão da posse de entorpecente por militar em recinto castrense não é de quantidade, nem mesmo do tipo de droga que se conseguiu apreender. O problema é de qualidade da relação jurídica entre o particularizado portador da substância entorpecente e a instituição castrense de que ele fazia parte, no instante em que flagrado com a posse da droga em pleno recinto sob administração militar. A tipologia de relação jurídica em ambiente castrense é incompatível com a figura da insignificância penal, pois, independentemente da</w:t>
      </w:r>
    </w:p>
    <w:p>
      <w:pPr>
        <w:ind w:left="288"/>
      </w:pPr>
      <w:r>
        <w:rPr>
          <w:b/>
          <w:color w:val="003CA0"/>
          <w:sz w:val="16"/>
        </w:rPr>
        <w:t>[HC 103.684, rel. min. Ayres Britto, j. 21-10-2010, P, DJE de 13-4-2011.]</w:t>
      </w:r>
    </w:p>
    <w:p>
      <w:pPr>
        <w:ind w:left="288"/>
      </w:pPr>
      <w:r>
        <w:rPr>
          <w:color w:val="8C8C8C"/>
          <w:sz w:val="12"/>
        </w:rPr>
        <w:t>cf-art-124-par-unico</w:t>
      </w:r>
      <w:r>
        <w:rPr>
          <w:color w:val="003CA0"/>
          <w:sz w:val="12"/>
        </w:rPr>
        <w:t xml:space="preserve"> | HC 91.003</w:t>
      </w:r>
      <w:r>
        <w:rPr>
          <w:color w:val="003CA0"/>
          <w:sz w:val="12"/>
        </w:rPr>
        <w:t xml:space="preserve"> | rel. Cármen Lúcia</w:t>
      </w:r>
    </w:p>
    <w:p>
      <w:pPr>
        <w:ind w:left="288"/>
      </w:pPr>
      <w:r>
        <w:rPr>
          <w:color w:val="1E1E1E"/>
          <w:sz w:val="18"/>
        </w:rPr>
        <w:t>A jurisprudência do STF é no sentido de ser constitucional o julgamento dos crimes dolosos contra a vida de militar em serviço pela Justiça Castrense, sem a submissão destes crimes ao tribunal do júri, nos termos do art. 9º, III, d, do CPM.</w:t>
      </w:r>
    </w:p>
    <w:p>
      <w:pPr>
        <w:ind w:left="288"/>
      </w:pPr>
      <w:r>
        <w:rPr>
          <w:b/>
          <w:color w:val="003CA0"/>
          <w:sz w:val="16"/>
        </w:rPr>
        <w:t>[HC 91.003, rel. min. Cármen Lúcia, j. 22-5-2007, 1ª T, DJ de 3-8-2007.]</w:t>
      </w:r>
    </w:p>
    <w:p>
      <w:pPr>
        <w:ind w:left="288"/>
      </w:pPr>
      <w:r>
        <w:rPr>
          <w:color w:val="8C8C8C"/>
          <w:sz w:val="12"/>
        </w:rPr>
        <w:t>cf-art-124-par-unico</w:t>
      </w:r>
      <w:r>
        <w:rPr>
          <w:color w:val="003CA0"/>
          <w:sz w:val="12"/>
        </w:rPr>
        <w:t xml:space="preserve"> | HC 90.729</w:t>
      </w:r>
      <w:r>
        <w:rPr>
          <w:color w:val="003CA0"/>
          <w:sz w:val="12"/>
        </w:rPr>
        <w:t xml:space="preserve"> | rel. Sepúlveda Pertence</w:t>
      </w:r>
    </w:p>
    <w:p>
      <w:pPr>
        <w:ind w:left="288"/>
      </w:pPr>
      <w:r>
        <w:rPr>
          <w:color w:val="1E1E1E"/>
          <w:sz w:val="18"/>
        </w:rPr>
        <w:t>Crime de roubo em concurso com o de abandono de posto, praticado por militar, em horário de serviço e com arma da corporação, mas que, tendo antes abandonado o posto, não se encontrava no exercício de atividade militar: incompetência da Justiça Militar para conhecer do crime de roubo, uma vez revogado o art. 9º, II, f. CPM (Lei 9.299/1996). Deferimento da ordem, para, mantida a condenação por abandono de posto (CPM, art. 195), cassar o acórdão impugnado no ponto em que condenou o paciente por infração do art. 242, § 2º, do CPM e determinar o retorno dos autos do Proc. 491/2003 à 1ª Vara Crimin</w:t>
      </w:r>
    </w:p>
    <w:p>
      <w:pPr>
        <w:ind w:left="288"/>
      </w:pPr>
      <w:r>
        <w:rPr>
          <w:b/>
          <w:color w:val="003CA0"/>
          <w:sz w:val="16"/>
        </w:rPr>
        <w:t>[HC 90.729, rel. min. Sepúlveda Pertence, j. 27-3-2007, 1ª T, DJ de 27-4-2007.]</w:t>
      </w:r>
    </w:p>
    <w:p>
      <w:pPr>
        <w:ind w:left="288"/>
      </w:pPr>
      <w:r>
        <w:rPr>
          <w:color w:val="8C8C8C"/>
          <w:sz w:val="12"/>
        </w:rPr>
        <w:t>cf-art-124-par-unico</w:t>
      </w:r>
      <w:r>
        <w:rPr>
          <w:color w:val="003CA0"/>
          <w:sz w:val="12"/>
        </w:rPr>
        <w:t xml:space="preserve"> | HC 91.658</w:t>
      </w:r>
      <w:r>
        <w:rPr>
          <w:color w:val="003CA0"/>
          <w:sz w:val="12"/>
        </w:rPr>
        <w:t xml:space="preserve"> | rel. Cezar Peluso</w:t>
      </w:r>
    </w:p>
    <w:p>
      <w:pPr>
        <w:ind w:left="288"/>
      </w:pPr>
      <w:r>
        <w:rPr>
          <w:color w:val="1E1E1E"/>
          <w:sz w:val="18"/>
        </w:rPr>
        <w:t>= HC 91.658, rel. min. Cezar Peluso, j. 10-3-2009, 2ª T, DJE de 22-5-2009 Compete ao Conselho Permanente de Justiça Militar o processo e julgamento respectivos, em primeiro grau de jurisdição, e, em segundo, ao tribunal de justiça do Estado, quando não houver, na unidade da Federação, tribunal de justiça militar (arts. 125, caput, e 3º da CF e art. 85 da Constituição do Estado do Maranhão). Não é, pois, do STM a competência para o julgamento da apelação nesse caso (art. 124, parágrafo único, da CF e art. 40, X, b, da Lei de Organização Judiciária Militar, DL 1.003, de 21-10-1969).</w:t>
      </w:r>
    </w:p>
    <w:p>
      <w:pPr>
        <w:ind w:left="288"/>
      </w:pPr>
      <w:r>
        <w:rPr>
          <w:b/>
          <w:color w:val="003CA0"/>
          <w:sz w:val="16"/>
        </w:rPr>
        <w:t>[HC 73.676, rel. min. Sydney Sanches, j. 2-4-1996, 1ª T, DJ de 17-5-1996.]</w:t>
      </w:r>
    </w:p>
    <w:p>
      <w:pPr>
        <w:ind w:left="288"/>
      </w:pPr>
      <w:r>
        <w:rPr>
          <w:color w:val="8C8C8C"/>
          <w:sz w:val="12"/>
        </w:rPr>
        <w:t>cf-art-124-par-unico</w:t>
      </w:r>
      <w:r>
        <w:rPr>
          <w:color w:val="003CA0"/>
          <w:sz w:val="12"/>
        </w:rPr>
        <w:t xml:space="preserve"> | RE 122.706</w:t>
      </w:r>
      <w:r>
        <w:rPr>
          <w:color w:val="003CA0"/>
          <w:sz w:val="12"/>
        </w:rPr>
        <w:t xml:space="preserve"> | rel. Sepúlveda Pertence</w:t>
      </w:r>
    </w:p>
    <w:p>
      <w:pPr>
        <w:ind w:left="288"/>
      </w:pPr>
      <w:r>
        <w:rPr>
          <w:color w:val="1E1E1E"/>
          <w:sz w:val="18"/>
        </w:rPr>
        <w:t>A Justiça Militar não comporta a inclusão, na sua estrutura, de um júri, para o fim de julgar os crimes dolosos contra a vida. CF/1967, art. 127; art. 153, § 18. CF/1988, art. 5º, XXXVIII; art. 124, parágrafo único.</w:t>
      </w:r>
    </w:p>
    <w:p>
      <w:pPr>
        <w:ind w:left="288"/>
      </w:pPr>
      <w:r>
        <w:rPr>
          <w:b/>
          <w:color w:val="003CA0"/>
          <w:sz w:val="16"/>
        </w:rPr>
        <w:t>[RE 122.706, rel. min. Sepúlveda Pertence, j. 21-11-1990, P, DJ de 3-4-1992.]</w:t>
      </w:r>
    </w:p>
    <w:p>
      <w:pPr>
        <w:ind w:left="288"/>
      </w:pPr>
      <w:r>
        <w:rPr>
          <w:color w:val="8C8C8C"/>
          <w:sz w:val="12"/>
        </w:rPr>
        <w:t>cf-art-124-par-unico</w:t>
      </w:r>
      <w:r>
        <w:rPr>
          <w:color w:val="003CA0"/>
          <w:sz w:val="12"/>
        </w:rPr>
        <w:t xml:space="preserve"> | HC 103.812</w:t>
      </w:r>
    </w:p>
    <w:p>
      <w:pPr>
        <w:ind w:left="288"/>
      </w:pPr>
      <w:r>
        <w:rPr>
          <w:color w:val="1E1E1E"/>
          <w:sz w:val="18"/>
        </w:rPr>
        <w:t>= HC 103.812, red. do ac. min. Luiz Fux, j. 29-11-2011, 1ª T, DJE de 17-2-2012 Seção VIII Dos Tribunais e Juízes dos Estados SUMÁRIO</w:t>
      </w:r>
    </w:p>
    <w:p>
      <w:r>
        <w:rPr>
          <w:b/>
          <w:color w:val="003366"/>
          <w:sz w:val="20"/>
        </w:rPr>
        <w:t>Art. 125 Em 2026, o imposto previsto no art. 156-A será cobrado à alíquota estad</w:t>
      </w:r>
      <w:r>
        <w:rPr>
          <w:color w:val="8C8C8C"/>
          <w:sz w:val="14"/>
        </w:rPr>
        <w:t xml:space="preserve">  [56 decisoes]</w:t>
      </w:r>
    </w:p>
    <w:p>
      <w:pPr>
        <w:ind w:left="144"/>
      </w:pPr>
      <w:r>
        <w:rPr>
          <w:b/>
          <w:color w:val="B45A00"/>
          <w:sz w:val="16"/>
        </w:rPr>
        <w:t>CONTROLE CONCENTRADO</w:t>
      </w:r>
    </w:p>
    <w:p>
      <w:pPr>
        <w:ind w:left="288"/>
      </w:pPr>
      <w:r>
        <w:rPr>
          <w:color w:val="8C8C8C"/>
          <w:sz w:val="12"/>
        </w:rPr>
        <w:t>cf-art-125</w:t>
      </w:r>
      <w:r>
        <w:rPr>
          <w:color w:val="003CA0"/>
          <w:sz w:val="12"/>
        </w:rPr>
        <w:t xml:space="preserve"> | ADI 4.414</w:t>
      </w:r>
      <w:r>
        <w:rPr>
          <w:color w:val="003CA0"/>
          <w:sz w:val="12"/>
        </w:rPr>
        <w:t xml:space="preserve"> | rel. Luiz Fux</w:t>
      </w:r>
    </w:p>
    <w:p>
      <w:pPr>
        <w:ind w:left="288"/>
      </w:pPr>
      <w:r>
        <w:rPr>
          <w:color w:val="1E1E1E"/>
          <w:sz w:val="18"/>
        </w:rPr>
        <w:t>Criação, por lei estadual, de varas especializadas em delitos praticados por organizações criminosas. (...) Os delitos cometidos por organizações criminosas podem submeter-se ao juízo especializado criado por lei estadual, porquanto o tema é de organização judiciária, prevista em lei editada no âmbito da competência dos Estados-membros (art. 125 da CRFB). (...) A lei estadual que cria vara especializada em razão da matéria pode, de forma objetiva e abstrata, impedir a redistribuição dos processos em curso, através de norma procedimental (art. 24, XI, da CRFB), que se afigura necessária para pr</w:t>
      </w:r>
    </w:p>
    <w:p>
      <w:pPr>
        <w:ind w:left="288"/>
      </w:pPr>
      <w:r>
        <w:rPr>
          <w:b/>
          <w:color w:val="003CA0"/>
          <w:sz w:val="16"/>
        </w:rPr>
        <w:t>[ADI 4.414, rel. min. Luiz Fux, j. 31-5-2012, P, DJE de 17-6-2013.]</w:t>
      </w:r>
    </w:p>
    <w:p>
      <w:pPr>
        <w:ind w:left="288"/>
      </w:pPr>
      <w:r>
        <w:rPr>
          <w:color w:val="8C8C8C"/>
          <w:sz w:val="12"/>
        </w:rPr>
        <w:t>cf-art-125</w:t>
      </w:r>
      <w:r>
        <w:rPr>
          <w:color w:val="003CA0"/>
          <w:sz w:val="12"/>
        </w:rPr>
        <w:t xml:space="preserve"> | ADC 12</w:t>
      </w:r>
      <w:r>
        <w:rPr>
          <w:color w:val="003CA0"/>
          <w:sz w:val="12"/>
        </w:rPr>
        <w:t xml:space="preserve"> | rel. Ayres Britto</w:t>
      </w:r>
    </w:p>
    <w:p>
      <w:pPr>
        <w:ind w:left="288"/>
      </w:pPr>
      <w:r>
        <w:rPr>
          <w:color w:val="1E1E1E"/>
          <w:sz w:val="18"/>
        </w:rPr>
        <w:t>O Poder Judiciário tem uma singular compostura de âmbito nacional, perfeitamente compatibilizada com o caráter estadualizado de uma parte dele. Ademais, o art. 125 da Lei Magna defere aos Estados a competência de organizar a sua própria Justiça, mas não é menos certo que esse mesmo art. 125, caput, junge essa organização aos princípios "estabelecidos" por ela, Carta Maior, neles incluídos os constantes do art. 37, cabeça.</w:t>
      </w:r>
    </w:p>
    <w:p>
      <w:pPr>
        <w:ind w:left="288"/>
      </w:pPr>
      <w:r>
        <w:rPr>
          <w:b/>
          <w:color w:val="003CA0"/>
          <w:sz w:val="16"/>
        </w:rPr>
        <w:t>[ADC 12, rel. min. Ayres Britto, j. 20-8-2008, P, DJE de 18-12-2009.]</w:t>
      </w:r>
    </w:p>
    <w:p>
      <w:pPr>
        <w:ind w:left="144"/>
      </w:pPr>
      <w:r>
        <w:rPr>
          <w:b/>
          <w:color w:val="B45A00"/>
          <w:sz w:val="16"/>
        </w:rPr>
        <w:t>SUMULA VINCULANTE</w:t>
      </w:r>
    </w:p>
    <w:p>
      <w:pPr>
        <w:ind w:left="288"/>
      </w:pPr>
      <w:r>
        <w:rPr>
          <w:color w:val="8C8C8C"/>
          <w:sz w:val="12"/>
        </w:rPr>
        <w:t>cf-art-125-par-1</w:t>
      </w:r>
    </w:p>
    <w:p>
      <w:pPr>
        <w:ind w:left="288"/>
      </w:pPr>
      <w:r>
        <w:rPr>
          <w:color w:val="1E1E1E"/>
          <w:sz w:val="18"/>
        </w:rPr>
        <w:t>A competência constitucional do tribunal do júri prevalece sobre o foro por prerrogativa de função estabelecido exclusivamente pela Constituição estadual.</w:t>
      </w:r>
    </w:p>
    <w:p>
      <w:pPr>
        <w:ind w:left="288"/>
      </w:pPr>
      <w:r>
        <w:rPr>
          <w:b/>
          <w:color w:val="003CA0"/>
          <w:sz w:val="16"/>
        </w:rPr>
        <w:t>[Súmula Vinculante 45.]</w:t>
      </w:r>
    </w:p>
    <w:p>
      <w:pPr>
        <w:ind w:left="288"/>
      </w:pPr>
      <w:r>
        <w:rPr>
          <w:color w:val="8C8C8C"/>
          <w:sz w:val="12"/>
        </w:rPr>
        <w:t>cf-art-125-par-1</w:t>
      </w:r>
    </w:p>
    <w:p>
      <w:pPr>
        <w:ind w:left="288"/>
      </w:pPr>
      <w:r>
        <w:rPr>
          <w:color w:val="1E1E1E"/>
          <w:sz w:val="18"/>
        </w:rPr>
        <w:t>Compete à Justiça estadual julgar causas entre consumidor e concessionária de serviço público de telefonia, quando a Anatel [Agência Nacional de Telecomunicação] não seja litisconsorte passiva necessária, assistente nem opoente.</w:t>
      </w:r>
    </w:p>
    <w:p>
      <w:pPr>
        <w:ind w:left="288"/>
      </w:pPr>
      <w:r>
        <w:rPr>
          <w:b/>
          <w:color w:val="003CA0"/>
          <w:sz w:val="16"/>
        </w:rPr>
        <w:t>[Súmula Vinculante 27.]</w:t>
      </w:r>
    </w:p>
    <w:p>
      <w:pPr>
        <w:ind w:left="144"/>
      </w:pPr>
      <w:r>
        <w:rPr>
          <w:b/>
          <w:color w:val="B45A00"/>
          <w:sz w:val="16"/>
        </w:rPr>
        <w:t>SUMULA</w:t>
      </w:r>
    </w:p>
    <w:p>
      <w:pPr>
        <w:ind w:left="288"/>
      </w:pPr>
      <w:r>
        <w:rPr>
          <w:color w:val="8C8C8C"/>
          <w:sz w:val="12"/>
        </w:rPr>
        <w:t>cf-art-125-par-1</w:t>
      </w:r>
    </w:p>
    <w:p>
      <w:pPr>
        <w:ind w:left="288"/>
      </w:pPr>
      <w:r>
        <w:rPr>
          <w:color w:val="1E1E1E"/>
          <w:sz w:val="18"/>
        </w:rPr>
        <w:t>A competência constitucional do tribunal do júri prevalece sobre o foro por prerrogativa de função estabelecido exclusivamente pela Constituição estadual.</w:t>
      </w:r>
    </w:p>
    <w:p>
      <w:pPr>
        <w:ind w:left="288"/>
      </w:pPr>
      <w:r>
        <w:rPr>
          <w:b/>
          <w:color w:val="003CA0"/>
          <w:sz w:val="16"/>
        </w:rPr>
        <w:t>[Súmula 721.]</w:t>
      </w:r>
    </w:p>
    <w:p>
      <w:pPr>
        <w:ind w:left="288"/>
      </w:pPr>
      <w:r>
        <w:rPr>
          <w:color w:val="8C8C8C"/>
          <w:sz w:val="12"/>
        </w:rPr>
        <w:t>cf-art-125-par-1</w:t>
      </w:r>
    </w:p>
    <w:p>
      <w:pPr>
        <w:ind w:left="288"/>
      </w:pPr>
      <w:r>
        <w:rPr>
          <w:color w:val="1E1E1E"/>
          <w:sz w:val="18"/>
        </w:rPr>
        <w:t>É competente a Justiça comum para julgar as causas em que é parte sociedade de economia mista.</w:t>
      </w:r>
    </w:p>
    <w:p>
      <w:pPr>
        <w:ind w:left="288"/>
      </w:pPr>
      <w:r>
        <w:rPr>
          <w:b/>
          <w:color w:val="003CA0"/>
          <w:sz w:val="16"/>
        </w:rPr>
        <w:t>[Súmula 556.]</w:t>
      </w:r>
    </w:p>
    <w:p>
      <w:pPr>
        <w:ind w:left="288"/>
      </w:pPr>
      <w:r>
        <w:rPr>
          <w:color w:val="8C8C8C"/>
          <w:sz w:val="12"/>
        </w:rPr>
        <w:t>cf-art-125-par-1</w:t>
      </w:r>
    </w:p>
    <w:p>
      <w:pPr>
        <w:ind w:left="288"/>
      </w:pPr>
      <w:r>
        <w:rPr>
          <w:color w:val="1E1E1E"/>
          <w:sz w:val="18"/>
        </w:rPr>
        <w:t>As sociedades de economia mista só têm foro na Justiça Federal, quando a União intervém como assistente ou opoente.</w:t>
      </w:r>
    </w:p>
    <w:p>
      <w:pPr>
        <w:ind w:left="288"/>
      </w:pPr>
      <w:r>
        <w:rPr>
          <w:b/>
          <w:color w:val="003CA0"/>
          <w:sz w:val="16"/>
        </w:rPr>
        <w:t>[Súmula 517.]</w:t>
      </w:r>
    </w:p>
    <w:p>
      <w:pPr>
        <w:ind w:left="288"/>
      </w:pPr>
      <w:r>
        <w:rPr>
          <w:color w:val="8C8C8C"/>
          <w:sz w:val="12"/>
        </w:rPr>
        <w:t>cf-art-125-par-1</w:t>
      </w:r>
    </w:p>
    <w:p>
      <w:pPr>
        <w:ind w:left="288"/>
      </w:pPr>
      <w:r>
        <w:rPr>
          <w:color w:val="1E1E1E"/>
          <w:sz w:val="18"/>
        </w:rPr>
        <w:t>O Serviço Social da Indústria (SESI) está sujeito à jurisdição da Justiça estadual.</w:t>
      </w:r>
    </w:p>
    <w:p>
      <w:pPr>
        <w:ind w:left="288"/>
      </w:pPr>
      <w:r>
        <w:rPr>
          <w:b/>
          <w:color w:val="003CA0"/>
          <w:sz w:val="16"/>
        </w:rPr>
        <w:t>[Súmula 516.]</w:t>
      </w:r>
    </w:p>
    <w:p>
      <w:pPr>
        <w:ind w:left="288"/>
      </w:pPr>
      <w:r>
        <w:rPr>
          <w:color w:val="8C8C8C"/>
          <w:sz w:val="12"/>
        </w:rPr>
        <w:t>cf-art-125-par-1</w:t>
      </w:r>
    </w:p>
    <w:p>
      <w:pPr>
        <w:ind w:left="288"/>
      </w:pPr>
      <w:r>
        <w:rPr>
          <w:color w:val="1E1E1E"/>
          <w:sz w:val="18"/>
        </w:rPr>
        <w:t>Compete à Justiça estadual, em ambas as instâncias, processar e julgar as causas em que for parte o Banco do Brasil S.A.</w:t>
      </w:r>
    </w:p>
    <w:p>
      <w:pPr>
        <w:ind w:left="288"/>
      </w:pPr>
      <w:r>
        <w:rPr>
          <w:b/>
          <w:color w:val="003CA0"/>
          <w:sz w:val="16"/>
        </w:rPr>
        <w:t>[Súmula 508.]</w:t>
      </w:r>
    </w:p>
    <w:p>
      <w:pPr>
        <w:ind w:left="144"/>
      </w:pPr>
      <w:r>
        <w:rPr>
          <w:b/>
          <w:color w:val="B45A00"/>
          <w:sz w:val="16"/>
        </w:rPr>
        <w:t>CONTROLE CONCENTRADO</w:t>
      </w:r>
    </w:p>
    <w:p>
      <w:pPr>
        <w:ind w:left="288"/>
      </w:pPr>
      <w:r>
        <w:rPr>
          <w:color w:val="8C8C8C"/>
          <w:sz w:val="12"/>
        </w:rPr>
        <w:t>cf-art-125-par-1</w:t>
      </w:r>
      <w:r>
        <w:rPr>
          <w:color w:val="003CA0"/>
          <w:sz w:val="12"/>
        </w:rPr>
        <w:t xml:space="preserve"> | ADI 3.294</w:t>
      </w:r>
      <w:r>
        <w:rPr>
          <w:color w:val="003CA0"/>
          <w:sz w:val="12"/>
        </w:rPr>
        <w:t xml:space="preserve"> | rel. Dias Toffoli</w:t>
      </w:r>
    </w:p>
    <w:p>
      <w:pPr>
        <w:ind w:left="288"/>
      </w:pPr>
      <w:r>
        <w:rPr>
          <w:color w:val="1E1E1E"/>
          <w:sz w:val="18"/>
        </w:rPr>
        <w:t xml:space="preserve">É possível extrair do art. 125 da Constituição a faculdade atribuída aos estados-membros de fixarem o elenco de autoridades que devem ser processadas originalmente nos respectivos tribunais de justiça. As hipóteses de foro por prerrogativa de função já previstas na Carta Federal – as quais asseguram a alguns agentes políticos o julgamento por tribunal de justiça, tais como, o prefeito municipal (art. 29, X), os juízes estaduais e os membros do ministério público (art. 96, III) – não são taxativas, de modo que o constituinte estadual está legitimado a fixar outras hipóteses. (...) Os ocupantes </w:t>
      </w:r>
    </w:p>
    <w:p>
      <w:pPr>
        <w:ind w:left="288"/>
      </w:pPr>
      <w:r>
        <w:rPr>
          <w:b/>
          <w:color w:val="003CA0"/>
          <w:sz w:val="16"/>
        </w:rPr>
        <w:t>[ADI 3.294, rel. min. Dias Toffoli, j. 22-3-2021, P, DJE de 26-5-2021.]</w:t>
      </w:r>
    </w:p>
    <w:p>
      <w:pPr>
        <w:ind w:left="288"/>
      </w:pPr>
      <w:r>
        <w:rPr>
          <w:color w:val="8C8C8C"/>
          <w:sz w:val="12"/>
        </w:rPr>
        <w:t>cf-art-125-par-1</w:t>
      </w:r>
      <w:r>
        <w:rPr>
          <w:color w:val="003CA0"/>
          <w:sz w:val="12"/>
        </w:rPr>
        <w:t xml:space="preserve"> | ADI 5.681</w:t>
      </w:r>
    </w:p>
    <w:p>
      <w:pPr>
        <w:ind w:left="288"/>
      </w:pPr>
      <w:r>
        <w:rPr>
          <w:color w:val="1E1E1E"/>
          <w:sz w:val="18"/>
        </w:rPr>
        <w:t>Ação direta de inconstitucionalidade. Resolução n. 14/2008 do Tribunal de Justiça do Espírito Santo. Desanexação de serventias extrajudiciais por resolução do tribunal de justiça. Descumprimento da exigência constitucional de lei formal. Disciplina sobre organização judiciária. Al d do inc. II do art. 96 e § 1º do art. 125 da Constituição da República. Ação julgada procedente. Modulação dos efeitos do julgado.</w:t>
      </w:r>
    </w:p>
    <w:p>
      <w:pPr>
        <w:ind w:left="288"/>
      </w:pPr>
      <w:r>
        <w:rPr>
          <w:b/>
          <w:color w:val="003CA0"/>
          <w:sz w:val="16"/>
        </w:rPr>
        <w:t>[ADI 5.681, rel.. min. Cármen Lúcia, j. 23-11-2020, P, DJE de 3-12-2020.]</w:t>
      </w:r>
    </w:p>
    <w:p>
      <w:pPr>
        <w:ind w:left="288"/>
      </w:pPr>
      <w:r>
        <w:rPr>
          <w:color w:val="8C8C8C"/>
          <w:sz w:val="12"/>
        </w:rPr>
        <w:t>cf-art-125-par-1</w:t>
      </w:r>
      <w:r>
        <w:rPr>
          <w:color w:val="003CA0"/>
          <w:sz w:val="12"/>
        </w:rPr>
        <w:t xml:space="preserve"> | ADI 2.553</w:t>
      </w:r>
      <w:r>
        <w:rPr>
          <w:color w:val="003CA0"/>
          <w:sz w:val="12"/>
        </w:rPr>
        <w:t xml:space="preserve"> | rel. Alexandre de Moraes</w:t>
      </w:r>
    </w:p>
    <w:p>
      <w:pPr>
        <w:ind w:left="288"/>
      </w:pPr>
      <w:r>
        <w:rPr>
          <w:color w:val="1E1E1E"/>
          <w:sz w:val="18"/>
        </w:rPr>
        <w:t>Competência por prerrogativa de função. Constituição Estadual que estende foro criminal por prerrogativa de função a procuradores de estado, procuradores da assembleia legislativa, defensores públicos e delegados de polícia. impossibilidade de extensão das hipóteses defendidas pelo legislador Constituinte Federal. (...) Impossibilidade de a Constituição Estadual, de forma discricionária, estender o chamado foro por prerrogativa de função Impossibilidade de a Constituição Estadual, de forma discricionária, estender o chamado foro por prerrogativa de função.</w:t>
      </w:r>
    </w:p>
    <w:p>
      <w:pPr>
        <w:ind w:left="288"/>
      </w:pPr>
      <w:r>
        <w:rPr>
          <w:b/>
          <w:color w:val="003CA0"/>
          <w:sz w:val="16"/>
        </w:rPr>
        <w:t>[ADI 2.553, rel. min. Alexandre de Moraes, j. 15.5.2019, P, DJE de 17.8.2020.]</w:t>
      </w:r>
    </w:p>
    <w:p>
      <w:pPr>
        <w:ind w:left="288"/>
      </w:pPr>
      <w:r>
        <w:rPr>
          <w:color w:val="8C8C8C"/>
          <w:sz w:val="12"/>
        </w:rPr>
        <w:t>cf-art-125-par-1</w:t>
      </w:r>
      <w:r>
        <w:rPr>
          <w:color w:val="003CA0"/>
          <w:sz w:val="12"/>
        </w:rPr>
        <w:t xml:space="preserve"> | ADI 5.326</w:t>
      </w:r>
      <w:r>
        <w:rPr>
          <w:color w:val="003CA0"/>
          <w:sz w:val="12"/>
        </w:rPr>
        <w:t xml:space="preserve"> | rel. Marco Aurélio</w:t>
      </w:r>
    </w:p>
    <w:p>
      <w:pPr>
        <w:ind w:left="288"/>
      </w:pPr>
      <w:r>
        <w:rPr>
          <w:color w:val="1E1E1E"/>
          <w:sz w:val="18"/>
        </w:rPr>
        <w:t>Ausente controvérsia a envolver relação de trabalho, compete ao Juízo da Infância e da Juventude, inserido no âmbito da Justiça Comum, apreciar, no campo da jurisdição voluntária, pedido de autorização visando a participação de crianças e adolescentes em eventos de caráter artístico.</w:t>
        <w:br/>
        <w:t>[ADI 5.326 MC, rel. min. Marco Aurélio, j. 27-9-2018, P, DJE de 20-3-2020.] É inconstitucional disposição que atribui iniciativa do governador para lei de organização judiciária.</w:t>
      </w:r>
    </w:p>
    <w:p>
      <w:pPr>
        <w:ind w:left="288"/>
      </w:pPr>
      <w:r>
        <w:rPr>
          <w:b/>
          <w:color w:val="003CA0"/>
          <w:sz w:val="16"/>
        </w:rPr>
        <w:t>[ADI 197, rel. min. Gilmar Mendes, j. 3-4-2014, P, DJE de 22-5-2014.]</w:t>
      </w:r>
    </w:p>
    <w:p>
      <w:pPr>
        <w:ind w:left="288"/>
      </w:pPr>
      <w:r>
        <w:rPr>
          <w:color w:val="8C8C8C"/>
          <w:sz w:val="12"/>
        </w:rPr>
        <w:t>cf-art-125-par-1</w:t>
      </w:r>
      <w:r>
        <w:rPr>
          <w:color w:val="003CA0"/>
          <w:sz w:val="12"/>
        </w:rPr>
        <w:t xml:space="preserve"> | ADC 19</w:t>
      </w:r>
      <w:r>
        <w:rPr>
          <w:color w:val="003CA0"/>
          <w:sz w:val="12"/>
        </w:rPr>
        <w:t xml:space="preserve"> | rel. Marco Aurélio</w:t>
      </w:r>
    </w:p>
    <w:p>
      <w:pPr>
        <w:ind w:left="288"/>
      </w:pPr>
      <w:r>
        <w:rPr>
          <w:color w:val="1E1E1E"/>
          <w:sz w:val="18"/>
        </w:rPr>
        <w:t>O art. 33 da Lei 11.340/2006, no que revela a conveniência de criação dos juizados de violência doméstica e familiar contra a mulher, não implica usurpação da competência normativa dos Estados quanto à própria organização judiciária.</w:t>
      </w:r>
    </w:p>
    <w:p>
      <w:pPr>
        <w:ind w:left="288"/>
      </w:pPr>
      <w:r>
        <w:rPr>
          <w:b/>
          <w:color w:val="003CA0"/>
          <w:sz w:val="16"/>
        </w:rPr>
        <w:t>[ADC 19, rel. min. Marco Aurélio, j. 9-2-2012, P, DJE de 29-4-2014.]</w:t>
      </w:r>
    </w:p>
    <w:p>
      <w:pPr>
        <w:ind w:left="288"/>
      </w:pPr>
      <w:r>
        <w:rPr>
          <w:color w:val="8C8C8C"/>
          <w:sz w:val="12"/>
        </w:rPr>
        <w:t>cf-art-125-par-1</w:t>
      </w:r>
      <w:r>
        <w:rPr>
          <w:color w:val="003CA0"/>
          <w:sz w:val="12"/>
        </w:rPr>
        <w:t xml:space="preserve"> | ADI 2.415</w:t>
      </w:r>
      <w:r>
        <w:rPr>
          <w:color w:val="003CA0"/>
          <w:sz w:val="12"/>
        </w:rPr>
        <w:t xml:space="preserve"> | rel. Ayres Britto</w:t>
      </w:r>
    </w:p>
    <w:p>
      <w:pPr>
        <w:ind w:left="288"/>
      </w:pPr>
      <w:r>
        <w:rPr>
          <w:color w:val="1E1E1E"/>
          <w:sz w:val="18"/>
        </w:rPr>
        <w:t>As serventias extrajudiciais se compõem de um feixe de competências públicas, embora exercidas em regime de delegação a pessoa privada. Competências que fazem de tais serventias uma instância de formalização de atos de criação, preservação, modificação, transformação e extinção de direitos e obrigações. Se esse feixe de competências públicas investe as serventias extrajudiciais em parcela do poder estatal idônea à colocação de terceiros numa condição de servil acatamento, a modificação dessas competências estatais (criação, extinção, acumulação e desacumulação de unidades) somente é de ser rea</w:t>
      </w:r>
    </w:p>
    <w:p>
      <w:pPr>
        <w:ind w:left="288"/>
      </w:pPr>
      <w:r>
        <w:rPr>
          <w:b/>
          <w:color w:val="003CA0"/>
          <w:sz w:val="16"/>
        </w:rPr>
        <w:t>[ADI 2.415, rel. min. Ayres Britto, j. 10-11-2011, P, DJE de 9-2-2012.]</w:t>
      </w:r>
    </w:p>
    <w:p>
      <w:pPr>
        <w:ind w:left="288"/>
      </w:pPr>
      <w:r>
        <w:rPr>
          <w:color w:val="8C8C8C"/>
          <w:sz w:val="12"/>
        </w:rPr>
        <w:t>cf-art-125-par-1</w:t>
      </w:r>
      <w:r>
        <w:rPr>
          <w:color w:val="003CA0"/>
          <w:sz w:val="12"/>
        </w:rPr>
        <w:t xml:space="preserve"> | ADI 4.657</w:t>
      </w:r>
      <w:r>
        <w:rPr>
          <w:color w:val="003CA0"/>
          <w:sz w:val="12"/>
        </w:rPr>
        <w:t xml:space="preserve"> | rel. Marco Aurélio</w:t>
      </w:r>
    </w:p>
    <w:p>
      <w:pPr>
        <w:ind w:left="288"/>
      </w:pPr>
      <w:r>
        <w:rPr>
          <w:color w:val="1E1E1E"/>
          <w:sz w:val="18"/>
        </w:rPr>
        <w:t>= ADI 4.657 MC, rel. min. Marco Aurélio, j. 29-2-2012, P, DJE de 25-4-2012 Vide ADI 4.453 MC, rel. min. Cármen Lúcia, j. 29-6-2011, P, DJE de 24-8-2011 Vide ADI 4.140, rel. min. Ellen Gracie, j. 27-11-2008, P, DJE de 20-9-2009 Medida cautelar em ação direta de inconstitucionalidade. Resolução 291/2010 do Tribunal de Justiça de Pernambuco. (...) Plausível é a alegação de que a transformação de serventias extrajudiciais depende de edição de lei formal de iniciativa privativa do Poder Judiciário.</w:t>
      </w:r>
    </w:p>
    <w:p>
      <w:pPr>
        <w:ind w:left="288"/>
      </w:pPr>
      <w:r>
        <w:rPr>
          <w:b/>
          <w:color w:val="003CA0"/>
          <w:sz w:val="16"/>
        </w:rPr>
        <w:t>[ADI 4.453 MC, rel. min. Cármen Lúcia, j. 29-6-2011, P, DJE de 24-8-2011.]</w:t>
      </w:r>
    </w:p>
    <w:p>
      <w:pPr>
        <w:ind w:left="288"/>
      </w:pPr>
      <w:r>
        <w:rPr>
          <w:color w:val="8C8C8C"/>
          <w:sz w:val="12"/>
        </w:rPr>
        <w:t>cf-art-125-par-1</w:t>
      </w:r>
      <w:r>
        <w:rPr>
          <w:color w:val="003CA0"/>
          <w:sz w:val="12"/>
        </w:rPr>
        <w:t xml:space="preserve"> | ADI 2.415</w:t>
      </w:r>
      <w:r>
        <w:rPr>
          <w:color w:val="003CA0"/>
          <w:sz w:val="12"/>
        </w:rPr>
        <w:t xml:space="preserve"> | rel. Ayres Britto</w:t>
      </w:r>
    </w:p>
    <w:p>
      <w:pPr>
        <w:ind w:left="288"/>
      </w:pPr>
      <w:r>
        <w:rPr>
          <w:color w:val="1E1E1E"/>
          <w:sz w:val="18"/>
        </w:rPr>
        <w:t>Vide ADI 2.415, rel. min. Ayres Britto, j. 10-11-2011, P, DJE de 9-2-2012 Compete à Constituição do Estado definir as atribuições do tribunal de justiça, nos termos do art. 125, § 1º, da Constituição da República. Essa competência não pode ser transferida ao legislador infraconstitucional. Ação julgada procedente para excluir da norma do art. 108, VII, b, da Constituição do Ceará a expressão "e de quaisquer outras autoridades a estas equiparadas na forma da lei".</w:t>
      </w:r>
    </w:p>
    <w:p>
      <w:pPr>
        <w:ind w:left="288"/>
      </w:pPr>
      <w:r>
        <w:rPr>
          <w:b/>
          <w:color w:val="003CA0"/>
          <w:sz w:val="16"/>
        </w:rPr>
        <w:t>[ADI 3.140, rel. min. Cármen Lúcia, j. 10-5-2007, P, DJ de 29-6-2007.]</w:t>
      </w:r>
    </w:p>
    <w:p>
      <w:pPr>
        <w:ind w:left="288"/>
      </w:pPr>
      <w:r>
        <w:rPr>
          <w:color w:val="8C8C8C"/>
          <w:sz w:val="12"/>
        </w:rPr>
        <w:t>cf-art-125-par-1</w:t>
      </w:r>
      <w:r>
        <w:rPr>
          <w:color w:val="003CA0"/>
          <w:sz w:val="12"/>
        </w:rPr>
        <w:t xml:space="preserve"> | HC 103.803</w:t>
      </w:r>
      <w:r>
        <w:rPr>
          <w:color w:val="003CA0"/>
          <w:sz w:val="12"/>
        </w:rPr>
        <w:t xml:space="preserve"> | rel. Teori Zavascki</w:t>
      </w:r>
    </w:p>
    <w:p>
      <w:pPr>
        <w:ind w:left="288"/>
      </w:pPr>
      <w:r>
        <w:rPr>
          <w:color w:val="1E1E1E"/>
          <w:sz w:val="18"/>
        </w:rPr>
        <w:t>= HC 103.803, rel. min. Teori Zavascki, j. 1º-7-2014, P, DJE de 6-10-2014</w:t>
      </w:r>
    </w:p>
    <w:p>
      <w:pPr>
        <w:ind w:left="144"/>
      </w:pPr>
      <w:r>
        <w:rPr>
          <w:b/>
          <w:color w:val="B45A00"/>
          <w:sz w:val="16"/>
        </w:rPr>
        <w:t>REPERCUSSAO GERAL</w:t>
      </w:r>
    </w:p>
    <w:p>
      <w:pPr>
        <w:ind w:left="288"/>
      </w:pPr>
      <w:r>
        <w:rPr>
          <w:color w:val="8C8C8C"/>
          <w:sz w:val="12"/>
        </w:rPr>
        <w:t>cf-art-125-par-1</w:t>
      </w:r>
      <w:r>
        <w:rPr>
          <w:color w:val="003CA0"/>
          <w:sz w:val="12"/>
        </w:rPr>
        <w:t xml:space="preserve"> | RE 606.003</w:t>
      </w:r>
    </w:p>
    <w:p>
      <w:pPr>
        <w:ind w:left="288"/>
      </w:pPr>
      <w:r>
        <w:rPr>
          <w:color w:val="1E1E1E"/>
          <w:sz w:val="18"/>
        </w:rPr>
        <w:t>Preenchidos os requisitos dispostos na Lei 4.886/65, compete à Justiça Comum o julgamento de processos envolvendo relação jurídica entre representante e representada comerciais, uma vez que não há relação de trabalho entre as partes.</w:t>
      </w:r>
    </w:p>
    <w:p>
      <w:pPr>
        <w:ind w:left="288"/>
      </w:pPr>
      <w:r>
        <w:rPr>
          <w:b/>
          <w:color w:val="003CA0"/>
          <w:sz w:val="16"/>
        </w:rPr>
        <w:t>[RE 606.003, red. do ac. min. Roberto Barroso, j. 28-9-2020, P, DJE de 14-10-2020, Tema 550, com mérito julgado.]</w:t>
      </w:r>
    </w:p>
    <w:p>
      <w:pPr>
        <w:ind w:left="288"/>
      </w:pPr>
      <w:r>
        <w:rPr>
          <w:color w:val="8C8C8C"/>
          <w:sz w:val="12"/>
        </w:rPr>
        <w:t>cf-art-125-par-1</w:t>
      </w:r>
      <w:r>
        <w:rPr>
          <w:color w:val="003CA0"/>
          <w:sz w:val="12"/>
        </w:rPr>
        <w:t xml:space="preserve"> | RE 1.265.549</w:t>
      </w:r>
      <w:r>
        <w:rPr>
          <w:color w:val="003CA0"/>
          <w:sz w:val="12"/>
        </w:rPr>
        <w:t xml:space="preserve"> | rel. Dias Toffoli</w:t>
      </w:r>
    </w:p>
    <w:p>
      <w:pPr>
        <w:ind w:left="288"/>
      </w:pPr>
      <w:r>
        <w:rPr>
          <w:color w:val="1E1E1E"/>
          <w:sz w:val="18"/>
        </w:rPr>
        <w:t>Compete à Justiça comum processar e julgar causas sobre complementação de aposentadoria instituída por lei cujo pagamento seja, originariamente ou por sucessão, da responsabilidade da Administração Pública direta ou indireta, por derivar essa responsabilidade de relação jurídico-administrativa.</w:t>
        <w:br/>
        <w:t>[RE 1.265.549, rel. min. Dias Toffoli, j. 4-6-2020, P, DJE de 19-6-2020, Tema 1.092, com mérito julgado e reafirmação de jurisprudência.] Compete à Justiça comum o julgamento de conflito a envolver a incidência de contribuição previdenciária sobre complementação de proventos de aposentadoria.</w:t>
      </w:r>
    </w:p>
    <w:p>
      <w:pPr>
        <w:ind w:left="288"/>
      </w:pPr>
      <w:r>
        <w:rPr>
          <w:b/>
          <w:color w:val="003CA0"/>
          <w:sz w:val="16"/>
        </w:rPr>
        <w:t>[RE 594.435, rel. min. Marco Aurélio, j. 24-5-2018, P, DJE de 3-9-2018, Tema 149, com mérito julgado.]</w:t>
      </w:r>
    </w:p>
    <w:p>
      <w:pPr>
        <w:ind w:left="288"/>
      </w:pPr>
      <w:r>
        <w:rPr>
          <w:color w:val="8C8C8C"/>
          <w:sz w:val="12"/>
        </w:rPr>
        <w:t>cf-art-125-par-1</w:t>
      </w:r>
      <w:r>
        <w:rPr>
          <w:color w:val="003CA0"/>
          <w:sz w:val="12"/>
        </w:rPr>
        <w:t xml:space="preserve"> | RE 586.453</w:t>
      </w:r>
    </w:p>
    <w:p>
      <w:pPr>
        <w:ind w:left="288"/>
      </w:pPr>
      <w:r>
        <w:rPr>
          <w:color w:val="1E1E1E"/>
          <w:sz w:val="18"/>
        </w:rPr>
        <w:t>Essa definição de competência da Justiça comum ou do Trabalho para julgar causas que tratem da complementação de aposentadoria paga por entidade fechada de previdência privada tem gerado grandes divergências na jurisprudência deste Supremo Tribunal. (...) No presente caso, a complementação de aposentadoria teve como origem um contrato de trabalho já extinto.(...) compete à Justiça comum o julgamento da presente causa, tendo em vista a inexistência de relação trabalhista entre o beneficiário e a entidade fechada de previdência complementar. O surgimento de eventual controvérsia terá natureza cí</w:t>
      </w:r>
    </w:p>
    <w:p>
      <w:pPr>
        <w:ind w:left="288"/>
      </w:pPr>
      <w:r>
        <w:rPr>
          <w:b/>
          <w:color w:val="003CA0"/>
          <w:sz w:val="16"/>
        </w:rPr>
        <w:t>[RE 586.453, red. do ac. min. Dias Toffoli, voto da min. Ellen Gracie, j. 20-2-2013, P, DJE de 6-6-2013, Tema 190, com mérito julgado.]</w:t>
      </w:r>
    </w:p>
    <w:p>
      <w:pPr>
        <w:ind w:left="288"/>
      </w:pPr>
      <w:r>
        <w:rPr>
          <w:color w:val="8C8C8C"/>
          <w:sz w:val="12"/>
        </w:rPr>
        <w:t>cf-art-125-par-1</w:t>
      </w:r>
      <w:r>
        <w:rPr>
          <w:color w:val="003CA0"/>
          <w:sz w:val="12"/>
        </w:rPr>
        <w:t xml:space="preserve"> | RE 571.572</w:t>
      </w:r>
      <w:r>
        <w:rPr>
          <w:color w:val="003CA0"/>
          <w:sz w:val="12"/>
        </w:rPr>
        <w:t xml:space="preserve"> | rel. Gilmar Mendes</w:t>
      </w:r>
    </w:p>
    <w:p>
      <w:pPr>
        <w:ind w:left="288"/>
      </w:pPr>
      <w:r>
        <w:rPr>
          <w:color w:val="1E1E1E"/>
          <w:sz w:val="18"/>
        </w:rPr>
        <w:t>Telefonia. Cobrança de pulsos além da franquia. (...) Por não figurar na relação jurídica de consumo, a Agência Nacional de Telecomunicações (ANATEL) carece de legitimidade para compor o polo passivo de ação movida pelo particular, usuário do serviço de telefonia móvel, contra a concessionária. Ausente participação da autarquia federal, sob qualquer das hipóteses previstas no art. 109, I, da Constituição, a competência é da Justiça estadual. Em se tratando de demanda que se resolve pela análise de matéria exclusivamente de direito, a dispensar instrução complexa, cabível seu processamento no j</w:t>
      </w:r>
    </w:p>
    <w:p>
      <w:pPr>
        <w:ind w:left="288"/>
      </w:pPr>
      <w:r>
        <w:rPr>
          <w:b/>
          <w:color w:val="003CA0"/>
          <w:sz w:val="16"/>
        </w:rPr>
        <w:t>[RE 571.572, rel. min. Gilmar Mendes, j. 8-10-2008, P, DJE de 13-2-2009, Tema 17, com mérito julgado.]</w:t>
      </w:r>
    </w:p>
    <w:p>
      <w:pPr>
        <w:ind w:left="144"/>
      </w:pPr>
      <w:r>
        <w:rPr>
          <w:b/>
          <w:color w:val="B45A00"/>
          <w:sz w:val="16"/>
        </w:rPr>
        <w:t>JULGADOS CORRELATOS</w:t>
      </w:r>
    </w:p>
    <w:p>
      <w:pPr>
        <w:ind w:left="288"/>
      </w:pPr>
      <w:r>
        <w:rPr>
          <w:color w:val="8C8C8C"/>
          <w:sz w:val="12"/>
        </w:rPr>
        <w:t>cf-art-125-par-1</w:t>
      </w:r>
      <w:r>
        <w:rPr>
          <w:color w:val="003CA0"/>
          <w:sz w:val="12"/>
        </w:rPr>
        <w:t xml:space="preserve"> | ADC 48</w:t>
      </w:r>
    </w:p>
    <w:p>
      <w:pPr>
        <w:ind w:left="288"/>
      </w:pPr>
      <w:r>
        <w:rPr>
          <w:color w:val="1E1E1E"/>
          <w:sz w:val="18"/>
        </w:rPr>
        <w:t>No julgamento da ADC 48, o Ministro Relator Roberto Barroso consignou em seu voto que a Lei 11.442/2007 disciplina, entre outras questões, a relação comercial, de natureza civil, existente entre os agentes do setor, permitindo a contratação de autônomos para a realização do Transporte Rodoviário de Cargas (TRC) sem a configuração de vínculo de emprego. As relações envolvendo a incidência da Lei 11.442/2007 possuem natureza jurídica comercial, motivo pelo qual devem ser analisadas pela justiça comum, e não pela justiça do trabalho, ainda que em discussão alegação de fraude à legislação trabalhi</w:t>
      </w:r>
    </w:p>
    <w:p>
      <w:pPr>
        <w:ind w:left="288"/>
      </w:pPr>
      <w:r>
        <w:rPr>
          <w:b/>
          <w:color w:val="003CA0"/>
          <w:sz w:val="16"/>
        </w:rPr>
        <w:t>[Rcl 48.944 AgR, red. do ac. min. Alexandre de Moraes, j. 6-12-2021, 1ª T, DJE de 10-3-2022.]</w:t>
      </w:r>
    </w:p>
    <w:p>
      <w:pPr>
        <w:ind w:left="288"/>
      </w:pPr>
      <w:r>
        <w:rPr>
          <w:color w:val="8C8C8C"/>
          <w:sz w:val="12"/>
        </w:rPr>
        <w:t>cf-art-125-par-1</w:t>
      </w:r>
      <w:r>
        <w:rPr>
          <w:color w:val="003CA0"/>
          <w:sz w:val="12"/>
        </w:rPr>
        <w:t xml:space="preserve"> | MS 32.865</w:t>
      </w:r>
      <w:r>
        <w:rPr>
          <w:color w:val="003CA0"/>
          <w:sz w:val="12"/>
        </w:rPr>
        <w:t xml:space="preserve"> | rel. Celso de Mello</w:t>
      </w:r>
    </w:p>
    <w:p>
      <w:pPr>
        <w:ind w:left="288"/>
      </w:pPr>
      <w:r>
        <w:rPr>
          <w:color w:val="1E1E1E"/>
          <w:sz w:val="18"/>
        </w:rPr>
        <w:t>(...) a alegação dos impetrantes, fundada em substanciosas razões de ordem constitucional, de que a deliberação do CNJ, proferida no PCA [Procedimento de Controle Administrativo] (...), instaurado por iniciativa do Conselho Seccional da OAB/RJ, teria transgredido a autonomia institucional do e. Tribunal de Justiça do Rio de Janeiro (CF, arts. 96 e 99) e vulnerado a competência legislativa estadual para dispor sobre organização judiciária do Estado-membro (CF, art. 125, § 1º). (...) o CNJ, não obstante a sua condição de órgão central do sistema judiciário de controle interno da atividade admini</w:t>
      </w:r>
    </w:p>
    <w:p>
      <w:pPr>
        <w:ind w:left="288"/>
      </w:pPr>
      <w:r>
        <w:rPr>
          <w:b/>
          <w:color w:val="003CA0"/>
          <w:sz w:val="16"/>
        </w:rPr>
        <w:t>[MS 32.865 MC, rel. min. Celso de Mello, j. 2-6-2014, dec. monocrática, DJE de 5-6-2014.]</w:t>
      </w:r>
    </w:p>
    <w:p>
      <w:pPr>
        <w:ind w:left="288"/>
      </w:pPr>
      <w:r>
        <w:rPr>
          <w:color w:val="8C8C8C"/>
          <w:sz w:val="12"/>
        </w:rPr>
        <w:t>cf-art-125-par-1</w:t>
      </w:r>
      <w:r>
        <w:rPr>
          <w:color w:val="003CA0"/>
          <w:sz w:val="12"/>
        </w:rPr>
        <w:t xml:space="preserve"> | HC 121.283</w:t>
      </w:r>
      <w:r>
        <w:rPr>
          <w:color w:val="003CA0"/>
          <w:sz w:val="12"/>
        </w:rPr>
        <w:t xml:space="preserve"> | rel. Roberto Barroso</w:t>
      </w:r>
    </w:p>
    <w:p>
      <w:pPr>
        <w:ind w:left="288"/>
      </w:pPr>
      <w:r>
        <w:rPr>
          <w:color w:val="1E1E1E"/>
          <w:sz w:val="18"/>
        </w:rPr>
        <w:t>É da Justiça estadual a competência para processar e julgar o crime de incitação à discriminação racial por meio da internet cometido contra pessoas determinadas e cujo resultado não ultrapassou as fronteiras territoriais brasileiras.</w:t>
      </w:r>
    </w:p>
    <w:p>
      <w:pPr>
        <w:ind w:left="288"/>
      </w:pPr>
      <w:r>
        <w:rPr>
          <w:b/>
          <w:color w:val="003CA0"/>
          <w:sz w:val="16"/>
        </w:rPr>
        <w:t>[HC 121.283, rel. min. Roberto Barroso, j. 29-4-2014, 1ª T, DJE de 14-5-2014.]</w:t>
      </w:r>
    </w:p>
    <w:p>
      <w:pPr>
        <w:ind w:left="288"/>
      </w:pPr>
      <w:r>
        <w:rPr>
          <w:color w:val="8C8C8C"/>
          <w:sz w:val="12"/>
        </w:rPr>
        <w:t>cf-art-125-par-1</w:t>
      </w:r>
      <w:r>
        <w:rPr>
          <w:color w:val="003CA0"/>
          <w:sz w:val="12"/>
        </w:rPr>
        <w:t xml:space="preserve"> | RE 232.982</w:t>
      </w:r>
      <w:r>
        <w:rPr>
          <w:color w:val="003CA0"/>
          <w:sz w:val="12"/>
        </w:rPr>
        <w:t xml:space="preserve"> | rel. Joaquim Barbosa</w:t>
      </w:r>
    </w:p>
    <w:p>
      <w:pPr>
        <w:ind w:left="288"/>
      </w:pPr>
      <w:r>
        <w:rPr>
          <w:color w:val="1E1E1E"/>
          <w:sz w:val="18"/>
        </w:rPr>
        <w:t>As duas Turmas desta Corte, analisando recursos da ora agravante, concluíram ser da competência da Justiça comum o julgamento do mandado de segurança que alega estabilidade prevista no art. 19 do ADCT. Precedentes: RE 232.982 AgR; AI 239.048 AgR; entre outros.</w:t>
      </w:r>
    </w:p>
    <w:p>
      <w:pPr>
        <w:ind w:left="288"/>
      </w:pPr>
      <w:r>
        <w:rPr>
          <w:b/>
          <w:color w:val="003CA0"/>
          <w:sz w:val="16"/>
        </w:rPr>
        <w:t>[RE 235.011 AgR, rel. min. Joaquim Barbosa, j. 14-9-2010, 2ª T, DJE de 8-10-2010.]</w:t>
      </w:r>
    </w:p>
    <w:p>
      <w:pPr>
        <w:ind w:left="288"/>
      </w:pPr>
      <w:r>
        <w:rPr>
          <w:color w:val="8C8C8C"/>
          <w:sz w:val="12"/>
        </w:rPr>
        <w:t>cf-art-125-par-1</w:t>
      </w:r>
      <w:r>
        <w:rPr>
          <w:color w:val="003CA0"/>
          <w:sz w:val="12"/>
        </w:rPr>
        <w:t xml:space="preserve"> | RE 464.935</w:t>
      </w:r>
      <w:r>
        <w:rPr>
          <w:color w:val="003CA0"/>
          <w:sz w:val="12"/>
        </w:rPr>
        <w:t xml:space="preserve"> | rel. Cezar Peluso</w:t>
      </w:r>
    </w:p>
    <w:p>
      <w:pPr>
        <w:ind w:left="288"/>
      </w:pPr>
      <w:r>
        <w:rPr>
          <w:color w:val="1E1E1E"/>
          <w:sz w:val="18"/>
        </w:rPr>
        <w:t>Competência criminal. (...) Inteligência dos arts. 22, I, e 125, § 1º, da CF. Não afronta a Constituição da República a norma de Constituição estadual que, disciplinando competência originária do tribunal de justiça, lhe atribui para processar e julgar vereador.</w:t>
      </w:r>
    </w:p>
    <w:p>
      <w:pPr>
        <w:ind w:left="288"/>
      </w:pPr>
      <w:r>
        <w:rPr>
          <w:b/>
          <w:color w:val="003CA0"/>
          <w:sz w:val="16"/>
        </w:rPr>
        <w:t>[RE 464.935, rel. min. Cezar Peluso, j. 3-6-2008, 2ª T, DJE de 27-6-2008.]</w:t>
      </w:r>
    </w:p>
    <w:p>
      <w:pPr>
        <w:ind w:left="288"/>
      </w:pPr>
      <w:r>
        <w:rPr>
          <w:color w:val="8C8C8C"/>
          <w:sz w:val="12"/>
        </w:rPr>
        <w:t>cf-art-125-par-1</w:t>
      </w:r>
      <w:r>
        <w:rPr>
          <w:color w:val="003CA0"/>
          <w:sz w:val="12"/>
        </w:rPr>
        <w:t xml:space="preserve"> | RE 237.098</w:t>
      </w:r>
      <w:r>
        <w:rPr>
          <w:color w:val="003CA0"/>
          <w:sz w:val="12"/>
        </w:rPr>
        <w:t xml:space="preserve"> | rel. Ilmar Galvão</w:t>
      </w:r>
    </w:p>
    <w:p>
      <w:pPr>
        <w:ind w:left="288"/>
      </w:pPr>
      <w:r>
        <w:rPr>
          <w:color w:val="1E1E1E"/>
          <w:sz w:val="18"/>
        </w:rPr>
        <w:t>A jurisprudência do STF já se firmou no sentido de que compete à Justiça comum dirimir demanda proposta por antigos ferroviários e pensionistas de empresas incorporadas à Fepasa [Ferrovia Paulista S.A.], buscando a retificação do cálculo de seus proventos ou pensões.</w:t>
      </w:r>
    </w:p>
    <w:p>
      <w:pPr>
        <w:ind w:left="288"/>
      </w:pPr>
      <w:r>
        <w:rPr>
          <w:b/>
          <w:color w:val="003CA0"/>
          <w:sz w:val="16"/>
        </w:rPr>
        <w:t>[RE 237.098 AgR, rel. min. Ilmar Galvão, j. 7-5-2002, 1ª T, DJ de 2-8-2002.]</w:t>
      </w:r>
    </w:p>
    <w:p>
      <w:pPr>
        <w:ind w:left="288"/>
      </w:pPr>
      <w:r>
        <w:rPr>
          <w:color w:val="8C8C8C"/>
          <w:sz w:val="12"/>
        </w:rPr>
        <w:t>cf-art-125-par-1</w:t>
      </w:r>
      <w:r>
        <w:rPr>
          <w:color w:val="003CA0"/>
          <w:sz w:val="12"/>
        </w:rPr>
        <w:t xml:space="preserve"> | RCL 4.803</w:t>
      </w:r>
      <w:r>
        <w:rPr>
          <w:color w:val="003CA0"/>
          <w:sz w:val="12"/>
        </w:rPr>
        <w:t xml:space="preserve"> | rel. Dias Toffoli</w:t>
      </w:r>
    </w:p>
    <w:p>
      <w:pPr>
        <w:ind w:left="288"/>
      </w:pPr>
      <w:r>
        <w:rPr>
          <w:color w:val="1E1E1E"/>
          <w:sz w:val="18"/>
        </w:rPr>
        <w:t>= Rcl 4.803, rel. min. Dias Toffoli, j. 2-6-2010, P, DJE de 22-10-2010 Vide AI 732.170 AgR, rel. min. Ricardo Lewandowski, j. 28-10-2008, 1ª T, DJE de 21-11-2008 Competência. Art. 102, I, f, da CF de 1988. Ação cível entre sociedades de economia mista da administração indireta federal e estadual. Justiça comum. Foro de eleição. Tratando-se de ação ordinária de cobrança, movida por sociedade de economia mista, integrante da administração indireta federal (Furnas – Centrais Elétricas S.A.), contra sociedade de economia mista da administração indireta estadual (Cia. Energética de São Paulo – CESP</w:t>
      </w:r>
    </w:p>
    <w:p>
      <w:pPr>
        <w:ind w:left="288"/>
      </w:pPr>
      <w:r>
        <w:rPr>
          <w:b/>
          <w:color w:val="003CA0"/>
          <w:sz w:val="16"/>
        </w:rPr>
        <w:t>[ACO 396 QO, rel. min. Sydney Sanches, j. 28-3-1990, P, DJ de 27-4-1990.]</w:t>
      </w:r>
    </w:p>
    <w:p>
      <w:pPr>
        <w:ind w:left="144"/>
      </w:pPr>
      <w:r>
        <w:rPr>
          <w:b/>
          <w:color w:val="B45A00"/>
          <w:sz w:val="16"/>
        </w:rPr>
        <w:t>CONTROLE CONCENTRADO</w:t>
      </w:r>
    </w:p>
    <w:p>
      <w:pPr>
        <w:ind w:left="288"/>
      </w:pPr>
      <w:r>
        <w:rPr>
          <w:color w:val="8C8C8C"/>
          <w:sz w:val="12"/>
        </w:rPr>
        <w:t>cf-art-125-par-2</w:t>
      </w:r>
      <w:r>
        <w:rPr>
          <w:color w:val="003CA0"/>
          <w:sz w:val="12"/>
        </w:rPr>
        <w:t xml:space="preserve"> | ADI 558</w:t>
      </w:r>
      <w:r>
        <w:rPr>
          <w:color w:val="003CA0"/>
          <w:sz w:val="12"/>
        </w:rPr>
        <w:t xml:space="preserve"> | rel. Cármen Lúcia</w:t>
      </w:r>
    </w:p>
    <w:p>
      <w:pPr>
        <w:ind w:left="288"/>
      </w:pPr>
      <w:r>
        <w:rPr>
          <w:color w:val="1E1E1E"/>
          <w:sz w:val="18"/>
        </w:rPr>
        <w:t>No § 2º do art. 125 da Constituição da República se veda seja atribuída a um único órgão a legitimidade para a representação de inconstitucionalidade de leis ou atos normativos estaduais ou municipais em face da Constituição Estadual. Os Estados detêm autonomia para ampliar os legitimados para além do previsto no art. 103 da Constituição da República. Não ofende os art. 132 e 134 da Constituição da República a atribuição ao Procurador-Geral do Estado, ao Defensor Público Geral do Estado, à Comissão Permanente da Assembleia Legislativa e aos membros da Assembleia Legislativa para ajuizarem ação</w:t>
      </w:r>
    </w:p>
    <w:p>
      <w:pPr>
        <w:ind w:left="288"/>
      </w:pPr>
      <w:r>
        <w:rPr>
          <w:b/>
          <w:color w:val="003CA0"/>
          <w:sz w:val="16"/>
        </w:rPr>
        <w:t>[ADI 558, rel. min. Cármen Lúcia, j. 19-4-2021, P, DJE de 22-9-2021.]</w:t>
      </w:r>
    </w:p>
    <w:p>
      <w:pPr>
        <w:ind w:left="288"/>
      </w:pPr>
      <w:r>
        <w:rPr>
          <w:color w:val="8C8C8C"/>
          <w:sz w:val="12"/>
        </w:rPr>
        <w:t>cf-art-125-par-2</w:t>
      </w:r>
      <w:r>
        <w:rPr>
          <w:color w:val="003CA0"/>
          <w:sz w:val="12"/>
        </w:rPr>
        <w:t xml:space="preserve"> | ADI 119</w:t>
      </w:r>
      <w:r>
        <w:rPr>
          <w:color w:val="003CA0"/>
          <w:sz w:val="12"/>
        </w:rPr>
        <w:t xml:space="preserve"> | rel. Dias Toffoli</w:t>
      </w:r>
    </w:p>
    <w:p>
      <w:pPr>
        <w:ind w:left="288"/>
      </w:pPr>
      <w:r>
        <w:rPr>
          <w:color w:val="1E1E1E"/>
          <w:sz w:val="18"/>
        </w:rPr>
        <w:t>Não é inconstitucional norma da Constituição do Estado que atribui ao procurador da assembleia legislativa ou, alternativamente, ao procurador-geral do Estado, a incumbência de defender a constitucionalidade de ato normativo estadual questionado em controle abstrato de constitucionalidade na esfera de competência do tribunal de justiça. Previsão que não afronta a CF, já que ausente o dever de simetria para com o modelo federal, que impõe apenas a pluralidade de legitimados para a propositura da ação (art. 125, § 2º, CF/1988). Ausência de ofensa ao art. 132 da Carta Política, que fixa a exclusi</w:t>
      </w:r>
    </w:p>
    <w:p>
      <w:pPr>
        <w:ind w:left="288"/>
      </w:pPr>
      <w:r>
        <w:rPr>
          <w:b/>
          <w:color w:val="003CA0"/>
          <w:sz w:val="16"/>
        </w:rPr>
        <w:t>[ADI 119, rel. min. Dias Toffoli, j. 19-2-2014, P, DJE de 28-3-2014.]</w:t>
      </w:r>
    </w:p>
    <w:p>
      <w:pPr>
        <w:ind w:left="288"/>
      </w:pPr>
      <w:r>
        <w:rPr>
          <w:color w:val="8C8C8C"/>
          <w:sz w:val="12"/>
        </w:rPr>
        <w:t>cf-art-125-par-2</w:t>
      </w:r>
      <w:r>
        <w:rPr>
          <w:color w:val="003CA0"/>
          <w:sz w:val="12"/>
        </w:rPr>
        <w:t xml:space="preserve"> | ADI 347</w:t>
      </w:r>
      <w:r>
        <w:rPr>
          <w:color w:val="003CA0"/>
          <w:sz w:val="12"/>
        </w:rPr>
        <w:t xml:space="preserve"> | rel. Joaquim Barbosa</w:t>
      </w:r>
    </w:p>
    <w:p>
      <w:pPr>
        <w:ind w:left="288"/>
      </w:pPr>
      <w:r>
        <w:rPr>
          <w:color w:val="1E1E1E"/>
          <w:sz w:val="18"/>
        </w:rPr>
        <w:t>É pacífica a jurisprudência do STF, antes e depois de 1988, no sentido de que não cabe a tribunais de justiça estaduais exercer o controle de constitucionalidade de leis e demais atos normativos municipais em face da CF.</w:t>
      </w:r>
    </w:p>
    <w:p>
      <w:pPr>
        <w:ind w:left="288"/>
      </w:pPr>
      <w:r>
        <w:rPr>
          <w:b/>
          <w:color w:val="003CA0"/>
          <w:sz w:val="16"/>
        </w:rPr>
        <w:t>[ADI 347, rel. min. Joaquim Barbosa, j. 20-10-2006, P, DJ de 20-9-2006.]</w:t>
      </w:r>
    </w:p>
    <w:p>
      <w:pPr>
        <w:ind w:left="288"/>
      </w:pPr>
      <w:r>
        <w:rPr>
          <w:color w:val="8C8C8C"/>
          <w:sz w:val="12"/>
        </w:rPr>
        <w:t>cf-art-125-par-2</w:t>
      </w:r>
      <w:r>
        <w:rPr>
          <w:color w:val="003CA0"/>
          <w:sz w:val="12"/>
        </w:rPr>
        <w:t xml:space="preserve"> | RCL 16.431</w:t>
      </w:r>
      <w:r>
        <w:rPr>
          <w:color w:val="003CA0"/>
          <w:sz w:val="12"/>
        </w:rPr>
        <w:t xml:space="preserve"> | rel. Celso de Mello</w:t>
      </w:r>
    </w:p>
    <w:p>
      <w:pPr>
        <w:ind w:left="288"/>
      </w:pPr>
      <w:r>
        <w:rPr>
          <w:color w:val="1E1E1E"/>
          <w:sz w:val="18"/>
        </w:rPr>
        <w:t>= Rcl 16.431 MC, rel. min. Celso de Mello, j. 23-10-2013, dec. monocrática, DJE de 25-10-2013 Em se tratando de lei municipal, o controle de constitucionalidade se faz pelo sistema difuso – e não concentrado –, ou seja, apenas no julgamento de casos concretos, com eficácia inter partes, e não erga omnes, quando confrontado o ato normativo local com a CF. O controle de constitucionalidade concentrado, nesse caso, somente será possível, em face da Constituição dos Estados, se ocorrente a hipótese prevista no § 2º do art. 125 da CF.</w:t>
      </w:r>
    </w:p>
    <w:p>
      <w:pPr>
        <w:ind w:left="288"/>
      </w:pPr>
      <w:r>
        <w:rPr>
          <w:b/>
          <w:color w:val="003CA0"/>
          <w:sz w:val="16"/>
        </w:rPr>
        <w:t>[ADI 209, rel. min. Sydney Sanches, j. 20-5-1998, P, DJ de 11-9-1998.]</w:t>
      </w:r>
    </w:p>
    <w:p>
      <w:pPr>
        <w:ind w:left="288"/>
      </w:pPr>
      <w:r>
        <w:rPr>
          <w:color w:val="8C8C8C"/>
          <w:sz w:val="12"/>
        </w:rPr>
        <w:t>cf-art-125-par-2</w:t>
      </w:r>
      <w:r>
        <w:rPr>
          <w:color w:val="003CA0"/>
          <w:sz w:val="12"/>
        </w:rPr>
        <w:t xml:space="preserve"> | ADI 5.089</w:t>
      </w:r>
      <w:r>
        <w:rPr>
          <w:color w:val="003CA0"/>
          <w:sz w:val="12"/>
        </w:rPr>
        <w:t xml:space="preserve"> | rel. Celso de Mello</w:t>
      </w:r>
    </w:p>
    <w:p>
      <w:pPr>
        <w:ind w:left="288"/>
      </w:pPr>
      <w:r>
        <w:rPr>
          <w:color w:val="1E1E1E"/>
          <w:sz w:val="18"/>
        </w:rPr>
        <w:t>= ADI 5.089 AgR, rel. min. Celso de Mello, j. 16-10-2014, P, DJE de 6-2-2015</w:t>
      </w:r>
    </w:p>
    <w:p>
      <w:pPr>
        <w:ind w:left="144"/>
      </w:pPr>
      <w:r>
        <w:rPr>
          <w:b/>
          <w:color w:val="B45A00"/>
          <w:sz w:val="16"/>
        </w:rPr>
        <w:t>REPERCUSSAO GERAL</w:t>
      </w:r>
    </w:p>
    <w:p>
      <w:pPr>
        <w:ind w:left="288"/>
      </w:pPr>
      <w:r>
        <w:rPr>
          <w:color w:val="8C8C8C"/>
          <w:sz w:val="12"/>
        </w:rPr>
        <w:t>cf-art-125-par-2</w:t>
      </w:r>
      <w:r>
        <w:rPr>
          <w:color w:val="003CA0"/>
          <w:sz w:val="12"/>
        </w:rPr>
        <w:t xml:space="preserve"> | RE 650.898</w:t>
      </w:r>
      <w:r>
        <w:rPr>
          <w:color w:val="003CA0"/>
          <w:sz w:val="12"/>
        </w:rPr>
        <w:t xml:space="preserve"> | rel. Ricardo Lewandowski</w:t>
      </w:r>
    </w:p>
    <w:p>
      <w:pPr>
        <w:ind w:left="288"/>
      </w:pPr>
      <w:r>
        <w:rPr>
          <w:color w:val="1E1E1E"/>
          <w:sz w:val="18"/>
        </w:rPr>
        <w:t>Tribunais de justiça podem exercer controle abstrato de constitucionalidade de leis municipais utilizando como parâmetro normas da CF, desde que se trate de normas de reprodução obrigatória pelos Estados.</w:t>
        <w:br/>
        <w:t>[RE 650.898, red. do ac. min. Roberto Barroso, j. 1º-2-2017, P, DJE de 24-8-2017, Tema 484, com mérito julgado.] Antes de adentrar no mérito da questão aqui debatida, anoto que, muito embora não tenha o constituinte incluído o Distrito Federal no art. 125, § 2º, que atribui competência aos tribunais de justiça dos Estados para instituir a representação de inconstitucionalidade em face das Con</w:t>
      </w:r>
    </w:p>
    <w:p>
      <w:pPr>
        <w:ind w:left="288"/>
      </w:pPr>
      <w:r>
        <w:rPr>
          <w:b/>
          <w:color w:val="003CA0"/>
          <w:sz w:val="16"/>
        </w:rPr>
        <w:t>[ARE 873.804 AgR-segundo-ED-EDv-AgR, rel. min. Cármen Lúcia, j. 13-10-2022, P, DJE de 14.2.2023.]</w:t>
      </w:r>
    </w:p>
    <w:p>
      <w:pPr>
        <w:ind w:left="288"/>
      </w:pPr>
      <w:r>
        <w:rPr>
          <w:color w:val="8C8C8C"/>
          <w:sz w:val="12"/>
        </w:rPr>
        <w:t>cf-art-125-par-2</w:t>
      </w:r>
      <w:r>
        <w:rPr>
          <w:color w:val="003CA0"/>
          <w:sz w:val="12"/>
        </w:rPr>
        <w:t xml:space="preserve"> | RE 599.633</w:t>
      </w:r>
      <w:r>
        <w:rPr>
          <w:color w:val="003CA0"/>
          <w:sz w:val="12"/>
        </w:rPr>
        <w:t xml:space="preserve"> | rel. Eros Grau</w:t>
      </w:r>
    </w:p>
    <w:p>
      <w:pPr>
        <w:ind w:left="288"/>
      </w:pPr>
      <w:r>
        <w:rPr>
          <w:color w:val="1E1E1E"/>
          <w:sz w:val="18"/>
        </w:rPr>
        <w:t>O art. 125, § 2º, da Constituição do Brasil estabelece caber aos Estados instituir a representação de inconstitucionalidade das leis ou atos normativos estaduais ou municipais em face da Constituição estadual, circunstância que leva à conclusão de que o controle de constitucionalidade estadual – com exceção apenas da interposição de recurso extraordinário por violação de norma de repetição obrigatória da Constituição do Brasil – encerra-se no âmbito da jurisdição dos tribunais de justiça locais.</w:t>
      </w:r>
    </w:p>
    <w:p>
      <w:pPr>
        <w:ind w:left="288"/>
      </w:pPr>
      <w:r>
        <w:rPr>
          <w:b/>
          <w:color w:val="003CA0"/>
          <w:sz w:val="16"/>
        </w:rPr>
        <w:t>[RE 599.633 AgR, rel. min. Eros Grau, j. 23-11-2009, dec. monocrática, DJE de 11-12-2009.]</w:t>
      </w:r>
    </w:p>
    <w:p>
      <w:pPr>
        <w:ind w:left="288"/>
      </w:pPr>
      <w:r>
        <w:rPr>
          <w:color w:val="8C8C8C"/>
          <w:sz w:val="12"/>
        </w:rPr>
        <w:t>cf-art-125-par-2</w:t>
      </w:r>
      <w:r>
        <w:rPr>
          <w:color w:val="003CA0"/>
          <w:sz w:val="12"/>
        </w:rPr>
        <w:t xml:space="preserve"> | RE 598.016</w:t>
      </w:r>
      <w:r>
        <w:rPr>
          <w:color w:val="003CA0"/>
          <w:sz w:val="12"/>
        </w:rPr>
        <w:t xml:space="preserve"> | rel. Eros Grau</w:t>
      </w:r>
    </w:p>
    <w:p>
      <w:pPr>
        <w:ind w:left="288"/>
      </w:pPr>
      <w:r>
        <w:rPr>
          <w:color w:val="1E1E1E"/>
          <w:sz w:val="18"/>
        </w:rPr>
        <w:t>A omissão da Constituição estadual não constitui óbice a que o tribunal de justiça local julgue a ação direta de inconstitucionalidade contra lei municipal que cria cargos em comissão em confronto com o art. 37, V, da Constituição do Brasil, norma de reprodução obrigatória.</w:t>
      </w:r>
    </w:p>
    <w:p>
      <w:pPr>
        <w:ind w:left="288"/>
      </w:pPr>
      <w:r>
        <w:rPr>
          <w:b/>
          <w:color w:val="003CA0"/>
          <w:sz w:val="16"/>
        </w:rPr>
        <w:t>[RE 598.016 AgR, rel. min. Eros Grau, j. 20-10-2009, 2ª T, DJE de 13-11-2009.]</w:t>
      </w:r>
    </w:p>
    <w:p>
      <w:pPr>
        <w:ind w:left="288"/>
      </w:pPr>
      <w:r>
        <w:rPr>
          <w:color w:val="8C8C8C"/>
          <w:sz w:val="12"/>
        </w:rPr>
        <w:t>cf-art-125-par-2</w:t>
      </w:r>
      <w:r>
        <w:rPr>
          <w:color w:val="003CA0"/>
          <w:sz w:val="12"/>
        </w:rPr>
        <w:t xml:space="preserve"> | ADI 2.137</w:t>
      </w:r>
      <w:r>
        <w:rPr>
          <w:color w:val="003CA0"/>
          <w:sz w:val="12"/>
        </w:rPr>
        <w:t xml:space="preserve"> | rel. Sepúlveda Pertence</w:t>
      </w:r>
    </w:p>
    <w:p>
      <w:pPr>
        <w:ind w:left="288"/>
      </w:pPr>
      <w:r>
        <w:rPr>
          <w:color w:val="1E1E1E"/>
          <w:sz w:val="18"/>
        </w:rPr>
        <w:t>Admissibilidade da ação direta de inconstitucionalidade perante o TJDFT. Leis distritais 3.747, 3.753, 3.759 e 3.760. Alteração da destinação de lotes urbanos. Alegação de violação do disposto no art. 125, § 2º, da Constituição do Brasil. Improcedência. A alegação de que os atos impugnados seriam dotados de efeito concreto, em razão de não possuírem conteúdo normativo capaz de afetar toda a coletividade, não procede. Esta Corte definiu que "a determinabilidade dos destinatários da norma não se confunde com a sua individualização, que, esta, sim, poderia convertê-lo em ato de efeitos concretos,</w:t>
      </w:r>
    </w:p>
    <w:p>
      <w:pPr>
        <w:ind w:left="288"/>
      </w:pPr>
      <w:r>
        <w:rPr>
          <w:b/>
          <w:color w:val="003CA0"/>
          <w:sz w:val="16"/>
        </w:rPr>
        <w:t>[RE 543.024 AgR, rel. min. Eros Grau, j. 19-8-2008, 2ª T, DJE de 12-9-2008.]</w:t>
      </w:r>
    </w:p>
    <w:p>
      <w:pPr>
        <w:ind w:left="288"/>
      </w:pPr>
      <w:r>
        <w:rPr>
          <w:color w:val="8C8C8C"/>
          <w:sz w:val="12"/>
        </w:rPr>
        <w:t>cf-art-125-par-2</w:t>
      </w:r>
      <w:r>
        <w:rPr>
          <w:color w:val="003CA0"/>
          <w:sz w:val="12"/>
        </w:rPr>
        <w:t xml:space="preserve"> | RE 422.591</w:t>
      </w:r>
      <w:r>
        <w:rPr>
          <w:color w:val="003CA0"/>
          <w:sz w:val="12"/>
        </w:rPr>
        <w:t xml:space="preserve"> | rel. Dias Toffoli</w:t>
      </w:r>
    </w:p>
    <w:p>
      <w:pPr>
        <w:ind w:left="288"/>
      </w:pPr>
      <w:r>
        <w:rPr>
          <w:color w:val="1E1E1E"/>
          <w:sz w:val="18"/>
        </w:rPr>
        <w:t>= RE 422.591, rel. min. Dias Toffoli, j. 1º-12-2010, P, DJE de 11-3-2011 § 3º A lei estadual poderá criar, mediante proposta do Tribunal de Justiça, a Justiça Militar estadual, constituída, em primeiro grau, pelos juízes de direito e pelos Conselhos de Justiça e, em segundo grau, pelo próprio Tribunal de Justiça, ou por Tribunal de Justiça Militar nos Estados em que o efetivo militar seja superior a vinte mil integrantes. (Redação da EC 45/2004)</w:t>
      </w:r>
    </w:p>
    <w:p>
      <w:pPr>
        <w:ind w:left="144"/>
      </w:pPr>
      <w:r>
        <w:rPr>
          <w:b/>
          <w:color w:val="B45A00"/>
          <w:sz w:val="16"/>
        </w:rPr>
        <w:t>CONTROLE CONCENTRADO</w:t>
      </w:r>
    </w:p>
    <w:p>
      <w:pPr>
        <w:ind w:left="288"/>
      </w:pPr>
      <w:r>
        <w:rPr>
          <w:color w:val="8C8C8C"/>
          <w:sz w:val="12"/>
        </w:rPr>
        <w:t>cf-art-125-par-2</w:t>
      </w:r>
      <w:r>
        <w:rPr>
          <w:color w:val="003CA0"/>
          <w:sz w:val="12"/>
        </w:rPr>
        <w:t xml:space="preserve"> | ADI 1.218</w:t>
      </w:r>
      <w:r>
        <w:rPr>
          <w:color w:val="003CA0"/>
          <w:sz w:val="12"/>
        </w:rPr>
        <w:t xml:space="preserve"> | rel. Maurício Corrêa</w:t>
      </w:r>
    </w:p>
    <w:p>
      <w:pPr>
        <w:ind w:left="288"/>
      </w:pPr>
      <w:r>
        <w:rPr>
          <w:color w:val="1E1E1E"/>
          <w:sz w:val="18"/>
        </w:rPr>
        <w:t>A competência em razão da matéria é definida pela Lei de Organização Judiciária, salvo a do tribunal do júri (CPC, art. 91, e CPP, art. 74). Criação da Vara de Auditoria Militar a ser provida por juiz de direito, que durante o exercício da função fica com a denominação de auditor militar estadual, sendo-lhe facultado voltar a exercer o cargo primitivo. A lei estadual pode conferir ao juiz, enquanto no desempenho das funções próprias da Vara de Auditoria Militar, outras atribuições, como a de cumprir cartas precatórias da Justiça Penal comum.</w:t>
      </w:r>
    </w:p>
    <w:p>
      <w:pPr>
        <w:ind w:left="288"/>
      </w:pPr>
      <w:r>
        <w:rPr>
          <w:b/>
          <w:color w:val="003CA0"/>
          <w:sz w:val="16"/>
        </w:rPr>
        <w:t>[ADI 1.218, rel. min. Maurício Corrêa, j. 5-9-2002, P, DJ de 8-11-2002.]</w:t>
      </w:r>
    </w:p>
    <w:p>
      <w:pPr>
        <w:ind w:left="288"/>
      </w:pPr>
      <w:r>
        <w:rPr>
          <w:color w:val="8C8C8C"/>
          <w:sz w:val="12"/>
        </w:rPr>
        <w:t>cf-art-125-par-2</w:t>
      </w:r>
      <w:r>
        <w:rPr>
          <w:color w:val="003CA0"/>
          <w:sz w:val="12"/>
        </w:rPr>
        <w:t xml:space="preserve"> | RHC 85.025</w:t>
      </w:r>
      <w:r>
        <w:rPr>
          <w:color w:val="003CA0"/>
          <w:sz w:val="12"/>
        </w:rPr>
        <w:t xml:space="preserve"> | rel. Sepúlveda Pertence</w:t>
      </w:r>
    </w:p>
    <w:p>
      <w:pPr>
        <w:ind w:left="288"/>
      </w:pPr>
      <w:r>
        <w:rPr>
          <w:color w:val="1E1E1E"/>
          <w:sz w:val="18"/>
        </w:rPr>
        <w:t>= RHC 85.025, rel. min. Sepúlveda Pertence, j. 8-3-2005, 1ª T, DJ de 10-11-2006 Inconstitucionalidade formal, porque, pelo disposto no art. 125, § 3º, da CF, há expressa reserva constitucional federal em favor da lei ordinária estadual, de iniciativa exclusiva do tribunal de justiça, para criação da Justiça Militar estadual, e, sendo certo que, competindo a essa lei ordinária a criação dessa Justiça a ela também compete a sua organização e a sua extinção, não pode a Carta Magna estadual criar, ou manter a criação já existente, organizar ou extinguir a Justiça Militar estadual.</w:t>
      </w:r>
    </w:p>
    <w:p>
      <w:pPr>
        <w:ind w:left="288"/>
      </w:pPr>
      <w:r>
        <w:rPr>
          <w:b/>
          <w:color w:val="003CA0"/>
          <w:sz w:val="16"/>
        </w:rPr>
        <w:t>[ADI 725, rel. min. Moreira Alves, j. 15-12-1997, P, DJ de 4-9-1998.]</w:t>
      </w:r>
    </w:p>
    <w:p>
      <w:pPr>
        <w:ind w:left="288"/>
      </w:pPr>
      <w:r>
        <w:rPr>
          <w:color w:val="8C8C8C"/>
          <w:sz w:val="12"/>
        </w:rPr>
        <w:t>cf-art-125-par-2</w:t>
      </w:r>
      <w:r>
        <w:rPr>
          <w:color w:val="003CA0"/>
          <w:sz w:val="12"/>
        </w:rPr>
        <w:t xml:space="preserve"> | ADI 471</w:t>
      </w:r>
      <w:r>
        <w:rPr>
          <w:color w:val="003CA0"/>
          <w:sz w:val="12"/>
        </w:rPr>
        <w:t xml:space="preserve"> | rel. Eros Grau</w:t>
      </w:r>
    </w:p>
    <w:p>
      <w:pPr>
        <w:ind w:left="288"/>
      </w:pPr>
      <w:r>
        <w:rPr>
          <w:color w:val="1E1E1E"/>
          <w:sz w:val="18"/>
        </w:rPr>
        <w:t>= ADI 471, rel. min. Eros Grau, j. 3-4-2008, P, DJE de 29-8-2008</w:t>
      </w:r>
    </w:p>
    <w:p>
      <w:pPr>
        <w:ind w:left="144"/>
      </w:pPr>
      <w:r>
        <w:rPr>
          <w:b/>
          <w:color w:val="B45A00"/>
          <w:sz w:val="16"/>
        </w:rPr>
        <w:t>JULGADOS CORRELATOS</w:t>
      </w:r>
    </w:p>
    <w:p>
      <w:pPr>
        <w:ind w:left="288"/>
      </w:pPr>
      <w:r>
        <w:rPr>
          <w:color w:val="8C8C8C"/>
          <w:sz w:val="12"/>
        </w:rPr>
        <w:t>cf-art-125-par-2</w:t>
      </w:r>
      <w:r>
        <w:rPr>
          <w:color w:val="003CA0"/>
          <w:sz w:val="12"/>
        </w:rPr>
        <w:t xml:space="preserve"> | rel. Maurício Corrêa</w:t>
      </w:r>
    </w:p>
    <w:p>
      <w:pPr>
        <w:ind w:left="288"/>
      </w:pPr>
      <w:r>
        <w:rPr>
          <w:color w:val="1E1E1E"/>
          <w:sz w:val="18"/>
        </w:rPr>
        <w:t>O art. 146 do CPPM, que prevê o julgamento pelo STM de recurso interposto pelo Parquet em arguição de incompetência, aplica-se exclusivamente aos processos em curso perante a Justiça Militar federal. O julgamento de tais recursos, quando interpostos em processos sujeitos à Justiça Militar estadual, são da competência do tribunal de justiça, ou do tribunal de justiça militar estadual quando existente na unidade federada (art. 125 da Constituição).</w:t>
      </w:r>
    </w:p>
    <w:p>
      <w:pPr>
        <w:ind w:left="288"/>
      </w:pPr>
      <w:r>
        <w:rPr>
          <w:b/>
          <w:color w:val="003CA0"/>
          <w:sz w:val="16"/>
        </w:rPr>
        <w:t>[CC 7.086, rel. min. Maurício Corrêa, j. 13-9-2000, P, DJ de 27-10-2000.]</w:t>
      </w:r>
    </w:p>
    <w:p>
      <w:pPr>
        <w:ind w:left="288"/>
      </w:pPr>
      <w:r>
        <w:rPr>
          <w:color w:val="8C8C8C"/>
          <w:sz w:val="12"/>
        </w:rPr>
        <w:t>cf-art-125-par-2</w:t>
      </w:r>
    </w:p>
    <w:p>
      <w:pPr>
        <w:ind w:left="288"/>
      </w:pPr>
      <w:r>
        <w:rPr>
          <w:color w:val="1E1E1E"/>
          <w:sz w:val="18"/>
        </w:rPr>
        <w:t>§ 4º Compete à Justiça Militar estadual processar e julgar os militares dos Estados, nos crimes militares definidos em lei e as ações judiciais contra atos disciplinares militares, ressalvada a competência do júri quando a vítima for civil, cabendo ao tribunal competente decidir sobre a perda do posto e da patente dos oficiais e da graduação das praças. (Redação da EC 45/2004)</w:t>
      </w:r>
    </w:p>
    <w:p>
      <w:pPr>
        <w:ind w:left="144"/>
      </w:pPr>
      <w:r>
        <w:rPr>
          <w:b/>
          <w:color w:val="B45A00"/>
          <w:sz w:val="16"/>
        </w:rPr>
        <w:t>SUMULA</w:t>
      </w:r>
    </w:p>
    <w:p>
      <w:pPr>
        <w:ind w:left="288"/>
      </w:pPr>
      <w:r>
        <w:rPr>
          <w:color w:val="8C8C8C"/>
          <w:sz w:val="12"/>
        </w:rPr>
        <w:t>cf-art-125-par-2</w:t>
      </w:r>
    </w:p>
    <w:p>
      <w:pPr>
        <w:ind w:left="288"/>
      </w:pPr>
      <w:r>
        <w:rPr>
          <w:color w:val="1E1E1E"/>
          <w:sz w:val="18"/>
        </w:rPr>
        <w:t>O art. 125, § 4º, da Constituição não impede a perda da graduação de militar mediante procedimento administrativo.</w:t>
      </w:r>
    </w:p>
    <w:p>
      <w:pPr>
        <w:ind w:left="288"/>
      </w:pPr>
      <w:r>
        <w:rPr>
          <w:b/>
          <w:color w:val="003CA0"/>
          <w:sz w:val="16"/>
        </w:rPr>
        <w:t>[Súmula 673.]</w:t>
      </w:r>
    </w:p>
    <w:p>
      <w:pPr>
        <w:ind w:left="144"/>
      </w:pPr>
      <w:r>
        <w:rPr>
          <w:b/>
          <w:color w:val="B45A00"/>
          <w:sz w:val="16"/>
        </w:rPr>
        <w:t>REPERCUSSAO GERAL</w:t>
      </w:r>
    </w:p>
    <w:p>
      <w:pPr>
        <w:ind w:left="288"/>
      </w:pPr>
      <w:r>
        <w:rPr>
          <w:color w:val="8C8C8C"/>
          <w:sz w:val="12"/>
        </w:rPr>
        <w:t>cf-art-125-par-2</w:t>
      </w:r>
      <w:r>
        <w:rPr>
          <w:color w:val="003CA0"/>
          <w:sz w:val="12"/>
        </w:rPr>
        <w:t xml:space="preserve"> | ARE 1.320.744</w:t>
      </w:r>
      <w:r>
        <w:rPr>
          <w:color w:val="003CA0"/>
          <w:sz w:val="12"/>
        </w:rPr>
        <w:t xml:space="preserve"> | rel. Alexandre de Moraes</w:t>
      </w:r>
    </w:p>
    <w:p>
      <w:pPr>
        <w:ind w:left="288"/>
      </w:pPr>
      <w:r>
        <w:rPr>
          <w:color w:val="1E1E1E"/>
          <w:sz w:val="18"/>
        </w:rPr>
        <w:t>"1) A perda da graduação da praça pode ser declarada como efeito secundário da sentença condenatória pela prática de crime militar ou comum, nos termos do art. 102 do Código Penal Militar e do art. 92, I, "b", do Código Penal, respectivamente. 2) Nos termos do artigo 125, §4º, da Constituição Federal, o Tribunal de Justiça Militar, onde houver, ou o Tribunal de Justiça são competentes para decidir, em processo autônomo decorrente de representação do Ministério Público, sobre a perda do posto e da patente dos oficiais e da graduação das praças que teve contra si uma sentença condenatória, indep</w:t>
      </w:r>
    </w:p>
    <w:p>
      <w:pPr>
        <w:ind w:left="288"/>
      </w:pPr>
      <w:r>
        <w:rPr>
          <w:b/>
          <w:color w:val="003CA0"/>
          <w:sz w:val="16"/>
        </w:rPr>
        <w:t>[ARE 691.306 RG, voto do rel. min. Cezar Peluso, j. 23-8-2012, P, DJE de 11-9-2012, Tema 565, com mérito julgado.]</w:t>
      </w:r>
    </w:p>
    <w:p>
      <w:pPr>
        <w:ind w:left="288"/>
      </w:pPr>
      <w:r>
        <w:rPr>
          <w:color w:val="8C8C8C"/>
          <w:sz w:val="12"/>
        </w:rPr>
        <w:t>cf-art-125-par-2</w:t>
      </w:r>
      <w:r>
        <w:rPr>
          <w:color w:val="003CA0"/>
          <w:sz w:val="12"/>
        </w:rPr>
        <w:t xml:space="preserve"> | MS 21.545</w:t>
      </w:r>
      <w:r>
        <w:rPr>
          <w:color w:val="003CA0"/>
          <w:sz w:val="12"/>
        </w:rPr>
        <w:t xml:space="preserve"> | rel. Moreira Alves</w:t>
      </w:r>
    </w:p>
    <w:p>
      <w:pPr>
        <w:ind w:left="288"/>
      </w:pPr>
      <w:r>
        <w:rPr>
          <w:color w:val="1E1E1E"/>
          <w:sz w:val="18"/>
        </w:rPr>
        <w:t>Vide MS 21.545, rel. min. Moreira Alves, j. 11-3-1993, P, DJ de 2-4-1993</w:t>
      </w:r>
    </w:p>
    <w:p>
      <w:pPr>
        <w:ind w:left="144"/>
      </w:pPr>
      <w:r>
        <w:rPr>
          <w:b/>
          <w:color w:val="B45A00"/>
          <w:sz w:val="16"/>
        </w:rPr>
        <w:t>JULGADOS CORRELATOS</w:t>
      </w:r>
    </w:p>
    <w:p>
      <w:pPr>
        <w:ind w:left="288"/>
      </w:pPr>
      <w:r>
        <w:rPr>
          <w:color w:val="8C8C8C"/>
          <w:sz w:val="12"/>
        </w:rPr>
        <w:t>cf-art-125-par-2</w:t>
      </w:r>
      <w:r>
        <w:rPr>
          <w:color w:val="003CA0"/>
          <w:sz w:val="12"/>
        </w:rPr>
        <w:t xml:space="preserve"> | RE 872.778</w:t>
      </w:r>
      <w:r>
        <w:rPr>
          <w:color w:val="003CA0"/>
          <w:sz w:val="12"/>
        </w:rPr>
        <w:t xml:space="preserve"> | rel. Dias Toffoli</w:t>
      </w:r>
    </w:p>
    <w:p>
      <w:pPr>
        <w:ind w:left="288"/>
      </w:pPr>
      <w:r>
        <w:rPr>
          <w:color w:val="1E1E1E"/>
          <w:sz w:val="18"/>
        </w:rPr>
        <w:t>A jurisprudência da Corte é no sentido de que a EC 45/2004, ao dar nova redação ao § 4º do art. 125 da CF, ampliou o âmbito de atuação da Justiça Militar estadual, atribuindo-lhe competência para processar e julgar as ações judiciais ajuizadas contra atos disciplinares militares. No caso o pedido de indenização por danos morais está intimamente ligado com o ato disciplinar aplicado. Assim, configurada a competência da Justiça Militar para sua apreciação.</w:t>
      </w:r>
    </w:p>
    <w:p>
      <w:pPr>
        <w:ind w:left="288"/>
      </w:pPr>
      <w:r>
        <w:rPr>
          <w:b/>
          <w:color w:val="003CA0"/>
          <w:sz w:val="16"/>
        </w:rPr>
        <w:t>[RE 872.778 AgR, rel. min. Dias Toffoli, j. 29-6-2018, 2ª T, DJE de 24-8-2018.]</w:t>
      </w:r>
    </w:p>
    <w:p>
      <w:pPr>
        <w:ind w:left="288"/>
      </w:pPr>
      <w:r>
        <w:rPr>
          <w:color w:val="8C8C8C"/>
          <w:sz w:val="12"/>
        </w:rPr>
        <w:t>cf-art-125-par-2</w:t>
      </w:r>
      <w:r>
        <w:rPr>
          <w:color w:val="003CA0"/>
          <w:sz w:val="12"/>
        </w:rPr>
        <w:t xml:space="preserve"> | AI 769.637</w:t>
      </w:r>
      <w:r>
        <w:rPr>
          <w:color w:val="003CA0"/>
          <w:sz w:val="12"/>
        </w:rPr>
        <w:t xml:space="preserve"> | rel. Joaquim Barbosa</w:t>
      </w:r>
    </w:p>
    <w:p>
      <w:pPr>
        <w:ind w:left="288"/>
      </w:pPr>
      <w:r>
        <w:rPr>
          <w:color w:val="1E1E1E"/>
          <w:sz w:val="18"/>
        </w:rPr>
        <w:t>Em se tratando de condenação de oficial da polícia militar pela prática do crime de tortura, sendo crime comum, a competência para decretar a perda do oficialato, como efeito da condenação, é da Justiça comum. O disposto no art. 125, § 4º, da CF refere-se à competência da Justiça Militar para decidir sobre a perda do posto e da patente dos oficiais e da graduação das praças quando se tratar de crimes militares definidos em lei.</w:t>
      </w:r>
    </w:p>
    <w:p>
      <w:pPr>
        <w:ind w:left="288"/>
      </w:pPr>
      <w:r>
        <w:rPr>
          <w:b/>
          <w:color w:val="003CA0"/>
          <w:sz w:val="16"/>
        </w:rPr>
        <w:t>[AI 769.637 AgR, rel. min. Joaquim Barbosa, j. 20-3-2012, 2ª T, DJE de 22-5-2012.]</w:t>
      </w:r>
    </w:p>
    <w:p>
      <w:pPr>
        <w:ind w:left="288"/>
      </w:pPr>
      <w:r>
        <w:rPr>
          <w:color w:val="8C8C8C"/>
          <w:sz w:val="12"/>
        </w:rPr>
        <w:t>cf-art-125-par-2</w:t>
      </w:r>
      <w:r>
        <w:rPr>
          <w:color w:val="003CA0"/>
          <w:sz w:val="12"/>
        </w:rPr>
        <w:t xml:space="preserve"> | AI 769.637</w:t>
      </w:r>
      <w:r>
        <w:rPr>
          <w:color w:val="003CA0"/>
          <w:sz w:val="12"/>
        </w:rPr>
        <w:t xml:space="preserve"> | rel. Celso de Mello</w:t>
      </w:r>
    </w:p>
    <w:p>
      <w:pPr>
        <w:ind w:left="288"/>
      </w:pPr>
      <w:r>
        <w:rPr>
          <w:color w:val="1E1E1E"/>
          <w:sz w:val="18"/>
        </w:rPr>
        <w:t>= AI 769.637 AgR-ED-ED, rel. min. Celso de Mello, j. 25-6-2013, 2ª T, DJE de 16-10-2013 Crime de desacato contra militar das forças armadas. (...) A jurisprudência deste Supremo Tribunal é firme no sentido de que a competência para processar e julgar policial militar acusado de cometer crime militar contra membro das Forças Armadas é da Justiça Militar estadual, mormente quando o paciente, pelo que se tem na denúncia, quis manifestamente menosprezar a vítima, oficial das Forças Armadas, em razão da função por ela ocupada, humilhando-a diante de outros militares federais e estaduais.</w:t>
      </w:r>
    </w:p>
    <w:p>
      <w:pPr>
        <w:ind w:left="288"/>
      </w:pPr>
      <w:r>
        <w:rPr>
          <w:b/>
          <w:color w:val="003CA0"/>
          <w:sz w:val="16"/>
        </w:rPr>
        <w:t>[HC 105.844, rel. min. Cármen Lúcia, j. 21-6-2011, 1ª T, DJE de 18-8-2011.]</w:t>
      </w:r>
    </w:p>
    <w:p>
      <w:pPr>
        <w:ind w:left="288"/>
      </w:pPr>
      <w:r>
        <w:rPr>
          <w:color w:val="8C8C8C"/>
          <w:sz w:val="12"/>
        </w:rPr>
        <w:t>cf-art-125-par-2</w:t>
      </w:r>
      <w:r>
        <w:rPr>
          <w:color w:val="003CA0"/>
          <w:sz w:val="12"/>
        </w:rPr>
        <w:t xml:space="preserve"> | RE 199.600</w:t>
      </w:r>
      <w:r>
        <w:rPr>
          <w:color w:val="003CA0"/>
          <w:sz w:val="12"/>
        </w:rPr>
        <w:t xml:space="preserve"> | rel. Moreira Alves</w:t>
      </w:r>
    </w:p>
    <w:p>
      <w:pPr>
        <w:ind w:left="288"/>
      </w:pPr>
      <w:r>
        <w:rPr>
          <w:color w:val="1E1E1E"/>
          <w:sz w:val="18"/>
        </w:rPr>
        <w:t>Esta Corte já firmou o entendimento de que a perda de graduação de praça da polícia militar, como sanção disciplinar administrativa, não se dá por meio de julgamento da Justiça Militar estadual, mas mediante processo administrativo na própria corporação, assegurando-se direito de defesa e o contraditório (assim, a título exemplificativo nos RE 199.600, RE 197.649 e RE 223.744).</w:t>
      </w:r>
    </w:p>
    <w:p>
      <w:pPr>
        <w:ind w:left="288"/>
      </w:pPr>
      <w:r>
        <w:rPr>
          <w:b/>
          <w:color w:val="003CA0"/>
          <w:sz w:val="16"/>
        </w:rPr>
        <w:t>[RE 206.971, rel. min. Moreira Alves, j. 18-4-2000, 1ª T, DJ de 9-6-2000.]</w:t>
      </w:r>
    </w:p>
    <w:p>
      <w:pPr>
        <w:ind w:left="288"/>
      </w:pPr>
      <w:r>
        <w:rPr>
          <w:color w:val="8C8C8C"/>
          <w:sz w:val="12"/>
        </w:rPr>
        <w:t>cf-art-125-par-2</w:t>
      </w:r>
      <w:r>
        <w:rPr>
          <w:color w:val="003CA0"/>
          <w:sz w:val="12"/>
        </w:rPr>
        <w:t xml:space="preserve"> | RE 447.859</w:t>
      </w:r>
      <w:r>
        <w:rPr>
          <w:color w:val="003CA0"/>
          <w:sz w:val="12"/>
        </w:rPr>
        <w:t xml:space="preserve"> | rel. Marco Aurélio</w:t>
      </w:r>
    </w:p>
    <w:p>
      <w:pPr>
        <w:ind w:left="288"/>
      </w:pPr>
      <w:r>
        <w:rPr>
          <w:color w:val="1E1E1E"/>
          <w:sz w:val="18"/>
        </w:rPr>
        <w:t xml:space="preserve">= RE 447.859, rel. min. Marco Aurélio, j. 21-5-2015, P, DJE de 20-8-2015 A Justiça Militar estadual não dispõe de competência penal para processar e julgar civil que tenha sido denunciado pela prática de crime contra a polícia mlitar do Estado. Qualquer tentativa de submeter os réus civis a procedimentos penais-persecutórios instaurados perante órgãos da Justiça Militar estadual representa, no contexto de nosso sistema jurídico, clara violação ao princípio constitucional do juiz natural (CF, art. 5º, LIII). A CF, ao definir a competência penal da Justiça Militar dos Estados-membros, delimitou </w:t>
      </w:r>
    </w:p>
    <w:p>
      <w:pPr>
        <w:ind w:left="288"/>
      </w:pPr>
      <w:r>
        <w:rPr>
          <w:b/>
          <w:color w:val="003CA0"/>
          <w:sz w:val="16"/>
        </w:rPr>
        <w:t>[HC 70.604, rel. min. Celso de Mello, j. 10-5-1994, 1ª T, DJ de 1º-7-1994.]</w:t>
      </w:r>
    </w:p>
    <w:p>
      <w:pPr>
        <w:ind w:left="288"/>
      </w:pPr>
      <w:r>
        <w:rPr>
          <w:color w:val="8C8C8C"/>
          <w:sz w:val="12"/>
        </w:rPr>
        <w:t>cf-art-125-par-2</w:t>
      </w:r>
    </w:p>
    <w:p>
      <w:pPr>
        <w:ind w:left="288"/>
      </w:pPr>
      <w:r>
        <w:rPr>
          <w:color w:val="1E1E1E"/>
          <w:sz w:val="18"/>
        </w:rPr>
        <w:t>§ 5º Compete aos juízes de direito do juízo militar processar e julgar, singularmente, os crimes militares cometidos contra civis e as ações judiciais contra atos disciplinares militares, cabendo ao Conselho de Justiça, sob a presidência de juiz de direito, processar e julgar os demais crimes militares. (Incluído pela EC 45/2004)</w:t>
      </w:r>
    </w:p>
    <w:p>
      <w:pPr>
        <w:ind w:left="288"/>
      </w:pPr>
      <w:r>
        <w:rPr>
          <w:color w:val="8C8C8C"/>
          <w:sz w:val="12"/>
        </w:rPr>
        <w:t>cf-art-125-par-2</w:t>
      </w:r>
      <w:r>
        <w:rPr>
          <w:color w:val="003CA0"/>
          <w:sz w:val="12"/>
        </w:rPr>
        <w:t xml:space="preserve"> | ARE 807.649</w:t>
      </w:r>
      <w:r>
        <w:rPr>
          <w:color w:val="003CA0"/>
          <w:sz w:val="12"/>
        </w:rPr>
        <w:t xml:space="preserve"> | rel. Dias Toffoli</w:t>
      </w:r>
    </w:p>
    <w:p>
      <w:pPr>
        <w:ind w:left="288"/>
      </w:pPr>
      <w:r>
        <w:rPr>
          <w:color w:val="1E1E1E"/>
          <w:sz w:val="18"/>
        </w:rPr>
        <w:t>O art. 125, § 5º, da CF contém exigência de que as demandas que tenham por objeto ato disciplinar cometido por militar sejam julgadas em primeiro grau por juiz de direito, não fazendo, entretanto, nenhuma menção acerca dos julgamentos colegiados de tais demandas.</w:t>
      </w:r>
    </w:p>
    <w:p>
      <w:pPr>
        <w:ind w:left="288"/>
      </w:pPr>
      <w:r>
        <w:rPr>
          <w:b/>
          <w:color w:val="003CA0"/>
          <w:sz w:val="16"/>
        </w:rPr>
        <w:t>[ARE 807.649 AgR, rel. min. Dias Toffoli, j. 2-9-2014, 1ª T, DJE de 9-10-2014.]</w:t>
      </w:r>
    </w:p>
    <w:p>
      <w:pPr>
        <w:ind w:left="288"/>
      </w:pPr>
      <w:r>
        <w:rPr>
          <w:color w:val="8C8C8C"/>
          <w:sz w:val="12"/>
        </w:rPr>
        <w:t>cf-art-125-par-2</w:t>
      </w:r>
      <w:r>
        <w:rPr>
          <w:color w:val="003CA0"/>
          <w:sz w:val="12"/>
        </w:rPr>
        <w:t xml:space="preserve"> | RE 552.790</w:t>
      </w:r>
      <w:r>
        <w:rPr>
          <w:color w:val="003CA0"/>
          <w:sz w:val="12"/>
        </w:rPr>
        <w:t xml:space="preserve"> | rel. Marco Aurélio</w:t>
      </w:r>
    </w:p>
    <w:p>
      <w:pPr>
        <w:ind w:left="288"/>
      </w:pPr>
      <w:r>
        <w:rPr>
          <w:color w:val="1E1E1E"/>
          <w:sz w:val="18"/>
        </w:rPr>
        <w:t>A competência prevista no § 5º do art. 125 da CF sobre a atuação do juízo militar presentes ações judiciais contra atos disciplinares militares apanha questões ligadas não só ao mérito do ato como também a aspectos formais.</w:t>
      </w:r>
    </w:p>
    <w:p>
      <w:pPr>
        <w:ind w:left="288"/>
      </w:pPr>
      <w:r>
        <w:rPr>
          <w:b/>
          <w:color w:val="003CA0"/>
          <w:sz w:val="16"/>
        </w:rPr>
        <w:t>[RE 552.790 AgR, rel. min. Marco Aurélio, j. 8-10-2013, 1ª T, DJE de 4-11-2013.]</w:t>
      </w:r>
    </w:p>
    <w:p>
      <w:pPr>
        <w:ind w:left="288"/>
      </w:pPr>
      <w:r>
        <w:rPr>
          <w:color w:val="8C8C8C"/>
          <w:sz w:val="12"/>
        </w:rPr>
        <w:t>cf-art-125-par-2</w:t>
      </w:r>
      <w:r>
        <w:rPr>
          <w:color w:val="003CA0"/>
          <w:sz w:val="12"/>
        </w:rPr>
        <w:t xml:space="preserve"> | HC 93.076</w:t>
      </w:r>
      <w:r>
        <w:rPr>
          <w:color w:val="003CA0"/>
          <w:sz w:val="12"/>
        </w:rPr>
        <w:t xml:space="preserve"> | rel. Celso de Mello</w:t>
      </w:r>
    </w:p>
    <w:p>
      <w:pPr>
        <w:ind w:left="288"/>
      </w:pPr>
      <w:r>
        <w:rPr>
          <w:color w:val="1E1E1E"/>
          <w:sz w:val="18"/>
        </w:rPr>
        <w:t>Crime militar cometido por policial militar contra civil. Juiz de direito do juízo militar estadual (CF, art. 125, § 5º, acrescido pela EC 45/2004). Competência monocrática do magistrado togado. Ausência de previsão, no CPPM, de rito procedimental referente ao juízo singular. Aplicação subsidiária da legislação processual penal comum (CPPM, art. 3º, a). Legitimidade.</w:t>
      </w:r>
    </w:p>
    <w:p>
      <w:pPr>
        <w:ind w:left="288"/>
      </w:pPr>
      <w:r>
        <w:rPr>
          <w:b/>
          <w:color w:val="003CA0"/>
          <w:sz w:val="16"/>
        </w:rPr>
        <w:t>[HC 93.076, rel. min. Celso de Mello, j. 26-8-2008, 2ª T, DJE de 30-10-2014.]</w:t>
      </w:r>
    </w:p>
    <w:p>
      <w:pPr>
        <w:ind w:left="432"/>
      </w:pPr>
      <w:r>
        <w:rPr>
          <w:color w:val="003366"/>
          <w:sz w:val="18"/>
        </w:rPr>
        <w:t>§ 1 O montante recolhido na forma do caput será compensado com o valor devido da</w:t>
      </w:r>
    </w:p>
    <w:p>
      <w:pPr>
        <w:ind w:left="432"/>
      </w:pPr>
      <w:r>
        <w:rPr>
          <w:color w:val="003366"/>
          <w:sz w:val="18"/>
        </w:rPr>
        <w:t>§ 2 Caso o contribuinte não possua débitos suficientes para efetuar a compensaçã</w:t>
      </w:r>
    </w:p>
    <w:p>
      <w:pPr>
        <w:ind w:left="432"/>
      </w:pPr>
      <w:r>
        <w:rPr>
          <w:color w:val="003366"/>
          <w:sz w:val="18"/>
        </w:rPr>
        <w:t>§ 3 A arrecadação do imposto previsto no art. 156-A da Constituição Federal deco</w:t>
      </w:r>
    </w:p>
    <w:p>
      <w:pPr>
        <w:ind w:left="720"/>
      </w:pPr>
      <w:r>
        <w:rPr>
          <w:color w:val="003366"/>
          <w:sz w:val="18"/>
        </w:rPr>
        <w:t>I – o financiamento do Comitê Gestor do Imposto sobre Bens e Serviços, nos termo</w:t>
      </w:r>
    </w:p>
    <w:p>
      <w:pPr>
        <w:ind w:left="720"/>
      </w:pPr>
      <w:r>
        <w:rPr>
          <w:color w:val="003366"/>
          <w:sz w:val="18"/>
        </w:rPr>
        <w:t>II – compor o Fundo de Compensação de Benefícios Fiscais ou Financeiro-Fiscais d</w:t>
      </w:r>
    </w:p>
    <w:p>
      <w:pPr>
        <w:ind w:left="432"/>
      </w:pPr>
      <w:r>
        <w:rPr>
          <w:color w:val="003366"/>
          <w:sz w:val="18"/>
        </w:rPr>
        <w:t>§ 4 Durante o período de que trata o caput, os sujeitos passivos que cumprirem a</w:t>
      </w:r>
    </w:p>
    <w:p>
      <w:r>
        <w:rPr>
          <w:b/>
          <w:color w:val="003366"/>
          <w:sz w:val="20"/>
        </w:rPr>
        <w:t>Art. 126 A partir de 2027: (Incluído pela Emenda Constitucional nº 132, de 2023)</w:t>
      </w:r>
      <w:r>
        <w:rPr>
          <w:color w:val="8C8C8C"/>
          <w:sz w:val="14"/>
        </w:rPr>
        <w:t xml:space="preserve">  [3 decisoes]</w:t>
      </w:r>
    </w:p>
    <w:p>
      <w:pPr>
        <w:ind w:left="144"/>
      </w:pPr>
      <w:r>
        <w:rPr>
          <w:b/>
          <w:color w:val="B45A00"/>
          <w:sz w:val="16"/>
        </w:rPr>
        <w:t>CONTROLE CONCENTRADO</w:t>
      </w:r>
    </w:p>
    <w:p>
      <w:pPr>
        <w:ind w:left="288"/>
      </w:pPr>
      <w:r>
        <w:rPr>
          <w:color w:val="8C8C8C"/>
          <w:sz w:val="12"/>
        </w:rPr>
        <w:t>cf-art-126</w:t>
      </w:r>
      <w:r>
        <w:rPr>
          <w:color w:val="003CA0"/>
          <w:sz w:val="12"/>
        </w:rPr>
        <w:t xml:space="preserve"> | ADI 3.433</w:t>
      </w:r>
      <w:r>
        <w:rPr>
          <w:color w:val="003CA0"/>
          <w:sz w:val="12"/>
        </w:rPr>
        <w:t xml:space="preserve"> | rel. Edson Fachin</w:t>
      </w:r>
    </w:p>
    <w:p>
      <w:pPr>
        <w:ind w:left="288"/>
      </w:pPr>
      <w:r>
        <w:rPr>
          <w:color w:val="1E1E1E"/>
          <w:sz w:val="18"/>
        </w:rPr>
        <w:t>Disposições contidas no art. 3º da Lei Complementar nº 14/93 do Estado do Pará, que tratam da criação e da competência das varas de direito agrário, minerário e ambiental. (...) A Emenda Constitucional 45/04, ao substituir a expressão ‘designará juízes de entrância especial’, contida no caput do art. 126 do texto constitucional, por ‘proporá a criação de varas especializadas’, apenas aperfeiçoou tecnicamente a redação do mencionado dispositivo, preservando, contudo, em essência, o teor específico da norma. Assim, a determinação aos tribunais de justiça para observarem a especialização dos juíz</w:t>
      </w:r>
    </w:p>
    <w:p>
      <w:pPr>
        <w:ind w:left="288"/>
      </w:pPr>
      <w:r>
        <w:rPr>
          <w:b/>
          <w:color w:val="003CA0"/>
          <w:sz w:val="16"/>
        </w:rPr>
        <w:t>[ADI 3.433, rel. min. Edson Fachin, j. 4-10-2021, P, DJE de 3-2-2022.]</w:t>
      </w:r>
    </w:p>
    <w:p>
      <w:pPr>
        <w:ind w:left="144"/>
      </w:pPr>
      <w:r>
        <w:rPr>
          <w:b/>
          <w:color w:val="B45A00"/>
          <w:sz w:val="16"/>
        </w:rPr>
        <w:t>JULGADOS CORRELATOS</w:t>
      </w:r>
    </w:p>
    <w:p>
      <w:pPr>
        <w:ind w:left="288"/>
      </w:pPr>
      <w:r>
        <w:rPr>
          <w:color w:val="8C8C8C"/>
          <w:sz w:val="12"/>
        </w:rPr>
        <w:t>cf-art-126</w:t>
      </w:r>
      <w:r>
        <w:rPr>
          <w:color w:val="003CA0"/>
          <w:sz w:val="12"/>
        </w:rPr>
        <w:t xml:space="preserve"> | MS 30.547</w:t>
      </w:r>
      <w:r>
        <w:rPr>
          <w:color w:val="003CA0"/>
          <w:sz w:val="12"/>
        </w:rPr>
        <w:t xml:space="preserve"> | rel. Cármen Lúcia</w:t>
      </w:r>
    </w:p>
    <w:p>
      <w:pPr>
        <w:ind w:left="288"/>
      </w:pPr>
      <w:r>
        <w:rPr>
          <w:color w:val="1E1E1E"/>
          <w:sz w:val="18"/>
        </w:rPr>
        <w:t>Tribunal de Justiça de Mato Grosso. Criação de vara especializada (provimento 4/2008). Concentração de ações judiciais sobre questões agrárias em vara especializada (resolução 7/2008). Conselho nacional de justiça: preservação da competência territorial dos juízos das comarcas do interior do estado, conforme critérios dos arts. 94 e 95 do Código de Processo Civil. (...) Na Constituição de 1988 se conferiu aos tribunais estaduais competência para definir a atribuição para ações sobre conflitos fundiários por seus órgãos jurisdicionais (art. 126), sem exigir ação em que se discute questão agrári</w:t>
      </w:r>
    </w:p>
    <w:p>
      <w:pPr>
        <w:ind w:left="288"/>
      </w:pPr>
      <w:r>
        <w:rPr>
          <w:b/>
          <w:color w:val="003CA0"/>
          <w:sz w:val="16"/>
        </w:rPr>
        <w:t>[MS 30.547, rel.min. Cármen Lúcia, j. 18-10-2019, P, DJE de 7-2-2020.]</w:t>
      </w:r>
    </w:p>
    <w:p>
      <w:pPr>
        <w:ind w:left="288"/>
      </w:pPr>
      <w:r>
        <w:rPr>
          <w:color w:val="8C8C8C"/>
          <w:sz w:val="12"/>
        </w:rPr>
        <w:t>cf-art-126-par-unico</w:t>
      </w:r>
    </w:p>
    <w:p>
      <w:pPr>
        <w:ind w:left="288"/>
      </w:pPr>
      <w:r>
        <w:rPr>
          <w:color w:val="1E1E1E"/>
          <w:sz w:val="18"/>
        </w:rPr>
        <w:t>CAPÍTULO IV Das Funções Essenciais à Justiça (Redação da EC 80/2014) SUMÁRIO Seção I Do Ministério Público SUMÁRIO</w:t>
      </w:r>
    </w:p>
    <w:p>
      <w:pPr>
        <w:ind w:left="720"/>
      </w:pPr>
      <w:r>
        <w:rPr>
          <w:color w:val="003366"/>
          <w:sz w:val="18"/>
        </w:rPr>
        <w:t>I – serão cobrados:</w:t>
      </w:r>
    </w:p>
    <w:p>
      <w:pPr>
        <w:ind w:left="1008"/>
      </w:pPr>
      <w:r>
        <w:rPr>
          <w:color w:val="003366"/>
          <w:sz w:val="18"/>
        </w:rPr>
        <w:t>a) a contribuição prevista no art. 195, V, da Constituição Federal; (Incluído pe</w:t>
      </w:r>
    </w:p>
    <w:p>
      <w:pPr>
        <w:ind w:left="1008"/>
      </w:pPr>
      <w:r>
        <w:rPr>
          <w:color w:val="003366"/>
          <w:sz w:val="18"/>
        </w:rPr>
        <w:t>b) o imposto previsto no art. 153, VIII, da Constituição Federal; (Incluído pela</w:t>
      </w:r>
    </w:p>
    <w:p>
      <w:pPr>
        <w:ind w:left="720"/>
      </w:pPr>
      <w:r>
        <w:rPr>
          <w:color w:val="003366"/>
          <w:sz w:val="18"/>
        </w:rPr>
        <w:t xml:space="preserve">II – serão extintas as contribuições previstas no art. 195, I, &amp;quot;b&amp;quot;, e </w:t>
      </w:r>
    </w:p>
    <w:p>
      <w:pPr>
        <w:ind w:left="720"/>
      </w:pPr>
      <w:r>
        <w:rPr>
          <w:color w:val="003366"/>
          <w:sz w:val="18"/>
        </w:rPr>
        <w:t>III – o imposto previsto no art. 153, IV, da Constituição Federal: (Incluído pel</w:t>
      </w:r>
    </w:p>
    <w:p>
      <w:pPr>
        <w:ind w:left="1008"/>
      </w:pPr>
      <w:r>
        <w:rPr>
          <w:color w:val="003366"/>
          <w:sz w:val="18"/>
        </w:rPr>
        <w:t>a) terá suas alíquotas reduzidas a zero, exceto em relação aos produtos que tenh</w:t>
      </w:r>
    </w:p>
    <w:p>
      <w:pPr>
        <w:ind w:left="1008"/>
      </w:pPr>
      <w:r>
        <w:rPr>
          <w:color w:val="003366"/>
          <w:sz w:val="18"/>
        </w:rPr>
        <w:t>b) não incidirá de forma cumulativa com o imposto previsto no art. 153, VIII, da</w:t>
      </w:r>
    </w:p>
    <w:p>
      <w:r>
        <w:rPr>
          <w:b/>
          <w:color w:val="003366"/>
          <w:sz w:val="20"/>
        </w:rPr>
        <w:t>Art. 127 Em 2027 e 2028, o imposto previsto no art. 156-A da Constituição Federa</w:t>
      </w:r>
      <w:r>
        <w:rPr>
          <w:color w:val="8C8C8C"/>
          <w:sz w:val="14"/>
        </w:rPr>
        <w:t xml:space="preserve">  [36 decisoes]</w:t>
      </w:r>
    </w:p>
    <w:p>
      <w:pPr>
        <w:ind w:left="144"/>
      </w:pPr>
      <w:r>
        <w:rPr>
          <w:b/>
          <w:color w:val="B45A00"/>
          <w:sz w:val="16"/>
        </w:rPr>
        <w:t>CONTROLE CONCENTRADO</w:t>
      </w:r>
    </w:p>
    <w:p>
      <w:pPr>
        <w:ind w:left="288"/>
      </w:pPr>
      <w:r>
        <w:rPr>
          <w:color w:val="8C8C8C"/>
          <w:sz w:val="12"/>
        </w:rPr>
        <w:t>cf-art-127</w:t>
      </w:r>
      <w:r>
        <w:rPr>
          <w:color w:val="003CA0"/>
          <w:sz w:val="12"/>
        </w:rPr>
        <w:t xml:space="preserve"> | ADI 4.768</w:t>
      </w:r>
      <w:r>
        <w:rPr>
          <w:color w:val="003CA0"/>
          <w:sz w:val="12"/>
        </w:rPr>
        <w:t xml:space="preserve"> | rel. Cármen Lúcia</w:t>
      </w:r>
    </w:p>
    <w:p>
      <w:pPr>
        <w:ind w:left="288"/>
      </w:pPr>
      <w:r>
        <w:rPr>
          <w:color w:val="1E1E1E"/>
          <w:sz w:val="18"/>
        </w:rPr>
        <w:t>Prerrogativa dos membros do Ministério Público de se apresentar no mesmo plano e à direita dos magistrados nas audiências e sessões de julgamento. Inexistência de afronta aos princípios da isonomia, do devido processo legal, da ampla defesa e do contraditório ou comprometimento da paridade de armas entre defesa e acusação. Perfil institucional do Ministério Público na defesa da ordem jurídica, do regime democrático e dos interesses sociais e individuais indisponíveis (art. 127 da Constituição da República). Proteção do interesse público. Incindibilidade das funções de fiscal da lei e parte pro</w:t>
      </w:r>
    </w:p>
    <w:p>
      <w:pPr>
        <w:ind w:left="288"/>
      </w:pPr>
      <w:r>
        <w:rPr>
          <w:b/>
          <w:color w:val="003CA0"/>
          <w:sz w:val="16"/>
        </w:rPr>
        <w:t>[ADI 5.507, rel. min. Dias Toffoli, j. 5-9-2022, P, DJE de 3-10-2022.]</w:t>
      </w:r>
    </w:p>
    <w:p>
      <w:pPr>
        <w:ind w:left="288"/>
      </w:pPr>
      <w:r>
        <w:rPr>
          <w:color w:val="8C8C8C"/>
          <w:sz w:val="12"/>
        </w:rPr>
        <w:t>cf-art-127</w:t>
      </w:r>
      <w:r>
        <w:rPr>
          <w:color w:val="003CA0"/>
          <w:sz w:val="12"/>
        </w:rPr>
        <w:t xml:space="preserve"> | ADI 4.714</w:t>
      </w:r>
      <w:r>
        <w:rPr>
          <w:color w:val="003CA0"/>
          <w:sz w:val="12"/>
        </w:rPr>
        <w:t xml:space="preserve"> | rel. Cármen Lúcia</w:t>
      </w:r>
    </w:p>
    <w:p>
      <w:pPr>
        <w:ind w:left="288"/>
      </w:pPr>
      <w:r>
        <w:rPr>
          <w:color w:val="1E1E1E"/>
          <w:sz w:val="18"/>
        </w:rPr>
        <w:t>Arts. 7º, 8º, 9º e 10 da Lei 9.419/2010, do Rio Grande do Norte. Fundo de reaparelhamento do Ministério Público – FRMP, composto em parte por recursos provenientes da cobrança efetuada em procedimentos extrajudiciais, serviços notariais e de registro. Atribuição do ministério público de fiscalização do devido recolhimento da taxa. (...) As atribuições conferidas ao Ministério Público do Rio Grande do Norte pelos arts. 7º, 8º, 9º e 10 da Lei estadual 9.419/2010 são atividades de fiscalização tributária típicas das Secretarias de Estado de Fazenda, não se relacionando diretamente com as finalida</w:t>
      </w:r>
    </w:p>
    <w:p>
      <w:pPr>
        <w:ind w:left="288"/>
      </w:pPr>
      <w:r>
        <w:rPr>
          <w:b/>
          <w:color w:val="003CA0"/>
          <w:sz w:val="16"/>
        </w:rPr>
        <w:t>[ADI 4.714, rel. min. Cármen Lúcia, j. 29-11-2019, P, DJE de 3-2-2020.]</w:t>
      </w:r>
    </w:p>
    <w:p>
      <w:pPr>
        <w:ind w:left="288"/>
      </w:pPr>
      <w:r>
        <w:rPr>
          <w:color w:val="8C8C8C"/>
          <w:sz w:val="12"/>
        </w:rPr>
        <w:t>cf-art-127</w:t>
      </w:r>
      <w:r>
        <w:rPr>
          <w:color w:val="003CA0"/>
          <w:sz w:val="12"/>
        </w:rPr>
        <w:t xml:space="preserve"> | ADI 4.617</w:t>
      </w:r>
      <w:r>
        <w:rPr>
          <w:color w:val="003CA0"/>
          <w:sz w:val="12"/>
        </w:rPr>
        <w:t xml:space="preserve"> | rel. Luiz Fux</w:t>
      </w:r>
    </w:p>
    <w:p>
      <w:pPr>
        <w:ind w:left="288"/>
      </w:pPr>
      <w:r>
        <w:rPr>
          <w:color w:val="1E1E1E"/>
          <w:sz w:val="18"/>
        </w:rPr>
        <w:t>Propaganda partidária irregular. (...) A legitimidade do Ministério Público para a defesa da ordem jurídica, do regime democrático e dos interesses sociais indisponíveis, não pode ser verberada, máxime diante da normativa constitucional insculpida nos arts. 127 e 129 da Constituição. (...) A representação de que trata o art. 45, § 3º, da Lei 9.096/1995 pode ser ajuizada por partido político ou pelo Ministério Público, mercê da incidência do art. 22, caput, da LC 64/1990 (...).</w:t>
      </w:r>
    </w:p>
    <w:p>
      <w:pPr>
        <w:ind w:left="288"/>
      </w:pPr>
      <w:r>
        <w:rPr>
          <w:b/>
          <w:color w:val="003CA0"/>
          <w:sz w:val="16"/>
        </w:rPr>
        <w:t>[ADI 4.617, rel. min. Luiz Fux, j. 19-6-2013, P, DJE de 12-2-2014.]</w:t>
      </w:r>
    </w:p>
    <w:p>
      <w:pPr>
        <w:ind w:left="288"/>
      </w:pPr>
      <w:r>
        <w:rPr>
          <w:color w:val="8C8C8C"/>
          <w:sz w:val="12"/>
        </w:rPr>
        <w:t>cf-art-127</w:t>
      </w:r>
      <w:r>
        <w:rPr>
          <w:color w:val="003CA0"/>
          <w:sz w:val="12"/>
        </w:rPr>
        <w:t xml:space="preserve"> | ADI 3.028</w:t>
      </w:r>
    </w:p>
    <w:p>
      <w:pPr>
        <w:ind w:left="288"/>
      </w:pPr>
      <w:r>
        <w:rPr>
          <w:color w:val="1E1E1E"/>
          <w:sz w:val="18"/>
        </w:rPr>
        <w:t>O produto da arrecadação de taxa de polícia sobre as atividades notariais e de registro não está restrito ao reaparelhamento do Poder Judiciário, mas ao aperfeiçoamento da jurisdição. E o Ministério Público é aparelho genuinamente estatal ou de existência necessária, unidade de serviço que se inscreve no rol daquelas que desempenham função essencial à jurisdição (art. 127, caput, da CF/1988). Logo, bem aparelhar o Ministério Público é servir ao desígnio constitucional de aperfeiçoar a própria jurisdição como atividade básica do Estado e função específica do Poder Judiciário.</w:t>
      </w:r>
    </w:p>
    <w:p>
      <w:pPr>
        <w:ind w:left="288"/>
      </w:pPr>
      <w:r>
        <w:rPr>
          <w:b/>
          <w:color w:val="003CA0"/>
          <w:sz w:val="16"/>
        </w:rPr>
        <w:t>[ADI 3.028, red. do ac. min. Ayres Britto, j. 26-5-2010, P, DJE de 1º-7-2010.]</w:t>
      </w:r>
    </w:p>
    <w:p>
      <w:pPr>
        <w:ind w:left="288"/>
      </w:pPr>
      <w:r>
        <w:rPr>
          <w:color w:val="8C8C8C"/>
          <w:sz w:val="12"/>
        </w:rPr>
        <w:t>cf-art-127</w:t>
      </w:r>
      <w:r>
        <w:rPr>
          <w:color w:val="003CA0"/>
          <w:sz w:val="12"/>
        </w:rPr>
        <w:t xml:space="preserve"> | ARE 1.524.619</w:t>
      </w:r>
      <w:r>
        <w:rPr>
          <w:color w:val="003CA0"/>
          <w:sz w:val="12"/>
        </w:rPr>
        <w:t xml:space="preserve"> | rel. Alexandre de Moraes</w:t>
      </w:r>
    </w:p>
    <w:p>
      <w:pPr>
        <w:ind w:left="288"/>
      </w:pPr>
      <w:r>
        <w:rPr>
          <w:color w:val="1E1E1E"/>
          <w:sz w:val="18"/>
        </w:rPr>
        <w:t>O Ministério Público é instituição permanente, essencial à função jurisdicional do Estado, incumbindo-lhe a defesa da ordem jurídica, do regime democrático e dos interesses sociais e individuais indisponíveis, não sendo possível sua condenação ao pagamento de despesas processuais e honorários de sucumbência, sob pena de ferimento à sua independência e autonomia.</w:t>
      </w:r>
    </w:p>
    <w:p>
      <w:pPr>
        <w:ind w:left="288"/>
      </w:pPr>
      <w:r>
        <w:rPr>
          <w:b/>
          <w:color w:val="003CA0"/>
          <w:sz w:val="16"/>
        </w:rPr>
        <w:t>[ARE 1.524.619 RG, rel. min. Alexandre de Moraes, j. 14.03.2025, P, DJE de 27.03.2025, Tema 1.382, com mérito pendente.]</w:t>
      </w:r>
    </w:p>
    <w:p>
      <w:pPr>
        <w:ind w:left="144"/>
      </w:pPr>
      <w:r>
        <w:rPr>
          <w:b/>
          <w:color w:val="B45A00"/>
          <w:sz w:val="16"/>
        </w:rPr>
        <w:t>REPERCUSSAO GERAL</w:t>
      </w:r>
    </w:p>
    <w:p>
      <w:pPr>
        <w:ind w:left="288"/>
      </w:pPr>
      <w:r>
        <w:rPr>
          <w:color w:val="8C8C8C"/>
          <w:sz w:val="12"/>
        </w:rPr>
        <w:t>cf-art-127</w:t>
      </w:r>
      <w:r>
        <w:rPr>
          <w:color w:val="003CA0"/>
          <w:sz w:val="12"/>
        </w:rPr>
        <w:t xml:space="preserve"> | RE 985.392</w:t>
      </w:r>
      <w:r>
        <w:rPr>
          <w:color w:val="003CA0"/>
          <w:sz w:val="12"/>
        </w:rPr>
        <w:t xml:space="preserve"> | rel. Gilmar Mendes</w:t>
      </w:r>
    </w:p>
    <w:p>
      <w:pPr>
        <w:ind w:left="288"/>
      </w:pPr>
      <w:r>
        <w:rPr>
          <w:color w:val="1E1E1E"/>
          <w:sz w:val="18"/>
        </w:rPr>
        <w:t>Os Ministérios Públicos dos Estados e do Distrito Federal têm legitimidade para propor e atuar em recursos e meios de impugnação de decisões judiciais em trâmite no STF e no STJ, oriundos de processos de sua atribuição, sem prejuízo da atuação do MPF.</w:t>
        <w:br/>
        <w:t>[RE 985.392, rel. min. Gilmar Mendes, j. 26-5-2017, P, DJE de 10-11-2017, Tema 946, com mérito julgado.] Considerada a natureza e a finalidade do seguro obrigatório Danos Pessoais Causados por Veículos Automotores de Via Terrestre (DPVAT)(...) o STF considerou que sua tutela se revestia de interesse social qualificado, autorizando, por isso mesmo</w:t>
      </w:r>
    </w:p>
    <w:p>
      <w:pPr>
        <w:ind w:left="288"/>
      </w:pPr>
      <w:r>
        <w:rPr>
          <w:b/>
          <w:color w:val="003CA0"/>
          <w:sz w:val="16"/>
        </w:rPr>
        <w:t>[ARE 728.188, rel. min. Ricardo Lewandowski, j. 18-12-2013, P, DJE de 12-8-2014, Tema 680, com mérito julgado.]</w:t>
      </w:r>
    </w:p>
    <w:p>
      <w:pPr>
        <w:ind w:left="144"/>
      </w:pPr>
      <w:r>
        <w:rPr>
          <w:b/>
          <w:color w:val="B45A00"/>
          <w:sz w:val="16"/>
        </w:rPr>
        <w:t>JULGADOS CORRELATOS</w:t>
      </w:r>
    </w:p>
    <w:p>
      <w:pPr>
        <w:ind w:left="288"/>
      </w:pPr>
      <w:r>
        <w:rPr>
          <w:color w:val="8C8C8C"/>
          <w:sz w:val="12"/>
        </w:rPr>
        <w:t>cf-art-127</w:t>
      </w:r>
      <w:r>
        <w:rPr>
          <w:color w:val="003CA0"/>
          <w:sz w:val="12"/>
        </w:rPr>
        <w:t xml:space="preserve"> | RE 571.969</w:t>
      </w:r>
      <w:r>
        <w:rPr>
          <w:color w:val="003CA0"/>
          <w:sz w:val="12"/>
        </w:rPr>
        <w:t xml:space="preserve"> | rel. Cármen Lúcia</w:t>
      </w:r>
    </w:p>
    <w:p>
      <w:pPr>
        <w:ind w:left="288"/>
      </w:pPr>
      <w:r>
        <w:rPr>
          <w:color w:val="1E1E1E"/>
          <w:sz w:val="18"/>
        </w:rPr>
        <w:t>Legitimidade do Ministério Público para interpor recurso extraordinário, como custos legis (§ 2º do art. 499 do CPC), harmoniza-se com as funções institucionais previstas nos arts. 127 e 129 da Constituição da República.</w:t>
      </w:r>
    </w:p>
    <w:p>
      <w:pPr>
        <w:ind w:left="288"/>
      </w:pPr>
      <w:r>
        <w:rPr>
          <w:b/>
          <w:color w:val="003CA0"/>
          <w:sz w:val="16"/>
        </w:rPr>
        <w:t>[RE 571.969, rel. min. Cármen Lúcia, j. 12-3-2014, P, DJE de 18-9-2014.]</w:t>
      </w:r>
    </w:p>
    <w:p>
      <w:pPr>
        <w:ind w:left="288"/>
      </w:pPr>
      <w:r>
        <w:rPr>
          <w:color w:val="8C8C8C"/>
          <w:sz w:val="12"/>
        </w:rPr>
        <w:t>cf-art-127</w:t>
      </w:r>
      <w:r>
        <w:rPr>
          <w:color w:val="003CA0"/>
          <w:sz w:val="12"/>
        </w:rPr>
        <w:t xml:space="preserve"> | RE 496.718</w:t>
      </w:r>
    </w:p>
    <w:p>
      <w:pPr>
        <w:ind w:left="288"/>
      </w:pPr>
      <w:r>
        <w:rPr>
          <w:color w:val="1E1E1E"/>
          <w:sz w:val="18"/>
        </w:rPr>
        <w:t>Ministério Público. Legitimidade ativa. Medida judicial para internação compulsória de pessoa vítima de alcoolismo. Ausência. O Ministério Público não tem legitimidade ativa ad causam para requerer a internação compulsória, para tratamento de saúde, de pessoa vítima de alcoolismo. Existindo defensoria pública organizada, tem ela competência para atuar nesses casos.</w:t>
      </w:r>
    </w:p>
    <w:p>
      <w:pPr>
        <w:ind w:left="288"/>
      </w:pPr>
      <w:r>
        <w:rPr>
          <w:b/>
          <w:color w:val="003CA0"/>
          <w:sz w:val="16"/>
        </w:rPr>
        <w:t>[RE 496.718, red. do ac. min. Menezes Direito, j. 12-8-2008, 1ª T, DJE de 31-10-2008.]</w:t>
      </w:r>
    </w:p>
    <w:p>
      <w:pPr>
        <w:ind w:left="288"/>
      </w:pPr>
      <w:r>
        <w:rPr>
          <w:color w:val="8C8C8C"/>
          <w:sz w:val="12"/>
        </w:rPr>
        <w:t>cf-art-127</w:t>
      </w:r>
      <w:r>
        <w:rPr>
          <w:color w:val="003CA0"/>
          <w:sz w:val="12"/>
        </w:rPr>
        <w:t xml:space="preserve"> | HC 91.024</w:t>
      </w:r>
      <w:r>
        <w:rPr>
          <w:color w:val="003CA0"/>
          <w:sz w:val="12"/>
        </w:rPr>
        <w:t xml:space="preserve"> | rel. Ellen Gracie</w:t>
      </w:r>
    </w:p>
    <w:p>
      <w:pPr>
        <w:ind w:left="288"/>
      </w:pPr>
      <w:r>
        <w:rPr>
          <w:color w:val="1E1E1E"/>
          <w:sz w:val="18"/>
        </w:rPr>
        <w:t>Reconhece-se ao Ministério Público a faculdade de impetrar habeas corpus e mandado de segurança, além de requerer a correição parcial (...). A legitimidade do Ministério Público para impetrar habeas corpus tem fundamento na incumbência da defesa da ordem jurídica e dos interesses individuais indisponíveis (...), e o Ministério Público tem legitimidade para impetrar habeas corpus quando envolvido o princípio do juiz natural (...).</w:t>
      </w:r>
    </w:p>
    <w:p>
      <w:pPr>
        <w:ind w:left="288"/>
      </w:pPr>
      <w:r>
        <w:rPr>
          <w:b/>
          <w:color w:val="003CA0"/>
          <w:sz w:val="16"/>
        </w:rPr>
        <w:t>[HC 91.024, rel. min. Ellen Gracie, j. 5-8-2008, 2ª T, DJE de 22-8-2008.]</w:t>
      </w:r>
    </w:p>
    <w:p>
      <w:pPr>
        <w:ind w:left="288"/>
      </w:pPr>
      <w:r>
        <w:rPr>
          <w:color w:val="8C8C8C"/>
          <w:sz w:val="12"/>
        </w:rPr>
        <w:t>cf-art-127</w:t>
      </w:r>
      <w:r>
        <w:rPr>
          <w:color w:val="003CA0"/>
          <w:sz w:val="12"/>
        </w:rPr>
        <w:t xml:space="preserve"> | RE 472.489</w:t>
      </w:r>
      <w:r>
        <w:rPr>
          <w:color w:val="003CA0"/>
          <w:sz w:val="12"/>
        </w:rPr>
        <w:t xml:space="preserve"> | rel. Celso de Mello</w:t>
      </w:r>
    </w:p>
    <w:p>
      <w:pPr>
        <w:ind w:left="288"/>
      </w:pPr>
      <w:r>
        <w:rPr>
          <w:color w:val="1E1E1E"/>
          <w:sz w:val="18"/>
        </w:rPr>
        <w:t>O Ministério Público tem legitimidade ativa para a defesa, em juízo, dos direitos e interesses individuais homogêneos, quando impregnados de relevante natureza social, como sucede com o direito de petição e o direito de obtenção de certidão em repartições públicas.</w:t>
      </w:r>
    </w:p>
    <w:p>
      <w:pPr>
        <w:ind w:left="288"/>
      </w:pPr>
      <w:r>
        <w:rPr>
          <w:b/>
          <w:color w:val="003CA0"/>
          <w:sz w:val="16"/>
        </w:rPr>
        <w:t>[RE 472.489 AgR, rel. min. Celso de Mello, j. 29-4-2008, 2ª T, DJE de 29-8-2008.]</w:t>
      </w:r>
    </w:p>
    <w:p>
      <w:pPr>
        <w:ind w:left="288"/>
      </w:pPr>
      <w:r>
        <w:rPr>
          <w:color w:val="8C8C8C"/>
          <w:sz w:val="12"/>
        </w:rPr>
        <w:t>cf-art-127</w:t>
      </w:r>
      <w:r>
        <w:rPr>
          <w:color w:val="003CA0"/>
          <w:sz w:val="12"/>
        </w:rPr>
        <w:t xml:space="preserve"> | AI 516.419</w:t>
      </w:r>
      <w:r>
        <w:rPr>
          <w:color w:val="003CA0"/>
          <w:sz w:val="12"/>
        </w:rPr>
        <w:t xml:space="preserve"> | rel. Gilmar Mendes</w:t>
      </w:r>
    </w:p>
    <w:p>
      <w:pPr>
        <w:ind w:left="288"/>
      </w:pPr>
      <w:r>
        <w:rPr>
          <w:color w:val="1E1E1E"/>
          <w:sz w:val="18"/>
        </w:rPr>
        <w:t>=  AI 516.419 AgR, rel. min. Gilmar Mendes, j. 16-11-2010, 2ª T, DJE de 30-11-2010 Ação civil pública promovida pelo Ministério Público contra Município para o fim de compeli-lo a incluir, no orçamento seguinte, percentual que completaria o mínimo de 25% de aplicação no ensino. CF, art. 212. Legitimidade ativa do Ministério Público e adequação da ação civil pública, dado que esta tem por objeto interesse social indisponível (CF, art. 6º, arts. 205 e seguintes, art. 212), de relevância notável, pelo qual o Ministério Público pode pugnar (CF, art. 127, art. 129, III).</w:t>
      </w:r>
    </w:p>
    <w:p>
      <w:pPr>
        <w:ind w:left="288"/>
      </w:pPr>
      <w:r>
        <w:rPr>
          <w:b/>
          <w:color w:val="003CA0"/>
          <w:sz w:val="16"/>
        </w:rPr>
        <w:t>[RE 190.938, red. do ac. min. Gilmar Mendes, j. 14-3-2006, 2ª T, DJE de 22-5-2009.]</w:t>
      </w:r>
    </w:p>
    <w:p>
      <w:pPr>
        <w:ind w:left="288"/>
      </w:pPr>
      <w:r>
        <w:rPr>
          <w:color w:val="8C8C8C"/>
          <w:sz w:val="12"/>
        </w:rPr>
        <w:t>cf-art-127</w:t>
      </w:r>
      <w:r>
        <w:rPr>
          <w:color w:val="003CA0"/>
          <w:sz w:val="12"/>
        </w:rPr>
        <w:t xml:space="preserve"> | RE 163.231</w:t>
      </w:r>
      <w:r>
        <w:rPr>
          <w:color w:val="003CA0"/>
          <w:sz w:val="12"/>
        </w:rPr>
        <w:t xml:space="preserve"> | rel. Maurício Corrêa</w:t>
      </w:r>
    </w:p>
    <w:p>
      <w:pPr>
        <w:ind w:left="288"/>
      </w:pPr>
      <w:r>
        <w:rPr>
          <w:color w:val="1E1E1E"/>
          <w:sz w:val="18"/>
        </w:rPr>
        <w:t>A CF confere relevo ao Ministério Público como instituição permanente, essencial à função jurisdicional do Estado, incumbindo-lhe a defesa da ordem jurídica, do regime democrático e dos interesses sociais e individuais indisponíveis (CF, art. 127). (...) Cuidando-se de tema ligado à educação, amparada constitucionalmente como dever do Estado e obrigação de todos (CF, art. 205), está o Ministério Público investido da capacidade postulatória, patente a legitimidade ad causam, quando o bem que se busca resguardar se insere na órbita dos interesses coletivos, em segmento de extrema delicadeza e de</w:t>
      </w:r>
    </w:p>
    <w:p>
      <w:pPr>
        <w:ind w:left="288"/>
      </w:pPr>
      <w:r>
        <w:rPr>
          <w:b/>
          <w:color w:val="003CA0"/>
          <w:sz w:val="16"/>
        </w:rPr>
        <w:t>[RE 163.231, rel. min. Maurício Corrêa, j. 26-2-1997, P, DJ de 29-6-2001.]</w:t>
      </w:r>
    </w:p>
    <w:p>
      <w:pPr>
        <w:ind w:left="288"/>
      </w:pPr>
      <w:r>
        <w:rPr>
          <w:color w:val="8C8C8C"/>
          <w:sz w:val="12"/>
        </w:rPr>
        <w:t>cf-art-127</w:t>
      </w:r>
      <w:r>
        <w:rPr>
          <w:color w:val="003CA0"/>
          <w:sz w:val="12"/>
        </w:rPr>
        <w:t xml:space="preserve"> | AI 606.235</w:t>
      </w:r>
      <w:r>
        <w:rPr>
          <w:color w:val="003CA0"/>
          <w:sz w:val="12"/>
        </w:rPr>
        <w:t xml:space="preserve"> | rel. Joaquim Barbosa</w:t>
      </w:r>
    </w:p>
    <w:p>
      <w:pPr>
        <w:ind w:left="288"/>
      </w:pPr>
      <w:r>
        <w:rPr>
          <w:color w:val="1E1E1E"/>
          <w:sz w:val="18"/>
        </w:rPr>
        <w:t>= AI 606.235 AgR, rel. min. Joaquim Barbosa, j. 5-6-2012, 2ª T, DJE de 22-6-2012 O Ministério Público dispõe de legitimidade ativa ad causam para ajuizar, em favor de terceiros, a ação penal de habeas corpus. O remédio processual do habeas corpus não pode ser utilizado como instrumento de tutela dos direitos do Estado. Esse writ constitucional há de ser visto e interpretado em função de sua específica destinação tutelar: a salvaguarda do estado de liberdade do paciente. A impetração do habeas corpus, com desvio de sua finalidade jurídico-constitucional, objetivando satisfazer, ainda que por vi</w:t>
      </w:r>
    </w:p>
    <w:p>
      <w:pPr>
        <w:ind w:left="288"/>
      </w:pPr>
      <w:r>
        <w:rPr>
          <w:b/>
          <w:color w:val="003CA0"/>
          <w:sz w:val="16"/>
        </w:rPr>
        <w:t>[HC 69.889 diligência, rel. min. Celso de Mello, j. 2-2-1993, 1ª T, DJ de 1º-7-1993.]</w:t>
      </w:r>
    </w:p>
    <w:p>
      <w:pPr>
        <w:ind w:left="288"/>
      </w:pPr>
      <w:r>
        <w:rPr>
          <w:color w:val="8C8C8C"/>
          <w:sz w:val="12"/>
        </w:rPr>
        <w:t>cf-art-127</w:t>
      </w:r>
      <w:r>
        <w:rPr>
          <w:color w:val="003CA0"/>
          <w:sz w:val="12"/>
        </w:rPr>
        <w:t xml:space="preserve"> | HC 75.347</w:t>
      </w:r>
      <w:r>
        <w:rPr>
          <w:color w:val="003CA0"/>
          <w:sz w:val="12"/>
        </w:rPr>
        <w:t xml:space="preserve"> | rel. Carlos Velloso</w:t>
      </w:r>
    </w:p>
    <w:p>
      <w:pPr>
        <w:ind w:left="288"/>
      </w:pPr>
      <w:r>
        <w:rPr>
          <w:color w:val="1E1E1E"/>
          <w:sz w:val="18"/>
        </w:rPr>
        <w:t>= HC 75.347, rel. min. Carlos Velloso, j. 3-12-1997, 1ª T, DJ de 6-3-1998</w:t>
      </w:r>
    </w:p>
    <w:p>
      <w:pPr>
        <w:ind w:left="144"/>
      </w:pPr>
      <w:r>
        <w:rPr>
          <w:b/>
          <w:color w:val="B45A00"/>
          <w:sz w:val="16"/>
        </w:rPr>
        <w:t>CONTROLE CONCENTRADO</w:t>
      </w:r>
    </w:p>
    <w:p>
      <w:pPr>
        <w:ind w:left="288"/>
      </w:pPr>
      <w:r>
        <w:rPr>
          <w:color w:val="8C8C8C"/>
          <w:sz w:val="12"/>
        </w:rPr>
        <w:t>cf-art-127-par-1</w:t>
      </w:r>
      <w:r>
        <w:rPr>
          <w:color w:val="003CA0"/>
          <w:sz w:val="12"/>
        </w:rPr>
        <w:t xml:space="preserve"> | ADI 7.192</w:t>
      </w:r>
      <w:r>
        <w:rPr>
          <w:color w:val="003CA0"/>
          <w:sz w:val="12"/>
        </w:rPr>
        <w:t xml:space="preserve"> | rel. Luiz Fux</w:t>
      </w:r>
    </w:p>
    <w:p>
      <w:pPr>
        <w:ind w:left="288"/>
      </w:pPr>
      <w:r>
        <w:rPr>
          <w:color w:val="1E1E1E"/>
          <w:sz w:val="18"/>
        </w:rPr>
        <w:t>O artigo 21, § 1º, da Lei n. 14.344/2022, prevê que a autoridade policial poderá requisitar ao Ministério Público a propositura de ação cautelar de antecipação de produção de prova nas causas que envolvam violência contra a criança e o adolescente. A tutela penal de crianças e adolescentes deve levar em consideração o aspecto informacional, isto é, a origem da notícia de atos lesivos às autoridades competentes. A controvérsia reside no emprego do termo “requisitar”, usualmente interpretado como “determinar”. Questiona-se, assim, a possibilidade de a lei prever que a autoridade policial pode de</w:t>
      </w:r>
    </w:p>
    <w:p>
      <w:pPr>
        <w:ind w:left="288"/>
      </w:pPr>
      <w:r>
        <w:rPr>
          <w:b/>
          <w:color w:val="003CA0"/>
          <w:sz w:val="16"/>
        </w:rPr>
        <w:t>[ADPF 482, rel. min. Alexandre de Moraes, j. 3-3-2020, P, DJE de 12-3-2020.]</w:t>
      </w:r>
    </w:p>
    <w:p>
      <w:pPr>
        <w:ind w:left="288"/>
      </w:pPr>
      <w:r>
        <w:rPr>
          <w:color w:val="8C8C8C"/>
          <w:sz w:val="12"/>
        </w:rPr>
        <w:t>cf-art-127-par-1</w:t>
      </w:r>
      <w:r>
        <w:rPr>
          <w:color w:val="003CA0"/>
          <w:sz w:val="12"/>
        </w:rPr>
        <w:t xml:space="preserve"> | ADI 5.434</w:t>
      </w:r>
    </w:p>
    <w:p>
      <w:pPr>
        <w:ind w:left="288"/>
      </w:pPr>
      <w:r>
        <w:rPr>
          <w:color w:val="1E1E1E"/>
          <w:sz w:val="18"/>
        </w:rPr>
        <w:t>Os limites do princípio da independência funcional do Ministério Público, art. 127, § 1º, CRFB, encontram-se circunscritos pelo respeito à Constituição da República e às leis. (...) O Conselho Nacional do Ministério Público age dentro dos limites constitucionais ao editar resolução para esclarecer que deve ser referendada, pelo órgão de revisão competente, a decisão do membro do Parquet que conclui, após a instauração do inquérito civil ou do respectivo procedimento preparatório, ser este ou aquele de atribuição de outro ramo do Ministério Público. Regramento que se insere na ambiência da estr</w:t>
      </w:r>
    </w:p>
    <w:p>
      <w:pPr>
        <w:ind w:left="144"/>
      </w:pPr>
      <w:r>
        <w:rPr>
          <w:b/>
          <w:color w:val="B45A00"/>
          <w:sz w:val="16"/>
        </w:rPr>
        <w:t>JULGADOS CORRELATOS</w:t>
      </w:r>
    </w:p>
    <w:p>
      <w:pPr>
        <w:ind w:left="288"/>
      </w:pPr>
      <w:r>
        <w:rPr>
          <w:color w:val="8C8C8C"/>
          <w:sz w:val="12"/>
        </w:rPr>
        <w:t>cf-art-127-par-1</w:t>
      </w:r>
      <w:r>
        <w:rPr>
          <w:color w:val="003CA0"/>
          <w:sz w:val="12"/>
        </w:rPr>
        <w:t xml:space="preserve"> | PET 4.863</w:t>
      </w:r>
      <w:r>
        <w:rPr>
          <w:color w:val="003CA0"/>
          <w:sz w:val="12"/>
        </w:rPr>
        <w:t xml:space="preserve"> | rel. Marco Aurélio</w:t>
      </w:r>
    </w:p>
    <w:p>
      <w:pPr>
        <w:ind w:left="288"/>
      </w:pPr>
      <w:r>
        <w:rPr>
          <w:color w:val="1E1E1E"/>
          <w:sz w:val="18"/>
        </w:rPr>
        <w:t>Tratando-se de divergência interna entre órgãos do Ministério Público, instituição que a Carta da República subordina aos princípios institucionais da unidade e da indivisibilidade (CF, art. 127, § 1º), cumpre ao próprio Ministério Público identificar e afirmar as atribuições investigativas de cada um dos seus órgãos em face do caso concreto, devendo prevalecer, à luz do princípio federativo, a manifestação do procurador-geral da República.</w:t>
        <w:br/>
        <w:t>[Pet 4.863, rel. min. Marco Aurélio, j. 19-5-2016, P, DJE de 16-5-2017.] A pretensão de um órgão do Ministério Público não vincula os demais, garantindo-se</w:t>
      </w:r>
    </w:p>
    <w:p>
      <w:pPr>
        <w:ind w:left="288"/>
      </w:pPr>
      <w:r>
        <w:rPr>
          <w:b/>
          <w:color w:val="003CA0"/>
          <w:sz w:val="16"/>
        </w:rPr>
        <w:t>[ARE 725.491 AgR, rel. min. Luiz Fux, j. 26-5-2015, 1ª T, DJE de 15-6-2015.]</w:t>
      </w:r>
    </w:p>
    <w:p>
      <w:pPr>
        <w:ind w:left="288"/>
      </w:pPr>
      <w:r>
        <w:rPr>
          <w:color w:val="8C8C8C"/>
          <w:sz w:val="12"/>
        </w:rPr>
        <w:t>cf-art-127-par-1</w:t>
      </w:r>
      <w:r>
        <w:rPr>
          <w:color w:val="003CA0"/>
          <w:sz w:val="12"/>
        </w:rPr>
        <w:t xml:space="preserve"> | HC 103.038</w:t>
      </w:r>
      <w:r>
        <w:rPr>
          <w:color w:val="003CA0"/>
          <w:sz w:val="12"/>
        </w:rPr>
        <w:t xml:space="preserve"> | rel. Joaquim Barbosa</w:t>
      </w:r>
    </w:p>
    <w:p>
      <w:pPr>
        <w:ind w:left="288"/>
      </w:pPr>
      <w:r>
        <w:rPr>
          <w:color w:val="1E1E1E"/>
          <w:sz w:val="18"/>
        </w:rPr>
        <w:t>Violação do princípio do promotor natural. Inocorrência. (...) No caso, a designação prévia e motivada de um promotor para atuar na sessão de julgamento do Tribunal do Júri da Comarca de Santa Izabel do Pará se deu em virtude de justificada solicitação do promotor titular daquela localidade, tudo em estrita observância aos arts. 10, IX, f, parte final, e 24, ambos da Lei 8.625/1993. Ademais, o promotor designado já havia atuado no feito quando do exercício de suas atribuições na Promotoria de Justiça da referida Comarca.</w:t>
      </w:r>
    </w:p>
    <w:p>
      <w:pPr>
        <w:ind w:left="288"/>
      </w:pPr>
      <w:r>
        <w:rPr>
          <w:b/>
          <w:color w:val="003CA0"/>
          <w:sz w:val="16"/>
        </w:rPr>
        <w:t>[HC 103.038, rel. min. Joaquim Barbosa, j. 11-10-2011, 2ª T, DJE de 27-10-2011.]</w:t>
      </w:r>
    </w:p>
    <w:p>
      <w:pPr>
        <w:ind w:left="288"/>
      </w:pPr>
      <w:r>
        <w:rPr>
          <w:color w:val="8C8C8C"/>
          <w:sz w:val="12"/>
        </w:rPr>
        <w:t>cf-art-127-par-1</w:t>
      </w:r>
      <w:r>
        <w:rPr>
          <w:color w:val="003CA0"/>
          <w:sz w:val="12"/>
        </w:rPr>
        <w:t xml:space="preserve"> | RCL 7.101</w:t>
      </w:r>
      <w:r>
        <w:rPr>
          <w:color w:val="003CA0"/>
          <w:sz w:val="12"/>
        </w:rPr>
        <w:t xml:space="preserve"> | rel. Cármen Lúcia</w:t>
      </w:r>
    </w:p>
    <w:p>
      <w:pPr>
        <w:ind w:left="288"/>
      </w:pPr>
      <w:r>
        <w:rPr>
          <w:color w:val="1E1E1E"/>
          <w:sz w:val="18"/>
        </w:rPr>
        <w:t>O Supremo Tribunal reconheceu a legitimidade ativa autônoma do Ministério Público estadual para ajuizar reclamação no Supremo Tribunal, sem que se exija a ratificação da inicial pelo PGR.</w:t>
      </w:r>
    </w:p>
    <w:p>
      <w:pPr>
        <w:ind w:left="288"/>
      </w:pPr>
      <w:r>
        <w:rPr>
          <w:b/>
          <w:color w:val="003CA0"/>
          <w:sz w:val="16"/>
        </w:rPr>
        <w:t>[Rcl 7.101, rel. min. Cármen Lúcia, j. 24-2-2011, P, DJE de 9-8-2011.]</w:t>
      </w:r>
    </w:p>
    <w:p>
      <w:pPr>
        <w:ind w:left="288"/>
      </w:pPr>
      <w:r>
        <w:rPr>
          <w:color w:val="8C8C8C"/>
          <w:sz w:val="12"/>
        </w:rPr>
        <w:t>cf-art-127-par-1</w:t>
      </w:r>
      <w:r>
        <w:rPr>
          <w:color w:val="003CA0"/>
          <w:sz w:val="12"/>
        </w:rPr>
        <w:t xml:space="preserve"> | RCL 9.327</w:t>
      </w:r>
      <w:r>
        <w:rPr>
          <w:color w:val="003CA0"/>
          <w:sz w:val="12"/>
        </w:rPr>
        <w:t xml:space="preserve"> | rel. Dias Toffoli</w:t>
      </w:r>
    </w:p>
    <w:p>
      <w:pPr>
        <w:ind w:left="288"/>
      </w:pPr>
      <w:r>
        <w:rPr>
          <w:color w:val="1E1E1E"/>
          <w:sz w:val="18"/>
        </w:rPr>
        <w:t>= Rcl 9.327 AgR, rel. min. Dias Toffoli, j. 23-5-2013, P, DJE de 1º-8-2013 Nenhuma afronta ao princípio do promotor natural há no pedido de arquivamento dos autos do inquérito policial por um promotor de justiça e na oferta da denúncia por outro, indicado pelo procurador-geral de justiça, após o juízo local ter considerado improcedente o pedido de arquivamento.</w:t>
      </w:r>
    </w:p>
    <w:p>
      <w:pPr>
        <w:ind w:left="288"/>
      </w:pPr>
      <w:r>
        <w:rPr>
          <w:b/>
          <w:color w:val="003CA0"/>
          <w:sz w:val="16"/>
        </w:rPr>
        <w:t>[HC 92.885, rel. min. Cármen Lúcia, j. 29-4-2008, 1ª T, DJE de 20-6-2008.]</w:t>
      </w:r>
    </w:p>
    <w:p>
      <w:pPr>
        <w:ind w:left="288"/>
      </w:pPr>
      <w:r>
        <w:rPr>
          <w:color w:val="8C8C8C"/>
          <w:sz w:val="12"/>
        </w:rPr>
        <w:t>cf-art-127-par-1</w:t>
      </w:r>
      <w:r>
        <w:rPr>
          <w:color w:val="003CA0"/>
          <w:sz w:val="12"/>
        </w:rPr>
        <w:t xml:space="preserve"> | HC 85.137</w:t>
      </w:r>
      <w:r>
        <w:rPr>
          <w:color w:val="003CA0"/>
          <w:sz w:val="12"/>
        </w:rPr>
        <w:t xml:space="preserve"> | rel. Cezar Peluso</w:t>
      </w:r>
    </w:p>
    <w:p>
      <w:pPr>
        <w:ind w:left="288"/>
      </w:pPr>
      <w:r>
        <w:rPr>
          <w:color w:val="1E1E1E"/>
          <w:sz w:val="18"/>
        </w:rPr>
        <w:t>O ato processual de oferecimento da denúncia, praticado, em foro incompetente, por um representante, prescinde, para ser válido e eficaz, de ratificação por outro do mesmo grau funcional e do mesmo Ministério Público, apenas lotado em foro diverso e competente, porque o foi em nome da instituição, que é una e indivisível.</w:t>
      </w:r>
    </w:p>
    <w:p>
      <w:pPr>
        <w:ind w:left="288"/>
      </w:pPr>
      <w:r>
        <w:rPr>
          <w:b/>
          <w:color w:val="003CA0"/>
          <w:sz w:val="16"/>
        </w:rPr>
        <w:t>[HC 85.137, rel. min. Cezar Peluso, j. 13-9-2005, 1ª T, DJ de 28-10-2005.]</w:t>
      </w:r>
    </w:p>
    <w:p>
      <w:pPr>
        <w:ind w:left="288"/>
      </w:pPr>
      <w:r>
        <w:rPr>
          <w:color w:val="8C8C8C"/>
          <w:sz w:val="12"/>
        </w:rPr>
        <w:t>cf-art-127-par-1</w:t>
      </w:r>
      <w:r>
        <w:rPr>
          <w:color w:val="003CA0"/>
          <w:sz w:val="12"/>
        </w:rPr>
        <w:t xml:space="preserve"> | INQ 2.028</w:t>
      </w:r>
      <w:r>
        <w:rPr>
          <w:color w:val="003CA0"/>
          <w:sz w:val="12"/>
        </w:rPr>
        <w:t xml:space="preserve"> | rel. Joaquim Barbosa</w:t>
      </w:r>
    </w:p>
    <w:p>
      <w:pPr>
        <w:ind w:left="288"/>
      </w:pPr>
      <w:r>
        <w:rPr>
          <w:color w:val="1E1E1E"/>
          <w:sz w:val="18"/>
        </w:rPr>
        <w:t>À luz de copiosa jurisprudência do STF, no caso de inquérito para apuração de conduta típica em que a competência originária seja da Corte, o pedido de arquivamento pelo PGR não pode ser recusado. Na hipótese dos autos, o PGR requerera, inicialmente, o arquivamento dos autos, tendo seu sucessor oferecido a respectiva denúncia sem que houvessem surgido novas provas. Na organização do Ministério Público, vicissitudes e desavenças internas, manifestadas por divergências entre os sucessivos ocupantes de sua chefia, não podem afetar a unicidade da instituição. A promoção primeira de arquivamento pe</w:t>
      </w:r>
    </w:p>
    <w:p>
      <w:pPr>
        <w:ind w:left="288"/>
      </w:pPr>
      <w:r>
        <w:rPr>
          <w:b/>
          <w:color w:val="003CA0"/>
          <w:sz w:val="16"/>
        </w:rPr>
        <w:t>[Inq 2.028, rel. min. Joaquim Barbosa, j. 28-4-2004, P, DJ de 16-12-2005.]</w:t>
      </w:r>
    </w:p>
    <w:p>
      <w:pPr>
        <w:ind w:left="288"/>
      </w:pPr>
      <w:r>
        <w:rPr>
          <w:color w:val="8C8C8C"/>
          <w:sz w:val="12"/>
        </w:rPr>
        <w:t>cf-art-127-par-1</w:t>
      </w:r>
      <w:r>
        <w:rPr>
          <w:color w:val="003CA0"/>
          <w:sz w:val="12"/>
        </w:rPr>
        <w:t xml:space="preserve"> | HC 67.759</w:t>
      </w:r>
      <w:r>
        <w:rPr>
          <w:color w:val="003CA0"/>
          <w:sz w:val="12"/>
        </w:rPr>
        <w:t xml:space="preserve"> | rel. Celso de Mello</w:t>
      </w:r>
    </w:p>
    <w:p>
      <w:pPr>
        <w:ind w:left="288"/>
      </w:pPr>
      <w:r>
        <w:rPr>
          <w:color w:val="1E1E1E"/>
          <w:sz w:val="18"/>
        </w:rPr>
        <w:t>O postulado do promotor natural, que se revela imanente ao sistema constitucional brasileiro, repele, a partir da vedação de designações casuísticas efetuadas pela chefia da instituição, a figura do acusador de exceção. Esse princípio consagra uma garantia de ordem jurídica, destinada tanto a proteger o membro do Ministério Público, na medida em que lhe assegura o exercício pleno e independente do seu ofício, quanto a tutelar a própria coletividade, a quem se reconhece o direito de ver atuando, em quaisquer causas, apenas o promotor cuja intervenção se justifique a partir de critérios abstrato</w:t>
      </w:r>
    </w:p>
    <w:p>
      <w:pPr>
        <w:ind w:left="288"/>
      </w:pPr>
      <w:r>
        <w:rPr>
          <w:b/>
          <w:color w:val="003CA0"/>
          <w:sz w:val="16"/>
        </w:rPr>
        <w:t>[HC 67.759, rel. min. Celso de Mello, j. 6-8-1992, P, DJ de 1º-7-1993.]</w:t>
      </w:r>
    </w:p>
    <w:p>
      <w:pPr>
        <w:ind w:left="288"/>
      </w:pPr>
      <w:r>
        <w:rPr>
          <w:color w:val="8C8C8C"/>
          <w:sz w:val="12"/>
        </w:rPr>
        <w:t>cf-art-127-par-1</w:t>
      </w:r>
      <w:r>
        <w:rPr>
          <w:color w:val="003CA0"/>
          <w:sz w:val="12"/>
        </w:rPr>
        <w:t xml:space="preserve"> | HC 103.038</w:t>
      </w:r>
      <w:r>
        <w:rPr>
          <w:color w:val="003CA0"/>
          <w:sz w:val="12"/>
        </w:rPr>
        <w:t xml:space="preserve"> | rel. Joaquim Barbosa</w:t>
      </w:r>
    </w:p>
    <w:p>
      <w:pPr>
        <w:ind w:left="288"/>
      </w:pPr>
      <w:r>
        <w:rPr>
          <w:color w:val="1E1E1E"/>
          <w:sz w:val="18"/>
        </w:rPr>
        <w:t>= HC 103.038, rel. min. Joaquim Barbosa, j. 11-10-2011, 2ª T, DJE de 27-10-2011 § 2º Ao Ministério Público é assegurada autonomia funcional e administrativa, podendo, observado o disposto no art. 169, propor ao Poder Legislativo a criação e extinção de seus cargos e serviços auxiliares, provendo-os por concurso público de provas ou de provas e títulos, a política remuneratória e os planos de carreira; a lei disporá sobre sua organização e funcionamento. (Redação da EC 19/1998) (...) o art. 3º da Lei nº 14.591, de 25 de maio de 2023, inserido por emenda parlamentar, ao veicular a exigência de n</w:t>
      </w:r>
    </w:p>
    <w:p>
      <w:pPr>
        <w:ind w:left="288"/>
      </w:pPr>
      <w:r>
        <w:rPr>
          <w:b/>
          <w:color w:val="003CA0"/>
          <w:sz w:val="16"/>
        </w:rPr>
        <w:t>[ADI 7.710, rel. min. Dias Toffoli, j. 26.05.2025, P, DJE de 04.06.2025.]</w:t>
      </w:r>
    </w:p>
    <w:p>
      <w:pPr>
        <w:ind w:left="144"/>
      </w:pPr>
      <w:r>
        <w:rPr>
          <w:b/>
          <w:color w:val="B45A00"/>
          <w:sz w:val="16"/>
        </w:rPr>
        <w:t>CONTROLE CONCENTRADO</w:t>
      </w:r>
    </w:p>
    <w:p>
      <w:pPr>
        <w:ind w:left="288"/>
      </w:pPr>
      <w:r>
        <w:rPr>
          <w:color w:val="8C8C8C"/>
          <w:sz w:val="12"/>
        </w:rPr>
        <w:t>cf-art-127-par-1</w:t>
      </w:r>
      <w:r>
        <w:rPr>
          <w:color w:val="003CA0"/>
          <w:sz w:val="12"/>
        </w:rPr>
        <w:t xml:space="preserve"> | ADI 7.192</w:t>
      </w:r>
      <w:r>
        <w:rPr>
          <w:color w:val="003CA0"/>
          <w:sz w:val="12"/>
        </w:rPr>
        <w:t xml:space="preserve"> | rel. Luiz Fux</w:t>
      </w:r>
    </w:p>
    <w:p>
      <w:pPr>
        <w:ind w:left="288"/>
      </w:pPr>
      <w:r>
        <w:rPr>
          <w:color w:val="1E1E1E"/>
          <w:sz w:val="18"/>
        </w:rPr>
        <w:t>O artigo 21, § 1º, da Lei n. 14.344/2022, prevê que a autoridade policial poderá requisitar ao Ministério Público a propositura de ação cautelar de antecipação de produção de prova nas causas que envolvam violência contra a criança e o adolescente. A tutela penal de crianças e adolescentes deve levar em consideração o aspecto informacional, isto é, a origem da notícia de atos lesivos às autoridades competentes. A controvérsia reside no emprego do termo “requisitar”, usualmente interpretado como “determinar”. Questiona-se, assim, a possibilidade de a lei prever que a autoridade policial pode de</w:t>
      </w:r>
    </w:p>
    <w:p>
      <w:pPr>
        <w:ind w:left="288"/>
      </w:pPr>
      <w:r>
        <w:rPr>
          <w:b/>
          <w:color w:val="003CA0"/>
          <w:sz w:val="16"/>
        </w:rPr>
        <w:t>[ADI 2.874, rel. min. Marco Aurélio, j. 28-8-2003, P, DJ de 3-10-2003.]</w:t>
      </w:r>
    </w:p>
    <w:p>
      <w:pPr>
        <w:ind w:left="288"/>
      </w:pPr>
      <w:r>
        <w:rPr>
          <w:color w:val="8C8C8C"/>
          <w:sz w:val="12"/>
        </w:rPr>
        <w:t>cf-art-127-par-1</w:t>
      </w:r>
      <w:r>
        <w:rPr>
          <w:color w:val="003CA0"/>
          <w:sz w:val="12"/>
        </w:rPr>
        <w:t xml:space="preserve"> | ADI 2.513</w:t>
      </w:r>
      <w:r>
        <w:rPr>
          <w:color w:val="003CA0"/>
          <w:sz w:val="12"/>
        </w:rPr>
        <w:t xml:space="preserve"> | rel. Celso de Mello</w:t>
      </w:r>
    </w:p>
    <w:p>
      <w:pPr>
        <w:ind w:left="288"/>
      </w:pPr>
      <w:r>
        <w:rPr>
          <w:color w:val="1E1E1E"/>
          <w:sz w:val="18"/>
        </w:rPr>
        <w:t>A alta relevância jurídico-constitucional do Ministério Público – qualificada pela outorga, em seu favor, da prerrogativa da autonomia administrativa, financeira e orçamentária – mostra-se tão expressiva, que essa instituição, embora sujeita à fiscalização externa do Poder Legislativo, com o auxílio do respectivo tribunal de contas, dispõe de uma esfera própria de atuação administrativa, livre da ingerência de órgãos do Poder Executivo, aos quais falece, por isso mesmo, competência para sustar ato do procurador-geral de justiça praticado com apoio na autonomia conferida ao Parquet. A outorga c</w:t>
      </w:r>
    </w:p>
    <w:p>
      <w:pPr>
        <w:ind w:left="288"/>
      </w:pPr>
      <w:r>
        <w:rPr>
          <w:b/>
          <w:color w:val="003CA0"/>
          <w:sz w:val="16"/>
        </w:rPr>
        <w:t>[ADI 2.513 MC, rel. min. Celso de Mello, j. 3-4-2002, P, DJE de 15-3-2011.]</w:t>
      </w:r>
    </w:p>
    <w:p>
      <w:pPr>
        <w:ind w:left="288"/>
      </w:pPr>
      <w:r>
        <w:rPr>
          <w:color w:val="8C8C8C"/>
          <w:sz w:val="12"/>
        </w:rPr>
        <w:t>cf-art-127-par-1</w:t>
      </w:r>
      <w:r>
        <w:rPr>
          <w:color w:val="003CA0"/>
          <w:sz w:val="12"/>
        </w:rPr>
        <w:t xml:space="preserve"> | ADI 63</w:t>
      </w:r>
      <w:r>
        <w:rPr>
          <w:color w:val="003CA0"/>
          <w:sz w:val="12"/>
        </w:rPr>
        <w:t xml:space="preserve"> | rel. Ilmar Galvão</w:t>
      </w:r>
    </w:p>
    <w:p>
      <w:pPr>
        <w:ind w:left="288"/>
      </w:pPr>
      <w:r>
        <w:rPr>
          <w:color w:val="1E1E1E"/>
          <w:sz w:val="18"/>
        </w:rPr>
        <w:t>Na competência reconhecida ao Ministério Público pelo art. 127, § 2º, da CF, para propor ao Poder Legislativo a criação e extinção de cargos e serviços auxiliares, compreende-se a de propor a fixação dos respectivos vencimentos, bem como a sua revisão.</w:t>
      </w:r>
    </w:p>
    <w:p>
      <w:pPr>
        <w:ind w:left="288"/>
      </w:pPr>
      <w:r>
        <w:rPr>
          <w:b/>
          <w:color w:val="003CA0"/>
          <w:sz w:val="16"/>
        </w:rPr>
        <w:t>[ADI 63, rel. min. Ilmar Galvão, j. 13-10-1993, P, DJ de 27-5-1994.]</w:t>
      </w:r>
    </w:p>
    <w:p>
      <w:pPr>
        <w:ind w:left="144"/>
      </w:pPr>
      <w:r>
        <w:rPr>
          <w:b/>
          <w:color w:val="B45A00"/>
          <w:sz w:val="16"/>
        </w:rPr>
        <w:t>JULGADOS CORRELATOS</w:t>
      </w:r>
    </w:p>
    <w:p>
      <w:pPr>
        <w:ind w:left="288"/>
      </w:pPr>
      <w:r>
        <w:rPr>
          <w:color w:val="8C8C8C"/>
          <w:sz w:val="12"/>
        </w:rPr>
        <w:t>cf-art-127-par-1</w:t>
      </w:r>
      <w:r>
        <w:rPr>
          <w:color w:val="003CA0"/>
          <w:sz w:val="12"/>
        </w:rPr>
        <w:t xml:space="preserve"> | ACO 1.936</w:t>
      </w:r>
      <w:r>
        <w:rPr>
          <w:color w:val="003CA0"/>
          <w:sz w:val="12"/>
        </w:rPr>
        <w:t xml:space="preserve"> | rel. Luiz Fux</w:t>
      </w:r>
    </w:p>
    <w:p>
      <w:pPr>
        <w:ind w:left="288"/>
      </w:pPr>
      <w:r>
        <w:rPr>
          <w:color w:val="1E1E1E"/>
          <w:sz w:val="18"/>
        </w:rPr>
        <w:t>O Ministério Público, embora não detenha personalidade jurídica própria, é órgão vocacionado à preservação dos valores constitucionais, dotado de autonomia financeira, administrativa e institucional que lhe conferem a capacidade ativa para a tutela da sociedade e de seus próprios interesses em juízo, sendo descabida a atuação da União em defesa dessa instituição.</w:t>
      </w:r>
    </w:p>
    <w:p>
      <w:pPr>
        <w:ind w:left="288"/>
      </w:pPr>
      <w:r>
        <w:rPr>
          <w:b/>
          <w:color w:val="003CA0"/>
          <w:sz w:val="16"/>
        </w:rPr>
        <w:t>[ACO 1.936 AgR, rel. min. Luiz Fux, j. 28-4-2015, 1ª T, DJE de 27-5-2015.]</w:t>
      </w:r>
    </w:p>
    <w:p>
      <w:pPr>
        <w:ind w:left="288"/>
      </w:pPr>
      <w:r>
        <w:rPr>
          <w:color w:val="8C8C8C"/>
          <w:sz w:val="12"/>
        </w:rPr>
        <w:t>cf-art-127-par-1</w:t>
      </w:r>
      <w:r>
        <w:rPr>
          <w:color w:val="003CA0"/>
          <w:sz w:val="12"/>
        </w:rPr>
        <w:t xml:space="preserve"> | AR 1.958</w:t>
      </w:r>
      <w:r>
        <w:rPr>
          <w:color w:val="003CA0"/>
          <w:sz w:val="12"/>
        </w:rPr>
        <w:t xml:space="preserve"> | rel. Dias Toffoli</w:t>
      </w:r>
    </w:p>
    <w:p>
      <w:pPr>
        <w:ind w:left="288"/>
      </w:pPr>
      <w:r>
        <w:rPr>
          <w:color w:val="1E1E1E"/>
          <w:sz w:val="18"/>
        </w:rPr>
        <w:t>Não configura ilegalidade a atuação do Ministério Público, por um lado, como fiscal da lei, expressando-se dentro da independência de suas funções (art. 1º, parágrafo único, da Lei 8.625/1993), e, por outro lado, como réu da ação rescisória.</w:t>
      </w:r>
    </w:p>
    <w:p>
      <w:pPr>
        <w:ind w:left="288"/>
      </w:pPr>
      <w:r>
        <w:rPr>
          <w:b/>
          <w:color w:val="003CA0"/>
          <w:sz w:val="16"/>
        </w:rPr>
        <w:t>[AR 1.958 AgR-segundo, rel. min. Dias Toffoli, j. 10-4-2014, P, DJE de 30-5-2014.]</w:t>
      </w:r>
    </w:p>
    <w:p>
      <w:pPr>
        <w:ind w:left="288"/>
      </w:pPr>
      <w:r>
        <w:rPr>
          <w:color w:val="8C8C8C"/>
          <w:sz w:val="12"/>
        </w:rPr>
        <w:t>cf-art-127-par-1</w:t>
      </w:r>
      <w:r>
        <w:rPr>
          <w:color w:val="003CA0"/>
          <w:sz w:val="12"/>
        </w:rPr>
        <w:t xml:space="preserve"> | MS 30.717</w:t>
      </w:r>
      <w:r>
        <w:rPr>
          <w:color w:val="003CA0"/>
          <w:sz w:val="12"/>
        </w:rPr>
        <w:t xml:space="preserve"> | rel. Ricardo Lewandowski</w:t>
      </w:r>
    </w:p>
    <w:p>
      <w:pPr>
        <w:ind w:left="288"/>
      </w:pPr>
      <w:r>
        <w:rPr>
          <w:color w:val="1E1E1E"/>
          <w:sz w:val="18"/>
        </w:rPr>
        <w:t>Percebimento de gratificação. Ausência de legitimidade do Ministério Público do Estado do Rio Grande do Sul para atacar ato do CNMP. Defesa das suas atribuições funcionais não caracterizada. Direito individual dos membros da instituição que compõem o Órgão Especial e o Conselho Superior, cuja defesa compete exclusivamente a estes. (...) A legitimidade do Ministério Público para interpor mandado de segurança na qualidade de órgão público despersonalizado deve ser restrito à defesa de sua atuação funcional e de suas atribuições institucionais. (...) No caso, trata-se de direito individual dos me</w:t>
      </w:r>
    </w:p>
    <w:p>
      <w:pPr>
        <w:ind w:left="288"/>
      </w:pPr>
      <w:r>
        <w:rPr>
          <w:b/>
          <w:color w:val="003CA0"/>
          <w:sz w:val="16"/>
        </w:rPr>
        <w:t>[MS 30.717 AgR, rel. min. Ricardo Lewandowski, j. 27-9-2011, 2ª T, DJE de 11-10-2011.]</w:t>
      </w:r>
    </w:p>
    <w:p>
      <w:pPr>
        <w:ind w:left="288"/>
      </w:pPr>
      <w:r>
        <w:rPr>
          <w:color w:val="8C8C8C"/>
          <w:sz w:val="12"/>
        </w:rPr>
        <w:t>cf-art-127-par-1</w:t>
      </w:r>
      <w:r>
        <w:rPr>
          <w:color w:val="003CA0"/>
          <w:sz w:val="12"/>
        </w:rPr>
        <w:t xml:space="preserve"> | MS 21.239</w:t>
      </w:r>
      <w:r>
        <w:rPr>
          <w:color w:val="003CA0"/>
          <w:sz w:val="12"/>
        </w:rPr>
        <w:t xml:space="preserve"> | rel. Sepúlveda Pertence</w:t>
      </w:r>
    </w:p>
    <w:p>
      <w:pPr>
        <w:ind w:left="288"/>
      </w:pPr>
      <w:r>
        <w:rPr>
          <w:color w:val="1E1E1E"/>
          <w:sz w:val="18"/>
        </w:rPr>
        <w:t>Mandado de segurança: legitimação ativa do PGR para impugnar atos do presidente da República que entende praticados com usurpação de sua própria competência constitucional e ofensivos da autonomia do Ministério Público: análise doutrinária e reafirmação da jurisprudência. A legitimidade ad causam no mandado de segurança pressupõe que o impetrante se afirme titular de um direito subjetivo próprio, violado ou ameaçado por ato de autoridade; no entanto, segundo assentado pela doutrina mais autorizada (cf. Jellinek, Malberg, Duguit, Dabin, Santi Romano), entre os direitos públicos subjetivos, incl</w:t>
      </w:r>
    </w:p>
    <w:p>
      <w:pPr>
        <w:ind w:left="288"/>
      </w:pPr>
      <w:r>
        <w:rPr>
          <w:b/>
          <w:color w:val="003CA0"/>
          <w:sz w:val="16"/>
        </w:rPr>
        <w:t>[MS 21.239, rel. min. Sepúlveda Pertence, j. 5-6-1991, P, DJ de 23-4-1993.]</w:t>
      </w:r>
    </w:p>
    <w:p>
      <w:pPr>
        <w:ind w:left="144"/>
      </w:pPr>
      <w:r>
        <w:rPr>
          <w:b/>
          <w:color w:val="B45A00"/>
          <w:sz w:val="16"/>
        </w:rPr>
        <w:t>CONTROLE CONCENTRADO</w:t>
      </w:r>
    </w:p>
    <w:p>
      <w:pPr>
        <w:ind w:left="288"/>
      </w:pPr>
      <w:r>
        <w:rPr>
          <w:color w:val="8C8C8C"/>
          <w:sz w:val="12"/>
        </w:rPr>
        <w:t>cf-art-127-par-3</w:t>
      </w:r>
      <w:r>
        <w:rPr>
          <w:color w:val="003CA0"/>
          <w:sz w:val="12"/>
        </w:rPr>
        <w:t xml:space="preserve"> | ADI 7.073</w:t>
      </w:r>
      <w:r>
        <w:rPr>
          <w:color w:val="003CA0"/>
          <w:sz w:val="12"/>
        </w:rPr>
        <w:t xml:space="preserve"> | rel. André Mendonça</w:t>
      </w:r>
    </w:p>
    <w:p>
      <w:pPr>
        <w:ind w:left="288"/>
      </w:pPr>
      <w:r>
        <w:rPr>
          <w:color w:val="1E1E1E"/>
          <w:sz w:val="18"/>
        </w:rPr>
        <w:t>O regime constitucional pertinente à autonomia financeira do Ministério Público equipara-se às prerrogativas institucionais do Poder Judiciário. Conforme o art. 99, § 1º, da Constituição da República, os limites balizadores das propostas orçamentárias dos Poderes e órgãos autônomos presentes na Lei de Diretrizes Orçamentárias devem ser estipulados conjuntamente. Assim, é direito subjetivo público do Ministério Público a participação efetiva no ciclo orçamentário. É inconstitucional a limitação de despesas da folha complementar do Ministério Público do Estado do Ceará em percentual da despesa a</w:t>
      </w:r>
    </w:p>
    <w:p>
      <w:pPr>
        <w:ind w:left="288"/>
      </w:pPr>
      <w:r>
        <w:rPr>
          <w:b/>
          <w:color w:val="003CA0"/>
          <w:sz w:val="16"/>
        </w:rPr>
        <w:t>[ADI 7.073, rel. min. André Mendonça, j. 26-9-2022, P, DJE de 24-10-2022.]</w:t>
      </w:r>
    </w:p>
    <w:p>
      <w:pPr>
        <w:ind w:left="288"/>
      </w:pPr>
      <w:r>
        <w:rPr>
          <w:color w:val="8C8C8C"/>
          <w:sz w:val="12"/>
        </w:rPr>
        <w:t>cf-art-127-par-3</w:t>
      </w:r>
      <w:r>
        <w:rPr>
          <w:color w:val="003CA0"/>
          <w:sz w:val="12"/>
        </w:rPr>
        <w:t xml:space="preserve"> | ADI 4.356</w:t>
      </w:r>
      <w:r>
        <w:rPr>
          <w:color w:val="003CA0"/>
          <w:sz w:val="12"/>
        </w:rPr>
        <w:t xml:space="preserve"> | rel. Dias Toffoli</w:t>
      </w:r>
    </w:p>
    <w:p>
      <w:pPr>
        <w:ind w:left="288"/>
      </w:pPr>
      <w:r>
        <w:rPr>
          <w:color w:val="1E1E1E"/>
          <w:sz w:val="18"/>
        </w:rPr>
        <w:t>Conquanto a Conamp [Associação Nacional dos Membros do Ministério Público] tenha impugnado todo o art. 6º da Lei estadual 14.506/2009, o referido dispositivo limita a execução orçamentária não apenas em relação aos órgãos do Ministério Público, mas também em relação aos Poderes estatais (Executivo, Legislativo e Judiciário), os quais são alheios à sua atividade de representação. Todos os fundamentos apresentados pela requerente para demonstrar a suposta inconstitucionalidade restringem-se ao Ministério Público, não alcançando os demais destinatários. Conhecimento parcial da ação. O diploma nor</w:t>
      </w:r>
    </w:p>
    <w:p>
      <w:pPr>
        <w:ind w:left="288"/>
      </w:pPr>
      <w:r>
        <w:rPr>
          <w:b/>
          <w:color w:val="003CA0"/>
          <w:sz w:val="16"/>
        </w:rPr>
        <w:t>[ADI 4.356, rel. min. Dias Toffoli, j. 9-2-2011, P, DJE de 12-5-2011.]</w:t>
      </w:r>
    </w:p>
    <w:p>
      <w:pPr>
        <w:ind w:left="288"/>
      </w:pPr>
      <w:r>
        <w:rPr>
          <w:color w:val="8C8C8C"/>
          <w:sz w:val="12"/>
        </w:rPr>
        <w:t>cf-art-127-par-3</w:t>
      </w:r>
      <w:r>
        <w:rPr>
          <w:color w:val="003CA0"/>
          <w:sz w:val="12"/>
        </w:rPr>
        <w:t xml:space="preserve"> | ADI 4.426</w:t>
      </w:r>
      <w:r>
        <w:rPr>
          <w:color w:val="003CA0"/>
          <w:sz w:val="12"/>
        </w:rPr>
        <w:t xml:space="preserve"> | rel. Dias Toffoli</w:t>
      </w:r>
    </w:p>
    <w:p>
      <w:pPr>
        <w:ind w:left="288"/>
      </w:pPr>
      <w:r>
        <w:rPr>
          <w:color w:val="1E1E1E"/>
          <w:sz w:val="18"/>
        </w:rPr>
        <w:t>Vide ADI 4.426, rel. min. Dias Toffoli, j. 9-2-2011, P, DJE de 18-5-2011 O reconhecimento da autonomia financeira em favor do Ministério Público, estabelecido em sede de legislação infraconstitucional, não parece traduzir situação configuradora de ilegitimidade constitucional, na medida em que se revela uma das dimensões da própria autonomia institucional do Parquet. Não obstante a autonomia institucional que foi conferida ao Ministério Público pela Carta Política, permanece na esfera exclusiva do Poder Executivo a competência para instaurar o processo de formação das leis orçamentárias em ger</w:t>
      </w:r>
    </w:p>
    <w:p>
      <w:pPr>
        <w:ind w:left="288"/>
      </w:pPr>
      <w:r>
        <w:rPr>
          <w:b/>
          <w:color w:val="003CA0"/>
          <w:sz w:val="16"/>
        </w:rPr>
        <w:t>[ADI 514 MC, rel. min. Celso de Mello, j. 13-6-1991, P, DJ de 18-3-1994.]</w:t>
      </w:r>
    </w:p>
    <w:p>
      <w:pPr>
        <w:ind w:left="288"/>
      </w:pPr>
      <w:r>
        <w:rPr>
          <w:color w:val="8C8C8C"/>
          <w:sz w:val="12"/>
        </w:rPr>
        <w:t>cf-art-127-par-3</w:t>
      </w:r>
    </w:p>
    <w:p>
      <w:pPr>
        <w:ind w:left="288"/>
      </w:pPr>
      <w:r>
        <w:rPr>
          <w:color w:val="1E1E1E"/>
          <w:sz w:val="18"/>
        </w:rPr>
        <w:t>§ 4º Se o Ministério Público não encaminhar a respectiva proposta orçamentária dentro do prazo estabelecido na lei de diretrizes orçamentárias, o Poder Executivo considerará, para fins de consolidação da proposta orçamentária anual, os valores aprovados na lei orçamentária vigente, ajustados de acordo com os limites estipulados na forma do § 3º. (Incluído pela EC 45/2004)</w:t>
      </w:r>
    </w:p>
    <w:p>
      <w:pPr>
        <w:ind w:left="288"/>
      </w:pPr>
      <w:r>
        <w:rPr>
          <w:color w:val="8C8C8C"/>
          <w:sz w:val="12"/>
        </w:rPr>
        <w:t>cf-art-127-par-5</w:t>
      </w:r>
    </w:p>
    <w:p>
      <w:pPr>
        <w:ind w:left="288"/>
      </w:pPr>
      <w:r>
        <w:rPr>
          <w:color w:val="1E1E1E"/>
          <w:sz w:val="18"/>
        </w:rPr>
        <w:t>§ 6º Durante a execução orçamentária do exercício, não poderá haver a realização de despesas ou a assunção de obrigações que extrapolem os limites estabelecidos na lei de diretrizes orçamentárias, exceto se previamente autorizadas, mediante a abertura de créditos suplementares ou especiais. (Incluído pela EC 45/2004)</w:t>
      </w:r>
    </w:p>
    <w:p>
      <w:r>
        <w:rPr>
          <w:b/>
          <w:color w:val="003366"/>
          <w:sz w:val="20"/>
        </w:rPr>
        <w:t xml:space="preserve">Art. 128 De 2029 a 2032, as alíquotas dos impostos previstos nos arts. 155, II, </w:t>
      </w:r>
      <w:r>
        <w:rPr>
          <w:color w:val="8C8C8C"/>
          <w:sz w:val="14"/>
        </w:rPr>
        <w:t xml:space="preserve">  [56 decisoes]</w:t>
      </w:r>
    </w:p>
    <w:p>
      <w:pPr>
        <w:ind w:left="144"/>
      </w:pPr>
      <w:r>
        <w:rPr>
          <w:b/>
          <w:color w:val="B45A00"/>
          <w:sz w:val="16"/>
        </w:rPr>
        <w:t>JULGADOS CORRELATOS</w:t>
      </w:r>
    </w:p>
    <w:p>
      <w:pPr>
        <w:ind w:left="288"/>
      </w:pPr>
      <w:r>
        <w:rPr>
          <w:color w:val="8C8C8C"/>
          <w:sz w:val="12"/>
        </w:rPr>
        <w:t>cf-art-128</w:t>
      </w:r>
      <w:r>
        <w:rPr>
          <w:color w:val="003CA0"/>
          <w:sz w:val="12"/>
        </w:rPr>
        <w:t xml:space="preserve"> | MS 26.690</w:t>
      </w:r>
      <w:r>
        <w:rPr>
          <w:color w:val="003CA0"/>
          <w:sz w:val="12"/>
        </w:rPr>
        <w:t xml:space="preserve"> | rel. Eros Grau</w:t>
      </w:r>
    </w:p>
    <w:p>
      <w:pPr>
        <w:ind w:left="288"/>
      </w:pPr>
      <w:r>
        <w:rPr>
          <w:color w:val="1E1E1E"/>
          <w:sz w:val="18"/>
        </w:rPr>
        <w:t>O Ministério Público nacional é uno (art. 128, I e II, da CF), compondo-se do MPU e dos Ministérios Públicos dos Estados. No exercício das atribuições previstas nos arts. 109, § 3º, da Constituição, e 78 e 79 da LC 75/1993, o Ministério Público estadual cumpre papel do MPF. A circunstância de a impetrante, promotora de Justiça no Estado do Paraná, exercer funções delegadas do MPF e concomitantemente ser tida como inapta para habilitar-se em concurso público para o provimento de cargos de procurador da República é expressiva de contradição injustificável. (...) Segurança concedida.</w:t>
      </w:r>
    </w:p>
    <w:p>
      <w:pPr>
        <w:ind w:left="288"/>
      </w:pPr>
      <w:r>
        <w:rPr>
          <w:b/>
          <w:color w:val="003CA0"/>
          <w:sz w:val="16"/>
        </w:rPr>
        <w:t>[MS 26.690, rel. min. Eros Grau, j. 3-9-2008, P, DJE de 19-12-2008.]</w:t>
      </w:r>
    </w:p>
    <w:p>
      <w:pPr>
        <w:ind w:left="144"/>
      </w:pPr>
      <w:r>
        <w:rPr>
          <w:b/>
          <w:color w:val="B45A00"/>
          <w:sz w:val="16"/>
        </w:rPr>
        <w:t>CONTROLE CONCENTRADO</w:t>
      </w:r>
    </w:p>
    <w:p>
      <w:pPr>
        <w:ind w:left="288"/>
      </w:pPr>
      <w:r>
        <w:rPr>
          <w:color w:val="8C8C8C"/>
          <w:sz w:val="12"/>
        </w:rPr>
        <w:t>cf-art-128-inc-I</w:t>
      </w:r>
      <w:r>
        <w:rPr>
          <w:color w:val="003CA0"/>
          <w:sz w:val="12"/>
        </w:rPr>
        <w:t xml:space="preserve"> | ADI 789</w:t>
      </w:r>
      <w:r>
        <w:rPr>
          <w:color w:val="003CA0"/>
          <w:sz w:val="12"/>
        </w:rPr>
        <w:t xml:space="preserve"> | rel. Celso de Mello</w:t>
      </w:r>
    </w:p>
    <w:p>
      <w:pPr>
        <w:ind w:left="288"/>
      </w:pPr>
      <w:r>
        <w:rPr>
          <w:color w:val="1E1E1E"/>
          <w:sz w:val="18"/>
        </w:rPr>
        <w:t>Ministério Público junto ao TCU. Instituição que não integra o MPU. Taxatividade do rol inscrito no art. 128, I, da Constituição (...). O Ministério Público que atua perante o TCU qualifica-se como órgão de extração constitucional, eis que a sua existência jurídica resulta de expressa previsão normativa constante da Carta Política (art. 73, § 2º, I, e art. 130), sendo indiferente, para efeito de sua configuração jurídico-institucional, a circunstância de não constar do rol taxativo inscrito no art. 128, I, da Constituição, que define a estrutura orgânica do MPU.</w:t>
      </w:r>
    </w:p>
    <w:p>
      <w:pPr>
        <w:ind w:left="288"/>
      </w:pPr>
      <w:r>
        <w:rPr>
          <w:b/>
          <w:color w:val="003CA0"/>
          <w:sz w:val="16"/>
        </w:rPr>
        <w:t>[ADI 789, rel. min. Celso de Mello, j. 26-5-1994, P, DJ de 19-12-1994.]</w:t>
      </w:r>
    </w:p>
    <w:p>
      <w:pPr>
        <w:ind w:left="144"/>
      </w:pPr>
      <w:r>
        <w:rPr>
          <w:b/>
          <w:color w:val="B45A00"/>
          <w:sz w:val="16"/>
        </w:rPr>
        <w:t>JULGADOS CORRELATOS</w:t>
      </w:r>
    </w:p>
    <w:p>
      <w:pPr>
        <w:ind w:left="288"/>
      </w:pPr>
      <w:r>
        <w:rPr>
          <w:color w:val="8C8C8C"/>
          <w:sz w:val="12"/>
        </w:rPr>
        <w:t>cf-art-128-inc-I-ali-b</w:t>
      </w:r>
      <w:r>
        <w:rPr>
          <w:color w:val="003CA0"/>
          <w:sz w:val="12"/>
        </w:rPr>
        <w:t xml:space="preserve"> | RCL 4.453</w:t>
      </w:r>
      <w:r>
        <w:rPr>
          <w:color w:val="003CA0"/>
          <w:sz w:val="12"/>
        </w:rPr>
        <w:t xml:space="preserve"> | rel. Ellen Gracie</w:t>
      </w:r>
    </w:p>
    <w:p>
      <w:pPr>
        <w:ind w:left="288"/>
      </w:pPr>
      <w:r>
        <w:rPr>
          <w:color w:val="1E1E1E"/>
          <w:sz w:val="18"/>
        </w:rPr>
        <w:t>Ausência de legitimidade do MPT para atuar perante a Suprema Corte. Atribuição privativa do PGR. (...) Incumbe ao PGR exercer as funções do Ministério Público junto ao STF, nos termos do art. 46 da LC 75/1993. Existência de precedentes do Tribunal em casos análogos. O exercício das atribuições do MPT se circunscreve aos órgãos da Justiça do Trabalho, consoante se infere dos arts. 83, 90, 107 e 110 da LC 75/1993.</w:t>
      </w:r>
    </w:p>
    <w:p>
      <w:pPr>
        <w:ind w:left="288"/>
      </w:pPr>
      <w:r>
        <w:rPr>
          <w:b/>
          <w:color w:val="003CA0"/>
          <w:sz w:val="16"/>
        </w:rPr>
        <w:t>[Rcl 4.453 MC-AgR-AgR e Rcl 4.801 MC-AgR, rel. min. Ellen Gracie, j. 4-3-2009, P, DJE de 27-3-2009.]</w:t>
      </w:r>
    </w:p>
    <w:p>
      <w:pPr>
        <w:ind w:left="288"/>
      </w:pPr>
      <w:r>
        <w:rPr>
          <w:color w:val="8C8C8C"/>
          <w:sz w:val="12"/>
        </w:rPr>
        <w:t>cf-art-128-inc-I-ali-b</w:t>
      </w:r>
      <w:r>
        <w:rPr>
          <w:color w:val="003CA0"/>
          <w:sz w:val="12"/>
        </w:rPr>
        <w:t xml:space="preserve"> | RCL 7.318</w:t>
      </w:r>
      <w:r>
        <w:rPr>
          <w:color w:val="003CA0"/>
          <w:sz w:val="12"/>
        </w:rPr>
        <w:t xml:space="preserve"> | rel. Dias Toffoli</w:t>
      </w:r>
    </w:p>
    <w:p>
      <w:pPr>
        <w:ind w:left="288"/>
      </w:pPr>
      <w:r>
        <w:rPr>
          <w:color w:val="1E1E1E"/>
          <w:sz w:val="18"/>
        </w:rPr>
        <w:t>= Rcl 7.318 AgR, rel. min. Dias Toffoli, j. 23-5-2012, P, DJE de 26-10-2012 Vide Rcl 7.101, rel. min. Cármen Lúcia, j. 24-2-2011, P, DJE de 9-8-2011 A unidade do MPU, sob a chefia do PGR, permite pôr em dúvida a subsistência mesma do próprio cargo de procurador-geral da Justiça do Trabalho, por isso negada expressamente por quatro dentre os oito votos vencedores, para os quais, "compete (...), ao PGR, exercer, de modo autônomo e em caráter indisponível e irrenunciável, o poder monocrático de direção, administração e representação do MPT, cuja prática se revela incompartilhável com qualquer out</w:t>
      </w:r>
    </w:p>
    <w:p>
      <w:pPr>
        <w:ind w:left="288"/>
      </w:pPr>
      <w:r>
        <w:rPr>
          <w:b/>
          <w:color w:val="003CA0"/>
          <w:sz w:val="16"/>
        </w:rPr>
        <w:t>[MS 21.239, rel. min. Sepúlveda Pertence, j. 5-6-1991, P, DJ de 23-4-1993.]</w:t>
      </w:r>
    </w:p>
    <w:p>
      <w:pPr>
        <w:ind w:left="288"/>
      </w:pPr>
      <w:r>
        <w:rPr>
          <w:color w:val="8C8C8C"/>
          <w:sz w:val="12"/>
        </w:rPr>
        <w:t>cf-art-128-inc-I-ali-c</w:t>
      </w:r>
      <w:r>
        <w:rPr>
          <w:color w:val="003CA0"/>
          <w:sz w:val="12"/>
        </w:rPr>
        <w:t xml:space="preserve"> | HC 94.809</w:t>
      </w:r>
      <w:r>
        <w:rPr>
          <w:color w:val="003CA0"/>
          <w:sz w:val="12"/>
        </w:rPr>
        <w:t xml:space="preserve"> | rel. Celso de Mello</w:t>
      </w:r>
    </w:p>
    <w:p>
      <w:pPr>
        <w:ind w:left="288"/>
      </w:pPr>
      <w:r>
        <w:rPr>
          <w:color w:val="1E1E1E"/>
          <w:sz w:val="18"/>
        </w:rPr>
        <w:t>O representante do MPM de primeira instância dispõe de legitimidade ativa para impetrar habeas corpus, originariamente, perante o STF, especialmente para impugnar decisões emanadas do STM.</w:t>
      </w:r>
    </w:p>
    <w:p>
      <w:pPr>
        <w:ind w:left="288"/>
      </w:pPr>
      <w:r>
        <w:rPr>
          <w:b/>
          <w:color w:val="003CA0"/>
          <w:sz w:val="16"/>
        </w:rPr>
        <w:t>[HC 94.809, rel. min. Celso de Mello, j. 12-8-2008, 2ª T, DJE de 24-10-2008.]</w:t>
      </w:r>
    </w:p>
    <w:p>
      <w:pPr>
        <w:ind w:left="144"/>
      </w:pPr>
      <w:r>
        <w:rPr>
          <w:b/>
          <w:color w:val="B45A00"/>
          <w:sz w:val="16"/>
        </w:rPr>
        <w:t>CONTROLE CONCENTRADO</w:t>
      </w:r>
    </w:p>
    <w:p>
      <w:pPr>
        <w:ind w:left="288"/>
      </w:pPr>
      <w:r>
        <w:rPr>
          <w:color w:val="8C8C8C"/>
          <w:sz w:val="12"/>
        </w:rPr>
        <w:t>cf-art-128-inc-I-ali-d</w:t>
      </w:r>
      <w:r>
        <w:rPr>
          <w:color w:val="003CA0"/>
          <w:sz w:val="12"/>
        </w:rPr>
        <w:t xml:space="preserve"> | ADI 6.247</w:t>
      </w:r>
      <w:r>
        <w:rPr>
          <w:color w:val="003CA0"/>
          <w:sz w:val="12"/>
        </w:rPr>
        <w:t xml:space="preserve"> | rel. Dias Toffoli</w:t>
      </w:r>
    </w:p>
    <w:p>
      <w:pPr>
        <w:ind w:left="288"/>
      </w:pPr>
      <w:r>
        <w:rPr>
          <w:color w:val="1E1E1E"/>
          <w:sz w:val="18"/>
        </w:rPr>
        <w:t>Não há dúvidas de que o constituinte originário quis o MPDFT como instituição federal e assegurou seu desiderato tanto ao estabelecer a estrutura orgânica do Ministério Público da União quanto ao repartir as competências entre os entes federativos. Assim, não há como se cogitar haver paralelismo entre a sistemática de nomeação dos procuradores-gerais de justiça dos ministérios públicos estaduais e a do procurador-geral de justiça do MPDFT, sob pena de se admitir uma distorção disfuncional do desenho organizacional do Ministério Público do Distrito Federal, que é órgão federal pertencente à est</w:t>
      </w:r>
    </w:p>
    <w:p>
      <w:pPr>
        <w:ind w:left="144"/>
      </w:pPr>
      <w:r>
        <w:rPr>
          <w:b/>
          <w:color w:val="B45A00"/>
          <w:sz w:val="16"/>
        </w:rPr>
        <w:t>JULGADOS CORRELATOS</w:t>
      </w:r>
    </w:p>
    <w:p>
      <w:pPr>
        <w:ind w:left="288"/>
      </w:pPr>
      <w:r>
        <w:rPr>
          <w:color w:val="8C8C8C"/>
          <w:sz w:val="12"/>
        </w:rPr>
        <w:t>cf-art-128-inc-I-ali-d</w:t>
      </w:r>
      <w:r>
        <w:rPr>
          <w:color w:val="003CA0"/>
          <w:sz w:val="12"/>
        </w:rPr>
        <w:t xml:space="preserve"> | MS 22.492</w:t>
      </w:r>
      <w:r>
        <w:rPr>
          <w:color w:val="003CA0"/>
          <w:sz w:val="12"/>
        </w:rPr>
        <w:t xml:space="preserve"> | rel. Carlos Velloso</w:t>
      </w:r>
    </w:p>
    <w:p>
      <w:pPr>
        <w:ind w:left="288"/>
      </w:pPr>
      <w:r>
        <w:rPr>
          <w:color w:val="1E1E1E"/>
          <w:sz w:val="18"/>
        </w:rPr>
        <w:t>Promotor de justiça que ingressou no Ministério Público dos Territórios mediante concurso público. Extinto o Território, foi ele posto em disponibilidade. Seu aproveitamento em cargo igual no MPDFT: legitimidade, por isso que a CF/1988, art. 128, I, d, unificou num só ramo o MPDFT. O aproveitamento, ademais, encontra apoio na CF, art. 41, § 3º, na Lei 8.112/1990, art. 30, aplicável ex vi do disposto no art. 287 da LC 75/1993.</w:t>
      </w:r>
    </w:p>
    <w:p>
      <w:pPr>
        <w:ind w:left="288"/>
      </w:pPr>
      <w:r>
        <w:rPr>
          <w:b/>
          <w:color w:val="003CA0"/>
          <w:sz w:val="16"/>
        </w:rPr>
        <w:t>[MS 22.492, rel. min. Carlos Velloso, j. 28-4-2003, P, DJ de 20-6-2003.]</w:t>
      </w:r>
    </w:p>
    <w:p>
      <w:pPr>
        <w:ind w:left="288"/>
      </w:pPr>
      <w:r>
        <w:rPr>
          <w:color w:val="8C8C8C"/>
          <w:sz w:val="12"/>
        </w:rPr>
        <w:t>cf-art-128-inc-II</w:t>
      </w:r>
      <w:r>
        <w:rPr>
          <w:color w:val="003CA0"/>
          <w:sz w:val="12"/>
        </w:rPr>
        <w:t xml:space="preserve"> | RCL 7.101</w:t>
      </w:r>
      <w:r>
        <w:rPr>
          <w:color w:val="003CA0"/>
          <w:sz w:val="12"/>
        </w:rPr>
        <w:t xml:space="preserve"> | rel. Cármen Lúcia</w:t>
      </w:r>
    </w:p>
    <w:p>
      <w:pPr>
        <w:ind w:left="288"/>
      </w:pPr>
      <w:r>
        <w:rPr>
          <w:color w:val="1E1E1E"/>
          <w:sz w:val="18"/>
        </w:rPr>
        <w:t>O Supremo Tribunal reconheceu a legitimidade ativa autônoma do Ministério Público estadual para ajuizar reclamação no Supremo Tribunal, sem que se exija a ratificação da inicial pelo PGR.</w:t>
      </w:r>
    </w:p>
    <w:p>
      <w:pPr>
        <w:ind w:left="288"/>
      </w:pPr>
      <w:r>
        <w:rPr>
          <w:b/>
          <w:color w:val="003CA0"/>
          <w:sz w:val="16"/>
        </w:rPr>
        <w:t>[Rcl 7.101, rel. min. Cármen Lúcia, j. 24-2-2011, P, DJE de 9-8-2011.]</w:t>
      </w:r>
    </w:p>
    <w:p>
      <w:pPr>
        <w:ind w:left="288"/>
      </w:pPr>
      <w:r>
        <w:rPr>
          <w:color w:val="8C8C8C"/>
          <w:sz w:val="12"/>
        </w:rPr>
        <w:t>cf-art-128-inc-II</w:t>
      </w:r>
      <w:r>
        <w:rPr>
          <w:color w:val="003CA0"/>
          <w:sz w:val="12"/>
        </w:rPr>
        <w:t xml:space="preserve"> | RCL 9.327</w:t>
      </w:r>
      <w:r>
        <w:rPr>
          <w:color w:val="003CA0"/>
          <w:sz w:val="12"/>
        </w:rPr>
        <w:t xml:space="preserve"> | rel. Dias Toffoli</w:t>
      </w:r>
    </w:p>
    <w:p>
      <w:pPr>
        <w:ind w:left="288"/>
      </w:pPr>
      <w:r>
        <w:rPr>
          <w:color w:val="1E1E1E"/>
          <w:sz w:val="18"/>
        </w:rPr>
        <w:t>= Rcl 9.327 AgR, rel. min. Dias Toffoli, j. 23-5-2013, P, DJE de 1º-8-2013 É da atribuição do Ministério Público estadual analisar inquérito por crime contra a ordem econômica e emitir a respeito opinio delicti, promovendo, ou não, ação penal, se não há violação a bens, interesses ou serviços da União.</w:t>
      </w:r>
    </w:p>
    <w:p>
      <w:pPr>
        <w:ind w:left="288"/>
      </w:pPr>
      <w:r>
        <w:rPr>
          <w:b/>
          <w:color w:val="003CA0"/>
          <w:sz w:val="16"/>
        </w:rPr>
        <w:t>[ACO 1.058, rel. min. Cezar Peluso, j. 14-4-2008, P, DJE de 23-5-2008.]</w:t>
      </w:r>
    </w:p>
    <w:p>
      <w:pPr>
        <w:ind w:left="288"/>
      </w:pPr>
      <w:r>
        <w:rPr>
          <w:color w:val="8C8C8C"/>
          <w:sz w:val="12"/>
        </w:rPr>
        <w:t>cf-art-128-inc-II</w:t>
      </w:r>
      <w:r>
        <w:rPr>
          <w:color w:val="003CA0"/>
          <w:sz w:val="12"/>
        </w:rPr>
        <w:t xml:space="preserve"> | ACO 1.445</w:t>
      </w:r>
      <w:r>
        <w:rPr>
          <w:color w:val="003CA0"/>
          <w:sz w:val="12"/>
        </w:rPr>
        <w:t xml:space="preserve"> | rel. Marco Aurélio</w:t>
      </w:r>
    </w:p>
    <w:p>
      <w:pPr>
        <w:ind w:left="288"/>
      </w:pPr>
      <w:r>
        <w:rPr>
          <w:color w:val="1E1E1E"/>
          <w:sz w:val="18"/>
        </w:rPr>
        <w:t>Vide ACO 1.445, rel. min. Marco Aurélio, j. 11-5-2011, P, DJE de 25-5-2011 § 1º O Ministério Público da União tem por chefe o Procurador-Geral da República, nomeado pelo Presidente da República dentre integrantes da carreira, maiores de trinta e cinco anos, após a aprovação de seu nome pela maioria absoluta dos membros do Senado Federal, para mandato de dois anos, permitida a recondução.</w:t>
      </w:r>
    </w:p>
    <w:p>
      <w:pPr>
        <w:ind w:left="288"/>
      </w:pPr>
      <w:r>
        <w:rPr>
          <w:color w:val="8C8C8C"/>
          <w:sz w:val="12"/>
        </w:rPr>
        <w:t>cf-art-128-inc-II</w:t>
      </w:r>
      <w:r>
        <w:rPr>
          <w:color w:val="003CA0"/>
          <w:sz w:val="12"/>
        </w:rPr>
        <w:t xml:space="preserve"> | MS 25.125</w:t>
      </w:r>
      <w:r>
        <w:rPr>
          <w:color w:val="003CA0"/>
          <w:sz w:val="12"/>
        </w:rPr>
        <w:t xml:space="preserve"> | rel. Dias Toffoli</w:t>
      </w:r>
    </w:p>
    <w:p>
      <w:pPr>
        <w:ind w:left="288"/>
      </w:pPr>
      <w:r>
        <w:rPr>
          <w:color w:val="1E1E1E"/>
          <w:sz w:val="18"/>
        </w:rPr>
        <w:t>O ato praticado pela procuradora-geral da Justiça Militar, ratificado pelo Conselho de Assessoramento Superior do MPF, legitima o PGR, presidente do referido Conselho Superior, a atuar no polo passivo do mandamus.</w:t>
      </w:r>
    </w:p>
    <w:p>
      <w:pPr>
        <w:ind w:left="288"/>
      </w:pPr>
      <w:r>
        <w:rPr>
          <w:b/>
          <w:color w:val="003CA0"/>
          <w:sz w:val="16"/>
        </w:rPr>
        <w:t>[MS 25.125, rel. min. Dias Toffoli, j. 28-8-2012, 1ª T, DJE de 21-9-2012.]</w:t>
      </w:r>
    </w:p>
    <w:p>
      <w:pPr>
        <w:ind w:left="288"/>
      </w:pPr>
      <w:r>
        <w:rPr>
          <w:color w:val="8C8C8C"/>
          <w:sz w:val="12"/>
        </w:rPr>
        <w:t>cf-art-128-inc-II</w:t>
      </w:r>
      <w:r>
        <w:rPr>
          <w:color w:val="003CA0"/>
          <w:sz w:val="12"/>
        </w:rPr>
        <w:t xml:space="preserve"> | HC 84.630</w:t>
      </w:r>
      <w:r>
        <w:rPr>
          <w:color w:val="003CA0"/>
          <w:sz w:val="12"/>
        </w:rPr>
        <w:t xml:space="preserve"> | rel. Sepúlveda Pertence</w:t>
      </w:r>
    </w:p>
    <w:p>
      <w:pPr>
        <w:ind w:left="288"/>
      </w:pPr>
      <w:r>
        <w:rPr>
          <w:color w:val="1E1E1E"/>
          <w:sz w:val="18"/>
        </w:rPr>
        <w:t>Ação penal da competência originária do STJ: Ministério Público: legitimidade ad processum para subscrever a denúncia do PGR: possibilidade de delegação a subprocurador-geral da República. LC 75/1993 (Lei Orgânica do Ministério Público da União), arts. 48, II, parágrafo único: validade. Válida e vigente a disposição legal que atribui ao procurador-geral a propositura das ações penais da competência originária do STJ, não há como cogitar, em relação a elas, de distribuição, cujo pressuposto é a pluralidade de órgãos com idêntica competência material: nelas o procurador-geral é, por definição le</w:t>
      </w:r>
    </w:p>
    <w:p>
      <w:pPr>
        <w:ind w:left="288"/>
      </w:pPr>
      <w:r>
        <w:rPr>
          <w:b/>
          <w:color w:val="003CA0"/>
          <w:sz w:val="16"/>
        </w:rPr>
        <w:t>[HC 84.630, rel. min. Sepúlveda Pertence, j. 15-12-2005, 1ª T, DJ de 25-8-2006.]</w:t>
      </w:r>
    </w:p>
    <w:p>
      <w:pPr>
        <w:ind w:left="288"/>
      </w:pPr>
      <w:r>
        <w:rPr>
          <w:color w:val="8C8C8C"/>
          <w:sz w:val="12"/>
        </w:rPr>
        <w:t>cf-art-128-inc-II</w:t>
      </w:r>
      <w:r>
        <w:rPr>
          <w:color w:val="003CA0"/>
          <w:sz w:val="12"/>
        </w:rPr>
        <w:t xml:space="preserve"> | ADI 2.913</w:t>
      </w:r>
      <w:r>
        <w:rPr>
          <w:color w:val="003CA0"/>
          <w:sz w:val="12"/>
        </w:rPr>
        <w:t xml:space="preserve"> | rel. Sepúlveda Pertence</w:t>
      </w:r>
    </w:p>
    <w:p>
      <w:pPr>
        <w:ind w:left="288"/>
      </w:pPr>
      <w:r>
        <w:rPr>
          <w:color w:val="1E1E1E"/>
          <w:sz w:val="18"/>
        </w:rPr>
        <w:t xml:space="preserve">= ADI 2.913, red. do ac. min. Cármen Lúcia, j. 20-5-2009, P, DJE de 24-6-2011 MPU: nulidade da nomeação, em comissão, pelo presidente da República, de procurador-geral da Justiça do Trabalho. A unidade do MPU, sob a chefia do PGR, permite pôr em dúvida a subsistência mesma do próprio cargo de procurador-geral da Justiça do Trabalho, por isso negada expressamente por quatro dentre os oito votos vencedores, para os quais, "compete (...), ao PGR, exercer, de modo autônomo e em caráter indisponível e irrenunciável, o poder monocrático de direção, administração e representação do MPT, cuja prática </w:t>
      </w:r>
    </w:p>
    <w:p>
      <w:pPr>
        <w:ind w:left="288"/>
      </w:pPr>
      <w:r>
        <w:rPr>
          <w:b/>
          <w:color w:val="003CA0"/>
          <w:sz w:val="16"/>
        </w:rPr>
        <w:t>[MS 21.239, rel. min. Sepúlveda Pertence, j. 5-6-1991, P, DJ de 23-4-1993.]</w:t>
      </w:r>
    </w:p>
    <w:p>
      <w:pPr>
        <w:ind w:left="288"/>
      </w:pPr>
      <w:r>
        <w:rPr>
          <w:color w:val="8C8C8C"/>
          <w:sz w:val="12"/>
        </w:rPr>
        <w:t>cf-art-128-par-2</w:t>
      </w:r>
    </w:p>
    <w:p>
      <w:pPr>
        <w:ind w:left="288"/>
      </w:pPr>
      <w:r>
        <w:rPr>
          <w:color w:val="1E1E1E"/>
          <w:sz w:val="18"/>
        </w:rPr>
        <w:t>§ 3º Os Ministérios Públicos dos Estados e o do Distrito Federal e Territórios formarão lista tríplice dentre integrantes da carreira, na forma da lei respectiva, para escolha de seu Procurador-Geral, que será nomeado pelo Chefe do Poder Executivo, para mandato de dois anos, permitida uma recondução.</w:t>
      </w:r>
    </w:p>
    <w:p>
      <w:pPr>
        <w:ind w:left="144"/>
      </w:pPr>
      <w:r>
        <w:rPr>
          <w:b/>
          <w:color w:val="B45A00"/>
          <w:sz w:val="16"/>
        </w:rPr>
        <w:t>CONTROLE CONCENTRADO</w:t>
      </w:r>
    </w:p>
    <w:p>
      <w:pPr>
        <w:ind w:left="288"/>
      </w:pPr>
      <w:r>
        <w:rPr>
          <w:color w:val="8C8C8C"/>
          <w:sz w:val="12"/>
        </w:rPr>
        <w:t>cf-art-128-par-2</w:t>
      </w:r>
      <w:r>
        <w:rPr>
          <w:color w:val="003CA0"/>
          <w:sz w:val="12"/>
        </w:rPr>
        <w:t xml:space="preserve"> | ADI 6.551</w:t>
      </w:r>
      <w:r>
        <w:rPr>
          <w:color w:val="003CA0"/>
          <w:sz w:val="12"/>
        </w:rPr>
        <w:t xml:space="preserve"> | rel. Dias Toffoli</w:t>
      </w:r>
    </w:p>
    <w:p>
      <w:pPr>
        <w:ind w:left="288"/>
      </w:pPr>
      <w:r>
        <w:rPr>
          <w:color w:val="1E1E1E"/>
          <w:sz w:val="18"/>
        </w:rPr>
        <w:t>O art. 128, § 3º, da Constituição e o art. 9º da Lei Orgânica Nacional do Ministério Público indicam que a formação da lista tríplice se dará na forma da lei respectiva, em referência às leis complementares que organizam o Ministério Público da União e de cada estado-membro, cuja iniciativa foi facultada ao procurador-geral de justiça (art. 125, § 5º, CF/88). É válida a estipulação de critérios adicionais à composição da lista tríplice para a escolha do chefe do Ministério Público estadual, desde que a eleição se dê entre membros da carreira, nos termos do art. 128, § 3º. (...) Na espécie, não</w:t>
      </w:r>
    </w:p>
    <w:p>
      <w:pPr>
        <w:ind w:left="288"/>
      </w:pPr>
      <w:r>
        <w:rPr>
          <w:b/>
          <w:color w:val="003CA0"/>
          <w:sz w:val="16"/>
        </w:rPr>
        <w:t>[ADI 5.171, rel. min. Luiz Fux, j. 30-8-2019, P, DJE de 10-12-2019.]</w:t>
      </w:r>
    </w:p>
    <w:p>
      <w:pPr>
        <w:ind w:left="288"/>
      </w:pPr>
      <w:r>
        <w:rPr>
          <w:color w:val="8C8C8C"/>
          <w:sz w:val="12"/>
        </w:rPr>
        <w:t>cf-art-128-par-2</w:t>
      </w:r>
      <w:r>
        <w:rPr>
          <w:color w:val="003CA0"/>
          <w:sz w:val="12"/>
        </w:rPr>
        <w:t xml:space="preserve"> | ADI 5.700</w:t>
      </w:r>
      <w:r>
        <w:rPr>
          <w:color w:val="003CA0"/>
          <w:sz w:val="12"/>
        </w:rPr>
        <w:t xml:space="preserve"> | rel. Alexandre de Moraes</w:t>
      </w:r>
    </w:p>
    <w:p>
      <w:pPr>
        <w:ind w:left="288"/>
      </w:pPr>
      <w:r>
        <w:rPr>
          <w:color w:val="1E1E1E"/>
          <w:sz w:val="18"/>
        </w:rPr>
        <w:t xml:space="preserve">O modo de investidura do Procurador-Geral de Justiça constitui garantia de independência e autogoverno, visando à proteção da Sociedade e à defesa intransigente do regime democrático e exige, para sua regulamentação, a edição de lei complementar estadual de iniciativa da própria Instituição (CF, art. 128, § 5º). A Constituição Federal consagrou os requisitos básicos para a escolha do Procurador-Geral de Justiça, bem como a existência de mandato por tempo certo, impossibilitando sua demissão ad nutum, garantindo-lhe a imparcialidade necessária para o pleno exercício da autonomia administrativa </w:t>
      </w:r>
    </w:p>
    <w:p>
      <w:pPr>
        <w:ind w:left="288"/>
      </w:pPr>
      <w:r>
        <w:rPr>
          <w:b/>
          <w:color w:val="003CA0"/>
          <w:sz w:val="16"/>
        </w:rPr>
        <w:t>[ADI 5.700, rel. min. Alexandre de Moraes, j. 23-8-2019, P, DJE de 9-9-2019.]</w:t>
      </w:r>
    </w:p>
    <w:p>
      <w:pPr>
        <w:ind w:left="288"/>
      </w:pPr>
      <w:r>
        <w:rPr>
          <w:color w:val="8C8C8C"/>
          <w:sz w:val="12"/>
        </w:rPr>
        <w:t>cf-art-128-par-2</w:t>
      </w:r>
      <w:r>
        <w:rPr>
          <w:color w:val="003CA0"/>
          <w:sz w:val="12"/>
        </w:rPr>
        <w:t xml:space="preserve"> | ADI 2.622</w:t>
      </w:r>
      <w:r>
        <w:rPr>
          <w:color w:val="003CA0"/>
          <w:sz w:val="12"/>
        </w:rPr>
        <w:t xml:space="preserve"> | rel. Cezar Peluso</w:t>
      </w:r>
    </w:p>
    <w:p>
      <w:pPr>
        <w:ind w:left="288"/>
      </w:pPr>
      <w:r>
        <w:rPr>
          <w:color w:val="1E1E1E"/>
          <w:sz w:val="18"/>
        </w:rPr>
        <w:t>Se norma de Constituição estadual, ao prever recondução ao cargo de procurador-geral do Ministério Público, não a limita, deve ser interpretada como permissão para uma única recondução.</w:t>
      </w:r>
    </w:p>
    <w:p>
      <w:pPr>
        <w:ind w:left="288"/>
      </w:pPr>
      <w:r>
        <w:rPr>
          <w:b/>
          <w:color w:val="003CA0"/>
          <w:sz w:val="16"/>
        </w:rPr>
        <w:t>[ADI 2.622, rel. min. Cezar Peluso, j. 10-11-2011, P, DJE de 16-2-2012.]</w:t>
      </w:r>
    </w:p>
    <w:p>
      <w:pPr>
        <w:ind w:left="288"/>
      </w:pPr>
      <w:r>
        <w:rPr>
          <w:color w:val="8C8C8C"/>
          <w:sz w:val="12"/>
        </w:rPr>
        <w:t>cf-art-128-par-2</w:t>
      </w:r>
      <w:r>
        <w:rPr>
          <w:color w:val="003CA0"/>
          <w:sz w:val="12"/>
        </w:rPr>
        <w:t xml:space="preserve"> | ADI 452</w:t>
      </w:r>
      <w:r>
        <w:rPr>
          <w:color w:val="003CA0"/>
          <w:sz w:val="12"/>
        </w:rPr>
        <w:t xml:space="preserve"> | rel. Maurício Corrêa</w:t>
      </w:r>
    </w:p>
    <w:p>
      <w:pPr>
        <w:ind w:left="288"/>
      </w:pPr>
      <w:r>
        <w:rPr>
          <w:color w:val="1E1E1E"/>
          <w:sz w:val="18"/>
        </w:rPr>
        <w:t>A escolha do PGR deve ser aprovada pelo Senado (CF, art. 128, § 1º). A nomeação do procurador-geral de Justiça dos Estados não está sujeita à aprovação da assembleia legislativa. Compete ao governador nomeá-lo dentre lista tríplice composta de integrantes da carreira (CF, art. 128, § 3º). Não aplicação do princípio da simetria.</w:t>
      </w:r>
    </w:p>
    <w:p>
      <w:pPr>
        <w:ind w:left="288"/>
      </w:pPr>
      <w:r>
        <w:rPr>
          <w:b/>
          <w:color w:val="003CA0"/>
          <w:sz w:val="16"/>
        </w:rPr>
        <w:t>[ADI 452, rel. min. Maurício Corrêa, j. 28-8-2002, P, DJ de 31-10-2002.]</w:t>
      </w:r>
    </w:p>
    <w:p>
      <w:pPr>
        <w:ind w:left="288"/>
      </w:pPr>
      <w:r>
        <w:rPr>
          <w:color w:val="8C8C8C"/>
          <w:sz w:val="12"/>
        </w:rPr>
        <w:t>cf-art-128-par-2</w:t>
      </w:r>
      <w:r>
        <w:rPr>
          <w:color w:val="003CA0"/>
          <w:sz w:val="12"/>
        </w:rPr>
        <w:t xml:space="preserve"> | ADI 3.727</w:t>
      </w:r>
      <w:r>
        <w:rPr>
          <w:color w:val="003CA0"/>
          <w:sz w:val="12"/>
        </w:rPr>
        <w:t xml:space="preserve"> | rel. Ayres Britto</w:t>
      </w:r>
    </w:p>
    <w:p>
      <w:pPr>
        <w:ind w:left="288"/>
      </w:pPr>
      <w:r>
        <w:rPr>
          <w:color w:val="1E1E1E"/>
          <w:sz w:val="18"/>
        </w:rPr>
        <w:t>= ADI 3.727, rel. min. Ayres Britto, j. 12-5-2010, P, DJE de 11-6-2010 Ministério Público dos Estados: procurador-geral de Justiça: nomeação a termo por dois anos (Constituição, art. 128, § 3º): é inconstitucional a previsão em lei estadual de que, vago o cargo de procurador-geral no curso do biênio, o provimento se faça para completar o período interrompido e não para iniciar outro de dois anos: implicações da previsão de que a nomeação se faça sempre para o tempo certo de um biênio com a mecânica das garantias da independência do chefe do Ministério Público: ação direta julgada procedente.</w:t>
      </w:r>
    </w:p>
    <w:p>
      <w:pPr>
        <w:ind w:left="288"/>
      </w:pPr>
      <w:r>
        <w:rPr>
          <w:b/>
          <w:color w:val="003CA0"/>
          <w:sz w:val="16"/>
        </w:rPr>
        <w:t>[ADI 1.783, rel. min. Sepúlveda Pertence, j. 11-10-2001, P, DJ de 16-11-2001.]</w:t>
      </w:r>
    </w:p>
    <w:p>
      <w:pPr>
        <w:ind w:left="288"/>
      </w:pPr>
      <w:r>
        <w:rPr>
          <w:color w:val="8C8C8C"/>
          <w:sz w:val="12"/>
        </w:rPr>
        <w:t>cf-art-128-par-4</w:t>
      </w:r>
      <w:r>
        <w:rPr>
          <w:color w:val="003CA0"/>
          <w:sz w:val="12"/>
        </w:rPr>
        <w:t xml:space="preserve"> | ADI 2.436</w:t>
      </w:r>
      <w:r>
        <w:rPr>
          <w:color w:val="003CA0"/>
          <w:sz w:val="12"/>
        </w:rPr>
        <w:t xml:space="preserve"> | rel. Moreira Alves</w:t>
      </w:r>
    </w:p>
    <w:p>
      <w:pPr>
        <w:ind w:left="288"/>
      </w:pPr>
      <w:r>
        <w:rPr>
          <w:color w:val="1E1E1E"/>
          <w:sz w:val="18"/>
        </w:rPr>
        <w:t>Basta, para se ter como relevante a fundamentação jurídica desta arguição de inconstitucionalidade, a circunstância formal de que o § 4º do art. 128 da Carta Magna em sua parte final remete à lei complementar a disciplina da forma pela qual se dará a destituição dos procuradores-gerais nos Estados e no Distrito Federal e Territórios, tendo-se firmado a jurisprudência desta Corte no sentido de que, quando a Constituição exige lei complementar para disciplinar determinada matéria, essa disciplina só pode ser feita por essa modalidade normativa.</w:t>
      </w:r>
    </w:p>
    <w:p>
      <w:pPr>
        <w:ind w:left="288"/>
      </w:pPr>
      <w:r>
        <w:rPr>
          <w:b/>
          <w:color w:val="003CA0"/>
          <w:sz w:val="16"/>
        </w:rPr>
        <w:t>[ADI 2.436 MC, rel. min. Moreira Alves, j. 30-5-2001, P, DJ de 9-5-2003.]</w:t>
      </w:r>
    </w:p>
    <w:p>
      <w:pPr>
        <w:ind w:left="288"/>
      </w:pPr>
      <w:r>
        <w:rPr>
          <w:color w:val="8C8C8C"/>
          <w:sz w:val="12"/>
        </w:rPr>
        <w:t>cf-art-128-par-4</w:t>
      </w:r>
      <w:r>
        <w:rPr>
          <w:color w:val="003CA0"/>
          <w:sz w:val="12"/>
        </w:rPr>
        <w:t xml:space="preserve"> | ADI 2.622</w:t>
      </w:r>
      <w:r>
        <w:rPr>
          <w:color w:val="003CA0"/>
          <w:sz w:val="12"/>
        </w:rPr>
        <w:t xml:space="preserve"> | rel. Sydney Sanches</w:t>
      </w:r>
    </w:p>
    <w:p>
      <w:pPr>
        <w:ind w:left="288"/>
      </w:pPr>
      <w:r>
        <w:rPr>
          <w:color w:val="1E1E1E"/>
          <w:sz w:val="18"/>
        </w:rPr>
        <w:t>= ADI 2.622 MC, rel. min. Sydney Sanches, j. 8-8-2002, P, DJ de 21-2-2003</w:t>
      </w:r>
    </w:p>
    <w:p>
      <w:pPr>
        <w:ind w:left="288"/>
      </w:pPr>
      <w:r>
        <w:rPr>
          <w:color w:val="8C8C8C"/>
          <w:sz w:val="12"/>
        </w:rPr>
        <w:t>cf-art-128-par-5</w:t>
      </w:r>
      <w:r>
        <w:rPr>
          <w:color w:val="003CA0"/>
          <w:sz w:val="12"/>
        </w:rPr>
        <w:t xml:space="preserve"> | ADI 7.289</w:t>
      </w:r>
      <w:r>
        <w:rPr>
          <w:color w:val="003CA0"/>
          <w:sz w:val="12"/>
        </w:rPr>
        <w:t xml:space="preserve"> | rel. André Mendonça</w:t>
      </w:r>
    </w:p>
    <w:p>
      <w:pPr>
        <w:ind w:left="288"/>
      </w:pPr>
      <w:r>
        <w:rPr>
          <w:color w:val="1E1E1E"/>
          <w:sz w:val="18"/>
        </w:rPr>
        <w:t>A Lei nº 8.625/1993 (LONMP) disciplina os critérios de promoção e remoção dos membros do Ministério Público, sem prever o maior tempo “na Administração Pública estadual, federal, municipal” como critério de desempate, razão pela qual a norma estadual impugnada extrapola os limites da competência legislativa dos estados, incorrendo em inconstitucionalidade formal. O critério de maior tempo “na Administração Pública estadual, federal, municipal” para fins de desempate na promoção de membros do Ministério Público cria distinção indevida entre candidatos com tempo equivalente na carreira, afrontan</w:t>
      </w:r>
    </w:p>
    <w:p>
      <w:pPr>
        <w:ind w:left="288"/>
      </w:pPr>
      <w:r>
        <w:rPr>
          <w:b/>
          <w:color w:val="003CA0"/>
          <w:sz w:val="16"/>
        </w:rPr>
        <w:t>[ADI 7.289, rel. min. André Mendonça, j. 07.05.2025, P, DJE de 19.05.2025.]</w:t>
      </w:r>
    </w:p>
    <w:p>
      <w:pPr>
        <w:ind w:left="288"/>
      </w:pPr>
      <w:r>
        <w:rPr>
          <w:color w:val="8C8C8C"/>
          <w:sz w:val="12"/>
        </w:rPr>
        <w:t>cf-art-128-par-5</w:t>
      </w:r>
      <w:r>
        <w:rPr>
          <w:color w:val="003CA0"/>
          <w:sz w:val="12"/>
        </w:rPr>
        <w:t xml:space="preserve"> | ADI 7.739</w:t>
      </w:r>
      <w:r>
        <w:rPr>
          <w:color w:val="003CA0"/>
          <w:sz w:val="12"/>
        </w:rPr>
        <w:t xml:space="preserve"> | rel. Cármen Lúcia</w:t>
      </w:r>
    </w:p>
    <w:p>
      <w:pPr>
        <w:ind w:left="288"/>
      </w:pPr>
      <w:r>
        <w:rPr>
          <w:color w:val="1E1E1E"/>
          <w:sz w:val="18"/>
        </w:rPr>
        <w:t>Ministério público. Incs. I, II e IV do art. 3º da Lei n. 11.372/2006, que regulamentam o § 1º do art. 130-a da Constituição da República. Vedação aos membros do Ministério Público durante o exercício do mandato no Conselho Nacional do Ministério Público. (...) As disposições relativas à organização, às atribuições e ao estatuto dos Ministérios Públicos devem ser estabelecidas em estrita observância à reserva de lei complementar prevista no § 5º do art. 128 da Constituição da República. É formalmente inconstitucional a norma impugnada, pois versa sobre matéria reservada a lei complementar.</w:t>
      </w:r>
    </w:p>
    <w:p>
      <w:pPr>
        <w:ind w:left="288"/>
      </w:pPr>
      <w:r>
        <w:rPr>
          <w:b/>
          <w:color w:val="003CA0"/>
          <w:sz w:val="16"/>
        </w:rPr>
        <w:t>[ADI 7.739, rel. min. Cármen Lúcia, j. 19.03.2025, P, DJE de 14.05.2025.]</w:t>
      </w:r>
    </w:p>
    <w:p>
      <w:pPr>
        <w:ind w:left="288"/>
      </w:pPr>
      <w:r>
        <w:rPr>
          <w:color w:val="8C8C8C"/>
          <w:sz w:val="12"/>
        </w:rPr>
        <w:t>cf-art-128-par-5</w:t>
      </w:r>
      <w:r>
        <w:rPr>
          <w:color w:val="003CA0"/>
          <w:sz w:val="12"/>
        </w:rPr>
        <w:t xml:space="preserve"> | ADI 6.780</w:t>
      </w:r>
      <w:r>
        <w:rPr>
          <w:color w:val="003CA0"/>
          <w:sz w:val="12"/>
        </w:rPr>
        <w:t xml:space="preserve"> | rel. Nunes Marques</w:t>
      </w:r>
    </w:p>
    <w:p>
      <w:pPr>
        <w:ind w:left="288"/>
      </w:pPr>
      <w:r>
        <w:rPr>
          <w:color w:val="1E1E1E"/>
          <w:sz w:val="18"/>
        </w:rPr>
        <w:t>Lei complementar estadual. Permuta nacional entre membros dos Ministérios Públicos Estaduais e do Distrito Federal e Territórios. Federalismo. Autonomia dos estados-membros. Inexistência de carreira única. (...) O caráter nacional do Ministério Público, considerado o regramento de observância obrigatória por todos os seus órgãos – Ministérios Públicos da União, dos Estados e do Distrito Federal – e respectivos membros, não se confunde com a existência de um único Ministério Público dos Estados, pois isso configuraria violação da forma federativa adotada pelo constituinte originário e da autono</w:t>
      </w:r>
    </w:p>
    <w:p>
      <w:pPr>
        <w:ind w:left="288"/>
      </w:pPr>
      <w:r>
        <w:rPr>
          <w:b/>
          <w:color w:val="003CA0"/>
          <w:sz w:val="16"/>
        </w:rPr>
        <w:t>[ADI 5.351, rel. min. Cármen Lúcia, j. 18-6-2021, P, DJE 20-8-2021.]</w:t>
      </w:r>
    </w:p>
    <w:p>
      <w:pPr>
        <w:ind w:left="288"/>
      </w:pPr>
      <w:r>
        <w:rPr>
          <w:color w:val="8C8C8C"/>
          <w:sz w:val="12"/>
        </w:rPr>
        <w:t>cf-art-128-par-5</w:t>
      </w:r>
      <w:r>
        <w:rPr>
          <w:color w:val="003CA0"/>
          <w:sz w:val="12"/>
        </w:rPr>
        <w:t xml:space="preserve"> | ADI 5.505</w:t>
      </w:r>
      <w:r>
        <w:rPr>
          <w:color w:val="003CA0"/>
          <w:sz w:val="12"/>
        </w:rPr>
        <w:t xml:space="preserve"> | rel. Luiz Fux</w:t>
      </w:r>
    </w:p>
    <w:p>
      <w:pPr>
        <w:ind w:left="288"/>
      </w:pPr>
      <w:r>
        <w:rPr>
          <w:color w:val="1E1E1E"/>
          <w:sz w:val="18"/>
        </w:rPr>
        <w:t>A Lei federal 8.625/1993 (Lei Orgânica Nacional do Ministério Público - LONMP) não pormenoriza a atuação dos Procuradores-Gerais de Justiça e dos Procuradores de Justiça em sede recursal e, por expressa dicção do caput de seu artigo 29, o rol de atribuições dos Procuradores-Gerais de Justiça não é exaustivo, de modo que as leis orgânicas dos Ministérios Públicos estaduais podem, validamente, ampliar ou densificar tais atribuições.</w:t>
      </w:r>
    </w:p>
    <w:p>
      <w:pPr>
        <w:ind w:left="288"/>
      </w:pPr>
      <w:r>
        <w:rPr>
          <w:b/>
          <w:color w:val="003CA0"/>
          <w:sz w:val="16"/>
        </w:rPr>
        <w:t>[ADI 5.505, rel. min. Luiz Fux, j. 15-4-2020, P, DJE de 30-4-2020.]</w:t>
      </w:r>
    </w:p>
    <w:p>
      <w:pPr>
        <w:ind w:left="288"/>
      </w:pPr>
      <w:r>
        <w:rPr>
          <w:color w:val="8C8C8C"/>
          <w:sz w:val="12"/>
        </w:rPr>
        <w:t>cf-art-128-par-5</w:t>
      </w:r>
      <w:r>
        <w:rPr>
          <w:color w:val="003CA0"/>
          <w:sz w:val="12"/>
        </w:rPr>
        <w:t xml:space="preserve"> | ADI 4.142</w:t>
      </w:r>
      <w:r>
        <w:rPr>
          <w:color w:val="003CA0"/>
          <w:sz w:val="12"/>
        </w:rPr>
        <w:t xml:space="preserve"> | rel. Roberto Barroso</w:t>
      </w:r>
    </w:p>
    <w:p>
      <w:pPr>
        <w:ind w:left="288"/>
      </w:pPr>
      <w:r>
        <w:rPr>
          <w:color w:val="1E1E1E"/>
          <w:sz w:val="18"/>
        </w:rPr>
        <w:t>Extrai-se da interpretação do art. 128, § 5º, da Constituição, que cabe ao chefe de cada Ministério Público a iniciativa de lei complementar estadual que disponha sobre organização, atribuições e estatuto de cada instituição individualmente considerada, desde que observados os regramentos gerais definidos pela Lei Orgânica Nacional do Ministério Público. Na esfera estadual coexistem dois regimes de organização: (i) o da Lei Orgânica Nacional (Lei nº 8.625/1993), que fixa as normas gerais; e (ii) o da Lei Orgânica do Estado, que delimita, em lei complementar de iniciativa do Procurador-Geral de</w:t>
      </w:r>
    </w:p>
    <w:p>
      <w:pPr>
        <w:ind w:left="288"/>
      </w:pPr>
      <w:r>
        <w:rPr>
          <w:b/>
          <w:color w:val="003CA0"/>
          <w:sz w:val="16"/>
        </w:rPr>
        <w:t>[ADI 4.142, rel. min. Roberto Barroso, j. 20-12-2019, P, DJE de 26-2-2020.]</w:t>
      </w:r>
    </w:p>
    <w:p>
      <w:pPr>
        <w:ind w:left="288"/>
      </w:pPr>
      <w:r>
        <w:rPr>
          <w:color w:val="8C8C8C"/>
          <w:sz w:val="12"/>
        </w:rPr>
        <w:t>cf-art-128-par-5</w:t>
      </w:r>
      <w:r>
        <w:rPr>
          <w:color w:val="003CA0"/>
          <w:sz w:val="12"/>
        </w:rPr>
        <w:t xml:space="preserve"> | ADI 5.171</w:t>
      </w:r>
      <w:r>
        <w:rPr>
          <w:color w:val="003CA0"/>
          <w:sz w:val="12"/>
        </w:rPr>
        <w:t xml:space="preserve"> | rel. Luiz Fux</w:t>
      </w:r>
    </w:p>
    <w:p>
      <w:pPr>
        <w:ind w:left="288"/>
      </w:pPr>
      <w:r>
        <w:rPr>
          <w:color w:val="1E1E1E"/>
          <w:sz w:val="18"/>
        </w:rPr>
        <w:t>O Ministério Público é o titular da iniciativa de projeto de lei que organiza, institui atribuições e estabelece a estrutura da carreira, dispondo também sobre a forma de eleição, de composição da lista tríplice e de escolha do Procurador-Geral de Justiça, na forma do artigo 128, §§ 3º e 5º, da Constituição Federal, observados os limites traçados pelo texto constitucional e pela legislação orgânica nacional (Lei 8.625/1993). A Emenda Constitucional 48/2014 à Constituição do Estado do Amapá revela-se formalmente inconstitucional: (i) por tratar de matéria relativa à alteração do estatuto jurídi</w:t>
      </w:r>
    </w:p>
    <w:p>
      <w:pPr>
        <w:ind w:left="288"/>
      </w:pPr>
      <w:r>
        <w:rPr>
          <w:b/>
          <w:color w:val="003CA0"/>
          <w:sz w:val="16"/>
        </w:rPr>
        <w:t>[ADI 5.171, rel. min. Luiz Fux, j. 30-8-2019, P, DJE de 10-12-2019.]</w:t>
      </w:r>
    </w:p>
    <w:p>
      <w:pPr>
        <w:ind w:left="288"/>
      </w:pPr>
      <w:r>
        <w:rPr>
          <w:color w:val="8C8C8C"/>
          <w:sz w:val="12"/>
        </w:rPr>
        <w:t>cf-art-128-par-5</w:t>
      </w:r>
      <w:r>
        <w:rPr>
          <w:color w:val="003CA0"/>
          <w:sz w:val="12"/>
        </w:rPr>
        <w:t xml:space="preserve"> | ADI 5.700</w:t>
      </w:r>
      <w:r>
        <w:rPr>
          <w:color w:val="003CA0"/>
          <w:sz w:val="12"/>
        </w:rPr>
        <w:t xml:space="preserve"> | rel. Alexandre de Moraes</w:t>
      </w:r>
    </w:p>
    <w:p>
      <w:pPr>
        <w:ind w:left="288"/>
      </w:pPr>
      <w:r>
        <w:rPr>
          <w:color w:val="1E1E1E"/>
          <w:sz w:val="18"/>
        </w:rPr>
        <w:t xml:space="preserve">O modo de investidura do Procurador-Geral de Justiça constitui garantia de independência e autogoverno, visando à proteção da Sociedade e à defesa intransigente do regime democrático e exige, para sua regulamentação, a edição de lei complementar estadual de iniciativa da própria Instituição (CF, art. 128, § 5º). A Constituição Federal consagrou os requisitos básicos para a escolha do Procurador-Geral de Justiça, bem como a existência de mandato por tempo certo, impossibilitando sua demissão ad nutum, garantindo-lhe a imparcialidade necessária para o pleno exercício da autonomia administrativa </w:t>
      </w:r>
    </w:p>
    <w:p>
      <w:pPr>
        <w:ind w:left="288"/>
      </w:pPr>
      <w:r>
        <w:rPr>
          <w:b/>
          <w:color w:val="003CA0"/>
          <w:sz w:val="16"/>
        </w:rPr>
        <w:t>[ADI 5.700, rel. min. Alexandre de Moraes, j. 23-8-2019, P, DJE de 9-9-2019.]</w:t>
      </w:r>
    </w:p>
    <w:p>
      <w:pPr>
        <w:ind w:left="288"/>
      </w:pPr>
      <w:r>
        <w:rPr>
          <w:color w:val="8C8C8C"/>
          <w:sz w:val="12"/>
        </w:rPr>
        <w:t>cf-art-128-par-5</w:t>
      </w:r>
      <w:r>
        <w:rPr>
          <w:color w:val="003CA0"/>
          <w:sz w:val="12"/>
        </w:rPr>
        <w:t xml:space="preserve"> | ADI 4.807</w:t>
      </w:r>
      <w:r>
        <w:rPr>
          <w:color w:val="003CA0"/>
          <w:sz w:val="12"/>
        </w:rPr>
        <w:t xml:space="preserve"> | rel. Carmén Lúcia</w:t>
      </w:r>
    </w:p>
    <w:p>
      <w:pPr>
        <w:ind w:left="288"/>
      </w:pPr>
      <w:r>
        <w:rPr>
          <w:color w:val="1E1E1E"/>
          <w:sz w:val="18"/>
        </w:rPr>
        <w:t>Pelo art. 128, § 5º, da Constituição da República os procuradores-gerais têm a iniciativa das leis complementares estaduais que versam sobre a organização, as atribuições e o estatuto dos Ministérios Públicos. A possibilidade de iniciar e deliberar a Assembleia Legislativa, por maioria absoluta, sobre destituição do Procurador-Geral de Justiça (...) contraria os princípios da independência e autonomia do Ministério Público.</w:t>
      </w:r>
    </w:p>
    <w:p>
      <w:pPr>
        <w:ind w:left="288"/>
      </w:pPr>
      <w:r>
        <w:rPr>
          <w:b/>
          <w:color w:val="003CA0"/>
          <w:sz w:val="16"/>
        </w:rPr>
        <w:t>[ADI 4.807 e ADI 4.808, rel. min. Carmén Lúcia, j. 1º-8-2018, P, DJE de 21-5-2019.]</w:t>
      </w:r>
    </w:p>
    <w:p>
      <w:pPr>
        <w:ind w:left="288"/>
      </w:pPr>
      <w:r>
        <w:rPr>
          <w:color w:val="8C8C8C"/>
          <w:sz w:val="12"/>
        </w:rPr>
        <w:t>cf-art-128-par-5</w:t>
      </w:r>
      <w:r>
        <w:rPr>
          <w:color w:val="003CA0"/>
          <w:sz w:val="12"/>
        </w:rPr>
        <w:t xml:space="preserve"> | ADI 3.802</w:t>
      </w:r>
      <w:r>
        <w:rPr>
          <w:color w:val="003CA0"/>
          <w:sz w:val="12"/>
        </w:rPr>
        <w:t xml:space="preserve"> | rel. Dias Toffoli</w:t>
      </w:r>
    </w:p>
    <w:p>
      <w:pPr>
        <w:ind w:left="288"/>
      </w:pPr>
      <w:r>
        <w:rPr>
          <w:color w:val="1E1E1E"/>
          <w:sz w:val="18"/>
        </w:rPr>
        <w:t>Detém o PGR, de acordo com o art. 128, § 5º, da CF, a prerrogativa, ao lado daquela já atribuída ao chefe do Poder Executivo (art. 61, § 1º, II, d, CF), de iniciativa dos projetos legislativos que versem sobre a organização e as atribuições do Ministério Público Eleitoral, do qual é chefe, atuando como seu procurador-geral. Tratando-se de atribuição do MPF (arts. 72 e 78), nada mais natural que as regras de designação dos membros do Ministério Público para desempenhar as funções junto à Justiça Eleitoral sejam disciplinadas na legislação que dispõe, exatamente, sobre a organização, as atribuiç</w:t>
      </w:r>
    </w:p>
    <w:p>
      <w:pPr>
        <w:ind w:left="288"/>
      </w:pPr>
      <w:r>
        <w:rPr>
          <w:b/>
          <w:color w:val="003CA0"/>
          <w:sz w:val="16"/>
        </w:rPr>
        <w:t>[ADI 3.802, rel. min. Dias Toffoli, j. 10-3-2016, P, DJE de 14-11-2016.]</w:t>
      </w:r>
    </w:p>
    <w:p>
      <w:pPr>
        <w:ind w:left="288"/>
      </w:pPr>
      <w:r>
        <w:rPr>
          <w:color w:val="8C8C8C"/>
          <w:sz w:val="12"/>
        </w:rPr>
        <w:t>cf-art-128-par-5</w:t>
      </w:r>
      <w:r>
        <w:rPr>
          <w:color w:val="003CA0"/>
          <w:sz w:val="12"/>
        </w:rPr>
        <w:t xml:space="preserve"> | ADI 932</w:t>
      </w:r>
      <w:r>
        <w:rPr>
          <w:color w:val="003CA0"/>
          <w:sz w:val="12"/>
        </w:rPr>
        <w:t xml:space="preserve"> | rel. Ricardo Lewandowski</w:t>
      </w:r>
    </w:p>
    <w:p>
      <w:pPr>
        <w:ind w:left="288"/>
      </w:pPr>
      <w:r>
        <w:rPr>
          <w:color w:val="1E1E1E"/>
          <w:sz w:val="18"/>
        </w:rPr>
        <w:t>Dispositivo de lei estadual que apenas altera denominação de cargo ou estabelece prazo para reorganização interna da carreira do Ministério Público não afronta o art. 22 da CF. Não há qualquer inconstitucionalidade em dispositivo que revoga uma atribuição inconstitucional conferida ao Parquet, como a curadoria no processo civil de réu revel ou preso. Embora o art. 18 da LC 667/1991 tenha sido derrogado pelo art. 114 da LC 734/1993, o Tribunal recebeu a manifestação do Conselho Federal da OAB como aditamento à inicial, superando a preliminar de prejudicialidade, para conhecer da ação direta qua</w:t>
      </w:r>
    </w:p>
    <w:p>
      <w:pPr>
        <w:ind w:left="288"/>
      </w:pPr>
      <w:r>
        <w:rPr>
          <w:b/>
          <w:color w:val="003CA0"/>
          <w:sz w:val="16"/>
        </w:rPr>
        <w:t>[ADI 932, rel. min. Ricardo Lewandowski, j. 17-12-2010, P, DJE de 9-5-2011.]</w:t>
      </w:r>
    </w:p>
    <w:p>
      <w:pPr>
        <w:ind w:left="288"/>
      </w:pPr>
      <w:r>
        <w:rPr>
          <w:color w:val="8C8C8C"/>
          <w:sz w:val="12"/>
        </w:rPr>
        <w:t>cf-art-128-par-5</w:t>
      </w:r>
      <w:r>
        <w:rPr>
          <w:color w:val="003CA0"/>
          <w:sz w:val="12"/>
        </w:rPr>
        <w:t xml:space="preserve"> | ADI 1.916</w:t>
      </w:r>
      <w:r>
        <w:rPr>
          <w:color w:val="003CA0"/>
          <w:sz w:val="12"/>
        </w:rPr>
        <w:t xml:space="preserve"> | rel. Eros Grau</w:t>
      </w:r>
    </w:p>
    <w:p>
      <w:pPr>
        <w:ind w:left="288"/>
      </w:pPr>
      <w:r>
        <w:rPr>
          <w:color w:val="1E1E1E"/>
          <w:sz w:val="18"/>
        </w:rPr>
        <w:t>Competência exclusiva do procurador-geral de Justiça do Estado de Mato Grosso do Sul para propor a ação civil pública contra autoridades estaduais específicas. A legitimação para propositura da ação civil pública – nos termos do art. 129,  III, da Constituição do Brasil – é do Ministério Público, instituição una e indivisível. O disposto no art. 30, X, da LC 72/1994, estabelece quem, entre os integrantes daquela instituição, conduzirá o inquérito civil e a ação civil pública quando a responsabilidade for decorrente de ato praticado, em razão de suas funções, por determinadas autoridades estadu</w:t>
      </w:r>
    </w:p>
    <w:p>
      <w:pPr>
        <w:ind w:left="288"/>
      </w:pPr>
      <w:r>
        <w:rPr>
          <w:b/>
          <w:color w:val="003CA0"/>
          <w:sz w:val="16"/>
        </w:rPr>
        <w:t>[ADI 1.916, rel. min. Eros Grau, j. 14-4-2010, P, DJE de 18-6-2010.]</w:t>
      </w:r>
    </w:p>
    <w:p>
      <w:pPr>
        <w:ind w:left="288"/>
      </w:pPr>
      <w:r>
        <w:rPr>
          <w:color w:val="8C8C8C"/>
          <w:sz w:val="12"/>
        </w:rPr>
        <w:t>cf-art-128-par-5</w:t>
      </w:r>
      <w:r>
        <w:rPr>
          <w:color w:val="003CA0"/>
          <w:sz w:val="12"/>
        </w:rPr>
        <w:t xml:space="preserve"> | ADI 4.075</w:t>
      </w:r>
      <w:r>
        <w:rPr>
          <w:color w:val="003CA0"/>
          <w:sz w:val="12"/>
        </w:rPr>
        <w:t xml:space="preserve"> | rel. Joaquim Barbosa</w:t>
      </w:r>
    </w:p>
    <w:p>
      <w:pPr>
        <w:ind w:left="288"/>
      </w:pPr>
      <w:r>
        <w:rPr>
          <w:color w:val="1E1E1E"/>
          <w:sz w:val="18"/>
        </w:rPr>
        <w:t>Ação direta de inconstitucionalidade. Medida cautelar. Lei complementar estadual. Iniciativa do Ministério Público estadual. Emenda parlamentar. Aumento de despesa. Inconstitucionalidade formal. Fumus boni iuris e pericullum in mora. Cautelar deferida. A jurisprudência desta Corte firmou-se no sentido de que gera inconstitucionalidade formal a emenda parlamentar a projeto de lei de iniciativa do Ministério Público estadual que importa aumento de despesa. Precedentes.</w:t>
      </w:r>
    </w:p>
    <w:p>
      <w:pPr>
        <w:ind w:left="288"/>
      </w:pPr>
      <w:r>
        <w:rPr>
          <w:b/>
          <w:color w:val="003CA0"/>
          <w:sz w:val="16"/>
        </w:rPr>
        <w:t>[ADI 4.075 MC, rel. min. Joaquim Barbosa, j. 4-6-2008, P, DJE de 20-6-2008.]</w:t>
      </w:r>
    </w:p>
    <w:p>
      <w:pPr>
        <w:ind w:left="288"/>
      </w:pPr>
      <w:r>
        <w:rPr>
          <w:color w:val="8C8C8C"/>
          <w:sz w:val="12"/>
        </w:rPr>
        <w:t>cf-art-128-par-5</w:t>
      </w:r>
      <w:r>
        <w:rPr>
          <w:color w:val="003CA0"/>
          <w:sz w:val="12"/>
        </w:rPr>
        <w:t xml:space="preserve"> | ADI 4.062</w:t>
      </w:r>
      <w:r>
        <w:rPr>
          <w:color w:val="003CA0"/>
          <w:sz w:val="12"/>
        </w:rPr>
        <w:t xml:space="preserve"> | rel. Joaquim Barbosa</w:t>
      </w:r>
    </w:p>
    <w:p>
      <w:pPr>
        <w:ind w:left="288"/>
      </w:pPr>
      <w:r>
        <w:rPr>
          <w:color w:val="1E1E1E"/>
          <w:sz w:val="18"/>
        </w:rPr>
        <w:t>= ADI 4.062 MC, rel. min. Joaquim Barbosa, j. 4-6-2008, P, DJE de 20-6-2008 O art. 128, § 5º, da Constituição não substantiva reserva absoluta a lei complementar para conferir atribuições ao Ministério Público ou a cada um dos seus ramos, na União ou nos Estados-membros. A tese restritiva é elidida pelo art. 129 da Constituição, que, depois de enumerar uma série de "funções institucionais do Ministério Público", admite que a elas se acresçam a de "exercer outras funções que lhe forem conferidas, desde que compatíveis com sua finalidade, sendo-lhe vedada a representação judicial e a consultoria</w:t>
      </w:r>
    </w:p>
    <w:p>
      <w:pPr>
        <w:ind w:left="288"/>
      </w:pPr>
      <w:r>
        <w:rPr>
          <w:b/>
          <w:color w:val="003CA0"/>
          <w:sz w:val="16"/>
        </w:rPr>
        <w:t>[ADI 2.794, rel. min. Sepúlveda Pertence, j. 14-12-2006, P, DJ de 30-3-2007.]</w:t>
      </w:r>
    </w:p>
    <w:p>
      <w:pPr>
        <w:ind w:left="288"/>
      </w:pPr>
      <w:r>
        <w:rPr>
          <w:color w:val="8C8C8C"/>
          <w:sz w:val="12"/>
        </w:rPr>
        <w:t>cf-art-128-par-5</w:t>
      </w:r>
      <w:r>
        <w:rPr>
          <w:color w:val="003CA0"/>
          <w:sz w:val="12"/>
        </w:rPr>
        <w:t xml:space="preserve"> | ADI 852</w:t>
      </w:r>
      <w:r>
        <w:rPr>
          <w:color w:val="003CA0"/>
          <w:sz w:val="12"/>
        </w:rPr>
        <w:t xml:space="preserve"> | rel. Ilmar Galvão</w:t>
      </w:r>
    </w:p>
    <w:p>
      <w:pPr>
        <w:ind w:left="288"/>
      </w:pPr>
      <w:r>
        <w:rPr>
          <w:color w:val="1E1E1E"/>
          <w:sz w:val="18"/>
        </w:rPr>
        <w:t>A atribuição, exclusivamente ao chefe do Poder Executivo estadual, da iniciativa do projeto de Lei Orgânica do Ministério Público, por sua vez, configura violação ao art. 128, § 5º, da CF, que faculta tal prerrogativa aos procuradores-gerais de Justiça.</w:t>
      </w:r>
    </w:p>
    <w:p>
      <w:pPr>
        <w:ind w:left="288"/>
      </w:pPr>
      <w:r>
        <w:rPr>
          <w:b/>
          <w:color w:val="003CA0"/>
          <w:sz w:val="16"/>
        </w:rPr>
        <w:t>[ADI 852, rel. min. Ilmar Galvão, j. 29-8-2002, P, DJ de 18-10-2002.]</w:t>
      </w:r>
    </w:p>
    <w:p>
      <w:pPr>
        <w:ind w:left="288"/>
      </w:pPr>
      <w:r>
        <w:rPr>
          <w:color w:val="8C8C8C"/>
          <w:sz w:val="12"/>
        </w:rPr>
        <w:t>cf-art-128-par-5</w:t>
      </w:r>
      <w:r>
        <w:rPr>
          <w:color w:val="003CA0"/>
          <w:sz w:val="12"/>
        </w:rPr>
        <w:t xml:space="preserve"> | ADI 1.138</w:t>
      </w:r>
      <w:r>
        <w:rPr>
          <w:color w:val="003CA0"/>
          <w:sz w:val="12"/>
        </w:rPr>
        <w:t xml:space="preserve"> | rel. Ilmar Galvão</w:t>
      </w:r>
    </w:p>
    <w:p>
      <w:pPr>
        <w:ind w:left="288"/>
      </w:pPr>
      <w:r>
        <w:rPr>
          <w:color w:val="1E1E1E"/>
          <w:sz w:val="18"/>
        </w:rPr>
        <w:t>Impropriedade do meio empregado para regulamentação do controle externo da atividade policial pelo Ministério Público, reservada pela Constituição à lei complementar da União e dos Estados (art. 128, § 5º), circunstância que reforça a plausibilidade da tese da arguida inconstitucionalidade formal do referido ato e evidencia a conveniência da pronta suspensão da eficácia dos dispositivos impugnados, em prol da harmonia funcional dos órgãos envolvidos.</w:t>
      </w:r>
    </w:p>
    <w:p>
      <w:pPr>
        <w:ind w:left="288"/>
      </w:pPr>
      <w:r>
        <w:rPr>
          <w:b/>
          <w:color w:val="003CA0"/>
          <w:sz w:val="16"/>
        </w:rPr>
        <w:t>[ADI 1.138 MC, rel. min. Ilmar Galvão, j. 8-3-1995, P, DJ de 16-2-1996.]</w:t>
      </w:r>
    </w:p>
    <w:p>
      <w:pPr>
        <w:ind w:left="288"/>
      </w:pPr>
      <w:r>
        <w:rPr>
          <w:color w:val="8C8C8C"/>
          <w:sz w:val="12"/>
        </w:rPr>
        <w:t>cf-art-128-par-5</w:t>
      </w:r>
      <w:r>
        <w:rPr>
          <w:color w:val="003CA0"/>
          <w:sz w:val="12"/>
        </w:rPr>
        <w:t xml:space="preserve"> | ADI 789</w:t>
      </w:r>
      <w:r>
        <w:rPr>
          <w:color w:val="003CA0"/>
          <w:sz w:val="12"/>
        </w:rPr>
        <w:t xml:space="preserve"> | rel. Celso de Mello</w:t>
      </w:r>
    </w:p>
    <w:p>
      <w:pPr>
        <w:ind w:left="288"/>
      </w:pPr>
      <w:r>
        <w:rPr>
          <w:color w:val="1E1E1E"/>
          <w:sz w:val="18"/>
        </w:rPr>
        <w:t>Só cabe lei complementar, no sistema de direito positivo brasileiro, quando formalmente reclamada a sua edição por norma constitucional explícita. A especificidade do Ministério Público que atua perante o TCU, e cuja existência se projeta num domínio institucional absolutamente diverso daquele em que se insere o MPU, faz com que a regulação de sua organização, a discriminação de suas atribuições e a definição de seu estatuto sejam passíveis de veiculação mediante simples lei ordinária, eis que a edição de lei complementar é reclamada, no que concerne ao Parquet, tão somente para a disciplinaçã</w:t>
      </w:r>
    </w:p>
    <w:p>
      <w:pPr>
        <w:ind w:left="288"/>
      </w:pPr>
      <w:r>
        <w:rPr>
          <w:b/>
          <w:color w:val="003CA0"/>
          <w:sz w:val="16"/>
        </w:rPr>
        <w:t>[ADI 789, rel. min. Celso de Mello, j. 26-5-1994, P, DJ de 19-12-1994.]</w:t>
      </w:r>
    </w:p>
    <w:p>
      <w:pPr>
        <w:ind w:left="288"/>
      </w:pPr>
      <w:r>
        <w:rPr>
          <w:color w:val="8C8C8C"/>
          <w:sz w:val="12"/>
        </w:rPr>
        <w:t>cf-art-128-par-5</w:t>
      </w:r>
      <w:r>
        <w:rPr>
          <w:color w:val="003CA0"/>
          <w:sz w:val="12"/>
        </w:rPr>
        <w:t xml:space="preserve"> | ADI 2.010</w:t>
      </w:r>
      <w:r>
        <w:rPr>
          <w:color w:val="003CA0"/>
          <w:sz w:val="12"/>
        </w:rPr>
        <w:t xml:space="preserve"> | rel. Celso de Mello</w:t>
      </w:r>
    </w:p>
    <w:p>
      <w:pPr>
        <w:ind w:left="288"/>
      </w:pPr>
      <w:r>
        <w:rPr>
          <w:color w:val="1E1E1E"/>
          <w:sz w:val="18"/>
        </w:rPr>
        <w:t>= ADI 2.010 MC, rel. min. Celso de Mello, j. 30-9-1999, P, DJ de 12-4-2002 = ADI 2.028 MC, rel. min. Moreira Alves, j. 11-11-1999, P, DJ de 16-6-2000</w:t>
      </w:r>
    </w:p>
    <w:p>
      <w:pPr>
        <w:ind w:left="144"/>
      </w:pPr>
      <w:r>
        <w:rPr>
          <w:b/>
          <w:color w:val="B45A00"/>
          <w:sz w:val="16"/>
        </w:rPr>
        <w:t>JULGADOS CORRELATOS</w:t>
      </w:r>
    </w:p>
    <w:p>
      <w:pPr>
        <w:ind w:left="288"/>
      </w:pPr>
      <w:r>
        <w:rPr>
          <w:color w:val="8C8C8C"/>
          <w:sz w:val="12"/>
        </w:rPr>
        <w:t>cf-art-128-par-5</w:t>
      </w:r>
      <w:r>
        <w:rPr>
          <w:color w:val="003CA0"/>
          <w:sz w:val="12"/>
        </w:rPr>
        <w:t xml:space="preserve"> | MS 34.472</w:t>
      </w:r>
      <w:r>
        <w:rPr>
          <w:color w:val="003CA0"/>
          <w:sz w:val="12"/>
        </w:rPr>
        <w:t xml:space="preserve"> | rel. Dias Toffoli</w:t>
      </w:r>
    </w:p>
    <w:p>
      <w:pPr>
        <w:ind w:left="288"/>
      </w:pPr>
      <w:r>
        <w:rPr>
          <w:color w:val="1E1E1E"/>
          <w:sz w:val="18"/>
        </w:rPr>
        <w:t>Não compete ao CNMP ou ao Colégio de Procuradores de Justiça "revisar ato do procurador-geral, no âmbito de seu dever-poder de gestão e administração de sua unidade ministerial, que não desborde os limites da legalidade, proporcionalidade e moralidade". Inexistência de garantia constitucional ao duplo grau de jurisdição na seara administrativa. (...) Não há obrigatoriedade de previsão de recurso administrativo para revisão de decisão de autoridade, máxime quando se trata de decisão prolatada no exercício de competência discricionária e exclusiva do agente público. Não há previsão de recurso ad</w:t>
      </w:r>
    </w:p>
    <w:p>
      <w:pPr>
        <w:ind w:left="288"/>
      </w:pPr>
      <w:r>
        <w:rPr>
          <w:color w:val="8C8C8C"/>
          <w:sz w:val="12"/>
        </w:rPr>
        <w:t>cf-art-128-par-5-inc-I-ali-a</w:t>
      </w:r>
      <w:r>
        <w:rPr>
          <w:color w:val="003CA0"/>
          <w:sz w:val="12"/>
        </w:rPr>
        <w:t xml:space="preserve"> | RE 1.571.686</w:t>
      </w:r>
      <w:r>
        <w:rPr>
          <w:color w:val="003CA0"/>
          <w:sz w:val="12"/>
        </w:rPr>
        <w:t xml:space="preserve"> | rel. Alexandre de Moraes</w:t>
      </w:r>
    </w:p>
    <w:p>
      <w:pPr>
        <w:ind w:left="288"/>
      </w:pPr>
      <w:r>
        <w:rPr>
          <w:color w:val="1E1E1E"/>
          <w:sz w:val="18"/>
        </w:rPr>
        <w:t>A regra prevista no art. 128, §5º, I, da Constituição Federal deve ser lida no sentido de exigir, para a perda do cargo de membro do Ministério Público, após o vitaliciamento, apenas o trânsito em julgado da ação civil específica de perda do cargo, ainda que decorra da prática de fato criminoso. O art. 38, § 1º, I da Lei 8.625/1993 e o art. 157, I, da Lei Complementar 734/1993, do Estado de São Paulo, estabelecem a prática de crime incompatível com o exercício como uma das hipóteses para perda do cargo, o que pode ser reconhecido pelo juízo cível competente para conhecimento da ação proposta c</w:t>
      </w:r>
    </w:p>
    <w:p>
      <w:pPr>
        <w:ind w:left="288"/>
      </w:pPr>
      <w:r>
        <w:rPr>
          <w:b/>
          <w:color w:val="003CA0"/>
          <w:sz w:val="16"/>
        </w:rPr>
        <w:t>[RE 1.571.686 AgR, rel. min. Alexandre de Moraes, j. 18-2-2026, 1ª T, DJE de 25-2-2026.]</w:t>
      </w:r>
    </w:p>
    <w:p>
      <w:pPr>
        <w:ind w:left="288"/>
      </w:pPr>
      <w:r>
        <w:rPr>
          <w:color w:val="8C8C8C"/>
          <w:sz w:val="12"/>
        </w:rPr>
        <w:t>cf-art-128-par-5-inc-I-ali-a</w:t>
      </w:r>
      <w:r>
        <w:rPr>
          <w:color w:val="003CA0"/>
          <w:sz w:val="12"/>
        </w:rPr>
        <w:t xml:space="preserve"> | MS 31.523</w:t>
      </w:r>
      <w:r>
        <w:rPr>
          <w:color w:val="003CA0"/>
          <w:sz w:val="12"/>
        </w:rPr>
        <w:t xml:space="preserve"> | rel. Celso de Mello</w:t>
      </w:r>
    </w:p>
    <w:p>
      <w:pPr>
        <w:ind w:left="288"/>
      </w:pPr>
      <w:r>
        <w:rPr>
          <w:color w:val="1E1E1E"/>
          <w:sz w:val="18"/>
        </w:rPr>
        <w:t>Conselho Nacional do Ministério Público. Órgão constitucional de perfil estritamente administrativo. Consequente impossibilidade jurídica de impor aos integrantes do Ministério Público da União e dos estados-membros, que gozam do predicamento constitucional da vitaliciedade (CF, art. 128, § 5º, inciso I, a), a sanção de perda do cargo. A vitaliciedade como garantia de independência funcional assegurada ao membro do Ministério Público.</w:t>
      </w:r>
    </w:p>
    <w:p>
      <w:pPr>
        <w:ind w:left="288"/>
      </w:pPr>
      <w:r>
        <w:rPr>
          <w:b/>
          <w:color w:val="003CA0"/>
          <w:sz w:val="16"/>
        </w:rPr>
        <w:t>[MS 31.523 AgR, rel. min. Celso de Mello, j. 3-10-2020, 2ª T, DJE de 8-10-2020.]</w:t>
      </w:r>
    </w:p>
    <w:p>
      <w:pPr>
        <w:ind w:left="288"/>
      </w:pPr>
      <w:r>
        <w:rPr>
          <w:color w:val="8C8C8C"/>
          <w:sz w:val="12"/>
        </w:rPr>
        <w:t>cf-art-128-par-5-inc-I-ali-a</w:t>
      </w:r>
      <w:r>
        <w:rPr>
          <w:color w:val="003CA0"/>
          <w:sz w:val="12"/>
        </w:rPr>
        <w:t xml:space="preserve"> | MS 30.493</w:t>
      </w:r>
    </w:p>
    <w:p>
      <w:pPr>
        <w:ind w:left="288"/>
      </w:pPr>
      <w:r>
        <w:rPr>
          <w:color w:val="1E1E1E"/>
          <w:sz w:val="18"/>
        </w:rPr>
        <w:t>Os membros do Ministério Público Federal possuem garantias constitucionalmente previstas, dentre elas a irredutibilidade de subsídio (artigo 128, I, c) e a vitaliciedade, só sendo possível a perda do cargo em virtude de sentença judicial transitada em julgado (artigo 128, I, a), contudo, não se pode interpretar essas garantias isoladamente, conjugando-as às demais normas constitucionalmente fixadas, dentre elas o princípio da moralidade. Assim, não é inconstitucional o disposto no artigo 208, parágrafo único, da LC 75/1993, ao prever a perda dos vencimentos e demais vantagens do cargo em razão</w:t>
      </w:r>
    </w:p>
    <w:p>
      <w:pPr>
        <w:ind w:left="288"/>
      </w:pPr>
      <w:r>
        <w:rPr>
          <w:b/>
          <w:color w:val="003CA0"/>
          <w:sz w:val="16"/>
        </w:rPr>
        <w:t>[MS 30.493, red. do ac. min. Edson Fachin, j. 16-6-2020, P, DJE de 21-9-2020.]</w:t>
      </w:r>
    </w:p>
    <w:p>
      <w:pPr>
        <w:ind w:left="288"/>
      </w:pPr>
      <w:r>
        <w:rPr>
          <w:color w:val="8C8C8C"/>
          <w:sz w:val="12"/>
        </w:rPr>
        <w:t>cf-art-128-par-5-inc-I-ali-a</w:t>
      </w:r>
      <w:r>
        <w:rPr>
          <w:color w:val="003CA0"/>
          <w:sz w:val="12"/>
        </w:rPr>
        <w:t xml:space="preserve"> | MS 23.441</w:t>
      </w:r>
    </w:p>
    <w:p>
      <w:pPr>
        <w:ind w:left="288"/>
      </w:pPr>
      <w:r>
        <w:rPr>
          <w:color w:val="1E1E1E"/>
          <w:sz w:val="18"/>
        </w:rPr>
        <w:t>Trata-se de mandado de segurança, com pedido de medida liminar, impetrado pela procuradora do trabalho (...), contra ato do PGR, que a exonerou do cargo, em consequência de sua não aprovação em estágio probatório, após decisão do Conselho Superior do MPT nesse sentido. (...) o ato do PGR impugnado neste mandado de segurança não sobrevive ao crivo jurisdicional, por qualquer um dos três fundamentos levantados pela defesa da impetrante. Trata-se de ato ilegal, em primeiro lugar, por não ter observado o dispositivo da lei complementar que prevê como consequência do inquérito administrativo a aber</w:t>
      </w:r>
    </w:p>
    <w:p>
      <w:pPr>
        <w:ind w:left="288"/>
      </w:pPr>
      <w:r>
        <w:rPr>
          <w:b/>
          <w:color w:val="003CA0"/>
          <w:sz w:val="16"/>
        </w:rPr>
        <w:t>[MS 23.441, voto do red. do ac. min. Joaquim Barbosa, j. 27-11-2008, P, DJE de 6-11-2009.]</w:t>
      </w:r>
    </w:p>
    <w:p>
      <w:pPr>
        <w:ind w:left="288"/>
      </w:pPr>
      <w:r>
        <w:rPr>
          <w:color w:val="8C8C8C"/>
          <w:sz w:val="12"/>
        </w:rPr>
        <w:t>cf-art-128-par-5-inc-I-ali-a</w:t>
      </w:r>
    </w:p>
    <w:p>
      <w:pPr>
        <w:ind w:left="288"/>
      </w:pPr>
      <w:r>
        <w:rPr>
          <w:color w:val="1E1E1E"/>
          <w:sz w:val="18"/>
        </w:rPr>
        <w:t>b) inamovibilidade, salvo por motivo de interesse público, mediante decisão do órgão colegiado competente do Ministério Público, pelo voto da maioria absoluta de seus membros, assegurada ampla defesa; (Redação da EC 45/2004)</w:t>
      </w:r>
    </w:p>
    <w:p>
      <w:pPr>
        <w:ind w:left="144"/>
      </w:pPr>
      <w:r>
        <w:rPr>
          <w:b/>
          <w:color w:val="B45A00"/>
          <w:sz w:val="16"/>
        </w:rPr>
        <w:t>CONTROLE CONCENTRADO</w:t>
      </w:r>
    </w:p>
    <w:p>
      <w:pPr>
        <w:ind w:left="288"/>
      </w:pPr>
      <w:r>
        <w:rPr>
          <w:color w:val="8C8C8C"/>
          <w:sz w:val="12"/>
        </w:rPr>
        <w:t>cf-art-128-par-5-inc-I-ali-a</w:t>
      </w:r>
      <w:r>
        <w:rPr>
          <w:color w:val="003CA0"/>
          <w:sz w:val="12"/>
        </w:rPr>
        <w:t xml:space="preserve"> | ADI 5.052</w:t>
      </w:r>
      <w:r>
        <w:rPr>
          <w:color w:val="003CA0"/>
          <w:sz w:val="12"/>
        </w:rPr>
        <w:t xml:space="preserve"> | rel. Gilmar Mendes</w:t>
      </w:r>
    </w:p>
    <w:p>
      <w:pPr>
        <w:ind w:left="288"/>
      </w:pPr>
      <w:r>
        <w:rPr>
          <w:color w:val="1E1E1E"/>
          <w:sz w:val="18"/>
        </w:rPr>
        <w:t>O deslocamento de membros das carreiras do Ministério Público da União para outro ofício, sem retorno à origem, mediante designações e redesignações bienais encerra aptidão para movimentações casuísticas, em possível afronta à garantia da inamovibilidade.</w:t>
        <w:br/>
        <w:t>[ADI 5.052, rel. min. Gilmar Mendes, j. 23-5-2022, P, DJE de 19-9-2022.]</w:t>
      </w:r>
    </w:p>
    <w:p>
      <w:pPr>
        <w:ind w:left="144"/>
      </w:pPr>
      <w:r>
        <w:rPr>
          <w:b/>
          <w:color w:val="B45A00"/>
          <w:sz w:val="16"/>
        </w:rPr>
        <w:t>JULGADOS CORRELATOS</w:t>
      </w:r>
    </w:p>
    <w:p>
      <w:pPr>
        <w:ind w:left="288"/>
      </w:pPr>
      <w:r>
        <w:rPr>
          <w:color w:val="8C8C8C"/>
          <w:sz w:val="12"/>
        </w:rPr>
        <w:t>cf-art-128-par-5-inc-I-ali-a</w:t>
      </w:r>
      <w:r>
        <w:rPr>
          <w:color w:val="003CA0"/>
          <w:sz w:val="12"/>
        </w:rPr>
        <w:t xml:space="preserve"> | RE 150.447</w:t>
      </w:r>
      <w:r>
        <w:rPr>
          <w:color w:val="003CA0"/>
          <w:sz w:val="12"/>
        </w:rPr>
        <w:t xml:space="preserve"> | rel. Ilmar Galvão</w:t>
      </w:r>
    </w:p>
    <w:p>
      <w:pPr>
        <w:ind w:left="288"/>
      </w:pPr>
      <w:r>
        <w:rPr>
          <w:color w:val="1E1E1E"/>
          <w:sz w:val="18"/>
        </w:rPr>
        <w:t>Os membros do MPDFT têm assegurada a garantia da inamovibilidade, de forma expressa, desde 1946 (CF/1946, art. 127; CF/1967, art. 138, § 1º; EC 1/1969, art. 95, § 1º; CF/1988, art. 128, § 5º, I, b). A LC 75/1993, na esteira do que já haviam disposto a Lei 3.754/1960 (art. 42, § 3º) e a Lei 7.567/1986 (art. 31), definiu os ofícios, nas promotorias de justiça, como "unidades de lotação" do MPDFT, tornando desnecessária a criação de cargos, tida pelo acórdão recorrido como pressuposto da aplicação da garantia sob enfoque, nessa unidade federada. Ato administrativo que, por destoar dessa orientaçã</w:t>
      </w:r>
    </w:p>
    <w:p>
      <w:pPr>
        <w:ind w:left="288"/>
      </w:pPr>
      <w:r>
        <w:rPr>
          <w:b/>
          <w:color w:val="003CA0"/>
          <w:sz w:val="16"/>
        </w:rPr>
        <w:t>[RE 150.447, rel. min. Ilmar Galvão, j. 13-5-1997, 1ª T, DJ de 15-8-1997.]</w:t>
      </w:r>
    </w:p>
    <w:p>
      <w:pPr>
        <w:ind w:left="144"/>
      </w:pPr>
      <w:r>
        <w:rPr>
          <w:b/>
          <w:color w:val="B45A00"/>
          <w:sz w:val="16"/>
        </w:rPr>
        <w:t>CONTROLE CONCENTRADO</w:t>
      </w:r>
    </w:p>
    <w:p>
      <w:pPr>
        <w:ind w:left="288"/>
      </w:pPr>
      <w:r>
        <w:rPr>
          <w:color w:val="8C8C8C"/>
          <w:sz w:val="12"/>
        </w:rPr>
        <w:t>cf-art-128-par-5-inc-I-ali-c</w:t>
      </w:r>
      <w:r>
        <w:rPr>
          <w:color w:val="003CA0"/>
          <w:sz w:val="12"/>
        </w:rPr>
        <w:t xml:space="preserve"> | ADPF 127</w:t>
      </w:r>
      <w:r>
        <w:rPr>
          <w:color w:val="003CA0"/>
          <w:sz w:val="12"/>
        </w:rPr>
        <w:t xml:space="preserve"> | rel. Dias Toffoli</w:t>
      </w:r>
    </w:p>
    <w:p>
      <w:pPr>
        <w:ind w:left="288"/>
      </w:pPr>
      <w:r>
        <w:rPr>
          <w:color w:val="1E1E1E"/>
          <w:sz w:val="18"/>
        </w:rPr>
        <w:t xml:space="preserve">A remuneração dos servidores públicos em geral e, do mesmo modo hoje, os subsídios dos procuradores-gerais de justiça e do estado (art. 135 e art. 128, § 5º, inciso I, c, da CF/88) devem ser fixados por intermédio de lei específica, na forma do art. 37, inciso X, da Constituição Federal, na redação dada pela Emenda Constitucional 19/98. A partir da referida emenda, nos termos do art. 28, § 2º, da Constituição, a fixação da política remuneratória dos agentes políticos do Poder Executivo estadual passou a depender de lei de iniciativa da Assembleia Legislativa, permitindo a realização de sanção </w:t>
      </w:r>
    </w:p>
    <w:p>
      <w:pPr>
        <w:ind w:left="288"/>
      </w:pPr>
      <w:r>
        <w:rPr>
          <w:b/>
          <w:color w:val="003CA0"/>
          <w:sz w:val="16"/>
        </w:rPr>
        <w:t>[ADPF 127, rel. min. Dias Toffoli, j. 29-11-2021, P, DJE de 15-2-2022.]</w:t>
      </w:r>
    </w:p>
    <w:p>
      <w:pPr>
        <w:ind w:left="144"/>
      </w:pPr>
      <w:r>
        <w:rPr>
          <w:b/>
          <w:color w:val="B45A00"/>
          <w:sz w:val="16"/>
        </w:rPr>
        <w:t>JULGADOS CORRELATOS</w:t>
      </w:r>
    </w:p>
    <w:p>
      <w:pPr>
        <w:ind w:left="288"/>
      </w:pPr>
      <w:r>
        <w:rPr>
          <w:color w:val="8C8C8C"/>
          <w:sz w:val="12"/>
        </w:rPr>
        <w:t>cf-art-128-par-5-inc-I-ali-c</w:t>
      </w:r>
      <w:r>
        <w:rPr>
          <w:color w:val="003CA0"/>
          <w:sz w:val="12"/>
        </w:rPr>
        <w:t xml:space="preserve"> | MS 30.493</w:t>
      </w:r>
    </w:p>
    <w:p>
      <w:pPr>
        <w:ind w:left="288"/>
      </w:pPr>
      <w:r>
        <w:rPr>
          <w:color w:val="1E1E1E"/>
          <w:sz w:val="18"/>
        </w:rPr>
        <w:t>Os membros do Ministério Público Federal possuem garantias constitucionalmente previstas, dentre elas a irredutibilidade de subsídio (artigo 128, I, c) e a vitaliciedade, só sendo possível a perda do cargo em virtude de sentença judicial transitada em julgado (artigo 128, I, a), contudo, não se pode interpretar essas garantias isoladamente, conjugando-as às demais normas constitucionalmente fixadas, dentre elas o princípio da moralidade. Assim, não é inconstitucional o disposto no artigo 208, parágrafo único, da LC 75/1993, ao prever a perda dos vencimentos e demais vantagens do cargo em razão</w:t>
      </w:r>
    </w:p>
    <w:p>
      <w:pPr>
        <w:ind w:left="288"/>
      </w:pPr>
      <w:r>
        <w:rPr>
          <w:b/>
          <w:color w:val="003CA0"/>
          <w:sz w:val="16"/>
        </w:rPr>
        <w:t>[MS 30.493, red. do ac. min. Edson Fachin, j. 16-6-2020, P, DJE de 21-9-2020.]</w:t>
      </w:r>
    </w:p>
    <w:p>
      <w:pPr>
        <w:ind w:left="288"/>
      </w:pPr>
      <w:r>
        <w:rPr>
          <w:color w:val="8C8C8C"/>
          <w:sz w:val="12"/>
        </w:rPr>
        <w:t>cf-art-128-par-5-inc-II-ali-a</w:t>
      </w:r>
      <w:r>
        <w:rPr>
          <w:color w:val="003CA0"/>
          <w:sz w:val="12"/>
        </w:rPr>
        <w:t xml:space="preserve"> | ARE 1.524.619</w:t>
      </w:r>
      <w:r>
        <w:rPr>
          <w:color w:val="003CA0"/>
          <w:sz w:val="12"/>
        </w:rPr>
        <w:t xml:space="preserve"> | rel. Alexandre de Moraes</w:t>
      </w:r>
    </w:p>
    <w:p>
      <w:pPr>
        <w:ind w:left="288"/>
      </w:pPr>
      <w:r>
        <w:rPr>
          <w:color w:val="1E1E1E"/>
          <w:sz w:val="18"/>
        </w:rPr>
        <w:t>O Ministério Público é instituição permanente, essencial à função jurisdicional do Estado, incumbindo-lhe a defesa da ordem jurídica, do regime democrático e dos interesses sociais e individuais indisponíveis, não sendo possível sua condenação ao pagamento de despesas processuais e honorários de sucumbência, sob pena de ferimento à sua independência e autonomia.</w:t>
      </w:r>
    </w:p>
    <w:p>
      <w:pPr>
        <w:ind w:left="288"/>
      </w:pPr>
      <w:r>
        <w:rPr>
          <w:b/>
          <w:color w:val="003CA0"/>
          <w:sz w:val="16"/>
        </w:rPr>
        <w:t>[ARE 1.524.619 RG, rel. min. Alexandre de Moraes, j. 14.03.2025, P, DJE de 27.03.2025, Tema 1.382, com mérito pendente.]</w:t>
      </w:r>
    </w:p>
    <w:p>
      <w:pPr>
        <w:ind w:left="288"/>
      </w:pPr>
      <w:r>
        <w:rPr>
          <w:color w:val="8C8C8C"/>
          <w:sz w:val="12"/>
        </w:rPr>
        <w:t>cf-art-128-par-5-inc-II-ali-a</w:t>
      </w:r>
      <w:r>
        <w:rPr>
          <w:color w:val="003CA0"/>
          <w:sz w:val="12"/>
        </w:rPr>
        <w:t xml:space="preserve"> | RE 428.324</w:t>
      </w:r>
      <w:r>
        <w:rPr>
          <w:color w:val="003CA0"/>
          <w:sz w:val="12"/>
        </w:rPr>
        <w:t xml:space="preserve"> | rel. Marco Aurélio</w:t>
      </w:r>
    </w:p>
    <w:p>
      <w:pPr>
        <w:ind w:left="288"/>
      </w:pPr>
      <w:r>
        <w:rPr>
          <w:color w:val="1E1E1E"/>
          <w:sz w:val="18"/>
        </w:rPr>
        <w:t>Observem a norma do art. 128, § 5º, II, da CF. Revela ser vedado a membro do Ministério Público receber, a qualquer título e sob qualquer pretexto, honorários, percentagens ou custas processuais. Em momento algum, o dispositivo prevê o direito de a Fazenda Pública ver recolhidos aos respectivos cofres os honorários advocatícios devidos pela parte vencida em ação civil pública julgada procedente.</w:t>
      </w:r>
    </w:p>
    <w:p>
      <w:pPr>
        <w:ind w:left="288"/>
      </w:pPr>
      <w:r>
        <w:rPr>
          <w:b/>
          <w:color w:val="003CA0"/>
          <w:sz w:val="16"/>
        </w:rPr>
        <w:t>[RE 428.324, voto do rel. min. Marco Aurélio, j. 15-9-2009, 1ª T, DJE de 6-11-2009.]</w:t>
      </w:r>
    </w:p>
    <w:p>
      <w:pPr>
        <w:ind w:left="288"/>
      </w:pPr>
      <w:r>
        <w:rPr>
          <w:color w:val="8C8C8C"/>
          <w:sz w:val="12"/>
        </w:rPr>
        <w:t>cf-art-128-par-5-inc-II-ali-b</w:t>
      </w:r>
      <w:r>
        <w:rPr>
          <w:color w:val="003CA0"/>
          <w:sz w:val="12"/>
        </w:rPr>
        <w:t xml:space="preserve"> | HC 76.671</w:t>
      </w:r>
      <w:r>
        <w:rPr>
          <w:color w:val="003CA0"/>
          <w:sz w:val="12"/>
        </w:rPr>
        <w:t xml:space="preserve"> | rel. Néri da Silveira</w:t>
      </w:r>
    </w:p>
    <w:p>
      <w:pPr>
        <w:ind w:left="288"/>
      </w:pPr>
      <w:r>
        <w:rPr>
          <w:color w:val="1E1E1E"/>
          <w:sz w:val="18"/>
        </w:rPr>
        <w:t>Nas ações penais originárias, a defesa preliminar (Lei 8.038/1990, art. 4º) é atividade privativa dos advogados. Os membros do Ministério Público estão impedidos de exercer advocacia, mesmo em causa própria. São atividades incompatíveis (Lei 8.906/1994, art. 28).</w:t>
      </w:r>
    </w:p>
    <w:p>
      <w:pPr>
        <w:ind w:left="288"/>
      </w:pPr>
      <w:r>
        <w:rPr>
          <w:b/>
          <w:color w:val="003CA0"/>
          <w:sz w:val="16"/>
        </w:rPr>
        <w:t>[HC 76.671, rel. min. Néri da Silveira, j. 9-6-1998, 2ª T, DJ de 10-8-2000.]</w:t>
      </w:r>
    </w:p>
    <w:p>
      <w:pPr>
        <w:ind w:left="144"/>
      </w:pPr>
      <w:r>
        <w:rPr>
          <w:b/>
          <w:color w:val="B45A00"/>
          <w:sz w:val="16"/>
        </w:rPr>
        <w:t>CONTROLE CONCENTRADO</w:t>
      </w:r>
    </w:p>
    <w:p>
      <w:pPr>
        <w:ind w:left="288"/>
      </w:pPr>
      <w:r>
        <w:rPr>
          <w:color w:val="8C8C8C"/>
          <w:sz w:val="12"/>
        </w:rPr>
        <w:t>cf-art-128-par-5-inc-II-ali-d</w:t>
      </w:r>
      <w:r>
        <w:rPr>
          <w:color w:val="003CA0"/>
          <w:sz w:val="12"/>
        </w:rPr>
        <w:t xml:space="preserve"> | ADI 2.612</w:t>
      </w:r>
      <w:r>
        <w:rPr>
          <w:color w:val="003CA0"/>
          <w:sz w:val="12"/>
        </w:rPr>
        <w:t xml:space="preserve"> | rel. Rosa Weber</w:t>
      </w:r>
    </w:p>
    <w:p>
      <w:pPr>
        <w:ind w:left="288"/>
      </w:pPr>
      <w:r>
        <w:rPr>
          <w:color w:val="1E1E1E"/>
          <w:sz w:val="18"/>
        </w:rPr>
        <w:t>(...) Interpretação jurídica firmada no âmbito desta Corte Suprema no sentido de que os membros do Ministério Público que ingressaram nos seus quadros antes da vigência da Constituição Federal de 1988 e realizaram a opção nos termos do artigo 29, § 3º, mantiveram a prerrogativa do exercício de cargos e funções estranhos à própria carreira. A autorização conferida pelo art. 75 da LONMP é clara ao restringir a sua aplicação ao "membro do Ministério Público que tenha exercido a opção de que trata o art. 29, § 3º, do Ato das Disposições Constitucionais Transitórias". Inviabilidade de membro do Min</w:t>
      </w:r>
    </w:p>
    <w:p>
      <w:pPr>
        <w:ind w:left="288"/>
      </w:pPr>
      <w:r>
        <w:rPr>
          <w:b/>
          <w:color w:val="003CA0"/>
          <w:sz w:val="16"/>
        </w:rPr>
        <w:t>[ADI 2.612, rel. min. Rosa Weber, j. 23-11-2020, P, DJE de 3-12-2020.]</w:t>
      </w:r>
    </w:p>
    <w:p>
      <w:pPr>
        <w:ind w:left="288"/>
      </w:pPr>
      <w:r>
        <w:rPr>
          <w:color w:val="8C8C8C"/>
          <w:sz w:val="12"/>
        </w:rPr>
        <w:t>cf-art-128-par-5-inc-II-ali-d</w:t>
      </w:r>
      <w:r>
        <w:rPr>
          <w:color w:val="003CA0"/>
          <w:sz w:val="12"/>
        </w:rPr>
        <w:t xml:space="preserve"> | ADI 2.622</w:t>
      </w:r>
      <w:r>
        <w:rPr>
          <w:color w:val="003CA0"/>
          <w:sz w:val="12"/>
        </w:rPr>
        <w:t xml:space="preserve"> | rel. Cezar Peluso</w:t>
      </w:r>
    </w:p>
    <w:p>
      <w:pPr>
        <w:ind w:left="288"/>
      </w:pPr>
      <w:r>
        <w:rPr>
          <w:color w:val="1E1E1E"/>
          <w:sz w:val="18"/>
        </w:rPr>
        <w:t>Não pode norma de constituição estadual proibir nomeação de membro do Ministério Público para cargo de confiança que integre a administração da própria instituição.</w:t>
      </w:r>
    </w:p>
    <w:p>
      <w:pPr>
        <w:ind w:left="288"/>
      </w:pPr>
      <w:r>
        <w:rPr>
          <w:b/>
          <w:color w:val="003CA0"/>
          <w:sz w:val="16"/>
        </w:rPr>
        <w:t>[ADI 2.622, rel. min. Cezar Peluso, j. 10-11-2011, P, DJE de 16-2-2012.]</w:t>
      </w:r>
    </w:p>
    <w:p>
      <w:pPr>
        <w:ind w:left="288"/>
      </w:pPr>
      <w:r>
        <w:rPr>
          <w:color w:val="8C8C8C"/>
          <w:sz w:val="12"/>
        </w:rPr>
        <w:t>cf-art-128-par-5-inc-II-ali-d</w:t>
      </w:r>
      <w:r>
        <w:rPr>
          <w:color w:val="003CA0"/>
          <w:sz w:val="12"/>
        </w:rPr>
        <w:t xml:space="preserve"> | ADI 3.574</w:t>
      </w:r>
      <w:r>
        <w:rPr>
          <w:color w:val="003CA0"/>
          <w:sz w:val="12"/>
        </w:rPr>
        <w:t xml:space="preserve"> | rel. Ricardo Lewandowski</w:t>
      </w:r>
    </w:p>
    <w:p>
      <w:pPr>
        <w:ind w:left="288"/>
      </w:pPr>
      <w:r>
        <w:rPr>
          <w:color w:val="1E1E1E"/>
          <w:sz w:val="18"/>
        </w:rPr>
        <w:t>Ministério Público estadual. Exercício de outra função. (...) O afastamento de membro do Parquet para exercer outra função pública viabiliza-se apenas nas hipóteses de ocupação de cargos na administração superior do próprio Ministério Público. Os cargos de ministro, secretário de Estado ou do Distrito Federal, secretário de Município da Capital ou chefe de missão diplomática não dizem respeito à administração do Ministério Público, ensejando, inclusive, se efetivamente exercidos, indesejável vínculo de subordinação de seus ocupantes com o Executivo.</w:t>
      </w:r>
    </w:p>
    <w:p>
      <w:pPr>
        <w:ind w:left="288"/>
      </w:pPr>
      <w:r>
        <w:rPr>
          <w:b/>
          <w:color w:val="003CA0"/>
          <w:sz w:val="16"/>
        </w:rPr>
        <w:t>[ADI 3.574, rel. min. Ricardo Lewandowski, j. 16-5-2007, P, DJ de 1º-6-2007.]</w:t>
      </w:r>
    </w:p>
    <w:p>
      <w:pPr>
        <w:ind w:left="288"/>
      </w:pPr>
      <w:r>
        <w:rPr>
          <w:color w:val="8C8C8C"/>
          <w:sz w:val="12"/>
        </w:rPr>
        <w:t>cf-art-128-par-5-inc-II-ali-d</w:t>
      </w:r>
      <w:r>
        <w:rPr>
          <w:color w:val="003CA0"/>
          <w:sz w:val="12"/>
        </w:rPr>
        <w:t xml:space="preserve"> | ADPF 388</w:t>
      </w:r>
      <w:r>
        <w:rPr>
          <w:color w:val="003CA0"/>
          <w:sz w:val="12"/>
        </w:rPr>
        <w:t xml:space="preserve"> | rel. Gilmar Mendes</w:t>
      </w:r>
    </w:p>
    <w:p>
      <w:pPr>
        <w:ind w:left="288"/>
      </w:pPr>
      <w:r>
        <w:rPr>
          <w:color w:val="1E1E1E"/>
          <w:sz w:val="18"/>
        </w:rPr>
        <w:t>= ADPF 388, rel. min. Gilmar Mendes, j. 9-3-2016, P, DJE de 1º-8-2016 = MS 26.595, rel. min. Cármen Lúcia, j. 7-4-2010, P, DJE de 11-6-2010 = ADI 2.534 MC, rel. min. Maurício Corrêa, j. 15-8-2002, P, DJ de 13-6-2003</w:t>
      </w:r>
    </w:p>
    <w:p>
      <w:pPr>
        <w:ind w:left="144"/>
      </w:pPr>
      <w:r>
        <w:rPr>
          <w:b/>
          <w:color w:val="B45A00"/>
          <w:sz w:val="16"/>
        </w:rPr>
        <w:t>REPERCUSSAO GERAL</w:t>
      </w:r>
    </w:p>
    <w:p>
      <w:pPr>
        <w:ind w:left="288"/>
      </w:pPr>
      <w:r>
        <w:rPr>
          <w:color w:val="8C8C8C"/>
          <w:sz w:val="12"/>
        </w:rPr>
        <w:t>cf-art-128-par-5-inc-II-ali-e</w:t>
      </w:r>
      <w:r>
        <w:rPr>
          <w:color w:val="003CA0"/>
          <w:sz w:val="12"/>
        </w:rPr>
        <w:t xml:space="preserve"> | RE 597.994</w:t>
      </w:r>
    </w:p>
    <w:p>
      <w:pPr>
        <w:ind w:left="288"/>
      </w:pPr>
      <w:r>
        <w:rPr>
          <w:color w:val="1E1E1E"/>
          <w:sz w:val="18"/>
        </w:rPr>
        <w:t xml:space="preserve">Não há, efetivamente, direito adquirido do membro do Ministério Público a candidatar-se ao exercício de novo mandado político. </w:t>
        <w:br/>
        <w:t>[RE 597.994, red. do ac. min. Eros Grau, j. 4-6-2009, P, DJE de 28-8-2009, Tema 172, com mérito julgado.]</w:t>
      </w:r>
    </w:p>
    <w:p>
      <w:pPr>
        <w:ind w:left="720"/>
      </w:pPr>
      <w:r>
        <w:rPr>
          <w:color w:val="003366"/>
          <w:sz w:val="18"/>
        </w:rPr>
        <w:t>I – 9/10 (nove décimos), em 2029; (Incluído pela Emenda Constitucional nº 132, d</w:t>
      </w:r>
    </w:p>
    <w:p>
      <w:pPr>
        <w:ind w:left="720"/>
      </w:pPr>
      <w:r>
        <w:rPr>
          <w:color w:val="003366"/>
          <w:sz w:val="18"/>
        </w:rPr>
        <w:t xml:space="preserve">II – 8/10 (oito décimos), em 2030; (Incluído pela Emenda Constitucional nº 132, </w:t>
      </w:r>
    </w:p>
    <w:p>
      <w:pPr>
        <w:ind w:left="720"/>
      </w:pPr>
      <w:r>
        <w:rPr>
          <w:color w:val="003366"/>
          <w:sz w:val="18"/>
        </w:rPr>
        <w:t>III – 7/10 (sete décimos), em 2031; (Incluído pela Emenda Constitucional nº 132,</w:t>
      </w:r>
    </w:p>
    <w:p>
      <w:pPr>
        <w:ind w:left="720"/>
      </w:pPr>
      <w:r>
        <w:rPr>
          <w:color w:val="003366"/>
          <w:sz w:val="18"/>
        </w:rPr>
        <w:t xml:space="preserve">IV – 6/10 (seis décimos), em 2032. (Incluído pela Emenda Constitucional nº 132, </w:t>
      </w:r>
    </w:p>
    <w:p>
      <w:pPr>
        <w:ind w:left="432"/>
      </w:pPr>
      <w:r>
        <w:rPr>
          <w:color w:val="003366"/>
          <w:sz w:val="18"/>
        </w:rPr>
        <w:t>§ 1 Os benefícios ou os incentivos fiscais ou financeiros relativos aos impostos</w:t>
      </w:r>
    </w:p>
    <w:p>
      <w:pPr>
        <w:ind w:left="432"/>
      </w:pPr>
      <w:r>
        <w:rPr>
          <w:color w:val="003366"/>
          <w:sz w:val="18"/>
        </w:rPr>
        <w:t>§ 2 Os benefícios e incentivos fiscais ou financeiros referidos no art. 3º da Le</w:t>
      </w:r>
    </w:p>
    <w:p>
      <w:pPr>
        <w:ind w:left="432"/>
      </w:pPr>
      <w:r>
        <w:rPr>
          <w:color w:val="003366"/>
          <w:sz w:val="18"/>
        </w:rPr>
        <w:t>§ 3 Ficam mantidos em sua integralidade, até 31 de dezembro de 2032, os percentu</w:t>
      </w:r>
    </w:p>
    <w:p>
      <w:r>
        <w:rPr>
          <w:b/>
          <w:color w:val="003366"/>
          <w:sz w:val="20"/>
        </w:rPr>
        <w:t xml:space="preserve">Art. 129 Ficam extintos, a partir de 2033, os impostos previstos nos arts. 155, </w:t>
      </w:r>
      <w:r>
        <w:rPr>
          <w:color w:val="8C8C8C"/>
          <w:sz w:val="14"/>
        </w:rPr>
        <w:t xml:space="preserve">  [98 decisoes]</w:t>
      </w:r>
    </w:p>
    <w:p>
      <w:pPr>
        <w:ind w:left="144"/>
      </w:pPr>
      <w:r>
        <w:rPr>
          <w:b/>
          <w:color w:val="B45A00"/>
          <w:sz w:val="16"/>
        </w:rPr>
        <w:t>CONTROLE CONCENTRADO</w:t>
      </w:r>
    </w:p>
    <w:p>
      <w:pPr>
        <w:ind w:left="288"/>
      </w:pPr>
      <w:r>
        <w:rPr>
          <w:color w:val="8C8C8C"/>
          <w:sz w:val="12"/>
        </w:rPr>
        <w:t>cf-art-129</w:t>
      </w:r>
      <w:r>
        <w:rPr>
          <w:color w:val="003CA0"/>
          <w:sz w:val="12"/>
        </w:rPr>
        <w:t xml:space="preserve"> | ADI 3.041</w:t>
      </w:r>
      <w:r>
        <w:rPr>
          <w:color w:val="003CA0"/>
          <w:sz w:val="12"/>
        </w:rPr>
        <w:t xml:space="preserve"> | rel. Ricardo Lewandowski</w:t>
      </w:r>
    </w:p>
    <w:p>
      <w:pPr>
        <w:ind w:left="288"/>
      </w:pPr>
      <w:r>
        <w:rPr>
          <w:color w:val="1E1E1E"/>
          <w:sz w:val="18"/>
        </w:rPr>
        <w:t>Ação direta de inconstitucionalidade. Arts. 2º, 3º e 4º da Lei 11.727/2002 do Estado do Rio Grande do Sul, que dispõe sobre "a prioridade, nos procedimentos a serem adotados pelo Ministério Público, Tribunal de Contas e por outros órgãos a respeito das conclusões das comissões parlamentares de inquérito". (...) Quanto ao art. 3º da lei, que determina prioridade de apreciação nos procedimentos decorrentes de CPIs, verifico a existência de inúmeros outros processos que demandam urgência em razão dos direitos fundamentais que se encontram em jogo. As Leis federais 1.533/1951 e 9.507/1994 prioriza</w:t>
      </w:r>
    </w:p>
    <w:p>
      <w:pPr>
        <w:ind w:left="288"/>
      </w:pPr>
      <w:r>
        <w:rPr>
          <w:b/>
          <w:color w:val="003CA0"/>
          <w:sz w:val="16"/>
        </w:rPr>
        <w:t>[ADI 3.041, rel. min. Ricardo Lewandowski, j. 10-11-2011, P, DJE de 1º-2-2012.]</w:t>
      </w:r>
    </w:p>
    <w:p>
      <w:pPr>
        <w:ind w:left="288"/>
      </w:pPr>
      <w:r>
        <w:rPr>
          <w:color w:val="8C8C8C"/>
          <w:sz w:val="12"/>
        </w:rPr>
        <w:t>cf-art-129</w:t>
      </w:r>
      <w:r>
        <w:rPr>
          <w:color w:val="003CA0"/>
          <w:sz w:val="12"/>
        </w:rPr>
        <w:t xml:space="preserve"> | RE 1.537.165</w:t>
      </w:r>
      <w:r>
        <w:rPr>
          <w:color w:val="003CA0"/>
          <w:sz w:val="12"/>
        </w:rPr>
        <w:t xml:space="preserve"> | rel. Luís Roberto Barroso</w:t>
      </w:r>
    </w:p>
    <w:p>
      <w:pPr>
        <w:ind w:left="288"/>
      </w:pPr>
      <w:r>
        <w:rPr>
          <w:color w:val="1E1E1E"/>
          <w:sz w:val="18"/>
        </w:rPr>
        <w:t>Provas obtidas pelo Ministério Público por requisição de relatórios de inteligência financeira ou de procedimentos fiscalizatórios da Receita, sem autorização judicial e/ou sem a prévia instauração de procedimento de investigação formal.</w:t>
      </w:r>
    </w:p>
    <w:p>
      <w:pPr>
        <w:ind w:left="288"/>
      </w:pPr>
      <w:r>
        <w:rPr>
          <w:b/>
          <w:color w:val="003CA0"/>
          <w:sz w:val="16"/>
        </w:rPr>
        <w:t>[RE 1.537.165 RG, rel. min. Luís Roberto Barroso, j. 06.06.2025, P, DJE de 24.06.2025, Tema 1.404, com mérito pendente.]</w:t>
      </w:r>
    </w:p>
    <w:p>
      <w:pPr>
        <w:ind w:left="144"/>
      </w:pPr>
      <w:r>
        <w:rPr>
          <w:b/>
          <w:color w:val="B45A00"/>
          <w:sz w:val="16"/>
        </w:rPr>
        <w:t>JULGADOS CORRELATOS</w:t>
      </w:r>
    </w:p>
    <w:p>
      <w:pPr>
        <w:ind w:left="288"/>
      </w:pPr>
      <w:r>
        <w:rPr>
          <w:color w:val="8C8C8C"/>
          <w:sz w:val="12"/>
        </w:rPr>
        <w:t>cf-art-129</w:t>
      </w:r>
      <w:r>
        <w:rPr>
          <w:color w:val="003CA0"/>
          <w:sz w:val="12"/>
        </w:rPr>
        <w:t xml:space="preserve"> | RE 571.969</w:t>
      </w:r>
      <w:r>
        <w:rPr>
          <w:color w:val="003CA0"/>
          <w:sz w:val="12"/>
        </w:rPr>
        <w:t xml:space="preserve"> | rel. Cármen Lúcia</w:t>
      </w:r>
    </w:p>
    <w:p>
      <w:pPr>
        <w:ind w:left="288"/>
      </w:pPr>
      <w:r>
        <w:rPr>
          <w:color w:val="1E1E1E"/>
          <w:sz w:val="18"/>
        </w:rPr>
        <w:t>Legitimidade do Ministério Público para interpor recurso extraordinário, como custos legis (§ 2º do art. 499 do CPC), harmoniza-se com as funções institucionais previstas nos arts. 127 e 129 da Constituição da República.</w:t>
      </w:r>
    </w:p>
    <w:p>
      <w:pPr>
        <w:ind w:left="288"/>
      </w:pPr>
      <w:r>
        <w:rPr>
          <w:b/>
          <w:color w:val="003CA0"/>
          <w:sz w:val="16"/>
        </w:rPr>
        <w:t>[RE 571.969, rel. min. Cármen Lúcia, j. 12-3-2014, P, DJE de 18-9-2014.]</w:t>
      </w:r>
    </w:p>
    <w:p>
      <w:pPr>
        <w:ind w:left="144"/>
      </w:pPr>
      <w:r>
        <w:rPr>
          <w:b/>
          <w:color w:val="B45A00"/>
          <w:sz w:val="16"/>
        </w:rPr>
        <w:t>REPERCUSSAO GERAL</w:t>
      </w:r>
    </w:p>
    <w:p>
      <w:pPr>
        <w:ind w:left="288"/>
      </w:pPr>
      <w:r>
        <w:rPr>
          <w:color w:val="8C8C8C"/>
          <w:sz w:val="12"/>
        </w:rPr>
        <w:t>cf-art-129-inc-I</w:t>
      </w:r>
      <w:r>
        <w:rPr>
          <w:color w:val="003CA0"/>
          <w:sz w:val="12"/>
        </w:rPr>
        <w:t xml:space="preserve"> | RE 593.443</w:t>
      </w:r>
    </w:p>
    <w:p>
      <w:pPr>
        <w:ind w:left="288"/>
      </w:pPr>
      <w:r>
        <w:rPr>
          <w:color w:val="1E1E1E"/>
          <w:sz w:val="18"/>
        </w:rPr>
        <w:t>Decisão judicial de rejeição de denúncia, impronúncia de réu, de absolvição sumária ou de trancamento de ação penal por falta de justa causa não viola a cláusula constitucional de monopólio do poder de iniciativa do Ministério Público em matéria de persecução penal e tampouco transgride o postulado do juiz natural nos procedimentos penais inerentes ao tribunal do júri.</w:t>
        <w:br/>
        <w:t>[RE 593.443, red. do ac. min. Ricardo Lewandowski, j. 6-6-2013, P, DJE de 22-5-2014, Tema 154, com mérito julgado.]</w:t>
      </w:r>
    </w:p>
    <w:p>
      <w:pPr>
        <w:ind w:left="144"/>
      </w:pPr>
      <w:r>
        <w:rPr>
          <w:b/>
          <w:color w:val="B45A00"/>
          <w:sz w:val="16"/>
        </w:rPr>
        <w:t>JULGADOS CORRELATOS</w:t>
      </w:r>
    </w:p>
    <w:p>
      <w:pPr>
        <w:ind w:left="288"/>
      </w:pPr>
      <w:r>
        <w:rPr>
          <w:color w:val="8C8C8C"/>
          <w:sz w:val="12"/>
        </w:rPr>
        <w:t>cf-art-129-inc-I</w:t>
      </w:r>
      <w:r>
        <w:rPr>
          <w:color w:val="003CA0"/>
          <w:sz w:val="12"/>
        </w:rPr>
        <w:t xml:space="preserve"> | HC 102.085</w:t>
      </w:r>
      <w:r>
        <w:rPr>
          <w:color w:val="003CA0"/>
          <w:sz w:val="12"/>
        </w:rPr>
        <w:t xml:space="preserve"> | rel. Cármen Lúcia</w:t>
      </w:r>
    </w:p>
    <w:p>
      <w:pPr>
        <w:ind w:left="288"/>
      </w:pPr>
      <w:r>
        <w:rPr>
          <w:color w:val="1E1E1E"/>
          <w:sz w:val="18"/>
        </w:rPr>
        <w:t>A assistente de acusação tem legitimidade para recorrer da decisão que absolve o réu nos casos em que o Ministério Público não interpõe recurso. Aplicação da Súmula 210/STF: "O assistente do Ministério Público pode recorrer, inclusive extraordinariamente, na ação penal, nos casos dos arts. 584, § 1º, e 598 do CPP". A manifestação do promotor de justiça, em alegações finais, pela absolvição da paciente e, em seu parecer, pelo não conhecimento do recurso não altera nem anula o direito da assistente de acusação recorrer da sentença absolutória.</w:t>
      </w:r>
    </w:p>
    <w:p>
      <w:pPr>
        <w:ind w:left="288"/>
      </w:pPr>
      <w:r>
        <w:rPr>
          <w:b/>
          <w:color w:val="003CA0"/>
          <w:sz w:val="16"/>
        </w:rPr>
        <w:t>[HC 102.085, rel. min. Cármen Lúcia, j. 10-6-2010, P, DJE de 27-8-2010.]</w:t>
      </w:r>
    </w:p>
    <w:p>
      <w:pPr>
        <w:ind w:left="288"/>
      </w:pPr>
      <w:r>
        <w:rPr>
          <w:color w:val="8C8C8C"/>
          <w:sz w:val="12"/>
        </w:rPr>
        <w:t>cf-art-129-inc-I</w:t>
      </w:r>
      <w:r>
        <w:rPr>
          <w:color w:val="003CA0"/>
          <w:sz w:val="12"/>
        </w:rPr>
        <w:t xml:space="preserve"> | PET 1.030</w:t>
      </w:r>
      <w:r>
        <w:rPr>
          <w:color w:val="003CA0"/>
          <w:sz w:val="12"/>
        </w:rPr>
        <w:t xml:space="preserve"> | rel. Ilmar Galvão</w:t>
      </w:r>
    </w:p>
    <w:p>
      <w:pPr>
        <w:ind w:left="288"/>
      </w:pPr>
      <w:r>
        <w:rPr>
          <w:color w:val="1E1E1E"/>
          <w:sz w:val="18"/>
        </w:rPr>
        <w:t>Vide Pet 1.030, rel. min. Ilmar Galvão, j. 24-4-1996, P, DJ de 1º-7-1996 O pedido de remessa de cópias ao PGR, para oferecimento de denúncia contra o presidente da República nestes autos, é manifestamente improcedente, visto que o autor da inicial já é a autoridade com atribuição para o oferecimento da acusação. Ademais, o pedido de que este Tribunal determine que o PGR denuncie o presidente é juridicamente impossível.</w:t>
      </w:r>
    </w:p>
    <w:p>
      <w:pPr>
        <w:ind w:left="288"/>
      </w:pPr>
      <w:r>
        <w:rPr>
          <w:b/>
          <w:color w:val="003CA0"/>
          <w:sz w:val="16"/>
        </w:rPr>
        <w:t>[AP 470 QO-quinta, rel. min. Joaquim Barbosa, j. 8-4-2010, P, DJE de 3-9-2010.]</w:t>
      </w:r>
    </w:p>
    <w:p>
      <w:pPr>
        <w:ind w:left="288"/>
      </w:pPr>
      <w:r>
        <w:rPr>
          <w:color w:val="8C8C8C"/>
          <w:sz w:val="12"/>
        </w:rPr>
        <w:t>cf-art-129-inc-I</w:t>
      </w:r>
      <w:r>
        <w:rPr>
          <w:color w:val="003CA0"/>
          <w:sz w:val="12"/>
        </w:rPr>
        <w:t xml:space="preserve"> | HC 98.237</w:t>
      </w:r>
      <w:r>
        <w:rPr>
          <w:color w:val="003CA0"/>
          <w:sz w:val="12"/>
        </w:rPr>
        <w:t xml:space="preserve"> | rel. Celso de Mello</w:t>
      </w:r>
    </w:p>
    <w:p>
      <w:pPr>
        <w:ind w:left="288"/>
      </w:pPr>
      <w:r>
        <w:rPr>
          <w:color w:val="1E1E1E"/>
          <w:sz w:val="18"/>
        </w:rPr>
        <w:t>Representação e denúncia: limitação material que resulta do fato objeto da delação postulatória. O fato que constitui objeto da representação oferecida pelo ofendido (ou, quando for o caso, por seu representante legal) traduz limitação material ao poder persecutório do Ministério Público, que não poderá, agindo ultra vires, proceder a uma indevida ampliação objetiva da delatio criminis postulatória, para, desse modo, incluir, na denúncia, outros delitos cuja perseguibilidade, embora dependente de representação, não foi nesta pleiteada por aquele que a formulou. Precedentes. A existência de div</w:t>
      </w:r>
    </w:p>
    <w:p>
      <w:pPr>
        <w:ind w:left="288"/>
      </w:pPr>
      <w:r>
        <w:rPr>
          <w:b/>
          <w:color w:val="003CA0"/>
          <w:sz w:val="16"/>
        </w:rPr>
        <w:t>[HC 98.237, rel. min. Celso de Mello, j. 15-12-2009, 2ª T, DJE de 6-8-2010.]</w:t>
      </w:r>
    </w:p>
    <w:p>
      <w:pPr>
        <w:ind w:left="288"/>
      </w:pPr>
      <w:r>
        <w:rPr>
          <w:color w:val="8C8C8C"/>
          <w:sz w:val="12"/>
        </w:rPr>
        <w:t>cf-art-129-inc-I</w:t>
      </w:r>
      <w:r>
        <w:rPr>
          <w:color w:val="003CA0"/>
          <w:sz w:val="12"/>
        </w:rPr>
        <w:t xml:space="preserve"> | RHC 81.750</w:t>
      </w:r>
      <w:r>
        <w:rPr>
          <w:color w:val="003CA0"/>
          <w:sz w:val="12"/>
        </w:rPr>
        <w:t xml:space="preserve"> | rel. Celso de Mello</w:t>
      </w:r>
    </w:p>
    <w:p>
      <w:pPr>
        <w:ind w:left="288"/>
      </w:pPr>
      <w:r>
        <w:rPr>
          <w:color w:val="1E1E1E"/>
          <w:sz w:val="18"/>
        </w:rPr>
        <w:t>Vide RHC 81.750, rel. min. Celso de Mello, j. 12-11-2002, 2ª T, DJ de 10-8-2007 Possibilidade de investigação pelo Ministério Público. Delitos praticados por policiais. (...) A presente impetração visa ao trancamento de ação penal movida em face dos pacientes, sob a alegação de falta de justa causa e de ilicitude da denúncia por estar amparada em depoimentos colhidos pelo Ministério Público. (...) É perfeitamente possível que o órgão do Ministério Público promova a colheita de determinados elementos de prova que demonstrem a existência da autoria e da materialidade de determinado delito. Tal c</w:t>
      </w:r>
    </w:p>
    <w:p>
      <w:pPr>
        <w:ind w:left="288"/>
      </w:pPr>
      <w:r>
        <w:rPr>
          <w:b/>
          <w:color w:val="003CA0"/>
          <w:sz w:val="16"/>
        </w:rPr>
        <w:t>[HC 91.661, rel. min. Ellen Gracie, j. 10-3-2009, 2ª T, DJE de 3-4-2009.]</w:t>
      </w:r>
    </w:p>
    <w:p>
      <w:pPr>
        <w:ind w:left="288"/>
      </w:pPr>
      <w:r>
        <w:rPr>
          <w:color w:val="8C8C8C"/>
          <w:sz w:val="12"/>
        </w:rPr>
        <w:t>cf-art-129-inc-I</w:t>
      </w:r>
      <w:r>
        <w:rPr>
          <w:color w:val="003CA0"/>
          <w:sz w:val="12"/>
        </w:rPr>
        <w:t xml:space="preserve"> | HC 93.930</w:t>
      </w:r>
      <w:r>
        <w:rPr>
          <w:color w:val="003CA0"/>
          <w:sz w:val="12"/>
        </w:rPr>
        <w:t xml:space="preserve"> | rel. Gilmar Mendes</w:t>
      </w:r>
    </w:p>
    <w:p>
      <w:pPr>
        <w:ind w:left="288"/>
      </w:pPr>
      <w:r>
        <w:rPr>
          <w:color w:val="1E1E1E"/>
          <w:sz w:val="18"/>
        </w:rPr>
        <w:t>= HC 93.930, rel. min. Gilmar Mendes, j. 7-12-2010, 2ª T, DJE de 3-2-2011 Capitulação do fato. Autoridade policial. Tipificação provisória. Ministério Público. Atribuições constitucionais. Ofensa ao art. 129, I, da CF/1988. Inexistência. A definição da competência para julgamento do crime, com base na tipificação provisória conferida ao fato pela autoridade policial, não enseja supressão das atribuições funcionais do Parquet. Fica resguardada a competência do Ministério Público de dar ao fato a capitulação que achar de direito quando ofertar a denúncia. Se a denúncia contemplar crimes diversos</w:t>
      </w:r>
    </w:p>
    <w:p>
      <w:pPr>
        <w:ind w:left="288"/>
      </w:pPr>
      <w:r>
        <w:rPr>
          <w:b/>
          <w:color w:val="003CA0"/>
          <w:sz w:val="16"/>
        </w:rPr>
        <w:t>[RE 497.170, rel. min. Ricardo Lewandowski, j. 13-5-2008, 1ª T, DJE de 6-6-2008.]</w:t>
      </w:r>
    </w:p>
    <w:p>
      <w:pPr>
        <w:ind w:left="288"/>
      </w:pPr>
      <w:r>
        <w:rPr>
          <w:color w:val="8C8C8C"/>
          <w:sz w:val="12"/>
        </w:rPr>
        <w:t>cf-art-129-inc-I</w:t>
      </w:r>
      <w:r>
        <w:rPr>
          <w:color w:val="003CA0"/>
          <w:sz w:val="12"/>
        </w:rPr>
        <w:t xml:space="preserve"> | INQ 2.341</w:t>
      </w:r>
      <w:r>
        <w:rPr>
          <w:color w:val="003CA0"/>
          <w:sz w:val="12"/>
        </w:rPr>
        <w:t xml:space="preserve"> | rel. Gilmar Mendes</w:t>
      </w:r>
    </w:p>
    <w:p>
      <w:pPr>
        <w:ind w:left="288"/>
      </w:pPr>
      <w:r>
        <w:rPr>
          <w:color w:val="1E1E1E"/>
          <w:sz w:val="18"/>
        </w:rPr>
        <w:t>A jurisprudência do STF assevera que o pronunciamento de arquivamento, em regra, deve ser acolhido sem que se questione ou se entre no mérito da avaliação deduzida pelo titular da ação penal. Precedentes (...). Esses julgados ressalvam, contudo, duas hipóteses em que a determinação judicial do arquivamento possa gerar coisa julgada material, a saber: prescrição da pretensão punitiva e atipicidade da conduta.</w:t>
      </w:r>
    </w:p>
    <w:p>
      <w:pPr>
        <w:ind w:left="288"/>
      </w:pPr>
      <w:r>
        <w:rPr>
          <w:b/>
          <w:color w:val="003CA0"/>
          <w:sz w:val="16"/>
        </w:rPr>
        <w:t>[Inq 2.341 QO, rel. min. Gilmar Mendes, j. 28-6-2007, P, DJ de 17-8-2007.]</w:t>
      </w:r>
    </w:p>
    <w:p>
      <w:pPr>
        <w:ind w:left="288"/>
      </w:pPr>
      <w:r>
        <w:rPr>
          <w:color w:val="8C8C8C"/>
          <w:sz w:val="12"/>
        </w:rPr>
        <w:t>cf-art-129-inc-I</w:t>
      </w:r>
      <w:r>
        <w:rPr>
          <w:color w:val="003CA0"/>
          <w:sz w:val="12"/>
        </w:rPr>
        <w:t xml:space="preserve"> | PET 3.927</w:t>
      </w:r>
      <w:r>
        <w:rPr>
          <w:color w:val="003CA0"/>
          <w:sz w:val="12"/>
        </w:rPr>
        <w:t xml:space="preserve"> | rel. Gilmar Mendes</w:t>
      </w:r>
    </w:p>
    <w:p>
      <w:pPr>
        <w:ind w:left="288"/>
      </w:pPr>
      <w:r>
        <w:rPr>
          <w:color w:val="1E1E1E"/>
          <w:sz w:val="18"/>
        </w:rPr>
        <w:t>= Pet 3.927, rel. min. Gilmar Mendes, j. 12-6-2008, P, DJE de 17-10-2008 Nos crimes contra os costumes, uma vez caracterizada a pobreza da vítima, a ação penal passa a ser pública condicionada à representação, tendo o Ministério Público legitimidade para oferecer a denúncia. Inteligência do art. 225, § 1º, do CP. Não afasta tal titularidade o fato de a vítima ter à sua disposição a Defensoria Pública estruturada e aparelhada. Opção do legislador, ao excepcionar a regra geral contida no art. 32 do CPP e possibilitar a disponibilidade da ação penal, tão somente, até o oferecimento da denúncia.</w:t>
      </w:r>
    </w:p>
    <w:p>
      <w:pPr>
        <w:ind w:left="288"/>
      </w:pPr>
      <w:r>
        <w:rPr>
          <w:b/>
          <w:color w:val="003CA0"/>
          <w:sz w:val="16"/>
        </w:rPr>
        <w:t>[RHC 88.143, rel. min. Joaquim Barbosa, j. 24-4-2007, 2ª T, DJ de 8-6-2007.]</w:t>
      </w:r>
    </w:p>
    <w:p>
      <w:pPr>
        <w:ind w:left="288"/>
      </w:pPr>
      <w:r>
        <w:rPr>
          <w:color w:val="8C8C8C"/>
          <w:sz w:val="12"/>
        </w:rPr>
        <w:t>cf-art-129-inc-I</w:t>
      </w:r>
      <w:r>
        <w:rPr>
          <w:color w:val="003CA0"/>
          <w:sz w:val="12"/>
        </w:rPr>
        <w:t xml:space="preserve"> | HC 75.343</w:t>
      </w:r>
      <w:r>
        <w:rPr>
          <w:color w:val="003CA0"/>
          <w:sz w:val="12"/>
        </w:rPr>
        <w:t xml:space="preserve"> | rel. Sepúlveda Pertence</w:t>
      </w:r>
    </w:p>
    <w:p>
      <w:pPr>
        <w:ind w:left="288"/>
      </w:pPr>
      <w:r>
        <w:rPr>
          <w:color w:val="1E1E1E"/>
          <w:sz w:val="18"/>
        </w:rPr>
        <w:t>Transação penal homologada em audiência realizada sem a presença do Ministério Público. Nulidade. Violação do art. 129, I, da CF. É da jurisprudência do STF – que a fundamentação do leading case da Súmula 696 evidencia: HC 75.343, 12-11-1997, Pertence, RTJ 177/1293 – que a imprescindibilidade do assentimento do Ministério Público, quer à suspensão condicional do processo, quer à transação penal, está conectada estreitamente à titularidade da ação penal pública, que a Constituição lhe confiou privativamente (CF, art. 129, I). Daí que a transação penal – bem como a suspensão condicional do proce</w:t>
      </w:r>
    </w:p>
    <w:p>
      <w:pPr>
        <w:ind w:left="288"/>
      </w:pPr>
      <w:r>
        <w:rPr>
          <w:b/>
          <w:color w:val="003CA0"/>
          <w:sz w:val="16"/>
        </w:rPr>
        <w:t>[RE 468.161, rel. min. Sepúlveda Pertence, j. 14-3-2006, 1ª T, DJ de 31-3-2006.]</w:t>
      </w:r>
    </w:p>
    <w:p>
      <w:pPr>
        <w:ind w:left="288"/>
      </w:pPr>
      <w:r>
        <w:rPr>
          <w:color w:val="8C8C8C"/>
          <w:sz w:val="12"/>
        </w:rPr>
        <w:t>cf-art-129-inc-I</w:t>
      </w:r>
      <w:r>
        <w:rPr>
          <w:color w:val="003CA0"/>
          <w:sz w:val="12"/>
        </w:rPr>
        <w:t xml:space="preserve"> | HC 129.346</w:t>
      </w:r>
      <w:r>
        <w:rPr>
          <w:color w:val="003CA0"/>
          <w:sz w:val="12"/>
        </w:rPr>
        <w:t xml:space="preserve"> | rel. Dias Toffoli</w:t>
      </w:r>
    </w:p>
    <w:p>
      <w:pPr>
        <w:ind w:left="288"/>
      </w:pPr>
      <w:r>
        <w:rPr>
          <w:color w:val="1E1E1E"/>
          <w:sz w:val="18"/>
        </w:rPr>
        <w:t xml:space="preserve">= HC 129.346, rel. min. Dias Toffoli, j. 5-4-2016, 2ª T, DJE de 11-5-2016 Há de se distinguir no processo penal duas formas de atuação do Ministério Público. A primeira como dominus litis e outra como custos legis. O promotor de justiça agiu como titular da ação penal ao oferecer denúncia e contrarrazões à apelação aviada. Já no Tribunal de Justiça do Estado de Minas Gerais e no STJ atuaram o procurador de justiça e o subprocurador-geral da República como fiscais da lei. Não há contraditório a ser assegurado após a manifestação ministerial, pois não houve ato de parte, e sim do fiscal da lei. </w:t>
      </w:r>
    </w:p>
    <w:p>
      <w:pPr>
        <w:ind w:left="288"/>
      </w:pPr>
      <w:r>
        <w:rPr>
          <w:b/>
          <w:color w:val="003CA0"/>
          <w:sz w:val="16"/>
        </w:rPr>
        <w:t>[HC 81.436, voto do rel. min. Néri da Silveira, j. 11-12-2001, 2ª T, DJ de 22-2-2002.]</w:t>
      </w:r>
    </w:p>
    <w:p>
      <w:pPr>
        <w:ind w:left="288"/>
      </w:pPr>
      <w:r>
        <w:rPr>
          <w:color w:val="8C8C8C"/>
          <w:sz w:val="12"/>
        </w:rPr>
        <w:t>cf-art-129-inc-I</w:t>
      </w:r>
      <w:r>
        <w:rPr>
          <w:color w:val="003CA0"/>
          <w:sz w:val="12"/>
        </w:rPr>
        <w:t xml:space="preserve"> | RHC 107.584</w:t>
      </w:r>
      <w:r>
        <w:rPr>
          <w:color w:val="003CA0"/>
          <w:sz w:val="12"/>
        </w:rPr>
        <w:t xml:space="preserve"> | rel. Luiz Fux</w:t>
      </w:r>
    </w:p>
    <w:p>
      <w:pPr>
        <w:ind w:left="288"/>
      </w:pPr>
      <w:r>
        <w:rPr>
          <w:color w:val="1E1E1E"/>
          <w:sz w:val="18"/>
        </w:rPr>
        <w:t>= RHC 107.584, rel. min. Luiz Fux, j. 14-6-2011, 1ª T, DJE de 28-9-2011 O Ministério Público não tem competência para promover inquérito administrativo em relação à conduta de servidores públicos; nem competência para produzir inquérito penal sob o argumento de que tem possibilidade de expedir notificações nos procedimentos administrativos; pode propor ação penal sem o inquérito policial, desde que disponha de elementos suficientes.</w:t>
      </w:r>
    </w:p>
    <w:p>
      <w:pPr>
        <w:ind w:left="288"/>
      </w:pPr>
      <w:r>
        <w:rPr>
          <w:b/>
          <w:color w:val="003CA0"/>
          <w:sz w:val="16"/>
        </w:rPr>
        <w:t>[RE 233.072, rel. p/ o ac. min. Nelson Jobim, j. 18-5-1999, 2ª T, DJ de 3-5-2002.]</w:t>
      </w:r>
    </w:p>
    <w:p>
      <w:pPr>
        <w:ind w:left="288"/>
      </w:pPr>
      <w:r>
        <w:rPr>
          <w:color w:val="8C8C8C"/>
          <w:sz w:val="12"/>
        </w:rPr>
        <w:t>cf-art-129-inc-I</w:t>
      </w:r>
      <w:r>
        <w:rPr>
          <w:color w:val="003CA0"/>
          <w:sz w:val="12"/>
        </w:rPr>
        <w:t xml:space="preserve"> | HC 68.739</w:t>
      </w:r>
      <w:r>
        <w:rPr>
          <w:color w:val="003CA0"/>
          <w:sz w:val="12"/>
        </w:rPr>
        <w:t xml:space="preserve"> | rel. Sepúlveda Pertence</w:t>
      </w:r>
    </w:p>
    <w:p>
      <w:pPr>
        <w:ind w:left="288"/>
      </w:pPr>
      <w:r>
        <w:rPr>
          <w:color w:val="1E1E1E"/>
          <w:sz w:val="18"/>
        </w:rPr>
        <w:t>Correição parcial (CPPM, art. 498): compatibilidade com o art. 129, I, CF, que outorgou legitimação privativa ao Ministério Público para a ação penal pública (HC 68.739, 1º-10-1991, Pertence, RTJ 138/524).</w:t>
      </w:r>
    </w:p>
    <w:p>
      <w:pPr>
        <w:ind w:left="288"/>
      </w:pPr>
      <w:r>
        <w:rPr>
          <w:b/>
          <w:color w:val="003CA0"/>
          <w:sz w:val="16"/>
        </w:rPr>
        <w:t>[HC 78.309, rel. min. Sepúlveda Pertence, j. 2-2-1999, 1ª T, DJ de 26-3-1999.]</w:t>
      </w:r>
    </w:p>
    <w:p>
      <w:pPr>
        <w:ind w:left="288"/>
      </w:pPr>
      <w:r>
        <w:rPr>
          <w:color w:val="8C8C8C"/>
          <w:sz w:val="12"/>
        </w:rPr>
        <w:t>cf-art-129-inc-I</w:t>
      </w:r>
      <w:r>
        <w:rPr>
          <w:color w:val="003CA0"/>
          <w:sz w:val="12"/>
        </w:rPr>
        <w:t xml:space="preserve"> | HC 109.047</w:t>
      </w:r>
      <w:r>
        <w:rPr>
          <w:color w:val="003CA0"/>
          <w:sz w:val="12"/>
        </w:rPr>
        <w:t xml:space="preserve"> | rel. Cármen Lúcia</w:t>
      </w:r>
    </w:p>
    <w:p>
      <w:pPr>
        <w:ind w:left="288"/>
      </w:pPr>
      <w:r>
        <w:rPr>
          <w:color w:val="1E1E1E"/>
          <w:sz w:val="18"/>
        </w:rPr>
        <w:t>= HC 109.047, rel. min. Cármen Lúcia, j. 12-11-2013, 2ª T, DJE de 20-11-2013 Recurso ordinário de habeas corpus. O art. 83 da Lei 9.430/1996 não estabelece condição de procedibilidade para a instauração da ação penal pública pelo Ministério Público, que pode antes mesmo de encerrada a instância administrativa, que é autônoma, propor a ação penal com relação aos crimes a que ele alude.</w:t>
      </w:r>
    </w:p>
    <w:p>
      <w:pPr>
        <w:ind w:left="288"/>
      </w:pPr>
      <w:r>
        <w:rPr>
          <w:b/>
          <w:color w:val="003CA0"/>
          <w:sz w:val="16"/>
        </w:rPr>
        <w:t>[RHC 77.258, rel. min. Moreira Alves, j. 23-6-1998, 1ª T, DJ de 3-9-1999.]</w:t>
      </w:r>
    </w:p>
    <w:p>
      <w:pPr>
        <w:ind w:left="288"/>
      </w:pPr>
      <w:r>
        <w:rPr>
          <w:color w:val="8C8C8C"/>
          <w:sz w:val="12"/>
        </w:rPr>
        <w:t>cf-art-129-inc-I</w:t>
      </w:r>
      <w:r>
        <w:rPr>
          <w:color w:val="003CA0"/>
          <w:sz w:val="12"/>
        </w:rPr>
        <w:t xml:space="preserve"> | RE 222.283</w:t>
      </w:r>
      <w:r>
        <w:rPr>
          <w:color w:val="003CA0"/>
          <w:sz w:val="12"/>
        </w:rPr>
        <w:t xml:space="preserve"> | rel. Octavio Gallotti</w:t>
      </w:r>
    </w:p>
    <w:p>
      <w:pPr>
        <w:ind w:left="288"/>
      </w:pPr>
      <w:r>
        <w:rPr>
          <w:color w:val="1E1E1E"/>
          <w:sz w:val="18"/>
        </w:rPr>
        <w:t>Contraria o disposto no art. 129, I, da CF a decisão judicial, que em fase anterior à própria demanda, cerceia a titularidade do Ministério Público, definindo, em caráter terminativo, a competência do juízo, só perante o qual poderá ser promovida a ação penal.</w:t>
      </w:r>
    </w:p>
    <w:p>
      <w:pPr>
        <w:ind w:left="288"/>
      </w:pPr>
      <w:r>
        <w:rPr>
          <w:b/>
          <w:color w:val="003CA0"/>
          <w:sz w:val="16"/>
        </w:rPr>
        <w:t>[RE 222.283, rel. min. Octavio Gallotti, j. 24-3-1998, 1ª T, DJ de 8-5-1998.]</w:t>
      </w:r>
    </w:p>
    <w:p>
      <w:pPr>
        <w:ind w:left="288"/>
      </w:pPr>
      <w:r>
        <w:rPr>
          <w:color w:val="8C8C8C"/>
          <w:sz w:val="12"/>
        </w:rPr>
        <w:t>cf-art-129-inc-I</w:t>
      </w:r>
      <w:r>
        <w:rPr>
          <w:color w:val="003CA0"/>
          <w:sz w:val="12"/>
        </w:rPr>
        <w:t xml:space="preserve"> | HC 67.931-5</w:t>
      </w:r>
      <w:r>
        <w:rPr>
          <w:color w:val="003CA0"/>
          <w:sz w:val="12"/>
        </w:rPr>
        <w:t xml:space="preserve"> | rel. Carlos Velloso</w:t>
      </w:r>
    </w:p>
    <w:p>
      <w:pPr>
        <w:ind w:left="288"/>
      </w:pPr>
      <w:r>
        <w:rPr>
          <w:color w:val="1E1E1E"/>
          <w:sz w:val="18"/>
        </w:rPr>
        <w:t>A ação penal pública é privativa do Ministério Público (CF, art. 129, I), admitida apenas a exceção inscrita no art. 5º, LIX, da Lei Maior. As disposições legais, que instituíam outras exceções, foram revogadas pela Constituição, porque não recepcionadas por esta. STF, Pleno, HC 67.931-5/RS. O processo das contravenções penais somente pode ter início mediante denúncia do Ministério Público. Revogação dos arts. 26 e 531, CPP, porque não recepcionados pela CF/1988, art. 129, I.</w:t>
      </w:r>
    </w:p>
    <w:p>
      <w:pPr>
        <w:ind w:left="288"/>
      </w:pPr>
      <w:r>
        <w:rPr>
          <w:b/>
          <w:color w:val="003CA0"/>
          <w:sz w:val="16"/>
        </w:rPr>
        <w:t>[RE 134.515, rel. min. Carlos Velloso, j. 13-8-1991, 2ª T, DJ de 13-9-1991.]</w:t>
      </w:r>
    </w:p>
    <w:p>
      <w:pPr>
        <w:ind w:left="288"/>
      </w:pPr>
      <w:r>
        <w:rPr>
          <w:color w:val="8C8C8C"/>
          <w:sz w:val="12"/>
        </w:rPr>
        <w:t>cf-art-129-inc-I</w:t>
      </w:r>
      <w:r>
        <w:rPr>
          <w:color w:val="003CA0"/>
          <w:sz w:val="12"/>
        </w:rPr>
        <w:t xml:space="preserve"> | HC 72.073</w:t>
      </w:r>
      <w:r>
        <w:rPr>
          <w:color w:val="003CA0"/>
          <w:sz w:val="12"/>
        </w:rPr>
        <w:t xml:space="preserve"> | rel. Carlos Velloso</w:t>
      </w:r>
    </w:p>
    <w:p>
      <w:pPr>
        <w:ind w:left="288"/>
      </w:pPr>
      <w:r>
        <w:rPr>
          <w:color w:val="1E1E1E"/>
          <w:sz w:val="18"/>
        </w:rPr>
        <w:t>= HC 72.073, rel. min. Carlos Velloso, j. 2-4-1996, 2ª T, DJ de 17-5-1996 Ação penal pública: titularidade privativa do Ministério Público (CF, art. 129, I): compatibilidade com o art. 598 do CPP, que legitima o ofendido ou seu sucessor (CPP, art. 31) para apelar, quando não o tenha feito o Ministério Público. O direito de recorrer, que nasce no processo – embora condicionado ao exercício e instrumentalmente conexo ao direito de ação, que preexiste ao processo – a ele não se pode reduzir, sem abstração das diferenças substanciais que os distinguem. Em si mesma, a titularidade privativa da ação</w:t>
      </w:r>
    </w:p>
    <w:p>
      <w:pPr>
        <w:ind w:left="288"/>
      </w:pPr>
      <w:r>
        <w:rPr>
          <w:b/>
          <w:color w:val="003CA0"/>
          <w:sz w:val="16"/>
        </w:rPr>
        <w:t>[HC 68.413, rel. min. Sepúlveda Pertence, j. 22-5-1991, P, DJ de 18-10-1991.]</w:t>
      </w:r>
    </w:p>
    <w:p>
      <w:pPr>
        <w:ind w:left="288"/>
      </w:pPr>
      <w:r>
        <w:rPr>
          <w:color w:val="8C8C8C"/>
          <w:sz w:val="12"/>
        </w:rPr>
        <w:t>cf-art-129-inc-I</w:t>
      </w:r>
      <w:r>
        <w:rPr>
          <w:color w:val="003CA0"/>
          <w:sz w:val="12"/>
        </w:rPr>
        <w:t xml:space="preserve"> | HC 68.242</w:t>
      </w:r>
      <w:r>
        <w:rPr>
          <w:color w:val="003CA0"/>
          <w:sz w:val="12"/>
        </w:rPr>
        <w:t xml:space="preserve"> | rel. Celso de Mello</w:t>
      </w:r>
    </w:p>
    <w:p>
      <w:pPr>
        <w:ind w:left="288"/>
      </w:pPr>
      <w:r>
        <w:rPr>
          <w:color w:val="1E1E1E"/>
          <w:sz w:val="18"/>
        </w:rPr>
        <w:t>O Ministério Público, nas ações penais públicas condicionadas, não está vinculado à qualificação jurídica dos fatos constantes da representação ou da requisição de que lhe haja sido dirigida. A vinculação do Ministério Público à definição jurídica que o representante ou requisitante tenha dado aos fatos é nenhuma. A formação da opinio delicti compete, exclusivamente, ao Ministério Público, em cujas funções institucionais se insere, por consciente opção do legislador constituinte, o próprio monopólio da ação penal pública (CF, art. 129, I). Dessa posição de autonomia jurídica do Ministério Públ</w:t>
      </w:r>
    </w:p>
    <w:p>
      <w:pPr>
        <w:ind w:left="288"/>
      </w:pPr>
      <w:r>
        <w:rPr>
          <w:b/>
          <w:color w:val="003CA0"/>
          <w:sz w:val="16"/>
        </w:rPr>
        <w:t>[HC 68.242, rel. min. Celso de Mello, j. 6-11-1990, 1ª T, DJ de 15-3-1991.]</w:t>
      </w:r>
    </w:p>
    <w:p>
      <w:pPr>
        <w:ind w:left="288"/>
      </w:pPr>
      <w:r>
        <w:rPr>
          <w:color w:val="8C8C8C"/>
          <w:sz w:val="12"/>
        </w:rPr>
        <w:t>cf-art-129-inc-I</w:t>
      </w:r>
      <w:r>
        <w:rPr>
          <w:color w:val="003CA0"/>
          <w:sz w:val="12"/>
        </w:rPr>
        <w:t xml:space="preserve"> | HC 67.931.</w:t>
      </w:r>
      <w:r>
        <w:rPr>
          <w:color w:val="003CA0"/>
          <w:sz w:val="12"/>
        </w:rPr>
        <w:t xml:space="preserve"> | rel. Sepúlveda Pertence</w:t>
      </w:r>
    </w:p>
    <w:p>
      <w:pPr>
        <w:ind w:left="288"/>
      </w:pPr>
      <w:r>
        <w:rPr>
          <w:color w:val="1E1E1E"/>
          <w:sz w:val="18"/>
        </w:rPr>
        <w:t>Ministério Público: privatividade da ação penal pública (CF, art. 129, I): incompatibilidade com os procedimentos especiais por crime de deserção, no ponto em que prescindem da denúncia (CPPM, art. 451 e seguintes): precedente HC 67.931.</w:t>
      </w:r>
    </w:p>
    <w:p>
      <w:pPr>
        <w:ind w:left="288"/>
      </w:pPr>
      <w:r>
        <w:rPr>
          <w:b/>
          <w:color w:val="003CA0"/>
          <w:sz w:val="16"/>
        </w:rPr>
        <w:t>[HC 68.204, rel. min. Sepúlveda Pertence, j. 30-10-1990, 1ª T, DJ de 23-11-1990.]</w:t>
      </w:r>
    </w:p>
    <w:p>
      <w:pPr>
        <w:ind w:left="288"/>
      </w:pPr>
      <w:r>
        <w:rPr>
          <w:color w:val="8C8C8C"/>
          <w:sz w:val="12"/>
        </w:rPr>
        <w:t>cf-art-129-inc-II</w:t>
      </w:r>
      <w:r>
        <w:rPr>
          <w:color w:val="003CA0"/>
          <w:sz w:val="12"/>
        </w:rPr>
        <w:t xml:space="preserve"> | AC 2.836</w:t>
      </w:r>
      <w:r>
        <w:rPr>
          <w:color w:val="003CA0"/>
          <w:sz w:val="12"/>
        </w:rPr>
        <w:t xml:space="preserve"> | rel. Ayres Britto</w:t>
      </w:r>
    </w:p>
    <w:p>
      <w:pPr>
        <w:ind w:left="288"/>
      </w:pPr>
      <w:r>
        <w:rPr>
          <w:color w:val="1E1E1E"/>
          <w:sz w:val="18"/>
        </w:rPr>
        <w:t>Constitucionalmente qualificada como direito fundamental de dupla face (direito social e individual indisponível), a saúde é tema que se insere no âmbito de legitimação do Ministério Público para a propositura de ação em sua defesa.</w:t>
      </w:r>
    </w:p>
    <w:p>
      <w:pPr>
        <w:ind w:left="288"/>
      </w:pPr>
      <w:r>
        <w:rPr>
          <w:b/>
          <w:color w:val="003CA0"/>
          <w:sz w:val="16"/>
        </w:rPr>
        <w:t>[AC 2.836 MC-QO, rel. min. Ayres Britto, j. 27-3-2012, 2ª T, DJE de 26-6-2012.]</w:t>
      </w:r>
    </w:p>
    <w:p>
      <w:pPr>
        <w:ind w:left="288"/>
      </w:pPr>
      <w:r>
        <w:rPr>
          <w:color w:val="8C8C8C"/>
          <w:sz w:val="12"/>
        </w:rPr>
        <w:t>cf-art-129-inc-II</w:t>
      </w:r>
      <w:r>
        <w:rPr>
          <w:color w:val="003CA0"/>
          <w:sz w:val="12"/>
        </w:rPr>
        <w:t xml:space="preserve"> | AI 759.543</w:t>
      </w:r>
      <w:r>
        <w:rPr>
          <w:color w:val="003CA0"/>
          <w:sz w:val="12"/>
        </w:rPr>
        <w:t xml:space="preserve"> | rel. Celso de Mello</w:t>
      </w:r>
    </w:p>
    <w:p>
      <w:pPr>
        <w:ind w:left="288"/>
      </w:pPr>
      <w:r>
        <w:rPr>
          <w:color w:val="1E1E1E"/>
          <w:sz w:val="18"/>
        </w:rPr>
        <w:t xml:space="preserve">= AI 759.543 AgR, rel. min. Celso de Mello, j. 17-12-2013, 2ª T, DJE de 12-2-2014 Legitimidade do órgão ministerial público para promover as medidas necessárias à efetivação de todos os direitos assegurados pela Constituição, inclusive o controle externo da atividade policial (incisos II e VII do art. 129 da CF/1988). Tanto que a Constituição da República habilitou o Ministério Público a sair em defesa da ordem jurídica. Pelo que é da sua natureza mesma investigar fatos, documentos e pessoas. Noutros termos: não se tolera, sob a Magna Carta de 1988, condicionar ao exclusivo impulso da polícia </w:t>
      </w:r>
    </w:p>
    <w:p>
      <w:pPr>
        <w:ind w:left="288"/>
      </w:pPr>
      <w:r>
        <w:rPr>
          <w:b/>
          <w:color w:val="003CA0"/>
          <w:sz w:val="16"/>
        </w:rPr>
        <w:t>[HC 97.969, rel. min. Ayres Britto, j. 1º-2-2011, 2ª T, DJE de 23-5-2011.]</w:t>
      </w:r>
    </w:p>
    <w:p>
      <w:pPr>
        <w:ind w:left="288"/>
      </w:pPr>
      <w:r>
        <w:rPr>
          <w:color w:val="8C8C8C"/>
          <w:sz w:val="12"/>
        </w:rPr>
        <w:t>cf-art-129-inc-II</w:t>
      </w:r>
      <w:r>
        <w:rPr>
          <w:color w:val="003CA0"/>
          <w:sz w:val="12"/>
        </w:rPr>
        <w:t xml:space="preserve"> | RE 407.902</w:t>
      </w:r>
      <w:r>
        <w:rPr>
          <w:color w:val="003CA0"/>
          <w:sz w:val="12"/>
        </w:rPr>
        <w:t xml:space="preserve"> | rel. Marco Aurélio</w:t>
      </w:r>
    </w:p>
    <w:p>
      <w:pPr>
        <w:ind w:left="288"/>
      </w:pPr>
      <w:r>
        <w:rPr>
          <w:color w:val="1E1E1E"/>
          <w:sz w:val="18"/>
        </w:rPr>
        <w:t>O Ministério Público é parte legítima para ingressar em juízo com ação civil pública visando a compelir o Estado a fornecer medicamento indispensável à saúde de pessoa individualizada.</w:t>
      </w:r>
    </w:p>
    <w:p>
      <w:pPr>
        <w:ind w:left="288"/>
      </w:pPr>
      <w:r>
        <w:rPr>
          <w:b/>
          <w:color w:val="003CA0"/>
          <w:sz w:val="16"/>
        </w:rPr>
        <w:t>[RE 407.902, rel. min. Marco Aurélio, j. 26-5-2009, 1ª T, DJE de 28-8-2009.]</w:t>
      </w:r>
    </w:p>
    <w:p>
      <w:pPr>
        <w:ind w:left="288"/>
      </w:pPr>
      <w:r>
        <w:rPr>
          <w:color w:val="8C8C8C"/>
          <w:sz w:val="12"/>
        </w:rPr>
        <w:t>cf-art-129-inc-II</w:t>
      </w:r>
      <w:r>
        <w:rPr>
          <w:color w:val="003CA0"/>
          <w:sz w:val="12"/>
        </w:rPr>
        <w:t xml:space="preserve"> | RE 648.410</w:t>
      </w:r>
      <w:r>
        <w:rPr>
          <w:color w:val="003CA0"/>
          <w:sz w:val="12"/>
        </w:rPr>
        <w:t xml:space="preserve"> | rel. Cármen Lúcia</w:t>
      </w:r>
    </w:p>
    <w:p>
      <w:pPr>
        <w:ind w:left="288"/>
      </w:pPr>
      <w:r>
        <w:rPr>
          <w:color w:val="1E1E1E"/>
          <w:sz w:val="18"/>
        </w:rPr>
        <w:t>= RE 648.410 AgR, rel. min. Cármen Lúcia, j. 14-2-2012, 1ª T, DJE de 14-3-2012</w:t>
      </w:r>
    </w:p>
    <w:p>
      <w:pPr>
        <w:ind w:left="144"/>
      </w:pPr>
      <w:r>
        <w:rPr>
          <w:b/>
          <w:color w:val="B45A00"/>
          <w:sz w:val="16"/>
        </w:rPr>
        <w:t>SUMULA</w:t>
      </w:r>
    </w:p>
    <w:p>
      <w:pPr>
        <w:ind w:left="288"/>
      </w:pPr>
      <w:r>
        <w:rPr>
          <w:color w:val="8C8C8C"/>
          <w:sz w:val="12"/>
        </w:rPr>
        <w:t>cf-art-129-inc-III</w:t>
      </w:r>
    </w:p>
    <w:p>
      <w:pPr>
        <w:ind w:left="288"/>
      </w:pPr>
      <w:r>
        <w:rPr>
          <w:color w:val="1E1E1E"/>
          <w:sz w:val="18"/>
        </w:rPr>
        <w:t>O Ministério Público tem legitimidade para promover ação civil pública cujo fundamento seja a ilegalidade de reajuste de mensalidade escolares.</w:t>
      </w:r>
    </w:p>
    <w:p>
      <w:pPr>
        <w:ind w:left="288"/>
      </w:pPr>
      <w:r>
        <w:rPr>
          <w:b/>
          <w:color w:val="003CA0"/>
          <w:sz w:val="16"/>
        </w:rPr>
        <w:t>[Súmula 643.]</w:t>
      </w:r>
    </w:p>
    <w:p>
      <w:pPr>
        <w:ind w:left="288"/>
      </w:pPr>
      <w:r>
        <w:rPr>
          <w:color w:val="8C8C8C"/>
          <w:sz w:val="12"/>
        </w:rPr>
        <w:t>cf-art-129-inc-III</w:t>
      </w:r>
      <w:r>
        <w:rPr>
          <w:color w:val="003CA0"/>
          <w:sz w:val="12"/>
        </w:rPr>
        <w:t xml:space="preserve"> | ADI 7.580</w:t>
      </w:r>
      <w:r>
        <w:rPr>
          <w:color w:val="003CA0"/>
          <w:sz w:val="12"/>
        </w:rPr>
        <w:t xml:space="preserve"> | rel. Gilmar Mendes</w:t>
      </w:r>
    </w:p>
    <w:p>
      <w:pPr>
        <w:ind w:left="288"/>
      </w:pPr>
      <w:r>
        <w:rPr>
          <w:color w:val="1E1E1E"/>
          <w:sz w:val="18"/>
        </w:rPr>
        <w:t>Seja considerando que os direitos envolvidos nos assuntos referentes às entidades desportivas e à prática do desporto no país são de natureza difusa ou coletiva, seja considerando que os direitos em questão possuiriam caráter individual homogêneo, não se pode descaracterizar, a priori, a legitimidade do Ministério Público para ajuizamento de ações civis públicas. (...) A legitimidade do Ministério Público para atuar em assuntos referentes às entidades desportivas e à prática do desporto mostra-se ainda mais salutar no que se refere à esfera extrajudicial, tendo em vista que as medidas dessa na</w:t>
      </w:r>
    </w:p>
    <w:p>
      <w:pPr>
        <w:ind w:left="288"/>
      </w:pPr>
      <w:r>
        <w:rPr>
          <w:b/>
          <w:color w:val="003CA0"/>
          <w:sz w:val="16"/>
        </w:rPr>
        <w:t>[ADI 7.580 MC-REF, rel. min. Gilmar Mendes, j. 12.08.2025, P, DJE de 22.10.2025.]</w:t>
      </w:r>
    </w:p>
    <w:p>
      <w:pPr>
        <w:ind w:left="144"/>
      </w:pPr>
      <w:r>
        <w:rPr>
          <w:b/>
          <w:color w:val="B45A00"/>
          <w:sz w:val="16"/>
        </w:rPr>
        <w:t>REPERCUSSAO GERAL</w:t>
      </w:r>
    </w:p>
    <w:p>
      <w:pPr>
        <w:ind w:left="288"/>
      </w:pPr>
      <w:r>
        <w:rPr>
          <w:color w:val="8C8C8C"/>
          <w:sz w:val="12"/>
        </w:rPr>
        <w:t>cf-art-129-inc-III</w:t>
      </w:r>
      <w:r>
        <w:rPr>
          <w:color w:val="003CA0"/>
          <w:sz w:val="12"/>
        </w:rPr>
        <w:t xml:space="preserve"> | RE 1.010.819</w:t>
      </w:r>
    </w:p>
    <w:p>
      <w:pPr>
        <w:ind w:left="288"/>
      </w:pPr>
      <w:r>
        <w:rPr>
          <w:color w:val="1E1E1E"/>
          <w:sz w:val="18"/>
        </w:rPr>
        <w:t>O trânsito em julgado de sentença condenatória proferida em sede de ação desapropriatória não obsta a propositura de Ação Civil Pública em defesa do patrimônio público, para discutir a dominialidade do bem expropriado, ainda que já se tenha expirado o prazo para a Ação Rescisória.</w:t>
      </w:r>
    </w:p>
    <w:p>
      <w:pPr>
        <w:ind w:left="288"/>
      </w:pPr>
      <w:r>
        <w:rPr>
          <w:b/>
          <w:color w:val="003CA0"/>
          <w:sz w:val="16"/>
        </w:rPr>
        <w:t>[RE 1.010.819, red. do ac. min. Alexandre de Moraes, j. 26-5-2021, P, DJE de 29-9-2021, Tema 858, com mérito julgado.]</w:t>
      </w:r>
    </w:p>
    <w:p>
      <w:pPr>
        <w:ind w:left="288"/>
      </w:pPr>
      <w:r>
        <w:rPr>
          <w:color w:val="8C8C8C"/>
          <w:sz w:val="12"/>
        </w:rPr>
        <w:t>cf-art-129-inc-III</w:t>
      </w:r>
      <w:r>
        <w:rPr>
          <w:color w:val="003CA0"/>
          <w:sz w:val="12"/>
        </w:rPr>
        <w:t xml:space="preserve"> | RE 1.101.937</w:t>
      </w:r>
      <w:r>
        <w:rPr>
          <w:color w:val="003CA0"/>
          <w:sz w:val="12"/>
        </w:rPr>
        <w:t xml:space="preserve"> | rel. Alexandre de Moraes</w:t>
      </w:r>
    </w:p>
    <w:p>
      <w:pPr>
        <w:ind w:left="288"/>
      </w:pPr>
      <w:r>
        <w:rPr>
          <w:color w:val="1E1E1E"/>
          <w:sz w:val="18"/>
        </w:rPr>
        <w:t>I - É inconstitucional a redação do art. 16 da Lei 7.347/1985, alterada pela Lei 9.494/1997, sendo repristinada sua redação original. II - Em se tratando de ação civil pública de efeitos nacionais ou regionais, a competência deve observar o art. 93, II, da Lei 8.078/1990 (Código de Defesa do Consumidor). III - Ajuizadas múltiplas ações civis públicas de âmbito nacional ou regional e fixada a competência nos termos do item II, firma-se a prevenção do juízo que primeiro conheceu de uma delas, para o julgamento de todas as demandas conexas.</w:t>
      </w:r>
    </w:p>
    <w:p>
      <w:pPr>
        <w:ind w:left="288"/>
      </w:pPr>
      <w:r>
        <w:rPr>
          <w:b/>
          <w:color w:val="003CA0"/>
          <w:sz w:val="16"/>
        </w:rPr>
        <w:t>[RE 1.101.937, rel. min. Alexandre de Moraes, j. 4-3-2021, P. DJE de 14-6-2021, Tema 1.075, com mérito julgado.]</w:t>
      </w:r>
    </w:p>
    <w:p>
      <w:pPr>
        <w:ind w:left="288"/>
      </w:pPr>
      <w:r>
        <w:rPr>
          <w:color w:val="8C8C8C"/>
          <w:sz w:val="12"/>
        </w:rPr>
        <w:t>cf-art-129-inc-III</w:t>
      </w:r>
      <w:r>
        <w:rPr>
          <w:color w:val="003CA0"/>
          <w:sz w:val="12"/>
        </w:rPr>
        <w:t xml:space="preserve"> | RE 643.978</w:t>
      </w:r>
      <w:r>
        <w:rPr>
          <w:color w:val="003CA0"/>
          <w:sz w:val="12"/>
        </w:rPr>
        <w:t xml:space="preserve"> | rel. Alexandre de Moraes</w:t>
      </w:r>
    </w:p>
    <w:p>
      <w:pPr>
        <w:ind w:left="288"/>
      </w:pPr>
      <w:r>
        <w:rPr>
          <w:color w:val="1E1E1E"/>
          <w:sz w:val="18"/>
        </w:rPr>
        <w:t>(...) o Ministério Público tem legitimidade para a propositura de ação civil pública em defesa de direitos sociais relacionados ao FGTS.</w:t>
      </w:r>
    </w:p>
    <w:p>
      <w:pPr>
        <w:ind w:left="288"/>
      </w:pPr>
      <w:r>
        <w:rPr>
          <w:b/>
          <w:color w:val="003CA0"/>
          <w:sz w:val="16"/>
        </w:rPr>
        <w:t>[RE 643.978, rel. min. Alexandre de Moraes, j. 9-10-2019, P, DJE de 25-10-2019, Tema 850, com mérito em julgado.]</w:t>
      </w:r>
    </w:p>
    <w:p>
      <w:pPr>
        <w:ind w:left="288"/>
      </w:pPr>
      <w:r>
        <w:rPr>
          <w:color w:val="8C8C8C"/>
          <w:sz w:val="12"/>
        </w:rPr>
        <w:t>cf-art-129-inc-III</w:t>
      </w:r>
      <w:r>
        <w:rPr>
          <w:color w:val="003CA0"/>
          <w:sz w:val="12"/>
        </w:rPr>
        <w:t xml:space="preserve"> | RE 409.356</w:t>
      </w:r>
      <w:r>
        <w:rPr>
          <w:color w:val="003CA0"/>
          <w:sz w:val="12"/>
        </w:rPr>
        <w:t xml:space="preserve"> | rel. Luiz Fux</w:t>
      </w:r>
    </w:p>
    <w:p>
      <w:pPr>
        <w:ind w:left="288"/>
      </w:pPr>
      <w:r>
        <w:rPr>
          <w:color w:val="1E1E1E"/>
          <w:sz w:val="18"/>
        </w:rPr>
        <w:t>O Ministério Público tem legitimidade para ajuizar Ação Civil Pública que vise anular ato administrativo de aposentadoria que importe em lesão patrimônio público.</w:t>
        <w:br/>
        <w:t>[RE 409.356, rel. min. Luiz Fux, j. 25-10-2018, P, DJE de 29-7-2020, Tema 561, com mérito em julgado.] O Ministério Público possui legitimidade para ajuizar ação civil pública com objetivo de compelir entes federados a entregarem medicamentos a portadores de certa doença.</w:t>
      </w:r>
    </w:p>
    <w:p>
      <w:pPr>
        <w:ind w:left="288"/>
      </w:pPr>
      <w:r>
        <w:rPr>
          <w:b/>
          <w:color w:val="003CA0"/>
          <w:sz w:val="16"/>
        </w:rPr>
        <w:t>[RE 605.533, rel. min. Marco Aurélio, j. 15-8-2018, P, DJE de 12-2-2020.]</w:t>
      </w:r>
    </w:p>
    <w:p>
      <w:pPr>
        <w:ind w:left="288"/>
      </w:pPr>
      <w:r>
        <w:rPr>
          <w:color w:val="8C8C8C"/>
          <w:sz w:val="12"/>
        </w:rPr>
        <w:t>cf-art-129-inc-III</w:t>
      </w:r>
      <w:r>
        <w:rPr>
          <w:color w:val="003CA0"/>
          <w:sz w:val="12"/>
        </w:rPr>
        <w:t xml:space="preserve"> | ARE 823.347</w:t>
      </w:r>
      <w:r>
        <w:rPr>
          <w:color w:val="003CA0"/>
          <w:sz w:val="12"/>
        </w:rPr>
        <w:t xml:space="preserve"> | rel. Gilmar Mendes</w:t>
      </w:r>
    </w:p>
    <w:p>
      <w:pPr>
        <w:ind w:left="288"/>
      </w:pPr>
      <w:r>
        <w:rPr>
          <w:color w:val="1E1E1E"/>
          <w:sz w:val="18"/>
        </w:rPr>
        <w:t>A questão constitucional discutida nos autos é a possibilidade de execução das decisões de condenação patrimonial proferidas pelos tribunais de contas por iniciativa do Ministério Público, atuante ou não junto às cortes de contas, seja federal, seja estadual. (...) a jurisprudência pacificada do STF firmou-se no sentido de que a referida ação de execução pode ser proposta tão somente pelo ente público beneficiário da condenação imposta pelos tribunais de contas. (...) Por conseguinte, é ausente a legitimidade ativa do Parquet.</w:t>
      </w:r>
    </w:p>
    <w:p>
      <w:pPr>
        <w:ind w:left="288"/>
      </w:pPr>
      <w:r>
        <w:rPr>
          <w:b/>
          <w:color w:val="003CA0"/>
          <w:sz w:val="16"/>
        </w:rPr>
        <w:t>[ARE 823.347 RG, voto do rel. min. Gilmar Mendes, j. 2-10-2014, P, DJE de 28-10-2014, Tema 768, com mérito em julgado.]</w:t>
      </w:r>
    </w:p>
    <w:p>
      <w:pPr>
        <w:ind w:left="288"/>
      </w:pPr>
      <w:r>
        <w:rPr>
          <w:color w:val="8C8C8C"/>
          <w:sz w:val="12"/>
        </w:rPr>
        <w:t>cf-art-129-inc-III</w:t>
      </w:r>
      <w:r>
        <w:rPr>
          <w:color w:val="003CA0"/>
          <w:sz w:val="12"/>
        </w:rPr>
        <w:t xml:space="preserve"> | ARE 694.294</w:t>
      </w:r>
      <w:r>
        <w:rPr>
          <w:color w:val="003CA0"/>
          <w:sz w:val="12"/>
        </w:rPr>
        <w:t xml:space="preserve"> | rel. Luiz Fux</w:t>
      </w:r>
    </w:p>
    <w:p>
      <w:pPr>
        <w:ind w:left="288"/>
      </w:pPr>
      <w:r>
        <w:rPr>
          <w:color w:val="1E1E1E"/>
          <w:sz w:val="18"/>
        </w:rPr>
        <w:t>Ilegitimidade ativa ad causam do Ministério Público para, em ação civil pública, deduzir pretensão relativa à matéria tributária. Reafirmação da jurisprudência da Corte.</w:t>
        <w:br/>
        <w:t>[ARE 694.294 RG, rel. min. Luiz Fux, j. 25-4-2013, P, DJE de 17-5-2013, Tema 645, com mérito em julgado.] O Termo de Acordo de Regime Especial (TARE) não diz  respeito apenas a interesses individuais, mas alcança interesses metaindividuais, pois o ajuste pode, em tese, ser lesivo ao patrimônio público. (...) O Parquet tem legitimidade para propor ação civil pública com o objetivo de anular o Tare, em face da legitimação ad cau</w:t>
      </w:r>
    </w:p>
    <w:p>
      <w:pPr>
        <w:ind w:left="144"/>
      </w:pPr>
      <w:r>
        <w:rPr>
          <w:b/>
          <w:color w:val="B45A00"/>
          <w:sz w:val="16"/>
        </w:rPr>
        <w:t>JULGADOS CORRELATOS</w:t>
      </w:r>
    </w:p>
    <w:p>
      <w:pPr>
        <w:ind w:left="288"/>
      </w:pPr>
      <w:r>
        <w:rPr>
          <w:color w:val="8C8C8C"/>
          <w:sz w:val="12"/>
        </w:rPr>
        <w:t>cf-art-129-inc-III</w:t>
      </w:r>
      <w:r>
        <w:rPr>
          <w:color w:val="003CA0"/>
          <w:sz w:val="12"/>
        </w:rPr>
        <w:t xml:space="preserve"> | RE 1.409.154</w:t>
      </w:r>
      <w:r>
        <w:rPr>
          <w:color w:val="003CA0"/>
          <w:sz w:val="12"/>
        </w:rPr>
        <w:t xml:space="preserve"> | rel. André Mendonça</w:t>
      </w:r>
    </w:p>
    <w:p>
      <w:pPr>
        <w:ind w:left="288"/>
      </w:pPr>
      <w:r>
        <w:rPr>
          <w:color w:val="1E1E1E"/>
          <w:sz w:val="18"/>
        </w:rPr>
        <w:t>“1. O Ministério Público possui legitimidade para propor ação civil pública na defesa do patrimônio público na hipótese em que busca o ressarcimento por danos causados a empresa pública na condição de patrocinadora de entidade fechada de previdência complementar. 2. A legitimidade ministerial não é indiscriminada, sob pena de converter o Parquet em substituto processual em ação de cobrança, exigindo-se que a argumentação do órgão na causa de pedir verse sobre um ato dotado de interesse difuso e coletivo que importe em grave lesão a patrimônio público. 3. O Ministério Público não detém legitimi</w:t>
      </w:r>
    </w:p>
    <w:p>
      <w:pPr>
        <w:ind w:left="288"/>
      </w:pPr>
      <w:r>
        <w:rPr>
          <w:b/>
          <w:color w:val="003CA0"/>
          <w:sz w:val="16"/>
        </w:rPr>
        <w:t>[MS 26.969, rel. min. Luiz Fux, j. 18-11-2014, 1ª T, DJE de 12-12-2014.]</w:t>
      </w:r>
    </w:p>
    <w:p>
      <w:pPr>
        <w:ind w:left="288"/>
      </w:pPr>
      <w:r>
        <w:rPr>
          <w:color w:val="8C8C8C"/>
          <w:sz w:val="12"/>
        </w:rPr>
        <w:t>cf-art-129-inc-III</w:t>
      </w:r>
      <w:r>
        <w:rPr>
          <w:color w:val="003CA0"/>
          <w:sz w:val="12"/>
        </w:rPr>
        <w:t xml:space="preserve"> | AI 698.478</w:t>
      </w:r>
      <w:r>
        <w:rPr>
          <w:color w:val="003CA0"/>
          <w:sz w:val="12"/>
        </w:rPr>
        <w:t xml:space="preserve"> | rel. Joaquim Barbosa</w:t>
      </w:r>
    </w:p>
    <w:p>
      <w:pPr>
        <w:ind w:left="288"/>
      </w:pPr>
      <w:r>
        <w:rPr>
          <w:color w:val="1E1E1E"/>
          <w:sz w:val="18"/>
        </w:rPr>
        <w:t>Esta Corte (...) reconheceu a legitimidade do Ministério Público para ajuizar ação civil pública em defesa de menores.</w:t>
      </w:r>
    </w:p>
    <w:p>
      <w:pPr>
        <w:ind w:left="288"/>
      </w:pPr>
      <w:r>
        <w:rPr>
          <w:b/>
          <w:color w:val="003CA0"/>
          <w:sz w:val="16"/>
        </w:rPr>
        <w:t>[AI 698.478, rel. min. Joaquim Barbosa, j. 18-5-2012, dec. monocrática, DJE de 28-5-2012.]</w:t>
      </w:r>
    </w:p>
    <w:p>
      <w:pPr>
        <w:ind w:left="288"/>
      </w:pPr>
      <w:r>
        <w:rPr>
          <w:color w:val="8C8C8C"/>
          <w:sz w:val="12"/>
        </w:rPr>
        <w:t>cf-art-129-inc-III</w:t>
      </w:r>
      <w:r>
        <w:rPr>
          <w:color w:val="003CA0"/>
          <w:sz w:val="12"/>
        </w:rPr>
        <w:t xml:space="preserve"> | RE 603.025</w:t>
      </w:r>
      <w:r>
        <w:rPr>
          <w:color w:val="003CA0"/>
          <w:sz w:val="12"/>
        </w:rPr>
        <w:t xml:space="preserve"> | rel. Luiz Fux</w:t>
      </w:r>
    </w:p>
    <w:p>
      <w:pPr>
        <w:ind w:left="288"/>
      </w:pPr>
      <w:r>
        <w:rPr>
          <w:color w:val="1E1E1E"/>
          <w:sz w:val="18"/>
        </w:rPr>
        <w:t>O recebimento de verbas a maior, por servidores públicos federais, não legitima o Ministério Público ao ajuizamento de ação civil visando à devolução das verbas ao erário. A iniciativa cabe ao próprio titular do crédito, ao ente público, na defesa de seu patrimônio, situação em que o Ministério Público atua como custus legis.</w:t>
      </w:r>
    </w:p>
    <w:p>
      <w:pPr>
        <w:ind w:left="288"/>
      </w:pPr>
      <w:r>
        <w:rPr>
          <w:b/>
          <w:color w:val="003CA0"/>
          <w:sz w:val="16"/>
        </w:rPr>
        <w:t>[RE 603.025, rel. min. Luiz Fux, j. 29-3-2012, dec. monocrática, DJE de 10-4-2012.]</w:t>
      </w:r>
    </w:p>
    <w:p>
      <w:pPr>
        <w:ind w:left="288"/>
      </w:pPr>
      <w:r>
        <w:rPr>
          <w:color w:val="8C8C8C"/>
          <w:sz w:val="12"/>
        </w:rPr>
        <w:t>cf-art-129-inc-III</w:t>
      </w:r>
      <w:r>
        <w:rPr>
          <w:color w:val="003CA0"/>
          <w:sz w:val="12"/>
        </w:rPr>
        <w:t xml:space="preserve"> | RE 223.037</w:t>
      </w:r>
      <w:r>
        <w:rPr>
          <w:color w:val="003CA0"/>
          <w:sz w:val="12"/>
        </w:rPr>
        <w:t xml:space="preserve"> | rel. Maurício Corrêa</w:t>
      </w:r>
    </w:p>
    <w:p>
      <w:pPr>
        <w:ind w:left="288"/>
      </w:pPr>
      <w:r>
        <w:rPr>
          <w:color w:val="1E1E1E"/>
          <w:sz w:val="18"/>
        </w:rPr>
        <w:t>Vide RE 223.037, rel. min. Maurício Corrêa, j. 2-5-2002, P, DJ de 2-8-2002 Concurso. Isenção de taxa de inscrição de candidatos carentes. Ação civil pública. Legitimidade ativa ad causam do MPF. (...) A legitimação do Ministério Público para o ajuizamento de ação civil pública não se restringe à defesa dos direitos difusos e coletivos, mas também abarca a defesa dos direitos individuais homogêneos, máxime quando presente o interesse social.</w:t>
      </w:r>
    </w:p>
    <w:p>
      <w:pPr>
        <w:ind w:left="288"/>
      </w:pPr>
      <w:r>
        <w:rPr>
          <w:b/>
          <w:color w:val="003CA0"/>
          <w:sz w:val="16"/>
        </w:rPr>
        <w:t>[AI 737.104 AgR, rel. min. Luiz Fux, j. 25-10-2011, 1ª T, DJE de 17-11-2011.]</w:t>
      </w:r>
    </w:p>
    <w:p>
      <w:pPr>
        <w:ind w:left="288"/>
      </w:pPr>
      <w:r>
        <w:rPr>
          <w:color w:val="8C8C8C"/>
          <w:sz w:val="12"/>
        </w:rPr>
        <w:t>cf-art-129-inc-III</w:t>
      </w:r>
      <w:r>
        <w:rPr>
          <w:color w:val="003CA0"/>
          <w:sz w:val="12"/>
        </w:rPr>
        <w:t xml:space="preserve"> | RE 607.949</w:t>
      </w:r>
      <w:r>
        <w:rPr>
          <w:color w:val="003CA0"/>
          <w:sz w:val="12"/>
        </w:rPr>
        <w:t xml:space="preserve"> | rel. Cármen Lúcia</w:t>
      </w:r>
    </w:p>
    <w:p>
      <w:pPr>
        <w:ind w:left="288"/>
      </w:pPr>
      <w:r>
        <w:rPr>
          <w:color w:val="1E1E1E"/>
          <w:sz w:val="18"/>
        </w:rPr>
        <w:t>= RE 607.949 AgR, rel. min. Cármen Lúcia, j. 8-4-2014, 2ª T, DJE de 15-5-2014 Esta Corte fixou orientação no sentido de que o Ministério Público é parte legítima para questionar, em sede de ação civil pública, a validade de benefício fiscal concedido pelo Estado a determinada empresa.</w:t>
        <w:br/>
        <w:t>[RE 586.705 AgR, rel. min. Ricardo Lewandowski, j. 23-8-2011, 2ª T, DJE de 8-9-2011.]</w:t>
        <w:br/>
        <w:t>Vide RE 576.155, rel. min. Ricardo Lewandowski, j. 12-8-2010, P, DJE de 1º-2-2011, Tema 56 Se, contudo, o ajuizamento da ação civil pública visar, não à apreciação da validade constitucional de lei em tese, mas objetivar o julga</w:t>
      </w:r>
    </w:p>
    <w:p>
      <w:pPr>
        <w:ind w:left="288"/>
      </w:pPr>
      <w:r>
        <w:rPr>
          <w:b/>
          <w:color w:val="003CA0"/>
          <w:sz w:val="16"/>
        </w:rPr>
        <w:t>[RE 411.156, rel. min. Celso de Mello, j. 19-11-2009, dec. monocrática, DJE de 3-12-2009.]</w:t>
      </w:r>
    </w:p>
    <w:p>
      <w:pPr>
        <w:ind w:left="288"/>
      </w:pPr>
      <w:r>
        <w:rPr>
          <w:color w:val="8C8C8C"/>
          <w:sz w:val="12"/>
        </w:rPr>
        <w:t>cf-art-129-inc-III</w:t>
      </w:r>
      <w:r>
        <w:rPr>
          <w:color w:val="003CA0"/>
          <w:sz w:val="12"/>
        </w:rPr>
        <w:t xml:space="preserve"> | RE 233.585</w:t>
      </w:r>
      <w:r>
        <w:rPr>
          <w:color w:val="003CA0"/>
          <w:sz w:val="12"/>
        </w:rPr>
        <w:t xml:space="preserve"> | rel. Celso de Mello</w:t>
      </w:r>
    </w:p>
    <w:p>
      <w:pPr>
        <w:ind w:left="288"/>
      </w:pPr>
      <w:r>
        <w:rPr>
          <w:color w:val="1E1E1E"/>
          <w:sz w:val="18"/>
        </w:rPr>
        <w:t>Mesmo, porém, que se reconheça legítima a possibilidade de o Ministério Público sujeitar-se, excepcionalmente, em sede de ação civil pública, aos ônus da sucumbência, o que me parece extremamente razoável em face dos parâmetros éticos que regem a atividade dos sujeitos processuais e que repelem a figura do improbus litigator (...), ainda assim impor-se-á a necessária demonstração de que o representante do Parquet, procedendo de maneira abusiva, agiu com "comprovada má-fé" (...).</w:t>
      </w:r>
    </w:p>
    <w:p>
      <w:pPr>
        <w:ind w:left="288"/>
      </w:pPr>
      <w:r>
        <w:rPr>
          <w:b/>
          <w:color w:val="003CA0"/>
          <w:sz w:val="16"/>
        </w:rPr>
        <w:t>[RE 233.585, rel. min. Celso de Mello, j. 9-9-2009, dec. monocrática, DJE de 28-9-2009.]</w:t>
      </w:r>
    </w:p>
    <w:p>
      <w:pPr>
        <w:ind w:left="288"/>
      </w:pPr>
      <w:r>
        <w:rPr>
          <w:color w:val="8C8C8C"/>
          <w:sz w:val="12"/>
        </w:rPr>
        <w:t>cf-art-129-inc-III</w:t>
      </w:r>
      <w:r>
        <w:rPr>
          <w:color w:val="003CA0"/>
          <w:sz w:val="12"/>
        </w:rPr>
        <w:t xml:space="preserve"> | ACO 1.233</w:t>
      </w:r>
      <w:r>
        <w:rPr>
          <w:color w:val="003CA0"/>
          <w:sz w:val="12"/>
        </w:rPr>
        <w:t xml:space="preserve"> | rel. Menezes Direito</w:t>
      </w:r>
    </w:p>
    <w:p>
      <w:pPr>
        <w:ind w:left="288"/>
      </w:pPr>
      <w:r>
        <w:rPr>
          <w:color w:val="1E1E1E"/>
          <w:sz w:val="18"/>
        </w:rPr>
        <w:t>Ação cível originária. Conflito de atribuição. MPF. Ministério Público estadual. (...) A investigação envolve possíveis atos de improbidade administrativa cometidos por agentes públicos no âmbito da sociedade de economia mista federal, no tocante à falta de definição de prazos em contratos de permissão de uso e à utilização de critérios subjetivos para a prorrogação de contratos. A situação descrita não se enquadra nas hipóteses de defesa do patrimônio nacional ou dos direitos constitucionais do cidadão, previstas na LC 75/1993 e capazes de justificar a atuação do MPF.</w:t>
      </w:r>
    </w:p>
    <w:p>
      <w:pPr>
        <w:ind w:left="288"/>
      </w:pPr>
      <w:r>
        <w:rPr>
          <w:b/>
          <w:color w:val="003CA0"/>
          <w:sz w:val="16"/>
        </w:rPr>
        <w:t>[ACO 1.233 AgR, rel. min. Menezes Direito, j. 15-4-2009, P, DJE de 28-8-2009.]</w:t>
      </w:r>
    </w:p>
    <w:p>
      <w:pPr>
        <w:ind w:left="288"/>
      </w:pPr>
      <w:r>
        <w:rPr>
          <w:color w:val="8C8C8C"/>
          <w:sz w:val="12"/>
        </w:rPr>
        <w:t>cf-art-129-inc-III</w:t>
      </w:r>
      <w:r>
        <w:rPr>
          <w:color w:val="003CA0"/>
          <w:sz w:val="12"/>
        </w:rPr>
        <w:t xml:space="preserve"> | ACO 1.673</w:t>
      </w:r>
      <w:r>
        <w:rPr>
          <w:color w:val="003CA0"/>
          <w:sz w:val="12"/>
        </w:rPr>
        <w:t xml:space="preserve"> | rel. Dias Toffoli</w:t>
      </w:r>
    </w:p>
    <w:p>
      <w:pPr>
        <w:ind w:left="288"/>
      </w:pPr>
      <w:r>
        <w:rPr>
          <w:color w:val="1E1E1E"/>
          <w:sz w:val="18"/>
        </w:rPr>
        <w:t>= ACO 1.673, rel. min. Dias Toffoli, j. 11-6-2012, dec. monocrática, DJE de 14-6-2012 Instauração de inquérito civil público. Mesmos fatos investigados em inquérito que tramita no STF. Usurpação de competência. Inocorrência das hipóteses previstas no RISTF. Reclamação julgada improcedente. Inquérito civil público instaurado pelo Ministério Público do Estado de Minas Gerais que pretende apurar eventual dano ao erário estadual, relacionado a atividades de empresas e pessoas detentoras de contrato com o governo estadual. A afirmação de que o Ministério Público do Estado de Minas Gerais estaria in</w:t>
      </w:r>
    </w:p>
    <w:p>
      <w:pPr>
        <w:ind w:left="288"/>
      </w:pPr>
      <w:r>
        <w:rPr>
          <w:b/>
          <w:color w:val="003CA0"/>
          <w:sz w:val="16"/>
        </w:rPr>
        <w:t>[Rcl 4.963, rel. min. Joaquim Barbosa, j. 4-9-2008, P, DJE de 10-10-2008.]</w:t>
      </w:r>
    </w:p>
    <w:p>
      <w:pPr>
        <w:ind w:left="288"/>
      </w:pPr>
      <w:r>
        <w:rPr>
          <w:color w:val="8C8C8C"/>
          <w:sz w:val="12"/>
        </w:rPr>
        <w:t>cf-art-129-inc-III</w:t>
      </w:r>
      <w:r>
        <w:rPr>
          <w:color w:val="003CA0"/>
          <w:sz w:val="12"/>
        </w:rPr>
        <w:t xml:space="preserve"> | RE 464.893</w:t>
      </w:r>
      <w:r>
        <w:rPr>
          <w:color w:val="003CA0"/>
          <w:sz w:val="12"/>
        </w:rPr>
        <w:t xml:space="preserve"> | rel. Joaquim Barbosa</w:t>
      </w:r>
    </w:p>
    <w:p>
      <w:pPr>
        <w:ind w:left="288"/>
      </w:pPr>
      <w:r>
        <w:rPr>
          <w:color w:val="1E1E1E"/>
          <w:sz w:val="18"/>
        </w:rPr>
        <w:t>Ministério Público. Oferecimento de denúncia com base em inquérito civil público. Viabilidade. Recurso desprovido. Denúncia oferecida com base em elementos colhidos no bojo de inquérito civil público destinado à apuração de danos ao meio ambiente. Viabilidade. O Ministério Público pode oferecer denúncia independentemente de investigação policial, desde que possua os elementos mínimos de convicção quanto à materialidade e aos indícios de autoria, como no caso (art. 46, § 1º, do CPP).</w:t>
      </w:r>
    </w:p>
    <w:p>
      <w:pPr>
        <w:ind w:left="288"/>
      </w:pPr>
      <w:r>
        <w:rPr>
          <w:b/>
          <w:color w:val="003CA0"/>
          <w:sz w:val="16"/>
        </w:rPr>
        <w:t>[RE 464.893, rel. min. Joaquim Barbosa, j. 20-5-2008, 2ª T, DJE de 1º-8-2008.]</w:t>
      </w:r>
    </w:p>
    <w:p>
      <w:pPr>
        <w:ind w:left="288"/>
      </w:pPr>
      <w:r>
        <w:rPr>
          <w:color w:val="8C8C8C"/>
          <w:sz w:val="12"/>
        </w:rPr>
        <w:t>cf-art-129-inc-III</w:t>
      </w:r>
      <w:r>
        <w:rPr>
          <w:color w:val="003CA0"/>
          <w:sz w:val="12"/>
        </w:rPr>
        <w:t xml:space="preserve"> | RE 470.135</w:t>
      </w:r>
      <w:r>
        <w:rPr>
          <w:color w:val="003CA0"/>
          <w:sz w:val="12"/>
        </w:rPr>
        <w:t xml:space="preserve"> | rel. Cezar Peluso</w:t>
      </w:r>
    </w:p>
    <w:p>
      <w:pPr>
        <w:ind w:left="288"/>
      </w:pPr>
      <w:r>
        <w:rPr>
          <w:color w:val="1E1E1E"/>
          <w:sz w:val="18"/>
        </w:rPr>
        <w:t>Legitimidade para a causa. Ativa. Caracterização. Ministério Público. Ação civil pública. Demanda sobre contratos de financiamento firmados no âmbito do Sistema Financeiro da Habitação (SFH). Tutela de direitos ou interesses individuais homogêneos. Matéria de alto relevo social. Pertinência ao perfil institucional do Ministério Público. Inteligência dos arts. 127 e 129, III e IX, da CF. Precedentes. O Ministério Público tem legitimação para ação civil pública em tutela de interesses individuais homogêneos dotados de alto relevo social, como os de mutuários em contratos de financiamento pelo SF</w:t>
      </w:r>
    </w:p>
    <w:p>
      <w:pPr>
        <w:ind w:left="288"/>
      </w:pPr>
      <w:r>
        <w:rPr>
          <w:b/>
          <w:color w:val="003CA0"/>
          <w:sz w:val="16"/>
        </w:rPr>
        <w:t>[RE 470.135 AgR-ED, rel. min. Cezar Peluso, j. 22-5-2007, 2ª T, DJ de 29-6-2007.]</w:t>
      </w:r>
    </w:p>
    <w:p>
      <w:pPr>
        <w:ind w:left="288"/>
      </w:pPr>
      <w:r>
        <w:rPr>
          <w:color w:val="8C8C8C"/>
          <w:sz w:val="12"/>
        </w:rPr>
        <w:t>cf-art-129-inc-III</w:t>
      </w:r>
      <w:r>
        <w:rPr>
          <w:color w:val="003CA0"/>
          <w:sz w:val="12"/>
        </w:rPr>
        <w:t xml:space="preserve"> | AI 637.853</w:t>
      </w:r>
      <w:r>
        <w:rPr>
          <w:color w:val="003CA0"/>
          <w:sz w:val="12"/>
        </w:rPr>
        <w:t xml:space="preserve"> | rel. Joaquim Barbosa</w:t>
      </w:r>
    </w:p>
    <w:p>
      <w:pPr>
        <w:ind w:left="288"/>
      </w:pPr>
      <w:r>
        <w:rPr>
          <w:color w:val="1E1E1E"/>
          <w:sz w:val="18"/>
        </w:rPr>
        <w:t>= AI 637.853 AgR, rel. min. Joaquim Barbosa, j. 28-8-2012, 2ª T, DJE de 17-9-2012 O Ministério Público é parte legítima na propositura de ação civil pública para questionar relação de consumo resultante de ajuste a envolver cartão de crédito.</w:t>
      </w:r>
    </w:p>
    <w:p>
      <w:pPr>
        <w:ind w:left="288"/>
      </w:pPr>
      <w:r>
        <w:rPr>
          <w:b/>
          <w:color w:val="003CA0"/>
          <w:sz w:val="16"/>
        </w:rPr>
        <w:t>[RE 441.318, rel. min. Marco Aurélio, j. 25-10-2005, 1ª T, DJ de 24-2-2006.]</w:t>
      </w:r>
    </w:p>
    <w:p>
      <w:pPr>
        <w:ind w:left="288"/>
      </w:pPr>
      <w:r>
        <w:rPr>
          <w:color w:val="8C8C8C"/>
          <w:sz w:val="12"/>
        </w:rPr>
        <w:t>cf-art-129-inc-III</w:t>
      </w:r>
      <w:r>
        <w:rPr>
          <w:color w:val="003CA0"/>
          <w:sz w:val="12"/>
        </w:rPr>
        <w:t xml:space="preserve"> | RE 244.217</w:t>
      </w:r>
      <w:r>
        <w:rPr>
          <w:color w:val="003CA0"/>
          <w:sz w:val="12"/>
        </w:rPr>
        <w:t xml:space="preserve"> | rel. Eros Grau</w:t>
      </w:r>
    </w:p>
    <w:p>
      <w:pPr>
        <w:ind w:left="288"/>
      </w:pPr>
      <w:r>
        <w:rPr>
          <w:color w:val="1E1E1E"/>
          <w:sz w:val="18"/>
        </w:rPr>
        <w:t>O Ministério Público tem legitimidade ativa para propor ação civil pública com o objetivo de evitar lesão ao patrimônio público decorrente de contratação de serviço hospitalar privado sem procedimento licitatório.</w:t>
      </w:r>
    </w:p>
    <w:p>
      <w:pPr>
        <w:ind w:left="288"/>
      </w:pPr>
      <w:r>
        <w:rPr>
          <w:b/>
          <w:color w:val="003CA0"/>
          <w:sz w:val="16"/>
        </w:rPr>
        <w:t>[RE 244.217 AgR, rel. min. Eros Grau, j. 25-10-2005, 1ª T, DJ de 25-11-2005.]</w:t>
      </w:r>
    </w:p>
    <w:p>
      <w:pPr>
        <w:ind w:left="288"/>
      </w:pPr>
      <w:r>
        <w:rPr>
          <w:color w:val="8C8C8C"/>
          <w:sz w:val="12"/>
        </w:rPr>
        <w:t>cf-art-129-inc-III</w:t>
      </w:r>
      <w:r>
        <w:rPr>
          <w:color w:val="003CA0"/>
          <w:sz w:val="12"/>
        </w:rPr>
        <w:t xml:space="preserve"> | RE 262.134</w:t>
      </w:r>
      <w:r>
        <w:rPr>
          <w:color w:val="003CA0"/>
          <w:sz w:val="12"/>
        </w:rPr>
        <w:t xml:space="preserve"> | rel. Celso de Mello</w:t>
      </w:r>
    </w:p>
    <w:p>
      <w:pPr>
        <w:ind w:left="288"/>
      </w:pPr>
      <w:r>
        <w:rPr>
          <w:color w:val="1E1E1E"/>
          <w:sz w:val="18"/>
        </w:rPr>
        <w:t>= RE 262.134 AgR, rel. min. Celso de Mello, j. 12-12-2006, 2ª T, DJ de 2-2-2007 = AI 383.919 AgR, rel. min. Sepúlveda Pertence, j. 19-2-2003, 1ª T, DJ de 11-4-2003 O Ministério Público é parte legítima para propor ação civil pública voltada a infirmar preço de passagem em transporte coletivo.</w:t>
      </w:r>
    </w:p>
    <w:p>
      <w:pPr>
        <w:ind w:left="288"/>
      </w:pPr>
      <w:r>
        <w:rPr>
          <w:b/>
          <w:color w:val="003CA0"/>
          <w:sz w:val="16"/>
        </w:rPr>
        <w:t>[RE 379.495, rel. min. Marco Aurélio, j. 11-10-2005, 1ª T, DJ de 20-4-2006.]</w:t>
      </w:r>
    </w:p>
    <w:p>
      <w:pPr>
        <w:ind w:left="288"/>
      </w:pPr>
      <w:r>
        <w:rPr>
          <w:color w:val="8C8C8C"/>
          <w:sz w:val="12"/>
        </w:rPr>
        <w:t>cf-art-129-inc-III</w:t>
      </w:r>
      <w:r>
        <w:rPr>
          <w:color w:val="003CA0"/>
          <w:sz w:val="12"/>
        </w:rPr>
        <w:t xml:space="preserve"> | RE 228.177</w:t>
      </w:r>
      <w:r>
        <w:rPr>
          <w:color w:val="003CA0"/>
          <w:sz w:val="12"/>
        </w:rPr>
        <w:t xml:space="preserve"> | rel. Gilmar Mendes</w:t>
      </w:r>
    </w:p>
    <w:p>
      <w:pPr>
        <w:ind w:left="288"/>
      </w:pPr>
      <w:r>
        <w:rPr>
          <w:color w:val="1E1E1E"/>
          <w:sz w:val="18"/>
        </w:rPr>
        <w:t>= RE 228.177, rel. min. Gilmar Mendes, j. 17-11-2009, 2ª T, DJE de 5-3-2010 Acórdão que rejeitou embargos infringentes, assentando que ação civil pública trabalhista não é o meio adequado para a defesa de interesses que não possuem natureza coletiva. Alegação de ofensa ao disposto no art. 129, III, da CF. A LC 75/1993 conferiu ao MPT legitimidade ativa, no campo da defesa dos interesses difusos e coletivos, no âmbito trabalhista.</w:t>
      </w:r>
    </w:p>
    <w:p>
      <w:pPr>
        <w:ind w:left="288"/>
      </w:pPr>
      <w:r>
        <w:rPr>
          <w:b/>
          <w:color w:val="003CA0"/>
          <w:sz w:val="16"/>
        </w:rPr>
        <w:t>[RE 213.015, rel. min. Néri da Silveira, j. 8-4-2002, 2ª T, DJ de 24-5-2002.]</w:t>
      </w:r>
    </w:p>
    <w:p>
      <w:pPr>
        <w:ind w:left="288"/>
      </w:pPr>
      <w:r>
        <w:rPr>
          <w:color w:val="8C8C8C"/>
          <w:sz w:val="12"/>
        </w:rPr>
        <w:t>cf-art-129-inc-III</w:t>
      </w:r>
      <w:r>
        <w:rPr>
          <w:color w:val="003CA0"/>
          <w:sz w:val="12"/>
        </w:rPr>
        <w:t xml:space="preserve"> | ARE 788.319</w:t>
      </w:r>
      <w:r>
        <w:rPr>
          <w:color w:val="003CA0"/>
          <w:sz w:val="12"/>
        </w:rPr>
        <w:t xml:space="preserve"> | rel. Roberto Barroso</w:t>
      </w:r>
    </w:p>
    <w:p>
      <w:pPr>
        <w:ind w:left="288"/>
      </w:pPr>
      <w:r>
        <w:rPr>
          <w:color w:val="1E1E1E"/>
          <w:sz w:val="18"/>
        </w:rPr>
        <w:t xml:space="preserve">= ARE 788.319 AgR, rel. min. Roberto Barroso, j. 14-4-2015, 1ª T, DJE de 7-5-2015 Ação civil pública para proteção do patrimônio público. art. 129, III, da CF. Legitimação extraordinária conferida ao órgão pelo dispositivo constitucional em referência, hipótese em que age como substituto processual de toda a coletividade e, consequentemente, na defesa de autêntico interesse difuso, habilitação que, de resto, não impede a iniciativa do próprio ente público na defesa de seu patrimônio, caso em que o Ministério Público intervirá como fiscal da lei, pena de nulidade da ação (art. 17, § 4º, da Lei </w:t>
      </w:r>
    </w:p>
    <w:p>
      <w:pPr>
        <w:ind w:left="288"/>
      </w:pPr>
      <w:r>
        <w:rPr>
          <w:b/>
          <w:color w:val="003CA0"/>
          <w:sz w:val="16"/>
        </w:rPr>
        <w:t>[RE 208.790, rel. min. Ilmar Galvão, j. 27-9-2000, P, DJ de 15-12-2000.]</w:t>
      </w:r>
    </w:p>
    <w:p>
      <w:pPr>
        <w:ind w:left="288"/>
      </w:pPr>
      <w:r>
        <w:rPr>
          <w:color w:val="8C8C8C"/>
          <w:sz w:val="12"/>
        </w:rPr>
        <w:t>cf-art-129-inc-III</w:t>
      </w:r>
      <w:r>
        <w:rPr>
          <w:color w:val="003CA0"/>
          <w:sz w:val="12"/>
        </w:rPr>
        <w:t xml:space="preserve"> | RE 225.777</w:t>
      </w:r>
      <w:r>
        <w:rPr>
          <w:color w:val="003CA0"/>
          <w:sz w:val="12"/>
        </w:rPr>
        <w:t xml:space="preserve"> | rel. Ilmar Galvão</w:t>
      </w:r>
    </w:p>
    <w:p>
      <w:pPr>
        <w:ind w:left="288"/>
      </w:pPr>
      <w:r>
        <w:rPr>
          <w:color w:val="1E1E1E"/>
          <w:sz w:val="18"/>
        </w:rPr>
        <w:t>= RE 225.777, red. do ac. min. Dias Toffoli, j. 24-2-2011, P, DJE de 29-8-2011 Ministério Público. Ação civil pública. Taxa de iluminação pública do Município de Rio Novo/MG. Exigibilidade impugnada por meio de ação pública, sob alegação de inconstitucionalidade. Acórdão que concluiu pelo seu não cabimento, sob invocação dos arts. 102, I, a, e 125, § 2º, da Constituição. Ausência de legitimação do Ministério Público para ações da espécie, por não configurada, no caso, a hipótese de interesses difusos, como tais considerados os pertencentes concomitantemente a todos e a cada um dos membros da s</w:t>
      </w:r>
    </w:p>
    <w:p>
      <w:pPr>
        <w:ind w:left="288"/>
      </w:pPr>
      <w:r>
        <w:rPr>
          <w:b/>
          <w:color w:val="003CA0"/>
          <w:sz w:val="16"/>
        </w:rPr>
        <w:t>[RE 213.631, rel. min. Ilmar Galvão, j. 9-12-1999, P, DJ de 7-4-2000.]</w:t>
      </w:r>
    </w:p>
    <w:p>
      <w:pPr>
        <w:ind w:left="288"/>
      </w:pPr>
      <w:r>
        <w:rPr>
          <w:color w:val="8C8C8C"/>
          <w:sz w:val="12"/>
        </w:rPr>
        <w:t>cf-art-129-inc-III</w:t>
      </w:r>
      <w:r>
        <w:rPr>
          <w:color w:val="003CA0"/>
          <w:sz w:val="12"/>
        </w:rPr>
        <w:t xml:space="preserve"> | RE 166.776</w:t>
      </w:r>
      <w:r>
        <w:rPr>
          <w:color w:val="003CA0"/>
          <w:sz w:val="12"/>
        </w:rPr>
        <w:t xml:space="preserve"> | rel. Maurício Corrêa</w:t>
      </w:r>
    </w:p>
    <w:p>
      <w:pPr>
        <w:ind w:left="288"/>
      </w:pPr>
      <w:r>
        <w:rPr>
          <w:color w:val="1E1E1E"/>
          <w:sz w:val="18"/>
        </w:rPr>
        <w:t>A legitimidade do Ministério Público para fiscalizar os atos de instituição financeira perdura enquanto couber ao Banco Central do Brasil, por intermédio de liquidante, a responsabilidade pela administração da entidade liquidanda. Exaurido o regime de intervenção extrajudicial, cessa também a legitimidade ad causam do Parquet, quer como custos legis, quer na condição de autor, visto que a empresa retoma a autogestão de seus negócios.</w:t>
      </w:r>
    </w:p>
    <w:p>
      <w:pPr>
        <w:ind w:left="288"/>
      </w:pPr>
      <w:r>
        <w:rPr>
          <w:b/>
          <w:color w:val="003CA0"/>
          <w:sz w:val="16"/>
        </w:rPr>
        <w:t>[RE 166.776, rel. min. Maurício Corrêa, j. 2-3-1999, 2ª T, DJ de 4-6-1999.]</w:t>
      </w:r>
    </w:p>
    <w:p>
      <w:pPr>
        <w:ind w:left="288"/>
      </w:pPr>
      <w:r>
        <w:rPr>
          <w:color w:val="8C8C8C"/>
          <w:sz w:val="12"/>
        </w:rPr>
        <w:t>cf-art-129-inc-III</w:t>
      </w:r>
      <w:r>
        <w:rPr>
          <w:color w:val="003CA0"/>
          <w:sz w:val="12"/>
        </w:rPr>
        <w:t xml:space="preserve"> | ARE 640.544</w:t>
      </w:r>
      <w:r>
        <w:rPr>
          <w:color w:val="003CA0"/>
          <w:sz w:val="12"/>
        </w:rPr>
        <w:t xml:space="preserve"> | rel. Ricardo Lewandowski</w:t>
      </w:r>
    </w:p>
    <w:p>
      <w:pPr>
        <w:ind w:left="288"/>
      </w:pPr>
      <w:r>
        <w:rPr>
          <w:color w:val="1E1E1E"/>
          <w:sz w:val="18"/>
        </w:rPr>
        <w:t>= ARE 640.544 AgR, rel. min. Ricardo Lewandowski, j. 7-5-2013, 2ª T, DJE de 22-5-2013 = AI 576.892 AgR, rel. min. Cármen Lúcia, j. 20-10-2009, 1ª T, DJE de 20-11-2009</w:t>
      </w:r>
    </w:p>
    <w:p>
      <w:pPr>
        <w:ind w:left="288"/>
      </w:pPr>
      <w:r>
        <w:rPr>
          <w:color w:val="8C8C8C"/>
          <w:sz w:val="12"/>
        </w:rPr>
        <w:t>cf-art-129-inc-VI</w:t>
      </w:r>
      <w:r>
        <w:rPr>
          <w:color w:val="003CA0"/>
          <w:sz w:val="12"/>
        </w:rPr>
        <w:t xml:space="preserve"> | MS 21.729</w:t>
      </w:r>
      <w:r>
        <w:rPr>
          <w:color w:val="003CA0"/>
          <w:sz w:val="12"/>
        </w:rPr>
        <w:t xml:space="preserve"> | rel. Néri da Silveira</w:t>
      </w:r>
    </w:p>
    <w:p>
      <w:pPr>
        <w:ind w:left="288"/>
      </w:pPr>
      <w:r>
        <w:rPr>
          <w:color w:val="1E1E1E"/>
          <w:sz w:val="18"/>
        </w:rPr>
        <w:t>O poder de investigação do Estado é dirigido a coibir atividades afrontosas à ordem jurídica e a garantia do sigilo bancário não se estende às atividades ilícitas. A ordem jurídica confere explicitamente poderes amplos de investigação ao Ministério Público – art. 129, VI e VIII, da CF, e art. 8º, II e IV, e § 2º, da LC 75/1993. Não cabe ao Banco do Brasil negar ao Ministério Público informações sobre nomes de beneficiários de empréstimos concedidos pela instituição, com recursos subsidiados pelo erário federal, sob invocação do sigilo bancário, em se tratando de requisição de informações e doc</w:t>
      </w:r>
    </w:p>
    <w:p>
      <w:pPr>
        <w:ind w:left="288"/>
      </w:pPr>
      <w:r>
        <w:rPr>
          <w:b/>
          <w:color w:val="003CA0"/>
          <w:sz w:val="16"/>
        </w:rPr>
        <w:t>[MS 21.729, rel. p/ o ac. min. Néri da Silveira, j. 5-10-1995, P, DJ de 19-10-2001.]</w:t>
      </w:r>
    </w:p>
    <w:p>
      <w:pPr>
        <w:ind w:left="288"/>
      </w:pPr>
      <w:r>
        <w:rPr>
          <w:color w:val="8C8C8C"/>
          <w:sz w:val="12"/>
        </w:rPr>
        <w:t>cf-art-129-inc-VII</w:t>
      </w:r>
      <w:r>
        <w:rPr>
          <w:color w:val="003CA0"/>
          <w:sz w:val="12"/>
        </w:rPr>
        <w:t xml:space="preserve"> | ADPF 635</w:t>
      </w:r>
      <w:r>
        <w:rPr>
          <w:color w:val="003CA0"/>
          <w:sz w:val="12"/>
        </w:rPr>
        <w:t xml:space="preserve"> | rel. Edson Fachin</w:t>
      </w:r>
    </w:p>
    <w:p>
      <w:pPr>
        <w:ind w:left="288"/>
      </w:pPr>
      <w:r>
        <w:rPr>
          <w:color w:val="1E1E1E"/>
          <w:sz w:val="18"/>
        </w:rPr>
        <w:t>Determinações complementares decorrentes da função institucional de controle externo da atividade policial pelo Ministério Público (art. 129, VII, CRFB). Um relatório detalhado produzido ao término de cada operação dos agentes de segurança pública é exigência de accountability da atuação estatal, devendo seu detalhamento ser dado por meio de protocolos próprios do Ministério Público do Estado do Rio de Janeiro. (...) Investigação direta e viabilização do exercício da função institucional de controle externo da atividade policial pelo Ministério Público (art. 129, VII, CRFB). O reconhecimento d</w:t>
      </w:r>
    </w:p>
    <w:p>
      <w:pPr>
        <w:ind w:left="288"/>
      </w:pPr>
      <w:r>
        <w:rPr>
          <w:b/>
          <w:color w:val="003CA0"/>
          <w:sz w:val="16"/>
        </w:rPr>
        <w:t>[ADPF 635, rel. min. Edson Fachin, j. 03.04.2025, P, DJE de 22.05.2025.]</w:t>
      </w:r>
    </w:p>
    <w:p>
      <w:pPr>
        <w:ind w:left="144"/>
      </w:pPr>
      <w:r>
        <w:rPr>
          <w:b/>
          <w:color w:val="B45A00"/>
          <w:sz w:val="16"/>
        </w:rPr>
        <w:t>CONTROLE CONCENTRADO</w:t>
      </w:r>
    </w:p>
    <w:p>
      <w:pPr>
        <w:ind w:left="288"/>
      </w:pPr>
      <w:r>
        <w:rPr>
          <w:color w:val="8C8C8C"/>
          <w:sz w:val="12"/>
        </w:rPr>
        <w:t>cf-art-129-inc-VII</w:t>
      </w:r>
      <w:r>
        <w:rPr>
          <w:color w:val="003CA0"/>
          <w:sz w:val="12"/>
        </w:rPr>
        <w:t xml:space="preserve"> | ADI 7.192</w:t>
      </w:r>
      <w:r>
        <w:rPr>
          <w:color w:val="003CA0"/>
          <w:sz w:val="12"/>
        </w:rPr>
        <w:t xml:space="preserve"> | rel. Luiz Fux</w:t>
      </w:r>
    </w:p>
    <w:p>
      <w:pPr>
        <w:ind w:left="288"/>
      </w:pPr>
      <w:r>
        <w:rPr>
          <w:color w:val="1E1E1E"/>
          <w:sz w:val="18"/>
        </w:rPr>
        <w:t>O artigo 21, § 1º, da Lei n. 14.344/2022, prevê que a autoridade policial poderá requisitar ao Ministério Público a propositura de ação cautelar de antecipação de produção de prova nas causas que envolvam violência contra a criança e o adolescente. A tutela penal de crianças e adolescentes deve levar em consideração o aspecto informacional, isto é, a origem da notícia de atos lesivos às autoridades competentes. A controvérsia reside no emprego do termo “requisitar”, usualmente interpretado como “determinar”. Questiona-se, assim, a possibilidade de a lei prever que a autoridade policial pode de</w:t>
      </w:r>
    </w:p>
    <w:p>
      <w:pPr>
        <w:ind w:left="144"/>
      </w:pPr>
      <w:r>
        <w:rPr>
          <w:b/>
          <w:color w:val="B45A00"/>
          <w:sz w:val="16"/>
        </w:rPr>
        <w:t>JULGADOS CORRELATOS</w:t>
      </w:r>
    </w:p>
    <w:p>
      <w:pPr>
        <w:ind w:left="288"/>
      </w:pPr>
      <w:r>
        <w:rPr>
          <w:color w:val="8C8C8C"/>
          <w:sz w:val="12"/>
        </w:rPr>
        <w:t>cf-art-129-inc-VII</w:t>
      </w:r>
      <w:r>
        <w:rPr>
          <w:color w:val="003CA0"/>
          <w:sz w:val="12"/>
        </w:rPr>
        <w:t xml:space="preserve"> | ARE 1.477.981</w:t>
      </w:r>
      <w:r>
        <w:rPr>
          <w:color w:val="003CA0"/>
          <w:sz w:val="12"/>
        </w:rPr>
        <w:t xml:space="preserve"> | rel. Alexandre de Moraes</w:t>
      </w:r>
    </w:p>
    <w:p>
      <w:pPr>
        <w:ind w:left="288"/>
      </w:pPr>
      <w:r>
        <w:rPr>
          <w:color w:val="1E1E1E"/>
          <w:sz w:val="18"/>
        </w:rPr>
        <w:t>Atribuições do Ministério Público Federal. Controle externo da atividade policial. Art. 129, VII, da Constituição Federal. Possibilidade de acesso à informação sobre quantitativo de agentes e delegados em determinada unidade policial.</w:t>
        <w:br/>
        <w:t>[ARE 1.477.981 AgR, rel. min. Alexandre de Moraes, j. 13.05.2024, 1ª T, DJE de 20.05.2024.] A CF de 1988, ao regrar as competências do Ministério Público, o fez sob a técnica do reforço normativo. Isso porque o controle externo da atividade policial engloba a atuação supridora e complementar do órgão ministerial no campo da investigação criminal. Controle naquilo</w:t>
      </w:r>
    </w:p>
    <w:p>
      <w:pPr>
        <w:ind w:left="288"/>
      </w:pPr>
      <w:r>
        <w:rPr>
          <w:b/>
          <w:color w:val="003CA0"/>
          <w:sz w:val="16"/>
        </w:rPr>
        <w:t>[HC 97.969, rel. min. Ayres Britto, j. 1º-2-2011, 2ª T, DJE de 23-5-2011.]</w:t>
      </w:r>
    </w:p>
    <w:p>
      <w:pPr>
        <w:ind w:left="288"/>
      </w:pPr>
      <w:r>
        <w:rPr>
          <w:color w:val="8C8C8C"/>
          <w:sz w:val="12"/>
        </w:rPr>
        <w:t>cf-art-129-inc-VII</w:t>
      </w:r>
      <w:r>
        <w:rPr>
          <w:color w:val="003CA0"/>
          <w:sz w:val="12"/>
        </w:rPr>
        <w:t xml:space="preserve"> | HC 89.837</w:t>
      </w:r>
      <w:r>
        <w:rPr>
          <w:color w:val="003CA0"/>
          <w:sz w:val="12"/>
        </w:rPr>
        <w:t xml:space="preserve"> | rel. Celso de Mello</w:t>
      </w:r>
    </w:p>
    <w:p>
      <w:pPr>
        <w:ind w:left="288"/>
      </w:pPr>
      <w:r>
        <w:rPr>
          <w:color w:val="1E1E1E"/>
          <w:sz w:val="18"/>
        </w:rPr>
        <w:t>O poder de investigar compõe, em sede penal, o complexo de funções institucionais do Ministério Público, que dispõe, na condição de dominus litis e, também, como expressão de sua competência para exercer o controle externo da atividade policial, da atribuição de fazer instaurar, ainda que em caráter subsidiário, mas por autoridade própria e sob sua direção, procedimentos de investigação penal destinados a viabilizar a obtenção de dados informativos, de subsídios probatórios e de elementos de convicção que lhe permitam formar a opinio delicti, em ordem a propiciar eventual ajuizamento da ação p</w:t>
      </w:r>
    </w:p>
    <w:p>
      <w:pPr>
        <w:ind w:left="288"/>
      </w:pPr>
      <w:r>
        <w:rPr>
          <w:b/>
          <w:color w:val="003CA0"/>
          <w:sz w:val="16"/>
        </w:rPr>
        <w:t>[HC 89.837, rel. min. Celso de Mello, j. 20-10-2009, 2ª T, DJE de 20-11-2009.]</w:t>
      </w:r>
    </w:p>
    <w:p>
      <w:pPr>
        <w:ind w:left="288"/>
      </w:pPr>
      <w:r>
        <w:rPr>
          <w:color w:val="8C8C8C"/>
          <w:sz w:val="12"/>
        </w:rPr>
        <w:t>cf-art-129-inc-VII</w:t>
      </w:r>
      <w:r>
        <w:rPr>
          <w:color w:val="003CA0"/>
          <w:sz w:val="12"/>
        </w:rPr>
        <w:t xml:space="preserve"> | RHC 118.636</w:t>
      </w:r>
      <w:r>
        <w:rPr>
          <w:color w:val="003CA0"/>
          <w:sz w:val="12"/>
        </w:rPr>
        <w:t xml:space="preserve"> | rel. Celso de Mello</w:t>
      </w:r>
    </w:p>
    <w:p>
      <w:pPr>
        <w:ind w:left="288"/>
      </w:pPr>
      <w:r>
        <w:rPr>
          <w:color w:val="1E1E1E"/>
          <w:sz w:val="18"/>
        </w:rPr>
        <w:t>= RHC 118.636 AgR, rel. min. Celso de Mello, j. 26-8-2014, 2ª T, DJE de 10-9-2014 O fato de o promotor de justiça que ofereceu a denúncia contra os pacientes ter acompanhado a lavratura do auto de prisão em flagrante e demais atos processuais não induz a qualquer ilegalidade ou nulidade do inquérito e da consequente ação penal promovida, o que, aliás, é perfeitamente justificável em razão do que disposto no art. 129, VII, da CF.</w:t>
      </w:r>
    </w:p>
    <w:p>
      <w:pPr>
        <w:ind w:left="288"/>
      </w:pPr>
      <w:r>
        <w:rPr>
          <w:b/>
          <w:color w:val="003CA0"/>
          <w:sz w:val="16"/>
        </w:rPr>
        <w:t>[HC 89.746, rel. min. Cármen Lúcia, j. 12-12-2006, 1ª T, DJ de 9-2-2007.]</w:t>
      </w:r>
    </w:p>
    <w:p>
      <w:pPr>
        <w:ind w:left="144"/>
      </w:pPr>
      <w:r>
        <w:rPr>
          <w:b/>
          <w:color w:val="B45A00"/>
          <w:sz w:val="16"/>
        </w:rPr>
        <w:t>SUMULA</w:t>
      </w:r>
    </w:p>
    <w:p>
      <w:pPr>
        <w:ind w:left="288"/>
      </w:pPr>
      <w:r>
        <w:rPr>
          <w:color w:val="8C8C8C"/>
          <w:sz w:val="12"/>
        </w:rPr>
        <w:t>cf-art-129-inc-VIII</w:t>
      </w:r>
    </w:p>
    <w:p>
      <w:pPr>
        <w:ind w:left="288"/>
      </w:pPr>
      <w:r>
        <w:rPr>
          <w:color w:val="1E1E1E"/>
          <w:sz w:val="18"/>
        </w:rPr>
        <w:t>Arquivado o inquérito policial, por despacho do juiz, a requerimento do promotor de justiça, não pode a ação penal ser iniciada, sem novas provas.</w:t>
      </w:r>
    </w:p>
    <w:p>
      <w:pPr>
        <w:ind w:left="288"/>
      </w:pPr>
      <w:r>
        <w:rPr>
          <w:b/>
          <w:color w:val="003CA0"/>
          <w:sz w:val="16"/>
        </w:rPr>
        <w:t>[Súmula 524.]</w:t>
      </w:r>
    </w:p>
    <w:p>
      <w:pPr>
        <w:ind w:left="288"/>
      </w:pPr>
      <w:r>
        <w:rPr>
          <w:color w:val="8C8C8C"/>
          <w:sz w:val="12"/>
        </w:rPr>
        <w:t>cf-art-129-inc-VIII</w:t>
      </w:r>
      <w:r>
        <w:rPr>
          <w:color w:val="003CA0"/>
          <w:sz w:val="12"/>
        </w:rPr>
        <w:t xml:space="preserve"> | ADI 5.104</w:t>
      </w:r>
      <w:r>
        <w:rPr>
          <w:color w:val="003CA0"/>
          <w:sz w:val="12"/>
        </w:rPr>
        <w:t xml:space="preserve"> | rel. Roberto Barroso</w:t>
      </w:r>
    </w:p>
    <w:p>
      <w:pPr>
        <w:ind w:left="288"/>
      </w:pPr>
      <w:r>
        <w:rPr>
          <w:color w:val="1E1E1E"/>
          <w:sz w:val="18"/>
        </w:rPr>
        <w:t>Resolução 23.396/2013 do TSE. Instituição de controle jurisdicional genérico e prévio à instauração de inquéritos policiais. Sistema acusatório e papel institucional do Ministério Público. (...) Forte plausibilidade na alegação de inconstitucionalidade do art. 8º da Resolução 23.396/2013. Ao condicionar a instauração de inquérito policial eleitoral a uma autorização do Poder Judiciário, a resolução questionada institui modalidade de controle judicial prévio sobre a condução das investigações, em aparente violação ao núcleo essencial do princípio acusatório.</w:t>
        <w:br/>
        <w:t>[ADI 5.104 MC, rel. min. Roberto Bar</w:t>
      </w:r>
    </w:p>
    <w:p>
      <w:pPr>
        <w:ind w:left="288"/>
      </w:pPr>
      <w:r>
        <w:rPr>
          <w:b/>
          <w:color w:val="003CA0"/>
          <w:sz w:val="16"/>
        </w:rPr>
        <w:t>[ADI 1.571 MC, voto do rel. min. Néri da Silveira, j. 20-3-1997, P, DJ de 25-9-1998.]</w:t>
      </w:r>
    </w:p>
    <w:p>
      <w:pPr>
        <w:ind w:left="144"/>
      </w:pPr>
      <w:r>
        <w:rPr>
          <w:b/>
          <w:color w:val="B45A00"/>
          <w:sz w:val="16"/>
        </w:rPr>
        <w:t>JULGADOS CORRELATOS</w:t>
      </w:r>
    </w:p>
    <w:p>
      <w:pPr>
        <w:ind w:left="288"/>
      </w:pPr>
      <w:r>
        <w:rPr>
          <w:color w:val="8C8C8C"/>
          <w:sz w:val="12"/>
        </w:rPr>
        <w:t>cf-art-129-inc-VIII</w:t>
      </w:r>
      <w:r>
        <w:rPr>
          <w:color w:val="003CA0"/>
          <w:sz w:val="12"/>
        </w:rPr>
        <w:t xml:space="preserve"> | RE 535.478</w:t>
      </w:r>
      <w:r>
        <w:rPr>
          <w:color w:val="003CA0"/>
          <w:sz w:val="12"/>
        </w:rPr>
        <w:t xml:space="preserve"> | rel. Ellen Gracie</w:t>
      </w:r>
    </w:p>
    <w:p>
      <w:pPr>
        <w:ind w:left="288"/>
      </w:pPr>
      <w:r>
        <w:rPr>
          <w:color w:val="1E1E1E"/>
          <w:sz w:val="18"/>
        </w:rPr>
        <w:t>As questões de suposta violação ao devido processo legal, ao princípio da legalidade, ao direito de intimidade e privacidade e ao princípio da presunção de inocência têm natureza infraconstitucional e, em razão disso, revelam-se insuscetíveis de conhecimento em sede de recurso extraordinário. (...) Remanesce a questão afeta à possibilidade de o Ministério Público promover procedimento administrativo de cunho investigatório e o possível malferimento da norma contida no art. 144, § 1º, I e IV, da CF. No caso concreto, tal debate se mostra irrelevante, eis que houve instauração de inquérito polic</w:t>
      </w:r>
    </w:p>
    <w:p>
      <w:pPr>
        <w:ind w:left="288"/>
      </w:pPr>
      <w:r>
        <w:rPr>
          <w:b/>
          <w:color w:val="003CA0"/>
          <w:sz w:val="16"/>
        </w:rPr>
        <w:t>[RE 535.478, rel. min. Ellen Gracie, j. 28-10-2008, 2ª T, DJE de 21-11-2008.]</w:t>
      </w:r>
    </w:p>
    <w:p>
      <w:pPr>
        <w:ind w:left="288"/>
      </w:pPr>
      <w:r>
        <w:rPr>
          <w:color w:val="8C8C8C"/>
          <w:sz w:val="12"/>
        </w:rPr>
        <w:t>cf-art-129-inc-VIII</w:t>
      </w:r>
      <w:r>
        <w:rPr>
          <w:color w:val="003CA0"/>
          <w:sz w:val="12"/>
        </w:rPr>
        <w:t xml:space="preserve"> | HC 93.224</w:t>
      </w:r>
      <w:r>
        <w:rPr>
          <w:color w:val="003CA0"/>
          <w:sz w:val="12"/>
        </w:rPr>
        <w:t xml:space="preserve"> | rel. Eros Grau</w:t>
      </w:r>
    </w:p>
    <w:p>
      <w:pPr>
        <w:ind w:left="288"/>
      </w:pPr>
      <w:r>
        <w:rPr>
          <w:color w:val="1E1E1E"/>
          <w:sz w:val="18"/>
        </w:rPr>
        <w:t>Membro do Ministério Público estadual. Art. 18, parágrafo único, da LC 73/1995 e art. 41, parágrafo único, da Lei 8.625/1993. Investigação conduzida pelo Parquet. Legalidade. (...) Está na peça acusatória que o paciente ordenou – verbo nuclear do tipo relativo ao delito de abuso de poder – que o delegado de polícia mantivesse, abusivamente, a prisão de pessoas, conduzindo-as à delegacia policial, sem flagrante delito ou ordem fundamentada da autoridade judiciária competente. Sendo o paciente membro do Ministério Público estadual, a investigação pelo seu envolvimento em suposta prática de crime</w:t>
      </w:r>
    </w:p>
    <w:p>
      <w:pPr>
        <w:ind w:left="288"/>
      </w:pPr>
      <w:r>
        <w:rPr>
          <w:b/>
          <w:color w:val="003CA0"/>
          <w:sz w:val="16"/>
        </w:rPr>
        <w:t>[HC 93.224, rel. min. Eros Grau, j. 13-5-2008, 2ª T, DJE de 5-9-2008.]</w:t>
      </w:r>
    </w:p>
    <w:p>
      <w:pPr>
        <w:ind w:left="288"/>
      </w:pPr>
      <w:r>
        <w:rPr>
          <w:color w:val="8C8C8C"/>
          <w:sz w:val="12"/>
        </w:rPr>
        <w:t>cf-art-129-inc-VIII</w:t>
      </w:r>
      <w:r>
        <w:rPr>
          <w:color w:val="003CA0"/>
          <w:sz w:val="12"/>
        </w:rPr>
        <w:t xml:space="preserve"> | INQ 1.957</w:t>
      </w:r>
      <w:r>
        <w:rPr>
          <w:color w:val="003CA0"/>
          <w:sz w:val="12"/>
        </w:rPr>
        <w:t xml:space="preserve"> | rel. Carlos Velloso</w:t>
      </w:r>
    </w:p>
    <w:p>
      <w:pPr>
        <w:ind w:left="288"/>
      </w:pPr>
      <w:r>
        <w:rPr>
          <w:color w:val="1E1E1E"/>
          <w:sz w:val="18"/>
        </w:rPr>
        <w:t>A instauração de inquérito policial não é imprescindível à propositura da ação penal pública, podendo o Ministério Público valer-se de outros elementos de prova para formar sua convicção. Não há impedimento para que o agente do Ministério Público efetue a colheita de determinados depoimentos, quando, tendo conhecimento fático do indício de autoria e da materialidade do crime, tiver notícia, diretamente, de algum fato que merecesse ser elucidado.</w:t>
      </w:r>
    </w:p>
    <w:p>
      <w:pPr>
        <w:ind w:left="288"/>
      </w:pPr>
      <w:r>
        <w:rPr>
          <w:b/>
          <w:color w:val="003CA0"/>
          <w:sz w:val="16"/>
        </w:rPr>
        <w:t>[Inq 1.957, rel. min. Carlos Velloso, j. 11-5-2005, P, DJ de 11-11-2005.]</w:t>
      </w:r>
    </w:p>
    <w:p>
      <w:pPr>
        <w:ind w:left="288"/>
      </w:pPr>
      <w:r>
        <w:rPr>
          <w:color w:val="8C8C8C"/>
          <w:sz w:val="12"/>
        </w:rPr>
        <w:t>cf-art-129-inc-VIII</w:t>
      </w:r>
      <w:r>
        <w:rPr>
          <w:color w:val="003CA0"/>
          <w:sz w:val="12"/>
        </w:rPr>
        <w:t xml:space="preserve"> | HC 83.463</w:t>
      </w:r>
      <w:r>
        <w:rPr>
          <w:color w:val="003CA0"/>
          <w:sz w:val="12"/>
        </w:rPr>
        <w:t xml:space="preserve"> | rel. Carlos Velloso</w:t>
      </w:r>
    </w:p>
    <w:p>
      <w:pPr>
        <w:ind w:left="288"/>
      </w:pPr>
      <w:r>
        <w:rPr>
          <w:color w:val="1E1E1E"/>
          <w:sz w:val="18"/>
        </w:rPr>
        <w:t>=HC 83.463, rel. min. Carlos Velloso, j. 16-3-2004, 1ª T, DJ de 4-6-2004 A CF dotou o Ministério Público do poder de requisitar diligências investigatórias e a instauração de inquérito policial (CF, art. 129, VIII). A norma constitucional não contemplou a possibilidade de o Parquet realizar e presidir inquérito policial. Não cabe, portanto, aos seus membros inquirir diretamente pessoas suspeitas de autoria de crime, mas requisitar diligência nesse sentido à autoridade policial. Precedentes.</w:t>
      </w:r>
    </w:p>
    <w:p>
      <w:pPr>
        <w:ind w:left="288"/>
      </w:pPr>
      <w:r>
        <w:rPr>
          <w:b/>
          <w:color w:val="003CA0"/>
          <w:sz w:val="16"/>
        </w:rPr>
        <w:t>[RHC 81.326, rel. min. Nelson Jobim, j. 6-5-2003, 2ª T, DJ de 1º-8-2003.]</w:t>
      </w:r>
    </w:p>
    <w:p>
      <w:pPr>
        <w:ind w:left="288"/>
      </w:pPr>
      <w:r>
        <w:rPr>
          <w:color w:val="8C8C8C"/>
          <w:sz w:val="12"/>
        </w:rPr>
        <w:t>cf-art-129-inc-VIII</w:t>
      </w:r>
      <w:r>
        <w:rPr>
          <w:color w:val="003CA0"/>
          <w:sz w:val="12"/>
        </w:rPr>
        <w:t xml:space="preserve"> | RE 215.301</w:t>
      </w:r>
      <w:r>
        <w:rPr>
          <w:color w:val="003CA0"/>
          <w:sz w:val="12"/>
        </w:rPr>
        <w:t xml:space="preserve"> | rel. Carlos Velloso</w:t>
      </w:r>
    </w:p>
    <w:p>
      <w:pPr>
        <w:ind w:left="288"/>
      </w:pPr>
      <w:r>
        <w:rPr>
          <w:color w:val="1E1E1E"/>
          <w:sz w:val="18"/>
        </w:rPr>
        <w:t>A norma inscrita no inciso VIII do art. 129 da CF não autoriza ao Ministério Público, sem a interferência da autoridade judiciária, quebrar o sigilo bancário de alguém. Se se tem presente que o sigilo bancário é espécie de direito à privacidade, que a CF consagra, art. 5º, X, somente autorização expressa da Constituição legitimaria o Ministério Público a promover, diretamente e sem a intervenção da autoridade judiciária, a quebra do sigilo bancário de qualquer pessoa.</w:t>
      </w:r>
    </w:p>
    <w:p>
      <w:pPr>
        <w:ind w:left="288"/>
      </w:pPr>
      <w:r>
        <w:rPr>
          <w:b/>
          <w:color w:val="003CA0"/>
          <w:sz w:val="16"/>
        </w:rPr>
        <w:t>[RE 215.301, rel. min. Carlos Velloso, j. 13-4-1999, 2ª T, DJ de 28-5-1999.]</w:t>
      </w:r>
    </w:p>
    <w:p>
      <w:pPr>
        <w:ind w:left="288"/>
      </w:pPr>
      <w:r>
        <w:rPr>
          <w:color w:val="8C8C8C"/>
          <w:sz w:val="12"/>
        </w:rPr>
        <w:t>cf-art-129-inc-VIII</w:t>
      </w:r>
      <w:r>
        <w:rPr>
          <w:color w:val="003CA0"/>
          <w:sz w:val="12"/>
        </w:rPr>
        <w:t xml:space="preserve"> | MS 21.729</w:t>
      </w:r>
    </w:p>
    <w:p>
      <w:pPr>
        <w:ind w:left="288"/>
      </w:pPr>
      <w:r>
        <w:rPr>
          <w:color w:val="1E1E1E"/>
          <w:sz w:val="18"/>
        </w:rPr>
        <w:t>O poder de investigação do Estado é dirigido a coibir atividades afrontosas à ordem jurídica e a garantia do sigilo bancário não se estende às atividades ilícitas. A ordem jurídica confere explicitamente poderes amplos de investigação ao Ministério Público – art. 129, VI, VIII, da CF, e art. 8º, II e IV, e § 2º, da LC 75/1993. Não cabe ao Banco do Brasil negar ao Ministério Público informações sobre nomes de beneficiários de empréstimos concedidos pela instituição, com recursos subsidiados pelo erário federal, sob invocação do sigilo bancário, em se tratando de requisição de informações e docu</w:t>
      </w:r>
    </w:p>
    <w:p>
      <w:pPr>
        <w:ind w:left="288"/>
      </w:pPr>
      <w:r>
        <w:rPr>
          <w:b/>
          <w:color w:val="003CA0"/>
          <w:sz w:val="16"/>
        </w:rPr>
        <w:t>[MS 21.729, red. do ac. min. Néri da Silveira, j. 5-10-1995, P, DJ de 19-10-2001.]</w:t>
      </w:r>
    </w:p>
    <w:p>
      <w:pPr>
        <w:ind w:left="144"/>
      </w:pPr>
      <w:r>
        <w:rPr>
          <w:b/>
          <w:color w:val="B45A00"/>
          <w:sz w:val="16"/>
        </w:rPr>
        <w:t>CONTROLE CONCENTRADO</w:t>
      </w:r>
    </w:p>
    <w:p>
      <w:pPr>
        <w:ind w:left="288"/>
      </w:pPr>
      <w:r>
        <w:rPr>
          <w:color w:val="8C8C8C"/>
          <w:sz w:val="12"/>
        </w:rPr>
        <w:t>cf-art-129-inc-IX</w:t>
      </w:r>
      <w:r>
        <w:rPr>
          <w:color w:val="003CA0"/>
          <w:sz w:val="12"/>
        </w:rPr>
        <w:t xml:space="preserve"> | ADI 5.667</w:t>
      </w:r>
      <w:r>
        <w:rPr>
          <w:color w:val="003CA0"/>
          <w:sz w:val="12"/>
        </w:rPr>
        <w:t xml:space="preserve"> | rel. Nunes Marques</w:t>
      </w:r>
    </w:p>
    <w:p>
      <w:pPr>
        <w:ind w:left="288"/>
      </w:pPr>
      <w:r>
        <w:rPr>
          <w:color w:val="1E1E1E"/>
          <w:sz w:val="18"/>
        </w:rPr>
        <w:t>policial-judiciário. (...) O processo judicial consiste em, principalmente, olhar e reconstruir o passado para que o juiz possa julgar um ou mais fatos já ocorridos. (...) As investigações do Cenipa obedecem a lógica diversa. Enquanto o foco da investigação realizada pelas polícias civil e federal e pelo Ministério Público é o passado, considerada a busca por apurar responsabilidades e atribuir sanções em virtude de condutas pretéritas, a investigação feita pelo Cenipa, conquanto também colha provas e evidências das mais diversas, tem os olhos voltados para o futuro, dada a a intenção de evita</w:t>
      </w:r>
    </w:p>
    <w:p>
      <w:pPr>
        <w:ind w:left="288"/>
      </w:pPr>
      <w:r>
        <w:rPr>
          <w:b/>
          <w:color w:val="003CA0"/>
          <w:sz w:val="16"/>
        </w:rPr>
        <w:t>[ADI 3.841, voto do rel. min. Gilmar Mendes, j. 16-6-2020, P, DJE de 6-7-2020.]</w:t>
      </w:r>
    </w:p>
    <w:p>
      <w:pPr>
        <w:ind w:left="288"/>
      </w:pPr>
      <w:r>
        <w:rPr>
          <w:color w:val="8C8C8C"/>
          <w:sz w:val="12"/>
        </w:rPr>
        <w:t>cf-art-129-inc-IX</w:t>
      </w:r>
      <w:r>
        <w:rPr>
          <w:color w:val="003CA0"/>
          <w:sz w:val="12"/>
        </w:rPr>
        <w:t xml:space="preserve"> | ADI 3.463</w:t>
      </w:r>
      <w:r>
        <w:rPr>
          <w:color w:val="003CA0"/>
          <w:sz w:val="12"/>
        </w:rPr>
        <w:t xml:space="preserve"> | rel. Ayres Britto</w:t>
      </w:r>
    </w:p>
    <w:p>
      <w:pPr>
        <w:ind w:left="288"/>
      </w:pPr>
      <w:r>
        <w:rPr>
          <w:color w:val="1E1E1E"/>
          <w:sz w:val="18"/>
        </w:rPr>
        <w:t>O rol de atribuições conferidas ao Ministério Público pelo art. 129 da CF não constitui numerus clausus. O inciso IX do mesmo artigo permite ao Ministério Público "exercer outras funções que lhe forem conferidas, desde que compatíveis com sua finalidade, sendo-lhe vedada a representação judicial e a consultoria jurídica de entidades públicas". O art. 51 do Ato das Disposições Transitórias da Constituição do Estado do Rio de Janeiro não confere competência ao Ministério Público fluminense, mas apenas cria o Conselho Estadual de Defesa da Criança e do Adolescente, garantindo a possibilidade de p</w:t>
      </w:r>
    </w:p>
    <w:p>
      <w:pPr>
        <w:ind w:left="288"/>
      </w:pPr>
      <w:r>
        <w:rPr>
          <w:b/>
          <w:color w:val="003CA0"/>
          <w:sz w:val="16"/>
        </w:rPr>
        <w:t>[ADI 3.463, rel. min. Ayres Britto, j. 27-10-2011, P, DJE de 6-6-2012.]</w:t>
      </w:r>
    </w:p>
    <w:p>
      <w:pPr>
        <w:ind w:left="288"/>
      </w:pPr>
      <w:r>
        <w:rPr>
          <w:color w:val="8C8C8C"/>
          <w:sz w:val="12"/>
        </w:rPr>
        <w:t>cf-art-129-inc-IX</w:t>
      </w:r>
      <w:r>
        <w:rPr>
          <w:color w:val="003CA0"/>
          <w:sz w:val="12"/>
        </w:rPr>
        <w:t xml:space="preserve"> | ADI 1.852</w:t>
      </w:r>
      <w:r>
        <w:rPr>
          <w:color w:val="003CA0"/>
          <w:sz w:val="12"/>
        </w:rPr>
        <w:t xml:space="preserve"> | rel. Carlos Velloso</w:t>
      </w:r>
    </w:p>
    <w:p>
      <w:pPr>
        <w:ind w:left="288"/>
      </w:pPr>
      <w:r>
        <w:rPr>
          <w:color w:val="1E1E1E"/>
          <w:sz w:val="18"/>
        </w:rPr>
        <w:t>A atribuição conferida ao MPT, no art. 83, IV, da LC 75/1993 – propor as ações coletivas para a declaração de nulidade de cláusula de contrato, acordo coletivo ou convenção coletiva que viole as liberdades individuais ou coletivas ou os direitos individuais indisponíveis dos trabalhadores – compatibiliza-se com o que dispõe a CF no art. 128, § 5º, e art. 129, IX.</w:t>
      </w:r>
    </w:p>
    <w:p>
      <w:pPr>
        <w:ind w:left="288"/>
      </w:pPr>
      <w:r>
        <w:rPr>
          <w:b/>
          <w:color w:val="003CA0"/>
          <w:sz w:val="16"/>
        </w:rPr>
        <w:t>[ADI 1.852, rel. min. Carlos Velloso, j. 21-8-2002, P, DJ de 21-11-2003.]</w:t>
      </w:r>
    </w:p>
    <w:p>
      <w:pPr>
        <w:ind w:left="144"/>
      </w:pPr>
      <w:r>
        <w:rPr>
          <w:b/>
          <w:color w:val="B45A00"/>
          <w:sz w:val="16"/>
        </w:rPr>
        <w:t>REPERCUSSAO GERAL</w:t>
      </w:r>
    </w:p>
    <w:p>
      <w:pPr>
        <w:ind w:left="288"/>
      </w:pPr>
      <w:r>
        <w:rPr>
          <w:color w:val="8C8C8C"/>
          <w:sz w:val="12"/>
        </w:rPr>
        <w:t>cf-art-129-inc-IX</w:t>
      </w:r>
      <w:r>
        <w:rPr>
          <w:color w:val="003CA0"/>
          <w:sz w:val="12"/>
        </w:rPr>
        <w:t xml:space="preserve"> | RE 593.727</w:t>
      </w:r>
    </w:p>
    <w:p>
      <w:pPr>
        <w:ind w:left="288"/>
      </w:pPr>
      <w:r>
        <w:rPr>
          <w:color w:val="1E1E1E"/>
          <w:sz w:val="18"/>
        </w:rPr>
        <w:t>O Ministério Público dispõe de competência para promover, por autoridade própria, e por prazo razoável, investigações de natureza penal, desde que respeitados os direitos e garantias que assistem a qualquer indiciado ou a qualquer pessoa sob investigação do Estado, observadas, sempre, por seus agentes, as hipóteses de reserva constitucional de jurisdição e, também, as prerrogativas profissionais de que se acham investidos, em nosso país, os advogados (Lei 8.906/1994, art. 7º, notadamente os incisos I, II, III, XI, XIII, XIV e XIX), sem prejuízo da possibilidade – sempre presente no Estado Demo</w:t>
      </w:r>
    </w:p>
    <w:p>
      <w:pPr>
        <w:ind w:left="144"/>
      </w:pPr>
      <w:r>
        <w:rPr>
          <w:b/>
          <w:color w:val="B45A00"/>
          <w:sz w:val="16"/>
        </w:rPr>
        <w:t>JULGADOS CORRELATOS</w:t>
      </w:r>
    </w:p>
    <w:p>
      <w:pPr>
        <w:ind w:left="288"/>
      </w:pPr>
      <w:r>
        <w:rPr>
          <w:color w:val="8C8C8C"/>
          <w:sz w:val="12"/>
        </w:rPr>
        <w:t>cf-art-129-inc-IX</w:t>
      </w:r>
      <w:r>
        <w:rPr>
          <w:color w:val="003CA0"/>
          <w:sz w:val="12"/>
        </w:rPr>
        <w:t xml:space="preserve"> | RE 135.328</w:t>
      </w:r>
      <w:r>
        <w:rPr>
          <w:color w:val="003CA0"/>
          <w:sz w:val="12"/>
        </w:rPr>
        <w:t xml:space="preserve"> | rel. Sepúlveda Pertence</w:t>
      </w:r>
    </w:p>
    <w:p>
      <w:pPr>
        <w:ind w:left="288"/>
      </w:pPr>
      <w:r>
        <w:rPr>
          <w:color w:val="1E1E1E"/>
          <w:sz w:val="18"/>
        </w:rPr>
        <w:t>Ministério Público: legitimação para promoção, no juízo cível, do ressarcimento do dano resultante de crime, pobre o titular do direito à reparação: CPP, art. 68, ainda constitucional (cf. RE 135.328): processo de inconstitucionalização das leis. A alternativa radical da jurisdição constitucional ortodoxa entre a constitucionalidade plena e a declaração de inconstitucionalidade ou revogação por inconstitucionalidade da lei com fulminante eficácia ex tunc faz abstração da evidência de que a implementação de uma nova ordem constitucional não é um fato instantâneo, mas um processo, no qual a poss</w:t>
      </w:r>
    </w:p>
    <w:p>
      <w:pPr>
        <w:ind w:left="288"/>
      </w:pPr>
      <w:r>
        <w:rPr>
          <w:b/>
          <w:color w:val="003CA0"/>
          <w:sz w:val="16"/>
        </w:rPr>
        <w:t>[RE 147.776, rel. min. Sepúlveda Pertence, j. 19-5-1998, 1ª T, DJ de 19-6-1998.]</w:t>
      </w:r>
    </w:p>
    <w:p>
      <w:pPr>
        <w:ind w:left="288"/>
      </w:pPr>
      <w:r>
        <w:rPr>
          <w:color w:val="8C8C8C"/>
          <w:sz w:val="12"/>
        </w:rPr>
        <w:t>cf-art-129-inc-IX</w:t>
      </w:r>
      <w:r>
        <w:rPr>
          <w:color w:val="003CA0"/>
          <w:sz w:val="12"/>
        </w:rPr>
        <w:t xml:space="preserve"> | RE 341.717</w:t>
      </w:r>
      <w:r>
        <w:rPr>
          <w:color w:val="003CA0"/>
          <w:sz w:val="12"/>
        </w:rPr>
        <w:t xml:space="preserve"> | rel. Celso de Mello</w:t>
      </w:r>
    </w:p>
    <w:p>
      <w:pPr>
        <w:ind w:left="288"/>
      </w:pPr>
      <w:r>
        <w:rPr>
          <w:color w:val="1E1E1E"/>
          <w:sz w:val="18"/>
        </w:rPr>
        <w:t>= RE 341.717 AgR, rel. min. Celso de Mello, j. 5-8-2003, 2ª T, DJE de 5-3-2010</w:t>
      </w:r>
    </w:p>
    <w:p>
      <w:pPr>
        <w:ind w:left="144"/>
      </w:pPr>
      <w:r>
        <w:rPr>
          <w:b/>
          <w:color w:val="B45A00"/>
          <w:sz w:val="16"/>
        </w:rPr>
        <w:t>CONTROLE CONCENTRADO</w:t>
      </w:r>
    </w:p>
    <w:p>
      <w:pPr>
        <w:ind w:left="288"/>
      </w:pPr>
      <w:r>
        <w:rPr>
          <w:color w:val="8C8C8C"/>
          <w:sz w:val="12"/>
        </w:rPr>
        <w:t>cf-art-129-par-1</w:t>
      </w:r>
      <w:r>
        <w:rPr>
          <w:color w:val="003CA0"/>
          <w:sz w:val="12"/>
        </w:rPr>
        <w:t xml:space="preserve"> | ADI 7.042</w:t>
      </w:r>
      <w:r>
        <w:rPr>
          <w:color w:val="003CA0"/>
          <w:sz w:val="12"/>
        </w:rPr>
        <w:t xml:space="preserve"> | rel. Alexandre de Moraes</w:t>
      </w:r>
    </w:p>
    <w:p>
      <w:pPr>
        <w:ind w:left="288"/>
      </w:pPr>
      <w:r>
        <w:rPr>
          <w:color w:val="1E1E1E"/>
          <w:sz w:val="18"/>
        </w:rPr>
        <w:t>Vedação constitucional à previsão de legitimidade exclusiva do Ministério Público para a propositura da ação por ato de improbidade administrativa, nos termos do artigo 129, §1º da Constituição Federal e, consequentemente, para oferecimento do acordo de não persecução civil. A legitimidade da Fazenda Pública para o ajuizamento de ações por improbidade administrativa é ordinária, já que ela atua na defesa de seu próprio patrimônio público, que abarca a reserva moral e ética da Administração Pública brasileira. (...) A legitimidade para firmar acordo de não persecução civil no contexto do combat</w:t>
      </w:r>
    </w:p>
    <w:p>
      <w:pPr>
        <w:ind w:left="288"/>
      </w:pPr>
      <w:r>
        <w:rPr>
          <w:color w:val="8C8C8C"/>
          <w:sz w:val="12"/>
        </w:rPr>
        <w:t>cf-art-129-par-2</w:t>
      </w:r>
      <w:r>
        <w:rPr>
          <w:color w:val="003CA0"/>
          <w:sz w:val="12"/>
        </w:rPr>
        <w:t xml:space="preserve"> | ADI 3.783</w:t>
      </w:r>
      <w:r>
        <w:rPr>
          <w:color w:val="003CA0"/>
          <w:sz w:val="12"/>
        </w:rPr>
        <w:t xml:space="preserve"> | rel. Gilmar Mendes</w:t>
      </w:r>
    </w:p>
    <w:p>
      <w:pPr>
        <w:ind w:left="288"/>
      </w:pPr>
      <w:r>
        <w:rPr>
          <w:color w:val="1E1E1E"/>
          <w:sz w:val="18"/>
        </w:rPr>
        <w:t xml:space="preserve">O auxílio-moradia constitui vantagem remuneratória de caráter indenizatório. Portanto, é devido apenas em virtude da prestação das atividades institucionais em local distinto, enquanto essas durarem. Como decorre da própria lógica do sistema remuneratório, o auxílio-moradia visa ressarcir os custos e reparar os danos porventura causados pelo deslocamento do servidor público para outros locais que não o de sua residência habitual. Dessa forma, parece lógico que tal vantagem seja deferida apenas àqueles servidores em plena atividade, que se encontrem nessa específica situação, e apenas enquanto </w:t>
      </w:r>
    </w:p>
    <w:p>
      <w:pPr>
        <w:ind w:left="288"/>
      </w:pPr>
      <w:r>
        <w:rPr>
          <w:b/>
          <w:color w:val="003CA0"/>
          <w:sz w:val="16"/>
        </w:rPr>
        <w:t>[ADI 3.783, rel. min. Gilmar Mendes, j. 17-3-2011, P, DJE de 6-6-2011.]</w:t>
      </w:r>
    </w:p>
    <w:p>
      <w:pPr>
        <w:ind w:left="288"/>
      </w:pPr>
      <w:r>
        <w:rPr>
          <w:color w:val="8C8C8C"/>
          <w:sz w:val="12"/>
        </w:rPr>
        <w:t>cf-art-129-par-2</w:t>
      </w:r>
      <w:r>
        <w:rPr>
          <w:color w:val="003CA0"/>
          <w:sz w:val="12"/>
        </w:rPr>
        <w:t xml:space="preserve"> | MS 28.135</w:t>
      </w:r>
      <w:r>
        <w:rPr>
          <w:color w:val="003CA0"/>
          <w:sz w:val="12"/>
        </w:rPr>
        <w:t xml:space="preserve"> | rel. Ellen Gracie</w:t>
      </w:r>
    </w:p>
    <w:p>
      <w:pPr>
        <w:ind w:left="288"/>
      </w:pPr>
      <w:r>
        <w:rPr>
          <w:color w:val="1E1E1E"/>
          <w:sz w:val="18"/>
        </w:rPr>
        <w:t>Vide MS 28.135 MC, rel. min. Ellen Gracie, dec. monocrática proferida pelo min. Celso de Mello no exercício da Presidência, j. 17-7-2009, DJE de 5-8-2009</w:t>
      </w:r>
    </w:p>
    <w:p>
      <w:pPr>
        <w:ind w:left="144"/>
      </w:pPr>
      <w:r>
        <w:rPr>
          <w:b/>
          <w:color w:val="B45A00"/>
          <w:sz w:val="16"/>
        </w:rPr>
        <w:t>JULGADOS CORRELATOS</w:t>
      </w:r>
    </w:p>
    <w:p>
      <w:pPr>
        <w:ind w:left="288"/>
      </w:pPr>
      <w:r>
        <w:rPr>
          <w:color w:val="8C8C8C"/>
          <w:sz w:val="12"/>
        </w:rPr>
        <w:t>cf-art-129-par-2</w:t>
      </w:r>
      <w:r>
        <w:rPr>
          <w:color w:val="003CA0"/>
          <w:sz w:val="12"/>
        </w:rPr>
        <w:t xml:space="preserve"> | MS 26.415</w:t>
      </w:r>
    </w:p>
    <w:p>
      <w:pPr>
        <w:ind w:left="288"/>
      </w:pPr>
      <w:r>
        <w:rPr>
          <w:color w:val="1E1E1E"/>
          <w:sz w:val="18"/>
        </w:rPr>
        <w:t>Ministério Público Federal. Auxílio-moradia. Localidades com condições de moradia particularmente difíceis ou onerosas. Art. 227, VIII, da LC 75/1983. Limitação temporal imposta pelo Procurador-Geral da República. Legitimidade da atuação. Razoabilidade.</w:t>
      </w:r>
    </w:p>
    <w:p>
      <w:pPr>
        <w:ind w:left="288"/>
      </w:pPr>
      <w:r>
        <w:rPr>
          <w:b/>
          <w:color w:val="003CA0"/>
          <w:sz w:val="16"/>
        </w:rPr>
        <w:t>[MS 26.415, red. do ac. min. Gilmar Mendes, j. 17-3-2020, 2ª T, DJE de 29-7-2020.]</w:t>
      </w:r>
    </w:p>
    <w:p>
      <w:pPr>
        <w:ind w:left="288"/>
      </w:pPr>
      <w:r>
        <w:rPr>
          <w:color w:val="8C8C8C"/>
          <w:sz w:val="12"/>
        </w:rPr>
        <w:t>cf-art-129-par-2</w:t>
      </w:r>
      <w:r>
        <w:rPr>
          <w:color w:val="003CA0"/>
          <w:sz w:val="12"/>
        </w:rPr>
        <w:t xml:space="preserve"> | AO 1.773</w:t>
      </w:r>
      <w:r>
        <w:rPr>
          <w:color w:val="003CA0"/>
          <w:sz w:val="12"/>
        </w:rPr>
        <w:t xml:space="preserve"> | rel. Luiz Fux</w:t>
      </w:r>
    </w:p>
    <w:p>
      <w:pPr>
        <w:ind w:left="288"/>
      </w:pPr>
      <w:r>
        <w:rPr>
          <w:color w:val="1E1E1E"/>
          <w:sz w:val="18"/>
        </w:rPr>
        <w:t>Magistratura e Ministério Público. Simetria constitucional entre carreiras. Ajuda de custo para fins de moradia. Art. 65, II, da LOMAN (LC nº 35/79). Art. 227, VII, da Lei Complementar nº 75/1993 e art. 50, II, da Lei nº 8.625/1993. Extensão aos membros do MP. Necessidade de garantia de um padrão simétrico entre as carreiras de Estado. Modificações no contexto fático-jurídico. Novo cenário orçamentário. Promulgação de leis que garantem a recomposição parcial da inflação de 16,38% nos subsídios dos membros do STF e do Procurador-geral da República. Lei n.º 13.752/2018 e Lei n.º 13.753/2018. Nov</w:t>
      </w:r>
    </w:p>
    <w:p>
      <w:pPr>
        <w:ind w:left="288"/>
      </w:pPr>
      <w:r>
        <w:rPr>
          <w:b/>
          <w:color w:val="003CA0"/>
          <w:sz w:val="16"/>
        </w:rPr>
        <w:t>[AO 1.773, rel. min. Luiz Fux, j. 26-11-2018, dec. monocrática, DJE de 28-11-2018.]</w:t>
      </w:r>
    </w:p>
    <w:p>
      <w:pPr>
        <w:ind w:left="288"/>
      </w:pPr>
      <w:r>
        <w:rPr>
          <w:color w:val="8C8C8C"/>
          <w:sz w:val="12"/>
        </w:rPr>
        <w:t>cf-art-129-par-2</w:t>
      </w:r>
      <w:r>
        <w:rPr>
          <w:color w:val="003CA0"/>
          <w:sz w:val="12"/>
        </w:rPr>
        <w:t xml:space="preserve"> | MS 25.838</w:t>
      </w:r>
      <w:r>
        <w:rPr>
          <w:color w:val="003CA0"/>
          <w:sz w:val="12"/>
        </w:rPr>
        <w:t xml:space="preserve"> | rel. Teori Zavascki</w:t>
      </w:r>
    </w:p>
    <w:p>
      <w:pPr>
        <w:ind w:left="288"/>
      </w:pPr>
      <w:r>
        <w:rPr>
          <w:color w:val="1E1E1E"/>
          <w:sz w:val="18"/>
        </w:rPr>
        <w:t>(...) a Portaria/PGR 495/1995 extrapolou os limites do art. 227, VIII, da LC 75/1993. Esse comando normativo é claro ao estabelecer o direito ao auxílio-moradia apenas aos membros do MPU lotados "em local em cujas condições de moradia sejam particularmente difíceis ou onerosas", delegando ao PGR apenas a atribuição para definir os locais cuja lotação ensejaria o pagamento do benefício. Ao contrário do que argumenta a impetrante, o dispositivo legal não prevê a possibilidade de que ato do chefe do MPU estabeleça outros casos de concessão de auxílio-moradia. A "promoção com deslocamento" para as</w:t>
      </w:r>
    </w:p>
    <w:p>
      <w:pPr>
        <w:ind w:left="288"/>
      </w:pPr>
      <w:r>
        <w:rPr>
          <w:b/>
          <w:color w:val="003CA0"/>
          <w:sz w:val="16"/>
        </w:rPr>
        <w:t>[MS 25.838, voto do rel. min. Teori Zavascki, j. 29-9-2015, 2ª T, DJE de 13-10-2015.]</w:t>
      </w:r>
    </w:p>
    <w:p>
      <w:pPr>
        <w:ind w:left="288"/>
      </w:pPr>
      <w:r>
        <w:rPr>
          <w:color w:val="8C8C8C"/>
          <w:sz w:val="12"/>
        </w:rPr>
        <w:t>cf-art-129-par-2</w:t>
      </w:r>
      <w:r>
        <w:rPr>
          <w:color w:val="003CA0"/>
          <w:sz w:val="12"/>
        </w:rPr>
        <w:t xml:space="preserve"> | ADI 6.799</w:t>
      </w:r>
      <w:r>
        <w:rPr>
          <w:color w:val="003CA0"/>
          <w:sz w:val="12"/>
        </w:rPr>
        <w:t xml:space="preserve"> | rel. Cristiano Zanin</w:t>
      </w:r>
    </w:p>
    <w:p>
      <w:pPr>
        <w:ind w:left="288"/>
      </w:pPr>
      <w:r>
        <w:rPr>
          <w:color w:val="1E1E1E"/>
          <w:sz w:val="18"/>
        </w:rPr>
        <w:t>§ 3º O ingresso na carreira do Ministério Público far-se-á mediante concurso público de provas e títulos, assegurada a participação da Ordem dos Advogados do Brasil em sua realização, exigindo-se do bacharel em direito, no mínimo, três anos de atividade jurídica e observando-se, nas nomeações, a ordem de classificação. (Redação da EC 45/2004) “É inconstitucional lei estadual que fixa idade máxima para ingresso na carreira do Ministério Público, sem a necessária vinculação à natureza das atribuições do cargo”.</w:t>
      </w:r>
    </w:p>
    <w:p>
      <w:pPr>
        <w:ind w:left="288"/>
      </w:pPr>
      <w:r>
        <w:rPr>
          <w:b/>
          <w:color w:val="003CA0"/>
          <w:sz w:val="16"/>
        </w:rPr>
        <w:t>[ADI 6.799, rel. min. Cristiano Zanin, j. 26.05.2025, P, DJE de 04.06.2025.]</w:t>
      </w:r>
    </w:p>
    <w:p>
      <w:pPr>
        <w:ind w:left="144"/>
      </w:pPr>
      <w:r>
        <w:rPr>
          <w:b/>
          <w:color w:val="B45A00"/>
          <w:sz w:val="16"/>
        </w:rPr>
        <w:t>CONTROLE CONCENTRADO</w:t>
      </w:r>
    </w:p>
    <w:p>
      <w:pPr>
        <w:ind w:left="288"/>
      </w:pPr>
      <w:r>
        <w:rPr>
          <w:color w:val="8C8C8C"/>
          <w:sz w:val="12"/>
        </w:rPr>
        <w:t>cf-art-129-par-2</w:t>
      </w:r>
      <w:r>
        <w:rPr>
          <w:color w:val="003CA0"/>
          <w:sz w:val="12"/>
        </w:rPr>
        <w:t xml:space="preserve"> | ADI 2.611</w:t>
      </w:r>
      <w:r>
        <w:rPr>
          <w:color w:val="003CA0"/>
          <w:sz w:val="12"/>
        </w:rPr>
        <w:t xml:space="preserve"> | rel. Rosa Weber</w:t>
      </w:r>
    </w:p>
    <w:p>
      <w:pPr>
        <w:ind w:left="288"/>
      </w:pPr>
      <w:r>
        <w:rPr>
          <w:color w:val="1E1E1E"/>
          <w:sz w:val="18"/>
        </w:rPr>
        <w:t>Prevê o artigo 67 da LONMP que ‘a reversão dar-se-á na entrância em que se aposentou o membro do Ministério Público, em vaga a ser provida pelo critério de merecimento, observados os requisitos legais’. A reversão é forma de provimento derivado por reingresso, que pressupõe a prévia aprovação em concurso público com posterior aposentadoria: é especificamente voltada ao servidor inativo. A LONMP previu um singular instituto administrativo de provimento de cargo público com observância dos requisitos legais. Permanece a sua natureza de ato vinculado. Ausência de inconstitucionalidade.</w:t>
      </w:r>
    </w:p>
    <w:p>
      <w:pPr>
        <w:ind w:left="288"/>
      </w:pPr>
      <w:r>
        <w:rPr>
          <w:b/>
          <w:color w:val="003CA0"/>
          <w:sz w:val="16"/>
        </w:rPr>
        <w:t>[ADI 2.611, rel. min. Rosa Weber, j. 7-12-2020, P, DJE de 18-1-2021.]</w:t>
      </w:r>
    </w:p>
    <w:p>
      <w:pPr>
        <w:ind w:left="288"/>
      </w:pPr>
      <w:r>
        <w:rPr>
          <w:color w:val="8C8C8C"/>
          <w:sz w:val="12"/>
        </w:rPr>
        <w:t>cf-art-129-par-2</w:t>
      </w:r>
      <w:r>
        <w:rPr>
          <w:color w:val="003CA0"/>
          <w:sz w:val="12"/>
        </w:rPr>
        <w:t xml:space="preserve"> | ADI 4.219</w:t>
      </w:r>
    </w:p>
    <w:p>
      <w:pPr>
        <w:ind w:left="288"/>
      </w:pPr>
      <w:r>
        <w:rPr>
          <w:color w:val="1E1E1E"/>
          <w:sz w:val="18"/>
        </w:rPr>
        <w:t>Concurso público. Prática forense. 129, §3º da Constituição da República. Atividade jurídica. Inexistência de hierarquia entre saberes práticos e teóricos. Possibilidade de comprovação do triênio constitucional com cursos de pós-graduação. (...) O sintagma “atividade jurídica”, constante do art. 129, §3º, da Constituição da República, não estabelece hierarquia entre as formas prática e teórica de aquisição de conhecimento, exigindo apenas atividade que suceda o curso de direito e o pressuponha como condição de possibilidade. Em sua função regulamentadora, o Conselho Nacional do Ministério Públ</w:t>
      </w:r>
    </w:p>
    <w:p>
      <w:pPr>
        <w:ind w:left="288"/>
      </w:pPr>
      <w:r>
        <w:rPr>
          <w:b/>
          <w:color w:val="003CA0"/>
          <w:sz w:val="16"/>
        </w:rPr>
        <w:t>[ADI 4.219, red. do ac. min. Edson Fachin, j. 5-8-2020, P, DJE de 29-9-2020.]</w:t>
      </w:r>
    </w:p>
    <w:p>
      <w:pPr>
        <w:ind w:left="288"/>
      </w:pPr>
      <w:r>
        <w:rPr>
          <w:color w:val="8C8C8C"/>
          <w:sz w:val="12"/>
        </w:rPr>
        <w:t>cf-art-129-par-2</w:t>
      </w:r>
      <w:r>
        <w:rPr>
          <w:color w:val="003CA0"/>
          <w:sz w:val="12"/>
        </w:rPr>
        <w:t xml:space="preserve"> | ADI 2.958</w:t>
      </w:r>
      <w:r>
        <w:rPr>
          <w:color w:val="003CA0"/>
          <w:sz w:val="12"/>
        </w:rPr>
        <w:t xml:space="preserve"> | rel. Gilmar Mendes</w:t>
      </w:r>
    </w:p>
    <w:p>
      <w:pPr>
        <w:ind w:left="288"/>
      </w:pPr>
      <w:r>
        <w:rPr>
          <w:color w:val="1E1E1E"/>
          <w:sz w:val="18"/>
        </w:rPr>
        <w:t>Provimento 6/2000 da Corregedoria Geral de Justiça do Estado de Santa Catarina. Faculdade de nomeação, pelo juiz da comarca, de bacharel em direito alheio aos quadros do Ministério Público, para funcionar como órgão acusatório penal. Impossibilidade. Ofende o princípio do promotor natural e a exclusividade da promoção da ação penal pública pelo Ministério Público a designação de particular como promotor ad hoc.</w:t>
      </w:r>
    </w:p>
    <w:p>
      <w:pPr>
        <w:ind w:left="288"/>
      </w:pPr>
      <w:r>
        <w:rPr>
          <w:b/>
          <w:color w:val="003CA0"/>
          <w:sz w:val="16"/>
        </w:rPr>
        <w:t>[ADI 2.958, rel. min. Gilmar Mendes, j. 27-9-2019, P, DJE de 16-10-2019.]</w:t>
      </w:r>
    </w:p>
    <w:p>
      <w:pPr>
        <w:ind w:left="288"/>
      </w:pPr>
      <w:r>
        <w:rPr>
          <w:color w:val="8C8C8C"/>
          <w:sz w:val="12"/>
        </w:rPr>
        <w:t>cf-art-129-par-2</w:t>
      </w:r>
      <w:r>
        <w:rPr>
          <w:color w:val="003CA0"/>
          <w:sz w:val="12"/>
        </w:rPr>
        <w:t xml:space="preserve"> | ADI 3.460</w:t>
      </w:r>
      <w:r>
        <w:rPr>
          <w:color w:val="003CA0"/>
          <w:sz w:val="12"/>
        </w:rPr>
        <w:t xml:space="preserve"> | rel. Ayres Britto</w:t>
      </w:r>
    </w:p>
    <w:p>
      <w:pPr>
        <w:ind w:left="288"/>
      </w:pPr>
      <w:r>
        <w:rPr>
          <w:color w:val="1E1E1E"/>
          <w:sz w:val="18"/>
        </w:rPr>
        <w:t>Constitucional. Ação direta de inconstitucionalidade. Art. 7º, caput e parágrafo único, da Resolução 35/2002, com a redação dada pelo art. 1º da Resolução 55/2004, do Conselho Superior do MPDFT. A norma impugnada veio atender ao objetivo da EC 45/2004 de recrutar, com mais rígidos critérios de seletividade técnico-profissional, os pretendentes à carreira ministerial pública. Os três anos de atividade jurídica contam-se da data da conclusão do curso de Direito e o fraseado "atividade jurídica" é significante de atividade para cujo desempenho se faz imprescindível a conclusão de curso de bachare</w:t>
      </w:r>
    </w:p>
    <w:p>
      <w:pPr>
        <w:ind w:left="144"/>
      </w:pPr>
      <w:r>
        <w:rPr>
          <w:b/>
          <w:color w:val="B45A00"/>
          <w:sz w:val="16"/>
        </w:rPr>
        <w:t>JULGADOS CORRELATOS</w:t>
      </w:r>
    </w:p>
    <w:p>
      <w:pPr>
        <w:ind w:left="288"/>
      </w:pPr>
      <w:r>
        <w:rPr>
          <w:color w:val="8C8C8C"/>
          <w:sz w:val="12"/>
        </w:rPr>
        <w:t>cf-art-129-par-2</w:t>
      </w:r>
      <w:r>
        <w:rPr>
          <w:color w:val="003CA0"/>
          <w:sz w:val="12"/>
        </w:rPr>
        <w:t xml:space="preserve"> | MS 27.601</w:t>
      </w:r>
      <w:r>
        <w:rPr>
          <w:color w:val="003CA0"/>
          <w:sz w:val="12"/>
        </w:rPr>
        <w:t xml:space="preserve"> | rel. Marco Aurélio</w:t>
      </w:r>
    </w:p>
    <w:p>
      <w:pPr>
        <w:ind w:left="288"/>
      </w:pPr>
      <w:r>
        <w:rPr>
          <w:color w:val="1E1E1E"/>
          <w:sz w:val="18"/>
        </w:rPr>
        <w:t>Concurso. Atividade jurídica. Especificidade. Art. 129, § 3º, da CF. Alcance. A expressão "três anos de atividade jurídica", contida no art. 129 da CF, não encerra vinculação a atividade privativa de bacharel em direito.</w:t>
      </w:r>
    </w:p>
    <w:p>
      <w:pPr>
        <w:ind w:left="288"/>
      </w:pPr>
      <w:r>
        <w:rPr>
          <w:b/>
          <w:color w:val="003CA0"/>
          <w:sz w:val="16"/>
        </w:rPr>
        <w:t>[MS 27.601, rel. min. Marco Aurélio, j. 22-9-2015, 1ª T, DJE de 17-11-2015.]</w:t>
      </w:r>
    </w:p>
    <w:p>
      <w:pPr>
        <w:ind w:left="288"/>
      </w:pPr>
      <w:r>
        <w:rPr>
          <w:color w:val="8C8C8C"/>
          <w:sz w:val="12"/>
        </w:rPr>
        <w:t>cf-art-129-par-2</w:t>
      </w:r>
      <w:r>
        <w:rPr>
          <w:color w:val="003CA0"/>
          <w:sz w:val="12"/>
        </w:rPr>
        <w:t xml:space="preserve"> | MS 32.176</w:t>
      </w:r>
      <w:r>
        <w:rPr>
          <w:color w:val="003CA0"/>
          <w:sz w:val="12"/>
        </w:rPr>
        <w:t xml:space="preserve"> | rel. Dias Toffoli</w:t>
      </w:r>
    </w:p>
    <w:p>
      <w:pPr>
        <w:ind w:left="288"/>
      </w:pPr>
      <w:r>
        <w:rPr>
          <w:color w:val="1E1E1E"/>
          <w:sz w:val="18"/>
        </w:rPr>
        <w:t>A competência de órgãos internos do Ministério Público do Estado do Ceará se restringe ao controle de legalidade de concurso público, ficando resguardada a competência da comissão do concurso, integrada por representante da OAB, para decidir quanto ao conteúdo da prova e ao mérito das questões.</w:t>
      </w:r>
    </w:p>
    <w:p>
      <w:pPr>
        <w:ind w:left="288"/>
      </w:pPr>
      <w:r>
        <w:rPr>
          <w:b/>
          <w:color w:val="003CA0"/>
          <w:sz w:val="16"/>
        </w:rPr>
        <w:t>[MS 32.176, rel. min. Dias Toffoli, j. 18-3-2014, 1ª T, DJE de 14-4-2014.]</w:t>
      </w:r>
    </w:p>
    <w:p>
      <w:pPr>
        <w:ind w:left="288"/>
      </w:pPr>
      <w:r>
        <w:rPr>
          <w:color w:val="8C8C8C"/>
          <w:sz w:val="12"/>
        </w:rPr>
        <w:t>cf-art-129-par-2</w:t>
      </w:r>
      <w:r>
        <w:rPr>
          <w:color w:val="003CA0"/>
          <w:sz w:val="12"/>
        </w:rPr>
        <w:t xml:space="preserve"> | ADI 3.460</w:t>
      </w:r>
      <w:r>
        <w:rPr>
          <w:color w:val="003CA0"/>
          <w:sz w:val="12"/>
        </w:rPr>
        <w:t xml:space="preserve"> | rel. Carlos Britto (DJ de 15-6-2007)</w:t>
      </w:r>
    </w:p>
    <w:p>
      <w:pPr>
        <w:ind w:left="288"/>
      </w:pPr>
      <w:r>
        <w:rPr>
          <w:color w:val="1E1E1E"/>
          <w:sz w:val="18"/>
        </w:rPr>
        <w:t>Comprovação de atividade jurídica para o concurso do MPF. Peculiaridades do caso. A interpretação do art. 129, § 3º, da Constituição foi claramente estabelecida pela Suprema Corte no julgamento da ADI 3.460, rel. min. Carlos Britto (DJ de 15-6-2007), de acordo com o qual (i) os três anos de atividade jurídica pressupõem a conclusão do curso de bacharelado em Direito e (ii) a comprovação desse requisito deve ocorrer na data da inscrição no concurso e não em momento posterior. O ato coator tomou como termo inicial da atividade jurídica do impetrante a sua inscrição na OAB, o que é correto, porqu</w:t>
      </w:r>
    </w:p>
    <w:p>
      <w:pPr>
        <w:ind w:left="288"/>
      </w:pPr>
      <w:r>
        <w:rPr>
          <w:b/>
          <w:color w:val="003CA0"/>
          <w:sz w:val="16"/>
        </w:rPr>
        <w:t>[MS 26.681, rel. min. Menezes Direito, j. 26-11-2008, P, DJE de 17-4-2009.]</w:t>
      </w:r>
    </w:p>
    <w:p>
      <w:pPr>
        <w:ind w:left="288"/>
      </w:pPr>
      <w:r>
        <w:rPr>
          <w:color w:val="8C8C8C"/>
          <w:sz w:val="12"/>
        </w:rPr>
        <w:t>cf-art-129-par-2</w:t>
      </w:r>
      <w:r>
        <w:rPr>
          <w:color w:val="003CA0"/>
          <w:sz w:val="12"/>
        </w:rPr>
        <w:t xml:space="preserve"> | MS 27.604</w:t>
      </w:r>
      <w:r>
        <w:rPr>
          <w:color w:val="003CA0"/>
          <w:sz w:val="12"/>
        </w:rPr>
        <w:t xml:space="preserve"> | rel. Ayres Britto</w:t>
      </w:r>
    </w:p>
    <w:p>
      <w:pPr>
        <w:ind w:left="288"/>
      </w:pPr>
      <w:r>
        <w:rPr>
          <w:color w:val="1E1E1E"/>
          <w:sz w:val="18"/>
        </w:rPr>
        <w:t xml:space="preserve">= MS 27.604, rel. min. Ayres Britto, j. 6-10-2010, P, DJE de 9-2-2011 Vide ADI 3.460, rel. min. Ayres Britto, j. 31-8-2006, P, DJ de 15-6-2007 A ausência de regras de transição para disciplinar situações fáticas não abrangidas pelo novo regime jurídico instituído por emenda constitucional demanda a análise de cada caso concreto à luz do direito enquanto totalidade. O Ministério Público nacional é uno (art. 128, I e II, da CF), compondo-se do MPU e dos Ministérios Públicos dos Estados. (...) A circunstância de a impetrante, promotora de justiça no Estado do Paraná, exercer funções delegadas do </w:t>
      </w:r>
    </w:p>
    <w:p>
      <w:pPr>
        <w:ind w:left="288"/>
      </w:pPr>
      <w:r>
        <w:rPr>
          <w:b/>
          <w:color w:val="003CA0"/>
          <w:sz w:val="16"/>
        </w:rPr>
        <w:t>[MS 26.690, rel. min. Eros Grau, j. 3-9-2008, P, DJE de 19-12-2008.]</w:t>
      </w:r>
    </w:p>
    <w:p>
      <w:pPr>
        <w:ind w:left="288"/>
      </w:pPr>
      <w:r>
        <w:rPr>
          <w:color w:val="8C8C8C"/>
          <w:sz w:val="12"/>
        </w:rPr>
        <w:t>cf-art-129-par-2</w:t>
      </w:r>
      <w:r>
        <w:rPr>
          <w:color w:val="003CA0"/>
          <w:sz w:val="12"/>
        </w:rPr>
        <w:t xml:space="preserve"> | MS 26.682</w:t>
      </w:r>
      <w:r>
        <w:rPr>
          <w:color w:val="003CA0"/>
          <w:sz w:val="12"/>
        </w:rPr>
        <w:t xml:space="preserve"> | rel. Cezar Peluso</w:t>
      </w:r>
    </w:p>
    <w:p>
      <w:pPr>
        <w:ind w:left="288"/>
      </w:pPr>
      <w:r>
        <w:rPr>
          <w:color w:val="1E1E1E"/>
          <w:sz w:val="18"/>
        </w:rPr>
        <w:t>Servidor público. Concurso público. Cargo público. MPF. Requisito de tempo de atividade jurídica na condição de bacharel em Direito. Contagem da data de conclusão do curso, não da colação de grau. Cômputo do tempo de curso de pós-graduação na área jurídica. Aplicação do art. 1º, parágrafo único, da Resolução 4/2006 do CNMP. Escola da Magistratura do RJ. Direito líquido e certo reconhecido. Liminar confirmada. Concessão de mandado de segurança. Precedente. Inteligência do art. 129, § 3º, da CF. Os três anos de atividade jurídica exigidos ao candidato para inscrição definitiva em concurso de ing</w:t>
      </w:r>
    </w:p>
    <w:p>
      <w:pPr>
        <w:ind w:left="288"/>
      </w:pPr>
      <w:r>
        <w:rPr>
          <w:b/>
          <w:color w:val="003CA0"/>
          <w:sz w:val="16"/>
        </w:rPr>
        <w:t>[MS 26.682, rel. min. Cezar Peluso, j. 15-5-2008, P, DJE de 27-6-2008.]</w:t>
      </w:r>
    </w:p>
    <w:p>
      <w:pPr>
        <w:ind w:left="288"/>
      </w:pPr>
      <w:r>
        <w:rPr>
          <w:color w:val="8C8C8C"/>
          <w:sz w:val="12"/>
        </w:rPr>
        <w:t>cf-art-129-par-2</w:t>
      </w:r>
      <w:r>
        <w:rPr>
          <w:color w:val="003CA0"/>
          <w:sz w:val="12"/>
        </w:rPr>
        <w:t xml:space="preserve"> | MS 27.158</w:t>
      </w:r>
      <w:r>
        <w:rPr>
          <w:color w:val="003CA0"/>
          <w:sz w:val="12"/>
        </w:rPr>
        <w:t xml:space="preserve"> | rel. Gilmar Mendes</w:t>
      </w:r>
    </w:p>
    <w:p>
      <w:pPr>
        <w:ind w:left="288"/>
      </w:pPr>
      <w:r>
        <w:rPr>
          <w:color w:val="1E1E1E"/>
          <w:sz w:val="18"/>
        </w:rPr>
        <w:t>Violação do princípio da igualdade: decisões monocráticas divergentes no âmbito do STF. Ato do PGR que cancelou a inscrição preliminar do impetrante no 24º concurso público para provimento de cargos de procurador da República. Não preenchimento da exigência de prática jurídica em cargo ocupado exclusivamente por bacharel em Direito. Entendimento ainda não consolidado por esta Corte. Ausência dos requisitos autorizadores da medida liminar.</w:t>
      </w:r>
    </w:p>
    <w:p>
      <w:pPr>
        <w:ind w:left="288"/>
      </w:pPr>
      <w:r>
        <w:rPr>
          <w:b/>
          <w:color w:val="003CA0"/>
          <w:sz w:val="16"/>
        </w:rPr>
        <w:t>[MS 27.158 MC-QO, rel. min. Gilmar Mendes, j. 21-2-2008, P, DJE de 2-5-2008.]</w:t>
      </w:r>
    </w:p>
    <w:p>
      <w:pPr>
        <w:ind w:left="288"/>
      </w:pPr>
      <w:r>
        <w:rPr>
          <w:color w:val="8C8C8C"/>
          <w:sz w:val="12"/>
        </w:rPr>
        <w:t>cf-art-129-par-2</w:t>
      </w:r>
      <w:r>
        <w:rPr>
          <w:color w:val="003CA0"/>
          <w:sz w:val="12"/>
        </w:rPr>
        <w:t xml:space="preserve"> | ADI 3.460</w:t>
      </w:r>
      <w:r>
        <w:rPr>
          <w:color w:val="003CA0"/>
          <w:sz w:val="12"/>
        </w:rPr>
        <w:t xml:space="preserve"> | rel. Ayres Britto</w:t>
      </w:r>
    </w:p>
    <w:p>
      <w:pPr>
        <w:ind w:left="288"/>
      </w:pPr>
      <w:r>
        <w:rPr>
          <w:color w:val="1E1E1E"/>
          <w:sz w:val="18"/>
        </w:rPr>
        <w:t>Vide ADI 3.460, rel. min. Ayres Britto, j. 31-8-2006, P, DJ de 15-6-2007 O art. 187 da LC 75/1993 exige dois anos de bacharelado em Direito como requisito para inscrição em concurso público para ingresso na carreira do MPU. Impugnado na ADI 1.040, esse dispositivo foi considerado compatível com a CF. O juiz de primeiro grau afastou a referida exigência, sob a alegação de que a superveniência da EC 45/2004 retirou a eficácia da decisão proferida por este STF na ADI 1.040. A mencionada EC 45/2004 não fez cessar a eficácia da decisão prolatada na ADI 1.040, pois, ao estabelecer a exigência de trê</w:t>
      </w:r>
    </w:p>
    <w:p>
      <w:pPr>
        <w:ind w:left="288"/>
      </w:pPr>
      <w:r>
        <w:rPr>
          <w:b/>
          <w:color w:val="003CA0"/>
          <w:sz w:val="16"/>
        </w:rPr>
        <w:t>[Rcl 3.932, rel. min. Ayres Britto, j. 21-11-2007, P, DJE de 9-10-2009.]</w:t>
      </w:r>
    </w:p>
    <w:p>
      <w:pPr>
        <w:ind w:left="288"/>
      </w:pPr>
      <w:r>
        <w:rPr>
          <w:color w:val="8C8C8C"/>
          <w:sz w:val="12"/>
        </w:rPr>
        <w:t>cf-art-129-par-4</w:t>
      </w:r>
      <w:r>
        <w:rPr>
          <w:color w:val="003CA0"/>
          <w:sz w:val="12"/>
        </w:rPr>
        <w:t xml:space="preserve"> | ADI 7.289</w:t>
      </w:r>
      <w:r>
        <w:rPr>
          <w:color w:val="003CA0"/>
          <w:sz w:val="12"/>
        </w:rPr>
        <w:t xml:space="preserve"> | rel. André Mendonça</w:t>
      </w:r>
    </w:p>
    <w:p>
      <w:pPr>
        <w:ind w:left="288"/>
      </w:pPr>
      <w:r>
        <w:rPr>
          <w:color w:val="1E1E1E"/>
          <w:sz w:val="18"/>
        </w:rPr>
        <w:t>A Lei nº 8.625/1993 (LONMP) disciplina os critérios de promoção e remoção dos membros do Ministério Público, sem prever o maior tempo “na Administração Pública estadual, federal, municipal” como critério de desempate, razão pela qual a norma estadual impugnada extrapola os limites da competência legislativa dos estados, incorrendo em inconstitucionalidade formal. O critério de maior tempo “na Administração Pública estadual, federal, municipal” para fins de desempate na promoção de membros do Ministério Público cria distinção indevida entre candidatos com tempo equivalente na carreira, afrontan</w:t>
      </w:r>
    </w:p>
    <w:p>
      <w:pPr>
        <w:ind w:left="288"/>
      </w:pPr>
      <w:r>
        <w:rPr>
          <w:b/>
          <w:color w:val="003CA0"/>
          <w:sz w:val="16"/>
        </w:rPr>
        <w:t>[ADI 7.289, rel. min. André Mendonça, j. 07.05.2025, P, DJE de 19.05.2025.]</w:t>
      </w:r>
    </w:p>
    <w:p>
      <w:pPr>
        <w:ind w:left="144"/>
      </w:pPr>
      <w:r>
        <w:rPr>
          <w:b/>
          <w:color w:val="B45A00"/>
          <w:sz w:val="16"/>
        </w:rPr>
        <w:t>CONTROLE CONCENTRADO</w:t>
      </w:r>
    </w:p>
    <w:p>
      <w:pPr>
        <w:ind w:left="288"/>
      </w:pPr>
      <w:r>
        <w:rPr>
          <w:color w:val="8C8C8C"/>
          <w:sz w:val="12"/>
        </w:rPr>
        <w:t>cf-art-129-par-4</w:t>
      </w:r>
      <w:r>
        <w:rPr>
          <w:color w:val="003CA0"/>
          <w:sz w:val="12"/>
        </w:rPr>
        <w:t xml:space="preserve"> | ADI 7.286</w:t>
      </w:r>
      <w:r>
        <w:rPr>
          <w:color w:val="003CA0"/>
          <w:sz w:val="12"/>
        </w:rPr>
        <w:t xml:space="preserve"> | rel. Cármen Lúcia</w:t>
      </w:r>
    </w:p>
    <w:p>
      <w:pPr>
        <w:ind w:left="288"/>
      </w:pPr>
      <w:r>
        <w:rPr>
          <w:color w:val="1E1E1E"/>
          <w:sz w:val="18"/>
        </w:rPr>
        <w:t>Als. c e d do § 2º do art. 122 da Lei Complementar n. 11/1996, da Bahia. Critérios de desempate na promoção e remoção de membro do Ministério Público Estadual por antiguidade. Inobservância dos critérios estabelecidos na Lei Orgânica do Ministério Público. Impossibilidade de reconhecimento do número de filhos ou do tempo de serviço público.</w:t>
        <w:br/>
        <w:t>[ADI 7.286, rel. min. Cármen Lúcia, j. 13-6-2023, P, DJE de 20-6-2023.] A Lei Orgânica do Ministério Público do Estado de Goiás previu a figura da remoção interna, como procedimento anterior à remoção tratada nos art. 62 e 63 da LONMP, estabelecendo critéri</w:t>
      </w:r>
    </w:p>
    <w:p>
      <w:pPr>
        <w:ind w:left="288"/>
      </w:pPr>
      <w:r>
        <w:rPr>
          <w:b/>
          <w:color w:val="003CA0"/>
          <w:sz w:val="16"/>
        </w:rPr>
        <w:t>[ADI 5.490, rel. min. Cármen Lúcia, j. 20-11-2019, P, DJE de 9-12-2019.]</w:t>
      </w:r>
    </w:p>
    <w:p>
      <w:pPr>
        <w:ind w:left="288"/>
      </w:pPr>
      <w:r>
        <w:rPr>
          <w:color w:val="8C8C8C"/>
          <w:sz w:val="12"/>
        </w:rPr>
        <w:t>cf-art-129-par-4</w:t>
      </w:r>
      <w:r>
        <w:rPr>
          <w:color w:val="003CA0"/>
          <w:sz w:val="12"/>
        </w:rPr>
        <w:t xml:space="preserve"> | ADI 1.283</w:t>
      </w:r>
      <w:r>
        <w:rPr>
          <w:color w:val="003CA0"/>
          <w:sz w:val="12"/>
        </w:rPr>
        <w:t xml:space="preserve"> | rel. Roberto Barroso</w:t>
      </w:r>
    </w:p>
    <w:p>
      <w:pPr>
        <w:ind w:left="288"/>
      </w:pPr>
      <w:r>
        <w:rPr>
          <w:color w:val="1E1E1E"/>
          <w:sz w:val="18"/>
        </w:rPr>
        <w:t>Lei Orgânica Nacional do Ministério Público. Regra particular e transitória sobre remoção. Constitucionalidade. Lei que determinou a criação, no prazo de um ano da sua promulgação, de cargos correspondentes a funções não atribuídas aos cargos existentes na estrutura do Ministério Público, e que estabeleceu a preferência dos promotores que já desempenhassem tais funções para fins de preenchimento dos novos cargos, por meio dos pertinentes concursos de remoção (Lei 8.652/1993, art. 76). A remoção é instituto diverso da promoção. Descabimento da pretensão de aplicação obrigatória dos mesmos crité</w:t>
      </w:r>
    </w:p>
    <w:p>
      <w:pPr>
        <w:ind w:left="288"/>
      </w:pPr>
      <w:r>
        <w:rPr>
          <w:b/>
          <w:color w:val="003CA0"/>
          <w:sz w:val="16"/>
        </w:rPr>
        <w:t>[ADI 1.283, rel. min. Roberto Barroso, j. 19-12-2018, P, DJE de 25-2-2019.]</w:t>
      </w:r>
    </w:p>
    <w:p>
      <w:pPr>
        <w:ind w:left="288"/>
      </w:pPr>
      <w:r>
        <w:rPr>
          <w:color w:val="8C8C8C"/>
          <w:sz w:val="12"/>
        </w:rPr>
        <w:t>cf-art-129-par-4</w:t>
      </w:r>
      <w:r>
        <w:rPr>
          <w:color w:val="003CA0"/>
          <w:sz w:val="12"/>
        </w:rPr>
        <w:t xml:space="preserve"> | ADI 3.220</w:t>
      </w:r>
      <w:r>
        <w:rPr>
          <w:color w:val="003CA0"/>
          <w:sz w:val="12"/>
        </w:rPr>
        <w:t xml:space="preserve"> | rel. Ayres Britto</w:t>
      </w:r>
    </w:p>
    <w:p>
      <w:pPr>
        <w:ind w:left="288"/>
      </w:pPr>
      <w:r>
        <w:rPr>
          <w:color w:val="1E1E1E"/>
          <w:sz w:val="18"/>
        </w:rPr>
        <w:t>Conquanto a LC 102/2004, ao alterar a Lei Orgânica do Ministério Público do Estado do Paraná, tenha suprimido a exigência de os procuradores de justiça residirem na sede da procuradoria-geral de justiça, não se afigura que tal supressão possa conduzir ao juízo de inconstitucionalidade do diploma legal sob censura, porquanto a referida exigência já se faz presente no âmago da CF de 1988.</w:t>
      </w:r>
    </w:p>
    <w:p>
      <w:pPr>
        <w:ind w:left="288"/>
      </w:pPr>
      <w:r>
        <w:rPr>
          <w:b/>
          <w:color w:val="003CA0"/>
          <w:sz w:val="16"/>
        </w:rPr>
        <w:t>[ADI 3.220 MC, rel. min. Ayres Britto, j. 10-3-2005, P, DJ de 6-5-2005.]</w:t>
      </w:r>
    </w:p>
    <w:p>
      <w:pPr>
        <w:ind w:left="288"/>
      </w:pPr>
      <w:r>
        <w:rPr>
          <w:color w:val="8C8C8C"/>
          <w:sz w:val="12"/>
        </w:rPr>
        <w:t>cf-art-129-par-4</w:t>
      </w:r>
      <w:r>
        <w:rPr>
          <w:color w:val="003CA0"/>
          <w:sz w:val="12"/>
        </w:rPr>
        <w:t xml:space="preserve"> | ADI 994</w:t>
      </w:r>
      <w:r>
        <w:rPr>
          <w:color w:val="003CA0"/>
          <w:sz w:val="12"/>
        </w:rPr>
        <w:t xml:space="preserve"> | rel. Néri da Silveira</w:t>
      </w:r>
    </w:p>
    <w:p>
      <w:pPr>
        <w:ind w:left="288"/>
      </w:pPr>
      <w:r>
        <w:rPr>
          <w:color w:val="1E1E1E"/>
          <w:sz w:val="18"/>
        </w:rPr>
        <w:t>LC 75, de 20-5-1993, que dispõe sobre a organização, as atribuições e o estatuto do MPU, art. 231, § 3º. Aposentadoria ao membro do Ministério Público do sexo feminino, com proventos proporcionais, aos 25 anos de serviço. Alegação de ofensa ao art. 129, § 4º, c/c o art. 93, VI, ambos da CF. De referência à Magistratura e ao Ministério Público, há regime de aposentadoria voluntária, de explícito, previsto na Constituição (arts. 93, VI, e 129, § 4º). Não se contempla, aí, aposentadoria facultativa, com proventos proporcionais. A aposentadoria voluntária, aos trinta anos de serviço, para a magist</w:t>
      </w:r>
    </w:p>
    <w:p>
      <w:pPr>
        <w:ind w:left="288"/>
      </w:pPr>
      <w:r>
        <w:rPr>
          <w:b/>
          <w:color w:val="003CA0"/>
          <w:sz w:val="16"/>
        </w:rPr>
        <w:t>[ADI 994, rel. min. Néri da Silveira, j. 20-5-1993, P, DJ de 19-9-2003.]</w:t>
      </w:r>
    </w:p>
    <w:p>
      <w:pPr>
        <w:ind w:left="144"/>
      </w:pPr>
      <w:r>
        <w:rPr>
          <w:b/>
          <w:color w:val="B45A00"/>
          <w:sz w:val="16"/>
        </w:rPr>
        <w:t>JULGADOS CORRELATOS</w:t>
      </w:r>
    </w:p>
    <w:p>
      <w:pPr>
        <w:ind w:left="288"/>
      </w:pPr>
      <w:r>
        <w:rPr>
          <w:color w:val="8C8C8C"/>
          <w:sz w:val="12"/>
        </w:rPr>
        <w:t>cf-art-129-par-4</w:t>
      </w:r>
      <w:r>
        <w:rPr>
          <w:color w:val="003CA0"/>
          <w:sz w:val="12"/>
        </w:rPr>
        <w:t xml:space="preserve"> | MS 25.125</w:t>
      </w:r>
      <w:r>
        <w:rPr>
          <w:color w:val="003CA0"/>
          <w:sz w:val="12"/>
        </w:rPr>
        <w:t xml:space="preserve"> | rel. Dias Toffoli</w:t>
      </w:r>
    </w:p>
    <w:p>
      <w:pPr>
        <w:ind w:left="288"/>
      </w:pPr>
      <w:r>
        <w:rPr>
          <w:color w:val="1E1E1E"/>
          <w:sz w:val="18"/>
        </w:rPr>
        <w:t>Promoção por antiguidade. Decisão da procuradora-geral de Justiça Militar. Ratificação pelo Conselho de Assessoramento Superior do MPF. (...) Legislação omissa em relação ao fato de a promoção por antiguidade preceder à remoção, ou vice-versa. Necessária vinculação da administração pública às permissões legais, ante o princípio da legalidade. Procedimento adotado pelo MPU em casos semelhantes, fundamentado em regulamentação do Conselho Superior. Princípio da igualdade de tratamento jurídico. Inexistência de ato ilegal que assegure direito líquido e certo.</w:t>
      </w:r>
    </w:p>
    <w:p>
      <w:pPr>
        <w:ind w:left="288"/>
      </w:pPr>
      <w:r>
        <w:rPr>
          <w:b/>
          <w:color w:val="003CA0"/>
          <w:sz w:val="16"/>
        </w:rPr>
        <w:t>[MS 25.125, rel. min. Dias Toffoli, j. 28-8-2012, 1ª T, DJE de 21-9-2012.]</w:t>
      </w:r>
    </w:p>
    <w:p>
      <w:pPr>
        <w:ind w:left="288"/>
      </w:pPr>
      <w:r>
        <w:rPr>
          <w:color w:val="8C8C8C"/>
          <w:sz w:val="12"/>
        </w:rPr>
        <w:t>cf-art-129-par-4</w:t>
      </w:r>
      <w:r>
        <w:rPr>
          <w:color w:val="003CA0"/>
          <w:sz w:val="12"/>
        </w:rPr>
        <w:t xml:space="preserve"> | MS 26.264</w:t>
      </w:r>
      <w:r>
        <w:rPr>
          <w:color w:val="003CA0"/>
          <w:sz w:val="12"/>
        </w:rPr>
        <w:t xml:space="preserve"> | rel. Marco Aurélio</w:t>
      </w:r>
    </w:p>
    <w:p>
      <w:pPr>
        <w:ind w:left="288"/>
      </w:pPr>
      <w:r>
        <w:rPr>
          <w:color w:val="1E1E1E"/>
          <w:sz w:val="18"/>
        </w:rPr>
        <w:t>Surge harmônica com o arcabouço normativo e com a razoabilidade regra editada pelo Conselho Superior do MPF prevendo que, persistindo o empate no terceiro escrutínio, a lista tríplice será integrada pelo membro mais antigo envolvido no impasse, não sendo aplicável a norma do art. 56, § 1º, da LC 75/1993. (...) Há de fazer-se considerado o perfil profissional dos candidatos, aferindo-se o merecimento de cada qual.</w:t>
      </w:r>
    </w:p>
    <w:p>
      <w:pPr>
        <w:ind w:left="288"/>
      </w:pPr>
      <w:r>
        <w:rPr>
          <w:b/>
          <w:color w:val="003CA0"/>
          <w:sz w:val="16"/>
        </w:rPr>
        <w:t>[MS 26.264, rel. min. Marco Aurélio, j. 21-5-2007, P, DJ de 5-10-2007.]</w:t>
      </w:r>
    </w:p>
    <w:p>
      <w:pPr>
        <w:ind w:left="288"/>
      </w:pPr>
      <w:r>
        <w:rPr>
          <w:color w:val="8C8C8C"/>
          <w:sz w:val="12"/>
        </w:rPr>
        <w:t>cf-art-129-par-5</w:t>
      </w:r>
      <w:r>
        <w:rPr>
          <w:color w:val="003CA0"/>
          <w:sz w:val="12"/>
        </w:rPr>
        <w:t xml:space="preserve"> | AI 707.988</w:t>
      </w:r>
      <w:r>
        <w:rPr>
          <w:color w:val="003CA0"/>
          <w:sz w:val="12"/>
        </w:rPr>
        <w:t xml:space="preserve"> | rel. Cármen Lúcia</w:t>
      </w:r>
    </w:p>
    <w:p>
      <w:pPr>
        <w:ind w:left="288"/>
      </w:pPr>
      <w:r>
        <w:rPr>
          <w:color w:val="1E1E1E"/>
          <w:sz w:val="18"/>
        </w:rPr>
        <w:t>Agravo regimental no agravo de instrumento. Diversas formas de intimação do Ministério Público: considera-se a que primeiro ocorreu. Intempestividade: agravo regimental do qual não se conhece. A intimação pessoal do Ministério Público pode ocorrer por mandado ou pela entrega dos autos devidamente formalizada no setor administrativo do Ministério Público, sendo que, para efeitos de comprovação da tempestividade do recurso, admite-se, excepcionalmente, a "aposição do ciente". Ocorrendo a intimação pessoal por diversas formas, há de ser considerada, para a contagem dos prazos recursais, a que oco</w:t>
      </w:r>
    </w:p>
    <w:p>
      <w:pPr>
        <w:ind w:left="288"/>
      </w:pPr>
      <w:r>
        <w:rPr>
          <w:b/>
          <w:color w:val="003CA0"/>
          <w:sz w:val="16"/>
        </w:rPr>
        <w:t>[AI 707.988 AgR, rel. min. Cármen Lúcia, j. 12-8-2008, 1ª T, DJE de 19-9-2008.]</w:t>
      </w:r>
    </w:p>
    <w:p>
      <w:pPr>
        <w:ind w:left="288"/>
      </w:pPr>
      <w:r>
        <w:rPr>
          <w:color w:val="8C8C8C"/>
          <w:sz w:val="12"/>
        </w:rPr>
        <w:t>cf-art-129-par-5</w:t>
      </w:r>
      <w:r>
        <w:rPr>
          <w:color w:val="003CA0"/>
          <w:sz w:val="12"/>
        </w:rPr>
        <w:t xml:space="preserve"> | HC 99.540</w:t>
      </w:r>
      <w:r>
        <w:rPr>
          <w:color w:val="003CA0"/>
          <w:sz w:val="12"/>
        </w:rPr>
        <w:t xml:space="preserve"> | rel. Ellen Gracie</w:t>
      </w:r>
    </w:p>
    <w:p>
      <w:pPr>
        <w:ind w:left="288"/>
      </w:pPr>
      <w:r>
        <w:rPr>
          <w:color w:val="1E1E1E"/>
          <w:sz w:val="18"/>
        </w:rPr>
        <w:t>Vide HC 99.540, rel. min. Ellen Gracie, j. 4-5-2010, 2ª T, DJE de 21-5-2010 Vide HC 83.255, rel. min. Marco Aurélio, j. 5-11-2003, P, DJ de 12-3-2004</w:t>
      </w:r>
    </w:p>
    <w:p>
      <w:r>
        <w:rPr>
          <w:b/>
          <w:color w:val="003366"/>
          <w:sz w:val="20"/>
        </w:rPr>
        <w:t xml:space="preserve">Art. 130 Resolução do Senado Federal fixará, para todas as esferas federativas, </w:t>
      </w:r>
      <w:r>
        <w:rPr>
          <w:color w:val="8C8C8C"/>
          <w:sz w:val="14"/>
        </w:rPr>
        <w:t xml:space="preserve">  [28 decisoes]</w:t>
      </w:r>
    </w:p>
    <w:p>
      <w:pPr>
        <w:ind w:left="288"/>
      </w:pPr>
      <w:r>
        <w:rPr>
          <w:color w:val="8C8C8C"/>
          <w:sz w:val="12"/>
        </w:rPr>
        <w:t>cf-art-130</w:t>
      </w:r>
      <w:r>
        <w:rPr>
          <w:color w:val="003CA0"/>
          <w:sz w:val="12"/>
        </w:rPr>
        <w:t xml:space="preserve"> | ADI 5.254</w:t>
      </w:r>
      <w:r>
        <w:rPr>
          <w:color w:val="003CA0"/>
          <w:sz w:val="12"/>
        </w:rPr>
        <w:t xml:space="preserve"> | rel. Luís Roberto Barroso</w:t>
      </w:r>
    </w:p>
    <w:p>
      <w:pPr>
        <w:ind w:left="288"/>
      </w:pPr>
      <w:r>
        <w:rPr>
          <w:color w:val="1E1E1E"/>
          <w:sz w:val="18"/>
        </w:rPr>
        <w:t>“É inconstitucional, por violação aos arts. 130 e 75 da CF/1988, norma estadual que confere autonomia administrativa e orçamentária ao Ministério Público Estadual junto ao Tribunal de Contas, garantida a independência funcional de seus membros e os meios necessários para o desempenho da função”.</w:t>
      </w:r>
    </w:p>
    <w:p>
      <w:pPr>
        <w:ind w:left="288"/>
      </w:pPr>
      <w:r>
        <w:rPr>
          <w:b/>
          <w:color w:val="003CA0"/>
          <w:sz w:val="16"/>
        </w:rPr>
        <w:t>[ADI 5.254, rel. min. Luís Roberto Barroso, j. 21.08.2024, P, DJE de 05.08.2025.]</w:t>
      </w:r>
    </w:p>
    <w:p>
      <w:pPr>
        <w:ind w:left="144"/>
      </w:pPr>
      <w:r>
        <w:rPr>
          <w:b/>
          <w:color w:val="B45A00"/>
          <w:sz w:val="16"/>
        </w:rPr>
        <w:t>CONTROLE CONCENTRADO</w:t>
      </w:r>
    </w:p>
    <w:p>
      <w:pPr>
        <w:ind w:left="288"/>
      </w:pPr>
      <w:r>
        <w:rPr>
          <w:color w:val="8C8C8C"/>
          <w:sz w:val="12"/>
        </w:rPr>
        <w:t>cf-art-130</w:t>
      </w:r>
      <w:r>
        <w:rPr>
          <w:color w:val="003CA0"/>
          <w:sz w:val="12"/>
        </w:rPr>
        <w:t xml:space="preserve"> | ADI 5.692</w:t>
      </w:r>
      <w:r>
        <w:rPr>
          <w:color w:val="003CA0"/>
          <w:sz w:val="12"/>
        </w:rPr>
        <w:t xml:space="preserve"> | rel. Rosa Weber</w:t>
      </w:r>
    </w:p>
    <w:p>
      <w:pPr>
        <w:ind w:left="288"/>
      </w:pPr>
      <w:r>
        <w:rPr>
          <w:color w:val="1E1E1E"/>
          <w:sz w:val="18"/>
        </w:rPr>
        <w:t>Esta Casa encerrou controvérsia jurídico-constitucional, de modo a consagrar, de forma definitiva, a integração do Ministério Público especial à intimidade estrutural do Tribunal de Contas, ou seja, o Parquet de Contas está intrinsecamente vinculado ao próprio Tribunal de Contas perante o qual oficia. (...) O termo investidura inscrito no art. 130 da Constituição Federal faz referência à forma como o membro do Parquet de Contas ingressa na carreira, estabelecendo o vínculo jurídico-administrativo originário com a Instituição. (...) Cabe aos Estados-membros, no desempenho de sua autonomia polít</w:t>
      </w:r>
    </w:p>
    <w:p>
      <w:pPr>
        <w:ind w:left="288"/>
      </w:pPr>
      <w:r>
        <w:rPr>
          <w:b/>
          <w:color w:val="003CA0"/>
          <w:sz w:val="16"/>
        </w:rPr>
        <w:t>[ADI 328, rel. min. Ricardo Lewandowski, j. 2-2-2009, P, DJE de 6-3-2009.]</w:t>
      </w:r>
    </w:p>
    <w:p>
      <w:pPr>
        <w:ind w:left="288"/>
      </w:pPr>
      <w:r>
        <w:rPr>
          <w:color w:val="8C8C8C"/>
          <w:sz w:val="12"/>
        </w:rPr>
        <w:t>cf-art-130</w:t>
      </w:r>
      <w:r>
        <w:rPr>
          <w:color w:val="003CA0"/>
          <w:sz w:val="12"/>
        </w:rPr>
        <w:t xml:space="preserve"> | ADI 789</w:t>
      </w:r>
      <w:r>
        <w:rPr>
          <w:color w:val="003CA0"/>
          <w:sz w:val="12"/>
        </w:rPr>
        <w:t xml:space="preserve"> | rel. Ricardo Lewandowski</w:t>
      </w:r>
    </w:p>
    <w:p>
      <w:pPr>
        <w:ind w:left="288"/>
      </w:pPr>
      <w:r>
        <w:rPr>
          <w:color w:val="1E1E1E"/>
          <w:sz w:val="18"/>
        </w:rPr>
        <w:t>Segundo precedente do STF (ADI 789/DF), os procuradores das cortes de contas são ligados administrativamente a elas, sem qualquer vínculo com o Ministério Público comum. Além de violar os arts. 73, § 2º,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pPr>
        <w:ind w:left="288"/>
      </w:pPr>
      <w:r>
        <w:rPr>
          <w:b/>
          <w:color w:val="003CA0"/>
          <w:sz w:val="16"/>
        </w:rPr>
        <w:t>[ADI 3.315, rel. min. Ricardo Lewandowski, j. 6-3-2008, P, DJE de 11-4-2008.]</w:t>
      </w:r>
    </w:p>
    <w:p>
      <w:pPr>
        <w:ind w:left="288"/>
      </w:pPr>
      <w:r>
        <w:rPr>
          <w:color w:val="8C8C8C"/>
          <w:sz w:val="12"/>
        </w:rPr>
        <w:t>cf-art-130</w:t>
      </w:r>
      <w:r>
        <w:rPr>
          <w:color w:val="003CA0"/>
          <w:sz w:val="12"/>
        </w:rPr>
        <w:t xml:space="preserve"> | ADI 2.378</w:t>
      </w:r>
      <w:r>
        <w:rPr>
          <w:color w:val="003CA0"/>
          <w:sz w:val="12"/>
        </w:rPr>
        <w:t xml:space="preserve"> | rel. Maurício Corrêa</w:t>
      </w:r>
    </w:p>
    <w:p>
      <w:pPr>
        <w:ind w:left="288"/>
      </w:pPr>
      <w:r>
        <w:rPr>
          <w:color w:val="1E1E1E"/>
          <w:sz w:val="18"/>
        </w:rPr>
        <w:t>A cláusula de garantia inscrita no art. 130 da Constituição – que não outorgou ao Ministério Público especial as mesmas prerrogativas e atributos de autonomia conferidos ao Ministério Público comum – não se reveste de conteúdo orgânico-institucional. Acha-se vocacionada, no âmbito de sua destinação tutelar, a proteger, unicamente, os membros do Ministério Público especial no relevante desempenho de suas funções perante os tribunais de contas. Esse preceito da Lei Fundamental da República – que se projeta em uma dimensão de caráter estritamente subjetivo e pessoal – submete os integrantes do Mi</w:t>
      </w:r>
    </w:p>
    <w:p>
      <w:pPr>
        <w:ind w:left="288"/>
      </w:pPr>
      <w:r>
        <w:rPr>
          <w:b/>
          <w:color w:val="003CA0"/>
          <w:sz w:val="16"/>
        </w:rPr>
        <w:t>[ADI 2.378, rel. min. Maurício Corrêa, j. 19-5-2004, P, DJ de 6-9-2007.]</w:t>
      </w:r>
    </w:p>
    <w:p>
      <w:pPr>
        <w:ind w:left="288"/>
      </w:pPr>
      <w:r>
        <w:rPr>
          <w:color w:val="8C8C8C"/>
          <w:sz w:val="12"/>
        </w:rPr>
        <w:t>cf-art-130</w:t>
      </w:r>
      <w:r>
        <w:rPr>
          <w:color w:val="003CA0"/>
          <w:sz w:val="12"/>
        </w:rPr>
        <w:t xml:space="preserve"> | ADI 1.791</w:t>
      </w:r>
      <w:r>
        <w:rPr>
          <w:color w:val="003CA0"/>
          <w:sz w:val="12"/>
        </w:rPr>
        <w:t xml:space="preserve"> | rel. Sydney Sanches</w:t>
      </w:r>
    </w:p>
    <w:p>
      <w:pPr>
        <w:ind w:left="288"/>
      </w:pPr>
      <w:r>
        <w:rPr>
          <w:color w:val="1E1E1E"/>
          <w:sz w:val="18"/>
        </w:rPr>
        <w:t>(...) em se tratando de investidura no cargo de procurador-geral, no Ministério Público junto ao Tribunal de Contas do Estado, ela há de observar, também, o disposto no § 3º do art. 128 c/c o art. 130, competindo à própria instituição a formação de lista tríplice para sua escolha, depois, por nomeação pelo chefe do Poder Executivo, para mandato de dois anos, permitida uma recondução.</w:t>
      </w:r>
    </w:p>
    <w:p>
      <w:pPr>
        <w:ind w:left="288"/>
      </w:pPr>
      <w:r>
        <w:rPr>
          <w:b/>
          <w:color w:val="003CA0"/>
          <w:sz w:val="16"/>
        </w:rPr>
        <w:t>[ADI 1.791 MC, rel. min. Sydney Sanches, j. 23-4-1998, P, DJ de 11-9-1998.]</w:t>
      </w:r>
    </w:p>
    <w:p>
      <w:pPr>
        <w:ind w:left="144"/>
      </w:pPr>
      <w:r>
        <w:rPr>
          <w:b/>
          <w:color w:val="B45A00"/>
          <w:sz w:val="16"/>
        </w:rPr>
        <w:t>JULGADOS CORRELATOS</w:t>
      </w:r>
    </w:p>
    <w:p>
      <w:pPr>
        <w:ind w:left="288"/>
      </w:pPr>
      <w:r>
        <w:rPr>
          <w:color w:val="8C8C8C"/>
          <w:sz w:val="12"/>
        </w:rPr>
        <w:t>cf-art-130</w:t>
      </w:r>
      <w:r>
        <w:rPr>
          <w:color w:val="003CA0"/>
          <w:sz w:val="12"/>
        </w:rPr>
        <w:t xml:space="preserve"> | ADI 328</w:t>
      </w:r>
      <w:r>
        <w:rPr>
          <w:color w:val="003CA0"/>
          <w:sz w:val="12"/>
        </w:rPr>
        <w:t xml:space="preserve"> | rel. Marco Aurélio</w:t>
      </w:r>
    </w:p>
    <w:p>
      <w:pPr>
        <w:ind w:left="288"/>
      </w:pPr>
      <w:r>
        <w:rPr>
          <w:color w:val="1E1E1E"/>
          <w:sz w:val="18"/>
        </w:rPr>
        <w:t>Cumpre observar, na chefia do Ministério Público especial junto ao Tribunal de Contas do Estado de Santa Catarina, a composição do órgão, conforme decidido na ADI 328 (...). A cadeira reservada ao Ministério Público, no Tribunal de Contas, há de ser preenchida por integrante da categoria especial (...).</w:t>
      </w:r>
    </w:p>
    <w:p>
      <w:pPr>
        <w:ind w:left="288"/>
      </w:pPr>
      <w:r>
        <w:rPr>
          <w:b/>
          <w:color w:val="003CA0"/>
          <w:sz w:val="16"/>
        </w:rPr>
        <w:t>[Rcl 14.282 AgR-ED, rel. min. Marco Aurélio, j. 28-8-2014, P, DJE de 1º-10-2014.]</w:t>
      </w:r>
    </w:p>
    <w:p>
      <w:pPr>
        <w:ind w:left="288"/>
      </w:pPr>
      <w:r>
        <w:rPr>
          <w:color w:val="8C8C8C"/>
          <w:sz w:val="12"/>
        </w:rPr>
        <w:t>cf-art-130</w:t>
      </w:r>
      <w:r>
        <w:rPr>
          <w:color w:val="003CA0"/>
          <w:sz w:val="12"/>
        </w:rPr>
        <w:t xml:space="preserve"> | MS 27.339</w:t>
      </w:r>
      <w:r>
        <w:rPr>
          <w:color w:val="003CA0"/>
          <w:sz w:val="12"/>
        </w:rPr>
        <w:t xml:space="preserve"> | rel. Menezes Direito</w:t>
      </w:r>
    </w:p>
    <w:p>
      <w:pPr>
        <w:ind w:left="288"/>
      </w:pPr>
      <w:r>
        <w:rPr>
          <w:color w:val="1E1E1E"/>
          <w:sz w:val="18"/>
        </w:rPr>
        <w:t>Está assente na jurisprudência deste STF que o Ministério Público junto ao Tribunal de Contas possui fisionomia institucional própria, que não se confunde com a do Ministério Público comum, sejam os dos Estados, seja o da União, o que impede a atuação, ainda que transitória, de procuradores de justiça nos Tribunais de Contas (...). Escorreita a decisão do CNMP que determinou o imediato retorno de dois procuradores de justiça, que oficiavam perante o Tribunal de Contas do Estado do Rio Grande do Sul, às suas funções próprias no Ministério Público estadual, não sendo oponíveis os princípios da s</w:t>
      </w:r>
    </w:p>
    <w:p>
      <w:pPr>
        <w:ind w:left="288"/>
      </w:pPr>
      <w:r>
        <w:rPr>
          <w:b/>
          <w:color w:val="003CA0"/>
          <w:sz w:val="16"/>
        </w:rPr>
        <w:t>[MS 27.339, rel. min. Menezes Direito, j. 2-2-2009, P, DJE de 6-3-2009.]</w:t>
      </w:r>
    </w:p>
    <w:p>
      <w:pPr>
        <w:ind w:left="288"/>
      </w:pPr>
      <w:r>
        <w:rPr>
          <w:color w:val="8C8C8C"/>
          <w:sz w:val="12"/>
        </w:rPr>
        <w:t>cf-art-130</w:t>
      </w:r>
      <w:r>
        <w:rPr>
          <w:color w:val="003CA0"/>
          <w:sz w:val="12"/>
        </w:rPr>
        <w:t xml:space="preserve"> | ADI 3.307</w:t>
      </w:r>
      <w:r>
        <w:rPr>
          <w:color w:val="003CA0"/>
          <w:sz w:val="12"/>
        </w:rPr>
        <w:t xml:space="preserve"> | rel. Cármen Lúcia</w:t>
      </w:r>
    </w:p>
    <w:p>
      <w:pPr>
        <w:ind w:left="288"/>
      </w:pPr>
      <w:r>
        <w:rPr>
          <w:color w:val="1E1E1E"/>
          <w:sz w:val="18"/>
        </w:rPr>
        <w:t>= ADI 3.307, rel. min. Cármen Lúcia, j. 2-2-2009, P, DJE de 29-5-2009 Ato do TCU, que indeferiu pedido de encaminhamento do nome do impetrante ao presidente da República, para fins de nomeação no cargo de procurador do Ministério Público, junto ao TCU. Liminar deferida. O procurador-geral é nomeado não para cargo efetivo que integre a carreira, pois esta se compõe apenas dos cargos de procurador e subprocurador-geral. Incabível, no caso, a alegação de que nova vaga surgiu na carreira com a nomeação de um dos membros da carreira em foco ao cargo de procurador-geral junto ao TCU. Mandado de segu</w:t>
      </w:r>
    </w:p>
    <w:p>
      <w:pPr>
        <w:ind w:left="288"/>
      </w:pPr>
      <w:r>
        <w:rPr>
          <w:b/>
          <w:color w:val="003CA0"/>
          <w:sz w:val="16"/>
        </w:rPr>
        <w:t>[MS 23.247, rel. min. Néri da Silveira, j. 22-4-2002, P, DJ de 14-6-2002.]</w:t>
      </w:r>
    </w:p>
    <w:p>
      <w:pPr>
        <w:ind w:left="288"/>
      </w:pPr>
      <w:r>
        <w:rPr>
          <w:color w:val="8C8C8C"/>
          <w:sz w:val="12"/>
        </w:rPr>
        <w:t>cf-art-130</w:t>
      </w:r>
    </w:p>
    <w:p>
      <w:pPr>
        <w:ind w:left="288"/>
      </w:pPr>
      <w:r>
        <w:rPr>
          <w:color w:val="1E1E1E"/>
          <w:sz w:val="18"/>
        </w:rPr>
        <w:t>Art. 130-A. O Conselho Nacional do Ministério Público compõe-se de quatorze membros nomeados pelo Presidente da República, depois de aprovada a escolha pela maioria absoluta do Senado Federal, para um mandato de dois anos, admitida uma recondução, sendo: (Incluído pela EC 45/2004)</w:t>
      </w:r>
    </w:p>
    <w:p>
      <w:pPr>
        <w:ind w:left="144"/>
      </w:pPr>
      <w:r>
        <w:rPr>
          <w:b/>
          <w:color w:val="B45A00"/>
          <w:sz w:val="16"/>
        </w:rPr>
        <w:t>CONTROLE CONCENTRADO</w:t>
      </w:r>
    </w:p>
    <w:p>
      <w:pPr>
        <w:ind w:left="288"/>
      </w:pPr>
      <w:r>
        <w:rPr>
          <w:color w:val="8C8C8C"/>
          <w:sz w:val="12"/>
        </w:rPr>
        <w:t>cf-art-130</w:t>
      </w:r>
      <w:r>
        <w:rPr>
          <w:color w:val="003CA0"/>
          <w:sz w:val="12"/>
        </w:rPr>
        <w:t xml:space="preserve"> | ADI 3.472</w:t>
      </w:r>
      <w:r>
        <w:rPr>
          <w:color w:val="003CA0"/>
          <w:sz w:val="12"/>
        </w:rPr>
        <w:t xml:space="preserve"> | rel. Sepúlveda Pertence</w:t>
      </w:r>
    </w:p>
    <w:p>
      <w:pPr>
        <w:ind w:left="288"/>
      </w:pPr>
      <w:r>
        <w:rPr>
          <w:color w:val="1E1E1E"/>
          <w:sz w:val="18"/>
        </w:rPr>
        <w:t>CNMP: composição inicial (EC 45/2004, art. 5º, § 1º): densa plausibilidade da arguição de inconstitucionalidade de norma atributiva de competência transitória para a hipótese de não se efetivarem a tempo, na forma do texto permanente, as indicações ou escolhas dos membros do CNMP, por inobservância do processo legislativo previsto no § 2º do art. 60 da Constituição da República, dada a patente subversão do conteúdo da proposição aprovada pela Câmara dos Deputados, por força de emenda que lhe impôs o Senado, e afinal se enxertou no texto promulgado.</w:t>
      </w:r>
    </w:p>
    <w:p>
      <w:pPr>
        <w:ind w:left="288"/>
      </w:pPr>
      <w:r>
        <w:rPr>
          <w:b/>
          <w:color w:val="003CA0"/>
          <w:sz w:val="16"/>
        </w:rPr>
        <w:t>[ADI 3.472 MC, rel. min. Sepúlveda Pertence, j. 28-4-2005, P, DJ de 24-6-2005.]</w:t>
      </w:r>
    </w:p>
    <w:p>
      <w:pPr>
        <w:ind w:left="288"/>
      </w:pPr>
      <w:r>
        <w:rPr>
          <w:color w:val="8C8C8C"/>
          <w:sz w:val="12"/>
        </w:rPr>
        <w:t>cf-art-130-inc-V</w:t>
      </w:r>
    </w:p>
    <w:p>
      <w:pPr>
        <w:ind w:left="288"/>
      </w:pPr>
      <w:r>
        <w:rPr>
          <w:color w:val="1E1E1E"/>
          <w:sz w:val="18"/>
        </w:rPr>
        <w:t>VI - dois cidadãos de notável saber jurídico e reputação ilibada, indicados um pela Câmara dos Deputados e outro pelo Senado Federal. (Incluído pela EC 45/2004)</w:t>
      </w:r>
    </w:p>
    <w:p>
      <w:pPr>
        <w:ind w:left="288"/>
      </w:pPr>
      <w:r>
        <w:rPr>
          <w:color w:val="8C8C8C"/>
          <w:sz w:val="12"/>
        </w:rPr>
        <w:t>cf-art-130-par-1</w:t>
      </w:r>
      <w:r>
        <w:rPr>
          <w:color w:val="003CA0"/>
          <w:sz w:val="12"/>
        </w:rPr>
        <w:t xml:space="preserve"> | ADI 7.739</w:t>
      </w:r>
      <w:r>
        <w:rPr>
          <w:color w:val="003CA0"/>
          <w:sz w:val="12"/>
        </w:rPr>
        <w:t xml:space="preserve"> | rel. Cármen Lúcia</w:t>
      </w:r>
    </w:p>
    <w:p>
      <w:pPr>
        <w:ind w:left="288"/>
      </w:pPr>
      <w:r>
        <w:rPr>
          <w:color w:val="1E1E1E"/>
          <w:sz w:val="18"/>
        </w:rPr>
        <w:t>Ministério público. Incs. I, II e IV do art. 3º da Lei n. 11.372/2006, que regulamentam o § 1º do art. 130-a da Constituição da República. Vedação aos membros do Ministério Público durante o exercício do mandato no Conselho Nacional do Ministério Público. (...) As disposições relativas à organização, às atribuições e ao estatuto dos Ministérios Públicos devem ser estabelecidas em estrita observância à reserva de lei complementar prevista no § 5º do art. 128 da Constituição da República. É formalmente inconstitucional a norma impugnada, pois versa sobre matéria reservada a lei complementar.</w:t>
      </w:r>
    </w:p>
    <w:p>
      <w:pPr>
        <w:ind w:left="288"/>
      </w:pPr>
      <w:r>
        <w:rPr>
          <w:b/>
          <w:color w:val="003CA0"/>
          <w:sz w:val="16"/>
        </w:rPr>
        <w:t>[ADI 7.739, rel. min. Cármen Lúcia, j. 19.03.2025, P, DJE de 14.05.2025.]</w:t>
      </w:r>
    </w:p>
    <w:p>
      <w:pPr>
        <w:ind w:left="288"/>
      </w:pPr>
      <w:r>
        <w:rPr>
          <w:color w:val="8C8C8C"/>
          <w:sz w:val="12"/>
        </w:rPr>
        <w:t>cf-art-130-par-2-inc-I</w:t>
      </w:r>
      <w:r>
        <w:rPr>
          <w:color w:val="003CA0"/>
          <w:sz w:val="12"/>
        </w:rPr>
        <w:t xml:space="preserve"> | ADI 5.454</w:t>
      </w:r>
      <w:r>
        <w:rPr>
          <w:color w:val="003CA0"/>
          <w:sz w:val="12"/>
        </w:rPr>
        <w:t xml:space="preserve"> | rel. Alexandre de Moraes</w:t>
      </w:r>
    </w:p>
    <w:p>
      <w:pPr>
        <w:ind w:left="288"/>
      </w:pPr>
      <w:r>
        <w:rPr>
          <w:color w:val="1E1E1E"/>
          <w:sz w:val="18"/>
        </w:rPr>
        <w:t>O Conselho Nacional do Ministério Público (CNMP) possui capacidade para a expedição de atos normativos autônomos (CF, art. 130-A, § 2º, I), desde que o conteúdo disciplinado na norma editada se insira no seu âmbito de atribuições constitucionais.</w:t>
      </w:r>
    </w:p>
    <w:p>
      <w:pPr>
        <w:ind w:left="288"/>
      </w:pPr>
      <w:r>
        <w:rPr>
          <w:b/>
          <w:color w:val="003CA0"/>
          <w:sz w:val="16"/>
        </w:rPr>
        <w:t>[ADI 5.454, rel. min. Alexandre de Moraes, j. 15-4-2020, P, DJE de 20-5-2020.]</w:t>
      </w:r>
    </w:p>
    <w:p>
      <w:pPr>
        <w:ind w:left="288"/>
      </w:pPr>
      <w:r>
        <w:rPr>
          <w:color w:val="8C8C8C"/>
          <w:sz w:val="12"/>
        </w:rPr>
        <w:t>cf-art-130-par-2-inc-I</w:t>
      </w:r>
      <w:r>
        <w:rPr>
          <w:color w:val="003CA0"/>
          <w:sz w:val="12"/>
        </w:rPr>
        <w:t xml:space="preserve"> | ADI 4.263</w:t>
      </w:r>
      <w:r>
        <w:rPr>
          <w:color w:val="003CA0"/>
          <w:sz w:val="12"/>
        </w:rPr>
        <w:t xml:space="preserve"> | rel. Roberto Barroso</w:t>
      </w:r>
    </w:p>
    <w:p>
      <w:pPr>
        <w:ind w:left="288"/>
      </w:pPr>
      <w:r>
        <w:rPr>
          <w:color w:val="1E1E1E"/>
          <w:sz w:val="18"/>
        </w:rPr>
        <w:t>Interceptação telefônica. Resolução editada pelo CNMP no exercício de sua competência constitucional, em caráter geral e abstrato, não constitui ato normativo secundário. (...) Breves considerações sobre interceptações telefônicas: fundamentação das decisões, prorrogações e transcrições. O ato impugnado insere-se na competência do CNMP de disciplinar os deveres funcionais dos membros do Ministério Público, entre os quais o dever de sigilo, e de zelar pela observância dos princípios previstos no art. 37 da Constituição, aí incluído o princípio da eficiência. Ausência de violação à reserva de le</w:t>
      </w:r>
    </w:p>
    <w:p>
      <w:pPr>
        <w:ind w:left="288"/>
      </w:pPr>
      <w:r>
        <w:rPr>
          <w:b/>
          <w:color w:val="003CA0"/>
          <w:sz w:val="16"/>
        </w:rPr>
        <w:t>[Pet 4.891, red. do ac. min. Alexandre de Moraes, j. 16-6-2020, P, DJE de 6-8-2020.]</w:t>
      </w:r>
    </w:p>
    <w:p>
      <w:pPr>
        <w:ind w:left="144"/>
      </w:pPr>
      <w:r>
        <w:rPr>
          <w:b/>
          <w:color w:val="B45A00"/>
          <w:sz w:val="16"/>
        </w:rPr>
        <w:t>JULGADOS CORRELATOS</w:t>
      </w:r>
    </w:p>
    <w:p>
      <w:pPr>
        <w:ind w:left="288"/>
      </w:pPr>
      <w:r>
        <w:rPr>
          <w:color w:val="8C8C8C"/>
          <w:sz w:val="12"/>
        </w:rPr>
        <w:t>cf-art-130-par-2-inc-I</w:t>
      </w:r>
      <w:r>
        <w:rPr>
          <w:color w:val="003CA0"/>
          <w:sz w:val="12"/>
        </w:rPr>
        <w:t xml:space="preserve"> | ACO 843</w:t>
      </w:r>
    </w:p>
    <w:p>
      <w:pPr>
        <w:ind w:left="288"/>
      </w:pPr>
      <w:r>
        <w:rPr>
          <w:color w:val="1E1E1E"/>
          <w:sz w:val="18"/>
        </w:rPr>
        <w:t>EC 45/2004 e interpretação sistemática da Constituição Federal. A solução de conflitos de atribuições entre ramos diversos dos Ministérios Públicos pelo CNMP, nos termos do artigo 130-A, § 2º, e incisos I e II, da Constituição Federal e no exercício do controle da atuação administrativa do Parquet, é a mais adequada, pois reforça o mandamento constitucional que lhe atribuiu o controle da legalidade das ações administrativas dos membros e órgãos dos diversos ramos ministeriais, sem ingressar ou ferir a independência funcional.</w:t>
      </w:r>
    </w:p>
    <w:p>
      <w:pPr>
        <w:ind w:left="288"/>
      </w:pPr>
      <w:r>
        <w:rPr>
          <w:b/>
          <w:color w:val="003CA0"/>
          <w:sz w:val="16"/>
        </w:rPr>
        <w:t>[ACO 843, red. do ac. min. Alexandre de Moraes, j. 8-6-2020, P, DJE de 4-11-2020.]</w:t>
      </w:r>
    </w:p>
    <w:p>
      <w:pPr>
        <w:ind w:left="288"/>
      </w:pPr>
      <w:r>
        <w:rPr>
          <w:color w:val="8C8C8C"/>
          <w:sz w:val="12"/>
        </w:rPr>
        <w:t>cf-art-130-par-2-inc-I</w:t>
      </w:r>
      <w:r>
        <w:rPr>
          <w:color w:val="003CA0"/>
          <w:sz w:val="12"/>
        </w:rPr>
        <w:t xml:space="preserve"> | MS 28.408</w:t>
      </w:r>
      <w:r>
        <w:rPr>
          <w:color w:val="003CA0"/>
          <w:sz w:val="12"/>
        </w:rPr>
        <w:t xml:space="preserve"> | rel. Cármen Lúcia</w:t>
      </w:r>
    </w:p>
    <w:p>
      <w:pPr>
        <w:ind w:left="288"/>
      </w:pPr>
      <w:r>
        <w:rPr>
          <w:color w:val="1E1E1E"/>
          <w:sz w:val="18"/>
        </w:rPr>
        <w:t>Mandado de segurança. Representação para preservação da autonomia do Ministério Público. Competência do CNMP estabelecida no art. 130-A, I, § 2º, da Constituição da República. Segurança denegada. A independência funcional garantida ao impetrante pelo art. 127, § 1º, da Constituição da República não é irrestrita, pois o membro do Ministério Público deve respeito à Constituição da República e às leis. Compete ao CNMP zelar pela autonomia funcional do Ministério Público, conforme dispõe o inc. I do § 2º do art. 130-A da Constituição da República.</w:t>
      </w:r>
    </w:p>
    <w:p>
      <w:pPr>
        <w:ind w:left="288"/>
      </w:pPr>
      <w:r>
        <w:rPr>
          <w:b/>
          <w:color w:val="003CA0"/>
          <w:sz w:val="16"/>
        </w:rPr>
        <w:t>[MS 28.408, rel. min. Cármen Lúcia, j. 18-3-2014, 2ª T, DJE de 13-6-2014.]</w:t>
      </w:r>
    </w:p>
    <w:p>
      <w:pPr>
        <w:ind w:left="288"/>
      </w:pPr>
      <w:r>
        <w:rPr>
          <w:color w:val="8C8C8C"/>
          <w:sz w:val="12"/>
        </w:rPr>
        <w:t>cf-art-130-par-2-inc-I</w:t>
      </w:r>
      <w:r>
        <w:rPr>
          <w:color w:val="003CA0"/>
          <w:sz w:val="12"/>
        </w:rPr>
        <w:t xml:space="preserve"> | ADI 4.263</w:t>
      </w:r>
      <w:r>
        <w:rPr>
          <w:color w:val="003CA0"/>
          <w:sz w:val="12"/>
        </w:rPr>
        <w:t xml:space="preserve"> | rel. Roberto Barroso</w:t>
      </w:r>
    </w:p>
    <w:p>
      <w:pPr>
        <w:ind w:left="288"/>
      </w:pPr>
      <w:r>
        <w:rPr>
          <w:color w:val="1E1E1E"/>
          <w:sz w:val="18"/>
        </w:rPr>
        <w:t xml:space="preserve">II - zelar pela observância do art. 37 e apreciar, de ofício ou mediante provocação, a legalidade dos atos administrativos praticados por membros ou órgãos do Ministério Público da União e dos Estados, podendo desconstituí-los, revê-los ou fixar prazo para que se adotem as providências necessárias ao exato cumprimento da lei, sem prejuízo da competência dos Tribunais de Contas; (Incluído pela EC 45/2004) O Supremo Tribunal Federal já decidiu que o conteúdo da resolução impugnada se insere na competência do CNMP para disciplinar os deveres funcionais dos membros do Ministério Público, entre os </w:t>
      </w:r>
    </w:p>
    <w:p>
      <w:pPr>
        <w:ind w:left="288"/>
      </w:pPr>
      <w:r>
        <w:rPr>
          <w:b/>
          <w:color w:val="003CA0"/>
          <w:sz w:val="16"/>
        </w:rPr>
        <w:t>[ADI 5.315, rel. min. Roberto Barroso, j. 25-8-2023, P, DJE de 07.11.2023.]</w:t>
      </w:r>
    </w:p>
    <w:p>
      <w:pPr>
        <w:ind w:left="288"/>
      </w:pPr>
      <w:r>
        <w:rPr>
          <w:color w:val="8C8C8C"/>
          <w:sz w:val="12"/>
        </w:rPr>
        <w:t>cf-art-130-par-2-inc-I</w:t>
      </w:r>
      <w:r>
        <w:rPr>
          <w:color w:val="003CA0"/>
          <w:sz w:val="12"/>
        </w:rPr>
        <w:t xml:space="preserve"> | ADI 5.454</w:t>
      </w:r>
      <w:r>
        <w:rPr>
          <w:color w:val="003CA0"/>
          <w:sz w:val="12"/>
        </w:rPr>
        <w:t xml:space="preserve"> | rel. Alexandre de Moraes</w:t>
      </w:r>
    </w:p>
    <w:p>
      <w:pPr>
        <w:ind w:left="288"/>
      </w:pPr>
      <w:r>
        <w:rPr>
          <w:color w:val="1E1E1E"/>
          <w:sz w:val="18"/>
        </w:rPr>
        <w:t>Resolução 27/2008 do Conselho Nacional do Ministério Público (CNMP). Exercício legítimo de suas atribuições constitucionais. Vedação ao exercício da advocacia por parte dos servidores do Ministério Público dos Estados e da União. (...) A Resolução 27/2008 do CNMP tem por objetivo assegurar a observância dos princípios constitucionais da isonomia, da moralidade e da eficiência no Ministério Público, estando, portanto, abrangida pelo escopo de atuação do CNMP (CF, art. 130-A, § 2º, II).</w:t>
        <w:br/>
        <w:t>[ADI 5.454, rel. min. Alexandre de Moraes, j. 15-4-2020, P, DJE de 20-5-2020.] Interceptação telefônica. Resol</w:t>
      </w:r>
    </w:p>
    <w:p>
      <w:pPr>
        <w:ind w:left="288"/>
      </w:pPr>
      <w:r>
        <w:rPr>
          <w:color w:val="8C8C8C"/>
          <w:sz w:val="12"/>
        </w:rPr>
        <w:t>cf-art-130-par-2-inc-I</w:t>
      </w:r>
      <w:r>
        <w:rPr>
          <w:color w:val="003CA0"/>
          <w:sz w:val="12"/>
        </w:rPr>
        <w:t xml:space="preserve"> | MS 31.523</w:t>
      </w:r>
      <w:r>
        <w:rPr>
          <w:color w:val="003CA0"/>
          <w:sz w:val="12"/>
        </w:rPr>
        <w:t xml:space="preserve"> | rel. Celso de Mello</w:t>
      </w:r>
    </w:p>
    <w:p>
      <w:pPr>
        <w:ind w:left="288"/>
      </w:pPr>
      <w:r>
        <w:rPr>
          <w:color w:val="1E1E1E"/>
          <w:sz w:val="18"/>
        </w:rPr>
        <w:t>Conselho Nacional do Ministério Público. Órgão constitucional de perfil estritamente administrativo. Consequente impossibilidade jurídica de impor aos integrantes do Ministério Público da União e dos estados-membros, que gozam do predicamento constitucional da vitaliciedade (CF, art. 128, § 5º, inciso I, a), a sanção de perda do cargo. A vitaliciedade como garantia de independência funcional assegurada ao membro do Ministério Público.</w:t>
      </w:r>
    </w:p>
    <w:p>
      <w:pPr>
        <w:ind w:left="288"/>
      </w:pPr>
      <w:r>
        <w:rPr>
          <w:b/>
          <w:color w:val="003CA0"/>
          <w:sz w:val="16"/>
        </w:rPr>
        <w:t>[MS 31.523 AgR, rel. min. Celso de Mello, j. 3-10-2020, 2ª T, DJE de 8-10-2020.]</w:t>
      </w:r>
    </w:p>
    <w:p>
      <w:pPr>
        <w:ind w:left="288"/>
      </w:pPr>
      <w:r>
        <w:rPr>
          <w:color w:val="8C8C8C"/>
          <w:sz w:val="12"/>
        </w:rPr>
        <w:t>cf-art-130-par-2-inc-I</w:t>
      </w:r>
      <w:r>
        <w:rPr>
          <w:color w:val="003CA0"/>
          <w:sz w:val="12"/>
        </w:rPr>
        <w:t xml:space="preserve"> | PET 4.891</w:t>
      </w:r>
    </w:p>
    <w:p>
      <w:pPr>
        <w:ind w:left="288"/>
      </w:pPr>
      <w:r>
        <w:rPr>
          <w:color w:val="1E1E1E"/>
          <w:sz w:val="18"/>
        </w:rPr>
        <w:t>Os membros do Ministério Público integram um só órgão sob a direção única de um só Procurador-Geral, ressalvando-se, porém, que só existem unidade e indivisibilidade dentro de cada Ministério Público, inexistindo qualquer relação de hierarquia entre o Ministério Público Federal e os dos Estados, entre o de um Estado e o de outro, ou entre os diversos ramos do Ministério Público da União. EC 45/2004 e interpretação sistemática da Constituição Federal. A solução de conflitos de atribuições entre ramos diversos dos Ministérios Públicos pelo CNMP, nos termos do artigo 130-A, § 2º, e incisos I e II</w:t>
      </w:r>
    </w:p>
    <w:p>
      <w:pPr>
        <w:ind w:left="288"/>
      </w:pPr>
      <w:r>
        <w:rPr>
          <w:b/>
          <w:color w:val="003CA0"/>
          <w:sz w:val="16"/>
        </w:rPr>
        <w:t>[Pet 4.891, red. do ac. min. Alexandre de Moraes, j. 16-6-2020, P, DJE de 6-8-2020.]</w:t>
      </w:r>
    </w:p>
    <w:p>
      <w:pPr>
        <w:ind w:left="288"/>
      </w:pPr>
      <w:r>
        <w:rPr>
          <w:color w:val="8C8C8C"/>
          <w:sz w:val="12"/>
        </w:rPr>
        <w:t>cf-art-130-par-2-inc-I</w:t>
      </w:r>
      <w:r>
        <w:rPr>
          <w:color w:val="003CA0"/>
          <w:sz w:val="12"/>
        </w:rPr>
        <w:t xml:space="preserve"> | ACO 843</w:t>
      </w:r>
    </w:p>
    <w:p>
      <w:pPr>
        <w:ind w:left="288"/>
      </w:pPr>
      <w:r>
        <w:rPr>
          <w:color w:val="1E1E1E"/>
          <w:sz w:val="18"/>
        </w:rPr>
        <w:t>EC 45/2004 e interpretação sistemática da Constituição Federal. A solução de conflitos de atribuições entre ramos diversos dos Ministérios Públicos pelo CNMP, nos termos do artigo 130-A, § 2º, e incisos I e II, da Constituição Federal e no exercício do controle da atuação administrativa do Parquet, é a mais adequada, pois reforça o mandamento constitucional que lhe atribuiu o controle da legalidade das ações administrativas dos membros e órgãos dos diversos ramos ministeriais, sem ingressar ou ferir a independência funcional.</w:t>
      </w:r>
    </w:p>
    <w:p>
      <w:pPr>
        <w:ind w:left="288"/>
      </w:pPr>
      <w:r>
        <w:rPr>
          <w:b/>
          <w:color w:val="003CA0"/>
          <w:sz w:val="16"/>
        </w:rPr>
        <w:t>[ACO 843, red. do ac. min. Alexandre de Moraes, j. 8-6-2020, P, DJE de 4-11-2020.]</w:t>
      </w:r>
    </w:p>
    <w:p>
      <w:pPr>
        <w:ind w:left="288"/>
      </w:pPr>
      <w:r>
        <w:rPr>
          <w:color w:val="8C8C8C"/>
          <w:sz w:val="12"/>
        </w:rPr>
        <w:t>cf-art-130-par-2-inc-I</w:t>
      </w:r>
      <w:r>
        <w:rPr>
          <w:color w:val="003CA0"/>
          <w:sz w:val="12"/>
        </w:rPr>
        <w:t xml:space="preserve"> | MS 27.744</w:t>
      </w:r>
      <w:r>
        <w:rPr>
          <w:color w:val="003CA0"/>
          <w:sz w:val="12"/>
        </w:rPr>
        <w:t xml:space="preserve"> | rel. Luiz Fux</w:t>
      </w:r>
    </w:p>
    <w:p>
      <w:pPr>
        <w:ind w:left="288"/>
      </w:pPr>
      <w:r>
        <w:rPr>
          <w:color w:val="1E1E1E"/>
          <w:sz w:val="18"/>
        </w:rPr>
        <w:t>O CNMP não ostenta competência para efetuar controle de constitucionalidade de lei, posto consabido tratar-se de órgão de natureza administrativa, cuja atribuição adstringe-se ao controle da legitimidade dos atos administrativos praticados por membros ou órgãos do Ministério Público federal e estadual (...).</w:t>
      </w:r>
    </w:p>
    <w:p>
      <w:pPr>
        <w:ind w:left="288"/>
      </w:pPr>
      <w:r>
        <w:rPr>
          <w:b/>
          <w:color w:val="003CA0"/>
          <w:sz w:val="16"/>
        </w:rPr>
        <w:t>[MS 27.744, rel. min. Luiz Fux, j. 6-5-2014, 1ª T, DJE de 8-6-2015.]</w:t>
      </w:r>
    </w:p>
    <w:p>
      <w:pPr>
        <w:ind w:left="288"/>
      </w:pPr>
      <w:r>
        <w:rPr>
          <w:color w:val="8C8C8C"/>
          <w:sz w:val="12"/>
        </w:rPr>
        <w:t>cf-art-130-par-2-inc-I</w:t>
      </w:r>
      <w:r>
        <w:rPr>
          <w:color w:val="003CA0"/>
          <w:sz w:val="12"/>
        </w:rPr>
        <w:t xml:space="preserve"> | MS 28.028</w:t>
      </w:r>
      <w:r>
        <w:rPr>
          <w:color w:val="003CA0"/>
          <w:sz w:val="12"/>
        </w:rPr>
        <w:t xml:space="preserve"> | rel. Cármen Lúcia</w:t>
      </w:r>
    </w:p>
    <w:p>
      <w:pPr>
        <w:ind w:left="288"/>
      </w:pPr>
      <w:r>
        <w:rPr>
          <w:color w:val="1E1E1E"/>
          <w:sz w:val="18"/>
        </w:rPr>
        <w:t>CNMP. Anulação de ato do Conselho Superior do Ministério Público do Estado do Espírito Santo em termo de ajustamento de conduta. Atividade-fim do Ministério Público estadual. Interferência na autonomia administrativa e na independência funcional do Conselho Superior do Ministério Público no Espírito Santo. Mandado de segurança concedido.</w:t>
      </w:r>
    </w:p>
    <w:p>
      <w:pPr>
        <w:ind w:left="288"/>
      </w:pPr>
      <w:r>
        <w:rPr>
          <w:b/>
          <w:color w:val="003CA0"/>
          <w:sz w:val="16"/>
        </w:rPr>
        <w:t>[MS 28.028, rel. min. Cármen Lúcia, j. 30-10-2012, 2ª T, DJE de 7-6-2013.]</w:t>
      </w:r>
    </w:p>
    <w:p>
      <w:pPr>
        <w:ind w:left="288"/>
      </w:pPr>
      <w:r>
        <w:rPr>
          <w:color w:val="8C8C8C"/>
          <w:sz w:val="12"/>
        </w:rPr>
        <w:t>cf-art-130-par-2-inc-I</w:t>
      </w:r>
    </w:p>
    <w:p>
      <w:pPr>
        <w:ind w:left="288"/>
      </w:pPr>
      <w:r>
        <w:rPr>
          <w:color w:val="1E1E1E"/>
          <w:sz w:val="18"/>
        </w:rPr>
        <w:t>III - receber e conhecer das reclamações contra membros ou órgãos do Ministério Público da União ou dos Estados, inclusive contra seus serviços auxiliares, sem prejuízo da competência disciplinar e correicional da instituição, podendo avocar processos disciplinares em curso, determinar a remoção ou a disponibilidade e aplicar outras sanções administrativas, assegurada ampla defesa; (Redação da EC 103/2019)</w:t>
      </w:r>
    </w:p>
    <w:p>
      <w:pPr>
        <w:ind w:left="288"/>
      </w:pPr>
      <w:r>
        <w:rPr>
          <w:color w:val="8C8C8C"/>
          <w:sz w:val="12"/>
        </w:rPr>
        <w:t>cf-art-130-par-2-inc-I</w:t>
      </w:r>
      <w:r>
        <w:rPr>
          <w:color w:val="003CA0"/>
          <w:sz w:val="12"/>
        </w:rPr>
        <w:t xml:space="preserve"> | MS 30.493</w:t>
      </w:r>
    </w:p>
    <w:p>
      <w:pPr>
        <w:ind w:left="288"/>
      </w:pPr>
      <w:r>
        <w:rPr>
          <w:color w:val="1E1E1E"/>
          <w:sz w:val="18"/>
        </w:rPr>
        <w:t>A competência do Conselho Nacional do Ministério Público para a aplicação de sanções disciplinares, inclusive a penalidade de demissão, está prevista pelo artigo 130-A, §2º, inciso III da Constituição da República, ficando a eficácia dessa sanção submetida ao ajuizamento de ação cível para a perda do cargo pela Procuradoria-Geral da República.</w:t>
      </w:r>
    </w:p>
    <w:p>
      <w:pPr>
        <w:ind w:left="288"/>
      </w:pPr>
      <w:r>
        <w:rPr>
          <w:b/>
          <w:color w:val="003CA0"/>
          <w:sz w:val="16"/>
        </w:rPr>
        <w:t>[MS 30.493, red. do ac. min. Edson Fachin, j. 16-6-2020, P, DJE de 21-9-2020.]</w:t>
      </w:r>
    </w:p>
    <w:p>
      <w:pPr>
        <w:ind w:left="288"/>
      </w:pPr>
      <w:r>
        <w:rPr>
          <w:color w:val="8C8C8C"/>
          <w:sz w:val="12"/>
        </w:rPr>
        <w:t>cf-art-130-par-2-inc-IV</w:t>
      </w:r>
      <w:r>
        <w:rPr>
          <w:color w:val="003CA0"/>
          <w:sz w:val="12"/>
        </w:rPr>
        <w:t xml:space="preserve"> | MS 35.461</w:t>
      </w:r>
      <w:r>
        <w:rPr>
          <w:color w:val="003CA0"/>
          <w:sz w:val="12"/>
        </w:rPr>
        <w:t xml:space="preserve"> | rel. Edson Fachin</w:t>
      </w:r>
    </w:p>
    <w:p>
      <w:pPr>
        <w:ind w:left="288"/>
      </w:pPr>
      <w:r>
        <w:rPr>
          <w:color w:val="1E1E1E"/>
          <w:sz w:val="18"/>
        </w:rPr>
        <w:t>O prazo para a instauração do processo revisional no CNMP não tem como termo inicial a data da instauração do processo administrativo disciplinar na corregedoria estadual, mas a data do seu julgamento, conforme se infere da Constituição da República, art. 130-A, § 2º, IV.</w:t>
        <w:br/>
        <w:t>[MS 35.461 ED-AgR, rel. min. Edson Fachin, j. 9-5-2023, 2ª T, DJE de 16-5-2023.] O constituinte, ao erigir o CNMP como órgão de controle externo do Ministério Público, atribuiu-lhe, expressamente, competência revisional ampla, de sorte que não há vinculação à aplicação da penalidade ou à gradação da sanção imputada pelo órgão</w:t>
      </w:r>
    </w:p>
    <w:p>
      <w:pPr>
        <w:ind w:left="288"/>
      </w:pPr>
      <w:r>
        <w:rPr>
          <w:b/>
          <w:color w:val="003CA0"/>
          <w:sz w:val="16"/>
        </w:rPr>
        <w:t>[MS 28.827, rel. min. Cármen Lúcia, j. 28-8-2012, 1ª T, DJE de 9-10-2012.]</w:t>
      </w:r>
    </w:p>
    <w:p>
      <w:pPr>
        <w:ind w:left="288"/>
      </w:pPr>
      <w:r>
        <w:rPr>
          <w:color w:val="8C8C8C"/>
          <w:sz w:val="12"/>
        </w:rPr>
        <w:t>cf-art-130-par-2-inc-IV</w:t>
      </w:r>
    </w:p>
    <w:p>
      <w:pPr>
        <w:ind w:left="288"/>
      </w:pPr>
      <w:r>
        <w:rPr>
          <w:color w:val="1E1E1E"/>
          <w:sz w:val="18"/>
        </w:rPr>
        <w:t>V - elaborar relatório anual, propondo as providências que julgar necessárias sobre a situação do Ministério Público no País e as atividades do Conselho, o qual deve integrar a mensagem prevista no art. 84, XI. (Incluído pela EC 45/2004)</w:t>
      </w:r>
    </w:p>
    <w:p>
      <w:pPr>
        <w:ind w:left="288"/>
      </w:pPr>
      <w:r>
        <w:rPr>
          <w:color w:val="8C8C8C"/>
          <w:sz w:val="12"/>
        </w:rPr>
        <w:t>cf-art-130-par-4</w:t>
      </w:r>
    </w:p>
    <w:p>
      <w:pPr>
        <w:ind w:left="288"/>
      </w:pPr>
      <w:r>
        <w:rPr>
          <w:color w:val="1E1E1E"/>
          <w:sz w:val="18"/>
        </w:rPr>
        <w:t>§ 5º Leis da União e dos Estados criarão ouvidorias do Ministério Público, competentes para receber reclamações e denúncias de qualquer interessado contra membros ou órgãos do Ministério Público, inclusive contra seus serviços auxiliares, representando diretamente ao Conselho Nacional do Ministério Público. (Incluído pela EC 45/2004) Seção II Da Advocacia Pública (Redação da EC 19/1998) SUMÁRIO</w:t>
      </w:r>
    </w:p>
    <w:p>
      <w:pPr>
        <w:ind w:left="720"/>
      </w:pPr>
      <w:r>
        <w:rPr>
          <w:color w:val="003366"/>
          <w:sz w:val="18"/>
        </w:rPr>
        <w:t>I – de 2027 a 2033, que a receita da União com a contribuição prevista no art. 1</w:t>
      </w:r>
    </w:p>
    <w:p>
      <w:pPr>
        <w:ind w:left="1008"/>
      </w:pPr>
      <w:r>
        <w:rPr>
          <w:color w:val="003366"/>
          <w:sz w:val="18"/>
        </w:rPr>
        <w:t>a) das contribuições previstas no art. 195, I, &amp;quot;b&amp;quot;, e IV, e da contrib</w:t>
      </w:r>
    </w:p>
    <w:p>
      <w:pPr>
        <w:ind w:left="1008"/>
      </w:pPr>
      <w:r>
        <w:rPr>
          <w:color w:val="003366"/>
          <w:sz w:val="18"/>
        </w:rPr>
        <w:t>b) do imposto previsto no art. 153, IV; e (Incluído pela Emenda Constitucional n</w:t>
      </w:r>
    </w:p>
    <w:p>
      <w:pPr>
        <w:ind w:left="1008"/>
      </w:pPr>
      <w:r>
        <w:rPr>
          <w:color w:val="003366"/>
          <w:sz w:val="18"/>
        </w:rPr>
        <w:t xml:space="preserve">c) do imposto previsto no art. 153, V, da Constituição Federal, sobre operações </w:t>
      </w:r>
    </w:p>
    <w:p>
      <w:pPr>
        <w:ind w:left="720"/>
      </w:pPr>
      <w:r>
        <w:rPr>
          <w:color w:val="003366"/>
          <w:sz w:val="18"/>
        </w:rPr>
        <w:t>II – de 2029 a 2033, que a receita dos Estados e do Distrito Federal com o impos</w:t>
      </w:r>
    </w:p>
    <w:p>
      <w:pPr>
        <w:ind w:left="1008"/>
      </w:pPr>
      <w:r>
        <w:rPr>
          <w:color w:val="003366"/>
          <w:sz w:val="18"/>
        </w:rPr>
        <w:t>a) da receita do imposto previsto no art. 155, II, da Constituição Federal; e (I</w:t>
      </w:r>
    </w:p>
    <w:p>
      <w:pPr>
        <w:ind w:left="1008"/>
      </w:pPr>
      <w:r>
        <w:rPr>
          <w:color w:val="003366"/>
          <w:sz w:val="18"/>
        </w:rPr>
        <w:t>b) das receitas destinadas a fundos estaduais financiados por contribuições esta</w:t>
      </w:r>
    </w:p>
    <w:p>
      <w:pPr>
        <w:ind w:left="720"/>
      </w:pPr>
      <w:r>
        <w:rPr>
          <w:color w:val="003366"/>
          <w:sz w:val="18"/>
        </w:rPr>
        <w:t>III – de 2029 a 2033, que a receita dos Municípios e do Distrito Federal com o i</w:t>
      </w:r>
    </w:p>
    <w:p>
      <w:pPr>
        <w:ind w:left="432"/>
      </w:pPr>
      <w:r>
        <w:rPr>
          <w:color w:val="003366"/>
          <w:sz w:val="18"/>
        </w:rPr>
        <w:t>§ 1 As alíquotas de referência serão fixadas no ano anterior ao de sua vigência,</w:t>
      </w:r>
    </w:p>
    <w:p>
      <w:pPr>
        <w:ind w:left="432"/>
      </w:pPr>
      <w:r>
        <w:rPr>
          <w:color w:val="003366"/>
          <w:sz w:val="18"/>
        </w:rPr>
        <w:t xml:space="preserve">§ 2 Na fixação das alíquotas de referência, deverão ser considerados os efeitos </w:t>
      </w:r>
    </w:p>
    <w:p>
      <w:pPr>
        <w:ind w:left="432"/>
      </w:pPr>
      <w:r>
        <w:rPr>
          <w:color w:val="003366"/>
          <w:sz w:val="18"/>
        </w:rPr>
        <w:t xml:space="preserve">§ 3 Para fins do disposto nos §§ 4º a 6º, entende-se por: (Incluído pela Emenda </w:t>
      </w:r>
    </w:p>
    <w:p>
      <w:pPr>
        <w:ind w:left="720"/>
      </w:pPr>
      <w:r>
        <w:rPr>
          <w:color w:val="003366"/>
          <w:sz w:val="18"/>
        </w:rPr>
        <w:t>I – Teto de Referência da União: a média da receita no período de 2012 a 2021, a</w:t>
      </w:r>
    </w:p>
    <w:p>
      <w:pPr>
        <w:ind w:left="720"/>
      </w:pPr>
      <w:r>
        <w:rPr>
          <w:color w:val="003366"/>
          <w:sz w:val="18"/>
        </w:rPr>
        <w:t>II – Teto de Referência Total: a média da receita no período de 2012 a 2021, apu</w:t>
      </w:r>
    </w:p>
    <w:p>
      <w:pPr>
        <w:ind w:left="720"/>
      </w:pPr>
      <w:r>
        <w:rPr>
          <w:color w:val="003366"/>
          <w:sz w:val="18"/>
        </w:rPr>
        <w:t>III – Receita-Base da União: a receita da União com a contribuição prevista no a</w:t>
      </w:r>
    </w:p>
    <w:p>
      <w:pPr>
        <w:ind w:left="720"/>
      </w:pPr>
      <w:r>
        <w:rPr>
          <w:color w:val="003366"/>
          <w:sz w:val="18"/>
        </w:rPr>
        <w:t>IV – Receita-Base dos Entes Subnacionais: a receita dos Estados, do Distrito Fed</w:t>
      </w:r>
    </w:p>
    <w:p>
      <w:pPr>
        <w:ind w:left="720"/>
      </w:pPr>
      <w:r>
        <w:rPr>
          <w:color w:val="003366"/>
          <w:sz w:val="18"/>
        </w:rPr>
        <w:t>V – Receita-Base Total: a soma da Receita-Base da União com a Receita-Base dos E</w:t>
      </w:r>
    </w:p>
    <w:p>
      <w:pPr>
        <w:ind w:left="1008"/>
      </w:pPr>
      <w:r>
        <w:rPr>
          <w:color w:val="003366"/>
          <w:sz w:val="18"/>
        </w:rPr>
        <w:t>a) multiplicada por 10 (dez) em 2029; (Incluído pela Emenda Constitucional nº 13</w:t>
      </w:r>
    </w:p>
    <w:p>
      <w:pPr>
        <w:ind w:left="1008"/>
      </w:pPr>
      <w:r>
        <w:rPr>
          <w:color w:val="003366"/>
          <w:sz w:val="18"/>
        </w:rPr>
        <w:t>b) multiplicada por 5 (cinco) em 2030; (Incluído pela Emenda Constitucional nº 1</w:t>
      </w:r>
    </w:p>
    <w:p>
      <w:pPr>
        <w:ind w:left="1008"/>
      </w:pPr>
      <w:r>
        <w:rPr>
          <w:color w:val="003366"/>
          <w:sz w:val="18"/>
        </w:rPr>
        <w:t>c) multiplicada por 10 (dez) e dividida por 3 (três) em 2031; (Incluído pela Eme</w:t>
      </w:r>
    </w:p>
    <w:p>
      <w:pPr>
        <w:ind w:left="1008"/>
      </w:pPr>
      <w:r>
        <w:rPr>
          <w:color w:val="003366"/>
          <w:sz w:val="18"/>
        </w:rPr>
        <w:t>d) multiplicada por 10 (dez) e dividida por 4 (quatro) em 2032; (Incluído pela E</w:t>
      </w:r>
    </w:p>
    <w:p>
      <w:pPr>
        <w:ind w:left="1008"/>
      </w:pPr>
      <w:r>
        <w:rPr>
          <w:color w:val="003366"/>
          <w:sz w:val="18"/>
        </w:rPr>
        <w:t>e) multiplicada por 1 (um) em 2033. (Incluído pela Emenda Constitucional nº 132,</w:t>
      </w:r>
    </w:p>
    <w:p>
      <w:pPr>
        <w:ind w:left="432"/>
      </w:pPr>
      <w:r>
        <w:rPr>
          <w:color w:val="003366"/>
          <w:sz w:val="18"/>
        </w:rPr>
        <w:t>§ 4 A alíquota de referência da contribuição a que se refere o art. 195, V, da C</w:t>
      </w:r>
    </w:p>
    <w:p>
      <w:pPr>
        <w:ind w:left="432"/>
      </w:pPr>
      <w:r>
        <w:rPr>
          <w:color w:val="003366"/>
          <w:sz w:val="18"/>
        </w:rPr>
        <w:t xml:space="preserve">§ 5 As alíquotas de referência da contribuição a que se refere o art. 195, V, e </w:t>
      </w:r>
    </w:p>
    <w:p>
      <w:pPr>
        <w:ind w:left="432"/>
      </w:pPr>
      <w:r>
        <w:rPr>
          <w:color w:val="003366"/>
          <w:sz w:val="18"/>
        </w:rPr>
        <w:t>§ 6 As reduções de que tratam os §§ 4º e 5º serão: (Incluído pela Emenda Constit</w:t>
      </w:r>
    </w:p>
    <w:p>
      <w:pPr>
        <w:ind w:left="720"/>
      </w:pPr>
      <w:r>
        <w:rPr>
          <w:color w:val="003366"/>
          <w:sz w:val="18"/>
        </w:rPr>
        <w:t>I – definidas de forma a que a Receita-Base seja igual ao respectivo Teto de Ref</w:t>
      </w:r>
    </w:p>
    <w:p>
      <w:pPr>
        <w:ind w:left="720"/>
      </w:pPr>
      <w:r>
        <w:rPr>
          <w:color w:val="003366"/>
          <w:sz w:val="18"/>
        </w:rPr>
        <w:t>II – no caso do § 5º, proporcionais para as alíquotas de referência federal, est</w:t>
      </w:r>
    </w:p>
    <w:p>
      <w:pPr>
        <w:ind w:left="432"/>
      </w:pPr>
      <w:r>
        <w:rPr>
          <w:color w:val="003366"/>
          <w:sz w:val="18"/>
        </w:rPr>
        <w:t xml:space="preserve">§ 7 A revisão das alíquotas de referência em função do disposto nos §§ 4º, 5º e </w:t>
      </w:r>
    </w:p>
    <w:p>
      <w:pPr>
        <w:ind w:left="432"/>
      </w:pPr>
      <w:r>
        <w:rPr>
          <w:color w:val="003366"/>
          <w:sz w:val="18"/>
        </w:rPr>
        <w:t>§ 8 Os entes federativos e o Comitê Gestor do Imposto sobre Bens e Serviços forn</w:t>
      </w:r>
    </w:p>
    <w:p>
      <w:pPr>
        <w:ind w:left="432"/>
      </w:pPr>
      <w:r>
        <w:rPr>
          <w:color w:val="003366"/>
          <w:sz w:val="18"/>
        </w:rPr>
        <w:t>§ 9 Nos cálculos das alíquotas de que trata o caput, deverá ser considerada a ar</w:t>
      </w:r>
    </w:p>
    <w:p>
      <w:pPr>
        <w:ind w:left="432"/>
      </w:pPr>
      <w:r>
        <w:rPr>
          <w:color w:val="003366"/>
          <w:sz w:val="18"/>
        </w:rPr>
        <w:t>§ 10 O cálculo das alíquotas a que se refere este artigo será realizado com base</w:t>
      </w:r>
    </w:p>
    <w:p>
      <w:r>
        <w:rPr>
          <w:b/>
          <w:color w:val="003366"/>
          <w:sz w:val="20"/>
        </w:rPr>
        <w:t>Art. 131 De 2029 a 2077, o produto da arrecadação dos Estados, do Distrito Feder</w:t>
      </w:r>
      <w:r>
        <w:rPr>
          <w:color w:val="8C8C8C"/>
          <w:sz w:val="14"/>
        </w:rPr>
        <w:t xml:space="preserve">  [18 decisoes]</w:t>
      </w:r>
    </w:p>
    <w:p>
      <w:pPr>
        <w:ind w:left="144"/>
      </w:pPr>
      <w:r>
        <w:rPr>
          <w:b/>
          <w:color w:val="B45A00"/>
          <w:sz w:val="16"/>
        </w:rPr>
        <w:t>SUMULA</w:t>
      </w:r>
    </w:p>
    <w:p>
      <w:pPr>
        <w:ind w:left="288"/>
      </w:pPr>
      <w:r>
        <w:rPr>
          <w:color w:val="8C8C8C"/>
          <w:sz w:val="12"/>
        </w:rPr>
        <w:t>cf-art-131</w:t>
      </w:r>
    </w:p>
    <w:p>
      <w:pPr>
        <w:ind w:left="288"/>
      </w:pPr>
      <w:r>
        <w:rPr>
          <w:color w:val="1E1E1E"/>
          <w:sz w:val="18"/>
        </w:rPr>
        <w:t>Ao titular do cargo de procurador de autarquia não se exige a apresentação de instrumento de mandato para representá-la em juízo.</w:t>
      </w:r>
    </w:p>
    <w:p>
      <w:pPr>
        <w:ind w:left="288"/>
      </w:pPr>
      <w:r>
        <w:rPr>
          <w:b/>
          <w:color w:val="003CA0"/>
          <w:sz w:val="16"/>
        </w:rPr>
        <w:t>[Súmula 644.]</w:t>
      </w:r>
    </w:p>
    <w:p>
      <w:pPr>
        <w:ind w:left="288"/>
      </w:pPr>
      <w:r>
        <w:rPr>
          <w:color w:val="8C8C8C"/>
          <w:sz w:val="12"/>
        </w:rPr>
        <w:t>cf-art-131</w:t>
      </w:r>
      <w:r>
        <w:rPr>
          <w:color w:val="003CA0"/>
          <w:sz w:val="12"/>
        </w:rPr>
        <w:t xml:space="preserve"> | ADI 5.603</w:t>
      </w:r>
      <w:r>
        <w:rPr>
          <w:color w:val="003CA0"/>
          <w:sz w:val="12"/>
        </w:rPr>
        <w:t xml:space="preserve"> | rel. Nunes Marques</w:t>
      </w:r>
    </w:p>
    <w:p>
      <w:pPr>
        <w:ind w:left="288"/>
      </w:pPr>
      <w:r>
        <w:rPr>
          <w:color w:val="1E1E1E"/>
          <w:sz w:val="18"/>
        </w:rPr>
        <w:t>Defensoria Pública da União. Representação judicial e extrajudicial. Atribuição do Defensor Público-Geral. Art. 8º, II, LC 80/1994. (...) A ideia de a capacidade de ser parte derivar necessariamente da personificação jurídica tem sido abrandada, tanto pela doutrina quanto na jurisprudência, para permitir que órgãos públicos de estatura constitucional, em determinadas circunstâncias, possam litigar para defender suas prerrogativas institucionais. A missão constitucional outorgada à Advocacia-Geral da União para representar a União e seus órgãos judicial e extrajudicialmente (art. 131, CF) não i</w:t>
      </w:r>
    </w:p>
    <w:p>
      <w:pPr>
        <w:ind w:left="288"/>
      </w:pPr>
      <w:r>
        <w:rPr>
          <w:b/>
          <w:color w:val="003CA0"/>
          <w:sz w:val="16"/>
        </w:rPr>
        <w:t>[ADI 5.603, rel. min. Nunes Marques, red. do ac. min. Alexandre de Moraes, j. 13.10.2025, P, DJE de 13.11.2025.]</w:t>
      </w:r>
    </w:p>
    <w:p>
      <w:pPr>
        <w:ind w:left="144"/>
      </w:pPr>
      <w:r>
        <w:rPr>
          <w:b/>
          <w:color w:val="B45A00"/>
          <w:sz w:val="16"/>
        </w:rPr>
        <w:t>CONTROLE CONCENTRADO</w:t>
      </w:r>
    </w:p>
    <w:p>
      <w:pPr>
        <w:ind w:left="288"/>
      </w:pPr>
      <w:r>
        <w:rPr>
          <w:color w:val="8C8C8C"/>
          <w:sz w:val="12"/>
        </w:rPr>
        <w:t>cf-art-131</w:t>
      </w:r>
      <w:r>
        <w:rPr>
          <w:color w:val="003CA0"/>
          <w:sz w:val="12"/>
        </w:rPr>
        <w:t xml:space="preserve"> | ADI 6.331</w:t>
      </w:r>
      <w:r>
        <w:rPr>
          <w:color w:val="003CA0"/>
          <w:sz w:val="12"/>
        </w:rPr>
        <w:t xml:space="preserve"> | rel. Luiz Fux</w:t>
      </w:r>
    </w:p>
    <w:p>
      <w:pPr>
        <w:ind w:left="288"/>
      </w:pPr>
      <w:r>
        <w:rPr>
          <w:color w:val="1E1E1E"/>
          <w:sz w:val="18"/>
        </w:rPr>
        <w:t>A instituição de Procuradorias municipais depende da escolha política autônoma de cada município, no exercício da prerrogativa de sua auto-organização. É inconstitucional a interpretação de norma estadual que conduza à obrigatoriedade de implementação de Procuradorias municipais, eis que inexiste norma constitucional de reprodução obrigatória que vincule o poder legislativo municipal à criação de órgãos próprios de advocacia pública. É materialmente inconstitucional dispositivo de Constituição Estadual que estabeleça a possibilidade de contratação direta e genérica de serviços de representação</w:t>
      </w:r>
    </w:p>
    <w:p>
      <w:pPr>
        <w:ind w:left="288"/>
      </w:pPr>
      <w:r>
        <w:rPr>
          <w:b/>
          <w:color w:val="003CA0"/>
          <w:sz w:val="16"/>
        </w:rPr>
        <w:t>[ADI 2.820, rel. min. Roberto Barroso, j. 13-6-2023, P, DJE de 13-7-2023.]</w:t>
      </w:r>
    </w:p>
    <w:p>
      <w:pPr>
        <w:ind w:left="144"/>
      </w:pPr>
      <w:r>
        <w:rPr>
          <w:b/>
          <w:color w:val="B45A00"/>
          <w:sz w:val="16"/>
        </w:rPr>
        <w:t>REPERCUSSAO GERAL</w:t>
      </w:r>
    </w:p>
    <w:p>
      <w:pPr>
        <w:ind w:left="288"/>
      </w:pPr>
      <w:r>
        <w:rPr>
          <w:color w:val="8C8C8C"/>
          <w:sz w:val="12"/>
        </w:rPr>
        <w:t>cf-art-131</w:t>
      </w:r>
      <w:r>
        <w:rPr>
          <w:color w:val="003CA0"/>
          <w:sz w:val="12"/>
        </w:rPr>
        <w:t xml:space="preserve"> | RE 929.886</w:t>
      </w:r>
      <w:r>
        <w:rPr>
          <w:color w:val="003CA0"/>
          <w:sz w:val="12"/>
        </w:rPr>
        <w:t xml:space="preserve"> | rel. Dias Toffoli</w:t>
      </w:r>
    </w:p>
    <w:p>
      <w:pPr>
        <w:ind w:left="288"/>
      </w:pPr>
      <w:r>
        <w:rPr>
          <w:color w:val="1E1E1E"/>
          <w:sz w:val="18"/>
        </w:rPr>
        <w:t>Os Advogados da União não possuem direito a férias de 60 (sessenta) dias, nos termos da legislação constitucional e infraconstitucional vigentes.</w:t>
      </w:r>
    </w:p>
    <w:p>
      <w:pPr>
        <w:ind w:left="288"/>
      </w:pPr>
      <w:r>
        <w:rPr>
          <w:b/>
          <w:color w:val="003CA0"/>
          <w:sz w:val="16"/>
        </w:rPr>
        <w:t>[RE 929.886, rel. min. Dias Toffoli, j. 5-9-2022, P, DJE de 3-10-2022, Tema 1.063, com mérito julgado.]</w:t>
        <w:br/>
        <w:t>Vide RE 594.481, rel. min. Roberto Barroso, j. 20-4-2020, P, DJE de 1º-6-2020, Tema 109, com mérito julgado.</w:t>
      </w:r>
    </w:p>
    <w:p>
      <w:pPr>
        <w:ind w:left="288"/>
      </w:pPr>
      <w:r>
        <w:rPr>
          <w:color w:val="8C8C8C"/>
          <w:sz w:val="12"/>
        </w:rPr>
        <w:t>cf-art-131</w:t>
      </w:r>
      <w:r>
        <w:rPr>
          <w:color w:val="003CA0"/>
          <w:sz w:val="12"/>
        </w:rPr>
        <w:t xml:space="preserve"> | RE 594.481</w:t>
      </w:r>
      <w:r>
        <w:rPr>
          <w:color w:val="003CA0"/>
          <w:sz w:val="12"/>
        </w:rPr>
        <w:t xml:space="preserve"> | rel. Roberto Barroso</w:t>
      </w:r>
    </w:p>
    <w:p>
      <w:pPr>
        <w:ind w:left="288"/>
      </w:pPr>
      <w:r>
        <w:rPr>
          <w:color w:val="1E1E1E"/>
          <w:sz w:val="18"/>
        </w:rPr>
        <w:t>Os Procuradores da Fazenda Nacional não possuem direito a férias de 60 (sessenta) dias, nos termos da legislação constitucional e infraconstitucional vigentes.</w:t>
      </w:r>
    </w:p>
    <w:p>
      <w:pPr>
        <w:ind w:left="288"/>
      </w:pPr>
      <w:r>
        <w:rPr>
          <w:b/>
          <w:color w:val="003CA0"/>
          <w:sz w:val="16"/>
        </w:rPr>
        <w:t>[RE 594.481, rel. min. Roberto Barroso, j. 20-4-2020, P, DJE de 1º-6-2020, Tema 1090, com mérito julgado.]</w:t>
      </w:r>
    </w:p>
    <w:p>
      <w:pPr>
        <w:ind w:left="288"/>
      </w:pPr>
      <w:r>
        <w:rPr>
          <w:color w:val="8C8C8C"/>
          <w:sz w:val="12"/>
        </w:rPr>
        <w:t>cf-art-131</w:t>
      </w:r>
      <w:r>
        <w:rPr>
          <w:color w:val="003CA0"/>
          <w:sz w:val="12"/>
        </w:rPr>
        <w:t xml:space="preserve"> | RE 929.886</w:t>
      </w:r>
      <w:r>
        <w:rPr>
          <w:color w:val="003CA0"/>
          <w:sz w:val="12"/>
        </w:rPr>
        <w:t xml:space="preserve"> | rel. Dias Toffoli</w:t>
      </w:r>
    </w:p>
    <w:p>
      <w:pPr>
        <w:ind w:left="288"/>
      </w:pPr>
      <w:r>
        <w:rPr>
          <w:color w:val="1E1E1E"/>
          <w:sz w:val="18"/>
        </w:rPr>
        <w:t>Vide RE 929.886, rel. min. Dias Toffoli, j. 5-9-2022, P, DJE de 3-10-2022, Tema 1.063, com mérito julgado. Procuradores federais. Pretendida concessão de férias de sessenta dias e consectários legais. Art. 1º da Lei 2.123/1952 e art. 17, parágrafo único, da Lei 4.069/1962. Disposições normativas recepcionadas com status de lei ordinária. Possibilidade de revogação pelo art. 18 da Lei 9.527/1997. Interpretação do art. 131, caput, da Constituição da República. A Procuradoria-Geral Federal, apesar de manter vinculação, não se caracteriza como órgão da AGU.</w:t>
        <w:br/>
        <w:t xml:space="preserve">[RE 602.381, rel. min. Cármen Lúcia, j. </w:t>
      </w:r>
    </w:p>
    <w:p>
      <w:pPr>
        <w:ind w:left="144"/>
      </w:pPr>
      <w:r>
        <w:rPr>
          <w:b/>
          <w:color w:val="B45A00"/>
          <w:sz w:val="16"/>
        </w:rPr>
        <w:t>JULGADOS CORRELATOS</w:t>
      </w:r>
    </w:p>
    <w:p>
      <w:pPr>
        <w:ind w:left="288"/>
      </w:pPr>
      <w:r>
        <w:rPr>
          <w:color w:val="8C8C8C"/>
          <w:sz w:val="12"/>
        </w:rPr>
        <w:t>cf-art-131</w:t>
      </w:r>
      <w:r>
        <w:rPr>
          <w:color w:val="003CA0"/>
          <w:sz w:val="12"/>
        </w:rPr>
        <w:t xml:space="preserve"> | AO 1.757</w:t>
      </w:r>
      <w:r>
        <w:rPr>
          <w:color w:val="003CA0"/>
          <w:sz w:val="12"/>
        </w:rPr>
        <w:t xml:space="preserve"> | rel. Marco Aurélio</w:t>
      </w:r>
    </w:p>
    <w:p>
      <w:pPr>
        <w:ind w:left="288"/>
      </w:pPr>
      <w:r>
        <w:rPr>
          <w:color w:val="1E1E1E"/>
          <w:sz w:val="18"/>
        </w:rPr>
        <w:t>Representação processual. Pessoa jurídica de direito público. União. Instrumento de mandato. Dispensa. Uma vez subscrito o ato por detentor do cargo de advogado da União, dispensável é a apresentação de instrumento de mandato, da procuração.</w:t>
      </w:r>
    </w:p>
    <w:p>
      <w:pPr>
        <w:ind w:left="288"/>
      </w:pPr>
      <w:r>
        <w:rPr>
          <w:b/>
          <w:color w:val="003CA0"/>
          <w:sz w:val="16"/>
        </w:rPr>
        <w:t>[AO 1.757, rel. min. Marco Aurélio, j. 3-12-2013, 1ª T, DJE de 19-12-2013.]</w:t>
      </w:r>
    </w:p>
    <w:p>
      <w:pPr>
        <w:ind w:left="288"/>
      </w:pPr>
      <w:r>
        <w:rPr>
          <w:color w:val="8C8C8C"/>
          <w:sz w:val="12"/>
        </w:rPr>
        <w:t>cf-art-131</w:t>
      </w:r>
      <w:r>
        <w:rPr>
          <w:color w:val="003CA0"/>
          <w:sz w:val="12"/>
        </w:rPr>
        <w:t xml:space="preserve"> | RMS 31.042</w:t>
      </w:r>
      <w:r>
        <w:rPr>
          <w:color w:val="003CA0"/>
          <w:sz w:val="12"/>
        </w:rPr>
        <w:t xml:space="preserve"> | rel. Marco Aurélio</w:t>
      </w:r>
    </w:p>
    <w:p>
      <w:pPr>
        <w:ind w:left="288"/>
      </w:pPr>
      <w:r>
        <w:rPr>
          <w:color w:val="1E1E1E"/>
          <w:sz w:val="18"/>
        </w:rPr>
        <w:t>A alegação de "ilegitimidade" – em termos técnicos, de incompetência – do advogado-geral da União substituto para subscrever a portaria interministerial (...) revela-se insubsistente. Como se sabe, uma das modalidades de convalidação do ato administrativo é a ratificação pela autoridade competente para praticá-lo. Sendo conjunta a assinatura – figuram como autores tanto o advogado-geral da União quanto o ministro da Justiça –, nenhuma questão remanesce no tocante à validade ou à eficácia do ato, porquanto inequívoca a competência deste último para instaurar o procedimento de revisão de atos ad</w:t>
      </w:r>
    </w:p>
    <w:p>
      <w:pPr>
        <w:ind w:left="288"/>
      </w:pPr>
      <w:r>
        <w:rPr>
          <w:b/>
          <w:color w:val="003CA0"/>
          <w:sz w:val="16"/>
        </w:rPr>
        <w:t>[RMS 31.042, voto do rel. min. Marco Aurélio, j. 13-3-2012, 1ª T, DJE de 2-4-2012.]</w:t>
      </w:r>
    </w:p>
    <w:p>
      <w:pPr>
        <w:ind w:left="288"/>
      </w:pPr>
      <w:r>
        <w:rPr>
          <w:color w:val="8C8C8C"/>
          <w:sz w:val="12"/>
        </w:rPr>
        <w:t>cf-art-131</w:t>
      </w:r>
      <w:r>
        <w:rPr>
          <w:color w:val="003CA0"/>
          <w:sz w:val="12"/>
        </w:rPr>
        <w:t xml:space="preserve"> | ADI 2.652</w:t>
      </w:r>
      <w:r>
        <w:rPr>
          <w:color w:val="003CA0"/>
          <w:sz w:val="12"/>
        </w:rPr>
        <w:t xml:space="preserve"> | rel. Cármen Lúcia</w:t>
      </w:r>
    </w:p>
    <w:p>
      <w:pPr>
        <w:ind w:left="288"/>
      </w:pPr>
      <w:r>
        <w:rPr>
          <w:color w:val="1E1E1E"/>
          <w:sz w:val="18"/>
        </w:rPr>
        <w:t>Reclamação. (...) Descumprimento da ADI 2.652/DF. Os procuradores federais estão incluídos na ressalva do parágrafo único do art. 14 do CPC, não sendo possível, assim, fixar-lhes multa em razão de descumprimento do dever disposto no art. 14, V, do CPC. Sem discutir o acerto ou desacerto da condenação por litigância de má-fé – prevista no art. 17, V, do CPC –, imposta pela autoridade reclamada, tem-se que a condenação pessoal do procurador do INSS ao pagamento de multa processual é inadequada porque, no caso vertente, ele não figura como parte ou interveniente na ação.</w:t>
      </w:r>
    </w:p>
    <w:p>
      <w:pPr>
        <w:ind w:left="288"/>
      </w:pPr>
      <w:r>
        <w:rPr>
          <w:b/>
          <w:color w:val="003CA0"/>
          <w:sz w:val="16"/>
        </w:rPr>
        <w:t>[Rcl 5.133 e Rcl 7.181, rel. min. Cármen Lúcia, j. 20-5-2009, P, DJE de 21-8-2009.]</w:t>
      </w:r>
    </w:p>
    <w:p>
      <w:pPr>
        <w:ind w:left="288"/>
      </w:pPr>
      <w:r>
        <w:rPr>
          <w:color w:val="8C8C8C"/>
          <w:sz w:val="12"/>
        </w:rPr>
        <w:t>cf-art-131</w:t>
      </w:r>
      <w:r>
        <w:rPr>
          <w:color w:val="003CA0"/>
          <w:sz w:val="12"/>
        </w:rPr>
        <w:t xml:space="preserve"> | RMS 24.789</w:t>
      </w:r>
      <w:r>
        <w:rPr>
          <w:color w:val="003CA0"/>
          <w:sz w:val="12"/>
        </w:rPr>
        <w:t xml:space="preserve"> | rel. Eros Grau). [RMS 26.615</w:t>
      </w:r>
    </w:p>
    <w:p>
      <w:pPr>
        <w:ind w:left="288"/>
      </w:pPr>
      <w:r>
        <w:rPr>
          <w:color w:val="1E1E1E"/>
          <w:sz w:val="18"/>
        </w:rPr>
        <w:t>Procurador federal. Remuneração. Supressão de Vantagem Pessoal Nominalmente Identificada (VPNI). Impetração contra o advogado-geral da União e o ministro do Planejamento, Orçamento e Gestão. Ilegitimidade. Desprovimento do recurso. A responsabilidade pela folha de pagamento dos servidores públicos federais não se insere nas competências legalmente conferidas às autoridades impetradas, que, no caso, não praticaram nenhum ato lesivo ao alegado direito do recorrente. "Inaplicabilidade do art. 515, § 3º, do CPC – inserido no capítulo da apelação – aos casos de recurso ordinário em mandado de segur</w:t>
      </w:r>
    </w:p>
    <w:p>
      <w:pPr>
        <w:ind w:left="288"/>
      </w:pPr>
      <w:r>
        <w:rPr>
          <w:b/>
          <w:color w:val="003CA0"/>
          <w:sz w:val="16"/>
        </w:rPr>
        <w:t>[RMS 26.615, rel. min. Ayres Britto, j. 20-5-2008, 1ª T, DJE de 31-10-2008.]</w:t>
      </w:r>
    </w:p>
    <w:p>
      <w:pPr>
        <w:ind w:left="288"/>
      </w:pPr>
      <w:r>
        <w:rPr>
          <w:color w:val="8C8C8C"/>
          <w:sz w:val="12"/>
        </w:rPr>
        <w:t>cf-art-131</w:t>
      </w:r>
      <w:r>
        <w:rPr>
          <w:color w:val="003CA0"/>
          <w:sz w:val="12"/>
        </w:rPr>
        <w:t xml:space="preserve"> | MS 24.584</w:t>
      </w:r>
      <w:r>
        <w:rPr>
          <w:color w:val="003CA0"/>
          <w:sz w:val="12"/>
        </w:rPr>
        <w:t xml:space="preserve"> | rel. Marco Aurélio</w:t>
      </w:r>
    </w:p>
    <w:p>
      <w:pPr>
        <w:ind w:left="288"/>
      </w:pPr>
      <w:r>
        <w:rPr>
          <w:color w:val="1E1E1E"/>
          <w:sz w:val="18"/>
        </w:rPr>
        <w:t>Advogado público. Responsabilidade. (...) Prevendo o art. 38 da Lei 8.666/1993 que a manifestação da assessoria jurídica quanto a editais de licitação, contratos, acordos, convênios e ajustes não se limita a simples opinião, alcançando a aprovação, ou não, descabe a recusa à convocação do TCU para serem prestados esclarecimentos.</w:t>
      </w:r>
    </w:p>
    <w:p>
      <w:pPr>
        <w:ind w:left="288"/>
      </w:pPr>
      <w:r>
        <w:rPr>
          <w:b/>
          <w:color w:val="003CA0"/>
          <w:sz w:val="16"/>
        </w:rPr>
        <w:t>[MS 24.584, rel. min. Marco Aurélio, j. 9-8-2007, P, DJE de 20-6-2008.]</w:t>
      </w:r>
    </w:p>
    <w:p>
      <w:pPr>
        <w:ind w:left="288"/>
      </w:pPr>
      <w:r>
        <w:rPr>
          <w:color w:val="8C8C8C"/>
          <w:sz w:val="12"/>
        </w:rPr>
        <w:t>cf-art-131</w:t>
      </w:r>
      <w:r>
        <w:rPr>
          <w:color w:val="003CA0"/>
          <w:sz w:val="12"/>
        </w:rPr>
        <w:t xml:space="preserve"> | MS 24.631</w:t>
      </w:r>
      <w:r>
        <w:rPr>
          <w:color w:val="003CA0"/>
          <w:sz w:val="12"/>
        </w:rPr>
        <w:t xml:space="preserve"> | rel. Joaquim Barbosa</w:t>
      </w:r>
    </w:p>
    <w:p>
      <w:pPr>
        <w:ind w:left="288"/>
      </w:pPr>
      <w:r>
        <w:rPr>
          <w:color w:val="1E1E1E"/>
          <w:sz w:val="18"/>
        </w:rPr>
        <w:t>Controle externo. Auditoria pelo TCU. Responsabilidade de procurador de autarquia por emissão de parecer técnico-jurídico de natureza opinativa. Segurança deferida. Repercussões da natureza jurídico-administrativa do parecer jurídico: (i) quando a consulta é facultativa, a autoridade não se vincula ao parecer proferido, sendo que seu poder de decisão não se altera pela manifestação do órgão consultivo; (ii) quando a consulta é obrigatória, a autoridade administrativa se vincula a emitir o ato tal como submetido à consultoria, com parecer favorável ou contrário, e se pretender praticar ato de f</w:t>
      </w:r>
    </w:p>
    <w:p>
      <w:pPr>
        <w:ind w:left="288"/>
      </w:pPr>
      <w:r>
        <w:rPr>
          <w:b/>
          <w:color w:val="003CA0"/>
          <w:sz w:val="16"/>
        </w:rPr>
        <w:t>[MS 24.631, rel. min. Joaquim Barbosa, j. 9-8-2007, P, DJ de 1º-2-2008.]</w:t>
      </w:r>
    </w:p>
    <w:p>
      <w:pPr>
        <w:ind w:left="288"/>
      </w:pPr>
      <w:r>
        <w:rPr>
          <w:color w:val="8C8C8C"/>
          <w:sz w:val="12"/>
        </w:rPr>
        <w:t>cf-art-131</w:t>
      </w:r>
      <w:r>
        <w:rPr>
          <w:color w:val="003CA0"/>
          <w:sz w:val="12"/>
        </w:rPr>
        <w:t xml:space="preserve"> | RE 121.856</w:t>
      </w:r>
      <w:r>
        <w:rPr>
          <w:color w:val="003CA0"/>
          <w:sz w:val="12"/>
        </w:rPr>
        <w:t xml:space="preserve"> | rel. Paulo Brossard</w:t>
      </w:r>
    </w:p>
    <w:p>
      <w:pPr>
        <w:ind w:left="288"/>
      </w:pPr>
      <w:r>
        <w:rPr>
          <w:color w:val="1E1E1E"/>
          <w:sz w:val="18"/>
        </w:rPr>
        <w:t>Representação judicial do Estado e das suas autarquias. A representação judicial do Estado, por seus procuradores, decorre de lei. Por essa razão, dispensa-se a juntada de instrumento de mandato em autos de processo judicial. A representação judicial das autarquias, por seus advogados, decorre de mandato outorgado por seu diretor, que detém essa representação, sendo obrigatória a juntada de seu instrumento em autos de processo judicial, sob pena de serem considerados inexistentes os atos praticados (art. 37, parágrafo único, do CPC; art. 70, § 1º e § 2º, do Estatuto da OAB – Lei 4.215/1963). O</w:t>
      </w:r>
    </w:p>
    <w:p>
      <w:pPr>
        <w:ind w:left="288"/>
      </w:pPr>
      <w:r>
        <w:rPr>
          <w:b/>
          <w:color w:val="003CA0"/>
          <w:sz w:val="16"/>
        </w:rPr>
        <w:t>[RE 121.856 ED, rel. min. Paulo Brossard, j. 24-4-1990, 2ª T, DJ de 11-5-1990.]</w:t>
      </w:r>
    </w:p>
    <w:p>
      <w:pPr>
        <w:ind w:left="144"/>
      </w:pPr>
      <w:r>
        <w:rPr>
          <w:b/>
          <w:color w:val="B45A00"/>
          <w:sz w:val="16"/>
        </w:rPr>
        <w:t>CONTROLE CONCENTRADO</w:t>
      </w:r>
    </w:p>
    <w:p>
      <w:pPr>
        <w:ind w:left="288"/>
      </w:pPr>
      <w:r>
        <w:rPr>
          <w:color w:val="8C8C8C"/>
          <w:sz w:val="12"/>
        </w:rPr>
        <w:t>cf-art-131-par-1</w:t>
      </w:r>
      <w:r>
        <w:rPr>
          <w:color w:val="003CA0"/>
          <w:sz w:val="12"/>
        </w:rPr>
        <w:t xml:space="preserve"> | ADI 3.056</w:t>
      </w:r>
      <w:r>
        <w:rPr>
          <w:color w:val="003CA0"/>
          <w:sz w:val="12"/>
        </w:rPr>
        <w:t xml:space="preserve"> | rel. Nunes Marques</w:t>
      </w:r>
    </w:p>
    <w:p>
      <w:pPr>
        <w:ind w:left="288"/>
      </w:pPr>
      <w:r>
        <w:rPr>
          <w:color w:val="1E1E1E"/>
          <w:sz w:val="18"/>
        </w:rPr>
        <w:t>A regra estabelecida no art. 131, § 1º, da CF/1988 para a escolha do Advogado-Geral da União não é aplicável aos Estados-membros por simetria. Assim, os demais entes públicos podem editar normas que fixem requisitos diversos para a escolha de seus Procuradores-Gerais.</w:t>
        <w:br/>
        <w:t>[ADI 3.056, rel. min. Nunes Marques, red. do ac. min. Luís Roberto Barroso, j. 25-9-2023, P, DJE de 13-10-2023.] A Constituição do Estado do Mato Grosso, ao condicionar a destituição do procurador-geral do Estado à autorização da assembleia legislativa, ofende o disposto no art. 84, XXV, e art. 131, § 1º, da CF/1988. Compete ao c</w:t>
      </w:r>
    </w:p>
    <w:p>
      <w:pPr>
        <w:ind w:left="288"/>
      </w:pPr>
      <w:r>
        <w:rPr>
          <w:color w:val="8C8C8C"/>
          <w:sz w:val="12"/>
        </w:rPr>
        <w:t>cf-art-131-par-2</w:t>
      </w:r>
      <w:r>
        <w:rPr>
          <w:color w:val="003CA0"/>
          <w:sz w:val="12"/>
        </w:rPr>
        <w:t xml:space="preserve"> | ADI 1.591</w:t>
      </w:r>
      <w:r>
        <w:rPr>
          <w:color w:val="003CA0"/>
          <w:sz w:val="12"/>
        </w:rPr>
        <w:t xml:space="preserve"> | rel. Octavio Gallotti. [ADI 2.713</w:t>
      </w:r>
    </w:p>
    <w:p>
      <w:pPr>
        <w:ind w:left="288"/>
      </w:pPr>
      <w:r>
        <w:rPr>
          <w:color w:val="1E1E1E"/>
          <w:sz w:val="18"/>
        </w:rPr>
        <w:t>Ação direta de inconstitucionalidade. Art. 11 e parágrafos da MP 43, de 25-6-2002, convertida na Lei 10.549, de 13-11-2002. Transformação de cargos de assistente jurídico da AGU em cargos de advogado da União. (...) Rejeição (...) da alegação de violação ao princípio do concurso público (CF, arts. 37, II, e 131, § 2º). É que a análise do regime normativo das carreiras da AGU em exame aponta para uma racionalização, no âmbito da AGU, do desempenho de seu papel constitucional por meio de uma completa identidade substancial entre os cargos em exame, verificada a compatibilidade funcional e remune</w:t>
      </w:r>
    </w:p>
    <w:p>
      <w:pPr>
        <w:ind w:left="288"/>
      </w:pPr>
      <w:r>
        <w:rPr>
          <w:b/>
          <w:color w:val="003CA0"/>
          <w:sz w:val="16"/>
        </w:rPr>
        <w:t>[ADI 2.713, rel. min. Ellen Gracie, j. 18-12-2002, P, DJ de 7-3-2003.]</w:t>
      </w:r>
    </w:p>
    <w:p>
      <w:pPr>
        <w:ind w:left="144"/>
      </w:pPr>
      <w:r>
        <w:rPr>
          <w:b/>
          <w:color w:val="B45A00"/>
          <w:sz w:val="16"/>
        </w:rPr>
        <w:t>JULGADOS CORRELATOS</w:t>
      </w:r>
    </w:p>
    <w:p>
      <w:pPr>
        <w:ind w:left="288"/>
      </w:pPr>
      <w:r>
        <w:rPr>
          <w:color w:val="8C8C8C"/>
          <w:sz w:val="12"/>
        </w:rPr>
        <w:t>cf-art-131-par-3</w:t>
      </w:r>
      <w:r>
        <w:rPr>
          <w:color w:val="003CA0"/>
          <w:sz w:val="12"/>
        </w:rPr>
        <w:t xml:space="preserve"> | RE 193.326</w:t>
      </w:r>
      <w:r>
        <w:rPr>
          <w:color w:val="003CA0"/>
          <w:sz w:val="12"/>
        </w:rPr>
        <w:t xml:space="preserve"> | rel. Carlos Velloso</w:t>
      </w:r>
    </w:p>
    <w:p>
      <w:pPr>
        <w:ind w:left="288"/>
      </w:pPr>
      <w:r>
        <w:rPr>
          <w:color w:val="1E1E1E"/>
          <w:sz w:val="18"/>
        </w:rPr>
        <w:t>Tem base na Constituição, § 5º do art. 29, ADCT, a delegação da Procuradoria-Geral da Fazenda Nacional à Procuradoria do Incra, para promover a cobrança, mediante execução fiscal, de débitos fiscais da União.</w:t>
      </w:r>
    </w:p>
    <w:p>
      <w:pPr>
        <w:ind w:left="288"/>
      </w:pPr>
      <w:r>
        <w:rPr>
          <w:b/>
          <w:color w:val="003CA0"/>
          <w:sz w:val="16"/>
        </w:rPr>
        <w:t>[RE 193.326, rel. min. Carlos Velloso, j. 25-3-1997, 2ª T, DJ de 23-5-1997.]</w:t>
      </w:r>
    </w:p>
    <w:p>
      <w:pPr>
        <w:ind w:left="288"/>
      </w:pPr>
      <w:r>
        <w:rPr>
          <w:color w:val="8C8C8C"/>
          <w:sz w:val="12"/>
        </w:rPr>
        <w:t>cf-art-131-par-3</w:t>
      </w:r>
      <w:r>
        <w:rPr>
          <w:color w:val="003CA0"/>
          <w:sz w:val="12"/>
        </w:rPr>
        <w:t xml:space="preserve"> | RE 163.581</w:t>
      </w:r>
      <w:r>
        <w:rPr>
          <w:color w:val="003CA0"/>
          <w:sz w:val="12"/>
        </w:rPr>
        <w:t xml:space="preserve"> | rel. Marco Aurélio</w:t>
      </w:r>
    </w:p>
    <w:p>
      <w:pPr>
        <w:ind w:left="288"/>
      </w:pPr>
      <w:r>
        <w:rPr>
          <w:color w:val="1E1E1E"/>
          <w:sz w:val="18"/>
        </w:rPr>
        <w:t>Em se tratando de condenação da Fazenda Nacional a satisfazer honorários advocatícios, cumpre sopesar o grau de zelo do profissional, o lugar da prestação do serviço, a natureza e importância da causa, o trabalho realizado e o tempo exigido. Inexistência de obstáculo legal à fixação, considerados tais critérios, na base de dez por cento do valor da causa.</w:t>
      </w:r>
    </w:p>
    <w:p>
      <w:pPr>
        <w:ind w:left="288"/>
      </w:pPr>
      <w:r>
        <w:rPr>
          <w:b/>
          <w:color w:val="003CA0"/>
          <w:sz w:val="16"/>
        </w:rPr>
        <w:t>[RE 163.581 ED, rel. min. Marco Aurélio, j. 11-3-1996, 2ª T, DJ de 10-5-1996.]</w:t>
      </w:r>
    </w:p>
    <w:p>
      <w:pPr>
        <w:ind w:left="288"/>
      </w:pPr>
      <w:r>
        <w:rPr>
          <w:color w:val="8C8C8C"/>
          <w:sz w:val="12"/>
        </w:rPr>
        <w:t>cf-art-131-par-3</w:t>
      </w:r>
      <w:r>
        <w:rPr>
          <w:color w:val="003CA0"/>
          <w:sz w:val="12"/>
        </w:rPr>
        <w:t xml:space="preserve"> | AO 1.394</w:t>
      </w:r>
      <w:r>
        <w:rPr>
          <w:color w:val="003CA0"/>
          <w:sz w:val="12"/>
        </w:rPr>
        <w:t xml:space="preserve"> | rel. Luiz Fux</w:t>
      </w:r>
    </w:p>
    <w:p>
      <w:pPr>
        <w:ind w:left="288"/>
      </w:pPr>
      <w:r>
        <w:rPr>
          <w:color w:val="1E1E1E"/>
          <w:sz w:val="18"/>
        </w:rPr>
        <w:t>= AO 1.394 AgR-AgR, rel. min. Luiz Fux, j. 7-4-2015, 1ª T, DJE de 22-4-2015</w:t>
      </w:r>
    </w:p>
    <w:p>
      <w:pPr>
        <w:ind w:left="432"/>
      </w:pPr>
      <w:r>
        <w:rPr>
          <w:color w:val="003366"/>
          <w:sz w:val="18"/>
        </w:rPr>
        <w:t>§ 1 Serão retidos do produto da arrecadação do imposto de cada Estado, do Distri</w:t>
      </w:r>
    </w:p>
    <w:p>
      <w:pPr>
        <w:ind w:left="720"/>
      </w:pPr>
      <w:r>
        <w:rPr>
          <w:color w:val="003366"/>
          <w:sz w:val="18"/>
        </w:rPr>
        <w:t>I – de 2029 a 2032, 80% (oitenta por cento); (Incluído pela Emenda Constituciona</w:t>
      </w:r>
    </w:p>
    <w:p>
      <w:pPr>
        <w:ind w:left="720"/>
      </w:pPr>
      <w:r>
        <w:rPr>
          <w:color w:val="003366"/>
          <w:sz w:val="18"/>
        </w:rPr>
        <w:t>II – em 2033, 90% (noventa por cento); (Incluído pela Emenda Constitucional nº 1</w:t>
      </w:r>
    </w:p>
    <w:p>
      <w:pPr>
        <w:ind w:left="720"/>
      </w:pPr>
      <w:r>
        <w:rPr>
          <w:color w:val="003366"/>
          <w:sz w:val="18"/>
        </w:rPr>
        <w:t xml:space="preserve">III – de 2034 a 2077, percentual correspondente ao aplicado em 2033, reduzido à </w:t>
      </w:r>
    </w:p>
    <w:p>
      <w:pPr>
        <w:ind w:left="432"/>
      </w:pPr>
      <w:r>
        <w:rPr>
          <w:color w:val="003366"/>
          <w:sz w:val="18"/>
        </w:rPr>
        <w:t>§ 2 Na forma estabelecida em lei complementar, o montante retido nos termos do §</w:t>
      </w:r>
    </w:p>
    <w:p>
      <w:pPr>
        <w:ind w:left="720"/>
      </w:pPr>
      <w:r>
        <w:rPr>
          <w:color w:val="003366"/>
          <w:sz w:val="18"/>
        </w:rPr>
        <w:t>I – no caso dos Estados: (Incluído pela Emenda Constitucional nº 132, de 2023)</w:t>
      </w:r>
    </w:p>
    <w:p>
      <w:pPr>
        <w:ind w:left="1008"/>
      </w:pPr>
      <w:r>
        <w:rPr>
          <w:color w:val="003366"/>
          <w:sz w:val="18"/>
        </w:rPr>
        <w:t>a) a arrecadação do imposto previsto no art. 155, II, após aplicação do disposto</w:t>
      </w:r>
    </w:p>
    <w:p>
      <w:pPr>
        <w:ind w:left="1008"/>
      </w:pPr>
      <w:r>
        <w:rPr>
          <w:color w:val="003366"/>
          <w:sz w:val="18"/>
        </w:rPr>
        <w:t>b) as receitas destinadas aos fundos estaduais de que trata o art. 130, II, &amp;quo</w:t>
      </w:r>
    </w:p>
    <w:p>
      <w:pPr>
        <w:ind w:left="720"/>
      </w:pPr>
      <w:r>
        <w:rPr>
          <w:color w:val="003366"/>
          <w:sz w:val="18"/>
        </w:rPr>
        <w:t>II – no caso do Distrito Federal: (Incluído pela Emenda Constitucional nº 132, d</w:t>
      </w:r>
    </w:p>
    <w:p>
      <w:pPr>
        <w:ind w:left="1008"/>
      </w:pPr>
      <w:r>
        <w:rPr>
          <w:color w:val="003366"/>
          <w:sz w:val="18"/>
        </w:rPr>
        <w:t>a) a arrecadação do imposto previsto no art. 155, II, da Constituição Federal; e</w:t>
      </w:r>
    </w:p>
    <w:p>
      <w:pPr>
        <w:ind w:left="1008"/>
      </w:pPr>
      <w:r>
        <w:rPr>
          <w:color w:val="003366"/>
          <w:sz w:val="18"/>
        </w:rPr>
        <w:t xml:space="preserve">b) a arrecadação do imposto previsto no art. 156, III, da Constituição Federal; </w:t>
      </w:r>
    </w:p>
    <w:p>
      <w:pPr>
        <w:ind w:left="720"/>
      </w:pPr>
      <w:r>
        <w:rPr>
          <w:color w:val="003366"/>
          <w:sz w:val="18"/>
        </w:rPr>
        <w:t>III – no caso dos Municípios: (Incluído pela Emenda Constitucional nº 132, de 20</w:t>
      </w:r>
    </w:p>
    <w:p>
      <w:pPr>
        <w:ind w:left="1008"/>
      </w:pPr>
      <w:r>
        <w:rPr>
          <w:color w:val="003366"/>
          <w:sz w:val="18"/>
        </w:rPr>
        <w:t xml:space="preserve">a) a arrecadação do imposto previsto no art. 156, III, da Constituição Federal; </w:t>
      </w:r>
    </w:p>
    <w:p>
      <w:pPr>
        <w:ind w:left="1008"/>
      </w:pPr>
      <w:r>
        <w:rPr>
          <w:color w:val="003366"/>
          <w:sz w:val="18"/>
        </w:rPr>
        <w:t xml:space="preserve">b) a parcela creditada na forma do art. 158, IV, &amp;quot;a&amp;quot;, da Constituição </w:t>
      </w:r>
    </w:p>
    <w:p>
      <w:pPr>
        <w:ind w:left="432"/>
      </w:pPr>
      <w:r>
        <w:rPr>
          <w:color w:val="003366"/>
          <w:sz w:val="18"/>
        </w:rPr>
        <w:t>§ 3 Não se aplica o disposto no art. 158, IV, &amp;quot;b&amp;quot;, da Constituição Fed</w:t>
      </w:r>
    </w:p>
    <w:p>
      <w:pPr>
        <w:ind w:left="432"/>
      </w:pPr>
      <w:r>
        <w:rPr>
          <w:color w:val="003366"/>
          <w:sz w:val="18"/>
        </w:rPr>
        <w:t>§ 4 A parcela do produto da arrecadação do imposto não retida nos termos do § 1º</w:t>
      </w:r>
    </w:p>
    <w:p>
      <w:pPr>
        <w:ind w:left="432"/>
      </w:pPr>
      <w:r>
        <w:rPr>
          <w:color w:val="003366"/>
          <w:sz w:val="18"/>
        </w:rPr>
        <w:t>§ 5 Os recursos de que trata este artigo serão distribuídos nos termos estabelec</w:t>
      </w:r>
    </w:p>
    <w:p>
      <w:pPr>
        <w:ind w:left="720"/>
      </w:pPr>
      <w:r>
        <w:rPr>
          <w:color w:val="003366"/>
          <w:sz w:val="18"/>
        </w:rPr>
        <w:t xml:space="preserve">I – constituirão a base de cálculo dos fundos de que trata o art. 212-A, II, da </w:t>
      </w:r>
    </w:p>
    <w:p>
      <w:pPr>
        <w:ind w:left="1008"/>
      </w:pPr>
      <w:r>
        <w:rPr>
          <w:color w:val="003366"/>
          <w:sz w:val="18"/>
        </w:rPr>
        <w:t>a) para os Estados, o percentual de que trata o art. 212-A, II, será aplicado pr</w:t>
      </w:r>
    </w:p>
    <w:p>
      <w:pPr>
        <w:ind w:left="1008"/>
      </w:pPr>
      <w:r>
        <w:rPr>
          <w:color w:val="003366"/>
          <w:sz w:val="18"/>
        </w:rPr>
        <w:t>b) para o Distrito Federal, o percentual de que trata o art. 212-A, II, será apl</w:t>
      </w:r>
    </w:p>
    <w:p>
      <w:pPr>
        <w:ind w:left="1008"/>
      </w:pPr>
      <w:r>
        <w:rPr>
          <w:color w:val="003366"/>
          <w:sz w:val="18"/>
        </w:rPr>
        <w:t>c) para os Municípios, o percentual de que trata o art. 212-A, II, será aplicado</w:t>
      </w:r>
    </w:p>
    <w:p>
      <w:pPr>
        <w:ind w:left="720"/>
      </w:pPr>
      <w:r>
        <w:rPr>
          <w:color w:val="003366"/>
          <w:sz w:val="18"/>
        </w:rPr>
        <w:t>II – constituirão as bases de cálculo de que tratam os arts. 29-A, 198, § 2º, 20</w:t>
      </w:r>
    </w:p>
    <w:p>
      <w:pPr>
        <w:ind w:left="720"/>
      </w:pPr>
      <w:r>
        <w:rPr>
          <w:color w:val="003366"/>
          <w:sz w:val="18"/>
        </w:rPr>
        <w:t>III – poderão ser vinculados para prestação de garantias às operações de crédito</w:t>
      </w:r>
    </w:p>
    <w:p>
      <w:pPr>
        <w:ind w:left="432"/>
      </w:pPr>
      <w:r>
        <w:rPr>
          <w:color w:val="003366"/>
          <w:sz w:val="18"/>
        </w:rPr>
        <w:t>§ 6 Durante o período de que trata o caput deste artigo, é vedado aos Estados, a</w:t>
      </w:r>
    </w:p>
    <w:p>
      <w:r>
        <w:rPr>
          <w:b/>
          <w:color w:val="003366"/>
          <w:sz w:val="20"/>
        </w:rPr>
        <w:t>Art. 132 Do imposto dos Estados, do Distrito Federal e dos Municípios apurado co</w:t>
      </w:r>
      <w:r>
        <w:rPr>
          <w:color w:val="8C8C8C"/>
          <w:sz w:val="14"/>
        </w:rPr>
        <w:t xml:space="preserve">  [19 decisoes]</w:t>
      </w:r>
    </w:p>
    <w:p>
      <w:pPr>
        <w:ind w:left="288"/>
      </w:pPr>
      <w:r>
        <w:rPr>
          <w:color w:val="8C8C8C"/>
          <w:sz w:val="12"/>
        </w:rPr>
        <w:t>cf-art-132</w:t>
      </w:r>
      <w:r>
        <w:rPr>
          <w:color w:val="003CA0"/>
          <w:sz w:val="12"/>
        </w:rPr>
        <w:t xml:space="preserve"> | ADI 4.843</w:t>
      </w:r>
      <w:r>
        <w:rPr>
          <w:color w:val="003CA0"/>
          <w:sz w:val="12"/>
        </w:rPr>
        <w:t xml:space="preserve"> | rel. Nunes Marques</w:t>
      </w:r>
    </w:p>
    <w:p>
      <w:pPr>
        <w:ind w:left="288"/>
      </w:pPr>
      <w:r>
        <w:rPr>
          <w:color w:val="1E1E1E"/>
          <w:sz w:val="18"/>
        </w:rPr>
        <w:t>É inconstitucional disposição normativa que confere a titular de cargo em comissão de assessoria jurídica pertencente aos quadros do Executivo e não provido por Procurador do Estado a produção de informações em mandado de segurança em que a autoridade apontada como coatora seja da respectiva Secretaria. Atividade de consultoria jurídica e representação judicial da autoridade coatora privativa de advogado público. Possibilidade de fornecimento, pela própria autoridade coatora, de subsídios atinentes à matéria da demanda. Parte das atribuições do Coordenador de Assessoria Técnico-Normativa e Con</w:t>
      </w:r>
    </w:p>
    <w:p>
      <w:pPr>
        <w:ind w:left="288"/>
      </w:pPr>
      <w:r>
        <w:rPr>
          <w:b/>
          <w:color w:val="003CA0"/>
          <w:sz w:val="16"/>
        </w:rPr>
        <w:t>[ADI 4.843, rel. min. Nunes Marques, j. 24.02.2025, P, DJE de 11.03.2025.]</w:t>
      </w:r>
    </w:p>
    <w:p>
      <w:pPr>
        <w:ind w:left="144"/>
      </w:pPr>
      <w:r>
        <w:rPr>
          <w:b/>
          <w:color w:val="B45A00"/>
          <w:sz w:val="16"/>
        </w:rPr>
        <w:t>CONTROLE CONCENTRADO</w:t>
      </w:r>
    </w:p>
    <w:p>
      <w:pPr>
        <w:ind w:left="288"/>
      </w:pPr>
      <w:r>
        <w:rPr>
          <w:color w:val="8C8C8C"/>
          <w:sz w:val="12"/>
        </w:rPr>
        <w:t>cf-art-132</w:t>
      </w:r>
      <w:r>
        <w:rPr>
          <w:color w:val="003CA0"/>
          <w:sz w:val="12"/>
        </w:rPr>
        <w:t xml:space="preserve"> | ADI 6.331</w:t>
      </w:r>
      <w:r>
        <w:rPr>
          <w:color w:val="003CA0"/>
          <w:sz w:val="12"/>
        </w:rPr>
        <w:t xml:space="preserve"> | rel. Luiz Fux</w:t>
      </w:r>
    </w:p>
    <w:p>
      <w:pPr>
        <w:ind w:left="288"/>
      </w:pPr>
      <w:r>
        <w:rPr>
          <w:color w:val="1E1E1E"/>
          <w:sz w:val="18"/>
        </w:rPr>
        <w:t>A instituição de Procuradorias municipais depende da escolha política autônoma de cada município, no exercício da prerrogativa de sua auto-organização. É inconstitucional a interpretação de norma estadual que conduza à obrigatoriedade de implementação de Procuradorias municipais, eis que inexiste norma constitucional de reprodução obrigatória que vincule o poder legislativo municipal à criação de órgãos próprios de advocacia pública. É materialmente inconstitucional dispositivo de Constituição Estadual que estabeleça a possibilidade de contratação direta e genérica de serviços de representação</w:t>
      </w:r>
    </w:p>
    <w:p>
      <w:pPr>
        <w:ind w:left="288"/>
      </w:pPr>
      <w:r>
        <w:rPr>
          <w:b/>
          <w:color w:val="003CA0"/>
          <w:sz w:val="16"/>
        </w:rPr>
        <w:t>[ADI 3.536, rel. min. Alexandre de Moraes, j. 2-10-2019, P, DJE de 4-12-2019.]</w:t>
      </w:r>
    </w:p>
    <w:p>
      <w:pPr>
        <w:ind w:left="288"/>
      </w:pPr>
      <w:r>
        <w:rPr>
          <w:color w:val="8C8C8C"/>
          <w:sz w:val="12"/>
        </w:rPr>
        <w:t>cf-art-132</w:t>
      </w:r>
      <w:r>
        <w:rPr>
          <w:color w:val="003CA0"/>
          <w:sz w:val="12"/>
        </w:rPr>
        <w:t xml:space="preserve"> | ADI 5.541</w:t>
      </w:r>
      <w:r>
        <w:rPr>
          <w:color w:val="003CA0"/>
          <w:sz w:val="12"/>
        </w:rPr>
        <w:t xml:space="preserve"> | rel. Edson Fachin</w:t>
      </w:r>
    </w:p>
    <w:p>
      <w:pPr>
        <w:ind w:left="288"/>
      </w:pPr>
      <w:r>
        <w:rPr>
          <w:color w:val="1E1E1E"/>
          <w:sz w:val="18"/>
        </w:rPr>
        <w:t>A alteração promovida pelo art. 1º da Lei Complementar do Estado de Minas Gerais 114/2010 ao art. 3º, § 4º, da Lei Complementar 81/2004, retira o caráter privativo das competências de Procuradores do Estado junto às assessorias jurídicas da Administração Direta e Procuradorias das autarquias e fundações estaduais, violando a determinação do art. 132 da Constituição da República, conforme precedentes desta Corte.</w:t>
      </w:r>
    </w:p>
    <w:p>
      <w:pPr>
        <w:ind w:left="288"/>
      </w:pPr>
      <w:r>
        <w:rPr>
          <w:b/>
          <w:color w:val="003CA0"/>
          <w:sz w:val="16"/>
        </w:rPr>
        <w:t>[ADI 5.541, rel. min. Edson Fachin, j. 27-9-2019, P, DJE de 15-10-2019.]</w:t>
      </w:r>
    </w:p>
    <w:p>
      <w:pPr>
        <w:ind w:left="288"/>
      </w:pPr>
      <w:r>
        <w:rPr>
          <w:color w:val="8C8C8C"/>
          <w:sz w:val="12"/>
        </w:rPr>
        <w:t>cf-art-132</w:t>
      </w:r>
      <w:r>
        <w:rPr>
          <w:color w:val="003CA0"/>
          <w:sz w:val="12"/>
        </w:rPr>
        <w:t xml:space="preserve"> | ADI 1.246</w:t>
      </w:r>
      <w:r>
        <w:rPr>
          <w:color w:val="003CA0"/>
          <w:sz w:val="12"/>
        </w:rPr>
        <w:t xml:space="preserve"> | rel. Roberto Barroso</w:t>
      </w:r>
    </w:p>
    <w:p>
      <w:pPr>
        <w:ind w:left="288"/>
      </w:pPr>
      <w:r>
        <w:rPr>
          <w:color w:val="1E1E1E"/>
          <w:sz w:val="18"/>
        </w:rPr>
        <w:t>A Procuradoria-Geral do Estado é o órgão constitucional e permanente ao qual se confiou o exercício da advocacia (representação judicial e consultoria jurídica) do Estado-membro (CF/88, art. 132). A parcialidade é inerente às suas funções, sendo, por isso, inadequado cogitar-se independência funcional, nos moldes da Magistratura, do Ministério Público ou da Defensoria Pública (CF/88, art. 95, II; art. 128, § 5º, I, b; e art. 134, § 1º). A garantia da inamovibilidade é instrumental à independência funcional, sendo, dessa forma, insuscetível de extensão a uma carreira cujas funções podem envolve</w:t>
      </w:r>
    </w:p>
    <w:p>
      <w:pPr>
        <w:ind w:left="288"/>
      </w:pPr>
      <w:r>
        <w:rPr>
          <w:b/>
          <w:color w:val="003CA0"/>
          <w:sz w:val="16"/>
        </w:rPr>
        <w:t>[ADI 1.246, rel. min. Roberto Barroso, j. 11-4-2019, P, DJE de 23-5-2019.]</w:t>
      </w:r>
    </w:p>
    <w:p>
      <w:pPr>
        <w:ind w:left="288"/>
      </w:pPr>
      <w:r>
        <w:rPr>
          <w:color w:val="8C8C8C"/>
          <w:sz w:val="12"/>
        </w:rPr>
        <w:t>cf-art-132</w:t>
      </w:r>
      <w:r>
        <w:rPr>
          <w:color w:val="003CA0"/>
          <w:sz w:val="12"/>
        </w:rPr>
        <w:t xml:space="preserve"> | ADI 4.449</w:t>
      </w:r>
      <w:r>
        <w:rPr>
          <w:color w:val="003CA0"/>
          <w:sz w:val="12"/>
        </w:rPr>
        <w:t xml:space="preserve"> | rel. Marco Aurélio</w:t>
      </w:r>
    </w:p>
    <w:p>
      <w:pPr>
        <w:ind w:left="288"/>
      </w:pPr>
      <w:r>
        <w:rPr>
          <w:color w:val="1E1E1E"/>
          <w:sz w:val="18"/>
        </w:rPr>
        <w:t>Ante o princípio da unicidade orgânica das Procuradorias estaduais – artigo 132 da Constituição Federal –, surge inconstitucional restrição, considerada manifestação do poder constituinte derivado local, do âmbito de atuação dos Procuradores do Estado à defesa e assessoramento jurídico dos órgãos da Administração direta mediante a ‘constitucionalização’ de carreiras de Procurador Autárquico e de Advogado de Fundação à margem da estrutura da Procuradoria-Geral do Estado, ressalvada regra excepcional contida no artigo 69 do Ato da Disposições Constitucionais Transitórias.</w:t>
      </w:r>
    </w:p>
    <w:p>
      <w:pPr>
        <w:ind w:left="288"/>
      </w:pPr>
      <w:r>
        <w:rPr>
          <w:b/>
          <w:color w:val="003CA0"/>
          <w:sz w:val="16"/>
        </w:rPr>
        <w:t>[ADI 4.449, rel. min. Marco Aurélio, j. 28-3-2019, P, DJE de 1º-8-2019.]</w:t>
      </w:r>
    </w:p>
    <w:p>
      <w:pPr>
        <w:ind w:left="288"/>
      </w:pPr>
      <w:r>
        <w:rPr>
          <w:color w:val="8C8C8C"/>
          <w:sz w:val="12"/>
        </w:rPr>
        <w:t>cf-art-132</w:t>
      </w:r>
      <w:r>
        <w:rPr>
          <w:color w:val="003CA0"/>
          <w:sz w:val="12"/>
        </w:rPr>
        <w:t xml:space="preserve"> | ADI 5.215</w:t>
      </w:r>
      <w:r>
        <w:rPr>
          <w:color w:val="003CA0"/>
          <w:sz w:val="12"/>
        </w:rPr>
        <w:t xml:space="preserve"> | rel. Roberto Barroso</w:t>
      </w:r>
    </w:p>
    <w:p>
      <w:pPr>
        <w:ind w:left="288"/>
      </w:pPr>
      <w:r>
        <w:rPr>
          <w:color w:val="1E1E1E"/>
          <w:sz w:val="18"/>
        </w:rPr>
        <w:t>(...) as universidades estaduais também podem criar e organizar procuradorias jurídicas, em razão de sua autonomia didático-científica, administrativa, financeira e patrimonial (art. 207, caput, CF/88). Tais órgãos jurídicos exercem um papel fundamental na defesa dos interesses das universidades, inclusive em face dos próprios Estados-membros que as constituíram. Portanto, em razão da autonomia universitária e seguindo a lógica da jurisprudência do Supremo Tribunal Federal na matéria, a existência dessas procuradorias não viola o art. 132 da Constituição.</w:t>
      </w:r>
    </w:p>
    <w:p>
      <w:pPr>
        <w:ind w:left="288"/>
      </w:pPr>
      <w:r>
        <w:rPr>
          <w:b/>
          <w:color w:val="003CA0"/>
          <w:sz w:val="16"/>
        </w:rPr>
        <w:t>[ADI 5.215, rel. min. Roberto Barroso, j. 28-3-2019, P, DJE de 1º-8-2019.]</w:t>
      </w:r>
    </w:p>
    <w:p>
      <w:pPr>
        <w:ind w:left="288"/>
      </w:pPr>
      <w:r>
        <w:rPr>
          <w:color w:val="8C8C8C"/>
          <w:sz w:val="12"/>
        </w:rPr>
        <w:t>cf-art-132</w:t>
      </w:r>
      <w:r>
        <w:rPr>
          <w:color w:val="003CA0"/>
          <w:sz w:val="12"/>
        </w:rPr>
        <w:t xml:space="preserve"> | ADI 175</w:t>
      </w:r>
      <w:r>
        <w:rPr>
          <w:color w:val="003CA0"/>
          <w:sz w:val="12"/>
        </w:rPr>
        <w:t xml:space="preserve"> | rel. Octavio Gallotti</w:t>
      </w:r>
    </w:p>
    <w:p>
      <w:pPr>
        <w:ind w:left="288"/>
      </w:pPr>
      <w:r>
        <w:rPr>
          <w:color w:val="1E1E1E"/>
          <w:sz w:val="18"/>
        </w:rPr>
        <w:t xml:space="preserve">O Plenário desta Corte, no julgamento definitivo da ADI 175/PR, rel. min. Octavio Gallotti, declarou a constitucionalidade do art. 56 e parágrafos do ADCT do Estado do Paraná, de 5-10-1989, que autorizou a permanência, em carreiras especiais criadas por lei, dos que já ocupavam com estabilidade, naquele momento, cargos e empregos públicos de advogados, assessores e assistentes jurídicos, para o exercício do assessoramento jurídico nos Poderes Executivo, Legislativo e Judiciário e da representação judicial das autarquias e fundações públicas. Os diplomas legais ora impugnados, ao reunirem numa </w:t>
      </w:r>
    </w:p>
    <w:p>
      <w:pPr>
        <w:ind w:left="288"/>
      </w:pPr>
      <w:r>
        <w:rPr>
          <w:b/>
          <w:color w:val="003CA0"/>
          <w:sz w:val="16"/>
        </w:rPr>
        <w:t>[ADI 484, red. do ac. min. Ricardo Lewandowski, j. 10-11-2011, P, DJE de 1º-2-2012.]</w:t>
      </w:r>
    </w:p>
    <w:p>
      <w:pPr>
        <w:ind w:left="288"/>
      </w:pPr>
      <w:r>
        <w:rPr>
          <w:color w:val="8C8C8C"/>
          <w:sz w:val="12"/>
        </w:rPr>
        <w:t>cf-art-132</w:t>
      </w:r>
      <w:r>
        <w:rPr>
          <w:color w:val="003CA0"/>
          <w:sz w:val="12"/>
        </w:rPr>
        <w:t xml:space="preserve"> | ADI 4.261</w:t>
      </w:r>
      <w:r>
        <w:rPr>
          <w:color w:val="003CA0"/>
          <w:sz w:val="12"/>
        </w:rPr>
        <w:t xml:space="preserve"> | rel. Ayres Britto</w:t>
      </w:r>
    </w:p>
    <w:p>
      <w:pPr>
        <w:ind w:left="288"/>
      </w:pPr>
      <w:r>
        <w:rPr>
          <w:color w:val="1E1E1E"/>
          <w:sz w:val="18"/>
        </w:rPr>
        <w:t>A atividade de assessoramento jurídico do Poder Executivo dos Estados é de ser exercida por procuradores organizados em carreira, cujo ingresso depende de concurso público de provas e títulos, com a participação da OAB em todas as suas fases, nos termos do art. 132 da CF. Preceito que se destina à configuração da necessária qualificação técnica e independência funcional desses especiais agentes públicos. É inconstitucional norma estadual que autoriza a ocupante de cargo em comissão o desempenho das atribuições de assessoramento jurídico, no âmbito do Poder Executivo. Precedentes.</w:t>
      </w:r>
    </w:p>
    <w:p>
      <w:pPr>
        <w:ind w:left="288"/>
      </w:pPr>
      <w:r>
        <w:rPr>
          <w:b/>
          <w:color w:val="003CA0"/>
          <w:sz w:val="16"/>
        </w:rPr>
        <w:t>[ADI 4.261, rel. min. Ayres Britto, j. 2-8-2010, P, DJE de 20-8-2010.]</w:t>
      </w:r>
    </w:p>
    <w:p>
      <w:pPr>
        <w:ind w:left="288"/>
      </w:pPr>
      <w:r>
        <w:rPr>
          <w:color w:val="8C8C8C"/>
          <w:sz w:val="12"/>
        </w:rPr>
        <w:t>cf-art-132</w:t>
      </w:r>
      <w:r>
        <w:rPr>
          <w:color w:val="003CA0"/>
          <w:sz w:val="12"/>
        </w:rPr>
        <w:t xml:space="preserve"> | ADI 291</w:t>
      </w:r>
      <w:r>
        <w:rPr>
          <w:color w:val="003CA0"/>
          <w:sz w:val="12"/>
        </w:rPr>
        <w:t xml:space="preserve"> | rel. Joaquim Barbosa</w:t>
      </w:r>
    </w:p>
    <w:p>
      <w:pPr>
        <w:ind w:left="288"/>
      </w:pPr>
      <w:r>
        <w:rPr>
          <w:color w:val="1E1E1E"/>
          <w:sz w:val="18"/>
        </w:rPr>
        <w:t>O cargo de procurador-geral do Estado é de livre nomeação e exoneração pelo governador do Estado, que pode escolher o procurador-geral entre membros da carreira ou não.</w:t>
      </w:r>
    </w:p>
    <w:p>
      <w:pPr>
        <w:ind w:left="288"/>
      </w:pPr>
      <w:r>
        <w:rPr>
          <w:b/>
          <w:color w:val="003CA0"/>
          <w:sz w:val="16"/>
        </w:rPr>
        <w:t>[ADI 291, rel. min. Joaquim Barbosa, j. 7-4-2010, P, DJE de 10-9-2010.]</w:t>
      </w:r>
    </w:p>
    <w:p>
      <w:pPr>
        <w:ind w:left="288"/>
      </w:pPr>
      <w:r>
        <w:rPr>
          <w:color w:val="8C8C8C"/>
          <w:sz w:val="12"/>
        </w:rPr>
        <w:t>cf-art-132</w:t>
      </w:r>
      <w:r>
        <w:rPr>
          <w:color w:val="003CA0"/>
          <w:sz w:val="12"/>
        </w:rPr>
        <w:t xml:space="preserve"> | ADI 2.682</w:t>
      </w:r>
      <w:r>
        <w:rPr>
          <w:color w:val="003CA0"/>
          <w:sz w:val="12"/>
        </w:rPr>
        <w:t xml:space="preserve"> | rel. Gilmar Mendes</w:t>
      </w:r>
    </w:p>
    <w:p>
      <w:pPr>
        <w:ind w:left="288"/>
      </w:pPr>
      <w:r>
        <w:rPr>
          <w:color w:val="1E1E1E"/>
          <w:sz w:val="18"/>
        </w:rPr>
        <w:t>= ADI 2.682, rel. min. Gilmar Mendes, j. 12-2-2009, P, DJE de 19-6-2009 ≠ ADI 2.581, red. do ac. min. Marco Aurélio, j. 16-8-2007, P, DJE de 15-8-2008 Mostra-se harmônico com a CF preceito da Carta estadual prevendo a escolha do procurador-geral do Estado entre os integrantes da carreira.</w:t>
      </w:r>
    </w:p>
    <w:p>
      <w:pPr>
        <w:ind w:left="288"/>
      </w:pPr>
      <w:r>
        <w:rPr>
          <w:b/>
          <w:color w:val="003CA0"/>
          <w:sz w:val="16"/>
        </w:rPr>
        <w:t>[ADI 2.581, red. do ac. min. Marco Aurélio, j. 16-8-2007, P, DJE de 15-8-2008.]</w:t>
      </w:r>
    </w:p>
    <w:p>
      <w:pPr>
        <w:ind w:left="288"/>
      </w:pPr>
      <w:r>
        <w:rPr>
          <w:color w:val="8C8C8C"/>
          <w:sz w:val="12"/>
        </w:rPr>
        <w:t>cf-art-132</w:t>
      </w:r>
      <w:r>
        <w:rPr>
          <w:color w:val="003CA0"/>
          <w:sz w:val="12"/>
        </w:rPr>
        <w:t xml:space="preserve"> | ADI 291</w:t>
      </w:r>
      <w:r>
        <w:rPr>
          <w:color w:val="003CA0"/>
          <w:sz w:val="12"/>
        </w:rPr>
        <w:t xml:space="preserve"> | rel. Joaquim Barbosa</w:t>
      </w:r>
    </w:p>
    <w:p>
      <w:pPr>
        <w:ind w:left="288"/>
      </w:pPr>
      <w:r>
        <w:rPr>
          <w:color w:val="1E1E1E"/>
          <w:sz w:val="18"/>
        </w:rPr>
        <w:t>≠ ADI 291, rel. min. Joaquim Barbosa, j. 7-4-2010, P, DJE de 10-9-2010 A estruturação da Procuradoria do Poder Legislativo distrital está, inegavelmente, na esfera de competência privativa da Câmara Legislativa do Distrito Federal. Inconsistência da alegação de vício formal por usurpação de iniciativa do governador. A Procuradoria-Geral do Distrito Federal é a responsável pelo desempenho da atividade jurídica consultiva e contenciosa exercida na defesa dos interesses da pessoa jurídica de direito público Distrito Federal. Não obstante, a jurisprudência desta Corte reconhece a ocorrência de sit</w:t>
      </w:r>
    </w:p>
    <w:p>
      <w:pPr>
        <w:ind w:left="288"/>
      </w:pPr>
      <w:r>
        <w:rPr>
          <w:b/>
          <w:color w:val="003CA0"/>
          <w:sz w:val="16"/>
        </w:rPr>
        <w:t>[ADI 1.557, rel. min. Ellen Gracie, j. 31-3-2004, P, DJ de 18-6-2004.]</w:t>
      </w:r>
    </w:p>
    <w:p>
      <w:pPr>
        <w:ind w:left="288"/>
      </w:pPr>
      <w:r>
        <w:rPr>
          <w:color w:val="8C8C8C"/>
          <w:sz w:val="12"/>
        </w:rPr>
        <w:t>cf-art-132</w:t>
      </w:r>
      <w:r>
        <w:rPr>
          <w:color w:val="003CA0"/>
          <w:sz w:val="12"/>
        </w:rPr>
        <w:t xml:space="preserve"> | ADI 94</w:t>
      </w:r>
      <w:r>
        <w:rPr>
          <w:color w:val="003CA0"/>
          <w:sz w:val="12"/>
        </w:rPr>
        <w:t xml:space="preserve"> | rel. Gilmar Mendes</w:t>
      </w:r>
    </w:p>
    <w:p>
      <w:pPr>
        <w:ind w:left="288"/>
      </w:pPr>
      <w:r>
        <w:rPr>
          <w:color w:val="1E1E1E"/>
          <w:sz w:val="18"/>
        </w:rPr>
        <w:t>= ADI 94, rel. min. Gilmar Mendes, j. 7-12-2011, P, DJE de 16-12-2011 Ação direta de inconstitucionalidade. Arts. 135, I, e 138, caput e § 3º, da Constituição do Estado da Paraíba. Autonomia institucional da Procuradoria-Geral do Estado. Requisitos para a nomeação do procurador-geral, do procurador-geral adjunto e do procurador-corregedor. O inciso I do mencionado art. 135, ao atribuir autonomia funcional, administrativa e financeira à Procuradoria paraibana, desvirtua a configuração jurídica fixada pelo texto constitucional federal para as procuradorias estaduais, desrespeitando o art. 132 da</w:t>
      </w:r>
    </w:p>
    <w:p>
      <w:pPr>
        <w:ind w:left="288"/>
      </w:pPr>
      <w:r>
        <w:rPr>
          <w:b/>
          <w:color w:val="003CA0"/>
          <w:sz w:val="16"/>
        </w:rPr>
        <w:t>[ADI 217, rel. min. Ilmar Galvão, j. 25-8-2002, P, DJ de 13-9-2002.]</w:t>
      </w:r>
    </w:p>
    <w:p>
      <w:pPr>
        <w:ind w:left="288"/>
      </w:pPr>
      <w:r>
        <w:rPr>
          <w:color w:val="8C8C8C"/>
          <w:sz w:val="12"/>
        </w:rPr>
        <w:t>cf-art-132</w:t>
      </w:r>
      <w:r>
        <w:rPr>
          <w:color w:val="003CA0"/>
          <w:sz w:val="12"/>
        </w:rPr>
        <w:t xml:space="preserve"> | ADI 291</w:t>
      </w:r>
      <w:r>
        <w:rPr>
          <w:color w:val="003CA0"/>
          <w:sz w:val="12"/>
        </w:rPr>
        <w:t xml:space="preserve"> | rel. Joaquim Barbosa</w:t>
      </w:r>
    </w:p>
    <w:p>
      <w:pPr>
        <w:ind w:left="288"/>
      </w:pPr>
      <w:r>
        <w:rPr>
          <w:color w:val="1E1E1E"/>
          <w:sz w:val="18"/>
        </w:rPr>
        <w:t>= ADI 291, rel. min. Joaquim Barbosa, j. 7-4-2010, P, DJE de 10-9-2010</w:t>
      </w:r>
    </w:p>
    <w:p>
      <w:pPr>
        <w:ind w:left="144"/>
      </w:pPr>
      <w:r>
        <w:rPr>
          <w:b/>
          <w:color w:val="B45A00"/>
          <w:sz w:val="16"/>
        </w:rPr>
        <w:t>REPERCUSSAO GERAL</w:t>
      </w:r>
    </w:p>
    <w:p>
      <w:pPr>
        <w:ind w:left="288"/>
      </w:pPr>
      <w:r>
        <w:rPr>
          <w:color w:val="8C8C8C"/>
          <w:sz w:val="12"/>
        </w:rPr>
        <w:t>cf-art-132</w:t>
      </w:r>
      <w:r>
        <w:rPr>
          <w:color w:val="003CA0"/>
          <w:sz w:val="12"/>
        </w:rPr>
        <w:t xml:space="preserve"> | RE 663.696</w:t>
      </w:r>
      <w:r>
        <w:rPr>
          <w:color w:val="003CA0"/>
          <w:sz w:val="12"/>
        </w:rPr>
        <w:t xml:space="preserve"> | rel. Luiz Fux</w:t>
      </w:r>
    </w:p>
    <w:p>
      <w:pPr>
        <w:ind w:left="288"/>
      </w:pPr>
      <w:r>
        <w:rPr>
          <w:color w:val="1E1E1E"/>
          <w:sz w:val="18"/>
        </w:rPr>
        <w:t>A expressão ‘Procuradores’, contida na parte final do inciso XI do art. 37 da Constituição da República, compreende os Procuradores Municipais, uma vez que estes se inserem nas funções essenciais à Justiça, estando, portanto, submetidos ao teto de noventa inteiros e vinte e cinco centésimos por cento do subsídio mensal, em espécie, dos Ministros do Supremo Tribunal Federal.</w:t>
      </w:r>
    </w:p>
    <w:p>
      <w:pPr>
        <w:ind w:left="288"/>
      </w:pPr>
      <w:r>
        <w:rPr>
          <w:b/>
          <w:color w:val="003CA0"/>
          <w:sz w:val="16"/>
        </w:rPr>
        <w:t>[RE 663.696, rel. min. Luiz Fux, j. 28 -2-2019, P, DJE de 22-8-2019, Tema 510, com mérito julgado.]</w:t>
      </w:r>
    </w:p>
    <w:p>
      <w:pPr>
        <w:ind w:left="288"/>
      </w:pPr>
      <w:r>
        <w:rPr>
          <w:color w:val="8C8C8C"/>
          <w:sz w:val="12"/>
        </w:rPr>
        <w:t>cf-art-132</w:t>
      </w:r>
      <w:r>
        <w:rPr>
          <w:color w:val="003CA0"/>
          <w:sz w:val="12"/>
        </w:rPr>
        <w:t xml:space="preserve"> | ARE 646.761</w:t>
      </w:r>
      <w:r>
        <w:rPr>
          <w:color w:val="003CA0"/>
          <w:sz w:val="12"/>
        </w:rPr>
        <w:t xml:space="preserve"> | rel. Gilmar Mendes</w:t>
      </w:r>
    </w:p>
    <w:p>
      <w:pPr>
        <w:ind w:left="288"/>
      </w:pPr>
      <w:r>
        <w:rPr>
          <w:color w:val="1E1E1E"/>
          <w:sz w:val="18"/>
        </w:rPr>
        <w:t>Procurador de Estado. Vedações estatutárias para exercício de cargo público. Advocacia fora das atribuições funcionais. Liberdade de conformação do poder constituinte derivado.</w:t>
      </w:r>
    </w:p>
    <w:p>
      <w:pPr>
        <w:ind w:left="288"/>
      </w:pPr>
      <w:r>
        <w:rPr>
          <w:b/>
          <w:color w:val="003CA0"/>
          <w:sz w:val="16"/>
        </w:rPr>
        <w:t>[ARE 646.761 AgR, rel. min. Gilmar Mendes, j. 29-10-2013, 2ª T, DJE de 25-11-2013, com mérito julgado.]</w:t>
      </w:r>
    </w:p>
    <w:p>
      <w:pPr>
        <w:ind w:left="144"/>
      </w:pPr>
      <w:r>
        <w:rPr>
          <w:b/>
          <w:color w:val="B45A00"/>
          <w:sz w:val="16"/>
        </w:rPr>
        <w:t>JULGADOS CORRELATOS</w:t>
      </w:r>
    </w:p>
    <w:p>
      <w:pPr>
        <w:ind w:left="288"/>
      </w:pPr>
      <w:r>
        <w:rPr>
          <w:color w:val="8C8C8C"/>
          <w:sz w:val="12"/>
        </w:rPr>
        <w:t>cf-art-132</w:t>
      </w:r>
      <w:r>
        <w:rPr>
          <w:color w:val="003CA0"/>
          <w:sz w:val="12"/>
        </w:rPr>
        <w:t xml:space="preserve"> | RE 446.800</w:t>
      </w:r>
      <w:r>
        <w:rPr>
          <w:color w:val="003CA0"/>
          <w:sz w:val="12"/>
        </w:rPr>
        <w:t xml:space="preserve"> | rel. Cármen Lúcia</w:t>
      </w:r>
    </w:p>
    <w:p>
      <w:pPr>
        <w:ind w:left="288"/>
      </w:pPr>
      <w:r>
        <w:rPr>
          <w:color w:val="1E1E1E"/>
          <w:sz w:val="18"/>
        </w:rPr>
        <w:t>O procurador-geral do Estado exerce as atribuições, mutatis mutandis, do advogado-geral da União, inclusive no que se refere à função de representar judicialmente o ente federativo a que está vinculado. Assim, não há que se falar em ausência de legitimidade do procurador-geral do Estado, independentemente de ser membro da carreira, na representação judicial do Estado.</w:t>
      </w:r>
    </w:p>
    <w:p>
      <w:pPr>
        <w:ind w:left="288"/>
      </w:pPr>
      <w:r>
        <w:rPr>
          <w:b/>
          <w:color w:val="003CA0"/>
          <w:sz w:val="16"/>
        </w:rPr>
        <w:t>[RE 446.800 ED, voto da rel. min. Cármen Lúcia, j. 8-9-2009, 1ª T, DJE de 2-10-2009.]</w:t>
      </w:r>
    </w:p>
    <w:p>
      <w:pPr>
        <w:ind w:left="288"/>
      </w:pPr>
      <w:r>
        <w:rPr>
          <w:color w:val="8C8C8C"/>
          <w:sz w:val="12"/>
        </w:rPr>
        <w:t>cf-art-132</w:t>
      </w:r>
      <w:r>
        <w:rPr>
          <w:color w:val="003CA0"/>
          <w:sz w:val="12"/>
        </w:rPr>
        <w:t xml:space="preserve"> | RE 192.553</w:t>
      </w:r>
      <w:r>
        <w:rPr>
          <w:color w:val="003CA0"/>
          <w:sz w:val="12"/>
        </w:rPr>
        <w:t xml:space="preserve"> | rel. Marco Aurélio</w:t>
      </w:r>
    </w:p>
    <w:p>
      <w:pPr>
        <w:ind w:left="288"/>
      </w:pPr>
      <w:r>
        <w:rPr>
          <w:color w:val="1E1E1E"/>
          <w:sz w:val="18"/>
        </w:rPr>
        <w:t>O princípio da razoabilidade, a direcionar no sentido da presunção do que normalmente ocorre, afasta a exigência, como ônus processual, da prova da qualidade de procurador do Estado por quem assim se apresenta e subscreve ato processual. O mandato é legal e decorre do disposto nos arts. 12 e 132, respectivamente do CPC e da CF.</w:t>
      </w:r>
    </w:p>
    <w:p>
      <w:pPr>
        <w:ind w:left="288"/>
      </w:pPr>
      <w:r>
        <w:rPr>
          <w:b/>
          <w:color w:val="003CA0"/>
          <w:sz w:val="16"/>
        </w:rPr>
        <w:t>[RE 192.553, rel. min. Marco Aurélio, j. 15-12-1998, 2ª T, DJ de 16-4-1999.]</w:t>
      </w:r>
    </w:p>
    <w:p>
      <w:pPr>
        <w:ind w:left="288"/>
      </w:pPr>
      <w:r>
        <w:rPr>
          <w:color w:val="8C8C8C"/>
          <w:sz w:val="12"/>
        </w:rPr>
        <w:t>cf-art-132</w:t>
      </w:r>
      <w:r>
        <w:rPr>
          <w:color w:val="003CA0"/>
          <w:sz w:val="12"/>
        </w:rPr>
        <w:t xml:space="preserve"> | PET 409</w:t>
      </w:r>
    </w:p>
    <w:p>
      <w:pPr>
        <w:ind w:left="288"/>
      </w:pPr>
      <w:r>
        <w:rPr>
          <w:color w:val="1E1E1E"/>
          <w:sz w:val="18"/>
        </w:rPr>
        <w:t>Representação judicial não excludente da Constituição de mandatário ad judicia para causa específica. Ao conferir aos procuradores dos Estados e do Distrito Federal a sua representação judicial, o art. 132 da Constituição veicula norma de organização administrativa, sem tolher a capacidade de tais entidades federativas para conferir mandato ad judicia a outros advogados para causas especiais.</w:t>
      </w:r>
    </w:p>
    <w:p>
      <w:pPr>
        <w:ind w:left="288"/>
      </w:pPr>
      <w:r>
        <w:rPr>
          <w:b/>
          <w:color w:val="003CA0"/>
          <w:sz w:val="16"/>
        </w:rPr>
        <w:t>[Pet 409 AgR, red do ac. min. Sepúlveda Pertence, j. 18-4-1990, P, DJ de 29-6-1990.]</w:t>
      </w:r>
    </w:p>
    <w:p>
      <w:pPr>
        <w:ind w:left="288"/>
      </w:pPr>
      <w:r>
        <w:rPr>
          <w:color w:val="8C8C8C"/>
          <w:sz w:val="12"/>
        </w:rPr>
        <w:t>cf-art-132</w:t>
      </w:r>
    </w:p>
    <w:p>
      <w:pPr>
        <w:ind w:left="288"/>
      </w:pPr>
      <w:r>
        <w:rPr>
          <w:color w:val="1E1E1E"/>
          <w:sz w:val="18"/>
        </w:rPr>
        <w:t>Parágrafo único. Aos procuradores referidos neste artigo é assegurada estabilidade após três anos de efetivo exercício, mediante avaliação de desempenho perante os órgãos próprios, após relatório circunstanciado das corregedorias. (Redação da EC 19/1998) Seção III Da Advocacia (Redação da EC 80/2014) SUMÁRIO</w:t>
      </w:r>
    </w:p>
    <w:p>
      <w:pPr>
        <w:ind w:left="720"/>
      </w:pPr>
      <w:r>
        <w:rPr>
          <w:color w:val="003366"/>
          <w:sz w:val="18"/>
        </w:rPr>
        <w:t>I – o valor apurado nos termos dos arts. 149-C e 156-A, § 4º, II, e § 5º, I e IV</w:t>
      </w:r>
    </w:p>
    <w:p>
      <w:pPr>
        <w:ind w:left="720"/>
      </w:pPr>
      <w:r>
        <w:rPr>
          <w:color w:val="003366"/>
          <w:sz w:val="18"/>
        </w:rPr>
        <w:t>II – a respectiva receita média, apurada nos termos do art. 131, § 2º, I, II e I</w:t>
      </w:r>
    </w:p>
    <w:p>
      <w:pPr>
        <w:ind w:left="432"/>
      </w:pPr>
      <w:r>
        <w:rPr>
          <w:color w:val="003366"/>
          <w:sz w:val="18"/>
        </w:rPr>
        <w:t>§ 1 Os recursos serão distribuídos, sequencial e sucessivamente, aos entes com a</w:t>
      </w:r>
    </w:p>
    <w:p>
      <w:pPr>
        <w:ind w:left="720"/>
      </w:pPr>
      <w:r>
        <w:rPr>
          <w:color w:val="003366"/>
          <w:sz w:val="18"/>
        </w:rPr>
        <w:t>I – a soma do valor apurado nos termos do inciso I do caput com o valor recebido</w:t>
      </w:r>
    </w:p>
    <w:p>
      <w:pPr>
        <w:ind w:left="720"/>
      </w:pPr>
      <w:r>
        <w:rPr>
          <w:color w:val="003366"/>
          <w:sz w:val="18"/>
        </w:rPr>
        <w:t>II – a receita média apurada na forma do inciso II do caput. (Incluído pela Emen</w:t>
      </w:r>
    </w:p>
    <w:p>
      <w:pPr>
        <w:ind w:left="432"/>
      </w:pPr>
      <w:r>
        <w:rPr>
          <w:color w:val="003366"/>
          <w:sz w:val="18"/>
        </w:rPr>
        <w:t>§ 2 Aplica-se aos recursos distribuídos na forma deste artigo o disposto no art.</w:t>
      </w:r>
    </w:p>
    <w:p>
      <w:pPr>
        <w:ind w:left="432"/>
      </w:pPr>
      <w:r>
        <w:rPr>
          <w:color w:val="003366"/>
          <w:sz w:val="18"/>
        </w:rPr>
        <w:t>§ 3 Lei complementar estabelecerá os critérios para a redução gradativa, entre 2</w:t>
      </w:r>
    </w:p>
    <w:p>
      <w:r>
        <w:rPr>
          <w:b/>
          <w:color w:val="003366"/>
          <w:sz w:val="20"/>
        </w:rPr>
        <w:t>Art. 133 Os tributos de que tratam os arts. 153, IV, 155, II, 156, III, e 195, I</w:t>
      </w:r>
      <w:r>
        <w:rPr>
          <w:color w:val="8C8C8C"/>
          <w:sz w:val="14"/>
        </w:rPr>
        <w:t xml:space="preserve">  [32 decisoes]</w:t>
      </w:r>
    </w:p>
    <w:p>
      <w:pPr>
        <w:ind w:left="144"/>
      </w:pPr>
      <w:r>
        <w:rPr>
          <w:b/>
          <w:color w:val="B45A00"/>
          <w:sz w:val="16"/>
        </w:rPr>
        <w:t>SUMULA VINCULANTE</w:t>
      </w:r>
    </w:p>
    <w:p>
      <w:pPr>
        <w:ind w:left="288"/>
      </w:pPr>
      <w:r>
        <w:rPr>
          <w:color w:val="8C8C8C"/>
          <w:sz w:val="12"/>
        </w:rPr>
        <w:t>cf-art-133</w:t>
      </w:r>
    </w:p>
    <w:p>
      <w:pPr>
        <w:ind w:left="288"/>
      </w:pPr>
      <w:r>
        <w:rPr>
          <w:color w:val="1E1E1E"/>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144"/>
      </w:pPr>
      <w:r>
        <w:rPr>
          <w:b/>
          <w:color w:val="B45A00"/>
          <w:sz w:val="16"/>
        </w:rPr>
        <w:t>CONTROLE CONCENTRADO</w:t>
      </w:r>
    </w:p>
    <w:p>
      <w:pPr>
        <w:ind w:left="288"/>
      </w:pPr>
      <w:r>
        <w:rPr>
          <w:color w:val="8C8C8C"/>
          <w:sz w:val="12"/>
        </w:rPr>
        <w:t>cf-art-133</w:t>
      </w:r>
      <w:r>
        <w:rPr>
          <w:color w:val="003CA0"/>
          <w:sz w:val="12"/>
        </w:rPr>
        <w:t xml:space="preserve"> | ADPF 591</w:t>
      </w:r>
      <w:r>
        <w:rPr>
          <w:color w:val="003CA0"/>
          <w:sz w:val="12"/>
        </w:rPr>
        <w:t xml:space="preserve"> | rel. Cristiano Zanin</w:t>
      </w:r>
    </w:p>
    <w:p>
      <w:pPr>
        <w:ind w:left="288"/>
      </w:pPr>
      <w:r>
        <w:rPr>
          <w:color w:val="1E1E1E"/>
          <w:sz w:val="18"/>
        </w:rPr>
        <w:t>Lei n. 5.478/1968. Dispositivos que dispensam a assistência de advogado na audiência inicial da ação de alimentos. Situação excepcional com fundamento no acesso à justiça e na essencialidade da obrigação alimentícia. () Na ação de alimento, o comparecimento a Juízo sem a assistência de advogado é medida assecuratória do direito do alimentando. A medida é prévia à instauração da lide e fundamentada na urgência da pretensão deduzida. Nas fases processuais subsequentes, a lei exige a presença de profissional habilitado.</w:t>
        <w:br/>
        <w:t>[ADPF 591, rel. min. Cristiano Zanin, j. 19.08.2024, P, DJE de 28.08.2024.]</w:t>
      </w:r>
    </w:p>
    <w:p>
      <w:pPr>
        <w:ind w:left="288"/>
      </w:pPr>
      <w:r>
        <w:rPr>
          <w:color w:val="8C8C8C"/>
          <w:sz w:val="12"/>
        </w:rPr>
        <w:t>cf-art-133</w:t>
      </w:r>
      <w:r>
        <w:rPr>
          <w:color w:val="003CA0"/>
          <w:sz w:val="12"/>
        </w:rPr>
        <w:t xml:space="preserve"> | ADI 1.194</w:t>
      </w:r>
    </w:p>
    <w:p>
      <w:pPr>
        <w:ind w:left="288"/>
      </w:pPr>
      <w:r>
        <w:rPr>
          <w:color w:val="1E1E1E"/>
          <w:sz w:val="18"/>
        </w:rPr>
        <w:t>Estatuto da OAB. (...) O art. 21 e seu parágrafo único da Lei 8.906/1994 devem ser interpretados no sentido da preservação da liberdade contratual quanto à destinação dos honorários de sucumbência fixados judicialmente. Pela interpretação conforme conferida ao art. 21 e seu parágrafo único, declara-se inconstitucional o § 3º do art. 24 da Lei 8.906/1994, segundo o qual "é nula qualquer disposição, cláusula, regulamento ou convenção individual ou coletiva que retire do advogado o direito ao recebimento dos honorários de sucumbência".</w:t>
      </w:r>
    </w:p>
    <w:p>
      <w:pPr>
        <w:ind w:left="288"/>
      </w:pPr>
      <w:r>
        <w:rPr>
          <w:b/>
          <w:color w:val="003CA0"/>
          <w:sz w:val="16"/>
        </w:rPr>
        <w:t>[ADI 1.194, red. do ac. min. Cármen Lúcia, j. 20-5-2009, P, DJE de 11-9-2009.]</w:t>
      </w:r>
    </w:p>
    <w:p>
      <w:pPr>
        <w:ind w:left="288"/>
      </w:pPr>
      <w:r>
        <w:rPr>
          <w:color w:val="8C8C8C"/>
          <w:sz w:val="12"/>
        </w:rPr>
        <w:t>cf-art-133</w:t>
      </w:r>
      <w:r>
        <w:rPr>
          <w:color w:val="003CA0"/>
          <w:sz w:val="12"/>
        </w:rPr>
        <w:t xml:space="preserve"> | ADI 2.527</w:t>
      </w:r>
      <w:r>
        <w:rPr>
          <w:color w:val="003CA0"/>
          <w:sz w:val="12"/>
        </w:rPr>
        <w:t xml:space="preserve"> | rel. Ellen Gracie</w:t>
      </w:r>
    </w:p>
    <w:p>
      <w:pPr>
        <w:ind w:left="288"/>
      </w:pPr>
      <w:r>
        <w:rPr>
          <w:color w:val="1E1E1E"/>
          <w:sz w:val="18"/>
        </w:rPr>
        <w:t>A introdução, no art. 6º da Lei 9.469/1997, de dispositivo que afasta, no caso de transação ou acordo, a possibilidade do pagamento dos honorários devidos ao advogado da parte contrária, ainda que fruto de condenação transitada em julgado, choca-se, aparentemente, com a garantia insculpida no art. 5º, XXXVI, da Constituição, por desconsiderar a coisa julgada, além de afrontar a garantia de isonomia da parte obrigada a negociar despida de uma parcela significativa de seu poder de barganha, correspondente à verba honorária.</w:t>
      </w:r>
    </w:p>
    <w:p>
      <w:pPr>
        <w:ind w:left="288"/>
      </w:pPr>
      <w:r>
        <w:rPr>
          <w:b/>
          <w:color w:val="003CA0"/>
          <w:sz w:val="16"/>
        </w:rPr>
        <w:t>[ADI 2.527 MC, rel. min. Ellen Gracie, j. 16-8-2007, P, DJ de 23-11-2007.]</w:t>
      </w:r>
    </w:p>
    <w:p>
      <w:pPr>
        <w:ind w:left="288"/>
      </w:pPr>
      <w:r>
        <w:rPr>
          <w:color w:val="8C8C8C"/>
          <w:sz w:val="12"/>
        </w:rPr>
        <w:t>cf-art-133</w:t>
      </w:r>
      <w:r>
        <w:rPr>
          <w:color w:val="003CA0"/>
          <w:sz w:val="12"/>
        </w:rPr>
        <w:t xml:space="preserve"> | RE 221.019</w:t>
      </w:r>
      <w:r>
        <w:rPr>
          <w:color w:val="003CA0"/>
          <w:sz w:val="12"/>
        </w:rPr>
        <w:t xml:space="preserve"> | rel. Cezar Peluso</w:t>
      </w:r>
    </w:p>
    <w:p>
      <w:pPr>
        <w:ind w:left="288"/>
      </w:pPr>
      <w:r>
        <w:rPr>
          <w:color w:val="1E1E1E"/>
          <w:sz w:val="18"/>
        </w:rPr>
        <w:t>= RE 221.019 ED, rel. min. Cezar Peluso, j. 14-10-2008, 2ª T, DJE de 21-11-2008 Ação direta de inconstitucionalidade. Juizados especiais federais. Lei 10.259/2001, art. 10. Dispensabilidade de advogado nas causas cíveis. Imprescindibilidade da presença de advogado nas causas criminais. Aplicação subsidiária da Lei 9.099/1995. Interpretação conforme a Constituição. (...) Interpretação conforme, para excluir do âmbito de incidência do art. 10 da Lei 10.259/2001 os feitos de competência dos juizados especiais criminais da Justiça Federal.</w:t>
      </w:r>
    </w:p>
    <w:p>
      <w:pPr>
        <w:ind w:left="288"/>
      </w:pPr>
      <w:r>
        <w:rPr>
          <w:b/>
          <w:color w:val="003CA0"/>
          <w:sz w:val="16"/>
        </w:rPr>
        <w:t>[ADI 3.168, rel. min. Joaquim Barbosa, j. 8-6-2006, P, DJ de 3-8-2007.]</w:t>
      </w:r>
    </w:p>
    <w:p>
      <w:pPr>
        <w:ind w:left="288"/>
      </w:pPr>
      <w:r>
        <w:rPr>
          <w:color w:val="8C8C8C"/>
          <w:sz w:val="12"/>
        </w:rPr>
        <w:t>cf-art-133</w:t>
      </w:r>
      <w:r>
        <w:rPr>
          <w:color w:val="003CA0"/>
          <w:sz w:val="12"/>
        </w:rPr>
        <w:t xml:space="preserve"> | AI 461.490</w:t>
      </w:r>
      <w:r>
        <w:rPr>
          <w:color w:val="003CA0"/>
          <w:sz w:val="12"/>
        </w:rPr>
        <w:t xml:space="preserve"> | rel. Ellen Gracie</w:t>
      </w:r>
    </w:p>
    <w:p>
      <w:pPr>
        <w:ind w:left="288"/>
      </w:pPr>
      <w:r>
        <w:rPr>
          <w:color w:val="1E1E1E"/>
          <w:sz w:val="18"/>
        </w:rPr>
        <w:t>= AI 461.490 ED, rel. min. Ellen Gracie, j. 23-6-2009, 2ª T, DJE de 7-8-2009 Ação direta de inconstitucionalidade. Lei 8.906, de 4 de julho de 1994. Estatuto da Advocacia e a OAB. Dispositivos impugnados pela AMB [Associação dos Magistrados Brasileiros]. (...) O advogado é indispensável à administração da Justiça. Sua presença, contudo, pode ser dispensada em certos atos jurisdicionais. A imunidade profissional é indispensável para que o advogado possa exercer condigna e amplamente seu múnus público. A inviolabilidade do escritório ou do local de trabalho é consectário da inviolabilidade asseg</w:t>
      </w:r>
    </w:p>
    <w:p>
      <w:pPr>
        <w:ind w:left="288"/>
      </w:pPr>
      <w:r>
        <w:rPr>
          <w:b/>
          <w:color w:val="003CA0"/>
          <w:sz w:val="16"/>
        </w:rPr>
        <w:t>[ADI 1.127, red. do ac. min. Ricardo Lewandowski, j. 17-5-2006, P, DJE de 11-6-2010.]</w:t>
      </w:r>
    </w:p>
    <w:p>
      <w:pPr>
        <w:ind w:left="288"/>
      </w:pPr>
      <w:r>
        <w:rPr>
          <w:color w:val="8C8C8C"/>
          <w:sz w:val="12"/>
        </w:rPr>
        <w:t>cf-art-133</w:t>
      </w:r>
      <w:r>
        <w:rPr>
          <w:color w:val="003CA0"/>
          <w:sz w:val="12"/>
        </w:rPr>
        <w:t xml:space="preserve"> | RCL 19.286</w:t>
      </w:r>
      <w:r>
        <w:rPr>
          <w:color w:val="003CA0"/>
          <w:sz w:val="12"/>
        </w:rPr>
        <w:t xml:space="preserve"> | rel. Celso de Mello</w:t>
      </w:r>
    </w:p>
    <w:p>
      <w:pPr>
        <w:ind w:left="288"/>
      </w:pPr>
      <w:r>
        <w:rPr>
          <w:color w:val="1E1E1E"/>
          <w:sz w:val="18"/>
        </w:rPr>
        <w:t>Vide Rcl 19.286 AgR, rel. min. Celso de Mello, j. 24-3-2015, 2ª T, DJE de 2-6-2015 Vide Rcl 4.535, rel. min. Sepúlveda Pertence, j. 7-5-2007, P, DJ de 15-6-2007 “1. O art. 6º, inciso I, da Lei 12.514/2011, que limita o valor da anuidade aos diversos Conselhos Profissionais, não se aplica à Ordem dos Advogados do Brasil. 2. A fixação e cobrança das contribuições anuais de advogados são regidas especificamente pelo Estatuto da OAB (Lei nº 8.906/94), pois a Ordem dos Advogados do Brasil possui finalidade institucional, além das corporativas, uma vez que a advocacia é indispensável à administração</w:t>
      </w:r>
    </w:p>
    <w:p>
      <w:pPr>
        <w:ind w:left="288"/>
      </w:pPr>
      <w:r>
        <w:rPr>
          <w:b/>
          <w:color w:val="003CA0"/>
          <w:sz w:val="16"/>
        </w:rPr>
        <w:t>[RE 1.336.047, rel. min. Alexandre de Moraes, j.18-2-2026, P, DJE de 2-3-2026, Tema 1.180, com mérito julgado.]</w:t>
      </w:r>
    </w:p>
    <w:p>
      <w:pPr>
        <w:ind w:left="144"/>
      </w:pPr>
      <w:r>
        <w:rPr>
          <w:b/>
          <w:color w:val="B45A00"/>
          <w:sz w:val="16"/>
        </w:rPr>
        <w:t>REPERCUSSAO GERAL</w:t>
      </w:r>
    </w:p>
    <w:p>
      <w:pPr>
        <w:ind w:left="288"/>
      </w:pPr>
      <w:r>
        <w:rPr>
          <w:color w:val="8C8C8C"/>
          <w:sz w:val="12"/>
        </w:rPr>
        <w:t>cf-art-133</w:t>
      </w:r>
      <w:r>
        <w:rPr>
          <w:color w:val="003CA0"/>
          <w:sz w:val="12"/>
        </w:rPr>
        <w:t xml:space="preserve"> | RE 603.583</w:t>
      </w:r>
      <w:r>
        <w:rPr>
          <w:color w:val="003CA0"/>
          <w:sz w:val="12"/>
        </w:rPr>
        <w:t xml:space="preserve"> | rel. Marco Aurélio</w:t>
      </w:r>
    </w:p>
    <w:p>
      <w:pPr>
        <w:ind w:left="288"/>
      </w:pPr>
      <w:r>
        <w:rPr>
          <w:color w:val="1E1E1E"/>
          <w:sz w:val="18"/>
        </w:rPr>
        <w:t>Alcança-se a qualificação de bacharel em direito mediante conclusão do curso respectivo e colação de grau. (...) O Exame de Ordem (...) mostra-se consentâneo com a CF, que remete às qualificações previstas em lei.</w:t>
      </w:r>
    </w:p>
    <w:p>
      <w:pPr>
        <w:ind w:left="288"/>
      </w:pPr>
      <w:r>
        <w:rPr>
          <w:b/>
          <w:color w:val="003CA0"/>
          <w:sz w:val="16"/>
        </w:rPr>
        <w:t>[RE 603.583, rel. min. Marco Aurélio, j. 26-10-2011, P, DJE de 25-5-2012, Tema 241, com mérito em julgado.]</w:t>
      </w:r>
    </w:p>
    <w:p>
      <w:pPr>
        <w:ind w:left="288"/>
      </w:pPr>
      <w:r>
        <w:rPr>
          <w:color w:val="8C8C8C"/>
          <w:sz w:val="12"/>
        </w:rPr>
        <w:t>cf-art-133</w:t>
      </w:r>
      <w:r>
        <w:rPr>
          <w:color w:val="003CA0"/>
          <w:sz w:val="12"/>
        </w:rPr>
        <w:t xml:space="preserve"> | HC 174.061</w:t>
      </w:r>
      <w:r>
        <w:rPr>
          <w:color w:val="003CA0"/>
          <w:sz w:val="12"/>
        </w:rPr>
        <w:t xml:space="preserve"> | rel. Gilmar Mendes</w:t>
      </w:r>
    </w:p>
    <w:p>
      <w:pPr>
        <w:ind w:left="288"/>
      </w:pPr>
      <w:r>
        <w:rPr>
          <w:color w:val="1E1E1E"/>
          <w:sz w:val="18"/>
        </w:rPr>
        <w:t xml:space="preserve">A jurisprudência do STF já decidiu pela impossibilidade de instauração de procedimento investigativo para apurar o montante recebido a título de honorários em virtude do legítimo exercício do direito de defesa na esfera criminal, sob pena de indevida restrição à inviolabilidade do advogado e à sua prerrogativa ao sigilo profissional, nos termos estabelecidos pelo art. 133 da Constituição Federal e pelo arts. 2º; 7º, XIX; 34, VII, da Lei Federal 8.906/1994. As recomendações e notas interpretativas do Grupo de Ação Financeira (GAFI) da Organização para a Cooperação e o Desenvolvimento Econômico </w:t>
      </w:r>
    </w:p>
    <w:p>
      <w:pPr>
        <w:ind w:left="288"/>
      </w:pPr>
      <w:r>
        <w:rPr>
          <w:b/>
          <w:color w:val="003CA0"/>
          <w:sz w:val="16"/>
        </w:rPr>
        <w:t>[HC 174.061 MC-AgR, rel. min. Gilmar Mendes, j. 26-11-2025, 2ª T, DJE de 27-2-2026.]</w:t>
      </w:r>
    </w:p>
    <w:p>
      <w:pPr>
        <w:ind w:left="144"/>
      </w:pPr>
      <w:r>
        <w:rPr>
          <w:b/>
          <w:color w:val="B45A00"/>
          <w:sz w:val="16"/>
        </w:rPr>
        <w:t>JULGADOS CORRELATOS</w:t>
      </w:r>
    </w:p>
    <w:p>
      <w:pPr>
        <w:ind w:left="288"/>
      </w:pPr>
      <w:r>
        <w:rPr>
          <w:color w:val="8C8C8C"/>
          <w:sz w:val="12"/>
        </w:rPr>
        <w:t>cf-art-133</w:t>
      </w:r>
      <w:r>
        <w:rPr>
          <w:color w:val="003CA0"/>
          <w:sz w:val="12"/>
        </w:rPr>
        <w:t xml:space="preserve"> | INQ 4.074</w:t>
      </w:r>
    </w:p>
    <w:p>
      <w:pPr>
        <w:ind w:left="288"/>
      </w:pPr>
      <w:r>
        <w:rPr>
          <w:color w:val="1E1E1E"/>
          <w:sz w:val="18"/>
        </w:rPr>
        <w:t>(...) a inviolabilidade profissional do advogado não é absoluta (...), de modo que o próprio Estatuto da OAB (Lei 8.906/1994) permite que a autoridade judiciária competente, em decisão motivada, decrete a quebra da prerrogativa (art. 7º, § 6º, da Lei 8.906/1994). A vedação constante da parte final do referido dispositivo não se estende "a clientes do advogado averiguado que estejam sendo formalmente investigados como seus participes ou co-autores pela prática do mesmo crime que deu causa a quebra da inviolabilidade" (art. 7º, § 7º, da Lei 8.906/1994).</w:t>
      </w:r>
    </w:p>
    <w:p>
      <w:pPr>
        <w:ind w:left="288"/>
      </w:pPr>
      <w:r>
        <w:rPr>
          <w:b/>
          <w:color w:val="003CA0"/>
          <w:sz w:val="16"/>
        </w:rPr>
        <w:t>[Inq 4.074, red. do ac. min. Dias Toffoli, j. 14-8-2018, 2ª T, DJE de 17-10-2018.]</w:t>
      </w:r>
    </w:p>
    <w:p>
      <w:pPr>
        <w:ind w:left="288"/>
      </w:pPr>
      <w:r>
        <w:rPr>
          <w:color w:val="8C8C8C"/>
          <w:sz w:val="12"/>
        </w:rPr>
        <w:t>cf-art-133</w:t>
      </w:r>
      <w:r>
        <w:rPr>
          <w:color w:val="003CA0"/>
          <w:sz w:val="12"/>
        </w:rPr>
        <w:t xml:space="preserve"> | RHC 119.900</w:t>
      </w:r>
      <w:r>
        <w:rPr>
          <w:color w:val="003CA0"/>
          <w:sz w:val="12"/>
        </w:rPr>
        <w:t xml:space="preserve"> | rel. Teori Zavascki</w:t>
      </w:r>
    </w:p>
    <w:p>
      <w:pPr>
        <w:ind w:left="288"/>
      </w:pPr>
      <w:r>
        <w:rPr>
          <w:color w:val="1E1E1E"/>
          <w:sz w:val="18"/>
        </w:rPr>
        <w:t>Nos termos do art. 4º da Lei 8.906/1994, são nulos todos os atos privativos de advogado praticados por pessoa não inscrita na OAB.</w:t>
      </w:r>
    </w:p>
    <w:p>
      <w:pPr>
        <w:ind w:left="288"/>
      </w:pPr>
      <w:r>
        <w:rPr>
          <w:b/>
          <w:color w:val="003CA0"/>
          <w:sz w:val="16"/>
        </w:rPr>
        <w:t>[RHC 119.900, rel. min. Teori Zavascki, j. 5-5-2015, 2ª T, DJE de 20-5-2015.]</w:t>
      </w:r>
    </w:p>
    <w:p>
      <w:pPr>
        <w:ind w:left="288"/>
      </w:pPr>
      <w:r>
        <w:rPr>
          <w:color w:val="8C8C8C"/>
          <w:sz w:val="12"/>
        </w:rPr>
        <w:t>cf-art-133</w:t>
      </w:r>
      <w:r>
        <w:rPr>
          <w:color w:val="003CA0"/>
          <w:sz w:val="12"/>
        </w:rPr>
        <w:t xml:space="preserve"> | HC 85.717</w:t>
      </w:r>
      <w:r>
        <w:rPr>
          <w:color w:val="003CA0"/>
          <w:sz w:val="12"/>
        </w:rPr>
        <w:t xml:space="preserve"> | rel. Celso de Mello</w:t>
      </w:r>
    </w:p>
    <w:p>
      <w:pPr>
        <w:ind w:left="288"/>
      </w:pPr>
      <w:r>
        <w:rPr>
          <w:color w:val="1E1E1E"/>
          <w:sz w:val="18"/>
        </w:rPr>
        <w:t>Vide HC 85.717, rel. min. Celso de Mello, j. 9-10-2007, 1ª T, DJE de 14-6-2013 Advogado. Prisão cautelar. Recolhimento a "sala de estado-maior" até o trânsito em julgado da sentença condenatória. Estatuto da advocacia (art. 7º, V). Ausência, no local do recolhimento prisional, de dependência que se qualifique como "sala de estado-maior". Hipótese em que a existência de vaga especial na unidade penitenciária, desde que provida de "instalações e comodidades condignas" e localizada em área separada dos demais detentos, atende à exigência da Lei 8.906/1994 (art. 7º, V, in fine).</w:t>
      </w:r>
    </w:p>
    <w:p>
      <w:pPr>
        <w:ind w:left="288"/>
      </w:pPr>
      <w:r>
        <w:rPr>
          <w:b/>
          <w:color w:val="003CA0"/>
          <w:sz w:val="16"/>
        </w:rPr>
        <w:t>[Rcl 19.286 AgR, rel. min. Celso de Mello, j. 24-3-2015, 2ª T, DJE de 2-6-2015.]</w:t>
      </w:r>
    </w:p>
    <w:p>
      <w:pPr>
        <w:ind w:left="288"/>
      </w:pPr>
      <w:r>
        <w:rPr>
          <w:color w:val="8C8C8C"/>
          <w:sz w:val="12"/>
        </w:rPr>
        <w:t>cf-art-133</w:t>
      </w:r>
      <w:r>
        <w:rPr>
          <w:color w:val="003CA0"/>
          <w:sz w:val="12"/>
        </w:rPr>
        <w:t xml:space="preserve"> | ADI 1.127</w:t>
      </w:r>
      <w:r>
        <w:rPr>
          <w:color w:val="003CA0"/>
          <w:sz w:val="12"/>
        </w:rPr>
        <w:t xml:space="preserve"> | rel. Marco Aurélio</w:t>
      </w:r>
    </w:p>
    <w:p>
      <w:pPr>
        <w:ind w:left="288"/>
      </w:pPr>
      <w:r>
        <w:rPr>
          <w:color w:val="1E1E1E"/>
          <w:sz w:val="18"/>
        </w:rPr>
        <w:t>Vide ADI 1.127, red. do ac. min. Ricardo Lewandowski, j. 17-5-2006, P, DJE de 11-6-2010 INSS. Atendimento. Advogado. Descabe impor aos advogados, no mister da profissão, a obtenção de ficha de atendimento. A formalidade não se coaduna sequer com o direito dos cidadãos em geral de serem atendidos pelo Estado de imediato, sem submeter-se à peregrinação verificada costumeiramente em se tratando do instituto.</w:t>
      </w:r>
    </w:p>
    <w:p>
      <w:pPr>
        <w:ind w:left="288"/>
      </w:pPr>
      <w:r>
        <w:rPr>
          <w:b/>
          <w:color w:val="003CA0"/>
          <w:sz w:val="16"/>
        </w:rPr>
        <w:t>[RE 277.065, rel. min. Marco Aurélio, j. 8-4-2014, 1ª T, DJE de 13-5-2014.]</w:t>
      </w:r>
    </w:p>
    <w:p>
      <w:pPr>
        <w:ind w:left="288"/>
      </w:pPr>
      <w:r>
        <w:rPr>
          <w:color w:val="8C8C8C"/>
          <w:sz w:val="12"/>
        </w:rPr>
        <w:t>cf-art-133</w:t>
      </w:r>
      <w:r>
        <w:rPr>
          <w:color w:val="003CA0"/>
          <w:sz w:val="12"/>
        </w:rPr>
        <w:t xml:space="preserve"> | RHC 104.270</w:t>
      </w:r>
      <w:r>
        <w:rPr>
          <w:color w:val="003CA0"/>
          <w:sz w:val="12"/>
        </w:rPr>
        <w:t xml:space="preserve"> | rel. Celso de Mello</w:t>
      </w:r>
    </w:p>
    <w:p>
      <w:pPr>
        <w:ind w:left="288"/>
      </w:pPr>
      <w:r>
        <w:rPr>
          <w:color w:val="1E1E1E"/>
          <w:sz w:val="18"/>
        </w:rPr>
        <w:t>São nulos de pleno direito os atos processuais, que, privativos de advogado, venham a ser praticados por quem não dispõe de capacidade postulatória, assim considerado aquele cuja inscrição na OAB se acha suspensa (Lei 8.906/1994, art. 4º, parágrafo único).</w:t>
      </w:r>
    </w:p>
    <w:p>
      <w:pPr>
        <w:ind w:left="288"/>
      </w:pPr>
      <w:r>
        <w:rPr>
          <w:b/>
          <w:color w:val="003CA0"/>
          <w:sz w:val="16"/>
        </w:rPr>
        <w:t>[RHC 104.270 QO, rel. min. Celso de Mello, j. 6-9-2011, 2ª T, DJE de 7-12-2011.]</w:t>
      </w:r>
    </w:p>
    <w:p>
      <w:pPr>
        <w:ind w:left="288"/>
      </w:pPr>
      <w:r>
        <w:rPr>
          <w:color w:val="8C8C8C"/>
          <w:sz w:val="12"/>
        </w:rPr>
        <w:t>cf-art-133</w:t>
      </w:r>
      <w:r>
        <w:rPr>
          <w:color w:val="003CA0"/>
          <w:sz w:val="12"/>
        </w:rPr>
        <w:t xml:space="preserve"> | INQ 544</w:t>
      </w:r>
      <w:r>
        <w:rPr>
          <w:color w:val="003CA0"/>
          <w:sz w:val="12"/>
        </w:rPr>
        <w:t xml:space="preserve"> | rel. Gilmar Mendes</w:t>
      </w:r>
    </w:p>
    <w:p>
      <w:pPr>
        <w:ind w:left="288"/>
      </w:pPr>
      <w:r>
        <w:rPr>
          <w:color w:val="1E1E1E"/>
          <w:sz w:val="18"/>
        </w:rPr>
        <w:t>O sigilo profissional constitucionalmente determinado não exclui a possibilidade de cumprimento de mandado de busca e apreensão em escritório de advocacia. O local de trabalho do advogado, desde que este seja investigado, pode ser alvo de busca e apreensão, observando-se os limites impostos pela autoridade judicial. Tratando-se de local onde existem documentos que dizem respeito a outros sujeitos não investigados, é indispensável a especificação do âmbito de abrangência da medida, que não poderá ser executada sobre a esfera de direitos de não investigados. Equívoco quanto à indicação do escrit</w:t>
      </w:r>
    </w:p>
    <w:p>
      <w:pPr>
        <w:ind w:left="288"/>
      </w:pPr>
      <w:r>
        <w:rPr>
          <w:b/>
          <w:color w:val="003CA0"/>
          <w:sz w:val="16"/>
        </w:rPr>
        <w:t>[HC 91.610, rel. min. Gilmar Mendes, j. 8-6-2010, 2ª T, DJE de 22-10-2010.]</w:t>
      </w:r>
    </w:p>
    <w:p>
      <w:pPr>
        <w:ind w:left="288"/>
      </w:pPr>
      <w:r>
        <w:rPr>
          <w:color w:val="8C8C8C"/>
          <w:sz w:val="12"/>
        </w:rPr>
        <w:t>cf-art-133</w:t>
      </w:r>
      <w:r>
        <w:rPr>
          <w:color w:val="003CA0"/>
          <w:sz w:val="12"/>
        </w:rPr>
        <w:t xml:space="preserve"> | RCL 7.592</w:t>
      </w:r>
      <w:r>
        <w:rPr>
          <w:color w:val="003CA0"/>
          <w:sz w:val="12"/>
        </w:rPr>
        <w:t xml:space="preserve"> | rel. Cármen Lúcia</w:t>
      </w:r>
    </w:p>
    <w:p>
      <w:pPr>
        <w:ind w:left="288"/>
      </w:pPr>
      <w:r>
        <w:rPr>
          <w:color w:val="1E1E1E"/>
          <w:sz w:val="18"/>
        </w:rPr>
        <w:t>A eventualidade da relação jurídica estabelecida entre a administração e o advogado dativo não permite seja este considerado servidor público.</w:t>
      </w:r>
    </w:p>
    <w:p>
      <w:pPr>
        <w:ind w:left="288"/>
      </w:pPr>
      <w:r>
        <w:rPr>
          <w:b/>
          <w:color w:val="003CA0"/>
          <w:sz w:val="16"/>
        </w:rPr>
        <w:t>[Rcl 7.592, rel. min. Cármen Lúcia, j. 27-5-2010, P,  DJE de 18-6-2010.]</w:t>
      </w:r>
    </w:p>
    <w:p>
      <w:pPr>
        <w:ind w:left="288"/>
      </w:pPr>
      <w:r>
        <w:rPr>
          <w:color w:val="8C8C8C"/>
          <w:sz w:val="12"/>
        </w:rPr>
        <w:t>cf-art-133</w:t>
      </w:r>
      <w:r>
        <w:rPr>
          <w:color w:val="003CA0"/>
          <w:sz w:val="12"/>
        </w:rPr>
        <w:t xml:space="preserve"> | RCL 4.319</w:t>
      </w:r>
      <w:r>
        <w:rPr>
          <w:color w:val="003CA0"/>
          <w:sz w:val="12"/>
        </w:rPr>
        <w:t xml:space="preserve"> | rel. Dias Toffoli</w:t>
      </w:r>
    </w:p>
    <w:p>
      <w:pPr>
        <w:ind w:left="288"/>
      </w:pPr>
      <w:r>
        <w:rPr>
          <w:color w:val="1E1E1E"/>
          <w:sz w:val="18"/>
        </w:rPr>
        <w:t>= Rcl 4.319 AgR, rel. min. Dias Toffoli, j. 24-6-2010, P, DJE de 25-10-2010 Os atos praticados pelo advogado no patrocínio técnico da causa, respeitados os limites deontológicos que regem a sua atuação como profissional do Direito e que guardem relação de estrita pertinência com o objeto do litígio, ainda que expressem críticas duras, veementes e severas, mesmo se dirigidas ao magistrado, não podem ser qualificados como transgressões ao patrimônio moral de qualquer dos sujeitos processuais, eis que o animus defendendi importa em descaracterização do elemento subjetivo inerente aos crimes contr</w:t>
      </w:r>
    </w:p>
    <w:p>
      <w:pPr>
        <w:ind w:left="288"/>
      </w:pPr>
      <w:r>
        <w:rPr>
          <w:b/>
          <w:color w:val="003CA0"/>
          <w:sz w:val="16"/>
        </w:rPr>
        <w:t>[HC 98.237, rel. min. Celso de Mello, j. 15-12-2009, 2ª T, DJE de 6-8-2010.]</w:t>
      </w:r>
    </w:p>
    <w:p>
      <w:pPr>
        <w:ind w:left="288"/>
      </w:pPr>
      <w:r>
        <w:rPr>
          <w:color w:val="8C8C8C"/>
          <w:sz w:val="12"/>
        </w:rPr>
        <w:t>cf-art-133</w:t>
      </w:r>
      <w:r>
        <w:rPr>
          <w:color w:val="003CA0"/>
          <w:sz w:val="12"/>
        </w:rPr>
        <w:t xml:space="preserve"> | RHC 81.750</w:t>
      </w:r>
      <w:r>
        <w:rPr>
          <w:color w:val="003CA0"/>
          <w:sz w:val="12"/>
        </w:rPr>
        <w:t xml:space="preserve"> | rel. Celso de Mello</w:t>
      </w:r>
    </w:p>
    <w:p>
      <w:pPr>
        <w:ind w:left="288"/>
      </w:pPr>
      <w:r>
        <w:rPr>
          <w:color w:val="1E1E1E"/>
          <w:sz w:val="18"/>
        </w:rPr>
        <w:t xml:space="preserve">Vide RHC 81.750, rel. min. Celso de Mello, j. 12-11-2002, 2ª T, DJ de 10-8-2007 O réu tem o direito de escolher o seu próprio defensor. Essa liberdade de escolha traduz, no plano da persecutio criminis, específica projeção do postulado da amplitude de defesa proclamado pela Constituição. Cumpre ao magistrado processante, em não sendo possível ao defensor constituído assumir ou prosseguir no patrocínio da causa penal, ordenar a intimação do réu para que este, querendo, escolha outro advogado. Antes de realizada essa intimação – ou enquanto não exaurido o prazo nela assinalado – não é lícito ao </w:t>
      </w:r>
    </w:p>
    <w:p>
      <w:pPr>
        <w:ind w:left="288"/>
      </w:pPr>
      <w:r>
        <w:rPr>
          <w:b/>
          <w:color w:val="003CA0"/>
          <w:sz w:val="16"/>
        </w:rPr>
        <w:t>[HC 96.905, rel. min. Celso de Mello, j. 25-8-2009, 2ª T, DJE de 3-10-2011.]</w:t>
      </w:r>
    </w:p>
    <w:p>
      <w:pPr>
        <w:ind w:left="288"/>
      </w:pPr>
      <w:r>
        <w:rPr>
          <w:color w:val="8C8C8C"/>
          <w:sz w:val="12"/>
        </w:rPr>
        <w:t>cf-art-133</w:t>
      </w:r>
      <w:r>
        <w:rPr>
          <w:color w:val="003CA0"/>
          <w:sz w:val="12"/>
        </w:rPr>
        <w:t xml:space="preserve"> | AO 1.531</w:t>
      </w:r>
      <w:r>
        <w:rPr>
          <w:color w:val="003CA0"/>
          <w:sz w:val="12"/>
        </w:rPr>
        <w:t xml:space="preserve"> | rel. Cármen Lúcia</w:t>
      </w:r>
    </w:p>
    <w:p>
      <w:pPr>
        <w:ind w:left="288"/>
      </w:pPr>
      <w:r>
        <w:rPr>
          <w:color w:val="1E1E1E"/>
          <w:sz w:val="18"/>
        </w:rPr>
        <w:t>A Constituição da República estabeleceu que o acesso à justiça e o direito de petição são direitos fundamentais (art. 5º,  XXXIV,  a, e XXXV), porém esses não garantem a quem não tenha capacidade postulatória litigar em juízo, ou seja, é vedado o exercício do direito de ação sem a presença de um advogado, considerado "indispensável à administração da Justiça" (art. 133 da Constituição da República e art. 1º da Lei 8.906/1994), com as ressalvas legais. (...) Incluem-se, ainda, no rol das exceções, as ações protocoladas nos juizados especiais cíveis, nas causas de valor até vinte salários mínimo</w:t>
      </w:r>
    </w:p>
    <w:p>
      <w:pPr>
        <w:ind w:left="288"/>
      </w:pPr>
      <w:r>
        <w:rPr>
          <w:b/>
          <w:color w:val="003CA0"/>
          <w:sz w:val="16"/>
        </w:rPr>
        <w:t>[AO 1.531 AgR, voto da rel. min. Cármen Lúcia, j. 3-6-2009, P, DJE de 1º-7-2009.]</w:t>
      </w:r>
    </w:p>
    <w:p>
      <w:pPr>
        <w:ind w:left="288"/>
      </w:pPr>
      <w:r>
        <w:rPr>
          <w:color w:val="8C8C8C"/>
          <w:sz w:val="12"/>
        </w:rPr>
        <w:t>cf-art-133</w:t>
      </w:r>
      <w:r>
        <w:rPr>
          <w:color w:val="003CA0"/>
          <w:sz w:val="12"/>
        </w:rPr>
        <w:t xml:space="preserve"> | INQ 2.424</w:t>
      </w:r>
      <w:r>
        <w:rPr>
          <w:color w:val="003CA0"/>
          <w:sz w:val="12"/>
        </w:rPr>
        <w:t xml:space="preserve"> | rel. Cezar Peluso</w:t>
      </w:r>
    </w:p>
    <w:p>
      <w:pPr>
        <w:ind w:left="288"/>
      </w:pPr>
      <w:r>
        <w:rPr>
          <w:color w:val="1E1E1E"/>
          <w:sz w:val="18"/>
        </w:rPr>
        <w:t xml:space="preserve">Escuta ambiental e exploração de local. Captação de sinais óticos e acústicos. Escritório de advocacia. Ingresso da autoridade policial, no período noturno, para instalação de equipamento. Medidas autorizadas por decisão judicial. Invasão de domicílio. Não caracterização. (...) Inteligência do art. 5º, X e XI, da CF; art. 150, § 4º, III, do CP; e art. 7º, II, da Lei 8.906/1994. (...) Não opera a inviolabilidade do escritório de advocacia, quando o próprio advogado seja suspeito da prática de crime, sobretudo concebido e consumado no âmbito desse local de trabalho, sob pretexto de exercício da </w:t>
      </w:r>
    </w:p>
    <w:p>
      <w:pPr>
        <w:ind w:left="288"/>
      </w:pPr>
      <w:r>
        <w:rPr>
          <w:b/>
          <w:color w:val="003CA0"/>
          <w:sz w:val="16"/>
        </w:rPr>
        <w:t>[Inq 2.424, rel. min. Cezar Peluso, j. 26-11-2008, P, DJE de 26-3-2010.]</w:t>
      </w:r>
    </w:p>
    <w:p>
      <w:pPr>
        <w:ind w:left="288"/>
      </w:pPr>
      <w:r>
        <w:rPr>
          <w:color w:val="8C8C8C"/>
          <w:sz w:val="12"/>
        </w:rPr>
        <w:t>cf-art-133</w:t>
      </w:r>
      <w:r>
        <w:rPr>
          <w:color w:val="003CA0"/>
          <w:sz w:val="12"/>
        </w:rPr>
        <w:t xml:space="preserve"> | ADI 1.127</w:t>
      </w:r>
      <w:r>
        <w:rPr>
          <w:color w:val="003CA0"/>
          <w:sz w:val="12"/>
        </w:rPr>
        <w:t xml:space="preserve"> | rel. Sepúlveda Pertence). A questão referente à existência de grades nas dependências da sala de estado-maior onde o reclamante se encontra recolhido</w:t>
      </w:r>
    </w:p>
    <w:p>
      <w:pPr>
        <w:ind w:left="288"/>
      </w:pPr>
      <w:r>
        <w:rPr>
          <w:color w:val="1E1E1E"/>
          <w:sz w:val="18"/>
        </w:rPr>
        <w:t>Prerrogativa de prisão em sala de estado-maior. Avaliação do caso concreto. Prisão em batalhão de polícia militar. Improcedência. A reclamação tem como objeto possível descumprimento do disposto no art. 7º, V, da Lei 8.906/1994, norma cuja constitucionalidade foi reconhecida no julgamento da ADI 1.127/DF por esta Corte. O tema referente ao recolhimento de advogado em sala de estado-maior, até o trânsito em julgado da sentença penal condenatória, envolve a própria definição da noção de sala de estado-maior. Em precedente desta Corte, considerou-se que se trata de "compartimento de qualquer unid</w:t>
      </w:r>
    </w:p>
    <w:p>
      <w:pPr>
        <w:ind w:left="288"/>
      </w:pPr>
      <w:r>
        <w:rPr>
          <w:b/>
          <w:color w:val="003CA0"/>
          <w:sz w:val="16"/>
        </w:rPr>
        <w:t>[Rcl 6.387, rel. min. Ellen Gracie, j. 23-10-2008, P, DJE de 21-11-2008.]</w:t>
      </w:r>
    </w:p>
    <w:p>
      <w:pPr>
        <w:ind w:left="288"/>
      </w:pPr>
      <w:r>
        <w:rPr>
          <w:color w:val="8C8C8C"/>
          <w:sz w:val="12"/>
        </w:rPr>
        <w:t>cf-art-133</w:t>
      </w:r>
      <w:r>
        <w:rPr>
          <w:color w:val="003CA0"/>
          <w:sz w:val="12"/>
        </w:rPr>
        <w:t xml:space="preserve"> | ADI 1.127</w:t>
      </w:r>
      <w:r>
        <w:rPr>
          <w:color w:val="003CA0"/>
          <w:sz w:val="12"/>
        </w:rPr>
        <w:t xml:space="preserve"> | rel. Joaquim Barbosa</w:t>
      </w:r>
    </w:p>
    <w:p>
      <w:pPr>
        <w:ind w:left="288"/>
      </w:pPr>
      <w:r>
        <w:rPr>
          <w:color w:val="1E1E1E"/>
          <w:sz w:val="18"/>
        </w:rPr>
        <w:t>Vide ADI 1.127, red. do ac. min. Ricardo Lewandowski, j. 17-5-2006, P, DJE de 11-6-2010 A proibição de depor diz respeito ao conteúdo da confidência de que o advogado teve conhecimento para exercer o múnus para o qual foi contratado, não sendo este o caso dos autos. Os fatos que interessam à presente ação penal já foram objeto de ampla investigação, e a própria testemunha – que ora recusa-se a depor – já prestou esclarecimentos sobre os mesmos na fase inquisitorial, perante a autoridade policial. Assim, os fatos não estão protegidos pelo segredo profissional. Ausente a proibição de depor previ</w:t>
      </w:r>
    </w:p>
    <w:p>
      <w:pPr>
        <w:ind w:left="288"/>
      </w:pPr>
      <w:r>
        <w:rPr>
          <w:b/>
          <w:color w:val="003CA0"/>
          <w:sz w:val="16"/>
        </w:rPr>
        <w:t>[AP 470 QO-QO, rel. min. Joaquim Barbosa, j. 22-10-2008, P, DJE de 30-4-2009.]</w:t>
      </w:r>
    </w:p>
    <w:p>
      <w:pPr>
        <w:ind w:left="288"/>
      </w:pPr>
      <w:r>
        <w:rPr>
          <w:color w:val="8C8C8C"/>
          <w:sz w:val="12"/>
        </w:rPr>
        <w:t>cf-art-133</w:t>
      </w:r>
      <w:r>
        <w:rPr>
          <w:color w:val="003CA0"/>
          <w:sz w:val="12"/>
        </w:rPr>
        <w:t xml:space="preserve"> | RE 459.131</w:t>
      </w:r>
      <w:r>
        <w:rPr>
          <w:color w:val="003CA0"/>
          <w:sz w:val="12"/>
        </w:rPr>
        <w:t xml:space="preserve"> | rel. Ricardo Lewandowski</w:t>
      </w:r>
    </w:p>
    <w:p>
      <w:pPr>
        <w:ind w:left="288"/>
      </w:pPr>
      <w:r>
        <w:rPr>
          <w:color w:val="1E1E1E"/>
          <w:sz w:val="18"/>
        </w:rPr>
        <w:t>Processo penal. Interrogatório. Assistência técnica. A exigência de defesa técnica para observância do devido processo legal impõe a presença do profissional da advocacia na audiência de interrogatório do acusado. Não bastasse o disposto no art. 261 do CPP, a Lei 10.792/2003 explicitou a formalidade de cunho nitidamente constitucional – art. 5º, LV, da CF.</w:t>
      </w:r>
    </w:p>
    <w:p>
      <w:pPr>
        <w:ind w:left="288"/>
      </w:pPr>
      <w:r>
        <w:rPr>
          <w:b/>
          <w:color w:val="003CA0"/>
          <w:sz w:val="16"/>
        </w:rPr>
        <w:t>[RE 459.131, rel. min. Ricardo Lewandowski, j. 12-8-2008, 1ª T, DJE de 12-9-2008.]</w:t>
      </w:r>
    </w:p>
    <w:p>
      <w:pPr>
        <w:ind w:left="288"/>
      </w:pPr>
      <w:r>
        <w:rPr>
          <w:color w:val="8C8C8C"/>
          <w:sz w:val="12"/>
        </w:rPr>
        <w:t>cf-art-133</w:t>
      </w:r>
      <w:r>
        <w:rPr>
          <w:color w:val="003CA0"/>
          <w:sz w:val="12"/>
        </w:rPr>
        <w:t xml:space="preserve"> | HC 102.019</w:t>
      </w:r>
      <w:r>
        <w:rPr>
          <w:color w:val="003CA0"/>
          <w:sz w:val="12"/>
        </w:rPr>
        <w:t xml:space="preserve"> | rel. Ricardo Lewandowski</w:t>
      </w:r>
    </w:p>
    <w:p>
      <w:pPr>
        <w:ind w:left="288"/>
      </w:pPr>
      <w:r>
        <w:rPr>
          <w:color w:val="1E1E1E"/>
          <w:sz w:val="18"/>
        </w:rPr>
        <w:t>Vide HC 102.019, rel. min. Ricardo Lewandowski, j. 17-8-2010, 1ª T, DJE de 22-10-2010 A jurisprudência do STF consolidou o entendimento segundo o qual o réu que ostente status profissional de advogado tem direito público subjetivo à prisão especial até o trânsito em julgado da condenação. (...) O juízo de origem, em nenhum momento, criou dificuldades à efetivação do direito da paciente à prisão especial. A decisão agravada ateve-se às circunstâncias do caso e apontou que o direito à prisão especial cessa com o trânsito em julgado da condenação penal. Diante da confirmação do trânsito em julgad</w:t>
      </w:r>
    </w:p>
    <w:p>
      <w:pPr>
        <w:ind w:left="288"/>
      </w:pPr>
      <w:r>
        <w:rPr>
          <w:b/>
          <w:color w:val="003CA0"/>
          <w:sz w:val="16"/>
        </w:rPr>
        <w:t>[HC 82.850 AgR, rel. min. Gilmar Mendes, j. 11-9-2007, 2ª T, DJ de 28-9-2007.]</w:t>
      </w:r>
    </w:p>
    <w:p>
      <w:pPr>
        <w:ind w:left="288"/>
      </w:pPr>
      <w:r>
        <w:rPr>
          <w:color w:val="8C8C8C"/>
          <w:sz w:val="12"/>
        </w:rPr>
        <w:t>cf-art-133</w:t>
      </w:r>
      <w:r>
        <w:rPr>
          <w:color w:val="003CA0"/>
          <w:sz w:val="12"/>
        </w:rPr>
        <w:t xml:space="preserve"> | MS 25.917</w:t>
      </w:r>
      <w:r>
        <w:rPr>
          <w:color w:val="003CA0"/>
          <w:sz w:val="12"/>
        </w:rPr>
        <w:t xml:space="preserve"> | rel. Gilmar Mendes</w:t>
      </w:r>
    </w:p>
    <w:p>
      <w:pPr>
        <w:ind w:left="288"/>
      </w:pPr>
      <w:r>
        <w:rPr>
          <w:color w:val="1E1E1E"/>
          <w:sz w:val="18"/>
        </w:rPr>
        <w:t>Tal como ocorre no processo penal, no processo administrativo-parlamentar por quebra de decoro parlamentar, o acompanhamento dos atos e termos do processo é função ordinária do profissional da advocacia, no exercício da representação do seu cliente, quando atua no sentido de constituir espécie de defesa técnica. A ausência pessoal do acusado, salvo se a legislação aplicável à espécie assim expressamente o exigisse, não compromete o exercício daquela função pelo profissional da advocacia, razão pela qual neste fato não se caracteriza qualquer espécie de infração aos direitos processuais constit</w:t>
      </w:r>
    </w:p>
    <w:p>
      <w:pPr>
        <w:ind w:left="288"/>
      </w:pPr>
      <w:r>
        <w:rPr>
          <w:b/>
          <w:color w:val="003CA0"/>
          <w:sz w:val="16"/>
        </w:rPr>
        <w:t>[MS 25.917, rel. min. Gilmar Mendes, j. 1º-6-2006, P, DJ de 1º-9-2006.]</w:t>
      </w:r>
    </w:p>
    <w:p>
      <w:pPr>
        <w:ind w:left="288"/>
      </w:pPr>
      <w:r>
        <w:rPr>
          <w:color w:val="8C8C8C"/>
          <w:sz w:val="12"/>
        </w:rPr>
        <w:t>cf-art-133</w:t>
      </w:r>
      <w:r>
        <w:rPr>
          <w:color w:val="003CA0"/>
          <w:sz w:val="12"/>
        </w:rPr>
        <w:t xml:space="preserve"> | AI 207.197</w:t>
      </w:r>
      <w:r>
        <w:rPr>
          <w:color w:val="003CA0"/>
          <w:sz w:val="12"/>
        </w:rPr>
        <w:t xml:space="preserve"> | rel. Carlos Velloso</w:t>
      </w:r>
    </w:p>
    <w:p>
      <w:pPr>
        <w:ind w:left="288"/>
      </w:pPr>
      <w:r>
        <w:rPr>
          <w:color w:val="1E1E1E"/>
          <w:sz w:val="18"/>
        </w:rPr>
        <w:t>A tomada de contas é procedimento administrativo, certo que a extensão da garantia do contraditório (CF, art. 5º, LV) aos procedimentos administrativos não exige a adoção da normatividade própria do processo judicial, em que é indispensável a atuação do advogado: AI 207.197 AgR/PR, min. Octavio Gallotti, DJ de 5-6-1998; RE 244.027 AgR/SP, min. Ellen Gracie, DJ de 28-6-2002.</w:t>
      </w:r>
    </w:p>
    <w:p>
      <w:pPr>
        <w:ind w:left="288"/>
      </w:pPr>
      <w:r>
        <w:rPr>
          <w:b/>
          <w:color w:val="003CA0"/>
          <w:sz w:val="16"/>
        </w:rPr>
        <w:t>[MS 24.961, rel. min. Carlos Velloso, j. 24-11-2004, P, DJ de 4-3-2005.]</w:t>
      </w:r>
    </w:p>
    <w:p>
      <w:pPr>
        <w:ind w:left="288"/>
      </w:pPr>
      <w:r>
        <w:rPr>
          <w:color w:val="8C8C8C"/>
          <w:sz w:val="12"/>
        </w:rPr>
        <w:t>cf-art-133</w:t>
      </w:r>
      <w:r>
        <w:rPr>
          <w:color w:val="003CA0"/>
          <w:sz w:val="12"/>
        </w:rPr>
        <w:t xml:space="preserve"> | MS 25.643</w:t>
      </w:r>
      <w:r>
        <w:rPr>
          <w:color w:val="003CA0"/>
          <w:sz w:val="12"/>
        </w:rPr>
        <w:t xml:space="preserve"> | rel. Ricardo Lewandowski</w:t>
      </w:r>
    </w:p>
    <w:p>
      <w:pPr>
        <w:ind w:left="288"/>
      </w:pPr>
      <w:r>
        <w:rPr>
          <w:color w:val="1E1E1E"/>
          <w:sz w:val="18"/>
        </w:rPr>
        <w:t>= MS 25.643, rel. min. Ricardo Lewandowski, j. 2-8-2011, 1ª T, DJE de 26-8-2011 Crime contra a honra. Prática atribuída a advogado. Protesto por ele manifestado, em termos objetivos e serenos, contra magistrado. Intangibilidade profissional do advogado. Caráter relativo. Liquidez dos fatos. Animus narrandi. Exercício legítimo, na espécie, do direito de crítica, que assiste aos advogados em geral. (...) A proclamação constitucional da inviolabilidade do advogado, por seus atos e manifestações no exercício da profissão, traduz significativa garantia do exercício pleno dos relevantes encargos com</w:t>
      </w:r>
    </w:p>
    <w:p>
      <w:pPr>
        <w:ind w:left="288"/>
      </w:pPr>
      <w:r>
        <w:rPr>
          <w:b/>
          <w:color w:val="003CA0"/>
          <w:sz w:val="16"/>
        </w:rPr>
        <w:t>[RHC 81.750, rel. min. Celso de Mello, j. 12-11-2002, 2ª T, DJ de 10-8-2007.]</w:t>
      </w:r>
    </w:p>
    <w:p>
      <w:pPr>
        <w:ind w:left="288"/>
      </w:pPr>
      <w:r>
        <w:rPr>
          <w:color w:val="8C8C8C"/>
          <w:sz w:val="12"/>
        </w:rPr>
        <w:t>cf-art-133</w:t>
      </w:r>
      <w:r>
        <w:rPr>
          <w:color w:val="003CA0"/>
          <w:sz w:val="12"/>
        </w:rPr>
        <w:t xml:space="preserve"> | HC 104.385</w:t>
      </w:r>
      <w:r>
        <w:rPr>
          <w:color w:val="003CA0"/>
          <w:sz w:val="12"/>
        </w:rPr>
        <w:t xml:space="preserve"> | rel. Celso de Mello</w:t>
      </w:r>
    </w:p>
    <w:p>
      <w:pPr>
        <w:ind w:left="288"/>
      </w:pPr>
      <w:r>
        <w:rPr>
          <w:color w:val="1E1E1E"/>
          <w:sz w:val="18"/>
        </w:rPr>
        <w:t xml:space="preserve">= HC 104.385, red. do ac. min. Ricardo Lewandowski, j. 28-6-2011, 1ª T, DJE de 25-8-2011 Vide HC 98.237, rel. min. Celso de Mello, j. 15-12-2009, 2ª T, DJE de 6-8-2010 Advogado que instrui testemunha a prestar depoimento inverídico nos autos de reclamação trabalhista. Conduta que contribuiu moralmente para o crime, fazendo nascer no agente a vontade delitiva. Art. 29 do CP. Possibilidade de coautoria. Relevância do objeto jurídico tutelado pelo art. 342 do CP: a administração da justiça, no tocante à veracidade das provas e ao prestígio e seriedade da sua coleta. Relevância robustecida quando </w:t>
      </w:r>
    </w:p>
    <w:p>
      <w:pPr>
        <w:ind w:left="288"/>
      </w:pPr>
      <w:r>
        <w:rPr>
          <w:b/>
          <w:color w:val="003CA0"/>
          <w:sz w:val="16"/>
        </w:rPr>
        <w:t>[RHC 81.327, rel. min. Ellen Gracie, j. 11-12-2001, 1ª T, DJ de 5-4-2002.]</w:t>
      </w:r>
    </w:p>
    <w:p>
      <w:pPr>
        <w:ind w:left="288"/>
      </w:pPr>
      <w:r>
        <w:rPr>
          <w:color w:val="8C8C8C"/>
          <w:sz w:val="12"/>
        </w:rPr>
        <w:t>cf-art-133</w:t>
      </w:r>
      <w:r>
        <w:rPr>
          <w:color w:val="003CA0"/>
          <w:sz w:val="12"/>
        </w:rPr>
        <w:t xml:space="preserve"> | RHC 80.429</w:t>
      </w:r>
      <w:r>
        <w:rPr>
          <w:color w:val="003CA0"/>
          <w:sz w:val="12"/>
        </w:rPr>
        <w:t xml:space="preserve"> | rel. Marco Aurélio</w:t>
      </w:r>
    </w:p>
    <w:p>
      <w:pPr>
        <w:ind w:left="288"/>
      </w:pPr>
      <w:r>
        <w:rPr>
          <w:color w:val="1E1E1E"/>
          <w:sz w:val="18"/>
        </w:rPr>
        <w:t>Limitando-se o profissional da advocacia a formalizar, perante a corregedoria, representação contra magistrado, sem posterior divulgação do teor da medida, exerce prerrogativa alcançada pela norma do § 2º do art. 7º da Lei  8.906/1994 (Estatuto da Advocacia) e do art. 133 da CF, não havendo justa causa a respaldar persecução criminal.</w:t>
      </w:r>
    </w:p>
    <w:p>
      <w:pPr>
        <w:ind w:left="288"/>
      </w:pPr>
      <w:r>
        <w:rPr>
          <w:b/>
          <w:color w:val="003CA0"/>
          <w:sz w:val="16"/>
        </w:rPr>
        <w:t>[RHC 80.429, rel. min. Marco Aurélio, j. 31-10-2000, P, DJ de 29-8-2003.]</w:t>
      </w:r>
    </w:p>
    <w:p>
      <w:pPr>
        <w:ind w:left="288"/>
      </w:pPr>
      <w:r>
        <w:rPr>
          <w:color w:val="8C8C8C"/>
          <w:sz w:val="12"/>
        </w:rPr>
        <w:t>cf-art-133</w:t>
      </w:r>
      <w:r>
        <w:rPr>
          <w:color w:val="003CA0"/>
          <w:sz w:val="12"/>
        </w:rPr>
        <w:t xml:space="preserve"> | HC 74.309</w:t>
      </w:r>
      <w:r>
        <w:rPr>
          <w:color w:val="003CA0"/>
          <w:sz w:val="12"/>
        </w:rPr>
        <w:t xml:space="preserve"> | rel. Celso de Mello</w:t>
      </w:r>
    </w:p>
    <w:p>
      <w:pPr>
        <w:ind w:left="288"/>
      </w:pPr>
      <w:r>
        <w:rPr>
          <w:color w:val="1E1E1E"/>
          <w:sz w:val="18"/>
        </w:rPr>
        <w:t xml:space="preserve">Revisão criminal. Ajuizada pelo próprio condenado. Cognoscibilidade. Capacidade postulatória outorgada pelo art. 623 do CPP. Pedido deferido. O STF, ao interpretar o art. 133 da CF, reconheceu a indispensabilidade da intervenção do advogado como princípio de índole institucional, cujo valor, no entanto, não é absoluto em si mesmo, mas condicionado, em seu alcance e conteúdo, pelos limites impostos pela lei, consoante estabelecido pela própria Carta Política. Precedentes. O art. 623 do CPP – que confere capacidade postulatória ao próprio condenado para formular o pedido revisional – foi objeto </w:t>
      </w:r>
    </w:p>
    <w:p>
      <w:pPr>
        <w:ind w:left="288"/>
      </w:pPr>
      <w:r>
        <w:rPr>
          <w:b/>
          <w:color w:val="003CA0"/>
          <w:sz w:val="16"/>
        </w:rPr>
        <w:t>[HC 74.309, rel. min. Celso de Mello, j. 12-11-1996, 1ª T, DJE de 23-5-2008.]</w:t>
      </w:r>
    </w:p>
    <w:p>
      <w:pPr>
        <w:ind w:left="288"/>
      </w:pPr>
      <w:r>
        <w:rPr>
          <w:color w:val="8C8C8C"/>
          <w:sz w:val="12"/>
        </w:rPr>
        <w:t>cf-art-133</w:t>
      </w:r>
      <w:r>
        <w:rPr>
          <w:color w:val="003CA0"/>
          <w:sz w:val="12"/>
        </w:rPr>
        <w:t xml:space="preserve"> | HC 70.600</w:t>
      </w:r>
      <w:r>
        <w:rPr>
          <w:color w:val="003CA0"/>
          <w:sz w:val="12"/>
        </w:rPr>
        <w:t xml:space="preserve"> | rel. Celso de Mello</w:t>
      </w:r>
    </w:p>
    <w:p>
      <w:pPr>
        <w:ind w:left="288"/>
      </w:pPr>
      <w:r>
        <w:rPr>
          <w:color w:val="1E1E1E"/>
          <w:sz w:val="18"/>
        </w:rPr>
        <w:t>A colidência de teses defensivas é apenas invocável, como causa nullitatis, nas hipóteses em que, comprovado o efetivo prejuízo aos direitos dos réus, a defesa destes vem a ser confiada a um só defensor dativo, eis que – consoante adverte a jurisprudência do STF – "Não se configura a nulidade, se o defensor único foi livremente constituído pelos próprios acusados" (RTJ 58/858 – RTJ 59/360 – 69/52 – RTJ 88/481 – RTJ 110/95). A indisponibilidade do direito de defesa – que traduz prerrogativa jurídica de extração constitucional – impõe ao magistrado processante o dever de velar, incondicionalment</w:t>
      </w:r>
    </w:p>
    <w:p>
      <w:pPr>
        <w:ind w:left="288"/>
      </w:pPr>
      <w:r>
        <w:rPr>
          <w:b/>
          <w:color w:val="003CA0"/>
          <w:sz w:val="16"/>
        </w:rPr>
        <w:t>[HC 70.600, rel. min. Celso de Mello, j. 19-4-1994, 1ª T, DJE de 21-8-2009.]</w:t>
      </w:r>
    </w:p>
    <w:p>
      <w:pPr>
        <w:ind w:left="288"/>
      </w:pPr>
      <w:r>
        <w:rPr>
          <w:color w:val="8C8C8C"/>
          <w:sz w:val="12"/>
        </w:rPr>
        <w:t>cf-art-133</w:t>
      </w:r>
      <w:r>
        <w:rPr>
          <w:color w:val="003CA0"/>
          <w:sz w:val="12"/>
        </w:rPr>
        <w:t xml:space="preserve"> | HC 99.485</w:t>
      </w:r>
      <w:r>
        <w:rPr>
          <w:color w:val="003CA0"/>
          <w:sz w:val="12"/>
        </w:rPr>
        <w:t xml:space="preserve"> | rel. Cármen Lúcia</w:t>
      </w:r>
    </w:p>
    <w:p>
      <w:pPr>
        <w:ind w:left="288"/>
      </w:pPr>
      <w:r>
        <w:rPr>
          <w:color w:val="1E1E1E"/>
          <w:sz w:val="18"/>
        </w:rPr>
        <w:t>= HC 99.485, rel. min. Cármen Lúcia, j. 9-11-2010, 1ª T, DJE de 25-11-2010</w:t>
      </w:r>
    </w:p>
    <w:p>
      <w:r>
        <w:rPr>
          <w:b/>
          <w:color w:val="003366"/>
          <w:sz w:val="20"/>
        </w:rPr>
        <w:t>Art. 134 Os saldos credores relativos ao imposto previsto no art. 155, II, da Co</w:t>
      </w:r>
      <w:r>
        <w:rPr>
          <w:color w:val="8C8C8C"/>
          <w:sz w:val="14"/>
        </w:rPr>
        <w:t xml:space="preserve">  [32 decisoes]</w:t>
      </w:r>
    </w:p>
    <w:p>
      <w:pPr>
        <w:ind w:left="144"/>
      </w:pPr>
      <w:r>
        <w:rPr>
          <w:b/>
          <w:color w:val="B45A00"/>
          <w:sz w:val="16"/>
        </w:rPr>
        <w:t>SUMULA VINCULANTE</w:t>
      </w:r>
    </w:p>
    <w:p>
      <w:pPr>
        <w:ind w:left="288"/>
      </w:pPr>
      <w:r>
        <w:rPr>
          <w:color w:val="8C8C8C"/>
          <w:sz w:val="12"/>
        </w:rPr>
        <w:t>cf-art-134</w:t>
      </w:r>
    </w:p>
    <w:p>
      <w:pPr>
        <w:ind w:left="288"/>
      </w:pPr>
      <w:r>
        <w:rPr>
          <w:color w:val="1E1E1E"/>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88"/>
      </w:pPr>
      <w:r>
        <w:rPr>
          <w:b/>
          <w:color w:val="003CA0"/>
          <w:sz w:val="16"/>
        </w:rPr>
        <w:t>[Súmula Vinculante 14.]</w:t>
      </w:r>
    </w:p>
    <w:p>
      <w:pPr>
        <w:ind w:left="288"/>
      </w:pPr>
      <w:r>
        <w:rPr>
          <w:color w:val="8C8C8C"/>
          <w:sz w:val="12"/>
        </w:rPr>
        <w:t>cf-art-134</w:t>
      </w:r>
      <w:r>
        <w:rPr>
          <w:color w:val="003CA0"/>
          <w:sz w:val="12"/>
        </w:rPr>
        <w:t xml:space="preserve"> | ADI 5.603</w:t>
      </w:r>
      <w:r>
        <w:rPr>
          <w:color w:val="003CA0"/>
          <w:sz w:val="12"/>
        </w:rPr>
        <w:t xml:space="preserve"> | rel. Nunes Marques</w:t>
      </w:r>
    </w:p>
    <w:p>
      <w:pPr>
        <w:ind w:left="288"/>
      </w:pPr>
      <w:r>
        <w:rPr>
          <w:color w:val="1E1E1E"/>
          <w:sz w:val="18"/>
        </w:rPr>
        <w:t>Defensoria Pública da União. Representação judicial e extrajudicial. Atribuição do Defensor Público-Geral. Art. 8º, II, LC 80/1994. (...) A ideia de a capacidade de ser parte derivar necessariamente da personificação jurídica tem sido abrandada, tanto pela doutrina quanto na jurisprudência, para permitir que órgãos públicos de estatura constitucional, em determinadas circunstâncias, possam litigar para defender suas prerrogativas institucionais. A missão constitucional outorgada à Advocacia-Geral da União para representar a União e seus órgãos judicial e extrajudicialmente (art. 131, CF) não i</w:t>
      </w:r>
    </w:p>
    <w:p>
      <w:pPr>
        <w:ind w:left="288"/>
      </w:pPr>
      <w:r>
        <w:rPr>
          <w:b/>
          <w:color w:val="003CA0"/>
          <w:sz w:val="16"/>
        </w:rPr>
        <w:t>[ADI 5.603, rel. min. Nunes Marques, red. do ac. min. Alexandre de Moraes, j. 13.10.2025, P, DJE de 13.11.2025.]</w:t>
      </w:r>
    </w:p>
    <w:p>
      <w:pPr>
        <w:ind w:left="144"/>
      </w:pPr>
      <w:r>
        <w:rPr>
          <w:b/>
          <w:color w:val="B45A00"/>
          <w:sz w:val="16"/>
        </w:rPr>
        <w:t>CONTROLE CONCENTRADO</w:t>
      </w:r>
    </w:p>
    <w:p>
      <w:pPr>
        <w:ind w:left="288"/>
      </w:pPr>
      <w:r>
        <w:rPr>
          <w:color w:val="8C8C8C"/>
          <w:sz w:val="12"/>
        </w:rPr>
        <w:t>cf-art-134</w:t>
      </w:r>
      <w:r>
        <w:rPr>
          <w:color w:val="003CA0"/>
          <w:sz w:val="12"/>
        </w:rPr>
        <w:t xml:space="preserve"> | ADI 6.864</w:t>
      </w:r>
      <w:r>
        <w:rPr>
          <w:color w:val="003CA0"/>
          <w:sz w:val="12"/>
        </w:rPr>
        <w:t xml:space="preserve"> | rel. Rosa Weber</w:t>
      </w:r>
    </w:p>
    <w:p>
      <w:pPr>
        <w:ind w:left="288"/>
      </w:pPr>
      <w:r>
        <w:rPr>
          <w:color w:val="1E1E1E"/>
          <w:sz w:val="18"/>
        </w:rPr>
        <w:t>O novo perfil institucional da Defensoria Pública implicou sua dissociação das funções da advocacia privada. A alocação topográfica normativa desenhada na Constituição Federal para cada um desses atores confirma a desigualação institucional. Refuta-se a equiparação da Defensoria Pública à Advocacia privada frente às finalidades institucionais da primeira na promoção do acesso à justiça, da redução das desigualdades e do fomento à cidadania de ter direitos, que afastam o caráter exclusivo de proteção de interesses individuais do assistido. A arquitetura constitucional da Defensoria Pública, com</w:t>
      </w:r>
    </w:p>
    <w:p>
      <w:pPr>
        <w:ind w:left="288"/>
      </w:pPr>
      <w:r>
        <w:rPr>
          <w:b/>
          <w:color w:val="003CA0"/>
          <w:sz w:val="16"/>
        </w:rPr>
        <w:t>[ADI 6.864, rel. min. Rosa Weber, j. 28-3-2022, P, DJE de 09-5-2022.]</w:t>
      </w:r>
    </w:p>
    <w:p>
      <w:pPr>
        <w:ind w:left="288"/>
      </w:pPr>
      <w:r>
        <w:rPr>
          <w:color w:val="8C8C8C"/>
          <w:sz w:val="12"/>
        </w:rPr>
        <w:t>cf-art-134</w:t>
      </w:r>
      <w:r>
        <w:rPr>
          <w:color w:val="003CA0"/>
          <w:sz w:val="12"/>
        </w:rPr>
        <w:t xml:space="preserve"> | ADI 6.875</w:t>
      </w:r>
      <w:r>
        <w:rPr>
          <w:color w:val="003CA0"/>
          <w:sz w:val="12"/>
        </w:rPr>
        <w:t xml:space="preserve"> | rel. Alexandre de Moraes</w:t>
      </w:r>
    </w:p>
    <w:p>
      <w:pPr>
        <w:ind w:left="288"/>
      </w:pPr>
      <w:r>
        <w:rPr>
          <w:color w:val="1E1E1E"/>
          <w:sz w:val="18"/>
        </w:rPr>
        <w:t>Lei estadual que confere à Defensoria Pública a prerrogativa de requisitar de qualquer autoridade pública e de seus agentes certidões, exames, perícias, vistorias, diligências, processos, documentos, informações, esclarecimentos e demais providências necessárias ao exercício de suas atribuições. Previsão legal que atende aos parâmetros de adequação, razoabilidade e proporcionalidade, e que tem por finalidade garantir o exercício efetivo das funções constitucionais da instituição. Aplicação da teoria dos poderes implícitos – inherent powers –, com o reconhecimento de competências genéricas impl</w:t>
      </w:r>
    </w:p>
    <w:p>
      <w:pPr>
        <w:ind w:left="288"/>
      </w:pPr>
      <w:r>
        <w:rPr>
          <w:b/>
          <w:color w:val="003CA0"/>
          <w:sz w:val="16"/>
        </w:rPr>
        <w:t>[ADI 6.875, rel. min. Alexandre de Moraes, j. 21-2-2022, P, DJE de 17-3-2022.]</w:t>
      </w:r>
    </w:p>
    <w:p>
      <w:pPr>
        <w:ind w:left="288"/>
      </w:pPr>
      <w:r>
        <w:rPr>
          <w:color w:val="8C8C8C"/>
          <w:sz w:val="12"/>
        </w:rPr>
        <w:t>cf-art-134</w:t>
      </w:r>
      <w:r>
        <w:rPr>
          <w:color w:val="003CA0"/>
          <w:sz w:val="12"/>
        </w:rPr>
        <w:t xml:space="preserve"> | ADI 4.636</w:t>
      </w:r>
      <w:r>
        <w:rPr>
          <w:color w:val="003CA0"/>
          <w:sz w:val="12"/>
        </w:rPr>
        <w:t xml:space="preserve"> | rel. Gilmar Mendes</w:t>
      </w:r>
    </w:p>
    <w:p>
      <w:pPr>
        <w:ind w:left="288"/>
      </w:pPr>
      <w:r>
        <w:rPr>
          <w:color w:val="1E1E1E"/>
          <w:sz w:val="18"/>
        </w:rPr>
        <w:t>(...) constitui função constitucional da Defensoria Pública, instituição autônoma e com regime próprio, atender aos necessitados, assim consideradas as pessoas, físicas e jurídicas, que comprovem insuficiência de recursos, na forma da lei, cabendo à lei complementar de regência dispor sobre os requisitos para o exercício do cargo de defensor público, o que torna constitucional a previsão de que sua capacidade postulatória decorre da nomeação e posse no cargo. Ante o exposto, julgo improcedente a ação direta de inconstitucionalidade. Confiro ainda interpretação conforme à Constituição ao art. 3</w:t>
      </w:r>
    </w:p>
    <w:p>
      <w:pPr>
        <w:ind w:left="288"/>
      </w:pPr>
      <w:r>
        <w:rPr>
          <w:b/>
          <w:color w:val="003CA0"/>
          <w:sz w:val="16"/>
        </w:rPr>
        <w:t>[ADI 4.636, voto do rel. min. Gilmar Mendes, j. 4-11-2021, P, DJE de 10-2-2022.]</w:t>
      </w:r>
    </w:p>
    <w:p>
      <w:pPr>
        <w:ind w:left="288"/>
      </w:pPr>
      <w:r>
        <w:rPr>
          <w:color w:val="8C8C8C"/>
          <w:sz w:val="12"/>
        </w:rPr>
        <w:t>cf-art-134</w:t>
      </w:r>
      <w:r>
        <w:rPr>
          <w:color w:val="003CA0"/>
          <w:sz w:val="12"/>
        </w:rPr>
        <w:t xml:space="preserve"> | ADO 2</w:t>
      </w:r>
      <w:r>
        <w:rPr>
          <w:color w:val="003CA0"/>
          <w:sz w:val="12"/>
        </w:rPr>
        <w:t xml:space="preserve"> | rel. Luiz Fux</w:t>
      </w:r>
    </w:p>
    <w:p>
      <w:pPr>
        <w:ind w:left="288"/>
      </w:pPr>
      <w:r>
        <w:rPr>
          <w:color w:val="1E1E1E"/>
          <w:sz w:val="18"/>
        </w:rPr>
        <w:t>A relação entre a atuação da Defensoria Pública e a defesa do Estado Democrático de Direito, ademais, deflui da interpretação sistemático-teleológica das cláusulas da inafastabilidade da jurisdição e do devido processo legal em sua acepção substancial, eis que, por meio da Defensoria Pública, reafirma-se a centralidade da pessoa humana na ordem jurídico-constitucional contemporânea, deixando-se claro que todo ser humano é digno de obter o amparo do ordenamento jurídico brasileiro.</w:t>
      </w:r>
    </w:p>
    <w:p>
      <w:pPr>
        <w:ind w:left="288"/>
      </w:pPr>
      <w:r>
        <w:rPr>
          <w:b/>
          <w:color w:val="003CA0"/>
          <w:sz w:val="16"/>
        </w:rPr>
        <w:t>[ADO 2, rel. min. Luiz Fux, j. 15-4-2020, P, DJE de 30-4-2020.]</w:t>
      </w:r>
    </w:p>
    <w:p>
      <w:pPr>
        <w:ind w:left="288"/>
      </w:pPr>
      <w:r>
        <w:rPr>
          <w:color w:val="8C8C8C"/>
          <w:sz w:val="12"/>
        </w:rPr>
        <w:t>cf-art-134</w:t>
      </w:r>
      <w:r>
        <w:rPr>
          <w:color w:val="003CA0"/>
          <w:sz w:val="12"/>
        </w:rPr>
        <w:t xml:space="preserve"> | ADI 3.943</w:t>
      </w:r>
      <w:r>
        <w:rPr>
          <w:color w:val="003CA0"/>
          <w:sz w:val="12"/>
        </w:rPr>
        <w:t xml:space="preserve"> | rel. Cármen Lúcia</w:t>
      </w:r>
    </w:p>
    <w:p>
      <w:pPr>
        <w:ind w:left="288"/>
      </w:pPr>
      <w:r>
        <w:rPr>
          <w:color w:val="1E1E1E"/>
          <w:sz w:val="18"/>
        </w:rPr>
        <w:t>Legitimidade ativa da Defensoria Pública para ajuizar ação civil pública (art. 5º, II, da Lei 7.347/1985, alterado pelo art. 2º da Lei 11.448/2007). Tutela de interesses transindividuais (coletivos stricto sensu e difusos) e individuais homogêneos. Defensoria pública: instituição essencial à função jurisdicional. Acesso à justiça. Necessitado: definição segundo princípios hermenêuticos garantidores da força normativa da constituição e da máxima efetividade das normas constitucionais: art. 5º, XXXV, LXXIV, LXXVIII, da Constituição da República. Inexistência de norma de exclusividade do Ministér</w:t>
      </w:r>
    </w:p>
    <w:p>
      <w:pPr>
        <w:ind w:left="288"/>
      </w:pPr>
      <w:r>
        <w:rPr>
          <w:b/>
          <w:color w:val="003CA0"/>
          <w:sz w:val="16"/>
        </w:rPr>
        <w:t>[ADI 3.943, rel. min. Cármen Lúcia, j. 7-5-2015, P, DJE de 6-8-2015.]</w:t>
      </w:r>
    </w:p>
    <w:p>
      <w:pPr>
        <w:ind w:left="288"/>
      </w:pPr>
      <w:r>
        <w:rPr>
          <w:color w:val="8C8C8C"/>
          <w:sz w:val="12"/>
        </w:rPr>
        <w:t>cf-art-134</w:t>
      </w:r>
      <w:r>
        <w:rPr>
          <w:color w:val="003CA0"/>
          <w:sz w:val="12"/>
        </w:rPr>
        <w:t xml:space="preserve"> | RE 733.433</w:t>
      </w:r>
      <w:r>
        <w:rPr>
          <w:color w:val="003CA0"/>
          <w:sz w:val="12"/>
        </w:rPr>
        <w:t xml:space="preserve"> | rel. Dias Toffoli</w:t>
      </w:r>
    </w:p>
    <w:p>
      <w:pPr>
        <w:ind w:left="288"/>
      </w:pPr>
      <w:r>
        <w:rPr>
          <w:color w:val="1E1E1E"/>
          <w:sz w:val="18"/>
        </w:rPr>
        <w:t xml:space="preserve">= RE 733.433, rel. min. Dias Toffoli, j. 4-11-2015, P, DJE de 7-4-2016, Tema 607 Art. 104 da Constituição do Estado de Santa Catarina. LC estadual 155/1997. Convênio com a seccional da Ordem dos Advogados do Brasil (OAB/SC) para prestação de serviço de "defensoria pública dativa". Inexistência, no Estado de Santa Catarina, de órgão estatal destinado à orientação jurídica e à defesa dos necessitados. Situação institucional que configura severo ataque à dignidade do ser humano. Violação do inciso LXXIV do art. 5º e do art. 134, caput, da redação originária da Constituição de 1988. Ações diretas </w:t>
      </w:r>
    </w:p>
    <w:p>
      <w:pPr>
        <w:ind w:left="288"/>
      </w:pPr>
      <w:r>
        <w:rPr>
          <w:b/>
          <w:color w:val="003CA0"/>
          <w:sz w:val="16"/>
        </w:rPr>
        <w:t>[ADI 3.892 e ADI 4.270, rel. min. Joaquim Barbosa, j. 14-3-2012, P, DJE de 25-9-2012.]</w:t>
      </w:r>
    </w:p>
    <w:p>
      <w:pPr>
        <w:ind w:left="288"/>
      </w:pPr>
      <w:r>
        <w:rPr>
          <w:color w:val="8C8C8C"/>
          <w:sz w:val="12"/>
        </w:rPr>
        <w:t>cf-art-134</w:t>
      </w:r>
      <w:r>
        <w:rPr>
          <w:color w:val="003CA0"/>
          <w:sz w:val="12"/>
        </w:rPr>
        <w:t xml:space="preserve"> | ARE 767.615</w:t>
      </w:r>
      <w:r>
        <w:rPr>
          <w:color w:val="003CA0"/>
          <w:sz w:val="12"/>
        </w:rPr>
        <w:t xml:space="preserve"> | rel. Cármen Lúcia</w:t>
      </w:r>
    </w:p>
    <w:p>
      <w:pPr>
        <w:ind w:left="288"/>
      </w:pPr>
      <w:r>
        <w:rPr>
          <w:color w:val="1E1E1E"/>
          <w:sz w:val="18"/>
        </w:rPr>
        <w:t>Vide ARE 767.615 AgR, rel. min. Cármen Lúcia, j. 5-11-2013, 2ª T, DJE de 11-11-2013 Lei 8.742, de 30-11-2005, do Estado do Rio Grande do Norte, que "dispõe sobre a contratação temporária de advogados para o exercício da função de defensor público, no âmbito da Defensoria Pública do Estado". A Defensoria Pública se revela como instrumento de democratização do acesso às instâncias judiciárias, de modo a efetivar o valor constitucional da universalização da justiça (inciso XXXV do art. 5º da CF/1988). Por desempenhar, com exclusividade, um mister estatal genuíno e essencial à jurisdição, a Defens</w:t>
      </w:r>
    </w:p>
    <w:p>
      <w:pPr>
        <w:ind w:left="288"/>
      </w:pPr>
      <w:r>
        <w:rPr>
          <w:b/>
          <w:color w:val="003CA0"/>
          <w:sz w:val="16"/>
        </w:rPr>
        <w:t>[ADI 3.700, rel. min. Ayres Britto, j. 15-10-2008, P, DJE de 6-3-2009.]</w:t>
      </w:r>
    </w:p>
    <w:p>
      <w:pPr>
        <w:ind w:left="288"/>
      </w:pPr>
      <w:r>
        <w:rPr>
          <w:color w:val="8C8C8C"/>
          <w:sz w:val="12"/>
        </w:rPr>
        <w:t>cf-art-134</w:t>
      </w:r>
      <w:r>
        <w:rPr>
          <w:color w:val="003CA0"/>
          <w:sz w:val="12"/>
        </w:rPr>
        <w:t xml:space="preserve"> | ADI 2.903</w:t>
      </w:r>
      <w:r>
        <w:rPr>
          <w:color w:val="003CA0"/>
          <w:sz w:val="12"/>
        </w:rPr>
        <w:t xml:space="preserve"> | rel. Celso de Mello</w:t>
      </w:r>
    </w:p>
    <w:p>
      <w:pPr>
        <w:ind w:left="288"/>
      </w:pPr>
      <w:r>
        <w:rPr>
          <w:color w:val="1E1E1E"/>
          <w:sz w:val="18"/>
        </w:rPr>
        <w:t xml:space="preserve">A Defensoria Pública, enquanto instituição permanente, essencial à função jurisdicional do Estado, qualifica-se como instrumento de concretização dos direitos e das liberdades de que são titulares as pessoas carentes e necessitadas. É por essa razão que a Defensoria Pública não pode (e não deve) ser tratada de modo inconsequente pelo poder público, pois a proteção jurisdicional de milhões de pessoas – carentes e desassistidas –, que sofrem inaceitável processo de exclusão jurídica e social, depende da adequada organização e da efetiva institucionalização desse órgão do Estado. De nada valerão </w:t>
      </w:r>
    </w:p>
    <w:p>
      <w:pPr>
        <w:ind w:left="288"/>
      </w:pPr>
      <w:r>
        <w:rPr>
          <w:b/>
          <w:color w:val="003CA0"/>
          <w:sz w:val="16"/>
        </w:rPr>
        <w:t>[ADI 2.903, rel. min. Celso de Mello, j. 1º-12-2005, P, DJE de 19-9-2008.]</w:t>
      </w:r>
    </w:p>
    <w:p>
      <w:pPr>
        <w:ind w:left="288"/>
      </w:pPr>
      <w:r>
        <w:rPr>
          <w:color w:val="8C8C8C"/>
          <w:sz w:val="12"/>
        </w:rPr>
        <w:t>cf-art-134</w:t>
      </w:r>
      <w:r>
        <w:rPr>
          <w:color w:val="003CA0"/>
          <w:sz w:val="12"/>
        </w:rPr>
        <w:t xml:space="preserve"> | ADI 3.022</w:t>
      </w:r>
      <w:r>
        <w:rPr>
          <w:color w:val="003CA0"/>
          <w:sz w:val="12"/>
        </w:rPr>
        <w:t xml:space="preserve"> | rel. Joaquim Barbosa</w:t>
      </w:r>
    </w:p>
    <w:p>
      <w:pPr>
        <w:ind w:left="288"/>
      </w:pPr>
      <w:r>
        <w:rPr>
          <w:color w:val="1E1E1E"/>
          <w:sz w:val="18"/>
        </w:rPr>
        <w:t>Norma estadual que atribui à Defensoria Pública do Estado a defesa judicial de servidores públicos estaduais processados civil ou criminalmente em razão do regular exercício do cargo extrapola o modelo da CF (art. 134), o qual restringe as atribuições da Defensoria Pública à assistência jurídica a que se refere o art. 5º, LXXIV.</w:t>
      </w:r>
    </w:p>
    <w:p>
      <w:pPr>
        <w:ind w:left="288"/>
      </w:pPr>
      <w:r>
        <w:rPr>
          <w:b/>
          <w:color w:val="003CA0"/>
          <w:sz w:val="16"/>
        </w:rPr>
        <w:t>[ADI 3.022, rel. min. Joaquim Barbosa, j. 2-8-2004, P, DJ de 4-3-2005.]</w:t>
      </w:r>
    </w:p>
    <w:p>
      <w:pPr>
        <w:ind w:left="144"/>
      </w:pPr>
      <w:r>
        <w:rPr>
          <w:b/>
          <w:color w:val="B45A00"/>
          <w:sz w:val="16"/>
        </w:rPr>
        <w:t>REPERCUSSAO GERAL</w:t>
      </w:r>
    </w:p>
    <w:p>
      <w:pPr>
        <w:ind w:left="288"/>
      </w:pPr>
      <w:r>
        <w:rPr>
          <w:color w:val="8C8C8C"/>
          <w:sz w:val="12"/>
        </w:rPr>
        <w:t>cf-art-134</w:t>
      </w:r>
      <w:r>
        <w:rPr>
          <w:color w:val="003CA0"/>
          <w:sz w:val="12"/>
        </w:rPr>
        <w:t xml:space="preserve"> | RE 1.140.005</w:t>
      </w:r>
      <w:r>
        <w:rPr>
          <w:color w:val="003CA0"/>
          <w:sz w:val="12"/>
        </w:rPr>
        <w:t xml:space="preserve"> | rel. Roberto Barroso</w:t>
      </w:r>
    </w:p>
    <w:p>
      <w:pPr>
        <w:ind w:left="288"/>
      </w:pPr>
      <w:r>
        <w:rPr>
          <w:color w:val="1E1E1E"/>
          <w:sz w:val="18"/>
        </w:rPr>
        <w:t>“1. É devido o pagamento de honorários sucumbenciais à Defensoria Pública, quando representa parte vencedora em demanda ajuizada contra qualquer ente público, inclusive aquele que integra; 2. O valor recebido a título de honorários sucumbenciais deve ser destinado, exclusivamente, ao aparelhamento das Defensorias Públicas, vedado o seu rateio entre os membros da instituição”.</w:t>
        <w:br/>
        <w:t>[RE 1.140.005, rel. min. Roberto Barroso, j. 26-6-2023, P, DJE de 16-8-2023, Tema 1.002, com mérito julgado.] (...) a Defensoria Pública tem legitimidade para a propositura de ação civil pública que vise a promover a tute</w:t>
      </w:r>
    </w:p>
    <w:p>
      <w:pPr>
        <w:ind w:left="288"/>
      </w:pPr>
      <w:r>
        <w:rPr>
          <w:b/>
          <w:color w:val="003CA0"/>
          <w:sz w:val="16"/>
        </w:rPr>
        <w:t>[ARE 1.514.053 AgR, rel. min. Flávio Dino, red. do ac. min. Alexandre de Moraes, j. 06.08.2025, 1ª T, DJE de 01.10.2025.]</w:t>
      </w:r>
    </w:p>
    <w:p>
      <w:pPr>
        <w:ind w:left="144"/>
      </w:pPr>
      <w:r>
        <w:rPr>
          <w:b/>
          <w:color w:val="B45A00"/>
          <w:sz w:val="16"/>
        </w:rPr>
        <w:t>JULGADOS CORRELATOS</w:t>
      </w:r>
    </w:p>
    <w:p>
      <w:pPr>
        <w:ind w:left="288"/>
      </w:pPr>
      <w:r>
        <w:rPr>
          <w:color w:val="8C8C8C"/>
          <w:sz w:val="12"/>
        </w:rPr>
        <w:t>cf-art-134</w:t>
      </w:r>
      <w:r>
        <w:rPr>
          <w:color w:val="003CA0"/>
          <w:sz w:val="12"/>
        </w:rPr>
        <w:t xml:space="preserve"> | HC 230.677</w:t>
      </w:r>
      <w:r>
        <w:rPr>
          <w:color w:val="003CA0"/>
          <w:sz w:val="12"/>
        </w:rPr>
        <w:t xml:space="preserve"> | rel. André Mendonça</w:t>
      </w:r>
    </w:p>
    <w:p>
      <w:pPr>
        <w:ind w:left="288"/>
      </w:pPr>
      <w:r>
        <w:rPr>
          <w:color w:val="1E1E1E"/>
          <w:sz w:val="18"/>
        </w:rPr>
        <w:t>A jurisprudência desta Suprema Corte é no sentido de que a intimação da Defensoria Pública da União se aperfeiçoa com a remessa dos autos à instituição. A intimação pessoal da Defensoria Pública da União, por meio eletrônico, é a regra nos Tribunais Superiores e, além de não perder o seu caráter pessoal, propicia uma maior agilidade nas comunicações dirigidas à instituição e, por conseguinte, celeridade processual. Nos termos do art. 3º do Código de Processo Penal, admite-se a aplicação analógica de regras contidas no Código de Processo Civil no âmbito processual penal.</w:t>
        <w:br/>
        <w:t>[HC 230.677 AgR, rel. m</w:t>
      </w:r>
    </w:p>
    <w:p>
      <w:pPr>
        <w:ind w:left="288"/>
      </w:pPr>
      <w:r>
        <w:rPr>
          <w:b/>
          <w:color w:val="003CA0"/>
          <w:sz w:val="16"/>
        </w:rPr>
        <w:t>[ACO 3.061 AgR, rel. min. Roberto Barroso, j. 11-9-2018, 1ª T, DJE de 10-12-2018.]</w:t>
      </w:r>
    </w:p>
    <w:p>
      <w:pPr>
        <w:ind w:left="288"/>
      </w:pPr>
      <w:r>
        <w:rPr>
          <w:color w:val="8C8C8C"/>
          <w:sz w:val="12"/>
        </w:rPr>
        <w:t>cf-art-134</w:t>
      </w:r>
      <w:r>
        <w:rPr>
          <w:color w:val="003CA0"/>
          <w:sz w:val="12"/>
        </w:rPr>
        <w:t xml:space="preserve"> | HC 121.682</w:t>
      </w:r>
      <w:r>
        <w:rPr>
          <w:color w:val="003CA0"/>
          <w:sz w:val="12"/>
        </w:rPr>
        <w:t xml:space="preserve"> | rel. Dias Toffoli</w:t>
      </w:r>
    </w:p>
    <w:p>
      <w:pPr>
        <w:ind w:left="288"/>
      </w:pPr>
      <w:r>
        <w:rPr>
          <w:color w:val="1E1E1E"/>
          <w:sz w:val="18"/>
        </w:rPr>
        <w:t>É nula, por violação dos princípios do contraditório e da ampla defesa, a audiência de instrução realizada sem a presença da Defensoria Pública, não intimada pessoalmente para o ato, máxime quando a prova acusatória nela colhida tiver embasado a condenação do paciente. A atuação da Defensoria Pública, instituição essencial à função jurisdicional do Estado (art. 134, CF), não pode ser considerada fungível com a desempenhada por qualquer defensor ad hoc, sendo mister zelar pelo respeito a suas prerrogativas institucionais.</w:t>
      </w:r>
    </w:p>
    <w:p>
      <w:pPr>
        <w:ind w:left="288"/>
      </w:pPr>
      <w:r>
        <w:rPr>
          <w:b/>
          <w:color w:val="003CA0"/>
          <w:sz w:val="16"/>
        </w:rPr>
        <w:t>[HC 121.682, rel. min. Dias Toffoli, j. 30-9-2014, 1ª T, DJE de 17-11-2014.]</w:t>
      </w:r>
    </w:p>
    <w:p>
      <w:pPr>
        <w:ind w:left="288"/>
      </w:pPr>
      <w:r>
        <w:rPr>
          <w:color w:val="8C8C8C"/>
          <w:sz w:val="12"/>
        </w:rPr>
        <w:t>cf-art-134</w:t>
      </w:r>
      <w:r>
        <w:rPr>
          <w:color w:val="003CA0"/>
          <w:sz w:val="12"/>
        </w:rPr>
        <w:t xml:space="preserve"> | HC 125.270</w:t>
      </w:r>
      <w:r>
        <w:rPr>
          <w:color w:val="003CA0"/>
          <w:sz w:val="12"/>
        </w:rPr>
        <w:t xml:space="preserve"> | rel. Teori Zavascki</w:t>
      </w:r>
    </w:p>
    <w:p>
      <w:pPr>
        <w:ind w:left="288"/>
      </w:pPr>
      <w:r>
        <w:rPr>
          <w:color w:val="1E1E1E"/>
          <w:sz w:val="18"/>
        </w:rPr>
        <w:t>= HC 125.270, rel. min. Teori Zavascki, j. 23-6-2015, 2ª T, DJE de 3-8-2015 Defensoria Pública. Implantação. Omissão estatal que compromete e frustra direitos fundamentais de pessoas necessitadas. Situação constitucionalmente intolerável. O reconhecimento, em favor de populações carentes e desassistidas, postas à margem do sistema jurídico, do "direito a ter direitos" como pressuposto de acesso aos demais direitos, liberdades e garantias. Intervenção jurisdicional concretizadora de programa constitucional destinado a viabilizar o acesso dos necessitados à orientação jurídica integral e à assis</w:t>
      </w:r>
    </w:p>
    <w:p>
      <w:pPr>
        <w:ind w:left="288"/>
      </w:pPr>
      <w:r>
        <w:rPr>
          <w:b/>
          <w:color w:val="003CA0"/>
          <w:sz w:val="16"/>
        </w:rPr>
        <w:t>[AI 598.212 ED, rel. min. Celso de Mello, j. 25-3-2014, 2ª T, DJE de 24-4-2014.]</w:t>
      </w:r>
    </w:p>
    <w:p>
      <w:pPr>
        <w:ind w:left="288"/>
      </w:pPr>
      <w:r>
        <w:rPr>
          <w:color w:val="8C8C8C"/>
          <w:sz w:val="12"/>
        </w:rPr>
        <w:t>cf-art-134</w:t>
      </w:r>
      <w:r>
        <w:rPr>
          <w:color w:val="003CA0"/>
          <w:sz w:val="12"/>
        </w:rPr>
        <w:t xml:space="preserve"> | AI 616.896</w:t>
      </w:r>
      <w:r>
        <w:rPr>
          <w:color w:val="003CA0"/>
          <w:sz w:val="12"/>
        </w:rPr>
        <w:t xml:space="preserve"> | rel. Gilmar Mendes</w:t>
      </w:r>
    </w:p>
    <w:p>
      <w:pPr>
        <w:ind w:left="288"/>
      </w:pPr>
      <w:r>
        <w:rPr>
          <w:color w:val="1E1E1E"/>
          <w:sz w:val="18"/>
        </w:rPr>
        <w:t>A representação processual pela Defensoria Pública, in casu, Defensoria Pública da União, faz-se por defensor público integrante de seu quadro funcional, independentemente de mandato, ressalvados os casos nos quais a lei exija poderes especiais, consoante dispõe o art. 128, XI, da LC 80/1994.</w:t>
      </w:r>
    </w:p>
    <w:p>
      <w:pPr>
        <w:ind w:left="288"/>
      </w:pPr>
      <w:r>
        <w:rPr>
          <w:b/>
          <w:color w:val="003CA0"/>
          <w:sz w:val="16"/>
        </w:rPr>
        <w:t>[AI 616.896 AgR, voto do rel. min. Gilmar Mendes, j. 14-6-2011, 2ª T, DJE de 29-6-2011.]</w:t>
      </w:r>
    </w:p>
    <w:p>
      <w:pPr>
        <w:ind w:left="288"/>
      </w:pPr>
      <w:r>
        <w:rPr>
          <w:color w:val="8C8C8C"/>
          <w:sz w:val="12"/>
        </w:rPr>
        <w:t>cf-art-134</w:t>
      </w:r>
      <w:r>
        <w:rPr>
          <w:color w:val="003CA0"/>
          <w:sz w:val="12"/>
        </w:rPr>
        <w:t xml:space="preserve"> | HC 99.540</w:t>
      </w:r>
      <w:r>
        <w:rPr>
          <w:color w:val="003CA0"/>
          <w:sz w:val="12"/>
        </w:rPr>
        <w:t xml:space="preserve"> | rel. Ellen Gracie</w:t>
      </w:r>
    </w:p>
    <w:p>
      <w:pPr>
        <w:ind w:left="288"/>
      </w:pPr>
      <w:r>
        <w:rPr>
          <w:color w:val="1E1E1E"/>
          <w:sz w:val="18"/>
        </w:rPr>
        <w:t>Intimação pessoal do defensor público. Ofício encaminhado ao defensor público-geral e recebido por servidor do órgão. Intimação pessoal configurada. (...) Configura-se razoável, para fins de intimação pessoal, proceder-se à inequívoca ciência da Defensoria Pública, por intermédio de ofício ou mandado, devidamente recebido, competindo à instituição organizar a atuação de seus membros, sob pena de burocratizar o processo, em total desrespeito à efetividade e celeridade da Justiça. Aplica-se, por analogia, o entendimento desta Corte segundo o qual a entrega de processo em setor administrativo, fo</w:t>
      </w:r>
    </w:p>
    <w:p>
      <w:pPr>
        <w:ind w:left="288"/>
      </w:pPr>
      <w:r>
        <w:rPr>
          <w:b/>
          <w:color w:val="003CA0"/>
          <w:sz w:val="16"/>
        </w:rPr>
        <w:t>[HC 99.540, rel. min. Ellen Gracie, j. 4-5-2010, 2ª T, DJE de 21-5-2010.]</w:t>
      </w:r>
    </w:p>
    <w:p>
      <w:pPr>
        <w:ind w:left="288"/>
      </w:pPr>
      <w:r>
        <w:rPr>
          <w:color w:val="8C8C8C"/>
          <w:sz w:val="12"/>
        </w:rPr>
        <w:t>cf-art-134</w:t>
      </w:r>
      <w:r>
        <w:rPr>
          <w:color w:val="003CA0"/>
          <w:sz w:val="12"/>
        </w:rPr>
        <w:t xml:space="preserve"> | AP 458</w:t>
      </w:r>
      <w:r>
        <w:rPr>
          <w:color w:val="003CA0"/>
          <w:sz w:val="12"/>
        </w:rPr>
        <w:t xml:space="preserve"> | rel. Joaquim Barbosa</w:t>
      </w:r>
    </w:p>
    <w:p>
      <w:pPr>
        <w:ind w:left="288"/>
      </w:pPr>
      <w:r>
        <w:rPr>
          <w:color w:val="1E1E1E"/>
          <w:sz w:val="18"/>
        </w:rPr>
        <w:t>Vide AP 458 petição avulsa-AgR, rel. min. Joaquim Barbosa, j. 12-3-2009, P, DJE de 29-10-2009 Vide AI 707.988 AgR, rel. min. Cármen Lúcia, j. 12-8-2008, 1ª T, DJE de 19-9-2008 Vide HC 83.255, rel. min. Marco Aurélio, j. 5-11-2003, P, DJ de 12-3-2004 Não é nulo o julgamento de apelação sem a intimação pessoal de defensor dativo, nos casos anteriores à entrada em vigor da Lei 9.271/1996.</w:t>
      </w:r>
    </w:p>
    <w:p>
      <w:pPr>
        <w:ind w:left="288"/>
      </w:pPr>
      <w:r>
        <w:rPr>
          <w:b/>
          <w:color w:val="003CA0"/>
          <w:sz w:val="16"/>
        </w:rPr>
        <w:t>[RHC 88.512, rel. min. Cezar Peluso, j. 9-3-2010, 2ª T, DJE de 23-4-2010.]</w:t>
      </w:r>
    </w:p>
    <w:p>
      <w:pPr>
        <w:ind w:left="288"/>
      </w:pPr>
      <w:r>
        <w:rPr>
          <w:color w:val="8C8C8C"/>
          <w:sz w:val="12"/>
        </w:rPr>
        <w:t>cf-art-134</w:t>
      </w:r>
      <w:r>
        <w:rPr>
          <w:color w:val="003CA0"/>
          <w:sz w:val="12"/>
        </w:rPr>
        <w:t xml:space="preserve"> | HC 105.500</w:t>
      </w:r>
      <w:r>
        <w:rPr>
          <w:color w:val="003CA0"/>
          <w:sz w:val="12"/>
        </w:rPr>
        <w:t xml:space="preserve"> | rel. Dias Toffoli</w:t>
      </w:r>
    </w:p>
    <w:p>
      <w:pPr>
        <w:ind w:left="288"/>
      </w:pPr>
      <w:r>
        <w:rPr>
          <w:color w:val="1E1E1E"/>
          <w:sz w:val="18"/>
        </w:rPr>
        <w:t>= HC 105.500, rel. min. Dias Toffoli, j. 22-5-2012, 1ª T, DJE de 14-6-2012 Ministério Público. Legitimidade ativa. Medida judicial para internação compulsória de pessoa vítima de alcoolismo. Ausência. O Ministério Público não tem legitimidade ativa ad causam para requerer a internação compulsória, para tratamento de saúde, de pessoa vítima de alcoolismo. Existindo Defensoria Pública organizada, tem ela competência para atuar nesses casos.</w:t>
      </w:r>
    </w:p>
    <w:p>
      <w:pPr>
        <w:ind w:left="288"/>
      </w:pPr>
      <w:r>
        <w:rPr>
          <w:b/>
          <w:color w:val="003CA0"/>
          <w:sz w:val="16"/>
        </w:rPr>
        <w:t>[RE 496.718, red. do ac. min. Menezes Direito, j. 12-8-2008, 1ª T, DJE de 31-10-2008.]</w:t>
      </w:r>
    </w:p>
    <w:p>
      <w:pPr>
        <w:ind w:left="288"/>
      </w:pPr>
      <w:r>
        <w:rPr>
          <w:color w:val="8C8C8C"/>
          <w:sz w:val="12"/>
        </w:rPr>
        <w:t>cf-art-134</w:t>
      </w:r>
      <w:r>
        <w:rPr>
          <w:color w:val="003CA0"/>
          <w:sz w:val="12"/>
        </w:rPr>
        <w:t xml:space="preserve"> | HC 81.019</w:t>
      </w:r>
      <w:r>
        <w:rPr>
          <w:color w:val="003CA0"/>
          <w:sz w:val="12"/>
        </w:rPr>
        <w:t xml:space="preserve"> | rel. Celso de Mello</w:t>
      </w:r>
    </w:p>
    <w:p>
      <w:pPr>
        <w:ind w:left="288"/>
      </w:pPr>
      <w:r>
        <w:rPr>
          <w:color w:val="1E1E1E"/>
          <w:sz w:val="18"/>
        </w:rPr>
        <w:t>O legislador, tendo presentes razões de ordem material e estrutural que oneram o desempenho, pelo defensor público, dos relevantes encargos que se inserem na esfera de suas atribuições institucionais, estabeleceu mecanismos compensatórios destinados a viabilizar, em plenitude, o exercício das funções cometidas a esse agente estatal, outorgando-lhe, em consequência, (a) a prerrogativa de receber, pessoalmente, a intimação de todos os atos do processo e (b) o benefício de dispor da contagem em dobro dos prazos processuais (Lei 1.060/1950, art. 5º, § 5º, na redação dada pela Lei 7.871/1989, c/c a</w:t>
      </w:r>
    </w:p>
    <w:p>
      <w:pPr>
        <w:ind w:left="288"/>
      </w:pPr>
      <w:r>
        <w:rPr>
          <w:b/>
          <w:color w:val="003CA0"/>
          <w:sz w:val="16"/>
        </w:rPr>
        <w:t>[HC 81.019, rel. min. Celso de Mello, j. 23-10-2001, 2ª T, DJE de 23-10-2009.]</w:t>
      </w:r>
    </w:p>
    <w:p>
      <w:pPr>
        <w:ind w:left="288"/>
      </w:pPr>
      <w:r>
        <w:rPr>
          <w:color w:val="8C8C8C"/>
          <w:sz w:val="12"/>
        </w:rPr>
        <w:t>cf-art-134</w:t>
      </w:r>
      <w:r>
        <w:rPr>
          <w:color w:val="003CA0"/>
          <w:sz w:val="12"/>
        </w:rPr>
        <w:t xml:space="preserve"> | HC 72.204</w:t>
      </w:r>
      <w:r>
        <w:rPr>
          <w:color w:val="003CA0"/>
          <w:sz w:val="12"/>
        </w:rPr>
        <w:t xml:space="preserve"> | rel. Celso de Mello</w:t>
      </w:r>
    </w:p>
    <w:p>
      <w:pPr>
        <w:ind w:left="288"/>
      </w:pPr>
      <w:r>
        <w:rPr>
          <w:color w:val="1E1E1E"/>
          <w:sz w:val="18"/>
        </w:rPr>
        <w:t>Vide HC 72.204, rel. min. Celso de Mello, j. 15-8-1995, 1ª T, DJ de 24-8-2007 Vide HC 89.176, rel. min. Gilmar Mendes, j. 22-8-2006, 2ª T, DJ de 22-9-2006 § 1º Lei complementar organizará a Defensoria Pública da União e do Distrito Federal e dos Territórios e prescreverá normas gerais para sua organização nos Estados, em cargos de carreira, providos, na classe inicial, mediante concurso público de provas e títulos, assegurada a seus integrantes a garantia da inamovibilidade e vedado o exercício da advocacia fora das atribuições institucionais. (Renumerado pela EC 45/2004) O § 1º do art. 134 da</w:t>
      </w:r>
    </w:p>
    <w:p>
      <w:pPr>
        <w:ind w:left="288"/>
      </w:pPr>
      <w:r>
        <w:rPr>
          <w:b/>
          <w:color w:val="003CA0"/>
          <w:sz w:val="16"/>
        </w:rPr>
        <w:t>[ADI 5.662, rel. min. Nunes Marques, j. 9-12-2025, P, DJE de 26-1-2026.]</w:t>
      </w:r>
    </w:p>
    <w:p>
      <w:pPr>
        <w:ind w:left="144"/>
      </w:pPr>
      <w:r>
        <w:rPr>
          <w:b/>
          <w:color w:val="B45A00"/>
          <w:sz w:val="16"/>
        </w:rPr>
        <w:t>CONTROLE CONCENTRADO</w:t>
      </w:r>
    </w:p>
    <w:p>
      <w:pPr>
        <w:ind w:left="288"/>
      </w:pPr>
      <w:r>
        <w:rPr>
          <w:color w:val="8C8C8C"/>
          <w:sz w:val="12"/>
        </w:rPr>
        <w:t>cf-art-134</w:t>
      </w:r>
      <w:r>
        <w:rPr>
          <w:color w:val="003CA0"/>
          <w:sz w:val="12"/>
        </w:rPr>
        <w:t xml:space="preserve"> | ADI 7.305</w:t>
      </w:r>
      <w:r>
        <w:rPr>
          <w:color w:val="003CA0"/>
          <w:sz w:val="12"/>
        </w:rPr>
        <w:t xml:space="preserve"> | rel. Gilmar Mendes</w:t>
      </w:r>
    </w:p>
    <w:p>
      <w:pPr>
        <w:ind w:left="288"/>
      </w:pPr>
      <w:r>
        <w:rPr>
          <w:color w:val="1E1E1E"/>
          <w:sz w:val="18"/>
        </w:rPr>
        <w:t>A LC n° 80/94 não permite a utilização de tempo anterior ao ingresso na carreira para fins de desempate entre aqueles que estejam concorrendo à promoção por antiguidade. Critério inidôneo.</w:t>
        <w:br/>
        <w:t>[ADI 7.305, rel. min. Gilmar Mendes, j. 15-8-2023, P, DJE de 23-8-2023.] Ação direta de inconstitucionalidade. Defensor público estadual: garantias e prerrogativas. (...) Não contraria a Constituição da República o direito de os defensores públicos se comunicarem pessoal e reservadamente com seus assistidos, mesmo os que estiverem presos, detidos ou incomunicáveis, e o de terem livre acesso e trânsito aos es</w:t>
      </w:r>
    </w:p>
    <w:p>
      <w:pPr>
        <w:ind w:left="288"/>
      </w:pPr>
      <w:r>
        <w:rPr>
          <w:b/>
          <w:color w:val="003CA0"/>
          <w:sz w:val="16"/>
        </w:rPr>
        <w:t>[ADI 3.819, rel. min. Eros Grau, j. 24-10-2007, P, DJE de 28-3-2008.]</w:t>
      </w:r>
    </w:p>
    <w:p>
      <w:pPr>
        <w:ind w:left="288"/>
      </w:pPr>
      <w:r>
        <w:rPr>
          <w:color w:val="8C8C8C"/>
          <w:sz w:val="12"/>
        </w:rPr>
        <w:t>cf-art-134</w:t>
      </w:r>
      <w:r>
        <w:rPr>
          <w:color w:val="003CA0"/>
          <w:sz w:val="12"/>
        </w:rPr>
        <w:t xml:space="preserve"> | RCL 16.950</w:t>
      </w:r>
      <w:r>
        <w:rPr>
          <w:color w:val="003CA0"/>
          <w:sz w:val="12"/>
        </w:rPr>
        <w:t xml:space="preserve"> | rel. Cármen Lúcia</w:t>
      </w:r>
    </w:p>
    <w:p>
      <w:pPr>
        <w:ind w:left="288"/>
      </w:pPr>
      <w:r>
        <w:rPr>
          <w:color w:val="1E1E1E"/>
          <w:sz w:val="18"/>
        </w:rPr>
        <w:t>= Rcl 16.950, rel. min. Cármen Lúcia, j. 1º-12-2015, 2ª T, DJE de 18-12-2015 O § 1º do art. 134 da Constituição do Brasil repudia o desempenho, pelos membros da Defensoria Pública, de atividades próprias da advocacia privada. Improcede o argumento de que o exercício da advocacia pelos defensores públicos somente seria vedado após a fixação dos subsídios aplicáveis às carreiras típicas de Estado. Os §§ 1º e 2º do art. 134 da Constituição do Brasil veiculam regras atinentes à estruturação das defensorias públicas, que o legislador ordinário não pode ignorar. Pedido julgado procedente para declar</w:t>
      </w:r>
    </w:p>
    <w:p>
      <w:pPr>
        <w:ind w:left="288"/>
      </w:pPr>
      <w:r>
        <w:rPr>
          <w:b/>
          <w:color w:val="003CA0"/>
          <w:sz w:val="16"/>
        </w:rPr>
        <w:t>[ADI 3.043, rel. min. Eros Grau, j. 26-4-2006, P, DJ de 27-10-2006.]</w:t>
      </w:r>
    </w:p>
    <w:p>
      <w:pPr>
        <w:ind w:left="288"/>
      </w:pPr>
      <w:r>
        <w:rPr>
          <w:color w:val="8C8C8C"/>
          <w:sz w:val="12"/>
        </w:rPr>
        <w:t>cf-art-134</w:t>
      </w:r>
      <w:r>
        <w:rPr>
          <w:color w:val="003CA0"/>
          <w:sz w:val="12"/>
        </w:rPr>
        <w:t xml:space="preserve"> | ADI 2.903</w:t>
      </w:r>
      <w:r>
        <w:rPr>
          <w:color w:val="003CA0"/>
          <w:sz w:val="12"/>
        </w:rPr>
        <w:t xml:space="preserve"> | rel. Celso de Mello</w:t>
      </w:r>
    </w:p>
    <w:p>
      <w:pPr>
        <w:ind w:left="288"/>
      </w:pPr>
      <w:r>
        <w:rPr>
          <w:color w:val="1E1E1E"/>
          <w:sz w:val="18"/>
        </w:rPr>
        <w:t>É inconstitucional lei complementar estadual, que, ao fixar critérios destinados a definir a escolha do defensor público-geral do Estado e demais agentes integrantes da administração superior da defensoria pública local, não observa as normas de caráter geral, institutivas da legislação fundamental ou de princípios, prévia e validamente estipuladas em lei complementar nacional que a União Federal fez editar com apoio no legítimo exercício de sua competência concorrente. (...). A mera equiparação de altos servidores públicos estaduais, como o defensor público-geral do Estado, a secretário de Es</w:t>
      </w:r>
    </w:p>
    <w:p>
      <w:pPr>
        <w:ind w:left="288"/>
      </w:pPr>
      <w:r>
        <w:rPr>
          <w:b/>
          <w:color w:val="003CA0"/>
          <w:sz w:val="16"/>
        </w:rPr>
        <w:t>[ADI 2.903, rel. min. Celso de Mello, j. 1º-12-2005, P, DJE de 19-9-2008.]</w:t>
      </w:r>
    </w:p>
    <w:p>
      <w:pPr>
        <w:ind w:left="144"/>
      </w:pPr>
      <w:r>
        <w:rPr>
          <w:b/>
          <w:color w:val="B45A00"/>
          <w:sz w:val="16"/>
        </w:rPr>
        <w:t>REPERCUSSAO GERAL</w:t>
      </w:r>
    </w:p>
    <w:p>
      <w:pPr>
        <w:ind w:left="288"/>
      </w:pPr>
      <w:r>
        <w:rPr>
          <w:color w:val="8C8C8C"/>
          <w:sz w:val="12"/>
        </w:rPr>
        <w:t>cf-art-134</w:t>
      </w:r>
      <w:r>
        <w:rPr>
          <w:color w:val="003CA0"/>
          <w:sz w:val="12"/>
        </w:rPr>
        <w:t xml:space="preserve"> | RE 1.240.999</w:t>
      </w:r>
      <w:r>
        <w:rPr>
          <w:color w:val="003CA0"/>
          <w:sz w:val="12"/>
        </w:rPr>
        <w:t xml:space="preserve"> | rel. Alexandre de Moraes</w:t>
      </w:r>
    </w:p>
    <w:p>
      <w:pPr>
        <w:ind w:left="288"/>
      </w:pPr>
      <w:r>
        <w:rPr>
          <w:color w:val="1E1E1E"/>
          <w:sz w:val="18"/>
        </w:rPr>
        <w:t>É inconstitucional a exigência de inscrição do Defensor Público nos quadros da Ordem dos Advogados do Brasil.</w:t>
      </w:r>
    </w:p>
    <w:p>
      <w:pPr>
        <w:ind w:left="288"/>
      </w:pPr>
      <w:r>
        <w:rPr>
          <w:b/>
          <w:color w:val="003CA0"/>
          <w:sz w:val="16"/>
        </w:rPr>
        <w:t>[RE 1.240.999, rel. min. Alexandre de Moraes, j. 4-11-2021, P, DJE de 17-12-2022, Tema 1.074, com mérito julgado.]</w:t>
      </w:r>
    </w:p>
    <w:p>
      <w:pPr>
        <w:ind w:left="144"/>
      </w:pPr>
      <w:r>
        <w:rPr>
          <w:b/>
          <w:color w:val="B45A00"/>
          <w:sz w:val="16"/>
        </w:rPr>
        <w:t>JULGADOS CORRELATOS</w:t>
      </w:r>
    </w:p>
    <w:p>
      <w:pPr>
        <w:ind w:left="288"/>
      </w:pPr>
      <w:r>
        <w:rPr>
          <w:color w:val="8C8C8C"/>
          <w:sz w:val="12"/>
        </w:rPr>
        <w:t>cf-art-134</w:t>
      </w:r>
      <w:r>
        <w:rPr>
          <w:color w:val="003CA0"/>
          <w:sz w:val="12"/>
        </w:rPr>
        <w:t xml:space="preserve"> | HC 92.399</w:t>
      </w:r>
      <w:r>
        <w:rPr>
          <w:color w:val="003CA0"/>
          <w:sz w:val="12"/>
        </w:rPr>
        <w:t xml:space="preserve"> | rel. Ayres Britto</w:t>
      </w:r>
    </w:p>
    <w:p>
      <w:pPr>
        <w:ind w:left="288"/>
      </w:pPr>
      <w:r>
        <w:rPr>
          <w:color w:val="1E1E1E"/>
          <w:sz w:val="18"/>
        </w:rPr>
        <w:t>A Defensoria Pública do Estado do Rio Grande do Sul, responsável pela defesa do paciente desde a primeira instância, foi intimada da inclusão do recurso especial na pauta de julgamento do STJ. Intimação que atendeu a pedido expresso do órgão defensivo estadual. Donde inexistir ofensa à prerrogativa de intimação pessoal do defensor público. Até porque o art. 106 da LC 80/1994 afasta eventual tentativa de conferir à Defensoria Pública da União a exclusividade de atuação no STJ.</w:t>
      </w:r>
    </w:p>
    <w:p>
      <w:pPr>
        <w:ind w:left="288"/>
      </w:pPr>
      <w:r>
        <w:rPr>
          <w:b/>
          <w:color w:val="003CA0"/>
          <w:sz w:val="16"/>
        </w:rPr>
        <w:t>[HC 92.399, rel. min. Ayres Britto, j. 29-6-2010, 1ª T, DJE de 27-8-2010.]</w:t>
      </w:r>
    </w:p>
    <w:p>
      <w:pPr>
        <w:ind w:left="288"/>
      </w:pPr>
      <w:r>
        <w:rPr>
          <w:color w:val="8C8C8C"/>
          <w:sz w:val="12"/>
        </w:rPr>
        <w:t>cf-art-134</w:t>
      </w:r>
      <w:r>
        <w:rPr>
          <w:color w:val="003CA0"/>
          <w:sz w:val="12"/>
        </w:rPr>
        <w:t xml:space="preserve"> | RE 341.717</w:t>
      </w:r>
      <w:r>
        <w:rPr>
          <w:color w:val="003CA0"/>
          <w:sz w:val="12"/>
        </w:rPr>
        <w:t xml:space="preserve"> | rel. Celso de Mello</w:t>
      </w:r>
    </w:p>
    <w:p>
      <w:pPr>
        <w:ind w:left="288"/>
      </w:pPr>
      <w:r>
        <w:rPr>
          <w:color w:val="1E1E1E"/>
          <w:sz w:val="18"/>
        </w:rPr>
        <w:t>Ministério Público. Ação civil ex delicto. CPP, art. 68. Norma ainda constitucional. Estágio intermediário, de caráter transitório, entre a situação de constitucionalidade e o estado de inconstitucionalidade. A questão das situações constitucionais imperfeitas. Subsistência, no Estado de São Paulo, do art. 68 do CPP, até que seja instituída e regularmente organizada a Defensoria Pública local.</w:t>
      </w:r>
    </w:p>
    <w:p>
      <w:pPr>
        <w:ind w:left="288"/>
      </w:pPr>
      <w:r>
        <w:rPr>
          <w:b/>
          <w:color w:val="003CA0"/>
          <w:sz w:val="16"/>
        </w:rPr>
        <w:t>[RE 341.717 AgR, rel. min. Celso de Mello, j. 5-8-2003, 2ª T, DJE de 5-3-2010.]</w:t>
      </w:r>
    </w:p>
    <w:p>
      <w:pPr>
        <w:ind w:left="288"/>
      </w:pPr>
      <w:r>
        <w:rPr>
          <w:color w:val="8C8C8C"/>
          <w:sz w:val="12"/>
        </w:rPr>
        <w:t>cf-art-134-par-2</w:t>
      </w:r>
      <w:r>
        <w:rPr>
          <w:color w:val="003CA0"/>
          <w:sz w:val="12"/>
        </w:rPr>
        <w:t xml:space="preserve"> | ADI 5.662</w:t>
      </w:r>
      <w:r>
        <w:rPr>
          <w:color w:val="003CA0"/>
          <w:sz w:val="12"/>
        </w:rPr>
        <w:t xml:space="preserve"> | rel. Nunes Marques</w:t>
      </w:r>
    </w:p>
    <w:p>
      <w:pPr>
        <w:ind w:left="288"/>
      </w:pPr>
      <w:r>
        <w:rPr>
          <w:color w:val="1E1E1E"/>
          <w:sz w:val="18"/>
        </w:rPr>
        <w:t>O condicionamento à autorização prévia do Governador, das atividades residuais do Centro de Estudos Jurídicos da Defensoria Pública do Estado do Acre, agora intitulado Escola Superior da Defensoria Pública do Estado do Acre (ESDPAC), é incompatível com a autonomia administrativa e funcional das Defensorias Públicas preconizadas no art. 134, § 2º, da CF/1988, incluído pela EC n. 45/2004.</w:t>
      </w:r>
    </w:p>
    <w:p>
      <w:pPr>
        <w:ind w:left="288"/>
      </w:pPr>
      <w:r>
        <w:rPr>
          <w:b/>
          <w:color w:val="003CA0"/>
          <w:sz w:val="16"/>
        </w:rPr>
        <w:t>[ADI 5.662, rel. min. Nunes Marques, j. 9-12-2025, P, DJE de 26-1-2026.]</w:t>
      </w:r>
    </w:p>
    <w:p>
      <w:pPr>
        <w:ind w:left="288"/>
      </w:pPr>
      <w:r>
        <w:rPr>
          <w:color w:val="8C8C8C"/>
          <w:sz w:val="12"/>
        </w:rPr>
        <w:t>cf-art-134-par-2</w:t>
      </w:r>
      <w:r>
        <w:rPr>
          <w:color w:val="003CA0"/>
          <w:sz w:val="12"/>
        </w:rPr>
        <w:t xml:space="preserve"> | ADI 5.644</w:t>
      </w:r>
      <w:r>
        <w:rPr>
          <w:color w:val="003CA0"/>
          <w:sz w:val="12"/>
        </w:rPr>
        <w:t xml:space="preserve"> | rel. Edson Fachin</w:t>
      </w:r>
    </w:p>
    <w:p>
      <w:pPr>
        <w:ind w:left="288"/>
      </w:pPr>
      <w:r>
        <w:rPr>
          <w:color w:val="1E1E1E"/>
          <w:sz w:val="18"/>
        </w:rPr>
        <w:t>A lei 1297/2017 do Estado de São Paulo, ao destinar 40% das receitas que compõem o FAJ à prestação de assistência jurídica suplementar, na prática, está a vincular parcela significativa do orçamento da Defensoria estadual à celebração de convênios com advogados dativos. Ao fixar parcela do orçamento para uma finalidade específica, a lei em questão implica em clara interferência na gestão da instituição, cuja autonomia está garantida por previsão constitucional. A lei 1297/2017, de iniciativa do Poder Executivo, restringiu de forma drástica a autonomia orçamentária da instituição, e em consequê</w:t>
      </w:r>
    </w:p>
    <w:p>
      <w:pPr>
        <w:ind w:left="288"/>
      </w:pPr>
      <w:r>
        <w:rPr>
          <w:b/>
          <w:color w:val="003CA0"/>
          <w:sz w:val="16"/>
        </w:rPr>
        <w:t>[ADI 5.644, rel. min. Edson Fachin, j. 19.03.2025, P, DJE de 06.06.2025.]</w:t>
      </w:r>
    </w:p>
    <w:p>
      <w:pPr>
        <w:ind w:left="144"/>
      </w:pPr>
      <w:r>
        <w:rPr>
          <w:b/>
          <w:color w:val="B45A00"/>
          <w:sz w:val="16"/>
        </w:rPr>
        <w:t>CONTROLE CONCENTRADO</w:t>
      </w:r>
    </w:p>
    <w:p>
      <w:pPr>
        <w:ind w:left="288"/>
      </w:pPr>
      <w:r>
        <w:rPr>
          <w:color w:val="8C8C8C"/>
          <w:sz w:val="12"/>
        </w:rPr>
        <w:t>cf-art-134-par-2</w:t>
      </w:r>
      <w:r>
        <w:rPr>
          <w:color w:val="003CA0"/>
          <w:sz w:val="12"/>
        </w:rPr>
        <w:t xml:space="preserve"> | ADI 5.217</w:t>
      </w:r>
      <w:r>
        <w:rPr>
          <w:color w:val="003CA0"/>
          <w:sz w:val="12"/>
        </w:rPr>
        <w:t xml:space="preserve"> | rel. Nunes Marques</w:t>
      </w:r>
    </w:p>
    <w:p>
      <w:pPr>
        <w:ind w:left="288"/>
      </w:pPr>
      <w:r>
        <w:rPr>
          <w:color w:val="1E1E1E"/>
          <w:sz w:val="18"/>
        </w:rPr>
        <w:t>É reservada à Defensoria Pública a iniciativa para instaurar processo legislativo que venha a dispor sobre sua estrutura e organização, sendo vedado ao Governador do Estado apresentar projeto de lei que vise à alteração da Lei Orgânica da instituição.</w:t>
        <w:br/>
        <w:t>[ADI 5.217, rel. min. Nunes Marques, j. 22-8-2023, P, DJE de 28-9-2023.] Nos termos do art. 134, § 2º, da CF, não é dado ao chefe do Poder Executivo estadual, de forma unilateral, reduzir a proposta orçamentária da defensoria pública quando essa é compatível com a LDO. Caberia ao governador do Estado incorporar ao PLOA a proposta nos exatos termo</w:t>
      </w:r>
    </w:p>
    <w:p>
      <w:pPr>
        <w:ind w:left="288"/>
      </w:pPr>
      <w:r>
        <w:rPr>
          <w:b/>
          <w:color w:val="003CA0"/>
          <w:sz w:val="16"/>
        </w:rPr>
        <w:t>[ADI 4.163, rel. min. Cezar Peluso, j. 29-2-2012, P, DJE de 1º-3-2013.]</w:t>
      </w:r>
    </w:p>
    <w:p>
      <w:pPr>
        <w:ind w:left="288"/>
      </w:pPr>
      <w:r>
        <w:rPr>
          <w:color w:val="8C8C8C"/>
          <w:sz w:val="12"/>
        </w:rPr>
        <w:t>cf-art-134-par-2</w:t>
      </w:r>
      <w:r>
        <w:rPr>
          <w:color w:val="003CA0"/>
          <w:sz w:val="12"/>
        </w:rPr>
        <w:t xml:space="preserve"> | ADI 3.569</w:t>
      </w:r>
      <w:r>
        <w:rPr>
          <w:color w:val="003CA0"/>
          <w:sz w:val="12"/>
        </w:rPr>
        <w:t xml:space="preserve"> | rel. Sepúlveda Pertence</w:t>
      </w:r>
    </w:p>
    <w:p>
      <w:pPr>
        <w:ind w:left="288"/>
      </w:pPr>
      <w:r>
        <w:rPr>
          <w:color w:val="1E1E1E"/>
          <w:sz w:val="18"/>
        </w:rPr>
        <w:t>A EC 45/2004 outorgou expressamente autonomia funcional e administrativa às defensorias públicas estaduais, além da iniciativa para a propositura de seus orçamentos (art. 134, § 2º): donde, ser inconstitucional a norma local que estabelece a vinculação da Defensoria Pública a Secretaria de Estado. A norma de autonomia inscrita no art. 134, § 2º, da CF pela EC 45/2004 é de eficácia plena e aplicabilidade imediata, dado ser a Defensoria Pública um instrumento de efetivação dos direitos humanos.</w:t>
      </w:r>
    </w:p>
    <w:p>
      <w:pPr>
        <w:ind w:left="288"/>
      </w:pPr>
      <w:r>
        <w:rPr>
          <w:b/>
          <w:color w:val="003CA0"/>
          <w:sz w:val="16"/>
        </w:rPr>
        <w:t>[ADI 3.569, rel. min. Sepúlveda Pertence, j. 2-4-2007, P, DJ de 11-5-2007.]</w:t>
      </w:r>
    </w:p>
    <w:p>
      <w:pPr>
        <w:ind w:left="288"/>
      </w:pPr>
      <w:r>
        <w:rPr>
          <w:color w:val="8C8C8C"/>
          <w:sz w:val="12"/>
        </w:rPr>
        <w:t>cf-art-134-par-2</w:t>
      </w:r>
      <w:r>
        <w:rPr>
          <w:color w:val="003CA0"/>
          <w:sz w:val="12"/>
        </w:rPr>
        <w:t xml:space="preserve"> | ADI 4.056</w:t>
      </w:r>
      <w:r>
        <w:rPr>
          <w:color w:val="003CA0"/>
          <w:sz w:val="12"/>
        </w:rPr>
        <w:t xml:space="preserve"> | rel. Ricardo Lewandowski</w:t>
      </w:r>
    </w:p>
    <w:p>
      <w:pPr>
        <w:ind w:left="288"/>
      </w:pPr>
      <w:r>
        <w:rPr>
          <w:color w:val="1E1E1E"/>
          <w:sz w:val="18"/>
        </w:rPr>
        <w:t>= ADI 4.056, rel. min. Ricardo Lewandowski, j. 7-3-2012, P, DJE de 1º-8-2012 Ofende a autonomia administrativa Defensoria Pública a decisão Judicial que determina a realização de plantões ininterruptos de 24 horas em delegacias de polícia.</w:t>
      </w:r>
    </w:p>
    <w:p>
      <w:pPr>
        <w:ind w:left="288"/>
      </w:pPr>
      <w:r>
        <w:rPr>
          <w:b/>
          <w:color w:val="003CA0"/>
          <w:sz w:val="16"/>
        </w:rPr>
        <w:t>[ARE 1.506.005 AgR, rel. min. Cármen Lúcia, red. do ac. min. Cristiano Zanin, j. 07.10.2024, 1ª T, DJE de 17.10.2024.]</w:t>
      </w:r>
    </w:p>
    <w:p>
      <w:pPr>
        <w:ind w:left="432"/>
      </w:pPr>
      <w:r>
        <w:rPr>
          <w:color w:val="003366"/>
          <w:sz w:val="18"/>
        </w:rPr>
        <w:t>§ 1 O disposto neste artigo alcança os saldos credores cujos aproveitamento ou r</w:t>
      </w:r>
    </w:p>
    <w:p>
      <w:pPr>
        <w:ind w:left="720"/>
      </w:pPr>
      <w:r>
        <w:rPr>
          <w:color w:val="003366"/>
          <w:sz w:val="18"/>
        </w:rPr>
        <w:t xml:space="preserve">I – apresentado o pedido de homologação, o ente federativo deverá se pronunciar </w:t>
      </w:r>
    </w:p>
    <w:p>
      <w:pPr>
        <w:ind w:left="720"/>
      </w:pPr>
      <w:r>
        <w:rPr>
          <w:color w:val="003366"/>
          <w:sz w:val="18"/>
        </w:rPr>
        <w:t>II – na ausência de resposta ao pedido de homologação no prazo a que se refere o</w:t>
      </w:r>
    </w:p>
    <w:p>
      <w:pPr>
        <w:ind w:left="432"/>
      </w:pPr>
      <w:r>
        <w:rPr>
          <w:color w:val="003366"/>
          <w:sz w:val="18"/>
        </w:rPr>
        <w:t>§ 2 Aplica-se o disposto neste artigo também aos créditos reconhecidos após o pr</w:t>
      </w:r>
    </w:p>
    <w:p>
      <w:pPr>
        <w:ind w:left="432"/>
      </w:pPr>
      <w:r>
        <w:rPr>
          <w:color w:val="003366"/>
          <w:sz w:val="18"/>
        </w:rPr>
        <w:t>§ 3 O saldo dos créditos homologados será informado pelos Estados e pelo Distrit</w:t>
      </w:r>
    </w:p>
    <w:p>
      <w:pPr>
        <w:ind w:left="720"/>
      </w:pPr>
      <w:r>
        <w:rPr>
          <w:color w:val="003366"/>
          <w:sz w:val="18"/>
        </w:rPr>
        <w:t>I – pelo prazo remanescente, apurado nos termos do art. 20, § 5º, da Lei Complem</w:t>
      </w:r>
    </w:p>
    <w:p>
      <w:pPr>
        <w:ind w:left="720"/>
      </w:pPr>
      <w:r>
        <w:rPr>
          <w:color w:val="003366"/>
          <w:sz w:val="18"/>
        </w:rPr>
        <w:t>II – em 240 (duzentos e quarenta) parcelas mensais, iguais e sucessivas, nos dem</w:t>
      </w:r>
    </w:p>
    <w:p>
      <w:pPr>
        <w:ind w:left="432"/>
      </w:pPr>
      <w:r>
        <w:rPr>
          <w:color w:val="003366"/>
          <w:sz w:val="18"/>
        </w:rPr>
        <w:t>§ 4 O Comitê Gestor do Imposto sobre Bens e Serviços deduzirá do produto da arre</w:t>
      </w:r>
    </w:p>
    <w:p>
      <w:pPr>
        <w:ind w:left="432"/>
      </w:pPr>
      <w:r>
        <w:rPr>
          <w:color w:val="003366"/>
          <w:sz w:val="18"/>
        </w:rPr>
        <w:t>§ 5 A partir de 2033, os saldos credores serão atualizados pelo IPCA ou por outr</w:t>
      </w:r>
    </w:p>
    <w:p>
      <w:pPr>
        <w:ind w:left="432"/>
      </w:pPr>
      <w:r>
        <w:rPr>
          <w:color w:val="003366"/>
          <w:sz w:val="18"/>
        </w:rPr>
        <w:t>§ 6 Lei complementar disporá sobre: (Incluído pela Emenda Constitucional nº 132,</w:t>
      </w:r>
    </w:p>
    <w:p>
      <w:pPr>
        <w:ind w:left="720"/>
      </w:pPr>
      <w:r>
        <w:rPr>
          <w:color w:val="003366"/>
          <w:sz w:val="18"/>
        </w:rPr>
        <w:t>I – as regras gerais de implementação do parcelamento previsto no § 3º; (Incluíd</w:t>
      </w:r>
    </w:p>
    <w:p>
      <w:pPr>
        <w:ind w:left="720"/>
      </w:pPr>
      <w:r>
        <w:rPr>
          <w:color w:val="003366"/>
          <w:sz w:val="18"/>
        </w:rPr>
        <w:t>II – a forma pela qual os titulares dos créditos de que trata este artigo poderã</w:t>
      </w:r>
    </w:p>
    <w:p>
      <w:pPr>
        <w:ind w:left="720"/>
      </w:pPr>
      <w:r>
        <w:rPr>
          <w:color w:val="003366"/>
          <w:sz w:val="18"/>
        </w:rPr>
        <w:t>III – a forma pela qual o crédito de que trata este artigo poderá ser ressarcido</w:t>
      </w:r>
    </w:p>
    <w:p>
      <w:r>
        <w:rPr>
          <w:b/>
          <w:color w:val="003366"/>
          <w:sz w:val="20"/>
        </w:rPr>
        <w:t>Art. 135 Lei complementar disciplinará a forma de utilização dos créditos, inclu</w:t>
      </w:r>
      <w:r>
        <w:rPr>
          <w:color w:val="8C8C8C"/>
          <w:sz w:val="14"/>
        </w:rPr>
        <w:t xml:space="preserve">  [34 decisoes]</w:t>
      </w:r>
    </w:p>
    <w:p>
      <w:pPr>
        <w:ind w:left="144"/>
      </w:pPr>
      <w:r>
        <w:rPr>
          <w:b/>
          <w:color w:val="B45A00"/>
          <w:sz w:val="16"/>
        </w:rPr>
        <w:t>CONTROLE CONCENTRADO</w:t>
      </w:r>
    </w:p>
    <w:p>
      <w:pPr>
        <w:ind w:left="288"/>
      </w:pPr>
      <w:r>
        <w:rPr>
          <w:color w:val="8C8C8C"/>
          <w:sz w:val="12"/>
        </w:rPr>
        <w:t>cf-art-135</w:t>
      </w:r>
      <w:r>
        <w:rPr>
          <w:color w:val="003CA0"/>
          <w:sz w:val="12"/>
        </w:rPr>
        <w:t xml:space="preserve"> | ADI 6.160</w:t>
      </w:r>
      <w:r>
        <w:rPr>
          <w:color w:val="003CA0"/>
          <w:sz w:val="12"/>
        </w:rPr>
        <w:t xml:space="preserve"> | rel. Rosa Weber</w:t>
      </w:r>
    </w:p>
    <w:p>
      <w:pPr>
        <w:ind w:left="288"/>
      </w:pPr>
      <w:r>
        <w:rPr>
          <w:color w:val="1E1E1E"/>
          <w:sz w:val="18"/>
        </w:rPr>
        <w:t>Os honorários de sucumbência constituem vantagem de natureza remuneratória por serviços prestados com eficiência no desempenho da função pública. O art. 135 da Constituição Federal, ao estabelecer que a remuneração dos procuradores estaduais se dá mediante subsídio, é compatível com o regramento constitucional referente à Advocacia Pública, uma vez que a Constituição Federal não institui incompatibilidade relevante que justifique vedação ao recebimento de honorários por advogados públicos, à exceção da Magistratura (art. 95, parágrafo único, II, CRFB) e do Ministério Público (art. 128, § 5º, I</w:t>
      </w:r>
    </w:p>
    <w:p>
      <w:pPr>
        <w:ind w:left="288"/>
      </w:pPr>
      <w:r>
        <w:rPr>
          <w:b/>
          <w:color w:val="003CA0"/>
          <w:sz w:val="16"/>
        </w:rPr>
        <w:t>[ADI 6.160, rel. min. Rosa Weber, j. 20-10-2020, P, DJE de 29-10-2020.]</w:t>
      </w:r>
    </w:p>
    <w:p>
      <w:pPr>
        <w:ind w:left="288"/>
      </w:pPr>
      <w:r>
        <w:rPr>
          <w:color w:val="8C8C8C"/>
          <w:sz w:val="12"/>
        </w:rPr>
        <w:t>cf-art-135</w:t>
      </w:r>
      <w:r>
        <w:rPr>
          <w:color w:val="003CA0"/>
          <w:sz w:val="12"/>
        </w:rPr>
        <w:t xml:space="preserve"> | ADI 171-0</w:t>
      </w:r>
      <w:r>
        <w:rPr>
          <w:color w:val="003CA0"/>
          <w:sz w:val="12"/>
        </w:rPr>
        <w:t xml:space="preserve"> | rel. Néri da Silveira</w:t>
      </w:r>
    </w:p>
    <w:p>
      <w:pPr>
        <w:ind w:left="288"/>
      </w:pPr>
      <w:r>
        <w:rPr>
          <w:color w:val="1E1E1E"/>
          <w:sz w:val="18"/>
        </w:rPr>
        <w:t>O STF assentou, no julgamento das ADI 171-0/MG, ADI 138-8/RJ e ADI 456-4/600/PB, que as carreiras jurídicas a que se refere o art. 135 da Constituição são as de procurador de Estado e defensor público. Por força do art. 241 da CF, aos delegados de polícia de carreira aplica-se o princípio do art. 39, § 1º, correspondente às carreiras disciplinadas no art. 135, da Lei Magna federal, ou seja, as carreiras de procurador de Estado e de defensor público. Não é, em consequência, inconstitucional a lei estadual que ordena, precisamente, a aplicação do princípio da isonomia (CF, art. 39, § 1º), em fav</w:t>
      </w:r>
    </w:p>
    <w:p>
      <w:pPr>
        <w:ind w:left="288"/>
      </w:pPr>
      <w:r>
        <w:rPr>
          <w:b/>
          <w:color w:val="003CA0"/>
          <w:sz w:val="16"/>
        </w:rPr>
        <w:t>[ADI 761, rel. min. Néri da Silveira, j. 30-9-1993, P, DJ de 1º-7-1994.]</w:t>
      </w:r>
    </w:p>
    <w:p>
      <w:pPr>
        <w:ind w:left="288"/>
      </w:pPr>
      <w:r>
        <w:rPr>
          <w:color w:val="8C8C8C"/>
          <w:sz w:val="12"/>
        </w:rPr>
        <w:t>cf-art-135</w:t>
      </w:r>
      <w:r>
        <w:rPr>
          <w:color w:val="003CA0"/>
          <w:sz w:val="12"/>
        </w:rPr>
        <w:t xml:space="preserve"> | ADI 171</w:t>
      </w:r>
    </w:p>
    <w:p>
      <w:pPr>
        <w:ind w:left="288"/>
      </w:pPr>
      <w:r>
        <w:rPr>
          <w:color w:val="1E1E1E"/>
          <w:sz w:val="18"/>
        </w:rPr>
        <w:t>Recusa do entendimento de que o sentido do art. 135 da CF não seria o de vincular reciprocamente a remuneração das diferentes carreiras a que alude, mas apenas o de explicitar que a cada uma delas se aplica o art. 39, § 1º: sendo certo que os princípios e regras constitucionais gerais atinentes aos servidores públicos, incluído o da isonomia do art. 39, § 1º, se aplicam, salvo disposição em contrário, às carreiras especiais previstas na própria Constituição, a interpretação proposta, além de reduzir a nada o sentido do art. 135, contraria a significação inequívoca que lhe advém da conjugação c</w:t>
      </w:r>
    </w:p>
    <w:p>
      <w:pPr>
        <w:ind w:left="288"/>
      </w:pPr>
      <w:r>
        <w:rPr>
          <w:b/>
          <w:color w:val="003CA0"/>
          <w:sz w:val="16"/>
        </w:rPr>
        <w:t>[ADI 171, red. do ac. min. Sepúlveda Pertence, j. 15-4-1993, P, DJ de 3-6-1994.]</w:t>
      </w:r>
    </w:p>
    <w:p>
      <w:pPr>
        <w:ind w:left="288"/>
      </w:pPr>
      <w:r>
        <w:rPr>
          <w:color w:val="8C8C8C"/>
          <w:sz w:val="12"/>
        </w:rPr>
        <w:t>cf-art-135</w:t>
      </w:r>
      <w:r>
        <w:rPr>
          <w:color w:val="003CA0"/>
          <w:sz w:val="12"/>
        </w:rPr>
        <w:t xml:space="preserve"> | AI 527.811</w:t>
      </w:r>
      <w:r>
        <w:rPr>
          <w:color w:val="003CA0"/>
          <w:sz w:val="12"/>
        </w:rPr>
        <w:t xml:space="preserve"> | rel. Dias Toffoli</w:t>
      </w:r>
    </w:p>
    <w:p>
      <w:pPr>
        <w:ind w:left="288"/>
      </w:pPr>
      <w:r>
        <w:rPr>
          <w:color w:val="1E1E1E"/>
          <w:sz w:val="18"/>
        </w:rPr>
        <w:t>= AI 527.811 AgR, rel. min. Dias Toffoli, j. 13-3-2012, 1ª T, DJE de 25-4-2012</w:t>
      </w:r>
    </w:p>
    <w:p>
      <w:pPr>
        <w:ind w:left="144"/>
      </w:pPr>
      <w:r>
        <w:rPr>
          <w:b/>
          <w:color w:val="B45A00"/>
          <w:sz w:val="16"/>
        </w:rPr>
        <w:t>JULGADOS CORRELATOS</w:t>
      </w:r>
    </w:p>
    <w:p>
      <w:pPr>
        <w:ind w:left="288"/>
      </w:pPr>
      <w:r>
        <w:rPr>
          <w:color w:val="8C8C8C"/>
          <w:sz w:val="12"/>
        </w:rPr>
        <w:t>cf-art-135</w:t>
      </w:r>
      <w:r>
        <w:rPr>
          <w:color w:val="003CA0"/>
          <w:sz w:val="12"/>
        </w:rPr>
        <w:t xml:space="preserve"> | AI 180.652</w:t>
      </w:r>
      <w:r>
        <w:rPr>
          <w:color w:val="003CA0"/>
          <w:sz w:val="12"/>
        </w:rPr>
        <w:t xml:space="preserve"> | rel. Marco Aurélio</w:t>
      </w:r>
    </w:p>
    <w:p>
      <w:pPr>
        <w:ind w:left="288"/>
      </w:pPr>
      <w:r>
        <w:rPr>
          <w:color w:val="1E1E1E"/>
          <w:sz w:val="18"/>
        </w:rPr>
        <w:t>Por força do art. 135 da CF, tem-se como reconhecida a semelhança indispensável à isonomia entre as carreiras jurídicas. Exsurge harmônica com a Carta Política da República lei complementar estadual mediante a qual implementou-se a isonomia, consideradas as carreiras de delegado de polícia e de procurador do Estado.</w:t>
      </w:r>
    </w:p>
    <w:p>
      <w:pPr>
        <w:ind w:left="288"/>
      </w:pPr>
      <w:r>
        <w:rPr>
          <w:b/>
          <w:color w:val="003CA0"/>
          <w:sz w:val="16"/>
        </w:rPr>
        <w:t>[AI 180.652 AgR, rel. min. Marco Aurélio, j. 4-3-1997, 2ª T, DJ de 16-5-1997.]</w:t>
      </w:r>
    </w:p>
    <w:p>
      <w:pPr>
        <w:ind w:left="288"/>
      </w:pPr>
      <w:r>
        <w:rPr>
          <w:color w:val="8C8C8C"/>
          <w:sz w:val="12"/>
        </w:rPr>
        <w:t>cf-art-135</w:t>
      </w:r>
    </w:p>
    <w:p>
      <w:pPr>
        <w:ind w:left="288"/>
      </w:pPr>
      <w:r>
        <w:rPr>
          <w:color w:val="1E1E1E"/>
          <w:sz w:val="18"/>
        </w:rPr>
        <w:t>Seção IV Da Defensoria Pública (Redação da EC 80/2014) SUMÁRIO XVIII - decretar o estado de calamidade pública de âmbito nacional previsto nos arts. 167-B, 167-C, 167-D, 167-E, 167-F e 167-G desta Constituição. (Incluído pela EC n. 109/2021) XXVIII - propor ao Congresso Nacional a decretação do estado de calamidade pública de âmbito nacional previsto nos arts. 167-B, 167-C, 167-D, 167-E, 167-F e 167-G desta Constituição. (Incluído pela EC n. 109/2021)</w:t>
      </w:r>
    </w:p>
    <w:p>
      <w:pPr>
        <w:ind w:left="288"/>
      </w:pPr>
      <w:r>
        <w:rPr>
          <w:color w:val="8C8C8C"/>
          <w:sz w:val="12"/>
        </w:rPr>
        <w:t>cf-art-135-inc-II</w:t>
      </w:r>
    </w:p>
    <w:p>
      <w:pPr>
        <w:ind w:left="288"/>
      </w:pPr>
      <w:r>
        <w:rPr>
          <w:color w:val="1E1E1E"/>
          <w:sz w:val="18"/>
        </w:rPr>
        <w:t>VIII-B - a permuta de magistrados de comarca de igual entrância, quando for o caso, e dentro do mesmo segmento de justiça, inclusive entre os juízes de segundo grau, vinculados a diferentes tribunais, na esfera da justiça estadual, federal ou do trabalho, atenderá, no que couber, ao disposto nas alíneas "a", "b", "c" e "e" do inciso II do caput deste artigo e no art. 94 desta Constituição; (Incluído pela EC n. 130/2023) Parágrafo único. Nos Tribunais de Justiça compostos de mais de 170 (cento e setenta) desembargadores em efetivo exercício, a eleição para os cargos diretivos, de que trata a al</w:t>
      </w:r>
    </w:p>
    <w:p>
      <w:pPr>
        <w:ind w:left="144"/>
      </w:pPr>
      <w:r>
        <w:rPr>
          <w:b/>
          <w:color w:val="B45A00"/>
          <w:sz w:val="16"/>
        </w:rPr>
        <w:t>REPERCUSSAO GERAL</w:t>
      </w:r>
    </w:p>
    <w:p>
      <w:pPr>
        <w:ind w:left="288"/>
      </w:pPr>
      <w:r>
        <w:rPr>
          <w:color w:val="8C8C8C"/>
          <w:sz w:val="12"/>
        </w:rPr>
        <w:t>cf-art-135-par-8</w:t>
      </w:r>
      <w:r>
        <w:rPr>
          <w:color w:val="003CA0"/>
          <w:sz w:val="12"/>
        </w:rPr>
        <w:t xml:space="preserve"> | ARE 1.491.413</w:t>
      </w:r>
      <w:r>
        <w:rPr>
          <w:color w:val="003CA0"/>
          <w:sz w:val="12"/>
        </w:rPr>
        <w:t xml:space="preserve"> | rel. Luís Roberto Barroso</w:t>
      </w:r>
    </w:p>
    <w:p>
      <w:pPr>
        <w:ind w:left="288"/>
      </w:pPr>
      <w:r>
        <w:rPr>
          <w:color w:val="1E1E1E"/>
          <w:sz w:val="18"/>
        </w:rPr>
        <w:t>“1. É vedada a expedição de precatórios complementares ou suplementares de valor pago, salvo nas hipóteses de erro material, inexatidão aritmética ou substituição de índices aplicáveis por força de alteração normativa; 2. A verificação de enquadramento nas hipóteses admitidas de complementação ou suplementação de precatório pressupõe o reexame de matéria fático-probatória”.</w:t>
        <w:br/>
        <w:t>[ARE 1.491.413 RG, rel. min. Luís Roberto Barroso, j. 26.11.2024, P, DJE de 29.11.2024, Tema 1.360, com mérito julgado.] “A execução de créditos individuais e divisíveis decorrentes de título judicial coletivo, promovida po</w:t>
      </w:r>
    </w:p>
    <w:p>
      <w:pPr>
        <w:ind w:left="288"/>
      </w:pPr>
      <w:r>
        <w:rPr>
          <w:b/>
          <w:color w:val="003CA0"/>
          <w:sz w:val="16"/>
        </w:rPr>
        <w:t>[RE 1.491.569 RG, rel. min. Luís Roberto Barroso, j. 23.08.2024, P, DJE de 27.08.2024, Tema 1.317, com mérito julgado.]</w:t>
      </w:r>
    </w:p>
    <w:p>
      <w:pPr>
        <w:ind w:left="288"/>
      </w:pPr>
      <w:r>
        <w:rPr>
          <w:color w:val="8C8C8C"/>
          <w:sz w:val="12"/>
        </w:rPr>
        <w:t>cf-art-135-par-8</w:t>
      </w:r>
      <w:r>
        <w:rPr>
          <w:color w:val="003CA0"/>
          <w:sz w:val="12"/>
        </w:rPr>
        <w:t xml:space="preserve"> | RE 1.309.081</w:t>
      </w:r>
      <w:r>
        <w:rPr>
          <w:color w:val="003CA0"/>
          <w:sz w:val="12"/>
        </w:rPr>
        <w:t xml:space="preserve"> | rel. Luiz Fux</w:t>
      </w:r>
    </w:p>
    <w:p>
      <w:pPr>
        <w:ind w:left="288"/>
      </w:pPr>
      <w:r>
        <w:rPr>
          <w:color w:val="1E1E1E"/>
          <w:sz w:val="18"/>
        </w:rPr>
        <w:t>“Os honorários advocatícios constituem crédito único e indivisível, de modo que o fracionamento da execução de honorários advocatícios sucumbenciais fixados em ação coletiva contra a Fazenda Pública, proporcionalmente às execuções individuais de cada beneficiário, viola o § 8º do artigo 100 da Constituição Federal.”</w:t>
      </w:r>
    </w:p>
    <w:p>
      <w:pPr>
        <w:ind w:left="288"/>
      </w:pPr>
      <w:r>
        <w:rPr>
          <w:b/>
          <w:color w:val="003CA0"/>
          <w:sz w:val="16"/>
        </w:rPr>
        <w:t>[RE 1.309.081 RG, rel. min. Luiz Fux, j. 06.05.2021, P, DJE de 18.06.2021, Tema 1.142, com mérito julgado.]</w:t>
      </w:r>
    </w:p>
    <w:p>
      <w:pPr>
        <w:ind w:left="288"/>
      </w:pPr>
      <w:r>
        <w:rPr>
          <w:color w:val="8C8C8C"/>
          <w:sz w:val="12"/>
        </w:rPr>
        <w:t>cf-art-135-par-8</w:t>
      </w:r>
      <w:r>
        <w:rPr>
          <w:color w:val="003CA0"/>
          <w:sz w:val="12"/>
        </w:rPr>
        <w:t xml:space="preserve"> | RE 1.205.530</w:t>
      </w:r>
      <w:r>
        <w:rPr>
          <w:color w:val="003CA0"/>
          <w:sz w:val="12"/>
        </w:rPr>
        <w:t xml:space="preserve"> | rel. Marco Aurélio</w:t>
      </w:r>
    </w:p>
    <w:p>
      <w:pPr>
        <w:ind w:left="288"/>
      </w:pPr>
      <w:r>
        <w:rPr>
          <w:color w:val="1E1E1E"/>
          <w:sz w:val="18"/>
        </w:rPr>
        <w:t>Surge constitucional expedição de precatório ou requisição de pequeno valor para pagamento da parte incontroversa e autônoma do pronunciamento judicial transitada em julgado, observada a importância total executada para efeitos de dimensionamento como obrigação de pequeno valor.</w:t>
        <w:br/>
        <w:t>[RE 1.205.530, voto do rel. min. Marco Aurélio, j. 8-6-2020, P, DJE de 1º-7-2020, Tema 28, com mérito julgado.] Não viola o art. 100, § 8º, da CF a execução individual de sentença condenatória genérica proferida contra a Fazenda Pública em ação coletiva visando à tutela de direitos individuais homogêneos.</w:t>
      </w:r>
    </w:p>
    <w:p>
      <w:pPr>
        <w:ind w:left="288"/>
      </w:pPr>
      <w:r>
        <w:rPr>
          <w:b/>
          <w:color w:val="003CA0"/>
          <w:sz w:val="16"/>
        </w:rPr>
        <w:t>[ARE 925.754 RG, rel. min. Teori Zavascki, j. 17-12-2015, P, DJE de 3-2-2016, Tema 873, com mérito julgado.]</w:t>
        <w:br/>
        <w:t>Vide RE 568.645, rel. min. Cármen Lúcia, j. 24-9-2014, P, DJE de 13-11-2014, Tema 148, com mérito julgado</w:t>
      </w:r>
    </w:p>
    <w:p>
      <w:pPr>
        <w:ind w:left="288"/>
      </w:pPr>
      <w:r>
        <w:rPr>
          <w:color w:val="8C8C8C"/>
          <w:sz w:val="12"/>
        </w:rPr>
        <w:t>cf-art-135-par-8</w:t>
      </w:r>
      <w:r>
        <w:rPr>
          <w:color w:val="003CA0"/>
          <w:sz w:val="12"/>
        </w:rPr>
        <w:t xml:space="preserve"> | RE 564.132</w:t>
      </w:r>
      <w:r>
        <w:rPr>
          <w:color w:val="003CA0"/>
          <w:sz w:val="12"/>
        </w:rPr>
        <w:t xml:space="preserve"> | rel. Cármen Lúcia</w:t>
      </w:r>
    </w:p>
    <w:p>
      <w:pPr>
        <w:ind w:left="288"/>
      </w:pPr>
      <w:r>
        <w:rPr>
          <w:color w:val="1E1E1E"/>
          <w:sz w:val="18"/>
        </w:rPr>
        <w:t>Alegado fracionamento de execução contra a fazenda pública de Estado-membro. Honorários advocatícios. Verba de natureza alimentar, a qual não se confunde com o débito principal. Ausência de caráter acessório. Titulares diversos. Possibilidade de pagamento autônomo. Requerimento desvinculado da expedição do ofício requisitório principal. Vedação constitucional de repartição de execução para fraudar o pagamento por precatório. Interpretação do art. 100, § 8º (originalmente § 4º), da Constituição da República.</w:t>
        <w:br/>
        <w:t>[RE 564.132, red. do ac. min. Cármen Lúcia, j. 30-10-2014, P, DJE de 10-2-2015, Tema 18</w:t>
      </w:r>
    </w:p>
    <w:p>
      <w:pPr>
        <w:ind w:left="144"/>
      </w:pPr>
      <w:r>
        <w:rPr>
          <w:b/>
          <w:color w:val="B45A00"/>
          <w:sz w:val="16"/>
        </w:rPr>
        <w:t>JULGADOS CORRELATOS</w:t>
      </w:r>
    </w:p>
    <w:p>
      <w:pPr>
        <w:ind w:left="288"/>
      </w:pPr>
      <w:r>
        <w:rPr>
          <w:color w:val="8C8C8C"/>
          <w:sz w:val="12"/>
        </w:rPr>
        <w:t>cf-art-135-par-8</w:t>
      </w:r>
      <w:r>
        <w:rPr>
          <w:color w:val="003CA0"/>
          <w:sz w:val="12"/>
        </w:rPr>
        <w:t xml:space="preserve"> | ARE 1.378.242</w:t>
      </w:r>
      <w:r>
        <w:rPr>
          <w:color w:val="003CA0"/>
          <w:sz w:val="12"/>
        </w:rPr>
        <w:t xml:space="preserve"> | rel. Edson Fachin</w:t>
      </w:r>
    </w:p>
    <w:p>
      <w:pPr>
        <w:ind w:left="288"/>
      </w:pPr>
      <w:r>
        <w:rPr>
          <w:color w:val="1E1E1E"/>
          <w:sz w:val="18"/>
        </w:rPr>
        <w:t>Óbito de pensionista. Pretensão dos herdeiros ao fracionamento do valor da execução, para fins de expedição de RPV. Art. 100, § 8º, da C. Impossibilidade. (...) Inaplicabilidade, ao caso concreto, do mencionado Tema 148 da repercussão geral, uma vez que nestes autos se cuida de crédito único em nome da falecida pensionista.</w:t>
      </w:r>
    </w:p>
    <w:p>
      <w:pPr>
        <w:ind w:left="288"/>
      </w:pPr>
      <w:r>
        <w:rPr>
          <w:b/>
          <w:color w:val="003CA0"/>
          <w:sz w:val="16"/>
        </w:rPr>
        <w:t>[ARE 1.378.242 AgR, rel. min. Edson Fachin, j. 15-8-2023, 2ª T, DJE de 22-8-2023.]</w:t>
      </w:r>
    </w:p>
    <w:p>
      <w:pPr>
        <w:ind w:left="288"/>
      </w:pPr>
      <w:r>
        <w:rPr>
          <w:color w:val="8C8C8C"/>
          <w:sz w:val="12"/>
        </w:rPr>
        <w:t>cf-art-135-par-8</w:t>
      </w:r>
      <w:r>
        <w:rPr>
          <w:color w:val="003CA0"/>
          <w:sz w:val="12"/>
        </w:rPr>
        <w:t xml:space="preserve"> | RE 1.481.203</w:t>
      </w:r>
      <w:r>
        <w:rPr>
          <w:color w:val="003CA0"/>
          <w:sz w:val="12"/>
        </w:rPr>
        <w:t xml:space="preserve"> | rel. Cristiano Zanin</w:t>
      </w:r>
    </w:p>
    <w:p>
      <w:pPr>
        <w:ind w:left="288"/>
      </w:pPr>
      <w:r>
        <w:rPr>
          <w:color w:val="1E1E1E"/>
          <w:sz w:val="18"/>
        </w:rPr>
        <w:t>= RE 1.481.203 AgR, rel. min. Cristiano Zanin, j. 29.04.2024, 1ª T, DJE de 03.05.2024 Nas causas em que a Fazenda Pública for condenada ao pagamento da verba honorária de forma global, é vedado o fracionamento de crédito único, consistente no valor total dos honorários advocatícios devidos, proporcionalmente à fração de cada litisconsorte, sob pena de afronta ao art. 100, § 8º, da Constituição.</w:t>
        <w:br/>
        <w:t xml:space="preserve">[ARE 797.499-AgR-EDv, RE 919.269-ED-EDv, RE 930.251-AgR-ED-EDv e ARE 930.251-AgR-ED-EDv rel. min. Dias Toffoli, j. 7-2-2019, P, DJE de 1º-7-2019.] A Súmula Vinculante 47 do STF não autoriza a expedição </w:t>
      </w:r>
    </w:p>
    <w:p>
      <w:pPr>
        <w:ind w:left="288"/>
      </w:pPr>
      <w:r>
        <w:rPr>
          <w:b/>
          <w:color w:val="003CA0"/>
          <w:sz w:val="16"/>
        </w:rPr>
        <w:t>[RE 678.360, rel. min. Luiz Fux, j. 27.11.2024, P, DJE de 18.12.2024, Tema 558, com mérito julgado.]</w:t>
      </w:r>
    </w:p>
    <w:p>
      <w:pPr>
        <w:ind w:left="288"/>
      </w:pPr>
      <w:r>
        <w:rPr>
          <w:color w:val="8C8C8C"/>
          <w:sz w:val="12"/>
        </w:rPr>
        <w:t>cf-art-135-par-8</w:t>
      </w:r>
    </w:p>
    <w:p>
      <w:pPr>
        <w:ind w:left="288"/>
      </w:pPr>
      <w:r>
        <w:rPr>
          <w:color w:val="1E1E1E"/>
          <w:sz w:val="18"/>
        </w:rPr>
        <w:t>§ 10. Antes da expedição dos precatórios, o Tribunal solicitará à Fazenda Pública devedora, para resposta em até 30 (trinta) dias, sob pena de perda do direito de abatimento, informação sobre os débitos que preencham as condições estabelecidas no § 9º, para os fins nele previstos. (Incluído pela EC 62/2009)</w:t>
      </w:r>
    </w:p>
    <w:p>
      <w:pPr>
        <w:ind w:left="144"/>
      </w:pPr>
      <w:r>
        <w:rPr>
          <w:b/>
          <w:color w:val="B45A00"/>
          <w:sz w:val="16"/>
        </w:rPr>
        <w:t>CONTROLE CONCENTRADO</w:t>
      </w:r>
    </w:p>
    <w:p>
      <w:pPr>
        <w:ind w:left="288"/>
      </w:pPr>
      <w:r>
        <w:rPr>
          <w:color w:val="8C8C8C"/>
          <w:sz w:val="12"/>
        </w:rPr>
        <w:t>cf-art-135-par-8</w:t>
      </w:r>
      <w:r>
        <w:rPr>
          <w:color w:val="003CA0"/>
          <w:sz w:val="12"/>
        </w:rPr>
        <w:t xml:space="preserve"> | ADI 4.425</w:t>
      </w:r>
    </w:p>
    <w:p>
      <w:pPr>
        <w:ind w:left="288"/>
      </w:pPr>
      <w:r>
        <w:rPr>
          <w:color w:val="1E1E1E"/>
          <w:sz w:val="18"/>
        </w:rPr>
        <w:t>O regime de compensação dos débitos da Fazenda Pública inscritos em precatórios, previsto nos §§ 9º e 10 do art. 100 da CF, incluídos pela EC 62/2009, embaraça a efetividade da jurisdição (CF, art. 5º, XXXV), desrespeita a coisa julgada material (CF, art. 5º, XXXVI), vulnera a separação dos Poderes (CF, art. 2º) e ofende a isonomia entre o poder público e o particular (CF, art. 5º, caput), cânone essencial do Estado Democrático de Direito (CF, art. 1º, caput).</w:t>
      </w:r>
    </w:p>
    <w:p>
      <w:pPr>
        <w:ind w:left="288"/>
      </w:pPr>
      <w:r>
        <w:rPr>
          <w:b/>
          <w:color w:val="003CA0"/>
          <w:sz w:val="16"/>
        </w:rPr>
        <w:t>[ADI 4.425, red. do ac. min. Luiz Fux, j. 14-3-2013, P, DJE de 19-12-2013.]</w:t>
      </w:r>
    </w:p>
    <w:p>
      <w:pPr>
        <w:ind w:left="288"/>
      </w:pPr>
      <w:r>
        <w:rPr>
          <w:color w:val="8C8C8C"/>
          <w:sz w:val="12"/>
        </w:rPr>
        <w:t>cf-art-135-par-8</w:t>
      </w:r>
      <w:r>
        <w:rPr>
          <w:color w:val="003CA0"/>
          <w:sz w:val="12"/>
        </w:rPr>
        <w:t xml:space="preserve"> | RE 657.686</w:t>
      </w:r>
      <w:r>
        <w:rPr>
          <w:color w:val="003CA0"/>
          <w:sz w:val="12"/>
        </w:rPr>
        <w:t xml:space="preserve"> | rel. Luiz Fux</w:t>
      </w:r>
    </w:p>
    <w:p>
      <w:pPr>
        <w:ind w:left="288"/>
      </w:pPr>
      <w:r>
        <w:rPr>
          <w:color w:val="1E1E1E"/>
          <w:sz w:val="18"/>
        </w:rPr>
        <w:t>= RE 657.686, rel. min. Luiz Fux, j. 23-10-2014, P, DJE de 5-12-2014, Tema 511 Vide ADI 4.425 QO, rel. min. Luiz Fux, j. 25-3-2015, P, DJE de 4-8-2015 “A compensação dos débitos da Fazenda Pública inscritos em precatórios, prevista nos §§ 9º e 10 do art. 100 da Constituição Federal, incluídos pela EC nº 62/09, viola frontalmente o texto constitucional, pois obsta a efetividade da jurisdição (CRFB/88, art. 5º, XXXV), desrespeita a coisa julgada material (CRFB/88, art. 5º, XXXVI), vulnera a Separação dos Poderes (CRFB/88, art. 2º) e ofende a isonomia entre o Poder Público e o particular (CRFB/88</w:t>
      </w:r>
    </w:p>
    <w:p>
      <w:pPr>
        <w:ind w:left="288"/>
      </w:pPr>
      <w:r>
        <w:rPr>
          <w:b/>
          <w:color w:val="003CA0"/>
          <w:sz w:val="16"/>
        </w:rPr>
        <w:t>[RE 678.360, rel. min. Luiz Fux, j. 27.11.2024, P, DJE de 18.12.2024, Tema 558, com mérito julgado.]</w:t>
      </w:r>
    </w:p>
    <w:p>
      <w:pPr>
        <w:ind w:left="144"/>
      </w:pPr>
      <w:r>
        <w:rPr>
          <w:b/>
          <w:color w:val="B45A00"/>
          <w:sz w:val="16"/>
        </w:rPr>
        <w:t>REPERCUSSAO GERAL</w:t>
      </w:r>
    </w:p>
    <w:p>
      <w:pPr>
        <w:ind w:left="288"/>
      </w:pPr>
      <w:r>
        <w:rPr>
          <w:color w:val="8C8C8C"/>
          <w:sz w:val="12"/>
        </w:rPr>
        <w:t>cf-art-135-par-8</w:t>
      </w:r>
      <w:r>
        <w:rPr>
          <w:color w:val="003CA0"/>
          <w:sz w:val="12"/>
        </w:rPr>
        <w:t xml:space="preserve"> | RE 657.686</w:t>
      </w:r>
      <w:r>
        <w:rPr>
          <w:color w:val="003CA0"/>
          <w:sz w:val="12"/>
        </w:rPr>
        <w:t xml:space="preserve"> | rel. Luiz Fux</w:t>
      </w:r>
    </w:p>
    <w:p>
      <w:pPr>
        <w:ind w:left="288"/>
      </w:pPr>
      <w:r>
        <w:rPr>
          <w:color w:val="1E1E1E"/>
          <w:sz w:val="18"/>
        </w:rPr>
        <w:t>(...) não se revela constitucionalmente possível a compensação unilateral de débitos em proveito exclusivo da Fazenda Pública mesmo que os valores envolvidos estejam sujeitos ao regime de pagamento por RPV.</w:t>
        <w:br/>
        <w:t>[RE 657.686, rel. min. Luiz Fux, j. 23-10-2014, P, DJE de 5-12-2014, Tema 511, com mérito julgado.]</w:t>
        <w:br/>
        <w:t>= ADI 4.425, red. do ac. min. Luiz Fux, j. 14-3-2013, P, DJE de 19-12-2013</w:t>
        <w:br/>
        <w:t>Vide ADI 4.425 QO, rel. min. Luiz Fux, j. 25-3-2015, P, DJE de 4-8-2015 § 11. É facultada ao credor, conforme estabelecido em lei do ente federativo devedor, com auto aplicabilidade para a União, a oferta de créditos l</w:t>
      </w:r>
    </w:p>
    <w:p>
      <w:pPr>
        <w:ind w:left="288"/>
      </w:pPr>
      <w:r>
        <w:rPr>
          <w:color w:val="8C8C8C"/>
          <w:sz w:val="12"/>
        </w:rPr>
        <w:t>cf-art-135-par-8-inc-IV</w:t>
      </w:r>
    </w:p>
    <w:p>
      <w:pPr>
        <w:ind w:left="288"/>
      </w:pPr>
      <w:r>
        <w:rPr>
          <w:color w:val="1E1E1E"/>
          <w:sz w:val="18"/>
        </w:rPr>
        <w:t>V - compra de direitos, disponibilizados para cessão, do respectivo ente federativo, inclusive, no caso da União, da antecipação de valores a serem recebidos a título do excedente em óleo em contratos de partilha de petróleo. (Incluído pela EC n. 113/2021) § 12. A partir da promulgação desta Emenda Constitucional, a atualização de valores de requisitórios, após sua expedição, até o efetivo pagamento, independentemente de sua natureza, será feita pelo índice oficial de remuneração básica da caderneta de poupança, e, para fins de compensação da mora, incidirão juros simples no mesmo percentual d</w:t>
      </w:r>
    </w:p>
    <w:p>
      <w:pPr>
        <w:ind w:left="144"/>
      </w:pPr>
      <w:r>
        <w:rPr>
          <w:b/>
          <w:color w:val="B45A00"/>
          <w:sz w:val="16"/>
        </w:rPr>
        <w:t>CONTROLE CONCENTRADO</w:t>
      </w:r>
    </w:p>
    <w:p>
      <w:pPr>
        <w:ind w:left="288"/>
      </w:pPr>
      <w:r>
        <w:rPr>
          <w:color w:val="8C8C8C"/>
          <w:sz w:val="12"/>
        </w:rPr>
        <w:t>cf-art-135-par-8-inc-IV</w:t>
      </w:r>
      <w:r>
        <w:rPr>
          <w:color w:val="003CA0"/>
          <w:sz w:val="12"/>
        </w:rPr>
        <w:t xml:space="preserve"> | ADI 4.425</w:t>
      </w:r>
      <w:r>
        <w:rPr>
          <w:color w:val="003CA0"/>
          <w:sz w:val="12"/>
        </w:rPr>
        <w:t xml:space="preserve"> | rel. Luiz Fux</w:t>
      </w:r>
    </w:p>
    <w:p>
      <w:pPr>
        <w:ind w:left="288"/>
      </w:pPr>
      <w:r>
        <w:rPr>
          <w:color w:val="1E1E1E"/>
          <w:sz w:val="18"/>
        </w:rPr>
        <w:t>Regime de execução da Fazenda Pública mediante precatório. EC 62/2009. Existência de razões de segurança jurídica que justificam a manutenção temporária do regime especial nos termos em que decidido pelo Plenário do STF. (...) Confere-se eficácia prospectiva à declaração de inconstitucionalidade dos seguintes aspectos da ação direta de inconstitucionalidade, fixando como marco inicial a data de conclusão do julgamento da presente questão de ordem (25-3-2015) e mantendo-se válidos os precatórios expedidos ou pagos até essa data, a saber: (i) fica mantida a aplicação do índice oficial de remuner</w:t>
      </w:r>
    </w:p>
    <w:p>
      <w:pPr>
        <w:ind w:left="288"/>
      </w:pPr>
      <w:r>
        <w:rPr>
          <w:b/>
          <w:color w:val="003CA0"/>
          <w:sz w:val="16"/>
        </w:rPr>
        <w:t>[ADI 4.425 QO, rel. min. Luiz Fux, j. 25-3-2015, P, DJE de 4-8-2015.]</w:t>
      </w:r>
    </w:p>
    <w:p>
      <w:pPr>
        <w:ind w:left="288"/>
      </w:pPr>
      <w:r>
        <w:rPr>
          <w:color w:val="8C8C8C"/>
          <w:sz w:val="12"/>
        </w:rPr>
        <w:t>cf-art-135-par-8-inc-IV</w:t>
      </w:r>
      <w:r>
        <w:rPr>
          <w:color w:val="003CA0"/>
          <w:sz w:val="12"/>
        </w:rPr>
        <w:t xml:space="preserve"> | ADI 4.425</w:t>
      </w:r>
    </w:p>
    <w:p>
      <w:pPr>
        <w:ind w:left="288"/>
      </w:pPr>
      <w:r>
        <w:rPr>
          <w:color w:val="1E1E1E"/>
          <w:sz w:val="18"/>
        </w:rPr>
        <w:t>Vide ADI 4.425, red. do ac. min. Luiz Fux, j. 14-3-2013, P, DJE de 19-12-2013 A atualização monetária dos débitos fazendários inscritos em precatórios segundo o índice oficial de remuneração da caderneta de poupança viola o direito fundamental de propriedade (CF, art. 5º, XXII), na medida em que é manifestamente incapaz de preservar o valor real do crédito de que é titular o cidadão. A inflação, fenômeno tipicamente econômico-monetário, mostra-se insuscetível de captação apriorística (ex ante), de modo que o meio escolhido pelo legislador constituinte (remuneração da caderneta de poupança) é i</w:t>
      </w:r>
    </w:p>
    <w:p>
      <w:pPr>
        <w:ind w:left="288"/>
      </w:pPr>
      <w:r>
        <w:rPr>
          <w:b/>
          <w:color w:val="003CA0"/>
          <w:sz w:val="16"/>
        </w:rPr>
        <w:t>[ADI 4.425, red. do ac. min. Luiz Fux, j. 14-3-2013, P, DJE de 19-12-2013.]</w:t>
      </w:r>
    </w:p>
    <w:p>
      <w:pPr>
        <w:ind w:left="288"/>
      </w:pPr>
      <w:r>
        <w:rPr>
          <w:color w:val="8C8C8C"/>
          <w:sz w:val="12"/>
        </w:rPr>
        <w:t>cf-art-135-par-8-inc-IV</w:t>
      </w:r>
      <w:r>
        <w:rPr>
          <w:color w:val="003CA0"/>
          <w:sz w:val="12"/>
        </w:rPr>
        <w:t xml:space="preserve"> | RE 870.947</w:t>
      </w:r>
      <w:r>
        <w:rPr>
          <w:color w:val="003CA0"/>
          <w:sz w:val="12"/>
        </w:rPr>
        <w:t xml:space="preserve"> | rel. Luiz Fux</w:t>
      </w:r>
    </w:p>
    <w:p>
      <w:pPr>
        <w:ind w:left="288"/>
      </w:pPr>
      <w:r>
        <w:rPr>
          <w:color w:val="1E1E1E"/>
          <w:sz w:val="18"/>
        </w:rPr>
        <w:t>Vide RE 870.947, rel. min. Luiz Fux, j. 20-9-2017, P, DJE de 20-11-2017, Tema 810 Vide ADI 4.425 QO, rel. min. Luiz Fux, j. 25-3-2015, P, DJE de 4-8-2015</w:t>
      </w:r>
    </w:p>
    <w:p>
      <w:pPr>
        <w:ind w:left="144"/>
      </w:pPr>
      <w:r>
        <w:rPr>
          <w:b/>
          <w:color w:val="B45A00"/>
          <w:sz w:val="16"/>
        </w:rPr>
        <w:t>REPERCUSSAO GERAL</w:t>
      </w:r>
    </w:p>
    <w:p>
      <w:pPr>
        <w:ind w:left="288"/>
      </w:pPr>
      <w:r>
        <w:rPr>
          <w:color w:val="8C8C8C"/>
          <w:sz w:val="12"/>
        </w:rPr>
        <w:t>cf-art-135-par-8-inc-IV</w:t>
      </w:r>
      <w:r>
        <w:rPr>
          <w:color w:val="003CA0"/>
          <w:sz w:val="12"/>
        </w:rPr>
        <w:t xml:space="preserve"> | ARE 638.195</w:t>
      </w:r>
      <w:r>
        <w:rPr>
          <w:color w:val="003CA0"/>
          <w:sz w:val="12"/>
        </w:rPr>
        <w:t xml:space="preserve"> | rel. Joaquim Barbosa</w:t>
      </w:r>
    </w:p>
    <w:p>
      <w:pPr>
        <w:ind w:left="288"/>
      </w:pPr>
      <w:r>
        <w:rPr>
          <w:color w:val="1E1E1E"/>
          <w:sz w:val="18"/>
        </w:rPr>
        <w:t>É devida correção monetária no período compreendido entre a data de elaboração do cálculo da RPV e sua expedição para pagamento.</w:t>
      </w:r>
    </w:p>
    <w:p>
      <w:pPr>
        <w:ind w:left="288"/>
      </w:pPr>
      <w:r>
        <w:rPr>
          <w:b/>
          <w:color w:val="003CA0"/>
          <w:sz w:val="16"/>
        </w:rPr>
        <w:t>[ARE 638.195, rel. min. Joaquim Barbosa, j. 29-5-2013, P, DJE de 13-12-2013, Tema 450, com mérito julgado.]</w:t>
        <w:br/>
        <w:t>Vide RE 579.431, rel. min. Marco Aurélio, j. 19-4-2017, P, DJE de 30-6-2017, Tema 96, com mérito julgado</w:t>
      </w:r>
    </w:p>
    <w:p>
      <w:pPr>
        <w:ind w:left="288"/>
      </w:pPr>
      <w:r>
        <w:rPr>
          <w:color w:val="8C8C8C"/>
          <w:sz w:val="12"/>
        </w:rPr>
        <w:t>cf-art-135-par-8-inc-IV</w:t>
      </w:r>
    </w:p>
    <w:p>
      <w:pPr>
        <w:ind w:left="288"/>
      </w:pPr>
      <w:r>
        <w:rPr>
          <w:color w:val="1E1E1E"/>
          <w:sz w:val="18"/>
        </w:rPr>
        <w:t>§ 13. O credor poderá ceder, total ou parcialmente, seus créditos em precatórios a terceiros, independentemente da concordância do devedor, não se aplicando ao cessionário o disposto nos §§ 2º e 3º. (Incluído pela EC 62/2009) § 14. A cessão de precatórios, observado o disposto no § 9º deste artigo, somente produzirá efeitos após comunicação, por meio de petição protocolizada, ao Tribunal de origem e ao ente federativo devedor. (Redação dada pela EC n. 113/2021) § 15. Sem prejuízo do disposto neste artigo, lei complementar a esta Constituição Federal poderá estabelecer regime especial para paga</w:t>
      </w:r>
    </w:p>
    <w:p>
      <w:pPr>
        <w:ind w:left="144"/>
      </w:pPr>
      <w:r>
        <w:rPr>
          <w:b/>
          <w:color w:val="B45A00"/>
          <w:sz w:val="16"/>
        </w:rPr>
        <w:t>CONTROLE CONCENTRADO</w:t>
      </w:r>
    </w:p>
    <w:p>
      <w:pPr>
        <w:ind w:left="288"/>
      </w:pPr>
      <w:r>
        <w:rPr>
          <w:color w:val="8C8C8C"/>
          <w:sz w:val="12"/>
        </w:rPr>
        <w:t>cf-art-135-par-8-inc-IV</w:t>
      </w:r>
      <w:r>
        <w:rPr>
          <w:color w:val="003CA0"/>
          <w:sz w:val="12"/>
        </w:rPr>
        <w:t xml:space="preserve"> | ADI 4.425</w:t>
      </w:r>
      <w:r>
        <w:rPr>
          <w:color w:val="003CA0"/>
          <w:sz w:val="12"/>
        </w:rPr>
        <w:t xml:space="preserve"> | rel. Luiz Fux</w:t>
      </w:r>
    </w:p>
    <w:p>
      <w:pPr>
        <w:ind w:left="288"/>
      </w:pPr>
      <w:r>
        <w:rPr>
          <w:color w:val="1E1E1E"/>
          <w:sz w:val="18"/>
        </w:rPr>
        <w:t>Regime de execução da Fazenda Pública mediante precatório. EC 62/2009. Existência de razões de segurança jurídica que justificam a manutenção temporária do regime especial nos termos em que decidido pelo Plenário do STF. (...) In casu, modulam-se os efeitos das decisões declaratórias de inconstitucionalidade proferidas nas ADIs 4.357 e 4.425 para manter a vigência do regime especial de pagamento de precatórios instituído pela EC 62/2009 por cinco exercícios financeiros a contar de 1º de janeiro de 2016.</w:t>
      </w:r>
    </w:p>
    <w:p>
      <w:pPr>
        <w:ind w:left="288"/>
      </w:pPr>
      <w:r>
        <w:rPr>
          <w:b/>
          <w:color w:val="003CA0"/>
          <w:sz w:val="16"/>
        </w:rPr>
        <w:t>[ADI 4.425 QO, rel. min. Luiz Fux, j. 25-3-2015, P, DJE de 4-8-2015.]</w:t>
      </w:r>
    </w:p>
    <w:p>
      <w:pPr>
        <w:ind w:left="288"/>
      </w:pPr>
      <w:r>
        <w:rPr>
          <w:color w:val="8C8C8C"/>
          <w:sz w:val="12"/>
        </w:rPr>
        <w:t>cf-art-135-par-8-inc-IV</w:t>
      </w:r>
      <w:r>
        <w:rPr>
          <w:color w:val="003CA0"/>
          <w:sz w:val="12"/>
        </w:rPr>
        <w:t xml:space="preserve"> | ADI 4.425</w:t>
      </w:r>
    </w:p>
    <w:p>
      <w:pPr>
        <w:ind w:left="288"/>
      </w:pPr>
      <w:r>
        <w:rPr>
          <w:color w:val="1E1E1E"/>
          <w:sz w:val="18"/>
        </w:rPr>
        <w:t>Vide ADI 4.425, red. do ac. min. Luiz Fux, j. 14-3-2013, P, DJE de 19-12-2013 O regime "especial" de pagamento de precatórios para Estados e Municípios criado pela EC 62/2009, ao veicular nova moratória na quitação dos débitos judiciais da Fazenda Pública e ao impor o contingenciamento de recursos para esse fim, viola a cláusula constitucional do Estado de Direito (CF, art. 1º, caput), o princípio da separação de Poderes (CF, art. 2º), o postulado da isonomia (CF, art. 5º), a garantia do acesso à justiça e a efetividade da tutela jurisdicional (CF, art. 5º, XXXV), o direito adquirido e à coisa</w:t>
      </w:r>
    </w:p>
    <w:p>
      <w:pPr>
        <w:ind w:left="288"/>
      </w:pPr>
      <w:r>
        <w:rPr>
          <w:b/>
          <w:color w:val="003CA0"/>
          <w:sz w:val="16"/>
        </w:rPr>
        <w:t>[ADI 4.425, red. do ac. min. Luiz Fux, j. 14-3-2013, P, DJE de 19-12-2013.]</w:t>
      </w:r>
    </w:p>
    <w:p>
      <w:pPr>
        <w:ind w:left="288"/>
      </w:pPr>
      <w:r>
        <w:rPr>
          <w:color w:val="8C8C8C"/>
          <w:sz w:val="12"/>
        </w:rPr>
        <w:t>cf-art-135-par-8-inc-IV</w:t>
      </w:r>
      <w:r>
        <w:rPr>
          <w:color w:val="003CA0"/>
          <w:sz w:val="12"/>
        </w:rPr>
        <w:t xml:space="preserve"> | ADI 4.425</w:t>
      </w:r>
      <w:r>
        <w:rPr>
          <w:color w:val="003CA0"/>
          <w:sz w:val="12"/>
        </w:rPr>
        <w:t xml:space="preserve"> | rel. Luiz Fux</w:t>
      </w:r>
    </w:p>
    <w:p>
      <w:pPr>
        <w:ind w:left="288"/>
      </w:pPr>
      <w:r>
        <w:rPr>
          <w:color w:val="1E1E1E"/>
          <w:sz w:val="18"/>
        </w:rPr>
        <w:t>Vide ADI 4.425 QO, rel. min. Luiz Fux, j. 25-3-2015, P, DJE de 4-8-2015</w:t>
      </w:r>
    </w:p>
    <w:p>
      <w:pPr>
        <w:ind w:left="144"/>
      </w:pPr>
      <w:r>
        <w:rPr>
          <w:b/>
          <w:color w:val="B45A00"/>
          <w:sz w:val="16"/>
        </w:rPr>
        <w:t>REPERCUSSAO GERAL</w:t>
      </w:r>
    </w:p>
    <w:p>
      <w:pPr>
        <w:ind w:left="288"/>
      </w:pPr>
      <w:r>
        <w:rPr>
          <w:color w:val="8C8C8C"/>
          <w:sz w:val="12"/>
        </w:rPr>
        <w:t>cf-art-135-par-8-inc-IV</w:t>
      </w:r>
      <w:r>
        <w:rPr>
          <w:color w:val="003CA0"/>
          <w:sz w:val="12"/>
        </w:rPr>
        <w:t xml:space="preserve"> | RE 659.172</w:t>
      </w:r>
      <w:r>
        <w:rPr>
          <w:color w:val="003CA0"/>
          <w:sz w:val="12"/>
        </w:rPr>
        <w:t xml:space="preserve"> | rel. Dias Toffoli</w:t>
      </w:r>
    </w:p>
    <w:p>
      <w:pPr>
        <w:ind w:left="288"/>
      </w:pPr>
      <w:r>
        <w:rPr>
          <w:color w:val="1E1E1E"/>
          <w:sz w:val="18"/>
        </w:rPr>
        <w:t>Regime especial de precatórios da EC nº 62/2009. Artigo 97 do ADCT. Inconstitucionalidade reconhecida pelo STF. Questão de ordem. Efeitos prospectivos. Aplicação a precatórios já expedidos na vigência da EC nº 30/2000 (art. 78 do ADCT). (...) “O regime especial de precatórios trazidos pela EC nº 62/09 aplica-se aos precatórios expedidos anteriormente a sua promulgação, observados a declaração de inconstitucionalidade parcial quando do julgamento da ADI nº 4.425 e os efeitos prospectivos do julgado”.</w:t>
        <w:br/>
        <w:t>[RE 659.172, rel. min. Dias Toffoli, j. 25-9-2023, P, DJE de 30-10-2023, Tema 1.224, com mérito</w:t>
      </w:r>
    </w:p>
    <w:p>
      <w:pPr>
        <w:ind w:left="288"/>
      </w:pPr>
      <w:r>
        <w:rPr>
          <w:color w:val="8C8C8C"/>
          <w:sz w:val="12"/>
        </w:rPr>
        <w:t>cf-art-135-par-8-inc-II</w:t>
      </w:r>
    </w:p>
    <w:p>
      <w:pPr>
        <w:ind w:left="288"/>
      </w:pPr>
      <w:r>
        <w:rPr>
          <w:color w:val="1E1E1E"/>
          <w:sz w:val="18"/>
        </w:rPr>
        <w:t>III - na União, nos Estados, no Distrito Federal e nos Municípios, a contribuição dos servidores para custeio de seu sistema de previdência e assistência social e as receitas provenientes da compensação financeira referida no § 9º do art. 201 da Constituição Federal. (Incluído pela EC 94/2016) § 19. Caso o montante total de débitos decorrentes de condenações judiciais em precatórios e obrigações de pequeno valor, em período de 12 (doze) meses, ultrapasse a média do comprometimento percentual da receita corrente líquida nos 5 (cinco) anos imediatamente anteriores, a parcela que exceder esse per</w:t>
      </w:r>
    </w:p>
    <w:p>
      <w:pPr>
        <w:ind w:left="288"/>
      </w:pPr>
      <w:r>
        <w:rPr>
          <w:color w:val="8C8C8C"/>
          <w:sz w:val="12"/>
        </w:rPr>
        <w:t>cf-art-135-par-8-inc-IV</w:t>
      </w:r>
    </w:p>
    <w:p>
      <w:pPr>
        <w:ind w:left="288"/>
      </w:pPr>
      <w:r>
        <w:rPr>
          <w:color w:val="1E1E1E"/>
          <w:sz w:val="18"/>
        </w:rPr>
        <w:t>§ 22. A amortização de que trata o § 21 deste artigo: (Incluído pela EC n. 113/2021)</w:t>
      </w:r>
    </w:p>
    <w:p>
      <w:pPr>
        <w:ind w:left="288"/>
      </w:pPr>
      <w:r>
        <w:rPr>
          <w:color w:val="8C8C8C"/>
          <w:sz w:val="12"/>
        </w:rPr>
        <w:t>cf-art-135-par-8-inc-II</w:t>
      </w:r>
    </w:p>
    <w:p>
      <w:pPr>
        <w:ind w:left="288"/>
      </w:pPr>
      <w:r>
        <w:rPr>
          <w:color w:val="1E1E1E"/>
          <w:sz w:val="18"/>
        </w:rPr>
        <w:t>§ 23. Os pagamentos de precatórios pelos Estados, pelo Distrito Federal e pelos Municípios, relativos às suas administrações diretas e indiretas, estão limitados, observado o disposto nos §§ 24, 25, 26 e 28 deste artigo, a: (Incluído pela EC n. 136/2025) I - 1% (um por cento) da receita corrente líquida apurada no exercício financeiro anterior, para os entes federativos que não possuam estoque e para os entes federativos cujo estoque de precatórios em mora, atualizados monetariamente e acrescidos de juros moratórios, em 1º de janeiro, não superar 15% (quinze por cento) desse valor; (Incluído p</w:t>
      </w:r>
    </w:p>
    <w:p>
      <w:pPr>
        <w:ind w:left="288"/>
      </w:pPr>
      <w:r>
        <w:rPr>
          <w:color w:val="8C8C8C"/>
          <w:sz w:val="12"/>
        </w:rPr>
        <w:t>cf-art-135-par-8-inc-I</w:t>
      </w:r>
    </w:p>
    <w:p>
      <w:pPr>
        <w:ind w:left="288"/>
      </w:pPr>
      <w:r>
        <w:rPr>
          <w:color w:val="1E1E1E"/>
          <w:sz w:val="18"/>
        </w:rPr>
        <w:t>II - o Presidente do Tribunal de Justiça local determinará o sequestro, até o limite do valor devido, das contas municipais, estaduais ou distrital do ente federativo inadimplente para fins de pagamento de precatórios; (Incluído pela EC n. 136/2025) III - o Governador do Estado ou do Distrito Federal ou o Prefeito do Município inadimplente responderá na forma da legislação de responsabilidade fiscal e de improbidade administrativa; (Incluído pela EC n. 136/2025)</w:t>
      </w:r>
    </w:p>
    <w:p>
      <w:pPr>
        <w:ind w:left="288"/>
      </w:pPr>
      <w:r>
        <w:rPr>
          <w:color w:val="8C8C8C"/>
          <w:sz w:val="12"/>
        </w:rPr>
        <w:t>cf-art-135-par-8-inc-IV</w:t>
      </w:r>
    </w:p>
    <w:p>
      <w:pPr>
        <w:ind w:left="288"/>
      </w:pPr>
      <w:r>
        <w:rPr>
          <w:color w:val="1E1E1E"/>
          <w:sz w:val="18"/>
        </w:rPr>
        <w:t>§ 28. Os Estado, o Distrito Federal e os Municípios, mediante dotação orçamentária específica, poderão efetuar pagamentos de precatórios que superem os limites previstos no § 23 deste artigo. (Incluído pela EC n. 136/2025) § 29. É facultado ao credor de precatório dos Estados, do Distrito Federal e dos Municípios que não tenha sido pago em razão do disposto nos §§ 20 ou 23 deste artigo, sem prejuízo dos procedimentos previstos nos §§ 9º e 21 deste artigo, optar pelo recebimento, mediante acordos diretos perante Juízos Auxiliares de Conciliação de Pagamento de Condenações Judiciais contra a Faz</w:t>
      </w:r>
    </w:p>
    <w:p>
      <w:pPr>
        <w:ind w:left="144"/>
      </w:pPr>
      <w:r>
        <w:rPr>
          <w:b/>
          <w:color w:val="B45A00"/>
          <w:sz w:val="16"/>
        </w:rPr>
        <w:t>CONTROLE CONCENTRADO</w:t>
      </w:r>
    </w:p>
    <w:p>
      <w:pPr>
        <w:ind w:left="288"/>
      </w:pPr>
      <w:r>
        <w:rPr>
          <w:color w:val="8C8C8C"/>
          <w:sz w:val="12"/>
        </w:rPr>
        <w:t>cf-art-135-par-3</w:t>
      </w:r>
      <w:r>
        <w:rPr>
          <w:color w:val="003CA0"/>
          <w:sz w:val="12"/>
        </w:rPr>
        <w:t xml:space="preserve"> | ADI 5.296</w:t>
      </w:r>
      <w:r>
        <w:rPr>
          <w:color w:val="003CA0"/>
          <w:sz w:val="12"/>
        </w:rPr>
        <w:t xml:space="preserve"> | rel. Rosa Weber</w:t>
      </w:r>
    </w:p>
    <w:p>
      <w:pPr>
        <w:ind w:left="288"/>
      </w:pPr>
      <w:r>
        <w:rPr>
          <w:color w:val="1E1E1E"/>
          <w:sz w:val="18"/>
        </w:rPr>
        <w:t xml:space="preserve">Art. 134, § 3º, da Constituição da República, incluído pela EC 74/2013. Extensão, às Defensorias Públicas da União e do Distrito Federal, da autonomia funcional e administrativa e da iniciativa de sua proposta orçamentária, já asseguradas às Defensorias Públicas dos Estados pela EC 45/2004. Emenda constitucional resultante de proposta de iniciativa parlamentar. Alegada ofensa ao art. 61, § 1º, II, c, da Constituição da República. Usurpação da reserva de iniciativa do Poder Executivo. Inocorrência. Alegada ofensa aos arts. 2º e 60, § 4º, III, da Constituição da República. Separação de poderes. </w:t>
      </w:r>
    </w:p>
    <w:p>
      <w:pPr>
        <w:ind w:left="288"/>
      </w:pPr>
      <w:r>
        <w:rPr>
          <w:b/>
          <w:color w:val="003CA0"/>
          <w:sz w:val="16"/>
        </w:rPr>
        <w:t>[ADI 5.296 MC, rel. min. Rosa Weber, j. 18-5-2016, P, DJE de 11-11-2016.]</w:t>
      </w:r>
    </w:p>
    <w:p>
      <w:pPr>
        <w:ind w:left="288"/>
      </w:pPr>
      <w:r>
        <w:rPr>
          <w:color w:val="8C8C8C"/>
          <w:sz w:val="12"/>
        </w:rPr>
        <w:t>cf-art-135-par-4</w:t>
      </w:r>
      <w:r>
        <w:rPr>
          <w:color w:val="003CA0"/>
          <w:sz w:val="12"/>
        </w:rPr>
        <w:t xml:space="preserve"> | ADI 7.317</w:t>
      </w:r>
      <w:r>
        <w:rPr>
          <w:color w:val="003CA0"/>
          <w:sz w:val="12"/>
        </w:rPr>
        <w:t xml:space="preserve"> | rel. Cármen Lúcia</w:t>
      </w:r>
    </w:p>
    <w:p>
      <w:pPr>
        <w:ind w:left="288"/>
      </w:pPr>
      <w:r>
        <w:rPr>
          <w:color w:val="1E1E1E"/>
          <w:sz w:val="18"/>
        </w:rPr>
        <w:t>Critérios de desempate na promoção e remoção de Defensor Público estadual por antiguidade. Inobservância dos critérios estabelecidos na Lei Orgânica da Defensoria Pública. Impossibilidade de reconhecimento do tempo de serviço público. Inconstitucionalidade formal: contrariedade à al. d do inc. II do § 1º do art. 61, aos §§ 1º e 4º do art. 134 e ao art. 93 da Constituição da Rrepública.</w:t>
        <w:br/>
        <w:t xml:space="preserve">[ADI 7.317, rel. min. Cármen Lúcia, j. 3-5-2023, P, DJE de 10-5-2023.] TÍTULO V Da Defesa do Estado e Das Instituições Democráticas SUMÁRIO CAPÍTULO I Do Estado de Defesa e do Estado de Sítio SUMÁRIO Seção I Do </w:t>
      </w:r>
    </w:p>
    <w:p>
      <w:r>
        <w:rPr>
          <w:b/>
          <w:color w:val="003366"/>
          <w:sz w:val="20"/>
        </w:rPr>
        <w:t>Art. 136 Os Estados que possuíam, em 30 de abril de 2023, fundos destinados a in</w:t>
      </w:r>
      <w:r>
        <w:rPr>
          <w:color w:val="8C8C8C"/>
          <w:sz w:val="14"/>
        </w:rPr>
        <w:t xml:space="preserve">  [2 decisoes]</w:t>
      </w:r>
    </w:p>
    <w:p>
      <w:pPr>
        <w:ind w:left="288"/>
      </w:pPr>
      <w:r>
        <w:rPr>
          <w:color w:val="8C8C8C"/>
          <w:sz w:val="12"/>
        </w:rPr>
        <w:t>cf-art-136-par-3</w:t>
      </w:r>
    </w:p>
    <w:p>
      <w:pPr>
        <w:ind w:left="288"/>
      </w:pPr>
      <w:r>
        <w:rPr>
          <w:color w:val="1E1E1E"/>
          <w:sz w:val="18"/>
        </w:rPr>
        <w:t>I - a prisão por crime contra o Estado, determinada pelo executor da medida, será por este comunicada imediatamente ao juiz competente, que a relaxará, se não for legal, facultado ao preso requerer exame de corpo de delito à autoridade policial;</w:t>
      </w:r>
    </w:p>
    <w:p>
      <w:pPr>
        <w:ind w:left="288"/>
      </w:pPr>
      <w:r>
        <w:rPr>
          <w:color w:val="8C8C8C"/>
          <w:sz w:val="12"/>
        </w:rPr>
        <w:t>cf-art-136-par-7</w:t>
      </w:r>
    </w:p>
    <w:p>
      <w:pPr>
        <w:ind w:left="288"/>
      </w:pPr>
      <w:r>
        <w:rPr>
          <w:color w:val="1E1E1E"/>
          <w:sz w:val="18"/>
        </w:rPr>
        <w:t>Seção II Do Estado de Sítio SUMÁRIO</w:t>
      </w:r>
    </w:p>
    <w:p>
      <w:pPr>
        <w:ind w:left="720"/>
      </w:pPr>
      <w:r>
        <w:rPr>
          <w:color w:val="003366"/>
          <w:sz w:val="18"/>
        </w:rPr>
        <w:t>I – a alíquota ou o percentual de contribuição não poderão ser superiores e a ba</w:t>
      </w:r>
    </w:p>
    <w:p>
      <w:pPr>
        <w:ind w:left="720"/>
      </w:pPr>
      <w:r>
        <w:rPr>
          <w:color w:val="003366"/>
          <w:sz w:val="18"/>
        </w:rPr>
        <w:t xml:space="preserve">II – a instituição de contribuição nos termos deste artigo implicará a extinção </w:t>
      </w:r>
    </w:p>
    <w:p>
      <w:pPr>
        <w:ind w:left="720"/>
      </w:pPr>
      <w:r>
        <w:rPr>
          <w:color w:val="003366"/>
          <w:sz w:val="18"/>
        </w:rPr>
        <w:t xml:space="preserve">III – a destinação de sua receita deverá ser a mesma das contribuições vigentes </w:t>
      </w:r>
    </w:p>
    <w:p>
      <w:pPr>
        <w:ind w:left="720"/>
      </w:pPr>
      <w:r>
        <w:rPr>
          <w:color w:val="003366"/>
          <w:sz w:val="18"/>
        </w:rPr>
        <w:t>IV – a contribuição instituída nos termos do caput será extinta em 31 de dezembr</w:t>
      </w:r>
    </w:p>
    <w:p>
      <w:r>
        <w:rPr>
          <w:b/>
          <w:color w:val="003366"/>
          <w:sz w:val="20"/>
        </w:rPr>
        <w:t xml:space="preserve">Art. 137 Os saldos financeiros dos recursos transferidos pelo Fundo Nacional de </w:t>
      </w:r>
    </w:p>
    <w:p>
      <w:r>
        <w:rPr>
          <w:b/>
          <w:color w:val="003366"/>
          <w:sz w:val="20"/>
        </w:rPr>
        <w:t>Art. 138 Até 2032, qualquer criação, alteração ou prorrogação de vinculação lega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